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C61FFC9" w14:textId="77777777" w:rsidR="00507A67" w:rsidRPr="00507A67" w:rsidRDefault="00507A67" w:rsidP="00507A67">
      <w:pPr>
        <w:pBdr>
          <w:top w:val="none" w:sz="4" w:space="0" w:color="000000"/>
          <w:left w:val="none" w:sz="4" w:space="0" w:color="000000"/>
          <w:bottom w:val="none" w:sz="4" w:space="0" w:color="000000"/>
          <w:right w:val="none" w:sz="4" w:space="0" w:color="000000"/>
          <w:between w:val="none" w:sz="4" w:space="0" w:color="000000"/>
        </w:pBdr>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s>
        <w:spacing w:before="60" w:after="0" w:line="200" w:lineRule="exact"/>
        <w:rPr>
          <w:rFonts w:ascii="Times New Roman" w:eastAsia="Times New Roman" w:hAnsi="Times New Roman" w:cs="Arial"/>
          <w:color w:val="000000"/>
          <w:sz w:val="20"/>
          <w:szCs w:val="20"/>
        </w:rPr>
      </w:pPr>
      <w:r w:rsidRPr="00507A67">
        <w:rPr>
          <w:rFonts w:ascii="Times New Roman" w:eastAsia="Times New Roman" w:hAnsi="Times New Roman" w:cs="Arial"/>
          <w:noProof/>
          <w:color w:val="000000"/>
          <w:szCs w:val="20"/>
          <w:lang w:val="en-US" w:eastAsia="zh-CN"/>
        </w:rPr>
        <mc:AlternateContent>
          <mc:Choice Requires="wps">
            <w:drawing>
              <wp:anchor distT="45720" distB="45720" distL="114300" distR="114300" simplePos="0" relativeHeight="251662336" behindDoc="0" locked="0" layoutInCell="1" allowOverlap="1" wp14:anchorId="7B27AFE9" wp14:editId="3C947E72">
                <wp:simplePos x="0" y="0"/>
                <wp:positionH relativeFrom="column">
                  <wp:posOffset>26670</wp:posOffset>
                </wp:positionH>
                <wp:positionV relativeFrom="paragraph">
                  <wp:posOffset>312420</wp:posOffset>
                </wp:positionV>
                <wp:extent cx="5943600" cy="882650"/>
                <wp:effectExtent l="0" t="0" r="19050" b="12700"/>
                <wp:wrapSquare wrapText="bothSides"/>
                <wp:docPr id="2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43600" cy="882650"/>
                        </a:xfrm>
                        <a:prstGeom prst="rect">
                          <a:avLst/>
                        </a:prstGeom>
                        <a:solidFill>
                          <a:srgbClr val="FFFFFF"/>
                        </a:solidFill>
                        <a:ln w="9525">
                          <a:solidFill>
                            <a:srgbClr val="000000"/>
                          </a:solidFill>
                          <a:miter lim="800000"/>
                          <a:headEnd/>
                          <a:tailEnd/>
                        </a:ln>
                      </wps:spPr>
                      <wps:txbx>
                        <w:txbxContent>
                          <w:p w14:paraId="53C5ECFF" w14:textId="77777777" w:rsidR="00507A67" w:rsidRDefault="00507A67" w:rsidP="00507A67">
                            <w:pPr>
                              <w:spacing w:line="0" w:lineRule="atLeast"/>
                              <w:ind w:right="-39"/>
                              <w:jc w:val="center"/>
                              <w:rPr>
                                <w:sz w:val="24"/>
                              </w:rPr>
                            </w:pPr>
                            <w:r>
                              <w:rPr>
                                <w:rFonts w:ascii="Arial" w:eastAsia="Arial" w:hAnsi="Arial"/>
                                <w:b/>
                                <w:sz w:val="23"/>
                              </w:rPr>
                              <w:t>ISO/IEC JTC 1/SC 29/WG 11</w:t>
                            </w:r>
                          </w:p>
                          <w:p w14:paraId="6B21DC35" w14:textId="77777777" w:rsidR="00507A67" w:rsidRDefault="00507A67" w:rsidP="00507A67">
                            <w:pPr>
                              <w:spacing w:line="0" w:lineRule="atLeast"/>
                              <w:ind w:right="-39"/>
                              <w:jc w:val="center"/>
                              <w:rPr>
                                <w:sz w:val="24"/>
                              </w:rPr>
                            </w:pPr>
                            <w:r>
                              <w:rPr>
                                <w:rFonts w:ascii="Arial" w:eastAsia="Arial" w:hAnsi="Arial"/>
                                <w:b/>
                                <w:sz w:val="23"/>
                              </w:rPr>
                              <w:t>Coding of moving pictures and audio</w:t>
                            </w:r>
                          </w:p>
                          <w:p w14:paraId="0D09DAD6" w14:textId="77777777" w:rsidR="00507A67" w:rsidRDefault="00507A67" w:rsidP="00507A67">
                            <w:pPr>
                              <w:spacing w:line="0" w:lineRule="atLeast"/>
                              <w:ind w:right="-39"/>
                              <w:jc w:val="center"/>
                              <w:rPr>
                                <w:rFonts w:ascii="Arial" w:eastAsia="Arial" w:hAnsi="Arial"/>
                                <w:b/>
                                <w:sz w:val="23"/>
                              </w:rPr>
                            </w:pPr>
                            <w:r>
                              <w:rPr>
                                <w:rFonts w:ascii="Arial" w:eastAsia="Arial" w:hAnsi="Arial"/>
                                <w:b/>
                                <w:sz w:val="23"/>
                              </w:rPr>
                              <w:t>Convenorship: Japan (JISC)</w:t>
                            </w:r>
                          </w:p>
                          <w:p w14:paraId="4E1D07B4" w14:textId="77777777" w:rsidR="00507A67" w:rsidRDefault="00507A67" w:rsidP="00507A67">
                            <w:pPr>
                              <w:tabs>
                                <w:tab w:val="left" w:pos="2880"/>
                              </w:tabs>
                              <w:spacing w:after="0" w:line="360" w:lineRule="auto"/>
                              <w:ind w:left="124" w:right="-20"/>
                              <w:jc w:val="center"/>
                              <w:rPr>
                                <w:b/>
                                <w:bCs/>
                                <w:spacing w:val="2"/>
                                <w:szCs w:val="24"/>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ect w14:anchorId="7B27AFE9" id="Text Box 2" o:spid="_x0000_s1026" style="position:absolute;left:0;text-align:left;margin-left:2.1pt;margin-top:24.6pt;width:468pt;height:69.5pt;z-index:2516623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">
                <v:path arrowok="t"/>
                <v:textbox>
                  <w:txbxContent>
                    <w:p w14:paraId="53C5ECFF" w14:textId="77777777" w:rsidR="00507A67" w:rsidRDefault="00507A67" w:rsidP="00507A67">
                      <w:pPr>
                        <w:spacing w:line="0" w:lineRule="atLeast"/>
                        <w:ind w:right="-39"/>
                        <w:jc w:val="center"/>
                        <w:rPr>
                          <w:sz w:val="24"/>
                        </w:rPr>
                      </w:pPr>
                      <w:r>
                        <w:rPr>
                          <w:rFonts w:ascii="Arial" w:eastAsia="Arial" w:hAnsi="Arial"/>
                          <w:b/>
                          <w:sz w:val="23"/>
                        </w:rPr>
                        <w:t>ISO/IEC JTC 1/SC 29/WG 11</w:t>
                      </w:r>
                    </w:p>
                    <w:p w14:paraId="6B21DC35" w14:textId="77777777" w:rsidR="00507A67" w:rsidRDefault="00507A67" w:rsidP="00507A67">
                      <w:pPr>
                        <w:spacing w:line="0" w:lineRule="atLeast"/>
                        <w:ind w:right="-39"/>
                        <w:jc w:val="center"/>
                        <w:rPr>
                          <w:sz w:val="24"/>
                        </w:rPr>
                      </w:pPr>
                      <w:r>
                        <w:rPr>
                          <w:rFonts w:ascii="Arial" w:eastAsia="Arial" w:hAnsi="Arial"/>
                          <w:b/>
                          <w:sz w:val="23"/>
                        </w:rPr>
                        <w:t>Coding of moving pictures and audio</w:t>
                      </w:r>
                    </w:p>
                    <w:p w14:paraId="0D09DAD6" w14:textId="77777777" w:rsidR="00507A67" w:rsidRDefault="00507A67" w:rsidP="00507A67">
                      <w:pPr>
                        <w:spacing w:line="0" w:lineRule="atLeast"/>
                        <w:ind w:right="-39"/>
                        <w:jc w:val="center"/>
                        <w:rPr>
                          <w:rFonts w:ascii="Arial" w:eastAsia="Arial" w:hAnsi="Arial"/>
                          <w:b/>
                          <w:sz w:val="23"/>
                        </w:rPr>
                      </w:pPr>
                      <w:r>
                        <w:rPr>
                          <w:rFonts w:ascii="Arial" w:eastAsia="Arial" w:hAnsi="Arial"/>
                          <w:b/>
                          <w:sz w:val="23"/>
                        </w:rPr>
                        <w:t>Convenorship: Japan (JISC)</w:t>
                      </w:r>
                    </w:p>
                    <w:p w14:paraId="4E1D07B4" w14:textId="77777777" w:rsidR="00507A67" w:rsidRDefault="00507A67" w:rsidP="00507A67">
                      <w:pPr>
                        <w:tabs>
                          <w:tab w:val="left" w:pos="2880"/>
                        </w:tabs>
                        <w:spacing w:after="0" w:line="360" w:lineRule="auto"/>
                        <w:ind w:left="124" w:right="-20"/>
                        <w:jc w:val="center"/>
                        <w:rPr>
                          <w:b/>
                          <w:bCs/>
                          <w:spacing w:val="2"/>
                          <w:szCs w:val="24"/>
                        </w:rPr>
                      </w:pPr>
                    </w:p>
                  </w:txbxContent>
                </v:textbox>
                <w10:wrap type="square"/>
              </v:rect>
            </w:pict>
          </mc:Fallback>
        </mc:AlternateContent>
      </w:r>
      <w:r w:rsidRPr="00507A67">
        <w:rPr>
          <w:rFonts w:ascii="Times New Roman" w:eastAsia="Times New Roman" w:hAnsi="Times New Roman" w:cs="Arial"/>
          <w:noProof/>
          <w:color w:val="000000"/>
          <w:szCs w:val="20"/>
          <w:lang w:val="en-US" w:eastAsia="zh-CN"/>
        </w:rPr>
        <mc:AlternateContent>
          <mc:Choice Requires="wps">
            <w:drawing>
              <wp:anchor distT="0" distB="0" distL="114300" distR="114300" simplePos="0" relativeHeight="251661312" behindDoc="1" locked="0" layoutInCell="1" allowOverlap="1" wp14:anchorId="27C3BE8C" wp14:editId="1B71C040">
                <wp:simplePos x="0" y="0"/>
                <wp:positionH relativeFrom="page">
                  <wp:posOffset>2895600</wp:posOffset>
                </wp:positionH>
                <wp:positionV relativeFrom="page">
                  <wp:posOffset>435429</wp:posOffset>
                </wp:positionV>
                <wp:extent cx="3968115" cy="307975"/>
                <wp:effectExtent l="0" t="0" r="13335" b="15875"/>
                <wp:wrapNone/>
                <wp:docPr id="21"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968115" cy="307975"/>
                        </a:xfrm>
                        <a:prstGeom prst="rect">
                          <a:avLst/>
                        </a:prstGeom>
                        <a:noFill/>
                        <a:ln>
                          <a:noFill/>
                        </a:ln>
                      </wps:spPr>
                      <wps:txbx>
                        <w:txbxContent>
                          <w:p w14:paraId="4ABD5490" w14:textId="011864A7" w:rsidR="00507A67" w:rsidRDefault="00507A67" w:rsidP="00507A67">
                            <w:pPr>
                              <w:tabs>
                                <w:tab w:val="left" w:pos="3100"/>
                              </w:tabs>
                              <w:spacing w:after="0" w:line="465" w:lineRule="exact"/>
                              <w:ind w:right="-87"/>
                              <w:rPr>
                                <w:sz w:val="44"/>
                                <w:szCs w:val="44"/>
                              </w:rPr>
                            </w:pPr>
                            <w:r>
                              <w:rPr>
                                <w:b/>
                                <w:bCs/>
                                <w:spacing w:val="6"/>
                                <w:sz w:val="29"/>
                                <w:szCs w:val="29"/>
                              </w:rPr>
                              <w:t>ISO/IEC JTC 1/SC 29/WG 11</w:t>
                            </w:r>
                            <w:r>
                              <w:rPr>
                                <w:b/>
                                <w:bCs/>
                                <w:spacing w:val="-41"/>
                                <w:sz w:val="29"/>
                                <w:szCs w:val="29"/>
                              </w:rPr>
                              <w:t xml:space="preserve"> </w:t>
                            </w:r>
                            <w:r>
                              <w:rPr>
                                <w:b/>
                                <w:bCs/>
                                <w:sz w:val="29"/>
                                <w:szCs w:val="29"/>
                              </w:rPr>
                              <w:tab/>
                            </w:r>
                            <w:r>
                              <w:rPr>
                                <w:b/>
                                <w:bCs/>
                                <w:sz w:val="44"/>
                                <w:szCs w:val="44"/>
                              </w:rPr>
                              <w:t>N19</w:t>
                            </w:r>
                            <w:r>
                              <w:rPr>
                                <w:b/>
                                <w:bCs/>
                                <w:sz w:val="44"/>
                                <w:szCs w:val="44"/>
                              </w:rPr>
                              <w:t>523</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C3BE8C" id="Text Box 14" o:spid="_x0000_s1027" style="position:absolute;left:0;text-align:left;margin-left:228pt;margin-top:34.3pt;width:312.45pt;height:24.25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" filled="f" stroked="f">
                <v:textbox inset="0,0,0,0">
                  <w:txbxContent>
                    <w:p w14:paraId="4ABD5490" w14:textId="011864A7" w:rsidR="00507A67" w:rsidRDefault="00507A67" w:rsidP="00507A67">
                      <w:pPr>
                        <w:tabs>
                          <w:tab w:val="left" w:pos="3100"/>
                        </w:tabs>
                        <w:spacing w:after="0" w:line="465" w:lineRule="exact"/>
                        <w:ind w:right="-87"/>
                        <w:rPr>
                          <w:sz w:val="44"/>
                          <w:szCs w:val="44"/>
                        </w:rPr>
                      </w:pPr>
                      <w:r>
                        <w:rPr>
                          <w:b/>
                          <w:bCs/>
                          <w:spacing w:val="6"/>
                          <w:sz w:val="29"/>
                          <w:szCs w:val="29"/>
                        </w:rPr>
                        <w:t>ISO/IEC JTC 1/SC 29/WG 11</w:t>
                      </w:r>
                      <w:r>
                        <w:rPr>
                          <w:b/>
                          <w:bCs/>
                          <w:spacing w:val="-41"/>
                          <w:sz w:val="29"/>
                          <w:szCs w:val="29"/>
                        </w:rPr>
                        <w:t xml:space="preserve"> </w:t>
                      </w:r>
                      <w:r>
                        <w:rPr>
                          <w:b/>
                          <w:bCs/>
                          <w:sz w:val="29"/>
                          <w:szCs w:val="29"/>
                        </w:rPr>
                        <w:tab/>
                      </w:r>
                      <w:r>
                        <w:rPr>
                          <w:b/>
                          <w:bCs/>
                          <w:sz w:val="44"/>
                          <w:szCs w:val="44"/>
                        </w:rPr>
                        <w:t>N19</w:t>
                      </w:r>
                      <w:r>
                        <w:rPr>
                          <w:b/>
                          <w:bCs/>
                          <w:sz w:val="44"/>
                          <w:szCs w:val="44"/>
                        </w:rPr>
                        <w:t>523</w:t>
                      </w:r>
                    </w:p>
                  </w:txbxContent>
                </v:textbox>
                <w10:wrap anchorx="page" anchory="page"/>
              </v:rect>
            </w:pict>
          </mc:Fallback>
        </mc:AlternateContent>
      </w:r>
      <w:r w:rsidRPr="00507A67">
        <w:rPr>
          <w:rFonts w:ascii="Times New Roman" w:eastAsia="Times New Roman" w:hAnsi="Times New Roman" w:cs="Arial"/>
          <w:noProof/>
          <w:color w:val="000000"/>
          <w:szCs w:val="20"/>
          <w:lang w:val="en-US" w:eastAsia="zh-CN"/>
        </w:rPr>
        <w:drawing>
          <wp:anchor distT="0" distB="0" distL="114300" distR="114300" simplePos="0" relativeHeight="251659264" behindDoc="1" locked="0" layoutInCell="1" allowOverlap="1" wp14:anchorId="75E92459" wp14:editId="0C246704">
            <wp:simplePos x="0" y="0"/>
            <wp:positionH relativeFrom="page">
              <wp:posOffset>701040</wp:posOffset>
            </wp:positionH>
            <wp:positionV relativeFrom="page">
              <wp:posOffset>359410</wp:posOffset>
            </wp:positionV>
            <wp:extent cx="1257935" cy="546100"/>
            <wp:effectExtent l="0" t="0" r="0" b="0"/>
            <wp:wrapNone/>
            <wp:docPr id="24"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26"/>
                    <pic:cNvPicPr>
                      <a:picLocks noChangeAspect="1"/>
                    </pic:cNvPicPr>
                  </pic:nvPicPr>
                  <pic:blipFill>
                    <a:blip r:embed="rId8"/>
                    <a:stretch/>
                  </pic:blipFill>
                  <pic:spPr bwMode="auto">
                    <a:xfrm>
                      <a:off x="0" y="0"/>
                      <a:ext cx="1257935" cy="5461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507A67">
        <w:rPr>
          <w:rFonts w:ascii="Times New Roman" w:eastAsia="Times New Roman" w:hAnsi="Times New Roman" w:cs="Arial"/>
          <w:noProof/>
          <w:color w:val="000000"/>
          <w:szCs w:val="20"/>
          <w:lang w:val="en-US" w:eastAsia="zh-CN"/>
        </w:rPr>
        <mc:AlternateContent>
          <mc:Choice Requires="wpg">
            <w:drawing>
              <wp:anchor distT="0" distB="0" distL="114300" distR="114300" simplePos="0" relativeHeight="251660288" behindDoc="1" locked="0" layoutInCell="1" allowOverlap="1" wp14:anchorId="6B90C184" wp14:editId="2B5CE695">
                <wp:simplePos x="0" y="0"/>
                <wp:positionH relativeFrom="page">
                  <wp:posOffset>2085975</wp:posOffset>
                </wp:positionH>
                <wp:positionV relativeFrom="page">
                  <wp:posOffset>764540</wp:posOffset>
                </wp:positionV>
                <wp:extent cx="4759960" cy="1270"/>
                <wp:effectExtent l="0" t="19050" r="2540" b="0"/>
                <wp:wrapNone/>
                <wp:docPr id="22" name="Group 24"/>
                <wp:cNvGraphicFramePr/>
                <a:graphic xmlns:a="http://schemas.openxmlformats.org/drawingml/2006/main">
                  <a:graphicData uri="http://schemas.microsoft.com/office/word/2010/wordprocessingGroup">
                    <wpg:wgp>
                      <wpg:cNvGrpSpPr/>
                      <wpg:grpSpPr bwMode="auto">
                        <a:xfrm>
                          <a:off x="0" y="0"/>
                          <a:ext cx="4759960" cy="1270"/>
                          <a:chOff x="3285" y="1204"/>
                          <a:chExt cx="7496" cy="2"/>
                        </a:xfrm>
                      </wpg:grpSpPr>
                      <wps:wsp>
                        <wps:cNvPr id="23" name="Freeform: Shape 23"/>
                        <wps:cNvSpPr/>
                        <wps:spPr bwMode="auto">
                          <a:xfrm>
                            <a:off x="3285" y="1204"/>
                            <a:ext cx="7496" cy="2"/>
                          </a:xfrm>
                          <a:custGeom>
                            <a:avLst/>
                            <a:gdLst>
                              <a:gd name="T0" fmla="+- 0 3285 3285"/>
                              <a:gd name="T1" fmla="*/ T0 w 7496"/>
                              <a:gd name="T2" fmla="+- 0 10781 3285"/>
                              <a:gd name="T3" fmla="*/ T2 w 7496"/>
                            </a:gdLst>
                            <a:ahLst/>
                            <a:cxnLst>
                              <a:cxn ang="0">
                                <a:pos x="T1" y="0"/>
                              </a:cxn>
                              <a:cxn ang="0">
                                <a:pos x="T3" y="0"/>
                              </a:cxn>
                            </a:cxnLst>
                            <a:rect l="0" t="0" r="r" b="b"/>
                            <a:pathLst>
                              <a:path w="7496" extrusionOk="0">
                                <a:moveTo>
                                  <a:pt x="0" y="0"/>
                                </a:moveTo>
                                <a:lnTo>
                                  <a:pt x="7496" y="0"/>
                                </a:lnTo>
                              </a:path>
                            </a:pathLst>
                          </a:custGeom>
                          <a:noFill/>
                          <a:ln w="30531">
                            <a:solidFill>
                              <a:srgbClr val="000000"/>
                            </a:solidFill>
                            <a:round/>
                            <a:headEnd/>
                            <a:tailEnd/>
                          </a:ln>
                        </wps:spPr>
                        <wps:bodyPr rot="0">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5D14E519" id="Group 24" o:spid="_x0000_s1026" style="position:absolute;margin-left:164.25pt;margin-top:60.2pt;width:374.8pt;height:.1pt;z-index:-251656192;mso-position-horizontal-relative:page;mso-position-vertical-relative:page" coordorigin="3285,1204" coordsize="749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">
                <v:shape id="Freeform: Shape 23" o:spid="_x0000_s1027" style="position:absolute;left:3285;top:1204;width:7496;height:2;visibility:visible;mso-wrap-style:square;v-text-anchor:top" coordsize="749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" path="m,l7496,e" filled="f" strokeweight=".84808mm">
                  <v:path arrowok="t" o:extrusionok="f" o:connecttype="custom" o:connectlocs="0,0;7496,0" o:connectangles="0,0"/>
                </v:shape>
                <w10:wrap anchorx="page" anchory="page"/>
              </v:group>
            </w:pict>
          </mc:Fallback>
        </mc:AlternateContent>
      </w:r>
    </w:p>
    <w:p w14:paraId="369EBC4E" w14:textId="77777777" w:rsidR="00507A67" w:rsidRPr="00507A67" w:rsidRDefault="00507A67" w:rsidP="00507A67">
      <w:pPr>
        <w:pBdr>
          <w:top w:val="none" w:sz="4" w:space="0" w:color="000000"/>
          <w:left w:val="none" w:sz="4" w:space="0" w:color="000000"/>
          <w:bottom w:val="none" w:sz="4" w:space="0" w:color="000000"/>
          <w:right w:val="none" w:sz="4" w:space="0" w:color="000000"/>
          <w:between w:val="none" w:sz="4" w:space="0" w:color="000000"/>
        </w:pBdr>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s>
        <w:spacing w:before="60" w:after="120" w:line="276" w:lineRule="auto"/>
        <w:rPr>
          <w:rFonts w:ascii="Times New Roman" w:eastAsia="Times New Roman" w:hAnsi="Times New Roman" w:cs="Arial"/>
          <w:color w:val="000000"/>
          <w:szCs w:val="20"/>
        </w:rPr>
      </w:pPr>
    </w:p>
    <w:p w14:paraId="02AAC09A" w14:textId="77777777" w:rsidR="00507A67" w:rsidRPr="00507A67" w:rsidRDefault="00507A67" w:rsidP="00507A67">
      <w:pPr>
        <w:pBdr>
          <w:top w:val="none" w:sz="4" w:space="0" w:color="000000"/>
          <w:left w:val="none" w:sz="4" w:space="0" w:color="000000"/>
          <w:bottom w:val="none" w:sz="4" w:space="0" w:color="000000"/>
          <w:right w:val="none" w:sz="4" w:space="0" w:color="000000"/>
          <w:between w:val="none" w:sz="4" w:space="0" w:color="000000"/>
        </w:pBdr>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s>
        <w:spacing w:before="60" w:after="0" w:line="200" w:lineRule="exact"/>
        <w:rPr>
          <w:rFonts w:ascii="Times New Roman" w:eastAsia="Times New Roman" w:hAnsi="Times New Roman" w:cs="Arial"/>
          <w:color w:val="000000"/>
          <w:sz w:val="20"/>
          <w:szCs w:val="20"/>
        </w:rPr>
      </w:pPr>
    </w:p>
    <w:p w14:paraId="6BAB7343" w14:textId="77777777" w:rsidR="00507A67" w:rsidRPr="00507A67" w:rsidRDefault="00507A67" w:rsidP="00507A67">
      <w:pPr>
        <w:pBdr>
          <w:top w:val="none" w:sz="4" w:space="0" w:color="000000"/>
          <w:left w:val="none" w:sz="4" w:space="0" w:color="000000"/>
          <w:bottom w:val="none" w:sz="4" w:space="0" w:color="000000"/>
          <w:right w:val="none" w:sz="4" w:space="0" w:color="000000"/>
          <w:between w:val="none" w:sz="4" w:space="0" w:color="000000"/>
        </w:pBdr>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 w:val="left" w:pos="2880"/>
        </w:tabs>
        <w:spacing w:before="60" w:after="0" w:line="276" w:lineRule="auto"/>
        <w:ind w:right="-20"/>
        <w:rPr>
          <w:rFonts w:ascii="Times New Roman" w:eastAsia="Times New Roman" w:hAnsi="Times New Roman" w:cs="Arial"/>
          <w:color w:val="000000"/>
          <w:szCs w:val="24"/>
        </w:rPr>
      </w:pPr>
      <w:r w:rsidRPr="00507A67">
        <w:rPr>
          <w:rFonts w:ascii="Arial" w:eastAsia="Times New Roman" w:hAnsi="Arial" w:cs="Arial"/>
          <w:b/>
          <w:color w:val="000000"/>
          <w:spacing w:val="-6"/>
          <w:w w:val="90"/>
          <w:sz w:val="25"/>
          <w:szCs w:val="25"/>
          <w:lang w:val="en-US" w:eastAsia="ja-JP"/>
        </w:rPr>
        <w:t>Document type:</w:t>
      </w:r>
      <w:r w:rsidRPr="00507A67">
        <w:rPr>
          <w:rFonts w:ascii="Times New Roman" w:eastAsia="Times New Roman" w:hAnsi="Times New Roman" w:cs="Arial"/>
          <w:b/>
          <w:bCs/>
          <w:color w:val="000000"/>
          <w:spacing w:val="-20"/>
          <w:szCs w:val="24"/>
        </w:rPr>
        <w:t xml:space="preserve"> </w:t>
      </w:r>
      <w:r w:rsidRPr="00507A67">
        <w:rPr>
          <w:rFonts w:ascii="Times New Roman" w:eastAsia="Times New Roman" w:hAnsi="Times New Roman" w:cs="Arial"/>
          <w:b/>
          <w:bCs/>
          <w:color w:val="000000"/>
          <w:szCs w:val="24"/>
        </w:rPr>
        <w:tab/>
      </w:r>
      <w:r w:rsidRPr="00507A67">
        <w:rPr>
          <w:rFonts w:ascii="Times New Roman" w:eastAsia="Times New Roman" w:hAnsi="Times New Roman" w:cs="Arial"/>
          <w:b/>
          <w:bCs/>
          <w:color w:val="000000"/>
          <w:szCs w:val="24"/>
        </w:rPr>
        <w:tab/>
      </w:r>
      <w:r w:rsidRPr="00507A67">
        <w:rPr>
          <w:rFonts w:ascii="Arial" w:eastAsia="Times New Roman" w:hAnsi="Arial" w:cs="Arial"/>
          <w:b/>
          <w:color w:val="000000"/>
          <w:spacing w:val="-6"/>
          <w:w w:val="90"/>
          <w:sz w:val="25"/>
          <w:szCs w:val="25"/>
          <w:lang w:val="en-US" w:eastAsia="ja-JP"/>
        </w:rPr>
        <w:t>Approved WG 11 document</w:t>
      </w:r>
    </w:p>
    <w:p w14:paraId="2B71CEB3" w14:textId="77777777" w:rsidR="00507A67" w:rsidRPr="00507A67" w:rsidRDefault="00507A67" w:rsidP="00507A67">
      <w:pPr>
        <w:pBdr>
          <w:top w:val="none" w:sz="4" w:space="0" w:color="000000"/>
          <w:left w:val="none" w:sz="4" w:space="0" w:color="000000"/>
          <w:bottom w:val="none" w:sz="4" w:space="0" w:color="000000"/>
          <w:right w:val="none" w:sz="4" w:space="0" w:color="000000"/>
          <w:between w:val="none" w:sz="4" w:space="0" w:color="000000"/>
        </w:pBdr>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 w:val="left" w:pos="2880"/>
        </w:tabs>
        <w:spacing w:before="60" w:after="0" w:line="200" w:lineRule="exact"/>
        <w:rPr>
          <w:rFonts w:ascii="Times New Roman" w:eastAsia="Times New Roman" w:hAnsi="Times New Roman" w:cs="Arial"/>
          <w:color w:val="000000"/>
          <w:sz w:val="20"/>
          <w:szCs w:val="20"/>
        </w:rPr>
      </w:pPr>
    </w:p>
    <w:p w14:paraId="48136F16" w14:textId="77777777" w:rsidR="00507A67" w:rsidRPr="00507A67" w:rsidRDefault="00507A67" w:rsidP="00507A67">
      <w:pPr>
        <w:pBdr>
          <w:top w:val="none" w:sz="4" w:space="0" w:color="000000"/>
          <w:left w:val="none" w:sz="4" w:space="0" w:color="000000"/>
          <w:bottom w:val="none" w:sz="4" w:space="0" w:color="000000"/>
          <w:right w:val="none" w:sz="4" w:space="0" w:color="000000"/>
          <w:between w:val="none" w:sz="4" w:space="0" w:color="000000"/>
        </w:pBdr>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 w:val="left" w:pos="2880"/>
        </w:tabs>
        <w:spacing w:before="15" w:after="0" w:line="200" w:lineRule="exact"/>
        <w:rPr>
          <w:rFonts w:ascii="Times New Roman" w:eastAsia="Times New Roman" w:hAnsi="Times New Roman" w:cs="Arial"/>
          <w:color w:val="000000"/>
          <w:sz w:val="20"/>
          <w:szCs w:val="20"/>
        </w:rPr>
      </w:pPr>
    </w:p>
    <w:p w14:paraId="2C997277" w14:textId="1BDD6F48" w:rsidR="00507A67" w:rsidRPr="00507A67" w:rsidRDefault="00507A67" w:rsidP="00507A67">
      <w:pPr>
        <w:pBdr>
          <w:top w:val="none" w:sz="4" w:space="0" w:color="000000"/>
          <w:left w:val="none" w:sz="4" w:space="0" w:color="000000"/>
          <w:bottom w:val="none" w:sz="4" w:space="0" w:color="000000"/>
          <w:right w:val="none" w:sz="4" w:space="0" w:color="000000"/>
          <w:between w:val="none" w:sz="4" w:space="0" w:color="000000"/>
        </w:pBdr>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 w:val="left" w:pos="2880"/>
        </w:tabs>
        <w:spacing w:before="60" w:after="0" w:line="276" w:lineRule="auto"/>
        <w:ind w:right="-20"/>
        <w:rPr>
          <w:rFonts w:ascii="Arial" w:eastAsia="Times New Roman" w:hAnsi="Arial" w:cs="Arial"/>
          <w:b/>
          <w:color w:val="000000"/>
          <w:spacing w:val="-6"/>
          <w:w w:val="90"/>
          <w:sz w:val="25"/>
          <w:szCs w:val="25"/>
          <w:lang w:val="en-US" w:eastAsia="ja-JP"/>
        </w:rPr>
      </w:pPr>
      <w:r w:rsidRPr="00507A67">
        <w:rPr>
          <w:rFonts w:ascii="Arial" w:eastAsia="Times New Roman" w:hAnsi="Arial" w:cs="Arial"/>
          <w:b/>
          <w:color w:val="000000"/>
          <w:spacing w:val="-6"/>
          <w:w w:val="90"/>
          <w:sz w:val="25"/>
          <w:szCs w:val="25"/>
          <w:lang w:val="en-US" w:eastAsia="ja-JP"/>
        </w:rPr>
        <w:t>Title:</w:t>
      </w:r>
      <w:r w:rsidRPr="00507A67">
        <w:rPr>
          <w:rFonts w:ascii="Times New Roman" w:eastAsia="Times New Roman" w:hAnsi="Times New Roman" w:cs="Arial"/>
          <w:b/>
          <w:bCs/>
          <w:color w:val="000000"/>
          <w:spacing w:val="-6"/>
          <w:szCs w:val="24"/>
        </w:rPr>
        <w:t xml:space="preserve"> </w:t>
      </w:r>
      <w:r w:rsidRPr="00507A67">
        <w:rPr>
          <w:rFonts w:ascii="Times New Roman" w:eastAsia="Times New Roman" w:hAnsi="Times New Roman" w:cs="Arial"/>
          <w:b/>
          <w:bCs/>
          <w:color w:val="000000"/>
          <w:spacing w:val="-6"/>
          <w:szCs w:val="24"/>
        </w:rPr>
        <w:tab/>
      </w:r>
      <w:r w:rsidRPr="00507A67">
        <w:rPr>
          <w:rFonts w:ascii="Times New Roman" w:eastAsia="Times New Roman" w:hAnsi="Times New Roman" w:cs="Arial"/>
          <w:b/>
          <w:bCs/>
          <w:color w:val="000000"/>
          <w:spacing w:val="-6"/>
          <w:szCs w:val="24"/>
        </w:rPr>
        <w:tab/>
      </w:r>
      <w:r w:rsidRPr="00507A67">
        <w:rPr>
          <w:rFonts w:ascii="Arial" w:eastAsia="Times New Roman" w:hAnsi="Arial" w:cs="Arial"/>
          <w:b/>
          <w:color w:val="000000"/>
          <w:spacing w:val="-6"/>
          <w:w w:val="90"/>
          <w:sz w:val="25"/>
          <w:szCs w:val="25"/>
          <w:lang w:val="en-US" w:eastAsia="ja-JP"/>
        </w:rPr>
        <w:t>WD of V3C and V-PCC (2nd Edition)</w:t>
      </w:r>
    </w:p>
    <w:p w14:paraId="15C9000C" w14:textId="77777777" w:rsidR="00507A67" w:rsidRPr="00507A67" w:rsidRDefault="00507A67" w:rsidP="00507A67">
      <w:pPr>
        <w:pBdr>
          <w:top w:val="none" w:sz="4" w:space="0" w:color="000000"/>
          <w:left w:val="none" w:sz="4" w:space="0" w:color="000000"/>
          <w:bottom w:val="none" w:sz="4" w:space="0" w:color="000000"/>
          <w:right w:val="none" w:sz="4" w:space="0" w:color="000000"/>
          <w:between w:val="none" w:sz="4" w:space="0" w:color="000000"/>
        </w:pBdr>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 w:val="left" w:pos="2880"/>
        </w:tabs>
        <w:spacing w:before="60" w:after="0" w:line="200" w:lineRule="exact"/>
        <w:rPr>
          <w:rFonts w:ascii="Times New Roman" w:eastAsia="Times New Roman" w:hAnsi="Times New Roman" w:cs="Arial"/>
          <w:color w:val="000000"/>
          <w:sz w:val="20"/>
          <w:szCs w:val="20"/>
        </w:rPr>
      </w:pPr>
    </w:p>
    <w:p w14:paraId="5B138468" w14:textId="77777777" w:rsidR="00507A67" w:rsidRPr="00507A67" w:rsidRDefault="00507A67" w:rsidP="00507A67">
      <w:pPr>
        <w:pBdr>
          <w:top w:val="none" w:sz="4" w:space="0" w:color="000000"/>
          <w:left w:val="none" w:sz="4" w:space="0" w:color="000000"/>
          <w:bottom w:val="none" w:sz="4" w:space="0" w:color="000000"/>
          <w:right w:val="none" w:sz="4" w:space="0" w:color="000000"/>
          <w:between w:val="none" w:sz="4" w:space="0" w:color="000000"/>
        </w:pBdr>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 w:val="left" w:pos="2880"/>
        </w:tabs>
        <w:spacing w:before="60" w:after="0" w:line="200" w:lineRule="exact"/>
        <w:rPr>
          <w:rFonts w:ascii="Times New Roman" w:eastAsia="Times New Roman" w:hAnsi="Times New Roman" w:cs="Arial"/>
          <w:color w:val="000000"/>
          <w:sz w:val="20"/>
          <w:szCs w:val="20"/>
        </w:rPr>
      </w:pPr>
    </w:p>
    <w:p w14:paraId="16CB5E87" w14:textId="77777777" w:rsidR="00507A67" w:rsidRPr="00507A67" w:rsidRDefault="00507A67" w:rsidP="00507A67">
      <w:pPr>
        <w:pBdr>
          <w:top w:val="none" w:sz="4" w:space="0" w:color="000000"/>
          <w:left w:val="none" w:sz="4" w:space="0" w:color="000000"/>
          <w:bottom w:val="none" w:sz="4" w:space="0" w:color="000000"/>
          <w:right w:val="none" w:sz="4" w:space="0" w:color="000000"/>
          <w:between w:val="none" w:sz="4" w:space="0" w:color="000000"/>
        </w:pBdr>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 w:val="left" w:pos="2880"/>
        </w:tabs>
        <w:spacing w:before="60" w:after="0" w:line="276" w:lineRule="auto"/>
        <w:ind w:right="-20"/>
        <w:rPr>
          <w:rFonts w:ascii="Times New Roman" w:eastAsia="Times New Roman" w:hAnsi="Times New Roman" w:cs="Arial"/>
          <w:b/>
          <w:bCs/>
          <w:color w:val="000000"/>
          <w:spacing w:val="-6"/>
          <w:szCs w:val="24"/>
        </w:rPr>
      </w:pPr>
      <w:r w:rsidRPr="00507A67">
        <w:rPr>
          <w:rFonts w:ascii="Arial" w:eastAsia="Times New Roman" w:hAnsi="Arial" w:cs="Arial"/>
          <w:b/>
          <w:color w:val="000000"/>
          <w:spacing w:val="-6"/>
          <w:w w:val="90"/>
          <w:sz w:val="25"/>
          <w:szCs w:val="25"/>
          <w:lang w:val="en-US" w:eastAsia="ja-JP"/>
        </w:rPr>
        <w:t>Status:</w:t>
      </w:r>
      <w:r w:rsidRPr="00507A67">
        <w:rPr>
          <w:rFonts w:ascii="Times New Roman" w:eastAsia="Times New Roman" w:hAnsi="Times New Roman" w:cs="Arial"/>
          <w:b/>
          <w:bCs/>
          <w:color w:val="000000"/>
          <w:spacing w:val="-6"/>
          <w:szCs w:val="24"/>
        </w:rPr>
        <w:tab/>
      </w:r>
      <w:r w:rsidRPr="00507A67">
        <w:rPr>
          <w:rFonts w:ascii="Times New Roman" w:eastAsia="Times New Roman" w:hAnsi="Times New Roman" w:cs="Arial"/>
          <w:b/>
          <w:bCs/>
          <w:color w:val="000000"/>
          <w:spacing w:val="-6"/>
          <w:szCs w:val="24"/>
        </w:rPr>
        <w:tab/>
      </w:r>
      <w:r w:rsidRPr="00507A67">
        <w:rPr>
          <w:rFonts w:ascii="Arial" w:eastAsia="Times New Roman" w:hAnsi="Arial" w:cs="Arial"/>
          <w:b/>
          <w:color w:val="000000"/>
          <w:spacing w:val="-6"/>
          <w:w w:val="90"/>
          <w:sz w:val="25"/>
          <w:szCs w:val="25"/>
          <w:lang w:val="en-US" w:eastAsia="ja-JP"/>
        </w:rPr>
        <w:t xml:space="preserve">Approved </w:t>
      </w:r>
    </w:p>
    <w:p w14:paraId="12F6253B" w14:textId="77777777" w:rsidR="00507A67" w:rsidRPr="00507A67" w:rsidRDefault="00507A67" w:rsidP="00507A67">
      <w:pPr>
        <w:pBdr>
          <w:top w:val="none" w:sz="4" w:space="0" w:color="000000"/>
          <w:left w:val="none" w:sz="4" w:space="0" w:color="000000"/>
          <w:bottom w:val="none" w:sz="4" w:space="0" w:color="000000"/>
          <w:right w:val="none" w:sz="4" w:space="0" w:color="000000"/>
          <w:between w:val="none" w:sz="4" w:space="0" w:color="000000"/>
        </w:pBdr>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 w:val="left" w:pos="2880"/>
        </w:tabs>
        <w:spacing w:before="60" w:after="0" w:line="200" w:lineRule="exact"/>
        <w:rPr>
          <w:rFonts w:ascii="Times New Roman" w:eastAsia="Times New Roman" w:hAnsi="Times New Roman" w:cs="Arial"/>
          <w:color w:val="000000"/>
          <w:sz w:val="20"/>
          <w:szCs w:val="20"/>
        </w:rPr>
      </w:pPr>
    </w:p>
    <w:p w14:paraId="07FF0727" w14:textId="77777777" w:rsidR="00507A67" w:rsidRPr="00507A67" w:rsidRDefault="00507A67" w:rsidP="00507A67">
      <w:pPr>
        <w:pBdr>
          <w:top w:val="none" w:sz="4" w:space="0" w:color="000000"/>
          <w:left w:val="none" w:sz="4" w:space="0" w:color="000000"/>
          <w:bottom w:val="none" w:sz="4" w:space="0" w:color="000000"/>
          <w:right w:val="none" w:sz="4" w:space="0" w:color="000000"/>
          <w:between w:val="none" w:sz="4" w:space="0" w:color="000000"/>
        </w:pBdr>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 w:val="left" w:pos="2880"/>
        </w:tabs>
        <w:spacing w:before="60" w:after="0" w:line="200" w:lineRule="exact"/>
        <w:rPr>
          <w:rFonts w:ascii="Times New Roman" w:eastAsia="Times New Roman" w:hAnsi="Times New Roman" w:cs="Arial"/>
          <w:color w:val="000000"/>
          <w:sz w:val="20"/>
          <w:szCs w:val="20"/>
        </w:rPr>
      </w:pPr>
    </w:p>
    <w:p w14:paraId="5DC217EA" w14:textId="2EFBECC2" w:rsidR="00507A67" w:rsidRPr="00507A67" w:rsidRDefault="00507A67" w:rsidP="00507A67">
      <w:pPr>
        <w:pBdr>
          <w:top w:val="none" w:sz="4" w:space="0" w:color="000000"/>
          <w:left w:val="none" w:sz="4" w:space="0" w:color="000000"/>
          <w:bottom w:val="none" w:sz="4" w:space="0" w:color="000000"/>
          <w:right w:val="none" w:sz="4" w:space="0" w:color="000000"/>
          <w:between w:val="none" w:sz="4" w:space="0" w:color="000000"/>
        </w:pBdr>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 w:val="left" w:pos="2880"/>
        </w:tabs>
        <w:spacing w:before="60" w:after="0" w:line="276" w:lineRule="auto"/>
        <w:ind w:right="-20"/>
        <w:rPr>
          <w:rFonts w:ascii="Times New Roman" w:eastAsia="Times New Roman" w:hAnsi="Times New Roman" w:cs="Arial"/>
          <w:b/>
          <w:bCs/>
          <w:color w:val="000000"/>
          <w:spacing w:val="-6"/>
          <w:szCs w:val="24"/>
        </w:rPr>
      </w:pPr>
      <w:r w:rsidRPr="00507A67">
        <w:rPr>
          <w:rFonts w:ascii="Arial" w:eastAsia="Times New Roman" w:hAnsi="Arial" w:cs="Arial"/>
          <w:b/>
          <w:color w:val="000000"/>
          <w:spacing w:val="-6"/>
          <w:w w:val="90"/>
          <w:sz w:val="25"/>
          <w:szCs w:val="25"/>
          <w:lang w:val="en-US" w:eastAsia="ja-JP"/>
        </w:rPr>
        <w:t>Date of document</w:t>
      </w:r>
      <w:r w:rsidRPr="00507A67">
        <w:rPr>
          <w:rFonts w:ascii="Times New Roman" w:eastAsia="Times New Roman" w:hAnsi="Times New Roman" w:cs="Arial"/>
          <w:b/>
          <w:bCs/>
          <w:color w:val="000000"/>
          <w:spacing w:val="-6"/>
          <w:szCs w:val="24"/>
        </w:rPr>
        <w:t>:</w:t>
      </w:r>
      <w:r w:rsidRPr="00507A67">
        <w:rPr>
          <w:rFonts w:ascii="Times New Roman" w:eastAsia="Times New Roman" w:hAnsi="Times New Roman" w:cs="Arial"/>
          <w:b/>
          <w:bCs/>
          <w:color w:val="000000"/>
          <w:spacing w:val="-6"/>
          <w:szCs w:val="24"/>
        </w:rPr>
        <w:tab/>
      </w:r>
      <w:r w:rsidRPr="00507A67">
        <w:rPr>
          <w:rFonts w:ascii="Times New Roman" w:eastAsia="Times New Roman" w:hAnsi="Times New Roman" w:cs="Arial"/>
          <w:b/>
          <w:bCs/>
          <w:color w:val="000000"/>
          <w:spacing w:val="-6"/>
          <w:szCs w:val="24"/>
        </w:rPr>
        <w:tab/>
      </w:r>
      <w:r w:rsidRPr="00507A67">
        <w:rPr>
          <w:rFonts w:ascii="Arial" w:eastAsia="Times New Roman" w:hAnsi="Arial" w:cs="Arial"/>
          <w:b/>
          <w:color w:val="000000"/>
          <w:spacing w:val="-6"/>
          <w:w w:val="90"/>
          <w:sz w:val="25"/>
          <w:szCs w:val="25"/>
          <w:lang w:val="en-US" w:eastAsia="ja-JP"/>
        </w:rPr>
        <w:t>2020-0</w:t>
      </w:r>
      <w:r>
        <w:rPr>
          <w:rFonts w:ascii="Arial" w:eastAsia="Times New Roman" w:hAnsi="Arial" w:cs="Arial"/>
          <w:b/>
          <w:color w:val="000000"/>
          <w:spacing w:val="-6"/>
          <w:w w:val="90"/>
          <w:sz w:val="25"/>
          <w:szCs w:val="25"/>
          <w:lang w:val="en-US" w:eastAsia="ja-JP"/>
        </w:rPr>
        <w:t>9</w:t>
      </w:r>
      <w:r w:rsidRPr="00507A67">
        <w:rPr>
          <w:rFonts w:ascii="Arial" w:eastAsia="Times New Roman" w:hAnsi="Arial" w:cs="Arial"/>
          <w:b/>
          <w:color w:val="000000"/>
          <w:spacing w:val="-6"/>
          <w:w w:val="90"/>
          <w:sz w:val="25"/>
          <w:szCs w:val="25"/>
          <w:lang w:val="en-US" w:eastAsia="ja-JP"/>
        </w:rPr>
        <w:t>-</w:t>
      </w:r>
      <w:r>
        <w:rPr>
          <w:rFonts w:ascii="Arial" w:eastAsia="Times New Roman" w:hAnsi="Arial" w:cs="Arial"/>
          <w:b/>
          <w:color w:val="000000"/>
          <w:spacing w:val="-6"/>
          <w:w w:val="90"/>
          <w:sz w:val="25"/>
          <w:szCs w:val="25"/>
          <w:lang w:val="en-US" w:eastAsia="ja-JP"/>
        </w:rPr>
        <w:t>28</w:t>
      </w:r>
    </w:p>
    <w:p w14:paraId="7A1C6769" w14:textId="77777777" w:rsidR="00507A67" w:rsidRPr="00507A67" w:rsidRDefault="00507A67" w:rsidP="00507A67">
      <w:pPr>
        <w:pBdr>
          <w:top w:val="none" w:sz="4" w:space="0" w:color="000000"/>
          <w:left w:val="none" w:sz="4" w:space="0" w:color="000000"/>
          <w:bottom w:val="none" w:sz="4" w:space="0" w:color="000000"/>
          <w:right w:val="none" w:sz="4" w:space="0" w:color="000000"/>
          <w:between w:val="none" w:sz="4" w:space="0" w:color="000000"/>
        </w:pBdr>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 w:val="left" w:pos="2880"/>
        </w:tabs>
        <w:spacing w:before="60" w:after="0" w:line="200" w:lineRule="exact"/>
        <w:rPr>
          <w:rFonts w:ascii="Times New Roman" w:eastAsia="Times New Roman" w:hAnsi="Times New Roman" w:cs="Arial"/>
          <w:color w:val="000000"/>
          <w:sz w:val="20"/>
          <w:szCs w:val="20"/>
        </w:rPr>
      </w:pPr>
    </w:p>
    <w:p w14:paraId="2EB82D91" w14:textId="77777777" w:rsidR="00507A67" w:rsidRPr="00507A67" w:rsidRDefault="00507A67" w:rsidP="00507A67">
      <w:pPr>
        <w:pBdr>
          <w:top w:val="none" w:sz="4" w:space="0" w:color="000000"/>
          <w:left w:val="none" w:sz="4" w:space="0" w:color="000000"/>
          <w:bottom w:val="none" w:sz="4" w:space="0" w:color="000000"/>
          <w:right w:val="none" w:sz="4" w:space="0" w:color="000000"/>
          <w:between w:val="none" w:sz="4" w:space="0" w:color="000000"/>
        </w:pBdr>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 w:val="left" w:pos="2880"/>
        </w:tabs>
        <w:spacing w:before="60" w:after="0" w:line="200" w:lineRule="exact"/>
        <w:rPr>
          <w:rFonts w:ascii="Times New Roman" w:eastAsia="Times New Roman" w:hAnsi="Times New Roman" w:cs="Arial"/>
          <w:color w:val="000000"/>
          <w:sz w:val="20"/>
          <w:szCs w:val="20"/>
        </w:rPr>
      </w:pPr>
    </w:p>
    <w:p w14:paraId="6AB8E86B" w14:textId="77777777" w:rsidR="00507A67" w:rsidRPr="00507A67" w:rsidRDefault="00507A67" w:rsidP="00507A67">
      <w:pPr>
        <w:pBdr>
          <w:top w:val="none" w:sz="4" w:space="0" w:color="000000"/>
          <w:left w:val="none" w:sz="4" w:space="0" w:color="000000"/>
          <w:bottom w:val="none" w:sz="4" w:space="0" w:color="000000"/>
          <w:right w:val="none" w:sz="4" w:space="0" w:color="000000"/>
          <w:between w:val="none" w:sz="4" w:space="0" w:color="000000"/>
        </w:pBdr>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 w:val="left" w:pos="2880"/>
        </w:tabs>
        <w:spacing w:before="60" w:after="0" w:line="276" w:lineRule="auto"/>
        <w:ind w:right="-20"/>
        <w:rPr>
          <w:rFonts w:ascii="Times New Roman" w:eastAsia="Times New Roman" w:hAnsi="Times New Roman" w:cs="Arial"/>
          <w:b/>
          <w:bCs/>
          <w:color w:val="000000"/>
          <w:spacing w:val="-6"/>
          <w:szCs w:val="24"/>
          <w:lang w:val="en-US"/>
        </w:rPr>
      </w:pPr>
      <w:r w:rsidRPr="00507A67">
        <w:rPr>
          <w:rFonts w:ascii="Arial" w:eastAsia="Times New Roman" w:hAnsi="Arial" w:cs="Arial"/>
          <w:b/>
          <w:color w:val="000000"/>
          <w:spacing w:val="-6"/>
          <w:w w:val="90"/>
          <w:sz w:val="25"/>
          <w:szCs w:val="25"/>
          <w:lang w:val="en-US" w:eastAsia="ja-JP"/>
        </w:rPr>
        <w:t>Source:</w:t>
      </w:r>
      <w:r w:rsidRPr="00507A67">
        <w:rPr>
          <w:rFonts w:ascii="Times New Roman" w:eastAsia="Times New Roman" w:hAnsi="Times New Roman" w:cs="Arial"/>
          <w:b/>
          <w:bCs/>
          <w:color w:val="000000"/>
          <w:spacing w:val="-6"/>
          <w:szCs w:val="24"/>
        </w:rPr>
        <w:t xml:space="preserve"> </w:t>
      </w:r>
      <w:r w:rsidRPr="00507A67">
        <w:rPr>
          <w:rFonts w:ascii="Times New Roman" w:eastAsia="Times New Roman" w:hAnsi="Times New Roman" w:cs="Arial"/>
          <w:b/>
          <w:bCs/>
          <w:color w:val="000000"/>
          <w:spacing w:val="-6"/>
          <w:szCs w:val="24"/>
        </w:rPr>
        <w:tab/>
      </w:r>
      <w:r w:rsidRPr="00507A67">
        <w:rPr>
          <w:rFonts w:ascii="Times New Roman" w:eastAsia="Times New Roman" w:hAnsi="Times New Roman" w:cs="Arial"/>
          <w:b/>
          <w:bCs/>
          <w:color w:val="000000"/>
          <w:spacing w:val="-6"/>
          <w:szCs w:val="24"/>
        </w:rPr>
        <w:tab/>
      </w:r>
      <w:r w:rsidRPr="00507A67">
        <w:rPr>
          <w:rFonts w:ascii="Arial" w:eastAsia="Times New Roman" w:hAnsi="Arial" w:cs="Arial"/>
          <w:b/>
          <w:color w:val="000000"/>
          <w:spacing w:val="-6"/>
          <w:w w:val="90"/>
          <w:sz w:val="25"/>
          <w:szCs w:val="25"/>
          <w:lang w:val="en-US" w:eastAsia="ja-JP"/>
        </w:rPr>
        <w:t>Convenor, ISO/IEC JTC 1/S</w:t>
      </w:r>
      <w:bookmarkStart w:id="0" w:name="_GoBack"/>
      <w:bookmarkEnd w:id="0"/>
      <w:r w:rsidRPr="00507A67">
        <w:rPr>
          <w:rFonts w:ascii="Arial" w:eastAsia="Times New Roman" w:hAnsi="Arial" w:cs="Arial"/>
          <w:b/>
          <w:color w:val="000000"/>
          <w:spacing w:val="-6"/>
          <w:w w:val="90"/>
          <w:sz w:val="25"/>
          <w:szCs w:val="25"/>
          <w:lang w:val="en-US" w:eastAsia="ja-JP"/>
        </w:rPr>
        <w:t>C 29/WG 11</w:t>
      </w:r>
    </w:p>
    <w:p w14:paraId="52B93B6B" w14:textId="77777777" w:rsidR="00507A67" w:rsidRPr="00507A67" w:rsidRDefault="00507A67" w:rsidP="00507A67">
      <w:pPr>
        <w:pBdr>
          <w:top w:val="none" w:sz="4" w:space="0" w:color="000000"/>
          <w:left w:val="none" w:sz="4" w:space="0" w:color="000000"/>
          <w:bottom w:val="none" w:sz="4" w:space="0" w:color="000000"/>
          <w:right w:val="none" w:sz="4" w:space="0" w:color="000000"/>
          <w:between w:val="none" w:sz="4" w:space="0" w:color="000000"/>
        </w:pBdr>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 w:val="left" w:pos="2880"/>
        </w:tabs>
        <w:spacing w:before="60" w:after="0" w:line="276" w:lineRule="auto"/>
        <w:ind w:left="124" w:right="-20"/>
        <w:rPr>
          <w:rFonts w:ascii="Times New Roman" w:eastAsia="Times New Roman" w:hAnsi="Times New Roman" w:cs="Arial"/>
          <w:color w:val="000000"/>
          <w:sz w:val="20"/>
          <w:szCs w:val="20"/>
        </w:rPr>
      </w:pPr>
    </w:p>
    <w:p w14:paraId="27295CF4" w14:textId="77777777" w:rsidR="00507A67" w:rsidRPr="00507A67" w:rsidRDefault="00507A67" w:rsidP="00507A67">
      <w:pPr>
        <w:pBdr>
          <w:top w:val="none" w:sz="4" w:space="0" w:color="000000"/>
          <w:left w:val="none" w:sz="4" w:space="0" w:color="000000"/>
          <w:bottom w:val="none" w:sz="4" w:space="0" w:color="000000"/>
          <w:right w:val="none" w:sz="4" w:space="0" w:color="000000"/>
          <w:between w:val="none" w:sz="4" w:space="0" w:color="000000"/>
        </w:pBdr>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 w:val="left" w:pos="2880"/>
        </w:tabs>
        <w:spacing w:before="60" w:after="0" w:line="200" w:lineRule="exact"/>
        <w:rPr>
          <w:rFonts w:ascii="Times New Roman" w:eastAsia="Times New Roman" w:hAnsi="Times New Roman" w:cs="Arial"/>
          <w:color w:val="000000"/>
          <w:sz w:val="20"/>
          <w:szCs w:val="20"/>
        </w:rPr>
      </w:pPr>
    </w:p>
    <w:p w14:paraId="78DFB163" w14:textId="756BCE10" w:rsidR="00507A67" w:rsidRPr="00507A67" w:rsidRDefault="00507A67" w:rsidP="00507A67">
      <w:pPr>
        <w:pBdr>
          <w:top w:val="none" w:sz="4" w:space="0" w:color="000000"/>
          <w:left w:val="none" w:sz="4" w:space="0" w:color="000000"/>
          <w:bottom w:val="none" w:sz="4" w:space="0" w:color="000000"/>
          <w:right w:val="none" w:sz="4" w:space="0" w:color="000000"/>
          <w:between w:val="none" w:sz="4" w:space="0" w:color="000000"/>
        </w:pBdr>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 w:val="left" w:pos="2880"/>
        </w:tabs>
        <w:spacing w:before="60" w:after="0" w:line="276" w:lineRule="auto"/>
        <w:ind w:right="-20"/>
        <w:rPr>
          <w:rFonts w:ascii="Arial" w:eastAsia="Times New Roman" w:hAnsi="Arial" w:cs="Arial"/>
          <w:b/>
          <w:color w:val="000000"/>
          <w:spacing w:val="-6"/>
          <w:w w:val="90"/>
          <w:sz w:val="25"/>
          <w:szCs w:val="25"/>
          <w:lang w:val="en-US" w:eastAsia="ja-JP"/>
        </w:rPr>
      </w:pPr>
      <w:r w:rsidRPr="00507A67">
        <w:rPr>
          <w:rFonts w:ascii="Arial" w:eastAsia="Times New Roman" w:hAnsi="Arial" w:cs="Arial"/>
          <w:b/>
          <w:color w:val="000000"/>
          <w:spacing w:val="-6"/>
          <w:w w:val="90"/>
          <w:sz w:val="25"/>
          <w:szCs w:val="25"/>
          <w:lang w:val="en-US" w:eastAsia="ja-JP"/>
        </w:rPr>
        <w:t>No. of Pages</w:t>
      </w:r>
      <w:r w:rsidRPr="00507A67">
        <w:rPr>
          <w:rFonts w:ascii="Arial" w:eastAsia="Times New Roman" w:hAnsi="Arial" w:cs="Arial"/>
          <w:b/>
          <w:color w:val="000000"/>
          <w:spacing w:val="-6"/>
          <w:w w:val="90"/>
          <w:sz w:val="25"/>
          <w:szCs w:val="25"/>
          <w:lang w:val="en-US"/>
        </w:rPr>
        <w:t>:</w:t>
      </w:r>
      <w:r w:rsidRPr="00507A67">
        <w:rPr>
          <w:rFonts w:ascii="Times New Roman" w:eastAsia="Times New Roman" w:hAnsi="Times New Roman" w:cs="Arial"/>
          <w:b/>
          <w:bCs/>
          <w:color w:val="000000"/>
          <w:szCs w:val="24"/>
        </w:rPr>
        <w:tab/>
      </w:r>
      <w:r w:rsidRPr="00507A67">
        <w:rPr>
          <w:rFonts w:ascii="Times New Roman" w:eastAsia="Times New Roman" w:hAnsi="Times New Roman" w:cs="Arial"/>
          <w:b/>
          <w:bCs/>
          <w:color w:val="000000"/>
          <w:szCs w:val="24"/>
        </w:rPr>
        <w:tab/>
      </w:r>
      <w:r w:rsidRPr="00507A67">
        <w:rPr>
          <w:rFonts w:ascii="Arial" w:eastAsia="Times New Roman" w:hAnsi="Arial" w:cs="Arial"/>
          <w:b/>
          <w:color w:val="000000"/>
          <w:spacing w:val="-6"/>
          <w:w w:val="90"/>
          <w:sz w:val="25"/>
          <w:szCs w:val="25"/>
          <w:lang w:val="en-US" w:eastAsia="ja-JP"/>
        </w:rPr>
        <w:fldChar w:fldCharType="begin"/>
      </w:r>
      <w:r w:rsidRPr="00507A67">
        <w:rPr>
          <w:rFonts w:ascii="Arial" w:eastAsia="Times New Roman" w:hAnsi="Arial" w:cs="Arial"/>
          <w:b/>
          <w:color w:val="000000"/>
          <w:spacing w:val="-6"/>
          <w:w w:val="90"/>
          <w:sz w:val="25"/>
          <w:szCs w:val="25"/>
          <w:lang w:val="en-US" w:eastAsia="ja-JP"/>
        </w:rPr>
        <w:instrText xml:space="preserve"> NUMPAGES   \* MERGEFORMAT </w:instrText>
      </w:r>
      <w:r w:rsidRPr="00507A67">
        <w:rPr>
          <w:rFonts w:ascii="Arial" w:eastAsia="Times New Roman" w:hAnsi="Arial" w:cs="Arial"/>
          <w:b/>
          <w:color w:val="000000"/>
          <w:spacing w:val="-6"/>
          <w:w w:val="90"/>
          <w:sz w:val="25"/>
          <w:szCs w:val="25"/>
          <w:lang w:val="en-US" w:eastAsia="ja-JP"/>
        </w:rPr>
        <w:fldChar w:fldCharType="separate"/>
      </w:r>
      <w:r>
        <w:rPr>
          <w:rFonts w:ascii="Arial" w:eastAsia="Times New Roman" w:hAnsi="Arial" w:cs="Arial"/>
          <w:b/>
          <w:noProof/>
          <w:color w:val="000000"/>
          <w:spacing w:val="-6"/>
          <w:w w:val="90"/>
          <w:sz w:val="25"/>
          <w:szCs w:val="25"/>
          <w:lang w:val="en-US" w:eastAsia="ja-JP"/>
        </w:rPr>
        <w:t>361</w:t>
      </w:r>
      <w:r w:rsidRPr="00507A67">
        <w:rPr>
          <w:rFonts w:ascii="Arial" w:eastAsia="Times New Roman" w:hAnsi="Arial" w:cs="Arial"/>
          <w:b/>
          <w:color w:val="000000"/>
          <w:spacing w:val="-6"/>
          <w:w w:val="90"/>
          <w:sz w:val="25"/>
          <w:szCs w:val="25"/>
          <w:lang w:val="en-US" w:eastAsia="ja-JP"/>
        </w:rPr>
        <w:fldChar w:fldCharType="end"/>
      </w:r>
    </w:p>
    <w:p w14:paraId="38A51E5F" w14:textId="77777777" w:rsidR="00507A67" w:rsidRPr="00507A67" w:rsidRDefault="00507A67" w:rsidP="00507A67">
      <w:pPr>
        <w:pBdr>
          <w:top w:val="none" w:sz="4" w:space="0" w:color="000000"/>
          <w:left w:val="none" w:sz="4" w:space="0" w:color="000000"/>
          <w:bottom w:val="none" w:sz="4" w:space="0" w:color="000000"/>
          <w:right w:val="none" w:sz="4" w:space="0" w:color="000000"/>
          <w:between w:val="none" w:sz="4" w:space="0" w:color="000000"/>
        </w:pBdr>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 w:val="left" w:pos="2880"/>
        </w:tabs>
        <w:spacing w:before="60" w:after="0" w:line="200" w:lineRule="exact"/>
        <w:rPr>
          <w:rFonts w:ascii="Times New Roman" w:eastAsia="Times New Roman" w:hAnsi="Times New Roman" w:cs="Arial"/>
          <w:color w:val="000000"/>
          <w:sz w:val="20"/>
          <w:szCs w:val="20"/>
        </w:rPr>
      </w:pPr>
    </w:p>
    <w:p w14:paraId="318B02A5" w14:textId="77777777" w:rsidR="00507A67" w:rsidRPr="00507A67" w:rsidRDefault="00507A67" w:rsidP="00507A67">
      <w:pPr>
        <w:pBdr>
          <w:top w:val="none" w:sz="4" w:space="0" w:color="000000"/>
          <w:left w:val="none" w:sz="4" w:space="0" w:color="000000"/>
          <w:bottom w:val="none" w:sz="4" w:space="0" w:color="000000"/>
          <w:right w:val="none" w:sz="4" w:space="0" w:color="000000"/>
          <w:between w:val="none" w:sz="4" w:space="0" w:color="000000"/>
        </w:pBdr>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 w:val="left" w:pos="2880"/>
        </w:tabs>
        <w:spacing w:before="15" w:after="0" w:line="200" w:lineRule="exact"/>
        <w:rPr>
          <w:rFonts w:ascii="Times New Roman" w:eastAsia="Times New Roman" w:hAnsi="Times New Roman" w:cs="Arial"/>
          <w:color w:val="000000"/>
          <w:sz w:val="20"/>
          <w:szCs w:val="20"/>
        </w:rPr>
      </w:pPr>
    </w:p>
    <w:p w14:paraId="3CF14F81" w14:textId="77777777" w:rsidR="00507A67" w:rsidRPr="00507A67" w:rsidRDefault="00507A67" w:rsidP="00507A67">
      <w:pPr>
        <w:pBdr>
          <w:top w:val="none" w:sz="4" w:space="0" w:color="000000"/>
          <w:left w:val="none" w:sz="4" w:space="0" w:color="000000"/>
          <w:bottom w:val="none" w:sz="4" w:space="0" w:color="000000"/>
          <w:right w:val="none" w:sz="4" w:space="0" w:color="000000"/>
          <w:between w:val="none" w:sz="4" w:space="0" w:color="000000"/>
        </w:pBdr>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 w:val="left" w:pos="2880"/>
        </w:tabs>
        <w:spacing w:before="60" w:after="0" w:line="276" w:lineRule="auto"/>
        <w:ind w:right="-20"/>
        <w:rPr>
          <w:rFonts w:ascii="Times New Roman" w:eastAsia="Times New Roman" w:hAnsi="Times New Roman" w:cs="Arial"/>
          <w:b/>
          <w:bCs/>
          <w:color w:val="000000"/>
          <w:szCs w:val="24"/>
          <w:u w:val="single"/>
          <w:lang w:val="en-US"/>
        </w:rPr>
      </w:pPr>
      <w:r w:rsidRPr="00507A67">
        <w:rPr>
          <w:rFonts w:ascii="Arial" w:eastAsia="Arial" w:hAnsi="Arial" w:cs="Arial"/>
          <w:b/>
          <w:color w:val="000000"/>
          <w:sz w:val="25"/>
          <w:szCs w:val="20"/>
          <w:lang w:val="en-US"/>
        </w:rPr>
        <w:t>Email of acting convenor</w:t>
      </w:r>
      <w:r w:rsidRPr="00507A67">
        <w:rPr>
          <w:rFonts w:ascii="Times New Roman" w:eastAsia="Times New Roman" w:hAnsi="Times New Roman" w:cs="Arial"/>
          <w:b/>
          <w:bCs/>
          <w:color w:val="000000"/>
          <w:szCs w:val="24"/>
        </w:rPr>
        <w:t xml:space="preserve">: </w:t>
      </w:r>
      <w:r w:rsidRPr="00507A67">
        <w:rPr>
          <w:rFonts w:ascii="Times New Roman" w:eastAsia="Times New Roman" w:hAnsi="Times New Roman" w:cs="Arial"/>
          <w:b/>
          <w:bCs/>
          <w:color w:val="000000"/>
          <w:szCs w:val="24"/>
        </w:rPr>
        <w:tab/>
      </w:r>
      <w:r w:rsidRPr="00507A67">
        <w:rPr>
          <w:rFonts w:ascii="Arial" w:eastAsia="Times New Roman" w:hAnsi="Arial" w:cs="Arial"/>
          <w:color w:val="0563C1"/>
          <w:sz w:val="25"/>
          <w:szCs w:val="25"/>
          <w:u w:val="single"/>
          <w:lang w:val="en-US"/>
        </w:rPr>
        <w:t>ostermann@tnt.uni-hannover.de</w:t>
      </w:r>
    </w:p>
    <w:p w14:paraId="1083E05B" w14:textId="77777777" w:rsidR="00507A67" w:rsidRPr="00507A67" w:rsidRDefault="00507A67" w:rsidP="00507A67">
      <w:pPr>
        <w:pBdr>
          <w:top w:val="none" w:sz="4" w:space="0" w:color="000000"/>
          <w:left w:val="none" w:sz="4" w:space="0" w:color="000000"/>
          <w:bottom w:val="none" w:sz="4" w:space="0" w:color="000000"/>
          <w:right w:val="none" w:sz="4" w:space="0" w:color="000000"/>
          <w:between w:val="none" w:sz="4" w:space="0" w:color="000000"/>
        </w:pBdr>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 w:val="left" w:pos="2880"/>
        </w:tabs>
        <w:spacing w:before="60" w:after="0" w:line="276" w:lineRule="auto"/>
        <w:ind w:left="124" w:right="-20"/>
        <w:rPr>
          <w:rFonts w:ascii="Times New Roman" w:eastAsia="Times New Roman" w:hAnsi="Times New Roman" w:cs="Arial"/>
          <w:color w:val="000000"/>
          <w:sz w:val="20"/>
          <w:szCs w:val="20"/>
        </w:rPr>
      </w:pPr>
      <w:r w:rsidRPr="00507A67">
        <w:rPr>
          <w:rFonts w:ascii="Times New Roman" w:eastAsia="Times New Roman" w:hAnsi="Times New Roman" w:cs="Arial"/>
          <w:b/>
          <w:bCs/>
          <w:color w:val="000000"/>
          <w:szCs w:val="24"/>
        </w:rPr>
        <w:t xml:space="preserve"> </w:t>
      </w:r>
    </w:p>
    <w:p w14:paraId="2E42CA64" w14:textId="77777777" w:rsidR="00507A67" w:rsidRPr="00507A67" w:rsidRDefault="00507A67" w:rsidP="00507A67">
      <w:pPr>
        <w:pBdr>
          <w:top w:val="none" w:sz="4" w:space="0" w:color="000000"/>
          <w:left w:val="none" w:sz="4" w:space="0" w:color="000000"/>
          <w:bottom w:val="none" w:sz="4" w:space="0" w:color="000000"/>
          <w:right w:val="none" w:sz="4" w:space="0" w:color="000000"/>
          <w:between w:val="none" w:sz="4" w:space="0" w:color="000000"/>
        </w:pBdr>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 w:val="left" w:pos="2880"/>
        </w:tabs>
        <w:spacing w:before="60" w:after="0" w:line="276" w:lineRule="auto"/>
        <w:ind w:left="124" w:right="-20"/>
        <w:rPr>
          <w:rFonts w:ascii="Times New Roman" w:eastAsia="Times New Roman" w:hAnsi="Times New Roman" w:cs="Arial"/>
          <w:b/>
          <w:bCs/>
          <w:color w:val="000000"/>
          <w:spacing w:val="-6"/>
          <w:szCs w:val="24"/>
          <w:lang w:eastAsia="zh-CN"/>
        </w:rPr>
      </w:pPr>
    </w:p>
    <w:p w14:paraId="535B352B" w14:textId="43CD42AF" w:rsidR="00507A67" w:rsidRPr="00507A67" w:rsidRDefault="00507A67" w:rsidP="00507A67">
      <w:pPr>
        <w:pBdr>
          <w:top w:val="none" w:sz="4" w:space="0" w:color="000000"/>
          <w:left w:val="none" w:sz="4" w:space="0" w:color="000000"/>
          <w:bottom w:val="none" w:sz="4" w:space="0" w:color="000000"/>
          <w:right w:val="none" w:sz="4" w:space="0" w:color="000000"/>
          <w:between w:val="none" w:sz="4" w:space="0" w:color="000000"/>
        </w:pBdr>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 w:val="left" w:pos="2062"/>
        </w:tabs>
        <w:spacing w:before="60" w:after="120" w:line="276" w:lineRule="auto"/>
        <w:rPr>
          <w:rFonts w:ascii="Arial" w:eastAsia="Times New Roman" w:hAnsi="Arial" w:cs="Arial"/>
          <w:sz w:val="25"/>
          <w:szCs w:val="25"/>
          <w:lang w:val="en-US" w:eastAsia="ja-JP"/>
        </w:rPr>
      </w:pPr>
      <w:r w:rsidRPr="00507A67">
        <w:rPr>
          <w:rFonts w:ascii="Arial" w:eastAsia="Times New Roman" w:hAnsi="Arial" w:cs="Arial"/>
          <w:b/>
          <w:color w:val="000000"/>
          <w:spacing w:val="-8"/>
          <w:w w:val="90"/>
          <w:sz w:val="25"/>
          <w:szCs w:val="25"/>
          <w:lang w:val="en-US"/>
        </w:rPr>
        <w:t>Committee</w:t>
      </w:r>
      <w:r w:rsidRPr="00507A67">
        <w:rPr>
          <w:rFonts w:ascii="Arial" w:eastAsia="Times New Roman" w:hAnsi="Arial" w:cs="Arial"/>
          <w:b/>
          <w:color w:val="000000"/>
          <w:spacing w:val="-35"/>
          <w:w w:val="90"/>
          <w:sz w:val="25"/>
          <w:szCs w:val="25"/>
          <w:lang w:val="en-US"/>
        </w:rPr>
        <w:t xml:space="preserve"> </w:t>
      </w:r>
      <w:r w:rsidRPr="00507A67">
        <w:rPr>
          <w:rFonts w:ascii="Arial" w:eastAsia="Times New Roman" w:hAnsi="Arial" w:cs="Arial"/>
          <w:b/>
          <w:color w:val="000000"/>
          <w:spacing w:val="-4"/>
          <w:w w:val="90"/>
          <w:sz w:val="25"/>
          <w:szCs w:val="25"/>
          <w:lang w:val="en-US"/>
        </w:rPr>
        <w:t>URL:</w:t>
      </w:r>
      <w:r w:rsidRPr="00507A67">
        <w:rPr>
          <w:rFonts w:ascii="Times New Roman" w:eastAsia="Times New Roman" w:hAnsi="Times New Roman" w:cs="Arial"/>
          <w:b/>
          <w:bCs/>
          <w:color w:val="000000"/>
          <w:spacing w:val="-6"/>
          <w:szCs w:val="24"/>
        </w:rPr>
        <w:tab/>
      </w:r>
      <w:hyperlink r:id="rId9" w:history="1">
        <w:r w:rsidRPr="00507A67">
          <w:rPr>
            <w:rFonts w:ascii="Arial" w:eastAsia="Times New Roman" w:hAnsi="Arial" w:cs="Arial"/>
            <w:color w:val="0563C1"/>
            <w:sz w:val="25"/>
            <w:szCs w:val="25"/>
            <w:u w:val="single"/>
            <w:lang w:val="en-US"/>
          </w:rPr>
          <w:t>http://isotc.iso.org/livelink/livelink/open/jtc1sc29</w:t>
        </w:r>
      </w:hyperlink>
    </w:p>
    <w:p w14:paraId="6D13A077" w14:textId="77777777" w:rsidR="00507A67" w:rsidRPr="00507A67" w:rsidRDefault="00507A67" w:rsidP="00507A67">
      <w:pPr>
        <w:pBdr>
          <w:top w:val="none" w:sz="4" w:space="0" w:color="000000"/>
          <w:left w:val="none" w:sz="4" w:space="0" w:color="000000"/>
          <w:bottom w:val="none" w:sz="4" w:space="0" w:color="000000"/>
          <w:right w:val="none" w:sz="4" w:space="0" w:color="000000"/>
          <w:between w:val="none" w:sz="4" w:space="0" w:color="000000"/>
        </w:pBdr>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 w:val="left" w:pos="2062"/>
        </w:tabs>
        <w:spacing w:before="60" w:after="120" w:line="276" w:lineRule="auto"/>
        <w:rPr>
          <w:rFonts w:ascii="Arial" w:eastAsia="Times New Roman" w:hAnsi="Arial" w:cs="Arial"/>
          <w:color w:val="0000ED"/>
          <w:spacing w:val="-3"/>
          <w:sz w:val="25"/>
          <w:szCs w:val="25"/>
          <w:u w:val="single" w:color="0000ED"/>
          <w:lang w:val="en-US" w:eastAsia="ja-JP"/>
        </w:rPr>
      </w:pPr>
    </w:p>
    <w:p w14:paraId="24FFDA03" w14:textId="77777777" w:rsidR="00507A67" w:rsidRPr="00507A67" w:rsidRDefault="00507A67" w:rsidP="00507A67">
      <w:pPr>
        <w:pBdr>
          <w:top w:val="none" w:sz="4" w:space="0" w:color="000000"/>
          <w:left w:val="none" w:sz="4" w:space="0" w:color="000000"/>
          <w:bottom w:val="none" w:sz="4" w:space="0" w:color="000000"/>
          <w:right w:val="none" w:sz="4" w:space="0" w:color="000000"/>
          <w:between w:val="none" w:sz="4" w:space="0" w:color="000000"/>
        </w:pBdr>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 w:val="left" w:pos="2880"/>
        </w:tabs>
        <w:spacing w:before="60" w:after="0" w:line="276" w:lineRule="auto"/>
        <w:ind w:right="-20"/>
        <w:rPr>
          <w:rFonts w:ascii="Times New Roman" w:eastAsia="Times New Roman" w:hAnsi="Times New Roman" w:cs="Arial"/>
          <w:b/>
          <w:bCs/>
          <w:color w:val="000000"/>
          <w:spacing w:val="-6"/>
          <w:szCs w:val="24"/>
        </w:rPr>
      </w:pPr>
    </w:p>
    <w:p w14:paraId="065B6468" w14:textId="77777777" w:rsidR="00507A67" w:rsidRPr="00507A67" w:rsidRDefault="00507A67" w:rsidP="00507A67">
      <w:pPr>
        <w:pBdr>
          <w:top w:val="none" w:sz="4" w:space="0" w:color="000000"/>
          <w:left w:val="none" w:sz="4" w:space="0" w:color="000000"/>
          <w:bottom w:val="none" w:sz="4" w:space="0" w:color="000000"/>
          <w:right w:val="none" w:sz="4" w:space="0" w:color="000000"/>
          <w:between w:val="none" w:sz="4" w:space="0" w:color="000000"/>
        </w:pBdr>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 w:val="left" w:pos="2880"/>
        </w:tabs>
        <w:spacing w:before="60" w:after="0" w:line="200" w:lineRule="exact"/>
        <w:rPr>
          <w:rFonts w:ascii="Times New Roman" w:eastAsia="Times New Roman" w:hAnsi="Times New Roman" w:cs="Arial"/>
          <w:color w:val="000000"/>
          <w:sz w:val="20"/>
          <w:szCs w:val="20"/>
        </w:rPr>
      </w:pPr>
    </w:p>
    <w:p w14:paraId="617CB8DB" w14:textId="77777777" w:rsidR="00507A67" w:rsidRDefault="00507A67" w:rsidP="00792CFF">
      <w:pPr>
        <w:pStyle w:val="3DVCnormal"/>
        <w:sectPr w:rsidR="00507A67" w:rsidSect="00866B3F">
          <w:headerReference w:type="even" r:id="rId10"/>
          <w:footerReference w:type="even" r:id="rId11"/>
          <w:type w:val="oddPage"/>
          <w:pgSz w:w="11906" w:h="16838" w:code="9"/>
          <w:pgMar w:top="794" w:right="1077" w:bottom="567" w:left="1077" w:header="709" w:footer="284" w:gutter="0"/>
          <w:cols w:space="720"/>
        </w:sectPr>
      </w:pPr>
    </w:p>
    <w:p w14:paraId="0E8D93F9" w14:textId="3DE6FCCA" w:rsidR="001A33D0" w:rsidRPr="00A52AB8" w:rsidRDefault="001A33D0" w:rsidP="00792CFF">
      <w:pPr>
        <w:pStyle w:val="3DVCnormal"/>
      </w:pPr>
      <w:r w:rsidRPr="00A52AB8">
        <w:lastRenderedPageBreak/>
        <w:t>ISO</w:t>
      </w:r>
      <w:r w:rsidR="004176C6" w:rsidRPr="00A52AB8">
        <w:rPr>
          <w:lang w:eastAsia="ja-JP"/>
        </w:rPr>
        <w:t>/IEC</w:t>
      </w:r>
      <w:r w:rsidRPr="00A52AB8">
        <w:t> </w:t>
      </w:r>
      <w:r w:rsidR="004176C6" w:rsidRPr="00A52AB8">
        <w:rPr>
          <w:lang w:eastAsia="ja-JP"/>
        </w:rPr>
        <w:t>23090</w:t>
      </w:r>
      <w:r w:rsidRPr="00A52AB8">
        <w:t>-</w:t>
      </w:r>
      <w:r w:rsidR="004176C6" w:rsidRPr="00A52AB8">
        <w:rPr>
          <w:lang w:eastAsia="ja-JP"/>
        </w:rPr>
        <w:t>5</w:t>
      </w:r>
      <w:r w:rsidRPr="00A52AB8">
        <w:t>:</w:t>
      </w:r>
      <w:r w:rsidR="004176C6" w:rsidRPr="00A52AB8">
        <w:rPr>
          <w:lang w:eastAsia="ja-JP"/>
        </w:rPr>
        <w:t>20</w:t>
      </w:r>
      <w:r w:rsidR="00731B6B" w:rsidRPr="00A52AB8">
        <w:rPr>
          <w:lang w:eastAsia="ja-JP"/>
        </w:rPr>
        <w:t>20</w:t>
      </w:r>
      <w:r w:rsidRPr="00A52AB8">
        <w:t>(</w:t>
      </w:r>
      <w:r w:rsidR="003A09AE" w:rsidRPr="00A52AB8">
        <w:t>2</w:t>
      </w:r>
      <w:r w:rsidR="004176C6" w:rsidRPr="00A52AB8">
        <w:rPr>
          <w:lang w:eastAsia="ja-JP"/>
        </w:rPr>
        <w:t>E</w:t>
      </w:r>
      <w:r w:rsidRPr="00A52AB8">
        <w:t>)</w:t>
      </w:r>
    </w:p>
    <w:p w14:paraId="687280F6" w14:textId="77777777" w:rsidR="001A33D0" w:rsidRPr="00A52AB8" w:rsidRDefault="004176C6" w:rsidP="004F7C57">
      <w:pPr>
        <w:jc w:val="right"/>
        <w:rPr>
          <w:color w:val="000000" w:themeColor="text1"/>
          <w:lang w:eastAsia="ja-JP"/>
        </w:rPr>
      </w:pPr>
      <w:r w:rsidRPr="00A52AB8">
        <w:rPr>
          <w:color w:val="000000" w:themeColor="text1"/>
        </w:rPr>
        <w:t>ISO</w:t>
      </w:r>
      <w:r w:rsidRPr="00A52AB8">
        <w:rPr>
          <w:color w:val="000000" w:themeColor="text1"/>
          <w:lang w:eastAsia="ja-JP"/>
        </w:rPr>
        <w:t>/IEC</w:t>
      </w:r>
      <w:r w:rsidR="001A33D0" w:rsidRPr="00A52AB8">
        <w:rPr>
          <w:color w:val="000000" w:themeColor="text1"/>
        </w:rPr>
        <w:t> </w:t>
      </w:r>
      <w:r w:rsidRPr="00A52AB8">
        <w:rPr>
          <w:color w:val="000000" w:themeColor="text1"/>
          <w:lang w:eastAsia="ja-JP"/>
        </w:rPr>
        <w:t>JTC</w:t>
      </w:r>
      <w:r w:rsidR="00A7000D" w:rsidRPr="00A52AB8">
        <w:rPr>
          <w:color w:val="000000" w:themeColor="text1"/>
          <w:lang w:eastAsia="ja-JP"/>
        </w:rPr>
        <w:t> </w:t>
      </w:r>
      <w:r w:rsidRPr="00A52AB8">
        <w:rPr>
          <w:color w:val="000000" w:themeColor="text1"/>
          <w:lang w:eastAsia="ja-JP"/>
        </w:rPr>
        <w:t>1</w:t>
      </w:r>
      <w:r w:rsidR="001A33D0" w:rsidRPr="00A52AB8">
        <w:rPr>
          <w:color w:val="000000" w:themeColor="text1"/>
        </w:rPr>
        <w:t>/SC </w:t>
      </w:r>
      <w:r w:rsidRPr="00A52AB8">
        <w:rPr>
          <w:color w:val="000000" w:themeColor="text1"/>
          <w:lang w:eastAsia="ja-JP"/>
        </w:rPr>
        <w:t>29</w:t>
      </w:r>
      <w:r w:rsidRPr="00A52AB8">
        <w:rPr>
          <w:color w:val="000000" w:themeColor="text1"/>
        </w:rPr>
        <w:t>/WG </w:t>
      </w:r>
      <w:r w:rsidRPr="00A52AB8">
        <w:rPr>
          <w:color w:val="000000" w:themeColor="text1"/>
          <w:lang w:eastAsia="ja-JP"/>
        </w:rPr>
        <w:t>11</w:t>
      </w:r>
    </w:p>
    <w:p w14:paraId="0BCA3E7A" w14:textId="77777777" w:rsidR="001A33D0" w:rsidRPr="00A52AB8" w:rsidRDefault="001A33D0" w:rsidP="00C05CC3">
      <w:pPr>
        <w:spacing w:after="2000"/>
        <w:jc w:val="right"/>
        <w:rPr>
          <w:color w:val="000000" w:themeColor="text1"/>
          <w:lang w:eastAsia="ja-JP"/>
        </w:rPr>
      </w:pPr>
      <w:bookmarkStart w:id="1" w:name="CVP_Secretariat_Loca"/>
      <w:r w:rsidRPr="00A52AB8">
        <w:rPr>
          <w:color w:val="000000" w:themeColor="text1"/>
        </w:rPr>
        <w:t>Secretariat</w:t>
      </w:r>
      <w:bookmarkEnd w:id="1"/>
      <w:r w:rsidRPr="00A52AB8">
        <w:rPr>
          <w:color w:val="000000" w:themeColor="text1"/>
        </w:rPr>
        <w:t xml:space="preserve">: </w:t>
      </w:r>
      <w:r w:rsidR="004176C6" w:rsidRPr="00A52AB8">
        <w:rPr>
          <w:color w:val="000000" w:themeColor="text1"/>
          <w:lang w:eastAsia="ja-JP"/>
        </w:rPr>
        <w:t>JISC</w:t>
      </w:r>
    </w:p>
    <w:p w14:paraId="68CB9161" w14:textId="77777777" w:rsidR="001A33D0" w:rsidRPr="00A52AB8" w:rsidRDefault="007D507A" w:rsidP="00257AD4">
      <w:pPr>
        <w:spacing w:line="360" w:lineRule="atLeast"/>
        <w:rPr>
          <w:b/>
          <w:color w:val="000000" w:themeColor="text1"/>
          <w:sz w:val="32"/>
          <w:szCs w:val="32"/>
          <w:lang w:eastAsia="ja-JP"/>
        </w:rPr>
      </w:pPr>
      <w:r w:rsidRPr="00A52AB8">
        <w:rPr>
          <w:b/>
          <w:color w:val="000000" w:themeColor="text1"/>
          <w:sz w:val="32"/>
          <w:szCs w:val="32"/>
        </w:rPr>
        <w:t>Information technology — </w:t>
      </w:r>
      <w:r w:rsidR="0084119C" w:rsidRPr="00A52AB8">
        <w:rPr>
          <w:b/>
          <w:color w:val="000000" w:themeColor="text1"/>
          <w:sz w:val="32"/>
          <w:szCs w:val="32"/>
        </w:rPr>
        <w:t>Coded Representation of Immersive Media — </w:t>
      </w:r>
      <w:r w:rsidR="0084119C" w:rsidRPr="00A52AB8">
        <w:rPr>
          <w:b/>
          <w:color w:val="000000" w:themeColor="text1"/>
          <w:sz w:val="32"/>
          <w:szCs w:val="32"/>
          <w:lang w:eastAsia="ja-JP"/>
        </w:rPr>
        <w:t xml:space="preserve">Part 5: </w:t>
      </w:r>
      <w:r w:rsidR="00237A02" w:rsidRPr="00A52AB8">
        <w:rPr>
          <w:b/>
          <w:color w:val="000000" w:themeColor="text1"/>
          <w:sz w:val="32"/>
          <w:szCs w:val="32"/>
          <w:lang w:eastAsia="ja-JP"/>
        </w:rPr>
        <w:t xml:space="preserve">Visual </w:t>
      </w:r>
      <w:r w:rsidR="00EC18CD" w:rsidRPr="00A52AB8">
        <w:rPr>
          <w:b/>
          <w:color w:val="000000" w:themeColor="text1"/>
          <w:sz w:val="32"/>
          <w:szCs w:val="32"/>
          <w:lang w:eastAsia="ja-JP"/>
        </w:rPr>
        <w:t xml:space="preserve">Volumetric Video-based Coding (V3C) and </w:t>
      </w:r>
      <w:r w:rsidR="004176C6" w:rsidRPr="00A52AB8">
        <w:rPr>
          <w:b/>
          <w:color w:val="000000" w:themeColor="text1"/>
          <w:sz w:val="32"/>
          <w:szCs w:val="32"/>
        </w:rPr>
        <w:t>Video-based Point Cloud Compression</w:t>
      </w:r>
      <w:r w:rsidR="00EC18CD" w:rsidRPr="00A52AB8">
        <w:rPr>
          <w:b/>
          <w:color w:val="000000" w:themeColor="text1"/>
          <w:sz w:val="32"/>
          <w:szCs w:val="32"/>
        </w:rPr>
        <w:t xml:space="preserve"> (V-PCC)</w:t>
      </w:r>
    </w:p>
    <w:p w14:paraId="649525E1" w14:textId="77777777" w:rsidR="001A33D0" w:rsidRPr="00A52AB8" w:rsidRDefault="001A33D0">
      <w:pPr>
        <w:spacing w:before="2000"/>
        <w:rPr>
          <w:color w:val="000000" w:themeColor="text1"/>
        </w:rPr>
      </w:pPr>
    </w:p>
    <w:p w14:paraId="48DB1B4E" w14:textId="65349032" w:rsidR="001A33D0" w:rsidRPr="00A52AB8" w:rsidRDefault="00BF0186">
      <w:pPr>
        <w:pBdr>
          <w:top w:val="single" w:sz="4" w:space="1" w:color="auto"/>
          <w:left w:val="single" w:sz="4" w:space="4" w:color="auto"/>
          <w:bottom w:val="single" w:sz="4" w:space="1" w:color="auto"/>
          <w:right w:val="single" w:sz="4" w:space="4" w:color="auto"/>
        </w:pBdr>
        <w:ind w:left="85" w:right="85"/>
        <w:jc w:val="center"/>
        <w:rPr>
          <w:color w:val="000000" w:themeColor="text1"/>
          <w:sz w:val="80"/>
          <w:szCs w:val="80"/>
        </w:rPr>
      </w:pPr>
      <w:r w:rsidRPr="00A52AB8">
        <w:rPr>
          <w:color w:val="000000" w:themeColor="text1"/>
          <w:sz w:val="80"/>
          <w:szCs w:val="80"/>
        </w:rPr>
        <w:t xml:space="preserve">WD </w:t>
      </w:r>
      <w:r w:rsidR="001A33D0" w:rsidRPr="00A52AB8">
        <w:rPr>
          <w:color w:val="000000" w:themeColor="text1"/>
          <w:sz w:val="80"/>
          <w:szCs w:val="80"/>
        </w:rPr>
        <w:t>stage</w:t>
      </w:r>
    </w:p>
    <w:p w14:paraId="18B34EC3" w14:textId="77777777" w:rsidR="001A33D0" w:rsidRPr="00A52AB8" w:rsidRDefault="001A33D0">
      <w:pPr>
        <w:spacing w:after="120"/>
        <w:rPr>
          <w:color w:val="000000" w:themeColor="text1"/>
        </w:rPr>
      </w:pPr>
    </w:p>
    <w:p w14:paraId="31E156FF" w14:textId="77777777" w:rsidR="001A33D0" w:rsidRPr="00A52AB8" w:rsidRDefault="001A33D0">
      <w:pPr>
        <w:pBdr>
          <w:top w:val="single" w:sz="4" w:space="1" w:color="auto"/>
          <w:left w:val="single" w:sz="4" w:space="4" w:color="auto"/>
          <w:bottom w:val="single" w:sz="4" w:space="1" w:color="auto"/>
          <w:right w:val="single" w:sz="4" w:space="4" w:color="auto"/>
        </w:pBdr>
        <w:spacing w:after="120"/>
        <w:ind w:left="85" w:right="85"/>
        <w:jc w:val="center"/>
        <w:rPr>
          <w:b/>
          <w:color w:val="000000" w:themeColor="text1"/>
          <w:sz w:val="20"/>
        </w:rPr>
      </w:pPr>
      <w:r w:rsidRPr="00A52AB8">
        <w:rPr>
          <w:b/>
          <w:color w:val="000000" w:themeColor="text1"/>
          <w:sz w:val="20"/>
        </w:rPr>
        <w:t>Warning for WDs and CDs</w:t>
      </w:r>
    </w:p>
    <w:p w14:paraId="2CD34B68" w14:textId="77777777" w:rsidR="001A33D0" w:rsidRPr="00A52AB8" w:rsidRDefault="001A33D0">
      <w:pPr>
        <w:pBdr>
          <w:top w:val="single" w:sz="4" w:space="1" w:color="auto"/>
          <w:left w:val="single" w:sz="4" w:space="4" w:color="auto"/>
          <w:bottom w:val="single" w:sz="4" w:space="1" w:color="auto"/>
          <w:right w:val="single" w:sz="4" w:space="4" w:color="auto"/>
        </w:pBdr>
        <w:spacing w:after="120"/>
        <w:ind w:left="85" w:right="85"/>
        <w:rPr>
          <w:bCs/>
          <w:color w:val="000000" w:themeColor="text1"/>
          <w:sz w:val="20"/>
        </w:rPr>
      </w:pPr>
      <w:r w:rsidRPr="00A52AB8">
        <w:rPr>
          <w:bCs/>
          <w:color w:val="000000" w:themeColor="text1"/>
          <w:sz w:val="20"/>
        </w:rPr>
        <w:t>This document is not an ISO International Standard. It is distributed for review and comment. It is subject to change without notice and may not be referred to as an International Standard.</w:t>
      </w:r>
    </w:p>
    <w:p w14:paraId="4100954B" w14:textId="77777777" w:rsidR="001A33D0" w:rsidRPr="00A52AB8" w:rsidRDefault="001A33D0">
      <w:pPr>
        <w:pBdr>
          <w:top w:val="single" w:sz="4" w:space="1" w:color="auto"/>
          <w:left w:val="single" w:sz="4" w:space="4" w:color="auto"/>
          <w:bottom w:val="single" w:sz="4" w:space="1" w:color="auto"/>
          <w:right w:val="single" w:sz="4" w:space="4" w:color="auto"/>
        </w:pBdr>
        <w:ind w:left="85" w:right="85"/>
        <w:rPr>
          <w:color w:val="000000" w:themeColor="text1"/>
          <w:sz w:val="20"/>
        </w:rPr>
      </w:pPr>
      <w:r w:rsidRPr="00A52AB8">
        <w:rPr>
          <w:bCs/>
          <w:color w:val="000000" w:themeColor="text1"/>
          <w:sz w:val="20"/>
        </w:rPr>
        <w:t>Recipients of this draft are invited to submit, with their comments, notification of any relevant patent rights of which they are aware and to provide supporting documentation.</w:t>
      </w:r>
    </w:p>
    <w:p w14:paraId="4E6C4725" w14:textId="77777777" w:rsidR="001A33D0" w:rsidRPr="00A52AB8" w:rsidRDefault="001A33D0">
      <w:pPr>
        <w:spacing w:before="240" w:after="120"/>
        <w:jc w:val="left"/>
        <w:rPr>
          <w:rStyle w:val="Hyperlink"/>
          <w:i/>
          <w:color w:val="000000" w:themeColor="text1"/>
          <w:sz w:val="20"/>
          <w:szCs w:val="20"/>
          <w:lang w:val="en-CA" w:eastAsia="en-US"/>
        </w:rPr>
      </w:pPr>
    </w:p>
    <w:p w14:paraId="2AF23BAC" w14:textId="77777777" w:rsidR="001A33D0" w:rsidRPr="00A52AB8" w:rsidRDefault="001A33D0">
      <w:pPr>
        <w:rPr>
          <w:color w:val="000000" w:themeColor="text1"/>
        </w:rPr>
      </w:pPr>
    </w:p>
    <w:p w14:paraId="29E7F82C" w14:textId="77777777" w:rsidR="001A33D0" w:rsidRPr="00A52AB8" w:rsidRDefault="001A33D0">
      <w:pPr>
        <w:rPr>
          <w:color w:val="000000" w:themeColor="text1"/>
        </w:rPr>
        <w:sectPr w:rsidR="001A33D0" w:rsidRPr="00A52AB8" w:rsidSect="00507A67">
          <w:pgSz w:w="11906" w:h="16838" w:code="9"/>
          <w:pgMar w:top="794" w:right="1077" w:bottom="567" w:left="1077" w:header="709" w:footer="284" w:gutter="0"/>
          <w:cols w:space="720"/>
        </w:sectPr>
      </w:pPr>
    </w:p>
    <w:p w14:paraId="43287CC9" w14:textId="77777777" w:rsidR="001A33D0" w:rsidRPr="00A52AB8" w:rsidRDefault="001A33D0">
      <w:pPr>
        <w:pStyle w:val="zzCopyright"/>
        <w:pageBreakBefore/>
        <w:pBdr>
          <w:top w:val="single" w:sz="4" w:space="1" w:color="auto"/>
          <w:left w:val="single" w:sz="4" w:space="4" w:color="auto"/>
          <w:bottom w:val="none" w:sz="0" w:space="0" w:color="auto"/>
          <w:right w:val="single" w:sz="4" w:space="4" w:color="auto"/>
        </w:pBdr>
        <w:autoSpaceDE w:val="0"/>
        <w:autoSpaceDN w:val="0"/>
        <w:adjustRightInd w:val="0"/>
        <w:spacing w:before="40"/>
        <w:ind w:left="102" w:right="102"/>
        <w:jc w:val="left"/>
        <w:rPr>
          <w:color w:val="000000" w:themeColor="text1"/>
        </w:rPr>
      </w:pPr>
      <w:r w:rsidRPr="00496A4D">
        <w:rPr>
          <w:color w:val="000000" w:themeColor="text1"/>
        </w:rPr>
        <w:lastRenderedPageBreak/>
        <w:t>© ISO</w:t>
      </w:r>
      <w:r w:rsidR="009374BB" w:rsidRPr="00A52AB8">
        <w:rPr>
          <w:color w:val="000000" w:themeColor="text1"/>
          <w:lang w:eastAsia="ja-JP"/>
        </w:rPr>
        <w:t>/IEC</w:t>
      </w:r>
      <w:r w:rsidRPr="00A52AB8">
        <w:rPr>
          <w:color w:val="000000" w:themeColor="text1"/>
        </w:rPr>
        <w:t xml:space="preserve"> 20</w:t>
      </w:r>
      <w:r w:rsidR="00931612" w:rsidRPr="00A52AB8">
        <w:rPr>
          <w:color w:val="000000" w:themeColor="text1"/>
        </w:rPr>
        <w:t>20</w:t>
      </w:r>
    </w:p>
    <w:p w14:paraId="03480BD5" w14:textId="77777777" w:rsidR="001A33D0" w:rsidRPr="00A52AB8" w:rsidRDefault="00BC394B">
      <w:pPr>
        <w:pStyle w:val="zzCopyright"/>
        <w:pBdr>
          <w:top w:val="none" w:sz="0" w:space="0" w:color="auto"/>
          <w:left w:val="single" w:sz="4" w:space="4" w:color="auto"/>
          <w:bottom w:val="none" w:sz="0" w:space="0" w:color="auto"/>
          <w:right w:val="single" w:sz="4" w:space="4" w:color="auto"/>
        </w:pBdr>
        <w:autoSpaceDE w:val="0"/>
        <w:autoSpaceDN w:val="0"/>
        <w:adjustRightInd w:val="0"/>
        <w:ind w:left="102" w:right="102"/>
        <w:rPr>
          <w:color w:val="000000" w:themeColor="text1"/>
          <w:sz w:val="20"/>
        </w:rPr>
      </w:pPr>
      <w:r w:rsidRPr="00A52AB8">
        <w:rPr>
          <w:color w:val="000000" w:themeColor="text1"/>
          <w:sz w:val="20"/>
        </w:rPr>
        <w:t>All rights reserved. Unless otherwise specified, or required in the context of its implementation, no part of this publication may be reproduced or utilized otherwise in any form or by any means, electronic or mechanical, including photocopying, or posting on the internet or an intranet, without prior written permission. Permission can be requested from either ISO at the address below or ISO’s member body in the country of the requester.</w:t>
      </w:r>
    </w:p>
    <w:p w14:paraId="7DFA9190" w14:textId="77777777" w:rsidR="001A33D0" w:rsidRPr="00A52AB8" w:rsidRDefault="001A33D0">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000000" w:themeColor="text1"/>
          <w:sz w:val="20"/>
        </w:rPr>
      </w:pPr>
      <w:r w:rsidRPr="00A52AB8">
        <w:rPr>
          <w:color w:val="000000" w:themeColor="text1"/>
          <w:sz w:val="20"/>
        </w:rPr>
        <w:t>ISO copyright office</w:t>
      </w:r>
    </w:p>
    <w:p w14:paraId="10AF4172" w14:textId="77777777" w:rsidR="001A33D0" w:rsidRPr="00A52AB8" w:rsidRDefault="00BC394B">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000000" w:themeColor="text1"/>
          <w:sz w:val="20"/>
        </w:rPr>
      </w:pPr>
      <w:r w:rsidRPr="00A52AB8">
        <w:rPr>
          <w:color w:val="000000" w:themeColor="text1"/>
          <w:sz w:val="20"/>
        </w:rPr>
        <w:t>CP 401</w:t>
      </w:r>
      <w:r w:rsidR="001A33D0" w:rsidRPr="00A52AB8">
        <w:rPr>
          <w:color w:val="000000" w:themeColor="text1"/>
          <w:sz w:val="20"/>
        </w:rPr>
        <w:t xml:space="preserve"> • </w:t>
      </w:r>
      <w:r w:rsidRPr="00A52AB8">
        <w:rPr>
          <w:color w:val="000000" w:themeColor="text1"/>
          <w:sz w:val="20"/>
        </w:rPr>
        <w:t>Ch. de Blandonnet 8</w:t>
      </w:r>
    </w:p>
    <w:p w14:paraId="2E6E6DD5" w14:textId="77777777" w:rsidR="001A33D0" w:rsidRPr="00A52AB8" w:rsidRDefault="001A33D0">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000000" w:themeColor="text1"/>
          <w:sz w:val="20"/>
        </w:rPr>
      </w:pPr>
      <w:r w:rsidRPr="00A52AB8">
        <w:rPr>
          <w:color w:val="000000" w:themeColor="text1"/>
          <w:sz w:val="20"/>
        </w:rPr>
        <w:t>CH-1214 Vernier, Geneva</w:t>
      </w:r>
    </w:p>
    <w:p w14:paraId="5D785FCA" w14:textId="77777777" w:rsidR="001A33D0" w:rsidRPr="00A52AB8" w:rsidRDefault="00BC394B">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000000" w:themeColor="text1"/>
          <w:sz w:val="20"/>
        </w:rPr>
      </w:pPr>
      <w:r w:rsidRPr="00A52AB8">
        <w:rPr>
          <w:color w:val="000000" w:themeColor="text1"/>
          <w:sz w:val="20"/>
        </w:rPr>
        <w:t xml:space="preserve">Phone: </w:t>
      </w:r>
      <w:r w:rsidR="001A33D0" w:rsidRPr="00A52AB8">
        <w:rPr>
          <w:color w:val="000000" w:themeColor="text1"/>
          <w:sz w:val="20"/>
        </w:rPr>
        <w:t>+41 22 749 01 11</w:t>
      </w:r>
    </w:p>
    <w:p w14:paraId="6DFFB94C" w14:textId="77777777" w:rsidR="001A33D0" w:rsidRPr="00A52AB8" w:rsidRDefault="001A33D0">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000000" w:themeColor="text1"/>
          <w:sz w:val="20"/>
        </w:rPr>
      </w:pPr>
      <w:r w:rsidRPr="00A52AB8">
        <w:rPr>
          <w:color w:val="000000" w:themeColor="text1"/>
          <w:sz w:val="20"/>
        </w:rPr>
        <w:t>Fax</w:t>
      </w:r>
      <w:r w:rsidR="00BC394B" w:rsidRPr="00A52AB8">
        <w:rPr>
          <w:color w:val="000000" w:themeColor="text1"/>
          <w:sz w:val="20"/>
        </w:rPr>
        <w:t xml:space="preserve">: </w:t>
      </w:r>
      <w:r w:rsidRPr="00A52AB8">
        <w:rPr>
          <w:color w:val="000000" w:themeColor="text1"/>
          <w:sz w:val="20"/>
        </w:rPr>
        <w:t>+41 22 749 09 47</w:t>
      </w:r>
    </w:p>
    <w:p w14:paraId="06748E8D" w14:textId="77777777" w:rsidR="001A33D0" w:rsidRPr="00A52AB8" w:rsidRDefault="00BC394B">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000000" w:themeColor="text1"/>
          <w:sz w:val="20"/>
        </w:rPr>
      </w:pPr>
      <w:r w:rsidRPr="00A52AB8">
        <w:rPr>
          <w:color w:val="000000" w:themeColor="text1"/>
          <w:sz w:val="20"/>
        </w:rPr>
        <w:t xml:space="preserve">Email: </w:t>
      </w:r>
      <w:r w:rsidR="001A33D0" w:rsidRPr="00A52AB8">
        <w:rPr>
          <w:color w:val="000000" w:themeColor="text1"/>
          <w:sz w:val="20"/>
        </w:rPr>
        <w:t>copyright@iso.org</w:t>
      </w:r>
    </w:p>
    <w:p w14:paraId="408D671A" w14:textId="77777777" w:rsidR="00BC394B" w:rsidRPr="00A52AB8" w:rsidRDefault="00BC394B">
      <w:pPr>
        <w:pStyle w:val="zzCopyright"/>
        <w:pBdr>
          <w:top w:val="none" w:sz="0" w:space="0" w:color="auto"/>
          <w:left w:val="single" w:sz="4" w:space="4" w:color="auto"/>
          <w:bottom w:val="single" w:sz="4" w:space="1" w:color="auto"/>
          <w:right w:val="single" w:sz="4" w:space="4" w:color="auto"/>
        </w:pBdr>
        <w:autoSpaceDE w:val="0"/>
        <w:autoSpaceDN w:val="0"/>
        <w:adjustRightInd w:val="0"/>
        <w:ind w:left="102" w:right="102" w:firstLine="403"/>
        <w:rPr>
          <w:color w:val="000000" w:themeColor="text1"/>
          <w:sz w:val="20"/>
        </w:rPr>
      </w:pPr>
      <w:r w:rsidRPr="00A52AB8">
        <w:rPr>
          <w:color w:val="000000" w:themeColor="text1"/>
          <w:sz w:val="20"/>
        </w:rPr>
        <w:t>Website: www.iso.org</w:t>
      </w:r>
    </w:p>
    <w:p w14:paraId="0BB92CE9" w14:textId="77777777" w:rsidR="001A33D0" w:rsidRPr="00A52AB8" w:rsidRDefault="00BC394B">
      <w:pPr>
        <w:pStyle w:val="zzCopyright"/>
        <w:pBdr>
          <w:top w:val="none" w:sz="0" w:space="0" w:color="auto"/>
          <w:left w:val="single" w:sz="4" w:space="4" w:color="auto"/>
          <w:bottom w:val="single" w:sz="4" w:space="1" w:color="auto"/>
          <w:right w:val="single" w:sz="4" w:space="4" w:color="auto"/>
        </w:pBdr>
        <w:autoSpaceDE w:val="0"/>
        <w:autoSpaceDN w:val="0"/>
        <w:adjustRightInd w:val="0"/>
        <w:ind w:left="102" w:right="102"/>
        <w:rPr>
          <w:color w:val="000000" w:themeColor="text1"/>
          <w:sz w:val="20"/>
        </w:rPr>
      </w:pPr>
      <w:r w:rsidRPr="00A52AB8">
        <w:rPr>
          <w:color w:val="000000" w:themeColor="text1"/>
          <w:sz w:val="20"/>
        </w:rPr>
        <w:t>Published in Switzerland</w:t>
      </w:r>
    </w:p>
    <w:p w14:paraId="59FC9FAA" w14:textId="77777777" w:rsidR="001A33D0" w:rsidRPr="00A52AB8" w:rsidRDefault="001A33D0">
      <w:pPr>
        <w:pStyle w:val="zzContents"/>
        <w:spacing w:before="0"/>
        <w:rPr>
          <w:color w:val="000000" w:themeColor="text1"/>
        </w:rPr>
      </w:pPr>
      <w:r w:rsidRPr="00A52AB8">
        <w:rPr>
          <w:color w:val="000000" w:themeColor="text1"/>
        </w:rPr>
        <w:lastRenderedPageBreak/>
        <w:t>Contents</w:t>
      </w:r>
    </w:p>
    <w:p w14:paraId="11FDAD1E" w14:textId="36FC4A9D" w:rsidR="00507A67" w:rsidRDefault="0054733A">
      <w:pPr>
        <w:pStyle w:val="TOC1"/>
        <w:rPr>
          <w:rFonts w:asciiTheme="minorHAnsi" w:hAnsiTheme="minorHAnsi" w:cstheme="minorBidi"/>
          <w:b w:val="0"/>
          <w:noProof/>
          <w:lang w:eastAsia="en-CA"/>
        </w:rPr>
      </w:pPr>
      <w:r w:rsidRPr="00496A4D">
        <w:fldChar w:fldCharType="begin"/>
      </w:r>
      <w:r w:rsidRPr="00A52AB8">
        <w:instrText xml:space="preserve"> TOC \o "</w:instrText>
      </w:r>
      <w:r w:rsidR="002C453D" w:rsidRPr="00A52AB8">
        <w:instrText>1</w:instrText>
      </w:r>
      <w:r w:rsidRPr="00A52AB8">
        <w:instrText xml:space="preserve">-3" \h \z \t "Heading 1;1;ANNEX;1;Biblio Title;1;Foreword Title;1;Intro Title;1" </w:instrText>
      </w:r>
      <w:r w:rsidRPr="00496A4D">
        <w:fldChar w:fldCharType="separate"/>
      </w:r>
      <w:hyperlink w:anchor="_Toc52181571" w:history="1">
        <w:r w:rsidR="00507A67" w:rsidRPr="00E53E72">
          <w:rPr>
            <w:rStyle w:val="Hyperlink"/>
            <w:noProof/>
          </w:rPr>
          <w:t>Foreword</w:t>
        </w:r>
        <w:r w:rsidR="00507A67">
          <w:rPr>
            <w:noProof/>
            <w:webHidden/>
          </w:rPr>
          <w:tab/>
        </w:r>
        <w:r w:rsidR="00507A67">
          <w:rPr>
            <w:noProof/>
            <w:webHidden/>
          </w:rPr>
          <w:fldChar w:fldCharType="begin"/>
        </w:r>
        <w:r w:rsidR="00507A67">
          <w:rPr>
            <w:noProof/>
            <w:webHidden/>
          </w:rPr>
          <w:instrText xml:space="preserve"> PAGEREF _Toc52181571 \h </w:instrText>
        </w:r>
        <w:r w:rsidR="00507A67">
          <w:rPr>
            <w:noProof/>
            <w:webHidden/>
          </w:rPr>
        </w:r>
        <w:r w:rsidR="00507A67">
          <w:rPr>
            <w:noProof/>
            <w:webHidden/>
          </w:rPr>
          <w:fldChar w:fldCharType="separate"/>
        </w:r>
        <w:r w:rsidR="00507A67">
          <w:rPr>
            <w:noProof/>
            <w:webHidden/>
          </w:rPr>
          <w:t>x</w:t>
        </w:r>
        <w:r w:rsidR="00507A67">
          <w:rPr>
            <w:noProof/>
            <w:webHidden/>
          </w:rPr>
          <w:fldChar w:fldCharType="end"/>
        </w:r>
      </w:hyperlink>
    </w:p>
    <w:p w14:paraId="4BE708D4" w14:textId="3852A129" w:rsidR="00507A67" w:rsidRDefault="00507A67">
      <w:pPr>
        <w:pStyle w:val="TOC1"/>
        <w:rPr>
          <w:rFonts w:asciiTheme="minorHAnsi" w:hAnsiTheme="minorHAnsi" w:cstheme="minorBidi"/>
          <w:b w:val="0"/>
          <w:noProof/>
          <w:lang w:eastAsia="en-CA"/>
        </w:rPr>
      </w:pPr>
      <w:hyperlink w:anchor="_Toc52181572" w:history="1">
        <w:r w:rsidRPr="00E53E72">
          <w:rPr>
            <w:rStyle w:val="Hyperlink"/>
            <w:noProof/>
          </w:rPr>
          <w:t>Introduction</w:t>
        </w:r>
        <w:r>
          <w:rPr>
            <w:noProof/>
            <w:webHidden/>
          </w:rPr>
          <w:tab/>
        </w:r>
        <w:r>
          <w:rPr>
            <w:noProof/>
            <w:webHidden/>
          </w:rPr>
          <w:fldChar w:fldCharType="begin"/>
        </w:r>
        <w:r>
          <w:rPr>
            <w:noProof/>
            <w:webHidden/>
          </w:rPr>
          <w:instrText xml:space="preserve"> PAGEREF _Toc52181572 \h </w:instrText>
        </w:r>
        <w:r>
          <w:rPr>
            <w:noProof/>
            <w:webHidden/>
          </w:rPr>
        </w:r>
        <w:r>
          <w:rPr>
            <w:noProof/>
            <w:webHidden/>
          </w:rPr>
          <w:fldChar w:fldCharType="separate"/>
        </w:r>
        <w:r>
          <w:rPr>
            <w:noProof/>
            <w:webHidden/>
          </w:rPr>
          <w:t>xi</w:t>
        </w:r>
        <w:r>
          <w:rPr>
            <w:noProof/>
            <w:webHidden/>
          </w:rPr>
          <w:fldChar w:fldCharType="end"/>
        </w:r>
      </w:hyperlink>
    </w:p>
    <w:p w14:paraId="794A77F1" w14:textId="668A1AD6" w:rsidR="00507A67" w:rsidRDefault="00507A67">
      <w:pPr>
        <w:pStyle w:val="TOC1"/>
        <w:rPr>
          <w:rFonts w:asciiTheme="minorHAnsi" w:hAnsiTheme="minorHAnsi" w:cstheme="minorBidi"/>
          <w:b w:val="0"/>
          <w:noProof/>
          <w:lang w:eastAsia="en-CA"/>
        </w:rPr>
      </w:pPr>
      <w:hyperlink w:anchor="_Toc52181573" w:history="1">
        <w:r w:rsidRPr="00E53E72">
          <w:rPr>
            <w:rStyle w:val="Hyperlink"/>
            <w:noProof/>
          </w:rPr>
          <w:t>1 Scope</w:t>
        </w:r>
        <w:r>
          <w:rPr>
            <w:noProof/>
            <w:webHidden/>
          </w:rPr>
          <w:tab/>
        </w:r>
        <w:r>
          <w:rPr>
            <w:noProof/>
            <w:webHidden/>
          </w:rPr>
          <w:fldChar w:fldCharType="begin"/>
        </w:r>
        <w:r>
          <w:rPr>
            <w:noProof/>
            <w:webHidden/>
          </w:rPr>
          <w:instrText xml:space="preserve"> PAGEREF _Toc52181573 \h </w:instrText>
        </w:r>
        <w:r>
          <w:rPr>
            <w:noProof/>
            <w:webHidden/>
          </w:rPr>
        </w:r>
        <w:r>
          <w:rPr>
            <w:noProof/>
            <w:webHidden/>
          </w:rPr>
          <w:fldChar w:fldCharType="separate"/>
        </w:r>
        <w:r>
          <w:rPr>
            <w:noProof/>
            <w:webHidden/>
          </w:rPr>
          <w:t>1</w:t>
        </w:r>
        <w:r>
          <w:rPr>
            <w:noProof/>
            <w:webHidden/>
          </w:rPr>
          <w:fldChar w:fldCharType="end"/>
        </w:r>
      </w:hyperlink>
    </w:p>
    <w:p w14:paraId="38E84AF8" w14:textId="6286783A" w:rsidR="00507A67" w:rsidRDefault="00507A67">
      <w:pPr>
        <w:pStyle w:val="TOC1"/>
        <w:rPr>
          <w:rFonts w:asciiTheme="minorHAnsi" w:hAnsiTheme="minorHAnsi" w:cstheme="minorBidi"/>
          <w:b w:val="0"/>
          <w:noProof/>
          <w:lang w:eastAsia="en-CA"/>
        </w:rPr>
      </w:pPr>
      <w:hyperlink w:anchor="_Toc52181574" w:history="1">
        <w:r w:rsidRPr="00E53E72">
          <w:rPr>
            <w:rStyle w:val="Hyperlink"/>
            <w:noProof/>
          </w:rPr>
          <w:t>2 Normative references</w:t>
        </w:r>
        <w:r>
          <w:rPr>
            <w:noProof/>
            <w:webHidden/>
          </w:rPr>
          <w:tab/>
        </w:r>
        <w:r>
          <w:rPr>
            <w:noProof/>
            <w:webHidden/>
          </w:rPr>
          <w:fldChar w:fldCharType="begin"/>
        </w:r>
        <w:r>
          <w:rPr>
            <w:noProof/>
            <w:webHidden/>
          </w:rPr>
          <w:instrText xml:space="preserve"> PAGEREF _Toc52181574 \h </w:instrText>
        </w:r>
        <w:r>
          <w:rPr>
            <w:noProof/>
            <w:webHidden/>
          </w:rPr>
        </w:r>
        <w:r>
          <w:rPr>
            <w:noProof/>
            <w:webHidden/>
          </w:rPr>
          <w:fldChar w:fldCharType="separate"/>
        </w:r>
        <w:r>
          <w:rPr>
            <w:noProof/>
            <w:webHidden/>
          </w:rPr>
          <w:t>1</w:t>
        </w:r>
        <w:r>
          <w:rPr>
            <w:noProof/>
            <w:webHidden/>
          </w:rPr>
          <w:fldChar w:fldCharType="end"/>
        </w:r>
      </w:hyperlink>
    </w:p>
    <w:p w14:paraId="4290CDA8" w14:textId="4D1248DF" w:rsidR="00507A67" w:rsidRDefault="00507A67">
      <w:pPr>
        <w:pStyle w:val="TOC1"/>
        <w:rPr>
          <w:rFonts w:asciiTheme="minorHAnsi" w:hAnsiTheme="minorHAnsi" w:cstheme="minorBidi"/>
          <w:b w:val="0"/>
          <w:noProof/>
          <w:lang w:eastAsia="en-CA"/>
        </w:rPr>
      </w:pPr>
      <w:hyperlink w:anchor="_Toc52181575" w:history="1">
        <w:r w:rsidRPr="00E53E72">
          <w:rPr>
            <w:rStyle w:val="Hyperlink"/>
            <w:noProof/>
          </w:rPr>
          <w:t>3 Terms and definitions</w:t>
        </w:r>
        <w:r>
          <w:rPr>
            <w:noProof/>
            <w:webHidden/>
          </w:rPr>
          <w:tab/>
        </w:r>
        <w:r>
          <w:rPr>
            <w:noProof/>
            <w:webHidden/>
          </w:rPr>
          <w:fldChar w:fldCharType="begin"/>
        </w:r>
        <w:r>
          <w:rPr>
            <w:noProof/>
            <w:webHidden/>
          </w:rPr>
          <w:instrText xml:space="preserve"> PAGEREF _Toc52181575 \h </w:instrText>
        </w:r>
        <w:r>
          <w:rPr>
            <w:noProof/>
            <w:webHidden/>
          </w:rPr>
        </w:r>
        <w:r>
          <w:rPr>
            <w:noProof/>
            <w:webHidden/>
          </w:rPr>
          <w:fldChar w:fldCharType="separate"/>
        </w:r>
        <w:r>
          <w:rPr>
            <w:noProof/>
            <w:webHidden/>
          </w:rPr>
          <w:t>1</w:t>
        </w:r>
        <w:r>
          <w:rPr>
            <w:noProof/>
            <w:webHidden/>
          </w:rPr>
          <w:fldChar w:fldCharType="end"/>
        </w:r>
      </w:hyperlink>
    </w:p>
    <w:p w14:paraId="482E7D66" w14:textId="25CE1C53" w:rsidR="00507A67" w:rsidRDefault="00507A67">
      <w:pPr>
        <w:pStyle w:val="TOC1"/>
        <w:rPr>
          <w:rFonts w:asciiTheme="minorHAnsi" w:hAnsiTheme="minorHAnsi" w:cstheme="minorBidi"/>
          <w:b w:val="0"/>
          <w:noProof/>
          <w:lang w:eastAsia="en-CA"/>
        </w:rPr>
      </w:pPr>
      <w:hyperlink w:anchor="_Toc52181576" w:history="1">
        <w:r w:rsidRPr="00E53E72">
          <w:rPr>
            <w:rStyle w:val="Hyperlink"/>
            <w:noProof/>
          </w:rPr>
          <w:t>4 Abbreviated terms</w:t>
        </w:r>
        <w:r>
          <w:rPr>
            <w:noProof/>
            <w:webHidden/>
          </w:rPr>
          <w:tab/>
        </w:r>
        <w:r>
          <w:rPr>
            <w:noProof/>
            <w:webHidden/>
          </w:rPr>
          <w:fldChar w:fldCharType="begin"/>
        </w:r>
        <w:r>
          <w:rPr>
            <w:noProof/>
            <w:webHidden/>
          </w:rPr>
          <w:instrText xml:space="preserve"> PAGEREF _Toc52181576 \h </w:instrText>
        </w:r>
        <w:r>
          <w:rPr>
            <w:noProof/>
            <w:webHidden/>
          </w:rPr>
        </w:r>
        <w:r>
          <w:rPr>
            <w:noProof/>
            <w:webHidden/>
          </w:rPr>
          <w:fldChar w:fldCharType="separate"/>
        </w:r>
        <w:r>
          <w:rPr>
            <w:noProof/>
            <w:webHidden/>
          </w:rPr>
          <w:t>16</w:t>
        </w:r>
        <w:r>
          <w:rPr>
            <w:noProof/>
            <w:webHidden/>
          </w:rPr>
          <w:fldChar w:fldCharType="end"/>
        </w:r>
      </w:hyperlink>
    </w:p>
    <w:p w14:paraId="3A8D83F4" w14:textId="003D3F11" w:rsidR="00507A67" w:rsidRDefault="00507A67">
      <w:pPr>
        <w:pStyle w:val="TOC1"/>
        <w:rPr>
          <w:rFonts w:asciiTheme="minorHAnsi" w:hAnsiTheme="minorHAnsi" w:cstheme="minorBidi"/>
          <w:b w:val="0"/>
          <w:noProof/>
          <w:lang w:eastAsia="en-CA"/>
        </w:rPr>
      </w:pPr>
      <w:hyperlink w:anchor="_Toc52181577" w:history="1">
        <w:r w:rsidRPr="00E53E72">
          <w:rPr>
            <w:rStyle w:val="Hyperlink"/>
            <w:noProof/>
          </w:rPr>
          <w:t>5 Conventions</w:t>
        </w:r>
        <w:r>
          <w:rPr>
            <w:noProof/>
            <w:webHidden/>
          </w:rPr>
          <w:tab/>
        </w:r>
        <w:r>
          <w:rPr>
            <w:noProof/>
            <w:webHidden/>
          </w:rPr>
          <w:fldChar w:fldCharType="begin"/>
        </w:r>
        <w:r>
          <w:rPr>
            <w:noProof/>
            <w:webHidden/>
          </w:rPr>
          <w:instrText xml:space="preserve"> PAGEREF _Toc52181577 \h </w:instrText>
        </w:r>
        <w:r>
          <w:rPr>
            <w:noProof/>
            <w:webHidden/>
          </w:rPr>
        </w:r>
        <w:r>
          <w:rPr>
            <w:noProof/>
            <w:webHidden/>
          </w:rPr>
          <w:fldChar w:fldCharType="separate"/>
        </w:r>
        <w:r>
          <w:rPr>
            <w:noProof/>
            <w:webHidden/>
          </w:rPr>
          <w:t>18</w:t>
        </w:r>
        <w:r>
          <w:rPr>
            <w:noProof/>
            <w:webHidden/>
          </w:rPr>
          <w:fldChar w:fldCharType="end"/>
        </w:r>
      </w:hyperlink>
    </w:p>
    <w:p w14:paraId="620BEF92" w14:textId="39DDC661" w:rsidR="00507A67" w:rsidRDefault="00507A67">
      <w:pPr>
        <w:pStyle w:val="TOC2"/>
        <w:rPr>
          <w:rFonts w:asciiTheme="minorHAnsi" w:hAnsiTheme="minorHAnsi" w:cstheme="minorBidi"/>
          <w:b w:val="0"/>
          <w:noProof/>
          <w:lang w:eastAsia="en-CA"/>
        </w:rPr>
      </w:pPr>
      <w:hyperlink w:anchor="_Toc52181578" w:history="1">
        <w:r w:rsidRPr="00E53E72">
          <w:rPr>
            <w:rStyle w:val="Hyperlink"/>
            <w:noProof/>
          </w:rPr>
          <w:t>5.1 General</w:t>
        </w:r>
        <w:r>
          <w:rPr>
            <w:noProof/>
            <w:webHidden/>
          </w:rPr>
          <w:tab/>
        </w:r>
        <w:r>
          <w:rPr>
            <w:noProof/>
            <w:webHidden/>
          </w:rPr>
          <w:fldChar w:fldCharType="begin"/>
        </w:r>
        <w:r>
          <w:rPr>
            <w:noProof/>
            <w:webHidden/>
          </w:rPr>
          <w:instrText xml:space="preserve"> PAGEREF _Toc52181578 \h </w:instrText>
        </w:r>
        <w:r>
          <w:rPr>
            <w:noProof/>
            <w:webHidden/>
          </w:rPr>
        </w:r>
        <w:r>
          <w:rPr>
            <w:noProof/>
            <w:webHidden/>
          </w:rPr>
          <w:fldChar w:fldCharType="separate"/>
        </w:r>
        <w:r>
          <w:rPr>
            <w:noProof/>
            <w:webHidden/>
          </w:rPr>
          <w:t>18</w:t>
        </w:r>
        <w:r>
          <w:rPr>
            <w:noProof/>
            <w:webHidden/>
          </w:rPr>
          <w:fldChar w:fldCharType="end"/>
        </w:r>
      </w:hyperlink>
    </w:p>
    <w:p w14:paraId="7EF29C43" w14:textId="00D301EF" w:rsidR="00507A67" w:rsidRDefault="00507A67">
      <w:pPr>
        <w:pStyle w:val="TOC2"/>
        <w:rPr>
          <w:rFonts w:asciiTheme="minorHAnsi" w:hAnsiTheme="minorHAnsi" w:cstheme="minorBidi"/>
          <w:b w:val="0"/>
          <w:noProof/>
          <w:lang w:eastAsia="en-CA"/>
        </w:rPr>
      </w:pPr>
      <w:hyperlink w:anchor="_Toc52181579" w:history="1">
        <w:r w:rsidRPr="00E53E72">
          <w:rPr>
            <w:rStyle w:val="Hyperlink"/>
            <w:noProof/>
          </w:rPr>
          <w:t>5.2 Arithmetic operators</w:t>
        </w:r>
        <w:r>
          <w:rPr>
            <w:noProof/>
            <w:webHidden/>
          </w:rPr>
          <w:tab/>
        </w:r>
        <w:r>
          <w:rPr>
            <w:noProof/>
            <w:webHidden/>
          </w:rPr>
          <w:fldChar w:fldCharType="begin"/>
        </w:r>
        <w:r>
          <w:rPr>
            <w:noProof/>
            <w:webHidden/>
          </w:rPr>
          <w:instrText xml:space="preserve"> PAGEREF _Toc52181579 \h </w:instrText>
        </w:r>
        <w:r>
          <w:rPr>
            <w:noProof/>
            <w:webHidden/>
          </w:rPr>
        </w:r>
        <w:r>
          <w:rPr>
            <w:noProof/>
            <w:webHidden/>
          </w:rPr>
          <w:fldChar w:fldCharType="separate"/>
        </w:r>
        <w:r>
          <w:rPr>
            <w:noProof/>
            <w:webHidden/>
          </w:rPr>
          <w:t>18</w:t>
        </w:r>
        <w:r>
          <w:rPr>
            <w:noProof/>
            <w:webHidden/>
          </w:rPr>
          <w:fldChar w:fldCharType="end"/>
        </w:r>
      </w:hyperlink>
    </w:p>
    <w:p w14:paraId="3C61A995" w14:textId="26E7DC52" w:rsidR="00507A67" w:rsidRDefault="00507A67">
      <w:pPr>
        <w:pStyle w:val="TOC2"/>
        <w:rPr>
          <w:rFonts w:asciiTheme="minorHAnsi" w:hAnsiTheme="minorHAnsi" w:cstheme="minorBidi"/>
          <w:b w:val="0"/>
          <w:noProof/>
          <w:lang w:eastAsia="en-CA"/>
        </w:rPr>
      </w:pPr>
      <w:hyperlink w:anchor="_Toc52181580" w:history="1">
        <w:r w:rsidRPr="00E53E72">
          <w:rPr>
            <w:rStyle w:val="Hyperlink"/>
            <w:noProof/>
          </w:rPr>
          <w:t>5.3 Logical operators</w:t>
        </w:r>
        <w:r>
          <w:rPr>
            <w:noProof/>
            <w:webHidden/>
          </w:rPr>
          <w:tab/>
        </w:r>
        <w:r>
          <w:rPr>
            <w:noProof/>
            <w:webHidden/>
          </w:rPr>
          <w:fldChar w:fldCharType="begin"/>
        </w:r>
        <w:r>
          <w:rPr>
            <w:noProof/>
            <w:webHidden/>
          </w:rPr>
          <w:instrText xml:space="preserve"> PAGEREF _Toc52181580 \h </w:instrText>
        </w:r>
        <w:r>
          <w:rPr>
            <w:noProof/>
            <w:webHidden/>
          </w:rPr>
        </w:r>
        <w:r>
          <w:rPr>
            <w:noProof/>
            <w:webHidden/>
          </w:rPr>
          <w:fldChar w:fldCharType="separate"/>
        </w:r>
        <w:r>
          <w:rPr>
            <w:noProof/>
            <w:webHidden/>
          </w:rPr>
          <w:t>18</w:t>
        </w:r>
        <w:r>
          <w:rPr>
            <w:noProof/>
            <w:webHidden/>
          </w:rPr>
          <w:fldChar w:fldCharType="end"/>
        </w:r>
      </w:hyperlink>
    </w:p>
    <w:p w14:paraId="09B37AB2" w14:textId="25A89ED0" w:rsidR="00507A67" w:rsidRDefault="00507A67">
      <w:pPr>
        <w:pStyle w:val="TOC2"/>
        <w:rPr>
          <w:rFonts w:asciiTheme="minorHAnsi" w:hAnsiTheme="minorHAnsi" w:cstheme="minorBidi"/>
          <w:b w:val="0"/>
          <w:noProof/>
          <w:lang w:eastAsia="en-CA"/>
        </w:rPr>
      </w:pPr>
      <w:hyperlink w:anchor="_Toc52181581" w:history="1">
        <w:r w:rsidRPr="00E53E72">
          <w:rPr>
            <w:rStyle w:val="Hyperlink"/>
            <w:noProof/>
          </w:rPr>
          <w:t>5.4 Relational operators</w:t>
        </w:r>
        <w:r>
          <w:rPr>
            <w:noProof/>
            <w:webHidden/>
          </w:rPr>
          <w:tab/>
        </w:r>
        <w:r>
          <w:rPr>
            <w:noProof/>
            <w:webHidden/>
          </w:rPr>
          <w:fldChar w:fldCharType="begin"/>
        </w:r>
        <w:r>
          <w:rPr>
            <w:noProof/>
            <w:webHidden/>
          </w:rPr>
          <w:instrText xml:space="preserve"> PAGEREF _Toc52181581 \h </w:instrText>
        </w:r>
        <w:r>
          <w:rPr>
            <w:noProof/>
            <w:webHidden/>
          </w:rPr>
        </w:r>
        <w:r>
          <w:rPr>
            <w:noProof/>
            <w:webHidden/>
          </w:rPr>
          <w:fldChar w:fldCharType="separate"/>
        </w:r>
        <w:r>
          <w:rPr>
            <w:noProof/>
            <w:webHidden/>
          </w:rPr>
          <w:t>18</w:t>
        </w:r>
        <w:r>
          <w:rPr>
            <w:noProof/>
            <w:webHidden/>
          </w:rPr>
          <w:fldChar w:fldCharType="end"/>
        </w:r>
      </w:hyperlink>
    </w:p>
    <w:p w14:paraId="4576AFAB" w14:textId="6AFB190A" w:rsidR="00507A67" w:rsidRDefault="00507A67">
      <w:pPr>
        <w:pStyle w:val="TOC2"/>
        <w:rPr>
          <w:rFonts w:asciiTheme="minorHAnsi" w:hAnsiTheme="minorHAnsi" w:cstheme="minorBidi"/>
          <w:b w:val="0"/>
          <w:noProof/>
          <w:lang w:eastAsia="en-CA"/>
        </w:rPr>
      </w:pPr>
      <w:hyperlink w:anchor="_Toc52181582" w:history="1">
        <w:r w:rsidRPr="00E53E72">
          <w:rPr>
            <w:rStyle w:val="Hyperlink"/>
            <w:noProof/>
          </w:rPr>
          <w:t>5.5 Bit-wise operators</w:t>
        </w:r>
        <w:r>
          <w:rPr>
            <w:noProof/>
            <w:webHidden/>
          </w:rPr>
          <w:tab/>
        </w:r>
        <w:r>
          <w:rPr>
            <w:noProof/>
            <w:webHidden/>
          </w:rPr>
          <w:fldChar w:fldCharType="begin"/>
        </w:r>
        <w:r>
          <w:rPr>
            <w:noProof/>
            <w:webHidden/>
          </w:rPr>
          <w:instrText xml:space="preserve"> PAGEREF _Toc52181582 \h </w:instrText>
        </w:r>
        <w:r>
          <w:rPr>
            <w:noProof/>
            <w:webHidden/>
          </w:rPr>
        </w:r>
        <w:r>
          <w:rPr>
            <w:noProof/>
            <w:webHidden/>
          </w:rPr>
          <w:fldChar w:fldCharType="separate"/>
        </w:r>
        <w:r>
          <w:rPr>
            <w:noProof/>
            <w:webHidden/>
          </w:rPr>
          <w:t>18</w:t>
        </w:r>
        <w:r>
          <w:rPr>
            <w:noProof/>
            <w:webHidden/>
          </w:rPr>
          <w:fldChar w:fldCharType="end"/>
        </w:r>
      </w:hyperlink>
    </w:p>
    <w:p w14:paraId="753E0504" w14:textId="6BC76053" w:rsidR="00507A67" w:rsidRDefault="00507A67">
      <w:pPr>
        <w:pStyle w:val="TOC2"/>
        <w:rPr>
          <w:rFonts w:asciiTheme="minorHAnsi" w:hAnsiTheme="minorHAnsi" w:cstheme="minorBidi"/>
          <w:b w:val="0"/>
          <w:noProof/>
          <w:lang w:eastAsia="en-CA"/>
        </w:rPr>
      </w:pPr>
      <w:hyperlink w:anchor="_Toc52181583" w:history="1">
        <w:r w:rsidRPr="00E53E72">
          <w:rPr>
            <w:rStyle w:val="Hyperlink"/>
            <w:noProof/>
          </w:rPr>
          <w:t>5.6 Assignment operators</w:t>
        </w:r>
        <w:r>
          <w:rPr>
            <w:noProof/>
            <w:webHidden/>
          </w:rPr>
          <w:tab/>
        </w:r>
        <w:r>
          <w:rPr>
            <w:noProof/>
            <w:webHidden/>
          </w:rPr>
          <w:fldChar w:fldCharType="begin"/>
        </w:r>
        <w:r>
          <w:rPr>
            <w:noProof/>
            <w:webHidden/>
          </w:rPr>
          <w:instrText xml:space="preserve"> PAGEREF _Toc52181583 \h </w:instrText>
        </w:r>
        <w:r>
          <w:rPr>
            <w:noProof/>
            <w:webHidden/>
          </w:rPr>
        </w:r>
        <w:r>
          <w:rPr>
            <w:noProof/>
            <w:webHidden/>
          </w:rPr>
          <w:fldChar w:fldCharType="separate"/>
        </w:r>
        <w:r>
          <w:rPr>
            <w:noProof/>
            <w:webHidden/>
          </w:rPr>
          <w:t>19</w:t>
        </w:r>
        <w:r>
          <w:rPr>
            <w:noProof/>
            <w:webHidden/>
          </w:rPr>
          <w:fldChar w:fldCharType="end"/>
        </w:r>
      </w:hyperlink>
    </w:p>
    <w:p w14:paraId="675358BF" w14:textId="03543AD7" w:rsidR="00507A67" w:rsidRDefault="00507A67">
      <w:pPr>
        <w:pStyle w:val="TOC2"/>
        <w:rPr>
          <w:rFonts w:asciiTheme="minorHAnsi" w:hAnsiTheme="minorHAnsi" w:cstheme="minorBidi"/>
          <w:b w:val="0"/>
          <w:noProof/>
          <w:lang w:eastAsia="en-CA"/>
        </w:rPr>
      </w:pPr>
      <w:hyperlink w:anchor="_Toc52181584" w:history="1">
        <w:r w:rsidRPr="00E53E72">
          <w:rPr>
            <w:rStyle w:val="Hyperlink"/>
            <w:noProof/>
          </w:rPr>
          <w:t>5.7 Other operators</w:t>
        </w:r>
        <w:r>
          <w:rPr>
            <w:noProof/>
            <w:webHidden/>
          </w:rPr>
          <w:tab/>
        </w:r>
        <w:r>
          <w:rPr>
            <w:noProof/>
            <w:webHidden/>
          </w:rPr>
          <w:fldChar w:fldCharType="begin"/>
        </w:r>
        <w:r>
          <w:rPr>
            <w:noProof/>
            <w:webHidden/>
          </w:rPr>
          <w:instrText xml:space="preserve"> PAGEREF _Toc52181584 \h </w:instrText>
        </w:r>
        <w:r>
          <w:rPr>
            <w:noProof/>
            <w:webHidden/>
          </w:rPr>
        </w:r>
        <w:r>
          <w:rPr>
            <w:noProof/>
            <w:webHidden/>
          </w:rPr>
          <w:fldChar w:fldCharType="separate"/>
        </w:r>
        <w:r>
          <w:rPr>
            <w:noProof/>
            <w:webHidden/>
          </w:rPr>
          <w:t>19</w:t>
        </w:r>
        <w:r>
          <w:rPr>
            <w:noProof/>
            <w:webHidden/>
          </w:rPr>
          <w:fldChar w:fldCharType="end"/>
        </w:r>
      </w:hyperlink>
    </w:p>
    <w:p w14:paraId="03807F9E" w14:textId="1B1823E1" w:rsidR="00507A67" w:rsidRDefault="00507A67">
      <w:pPr>
        <w:pStyle w:val="TOC2"/>
        <w:rPr>
          <w:rFonts w:asciiTheme="minorHAnsi" w:hAnsiTheme="minorHAnsi" w:cstheme="minorBidi"/>
          <w:b w:val="0"/>
          <w:noProof/>
          <w:lang w:eastAsia="en-CA"/>
        </w:rPr>
      </w:pPr>
      <w:hyperlink w:anchor="_Toc52181585" w:history="1">
        <w:r w:rsidRPr="00E53E72">
          <w:rPr>
            <w:rStyle w:val="Hyperlink"/>
            <w:noProof/>
          </w:rPr>
          <w:t>5.8 Mathematical functions</w:t>
        </w:r>
        <w:r>
          <w:rPr>
            <w:noProof/>
            <w:webHidden/>
          </w:rPr>
          <w:tab/>
        </w:r>
        <w:r>
          <w:rPr>
            <w:noProof/>
            <w:webHidden/>
          </w:rPr>
          <w:fldChar w:fldCharType="begin"/>
        </w:r>
        <w:r>
          <w:rPr>
            <w:noProof/>
            <w:webHidden/>
          </w:rPr>
          <w:instrText xml:space="preserve"> PAGEREF _Toc52181585 \h </w:instrText>
        </w:r>
        <w:r>
          <w:rPr>
            <w:noProof/>
            <w:webHidden/>
          </w:rPr>
        </w:r>
        <w:r>
          <w:rPr>
            <w:noProof/>
            <w:webHidden/>
          </w:rPr>
          <w:fldChar w:fldCharType="separate"/>
        </w:r>
        <w:r>
          <w:rPr>
            <w:noProof/>
            <w:webHidden/>
          </w:rPr>
          <w:t>19</w:t>
        </w:r>
        <w:r>
          <w:rPr>
            <w:noProof/>
            <w:webHidden/>
          </w:rPr>
          <w:fldChar w:fldCharType="end"/>
        </w:r>
      </w:hyperlink>
    </w:p>
    <w:p w14:paraId="73AC76E9" w14:textId="5D9F1E6E" w:rsidR="00507A67" w:rsidRDefault="00507A67">
      <w:pPr>
        <w:pStyle w:val="TOC2"/>
        <w:rPr>
          <w:rFonts w:asciiTheme="minorHAnsi" w:hAnsiTheme="minorHAnsi" w:cstheme="minorBidi"/>
          <w:b w:val="0"/>
          <w:noProof/>
          <w:lang w:eastAsia="en-CA"/>
        </w:rPr>
      </w:pPr>
      <w:hyperlink w:anchor="_Toc52181586" w:history="1">
        <w:r w:rsidRPr="00E53E72">
          <w:rPr>
            <w:rStyle w:val="Hyperlink"/>
            <w:noProof/>
          </w:rPr>
          <w:t>5.9 Order of operation precedence</w:t>
        </w:r>
        <w:r>
          <w:rPr>
            <w:noProof/>
            <w:webHidden/>
          </w:rPr>
          <w:tab/>
        </w:r>
        <w:r>
          <w:rPr>
            <w:noProof/>
            <w:webHidden/>
          </w:rPr>
          <w:fldChar w:fldCharType="begin"/>
        </w:r>
        <w:r>
          <w:rPr>
            <w:noProof/>
            <w:webHidden/>
          </w:rPr>
          <w:instrText xml:space="preserve"> PAGEREF _Toc52181586 \h </w:instrText>
        </w:r>
        <w:r>
          <w:rPr>
            <w:noProof/>
            <w:webHidden/>
          </w:rPr>
        </w:r>
        <w:r>
          <w:rPr>
            <w:noProof/>
            <w:webHidden/>
          </w:rPr>
          <w:fldChar w:fldCharType="separate"/>
        </w:r>
        <w:r>
          <w:rPr>
            <w:noProof/>
            <w:webHidden/>
          </w:rPr>
          <w:t>20</w:t>
        </w:r>
        <w:r>
          <w:rPr>
            <w:noProof/>
            <w:webHidden/>
          </w:rPr>
          <w:fldChar w:fldCharType="end"/>
        </w:r>
      </w:hyperlink>
    </w:p>
    <w:p w14:paraId="3A5AB06C" w14:textId="14CE63F8" w:rsidR="00507A67" w:rsidRDefault="00507A67">
      <w:pPr>
        <w:pStyle w:val="TOC2"/>
        <w:rPr>
          <w:rFonts w:asciiTheme="minorHAnsi" w:hAnsiTheme="minorHAnsi" w:cstheme="minorBidi"/>
          <w:b w:val="0"/>
          <w:noProof/>
          <w:lang w:eastAsia="en-CA"/>
        </w:rPr>
      </w:pPr>
      <w:hyperlink w:anchor="_Toc52181587" w:history="1">
        <w:r w:rsidRPr="00E53E72">
          <w:rPr>
            <w:rStyle w:val="Hyperlink"/>
            <w:noProof/>
          </w:rPr>
          <w:t>5.10 Variables, syntax elements, and tables</w:t>
        </w:r>
        <w:r>
          <w:rPr>
            <w:noProof/>
            <w:webHidden/>
          </w:rPr>
          <w:tab/>
        </w:r>
        <w:r>
          <w:rPr>
            <w:noProof/>
            <w:webHidden/>
          </w:rPr>
          <w:fldChar w:fldCharType="begin"/>
        </w:r>
        <w:r>
          <w:rPr>
            <w:noProof/>
            <w:webHidden/>
          </w:rPr>
          <w:instrText xml:space="preserve"> PAGEREF _Toc52181587 \h </w:instrText>
        </w:r>
        <w:r>
          <w:rPr>
            <w:noProof/>
            <w:webHidden/>
          </w:rPr>
        </w:r>
        <w:r>
          <w:rPr>
            <w:noProof/>
            <w:webHidden/>
          </w:rPr>
          <w:fldChar w:fldCharType="separate"/>
        </w:r>
        <w:r>
          <w:rPr>
            <w:noProof/>
            <w:webHidden/>
          </w:rPr>
          <w:t>21</w:t>
        </w:r>
        <w:r>
          <w:rPr>
            <w:noProof/>
            <w:webHidden/>
          </w:rPr>
          <w:fldChar w:fldCharType="end"/>
        </w:r>
      </w:hyperlink>
    </w:p>
    <w:p w14:paraId="442EE8BD" w14:textId="413EF2E4" w:rsidR="00507A67" w:rsidRDefault="00507A67">
      <w:pPr>
        <w:pStyle w:val="TOC2"/>
        <w:rPr>
          <w:rFonts w:asciiTheme="minorHAnsi" w:hAnsiTheme="minorHAnsi" w:cstheme="minorBidi"/>
          <w:b w:val="0"/>
          <w:noProof/>
          <w:lang w:eastAsia="en-CA"/>
        </w:rPr>
      </w:pPr>
      <w:hyperlink w:anchor="_Toc52181588" w:history="1">
        <w:r w:rsidRPr="00E53E72">
          <w:rPr>
            <w:rStyle w:val="Hyperlink"/>
            <w:noProof/>
          </w:rPr>
          <w:t>5.11 Text description of logical operations</w:t>
        </w:r>
        <w:r>
          <w:rPr>
            <w:noProof/>
            <w:webHidden/>
          </w:rPr>
          <w:tab/>
        </w:r>
        <w:r>
          <w:rPr>
            <w:noProof/>
            <w:webHidden/>
          </w:rPr>
          <w:fldChar w:fldCharType="begin"/>
        </w:r>
        <w:r>
          <w:rPr>
            <w:noProof/>
            <w:webHidden/>
          </w:rPr>
          <w:instrText xml:space="preserve"> PAGEREF _Toc52181588 \h </w:instrText>
        </w:r>
        <w:r>
          <w:rPr>
            <w:noProof/>
            <w:webHidden/>
          </w:rPr>
        </w:r>
        <w:r>
          <w:rPr>
            <w:noProof/>
            <w:webHidden/>
          </w:rPr>
          <w:fldChar w:fldCharType="separate"/>
        </w:r>
        <w:r>
          <w:rPr>
            <w:noProof/>
            <w:webHidden/>
          </w:rPr>
          <w:t>23</w:t>
        </w:r>
        <w:r>
          <w:rPr>
            <w:noProof/>
            <w:webHidden/>
          </w:rPr>
          <w:fldChar w:fldCharType="end"/>
        </w:r>
      </w:hyperlink>
    </w:p>
    <w:p w14:paraId="56A37BC4" w14:textId="2D61C473" w:rsidR="00507A67" w:rsidRDefault="00507A67">
      <w:pPr>
        <w:pStyle w:val="TOC2"/>
        <w:rPr>
          <w:rFonts w:asciiTheme="minorHAnsi" w:hAnsiTheme="minorHAnsi" w:cstheme="minorBidi"/>
          <w:b w:val="0"/>
          <w:noProof/>
          <w:lang w:eastAsia="en-CA"/>
        </w:rPr>
      </w:pPr>
      <w:hyperlink w:anchor="_Toc52181589" w:history="1">
        <w:r w:rsidRPr="00E53E72">
          <w:rPr>
            <w:rStyle w:val="Hyperlink"/>
            <w:noProof/>
          </w:rPr>
          <w:t>5.12 Processes</w:t>
        </w:r>
        <w:r>
          <w:rPr>
            <w:noProof/>
            <w:webHidden/>
          </w:rPr>
          <w:tab/>
        </w:r>
        <w:r>
          <w:rPr>
            <w:noProof/>
            <w:webHidden/>
          </w:rPr>
          <w:fldChar w:fldCharType="begin"/>
        </w:r>
        <w:r>
          <w:rPr>
            <w:noProof/>
            <w:webHidden/>
          </w:rPr>
          <w:instrText xml:space="preserve"> PAGEREF _Toc52181589 \h </w:instrText>
        </w:r>
        <w:r>
          <w:rPr>
            <w:noProof/>
            <w:webHidden/>
          </w:rPr>
        </w:r>
        <w:r>
          <w:rPr>
            <w:noProof/>
            <w:webHidden/>
          </w:rPr>
          <w:fldChar w:fldCharType="separate"/>
        </w:r>
        <w:r>
          <w:rPr>
            <w:noProof/>
            <w:webHidden/>
          </w:rPr>
          <w:t>24</w:t>
        </w:r>
        <w:r>
          <w:rPr>
            <w:noProof/>
            <w:webHidden/>
          </w:rPr>
          <w:fldChar w:fldCharType="end"/>
        </w:r>
      </w:hyperlink>
    </w:p>
    <w:p w14:paraId="58CFF7A0" w14:textId="0201F215" w:rsidR="00507A67" w:rsidRDefault="00507A67">
      <w:pPr>
        <w:pStyle w:val="TOC1"/>
        <w:rPr>
          <w:rFonts w:asciiTheme="minorHAnsi" w:hAnsiTheme="minorHAnsi" w:cstheme="minorBidi"/>
          <w:b w:val="0"/>
          <w:noProof/>
          <w:lang w:eastAsia="en-CA"/>
        </w:rPr>
      </w:pPr>
      <w:hyperlink w:anchor="_Toc52181590" w:history="1">
        <w:r w:rsidRPr="00E53E72">
          <w:rPr>
            <w:rStyle w:val="Hyperlink"/>
            <w:noProof/>
          </w:rPr>
          <w:t>6 Overall V3C characteristics, decoding operations, and post-decoding processes</w:t>
        </w:r>
        <w:r>
          <w:rPr>
            <w:noProof/>
            <w:webHidden/>
          </w:rPr>
          <w:tab/>
        </w:r>
        <w:r>
          <w:rPr>
            <w:noProof/>
            <w:webHidden/>
          </w:rPr>
          <w:fldChar w:fldCharType="begin"/>
        </w:r>
        <w:r>
          <w:rPr>
            <w:noProof/>
            <w:webHidden/>
          </w:rPr>
          <w:instrText xml:space="preserve"> PAGEREF _Toc52181590 \h </w:instrText>
        </w:r>
        <w:r>
          <w:rPr>
            <w:noProof/>
            <w:webHidden/>
          </w:rPr>
        </w:r>
        <w:r>
          <w:rPr>
            <w:noProof/>
            <w:webHidden/>
          </w:rPr>
          <w:fldChar w:fldCharType="separate"/>
        </w:r>
        <w:r>
          <w:rPr>
            <w:noProof/>
            <w:webHidden/>
          </w:rPr>
          <w:t>25</w:t>
        </w:r>
        <w:r>
          <w:rPr>
            <w:noProof/>
            <w:webHidden/>
          </w:rPr>
          <w:fldChar w:fldCharType="end"/>
        </w:r>
      </w:hyperlink>
    </w:p>
    <w:p w14:paraId="3D5BA4C5" w14:textId="48F06438" w:rsidR="00507A67" w:rsidRDefault="00507A67">
      <w:pPr>
        <w:pStyle w:val="TOC2"/>
        <w:rPr>
          <w:rFonts w:asciiTheme="minorHAnsi" w:hAnsiTheme="minorHAnsi" w:cstheme="minorBidi"/>
          <w:b w:val="0"/>
          <w:noProof/>
          <w:lang w:eastAsia="en-CA"/>
        </w:rPr>
      </w:pPr>
      <w:hyperlink w:anchor="_Toc52181591" w:history="1">
        <w:r w:rsidRPr="00E53E72">
          <w:rPr>
            <w:rStyle w:val="Hyperlink"/>
            <w:noProof/>
          </w:rPr>
          <w:t>6.1 V3C characteristics</w:t>
        </w:r>
        <w:r>
          <w:rPr>
            <w:noProof/>
            <w:webHidden/>
          </w:rPr>
          <w:tab/>
        </w:r>
        <w:r>
          <w:rPr>
            <w:noProof/>
            <w:webHidden/>
          </w:rPr>
          <w:fldChar w:fldCharType="begin"/>
        </w:r>
        <w:r>
          <w:rPr>
            <w:noProof/>
            <w:webHidden/>
          </w:rPr>
          <w:instrText xml:space="preserve"> PAGEREF _Toc52181591 \h </w:instrText>
        </w:r>
        <w:r>
          <w:rPr>
            <w:noProof/>
            <w:webHidden/>
          </w:rPr>
        </w:r>
        <w:r>
          <w:rPr>
            <w:noProof/>
            <w:webHidden/>
          </w:rPr>
          <w:fldChar w:fldCharType="separate"/>
        </w:r>
        <w:r>
          <w:rPr>
            <w:noProof/>
            <w:webHidden/>
          </w:rPr>
          <w:t>25</w:t>
        </w:r>
        <w:r>
          <w:rPr>
            <w:noProof/>
            <w:webHidden/>
          </w:rPr>
          <w:fldChar w:fldCharType="end"/>
        </w:r>
      </w:hyperlink>
    </w:p>
    <w:p w14:paraId="7FCCE5C4" w14:textId="080E3F8D" w:rsidR="00507A67" w:rsidRDefault="00507A67">
      <w:pPr>
        <w:pStyle w:val="TOC2"/>
        <w:rPr>
          <w:rFonts w:asciiTheme="minorHAnsi" w:hAnsiTheme="minorHAnsi" w:cstheme="minorBidi"/>
          <w:b w:val="0"/>
          <w:noProof/>
          <w:lang w:eastAsia="en-CA"/>
        </w:rPr>
      </w:pPr>
      <w:hyperlink w:anchor="_Toc52181592" w:history="1">
        <w:r w:rsidRPr="00E53E72">
          <w:rPr>
            <w:rStyle w:val="Hyperlink"/>
            <w:noProof/>
          </w:rPr>
          <w:t>6.2 V3C bitstream characteristics, decoding operations, and post-decoding processes</w:t>
        </w:r>
        <w:r>
          <w:rPr>
            <w:noProof/>
            <w:webHidden/>
          </w:rPr>
          <w:tab/>
        </w:r>
        <w:r>
          <w:rPr>
            <w:noProof/>
            <w:webHidden/>
          </w:rPr>
          <w:fldChar w:fldCharType="begin"/>
        </w:r>
        <w:r>
          <w:rPr>
            <w:noProof/>
            <w:webHidden/>
          </w:rPr>
          <w:instrText xml:space="preserve"> PAGEREF _Toc52181592 \h </w:instrText>
        </w:r>
        <w:r>
          <w:rPr>
            <w:noProof/>
            <w:webHidden/>
          </w:rPr>
        </w:r>
        <w:r>
          <w:rPr>
            <w:noProof/>
            <w:webHidden/>
          </w:rPr>
          <w:fldChar w:fldCharType="separate"/>
        </w:r>
        <w:r>
          <w:rPr>
            <w:noProof/>
            <w:webHidden/>
          </w:rPr>
          <w:t>27</w:t>
        </w:r>
        <w:r>
          <w:rPr>
            <w:noProof/>
            <w:webHidden/>
          </w:rPr>
          <w:fldChar w:fldCharType="end"/>
        </w:r>
      </w:hyperlink>
    </w:p>
    <w:p w14:paraId="729785FD" w14:textId="05312C6F" w:rsidR="00507A67" w:rsidRDefault="00507A67">
      <w:pPr>
        <w:pStyle w:val="TOC1"/>
        <w:rPr>
          <w:rFonts w:asciiTheme="minorHAnsi" w:hAnsiTheme="minorHAnsi" w:cstheme="minorBidi"/>
          <w:b w:val="0"/>
          <w:noProof/>
          <w:lang w:eastAsia="en-CA"/>
        </w:rPr>
      </w:pPr>
      <w:hyperlink w:anchor="_Toc52181593" w:history="1">
        <w:r w:rsidRPr="00E53E72">
          <w:rPr>
            <w:rStyle w:val="Hyperlink"/>
            <w:noProof/>
          </w:rPr>
          <w:t>7 Bitstream format, partitioning, and scanning processes</w:t>
        </w:r>
        <w:r>
          <w:rPr>
            <w:noProof/>
            <w:webHidden/>
          </w:rPr>
          <w:tab/>
        </w:r>
        <w:r>
          <w:rPr>
            <w:noProof/>
            <w:webHidden/>
          </w:rPr>
          <w:fldChar w:fldCharType="begin"/>
        </w:r>
        <w:r>
          <w:rPr>
            <w:noProof/>
            <w:webHidden/>
          </w:rPr>
          <w:instrText xml:space="preserve"> PAGEREF _Toc52181593 \h </w:instrText>
        </w:r>
        <w:r>
          <w:rPr>
            <w:noProof/>
            <w:webHidden/>
          </w:rPr>
        </w:r>
        <w:r>
          <w:rPr>
            <w:noProof/>
            <w:webHidden/>
          </w:rPr>
          <w:fldChar w:fldCharType="separate"/>
        </w:r>
        <w:r>
          <w:rPr>
            <w:noProof/>
            <w:webHidden/>
          </w:rPr>
          <w:t>28</w:t>
        </w:r>
        <w:r>
          <w:rPr>
            <w:noProof/>
            <w:webHidden/>
          </w:rPr>
          <w:fldChar w:fldCharType="end"/>
        </w:r>
      </w:hyperlink>
    </w:p>
    <w:p w14:paraId="39FC296E" w14:textId="68D62A71" w:rsidR="00507A67" w:rsidRDefault="00507A67">
      <w:pPr>
        <w:pStyle w:val="TOC2"/>
        <w:rPr>
          <w:rFonts w:asciiTheme="minorHAnsi" w:hAnsiTheme="minorHAnsi" w:cstheme="minorBidi"/>
          <w:b w:val="0"/>
          <w:noProof/>
          <w:lang w:eastAsia="en-CA"/>
        </w:rPr>
      </w:pPr>
      <w:hyperlink w:anchor="_Toc52181594" w:history="1">
        <w:r w:rsidRPr="00E53E72">
          <w:rPr>
            <w:rStyle w:val="Hyperlink"/>
            <w:noProof/>
          </w:rPr>
          <w:t>7.1 General</w:t>
        </w:r>
        <w:r>
          <w:rPr>
            <w:noProof/>
            <w:webHidden/>
          </w:rPr>
          <w:tab/>
        </w:r>
        <w:r>
          <w:rPr>
            <w:noProof/>
            <w:webHidden/>
          </w:rPr>
          <w:fldChar w:fldCharType="begin"/>
        </w:r>
        <w:r>
          <w:rPr>
            <w:noProof/>
            <w:webHidden/>
          </w:rPr>
          <w:instrText xml:space="preserve"> PAGEREF _Toc52181594 \h </w:instrText>
        </w:r>
        <w:r>
          <w:rPr>
            <w:noProof/>
            <w:webHidden/>
          </w:rPr>
        </w:r>
        <w:r>
          <w:rPr>
            <w:noProof/>
            <w:webHidden/>
          </w:rPr>
          <w:fldChar w:fldCharType="separate"/>
        </w:r>
        <w:r>
          <w:rPr>
            <w:noProof/>
            <w:webHidden/>
          </w:rPr>
          <w:t>28</w:t>
        </w:r>
        <w:r>
          <w:rPr>
            <w:noProof/>
            <w:webHidden/>
          </w:rPr>
          <w:fldChar w:fldCharType="end"/>
        </w:r>
      </w:hyperlink>
    </w:p>
    <w:p w14:paraId="19CE37CE" w14:textId="444E81CF" w:rsidR="00507A67" w:rsidRDefault="00507A67">
      <w:pPr>
        <w:pStyle w:val="TOC2"/>
        <w:rPr>
          <w:rFonts w:asciiTheme="minorHAnsi" w:hAnsiTheme="minorHAnsi" w:cstheme="minorBidi"/>
          <w:b w:val="0"/>
          <w:noProof/>
          <w:lang w:eastAsia="en-CA"/>
        </w:rPr>
      </w:pPr>
      <w:hyperlink w:anchor="_Toc52181595" w:history="1">
        <w:r w:rsidRPr="00E53E72">
          <w:rPr>
            <w:rStyle w:val="Hyperlink"/>
            <w:noProof/>
          </w:rPr>
          <w:t>7.2 V3C bitstream formats</w:t>
        </w:r>
        <w:r>
          <w:rPr>
            <w:noProof/>
            <w:webHidden/>
          </w:rPr>
          <w:tab/>
        </w:r>
        <w:r>
          <w:rPr>
            <w:noProof/>
            <w:webHidden/>
          </w:rPr>
          <w:fldChar w:fldCharType="begin"/>
        </w:r>
        <w:r>
          <w:rPr>
            <w:noProof/>
            <w:webHidden/>
          </w:rPr>
          <w:instrText xml:space="preserve"> PAGEREF _Toc52181595 \h </w:instrText>
        </w:r>
        <w:r>
          <w:rPr>
            <w:noProof/>
            <w:webHidden/>
          </w:rPr>
        </w:r>
        <w:r>
          <w:rPr>
            <w:noProof/>
            <w:webHidden/>
          </w:rPr>
          <w:fldChar w:fldCharType="separate"/>
        </w:r>
        <w:r>
          <w:rPr>
            <w:noProof/>
            <w:webHidden/>
          </w:rPr>
          <w:t>28</w:t>
        </w:r>
        <w:r>
          <w:rPr>
            <w:noProof/>
            <w:webHidden/>
          </w:rPr>
          <w:fldChar w:fldCharType="end"/>
        </w:r>
      </w:hyperlink>
    </w:p>
    <w:p w14:paraId="173FA152" w14:textId="4436E892" w:rsidR="00507A67" w:rsidRDefault="00507A67">
      <w:pPr>
        <w:pStyle w:val="TOC2"/>
        <w:rPr>
          <w:rFonts w:asciiTheme="minorHAnsi" w:hAnsiTheme="minorHAnsi" w:cstheme="minorBidi"/>
          <w:b w:val="0"/>
          <w:noProof/>
          <w:lang w:eastAsia="en-CA"/>
        </w:rPr>
      </w:pPr>
      <w:hyperlink w:anchor="_Toc52181596" w:history="1">
        <w:r w:rsidRPr="00E53E72">
          <w:rPr>
            <w:rStyle w:val="Hyperlink"/>
            <w:noProof/>
          </w:rPr>
          <w:t>7.3 NAL bitstream formats</w:t>
        </w:r>
        <w:r>
          <w:rPr>
            <w:noProof/>
            <w:webHidden/>
          </w:rPr>
          <w:tab/>
        </w:r>
        <w:r>
          <w:rPr>
            <w:noProof/>
            <w:webHidden/>
          </w:rPr>
          <w:fldChar w:fldCharType="begin"/>
        </w:r>
        <w:r>
          <w:rPr>
            <w:noProof/>
            <w:webHidden/>
          </w:rPr>
          <w:instrText xml:space="preserve"> PAGEREF _Toc52181596 \h </w:instrText>
        </w:r>
        <w:r>
          <w:rPr>
            <w:noProof/>
            <w:webHidden/>
          </w:rPr>
        </w:r>
        <w:r>
          <w:rPr>
            <w:noProof/>
            <w:webHidden/>
          </w:rPr>
          <w:fldChar w:fldCharType="separate"/>
        </w:r>
        <w:r>
          <w:rPr>
            <w:noProof/>
            <w:webHidden/>
          </w:rPr>
          <w:t>29</w:t>
        </w:r>
        <w:r>
          <w:rPr>
            <w:noProof/>
            <w:webHidden/>
          </w:rPr>
          <w:fldChar w:fldCharType="end"/>
        </w:r>
      </w:hyperlink>
    </w:p>
    <w:p w14:paraId="7F1C8533" w14:textId="3E340F7A" w:rsidR="00507A67" w:rsidRDefault="00507A67">
      <w:pPr>
        <w:pStyle w:val="TOC2"/>
        <w:rPr>
          <w:rFonts w:asciiTheme="minorHAnsi" w:hAnsiTheme="minorHAnsi" w:cstheme="minorBidi"/>
          <w:b w:val="0"/>
          <w:noProof/>
          <w:lang w:eastAsia="en-CA"/>
        </w:rPr>
      </w:pPr>
      <w:hyperlink w:anchor="_Toc52181597" w:history="1">
        <w:r w:rsidRPr="00E53E72">
          <w:rPr>
            <w:rStyle w:val="Hyperlink"/>
            <w:noProof/>
          </w:rPr>
          <w:t>7.4 Partitioning of atlas frames into tiles</w:t>
        </w:r>
        <w:r>
          <w:rPr>
            <w:noProof/>
            <w:webHidden/>
          </w:rPr>
          <w:tab/>
        </w:r>
        <w:r>
          <w:rPr>
            <w:noProof/>
            <w:webHidden/>
          </w:rPr>
          <w:fldChar w:fldCharType="begin"/>
        </w:r>
        <w:r>
          <w:rPr>
            <w:noProof/>
            <w:webHidden/>
          </w:rPr>
          <w:instrText xml:space="preserve"> PAGEREF _Toc52181597 \h </w:instrText>
        </w:r>
        <w:r>
          <w:rPr>
            <w:noProof/>
            <w:webHidden/>
          </w:rPr>
        </w:r>
        <w:r>
          <w:rPr>
            <w:noProof/>
            <w:webHidden/>
          </w:rPr>
          <w:fldChar w:fldCharType="separate"/>
        </w:r>
        <w:r>
          <w:rPr>
            <w:noProof/>
            <w:webHidden/>
          </w:rPr>
          <w:t>29</w:t>
        </w:r>
        <w:r>
          <w:rPr>
            <w:noProof/>
            <w:webHidden/>
          </w:rPr>
          <w:fldChar w:fldCharType="end"/>
        </w:r>
      </w:hyperlink>
    </w:p>
    <w:p w14:paraId="042F017F" w14:textId="67F926B1" w:rsidR="00507A67" w:rsidRDefault="00507A67">
      <w:pPr>
        <w:pStyle w:val="TOC2"/>
        <w:rPr>
          <w:rFonts w:asciiTheme="minorHAnsi" w:hAnsiTheme="minorHAnsi" w:cstheme="minorBidi"/>
          <w:b w:val="0"/>
          <w:noProof/>
          <w:lang w:eastAsia="en-CA"/>
        </w:rPr>
      </w:pPr>
      <w:hyperlink w:anchor="_Toc52181598" w:history="1">
        <w:r w:rsidRPr="00E53E72">
          <w:rPr>
            <w:rStyle w:val="Hyperlink"/>
            <w:noProof/>
          </w:rPr>
          <w:t>7.5 Tile partition scanning process</w:t>
        </w:r>
        <w:r>
          <w:rPr>
            <w:noProof/>
            <w:webHidden/>
          </w:rPr>
          <w:tab/>
        </w:r>
        <w:r>
          <w:rPr>
            <w:noProof/>
            <w:webHidden/>
          </w:rPr>
          <w:fldChar w:fldCharType="begin"/>
        </w:r>
        <w:r>
          <w:rPr>
            <w:noProof/>
            <w:webHidden/>
          </w:rPr>
          <w:instrText xml:space="preserve"> PAGEREF _Toc52181598 \h </w:instrText>
        </w:r>
        <w:r>
          <w:rPr>
            <w:noProof/>
            <w:webHidden/>
          </w:rPr>
        </w:r>
        <w:r>
          <w:rPr>
            <w:noProof/>
            <w:webHidden/>
          </w:rPr>
          <w:fldChar w:fldCharType="separate"/>
        </w:r>
        <w:r>
          <w:rPr>
            <w:noProof/>
            <w:webHidden/>
          </w:rPr>
          <w:t>30</w:t>
        </w:r>
        <w:r>
          <w:rPr>
            <w:noProof/>
            <w:webHidden/>
          </w:rPr>
          <w:fldChar w:fldCharType="end"/>
        </w:r>
      </w:hyperlink>
    </w:p>
    <w:p w14:paraId="1A59244E" w14:textId="1CE86225" w:rsidR="00507A67" w:rsidRDefault="00507A67">
      <w:pPr>
        <w:pStyle w:val="TOC1"/>
        <w:rPr>
          <w:rFonts w:asciiTheme="minorHAnsi" w:hAnsiTheme="minorHAnsi" w:cstheme="minorBidi"/>
          <w:b w:val="0"/>
          <w:noProof/>
          <w:lang w:eastAsia="en-CA"/>
        </w:rPr>
      </w:pPr>
      <w:hyperlink w:anchor="_Toc52181599" w:history="1">
        <w:r w:rsidRPr="00E53E72">
          <w:rPr>
            <w:rStyle w:val="Hyperlink"/>
            <w:noProof/>
          </w:rPr>
          <w:t>8 Syntax and semantics</w:t>
        </w:r>
        <w:r>
          <w:rPr>
            <w:noProof/>
            <w:webHidden/>
          </w:rPr>
          <w:tab/>
        </w:r>
        <w:r>
          <w:rPr>
            <w:noProof/>
            <w:webHidden/>
          </w:rPr>
          <w:fldChar w:fldCharType="begin"/>
        </w:r>
        <w:r>
          <w:rPr>
            <w:noProof/>
            <w:webHidden/>
          </w:rPr>
          <w:instrText xml:space="preserve"> PAGEREF _Toc52181599 \h </w:instrText>
        </w:r>
        <w:r>
          <w:rPr>
            <w:noProof/>
            <w:webHidden/>
          </w:rPr>
        </w:r>
        <w:r>
          <w:rPr>
            <w:noProof/>
            <w:webHidden/>
          </w:rPr>
          <w:fldChar w:fldCharType="separate"/>
        </w:r>
        <w:r>
          <w:rPr>
            <w:noProof/>
            <w:webHidden/>
          </w:rPr>
          <w:t>31</w:t>
        </w:r>
        <w:r>
          <w:rPr>
            <w:noProof/>
            <w:webHidden/>
          </w:rPr>
          <w:fldChar w:fldCharType="end"/>
        </w:r>
      </w:hyperlink>
    </w:p>
    <w:p w14:paraId="68D27C88" w14:textId="14CD1D6C" w:rsidR="00507A67" w:rsidRDefault="00507A67">
      <w:pPr>
        <w:pStyle w:val="TOC2"/>
        <w:rPr>
          <w:rFonts w:asciiTheme="minorHAnsi" w:hAnsiTheme="minorHAnsi" w:cstheme="minorBidi"/>
          <w:b w:val="0"/>
          <w:noProof/>
          <w:lang w:eastAsia="en-CA"/>
        </w:rPr>
      </w:pPr>
      <w:hyperlink w:anchor="_Toc52181600" w:history="1">
        <w:r w:rsidRPr="00E53E72">
          <w:rPr>
            <w:rStyle w:val="Hyperlink"/>
            <w:noProof/>
          </w:rPr>
          <w:t>8.1 Method of specifying syntax in tabular form</w:t>
        </w:r>
        <w:r>
          <w:rPr>
            <w:noProof/>
            <w:webHidden/>
          </w:rPr>
          <w:tab/>
        </w:r>
        <w:r>
          <w:rPr>
            <w:noProof/>
            <w:webHidden/>
          </w:rPr>
          <w:fldChar w:fldCharType="begin"/>
        </w:r>
        <w:r>
          <w:rPr>
            <w:noProof/>
            <w:webHidden/>
          </w:rPr>
          <w:instrText xml:space="preserve"> PAGEREF _Toc52181600 \h </w:instrText>
        </w:r>
        <w:r>
          <w:rPr>
            <w:noProof/>
            <w:webHidden/>
          </w:rPr>
        </w:r>
        <w:r>
          <w:rPr>
            <w:noProof/>
            <w:webHidden/>
          </w:rPr>
          <w:fldChar w:fldCharType="separate"/>
        </w:r>
        <w:r>
          <w:rPr>
            <w:noProof/>
            <w:webHidden/>
          </w:rPr>
          <w:t>31</w:t>
        </w:r>
        <w:r>
          <w:rPr>
            <w:noProof/>
            <w:webHidden/>
          </w:rPr>
          <w:fldChar w:fldCharType="end"/>
        </w:r>
      </w:hyperlink>
    </w:p>
    <w:p w14:paraId="6E005016" w14:textId="0EAA94B4" w:rsidR="00507A67" w:rsidRDefault="00507A67">
      <w:pPr>
        <w:pStyle w:val="TOC2"/>
        <w:rPr>
          <w:rFonts w:asciiTheme="minorHAnsi" w:hAnsiTheme="minorHAnsi" w:cstheme="minorBidi"/>
          <w:b w:val="0"/>
          <w:noProof/>
          <w:lang w:eastAsia="en-CA"/>
        </w:rPr>
      </w:pPr>
      <w:hyperlink w:anchor="_Toc52181601" w:history="1">
        <w:r w:rsidRPr="00E53E72">
          <w:rPr>
            <w:rStyle w:val="Hyperlink"/>
            <w:noProof/>
          </w:rPr>
          <w:t>8.2 Specification of syntax functions and descriptors</w:t>
        </w:r>
        <w:r>
          <w:rPr>
            <w:noProof/>
            <w:webHidden/>
          </w:rPr>
          <w:tab/>
        </w:r>
        <w:r>
          <w:rPr>
            <w:noProof/>
            <w:webHidden/>
          </w:rPr>
          <w:fldChar w:fldCharType="begin"/>
        </w:r>
        <w:r>
          <w:rPr>
            <w:noProof/>
            <w:webHidden/>
          </w:rPr>
          <w:instrText xml:space="preserve"> PAGEREF _Toc52181601 \h </w:instrText>
        </w:r>
        <w:r>
          <w:rPr>
            <w:noProof/>
            <w:webHidden/>
          </w:rPr>
        </w:r>
        <w:r>
          <w:rPr>
            <w:noProof/>
            <w:webHidden/>
          </w:rPr>
          <w:fldChar w:fldCharType="separate"/>
        </w:r>
        <w:r>
          <w:rPr>
            <w:noProof/>
            <w:webHidden/>
          </w:rPr>
          <w:t>32</w:t>
        </w:r>
        <w:r>
          <w:rPr>
            <w:noProof/>
            <w:webHidden/>
          </w:rPr>
          <w:fldChar w:fldCharType="end"/>
        </w:r>
      </w:hyperlink>
    </w:p>
    <w:p w14:paraId="1D0D3E4D" w14:textId="55CC6537" w:rsidR="00507A67" w:rsidRDefault="00507A67">
      <w:pPr>
        <w:pStyle w:val="TOC2"/>
        <w:rPr>
          <w:rFonts w:asciiTheme="minorHAnsi" w:hAnsiTheme="minorHAnsi" w:cstheme="minorBidi"/>
          <w:b w:val="0"/>
          <w:noProof/>
          <w:lang w:eastAsia="en-CA"/>
        </w:rPr>
      </w:pPr>
      <w:hyperlink w:anchor="_Toc52181602" w:history="1">
        <w:r w:rsidRPr="00E53E72">
          <w:rPr>
            <w:rStyle w:val="Hyperlink"/>
            <w:noProof/>
          </w:rPr>
          <w:t>8.3 Syntax in tabular form</w:t>
        </w:r>
        <w:r>
          <w:rPr>
            <w:noProof/>
            <w:webHidden/>
          </w:rPr>
          <w:tab/>
        </w:r>
        <w:r>
          <w:rPr>
            <w:noProof/>
            <w:webHidden/>
          </w:rPr>
          <w:fldChar w:fldCharType="begin"/>
        </w:r>
        <w:r>
          <w:rPr>
            <w:noProof/>
            <w:webHidden/>
          </w:rPr>
          <w:instrText xml:space="preserve"> PAGEREF _Toc52181602 \h </w:instrText>
        </w:r>
        <w:r>
          <w:rPr>
            <w:noProof/>
            <w:webHidden/>
          </w:rPr>
        </w:r>
        <w:r>
          <w:rPr>
            <w:noProof/>
            <w:webHidden/>
          </w:rPr>
          <w:fldChar w:fldCharType="separate"/>
        </w:r>
        <w:r>
          <w:rPr>
            <w:noProof/>
            <w:webHidden/>
          </w:rPr>
          <w:t>34</w:t>
        </w:r>
        <w:r>
          <w:rPr>
            <w:noProof/>
            <w:webHidden/>
          </w:rPr>
          <w:fldChar w:fldCharType="end"/>
        </w:r>
      </w:hyperlink>
    </w:p>
    <w:p w14:paraId="201BCF70" w14:textId="6966096D" w:rsidR="00507A67" w:rsidRDefault="00507A67">
      <w:pPr>
        <w:pStyle w:val="TOC3"/>
        <w:rPr>
          <w:rFonts w:asciiTheme="minorHAnsi" w:hAnsiTheme="minorHAnsi" w:cstheme="minorBidi"/>
          <w:b w:val="0"/>
          <w:noProof/>
          <w:lang w:eastAsia="en-CA"/>
        </w:rPr>
      </w:pPr>
      <w:hyperlink w:anchor="_Toc52181603" w:history="1">
        <w:r w:rsidRPr="00E53E72">
          <w:rPr>
            <w:rStyle w:val="Hyperlink"/>
            <w:noProof/>
          </w:rPr>
          <w:t>8.3.1 General</w:t>
        </w:r>
        <w:r>
          <w:rPr>
            <w:noProof/>
            <w:webHidden/>
          </w:rPr>
          <w:tab/>
        </w:r>
        <w:r>
          <w:rPr>
            <w:noProof/>
            <w:webHidden/>
          </w:rPr>
          <w:fldChar w:fldCharType="begin"/>
        </w:r>
        <w:r>
          <w:rPr>
            <w:noProof/>
            <w:webHidden/>
          </w:rPr>
          <w:instrText xml:space="preserve"> PAGEREF _Toc52181603 \h </w:instrText>
        </w:r>
        <w:r>
          <w:rPr>
            <w:noProof/>
            <w:webHidden/>
          </w:rPr>
        </w:r>
        <w:r>
          <w:rPr>
            <w:noProof/>
            <w:webHidden/>
          </w:rPr>
          <w:fldChar w:fldCharType="separate"/>
        </w:r>
        <w:r>
          <w:rPr>
            <w:noProof/>
            <w:webHidden/>
          </w:rPr>
          <w:t>34</w:t>
        </w:r>
        <w:r>
          <w:rPr>
            <w:noProof/>
            <w:webHidden/>
          </w:rPr>
          <w:fldChar w:fldCharType="end"/>
        </w:r>
      </w:hyperlink>
    </w:p>
    <w:p w14:paraId="65F1CFC1" w14:textId="4AB2D454" w:rsidR="00507A67" w:rsidRDefault="00507A67">
      <w:pPr>
        <w:pStyle w:val="TOC3"/>
        <w:rPr>
          <w:rFonts w:asciiTheme="minorHAnsi" w:hAnsiTheme="minorHAnsi" w:cstheme="minorBidi"/>
          <w:b w:val="0"/>
          <w:noProof/>
          <w:lang w:eastAsia="en-CA"/>
        </w:rPr>
      </w:pPr>
      <w:hyperlink w:anchor="_Toc52181604" w:history="1">
        <w:r w:rsidRPr="00E53E72">
          <w:rPr>
            <w:rStyle w:val="Hyperlink"/>
            <w:noProof/>
          </w:rPr>
          <w:t>8.3.2 V3C unit syntax</w:t>
        </w:r>
        <w:r>
          <w:rPr>
            <w:noProof/>
            <w:webHidden/>
          </w:rPr>
          <w:tab/>
        </w:r>
        <w:r>
          <w:rPr>
            <w:noProof/>
            <w:webHidden/>
          </w:rPr>
          <w:fldChar w:fldCharType="begin"/>
        </w:r>
        <w:r>
          <w:rPr>
            <w:noProof/>
            <w:webHidden/>
          </w:rPr>
          <w:instrText xml:space="preserve"> PAGEREF _Toc52181604 \h </w:instrText>
        </w:r>
        <w:r>
          <w:rPr>
            <w:noProof/>
            <w:webHidden/>
          </w:rPr>
        </w:r>
        <w:r>
          <w:rPr>
            <w:noProof/>
            <w:webHidden/>
          </w:rPr>
          <w:fldChar w:fldCharType="separate"/>
        </w:r>
        <w:r>
          <w:rPr>
            <w:noProof/>
            <w:webHidden/>
          </w:rPr>
          <w:t>35</w:t>
        </w:r>
        <w:r>
          <w:rPr>
            <w:noProof/>
            <w:webHidden/>
          </w:rPr>
          <w:fldChar w:fldCharType="end"/>
        </w:r>
      </w:hyperlink>
    </w:p>
    <w:p w14:paraId="08BC17AD" w14:textId="70D27D0D" w:rsidR="00507A67" w:rsidRDefault="00507A67">
      <w:pPr>
        <w:pStyle w:val="TOC3"/>
        <w:rPr>
          <w:rFonts w:asciiTheme="minorHAnsi" w:hAnsiTheme="minorHAnsi" w:cstheme="minorBidi"/>
          <w:b w:val="0"/>
          <w:noProof/>
          <w:lang w:eastAsia="en-CA"/>
        </w:rPr>
      </w:pPr>
      <w:hyperlink w:anchor="_Toc52181605" w:history="1">
        <w:r w:rsidRPr="00E53E72">
          <w:rPr>
            <w:rStyle w:val="Hyperlink"/>
            <w:noProof/>
          </w:rPr>
          <w:t>8.3.3 Byte alignment syntax</w:t>
        </w:r>
        <w:r>
          <w:rPr>
            <w:noProof/>
            <w:webHidden/>
          </w:rPr>
          <w:tab/>
        </w:r>
        <w:r>
          <w:rPr>
            <w:noProof/>
            <w:webHidden/>
          </w:rPr>
          <w:fldChar w:fldCharType="begin"/>
        </w:r>
        <w:r>
          <w:rPr>
            <w:noProof/>
            <w:webHidden/>
          </w:rPr>
          <w:instrText xml:space="preserve"> PAGEREF _Toc52181605 \h </w:instrText>
        </w:r>
        <w:r>
          <w:rPr>
            <w:noProof/>
            <w:webHidden/>
          </w:rPr>
        </w:r>
        <w:r>
          <w:rPr>
            <w:noProof/>
            <w:webHidden/>
          </w:rPr>
          <w:fldChar w:fldCharType="separate"/>
        </w:r>
        <w:r>
          <w:rPr>
            <w:noProof/>
            <w:webHidden/>
          </w:rPr>
          <w:t>36</w:t>
        </w:r>
        <w:r>
          <w:rPr>
            <w:noProof/>
            <w:webHidden/>
          </w:rPr>
          <w:fldChar w:fldCharType="end"/>
        </w:r>
      </w:hyperlink>
    </w:p>
    <w:p w14:paraId="32E5054A" w14:textId="5DFE533D" w:rsidR="00507A67" w:rsidRDefault="00507A67">
      <w:pPr>
        <w:pStyle w:val="TOC3"/>
        <w:rPr>
          <w:rFonts w:asciiTheme="minorHAnsi" w:hAnsiTheme="minorHAnsi" w:cstheme="minorBidi"/>
          <w:b w:val="0"/>
          <w:noProof/>
          <w:lang w:eastAsia="en-CA"/>
        </w:rPr>
      </w:pPr>
      <w:hyperlink w:anchor="_Toc52181606" w:history="1">
        <w:r w:rsidRPr="00E53E72">
          <w:rPr>
            <w:rStyle w:val="Hyperlink"/>
            <w:noProof/>
          </w:rPr>
          <w:t>8.3.4 V3C parameter set syntax</w:t>
        </w:r>
        <w:r>
          <w:rPr>
            <w:noProof/>
            <w:webHidden/>
          </w:rPr>
          <w:tab/>
        </w:r>
        <w:r>
          <w:rPr>
            <w:noProof/>
            <w:webHidden/>
          </w:rPr>
          <w:fldChar w:fldCharType="begin"/>
        </w:r>
        <w:r>
          <w:rPr>
            <w:noProof/>
            <w:webHidden/>
          </w:rPr>
          <w:instrText xml:space="preserve"> PAGEREF _Toc52181606 \h </w:instrText>
        </w:r>
        <w:r>
          <w:rPr>
            <w:noProof/>
            <w:webHidden/>
          </w:rPr>
        </w:r>
        <w:r>
          <w:rPr>
            <w:noProof/>
            <w:webHidden/>
          </w:rPr>
          <w:fldChar w:fldCharType="separate"/>
        </w:r>
        <w:r>
          <w:rPr>
            <w:noProof/>
            <w:webHidden/>
          </w:rPr>
          <w:t>37</w:t>
        </w:r>
        <w:r>
          <w:rPr>
            <w:noProof/>
            <w:webHidden/>
          </w:rPr>
          <w:fldChar w:fldCharType="end"/>
        </w:r>
      </w:hyperlink>
    </w:p>
    <w:p w14:paraId="1708BFA0" w14:textId="1F9FCB0A" w:rsidR="00507A67" w:rsidRDefault="00507A67">
      <w:pPr>
        <w:pStyle w:val="TOC3"/>
        <w:rPr>
          <w:rFonts w:asciiTheme="minorHAnsi" w:hAnsiTheme="minorHAnsi" w:cstheme="minorBidi"/>
          <w:b w:val="0"/>
          <w:noProof/>
          <w:lang w:eastAsia="en-CA"/>
        </w:rPr>
      </w:pPr>
      <w:hyperlink w:anchor="_Toc52181607" w:history="1">
        <w:r w:rsidRPr="00E53E72">
          <w:rPr>
            <w:rStyle w:val="Hyperlink"/>
            <w:noProof/>
          </w:rPr>
          <w:t>8.3.5 NAL unit syntax</w:t>
        </w:r>
        <w:r>
          <w:rPr>
            <w:noProof/>
            <w:webHidden/>
          </w:rPr>
          <w:tab/>
        </w:r>
        <w:r>
          <w:rPr>
            <w:noProof/>
            <w:webHidden/>
          </w:rPr>
          <w:fldChar w:fldCharType="begin"/>
        </w:r>
        <w:r>
          <w:rPr>
            <w:noProof/>
            <w:webHidden/>
          </w:rPr>
          <w:instrText xml:space="preserve"> PAGEREF _Toc52181607 \h </w:instrText>
        </w:r>
        <w:r>
          <w:rPr>
            <w:noProof/>
            <w:webHidden/>
          </w:rPr>
        </w:r>
        <w:r>
          <w:rPr>
            <w:noProof/>
            <w:webHidden/>
          </w:rPr>
          <w:fldChar w:fldCharType="separate"/>
        </w:r>
        <w:r>
          <w:rPr>
            <w:noProof/>
            <w:webHidden/>
          </w:rPr>
          <w:t>40</w:t>
        </w:r>
        <w:r>
          <w:rPr>
            <w:noProof/>
            <w:webHidden/>
          </w:rPr>
          <w:fldChar w:fldCharType="end"/>
        </w:r>
      </w:hyperlink>
    </w:p>
    <w:p w14:paraId="45AC2B80" w14:textId="620C71A2" w:rsidR="00507A67" w:rsidRDefault="00507A67">
      <w:pPr>
        <w:pStyle w:val="TOC3"/>
        <w:rPr>
          <w:rFonts w:asciiTheme="minorHAnsi" w:hAnsiTheme="minorHAnsi" w:cstheme="minorBidi"/>
          <w:b w:val="0"/>
          <w:noProof/>
          <w:lang w:eastAsia="en-CA"/>
        </w:rPr>
      </w:pPr>
      <w:hyperlink w:anchor="_Toc52181608" w:history="1">
        <w:r w:rsidRPr="00E53E72">
          <w:rPr>
            <w:rStyle w:val="Hyperlink"/>
            <w:noProof/>
          </w:rPr>
          <w:t>8.3.6 Raw byte sequence payloads, trailing bits, and byte alignment syntax</w:t>
        </w:r>
        <w:r>
          <w:rPr>
            <w:noProof/>
            <w:webHidden/>
          </w:rPr>
          <w:tab/>
        </w:r>
        <w:r>
          <w:rPr>
            <w:noProof/>
            <w:webHidden/>
          </w:rPr>
          <w:fldChar w:fldCharType="begin"/>
        </w:r>
        <w:r>
          <w:rPr>
            <w:noProof/>
            <w:webHidden/>
          </w:rPr>
          <w:instrText xml:space="preserve"> PAGEREF _Toc52181608 \h </w:instrText>
        </w:r>
        <w:r>
          <w:rPr>
            <w:noProof/>
            <w:webHidden/>
          </w:rPr>
        </w:r>
        <w:r>
          <w:rPr>
            <w:noProof/>
            <w:webHidden/>
          </w:rPr>
          <w:fldChar w:fldCharType="separate"/>
        </w:r>
        <w:r>
          <w:rPr>
            <w:noProof/>
            <w:webHidden/>
          </w:rPr>
          <w:t>41</w:t>
        </w:r>
        <w:r>
          <w:rPr>
            <w:noProof/>
            <w:webHidden/>
          </w:rPr>
          <w:fldChar w:fldCharType="end"/>
        </w:r>
      </w:hyperlink>
    </w:p>
    <w:p w14:paraId="790DA730" w14:textId="0F339360" w:rsidR="00507A67" w:rsidRDefault="00507A67">
      <w:pPr>
        <w:pStyle w:val="TOC3"/>
        <w:rPr>
          <w:rFonts w:asciiTheme="minorHAnsi" w:hAnsiTheme="minorHAnsi" w:cstheme="minorBidi"/>
          <w:b w:val="0"/>
          <w:noProof/>
          <w:lang w:eastAsia="en-CA"/>
        </w:rPr>
      </w:pPr>
      <w:hyperlink w:anchor="_Toc52181609" w:history="1">
        <w:r w:rsidRPr="00E53E72">
          <w:rPr>
            <w:rStyle w:val="Hyperlink"/>
            <w:noProof/>
          </w:rPr>
          <w:t>8.3.7 Atlas tile data unit syntax</w:t>
        </w:r>
        <w:r>
          <w:rPr>
            <w:noProof/>
            <w:webHidden/>
          </w:rPr>
          <w:tab/>
        </w:r>
        <w:r>
          <w:rPr>
            <w:noProof/>
            <w:webHidden/>
          </w:rPr>
          <w:fldChar w:fldCharType="begin"/>
        </w:r>
        <w:r>
          <w:rPr>
            <w:noProof/>
            <w:webHidden/>
          </w:rPr>
          <w:instrText xml:space="preserve"> PAGEREF _Toc52181609 \h </w:instrText>
        </w:r>
        <w:r>
          <w:rPr>
            <w:noProof/>
            <w:webHidden/>
          </w:rPr>
        </w:r>
        <w:r>
          <w:rPr>
            <w:noProof/>
            <w:webHidden/>
          </w:rPr>
          <w:fldChar w:fldCharType="separate"/>
        </w:r>
        <w:r>
          <w:rPr>
            <w:noProof/>
            <w:webHidden/>
          </w:rPr>
          <w:t>47</w:t>
        </w:r>
        <w:r>
          <w:rPr>
            <w:noProof/>
            <w:webHidden/>
          </w:rPr>
          <w:fldChar w:fldCharType="end"/>
        </w:r>
      </w:hyperlink>
    </w:p>
    <w:p w14:paraId="1BD3C68A" w14:textId="3DB02136" w:rsidR="00507A67" w:rsidRDefault="00507A67">
      <w:pPr>
        <w:pStyle w:val="TOC3"/>
        <w:rPr>
          <w:rFonts w:asciiTheme="minorHAnsi" w:hAnsiTheme="minorHAnsi" w:cstheme="minorBidi"/>
          <w:b w:val="0"/>
          <w:noProof/>
          <w:lang w:eastAsia="en-CA"/>
        </w:rPr>
      </w:pPr>
      <w:hyperlink w:anchor="_Toc52181610" w:history="1">
        <w:r w:rsidRPr="00E53E72">
          <w:rPr>
            <w:rStyle w:val="Hyperlink"/>
            <w:noProof/>
          </w:rPr>
          <w:t>8.3.8 Supplemental enhancement information message syntax</w:t>
        </w:r>
        <w:r>
          <w:rPr>
            <w:noProof/>
            <w:webHidden/>
          </w:rPr>
          <w:tab/>
        </w:r>
        <w:r>
          <w:rPr>
            <w:noProof/>
            <w:webHidden/>
          </w:rPr>
          <w:fldChar w:fldCharType="begin"/>
        </w:r>
        <w:r>
          <w:rPr>
            <w:noProof/>
            <w:webHidden/>
          </w:rPr>
          <w:instrText xml:space="preserve"> PAGEREF _Toc52181610 \h </w:instrText>
        </w:r>
        <w:r>
          <w:rPr>
            <w:noProof/>
            <w:webHidden/>
          </w:rPr>
        </w:r>
        <w:r>
          <w:rPr>
            <w:noProof/>
            <w:webHidden/>
          </w:rPr>
          <w:fldChar w:fldCharType="separate"/>
        </w:r>
        <w:r>
          <w:rPr>
            <w:noProof/>
            <w:webHidden/>
          </w:rPr>
          <w:t>50</w:t>
        </w:r>
        <w:r>
          <w:rPr>
            <w:noProof/>
            <w:webHidden/>
          </w:rPr>
          <w:fldChar w:fldCharType="end"/>
        </w:r>
      </w:hyperlink>
    </w:p>
    <w:p w14:paraId="26745767" w14:textId="692ADD9E" w:rsidR="00507A67" w:rsidRDefault="00507A67">
      <w:pPr>
        <w:pStyle w:val="TOC2"/>
        <w:rPr>
          <w:rFonts w:asciiTheme="minorHAnsi" w:hAnsiTheme="minorHAnsi" w:cstheme="minorBidi"/>
          <w:b w:val="0"/>
          <w:noProof/>
          <w:lang w:eastAsia="en-CA"/>
        </w:rPr>
      </w:pPr>
      <w:hyperlink w:anchor="_Toc52181611" w:history="1">
        <w:r w:rsidRPr="00E53E72">
          <w:rPr>
            <w:rStyle w:val="Hyperlink"/>
            <w:noProof/>
          </w:rPr>
          <w:t>8.4 Semantics</w:t>
        </w:r>
        <w:r>
          <w:rPr>
            <w:noProof/>
            <w:webHidden/>
          </w:rPr>
          <w:tab/>
        </w:r>
        <w:r>
          <w:rPr>
            <w:noProof/>
            <w:webHidden/>
          </w:rPr>
          <w:fldChar w:fldCharType="begin"/>
        </w:r>
        <w:r>
          <w:rPr>
            <w:noProof/>
            <w:webHidden/>
          </w:rPr>
          <w:instrText xml:space="preserve"> PAGEREF _Toc52181611 \h </w:instrText>
        </w:r>
        <w:r>
          <w:rPr>
            <w:noProof/>
            <w:webHidden/>
          </w:rPr>
        </w:r>
        <w:r>
          <w:rPr>
            <w:noProof/>
            <w:webHidden/>
          </w:rPr>
          <w:fldChar w:fldCharType="separate"/>
        </w:r>
        <w:r>
          <w:rPr>
            <w:noProof/>
            <w:webHidden/>
          </w:rPr>
          <w:t>51</w:t>
        </w:r>
        <w:r>
          <w:rPr>
            <w:noProof/>
            <w:webHidden/>
          </w:rPr>
          <w:fldChar w:fldCharType="end"/>
        </w:r>
      </w:hyperlink>
    </w:p>
    <w:p w14:paraId="5849D7E5" w14:textId="1A2C1AB2" w:rsidR="00507A67" w:rsidRDefault="00507A67">
      <w:pPr>
        <w:pStyle w:val="TOC3"/>
        <w:rPr>
          <w:rFonts w:asciiTheme="minorHAnsi" w:hAnsiTheme="minorHAnsi" w:cstheme="minorBidi"/>
          <w:b w:val="0"/>
          <w:noProof/>
          <w:lang w:eastAsia="en-CA"/>
        </w:rPr>
      </w:pPr>
      <w:hyperlink w:anchor="_Toc52181612" w:history="1">
        <w:r w:rsidRPr="00E53E72">
          <w:rPr>
            <w:rStyle w:val="Hyperlink"/>
            <w:noProof/>
          </w:rPr>
          <w:t>8.4.1 General</w:t>
        </w:r>
        <w:r>
          <w:rPr>
            <w:noProof/>
            <w:webHidden/>
          </w:rPr>
          <w:tab/>
        </w:r>
        <w:r>
          <w:rPr>
            <w:noProof/>
            <w:webHidden/>
          </w:rPr>
          <w:fldChar w:fldCharType="begin"/>
        </w:r>
        <w:r>
          <w:rPr>
            <w:noProof/>
            <w:webHidden/>
          </w:rPr>
          <w:instrText xml:space="preserve"> PAGEREF _Toc52181612 \h </w:instrText>
        </w:r>
        <w:r>
          <w:rPr>
            <w:noProof/>
            <w:webHidden/>
          </w:rPr>
        </w:r>
        <w:r>
          <w:rPr>
            <w:noProof/>
            <w:webHidden/>
          </w:rPr>
          <w:fldChar w:fldCharType="separate"/>
        </w:r>
        <w:r>
          <w:rPr>
            <w:noProof/>
            <w:webHidden/>
          </w:rPr>
          <w:t>51</w:t>
        </w:r>
        <w:r>
          <w:rPr>
            <w:noProof/>
            <w:webHidden/>
          </w:rPr>
          <w:fldChar w:fldCharType="end"/>
        </w:r>
      </w:hyperlink>
    </w:p>
    <w:p w14:paraId="23EC3EFD" w14:textId="59444637" w:rsidR="00507A67" w:rsidRDefault="00507A67">
      <w:pPr>
        <w:pStyle w:val="TOC3"/>
        <w:rPr>
          <w:rFonts w:asciiTheme="minorHAnsi" w:hAnsiTheme="minorHAnsi" w:cstheme="minorBidi"/>
          <w:b w:val="0"/>
          <w:noProof/>
          <w:lang w:eastAsia="en-CA"/>
        </w:rPr>
      </w:pPr>
      <w:hyperlink w:anchor="_Toc52181613" w:history="1">
        <w:r w:rsidRPr="00E53E72">
          <w:rPr>
            <w:rStyle w:val="Hyperlink"/>
            <w:noProof/>
          </w:rPr>
          <w:t>8.4.2 V3C unit semantics</w:t>
        </w:r>
        <w:r>
          <w:rPr>
            <w:noProof/>
            <w:webHidden/>
          </w:rPr>
          <w:tab/>
        </w:r>
        <w:r>
          <w:rPr>
            <w:noProof/>
            <w:webHidden/>
          </w:rPr>
          <w:fldChar w:fldCharType="begin"/>
        </w:r>
        <w:r>
          <w:rPr>
            <w:noProof/>
            <w:webHidden/>
          </w:rPr>
          <w:instrText xml:space="preserve"> PAGEREF _Toc52181613 \h </w:instrText>
        </w:r>
        <w:r>
          <w:rPr>
            <w:noProof/>
            <w:webHidden/>
          </w:rPr>
        </w:r>
        <w:r>
          <w:rPr>
            <w:noProof/>
            <w:webHidden/>
          </w:rPr>
          <w:fldChar w:fldCharType="separate"/>
        </w:r>
        <w:r>
          <w:rPr>
            <w:noProof/>
            <w:webHidden/>
          </w:rPr>
          <w:t>51</w:t>
        </w:r>
        <w:r>
          <w:rPr>
            <w:noProof/>
            <w:webHidden/>
          </w:rPr>
          <w:fldChar w:fldCharType="end"/>
        </w:r>
      </w:hyperlink>
    </w:p>
    <w:p w14:paraId="39393EBC" w14:textId="31B57453" w:rsidR="00507A67" w:rsidRDefault="00507A67">
      <w:pPr>
        <w:pStyle w:val="TOC3"/>
        <w:rPr>
          <w:rFonts w:asciiTheme="minorHAnsi" w:hAnsiTheme="minorHAnsi" w:cstheme="minorBidi"/>
          <w:b w:val="0"/>
          <w:noProof/>
          <w:lang w:eastAsia="en-CA"/>
        </w:rPr>
      </w:pPr>
      <w:hyperlink w:anchor="_Toc52181614" w:history="1">
        <w:r w:rsidRPr="00E53E72">
          <w:rPr>
            <w:rStyle w:val="Hyperlink"/>
            <w:noProof/>
          </w:rPr>
          <w:t>8.4.3 Byte alignment semantics</w:t>
        </w:r>
        <w:r>
          <w:rPr>
            <w:noProof/>
            <w:webHidden/>
          </w:rPr>
          <w:tab/>
        </w:r>
        <w:r>
          <w:rPr>
            <w:noProof/>
            <w:webHidden/>
          </w:rPr>
          <w:fldChar w:fldCharType="begin"/>
        </w:r>
        <w:r>
          <w:rPr>
            <w:noProof/>
            <w:webHidden/>
          </w:rPr>
          <w:instrText xml:space="preserve"> PAGEREF _Toc52181614 \h </w:instrText>
        </w:r>
        <w:r>
          <w:rPr>
            <w:noProof/>
            <w:webHidden/>
          </w:rPr>
        </w:r>
        <w:r>
          <w:rPr>
            <w:noProof/>
            <w:webHidden/>
          </w:rPr>
          <w:fldChar w:fldCharType="separate"/>
        </w:r>
        <w:r>
          <w:rPr>
            <w:noProof/>
            <w:webHidden/>
          </w:rPr>
          <w:t>54</w:t>
        </w:r>
        <w:r>
          <w:rPr>
            <w:noProof/>
            <w:webHidden/>
          </w:rPr>
          <w:fldChar w:fldCharType="end"/>
        </w:r>
      </w:hyperlink>
    </w:p>
    <w:p w14:paraId="64288F6E" w14:textId="10FA71B6" w:rsidR="00507A67" w:rsidRDefault="00507A67">
      <w:pPr>
        <w:pStyle w:val="TOC3"/>
        <w:rPr>
          <w:rFonts w:asciiTheme="minorHAnsi" w:hAnsiTheme="minorHAnsi" w:cstheme="minorBidi"/>
          <w:b w:val="0"/>
          <w:noProof/>
          <w:lang w:eastAsia="en-CA"/>
        </w:rPr>
      </w:pPr>
      <w:hyperlink w:anchor="_Toc52181615" w:history="1">
        <w:r w:rsidRPr="00E53E72">
          <w:rPr>
            <w:rStyle w:val="Hyperlink"/>
            <w:noProof/>
          </w:rPr>
          <w:t>8.4.4 V3C parameter set semantics</w:t>
        </w:r>
        <w:r>
          <w:rPr>
            <w:noProof/>
            <w:webHidden/>
          </w:rPr>
          <w:tab/>
        </w:r>
        <w:r>
          <w:rPr>
            <w:noProof/>
            <w:webHidden/>
          </w:rPr>
          <w:fldChar w:fldCharType="begin"/>
        </w:r>
        <w:r>
          <w:rPr>
            <w:noProof/>
            <w:webHidden/>
          </w:rPr>
          <w:instrText xml:space="preserve"> PAGEREF _Toc52181615 \h </w:instrText>
        </w:r>
        <w:r>
          <w:rPr>
            <w:noProof/>
            <w:webHidden/>
          </w:rPr>
        </w:r>
        <w:r>
          <w:rPr>
            <w:noProof/>
            <w:webHidden/>
          </w:rPr>
          <w:fldChar w:fldCharType="separate"/>
        </w:r>
        <w:r>
          <w:rPr>
            <w:noProof/>
            <w:webHidden/>
          </w:rPr>
          <w:t>54</w:t>
        </w:r>
        <w:r>
          <w:rPr>
            <w:noProof/>
            <w:webHidden/>
          </w:rPr>
          <w:fldChar w:fldCharType="end"/>
        </w:r>
      </w:hyperlink>
    </w:p>
    <w:p w14:paraId="031366B3" w14:textId="1C168405" w:rsidR="00507A67" w:rsidRDefault="00507A67">
      <w:pPr>
        <w:pStyle w:val="TOC3"/>
        <w:rPr>
          <w:rFonts w:asciiTheme="minorHAnsi" w:hAnsiTheme="minorHAnsi" w:cstheme="minorBidi"/>
          <w:b w:val="0"/>
          <w:noProof/>
          <w:lang w:eastAsia="en-CA"/>
        </w:rPr>
      </w:pPr>
      <w:hyperlink w:anchor="_Toc52181616" w:history="1">
        <w:r w:rsidRPr="00E53E72">
          <w:rPr>
            <w:rStyle w:val="Hyperlink"/>
            <w:noProof/>
          </w:rPr>
          <w:t>8.4.5 NAL unit semantics</w:t>
        </w:r>
        <w:r>
          <w:rPr>
            <w:noProof/>
            <w:webHidden/>
          </w:rPr>
          <w:tab/>
        </w:r>
        <w:r>
          <w:rPr>
            <w:noProof/>
            <w:webHidden/>
          </w:rPr>
          <w:fldChar w:fldCharType="begin"/>
        </w:r>
        <w:r>
          <w:rPr>
            <w:noProof/>
            <w:webHidden/>
          </w:rPr>
          <w:instrText xml:space="preserve"> PAGEREF _Toc52181616 \h </w:instrText>
        </w:r>
        <w:r>
          <w:rPr>
            <w:noProof/>
            <w:webHidden/>
          </w:rPr>
        </w:r>
        <w:r>
          <w:rPr>
            <w:noProof/>
            <w:webHidden/>
          </w:rPr>
          <w:fldChar w:fldCharType="separate"/>
        </w:r>
        <w:r>
          <w:rPr>
            <w:noProof/>
            <w:webHidden/>
          </w:rPr>
          <w:t>62</w:t>
        </w:r>
        <w:r>
          <w:rPr>
            <w:noProof/>
            <w:webHidden/>
          </w:rPr>
          <w:fldChar w:fldCharType="end"/>
        </w:r>
      </w:hyperlink>
    </w:p>
    <w:p w14:paraId="1A579E8C" w14:textId="71DDED94" w:rsidR="00507A67" w:rsidRDefault="00507A67">
      <w:pPr>
        <w:pStyle w:val="TOC3"/>
        <w:rPr>
          <w:rFonts w:asciiTheme="minorHAnsi" w:hAnsiTheme="minorHAnsi" w:cstheme="minorBidi"/>
          <w:b w:val="0"/>
          <w:noProof/>
          <w:lang w:eastAsia="en-CA"/>
        </w:rPr>
      </w:pPr>
      <w:hyperlink w:anchor="_Toc52181617" w:history="1">
        <w:r w:rsidRPr="00E53E72">
          <w:rPr>
            <w:rStyle w:val="Hyperlink"/>
            <w:noProof/>
          </w:rPr>
          <w:t>8.4.6 Raw byte sequence payloads, trailing bits, and byte alignment semantics</w:t>
        </w:r>
        <w:r>
          <w:rPr>
            <w:noProof/>
            <w:webHidden/>
          </w:rPr>
          <w:tab/>
        </w:r>
        <w:r>
          <w:rPr>
            <w:noProof/>
            <w:webHidden/>
          </w:rPr>
          <w:fldChar w:fldCharType="begin"/>
        </w:r>
        <w:r>
          <w:rPr>
            <w:noProof/>
            <w:webHidden/>
          </w:rPr>
          <w:instrText xml:space="preserve"> PAGEREF _Toc52181617 \h </w:instrText>
        </w:r>
        <w:r>
          <w:rPr>
            <w:noProof/>
            <w:webHidden/>
          </w:rPr>
        </w:r>
        <w:r>
          <w:rPr>
            <w:noProof/>
            <w:webHidden/>
          </w:rPr>
          <w:fldChar w:fldCharType="separate"/>
        </w:r>
        <w:r>
          <w:rPr>
            <w:noProof/>
            <w:webHidden/>
          </w:rPr>
          <w:t>71</w:t>
        </w:r>
        <w:r>
          <w:rPr>
            <w:noProof/>
            <w:webHidden/>
          </w:rPr>
          <w:fldChar w:fldCharType="end"/>
        </w:r>
      </w:hyperlink>
    </w:p>
    <w:p w14:paraId="2E6A1936" w14:textId="6F2FEF20" w:rsidR="00507A67" w:rsidRDefault="00507A67">
      <w:pPr>
        <w:pStyle w:val="TOC3"/>
        <w:rPr>
          <w:rFonts w:asciiTheme="minorHAnsi" w:hAnsiTheme="minorHAnsi" w:cstheme="minorBidi"/>
          <w:b w:val="0"/>
          <w:noProof/>
          <w:lang w:eastAsia="en-CA"/>
        </w:rPr>
      </w:pPr>
      <w:hyperlink w:anchor="_Toc52181618" w:history="1">
        <w:r w:rsidRPr="00E53E72">
          <w:rPr>
            <w:rStyle w:val="Hyperlink"/>
            <w:noProof/>
          </w:rPr>
          <w:t>8.4.7 Atlas tile data unit semantics</w:t>
        </w:r>
        <w:r>
          <w:rPr>
            <w:noProof/>
            <w:webHidden/>
          </w:rPr>
          <w:tab/>
        </w:r>
        <w:r>
          <w:rPr>
            <w:noProof/>
            <w:webHidden/>
          </w:rPr>
          <w:fldChar w:fldCharType="begin"/>
        </w:r>
        <w:r>
          <w:rPr>
            <w:noProof/>
            <w:webHidden/>
          </w:rPr>
          <w:instrText xml:space="preserve"> PAGEREF _Toc52181618 \h </w:instrText>
        </w:r>
        <w:r>
          <w:rPr>
            <w:noProof/>
            <w:webHidden/>
          </w:rPr>
        </w:r>
        <w:r>
          <w:rPr>
            <w:noProof/>
            <w:webHidden/>
          </w:rPr>
          <w:fldChar w:fldCharType="separate"/>
        </w:r>
        <w:r>
          <w:rPr>
            <w:noProof/>
            <w:webHidden/>
          </w:rPr>
          <w:t>85</w:t>
        </w:r>
        <w:r>
          <w:rPr>
            <w:noProof/>
            <w:webHidden/>
          </w:rPr>
          <w:fldChar w:fldCharType="end"/>
        </w:r>
      </w:hyperlink>
    </w:p>
    <w:p w14:paraId="3755E783" w14:textId="0A87DB08" w:rsidR="00507A67" w:rsidRDefault="00507A67">
      <w:pPr>
        <w:pStyle w:val="TOC3"/>
        <w:rPr>
          <w:rFonts w:asciiTheme="minorHAnsi" w:hAnsiTheme="minorHAnsi" w:cstheme="minorBidi"/>
          <w:b w:val="0"/>
          <w:noProof/>
          <w:lang w:eastAsia="en-CA"/>
        </w:rPr>
      </w:pPr>
      <w:hyperlink w:anchor="_Toc52181619" w:history="1">
        <w:r w:rsidRPr="00E53E72">
          <w:rPr>
            <w:rStyle w:val="Hyperlink"/>
            <w:noProof/>
          </w:rPr>
          <w:t>8.4.8 Supplemental enhancement information message semantics</w:t>
        </w:r>
        <w:r>
          <w:rPr>
            <w:noProof/>
            <w:webHidden/>
          </w:rPr>
          <w:tab/>
        </w:r>
        <w:r>
          <w:rPr>
            <w:noProof/>
            <w:webHidden/>
          </w:rPr>
          <w:fldChar w:fldCharType="begin"/>
        </w:r>
        <w:r>
          <w:rPr>
            <w:noProof/>
            <w:webHidden/>
          </w:rPr>
          <w:instrText xml:space="preserve"> PAGEREF _Toc52181619 \h </w:instrText>
        </w:r>
        <w:r>
          <w:rPr>
            <w:noProof/>
            <w:webHidden/>
          </w:rPr>
        </w:r>
        <w:r>
          <w:rPr>
            <w:noProof/>
            <w:webHidden/>
          </w:rPr>
          <w:fldChar w:fldCharType="separate"/>
        </w:r>
        <w:r>
          <w:rPr>
            <w:noProof/>
            <w:webHidden/>
          </w:rPr>
          <w:t>94</w:t>
        </w:r>
        <w:r>
          <w:rPr>
            <w:noProof/>
            <w:webHidden/>
          </w:rPr>
          <w:fldChar w:fldCharType="end"/>
        </w:r>
      </w:hyperlink>
    </w:p>
    <w:p w14:paraId="759F5D96" w14:textId="47F8240E" w:rsidR="00507A67" w:rsidRDefault="00507A67">
      <w:pPr>
        <w:pStyle w:val="TOC1"/>
        <w:rPr>
          <w:rFonts w:asciiTheme="minorHAnsi" w:hAnsiTheme="minorHAnsi" w:cstheme="minorBidi"/>
          <w:b w:val="0"/>
          <w:noProof/>
          <w:lang w:eastAsia="en-CA"/>
        </w:rPr>
      </w:pPr>
      <w:hyperlink w:anchor="_Toc52181620" w:history="1">
        <w:r w:rsidRPr="00E53E72">
          <w:rPr>
            <w:rStyle w:val="Hyperlink"/>
            <w:noProof/>
          </w:rPr>
          <w:t>9 Decoding process</w:t>
        </w:r>
        <w:r>
          <w:rPr>
            <w:noProof/>
            <w:webHidden/>
          </w:rPr>
          <w:tab/>
        </w:r>
        <w:r>
          <w:rPr>
            <w:noProof/>
            <w:webHidden/>
          </w:rPr>
          <w:fldChar w:fldCharType="begin"/>
        </w:r>
        <w:r>
          <w:rPr>
            <w:noProof/>
            <w:webHidden/>
          </w:rPr>
          <w:instrText xml:space="preserve"> PAGEREF _Toc52181620 \h </w:instrText>
        </w:r>
        <w:r>
          <w:rPr>
            <w:noProof/>
            <w:webHidden/>
          </w:rPr>
        </w:r>
        <w:r>
          <w:rPr>
            <w:noProof/>
            <w:webHidden/>
          </w:rPr>
          <w:fldChar w:fldCharType="separate"/>
        </w:r>
        <w:r>
          <w:rPr>
            <w:noProof/>
            <w:webHidden/>
          </w:rPr>
          <w:t>94</w:t>
        </w:r>
        <w:r>
          <w:rPr>
            <w:noProof/>
            <w:webHidden/>
          </w:rPr>
          <w:fldChar w:fldCharType="end"/>
        </w:r>
      </w:hyperlink>
    </w:p>
    <w:p w14:paraId="7DD62AE4" w14:textId="3B66AFA6" w:rsidR="00507A67" w:rsidRDefault="00507A67">
      <w:pPr>
        <w:pStyle w:val="TOC2"/>
        <w:rPr>
          <w:rFonts w:asciiTheme="minorHAnsi" w:hAnsiTheme="minorHAnsi" w:cstheme="minorBidi"/>
          <w:b w:val="0"/>
          <w:noProof/>
          <w:lang w:eastAsia="en-CA"/>
        </w:rPr>
      </w:pPr>
      <w:hyperlink w:anchor="_Toc52181621" w:history="1">
        <w:r w:rsidRPr="00E53E72">
          <w:rPr>
            <w:rStyle w:val="Hyperlink"/>
            <w:noProof/>
          </w:rPr>
          <w:t>9.1 General decoding process</w:t>
        </w:r>
        <w:r>
          <w:rPr>
            <w:noProof/>
            <w:webHidden/>
          </w:rPr>
          <w:tab/>
        </w:r>
        <w:r>
          <w:rPr>
            <w:noProof/>
            <w:webHidden/>
          </w:rPr>
          <w:fldChar w:fldCharType="begin"/>
        </w:r>
        <w:r>
          <w:rPr>
            <w:noProof/>
            <w:webHidden/>
          </w:rPr>
          <w:instrText xml:space="preserve"> PAGEREF _Toc52181621 \h </w:instrText>
        </w:r>
        <w:r>
          <w:rPr>
            <w:noProof/>
            <w:webHidden/>
          </w:rPr>
        </w:r>
        <w:r>
          <w:rPr>
            <w:noProof/>
            <w:webHidden/>
          </w:rPr>
          <w:fldChar w:fldCharType="separate"/>
        </w:r>
        <w:r>
          <w:rPr>
            <w:noProof/>
            <w:webHidden/>
          </w:rPr>
          <w:t>94</w:t>
        </w:r>
        <w:r>
          <w:rPr>
            <w:noProof/>
            <w:webHidden/>
          </w:rPr>
          <w:fldChar w:fldCharType="end"/>
        </w:r>
      </w:hyperlink>
    </w:p>
    <w:p w14:paraId="1C386025" w14:textId="649C51FE" w:rsidR="00507A67" w:rsidRDefault="00507A67">
      <w:pPr>
        <w:pStyle w:val="TOC2"/>
        <w:rPr>
          <w:rFonts w:asciiTheme="minorHAnsi" w:hAnsiTheme="minorHAnsi" w:cstheme="minorBidi"/>
          <w:b w:val="0"/>
          <w:noProof/>
          <w:lang w:eastAsia="en-CA"/>
        </w:rPr>
      </w:pPr>
      <w:hyperlink w:anchor="_Toc52181622" w:history="1">
        <w:r w:rsidRPr="00E53E72">
          <w:rPr>
            <w:rStyle w:val="Hyperlink"/>
            <w:noProof/>
          </w:rPr>
          <w:t>9.2 Atlas data decoding process</w:t>
        </w:r>
        <w:r>
          <w:rPr>
            <w:noProof/>
            <w:webHidden/>
          </w:rPr>
          <w:tab/>
        </w:r>
        <w:r>
          <w:rPr>
            <w:noProof/>
            <w:webHidden/>
          </w:rPr>
          <w:fldChar w:fldCharType="begin"/>
        </w:r>
        <w:r>
          <w:rPr>
            <w:noProof/>
            <w:webHidden/>
          </w:rPr>
          <w:instrText xml:space="preserve"> PAGEREF _Toc52181622 \h </w:instrText>
        </w:r>
        <w:r>
          <w:rPr>
            <w:noProof/>
            <w:webHidden/>
          </w:rPr>
        </w:r>
        <w:r>
          <w:rPr>
            <w:noProof/>
            <w:webHidden/>
          </w:rPr>
          <w:fldChar w:fldCharType="separate"/>
        </w:r>
        <w:r>
          <w:rPr>
            <w:noProof/>
            <w:webHidden/>
          </w:rPr>
          <w:t>95</w:t>
        </w:r>
        <w:r>
          <w:rPr>
            <w:noProof/>
            <w:webHidden/>
          </w:rPr>
          <w:fldChar w:fldCharType="end"/>
        </w:r>
      </w:hyperlink>
    </w:p>
    <w:p w14:paraId="39CD33E6" w14:textId="28A75A6C" w:rsidR="00507A67" w:rsidRDefault="00507A67">
      <w:pPr>
        <w:pStyle w:val="TOC3"/>
        <w:rPr>
          <w:rFonts w:asciiTheme="minorHAnsi" w:hAnsiTheme="minorHAnsi" w:cstheme="minorBidi"/>
          <w:b w:val="0"/>
          <w:noProof/>
          <w:lang w:eastAsia="en-CA"/>
        </w:rPr>
      </w:pPr>
      <w:hyperlink w:anchor="_Toc52181623" w:history="1">
        <w:r w:rsidRPr="00E53E72">
          <w:rPr>
            <w:rStyle w:val="Hyperlink"/>
            <w:noProof/>
          </w:rPr>
          <w:t>9.2.1 General atlas data decoding process</w:t>
        </w:r>
        <w:r>
          <w:rPr>
            <w:noProof/>
            <w:webHidden/>
          </w:rPr>
          <w:tab/>
        </w:r>
        <w:r>
          <w:rPr>
            <w:noProof/>
            <w:webHidden/>
          </w:rPr>
          <w:fldChar w:fldCharType="begin"/>
        </w:r>
        <w:r>
          <w:rPr>
            <w:noProof/>
            <w:webHidden/>
          </w:rPr>
          <w:instrText xml:space="preserve"> PAGEREF _Toc52181623 \h </w:instrText>
        </w:r>
        <w:r>
          <w:rPr>
            <w:noProof/>
            <w:webHidden/>
          </w:rPr>
        </w:r>
        <w:r>
          <w:rPr>
            <w:noProof/>
            <w:webHidden/>
          </w:rPr>
          <w:fldChar w:fldCharType="separate"/>
        </w:r>
        <w:r>
          <w:rPr>
            <w:noProof/>
            <w:webHidden/>
          </w:rPr>
          <w:t>95</w:t>
        </w:r>
        <w:r>
          <w:rPr>
            <w:noProof/>
            <w:webHidden/>
          </w:rPr>
          <w:fldChar w:fldCharType="end"/>
        </w:r>
      </w:hyperlink>
    </w:p>
    <w:p w14:paraId="104CCAD6" w14:textId="534E5531" w:rsidR="00507A67" w:rsidRDefault="00507A67">
      <w:pPr>
        <w:pStyle w:val="TOC3"/>
        <w:rPr>
          <w:rFonts w:asciiTheme="minorHAnsi" w:hAnsiTheme="minorHAnsi" w:cstheme="minorBidi"/>
          <w:b w:val="0"/>
          <w:noProof/>
          <w:lang w:eastAsia="en-CA"/>
        </w:rPr>
      </w:pPr>
      <w:hyperlink w:anchor="_Toc52181624" w:history="1">
        <w:r w:rsidRPr="00E53E72">
          <w:rPr>
            <w:rStyle w:val="Hyperlink"/>
            <w:noProof/>
          </w:rPr>
          <w:t>9.2.2 Decoding process for a coded atlas frame</w:t>
        </w:r>
        <w:r>
          <w:rPr>
            <w:noProof/>
            <w:webHidden/>
          </w:rPr>
          <w:tab/>
        </w:r>
        <w:r>
          <w:rPr>
            <w:noProof/>
            <w:webHidden/>
          </w:rPr>
          <w:fldChar w:fldCharType="begin"/>
        </w:r>
        <w:r>
          <w:rPr>
            <w:noProof/>
            <w:webHidden/>
          </w:rPr>
          <w:instrText xml:space="preserve"> PAGEREF _Toc52181624 \h </w:instrText>
        </w:r>
        <w:r>
          <w:rPr>
            <w:noProof/>
            <w:webHidden/>
          </w:rPr>
        </w:r>
        <w:r>
          <w:rPr>
            <w:noProof/>
            <w:webHidden/>
          </w:rPr>
          <w:fldChar w:fldCharType="separate"/>
        </w:r>
        <w:r>
          <w:rPr>
            <w:noProof/>
            <w:webHidden/>
          </w:rPr>
          <w:t>96</w:t>
        </w:r>
        <w:r>
          <w:rPr>
            <w:noProof/>
            <w:webHidden/>
          </w:rPr>
          <w:fldChar w:fldCharType="end"/>
        </w:r>
      </w:hyperlink>
    </w:p>
    <w:p w14:paraId="6D0E23C5" w14:textId="6FDE3680" w:rsidR="00507A67" w:rsidRDefault="00507A67">
      <w:pPr>
        <w:pStyle w:val="TOC3"/>
        <w:rPr>
          <w:rFonts w:asciiTheme="minorHAnsi" w:hAnsiTheme="minorHAnsi" w:cstheme="minorBidi"/>
          <w:b w:val="0"/>
          <w:noProof/>
          <w:lang w:eastAsia="en-CA"/>
        </w:rPr>
      </w:pPr>
      <w:hyperlink w:anchor="_Toc52181625" w:history="1">
        <w:r w:rsidRPr="00E53E72">
          <w:rPr>
            <w:rStyle w:val="Hyperlink"/>
            <w:noProof/>
          </w:rPr>
          <w:t>9.2.3 Atlas NAL unit decoding process</w:t>
        </w:r>
        <w:r>
          <w:rPr>
            <w:noProof/>
            <w:webHidden/>
          </w:rPr>
          <w:tab/>
        </w:r>
        <w:r>
          <w:rPr>
            <w:noProof/>
            <w:webHidden/>
          </w:rPr>
          <w:fldChar w:fldCharType="begin"/>
        </w:r>
        <w:r>
          <w:rPr>
            <w:noProof/>
            <w:webHidden/>
          </w:rPr>
          <w:instrText xml:space="preserve"> PAGEREF _Toc52181625 \h </w:instrText>
        </w:r>
        <w:r>
          <w:rPr>
            <w:noProof/>
            <w:webHidden/>
          </w:rPr>
        </w:r>
        <w:r>
          <w:rPr>
            <w:noProof/>
            <w:webHidden/>
          </w:rPr>
          <w:fldChar w:fldCharType="separate"/>
        </w:r>
        <w:r>
          <w:rPr>
            <w:noProof/>
            <w:webHidden/>
          </w:rPr>
          <w:t>97</w:t>
        </w:r>
        <w:r>
          <w:rPr>
            <w:noProof/>
            <w:webHidden/>
          </w:rPr>
          <w:fldChar w:fldCharType="end"/>
        </w:r>
      </w:hyperlink>
    </w:p>
    <w:p w14:paraId="527F26F7" w14:textId="128E32A6" w:rsidR="00507A67" w:rsidRDefault="00507A67">
      <w:pPr>
        <w:pStyle w:val="TOC3"/>
        <w:rPr>
          <w:rFonts w:asciiTheme="minorHAnsi" w:hAnsiTheme="minorHAnsi" w:cstheme="minorBidi"/>
          <w:b w:val="0"/>
          <w:noProof/>
          <w:lang w:eastAsia="en-CA"/>
        </w:rPr>
      </w:pPr>
      <w:hyperlink w:anchor="_Toc52181626" w:history="1">
        <w:r w:rsidRPr="00E53E72">
          <w:rPr>
            <w:rStyle w:val="Hyperlink"/>
            <w:noProof/>
          </w:rPr>
          <w:t>9.2.4 Atlas tile header decoding process</w:t>
        </w:r>
        <w:r>
          <w:rPr>
            <w:noProof/>
            <w:webHidden/>
          </w:rPr>
          <w:tab/>
        </w:r>
        <w:r>
          <w:rPr>
            <w:noProof/>
            <w:webHidden/>
          </w:rPr>
          <w:fldChar w:fldCharType="begin"/>
        </w:r>
        <w:r>
          <w:rPr>
            <w:noProof/>
            <w:webHidden/>
          </w:rPr>
          <w:instrText xml:space="preserve"> PAGEREF _Toc52181626 \h </w:instrText>
        </w:r>
        <w:r>
          <w:rPr>
            <w:noProof/>
            <w:webHidden/>
          </w:rPr>
        </w:r>
        <w:r>
          <w:rPr>
            <w:noProof/>
            <w:webHidden/>
          </w:rPr>
          <w:fldChar w:fldCharType="separate"/>
        </w:r>
        <w:r>
          <w:rPr>
            <w:noProof/>
            <w:webHidden/>
          </w:rPr>
          <w:t>97</w:t>
        </w:r>
        <w:r>
          <w:rPr>
            <w:noProof/>
            <w:webHidden/>
          </w:rPr>
          <w:fldChar w:fldCharType="end"/>
        </w:r>
      </w:hyperlink>
    </w:p>
    <w:p w14:paraId="7306A8DF" w14:textId="73CFB761" w:rsidR="00507A67" w:rsidRDefault="00507A67">
      <w:pPr>
        <w:pStyle w:val="TOC3"/>
        <w:rPr>
          <w:rFonts w:asciiTheme="minorHAnsi" w:hAnsiTheme="minorHAnsi" w:cstheme="minorBidi"/>
          <w:b w:val="0"/>
          <w:noProof/>
          <w:lang w:eastAsia="en-CA"/>
        </w:rPr>
      </w:pPr>
      <w:hyperlink w:anchor="_Toc52181627" w:history="1">
        <w:r w:rsidRPr="00E53E72">
          <w:rPr>
            <w:rStyle w:val="Hyperlink"/>
            <w:noProof/>
          </w:rPr>
          <w:t>9.2.5 Decoding process for patch data units</w:t>
        </w:r>
        <w:r>
          <w:rPr>
            <w:noProof/>
            <w:webHidden/>
          </w:rPr>
          <w:tab/>
        </w:r>
        <w:r>
          <w:rPr>
            <w:noProof/>
            <w:webHidden/>
          </w:rPr>
          <w:fldChar w:fldCharType="begin"/>
        </w:r>
        <w:r>
          <w:rPr>
            <w:noProof/>
            <w:webHidden/>
          </w:rPr>
          <w:instrText xml:space="preserve"> PAGEREF _Toc52181627 \h </w:instrText>
        </w:r>
        <w:r>
          <w:rPr>
            <w:noProof/>
            <w:webHidden/>
          </w:rPr>
        </w:r>
        <w:r>
          <w:rPr>
            <w:noProof/>
            <w:webHidden/>
          </w:rPr>
          <w:fldChar w:fldCharType="separate"/>
        </w:r>
        <w:r>
          <w:rPr>
            <w:noProof/>
            <w:webHidden/>
          </w:rPr>
          <w:t>102</w:t>
        </w:r>
        <w:r>
          <w:rPr>
            <w:noProof/>
            <w:webHidden/>
          </w:rPr>
          <w:fldChar w:fldCharType="end"/>
        </w:r>
      </w:hyperlink>
    </w:p>
    <w:p w14:paraId="6189565D" w14:textId="08FC97F9" w:rsidR="00507A67" w:rsidRDefault="00507A67">
      <w:pPr>
        <w:pStyle w:val="TOC3"/>
        <w:rPr>
          <w:rFonts w:asciiTheme="minorHAnsi" w:hAnsiTheme="minorHAnsi" w:cstheme="minorBidi"/>
          <w:b w:val="0"/>
          <w:noProof/>
          <w:lang w:eastAsia="en-CA"/>
        </w:rPr>
      </w:pPr>
      <w:hyperlink w:anchor="_Toc52181628" w:history="1">
        <w:r w:rsidRPr="00E53E72">
          <w:rPr>
            <w:rStyle w:val="Hyperlink"/>
            <w:noProof/>
          </w:rPr>
          <w:t>9.2.6 Decoding process of the block to patch map</w:t>
        </w:r>
        <w:r>
          <w:rPr>
            <w:noProof/>
            <w:webHidden/>
          </w:rPr>
          <w:tab/>
        </w:r>
        <w:r>
          <w:rPr>
            <w:noProof/>
            <w:webHidden/>
          </w:rPr>
          <w:fldChar w:fldCharType="begin"/>
        </w:r>
        <w:r>
          <w:rPr>
            <w:noProof/>
            <w:webHidden/>
          </w:rPr>
          <w:instrText xml:space="preserve"> PAGEREF _Toc52181628 \h </w:instrText>
        </w:r>
        <w:r>
          <w:rPr>
            <w:noProof/>
            <w:webHidden/>
          </w:rPr>
        </w:r>
        <w:r>
          <w:rPr>
            <w:noProof/>
            <w:webHidden/>
          </w:rPr>
          <w:fldChar w:fldCharType="separate"/>
        </w:r>
        <w:r>
          <w:rPr>
            <w:noProof/>
            <w:webHidden/>
          </w:rPr>
          <w:t>117</w:t>
        </w:r>
        <w:r>
          <w:rPr>
            <w:noProof/>
            <w:webHidden/>
          </w:rPr>
          <w:fldChar w:fldCharType="end"/>
        </w:r>
      </w:hyperlink>
    </w:p>
    <w:p w14:paraId="6CC32897" w14:textId="5C9AA8B0" w:rsidR="00507A67" w:rsidRDefault="00507A67">
      <w:pPr>
        <w:pStyle w:val="TOC3"/>
        <w:rPr>
          <w:rFonts w:asciiTheme="minorHAnsi" w:hAnsiTheme="minorHAnsi" w:cstheme="minorBidi"/>
          <w:b w:val="0"/>
          <w:noProof/>
          <w:lang w:eastAsia="en-CA"/>
        </w:rPr>
      </w:pPr>
      <w:hyperlink w:anchor="_Toc52181629" w:history="1">
        <w:r w:rsidRPr="00E53E72">
          <w:rPr>
            <w:rStyle w:val="Hyperlink"/>
            <w:noProof/>
          </w:rPr>
          <w:t>9.2.7 Conversion of tile level patch information to atlas level patch information</w:t>
        </w:r>
        <w:r>
          <w:rPr>
            <w:noProof/>
            <w:webHidden/>
          </w:rPr>
          <w:tab/>
        </w:r>
        <w:r>
          <w:rPr>
            <w:noProof/>
            <w:webHidden/>
          </w:rPr>
          <w:fldChar w:fldCharType="begin"/>
        </w:r>
        <w:r>
          <w:rPr>
            <w:noProof/>
            <w:webHidden/>
          </w:rPr>
          <w:instrText xml:space="preserve"> PAGEREF _Toc52181629 \h </w:instrText>
        </w:r>
        <w:r>
          <w:rPr>
            <w:noProof/>
            <w:webHidden/>
          </w:rPr>
        </w:r>
        <w:r>
          <w:rPr>
            <w:noProof/>
            <w:webHidden/>
          </w:rPr>
          <w:fldChar w:fldCharType="separate"/>
        </w:r>
        <w:r>
          <w:rPr>
            <w:noProof/>
            <w:webHidden/>
          </w:rPr>
          <w:t>117</w:t>
        </w:r>
        <w:r>
          <w:rPr>
            <w:noProof/>
            <w:webHidden/>
          </w:rPr>
          <w:fldChar w:fldCharType="end"/>
        </w:r>
      </w:hyperlink>
    </w:p>
    <w:p w14:paraId="15F91DE5" w14:textId="2891FAFC" w:rsidR="00507A67" w:rsidRDefault="00507A67">
      <w:pPr>
        <w:pStyle w:val="TOC2"/>
        <w:rPr>
          <w:rFonts w:asciiTheme="minorHAnsi" w:hAnsiTheme="minorHAnsi" w:cstheme="minorBidi"/>
          <w:b w:val="0"/>
          <w:noProof/>
          <w:lang w:eastAsia="en-CA"/>
        </w:rPr>
      </w:pPr>
      <w:hyperlink w:anchor="_Toc52181630" w:history="1">
        <w:r w:rsidRPr="00E53E72">
          <w:rPr>
            <w:rStyle w:val="Hyperlink"/>
            <w:noProof/>
          </w:rPr>
          <w:t>9.3 Occupancy video decoding process</w:t>
        </w:r>
        <w:r>
          <w:rPr>
            <w:noProof/>
            <w:webHidden/>
          </w:rPr>
          <w:tab/>
        </w:r>
        <w:r>
          <w:rPr>
            <w:noProof/>
            <w:webHidden/>
          </w:rPr>
          <w:fldChar w:fldCharType="begin"/>
        </w:r>
        <w:r>
          <w:rPr>
            <w:noProof/>
            <w:webHidden/>
          </w:rPr>
          <w:instrText xml:space="preserve"> PAGEREF _Toc52181630 \h </w:instrText>
        </w:r>
        <w:r>
          <w:rPr>
            <w:noProof/>
            <w:webHidden/>
          </w:rPr>
        </w:r>
        <w:r>
          <w:rPr>
            <w:noProof/>
            <w:webHidden/>
          </w:rPr>
          <w:fldChar w:fldCharType="separate"/>
        </w:r>
        <w:r>
          <w:rPr>
            <w:noProof/>
            <w:webHidden/>
          </w:rPr>
          <w:t>120</w:t>
        </w:r>
        <w:r>
          <w:rPr>
            <w:noProof/>
            <w:webHidden/>
          </w:rPr>
          <w:fldChar w:fldCharType="end"/>
        </w:r>
      </w:hyperlink>
    </w:p>
    <w:p w14:paraId="10FCA98B" w14:textId="155305D5" w:rsidR="00507A67" w:rsidRDefault="00507A67">
      <w:pPr>
        <w:pStyle w:val="TOC2"/>
        <w:rPr>
          <w:rFonts w:asciiTheme="minorHAnsi" w:hAnsiTheme="minorHAnsi" w:cstheme="minorBidi"/>
          <w:b w:val="0"/>
          <w:noProof/>
          <w:lang w:eastAsia="en-CA"/>
        </w:rPr>
      </w:pPr>
      <w:hyperlink w:anchor="_Toc52181631" w:history="1">
        <w:r w:rsidRPr="00E53E72">
          <w:rPr>
            <w:rStyle w:val="Hyperlink"/>
            <w:noProof/>
          </w:rPr>
          <w:t>9.4 Geometry video decoding process</w:t>
        </w:r>
        <w:r>
          <w:rPr>
            <w:noProof/>
            <w:webHidden/>
          </w:rPr>
          <w:tab/>
        </w:r>
        <w:r>
          <w:rPr>
            <w:noProof/>
            <w:webHidden/>
          </w:rPr>
          <w:fldChar w:fldCharType="begin"/>
        </w:r>
        <w:r>
          <w:rPr>
            <w:noProof/>
            <w:webHidden/>
          </w:rPr>
          <w:instrText xml:space="preserve"> PAGEREF _Toc52181631 \h </w:instrText>
        </w:r>
        <w:r>
          <w:rPr>
            <w:noProof/>
            <w:webHidden/>
          </w:rPr>
        </w:r>
        <w:r>
          <w:rPr>
            <w:noProof/>
            <w:webHidden/>
          </w:rPr>
          <w:fldChar w:fldCharType="separate"/>
        </w:r>
        <w:r>
          <w:rPr>
            <w:noProof/>
            <w:webHidden/>
          </w:rPr>
          <w:t>121</w:t>
        </w:r>
        <w:r>
          <w:rPr>
            <w:noProof/>
            <w:webHidden/>
          </w:rPr>
          <w:fldChar w:fldCharType="end"/>
        </w:r>
      </w:hyperlink>
    </w:p>
    <w:p w14:paraId="4800FAAF" w14:textId="3CE4A0D4" w:rsidR="00507A67" w:rsidRDefault="00507A67">
      <w:pPr>
        <w:pStyle w:val="TOC2"/>
        <w:rPr>
          <w:rFonts w:asciiTheme="minorHAnsi" w:hAnsiTheme="minorHAnsi" w:cstheme="minorBidi"/>
          <w:b w:val="0"/>
          <w:noProof/>
          <w:lang w:eastAsia="en-CA"/>
        </w:rPr>
      </w:pPr>
      <w:hyperlink w:anchor="_Toc52181632" w:history="1">
        <w:r w:rsidRPr="00E53E72">
          <w:rPr>
            <w:rStyle w:val="Hyperlink"/>
            <w:noProof/>
          </w:rPr>
          <w:t>9.5 Attribute video decoding process</w:t>
        </w:r>
        <w:r>
          <w:rPr>
            <w:noProof/>
            <w:webHidden/>
          </w:rPr>
          <w:tab/>
        </w:r>
        <w:r>
          <w:rPr>
            <w:noProof/>
            <w:webHidden/>
          </w:rPr>
          <w:fldChar w:fldCharType="begin"/>
        </w:r>
        <w:r>
          <w:rPr>
            <w:noProof/>
            <w:webHidden/>
          </w:rPr>
          <w:instrText xml:space="preserve"> PAGEREF _Toc52181632 \h </w:instrText>
        </w:r>
        <w:r>
          <w:rPr>
            <w:noProof/>
            <w:webHidden/>
          </w:rPr>
        </w:r>
        <w:r>
          <w:rPr>
            <w:noProof/>
            <w:webHidden/>
          </w:rPr>
          <w:fldChar w:fldCharType="separate"/>
        </w:r>
        <w:r>
          <w:rPr>
            <w:noProof/>
            <w:webHidden/>
          </w:rPr>
          <w:t>123</w:t>
        </w:r>
        <w:r>
          <w:rPr>
            <w:noProof/>
            <w:webHidden/>
          </w:rPr>
          <w:fldChar w:fldCharType="end"/>
        </w:r>
      </w:hyperlink>
    </w:p>
    <w:p w14:paraId="689DE676" w14:textId="589A3FFC" w:rsidR="00507A67" w:rsidRDefault="00507A67">
      <w:pPr>
        <w:pStyle w:val="TOC2"/>
        <w:rPr>
          <w:rFonts w:asciiTheme="minorHAnsi" w:hAnsiTheme="minorHAnsi" w:cstheme="minorBidi"/>
          <w:b w:val="0"/>
          <w:noProof/>
          <w:lang w:eastAsia="en-CA"/>
        </w:rPr>
      </w:pPr>
      <w:hyperlink w:anchor="_Toc52181633" w:history="1">
        <w:r w:rsidRPr="00E53E72">
          <w:rPr>
            <w:rStyle w:val="Hyperlink"/>
            <w:noProof/>
          </w:rPr>
          <w:t>9.6 Packed video decoding process</w:t>
        </w:r>
        <w:r>
          <w:rPr>
            <w:noProof/>
            <w:webHidden/>
          </w:rPr>
          <w:tab/>
        </w:r>
        <w:r>
          <w:rPr>
            <w:noProof/>
            <w:webHidden/>
          </w:rPr>
          <w:fldChar w:fldCharType="begin"/>
        </w:r>
        <w:r>
          <w:rPr>
            <w:noProof/>
            <w:webHidden/>
          </w:rPr>
          <w:instrText xml:space="preserve"> PAGEREF _Toc52181633 \h </w:instrText>
        </w:r>
        <w:r>
          <w:rPr>
            <w:noProof/>
            <w:webHidden/>
          </w:rPr>
        </w:r>
        <w:r>
          <w:rPr>
            <w:noProof/>
            <w:webHidden/>
          </w:rPr>
          <w:fldChar w:fldCharType="separate"/>
        </w:r>
        <w:r>
          <w:rPr>
            <w:noProof/>
            <w:webHidden/>
          </w:rPr>
          <w:t>126</w:t>
        </w:r>
        <w:r>
          <w:rPr>
            <w:noProof/>
            <w:webHidden/>
          </w:rPr>
          <w:fldChar w:fldCharType="end"/>
        </w:r>
      </w:hyperlink>
    </w:p>
    <w:p w14:paraId="0C9F235F" w14:textId="5A0C9C8B" w:rsidR="00507A67" w:rsidRDefault="00507A67">
      <w:pPr>
        <w:pStyle w:val="TOC2"/>
        <w:rPr>
          <w:rFonts w:asciiTheme="minorHAnsi" w:hAnsiTheme="minorHAnsi" w:cstheme="minorBidi"/>
          <w:b w:val="0"/>
          <w:noProof/>
          <w:lang w:eastAsia="en-CA"/>
        </w:rPr>
      </w:pPr>
      <w:hyperlink w:anchor="_Toc52181634" w:history="1">
        <w:r w:rsidRPr="00E53E72">
          <w:rPr>
            <w:rStyle w:val="Hyperlink"/>
            <w:noProof/>
          </w:rPr>
          <w:t>9.7 Common atlas data decoding process</w:t>
        </w:r>
        <w:r>
          <w:rPr>
            <w:noProof/>
            <w:webHidden/>
          </w:rPr>
          <w:tab/>
        </w:r>
        <w:r>
          <w:rPr>
            <w:noProof/>
            <w:webHidden/>
          </w:rPr>
          <w:fldChar w:fldCharType="begin"/>
        </w:r>
        <w:r>
          <w:rPr>
            <w:noProof/>
            <w:webHidden/>
          </w:rPr>
          <w:instrText xml:space="preserve"> PAGEREF _Toc52181634 \h </w:instrText>
        </w:r>
        <w:r>
          <w:rPr>
            <w:noProof/>
            <w:webHidden/>
          </w:rPr>
        </w:r>
        <w:r>
          <w:rPr>
            <w:noProof/>
            <w:webHidden/>
          </w:rPr>
          <w:fldChar w:fldCharType="separate"/>
        </w:r>
        <w:r>
          <w:rPr>
            <w:noProof/>
            <w:webHidden/>
          </w:rPr>
          <w:t>126</w:t>
        </w:r>
        <w:r>
          <w:rPr>
            <w:noProof/>
            <w:webHidden/>
          </w:rPr>
          <w:fldChar w:fldCharType="end"/>
        </w:r>
      </w:hyperlink>
    </w:p>
    <w:p w14:paraId="501CB992" w14:textId="4F92B25E" w:rsidR="00507A67" w:rsidRDefault="00507A67">
      <w:pPr>
        <w:pStyle w:val="TOC2"/>
        <w:rPr>
          <w:rFonts w:asciiTheme="minorHAnsi" w:hAnsiTheme="minorHAnsi" w:cstheme="minorBidi"/>
          <w:b w:val="0"/>
          <w:noProof/>
          <w:lang w:eastAsia="en-CA"/>
        </w:rPr>
      </w:pPr>
      <w:hyperlink w:anchor="_Toc52181635" w:history="1">
        <w:r w:rsidRPr="00E53E72">
          <w:rPr>
            <w:rStyle w:val="Hyperlink"/>
            <w:noProof/>
          </w:rPr>
          <w:t>9.8 Sub-bitstream extraction process</w:t>
        </w:r>
        <w:r>
          <w:rPr>
            <w:noProof/>
            <w:webHidden/>
          </w:rPr>
          <w:tab/>
        </w:r>
        <w:r>
          <w:rPr>
            <w:noProof/>
            <w:webHidden/>
          </w:rPr>
          <w:fldChar w:fldCharType="begin"/>
        </w:r>
        <w:r>
          <w:rPr>
            <w:noProof/>
            <w:webHidden/>
          </w:rPr>
          <w:instrText xml:space="preserve"> PAGEREF _Toc52181635 \h </w:instrText>
        </w:r>
        <w:r>
          <w:rPr>
            <w:noProof/>
            <w:webHidden/>
          </w:rPr>
        </w:r>
        <w:r>
          <w:rPr>
            <w:noProof/>
            <w:webHidden/>
          </w:rPr>
          <w:fldChar w:fldCharType="separate"/>
        </w:r>
        <w:r>
          <w:rPr>
            <w:noProof/>
            <w:webHidden/>
          </w:rPr>
          <w:t>127</w:t>
        </w:r>
        <w:r>
          <w:rPr>
            <w:noProof/>
            <w:webHidden/>
          </w:rPr>
          <w:fldChar w:fldCharType="end"/>
        </w:r>
      </w:hyperlink>
    </w:p>
    <w:p w14:paraId="7907E982" w14:textId="7871124E" w:rsidR="00507A67" w:rsidRDefault="00507A67">
      <w:pPr>
        <w:pStyle w:val="TOC3"/>
        <w:rPr>
          <w:rFonts w:asciiTheme="minorHAnsi" w:hAnsiTheme="minorHAnsi" w:cstheme="minorBidi"/>
          <w:b w:val="0"/>
          <w:noProof/>
          <w:lang w:eastAsia="en-CA"/>
        </w:rPr>
      </w:pPr>
      <w:hyperlink w:anchor="_Toc52181636" w:history="1">
        <w:r w:rsidRPr="00E53E72">
          <w:rPr>
            <w:rStyle w:val="Hyperlink"/>
            <w:noProof/>
          </w:rPr>
          <w:t>9.8.1 General</w:t>
        </w:r>
        <w:r>
          <w:rPr>
            <w:noProof/>
            <w:webHidden/>
          </w:rPr>
          <w:tab/>
        </w:r>
        <w:r>
          <w:rPr>
            <w:noProof/>
            <w:webHidden/>
          </w:rPr>
          <w:fldChar w:fldCharType="begin"/>
        </w:r>
        <w:r>
          <w:rPr>
            <w:noProof/>
            <w:webHidden/>
          </w:rPr>
          <w:instrText xml:space="preserve"> PAGEREF _Toc52181636 \h </w:instrText>
        </w:r>
        <w:r>
          <w:rPr>
            <w:noProof/>
            <w:webHidden/>
          </w:rPr>
        </w:r>
        <w:r>
          <w:rPr>
            <w:noProof/>
            <w:webHidden/>
          </w:rPr>
          <w:fldChar w:fldCharType="separate"/>
        </w:r>
        <w:r>
          <w:rPr>
            <w:noProof/>
            <w:webHidden/>
          </w:rPr>
          <w:t>127</w:t>
        </w:r>
        <w:r>
          <w:rPr>
            <w:noProof/>
            <w:webHidden/>
          </w:rPr>
          <w:fldChar w:fldCharType="end"/>
        </w:r>
      </w:hyperlink>
    </w:p>
    <w:p w14:paraId="3F960767" w14:textId="38838562" w:rsidR="00507A67" w:rsidRDefault="00507A67">
      <w:pPr>
        <w:pStyle w:val="TOC3"/>
        <w:rPr>
          <w:rFonts w:asciiTheme="minorHAnsi" w:hAnsiTheme="minorHAnsi" w:cstheme="minorBidi"/>
          <w:b w:val="0"/>
          <w:noProof/>
          <w:lang w:eastAsia="en-CA"/>
        </w:rPr>
      </w:pPr>
      <w:hyperlink w:anchor="_Toc52181637" w:history="1">
        <w:r w:rsidRPr="00E53E72">
          <w:rPr>
            <w:rStyle w:val="Hyperlink"/>
            <w:noProof/>
          </w:rPr>
          <w:t>9.8.2 V3C unit extraction</w:t>
        </w:r>
        <w:r>
          <w:rPr>
            <w:noProof/>
            <w:webHidden/>
          </w:rPr>
          <w:tab/>
        </w:r>
        <w:r>
          <w:rPr>
            <w:noProof/>
            <w:webHidden/>
          </w:rPr>
          <w:fldChar w:fldCharType="begin"/>
        </w:r>
        <w:r>
          <w:rPr>
            <w:noProof/>
            <w:webHidden/>
          </w:rPr>
          <w:instrText xml:space="preserve"> PAGEREF _Toc52181637 \h </w:instrText>
        </w:r>
        <w:r>
          <w:rPr>
            <w:noProof/>
            <w:webHidden/>
          </w:rPr>
        </w:r>
        <w:r>
          <w:rPr>
            <w:noProof/>
            <w:webHidden/>
          </w:rPr>
          <w:fldChar w:fldCharType="separate"/>
        </w:r>
        <w:r>
          <w:rPr>
            <w:noProof/>
            <w:webHidden/>
          </w:rPr>
          <w:t>127</w:t>
        </w:r>
        <w:r>
          <w:rPr>
            <w:noProof/>
            <w:webHidden/>
          </w:rPr>
          <w:fldChar w:fldCharType="end"/>
        </w:r>
      </w:hyperlink>
    </w:p>
    <w:p w14:paraId="79A6D8E6" w14:textId="3F7B1F33" w:rsidR="00507A67" w:rsidRDefault="00507A67">
      <w:pPr>
        <w:pStyle w:val="TOC3"/>
        <w:rPr>
          <w:rFonts w:asciiTheme="minorHAnsi" w:hAnsiTheme="minorHAnsi" w:cstheme="minorBidi"/>
          <w:b w:val="0"/>
          <w:noProof/>
          <w:lang w:eastAsia="en-CA"/>
        </w:rPr>
      </w:pPr>
      <w:hyperlink w:anchor="_Toc52181638" w:history="1">
        <w:r w:rsidRPr="00E53E72">
          <w:rPr>
            <w:rStyle w:val="Hyperlink"/>
            <w:noProof/>
          </w:rPr>
          <w:t>9.8.3 NAL unit extraction process</w:t>
        </w:r>
        <w:r>
          <w:rPr>
            <w:noProof/>
            <w:webHidden/>
          </w:rPr>
          <w:tab/>
        </w:r>
        <w:r>
          <w:rPr>
            <w:noProof/>
            <w:webHidden/>
          </w:rPr>
          <w:fldChar w:fldCharType="begin"/>
        </w:r>
        <w:r>
          <w:rPr>
            <w:noProof/>
            <w:webHidden/>
          </w:rPr>
          <w:instrText xml:space="preserve"> PAGEREF _Toc52181638 \h </w:instrText>
        </w:r>
        <w:r>
          <w:rPr>
            <w:noProof/>
            <w:webHidden/>
          </w:rPr>
        </w:r>
        <w:r>
          <w:rPr>
            <w:noProof/>
            <w:webHidden/>
          </w:rPr>
          <w:fldChar w:fldCharType="separate"/>
        </w:r>
        <w:r>
          <w:rPr>
            <w:noProof/>
            <w:webHidden/>
          </w:rPr>
          <w:t>128</w:t>
        </w:r>
        <w:r>
          <w:rPr>
            <w:noProof/>
            <w:webHidden/>
          </w:rPr>
          <w:fldChar w:fldCharType="end"/>
        </w:r>
      </w:hyperlink>
    </w:p>
    <w:p w14:paraId="10DBF1A2" w14:textId="278E9E1E" w:rsidR="00507A67" w:rsidRDefault="00507A67">
      <w:pPr>
        <w:pStyle w:val="TOC1"/>
        <w:rPr>
          <w:rFonts w:asciiTheme="minorHAnsi" w:hAnsiTheme="minorHAnsi" w:cstheme="minorBidi"/>
          <w:b w:val="0"/>
          <w:noProof/>
          <w:lang w:eastAsia="en-CA"/>
        </w:rPr>
      </w:pPr>
      <w:hyperlink w:anchor="_Toc52181639" w:history="1">
        <w:r w:rsidRPr="00E53E72">
          <w:rPr>
            <w:rStyle w:val="Hyperlink"/>
            <w:noProof/>
          </w:rPr>
          <w:t>10 Pre-reconstruction process</w:t>
        </w:r>
        <w:r>
          <w:rPr>
            <w:noProof/>
            <w:webHidden/>
          </w:rPr>
          <w:tab/>
        </w:r>
        <w:r>
          <w:rPr>
            <w:noProof/>
            <w:webHidden/>
          </w:rPr>
          <w:fldChar w:fldCharType="begin"/>
        </w:r>
        <w:r>
          <w:rPr>
            <w:noProof/>
            <w:webHidden/>
          </w:rPr>
          <w:instrText xml:space="preserve"> PAGEREF _Toc52181639 \h </w:instrText>
        </w:r>
        <w:r>
          <w:rPr>
            <w:noProof/>
            <w:webHidden/>
          </w:rPr>
        </w:r>
        <w:r>
          <w:rPr>
            <w:noProof/>
            <w:webHidden/>
          </w:rPr>
          <w:fldChar w:fldCharType="separate"/>
        </w:r>
        <w:r>
          <w:rPr>
            <w:noProof/>
            <w:webHidden/>
          </w:rPr>
          <w:t>128</w:t>
        </w:r>
        <w:r>
          <w:rPr>
            <w:noProof/>
            <w:webHidden/>
          </w:rPr>
          <w:fldChar w:fldCharType="end"/>
        </w:r>
      </w:hyperlink>
    </w:p>
    <w:p w14:paraId="60D193EA" w14:textId="60B8E0E5" w:rsidR="00507A67" w:rsidRDefault="00507A67">
      <w:pPr>
        <w:pStyle w:val="TOC1"/>
        <w:rPr>
          <w:rFonts w:asciiTheme="minorHAnsi" w:hAnsiTheme="minorHAnsi" w:cstheme="minorBidi"/>
          <w:b w:val="0"/>
          <w:noProof/>
          <w:lang w:eastAsia="en-CA"/>
        </w:rPr>
      </w:pPr>
      <w:hyperlink w:anchor="_Toc52181640" w:history="1">
        <w:r w:rsidRPr="00E53E72">
          <w:rPr>
            <w:rStyle w:val="Hyperlink"/>
            <w:noProof/>
          </w:rPr>
          <w:t>11 Reconstruction process</w:t>
        </w:r>
        <w:r>
          <w:rPr>
            <w:noProof/>
            <w:webHidden/>
          </w:rPr>
          <w:tab/>
        </w:r>
        <w:r>
          <w:rPr>
            <w:noProof/>
            <w:webHidden/>
          </w:rPr>
          <w:fldChar w:fldCharType="begin"/>
        </w:r>
        <w:r>
          <w:rPr>
            <w:noProof/>
            <w:webHidden/>
          </w:rPr>
          <w:instrText xml:space="preserve"> PAGEREF _Toc52181640 \h </w:instrText>
        </w:r>
        <w:r>
          <w:rPr>
            <w:noProof/>
            <w:webHidden/>
          </w:rPr>
        </w:r>
        <w:r>
          <w:rPr>
            <w:noProof/>
            <w:webHidden/>
          </w:rPr>
          <w:fldChar w:fldCharType="separate"/>
        </w:r>
        <w:r>
          <w:rPr>
            <w:noProof/>
            <w:webHidden/>
          </w:rPr>
          <w:t>128</w:t>
        </w:r>
        <w:r>
          <w:rPr>
            <w:noProof/>
            <w:webHidden/>
          </w:rPr>
          <w:fldChar w:fldCharType="end"/>
        </w:r>
      </w:hyperlink>
    </w:p>
    <w:p w14:paraId="63245D75" w14:textId="5EEC3199" w:rsidR="00507A67" w:rsidRDefault="00507A67">
      <w:pPr>
        <w:pStyle w:val="TOC1"/>
        <w:rPr>
          <w:rFonts w:asciiTheme="minorHAnsi" w:hAnsiTheme="minorHAnsi" w:cstheme="minorBidi"/>
          <w:b w:val="0"/>
          <w:noProof/>
          <w:lang w:eastAsia="en-CA"/>
        </w:rPr>
      </w:pPr>
      <w:hyperlink w:anchor="_Toc52181641" w:history="1">
        <w:r w:rsidRPr="00E53E72">
          <w:rPr>
            <w:rStyle w:val="Hyperlink"/>
            <w:noProof/>
          </w:rPr>
          <w:t>12 Post-reconstruction process</w:t>
        </w:r>
        <w:r>
          <w:rPr>
            <w:noProof/>
            <w:webHidden/>
          </w:rPr>
          <w:tab/>
        </w:r>
        <w:r>
          <w:rPr>
            <w:noProof/>
            <w:webHidden/>
          </w:rPr>
          <w:fldChar w:fldCharType="begin"/>
        </w:r>
        <w:r>
          <w:rPr>
            <w:noProof/>
            <w:webHidden/>
          </w:rPr>
          <w:instrText xml:space="preserve"> PAGEREF _Toc52181641 \h </w:instrText>
        </w:r>
        <w:r>
          <w:rPr>
            <w:noProof/>
            <w:webHidden/>
          </w:rPr>
        </w:r>
        <w:r>
          <w:rPr>
            <w:noProof/>
            <w:webHidden/>
          </w:rPr>
          <w:fldChar w:fldCharType="separate"/>
        </w:r>
        <w:r>
          <w:rPr>
            <w:noProof/>
            <w:webHidden/>
          </w:rPr>
          <w:t>128</w:t>
        </w:r>
        <w:r>
          <w:rPr>
            <w:noProof/>
            <w:webHidden/>
          </w:rPr>
          <w:fldChar w:fldCharType="end"/>
        </w:r>
      </w:hyperlink>
    </w:p>
    <w:p w14:paraId="05224F76" w14:textId="5AE920F5" w:rsidR="00507A67" w:rsidRDefault="00507A67">
      <w:pPr>
        <w:pStyle w:val="TOC1"/>
        <w:rPr>
          <w:rFonts w:asciiTheme="minorHAnsi" w:hAnsiTheme="minorHAnsi" w:cstheme="minorBidi"/>
          <w:b w:val="0"/>
          <w:noProof/>
          <w:lang w:eastAsia="en-CA"/>
        </w:rPr>
      </w:pPr>
      <w:hyperlink w:anchor="_Toc52181642" w:history="1">
        <w:r w:rsidRPr="00E53E72">
          <w:rPr>
            <w:rStyle w:val="Hyperlink"/>
            <w:noProof/>
          </w:rPr>
          <w:t>13 Adaptation process</w:t>
        </w:r>
        <w:r>
          <w:rPr>
            <w:noProof/>
            <w:webHidden/>
          </w:rPr>
          <w:tab/>
        </w:r>
        <w:r>
          <w:rPr>
            <w:noProof/>
            <w:webHidden/>
          </w:rPr>
          <w:fldChar w:fldCharType="begin"/>
        </w:r>
        <w:r>
          <w:rPr>
            <w:noProof/>
            <w:webHidden/>
          </w:rPr>
          <w:instrText xml:space="preserve"> PAGEREF _Toc52181642 \h </w:instrText>
        </w:r>
        <w:r>
          <w:rPr>
            <w:noProof/>
            <w:webHidden/>
          </w:rPr>
        </w:r>
        <w:r>
          <w:rPr>
            <w:noProof/>
            <w:webHidden/>
          </w:rPr>
          <w:fldChar w:fldCharType="separate"/>
        </w:r>
        <w:r>
          <w:rPr>
            <w:noProof/>
            <w:webHidden/>
          </w:rPr>
          <w:t>128</w:t>
        </w:r>
        <w:r>
          <w:rPr>
            <w:noProof/>
            <w:webHidden/>
          </w:rPr>
          <w:fldChar w:fldCharType="end"/>
        </w:r>
      </w:hyperlink>
    </w:p>
    <w:p w14:paraId="104F224F" w14:textId="1115B294" w:rsidR="00507A67" w:rsidRDefault="00507A67">
      <w:pPr>
        <w:pStyle w:val="TOC1"/>
        <w:rPr>
          <w:rFonts w:asciiTheme="minorHAnsi" w:hAnsiTheme="minorHAnsi" w:cstheme="minorBidi"/>
          <w:b w:val="0"/>
          <w:noProof/>
          <w:lang w:eastAsia="en-CA"/>
        </w:rPr>
      </w:pPr>
      <w:hyperlink w:anchor="_Toc52181643" w:history="1">
        <w:r w:rsidRPr="00E53E72">
          <w:rPr>
            <w:rStyle w:val="Hyperlink"/>
            <w:noProof/>
          </w:rPr>
          <w:t>14 Parsing process</w:t>
        </w:r>
        <w:r>
          <w:rPr>
            <w:noProof/>
            <w:webHidden/>
          </w:rPr>
          <w:tab/>
        </w:r>
        <w:r>
          <w:rPr>
            <w:noProof/>
            <w:webHidden/>
          </w:rPr>
          <w:fldChar w:fldCharType="begin"/>
        </w:r>
        <w:r>
          <w:rPr>
            <w:noProof/>
            <w:webHidden/>
          </w:rPr>
          <w:instrText xml:space="preserve"> PAGEREF _Toc52181643 \h </w:instrText>
        </w:r>
        <w:r>
          <w:rPr>
            <w:noProof/>
            <w:webHidden/>
          </w:rPr>
        </w:r>
        <w:r>
          <w:rPr>
            <w:noProof/>
            <w:webHidden/>
          </w:rPr>
          <w:fldChar w:fldCharType="separate"/>
        </w:r>
        <w:r>
          <w:rPr>
            <w:noProof/>
            <w:webHidden/>
          </w:rPr>
          <w:t>129</w:t>
        </w:r>
        <w:r>
          <w:rPr>
            <w:noProof/>
            <w:webHidden/>
          </w:rPr>
          <w:fldChar w:fldCharType="end"/>
        </w:r>
      </w:hyperlink>
    </w:p>
    <w:p w14:paraId="46E3EC44" w14:textId="7926DE1C" w:rsidR="00507A67" w:rsidRDefault="00507A67">
      <w:pPr>
        <w:pStyle w:val="TOC2"/>
        <w:rPr>
          <w:rFonts w:asciiTheme="minorHAnsi" w:hAnsiTheme="minorHAnsi" w:cstheme="minorBidi"/>
          <w:b w:val="0"/>
          <w:noProof/>
          <w:lang w:eastAsia="en-CA"/>
        </w:rPr>
      </w:pPr>
      <w:hyperlink w:anchor="_Toc52181644" w:history="1">
        <w:r w:rsidRPr="00E53E72">
          <w:rPr>
            <w:rStyle w:val="Hyperlink"/>
            <w:noProof/>
          </w:rPr>
          <w:t>14.1 General</w:t>
        </w:r>
        <w:r>
          <w:rPr>
            <w:noProof/>
            <w:webHidden/>
          </w:rPr>
          <w:tab/>
        </w:r>
        <w:r>
          <w:rPr>
            <w:noProof/>
            <w:webHidden/>
          </w:rPr>
          <w:fldChar w:fldCharType="begin"/>
        </w:r>
        <w:r>
          <w:rPr>
            <w:noProof/>
            <w:webHidden/>
          </w:rPr>
          <w:instrText xml:space="preserve"> PAGEREF _Toc52181644 \h </w:instrText>
        </w:r>
        <w:r>
          <w:rPr>
            <w:noProof/>
            <w:webHidden/>
          </w:rPr>
        </w:r>
        <w:r>
          <w:rPr>
            <w:noProof/>
            <w:webHidden/>
          </w:rPr>
          <w:fldChar w:fldCharType="separate"/>
        </w:r>
        <w:r>
          <w:rPr>
            <w:noProof/>
            <w:webHidden/>
          </w:rPr>
          <w:t>129</w:t>
        </w:r>
        <w:r>
          <w:rPr>
            <w:noProof/>
            <w:webHidden/>
          </w:rPr>
          <w:fldChar w:fldCharType="end"/>
        </w:r>
      </w:hyperlink>
    </w:p>
    <w:p w14:paraId="30EBD60E" w14:textId="2D649413" w:rsidR="00507A67" w:rsidRDefault="00507A67">
      <w:pPr>
        <w:pStyle w:val="TOC2"/>
        <w:rPr>
          <w:rFonts w:asciiTheme="minorHAnsi" w:hAnsiTheme="minorHAnsi" w:cstheme="minorBidi"/>
          <w:b w:val="0"/>
          <w:noProof/>
          <w:lang w:eastAsia="en-CA"/>
        </w:rPr>
      </w:pPr>
      <w:hyperlink w:anchor="_Toc52181645" w:history="1">
        <w:r w:rsidRPr="00E53E72">
          <w:rPr>
            <w:rStyle w:val="Hyperlink"/>
            <w:noProof/>
          </w:rPr>
          <w:t>14.2 Parsing process for 0-th order Exp-Golomb codes</w:t>
        </w:r>
        <w:r>
          <w:rPr>
            <w:noProof/>
            <w:webHidden/>
          </w:rPr>
          <w:tab/>
        </w:r>
        <w:r>
          <w:rPr>
            <w:noProof/>
            <w:webHidden/>
          </w:rPr>
          <w:fldChar w:fldCharType="begin"/>
        </w:r>
        <w:r>
          <w:rPr>
            <w:noProof/>
            <w:webHidden/>
          </w:rPr>
          <w:instrText xml:space="preserve"> PAGEREF _Toc52181645 \h </w:instrText>
        </w:r>
        <w:r>
          <w:rPr>
            <w:noProof/>
            <w:webHidden/>
          </w:rPr>
        </w:r>
        <w:r>
          <w:rPr>
            <w:noProof/>
            <w:webHidden/>
          </w:rPr>
          <w:fldChar w:fldCharType="separate"/>
        </w:r>
        <w:r>
          <w:rPr>
            <w:noProof/>
            <w:webHidden/>
          </w:rPr>
          <w:t>129</w:t>
        </w:r>
        <w:r>
          <w:rPr>
            <w:noProof/>
            <w:webHidden/>
          </w:rPr>
          <w:fldChar w:fldCharType="end"/>
        </w:r>
      </w:hyperlink>
    </w:p>
    <w:p w14:paraId="627F9965" w14:textId="3AA1CDFC" w:rsidR="00507A67" w:rsidRDefault="00507A67">
      <w:pPr>
        <w:pStyle w:val="TOC3"/>
        <w:rPr>
          <w:rFonts w:asciiTheme="minorHAnsi" w:hAnsiTheme="minorHAnsi" w:cstheme="minorBidi"/>
          <w:b w:val="0"/>
          <w:noProof/>
          <w:lang w:eastAsia="en-CA"/>
        </w:rPr>
      </w:pPr>
      <w:hyperlink w:anchor="_Toc52181646" w:history="1">
        <w:r w:rsidRPr="00E53E72">
          <w:rPr>
            <w:rStyle w:val="Hyperlink"/>
            <w:noProof/>
          </w:rPr>
          <w:t>14.2.1 General</w:t>
        </w:r>
        <w:r>
          <w:rPr>
            <w:noProof/>
            <w:webHidden/>
          </w:rPr>
          <w:tab/>
        </w:r>
        <w:r>
          <w:rPr>
            <w:noProof/>
            <w:webHidden/>
          </w:rPr>
          <w:fldChar w:fldCharType="begin"/>
        </w:r>
        <w:r>
          <w:rPr>
            <w:noProof/>
            <w:webHidden/>
          </w:rPr>
          <w:instrText xml:space="preserve"> PAGEREF _Toc52181646 \h </w:instrText>
        </w:r>
        <w:r>
          <w:rPr>
            <w:noProof/>
            <w:webHidden/>
          </w:rPr>
        </w:r>
        <w:r>
          <w:rPr>
            <w:noProof/>
            <w:webHidden/>
          </w:rPr>
          <w:fldChar w:fldCharType="separate"/>
        </w:r>
        <w:r>
          <w:rPr>
            <w:noProof/>
            <w:webHidden/>
          </w:rPr>
          <w:t>129</w:t>
        </w:r>
        <w:r>
          <w:rPr>
            <w:noProof/>
            <w:webHidden/>
          </w:rPr>
          <w:fldChar w:fldCharType="end"/>
        </w:r>
      </w:hyperlink>
    </w:p>
    <w:p w14:paraId="542CAE60" w14:textId="70D9ED7C" w:rsidR="00507A67" w:rsidRDefault="00507A67">
      <w:pPr>
        <w:pStyle w:val="TOC3"/>
        <w:rPr>
          <w:rFonts w:asciiTheme="minorHAnsi" w:hAnsiTheme="minorHAnsi" w:cstheme="minorBidi"/>
          <w:b w:val="0"/>
          <w:noProof/>
          <w:lang w:eastAsia="en-CA"/>
        </w:rPr>
      </w:pPr>
      <w:hyperlink w:anchor="_Toc52181647" w:history="1">
        <w:r w:rsidRPr="00E53E72">
          <w:rPr>
            <w:rStyle w:val="Hyperlink"/>
            <w:noProof/>
          </w:rPr>
          <w:t>14.2.2 Mapping process for signed Exp-Golomb codes</w:t>
        </w:r>
        <w:r>
          <w:rPr>
            <w:noProof/>
            <w:webHidden/>
          </w:rPr>
          <w:tab/>
        </w:r>
        <w:r>
          <w:rPr>
            <w:noProof/>
            <w:webHidden/>
          </w:rPr>
          <w:fldChar w:fldCharType="begin"/>
        </w:r>
        <w:r>
          <w:rPr>
            <w:noProof/>
            <w:webHidden/>
          </w:rPr>
          <w:instrText xml:space="preserve"> PAGEREF _Toc52181647 \h </w:instrText>
        </w:r>
        <w:r>
          <w:rPr>
            <w:noProof/>
            <w:webHidden/>
          </w:rPr>
        </w:r>
        <w:r>
          <w:rPr>
            <w:noProof/>
            <w:webHidden/>
          </w:rPr>
          <w:fldChar w:fldCharType="separate"/>
        </w:r>
        <w:r>
          <w:rPr>
            <w:noProof/>
            <w:webHidden/>
          </w:rPr>
          <w:t>130</w:t>
        </w:r>
        <w:r>
          <w:rPr>
            <w:noProof/>
            <w:webHidden/>
          </w:rPr>
          <w:fldChar w:fldCharType="end"/>
        </w:r>
      </w:hyperlink>
    </w:p>
    <w:p w14:paraId="512A8E49" w14:textId="082DF16A" w:rsidR="00507A67" w:rsidRDefault="00507A67">
      <w:pPr>
        <w:pStyle w:val="TOC1"/>
        <w:rPr>
          <w:rFonts w:asciiTheme="minorHAnsi" w:hAnsiTheme="minorHAnsi" w:cstheme="minorBidi"/>
          <w:b w:val="0"/>
          <w:noProof/>
          <w:lang w:eastAsia="en-CA"/>
        </w:rPr>
      </w:pPr>
      <w:hyperlink w:anchor="_Toc52181648" w:history="1">
        <w:r w:rsidRPr="00E53E72">
          <w:rPr>
            <w:rStyle w:val="Hyperlink"/>
            <w:noProof/>
          </w:rPr>
          <w:t>Annex A (normative) Profiles, tiers, and levels</w:t>
        </w:r>
        <w:r>
          <w:rPr>
            <w:noProof/>
            <w:webHidden/>
          </w:rPr>
          <w:tab/>
        </w:r>
        <w:r>
          <w:rPr>
            <w:noProof/>
            <w:webHidden/>
          </w:rPr>
          <w:fldChar w:fldCharType="begin"/>
        </w:r>
        <w:r>
          <w:rPr>
            <w:noProof/>
            <w:webHidden/>
          </w:rPr>
          <w:instrText xml:space="preserve"> PAGEREF _Toc52181648 \h </w:instrText>
        </w:r>
        <w:r>
          <w:rPr>
            <w:noProof/>
            <w:webHidden/>
          </w:rPr>
        </w:r>
        <w:r>
          <w:rPr>
            <w:noProof/>
            <w:webHidden/>
          </w:rPr>
          <w:fldChar w:fldCharType="separate"/>
        </w:r>
        <w:r>
          <w:rPr>
            <w:noProof/>
            <w:webHidden/>
          </w:rPr>
          <w:t>132</w:t>
        </w:r>
        <w:r>
          <w:rPr>
            <w:noProof/>
            <w:webHidden/>
          </w:rPr>
          <w:fldChar w:fldCharType="end"/>
        </w:r>
      </w:hyperlink>
    </w:p>
    <w:p w14:paraId="68A1788F" w14:textId="3D967708" w:rsidR="00507A67" w:rsidRDefault="00507A67">
      <w:pPr>
        <w:pStyle w:val="TOC2"/>
        <w:rPr>
          <w:rFonts w:asciiTheme="minorHAnsi" w:hAnsiTheme="minorHAnsi" w:cstheme="minorBidi"/>
          <w:b w:val="0"/>
          <w:noProof/>
          <w:lang w:eastAsia="en-CA"/>
        </w:rPr>
      </w:pPr>
      <w:hyperlink w:anchor="_Toc52181649" w:history="1">
        <w:r w:rsidRPr="00E53E72">
          <w:rPr>
            <w:rStyle w:val="Hyperlink"/>
            <w:noProof/>
          </w:rPr>
          <w:t>A.1 Overview of profiles, tiers, and levels</w:t>
        </w:r>
        <w:r>
          <w:rPr>
            <w:noProof/>
            <w:webHidden/>
          </w:rPr>
          <w:tab/>
        </w:r>
        <w:r>
          <w:rPr>
            <w:noProof/>
            <w:webHidden/>
          </w:rPr>
          <w:fldChar w:fldCharType="begin"/>
        </w:r>
        <w:r>
          <w:rPr>
            <w:noProof/>
            <w:webHidden/>
          </w:rPr>
          <w:instrText xml:space="preserve"> PAGEREF _Toc52181649 \h </w:instrText>
        </w:r>
        <w:r>
          <w:rPr>
            <w:noProof/>
            <w:webHidden/>
          </w:rPr>
        </w:r>
        <w:r>
          <w:rPr>
            <w:noProof/>
            <w:webHidden/>
          </w:rPr>
          <w:fldChar w:fldCharType="separate"/>
        </w:r>
        <w:r>
          <w:rPr>
            <w:noProof/>
            <w:webHidden/>
          </w:rPr>
          <w:t>132</w:t>
        </w:r>
        <w:r>
          <w:rPr>
            <w:noProof/>
            <w:webHidden/>
          </w:rPr>
          <w:fldChar w:fldCharType="end"/>
        </w:r>
      </w:hyperlink>
    </w:p>
    <w:p w14:paraId="159AF153" w14:textId="5DC3B639" w:rsidR="00507A67" w:rsidRDefault="00507A67">
      <w:pPr>
        <w:pStyle w:val="TOC2"/>
        <w:rPr>
          <w:rFonts w:asciiTheme="minorHAnsi" w:hAnsiTheme="minorHAnsi" w:cstheme="minorBidi"/>
          <w:b w:val="0"/>
          <w:noProof/>
          <w:lang w:eastAsia="en-CA"/>
        </w:rPr>
      </w:pPr>
      <w:hyperlink w:anchor="_Toc52181650" w:history="1">
        <w:r w:rsidRPr="00E53E72">
          <w:rPr>
            <w:rStyle w:val="Hyperlink"/>
            <w:noProof/>
          </w:rPr>
          <w:t>A.2 Profile, tier, and level structure</w:t>
        </w:r>
        <w:r>
          <w:rPr>
            <w:noProof/>
            <w:webHidden/>
          </w:rPr>
          <w:tab/>
        </w:r>
        <w:r>
          <w:rPr>
            <w:noProof/>
            <w:webHidden/>
          </w:rPr>
          <w:fldChar w:fldCharType="begin"/>
        </w:r>
        <w:r>
          <w:rPr>
            <w:noProof/>
            <w:webHidden/>
          </w:rPr>
          <w:instrText xml:space="preserve"> PAGEREF _Toc52181650 \h </w:instrText>
        </w:r>
        <w:r>
          <w:rPr>
            <w:noProof/>
            <w:webHidden/>
          </w:rPr>
        </w:r>
        <w:r>
          <w:rPr>
            <w:noProof/>
            <w:webHidden/>
          </w:rPr>
          <w:fldChar w:fldCharType="separate"/>
        </w:r>
        <w:r>
          <w:rPr>
            <w:noProof/>
            <w:webHidden/>
          </w:rPr>
          <w:t>133</w:t>
        </w:r>
        <w:r>
          <w:rPr>
            <w:noProof/>
            <w:webHidden/>
          </w:rPr>
          <w:fldChar w:fldCharType="end"/>
        </w:r>
      </w:hyperlink>
    </w:p>
    <w:p w14:paraId="7428BBCA" w14:textId="673490F9" w:rsidR="00507A67" w:rsidRDefault="00507A67">
      <w:pPr>
        <w:pStyle w:val="TOC2"/>
        <w:rPr>
          <w:rFonts w:asciiTheme="minorHAnsi" w:hAnsiTheme="minorHAnsi" w:cstheme="minorBidi"/>
          <w:b w:val="0"/>
          <w:noProof/>
          <w:lang w:eastAsia="en-CA"/>
        </w:rPr>
      </w:pPr>
      <w:hyperlink w:anchor="_Toc52181651" w:history="1">
        <w:r w:rsidRPr="00E53E72">
          <w:rPr>
            <w:rStyle w:val="Hyperlink"/>
            <w:noProof/>
          </w:rPr>
          <w:t>A.3 CodecGroup profile components</w:t>
        </w:r>
        <w:r>
          <w:rPr>
            <w:noProof/>
            <w:webHidden/>
          </w:rPr>
          <w:tab/>
        </w:r>
        <w:r>
          <w:rPr>
            <w:noProof/>
            <w:webHidden/>
          </w:rPr>
          <w:fldChar w:fldCharType="begin"/>
        </w:r>
        <w:r>
          <w:rPr>
            <w:noProof/>
            <w:webHidden/>
          </w:rPr>
          <w:instrText xml:space="preserve"> PAGEREF _Toc52181651 \h </w:instrText>
        </w:r>
        <w:r>
          <w:rPr>
            <w:noProof/>
            <w:webHidden/>
          </w:rPr>
        </w:r>
        <w:r>
          <w:rPr>
            <w:noProof/>
            <w:webHidden/>
          </w:rPr>
          <w:fldChar w:fldCharType="separate"/>
        </w:r>
        <w:r>
          <w:rPr>
            <w:noProof/>
            <w:webHidden/>
          </w:rPr>
          <w:t>135</w:t>
        </w:r>
        <w:r>
          <w:rPr>
            <w:noProof/>
            <w:webHidden/>
          </w:rPr>
          <w:fldChar w:fldCharType="end"/>
        </w:r>
      </w:hyperlink>
    </w:p>
    <w:p w14:paraId="59B92EE4" w14:textId="2C3D35DF" w:rsidR="00507A67" w:rsidRDefault="00507A67">
      <w:pPr>
        <w:pStyle w:val="TOC2"/>
        <w:rPr>
          <w:rFonts w:asciiTheme="minorHAnsi" w:hAnsiTheme="minorHAnsi" w:cstheme="minorBidi"/>
          <w:b w:val="0"/>
          <w:noProof/>
          <w:lang w:eastAsia="en-CA"/>
        </w:rPr>
      </w:pPr>
      <w:hyperlink w:anchor="_Toc52181652" w:history="1">
        <w:r w:rsidRPr="00E53E72">
          <w:rPr>
            <w:rStyle w:val="Hyperlink"/>
            <w:noProof/>
          </w:rPr>
          <w:t>A.4 Toolset profile components</w:t>
        </w:r>
        <w:r>
          <w:rPr>
            <w:noProof/>
            <w:webHidden/>
          </w:rPr>
          <w:tab/>
        </w:r>
        <w:r>
          <w:rPr>
            <w:noProof/>
            <w:webHidden/>
          </w:rPr>
          <w:fldChar w:fldCharType="begin"/>
        </w:r>
        <w:r>
          <w:rPr>
            <w:noProof/>
            <w:webHidden/>
          </w:rPr>
          <w:instrText xml:space="preserve"> PAGEREF _Toc52181652 \h </w:instrText>
        </w:r>
        <w:r>
          <w:rPr>
            <w:noProof/>
            <w:webHidden/>
          </w:rPr>
        </w:r>
        <w:r>
          <w:rPr>
            <w:noProof/>
            <w:webHidden/>
          </w:rPr>
          <w:fldChar w:fldCharType="separate"/>
        </w:r>
        <w:r>
          <w:rPr>
            <w:noProof/>
            <w:webHidden/>
          </w:rPr>
          <w:t>137</w:t>
        </w:r>
        <w:r>
          <w:rPr>
            <w:noProof/>
            <w:webHidden/>
          </w:rPr>
          <w:fldChar w:fldCharType="end"/>
        </w:r>
      </w:hyperlink>
    </w:p>
    <w:p w14:paraId="3048BA12" w14:textId="221E601E" w:rsidR="00507A67" w:rsidRDefault="00507A67">
      <w:pPr>
        <w:pStyle w:val="TOC2"/>
        <w:rPr>
          <w:rFonts w:asciiTheme="minorHAnsi" w:hAnsiTheme="minorHAnsi" w:cstheme="minorBidi"/>
          <w:b w:val="0"/>
          <w:noProof/>
          <w:lang w:eastAsia="en-CA"/>
        </w:rPr>
      </w:pPr>
      <w:hyperlink w:anchor="_Toc52181653" w:history="1">
        <w:r w:rsidRPr="00E53E72">
          <w:rPr>
            <w:rStyle w:val="Hyperlink"/>
            <w:noProof/>
          </w:rPr>
          <w:t>A.5 Reconstruction profile components</w:t>
        </w:r>
        <w:r>
          <w:rPr>
            <w:noProof/>
            <w:webHidden/>
          </w:rPr>
          <w:tab/>
        </w:r>
        <w:r>
          <w:rPr>
            <w:noProof/>
            <w:webHidden/>
          </w:rPr>
          <w:fldChar w:fldCharType="begin"/>
        </w:r>
        <w:r>
          <w:rPr>
            <w:noProof/>
            <w:webHidden/>
          </w:rPr>
          <w:instrText xml:space="preserve"> PAGEREF _Toc52181653 \h </w:instrText>
        </w:r>
        <w:r>
          <w:rPr>
            <w:noProof/>
            <w:webHidden/>
          </w:rPr>
        </w:r>
        <w:r>
          <w:rPr>
            <w:noProof/>
            <w:webHidden/>
          </w:rPr>
          <w:fldChar w:fldCharType="separate"/>
        </w:r>
        <w:r>
          <w:rPr>
            <w:noProof/>
            <w:webHidden/>
          </w:rPr>
          <w:t>137</w:t>
        </w:r>
        <w:r>
          <w:rPr>
            <w:noProof/>
            <w:webHidden/>
          </w:rPr>
          <w:fldChar w:fldCharType="end"/>
        </w:r>
      </w:hyperlink>
    </w:p>
    <w:p w14:paraId="711704D3" w14:textId="20EF5B28" w:rsidR="00507A67" w:rsidRDefault="00507A67">
      <w:pPr>
        <w:pStyle w:val="TOC2"/>
        <w:rPr>
          <w:rFonts w:asciiTheme="minorHAnsi" w:hAnsiTheme="minorHAnsi" w:cstheme="minorBidi"/>
          <w:b w:val="0"/>
          <w:noProof/>
          <w:lang w:eastAsia="en-CA"/>
        </w:rPr>
      </w:pPr>
      <w:hyperlink w:anchor="_Toc52181654" w:history="1">
        <w:r w:rsidRPr="00E53E72">
          <w:rPr>
            <w:rStyle w:val="Hyperlink"/>
            <w:noProof/>
          </w:rPr>
          <w:t>A.6 Tiers and levels</w:t>
        </w:r>
        <w:r>
          <w:rPr>
            <w:noProof/>
            <w:webHidden/>
          </w:rPr>
          <w:tab/>
        </w:r>
        <w:r>
          <w:rPr>
            <w:noProof/>
            <w:webHidden/>
          </w:rPr>
          <w:fldChar w:fldCharType="begin"/>
        </w:r>
        <w:r>
          <w:rPr>
            <w:noProof/>
            <w:webHidden/>
          </w:rPr>
          <w:instrText xml:space="preserve"> PAGEREF _Toc52181654 \h </w:instrText>
        </w:r>
        <w:r>
          <w:rPr>
            <w:noProof/>
            <w:webHidden/>
          </w:rPr>
        </w:r>
        <w:r>
          <w:rPr>
            <w:noProof/>
            <w:webHidden/>
          </w:rPr>
          <w:fldChar w:fldCharType="separate"/>
        </w:r>
        <w:r>
          <w:rPr>
            <w:noProof/>
            <w:webHidden/>
          </w:rPr>
          <w:t>138</w:t>
        </w:r>
        <w:r>
          <w:rPr>
            <w:noProof/>
            <w:webHidden/>
          </w:rPr>
          <w:fldChar w:fldCharType="end"/>
        </w:r>
      </w:hyperlink>
    </w:p>
    <w:p w14:paraId="1B210D03" w14:textId="03DDF21F" w:rsidR="00507A67" w:rsidRDefault="00507A67">
      <w:pPr>
        <w:pStyle w:val="TOC2"/>
        <w:rPr>
          <w:rFonts w:asciiTheme="minorHAnsi" w:hAnsiTheme="minorHAnsi" w:cstheme="minorBidi"/>
          <w:b w:val="0"/>
          <w:noProof/>
          <w:lang w:eastAsia="en-CA"/>
        </w:rPr>
      </w:pPr>
      <w:hyperlink w:anchor="_Toc52181655" w:history="1">
        <w:r w:rsidRPr="00E53E72">
          <w:rPr>
            <w:rStyle w:val="Hyperlink"/>
            <w:noProof/>
          </w:rPr>
          <w:t>A.6.1 General tier and level limits</w:t>
        </w:r>
        <w:r>
          <w:rPr>
            <w:noProof/>
            <w:webHidden/>
          </w:rPr>
          <w:tab/>
        </w:r>
        <w:r>
          <w:rPr>
            <w:noProof/>
            <w:webHidden/>
          </w:rPr>
          <w:fldChar w:fldCharType="begin"/>
        </w:r>
        <w:r>
          <w:rPr>
            <w:noProof/>
            <w:webHidden/>
          </w:rPr>
          <w:instrText xml:space="preserve"> PAGEREF _Toc52181655 \h </w:instrText>
        </w:r>
        <w:r>
          <w:rPr>
            <w:noProof/>
            <w:webHidden/>
          </w:rPr>
        </w:r>
        <w:r>
          <w:rPr>
            <w:noProof/>
            <w:webHidden/>
          </w:rPr>
          <w:fldChar w:fldCharType="separate"/>
        </w:r>
        <w:r>
          <w:rPr>
            <w:noProof/>
            <w:webHidden/>
          </w:rPr>
          <w:t>138</w:t>
        </w:r>
        <w:r>
          <w:rPr>
            <w:noProof/>
            <w:webHidden/>
          </w:rPr>
          <w:fldChar w:fldCharType="end"/>
        </w:r>
      </w:hyperlink>
    </w:p>
    <w:p w14:paraId="5DFCF764" w14:textId="1572134E" w:rsidR="00507A67" w:rsidRDefault="00507A67">
      <w:pPr>
        <w:pStyle w:val="TOC2"/>
        <w:rPr>
          <w:rFonts w:asciiTheme="minorHAnsi" w:hAnsiTheme="minorHAnsi" w:cstheme="minorBidi"/>
          <w:b w:val="0"/>
          <w:noProof/>
          <w:lang w:eastAsia="en-CA"/>
        </w:rPr>
      </w:pPr>
      <w:hyperlink w:anchor="_Toc52181656" w:history="1">
        <w:r w:rsidRPr="00E53E72">
          <w:rPr>
            <w:rStyle w:val="Hyperlink"/>
            <w:noProof/>
          </w:rPr>
          <w:t>A.6.2 Profile specific level limits for the V3C dynamic profiles</w:t>
        </w:r>
        <w:r>
          <w:rPr>
            <w:noProof/>
            <w:webHidden/>
          </w:rPr>
          <w:tab/>
        </w:r>
        <w:r>
          <w:rPr>
            <w:noProof/>
            <w:webHidden/>
          </w:rPr>
          <w:fldChar w:fldCharType="begin"/>
        </w:r>
        <w:r>
          <w:rPr>
            <w:noProof/>
            <w:webHidden/>
          </w:rPr>
          <w:instrText xml:space="preserve"> PAGEREF _Toc52181656 \h </w:instrText>
        </w:r>
        <w:r>
          <w:rPr>
            <w:noProof/>
            <w:webHidden/>
          </w:rPr>
        </w:r>
        <w:r>
          <w:rPr>
            <w:noProof/>
            <w:webHidden/>
          </w:rPr>
          <w:fldChar w:fldCharType="separate"/>
        </w:r>
        <w:r>
          <w:rPr>
            <w:noProof/>
            <w:webHidden/>
          </w:rPr>
          <w:t>138</w:t>
        </w:r>
        <w:r>
          <w:rPr>
            <w:noProof/>
            <w:webHidden/>
          </w:rPr>
          <w:fldChar w:fldCharType="end"/>
        </w:r>
      </w:hyperlink>
    </w:p>
    <w:p w14:paraId="4CABA639" w14:textId="2C6BFA15" w:rsidR="00507A67" w:rsidRDefault="00507A67">
      <w:pPr>
        <w:pStyle w:val="TOC2"/>
        <w:rPr>
          <w:rFonts w:asciiTheme="minorHAnsi" w:hAnsiTheme="minorHAnsi" w:cstheme="minorBidi"/>
          <w:b w:val="0"/>
          <w:noProof/>
          <w:lang w:eastAsia="en-CA"/>
        </w:rPr>
      </w:pPr>
      <w:hyperlink w:anchor="_Toc52181657" w:history="1">
        <w:r w:rsidRPr="00E53E72">
          <w:rPr>
            <w:rStyle w:val="Hyperlink"/>
            <w:noProof/>
          </w:rPr>
          <w:t>A.7 Decoder instantiations</w:t>
        </w:r>
        <w:r>
          <w:rPr>
            <w:noProof/>
            <w:webHidden/>
          </w:rPr>
          <w:tab/>
        </w:r>
        <w:r>
          <w:rPr>
            <w:noProof/>
            <w:webHidden/>
          </w:rPr>
          <w:fldChar w:fldCharType="begin"/>
        </w:r>
        <w:r>
          <w:rPr>
            <w:noProof/>
            <w:webHidden/>
          </w:rPr>
          <w:instrText xml:space="preserve"> PAGEREF _Toc52181657 \h </w:instrText>
        </w:r>
        <w:r>
          <w:rPr>
            <w:noProof/>
            <w:webHidden/>
          </w:rPr>
        </w:r>
        <w:r>
          <w:rPr>
            <w:noProof/>
            <w:webHidden/>
          </w:rPr>
          <w:fldChar w:fldCharType="separate"/>
        </w:r>
        <w:r>
          <w:rPr>
            <w:noProof/>
            <w:webHidden/>
          </w:rPr>
          <w:t>143</w:t>
        </w:r>
        <w:r>
          <w:rPr>
            <w:noProof/>
            <w:webHidden/>
          </w:rPr>
          <w:fldChar w:fldCharType="end"/>
        </w:r>
      </w:hyperlink>
    </w:p>
    <w:p w14:paraId="7014ABF3" w14:textId="07BFC68A" w:rsidR="00507A67" w:rsidRDefault="00507A67">
      <w:pPr>
        <w:pStyle w:val="TOC1"/>
        <w:rPr>
          <w:rFonts w:asciiTheme="minorHAnsi" w:hAnsiTheme="minorHAnsi" w:cstheme="minorBidi"/>
          <w:b w:val="0"/>
          <w:noProof/>
          <w:lang w:eastAsia="en-CA"/>
        </w:rPr>
      </w:pPr>
      <w:hyperlink w:anchor="_Toc52181658" w:history="1">
        <w:r w:rsidRPr="00E53E72">
          <w:rPr>
            <w:rStyle w:val="Hyperlink"/>
            <w:noProof/>
          </w:rPr>
          <w:t>Annex B (informative) Post-decoding conversion to nominal video formats</w:t>
        </w:r>
        <w:r>
          <w:rPr>
            <w:noProof/>
            <w:webHidden/>
          </w:rPr>
          <w:tab/>
        </w:r>
        <w:r>
          <w:rPr>
            <w:noProof/>
            <w:webHidden/>
          </w:rPr>
          <w:fldChar w:fldCharType="begin"/>
        </w:r>
        <w:r>
          <w:rPr>
            <w:noProof/>
            <w:webHidden/>
          </w:rPr>
          <w:instrText xml:space="preserve"> PAGEREF _Toc52181658 \h </w:instrText>
        </w:r>
        <w:r>
          <w:rPr>
            <w:noProof/>
            <w:webHidden/>
          </w:rPr>
        </w:r>
        <w:r>
          <w:rPr>
            <w:noProof/>
            <w:webHidden/>
          </w:rPr>
          <w:fldChar w:fldCharType="separate"/>
        </w:r>
        <w:r>
          <w:rPr>
            <w:noProof/>
            <w:webHidden/>
          </w:rPr>
          <w:t>145</w:t>
        </w:r>
        <w:r>
          <w:rPr>
            <w:noProof/>
            <w:webHidden/>
          </w:rPr>
          <w:fldChar w:fldCharType="end"/>
        </w:r>
      </w:hyperlink>
    </w:p>
    <w:p w14:paraId="641581E9" w14:textId="5D4834B6" w:rsidR="00507A67" w:rsidRDefault="00507A67">
      <w:pPr>
        <w:pStyle w:val="TOC2"/>
        <w:rPr>
          <w:rFonts w:asciiTheme="minorHAnsi" w:hAnsiTheme="minorHAnsi" w:cstheme="minorBidi"/>
          <w:b w:val="0"/>
          <w:noProof/>
          <w:lang w:eastAsia="en-CA"/>
        </w:rPr>
      </w:pPr>
      <w:hyperlink w:anchor="_Toc52181659" w:history="1">
        <w:r w:rsidRPr="00E53E72">
          <w:rPr>
            <w:rStyle w:val="Hyperlink"/>
            <w:noProof/>
          </w:rPr>
          <w:t>B.1 General</w:t>
        </w:r>
        <w:r>
          <w:rPr>
            <w:noProof/>
            <w:webHidden/>
          </w:rPr>
          <w:tab/>
        </w:r>
        <w:r>
          <w:rPr>
            <w:noProof/>
            <w:webHidden/>
          </w:rPr>
          <w:fldChar w:fldCharType="begin"/>
        </w:r>
        <w:r>
          <w:rPr>
            <w:noProof/>
            <w:webHidden/>
          </w:rPr>
          <w:instrText xml:space="preserve"> PAGEREF _Toc52181659 \h </w:instrText>
        </w:r>
        <w:r>
          <w:rPr>
            <w:noProof/>
            <w:webHidden/>
          </w:rPr>
        </w:r>
        <w:r>
          <w:rPr>
            <w:noProof/>
            <w:webHidden/>
          </w:rPr>
          <w:fldChar w:fldCharType="separate"/>
        </w:r>
        <w:r>
          <w:rPr>
            <w:noProof/>
            <w:webHidden/>
          </w:rPr>
          <w:t>145</w:t>
        </w:r>
        <w:r>
          <w:rPr>
            <w:noProof/>
            <w:webHidden/>
          </w:rPr>
          <w:fldChar w:fldCharType="end"/>
        </w:r>
      </w:hyperlink>
    </w:p>
    <w:p w14:paraId="2825B292" w14:textId="6865C3F8" w:rsidR="00507A67" w:rsidRDefault="00507A67">
      <w:pPr>
        <w:pStyle w:val="TOC2"/>
        <w:rPr>
          <w:rFonts w:asciiTheme="minorHAnsi" w:hAnsiTheme="minorHAnsi" w:cstheme="minorBidi"/>
          <w:b w:val="0"/>
          <w:noProof/>
          <w:lang w:eastAsia="en-CA"/>
        </w:rPr>
      </w:pPr>
      <w:hyperlink w:anchor="_Toc52181660" w:history="1">
        <w:r w:rsidRPr="00E53E72">
          <w:rPr>
            <w:rStyle w:val="Hyperlink"/>
            <w:noProof/>
          </w:rPr>
          <w:t>B.2 Nominal format conversion</w:t>
        </w:r>
        <w:r>
          <w:rPr>
            <w:noProof/>
            <w:webHidden/>
          </w:rPr>
          <w:tab/>
        </w:r>
        <w:r>
          <w:rPr>
            <w:noProof/>
            <w:webHidden/>
          </w:rPr>
          <w:fldChar w:fldCharType="begin"/>
        </w:r>
        <w:r>
          <w:rPr>
            <w:noProof/>
            <w:webHidden/>
          </w:rPr>
          <w:instrText xml:space="preserve"> PAGEREF _Toc52181660 \h </w:instrText>
        </w:r>
        <w:r>
          <w:rPr>
            <w:noProof/>
            <w:webHidden/>
          </w:rPr>
        </w:r>
        <w:r>
          <w:rPr>
            <w:noProof/>
            <w:webHidden/>
          </w:rPr>
          <w:fldChar w:fldCharType="separate"/>
        </w:r>
        <w:r>
          <w:rPr>
            <w:noProof/>
            <w:webHidden/>
          </w:rPr>
          <w:t>147</w:t>
        </w:r>
        <w:r>
          <w:rPr>
            <w:noProof/>
            <w:webHidden/>
          </w:rPr>
          <w:fldChar w:fldCharType="end"/>
        </w:r>
      </w:hyperlink>
    </w:p>
    <w:p w14:paraId="4940463B" w14:textId="0A9720C3" w:rsidR="00507A67" w:rsidRDefault="00507A67">
      <w:pPr>
        <w:pStyle w:val="TOC2"/>
        <w:rPr>
          <w:rFonts w:asciiTheme="minorHAnsi" w:hAnsiTheme="minorHAnsi" w:cstheme="minorBidi"/>
          <w:b w:val="0"/>
          <w:noProof/>
          <w:lang w:eastAsia="en-CA"/>
        </w:rPr>
      </w:pPr>
      <w:hyperlink w:anchor="_Toc52181661" w:history="1">
        <w:r w:rsidRPr="00E53E72">
          <w:rPr>
            <w:rStyle w:val="Hyperlink"/>
            <w:noProof/>
          </w:rPr>
          <w:t>B.3 Conversion operations</w:t>
        </w:r>
        <w:r>
          <w:rPr>
            <w:noProof/>
            <w:webHidden/>
          </w:rPr>
          <w:tab/>
        </w:r>
        <w:r>
          <w:rPr>
            <w:noProof/>
            <w:webHidden/>
          </w:rPr>
          <w:fldChar w:fldCharType="begin"/>
        </w:r>
        <w:r>
          <w:rPr>
            <w:noProof/>
            <w:webHidden/>
          </w:rPr>
          <w:instrText xml:space="preserve"> PAGEREF _Toc52181661 \h </w:instrText>
        </w:r>
        <w:r>
          <w:rPr>
            <w:noProof/>
            <w:webHidden/>
          </w:rPr>
        </w:r>
        <w:r>
          <w:rPr>
            <w:noProof/>
            <w:webHidden/>
          </w:rPr>
          <w:fldChar w:fldCharType="separate"/>
        </w:r>
        <w:r>
          <w:rPr>
            <w:noProof/>
            <w:webHidden/>
          </w:rPr>
          <w:t>154</w:t>
        </w:r>
        <w:r>
          <w:rPr>
            <w:noProof/>
            <w:webHidden/>
          </w:rPr>
          <w:fldChar w:fldCharType="end"/>
        </w:r>
      </w:hyperlink>
    </w:p>
    <w:p w14:paraId="41D3324E" w14:textId="0A014784" w:rsidR="00507A67" w:rsidRDefault="00507A67">
      <w:pPr>
        <w:pStyle w:val="TOC3"/>
        <w:rPr>
          <w:rFonts w:asciiTheme="minorHAnsi" w:hAnsiTheme="minorHAnsi" w:cstheme="minorBidi"/>
          <w:b w:val="0"/>
          <w:noProof/>
          <w:lang w:eastAsia="en-CA"/>
        </w:rPr>
      </w:pPr>
      <w:hyperlink w:anchor="_Toc52181662" w:history="1">
        <w:r w:rsidRPr="00E53E72">
          <w:rPr>
            <w:rStyle w:val="Hyperlink"/>
            <w:noProof/>
          </w:rPr>
          <w:t>B.3.1 Map Extraction</w:t>
        </w:r>
        <w:r>
          <w:rPr>
            <w:noProof/>
            <w:webHidden/>
          </w:rPr>
          <w:tab/>
        </w:r>
        <w:r>
          <w:rPr>
            <w:noProof/>
            <w:webHidden/>
          </w:rPr>
          <w:fldChar w:fldCharType="begin"/>
        </w:r>
        <w:r>
          <w:rPr>
            <w:noProof/>
            <w:webHidden/>
          </w:rPr>
          <w:instrText xml:space="preserve"> PAGEREF _Toc52181662 \h </w:instrText>
        </w:r>
        <w:r>
          <w:rPr>
            <w:noProof/>
            <w:webHidden/>
          </w:rPr>
        </w:r>
        <w:r>
          <w:rPr>
            <w:noProof/>
            <w:webHidden/>
          </w:rPr>
          <w:fldChar w:fldCharType="separate"/>
        </w:r>
        <w:r>
          <w:rPr>
            <w:noProof/>
            <w:webHidden/>
          </w:rPr>
          <w:t>154</w:t>
        </w:r>
        <w:r>
          <w:rPr>
            <w:noProof/>
            <w:webHidden/>
          </w:rPr>
          <w:fldChar w:fldCharType="end"/>
        </w:r>
      </w:hyperlink>
    </w:p>
    <w:p w14:paraId="5E3DB140" w14:textId="1FE511E5" w:rsidR="00507A67" w:rsidRDefault="00507A67">
      <w:pPr>
        <w:pStyle w:val="TOC3"/>
        <w:rPr>
          <w:rFonts w:asciiTheme="minorHAnsi" w:hAnsiTheme="minorHAnsi" w:cstheme="minorBidi"/>
          <w:b w:val="0"/>
          <w:noProof/>
          <w:lang w:eastAsia="en-CA"/>
        </w:rPr>
      </w:pPr>
      <w:hyperlink w:anchor="_Toc52181663" w:history="1">
        <w:r w:rsidRPr="00E53E72">
          <w:rPr>
            <w:rStyle w:val="Hyperlink"/>
            <w:noProof/>
          </w:rPr>
          <w:t>B.3.2 Bit depth conversion</w:t>
        </w:r>
        <w:r>
          <w:rPr>
            <w:noProof/>
            <w:webHidden/>
          </w:rPr>
          <w:tab/>
        </w:r>
        <w:r>
          <w:rPr>
            <w:noProof/>
            <w:webHidden/>
          </w:rPr>
          <w:fldChar w:fldCharType="begin"/>
        </w:r>
        <w:r>
          <w:rPr>
            <w:noProof/>
            <w:webHidden/>
          </w:rPr>
          <w:instrText xml:space="preserve"> PAGEREF _Toc52181663 \h </w:instrText>
        </w:r>
        <w:r>
          <w:rPr>
            <w:noProof/>
            <w:webHidden/>
          </w:rPr>
        </w:r>
        <w:r>
          <w:rPr>
            <w:noProof/>
            <w:webHidden/>
          </w:rPr>
          <w:fldChar w:fldCharType="separate"/>
        </w:r>
        <w:r>
          <w:rPr>
            <w:noProof/>
            <w:webHidden/>
          </w:rPr>
          <w:t>156</w:t>
        </w:r>
        <w:r>
          <w:rPr>
            <w:noProof/>
            <w:webHidden/>
          </w:rPr>
          <w:fldChar w:fldCharType="end"/>
        </w:r>
      </w:hyperlink>
    </w:p>
    <w:p w14:paraId="7FC5D90F" w14:textId="1C2963BC" w:rsidR="00507A67" w:rsidRDefault="00507A67">
      <w:pPr>
        <w:pStyle w:val="TOC3"/>
        <w:rPr>
          <w:rFonts w:asciiTheme="minorHAnsi" w:hAnsiTheme="minorHAnsi" w:cstheme="minorBidi"/>
          <w:b w:val="0"/>
          <w:noProof/>
          <w:lang w:eastAsia="en-CA"/>
        </w:rPr>
      </w:pPr>
      <w:hyperlink w:anchor="_Toc52181664" w:history="1">
        <w:r w:rsidRPr="00E53E72">
          <w:rPr>
            <w:rStyle w:val="Hyperlink"/>
            <w:noProof/>
          </w:rPr>
          <w:t>B.3.3 Resolution conversion</w:t>
        </w:r>
        <w:r>
          <w:rPr>
            <w:noProof/>
            <w:webHidden/>
          </w:rPr>
          <w:tab/>
        </w:r>
        <w:r>
          <w:rPr>
            <w:noProof/>
            <w:webHidden/>
          </w:rPr>
          <w:fldChar w:fldCharType="begin"/>
        </w:r>
        <w:r>
          <w:rPr>
            <w:noProof/>
            <w:webHidden/>
          </w:rPr>
          <w:instrText xml:space="preserve"> PAGEREF _Toc52181664 \h </w:instrText>
        </w:r>
        <w:r>
          <w:rPr>
            <w:noProof/>
            <w:webHidden/>
          </w:rPr>
        </w:r>
        <w:r>
          <w:rPr>
            <w:noProof/>
            <w:webHidden/>
          </w:rPr>
          <w:fldChar w:fldCharType="separate"/>
        </w:r>
        <w:r>
          <w:rPr>
            <w:noProof/>
            <w:webHidden/>
          </w:rPr>
          <w:t>157</w:t>
        </w:r>
        <w:r>
          <w:rPr>
            <w:noProof/>
            <w:webHidden/>
          </w:rPr>
          <w:fldChar w:fldCharType="end"/>
        </w:r>
      </w:hyperlink>
    </w:p>
    <w:p w14:paraId="64251B78" w14:textId="330739D9" w:rsidR="00507A67" w:rsidRDefault="00507A67">
      <w:pPr>
        <w:pStyle w:val="TOC3"/>
        <w:rPr>
          <w:rFonts w:asciiTheme="minorHAnsi" w:hAnsiTheme="minorHAnsi" w:cstheme="minorBidi"/>
          <w:b w:val="0"/>
          <w:noProof/>
          <w:lang w:eastAsia="en-CA"/>
        </w:rPr>
      </w:pPr>
      <w:hyperlink w:anchor="_Toc52181665" w:history="1">
        <w:r w:rsidRPr="00E53E72">
          <w:rPr>
            <w:rStyle w:val="Hyperlink"/>
            <w:noProof/>
          </w:rPr>
          <w:t>B.3.4 Output composition time conversion</w:t>
        </w:r>
        <w:r>
          <w:rPr>
            <w:noProof/>
            <w:webHidden/>
          </w:rPr>
          <w:tab/>
        </w:r>
        <w:r>
          <w:rPr>
            <w:noProof/>
            <w:webHidden/>
          </w:rPr>
          <w:fldChar w:fldCharType="begin"/>
        </w:r>
        <w:r>
          <w:rPr>
            <w:noProof/>
            <w:webHidden/>
          </w:rPr>
          <w:instrText xml:space="preserve"> PAGEREF _Toc52181665 \h </w:instrText>
        </w:r>
        <w:r>
          <w:rPr>
            <w:noProof/>
            <w:webHidden/>
          </w:rPr>
        </w:r>
        <w:r>
          <w:rPr>
            <w:noProof/>
            <w:webHidden/>
          </w:rPr>
          <w:fldChar w:fldCharType="separate"/>
        </w:r>
        <w:r>
          <w:rPr>
            <w:noProof/>
            <w:webHidden/>
          </w:rPr>
          <w:t>157</w:t>
        </w:r>
        <w:r>
          <w:rPr>
            <w:noProof/>
            <w:webHidden/>
          </w:rPr>
          <w:fldChar w:fldCharType="end"/>
        </w:r>
      </w:hyperlink>
    </w:p>
    <w:p w14:paraId="7E9BB0B8" w14:textId="5E55F2D8" w:rsidR="00507A67" w:rsidRDefault="00507A67">
      <w:pPr>
        <w:pStyle w:val="TOC3"/>
        <w:rPr>
          <w:rFonts w:asciiTheme="minorHAnsi" w:hAnsiTheme="minorHAnsi" w:cstheme="minorBidi"/>
          <w:b w:val="0"/>
          <w:noProof/>
          <w:lang w:eastAsia="en-CA"/>
        </w:rPr>
      </w:pPr>
      <w:hyperlink w:anchor="_Toc52181666" w:history="1">
        <w:r w:rsidRPr="00E53E72">
          <w:rPr>
            <w:rStyle w:val="Hyperlink"/>
            <w:noProof/>
          </w:rPr>
          <w:t>B.3.4.1 Output order conversion</w:t>
        </w:r>
        <w:r>
          <w:rPr>
            <w:noProof/>
            <w:webHidden/>
          </w:rPr>
          <w:tab/>
        </w:r>
        <w:r>
          <w:rPr>
            <w:noProof/>
            <w:webHidden/>
          </w:rPr>
          <w:fldChar w:fldCharType="begin"/>
        </w:r>
        <w:r>
          <w:rPr>
            <w:noProof/>
            <w:webHidden/>
          </w:rPr>
          <w:instrText xml:space="preserve"> PAGEREF _Toc52181666 \h </w:instrText>
        </w:r>
        <w:r>
          <w:rPr>
            <w:noProof/>
            <w:webHidden/>
          </w:rPr>
        </w:r>
        <w:r>
          <w:rPr>
            <w:noProof/>
            <w:webHidden/>
          </w:rPr>
          <w:fldChar w:fldCharType="separate"/>
        </w:r>
        <w:r>
          <w:rPr>
            <w:noProof/>
            <w:webHidden/>
          </w:rPr>
          <w:t>157</w:t>
        </w:r>
        <w:r>
          <w:rPr>
            <w:noProof/>
            <w:webHidden/>
          </w:rPr>
          <w:fldChar w:fldCharType="end"/>
        </w:r>
      </w:hyperlink>
    </w:p>
    <w:p w14:paraId="35D772CA" w14:textId="566AF60B" w:rsidR="00507A67" w:rsidRDefault="00507A67">
      <w:pPr>
        <w:pStyle w:val="TOC3"/>
        <w:rPr>
          <w:rFonts w:asciiTheme="minorHAnsi" w:hAnsiTheme="minorHAnsi" w:cstheme="minorBidi"/>
          <w:b w:val="0"/>
          <w:noProof/>
          <w:lang w:eastAsia="en-CA"/>
        </w:rPr>
      </w:pPr>
      <w:hyperlink w:anchor="_Toc52181667" w:history="1">
        <w:r w:rsidRPr="00E53E72">
          <w:rPr>
            <w:rStyle w:val="Hyperlink"/>
            <w:noProof/>
          </w:rPr>
          <w:t>B.3.4.2 Atlas composition time alignment</w:t>
        </w:r>
        <w:r>
          <w:rPr>
            <w:noProof/>
            <w:webHidden/>
          </w:rPr>
          <w:tab/>
        </w:r>
        <w:r>
          <w:rPr>
            <w:noProof/>
            <w:webHidden/>
          </w:rPr>
          <w:fldChar w:fldCharType="begin"/>
        </w:r>
        <w:r>
          <w:rPr>
            <w:noProof/>
            <w:webHidden/>
          </w:rPr>
          <w:instrText xml:space="preserve"> PAGEREF _Toc52181667 \h </w:instrText>
        </w:r>
        <w:r>
          <w:rPr>
            <w:noProof/>
            <w:webHidden/>
          </w:rPr>
        </w:r>
        <w:r>
          <w:rPr>
            <w:noProof/>
            <w:webHidden/>
          </w:rPr>
          <w:fldChar w:fldCharType="separate"/>
        </w:r>
        <w:r>
          <w:rPr>
            <w:noProof/>
            <w:webHidden/>
          </w:rPr>
          <w:t>158</w:t>
        </w:r>
        <w:r>
          <w:rPr>
            <w:noProof/>
            <w:webHidden/>
          </w:rPr>
          <w:fldChar w:fldCharType="end"/>
        </w:r>
      </w:hyperlink>
    </w:p>
    <w:p w14:paraId="255B713F" w14:textId="20F740AC" w:rsidR="00507A67" w:rsidRDefault="00507A67">
      <w:pPr>
        <w:pStyle w:val="TOC2"/>
        <w:rPr>
          <w:rFonts w:asciiTheme="minorHAnsi" w:hAnsiTheme="minorHAnsi" w:cstheme="minorBidi"/>
          <w:b w:val="0"/>
          <w:noProof/>
          <w:lang w:eastAsia="en-CA"/>
        </w:rPr>
      </w:pPr>
      <w:hyperlink w:anchor="_Toc52181668" w:history="1">
        <w:r w:rsidRPr="00E53E72">
          <w:rPr>
            <w:rStyle w:val="Hyperlink"/>
            <w:noProof/>
          </w:rPr>
          <w:t>B.3.5 Attribute dimension packing</w:t>
        </w:r>
        <w:r>
          <w:rPr>
            <w:noProof/>
            <w:webHidden/>
          </w:rPr>
          <w:tab/>
        </w:r>
        <w:r>
          <w:rPr>
            <w:noProof/>
            <w:webHidden/>
          </w:rPr>
          <w:fldChar w:fldCharType="begin"/>
        </w:r>
        <w:r>
          <w:rPr>
            <w:noProof/>
            <w:webHidden/>
          </w:rPr>
          <w:instrText xml:space="preserve"> PAGEREF _Toc52181668 \h </w:instrText>
        </w:r>
        <w:r>
          <w:rPr>
            <w:noProof/>
            <w:webHidden/>
          </w:rPr>
        </w:r>
        <w:r>
          <w:rPr>
            <w:noProof/>
            <w:webHidden/>
          </w:rPr>
          <w:fldChar w:fldCharType="separate"/>
        </w:r>
        <w:r>
          <w:rPr>
            <w:noProof/>
            <w:webHidden/>
          </w:rPr>
          <w:t>160</w:t>
        </w:r>
        <w:r>
          <w:rPr>
            <w:noProof/>
            <w:webHidden/>
          </w:rPr>
          <w:fldChar w:fldCharType="end"/>
        </w:r>
      </w:hyperlink>
    </w:p>
    <w:p w14:paraId="40144AC3" w14:textId="14E5F6A3" w:rsidR="00507A67" w:rsidRDefault="00507A67">
      <w:pPr>
        <w:pStyle w:val="TOC3"/>
        <w:rPr>
          <w:rFonts w:asciiTheme="minorHAnsi" w:hAnsiTheme="minorHAnsi" w:cstheme="minorBidi"/>
          <w:b w:val="0"/>
          <w:noProof/>
          <w:lang w:eastAsia="en-CA"/>
        </w:rPr>
      </w:pPr>
      <w:hyperlink w:anchor="_Toc52181669" w:history="1">
        <w:r w:rsidRPr="00E53E72">
          <w:rPr>
            <w:rStyle w:val="Hyperlink"/>
            <w:noProof/>
          </w:rPr>
          <w:t>B.3.5.1 Attribute dimension packing process</w:t>
        </w:r>
        <w:r>
          <w:rPr>
            <w:noProof/>
            <w:webHidden/>
          </w:rPr>
          <w:tab/>
        </w:r>
        <w:r>
          <w:rPr>
            <w:noProof/>
            <w:webHidden/>
          </w:rPr>
          <w:fldChar w:fldCharType="begin"/>
        </w:r>
        <w:r>
          <w:rPr>
            <w:noProof/>
            <w:webHidden/>
          </w:rPr>
          <w:instrText xml:space="preserve"> PAGEREF _Toc52181669 \h </w:instrText>
        </w:r>
        <w:r>
          <w:rPr>
            <w:noProof/>
            <w:webHidden/>
          </w:rPr>
        </w:r>
        <w:r>
          <w:rPr>
            <w:noProof/>
            <w:webHidden/>
          </w:rPr>
          <w:fldChar w:fldCharType="separate"/>
        </w:r>
        <w:r>
          <w:rPr>
            <w:noProof/>
            <w:webHidden/>
          </w:rPr>
          <w:t>160</w:t>
        </w:r>
        <w:r>
          <w:rPr>
            <w:noProof/>
            <w:webHidden/>
          </w:rPr>
          <w:fldChar w:fldCharType="end"/>
        </w:r>
      </w:hyperlink>
    </w:p>
    <w:p w14:paraId="6585029D" w14:textId="6F5EC716" w:rsidR="00507A67" w:rsidRDefault="00507A67">
      <w:pPr>
        <w:pStyle w:val="TOC3"/>
        <w:rPr>
          <w:rFonts w:asciiTheme="minorHAnsi" w:hAnsiTheme="minorHAnsi" w:cstheme="minorBidi"/>
          <w:b w:val="0"/>
          <w:noProof/>
          <w:lang w:eastAsia="en-CA"/>
        </w:rPr>
      </w:pPr>
      <w:hyperlink w:anchor="_Toc52181670" w:history="1">
        <w:r w:rsidRPr="00E53E72">
          <w:rPr>
            <w:rStyle w:val="Hyperlink"/>
            <w:noProof/>
          </w:rPr>
          <w:t>B.3.5.2 Attribute dimension packing process for an auxiliary attribute</w:t>
        </w:r>
        <w:r>
          <w:rPr>
            <w:noProof/>
            <w:webHidden/>
          </w:rPr>
          <w:tab/>
        </w:r>
        <w:r>
          <w:rPr>
            <w:noProof/>
            <w:webHidden/>
          </w:rPr>
          <w:fldChar w:fldCharType="begin"/>
        </w:r>
        <w:r>
          <w:rPr>
            <w:noProof/>
            <w:webHidden/>
          </w:rPr>
          <w:instrText xml:space="preserve"> PAGEREF _Toc52181670 \h </w:instrText>
        </w:r>
        <w:r>
          <w:rPr>
            <w:noProof/>
            <w:webHidden/>
          </w:rPr>
        </w:r>
        <w:r>
          <w:rPr>
            <w:noProof/>
            <w:webHidden/>
          </w:rPr>
          <w:fldChar w:fldCharType="separate"/>
        </w:r>
        <w:r>
          <w:rPr>
            <w:noProof/>
            <w:webHidden/>
          </w:rPr>
          <w:t>161</w:t>
        </w:r>
        <w:r>
          <w:rPr>
            <w:noProof/>
            <w:webHidden/>
          </w:rPr>
          <w:fldChar w:fldCharType="end"/>
        </w:r>
      </w:hyperlink>
    </w:p>
    <w:p w14:paraId="3AC230D4" w14:textId="61D49EB5" w:rsidR="00507A67" w:rsidRDefault="00507A67">
      <w:pPr>
        <w:pStyle w:val="TOC2"/>
        <w:rPr>
          <w:rFonts w:asciiTheme="minorHAnsi" w:hAnsiTheme="minorHAnsi" w:cstheme="minorBidi"/>
          <w:b w:val="0"/>
          <w:noProof/>
          <w:lang w:eastAsia="en-CA"/>
        </w:rPr>
      </w:pPr>
      <w:hyperlink w:anchor="_Toc52181671" w:history="1">
        <w:r w:rsidRPr="00E53E72">
          <w:rPr>
            <w:rStyle w:val="Hyperlink"/>
            <w:noProof/>
          </w:rPr>
          <w:t>B.3.6 Chroma up-sampling</w:t>
        </w:r>
        <w:r>
          <w:rPr>
            <w:noProof/>
            <w:webHidden/>
          </w:rPr>
          <w:tab/>
        </w:r>
        <w:r>
          <w:rPr>
            <w:noProof/>
            <w:webHidden/>
          </w:rPr>
          <w:fldChar w:fldCharType="begin"/>
        </w:r>
        <w:r>
          <w:rPr>
            <w:noProof/>
            <w:webHidden/>
          </w:rPr>
          <w:instrText xml:space="preserve"> PAGEREF _Toc52181671 \h </w:instrText>
        </w:r>
        <w:r>
          <w:rPr>
            <w:noProof/>
            <w:webHidden/>
          </w:rPr>
        </w:r>
        <w:r>
          <w:rPr>
            <w:noProof/>
            <w:webHidden/>
          </w:rPr>
          <w:fldChar w:fldCharType="separate"/>
        </w:r>
        <w:r>
          <w:rPr>
            <w:noProof/>
            <w:webHidden/>
          </w:rPr>
          <w:t>162</w:t>
        </w:r>
        <w:r>
          <w:rPr>
            <w:noProof/>
            <w:webHidden/>
          </w:rPr>
          <w:fldChar w:fldCharType="end"/>
        </w:r>
      </w:hyperlink>
    </w:p>
    <w:p w14:paraId="46D80F27" w14:textId="3FB3EBFA" w:rsidR="00507A67" w:rsidRDefault="00507A67">
      <w:pPr>
        <w:pStyle w:val="TOC2"/>
        <w:rPr>
          <w:rFonts w:asciiTheme="minorHAnsi" w:hAnsiTheme="minorHAnsi" w:cstheme="minorBidi"/>
          <w:b w:val="0"/>
          <w:noProof/>
          <w:lang w:eastAsia="en-CA"/>
        </w:rPr>
      </w:pPr>
      <w:hyperlink w:anchor="_Toc52181672" w:history="1">
        <w:r w:rsidRPr="00E53E72">
          <w:rPr>
            <w:rStyle w:val="Hyperlink"/>
            <w:noProof/>
          </w:rPr>
          <w:t>B.3.7 Geometry map synthesis process</w:t>
        </w:r>
        <w:r>
          <w:rPr>
            <w:noProof/>
            <w:webHidden/>
          </w:rPr>
          <w:tab/>
        </w:r>
        <w:r>
          <w:rPr>
            <w:noProof/>
            <w:webHidden/>
          </w:rPr>
          <w:fldChar w:fldCharType="begin"/>
        </w:r>
        <w:r>
          <w:rPr>
            <w:noProof/>
            <w:webHidden/>
          </w:rPr>
          <w:instrText xml:space="preserve"> PAGEREF _Toc52181672 \h </w:instrText>
        </w:r>
        <w:r>
          <w:rPr>
            <w:noProof/>
            <w:webHidden/>
          </w:rPr>
        </w:r>
        <w:r>
          <w:rPr>
            <w:noProof/>
            <w:webHidden/>
          </w:rPr>
          <w:fldChar w:fldCharType="separate"/>
        </w:r>
        <w:r>
          <w:rPr>
            <w:noProof/>
            <w:webHidden/>
          </w:rPr>
          <w:t>163</w:t>
        </w:r>
        <w:r>
          <w:rPr>
            <w:noProof/>
            <w:webHidden/>
          </w:rPr>
          <w:fldChar w:fldCharType="end"/>
        </w:r>
      </w:hyperlink>
    </w:p>
    <w:p w14:paraId="69CA38B6" w14:textId="2D974C71" w:rsidR="00507A67" w:rsidRDefault="00507A67">
      <w:pPr>
        <w:pStyle w:val="TOC2"/>
        <w:rPr>
          <w:rFonts w:asciiTheme="minorHAnsi" w:hAnsiTheme="minorHAnsi" w:cstheme="minorBidi"/>
          <w:b w:val="0"/>
          <w:noProof/>
          <w:lang w:eastAsia="en-CA"/>
        </w:rPr>
      </w:pPr>
      <w:hyperlink w:anchor="_Toc52181673" w:history="1">
        <w:r w:rsidRPr="00E53E72">
          <w:rPr>
            <w:rStyle w:val="Hyperlink"/>
            <w:noProof/>
          </w:rPr>
          <w:t>B.3.8 Attribute map synthesis process</w:t>
        </w:r>
        <w:r>
          <w:rPr>
            <w:noProof/>
            <w:webHidden/>
          </w:rPr>
          <w:tab/>
        </w:r>
        <w:r>
          <w:rPr>
            <w:noProof/>
            <w:webHidden/>
          </w:rPr>
          <w:fldChar w:fldCharType="begin"/>
        </w:r>
        <w:r>
          <w:rPr>
            <w:noProof/>
            <w:webHidden/>
          </w:rPr>
          <w:instrText xml:space="preserve"> PAGEREF _Toc52181673 \h </w:instrText>
        </w:r>
        <w:r>
          <w:rPr>
            <w:noProof/>
            <w:webHidden/>
          </w:rPr>
        </w:r>
        <w:r>
          <w:rPr>
            <w:noProof/>
            <w:webHidden/>
          </w:rPr>
          <w:fldChar w:fldCharType="separate"/>
        </w:r>
        <w:r>
          <w:rPr>
            <w:noProof/>
            <w:webHidden/>
          </w:rPr>
          <w:t>164</w:t>
        </w:r>
        <w:r>
          <w:rPr>
            <w:noProof/>
            <w:webHidden/>
          </w:rPr>
          <w:fldChar w:fldCharType="end"/>
        </w:r>
      </w:hyperlink>
    </w:p>
    <w:p w14:paraId="0DEE8D64" w14:textId="62112FC2" w:rsidR="00507A67" w:rsidRDefault="00507A67">
      <w:pPr>
        <w:pStyle w:val="TOC2"/>
        <w:rPr>
          <w:rFonts w:asciiTheme="minorHAnsi" w:hAnsiTheme="minorHAnsi" w:cstheme="minorBidi"/>
          <w:b w:val="0"/>
          <w:noProof/>
          <w:lang w:eastAsia="en-CA"/>
        </w:rPr>
      </w:pPr>
      <w:hyperlink w:anchor="_Toc52181674" w:history="1">
        <w:r w:rsidRPr="00E53E72">
          <w:rPr>
            <w:rStyle w:val="Hyperlink"/>
            <w:noProof/>
          </w:rPr>
          <w:t>B.3.9 Occupancy thresholding process</w:t>
        </w:r>
        <w:r>
          <w:rPr>
            <w:noProof/>
            <w:webHidden/>
          </w:rPr>
          <w:tab/>
        </w:r>
        <w:r>
          <w:rPr>
            <w:noProof/>
            <w:webHidden/>
          </w:rPr>
          <w:fldChar w:fldCharType="begin"/>
        </w:r>
        <w:r>
          <w:rPr>
            <w:noProof/>
            <w:webHidden/>
          </w:rPr>
          <w:instrText xml:space="preserve"> PAGEREF _Toc52181674 \h </w:instrText>
        </w:r>
        <w:r>
          <w:rPr>
            <w:noProof/>
            <w:webHidden/>
          </w:rPr>
        </w:r>
        <w:r>
          <w:rPr>
            <w:noProof/>
            <w:webHidden/>
          </w:rPr>
          <w:fldChar w:fldCharType="separate"/>
        </w:r>
        <w:r>
          <w:rPr>
            <w:noProof/>
            <w:webHidden/>
          </w:rPr>
          <w:t>165</w:t>
        </w:r>
        <w:r>
          <w:rPr>
            <w:noProof/>
            <w:webHidden/>
          </w:rPr>
          <w:fldChar w:fldCharType="end"/>
        </w:r>
      </w:hyperlink>
    </w:p>
    <w:p w14:paraId="13B2DEB1" w14:textId="3EDFB494" w:rsidR="00507A67" w:rsidRDefault="00507A67">
      <w:pPr>
        <w:pStyle w:val="TOC2"/>
        <w:rPr>
          <w:rFonts w:asciiTheme="minorHAnsi" w:hAnsiTheme="minorHAnsi" w:cstheme="minorBidi"/>
          <w:b w:val="0"/>
          <w:noProof/>
          <w:lang w:eastAsia="en-CA"/>
        </w:rPr>
      </w:pPr>
      <w:hyperlink w:anchor="_Toc52181675" w:history="1">
        <w:r w:rsidRPr="00E53E72">
          <w:rPr>
            <w:rStyle w:val="Hyperlink"/>
            <w:noProof/>
          </w:rPr>
          <w:t>B.4 Unpacking process of a decoded packed video</w:t>
        </w:r>
        <w:r>
          <w:rPr>
            <w:noProof/>
            <w:webHidden/>
          </w:rPr>
          <w:tab/>
        </w:r>
        <w:r>
          <w:rPr>
            <w:noProof/>
            <w:webHidden/>
          </w:rPr>
          <w:fldChar w:fldCharType="begin"/>
        </w:r>
        <w:r>
          <w:rPr>
            <w:noProof/>
            <w:webHidden/>
          </w:rPr>
          <w:instrText xml:space="preserve"> PAGEREF _Toc52181675 \h </w:instrText>
        </w:r>
        <w:r>
          <w:rPr>
            <w:noProof/>
            <w:webHidden/>
          </w:rPr>
        </w:r>
        <w:r>
          <w:rPr>
            <w:noProof/>
            <w:webHidden/>
          </w:rPr>
          <w:fldChar w:fldCharType="separate"/>
        </w:r>
        <w:r>
          <w:rPr>
            <w:noProof/>
            <w:webHidden/>
          </w:rPr>
          <w:t>166</w:t>
        </w:r>
        <w:r>
          <w:rPr>
            <w:noProof/>
            <w:webHidden/>
          </w:rPr>
          <w:fldChar w:fldCharType="end"/>
        </w:r>
      </w:hyperlink>
    </w:p>
    <w:p w14:paraId="5015E9F7" w14:textId="19FF24CC" w:rsidR="00507A67" w:rsidRDefault="00507A67">
      <w:pPr>
        <w:pStyle w:val="TOC1"/>
        <w:rPr>
          <w:rFonts w:asciiTheme="minorHAnsi" w:hAnsiTheme="minorHAnsi" w:cstheme="minorBidi"/>
          <w:b w:val="0"/>
          <w:noProof/>
          <w:lang w:eastAsia="en-CA"/>
        </w:rPr>
      </w:pPr>
      <w:hyperlink w:anchor="_Toc52181676" w:history="1">
        <w:r w:rsidRPr="00E53E72">
          <w:rPr>
            <w:rStyle w:val="Hyperlink"/>
            <w:noProof/>
          </w:rPr>
          <w:t>Annex C (informative) V3C sample stream format</w:t>
        </w:r>
        <w:r>
          <w:rPr>
            <w:noProof/>
            <w:webHidden/>
          </w:rPr>
          <w:tab/>
        </w:r>
        <w:r>
          <w:rPr>
            <w:noProof/>
            <w:webHidden/>
          </w:rPr>
          <w:fldChar w:fldCharType="begin"/>
        </w:r>
        <w:r>
          <w:rPr>
            <w:noProof/>
            <w:webHidden/>
          </w:rPr>
          <w:instrText xml:space="preserve"> PAGEREF _Toc52181676 \h </w:instrText>
        </w:r>
        <w:r>
          <w:rPr>
            <w:noProof/>
            <w:webHidden/>
          </w:rPr>
        </w:r>
        <w:r>
          <w:rPr>
            <w:noProof/>
            <w:webHidden/>
          </w:rPr>
          <w:fldChar w:fldCharType="separate"/>
        </w:r>
        <w:r>
          <w:rPr>
            <w:noProof/>
            <w:webHidden/>
          </w:rPr>
          <w:t>171</w:t>
        </w:r>
        <w:r>
          <w:rPr>
            <w:noProof/>
            <w:webHidden/>
          </w:rPr>
          <w:fldChar w:fldCharType="end"/>
        </w:r>
      </w:hyperlink>
    </w:p>
    <w:p w14:paraId="73BD9560" w14:textId="312BD423" w:rsidR="00507A67" w:rsidRDefault="00507A67">
      <w:pPr>
        <w:pStyle w:val="TOC2"/>
        <w:rPr>
          <w:rFonts w:asciiTheme="minorHAnsi" w:hAnsiTheme="minorHAnsi" w:cstheme="minorBidi"/>
          <w:b w:val="0"/>
          <w:noProof/>
          <w:lang w:eastAsia="en-CA"/>
        </w:rPr>
      </w:pPr>
      <w:hyperlink w:anchor="_Toc52181677" w:history="1">
        <w:r w:rsidRPr="00E53E72">
          <w:rPr>
            <w:rStyle w:val="Hyperlink"/>
            <w:noProof/>
          </w:rPr>
          <w:t>C.1 General</w:t>
        </w:r>
        <w:r>
          <w:rPr>
            <w:noProof/>
            <w:webHidden/>
          </w:rPr>
          <w:tab/>
        </w:r>
        <w:r>
          <w:rPr>
            <w:noProof/>
            <w:webHidden/>
          </w:rPr>
          <w:fldChar w:fldCharType="begin"/>
        </w:r>
        <w:r>
          <w:rPr>
            <w:noProof/>
            <w:webHidden/>
          </w:rPr>
          <w:instrText xml:space="preserve"> PAGEREF _Toc52181677 \h </w:instrText>
        </w:r>
        <w:r>
          <w:rPr>
            <w:noProof/>
            <w:webHidden/>
          </w:rPr>
        </w:r>
        <w:r>
          <w:rPr>
            <w:noProof/>
            <w:webHidden/>
          </w:rPr>
          <w:fldChar w:fldCharType="separate"/>
        </w:r>
        <w:r>
          <w:rPr>
            <w:noProof/>
            <w:webHidden/>
          </w:rPr>
          <w:t>171</w:t>
        </w:r>
        <w:r>
          <w:rPr>
            <w:noProof/>
            <w:webHidden/>
          </w:rPr>
          <w:fldChar w:fldCharType="end"/>
        </w:r>
      </w:hyperlink>
    </w:p>
    <w:p w14:paraId="4B186C40" w14:textId="2454A039" w:rsidR="00507A67" w:rsidRDefault="00507A67">
      <w:pPr>
        <w:pStyle w:val="TOC2"/>
        <w:rPr>
          <w:rFonts w:asciiTheme="minorHAnsi" w:hAnsiTheme="minorHAnsi" w:cstheme="minorBidi"/>
          <w:b w:val="0"/>
          <w:noProof/>
          <w:lang w:eastAsia="en-CA"/>
        </w:rPr>
      </w:pPr>
      <w:hyperlink w:anchor="_Toc52181678" w:history="1">
        <w:r w:rsidRPr="00E53E72">
          <w:rPr>
            <w:rStyle w:val="Hyperlink"/>
            <w:noProof/>
          </w:rPr>
          <w:t>C.2 Sample stream V3C unit syntax and semantics</w:t>
        </w:r>
        <w:r>
          <w:rPr>
            <w:noProof/>
            <w:webHidden/>
          </w:rPr>
          <w:tab/>
        </w:r>
        <w:r>
          <w:rPr>
            <w:noProof/>
            <w:webHidden/>
          </w:rPr>
          <w:fldChar w:fldCharType="begin"/>
        </w:r>
        <w:r>
          <w:rPr>
            <w:noProof/>
            <w:webHidden/>
          </w:rPr>
          <w:instrText xml:space="preserve"> PAGEREF _Toc52181678 \h </w:instrText>
        </w:r>
        <w:r>
          <w:rPr>
            <w:noProof/>
            <w:webHidden/>
          </w:rPr>
        </w:r>
        <w:r>
          <w:rPr>
            <w:noProof/>
            <w:webHidden/>
          </w:rPr>
          <w:fldChar w:fldCharType="separate"/>
        </w:r>
        <w:r>
          <w:rPr>
            <w:noProof/>
            <w:webHidden/>
          </w:rPr>
          <w:t>171</w:t>
        </w:r>
        <w:r>
          <w:rPr>
            <w:noProof/>
            <w:webHidden/>
          </w:rPr>
          <w:fldChar w:fldCharType="end"/>
        </w:r>
      </w:hyperlink>
    </w:p>
    <w:p w14:paraId="02FDAE24" w14:textId="79326890" w:rsidR="00507A67" w:rsidRDefault="00507A67">
      <w:pPr>
        <w:pStyle w:val="TOC3"/>
        <w:rPr>
          <w:rFonts w:asciiTheme="minorHAnsi" w:hAnsiTheme="minorHAnsi" w:cstheme="minorBidi"/>
          <w:b w:val="0"/>
          <w:noProof/>
          <w:lang w:eastAsia="en-CA"/>
        </w:rPr>
      </w:pPr>
      <w:hyperlink w:anchor="_Toc52181679" w:history="1">
        <w:r w:rsidRPr="00E53E72">
          <w:rPr>
            <w:rStyle w:val="Hyperlink"/>
            <w:noProof/>
          </w:rPr>
          <w:t>C.2.1 Sample stream V3C header syntax</w:t>
        </w:r>
        <w:r>
          <w:rPr>
            <w:noProof/>
            <w:webHidden/>
          </w:rPr>
          <w:tab/>
        </w:r>
        <w:r>
          <w:rPr>
            <w:noProof/>
            <w:webHidden/>
          </w:rPr>
          <w:fldChar w:fldCharType="begin"/>
        </w:r>
        <w:r>
          <w:rPr>
            <w:noProof/>
            <w:webHidden/>
          </w:rPr>
          <w:instrText xml:space="preserve"> PAGEREF _Toc52181679 \h </w:instrText>
        </w:r>
        <w:r>
          <w:rPr>
            <w:noProof/>
            <w:webHidden/>
          </w:rPr>
        </w:r>
        <w:r>
          <w:rPr>
            <w:noProof/>
            <w:webHidden/>
          </w:rPr>
          <w:fldChar w:fldCharType="separate"/>
        </w:r>
        <w:r>
          <w:rPr>
            <w:noProof/>
            <w:webHidden/>
          </w:rPr>
          <w:t>171</w:t>
        </w:r>
        <w:r>
          <w:rPr>
            <w:noProof/>
            <w:webHidden/>
          </w:rPr>
          <w:fldChar w:fldCharType="end"/>
        </w:r>
      </w:hyperlink>
    </w:p>
    <w:p w14:paraId="590E5B37" w14:textId="535D60B6" w:rsidR="00507A67" w:rsidRDefault="00507A67">
      <w:pPr>
        <w:pStyle w:val="TOC3"/>
        <w:rPr>
          <w:rFonts w:asciiTheme="minorHAnsi" w:hAnsiTheme="minorHAnsi" w:cstheme="minorBidi"/>
          <w:b w:val="0"/>
          <w:noProof/>
          <w:lang w:eastAsia="en-CA"/>
        </w:rPr>
      </w:pPr>
      <w:hyperlink w:anchor="_Toc52181680" w:history="1">
        <w:r w:rsidRPr="00E53E72">
          <w:rPr>
            <w:rStyle w:val="Hyperlink"/>
            <w:noProof/>
          </w:rPr>
          <w:t>C.2.2 Sample stream V3C unit syntax</w:t>
        </w:r>
        <w:r>
          <w:rPr>
            <w:noProof/>
            <w:webHidden/>
          </w:rPr>
          <w:tab/>
        </w:r>
        <w:r>
          <w:rPr>
            <w:noProof/>
            <w:webHidden/>
          </w:rPr>
          <w:fldChar w:fldCharType="begin"/>
        </w:r>
        <w:r>
          <w:rPr>
            <w:noProof/>
            <w:webHidden/>
          </w:rPr>
          <w:instrText xml:space="preserve"> PAGEREF _Toc52181680 \h </w:instrText>
        </w:r>
        <w:r>
          <w:rPr>
            <w:noProof/>
            <w:webHidden/>
          </w:rPr>
        </w:r>
        <w:r>
          <w:rPr>
            <w:noProof/>
            <w:webHidden/>
          </w:rPr>
          <w:fldChar w:fldCharType="separate"/>
        </w:r>
        <w:r>
          <w:rPr>
            <w:noProof/>
            <w:webHidden/>
          </w:rPr>
          <w:t>171</w:t>
        </w:r>
        <w:r>
          <w:rPr>
            <w:noProof/>
            <w:webHidden/>
          </w:rPr>
          <w:fldChar w:fldCharType="end"/>
        </w:r>
      </w:hyperlink>
    </w:p>
    <w:p w14:paraId="16CE3968" w14:textId="19205767" w:rsidR="00507A67" w:rsidRDefault="00507A67">
      <w:pPr>
        <w:pStyle w:val="TOC3"/>
        <w:rPr>
          <w:rFonts w:asciiTheme="minorHAnsi" w:hAnsiTheme="minorHAnsi" w:cstheme="minorBidi"/>
          <w:b w:val="0"/>
          <w:noProof/>
          <w:lang w:eastAsia="en-CA"/>
        </w:rPr>
      </w:pPr>
      <w:hyperlink w:anchor="_Toc52181681" w:history="1">
        <w:r w:rsidRPr="00E53E72">
          <w:rPr>
            <w:rStyle w:val="Hyperlink"/>
            <w:noProof/>
          </w:rPr>
          <w:t>C.2.3 Sample stream V3C header semantics</w:t>
        </w:r>
        <w:r>
          <w:rPr>
            <w:noProof/>
            <w:webHidden/>
          </w:rPr>
          <w:tab/>
        </w:r>
        <w:r>
          <w:rPr>
            <w:noProof/>
            <w:webHidden/>
          </w:rPr>
          <w:fldChar w:fldCharType="begin"/>
        </w:r>
        <w:r>
          <w:rPr>
            <w:noProof/>
            <w:webHidden/>
          </w:rPr>
          <w:instrText xml:space="preserve"> PAGEREF _Toc52181681 \h </w:instrText>
        </w:r>
        <w:r>
          <w:rPr>
            <w:noProof/>
            <w:webHidden/>
          </w:rPr>
        </w:r>
        <w:r>
          <w:rPr>
            <w:noProof/>
            <w:webHidden/>
          </w:rPr>
          <w:fldChar w:fldCharType="separate"/>
        </w:r>
        <w:r>
          <w:rPr>
            <w:noProof/>
            <w:webHidden/>
          </w:rPr>
          <w:t>171</w:t>
        </w:r>
        <w:r>
          <w:rPr>
            <w:noProof/>
            <w:webHidden/>
          </w:rPr>
          <w:fldChar w:fldCharType="end"/>
        </w:r>
      </w:hyperlink>
    </w:p>
    <w:p w14:paraId="007D0EE5" w14:textId="671A7E62" w:rsidR="00507A67" w:rsidRDefault="00507A67">
      <w:pPr>
        <w:pStyle w:val="TOC3"/>
        <w:rPr>
          <w:rFonts w:asciiTheme="minorHAnsi" w:hAnsiTheme="minorHAnsi" w:cstheme="minorBidi"/>
          <w:b w:val="0"/>
          <w:noProof/>
          <w:lang w:eastAsia="en-CA"/>
        </w:rPr>
      </w:pPr>
      <w:hyperlink w:anchor="_Toc52181682" w:history="1">
        <w:r w:rsidRPr="00E53E72">
          <w:rPr>
            <w:rStyle w:val="Hyperlink"/>
            <w:noProof/>
          </w:rPr>
          <w:t>C.2.4 Sample stream V3C unit semantics</w:t>
        </w:r>
        <w:r>
          <w:rPr>
            <w:noProof/>
            <w:webHidden/>
          </w:rPr>
          <w:tab/>
        </w:r>
        <w:r>
          <w:rPr>
            <w:noProof/>
            <w:webHidden/>
          </w:rPr>
          <w:fldChar w:fldCharType="begin"/>
        </w:r>
        <w:r>
          <w:rPr>
            <w:noProof/>
            <w:webHidden/>
          </w:rPr>
          <w:instrText xml:space="preserve"> PAGEREF _Toc52181682 \h </w:instrText>
        </w:r>
        <w:r>
          <w:rPr>
            <w:noProof/>
            <w:webHidden/>
          </w:rPr>
        </w:r>
        <w:r>
          <w:rPr>
            <w:noProof/>
            <w:webHidden/>
          </w:rPr>
          <w:fldChar w:fldCharType="separate"/>
        </w:r>
        <w:r>
          <w:rPr>
            <w:noProof/>
            <w:webHidden/>
          </w:rPr>
          <w:t>171</w:t>
        </w:r>
        <w:r>
          <w:rPr>
            <w:noProof/>
            <w:webHidden/>
          </w:rPr>
          <w:fldChar w:fldCharType="end"/>
        </w:r>
      </w:hyperlink>
    </w:p>
    <w:p w14:paraId="58B11EF0" w14:textId="4799A5D5" w:rsidR="00507A67" w:rsidRDefault="00507A67">
      <w:pPr>
        <w:pStyle w:val="TOC1"/>
        <w:rPr>
          <w:rFonts w:asciiTheme="minorHAnsi" w:hAnsiTheme="minorHAnsi" w:cstheme="minorBidi"/>
          <w:b w:val="0"/>
          <w:noProof/>
          <w:lang w:eastAsia="en-CA"/>
        </w:rPr>
      </w:pPr>
      <w:hyperlink w:anchor="_Toc52181683" w:history="1">
        <w:r w:rsidRPr="00E53E72">
          <w:rPr>
            <w:rStyle w:val="Hyperlink"/>
            <w:noProof/>
          </w:rPr>
          <w:t>Annex D (normative) NAL sample stream format</w:t>
        </w:r>
        <w:r>
          <w:rPr>
            <w:noProof/>
            <w:webHidden/>
          </w:rPr>
          <w:tab/>
        </w:r>
        <w:r>
          <w:rPr>
            <w:noProof/>
            <w:webHidden/>
          </w:rPr>
          <w:fldChar w:fldCharType="begin"/>
        </w:r>
        <w:r>
          <w:rPr>
            <w:noProof/>
            <w:webHidden/>
          </w:rPr>
          <w:instrText xml:space="preserve"> PAGEREF _Toc52181683 \h </w:instrText>
        </w:r>
        <w:r>
          <w:rPr>
            <w:noProof/>
            <w:webHidden/>
          </w:rPr>
        </w:r>
        <w:r>
          <w:rPr>
            <w:noProof/>
            <w:webHidden/>
          </w:rPr>
          <w:fldChar w:fldCharType="separate"/>
        </w:r>
        <w:r>
          <w:rPr>
            <w:noProof/>
            <w:webHidden/>
          </w:rPr>
          <w:t>172</w:t>
        </w:r>
        <w:r>
          <w:rPr>
            <w:noProof/>
            <w:webHidden/>
          </w:rPr>
          <w:fldChar w:fldCharType="end"/>
        </w:r>
      </w:hyperlink>
    </w:p>
    <w:p w14:paraId="1DFCBC6D" w14:textId="7846EF5F" w:rsidR="00507A67" w:rsidRDefault="00507A67">
      <w:pPr>
        <w:pStyle w:val="TOC2"/>
        <w:rPr>
          <w:rFonts w:asciiTheme="minorHAnsi" w:hAnsiTheme="minorHAnsi" w:cstheme="minorBidi"/>
          <w:b w:val="0"/>
          <w:noProof/>
          <w:lang w:eastAsia="en-CA"/>
        </w:rPr>
      </w:pPr>
      <w:hyperlink w:anchor="_Toc52181684" w:history="1">
        <w:r w:rsidRPr="00E53E72">
          <w:rPr>
            <w:rStyle w:val="Hyperlink"/>
            <w:noProof/>
          </w:rPr>
          <w:t>D.1 General</w:t>
        </w:r>
        <w:r>
          <w:rPr>
            <w:noProof/>
            <w:webHidden/>
          </w:rPr>
          <w:tab/>
        </w:r>
        <w:r>
          <w:rPr>
            <w:noProof/>
            <w:webHidden/>
          </w:rPr>
          <w:fldChar w:fldCharType="begin"/>
        </w:r>
        <w:r>
          <w:rPr>
            <w:noProof/>
            <w:webHidden/>
          </w:rPr>
          <w:instrText xml:space="preserve"> PAGEREF _Toc52181684 \h </w:instrText>
        </w:r>
        <w:r>
          <w:rPr>
            <w:noProof/>
            <w:webHidden/>
          </w:rPr>
        </w:r>
        <w:r>
          <w:rPr>
            <w:noProof/>
            <w:webHidden/>
          </w:rPr>
          <w:fldChar w:fldCharType="separate"/>
        </w:r>
        <w:r>
          <w:rPr>
            <w:noProof/>
            <w:webHidden/>
          </w:rPr>
          <w:t>172</w:t>
        </w:r>
        <w:r>
          <w:rPr>
            <w:noProof/>
            <w:webHidden/>
          </w:rPr>
          <w:fldChar w:fldCharType="end"/>
        </w:r>
      </w:hyperlink>
    </w:p>
    <w:p w14:paraId="03D55B5F" w14:textId="64FB74B5" w:rsidR="00507A67" w:rsidRDefault="00507A67">
      <w:pPr>
        <w:pStyle w:val="TOC2"/>
        <w:rPr>
          <w:rFonts w:asciiTheme="minorHAnsi" w:hAnsiTheme="minorHAnsi" w:cstheme="minorBidi"/>
          <w:b w:val="0"/>
          <w:noProof/>
          <w:lang w:eastAsia="en-CA"/>
        </w:rPr>
      </w:pPr>
      <w:hyperlink w:anchor="_Toc52181685" w:history="1">
        <w:r w:rsidRPr="00E53E72">
          <w:rPr>
            <w:rStyle w:val="Hyperlink"/>
            <w:noProof/>
          </w:rPr>
          <w:t>D.2 Sample stream NAL unit syntax and semantics</w:t>
        </w:r>
        <w:r>
          <w:rPr>
            <w:noProof/>
            <w:webHidden/>
          </w:rPr>
          <w:tab/>
        </w:r>
        <w:r>
          <w:rPr>
            <w:noProof/>
            <w:webHidden/>
          </w:rPr>
          <w:fldChar w:fldCharType="begin"/>
        </w:r>
        <w:r>
          <w:rPr>
            <w:noProof/>
            <w:webHidden/>
          </w:rPr>
          <w:instrText xml:space="preserve"> PAGEREF _Toc52181685 \h </w:instrText>
        </w:r>
        <w:r>
          <w:rPr>
            <w:noProof/>
            <w:webHidden/>
          </w:rPr>
        </w:r>
        <w:r>
          <w:rPr>
            <w:noProof/>
            <w:webHidden/>
          </w:rPr>
          <w:fldChar w:fldCharType="separate"/>
        </w:r>
        <w:r>
          <w:rPr>
            <w:noProof/>
            <w:webHidden/>
          </w:rPr>
          <w:t>172</w:t>
        </w:r>
        <w:r>
          <w:rPr>
            <w:noProof/>
            <w:webHidden/>
          </w:rPr>
          <w:fldChar w:fldCharType="end"/>
        </w:r>
      </w:hyperlink>
    </w:p>
    <w:p w14:paraId="2B1F00B6" w14:textId="6B1A1272" w:rsidR="00507A67" w:rsidRDefault="00507A67">
      <w:pPr>
        <w:pStyle w:val="TOC3"/>
        <w:rPr>
          <w:rFonts w:asciiTheme="minorHAnsi" w:hAnsiTheme="minorHAnsi" w:cstheme="minorBidi"/>
          <w:b w:val="0"/>
          <w:noProof/>
          <w:lang w:eastAsia="en-CA"/>
        </w:rPr>
      </w:pPr>
      <w:hyperlink w:anchor="_Toc52181686" w:history="1">
        <w:r w:rsidRPr="00E53E72">
          <w:rPr>
            <w:rStyle w:val="Hyperlink"/>
            <w:noProof/>
          </w:rPr>
          <w:t>D.2.1 Sample stream NAL header syntax</w:t>
        </w:r>
        <w:r>
          <w:rPr>
            <w:noProof/>
            <w:webHidden/>
          </w:rPr>
          <w:tab/>
        </w:r>
        <w:r>
          <w:rPr>
            <w:noProof/>
            <w:webHidden/>
          </w:rPr>
          <w:fldChar w:fldCharType="begin"/>
        </w:r>
        <w:r>
          <w:rPr>
            <w:noProof/>
            <w:webHidden/>
          </w:rPr>
          <w:instrText xml:space="preserve"> PAGEREF _Toc52181686 \h </w:instrText>
        </w:r>
        <w:r>
          <w:rPr>
            <w:noProof/>
            <w:webHidden/>
          </w:rPr>
        </w:r>
        <w:r>
          <w:rPr>
            <w:noProof/>
            <w:webHidden/>
          </w:rPr>
          <w:fldChar w:fldCharType="separate"/>
        </w:r>
        <w:r>
          <w:rPr>
            <w:noProof/>
            <w:webHidden/>
          </w:rPr>
          <w:t>172</w:t>
        </w:r>
        <w:r>
          <w:rPr>
            <w:noProof/>
            <w:webHidden/>
          </w:rPr>
          <w:fldChar w:fldCharType="end"/>
        </w:r>
      </w:hyperlink>
    </w:p>
    <w:p w14:paraId="5F6B1E9B" w14:textId="54DC19F5" w:rsidR="00507A67" w:rsidRDefault="00507A67">
      <w:pPr>
        <w:pStyle w:val="TOC3"/>
        <w:rPr>
          <w:rFonts w:asciiTheme="minorHAnsi" w:hAnsiTheme="minorHAnsi" w:cstheme="minorBidi"/>
          <w:b w:val="0"/>
          <w:noProof/>
          <w:lang w:eastAsia="en-CA"/>
        </w:rPr>
      </w:pPr>
      <w:hyperlink w:anchor="_Toc52181687" w:history="1">
        <w:r w:rsidRPr="00E53E72">
          <w:rPr>
            <w:rStyle w:val="Hyperlink"/>
            <w:noProof/>
          </w:rPr>
          <w:t>D.2.2 Sample stream NAL unit syntax</w:t>
        </w:r>
        <w:r>
          <w:rPr>
            <w:noProof/>
            <w:webHidden/>
          </w:rPr>
          <w:tab/>
        </w:r>
        <w:r>
          <w:rPr>
            <w:noProof/>
            <w:webHidden/>
          </w:rPr>
          <w:fldChar w:fldCharType="begin"/>
        </w:r>
        <w:r>
          <w:rPr>
            <w:noProof/>
            <w:webHidden/>
          </w:rPr>
          <w:instrText xml:space="preserve"> PAGEREF _Toc52181687 \h </w:instrText>
        </w:r>
        <w:r>
          <w:rPr>
            <w:noProof/>
            <w:webHidden/>
          </w:rPr>
        </w:r>
        <w:r>
          <w:rPr>
            <w:noProof/>
            <w:webHidden/>
          </w:rPr>
          <w:fldChar w:fldCharType="separate"/>
        </w:r>
        <w:r>
          <w:rPr>
            <w:noProof/>
            <w:webHidden/>
          </w:rPr>
          <w:t>172</w:t>
        </w:r>
        <w:r>
          <w:rPr>
            <w:noProof/>
            <w:webHidden/>
          </w:rPr>
          <w:fldChar w:fldCharType="end"/>
        </w:r>
      </w:hyperlink>
    </w:p>
    <w:p w14:paraId="2B820E01" w14:textId="60B83714" w:rsidR="00507A67" w:rsidRDefault="00507A67">
      <w:pPr>
        <w:pStyle w:val="TOC3"/>
        <w:rPr>
          <w:rFonts w:asciiTheme="minorHAnsi" w:hAnsiTheme="minorHAnsi" w:cstheme="minorBidi"/>
          <w:b w:val="0"/>
          <w:noProof/>
          <w:lang w:eastAsia="en-CA"/>
        </w:rPr>
      </w:pPr>
      <w:hyperlink w:anchor="_Toc52181688" w:history="1">
        <w:r w:rsidRPr="00E53E72">
          <w:rPr>
            <w:rStyle w:val="Hyperlink"/>
            <w:noProof/>
          </w:rPr>
          <w:t>D.2.3 Sample stream NAL header semantics</w:t>
        </w:r>
        <w:r>
          <w:rPr>
            <w:noProof/>
            <w:webHidden/>
          </w:rPr>
          <w:tab/>
        </w:r>
        <w:r>
          <w:rPr>
            <w:noProof/>
            <w:webHidden/>
          </w:rPr>
          <w:fldChar w:fldCharType="begin"/>
        </w:r>
        <w:r>
          <w:rPr>
            <w:noProof/>
            <w:webHidden/>
          </w:rPr>
          <w:instrText xml:space="preserve"> PAGEREF _Toc52181688 \h </w:instrText>
        </w:r>
        <w:r>
          <w:rPr>
            <w:noProof/>
            <w:webHidden/>
          </w:rPr>
        </w:r>
        <w:r>
          <w:rPr>
            <w:noProof/>
            <w:webHidden/>
          </w:rPr>
          <w:fldChar w:fldCharType="separate"/>
        </w:r>
        <w:r>
          <w:rPr>
            <w:noProof/>
            <w:webHidden/>
          </w:rPr>
          <w:t>172</w:t>
        </w:r>
        <w:r>
          <w:rPr>
            <w:noProof/>
            <w:webHidden/>
          </w:rPr>
          <w:fldChar w:fldCharType="end"/>
        </w:r>
      </w:hyperlink>
    </w:p>
    <w:p w14:paraId="37601335" w14:textId="51FB5B36" w:rsidR="00507A67" w:rsidRDefault="00507A67">
      <w:pPr>
        <w:pStyle w:val="TOC3"/>
        <w:rPr>
          <w:rFonts w:asciiTheme="minorHAnsi" w:hAnsiTheme="minorHAnsi" w:cstheme="minorBidi"/>
          <w:b w:val="0"/>
          <w:noProof/>
          <w:lang w:eastAsia="en-CA"/>
        </w:rPr>
      </w:pPr>
      <w:hyperlink w:anchor="_Toc52181689" w:history="1">
        <w:r w:rsidRPr="00E53E72">
          <w:rPr>
            <w:rStyle w:val="Hyperlink"/>
            <w:noProof/>
          </w:rPr>
          <w:t>D.2.4 Sample stream NAL unit semantics</w:t>
        </w:r>
        <w:r>
          <w:rPr>
            <w:noProof/>
            <w:webHidden/>
          </w:rPr>
          <w:tab/>
        </w:r>
        <w:r>
          <w:rPr>
            <w:noProof/>
            <w:webHidden/>
          </w:rPr>
          <w:fldChar w:fldCharType="begin"/>
        </w:r>
        <w:r>
          <w:rPr>
            <w:noProof/>
            <w:webHidden/>
          </w:rPr>
          <w:instrText xml:space="preserve"> PAGEREF _Toc52181689 \h </w:instrText>
        </w:r>
        <w:r>
          <w:rPr>
            <w:noProof/>
            <w:webHidden/>
          </w:rPr>
        </w:r>
        <w:r>
          <w:rPr>
            <w:noProof/>
            <w:webHidden/>
          </w:rPr>
          <w:fldChar w:fldCharType="separate"/>
        </w:r>
        <w:r>
          <w:rPr>
            <w:noProof/>
            <w:webHidden/>
          </w:rPr>
          <w:t>172</w:t>
        </w:r>
        <w:r>
          <w:rPr>
            <w:noProof/>
            <w:webHidden/>
          </w:rPr>
          <w:fldChar w:fldCharType="end"/>
        </w:r>
      </w:hyperlink>
    </w:p>
    <w:p w14:paraId="7BCD9FBB" w14:textId="722BACAE" w:rsidR="00507A67" w:rsidRDefault="00507A67">
      <w:pPr>
        <w:pStyle w:val="TOC1"/>
        <w:rPr>
          <w:rFonts w:asciiTheme="minorHAnsi" w:hAnsiTheme="minorHAnsi" w:cstheme="minorBidi"/>
          <w:b w:val="0"/>
          <w:noProof/>
          <w:lang w:eastAsia="en-CA"/>
        </w:rPr>
      </w:pPr>
      <w:hyperlink w:anchor="_Toc52181690" w:history="1">
        <w:r w:rsidRPr="00E53E72">
          <w:rPr>
            <w:rStyle w:val="Hyperlink"/>
            <w:noProof/>
          </w:rPr>
          <w:t>Annex E (normative) Atlas hypothetical reference decoder</w:t>
        </w:r>
        <w:r>
          <w:rPr>
            <w:noProof/>
            <w:webHidden/>
          </w:rPr>
          <w:tab/>
        </w:r>
        <w:r>
          <w:rPr>
            <w:noProof/>
            <w:webHidden/>
          </w:rPr>
          <w:fldChar w:fldCharType="begin"/>
        </w:r>
        <w:r>
          <w:rPr>
            <w:noProof/>
            <w:webHidden/>
          </w:rPr>
          <w:instrText xml:space="preserve"> PAGEREF _Toc52181690 \h </w:instrText>
        </w:r>
        <w:r>
          <w:rPr>
            <w:noProof/>
            <w:webHidden/>
          </w:rPr>
        </w:r>
        <w:r>
          <w:rPr>
            <w:noProof/>
            <w:webHidden/>
          </w:rPr>
          <w:fldChar w:fldCharType="separate"/>
        </w:r>
        <w:r>
          <w:rPr>
            <w:noProof/>
            <w:webHidden/>
          </w:rPr>
          <w:t>174</w:t>
        </w:r>
        <w:r>
          <w:rPr>
            <w:noProof/>
            <w:webHidden/>
          </w:rPr>
          <w:fldChar w:fldCharType="end"/>
        </w:r>
      </w:hyperlink>
    </w:p>
    <w:p w14:paraId="1A75D414" w14:textId="0B005E3F" w:rsidR="00507A67" w:rsidRDefault="00507A67">
      <w:pPr>
        <w:pStyle w:val="TOC2"/>
        <w:rPr>
          <w:rFonts w:asciiTheme="minorHAnsi" w:hAnsiTheme="minorHAnsi" w:cstheme="minorBidi"/>
          <w:b w:val="0"/>
          <w:noProof/>
          <w:lang w:eastAsia="en-CA"/>
        </w:rPr>
      </w:pPr>
      <w:hyperlink w:anchor="_Toc52181691" w:history="1">
        <w:r w:rsidRPr="00E53E72">
          <w:rPr>
            <w:rStyle w:val="Hyperlink"/>
            <w:noProof/>
          </w:rPr>
          <w:t>E.1 General</w:t>
        </w:r>
        <w:r>
          <w:rPr>
            <w:noProof/>
            <w:webHidden/>
          </w:rPr>
          <w:tab/>
        </w:r>
        <w:r>
          <w:rPr>
            <w:noProof/>
            <w:webHidden/>
          </w:rPr>
          <w:fldChar w:fldCharType="begin"/>
        </w:r>
        <w:r>
          <w:rPr>
            <w:noProof/>
            <w:webHidden/>
          </w:rPr>
          <w:instrText xml:space="preserve"> PAGEREF _Toc52181691 \h </w:instrText>
        </w:r>
        <w:r>
          <w:rPr>
            <w:noProof/>
            <w:webHidden/>
          </w:rPr>
        </w:r>
        <w:r>
          <w:rPr>
            <w:noProof/>
            <w:webHidden/>
          </w:rPr>
          <w:fldChar w:fldCharType="separate"/>
        </w:r>
        <w:r>
          <w:rPr>
            <w:noProof/>
            <w:webHidden/>
          </w:rPr>
          <w:t>174</w:t>
        </w:r>
        <w:r>
          <w:rPr>
            <w:noProof/>
            <w:webHidden/>
          </w:rPr>
          <w:fldChar w:fldCharType="end"/>
        </w:r>
      </w:hyperlink>
    </w:p>
    <w:p w14:paraId="3555C295" w14:textId="2E4005EF" w:rsidR="00507A67" w:rsidRDefault="00507A67">
      <w:pPr>
        <w:pStyle w:val="TOC2"/>
        <w:rPr>
          <w:rFonts w:asciiTheme="minorHAnsi" w:hAnsiTheme="minorHAnsi" w:cstheme="minorBidi"/>
          <w:b w:val="0"/>
          <w:noProof/>
          <w:lang w:eastAsia="en-CA"/>
        </w:rPr>
      </w:pPr>
      <w:hyperlink w:anchor="_Toc52181692" w:history="1">
        <w:r w:rsidRPr="00E53E72">
          <w:rPr>
            <w:rStyle w:val="Hyperlink"/>
            <w:noProof/>
          </w:rPr>
          <w:t>E.2 Operation of coded atlas frame buffer</w:t>
        </w:r>
        <w:r>
          <w:rPr>
            <w:noProof/>
            <w:webHidden/>
          </w:rPr>
          <w:tab/>
        </w:r>
        <w:r>
          <w:rPr>
            <w:noProof/>
            <w:webHidden/>
          </w:rPr>
          <w:fldChar w:fldCharType="begin"/>
        </w:r>
        <w:r>
          <w:rPr>
            <w:noProof/>
            <w:webHidden/>
          </w:rPr>
          <w:instrText xml:space="preserve"> PAGEREF _Toc52181692 \h </w:instrText>
        </w:r>
        <w:r>
          <w:rPr>
            <w:noProof/>
            <w:webHidden/>
          </w:rPr>
        </w:r>
        <w:r>
          <w:rPr>
            <w:noProof/>
            <w:webHidden/>
          </w:rPr>
          <w:fldChar w:fldCharType="separate"/>
        </w:r>
        <w:r>
          <w:rPr>
            <w:noProof/>
            <w:webHidden/>
          </w:rPr>
          <w:t>179</w:t>
        </w:r>
        <w:r>
          <w:rPr>
            <w:noProof/>
            <w:webHidden/>
          </w:rPr>
          <w:fldChar w:fldCharType="end"/>
        </w:r>
      </w:hyperlink>
    </w:p>
    <w:p w14:paraId="36169443" w14:textId="5E0EDF68" w:rsidR="00507A67" w:rsidRDefault="00507A67">
      <w:pPr>
        <w:pStyle w:val="TOC3"/>
        <w:rPr>
          <w:rFonts w:asciiTheme="minorHAnsi" w:hAnsiTheme="minorHAnsi" w:cstheme="minorBidi"/>
          <w:b w:val="0"/>
          <w:noProof/>
          <w:lang w:eastAsia="en-CA"/>
        </w:rPr>
      </w:pPr>
      <w:hyperlink w:anchor="_Toc52181693" w:history="1">
        <w:r w:rsidRPr="00E53E72">
          <w:rPr>
            <w:rStyle w:val="Hyperlink"/>
            <w:noProof/>
          </w:rPr>
          <w:t>E.2.1 General</w:t>
        </w:r>
        <w:r>
          <w:rPr>
            <w:noProof/>
            <w:webHidden/>
          </w:rPr>
          <w:tab/>
        </w:r>
        <w:r>
          <w:rPr>
            <w:noProof/>
            <w:webHidden/>
          </w:rPr>
          <w:fldChar w:fldCharType="begin"/>
        </w:r>
        <w:r>
          <w:rPr>
            <w:noProof/>
            <w:webHidden/>
          </w:rPr>
          <w:instrText xml:space="preserve"> PAGEREF _Toc52181693 \h </w:instrText>
        </w:r>
        <w:r>
          <w:rPr>
            <w:noProof/>
            <w:webHidden/>
          </w:rPr>
        </w:r>
        <w:r>
          <w:rPr>
            <w:noProof/>
            <w:webHidden/>
          </w:rPr>
          <w:fldChar w:fldCharType="separate"/>
        </w:r>
        <w:r>
          <w:rPr>
            <w:noProof/>
            <w:webHidden/>
          </w:rPr>
          <w:t>179</w:t>
        </w:r>
        <w:r>
          <w:rPr>
            <w:noProof/>
            <w:webHidden/>
          </w:rPr>
          <w:fldChar w:fldCharType="end"/>
        </w:r>
      </w:hyperlink>
    </w:p>
    <w:p w14:paraId="1B42A8C8" w14:textId="27FD5202" w:rsidR="00507A67" w:rsidRDefault="00507A67">
      <w:pPr>
        <w:pStyle w:val="TOC3"/>
        <w:rPr>
          <w:rFonts w:asciiTheme="minorHAnsi" w:hAnsiTheme="minorHAnsi" w:cstheme="minorBidi"/>
          <w:b w:val="0"/>
          <w:noProof/>
          <w:lang w:eastAsia="en-CA"/>
        </w:rPr>
      </w:pPr>
      <w:hyperlink w:anchor="_Toc52181694" w:history="1">
        <w:r w:rsidRPr="00E53E72">
          <w:rPr>
            <w:rStyle w:val="Hyperlink"/>
            <w:noProof/>
          </w:rPr>
          <w:t>E.2.2 Timing of decoding unit arrival</w:t>
        </w:r>
        <w:r>
          <w:rPr>
            <w:noProof/>
            <w:webHidden/>
          </w:rPr>
          <w:tab/>
        </w:r>
        <w:r>
          <w:rPr>
            <w:noProof/>
            <w:webHidden/>
          </w:rPr>
          <w:fldChar w:fldCharType="begin"/>
        </w:r>
        <w:r>
          <w:rPr>
            <w:noProof/>
            <w:webHidden/>
          </w:rPr>
          <w:instrText xml:space="preserve"> PAGEREF _Toc52181694 \h </w:instrText>
        </w:r>
        <w:r>
          <w:rPr>
            <w:noProof/>
            <w:webHidden/>
          </w:rPr>
        </w:r>
        <w:r>
          <w:rPr>
            <w:noProof/>
            <w:webHidden/>
          </w:rPr>
          <w:fldChar w:fldCharType="separate"/>
        </w:r>
        <w:r>
          <w:rPr>
            <w:noProof/>
            <w:webHidden/>
          </w:rPr>
          <w:t>179</w:t>
        </w:r>
        <w:r>
          <w:rPr>
            <w:noProof/>
            <w:webHidden/>
          </w:rPr>
          <w:fldChar w:fldCharType="end"/>
        </w:r>
      </w:hyperlink>
    </w:p>
    <w:p w14:paraId="6751BD59" w14:textId="573D03DA" w:rsidR="00507A67" w:rsidRDefault="00507A67">
      <w:pPr>
        <w:pStyle w:val="TOC3"/>
        <w:rPr>
          <w:rFonts w:asciiTheme="minorHAnsi" w:hAnsiTheme="minorHAnsi" w:cstheme="minorBidi"/>
          <w:b w:val="0"/>
          <w:noProof/>
          <w:lang w:eastAsia="en-CA"/>
        </w:rPr>
      </w:pPr>
      <w:hyperlink w:anchor="_Toc52181695" w:history="1">
        <w:r w:rsidRPr="00E53E72">
          <w:rPr>
            <w:rStyle w:val="Hyperlink"/>
            <w:noProof/>
          </w:rPr>
          <w:t>E.2.3 Timing of decoding unit removal and decoding of decoding unit</w:t>
        </w:r>
        <w:r>
          <w:rPr>
            <w:noProof/>
            <w:webHidden/>
          </w:rPr>
          <w:tab/>
        </w:r>
        <w:r>
          <w:rPr>
            <w:noProof/>
            <w:webHidden/>
          </w:rPr>
          <w:fldChar w:fldCharType="begin"/>
        </w:r>
        <w:r>
          <w:rPr>
            <w:noProof/>
            <w:webHidden/>
          </w:rPr>
          <w:instrText xml:space="preserve"> PAGEREF _Toc52181695 \h </w:instrText>
        </w:r>
        <w:r>
          <w:rPr>
            <w:noProof/>
            <w:webHidden/>
          </w:rPr>
        </w:r>
        <w:r>
          <w:rPr>
            <w:noProof/>
            <w:webHidden/>
          </w:rPr>
          <w:fldChar w:fldCharType="separate"/>
        </w:r>
        <w:r>
          <w:rPr>
            <w:noProof/>
            <w:webHidden/>
          </w:rPr>
          <w:t>182</w:t>
        </w:r>
        <w:r>
          <w:rPr>
            <w:noProof/>
            <w:webHidden/>
          </w:rPr>
          <w:fldChar w:fldCharType="end"/>
        </w:r>
      </w:hyperlink>
    </w:p>
    <w:p w14:paraId="45D9DE1E" w14:textId="1BB0EB98" w:rsidR="00507A67" w:rsidRDefault="00507A67">
      <w:pPr>
        <w:pStyle w:val="TOC2"/>
        <w:rPr>
          <w:rFonts w:asciiTheme="minorHAnsi" w:hAnsiTheme="minorHAnsi" w:cstheme="minorBidi"/>
          <w:b w:val="0"/>
          <w:noProof/>
          <w:lang w:eastAsia="en-CA"/>
        </w:rPr>
      </w:pPr>
      <w:hyperlink w:anchor="_Toc52181696" w:history="1">
        <w:r w:rsidRPr="00E53E72">
          <w:rPr>
            <w:rStyle w:val="Hyperlink"/>
            <w:noProof/>
          </w:rPr>
          <w:t>E.3 Operation of the decoded atlas frame buffer</w:t>
        </w:r>
        <w:r>
          <w:rPr>
            <w:noProof/>
            <w:webHidden/>
          </w:rPr>
          <w:tab/>
        </w:r>
        <w:r>
          <w:rPr>
            <w:noProof/>
            <w:webHidden/>
          </w:rPr>
          <w:fldChar w:fldCharType="begin"/>
        </w:r>
        <w:r>
          <w:rPr>
            <w:noProof/>
            <w:webHidden/>
          </w:rPr>
          <w:instrText xml:space="preserve"> PAGEREF _Toc52181696 \h </w:instrText>
        </w:r>
        <w:r>
          <w:rPr>
            <w:noProof/>
            <w:webHidden/>
          </w:rPr>
        </w:r>
        <w:r>
          <w:rPr>
            <w:noProof/>
            <w:webHidden/>
          </w:rPr>
          <w:fldChar w:fldCharType="separate"/>
        </w:r>
        <w:r>
          <w:rPr>
            <w:noProof/>
            <w:webHidden/>
          </w:rPr>
          <w:t>184</w:t>
        </w:r>
        <w:r>
          <w:rPr>
            <w:noProof/>
            <w:webHidden/>
          </w:rPr>
          <w:fldChar w:fldCharType="end"/>
        </w:r>
      </w:hyperlink>
    </w:p>
    <w:p w14:paraId="522AF61F" w14:textId="24D24F13" w:rsidR="00507A67" w:rsidRDefault="00507A67">
      <w:pPr>
        <w:pStyle w:val="TOC3"/>
        <w:rPr>
          <w:rFonts w:asciiTheme="minorHAnsi" w:hAnsiTheme="minorHAnsi" w:cstheme="minorBidi"/>
          <w:b w:val="0"/>
          <w:noProof/>
          <w:lang w:eastAsia="en-CA"/>
        </w:rPr>
      </w:pPr>
      <w:hyperlink w:anchor="_Toc52181697" w:history="1">
        <w:r w:rsidRPr="00E53E72">
          <w:rPr>
            <w:rStyle w:val="Hyperlink"/>
            <w:noProof/>
          </w:rPr>
          <w:t>E.3.1 General</w:t>
        </w:r>
        <w:r>
          <w:rPr>
            <w:noProof/>
            <w:webHidden/>
          </w:rPr>
          <w:tab/>
        </w:r>
        <w:r>
          <w:rPr>
            <w:noProof/>
            <w:webHidden/>
          </w:rPr>
          <w:fldChar w:fldCharType="begin"/>
        </w:r>
        <w:r>
          <w:rPr>
            <w:noProof/>
            <w:webHidden/>
          </w:rPr>
          <w:instrText xml:space="preserve"> PAGEREF _Toc52181697 \h </w:instrText>
        </w:r>
        <w:r>
          <w:rPr>
            <w:noProof/>
            <w:webHidden/>
          </w:rPr>
        </w:r>
        <w:r>
          <w:rPr>
            <w:noProof/>
            <w:webHidden/>
          </w:rPr>
          <w:fldChar w:fldCharType="separate"/>
        </w:r>
        <w:r>
          <w:rPr>
            <w:noProof/>
            <w:webHidden/>
          </w:rPr>
          <w:t>184</w:t>
        </w:r>
        <w:r>
          <w:rPr>
            <w:noProof/>
            <w:webHidden/>
          </w:rPr>
          <w:fldChar w:fldCharType="end"/>
        </w:r>
      </w:hyperlink>
    </w:p>
    <w:p w14:paraId="5530D934" w14:textId="56522854" w:rsidR="00507A67" w:rsidRDefault="00507A67">
      <w:pPr>
        <w:pStyle w:val="TOC3"/>
        <w:rPr>
          <w:rFonts w:asciiTheme="minorHAnsi" w:hAnsiTheme="minorHAnsi" w:cstheme="minorBidi"/>
          <w:b w:val="0"/>
          <w:noProof/>
          <w:lang w:eastAsia="en-CA"/>
        </w:rPr>
      </w:pPr>
      <w:hyperlink w:anchor="_Toc52181698" w:history="1">
        <w:r w:rsidRPr="00E53E72">
          <w:rPr>
            <w:rStyle w:val="Hyperlink"/>
            <w:noProof/>
          </w:rPr>
          <w:t>E.3.2 Removal of atlas frames from the DAB before decoding of the current atlas frame</w:t>
        </w:r>
        <w:r>
          <w:rPr>
            <w:noProof/>
            <w:webHidden/>
          </w:rPr>
          <w:tab/>
        </w:r>
        <w:r>
          <w:rPr>
            <w:noProof/>
            <w:webHidden/>
          </w:rPr>
          <w:fldChar w:fldCharType="begin"/>
        </w:r>
        <w:r>
          <w:rPr>
            <w:noProof/>
            <w:webHidden/>
          </w:rPr>
          <w:instrText xml:space="preserve"> PAGEREF _Toc52181698 \h </w:instrText>
        </w:r>
        <w:r>
          <w:rPr>
            <w:noProof/>
            <w:webHidden/>
          </w:rPr>
        </w:r>
        <w:r>
          <w:rPr>
            <w:noProof/>
            <w:webHidden/>
          </w:rPr>
          <w:fldChar w:fldCharType="separate"/>
        </w:r>
        <w:r>
          <w:rPr>
            <w:noProof/>
            <w:webHidden/>
          </w:rPr>
          <w:t>184</w:t>
        </w:r>
        <w:r>
          <w:rPr>
            <w:noProof/>
            <w:webHidden/>
          </w:rPr>
          <w:fldChar w:fldCharType="end"/>
        </w:r>
      </w:hyperlink>
    </w:p>
    <w:p w14:paraId="4E0986D7" w14:textId="04DA81A7" w:rsidR="00507A67" w:rsidRDefault="00507A67">
      <w:pPr>
        <w:pStyle w:val="TOC3"/>
        <w:rPr>
          <w:rFonts w:asciiTheme="minorHAnsi" w:hAnsiTheme="minorHAnsi" w:cstheme="minorBidi"/>
          <w:b w:val="0"/>
          <w:noProof/>
          <w:lang w:eastAsia="en-CA"/>
        </w:rPr>
      </w:pPr>
      <w:hyperlink w:anchor="_Toc52181699" w:history="1">
        <w:r w:rsidRPr="00E53E72">
          <w:rPr>
            <w:rStyle w:val="Hyperlink"/>
            <w:noProof/>
          </w:rPr>
          <w:t>E.3.3 Atlas frame output</w:t>
        </w:r>
        <w:r>
          <w:rPr>
            <w:noProof/>
            <w:webHidden/>
          </w:rPr>
          <w:tab/>
        </w:r>
        <w:r>
          <w:rPr>
            <w:noProof/>
            <w:webHidden/>
          </w:rPr>
          <w:fldChar w:fldCharType="begin"/>
        </w:r>
        <w:r>
          <w:rPr>
            <w:noProof/>
            <w:webHidden/>
          </w:rPr>
          <w:instrText xml:space="preserve"> PAGEREF _Toc52181699 \h </w:instrText>
        </w:r>
        <w:r>
          <w:rPr>
            <w:noProof/>
            <w:webHidden/>
          </w:rPr>
        </w:r>
        <w:r>
          <w:rPr>
            <w:noProof/>
            <w:webHidden/>
          </w:rPr>
          <w:fldChar w:fldCharType="separate"/>
        </w:r>
        <w:r>
          <w:rPr>
            <w:noProof/>
            <w:webHidden/>
          </w:rPr>
          <w:t>185</w:t>
        </w:r>
        <w:r>
          <w:rPr>
            <w:noProof/>
            <w:webHidden/>
          </w:rPr>
          <w:fldChar w:fldCharType="end"/>
        </w:r>
      </w:hyperlink>
    </w:p>
    <w:p w14:paraId="5E86D5F9" w14:textId="2704765C" w:rsidR="00507A67" w:rsidRDefault="00507A67">
      <w:pPr>
        <w:pStyle w:val="TOC3"/>
        <w:rPr>
          <w:rFonts w:asciiTheme="minorHAnsi" w:hAnsiTheme="minorHAnsi" w:cstheme="minorBidi"/>
          <w:b w:val="0"/>
          <w:noProof/>
          <w:lang w:eastAsia="en-CA"/>
        </w:rPr>
      </w:pPr>
      <w:hyperlink w:anchor="_Toc52181700" w:history="1">
        <w:r w:rsidRPr="00E53E72">
          <w:rPr>
            <w:rStyle w:val="Hyperlink"/>
            <w:noProof/>
          </w:rPr>
          <w:t>E.3.4 Current decoded atlas frame marking and storage</w:t>
        </w:r>
        <w:r>
          <w:rPr>
            <w:noProof/>
            <w:webHidden/>
          </w:rPr>
          <w:tab/>
        </w:r>
        <w:r>
          <w:rPr>
            <w:noProof/>
            <w:webHidden/>
          </w:rPr>
          <w:fldChar w:fldCharType="begin"/>
        </w:r>
        <w:r>
          <w:rPr>
            <w:noProof/>
            <w:webHidden/>
          </w:rPr>
          <w:instrText xml:space="preserve"> PAGEREF _Toc52181700 \h </w:instrText>
        </w:r>
        <w:r>
          <w:rPr>
            <w:noProof/>
            <w:webHidden/>
          </w:rPr>
        </w:r>
        <w:r>
          <w:rPr>
            <w:noProof/>
            <w:webHidden/>
          </w:rPr>
          <w:fldChar w:fldCharType="separate"/>
        </w:r>
        <w:r>
          <w:rPr>
            <w:noProof/>
            <w:webHidden/>
          </w:rPr>
          <w:t>185</w:t>
        </w:r>
        <w:r>
          <w:rPr>
            <w:noProof/>
            <w:webHidden/>
          </w:rPr>
          <w:fldChar w:fldCharType="end"/>
        </w:r>
      </w:hyperlink>
    </w:p>
    <w:p w14:paraId="75CB9290" w14:textId="380BE2CB" w:rsidR="00507A67" w:rsidRDefault="00507A67">
      <w:pPr>
        <w:pStyle w:val="TOC3"/>
        <w:rPr>
          <w:rFonts w:asciiTheme="minorHAnsi" w:hAnsiTheme="minorHAnsi" w:cstheme="minorBidi"/>
          <w:b w:val="0"/>
          <w:noProof/>
          <w:lang w:eastAsia="en-CA"/>
        </w:rPr>
      </w:pPr>
      <w:hyperlink w:anchor="_Toc52181701" w:history="1">
        <w:r w:rsidRPr="00E53E72">
          <w:rPr>
            <w:rStyle w:val="Hyperlink"/>
            <w:noProof/>
          </w:rPr>
          <w:t>E.3.5 Removal of atlas frames from the DAB after decoding of the current atlas frame</w:t>
        </w:r>
        <w:r>
          <w:rPr>
            <w:noProof/>
            <w:webHidden/>
          </w:rPr>
          <w:tab/>
        </w:r>
        <w:r>
          <w:rPr>
            <w:noProof/>
            <w:webHidden/>
          </w:rPr>
          <w:fldChar w:fldCharType="begin"/>
        </w:r>
        <w:r>
          <w:rPr>
            <w:noProof/>
            <w:webHidden/>
          </w:rPr>
          <w:instrText xml:space="preserve"> PAGEREF _Toc52181701 \h </w:instrText>
        </w:r>
        <w:r>
          <w:rPr>
            <w:noProof/>
            <w:webHidden/>
          </w:rPr>
        </w:r>
        <w:r>
          <w:rPr>
            <w:noProof/>
            <w:webHidden/>
          </w:rPr>
          <w:fldChar w:fldCharType="separate"/>
        </w:r>
        <w:r>
          <w:rPr>
            <w:noProof/>
            <w:webHidden/>
          </w:rPr>
          <w:t>186</w:t>
        </w:r>
        <w:r>
          <w:rPr>
            <w:noProof/>
            <w:webHidden/>
          </w:rPr>
          <w:fldChar w:fldCharType="end"/>
        </w:r>
      </w:hyperlink>
    </w:p>
    <w:p w14:paraId="1DC287BD" w14:textId="5C59E695" w:rsidR="00507A67" w:rsidRDefault="00507A67">
      <w:pPr>
        <w:pStyle w:val="TOC2"/>
        <w:rPr>
          <w:rFonts w:asciiTheme="minorHAnsi" w:hAnsiTheme="minorHAnsi" w:cstheme="minorBidi"/>
          <w:b w:val="0"/>
          <w:noProof/>
          <w:lang w:eastAsia="en-CA"/>
        </w:rPr>
      </w:pPr>
      <w:hyperlink w:anchor="_Toc52181702" w:history="1">
        <w:r w:rsidRPr="00E53E72">
          <w:rPr>
            <w:rStyle w:val="Hyperlink"/>
            <w:noProof/>
          </w:rPr>
          <w:t>E.4 Bitstream conformance</w:t>
        </w:r>
        <w:r>
          <w:rPr>
            <w:noProof/>
            <w:webHidden/>
          </w:rPr>
          <w:tab/>
        </w:r>
        <w:r>
          <w:rPr>
            <w:noProof/>
            <w:webHidden/>
          </w:rPr>
          <w:fldChar w:fldCharType="begin"/>
        </w:r>
        <w:r>
          <w:rPr>
            <w:noProof/>
            <w:webHidden/>
          </w:rPr>
          <w:instrText xml:space="preserve"> PAGEREF _Toc52181702 \h </w:instrText>
        </w:r>
        <w:r>
          <w:rPr>
            <w:noProof/>
            <w:webHidden/>
          </w:rPr>
        </w:r>
        <w:r>
          <w:rPr>
            <w:noProof/>
            <w:webHidden/>
          </w:rPr>
          <w:fldChar w:fldCharType="separate"/>
        </w:r>
        <w:r>
          <w:rPr>
            <w:noProof/>
            <w:webHidden/>
          </w:rPr>
          <w:t>186</w:t>
        </w:r>
        <w:r>
          <w:rPr>
            <w:noProof/>
            <w:webHidden/>
          </w:rPr>
          <w:fldChar w:fldCharType="end"/>
        </w:r>
      </w:hyperlink>
    </w:p>
    <w:p w14:paraId="4ADE2704" w14:textId="6FB11830" w:rsidR="00507A67" w:rsidRDefault="00507A67">
      <w:pPr>
        <w:pStyle w:val="TOC2"/>
        <w:rPr>
          <w:rFonts w:asciiTheme="minorHAnsi" w:hAnsiTheme="minorHAnsi" w:cstheme="minorBidi"/>
          <w:b w:val="0"/>
          <w:noProof/>
          <w:lang w:eastAsia="en-CA"/>
        </w:rPr>
      </w:pPr>
      <w:hyperlink w:anchor="_Toc52181703" w:history="1">
        <w:r w:rsidRPr="00E53E72">
          <w:rPr>
            <w:rStyle w:val="Hyperlink"/>
            <w:noProof/>
          </w:rPr>
          <w:t>E.5 Decoder conformance</w:t>
        </w:r>
        <w:r>
          <w:rPr>
            <w:noProof/>
            <w:webHidden/>
          </w:rPr>
          <w:tab/>
        </w:r>
        <w:r>
          <w:rPr>
            <w:noProof/>
            <w:webHidden/>
          </w:rPr>
          <w:fldChar w:fldCharType="begin"/>
        </w:r>
        <w:r>
          <w:rPr>
            <w:noProof/>
            <w:webHidden/>
          </w:rPr>
          <w:instrText xml:space="preserve"> PAGEREF _Toc52181703 \h </w:instrText>
        </w:r>
        <w:r>
          <w:rPr>
            <w:noProof/>
            <w:webHidden/>
          </w:rPr>
        </w:r>
        <w:r>
          <w:rPr>
            <w:noProof/>
            <w:webHidden/>
          </w:rPr>
          <w:fldChar w:fldCharType="separate"/>
        </w:r>
        <w:r>
          <w:rPr>
            <w:noProof/>
            <w:webHidden/>
          </w:rPr>
          <w:t>187</w:t>
        </w:r>
        <w:r>
          <w:rPr>
            <w:noProof/>
            <w:webHidden/>
          </w:rPr>
          <w:fldChar w:fldCharType="end"/>
        </w:r>
      </w:hyperlink>
    </w:p>
    <w:p w14:paraId="478B97A0" w14:textId="24AF8D70" w:rsidR="00507A67" w:rsidRDefault="00507A67">
      <w:pPr>
        <w:pStyle w:val="TOC3"/>
        <w:rPr>
          <w:rFonts w:asciiTheme="minorHAnsi" w:hAnsiTheme="minorHAnsi" w:cstheme="minorBidi"/>
          <w:b w:val="0"/>
          <w:noProof/>
          <w:lang w:eastAsia="en-CA"/>
        </w:rPr>
      </w:pPr>
      <w:hyperlink w:anchor="_Toc52181704" w:history="1">
        <w:r w:rsidRPr="00E53E72">
          <w:rPr>
            <w:rStyle w:val="Hyperlink"/>
            <w:noProof/>
          </w:rPr>
          <w:t>E.5.1 General</w:t>
        </w:r>
        <w:r>
          <w:rPr>
            <w:noProof/>
            <w:webHidden/>
          </w:rPr>
          <w:tab/>
        </w:r>
        <w:r>
          <w:rPr>
            <w:noProof/>
            <w:webHidden/>
          </w:rPr>
          <w:fldChar w:fldCharType="begin"/>
        </w:r>
        <w:r>
          <w:rPr>
            <w:noProof/>
            <w:webHidden/>
          </w:rPr>
          <w:instrText xml:space="preserve"> PAGEREF _Toc52181704 \h </w:instrText>
        </w:r>
        <w:r>
          <w:rPr>
            <w:noProof/>
            <w:webHidden/>
          </w:rPr>
        </w:r>
        <w:r>
          <w:rPr>
            <w:noProof/>
            <w:webHidden/>
          </w:rPr>
          <w:fldChar w:fldCharType="separate"/>
        </w:r>
        <w:r>
          <w:rPr>
            <w:noProof/>
            <w:webHidden/>
          </w:rPr>
          <w:t>187</w:t>
        </w:r>
        <w:r>
          <w:rPr>
            <w:noProof/>
            <w:webHidden/>
          </w:rPr>
          <w:fldChar w:fldCharType="end"/>
        </w:r>
      </w:hyperlink>
    </w:p>
    <w:p w14:paraId="5144A06D" w14:textId="58080885" w:rsidR="00507A67" w:rsidRDefault="00507A67">
      <w:pPr>
        <w:pStyle w:val="TOC3"/>
        <w:rPr>
          <w:rFonts w:asciiTheme="minorHAnsi" w:hAnsiTheme="minorHAnsi" w:cstheme="minorBidi"/>
          <w:b w:val="0"/>
          <w:noProof/>
          <w:lang w:eastAsia="en-CA"/>
        </w:rPr>
      </w:pPr>
      <w:hyperlink w:anchor="_Toc52181705" w:history="1">
        <w:r w:rsidRPr="00E53E72">
          <w:rPr>
            <w:rStyle w:val="Hyperlink"/>
            <w:noProof/>
          </w:rPr>
          <w:t>E.5.2 Operation of the output order DAB</w:t>
        </w:r>
        <w:r>
          <w:rPr>
            <w:noProof/>
            <w:webHidden/>
          </w:rPr>
          <w:tab/>
        </w:r>
        <w:r>
          <w:rPr>
            <w:noProof/>
            <w:webHidden/>
          </w:rPr>
          <w:fldChar w:fldCharType="begin"/>
        </w:r>
        <w:r>
          <w:rPr>
            <w:noProof/>
            <w:webHidden/>
          </w:rPr>
          <w:instrText xml:space="preserve"> PAGEREF _Toc52181705 \h </w:instrText>
        </w:r>
        <w:r>
          <w:rPr>
            <w:noProof/>
            <w:webHidden/>
          </w:rPr>
        </w:r>
        <w:r>
          <w:rPr>
            <w:noProof/>
            <w:webHidden/>
          </w:rPr>
          <w:fldChar w:fldCharType="separate"/>
        </w:r>
        <w:r>
          <w:rPr>
            <w:noProof/>
            <w:webHidden/>
          </w:rPr>
          <w:t>189</w:t>
        </w:r>
        <w:r>
          <w:rPr>
            <w:noProof/>
            <w:webHidden/>
          </w:rPr>
          <w:fldChar w:fldCharType="end"/>
        </w:r>
      </w:hyperlink>
    </w:p>
    <w:p w14:paraId="50CB647E" w14:textId="2D2F4750" w:rsidR="00507A67" w:rsidRDefault="00507A67">
      <w:pPr>
        <w:pStyle w:val="TOC1"/>
        <w:rPr>
          <w:rFonts w:asciiTheme="minorHAnsi" w:hAnsiTheme="minorHAnsi" w:cstheme="minorBidi"/>
          <w:b w:val="0"/>
          <w:noProof/>
          <w:lang w:eastAsia="en-CA"/>
        </w:rPr>
      </w:pPr>
      <w:hyperlink w:anchor="_Toc52181706" w:history="1">
        <w:r w:rsidRPr="00E53E72">
          <w:rPr>
            <w:rStyle w:val="Hyperlink"/>
            <w:noProof/>
          </w:rPr>
          <w:t>Annex F (normative) Supplemental enhancement information</w:t>
        </w:r>
        <w:r>
          <w:rPr>
            <w:noProof/>
            <w:webHidden/>
          </w:rPr>
          <w:tab/>
        </w:r>
        <w:r>
          <w:rPr>
            <w:noProof/>
            <w:webHidden/>
          </w:rPr>
          <w:fldChar w:fldCharType="begin"/>
        </w:r>
        <w:r>
          <w:rPr>
            <w:noProof/>
            <w:webHidden/>
          </w:rPr>
          <w:instrText xml:space="preserve"> PAGEREF _Toc52181706 \h </w:instrText>
        </w:r>
        <w:r>
          <w:rPr>
            <w:noProof/>
            <w:webHidden/>
          </w:rPr>
        </w:r>
        <w:r>
          <w:rPr>
            <w:noProof/>
            <w:webHidden/>
          </w:rPr>
          <w:fldChar w:fldCharType="separate"/>
        </w:r>
        <w:r>
          <w:rPr>
            <w:noProof/>
            <w:webHidden/>
          </w:rPr>
          <w:t>191</w:t>
        </w:r>
        <w:r>
          <w:rPr>
            <w:noProof/>
            <w:webHidden/>
          </w:rPr>
          <w:fldChar w:fldCharType="end"/>
        </w:r>
      </w:hyperlink>
    </w:p>
    <w:p w14:paraId="25DB0905" w14:textId="5FF61B50" w:rsidR="00507A67" w:rsidRDefault="00507A67">
      <w:pPr>
        <w:pStyle w:val="TOC2"/>
        <w:rPr>
          <w:rFonts w:asciiTheme="minorHAnsi" w:hAnsiTheme="minorHAnsi" w:cstheme="minorBidi"/>
          <w:b w:val="0"/>
          <w:noProof/>
          <w:lang w:eastAsia="en-CA"/>
        </w:rPr>
      </w:pPr>
      <w:hyperlink w:anchor="_Toc52181707" w:history="1">
        <w:r w:rsidRPr="00E53E72">
          <w:rPr>
            <w:rStyle w:val="Hyperlink"/>
            <w:noProof/>
          </w:rPr>
          <w:t>F.1 General</w:t>
        </w:r>
        <w:r>
          <w:rPr>
            <w:noProof/>
            <w:webHidden/>
          </w:rPr>
          <w:tab/>
        </w:r>
        <w:r>
          <w:rPr>
            <w:noProof/>
            <w:webHidden/>
          </w:rPr>
          <w:fldChar w:fldCharType="begin"/>
        </w:r>
        <w:r>
          <w:rPr>
            <w:noProof/>
            <w:webHidden/>
          </w:rPr>
          <w:instrText xml:space="preserve"> PAGEREF _Toc52181707 \h </w:instrText>
        </w:r>
        <w:r>
          <w:rPr>
            <w:noProof/>
            <w:webHidden/>
          </w:rPr>
        </w:r>
        <w:r>
          <w:rPr>
            <w:noProof/>
            <w:webHidden/>
          </w:rPr>
          <w:fldChar w:fldCharType="separate"/>
        </w:r>
        <w:r>
          <w:rPr>
            <w:noProof/>
            <w:webHidden/>
          </w:rPr>
          <w:t>191</w:t>
        </w:r>
        <w:r>
          <w:rPr>
            <w:noProof/>
            <w:webHidden/>
          </w:rPr>
          <w:fldChar w:fldCharType="end"/>
        </w:r>
      </w:hyperlink>
    </w:p>
    <w:p w14:paraId="5EF5D716" w14:textId="4077AB31" w:rsidR="00507A67" w:rsidRDefault="00507A67">
      <w:pPr>
        <w:pStyle w:val="TOC2"/>
        <w:rPr>
          <w:rFonts w:asciiTheme="minorHAnsi" w:hAnsiTheme="minorHAnsi" w:cstheme="minorBidi"/>
          <w:b w:val="0"/>
          <w:noProof/>
          <w:lang w:eastAsia="en-CA"/>
        </w:rPr>
      </w:pPr>
      <w:hyperlink w:anchor="_Toc52181708" w:history="1">
        <w:r w:rsidRPr="00E53E72">
          <w:rPr>
            <w:rStyle w:val="Hyperlink"/>
            <w:noProof/>
          </w:rPr>
          <w:t>F.2 SEI payload syntax</w:t>
        </w:r>
        <w:r>
          <w:rPr>
            <w:noProof/>
            <w:webHidden/>
          </w:rPr>
          <w:tab/>
        </w:r>
        <w:r>
          <w:rPr>
            <w:noProof/>
            <w:webHidden/>
          </w:rPr>
          <w:fldChar w:fldCharType="begin"/>
        </w:r>
        <w:r>
          <w:rPr>
            <w:noProof/>
            <w:webHidden/>
          </w:rPr>
          <w:instrText xml:space="preserve"> PAGEREF _Toc52181708 \h </w:instrText>
        </w:r>
        <w:r>
          <w:rPr>
            <w:noProof/>
            <w:webHidden/>
          </w:rPr>
        </w:r>
        <w:r>
          <w:rPr>
            <w:noProof/>
            <w:webHidden/>
          </w:rPr>
          <w:fldChar w:fldCharType="separate"/>
        </w:r>
        <w:r>
          <w:rPr>
            <w:noProof/>
            <w:webHidden/>
          </w:rPr>
          <w:t>192</w:t>
        </w:r>
        <w:r>
          <w:rPr>
            <w:noProof/>
            <w:webHidden/>
          </w:rPr>
          <w:fldChar w:fldCharType="end"/>
        </w:r>
      </w:hyperlink>
    </w:p>
    <w:p w14:paraId="184951C5" w14:textId="0EBCE452" w:rsidR="00507A67" w:rsidRDefault="00507A67">
      <w:pPr>
        <w:pStyle w:val="TOC3"/>
        <w:rPr>
          <w:rFonts w:asciiTheme="minorHAnsi" w:hAnsiTheme="minorHAnsi" w:cstheme="minorBidi"/>
          <w:b w:val="0"/>
          <w:noProof/>
          <w:lang w:eastAsia="en-CA"/>
        </w:rPr>
      </w:pPr>
      <w:hyperlink w:anchor="_Toc52181709" w:history="1">
        <w:r w:rsidRPr="00E53E72">
          <w:rPr>
            <w:rStyle w:val="Hyperlink"/>
            <w:noProof/>
          </w:rPr>
          <w:t>F.2.1 General SEI message syntax</w:t>
        </w:r>
        <w:r>
          <w:rPr>
            <w:noProof/>
            <w:webHidden/>
          </w:rPr>
          <w:tab/>
        </w:r>
        <w:r>
          <w:rPr>
            <w:noProof/>
            <w:webHidden/>
          </w:rPr>
          <w:fldChar w:fldCharType="begin"/>
        </w:r>
        <w:r>
          <w:rPr>
            <w:noProof/>
            <w:webHidden/>
          </w:rPr>
          <w:instrText xml:space="preserve"> PAGEREF _Toc52181709 \h </w:instrText>
        </w:r>
        <w:r>
          <w:rPr>
            <w:noProof/>
            <w:webHidden/>
          </w:rPr>
        </w:r>
        <w:r>
          <w:rPr>
            <w:noProof/>
            <w:webHidden/>
          </w:rPr>
          <w:fldChar w:fldCharType="separate"/>
        </w:r>
        <w:r>
          <w:rPr>
            <w:noProof/>
            <w:webHidden/>
          </w:rPr>
          <w:t>192</w:t>
        </w:r>
        <w:r>
          <w:rPr>
            <w:noProof/>
            <w:webHidden/>
          </w:rPr>
          <w:fldChar w:fldCharType="end"/>
        </w:r>
      </w:hyperlink>
    </w:p>
    <w:p w14:paraId="4FD29FD3" w14:textId="22BF6808" w:rsidR="00507A67" w:rsidRDefault="00507A67">
      <w:pPr>
        <w:pStyle w:val="TOC3"/>
        <w:rPr>
          <w:rFonts w:asciiTheme="minorHAnsi" w:hAnsiTheme="minorHAnsi" w:cstheme="minorBidi"/>
          <w:b w:val="0"/>
          <w:noProof/>
          <w:lang w:eastAsia="en-CA"/>
        </w:rPr>
      </w:pPr>
      <w:hyperlink w:anchor="_Toc52181710" w:history="1">
        <w:r w:rsidRPr="00E53E72">
          <w:rPr>
            <w:rStyle w:val="Hyperlink"/>
            <w:noProof/>
          </w:rPr>
          <w:t>F.2.2 Filler payload SEI message syntax</w:t>
        </w:r>
        <w:r>
          <w:rPr>
            <w:noProof/>
            <w:webHidden/>
          </w:rPr>
          <w:tab/>
        </w:r>
        <w:r>
          <w:rPr>
            <w:noProof/>
            <w:webHidden/>
          </w:rPr>
          <w:fldChar w:fldCharType="begin"/>
        </w:r>
        <w:r>
          <w:rPr>
            <w:noProof/>
            <w:webHidden/>
          </w:rPr>
          <w:instrText xml:space="preserve"> PAGEREF _Toc52181710 \h </w:instrText>
        </w:r>
        <w:r>
          <w:rPr>
            <w:noProof/>
            <w:webHidden/>
          </w:rPr>
        </w:r>
        <w:r>
          <w:rPr>
            <w:noProof/>
            <w:webHidden/>
          </w:rPr>
          <w:fldChar w:fldCharType="separate"/>
        </w:r>
        <w:r>
          <w:rPr>
            <w:noProof/>
            <w:webHidden/>
          </w:rPr>
          <w:t>194</w:t>
        </w:r>
        <w:r>
          <w:rPr>
            <w:noProof/>
            <w:webHidden/>
          </w:rPr>
          <w:fldChar w:fldCharType="end"/>
        </w:r>
      </w:hyperlink>
    </w:p>
    <w:p w14:paraId="5E4A3067" w14:textId="453D2B16" w:rsidR="00507A67" w:rsidRDefault="00507A67">
      <w:pPr>
        <w:pStyle w:val="TOC3"/>
        <w:rPr>
          <w:rFonts w:asciiTheme="minorHAnsi" w:hAnsiTheme="minorHAnsi" w:cstheme="minorBidi"/>
          <w:b w:val="0"/>
          <w:noProof/>
          <w:lang w:eastAsia="en-CA"/>
        </w:rPr>
      </w:pPr>
      <w:hyperlink w:anchor="_Toc52181711" w:history="1">
        <w:r w:rsidRPr="00E53E72">
          <w:rPr>
            <w:rStyle w:val="Hyperlink"/>
            <w:noProof/>
          </w:rPr>
          <w:t>F.2.3 User data registered by Recommendation ITU-T T.35 SEI message syntax</w:t>
        </w:r>
        <w:r>
          <w:rPr>
            <w:noProof/>
            <w:webHidden/>
          </w:rPr>
          <w:tab/>
        </w:r>
        <w:r>
          <w:rPr>
            <w:noProof/>
            <w:webHidden/>
          </w:rPr>
          <w:fldChar w:fldCharType="begin"/>
        </w:r>
        <w:r>
          <w:rPr>
            <w:noProof/>
            <w:webHidden/>
          </w:rPr>
          <w:instrText xml:space="preserve"> PAGEREF _Toc52181711 \h </w:instrText>
        </w:r>
        <w:r>
          <w:rPr>
            <w:noProof/>
            <w:webHidden/>
          </w:rPr>
        </w:r>
        <w:r>
          <w:rPr>
            <w:noProof/>
            <w:webHidden/>
          </w:rPr>
          <w:fldChar w:fldCharType="separate"/>
        </w:r>
        <w:r>
          <w:rPr>
            <w:noProof/>
            <w:webHidden/>
          </w:rPr>
          <w:t>194</w:t>
        </w:r>
        <w:r>
          <w:rPr>
            <w:noProof/>
            <w:webHidden/>
          </w:rPr>
          <w:fldChar w:fldCharType="end"/>
        </w:r>
      </w:hyperlink>
    </w:p>
    <w:p w14:paraId="5F2FB595" w14:textId="611FBC5E" w:rsidR="00507A67" w:rsidRDefault="00507A67">
      <w:pPr>
        <w:pStyle w:val="TOC3"/>
        <w:rPr>
          <w:rFonts w:asciiTheme="minorHAnsi" w:hAnsiTheme="minorHAnsi" w:cstheme="minorBidi"/>
          <w:b w:val="0"/>
          <w:noProof/>
          <w:lang w:eastAsia="en-CA"/>
        </w:rPr>
      </w:pPr>
      <w:hyperlink w:anchor="_Toc52181712" w:history="1">
        <w:r w:rsidRPr="00E53E72">
          <w:rPr>
            <w:rStyle w:val="Hyperlink"/>
            <w:noProof/>
          </w:rPr>
          <w:t>F.2.4 User data unregistered SEI message syntax</w:t>
        </w:r>
        <w:r>
          <w:rPr>
            <w:noProof/>
            <w:webHidden/>
          </w:rPr>
          <w:tab/>
        </w:r>
        <w:r>
          <w:rPr>
            <w:noProof/>
            <w:webHidden/>
          </w:rPr>
          <w:fldChar w:fldCharType="begin"/>
        </w:r>
        <w:r>
          <w:rPr>
            <w:noProof/>
            <w:webHidden/>
          </w:rPr>
          <w:instrText xml:space="preserve"> PAGEREF _Toc52181712 \h </w:instrText>
        </w:r>
        <w:r>
          <w:rPr>
            <w:noProof/>
            <w:webHidden/>
          </w:rPr>
        </w:r>
        <w:r>
          <w:rPr>
            <w:noProof/>
            <w:webHidden/>
          </w:rPr>
          <w:fldChar w:fldCharType="separate"/>
        </w:r>
        <w:r>
          <w:rPr>
            <w:noProof/>
            <w:webHidden/>
          </w:rPr>
          <w:t>195</w:t>
        </w:r>
        <w:r>
          <w:rPr>
            <w:noProof/>
            <w:webHidden/>
          </w:rPr>
          <w:fldChar w:fldCharType="end"/>
        </w:r>
      </w:hyperlink>
    </w:p>
    <w:p w14:paraId="445610FC" w14:textId="1443B807" w:rsidR="00507A67" w:rsidRDefault="00507A67">
      <w:pPr>
        <w:pStyle w:val="TOC3"/>
        <w:rPr>
          <w:rFonts w:asciiTheme="minorHAnsi" w:hAnsiTheme="minorHAnsi" w:cstheme="minorBidi"/>
          <w:b w:val="0"/>
          <w:noProof/>
          <w:lang w:eastAsia="en-CA"/>
        </w:rPr>
      </w:pPr>
      <w:hyperlink w:anchor="_Toc52181713" w:history="1">
        <w:r w:rsidRPr="00E53E72">
          <w:rPr>
            <w:rStyle w:val="Hyperlink"/>
            <w:noProof/>
          </w:rPr>
          <w:t>F.2.5 Recovery point SEI message syntax</w:t>
        </w:r>
        <w:r>
          <w:rPr>
            <w:noProof/>
            <w:webHidden/>
          </w:rPr>
          <w:tab/>
        </w:r>
        <w:r>
          <w:rPr>
            <w:noProof/>
            <w:webHidden/>
          </w:rPr>
          <w:fldChar w:fldCharType="begin"/>
        </w:r>
        <w:r>
          <w:rPr>
            <w:noProof/>
            <w:webHidden/>
          </w:rPr>
          <w:instrText xml:space="preserve"> PAGEREF _Toc52181713 \h </w:instrText>
        </w:r>
        <w:r>
          <w:rPr>
            <w:noProof/>
            <w:webHidden/>
          </w:rPr>
        </w:r>
        <w:r>
          <w:rPr>
            <w:noProof/>
            <w:webHidden/>
          </w:rPr>
          <w:fldChar w:fldCharType="separate"/>
        </w:r>
        <w:r>
          <w:rPr>
            <w:noProof/>
            <w:webHidden/>
          </w:rPr>
          <w:t>195</w:t>
        </w:r>
        <w:r>
          <w:rPr>
            <w:noProof/>
            <w:webHidden/>
          </w:rPr>
          <w:fldChar w:fldCharType="end"/>
        </w:r>
      </w:hyperlink>
    </w:p>
    <w:p w14:paraId="34D6770D" w14:textId="00E830B7" w:rsidR="00507A67" w:rsidRDefault="00507A67">
      <w:pPr>
        <w:pStyle w:val="TOC3"/>
        <w:rPr>
          <w:rFonts w:asciiTheme="minorHAnsi" w:hAnsiTheme="minorHAnsi" w:cstheme="minorBidi"/>
          <w:b w:val="0"/>
          <w:noProof/>
          <w:lang w:eastAsia="en-CA"/>
        </w:rPr>
      </w:pPr>
      <w:hyperlink w:anchor="_Toc52181714" w:history="1">
        <w:r w:rsidRPr="00E53E72">
          <w:rPr>
            <w:rStyle w:val="Hyperlink"/>
            <w:noProof/>
          </w:rPr>
          <w:t>F.2.6 No reconstruction SEI message syntax</w:t>
        </w:r>
        <w:r>
          <w:rPr>
            <w:noProof/>
            <w:webHidden/>
          </w:rPr>
          <w:tab/>
        </w:r>
        <w:r>
          <w:rPr>
            <w:noProof/>
            <w:webHidden/>
          </w:rPr>
          <w:fldChar w:fldCharType="begin"/>
        </w:r>
        <w:r>
          <w:rPr>
            <w:noProof/>
            <w:webHidden/>
          </w:rPr>
          <w:instrText xml:space="preserve"> PAGEREF _Toc52181714 \h </w:instrText>
        </w:r>
        <w:r>
          <w:rPr>
            <w:noProof/>
            <w:webHidden/>
          </w:rPr>
        </w:r>
        <w:r>
          <w:rPr>
            <w:noProof/>
            <w:webHidden/>
          </w:rPr>
          <w:fldChar w:fldCharType="separate"/>
        </w:r>
        <w:r>
          <w:rPr>
            <w:noProof/>
            <w:webHidden/>
          </w:rPr>
          <w:t>195</w:t>
        </w:r>
        <w:r>
          <w:rPr>
            <w:noProof/>
            <w:webHidden/>
          </w:rPr>
          <w:fldChar w:fldCharType="end"/>
        </w:r>
      </w:hyperlink>
    </w:p>
    <w:p w14:paraId="22A20FF5" w14:textId="22087CF8" w:rsidR="00507A67" w:rsidRDefault="00507A67">
      <w:pPr>
        <w:pStyle w:val="TOC3"/>
        <w:rPr>
          <w:rFonts w:asciiTheme="minorHAnsi" w:hAnsiTheme="minorHAnsi" w:cstheme="minorBidi"/>
          <w:b w:val="0"/>
          <w:noProof/>
          <w:lang w:eastAsia="en-CA"/>
        </w:rPr>
      </w:pPr>
      <w:hyperlink w:anchor="_Toc52181715" w:history="1">
        <w:r w:rsidRPr="00E53E72">
          <w:rPr>
            <w:rStyle w:val="Hyperlink"/>
            <w:noProof/>
          </w:rPr>
          <w:t>F.2.7 Reserved SEI message syntax</w:t>
        </w:r>
        <w:r>
          <w:rPr>
            <w:noProof/>
            <w:webHidden/>
          </w:rPr>
          <w:tab/>
        </w:r>
        <w:r>
          <w:rPr>
            <w:noProof/>
            <w:webHidden/>
          </w:rPr>
          <w:fldChar w:fldCharType="begin"/>
        </w:r>
        <w:r>
          <w:rPr>
            <w:noProof/>
            <w:webHidden/>
          </w:rPr>
          <w:instrText xml:space="preserve"> PAGEREF _Toc52181715 \h </w:instrText>
        </w:r>
        <w:r>
          <w:rPr>
            <w:noProof/>
            <w:webHidden/>
          </w:rPr>
        </w:r>
        <w:r>
          <w:rPr>
            <w:noProof/>
            <w:webHidden/>
          </w:rPr>
          <w:fldChar w:fldCharType="separate"/>
        </w:r>
        <w:r>
          <w:rPr>
            <w:noProof/>
            <w:webHidden/>
          </w:rPr>
          <w:t>195</w:t>
        </w:r>
        <w:r>
          <w:rPr>
            <w:noProof/>
            <w:webHidden/>
          </w:rPr>
          <w:fldChar w:fldCharType="end"/>
        </w:r>
      </w:hyperlink>
    </w:p>
    <w:p w14:paraId="3E4AE280" w14:textId="762822D6" w:rsidR="00507A67" w:rsidRDefault="00507A67">
      <w:pPr>
        <w:pStyle w:val="TOC3"/>
        <w:rPr>
          <w:rFonts w:asciiTheme="minorHAnsi" w:hAnsiTheme="minorHAnsi" w:cstheme="minorBidi"/>
          <w:b w:val="0"/>
          <w:noProof/>
          <w:lang w:eastAsia="en-CA"/>
        </w:rPr>
      </w:pPr>
      <w:hyperlink w:anchor="_Toc52181716" w:history="1">
        <w:r w:rsidRPr="00E53E72">
          <w:rPr>
            <w:rStyle w:val="Hyperlink"/>
            <w:noProof/>
          </w:rPr>
          <w:t>F.2.8 SEI manifest SEI message syntax</w:t>
        </w:r>
        <w:r>
          <w:rPr>
            <w:noProof/>
            <w:webHidden/>
          </w:rPr>
          <w:tab/>
        </w:r>
        <w:r>
          <w:rPr>
            <w:noProof/>
            <w:webHidden/>
          </w:rPr>
          <w:fldChar w:fldCharType="begin"/>
        </w:r>
        <w:r>
          <w:rPr>
            <w:noProof/>
            <w:webHidden/>
          </w:rPr>
          <w:instrText xml:space="preserve"> PAGEREF _Toc52181716 \h </w:instrText>
        </w:r>
        <w:r>
          <w:rPr>
            <w:noProof/>
            <w:webHidden/>
          </w:rPr>
        </w:r>
        <w:r>
          <w:rPr>
            <w:noProof/>
            <w:webHidden/>
          </w:rPr>
          <w:fldChar w:fldCharType="separate"/>
        </w:r>
        <w:r>
          <w:rPr>
            <w:noProof/>
            <w:webHidden/>
          </w:rPr>
          <w:t>195</w:t>
        </w:r>
        <w:r>
          <w:rPr>
            <w:noProof/>
            <w:webHidden/>
          </w:rPr>
          <w:fldChar w:fldCharType="end"/>
        </w:r>
      </w:hyperlink>
    </w:p>
    <w:p w14:paraId="59E020B0" w14:textId="40DA76DF" w:rsidR="00507A67" w:rsidRDefault="00507A67">
      <w:pPr>
        <w:pStyle w:val="TOC3"/>
        <w:rPr>
          <w:rFonts w:asciiTheme="minorHAnsi" w:hAnsiTheme="minorHAnsi" w:cstheme="minorBidi"/>
          <w:b w:val="0"/>
          <w:noProof/>
          <w:lang w:eastAsia="en-CA"/>
        </w:rPr>
      </w:pPr>
      <w:hyperlink w:anchor="_Toc52181717" w:history="1">
        <w:r w:rsidRPr="00E53E72">
          <w:rPr>
            <w:rStyle w:val="Hyperlink"/>
            <w:noProof/>
          </w:rPr>
          <w:t>F.2.9 SEI prefix indication SEI message syntax</w:t>
        </w:r>
        <w:r>
          <w:rPr>
            <w:noProof/>
            <w:webHidden/>
          </w:rPr>
          <w:tab/>
        </w:r>
        <w:r>
          <w:rPr>
            <w:noProof/>
            <w:webHidden/>
          </w:rPr>
          <w:fldChar w:fldCharType="begin"/>
        </w:r>
        <w:r>
          <w:rPr>
            <w:noProof/>
            <w:webHidden/>
          </w:rPr>
          <w:instrText xml:space="preserve"> PAGEREF _Toc52181717 \h </w:instrText>
        </w:r>
        <w:r>
          <w:rPr>
            <w:noProof/>
            <w:webHidden/>
          </w:rPr>
        </w:r>
        <w:r>
          <w:rPr>
            <w:noProof/>
            <w:webHidden/>
          </w:rPr>
          <w:fldChar w:fldCharType="separate"/>
        </w:r>
        <w:r>
          <w:rPr>
            <w:noProof/>
            <w:webHidden/>
          </w:rPr>
          <w:t>195</w:t>
        </w:r>
        <w:r>
          <w:rPr>
            <w:noProof/>
            <w:webHidden/>
          </w:rPr>
          <w:fldChar w:fldCharType="end"/>
        </w:r>
      </w:hyperlink>
    </w:p>
    <w:p w14:paraId="0652F820" w14:textId="31467BED" w:rsidR="00507A67" w:rsidRDefault="00507A67">
      <w:pPr>
        <w:pStyle w:val="TOC3"/>
        <w:rPr>
          <w:rFonts w:asciiTheme="minorHAnsi" w:hAnsiTheme="minorHAnsi" w:cstheme="minorBidi"/>
          <w:b w:val="0"/>
          <w:noProof/>
          <w:lang w:eastAsia="en-CA"/>
        </w:rPr>
      </w:pPr>
      <w:hyperlink w:anchor="_Toc52181718" w:history="1">
        <w:r w:rsidRPr="00E53E72">
          <w:rPr>
            <w:rStyle w:val="Hyperlink"/>
            <w:noProof/>
          </w:rPr>
          <w:t>F.2.10 Active sub-bitstreams SEI message syntax</w:t>
        </w:r>
        <w:r>
          <w:rPr>
            <w:noProof/>
            <w:webHidden/>
          </w:rPr>
          <w:tab/>
        </w:r>
        <w:r>
          <w:rPr>
            <w:noProof/>
            <w:webHidden/>
          </w:rPr>
          <w:fldChar w:fldCharType="begin"/>
        </w:r>
        <w:r>
          <w:rPr>
            <w:noProof/>
            <w:webHidden/>
          </w:rPr>
          <w:instrText xml:space="preserve"> PAGEREF _Toc52181718 \h </w:instrText>
        </w:r>
        <w:r>
          <w:rPr>
            <w:noProof/>
            <w:webHidden/>
          </w:rPr>
        </w:r>
        <w:r>
          <w:rPr>
            <w:noProof/>
            <w:webHidden/>
          </w:rPr>
          <w:fldChar w:fldCharType="separate"/>
        </w:r>
        <w:r>
          <w:rPr>
            <w:noProof/>
            <w:webHidden/>
          </w:rPr>
          <w:t>196</w:t>
        </w:r>
        <w:r>
          <w:rPr>
            <w:noProof/>
            <w:webHidden/>
          </w:rPr>
          <w:fldChar w:fldCharType="end"/>
        </w:r>
      </w:hyperlink>
    </w:p>
    <w:p w14:paraId="3805A497" w14:textId="62C21020" w:rsidR="00507A67" w:rsidRDefault="00507A67">
      <w:pPr>
        <w:pStyle w:val="TOC3"/>
        <w:rPr>
          <w:rFonts w:asciiTheme="minorHAnsi" w:hAnsiTheme="minorHAnsi" w:cstheme="minorBidi"/>
          <w:b w:val="0"/>
          <w:noProof/>
          <w:lang w:eastAsia="en-CA"/>
        </w:rPr>
      </w:pPr>
      <w:hyperlink w:anchor="_Toc52181719" w:history="1">
        <w:r w:rsidRPr="00E53E72">
          <w:rPr>
            <w:rStyle w:val="Hyperlink"/>
            <w:noProof/>
          </w:rPr>
          <w:t>F.2.11 Component codec mapping SEI message syntax</w:t>
        </w:r>
        <w:r>
          <w:rPr>
            <w:noProof/>
            <w:webHidden/>
          </w:rPr>
          <w:tab/>
        </w:r>
        <w:r>
          <w:rPr>
            <w:noProof/>
            <w:webHidden/>
          </w:rPr>
          <w:fldChar w:fldCharType="begin"/>
        </w:r>
        <w:r>
          <w:rPr>
            <w:noProof/>
            <w:webHidden/>
          </w:rPr>
          <w:instrText xml:space="preserve"> PAGEREF _Toc52181719 \h </w:instrText>
        </w:r>
        <w:r>
          <w:rPr>
            <w:noProof/>
            <w:webHidden/>
          </w:rPr>
        </w:r>
        <w:r>
          <w:rPr>
            <w:noProof/>
            <w:webHidden/>
          </w:rPr>
          <w:fldChar w:fldCharType="separate"/>
        </w:r>
        <w:r>
          <w:rPr>
            <w:noProof/>
            <w:webHidden/>
          </w:rPr>
          <w:t>196</w:t>
        </w:r>
        <w:r>
          <w:rPr>
            <w:noProof/>
            <w:webHidden/>
          </w:rPr>
          <w:fldChar w:fldCharType="end"/>
        </w:r>
      </w:hyperlink>
    </w:p>
    <w:p w14:paraId="4B87FAD7" w14:textId="74120A73" w:rsidR="00507A67" w:rsidRDefault="00507A67">
      <w:pPr>
        <w:pStyle w:val="TOC3"/>
        <w:rPr>
          <w:rFonts w:asciiTheme="minorHAnsi" w:hAnsiTheme="minorHAnsi" w:cstheme="minorBidi"/>
          <w:b w:val="0"/>
          <w:noProof/>
          <w:lang w:eastAsia="en-CA"/>
        </w:rPr>
      </w:pPr>
      <w:hyperlink w:anchor="_Toc52181720" w:history="1">
        <w:r w:rsidRPr="00E53E72">
          <w:rPr>
            <w:rStyle w:val="Hyperlink"/>
            <w:noProof/>
          </w:rPr>
          <w:t>F.2.12 Volumetric annotation SEI message family syntax</w:t>
        </w:r>
        <w:r>
          <w:rPr>
            <w:noProof/>
            <w:webHidden/>
          </w:rPr>
          <w:tab/>
        </w:r>
        <w:r>
          <w:rPr>
            <w:noProof/>
            <w:webHidden/>
          </w:rPr>
          <w:fldChar w:fldCharType="begin"/>
        </w:r>
        <w:r>
          <w:rPr>
            <w:noProof/>
            <w:webHidden/>
          </w:rPr>
          <w:instrText xml:space="preserve"> PAGEREF _Toc52181720 \h </w:instrText>
        </w:r>
        <w:r>
          <w:rPr>
            <w:noProof/>
            <w:webHidden/>
          </w:rPr>
        </w:r>
        <w:r>
          <w:rPr>
            <w:noProof/>
            <w:webHidden/>
          </w:rPr>
          <w:fldChar w:fldCharType="separate"/>
        </w:r>
        <w:r>
          <w:rPr>
            <w:noProof/>
            <w:webHidden/>
          </w:rPr>
          <w:t>196</w:t>
        </w:r>
        <w:r>
          <w:rPr>
            <w:noProof/>
            <w:webHidden/>
          </w:rPr>
          <w:fldChar w:fldCharType="end"/>
        </w:r>
      </w:hyperlink>
    </w:p>
    <w:p w14:paraId="3AAED69C" w14:textId="2A84CFFC" w:rsidR="00507A67" w:rsidRDefault="00507A67">
      <w:pPr>
        <w:pStyle w:val="TOC3"/>
        <w:rPr>
          <w:rFonts w:asciiTheme="minorHAnsi" w:hAnsiTheme="minorHAnsi" w:cstheme="minorBidi"/>
          <w:b w:val="0"/>
          <w:noProof/>
          <w:lang w:eastAsia="en-CA"/>
        </w:rPr>
      </w:pPr>
      <w:hyperlink w:anchor="_Toc52181721" w:history="1">
        <w:r w:rsidRPr="00E53E72">
          <w:rPr>
            <w:rStyle w:val="Hyperlink"/>
            <w:noProof/>
          </w:rPr>
          <w:t>F.2.13 Buffering period SEI message syntax</w:t>
        </w:r>
        <w:r>
          <w:rPr>
            <w:noProof/>
            <w:webHidden/>
          </w:rPr>
          <w:tab/>
        </w:r>
        <w:r>
          <w:rPr>
            <w:noProof/>
            <w:webHidden/>
          </w:rPr>
          <w:fldChar w:fldCharType="begin"/>
        </w:r>
        <w:r>
          <w:rPr>
            <w:noProof/>
            <w:webHidden/>
          </w:rPr>
          <w:instrText xml:space="preserve"> PAGEREF _Toc52181721 \h </w:instrText>
        </w:r>
        <w:r>
          <w:rPr>
            <w:noProof/>
            <w:webHidden/>
          </w:rPr>
        </w:r>
        <w:r>
          <w:rPr>
            <w:noProof/>
            <w:webHidden/>
          </w:rPr>
          <w:fldChar w:fldCharType="separate"/>
        </w:r>
        <w:r>
          <w:rPr>
            <w:noProof/>
            <w:webHidden/>
          </w:rPr>
          <w:t>201</w:t>
        </w:r>
        <w:r>
          <w:rPr>
            <w:noProof/>
            <w:webHidden/>
          </w:rPr>
          <w:fldChar w:fldCharType="end"/>
        </w:r>
      </w:hyperlink>
    </w:p>
    <w:p w14:paraId="606BE39B" w14:textId="3749BA2E" w:rsidR="00507A67" w:rsidRDefault="00507A67">
      <w:pPr>
        <w:pStyle w:val="TOC3"/>
        <w:rPr>
          <w:rFonts w:asciiTheme="minorHAnsi" w:hAnsiTheme="minorHAnsi" w:cstheme="minorBidi"/>
          <w:b w:val="0"/>
          <w:noProof/>
          <w:lang w:eastAsia="en-CA"/>
        </w:rPr>
      </w:pPr>
      <w:hyperlink w:anchor="_Toc52181722" w:history="1">
        <w:r w:rsidRPr="00E53E72">
          <w:rPr>
            <w:rStyle w:val="Hyperlink"/>
            <w:noProof/>
          </w:rPr>
          <w:t>F.2.14 Atlas frame timing SEI message syntax</w:t>
        </w:r>
        <w:r>
          <w:rPr>
            <w:noProof/>
            <w:webHidden/>
          </w:rPr>
          <w:tab/>
        </w:r>
        <w:r>
          <w:rPr>
            <w:noProof/>
            <w:webHidden/>
          </w:rPr>
          <w:fldChar w:fldCharType="begin"/>
        </w:r>
        <w:r>
          <w:rPr>
            <w:noProof/>
            <w:webHidden/>
          </w:rPr>
          <w:instrText xml:space="preserve"> PAGEREF _Toc52181722 \h </w:instrText>
        </w:r>
        <w:r>
          <w:rPr>
            <w:noProof/>
            <w:webHidden/>
          </w:rPr>
        </w:r>
        <w:r>
          <w:rPr>
            <w:noProof/>
            <w:webHidden/>
          </w:rPr>
          <w:fldChar w:fldCharType="separate"/>
        </w:r>
        <w:r>
          <w:rPr>
            <w:noProof/>
            <w:webHidden/>
          </w:rPr>
          <w:t>202</w:t>
        </w:r>
        <w:r>
          <w:rPr>
            <w:noProof/>
            <w:webHidden/>
          </w:rPr>
          <w:fldChar w:fldCharType="end"/>
        </w:r>
      </w:hyperlink>
    </w:p>
    <w:p w14:paraId="26078F58" w14:textId="2F67328B" w:rsidR="00507A67" w:rsidRDefault="00507A67">
      <w:pPr>
        <w:pStyle w:val="TOC3"/>
        <w:rPr>
          <w:rFonts w:asciiTheme="minorHAnsi" w:hAnsiTheme="minorHAnsi" w:cstheme="minorBidi"/>
          <w:b w:val="0"/>
          <w:noProof/>
          <w:lang w:eastAsia="en-CA"/>
        </w:rPr>
      </w:pPr>
      <w:hyperlink w:anchor="_Toc52181723" w:history="1">
        <w:r w:rsidRPr="00E53E72">
          <w:rPr>
            <w:rStyle w:val="Hyperlink"/>
            <w:noProof/>
          </w:rPr>
          <w:t>F.2.15 Viewport SEI messages family syntax</w:t>
        </w:r>
        <w:r>
          <w:rPr>
            <w:noProof/>
            <w:webHidden/>
          </w:rPr>
          <w:tab/>
        </w:r>
        <w:r>
          <w:rPr>
            <w:noProof/>
            <w:webHidden/>
          </w:rPr>
          <w:fldChar w:fldCharType="begin"/>
        </w:r>
        <w:r>
          <w:rPr>
            <w:noProof/>
            <w:webHidden/>
          </w:rPr>
          <w:instrText xml:space="preserve"> PAGEREF _Toc52181723 \h </w:instrText>
        </w:r>
        <w:r>
          <w:rPr>
            <w:noProof/>
            <w:webHidden/>
          </w:rPr>
        </w:r>
        <w:r>
          <w:rPr>
            <w:noProof/>
            <w:webHidden/>
          </w:rPr>
          <w:fldChar w:fldCharType="separate"/>
        </w:r>
        <w:r>
          <w:rPr>
            <w:noProof/>
            <w:webHidden/>
          </w:rPr>
          <w:t>202</w:t>
        </w:r>
        <w:r>
          <w:rPr>
            <w:noProof/>
            <w:webHidden/>
          </w:rPr>
          <w:fldChar w:fldCharType="end"/>
        </w:r>
      </w:hyperlink>
    </w:p>
    <w:p w14:paraId="0B12FB3D" w14:textId="4B113527" w:rsidR="00507A67" w:rsidRDefault="00507A67">
      <w:pPr>
        <w:pStyle w:val="TOC3"/>
        <w:rPr>
          <w:rFonts w:asciiTheme="minorHAnsi" w:hAnsiTheme="minorHAnsi" w:cstheme="minorBidi"/>
          <w:b w:val="0"/>
          <w:noProof/>
          <w:lang w:eastAsia="en-CA"/>
        </w:rPr>
      </w:pPr>
      <w:hyperlink w:anchor="_Toc52181724" w:history="1">
        <w:r w:rsidRPr="00E53E72">
          <w:rPr>
            <w:rStyle w:val="Hyperlink"/>
            <w:noProof/>
          </w:rPr>
          <w:t>F.2.16 Decoded Atlas Information Hash SEI message syntax</w:t>
        </w:r>
        <w:r>
          <w:rPr>
            <w:noProof/>
            <w:webHidden/>
          </w:rPr>
          <w:tab/>
        </w:r>
        <w:r>
          <w:rPr>
            <w:noProof/>
            <w:webHidden/>
          </w:rPr>
          <w:fldChar w:fldCharType="begin"/>
        </w:r>
        <w:r>
          <w:rPr>
            <w:noProof/>
            <w:webHidden/>
          </w:rPr>
          <w:instrText xml:space="preserve"> PAGEREF _Toc52181724 \h </w:instrText>
        </w:r>
        <w:r>
          <w:rPr>
            <w:noProof/>
            <w:webHidden/>
          </w:rPr>
        </w:r>
        <w:r>
          <w:rPr>
            <w:noProof/>
            <w:webHidden/>
          </w:rPr>
          <w:fldChar w:fldCharType="separate"/>
        </w:r>
        <w:r>
          <w:rPr>
            <w:noProof/>
            <w:webHidden/>
          </w:rPr>
          <w:t>203</w:t>
        </w:r>
        <w:r>
          <w:rPr>
            <w:noProof/>
            <w:webHidden/>
          </w:rPr>
          <w:fldChar w:fldCharType="end"/>
        </w:r>
      </w:hyperlink>
    </w:p>
    <w:p w14:paraId="723D0596" w14:textId="76DE659B" w:rsidR="00507A67" w:rsidRDefault="00507A67">
      <w:pPr>
        <w:pStyle w:val="TOC3"/>
        <w:rPr>
          <w:rFonts w:asciiTheme="minorHAnsi" w:hAnsiTheme="minorHAnsi" w:cstheme="minorBidi"/>
          <w:b w:val="0"/>
          <w:noProof/>
          <w:lang w:eastAsia="en-CA"/>
        </w:rPr>
      </w:pPr>
      <w:hyperlink w:anchor="_Toc52181725" w:history="1">
        <w:r w:rsidRPr="00E53E72">
          <w:rPr>
            <w:rStyle w:val="Hyperlink"/>
            <w:noProof/>
          </w:rPr>
          <w:t>F.2.16.1 Decoded high level hash unit syntax</w:t>
        </w:r>
        <w:r>
          <w:rPr>
            <w:noProof/>
            <w:webHidden/>
          </w:rPr>
          <w:tab/>
        </w:r>
        <w:r>
          <w:rPr>
            <w:noProof/>
            <w:webHidden/>
          </w:rPr>
          <w:fldChar w:fldCharType="begin"/>
        </w:r>
        <w:r>
          <w:rPr>
            <w:noProof/>
            <w:webHidden/>
          </w:rPr>
          <w:instrText xml:space="preserve"> PAGEREF _Toc52181725 \h </w:instrText>
        </w:r>
        <w:r>
          <w:rPr>
            <w:noProof/>
            <w:webHidden/>
          </w:rPr>
        </w:r>
        <w:r>
          <w:rPr>
            <w:noProof/>
            <w:webHidden/>
          </w:rPr>
          <w:fldChar w:fldCharType="separate"/>
        </w:r>
        <w:r>
          <w:rPr>
            <w:noProof/>
            <w:webHidden/>
          </w:rPr>
          <w:t>204</w:t>
        </w:r>
        <w:r>
          <w:rPr>
            <w:noProof/>
            <w:webHidden/>
          </w:rPr>
          <w:fldChar w:fldCharType="end"/>
        </w:r>
      </w:hyperlink>
    </w:p>
    <w:p w14:paraId="2A0C2EB3" w14:textId="3D27B875" w:rsidR="00507A67" w:rsidRDefault="00507A67">
      <w:pPr>
        <w:pStyle w:val="TOC3"/>
        <w:rPr>
          <w:rFonts w:asciiTheme="minorHAnsi" w:hAnsiTheme="minorHAnsi" w:cstheme="minorBidi"/>
          <w:b w:val="0"/>
          <w:noProof/>
          <w:lang w:eastAsia="en-CA"/>
        </w:rPr>
      </w:pPr>
      <w:hyperlink w:anchor="_Toc52181726" w:history="1">
        <w:r w:rsidRPr="00E53E72">
          <w:rPr>
            <w:rStyle w:val="Hyperlink"/>
            <w:noProof/>
          </w:rPr>
          <w:t>F.2.16.2 Decoded atlas hash unit syntax</w:t>
        </w:r>
        <w:r>
          <w:rPr>
            <w:noProof/>
            <w:webHidden/>
          </w:rPr>
          <w:tab/>
        </w:r>
        <w:r>
          <w:rPr>
            <w:noProof/>
            <w:webHidden/>
          </w:rPr>
          <w:fldChar w:fldCharType="begin"/>
        </w:r>
        <w:r>
          <w:rPr>
            <w:noProof/>
            <w:webHidden/>
          </w:rPr>
          <w:instrText xml:space="preserve"> PAGEREF _Toc52181726 \h </w:instrText>
        </w:r>
        <w:r>
          <w:rPr>
            <w:noProof/>
            <w:webHidden/>
          </w:rPr>
        </w:r>
        <w:r>
          <w:rPr>
            <w:noProof/>
            <w:webHidden/>
          </w:rPr>
          <w:fldChar w:fldCharType="separate"/>
        </w:r>
        <w:r>
          <w:rPr>
            <w:noProof/>
            <w:webHidden/>
          </w:rPr>
          <w:t>204</w:t>
        </w:r>
        <w:r>
          <w:rPr>
            <w:noProof/>
            <w:webHidden/>
          </w:rPr>
          <w:fldChar w:fldCharType="end"/>
        </w:r>
      </w:hyperlink>
    </w:p>
    <w:p w14:paraId="30684F63" w14:textId="305CC5FA" w:rsidR="00507A67" w:rsidRDefault="00507A67">
      <w:pPr>
        <w:pStyle w:val="TOC3"/>
        <w:rPr>
          <w:rFonts w:asciiTheme="minorHAnsi" w:hAnsiTheme="minorHAnsi" w:cstheme="minorBidi"/>
          <w:b w:val="0"/>
          <w:noProof/>
          <w:lang w:eastAsia="en-CA"/>
        </w:rPr>
      </w:pPr>
      <w:hyperlink w:anchor="_Toc52181727" w:history="1">
        <w:r w:rsidRPr="00E53E72">
          <w:rPr>
            <w:rStyle w:val="Hyperlink"/>
            <w:noProof/>
          </w:rPr>
          <w:t>F.2.16.3 Decoded atlas b2p hash unit syntax</w:t>
        </w:r>
        <w:r>
          <w:rPr>
            <w:noProof/>
            <w:webHidden/>
          </w:rPr>
          <w:tab/>
        </w:r>
        <w:r>
          <w:rPr>
            <w:noProof/>
            <w:webHidden/>
          </w:rPr>
          <w:fldChar w:fldCharType="begin"/>
        </w:r>
        <w:r>
          <w:rPr>
            <w:noProof/>
            <w:webHidden/>
          </w:rPr>
          <w:instrText xml:space="preserve"> PAGEREF _Toc52181727 \h </w:instrText>
        </w:r>
        <w:r>
          <w:rPr>
            <w:noProof/>
            <w:webHidden/>
          </w:rPr>
        </w:r>
        <w:r>
          <w:rPr>
            <w:noProof/>
            <w:webHidden/>
          </w:rPr>
          <w:fldChar w:fldCharType="separate"/>
        </w:r>
        <w:r>
          <w:rPr>
            <w:noProof/>
            <w:webHidden/>
          </w:rPr>
          <w:t>204</w:t>
        </w:r>
        <w:r>
          <w:rPr>
            <w:noProof/>
            <w:webHidden/>
          </w:rPr>
          <w:fldChar w:fldCharType="end"/>
        </w:r>
      </w:hyperlink>
    </w:p>
    <w:p w14:paraId="2CBA51F2" w14:textId="6B87F94E" w:rsidR="00507A67" w:rsidRDefault="00507A67">
      <w:pPr>
        <w:pStyle w:val="TOC3"/>
        <w:rPr>
          <w:rFonts w:asciiTheme="minorHAnsi" w:hAnsiTheme="minorHAnsi" w:cstheme="minorBidi"/>
          <w:b w:val="0"/>
          <w:noProof/>
          <w:lang w:eastAsia="en-CA"/>
        </w:rPr>
      </w:pPr>
      <w:hyperlink w:anchor="_Toc52181728" w:history="1">
        <w:r w:rsidRPr="00E53E72">
          <w:rPr>
            <w:rStyle w:val="Hyperlink"/>
            <w:noProof/>
          </w:rPr>
          <w:t>F.2.16.4 Decoded atlas tile hash unit syntax</w:t>
        </w:r>
        <w:r>
          <w:rPr>
            <w:noProof/>
            <w:webHidden/>
          </w:rPr>
          <w:tab/>
        </w:r>
        <w:r>
          <w:rPr>
            <w:noProof/>
            <w:webHidden/>
          </w:rPr>
          <w:fldChar w:fldCharType="begin"/>
        </w:r>
        <w:r>
          <w:rPr>
            <w:noProof/>
            <w:webHidden/>
          </w:rPr>
          <w:instrText xml:space="preserve"> PAGEREF _Toc52181728 \h </w:instrText>
        </w:r>
        <w:r>
          <w:rPr>
            <w:noProof/>
            <w:webHidden/>
          </w:rPr>
        </w:r>
        <w:r>
          <w:rPr>
            <w:noProof/>
            <w:webHidden/>
          </w:rPr>
          <w:fldChar w:fldCharType="separate"/>
        </w:r>
        <w:r>
          <w:rPr>
            <w:noProof/>
            <w:webHidden/>
          </w:rPr>
          <w:t>204</w:t>
        </w:r>
        <w:r>
          <w:rPr>
            <w:noProof/>
            <w:webHidden/>
          </w:rPr>
          <w:fldChar w:fldCharType="end"/>
        </w:r>
      </w:hyperlink>
    </w:p>
    <w:p w14:paraId="02E6879C" w14:textId="2C8ABCDF" w:rsidR="00507A67" w:rsidRDefault="00507A67">
      <w:pPr>
        <w:pStyle w:val="TOC3"/>
        <w:rPr>
          <w:rFonts w:asciiTheme="minorHAnsi" w:hAnsiTheme="minorHAnsi" w:cstheme="minorBidi"/>
          <w:b w:val="0"/>
          <w:noProof/>
          <w:lang w:eastAsia="en-CA"/>
        </w:rPr>
      </w:pPr>
      <w:hyperlink w:anchor="_Toc52181729" w:history="1">
        <w:r w:rsidRPr="00E53E72">
          <w:rPr>
            <w:rStyle w:val="Hyperlink"/>
            <w:noProof/>
          </w:rPr>
          <w:t>F.2.16.5 Decoded atlas tile b2p hash unit syntax</w:t>
        </w:r>
        <w:r>
          <w:rPr>
            <w:noProof/>
            <w:webHidden/>
          </w:rPr>
          <w:tab/>
        </w:r>
        <w:r>
          <w:rPr>
            <w:noProof/>
            <w:webHidden/>
          </w:rPr>
          <w:fldChar w:fldCharType="begin"/>
        </w:r>
        <w:r>
          <w:rPr>
            <w:noProof/>
            <w:webHidden/>
          </w:rPr>
          <w:instrText xml:space="preserve"> PAGEREF _Toc52181729 \h </w:instrText>
        </w:r>
        <w:r>
          <w:rPr>
            <w:noProof/>
            <w:webHidden/>
          </w:rPr>
        </w:r>
        <w:r>
          <w:rPr>
            <w:noProof/>
            <w:webHidden/>
          </w:rPr>
          <w:fldChar w:fldCharType="separate"/>
        </w:r>
        <w:r>
          <w:rPr>
            <w:noProof/>
            <w:webHidden/>
          </w:rPr>
          <w:t>205</w:t>
        </w:r>
        <w:r>
          <w:rPr>
            <w:noProof/>
            <w:webHidden/>
          </w:rPr>
          <w:fldChar w:fldCharType="end"/>
        </w:r>
      </w:hyperlink>
    </w:p>
    <w:p w14:paraId="60ED2537" w14:textId="1C36D3C4" w:rsidR="00507A67" w:rsidRDefault="00507A67">
      <w:pPr>
        <w:pStyle w:val="TOC3"/>
        <w:rPr>
          <w:rFonts w:asciiTheme="minorHAnsi" w:hAnsiTheme="minorHAnsi" w:cstheme="minorBidi"/>
          <w:b w:val="0"/>
          <w:noProof/>
          <w:lang w:eastAsia="en-CA"/>
        </w:rPr>
      </w:pPr>
      <w:hyperlink w:anchor="_Toc52181730" w:history="1">
        <w:r w:rsidRPr="00E53E72">
          <w:rPr>
            <w:rStyle w:val="Hyperlink"/>
            <w:noProof/>
          </w:rPr>
          <w:t>F.2.17 Time code SEI message syntax</w:t>
        </w:r>
        <w:r>
          <w:rPr>
            <w:noProof/>
            <w:webHidden/>
          </w:rPr>
          <w:tab/>
        </w:r>
        <w:r>
          <w:rPr>
            <w:noProof/>
            <w:webHidden/>
          </w:rPr>
          <w:fldChar w:fldCharType="begin"/>
        </w:r>
        <w:r>
          <w:rPr>
            <w:noProof/>
            <w:webHidden/>
          </w:rPr>
          <w:instrText xml:space="preserve"> PAGEREF _Toc52181730 \h </w:instrText>
        </w:r>
        <w:r>
          <w:rPr>
            <w:noProof/>
            <w:webHidden/>
          </w:rPr>
        </w:r>
        <w:r>
          <w:rPr>
            <w:noProof/>
            <w:webHidden/>
          </w:rPr>
          <w:fldChar w:fldCharType="separate"/>
        </w:r>
        <w:r>
          <w:rPr>
            <w:noProof/>
            <w:webHidden/>
          </w:rPr>
          <w:t>205</w:t>
        </w:r>
        <w:r>
          <w:rPr>
            <w:noProof/>
            <w:webHidden/>
          </w:rPr>
          <w:fldChar w:fldCharType="end"/>
        </w:r>
      </w:hyperlink>
    </w:p>
    <w:p w14:paraId="04B99C02" w14:textId="35303E25" w:rsidR="00507A67" w:rsidRDefault="00507A67">
      <w:pPr>
        <w:pStyle w:val="TOC3"/>
        <w:rPr>
          <w:rFonts w:asciiTheme="minorHAnsi" w:hAnsiTheme="minorHAnsi" w:cstheme="minorBidi"/>
          <w:b w:val="0"/>
          <w:noProof/>
          <w:lang w:eastAsia="en-CA"/>
        </w:rPr>
      </w:pPr>
      <w:hyperlink w:anchor="_Toc52181731" w:history="1">
        <w:r w:rsidRPr="00E53E72">
          <w:rPr>
            <w:rStyle w:val="Hyperlink"/>
            <w:noProof/>
          </w:rPr>
          <w:t>F.2.18 Packed independent regions SEI payload syntax</w:t>
        </w:r>
        <w:r>
          <w:rPr>
            <w:noProof/>
            <w:webHidden/>
          </w:rPr>
          <w:tab/>
        </w:r>
        <w:r>
          <w:rPr>
            <w:noProof/>
            <w:webHidden/>
          </w:rPr>
          <w:fldChar w:fldCharType="begin"/>
        </w:r>
        <w:r>
          <w:rPr>
            <w:noProof/>
            <w:webHidden/>
          </w:rPr>
          <w:instrText xml:space="preserve"> PAGEREF _Toc52181731 \h </w:instrText>
        </w:r>
        <w:r>
          <w:rPr>
            <w:noProof/>
            <w:webHidden/>
          </w:rPr>
        </w:r>
        <w:r>
          <w:rPr>
            <w:noProof/>
            <w:webHidden/>
          </w:rPr>
          <w:fldChar w:fldCharType="separate"/>
        </w:r>
        <w:r>
          <w:rPr>
            <w:noProof/>
            <w:webHidden/>
          </w:rPr>
          <w:t>205</w:t>
        </w:r>
        <w:r>
          <w:rPr>
            <w:noProof/>
            <w:webHidden/>
          </w:rPr>
          <w:fldChar w:fldCharType="end"/>
        </w:r>
      </w:hyperlink>
    </w:p>
    <w:p w14:paraId="5FA2A7DB" w14:textId="30B1DED8" w:rsidR="00507A67" w:rsidRDefault="00507A67">
      <w:pPr>
        <w:pStyle w:val="TOC2"/>
        <w:rPr>
          <w:rFonts w:asciiTheme="minorHAnsi" w:hAnsiTheme="minorHAnsi" w:cstheme="minorBidi"/>
          <w:b w:val="0"/>
          <w:noProof/>
          <w:lang w:eastAsia="en-CA"/>
        </w:rPr>
      </w:pPr>
      <w:hyperlink w:anchor="_Toc52181732" w:history="1">
        <w:r w:rsidRPr="00E53E72">
          <w:rPr>
            <w:rStyle w:val="Hyperlink"/>
            <w:noProof/>
          </w:rPr>
          <w:t>F.3 SEI payload semantics</w:t>
        </w:r>
        <w:r>
          <w:rPr>
            <w:noProof/>
            <w:webHidden/>
          </w:rPr>
          <w:tab/>
        </w:r>
        <w:r>
          <w:rPr>
            <w:noProof/>
            <w:webHidden/>
          </w:rPr>
          <w:fldChar w:fldCharType="begin"/>
        </w:r>
        <w:r>
          <w:rPr>
            <w:noProof/>
            <w:webHidden/>
          </w:rPr>
          <w:instrText xml:space="preserve"> PAGEREF _Toc52181732 \h </w:instrText>
        </w:r>
        <w:r>
          <w:rPr>
            <w:noProof/>
            <w:webHidden/>
          </w:rPr>
        </w:r>
        <w:r>
          <w:rPr>
            <w:noProof/>
            <w:webHidden/>
          </w:rPr>
          <w:fldChar w:fldCharType="separate"/>
        </w:r>
        <w:r>
          <w:rPr>
            <w:noProof/>
            <w:webHidden/>
          </w:rPr>
          <w:t>207</w:t>
        </w:r>
        <w:r>
          <w:rPr>
            <w:noProof/>
            <w:webHidden/>
          </w:rPr>
          <w:fldChar w:fldCharType="end"/>
        </w:r>
      </w:hyperlink>
    </w:p>
    <w:p w14:paraId="7E0E600F" w14:textId="7DF2DB3D" w:rsidR="00507A67" w:rsidRDefault="00507A67">
      <w:pPr>
        <w:pStyle w:val="TOC3"/>
        <w:rPr>
          <w:rFonts w:asciiTheme="minorHAnsi" w:hAnsiTheme="minorHAnsi" w:cstheme="minorBidi"/>
          <w:b w:val="0"/>
          <w:noProof/>
          <w:lang w:eastAsia="en-CA"/>
        </w:rPr>
      </w:pPr>
      <w:hyperlink w:anchor="_Toc52181733" w:history="1">
        <w:r w:rsidRPr="00E53E72">
          <w:rPr>
            <w:rStyle w:val="Hyperlink"/>
            <w:noProof/>
          </w:rPr>
          <w:t>F.3.1 General SEI payload semantics</w:t>
        </w:r>
        <w:r>
          <w:rPr>
            <w:noProof/>
            <w:webHidden/>
          </w:rPr>
          <w:tab/>
        </w:r>
        <w:r>
          <w:rPr>
            <w:noProof/>
            <w:webHidden/>
          </w:rPr>
          <w:fldChar w:fldCharType="begin"/>
        </w:r>
        <w:r>
          <w:rPr>
            <w:noProof/>
            <w:webHidden/>
          </w:rPr>
          <w:instrText xml:space="preserve"> PAGEREF _Toc52181733 \h </w:instrText>
        </w:r>
        <w:r>
          <w:rPr>
            <w:noProof/>
            <w:webHidden/>
          </w:rPr>
        </w:r>
        <w:r>
          <w:rPr>
            <w:noProof/>
            <w:webHidden/>
          </w:rPr>
          <w:fldChar w:fldCharType="separate"/>
        </w:r>
        <w:r>
          <w:rPr>
            <w:noProof/>
            <w:webHidden/>
          </w:rPr>
          <w:t>207</w:t>
        </w:r>
        <w:r>
          <w:rPr>
            <w:noProof/>
            <w:webHidden/>
          </w:rPr>
          <w:fldChar w:fldCharType="end"/>
        </w:r>
      </w:hyperlink>
    </w:p>
    <w:p w14:paraId="0888280C" w14:textId="10AF05DB" w:rsidR="00507A67" w:rsidRDefault="00507A67">
      <w:pPr>
        <w:pStyle w:val="TOC3"/>
        <w:rPr>
          <w:rFonts w:asciiTheme="minorHAnsi" w:hAnsiTheme="minorHAnsi" w:cstheme="minorBidi"/>
          <w:b w:val="0"/>
          <w:noProof/>
          <w:lang w:eastAsia="en-CA"/>
        </w:rPr>
      </w:pPr>
      <w:hyperlink w:anchor="_Toc52181734" w:history="1">
        <w:r w:rsidRPr="00E53E72">
          <w:rPr>
            <w:rStyle w:val="Hyperlink"/>
            <w:noProof/>
          </w:rPr>
          <w:t>F.3.2 Filler payload SEI message semantics</w:t>
        </w:r>
        <w:r>
          <w:rPr>
            <w:noProof/>
            <w:webHidden/>
          </w:rPr>
          <w:tab/>
        </w:r>
        <w:r>
          <w:rPr>
            <w:noProof/>
            <w:webHidden/>
          </w:rPr>
          <w:fldChar w:fldCharType="begin"/>
        </w:r>
        <w:r>
          <w:rPr>
            <w:noProof/>
            <w:webHidden/>
          </w:rPr>
          <w:instrText xml:space="preserve"> PAGEREF _Toc52181734 \h </w:instrText>
        </w:r>
        <w:r>
          <w:rPr>
            <w:noProof/>
            <w:webHidden/>
          </w:rPr>
        </w:r>
        <w:r>
          <w:rPr>
            <w:noProof/>
            <w:webHidden/>
          </w:rPr>
          <w:fldChar w:fldCharType="separate"/>
        </w:r>
        <w:r>
          <w:rPr>
            <w:noProof/>
            <w:webHidden/>
          </w:rPr>
          <w:t>209</w:t>
        </w:r>
        <w:r>
          <w:rPr>
            <w:noProof/>
            <w:webHidden/>
          </w:rPr>
          <w:fldChar w:fldCharType="end"/>
        </w:r>
      </w:hyperlink>
    </w:p>
    <w:p w14:paraId="6A750CEE" w14:textId="602590FE" w:rsidR="00507A67" w:rsidRDefault="00507A67">
      <w:pPr>
        <w:pStyle w:val="TOC3"/>
        <w:rPr>
          <w:rFonts w:asciiTheme="minorHAnsi" w:hAnsiTheme="minorHAnsi" w:cstheme="minorBidi"/>
          <w:b w:val="0"/>
          <w:noProof/>
          <w:lang w:eastAsia="en-CA"/>
        </w:rPr>
      </w:pPr>
      <w:hyperlink w:anchor="_Toc52181735" w:history="1">
        <w:r w:rsidRPr="00E53E72">
          <w:rPr>
            <w:rStyle w:val="Hyperlink"/>
            <w:noProof/>
          </w:rPr>
          <w:t>F.3.3 User data registered by Recommendation ITU-T T.35 SEI message semantics</w:t>
        </w:r>
        <w:r>
          <w:rPr>
            <w:noProof/>
            <w:webHidden/>
          </w:rPr>
          <w:tab/>
        </w:r>
        <w:r>
          <w:rPr>
            <w:noProof/>
            <w:webHidden/>
          </w:rPr>
          <w:fldChar w:fldCharType="begin"/>
        </w:r>
        <w:r>
          <w:rPr>
            <w:noProof/>
            <w:webHidden/>
          </w:rPr>
          <w:instrText xml:space="preserve"> PAGEREF _Toc52181735 \h </w:instrText>
        </w:r>
        <w:r>
          <w:rPr>
            <w:noProof/>
            <w:webHidden/>
          </w:rPr>
        </w:r>
        <w:r>
          <w:rPr>
            <w:noProof/>
            <w:webHidden/>
          </w:rPr>
          <w:fldChar w:fldCharType="separate"/>
        </w:r>
        <w:r>
          <w:rPr>
            <w:noProof/>
            <w:webHidden/>
          </w:rPr>
          <w:t>209</w:t>
        </w:r>
        <w:r>
          <w:rPr>
            <w:noProof/>
            <w:webHidden/>
          </w:rPr>
          <w:fldChar w:fldCharType="end"/>
        </w:r>
      </w:hyperlink>
    </w:p>
    <w:p w14:paraId="277DE59F" w14:textId="4DFE2AE2" w:rsidR="00507A67" w:rsidRDefault="00507A67">
      <w:pPr>
        <w:pStyle w:val="TOC3"/>
        <w:rPr>
          <w:rFonts w:asciiTheme="minorHAnsi" w:hAnsiTheme="minorHAnsi" w:cstheme="minorBidi"/>
          <w:b w:val="0"/>
          <w:noProof/>
          <w:lang w:eastAsia="en-CA"/>
        </w:rPr>
      </w:pPr>
      <w:hyperlink w:anchor="_Toc52181736" w:history="1">
        <w:r w:rsidRPr="00E53E72">
          <w:rPr>
            <w:rStyle w:val="Hyperlink"/>
            <w:noProof/>
          </w:rPr>
          <w:t>F.3.4 User data unregistered SEI message semantics</w:t>
        </w:r>
        <w:r>
          <w:rPr>
            <w:noProof/>
            <w:webHidden/>
          </w:rPr>
          <w:tab/>
        </w:r>
        <w:r>
          <w:rPr>
            <w:noProof/>
            <w:webHidden/>
          </w:rPr>
          <w:fldChar w:fldCharType="begin"/>
        </w:r>
        <w:r>
          <w:rPr>
            <w:noProof/>
            <w:webHidden/>
          </w:rPr>
          <w:instrText xml:space="preserve"> PAGEREF _Toc52181736 \h </w:instrText>
        </w:r>
        <w:r>
          <w:rPr>
            <w:noProof/>
            <w:webHidden/>
          </w:rPr>
        </w:r>
        <w:r>
          <w:rPr>
            <w:noProof/>
            <w:webHidden/>
          </w:rPr>
          <w:fldChar w:fldCharType="separate"/>
        </w:r>
        <w:r>
          <w:rPr>
            <w:noProof/>
            <w:webHidden/>
          </w:rPr>
          <w:t>209</w:t>
        </w:r>
        <w:r>
          <w:rPr>
            <w:noProof/>
            <w:webHidden/>
          </w:rPr>
          <w:fldChar w:fldCharType="end"/>
        </w:r>
      </w:hyperlink>
    </w:p>
    <w:p w14:paraId="23DED277" w14:textId="46360A7D" w:rsidR="00507A67" w:rsidRDefault="00507A67">
      <w:pPr>
        <w:pStyle w:val="TOC3"/>
        <w:rPr>
          <w:rFonts w:asciiTheme="minorHAnsi" w:hAnsiTheme="minorHAnsi" w:cstheme="minorBidi"/>
          <w:b w:val="0"/>
          <w:noProof/>
          <w:lang w:eastAsia="en-CA"/>
        </w:rPr>
      </w:pPr>
      <w:hyperlink w:anchor="_Toc52181737" w:history="1">
        <w:r w:rsidRPr="00E53E72">
          <w:rPr>
            <w:rStyle w:val="Hyperlink"/>
            <w:noProof/>
          </w:rPr>
          <w:t>F.3.5 Recovery point SEI message semantics</w:t>
        </w:r>
        <w:r>
          <w:rPr>
            <w:noProof/>
            <w:webHidden/>
          </w:rPr>
          <w:tab/>
        </w:r>
        <w:r>
          <w:rPr>
            <w:noProof/>
            <w:webHidden/>
          </w:rPr>
          <w:fldChar w:fldCharType="begin"/>
        </w:r>
        <w:r>
          <w:rPr>
            <w:noProof/>
            <w:webHidden/>
          </w:rPr>
          <w:instrText xml:space="preserve"> PAGEREF _Toc52181737 \h </w:instrText>
        </w:r>
        <w:r>
          <w:rPr>
            <w:noProof/>
            <w:webHidden/>
          </w:rPr>
        </w:r>
        <w:r>
          <w:rPr>
            <w:noProof/>
            <w:webHidden/>
          </w:rPr>
          <w:fldChar w:fldCharType="separate"/>
        </w:r>
        <w:r>
          <w:rPr>
            <w:noProof/>
            <w:webHidden/>
          </w:rPr>
          <w:t>210</w:t>
        </w:r>
        <w:r>
          <w:rPr>
            <w:noProof/>
            <w:webHidden/>
          </w:rPr>
          <w:fldChar w:fldCharType="end"/>
        </w:r>
      </w:hyperlink>
    </w:p>
    <w:p w14:paraId="363CE092" w14:textId="75F24B17" w:rsidR="00507A67" w:rsidRDefault="00507A67">
      <w:pPr>
        <w:pStyle w:val="TOC3"/>
        <w:rPr>
          <w:rFonts w:asciiTheme="minorHAnsi" w:hAnsiTheme="minorHAnsi" w:cstheme="minorBidi"/>
          <w:b w:val="0"/>
          <w:noProof/>
          <w:lang w:eastAsia="en-CA"/>
        </w:rPr>
      </w:pPr>
      <w:hyperlink w:anchor="_Toc52181738" w:history="1">
        <w:r w:rsidRPr="00E53E72">
          <w:rPr>
            <w:rStyle w:val="Hyperlink"/>
            <w:noProof/>
          </w:rPr>
          <w:t>F.3.6 No reconstruction SEI message semantics</w:t>
        </w:r>
        <w:r>
          <w:rPr>
            <w:noProof/>
            <w:webHidden/>
          </w:rPr>
          <w:tab/>
        </w:r>
        <w:r>
          <w:rPr>
            <w:noProof/>
            <w:webHidden/>
          </w:rPr>
          <w:fldChar w:fldCharType="begin"/>
        </w:r>
        <w:r>
          <w:rPr>
            <w:noProof/>
            <w:webHidden/>
          </w:rPr>
          <w:instrText xml:space="preserve"> PAGEREF _Toc52181738 \h </w:instrText>
        </w:r>
        <w:r>
          <w:rPr>
            <w:noProof/>
            <w:webHidden/>
          </w:rPr>
        </w:r>
        <w:r>
          <w:rPr>
            <w:noProof/>
            <w:webHidden/>
          </w:rPr>
          <w:fldChar w:fldCharType="separate"/>
        </w:r>
        <w:r>
          <w:rPr>
            <w:noProof/>
            <w:webHidden/>
          </w:rPr>
          <w:t>211</w:t>
        </w:r>
        <w:r>
          <w:rPr>
            <w:noProof/>
            <w:webHidden/>
          </w:rPr>
          <w:fldChar w:fldCharType="end"/>
        </w:r>
      </w:hyperlink>
    </w:p>
    <w:p w14:paraId="58800380" w14:textId="2257E940" w:rsidR="00507A67" w:rsidRDefault="00507A67">
      <w:pPr>
        <w:pStyle w:val="TOC3"/>
        <w:rPr>
          <w:rFonts w:asciiTheme="minorHAnsi" w:hAnsiTheme="minorHAnsi" w:cstheme="minorBidi"/>
          <w:b w:val="0"/>
          <w:noProof/>
          <w:lang w:eastAsia="en-CA"/>
        </w:rPr>
      </w:pPr>
      <w:hyperlink w:anchor="_Toc52181739" w:history="1">
        <w:r w:rsidRPr="00E53E72">
          <w:rPr>
            <w:rStyle w:val="Hyperlink"/>
            <w:noProof/>
          </w:rPr>
          <w:t>F.3.7 Reserved SEI message semantics</w:t>
        </w:r>
        <w:r>
          <w:rPr>
            <w:noProof/>
            <w:webHidden/>
          </w:rPr>
          <w:tab/>
        </w:r>
        <w:r>
          <w:rPr>
            <w:noProof/>
            <w:webHidden/>
          </w:rPr>
          <w:fldChar w:fldCharType="begin"/>
        </w:r>
        <w:r>
          <w:rPr>
            <w:noProof/>
            <w:webHidden/>
          </w:rPr>
          <w:instrText xml:space="preserve"> PAGEREF _Toc52181739 \h </w:instrText>
        </w:r>
        <w:r>
          <w:rPr>
            <w:noProof/>
            <w:webHidden/>
          </w:rPr>
        </w:r>
        <w:r>
          <w:rPr>
            <w:noProof/>
            <w:webHidden/>
          </w:rPr>
          <w:fldChar w:fldCharType="separate"/>
        </w:r>
        <w:r>
          <w:rPr>
            <w:noProof/>
            <w:webHidden/>
          </w:rPr>
          <w:t>211</w:t>
        </w:r>
        <w:r>
          <w:rPr>
            <w:noProof/>
            <w:webHidden/>
          </w:rPr>
          <w:fldChar w:fldCharType="end"/>
        </w:r>
      </w:hyperlink>
    </w:p>
    <w:p w14:paraId="421323C3" w14:textId="59CA98C8" w:rsidR="00507A67" w:rsidRDefault="00507A67">
      <w:pPr>
        <w:pStyle w:val="TOC3"/>
        <w:rPr>
          <w:rFonts w:asciiTheme="minorHAnsi" w:hAnsiTheme="minorHAnsi" w:cstheme="minorBidi"/>
          <w:b w:val="0"/>
          <w:noProof/>
          <w:lang w:eastAsia="en-CA"/>
        </w:rPr>
      </w:pPr>
      <w:hyperlink w:anchor="_Toc52181740" w:history="1">
        <w:r w:rsidRPr="00E53E72">
          <w:rPr>
            <w:rStyle w:val="Hyperlink"/>
            <w:noProof/>
          </w:rPr>
          <w:t>F.3.8 SEI manifest SEI message semantics</w:t>
        </w:r>
        <w:r>
          <w:rPr>
            <w:noProof/>
            <w:webHidden/>
          </w:rPr>
          <w:tab/>
        </w:r>
        <w:r>
          <w:rPr>
            <w:noProof/>
            <w:webHidden/>
          </w:rPr>
          <w:fldChar w:fldCharType="begin"/>
        </w:r>
        <w:r>
          <w:rPr>
            <w:noProof/>
            <w:webHidden/>
          </w:rPr>
          <w:instrText xml:space="preserve"> PAGEREF _Toc52181740 \h </w:instrText>
        </w:r>
        <w:r>
          <w:rPr>
            <w:noProof/>
            <w:webHidden/>
          </w:rPr>
        </w:r>
        <w:r>
          <w:rPr>
            <w:noProof/>
            <w:webHidden/>
          </w:rPr>
          <w:fldChar w:fldCharType="separate"/>
        </w:r>
        <w:r>
          <w:rPr>
            <w:noProof/>
            <w:webHidden/>
          </w:rPr>
          <w:t>211</w:t>
        </w:r>
        <w:r>
          <w:rPr>
            <w:noProof/>
            <w:webHidden/>
          </w:rPr>
          <w:fldChar w:fldCharType="end"/>
        </w:r>
      </w:hyperlink>
    </w:p>
    <w:p w14:paraId="734FB6A5" w14:textId="421C6B8B" w:rsidR="00507A67" w:rsidRDefault="00507A67">
      <w:pPr>
        <w:pStyle w:val="TOC3"/>
        <w:rPr>
          <w:rFonts w:asciiTheme="minorHAnsi" w:hAnsiTheme="minorHAnsi" w:cstheme="minorBidi"/>
          <w:b w:val="0"/>
          <w:noProof/>
          <w:lang w:eastAsia="en-CA"/>
        </w:rPr>
      </w:pPr>
      <w:hyperlink w:anchor="_Toc52181741" w:history="1">
        <w:r w:rsidRPr="00E53E72">
          <w:rPr>
            <w:rStyle w:val="Hyperlink"/>
            <w:noProof/>
          </w:rPr>
          <w:t>F.3.9 SEI prefix indication SEI message semantics</w:t>
        </w:r>
        <w:r>
          <w:rPr>
            <w:noProof/>
            <w:webHidden/>
          </w:rPr>
          <w:tab/>
        </w:r>
        <w:r>
          <w:rPr>
            <w:noProof/>
            <w:webHidden/>
          </w:rPr>
          <w:fldChar w:fldCharType="begin"/>
        </w:r>
        <w:r>
          <w:rPr>
            <w:noProof/>
            <w:webHidden/>
          </w:rPr>
          <w:instrText xml:space="preserve"> PAGEREF _Toc52181741 \h </w:instrText>
        </w:r>
        <w:r>
          <w:rPr>
            <w:noProof/>
            <w:webHidden/>
          </w:rPr>
        </w:r>
        <w:r>
          <w:rPr>
            <w:noProof/>
            <w:webHidden/>
          </w:rPr>
          <w:fldChar w:fldCharType="separate"/>
        </w:r>
        <w:r>
          <w:rPr>
            <w:noProof/>
            <w:webHidden/>
          </w:rPr>
          <w:t>213</w:t>
        </w:r>
        <w:r>
          <w:rPr>
            <w:noProof/>
            <w:webHidden/>
          </w:rPr>
          <w:fldChar w:fldCharType="end"/>
        </w:r>
      </w:hyperlink>
    </w:p>
    <w:p w14:paraId="541ECABB" w14:textId="2D3C2347" w:rsidR="00507A67" w:rsidRDefault="00507A67">
      <w:pPr>
        <w:pStyle w:val="TOC3"/>
        <w:rPr>
          <w:rFonts w:asciiTheme="minorHAnsi" w:hAnsiTheme="minorHAnsi" w:cstheme="minorBidi"/>
          <w:b w:val="0"/>
          <w:noProof/>
          <w:lang w:eastAsia="en-CA"/>
        </w:rPr>
      </w:pPr>
      <w:hyperlink w:anchor="_Toc52181742" w:history="1">
        <w:r w:rsidRPr="00E53E72">
          <w:rPr>
            <w:rStyle w:val="Hyperlink"/>
            <w:noProof/>
          </w:rPr>
          <w:t>F.3.10 Active sub-bitstreams SEI message semantics</w:t>
        </w:r>
        <w:r>
          <w:rPr>
            <w:noProof/>
            <w:webHidden/>
          </w:rPr>
          <w:tab/>
        </w:r>
        <w:r>
          <w:rPr>
            <w:noProof/>
            <w:webHidden/>
          </w:rPr>
          <w:fldChar w:fldCharType="begin"/>
        </w:r>
        <w:r>
          <w:rPr>
            <w:noProof/>
            <w:webHidden/>
          </w:rPr>
          <w:instrText xml:space="preserve"> PAGEREF _Toc52181742 \h </w:instrText>
        </w:r>
        <w:r>
          <w:rPr>
            <w:noProof/>
            <w:webHidden/>
          </w:rPr>
        </w:r>
        <w:r>
          <w:rPr>
            <w:noProof/>
            <w:webHidden/>
          </w:rPr>
          <w:fldChar w:fldCharType="separate"/>
        </w:r>
        <w:r>
          <w:rPr>
            <w:noProof/>
            <w:webHidden/>
          </w:rPr>
          <w:t>214</w:t>
        </w:r>
        <w:r>
          <w:rPr>
            <w:noProof/>
            <w:webHidden/>
          </w:rPr>
          <w:fldChar w:fldCharType="end"/>
        </w:r>
      </w:hyperlink>
    </w:p>
    <w:p w14:paraId="3C544C43" w14:textId="70E9E7DE" w:rsidR="00507A67" w:rsidRDefault="00507A67">
      <w:pPr>
        <w:pStyle w:val="TOC3"/>
        <w:rPr>
          <w:rFonts w:asciiTheme="minorHAnsi" w:hAnsiTheme="minorHAnsi" w:cstheme="minorBidi"/>
          <w:b w:val="0"/>
          <w:noProof/>
          <w:lang w:eastAsia="en-CA"/>
        </w:rPr>
      </w:pPr>
      <w:hyperlink w:anchor="_Toc52181743" w:history="1">
        <w:r w:rsidRPr="00E53E72">
          <w:rPr>
            <w:rStyle w:val="Hyperlink"/>
            <w:noProof/>
          </w:rPr>
          <w:t>F.3.11 Component codec mapping SEI message semantics</w:t>
        </w:r>
        <w:r>
          <w:rPr>
            <w:noProof/>
            <w:webHidden/>
          </w:rPr>
          <w:tab/>
        </w:r>
        <w:r>
          <w:rPr>
            <w:noProof/>
            <w:webHidden/>
          </w:rPr>
          <w:fldChar w:fldCharType="begin"/>
        </w:r>
        <w:r>
          <w:rPr>
            <w:noProof/>
            <w:webHidden/>
          </w:rPr>
          <w:instrText xml:space="preserve"> PAGEREF _Toc52181743 \h </w:instrText>
        </w:r>
        <w:r>
          <w:rPr>
            <w:noProof/>
            <w:webHidden/>
          </w:rPr>
        </w:r>
        <w:r>
          <w:rPr>
            <w:noProof/>
            <w:webHidden/>
          </w:rPr>
          <w:fldChar w:fldCharType="separate"/>
        </w:r>
        <w:r>
          <w:rPr>
            <w:noProof/>
            <w:webHidden/>
          </w:rPr>
          <w:t>215</w:t>
        </w:r>
        <w:r>
          <w:rPr>
            <w:noProof/>
            <w:webHidden/>
          </w:rPr>
          <w:fldChar w:fldCharType="end"/>
        </w:r>
      </w:hyperlink>
    </w:p>
    <w:p w14:paraId="08FE8880" w14:textId="2060BDD0" w:rsidR="00507A67" w:rsidRDefault="00507A67">
      <w:pPr>
        <w:pStyle w:val="TOC3"/>
        <w:rPr>
          <w:rFonts w:asciiTheme="minorHAnsi" w:hAnsiTheme="minorHAnsi" w:cstheme="minorBidi"/>
          <w:b w:val="0"/>
          <w:noProof/>
          <w:lang w:eastAsia="en-CA"/>
        </w:rPr>
      </w:pPr>
      <w:hyperlink w:anchor="_Toc52181744" w:history="1">
        <w:r w:rsidRPr="00E53E72">
          <w:rPr>
            <w:rStyle w:val="Hyperlink"/>
            <w:noProof/>
          </w:rPr>
          <w:t>F.3.12 Volumetric annotation SEI messages family syntax</w:t>
        </w:r>
        <w:r>
          <w:rPr>
            <w:noProof/>
            <w:webHidden/>
          </w:rPr>
          <w:tab/>
        </w:r>
        <w:r>
          <w:rPr>
            <w:noProof/>
            <w:webHidden/>
          </w:rPr>
          <w:fldChar w:fldCharType="begin"/>
        </w:r>
        <w:r>
          <w:rPr>
            <w:noProof/>
            <w:webHidden/>
          </w:rPr>
          <w:instrText xml:space="preserve"> PAGEREF _Toc52181744 \h </w:instrText>
        </w:r>
        <w:r>
          <w:rPr>
            <w:noProof/>
            <w:webHidden/>
          </w:rPr>
        </w:r>
        <w:r>
          <w:rPr>
            <w:noProof/>
            <w:webHidden/>
          </w:rPr>
          <w:fldChar w:fldCharType="separate"/>
        </w:r>
        <w:r>
          <w:rPr>
            <w:noProof/>
            <w:webHidden/>
          </w:rPr>
          <w:t>215</w:t>
        </w:r>
        <w:r>
          <w:rPr>
            <w:noProof/>
            <w:webHidden/>
          </w:rPr>
          <w:fldChar w:fldCharType="end"/>
        </w:r>
      </w:hyperlink>
    </w:p>
    <w:p w14:paraId="27C74808" w14:textId="18AC41B4" w:rsidR="00507A67" w:rsidRDefault="00507A67">
      <w:pPr>
        <w:pStyle w:val="TOC3"/>
        <w:rPr>
          <w:rFonts w:asciiTheme="minorHAnsi" w:hAnsiTheme="minorHAnsi" w:cstheme="minorBidi"/>
          <w:b w:val="0"/>
          <w:noProof/>
          <w:lang w:eastAsia="en-CA"/>
        </w:rPr>
      </w:pPr>
      <w:hyperlink w:anchor="_Toc52181745" w:history="1">
        <w:r w:rsidRPr="00E53E72">
          <w:rPr>
            <w:rStyle w:val="Hyperlink"/>
            <w:noProof/>
          </w:rPr>
          <w:t>F.3.13</w:t>
        </w:r>
        <w:r w:rsidRPr="00E53E72">
          <w:rPr>
            <w:rStyle w:val="Hyperlink"/>
            <w:rFonts w:eastAsia="Malgun Gothic"/>
            <w:bCs/>
            <w:noProof/>
          </w:rPr>
          <w:t xml:space="preserve"> Buffering period SEI message semantics</w:t>
        </w:r>
        <w:r>
          <w:rPr>
            <w:noProof/>
            <w:webHidden/>
          </w:rPr>
          <w:tab/>
        </w:r>
        <w:r>
          <w:rPr>
            <w:noProof/>
            <w:webHidden/>
          </w:rPr>
          <w:fldChar w:fldCharType="begin"/>
        </w:r>
        <w:r>
          <w:rPr>
            <w:noProof/>
            <w:webHidden/>
          </w:rPr>
          <w:instrText xml:space="preserve"> PAGEREF _Toc52181745 \h </w:instrText>
        </w:r>
        <w:r>
          <w:rPr>
            <w:noProof/>
            <w:webHidden/>
          </w:rPr>
        </w:r>
        <w:r>
          <w:rPr>
            <w:noProof/>
            <w:webHidden/>
          </w:rPr>
          <w:fldChar w:fldCharType="separate"/>
        </w:r>
        <w:r>
          <w:rPr>
            <w:noProof/>
            <w:webHidden/>
          </w:rPr>
          <w:t>228</w:t>
        </w:r>
        <w:r>
          <w:rPr>
            <w:noProof/>
            <w:webHidden/>
          </w:rPr>
          <w:fldChar w:fldCharType="end"/>
        </w:r>
      </w:hyperlink>
    </w:p>
    <w:p w14:paraId="232310DB" w14:textId="56123CC8" w:rsidR="00507A67" w:rsidRDefault="00507A67">
      <w:pPr>
        <w:pStyle w:val="TOC3"/>
        <w:rPr>
          <w:rFonts w:asciiTheme="minorHAnsi" w:hAnsiTheme="minorHAnsi" w:cstheme="minorBidi"/>
          <w:b w:val="0"/>
          <w:noProof/>
          <w:lang w:eastAsia="en-CA"/>
        </w:rPr>
      </w:pPr>
      <w:hyperlink w:anchor="_Toc52181746" w:history="1">
        <w:r w:rsidRPr="00E53E72">
          <w:rPr>
            <w:rStyle w:val="Hyperlink"/>
            <w:noProof/>
          </w:rPr>
          <w:t>F.3.14</w:t>
        </w:r>
        <w:r w:rsidRPr="00E53E72">
          <w:rPr>
            <w:rStyle w:val="Hyperlink"/>
            <w:rFonts w:eastAsia="Malgun Gothic"/>
            <w:bCs/>
            <w:noProof/>
          </w:rPr>
          <w:t xml:space="preserve"> Atlas frame timing SEI message semantics</w:t>
        </w:r>
        <w:r>
          <w:rPr>
            <w:noProof/>
            <w:webHidden/>
          </w:rPr>
          <w:tab/>
        </w:r>
        <w:r>
          <w:rPr>
            <w:noProof/>
            <w:webHidden/>
          </w:rPr>
          <w:fldChar w:fldCharType="begin"/>
        </w:r>
        <w:r>
          <w:rPr>
            <w:noProof/>
            <w:webHidden/>
          </w:rPr>
          <w:instrText xml:space="preserve"> PAGEREF _Toc52181746 \h </w:instrText>
        </w:r>
        <w:r>
          <w:rPr>
            <w:noProof/>
            <w:webHidden/>
          </w:rPr>
        </w:r>
        <w:r>
          <w:rPr>
            <w:noProof/>
            <w:webHidden/>
          </w:rPr>
          <w:fldChar w:fldCharType="separate"/>
        </w:r>
        <w:r>
          <w:rPr>
            <w:noProof/>
            <w:webHidden/>
          </w:rPr>
          <w:t>232</w:t>
        </w:r>
        <w:r>
          <w:rPr>
            <w:noProof/>
            <w:webHidden/>
          </w:rPr>
          <w:fldChar w:fldCharType="end"/>
        </w:r>
      </w:hyperlink>
    </w:p>
    <w:p w14:paraId="134A7302" w14:textId="09B2B0F8" w:rsidR="00507A67" w:rsidRDefault="00507A67">
      <w:pPr>
        <w:pStyle w:val="TOC3"/>
        <w:rPr>
          <w:rFonts w:asciiTheme="minorHAnsi" w:hAnsiTheme="minorHAnsi" w:cstheme="minorBidi"/>
          <w:b w:val="0"/>
          <w:noProof/>
          <w:lang w:eastAsia="en-CA"/>
        </w:rPr>
      </w:pPr>
      <w:hyperlink w:anchor="_Toc52181747" w:history="1">
        <w:r w:rsidRPr="00E53E72">
          <w:rPr>
            <w:rStyle w:val="Hyperlink"/>
            <w:noProof/>
          </w:rPr>
          <w:t>F.3.15 Viewport SEI messages family semantics</w:t>
        </w:r>
        <w:r>
          <w:rPr>
            <w:noProof/>
            <w:webHidden/>
          </w:rPr>
          <w:tab/>
        </w:r>
        <w:r>
          <w:rPr>
            <w:noProof/>
            <w:webHidden/>
          </w:rPr>
          <w:fldChar w:fldCharType="begin"/>
        </w:r>
        <w:r>
          <w:rPr>
            <w:noProof/>
            <w:webHidden/>
          </w:rPr>
          <w:instrText xml:space="preserve"> PAGEREF _Toc52181747 \h </w:instrText>
        </w:r>
        <w:r>
          <w:rPr>
            <w:noProof/>
            <w:webHidden/>
          </w:rPr>
        </w:r>
        <w:r>
          <w:rPr>
            <w:noProof/>
            <w:webHidden/>
          </w:rPr>
          <w:fldChar w:fldCharType="separate"/>
        </w:r>
        <w:r>
          <w:rPr>
            <w:noProof/>
            <w:webHidden/>
          </w:rPr>
          <w:t>234</w:t>
        </w:r>
        <w:r>
          <w:rPr>
            <w:noProof/>
            <w:webHidden/>
          </w:rPr>
          <w:fldChar w:fldCharType="end"/>
        </w:r>
      </w:hyperlink>
    </w:p>
    <w:p w14:paraId="2A2AD836" w14:textId="556A66C1" w:rsidR="00507A67" w:rsidRDefault="00507A67">
      <w:pPr>
        <w:pStyle w:val="TOC3"/>
        <w:rPr>
          <w:rFonts w:asciiTheme="minorHAnsi" w:hAnsiTheme="minorHAnsi" w:cstheme="minorBidi"/>
          <w:b w:val="0"/>
          <w:noProof/>
          <w:lang w:eastAsia="en-CA"/>
        </w:rPr>
      </w:pPr>
      <w:hyperlink w:anchor="_Toc52181748" w:history="1">
        <w:r w:rsidRPr="00E53E72">
          <w:rPr>
            <w:rStyle w:val="Hyperlink"/>
            <w:noProof/>
          </w:rPr>
          <w:t>F.3.16 Decoded Atlas Information Hash SEI message semantics</w:t>
        </w:r>
        <w:r>
          <w:rPr>
            <w:noProof/>
            <w:webHidden/>
          </w:rPr>
          <w:tab/>
        </w:r>
        <w:r>
          <w:rPr>
            <w:noProof/>
            <w:webHidden/>
          </w:rPr>
          <w:fldChar w:fldCharType="begin"/>
        </w:r>
        <w:r>
          <w:rPr>
            <w:noProof/>
            <w:webHidden/>
          </w:rPr>
          <w:instrText xml:space="preserve"> PAGEREF _Toc52181748 \h </w:instrText>
        </w:r>
        <w:r>
          <w:rPr>
            <w:noProof/>
            <w:webHidden/>
          </w:rPr>
        </w:r>
        <w:r>
          <w:rPr>
            <w:noProof/>
            <w:webHidden/>
          </w:rPr>
          <w:fldChar w:fldCharType="separate"/>
        </w:r>
        <w:r>
          <w:rPr>
            <w:noProof/>
            <w:webHidden/>
          </w:rPr>
          <w:t>236</w:t>
        </w:r>
        <w:r>
          <w:rPr>
            <w:noProof/>
            <w:webHidden/>
          </w:rPr>
          <w:fldChar w:fldCharType="end"/>
        </w:r>
      </w:hyperlink>
    </w:p>
    <w:p w14:paraId="48B56A35" w14:textId="63E8E254" w:rsidR="00507A67" w:rsidRDefault="00507A67">
      <w:pPr>
        <w:pStyle w:val="TOC3"/>
        <w:rPr>
          <w:rFonts w:asciiTheme="minorHAnsi" w:hAnsiTheme="minorHAnsi" w:cstheme="minorBidi"/>
          <w:b w:val="0"/>
          <w:noProof/>
          <w:lang w:eastAsia="en-CA"/>
        </w:rPr>
      </w:pPr>
      <w:hyperlink w:anchor="_Toc52181749" w:history="1">
        <w:r w:rsidRPr="00E53E72">
          <w:rPr>
            <w:rStyle w:val="Hyperlink"/>
            <w:noProof/>
          </w:rPr>
          <w:t>F.3.16.1 General</w:t>
        </w:r>
        <w:r>
          <w:rPr>
            <w:noProof/>
            <w:webHidden/>
          </w:rPr>
          <w:tab/>
        </w:r>
        <w:r>
          <w:rPr>
            <w:noProof/>
            <w:webHidden/>
          </w:rPr>
          <w:fldChar w:fldCharType="begin"/>
        </w:r>
        <w:r>
          <w:rPr>
            <w:noProof/>
            <w:webHidden/>
          </w:rPr>
          <w:instrText xml:space="preserve"> PAGEREF _Toc52181749 \h </w:instrText>
        </w:r>
        <w:r>
          <w:rPr>
            <w:noProof/>
            <w:webHidden/>
          </w:rPr>
        </w:r>
        <w:r>
          <w:rPr>
            <w:noProof/>
            <w:webHidden/>
          </w:rPr>
          <w:fldChar w:fldCharType="separate"/>
        </w:r>
        <w:r>
          <w:rPr>
            <w:noProof/>
            <w:webHidden/>
          </w:rPr>
          <w:t>236</w:t>
        </w:r>
        <w:r>
          <w:rPr>
            <w:noProof/>
            <w:webHidden/>
          </w:rPr>
          <w:fldChar w:fldCharType="end"/>
        </w:r>
      </w:hyperlink>
    </w:p>
    <w:p w14:paraId="72B83DE1" w14:textId="0A57B1BC" w:rsidR="00507A67" w:rsidRDefault="00507A67">
      <w:pPr>
        <w:pStyle w:val="TOC3"/>
        <w:rPr>
          <w:rFonts w:asciiTheme="minorHAnsi" w:hAnsiTheme="minorHAnsi" w:cstheme="minorBidi"/>
          <w:b w:val="0"/>
          <w:noProof/>
          <w:lang w:eastAsia="en-CA"/>
        </w:rPr>
      </w:pPr>
      <w:hyperlink w:anchor="_Toc52181750" w:history="1">
        <w:r w:rsidRPr="00E53E72">
          <w:rPr>
            <w:rStyle w:val="Hyperlink"/>
            <w:noProof/>
          </w:rPr>
          <w:t>F.3.17 Time code SEI message semantics</w:t>
        </w:r>
        <w:r>
          <w:rPr>
            <w:noProof/>
            <w:webHidden/>
          </w:rPr>
          <w:tab/>
        </w:r>
        <w:r>
          <w:rPr>
            <w:noProof/>
            <w:webHidden/>
          </w:rPr>
          <w:fldChar w:fldCharType="begin"/>
        </w:r>
        <w:r>
          <w:rPr>
            <w:noProof/>
            <w:webHidden/>
          </w:rPr>
          <w:instrText xml:space="preserve"> PAGEREF _Toc52181750 \h </w:instrText>
        </w:r>
        <w:r>
          <w:rPr>
            <w:noProof/>
            <w:webHidden/>
          </w:rPr>
        </w:r>
        <w:r>
          <w:rPr>
            <w:noProof/>
            <w:webHidden/>
          </w:rPr>
          <w:fldChar w:fldCharType="separate"/>
        </w:r>
        <w:r>
          <w:rPr>
            <w:noProof/>
            <w:webHidden/>
          </w:rPr>
          <w:t>248</w:t>
        </w:r>
        <w:r>
          <w:rPr>
            <w:noProof/>
            <w:webHidden/>
          </w:rPr>
          <w:fldChar w:fldCharType="end"/>
        </w:r>
      </w:hyperlink>
    </w:p>
    <w:p w14:paraId="212ADDA5" w14:textId="0E3FA78E" w:rsidR="00507A67" w:rsidRDefault="00507A67">
      <w:pPr>
        <w:pStyle w:val="TOC3"/>
        <w:rPr>
          <w:rFonts w:asciiTheme="minorHAnsi" w:hAnsiTheme="minorHAnsi" w:cstheme="minorBidi"/>
          <w:b w:val="0"/>
          <w:noProof/>
          <w:lang w:eastAsia="en-CA"/>
        </w:rPr>
      </w:pPr>
      <w:hyperlink w:anchor="_Toc52181751" w:history="1">
        <w:r w:rsidRPr="00E53E72">
          <w:rPr>
            <w:rStyle w:val="Hyperlink"/>
            <w:noProof/>
          </w:rPr>
          <w:t>F.3.18 Packed independent regions SEI payload semantics</w:t>
        </w:r>
        <w:r>
          <w:rPr>
            <w:noProof/>
            <w:webHidden/>
          </w:rPr>
          <w:tab/>
        </w:r>
        <w:r>
          <w:rPr>
            <w:noProof/>
            <w:webHidden/>
          </w:rPr>
          <w:fldChar w:fldCharType="begin"/>
        </w:r>
        <w:r>
          <w:rPr>
            <w:noProof/>
            <w:webHidden/>
          </w:rPr>
          <w:instrText xml:space="preserve"> PAGEREF _Toc52181751 \h </w:instrText>
        </w:r>
        <w:r>
          <w:rPr>
            <w:noProof/>
            <w:webHidden/>
          </w:rPr>
        </w:r>
        <w:r>
          <w:rPr>
            <w:noProof/>
            <w:webHidden/>
          </w:rPr>
          <w:fldChar w:fldCharType="separate"/>
        </w:r>
        <w:r>
          <w:rPr>
            <w:noProof/>
            <w:webHidden/>
          </w:rPr>
          <w:t>250</w:t>
        </w:r>
        <w:r>
          <w:rPr>
            <w:noProof/>
            <w:webHidden/>
          </w:rPr>
          <w:fldChar w:fldCharType="end"/>
        </w:r>
      </w:hyperlink>
    </w:p>
    <w:p w14:paraId="0485D4FE" w14:textId="2D3646AF" w:rsidR="00507A67" w:rsidRDefault="00507A67">
      <w:pPr>
        <w:pStyle w:val="TOC1"/>
        <w:rPr>
          <w:rFonts w:asciiTheme="minorHAnsi" w:hAnsiTheme="minorHAnsi" w:cstheme="minorBidi"/>
          <w:b w:val="0"/>
          <w:noProof/>
          <w:lang w:eastAsia="en-CA"/>
        </w:rPr>
      </w:pPr>
      <w:hyperlink w:anchor="_Toc52181752" w:history="1">
        <w:r w:rsidRPr="00E53E72">
          <w:rPr>
            <w:rStyle w:val="Hyperlink"/>
            <w:noProof/>
          </w:rPr>
          <w:t>Annex G (informative) Volumetric usability information</w:t>
        </w:r>
        <w:r>
          <w:rPr>
            <w:noProof/>
            <w:webHidden/>
          </w:rPr>
          <w:tab/>
        </w:r>
        <w:r>
          <w:rPr>
            <w:noProof/>
            <w:webHidden/>
          </w:rPr>
          <w:fldChar w:fldCharType="begin"/>
        </w:r>
        <w:r>
          <w:rPr>
            <w:noProof/>
            <w:webHidden/>
          </w:rPr>
          <w:instrText xml:space="preserve"> PAGEREF _Toc52181752 \h </w:instrText>
        </w:r>
        <w:r>
          <w:rPr>
            <w:noProof/>
            <w:webHidden/>
          </w:rPr>
        </w:r>
        <w:r>
          <w:rPr>
            <w:noProof/>
            <w:webHidden/>
          </w:rPr>
          <w:fldChar w:fldCharType="separate"/>
        </w:r>
        <w:r>
          <w:rPr>
            <w:noProof/>
            <w:webHidden/>
          </w:rPr>
          <w:t>251</w:t>
        </w:r>
        <w:r>
          <w:rPr>
            <w:noProof/>
            <w:webHidden/>
          </w:rPr>
          <w:fldChar w:fldCharType="end"/>
        </w:r>
      </w:hyperlink>
    </w:p>
    <w:p w14:paraId="1D48C3C8" w14:textId="321AED41" w:rsidR="00507A67" w:rsidRDefault="00507A67">
      <w:pPr>
        <w:pStyle w:val="TOC2"/>
        <w:rPr>
          <w:rFonts w:asciiTheme="minorHAnsi" w:hAnsiTheme="minorHAnsi" w:cstheme="minorBidi"/>
          <w:b w:val="0"/>
          <w:noProof/>
          <w:lang w:eastAsia="en-CA"/>
        </w:rPr>
      </w:pPr>
      <w:hyperlink w:anchor="_Toc52181753" w:history="1">
        <w:r w:rsidRPr="00E53E72">
          <w:rPr>
            <w:rStyle w:val="Hyperlink"/>
            <w:noProof/>
          </w:rPr>
          <w:t>G.1 General</w:t>
        </w:r>
        <w:r>
          <w:rPr>
            <w:noProof/>
            <w:webHidden/>
          </w:rPr>
          <w:tab/>
        </w:r>
        <w:r>
          <w:rPr>
            <w:noProof/>
            <w:webHidden/>
          </w:rPr>
          <w:fldChar w:fldCharType="begin"/>
        </w:r>
        <w:r>
          <w:rPr>
            <w:noProof/>
            <w:webHidden/>
          </w:rPr>
          <w:instrText xml:space="preserve"> PAGEREF _Toc52181753 \h </w:instrText>
        </w:r>
        <w:r>
          <w:rPr>
            <w:noProof/>
            <w:webHidden/>
          </w:rPr>
        </w:r>
        <w:r>
          <w:rPr>
            <w:noProof/>
            <w:webHidden/>
          </w:rPr>
          <w:fldChar w:fldCharType="separate"/>
        </w:r>
        <w:r>
          <w:rPr>
            <w:noProof/>
            <w:webHidden/>
          </w:rPr>
          <w:t>251</w:t>
        </w:r>
        <w:r>
          <w:rPr>
            <w:noProof/>
            <w:webHidden/>
          </w:rPr>
          <w:fldChar w:fldCharType="end"/>
        </w:r>
      </w:hyperlink>
    </w:p>
    <w:p w14:paraId="0B8B8948" w14:textId="27AD8A89" w:rsidR="00507A67" w:rsidRDefault="00507A67">
      <w:pPr>
        <w:pStyle w:val="TOC2"/>
        <w:rPr>
          <w:rFonts w:asciiTheme="minorHAnsi" w:hAnsiTheme="minorHAnsi" w:cstheme="minorBidi"/>
          <w:b w:val="0"/>
          <w:noProof/>
          <w:lang w:eastAsia="en-CA"/>
        </w:rPr>
      </w:pPr>
      <w:hyperlink w:anchor="_Toc52181754" w:history="1">
        <w:r w:rsidRPr="00E53E72">
          <w:rPr>
            <w:rStyle w:val="Hyperlink"/>
            <w:noProof/>
          </w:rPr>
          <w:t>G.2 VUI syntax</w:t>
        </w:r>
        <w:r>
          <w:rPr>
            <w:noProof/>
            <w:webHidden/>
          </w:rPr>
          <w:tab/>
        </w:r>
        <w:r>
          <w:rPr>
            <w:noProof/>
            <w:webHidden/>
          </w:rPr>
          <w:fldChar w:fldCharType="begin"/>
        </w:r>
        <w:r>
          <w:rPr>
            <w:noProof/>
            <w:webHidden/>
          </w:rPr>
          <w:instrText xml:space="preserve"> PAGEREF _Toc52181754 \h </w:instrText>
        </w:r>
        <w:r>
          <w:rPr>
            <w:noProof/>
            <w:webHidden/>
          </w:rPr>
        </w:r>
        <w:r>
          <w:rPr>
            <w:noProof/>
            <w:webHidden/>
          </w:rPr>
          <w:fldChar w:fldCharType="separate"/>
        </w:r>
        <w:r>
          <w:rPr>
            <w:noProof/>
            <w:webHidden/>
          </w:rPr>
          <w:t>252</w:t>
        </w:r>
        <w:r>
          <w:rPr>
            <w:noProof/>
            <w:webHidden/>
          </w:rPr>
          <w:fldChar w:fldCharType="end"/>
        </w:r>
      </w:hyperlink>
    </w:p>
    <w:p w14:paraId="031E366C" w14:textId="5B97A7F8" w:rsidR="00507A67" w:rsidRDefault="00507A67">
      <w:pPr>
        <w:pStyle w:val="TOC3"/>
        <w:rPr>
          <w:rFonts w:asciiTheme="minorHAnsi" w:hAnsiTheme="minorHAnsi" w:cstheme="minorBidi"/>
          <w:b w:val="0"/>
          <w:noProof/>
          <w:lang w:eastAsia="en-CA"/>
        </w:rPr>
      </w:pPr>
      <w:hyperlink w:anchor="_Toc52181755" w:history="1">
        <w:r w:rsidRPr="00E53E72">
          <w:rPr>
            <w:rStyle w:val="Hyperlink"/>
            <w:noProof/>
          </w:rPr>
          <w:t>G.2.1 VUI parameters syntax</w:t>
        </w:r>
        <w:r>
          <w:rPr>
            <w:noProof/>
            <w:webHidden/>
          </w:rPr>
          <w:tab/>
        </w:r>
        <w:r>
          <w:rPr>
            <w:noProof/>
            <w:webHidden/>
          </w:rPr>
          <w:fldChar w:fldCharType="begin"/>
        </w:r>
        <w:r>
          <w:rPr>
            <w:noProof/>
            <w:webHidden/>
          </w:rPr>
          <w:instrText xml:space="preserve"> PAGEREF _Toc52181755 \h </w:instrText>
        </w:r>
        <w:r>
          <w:rPr>
            <w:noProof/>
            <w:webHidden/>
          </w:rPr>
        </w:r>
        <w:r>
          <w:rPr>
            <w:noProof/>
            <w:webHidden/>
          </w:rPr>
          <w:fldChar w:fldCharType="separate"/>
        </w:r>
        <w:r>
          <w:rPr>
            <w:noProof/>
            <w:webHidden/>
          </w:rPr>
          <w:t>252</w:t>
        </w:r>
        <w:r>
          <w:rPr>
            <w:noProof/>
            <w:webHidden/>
          </w:rPr>
          <w:fldChar w:fldCharType="end"/>
        </w:r>
      </w:hyperlink>
    </w:p>
    <w:p w14:paraId="391A879B" w14:textId="12105AC1" w:rsidR="00507A67" w:rsidRDefault="00507A67">
      <w:pPr>
        <w:pStyle w:val="TOC3"/>
        <w:rPr>
          <w:rFonts w:asciiTheme="minorHAnsi" w:hAnsiTheme="minorHAnsi" w:cstheme="minorBidi"/>
          <w:b w:val="0"/>
          <w:noProof/>
          <w:lang w:eastAsia="en-CA"/>
        </w:rPr>
      </w:pPr>
      <w:hyperlink w:anchor="_Toc52181756" w:history="1">
        <w:r w:rsidRPr="00E53E72">
          <w:rPr>
            <w:rStyle w:val="Hyperlink"/>
            <w:noProof/>
          </w:rPr>
          <w:t>G.2.2 HRD parameters syntax</w:t>
        </w:r>
        <w:r>
          <w:rPr>
            <w:noProof/>
            <w:webHidden/>
          </w:rPr>
          <w:tab/>
        </w:r>
        <w:r>
          <w:rPr>
            <w:noProof/>
            <w:webHidden/>
          </w:rPr>
          <w:fldChar w:fldCharType="begin"/>
        </w:r>
        <w:r>
          <w:rPr>
            <w:noProof/>
            <w:webHidden/>
          </w:rPr>
          <w:instrText xml:space="preserve"> PAGEREF _Toc52181756 \h </w:instrText>
        </w:r>
        <w:r>
          <w:rPr>
            <w:noProof/>
            <w:webHidden/>
          </w:rPr>
        </w:r>
        <w:r>
          <w:rPr>
            <w:noProof/>
            <w:webHidden/>
          </w:rPr>
          <w:fldChar w:fldCharType="separate"/>
        </w:r>
        <w:r>
          <w:rPr>
            <w:noProof/>
            <w:webHidden/>
          </w:rPr>
          <w:t>252</w:t>
        </w:r>
        <w:r>
          <w:rPr>
            <w:noProof/>
            <w:webHidden/>
          </w:rPr>
          <w:fldChar w:fldCharType="end"/>
        </w:r>
      </w:hyperlink>
    </w:p>
    <w:p w14:paraId="49D10BE5" w14:textId="1D9782DA" w:rsidR="00507A67" w:rsidRDefault="00507A67">
      <w:pPr>
        <w:pStyle w:val="TOC3"/>
        <w:rPr>
          <w:rFonts w:asciiTheme="minorHAnsi" w:hAnsiTheme="minorHAnsi" w:cstheme="minorBidi"/>
          <w:b w:val="0"/>
          <w:noProof/>
          <w:lang w:eastAsia="en-CA"/>
        </w:rPr>
      </w:pPr>
      <w:hyperlink w:anchor="_Toc52181757" w:history="1">
        <w:r w:rsidRPr="00E53E72">
          <w:rPr>
            <w:rStyle w:val="Hyperlink"/>
            <w:noProof/>
          </w:rPr>
          <w:t>G.2.3 Sub-layer HRD parameters syntax</w:t>
        </w:r>
        <w:r>
          <w:rPr>
            <w:noProof/>
            <w:webHidden/>
          </w:rPr>
          <w:tab/>
        </w:r>
        <w:r>
          <w:rPr>
            <w:noProof/>
            <w:webHidden/>
          </w:rPr>
          <w:fldChar w:fldCharType="begin"/>
        </w:r>
        <w:r>
          <w:rPr>
            <w:noProof/>
            <w:webHidden/>
          </w:rPr>
          <w:instrText xml:space="preserve"> PAGEREF _Toc52181757 \h </w:instrText>
        </w:r>
        <w:r>
          <w:rPr>
            <w:noProof/>
            <w:webHidden/>
          </w:rPr>
        </w:r>
        <w:r>
          <w:rPr>
            <w:noProof/>
            <w:webHidden/>
          </w:rPr>
          <w:fldChar w:fldCharType="separate"/>
        </w:r>
        <w:r>
          <w:rPr>
            <w:noProof/>
            <w:webHidden/>
          </w:rPr>
          <w:t>254</w:t>
        </w:r>
        <w:r>
          <w:rPr>
            <w:noProof/>
            <w:webHidden/>
          </w:rPr>
          <w:fldChar w:fldCharType="end"/>
        </w:r>
      </w:hyperlink>
    </w:p>
    <w:p w14:paraId="73C21EB7" w14:textId="3D01AAB8" w:rsidR="00507A67" w:rsidRDefault="00507A67">
      <w:pPr>
        <w:pStyle w:val="TOC3"/>
        <w:rPr>
          <w:rFonts w:asciiTheme="minorHAnsi" w:hAnsiTheme="minorHAnsi" w:cstheme="minorBidi"/>
          <w:b w:val="0"/>
          <w:noProof/>
          <w:lang w:eastAsia="en-CA"/>
        </w:rPr>
      </w:pPr>
      <w:hyperlink w:anchor="_Toc52181758" w:history="1">
        <w:r w:rsidRPr="00E53E72">
          <w:rPr>
            <w:rStyle w:val="Hyperlink"/>
            <w:noProof/>
          </w:rPr>
          <w:t>G.2.4 Maximum coded video resolution syntax</w:t>
        </w:r>
        <w:r>
          <w:rPr>
            <w:noProof/>
            <w:webHidden/>
          </w:rPr>
          <w:tab/>
        </w:r>
        <w:r>
          <w:rPr>
            <w:noProof/>
            <w:webHidden/>
          </w:rPr>
          <w:fldChar w:fldCharType="begin"/>
        </w:r>
        <w:r>
          <w:rPr>
            <w:noProof/>
            <w:webHidden/>
          </w:rPr>
          <w:instrText xml:space="preserve"> PAGEREF _Toc52181758 \h </w:instrText>
        </w:r>
        <w:r>
          <w:rPr>
            <w:noProof/>
            <w:webHidden/>
          </w:rPr>
        </w:r>
        <w:r>
          <w:rPr>
            <w:noProof/>
            <w:webHidden/>
          </w:rPr>
          <w:fldChar w:fldCharType="separate"/>
        </w:r>
        <w:r>
          <w:rPr>
            <w:noProof/>
            <w:webHidden/>
          </w:rPr>
          <w:t>254</w:t>
        </w:r>
        <w:r>
          <w:rPr>
            <w:noProof/>
            <w:webHidden/>
          </w:rPr>
          <w:fldChar w:fldCharType="end"/>
        </w:r>
      </w:hyperlink>
    </w:p>
    <w:p w14:paraId="79213A1A" w14:textId="737D3610" w:rsidR="00507A67" w:rsidRDefault="00507A67">
      <w:pPr>
        <w:pStyle w:val="TOC3"/>
        <w:rPr>
          <w:rFonts w:asciiTheme="minorHAnsi" w:hAnsiTheme="minorHAnsi" w:cstheme="minorBidi"/>
          <w:b w:val="0"/>
          <w:noProof/>
          <w:lang w:eastAsia="en-CA"/>
        </w:rPr>
      </w:pPr>
      <w:hyperlink w:anchor="_Toc52181759" w:history="1">
        <w:r w:rsidRPr="00E53E72">
          <w:rPr>
            <w:rStyle w:val="Hyperlink"/>
            <w:noProof/>
          </w:rPr>
          <w:t>G.2.5 Coordinate system parameters syntax</w:t>
        </w:r>
        <w:r>
          <w:rPr>
            <w:noProof/>
            <w:webHidden/>
          </w:rPr>
          <w:tab/>
        </w:r>
        <w:r>
          <w:rPr>
            <w:noProof/>
            <w:webHidden/>
          </w:rPr>
          <w:fldChar w:fldCharType="begin"/>
        </w:r>
        <w:r>
          <w:rPr>
            <w:noProof/>
            <w:webHidden/>
          </w:rPr>
          <w:instrText xml:space="preserve"> PAGEREF _Toc52181759 \h </w:instrText>
        </w:r>
        <w:r>
          <w:rPr>
            <w:noProof/>
            <w:webHidden/>
          </w:rPr>
        </w:r>
        <w:r>
          <w:rPr>
            <w:noProof/>
            <w:webHidden/>
          </w:rPr>
          <w:fldChar w:fldCharType="separate"/>
        </w:r>
        <w:r>
          <w:rPr>
            <w:noProof/>
            <w:webHidden/>
          </w:rPr>
          <w:t>254</w:t>
        </w:r>
        <w:r>
          <w:rPr>
            <w:noProof/>
            <w:webHidden/>
          </w:rPr>
          <w:fldChar w:fldCharType="end"/>
        </w:r>
      </w:hyperlink>
    </w:p>
    <w:p w14:paraId="0ABEFFBE" w14:textId="0E4B070B" w:rsidR="00507A67" w:rsidRDefault="00507A67">
      <w:pPr>
        <w:pStyle w:val="TOC2"/>
        <w:rPr>
          <w:rFonts w:asciiTheme="minorHAnsi" w:hAnsiTheme="minorHAnsi" w:cstheme="minorBidi"/>
          <w:b w:val="0"/>
          <w:noProof/>
          <w:lang w:eastAsia="en-CA"/>
        </w:rPr>
      </w:pPr>
      <w:hyperlink w:anchor="_Toc52181760" w:history="1">
        <w:r w:rsidRPr="00E53E72">
          <w:rPr>
            <w:rStyle w:val="Hyperlink"/>
            <w:noProof/>
          </w:rPr>
          <w:t>G.3 VUI semantics</w:t>
        </w:r>
        <w:r>
          <w:rPr>
            <w:noProof/>
            <w:webHidden/>
          </w:rPr>
          <w:tab/>
        </w:r>
        <w:r>
          <w:rPr>
            <w:noProof/>
            <w:webHidden/>
          </w:rPr>
          <w:fldChar w:fldCharType="begin"/>
        </w:r>
        <w:r>
          <w:rPr>
            <w:noProof/>
            <w:webHidden/>
          </w:rPr>
          <w:instrText xml:space="preserve"> PAGEREF _Toc52181760 \h </w:instrText>
        </w:r>
        <w:r>
          <w:rPr>
            <w:noProof/>
            <w:webHidden/>
          </w:rPr>
        </w:r>
        <w:r>
          <w:rPr>
            <w:noProof/>
            <w:webHidden/>
          </w:rPr>
          <w:fldChar w:fldCharType="separate"/>
        </w:r>
        <w:r>
          <w:rPr>
            <w:noProof/>
            <w:webHidden/>
          </w:rPr>
          <w:t>254</w:t>
        </w:r>
        <w:r>
          <w:rPr>
            <w:noProof/>
            <w:webHidden/>
          </w:rPr>
          <w:fldChar w:fldCharType="end"/>
        </w:r>
      </w:hyperlink>
    </w:p>
    <w:p w14:paraId="5C65DF15" w14:textId="5C072FE1" w:rsidR="00507A67" w:rsidRDefault="00507A67">
      <w:pPr>
        <w:pStyle w:val="TOC3"/>
        <w:rPr>
          <w:rFonts w:asciiTheme="minorHAnsi" w:hAnsiTheme="minorHAnsi" w:cstheme="minorBidi"/>
          <w:b w:val="0"/>
          <w:noProof/>
          <w:lang w:eastAsia="en-CA"/>
        </w:rPr>
      </w:pPr>
      <w:hyperlink w:anchor="_Toc52181761" w:history="1">
        <w:r w:rsidRPr="00E53E72">
          <w:rPr>
            <w:rStyle w:val="Hyperlink"/>
            <w:noProof/>
          </w:rPr>
          <w:t>G.3.1 VUI parameters semantics</w:t>
        </w:r>
        <w:r>
          <w:rPr>
            <w:noProof/>
            <w:webHidden/>
          </w:rPr>
          <w:tab/>
        </w:r>
        <w:r>
          <w:rPr>
            <w:noProof/>
            <w:webHidden/>
          </w:rPr>
          <w:fldChar w:fldCharType="begin"/>
        </w:r>
        <w:r>
          <w:rPr>
            <w:noProof/>
            <w:webHidden/>
          </w:rPr>
          <w:instrText xml:space="preserve"> PAGEREF _Toc52181761 \h </w:instrText>
        </w:r>
        <w:r>
          <w:rPr>
            <w:noProof/>
            <w:webHidden/>
          </w:rPr>
        </w:r>
        <w:r>
          <w:rPr>
            <w:noProof/>
            <w:webHidden/>
          </w:rPr>
          <w:fldChar w:fldCharType="separate"/>
        </w:r>
        <w:r>
          <w:rPr>
            <w:noProof/>
            <w:webHidden/>
          </w:rPr>
          <w:t>254</w:t>
        </w:r>
        <w:r>
          <w:rPr>
            <w:noProof/>
            <w:webHidden/>
          </w:rPr>
          <w:fldChar w:fldCharType="end"/>
        </w:r>
      </w:hyperlink>
    </w:p>
    <w:p w14:paraId="4B2C1846" w14:textId="16B03408" w:rsidR="00507A67" w:rsidRDefault="00507A67">
      <w:pPr>
        <w:pStyle w:val="TOC3"/>
        <w:rPr>
          <w:rFonts w:asciiTheme="minorHAnsi" w:hAnsiTheme="minorHAnsi" w:cstheme="minorBidi"/>
          <w:b w:val="0"/>
          <w:noProof/>
          <w:lang w:eastAsia="en-CA"/>
        </w:rPr>
      </w:pPr>
      <w:hyperlink w:anchor="_Toc52181762" w:history="1">
        <w:r w:rsidRPr="00E53E72">
          <w:rPr>
            <w:rStyle w:val="Hyperlink"/>
            <w:noProof/>
          </w:rPr>
          <w:t>G.3.2 HRD parameters semantics</w:t>
        </w:r>
        <w:r>
          <w:rPr>
            <w:noProof/>
            <w:webHidden/>
          </w:rPr>
          <w:tab/>
        </w:r>
        <w:r>
          <w:rPr>
            <w:noProof/>
            <w:webHidden/>
          </w:rPr>
          <w:fldChar w:fldCharType="begin"/>
        </w:r>
        <w:r>
          <w:rPr>
            <w:noProof/>
            <w:webHidden/>
          </w:rPr>
          <w:instrText xml:space="preserve"> PAGEREF _Toc52181762 \h </w:instrText>
        </w:r>
        <w:r>
          <w:rPr>
            <w:noProof/>
            <w:webHidden/>
          </w:rPr>
        </w:r>
        <w:r>
          <w:rPr>
            <w:noProof/>
            <w:webHidden/>
          </w:rPr>
          <w:fldChar w:fldCharType="separate"/>
        </w:r>
        <w:r>
          <w:rPr>
            <w:noProof/>
            <w:webHidden/>
          </w:rPr>
          <w:t>258</w:t>
        </w:r>
        <w:r>
          <w:rPr>
            <w:noProof/>
            <w:webHidden/>
          </w:rPr>
          <w:fldChar w:fldCharType="end"/>
        </w:r>
      </w:hyperlink>
    </w:p>
    <w:p w14:paraId="75AC01A1" w14:textId="486D2E17" w:rsidR="00507A67" w:rsidRDefault="00507A67">
      <w:pPr>
        <w:pStyle w:val="TOC3"/>
        <w:rPr>
          <w:rFonts w:asciiTheme="minorHAnsi" w:hAnsiTheme="minorHAnsi" w:cstheme="minorBidi"/>
          <w:b w:val="0"/>
          <w:noProof/>
          <w:lang w:eastAsia="en-CA"/>
        </w:rPr>
      </w:pPr>
      <w:hyperlink w:anchor="_Toc52181763" w:history="1">
        <w:r w:rsidRPr="00E53E72">
          <w:rPr>
            <w:rStyle w:val="Hyperlink"/>
            <w:noProof/>
          </w:rPr>
          <w:t>G.3.3 HRD sub-layer parameters semantics</w:t>
        </w:r>
        <w:r>
          <w:rPr>
            <w:noProof/>
            <w:webHidden/>
          </w:rPr>
          <w:tab/>
        </w:r>
        <w:r>
          <w:rPr>
            <w:noProof/>
            <w:webHidden/>
          </w:rPr>
          <w:fldChar w:fldCharType="begin"/>
        </w:r>
        <w:r>
          <w:rPr>
            <w:noProof/>
            <w:webHidden/>
          </w:rPr>
          <w:instrText xml:space="preserve"> PAGEREF _Toc52181763 \h </w:instrText>
        </w:r>
        <w:r>
          <w:rPr>
            <w:noProof/>
            <w:webHidden/>
          </w:rPr>
        </w:r>
        <w:r>
          <w:rPr>
            <w:noProof/>
            <w:webHidden/>
          </w:rPr>
          <w:fldChar w:fldCharType="separate"/>
        </w:r>
        <w:r>
          <w:rPr>
            <w:noProof/>
            <w:webHidden/>
          </w:rPr>
          <w:t>259</w:t>
        </w:r>
        <w:r>
          <w:rPr>
            <w:noProof/>
            <w:webHidden/>
          </w:rPr>
          <w:fldChar w:fldCharType="end"/>
        </w:r>
      </w:hyperlink>
    </w:p>
    <w:p w14:paraId="62C77346" w14:textId="7E92169D" w:rsidR="00507A67" w:rsidRDefault="00507A67">
      <w:pPr>
        <w:pStyle w:val="TOC3"/>
        <w:rPr>
          <w:rFonts w:asciiTheme="minorHAnsi" w:hAnsiTheme="minorHAnsi" w:cstheme="minorBidi"/>
          <w:b w:val="0"/>
          <w:noProof/>
          <w:lang w:eastAsia="en-CA"/>
        </w:rPr>
      </w:pPr>
      <w:hyperlink w:anchor="_Toc52181764" w:history="1">
        <w:r w:rsidRPr="00E53E72">
          <w:rPr>
            <w:rStyle w:val="Hyperlink"/>
            <w:noProof/>
          </w:rPr>
          <w:t>G.3.4 Maximum coded video resolution semantics</w:t>
        </w:r>
        <w:r>
          <w:rPr>
            <w:noProof/>
            <w:webHidden/>
          </w:rPr>
          <w:tab/>
        </w:r>
        <w:r>
          <w:rPr>
            <w:noProof/>
            <w:webHidden/>
          </w:rPr>
          <w:fldChar w:fldCharType="begin"/>
        </w:r>
        <w:r>
          <w:rPr>
            <w:noProof/>
            <w:webHidden/>
          </w:rPr>
          <w:instrText xml:space="preserve"> PAGEREF _Toc52181764 \h </w:instrText>
        </w:r>
        <w:r>
          <w:rPr>
            <w:noProof/>
            <w:webHidden/>
          </w:rPr>
        </w:r>
        <w:r>
          <w:rPr>
            <w:noProof/>
            <w:webHidden/>
          </w:rPr>
          <w:fldChar w:fldCharType="separate"/>
        </w:r>
        <w:r>
          <w:rPr>
            <w:noProof/>
            <w:webHidden/>
          </w:rPr>
          <w:t>260</w:t>
        </w:r>
        <w:r>
          <w:rPr>
            <w:noProof/>
            <w:webHidden/>
          </w:rPr>
          <w:fldChar w:fldCharType="end"/>
        </w:r>
      </w:hyperlink>
    </w:p>
    <w:p w14:paraId="189E32F4" w14:textId="4C25D7F4" w:rsidR="00507A67" w:rsidRDefault="00507A67">
      <w:pPr>
        <w:pStyle w:val="TOC3"/>
        <w:rPr>
          <w:rFonts w:asciiTheme="minorHAnsi" w:hAnsiTheme="minorHAnsi" w:cstheme="minorBidi"/>
          <w:b w:val="0"/>
          <w:noProof/>
          <w:lang w:eastAsia="en-CA"/>
        </w:rPr>
      </w:pPr>
      <w:hyperlink w:anchor="_Toc52181765" w:history="1">
        <w:r w:rsidRPr="00E53E72">
          <w:rPr>
            <w:rStyle w:val="Hyperlink"/>
            <w:noProof/>
          </w:rPr>
          <w:t>G.3.5 Coordinate system parameters semantics</w:t>
        </w:r>
        <w:r>
          <w:rPr>
            <w:noProof/>
            <w:webHidden/>
          </w:rPr>
          <w:tab/>
        </w:r>
        <w:r>
          <w:rPr>
            <w:noProof/>
            <w:webHidden/>
          </w:rPr>
          <w:fldChar w:fldCharType="begin"/>
        </w:r>
        <w:r>
          <w:rPr>
            <w:noProof/>
            <w:webHidden/>
          </w:rPr>
          <w:instrText xml:space="preserve"> PAGEREF _Toc52181765 \h </w:instrText>
        </w:r>
        <w:r>
          <w:rPr>
            <w:noProof/>
            <w:webHidden/>
          </w:rPr>
        </w:r>
        <w:r>
          <w:rPr>
            <w:noProof/>
            <w:webHidden/>
          </w:rPr>
          <w:fldChar w:fldCharType="separate"/>
        </w:r>
        <w:r>
          <w:rPr>
            <w:noProof/>
            <w:webHidden/>
          </w:rPr>
          <w:t>261</w:t>
        </w:r>
        <w:r>
          <w:rPr>
            <w:noProof/>
            <w:webHidden/>
          </w:rPr>
          <w:fldChar w:fldCharType="end"/>
        </w:r>
      </w:hyperlink>
    </w:p>
    <w:p w14:paraId="08156B0C" w14:textId="59D94006" w:rsidR="00507A67" w:rsidRDefault="00507A67">
      <w:pPr>
        <w:pStyle w:val="TOC1"/>
        <w:rPr>
          <w:rFonts w:asciiTheme="minorHAnsi" w:hAnsiTheme="minorHAnsi" w:cstheme="minorBidi"/>
          <w:b w:val="0"/>
          <w:noProof/>
          <w:lang w:eastAsia="en-CA"/>
        </w:rPr>
      </w:pPr>
      <w:hyperlink w:anchor="_Toc52181766" w:history="1">
        <w:r w:rsidRPr="00E53E72">
          <w:rPr>
            <w:rStyle w:val="Hyperlink"/>
            <w:noProof/>
          </w:rPr>
          <w:t>Annex H (normative) Video-based Point Cloud Coding</w:t>
        </w:r>
        <w:r>
          <w:rPr>
            <w:noProof/>
            <w:webHidden/>
          </w:rPr>
          <w:tab/>
        </w:r>
        <w:r>
          <w:rPr>
            <w:noProof/>
            <w:webHidden/>
          </w:rPr>
          <w:fldChar w:fldCharType="begin"/>
        </w:r>
        <w:r>
          <w:rPr>
            <w:noProof/>
            <w:webHidden/>
          </w:rPr>
          <w:instrText xml:space="preserve"> PAGEREF _Toc52181766 \h </w:instrText>
        </w:r>
        <w:r>
          <w:rPr>
            <w:noProof/>
            <w:webHidden/>
          </w:rPr>
        </w:r>
        <w:r>
          <w:rPr>
            <w:noProof/>
            <w:webHidden/>
          </w:rPr>
          <w:fldChar w:fldCharType="separate"/>
        </w:r>
        <w:r>
          <w:rPr>
            <w:noProof/>
            <w:webHidden/>
          </w:rPr>
          <w:t>263</w:t>
        </w:r>
        <w:r>
          <w:rPr>
            <w:noProof/>
            <w:webHidden/>
          </w:rPr>
          <w:fldChar w:fldCharType="end"/>
        </w:r>
      </w:hyperlink>
    </w:p>
    <w:p w14:paraId="38B86BE0" w14:textId="2E9CE9BD" w:rsidR="00507A67" w:rsidRDefault="00507A67">
      <w:pPr>
        <w:pStyle w:val="TOC2"/>
        <w:rPr>
          <w:rFonts w:asciiTheme="minorHAnsi" w:hAnsiTheme="minorHAnsi" w:cstheme="minorBidi"/>
          <w:b w:val="0"/>
          <w:noProof/>
          <w:lang w:eastAsia="en-CA"/>
        </w:rPr>
      </w:pPr>
      <w:hyperlink w:anchor="_Toc52181767" w:history="1">
        <w:r w:rsidRPr="00E53E72">
          <w:rPr>
            <w:rStyle w:val="Hyperlink"/>
            <w:noProof/>
          </w:rPr>
          <w:t>H.1 Scope</w:t>
        </w:r>
        <w:r>
          <w:rPr>
            <w:noProof/>
            <w:webHidden/>
          </w:rPr>
          <w:tab/>
        </w:r>
        <w:r>
          <w:rPr>
            <w:noProof/>
            <w:webHidden/>
          </w:rPr>
          <w:fldChar w:fldCharType="begin"/>
        </w:r>
        <w:r>
          <w:rPr>
            <w:noProof/>
            <w:webHidden/>
          </w:rPr>
          <w:instrText xml:space="preserve"> PAGEREF _Toc52181767 \h </w:instrText>
        </w:r>
        <w:r>
          <w:rPr>
            <w:noProof/>
            <w:webHidden/>
          </w:rPr>
        </w:r>
        <w:r>
          <w:rPr>
            <w:noProof/>
            <w:webHidden/>
          </w:rPr>
          <w:fldChar w:fldCharType="separate"/>
        </w:r>
        <w:r>
          <w:rPr>
            <w:noProof/>
            <w:webHidden/>
          </w:rPr>
          <w:t>263</w:t>
        </w:r>
        <w:r>
          <w:rPr>
            <w:noProof/>
            <w:webHidden/>
          </w:rPr>
          <w:fldChar w:fldCharType="end"/>
        </w:r>
      </w:hyperlink>
    </w:p>
    <w:p w14:paraId="160F32EA" w14:textId="2BCC797D" w:rsidR="00507A67" w:rsidRDefault="00507A67">
      <w:pPr>
        <w:pStyle w:val="TOC2"/>
        <w:rPr>
          <w:rFonts w:asciiTheme="minorHAnsi" w:hAnsiTheme="minorHAnsi" w:cstheme="minorBidi"/>
          <w:b w:val="0"/>
          <w:noProof/>
          <w:lang w:eastAsia="en-CA"/>
        </w:rPr>
      </w:pPr>
      <w:hyperlink w:anchor="_Toc52181768" w:history="1">
        <w:r w:rsidRPr="00E53E72">
          <w:rPr>
            <w:rStyle w:val="Hyperlink"/>
            <w:noProof/>
          </w:rPr>
          <w:t>H.2 Normative References</w:t>
        </w:r>
        <w:r>
          <w:rPr>
            <w:noProof/>
            <w:webHidden/>
          </w:rPr>
          <w:tab/>
        </w:r>
        <w:r>
          <w:rPr>
            <w:noProof/>
            <w:webHidden/>
          </w:rPr>
          <w:fldChar w:fldCharType="begin"/>
        </w:r>
        <w:r>
          <w:rPr>
            <w:noProof/>
            <w:webHidden/>
          </w:rPr>
          <w:instrText xml:space="preserve"> PAGEREF _Toc52181768 \h </w:instrText>
        </w:r>
        <w:r>
          <w:rPr>
            <w:noProof/>
            <w:webHidden/>
          </w:rPr>
        </w:r>
        <w:r>
          <w:rPr>
            <w:noProof/>
            <w:webHidden/>
          </w:rPr>
          <w:fldChar w:fldCharType="separate"/>
        </w:r>
        <w:r>
          <w:rPr>
            <w:noProof/>
            <w:webHidden/>
          </w:rPr>
          <w:t>263</w:t>
        </w:r>
        <w:r>
          <w:rPr>
            <w:noProof/>
            <w:webHidden/>
          </w:rPr>
          <w:fldChar w:fldCharType="end"/>
        </w:r>
      </w:hyperlink>
    </w:p>
    <w:p w14:paraId="6020F9DF" w14:textId="65C7D485" w:rsidR="00507A67" w:rsidRDefault="00507A67">
      <w:pPr>
        <w:pStyle w:val="TOC2"/>
        <w:rPr>
          <w:rFonts w:asciiTheme="minorHAnsi" w:hAnsiTheme="minorHAnsi" w:cstheme="minorBidi"/>
          <w:b w:val="0"/>
          <w:noProof/>
          <w:lang w:eastAsia="en-CA"/>
        </w:rPr>
      </w:pPr>
      <w:hyperlink w:anchor="_Toc52181769" w:history="1">
        <w:r w:rsidRPr="00E53E72">
          <w:rPr>
            <w:rStyle w:val="Hyperlink"/>
            <w:noProof/>
          </w:rPr>
          <w:t>H.3 Terms and definitions</w:t>
        </w:r>
        <w:r>
          <w:rPr>
            <w:noProof/>
            <w:webHidden/>
          </w:rPr>
          <w:tab/>
        </w:r>
        <w:r>
          <w:rPr>
            <w:noProof/>
            <w:webHidden/>
          </w:rPr>
          <w:fldChar w:fldCharType="begin"/>
        </w:r>
        <w:r>
          <w:rPr>
            <w:noProof/>
            <w:webHidden/>
          </w:rPr>
          <w:instrText xml:space="preserve"> PAGEREF _Toc52181769 \h </w:instrText>
        </w:r>
        <w:r>
          <w:rPr>
            <w:noProof/>
            <w:webHidden/>
          </w:rPr>
        </w:r>
        <w:r>
          <w:rPr>
            <w:noProof/>
            <w:webHidden/>
          </w:rPr>
          <w:fldChar w:fldCharType="separate"/>
        </w:r>
        <w:r>
          <w:rPr>
            <w:noProof/>
            <w:webHidden/>
          </w:rPr>
          <w:t>263</w:t>
        </w:r>
        <w:r>
          <w:rPr>
            <w:noProof/>
            <w:webHidden/>
          </w:rPr>
          <w:fldChar w:fldCharType="end"/>
        </w:r>
      </w:hyperlink>
    </w:p>
    <w:p w14:paraId="6C1EC90F" w14:textId="7E534038" w:rsidR="00507A67" w:rsidRDefault="00507A67">
      <w:pPr>
        <w:pStyle w:val="TOC2"/>
        <w:rPr>
          <w:rFonts w:asciiTheme="minorHAnsi" w:hAnsiTheme="minorHAnsi" w:cstheme="minorBidi"/>
          <w:b w:val="0"/>
          <w:noProof/>
          <w:lang w:eastAsia="en-CA"/>
        </w:rPr>
      </w:pPr>
      <w:hyperlink w:anchor="_Toc52181770" w:history="1">
        <w:r w:rsidRPr="00E53E72">
          <w:rPr>
            <w:rStyle w:val="Hyperlink"/>
            <w:noProof/>
          </w:rPr>
          <w:t>H.4 Abbreviated terms</w:t>
        </w:r>
        <w:r>
          <w:rPr>
            <w:noProof/>
            <w:webHidden/>
          </w:rPr>
          <w:tab/>
        </w:r>
        <w:r>
          <w:rPr>
            <w:noProof/>
            <w:webHidden/>
          </w:rPr>
          <w:fldChar w:fldCharType="begin"/>
        </w:r>
        <w:r>
          <w:rPr>
            <w:noProof/>
            <w:webHidden/>
          </w:rPr>
          <w:instrText xml:space="preserve"> PAGEREF _Toc52181770 \h </w:instrText>
        </w:r>
        <w:r>
          <w:rPr>
            <w:noProof/>
            <w:webHidden/>
          </w:rPr>
        </w:r>
        <w:r>
          <w:rPr>
            <w:noProof/>
            <w:webHidden/>
          </w:rPr>
          <w:fldChar w:fldCharType="separate"/>
        </w:r>
        <w:r>
          <w:rPr>
            <w:noProof/>
            <w:webHidden/>
          </w:rPr>
          <w:t>263</w:t>
        </w:r>
        <w:r>
          <w:rPr>
            <w:noProof/>
            <w:webHidden/>
          </w:rPr>
          <w:fldChar w:fldCharType="end"/>
        </w:r>
      </w:hyperlink>
    </w:p>
    <w:p w14:paraId="7414379C" w14:textId="5A1983DB" w:rsidR="00507A67" w:rsidRDefault="00507A67">
      <w:pPr>
        <w:pStyle w:val="TOC2"/>
        <w:rPr>
          <w:rFonts w:asciiTheme="minorHAnsi" w:hAnsiTheme="minorHAnsi" w:cstheme="minorBidi"/>
          <w:b w:val="0"/>
          <w:noProof/>
          <w:lang w:eastAsia="en-CA"/>
        </w:rPr>
      </w:pPr>
      <w:hyperlink w:anchor="_Toc52181771" w:history="1">
        <w:r w:rsidRPr="00E53E72">
          <w:rPr>
            <w:rStyle w:val="Hyperlink"/>
            <w:noProof/>
          </w:rPr>
          <w:t>H.5 Conventions</w:t>
        </w:r>
        <w:r>
          <w:rPr>
            <w:noProof/>
            <w:webHidden/>
          </w:rPr>
          <w:tab/>
        </w:r>
        <w:r>
          <w:rPr>
            <w:noProof/>
            <w:webHidden/>
          </w:rPr>
          <w:fldChar w:fldCharType="begin"/>
        </w:r>
        <w:r>
          <w:rPr>
            <w:noProof/>
            <w:webHidden/>
          </w:rPr>
          <w:instrText xml:space="preserve"> PAGEREF _Toc52181771 \h </w:instrText>
        </w:r>
        <w:r>
          <w:rPr>
            <w:noProof/>
            <w:webHidden/>
          </w:rPr>
        </w:r>
        <w:r>
          <w:rPr>
            <w:noProof/>
            <w:webHidden/>
          </w:rPr>
          <w:fldChar w:fldCharType="separate"/>
        </w:r>
        <w:r>
          <w:rPr>
            <w:noProof/>
            <w:webHidden/>
          </w:rPr>
          <w:t>263</w:t>
        </w:r>
        <w:r>
          <w:rPr>
            <w:noProof/>
            <w:webHidden/>
          </w:rPr>
          <w:fldChar w:fldCharType="end"/>
        </w:r>
      </w:hyperlink>
    </w:p>
    <w:p w14:paraId="46A662EB" w14:textId="7C4307DC" w:rsidR="00507A67" w:rsidRDefault="00507A67">
      <w:pPr>
        <w:pStyle w:val="TOC2"/>
        <w:rPr>
          <w:rFonts w:asciiTheme="minorHAnsi" w:hAnsiTheme="minorHAnsi" w:cstheme="minorBidi"/>
          <w:b w:val="0"/>
          <w:noProof/>
          <w:lang w:eastAsia="en-CA"/>
        </w:rPr>
      </w:pPr>
      <w:hyperlink w:anchor="_Toc52181772" w:history="1">
        <w:r w:rsidRPr="00E53E72">
          <w:rPr>
            <w:rStyle w:val="Hyperlink"/>
            <w:noProof/>
          </w:rPr>
          <w:t>H.6 Overall V-PCC characteristics, decoding operations, and post-decoding processes</w:t>
        </w:r>
        <w:r>
          <w:rPr>
            <w:noProof/>
            <w:webHidden/>
          </w:rPr>
          <w:tab/>
        </w:r>
        <w:r>
          <w:rPr>
            <w:noProof/>
            <w:webHidden/>
          </w:rPr>
          <w:fldChar w:fldCharType="begin"/>
        </w:r>
        <w:r>
          <w:rPr>
            <w:noProof/>
            <w:webHidden/>
          </w:rPr>
          <w:instrText xml:space="preserve"> PAGEREF _Toc52181772 \h </w:instrText>
        </w:r>
        <w:r>
          <w:rPr>
            <w:noProof/>
            <w:webHidden/>
          </w:rPr>
        </w:r>
        <w:r>
          <w:rPr>
            <w:noProof/>
            <w:webHidden/>
          </w:rPr>
          <w:fldChar w:fldCharType="separate"/>
        </w:r>
        <w:r>
          <w:rPr>
            <w:noProof/>
            <w:webHidden/>
          </w:rPr>
          <w:t>264</w:t>
        </w:r>
        <w:r>
          <w:rPr>
            <w:noProof/>
            <w:webHidden/>
          </w:rPr>
          <w:fldChar w:fldCharType="end"/>
        </w:r>
      </w:hyperlink>
    </w:p>
    <w:p w14:paraId="782DA5F6" w14:textId="3C9A3B42" w:rsidR="00507A67" w:rsidRDefault="00507A67">
      <w:pPr>
        <w:pStyle w:val="TOC2"/>
        <w:rPr>
          <w:rFonts w:asciiTheme="minorHAnsi" w:hAnsiTheme="minorHAnsi" w:cstheme="minorBidi"/>
          <w:b w:val="0"/>
          <w:noProof/>
          <w:lang w:eastAsia="en-CA"/>
        </w:rPr>
      </w:pPr>
      <w:hyperlink w:anchor="_Toc52181773" w:history="1">
        <w:r w:rsidRPr="00E53E72">
          <w:rPr>
            <w:rStyle w:val="Hyperlink"/>
            <w:noProof/>
          </w:rPr>
          <w:t>H.6.1 V3C characteristics</w:t>
        </w:r>
        <w:r>
          <w:rPr>
            <w:noProof/>
            <w:webHidden/>
          </w:rPr>
          <w:tab/>
        </w:r>
        <w:r>
          <w:rPr>
            <w:noProof/>
            <w:webHidden/>
          </w:rPr>
          <w:fldChar w:fldCharType="begin"/>
        </w:r>
        <w:r>
          <w:rPr>
            <w:noProof/>
            <w:webHidden/>
          </w:rPr>
          <w:instrText xml:space="preserve"> PAGEREF _Toc52181773 \h </w:instrText>
        </w:r>
        <w:r>
          <w:rPr>
            <w:noProof/>
            <w:webHidden/>
          </w:rPr>
        </w:r>
        <w:r>
          <w:rPr>
            <w:noProof/>
            <w:webHidden/>
          </w:rPr>
          <w:fldChar w:fldCharType="separate"/>
        </w:r>
        <w:r>
          <w:rPr>
            <w:noProof/>
            <w:webHidden/>
          </w:rPr>
          <w:t>264</w:t>
        </w:r>
        <w:r>
          <w:rPr>
            <w:noProof/>
            <w:webHidden/>
          </w:rPr>
          <w:fldChar w:fldCharType="end"/>
        </w:r>
      </w:hyperlink>
    </w:p>
    <w:p w14:paraId="0A44D158" w14:textId="65A97DF3" w:rsidR="00507A67" w:rsidRDefault="00507A67">
      <w:pPr>
        <w:pStyle w:val="TOC2"/>
        <w:rPr>
          <w:rFonts w:asciiTheme="minorHAnsi" w:hAnsiTheme="minorHAnsi" w:cstheme="minorBidi"/>
          <w:b w:val="0"/>
          <w:noProof/>
          <w:lang w:eastAsia="en-CA"/>
        </w:rPr>
      </w:pPr>
      <w:hyperlink w:anchor="_Toc52181774" w:history="1">
        <w:r w:rsidRPr="00E53E72">
          <w:rPr>
            <w:rStyle w:val="Hyperlink"/>
            <w:noProof/>
          </w:rPr>
          <w:t>H.6.2 V3C bitstream characteristics, decoding operations, and post-decoding processes</w:t>
        </w:r>
        <w:r>
          <w:rPr>
            <w:noProof/>
            <w:webHidden/>
          </w:rPr>
          <w:tab/>
        </w:r>
        <w:r>
          <w:rPr>
            <w:noProof/>
            <w:webHidden/>
          </w:rPr>
          <w:fldChar w:fldCharType="begin"/>
        </w:r>
        <w:r>
          <w:rPr>
            <w:noProof/>
            <w:webHidden/>
          </w:rPr>
          <w:instrText xml:space="preserve"> PAGEREF _Toc52181774 \h </w:instrText>
        </w:r>
        <w:r>
          <w:rPr>
            <w:noProof/>
            <w:webHidden/>
          </w:rPr>
        </w:r>
        <w:r>
          <w:rPr>
            <w:noProof/>
            <w:webHidden/>
          </w:rPr>
          <w:fldChar w:fldCharType="separate"/>
        </w:r>
        <w:r>
          <w:rPr>
            <w:noProof/>
            <w:webHidden/>
          </w:rPr>
          <w:t>264</w:t>
        </w:r>
        <w:r>
          <w:rPr>
            <w:noProof/>
            <w:webHidden/>
          </w:rPr>
          <w:fldChar w:fldCharType="end"/>
        </w:r>
      </w:hyperlink>
    </w:p>
    <w:p w14:paraId="0D1FE3EE" w14:textId="354114A7" w:rsidR="00507A67" w:rsidRDefault="00507A67">
      <w:pPr>
        <w:pStyle w:val="TOC2"/>
        <w:rPr>
          <w:rFonts w:asciiTheme="minorHAnsi" w:hAnsiTheme="minorHAnsi" w:cstheme="minorBidi"/>
          <w:b w:val="0"/>
          <w:noProof/>
          <w:lang w:eastAsia="en-CA"/>
        </w:rPr>
      </w:pPr>
      <w:hyperlink w:anchor="_Toc52181775" w:history="1">
        <w:r w:rsidRPr="00E53E72">
          <w:rPr>
            <w:rStyle w:val="Hyperlink"/>
            <w:noProof/>
          </w:rPr>
          <w:t>H.7 Bitstream format, partitioning, and scanning process</w:t>
        </w:r>
        <w:r>
          <w:rPr>
            <w:noProof/>
            <w:webHidden/>
          </w:rPr>
          <w:tab/>
        </w:r>
        <w:r>
          <w:rPr>
            <w:noProof/>
            <w:webHidden/>
          </w:rPr>
          <w:fldChar w:fldCharType="begin"/>
        </w:r>
        <w:r>
          <w:rPr>
            <w:noProof/>
            <w:webHidden/>
          </w:rPr>
          <w:instrText xml:space="preserve"> PAGEREF _Toc52181775 \h </w:instrText>
        </w:r>
        <w:r>
          <w:rPr>
            <w:noProof/>
            <w:webHidden/>
          </w:rPr>
        </w:r>
        <w:r>
          <w:rPr>
            <w:noProof/>
            <w:webHidden/>
          </w:rPr>
          <w:fldChar w:fldCharType="separate"/>
        </w:r>
        <w:r>
          <w:rPr>
            <w:noProof/>
            <w:webHidden/>
          </w:rPr>
          <w:t>265</w:t>
        </w:r>
        <w:r>
          <w:rPr>
            <w:noProof/>
            <w:webHidden/>
          </w:rPr>
          <w:fldChar w:fldCharType="end"/>
        </w:r>
      </w:hyperlink>
    </w:p>
    <w:p w14:paraId="1B77D577" w14:textId="0F602608" w:rsidR="00507A67" w:rsidRDefault="00507A67">
      <w:pPr>
        <w:pStyle w:val="TOC2"/>
        <w:rPr>
          <w:rFonts w:asciiTheme="minorHAnsi" w:hAnsiTheme="minorHAnsi" w:cstheme="minorBidi"/>
          <w:b w:val="0"/>
          <w:noProof/>
          <w:lang w:eastAsia="en-CA"/>
        </w:rPr>
      </w:pPr>
      <w:hyperlink w:anchor="_Toc52181776" w:history="1">
        <w:r w:rsidRPr="00E53E72">
          <w:rPr>
            <w:rStyle w:val="Hyperlink"/>
            <w:noProof/>
          </w:rPr>
          <w:t>H.8 Syntax and Semantics</w:t>
        </w:r>
        <w:r>
          <w:rPr>
            <w:noProof/>
            <w:webHidden/>
          </w:rPr>
          <w:tab/>
        </w:r>
        <w:r>
          <w:rPr>
            <w:noProof/>
            <w:webHidden/>
          </w:rPr>
          <w:fldChar w:fldCharType="begin"/>
        </w:r>
        <w:r>
          <w:rPr>
            <w:noProof/>
            <w:webHidden/>
          </w:rPr>
          <w:instrText xml:space="preserve"> PAGEREF _Toc52181776 \h </w:instrText>
        </w:r>
        <w:r>
          <w:rPr>
            <w:noProof/>
            <w:webHidden/>
          </w:rPr>
        </w:r>
        <w:r>
          <w:rPr>
            <w:noProof/>
            <w:webHidden/>
          </w:rPr>
          <w:fldChar w:fldCharType="separate"/>
        </w:r>
        <w:r>
          <w:rPr>
            <w:noProof/>
            <w:webHidden/>
          </w:rPr>
          <w:t>265</w:t>
        </w:r>
        <w:r>
          <w:rPr>
            <w:noProof/>
            <w:webHidden/>
          </w:rPr>
          <w:fldChar w:fldCharType="end"/>
        </w:r>
      </w:hyperlink>
    </w:p>
    <w:p w14:paraId="5F44EBF4" w14:textId="55A30DE8" w:rsidR="00507A67" w:rsidRDefault="00507A67">
      <w:pPr>
        <w:pStyle w:val="TOC3"/>
        <w:rPr>
          <w:rFonts w:asciiTheme="minorHAnsi" w:hAnsiTheme="minorHAnsi" w:cstheme="minorBidi"/>
          <w:b w:val="0"/>
          <w:noProof/>
          <w:lang w:eastAsia="en-CA"/>
        </w:rPr>
      </w:pPr>
      <w:hyperlink w:anchor="_Toc52181777" w:history="1">
        <w:r w:rsidRPr="00E53E72">
          <w:rPr>
            <w:rStyle w:val="Hyperlink"/>
            <w:noProof/>
          </w:rPr>
          <w:t>H.8.1 Method of specifying syntax in tabular form</w:t>
        </w:r>
        <w:r>
          <w:rPr>
            <w:noProof/>
            <w:webHidden/>
          </w:rPr>
          <w:tab/>
        </w:r>
        <w:r>
          <w:rPr>
            <w:noProof/>
            <w:webHidden/>
          </w:rPr>
          <w:fldChar w:fldCharType="begin"/>
        </w:r>
        <w:r>
          <w:rPr>
            <w:noProof/>
            <w:webHidden/>
          </w:rPr>
          <w:instrText xml:space="preserve"> PAGEREF _Toc52181777 \h </w:instrText>
        </w:r>
        <w:r>
          <w:rPr>
            <w:noProof/>
            <w:webHidden/>
          </w:rPr>
        </w:r>
        <w:r>
          <w:rPr>
            <w:noProof/>
            <w:webHidden/>
          </w:rPr>
          <w:fldChar w:fldCharType="separate"/>
        </w:r>
        <w:r>
          <w:rPr>
            <w:noProof/>
            <w:webHidden/>
          </w:rPr>
          <w:t>265</w:t>
        </w:r>
        <w:r>
          <w:rPr>
            <w:noProof/>
            <w:webHidden/>
          </w:rPr>
          <w:fldChar w:fldCharType="end"/>
        </w:r>
      </w:hyperlink>
    </w:p>
    <w:p w14:paraId="721CD28B" w14:textId="5AB41513" w:rsidR="00507A67" w:rsidRDefault="00507A67">
      <w:pPr>
        <w:pStyle w:val="TOC3"/>
        <w:rPr>
          <w:rFonts w:asciiTheme="minorHAnsi" w:hAnsiTheme="minorHAnsi" w:cstheme="minorBidi"/>
          <w:b w:val="0"/>
          <w:noProof/>
          <w:lang w:eastAsia="en-CA"/>
        </w:rPr>
      </w:pPr>
      <w:hyperlink w:anchor="_Toc52181778" w:history="1">
        <w:r w:rsidRPr="00E53E72">
          <w:rPr>
            <w:rStyle w:val="Hyperlink"/>
            <w:noProof/>
          </w:rPr>
          <w:t>H.8.2 Specification of syntax functions and descriptors</w:t>
        </w:r>
        <w:r>
          <w:rPr>
            <w:noProof/>
            <w:webHidden/>
          </w:rPr>
          <w:tab/>
        </w:r>
        <w:r>
          <w:rPr>
            <w:noProof/>
            <w:webHidden/>
          </w:rPr>
          <w:fldChar w:fldCharType="begin"/>
        </w:r>
        <w:r>
          <w:rPr>
            <w:noProof/>
            <w:webHidden/>
          </w:rPr>
          <w:instrText xml:space="preserve"> PAGEREF _Toc52181778 \h </w:instrText>
        </w:r>
        <w:r>
          <w:rPr>
            <w:noProof/>
            <w:webHidden/>
          </w:rPr>
        </w:r>
        <w:r>
          <w:rPr>
            <w:noProof/>
            <w:webHidden/>
          </w:rPr>
          <w:fldChar w:fldCharType="separate"/>
        </w:r>
        <w:r>
          <w:rPr>
            <w:noProof/>
            <w:webHidden/>
          </w:rPr>
          <w:t>265</w:t>
        </w:r>
        <w:r>
          <w:rPr>
            <w:noProof/>
            <w:webHidden/>
          </w:rPr>
          <w:fldChar w:fldCharType="end"/>
        </w:r>
      </w:hyperlink>
    </w:p>
    <w:p w14:paraId="56C615B5" w14:textId="0B724F6D" w:rsidR="00507A67" w:rsidRDefault="00507A67">
      <w:pPr>
        <w:pStyle w:val="TOC3"/>
        <w:rPr>
          <w:rFonts w:asciiTheme="minorHAnsi" w:hAnsiTheme="minorHAnsi" w:cstheme="minorBidi"/>
          <w:b w:val="0"/>
          <w:noProof/>
          <w:lang w:eastAsia="en-CA"/>
        </w:rPr>
      </w:pPr>
      <w:hyperlink w:anchor="_Toc52181779" w:history="1">
        <w:r w:rsidRPr="00E53E72">
          <w:rPr>
            <w:rStyle w:val="Hyperlink"/>
            <w:noProof/>
          </w:rPr>
          <w:t>H.8.3 Syntax in tabular form</w:t>
        </w:r>
        <w:r>
          <w:rPr>
            <w:noProof/>
            <w:webHidden/>
          </w:rPr>
          <w:tab/>
        </w:r>
        <w:r>
          <w:rPr>
            <w:noProof/>
            <w:webHidden/>
          </w:rPr>
          <w:fldChar w:fldCharType="begin"/>
        </w:r>
        <w:r>
          <w:rPr>
            <w:noProof/>
            <w:webHidden/>
          </w:rPr>
          <w:instrText xml:space="preserve"> PAGEREF _Toc52181779 \h </w:instrText>
        </w:r>
        <w:r>
          <w:rPr>
            <w:noProof/>
            <w:webHidden/>
          </w:rPr>
        </w:r>
        <w:r>
          <w:rPr>
            <w:noProof/>
            <w:webHidden/>
          </w:rPr>
          <w:fldChar w:fldCharType="separate"/>
        </w:r>
        <w:r>
          <w:rPr>
            <w:noProof/>
            <w:webHidden/>
          </w:rPr>
          <w:t>265</w:t>
        </w:r>
        <w:r>
          <w:rPr>
            <w:noProof/>
            <w:webHidden/>
          </w:rPr>
          <w:fldChar w:fldCharType="end"/>
        </w:r>
      </w:hyperlink>
    </w:p>
    <w:p w14:paraId="083B9A4C" w14:textId="66E2E1E8" w:rsidR="00507A67" w:rsidRDefault="00507A67">
      <w:pPr>
        <w:pStyle w:val="TOC3"/>
        <w:rPr>
          <w:rFonts w:asciiTheme="minorHAnsi" w:hAnsiTheme="minorHAnsi" w:cstheme="minorBidi"/>
          <w:b w:val="0"/>
          <w:noProof/>
          <w:lang w:eastAsia="en-CA"/>
        </w:rPr>
      </w:pPr>
      <w:hyperlink w:anchor="_Toc52181780" w:history="1">
        <w:r w:rsidRPr="00E53E72">
          <w:rPr>
            <w:rStyle w:val="Hyperlink"/>
            <w:noProof/>
          </w:rPr>
          <w:t>H.8.4 Semantics</w:t>
        </w:r>
        <w:r>
          <w:rPr>
            <w:noProof/>
            <w:webHidden/>
          </w:rPr>
          <w:tab/>
        </w:r>
        <w:r>
          <w:rPr>
            <w:noProof/>
            <w:webHidden/>
          </w:rPr>
          <w:fldChar w:fldCharType="begin"/>
        </w:r>
        <w:r>
          <w:rPr>
            <w:noProof/>
            <w:webHidden/>
          </w:rPr>
          <w:instrText xml:space="preserve"> PAGEREF _Toc52181780 \h </w:instrText>
        </w:r>
        <w:r>
          <w:rPr>
            <w:noProof/>
            <w:webHidden/>
          </w:rPr>
        </w:r>
        <w:r>
          <w:rPr>
            <w:noProof/>
            <w:webHidden/>
          </w:rPr>
          <w:fldChar w:fldCharType="separate"/>
        </w:r>
        <w:r>
          <w:rPr>
            <w:noProof/>
            <w:webHidden/>
          </w:rPr>
          <w:t>267</w:t>
        </w:r>
        <w:r>
          <w:rPr>
            <w:noProof/>
            <w:webHidden/>
          </w:rPr>
          <w:fldChar w:fldCharType="end"/>
        </w:r>
      </w:hyperlink>
    </w:p>
    <w:p w14:paraId="719B0B68" w14:textId="3CD3E7F2" w:rsidR="00507A67" w:rsidRDefault="00507A67">
      <w:pPr>
        <w:pStyle w:val="TOC2"/>
        <w:rPr>
          <w:rFonts w:asciiTheme="minorHAnsi" w:hAnsiTheme="minorHAnsi" w:cstheme="minorBidi"/>
          <w:b w:val="0"/>
          <w:noProof/>
          <w:lang w:eastAsia="en-CA"/>
        </w:rPr>
      </w:pPr>
      <w:hyperlink w:anchor="_Toc52181781" w:history="1">
        <w:r w:rsidRPr="00E53E72">
          <w:rPr>
            <w:rStyle w:val="Hyperlink"/>
            <w:noProof/>
          </w:rPr>
          <w:t>H.9 Decoding process</w:t>
        </w:r>
        <w:r>
          <w:rPr>
            <w:noProof/>
            <w:webHidden/>
          </w:rPr>
          <w:tab/>
        </w:r>
        <w:r>
          <w:rPr>
            <w:noProof/>
            <w:webHidden/>
          </w:rPr>
          <w:fldChar w:fldCharType="begin"/>
        </w:r>
        <w:r>
          <w:rPr>
            <w:noProof/>
            <w:webHidden/>
          </w:rPr>
          <w:instrText xml:space="preserve"> PAGEREF _Toc52181781 \h </w:instrText>
        </w:r>
        <w:r>
          <w:rPr>
            <w:noProof/>
            <w:webHidden/>
          </w:rPr>
        </w:r>
        <w:r>
          <w:rPr>
            <w:noProof/>
            <w:webHidden/>
          </w:rPr>
          <w:fldChar w:fldCharType="separate"/>
        </w:r>
        <w:r>
          <w:rPr>
            <w:noProof/>
            <w:webHidden/>
          </w:rPr>
          <w:t>271</w:t>
        </w:r>
        <w:r>
          <w:rPr>
            <w:noProof/>
            <w:webHidden/>
          </w:rPr>
          <w:fldChar w:fldCharType="end"/>
        </w:r>
      </w:hyperlink>
    </w:p>
    <w:p w14:paraId="64117EA7" w14:textId="15B2E66C" w:rsidR="00507A67" w:rsidRDefault="00507A67">
      <w:pPr>
        <w:pStyle w:val="TOC3"/>
        <w:rPr>
          <w:rFonts w:asciiTheme="minorHAnsi" w:hAnsiTheme="minorHAnsi" w:cstheme="minorBidi"/>
          <w:b w:val="0"/>
          <w:noProof/>
          <w:lang w:eastAsia="en-CA"/>
        </w:rPr>
      </w:pPr>
      <w:hyperlink w:anchor="_Toc52181782" w:history="1">
        <w:r w:rsidRPr="00E53E72">
          <w:rPr>
            <w:rStyle w:val="Hyperlink"/>
            <w:noProof/>
          </w:rPr>
          <w:t>H.9.1 General decoding process</w:t>
        </w:r>
        <w:r>
          <w:rPr>
            <w:noProof/>
            <w:webHidden/>
          </w:rPr>
          <w:tab/>
        </w:r>
        <w:r>
          <w:rPr>
            <w:noProof/>
            <w:webHidden/>
          </w:rPr>
          <w:fldChar w:fldCharType="begin"/>
        </w:r>
        <w:r>
          <w:rPr>
            <w:noProof/>
            <w:webHidden/>
          </w:rPr>
          <w:instrText xml:space="preserve"> PAGEREF _Toc52181782 \h </w:instrText>
        </w:r>
        <w:r>
          <w:rPr>
            <w:noProof/>
            <w:webHidden/>
          </w:rPr>
        </w:r>
        <w:r>
          <w:rPr>
            <w:noProof/>
            <w:webHidden/>
          </w:rPr>
          <w:fldChar w:fldCharType="separate"/>
        </w:r>
        <w:r>
          <w:rPr>
            <w:noProof/>
            <w:webHidden/>
          </w:rPr>
          <w:t>271</w:t>
        </w:r>
        <w:r>
          <w:rPr>
            <w:noProof/>
            <w:webHidden/>
          </w:rPr>
          <w:fldChar w:fldCharType="end"/>
        </w:r>
      </w:hyperlink>
    </w:p>
    <w:p w14:paraId="0E34BFD6" w14:textId="3BB61469" w:rsidR="00507A67" w:rsidRDefault="00507A67">
      <w:pPr>
        <w:pStyle w:val="TOC3"/>
        <w:rPr>
          <w:rFonts w:asciiTheme="minorHAnsi" w:hAnsiTheme="minorHAnsi" w:cstheme="minorBidi"/>
          <w:b w:val="0"/>
          <w:noProof/>
          <w:lang w:eastAsia="en-CA"/>
        </w:rPr>
      </w:pPr>
      <w:hyperlink w:anchor="_Toc52181783" w:history="1">
        <w:r w:rsidRPr="00E53E72">
          <w:rPr>
            <w:rStyle w:val="Hyperlink"/>
            <w:noProof/>
          </w:rPr>
          <w:t>H.9.2 Atlas data decoding process</w:t>
        </w:r>
        <w:r>
          <w:rPr>
            <w:noProof/>
            <w:webHidden/>
          </w:rPr>
          <w:tab/>
        </w:r>
        <w:r>
          <w:rPr>
            <w:noProof/>
            <w:webHidden/>
          </w:rPr>
          <w:fldChar w:fldCharType="begin"/>
        </w:r>
        <w:r>
          <w:rPr>
            <w:noProof/>
            <w:webHidden/>
          </w:rPr>
          <w:instrText xml:space="preserve"> PAGEREF _Toc52181783 \h </w:instrText>
        </w:r>
        <w:r>
          <w:rPr>
            <w:noProof/>
            <w:webHidden/>
          </w:rPr>
        </w:r>
        <w:r>
          <w:rPr>
            <w:noProof/>
            <w:webHidden/>
          </w:rPr>
          <w:fldChar w:fldCharType="separate"/>
        </w:r>
        <w:r>
          <w:rPr>
            <w:noProof/>
            <w:webHidden/>
          </w:rPr>
          <w:t>271</w:t>
        </w:r>
        <w:r>
          <w:rPr>
            <w:noProof/>
            <w:webHidden/>
          </w:rPr>
          <w:fldChar w:fldCharType="end"/>
        </w:r>
      </w:hyperlink>
    </w:p>
    <w:p w14:paraId="18B02F30" w14:textId="6074C49D" w:rsidR="00507A67" w:rsidRDefault="00507A67">
      <w:pPr>
        <w:pStyle w:val="TOC3"/>
        <w:rPr>
          <w:rFonts w:asciiTheme="minorHAnsi" w:hAnsiTheme="minorHAnsi" w:cstheme="minorBidi"/>
          <w:b w:val="0"/>
          <w:noProof/>
          <w:lang w:eastAsia="en-CA"/>
        </w:rPr>
      </w:pPr>
      <w:hyperlink w:anchor="_Toc52181784" w:history="1">
        <w:r w:rsidRPr="00E53E72">
          <w:rPr>
            <w:rStyle w:val="Hyperlink"/>
            <w:noProof/>
          </w:rPr>
          <w:t>H.9.3 Occupancy video decoding process</w:t>
        </w:r>
        <w:r>
          <w:rPr>
            <w:noProof/>
            <w:webHidden/>
          </w:rPr>
          <w:tab/>
        </w:r>
        <w:r>
          <w:rPr>
            <w:noProof/>
            <w:webHidden/>
          </w:rPr>
          <w:fldChar w:fldCharType="begin"/>
        </w:r>
        <w:r>
          <w:rPr>
            <w:noProof/>
            <w:webHidden/>
          </w:rPr>
          <w:instrText xml:space="preserve"> PAGEREF _Toc52181784 \h </w:instrText>
        </w:r>
        <w:r>
          <w:rPr>
            <w:noProof/>
            <w:webHidden/>
          </w:rPr>
        </w:r>
        <w:r>
          <w:rPr>
            <w:noProof/>
            <w:webHidden/>
          </w:rPr>
          <w:fldChar w:fldCharType="separate"/>
        </w:r>
        <w:r>
          <w:rPr>
            <w:noProof/>
            <w:webHidden/>
          </w:rPr>
          <w:t>278</w:t>
        </w:r>
        <w:r>
          <w:rPr>
            <w:noProof/>
            <w:webHidden/>
          </w:rPr>
          <w:fldChar w:fldCharType="end"/>
        </w:r>
      </w:hyperlink>
    </w:p>
    <w:p w14:paraId="3A0F11FD" w14:textId="0DC90B03" w:rsidR="00507A67" w:rsidRDefault="00507A67">
      <w:pPr>
        <w:pStyle w:val="TOC3"/>
        <w:rPr>
          <w:rFonts w:asciiTheme="minorHAnsi" w:hAnsiTheme="minorHAnsi" w:cstheme="minorBidi"/>
          <w:b w:val="0"/>
          <w:noProof/>
          <w:lang w:eastAsia="en-CA"/>
        </w:rPr>
      </w:pPr>
      <w:hyperlink w:anchor="_Toc52181785" w:history="1">
        <w:r w:rsidRPr="00E53E72">
          <w:rPr>
            <w:rStyle w:val="Hyperlink"/>
            <w:noProof/>
          </w:rPr>
          <w:t>H.9.4 Geometry video decoding process</w:t>
        </w:r>
        <w:r>
          <w:rPr>
            <w:noProof/>
            <w:webHidden/>
          </w:rPr>
          <w:tab/>
        </w:r>
        <w:r>
          <w:rPr>
            <w:noProof/>
            <w:webHidden/>
          </w:rPr>
          <w:fldChar w:fldCharType="begin"/>
        </w:r>
        <w:r>
          <w:rPr>
            <w:noProof/>
            <w:webHidden/>
          </w:rPr>
          <w:instrText xml:space="preserve"> PAGEREF _Toc52181785 \h </w:instrText>
        </w:r>
        <w:r>
          <w:rPr>
            <w:noProof/>
            <w:webHidden/>
          </w:rPr>
        </w:r>
        <w:r>
          <w:rPr>
            <w:noProof/>
            <w:webHidden/>
          </w:rPr>
          <w:fldChar w:fldCharType="separate"/>
        </w:r>
        <w:r>
          <w:rPr>
            <w:noProof/>
            <w:webHidden/>
          </w:rPr>
          <w:t>278</w:t>
        </w:r>
        <w:r>
          <w:rPr>
            <w:noProof/>
            <w:webHidden/>
          </w:rPr>
          <w:fldChar w:fldCharType="end"/>
        </w:r>
      </w:hyperlink>
    </w:p>
    <w:p w14:paraId="6F31F0AC" w14:textId="3B88A7AA" w:rsidR="00507A67" w:rsidRDefault="00507A67">
      <w:pPr>
        <w:pStyle w:val="TOC3"/>
        <w:rPr>
          <w:rFonts w:asciiTheme="minorHAnsi" w:hAnsiTheme="minorHAnsi" w:cstheme="minorBidi"/>
          <w:b w:val="0"/>
          <w:noProof/>
          <w:lang w:eastAsia="en-CA"/>
        </w:rPr>
      </w:pPr>
      <w:hyperlink w:anchor="_Toc52181786" w:history="1">
        <w:r w:rsidRPr="00E53E72">
          <w:rPr>
            <w:rStyle w:val="Hyperlink"/>
            <w:noProof/>
          </w:rPr>
          <w:t>H.9.5 Attribute video decoding process</w:t>
        </w:r>
        <w:r>
          <w:rPr>
            <w:noProof/>
            <w:webHidden/>
          </w:rPr>
          <w:tab/>
        </w:r>
        <w:r>
          <w:rPr>
            <w:noProof/>
            <w:webHidden/>
          </w:rPr>
          <w:fldChar w:fldCharType="begin"/>
        </w:r>
        <w:r>
          <w:rPr>
            <w:noProof/>
            <w:webHidden/>
          </w:rPr>
          <w:instrText xml:space="preserve"> PAGEREF _Toc52181786 \h </w:instrText>
        </w:r>
        <w:r>
          <w:rPr>
            <w:noProof/>
            <w:webHidden/>
          </w:rPr>
        </w:r>
        <w:r>
          <w:rPr>
            <w:noProof/>
            <w:webHidden/>
          </w:rPr>
          <w:fldChar w:fldCharType="separate"/>
        </w:r>
        <w:r>
          <w:rPr>
            <w:noProof/>
            <w:webHidden/>
          </w:rPr>
          <w:t>279</w:t>
        </w:r>
        <w:r>
          <w:rPr>
            <w:noProof/>
            <w:webHidden/>
          </w:rPr>
          <w:fldChar w:fldCharType="end"/>
        </w:r>
      </w:hyperlink>
    </w:p>
    <w:p w14:paraId="69EAE78D" w14:textId="65ED7C47" w:rsidR="00507A67" w:rsidRDefault="00507A67">
      <w:pPr>
        <w:pStyle w:val="TOC3"/>
        <w:rPr>
          <w:rFonts w:asciiTheme="minorHAnsi" w:hAnsiTheme="minorHAnsi" w:cstheme="minorBidi"/>
          <w:b w:val="0"/>
          <w:noProof/>
          <w:lang w:eastAsia="en-CA"/>
        </w:rPr>
      </w:pPr>
      <w:hyperlink w:anchor="_Toc52181787" w:history="1">
        <w:r w:rsidRPr="00E53E72">
          <w:rPr>
            <w:rStyle w:val="Hyperlink"/>
            <w:noProof/>
          </w:rPr>
          <w:t>H.9.6 Sub-bitstream extraction process</w:t>
        </w:r>
        <w:r>
          <w:rPr>
            <w:noProof/>
            <w:webHidden/>
          </w:rPr>
          <w:tab/>
        </w:r>
        <w:r>
          <w:rPr>
            <w:noProof/>
            <w:webHidden/>
          </w:rPr>
          <w:fldChar w:fldCharType="begin"/>
        </w:r>
        <w:r>
          <w:rPr>
            <w:noProof/>
            <w:webHidden/>
          </w:rPr>
          <w:instrText xml:space="preserve"> PAGEREF _Toc52181787 \h </w:instrText>
        </w:r>
        <w:r>
          <w:rPr>
            <w:noProof/>
            <w:webHidden/>
          </w:rPr>
        </w:r>
        <w:r>
          <w:rPr>
            <w:noProof/>
            <w:webHidden/>
          </w:rPr>
          <w:fldChar w:fldCharType="separate"/>
        </w:r>
        <w:r>
          <w:rPr>
            <w:noProof/>
            <w:webHidden/>
          </w:rPr>
          <w:t>279</w:t>
        </w:r>
        <w:r>
          <w:rPr>
            <w:noProof/>
            <w:webHidden/>
          </w:rPr>
          <w:fldChar w:fldCharType="end"/>
        </w:r>
      </w:hyperlink>
    </w:p>
    <w:p w14:paraId="73C1E9CE" w14:textId="1BE07CFA" w:rsidR="00507A67" w:rsidRDefault="00507A67">
      <w:pPr>
        <w:pStyle w:val="TOC2"/>
        <w:rPr>
          <w:rFonts w:asciiTheme="minorHAnsi" w:hAnsiTheme="minorHAnsi" w:cstheme="minorBidi"/>
          <w:b w:val="0"/>
          <w:noProof/>
          <w:lang w:eastAsia="en-CA"/>
        </w:rPr>
      </w:pPr>
      <w:hyperlink w:anchor="_Toc52181788" w:history="1">
        <w:r w:rsidRPr="00E53E72">
          <w:rPr>
            <w:rStyle w:val="Hyperlink"/>
            <w:noProof/>
          </w:rPr>
          <w:t>H.10 Pre-reconstruction process</w:t>
        </w:r>
        <w:r>
          <w:rPr>
            <w:noProof/>
            <w:webHidden/>
          </w:rPr>
          <w:tab/>
        </w:r>
        <w:r>
          <w:rPr>
            <w:noProof/>
            <w:webHidden/>
          </w:rPr>
          <w:fldChar w:fldCharType="begin"/>
        </w:r>
        <w:r>
          <w:rPr>
            <w:noProof/>
            <w:webHidden/>
          </w:rPr>
          <w:instrText xml:space="preserve"> PAGEREF _Toc52181788 \h </w:instrText>
        </w:r>
        <w:r>
          <w:rPr>
            <w:noProof/>
            <w:webHidden/>
          </w:rPr>
        </w:r>
        <w:r>
          <w:rPr>
            <w:noProof/>
            <w:webHidden/>
          </w:rPr>
          <w:fldChar w:fldCharType="separate"/>
        </w:r>
        <w:r>
          <w:rPr>
            <w:noProof/>
            <w:webHidden/>
          </w:rPr>
          <w:t>279</w:t>
        </w:r>
        <w:r>
          <w:rPr>
            <w:noProof/>
            <w:webHidden/>
          </w:rPr>
          <w:fldChar w:fldCharType="end"/>
        </w:r>
      </w:hyperlink>
    </w:p>
    <w:p w14:paraId="71337F04" w14:textId="7E802AD9" w:rsidR="00507A67" w:rsidRDefault="00507A67">
      <w:pPr>
        <w:pStyle w:val="TOC3"/>
        <w:rPr>
          <w:rFonts w:asciiTheme="minorHAnsi" w:hAnsiTheme="minorHAnsi" w:cstheme="minorBidi"/>
          <w:b w:val="0"/>
          <w:noProof/>
          <w:lang w:eastAsia="en-CA"/>
        </w:rPr>
      </w:pPr>
      <w:hyperlink w:anchor="_Toc52181789" w:history="1">
        <w:r w:rsidRPr="00E53E72">
          <w:rPr>
            <w:rStyle w:val="Hyperlink"/>
            <w:noProof/>
          </w:rPr>
          <w:t>H.10.2 Occupancy synthesis process</w:t>
        </w:r>
        <w:r>
          <w:rPr>
            <w:noProof/>
            <w:webHidden/>
          </w:rPr>
          <w:tab/>
        </w:r>
        <w:r>
          <w:rPr>
            <w:noProof/>
            <w:webHidden/>
          </w:rPr>
          <w:fldChar w:fldCharType="begin"/>
        </w:r>
        <w:r>
          <w:rPr>
            <w:noProof/>
            <w:webHidden/>
          </w:rPr>
          <w:instrText xml:space="preserve"> PAGEREF _Toc52181789 \h </w:instrText>
        </w:r>
        <w:r>
          <w:rPr>
            <w:noProof/>
            <w:webHidden/>
          </w:rPr>
        </w:r>
        <w:r>
          <w:rPr>
            <w:noProof/>
            <w:webHidden/>
          </w:rPr>
          <w:fldChar w:fldCharType="separate"/>
        </w:r>
        <w:r>
          <w:rPr>
            <w:noProof/>
            <w:webHidden/>
          </w:rPr>
          <w:t>279</w:t>
        </w:r>
        <w:r>
          <w:rPr>
            <w:noProof/>
            <w:webHidden/>
          </w:rPr>
          <w:fldChar w:fldCharType="end"/>
        </w:r>
      </w:hyperlink>
    </w:p>
    <w:p w14:paraId="5F9CADF8" w14:textId="1E1BC1CB" w:rsidR="00507A67" w:rsidRDefault="00507A67">
      <w:pPr>
        <w:pStyle w:val="TOC2"/>
        <w:rPr>
          <w:rFonts w:asciiTheme="minorHAnsi" w:hAnsiTheme="minorHAnsi" w:cstheme="minorBidi"/>
          <w:b w:val="0"/>
          <w:noProof/>
          <w:lang w:eastAsia="en-CA"/>
        </w:rPr>
      </w:pPr>
      <w:hyperlink w:anchor="_Toc52181790" w:history="1">
        <w:r w:rsidRPr="00E53E72">
          <w:rPr>
            <w:rStyle w:val="Hyperlink"/>
            <w:noProof/>
          </w:rPr>
          <w:t>H.11 Reconstruction process</w:t>
        </w:r>
        <w:r>
          <w:rPr>
            <w:noProof/>
            <w:webHidden/>
          </w:rPr>
          <w:tab/>
        </w:r>
        <w:r>
          <w:rPr>
            <w:noProof/>
            <w:webHidden/>
          </w:rPr>
          <w:fldChar w:fldCharType="begin"/>
        </w:r>
        <w:r>
          <w:rPr>
            <w:noProof/>
            <w:webHidden/>
          </w:rPr>
          <w:instrText xml:space="preserve"> PAGEREF _Toc52181790 \h </w:instrText>
        </w:r>
        <w:r>
          <w:rPr>
            <w:noProof/>
            <w:webHidden/>
          </w:rPr>
        </w:r>
        <w:r>
          <w:rPr>
            <w:noProof/>
            <w:webHidden/>
          </w:rPr>
          <w:fldChar w:fldCharType="separate"/>
        </w:r>
        <w:r>
          <w:rPr>
            <w:noProof/>
            <w:webHidden/>
          </w:rPr>
          <w:t>287</w:t>
        </w:r>
        <w:r>
          <w:rPr>
            <w:noProof/>
            <w:webHidden/>
          </w:rPr>
          <w:fldChar w:fldCharType="end"/>
        </w:r>
      </w:hyperlink>
    </w:p>
    <w:p w14:paraId="18CAE421" w14:textId="290ED0FE" w:rsidR="00507A67" w:rsidRDefault="00507A67">
      <w:pPr>
        <w:pStyle w:val="TOC3"/>
        <w:rPr>
          <w:rFonts w:asciiTheme="minorHAnsi" w:hAnsiTheme="minorHAnsi" w:cstheme="minorBidi"/>
          <w:b w:val="0"/>
          <w:noProof/>
          <w:lang w:eastAsia="en-CA"/>
        </w:rPr>
      </w:pPr>
      <w:hyperlink w:anchor="_Toc52181791" w:history="1">
        <w:r w:rsidRPr="00E53E72">
          <w:rPr>
            <w:rStyle w:val="Hyperlink"/>
            <w:noProof/>
          </w:rPr>
          <w:t>H.11.1 General</w:t>
        </w:r>
        <w:r>
          <w:rPr>
            <w:noProof/>
            <w:webHidden/>
          </w:rPr>
          <w:tab/>
        </w:r>
        <w:r>
          <w:rPr>
            <w:noProof/>
            <w:webHidden/>
          </w:rPr>
          <w:fldChar w:fldCharType="begin"/>
        </w:r>
        <w:r>
          <w:rPr>
            <w:noProof/>
            <w:webHidden/>
          </w:rPr>
          <w:instrText xml:space="preserve"> PAGEREF _Toc52181791 \h </w:instrText>
        </w:r>
        <w:r>
          <w:rPr>
            <w:noProof/>
            <w:webHidden/>
          </w:rPr>
        </w:r>
        <w:r>
          <w:rPr>
            <w:noProof/>
            <w:webHidden/>
          </w:rPr>
          <w:fldChar w:fldCharType="separate"/>
        </w:r>
        <w:r>
          <w:rPr>
            <w:noProof/>
            <w:webHidden/>
          </w:rPr>
          <w:t>287</w:t>
        </w:r>
        <w:r>
          <w:rPr>
            <w:noProof/>
            <w:webHidden/>
          </w:rPr>
          <w:fldChar w:fldCharType="end"/>
        </w:r>
      </w:hyperlink>
    </w:p>
    <w:p w14:paraId="3A9E8215" w14:textId="07D98A7A" w:rsidR="00507A67" w:rsidRDefault="00507A67">
      <w:pPr>
        <w:pStyle w:val="TOC3"/>
        <w:rPr>
          <w:rFonts w:asciiTheme="minorHAnsi" w:hAnsiTheme="minorHAnsi" w:cstheme="minorBidi"/>
          <w:b w:val="0"/>
          <w:noProof/>
          <w:lang w:eastAsia="en-CA"/>
        </w:rPr>
      </w:pPr>
      <w:hyperlink w:anchor="_Toc52181792" w:history="1">
        <w:r w:rsidRPr="00E53E72">
          <w:rPr>
            <w:rStyle w:val="Hyperlink"/>
            <w:noProof/>
          </w:rPr>
          <w:t>H.11.2 Reconstruction of points for PROJECTED patches</w:t>
        </w:r>
        <w:r>
          <w:rPr>
            <w:noProof/>
            <w:webHidden/>
          </w:rPr>
          <w:tab/>
        </w:r>
        <w:r>
          <w:rPr>
            <w:noProof/>
            <w:webHidden/>
          </w:rPr>
          <w:fldChar w:fldCharType="begin"/>
        </w:r>
        <w:r>
          <w:rPr>
            <w:noProof/>
            <w:webHidden/>
          </w:rPr>
          <w:instrText xml:space="preserve"> PAGEREF _Toc52181792 \h </w:instrText>
        </w:r>
        <w:r>
          <w:rPr>
            <w:noProof/>
            <w:webHidden/>
          </w:rPr>
        </w:r>
        <w:r>
          <w:rPr>
            <w:noProof/>
            <w:webHidden/>
          </w:rPr>
          <w:fldChar w:fldCharType="separate"/>
        </w:r>
        <w:r>
          <w:rPr>
            <w:noProof/>
            <w:webHidden/>
          </w:rPr>
          <w:t>291</w:t>
        </w:r>
        <w:r>
          <w:rPr>
            <w:noProof/>
            <w:webHidden/>
          </w:rPr>
          <w:fldChar w:fldCharType="end"/>
        </w:r>
      </w:hyperlink>
    </w:p>
    <w:p w14:paraId="6DF12D07" w14:textId="2FA24D4C" w:rsidR="00507A67" w:rsidRDefault="00507A67">
      <w:pPr>
        <w:pStyle w:val="TOC3"/>
        <w:rPr>
          <w:rFonts w:asciiTheme="minorHAnsi" w:hAnsiTheme="minorHAnsi" w:cstheme="minorBidi"/>
          <w:b w:val="0"/>
          <w:noProof/>
          <w:lang w:eastAsia="en-CA"/>
        </w:rPr>
      </w:pPr>
      <w:hyperlink w:anchor="_Toc52181793" w:history="1">
        <w:r w:rsidRPr="00E53E72">
          <w:rPr>
            <w:rStyle w:val="Hyperlink"/>
            <w:noProof/>
          </w:rPr>
          <w:t>H.11.3 Reconstruction for EOM patches</w:t>
        </w:r>
        <w:r>
          <w:rPr>
            <w:noProof/>
            <w:webHidden/>
          </w:rPr>
          <w:tab/>
        </w:r>
        <w:r>
          <w:rPr>
            <w:noProof/>
            <w:webHidden/>
          </w:rPr>
          <w:fldChar w:fldCharType="begin"/>
        </w:r>
        <w:r>
          <w:rPr>
            <w:noProof/>
            <w:webHidden/>
          </w:rPr>
          <w:instrText xml:space="preserve"> PAGEREF _Toc52181793 \h </w:instrText>
        </w:r>
        <w:r>
          <w:rPr>
            <w:noProof/>
            <w:webHidden/>
          </w:rPr>
        </w:r>
        <w:r>
          <w:rPr>
            <w:noProof/>
            <w:webHidden/>
          </w:rPr>
          <w:fldChar w:fldCharType="separate"/>
        </w:r>
        <w:r>
          <w:rPr>
            <w:noProof/>
            <w:webHidden/>
          </w:rPr>
          <w:t>299</w:t>
        </w:r>
        <w:r>
          <w:rPr>
            <w:noProof/>
            <w:webHidden/>
          </w:rPr>
          <w:fldChar w:fldCharType="end"/>
        </w:r>
      </w:hyperlink>
    </w:p>
    <w:p w14:paraId="585957BC" w14:textId="23253689" w:rsidR="00507A67" w:rsidRDefault="00507A67">
      <w:pPr>
        <w:pStyle w:val="TOC3"/>
        <w:rPr>
          <w:rFonts w:asciiTheme="minorHAnsi" w:hAnsiTheme="minorHAnsi" w:cstheme="minorBidi"/>
          <w:b w:val="0"/>
          <w:noProof/>
          <w:lang w:eastAsia="en-CA"/>
        </w:rPr>
      </w:pPr>
      <w:hyperlink w:anchor="_Toc52181794" w:history="1">
        <w:r w:rsidRPr="00E53E72">
          <w:rPr>
            <w:rStyle w:val="Hyperlink"/>
            <w:noProof/>
          </w:rPr>
          <w:t>H.11.4 Reconstruction of RAW patches</w:t>
        </w:r>
        <w:r>
          <w:rPr>
            <w:noProof/>
            <w:webHidden/>
          </w:rPr>
          <w:tab/>
        </w:r>
        <w:r>
          <w:rPr>
            <w:noProof/>
            <w:webHidden/>
          </w:rPr>
          <w:fldChar w:fldCharType="begin"/>
        </w:r>
        <w:r>
          <w:rPr>
            <w:noProof/>
            <w:webHidden/>
          </w:rPr>
          <w:instrText xml:space="preserve"> PAGEREF _Toc52181794 \h </w:instrText>
        </w:r>
        <w:r>
          <w:rPr>
            <w:noProof/>
            <w:webHidden/>
          </w:rPr>
        </w:r>
        <w:r>
          <w:rPr>
            <w:noProof/>
            <w:webHidden/>
          </w:rPr>
          <w:fldChar w:fldCharType="separate"/>
        </w:r>
        <w:r>
          <w:rPr>
            <w:noProof/>
            <w:webHidden/>
          </w:rPr>
          <w:t>304</w:t>
        </w:r>
        <w:r>
          <w:rPr>
            <w:noProof/>
            <w:webHidden/>
          </w:rPr>
          <w:fldChar w:fldCharType="end"/>
        </w:r>
      </w:hyperlink>
    </w:p>
    <w:p w14:paraId="76879A3D" w14:textId="2007C391" w:rsidR="00507A67" w:rsidRDefault="00507A67">
      <w:pPr>
        <w:pStyle w:val="TOC3"/>
        <w:rPr>
          <w:rFonts w:asciiTheme="minorHAnsi" w:hAnsiTheme="minorHAnsi" w:cstheme="minorBidi"/>
          <w:b w:val="0"/>
          <w:noProof/>
          <w:lang w:eastAsia="en-CA"/>
        </w:rPr>
      </w:pPr>
      <w:hyperlink w:anchor="_Toc52181795" w:history="1">
        <w:r w:rsidRPr="00E53E72">
          <w:rPr>
            <w:rStyle w:val="Hyperlink"/>
            <w:noProof/>
          </w:rPr>
          <w:t>H.11.5 Conversion from atlas coordinates to 3D coordinates</w:t>
        </w:r>
        <w:r>
          <w:rPr>
            <w:noProof/>
            <w:webHidden/>
          </w:rPr>
          <w:tab/>
        </w:r>
        <w:r>
          <w:rPr>
            <w:noProof/>
            <w:webHidden/>
          </w:rPr>
          <w:fldChar w:fldCharType="begin"/>
        </w:r>
        <w:r>
          <w:rPr>
            <w:noProof/>
            <w:webHidden/>
          </w:rPr>
          <w:instrText xml:space="preserve"> PAGEREF _Toc52181795 \h </w:instrText>
        </w:r>
        <w:r>
          <w:rPr>
            <w:noProof/>
            <w:webHidden/>
          </w:rPr>
        </w:r>
        <w:r>
          <w:rPr>
            <w:noProof/>
            <w:webHidden/>
          </w:rPr>
          <w:fldChar w:fldCharType="separate"/>
        </w:r>
        <w:r>
          <w:rPr>
            <w:noProof/>
            <w:webHidden/>
          </w:rPr>
          <w:t>307</w:t>
        </w:r>
        <w:r>
          <w:rPr>
            <w:noProof/>
            <w:webHidden/>
          </w:rPr>
          <w:fldChar w:fldCharType="end"/>
        </w:r>
      </w:hyperlink>
    </w:p>
    <w:p w14:paraId="4B351949" w14:textId="0746991B" w:rsidR="00507A67" w:rsidRDefault="00507A67">
      <w:pPr>
        <w:pStyle w:val="TOC3"/>
        <w:rPr>
          <w:rFonts w:asciiTheme="minorHAnsi" w:hAnsiTheme="minorHAnsi" w:cstheme="minorBidi"/>
          <w:b w:val="0"/>
          <w:noProof/>
          <w:lang w:eastAsia="en-CA"/>
        </w:rPr>
      </w:pPr>
      <w:hyperlink w:anchor="_Toc52181796" w:history="1">
        <w:r w:rsidRPr="00E53E72">
          <w:rPr>
            <w:rStyle w:val="Hyperlink"/>
            <w:noProof/>
          </w:rPr>
          <w:t>H.11.6 Conversion of 3D coordinates for projection planes at 45 degrees</w:t>
        </w:r>
        <w:r>
          <w:rPr>
            <w:noProof/>
            <w:webHidden/>
          </w:rPr>
          <w:tab/>
        </w:r>
        <w:r>
          <w:rPr>
            <w:noProof/>
            <w:webHidden/>
          </w:rPr>
          <w:fldChar w:fldCharType="begin"/>
        </w:r>
        <w:r>
          <w:rPr>
            <w:noProof/>
            <w:webHidden/>
          </w:rPr>
          <w:instrText xml:space="preserve"> PAGEREF _Toc52181796 \h </w:instrText>
        </w:r>
        <w:r>
          <w:rPr>
            <w:noProof/>
            <w:webHidden/>
          </w:rPr>
        </w:r>
        <w:r>
          <w:rPr>
            <w:noProof/>
            <w:webHidden/>
          </w:rPr>
          <w:fldChar w:fldCharType="separate"/>
        </w:r>
        <w:r>
          <w:rPr>
            <w:noProof/>
            <w:webHidden/>
          </w:rPr>
          <w:t>307</w:t>
        </w:r>
        <w:r>
          <w:rPr>
            <w:noProof/>
            <w:webHidden/>
          </w:rPr>
          <w:fldChar w:fldCharType="end"/>
        </w:r>
      </w:hyperlink>
    </w:p>
    <w:p w14:paraId="4F17DA90" w14:textId="57099125" w:rsidR="00507A67" w:rsidRDefault="00507A67">
      <w:pPr>
        <w:pStyle w:val="TOC2"/>
        <w:rPr>
          <w:rFonts w:asciiTheme="minorHAnsi" w:hAnsiTheme="minorHAnsi" w:cstheme="minorBidi"/>
          <w:b w:val="0"/>
          <w:noProof/>
          <w:lang w:eastAsia="en-CA"/>
        </w:rPr>
      </w:pPr>
      <w:hyperlink w:anchor="_Toc52181797" w:history="1">
        <w:r w:rsidRPr="00E53E72">
          <w:rPr>
            <w:rStyle w:val="Hyperlink"/>
            <w:noProof/>
          </w:rPr>
          <w:t>H.12 Post-reconstruction process</w:t>
        </w:r>
        <w:r>
          <w:rPr>
            <w:noProof/>
            <w:webHidden/>
          </w:rPr>
          <w:tab/>
        </w:r>
        <w:r>
          <w:rPr>
            <w:noProof/>
            <w:webHidden/>
          </w:rPr>
          <w:fldChar w:fldCharType="begin"/>
        </w:r>
        <w:r>
          <w:rPr>
            <w:noProof/>
            <w:webHidden/>
          </w:rPr>
          <w:instrText xml:space="preserve"> PAGEREF _Toc52181797 \h </w:instrText>
        </w:r>
        <w:r>
          <w:rPr>
            <w:noProof/>
            <w:webHidden/>
          </w:rPr>
        </w:r>
        <w:r>
          <w:rPr>
            <w:noProof/>
            <w:webHidden/>
          </w:rPr>
          <w:fldChar w:fldCharType="separate"/>
        </w:r>
        <w:r>
          <w:rPr>
            <w:noProof/>
            <w:webHidden/>
          </w:rPr>
          <w:t>308</w:t>
        </w:r>
        <w:r>
          <w:rPr>
            <w:noProof/>
            <w:webHidden/>
          </w:rPr>
          <w:fldChar w:fldCharType="end"/>
        </w:r>
      </w:hyperlink>
    </w:p>
    <w:p w14:paraId="6128A65E" w14:textId="13B6FE64" w:rsidR="00507A67" w:rsidRDefault="00507A67">
      <w:pPr>
        <w:pStyle w:val="TOC3"/>
        <w:rPr>
          <w:rFonts w:asciiTheme="minorHAnsi" w:hAnsiTheme="minorHAnsi" w:cstheme="minorBidi"/>
          <w:b w:val="0"/>
          <w:noProof/>
          <w:lang w:eastAsia="en-CA"/>
        </w:rPr>
      </w:pPr>
      <w:hyperlink w:anchor="_Toc52181798" w:history="1">
        <w:r w:rsidRPr="00E53E72">
          <w:rPr>
            <w:rStyle w:val="Hyperlink"/>
            <w:noProof/>
          </w:rPr>
          <w:t>H.12.1 General</w:t>
        </w:r>
        <w:r>
          <w:rPr>
            <w:noProof/>
            <w:webHidden/>
          </w:rPr>
          <w:tab/>
        </w:r>
        <w:r>
          <w:rPr>
            <w:noProof/>
            <w:webHidden/>
          </w:rPr>
          <w:fldChar w:fldCharType="begin"/>
        </w:r>
        <w:r>
          <w:rPr>
            <w:noProof/>
            <w:webHidden/>
          </w:rPr>
          <w:instrText xml:space="preserve"> PAGEREF _Toc52181798 \h </w:instrText>
        </w:r>
        <w:r>
          <w:rPr>
            <w:noProof/>
            <w:webHidden/>
          </w:rPr>
        </w:r>
        <w:r>
          <w:rPr>
            <w:noProof/>
            <w:webHidden/>
          </w:rPr>
          <w:fldChar w:fldCharType="separate"/>
        </w:r>
        <w:r>
          <w:rPr>
            <w:noProof/>
            <w:webHidden/>
          </w:rPr>
          <w:t>308</w:t>
        </w:r>
        <w:r>
          <w:rPr>
            <w:noProof/>
            <w:webHidden/>
          </w:rPr>
          <w:fldChar w:fldCharType="end"/>
        </w:r>
      </w:hyperlink>
    </w:p>
    <w:p w14:paraId="6F835F1A" w14:textId="71C81B64" w:rsidR="00507A67" w:rsidRDefault="00507A67">
      <w:pPr>
        <w:pStyle w:val="TOC3"/>
        <w:rPr>
          <w:rFonts w:asciiTheme="minorHAnsi" w:hAnsiTheme="minorHAnsi" w:cstheme="minorBidi"/>
          <w:b w:val="0"/>
          <w:noProof/>
          <w:lang w:eastAsia="en-CA"/>
        </w:rPr>
      </w:pPr>
      <w:hyperlink w:anchor="_Toc52181799" w:history="1">
        <w:r w:rsidRPr="00E53E72">
          <w:rPr>
            <w:rStyle w:val="Hyperlink"/>
            <w:noProof/>
          </w:rPr>
          <w:t>H.12.2 Geometry smoothing process</w:t>
        </w:r>
        <w:r>
          <w:rPr>
            <w:noProof/>
            <w:webHidden/>
          </w:rPr>
          <w:tab/>
        </w:r>
        <w:r>
          <w:rPr>
            <w:noProof/>
            <w:webHidden/>
          </w:rPr>
          <w:fldChar w:fldCharType="begin"/>
        </w:r>
        <w:r>
          <w:rPr>
            <w:noProof/>
            <w:webHidden/>
          </w:rPr>
          <w:instrText xml:space="preserve"> PAGEREF _Toc52181799 \h </w:instrText>
        </w:r>
        <w:r>
          <w:rPr>
            <w:noProof/>
            <w:webHidden/>
          </w:rPr>
        </w:r>
        <w:r>
          <w:rPr>
            <w:noProof/>
            <w:webHidden/>
          </w:rPr>
          <w:fldChar w:fldCharType="separate"/>
        </w:r>
        <w:r>
          <w:rPr>
            <w:noProof/>
            <w:webHidden/>
          </w:rPr>
          <w:t>309</w:t>
        </w:r>
        <w:r>
          <w:rPr>
            <w:noProof/>
            <w:webHidden/>
          </w:rPr>
          <w:fldChar w:fldCharType="end"/>
        </w:r>
      </w:hyperlink>
    </w:p>
    <w:p w14:paraId="1DE46B6C" w14:textId="2C73430D" w:rsidR="00507A67" w:rsidRDefault="00507A67">
      <w:pPr>
        <w:pStyle w:val="TOC3"/>
        <w:rPr>
          <w:rFonts w:asciiTheme="minorHAnsi" w:hAnsiTheme="minorHAnsi" w:cstheme="minorBidi"/>
          <w:b w:val="0"/>
          <w:noProof/>
          <w:lang w:eastAsia="en-CA"/>
        </w:rPr>
      </w:pPr>
      <w:hyperlink w:anchor="_Toc52181800" w:history="1">
        <w:r w:rsidRPr="00E53E72">
          <w:rPr>
            <w:rStyle w:val="Hyperlink"/>
            <w:noProof/>
          </w:rPr>
          <w:t>H.12.3 Attribute smoothing process</w:t>
        </w:r>
        <w:r>
          <w:rPr>
            <w:noProof/>
            <w:webHidden/>
          </w:rPr>
          <w:tab/>
        </w:r>
        <w:r>
          <w:rPr>
            <w:noProof/>
            <w:webHidden/>
          </w:rPr>
          <w:fldChar w:fldCharType="begin"/>
        </w:r>
        <w:r>
          <w:rPr>
            <w:noProof/>
            <w:webHidden/>
          </w:rPr>
          <w:instrText xml:space="preserve"> PAGEREF _Toc52181800 \h </w:instrText>
        </w:r>
        <w:r>
          <w:rPr>
            <w:noProof/>
            <w:webHidden/>
          </w:rPr>
        </w:r>
        <w:r>
          <w:rPr>
            <w:noProof/>
            <w:webHidden/>
          </w:rPr>
          <w:fldChar w:fldCharType="separate"/>
        </w:r>
        <w:r>
          <w:rPr>
            <w:noProof/>
            <w:webHidden/>
          </w:rPr>
          <w:t>312</w:t>
        </w:r>
        <w:r>
          <w:rPr>
            <w:noProof/>
            <w:webHidden/>
          </w:rPr>
          <w:fldChar w:fldCharType="end"/>
        </w:r>
      </w:hyperlink>
    </w:p>
    <w:p w14:paraId="5EF9D531" w14:textId="4D0C3651" w:rsidR="00507A67" w:rsidRDefault="00507A67">
      <w:pPr>
        <w:pStyle w:val="TOC3"/>
        <w:rPr>
          <w:rFonts w:asciiTheme="minorHAnsi" w:hAnsiTheme="minorHAnsi" w:cstheme="minorBidi"/>
          <w:b w:val="0"/>
          <w:noProof/>
          <w:lang w:eastAsia="en-CA"/>
        </w:rPr>
      </w:pPr>
      <w:hyperlink w:anchor="_Toc52181801" w:history="1">
        <w:r w:rsidRPr="00E53E72">
          <w:rPr>
            <w:rStyle w:val="Hyperlink"/>
            <w:noProof/>
          </w:rPr>
          <w:t>H.12.4 Identification of the geometry and attribute center grids</w:t>
        </w:r>
        <w:r>
          <w:rPr>
            <w:noProof/>
            <w:webHidden/>
          </w:rPr>
          <w:tab/>
        </w:r>
        <w:r>
          <w:rPr>
            <w:noProof/>
            <w:webHidden/>
          </w:rPr>
          <w:fldChar w:fldCharType="begin"/>
        </w:r>
        <w:r>
          <w:rPr>
            <w:noProof/>
            <w:webHidden/>
          </w:rPr>
          <w:instrText xml:space="preserve"> PAGEREF _Toc52181801 \h </w:instrText>
        </w:r>
        <w:r>
          <w:rPr>
            <w:noProof/>
            <w:webHidden/>
          </w:rPr>
        </w:r>
        <w:r>
          <w:rPr>
            <w:noProof/>
            <w:webHidden/>
          </w:rPr>
          <w:fldChar w:fldCharType="separate"/>
        </w:r>
        <w:r>
          <w:rPr>
            <w:noProof/>
            <w:webHidden/>
          </w:rPr>
          <w:t>315</w:t>
        </w:r>
        <w:r>
          <w:rPr>
            <w:noProof/>
            <w:webHidden/>
          </w:rPr>
          <w:fldChar w:fldCharType="end"/>
        </w:r>
      </w:hyperlink>
    </w:p>
    <w:p w14:paraId="3174932A" w14:textId="38C09E51" w:rsidR="00507A67" w:rsidRDefault="00507A67">
      <w:pPr>
        <w:pStyle w:val="TOC3"/>
        <w:rPr>
          <w:rFonts w:asciiTheme="minorHAnsi" w:hAnsiTheme="minorHAnsi" w:cstheme="minorBidi"/>
          <w:b w:val="0"/>
          <w:noProof/>
          <w:lang w:eastAsia="en-CA"/>
        </w:rPr>
      </w:pPr>
      <w:hyperlink w:anchor="_Toc52181802" w:history="1">
        <w:r w:rsidRPr="00E53E72">
          <w:rPr>
            <w:rStyle w:val="Hyperlink"/>
            <w:noProof/>
          </w:rPr>
          <w:t>H.12.5 Identification of boundary points</w:t>
        </w:r>
        <w:r>
          <w:rPr>
            <w:noProof/>
            <w:webHidden/>
          </w:rPr>
          <w:tab/>
        </w:r>
        <w:r>
          <w:rPr>
            <w:noProof/>
            <w:webHidden/>
          </w:rPr>
          <w:fldChar w:fldCharType="begin"/>
        </w:r>
        <w:r>
          <w:rPr>
            <w:noProof/>
            <w:webHidden/>
          </w:rPr>
          <w:instrText xml:space="preserve"> PAGEREF _Toc52181802 \h </w:instrText>
        </w:r>
        <w:r>
          <w:rPr>
            <w:noProof/>
            <w:webHidden/>
          </w:rPr>
        </w:r>
        <w:r>
          <w:rPr>
            <w:noProof/>
            <w:webHidden/>
          </w:rPr>
          <w:fldChar w:fldCharType="separate"/>
        </w:r>
        <w:r>
          <w:rPr>
            <w:noProof/>
            <w:webHidden/>
          </w:rPr>
          <w:t>319</w:t>
        </w:r>
        <w:r>
          <w:rPr>
            <w:noProof/>
            <w:webHidden/>
          </w:rPr>
          <w:fldChar w:fldCharType="end"/>
        </w:r>
      </w:hyperlink>
    </w:p>
    <w:p w14:paraId="603E8E58" w14:textId="1E19307E" w:rsidR="00507A67" w:rsidRDefault="00507A67">
      <w:pPr>
        <w:pStyle w:val="TOC3"/>
        <w:rPr>
          <w:rFonts w:asciiTheme="minorHAnsi" w:hAnsiTheme="minorHAnsi" w:cstheme="minorBidi"/>
          <w:b w:val="0"/>
          <w:noProof/>
          <w:lang w:eastAsia="en-CA"/>
        </w:rPr>
      </w:pPr>
      <w:hyperlink w:anchor="_Toc52181803" w:history="1">
        <w:r w:rsidRPr="00E53E72">
          <w:rPr>
            <w:rStyle w:val="Hyperlink"/>
            <w:noProof/>
          </w:rPr>
          <w:t>H.12.6 Identification of 2 × 2 × 2 cells corresponding to a reconstructed point position</w:t>
        </w:r>
        <w:r>
          <w:rPr>
            <w:noProof/>
            <w:webHidden/>
          </w:rPr>
          <w:tab/>
        </w:r>
        <w:r>
          <w:rPr>
            <w:noProof/>
            <w:webHidden/>
          </w:rPr>
          <w:fldChar w:fldCharType="begin"/>
        </w:r>
        <w:r>
          <w:rPr>
            <w:noProof/>
            <w:webHidden/>
          </w:rPr>
          <w:instrText xml:space="preserve"> PAGEREF _Toc52181803 \h </w:instrText>
        </w:r>
        <w:r>
          <w:rPr>
            <w:noProof/>
            <w:webHidden/>
          </w:rPr>
        </w:r>
        <w:r>
          <w:rPr>
            <w:noProof/>
            <w:webHidden/>
          </w:rPr>
          <w:fldChar w:fldCharType="separate"/>
        </w:r>
        <w:r>
          <w:rPr>
            <w:noProof/>
            <w:webHidden/>
          </w:rPr>
          <w:t>320</w:t>
        </w:r>
        <w:r>
          <w:rPr>
            <w:noProof/>
            <w:webHidden/>
          </w:rPr>
          <w:fldChar w:fldCharType="end"/>
        </w:r>
      </w:hyperlink>
    </w:p>
    <w:p w14:paraId="5AE7A8DF" w14:textId="6B8202F1" w:rsidR="00507A67" w:rsidRDefault="00507A67">
      <w:pPr>
        <w:pStyle w:val="TOC3"/>
        <w:rPr>
          <w:rFonts w:asciiTheme="minorHAnsi" w:hAnsiTheme="minorHAnsi" w:cstheme="minorBidi"/>
          <w:b w:val="0"/>
          <w:noProof/>
          <w:lang w:eastAsia="en-CA"/>
        </w:rPr>
      </w:pPr>
      <w:hyperlink w:anchor="_Toc52181804" w:history="1">
        <w:r w:rsidRPr="00E53E72">
          <w:rPr>
            <w:rStyle w:val="Hyperlink"/>
            <w:noProof/>
          </w:rPr>
          <w:t>H.12.7 Trilinear filtering</w:t>
        </w:r>
        <w:r>
          <w:rPr>
            <w:noProof/>
            <w:webHidden/>
          </w:rPr>
          <w:tab/>
        </w:r>
        <w:r>
          <w:rPr>
            <w:noProof/>
            <w:webHidden/>
          </w:rPr>
          <w:fldChar w:fldCharType="begin"/>
        </w:r>
        <w:r>
          <w:rPr>
            <w:noProof/>
            <w:webHidden/>
          </w:rPr>
          <w:instrText xml:space="preserve"> PAGEREF _Toc52181804 \h </w:instrText>
        </w:r>
        <w:r>
          <w:rPr>
            <w:noProof/>
            <w:webHidden/>
          </w:rPr>
        </w:r>
        <w:r>
          <w:rPr>
            <w:noProof/>
            <w:webHidden/>
          </w:rPr>
          <w:fldChar w:fldCharType="separate"/>
        </w:r>
        <w:r>
          <w:rPr>
            <w:noProof/>
            <w:webHidden/>
          </w:rPr>
          <w:t>321</w:t>
        </w:r>
        <w:r>
          <w:rPr>
            <w:noProof/>
            <w:webHidden/>
          </w:rPr>
          <w:fldChar w:fldCharType="end"/>
        </w:r>
      </w:hyperlink>
    </w:p>
    <w:p w14:paraId="04466A3A" w14:textId="40CB0728" w:rsidR="00507A67" w:rsidRDefault="00507A67">
      <w:pPr>
        <w:pStyle w:val="TOC3"/>
        <w:rPr>
          <w:rFonts w:asciiTheme="minorHAnsi" w:hAnsiTheme="minorHAnsi" w:cstheme="minorBidi"/>
          <w:b w:val="0"/>
          <w:noProof/>
          <w:lang w:eastAsia="en-CA"/>
        </w:rPr>
      </w:pPr>
      <w:hyperlink w:anchor="_Toc52181805" w:history="1">
        <w:r w:rsidRPr="00E53E72">
          <w:rPr>
            <w:rStyle w:val="Hyperlink"/>
            <w:noProof/>
          </w:rPr>
          <w:t>H.13 Adaptation process</w:t>
        </w:r>
        <w:r>
          <w:rPr>
            <w:noProof/>
            <w:webHidden/>
          </w:rPr>
          <w:tab/>
        </w:r>
        <w:r>
          <w:rPr>
            <w:noProof/>
            <w:webHidden/>
          </w:rPr>
          <w:fldChar w:fldCharType="begin"/>
        </w:r>
        <w:r>
          <w:rPr>
            <w:noProof/>
            <w:webHidden/>
          </w:rPr>
          <w:instrText xml:space="preserve"> PAGEREF _Toc52181805 \h </w:instrText>
        </w:r>
        <w:r>
          <w:rPr>
            <w:noProof/>
            <w:webHidden/>
          </w:rPr>
        </w:r>
        <w:r>
          <w:rPr>
            <w:noProof/>
            <w:webHidden/>
          </w:rPr>
          <w:fldChar w:fldCharType="separate"/>
        </w:r>
        <w:r>
          <w:rPr>
            <w:noProof/>
            <w:webHidden/>
          </w:rPr>
          <w:t>328</w:t>
        </w:r>
        <w:r>
          <w:rPr>
            <w:noProof/>
            <w:webHidden/>
          </w:rPr>
          <w:fldChar w:fldCharType="end"/>
        </w:r>
      </w:hyperlink>
    </w:p>
    <w:p w14:paraId="1C65E62D" w14:textId="0A770E09" w:rsidR="00507A67" w:rsidRDefault="00507A67">
      <w:pPr>
        <w:pStyle w:val="TOC2"/>
        <w:rPr>
          <w:rFonts w:asciiTheme="minorHAnsi" w:hAnsiTheme="minorHAnsi" w:cstheme="minorBidi"/>
          <w:b w:val="0"/>
          <w:noProof/>
          <w:lang w:eastAsia="en-CA"/>
        </w:rPr>
      </w:pPr>
      <w:hyperlink w:anchor="_Toc52181806" w:history="1">
        <w:r w:rsidRPr="00E53E72">
          <w:rPr>
            <w:rStyle w:val="Hyperlink"/>
            <w:noProof/>
          </w:rPr>
          <w:t>H.14 Parsing process</w:t>
        </w:r>
        <w:r>
          <w:rPr>
            <w:noProof/>
            <w:webHidden/>
          </w:rPr>
          <w:tab/>
        </w:r>
        <w:r>
          <w:rPr>
            <w:noProof/>
            <w:webHidden/>
          </w:rPr>
          <w:fldChar w:fldCharType="begin"/>
        </w:r>
        <w:r>
          <w:rPr>
            <w:noProof/>
            <w:webHidden/>
          </w:rPr>
          <w:instrText xml:space="preserve"> PAGEREF _Toc52181806 \h </w:instrText>
        </w:r>
        <w:r>
          <w:rPr>
            <w:noProof/>
            <w:webHidden/>
          </w:rPr>
        </w:r>
        <w:r>
          <w:rPr>
            <w:noProof/>
            <w:webHidden/>
          </w:rPr>
          <w:fldChar w:fldCharType="separate"/>
        </w:r>
        <w:r>
          <w:rPr>
            <w:noProof/>
            <w:webHidden/>
          </w:rPr>
          <w:t>328</w:t>
        </w:r>
        <w:r>
          <w:rPr>
            <w:noProof/>
            <w:webHidden/>
          </w:rPr>
          <w:fldChar w:fldCharType="end"/>
        </w:r>
      </w:hyperlink>
    </w:p>
    <w:p w14:paraId="0C3BFB2E" w14:textId="1C56AEC2" w:rsidR="00507A67" w:rsidRDefault="00507A67">
      <w:pPr>
        <w:pStyle w:val="TOC2"/>
        <w:rPr>
          <w:rFonts w:asciiTheme="minorHAnsi" w:hAnsiTheme="minorHAnsi" w:cstheme="minorBidi"/>
          <w:b w:val="0"/>
          <w:noProof/>
          <w:lang w:eastAsia="en-CA"/>
        </w:rPr>
      </w:pPr>
      <w:hyperlink w:anchor="_Toc52181807" w:history="1">
        <w:r w:rsidRPr="00E53E72">
          <w:rPr>
            <w:rStyle w:val="Hyperlink"/>
            <w:noProof/>
          </w:rPr>
          <w:t>H.15 Profiles, tiers, and levels</w:t>
        </w:r>
        <w:r>
          <w:rPr>
            <w:noProof/>
            <w:webHidden/>
          </w:rPr>
          <w:tab/>
        </w:r>
        <w:r>
          <w:rPr>
            <w:noProof/>
            <w:webHidden/>
          </w:rPr>
          <w:fldChar w:fldCharType="begin"/>
        </w:r>
        <w:r>
          <w:rPr>
            <w:noProof/>
            <w:webHidden/>
          </w:rPr>
          <w:instrText xml:space="preserve"> PAGEREF _Toc52181807 \h </w:instrText>
        </w:r>
        <w:r>
          <w:rPr>
            <w:noProof/>
            <w:webHidden/>
          </w:rPr>
        </w:r>
        <w:r>
          <w:rPr>
            <w:noProof/>
            <w:webHidden/>
          </w:rPr>
          <w:fldChar w:fldCharType="separate"/>
        </w:r>
        <w:r>
          <w:rPr>
            <w:noProof/>
            <w:webHidden/>
          </w:rPr>
          <w:t>328</w:t>
        </w:r>
        <w:r>
          <w:rPr>
            <w:noProof/>
            <w:webHidden/>
          </w:rPr>
          <w:fldChar w:fldCharType="end"/>
        </w:r>
      </w:hyperlink>
    </w:p>
    <w:p w14:paraId="741FDB57" w14:textId="7D728B5C" w:rsidR="00507A67" w:rsidRDefault="00507A67">
      <w:pPr>
        <w:pStyle w:val="TOC3"/>
        <w:rPr>
          <w:rFonts w:asciiTheme="minorHAnsi" w:hAnsiTheme="minorHAnsi" w:cstheme="minorBidi"/>
          <w:b w:val="0"/>
          <w:noProof/>
          <w:lang w:eastAsia="en-CA"/>
        </w:rPr>
      </w:pPr>
      <w:hyperlink w:anchor="_Toc52181808" w:history="1">
        <w:r w:rsidRPr="00E53E72">
          <w:rPr>
            <w:rStyle w:val="Hyperlink"/>
            <w:noProof/>
          </w:rPr>
          <w:t>H.15.1 Overview of profiles, tiers, and levels</w:t>
        </w:r>
        <w:r>
          <w:rPr>
            <w:noProof/>
            <w:webHidden/>
          </w:rPr>
          <w:tab/>
        </w:r>
        <w:r>
          <w:rPr>
            <w:noProof/>
            <w:webHidden/>
          </w:rPr>
          <w:fldChar w:fldCharType="begin"/>
        </w:r>
        <w:r>
          <w:rPr>
            <w:noProof/>
            <w:webHidden/>
          </w:rPr>
          <w:instrText xml:space="preserve"> PAGEREF _Toc52181808 \h </w:instrText>
        </w:r>
        <w:r>
          <w:rPr>
            <w:noProof/>
            <w:webHidden/>
          </w:rPr>
        </w:r>
        <w:r>
          <w:rPr>
            <w:noProof/>
            <w:webHidden/>
          </w:rPr>
          <w:fldChar w:fldCharType="separate"/>
        </w:r>
        <w:r>
          <w:rPr>
            <w:noProof/>
            <w:webHidden/>
          </w:rPr>
          <w:t>328</w:t>
        </w:r>
        <w:r>
          <w:rPr>
            <w:noProof/>
            <w:webHidden/>
          </w:rPr>
          <w:fldChar w:fldCharType="end"/>
        </w:r>
      </w:hyperlink>
    </w:p>
    <w:p w14:paraId="052E8B53" w14:textId="24A554EE" w:rsidR="00507A67" w:rsidRDefault="00507A67">
      <w:pPr>
        <w:pStyle w:val="TOC3"/>
        <w:rPr>
          <w:rFonts w:asciiTheme="minorHAnsi" w:hAnsiTheme="minorHAnsi" w:cstheme="minorBidi"/>
          <w:b w:val="0"/>
          <w:noProof/>
          <w:lang w:eastAsia="en-CA"/>
        </w:rPr>
      </w:pPr>
      <w:hyperlink w:anchor="_Toc52181809" w:history="1">
        <w:r w:rsidRPr="00E53E72">
          <w:rPr>
            <w:rStyle w:val="Hyperlink"/>
            <w:noProof/>
          </w:rPr>
          <w:t>H.15.2 Profile, tier, and level structure</w:t>
        </w:r>
        <w:r>
          <w:rPr>
            <w:noProof/>
            <w:webHidden/>
          </w:rPr>
          <w:tab/>
        </w:r>
        <w:r>
          <w:rPr>
            <w:noProof/>
            <w:webHidden/>
          </w:rPr>
          <w:fldChar w:fldCharType="begin"/>
        </w:r>
        <w:r>
          <w:rPr>
            <w:noProof/>
            <w:webHidden/>
          </w:rPr>
          <w:instrText xml:space="preserve"> PAGEREF _Toc52181809 \h </w:instrText>
        </w:r>
        <w:r>
          <w:rPr>
            <w:noProof/>
            <w:webHidden/>
          </w:rPr>
        </w:r>
        <w:r>
          <w:rPr>
            <w:noProof/>
            <w:webHidden/>
          </w:rPr>
          <w:fldChar w:fldCharType="separate"/>
        </w:r>
        <w:r>
          <w:rPr>
            <w:noProof/>
            <w:webHidden/>
          </w:rPr>
          <w:t>328</w:t>
        </w:r>
        <w:r>
          <w:rPr>
            <w:noProof/>
            <w:webHidden/>
          </w:rPr>
          <w:fldChar w:fldCharType="end"/>
        </w:r>
      </w:hyperlink>
    </w:p>
    <w:p w14:paraId="65A3A639" w14:textId="08F22016" w:rsidR="00507A67" w:rsidRDefault="00507A67">
      <w:pPr>
        <w:pStyle w:val="TOC3"/>
        <w:rPr>
          <w:rFonts w:asciiTheme="minorHAnsi" w:hAnsiTheme="minorHAnsi" w:cstheme="minorBidi"/>
          <w:b w:val="0"/>
          <w:noProof/>
          <w:lang w:eastAsia="en-CA"/>
        </w:rPr>
      </w:pPr>
      <w:hyperlink w:anchor="_Toc52181810" w:history="1">
        <w:r w:rsidRPr="00E53E72">
          <w:rPr>
            <w:rStyle w:val="Hyperlink"/>
            <w:noProof/>
          </w:rPr>
          <w:t>H.15.3 CodecGroup profile components</w:t>
        </w:r>
        <w:r>
          <w:rPr>
            <w:noProof/>
            <w:webHidden/>
          </w:rPr>
          <w:tab/>
        </w:r>
        <w:r>
          <w:rPr>
            <w:noProof/>
            <w:webHidden/>
          </w:rPr>
          <w:fldChar w:fldCharType="begin"/>
        </w:r>
        <w:r>
          <w:rPr>
            <w:noProof/>
            <w:webHidden/>
          </w:rPr>
          <w:instrText xml:space="preserve"> PAGEREF _Toc52181810 \h </w:instrText>
        </w:r>
        <w:r>
          <w:rPr>
            <w:noProof/>
            <w:webHidden/>
          </w:rPr>
        </w:r>
        <w:r>
          <w:rPr>
            <w:noProof/>
            <w:webHidden/>
          </w:rPr>
          <w:fldChar w:fldCharType="separate"/>
        </w:r>
        <w:r>
          <w:rPr>
            <w:noProof/>
            <w:webHidden/>
          </w:rPr>
          <w:t>329</w:t>
        </w:r>
        <w:r>
          <w:rPr>
            <w:noProof/>
            <w:webHidden/>
          </w:rPr>
          <w:fldChar w:fldCharType="end"/>
        </w:r>
      </w:hyperlink>
    </w:p>
    <w:p w14:paraId="522CC5F4" w14:textId="1019047E" w:rsidR="00507A67" w:rsidRDefault="00507A67">
      <w:pPr>
        <w:pStyle w:val="TOC3"/>
        <w:rPr>
          <w:rFonts w:asciiTheme="minorHAnsi" w:hAnsiTheme="minorHAnsi" w:cstheme="minorBidi"/>
          <w:b w:val="0"/>
          <w:noProof/>
          <w:lang w:eastAsia="en-CA"/>
        </w:rPr>
      </w:pPr>
      <w:hyperlink w:anchor="_Toc52181811" w:history="1">
        <w:r w:rsidRPr="00E53E72">
          <w:rPr>
            <w:rStyle w:val="Hyperlink"/>
            <w:noProof/>
          </w:rPr>
          <w:t>H.15.4 Toolset profile components</w:t>
        </w:r>
        <w:r>
          <w:rPr>
            <w:noProof/>
            <w:webHidden/>
          </w:rPr>
          <w:tab/>
        </w:r>
        <w:r>
          <w:rPr>
            <w:noProof/>
            <w:webHidden/>
          </w:rPr>
          <w:fldChar w:fldCharType="begin"/>
        </w:r>
        <w:r>
          <w:rPr>
            <w:noProof/>
            <w:webHidden/>
          </w:rPr>
          <w:instrText xml:space="preserve"> PAGEREF _Toc52181811 \h </w:instrText>
        </w:r>
        <w:r>
          <w:rPr>
            <w:noProof/>
            <w:webHidden/>
          </w:rPr>
        </w:r>
        <w:r>
          <w:rPr>
            <w:noProof/>
            <w:webHidden/>
          </w:rPr>
          <w:fldChar w:fldCharType="separate"/>
        </w:r>
        <w:r>
          <w:rPr>
            <w:noProof/>
            <w:webHidden/>
          </w:rPr>
          <w:t>329</w:t>
        </w:r>
        <w:r>
          <w:rPr>
            <w:noProof/>
            <w:webHidden/>
          </w:rPr>
          <w:fldChar w:fldCharType="end"/>
        </w:r>
      </w:hyperlink>
    </w:p>
    <w:p w14:paraId="1AB2F50A" w14:textId="111F1696" w:rsidR="00507A67" w:rsidRDefault="00507A67">
      <w:pPr>
        <w:pStyle w:val="TOC3"/>
        <w:rPr>
          <w:rFonts w:asciiTheme="minorHAnsi" w:hAnsiTheme="minorHAnsi" w:cstheme="minorBidi"/>
          <w:b w:val="0"/>
          <w:noProof/>
          <w:lang w:eastAsia="en-CA"/>
        </w:rPr>
      </w:pPr>
      <w:hyperlink w:anchor="_Toc52181812" w:history="1">
        <w:r w:rsidRPr="00E53E72">
          <w:rPr>
            <w:rStyle w:val="Hyperlink"/>
            <w:noProof/>
          </w:rPr>
          <w:t>H.15.5 Reconstruction profile components</w:t>
        </w:r>
        <w:r>
          <w:rPr>
            <w:noProof/>
            <w:webHidden/>
          </w:rPr>
          <w:tab/>
        </w:r>
        <w:r>
          <w:rPr>
            <w:noProof/>
            <w:webHidden/>
          </w:rPr>
          <w:fldChar w:fldCharType="begin"/>
        </w:r>
        <w:r>
          <w:rPr>
            <w:noProof/>
            <w:webHidden/>
          </w:rPr>
          <w:instrText xml:space="preserve"> PAGEREF _Toc52181812 \h </w:instrText>
        </w:r>
        <w:r>
          <w:rPr>
            <w:noProof/>
            <w:webHidden/>
          </w:rPr>
        </w:r>
        <w:r>
          <w:rPr>
            <w:noProof/>
            <w:webHidden/>
          </w:rPr>
          <w:fldChar w:fldCharType="separate"/>
        </w:r>
        <w:r>
          <w:rPr>
            <w:noProof/>
            <w:webHidden/>
          </w:rPr>
          <w:t>331</w:t>
        </w:r>
        <w:r>
          <w:rPr>
            <w:noProof/>
            <w:webHidden/>
          </w:rPr>
          <w:fldChar w:fldCharType="end"/>
        </w:r>
      </w:hyperlink>
    </w:p>
    <w:p w14:paraId="5E6F3A7A" w14:textId="7BF2B31C" w:rsidR="00507A67" w:rsidRDefault="00507A67">
      <w:pPr>
        <w:pStyle w:val="TOC3"/>
        <w:rPr>
          <w:rFonts w:asciiTheme="minorHAnsi" w:hAnsiTheme="minorHAnsi" w:cstheme="minorBidi"/>
          <w:b w:val="0"/>
          <w:noProof/>
          <w:lang w:eastAsia="en-CA"/>
        </w:rPr>
      </w:pPr>
      <w:hyperlink w:anchor="_Toc52181813" w:history="1">
        <w:r w:rsidRPr="00E53E72">
          <w:rPr>
            <w:rStyle w:val="Hyperlink"/>
            <w:noProof/>
          </w:rPr>
          <w:t>H.15.6 Tier and Levels</w:t>
        </w:r>
        <w:r>
          <w:rPr>
            <w:noProof/>
            <w:webHidden/>
          </w:rPr>
          <w:tab/>
        </w:r>
        <w:r>
          <w:rPr>
            <w:noProof/>
            <w:webHidden/>
          </w:rPr>
          <w:fldChar w:fldCharType="begin"/>
        </w:r>
        <w:r>
          <w:rPr>
            <w:noProof/>
            <w:webHidden/>
          </w:rPr>
          <w:instrText xml:space="preserve"> PAGEREF _Toc52181813 \h </w:instrText>
        </w:r>
        <w:r>
          <w:rPr>
            <w:noProof/>
            <w:webHidden/>
          </w:rPr>
        </w:r>
        <w:r>
          <w:rPr>
            <w:noProof/>
            <w:webHidden/>
          </w:rPr>
          <w:fldChar w:fldCharType="separate"/>
        </w:r>
        <w:r>
          <w:rPr>
            <w:noProof/>
            <w:webHidden/>
          </w:rPr>
          <w:t>334</w:t>
        </w:r>
        <w:r>
          <w:rPr>
            <w:noProof/>
            <w:webHidden/>
          </w:rPr>
          <w:fldChar w:fldCharType="end"/>
        </w:r>
      </w:hyperlink>
    </w:p>
    <w:p w14:paraId="6C233CD9" w14:textId="7568F5DE" w:rsidR="00507A67" w:rsidRDefault="00507A67">
      <w:pPr>
        <w:pStyle w:val="TOC2"/>
        <w:rPr>
          <w:rFonts w:asciiTheme="minorHAnsi" w:hAnsiTheme="minorHAnsi" w:cstheme="minorBidi"/>
          <w:b w:val="0"/>
          <w:noProof/>
          <w:lang w:eastAsia="en-CA"/>
        </w:rPr>
      </w:pPr>
      <w:hyperlink w:anchor="_Toc52181814" w:history="1">
        <w:r w:rsidRPr="00E53E72">
          <w:rPr>
            <w:rStyle w:val="Hyperlink"/>
            <w:noProof/>
          </w:rPr>
          <w:t>H.16 Post-decoding conversion to nominal video formats</w:t>
        </w:r>
        <w:r>
          <w:rPr>
            <w:noProof/>
            <w:webHidden/>
          </w:rPr>
          <w:tab/>
        </w:r>
        <w:r>
          <w:rPr>
            <w:noProof/>
            <w:webHidden/>
          </w:rPr>
          <w:fldChar w:fldCharType="begin"/>
        </w:r>
        <w:r>
          <w:rPr>
            <w:noProof/>
            <w:webHidden/>
          </w:rPr>
          <w:instrText xml:space="preserve"> PAGEREF _Toc52181814 \h </w:instrText>
        </w:r>
        <w:r>
          <w:rPr>
            <w:noProof/>
            <w:webHidden/>
          </w:rPr>
        </w:r>
        <w:r>
          <w:rPr>
            <w:noProof/>
            <w:webHidden/>
          </w:rPr>
          <w:fldChar w:fldCharType="separate"/>
        </w:r>
        <w:r>
          <w:rPr>
            <w:noProof/>
            <w:webHidden/>
          </w:rPr>
          <w:t>334</w:t>
        </w:r>
        <w:r>
          <w:rPr>
            <w:noProof/>
            <w:webHidden/>
          </w:rPr>
          <w:fldChar w:fldCharType="end"/>
        </w:r>
      </w:hyperlink>
    </w:p>
    <w:p w14:paraId="1EE24B91" w14:textId="1B9348FE" w:rsidR="00507A67" w:rsidRDefault="00507A67">
      <w:pPr>
        <w:pStyle w:val="TOC2"/>
        <w:rPr>
          <w:rFonts w:asciiTheme="minorHAnsi" w:hAnsiTheme="minorHAnsi" w:cstheme="minorBidi"/>
          <w:b w:val="0"/>
          <w:noProof/>
          <w:lang w:eastAsia="en-CA"/>
        </w:rPr>
      </w:pPr>
      <w:hyperlink w:anchor="_Toc52181815" w:history="1">
        <w:r w:rsidRPr="00E53E72">
          <w:rPr>
            <w:rStyle w:val="Hyperlink"/>
            <w:noProof/>
          </w:rPr>
          <w:t>H.17 V3C Sample Stream Format</w:t>
        </w:r>
        <w:r>
          <w:rPr>
            <w:noProof/>
            <w:webHidden/>
          </w:rPr>
          <w:tab/>
        </w:r>
        <w:r>
          <w:rPr>
            <w:noProof/>
            <w:webHidden/>
          </w:rPr>
          <w:fldChar w:fldCharType="begin"/>
        </w:r>
        <w:r>
          <w:rPr>
            <w:noProof/>
            <w:webHidden/>
          </w:rPr>
          <w:instrText xml:space="preserve"> PAGEREF _Toc52181815 \h </w:instrText>
        </w:r>
        <w:r>
          <w:rPr>
            <w:noProof/>
            <w:webHidden/>
          </w:rPr>
        </w:r>
        <w:r>
          <w:rPr>
            <w:noProof/>
            <w:webHidden/>
          </w:rPr>
          <w:fldChar w:fldCharType="separate"/>
        </w:r>
        <w:r>
          <w:rPr>
            <w:noProof/>
            <w:webHidden/>
          </w:rPr>
          <w:t>334</w:t>
        </w:r>
        <w:r>
          <w:rPr>
            <w:noProof/>
            <w:webHidden/>
          </w:rPr>
          <w:fldChar w:fldCharType="end"/>
        </w:r>
      </w:hyperlink>
    </w:p>
    <w:p w14:paraId="6A79C188" w14:textId="3376FC1E" w:rsidR="00507A67" w:rsidRDefault="00507A67">
      <w:pPr>
        <w:pStyle w:val="TOC2"/>
        <w:rPr>
          <w:rFonts w:asciiTheme="minorHAnsi" w:hAnsiTheme="minorHAnsi" w:cstheme="minorBidi"/>
          <w:b w:val="0"/>
          <w:noProof/>
          <w:lang w:eastAsia="en-CA"/>
        </w:rPr>
      </w:pPr>
      <w:hyperlink w:anchor="_Toc52181816" w:history="1">
        <w:r w:rsidRPr="00E53E72">
          <w:rPr>
            <w:rStyle w:val="Hyperlink"/>
            <w:noProof/>
          </w:rPr>
          <w:t>H.18 NAL Sample Stream Format</w:t>
        </w:r>
        <w:r>
          <w:rPr>
            <w:noProof/>
            <w:webHidden/>
          </w:rPr>
          <w:tab/>
        </w:r>
        <w:r>
          <w:rPr>
            <w:noProof/>
            <w:webHidden/>
          </w:rPr>
          <w:fldChar w:fldCharType="begin"/>
        </w:r>
        <w:r>
          <w:rPr>
            <w:noProof/>
            <w:webHidden/>
          </w:rPr>
          <w:instrText xml:space="preserve"> PAGEREF _Toc52181816 \h </w:instrText>
        </w:r>
        <w:r>
          <w:rPr>
            <w:noProof/>
            <w:webHidden/>
          </w:rPr>
        </w:r>
        <w:r>
          <w:rPr>
            <w:noProof/>
            <w:webHidden/>
          </w:rPr>
          <w:fldChar w:fldCharType="separate"/>
        </w:r>
        <w:r>
          <w:rPr>
            <w:noProof/>
            <w:webHidden/>
          </w:rPr>
          <w:t>334</w:t>
        </w:r>
        <w:r>
          <w:rPr>
            <w:noProof/>
            <w:webHidden/>
          </w:rPr>
          <w:fldChar w:fldCharType="end"/>
        </w:r>
      </w:hyperlink>
    </w:p>
    <w:p w14:paraId="5C025FA9" w14:textId="42C15C82" w:rsidR="00507A67" w:rsidRDefault="00507A67">
      <w:pPr>
        <w:pStyle w:val="TOC2"/>
        <w:rPr>
          <w:rFonts w:asciiTheme="minorHAnsi" w:hAnsiTheme="minorHAnsi" w:cstheme="minorBidi"/>
          <w:b w:val="0"/>
          <w:noProof/>
          <w:lang w:eastAsia="en-CA"/>
        </w:rPr>
      </w:pPr>
      <w:hyperlink w:anchor="_Toc52181817" w:history="1">
        <w:r w:rsidRPr="00E53E72">
          <w:rPr>
            <w:rStyle w:val="Hyperlink"/>
            <w:noProof/>
          </w:rPr>
          <w:t>H.19 Atlas Hypothetical Reference Decoder</w:t>
        </w:r>
        <w:r>
          <w:rPr>
            <w:noProof/>
            <w:webHidden/>
          </w:rPr>
          <w:tab/>
        </w:r>
        <w:r>
          <w:rPr>
            <w:noProof/>
            <w:webHidden/>
          </w:rPr>
          <w:fldChar w:fldCharType="begin"/>
        </w:r>
        <w:r>
          <w:rPr>
            <w:noProof/>
            <w:webHidden/>
          </w:rPr>
          <w:instrText xml:space="preserve"> PAGEREF _Toc52181817 \h </w:instrText>
        </w:r>
        <w:r>
          <w:rPr>
            <w:noProof/>
            <w:webHidden/>
          </w:rPr>
        </w:r>
        <w:r>
          <w:rPr>
            <w:noProof/>
            <w:webHidden/>
          </w:rPr>
          <w:fldChar w:fldCharType="separate"/>
        </w:r>
        <w:r>
          <w:rPr>
            <w:noProof/>
            <w:webHidden/>
          </w:rPr>
          <w:t>334</w:t>
        </w:r>
        <w:r>
          <w:rPr>
            <w:noProof/>
            <w:webHidden/>
          </w:rPr>
          <w:fldChar w:fldCharType="end"/>
        </w:r>
      </w:hyperlink>
    </w:p>
    <w:p w14:paraId="621CCDC1" w14:textId="1E7C937A" w:rsidR="00507A67" w:rsidRDefault="00507A67">
      <w:pPr>
        <w:pStyle w:val="TOC2"/>
        <w:rPr>
          <w:rFonts w:asciiTheme="minorHAnsi" w:hAnsiTheme="minorHAnsi" w:cstheme="minorBidi"/>
          <w:b w:val="0"/>
          <w:noProof/>
          <w:lang w:eastAsia="en-CA"/>
        </w:rPr>
      </w:pPr>
      <w:hyperlink w:anchor="_Toc52181818" w:history="1">
        <w:r w:rsidRPr="00E53E72">
          <w:rPr>
            <w:rStyle w:val="Hyperlink"/>
            <w:noProof/>
          </w:rPr>
          <w:t>H.20 Supplemental Enhancement Information</w:t>
        </w:r>
        <w:r>
          <w:rPr>
            <w:noProof/>
            <w:webHidden/>
          </w:rPr>
          <w:tab/>
        </w:r>
        <w:r>
          <w:rPr>
            <w:noProof/>
            <w:webHidden/>
          </w:rPr>
          <w:fldChar w:fldCharType="begin"/>
        </w:r>
        <w:r>
          <w:rPr>
            <w:noProof/>
            <w:webHidden/>
          </w:rPr>
          <w:instrText xml:space="preserve"> PAGEREF _Toc52181818 \h </w:instrText>
        </w:r>
        <w:r>
          <w:rPr>
            <w:noProof/>
            <w:webHidden/>
          </w:rPr>
        </w:r>
        <w:r>
          <w:rPr>
            <w:noProof/>
            <w:webHidden/>
          </w:rPr>
          <w:fldChar w:fldCharType="separate"/>
        </w:r>
        <w:r>
          <w:rPr>
            <w:noProof/>
            <w:webHidden/>
          </w:rPr>
          <w:t>334</w:t>
        </w:r>
        <w:r>
          <w:rPr>
            <w:noProof/>
            <w:webHidden/>
          </w:rPr>
          <w:fldChar w:fldCharType="end"/>
        </w:r>
      </w:hyperlink>
    </w:p>
    <w:p w14:paraId="060E4C85" w14:textId="38D5349E" w:rsidR="00507A67" w:rsidRDefault="00507A67">
      <w:pPr>
        <w:pStyle w:val="TOC3"/>
        <w:rPr>
          <w:rFonts w:asciiTheme="minorHAnsi" w:hAnsiTheme="minorHAnsi" w:cstheme="minorBidi"/>
          <w:b w:val="0"/>
          <w:noProof/>
          <w:lang w:eastAsia="en-CA"/>
        </w:rPr>
      </w:pPr>
      <w:hyperlink w:anchor="_Toc52181819" w:history="1">
        <w:r w:rsidRPr="00E53E72">
          <w:rPr>
            <w:rStyle w:val="Hyperlink"/>
            <w:noProof/>
          </w:rPr>
          <w:t>H.20.1 General</w:t>
        </w:r>
        <w:r>
          <w:rPr>
            <w:noProof/>
            <w:webHidden/>
          </w:rPr>
          <w:tab/>
        </w:r>
        <w:r>
          <w:rPr>
            <w:noProof/>
            <w:webHidden/>
          </w:rPr>
          <w:fldChar w:fldCharType="begin"/>
        </w:r>
        <w:r>
          <w:rPr>
            <w:noProof/>
            <w:webHidden/>
          </w:rPr>
          <w:instrText xml:space="preserve"> PAGEREF _Toc52181819 \h </w:instrText>
        </w:r>
        <w:r>
          <w:rPr>
            <w:noProof/>
            <w:webHidden/>
          </w:rPr>
        </w:r>
        <w:r>
          <w:rPr>
            <w:noProof/>
            <w:webHidden/>
          </w:rPr>
          <w:fldChar w:fldCharType="separate"/>
        </w:r>
        <w:r>
          <w:rPr>
            <w:noProof/>
            <w:webHidden/>
          </w:rPr>
          <w:t>334</w:t>
        </w:r>
        <w:r>
          <w:rPr>
            <w:noProof/>
            <w:webHidden/>
          </w:rPr>
          <w:fldChar w:fldCharType="end"/>
        </w:r>
      </w:hyperlink>
    </w:p>
    <w:p w14:paraId="6D9A30E7" w14:textId="4D30B308" w:rsidR="00507A67" w:rsidRDefault="00507A67">
      <w:pPr>
        <w:pStyle w:val="TOC3"/>
        <w:rPr>
          <w:rFonts w:asciiTheme="minorHAnsi" w:hAnsiTheme="minorHAnsi" w:cstheme="minorBidi"/>
          <w:b w:val="0"/>
          <w:noProof/>
          <w:lang w:eastAsia="en-CA"/>
        </w:rPr>
      </w:pPr>
      <w:hyperlink w:anchor="_Toc52181820" w:history="1">
        <w:r w:rsidRPr="00E53E72">
          <w:rPr>
            <w:rStyle w:val="Hyperlink"/>
            <w:noProof/>
          </w:rPr>
          <w:t>H.20.2 SEI payload syntax</w:t>
        </w:r>
        <w:r>
          <w:rPr>
            <w:noProof/>
            <w:webHidden/>
          </w:rPr>
          <w:tab/>
        </w:r>
        <w:r>
          <w:rPr>
            <w:noProof/>
            <w:webHidden/>
          </w:rPr>
          <w:fldChar w:fldCharType="begin"/>
        </w:r>
        <w:r>
          <w:rPr>
            <w:noProof/>
            <w:webHidden/>
          </w:rPr>
          <w:instrText xml:space="preserve"> PAGEREF _Toc52181820 \h </w:instrText>
        </w:r>
        <w:r>
          <w:rPr>
            <w:noProof/>
            <w:webHidden/>
          </w:rPr>
        </w:r>
        <w:r>
          <w:rPr>
            <w:noProof/>
            <w:webHidden/>
          </w:rPr>
          <w:fldChar w:fldCharType="separate"/>
        </w:r>
        <w:r>
          <w:rPr>
            <w:noProof/>
            <w:webHidden/>
          </w:rPr>
          <w:t>334</w:t>
        </w:r>
        <w:r>
          <w:rPr>
            <w:noProof/>
            <w:webHidden/>
          </w:rPr>
          <w:fldChar w:fldCharType="end"/>
        </w:r>
      </w:hyperlink>
    </w:p>
    <w:p w14:paraId="4F52FCA9" w14:textId="69C087B0" w:rsidR="00507A67" w:rsidRDefault="00507A67">
      <w:pPr>
        <w:pStyle w:val="TOC3"/>
        <w:rPr>
          <w:rFonts w:asciiTheme="minorHAnsi" w:hAnsiTheme="minorHAnsi" w:cstheme="minorBidi"/>
          <w:b w:val="0"/>
          <w:noProof/>
          <w:lang w:eastAsia="en-CA"/>
        </w:rPr>
      </w:pPr>
      <w:hyperlink w:anchor="_Toc52181821" w:history="1">
        <w:r w:rsidRPr="00E53E72">
          <w:rPr>
            <w:rStyle w:val="Hyperlink"/>
            <w:noProof/>
          </w:rPr>
          <w:t>H.20.2.1 General SEI message syntax</w:t>
        </w:r>
        <w:r>
          <w:rPr>
            <w:noProof/>
            <w:webHidden/>
          </w:rPr>
          <w:tab/>
        </w:r>
        <w:r>
          <w:rPr>
            <w:noProof/>
            <w:webHidden/>
          </w:rPr>
          <w:fldChar w:fldCharType="begin"/>
        </w:r>
        <w:r>
          <w:rPr>
            <w:noProof/>
            <w:webHidden/>
          </w:rPr>
          <w:instrText xml:space="preserve"> PAGEREF _Toc52181821 \h </w:instrText>
        </w:r>
        <w:r>
          <w:rPr>
            <w:noProof/>
            <w:webHidden/>
          </w:rPr>
        </w:r>
        <w:r>
          <w:rPr>
            <w:noProof/>
            <w:webHidden/>
          </w:rPr>
          <w:fldChar w:fldCharType="separate"/>
        </w:r>
        <w:r>
          <w:rPr>
            <w:noProof/>
            <w:webHidden/>
          </w:rPr>
          <w:t>334</w:t>
        </w:r>
        <w:r>
          <w:rPr>
            <w:noProof/>
            <w:webHidden/>
          </w:rPr>
          <w:fldChar w:fldCharType="end"/>
        </w:r>
      </w:hyperlink>
    </w:p>
    <w:p w14:paraId="3DB3CB38" w14:textId="2096D8E8" w:rsidR="00507A67" w:rsidRDefault="00507A67">
      <w:pPr>
        <w:pStyle w:val="TOC3"/>
        <w:rPr>
          <w:rFonts w:asciiTheme="minorHAnsi" w:hAnsiTheme="minorHAnsi" w:cstheme="minorBidi"/>
          <w:b w:val="0"/>
          <w:noProof/>
          <w:lang w:eastAsia="en-CA"/>
        </w:rPr>
      </w:pPr>
      <w:hyperlink w:anchor="_Toc52181822" w:history="1">
        <w:r w:rsidRPr="00E53E72">
          <w:rPr>
            <w:rStyle w:val="Hyperlink"/>
            <w:noProof/>
          </w:rPr>
          <w:t>H.20.2.2 Filler payload SEI message syntax</w:t>
        </w:r>
        <w:r>
          <w:rPr>
            <w:noProof/>
            <w:webHidden/>
          </w:rPr>
          <w:tab/>
        </w:r>
        <w:r>
          <w:rPr>
            <w:noProof/>
            <w:webHidden/>
          </w:rPr>
          <w:fldChar w:fldCharType="begin"/>
        </w:r>
        <w:r>
          <w:rPr>
            <w:noProof/>
            <w:webHidden/>
          </w:rPr>
          <w:instrText xml:space="preserve"> PAGEREF _Toc52181822 \h </w:instrText>
        </w:r>
        <w:r>
          <w:rPr>
            <w:noProof/>
            <w:webHidden/>
          </w:rPr>
        </w:r>
        <w:r>
          <w:rPr>
            <w:noProof/>
            <w:webHidden/>
          </w:rPr>
          <w:fldChar w:fldCharType="separate"/>
        </w:r>
        <w:r>
          <w:rPr>
            <w:noProof/>
            <w:webHidden/>
          </w:rPr>
          <w:t>334</w:t>
        </w:r>
        <w:r>
          <w:rPr>
            <w:noProof/>
            <w:webHidden/>
          </w:rPr>
          <w:fldChar w:fldCharType="end"/>
        </w:r>
      </w:hyperlink>
    </w:p>
    <w:p w14:paraId="3587E56E" w14:textId="53F23BF8" w:rsidR="00507A67" w:rsidRDefault="00507A67">
      <w:pPr>
        <w:pStyle w:val="TOC3"/>
        <w:rPr>
          <w:rFonts w:asciiTheme="minorHAnsi" w:hAnsiTheme="minorHAnsi" w:cstheme="minorBidi"/>
          <w:b w:val="0"/>
          <w:noProof/>
          <w:lang w:eastAsia="en-CA"/>
        </w:rPr>
      </w:pPr>
      <w:hyperlink w:anchor="_Toc52181823" w:history="1">
        <w:r w:rsidRPr="00E53E72">
          <w:rPr>
            <w:rStyle w:val="Hyperlink"/>
            <w:noProof/>
          </w:rPr>
          <w:t>H.20.2.3 User data registered by Recommendation ITU-T T.35 SEI message syntax</w:t>
        </w:r>
        <w:r>
          <w:rPr>
            <w:noProof/>
            <w:webHidden/>
          </w:rPr>
          <w:tab/>
        </w:r>
        <w:r>
          <w:rPr>
            <w:noProof/>
            <w:webHidden/>
          </w:rPr>
          <w:fldChar w:fldCharType="begin"/>
        </w:r>
        <w:r>
          <w:rPr>
            <w:noProof/>
            <w:webHidden/>
          </w:rPr>
          <w:instrText xml:space="preserve"> PAGEREF _Toc52181823 \h </w:instrText>
        </w:r>
        <w:r>
          <w:rPr>
            <w:noProof/>
            <w:webHidden/>
          </w:rPr>
        </w:r>
        <w:r>
          <w:rPr>
            <w:noProof/>
            <w:webHidden/>
          </w:rPr>
          <w:fldChar w:fldCharType="separate"/>
        </w:r>
        <w:r>
          <w:rPr>
            <w:noProof/>
            <w:webHidden/>
          </w:rPr>
          <w:t>334</w:t>
        </w:r>
        <w:r>
          <w:rPr>
            <w:noProof/>
            <w:webHidden/>
          </w:rPr>
          <w:fldChar w:fldCharType="end"/>
        </w:r>
      </w:hyperlink>
    </w:p>
    <w:p w14:paraId="39798EBE" w14:textId="5A3F042D" w:rsidR="00507A67" w:rsidRDefault="00507A67">
      <w:pPr>
        <w:pStyle w:val="TOC3"/>
        <w:rPr>
          <w:rFonts w:asciiTheme="minorHAnsi" w:hAnsiTheme="minorHAnsi" w:cstheme="minorBidi"/>
          <w:b w:val="0"/>
          <w:noProof/>
          <w:lang w:eastAsia="en-CA"/>
        </w:rPr>
      </w:pPr>
      <w:hyperlink w:anchor="_Toc52181824" w:history="1">
        <w:r w:rsidRPr="00E53E72">
          <w:rPr>
            <w:rStyle w:val="Hyperlink"/>
            <w:noProof/>
          </w:rPr>
          <w:t>H.20.2.4 User data unregistered SEI message syntax</w:t>
        </w:r>
        <w:r>
          <w:rPr>
            <w:noProof/>
            <w:webHidden/>
          </w:rPr>
          <w:tab/>
        </w:r>
        <w:r>
          <w:rPr>
            <w:noProof/>
            <w:webHidden/>
          </w:rPr>
          <w:fldChar w:fldCharType="begin"/>
        </w:r>
        <w:r>
          <w:rPr>
            <w:noProof/>
            <w:webHidden/>
          </w:rPr>
          <w:instrText xml:space="preserve"> PAGEREF _Toc52181824 \h </w:instrText>
        </w:r>
        <w:r>
          <w:rPr>
            <w:noProof/>
            <w:webHidden/>
          </w:rPr>
        </w:r>
        <w:r>
          <w:rPr>
            <w:noProof/>
            <w:webHidden/>
          </w:rPr>
          <w:fldChar w:fldCharType="separate"/>
        </w:r>
        <w:r>
          <w:rPr>
            <w:noProof/>
            <w:webHidden/>
          </w:rPr>
          <w:t>334</w:t>
        </w:r>
        <w:r>
          <w:rPr>
            <w:noProof/>
            <w:webHidden/>
          </w:rPr>
          <w:fldChar w:fldCharType="end"/>
        </w:r>
      </w:hyperlink>
    </w:p>
    <w:p w14:paraId="0765EA71" w14:textId="0DD2C3FA" w:rsidR="00507A67" w:rsidRDefault="00507A67">
      <w:pPr>
        <w:pStyle w:val="TOC3"/>
        <w:rPr>
          <w:rFonts w:asciiTheme="minorHAnsi" w:hAnsiTheme="minorHAnsi" w:cstheme="minorBidi"/>
          <w:b w:val="0"/>
          <w:noProof/>
          <w:lang w:eastAsia="en-CA"/>
        </w:rPr>
      </w:pPr>
      <w:hyperlink w:anchor="_Toc52181825" w:history="1">
        <w:r w:rsidRPr="00E53E72">
          <w:rPr>
            <w:rStyle w:val="Hyperlink"/>
            <w:noProof/>
          </w:rPr>
          <w:t>H.20.2.5 Recovery point SEI message syntax</w:t>
        </w:r>
        <w:r>
          <w:rPr>
            <w:noProof/>
            <w:webHidden/>
          </w:rPr>
          <w:tab/>
        </w:r>
        <w:r>
          <w:rPr>
            <w:noProof/>
            <w:webHidden/>
          </w:rPr>
          <w:fldChar w:fldCharType="begin"/>
        </w:r>
        <w:r>
          <w:rPr>
            <w:noProof/>
            <w:webHidden/>
          </w:rPr>
          <w:instrText xml:space="preserve"> PAGEREF _Toc52181825 \h </w:instrText>
        </w:r>
        <w:r>
          <w:rPr>
            <w:noProof/>
            <w:webHidden/>
          </w:rPr>
        </w:r>
        <w:r>
          <w:rPr>
            <w:noProof/>
            <w:webHidden/>
          </w:rPr>
          <w:fldChar w:fldCharType="separate"/>
        </w:r>
        <w:r>
          <w:rPr>
            <w:noProof/>
            <w:webHidden/>
          </w:rPr>
          <w:t>335</w:t>
        </w:r>
        <w:r>
          <w:rPr>
            <w:noProof/>
            <w:webHidden/>
          </w:rPr>
          <w:fldChar w:fldCharType="end"/>
        </w:r>
      </w:hyperlink>
    </w:p>
    <w:p w14:paraId="6BDF953D" w14:textId="17D08D48" w:rsidR="00507A67" w:rsidRDefault="00507A67">
      <w:pPr>
        <w:pStyle w:val="TOC3"/>
        <w:rPr>
          <w:rFonts w:asciiTheme="minorHAnsi" w:hAnsiTheme="minorHAnsi" w:cstheme="minorBidi"/>
          <w:b w:val="0"/>
          <w:noProof/>
          <w:lang w:eastAsia="en-CA"/>
        </w:rPr>
      </w:pPr>
      <w:hyperlink w:anchor="_Toc52181826" w:history="1">
        <w:r w:rsidRPr="00E53E72">
          <w:rPr>
            <w:rStyle w:val="Hyperlink"/>
            <w:noProof/>
          </w:rPr>
          <w:t>H.20.2.6 No reconstruction SEI message syntax</w:t>
        </w:r>
        <w:r>
          <w:rPr>
            <w:noProof/>
            <w:webHidden/>
          </w:rPr>
          <w:tab/>
        </w:r>
        <w:r>
          <w:rPr>
            <w:noProof/>
            <w:webHidden/>
          </w:rPr>
          <w:fldChar w:fldCharType="begin"/>
        </w:r>
        <w:r>
          <w:rPr>
            <w:noProof/>
            <w:webHidden/>
          </w:rPr>
          <w:instrText xml:space="preserve"> PAGEREF _Toc52181826 \h </w:instrText>
        </w:r>
        <w:r>
          <w:rPr>
            <w:noProof/>
            <w:webHidden/>
          </w:rPr>
        </w:r>
        <w:r>
          <w:rPr>
            <w:noProof/>
            <w:webHidden/>
          </w:rPr>
          <w:fldChar w:fldCharType="separate"/>
        </w:r>
        <w:r>
          <w:rPr>
            <w:noProof/>
            <w:webHidden/>
          </w:rPr>
          <w:t>335</w:t>
        </w:r>
        <w:r>
          <w:rPr>
            <w:noProof/>
            <w:webHidden/>
          </w:rPr>
          <w:fldChar w:fldCharType="end"/>
        </w:r>
      </w:hyperlink>
    </w:p>
    <w:p w14:paraId="7B6D3B18" w14:textId="471786C1" w:rsidR="00507A67" w:rsidRDefault="00507A67">
      <w:pPr>
        <w:pStyle w:val="TOC3"/>
        <w:rPr>
          <w:rFonts w:asciiTheme="minorHAnsi" w:hAnsiTheme="minorHAnsi" w:cstheme="minorBidi"/>
          <w:b w:val="0"/>
          <w:noProof/>
          <w:lang w:eastAsia="en-CA"/>
        </w:rPr>
      </w:pPr>
      <w:hyperlink w:anchor="_Toc52181827" w:history="1">
        <w:r w:rsidRPr="00E53E72">
          <w:rPr>
            <w:rStyle w:val="Hyperlink"/>
            <w:noProof/>
          </w:rPr>
          <w:t>H.20.2.7 Reserved SEI message syntax</w:t>
        </w:r>
        <w:r>
          <w:rPr>
            <w:noProof/>
            <w:webHidden/>
          </w:rPr>
          <w:tab/>
        </w:r>
        <w:r>
          <w:rPr>
            <w:noProof/>
            <w:webHidden/>
          </w:rPr>
          <w:fldChar w:fldCharType="begin"/>
        </w:r>
        <w:r>
          <w:rPr>
            <w:noProof/>
            <w:webHidden/>
          </w:rPr>
          <w:instrText xml:space="preserve"> PAGEREF _Toc52181827 \h </w:instrText>
        </w:r>
        <w:r>
          <w:rPr>
            <w:noProof/>
            <w:webHidden/>
          </w:rPr>
        </w:r>
        <w:r>
          <w:rPr>
            <w:noProof/>
            <w:webHidden/>
          </w:rPr>
          <w:fldChar w:fldCharType="separate"/>
        </w:r>
        <w:r>
          <w:rPr>
            <w:noProof/>
            <w:webHidden/>
          </w:rPr>
          <w:t>335</w:t>
        </w:r>
        <w:r>
          <w:rPr>
            <w:noProof/>
            <w:webHidden/>
          </w:rPr>
          <w:fldChar w:fldCharType="end"/>
        </w:r>
      </w:hyperlink>
    </w:p>
    <w:p w14:paraId="28810454" w14:textId="38116CDF" w:rsidR="00507A67" w:rsidRDefault="00507A67">
      <w:pPr>
        <w:pStyle w:val="TOC3"/>
        <w:rPr>
          <w:rFonts w:asciiTheme="minorHAnsi" w:hAnsiTheme="minorHAnsi" w:cstheme="minorBidi"/>
          <w:b w:val="0"/>
          <w:noProof/>
          <w:lang w:eastAsia="en-CA"/>
        </w:rPr>
      </w:pPr>
      <w:hyperlink w:anchor="_Toc52181828" w:history="1">
        <w:r w:rsidRPr="00E53E72">
          <w:rPr>
            <w:rStyle w:val="Hyperlink"/>
            <w:noProof/>
          </w:rPr>
          <w:t>H.20.2.8 SEI manifest SEI message syntax</w:t>
        </w:r>
        <w:r>
          <w:rPr>
            <w:noProof/>
            <w:webHidden/>
          </w:rPr>
          <w:tab/>
        </w:r>
        <w:r>
          <w:rPr>
            <w:noProof/>
            <w:webHidden/>
          </w:rPr>
          <w:fldChar w:fldCharType="begin"/>
        </w:r>
        <w:r>
          <w:rPr>
            <w:noProof/>
            <w:webHidden/>
          </w:rPr>
          <w:instrText xml:space="preserve"> PAGEREF _Toc52181828 \h </w:instrText>
        </w:r>
        <w:r>
          <w:rPr>
            <w:noProof/>
            <w:webHidden/>
          </w:rPr>
        </w:r>
        <w:r>
          <w:rPr>
            <w:noProof/>
            <w:webHidden/>
          </w:rPr>
          <w:fldChar w:fldCharType="separate"/>
        </w:r>
        <w:r>
          <w:rPr>
            <w:noProof/>
            <w:webHidden/>
          </w:rPr>
          <w:t>335</w:t>
        </w:r>
        <w:r>
          <w:rPr>
            <w:noProof/>
            <w:webHidden/>
          </w:rPr>
          <w:fldChar w:fldCharType="end"/>
        </w:r>
      </w:hyperlink>
    </w:p>
    <w:p w14:paraId="788FC0B0" w14:textId="527A1A81" w:rsidR="00507A67" w:rsidRDefault="00507A67">
      <w:pPr>
        <w:pStyle w:val="TOC3"/>
        <w:rPr>
          <w:rFonts w:asciiTheme="minorHAnsi" w:hAnsiTheme="minorHAnsi" w:cstheme="minorBidi"/>
          <w:b w:val="0"/>
          <w:noProof/>
          <w:lang w:eastAsia="en-CA"/>
        </w:rPr>
      </w:pPr>
      <w:hyperlink w:anchor="_Toc52181829" w:history="1">
        <w:r w:rsidRPr="00E53E72">
          <w:rPr>
            <w:rStyle w:val="Hyperlink"/>
            <w:noProof/>
          </w:rPr>
          <w:t>H.20.2.9 SEI prefix indication SEI message syntax</w:t>
        </w:r>
        <w:r>
          <w:rPr>
            <w:noProof/>
            <w:webHidden/>
          </w:rPr>
          <w:tab/>
        </w:r>
        <w:r>
          <w:rPr>
            <w:noProof/>
            <w:webHidden/>
          </w:rPr>
          <w:fldChar w:fldCharType="begin"/>
        </w:r>
        <w:r>
          <w:rPr>
            <w:noProof/>
            <w:webHidden/>
          </w:rPr>
          <w:instrText xml:space="preserve"> PAGEREF _Toc52181829 \h </w:instrText>
        </w:r>
        <w:r>
          <w:rPr>
            <w:noProof/>
            <w:webHidden/>
          </w:rPr>
        </w:r>
        <w:r>
          <w:rPr>
            <w:noProof/>
            <w:webHidden/>
          </w:rPr>
          <w:fldChar w:fldCharType="separate"/>
        </w:r>
        <w:r>
          <w:rPr>
            <w:noProof/>
            <w:webHidden/>
          </w:rPr>
          <w:t>335</w:t>
        </w:r>
        <w:r>
          <w:rPr>
            <w:noProof/>
            <w:webHidden/>
          </w:rPr>
          <w:fldChar w:fldCharType="end"/>
        </w:r>
      </w:hyperlink>
    </w:p>
    <w:p w14:paraId="3DE0064A" w14:textId="06389867" w:rsidR="00507A67" w:rsidRDefault="00507A67">
      <w:pPr>
        <w:pStyle w:val="TOC3"/>
        <w:rPr>
          <w:rFonts w:asciiTheme="minorHAnsi" w:hAnsiTheme="minorHAnsi" w:cstheme="minorBidi"/>
          <w:b w:val="0"/>
          <w:noProof/>
          <w:lang w:eastAsia="en-CA"/>
        </w:rPr>
      </w:pPr>
      <w:hyperlink w:anchor="_Toc52181830" w:history="1">
        <w:r w:rsidRPr="00E53E72">
          <w:rPr>
            <w:rStyle w:val="Hyperlink"/>
            <w:noProof/>
          </w:rPr>
          <w:t>H.20.2.10 Active sub-bitstreams SEI message syntax</w:t>
        </w:r>
        <w:r>
          <w:rPr>
            <w:noProof/>
            <w:webHidden/>
          </w:rPr>
          <w:tab/>
        </w:r>
        <w:r>
          <w:rPr>
            <w:noProof/>
            <w:webHidden/>
          </w:rPr>
          <w:fldChar w:fldCharType="begin"/>
        </w:r>
        <w:r>
          <w:rPr>
            <w:noProof/>
            <w:webHidden/>
          </w:rPr>
          <w:instrText xml:space="preserve"> PAGEREF _Toc52181830 \h </w:instrText>
        </w:r>
        <w:r>
          <w:rPr>
            <w:noProof/>
            <w:webHidden/>
          </w:rPr>
        </w:r>
        <w:r>
          <w:rPr>
            <w:noProof/>
            <w:webHidden/>
          </w:rPr>
          <w:fldChar w:fldCharType="separate"/>
        </w:r>
        <w:r>
          <w:rPr>
            <w:noProof/>
            <w:webHidden/>
          </w:rPr>
          <w:t>335</w:t>
        </w:r>
        <w:r>
          <w:rPr>
            <w:noProof/>
            <w:webHidden/>
          </w:rPr>
          <w:fldChar w:fldCharType="end"/>
        </w:r>
      </w:hyperlink>
    </w:p>
    <w:p w14:paraId="565E2384" w14:textId="4116728D" w:rsidR="00507A67" w:rsidRDefault="00507A67">
      <w:pPr>
        <w:pStyle w:val="TOC3"/>
        <w:rPr>
          <w:rFonts w:asciiTheme="minorHAnsi" w:hAnsiTheme="minorHAnsi" w:cstheme="minorBidi"/>
          <w:b w:val="0"/>
          <w:noProof/>
          <w:lang w:eastAsia="en-CA"/>
        </w:rPr>
      </w:pPr>
      <w:hyperlink w:anchor="_Toc52181831" w:history="1">
        <w:r w:rsidRPr="00E53E72">
          <w:rPr>
            <w:rStyle w:val="Hyperlink"/>
            <w:noProof/>
          </w:rPr>
          <w:t>H.20.2.11 Component codec mapping SEI message syntax</w:t>
        </w:r>
        <w:r>
          <w:rPr>
            <w:noProof/>
            <w:webHidden/>
          </w:rPr>
          <w:tab/>
        </w:r>
        <w:r>
          <w:rPr>
            <w:noProof/>
            <w:webHidden/>
          </w:rPr>
          <w:fldChar w:fldCharType="begin"/>
        </w:r>
        <w:r>
          <w:rPr>
            <w:noProof/>
            <w:webHidden/>
          </w:rPr>
          <w:instrText xml:space="preserve"> PAGEREF _Toc52181831 \h </w:instrText>
        </w:r>
        <w:r>
          <w:rPr>
            <w:noProof/>
            <w:webHidden/>
          </w:rPr>
        </w:r>
        <w:r>
          <w:rPr>
            <w:noProof/>
            <w:webHidden/>
          </w:rPr>
          <w:fldChar w:fldCharType="separate"/>
        </w:r>
        <w:r>
          <w:rPr>
            <w:noProof/>
            <w:webHidden/>
          </w:rPr>
          <w:t>335</w:t>
        </w:r>
        <w:r>
          <w:rPr>
            <w:noProof/>
            <w:webHidden/>
          </w:rPr>
          <w:fldChar w:fldCharType="end"/>
        </w:r>
      </w:hyperlink>
    </w:p>
    <w:p w14:paraId="74856899" w14:textId="13A3A5F9" w:rsidR="00507A67" w:rsidRDefault="00507A67">
      <w:pPr>
        <w:pStyle w:val="TOC3"/>
        <w:rPr>
          <w:rFonts w:asciiTheme="minorHAnsi" w:hAnsiTheme="minorHAnsi" w:cstheme="minorBidi"/>
          <w:b w:val="0"/>
          <w:noProof/>
          <w:lang w:eastAsia="en-CA"/>
        </w:rPr>
      </w:pPr>
      <w:hyperlink w:anchor="_Toc52181832" w:history="1">
        <w:r w:rsidRPr="00E53E72">
          <w:rPr>
            <w:rStyle w:val="Hyperlink"/>
            <w:noProof/>
          </w:rPr>
          <w:t>H.20.2.12 Volumetric annotation SEI message family syntax</w:t>
        </w:r>
        <w:r>
          <w:rPr>
            <w:noProof/>
            <w:webHidden/>
          </w:rPr>
          <w:tab/>
        </w:r>
        <w:r>
          <w:rPr>
            <w:noProof/>
            <w:webHidden/>
          </w:rPr>
          <w:fldChar w:fldCharType="begin"/>
        </w:r>
        <w:r>
          <w:rPr>
            <w:noProof/>
            <w:webHidden/>
          </w:rPr>
          <w:instrText xml:space="preserve"> PAGEREF _Toc52181832 \h </w:instrText>
        </w:r>
        <w:r>
          <w:rPr>
            <w:noProof/>
            <w:webHidden/>
          </w:rPr>
        </w:r>
        <w:r>
          <w:rPr>
            <w:noProof/>
            <w:webHidden/>
          </w:rPr>
          <w:fldChar w:fldCharType="separate"/>
        </w:r>
        <w:r>
          <w:rPr>
            <w:noProof/>
            <w:webHidden/>
          </w:rPr>
          <w:t>335</w:t>
        </w:r>
        <w:r>
          <w:rPr>
            <w:noProof/>
            <w:webHidden/>
          </w:rPr>
          <w:fldChar w:fldCharType="end"/>
        </w:r>
      </w:hyperlink>
    </w:p>
    <w:p w14:paraId="3D0ABA21" w14:textId="5A99B35F" w:rsidR="00507A67" w:rsidRDefault="00507A67">
      <w:pPr>
        <w:pStyle w:val="TOC3"/>
        <w:rPr>
          <w:rFonts w:asciiTheme="minorHAnsi" w:hAnsiTheme="minorHAnsi" w:cstheme="minorBidi"/>
          <w:b w:val="0"/>
          <w:noProof/>
          <w:lang w:eastAsia="en-CA"/>
        </w:rPr>
      </w:pPr>
      <w:hyperlink w:anchor="_Toc52181833" w:history="1">
        <w:r w:rsidRPr="00E53E72">
          <w:rPr>
            <w:rStyle w:val="Hyperlink"/>
            <w:noProof/>
          </w:rPr>
          <w:t>H.20.2.13 Buffering period SEI message syntax</w:t>
        </w:r>
        <w:r>
          <w:rPr>
            <w:noProof/>
            <w:webHidden/>
          </w:rPr>
          <w:tab/>
        </w:r>
        <w:r>
          <w:rPr>
            <w:noProof/>
            <w:webHidden/>
          </w:rPr>
          <w:fldChar w:fldCharType="begin"/>
        </w:r>
        <w:r>
          <w:rPr>
            <w:noProof/>
            <w:webHidden/>
          </w:rPr>
          <w:instrText xml:space="preserve"> PAGEREF _Toc52181833 \h </w:instrText>
        </w:r>
        <w:r>
          <w:rPr>
            <w:noProof/>
            <w:webHidden/>
          </w:rPr>
        </w:r>
        <w:r>
          <w:rPr>
            <w:noProof/>
            <w:webHidden/>
          </w:rPr>
          <w:fldChar w:fldCharType="separate"/>
        </w:r>
        <w:r>
          <w:rPr>
            <w:noProof/>
            <w:webHidden/>
          </w:rPr>
          <w:t>335</w:t>
        </w:r>
        <w:r>
          <w:rPr>
            <w:noProof/>
            <w:webHidden/>
          </w:rPr>
          <w:fldChar w:fldCharType="end"/>
        </w:r>
      </w:hyperlink>
    </w:p>
    <w:p w14:paraId="5F936A44" w14:textId="1415CDAC" w:rsidR="00507A67" w:rsidRDefault="00507A67">
      <w:pPr>
        <w:pStyle w:val="TOC3"/>
        <w:rPr>
          <w:rFonts w:asciiTheme="minorHAnsi" w:hAnsiTheme="minorHAnsi" w:cstheme="minorBidi"/>
          <w:b w:val="0"/>
          <w:noProof/>
          <w:lang w:eastAsia="en-CA"/>
        </w:rPr>
      </w:pPr>
      <w:hyperlink w:anchor="_Toc52181834" w:history="1">
        <w:r w:rsidRPr="00E53E72">
          <w:rPr>
            <w:rStyle w:val="Hyperlink"/>
            <w:noProof/>
          </w:rPr>
          <w:t>H.20.2.14 Atlas frame timing SEI message syntax</w:t>
        </w:r>
        <w:r>
          <w:rPr>
            <w:noProof/>
            <w:webHidden/>
          </w:rPr>
          <w:tab/>
        </w:r>
        <w:r>
          <w:rPr>
            <w:noProof/>
            <w:webHidden/>
          </w:rPr>
          <w:fldChar w:fldCharType="begin"/>
        </w:r>
        <w:r>
          <w:rPr>
            <w:noProof/>
            <w:webHidden/>
          </w:rPr>
          <w:instrText xml:space="preserve"> PAGEREF _Toc52181834 \h </w:instrText>
        </w:r>
        <w:r>
          <w:rPr>
            <w:noProof/>
            <w:webHidden/>
          </w:rPr>
        </w:r>
        <w:r>
          <w:rPr>
            <w:noProof/>
            <w:webHidden/>
          </w:rPr>
          <w:fldChar w:fldCharType="separate"/>
        </w:r>
        <w:r>
          <w:rPr>
            <w:noProof/>
            <w:webHidden/>
          </w:rPr>
          <w:t>335</w:t>
        </w:r>
        <w:r>
          <w:rPr>
            <w:noProof/>
            <w:webHidden/>
          </w:rPr>
          <w:fldChar w:fldCharType="end"/>
        </w:r>
      </w:hyperlink>
    </w:p>
    <w:p w14:paraId="35608A38" w14:textId="70AC25EC" w:rsidR="00507A67" w:rsidRDefault="00507A67">
      <w:pPr>
        <w:pStyle w:val="TOC3"/>
        <w:rPr>
          <w:rFonts w:asciiTheme="minorHAnsi" w:hAnsiTheme="minorHAnsi" w:cstheme="minorBidi"/>
          <w:b w:val="0"/>
          <w:noProof/>
          <w:lang w:eastAsia="en-CA"/>
        </w:rPr>
      </w:pPr>
      <w:hyperlink w:anchor="_Toc52181835" w:history="1">
        <w:r w:rsidRPr="00E53E72">
          <w:rPr>
            <w:rStyle w:val="Hyperlink"/>
            <w:noProof/>
          </w:rPr>
          <w:t>H.20.2.15 Viewport SEI messages family syntax</w:t>
        </w:r>
        <w:r>
          <w:rPr>
            <w:noProof/>
            <w:webHidden/>
          </w:rPr>
          <w:tab/>
        </w:r>
        <w:r>
          <w:rPr>
            <w:noProof/>
            <w:webHidden/>
          </w:rPr>
          <w:fldChar w:fldCharType="begin"/>
        </w:r>
        <w:r>
          <w:rPr>
            <w:noProof/>
            <w:webHidden/>
          </w:rPr>
          <w:instrText xml:space="preserve"> PAGEREF _Toc52181835 \h </w:instrText>
        </w:r>
        <w:r>
          <w:rPr>
            <w:noProof/>
            <w:webHidden/>
          </w:rPr>
        </w:r>
        <w:r>
          <w:rPr>
            <w:noProof/>
            <w:webHidden/>
          </w:rPr>
          <w:fldChar w:fldCharType="separate"/>
        </w:r>
        <w:r>
          <w:rPr>
            <w:noProof/>
            <w:webHidden/>
          </w:rPr>
          <w:t>335</w:t>
        </w:r>
        <w:r>
          <w:rPr>
            <w:noProof/>
            <w:webHidden/>
          </w:rPr>
          <w:fldChar w:fldCharType="end"/>
        </w:r>
      </w:hyperlink>
    </w:p>
    <w:p w14:paraId="53A3662D" w14:textId="6840406E" w:rsidR="00507A67" w:rsidRDefault="00507A67">
      <w:pPr>
        <w:pStyle w:val="TOC3"/>
        <w:rPr>
          <w:rFonts w:asciiTheme="minorHAnsi" w:hAnsiTheme="minorHAnsi" w:cstheme="minorBidi"/>
          <w:b w:val="0"/>
          <w:noProof/>
          <w:lang w:eastAsia="en-CA"/>
        </w:rPr>
      </w:pPr>
      <w:hyperlink w:anchor="_Toc52181836" w:history="1">
        <w:r w:rsidRPr="00E53E72">
          <w:rPr>
            <w:rStyle w:val="Hyperlink"/>
            <w:noProof/>
          </w:rPr>
          <w:t>H.20.2.16 Decoded Atlas Information Hash SEI message syntax</w:t>
        </w:r>
        <w:r>
          <w:rPr>
            <w:noProof/>
            <w:webHidden/>
          </w:rPr>
          <w:tab/>
        </w:r>
        <w:r>
          <w:rPr>
            <w:noProof/>
            <w:webHidden/>
          </w:rPr>
          <w:fldChar w:fldCharType="begin"/>
        </w:r>
        <w:r>
          <w:rPr>
            <w:noProof/>
            <w:webHidden/>
          </w:rPr>
          <w:instrText xml:space="preserve"> PAGEREF _Toc52181836 \h </w:instrText>
        </w:r>
        <w:r>
          <w:rPr>
            <w:noProof/>
            <w:webHidden/>
          </w:rPr>
        </w:r>
        <w:r>
          <w:rPr>
            <w:noProof/>
            <w:webHidden/>
          </w:rPr>
          <w:fldChar w:fldCharType="separate"/>
        </w:r>
        <w:r>
          <w:rPr>
            <w:noProof/>
            <w:webHidden/>
          </w:rPr>
          <w:t>335</w:t>
        </w:r>
        <w:r>
          <w:rPr>
            <w:noProof/>
            <w:webHidden/>
          </w:rPr>
          <w:fldChar w:fldCharType="end"/>
        </w:r>
      </w:hyperlink>
    </w:p>
    <w:p w14:paraId="3E93B267" w14:textId="56C2D200" w:rsidR="00507A67" w:rsidRDefault="00507A67">
      <w:pPr>
        <w:pStyle w:val="TOC3"/>
        <w:rPr>
          <w:rFonts w:asciiTheme="minorHAnsi" w:hAnsiTheme="minorHAnsi" w:cstheme="minorBidi"/>
          <w:b w:val="0"/>
          <w:noProof/>
          <w:lang w:eastAsia="en-CA"/>
        </w:rPr>
      </w:pPr>
      <w:hyperlink w:anchor="_Toc52181837" w:history="1">
        <w:r w:rsidRPr="00E53E72">
          <w:rPr>
            <w:rStyle w:val="Hyperlink"/>
            <w:noProof/>
          </w:rPr>
          <w:t>H.20.2.17 Attribute transformation parameters SEI message syntax</w:t>
        </w:r>
        <w:r>
          <w:rPr>
            <w:noProof/>
            <w:webHidden/>
          </w:rPr>
          <w:tab/>
        </w:r>
        <w:r>
          <w:rPr>
            <w:noProof/>
            <w:webHidden/>
          </w:rPr>
          <w:fldChar w:fldCharType="begin"/>
        </w:r>
        <w:r>
          <w:rPr>
            <w:noProof/>
            <w:webHidden/>
          </w:rPr>
          <w:instrText xml:space="preserve"> PAGEREF _Toc52181837 \h </w:instrText>
        </w:r>
        <w:r>
          <w:rPr>
            <w:noProof/>
            <w:webHidden/>
          </w:rPr>
        </w:r>
        <w:r>
          <w:rPr>
            <w:noProof/>
            <w:webHidden/>
          </w:rPr>
          <w:fldChar w:fldCharType="separate"/>
        </w:r>
        <w:r>
          <w:rPr>
            <w:noProof/>
            <w:webHidden/>
          </w:rPr>
          <w:t>336</w:t>
        </w:r>
        <w:r>
          <w:rPr>
            <w:noProof/>
            <w:webHidden/>
          </w:rPr>
          <w:fldChar w:fldCharType="end"/>
        </w:r>
      </w:hyperlink>
    </w:p>
    <w:p w14:paraId="432FDC08" w14:textId="35EB949F" w:rsidR="00507A67" w:rsidRDefault="00507A67">
      <w:pPr>
        <w:pStyle w:val="TOC3"/>
        <w:rPr>
          <w:rFonts w:asciiTheme="minorHAnsi" w:hAnsiTheme="minorHAnsi" w:cstheme="minorBidi"/>
          <w:b w:val="0"/>
          <w:noProof/>
          <w:lang w:eastAsia="en-CA"/>
        </w:rPr>
      </w:pPr>
      <w:hyperlink w:anchor="_Toc52181838" w:history="1">
        <w:r w:rsidRPr="00E53E72">
          <w:rPr>
            <w:rStyle w:val="Hyperlink"/>
            <w:noProof/>
          </w:rPr>
          <w:t>H.20.2.18 Occupancy synthesis SEI message syntax</w:t>
        </w:r>
        <w:r>
          <w:rPr>
            <w:noProof/>
            <w:webHidden/>
          </w:rPr>
          <w:tab/>
        </w:r>
        <w:r>
          <w:rPr>
            <w:noProof/>
            <w:webHidden/>
          </w:rPr>
          <w:fldChar w:fldCharType="begin"/>
        </w:r>
        <w:r>
          <w:rPr>
            <w:noProof/>
            <w:webHidden/>
          </w:rPr>
          <w:instrText xml:space="preserve"> PAGEREF _Toc52181838 \h </w:instrText>
        </w:r>
        <w:r>
          <w:rPr>
            <w:noProof/>
            <w:webHidden/>
          </w:rPr>
        </w:r>
        <w:r>
          <w:rPr>
            <w:noProof/>
            <w:webHidden/>
          </w:rPr>
          <w:fldChar w:fldCharType="separate"/>
        </w:r>
        <w:r>
          <w:rPr>
            <w:noProof/>
            <w:webHidden/>
          </w:rPr>
          <w:t>336</w:t>
        </w:r>
        <w:r>
          <w:rPr>
            <w:noProof/>
            <w:webHidden/>
          </w:rPr>
          <w:fldChar w:fldCharType="end"/>
        </w:r>
      </w:hyperlink>
    </w:p>
    <w:p w14:paraId="1E18E4BE" w14:textId="401D0AE9" w:rsidR="00507A67" w:rsidRDefault="00507A67">
      <w:pPr>
        <w:pStyle w:val="TOC3"/>
        <w:rPr>
          <w:rFonts w:asciiTheme="minorHAnsi" w:hAnsiTheme="minorHAnsi" w:cstheme="minorBidi"/>
          <w:b w:val="0"/>
          <w:noProof/>
          <w:lang w:eastAsia="en-CA"/>
        </w:rPr>
      </w:pPr>
      <w:hyperlink w:anchor="_Toc52181839" w:history="1">
        <w:r w:rsidRPr="00E53E72">
          <w:rPr>
            <w:rStyle w:val="Hyperlink"/>
            <w:noProof/>
          </w:rPr>
          <w:t>H.20.2.19 Geometry smoothing SEI message syntax</w:t>
        </w:r>
        <w:r>
          <w:rPr>
            <w:noProof/>
            <w:webHidden/>
          </w:rPr>
          <w:tab/>
        </w:r>
        <w:r>
          <w:rPr>
            <w:noProof/>
            <w:webHidden/>
          </w:rPr>
          <w:fldChar w:fldCharType="begin"/>
        </w:r>
        <w:r>
          <w:rPr>
            <w:noProof/>
            <w:webHidden/>
          </w:rPr>
          <w:instrText xml:space="preserve"> PAGEREF _Toc52181839 \h </w:instrText>
        </w:r>
        <w:r>
          <w:rPr>
            <w:noProof/>
            <w:webHidden/>
          </w:rPr>
        </w:r>
        <w:r>
          <w:rPr>
            <w:noProof/>
            <w:webHidden/>
          </w:rPr>
          <w:fldChar w:fldCharType="separate"/>
        </w:r>
        <w:r>
          <w:rPr>
            <w:noProof/>
            <w:webHidden/>
          </w:rPr>
          <w:t>336</w:t>
        </w:r>
        <w:r>
          <w:rPr>
            <w:noProof/>
            <w:webHidden/>
          </w:rPr>
          <w:fldChar w:fldCharType="end"/>
        </w:r>
      </w:hyperlink>
    </w:p>
    <w:p w14:paraId="3C0C0B97" w14:textId="4B853EE7" w:rsidR="00507A67" w:rsidRDefault="00507A67">
      <w:pPr>
        <w:pStyle w:val="TOC3"/>
        <w:rPr>
          <w:rFonts w:asciiTheme="minorHAnsi" w:hAnsiTheme="minorHAnsi" w:cstheme="minorBidi"/>
          <w:b w:val="0"/>
          <w:noProof/>
          <w:lang w:eastAsia="en-CA"/>
        </w:rPr>
      </w:pPr>
      <w:hyperlink w:anchor="_Toc52181840" w:history="1">
        <w:r w:rsidRPr="00E53E72">
          <w:rPr>
            <w:rStyle w:val="Hyperlink"/>
            <w:noProof/>
          </w:rPr>
          <w:t>H.20.2.20 Attribute smoothing SEI message syntax</w:t>
        </w:r>
        <w:r>
          <w:rPr>
            <w:noProof/>
            <w:webHidden/>
          </w:rPr>
          <w:tab/>
        </w:r>
        <w:r>
          <w:rPr>
            <w:noProof/>
            <w:webHidden/>
          </w:rPr>
          <w:fldChar w:fldCharType="begin"/>
        </w:r>
        <w:r>
          <w:rPr>
            <w:noProof/>
            <w:webHidden/>
          </w:rPr>
          <w:instrText xml:space="preserve"> PAGEREF _Toc52181840 \h </w:instrText>
        </w:r>
        <w:r>
          <w:rPr>
            <w:noProof/>
            <w:webHidden/>
          </w:rPr>
        </w:r>
        <w:r>
          <w:rPr>
            <w:noProof/>
            <w:webHidden/>
          </w:rPr>
          <w:fldChar w:fldCharType="separate"/>
        </w:r>
        <w:r>
          <w:rPr>
            <w:noProof/>
            <w:webHidden/>
          </w:rPr>
          <w:t>337</w:t>
        </w:r>
        <w:r>
          <w:rPr>
            <w:noProof/>
            <w:webHidden/>
          </w:rPr>
          <w:fldChar w:fldCharType="end"/>
        </w:r>
      </w:hyperlink>
    </w:p>
    <w:p w14:paraId="35256D08" w14:textId="47C9400F" w:rsidR="00507A67" w:rsidRDefault="00507A67">
      <w:pPr>
        <w:pStyle w:val="TOC3"/>
        <w:rPr>
          <w:rFonts w:asciiTheme="minorHAnsi" w:hAnsiTheme="minorHAnsi" w:cstheme="minorBidi"/>
          <w:b w:val="0"/>
          <w:noProof/>
          <w:lang w:eastAsia="en-CA"/>
        </w:rPr>
      </w:pPr>
      <w:hyperlink w:anchor="_Toc52181841" w:history="1">
        <w:r w:rsidRPr="00E53E72">
          <w:rPr>
            <w:rStyle w:val="Hyperlink"/>
            <w:noProof/>
          </w:rPr>
          <w:t>H.20.3 SEI payload semantics</w:t>
        </w:r>
        <w:r>
          <w:rPr>
            <w:noProof/>
            <w:webHidden/>
          </w:rPr>
          <w:tab/>
        </w:r>
        <w:r>
          <w:rPr>
            <w:noProof/>
            <w:webHidden/>
          </w:rPr>
          <w:fldChar w:fldCharType="begin"/>
        </w:r>
        <w:r>
          <w:rPr>
            <w:noProof/>
            <w:webHidden/>
          </w:rPr>
          <w:instrText xml:space="preserve"> PAGEREF _Toc52181841 \h </w:instrText>
        </w:r>
        <w:r>
          <w:rPr>
            <w:noProof/>
            <w:webHidden/>
          </w:rPr>
        </w:r>
        <w:r>
          <w:rPr>
            <w:noProof/>
            <w:webHidden/>
          </w:rPr>
          <w:fldChar w:fldCharType="separate"/>
        </w:r>
        <w:r>
          <w:rPr>
            <w:noProof/>
            <w:webHidden/>
          </w:rPr>
          <w:t>337</w:t>
        </w:r>
        <w:r>
          <w:rPr>
            <w:noProof/>
            <w:webHidden/>
          </w:rPr>
          <w:fldChar w:fldCharType="end"/>
        </w:r>
      </w:hyperlink>
    </w:p>
    <w:p w14:paraId="77D4A930" w14:textId="27F3EEE3" w:rsidR="00507A67" w:rsidRDefault="00507A67">
      <w:pPr>
        <w:pStyle w:val="TOC3"/>
        <w:rPr>
          <w:rFonts w:asciiTheme="minorHAnsi" w:hAnsiTheme="minorHAnsi" w:cstheme="minorBidi"/>
          <w:b w:val="0"/>
          <w:noProof/>
          <w:lang w:eastAsia="en-CA"/>
        </w:rPr>
      </w:pPr>
      <w:hyperlink w:anchor="_Toc52181842" w:history="1">
        <w:r w:rsidRPr="00E53E72">
          <w:rPr>
            <w:rStyle w:val="Hyperlink"/>
            <w:noProof/>
          </w:rPr>
          <w:t>H.20.3.1 General SEI payload semantics</w:t>
        </w:r>
        <w:r>
          <w:rPr>
            <w:noProof/>
            <w:webHidden/>
          </w:rPr>
          <w:tab/>
        </w:r>
        <w:r>
          <w:rPr>
            <w:noProof/>
            <w:webHidden/>
          </w:rPr>
          <w:fldChar w:fldCharType="begin"/>
        </w:r>
        <w:r>
          <w:rPr>
            <w:noProof/>
            <w:webHidden/>
          </w:rPr>
          <w:instrText xml:space="preserve"> PAGEREF _Toc52181842 \h </w:instrText>
        </w:r>
        <w:r>
          <w:rPr>
            <w:noProof/>
            <w:webHidden/>
          </w:rPr>
        </w:r>
        <w:r>
          <w:rPr>
            <w:noProof/>
            <w:webHidden/>
          </w:rPr>
          <w:fldChar w:fldCharType="separate"/>
        </w:r>
        <w:r>
          <w:rPr>
            <w:noProof/>
            <w:webHidden/>
          </w:rPr>
          <w:t>337</w:t>
        </w:r>
        <w:r>
          <w:rPr>
            <w:noProof/>
            <w:webHidden/>
          </w:rPr>
          <w:fldChar w:fldCharType="end"/>
        </w:r>
      </w:hyperlink>
    </w:p>
    <w:p w14:paraId="346B9C1C" w14:textId="51B71A80" w:rsidR="00507A67" w:rsidRDefault="00507A67">
      <w:pPr>
        <w:pStyle w:val="TOC3"/>
        <w:rPr>
          <w:rFonts w:asciiTheme="minorHAnsi" w:hAnsiTheme="minorHAnsi" w:cstheme="minorBidi"/>
          <w:b w:val="0"/>
          <w:noProof/>
          <w:lang w:eastAsia="en-CA"/>
        </w:rPr>
      </w:pPr>
      <w:hyperlink w:anchor="_Toc52181843" w:history="1">
        <w:r w:rsidRPr="00E53E72">
          <w:rPr>
            <w:rStyle w:val="Hyperlink"/>
            <w:noProof/>
          </w:rPr>
          <w:t>H.20.3.2 Filler payload SEI message semantics</w:t>
        </w:r>
        <w:r>
          <w:rPr>
            <w:noProof/>
            <w:webHidden/>
          </w:rPr>
          <w:tab/>
        </w:r>
        <w:r>
          <w:rPr>
            <w:noProof/>
            <w:webHidden/>
          </w:rPr>
          <w:fldChar w:fldCharType="begin"/>
        </w:r>
        <w:r>
          <w:rPr>
            <w:noProof/>
            <w:webHidden/>
          </w:rPr>
          <w:instrText xml:space="preserve"> PAGEREF _Toc52181843 \h </w:instrText>
        </w:r>
        <w:r>
          <w:rPr>
            <w:noProof/>
            <w:webHidden/>
          </w:rPr>
        </w:r>
        <w:r>
          <w:rPr>
            <w:noProof/>
            <w:webHidden/>
          </w:rPr>
          <w:fldChar w:fldCharType="separate"/>
        </w:r>
        <w:r>
          <w:rPr>
            <w:noProof/>
            <w:webHidden/>
          </w:rPr>
          <w:t>338</w:t>
        </w:r>
        <w:r>
          <w:rPr>
            <w:noProof/>
            <w:webHidden/>
          </w:rPr>
          <w:fldChar w:fldCharType="end"/>
        </w:r>
      </w:hyperlink>
    </w:p>
    <w:p w14:paraId="1F50B9D0" w14:textId="797AB39C" w:rsidR="00507A67" w:rsidRDefault="00507A67">
      <w:pPr>
        <w:pStyle w:val="TOC3"/>
        <w:rPr>
          <w:rFonts w:asciiTheme="minorHAnsi" w:hAnsiTheme="minorHAnsi" w:cstheme="minorBidi"/>
          <w:b w:val="0"/>
          <w:noProof/>
          <w:lang w:eastAsia="en-CA"/>
        </w:rPr>
      </w:pPr>
      <w:hyperlink w:anchor="_Toc52181844" w:history="1">
        <w:r w:rsidRPr="00E53E72">
          <w:rPr>
            <w:rStyle w:val="Hyperlink"/>
            <w:noProof/>
          </w:rPr>
          <w:t>H.20.3.3 User data registered by Recommendation ITU-T T.35 SEI message semantics</w:t>
        </w:r>
        <w:r>
          <w:rPr>
            <w:noProof/>
            <w:webHidden/>
          </w:rPr>
          <w:tab/>
        </w:r>
        <w:r>
          <w:rPr>
            <w:noProof/>
            <w:webHidden/>
          </w:rPr>
          <w:fldChar w:fldCharType="begin"/>
        </w:r>
        <w:r>
          <w:rPr>
            <w:noProof/>
            <w:webHidden/>
          </w:rPr>
          <w:instrText xml:space="preserve"> PAGEREF _Toc52181844 \h </w:instrText>
        </w:r>
        <w:r>
          <w:rPr>
            <w:noProof/>
            <w:webHidden/>
          </w:rPr>
        </w:r>
        <w:r>
          <w:rPr>
            <w:noProof/>
            <w:webHidden/>
          </w:rPr>
          <w:fldChar w:fldCharType="separate"/>
        </w:r>
        <w:r>
          <w:rPr>
            <w:noProof/>
            <w:webHidden/>
          </w:rPr>
          <w:t>338</w:t>
        </w:r>
        <w:r>
          <w:rPr>
            <w:noProof/>
            <w:webHidden/>
          </w:rPr>
          <w:fldChar w:fldCharType="end"/>
        </w:r>
      </w:hyperlink>
    </w:p>
    <w:p w14:paraId="76F519A8" w14:textId="32E1A568" w:rsidR="00507A67" w:rsidRDefault="00507A67">
      <w:pPr>
        <w:pStyle w:val="TOC3"/>
        <w:rPr>
          <w:rFonts w:asciiTheme="minorHAnsi" w:hAnsiTheme="minorHAnsi" w:cstheme="minorBidi"/>
          <w:b w:val="0"/>
          <w:noProof/>
          <w:lang w:eastAsia="en-CA"/>
        </w:rPr>
      </w:pPr>
      <w:hyperlink w:anchor="_Toc52181845" w:history="1">
        <w:r w:rsidRPr="00E53E72">
          <w:rPr>
            <w:rStyle w:val="Hyperlink"/>
            <w:noProof/>
          </w:rPr>
          <w:t>H.20.3.4 User data unregistered SEI message semantics</w:t>
        </w:r>
        <w:r>
          <w:rPr>
            <w:noProof/>
            <w:webHidden/>
          </w:rPr>
          <w:tab/>
        </w:r>
        <w:r>
          <w:rPr>
            <w:noProof/>
            <w:webHidden/>
          </w:rPr>
          <w:fldChar w:fldCharType="begin"/>
        </w:r>
        <w:r>
          <w:rPr>
            <w:noProof/>
            <w:webHidden/>
          </w:rPr>
          <w:instrText xml:space="preserve"> PAGEREF _Toc52181845 \h </w:instrText>
        </w:r>
        <w:r>
          <w:rPr>
            <w:noProof/>
            <w:webHidden/>
          </w:rPr>
        </w:r>
        <w:r>
          <w:rPr>
            <w:noProof/>
            <w:webHidden/>
          </w:rPr>
          <w:fldChar w:fldCharType="separate"/>
        </w:r>
        <w:r>
          <w:rPr>
            <w:noProof/>
            <w:webHidden/>
          </w:rPr>
          <w:t>338</w:t>
        </w:r>
        <w:r>
          <w:rPr>
            <w:noProof/>
            <w:webHidden/>
          </w:rPr>
          <w:fldChar w:fldCharType="end"/>
        </w:r>
      </w:hyperlink>
    </w:p>
    <w:p w14:paraId="33E62B9B" w14:textId="6CEB66F8" w:rsidR="00507A67" w:rsidRDefault="00507A67">
      <w:pPr>
        <w:pStyle w:val="TOC3"/>
        <w:rPr>
          <w:rFonts w:asciiTheme="minorHAnsi" w:hAnsiTheme="minorHAnsi" w:cstheme="minorBidi"/>
          <w:b w:val="0"/>
          <w:noProof/>
          <w:lang w:eastAsia="en-CA"/>
        </w:rPr>
      </w:pPr>
      <w:hyperlink w:anchor="_Toc52181846" w:history="1">
        <w:r w:rsidRPr="00E53E72">
          <w:rPr>
            <w:rStyle w:val="Hyperlink"/>
            <w:noProof/>
          </w:rPr>
          <w:t>H.20.3.5 Recovery point SEI message semantics</w:t>
        </w:r>
        <w:r>
          <w:rPr>
            <w:noProof/>
            <w:webHidden/>
          </w:rPr>
          <w:tab/>
        </w:r>
        <w:r>
          <w:rPr>
            <w:noProof/>
            <w:webHidden/>
          </w:rPr>
          <w:fldChar w:fldCharType="begin"/>
        </w:r>
        <w:r>
          <w:rPr>
            <w:noProof/>
            <w:webHidden/>
          </w:rPr>
          <w:instrText xml:space="preserve"> PAGEREF _Toc52181846 \h </w:instrText>
        </w:r>
        <w:r>
          <w:rPr>
            <w:noProof/>
            <w:webHidden/>
          </w:rPr>
        </w:r>
        <w:r>
          <w:rPr>
            <w:noProof/>
            <w:webHidden/>
          </w:rPr>
          <w:fldChar w:fldCharType="separate"/>
        </w:r>
        <w:r>
          <w:rPr>
            <w:noProof/>
            <w:webHidden/>
          </w:rPr>
          <w:t>338</w:t>
        </w:r>
        <w:r>
          <w:rPr>
            <w:noProof/>
            <w:webHidden/>
          </w:rPr>
          <w:fldChar w:fldCharType="end"/>
        </w:r>
      </w:hyperlink>
    </w:p>
    <w:p w14:paraId="2023B09A" w14:textId="5668D443" w:rsidR="00507A67" w:rsidRDefault="00507A67">
      <w:pPr>
        <w:pStyle w:val="TOC3"/>
        <w:rPr>
          <w:rFonts w:asciiTheme="minorHAnsi" w:hAnsiTheme="minorHAnsi" w:cstheme="minorBidi"/>
          <w:b w:val="0"/>
          <w:noProof/>
          <w:lang w:eastAsia="en-CA"/>
        </w:rPr>
      </w:pPr>
      <w:hyperlink w:anchor="_Toc52181847" w:history="1">
        <w:r w:rsidRPr="00E53E72">
          <w:rPr>
            <w:rStyle w:val="Hyperlink"/>
            <w:noProof/>
          </w:rPr>
          <w:t>H.20.3.6 No display SEI message semantics</w:t>
        </w:r>
        <w:r>
          <w:rPr>
            <w:noProof/>
            <w:webHidden/>
          </w:rPr>
          <w:tab/>
        </w:r>
        <w:r>
          <w:rPr>
            <w:noProof/>
            <w:webHidden/>
          </w:rPr>
          <w:fldChar w:fldCharType="begin"/>
        </w:r>
        <w:r>
          <w:rPr>
            <w:noProof/>
            <w:webHidden/>
          </w:rPr>
          <w:instrText xml:space="preserve"> PAGEREF _Toc52181847 \h </w:instrText>
        </w:r>
        <w:r>
          <w:rPr>
            <w:noProof/>
            <w:webHidden/>
          </w:rPr>
        </w:r>
        <w:r>
          <w:rPr>
            <w:noProof/>
            <w:webHidden/>
          </w:rPr>
          <w:fldChar w:fldCharType="separate"/>
        </w:r>
        <w:r>
          <w:rPr>
            <w:noProof/>
            <w:webHidden/>
          </w:rPr>
          <w:t>338</w:t>
        </w:r>
        <w:r>
          <w:rPr>
            <w:noProof/>
            <w:webHidden/>
          </w:rPr>
          <w:fldChar w:fldCharType="end"/>
        </w:r>
      </w:hyperlink>
    </w:p>
    <w:p w14:paraId="143ACEE0" w14:textId="667E7AEA" w:rsidR="00507A67" w:rsidRDefault="00507A67">
      <w:pPr>
        <w:pStyle w:val="TOC3"/>
        <w:rPr>
          <w:rFonts w:asciiTheme="minorHAnsi" w:hAnsiTheme="minorHAnsi" w:cstheme="minorBidi"/>
          <w:b w:val="0"/>
          <w:noProof/>
          <w:lang w:eastAsia="en-CA"/>
        </w:rPr>
      </w:pPr>
      <w:hyperlink w:anchor="_Toc52181848" w:history="1">
        <w:r w:rsidRPr="00E53E72">
          <w:rPr>
            <w:rStyle w:val="Hyperlink"/>
            <w:noProof/>
          </w:rPr>
          <w:t>H.20.3.7 Reserved SEI message semantics</w:t>
        </w:r>
        <w:r>
          <w:rPr>
            <w:noProof/>
            <w:webHidden/>
          </w:rPr>
          <w:tab/>
        </w:r>
        <w:r>
          <w:rPr>
            <w:noProof/>
            <w:webHidden/>
          </w:rPr>
          <w:fldChar w:fldCharType="begin"/>
        </w:r>
        <w:r>
          <w:rPr>
            <w:noProof/>
            <w:webHidden/>
          </w:rPr>
          <w:instrText xml:space="preserve"> PAGEREF _Toc52181848 \h </w:instrText>
        </w:r>
        <w:r>
          <w:rPr>
            <w:noProof/>
            <w:webHidden/>
          </w:rPr>
        </w:r>
        <w:r>
          <w:rPr>
            <w:noProof/>
            <w:webHidden/>
          </w:rPr>
          <w:fldChar w:fldCharType="separate"/>
        </w:r>
        <w:r>
          <w:rPr>
            <w:noProof/>
            <w:webHidden/>
          </w:rPr>
          <w:t>338</w:t>
        </w:r>
        <w:r>
          <w:rPr>
            <w:noProof/>
            <w:webHidden/>
          </w:rPr>
          <w:fldChar w:fldCharType="end"/>
        </w:r>
      </w:hyperlink>
    </w:p>
    <w:p w14:paraId="2F1F336E" w14:textId="5F347513" w:rsidR="00507A67" w:rsidRDefault="00507A67">
      <w:pPr>
        <w:pStyle w:val="TOC3"/>
        <w:rPr>
          <w:rFonts w:asciiTheme="minorHAnsi" w:hAnsiTheme="minorHAnsi" w:cstheme="minorBidi"/>
          <w:b w:val="0"/>
          <w:noProof/>
          <w:lang w:eastAsia="en-CA"/>
        </w:rPr>
      </w:pPr>
      <w:hyperlink w:anchor="_Toc52181849" w:history="1">
        <w:r w:rsidRPr="00E53E72">
          <w:rPr>
            <w:rStyle w:val="Hyperlink"/>
            <w:noProof/>
          </w:rPr>
          <w:t>H.20.3.8 SEI manifest SEI message semantics</w:t>
        </w:r>
        <w:r>
          <w:rPr>
            <w:noProof/>
            <w:webHidden/>
          </w:rPr>
          <w:tab/>
        </w:r>
        <w:r>
          <w:rPr>
            <w:noProof/>
            <w:webHidden/>
          </w:rPr>
          <w:fldChar w:fldCharType="begin"/>
        </w:r>
        <w:r>
          <w:rPr>
            <w:noProof/>
            <w:webHidden/>
          </w:rPr>
          <w:instrText xml:space="preserve"> PAGEREF _Toc52181849 \h </w:instrText>
        </w:r>
        <w:r>
          <w:rPr>
            <w:noProof/>
            <w:webHidden/>
          </w:rPr>
        </w:r>
        <w:r>
          <w:rPr>
            <w:noProof/>
            <w:webHidden/>
          </w:rPr>
          <w:fldChar w:fldCharType="separate"/>
        </w:r>
        <w:r>
          <w:rPr>
            <w:noProof/>
            <w:webHidden/>
          </w:rPr>
          <w:t>338</w:t>
        </w:r>
        <w:r>
          <w:rPr>
            <w:noProof/>
            <w:webHidden/>
          </w:rPr>
          <w:fldChar w:fldCharType="end"/>
        </w:r>
      </w:hyperlink>
    </w:p>
    <w:p w14:paraId="5B04C472" w14:textId="03BD5882" w:rsidR="00507A67" w:rsidRDefault="00507A67">
      <w:pPr>
        <w:pStyle w:val="TOC3"/>
        <w:rPr>
          <w:rFonts w:asciiTheme="minorHAnsi" w:hAnsiTheme="minorHAnsi" w:cstheme="minorBidi"/>
          <w:b w:val="0"/>
          <w:noProof/>
          <w:lang w:eastAsia="en-CA"/>
        </w:rPr>
      </w:pPr>
      <w:hyperlink w:anchor="_Toc52181850" w:history="1">
        <w:r w:rsidRPr="00E53E72">
          <w:rPr>
            <w:rStyle w:val="Hyperlink"/>
            <w:noProof/>
          </w:rPr>
          <w:t>H.20.3.9 SEI prefix indication SEI message semantics</w:t>
        </w:r>
        <w:r>
          <w:rPr>
            <w:noProof/>
            <w:webHidden/>
          </w:rPr>
          <w:tab/>
        </w:r>
        <w:r>
          <w:rPr>
            <w:noProof/>
            <w:webHidden/>
          </w:rPr>
          <w:fldChar w:fldCharType="begin"/>
        </w:r>
        <w:r>
          <w:rPr>
            <w:noProof/>
            <w:webHidden/>
          </w:rPr>
          <w:instrText xml:space="preserve"> PAGEREF _Toc52181850 \h </w:instrText>
        </w:r>
        <w:r>
          <w:rPr>
            <w:noProof/>
            <w:webHidden/>
          </w:rPr>
        </w:r>
        <w:r>
          <w:rPr>
            <w:noProof/>
            <w:webHidden/>
          </w:rPr>
          <w:fldChar w:fldCharType="separate"/>
        </w:r>
        <w:r>
          <w:rPr>
            <w:noProof/>
            <w:webHidden/>
          </w:rPr>
          <w:t>338</w:t>
        </w:r>
        <w:r>
          <w:rPr>
            <w:noProof/>
            <w:webHidden/>
          </w:rPr>
          <w:fldChar w:fldCharType="end"/>
        </w:r>
      </w:hyperlink>
    </w:p>
    <w:p w14:paraId="60F1402C" w14:textId="35004EEC" w:rsidR="00507A67" w:rsidRDefault="00507A67">
      <w:pPr>
        <w:pStyle w:val="TOC3"/>
        <w:rPr>
          <w:rFonts w:asciiTheme="minorHAnsi" w:hAnsiTheme="minorHAnsi" w:cstheme="minorBidi"/>
          <w:b w:val="0"/>
          <w:noProof/>
          <w:lang w:eastAsia="en-CA"/>
        </w:rPr>
      </w:pPr>
      <w:hyperlink w:anchor="_Toc52181851" w:history="1">
        <w:r w:rsidRPr="00E53E72">
          <w:rPr>
            <w:rStyle w:val="Hyperlink"/>
            <w:noProof/>
          </w:rPr>
          <w:t>H.20.3.10 Active sub-bitstreams SEI message semantics</w:t>
        </w:r>
        <w:r>
          <w:rPr>
            <w:noProof/>
            <w:webHidden/>
          </w:rPr>
          <w:tab/>
        </w:r>
        <w:r>
          <w:rPr>
            <w:noProof/>
            <w:webHidden/>
          </w:rPr>
          <w:fldChar w:fldCharType="begin"/>
        </w:r>
        <w:r>
          <w:rPr>
            <w:noProof/>
            <w:webHidden/>
          </w:rPr>
          <w:instrText xml:space="preserve"> PAGEREF _Toc52181851 \h </w:instrText>
        </w:r>
        <w:r>
          <w:rPr>
            <w:noProof/>
            <w:webHidden/>
          </w:rPr>
        </w:r>
        <w:r>
          <w:rPr>
            <w:noProof/>
            <w:webHidden/>
          </w:rPr>
          <w:fldChar w:fldCharType="separate"/>
        </w:r>
        <w:r>
          <w:rPr>
            <w:noProof/>
            <w:webHidden/>
          </w:rPr>
          <w:t>338</w:t>
        </w:r>
        <w:r>
          <w:rPr>
            <w:noProof/>
            <w:webHidden/>
          </w:rPr>
          <w:fldChar w:fldCharType="end"/>
        </w:r>
      </w:hyperlink>
    </w:p>
    <w:p w14:paraId="2237D45E" w14:textId="5F282944" w:rsidR="00507A67" w:rsidRDefault="00507A67">
      <w:pPr>
        <w:pStyle w:val="TOC3"/>
        <w:rPr>
          <w:rFonts w:asciiTheme="minorHAnsi" w:hAnsiTheme="minorHAnsi" w:cstheme="minorBidi"/>
          <w:b w:val="0"/>
          <w:noProof/>
          <w:lang w:eastAsia="en-CA"/>
        </w:rPr>
      </w:pPr>
      <w:hyperlink w:anchor="_Toc52181852" w:history="1">
        <w:r w:rsidRPr="00E53E72">
          <w:rPr>
            <w:rStyle w:val="Hyperlink"/>
            <w:noProof/>
          </w:rPr>
          <w:t>H.20.3.11 Component codec mapping SEI message semantics</w:t>
        </w:r>
        <w:r>
          <w:rPr>
            <w:noProof/>
            <w:webHidden/>
          </w:rPr>
          <w:tab/>
        </w:r>
        <w:r>
          <w:rPr>
            <w:noProof/>
            <w:webHidden/>
          </w:rPr>
          <w:fldChar w:fldCharType="begin"/>
        </w:r>
        <w:r>
          <w:rPr>
            <w:noProof/>
            <w:webHidden/>
          </w:rPr>
          <w:instrText xml:space="preserve"> PAGEREF _Toc52181852 \h </w:instrText>
        </w:r>
        <w:r>
          <w:rPr>
            <w:noProof/>
            <w:webHidden/>
          </w:rPr>
        </w:r>
        <w:r>
          <w:rPr>
            <w:noProof/>
            <w:webHidden/>
          </w:rPr>
          <w:fldChar w:fldCharType="separate"/>
        </w:r>
        <w:r>
          <w:rPr>
            <w:noProof/>
            <w:webHidden/>
          </w:rPr>
          <w:t>338</w:t>
        </w:r>
        <w:r>
          <w:rPr>
            <w:noProof/>
            <w:webHidden/>
          </w:rPr>
          <w:fldChar w:fldCharType="end"/>
        </w:r>
      </w:hyperlink>
    </w:p>
    <w:p w14:paraId="52DAE1B4" w14:textId="25DD7EE8" w:rsidR="00507A67" w:rsidRDefault="00507A67">
      <w:pPr>
        <w:pStyle w:val="TOC3"/>
        <w:rPr>
          <w:rFonts w:asciiTheme="minorHAnsi" w:hAnsiTheme="minorHAnsi" w:cstheme="minorBidi"/>
          <w:b w:val="0"/>
          <w:noProof/>
          <w:lang w:eastAsia="en-CA"/>
        </w:rPr>
      </w:pPr>
      <w:hyperlink w:anchor="_Toc52181853" w:history="1">
        <w:r w:rsidRPr="00E53E72">
          <w:rPr>
            <w:rStyle w:val="Hyperlink"/>
            <w:noProof/>
          </w:rPr>
          <w:t>H.20.3.12 Volumetric annotation SEI messages family syntax</w:t>
        </w:r>
        <w:r>
          <w:rPr>
            <w:noProof/>
            <w:webHidden/>
          </w:rPr>
          <w:tab/>
        </w:r>
        <w:r>
          <w:rPr>
            <w:noProof/>
            <w:webHidden/>
          </w:rPr>
          <w:fldChar w:fldCharType="begin"/>
        </w:r>
        <w:r>
          <w:rPr>
            <w:noProof/>
            <w:webHidden/>
          </w:rPr>
          <w:instrText xml:space="preserve"> PAGEREF _Toc52181853 \h </w:instrText>
        </w:r>
        <w:r>
          <w:rPr>
            <w:noProof/>
            <w:webHidden/>
          </w:rPr>
        </w:r>
        <w:r>
          <w:rPr>
            <w:noProof/>
            <w:webHidden/>
          </w:rPr>
          <w:fldChar w:fldCharType="separate"/>
        </w:r>
        <w:r>
          <w:rPr>
            <w:noProof/>
            <w:webHidden/>
          </w:rPr>
          <w:t>338</w:t>
        </w:r>
        <w:r>
          <w:rPr>
            <w:noProof/>
            <w:webHidden/>
          </w:rPr>
          <w:fldChar w:fldCharType="end"/>
        </w:r>
      </w:hyperlink>
    </w:p>
    <w:p w14:paraId="3211A224" w14:textId="02A53F78" w:rsidR="00507A67" w:rsidRDefault="00507A67">
      <w:pPr>
        <w:pStyle w:val="TOC3"/>
        <w:rPr>
          <w:rFonts w:asciiTheme="minorHAnsi" w:hAnsiTheme="minorHAnsi" w:cstheme="minorBidi"/>
          <w:b w:val="0"/>
          <w:noProof/>
          <w:lang w:eastAsia="en-CA"/>
        </w:rPr>
      </w:pPr>
      <w:hyperlink w:anchor="_Toc52181854" w:history="1">
        <w:r w:rsidRPr="00E53E72">
          <w:rPr>
            <w:rStyle w:val="Hyperlink"/>
            <w:noProof/>
          </w:rPr>
          <w:t>H.20.3.13 Buffering period SEI message semantics</w:t>
        </w:r>
        <w:r>
          <w:rPr>
            <w:noProof/>
            <w:webHidden/>
          </w:rPr>
          <w:tab/>
        </w:r>
        <w:r>
          <w:rPr>
            <w:noProof/>
            <w:webHidden/>
          </w:rPr>
          <w:fldChar w:fldCharType="begin"/>
        </w:r>
        <w:r>
          <w:rPr>
            <w:noProof/>
            <w:webHidden/>
          </w:rPr>
          <w:instrText xml:space="preserve"> PAGEREF _Toc52181854 \h </w:instrText>
        </w:r>
        <w:r>
          <w:rPr>
            <w:noProof/>
            <w:webHidden/>
          </w:rPr>
        </w:r>
        <w:r>
          <w:rPr>
            <w:noProof/>
            <w:webHidden/>
          </w:rPr>
          <w:fldChar w:fldCharType="separate"/>
        </w:r>
        <w:r>
          <w:rPr>
            <w:noProof/>
            <w:webHidden/>
          </w:rPr>
          <w:t>338</w:t>
        </w:r>
        <w:r>
          <w:rPr>
            <w:noProof/>
            <w:webHidden/>
          </w:rPr>
          <w:fldChar w:fldCharType="end"/>
        </w:r>
      </w:hyperlink>
    </w:p>
    <w:p w14:paraId="6985FA32" w14:textId="51695C26" w:rsidR="00507A67" w:rsidRDefault="00507A67">
      <w:pPr>
        <w:pStyle w:val="TOC3"/>
        <w:rPr>
          <w:rFonts w:asciiTheme="minorHAnsi" w:hAnsiTheme="minorHAnsi" w:cstheme="minorBidi"/>
          <w:b w:val="0"/>
          <w:noProof/>
          <w:lang w:eastAsia="en-CA"/>
        </w:rPr>
      </w:pPr>
      <w:hyperlink w:anchor="_Toc52181855" w:history="1">
        <w:r w:rsidRPr="00E53E72">
          <w:rPr>
            <w:rStyle w:val="Hyperlink"/>
            <w:noProof/>
          </w:rPr>
          <w:t>H.20.3.14 Atlas frame timing SEI message semantics</w:t>
        </w:r>
        <w:r>
          <w:rPr>
            <w:noProof/>
            <w:webHidden/>
          </w:rPr>
          <w:tab/>
        </w:r>
        <w:r>
          <w:rPr>
            <w:noProof/>
            <w:webHidden/>
          </w:rPr>
          <w:fldChar w:fldCharType="begin"/>
        </w:r>
        <w:r>
          <w:rPr>
            <w:noProof/>
            <w:webHidden/>
          </w:rPr>
          <w:instrText xml:space="preserve"> PAGEREF _Toc52181855 \h </w:instrText>
        </w:r>
        <w:r>
          <w:rPr>
            <w:noProof/>
            <w:webHidden/>
          </w:rPr>
        </w:r>
        <w:r>
          <w:rPr>
            <w:noProof/>
            <w:webHidden/>
          </w:rPr>
          <w:fldChar w:fldCharType="separate"/>
        </w:r>
        <w:r>
          <w:rPr>
            <w:noProof/>
            <w:webHidden/>
          </w:rPr>
          <w:t>338</w:t>
        </w:r>
        <w:r>
          <w:rPr>
            <w:noProof/>
            <w:webHidden/>
          </w:rPr>
          <w:fldChar w:fldCharType="end"/>
        </w:r>
      </w:hyperlink>
    </w:p>
    <w:p w14:paraId="53DC3611" w14:textId="186CE724" w:rsidR="00507A67" w:rsidRDefault="00507A67">
      <w:pPr>
        <w:pStyle w:val="TOC3"/>
        <w:rPr>
          <w:rFonts w:asciiTheme="minorHAnsi" w:hAnsiTheme="minorHAnsi" w:cstheme="minorBidi"/>
          <w:b w:val="0"/>
          <w:noProof/>
          <w:lang w:eastAsia="en-CA"/>
        </w:rPr>
      </w:pPr>
      <w:hyperlink w:anchor="_Toc52181856" w:history="1">
        <w:r w:rsidRPr="00E53E72">
          <w:rPr>
            <w:rStyle w:val="Hyperlink"/>
            <w:noProof/>
          </w:rPr>
          <w:t>H.20.3.15 Viewport SEI messages family semantics</w:t>
        </w:r>
        <w:r>
          <w:rPr>
            <w:noProof/>
            <w:webHidden/>
          </w:rPr>
          <w:tab/>
        </w:r>
        <w:r>
          <w:rPr>
            <w:noProof/>
            <w:webHidden/>
          </w:rPr>
          <w:fldChar w:fldCharType="begin"/>
        </w:r>
        <w:r>
          <w:rPr>
            <w:noProof/>
            <w:webHidden/>
          </w:rPr>
          <w:instrText xml:space="preserve"> PAGEREF _Toc52181856 \h </w:instrText>
        </w:r>
        <w:r>
          <w:rPr>
            <w:noProof/>
            <w:webHidden/>
          </w:rPr>
        </w:r>
        <w:r>
          <w:rPr>
            <w:noProof/>
            <w:webHidden/>
          </w:rPr>
          <w:fldChar w:fldCharType="separate"/>
        </w:r>
        <w:r>
          <w:rPr>
            <w:noProof/>
            <w:webHidden/>
          </w:rPr>
          <w:t>338</w:t>
        </w:r>
        <w:r>
          <w:rPr>
            <w:noProof/>
            <w:webHidden/>
          </w:rPr>
          <w:fldChar w:fldCharType="end"/>
        </w:r>
      </w:hyperlink>
    </w:p>
    <w:p w14:paraId="42130537" w14:textId="42C08C3A" w:rsidR="00507A67" w:rsidRDefault="00507A67">
      <w:pPr>
        <w:pStyle w:val="TOC3"/>
        <w:rPr>
          <w:rFonts w:asciiTheme="minorHAnsi" w:hAnsiTheme="minorHAnsi" w:cstheme="minorBidi"/>
          <w:b w:val="0"/>
          <w:noProof/>
          <w:lang w:eastAsia="en-CA"/>
        </w:rPr>
      </w:pPr>
      <w:hyperlink w:anchor="_Toc52181857" w:history="1">
        <w:r w:rsidRPr="00E53E72">
          <w:rPr>
            <w:rStyle w:val="Hyperlink"/>
            <w:noProof/>
          </w:rPr>
          <w:t>H.20.3.16 Decoded Atlas Information Hash SEI message semantics</w:t>
        </w:r>
        <w:r>
          <w:rPr>
            <w:noProof/>
            <w:webHidden/>
          </w:rPr>
          <w:tab/>
        </w:r>
        <w:r>
          <w:rPr>
            <w:noProof/>
            <w:webHidden/>
          </w:rPr>
          <w:fldChar w:fldCharType="begin"/>
        </w:r>
        <w:r>
          <w:rPr>
            <w:noProof/>
            <w:webHidden/>
          </w:rPr>
          <w:instrText xml:space="preserve"> PAGEREF _Toc52181857 \h </w:instrText>
        </w:r>
        <w:r>
          <w:rPr>
            <w:noProof/>
            <w:webHidden/>
          </w:rPr>
        </w:r>
        <w:r>
          <w:rPr>
            <w:noProof/>
            <w:webHidden/>
          </w:rPr>
          <w:fldChar w:fldCharType="separate"/>
        </w:r>
        <w:r>
          <w:rPr>
            <w:noProof/>
            <w:webHidden/>
          </w:rPr>
          <w:t>339</w:t>
        </w:r>
        <w:r>
          <w:rPr>
            <w:noProof/>
            <w:webHidden/>
          </w:rPr>
          <w:fldChar w:fldCharType="end"/>
        </w:r>
      </w:hyperlink>
    </w:p>
    <w:p w14:paraId="6EBBDD0E" w14:textId="76B527A6" w:rsidR="00507A67" w:rsidRDefault="00507A67">
      <w:pPr>
        <w:pStyle w:val="TOC2"/>
        <w:rPr>
          <w:rFonts w:asciiTheme="minorHAnsi" w:hAnsiTheme="minorHAnsi" w:cstheme="minorBidi"/>
          <w:b w:val="0"/>
          <w:noProof/>
          <w:lang w:eastAsia="en-CA"/>
        </w:rPr>
      </w:pPr>
      <w:hyperlink w:anchor="_Toc52181858" w:history="1">
        <w:r w:rsidRPr="00E53E72">
          <w:rPr>
            <w:rStyle w:val="Hyperlink"/>
            <w:noProof/>
          </w:rPr>
          <w:t>H.21 Volumetric Usability Information</w:t>
        </w:r>
        <w:r>
          <w:rPr>
            <w:noProof/>
            <w:webHidden/>
          </w:rPr>
          <w:tab/>
        </w:r>
        <w:r>
          <w:rPr>
            <w:noProof/>
            <w:webHidden/>
          </w:rPr>
          <w:fldChar w:fldCharType="begin"/>
        </w:r>
        <w:r>
          <w:rPr>
            <w:noProof/>
            <w:webHidden/>
          </w:rPr>
          <w:instrText xml:space="preserve"> PAGEREF _Toc52181858 \h </w:instrText>
        </w:r>
        <w:r>
          <w:rPr>
            <w:noProof/>
            <w:webHidden/>
          </w:rPr>
        </w:r>
        <w:r>
          <w:rPr>
            <w:noProof/>
            <w:webHidden/>
          </w:rPr>
          <w:fldChar w:fldCharType="separate"/>
        </w:r>
        <w:r>
          <w:rPr>
            <w:noProof/>
            <w:webHidden/>
          </w:rPr>
          <w:t>348</w:t>
        </w:r>
        <w:r>
          <w:rPr>
            <w:noProof/>
            <w:webHidden/>
          </w:rPr>
          <w:fldChar w:fldCharType="end"/>
        </w:r>
      </w:hyperlink>
    </w:p>
    <w:p w14:paraId="381C4644" w14:textId="30FA2B98" w:rsidR="00507A67" w:rsidRDefault="00507A67">
      <w:pPr>
        <w:pStyle w:val="TOC1"/>
        <w:rPr>
          <w:rFonts w:asciiTheme="minorHAnsi" w:hAnsiTheme="minorHAnsi" w:cstheme="minorBidi"/>
          <w:b w:val="0"/>
          <w:noProof/>
          <w:lang w:eastAsia="en-CA"/>
        </w:rPr>
      </w:pPr>
      <w:hyperlink w:anchor="_Toc52181859" w:history="1">
        <w:r w:rsidRPr="00E53E72">
          <w:rPr>
            <w:rStyle w:val="Hyperlink"/>
            <w:noProof/>
          </w:rPr>
          <w:t>Bibliography</w:t>
        </w:r>
        <w:r>
          <w:rPr>
            <w:noProof/>
            <w:webHidden/>
          </w:rPr>
          <w:tab/>
        </w:r>
        <w:r>
          <w:rPr>
            <w:noProof/>
            <w:webHidden/>
          </w:rPr>
          <w:fldChar w:fldCharType="begin"/>
        </w:r>
        <w:r>
          <w:rPr>
            <w:noProof/>
            <w:webHidden/>
          </w:rPr>
          <w:instrText xml:space="preserve"> PAGEREF _Toc52181859 \h </w:instrText>
        </w:r>
        <w:r>
          <w:rPr>
            <w:noProof/>
            <w:webHidden/>
          </w:rPr>
        </w:r>
        <w:r>
          <w:rPr>
            <w:noProof/>
            <w:webHidden/>
          </w:rPr>
          <w:fldChar w:fldCharType="separate"/>
        </w:r>
        <w:r>
          <w:rPr>
            <w:noProof/>
            <w:webHidden/>
          </w:rPr>
          <w:t>349</w:t>
        </w:r>
        <w:r>
          <w:rPr>
            <w:noProof/>
            <w:webHidden/>
          </w:rPr>
          <w:fldChar w:fldCharType="end"/>
        </w:r>
      </w:hyperlink>
    </w:p>
    <w:p w14:paraId="183C4287" w14:textId="2FC07300" w:rsidR="001A33D0" w:rsidRPr="00A52AB8" w:rsidRDefault="0054733A">
      <w:pPr>
        <w:pStyle w:val="TOC1"/>
        <w:rPr>
          <w:color w:val="000000" w:themeColor="text1"/>
        </w:rPr>
      </w:pPr>
      <w:r w:rsidRPr="00496A4D">
        <w:rPr>
          <w:color w:val="000000" w:themeColor="text1"/>
        </w:rPr>
        <w:fldChar w:fldCharType="end"/>
      </w:r>
    </w:p>
    <w:p w14:paraId="5AD0E61F" w14:textId="788D322B" w:rsidR="001A33D0" w:rsidRPr="00A52AB8" w:rsidRDefault="001A33D0">
      <w:pPr>
        <w:pStyle w:val="ForewordTitle"/>
        <w:rPr>
          <w:color w:val="000000" w:themeColor="text1"/>
        </w:rPr>
      </w:pPr>
      <w:bookmarkStart w:id="2" w:name="_Toc353342667"/>
      <w:bookmarkStart w:id="3" w:name="_Toc52181571"/>
      <w:r w:rsidRPr="00A52AB8">
        <w:rPr>
          <w:color w:val="000000" w:themeColor="text1"/>
        </w:rPr>
        <w:lastRenderedPageBreak/>
        <w:t>Foreword</w:t>
      </w:r>
      <w:bookmarkEnd w:id="2"/>
      <w:bookmarkEnd w:id="3"/>
    </w:p>
    <w:p w14:paraId="1B190C21" w14:textId="77777777" w:rsidR="001B5607" w:rsidRPr="00A52AB8" w:rsidRDefault="001B5607" w:rsidP="001B5607">
      <w:pPr>
        <w:tabs>
          <w:tab w:val="clear" w:pos="403"/>
        </w:tabs>
      </w:pPr>
      <w:r w:rsidRPr="00A52AB8">
        <w:t>ISO (the International Organization for Standardization) and IEC (the International Electrotechnical Commission) form the specialized system for worldwide standardization. National bodies that are members of ISO or IEC participate in the development of International Standards through technical committees established by the respective organization to deal with particular fields of technical activity. ISO and IEC technical committees collaborate in fields of mutual interest. Other international organizations, governmental and non-governmental, in liaison with ISO and IEC, also take part in the work.</w:t>
      </w:r>
    </w:p>
    <w:p w14:paraId="2AF311CD" w14:textId="08672F47" w:rsidR="001B5607" w:rsidRPr="00A52AB8" w:rsidRDefault="001B5607" w:rsidP="001B5607">
      <w:pPr>
        <w:tabs>
          <w:tab w:val="clear" w:pos="403"/>
        </w:tabs>
      </w:pPr>
      <w:r w:rsidRPr="00A52AB8">
        <w:t>The procedures used to develop this document and those intended for its further maintenance are described in the ISO/IEC Directives, Part 1. In particular, the different approval criteria needed for the different types of document should be noted. This document was drafted in accordance with the editorial rules of the ISO/IEC Directives, Part 2 (see </w:t>
      </w:r>
      <w:hyperlink r:id="rId12" w:history="1">
        <w:r w:rsidRPr="00A52AB8">
          <w:rPr>
            <w:color w:val="0000FF"/>
            <w:u w:val="single"/>
            <w:lang w:eastAsia="x-none"/>
          </w:rPr>
          <w:t>www.iso.org/directives</w:t>
        </w:r>
      </w:hyperlink>
      <w:r w:rsidRPr="00A52AB8">
        <w:t>).</w:t>
      </w:r>
    </w:p>
    <w:p w14:paraId="49FEA7B6" w14:textId="41C54425" w:rsidR="001B5607" w:rsidRPr="00A52AB8" w:rsidRDefault="001B5607" w:rsidP="001B5607">
      <w:pPr>
        <w:tabs>
          <w:tab w:val="clear" w:pos="403"/>
        </w:tabs>
      </w:pPr>
      <w:r w:rsidRPr="00A52AB8">
        <w:t xml:space="preserve">Attention is drawn to the possibility that some of the elements of this document may be the subject of patent rights. ISO and IEC shall not be held responsible for identifying any or all such patent rights. Details of any patent rights identified during the development of the document will be in the Introduction and/or on the ISO list of patent declarations received (see </w:t>
      </w:r>
      <w:hyperlink r:id="rId13" w:history="1">
        <w:r w:rsidRPr="00A52AB8">
          <w:rPr>
            <w:color w:val="0000FF"/>
            <w:u w:val="single"/>
            <w:lang w:eastAsia="x-none"/>
          </w:rPr>
          <w:t>www.iso.org/patents</w:t>
        </w:r>
      </w:hyperlink>
      <w:r w:rsidRPr="00A52AB8">
        <w:t>) or the IEC list of patent declarations received (see</w:t>
      </w:r>
      <w:r w:rsidRPr="00A52AB8">
        <w:rPr>
          <w:iCs/>
          <w:color w:val="FF0000"/>
        </w:rPr>
        <w:t xml:space="preserve"> </w:t>
      </w:r>
      <w:hyperlink r:id="rId14" w:history="1">
        <w:r w:rsidRPr="00A52AB8">
          <w:rPr>
            <w:color w:val="0000FF"/>
            <w:u w:val="single"/>
            <w:lang w:eastAsia="x-none"/>
          </w:rPr>
          <w:t>http://patents.iec.ch</w:t>
        </w:r>
      </w:hyperlink>
      <w:r w:rsidRPr="00A52AB8">
        <w:t>).</w:t>
      </w:r>
    </w:p>
    <w:p w14:paraId="4974BA79" w14:textId="77777777" w:rsidR="001B5607" w:rsidRPr="00A52AB8" w:rsidRDefault="001B5607" w:rsidP="001B5607">
      <w:pPr>
        <w:tabs>
          <w:tab w:val="clear" w:pos="403"/>
        </w:tabs>
      </w:pPr>
      <w:r w:rsidRPr="00A52AB8">
        <w:t>Any trade name used in this document is information given for the convenience of users and does not constitute an endorsement.</w:t>
      </w:r>
    </w:p>
    <w:p w14:paraId="1E228721" w14:textId="47D4068C" w:rsidR="001B5607" w:rsidRPr="00A52AB8" w:rsidRDefault="001B5607" w:rsidP="001B5607">
      <w:pPr>
        <w:tabs>
          <w:tab w:val="clear" w:pos="403"/>
        </w:tabs>
      </w:pPr>
      <w:r w:rsidRPr="00A52AB8">
        <w:t xml:space="preserve">For an explanation of the voluntary nature of standards, the meaning of ISO specific terms and expressions related to conformity assessment, as well as information about ISO's adherence to the World Trade Organization (WTO) principles in the Technical Barriers to Trade (TBT) see </w:t>
      </w:r>
      <w:hyperlink r:id="rId15" w:history="1">
        <w:r w:rsidR="00696744" w:rsidRPr="00A52AB8">
          <w:rPr>
            <w:rStyle w:val="Hyperlink"/>
            <w:rFonts w:eastAsia="Malgun Gothic" w:cs="Arial"/>
            <w:szCs w:val="24"/>
            <w:lang w:val="en-CA"/>
          </w:rPr>
          <w:t>www.iso.org/iso/foreword.html</w:t>
        </w:r>
      </w:hyperlink>
      <w:r w:rsidRPr="00A52AB8">
        <w:rPr>
          <w:rFonts w:eastAsia="Malgun Gothic"/>
        </w:rPr>
        <w:t>.</w:t>
      </w:r>
    </w:p>
    <w:p w14:paraId="2DA6C84B" w14:textId="77777777" w:rsidR="001B5607" w:rsidRPr="00A52AB8" w:rsidRDefault="001B5607" w:rsidP="001B5607">
      <w:r w:rsidRPr="00A52AB8">
        <w:t xml:space="preserve">This document was prepared by Joint Technical Committee ISO/IEC JTC 1, </w:t>
      </w:r>
      <w:r w:rsidRPr="00A52AB8">
        <w:rPr>
          <w:i/>
        </w:rPr>
        <w:t>Information technology</w:t>
      </w:r>
      <w:r w:rsidRPr="00A52AB8">
        <w:t xml:space="preserve">, Subcommittee SC 29, </w:t>
      </w:r>
      <w:r w:rsidRPr="00A52AB8">
        <w:rPr>
          <w:i/>
          <w:color w:val="000000" w:themeColor="text1"/>
        </w:rPr>
        <w:t>Coding of audio, picture, multimedia and hypermedia information</w:t>
      </w:r>
      <w:r w:rsidRPr="00A52AB8">
        <w:t>.</w:t>
      </w:r>
    </w:p>
    <w:p w14:paraId="725EADC6" w14:textId="77777777" w:rsidR="007D507A" w:rsidRPr="00A52AB8" w:rsidRDefault="007D507A">
      <w:pPr>
        <w:rPr>
          <w:color w:val="000000" w:themeColor="text1"/>
        </w:rPr>
      </w:pPr>
      <w:r w:rsidRPr="00A52AB8">
        <w:rPr>
          <w:color w:val="000000" w:themeColor="text1"/>
        </w:rPr>
        <w:t>A list of all parts in the ISO</w:t>
      </w:r>
      <w:r w:rsidRPr="00A52AB8">
        <w:rPr>
          <w:color w:val="000000" w:themeColor="text1"/>
          <w:lang w:eastAsia="ja-JP"/>
        </w:rPr>
        <w:t xml:space="preserve">/IEC 23090 </w:t>
      </w:r>
      <w:r w:rsidRPr="00A52AB8">
        <w:rPr>
          <w:color w:val="000000" w:themeColor="text1"/>
        </w:rPr>
        <w:t>series can be found on the ISO website.</w:t>
      </w:r>
    </w:p>
    <w:p w14:paraId="353D7E8A" w14:textId="2C0C1129" w:rsidR="001A33D0" w:rsidRPr="00A52AB8" w:rsidRDefault="0097303B">
      <w:pPr>
        <w:rPr>
          <w:color w:val="000000" w:themeColor="text1"/>
        </w:rPr>
      </w:pPr>
      <w:r w:rsidRPr="00A52AB8">
        <w:rPr>
          <w:iCs/>
          <w:color w:val="000000" w:themeColor="text1"/>
        </w:rPr>
        <w:t xml:space="preserve">Any feedback or questions on this document should be directed to the user’s national standards body. A complete listing of these bodies can be found at </w:t>
      </w:r>
      <w:hyperlink r:id="rId16" w:history="1">
        <w:r w:rsidR="00F81ACE" w:rsidRPr="00A52AB8">
          <w:rPr>
            <w:rStyle w:val="Hyperlink"/>
            <w:iCs/>
            <w:color w:val="000000" w:themeColor="text1"/>
            <w:lang w:val="en-CA" w:eastAsia="en-US"/>
          </w:rPr>
          <w:t>www.iso.org/members.html</w:t>
        </w:r>
      </w:hyperlink>
      <w:r w:rsidRPr="00A52AB8">
        <w:rPr>
          <w:iCs/>
          <w:color w:val="000000" w:themeColor="text1"/>
        </w:rPr>
        <w:t>.</w:t>
      </w:r>
    </w:p>
    <w:p w14:paraId="132C467B" w14:textId="0C958665" w:rsidR="001A33D0" w:rsidRPr="00A52AB8" w:rsidRDefault="001A33D0">
      <w:pPr>
        <w:pStyle w:val="IntroTitle"/>
        <w:pageBreakBefore/>
        <w:rPr>
          <w:color w:val="000000" w:themeColor="text1"/>
        </w:rPr>
      </w:pPr>
      <w:bookmarkStart w:id="4" w:name="_Toc353342668"/>
      <w:bookmarkStart w:id="5" w:name="_Toc52181572"/>
      <w:r w:rsidRPr="00A52AB8">
        <w:rPr>
          <w:color w:val="000000" w:themeColor="text1"/>
        </w:rPr>
        <w:lastRenderedPageBreak/>
        <w:t>Introduction</w:t>
      </w:r>
      <w:bookmarkEnd w:id="4"/>
      <w:bookmarkEnd w:id="5"/>
    </w:p>
    <w:p w14:paraId="0768A16D" w14:textId="3A2560D5" w:rsidR="00BE72E9" w:rsidRPr="00A52AB8" w:rsidRDefault="00BE72E9" w:rsidP="00366915">
      <w:pPr>
        <w:tabs>
          <w:tab w:val="clear" w:pos="403"/>
        </w:tabs>
        <w:spacing w:after="120" w:line="240" w:lineRule="auto"/>
      </w:pPr>
      <w:r w:rsidRPr="00A52AB8">
        <w:t>Advances in 3D capturing and rendering technologies have unleashed a new wave of innovation in Virtual/Augmented/Mixed reality (VR/AR/MR) content creation and communication, of which visual volumetric video is an integral part.</w:t>
      </w:r>
    </w:p>
    <w:p w14:paraId="74626826" w14:textId="6F535589" w:rsidR="00BE72E9" w:rsidRPr="00A52AB8" w:rsidRDefault="00BE72E9" w:rsidP="00446C7F">
      <w:pPr>
        <w:spacing w:after="120" w:line="240" w:lineRule="auto"/>
      </w:pPr>
      <w:r w:rsidRPr="00A52AB8">
        <w:t xml:space="preserve">Visual volumetric video, a sequence of visual volumetric frames, if uncompressed, may be represented by a large amount of data, which can be costly in terms of storage and transmission. </w:t>
      </w:r>
      <w:r w:rsidR="00586FBF" w:rsidRPr="00A52AB8">
        <w:t>This has led to the need for a high coding efficiency standard for the compression of visual volumetric data</w:t>
      </w:r>
      <w:r w:rsidRPr="00A52AB8">
        <w:t>.</w:t>
      </w:r>
    </w:p>
    <w:p w14:paraId="538C7BB9" w14:textId="3ABE781A" w:rsidR="00BE72E9" w:rsidRPr="00A52AB8" w:rsidRDefault="00BE72E9" w:rsidP="00366915">
      <w:pPr>
        <w:spacing w:after="120" w:line="240" w:lineRule="auto"/>
      </w:pPr>
      <w:r w:rsidRPr="00A52AB8">
        <w:t xml:space="preserve">Visual volumetric frames can be coded by converting the 3D volumetric information into a collection of 2D images and associated data. The converted 2D images can be coded using widely available video and image </w:t>
      </w:r>
      <w:r w:rsidR="00AD3C80" w:rsidRPr="00A52AB8">
        <w:t>coding specifications</w:t>
      </w:r>
      <w:r w:rsidRPr="00A52AB8">
        <w:t>, such as ISO/IEC 14492-10 and ISO/IEC 23008-2</w:t>
      </w:r>
      <w:r w:rsidR="00442A29" w:rsidRPr="00A52AB8">
        <w:t xml:space="preserve"> and the associated data can be coded with mechanisms specified in this document</w:t>
      </w:r>
      <w:r w:rsidRPr="00A52AB8">
        <w:t>.</w:t>
      </w:r>
      <w:r w:rsidR="00586FBF" w:rsidRPr="00A52AB8">
        <w:t xml:space="preserve"> The coded images and </w:t>
      </w:r>
      <w:r w:rsidR="00442A29" w:rsidRPr="00A52AB8">
        <w:t xml:space="preserve">the associated data can then be decoded and used to reconstruct </w:t>
      </w:r>
      <w:r w:rsidR="00586FBF" w:rsidRPr="00A52AB8">
        <w:t>the 3D volumetric information</w:t>
      </w:r>
      <w:r w:rsidR="00442A29" w:rsidRPr="00A52AB8">
        <w:t>.</w:t>
      </w:r>
      <w:r w:rsidR="00586FBF" w:rsidRPr="00A52AB8">
        <w:t xml:space="preserve"> </w:t>
      </w:r>
      <w:r w:rsidRPr="00A52AB8">
        <w:t>This document specifies a generic mechanism for visual volumetric video coding, i.e. visual volumetric video-based coding. The generic mechanism may be used by applications targeting volumetric content</w:t>
      </w:r>
      <w:r w:rsidR="00AD3C80" w:rsidRPr="00A52AB8">
        <w:t>,</w:t>
      </w:r>
      <w:r w:rsidRPr="00A52AB8">
        <w:t xml:space="preserve"> such as point clouds, immersive video</w:t>
      </w:r>
      <w:r w:rsidR="00BF7DD4" w:rsidRPr="00A52AB8">
        <w:t xml:space="preserve"> with depth</w:t>
      </w:r>
      <w:r w:rsidR="00AD3C80" w:rsidRPr="00A52AB8">
        <w:t>,</w:t>
      </w:r>
      <w:r w:rsidRPr="00A52AB8">
        <w:t xml:space="preserve"> mesh representation</w:t>
      </w:r>
      <w:r w:rsidR="00AD3C80" w:rsidRPr="00A52AB8">
        <w:t>s</w:t>
      </w:r>
      <w:r w:rsidRPr="00A52AB8">
        <w:t xml:space="preserve"> of visual volumetric frame</w:t>
      </w:r>
      <w:r w:rsidR="00AD3C80" w:rsidRPr="00A52AB8">
        <w:t>s, etc</w:t>
      </w:r>
      <w:r w:rsidRPr="00A52AB8">
        <w:t>.</w:t>
      </w:r>
    </w:p>
    <w:p w14:paraId="5D72569C" w14:textId="38125E8E" w:rsidR="00BE72E9" w:rsidRPr="00A52AB8" w:rsidRDefault="00BE72E9" w:rsidP="00366915">
      <w:pPr>
        <w:spacing w:after="120" w:line="240" w:lineRule="auto"/>
      </w:pPr>
      <w:r w:rsidRPr="00A52AB8">
        <w:t xml:space="preserve">In addition to the generic </w:t>
      </w:r>
      <w:r w:rsidR="00AD3C80" w:rsidRPr="00A52AB8">
        <w:t xml:space="preserve">mechanism </w:t>
      </w:r>
      <w:r w:rsidRPr="00A52AB8">
        <w:t xml:space="preserve">of </w:t>
      </w:r>
      <w:r w:rsidR="00AD3C80" w:rsidRPr="00A52AB8">
        <w:t xml:space="preserve">coding </w:t>
      </w:r>
      <w:r w:rsidRPr="00A52AB8">
        <w:t xml:space="preserve">volumetric content, this document specifies one of the applications of visual volumetric video-based coding </w:t>
      </w:r>
      <w:r w:rsidR="00BF7DD4" w:rsidRPr="00A52AB8">
        <w:t>targeting</w:t>
      </w:r>
      <w:r w:rsidRPr="00A52AB8">
        <w:t xml:space="preserve"> point cloud representation</w:t>
      </w:r>
      <w:r w:rsidR="00AD3C80" w:rsidRPr="00A52AB8">
        <w:t>s</w:t>
      </w:r>
      <w:r w:rsidRPr="00A52AB8">
        <w:t xml:space="preserve"> of visual volumetric frame</w:t>
      </w:r>
      <w:r w:rsidR="00AD3C80" w:rsidRPr="00A52AB8">
        <w:t>s</w:t>
      </w:r>
      <w:r w:rsidRPr="00A52AB8">
        <w:t xml:space="preserve">. In a point cloud sequence, each </w:t>
      </w:r>
      <w:r w:rsidR="00AD3C80" w:rsidRPr="00A52AB8">
        <w:t xml:space="preserve">point cloud </w:t>
      </w:r>
      <w:r w:rsidRPr="00A52AB8">
        <w:t xml:space="preserve">frame contains a collection of points. Each point has a 3D position, i.e., </w:t>
      </w:r>
      <w:r w:rsidR="00AD3C80" w:rsidRPr="00A52AB8">
        <w:t>geometry information</w:t>
      </w:r>
      <w:r w:rsidRPr="00A52AB8">
        <w:t xml:space="preserve">, </w:t>
      </w:r>
      <w:r w:rsidR="00AD3C80" w:rsidRPr="00A52AB8">
        <w:t xml:space="preserve">and each point </w:t>
      </w:r>
      <w:r w:rsidRPr="00A52AB8">
        <w:t>may also be associated with a number of attributes</w:t>
      </w:r>
      <w:r w:rsidR="00AD3C80" w:rsidRPr="00A52AB8">
        <w:t>,</w:t>
      </w:r>
      <w:r w:rsidRPr="00A52AB8">
        <w:t xml:space="preserve"> such as colour, reflectance, surface normal, etc.</w:t>
      </w:r>
    </w:p>
    <w:p w14:paraId="0F743D51" w14:textId="77777777" w:rsidR="001A33D0" w:rsidRPr="00A52AB8" w:rsidRDefault="001A33D0">
      <w:pPr>
        <w:rPr>
          <w:color w:val="000000" w:themeColor="text1"/>
        </w:rPr>
      </w:pPr>
    </w:p>
    <w:p w14:paraId="7960F52F" w14:textId="77777777" w:rsidR="001A33D0" w:rsidRPr="00A52AB8" w:rsidRDefault="001A33D0">
      <w:pPr>
        <w:pageBreakBefore/>
        <w:spacing w:after="360" w:line="360" w:lineRule="atLeast"/>
        <w:jc w:val="left"/>
        <w:rPr>
          <w:b/>
          <w:color w:val="000000" w:themeColor="text1"/>
          <w:sz w:val="32"/>
          <w:szCs w:val="32"/>
        </w:rPr>
        <w:sectPr w:rsidR="001A33D0" w:rsidRPr="00A52AB8" w:rsidSect="00866B3F">
          <w:headerReference w:type="even" r:id="rId17"/>
          <w:headerReference w:type="default" r:id="rId18"/>
          <w:footerReference w:type="even" r:id="rId19"/>
          <w:footerReference w:type="default" r:id="rId20"/>
          <w:pgSz w:w="11906" w:h="16838" w:code="9"/>
          <w:pgMar w:top="794" w:right="1077" w:bottom="567" w:left="1077" w:header="709" w:footer="284" w:gutter="0"/>
          <w:pgNumType w:fmt="lowerRoman"/>
          <w:cols w:space="720"/>
        </w:sectPr>
      </w:pPr>
    </w:p>
    <w:p w14:paraId="17AB0516" w14:textId="77777777" w:rsidR="00817F01" w:rsidRPr="00A52AB8" w:rsidRDefault="0084119C">
      <w:pPr>
        <w:spacing w:line="360" w:lineRule="atLeast"/>
        <w:jc w:val="left"/>
        <w:rPr>
          <w:b/>
          <w:color w:val="000000" w:themeColor="text1"/>
          <w:sz w:val="32"/>
          <w:szCs w:val="32"/>
        </w:rPr>
      </w:pPr>
      <w:bookmarkStart w:id="6" w:name="_Toc353342669"/>
      <w:r w:rsidRPr="00A52AB8">
        <w:rPr>
          <w:b/>
          <w:color w:val="000000" w:themeColor="text1"/>
          <w:sz w:val="32"/>
          <w:szCs w:val="32"/>
        </w:rPr>
        <w:lastRenderedPageBreak/>
        <w:t>Information technology</w:t>
      </w:r>
      <w:r w:rsidR="007D5A59" w:rsidRPr="00A52AB8">
        <w:rPr>
          <w:b/>
          <w:color w:val="000000" w:themeColor="text1"/>
          <w:sz w:val="32"/>
          <w:szCs w:val="32"/>
          <w:lang w:eastAsia="ja-JP"/>
        </w:rPr>
        <w:t> </w:t>
      </w:r>
      <w:r w:rsidRPr="00A52AB8">
        <w:rPr>
          <w:b/>
          <w:color w:val="000000" w:themeColor="text1"/>
          <w:sz w:val="32"/>
          <w:szCs w:val="32"/>
        </w:rPr>
        <w:t>—</w:t>
      </w:r>
      <w:r w:rsidR="007D5A59" w:rsidRPr="00A52AB8">
        <w:rPr>
          <w:b/>
          <w:color w:val="000000" w:themeColor="text1"/>
          <w:sz w:val="32"/>
          <w:szCs w:val="32"/>
        </w:rPr>
        <w:t> </w:t>
      </w:r>
      <w:r w:rsidRPr="00A52AB8">
        <w:rPr>
          <w:b/>
          <w:color w:val="000000" w:themeColor="text1"/>
          <w:sz w:val="32"/>
          <w:szCs w:val="32"/>
        </w:rPr>
        <w:t>Coded Representation of Immersive Media</w:t>
      </w:r>
      <w:r w:rsidR="007D5A59" w:rsidRPr="00A52AB8">
        <w:rPr>
          <w:b/>
          <w:color w:val="000000" w:themeColor="text1"/>
          <w:sz w:val="32"/>
          <w:szCs w:val="32"/>
          <w:lang w:eastAsia="ja-JP"/>
        </w:rPr>
        <w:t> </w:t>
      </w:r>
      <w:r w:rsidRPr="00A52AB8">
        <w:rPr>
          <w:b/>
          <w:color w:val="000000" w:themeColor="text1"/>
          <w:sz w:val="32"/>
          <w:szCs w:val="32"/>
        </w:rPr>
        <w:t>—</w:t>
      </w:r>
      <w:r w:rsidR="007D5A59" w:rsidRPr="00A52AB8">
        <w:rPr>
          <w:b/>
          <w:color w:val="000000" w:themeColor="text1"/>
          <w:sz w:val="32"/>
          <w:szCs w:val="32"/>
          <w:lang w:eastAsia="ja-JP"/>
        </w:rPr>
        <w:t> </w:t>
      </w:r>
      <w:r w:rsidRPr="00A52AB8">
        <w:rPr>
          <w:b/>
          <w:color w:val="000000" w:themeColor="text1"/>
          <w:sz w:val="32"/>
          <w:szCs w:val="32"/>
        </w:rPr>
        <w:t xml:space="preserve">Part 5: </w:t>
      </w:r>
      <w:r w:rsidR="00AD4E0B" w:rsidRPr="00A52AB8">
        <w:rPr>
          <w:b/>
          <w:color w:val="000000" w:themeColor="text1"/>
          <w:sz w:val="32"/>
          <w:szCs w:val="32"/>
          <w:lang w:eastAsia="ja-JP"/>
        </w:rPr>
        <w:t>Visual Volumetric Video-based Coding (V3C) and</w:t>
      </w:r>
      <w:r w:rsidR="00AD4E0B" w:rsidRPr="00A52AB8">
        <w:rPr>
          <w:b/>
          <w:color w:val="000000" w:themeColor="text1"/>
          <w:sz w:val="32"/>
          <w:szCs w:val="32"/>
        </w:rPr>
        <w:t xml:space="preserve"> </w:t>
      </w:r>
      <w:r w:rsidRPr="00A52AB8">
        <w:rPr>
          <w:b/>
          <w:color w:val="000000" w:themeColor="text1"/>
          <w:sz w:val="32"/>
          <w:szCs w:val="32"/>
        </w:rPr>
        <w:t>Video-based Point Cloud Compression</w:t>
      </w:r>
      <w:r w:rsidR="00AD4E0B" w:rsidRPr="00A52AB8">
        <w:rPr>
          <w:b/>
          <w:color w:val="000000" w:themeColor="text1"/>
          <w:sz w:val="32"/>
          <w:szCs w:val="32"/>
        </w:rPr>
        <w:t xml:space="preserve"> (V-PCC)</w:t>
      </w:r>
    </w:p>
    <w:p w14:paraId="16EEDDF5" w14:textId="1082D393" w:rsidR="001A33D0" w:rsidRPr="00A52AB8" w:rsidRDefault="001A33D0">
      <w:pPr>
        <w:pStyle w:val="Heading1"/>
        <w:rPr>
          <w:color w:val="000000" w:themeColor="text1"/>
        </w:rPr>
      </w:pPr>
      <w:bookmarkStart w:id="7" w:name="_Ref49198378"/>
      <w:bookmarkStart w:id="8" w:name="_Toc52181573"/>
      <w:r w:rsidRPr="00A52AB8">
        <w:rPr>
          <w:color w:val="000000" w:themeColor="text1"/>
        </w:rPr>
        <w:t>Scope</w:t>
      </w:r>
      <w:bookmarkEnd w:id="6"/>
      <w:bookmarkEnd w:id="7"/>
      <w:bookmarkEnd w:id="8"/>
    </w:p>
    <w:p w14:paraId="64C5C5FC" w14:textId="6D3D431E" w:rsidR="00333F06" w:rsidRPr="00A52AB8" w:rsidRDefault="00333F06">
      <w:pPr>
        <w:rPr>
          <w:color w:val="000000" w:themeColor="text1"/>
          <w:lang w:eastAsia="ja-JP"/>
        </w:rPr>
      </w:pPr>
      <w:r w:rsidRPr="00A52AB8">
        <w:rPr>
          <w:color w:val="000000" w:themeColor="text1"/>
        </w:rPr>
        <w:t xml:space="preserve">This document specifies the syntax, semantics, and decoding for visual volumetric media </w:t>
      </w:r>
      <w:r w:rsidR="00EA46AA" w:rsidRPr="00A52AB8">
        <w:rPr>
          <w:color w:val="000000" w:themeColor="text1"/>
        </w:rPr>
        <w:t>using video</w:t>
      </w:r>
      <w:r w:rsidR="00EA46AA" w:rsidRPr="00A52AB8">
        <w:rPr>
          <w:color w:val="000000" w:themeColor="text1"/>
        </w:rPr>
        <w:noBreakHyphen/>
        <w:t>based coding methods. Furthermore, this document specifies processes that may be needed for reconstruction of visual volumetric media, and may also include additional processes such as post</w:t>
      </w:r>
      <w:r w:rsidR="00EA46AA" w:rsidRPr="00A52AB8">
        <w:rPr>
          <w:color w:val="000000" w:themeColor="text1"/>
        </w:rPr>
        <w:noBreakHyphen/>
        <w:t xml:space="preserve">decoding, </w:t>
      </w:r>
      <w:r w:rsidR="005700C3" w:rsidRPr="00A52AB8">
        <w:rPr>
          <w:color w:val="000000" w:themeColor="text1"/>
        </w:rPr>
        <w:t xml:space="preserve">pre-reconstruction, </w:t>
      </w:r>
      <w:r w:rsidR="00EA46AA" w:rsidRPr="00A52AB8">
        <w:rPr>
          <w:color w:val="000000" w:themeColor="text1"/>
        </w:rPr>
        <w:t>post</w:t>
      </w:r>
      <w:r w:rsidR="00EA46AA" w:rsidRPr="00A52AB8">
        <w:rPr>
          <w:color w:val="000000" w:themeColor="text1"/>
        </w:rPr>
        <w:noBreakHyphen/>
        <w:t>reconstruction, and adaptation</w:t>
      </w:r>
      <w:r w:rsidR="00EA46AA" w:rsidRPr="00A52AB8">
        <w:rPr>
          <w:color w:val="000000" w:themeColor="text1"/>
          <w:lang w:eastAsia="ja-JP"/>
        </w:rPr>
        <w:t>.</w:t>
      </w:r>
    </w:p>
    <w:p w14:paraId="1249476A" w14:textId="776D5F70" w:rsidR="00052063" w:rsidRPr="00A52AB8" w:rsidRDefault="00052063">
      <w:pPr>
        <w:pStyle w:val="Heading1"/>
        <w:rPr>
          <w:color w:val="000000" w:themeColor="text1"/>
        </w:rPr>
      </w:pPr>
      <w:bookmarkStart w:id="9" w:name="_Ref18670923"/>
      <w:bookmarkStart w:id="10" w:name="_Toc52181574"/>
      <w:r w:rsidRPr="00A52AB8">
        <w:rPr>
          <w:color w:val="000000" w:themeColor="text1"/>
        </w:rPr>
        <w:t>Normative reference</w:t>
      </w:r>
      <w:bookmarkEnd w:id="9"/>
      <w:r w:rsidR="00EC5866" w:rsidRPr="00A52AB8">
        <w:rPr>
          <w:color w:val="000000" w:themeColor="text1"/>
        </w:rPr>
        <w:t>s</w:t>
      </w:r>
      <w:bookmarkEnd w:id="10"/>
    </w:p>
    <w:p w14:paraId="20457272" w14:textId="30410ECF" w:rsidR="00562549" w:rsidRPr="00A52AB8" w:rsidRDefault="000D636B" w:rsidP="00562549">
      <w:r w:rsidRPr="00A52AB8">
        <w:t>The following documents are referred to in the text in such a way that some or all of their content constitute requirements of this document. For dated references, only the edition cited applies. For undated references, the latest edition of the referenced document (including any amendments) applies.</w:t>
      </w:r>
    </w:p>
    <w:p w14:paraId="23443716" w14:textId="77777777" w:rsidR="003E2200" w:rsidRPr="00A52AB8" w:rsidRDefault="003E2BAC" w:rsidP="00973102">
      <w:pPr>
        <w:pStyle w:val="RefNorm"/>
        <w:rPr>
          <w:rFonts w:ascii="Cambria" w:hAnsi="Cambria"/>
          <w:i/>
          <w:iCs/>
          <w:lang w:val="en-CA"/>
        </w:rPr>
      </w:pPr>
      <w:r w:rsidRPr="00A52AB8">
        <w:rPr>
          <w:rFonts w:ascii="Cambria" w:hAnsi="Cambria"/>
          <w:lang w:val="en-CA"/>
        </w:rPr>
        <w:t>IEEE</w:t>
      </w:r>
      <w:r w:rsidR="00322564" w:rsidRPr="00A52AB8">
        <w:rPr>
          <w:rFonts w:ascii="Cambria" w:hAnsi="Cambria"/>
          <w:lang w:val="en-CA"/>
        </w:rPr>
        <w:t> </w:t>
      </w:r>
      <w:r w:rsidRPr="00A52AB8">
        <w:rPr>
          <w:rFonts w:ascii="Cambria" w:hAnsi="Cambria"/>
          <w:lang w:val="en-CA"/>
        </w:rPr>
        <w:t>754</w:t>
      </w:r>
      <w:r w:rsidR="001F5F0E" w:rsidRPr="00A52AB8">
        <w:rPr>
          <w:rFonts w:ascii="Cambria" w:hAnsi="Cambria"/>
          <w:lang w:val="en-CA"/>
        </w:rPr>
        <w:t>-2019</w:t>
      </w:r>
      <w:r w:rsidR="00EE6FD4" w:rsidRPr="00A52AB8">
        <w:rPr>
          <w:rFonts w:ascii="Cambria" w:hAnsi="Cambria"/>
          <w:lang w:val="en-CA"/>
        </w:rPr>
        <w:t xml:space="preserve">, </w:t>
      </w:r>
      <w:r w:rsidRPr="00A52AB8">
        <w:rPr>
          <w:rFonts w:ascii="Cambria" w:hAnsi="Cambria"/>
          <w:i/>
          <w:iCs/>
          <w:lang w:val="en-CA"/>
        </w:rPr>
        <w:t>IEEE Standard for Floating-Point Arithmetic</w:t>
      </w:r>
    </w:p>
    <w:p w14:paraId="0B021F43" w14:textId="5B4539A5" w:rsidR="00677577" w:rsidRPr="00A52AB8" w:rsidRDefault="00677577" w:rsidP="00B20A46">
      <w:pPr>
        <w:pStyle w:val="RefNorm"/>
        <w:rPr>
          <w:rFonts w:ascii="Cambria" w:hAnsi="Cambria"/>
          <w:lang w:val="en-CA"/>
        </w:rPr>
      </w:pPr>
      <w:r w:rsidRPr="00A52AB8">
        <w:rPr>
          <w:rFonts w:ascii="Cambria" w:hAnsi="Cambria"/>
          <w:lang w:val="en-CA"/>
        </w:rPr>
        <w:t>IETF</w:t>
      </w:r>
      <w:r w:rsidR="00977396" w:rsidRPr="00A52AB8">
        <w:rPr>
          <w:rFonts w:ascii="Cambria" w:hAnsi="Cambria"/>
          <w:lang w:val="en-CA"/>
        </w:rPr>
        <w:t> </w:t>
      </w:r>
      <w:r w:rsidRPr="00A52AB8">
        <w:rPr>
          <w:rFonts w:ascii="Cambria" w:hAnsi="Cambria"/>
          <w:lang w:val="en-CA"/>
        </w:rPr>
        <w:t xml:space="preserve">RFC 1321 (in force), </w:t>
      </w:r>
      <w:r w:rsidRPr="00A52AB8">
        <w:rPr>
          <w:rFonts w:ascii="Cambria" w:hAnsi="Cambria"/>
          <w:i/>
          <w:iCs/>
          <w:lang w:val="en-CA"/>
        </w:rPr>
        <w:t>The MD5 Message-Digest Algorithm</w:t>
      </w:r>
    </w:p>
    <w:p w14:paraId="6B75FFC4" w14:textId="58BE3F0F" w:rsidR="00677577" w:rsidRPr="00A52AB8" w:rsidRDefault="00677577" w:rsidP="00B20A46">
      <w:pPr>
        <w:pStyle w:val="RefNorm"/>
        <w:rPr>
          <w:rFonts w:ascii="Cambria" w:hAnsi="Cambria"/>
          <w:lang w:val="en-CA"/>
        </w:rPr>
      </w:pPr>
      <w:r w:rsidRPr="00A52AB8">
        <w:rPr>
          <w:rFonts w:ascii="Cambria" w:hAnsi="Cambria"/>
          <w:lang w:val="en-CA"/>
        </w:rPr>
        <w:t>IETF</w:t>
      </w:r>
      <w:r w:rsidR="00977396" w:rsidRPr="00A52AB8">
        <w:rPr>
          <w:rFonts w:ascii="Cambria" w:hAnsi="Cambria"/>
          <w:lang w:val="en-CA"/>
        </w:rPr>
        <w:t> </w:t>
      </w:r>
      <w:r w:rsidRPr="00A52AB8">
        <w:rPr>
          <w:rFonts w:ascii="Cambria" w:hAnsi="Cambria"/>
          <w:lang w:val="en-CA"/>
        </w:rPr>
        <w:t xml:space="preserve">RFC 5646 (in force), </w:t>
      </w:r>
      <w:r w:rsidRPr="00A52AB8">
        <w:rPr>
          <w:rFonts w:ascii="Cambria" w:hAnsi="Cambria"/>
          <w:i/>
          <w:iCs/>
          <w:lang w:val="en-CA"/>
        </w:rPr>
        <w:t>Tags for Identifying Languages</w:t>
      </w:r>
    </w:p>
    <w:p w14:paraId="28E1E569" w14:textId="77777777" w:rsidR="0019239C" w:rsidRPr="00A52AB8" w:rsidRDefault="0019239C" w:rsidP="0019239C">
      <w:pPr>
        <w:pStyle w:val="RefNorm"/>
        <w:rPr>
          <w:rFonts w:ascii="Cambria" w:hAnsi="Cambria"/>
          <w:lang w:val="en-CA"/>
        </w:rPr>
      </w:pPr>
      <w:r w:rsidRPr="00A52AB8">
        <w:rPr>
          <w:rFonts w:ascii="Cambria" w:hAnsi="Cambria"/>
          <w:lang w:val="en-CA"/>
        </w:rPr>
        <w:t>ISO/IEC</w:t>
      </w:r>
      <w:r w:rsidR="00D10D37" w:rsidRPr="00A52AB8">
        <w:rPr>
          <w:rFonts w:ascii="Cambria" w:hAnsi="Cambria"/>
          <w:lang w:val="en-CA"/>
        </w:rPr>
        <w:t> </w:t>
      </w:r>
      <w:r w:rsidRPr="00A52AB8">
        <w:rPr>
          <w:rFonts w:ascii="Cambria" w:hAnsi="Cambria"/>
          <w:lang w:val="en-CA"/>
        </w:rPr>
        <w:t xml:space="preserve">10646, </w:t>
      </w:r>
      <w:r w:rsidRPr="00A52AB8">
        <w:rPr>
          <w:rFonts w:ascii="Cambria" w:hAnsi="Cambria"/>
          <w:i/>
          <w:lang w:val="en-CA"/>
        </w:rPr>
        <w:t>Information technology —</w:t>
      </w:r>
      <w:r w:rsidRPr="00A52AB8">
        <w:rPr>
          <w:rFonts w:ascii="Cambria" w:hAnsi="Cambria"/>
          <w:lang w:val="en-CA"/>
        </w:rPr>
        <w:t> </w:t>
      </w:r>
      <w:r w:rsidRPr="00A52AB8">
        <w:rPr>
          <w:rFonts w:ascii="Cambria" w:hAnsi="Cambria"/>
          <w:i/>
          <w:lang w:val="en-CA"/>
        </w:rPr>
        <w:t>Universal Coded Character Set (UCS)</w:t>
      </w:r>
    </w:p>
    <w:p w14:paraId="4E3D6C98" w14:textId="77777777" w:rsidR="0050235C" w:rsidRPr="00A52AB8" w:rsidRDefault="005229F1" w:rsidP="002959DA">
      <w:pPr>
        <w:pStyle w:val="RefNorm"/>
        <w:rPr>
          <w:rFonts w:ascii="Cambria" w:hAnsi="Cambria"/>
          <w:i/>
          <w:lang w:val="en-CA"/>
        </w:rPr>
      </w:pPr>
      <w:r w:rsidRPr="00A52AB8">
        <w:rPr>
          <w:rFonts w:ascii="Cambria" w:hAnsi="Cambria"/>
          <w:lang w:val="en-CA"/>
        </w:rPr>
        <w:t xml:space="preserve">ISO/IEC 14496-10, </w:t>
      </w:r>
      <w:r w:rsidRPr="00A52AB8">
        <w:rPr>
          <w:rFonts w:ascii="Cambria" w:hAnsi="Cambria"/>
          <w:i/>
          <w:lang w:val="en-CA"/>
        </w:rPr>
        <w:t>Information technology —</w:t>
      </w:r>
      <w:r w:rsidR="00322564" w:rsidRPr="00A52AB8">
        <w:rPr>
          <w:rFonts w:ascii="Cambria" w:hAnsi="Cambria"/>
          <w:lang w:val="en-CA"/>
        </w:rPr>
        <w:t> </w:t>
      </w:r>
      <w:r w:rsidRPr="00A52AB8">
        <w:rPr>
          <w:rFonts w:ascii="Cambria" w:hAnsi="Cambria"/>
          <w:i/>
          <w:lang w:val="en-CA"/>
        </w:rPr>
        <w:t>Coding of audio-visual objects</w:t>
      </w:r>
      <w:r w:rsidR="00B763D2" w:rsidRPr="00A52AB8">
        <w:rPr>
          <w:rFonts w:ascii="Cambria" w:hAnsi="Cambria"/>
          <w:lang w:val="en-CA"/>
        </w:rPr>
        <w:t> </w:t>
      </w:r>
      <w:r w:rsidRPr="00A52AB8">
        <w:rPr>
          <w:rFonts w:ascii="Cambria" w:hAnsi="Cambria"/>
          <w:i/>
          <w:lang w:val="en-CA"/>
        </w:rPr>
        <w:t>—</w:t>
      </w:r>
      <w:r w:rsidR="00B763D2" w:rsidRPr="00A52AB8">
        <w:rPr>
          <w:rFonts w:ascii="Cambria" w:hAnsi="Cambria"/>
          <w:lang w:val="en-CA"/>
        </w:rPr>
        <w:t> </w:t>
      </w:r>
      <w:r w:rsidRPr="00A52AB8">
        <w:rPr>
          <w:rFonts w:ascii="Cambria" w:hAnsi="Cambria"/>
          <w:i/>
          <w:lang w:val="en-CA"/>
        </w:rPr>
        <w:t>Part 10: Advanced Video Coding</w:t>
      </w:r>
    </w:p>
    <w:p w14:paraId="6A3524D7" w14:textId="4C28A48C" w:rsidR="002959DA" w:rsidRPr="00A52AB8" w:rsidRDefault="002959DA" w:rsidP="002959DA">
      <w:pPr>
        <w:rPr>
          <w:sz w:val="20"/>
          <w:szCs w:val="20"/>
        </w:rPr>
      </w:pPr>
      <w:r w:rsidRPr="00A52AB8">
        <w:rPr>
          <w:rFonts w:eastAsia="MS Mincho" w:cs="Arial"/>
          <w:sz w:val="20"/>
          <w:szCs w:val="20"/>
          <w:lang w:eastAsia="ja-JP"/>
        </w:rPr>
        <w:t xml:space="preserve">ISO/IEC 14496-12, </w:t>
      </w:r>
      <w:r w:rsidRPr="00A52AB8">
        <w:rPr>
          <w:rFonts w:eastAsia="MS Mincho" w:cs="Arial"/>
          <w:i/>
          <w:sz w:val="20"/>
          <w:szCs w:val="20"/>
          <w:lang w:eastAsia="ja-JP"/>
        </w:rPr>
        <w:t>Information technology — Coding of audio-visual objects — Part 12: ISO base media file format</w:t>
      </w:r>
    </w:p>
    <w:p w14:paraId="2BB0498C" w14:textId="77777777" w:rsidR="00A25C74" w:rsidRPr="00A52AB8" w:rsidRDefault="00A25C74" w:rsidP="003819BE">
      <w:pPr>
        <w:rPr>
          <w:sz w:val="20"/>
          <w:szCs w:val="20"/>
        </w:rPr>
      </w:pPr>
      <w:r w:rsidRPr="00A52AB8">
        <w:rPr>
          <w:rFonts w:eastAsia="MS Mincho" w:cs="Arial"/>
          <w:sz w:val="20"/>
          <w:szCs w:val="20"/>
          <w:lang w:eastAsia="ja-JP"/>
        </w:rPr>
        <w:t>ISO/IEC</w:t>
      </w:r>
      <w:r w:rsidR="00D10D37" w:rsidRPr="00A52AB8">
        <w:rPr>
          <w:rFonts w:eastAsia="MS Mincho" w:cs="Arial"/>
          <w:sz w:val="20"/>
          <w:szCs w:val="20"/>
          <w:lang w:eastAsia="ja-JP"/>
        </w:rPr>
        <w:t> </w:t>
      </w:r>
      <w:r w:rsidRPr="00A52AB8">
        <w:rPr>
          <w:rFonts w:eastAsia="MS Mincho" w:cs="Arial"/>
          <w:sz w:val="20"/>
          <w:szCs w:val="20"/>
          <w:lang w:eastAsia="ja-JP"/>
        </w:rPr>
        <w:t>14496-15</w:t>
      </w:r>
      <w:r w:rsidR="00A81503" w:rsidRPr="00A52AB8">
        <w:rPr>
          <w:rFonts w:eastAsia="MS Mincho" w:cs="Arial"/>
          <w:sz w:val="20"/>
          <w:szCs w:val="20"/>
          <w:lang w:eastAsia="ja-JP"/>
        </w:rPr>
        <w:t xml:space="preserve">, </w:t>
      </w:r>
      <w:r w:rsidR="00A81503" w:rsidRPr="00A52AB8">
        <w:rPr>
          <w:rFonts w:eastAsia="MS Mincho" w:cs="Arial"/>
          <w:i/>
          <w:sz w:val="20"/>
          <w:szCs w:val="20"/>
          <w:lang w:eastAsia="ja-JP"/>
        </w:rPr>
        <w:t>Information technology — Coding of audio-visual objects — Part</w:t>
      </w:r>
      <w:r w:rsidR="00D10D37" w:rsidRPr="00A52AB8">
        <w:rPr>
          <w:rFonts w:eastAsia="MS Mincho" w:cs="Arial"/>
          <w:i/>
          <w:sz w:val="20"/>
          <w:szCs w:val="20"/>
          <w:lang w:eastAsia="ja-JP"/>
        </w:rPr>
        <w:t> </w:t>
      </w:r>
      <w:r w:rsidR="00A81503" w:rsidRPr="00A52AB8">
        <w:rPr>
          <w:rFonts w:eastAsia="MS Mincho" w:cs="Arial"/>
          <w:i/>
          <w:sz w:val="20"/>
          <w:szCs w:val="20"/>
          <w:lang w:eastAsia="ja-JP"/>
        </w:rPr>
        <w:t>15: Carriage of network abstraction layer (NAL) unit structured video in the ISO base media file format</w:t>
      </w:r>
    </w:p>
    <w:p w14:paraId="25023E47" w14:textId="77777777" w:rsidR="005229F1" w:rsidRPr="00A52AB8" w:rsidRDefault="005229F1" w:rsidP="003861A1">
      <w:pPr>
        <w:pStyle w:val="RefNorm"/>
        <w:rPr>
          <w:rFonts w:ascii="Cambria" w:hAnsi="Cambria"/>
          <w:i/>
          <w:lang w:val="en-CA"/>
        </w:rPr>
      </w:pPr>
      <w:r w:rsidRPr="00A52AB8">
        <w:rPr>
          <w:rFonts w:ascii="Cambria" w:hAnsi="Cambria"/>
          <w:lang w:val="en-CA"/>
        </w:rPr>
        <w:t xml:space="preserve">ISO/IEC 23008-2, </w:t>
      </w:r>
      <w:r w:rsidRPr="00A52AB8">
        <w:rPr>
          <w:rFonts w:ascii="Cambria" w:hAnsi="Cambria"/>
          <w:i/>
          <w:lang w:val="en-CA"/>
        </w:rPr>
        <w:t>Information technology —</w:t>
      </w:r>
      <w:r w:rsidR="00322564" w:rsidRPr="00A52AB8">
        <w:rPr>
          <w:rFonts w:ascii="Cambria" w:hAnsi="Cambria"/>
          <w:lang w:val="en-CA"/>
        </w:rPr>
        <w:t> </w:t>
      </w:r>
      <w:r w:rsidRPr="00A52AB8">
        <w:rPr>
          <w:rFonts w:ascii="Cambria" w:hAnsi="Cambria"/>
          <w:i/>
          <w:lang w:val="en-CA"/>
        </w:rPr>
        <w:t>High efficiency coding and media delivery in heterogeneous environments —</w:t>
      </w:r>
      <w:r w:rsidR="00B763D2" w:rsidRPr="00A52AB8">
        <w:rPr>
          <w:rFonts w:ascii="Cambria" w:hAnsi="Cambria"/>
          <w:lang w:val="en-CA"/>
        </w:rPr>
        <w:t> </w:t>
      </w:r>
      <w:r w:rsidRPr="00A52AB8">
        <w:rPr>
          <w:rFonts w:ascii="Cambria" w:hAnsi="Cambria"/>
          <w:i/>
          <w:lang w:val="en-CA"/>
        </w:rPr>
        <w:t>Part 2: High efficiency video coding</w:t>
      </w:r>
    </w:p>
    <w:p w14:paraId="621BE908" w14:textId="4EDC321D" w:rsidR="00FF77C2" w:rsidRPr="00A52AB8" w:rsidRDefault="00FF77C2" w:rsidP="00FF77C2">
      <w:pPr>
        <w:pStyle w:val="RefNorm"/>
        <w:rPr>
          <w:rFonts w:ascii="Cambria" w:hAnsi="Cambria"/>
          <w:i/>
          <w:lang w:val="en-CA"/>
        </w:rPr>
      </w:pPr>
      <w:r w:rsidRPr="00A52AB8">
        <w:rPr>
          <w:rFonts w:ascii="Cambria" w:hAnsi="Cambria"/>
          <w:lang w:val="en-CA"/>
        </w:rPr>
        <w:t>ISO/IEC </w:t>
      </w:r>
      <w:r w:rsidR="00C66DAF" w:rsidRPr="00A52AB8">
        <w:rPr>
          <w:rFonts w:ascii="Cambria" w:hAnsi="Cambria"/>
          <w:lang w:val="en-CA"/>
        </w:rPr>
        <w:t>DIS </w:t>
      </w:r>
      <w:r w:rsidRPr="00A52AB8">
        <w:rPr>
          <w:rFonts w:ascii="Cambria" w:hAnsi="Cambria"/>
          <w:lang w:val="en-CA"/>
        </w:rPr>
        <w:t xml:space="preserve">23090-3, </w:t>
      </w:r>
      <w:r w:rsidR="002C02A5" w:rsidRPr="00A52AB8">
        <w:rPr>
          <w:rFonts w:ascii="Cambria" w:hAnsi="Cambria"/>
          <w:i/>
          <w:lang w:val="en-CA"/>
        </w:rPr>
        <w:t>Information technology —</w:t>
      </w:r>
      <w:r w:rsidR="002C02A5" w:rsidRPr="00A52AB8">
        <w:rPr>
          <w:rFonts w:ascii="Cambria" w:hAnsi="Cambria"/>
          <w:lang w:val="en-CA"/>
        </w:rPr>
        <w:t> </w:t>
      </w:r>
      <w:r w:rsidR="002C02A5" w:rsidRPr="00A52AB8">
        <w:rPr>
          <w:rFonts w:ascii="Cambria" w:hAnsi="Cambria"/>
          <w:i/>
          <w:lang w:val="en-CA"/>
        </w:rPr>
        <w:t>Coded representation of immersive media —</w:t>
      </w:r>
      <w:r w:rsidR="002C02A5" w:rsidRPr="00A52AB8">
        <w:rPr>
          <w:rFonts w:ascii="Cambria" w:hAnsi="Cambria"/>
          <w:lang w:val="en-CA"/>
        </w:rPr>
        <w:t> </w:t>
      </w:r>
      <w:r w:rsidR="002C02A5" w:rsidRPr="00A52AB8">
        <w:rPr>
          <w:rFonts w:ascii="Cambria" w:hAnsi="Cambria"/>
          <w:i/>
          <w:lang w:val="en-CA"/>
        </w:rPr>
        <w:t>Part 3: Versatile video coding</w:t>
      </w:r>
      <w:r w:rsidR="00C86ACE" w:rsidRPr="00A52AB8">
        <w:rPr>
          <w:rStyle w:val="FootnoteReference"/>
          <w:rFonts w:ascii="Cambria" w:hAnsi="Cambria"/>
          <w:i/>
          <w:lang w:val="en-CA"/>
        </w:rPr>
        <w:footnoteReference w:id="2"/>
      </w:r>
    </w:p>
    <w:p w14:paraId="63C7BD6F" w14:textId="77777777" w:rsidR="00B21280" w:rsidRPr="00A52AB8" w:rsidRDefault="00B21280" w:rsidP="004A6049">
      <w:r w:rsidRPr="00A52AB8">
        <w:rPr>
          <w:sz w:val="20"/>
          <w:szCs w:val="20"/>
          <w:lang w:eastAsia="ja-JP"/>
        </w:rPr>
        <w:t xml:space="preserve">ISO/IEC 23091-2, </w:t>
      </w:r>
      <w:r w:rsidRPr="00A52AB8">
        <w:rPr>
          <w:i/>
          <w:iCs/>
          <w:sz w:val="20"/>
          <w:szCs w:val="20"/>
          <w:lang w:eastAsia="ja-JP"/>
        </w:rPr>
        <w:t>Coding-independent code points for video signal type identification</w:t>
      </w:r>
    </w:p>
    <w:p w14:paraId="00BB29E3" w14:textId="77777777" w:rsidR="00677577" w:rsidRPr="00A52AB8" w:rsidRDefault="00677577" w:rsidP="00677577">
      <w:pPr>
        <w:rPr>
          <w:i/>
          <w:iCs/>
          <w:sz w:val="20"/>
          <w:szCs w:val="20"/>
          <w:lang w:eastAsia="ja-JP"/>
        </w:rPr>
      </w:pPr>
      <w:r w:rsidRPr="00A52AB8">
        <w:rPr>
          <w:sz w:val="20"/>
          <w:szCs w:val="20"/>
          <w:lang w:eastAsia="ja-JP"/>
        </w:rPr>
        <w:t xml:space="preserve">Rec. ITU-T T.35:2000, </w:t>
      </w:r>
      <w:r w:rsidRPr="00A52AB8">
        <w:rPr>
          <w:i/>
          <w:iCs/>
          <w:sz w:val="20"/>
          <w:szCs w:val="20"/>
          <w:lang w:eastAsia="ja-JP"/>
        </w:rPr>
        <w:t>Procedure for the allocation of ITU-T defined codes for non standard facilities</w:t>
      </w:r>
    </w:p>
    <w:p w14:paraId="2742A5C9" w14:textId="77777777" w:rsidR="002959DA" w:rsidRPr="00A52AB8" w:rsidRDefault="002959DA" w:rsidP="004A6049">
      <w:r w:rsidRPr="00A52AB8">
        <w:rPr>
          <w:sz w:val="20"/>
          <w:szCs w:val="20"/>
          <w:lang w:eastAsia="ja-JP"/>
        </w:rPr>
        <w:t xml:space="preserve">Rec. ITU-T H.271:2006, </w:t>
      </w:r>
      <w:r w:rsidRPr="00A52AB8">
        <w:rPr>
          <w:i/>
          <w:iCs/>
          <w:sz w:val="20"/>
          <w:szCs w:val="20"/>
          <w:lang w:eastAsia="ja-JP"/>
        </w:rPr>
        <w:t>Video back-channel messages for conveyance of status information and requests from a video receiver to a video sender</w:t>
      </w:r>
    </w:p>
    <w:p w14:paraId="42DECBF7" w14:textId="24E9D90A" w:rsidR="001A33D0" w:rsidRPr="00A52AB8" w:rsidRDefault="001A33D0">
      <w:pPr>
        <w:pStyle w:val="Heading1"/>
        <w:rPr>
          <w:color w:val="000000" w:themeColor="text1"/>
        </w:rPr>
      </w:pPr>
      <w:bookmarkStart w:id="11" w:name="_Toc38318939"/>
      <w:bookmarkStart w:id="12" w:name="_Toc38354485"/>
      <w:bookmarkStart w:id="13" w:name="_Toc38890634"/>
      <w:bookmarkStart w:id="14" w:name="_Toc39425219"/>
      <w:bookmarkStart w:id="15" w:name="_Toc353342671"/>
      <w:bookmarkStart w:id="16" w:name="_Ref38313941"/>
      <w:bookmarkStart w:id="17" w:name="_Ref38313948"/>
      <w:bookmarkStart w:id="18" w:name="_Toc52181575"/>
      <w:bookmarkEnd w:id="11"/>
      <w:bookmarkEnd w:id="12"/>
      <w:bookmarkEnd w:id="13"/>
      <w:bookmarkEnd w:id="14"/>
      <w:r w:rsidRPr="00A52AB8">
        <w:rPr>
          <w:color w:val="000000" w:themeColor="text1"/>
        </w:rPr>
        <w:t>Terms and definitions</w:t>
      </w:r>
      <w:bookmarkEnd w:id="15"/>
      <w:bookmarkEnd w:id="16"/>
      <w:bookmarkEnd w:id="17"/>
      <w:bookmarkEnd w:id="18"/>
    </w:p>
    <w:p w14:paraId="78438DB1" w14:textId="77777777" w:rsidR="001B5607" w:rsidRPr="00A52AB8" w:rsidRDefault="001B5607" w:rsidP="001B5607">
      <w:pPr>
        <w:pStyle w:val="BodyText"/>
      </w:pPr>
      <w:r w:rsidRPr="00A52AB8">
        <w:t>For the purposes of this document, the following terms and definitions apply.</w:t>
      </w:r>
    </w:p>
    <w:p w14:paraId="529FC86B" w14:textId="77777777" w:rsidR="001B5607" w:rsidRPr="00A52AB8" w:rsidRDefault="001B5607" w:rsidP="001B5607">
      <w:pPr>
        <w:pStyle w:val="BodyText"/>
        <w:rPr>
          <w:sz w:val="24"/>
          <w:szCs w:val="24"/>
        </w:rPr>
      </w:pPr>
      <w:r w:rsidRPr="00A52AB8">
        <w:t>ISO and IEC maintain terminological databases for use in standardization at the following addresses:</w:t>
      </w:r>
    </w:p>
    <w:p w14:paraId="56D89A4B" w14:textId="65FB25BD" w:rsidR="001B5607" w:rsidRPr="00496A4D" w:rsidRDefault="001B5607" w:rsidP="001B5607">
      <w:pPr>
        <w:pStyle w:val="ListContinue1"/>
        <w:rPr>
          <w:rStyle w:val="Hyperlink"/>
          <w:lang w:val="en-CA"/>
        </w:rPr>
      </w:pPr>
      <w:r w:rsidRPr="00496A4D">
        <w:t>—</w:t>
      </w:r>
      <w:r w:rsidRPr="00A52AB8">
        <w:tab/>
        <w:t xml:space="preserve">ISO Online browsing platform: available at </w:t>
      </w:r>
      <w:hyperlink r:id="rId21" w:history="1">
        <w:r w:rsidRPr="00A52AB8">
          <w:rPr>
            <w:rStyle w:val="Hyperlink"/>
            <w:lang w:val="en-CA"/>
          </w:rPr>
          <w:t>https://www.iso.org/obp</w:t>
        </w:r>
      </w:hyperlink>
    </w:p>
    <w:p w14:paraId="4EA41EE4" w14:textId="6EE3A750" w:rsidR="001B5607" w:rsidRPr="00A52AB8" w:rsidRDefault="001B5607" w:rsidP="001B5607">
      <w:pPr>
        <w:pStyle w:val="ListContinue1"/>
        <w:rPr>
          <w:rStyle w:val="Hyperlink"/>
          <w:lang w:val="en-CA"/>
        </w:rPr>
      </w:pPr>
      <w:r w:rsidRPr="00496A4D">
        <w:lastRenderedPageBreak/>
        <w:t>—</w:t>
      </w:r>
      <w:r w:rsidRPr="00A52AB8">
        <w:tab/>
        <w:t xml:space="preserve">IEC Electropedia: available at </w:t>
      </w:r>
      <w:hyperlink r:id="rId22" w:history="1">
        <w:r w:rsidRPr="00A52AB8">
          <w:rPr>
            <w:rStyle w:val="Hyperlink"/>
            <w:lang w:val="en-CA"/>
          </w:rPr>
          <w:t>http://www.electropedia.org/</w:t>
        </w:r>
      </w:hyperlink>
    </w:p>
    <w:p w14:paraId="0941DD09" w14:textId="77777777" w:rsidR="00727001" w:rsidRPr="00A52AB8" w:rsidRDefault="00727001" w:rsidP="00E72F7E">
      <w:pPr>
        <w:pStyle w:val="TermHeading"/>
      </w:pPr>
    </w:p>
    <w:p w14:paraId="3EC94B55" w14:textId="77777777" w:rsidR="00727001" w:rsidRPr="00A52AB8" w:rsidRDefault="00727001" w:rsidP="00727001">
      <w:pPr>
        <w:pStyle w:val="Terms"/>
        <w:rPr>
          <w:color w:val="000000" w:themeColor="text1"/>
        </w:rPr>
      </w:pPr>
      <w:r w:rsidRPr="00A52AB8">
        <w:rPr>
          <w:bCs/>
        </w:rPr>
        <w:t>3D bounding box</w:t>
      </w:r>
    </w:p>
    <w:p w14:paraId="4B5BC409" w14:textId="66278ECB" w:rsidR="00727001" w:rsidRPr="00A52AB8" w:rsidRDefault="00727001" w:rsidP="00727001">
      <w:pPr>
        <w:pStyle w:val="Definition"/>
        <w:rPr>
          <w:color w:val="000000" w:themeColor="text1"/>
        </w:rPr>
      </w:pPr>
      <w:r w:rsidRPr="00A52AB8">
        <w:t xml:space="preserve">volume </w:t>
      </w:r>
      <w:r w:rsidR="00B21280" w:rsidRPr="00A52AB8">
        <w:t xml:space="preserve">defined as </w:t>
      </w:r>
      <w:r w:rsidRPr="00A52AB8">
        <w:t xml:space="preserve">a </w:t>
      </w:r>
      <w:r w:rsidR="004A089B" w:rsidRPr="00A52AB8">
        <w:t xml:space="preserve">cuboid </w:t>
      </w:r>
      <w:r w:rsidRPr="00A52AB8">
        <w:t xml:space="preserve">solid </w:t>
      </w:r>
      <w:r w:rsidR="004A089B" w:rsidRPr="00A52AB8">
        <w:t xml:space="preserve">having </w:t>
      </w:r>
      <w:r w:rsidRPr="00A52AB8">
        <w:t xml:space="preserve">six rectangular faces </w:t>
      </w:r>
      <w:r w:rsidR="004A089B" w:rsidRPr="00A52AB8">
        <w:t xml:space="preserve">placed </w:t>
      </w:r>
      <w:r w:rsidRPr="00A52AB8">
        <w:t>at right angle</w:t>
      </w:r>
      <w:r w:rsidR="00B21280" w:rsidRPr="00A52AB8">
        <w:t>s</w:t>
      </w:r>
    </w:p>
    <w:p w14:paraId="1A7C640A" w14:textId="77777777" w:rsidR="00564EF6" w:rsidRPr="00A52AB8" w:rsidRDefault="00564EF6" w:rsidP="00E72F7E">
      <w:pPr>
        <w:pStyle w:val="TermHeading"/>
      </w:pPr>
      <w:bookmarkStart w:id="19" w:name="_Ref48818098"/>
    </w:p>
    <w:bookmarkEnd w:id="19"/>
    <w:p w14:paraId="31169426" w14:textId="77777777" w:rsidR="00564EF6" w:rsidRPr="00A52AB8" w:rsidRDefault="00564EF6" w:rsidP="00564EF6">
      <w:pPr>
        <w:pStyle w:val="Terms"/>
        <w:rPr>
          <w:color w:val="000000" w:themeColor="text1"/>
        </w:rPr>
      </w:pPr>
      <w:r w:rsidRPr="00A52AB8">
        <w:rPr>
          <w:bCs/>
        </w:rPr>
        <w:t>associated non-ACL NAL unit</w:t>
      </w:r>
    </w:p>
    <w:p w14:paraId="4A3E3857" w14:textId="7F1B036C" w:rsidR="00564EF6" w:rsidRPr="00A52AB8" w:rsidRDefault="00564EF6" w:rsidP="00564EF6">
      <w:pPr>
        <w:pStyle w:val="Definition"/>
        <w:rPr>
          <w:color w:val="000000" w:themeColor="text1"/>
        </w:rPr>
      </w:pPr>
      <w:r w:rsidRPr="00A52AB8">
        <w:rPr>
          <w:i/>
          <w:iCs/>
        </w:rPr>
        <w:t>non-ACL NAL unit</w:t>
      </w:r>
      <w:r w:rsidR="007F6786" w:rsidRPr="00A52AB8">
        <w:t xml:space="preserve"> (</w:t>
      </w:r>
      <w:r w:rsidR="007F6786" w:rsidRPr="00496A4D">
        <w:fldChar w:fldCharType="begin"/>
      </w:r>
      <w:r w:rsidR="007F6786" w:rsidRPr="00A52AB8">
        <w:instrText xml:space="preserve"> REF _Ref49013866 \n \h </w:instrText>
      </w:r>
      <w:r w:rsidR="00007BE2" w:rsidRPr="00A52AB8">
        <w:instrText xml:space="preserve"> \* MERGEFORMAT </w:instrText>
      </w:r>
      <w:r w:rsidR="007F6786" w:rsidRPr="00496A4D">
        <w:fldChar w:fldCharType="separate"/>
      </w:r>
      <w:r w:rsidR="00507A67">
        <w:t>3.86</w:t>
      </w:r>
      <w:r w:rsidR="007F6786" w:rsidRPr="00496A4D">
        <w:fldChar w:fldCharType="end"/>
      </w:r>
      <w:r w:rsidR="007F6786" w:rsidRPr="00A52AB8">
        <w:t>)</w:t>
      </w:r>
      <w:r w:rsidRPr="00A52AB8">
        <w:t xml:space="preserve"> </w:t>
      </w:r>
      <w:r w:rsidR="007F6786" w:rsidRPr="00A52AB8">
        <w:t>that is</w:t>
      </w:r>
      <w:r w:rsidRPr="00A52AB8">
        <w:t xml:space="preserve"> associated </w:t>
      </w:r>
      <w:r w:rsidR="007F6786" w:rsidRPr="00A52AB8">
        <w:t>with an</w:t>
      </w:r>
      <w:r w:rsidR="007F6786" w:rsidRPr="00A52AB8">
        <w:rPr>
          <w:i/>
          <w:iCs/>
        </w:rPr>
        <w:t xml:space="preserve"> </w:t>
      </w:r>
      <w:r w:rsidRPr="00A52AB8">
        <w:rPr>
          <w:i/>
          <w:iCs/>
        </w:rPr>
        <w:t>ACL NAL unit</w:t>
      </w:r>
      <w:r w:rsidRPr="00A52AB8">
        <w:t xml:space="preserve"> </w:t>
      </w:r>
      <w:r w:rsidR="00852261" w:rsidRPr="00A52AB8">
        <w:t>(</w:t>
      </w:r>
      <w:r w:rsidR="007F6786" w:rsidRPr="00496A4D">
        <w:fldChar w:fldCharType="begin"/>
      </w:r>
      <w:r w:rsidR="007F6786" w:rsidRPr="00A52AB8">
        <w:instrText xml:space="preserve"> REF _Ref49013819 \n \h </w:instrText>
      </w:r>
      <w:r w:rsidR="00007BE2" w:rsidRPr="00A52AB8">
        <w:instrText xml:space="preserve"> \* MERGEFORMAT </w:instrText>
      </w:r>
      <w:r w:rsidR="007F6786" w:rsidRPr="00496A4D">
        <w:fldChar w:fldCharType="separate"/>
      </w:r>
      <w:r w:rsidR="00507A67">
        <w:t>3.6</w:t>
      </w:r>
      <w:r w:rsidR="007F6786" w:rsidRPr="00496A4D">
        <w:fldChar w:fldCharType="end"/>
      </w:r>
      <w:r w:rsidR="00852261" w:rsidRPr="00A52AB8">
        <w:t xml:space="preserve">) </w:t>
      </w:r>
      <w:r w:rsidR="007F6786" w:rsidRPr="00A52AB8">
        <w:t>for the purpose of decoding or other operations specified by this document</w:t>
      </w:r>
    </w:p>
    <w:p w14:paraId="500446D5" w14:textId="77777777" w:rsidR="00564EF6" w:rsidRPr="00A52AB8" w:rsidRDefault="00564EF6" w:rsidP="00E72F7E">
      <w:pPr>
        <w:pStyle w:val="TermHeading"/>
      </w:pPr>
      <w:bookmarkStart w:id="20" w:name="_Ref48754207"/>
    </w:p>
    <w:bookmarkEnd w:id="20"/>
    <w:p w14:paraId="4F1E426E" w14:textId="77777777" w:rsidR="00564EF6" w:rsidRPr="00A52AB8" w:rsidRDefault="00564EF6" w:rsidP="00564EF6">
      <w:pPr>
        <w:pStyle w:val="Terms"/>
        <w:rPr>
          <w:color w:val="000000" w:themeColor="text1"/>
        </w:rPr>
      </w:pPr>
      <w:r w:rsidRPr="00A52AB8">
        <w:rPr>
          <w:bCs/>
        </w:rPr>
        <w:t>associated ACL NAL unit</w:t>
      </w:r>
    </w:p>
    <w:p w14:paraId="56E742C3" w14:textId="1F6484AE" w:rsidR="00564EF6" w:rsidRPr="00A52AB8" w:rsidRDefault="00564EF6" w:rsidP="00564EF6">
      <w:pPr>
        <w:pStyle w:val="Definition"/>
      </w:pPr>
      <w:r w:rsidRPr="00A52AB8">
        <w:t xml:space="preserve">preceding </w:t>
      </w:r>
      <w:r w:rsidRPr="00A52AB8">
        <w:rPr>
          <w:i/>
          <w:iCs/>
        </w:rPr>
        <w:t>ACL NAL unit</w:t>
      </w:r>
      <w:r w:rsidRPr="00A52AB8">
        <w:t xml:space="preserve"> </w:t>
      </w:r>
      <w:r w:rsidR="00023477" w:rsidRPr="00A52AB8">
        <w:t>(</w:t>
      </w:r>
      <w:r w:rsidR="00023477" w:rsidRPr="00496A4D">
        <w:fldChar w:fldCharType="begin"/>
      </w:r>
      <w:r w:rsidR="00023477" w:rsidRPr="00A52AB8">
        <w:instrText xml:space="preserve"> REF _Ref49013819 \n \h </w:instrText>
      </w:r>
      <w:r w:rsidR="007478BA" w:rsidRPr="00A52AB8">
        <w:instrText xml:space="preserve"> \* MERGEFORMAT </w:instrText>
      </w:r>
      <w:r w:rsidR="00023477" w:rsidRPr="00496A4D">
        <w:fldChar w:fldCharType="separate"/>
      </w:r>
      <w:r w:rsidR="00507A67">
        <w:t>3.6</w:t>
      </w:r>
      <w:r w:rsidR="00023477" w:rsidRPr="00496A4D">
        <w:fldChar w:fldCharType="end"/>
      </w:r>
      <w:r w:rsidR="00023477" w:rsidRPr="00A52AB8">
        <w:t xml:space="preserve">) </w:t>
      </w:r>
      <w:r w:rsidRPr="00A52AB8">
        <w:t xml:space="preserve">in decoding order for a </w:t>
      </w:r>
      <w:r w:rsidRPr="00A52AB8">
        <w:rPr>
          <w:i/>
          <w:iCs/>
        </w:rPr>
        <w:t>non-ACL NAL unit</w:t>
      </w:r>
      <w:r w:rsidRPr="00A52AB8">
        <w:t xml:space="preserve"> </w:t>
      </w:r>
      <w:r w:rsidR="00023477" w:rsidRPr="00A52AB8">
        <w:t>(</w:t>
      </w:r>
      <w:r w:rsidR="00023477" w:rsidRPr="00496A4D">
        <w:fldChar w:fldCharType="begin"/>
      </w:r>
      <w:r w:rsidR="00023477" w:rsidRPr="00A52AB8">
        <w:instrText xml:space="preserve"> REF _Ref49013866 \n \h </w:instrText>
      </w:r>
      <w:r w:rsidR="007478BA" w:rsidRPr="00A52AB8">
        <w:instrText xml:space="preserve"> \* MERGEFORMAT </w:instrText>
      </w:r>
      <w:r w:rsidR="00023477" w:rsidRPr="00496A4D">
        <w:fldChar w:fldCharType="separate"/>
      </w:r>
      <w:r w:rsidR="00507A67">
        <w:t>3.86</w:t>
      </w:r>
      <w:r w:rsidR="00023477" w:rsidRPr="00496A4D">
        <w:fldChar w:fldCharType="end"/>
      </w:r>
      <w:r w:rsidR="00023477" w:rsidRPr="00A52AB8">
        <w:t xml:space="preserve">) </w:t>
      </w:r>
      <w:r w:rsidRPr="00A52AB8">
        <w:t xml:space="preserve">with nal_unit_type equal to NAL_EOS, NAL_EOB, NAL_FD, NAL_SUFFIX_NSEI, or NAL_SUFFIX_ESEI, or in the ranges of NAL_RSV_NACL_48..NAL_RSV_NACL_52 or NAL_UNSPEC_53..NAL_UNSPEC_63; or otherwise the next </w:t>
      </w:r>
      <w:r w:rsidRPr="00A52AB8">
        <w:rPr>
          <w:i/>
          <w:iCs/>
        </w:rPr>
        <w:t>ACL NAL unit</w:t>
      </w:r>
      <w:r w:rsidRPr="00A52AB8">
        <w:t xml:space="preserve"> </w:t>
      </w:r>
      <w:r w:rsidR="00023477" w:rsidRPr="00A52AB8">
        <w:t>(</w:t>
      </w:r>
      <w:r w:rsidR="00023477" w:rsidRPr="00496A4D">
        <w:fldChar w:fldCharType="begin"/>
      </w:r>
      <w:r w:rsidR="00023477" w:rsidRPr="00A52AB8">
        <w:instrText xml:space="preserve"> REF _Ref49013819 \n \h </w:instrText>
      </w:r>
      <w:r w:rsidR="007478BA" w:rsidRPr="00A52AB8">
        <w:instrText xml:space="preserve"> \* MERGEFORMAT </w:instrText>
      </w:r>
      <w:r w:rsidR="00023477" w:rsidRPr="00496A4D">
        <w:fldChar w:fldCharType="separate"/>
      </w:r>
      <w:r w:rsidR="00507A67">
        <w:t>3.6</w:t>
      </w:r>
      <w:r w:rsidR="00023477" w:rsidRPr="00496A4D">
        <w:fldChar w:fldCharType="end"/>
      </w:r>
      <w:r w:rsidR="00023477" w:rsidRPr="00A52AB8">
        <w:t xml:space="preserve">) </w:t>
      </w:r>
      <w:r w:rsidRPr="00A52AB8">
        <w:t>in decoding order</w:t>
      </w:r>
    </w:p>
    <w:p w14:paraId="00F913A7" w14:textId="77777777" w:rsidR="00564EF6" w:rsidRPr="00A52AB8" w:rsidRDefault="00564EF6" w:rsidP="00E72F7E">
      <w:pPr>
        <w:pStyle w:val="TermHeading"/>
      </w:pPr>
      <w:bookmarkStart w:id="21" w:name="_Ref47524403"/>
    </w:p>
    <w:bookmarkEnd w:id="21"/>
    <w:p w14:paraId="6E7394DA" w14:textId="77777777" w:rsidR="00564EF6" w:rsidRPr="00A52AB8" w:rsidRDefault="00564EF6" w:rsidP="00564EF6">
      <w:pPr>
        <w:pStyle w:val="Terms"/>
        <w:rPr>
          <w:color w:val="000000" w:themeColor="text1"/>
        </w:rPr>
      </w:pPr>
      <w:r w:rsidRPr="00A52AB8">
        <w:rPr>
          <w:color w:val="000000" w:themeColor="text1"/>
        </w:rPr>
        <w:t>atlas</w:t>
      </w:r>
    </w:p>
    <w:p w14:paraId="63226F52" w14:textId="578320B7" w:rsidR="00564EF6" w:rsidRPr="00A52AB8" w:rsidRDefault="00564EF6" w:rsidP="00564EF6">
      <w:pPr>
        <w:pStyle w:val="Definition"/>
      </w:pPr>
      <w:r w:rsidRPr="00A52AB8">
        <w:t>collection of 2D bounding boxes and their associated information placed onto a rectangular frame and correspond</w:t>
      </w:r>
      <w:r w:rsidR="00927308" w:rsidRPr="00A52AB8">
        <w:t>ing</w:t>
      </w:r>
      <w:r w:rsidRPr="00A52AB8">
        <w:t xml:space="preserve"> to a </w:t>
      </w:r>
      <w:r w:rsidR="00727001" w:rsidRPr="00A52AB8">
        <w:t xml:space="preserve">volume </w:t>
      </w:r>
      <w:r w:rsidRPr="00A52AB8">
        <w:t xml:space="preserve">in 3D space on which volumetric data </w:t>
      </w:r>
      <w:r w:rsidR="003122DE" w:rsidRPr="00A52AB8">
        <w:t>is</w:t>
      </w:r>
      <w:r w:rsidRPr="00A52AB8">
        <w:t xml:space="preserve"> rendered</w:t>
      </w:r>
    </w:p>
    <w:p w14:paraId="3B159965" w14:textId="77777777" w:rsidR="00E32F48" w:rsidRPr="00A52AB8" w:rsidRDefault="00E32F48" w:rsidP="00E72F7E">
      <w:pPr>
        <w:pStyle w:val="TermHeading"/>
      </w:pPr>
      <w:bookmarkStart w:id="22" w:name="_Ref48156683"/>
    </w:p>
    <w:bookmarkEnd w:id="22"/>
    <w:p w14:paraId="46AA9427" w14:textId="77777777" w:rsidR="00E32F48" w:rsidRPr="00A52AB8" w:rsidRDefault="00E32F48" w:rsidP="00E32F48">
      <w:pPr>
        <w:pStyle w:val="Terms"/>
        <w:rPr>
          <w:color w:val="000000" w:themeColor="text1"/>
        </w:rPr>
      </w:pPr>
      <w:r w:rsidRPr="00A52AB8">
        <w:rPr>
          <w:color w:val="000000" w:themeColor="text1"/>
        </w:rPr>
        <w:t>atlas bitstream</w:t>
      </w:r>
    </w:p>
    <w:p w14:paraId="19027B8E" w14:textId="23394EB8" w:rsidR="00E32F48" w:rsidRPr="00A52AB8" w:rsidRDefault="00E32F48" w:rsidP="00564EF6">
      <w:pPr>
        <w:pStyle w:val="Definition"/>
      </w:pPr>
      <w:r w:rsidRPr="00A52AB8">
        <w:t xml:space="preserve">sequence of bits that forms the representation of </w:t>
      </w:r>
      <w:r w:rsidRPr="00A52AB8">
        <w:rPr>
          <w:i/>
          <w:iCs/>
        </w:rPr>
        <w:t>atlas frames</w:t>
      </w:r>
      <w:r w:rsidRPr="00A52AB8">
        <w:rPr>
          <w:iCs/>
        </w:rPr>
        <w:t xml:space="preserve"> (</w:t>
      </w:r>
      <w:r w:rsidRPr="00496A4D">
        <w:rPr>
          <w:iCs/>
        </w:rPr>
        <w:fldChar w:fldCharType="begin"/>
      </w:r>
      <w:r w:rsidRPr="00A52AB8">
        <w:rPr>
          <w:iCs/>
        </w:rPr>
        <w:instrText xml:space="preserve"> REF _Ref47524579 \r \h  \* MERGEFORMAT </w:instrText>
      </w:r>
      <w:r w:rsidRPr="00496A4D">
        <w:rPr>
          <w:iCs/>
        </w:rPr>
      </w:r>
      <w:r w:rsidRPr="00496A4D">
        <w:rPr>
          <w:iCs/>
        </w:rPr>
        <w:fldChar w:fldCharType="separate"/>
      </w:r>
      <w:r w:rsidR="00507A67">
        <w:rPr>
          <w:iCs/>
        </w:rPr>
        <w:t>3.8</w:t>
      </w:r>
      <w:r w:rsidRPr="00496A4D">
        <w:rPr>
          <w:iCs/>
        </w:rPr>
        <w:fldChar w:fldCharType="end"/>
      </w:r>
      <w:r w:rsidRPr="00A52AB8">
        <w:rPr>
          <w:iCs/>
        </w:rPr>
        <w:t xml:space="preserve">) and associated data forming one or more </w:t>
      </w:r>
      <w:r w:rsidRPr="00A52AB8">
        <w:rPr>
          <w:i/>
          <w:iCs/>
        </w:rPr>
        <w:t xml:space="preserve">CASs </w:t>
      </w:r>
      <w:r w:rsidRPr="00A52AB8">
        <w:t>(</w:t>
      </w:r>
      <w:r w:rsidRPr="00496A4D">
        <w:fldChar w:fldCharType="begin"/>
      </w:r>
      <w:r w:rsidRPr="00A52AB8">
        <w:instrText xml:space="preserve"> REF _Ref47525429 \r \h  \* MERGEFORMAT </w:instrText>
      </w:r>
      <w:r w:rsidRPr="00496A4D">
        <w:fldChar w:fldCharType="separate"/>
      </w:r>
      <w:r w:rsidR="00507A67">
        <w:t>3.36</w:t>
      </w:r>
      <w:r w:rsidRPr="00496A4D">
        <w:fldChar w:fldCharType="end"/>
      </w:r>
      <w:r w:rsidRPr="00A52AB8">
        <w:t>)</w:t>
      </w:r>
    </w:p>
    <w:p w14:paraId="0F4AB2D5" w14:textId="77777777" w:rsidR="007F6786" w:rsidRPr="00A52AB8" w:rsidRDefault="007F6786" w:rsidP="00E72F7E">
      <w:pPr>
        <w:pStyle w:val="TermHeading"/>
      </w:pPr>
      <w:bookmarkStart w:id="23" w:name="_Ref49013819"/>
    </w:p>
    <w:bookmarkEnd w:id="23"/>
    <w:p w14:paraId="3FBB4A5B" w14:textId="77777777" w:rsidR="007F6786" w:rsidRPr="00A52AB8" w:rsidRDefault="007F6786" w:rsidP="007F6786">
      <w:pPr>
        <w:pStyle w:val="Terms"/>
        <w:rPr>
          <w:color w:val="000000" w:themeColor="text1"/>
        </w:rPr>
      </w:pPr>
      <w:r w:rsidRPr="00A52AB8">
        <w:rPr>
          <w:color w:val="000000" w:themeColor="text1"/>
        </w:rPr>
        <w:t>atlas coding layer NAL unit</w:t>
      </w:r>
    </w:p>
    <w:p w14:paraId="0F2048A6" w14:textId="77777777" w:rsidR="007F6786" w:rsidRPr="00A52AB8" w:rsidRDefault="007F6786" w:rsidP="007F6786">
      <w:pPr>
        <w:pStyle w:val="Terms"/>
        <w:rPr>
          <w:color w:val="000000" w:themeColor="text1"/>
        </w:rPr>
      </w:pPr>
      <w:r w:rsidRPr="00A52AB8">
        <w:rPr>
          <w:color w:val="000000" w:themeColor="text1"/>
        </w:rPr>
        <w:t>ACL NAL unit</w:t>
      </w:r>
    </w:p>
    <w:p w14:paraId="648FB5A2" w14:textId="676C5C72" w:rsidR="007F6786" w:rsidRPr="00A52AB8" w:rsidRDefault="007F6786" w:rsidP="00564EF6">
      <w:pPr>
        <w:pStyle w:val="Definition"/>
        <w:rPr>
          <w:b/>
          <w:bCs/>
        </w:rPr>
      </w:pPr>
      <w:r w:rsidRPr="00A52AB8">
        <w:t xml:space="preserve">collective term for coded atlas tile layer </w:t>
      </w:r>
      <w:r w:rsidRPr="00A52AB8">
        <w:rPr>
          <w:i/>
          <w:iCs/>
        </w:rPr>
        <w:t>NAL units</w:t>
      </w:r>
      <w:r w:rsidRPr="00A52AB8">
        <w:t xml:space="preserve"> (</w:t>
      </w:r>
      <w:r w:rsidRPr="00496A4D">
        <w:fldChar w:fldCharType="begin"/>
      </w:r>
      <w:r w:rsidRPr="00A52AB8">
        <w:instrText xml:space="preserve"> REF _Ref47525311 \n \h </w:instrText>
      </w:r>
      <w:r w:rsidR="00007BE2" w:rsidRPr="00A52AB8">
        <w:instrText xml:space="preserve"> \* MERGEFORMAT </w:instrText>
      </w:r>
      <w:r w:rsidRPr="00496A4D">
        <w:fldChar w:fldCharType="separate"/>
      </w:r>
      <w:r w:rsidR="00507A67">
        <w:t>3.84</w:t>
      </w:r>
      <w:r w:rsidRPr="00496A4D">
        <w:fldChar w:fldCharType="end"/>
      </w:r>
      <w:r w:rsidRPr="00A52AB8">
        <w:t xml:space="preserve">) and the subset of </w:t>
      </w:r>
      <w:r w:rsidRPr="00A52AB8">
        <w:rPr>
          <w:i/>
          <w:iCs/>
        </w:rPr>
        <w:t>NAL units</w:t>
      </w:r>
      <w:r w:rsidRPr="00A52AB8">
        <w:t xml:space="preserve"> (</w:t>
      </w:r>
      <w:r w:rsidRPr="00496A4D">
        <w:fldChar w:fldCharType="begin"/>
      </w:r>
      <w:r w:rsidRPr="00A52AB8">
        <w:instrText xml:space="preserve"> REF _Ref47525311 \n \h </w:instrText>
      </w:r>
      <w:r w:rsidR="00007BE2" w:rsidRPr="00A52AB8">
        <w:instrText xml:space="preserve"> \* MERGEFORMAT </w:instrText>
      </w:r>
      <w:r w:rsidRPr="00496A4D">
        <w:fldChar w:fldCharType="separate"/>
      </w:r>
      <w:r w:rsidR="00507A67">
        <w:t>3.84</w:t>
      </w:r>
      <w:r w:rsidRPr="00496A4D">
        <w:fldChar w:fldCharType="end"/>
      </w:r>
      <w:r w:rsidRPr="00A52AB8">
        <w:t xml:space="preserve">) that have reserved values of nal_unit_type that are classified </w:t>
      </w:r>
      <w:r w:rsidR="004C478A" w:rsidRPr="00A52AB8">
        <w:t xml:space="preserve">as being of type class equal to ACL </w:t>
      </w:r>
      <w:r w:rsidRPr="00A52AB8">
        <w:t>in this document</w:t>
      </w:r>
    </w:p>
    <w:p w14:paraId="783803EE" w14:textId="77777777" w:rsidR="00564EF6" w:rsidRPr="00EB472A" w:rsidRDefault="00564EF6" w:rsidP="00E72F7E">
      <w:pPr>
        <w:pStyle w:val="TermHeading"/>
      </w:pPr>
    </w:p>
    <w:p w14:paraId="17FBB9E0" w14:textId="77777777" w:rsidR="00564EF6" w:rsidRPr="00A52AB8" w:rsidRDefault="00564EF6" w:rsidP="00564EF6">
      <w:pPr>
        <w:pStyle w:val="Terms"/>
        <w:rPr>
          <w:color w:val="000000" w:themeColor="text1"/>
        </w:rPr>
      </w:pPr>
      <w:r w:rsidRPr="00A52AB8">
        <w:rPr>
          <w:color w:val="000000" w:themeColor="text1"/>
        </w:rPr>
        <w:t>atlas coordinates</w:t>
      </w:r>
    </w:p>
    <w:p w14:paraId="2F1675F5" w14:textId="77777777" w:rsidR="00564EF6" w:rsidRPr="00A52AB8" w:rsidRDefault="00C05CF8" w:rsidP="00564EF6">
      <w:pPr>
        <w:pStyle w:val="Definition"/>
        <w:rPr>
          <w:color w:val="000000" w:themeColor="text1"/>
        </w:rPr>
      </w:pPr>
      <w:r w:rsidRPr="00A52AB8">
        <w:rPr>
          <w:color w:val="000000" w:themeColor="text1"/>
        </w:rPr>
        <w:t>two scalars (x, y) with finite precision and dynamic range that indicate the location of a</w:t>
      </w:r>
      <w:r w:rsidR="009031CB" w:rsidRPr="00A52AB8">
        <w:rPr>
          <w:color w:val="000000" w:themeColor="text1"/>
        </w:rPr>
        <w:t>n</w:t>
      </w:r>
      <w:r w:rsidRPr="00A52AB8">
        <w:rPr>
          <w:color w:val="000000" w:themeColor="text1"/>
        </w:rPr>
        <w:t xml:space="preserve"> </w:t>
      </w:r>
      <w:r w:rsidR="00BE3B5F" w:rsidRPr="00A52AB8">
        <w:rPr>
          <w:color w:val="000000" w:themeColor="text1"/>
        </w:rPr>
        <w:t>atlas sample</w:t>
      </w:r>
      <w:r w:rsidRPr="00A52AB8">
        <w:rPr>
          <w:color w:val="000000" w:themeColor="text1"/>
        </w:rPr>
        <w:t xml:space="preserve"> relative to </w:t>
      </w:r>
      <w:r w:rsidR="00BE3B5F" w:rsidRPr="00A52AB8">
        <w:rPr>
          <w:color w:val="000000" w:themeColor="text1"/>
        </w:rPr>
        <w:t>the</w:t>
      </w:r>
      <w:r w:rsidRPr="00A52AB8">
        <w:rPr>
          <w:color w:val="000000" w:themeColor="text1"/>
        </w:rPr>
        <w:t xml:space="preserve"> </w:t>
      </w:r>
      <w:r w:rsidR="00BE3B5F" w:rsidRPr="00A52AB8">
        <w:rPr>
          <w:color w:val="000000" w:themeColor="text1"/>
        </w:rPr>
        <w:t>top left corner of an atlas frame</w:t>
      </w:r>
      <w:r w:rsidR="00F33C0F" w:rsidRPr="00A52AB8">
        <w:rPr>
          <w:color w:val="000000" w:themeColor="text1"/>
        </w:rPr>
        <w:t>,</w:t>
      </w:r>
      <w:r w:rsidR="003B53B6" w:rsidRPr="00A52AB8">
        <w:rPr>
          <w:color w:val="000000" w:themeColor="text1"/>
        </w:rPr>
        <w:t xml:space="preserve"> </w:t>
      </w:r>
      <w:r w:rsidR="00F33C0F" w:rsidRPr="00A52AB8">
        <w:rPr>
          <w:color w:val="000000" w:themeColor="text1"/>
        </w:rPr>
        <w:t>w</w:t>
      </w:r>
      <w:r w:rsidR="003B53B6" w:rsidRPr="00A52AB8">
        <w:rPr>
          <w:color w:val="000000" w:themeColor="text1"/>
        </w:rPr>
        <w:t xml:space="preserve">ith x </w:t>
      </w:r>
      <w:r w:rsidR="00F33C0F" w:rsidRPr="00A52AB8">
        <w:rPr>
          <w:color w:val="000000" w:themeColor="text1"/>
        </w:rPr>
        <w:t xml:space="preserve">and y </w:t>
      </w:r>
      <w:r w:rsidR="003B53B6" w:rsidRPr="00A52AB8">
        <w:rPr>
          <w:color w:val="000000" w:themeColor="text1"/>
        </w:rPr>
        <w:t xml:space="preserve">indicating </w:t>
      </w:r>
      <w:r w:rsidR="00F33C0F" w:rsidRPr="00A52AB8">
        <w:rPr>
          <w:color w:val="000000" w:themeColor="text1"/>
        </w:rPr>
        <w:t xml:space="preserve">the </w:t>
      </w:r>
      <w:r w:rsidR="003B53B6" w:rsidRPr="00A52AB8">
        <w:rPr>
          <w:color w:val="000000" w:themeColor="text1"/>
        </w:rPr>
        <w:t>horizontal</w:t>
      </w:r>
      <w:r w:rsidR="00F33C0F" w:rsidRPr="00A52AB8">
        <w:rPr>
          <w:color w:val="000000" w:themeColor="text1"/>
        </w:rPr>
        <w:t xml:space="preserve"> and vertical</w:t>
      </w:r>
      <w:r w:rsidR="003B53B6" w:rsidRPr="00A52AB8">
        <w:rPr>
          <w:color w:val="000000" w:themeColor="text1"/>
        </w:rPr>
        <w:t xml:space="preserve"> </w:t>
      </w:r>
      <w:r w:rsidR="00F33C0F" w:rsidRPr="00A52AB8">
        <w:rPr>
          <w:color w:val="000000" w:themeColor="text1"/>
        </w:rPr>
        <w:t>direction</w:t>
      </w:r>
      <w:r w:rsidR="00F82F3E" w:rsidRPr="00A52AB8">
        <w:rPr>
          <w:color w:val="000000" w:themeColor="text1"/>
        </w:rPr>
        <w:t>, respectiv</w:t>
      </w:r>
      <w:r w:rsidR="00442CFD" w:rsidRPr="00A52AB8">
        <w:rPr>
          <w:color w:val="000000" w:themeColor="text1"/>
        </w:rPr>
        <w:t>e</w:t>
      </w:r>
      <w:r w:rsidR="00F82F3E" w:rsidRPr="00A52AB8">
        <w:rPr>
          <w:color w:val="000000" w:themeColor="text1"/>
        </w:rPr>
        <w:t>ly</w:t>
      </w:r>
    </w:p>
    <w:p w14:paraId="0BB7F898" w14:textId="77777777" w:rsidR="00564EF6" w:rsidRPr="00EB472A" w:rsidRDefault="00564EF6" w:rsidP="00E72F7E">
      <w:pPr>
        <w:pStyle w:val="TermHeading"/>
      </w:pPr>
      <w:bookmarkStart w:id="24" w:name="_Ref47524579"/>
    </w:p>
    <w:bookmarkEnd w:id="24"/>
    <w:p w14:paraId="2BC8A8BA" w14:textId="77777777" w:rsidR="00564EF6" w:rsidRPr="00A52AB8" w:rsidRDefault="00564EF6" w:rsidP="00564EF6">
      <w:pPr>
        <w:pStyle w:val="Terms"/>
        <w:rPr>
          <w:color w:val="000000" w:themeColor="text1"/>
        </w:rPr>
      </w:pPr>
      <w:r w:rsidRPr="00A52AB8">
        <w:rPr>
          <w:color w:val="000000" w:themeColor="text1"/>
        </w:rPr>
        <w:t>atlas frame</w:t>
      </w:r>
    </w:p>
    <w:p w14:paraId="4BFDA250" w14:textId="44D72052" w:rsidR="00564EF6" w:rsidRPr="00A52AB8" w:rsidRDefault="00927308" w:rsidP="00564EF6">
      <w:pPr>
        <w:pStyle w:val="Definition"/>
      </w:pPr>
      <w:r w:rsidRPr="00A52AB8">
        <w:t xml:space="preserve">2D rectangular </w:t>
      </w:r>
      <w:r w:rsidR="00564EF6" w:rsidRPr="00A52AB8">
        <w:t>array of atlas samples on</w:t>
      </w:r>
      <w:r w:rsidRPr="00A52AB8">
        <w:t xml:space="preserve">to </w:t>
      </w:r>
      <w:r w:rsidR="00564EF6" w:rsidRPr="00A52AB8">
        <w:t xml:space="preserve">which </w:t>
      </w:r>
      <w:r w:rsidR="00564EF6" w:rsidRPr="00A52AB8">
        <w:rPr>
          <w:i/>
          <w:iCs/>
        </w:rPr>
        <w:t>patches</w:t>
      </w:r>
      <w:r w:rsidR="00564EF6" w:rsidRPr="00A52AB8">
        <w:t xml:space="preserve"> (</w:t>
      </w:r>
      <w:r w:rsidR="00564EF6" w:rsidRPr="00496A4D">
        <w:fldChar w:fldCharType="begin"/>
      </w:r>
      <w:r w:rsidR="00564EF6" w:rsidRPr="00A52AB8">
        <w:instrText xml:space="preserve"> REF _Ref47523249 \r \h </w:instrText>
      </w:r>
      <w:r w:rsidR="006371AA" w:rsidRPr="00A52AB8">
        <w:instrText xml:space="preserve"> \* MERGEFORMAT </w:instrText>
      </w:r>
      <w:r w:rsidR="00564EF6" w:rsidRPr="00496A4D">
        <w:fldChar w:fldCharType="separate"/>
      </w:r>
      <w:r w:rsidR="00507A67">
        <w:t>3.93</w:t>
      </w:r>
      <w:r w:rsidR="00564EF6" w:rsidRPr="00496A4D">
        <w:fldChar w:fldCharType="end"/>
      </w:r>
      <w:r w:rsidR="00564EF6" w:rsidRPr="00A52AB8">
        <w:t>) are projected</w:t>
      </w:r>
      <w:r w:rsidR="00A81BE7" w:rsidRPr="00A52AB8">
        <w:t xml:space="preserve"> and additional information related to the </w:t>
      </w:r>
      <w:r w:rsidR="00A81BE7" w:rsidRPr="00A52AB8">
        <w:rPr>
          <w:i/>
          <w:iCs/>
        </w:rPr>
        <w:t>patches</w:t>
      </w:r>
      <w:r w:rsidR="00A81BE7" w:rsidRPr="00A52AB8">
        <w:t xml:space="preserve"> (</w:t>
      </w:r>
      <w:r w:rsidR="00A81BE7" w:rsidRPr="00496A4D">
        <w:fldChar w:fldCharType="begin"/>
      </w:r>
      <w:r w:rsidR="00A81BE7" w:rsidRPr="00A52AB8">
        <w:instrText xml:space="preserve"> REF _Ref47523249 \r \h  \* MERGEFORMAT </w:instrText>
      </w:r>
      <w:r w:rsidR="00A81BE7" w:rsidRPr="00496A4D">
        <w:fldChar w:fldCharType="separate"/>
      </w:r>
      <w:r w:rsidR="00507A67">
        <w:t>3.93</w:t>
      </w:r>
      <w:r w:rsidR="00A81BE7" w:rsidRPr="00496A4D">
        <w:fldChar w:fldCharType="end"/>
      </w:r>
      <w:r w:rsidR="00A81BE7" w:rsidRPr="00A52AB8">
        <w:t xml:space="preserve">), corresponding to a </w:t>
      </w:r>
      <w:r w:rsidR="00A81BE7" w:rsidRPr="00A52AB8">
        <w:rPr>
          <w:i/>
          <w:iCs/>
        </w:rPr>
        <w:t>volumetric frame</w:t>
      </w:r>
      <w:r w:rsidR="00A81BE7" w:rsidRPr="00A52AB8">
        <w:t xml:space="preserve"> (</w:t>
      </w:r>
      <w:r w:rsidR="00A81BE7" w:rsidRPr="00496A4D">
        <w:fldChar w:fldCharType="begin"/>
      </w:r>
      <w:r w:rsidR="00A81BE7" w:rsidRPr="00A52AB8">
        <w:instrText xml:space="preserve"> REF _Ref47524838 \r \h </w:instrText>
      </w:r>
      <w:r w:rsidR="00007BE2" w:rsidRPr="00A52AB8">
        <w:instrText xml:space="preserve"> \* MERGEFORMAT </w:instrText>
      </w:r>
      <w:r w:rsidR="00A81BE7" w:rsidRPr="00496A4D">
        <w:fldChar w:fldCharType="separate"/>
      </w:r>
      <w:r w:rsidR="00507A67">
        <w:t>3.148</w:t>
      </w:r>
      <w:r w:rsidR="00A81BE7" w:rsidRPr="00496A4D">
        <w:fldChar w:fldCharType="end"/>
      </w:r>
      <w:r w:rsidR="00A81BE7" w:rsidRPr="00A52AB8">
        <w:t>)</w:t>
      </w:r>
    </w:p>
    <w:p w14:paraId="5C48C07C" w14:textId="77777777" w:rsidR="00564EF6" w:rsidRPr="00A52AB8" w:rsidRDefault="00564EF6" w:rsidP="00E72F7E">
      <w:pPr>
        <w:pStyle w:val="TermHeading"/>
      </w:pPr>
    </w:p>
    <w:p w14:paraId="35875B76" w14:textId="77777777" w:rsidR="0050235C" w:rsidRPr="00A52AB8" w:rsidRDefault="00564EF6" w:rsidP="00564EF6">
      <w:pPr>
        <w:pStyle w:val="Terms"/>
        <w:rPr>
          <w:color w:val="000000" w:themeColor="text1"/>
        </w:rPr>
      </w:pPr>
      <w:r w:rsidRPr="00A52AB8">
        <w:rPr>
          <w:color w:val="000000" w:themeColor="text1"/>
        </w:rPr>
        <w:t>atlas frame parameter set</w:t>
      </w:r>
    </w:p>
    <w:p w14:paraId="0E110682" w14:textId="78502423" w:rsidR="00564EF6" w:rsidRPr="00A52AB8" w:rsidRDefault="00564EF6" w:rsidP="00564EF6">
      <w:pPr>
        <w:pStyle w:val="Terms"/>
        <w:rPr>
          <w:color w:val="000000" w:themeColor="text1"/>
        </w:rPr>
      </w:pPr>
      <w:r w:rsidRPr="00A52AB8">
        <w:rPr>
          <w:color w:val="000000" w:themeColor="text1"/>
        </w:rPr>
        <w:t>AFPS</w:t>
      </w:r>
    </w:p>
    <w:p w14:paraId="3E33525D" w14:textId="4BC708E1" w:rsidR="00564EF6" w:rsidRPr="00A52AB8" w:rsidRDefault="00564EF6" w:rsidP="00564EF6">
      <w:pPr>
        <w:pStyle w:val="Definition"/>
        <w:rPr>
          <w:color w:val="000000" w:themeColor="text1"/>
        </w:rPr>
      </w:pPr>
      <w:r w:rsidRPr="00A52AB8">
        <w:rPr>
          <w:i/>
          <w:iCs/>
          <w:color w:val="000000" w:themeColor="text1"/>
        </w:rPr>
        <w:t>syntax structure</w:t>
      </w:r>
      <w:r w:rsidRPr="00A52AB8">
        <w:rPr>
          <w:color w:val="000000" w:themeColor="text1"/>
        </w:rPr>
        <w:t xml:space="preserve"> </w:t>
      </w:r>
      <w:r w:rsidR="00EE5E0D" w:rsidRPr="00A52AB8">
        <w:rPr>
          <w:color w:val="000000" w:themeColor="text1"/>
        </w:rPr>
        <w:t>(</w:t>
      </w:r>
      <w:r w:rsidR="00EE5E0D" w:rsidRPr="00496A4D">
        <w:rPr>
          <w:color w:val="000000" w:themeColor="text1"/>
        </w:rPr>
        <w:fldChar w:fldCharType="begin"/>
      </w:r>
      <w:r w:rsidR="00EE5E0D" w:rsidRPr="00A52AB8">
        <w:rPr>
          <w:color w:val="000000" w:themeColor="text1"/>
        </w:rPr>
        <w:instrText xml:space="preserve"> REF _Ref47526553 \n \h </w:instrText>
      </w:r>
      <w:r w:rsidR="007478BA" w:rsidRPr="00A52AB8">
        <w:rPr>
          <w:color w:val="000000" w:themeColor="text1"/>
        </w:rPr>
        <w:instrText xml:space="preserve"> \* MERGEFORMAT </w:instrText>
      </w:r>
      <w:r w:rsidR="00EE5E0D" w:rsidRPr="00496A4D">
        <w:rPr>
          <w:color w:val="000000" w:themeColor="text1"/>
        </w:rPr>
      </w:r>
      <w:r w:rsidR="00EE5E0D" w:rsidRPr="00496A4D">
        <w:rPr>
          <w:color w:val="000000" w:themeColor="text1"/>
        </w:rPr>
        <w:fldChar w:fldCharType="separate"/>
      </w:r>
      <w:r w:rsidR="00507A67">
        <w:rPr>
          <w:color w:val="000000" w:themeColor="text1"/>
        </w:rPr>
        <w:t>3.129</w:t>
      </w:r>
      <w:r w:rsidR="00EE5E0D" w:rsidRPr="00496A4D">
        <w:rPr>
          <w:color w:val="000000" w:themeColor="text1"/>
        </w:rPr>
        <w:fldChar w:fldCharType="end"/>
      </w:r>
      <w:r w:rsidR="00EE5E0D" w:rsidRPr="00A52AB8">
        <w:rPr>
          <w:color w:val="000000" w:themeColor="text1"/>
        </w:rPr>
        <w:t xml:space="preserve">) </w:t>
      </w:r>
      <w:r w:rsidRPr="00A52AB8">
        <w:rPr>
          <w:color w:val="000000" w:themeColor="text1"/>
        </w:rPr>
        <w:t xml:space="preserve">containing </w:t>
      </w:r>
      <w:r w:rsidRPr="00A52AB8">
        <w:rPr>
          <w:i/>
          <w:iCs/>
          <w:color w:val="000000" w:themeColor="text1"/>
        </w:rPr>
        <w:t>syntax elements</w:t>
      </w:r>
      <w:r w:rsidRPr="00A52AB8">
        <w:rPr>
          <w:color w:val="000000" w:themeColor="text1"/>
        </w:rPr>
        <w:t xml:space="preserve"> </w:t>
      </w:r>
      <w:r w:rsidR="00EE5E0D" w:rsidRPr="00A52AB8">
        <w:rPr>
          <w:color w:val="000000" w:themeColor="text1"/>
        </w:rPr>
        <w:t>(</w:t>
      </w:r>
      <w:r w:rsidR="00EE5E0D" w:rsidRPr="00496A4D">
        <w:rPr>
          <w:color w:val="000000" w:themeColor="text1"/>
        </w:rPr>
        <w:fldChar w:fldCharType="begin"/>
      </w:r>
      <w:r w:rsidR="00EE5E0D" w:rsidRPr="00A52AB8">
        <w:rPr>
          <w:color w:val="000000" w:themeColor="text1"/>
        </w:rPr>
        <w:instrText xml:space="preserve"> REF _Ref47525293 \n \h </w:instrText>
      </w:r>
      <w:r w:rsidR="007478BA" w:rsidRPr="00A52AB8">
        <w:rPr>
          <w:color w:val="000000" w:themeColor="text1"/>
        </w:rPr>
        <w:instrText xml:space="preserve"> \* MERGEFORMAT </w:instrText>
      </w:r>
      <w:r w:rsidR="00EE5E0D" w:rsidRPr="00496A4D">
        <w:rPr>
          <w:color w:val="000000" w:themeColor="text1"/>
        </w:rPr>
      </w:r>
      <w:r w:rsidR="00EE5E0D" w:rsidRPr="00496A4D">
        <w:rPr>
          <w:color w:val="000000" w:themeColor="text1"/>
        </w:rPr>
        <w:fldChar w:fldCharType="separate"/>
      </w:r>
      <w:r w:rsidR="00507A67">
        <w:rPr>
          <w:color w:val="000000" w:themeColor="text1"/>
        </w:rPr>
        <w:t>3.128</w:t>
      </w:r>
      <w:r w:rsidR="00EE5E0D" w:rsidRPr="00496A4D">
        <w:rPr>
          <w:color w:val="000000" w:themeColor="text1"/>
        </w:rPr>
        <w:fldChar w:fldCharType="end"/>
      </w:r>
      <w:r w:rsidR="00EE5E0D" w:rsidRPr="00A52AB8">
        <w:rPr>
          <w:color w:val="000000" w:themeColor="text1"/>
        </w:rPr>
        <w:t xml:space="preserve">) </w:t>
      </w:r>
      <w:r w:rsidRPr="00A52AB8">
        <w:rPr>
          <w:color w:val="000000" w:themeColor="text1"/>
        </w:rPr>
        <w:t xml:space="preserve">that apply to zero or more entire coded </w:t>
      </w:r>
      <w:r w:rsidRPr="00A52AB8">
        <w:rPr>
          <w:i/>
          <w:iCs/>
          <w:color w:val="000000" w:themeColor="text1"/>
        </w:rPr>
        <w:t>atlas frames</w:t>
      </w:r>
      <w:r w:rsidRPr="00A52AB8">
        <w:rPr>
          <w:color w:val="000000" w:themeColor="text1"/>
        </w:rPr>
        <w:t xml:space="preserve"> </w:t>
      </w:r>
      <w:r w:rsidR="00EE5E0D" w:rsidRPr="00A52AB8">
        <w:rPr>
          <w:color w:val="000000" w:themeColor="text1"/>
        </w:rPr>
        <w:t>(</w:t>
      </w:r>
      <w:r w:rsidR="00EE5E0D" w:rsidRPr="00496A4D">
        <w:rPr>
          <w:color w:val="000000" w:themeColor="text1"/>
        </w:rPr>
        <w:fldChar w:fldCharType="begin"/>
      </w:r>
      <w:r w:rsidR="00EE5E0D" w:rsidRPr="00A52AB8">
        <w:rPr>
          <w:color w:val="000000" w:themeColor="text1"/>
        </w:rPr>
        <w:instrText xml:space="preserve"> REF _Ref47524579 \n \h </w:instrText>
      </w:r>
      <w:r w:rsidR="007478BA" w:rsidRPr="00A52AB8">
        <w:rPr>
          <w:color w:val="000000" w:themeColor="text1"/>
        </w:rPr>
        <w:instrText xml:space="preserve"> \* MERGEFORMAT </w:instrText>
      </w:r>
      <w:r w:rsidR="00EE5E0D" w:rsidRPr="00496A4D">
        <w:rPr>
          <w:color w:val="000000" w:themeColor="text1"/>
        </w:rPr>
      </w:r>
      <w:r w:rsidR="00EE5E0D" w:rsidRPr="00496A4D">
        <w:rPr>
          <w:color w:val="000000" w:themeColor="text1"/>
        </w:rPr>
        <w:fldChar w:fldCharType="separate"/>
      </w:r>
      <w:r w:rsidR="00507A67">
        <w:rPr>
          <w:color w:val="000000" w:themeColor="text1"/>
        </w:rPr>
        <w:t>3.8</w:t>
      </w:r>
      <w:r w:rsidR="00EE5E0D" w:rsidRPr="00496A4D">
        <w:rPr>
          <w:color w:val="000000" w:themeColor="text1"/>
        </w:rPr>
        <w:fldChar w:fldCharType="end"/>
      </w:r>
      <w:r w:rsidR="00EE5E0D" w:rsidRPr="00A52AB8">
        <w:rPr>
          <w:color w:val="000000" w:themeColor="text1"/>
        </w:rPr>
        <w:t xml:space="preserve">) </w:t>
      </w:r>
      <w:r w:rsidRPr="00A52AB8">
        <w:rPr>
          <w:color w:val="000000" w:themeColor="text1"/>
        </w:rPr>
        <w:t xml:space="preserve">as determined by the content of a syntax element </w:t>
      </w:r>
      <w:r w:rsidR="00EE5E0D" w:rsidRPr="00A52AB8">
        <w:rPr>
          <w:color w:val="000000" w:themeColor="text1"/>
        </w:rPr>
        <w:t>(</w:t>
      </w:r>
      <w:r w:rsidR="00EE5E0D" w:rsidRPr="00496A4D">
        <w:rPr>
          <w:color w:val="000000" w:themeColor="text1"/>
        </w:rPr>
        <w:fldChar w:fldCharType="begin"/>
      </w:r>
      <w:r w:rsidR="00EE5E0D" w:rsidRPr="00A52AB8">
        <w:rPr>
          <w:color w:val="000000" w:themeColor="text1"/>
        </w:rPr>
        <w:instrText xml:space="preserve"> REF _Ref47525293 \n \h </w:instrText>
      </w:r>
      <w:r w:rsidR="007478BA" w:rsidRPr="00A52AB8">
        <w:rPr>
          <w:color w:val="000000" w:themeColor="text1"/>
        </w:rPr>
        <w:instrText xml:space="preserve"> \* MERGEFORMAT </w:instrText>
      </w:r>
      <w:r w:rsidR="00EE5E0D" w:rsidRPr="00496A4D">
        <w:rPr>
          <w:color w:val="000000" w:themeColor="text1"/>
        </w:rPr>
      </w:r>
      <w:r w:rsidR="00EE5E0D" w:rsidRPr="00496A4D">
        <w:rPr>
          <w:color w:val="000000" w:themeColor="text1"/>
        </w:rPr>
        <w:fldChar w:fldCharType="separate"/>
      </w:r>
      <w:r w:rsidR="00507A67">
        <w:rPr>
          <w:color w:val="000000" w:themeColor="text1"/>
        </w:rPr>
        <w:t>3.128</w:t>
      </w:r>
      <w:r w:rsidR="00EE5E0D" w:rsidRPr="00496A4D">
        <w:rPr>
          <w:color w:val="000000" w:themeColor="text1"/>
        </w:rPr>
        <w:fldChar w:fldCharType="end"/>
      </w:r>
      <w:r w:rsidR="00EE5E0D" w:rsidRPr="00A52AB8">
        <w:rPr>
          <w:color w:val="000000" w:themeColor="text1"/>
        </w:rPr>
        <w:t xml:space="preserve">) </w:t>
      </w:r>
      <w:r w:rsidRPr="00A52AB8">
        <w:rPr>
          <w:color w:val="000000" w:themeColor="text1"/>
        </w:rPr>
        <w:t xml:space="preserve">found in </w:t>
      </w:r>
      <w:r w:rsidR="00CF2A27" w:rsidRPr="00A52AB8">
        <w:rPr>
          <w:color w:val="000000" w:themeColor="text1"/>
        </w:rPr>
        <w:t xml:space="preserve">each </w:t>
      </w:r>
      <w:r w:rsidRPr="00A52AB8">
        <w:rPr>
          <w:color w:val="000000" w:themeColor="text1"/>
        </w:rPr>
        <w:t>tile header</w:t>
      </w:r>
    </w:p>
    <w:p w14:paraId="51EB88E9" w14:textId="77777777" w:rsidR="00564EF6" w:rsidRPr="00EB472A" w:rsidRDefault="00564EF6" w:rsidP="00E72F7E">
      <w:pPr>
        <w:pStyle w:val="TermHeading"/>
      </w:pPr>
      <w:bookmarkStart w:id="25" w:name="_Ref50571972"/>
    </w:p>
    <w:bookmarkEnd w:id="25"/>
    <w:p w14:paraId="53F0254A" w14:textId="77777777" w:rsidR="00564EF6" w:rsidRPr="00A52AB8" w:rsidRDefault="00564EF6" w:rsidP="00564EF6">
      <w:pPr>
        <w:pStyle w:val="Terms"/>
        <w:rPr>
          <w:color w:val="000000" w:themeColor="text1"/>
        </w:rPr>
      </w:pPr>
      <w:r w:rsidRPr="00A52AB8">
        <w:rPr>
          <w:color w:val="000000" w:themeColor="text1"/>
        </w:rPr>
        <w:t>atlas sample</w:t>
      </w:r>
    </w:p>
    <w:p w14:paraId="3ED36F22" w14:textId="00D469AC" w:rsidR="00564EF6" w:rsidRPr="00A52AB8" w:rsidRDefault="00564EF6" w:rsidP="00564EF6">
      <w:pPr>
        <w:pStyle w:val="Definition"/>
      </w:pPr>
      <w:r w:rsidRPr="00A52AB8">
        <w:t>position on the rectangular frame on</w:t>
      </w:r>
      <w:r w:rsidR="00927308" w:rsidRPr="00A52AB8">
        <w:t>to</w:t>
      </w:r>
      <w:r w:rsidRPr="00A52AB8">
        <w:t xml:space="preserve"> which </w:t>
      </w:r>
      <w:r w:rsidRPr="00A52AB8">
        <w:rPr>
          <w:i/>
          <w:iCs/>
        </w:rPr>
        <w:t>patches</w:t>
      </w:r>
      <w:r w:rsidRPr="00A52AB8">
        <w:t xml:space="preserve"> (</w:t>
      </w:r>
      <w:r w:rsidRPr="00496A4D">
        <w:fldChar w:fldCharType="begin"/>
      </w:r>
      <w:r w:rsidRPr="00A52AB8">
        <w:instrText xml:space="preserve"> REF _Ref47523249 \r \h </w:instrText>
      </w:r>
      <w:r w:rsidR="006371AA" w:rsidRPr="00A52AB8">
        <w:instrText xml:space="preserve"> \* MERGEFORMAT </w:instrText>
      </w:r>
      <w:r w:rsidRPr="00496A4D">
        <w:fldChar w:fldCharType="separate"/>
      </w:r>
      <w:r w:rsidR="00507A67">
        <w:t>3.93</w:t>
      </w:r>
      <w:r w:rsidRPr="00496A4D">
        <w:fldChar w:fldCharType="end"/>
      </w:r>
      <w:r w:rsidRPr="00A52AB8">
        <w:t xml:space="preserve">) that are associated with an </w:t>
      </w:r>
      <w:r w:rsidRPr="00A52AB8">
        <w:rPr>
          <w:i/>
          <w:iCs/>
        </w:rPr>
        <w:t>atlas</w:t>
      </w:r>
      <w:r w:rsidRPr="00A52AB8">
        <w:t xml:space="preserve"> (</w:t>
      </w:r>
      <w:r w:rsidRPr="00496A4D">
        <w:fldChar w:fldCharType="begin"/>
      </w:r>
      <w:r w:rsidRPr="00A52AB8">
        <w:instrText xml:space="preserve"> REF _Ref47524403 \r \h </w:instrText>
      </w:r>
      <w:r w:rsidR="006371AA" w:rsidRPr="00A52AB8">
        <w:instrText xml:space="preserve"> \* MERGEFORMAT </w:instrText>
      </w:r>
      <w:r w:rsidRPr="00496A4D">
        <w:fldChar w:fldCharType="separate"/>
      </w:r>
      <w:r w:rsidR="00507A67">
        <w:t>3.4</w:t>
      </w:r>
      <w:r w:rsidRPr="00496A4D">
        <w:fldChar w:fldCharType="end"/>
      </w:r>
      <w:r w:rsidRPr="00A52AB8">
        <w:t>) are projected</w:t>
      </w:r>
    </w:p>
    <w:p w14:paraId="505B50BB" w14:textId="77777777" w:rsidR="00564EF6" w:rsidRPr="00EB472A" w:rsidRDefault="00564EF6" w:rsidP="00E72F7E">
      <w:pPr>
        <w:pStyle w:val="TermHeading"/>
      </w:pPr>
    </w:p>
    <w:p w14:paraId="5A34E68E" w14:textId="77777777" w:rsidR="00564EF6" w:rsidRPr="00A52AB8" w:rsidRDefault="00564EF6" w:rsidP="00564EF6">
      <w:pPr>
        <w:pStyle w:val="Terms"/>
        <w:rPr>
          <w:color w:val="000000" w:themeColor="text1"/>
        </w:rPr>
      </w:pPr>
      <w:r w:rsidRPr="00A52AB8">
        <w:rPr>
          <w:color w:val="000000" w:themeColor="text1"/>
        </w:rPr>
        <w:t>atlas sequence</w:t>
      </w:r>
    </w:p>
    <w:p w14:paraId="3A7DC082" w14:textId="7A50D8DC" w:rsidR="00564EF6" w:rsidRPr="00A52AB8" w:rsidRDefault="00564EF6" w:rsidP="00564EF6">
      <w:pPr>
        <w:pStyle w:val="Definition"/>
        <w:rPr>
          <w:color w:val="000000" w:themeColor="text1"/>
        </w:rPr>
      </w:pPr>
      <w:r w:rsidRPr="00A52AB8">
        <w:rPr>
          <w:color w:val="000000" w:themeColor="text1"/>
        </w:rPr>
        <w:t xml:space="preserve">collection of </w:t>
      </w:r>
      <w:r w:rsidRPr="00A52AB8">
        <w:rPr>
          <w:i/>
          <w:iCs/>
          <w:color w:val="000000" w:themeColor="text1"/>
        </w:rPr>
        <w:t xml:space="preserve">atlas frames </w:t>
      </w:r>
      <w:r w:rsidRPr="00A52AB8">
        <w:rPr>
          <w:color w:val="000000" w:themeColor="text1"/>
        </w:rPr>
        <w:t>(</w:t>
      </w:r>
      <w:r w:rsidRPr="00496A4D">
        <w:rPr>
          <w:color w:val="000000" w:themeColor="text1"/>
        </w:rPr>
        <w:fldChar w:fldCharType="begin"/>
      </w:r>
      <w:r w:rsidRPr="00A52AB8">
        <w:rPr>
          <w:color w:val="000000" w:themeColor="text1"/>
        </w:rPr>
        <w:instrText xml:space="preserve"> REF _Ref47524579 \r \h </w:instrText>
      </w:r>
      <w:r w:rsidR="006371AA"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3.8</w:t>
      </w:r>
      <w:r w:rsidRPr="00496A4D">
        <w:rPr>
          <w:color w:val="000000" w:themeColor="text1"/>
        </w:rPr>
        <w:fldChar w:fldCharType="end"/>
      </w:r>
      <w:r w:rsidRPr="00A52AB8">
        <w:rPr>
          <w:color w:val="000000" w:themeColor="text1"/>
        </w:rPr>
        <w:t>)</w:t>
      </w:r>
    </w:p>
    <w:p w14:paraId="24CC8460" w14:textId="77777777" w:rsidR="0050235C" w:rsidRPr="00A52AB8" w:rsidRDefault="0050235C" w:rsidP="00E72F7E">
      <w:pPr>
        <w:pStyle w:val="TermHeading"/>
      </w:pPr>
    </w:p>
    <w:p w14:paraId="5C8C9332" w14:textId="77777777" w:rsidR="0050235C" w:rsidRPr="00A52AB8" w:rsidRDefault="00564EF6" w:rsidP="00564EF6">
      <w:pPr>
        <w:pStyle w:val="Terms"/>
        <w:rPr>
          <w:color w:val="000000" w:themeColor="text1"/>
        </w:rPr>
      </w:pPr>
      <w:r w:rsidRPr="00A52AB8">
        <w:rPr>
          <w:color w:val="000000" w:themeColor="text1"/>
        </w:rPr>
        <w:t>atlas sequence parameter set</w:t>
      </w:r>
    </w:p>
    <w:p w14:paraId="4E7D3EF6" w14:textId="54FF2DCA" w:rsidR="00564EF6" w:rsidRPr="00A52AB8" w:rsidRDefault="00564EF6" w:rsidP="00564EF6">
      <w:pPr>
        <w:pStyle w:val="Terms"/>
        <w:rPr>
          <w:color w:val="000000" w:themeColor="text1"/>
        </w:rPr>
      </w:pPr>
      <w:r w:rsidRPr="00A52AB8">
        <w:rPr>
          <w:color w:val="000000" w:themeColor="text1"/>
        </w:rPr>
        <w:t>ASPS</w:t>
      </w:r>
    </w:p>
    <w:p w14:paraId="35E531D1" w14:textId="33EF1636" w:rsidR="00564EF6" w:rsidRPr="00A52AB8" w:rsidRDefault="00564EF6" w:rsidP="00564EF6">
      <w:pPr>
        <w:pStyle w:val="Definition"/>
        <w:rPr>
          <w:color w:val="000000" w:themeColor="text1"/>
        </w:rPr>
      </w:pPr>
      <w:r w:rsidRPr="00A52AB8">
        <w:rPr>
          <w:i/>
          <w:iCs/>
          <w:color w:val="000000" w:themeColor="text1"/>
        </w:rPr>
        <w:t>syntax structure</w:t>
      </w:r>
      <w:r w:rsidR="00EE5E0D" w:rsidRPr="00A52AB8">
        <w:rPr>
          <w:color w:val="000000" w:themeColor="text1"/>
        </w:rPr>
        <w:t xml:space="preserve"> (</w:t>
      </w:r>
      <w:r w:rsidR="00EE5E0D" w:rsidRPr="00496A4D">
        <w:rPr>
          <w:color w:val="000000" w:themeColor="text1"/>
        </w:rPr>
        <w:fldChar w:fldCharType="begin"/>
      </w:r>
      <w:r w:rsidR="00EE5E0D" w:rsidRPr="00A52AB8">
        <w:rPr>
          <w:color w:val="000000" w:themeColor="text1"/>
        </w:rPr>
        <w:instrText xml:space="preserve"> REF _Ref47526553 \n \h </w:instrText>
      </w:r>
      <w:r w:rsidR="007478BA" w:rsidRPr="00A52AB8">
        <w:rPr>
          <w:color w:val="000000" w:themeColor="text1"/>
        </w:rPr>
        <w:instrText xml:space="preserve"> \* MERGEFORMAT </w:instrText>
      </w:r>
      <w:r w:rsidR="00EE5E0D" w:rsidRPr="00496A4D">
        <w:rPr>
          <w:color w:val="000000" w:themeColor="text1"/>
        </w:rPr>
      </w:r>
      <w:r w:rsidR="00EE5E0D" w:rsidRPr="00496A4D">
        <w:rPr>
          <w:color w:val="000000" w:themeColor="text1"/>
        </w:rPr>
        <w:fldChar w:fldCharType="separate"/>
      </w:r>
      <w:r w:rsidR="00507A67">
        <w:rPr>
          <w:color w:val="000000" w:themeColor="text1"/>
        </w:rPr>
        <w:t>3.129</w:t>
      </w:r>
      <w:r w:rsidR="00EE5E0D" w:rsidRPr="00496A4D">
        <w:rPr>
          <w:color w:val="000000" w:themeColor="text1"/>
        </w:rPr>
        <w:fldChar w:fldCharType="end"/>
      </w:r>
      <w:r w:rsidR="00EE5E0D" w:rsidRPr="00A52AB8">
        <w:rPr>
          <w:color w:val="000000" w:themeColor="text1"/>
        </w:rPr>
        <w:t xml:space="preserve">) </w:t>
      </w:r>
      <w:r w:rsidRPr="00A52AB8">
        <w:rPr>
          <w:color w:val="000000" w:themeColor="text1"/>
        </w:rPr>
        <w:t xml:space="preserve">containing </w:t>
      </w:r>
      <w:r w:rsidRPr="00A52AB8">
        <w:rPr>
          <w:i/>
          <w:iCs/>
          <w:color w:val="000000" w:themeColor="text1"/>
        </w:rPr>
        <w:t>syntax elements</w:t>
      </w:r>
      <w:r w:rsidRPr="00A52AB8">
        <w:rPr>
          <w:color w:val="000000" w:themeColor="text1"/>
        </w:rPr>
        <w:t xml:space="preserve"> </w:t>
      </w:r>
      <w:r w:rsidR="00EE5E0D" w:rsidRPr="00A52AB8">
        <w:rPr>
          <w:color w:val="000000" w:themeColor="text1"/>
        </w:rPr>
        <w:t>(</w:t>
      </w:r>
      <w:r w:rsidR="00EE5E0D" w:rsidRPr="00496A4D">
        <w:rPr>
          <w:color w:val="000000" w:themeColor="text1"/>
        </w:rPr>
        <w:fldChar w:fldCharType="begin"/>
      </w:r>
      <w:r w:rsidR="00EE5E0D" w:rsidRPr="00A52AB8">
        <w:rPr>
          <w:color w:val="000000" w:themeColor="text1"/>
        </w:rPr>
        <w:instrText xml:space="preserve"> REF _Ref47525293 \n \h </w:instrText>
      </w:r>
      <w:r w:rsidR="007478BA" w:rsidRPr="00A52AB8">
        <w:rPr>
          <w:color w:val="000000" w:themeColor="text1"/>
        </w:rPr>
        <w:instrText xml:space="preserve"> \* MERGEFORMAT </w:instrText>
      </w:r>
      <w:r w:rsidR="00EE5E0D" w:rsidRPr="00496A4D">
        <w:rPr>
          <w:color w:val="000000" w:themeColor="text1"/>
        </w:rPr>
      </w:r>
      <w:r w:rsidR="00EE5E0D" w:rsidRPr="00496A4D">
        <w:rPr>
          <w:color w:val="000000" w:themeColor="text1"/>
        </w:rPr>
        <w:fldChar w:fldCharType="separate"/>
      </w:r>
      <w:r w:rsidR="00507A67">
        <w:rPr>
          <w:color w:val="000000" w:themeColor="text1"/>
        </w:rPr>
        <w:t>3.128</w:t>
      </w:r>
      <w:r w:rsidR="00EE5E0D" w:rsidRPr="00496A4D">
        <w:rPr>
          <w:color w:val="000000" w:themeColor="text1"/>
        </w:rPr>
        <w:fldChar w:fldCharType="end"/>
      </w:r>
      <w:r w:rsidR="00EE5E0D" w:rsidRPr="00A52AB8">
        <w:rPr>
          <w:color w:val="000000" w:themeColor="text1"/>
        </w:rPr>
        <w:t xml:space="preserve">) </w:t>
      </w:r>
      <w:r w:rsidRPr="00A52AB8">
        <w:rPr>
          <w:color w:val="000000" w:themeColor="text1"/>
        </w:rPr>
        <w:t xml:space="preserve">that apply to zero or more entire </w:t>
      </w:r>
      <w:r w:rsidRPr="00A52AB8">
        <w:rPr>
          <w:i/>
          <w:iCs/>
          <w:color w:val="000000" w:themeColor="text1"/>
        </w:rPr>
        <w:t>coded atlas sequences</w:t>
      </w:r>
      <w:r w:rsidRPr="00A52AB8">
        <w:rPr>
          <w:color w:val="000000" w:themeColor="text1"/>
        </w:rPr>
        <w:t xml:space="preserve"> (</w:t>
      </w:r>
      <w:r w:rsidRPr="00496A4D">
        <w:rPr>
          <w:color w:val="000000" w:themeColor="text1"/>
        </w:rPr>
        <w:fldChar w:fldCharType="begin"/>
      </w:r>
      <w:r w:rsidRPr="00A52AB8">
        <w:rPr>
          <w:color w:val="000000" w:themeColor="text1"/>
        </w:rPr>
        <w:instrText xml:space="preserve"> REF _Ref47525180 \r \h </w:instrText>
      </w:r>
      <w:r w:rsidR="006371AA"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3.35</w:t>
      </w:r>
      <w:r w:rsidRPr="00496A4D">
        <w:rPr>
          <w:color w:val="000000" w:themeColor="text1"/>
        </w:rPr>
        <w:fldChar w:fldCharType="end"/>
      </w:r>
      <w:r w:rsidRPr="00A52AB8">
        <w:rPr>
          <w:color w:val="000000" w:themeColor="text1"/>
        </w:rPr>
        <w:t xml:space="preserve">) as determined by the content of a syntax element </w:t>
      </w:r>
      <w:r w:rsidR="00EE5E0D" w:rsidRPr="00A52AB8">
        <w:rPr>
          <w:color w:val="000000" w:themeColor="text1"/>
        </w:rPr>
        <w:t>(</w:t>
      </w:r>
      <w:r w:rsidR="00EE5E0D" w:rsidRPr="00496A4D">
        <w:rPr>
          <w:color w:val="000000" w:themeColor="text1"/>
        </w:rPr>
        <w:fldChar w:fldCharType="begin"/>
      </w:r>
      <w:r w:rsidR="00EE5E0D" w:rsidRPr="00A52AB8">
        <w:rPr>
          <w:color w:val="000000" w:themeColor="text1"/>
        </w:rPr>
        <w:instrText xml:space="preserve"> REF _Ref47525293 \n \h </w:instrText>
      </w:r>
      <w:r w:rsidR="007478BA" w:rsidRPr="00A52AB8">
        <w:rPr>
          <w:color w:val="000000" w:themeColor="text1"/>
        </w:rPr>
        <w:instrText xml:space="preserve"> \* MERGEFORMAT </w:instrText>
      </w:r>
      <w:r w:rsidR="00EE5E0D" w:rsidRPr="00496A4D">
        <w:rPr>
          <w:color w:val="000000" w:themeColor="text1"/>
        </w:rPr>
      </w:r>
      <w:r w:rsidR="00EE5E0D" w:rsidRPr="00496A4D">
        <w:rPr>
          <w:color w:val="000000" w:themeColor="text1"/>
        </w:rPr>
        <w:fldChar w:fldCharType="separate"/>
      </w:r>
      <w:r w:rsidR="00507A67">
        <w:rPr>
          <w:color w:val="000000" w:themeColor="text1"/>
        </w:rPr>
        <w:t>3.128</w:t>
      </w:r>
      <w:r w:rsidR="00EE5E0D" w:rsidRPr="00496A4D">
        <w:rPr>
          <w:color w:val="000000" w:themeColor="text1"/>
        </w:rPr>
        <w:fldChar w:fldCharType="end"/>
      </w:r>
      <w:r w:rsidR="00EE5E0D" w:rsidRPr="00A52AB8">
        <w:rPr>
          <w:color w:val="000000" w:themeColor="text1"/>
        </w:rPr>
        <w:t xml:space="preserve">) </w:t>
      </w:r>
      <w:r w:rsidRPr="00A52AB8">
        <w:rPr>
          <w:color w:val="000000" w:themeColor="text1"/>
        </w:rPr>
        <w:t>found in the A</w:t>
      </w:r>
      <w:r w:rsidR="00EE5E0D" w:rsidRPr="00A52AB8">
        <w:rPr>
          <w:color w:val="000000" w:themeColor="text1"/>
        </w:rPr>
        <w:t>F</w:t>
      </w:r>
      <w:r w:rsidRPr="00A52AB8">
        <w:rPr>
          <w:color w:val="000000" w:themeColor="text1"/>
        </w:rPr>
        <w:t>PS referred to by a syntax element found in each tile header</w:t>
      </w:r>
    </w:p>
    <w:p w14:paraId="34B4FF96" w14:textId="77777777" w:rsidR="00564EF6" w:rsidRPr="00A52AB8" w:rsidRDefault="00564EF6" w:rsidP="00E72F7E">
      <w:pPr>
        <w:pStyle w:val="TermHeading"/>
      </w:pPr>
      <w:bookmarkStart w:id="26" w:name="_Ref47525222"/>
    </w:p>
    <w:bookmarkEnd w:id="26"/>
    <w:p w14:paraId="1EBDDD1C" w14:textId="77777777" w:rsidR="00564EF6" w:rsidRPr="00A52AB8" w:rsidRDefault="00564EF6" w:rsidP="00564EF6">
      <w:pPr>
        <w:pStyle w:val="Terms"/>
        <w:rPr>
          <w:color w:val="000000" w:themeColor="text1"/>
        </w:rPr>
      </w:pPr>
      <w:r w:rsidRPr="00A52AB8">
        <w:rPr>
          <w:color w:val="000000" w:themeColor="text1"/>
        </w:rPr>
        <w:t>atlas sub-bitstream</w:t>
      </w:r>
    </w:p>
    <w:p w14:paraId="74D836D0" w14:textId="3806A381" w:rsidR="00564EF6" w:rsidRPr="00A52AB8" w:rsidRDefault="00564EF6" w:rsidP="00564EF6">
      <w:pPr>
        <w:pStyle w:val="Definition"/>
        <w:rPr>
          <w:color w:val="000000" w:themeColor="text1"/>
        </w:rPr>
      </w:pPr>
      <w:r w:rsidRPr="00A52AB8">
        <w:rPr>
          <w:color w:val="000000" w:themeColor="text1"/>
        </w:rPr>
        <w:t xml:space="preserve">extracted </w:t>
      </w:r>
      <w:r w:rsidRPr="00A52AB8">
        <w:rPr>
          <w:i/>
          <w:iCs/>
          <w:color w:val="000000" w:themeColor="text1"/>
        </w:rPr>
        <w:t>sub-bitstream</w:t>
      </w:r>
      <w:r w:rsidRPr="00A52AB8">
        <w:rPr>
          <w:color w:val="000000" w:themeColor="text1"/>
        </w:rPr>
        <w:t xml:space="preserve"> (</w:t>
      </w:r>
      <w:r w:rsidRPr="00496A4D">
        <w:rPr>
          <w:color w:val="000000" w:themeColor="text1"/>
        </w:rPr>
        <w:fldChar w:fldCharType="begin"/>
      </w:r>
      <w:r w:rsidRPr="00A52AB8">
        <w:rPr>
          <w:color w:val="000000" w:themeColor="text1"/>
        </w:rPr>
        <w:instrText xml:space="preserve"> REF _Ref47524811 \r \h </w:instrText>
      </w:r>
      <w:r w:rsidR="006371AA"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3.117</w:t>
      </w:r>
      <w:r w:rsidRPr="00496A4D">
        <w:rPr>
          <w:color w:val="000000" w:themeColor="text1"/>
        </w:rPr>
        <w:fldChar w:fldCharType="end"/>
      </w:r>
      <w:r w:rsidRPr="00A52AB8">
        <w:rPr>
          <w:color w:val="000000" w:themeColor="text1"/>
        </w:rPr>
        <w:t xml:space="preserve">) from the </w:t>
      </w:r>
      <w:r w:rsidRPr="00A52AB8">
        <w:rPr>
          <w:i/>
          <w:iCs/>
          <w:color w:val="000000" w:themeColor="text1"/>
        </w:rPr>
        <w:t>V3C bitstream</w:t>
      </w:r>
      <w:r w:rsidRPr="00A52AB8">
        <w:rPr>
          <w:color w:val="000000" w:themeColor="text1"/>
        </w:rPr>
        <w:t xml:space="preserve"> (</w:t>
      </w:r>
      <w:r w:rsidRPr="00496A4D">
        <w:rPr>
          <w:color w:val="000000" w:themeColor="text1"/>
        </w:rPr>
        <w:fldChar w:fldCharType="begin"/>
      </w:r>
      <w:r w:rsidRPr="00A52AB8">
        <w:rPr>
          <w:color w:val="000000" w:themeColor="text1"/>
        </w:rPr>
        <w:instrText xml:space="preserve"> REF _Ref47524821 \r \h </w:instrText>
      </w:r>
      <w:r w:rsidR="006371AA"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3.138</w:t>
      </w:r>
      <w:r w:rsidRPr="00496A4D">
        <w:rPr>
          <w:color w:val="000000" w:themeColor="text1"/>
        </w:rPr>
        <w:fldChar w:fldCharType="end"/>
      </w:r>
      <w:r w:rsidRPr="00A52AB8">
        <w:rPr>
          <w:color w:val="000000" w:themeColor="text1"/>
        </w:rPr>
        <w:t>) containing a part of an atlas NAL bitstream</w:t>
      </w:r>
    </w:p>
    <w:p w14:paraId="25BBB9E2" w14:textId="77777777" w:rsidR="00DC177D" w:rsidRPr="00A52AB8" w:rsidRDefault="00DC177D" w:rsidP="00E72F7E">
      <w:pPr>
        <w:pStyle w:val="TermHeading"/>
      </w:pPr>
      <w:bookmarkStart w:id="27" w:name="_Ref47525204"/>
    </w:p>
    <w:p w14:paraId="2DD6D15E" w14:textId="77777777" w:rsidR="00DC177D" w:rsidRPr="00A52AB8" w:rsidRDefault="00DC177D" w:rsidP="00DC177D">
      <w:pPr>
        <w:pStyle w:val="Terms"/>
        <w:rPr>
          <w:color w:val="000000" w:themeColor="text1"/>
        </w:rPr>
      </w:pPr>
      <w:r w:rsidRPr="00A52AB8">
        <w:rPr>
          <w:color w:val="000000" w:themeColor="text1"/>
        </w:rPr>
        <w:t>atlas unit</w:t>
      </w:r>
    </w:p>
    <w:p w14:paraId="252ADAD1" w14:textId="03F136FD" w:rsidR="00DC177D" w:rsidRPr="00A52AB8" w:rsidRDefault="00DC177D" w:rsidP="00DC177D">
      <w:pPr>
        <w:pStyle w:val="Definition"/>
        <w:rPr>
          <w:color w:val="000000" w:themeColor="text1"/>
        </w:rPr>
      </w:pPr>
      <w:r w:rsidRPr="00A52AB8">
        <w:rPr>
          <w:color w:val="000000" w:themeColor="text1"/>
        </w:rPr>
        <w:t xml:space="preserve">set of </w:t>
      </w:r>
      <w:r w:rsidRPr="00A52AB8">
        <w:rPr>
          <w:i/>
          <w:iCs/>
          <w:color w:val="000000" w:themeColor="text1"/>
        </w:rPr>
        <w:t>NAL units</w:t>
      </w:r>
      <w:r w:rsidRPr="00A52AB8">
        <w:rPr>
          <w:color w:val="000000" w:themeColor="text1"/>
        </w:rPr>
        <w:t xml:space="preserve"> </w:t>
      </w:r>
      <w:r w:rsidR="00EE45C4" w:rsidRPr="00A52AB8">
        <w:rPr>
          <w:color w:val="000000" w:themeColor="text1"/>
        </w:rPr>
        <w:t>(</w:t>
      </w:r>
      <w:r w:rsidR="00EE45C4" w:rsidRPr="00496A4D">
        <w:rPr>
          <w:color w:val="000000" w:themeColor="text1"/>
        </w:rPr>
        <w:fldChar w:fldCharType="begin"/>
      </w:r>
      <w:r w:rsidR="00EE45C4" w:rsidRPr="00A52AB8">
        <w:rPr>
          <w:color w:val="000000" w:themeColor="text1"/>
        </w:rPr>
        <w:instrText xml:space="preserve"> REF _Ref47525311 \n \h </w:instrText>
      </w:r>
      <w:r w:rsidR="007478BA" w:rsidRPr="00A52AB8">
        <w:rPr>
          <w:color w:val="000000" w:themeColor="text1"/>
        </w:rPr>
        <w:instrText xml:space="preserve"> \* MERGEFORMAT </w:instrText>
      </w:r>
      <w:r w:rsidR="00EE45C4" w:rsidRPr="00496A4D">
        <w:rPr>
          <w:color w:val="000000" w:themeColor="text1"/>
        </w:rPr>
      </w:r>
      <w:r w:rsidR="00EE45C4" w:rsidRPr="00496A4D">
        <w:rPr>
          <w:color w:val="000000" w:themeColor="text1"/>
        </w:rPr>
        <w:fldChar w:fldCharType="separate"/>
      </w:r>
      <w:r w:rsidR="00507A67">
        <w:rPr>
          <w:color w:val="000000" w:themeColor="text1"/>
        </w:rPr>
        <w:t>3.84</w:t>
      </w:r>
      <w:r w:rsidR="00EE45C4" w:rsidRPr="00496A4D">
        <w:rPr>
          <w:color w:val="000000" w:themeColor="text1"/>
        </w:rPr>
        <w:fldChar w:fldCharType="end"/>
      </w:r>
      <w:r w:rsidR="00EE45C4" w:rsidRPr="00A52AB8">
        <w:rPr>
          <w:color w:val="000000" w:themeColor="text1"/>
        </w:rPr>
        <w:t xml:space="preserve">) </w:t>
      </w:r>
      <w:r w:rsidRPr="00A52AB8">
        <w:rPr>
          <w:color w:val="000000" w:themeColor="text1"/>
        </w:rPr>
        <w:t xml:space="preserve">that contain all </w:t>
      </w:r>
      <w:r w:rsidRPr="00A52AB8">
        <w:rPr>
          <w:i/>
          <w:iCs/>
          <w:color w:val="000000" w:themeColor="text1"/>
        </w:rPr>
        <w:t>ACL NAL units</w:t>
      </w:r>
      <w:r w:rsidRPr="00A52AB8">
        <w:rPr>
          <w:color w:val="000000" w:themeColor="text1"/>
        </w:rPr>
        <w:t xml:space="preserve"> </w:t>
      </w:r>
      <w:r w:rsidR="00EE45C4" w:rsidRPr="00A52AB8">
        <w:rPr>
          <w:color w:val="000000" w:themeColor="text1"/>
        </w:rPr>
        <w:t>(</w:t>
      </w:r>
      <w:r w:rsidR="00EE45C4" w:rsidRPr="00496A4D">
        <w:rPr>
          <w:color w:val="000000" w:themeColor="text1"/>
        </w:rPr>
        <w:fldChar w:fldCharType="begin"/>
      </w:r>
      <w:r w:rsidR="00EE45C4" w:rsidRPr="00A52AB8">
        <w:rPr>
          <w:color w:val="000000" w:themeColor="text1"/>
        </w:rPr>
        <w:instrText xml:space="preserve"> REF _Ref49013819 \n \h </w:instrText>
      </w:r>
      <w:r w:rsidR="007478BA" w:rsidRPr="00A52AB8">
        <w:rPr>
          <w:color w:val="000000" w:themeColor="text1"/>
        </w:rPr>
        <w:instrText xml:space="preserve"> \* MERGEFORMAT </w:instrText>
      </w:r>
      <w:r w:rsidR="00EE45C4" w:rsidRPr="00496A4D">
        <w:rPr>
          <w:color w:val="000000" w:themeColor="text1"/>
        </w:rPr>
      </w:r>
      <w:r w:rsidR="00EE45C4" w:rsidRPr="00496A4D">
        <w:rPr>
          <w:color w:val="000000" w:themeColor="text1"/>
        </w:rPr>
        <w:fldChar w:fldCharType="separate"/>
      </w:r>
      <w:r w:rsidR="00507A67">
        <w:rPr>
          <w:color w:val="000000" w:themeColor="text1"/>
        </w:rPr>
        <w:t>3.6</w:t>
      </w:r>
      <w:r w:rsidR="00EE45C4" w:rsidRPr="00496A4D">
        <w:rPr>
          <w:color w:val="000000" w:themeColor="text1"/>
        </w:rPr>
        <w:fldChar w:fldCharType="end"/>
      </w:r>
      <w:r w:rsidR="00EE45C4" w:rsidRPr="00A52AB8">
        <w:rPr>
          <w:color w:val="000000" w:themeColor="text1"/>
        </w:rPr>
        <w:t xml:space="preserve">) </w:t>
      </w:r>
      <w:r w:rsidRPr="00A52AB8">
        <w:rPr>
          <w:color w:val="000000" w:themeColor="text1"/>
        </w:rPr>
        <w:t xml:space="preserve">of a </w:t>
      </w:r>
      <w:r w:rsidRPr="00A52AB8">
        <w:rPr>
          <w:i/>
          <w:iCs/>
          <w:color w:val="000000" w:themeColor="text1"/>
        </w:rPr>
        <w:t>coded atlas</w:t>
      </w:r>
      <w:r w:rsidRPr="00A52AB8">
        <w:rPr>
          <w:color w:val="000000" w:themeColor="text1"/>
        </w:rPr>
        <w:t xml:space="preserve"> (</w:t>
      </w:r>
      <w:r w:rsidR="00BD6F7C" w:rsidRPr="00496A4D">
        <w:rPr>
          <w:color w:val="000000" w:themeColor="text1"/>
        </w:rPr>
        <w:fldChar w:fldCharType="begin"/>
      </w:r>
      <w:r w:rsidR="00BD6F7C" w:rsidRPr="00A52AB8">
        <w:rPr>
          <w:color w:val="000000" w:themeColor="text1"/>
        </w:rPr>
        <w:instrText xml:space="preserve"> REF _Ref47525438 \r \h </w:instrText>
      </w:r>
      <w:r w:rsidR="007812ED" w:rsidRPr="00A52AB8">
        <w:rPr>
          <w:color w:val="000000" w:themeColor="text1"/>
        </w:rPr>
        <w:instrText xml:space="preserve"> \* MERGEFORMAT </w:instrText>
      </w:r>
      <w:r w:rsidR="00BD6F7C" w:rsidRPr="00496A4D">
        <w:rPr>
          <w:color w:val="000000" w:themeColor="text1"/>
        </w:rPr>
      </w:r>
      <w:r w:rsidR="00BD6F7C" w:rsidRPr="00496A4D">
        <w:rPr>
          <w:color w:val="000000" w:themeColor="text1"/>
        </w:rPr>
        <w:fldChar w:fldCharType="separate"/>
      </w:r>
      <w:r w:rsidR="00507A67">
        <w:rPr>
          <w:color w:val="000000" w:themeColor="text1"/>
        </w:rPr>
        <w:t>3.34</w:t>
      </w:r>
      <w:r w:rsidR="00BD6F7C" w:rsidRPr="00496A4D">
        <w:rPr>
          <w:color w:val="000000" w:themeColor="text1"/>
        </w:rPr>
        <w:fldChar w:fldCharType="end"/>
      </w:r>
      <w:r w:rsidRPr="00A52AB8">
        <w:rPr>
          <w:color w:val="000000" w:themeColor="text1"/>
        </w:rPr>
        <w:t xml:space="preserve">) and their </w:t>
      </w:r>
      <w:r w:rsidRPr="00A52AB8">
        <w:rPr>
          <w:i/>
          <w:iCs/>
          <w:color w:val="000000" w:themeColor="text1"/>
        </w:rPr>
        <w:t>associated non-ACL NAL units</w:t>
      </w:r>
      <w:r w:rsidRPr="00A52AB8">
        <w:rPr>
          <w:color w:val="000000" w:themeColor="text1"/>
        </w:rPr>
        <w:t xml:space="preserve"> (</w:t>
      </w:r>
      <w:r w:rsidR="00BD6F7C" w:rsidRPr="00496A4D">
        <w:rPr>
          <w:color w:val="000000" w:themeColor="text1"/>
        </w:rPr>
        <w:fldChar w:fldCharType="begin"/>
      </w:r>
      <w:r w:rsidR="00BD6F7C" w:rsidRPr="00A52AB8">
        <w:rPr>
          <w:color w:val="000000" w:themeColor="text1"/>
        </w:rPr>
        <w:instrText xml:space="preserve"> REF _Ref48818098 \r \h </w:instrText>
      </w:r>
      <w:r w:rsidR="007812ED" w:rsidRPr="00A52AB8">
        <w:rPr>
          <w:color w:val="000000" w:themeColor="text1"/>
        </w:rPr>
        <w:instrText xml:space="preserve"> \* MERGEFORMAT </w:instrText>
      </w:r>
      <w:r w:rsidR="00BD6F7C" w:rsidRPr="00496A4D">
        <w:rPr>
          <w:color w:val="000000" w:themeColor="text1"/>
        </w:rPr>
      </w:r>
      <w:r w:rsidR="00BD6F7C" w:rsidRPr="00496A4D">
        <w:rPr>
          <w:color w:val="000000" w:themeColor="text1"/>
        </w:rPr>
        <w:fldChar w:fldCharType="separate"/>
      </w:r>
      <w:r w:rsidR="00507A67">
        <w:rPr>
          <w:color w:val="000000" w:themeColor="text1"/>
        </w:rPr>
        <w:t>3.2</w:t>
      </w:r>
      <w:r w:rsidR="00BD6F7C" w:rsidRPr="00496A4D">
        <w:rPr>
          <w:color w:val="000000" w:themeColor="text1"/>
        </w:rPr>
        <w:fldChar w:fldCharType="end"/>
      </w:r>
      <w:r w:rsidRPr="00A52AB8">
        <w:rPr>
          <w:color w:val="000000" w:themeColor="text1"/>
        </w:rPr>
        <w:t>)</w:t>
      </w:r>
    </w:p>
    <w:p w14:paraId="78194B54" w14:textId="77777777" w:rsidR="00564EF6" w:rsidRPr="00A52AB8" w:rsidRDefault="00564EF6" w:rsidP="00E72F7E">
      <w:pPr>
        <w:pStyle w:val="TermHeading"/>
      </w:pPr>
      <w:bookmarkStart w:id="28" w:name="_Ref49509311"/>
    </w:p>
    <w:bookmarkEnd w:id="27"/>
    <w:bookmarkEnd w:id="28"/>
    <w:p w14:paraId="176CEF45" w14:textId="77777777" w:rsidR="0050235C" w:rsidRPr="00A52AB8" w:rsidRDefault="00564EF6" w:rsidP="00564EF6">
      <w:pPr>
        <w:pStyle w:val="Terms"/>
        <w:rPr>
          <w:color w:val="000000" w:themeColor="text1"/>
        </w:rPr>
      </w:pPr>
      <w:r w:rsidRPr="00A52AB8">
        <w:rPr>
          <w:color w:val="000000" w:themeColor="text1"/>
        </w:rPr>
        <w:t>attribute</w:t>
      </w:r>
    </w:p>
    <w:p w14:paraId="2D8B1EAA" w14:textId="745F158B" w:rsidR="00564EF6" w:rsidRPr="00A52AB8" w:rsidRDefault="00564EF6" w:rsidP="00564EF6">
      <w:pPr>
        <w:pStyle w:val="Definition"/>
        <w:rPr>
          <w:color w:val="000000" w:themeColor="text1"/>
        </w:rPr>
      </w:pPr>
      <w:r w:rsidRPr="00A52AB8">
        <w:rPr>
          <w:color w:val="000000" w:themeColor="text1"/>
        </w:rPr>
        <w:t xml:space="preserve">scalar or vector property optionally associated with each point in a </w:t>
      </w:r>
      <w:r w:rsidRPr="00A52AB8">
        <w:rPr>
          <w:i/>
          <w:iCs/>
          <w:color w:val="000000" w:themeColor="text1"/>
        </w:rPr>
        <w:t>volumetric frame</w:t>
      </w:r>
      <w:r w:rsidRPr="00A52AB8">
        <w:rPr>
          <w:color w:val="000000" w:themeColor="text1"/>
        </w:rPr>
        <w:t xml:space="preserve"> (</w:t>
      </w:r>
      <w:r w:rsidRPr="00496A4D">
        <w:rPr>
          <w:color w:val="000000" w:themeColor="text1"/>
        </w:rPr>
        <w:fldChar w:fldCharType="begin"/>
      </w:r>
      <w:r w:rsidRPr="00A52AB8">
        <w:rPr>
          <w:color w:val="000000" w:themeColor="text1"/>
        </w:rPr>
        <w:instrText xml:space="preserve"> REF _Ref47524838 \r \h </w:instrText>
      </w:r>
      <w:r w:rsidR="006371AA"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3.148</w:t>
      </w:r>
      <w:r w:rsidRPr="00496A4D">
        <w:rPr>
          <w:color w:val="000000" w:themeColor="text1"/>
        </w:rPr>
        <w:fldChar w:fldCharType="end"/>
      </w:r>
      <w:r w:rsidRPr="00A52AB8">
        <w:rPr>
          <w:color w:val="000000" w:themeColor="text1"/>
        </w:rPr>
        <w:t>) such as colour, reflectance, surface normal, time stamps, material ID, etc.</w:t>
      </w:r>
    </w:p>
    <w:p w14:paraId="4D241E9F" w14:textId="77777777" w:rsidR="00564EF6" w:rsidRPr="00A52AB8" w:rsidRDefault="00564EF6" w:rsidP="00E72F7E">
      <w:pPr>
        <w:pStyle w:val="TermHeading"/>
      </w:pPr>
      <w:bookmarkStart w:id="29" w:name="_Ref47978081"/>
    </w:p>
    <w:bookmarkEnd w:id="29"/>
    <w:p w14:paraId="01304113" w14:textId="4698FA00" w:rsidR="0050235C" w:rsidRPr="00A52AB8" w:rsidRDefault="00564EF6" w:rsidP="00564EF6">
      <w:pPr>
        <w:pStyle w:val="Terms"/>
        <w:rPr>
          <w:color w:val="000000" w:themeColor="text1"/>
        </w:rPr>
      </w:pPr>
      <w:r w:rsidRPr="00A52AB8">
        <w:rPr>
          <w:color w:val="000000" w:themeColor="text1"/>
        </w:rPr>
        <w:t xml:space="preserve">attribute </w:t>
      </w:r>
      <w:r w:rsidR="00630563" w:rsidRPr="00A52AB8">
        <w:rPr>
          <w:color w:val="000000" w:themeColor="text1"/>
        </w:rPr>
        <w:t>access unit</w:t>
      </w:r>
    </w:p>
    <w:p w14:paraId="08EDD25E" w14:textId="049BE0AC" w:rsidR="00564EF6" w:rsidRPr="00A52AB8" w:rsidRDefault="00564EF6" w:rsidP="00564EF6">
      <w:pPr>
        <w:pStyle w:val="Definition"/>
        <w:rPr>
          <w:color w:val="000000" w:themeColor="text1"/>
        </w:rPr>
      </w:pPr>
      <w:r w:rsidRPr="00A52AB8">
        <w:t xml:space="preserve">collection of </w:t>
      </w:r>
      <w:r w:rsidRPr="00A52AB8">
        <w:rPr>
          <w:i/>
          <w:iCs/>
        </w:rPr>
        <w:t>attribute maps</w:t>
      </w:r>
      <w:r w:rsidRPr="00A52AB8">
        <w:t xml:space="preserve"> (</w:t>
      </w:r>
      <w:r w:rsidRPr="00496A4D">
        <w:fldChar w:fldCharType="begin"/>
      </w:r>
      <w:r w:rsidRPr="00A52AB8">
        <w:instrText xml:space="preserve"> REF _Ref47525197 \r \h </w:instrText>
      </w:r>
      <w:r w:rsidR="006371AA" w:rsidRPr="00A52AB8">
        <w:instrText xml:space="preserve"> \* MERGEFORMAT </w:instrText>
      </w:r>
      <w:r w:rsidRPr="00496A4D">
        <w:fldChar w:fldCharType="separate"/>
      </w:r>
      <w:r w:rsidR="00507A67">
        <w:t>3.18</w:t>
      </w:r>
      <w:r w:rsidRPr="00496A4D">
        <w:fldChar w:fldCharType="end"/>
      </w:r>
      <w:r w:rsidRPr="00A52AB8">
        <w:t xml:space="preserve">) </w:t>
      </w:r>
      <w:r w:rsidR="00630563" w:rsidRPr="00A52AB8">
        <w:t xml:space="preserve">and </w:t>
      </w:r>
      <w:r w:rsidR="005D03DD" w:rsidRPr="00A52AB8">
        <w:t xml:space="preserve">auxiliary </w:t>
      </w:r>
      <w:r w:rsidR="00630563" w:rsidRPr="00A52AB8">
        <w:t xml:space="preserve">attribute frames, if available, </w:t>
      </w:r>
      <w:r w:rsidRPr="00A52AB8">
        <w:t xml:space="preserve">for a specific </w:t>
      </w:r>
      <w:r w:rsidRPr="00A52AB8">
        <w:rPr>
          <w:i/>
          <w:iCs/>
        </w:rPr>
        <w:t>attribute</w:t>
      </w:r>
      <w:r w:rsidRPr="00A52AB8">
        <w:t xml:space="preserve"> (</w:t>
      </w:r>
      <w:r w:rsidR="00926723" w:rsidRPr="00496A4D">
        <w:fldChar w:fldCharType="begin"/>
      </w:r>
      <w:r w:rsidR="00926723" w:rsidRPr="00A52AB8">
        <w:instrText xml:space="preserve"> REF _Ref49509311 \n \h </w:instrText>
      </w:r>
      <w:r w:rsidR="008F69D5" w:rsidRPr="00A52AB8">
        <w:instrText xml:space="preserve"> \* MERGEFORMAT </w:instrText>
      </w:r>
      <w:r w:rsidR="00926723" w:rsidRPr="00496A4D">
        <w:fldChar w:fldCharType="separate"/>
      </w:r>
      <w:r w:rsidR="00507A67">
        <w:t>3.15</w:t>
      </w:r>
      <w:r w:rsidR="00926723" w:rsidRPr="00496A4D">
        <w:fldChar w:fldCharType="end"/>
      </w:r>
      <w:r w:rsidRPr="00A52AB8">
        <w:t>) that correspond to the same time instance</w:t>
      </w:r>
    </w:p>
    <w:p w14:paraId="60E91343" w14:textId="77777777" w:rsidR="00A91BD4" w:rsidRPr="00A52AB8" w:rsidRDefault="00A91BD4" w:rsidP="00E72F7E">
      <w:pPr>
        <w:pStyle w:val="TermHeading"/>
      </w:pPr>
      <w:bookmarkStart w:id="30" w:name="_Ref50630165"/>
    </w:p>
    <w:bookmarkEnd w:id="30"/>
    <w:p w14:paraId="4E044D6B" w14:textId="77777777" w:rsidR="0050235C" w:rsidRPr="00A52AB8" w:rsidRDefault="00A91BD4" w:rsidP="00A91BD4">
      <w:pPr>
        <w:pStyle w:val="Terms"/>
        <w:rPr>
          <w:color w:val="000000" w:themeColor="text1"/>
        </w:rPr>
      </w:pPr>
      <w:r w:rsidRPr="00A52AB8">
        <w:rPr>
          <w:color w:val="000000" w:themeColor="text1"/>
        </w:rPr>
        <w:t>attribute frame</w:t>
      </w:r>
    </w:p>
    <w:p w14:paraId="3317A949" w14:textId="4455F99C" w:rsidR="00A91BD4" w:rsidRPr="00A52AB8" w:rsidRDefault="00A91BD4" w:rsidP="00A91BD4">
      <w:pPr>
        <w:pStyle w:val="Definition"/>
        <w:rPr>
          <w:color w:val="000000" w:themeColor="text1"/>
        </w:rPr>
      </w:pPr>
      <w:r w:rsidRPr="00A52AB8">
        <w:t xml:space="preserve">2D rectangular array </w:t>
      </w:r>
      <w:r w:rsidRPr="00A52AB8">
        <w:rPr>
          <w:color w:val="000000" w:themeColor="text1"/>
        </w:rPr>
        <w:t xml:space="preserve">created through the aggregation of </w:t>
      </w:r>
      <w:r w:rsidRPr="00A52AB8">
        <w:rPr>
          <w:i/>
          <w:color w:val="000000" w:themeColor="text1"/>
        </w:rPr>
        <w:t>patches</w:t>
      </w:r>
      <w:r w:rsidRPr="00A52AB8">
        <w:rPr>
          <w:color w:val="000000" w:themeColor="text1"/>
        </w:rPr>
        <w:t xml:space="preserve"> </w:t>
      </w:r>
      <w:r w:rsidRPr="00A52AB8">
        <w:t>(</w:t>
      </w:r>
      <w:r w:rsidRPr="00496A4D">
        <w:fldChar w:fldCharType="begin"/>
      </w:r>
      <w:r w:rsidRPr="00A52AB8">
        <w:instrText xml:space="preserve"> REF _Ref47523249 \r \h  \* MERGEFORMAT </w:instrText>
      </w:r>
      <w:r w:rsidRPr="00496A4D">
        <w:fldChar w:fldCharType="separate"/>
      </w:r>
      <w:r w:rsidR="00507A67">
        <w:t>3.93</w:t>
      </w:r>
      <w:r w:rsidRPr="00496A4D">
        <w:fldChar w:fldCharType="end"/>
      </w:r>
      <w:r w:rsidRPr="00A52AB8">
        <w:t xml:space="preserve">) </w:t>
      </w:r>
      <w:r w:rsidRPr="00A52AB8">
        <w:rPr>
          <w:color w:val="000000" w:themeColor="text1"/>
        </w:rPr>
        <w:t xml:space="preserve">containing values of a specific </w:t>
      </w:r>
      <w:r w:rsidRPr="00A52AB8">
        <w:rPr>
          <w:i/>
          <w:iCs/>
        </w:rPr>
        <w:t>attribute</w:t>
      </w:r>
      <w:r w:rsidRPr="00A52AB8">
        <w:t xml:space="preserve"> (</w:t>
      </w:r>
      <w:r w:rsidRPr="00496A4D">
        <w:fldChar w:fldCharType="begin"/>
      </w:r>
      <w:r w:rsidRPr="00A52AB8">
        <w:instrText xml:space="preserve"> REF _Ref47525204 \r \h  \* MERGEFORMAT </w:instrText>
      </w:r>
      <w:r w:rsidRPr="00496A4D">
        <w:fldChar w:fldCharType="separate"/>
      </w:r>
      <w:r w:rsidR="00507A67">
        <w:t>3.14</w:t>
      </w:r>
      <w:r w:rsidRPr="00496A4D">
        <w:fldChar w:fldCharType="end"/>
      </w:r>
      <w:r w:rsidRPr="00A52AB8">
        <w:t>)</w:t>
      </w:r>
    </w:p>
    <w:p w14:paraId="26AC1AAB" w14:textId="77777777" w:rsidR="00564EF6" w:rsidRPr="00A52AB8" w:rsidRDefault="00564EF6" w:rsidP="00E72F7E">
      <w:pPr>
        <w:pStyle w:val="TermHeading"/>
      </w:pPr>
      <w:bookmarkStart w:id="31" w:name="_Ref47525197"/>
    </w:p>
    <w:bookmarkEnd w:id="31"/>
    <w:p w14:paraId="3387E6A4" w14:textId="0595FA21" w:rsidR="00564EF6" w:rsidRPr="00A52AB8" w:rsidRDefault="00564EF6" w:rsidP="00564EF6">
      <w:pPr>
        <w:pStyle w:val="Terms"/>
        <w:rPr>
          <w:color w:val="000000" w:themeColor="text1"/>
        </w:rPr>
      </w:pPr>
      <w:r w:rsidRPr="00A52AB8">
        <w:rPr>
          <w:color w:val="000000" w:themeColor="text1"/>
        </w:rPr>
        <w:t>attribute map</w:t>
      </w:r>
    </w:p>
    <w:p w14:paraId="7FA7F738" w14:textId="271EF16F" w:rsidR="00564EF6" w:rsidRPr="00A52AB8" w:rsidRDefault="00A91BD4" w:rsidP="00564EF6">
      <w:pPr>
        <w:pStyle w:val="Definition"/>
      </w:pPr>
      <w:r w:rsidRPr="00A52AB8">
        <w:rPr>
          <w:i/>
        </w:rPr>
        <w:t>attribute frame</w:t>
      </w:r>
      <w:r w:rsidRPr="00A52AB8">
        <w:t xml:space="preserve"> </w:t>
      </w:r>
      <w:r w:rsidR="00DB656A" w:rsidRPr="00A52AB8">
        <w:t>(</w:t>
      </w:r>
      <w:r w:rsidR="00DB656A" w:rsidRPr="00496A4D">
        <w:fldChar w:fldCharType="begin"/>
      </w:r>
      <w:r w:rsidR="00DB656A" w:rsidRPr="00A52AB8">
        <w:instrText xml:space="preserve"> REF _Ref50630165 \n \h </w:instrText>
      </w:r>
      <w:r w:rsidR="007478BA" w:rsidRPr="00A52AB8">
        <w:instrText xml:space="preserve"> \* MERGEFORMAT </w:instrText>
      </w:r>
      <w:r w:rsidR="00DB656A" w:rsidRPr="00496A4D">
        <w:fldChar w:fldCharType="separate"/>
      </w:r>
      <w:r w:rsidR="00507A67">
        <w:t>3.17</w:t>
      </w:r>
      <w:r w:rsidR="00DB656A" w:rsidRPr="00496A4D">
        <w:fldChar w:fldCharType="end"/>
      </w:r>
      <w:r w:rsidR="00DB656A" w:rsidRPr="00A52AB8">
        <w:t xml:space="preserve">) </w:t>
      </w:r>
      <w:r w:rsidR="00B073B9" w:rsidRPr="00A52AB8">
        <w:t xml:space="preserve">containing attribute </w:t>
      </w:r>
      <w:r w:rsidR="00B073B9" w:rsidRPr="00A52AB8">
        <w:rPr>
          <w:i/>
        </w:rPr>
        <w:t>patch</w:t>
      </w:r>
      <w:r w:rsidR="00B073B9" w:rsidRPr="00A52AB8">
        <w:t xml:space="preserve"> </w:t>
      </w:r>
      <w:r w:rsidR="00DB656A" w:rsidRPr="00A52AB8">
        <w:t>(</w:t>
      </w:r>
      <w:r w:rsidR="00DB656A" w:rsidRPr="00496A4D">
        <w:fldChar w:fldCharType="begin"/>
      </w:r>
      <w:r w:rsidR="00DB656A" w:rsidRPr="00A52AB8">
        <w:instrText xml:space="preserve"> REF _Ref47523249 \r \h  \* MERGEFORMAT </w:instrText>
      </w:r>
      <w:r w:rsidR="00DB656A" w:rsidRPr="00496A4D">
        <w:fldChar w:fldCharType="separate"/>
      </w:r>
      <w:r w:rsidR="00507A67">
        <w:t>3.93</w:t>
      </w:r>
      <w:r w:rsidR="00DB656A" w:rsidRPr="00496A4D">
        <w:fldChar w:fldCharType="end"/>
      </w:r>
      <w:r w:rsidR="00DB656A" w:rsidRPr="00A52AB8">
        <w:t xml:space="preserve">) </w:t>
      </w:r>
      <w:r w:rsidR="00B073B9" w:rsidRPr="00A52AB8">
        <w:t xml:space="preserve">information </w:t>
      </w:r>
      <w:r w:rsidR="00DB656A" w:rsidRPr="00A52AB8">
        <w:t xml:space="preserve">projected </w:t>
      </w:r>
      <w:r w:rsidR="00B073B9" w:rsidRPr="00A52AB8">
        <w:t xml:space="preserve">at </w:t>
      </w:r>
      <w:r w:rsidR="00DB656A" w:rsidRPr="00A52AB8">
        <w:t xml:space="preserve">a particular depth </w:t>
      </w:r>
      <w:r w:rsidR="00B073B9" w:rsidRPr="00A52AB8">
        <w:t xml:space="preserve">indicated by </w:t>
      </w:r>
      <w:r w:rsidR="00DB656A" w:rsidRPr="00A52AB8">
        <w:t xml:space="preserve">the </w:t>
      </w:r>
      <w:r w:rsidR="00B073B9" w:rsidRPr="00A52AB8">
        <w:t xml:space="preserve">corresponding </w:t>
      </w:r>
      <w:r w:rsidR="00B073B9" w:rsidRPr="00A52AB8">
        <w:rPr>
          <w:i/>
        </w:rPr>
        <w:t>geometry map</w:t>
      </w:r>
      <w:r w:rsidR="00DB656A" w:rsidRPr="00A52AB8">
        <w:t xml:space="preserve"> (</w:t>
      </w:r>
      <w:r w:rsidR="00DB656A" w:rsidRPr="00496A4D">
        <w:fldChar w:fldCharType="begin"/>
      </w:r>
      <w:r w:rsidR="00DB656A" w:rsidRPr="00A52AB8">
        <w:instrText xml:space="preserve"> REF _Ref47525627 \n \h  \* MERGEFORMAT </w:instrText>
      </w:r>
      <w:r w:rsidR="00DB656A" w:rsidRPr="00496A4D">
        <w:fldChar w:fldCharType="separate"/>
      </w:r>
      <w:r w:rsidR="00507A67">
        <w:t>3.65</w:t>
      </w:r>
      <w:r w:rsidR="00DB656A" w:rsidRPr="00496A4D">
        <w:fldChar w:fldCharType="end"/>
      </w:r>
      <w:r w:rsidR="00DB656A" w:rsidRPr="00A52AB8">
        <w:t>)</w:t>
      </w:r>
    </w:p>
    <w:p w14:paraId="2503C325" w14:textId="77777777" w:rsidR="005D03DD" w:rsidRPr="00EB472A" w:rsidRDefault="005D03DD" w:rsidP="00E72F7E">
      <w:pPr>
        <w:pStyle w:val="TermHeading"/>
      </w:pPr>
      <w:bookmarkStart w:id="32" w:name="_Ref50669846"/>
    </w:p>
    <w:bookmarkEnd w:id="32"/>
    <w:p w14:paraId="1C622D99" w14:textId="60A12EB8" w:rsidR="005D03DD" w:rsidRPr="00A52AB8" w:rsidRDefault="005D03DD" w:rsidP="005D03DD">
      <w:pPr>
        <w:pStyle w:val="Terms"/>
        <w:rPr>
          <w:color w:val="000000" w:themeColor="text1"/>
        </w:rPr>
      </w:pPr>
      <w:r w:rsidRPr="00A52AB8">
        <w:rPr>
          <w:color w:val="000000" w:themeColor="text1"/>
        </w:rPr>
        <w:t>auxiliary attribute frame</w:t>
      </w:r>
    </w:p>
    <w:p w14:paraId="7D606EBE" w14:textId="7D199ABB" w:rsidR="005D03DD" w:rsidRPr="00A52AB8" w:rsidRDefault="005D03DD" w:rsidP="005D03DD">
      <w:pPr>
        <w:pStyle w:val="Definition"/>
      </w:pPr>
      <w:r w:rsidRPr="00A52AB8">
        <w:t xml:space="preserve">2D rectangular array that is </w:t>
      </w:r>
      <w:r w:rsidRPr="00A52AB8">
        <w:rPr>
          <w:color w:val="000000" w:themeColor="text1"/>
        </w:rPr>
        <w:t xml:space="preserve">associated with </w:t>
      </w:r>
      <w:r w:rsidRPr="00A52AB8">
        <w:rPr>
          <w:i/>
          <w:color w:val="000000" w:themeColor="text1"/>
        </w:rPr>
        <w:t>RAW patches</w:t>
      </w:r>
      <w:r w:rsidRPr="00A52AB8">
        <w:rPr>
          <w:color w:val="000000" w:themeColor="text1"/>
        </w:rPr>
        <w:t xml:space="preserve"> (</w:t>
      </w:r>
      <w:r w:rsidRPr="00496A4D">
        <w:rPr>
          <w:color w:val="000000" w:themeColor="text1"/>
        </w:rPr>
        <w:fldChar w:fldCharType="begin"/>
      </w:r>
      <w:r w:rsidRPr="00A52AB8">
        <w:rPr>
          <w:color w:val="000000" w:themeColor="text1"/>
        </w:rPr>
        <w:instrText xml:space="preserve"> REF _Ref47981699 \n \h </w:instrText>
      </w:r>
      <w:r w:rsidR="007478BA"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3.111</w:t>
      </w:r>
      <w:r w:rsidRPr="00496A4D">
        <w:rPr>
          <w:color w:val="000000" w:themeColor="text1"/>
        </w:rPr>
        <w:fldChar w:fldCharType="end"/>
      </w:r>
      <w:r w:rsidRPr="00A52AB8">
        <w:rPr>
          <w:color w:val="000000" w:themeColor="text1"/>
        </w:rPr>
        <w:t xml:space="preserve">) and </w:t>
      </w:r>
      <w:r w:rsidRPr="00A52AB8">
        <w:rPr>
          <w:i/>
          <w:color w:val="000000" w:themeColor="text1"/>
        </w:rPr>
        <w:t>EOM</w:t>
      </w:r>
      <w:r w:rsidRPr="00A52AB8">
        <w:rPr>
          <w:color w:val="000000" w:themeColor="text1"/>
        </w:rPr>
        <w:t xml:space="preserve"> </w:t>
      </w:r>
      <w:r w:rsidRPr="00A52AB8">
        <w:rPr>
          <w:i/>
          <w:color w:val="000000" w:themeColor="text1"/>
        </w:rPr>
        <w:t>patches</w:t>
      </w:r>
      <w:r w:rsidRPr="00A52AB8">
        <w:rPr>
          <w:color w:val="000000" w:themeColor="text1"/>
        </w:rPr>
        <w:t xml:space="preserve"> </w:t>
      </w:r>
      <w:r w:rsidRPr="00A52AB8">
        <w:t>(</w:t>
      </w:r>
      <w:r w:rsidRPr="00496A4D">
        <w:fldChar w:fldCharType="begin"/>
      </w:r>
      <w:r w:rsidRPr="00A52AB8">
        <w:instrText xml:space="preserve"> REF _Ref47526105 \n \h </w:instrText>
      </w:r>
      <w:r w:rsidR="007478BA" w:rsidRPr="00A52AB8">
        <w:instrText xml:space="preserve"> \* MERGEFORMAT </w:instrText>
      </w:r>
      <w:r w:rsidRPr="00496A4D">
        <w:fldChar w:fldCharType="separate"/>
      </w:r>
      <w:r w:rsidR="00507A67">
        <w:t>3.57</w:t>
      </w:r>
      <w:r w:rsidRPr="00496A4D">
        <w:fldChar w:fldCharType="end"/>
      </w:r>
      <w:r w:rsidRPr="00A52AB8">
        <w:t xml:space="preserve">), and </w:t>
      </w:r>
      <w:r w:rsidRPr="00A52AB8">
        <w:rPr>
          <w:color w:val="000000" w:themeColor="text1"/>
        </w:rPr>
        <w:t xml:space="preserve">contains values of a specific </w:t>
      </w:r>
      <w:r w:rsidRPr="00A52AB8">
        <w:rPr>
          <w:i/>
          <w:iCs/>
        </w:rPr>
        <w:t>attribute</w:t>
      </w:r>
      <w:r w:rsidRPr="00A52AB8">
        <w:t xml:space="preserve"> (</w:t>
      </w:r>
      <w:r w:rsidR="00926723" w:rsidRPr="00496A4D">
        <w:fldChar w:fldCharType="begin"/>
      </w:r>
      <w:r w:rsidR="00926723" w:rsidRPr="00A52AB8">
        <w:instrText xml:space="preserve"> REF _Ref49509311 \n \h </w:instrText>
      </w:r>
      <w:r w:rsidR="008F69D5" w:rsidRPr="00A52AB8">
        <w:instrText xml:space="preserve"> \* MERGEFORMAT </w:instrText>
      </w:r>
      <w:r w:rsidR="00926723" w:rsidRPr="00496A4D">
        <w:fldChar w:fldCharType="separate"/>
      </w:r>
      <w:r w:rsidR="00507A67">
        <w:t>3.15</w:t>
      </w:r>
      <w:r w:rsidR="00926723" w:rsidRPr="00496A4D">
        <w:fldChar w:fldCharType="end"/>
      </w:r>
      <w:r w:rsidRPr="00A52AB8">
        <w:t>)</w:t>
      </w:r>
    </w:p>
    <w:p w14:paraId="46B363B3" w14:textId="77777777" w:rsidR="005D03DD" w:rsidRPr="00A52AB8" w:rsidRDefault="005D03DD" w:rsidP="00E72F7E">
      <w:pPr>
        <w:pStyle w:val="TermHeading"/>
      </w:pPr>
      <w:bookmarkStart w:id="33" w:name="_Ref50669686"/>
    </w:p>
    <w:bookmarkEnd w:id="33"/>
    <w:p w14:paraId="6B04A12B" w14:textId="3BEF663B" w:rsidR="005D03DD" w:rsidRPr="00A52AB8" w:rsidRDefault="005D03DD" w:rsidP="005D03DD">
      <w:pPr>
        <w:pStyle w:val="Terms"/>
        <w:rPr>
          <w:color w:val="000000" w:themeColor="text1"/>
        </w:rPr>
      </w:pPr>
      <w:r w:rsidRPr="00A52AB8">
        <w:rPr>
          <w:color w:val="000000" w:themeColor="text1"/>
        </w:rPr>
        <w:t>auxiliary geometry frame</w:t>
      </w:r>
    </w:p>
    <w:p w14:paraId="41278FDA" w14:textId="7232F1B6" w:rsidR="005D03DD" w:rsidRPr="00A52AB8" w:rsidRDefault="005D03DD" w:rsidP="005D03DD">
      <w:pPr>
        <w:pStyle w:val="Definition"/>
        <w:rPr>
          <w:color w:val="000000" w:themeColor="text1"/>
        </w:rPr>
      </w:pPr>
      <w:r w:rsidRPr="00A52AB8">
        <w:t xml:space="preserve">2D rectangular array that is </w:t>
      </w:r>
      <w:r w:rsidRPr="00A52AB8">
        <w:rPr>
          <w:color w:val="000000" w:themeColor="text1"/>
        </w:rPr>
        <w:t xml:space="preserve">associated with </w:t>
      </w:r>
      <w:r w:rsidRPr="00A52AB8">
        <w:rPr>
          <w:i/>
          <w:color w:val="000000" w:themeColor="text1"/>
        </w:rPr>
        <w:t>RAW patches</w:t>
      </w:r>
      <w:r w:rsidRPr="00A52AB8">
        <w:rPr>
          <w:color w:val="000000" w:themeColor="text1"/>
        </w:rPr>
        <w:t xml:space="preserve"> (</w:t>
      </w:r>
      <w:r w:rsidRPr="00496A4D">
        <w:rPr>
          <w:color w:val="000000" w:themeColor="text1"/>
        </w:rPr>
        <w:fldChar w:fldCharType="begin"/>
      </w:r>
      <w:r w:rsidRPr="00A52AB8">
        <w:rPr>
          <w:color w:val="000000" w:themeColor="text1"/>
        </w:rPr>
        <w:instrText xml:space="preserve"> REF _Ref47981699 \n \h </w:instrText>
      </w:r>
      <w:r w:rsidR="007478BA"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3.111</w:t>
      </w:r>
      <w:r w:rsidRPr="00496A4D">
        <w:rPr>
          <w:color w:val="000000" w:themeColor="text1"/>
        </w:rPr>
        <w:fldChar w:fldCharType="end"/>
      </w:r>
      <w:r w:rsidRPr="00A52AB8">
        <w:rPr>
          <w:color w:val="000000" w:themeColor="text1"/>
        </w:rPr>
        <w:t>)</w:t>
      </w:r>
      <w:r w:rsidRPr="00A52AB8">
        <w:t xml:space="preserve"> and </w:t>
      </w:r>
      <w:r w:rsidRPr="00A52AB8">
        <w:rPr>
          <w:color w:val="000000" w:themeColor="text1"/>
        </w:rPr>
        <w:t xml:space="preserve">contains </w:t>
      </w:r>
      <w:r w:rsidRPr="00A52AB8">
        <w:rPr>
          <w:i/>
          <w:iCs/>
          <w:color w:val="000000" w:themeColor="text1"/>
        </w:rPr>
        <w:t>geometry</w:t>
      </w:r>
      <w:r w:rsidRPr="00A52AB8">
        <w:rPr>
          <w:color w:val="000000" w:themeColor="text1"/>
        </w:rPr>
        <w:t xml:space="preserve"> (</w:t>
      </w:r>
      <w:r w:rsidRPr="00496A4D">
        <w:rPr>
          <w:color w:val="000000" w:themeColor="text1"/>
        </w:rPr>
        <w:fldChar w:fldCharType="begin"/>
      </w:r>
      <w:r w:rsidRPr="00A52AB8">
        <w:rPr>
          <w:color w:val="000000" w:themeColor="text1"/>
        </w:rPr>
        <w:instrText xml:space="preserve"> REF _Ref47526217 \n \h </w:instrText>
      </w:r>
      <w:r w:rsidR="007478BA"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3.62</w:t>
      </w:r>
      <w:r w:rsidRPr="00496A4D">
        <w:rPr>
          <w:color w:val="000000" w:themeColor="text1"/>
        </w:rPr>
        <w:fldChar w:fldCharType="end"/>
      </w:r>
      <w:r w:rsidRPr="00A52AB8">
        <w:rPr>
          <w:color w:val="000000" w:themeColor="text1"/>
        </w:rPr>
        <w:t>) values</w:t>
      </w:r>
    </w:p>
    <w:p w14:paraId="0C384A6A" w14:textId="77777777" w:rsidR="00645520" w:rsidRPr="00A52AB8" w:rsidRDefault="00645520" w:rsidP="00E72F7E">
      <w:pPr>
        <w:pStyle w:val="TermHeading"/>
      </w:pPr>
    </w:p>
    <w:p w14:paraId="668B7A3B" w14:textId="7E185C3D" w:rsidR="00645520" w:rsidRPr="00A52AB8" w:rsidRDefault="00645520" w:rsidP="00645520">
      <w:pPr>
        <w:pStyle w:val="Terms"/>
        <w:rPr>
          <w:color w:val="000000" w:themeColor="text1"/>
        </w:rPr>
      </w:pPr>
      <w:r w:rsidRPr="00A52AB8">
        <w:rPr>
          <w:color w:val="000000" w:themeColor="text1"/>
        </w:rPr>
        <w:t>auxiliary video component</w:t>
      </w:r>
    </w:p>
    <w:p w14:paraId="0FB83D0D" w14:textId="1FE475BF" w:rsidR="00645520" w:rsidRPr="00A52AB8" w:rsidRDefault="00645520" w:rsidP="005D03DD">
      <w:pPr>
        <w:pStyle w:val="Definition"/>
        <w:rPr>
          <w:color w:val="000000" w:themeColor="text1"/>
        </w:rPr>
      </w:pPr>
      <w:r w:rsidRPr="00A52AB8">
        <w:rPr>
          <w:rFonts w:cs="Calibri"/>
          <w:i/>
          <w:iCs/>
        </w:rPr>
        <w:t>video component</w:t>
      </w:r>
      <w:r w:rsidRPr="00A52AB8">
        <w:rPr>
          <w:rFonts w:cs="Calibri"/>
        </w:rPr>
        <w:t xml:space="preserve"> (</w:t>
      </w:r>
      <w:r w:rsidRPr="00496A4D">
        <w:rPr>
          <w:rFonts w:cs="Calibri"/>
        </w:rPr>
        <w:fldChar w:fldCharType="begin"/>
      </w:r>
      <w:r w:rsidRPr="00A52AB8">
        <w:rPr>
          <w:rFonts w:cs="Calibri"/>
        </w:rPr>
        <w:instrText xml:space="preserve"> REF _Ref51322754 \n \h </w:instrText>
      </w:r>
      <w:r w:rsidR="008F69D5" w:rsidRPr="00A52AB8">
        <w:rPr>
          <w:rFonts w:cs="Calibri"/>
        </w:rPr>
        <w:instrText xml:space="preserve"> \* MERGEFORMAT </w:instrText>
      </w:r>
      <w:r w:rsidRPr="00496A4D">
        <w:rPr>
          <w:rFonts w:cs="Calibri"/>
        </w:rPr>
      </w:r>
      <w:r w:rsidRPr="00496A4D">
        <w:rPr>
          <w:rFonts w:cs="Calibri"/>
        </w:rPr>
        <w:fldChar w:fldCharType="separate"/>
      </w:r>
      <w:r w:rsidR="00507A67">
        <w:rPr>
          <w:rFonts w:cs="Calibri"/>
        </w:rPr>
        <w:t>3.135</w:t>
      </w:r>
      <w:r w:rsidRPr="00496A4D">
        <w:rPr>
          <w:rFonts w:cs="Calibri"/>
        </w:rPr>
        <w:fldChar w:fldCharType="end"/>
      </w:r>
      <w:r w:rsidRPr="00A52AB8">
        <w:rPr>
          <w:rFonts w:cs="Calibri"/>
        </w:rPr>
        <w:t xml:space="preserve">) </w:t>
      </w:r>
      <w:r w:rsidRPr="00A52AB8">
        <w:t>indicated as being of auxiliary type through an appropriate flag in the VPS (</w:t>
      </w:r>
      <w:r w:rsidRPr="00496A4D">
        <w:fldChar w:fldCharType="begin"/>
      </w:r>
      <w:r w:rsidRPr="00A52AB8">
        <w:instrText xml:space="preserve"> REF _Ref50642568 \r \h  \* MERGEFORMAT </w:instrText>
      </w:r>
      <w:r w:rsidRPr="00496A4D">
        <w:fldChar w:fldCharType="separate"/>
      </w:r>
      <w:r w:rsidR="00507A67">
        <w:t>3.144</w:t>
      </w:r>
      <w:r w:rsidRPr="00496A4D">
        <w:fldChar w:fldCharType="end"/>
      </w:r>
      <w:r w:rsidRPr="00A52AB8">
        <w:t xml:space="preserve">) and containing data only associated with </w:t>
      </w:r>
      <w:r w:rsidRPr="00A52AB8">
        <w:rPr>
          <w:i/>
          <w:color w:val="000000" w:themeColor="text1"/>
        </w:rPr>
        <w:t>RAW patches</w:t>
      </w:r>
      <w:r w:rsidRPr="00A52AB8">
        <w:rPr>
          <w:color w:val="000000" w:themeColor="text1"/>
        </w:rPr>
        <w:t xml:space="preserve"> (</w:t>
      </w:r>
      <w:r w:rsidRPr="00496A4D">
        <w:rPr>
          <w:color w:val="000000" w:themeColor="text1"/>
        </w:rPr>
        <w:fldChar w:fldCharType="begin"/>
      </w:r>
      <w:r w:rsidRPr="00A52AB8">
        <w:rPr>
          <w:color w:val="000000" w:themeColor="text1"/>
        </w:rPr>
        <w:instrText xml:space="preserve"> REF _Ref47981699 \n \h  \* MERGEFORMAT </w:instrText>
      </w:r>
      <w:r w:rsidRPr="00496A4D">
        <w:rPr>
          <w:color w:val="000000" w:themeColor="text1"/>
        </w:rPr>
      </w:r>
      <w:r w:rsidRPr="00496A4D">
        <w:rPr>
          <w:color w:val="000000" w:themeColor="text1"/>
        </w:rPr>
        <w:fldChar w:fldCharType="separate"/>
      </w:r>
      <w:r w:rsidR="00507A67">
        <w:rPr>
          <w:color w:val="000000" w:themeColor="text1"/>
        </w:rPr>
        <w:t>3.111</w:t>
      </w:r>
      <w:r w:rsidRPr="00496A4D">
        <w:rPr>
          <w:color w:val="000000" w:themeColor="text1"/>
        </w:rPr>
        <w:fldChar w:fldCharType="end"/>
      </w:r>
      <w:r w:rsidRPr="00A52AB8">
        <w:rPr>
          <w:color w:val="000000" w:themeColor="text1"/>
        </w:rPr>
        <w:t xml:space="preserve">) and/or </w:t>
      </w:r>
      <w:r w:rsidRPr="00A52AB8">
        <w:rPr>
          <w:i/>
          <w:color w:val="000000" w:themeColor="text1"/>
        </w:rPr>
        <w:t>EOM</w:t>
      </w:r>
      <w:r w:rsidRPr="00A52AB8">
        <w:rPr>
          <w:color w:val="000000" w:themeColor="text1"/>
        </w:rPr>
        <w:t xml:space="preserve"> </w:t>
      </w:r>
      <w:r w:rsidRPr="00A52AB8">
        <w:rPr>
          <w:i/>
          <w:color w:val="000000" w:themeColor="text1"/>
        </w:rPr>
        <w:t>patches</w:t>
      </w:r>
      <w:r w:rsidRPr="00A52AB8">
        <w:rPr>
          <w:color w:val="000000" w:themeColor="text1"/>
        </w:rPr>
        <w:t xml:space="preserve"> </w:t>
      </w:r>
      <w:r w:rsidRPr="00A52AB8">
        <w:t>(</w:t>
      </w:r>
      <w:r w:rsidRPr="00496A4D">
        <w:fldChar w:fldCharType="begin"/>
      </w:r>
      <w:r w:rsidRPr="00A52AB8">
        <w:instrText xml:space="preserve"> REF _Ref47526105 \n \h  \* MERGEFORMAT </w:instrText>
      </w:r>
      <w:r w:rsidRPr="00496A4D">
        <w:fldChar w:fldCharType="separate"/>
      </w:r>
      <w:r w:rsidR="00507A67">
        <w:t>3.57</w:t>
      </w:r>
      <w:r w:rsidRPr="00496A4D">
        <w:fldChar w:fldCharType="end"/>
      </w:r>
      <w:r w:rsidRPr="00A52AB8">
        <w:t>)</w:t>
      </w:r>
    </w:p>
    <w:p w14:paraId="6D5A2579" w14:textId="77777777" w:rsidR="00D02CBB" w:rsidRPr="00A52AB8" w:rsidRDefault="00D02CBB" w:rsidP="00E72F7E">
      <w:pPr>
        <w:pStyle w:val="TermHeading"/>
      </w:pPr>
    </w:p>
    <w:p w14:paraId="365C7557" w14:textId="21C44DEB" w:rsidR="00D02CBB" w:rsidRPr="00A52AB8" w:rsidRDefault="00D02CBB" w:rsidP="00D02CBB">
      <w:pPr>
        <w:pStyle w:val="Terms"/>
        <w:rPr>
          <w:color w:val="000000" w:themeColor="text1"/>
        </w:rPr>
      </w:pPr>
      <w:r w:rsidRPr="00A52AB8">
        <w:rPr>
          <w:color w:val="000000" w:themeColor="text1"/>
        </w:rPr>
        <w:t>auxiliary video sub-bitstream</w:t>
      </w:r>
    </w:p>
    <w:p w14:paraId="22A4DDD7" w14:textId="0FBCAC02" w:rsidR="00D02CBB" w:rsidRPr="00A52AB8" w:rsidRDefault="00D02CBB" w:rsidP="005D03DD">
      <w:pPr>
        <w:pStyle w:val="Definition"/>
        <w:rPr>
          <w:color w:val="000000" w:themeColor="text1"/>
        </w:rPr>
      </w:pPr>
      <w:r w:rsidRPr="00A52AB8">
        <w:t>video sub-bitstream (</w:t>
      </w:r>
      <w:r w:rsidRPr="00496A4D">
        <w:fldChar w:fldCharType="begin"/>
      </w:r>
      <w:r w:rsidRPr="00A52AB8">
        <w:instrText xml:space="preserve"> REF _Ref50934758 \r \h </w:instrText>
      </w:r>
      <w:r w:rsidR="007478BA" w:rsidRPr="00A52AB8">
        <w:instrText xml:space="preserve"> \* MERGEFORMAT </w:instrText>
      </w:r>
      <w:r w:rsidRPr="00496A4D">
        <w:fldChar w:fldCharType="separate"/>
      </w:r>
      <w:r w:rsidR="00507A67">
        <w:t>3.137</w:t>
      </w:r>
      <w:r w:rsidRPr="00496A4D">
        <w:fldChar w:fldCharType="end"/>
      </w:r>
      <w:r w:rsidRPr="00A52AB8">
        <w:t>) indicated as being of auxiliary type through an appropriate flag in the VPS (</w:t>
      </w:r>
      <w:r w:rsidRPr="00496A4D">
        <w:fldChar w:fldCharType="begin"/>
      </w:r>
      <w:r w:rsidRPr="00A52AB8">
        <w:instrText xml:space="preserve"> REF _Ref50642568 \r \h </w:instrText>
      </w:r>
      <w:r w:rsidR="007478BA" w:rsidRPr="00A52AB8">
        <w:instrText xml:space="preserve"> \* MERGEFORMAT </w:instrText>
      </w:r>
      <w:r w:rsidRPr="00496A4D">
        <w:fldChar w:fldCharType="separate"/>
      </w:r>
      <w:r w:rsidR="00507A67">
        <w:t>3.144</w:t>
      </w:r>
      <w:r w:rsidRPr="00496A4D">
        <w:fldChar w:fldCharType="end"/>
      </w:r>
      <w:r w:rsidRPr="00A52AB8">
        <w:t xml:space="preserve">) and containing data only associated with </w:t>
      </w:r>
      <w:r w:rsidRPr="00A52AB8">
        <w:rPr>
          <w:i/>
          <w:color w:val="000000" w:themeColor="text1"/>
        </w:rPr>
        <w:t>RAW patches</w:t>
      </w:r>
      <w:r w:rsidRPr="00A52AB8">
        <w:rPr>
          <w:color w:val="000000" w:themeColor="text1"/>
        </w:rPr>
        <w:t xml:space="preserve"> (</w:t>
      </w:r>
      <w:r w:rsidRPr="00496A4D">
        <w:rPr>
          <w:color w:val="000000" w:themeColor="text1"/>
        </w:rPr>
        <w:fldChar w:fldCharType="begin"/>
      </w:r>
      <w:r w:rsidRPr="00A52AB8">
        <w:rPr>
          <w:color w:val="000000" w:themeColor="text1"/>
        </w:rPr>
        <w:instrText xml:space="preserve"> REF _Ref47981699 \n \h </w:instrText>
      </w:r>
      <w:r w:rsidR="007478BA"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3.111</w:t>
      </w:r>
      <w:r w:rsidRPr="00496A4D">
        <w:rPr>
          <w:color w:val="000000" w:themeColor="text1"/>
        </w:rPr>
        <w:fldChar w:fldCharType="end"/>
      </w:r>
      <w:r w:rsidRPr="00A52AB8">
        <w:rPr>
          <w:color w:val="000000" w:themeColor="text1"/>
        </w:rPr>
        <w:t xml:space="preserve">) and/or </w:t>
      </w:r>
      <w:r w:rsidRPr="00A52AB8">
        <w:rPr>
          <w:i/>
          <w:color w:val="000000" w:themeColor="text1"/>
        </w:rPr>
        <w:t>EOM</w:t>
      </w:r>
      <w:r w:rsidRPr="00A52AB8">
        <w:rPr>
          <w:color w:val="000000" w:themeColor="text1"/>
        </w:rPr>
        <w:t xml:space="preserve"> </w:t>
      </w:r>
      <w:r w:rsidRPr="00A52AB8">
        <w:rPr>
          <w:i/>
          <w:color w:val="000000" w:themeColor="text1"/>
        </w:rPr>
        <w:t>patches</w:t>
      </w:r>
      <w:r w:rsidRPr="00A52AB8">
        <w:rPr>
          <w:color w:val="000000" w:themeColor="text1"/>
        </w:rPr>
        <w:t xml:space="preserve"> </w:t>
      </w:r>
      <w:r w:rsidRPr="00A52AB8">
        <w:t>(</w:t>
      </w:r>
      <w:r w:rsidRPr="00496A4D">
        <w:fldChar w:fldCharType="begin"/>
      </w:r>
      <w:r w:rsidRPr="00A52AB8">
        <w:instrText xml:space="preserve"> REF _Ref47526105 \n \h </w:instrText>
      </w:r>
      <w:r w:rsidR="007478BA" w:rsidRPr="00A52AB8">
        <w:instrText xml:space="preserve"> \* MERGEFORMAT </w:instrText>
      </w:r>
      <w:r w:rsidRPr="00496A4D">
        <w:fldChar w:fldCharType="separate"/>
      </w:r>
      <w:r w:rsidR="00507A67">
        <w:t>3.57</w:t>
      </w:r>
      <w:r w:rsidRPr="00496A4D">
        <w:fldChar w:fldCharType="end"/>
      </w:r>
      <w:r w:rsidRPr="00A52AB8">
        <w:t>)</w:t>
      </w:r>
    </w:p>
    <w:p w14:paraId="69C410C8" w14:textId="77777777" w:rsidR="00564EF6" w:rsidRPr="00A52AB8" w:rsidRDefault="00564EF6" w:rsidP="00E72F7E">
      <w:pPr>
        <w:pStyle w:val="TermHeading"/>
      </w:pPr>
      <w:bookmarkStart w:id="34" w:name="_Ref47523191"/>
    </w:p>
    <w:bookmarkEnd w:id="34"/>
    <w:p w14:paraId="21C4C929" w14:textId="77777777" w:rsidR="00564EF6" w:rsidRPr="00A52AB8" w:rsidRDefault="00564EF6" w:rsidP="00564EF6">
      <w:pPr>
        <w:pStyle w:val="Terms"/>
        <w:rPr>
          <w:color w:val="000000" w:themeColor="text1"/>
        </w:rPr>
      </w:pPr>
      <w:r w:rsidRPr="00A52AB8">
        <w:rPr>
          <w:color w:val="000000" w:themeColor="text1"/>
        </w:rPr>
        <w:t>bitstream</w:t>
      </w:r>
    </w:p>
    <w:p w14:paraId="1565F114" w14:textId="17F0B224" w:rsidR="00564EF6" w:rsidRPr="00A52AB8" w:rsidRDefault="0010558E" w:rsidP="00564EF6">
      <w:pPr>
        <w:pStyle w:val="Definition"/>
      </w:pPr>
      <w:r w:rsidRPr="00A52AB8">
        <w:rPr>
          <w:iCs/>
        </w:rPr>
        <w:t>ordered series of bits that forms the coded representation of the data</w:t>
      </w:r>
    </w:p>
    <w:p w14:paraId="02DE552D" w14:textId="77777777" w:rsidR="00564EF6" w:rsidRPr="00A52AB8" w:rsidRDefault="00564EF6" w:rsidP="00E72F7E">
      <w:pPr>
        <w:pStyle w:val="TermHeading"/>
      </w:pPr>
      <w:bookmarkStart w:id="35" w:name="_Ref47526560"/>
    </w:p>
    <w:bookmarkEnd w:id="35"/>
    <w:p w14:paraId="267648B6" w14:textId="77777777" w:rsidR="00564EF6" w:rsidRPr="00A52AB8" w:rsidRDefault="00564EF6" w:rsidP="00564EF6">
      <w:pPr>
        <w:pStyle w:val="Terms"/>
        <w:rPr>
          <w:color w:val="000000" w:themeColor="text1"/>
        </w:rPr>
      </w:pPr>
      <w:r w:rsidRPr="00A52AB8">
        <w:rPr>
          <w:color w:val="000000" w:themeColor="text1"/>
        </w:rPr>
        <w:t>byte</w:t>
      </w:r>
    </w:p>
    <w:p w14:paraId="22D02BCA" w14:textId="1CC97345" w:rsidR="00564EF6" w:rsidRPr="00A52AB8" w:rsidRDefault="00564EF6" w:rsidP="00564EF6">
      <w:pPr>
        <w:pStyle w:val="Definition"/>
      </w:pPr>
      <w:r w:rsidRPr="00A52AB8">
        <w:t>sequence of 8 bits, within which, when written or read as a sequence of bit values, the left-most and right-most bits represent the most and least significant bits, respectively</w:t>
      </w:r>
    </w:p>
    <w:p w14:paraId="0C18EBDC" w14:textId="77777777" w:rsidR="007527EB" w:rsidRPr="00A52AB8" w:rsidRDefault="007527EB" w:rsidP="00E72F7E">
      <w:pPr>
        <w:pStyle w:val="TermHeading"/>
      </w:pPr>
    </w:p>
    <w:p w14:paraId="331D0FF2" w14:textId="7B754ABF" w:rsidR="007527EB" w:rsidRPr="00A52AB8" w:rsidRDefault="007527EB" w:rsidP="007527EB">
      <w:pPr>
        <w:pStyle w:val="Terms"/>
        <w:rPr>
          <w:color w:val="000000" w:themeColor="text1"/>
        </w:rPr>
      </w:pPr>
      <w:r w:rsidRPr="00A52AB8">
        <w:rPr>
          <w:color w:val="000000" w:themeColor="text1"/>
        </w:rPr>
        <w:t>broken link access access unit</w:t>
      </w:r>
      <w:r w:rsidRPr="00A52AB8">
        <w:rPr>
          <w:color w:val="000000" w:themeColor="text1"/>
        </w:rPr>
        <w:br/>
        <w:t>BLA access unit</w:t>
      </w:r>
    </w:p>
    <w:p w14:paraId="7757D1C4" w14:textId="0D8F5B41" w:rsidR="007527EB" w:rsidRPr="00A52AB8" w:rsidRDefault="007527EB" w:rsidP="007527EB">
      <w:pPr>
        <w:pStyle w:val="Definition"/>
      </w:pPr>
      <w:r w:rsidRPr="00A52AB8">
        <w:rPr>
          <w:iCs/>
          <w:color w:val="000000" w:themeColor="text1"/>
        </w:rPr>
        <w:t>access unit</w:t>
      </w:r>
      <w:r w:rsidRPr="00A52AB8">
        <w:rPr>
          <w:i/>
          <w:iCs/>
          <w:color w:val="000000" w:themeColor="text1"/>
        </w:rPr>
        <w:t xml:space="preserve"> </w:t>
      </w:r>
      <w:r w:rsidRPr="00A52AB8">
        <w:rPr>
          <w:iCs/>
          <w:color w:val="000000" w:themeColor="text1"/>
        </w:rPr>
        <w:t xml:space="preserve">in which the </w:t>
      </w:r>
      <w:r w:rsidRPr="00A52AB8">
        <w:rPr>
          <w:i/>
          <w:iCs/>
          <w:color w:val="000000" w:themeColor="text1"/>
        </w:rPr>
        <w:t xml:space="preserve">coded atlas </w:t>
      </w:r>
      <w:r w:rsidRPr="00A52AB8">
        <w:rPr>
          <w:color w:val="000000" w:themeColor="text1"/>
        </w:rPr>
        <w:t>(</w:t>
      </w:r>
      <w:r w:rsidRPr="00496A4D">
        <w:rPr>
          <w:color w:val="000000" w:themeColor="text1"/>
        </w:rPr>
        <w:fldChar w:fldCharType="begin"/>
      </w:r>
      <w:r w:rsidRPr="00A52AB8">
        <w:rPr>
          <w:color w:val="000000" w:themeColor="text1"/>
        </w:rPr>
        <w:instrText xml:space="preserve"> REF _Ref47525438 \r \h  \* MERGEFORMAT </w:instrText>
      </w:r>
      <w:r w:rsidRPr="00496A4D">
        <w:rPr>
          <w:color w:val="000000" w:themeColor="text1"/>
        </w:rPr>
      </w:r>
      <w:r w:rsidRPr="00496A4D">
        <w:rPr>
          <w:color w:val="000000" w:themeColor="text1"/>
        </w:rPr>
        <w:fldChar w:fldCharType="separate"/>
      </w:r>
      <w:r w:rsidR="00507A67">
        <w:rPr>
          <w:color w:val="000000" w:themeColor="text1"/>
        </w:rPr>
        <w:t>3.34</w:t>
      </w:r>
      <w:r w:rsidRPr="00496A4D">
        <w:rPr>
          <w:color w:val="000000" w:themeColor="text1"/>
        </w:rPr>
        <w:fldChar w:fldCharType="end"/>
      </w:r>
      <w:r w:rsidRPr="00A52AB8">
        <w:rPr>
          <w:color w:val="000000" w:themeColor="text1"/>
        </w:rPr>
        <w:t xml:space="preserve">) with nal_layer_id equal to 0 is a </w:t>
      </w:r>
      <w:r w:rsidRPr="00A52AB8">
        <w:rPr>
          <w:i/>
          <w:color w:val="000000" w:themeColor="text1"/>
        </w:rPr>
        <w:t>BLA coded atlas</w:t>
      </w:r>
      <w:r w:rsidRPr="00A52AB8">
        <w:rPr>
          <w:color w:val="000000" w:themeColor="text1"/>
        </w:rPr>
        <w:t xml:space="preserve"> (</w:t>
      </w:r>
      <w:r w:rsidRPr="00496A4D">
        <w:rPr>
          <w:color w:val="000000" w:themeColor="text1"/>
        </w:rPr>
        <w:fldChar w:fldCharType="begin"/>
      </w:r>
      <w:r w:rsidRPr="00A52AB8">
        <w:rPr>
          <w:color w:val="000000" w:themeColor="text1"/>
        </w:rPr>
        <w:instrText xml:space="preserve"> REF _Ref49594974 \n \h  \* MERGEFORMAT </w:instrText>
      </w:r>
      <w:r w:rsidRPr="00496A4D">
        <w:rPr>
          <w:color w:val="000000" w:themeColor="text1"/>
        </w:rPr>
      </w:r>
      <w:r w:rsidRPr="00496A4D">
        <w:rPr>
          <w:color w:val="000000" w:themeColor="text1"/>
        </w:rPr>
        <w:fldChar w:fldCharType="separate"/>
      </w:r>
      <w:r w:rsidR="00507A67">
        <w:rPr>
          <w:color w:val="000000" w:themeColor="text1"/>
        </w:rPr>
        <w:t>3.26</w:t>
      </w:r>
      <w:r w:rsidRPr="00496A4D">
        <w:rPr>
          <w:color w:val="000000" w:themeColor="text1"/>
        </w:rPr>
        <w:fldChar w:fldCharType="end"/>
      </w:r>
      <w:r w:rsidRPr="00A52AB8">
        <w:rPr>
          <w:color w:val="000000" w:themeColor="text1"/>
        </w:rPr>
        <w:t>)</w:t>
      </w:r>
    </w:p>
    <w:p w14:paraId="272C9B4F" w14:textId="77777777" w:rsidR="00564EF6" w:rsidRPr="00A52AB8" w:rsidRDefault="00564EF6" w:rsidP="00E72F7E">
      <w:pPr>
        <w:pStyle w:val="TermHeading"/>
      </w:pPr>
      <w:bookmarkStart w:id="36" w:name="_Ref49594974"/>
    </w:p>
    <w:bookmarkEnd w:id="36"/>
    <w:p w14:paraId="754EDEA4" w14:textId="77777777" w:rsidR="00564EF6" w:rsidRPr="00A52AB8" w:rsidRDefault="00564EF6" w:rsidP="00564EF6">
      <w:pPr>
        <w:pStyle w:val="Terms"/>
        <w:rPr>
          <w:color w:val="000000" w:themeColor="text1"/>
        </w:rPr>
      </w:pPr>
      <w:r w:rsidRPr="00A52AB8">
        <w:rPr>
          <w:color w:val="000000" w:themeColor="text1"/>
        </w:rPr>
        <w:t>broken link access coded atlas</w:t>
      </w:r>
      <w:r w:rsidRPr="00A52AB8">
        <w:rPr>
          <w:color w:val="000000" w:themeColor="text1"/>
        </w:rPr>
        <w:br/>
        <w:t>BLA coded atlas</w:t>
      </w:r>
    </w:p>
    <w:p w14:paraId="6DC03B94" w14:textId="35A531AC" w:rsidR="00564EF6" w:rsidRPr="00A52AB8" w:rsidRDefault="00564EF6" w:rsidP="00564EF6">
      <w:pPr>
        <w:pStyle w:val="Definition"/>
      </w:pPr>
      <w:r w:rsidRPr="00A52AB8">
        <w:rPr>
          <w:i/>
          <w:iCs/>
          <w:color w:val="000000" w:themeColor="text1"/>
        </w:rPr>
        <w:t>IRAP coded atlas</w:t>
      </w:r>
      <w:r w:rsidRPr="00A52AB8">
        <w:rPr>
          <w:color w:val="000000" w:themeColor="text1"/>
        </w:rPr>
        <w:t xml:space="preserve"> (</w:t>
      </w:r>
      <w:r w:rsidR="00C22693" w:rsidRPr="00496A4D">
        <w:rPr>
          <w:color w:val="000000" w:themeColor="text1"/>
        </w:rPr>
        <w:fldChar w:fldCharType="begin"/>
      </w:r>
      <w:r w:rsidR="00C22693" w:rsidRPr="00A52AB8">
        <w:rPr>
          <w:color w:val="000000" w:themeColor="text1"/>
        </w:rPr>
        <w:instrText xml:space="preserve"> REF _Ref49778170 \r \h </w:instrText>
      </w:r>
      <w:r w:rsidR="00007BE2" w:rsidRPr="00A52AB8">
        <w:rPr>
          <w:color w:val="000000" w:themeColor="text1"/>
        </w:rPr>
        <w:instrText xml:space="preserve"> \* MERGEFORMAT </w:instrText>
      </w:r>
      <w:r w:rsidR="00C22693" w:rsidRPr="00496A4D">
        <w:rPr>
          <w:color w:val="000000" w:themeColor="text1"/>
        </w:rPr>
      </w:r>
      <w:r w:rsidR="00C22693" w:rsidRPr="00496A4D">
        <w:rPr>
          <w:color w:val="000000" w:themeColor="text1"/>
        </w:rPr>
        <w:fldChar w:fldCharType="separate"/>
      </w:r>
      <w:r w:rsidR="00507A67">
        <w:rPr>
          <w:color w:val="000000" w:themeColor="text1"/>
        </w:rPr>
        <w:t>3.79</w:t>
      </w:r>
      <w:r w:rsidR="00C22693" w:rsidRPr="00496A4D">
        <w:rPr>
          <w:color w:val="000000" w:themeColor="text1"/>
        </w:rPr>
        <w:fldChar w:fldCharType="end"/>
      </w:r>
      <w:r w:rsidR="00322079" w:rsidRPr="00A52AB8">
        <w:rPr>
          <w:color w:val="000000" w:themeColor="text1"/>
        </w:rPr>
        <w:t xml:space="preserve">) </w:t>
      </w:r>
      <w:r w:rsidRPr="00A52AB8">
        <w:t xml:space="preserve">frame for which each </w:t>
      </w:r>
      <w:r w:rsidRPr="00A52AB8">
        <w:rPr>
          <w:i/>
          <w:iCs/>
        </w:rPr>
        <w:t>ACL</w:t>
      </w:r>
      <w:r w:rsidR="00FF25EB" w:rsidRPr="00A52AB8">
        <w:rPr>
          <w:i/>
          <w:iCs/>
        </w:rPr>
        <w:t xml:space="preserve"> NAL </w:t>
      </w:r>
      <w:r w:rsidRPr="00A52AB8">
        <w:rPr>
          <w:i/>
          <w:iCs/>
        </w:rPr>
        <w:t>unit</w:t>
      </w:r>
      <w:r w:rsidRPr="00A52AB8">
        <w:t xml:space="preserve"> </w:t>
      </w:r>
      <w:r w:rsidR="009C0AC4" w:rsidRPr="00A52AB8">
        <w:t>(</w:t>
      </w:r>
      <w:r w:rsidR="009C0AC4" w:rsidRPr="00496A4D">
        <w:fldChar w:fldCharType="begin"/>
      </w:r>
      <w:r w:rsidR="009C0AC4" w:rsidRPr="00A52AB8">
        <w:instrText xml:space="preserve"> REF _Ref49013819 \n \h </w:instrText>
      </w:r>
      <w:r w:rsidR="007478BA" w:rsidRPr="00A52AB8">
        <w:instrText xml:space="preserve"> \* MERGEFORMAT </w:instrText>
      </w:r>
      <w:r w:rsidR="009C0AC4" w:rsidRPr="00496A4D">
        <w:fldChar w:fldCharType="separate"/>
      </w:r>
      <w:r w:rsidR="00507A67">
        <w:t>3.6</w:t>
      </w:r>
      <w:r w:rsidR="009C0AC4" w:rsidRPr="00496A4D">
        <w:fldChar w:fldCharType="end"/>
      </w:r>
      <w:r w:rsidR="009C0AC4" w:rsidRPr="00A52AB8">
        <w:t xml:space="preserve">) </w:t>
      </w:r>
      <w:r w:rsidRPr="00A52AB8">
        <w:t>has nal_unit_type equal to NAL_BLA_W_LP, NAL_GBLA_W_LP, NAL_BLA_W_RADL NAL_GBLA_W_RADL, NAL_BLA_N_LP or NAL_GBLA_N_LP.</w:t>
      </w:r>
    </w:p>
    <w:p w14:paraId="02BA7C4E" w14:textId="63A2240B" w:rsidR="00564EF6" w:rsidRPr="00A52AB8" w:rsidRDefault="00564EF6" w:rsidP="00564EF6">
      <w:pPr>
        <w:pStyle w:val="Note1"/>
        <w:rPr>
          <w:rFonts w:ascii="Cambria" w:hAnsi="Cambria"/>
        </w:rPr>
      </w:pPr>
      <w:r w:rsidRPr="00A52AB8">
        <w:rPr>
          <w:rFonts w:ascii="Cambria" w:hAnsi="Cambria"/>
        </w:rPr>
        <w:t>NOTE</w:t>
      </w:r>
      <w:r w:rsidR="00892D52" w:rsidRPr="00A52AB8">
        <w:rPr>
          <w:rFonts w:ascii="Cambria" w:hAnsi="Cambria"/>
        </w:rPr>
        <w:t> </w:t>
      </w:r>
      <w:r w:rsidRPr="00A52AB8">
        <w:rPr>
          <w:rFonts w:ascii="Cambria" w:hAnsi="Cambria"/>
        </w:rPr>
        <w:t>–</w:t>
      </w:r>
      <w:r w:rsidR="00892D52" w:rsidRPr="00A52AB8">
        <w:rPr>
          <w:rFonts w:ascii="Cambria" w:hAnsi="Cambria"/>
        </w:rPr>
        <w:t> </w:t>
      </w:r>
      <w:r w:rsidRPr="00A52AB8">
        <w:rPr>
          <w:rFonts w:ascii="Cambria" w:hAnsi="Cambria"/>
        </w:rPr>
        <w:t>A BLA coded atlas does not use inter prediction in its decoding process, and could be the first coded atlas in the bitstream in decoding order, or could appear later in the bitstream. Each BLA coded atlas begins a new CAS, and has the same effect on the decoding process as an instantaneous decoding refresh (IDR) coded atlas. However, a BLA coded atlas contains syntax elements that specify a non-empty DAB. When a BLA coded atlas frame for which each ACL NAL unit has nal_unit_type equal to NAL_BLA_W_LP or NAL_GBLA_W_LP, it may have associated random access skipped leading (RASL) coded atlas frames, which are not output by the decoder and may not be decodable, as they may contain references to atlas frames that are not present in the bitstream. When a BLA coded atlas frame for which each ACL NAL unit has nal_unit_type equal to NAL_BLA_W_LP or NAL_GBLA_W_LP, it may also have associated RADL coded atlas frames, which are specified to be decoded. When a BLA coded atlas frame for which each ACL NAL unit has nal_unit_type equal to NAL_BLA_W_RADL or NAL_GBLA_W_RADL, it does not have associated RASL coded atlas frames but may have associated random access decodable leading (RADL) coded atlas frames. When a BLA coded atlas frame for which each ACL NAL unit has nal_unit_type equal to NAL_BLA_N_LP or NAL_GBLA_N_LP, it does not have any associated leading coded atlas frames.</w:t>
      </w:r>
    </w:p>
    <w:p w14:paraId="473F603A" w14:textId="77777777" w:rsidR="00564EF6" w:rsidRPr="00A52AB8" w:rsidRDefault="00564EF6" w:rsidP="00E72F7E">
      <w:pPr>
        <w:pStyle w:val="TermHeading"/>
      </w:pPr>
      <w:bookmarkStart w:id="37" w:name="_Ref47525259"/>
    </w:p>
    <w:bookmarkEnd w:id="37"/>
    <w:p w14:paraId="655B6B22" w14:textId="77777777" w:rsidR="00564EF6" w:rsidRPr="00A52AB8" w:rsidRDefault="00564EF6" w:rsidP="00564EF6">
      <w:pPr>
        <w:pStyle w:val="Terms"/>
        <w:rPr>
          <w:color w:val="000000" w:themeColor="text1"/>
        </w:rPr>
      </w:pPr>
      <w:r w:rsidRPr="00A52AB8">
        <w:rPr>
          <w:color w:val="000000" w:themeColor="text1"/>
        </w:rPr>
        <w:t>byte-aligned</w:t>
      </w:r>
    </w:p>
    <w:p w14:paraId="1EFFDB9B" w14:textId="56A23C3F" w:rsidR="0050235C" w:rsidRPr="00A52AB8" w:rsidRDefault="00564EF6" w:rsidP="00564EF6">
      <w:pPr>
        <w:pStyle w:val="Definition"/>
        <w:rPr>
          <w:rFonts w:cs="Calibri"/>
        </w:rPr>
      </w:pPr>
      <w:r w:rsidRPr="00A52AB8">
        <w:t xml:space="preserve">positioned as an integer multiple of 8 bits from the position of the first bit in the </w:t>
      </w:r>
      <w:r w:rsidRPr="00A52AB8">
        <w:rPr>
          <w:rFonts w:cs="Calibri"/>
          <w:i/>
          <w:iCs/>
        </w:rPr>
        <w:t>bitstream</w:t>
      </w:r>
      <w:r w:rsidRPr="00A52AB8">
        <w:rPr>
          <w:rFonts w:cs="Calibri"/>
        </w:rPr>
        <w:t xml:space="preserve"> (</w:t>
      </w:r>
      <w:r w:rsidRPr="00496A4D">
        <w:rPr>
          <w:rFonts w:cs="Calibri"/>
        </w:rPr>
        <w:fldChar w:fldCharType="begin"/>
      </w:r>
      <w:r w:rsidRPr="00A52AB8">
        <w:rPr>
          <w:rFonts w:cs="Calibri"/>
        </w:rPr>
        <w:instrText xml:space="preserve"> REF _Ref47523191 \r \h </w:instrText>
      </w:r>
      <w:r w:rsidR="006371AA" w:rsidRPr="00A52AB8">
        <w:rPr>
          <w:rFonts w:cs="Calibri"/>
        </w:rPr>
        <w:instrText xml:space="preserve"> \* MERGEFORMAT </w:instrText>
      </w:r>
      <w:r w:rsidRPr="00496A4D">
        <w:rPr>
          <w:rFonts w:cs="Calibri"/>
        </w:rPr>
      </w:r>
      <w:r w:rsidRPr="00496A4D">
        <w:rPr>
          <w:rFonts w:cs="Calibri"/>
        </w:rPr>
        <w:fldChar w:fldCharType="separate"/>
      </w:r>
      <w:r w:rsidR="00507A67">
        <w:rPr>
          <w:rFonts w:cs="Calibri"/>
        </w:rPr>
        <w:t>3.23</w:t>
      </w:r>
      <w:r w:rsidRPr="00496A4D">
        <w:rPr>
          <w:rFonts w:cs="Calibri"/>
        </w:rPr>
        <w:fldChar w:fldCharType="end"/>
      </w:r>
      <w:r w:rsidRPr="00A52AB8">
        <w:rPr>
          <w:rFonts w:cs="Calibri"/>
        </w:rPr>
        <w:t>)</w:t>
      </w:r>
    </w:p>
    <w:p w14:paraId="07A638CA" w14:textId="161AD8E7" w:rsidR="00564EF6" w:rsidRPr="00A52AB8" w:rsidRDefault="00564EF6" w:rsidP="00E72F7E">
      <w:pPr>
        <w:pStyle w:val="TermHeading"/>
      </w:pPr>
    </w:p>
    <w:p w14:paraId="0EDD4745" w14:textId="1C27B4D4" w:rsidR="00564EF6" w:rsidRPr="00A52AB8" w:rsidRDefault="00564EF6" w:rsidP="00564EF6">
      <w:pPr>
        <w:pStyle w:val="Terms"/>
        <w:rPr>
          <w:color w:val="000000" w:themeColor="text1"/>
        </w:rPr>
      </w:pPr>
      <w:r w:rsidRPr="00A52AB8">
        <w:rPr>
          <w:color w:val="000000" w:themeColor="text1"/>
        </w:rPr>
        <w:t xml:space="preserve">byte-aligned </w:t>
      </w:r>
      <w:r w:rsidR="00463052" w:rsidRPr="00A52AB8">
        <w:rPr>
          <w:color w:val="000000" w:themeColor="text1"/>
        </w:rPr>
        <w:t>position</w:t>
      </w:r>
    </w:p>
    <w:p w14:paraId="5A03EA25" w14:textId="36D23EE0" w:rsidR="00564EF6" w:rsidRPr="00A52AB8" w:rsidRDefault="00564EF6" w:rsidP="00564EF6">
      <w:pPr>
        <w:pStyle w:val="Definition"/>
      </w:pPr>
      <w:r w:rsidRPr="00A52AB8">
        <w:t xml:space="preserve">position in a </w:t>
      </w:r>
      <w:r w:rsidRPr="00A52AB8">
        <w:rPr>
          <w:rFonts w:cs="Calibri"/>
          <w:i/>
          <w:iCs/>
        </w:rPr>
        <w:t>bitstream</w:t>
      </w:r>
      <w:r w:rsidRPr="00A52AB8">
        <w:rPr>
          <w:rFonts w:cs="Calibri"/>
        </w:rPr>
        <w:t xml:space="preserve"> (</w:t>
      </w:r>
      <w:r w:rsidRPr="00496A4D">
        <w:rPr>
          <w:rFonts w:cs="Calibri"/>
        </w:rPr>
        <w:fldChar w:fldCharType="begin"/>
      </w:r>
      <w:r w:rsidRPr="00A52AB8">
        <w:rPr>
          <w:rFonts w:cs="Calibri"/>
        </w:rPr>
        <w:instrText xml:space="preserve"> REF _Ref47523191 \r \h </w:instrText>
      </w:r>
      <w:r w:rsidR="006371AA" w:rsidRPr="00A52AB8">
        <w:rPr>
          <w:rFonts w:cs="Calibri"/>
        </w:rPr>
        <w:instrText xml:space="preserve"> \* MERGEFORMAT </w:instrText>
      </w:r>
      <w:r w:rsidRPr="00496A4D">
        <w:rPr>
          <w:rFonts w:cs="Calibri"/>
        </w:rPr>
      </w:r>
      <w:r w:rsidRPr="00496A4D">
        <w:rPr>
          <w:rFonts w:cs="Calibri"/>
        </w:rPr>
        <w:fldChar w:fldCharType="separate"/>
      </w:r>
      <w:r w:rsidR="00507A67">
        <w:rPr>
          <w:rFonts w:cs="Calibri"/>
        </w:rPr>
        <w:t>3.23</w:t>
      </w:r>
      <w:r w:rsidRPr="00496A4D">
        <w:rPr>
          <w:rFonts w:cs="Calibri"/>
        </w:rPr>
        <w:fldChar w:fldCharType="end"/>
      </w:r>
      <w:r w:rsidRPr="00A52AB8">
        <w:rPr>
          <w:rFonts w:cs="Calibri"/>
        </w:rPr>
        <w:t xml:space="preserve">) </w:t>
      </w:r>
      <w:r w:rsidRPr="00A52AB8">
        <w:t xml:space="preserve">that is </w:t>
      </w:r>
      <w:r w:rsidRPr="00A52AB8">
        <w:rPr>
          <w:i/>
          <w:iCs/>
        </w:rPr>
        <w:t xml:space="preserve">byte-aligned </w:t>
      </w:r>
      <w:r w:rsidRPr="00A52AB8">
        <w:t>(</w:t>
      </w:r>
      <w:r w:rsidRPr="00496A4D">
        <w:fldChar w:fldCharType="begin"/>
      </w:r>
      <w:r w:rsidRPr="00A52AB8">
        <w:instrText xml:space="preserve"> REF _Ref47525259 \r \h </w:instrText>
      </w:r>
      <w:r w:rsidR="006371AA" w:rsidRPr="00A52AB8">
        <w:instrText xml:space="preserve"> \* MERGEFORMAT </w:instrText>
      </w:r>
      <w:r w:rsidRPr="00496A4D">
        <w:fldChar w:fldCharType="separate"/>
      </w:r>
      <w:r w:rsidR="00507A67">
        <w:t>3.27</w:t>
      </w:r>
      <w:r w:rsidRPr="00496A4D">
        <w:fldChar w:fldCharType="end"/>
      </w:r>
      <w:r w:rsidRPr="00A52AB8">
        <w:t>)</w:t>
      </w:r>
    </w:p>
    <w:p w14:paraId="633A839A" w14:textId="77777777" w:rsidR="00564EF6" w:rsidRPr="00A52AB8" w:rsidRDefault="00564EF6" w:rsidP="00E72F7E">
      <w:pPr>
        <w:pStyle w:val="TermHeading"/>
      </w:pPr>
      <w:bookmarkStart w:id="38" w:name="_Ref47525284"/>
    </w:p>
    <w:bookmarkEnd w:id="38"/>
    <w:p w14:paraId="56D795F1" w14:textId="77777777" w:rsidR="00564EF6" w:rsidRPr="00A52AB8" w:rsidRDefault="00564EF6" w:rsidP="00564EF6">
      <w:pPr>
        <w:pStyle w:val="Terms"/>
        <w:rPr>
          <w:color w:val="000000" w:themeColor="text1"/>
        </w:rPr>
      </w:pPr>
      <w:r w:rsidRPr="00A52AB8">
        <w:rPr>
          <w:color w:val="000000" w:themeColor="text1"/>
        </w:rPr>
        <w:t>byte-aligned byte</w:t>
      </w:r>
    </w:p>
    <w:p w14:paraId="27A02714" w14:textId="27113ABB" w:rsidR="00564EF6" w:rsidRPr="00A52AB8" w:rsidRDefault="00564EF6" w:rsidP="00564EF6">
      <w:pPr>
        <w:pStyle w:val="Definition"/>
      </w:pPr>
      <w:r w:rsidRPr="00A52AB8">
        <w:rPr>
          <w:i/>
          <w:iCs/>
        </w:rPr>
        <w:t>byte</w:t>
      </w:r>
      <w:r w:rsidRPr="00A52AB8">
        <w:t xml:space="preserve"> (</w:t>
      </w:r>
      <w:r w:rsidR="00463052" w:rsidRPr="00496A4D">
        <w:fldChar w:fldCharType="begin"/>
      </w:r>
      <w:r w:rsidR="00463052" w:rsidRPr="00A52AB8">
        <w:instrText xml:space="preserve"> REF _Ref47526560 \r \h </w:instrText>
      </w:r>
      <w:r w:rsidR="007812ED" w:rsidRPr="00A52AB8">
        <w:instrText xml:space="preserve"> \* MERGEFORMAT </w:instrText>
      </w:r>
      <w:r w:rsidR="00463052" w:rsidRPr="00496A4D">
        <w:fldChar w:fldCharType="separate"/>
      </w:r>
      <w:r w:rsidR="00507A67">
        <w:t>3.24</w:t>
      </w:r>
      <w:r w:rsidR="00463052" w:rsidRPr="00496A4D">
        <w:fldChar w:fldCharType="end"/>
      </w:r>
      <w:r w:rsidRPr="00A52AB8">
        <w:t xml:space="preserve">) that appears in a position in a </w:t>
      </w:r>
      <w:r w:rsidRPr="00A52AB8">
        <w:rPr>
          <w:rFonts w:cs="Calibri"/>
          <w:i/>
          <w:iCs/>
        </w:rPr>
        <w:t>bitstream</w:t>
      </w:r>
      <w:r w:rsidRPr="00A52AB8">
        <w:rPr>
          <w:rFonts w:cs="Calibri"/>
        </w:rPr>
        <w:t xml:space="preserve"> (</w:t>
      </w:r>
      <w:r w:rsidRPr="00496A4D">
        <w:rPr>
          <w:rFonts w:cs="Calibri"/>
        </w:rPr>
        <w:fldChar w:fldCharType="begin"/>
      </w:r>
      <w:r w:rsidRPr="00A52AB8">
        <w:rPr>
          <w:rFonts w:cs="Calibri"/>
        </w:rPr>
        <w:instrText xml:space="preserve"> REF _Ref47523191 \r \h </w:instrText>
      </w:r>
      <w:r w:rsidR="006371AA" w:rsidRPr="00A52AB8">
        <w:rPr>
          <w:rFonts w:cs="Calibri"/>
        </w:rPr>
        <w:instrText xml:space="preserve"> \* MERGEFORMAT </w:instrText>
      </w:r>
      <w:r w:rsidRPr="00496A4D">
        <w:rPr>
          <w:rFonts w:cs="Calibri"/>
        </w:rPr>
      </w:r>
      <w:r w:rsidRPr="00496A4D">
        <w:rPr>
          <w:rFonts w:cs="Calibri"/>
        </w:rPr>
        <w:fldChar w:fldCharType="separate"/>
      </w:r>
      <w:r w:rsidR="00507A67">
        <w:rPr>
          <w:rFonts w:cs="Calibri"/>
        </w:rPr>
        <w:t>3.23</w:t>
      </w:r>
      <w:r w:rsidRPr="00496A4D">
        <w:rPr>
          <w:rFonts w:cs="Calibri"/>
        </w:rPr>
        <w:fldChar w:fldCharType="end"/>
      </w:r>
      <w:r w:rsidRPr="00A52AB8">
        <w:rPr>
          <w:rFonts w:cs="Calibri"/>
        </w:rPr>
        <w:t xml:space="preserve">) </w:t>
      </w:r>
      <w:r w:rsidRPr="00A52AB8">
        <w:t xml:space="preserve">that is </w:t>
      </w:r>
      <w:r w:rsidRPr="00A52AB8">
        <w:rPr>
          <w:i/>
          <w:iCs/>
        </w:rPr>
        <w:t xml:space="preserve">byte-aligned </w:t>
      </w:r>
      <w:r w:rsidRPr="00A52AB8">
        <w:t>(</w:t>
      </w:r>
      <w:r w:rsidRPr="00496A4D">
        <w:fldChar w:fldCharType="begin"/>
      </w:r>
      <w:r w:rsidRPr="00A52AB8">
        <w:instrText xml:space="preserve"> REF _Ref47525259 \r \h </w:instrText>
      </w:r>
      <w:r w:rsidR="006371AA" w:rsidRPr="00A52AB8">
        <w:instrText xml:space="preserve"> \* MERGEFORMAT </w:instrText>
      </w:r>
      <w:r w:rsidRPr="00496A4D">
        <w:fldChar w:fldCharType="separate"/>
      </w:r>
      <w:r w:rsidR="00507A67">
        <w:t>3.27</w:t>
      </w:r>
      <w:r w:rsidRPr="00496A4D">
        <w:fldChar w:fldCharType="end"/>
      </w:r>
      <w:r w:rsidRPr="00A52AB8">
        <w:t>)</w:t>
      </w:r>
    </w:p>
    <w:p w14:paraId="157D58AA" w14:textId="77777777" w:rsidR="00564EF6" w:rsidRPr="00A52AB8" w:rsidRDefault="00564EF6" w:rsidP="00E72F7E">
      <w:pPr>
        <w:pStyle w:val="TermHeading"/>
      </w:pPr>
      <w:bookmarkStart w:id="39" w:name="_Ref47526144"/>
    </w:p>
    <w:bookmarkEnd w:id="39"/>
    <w:p w14:paraId="6C8AC19A" w14:textId="77777777" w:rsidR="0050235C" w:rsidRPr="00A52AB8" w:rsidRDefault="00564EF6" w:rsidP="00564EF6">
      <w:pPr>
        <w:pStyle w:val="Terms"/>
        <w:rPr>
          <w:color w:val="000000" w:themeColor="text1"/>
        </w:rPr>
      </w:pPr>
      <w:r w:rsidRPr="00A52AB8">
        <w:rPr>
          <w:color w:val="000000" w:themeColor="text1"/>
        </w:rPr>
        <w:t>cartesian coordinates</w:t>
      </w:r>
    </w:p>
    <w:p w14:paraId="361DD6A7" w14:textId="589879F0" w:rsidR="00564EF6" w:rsidRPr="00A52AB8" w:rsidRDefault="00564EF6" w:rsidP="00564EF6">
      <w:pPr>
        <w:pStyle w:val="Definition"/>
        <w:rPr>
          <w:color w:val="000000" w:themeColor="text1"/>
        </w:rPr>
      </w:pPr>
      <w:r w:rsidRPr="00A52AB8">
        <w:rPr>
          <w:color w:val="000000" w:themeColor="text1"/>
        </w:rPr>
        <w:t>three scalars (x, y, z) with finite precision and dynamic range that indicate the location of a point relative to a fixed reference point (the origin)</w:t>
      </w:r>
    </w:p>
    <w:p w14:paraId="343D3C06" w14:textId="77777777" w:rsidR="007527EB" w:rsidRPr="00A52AB8" w:rsidRDefault="007527EB" w:rsidP="00E72F7E">
      <w:pPr>
        <w:pStyle w:val="TermHeading"/>
      </w:pPr>
    </w:p>
    <w:p w14:paraId="2C34868D" w14:textId="52572BED" w:rsidR="007527EB" w:rsidRPr="00A52AB8" w:rsidRDefault="007527EB" w:rsidP="007527EB">
      <w:pPr>
        <w:pStyle w:val="Terms"/>
        <w:rPr>
          <w:color w:val="000000" w:themeColor="text1"/>
        </w:rPr>
      </w:pPr>
      <w:r w:rsidRPr="00A52AB8">
        <w:rPr>
          <w:color w:val="000000" w:themeColor="text1"/>
        </w:rPr>
        <w:t>clean random access access unit</w:t>
      </w:r>
      <w:r w:rsidRPr="00A52AB8">
        <w:rPr>
          <w:color w:val="000000" w:themeColor="text1"/>
        </w:rPr>
        <w:br/>
        <w:t>CRA access unit</w:t>
      </w:r>
    </w:p>
    <w:p w14:paraId="2F6CDBD6" w14:textId="12227564" w:rsidR="007527EB" w:rsidRPr="00A52AB8" w:rsidRDefault="007527EB" w:rsidP="007527EB">
      <w:pPr>
        <w:pStyle w:val="Definition"/>
        <w:rPr>
          <w:color w:val="000000" w:themeColor="text1"/>
        </w:rPr>
      </w:pPr>
      <w:r w:rsidRPr="00A52AB8">
        <w:rPr>
          <w:iCs/>
          <w:color w:val="000000" w:themeColor="text1"/>
        </w:rPr>
        <w:t>access unit</w:t>
      </w:r>
      <w:r w:rsidRPr="00A52AB8">
        <w:rPr>
          <w:i/>
          <w:iCs/>
          <w:color w:val="000000" w:themeColor="text1"/>
        </w:rPr>
        <w:t xml:space="preserve"> </w:t>
      </w:r>
      <w:r w:rsidRPr="00A52AB8">
        <w:rPr>
          <w:iCs/>
          <w:color w:val="000000" w:themeColor="text1"/>
        </w:rPr>
        <w:t xml:space="preserve">in which the </w:t>
      </w:r>
      <w:r w:rsidRPr="00A52AB8">
        <w:rPr>
          <w:i/>
          <w:iCs/>
          <w:color w:val="000000" w:themeColor="text1"/>
        </w:rPr>
        <w:t xml:space="preserve">coded atlas </w:t>
      </w:r>
      <w:r w:rsidRPr="00A52AB8">
        <w:rPr>
          <w:color w:val="000000" w:themeColor="text1"/>
        </w:rPr>
        <w:t>(</w:t>
      </w:r>
      <w:r w:rsidRPr="00496A4D">
        <w:rPr>
          <w:color w:val="000000" w:themeColor="text1"/>
        </w:rPr>
        <w:fldChar w:fldCharType="begin"/>
      </w:r>
      <w:r w:rsidRPr="00A52AB8">
        <w:rPr>
          <w:color w:val="000000" w:themeColor="text1"/>
        </w:rPr>
        <w:instrText xml:space="preserve"> REF _Ref47525438 \r \h  \* MERGEFORMAT </w:instrText>
      </w:r>
      <w:r w:rsidRPr="00496A4D">
        <w:rPr>
          <w:color w:val="000000" w:themeColor="text1"/>
        </w:rPr>
      </w:r>
      <w:r w:rsidRPr="00496A4D">
        <w:rPr>
          <w:color w:val="000000" w:themeColor="text1"/>
        </w:rPr>
        <w:fldChar w:fldCharType="separate"/>
      </w:r>
      <w:r w:rsidR="00507A67">
        <w:rPr>
          <w:color w:val="000000" w:themeColor="text1"/>
        </w:rPr>
        <w:t>3.34</w:t>
      </w:r>
      <w:r w:rsidRPr="00496A4D">
        <w:rPr>
          <w:color w:val="000000" w:themeColor="text1"/>
        </w:rPr>
        <w:fldChar w:fldCharType="end"/>
      </w:r>
      <w:r w:rsidRPr="00A52AB8">
        <w:rPr>
          <w:color w:val="000000" w:themeColor="text1"/>
        </w:rPr>
        <w:t xml:space="preserve">) with nal_layer_id equal to 0 is a </w:t>
      </w:r>
      <w:r w:rsidRPr="00A52AB8">
        <w:rPr>
          <w:i/>
          <w:color w:val="000000" w:themeColor="text1"/>
        </w:rPr>
        <w:t>CRA coded atlas</w:t>
      </w:r>
      <w:r w:rsidRPr="00A52AB8">
        <w:rPr>
          <w:color w:val="000000" w:themeColor="text1"/>
        </w:rPr>
        <w:t xml:space="preserve"> (</w:t>
      </w:r>
      <w:r w:rsidRPr="00496A4D">
        <w:rPr>
          <w:color w:val="000000" w:themeColor="text1"/>
        </w:rPr>
        <w:fldChar w:fldCharType="begin"/>
      </w:r>
      <w:r w:rsidRPr="00A52AB8">
        <w:rPr>
          <w:color w:val="000000" w:themeColor="text1"/>
        </w:rPr>
        <w:instrText xml:space="preserve"> REF _Ref49595073 \n \h </w:instrText>
      </w:r>
      <w:r w:rsidR="00007BE2"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3.32</w:t>
      </w:r>
      <w:r w:rsidRPr="00496A4D">
        <w:rPr>
          <w:color w:val="000000" w:themeColor="text1"/>
        </w:rPr>
        <w:fldChar w:fldCharType="end"/>
      </w:r>
      <w:r w:rsidRPr="00A52AB8">
        <w:rPr>
          <w:color w:val="000000" w:themeColor="text1"/>
        </w:rPr>
        <w:t>)</w:t>
      </w:r>
    </w:p>
    <w:p w14:paraId="31C09DBD" w14:textId="77777777" w:rsidR="00564EF6" w:rsidRPr="00A52AB8" w:rsidRDefault="00564EF6" w:rsidP="00E72F7E">
      <w:pPr>
        <w:pStyle w:val="TermHeading"/>
      </w:pPr>
      <w:bookmarkStart w:id="40" w:name="_Ref49595073"/>
    </w:p>
    <w:bookmarkEnd w:id="40"/>
    <w:p w14:paraId="45703C3E" w14:textId="77777777" w:rsidR="00564EF6" w:rsidRPr="00A52AB8" w:rsidRDefault="00564EF6" w:rsidP="00564EF6">
      <w:pPr>
        <w:pStyle w:val="Terms"/>
        <w:rPr>
          <w:color w:val="000000" w:themeColor="text1"/>
        </w:rPr>
      </w:pPr>
      <w:r w:rsidRPr="00A52AB8">
        <w:rPr>
          <w:color w:val="000000" w:themeColor="text1"/>
        </w:rPr>
        <w:t>clean random access coded atlas</w:t>
      </w:r>
    </w:p>
    <w:p w14:paraId="7DC3F587" w14:textId="77777777" w:rsidR="00564EF6" w:rsidRPr="00A52AB8" w:rsidRDefault="00564EF6" w:rsidP="00564EF6">
      <w:pPr>
        <w:pStyle w:val="Terms"/>
        <w:rPr>
          <w:color w:val="000000" w:themeColor="text1"/>
        </w:rPr>
      </w:pPr>
      <w:r w:rsidRPr="00A52AB8">
        <w:rPr>
          <w:color w:val="000000" w:themeColor="text1"/>
        </w:rPr>
        <w:t>CRA coded atlas</w:t>
      </w:r>
    </w:p>
    <w:p w14:paraId="61AF4888" w14:textId="353CACA4" w:rsidR="00564EF6" w:rsidRPr="00A52AB8" w:rsidRDefault="00564EF6" w:rsidP="00564EF6">
      <w:pPr>
        <w:pStyle w:val="Definition"/>
      </w:pPr>
      <w:r w:rsidRPr="00A52AB8">
        <w:rPr>
          <w:i/>
          <w:iCs/>
          <w:color w:val="000000" w:themeColor="text1"/>
        </w:rPr>
        <w:t>IRAP coded atlas</w:t>
      </w:r>
      <w:r w:rsidRPr="00A52AB8">
        <w:rPr>
          <w:color w:val="000000" w:themeColor="text1"/>
        </w:rPr>
        <w:t xml:space="preserve"> </w:t>
      </w:r>
      <w:r w:rsidR="00322079" w:rsidRPr="00A52AB8">
        <w:rPr>
          <w:color w:val="000000" w:themeColor="text1"/>
        </w:rPr>
        <w:t>(</w:t>
      </w:r>
      <w:r w:rsidR="00C22693" w:rsidRPr="00496A4D">
        <w:rPr>
          <w:color w:val="000000" w:themeColor="text1"/>
        </w:rPr>
        <w:fldChar w:fldCharType="begin"/>
      </w:r>
      <w:r w:rsidR="00C22693" w:rsidRPr="00A52AB8">
        <w:rPr>
          <w:color w:val="000000" w:themeColor="text1"/>
        </w:rPr>
        <w:instrText xml:space="preserve"> REF _Ref49778170 \r \h </w:instrText>
      </w:r>
      <w:r w:rsidR="00007BE2" w:rsidRPr="00A52AB8">
        <w:rPr>
          <w:color w:val="000000" w:themeColor="text1"/>
        </w:rPr>
        <w:instrText xml:space="preserve"> \* MERGEFORMAT </w:instrText>
      </w:r>
      <w:r w:rsidR="00C22693" w:rsidRPr="00496A4D">
        <w:rPr>
          <w:color w:val="000000" w:themeColor="text1"/>
        </w:rPr>
      </w:r>
      <w:r w:rsidR="00C22693" w:rsidRPr="00496A4D">
        <w:rPr>
          <w:color w:val="000000" w:themeColor="text1"/>
        </w:rPr>
        <w:fldChar w:fldCharType="separate"/>
      </w:r>
      <w:r w:rsidR="00507A67">
        <w:rPr>
          <w:color w:val="000000" w:themeColor="text1"/>
        </w:rPr>
        <w:t>3.79</w:t>
      </w:r>
      <w:r w:rsidR="00C22693" w:rsidRPr="00496A4D">
        <w:rPr>
          <w:color w:val="000000" w:themeColor="text1"/>
        </w:rPr>
        <w:fldChar w:fldCharType="end"/>
      </w:r>
      <w:r w:rsidR="00322079" w:rsidRPr="00A52AB8">
        <w:rPr>
          <w:color w:val="000000" w:themeColor="text1"/>
        </w:rPr>
        <w:t>)</w:t>
      </w:r>
      <w:r w:rsidRPr="00A52AB8">
        <w:t xml:space="preserve">for which each </w:t>
      </w:r>
      <w:r w:rsidRPr="00A52AB8">
        <w:rPr>
          <w:i/>
          <w:iCs/>
        </w:rPr>
        <w:t>ACL</w:t>
      </w:r>
      <w:r w:rsidRPr="00A52AB8">
        <w:t xml:space="preserve"> </w:t>
      </w:r>
      <w:r w:rsidRPr="00A52AB8">
        <w:rPr>
          <w:i/>
          <w:iCs/>
        </w:rPr>
        <w:t>NAL unit</w:t>
      </w:r>
      <w:r w:rsidRPr="00A52AB8">
        <w:t xml:space="preserve"> (</w:t>
      </w:r>
      <w:r w:rsidR="00F560F8" w:rsidRPr="00496A4D">
        <w:fldChar w:fldCharType="begin"/>
      </w:r>
      <w:r w:rsidR="00F560F8" w:rsidRPr="00A52AB8">
        <w:instrText xml:space="preserve"> REF _Ref49013819 \n \h </w:instrText>
      </w:r>
      <w:r w:rsidR="007478BA" w:rsidRPr="00A52AB8">
        <w:instrText xml:space="preserve"> \* MERGEFORMAT </w:instrText>
      </w:r>
      <w:r w:rsidR="00F560F8" w:rsidRPr="00496A4D">
        <w:fldChar w:fldCharType="separate"/>
      </w:r>
      <w:r w:rsidR="00507A67">
        <w:t>3.6</w:t>
      </w:r>
      <w:r w:rsidR="00F560F8" w:rsidRPr="00496A4D">
        <w:fldChar w:fldCharType="end"/>
      </w:r>
      <w:r w:rsidRPr="00A52AB8">
        <w:t>) has nal_unit_type equal to NAL_CRA</w:t>
      </w:r>
      <w:r w:rsidR="000C1ACB" w:rsidRPr="00A52AB8">
        <w:t xml:space="preserve"> or NAL_GCRA</w:t>
      </w:r>
    </w:p>
    <w:p w14:paraId="1C7E796D" w14:textId="77777777" w:rsidR="00564EF6" w:rsidRPr="00A52AB8" w:rsidRDefault="00564EF6" w:rsidP="00564EF6">
      <w:pPr>
        <w:pStyle w:val="Note1"/>
        <w:rPr>
          <w:rFonts w:ascii="Cambria" w:hAnsi="Cambria"/>
        </w:rPr>
      </w:pPr>
      <w:r w:rsidRPr="00A52AB8">
        <w:rPr>
          <w:rFonts w:ascii="Cambria" w:hAnsi="Cambria"/>
        </w:rPr>
        <w:t>NOTE</w:t>
      </w:r>
      <w:r w:rsidR="00A35853" w:rsidRPr="00A52AB8">
        <w:rPr>
          <w:rFonts w:ascii="Cambria" w:hAnsi="Cambria"/>
        </w:rPr>
        <w:t> </w:t>
      </w:r>
      <w:r w:rsidRPr="00A52AB8">
        <w:rPr>
          <w:rFonts w:ascii="Cambria" w:hAnsi="Cambria"/>
        </w:rPr>
        <w:t>–</w:t>
      </w:r>
      <w:r w:rsidR="00A35853" w:rsidRPr="00A52AB8">
        <w:rPr>
          <w:rFonts w:ascii="Cambria" w:hAnsi="Cambria"/>
        </w:rPr>
        <w:t> </w:t>
      </w:r>
      <w:r w:rsidRPr="00A52AB8">
        <w:rPr>
          <w:rFonts w:ascii="Cambria" w:hAnsi="Cambria"/>
        </w:rPr>
        <w:t>A CRA coded atlas does not use inter prediction in its decoding process, and could be the first coded atlas in the bitstream in decoding order, or could appear later in the bitstream. A CRA coded atlas could have associated RADL or RASL coded atlas frames. When a CRA coded atlas has NoOutputBeforeRecoveryFlag equal to 1, the associated RASL coded atlas frames are not output by the decoder, because they might not be decodable, as they could contain references to coded atlas frames that are not present in the bitstream.</w:t>
      </w:r>
    </w:p>
    <w:p w14:paraId="3B051347" w14:textId="77777777" w:rsidR="00D24843" w:rsidRPr="00A52AB8" w:rsidRDefault="00D24843" w:rsidP="00E72F7E">
      <w:pPr>
        <w:pStyle w:val="TermHeading"/>
      </w:pPr>
    </w:p>
    <w:p w14:paraId="4CC16BF9" w14:textId="77777777" w:rsidR="00564EF6" w:rsidRPr="00A52AB8" w:rsidRDefault="00564EF6" w:rsidP="00564EF6">
      <w:pPr>
        <w:pStyle w:val="Terms"/>
        <w:rPr>
          <w:color w:val="000000" w:themeColor="text1"/>
        </w:rPr>
      </w:pPr>
      <w:r w:rsidRPr="00A52AB8">
        <w:rPr>
          <w:color w:val="000000" w:themeColor="text1"/>
        </w:rPr>
        <w:t>codec</w:t>
      </w:r>
    </w:p>
    <w:p w14:paraId="33581FDA" w14:textId="1DD16F4D" w:rsidR="00564EF6" w:rsidRPr="00A52AB8" w:rsidRDefault="0038670C" w:rsidP="00564EF6">
      <w:pPr>
        <w:pStyle w:val="Definition"/>
      </w:pPr>
      <w:r w:rsidRPr="00A52AB8">
        <w:t>specification, device, or system that specifies or uses well defined instructions for encoding or decoding a digital data, i.e. image or video, stream or signal</w:t>
      </w:r>
    </w:p>
    <w:p w14:paraId="56CAB35A" w14:textId="77777777" w:rsidR="00564EF6" w:rsidRPr="00A52AB8" w:rsidRDefault="00564EF6" w:rsidP="00E72F7E">
      <w:pPr>
        <w:pStyle w:val="TermHeading"/>
      </w:pPr>
      <w:bookmarkStart w:id="41" w:name="_Ref47525438"/>
    </w:p>
    <w:bookmarkEnd w:id="41"/>
    <w:p w14:paraId="394F76A3" w14:textId="77777777" w:rsidR="00564EF6" w:rsidRPr="00A52AB8" w:rsidRDefault="00564EF6" w:rsidP="00564EF6">
      <w:pPr>
        <w:pStyle w:val="Terms"/>
        <w:rPr>
          <w:color w:val="000000" w:themeColor="text1"/>
        </w:rPr>
      </w:pPr>
      <w:r w:rsidRPr="00A52AB8">
        <w:rPr>
          <w:color w:val="000000" w:themeColor="text1"/>
        </w:rPr>
        <w:t>coded atlas</w:t>
      </w:r>
    </w:p>
    <w:p w14:paraId="3887171E" w14:textId="77777777" w:rsidR="00564EF6" w:rsidRPr="00A52AB8" w:rsidRDefault="00564EF6" w:rsidP="00564EF6">
      <w:pPr>
        <w:pStyle w:val="Terms"/>
        <w:rPr>
          <w:color w:val="000000" w:themeColor="text1"/>
        </w:rPr>
      </w:pPr>
      <w:r w:rsidRPr="00A52AB8">
        <w:rPr>
          <w:color w:val="000000" w:themeColor="text1"/>
        </w:rPr>
        <w:t>coded atlas frame</w:t>
      </w:r>
    </w:p>
    <w:p w14:paraId="318EB3D0" w14:textId="6D3870F1" w:rsidR="00564EF6" w:rsidRPr="00A52AB8" w:rsidRDefault="00564EF6" w:rsidP="00564EF6">
      <w:pPr>
        <w:pStyle w:val="Definition"/>
      </w:pPr>
      <w:r w:rsidRPr="00A52AB8">
        <w:t xml:space="preserve">coded representation of an </w:t>
      </w:r>
      <w:r w:rsidRPr="00A52AB8">
        <w:rPr>
          <w:i/>
          <w:iCs/>
        </w:rPr>
        <w:t xml:space="preserve">atlas </w:t>
      </w:r>
      <w:r w:rsidRPr="00A52AB8">
        <w:t>(</w:t>
      </w:r>
      <w:r w:rsidRPr="00496A4D">
        <w:fldChar w:fldCharType="begin"/>
      </w:r>
      <w:r w:rsidRPr="00A52AB8">
        <w:instrText xml:space="preserve"> REF _Ref47524403 \r \h </w:instrText>
      </w:r>
      <w:r w:rsidR="006371AA" w:rsidRPr="00A52AB8">
        <w:instrText xml:space="preserve"> \* MERGEFORMAT </w:instrText>
      </w:r>
      <w:r w:rsidRPr="00496A4D">
        <w:fldChar w:fldCharType="separate"/>
      </w:r>
      <w:r w:rsidR="00507A67">
        <w:t>3.4</w:t>
      </w:r>
      <w:r w:rsidRPr="00496A4D">
        <w:fldChar w:fldCharType="end"/>
      </w:r>
      <w:r w:rsidRPr="00A52AB8">
        <w:t>)</w:t>
      </w:r>
    </w:p>
    <w:p w14:paraId="4A950B34" w14:textId="77777777" w:rsidR="00564EF6" w:rsidRPr="00A52AB8" w:rsidRDefault="00564EF6" w:rsidP="00E72F7E">
      <w:pPr>
        <w:pStyle w:val="TermHeading"/>
      </w:pPr>
      <w:bookmarkStart w:id="42" w:name="_Ref47525180"/>
    </w:p>
    <w:bookmarkEnd w:id="42"/>
    <w:p w14:paraId="7AFBCBE4" w14:textId="77777777" w:rsidR="0050235C" w:rsidRPr="00A52AB8" w:rsidRDefault="00564EF6" w:rsidP="00564EF6">
      <w:pPr>
        <w:pStyle w:val="Terms"/>
        <w:rPr>
          <w:color w:val="000000" w:themeColor="text1"/>
        </w:rPr>
      </w:pPr>
      <w:r w:rsidRPr="00A52AB8">
        <w:rPr>
          <w:color w:val="000000" w:themeColor="text1"/>
        </w:rPr>
        <w:t>coded atlas access unit</w:t>
      </w:r>
    </w:p>
    <w:p w14:paraId="4E75B67E" w14:textId="457234B2" w:rsidR="00564EF6" w:rsidRPr="00A52AB8" w:rsidRDefault="00564EF6" w:rsidP="00564EF6">
      <w:pPr>
        <w:pStyle w:val="Definition"/>
      </w:pPr>
      <w:r w:rsidRPr="00A52AB8">
        <w:t xml:space="preserve">set of atlas </w:t>
      </w:r>
      <w:r w:rsidRPr="00A52AB8">
        <w:rPr>
          <w:i/>
        </w:rPr>
        <w:t>NAL units</w:t>
      </w:r>
      <w:r w:rsidRPr="00A52AB8">
        <w:t xml:space="preserve"> (</w:t>
      </w:r>
      <w:r w:rsidRPr="00496A4D">
        <w:fldChar w:fldCharType="begin"/>
      </w:r>
      <w:r w:rsidRPr="00A52AB8">
        <w:instrText xml:space="preserve"> REF _Ref47525311 \r \h </w:instrText>
      </w:r>
      <w:r w:rsidR="006371AA" w:rsidRPr="00A52AB8">
        <w:instrText xml:space="preserve"> \* MERGEFORMAT </w:instrText>
      </w:r>
      <w:r w:rsidRPr="00496A4D">
        <w:fldChar w:fldCharType="separate"/>
      </w:r>
      <w:r w:rsidR="00507A67">
        <w:t>3.84</w:t>
      </w:r>
      <w:r w:rsidRPr="00496A4D">
        <w:fldChar w:fldCharType="end"/>
      </w:r>
      <w:r w:rsidRPr="00A52AB8">
        <w:t xml:space="preserve">) that are associated with each other according to a specified classification rule, are consecutive in </w:t>
      </w:r>
      <w:r w:rsidRPr="00A52AB8">
        <w:rPr>
          <w:iCs/>
        </w:rPr>
        <w:t>decoding order</w:t>
      </w:r>
      <w:r w:rsidRPr="00A52AB8">
        <w:t xml:space="preserve">, and contain all atlas </w:t>
      </w:r>
      <w:r w:rsidRPr="00A52AB8">
        <w:rPr>
          <w:i/>
          <w:iCs/>
        </w:rPr>
        <w:t>NAL units</w:t>
      </w:r>
      <w:r w:rsidRPr="00A52AB8">
        <w:t xml:space="preserve"> </w:t>
      </w:r>
      <w:r w:rsidR="009C0AC4" w:rsidRPr="00A52AB8">
        <w:t>(</w:t>
      </w:r>
      <w:r w:rsidR="009C0AC4" w:rsidRPr="00496A4D">
        <w:fldChar w:fldCharType="begin"/>
      </w:r>
      <w:r w:rsidR="009C0AC4" w:rsidRPr="00A52AB8">
        <w:instrText xml:space="preserve"> REF _Ref47525311 \r \h  \* MERGEFORMAT </w:instrText>
      </w:r>
      <w:r w:rsidR="009C0AC4" w:rsidRPr="00496A4D">
        <w:fldChar w:fldCharType="separate"/>
      </w:r>
      <w:r w:rsidR="00507A67">
        <w:t>3.84</w:t>
      </w:r>
      <w:r w:rsidR="009C0AC4" w:rsidRPr="00496A4D">
        <w:fldChar w:fldCharType="end"/>
      </w:r>
      <w:r w:rsidR="009C0AC4" w:rsidRPr="00A52AB8">
        <w:t xml:space="preserve">) </w:t>
      </w:r>
      <w:r w:rsidRPr="00A52AB8">
        <w:t>pertaining to one particular output time</w:t>
      </w:r>
    </w:p>
    <w:p w14:paraId="62ABEBFB" w14:textId="77777777" w:rsidR="00564EF6" w:rsidRPr="00A52AB8" w:rsidRDefault="00564EF6" w:rsidP="00E72F7E">
      <w:pPr>
        <w:pStyle w:val="TermHeading"/>
      </w:pPr>
      <w:bookmarkStart w:id="43" w:name="_Ref47525429"/>
    </w:p>
    <w:bookmarkEnd w:id="43"/>
    <w:p w14:paraId="66E192AE" w14:textId="77777777" w:rsidR="0050235C" w:rsidRPr="00A52AB8" w:rsidRDefault="00564EF6" w:rsidP="00564EF6">
      <w:pPr>
        <w:pStyle w:val="Terms"/>
        <w:rPr>
          <w:color w:val="000000" w:themeColor="text1"/>
        </w:rPr>
      </w:pPr>
      <w:r w:rsidRPr="00A52AB8">
        <w:rPr>
          <w:color w:val="000000" w:themeColor="text1"/>
        </w:rPr>
        <w:t>coded atlas sequence</w:t>
      </w:r>
    </w:p>
    <w:p w14:paraId="37CED017" w14:textId="28C9F5A5" w:rsidR="00564EF6" w:rsidRPr="00A52AB8" w:rsidRDefault="00564EF6" w:rsidP="00564EF6">
      <w:pPr>
        <w:pStyle w:val="Terms"/>
        <w:rPr>
          <w:color w:val="000000" w:themeColor="text1"/>
        </w:rPr>
      </w:pPr>
      <w:r w:rsidRPr="00A52AB8">
        <w:rPr>
          <w:color w:val="000000" w:themeColor="text1"/>
        </w:rPr>
        <w:t>CAS</w:t>
      </w:r>
    </w:p>
    <w:p w14:paraId="1411CDD0" w14:textId="7FD0EA8A" w:rsidR="00564EF6" w:rsidRPr="00A52AB8" w:rsidRDefault="00564EF6" w:rsidP="00564EF6">
      <w:pPr>
        <w:pStyle w:val="Definition"/>
        <w:rPr>
          <w:color w:val="000000" w:themeColor="text1"/>
        </w:rPr>
      </w:pPr>
      <w:r w:rsidRPr="00A52AB8">
        <w:rPr>
          <w:color w:val="000000" w:themeColor="text1"/>
        </w:rPr>
        <w:t xml:space="preserve">sequence of </w:t>
      </w:r>
      <w:r w:rsidRPr="00A52AB8">
        <w:rPr>
          <w:i/>
          <w:iCs/>
          <w:color w:val="000000" w:themeColor="text1"/>
        </w:rPr>
        <w:t xml:space="preserve">coded atlas access units </w:t>
      </w:r>
      <w:r w:rsidRPr="00A52AB8">
        <w:rPr>
          <w:color w:val="000000" w:themeColor="text1"/>
        </w:rPr>
        <w:t>(</w:t>
      </w:r>
      <w:r w:rsidRPr="00496A4D">
        <w:rPr>
          <w:color w:val="000000" w:themeColor="text1"/>
        </w:rPr>
        <w:fldChar w:fldCharType="begin"/>
      </w:r>
      <w:r w:rsidRPr="00A52AB8">
        <w:rPr>
          <w:color w:val="000000" w:themeColor="text1"/>
        </w:rPr>
        <w:instrText xml:space="preserve"> REF _Ref47525180 \r \h </w:instrText>
      </w:r>
      <w:r w:rsidR="006371AA"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3.35</w:t>
      </w:r>
      <w:r w:rsidRPr="00496A4D">
        <w:rPr>
          <w:color w:val="000000" w:themeColor="text1"/>
        </w:rPr>
        <w:fldChar w:fldCharType="end"/>
      </w:r>
      <w:r w:rsidRPr="00A52AB8">
        <w:rPr>
          <w:color w:val="000000" w:themeColor="text1"/>
        </w:rPr>
        <w:t>)</w:t>
      </w:r>
      <w:r w:rsidRPr="00A52AB8">
        <w:rPr>
          <w:i/>
          <w:iCs/>
          <w:color w:val="000000" w:themeColor="text1"/>
        </w:rPr>
        <w:t xml:space="preserve">, </w:t>
      </w:r>
      <w:r w:rsidRPr="00A52AB8">
        <w:t xml:space="preserve">in decoding order, of an </w:t>
      </w:r>
      <w:r w:rsidR="00F560F8" w:rsidRPr="00A52AB8">
        <w:rPr>
          <w:i/>
          <w:iCs/>
        </w:rPr>
        <w:t>IRAP coded atlas access unit</w:t>
      </w:r>
      <w:r w:rsidRPr="00A52AB8">
        <w:rPr>
          <w:i/>
          <w:iCs/>
          <w:color w:val="000000" w:themeColor="text1"/>
        </w:rPr>
        <w:t xml:space="preserve"> </w:t>
      </w:r>
      <w:r w:rsidRPr="00A52AB8">
        <w:rPr>
          <w:color w:val="000000" w:themeColor="text1"/>
        </w:rPr>
        <w:t>(</w:t>
      </w:r>
      <w:r w:rsidR="00322079" w:rsidRPr="00496A4D">
        <w:rPr>
          <w:color w:val="000000" w:themeColor="text1"/>
        </w:rPr>
        <w:fldChar w:fldCharType="begin"/>
      </w:r>
      <w:r w:rsidR="00322079" w:rsidRPr="00A52AB8">
        <w:rPr>
          <w:color w:val="000000" w:themeColor="text1"/>
        </w:rPr>
        <w:instrText xml:space="preserve"> REF _Ref49678876 \r \h </w:instrText>
      </w:r>
      <w:r w:rsidR="00007BE2" w:rsidRPr="00A52AB8">
        <w:rPr>
          <w:color w:val="000000" w:themeColor="text1"/>
        </w:rPr>
        <w:instrText xml:space="preserve"> \* MERGEFORMAT </w:instrText>
      </w:r>
      <w:r w:rsidR="00322079" w:rsidRPr="00496A4D">
        <w:rPr>
          <w:color w:val="000000" w:themeColor="text1"/>
        </w:rPr>
      </w:r>
      <w:r w:rsidR="00322079" w:rsidRPr="00496A4D">
        <w:rPr>
          <w:color w:val="000000" w:themeColor="text1"/>
        </w:rPr>
        <w:fldChar w:fldCharType="separate"/>
      </w:r>
      <w:r w:rsidR="00507A67">
        <w:rPr>
          <w:color w:val="000000" w:themeColor="text1"/>
        </w:rPr>
        <w:t>3.80</w:t>
      </w:r>
      <w:r w:rsidR="00322079" w:rsidRPr="00496A4D">
        <w:rPr>
          <w:color w:val="000000" w:themeColor="text1"/>
        </w:rPr>
        <w:fldChar w:fldCharType="end"/>
      </w:r>
      <w:r w:rsidRPr="00A52AB8">
        <w:rPr>
          <w:color w:val="000000" w:themeColor="text1"/>
        </w:rPr>
        <w:t>)</w:t>
      </w:r>
      <w:r w:rsidRPr="00A52AB8">
        <w:t xml:space="preserve">, followed by zero or more </w:t>
      </w:r>
      <w:r w:rsidRPr="00A52AB8">
        <w:rPr>
          <w:i/>
          <w:iCs/>
          <w:color w:val="000000" w:themeColor="text1"/>
        </w:rPr>
        <w:t xml:space="preserve">coded atlas </w:t>
      </w:r>
      <w:r w:rsidR="00322079" w:rsidRPr="00A52AB8">
        <w:rPr>
          <w:i/>
          <w:iCs/>
          <w:color w:val="000000" w:themeColor="text1"/>
        </w:rPr>
        <w:t>access units</w:t>
      </w:r>
      <w:r w:rsidR="00322079" w:rsidRPr="00A52AB8">
        <w:t xml:space="preserve"> </w:t>
      </w:r>
      <w:r w:rsidR="00322079" w:rsidRPr="00A52AB8">
        <w:rPr>
          <w:color w:val="000000" w:themeColor="text1"/>
        </w:rPr>
        <w:t>(</w:t>
      </w:r>
      <w:r w:rsidR="00322079" w:rsidRPr="00496A4D">
        <w:rPr>
          <w:color w:val="000000" w:themeColor="text1"/>
        </w:rPr>
        <w:fldChar w:fldCharType="begin"/>
      </w:r>
      <w:r w:rsidR="00322079" w:rsidRPr="00A52AB8">
        <w:rPr>
          <w:color w:val="000000" w:themeColor="text1"/>
        </w:rPr>
        <w:instrText xml:space="preserve"> REF _Ref47525180 \n \h  \* MERGEFORMAT </w:instrText>
      </w:r>
      <w:r w:rsidR="00322079" w:rsidRPr="00496A4D">
        <w:rPr>
          <w:color w:val="000000" w:themeColor="text1"/>
        </w:rPr>
      </w:r>
      <w:r w:rsidR="00322079" w:rsidRPr="00496A4D">
        <w:rPr>
          <w:color w:val="000000" w:themeColor="text1"/>
        </w:rPr>
        <w:fldChar w:fldCharType="separate"/>
      </w:r>
      <w:r w:rsidR="00507A67">
        <w:rPr>
          <w:color w:val="000000" w:themeColor="text1"/>
        </w:rPr>
        <w:t>3.35</w:t>
      </w:r>
      <w:r w:rsidR="00322079" w:rsidRPr="00496A4D">
        <w:rPr>
          <w:color w:val="000000" w:themeColor="text1"/>
        </w:rPr>
        <w:fldChar w:fldCharType="end"/>
      </w:r>
      <w:r w:rsidR="00322079" w:rsidRPr="00A52AB8">
        <w:rPr>
          <w:color w:val="000000" w:themeColor="text1"/>
        </w:rPr>
        <w:t>)</w:t>
      </w:r>
      <w:r w:rsidR="00EB1D90" w:rsidRPr="00A52AB8">
        <w:rPr>
          <w:i/>
          <w:iCs/>
          <w:color w:val="000000" w:themeColor="text1"/>
        </w:rPr>
        <w:t xml:space="preserve"> </w:t>
      </w:r>
      <w:r w:rsidRPr="00A52AB8">
        <w:t>that are not</w:t>
      </w:r>
      <w:r w:rsidRPr="00A52AB8">
        <w:rPr>
          <w:i/>
          <w:iCs/>
        </w:rPr>
        <w:t xml:space="preserve"> </w:t>
      </w:r>
      <w:r w:rsidR="00F560F8" w:rsidRPr="00A52AB8">
        <w:rPr>
          <w:i/>
          <w:iCs/>
        </w:rPr>
        <w:t>IRAP coded atlas access unit</w:t>
      </w:r>
      <w:r w:rsidR="00322079" w:rsidRPr="00A52AB8">
        <w:rPr>
          <w:i/>
          <w:iCs/>
          <w:color w:val="000000" w:themeColor="text1"/>
        </w:rPr>
        <w:t xml:space="preserve">s </w:t>
      </w:r>
      <w:r w:rsidR="00322079" w:rsidRPr="00A52AB8">
        <w:rPr>
          <w:color w:val="000000" w:themeColor="text1"/>
        </w:rPr>
        <w:t>(</w:t>
      </w:r>
      <w:r w:rsidR="00322079" w:rsidRPr="00496A4D">
        <w:rPr>
          <w:color w:val="000000" w:themeColor="text1"/>
        </w:rPr>
        <w:fldChar w:fldCharType="begin"/>
      </w:r>
      <w:r w:rsidR="00322079" w:rsidRPr="00A52AB8">
        <w:rPr>
          <w:color w:val="000000" w:themeColor="text1"/>
        </w:rPr>
        <w:instrText xml:space="preserve"> REF _Ref49678876 \r \h </w:instrText>
      </w:r>
      <w:r w:rsidR="00007BE2" w:rsidRPr="00A52AB8">
        <w:rPr>
          <w:color w:val="000000" w:themeColor="text1"/>
        </w:rPr>
        <w:instrText xml:space="preserve"> \* MERGEFORMAT </w:instrText>
      </w:r>
      <w:r w:rsidR="00322079" w:rsidRPr="00496A4D">
        <w:rPr>
          <w:color w:val="000000" w:themeColor="text1"/>
        </w:rPr>
      </w:r>
      <w:r w:rsidR="00322079" w:rsidRPr="00496A4D">
        <w:rPr>
          <w:color w:val="000000" w:themeColor="text1"/>
        </w:rPr>
        <w:fldChar w:fldCharType="separate"/>
      </w:r>
      <w:r w:rsidR="00507A67">
        <w:rPr>
          <w:color w:val="000000" w:themeColor="text1"/>
        </w:rPr>
        <w:t>3.80</w:t>
      </w:r>
      <w:r w:rsidR="00322079" w:rsidRPr="00496A4D">
        <w:rPr>
          <w:color w:val="000000" w:themeColor="text1"/>
        </w:rPr>
        <w:fldChar w:fldCharType="end"/>
      </w:r>
      <w:r w:rsidR="00322079" w:rsidRPr="00A52AB8">
        <w:rPr>
          <w:color w:val="000000" w:themeColor="text1"/>
        </w:rPr>
        <w:t>)</w:t>
      </w:r>
      <w:r w:rsidRPr="00A52AB8">
        <w:t xml:space="preserve">, including all subsequent </w:t>
      </w:r>
      <w:r w:rsidR="00EB1D90" w:rsidRPr="00A52AB8">
        <w:rPr>
          <w:i/>
          <w:iCs/>
          <w:color w:val="000000" w:themeColor="text1"/>
        </w:rPr>
        <w:t>access units</w:t>
      </w:r>
      <w:r w:rsidR="00EB1D90" w:rsidRPr="00A52AB8">
        <w:t xml:space="preserve"> </w:t>
      </w:r>
      <w:r w:rsidR="00EB1D90" w:rsidRPr="00A52AB8">
        <w:rPr>
          <w:color w:val="000000" w:themeColor="text1"/>
        </w:rPr>
        <w:t>(</w:t>
      </w:r>
      <w:r w:rsidR="00EB1D90" w:rsidRPr="00496A4D">
        <w:rPr>
          <w:color w:val="000000" w:themeColor="text1"/>
        </w:rPr>
        <w:fldChar w:fldCharType="begin"/>
      </w:r>
      <w:r w:rsidR="00EB1D90" w:rsidRPr="00A52AB8">
        <w:rPr>
          <w:color w:val="000000" w:themeColor="text1"/>
        </w:rPr>
        <w:instrText xml:space="preserve"> REF _Ref47525180 \n \h  \* MERGEFORMAT </w:instrText>
      </w:r>
      <w:r w:rsidR="00EB1D90" w:rsidRPr="00496A4D">
        <w:rPr>
          <w:color w:val="000000" w:themeColor="text1"/>
        </w:rPr>
      </w:r>
      <w:r w:rsidR="00EB1D90" w:rsidRPr="00496A4D">
        <w:rPr>
          <w:color w:val="000000" w:themeColor="text1"/>
        </w:rPr>
        <w:fldChar w:fldCharType="separate"/>
      </w:r>
      <w:r w:rsidR="00507A67">
        <w:rPr>
          <w:color w:val="000000" w:themeColor="text1"/>
        </w:rPr>
        <w:t>3.35</w:t>
      </w:r>
      <w:r w:rsidR="00EB1D90" w:rsidRPr="00496A4D">
        <w:rPr>
          <w:color w:val="000000" w:themeColor="text1"/>
        </w:rPr>
        <w:fldChar w:fldCharType="end"/>
      </w:r>
      <w:r w:rsidR="00EB1D90" w:rsidRPr="00A52AB8">
        <w:rPr>
          <w:color w:val="000000" w:themeColor="text1"/>
        </w:rPr>
        <w:t>)</w:t>
      </w:r>
      <w:r w:rsidR="00EB1D90" w:rsidRPr="00A52AB8">
        <w:rPr>
          <w:i/>
          <w:iCs/>
          <w:color w:val="000000" w:themeColor="text1"/>
        </w:rPr>
        <w:t xml:space="preserve"> </w:t>
      </w:r>
      <w:r w:rsidRPr="00A52AB8">
        <w:t xml:space="preserve">up to but not including any subsequent </w:t>
      </w:r>
      <w:r w:rsidRPr="00A52AB8">
        <w:rPr>
          <w:i/>
          <w:iCs/>
          <w:color w:val="000000" w:themeColor="text1"/>
        </w:rPr>
        <w:t xml:space="preserve">coded atlas </w:t>
      </w:r>
      <w:r w:rsidR="00EB1D90" w:rsidRPr="00A52AB8">
        <w:rPr>
          <w:i/>
          <w:iCs/>
          <w:color w:val="000000" w:themeColor="text1"/>
        </w:rPr>
        <w:t>access unit</w:t>
      </w:r>
      <w:r w:rsidR="00EB1D90" w:rsidRPr="00A52AB8">
        <w:t xml:space="preserve"> </w:t>
      </w:r>
      <w:r w:rsidR="00EB1D90" w:rsidRPr="00A52AB8">
        <w:rPr>
          <w:color w:val="000000" w:themeColor="text1"/>
        </w:rPr>
        <w:t>(</w:t>
      </w:r>
      <w:r w:rsidR="00EB1D90" w:rsidRPr="00496A4D">
        <w:rPr>
          <w:color w:val="000000" w:themeColor="text1"/>
        </w:rPr>
        <w:fldChar w:fldCharType="begin"/>
      </w:r>
      <w:r w:rsidR="00EB1D90" w:rsidRPr="00A52AB8">
        <w:rPr>
          <w:color w:val="000000" w:themeColor="text1"/>
        </w:rPr>
        <w:instrText xml:space="preserve"> REF _Ref47525180 \n \h  \* MERGEFORMAT </w:instrText>
      </w:r>
      <w:r w:rsidR="00EB1D90" w:rsidRPr="00496A4D">
        <w:rPr>
          <w:color w:val="000000" w:themeColor="text1"/>
        </w:rPr>
      </w:r>
      <w:r w:rsidR="00EB1D90" w:rsidRPr="00496A4D">
        <w:rPr>
          <w:color w:val="000000" w:themeColor="text1"/>
        </w:rPr>
        <w:fldChar w:fldCharType="separate"/>
      </w:r>
      <w:r w:rsidR="00507A67">
        <w:rPr>
          <w:color w:val="000000" w:themeColor="text1"/>
        </w:rPr>
        <w:t>3.35</w:t>
      </w:r>
      <w:r w:rsidR="00EB1D90" w:rsidRPr="00496A4D">
        <w:rPr>
          <w:color w:val="000000" w:themeColor="text1"/>
        </w:rPr>
        <w:fldChar w:fldCharType="end"/>
      </w:r>
      <w:r w:rsidR="00EB1D90" w:rsidRPr="00A52AB8">
        <w:rPr>
          <w:color w:val="000000" w:themeColor="text1"/>
        </w:rPr>
        <w:t xml:space="preserve">) </w:t>
      </w:r>
      <w:r w:rsidRPr="00A52AB8">
        <w:t xml:space="preserve">that is an </w:t>
      </w:r>
      <w:r w:rsidR="00F560F8" w:rsidRPr="00A52AB8">
        <w:rPr>
          <w:i/>
          <w:iCs/>
        </w:rPr>
        <w:t>IRAP coded atlas access unit</w:t>
      </w:r>
      <w:r w:rsidR="00EB1D90" w:rsidRPr="00A52AB8">
        <w:rPr>
          <w:i/>
          <w:iCs/>
          <w:color w:val="000000" w:themeColor="text1"/>
        </w:rPr>
        <w:t xml:space="preserve"> </w:t>
      </w:r>
      <w:r w:rsidR="00EB1D90" w:rsidRPr="00A52AB8">
        <w:rPr>
          <w:color w:val="000000" w:themeColor="text1"/>
        </w:rPr>
        <w:t>(</w:t>
      </w:r>
      <w:r w:rsidR="00EB1D90" w:rsidRPr="00496A4D">
        <w:rPr>
          <w:color w:val="000000" w:themeColor="text1"/>
        </w:rPr>
        <w:fldChar w:fldCharType="begin"/>
      </w:r>
      <w:r w:rsidR="00EB1D90" w:rsidRPr="00A52AB8">
        <w:rPr>
          <w:color w:val="000000" w:themeColor="text1"/>
        </w:rPr>
        <w:instrText xml:space="preserve"> REF _Ref49678876 \r \h </w:instrText>
      </w:r>
      <w:r w:rsidR="00007BE2" w:rsidRPr="00A52AB8">
        <w:rPr>
          <w:color w:val="000000" w:themeColor="text1"/>
        </w:rPr>
        <w:instrText xml:space="preserve"> \* MERGEFORMAT </w:instrText>
      </w:r>
      <w:r w:rsidR="00EB1D90" w:rsidRPr="00496A4D">
        <w:rPr>
          <w:color w:val="000000" w:themeColor="text1"/>
        </w:rPr>
      </w:r>
      <w:r w:rsidR="00EB1D90" w:rsidRPr="00496A4D">
        <w:rPr>
          <w:color w:val="000000" w:themeColor="text1"/>
        </w:rPr>
        <w:fldChar w:fldCharType="separate"/>
      </w:r>
      <w:r w:rsidR="00507A67">
        <w:rPr>
          <w:color w:val="000000" w:themeColor="text1"/>
        </w:rPr>
        <w:t>3.80</w:t>
      </w:r>
      <w:r w:rsidR="00EB1D90" w:rsidRPr="00496A4D">
        <w:rPr>
          <w:color w:val="000000" w:themeColor="text1"/>
        </w:rPr>
        <w:fldChar w:fldCharType="end"/>
      </w:r>
      <w:r w:rsidR="00EB1D90" w:rsidRPr="00A52AB8">
        <w:rPr>
          <w:color w:val="000000" w:themeColor="text1"/>
        </w:rPr>
        <w:t>)</w:t>
      </w:r>
    </w:p>
    <w:p w14:paraId="3034027D" w14:textId="77777777" w:rsidR="00AD76AB" w:rsidRPr="00A52AB8" w:rsidRDefault="00AD76AB" w:rsidP="00E72F7E">
      <w:pPr>
        <w:pStyle w:val="TermHeading"/>
      </w:pPr>
      <w:bookmarkStart w:id="44" w:name="_Ref51767186"/>
      <w:bookmarkStart w:id="45" w:name="_Ref47526697"/>
    </w:p>
    <w:bookmarkEnd w:id="44"/>
    <w:p w14:paraId="5650346C" w14:textId="380D9041" w:rsidR="00AD76AB" w:rsidRPr="00A52AB8" w:rsidRDefault="00AD76AB" w:rsidP="00AD76AB">
      <w:pPr>
        <w:pStyle w:val="Terms"/>
        <w:rPr>
          <w:color w:val="000000" w:themeColor="text1"/>
        </w:rPr>
      </w:pPr>
      <w:r w:rsidRPr="00A52AB8">
        <w:rPr>
          <w:color w:val="000000" w:themeColor="text1"/>
        </w:rPr>
        <w:t>coded common atlas access unit</w:t>
      </w:r>
    </w:p>
    <w:p w14:paraId="5DF80A38" w14:textId="2091EC37" w:rsidR="00AD76AB" w:rsidRPr="00A52AB8" w:rsidRDefault="00AD76AB" w:rsidP="00AD76AB">
      <w:pPr>
        <w:pStyle w:val="Definition"/>
      </w:pPr>
      <w:r w:rsidRPr="00A52AB8">
        <w:t xml:space="preserve">set of common atlas </w:t>
      </w:r>
      <w:r w:rsidR="00AB3A8E" w:rsidRPr="00EE3D19">
        <w:rPr>
          <w:i/>
          <w:iCs/>
        </w:rPr>
        <w:t xml:space="preserve">non-ACL </w:t>
      </w:r>
      <w:r w:rsidRPr="00A52AB8">
        <w:rPr>
          <w:i/>
        </w:rPr>
        <w:t>NAL units</w:t>
      </w:r>
      <w:r w:rsidRPr="00A52AB8">
        <w:t xml:space="preserve"> (</w:t>
      </w:r>
      <w:r w:rsidR="00AB3A8E">
        <w:fldChar w:fldCharType="begin"/>
      </w:r>
      <w:r w:rsidR="00AB3A8E">
        <w:instrText xml:space="preserve"> REF _Ref49013866 \r \h </w:instrText>
      </w:r>
      <w:r w:rsidR="00AB3A8E">
        <w:fldChar w:fldCharType="separate"/>
      </w:r>
      <w:r w:rsidR="00507A67">
        <w:t>3.86</w:t>
      </w:r>
      <w:r w:rsidR="00AB3A8E">
        <w:fldChar w:fldCharType="end"/>
      </w:r>
      <w:r w:rsidRPr="00A52AB8">
        <w:t xml:space="preserve">) that are associated with each other according to a specified classification rule, are consecutive in </w:t>
      </w:r>
      <w:r w:rsidRPr="00A52AB8">
        <w:rPr>
          <w:iCs/>
        </w:rPr>
        <w:t>decoding order</w:t>
      </w:r>
      <w:r w:rsidRPr="00A52AB8">
        <w:t xml:space="preserve">, and contain all common atlas </w:t>
      </w:r>
      <w:r w:rsidRPr="00A52AB8">
        <w:rPr>
          <w:i/>
          <w:iCs/>
        </w:rPr>
        <w:t>NAL units</w:t>
      </w:r>
      <w:r w:rsidRPr="00A52AB8">
        <w:t xml:space="preserve"> (</w:t>
      </w:r>
      <w:r w:rsidRPr="00496A4D">
        <w:fldChar w:fldCharType="begin"/>
      </w:r>
      <w:r w:rsidRPr="00A52AB8">
        <w:instrText xml:space="preserve"> REF _Ref47525311 \r \h  \* MERGEFORMAT </w:instrText>
      </w:r>
      <w:r w:rsidRPr="00496A4D">
        <w:fldChar w:fldCharType="separate"/>
      </w:r>
      <w:r w:rsidR="00507A67">
        <w:t>3.84</w:t>
      </w:r>
      <w:r w:rsidRPr="00496A4D">
        <w:fldChar w:fldCharType="end"/>
      </w:r>
      <w:r w:rsidRPr="00A52AB8">
        <w:t>) pertaining to one particular output time</w:t>
      </w:r>
    </w:p>
    <w:p w14:paraId="31BDA68F" w14:textId="77777777" w:rsidR="00AD76AB" w:rsidRPr="00A52AB8" w:rsidRDefault="00AD76AB" w:rsidP="00E72F7E">
      <w:pPr>
        <w:pStyle w:val="TermHeading"/>
      </w:pPr>
      <w:bookmarkStart w:id="46" w:name="_Ref51767554"/>
    </w:p>
    <w:bookmarkEnd w:id="46"/>
    <w:p w14:paraId="7B5FB3CE" w14:textId="7B6B7DF2" w:rsidR="00AD76AB" w:rsidRPr="00A52AB8" w:rsidRDefault="00AD76AB" w:rsidP="00AD76AB">
      <w:pPr>
        <w:pStyle w:val="Terms"/>
        <w:rPr>
          <w:color w:val="000000" w:themeColor="text1"/>
        </w:rPr>
      </w:pPr>
      <w:r w:rsidRPr="00A52AB8">
        <w:rPr>
          <w:color w:val="000000" w:themeColor="text1"/>
        </w:rPr>
        <w:t>coded common atlas frame</w:t>
      </w:r>
    </w:p>
    <w:p w14:paraId="03083C98" w14:textId="72C66B36" w:rsidR="00AD76AB" w:rsidRPr="00A52AB8" w:rsidRDefault="00AD76AB" w:rsidP="00AD76AB">
      <w:pPr>
        <w:pStyle w:val="Definition"/>
      </w:pPr>
      <w:r w:rsidRPr="00A52AB8">
        <w:t xml:space="preserve">coded representation of a </w:t>
      </w:r>
      <w:r w:rsidRPr="00A52AB8">
        <w:rPr>
          <w:i/>
          <w:iCs/>
        </w:rPr>
        <w:t>common</w:t>
      </w:r>
      <w:r w:rsidRPr="00A52AB8">
        <w:t xml:space="preserve"> </w:t>
      </w:r>
      <w:r w:rsidRPr="00A52AB8">
        <w:rPr>
          <w:i/>
          <w:iCs/>
        </w:rPr>
        <w:t xml:space="preserve">atlas frame </w:t>
      </w:r>
      <w:r w:rsidRPr="00A52AB8">
        <w:t>(</w:t>
      </w:r>
      <w:r w:rsidRPr="00496A4D">
        <w:fldChar w:fldCharType="begin"/>
      </w:r>
      <w:r w:rsidRPr="00A52AB8">
        <w:instrText xml:space="preserve"> REF _Ref51766473 \r \h </w:instrText>
      </w:r>
      <w:r w:rsidRPr="00496A4D">
        <w:fldChar w:fldCharType="separate"/>
      </w:r>
      <w:r w:rsidR="00507A67">
        <w:t>3.45</w:t>
      </w:r>
      <w:r w:rsidRPr="00496A4D">
        <w:fldChar w:fldCharType="end"/>
      </w:r>
      <w:r w:rsidRPr="00A52AB8">
        <w:t>)</w:t>
      </w:r>
    </w:p>
    <w:p w14:paraId="502B3072" w14:textId="77777777" w:rsidR="00AD76AB" w:rsidRPr="00A52AB8" w:rsidRDefault="00AD76AB" w:rsidP="00E72F7E">
      <w:pPr>
        <w:pStyle w:val="TermHeading"/>
      </w:pPr>
    </w:p>
    <w:p w14:paraId="23EE66E6" w14:textId="0D2FE7E9" w:rsidR="00AD76AB" w:rsidRPr="00A52AB8" w:rsidRDefault="00AD76AB" w:rsidP="00AD76AB">
      <w:pPr>
        <w:pStyle w:val="Terms"/>
        <w:rPr>
          <w:color w:val="000000" w:themeColor="text1"/>
        </w:rPr>
      </w:pPr>
      <w:r w:rsidRPr="00A52AB8">
        <w:rPr>
          <w:color w:val="000000" w:themeColor="text1"/>
        </w:rPr>
        <w:t>coded common atlas sequence</w:t>
      </w:r>
    </w:p>
    <w:p w14:paraId="0BEE4519" w14:textId="01E08621" w:rsidR="00AD76AB" w:rsidRPr="00A52AB8" w:rsidRDefault="00AD76AB" w:rsidP="00AD76AB">
      <w:pPr>
        <w:pStyle w:val="Terms"/>
        <w:rPr>
          <w:color w:val="000000" w:themeColor="text1"/>
        </w:rPr>
      </w:pPr>
      <w:r w:rsidRPr="00A52AB8">
        <w:rPr>
          <w:color w:val="000000" w:themeColor="text1"/>
        </w:rPr>
        <w:t>CCAS</w:t>
      </w:r>
    </w:p>
    <w:p w14:paraId="4EDD84C2" w14:textId="1AB8168B" w:rsidR="00AD76AB" w:rsidRPr="00A52AB8" w:rsidRDefault="00AD76AB" w:rsidP="00AD76AB">
      <w:pPr>
        <w:pStyle w:val="Definition"/>
        <w:rPr>
          <w:color w:val="000000" w:themeColor="text1"/>
        </w:rPr>
      </w:pPr>
      <w:r w:rsidRPr="00A52AB8">
        <w:rPr>
          <w:color w:val="000000" w:themeColor="text1"/>
        </w:rPr>
        <w:t xml:space="preserve">sequence of </w:t>
      </w:r>
      <w:r w:rsidRPr="00A52AB8">
        <w:rPr>
          <w:i/>
          <w:iCs/>
          <w:color w:val="000000" w:themeColor="text1"/>
        </w:rPr>
        <w:t xml:space="preserve">coded common atlas access units </w:t>
      </w:r>
      <w:r w:rsidRPr="00A52AB8">
        <w:rPr>
          <w:color w:val="000000" w:themeColor="text1"/>
        </w:rPr>
        <w:t>(</w:t>
      </w:r>
      <w:r w:rsidRPr="00496A4D">
        <w:rPr>
          <w:color w:val="000000" w:themeColor="text1"/>
        </w:rPr>
        <w:fldChar w:fldCharType="begin"/>
      </w:r>
      <w:r w:rsidRPr="00A52AB8">
        <w:rPr>
          <w:color w:val="000000" w:themeColor="text1"/>
        </w:rPr>
        <w:instrText xml:space="preserve"> REF _Ref51767186 \r \h  \* MERGEFORMAT </w:instrText>
      </w:r>
      <w:r w:rsidRPr="00496A4D">
        <w:rPr>
          <w:color w:val="000000" w:themeColor="text1"/>
        </w:rPr>
      </w:r>
      <w:r w:rsidRPr="00496A4D">
        <w:rPr>
          <w:color w:val="000000" w:themeColor="text1"/>
        </w:rPr>
        <w:fldChar w:fldCharType="separate"/>
      </w:r>
      <w:r w:rsidR="00507A67">
        <w:rPr>
          <w:color w:val="000000" w:themeColor="text1"/>
        </w:rPr>
        <w:t>3.37</w:t>
      </w:r>
      <w:r w:rsidRPr="00496A4D">
        <w:rPr>
          <w:color w:val="000000" w:themeColor="text1"/>
        </w:rPr>
        <w:fldChar w:fldCharType="end"/>
      </w:r>
      <w:r w:rsidRPr="00A52AB8">
        <w:rPr>
          <w:color w:val="000000" w:themeColor="text1"/>
        </w:rPr>
        <w:t>)</w:t>
      </w:r>
      <w:r w:rsidRPr="00A52AB8">
        <w:rPr>
          <w:i/>
          <w:iCs/>
          <w:color w:val="000000" w:themeColor="text1"/>
        </w:rPr>
        <w:t xml:space="preserve">, </w:t>
      </w:r>
      <w:r w:rsidRPr="00A52AB8">
        <w:t xml:space="preserve">in decoding order, of an </w:t>
      </w:r>
      <w:r w:rsidRPr="00A52AB8">
        <w:rPr>
          <w:i/>
          <w:iCs/>
        </w:rPr>
        <w:t>IRAP coded common atlas access unit</w:t>
      </w:r>
      <w:r w:rsidRPr="00A52AB8">
        <w:rPr>
          <w:i/>
          <w:iCs/>
          <w:color w:val="000000" w:themeColor="text1"/>
        </w:rPr>
        <w:t xml:space="preserve"> </w:t>
      </w:r>
      <w:r w:rsidRPr="00A52AB8">
        <w:rPr>
          <w:color w:val="000000" w:themeColor="text1"/>
        </w:rPr>
        <w:t>(</w:t>
      </w:r>
      <w:r w:rsidR="002C66F9" w:rsidRPr="00496A4D">
        <w:rPr>
          <w:color w:val="000000" w:themeColor="text1"/>
        </w:rPr>
        <w:fldChar w:fldCharType="begin"/>
      </w:r>
      <w:r w:rsidR="002C66F9" w:rsidRPr="00A52AB8">
        <w:rPr>
          <w:color w:val="000000" w:themeColor="text1"/>
        </w:rPr>
        <w:instrText xml:space="preserve"> REF _Ref51768215 \r \h  \* MERGEFORMAT </w:instrText>
      </w:r>
      <w:r w:rsidR="002C66F9" w:rsidRPr="00496A4D">
        <w:rPr>
          <w:color w:val="000000" w:themeColor="text1"/>
        </w:rPr>
      </w:r>
      <w:r w:rsidR="002C66F9" w:rsidRPr="00496A4D">
        <w:rPr>
          <w:color w:val="000000" w:themeColor="text1"/>
        </w:rPr>
        <w:fldChar w:fldCharType="separate"/>
      </w:r>
      <w:r w:rsidR="00507A67">
        <w:rPr>
          <w:color w:val="000000" w:themeColor="text1"/>
        </w:rPr>
        <w:t>3.82</w:t>
      </w:r>
      <w:r w:rsidR="002C66F9" w:rsidRPr="00496A4D">
        <w:rPr>
          <w:color w:val="000000" w:themeColor="text1"/>
        </w:rPr>
        <w:fldChar w:fldCharType="end"/>
      </w:r>
      <w:r w:rsidRPr="00A52AB8">
        <w:rPr>
          <w:color w:val="000000" w:themeColor="text1"/>
        </w:rPr>
        <w:t>)</w:t>
      </w:r>
      <w:r w:rsidRPr="00A52AB8">
        <w:t xml:space="preserve">, followed by zero or more </w:t>
      </w:r>
      <w:r w:rsidRPr="00A52AB8">
        <w:rPr>
          <w:i/>
          <w:iCs/>
          <w:color w:val="000000" w:themeColor="text1"/>
        </w:rPr>
        <w:t>coded common atlas access units</w:t>
      </w:r>
      <w:r w:rsidRPr="00A52AB8">
        <w:t xml:space="preserve"> </w:t>
      </w:r>
      <w:r w:rsidRPr="00A52AB8">
        <w:rPr>
          <w:color w:val="000000" w:themeColor="text1"/>
        </w:rPr>
        <w:t>(</w:t>
      </w:r>
      <w:r w:rsidR="00047562" w:rsidRPr="00496A4D">
        <w:rPr>
          <w:color w:val="000000" w:themeColor="text1"/>
        </w:rPr>
        <w:fldChar w:fldCharType="begin"/>
      </w:r>
      <w:r w:rsidR="00047562" w:rsidRPr="00A52AB8">
        <w:rPr>
          <w:color w:val="000000" w:themeColor="text1"/>
        </w:rPr>
        <w:instrText xml:space="preserve"> REF _Ref51767186 \r \h </w:instrText>
      </w:r>
      <w:r w:rsidR="00047562" w:rsidRPr="00496A4D">
        <w:rPr>
          <w:color w:val="000000" w:themeColor="text1"/>
        </w:rPr>
      </w:r>
      <w:r w:rsidR="00047562" w:rsidRPr="00496A4D">
        <w:rPr>
          <w:color w:val="000000" w:themeColor="text1"/>
        </w:rPr>
        <w:fldChar w:fldCharType="separate"/>
      </w:r>
      <w:r w:rsidR="00507A67">
        <w:rPr>
          <w:color w:val="000000" w:themeColor="text1"/>
        </w:rPr>
        <w:t>3.37</w:t>
      </w:r>
      <w:r w:rsidR="00047562" w:rsidRPr="00496A4D">
        <w:rPr>
          <w:color w:val="000000" w:themeColor="text1"/>
        </w:rPr>
        <w:fldChar w:fldCharType="end"/>
      </w:r>
      <w:r w:rsidRPr="00A52AB8">
        <w:rPr>
          <w:color w:val="000000" w:themeColor="text1"/>
        </w:rPr>
        <w:t>)</w:t>
      </w:r>
      <w:r w:rsidRPr="00A52AB8">
        <w:rPr>
          <w:i/>
          <w:iCs/>
          <w:color w:val="000000" w:themeColor="text1"/>
        </w:rPr>
        <w:t xml:space="preserve"> </w:t>
      </w:r>
      <w:r w:rsidRPr="00A52AB8">
        <w:t>that are not</w:t>
      </w:r>
      <w:r w:rsidRPr="00A52AB8">
        <w:rPr>
          <w:i/>
          <w:iCs/>
        </w:rPr>
        <w:t xml:space="preserve"> IRAP coded common atlas access unit</w:t>
      </w:r>
      <w:r w:rsidRPr="00A52AB8">
        <w:rPr>
          <w:i/>
          <w:iCs/>
          <w:color w:val="000000" w:themeColor="text1"/>
        </w:rPr>
        <w:t xml:space="preserve">s </w:t>
      </w:r>
      <w:r w:rsidR="002C66F9" w:rsidRPr="00A52AB8">
        <w:rPr>
          <w:color w:val="000000" w:themeColor="text1"/>
        </w:rPr>
        <w:t>(</w:t>
      </w:r>
      <w:r w:rsidR="002C66F9" w:rsidRPr="00496A4D">
        <w:rPr>
          <w:color w:val="000000" w:themeColor="text1"/>
        </w:rPr>
        <w:fldChar w:fldCharType="begin"/>
      </w:r>
      <w:r w:rsidR="002C66F9" w:rsidRPr="00A52AB8">
        <w:rPr>
          <w:color w:val="000000" w:themeColor="text1"/>
        </w:rPr>
        <w:instrText xml:space="preserve"> REF _Ref51768215 \r \h  \* MERGEFORMAT </w:instrText>
      </w:r>
      <w:r w:rsidR="002C66F9" w:rsidRPr="00496A4D">
        <w:rPr>
          <w:color w:val="000000" w:themeColor="text1"/>
        </w:rPr>
      </w:r>
      <w:r w:rsidR="002C66F9" w:rsidRPr="00496A4D">
        <w:rPr>
          <w:color w:val="000000" w:themeColor="text1"/>
        </w:rPr>
        <w:fldChar w:fldCharType="separate"/>
      </w:r>
      <w:r w:rsidR="00507A67">
        <w:rPr>
          <w:color w:val="000000" w:themeColor="text1"/>
        </w:rPr>
        <w:t>3.82</w:t>
      </w:r>
      <w:r w:rsidR="002C66F9" w:rsidRPr="00496A4D">
        <w:rPr>
          <w:color w:val="000000" w:themeColor="text1"/>
        </w:rPr>
        <w:fldChar w:fldCharType="end"/>
      </w:r>
      <w:r w:rsidR="002C66F9" w:rsidRPr="00A52AB8">
        <w:rPr>
          <w:color w:val="000000" w:themeColor="text1"/>
        </w:rPr>
        <w:t>)</w:t>
      </w:r>
      <w:r w:rsidRPr="00A52AB8">
        <w:t xml:space="preserve">, including all subsequent </w:t>
      </w:r>
      <w:r w:rsidRPr="00A52AB8">
        <w:rPr>
          <w:i/>
          <w:iCs/>
          <w:color w:val="000000" w:themeColor="text1"/>
        </w:rPr>
        <w:t>access units</w:t>
      </w:r>
      <w:r w:rsidRPr="00A52AB8">
        <w:t xml:space="preserve"> </w:t>
      </w:r>
      <w:r w:rsidRPr="00A52AB8">
        <w:rPr>
          <w:color w:val="000000" w:themeColor="text1"/>
        </w:rPr>
        <w:t>(</w:t>
      </w:r>
      <w:r w:rsidR="00047562" w:rsidRPr="00496A4D">
        <w:rPr>
          <w:color w:val="000000" w:themeColor="text1"/>
        </w:rPr>
        <w:fldChar w:fldCharType="begin"/>
      </w:r>
      <w:r w:rsidR="00047562" w:rsidRPr="00A52AB8">
        <w:rPr>
          <w:color w:val="000000" w:themeColor="text1"/>
        </w:rPr>
        <w:instrText xml:space="preserve"> REF _Ref51767186 \r \h </w:instrText>
      </w:r>
      <w:r w:rsidR="00047562" w:rsidRPr="00496A4D">
        <w:rPr>
          <w:color w:val="000000" w:themeColor="text1"/>
        </w:rPr>
      </w:r>
      <w:r w:rsidR="00047562" w:rsidRPr="00496A4D">
        <w:rPr>
          <w:color w:val="000000" w:themeColor="text1"/>
        </w:rPr>
        <w:fldChar w:fldCharType="separate"/>
      </w:r>
      <w:r w:rsidR="00507A67">
        <w:rPr>
          <w:color w:val="000000" w:themeColor="text1"/>
        </w:rPr>
        <w:t>3.37</w:t>
      </w:r>
      <w:r w:rsidR="00047562" w:rsidRPr="00496A4D">
        <w:rPr>
          <w:color w:val="000000" w:themeColor="text1"/>
        </w:rPr>
        <w:fldChar w:fldCharType="end"/>
      </w:r>
      <w:r w:rsidRPr="00A52AB8">
        <w:rPr>
          <w:color w:val="000000" w:themeColor="text1"/>
        </w:rPr>
        <w:t>)</w:t>
      </w:r>
      <w:r w:rsidRPr="00A52AB8">
        <w:rPr>
          <w:i/>
          <w:iCs/>
          <w:color w:val="000000" w:themeColor="text1"/>
        </w:rPr>
        <w:t xml:space="preserve"> </w:t>
      </w:r>
      <w:r w:rsidRPr="00A52AB8">
        <w:t xml:space="preserve">up to but not including </w:t>
      </w:r>
      <w:r w:rsidRPr="00A52AB8">
        <w:lastRenderedPageBreak/>
        <w:t xml:space="preserve">any subsequent </w:t>
      </w:r>
      <w:r w:rsidRPr="00A52AB8">
        <w:rPr>
          <w:i/>
          <w:iCs/>
          <w:color w:val="000000" w:themeColor="text1"/>
        </w:rPr>
        <w:t>coded common atlas access unit</w:t>
      </w:r>
      <w:r w:rsidRPr="00A52AB8">
        <w:t xml:space="preserve"> </w:t>
      </w:r>
      <w:r w:rsidRPr="00A52AB8">
        <w:rPr>
          <w:color w:val="000000" w:themeColor="text1"/>
        </w:rPr>
        <w:t>(</w:t>
      </w:r>
      <w:r w:rsidR="00047562" w:rsidRPr="00496A4D">
        <w:rPr>
          <w:color w:val="000000" w:themeColor="text1"/>
        </w:rPr>
        <w:fldChar w:fldCharType="begin"/>
      </w:r>
      <w:r w:rsidR="00047562" w:rsidRPr="00A52AB8">
        <w:rPr>
          <w:color w:val="000000" w:themeColor="text1"/>
        </w:rPr>
        <w:instrText xml:space="preserve"> REF _Ref51767186 \r \h  \* MERGEFORMAT </w:instrText>
      </w:r>
      <w:r w:rsidR="00047562" w:rsidRPr="00496A4D">
        <w:rPr>
          <w:color w:val="000000" w:themeColor="text1"/>
        </w:rPr>
      </w:r>
      <w:r w:rsidR="00047562" w:rsidRPr="00496A4D">
        <w:rPr>
          <w:color w:val="000000" w:themeColor="text1"/>
        </w:rPr>
        <w:fldChar w:fldCharType="separate"/>
      </w:r>
      <w:r w:rsidR="00507A67">
        <w:rPr>
          <w:color w:val="000000" w:themeColor="text1"/>
        </w:rPr>
        <w:t>3.37</w:t>
      </w:r>
      <w:r w:rsidR="00047562" w:rsidRPr="00496A4D">
        <w:rPr>
          <w:color w:val="000000" w:themeColor="text1"/>
        </w:rPr>
        <w:fldChar w:fldCharType="end"/>
      </w:r>
      <w:r w:rsidRPr="00A52AB8">
        <w:rPr>
          <w:color w:val="000000" w:themeColor="text1"/>
        </w:rPr>
        <w:t xml:space="preserve">) </w:t>
      </w:r>
      <w:r w:rsidRPr="00A52AB8">
        <w:t xml:space="preserve">that is an </w:t>
      </w:r>
      <w:r w:rsidRPr="00A52AB8">
        <w:rPr>
          <w:i/>
          <w:iCs/>
        </w:rPr>
        <w:t>IRAP coded common atlas access unit</w:t>
      </w:r>
      <w:r w:rsidRPr="00A52AB8">
        <w:rPr>
          <w:i/>
          <w:iCs/>
          <w:color w:val="000000" w:themeColor="text1"/>
        </w:rPr>
        <w:t xml:space="preserve"> </w:t>
      </w:r>
      <w:r w:rsidR="002C66F9" w:rsidRPr="00A52AB8">
        <w:rPr>
          <w:color w:val="000000" w:themeColor="text1"/>
        </w:rPr>
        <w:t>(</w:t>
      </w:r>
      <w:r w:rsidR="002C66F9" w:rsidRPr="00496A4D">
        <w:rPr>
          <w:color w:val="000000" w:themeColor="text1"/>
        </w:rPr>
        <w:fldChar w:fldCharType="begin"/>
      </w:r>
      <w:r w:rsidR="002C66F9" w:rsidRPr="00A52AB8">
        <w:rPr>
          <w:color w:val="000000" w:themeColor="text1"/>
        </w:rPr>
        <w:instrText xml:space="preserve"> REF _Ref51768215 \r \h  \* MERGEFORMAT </w:instrText>
      </w:r>
      <w:r w:rsidR="002C66F9" w:rsidRPr="00496A4D">
        <w:rPr>
          <w:color w:val="000000" w:themeColor="text1"/>
        </w:rPr>
      </w:r>
      <w:r w:rsidR="002C66F9" w:rsidRPr="00496A4D">
        <w:rPr>
          <w:color w:val="000000" w:themeColor="text1"/>
        </w:rPr>
        <w:fldChar w:fldCharType="separate"/>
      </w:r>
      <w:r w:rsidR="00507A67">
        <w:rPr>
          <w:color w:val="000000" w:themeColor="text1"/>
        </w:rPr>
        <w:t>3.82</w:t>
      </w:r>
      <w:r w:rsidR="002C66F9" w:rsidRPr="00496A4D">
        <w:rPr>
          <w:color w:val="000000" w:themeColor="text1"/>
        </w:rPr>
        <w:fldChar w:fldCharType="end"/>
      </w:r>
      <w:r w:rsidR="002C66F9" w:rsidRPr="00A52AB8">
        <w:rPr>
          <w:color w:val="000000" w:themeColor="text1"/>
        </w:rPr>
        <w:t>)</w:t>
      </w:r>
    </w:p>
    <w:p w14:paraId="0A1154AC" w14:textId="77777777" w:rsidR="00564EF6" w:rsidRPr="00A52AB8" w:rsidRDefault="00564EF6" w:rsidP="00E72F7E">
      <w:pPr>
        <w:pStyle w:val="TermHeading"/>
      </w:pPr>
    </w:p>
    <w:bookmarkEnd w:id="45"/>
    <w:p w14:paraId="55E9EF20" w14:textId="77777777" w:rsidR="00564EF6" w:rsidRPr="00A52AB8" w:rsidRDefault="00564EF6" w:rsidP="00564EF6">
      <w:pPr>
        <w:pStyle w:val="Terms"/>
        <w:rPr>
          <w:color w:val="000000" w:themeColor="text1"/>
        </w:rPr>
      </w:pPr>
      <w:r w:rsidRPr="00A52AB8">
        <w:rPr>
          <w:color w:val="000000" w:themeColor="text1"/>
        </w:rPr>
        <w:t>coded volumetric frame</w:t>
      </w:r>
    </w:p>
    <w:p w14:paraId="0A8771A6" w14:textId="1E720DB8" w:rsidR="00564EF6" w:rsidRPr="00A52AB8" w:rsidRDefault="00564EF6" w:rsidP="00564EF6">
      <w:pPr>
        <w:pStyle w:val="Definition"/>
        <w:rPr>
          <w:color w:val="000000" w:themeColor="text1"/>
        </w:rPr>
      </w:pPr>
      <w:r w:rsidRPr="00A52AB8">
        <w:rPr>
          <w:color w:val="000000" w:themeColor="text1"/>
        </w:rPr>
        <w:t xml:space="preserve">collection of coded representations of an </w:t>
      </w:r>
      <w:r w:rsidRPr="00A52AB8">
        <w:rPr>
          <w:i/>
          <w:iCs/>
          <w:color w:val="000000" w:themeColor="text1"/>
        </w:rPr>
        <w:t xml:space="preserve">atlas </w:t>
      </w:r>
      <w:r w:rsidRPr="00A52AB8">
        <w:rPr>
          <w:color w:val="000000" w:themeColor="text1"/>
        </w:rPr>
        <w:t>(</w:t>
      </w:r>
      <w:r w:rsidRPr="00496A4D">
        <w:fldChar w:fldCharType="begin"/>
      </w:r>
      <w:r w:rsidRPr="00A52AB8">
        <w:instrText xml:space="preserve"> REF _Ref47524403 \r \h </w:instrText>
      </w:r>
      <w:r w:rsidR="006371AA" w:rsidRPr="00A52AB8">
        <w:instrText xml:space="preserve"> \* MERGEFORMAT </w:instrText>
      </w:r>
      <w:r w:rsidRPr="00496A4D">
        <w:fldChar w:fldCharType="separate"/>
      </w:r>
      <w:r w:rsidR="00507A67">
        <w:t>3.4</w:t>
      </w:r>
      <w:r w:rsidRPr="00496A4D">
        <w:fldChar w:fldCharType="end"/>
      </w:r>
      <w:r w:rsidRPr="00A52AB8">
        <w:rPr>
          <w:color w:val="000000" w:themeColor="text1"/>
        </w:rPr>
        <w:t xml:space="preserve">), </w:t>
      </w:r>
      <w:r w:rsidRPr="00A52AB8">
        <w:rPr>
          <w:i/>
          <w:iCs/>
          <w:color w:val="000000" w:themeColor="text1"/>
        </w:rPr>
        <w:t xml:space="preserve">occupancy </w:t>
      </w:r>
      <w:r w:rsidRPr="00A52AB8">
        <w:rPr>
          <w:color w:val="000000" w:themeColor="text1"/>
        </w:rPr>
        <w:t>(</w:t>
      </w:r>
      <w:r w:rsidRPr="00496A4D">
        <w:rPr>
          <w:color w:val="000000" w:themeColor="text1"/>
        </w:rPr>
        <w:fldChar w:fldCharType="begin"/>
      </w:r>
      <w:r w:rsidRPr="00A52AB8">
        <w:rPr>
          <w:color w:val="000000" w:themeColor="text1"/>
        </w:rPr>
        <w:instrText xml:space="preserve"> REF _Ref47525562 \r \h </w:instrText>
      </w:r>
      <w:r w:rsidR="006371AA"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3.91</w:t>
      </w:r>
      <w:r w:rsidRPr="00496A4D">
        <w:rPr>
          <w:color w:val="000000" w:themeColor="text1"/>
        </w:rPr>
        <w:fldChar w:fldCharType="end"/>
      </w:r>
      <w:r w:rsidRPr="00A52AB8">
        <w:rPr>
          <w:color w:val="000000" w:themeColor="text1"/>
        </w:rPr>
        <w:t xml:space="preserve">), </w:t>
      </w:r>
      <w:r w:rsidRPr="00A52AB8">
        <w:rPr>
          <w:i/>
          <w:iCs/>
          <w:color w:val="000000" w:themeColor="text1"/>
        </w:rPr>
        <w:t xml:space="preserve">geometry </w:t>
      </w:r>
      <w:r w:rsidR="00430AB3" w:rsidRPr="00A52AB8">
        <w:rPr>
          <w:i/>
          <w:iCs/>
          <w:color w:val="000000" w:themeColor="text1"/>
        </w:rPr>
        <w:t>access unit</w:t>
      </w:r>
      <w:r w:rsidRPr="00A52AB8">
        <w:rPr>
          <w:i/>
          <w:iCs/>
          <w:color w:val="000000" w:themeColor="text1"/>
        </w:rPr>
        <w:t xml:space="preserve"> </w:t>
      </w:r>
      <w:r w:rsidRPr="00A52AB8">
        <w:rPr>
          <w:color w:val="000000" w:themeColor="text1"/>
        </w:rPr>
        <w:t>(</w:t>
      </w:r>
      <w:r w:rsidR="00430AB3" w:rsidRPr="00496A4D">
        <w:rPr>
          <w:color w:val="000000" w:themeColor="text1"/>
        </w:rPr>
        <w:fldChar w:fldCharType="begin"/>
      </w:r>
      <w:r w:rsidR="00430AB3" w:rsidRPr="00A52AB8">
        <w:rPr>
          <w:color w:val="000000" w:themeColor="text1"/>
        </w:rPr>
        <w:instrText xml:space="preserve"> REF _Ref49679544 \n \h </w:instrText>
      </w:r>
      <w:r w:rsidR="007478BA" w:rsidRPr="00A52AB8">
        <w:rPr>
          <w:color w:val="000000" w:themeColor="text1"/>
        </w:rPr>
        <w:instrText xml:space="preserve"> \* MERGEFORMAT </w:instrText>
      </w:r>
      <w:r w:rsidR="00430AB3" w:rsidRPr="00496A4D">
        <w:rPr>
          <w:color w:val="000000" w:themeColor="text1"/>
        </w:rPr>
      </w:r>
      <w:r w:rsidR="00430AB3" w:rsidRPr="00496A4D">
        <w:rPr>
          <w:color w:val="000000" w:themeColor="text1"/>
        </w:rPr>
        <w:fldChar w:fldCharType="separate"/>
      </w:r>
      <w:r w:rsidR="00507A67">
        <w:rPr>
          <w:color w:val="000000" w:themeColor="text1"/>
        </w:rPr>
        <w:t>3.63</w:t>
      </w:r>
      <w:r w:rsidR="00430AB3" w:rsidRPr="00496A4D">
        <w:rPr>
          <w:color w:val="000000" w:themeColor="text1"/>
        </w:rPr>
        <w:fldChar w:fldCharType="end"/>
      </w:r>
      <w:r w:rsidRPr="00A52AB8">
        <w:rPr>
          <w:color w:val="000000" w:themeColor="text1"/>
        </w:rPr>
        <w:t xml:space="preserve">), and, for each available </w:t>
      </w:r>
      <w:r w:rsidRPr="00A52AB8">
        <w:rPr>
          <w:i/>
          <w:iCs/>
          <w:color w:val="000000" w:themeColor="text1"/>
        </w:rPr>
        <w:t>attribute</w:t>
      </w:r>
      <w:r w:rsidRPr="00A52AB8">
        <w:rPr>
          <w:color w:val="000000" w:themeColor="text1"/>
        </w:rPr>
        <w:t xml:space="preserve"> (</w:t>
      </w:r>
      <w:r w:rsidR="00926723" w:rsidRPr="00496A4D">
        <w:fldChar w:fldCharType="begin"/>
      </w:r>
      <w:r w:rsidR="00926723" w:rsidRPr="00A52AB8">
        <w:instrText xml:space="preserve"> REF _Ref49509311 \n \h </w:instrText>
      </w:r>
      <w:r w:rsidR="008F69D5" w:rsidRPr="00A52AB8">
        <w:instrText xml:space="preserve"> \* MERGEFORMAT </w:instrText>
      </w:r>
      <w:r w:rsidR="00926723" w:rsidRPr="00496A4D">
        <w:fldChar w:fldCharType="separate"/>
      </w:r>
      <w:r w:rsidR="00507A67">
        <w:t>3.15</w:t>
      </w:r>
      <w:r w:rsidR="00926723" w:rsidRPr="00496A4D">
        <w:fldChar w:fldCharType="end"/>
      </w:r>
      <w:r w:rsidRPr="00A52AB8">
        <w:rPr>
          <w:color w:val="000000" w:themeColor="text1"/>
        </w:rPr>
        <w:t xml:space="preserve">), </w:t>
      </w:r>
      <w:r w:rsidRPr="00A52AB8">
        <w:rPr>
          <w:i/>
          <w:iCs/>
          <w:color w:val="000000" w:themeColor="text1"/>
        </w:rPr>
        <w:t xml:space="preserve">attribute </w:t>
      </w:r>
      <w:r w:rsidR="00430AB3" w:rsidRPr="00A52AB8">
        <w:rPr>
          <w:i/>
          <w:iCs/>
          <w:color w:val="000000" w:themeColor="text1"/>
        </w:rPr>
        <w:t>access unit</w:t>
      </w:r>
      <w:r w:rsidRPr="00A52AB8">
        <w:rPr>
          <w:i/>
          <w:iCs/>
          <w:color w:val="000000" w:themeColor="text1"/>
        </w:rPr>
        <w:t xml:space="preserve"> </w:t>
      </w:r>
      <w:r w:rsidRPr="00A52AB8">
        <w:rPr>
          <w:color w:val="000000" w:themeColor="text1"/>
        </w:rPr>
        <w:t>(</w:t>
      </w:r>
      <w:r w:rsidR="00430AB3" w:rsidRPr="00496A4D">
        <w:rPr>
          <w:color w:val="000000" w:themeColor="text1"/>
        </w:rPr>
        <w:fldChar w:fldCharType="begin"/>
      </w:r>
      <w:r w:rsidR="00430AB3" w:rsidRPr="00A52AB8">
        <w:rPr>
          <w:color w:val="000000" w:themeColor="text1"/>
        </w:rPr>
        <w:instrText xml:space="preserve"> REF _Ref47978081 \n \h </w:instrText>
      </w:r>
      <w:r w:rsidR="007478BA" w:rsidRPr="00A52AB8">
        <w:rPr>
          <w:color w:val="000000" w:themeColor="text1"/>
        </w:rPr>
        <w:instrText xml:space="preserve"> \* MERGEFORMAT </w:instrText>
      </w:r>
      <w:r w:rsidR="00430AB3" w:rsidRPr="00496A4D">
        <w:rPr>
          <w:color w:val="000000" w:themeColor="text1"/>
        </w:rPr>
      </w:r>
      <w:r w:rsidR="00430AB3" w:rsidRPr="00496A4D">
        <w:rPr>
          <w:color w:val="000000" w:themeColor="text1"/>
        </w:rPr>
        <w:fldChar w:fldCharType="separate"/>
      </w:r>
      <w:r w:rsidR="00507A67">
        <w:rPr>
          <w:color w:val="000000" w:themeColor="text1"/>
        </w:rPr>
        <w:t>3.16</w:t>
      </w:r>
      <w:r w:rsidR="00430AB3" w:rsidRPr="00496A4D">
        <w:rPr>
          <w:color w:val="000000" w:themeColor="text1"/>
        </w:rPr>
        <w:fldChar w:fldCharType="end"/>
      </w:r>
      <w:r w:rsidRPr="00A52AB8">
        <w:rPr>
          <w:color w:val="000000" w:themeColor="text1"/>
        </w:rPr>
        <w:t>)</w:t>
      </w:r>
      <w:r w:rsidRPr="00A52AB8">
        <w:rPr>
          <w:iCs/>
          <w:color w:val="000000" w:themeColor="text1"/>
        </w:rPr>
        <w:t>,</w:t>
      </w:r>
      <w:r w:rsidRPr="00A52AB8">
        <w:rPr>
          <w:i/>
          <w:iCs/>
          <w:color w:val="000000" w:themeColor="text1"/>
        </w:rPr>
        <w:t xml:space="preserve"> </w:t>
      </w:r>
      <w:r w:rsidRPr="00A52AB8">
        <w:t>pertaining to one particular time instance</w:t>
      </w:r>
    </w:p>
    <w:p w14:paraId="091FAAAD" w14:textId="77777777" w:rsidR="00564EF6" w:rsidRPr="00A52AB8" w:rsidRDefault="00564EF6" w:rsidP="00E72F7E">
      <w:pPr>
        <w:pStyle w:val="TermHeading"/>
      </w:pPr>
      <w:bookmarkStart w:id="47" w:name="_Ref47526686"/>
    </w:p>
    <w:bookmarkEnd w:id="47"/>
    <w:p w14:paraId="1EE35942" w14:textId="77777777" w:rsidR="00564EF6" w:rsidRPr="00A52AB8" w:rsidRDefault="00564EF6" w:rsidP="00564EF6">
      <w:pPr>
        <w:pStyle w:val="Terms"/>
        <w:rPr>
          <w:color w:val="000000" w:themeColor="text1"/>
        </w:rPr>
      </w:pPr>
      <w:r w:rsidRPr="00A52AB8">
        <w:rPr>
          <w:color w:val="000000" w:themeColor="text1"/>
        </w:rPr>
        <w:t>coded V3C sequence</w:t>
      </w:r>
    </w:p>
    <w:p w14:paraId="12E40B7A" w14:textId="77777777" w:rsidR="00564EF6" w:rsidRPr="00A52AB8" w:rsidRDefault="00564EF6" w:rsidP="00564EF6">
      <w:pPr>
        <w:pStyle w:val="Terms"/>
        <w:rPr>
          <w:color w:val="000000" w:themeColor="text1"/>
        </w:rPr>
      </w:pPr>
      <w:r w:rsidRPr="00A52AB8">
        <w:rPr>
          <w:color w:val="000000" w:themeColor="text1"/>
        </w:rPr>
        <w:t>CVS</w:t>
      </w:r>
    </w:p>
    <w:p w14:paraId="0B91EFBE" w14:textId="1E8486CF" w:rsidR="00FA6A11" w:rsidRPr="00A52AB8" w:rsidRDefault="00FA6A11" w:rsidP="00564EF6">
      <w:pPr>
        <w:pStyle w:val="Definition"/>
        <w:rPr>
          <w:color w:val="000000" w:themeColor="text1"/>
        </w:rPr>
      </w:pPr>
      <w:r w:rsidRPr="00A52AB8">
        <w:rPr>
          <w:rFonts w:eastAsia="Times New Roman"/>
        </w:rPr>
        <w:t xml:space="preserve">sequence of </w:t>
      </w:r>
      <w:r w:rsidRPr="00A52AB8">
        <w:rPr>
          <w:rFonts w:eastAsia="Times New Roman"/>
          <w:i/>
        </w:rPr>
        <w:t>V3C sub-bitstreams</w:t>
      </w:r>
      <w:r w:rsidRPr="00A52AB8">
        <w:rPr>
          <w:rFonts w:eastAsia="Times New Roman"/>
        </w:rPr>
        <w:t xml:space="preserve"> </w:t>
      </w:r>
      <w:r w:rsidR="008E57EC" w:rsidRPr="00A52AB8">
        <w:rPr>
          <w:rFonts w:eastAsia="Times New Roman"/>
        </w:rPr>
        <w:t>(</w:t>
      </w:r>
      <w:r w:rsidR="00EC28F8" w:rsidRPr="00496A4D">
        <w:rPr>
          <w:rFonts w:eastAsia="Times New Roman"/>
        </w:rPr>
        <w:fldChar w:fldCharType="begin"/>
      </w:r>
      <w:r w:rsidR="00EC28F8" w:rsidRPr="00A52AB8">
        <w:rPr>
          <w:rFonts w:eastAsia="Times New Roman"/>
        </w:rPr>
        <w:instrText xml:space="preserve"> REF _Ref47524909 \n \h </w:instrText>
      </w:r>
      <w:r w:rsidR="0034404C" w:rsidRPr="00A52AB8">
        <w:rPr>
          <w:rFonts w:eastAsia="Times New Roman"/>
        </w:rPr>
        <w:instrText xml:space="preserve"> \* MERGEFORMAT </w:instrText>
      </w:r>
      <w:r w:rsidR="00EC28F8" w:rsidRPr="00496A4D">
        <w:rPr>
          <w:rFonts w:eastAsia="Times New Roman"/>
        </w:rPr>
      </w:r>
      <w:r w:rsidR="00EC28F8" w:rsidRPr="00496A4D">
        <w:rPr>
          <w:rFonts w:eastAsia="Times New Roman"/>
        </w:rPr>
        <w:fldChar w:fldCharType="separate"/>
      </w:r>
      <w:r w:rsidR="00507A67">
        <w:rPr>
          <w:rFonts w:eastAsia="Times New Roman"/>
        </w:rPr>
        <w:t>3.143</w:t>
      </w:r>
      <w:r w:rsidR="00EC28F8" w:rsidRPr="00496A4D">
        <w:rPr>
          <w:rFonts w:eastAsia="Times New Roman"/>
        </w:rPr>
        <w:fldChar w:fldCharType="end"/>
      </w:r>
      <w:r w:rsidR="008E57EC" w:rsidRPr="00A52AB8">
        <w:rPr>
          <w:rFonts w:eastAsia="Times New Roman"/>
        </w:rPr>
        <w:t xml:space="preserve">) </w:t>
      </w:r>
      <w:r w:rsidRPr="00A52AB8">
        <w:rPr>
          <w:rFonts w:eastAsia="Times New Roman"/>
        </w:rPr>
        <w:t xml:space="preserve">identified </w:t>
      </w:r>
      <w:r w:rsidR="008E57EC" w:rsidRPr="00A52AB8">
        <w:rPr>
          <w:rFonts w:eastAsia="Times New Roman"/>
        </w:rPr>
        <w:t xml:space="preserve">and separated </w:t>
      </w:r>
      <w:r w:rsidRPr="00A52AB8">
        <w:rPr>
          <w:rFonts w:eastAsia="Times New Roman"/>
        </w:rPr>
        <w:t xml:space="preserve">by appropriate delimiters, required to start with </w:t>
      </w:r>
      <w:r w:rsidR="008E57EC" w:rsidRPr="00A52AB8">
        <w:rPr>
          <w:rFonts w:eastAsia="Times New Roman"/>
        </w:rPr>
        <w:t xml:space="preserve">a </w:t>
      </w:r>
      <w:r w:rsidR="008E57EC" w:rsidRPr="00A52AB8">
        <w:rPr>
          <w:rFonts w:eastAsia="Times New Roman"/>
          <w:i/>
        </w:rPr>
        <w:t>VPS</w:t>
      </w:r>
      <w:r w:rsidR="008E57EC" w:rsidRPr="00A52AB8">
        <w:rPr>
          <w:rFonts w:eastAsia="Times New Roman"/>
        </w:rPr>
        <w:t xml:space="preserve"> (</w:t>
      </w:r>
      <w:r w:rsidR="00EC28F8" w:rsidRPr="00496A4D">
        <w:rPr>
          <w:rFonts w:eastAsia="Times New Roman"/>
        </w:rPr>
        <w:fldChar w:fldCharType="begin"/>
      </w:r>
      <w:r w:rsidR="00EC28F8" w:rsidRPr="00A52AB8">
        <w:rPr>
          <w:rFonts w:eastAsia="Times New Roman"/>
        </w:rPr>
        <w:instrText xml:space="preserve"> REF _Ref50642568 \n \h </w:instrText>
      </w:r>
      <w:r w:rsidR="0034404C" w:rsidRPr="00A52AB8">
        <w:rPr>
          <w:rFonts w:eastAsia="Times New Roman"/>
        </w:rPr>
        <w:instrText xml:space="preserve"> \* MERGEFORMAT </w:instrText>
      </w:r>
      <w:r w:rsidR="00EC28F8" w:rsidRPr="00496A4D">
        <w:rPr>
          <w:rFonts w:eastAsia="Times New Roman"/>
        </w:rPr>
      </w:r>
      <w:r w:rsidR="00EC28F8" w:rsidRPr="00496A4D">
        <w:rPr>
          <w:rFonts w:eastAsia="Times New Roman"/>
        </w:rPr>
        <w:fldChar w:fldCharType="separate"/>
      </w:r>
      <w:r w:rsidR="00507A67">
        <w:rPr>
          <w:rFonts w:eastAsia="Times New Roman"/>
        </w:rPr>
        <w:t>3.144</w:t>
      </w:r>
      <w:r w:rsidR="00EC28F8" w:rsidRPr="00496A4D">
        <w:rPr>
          <w:rFonts w:eastAsia="Times New Roman"/>
        </w:rPr>
        <w:fldChar w:fldCharType="end"/>
      </w:r>
      <w:r w:rsidR="008E57EC" w:rsidRPr="00A52AB8">
        <w:rPr>
          <w:rFonts w:eastAsia="Times New Roman"/>
        </w:rPr>
        <w:t>)</w:t>
      </w:r>
      <w:r w:rsidR="006C4112" w:rsidRPr="00A52AB8">
        <w:rPr>
          <w:rFonts w:eastAsia="Times New Roman"/>
        </w:rPr>
        <w:t>,</w:t>
      </w:r>
      <w:r w:rsidR="008E57EC" w:rsidRPr="00A52AB8">
        <w:rPr>
          <w:rFonts w:eastAsia="Times New Roman"/>
        </w:rPr>
        <w:t xml:space="preserve"> </w:t>
      </w:r>
      <w:r w:rsidR="008E57EC" w:rsidRPr="00A52AB8">
        <w:t xml:space="preserve">included in at least one </w:t>
      </w:r>
      <w:r w:rsidR="008E57EC" w:rsidRPr="00A52AB8">
        <w:rPr>
          <w:i/>
        </w:rPr>
        <w:t>V3C unit</w:t>
      </w:r>
      <w:r w:rsidR="008E57EC" w:rsidRPr="00A52AB8">
        <w:t xml:space="preserve"> (</w:t>
      </w:r>
      <w:r w:rsidR="00EC28F8" w:rsidRPr="00496A4D">
        <w:fldChar w:fldCharType="begin"/>
      </w:r>
      <w:r w:rsidR="00EC28F8" w:rsidRPr="00A52AB8">
        <w:instrText xml:space="preserve"> REF _Ref47526824 \n \h </w:instrText>
      </w:r>
      <w:r w:rsidR="0034404C" w:rsidRPr="00A52AB8">
        <w:instrText xml:space="preserve"> \* MERGEFORMAT </w:instrText>
      </w:r>
      <w:r w:rsidR="00EC28F8" w:rsidRPr="00496A4D">
        <w:fldChar w:fldCharType="separate"/>
      </w:r>
      <w:r w:rsidR="00507A67">
        <w:t>3.145</w:t>
      </w:r>
      <w:r w:rsidR="00EC28F8" w:rsidRPr="00496A4D">
        <w:fldChar w:fldCharType="end"/>
      </w:r>
      <w:r w:rsidR="008E57EC" w:rsidRPr="00A52AB8">
        <w:t>) or provided through external means</w:t>
      </w:r>
      <w:r w:rsidR="008E57EC" w:rsidRPr="00A52AB8">
        <w:rPr>
          <w:lang w:eastAsia="ja-JP"/>
        </w:rPr>
        <w:t xml:space="preserve">, and </w:t>
      </w:r>
      <w:r w:rsidR="006C4112" w:rsidRPr="00A52AB8">
        <w:rPr>
          <w:lang w:eastAsia="ja-JP"/>
        </w:rPr>
        <w:t>contains</w:t>
      </w:r>
      <w:r w:rsidR="006C4112" w:rsidRPr="00A52AB8">
        <w:t xml:space="preserve"> </w:t>
      </w:r>
      <w:r w:rsidR="008E57EC" w:rsidRPr="00A52AB8">
        <w:t xml:space="preserve">one or more V3C units that can be factored into </w:t>
      </w:r>
      <w:r w:rsidR="008E57EC" w:rsidRPr="00A52AB8">
        <w:rPr>
          <w:i/>
        </w:rPr>
        <w:t>V3C composition units</w:t>
      </w:r>
      <w:r w:rsidR="008E57EC" w:rsidRPr="00A52AB8">
        <w:t xml:space="preserve"> (</w:t>
      </w:r>
      <w:r w:rsidR="00EC28F8" w:rsidRPr="00496A4D">
        <w:fldChar w:fldCharType="begin"/>
      </w:r>
      <w:r w:rsidR="00EC28F8" w:rsidRPr="00A52AB8">
        <w:instrText xml:space="preserve"> REF _Ref47525772 \n \h </w:instrText>
      </w:r>
      <w:r w:rsidR="0034404C" w:rsidRPr="00A52AB8">
        <w:instrText xml:space="preserve"> \* MERGEFORMAT </w:instrText>
      </w:r>
      <w:r w:rsidR="00EC28F8" w:rsidRPr="00496A4D">
        <w:fldChar w:fldCharType="separate"/>
      </w:r>
      <w:r w:rsidR="00507A67">
        <w:t>3.141</w:t>
      </w:r>
      <w:r w:rsidR="00EC28F8" w:rsidRPr="00496A4D">
        <w:fldChar w:fldCharType="end"/>
      </w:r>
      <w:r w:rsidR="008E57EC" w:rsidRPr="00A52AB8">
        <w:t>), where the</w:t>
      </w:r>
      <w:r w:rsidRPr="00A52AB8">
        <w:rPr>
          <w:rFonts w:eastAsia="Times New Roman"/>
        </w:rPr>
        <w:t xml:space="preserve"> </w:t>
      </w:r>
      <w:r w:rsidR="008E57EC" w:rsidRPr="00A52AB8">
        <w:rPr>
          <w:rFonts w:eastAsia="Times New Roman"/>
        </w:rPr>
        <w:t xml:space="preserve">first </w:t>
      </w:r>
      <w:r w:rsidRPr="00A52AB8">
        <w:rPr>
          <w:rFonts w:eastAsia="Times New Roman"/>
        </w:rPr>
        <w:t>V3C</w:t>
      </w:r>
      <w:r w:rsidR="008E57EC" w:rsidRPr="00A52AB8">
        <w:rPr>
          <w:rFonts w:eastAsia="Times New Roman"/>
        </w:rPr>
        <w:t xml:space="preserve"> composition unit </w:t>
      </w:r>
      <w:r w:rsidR="006C4112" w:rsidRPr="00A52AB8">
        <w:rPr>
          <w:rFonts w:eastAsia="Times New Roman"/>
        </w:rPr>
        <w:t>is</w:t>
      </w:r>
      <w:r w:rsidR="0034404C" w:rsidRPr="00A52AB8">
        <w:rPr>
          <w:rFonts w:eastAsia="Times New Roman"/>
        </w:rPr>
        <w:t xml:space="preserve"> a</w:t>
      </w:r>
      <w:r w:rsidRPr="00A52AB8">
        <w:rPr>
          <w:rFonts w:eastAsia="Times New Roman"/>
        </w:rPr>
        <w:t xml:space="preserve"> </w:t>
      </w:r>
      <w:r w:rsidR="0034404C" w:rsidRPr="00A52AB8">
        <w:rPr>
          <w:rFonts w:eastAsia="Times New Roman"/>
          <w:i/>
        </w:rPr>
        <w:t xml:space="preserve">V3C </w:t>
      </w:r>
      <w:r w:rsidRPr="00A52AB8">
        <w:rPr>
          <w:rFonts w:eastAsia="Times New Roman"/>
          <w:i/>
        </w:rPr>
        <w:t>IRAP composition unit</w:t>
      </w:r>
      <w:r w:rsidRPr="00A52AB8">
        <w:rPr>
          <w:rFonts w:eastAsia="Times New Roman"/>
        </w:rPr>
        <w:t xml:space="preserve"> (</w:t>
      </w:r>
      <w:r w:rsidR="0034404C" w:rsidRPr="00496A4D">
        <w:rPr>
          <w:rFonts w:eastAsia="Times New Roman"/>
        </w:rPr>
        <w:fldChar w:fldCharType="begin"/>
      </w:r>
      <w:r w:rsidR="0034404C" w:rsidRPr="00A52AB8">
        <w:rPr>
          <w:rFonts w:eastAsia="Times New Roman"/>
        </w:rPr>
        <w:instrText xml:space="preserve"> REF _Ref47525745 \n \h  \* MERGEFORMAT </w:instrText>
      </w:r>
      <w:r w:rsidR="0034404C" w:rsidRPr="00496A4D">
        <w:rPr>
          <w:rFonts w:eastAsia="Times New Roman"/>
        </w:rPr>
      </w:r>
      <w:r w:rsidR="0034404C" w:rsidRPr="00496A4D">
        <w:rPr>
          <w:rFonts w:eastAsia="Times New Roman"/>
        </w:rPr>
        <w:fldChar w:fldCharType="separate"/>
      </w:r>
      <w:r w:rsidR="00507A67">
        <w:rPr>
          <w:rFonts w:eastAsia="Times New Roman"/>
        </w:rPr>
        <w:t>3.142</w:t>
      </w:r>
      <w:r w:rsidR="0034404C" w:rsidRPr="00496A4D">
        <w:rPr>
          <w:rFonts w:eastAsia="Times New Roman"/>
        </w:rPr>
        <w:fldChar w:fldCharType="end"/>
      </w:r>
      <w:r w:rsidRPr="00A52AB8">
        <w:rPr>
          <w:rFonts w:eastAsia="Times New Roman"/>
        </w:rPr>
        <w:t>)</w:t>
      </w:r>
    </w:p>
    <w:p w14:paraId="74C616AF" w14:textId="77777777" w:rsidR="00564EF6" w:rsidRPr="00A52AB8" w:rsidRDefault="00564EF6" w:rsidP="00E72F7E">
      <w:pPr>
        <w:pStyle w:val="TermHeading"/>
      </w:pPr>
      <w:bookmarkStart w:id="48" w:name="_Ref49679513"/>
    </w:p>
    <w:bookmarkEnd w:id="48"/>
    <w:p w14:paraId="6E612DCF" w14:textId="77777777" w:rsidR="00564EF6" w:rsidRPr="00A52AB8" w:rsidRDefault="00564EF6" w:rsidP="00564EF6">
      <w:pPr>
        <w:pStyle w:val="Terms"/>
        <w:rPr>
          <w:color w:val="000000" w:themeColor="text1"/>
        </w:rPr>
      </w:pPr>
      <w:r w:rsidRPr="00A52AB8">
        <w:rPr>
          <w:color w:val="000000" w:themeColor="text1"/>
        </w:rPr>
        <w:t>coded representation</w:t>
      </w:r>
    </w:p>
    <w:p w14:paraId="21275051" w14:textId="77777777" w:rsidR="00564EF6" w:rsidRPr="00A52AB8" w:rsidRDefault="00564EF6" w:rsidP="00564EF6">
      <w:pPr>
        <w:pStyle w:val="Definition"/>
        <w:rPr>
          <w:color w:val="000000" w:themeColor="text1"/>
        </w:rPr>
      </w:pPr>
      <w:r w:rsidRPr="00A52AB8">
        <w:rPr>
          <w:color w:val="000000" w:themeColor="text1"/>
        </w:rPr>
        <w:t>data element as represented in its coded form</w:t>
      </w:r>
    </w:p>
    <w:p w14:paraId="7C40FF7A" w14:textId="77777777" w:rsidR="00564EF6" w:rsidRPr="00A52AB8" w:rsidRDefault="00564EF6" w:rsidP="00E72F7E">
      <w:pPr>
        <w:pStyle w:val="TermHeading"/>
      </w:pPr>
    </w:p>
    <w:p w14:paraId="6495D32B" w14:textId="77777777" w:rsidR="00564EF6" w:rsidRPr="00A52AB8" w:rsidRDefault="00564EF6" w:rsidP="00564EF6">
      <w:pPr>
        <w:pStyle w:val="Terms"/>
        <w:rPr>
          <w:color w:val="000000" w:themeColor="text1"/>
        </w:rPr>
      </w:pPr>
      <w:r w:rsidRPr="00A52AB8">
        <w:rPr>
          <w:color w:val="000000" w:themeColor="text1"/>
        </w:rPr>
        <w:t>coded sub-bitstream sequence</w:t>
      </w:r>
    </w:p>
    <w:p w14:paraId="62D30F88" w14:textId="274A0163" w:rsidR="00564EF6" w:rsidRPr="00A52AB8" w:rsidRDefault="00564EF6" w:rsidP="00564EF6">
      <w:pPr>
        <w:pStyle w:val="Definition"/>
        <w:rPr>
          <w:color w:val="000000" w:themeColor="text1"/>
        </w:rPr>
      </w:pPr>
      <w:r w:rsidRPr="00A52AB8">
        <w:rPr>
          <w:i/>
          <w:iCs/>
          <w:color w:val="000000" w:themeColor="text1"/>
        </w:rPr>
        <w:t>sub-bitstream IRAP composition unit</w:t>
      </w:r>
      <w:r w:rsidRPr="00A52AB8">
        <w:rPr>
          <w:color w:val="000000" w:themeColor="text1"/>
        </w:rPr>
        <w:t xml:space="preserve"> (</w:t>
      </w:r>
      <w:r w:rsidRPr="00496A4D">
        <w:rPr>
          <w:color w:val="000000" w:themeColor="text1"/>
        </w:rPr>
        <w:fldChar w:fldCharType="begin"/>
      </w:r>
      <w:r w:rsidRPr="00A52AB8">
        <w:rPr>
          <w:color w:val="000000" w:themeColor="text1"/>
        </w:rPr>
        <w:instrText xml:space="preserve"> REF _Ref47525804 \r \h </w:instrText>
      </w:r>
      <w:r w:rsidR="006371AA"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3.119</w:t>
      </w:r>
      <w:r w:rsidRPr="00496A4D">
        <w:rPr>
          <w:color w:val="000000" w:themeColor="text1"/>
        </w:rPr>
        <w:fldChar w:fldCharType="end"/>
      </w:r>
      <w:r w:rsidRPr="00A52AB8">
        <w:rPr>
          <w:color w:val="000000" w:themeColor="text1"/>
        </w:rPr>
        <w:t xml:space="preserve">) followed by zero or more </w:t>
      </w:r>
      <w:r w:rsidRPr="00A52AB8">
        <w:rPr>
          <w:i/>
          <w:iCs/>
          <w:color w:val="000000" w:themeColor="text1"/>
        </w:rPr>
        <w:t xml:space="preserve">sub-bitstream composition units </w:t>
      </w:r>
      <w:r w:rsidRPr="00A52AB8">
        <w:rPr>
          <w:color w:val="000000" w:themeColor="text1"/>
        </w:rPr>
        <w:t>(</w:t>
      </w:r>
      <w:r w:rsidRPr="00496A4D">
        <w:rPr>
          <w:color w:val="000000" w:themeColor="text1"/>
        </w:rPr>
        <w:fldChar w:fldCharType="begin"/>
      </w:r>
      <w:r w:rsidRPr="00A52AB8">
        <w:rPr>
          <w:color w:val="000000" w:themeColor="text1"/>
        </w:rPr>
        <w:instrText xml:space="preserve"> REF _Ref47524886 \r \h </w:instrText>
      </w:r>
      <w:r w:rsidR="006371AA"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3.118</w:t>
      </w:r>
      <w:r w:rsidRPr="00496A4D">
        <w:rPr>
          <w:color w:val="000000" w:themeColor="text1"/>
        </w:rPr>
        <w:fldChar w:fldCharType="end"/>
      </w:r>
      <w:r w:rsidRPr="00A52AB8">
        <w:rPr>
          <w:color w:val="000000" w:themeColor="text1"/>
        </w:rPr>
        <w:t>)</w:t>
      </w:r>
    </w:p>
    <w:p w14:paraId="5607B85C" w14:textId="77777777" w:rsidR="00564EF6" w:rsidRPr="00A52AB8" w:rsidRDefault="00564EF6" w:rsidP="00E72F7E">
      <w:pPr>
        <w:pStyle w:val="TermHeading"/>
      </w:pPr>
    </w:p>
    <w:p w14:paraId="0138871B" w14:textId="77777777" w:rsidR="00564EF6" w:rsidRPr="00A52AB8" w:rsidRDefault="00564EF6" w:rsidP="00564EF6">
      <w:pPr>
        <w:pStyle w:val="Terms"/>
        <w:rPr>
          <w:color w:val="000000" w:themeColor="text1"/>
        </w:rPr>
      </w:pPr>
      <w:r w:rsidRPr="00A52AB8">
        <w:rPr>
          <w:color w:val="000000" w:themeColor="text1"/>
        </w:rPr>
        <w:t>coded V3C component</w:t>
      </w:r>
    </w:p>
    <w:p w14:paraId="70A3B693" w14:textId="48574BAD" w:rsidR="00564EF6" w:rsidRPr="00A52AB8" w:rsidRDefault="00564EF6" w:rsidP="00564EF6">
      <w:pPr>
        <w:pStyle w:val="Definition"/>
      </w:pPr>
      <w:r w:rsidRPr="00A52AB8">
        <w:rPr>
          <w:color w:val="000000" w:themeColor="text1"/>
        </w:rPr>
        <w:t xml:space="preserve">coded representation of a </w:t>
      </w:r>
      <w:r w:rsidRPr="00A52AB8">
        <w:rPr>
          <w:i/>
          <w:iCs/>
          <w:color w:val="000000" w:themeColor="text1"/>
        </w:rPr>
        <w:t>V3C component</w:t>
      </w:r>
      <w:r w:rsidRPr="00A52AB8">
        <w:rPr>
          <w:color w:val="000000" w:themeColor="text1"/>
        </w:rPr>
        <w:t xml:space="preserve"> (</w:t>
      </w:r>
      <w:r w:rsidRPr="00496A4D">
        <w:rPr>
          <w:color w:val="000000" w:themeColor="text1"/>
        </w:rPr>
        <w:fldChar w:fldCharType="begin"/>
      </w:r>
      <w:r w:rsidRPr="00A52AB8">
        <w:rPr>
          <w:color w:val="000000" w:themeColor="text1"/>
        </w:rPr>
        <w:instrText xml:space="preserve"> REF _Ref47525972 \r \h </w:instrText>
      </w:r>
      <w:r w:rsidR="006371AA"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3.139</w:t>
      </w:r>
      <w:r w:rsidRPr="00496A4D">
        <w:rPr>
          <w:color w:val="000000" w:themeColor="text1"/>
        </w:rPr>
        <w:fldChar w:fldCharType="end"/>
      </w:r>
      <w:r w:rsidRPr="00A52AB8">
        <w:t>)</w:t>
      </w:r>
    </w:p>
    <w:p w14:paraId="188DF204" w14:textId="77777777" w:rsidR="000B141E" w:rsidRPr="00A52AB8" w:rsidRDefault="000B141E" w:rsidP="00E72F7E">
      <w:pPr>
        <w:pStyle w:val="TermHeading"/>
      </w:pPr>
      <w:bookmarkStart w:id="49" w:name="_Ref51766473"/>
      <w:bookmarkStart w:id="50" w:name="_Ref51268449"/>
    </w:p>
    <w:bookmarkEnd w:id="49"/>
    <w:p w14:paraId="188A4CE3" w14:textId="7955B804" w:rsidR="000B141E" w:rsidRPr="00A52AB8" w:rsidRDefault="000B141E" w:rsidP="000B141E">
      <w:pPr>
        <w:pStyle w:val="Terms"/>
        <w:rPr>
          <w:color w:val="000000" w:themeColor="text1"/>
        </w:rPr>
      </w:pPr>
      <w:r w:rsidRPr="00A52AB8">
        <w:rPr>
          <w:color w:val="000000" w:themeColor="text1"/>
        </w:rPr>
        <w:t>common atlas frame</w:t>
      </w:r>
    </w:p>
    <w:p w14:paraId="688166B7" w14:textId="1BB8602C" w:rsidR="000B141E" w:rsidRPr="00A52AB8" w:rsidRDefault="000B141E" w:rsidP="000B141E">
      <w:pPr>
        <w:pStyle w:val="Terms"/>
        <w:rPr>
          <w:color w:val="000000" w:themeColor="text1"/>
        </w:rPr>
      </w:pPr>
      <w:r w:rsidRPr="00A52AB8">
        <w:rPr>
          <w:color w:val="000000" w:themeColor="text1"/>
        </w:rPr>
        <w:t>CAF</w:t>
      </w:r>
    </w:p>
    <w:p w14:paraId="0CB4543E" w14:textId="6AE21B69" w:rsidR="000B141E" w:rsidRPr="00A52AB8" w:rsidRDefault="000B141E" w:rsidP="000B141E">
      <w:pPr>
        <w:pStyle w:val="Definition"/>
      </w:pPr>
      <w:r w:rsidRPr="00A52AB8">
        <w:t xml:space="preserve">common information (e.g. projection parameters) that applies to all </w:t>
      </w:r>
      <w:r w:rsidRPr="00A52AB8">
        <w:rPr>
          <w:i/>
          <w:iCs/>
        </w:rPr>
        <w:t>atlas frames</w:t>
      </w:r>
      <w:r w:rsidRPr="00A52AB8">
        <w:t xml:space="preserve"> </w:t>
      </w:r>
      <w:r w:rsidRPr="00A52AB8">
        <w:rPr>
          <w:iCs/>
        </w:rPr>
        <w:t>(</w:t>
      </w:r>
      <w:r w:rsidRPr="00496A4D">
        <w:rPr>
          <w:iCs/>
        </w:rPr>
        <w:fldChar w:fldCharType="begin"/>
      </w:r>
      <w:r w:rsidRPr="00A52AB8">
        <w:rPr>
          <w:iCs/>
        </w:rPr>
        <w:instrText xml:space="preserve"> REF _Ref47524579 \r \h  \* MERGEFORMAT </w:instrText>
      </w:r>
      <w:r w:rsidRPr="00496A4D">
        <w:rPr>
          <w:iCs/>
        </w:rPr>
      </w:r>
      <w:r w:rsidRPr="00496A4D">
        <w:rPr>
          <w:iCs/>
        </w:rPr>
        <w:fldChar w:fldCharType="separate"/>
      </w:r>
      <w:r w:rsidR="00507A67">
        <w:rPr>
          <w:iCs/>
        </w:rPr>
        <w:t>3.8</w:t>
      </w:r>
      <w:r w:rsidRPr="00496A4D">
        <w:rPr>
          <w:iCs/>
        </w:rPr>
        <w:fldChar w:fldCharType="end"/>
      </w:r>
      <w:r w:rsidRPr="00A52AB8">
        <w:rPr>
          <w:iCs/>
        </w:rPr>
        <w:t>)</w:t>
      </w:r>
      <w:r w:rsidRPr="00A52AB8">
        <w:t xml:space="preserve"> in a</w:t>
      </w:r>
      <w:r w:rsidRPr="00A52AB8">
        <w:rPr>
          <w:i/>
          <w:iCs/>
        </w:rPr>
        <w:t xml:space="preserve"> </w:t>
      </w:r>
      <w:r w:rsidRPr="00A52AB8">
        <w:rPr>
          <w:i/>
          <w:color w:val="000000" w:themeColor="text1"/>
        </w:rPr>
        <w:t xml:space="preserve">volumetric frame </w:t>
      </w:r>
      <w:r w:rsidRPr="00A52AB8">
        <w:rPr>
          <w:iCs/>
          <w:color w:val="000000" w:themeColor="text1"/>
        </w:rPr>
        <w:t>(</w:t>
      </w:r>
      <w:r w:rsidRPr="00496A4D">
        <w:rPr>
          <w:iCs/>
          <w:color w:val="000000" w:themeColor="text1"/>
        </w:rPr>
        <w:fldChar w:fldCharType="begin"/>
      </w:r>
      <w:r w:rsidRPr="00A52AB8">
        <w:rPr>
          <w:iCs/>
          <w:color w:val="000000" w:themeColor="text1"/>
        </w:rPr>
        <w:instrText xml:space="preserve"> REF _Ref47524838 \r \h  \* MERGEFORMAT </w:instrText>
      </w:r>
      <w:r w:rsidRPr="00496A4D">
        <w:rPr>
          <w:iCs/>
          <w:color w:val="000000" w:themeColor="text1"/>
        </w:rPr>
      </w:r>
      <w:r w:rsidRPr="00496A4D">
        <w:rPr>
          <w:iCs/>
          <w:color w:val="000000" w:themeColor="text1"/>
        </w:rPr>
        <w:fldChar w:fldCharType="separate"/>
      </w:r>
      <w:r w:rsidR="00507A67">
        <w:rPr>
          <w:iCs/>
          <w:color w:val="000000" w:themeColor="text1"/>
        </w:rPr>
        <w:t>3.148</w:t>
      </w:r>
      <w:r w:rsidRPr="00496A4D">
        <w:rPr>
          <w:iCs/>
          <w:color w:val="000000" w:themeColor="text1"/>
        </w:rPr>
        <w:fldChar w:fldCharType="end"/>
      </w:r>
      <w:r w:rsidRPr="00A52AB8">
        <w:rPr>
          <w:iCs/>
          <w:color w:val="000000" w:themeColor="text1"/>
        </w:rPr>
        <w:t>)</w:t>
      </w:r>
    </w:p>
    <w:p w14:paraId="5A4B2008" w14:textId="77777777" w:rsidR="000B141E" w:rsidRPr="00A52AB8" w:rsidRDefault="000B141E" w:rsidP="00E72F7E">
      <w:pPr>
        <w:pStyle w:val="TermHeading"/>
      </w:pPr>
    </w:p>
    <w:p w14:paraId="0F18B6B7" w14:textId="1600B367" w:rsidR="000B141E" w:rsidRPr="00A52AB8" w:rsidRDefault="000B141E" w:rsidP="000B141E">
      <w:pPr>
        <w:pStyle w:val="Terms"/>
        <w:rPr>
          <w:color w:val="000000" w:themeColor="text1"/>
        </w:rPr>
      </w:pPr>
      <w:r w:rsidRPr="00A52AB8">
        <w:rPr>
          <w:color w:val="000000" w:themeColor="text1"/>
        </w:rPr>
        <w:t>common atlas sequence</w:t>
      </w:r>
    </w:p>
    <w:p w14:paraId="42263BDC" w14:textId="35A3D5C5" w:rsidR="000B141E" w:rsidRPr="00A52AB8" w:rsidRDefault="000B141E" w:rsidP="000B141E">
      <w:pPr>
        <w:pStyle w:val="Definition"/>
        <w:rPr>
          <w:color w:val="000000" w:themeColor="text1"/>
        </w:rPr>
      </w:pPr>
      <w:r w:rsidRPr="00A52AB8">
        <w:rPr>
          <w:color w:val="000000" w:themeColor="text1"/>
        </w:rPr>
        <w:t xml:space="preserve">collection of </w:t>
      </w:r>
      <w:r w:rsidRPr="00A52AB8">
        <w:rPr>
          <w:i/>
          <w:iCs/>
          <w:color w:val="000000" w:themeColor="text1"/>
        </w:rPr>
        <w:t xml:space="preserve">common atlas frames </w:t>
      </w:r>
      <w:r w:rsidRPr="00A52AB8">
        <w:rPr>
          <w:color w:val="000000" w:themeColor="text1"/>
        </w:rPr>
        <w:t>(</w:t>
      </w:r>
      <w:r w:rsidRPr="00496A4D">
        <w:rPr>
          <w:color w:val="000000" w:themeColor="text1"/>
        </w:rPr>
        <w:fldChar w:fldCharType="begin"/>
      </w:r>
      <w:r w:rsidRPr="00A52AB8">
        <w:rPr>
          <w:color w:val="000000" w:themeColor="text1"/>
        </w:rPr>
        <w:instrText xml:space="preserve"> REF _Ref51766473 \r \h </w:instrText>
      </w:r>
      <w:r w:rsidRPr="00496A4D">
        <w:rPr>
          <w:color w:val="000000" w:themeColor="text1"/>
        </w:rPr>
      </w:r>
      <w:r w:rsidRPr="00496A4D">
        <w:rPr>
          <w:color w:val="000000" w:themeColor="text1"/>
        </w:rPr>
        <w:fldChar w:fldCharType="separate"/>
      </w:r>
      <w:r w:rsidR="00507A67">
        <w:rPr>
          <w:color w:val="000000" w:themeColor="text1"/>
        </w:rPr>
        <w:t>3.45</w:t>
      </w:r>
      <w:r w:rsidRPr="00496A4D">
        <w:rPr>
          <w:color w:val="000000" w:themeColor="text1"/>
        </w:rPr>
        <w:fldChar w:fldCharType="end"/>
      </w:r>
      <w:r w:rsidRPr="00A52AB8">
        <w:rPr>
          <w:color w:val="000000" w:themeColor="text1"/>
        </w:rPr>
        <w:t>)</w:t>
      </w:r>
    </w:p>
    <w:p w14:paraId="7B077DE7" w14:textId="77777777" w:rsidR="000B141E" w:rsidRPr="00A52AB8" w:rsidRDefault="000B141E" w:rsidP="00E72F7E">
      <w:pPr>
        <w:pStyle w:val="TermHeading"/>
      </w:pPr>
    </w:p>
    <w:p w14:paraId="6975FE5A" w14:textId="1685403D" w:rsidR="000B141E" w:rsidRPr="00A52AB8" w:rsidRDefault="000B141E" w:rsidP="000B141E">
      <w:pPr>
        <w:pStyle w:val="Terms"/>
        <w:rPr>
          <w:color w:val="000000" w:themeColor="text1"/>
        </w:rPr>
      </w:pPr>
      <w:r w:rsidRPr="00A52AB8">
        <w:rPr>
          <w:color w:val="000000" w:themeColor="text1"/>
        </w:rPr>
        <w:t>common atlas sub-bitstream</w:t>
      </w:r>
    </w:p>
    <w:p w14:paraId="6EABB136" w14:textId="7734C8E9" w:rsidR="000B141E" w:rsidRPr="00A52AB8" w:rsidRDefault="000B141E" w:rsidP="000B141E">
      <w:pPr>
        <w:pStyle w:val="Definition"/>
        <w:rPr>
          <w:color w:val="000000" w:themeColor="text1"/>
        </w:rPr>
      </w:pPr>
      <w:r w:rsidRPr="00A52AB8">
        <w:rPr>
          <w:color w:val="000000" w:themeColor="text1"/>
        </w:rPr>
        <w:t xml:space="preserve">extracted </w:t>
      </w:r>
      <w:r w:rsidRPr="00A52AB8">
        <w:rPr>
          <w:i/>
          <w:iCs/>
          <w:color w:val="000000" w:themeColor="text1"/>
        </w:rPr>
        <w:t>sub-bitstream</w:t>
      </w:r>
      <w:r w:rsidRPr="00A52AB8">
        <w:rPr>
          <w:color w:val="000000" w:themeColor="text1"/>
        </w:rPr>
        <w:t xml:space="preserve"> (</w:t>
      </w:r>
      <w:r w:rsidRPr="00496A4D">
        <w:rPr>
          <w:color w:val="000000" w:themeColor="text1"/>
        </w:rPr>
        <w:fldChar w:fldCharType="begin"/>
      </w:r>
      <w:r w:rsidRPr="00A52AB8">
        <w:rPr>
          <w:color w:val="000000" w:themeColor="text1"/>
        </w:rPr>
        <w:instrText xml:space="preserve"> REF _Ref47524811 \r \h  \* MERGEFORMAT </w:instrText>
      </w:r>
      <w:r w:rsidRPr="00496A4D">
        <w:rPr>
          <w:color w:val="000000" w:themeColor="text1"/>
        </w:rPr>
      </w:r>
      <w:r w:rsidRPr="00496A4D">
        <w:rPr>
          <w:color w:val="000000" w:themeColor="text1"/>
        </w:rPr>
        <w:fldChar w:fldCharType="separate"/>
      </w:r>
      <w:r w:rsidR="00507A67">
        <w:rPr>
          <w:color w:val="000000" w:themeColor="text1"/>
        </w:rPr>
        <w:t>3.117</w:t>
      </w:r>
      <w:r w:rsidRPr="00496A4D">
        <w:rPr>
          <w:color w:val="000000" w:themeColor="text1"/>
        </w:rPr>
        <w:fldChar w:fldCharType="end"/>
      </w:r>
      <w:r w:rsidRPr="00A52AB8">
        <w:rPr>
          <w:color w:val="000000" w:themeColor="text1"/>
        </w:rPr>
        <w:t xml:space="preserve">) from the </w:t>
      </w:r>
      <w:r w:rsidRPr="00A52AB8">
        <w:rPr>
          <w:i/>
          <w:iCs/>
          <w:color w:val="000000" w:themeColor="text1"/>
        </w:rPr>
        <w:t>V3C bitstream</w:t>
      </w:r>
      <w:r w:rsidRPr="00A52AB8">
        <w:rPr>
          <w:color w:val="000000" w:themeColor="text1"/>
        </w:rPr>
        <w:t xml:space="preserve"> (</w:t>
      </w:r>
      <w:r w:rsidRPr="00496A4D">
        <w:rPr>
          <w:color w:val="000000" w:themeColor="text1"/>
        </w:rPr>
        <w:fldChar w:fldCharType="begin"/>
      </w:r>
      <w:r w:rsidRPr="00A52AB8">
        <w:rPr>
          <w:color w:val="000000" w:themeColor="text1"/>
        </w:rPr>
        <w:instrText xml:space="preserve"> REF _Ref47524821 \r \h  \* MERGEFORMAT </w:instrText>
      </w:r>
      <w:r w:rsidRPr="00496A4D">
        <w:rPr>
          <w:color w:val="000000" w:themeColor="text1"/>
        </w:rPr>
      </w:r>
      <w:r w:rsidRPr="00496A4D">
        <w:rPr>
          <w:color w:val="000000" w:themeColor="text1"/>
        </w:rPr>
        <w:fldChar w:fldCharType="separate"/>
      </w:r>
      <w:r w:rsidR="00507A67">
        <w:rPr>
          <w:color w:val="000000" w:themeColor="text1"/>
        </w:rPr>
        <w:t>3.138</w:t>
      </w:r>
      <w:r w:rsidRPr="00496A4D">
        <w:rPr>
          <w:color w:val="000000" w:themeColor="text1"/>
        </w:rPr>
        <w:fldChar w:fldCharType="end"/>
      </w:r>
      <w:r w:rsidRPr="00A52AB8">
        <w:rPr>
          <w:color w:val="000000" w:themeColor="text1"/>
        </w:rPr>
        <w:t>) containing a part of a</w:t>
      </w:r>
      <w:r w:rsidR="00C5247F" w:rsidRPr="00A52AB8">
        <w:rPr>
          <w:color w:val="000000" w:themeColor="text1"/>
        </w:rPr>
        <w:t xml:space="preserve"> common</w:t>
      </w:r>
      <w:r w:rsidRPr="00A52AB8">
        <w:rPr>
          <w:color w:val="000000" w:themeColor="text1"/>
        </w:rPr>
        <w:t xml:space="preserve"> atlas NAL bitstream</w:t>
      </w:r>
    </w:p>
    <w:p w14:paraId="67886B93" w14:textId="77777777" w:rsidR="00394075" w:rsidRPr="00A52AB8" w:rsidRDefault="00394075" w:rsidP="00E72F7E">
      <w:pPr>
        <w:pStyle w:val="TermHeading"/>
      </w:pPr>
    </w:p>
    <w:bookmarkEnd w:id="50"/>
    <w:p w14:paraId="7793C9C1" w14:textId="289DF2C0" w:rsidR="00394075" w:rsidRPr="00A52AB8" w:rsidRDefault="00394075" w:rsidP="00394075">
      <w:pPr>
        <w:pStyle w:val="Terms"/>
        <w:rPr>
          <w:color w:val="000000" w:themeColor="text1"/>
        </w:rPr>
      </w:pPr>
      <w:r w:rsidRPr="00A52AB8">
        <w:rPr>
          <w:color w:val="000000" w:themeColor="text1"/>
        </w:rPr>
        <w:t>co</w:t>
      </w:r>
      <w:r w:rsidR="0010558E" w:rsidRPr="00A52AB8">
        <w:rPr>
          <w:color w:val="000000" w:themeColor="text1"/>
        </w:rPr>
        <w:t>mponent</w:t>
      </w:r>
      <w:r w:rsidRPr="00A52AB8">
        <w:rPr>
          <w:color w:val="000000" w:themeColor="text1"/>
        </w:rPr>
        <w:t xml:space="preserve"> bitstream</w:t>
      </w:r>
    </w:p>
    <w:p w14:paraId="7BAFEBC5" w14:textId="3AF6D7D2" w:rsidR="00394075" w:rsidRPr="00A52AB8" w:rsidRDefault="00394075" w:rsidP="00394075">
      <w:pPr>
        <w:pStyle w:val="Definition"/>
        <w:rPr>
          <w:color w:val="000000" w:themeColor="text1"/>
        </w:rPr>
      </w:pPr>
      <w:r w:rsidRPr="00A52AB8">
        <w:rPr>
          <w:i/>
          <w:iCs/>
          <w:color w:val="000000" w:themeColor="text1"/>
        </w:rPr>
        <w:t>bitstream</w:t>
      </w:r>
      <w:r w:rsidRPr="00A52AB8">
        <w:rPr>
          <w:color w:val="000000" w:themeColor="text1"/>
        </w:rPr>
        <w:t xml:space="preserve"> (</w:t>
      </w:r>
      <w:r w:rsidRPr="00496A4D">
        <w:rPr>
          <w:color w:val="000000" w:themeColor="text1"/>
        </w:rPr>
        <w:fldChar w:fldCharType="begin"/>
      </w:r>
      <w:r w:rsidRPr="00A52AB8">
        <w:rPr>
          <w:color w:val="000000" w:themeColor="text1"/>
        </w:rPr>
        <w:instrText xml:space="preserve"> REF _Ref47523191 \r \h </w:instrText>
      </w:r>
      <w:r w:rsidR="0010558E"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3.23</w:t>
      </w:r>
      <w:r w:rsidRPr="00496A4D">
        <w:rPr>
          <w:color w:val="000000" w:themeColor="text1"/>
        </w:rPr>
        <w:fldChar w:fldCharType="end"/>
      </w:r>
      <w:r w:rsidRPr="00A52AB8">
        <w:rPr>
          <w:color w:val="000000" w:themeColor="text1"/>
        </w:rPr>
        <w:t xml:space="preserve">) representing </w:t>
      </w:r>
      <w:r w:rsidR="0010558E" w:rsidRPr="00A52AB8">
        <w:rPr>
          <w:color w:val="000000" w:themeColor="text1"/>
        </w:rPr>
        <w:t xml:space="preserve">a </w:t>
      </w:r>
      <w:r w:rsidRPr="00A52AB8">
        <w:rPr>
          <w:i/>
          <w:iCs/>
          <w:color w:val="000000" w:themeColor="text1"/>
        </w:rPr>
        <w:t>V3C component</w:t>
      </w:r>
      <w:r w:rsidRPr="00A52AB8">
        <w:rPr>
          <w:color w:val="000000" w:themeColor="text1"/>
        </w:rPr>
        <w:t xml:space="preserve"> (</w:t>
      </w:r>
      <w:r w:rsidR="0010558E" w:rsidRPr="00496A4D">
        <w:rPr>
          <w:color w:val="000000" w:themeColor="text1"/>
        </w:rPr>
        <w:fldChar w:fldCharType="begin"/>
      </w:r>
      <w:r w:rsidR="0010558E" w:rsidRPr="00A52AB8">
        <w:rPr>
          <w:color w:val="000000" w:themeColor="text1"/>
        </w:rPr>
        <w:instrText xml:space="preserve"> REF _Ref47525972 \r \h  \* MERGEFORMAT </w:instrText>
      </w:r>
      <w:r w:rsidR="0010558E" w:rsidRPr="00496A4D">
        <w:rPr>
          <w:color w:val="000000" w:themeColor="text1"/>
        </w:rPr>
      </w:r>
      <w:r w:rsidR="0010558E" w:rsidRPr="00496A4D">
        <w:rPr>
          <w:color w:val="000000" w:themeColor="text1"/>
        </w:rPr>
        <w:fldChar w:fldCharType="separate"/>
      </w:r>
      <w:r w:rsidR="00507A67">
        <w:rPr>
          <w:color w:val="000000" w:themeColor="text1"/>
        </w:rPr>
        <w:t>3.139</w:t>
      </w:r>
      <w:r w:rsidR="0010558E" w:rsidRPr="00496A4D">
        <w:rPr>
          <w:color w:val="000000" w:themeColor="text1"/>
        </w:rPr>
        <w:fldChar w:fldCharType="end"/>
      </w:r>
      <w:r w:rsidR="0010558E" w:rsidRPr="00A52AB8">
        <w:rPr>
          <w:color w:val="000000" w:themeColor="text1"/>
        </w:rPr>
        <w:t>)</w:t>
      </w:r>
    </w:p>
    <w:p w14:paraId="26F4CBBF" w14:textId="77777777" w:rsidR="00394075" w:rsidRPr="00A52AB8" w:rsidRDefault="00394075" w:rsidP="00E72F7E">
      <w:pPr>
        <w:pStyle w:val="TermHeading"/>
      </w:pPr>
    </w:p>
    <w:p w14:paraId="18391683" w14:textId="3C366D54" w:rsidR="00394075" w:rsidRPr="00A52AB8" w:rsidRDefault="00394075" w:rsidP="00394075">
      <w:pPr>
        <w:pStyle w:val="Terms"/>
        <w:rPr>
          <w:color w:val="000000" w:themeColor="text1"/>
        </w:rPr>
      </w:pPr>
      <w:r w:rsidRPr="00A52AB8">
        <w:rPr>
          <w:color w:val="000000" w:themeColor="text1"/>
        </w:rPr>
        <w:t>co</w:t>
      </w:r>
      <w:r w:rsidR="0010558E" w:rsidRPr="00A52AB8">
        <w:rPr>
          <w:color w:val="000000" w:themeColor="text1"/>
        </w:rPr>
        <w:t>mponent</w:t>
      </w:r>
      <w:r w:rsidRPr="00A52AB8">
        <w:rPr>
          <w:color w:val="000000" w:themeColor="text1"/>
        </w:rPr>
        <w:t xml:space="preserve"> </w:t>
      </w:r>
      <w:r w:rsidR="0010558E" w:rsidRPr="00A52AB8">
        <w:rPr>
          <w:color w:val="000000" w:themeColor="text1"/>
        </w:rPr>
        <w:t>sub-bitstream</w:t>
      </w:r>
    </w:p>
    <w:p w14:paraId="0A0F8B29" w14:textId="00B33339" w:rsidR="00394075" w:rsidRPr="00A52AB8" w:rsidRDefault="0010558E" w:rsidP="00564EF6">
      <w:pPr>
        <w:pStyle w:val="Definition"/>
        <w:rPr>
          <w:rFonts w:cs="Calibri"/>
        </w:rPr>
      </w:pPr>
      <w:r w:rsidRPr="00A52AB8">
        <w:rPr>
          <w:rFonts w:cs="Calibri"/>
        </w:rPr>
        <w:t xml:space="preserve">portion of </w:t>
      </w:r>
      <w:r w:rsidRPr="00A52AB8">
        <w:rPr>
          <w:rFonts w:cs="Calibri"/>
          <w:i/>
          <w:iCs/>
        </w:rPr>
        <w:t>component bitstream</w:t>
      </w:r>
      <w:r w:rsidRPr="00A52AB8">
        <w:rPr>
          <w:rFonts w:cs="Calibri"/>
        </w:rPr>
        <w:t xml:space="preserve"> (</w:t>
      </w:r>
      <w:r w:rsidRPr="00496A4D">
        <w:rPr>
          <w:rFonts w:cs="Calibri"/>
        </w:rPr>
        <w:fldChar w:fldCharType="begin"/>
      </w:r>
      <w:r w:rsidRPr="00A52AB8">
        <w:rPr>
          <w:rFonts w:cs="Calibri"/>
        </w:rPr>
        <w:instrText xml:space="preserve"> REF _Ref51268449 \r \h  \* MERGEFORMAT </w:instrText>
      </w:r>
      <w:r w:rsidRPr="00496A4D">
        <w:rPr>
          <w:rFonts w:cs="Calibri"/>
        </w:rPr>
      </w:r>
      <w:r w:rsidRPr="00496A4D">
        <w:rPr>
          <w:rFonts w:cs="Calibri"/>
        </w:rPr>
        <w:fldChar w:fldCharType="separate"/>
      </w:r>
      <w:r w:rsidR="00507A67">
        <w:rPr>
          <w:rFonts w:cs="Calibri"/>
        </w:rPr>
        <w:t>3.45</w:t>
      </w:r>
      <w:r w:rsidRPr="00496A4D">
        <w:rPr>
          <w:rFonts w:cs="Calibri"/>
        </w:rPr>
        <w:fldChar w:fldCharType="end"/>
      </w:r>
      <w:r w:rsidRPr="00A52AB8">
        <w:rPr>
          <w:rFonts w:cs="Calibri"/>
        </w:rPr>
        <w:t>)</w:t>
      </w:r>
    </w:p>
    <w:p w14:paraId="5C57BA4D" w14:textId="77777777" w:rsidR="000A54A0" w:rsidRPr="00A52AB8" w:rsidRDefault="000A54A0" w:rsidP="00E72F7E">
      <w:pPr>
        <w:pStyle w:val="TermHeading"/>
      </w:pPr>
      <w:bookmarkStart w:id="51" w:name="_Ref49803120"/>
    </w:p>
    <w:bookmarkEnd w:id="51"/>
    <w:p w14:paraId="2C92FC7B" w14:textId="54613A91" w:rsidR="000A54A0" w:rsidRPr="00A52AB8" w:rsidRDefault="000A54A0" w:rsidP="000A54A0">
      <w:pPr>
        <w:pStyle w:val="Terms"/>
        <w:rPr>
          <w:color w:val="000000" w:themeColor="text1"/>
        </w:rPr>
      </w:pPr>
      <w:r w:rsidRPr="00A52AB8">
        <w:rPr>
          <w:color w:val="000000" w:themeColor="text1"/>
        </w:rPr>
        <w:t>composition time</w:t>
      </w:r>
    </w:p>
    <w:p w14:paraId="1DECD2BA" w14:textId="55D3A88D" w:rsidR="000A54A0" w:rsidRPr="00A52AB8" w:rsidRDefault="00DC1D44" w:rsidP="000A54A0">
      <w:pPr>
        <w:pStyle w:val="Definition"/>
        <w:rPr>
          <w:rFonts w:cs="Calibri"/>
        </w:rPr>
      </w:pPr>
      <w:r w:rsidRPr="00A52AB8">
        <w:rPr>
          <w:rFonts w:cs="Calibri"/>
        </w:rPr>
        <w:t xml:space="preserve">time </w:t>
      </w:r>
      <w:r w:rsidR="00430AB3" w:rsidRPr="00A52AB8">
        <w:rPr>
          <w:rFonts w:cs="Calibri"/>
        </w:rPr>
        <w:t xml:space="preserve">or time period </w:t>
      </w:r>
      <w:r w:rsidRPr="00A52AB8">
        <w:rPr>
          <w:rFonts w:cs="Calibri"/>
        </w:rPr>
        <w:t>at which a frame needs to be composed</w:t>
      </w:r>
      <w:r w:rsidR="00430AB3" w:rsidRPr="00A52AB8">
        <w:rPr>
          <w:rFonts w:cs="Calibri"/>
        </w:rPr>
        <w:t>, used for reconstruction</w:t>
      </w:r>
      <w:r w:rsidR="004C0A45" w:rsidRPr="00A52AB8">
        <w:rPr>
          <w:rFonts w:cs="Calibri"/>
        </w:rPr>
        <w:t>,</w:t>
      </w:r>
      <w:r w:rsidRPr="00A52AB8">
        <w:rPr>
          <w:rFonts w:cs="Calibri"/>
        </w:rPr>
        <w:t xml:space="preserve"> </w:t>
      </w:r>
      <w:r w:rsidR="00430AB3" w:rsidRPr="00A52AB8">
        <w:rPr>
          <w:rFonts w:cs="Calibri"/>
        </w:rPr>
        <w:t>or</w:t>
      </w:r>
      <w:r w:rsidRPr="00A52AB8">
        <w:rPr>
          <w:rFonts w:cs="Calibri"/>
        </w:rPr>
        <w:t xml:space="preserve"> presented</w:t>
      </w:r>
    </w:p>
    <w:p w14:paraId="1CDB893E" w14:textId="77777777" w:rsidR="000A54A0" w:rsidRPr="00A52AB8" w:rsidRDefault="000A54A0" w:rsidP="00E72F7E">
      <w:pPr>
        <w:pStyle w:val="TermHeading"/>
      </w:pPr>
    </w:p>
    <w:p w14:paraId="2D2CD74E" w14:textId="12650910" w:rsidR="000A54A0" w:rsidRPr="00A52AB8" w:rsidRDefault="000A54A0" w:rsidP="000A54A0">
      <w:pPr>
        <w:pStyle w:val="Terms"/>
        <w:rPr>
          <w:color w:val="000000" w:themeColor="text1"/>
        </w:rPr>
      </w:pPr>
      <w:r w:rsidRPr="00A52AB8">
        <w:rPr>
          <w:color w:val="000000" w:themeColor="text1"/>
        </w:rPr>
        <w:t>composition time index</w:t>
      </w:r>
    </w:p>
    <w:p w14:paraId="014E70F8" w14:textId="0031040D" w:rsidR="0050235C" w:rsidRPr="00A52AB8" w:rsidRDefault="00DC1D44" w:rsidP="000A54A0">
      <w:pPr>
        <w:pStyle w:val="Definition"/>
        <w:rPr>
          <w:rFonts w:cs="Calibri"/>
        </w:rPr>
      </w:pPr>
      <w:r w:rsidRPr="00A52AB8">
        <w:rPr>
          <w:rFonts w:cs="Calibri"/>
        </w:rPr>
        <w:t xml:space="preserve">index to an ordered list of </w:t>
      </w:r>
      <w:r w:rsidR="000A54A0" w:rsidRPr="00A52AB8">
        <w:rPr>
          <w:rFonts w:cs="Calibri"/>
          <w:i/>
          <w:iCs/>
        </w:rPr>
        <w:t>composition time</w:t>
      </w:r>
      <w:r w:rsidRPr="00A52AB8">
        <w:rPr>
          <w:rFonts w:cs="Calibri"/>
          <w:i/>
          <w:iCs/>
        </w:rPr>
        <w:t>s</w:t>
      </w:r>
      <w:r w:rsidRPr="00A52AB8">
        <w:rPr>
          <w:rFonts w:cs="Calibri"/>
        </w:rPr>
        <w:t xml:space="preserve"> (</w:t>
      </w:r>
      <w:r w:rsidR="003C48C1" w:rsidRPr="00496A4D">
        <w:rPr>
          <w:rFonts w:cs="Calibri"/>
        </w:rPr>
        <w:fldChar w:fldCharType="begin"/>
      </w:r>
      <w:r w:rsidR="003C48C1" w:rsidRPr="00A52AB8">
        <w:rPr>
          <w:rFonts w:cs="Calibri"/>
        </w:rPr>
        <w:instrText xml:space="preserve"> REF _Ref49803120 \r \h </w:instrText>
      </w:r>
      <w:r w:rsidR="00007BE2" w:rsidRPr="00A52AB8">
        <w:rPr>
          <w:rFonts w:cs="Calibri"/>
        </w:rPr>
        <w:instrText xml:space="preserve"> \* MERGEFORMAT </w:instrText>
      </w:r>
      <w:r w:rsidR="003C48C1" w:rsidRPr="00496A4D">
        <w:rPr>
          <w:rFonts w:cs="Calibri"/>
        </w:rPr>
      </w:r>
      <w:r w:rsidR="003C48C1" w:rsidRPr="00496A4D">
        <w:rPr>
          <w:rFonts w:cs="Calibri"/>
        </w:rPr>
        <w:fldChar w:fldCharType="separate"/>
      </w:r>
      <w:r w:rsidR="00507A67">
        <w:rPr>
          <w:rFonts w:cs="Calibri"/>
        </w:rPr>
        <w:t>3.50</w:t>
      </w:r>
      <w:r w:rsidR="003C48C1" w:rsidRPr="00496A4D">
        <w:rPr>
          <w:rFonts w:cs="Calibri"/>
        </w:rPr>
        <w:fldChar w:fldCharType="end"/>
      </w:r>
      <w:r w:rsidRPr="00A52AB8">
        <w:rPr>
          <w:rFonts w:cs="Calibri"/>
        </w:rPr>
        <w:t>)</w:t>
      </w:r>
    </w:p>
    <w:p w14:paraId="3774AE4E" w14:textId="76C511F2" w:rsidR="00564EF6" w:rsidRPr="00A52AB8" w:rsidRDefault="00564EF6" w:rsidP="00E72F7E">
      <w:pPr>
        <w:pStyle w:val="TermHeading"/>
      </w:pPr>
    </w:p>
    <w:p w14:paraId="64C68F84" w14:textId="77777777" w:rsidR="0050235C" w:rsidRPr="00A52AB8" w:rsidRDefault="00564EF6" w:rsidP="00564EF6">
      <w:pPr>
        <w:pStyle w:val="Terms"/>
        <w:rPr>
          <w:color w:val="000000" w:themeColor="text1"/>
        </w:rPr>
      </w:pPr>
      <w:r w:rsidRPr="00A52AB8">
        <w:rPr>
          <w:color w:val="000000" w:themeColor="text1"/>
        </w:rPr>
        <w:t>composition unit</w:t>
      </w:r>
    </w:p>
    <w:p w14:paraId="152B16F3" w14:textId="1DE5162D" w:rsidR="00564EF6" w:rsidRPr="00A52AB8" w:rsidRDefault="00564EF6" w:rsidP="00564EF6">
      <w:pPr>
        <w:pStyle w:val="Definition"/>
        <w:rPr>
          <w:rFonts w:cs="Calibri"/>
        </w:rPr>
      </w:pPr>
      <w:r w:rsidRPr="00A52AB8">
        <w:rPr>
          <w:rFonts w:cs="Calibri"/>
        </w:rPr>
        <w:t xml:space="preserve">partition of a </w:t>
      </w:r>
      <w:r w:rsidRPr="00A52AB8">
        <w:rPr>
          <w:rFonts w:cs="Calibri"/>
          <w:i/>
          <w:iCs/>
        </w:rPr>
        <w:t>bitstream</w:t>
      </w:r>
      <w:r w:rsidRPr="00A52AB8">
        <w:rPr>
          <w:rFonts w:cs="Calibri"/>
        </w:rPr>
        <w:t xml:space="preserve"> (</w:t>
      </w:r>
      <w:r w:rsidRPr="00496A4D">
        <w:rPr>
          <w:rFonts w:cs="Calibri"/>
        </w:rPr>
        <w:fldChar w:fldCharType="begin"/>
      </w:r>
      <w:r w:rsidRPr="00A52AB8">
        <w:rPr>
          <w:rFonts w:cs="Calibri"/>
        </w:rPr>
        <w:instrText xml:space="preserve"> REF _Ref47523191 \r \h </w:instrText>
      </w:r>
      <w:r w:rsidR="006371AA" w:rsidRPr="00A52AB8">
        <w:rPr>
          <w:rFonts w:cs="Calibri"/>
        </w:rPr>
        <w:instrText xml:space="preserve"> \* MERGEFORMAT </w:instrText>
      </w:r>
      <w:r w:rsidRPr="00496A4D">
        <w:rPr>
          <w:rFonts w:cs="Calibri"/>
        </w:rPr>
      </w:r>
      <w:r w:rsidRPr="00496A4D">
        <w:rPr>
          <w:rFonts w:cs="Calibri"/>
        </w:rPr>
        <w:fldChar w:fldCharType="separate"/>
      </w:r>
      <w:r w:rsidR="00507A67">
        <w:rPr>
          <w:rFonts w:cs="Calibri"/>
        </w:rPr>
        <w:t>3.23</w:t>
      </w:r>
      <w:r w:rsidRPr="00496A4D">
        <w:rPr>
          <w:rFonts w:cs="Calibri"/>
        </w:rPr>
        <w:fldChar w:fldCharType="end"/>
      </w:r>
      <w:r w:rsidRPr="00A52AB8">
        <w:rPr>
          <w:rFonts w:cs="Calibri"/>
        </w:rPr>
        <w:t xml:space="preserve">) that has a certain </w:t>
      </w:r>
      <w:r w:rsidRPr="00A52AB8">
        <w:rPr>
          <w:rFonts w:cs="Calibri"/>
          <w:i/>
          <w:iCs/>
        </w:rPr>
        <w:t>composition time</w:t>
      </w:r>
      <w:r w:rsidR="00DC1D44" w:rsidRPr="00A52AB8">
        <w:rPr>
          <w:rFonts w:cs="Calibri"/>
          <w:i/>
          <w:iCs/>
        </w:rPr>
        <w:t xml:space="preserve"> </w:t>
      </w:r>
      <w:r w:rsidR="00DC1D44" w:rsidRPr="00A52AB8">
        <w:rPr>
          <w:rFonts w:cs="Calibri"/>
        </w:rPr>
        <w:t>(</w:t>
      </w:r>
      <w:r w:rsidR="003C48C1" w:rsidRPr="00496A4D">
        <w:rPr>
          <w:rFonts w:cs="Calibri"/>
        </w:rPr>
        <w:fldChar w:fldCharType="begin"/>
      </w:r>
      <w:r w:rsidR="003C48C1" w:rsidRPr="00A52AB8">
        <w:rPr>
          <w:rFonts w:cs="Calibri"/>
        </w:rPr>
        <w:instrText xml:space="preserve"> REF _Ref49803120 \r \h </w:instrText>
      </w:r>
      <w:r w:rsidR="00007BE2" w:rsidRPr="00A52AB8">
        <w:rPr>
          <w:rFonts w:cs="Calibri"/>
        </w:rPr>
        <w:instrText xml:space="preserve"> \* MERGEFORMAT </w:instrText>
      </w:r>
      <w:r w:rsidR="003C48C1" w:rsidRPr="00496A4D">
        <w:rPr>
          <w:rFonts w:cs="Calibri"/>
        </w:rPr>
      </w:r>
      <w:r w:rsidR="003C48C1" w:rsidRPr="00496A4D">
        <w:rPr>
          <w:rFonts w:cs="Calibri"/>
        </w:rPr>
        <w:fldChar w:fldCharType="separate"/>
      </w:r>
      <w:r w:rsidR="00507A67">
        <w:rPr>
          <w:rFonts w:cs="Calibri"/>
        </w:rPr>
        <w:t>3.50</w:t>
      </w:r>
      <w:r w:rsidR="003C48C1" w:rsidRPr="00496A4D">
        <w:rPr>
          <w:rFonts w:cs="Calibri"/>
        </w:rPr>
        <w:fldChar w:fldCharType="end"/>
      </w:r>
      <w:r w:rsidR="00DC1D44" w:rsidRPr="00A52AB8">
        <w:rPr>
          <w:rFonts w:cs="Calibri"/>
        </w:rPr>
        <w:t>)</w:t>
      </w:r>
    </w:p>
    <w:p w14:paraId="311C281E" w14:textId="77777777" w:rsidR="004A089B" w:rsidRPr="00A52AB8" w:rsidRDefault="004A089B" w:rsidP="00E72F7E">
      <w:pPr>
        <w:pStyle w:val="TermHeading"/>
      </w:pPr>
    </w:p>
    <w:p w14:paraId="3B6427DE" w14:textId="77777777" w:rsidR="0050235C" w:rsidRPr="00A52AB8" w:rsidRDefault="004A089B" w:rsidP="004A089B">
      <w:pPr>
        <w:pStyle w:val="Terms"/>
        <w:rPr>
          <w:color w:val="000000" w:themeColor="text1"/>
        </w:rPr>
      </w:pPr>
      <w:r w:rsidRPr="00A52AB8">
        <w:rPr>
          <w:color w:val="000000" w:themeColor="text1"/>
        </w:rPr>
        <w:t>decoder under test</w:t>
      </w:r>
    </w:p>
    <w:p w14:paraId="32C5145F" w14:textId="307CB623" w:rsidR="004A089B" w:rsidRPr="00A52AB8" w:rsidRDefault="004A089B" w:rsidP="004A089B">
      <w:pPr>
        <w:pStyle w:val="Terms"/>
        <w:rPr>
          <w:color w:val="000000" w:themeColor="text1"/>
        </w:rPr>
      </w:pPr>
      <w:r w:rsidRPr="00A52AB8">
        <w:rPr>
          <w:color w:val="000000" w:themeColor="text1"/>
        </w:rPr>
        <w:t>DUT</w:t>
      </w:r>
    </w:p>
    <w:p w14:paraId="4DAB3FD3" w14:textId="591E97D0" w:rsidR="004A089B" w:rsidRPr="00A52AB8" w:rsidRDefault="004A089B" w:rsidP="004A089B">
      <w:pPr>
        <w:pStyle w:val="Definition"/>
        <w:rPr>
          <w:rFonts w:cs="Calibri"/>
        </w:rPr>
      </w:pPr>
      <w:r w:rsidRPr="00A52AB8">
        <w:rPr>
          <w:rFonts w:cs="Calibri"/>
        </w:rPr>
        <w:t xml:space="preserve">decoder that is tested for conformance to this document by operating the hypothetical stream scheduler to deliver a conforming </w:t>
      </w:r>
      <w:r w:rsidRPr="00A52AB8">
        <w:rPr>
          <w:rFonts w:cs="Calibri"/>
          <w:i/>
          <w:iCs/>
        </w:rPr>
        <w:t>bitstream</w:t>
      </w:r>
      <w:r w:rsidRPr="00A52AB8">
        <w:rPr>
          <w:rFonts w:cs="Calibri"/>
        </w:rPr>
        <w:t xml:space="preserve"> (</w:t>
      </w:r>
      <w:r w:rsidRPr="00496A4D">
        <w:rPr>
          <w:rFonts w:cs="Calibri"/>
        </w:rPr>
        <w:fldChar w:fldCharType="begin"/>
      </w:r>
      <w:r w:rsidRPr="00A52AB8">
        <w:rPr>
          <w:rFonts w:cs="Calibri"/>
        </w:rPr>
        <w:instrText xml:space="preserve"> REF _Ref47523191 \r \h  \* MERGEFORMAT </w:instrText>
      </w:r>
      <w:r w:rsidRPr="00496A4D">
        <w:rPr>
          <w:rFonts w:cs="Calibri"/>
        </w:rPr>
      </w:r>
      <w:r w:rsidRPr="00496A4D">
        <w:rPr>
          <w:rFonts w:cs="Calibri"/>
        </w:rPr>
        <w:fldChar w:fldCharType="separate"/>
      </w:r>
      <w:r w:rsidR="00507A67">
        <w:rPr>
          <w:rFonts w:cs="Calibri"/>
        </w:rPr>
        <w:t>3.23</w:t>
      </w:r>
      <w:r w:rsidRPr="00496A4D">
        <w:rPr>
          <w:rFonts w:cs="Calibri"/>
        </w:rPr>
        <w:fldChar w:fldCharType="end"/>
      </w:r>
      <w:r w:rsidRPr="00A52AB8">
        <w:rPr>
          <w:rFonts w:cs="Calibri"/>
        </w:rPr>
        <w:t>) to the decoder and to the hypothetical reference decoder and comparing the values and timing or order of the output of the two decoders</w:t>
      </w:r>
    </w:p>
    <w:p w14:paraId="3DBC6E26" w14:textId="77777777" w:rsidR="00564EF6" w:rsidRPr="00A52AB8" w:rsidRDefault="00564EF6" w:rsidP="00E72F7E">
      <w:pPr>
        <w:pStyle w:val="TermHeading"/>
      </w:pPr>
    </w:p>
    <w:p w14:paraId="7FD325CB" w14:textId="77777777" w:rsidR="0050235C" w:rsidRPr="00A52AB8" w:rsidRDefault="00564EF6" w:rsidP="00564EF6">
      <w:pPr>
        <w:pStyle w:val="Terms"/>
        <w:rPr>
          <w:bCs/>
          <w:color w:val="000000" w:themeColor="text1"/>
        </w:rPr>
      </w:pPr>
      <w:r w:rsidRPr="00A52AB8">
        <w:rPr>
          <w:bCs/>
          <w:color w:val="000000" w:themeColor="text1"/>
        </w:rPr>
        <w:t>decod</w:t>
      </w:r>
      <w:r w:rsidR="004A089B" w:rsidRPr="00A52AB8">
        <w:rPr>
          <w:bCs/>
          <w:color w:val="000000" w:themeColor="text1"/>
        </w:rPr>
        <w:t>ing</w:t>
      </w:r>
      <w:r w:rsidRPr="00A52AB8">
        <w:rPr>
          <w:bCs/>
          <w:color w:val="000000" w:themeColor="text1"/>
        </w:rPr>
        <w:t xml:space="preserve"> un</w:t>
      </w:r>
      <w:r w:rsidR="004A089B" w:rsidRPr="00A52AB8">
        <w:rPr>
          <w:bCs/>
          <w:color w:val="000000" w:themeColor="text1"/>
        </w:rPr>
        <w:t>i</w:t>
      </w:r>
      <w:r w:rsidRPr="00A52AB8">
        <w:rPr>
          <w:bCs/>
          <w:color w:val="000000" w:themeColor="text1"/>
        </w:rPr>
        <w:t>t</w:t>
      </w:r>
    </w:p>
    <w:p w14:paraId="3869778D" w14:textId="65A4D7C6" w:rsidR="00564EF6" w:rsidRPr="00A52AB8" w:rsidRDefault="004A089B" w:rsidP="00564EF6">
      <w:pPr>
        <w:pStyle w:val="Definition"/>
        <w:rPr>
          <w:rFonts w:cs="Calibri"/>
        </w:rPr>
      </w:pPr>
      <w:r w:rsidRPr="00A52AB8">
        <w:rPr>
          <w:rFonts w:cs="Calibri"/>
        </w:rPr>
        <w:t xml:space="preserve">sub-set of a </w:t>
      </w:r>
      <w:r w:rsidRPr="00A52AB8">
        <w:rPr>
          <w:rFonts w:cs="Calibri"/>
          <w:i/>
          <w:iCs/>
        </w:rPr>
        <w:t>coded atlas access unit</w:t>
      </w:r>
      <w:r w:rsidRPr="00A52AB8">
        <w:rPr>
          <w:rFonts w:cs="Calibri"/>
        </w:rPr>
        <w:t xml:space="preserve"> (</w:t>
      </w:r>
      <w:r w:rsidRPr="00496A4D">
        <w:rPr>
          <w:rFonts w:cs="Calibri"/>
        </w:rPr>
        <w:fldChar w:fldCharType="begin"/>
      </w:r>
      <w:r w:rsidRPr="00A52AB8">
        <w:rPr>
          <w:rFonts w:cs="Calibri"/>
        </w:rPr>
        <w:instrText xml:space="preserve"> REF _Ref47525180 \r \h </w:instrText>
      </w:r>
      <w:r w:rsidR="007812ED" w:rsidRPr="00A52AB8">
        <w:rPr>
          <w:rFonts w:cs="Calibri"/>
        </w:rPr>
        <w:instrText xml:space="preserve"> \* MERGEFORMAT </w:instrText>
      </w:r>
      <w:r w:rsidRPr="00496A4D">
        <w:rPr>
          <w:rFonts w:cs="Calibri"/>
        </w:rPr>
      </w:r>
      <w:r w:rsidRPr="00496A4D">
        <w:rPr>
          <w:rFonts w:cs="Calibri"/>
        </w:rPr>
        <w:fldChar w:fldCharType="separate"/>
      </w:r>
      <w:r w:rsidR="00507A67">
        <w:rPr>
          <w:rFonts w:cs="Calibri"/>
        </w:rPr>
        <w:t>3.35</w:t>
      </w:r>
      <w:r w:rsidRPr="00496A4D">
        <w:rPr>
          <w:rFonts w:cs="Calibri"/>
        </w:rPr>
        <w:fldChar w:fldCharType="end"/>
      </w:r>
      <w:r w:rsidRPr="00A52AB8">
        <w:rPr>
          <w:rFonts w:cs="Calibri"/>
        </w:rPr>
        <w:t xml:space="preserve">) consisting of one or more ACL NAL units in a </w:t>
      </w:r>
      <w:r w:rsidRPr="00A52AB8">
        <w:rPr>
          <w:rFonts w:cs="Calibri"/>
          <w:i/>
          <w:iCs/>
        </w:rPr>
        <w:t>coded atlas access unit</w:t>
      </w:r>
      <w:r w:rsidRPr="00A52AB8">
        <w:rPr>
          <w:rFonts w:cs="Calibri"/>
        </w:rPr>
        <w:t xml:space="preserve"> (</w:t>
      </w:r>
      <w:r w:rsidRPr="00496A4D">
        <w:rPr>
          <w:rFonts w:cs="Calibri"/>
        </w:rPr>
        <w:fldChar w:fldCharType="begin"/>
      </w:r>
      <w:r w:rsidRPr="00A52AB8">
        <w:rPr>
          <w:rFonts w:cs="Calibri"/>
        </w:rPr>
        <w:instrText xml:space="preserve"> REF _Ref47525180 \r \h </w:instrText>
      </w:r>
      <w:r w:rsidR="007812ED" w:rsidRPr="00A52AB8">
        <w:rPr>
          <w:rFonts w:cs="Calibri"/>
        </w:rPr>
        <w:instrText xml:space="preserve"> \* MERGEFORMAT </w:instrText>
      </w:r>
      <w:r w:rsidRPr="00496A4D">
        <w:rPr>
          <w:rFonts w:cs="Calibri"/>
        </w:rPr>
      </w:r>
      <w:r w:rsidRPr="00496A4D">
        <w:rPr>
          <w:rFonts w:cs="Calibri"/>
        </w:rPr>
        <w:fldChar w:fldCharType="separate"/>
      </w:r>
      <w:r w:rsidR="00507A67">
        <w:rPr>
          <w:rFonts w:cs="Calibri"/>
        </w:rPr>
        <w:t>3.35</w:t>
      </w:r>
      <w:r w:rsidRPr="00496A4D">
        <w:rPr>
          <w:rFonts w:cs="Calibri"/>
        </w:rPr>
        <w:fldChar w:fldCharType="end"/>
      </w:r>
      <w:r w:rsidRPr="00A52AB8">
        <w:rPr>
          <w:rFonts w:cs="Calibri"/>
        </w:rPr>
        <w:t xml:space="preserve">) and the </w:t>
      </w:r>
      <w:r w:rsidRPr="00A52AB8">
        <w:rPr>
          <w:rFonts w:cs="Calibri"/>
          <w:i/>
          <w:iCs/>
        </w:rPr>
        <w:t>associated non-ACL NAL units</w:t>
      </w:r>
      <w:r w:rsidRPr="00A52AB8">
        <w:rPr>
          <w:rFonts w:cs="Calibri"/>
        </w:rPr>
        <w:t xml:space="preserve"> (</w:t>
      </w:r>
      <w:r w:rsidRPr="00496A4D">
        <w:rPr>
          <w:rFonts w:cs="Calibri"/>
        </w:rPr>
        <w:fldChar w:fldCharType="begin"/>
      </w:r>
      <w:r w:rsidRPr="00A52AB8">
        <w:rPr>
          <w:rFonts w:cs="Calibri"/>
        </w:rPr>
        <w:instrText xml:space="preserve"> REF _Ref48818098 \r \h </w:instrText>
      </w:r>
      <w:r w:rsidR="007812ED" w:rsidRPr="00A52AB8">
        <w:rPr>
          <w:rFonts w:cs="Calibri"/>
        </w:rPr>
        <w:instrText xml:space="preserve"> \* MERGEFORMAT </w:instrText>
      </w:r>
      <w:r w:rsidRPr="00496A4D">
        <w:rPr>
          <w:rFonts w:cs="Calibri"/>
        </w:rPr>
      </w:r>
      <w:r w:rsidRPr="00496A4D">
        <w:rPr>
          <w:rFonts w:cs="Calibri"/>
        </w:rPr>
        <w:fldChar w:fldCharType="separate"/>
      </w:r>
      <w:r w:rsidR="00507A67">
        <w:rPr>
          <w:rFonts w:cs="Calibri"/>
        </w:rPr>
        <w:t>3.2</w:t>
      </w:r>
      <w:r w:rsidRPr="00496A4D">
        <w:rPr>
          <w:rFonts w:cs="Calibri"/>
        </w:rPr>
        <w:fldChar w:fldCharType="end"/>
      </w:r>
      <w:r w:rsidRPr="00A52AB8">
        <w:rPr>
          <w:rFonts w:cs="Calibri"/>
        </w:rPr>
        <w:t>)</w:t>
      </w:r>
    </w:p>
    <w:p w14:paraId="411C38E9" w14:textId="77777777" w:rsidR="00564EF6" w:rsidRPr="00A52AB8" w:rsidRDefault="00564EF6" w:rsidP="00E72F7E">
      <w:pPr>
        <w:pStyle w:val="TermHeading"/>
      </w:pPr>
    </w:p>
    <w:p w14:paraId="72C01091" w14:textId="77777777" w:rsidR="00564EF6" w:rsidRPr="00A52AB8" w:rsidRDefault="00564EF6" w:rsidP="00564EF6">
      <w:pPr>
        <w:pStyle w:val="Terms"/>
        <w:rPr>
          <w:color w:val="000000" w:themeColor="text1"/>
        </w:rPr>
      </w:pPr>
      <w:r w:rsidRPr="00A52AB8">
        <w:rPr>
          <w:color w:val="000000" w:themeColor="text1"/>
        </w:rPr>
        <w:t>enhanced occupancy mode</w:t>
      </w:r>
    </w:p>
    <w:p w14:paraId="4D488748" w14:textId="77777777" w:rsidR="00564EF6" w:rsidRPr="00A52AB8" w:rsidRDefault="00564EF6" w:rsidP="00564EF6">
      <w:pPr>
        <w:pStyle w:val="Terms"/>
        <w:rPr>
          <w:color w:val="000000" w:themeColor="text1"/>
        </w:rPr>
      </w:pPr>
      <w:r w:rsidRPr="00A52AB8">
        <w:rPr>
          <w:color w:val="000000" w:themeColor="text1"/>
        </w:rPr>
        <w:t>EOM</w:t>
      </w:r>
    </w:p>
    <w:p w14:paraId="727AB1B1" w14:textId="38D4F9F0" w:rsidR="00564EF6" w:rsidRPr="00A52AB8" w:rsidRDefault="00564EF6" w:rsidP="00564EF6">
      <w:pPr>
        <w:pStyle w:val="Definition"/>
        <w:rPr>
          <w:color w:val="000000" w:themeColor="text1"/>
        </w:rPr>
      </w:pPr>
      <w:r w:rsidRPr="00A52AB8">
        <w:rPr>
          <w:color w:val="000000" w:themeColor="text1"/>
        </w:rPr>
        <w:t xml:space="preserve">patch coding mode where a </w:t>
      </w:r>
      <w:r w:rsidRPr="00A52AB8">
        <w:rPr>
          <w:i/>
          <w:iCs/>
          <w:color w:val="000000" w:themeColor="text1"/>
        </w:rPr>
        <w:t>patch</w:t>
      </w:r>
      <w:r w:rsidRPr="00A52AB8">
        <w:rPr>
          <w:color w:val="000000" w:themeColor="text1"/>
        </w:rPr>
        <w:t xml:space="preserve"> </w:t>
      </w:r>
      <w:r w:rsidRPr="00A52AB8">
        <w:t>(</w:t>
      </w:r>
      <w:r w:rsidRPr="00496A4D">
        <w:fldChar w:fldCharType="begin"/>
      </w:r>
      <w:r w:rsidRPr="00A52AB8">
        <w:instrText xml:space="preserve"> REF _Ref47523249 \r \h </w:instrText>
      </w:r>
      <w:r w:rsidR="006371AA" w:rsidRPr="00A52AB8">
        <w:instrText xml:space="preserve"> \* MERGEFORMAT </w:instrText>
      </w:r>
      <w:r w:rsidRPr="00496A4D">
        <w:fldChar w:fldCharType="separate"/>
      </w:r>
      <w:r w:rsidR="00507A67">
        <w:t>3.93</w:t>
      </w:r>
      <w:r w:rsidRPr="00496A4D">
        <w:fldChar w:fldCharType="end"/>
      </w:r>
      <w:r w:rsidRPr="00A52AB8">
        <w:t xml:space="preserve">) </w:t>
      </w:r>
      <w:r w:rsidRPr="00A52AB8">
        <w:rPr>
          <w:color w:val="000000" w:themeColor="text1"/>
        </w:rPr>
        <w:t>is associated with enhanced occupancy information</w:t>
      </w:r>
    </w:p>
    <w:p w14:paraId="67FFB9A7" w14:textId="77777777" w:rsidR="00564EF6" w:rsidRPr="00A52AB8" w:rsidRDefault="00564EF6" w:rsidP="00E72F7E">
      <w:pPr>
        <w:pStyle w:val="TermHeading"/>
      </w:pPr>
      <w:bookmarkStart w:id="52" w:name="_Ref47980270"/>
    </w:p>
    <w:bookmarkEnd w:id="52"/>
    <w:p w14:paraId="58821A4D" w14:textId="77777777" w:rsidR="00564EF6" w:rsidRPr="00A52AB8" w:rsidRDefault="00564EF6" w:rsidP="00564EF6">
      <w:pPr>
        <w:pStyle w:val="Terms"/>
        <w:rPr>
          <w:color w:val="000000" w:themeColor="text1"/>
        </w:rPr>
      </w:pPr>
      <w:r w:rsidRPr="00A52AB8">
        <w:rPr>
          <w:color w:val="000000" w:themeColor="text1"/>
        </w:rPr>
        <w:t>EOM coded points</w:t>
      </w:r>
    </w:p>
    <w:p w14:paraId="1237E5A0" w14:textId="573525F4" w:rsidR="00564EF6" w:rsidRPr="00A52AB8" w:rsidRDefault="00564EF6" w:rsidP="00564EF6">
      <w:pPr>
        <w:pStyle w:val="Definition"/>
        <w:rPr>
          <w:color w:val="000000" w:themeColor="text1"/>
        </w:rPr>
      </w:pPr>
      <w:r w:rsidRPr="00A52AB8">
        <w:rPr>
          <w:color w:val="000000" w:themeColor="text1"/>
        </w:rPr>
        <w:t xml:space="preserve">coded representation of 3D points located at intermediate depth positions for which </w:t>
      </w:r>
      <w:r w:rsidRPr="00A52AB8">
        <w:rPr>
          <w:i/>
          <w:iCs/>
          <w:color w:val="000000" w:themeColor="text1"/>
        </w:rPr>
        <w:t>geometry</w:t>
      </w:r>
      <w:r w:rsidRPr="00A52AB8">
        <w:rPr>
          <w:color w:val="000000" w:themeColor="text1"/>
        </w:rPr>
        <w:t xml:space="preserve"> (</w:t>
      </w:r>
      <w:r w:rsidRPr="00496A4D">
        <w:rPr>
          <w:color w:val="000000" w:themeColor="text1"/>
        </w:rPr>
        <w:fldChar w:fldCharType="begin"/>
      </w:r>
      <w:r w:rsidRPr="00A52AB8">
        <w:rPr>
          <w:color w:val="000000" w:themeColor="text1"/>
        </w:rPr>
        <w:instrText xml:space="preserve"> REF _Ref47526217 \r \h  \* MERGEFORMAT </w:instrText>
      </w:r>
      <w:r w:rsidRPr="00496A4D">
        <w:rPr>
          <w:color w:val="000000" w:themeColor="text1"/>
        </w:rPr>
      </w:r>
      <w:r w:rsidRPr="00496A4D">
        <w:rPr>
          <w:color w:val="000000" w:themeColor="text1"/>
        </w:rPr>
        <w:fldChar w:fldCharType="separate"/>
      </w:r>
      <w:r w:rsidR="00507A67">
        <w:rPr>
          <w:color w:val="000000" w:themeColor="text1"/>
        </w:rPr>
        <w:t>3.62</w:t>
      </w:r>
      <w:r w:rsidRPr="00496A4D">
        <w:rPr>
          <w:color w:val="000000" w:themeColor="text1"/>
        </w:rPr>
        <w:fldChar w:fldCharType="end"/>
      </w:r>
      <w:r w:rsidRPr="00A52AB8">
        <w:rPr>
          <w:color w:val="000000" w:themeColor="text1"/>
        </w:rPr>
        <w:t>) values are stored as codeword</w:t>
      </w:r>
      <w:r w:rsidR="00F16BBB" w:rsidRPr="00A52AB8">
        <w:rPr>
          <w:color w:val="000000" w:themeColor="text1"/>
        </w:rPr>
        <w:t>s</w:t>
      </w:r>
      <w:r w:rsidRPr="00A52AB8">
        <w:rPr>
          <w:color w:val="000000" w:themeColor="text1"/>
        </w:rPr>
        <w:t xml:space="preserve"> in the </w:t>
      </w:r>
      <w:r w:rsidRPr="00A52AB8">
        <w:rPr>
          <w:i/>
          <w:iCs/>
          <w:color w:val="000000" w:themeColor="text1"/>
        </w:rPr>
        <w:t>occupancy frame</w:t>
      </w:r>
      <w:r w:rsidR="00697702" w:rsidRPr="00A52AB8">
        <w:rPr>
          <w:i/>
          <w:iCs/>
          <w:color w:val="000000" w:themeColor="text1"/>
        </w:rPr>
        <w:t xml:space="preserve"> </w:t>
      </w:r>
      <w:r w:rsidR="00697702" w:rsidRPr="00A52AB8">
        <w:rPr>
          <w:color w:val="000000" w:themeColor="text1"/>
        </w:rPr>
        <w:t>(</w:t>
      </w:r>
      <w:r w:rsidR="00697702" w:rsidRPr="00496A4D">
        <w:rPr>
          <w:color w:val="000000" w:themeColor="text1"/>
        </w:rPr>
        <w:fldChar w:fldCharType="begin"/>
      </w:r>
      <w:r w:rsidR="00697702" w:rsidRPr="00A52AB8">
        <w:rPr>
          <w:color w:val="000000" w:themeColor="text1"/>
        </w:rPr>
        <w:instrText xml:space="preserve"> REF _Ref47978123 \r \h </w:instrText>
      </w:r>
      <w:r w:rsidR="00851254" w:rsidRPr="00A52AB8">
        <w:rPr>
          <w:color w:val="000000" w:themeColor="text1"/>
        </w:rPr>
        <w:instrText xml:space="preserve"> \* MERGEFORMAT </w:instrText>
      </w:r>
      <w:r w:rsidR="00697702" w:rsidRPr="00496A4D">
        <w:rPr>
          <w:color w:val="000000" w:themeColor="text1"/>
        </w:rPr>
      </w:r>
      <w:r w:rsidR="00697702" w:rsidRPr="00496A4D">
        <w:rPr>
          <w:color w:val="000000" w:themeColor="text1"/>
        </w:rPr>
        <w:fldChar w:fldCharType="separate"/>
      </w:r>
      <w:r w:rsidR="00507A67">
        <w:rPr>
          <w:color w:val="000000" w:themeColor="text1"/>
        </w:rPr>
        <w:t>3.92</w:t>
      </w:r>
      <w:r w:rsidR="00697702" w:rsidRPr="00496A4D">
        <w:rPr>
          <w:color w:val="000000" w:themeColor="text1"/>
        </w:rPr>
        <w:fldChar w:fldCharType="end"/>
      </w:r>
      <w:r w:rsidR="00697702" w:rsidRPr="00A52AB8">
        <w:rPr>
          <w:color w:val="000000" w:themeColor="text1"/>
        </w:rPr>
        <w:t>)</w:t>
      </w:r>
      <w:r w:rsidRPr="00A52AB8">
        <w:rPr>
          <w:color w:val="000000" w:themeColor="text1"/>
        </w:rPr>
        <w:t xml:space="preserve"> and </w:t>
      </w:r>
      <w:r w:rsidR="00F16BBB" w:rsidRPr="00A52AB8">
        <w:rPr>
          <w:color w:val="000000" w:themeColor="text1"/>
        </w:rPr>
        <w:t xml:space="preserve">their corresponding </w:t>
      </w:r>
      <w:r w:rsidRPr="00A52AB8">
        <w:rPr>
          <w:color w:val="000000" w:themeColor="text1"/>
        </w:rPr>
        <w:t xml:space="preserve">attributes values are stored in </w:t>
      </w:r>
      <w:r w:rsidR="00F16BBB" w:rsidRPr="00A52AB8">
        <w:rPr>
          <w:color w:val="000000" w:themeColor="text1"/>
        </w:rPr>
        <w:t>additional</w:t>
      </w:r>
      <w:r w:rsidR="00EC2EF3" w:rsidRPr="00A52AB8">
        <w:rPr>
          <w:color w:val="000000" w:themeColor="text1"/>
        </w:rPr>
        <w:t xml:space="preserve"> patches, refer</w:t>
      </w:r>
      <w:r w:rsidR="00241AFD" w:rsidRPr="00A52AB8">
        <w:rPr>
          <w:color w:val="000000" w:themeColor="text1"/>
        </w:rPr>
        <w:t>r</w:t>
      </w:r>
      <w:r w:rsidR="00EC2EF3" w:rsidRPr="00A52AB8">
        <w:rPr>
          <w:color w:val="000000" w:themeColor="text1"/>
        </w:rPr>
        <w:t>ed to as</w:t>
      </w:r>
      <w:r w:rsidR="00F16BBB" w:rsidRPr="00A52AB8">
        <w:rPr>
          <w:color w:val="000000" w:themeColor="text1"/>
        </w:rPr>
        <w:t xml:space="preserve"> </w:t>
      </w:r>
      <w:r w:rsidRPr="00A52AB8">
        <w:rPr>
          <w:i/>
          <w:iCs/>
          <w:color w:val="000000" w:themeColor="text1"/>
        </w:rPr>
        <w:t>EOM patch</w:t>
      </w:r>
      <w:r w:rsidR="00EC2EF3" w:rsidRPr="00A52AB8">
        <w:rPr>
          <w:i/>
          <w:iCs/>
          <w:color w:val="000000" w:themeColor="text1"/>
        </w:rPr>
        <w:t>e</w:t>
      </w:r>
      <w:r w:rsidR="00F16BBB" w:rsidRPr="00A52AB8">
        <w:rPr>
          <w:i/>
          <w:iCs/>
          <w:color w:val="000000" w:themeColor="text1"/>
        </w:rPr>
        <w:t>s</w:t>
      </w:r>
      <w:r w:rsidRPr="00A52AB8">
        <w:rPr>
          <w:i/>
          <w:iCs/>
          <w:color w:val="000000" w:themeColor="text1"/>
        </w:rPr>
        <w:t xml:space="preserve"> </w:t>
      </w:r>
      <w:r w:rsidRPr="00A52AB8">
        <w:rPr>
          <w:color w:val="000000" w:themeColor="text1"/>
        </w:rPr>
        <w:t>(</w:t>
      </w:r>
      <w:r w:rsidRPr="00496A4D">
        <w:rPr>
          <w:color w:val="000000" w:themeColor="text1"/>
        </w:rPr>
        <w:fldChar w:fldCharType="begin"/>
      </w:r>
      <w:r w:rsidRPr="00A52AB8">
        <w:rPr>
          <w:color w:val="000000" w:themeColor="text1"/>
        </w:rPr>
        <w:instrText xml:space="preserve"> REF _Ref47526105 \r \h  \* MERGEFORMAT </w:instrText>
      </w:r>
      <w:r w:rsidRPr="00496A4D">
        <w:rPr>
          <w:color w:val="000000" w:themeColor="text1"/>
        </w:rPr>
      </w:r>
      <w:r w:rsidRPr="00496A4D">
        <w:rPr>
          <w:color w:val="000000" w:themeColor="text1"/>
        </w:rPr>
        <w:fldChar w:fldCharType="separate"/>
      </w:r>
      <w:r w:rsidR="00507A67">
        <w:rPr>
          <w:color w:val="000000" w:themeColor="text1"/>
        </w:rPr>
        <w:t>3.57</w:t>
      </w:r>
      <w:r w:rsidRPr="00496A4D">
        <w:rPr>
          <w:color w:val="000000" w:themeColor="text1"/>
        </w:rPr>
        <w:fldChar w:fldCharType="end"/>
      </w:r>
      <w:r w:rsidRPr="00A52AB8">
        <w:rPr>
          <w:color w:val="000000" w:themeColor="text1"/>
        </w:rPr>
        <w:t>)</w:t>
      </w:r>
      <w:r w:rsidR="00EC2EF3" w:rsidRPr="00A52AB8">
        <w:rPr>
          <w:color w:val="000000" w:themeColor="text1"/>
        </w:rPr>
        <w:t xml:space="preserve">, in the </w:t>
      </w:r>
      <w:r w:rsidR="00EC2EF3" w:rsidRPr="00A52AB8">
        <w:rPr>
          <w:i/>
          <w:iCs/>
          <w:color w:val="000000" w:themeColor="text1"/>
        </w:rPr>
        <w:t xml:space="preserve">attribute frames </w:t>
      </w:r>
      <w:r w:rsidR="00EC2EF3" w:rsidRPr="00A52AB8">
        <w:rPr>
          <w:color w:val="000000" w:themeColor="text1"/>
        </w:rPr>
        <w:t>(</w:t>
      </w:r>
      <w:r w:rsidR="00926723" w:rsidRPr="00496A4D">
        <w:rPr>
          <w:color w:val="000000" w:themeColor="text1"/>
        </w:rPr>
        <w:fldChar w:fldCharType="begin"/>
      </w:r>
      <w:r w:rsidR="00926723" w:rsidRPr="00A52AB8">
        <w:rPr>
          <w:color w:val="000000" w:themeColor="text1"/>
        </w:rPr>
        <w:instrText xml:space="preserve"> REF _Ref50630165 \n \h </w:instrText>
      </w:r>
      <w:r w:rsidR="008F69D5" w:rsidRPr="00A52AB8">
        <w:rPr>
          <w:color w:val="000000" w:themeColor="text1"/>
        </w:rPr>
        <w:instrText xml:space="preserve"> \* MERGEFORMAT </w:instrText>
      </w:r>
      <w:r w:rsidR="00926723" w:rsidRPr="00496A4D">
        <w:rPr>
          <w:color w:val="000000" w:themeColor="text1"/>
        </w:rPr>
      </w:r>
      <w:r w:rsidR="00926723" w:rsidRPr="00496A4D">
        <w:rPr>
          <w:color w:val="000000" w:themeColor="text1"/>
        </w:rPr>
        <w:fldChar w:fldCharType="separate"/>
      </w:r>
      <w:r w:rsidR="00507A67">
        <w:rPr>
          <w:color w:val="000000" w:themeColor="text1"/>
        </w:rPr>
        <w:t>3.17</w:t>
      </w:r>
      <w:r w:rsidR="00926723" w:rsidRPr="00496A4D">
        <w:rPr>
          <w:color w:val="000000" w:themeColor="text1"/>
        </w:rPr>
        <w:fldChar w:fldCharType="end"/>
      </w:r>
      <w:r w:rsidR="00EC2EF3" w:rsidRPr="00A52AB8">
        <w:rPr>
          <w:color w:val="000000" w:themeColor="text1"/>
        </w:rPr>
        <w:t>)</w:t>
      </w:r>
    </w:p>
    <w:p w14:paraId="0570E2F3" w14:textId="77777777" w:rsidR="00564EF6" w:rsidRPr="00A52AB8" w:rsidRDefault="00564EF6" w:rsidP="00E72F7E">
      <w:pPr>
        <w:pStyle w:val="TermHeading"/>
      </w:pPr>
      <w:bookmarkStart w:id="53" w:name="_Ref47526105"/>
    </w:p>
    <w:bookmarkEnd w:id="53"/>
    <w:p w14:paraId="56BF441D" w14:textId="77777777" w:rsidR="00564EF6" w:rsidRPr="00A52AB8" w:rsidRDefault="00564EF6" w:rsidP="00564EF6">
      <w:pPr>
        <w:pStyle w:val="Terms"/>
        <w:rPr>
          <w:color w:val="000000" w:themeColor="text1"/>
        </w:rPr>
      </w:pPr>
      <w:r w:rsidRPr="00A52AB8">
        <w:rPr>
          <w:color w:val="000000" w:themeColor="text1"/>
        </w:rPr>
        <w:t>EOM patch</w:t>
      </w:r>
    </w:p>
    <w:p w14:paraId="02A50373" w14:textId="495BF410" w:rsidR="00CF0CE2" w:rsidRPr="00A52AB8" w:rsidRDefault="00CF0CE2" w:rsidP="00564EF6">
      <w:pPr>
        <w:pStyle w:val="Definition"/>
        <w:rPr>
          <w:color w:val="000000" w:themeColor="text1"/>
          <w:lang w:eastAsia="ko-KR"/>
        </w:rPr>
      </w:pPr>
      <w:r w:rsidRPr="00A52AB8">
        <w:rPr>
          <w:i/>
          <w:iCs/>
        </w:rPr>
        <w:t>patch</w:t>
      </w:r>
      <w:r w:rsidRPr="00A52AB8">
        <w:t xml:space="preserve"> (</w:t>
      </w:r>
      <w:r w:rsidRPr="00496A4D">
        <w:fldChar w:fldCharType="begin"/>
      </w:r>
      <w:r w:rsidRPr="00A52AB8">
        <w:instrText xml:space="preserve"> REF _Ref47523249 \r \h  \* MERGEFORMAT </w:instrText>
      </w:r>
      <w:r w:rsidRPr="00496A4D">
        <w:fldChar w:fldCharType="separate"/>
      </w:r>
      <w:r w:rsidR="00507A67">
        <w:t>3.93</w:t>
      </w:r>
      <w:r w:rsidRPr="00496A4D">
        <w:fldChar w:fldCharType="end"/>
      </w:r>
      <w:r w:rsidRPr="00A52AB8">
        <w:t xml:space="preserve">) </w:t>
      </w:r>
      <w:r w:rsidR="00B66C66" w:rsidRPr="00A52AB8">
        <w:t>with</w:t>
      </w:r>
      <w:r w:rsidRPr="00A52AB8">
        <w:t xml:space="preserve"> </w:t>
      </w:r>
      <w:r w:rsidRPr="00A52AB8">
        <w:rPr>
          <w:i/>
          <w:iCs/>
        </w:rPr>
        <w:t>patch mode</w:t>
      </w:r>
      <w:r w:rsidRPr="00A52AB8">
        <w:t xml:space="preserve"> </w:t>
      </w:r>
      <w:r w:rsidR="00E031F5" w:rsidRPr="00A52AB8">
        <w:t>(</w:t>
      </w:r>
      <w:r w:rsidR="00E031F5" w:rsidRPr="00496A4D">
        <w:fldChar w:fldCharType="begin"/>
      </w:r>
      <w:r w:rsidR="00E031F5" w:rsidRPr="00A52AB8">
        <w:instrText xml:space="preserve"> REF _Ref47980179 \r \h </w:instrText>
      </w:r>
      <w:r w:rsidR="00851254" w:rsidRPr="00A52AB8">
        <w:instrText xml:space="preserve"> \* MERGEFORMAT </w:instrText>
      </w:r>
      <w:r w:rsidR="00E031F5" w:rsidRPr="00496A4D">
        <w:fldChar w:fldCharType="separate"/>
      </w:r>
      <w:r w:rsidR="00507A67">
        <w:t>3.95</w:t>
      </w:r>
      <w:r w:rsidR="00E031F5" w:rsidRPr="00496A4D">
        <w:fldChar w:fldCharType="end"/>
      </w:r>
      <w:r w:rsidR="00E031F5" w:rsidRPr="00A52AB8">
        <w:t xml:space="preserve">) </w:t>
      </w:r>
      <w:r w:rsidRPr="00A52AB8">
        <w:t xml:space="preserve">equal to I_EOM, P_EOM, or </w:t>
      </w:r>
      <w:r w:rsidRPr="00A52AB8">
        <w:rPr>
          <w:color w:val="000000" w:themeColor="text1"/>
          <w:lang w:eastAsia="ko-KR"/>
        </w:rPr>
        <w:t>P_SKIP</w:t>
      </w:r>
      <w:r w:rsidR="00C33D03" w:rsidRPr="00A52AB8">
        <w:rPr>
          <w:color w:val="000000" w:themeColor="text1"/>
          <w:lang w:eastAsia="ko-KR"/>
        </w:rPr>
        <w:t xml:space="preserve"> associated with </w:t>
      </w:r>
      <w:r w:rsidR="00C33D03" w:rsidRPr="00A52AB8">
        <w:rPr>
          <w:i/>
          <w:iCs/>
          <w:color w:val="000000" w:themeColor="text1"/>
          <w:lang w:eastAsia="ko-KR"/>
        </w:rPr>
        <w:t xml:space="preserve">EOM coded points </w:t>
      </w:r>
      <w:r w:rsidR="00C33D03" w:rsidRPr="00A52AB8">
        <w:rPr>
          <w:color w:val="000000" w:themeColor="text1"/>
          <w:lang w:eastAsia="ko-KR"/>
        </w:rPr>
        <w:t>(</w:t>
      </w:r>
      <w:r w:rsidR="00EC3F76" w:rsidRPr="00496A4D">
        <w:rPr>
          <w:color w:val="000000" w:themeColor="text1"/>
          <w:lang w:eastAsia="ko-KR"/>
        </w:rPr>
        <w:fldChar w:fldCharType="begin"/>
      </w:r>
      <w:r w:rsidR="00EC3F76" w:rsidRPr="00A52AB8">
        <w:rPr>
          <w:color w:val="000000" w:themeColor="text1"/>
          <w:lang w:eastAsia="ko-KR"/>
        </w:rPr>
        <w:instrText xml:space="preserve"> REF _Ref47980270 \r \h </w:instrText>
      </w:r>
      <w:r w:rsidR="00851254" w:rsidRPr="00A52AB8">
        <w:rPr>
          <w:color w:val="000000" w:themeColor="text1"/>
          <w:lang w:eastAsia="ko-KR"/>
        </w:rPr>
        <w:instrText xml:space="preserve"> \* MERGEFORMAT </w:instrText>
      </w:r>
      <w:r w:rsidR="00EC3F76" w:rsidRPr="00496A4D">
        <w:rPr>
          <w:color w:val="000000" w:themeColor="text1"/>
          <w:lang w:eastAsia="ko-KR"/>
        </w:rPr>
      </w:r>
      <w:r w:rsidR="00EC3F76" w:rsidRPr="00496A4D">
        <w:rPr>
          <w:color w:val="000000" w:themeColor="text1"/>
          <w:lang w:eastAsia="ko-KR"/>
        </w:rPr>
        <w:fldChar w:fldCharType="separate"/>
      </w:r>
      <w:r w:rsidR="00507A67">
        <w:rPr>
          <w:color w:val="000000" w:themeColor="text1"/>
          <w:lang w:eastAsia="ko-KR"/>
        </w:rPr>
        <w:t>3.56</w:t>
      </w:r>
      <w:r w:rsidR="00EC3F76" w:rsidRPr="00496A4D">
        <w:rPr>
          <w:color w:val="000000" w:themeColor="text1"/>
          <w:lang w:eastAsia="ko-KR"/>
        </w:rPr>
        <w:fldChar w:fldCharType="end"/>
      </w:r>
      <w:r w:rsidR="00C33D03" w:rsidRPr="00A52AB8">
        <w:rPr>
          <w:color w:val="000000" w:themeColor="text1"/>
          <w:lang w:eastAsia="ko-KR"/>
        </w:rPr>
        <w:t>)</w:t>
      </w:r>
    </w:p>
    <w:p w14:paraId="0F82105F" w14:textId="77777777" w:rsidR="00595E1D" w:rsidRPr="00A52AB8" w:rsidRDefault="00595E1D" w:rsidP="00E72F7E">
      <w:pPr>
        <w:pStyle w:val="TermHeading"/>
      </w:pPr>
    </w:p>
    <w:p w14:paraId="0BBACBD5" w14:textId="77777777" w:rsidR="00595E1D" w:rsidRPr="00A52AB8" w:rsidRDefault="00595E1D" w:rsidP="00595E1D">
      <w:pPr>
        <w:pStyle w:val="Terms"/>
        <w:rPr>
          <w:color w:val="000000" w:themeColor="text1"/>
        </w:rPr>
      </w:pPr>
      <w:r w:rsidRPr="00A52AB8">
        <w:rPr>
          <w:color w:val="000000" w:themeColor="text1"/>
        </w:rPr>
        <w:t>EOM patch type</w:t>
      </w:r>
    </w:p>
    <w:p w14:paraId="182A6127" w14:textId="0634EECA" w:rsidR="00595E1D" w:rsidRPr="00A52AB8" w:rsidRDefault="00AE5F27" w:rsidP="00564EF6">
      <w:pPr>
        <w:pStyle w:val="Definition"/>
        <w:rPr>
          <w:rFonts w:cs="Calibri"/>
        </w:rPr>
      </w:pPr>
      <w:r w:rsidRPr="00A52AB8">
        <w:rPr>
          <w:i/>
          <w:iCs/>
        </w:rPr>
        <w:t xml:space="preserve">patch type </w:t>
      </w:r>
      <w:r w:rsidRPr="00A52AB8">
        <w:t>(</w:t>
      </w:r>
      <w:r w:rsidRPr="00496A4D">
        <w:fldChar w:fldCharType="begin"/>
      </w:r>
      <w:r w:rsidRPr="00A52AB8">
        <w:instrText xml:space="preserve"> REF _Ref47981265 \r \h  \* MERGEFORMAT </w:instrText>
      </w:r>
      <w:r w:rsidRPr="00496A4D">
        <w:fldChar w:fldCharType="separate"/>
      </w:r>
      <w:r w:rsidR="00507A67">
        <w:t>3.96</w:t>
      </w:r>
      <w:r w:rsidRPr="00496A4D">
        <w:fldChar w:fldCharType="end"/>
      </w:r>
      <w:r w:rsidRPr="00A52AB8">
        <w:t>) indicating</w:t>
      </w:r>
      <w:r w:rsidR="00E02B25" w:rsidRPr="00A52AB8">
        <w:t xml:space="preserve"> an</w:t>
      </w:r>
      <w:r w:rsidRPr="00A52AB8">
        <w:rPr>
          <w:i/>
          <w:iCs/>
        </w:rPr>
        <w:t xml:space="preserve"> </w:t>
      </w:r>
      <w:r w:rsidR="00595E1D" w:rsidRPr="00A52AB8">
        <w:rPr>
          <w:i/>
          <w:iCs/>
        </w:rPr>
        <w:t>EOM patch</w:t>
      </w:r>
      <w:r w:rsidRPr="00A52AB8">
        <w:rPr>
          <w:rFonts w:cs="Calibri"/>
        </w:rPr>
        <w:t xml:space="preserve"> (</w:t>
      </w:r>
      <w:r w:rsidRPr="00496A4D">
        <w:rPr>
          <w:rFonts w:cs="Calibri"/>
        </w:rPr>
        <w:fldChar w:fldCharType="begin"/>
      </w:r>
      <w:r w:rsidRPr="00A52AB8">
        <w:rPr>
          <w:rFonts w:cs="Calibri"/>
        </w:rPr>
        <w:instrText xml:space="preserve"> REF _Ref47526105 \r \h  \* MERGEFORMAT </w:instrText>
      </w:r>
      <w:r w:rsidRPr="00496A4D">
        <w:rPr>
          <w:rFonts w:cs="Calibri"/>
        </w:rPr>
      </w:r>
      <w:r w:rsidRPr="00496A4D">
        <w:rPr>
          <w:rFonts w:cs="Calibri"/>
        </w:rPr>
        <w:fldChar w:fldCharType="separate"/>
      </w:r>
      <w:r w:rsidR="00507A67">
        <w:rPr>
          <w:rFonts w:cs="Calibri"/>
        </w:rPr>
        <w:t>3.57</w:t>
      </w:r>
      <w:r w:rsidRPr="00496A4D">
        <w:rPr>
          <w:rFonts w:cs="Calibri"/>
        </w:rPr>
        <w:fldChar w:fldCharType="end"/>
      </w:r>
      <w:r w:rsidRPr="00A52AB8">
        <w:rPr>
          <w:rFonts w:cs="Calibri"/>
        </w:rPr>
        <w:t>)</w:t>
      </w:r>
    </w:p>
    <w:p w14:paraId="2CDDE68B" w14:textId="77777777" w:rsidR="00564EF6" w:rsidRPr="00A52AB8" w:rsidRDefault="00564EF6" w:rsidP="00E72F7E">
      <w:pPr>
        <w:pStyle w:val="TermHeading"/>
      </w:pPr>
      <w:bookmarkStart w:id="54" w:name="_Ref51582056"/>
    </w:p>
    <w:bookmarkEnd w:id="54"/>
    <w:p w14:paraId="44B3164E" w14:textId="77777777" w:rsidR="0050235C" w:rsidRPr="00A52AB8" w:rsidRDefault="00564EF6" w:rsidP="00564EF6">
      <w:pPr>
        <w:pStyle w:val="Terms"/>
        <w:rPr>
          <w:color w:val="000000" w:themeColor="text1"/>
        </w:rPr>
      </w:pPr>
      <w:r w:rsidRPr="00A52AB8">
        <w:rPr>
          <w:color w:val="000000" w:themeColor="text1"/>
        </w:rPr>
        <w:t>essential supplemental enhancement information</w:t>
      </w:r>
    </w:p>
    <w:p w14:paraId="18F2F1CD" w14:textId="625DD4A1" w:rsidR="00564EF6" w:rsidRPr="00A52AB8" w:rsidRDefault="00564EF6" w:rsidP="00564EF6">
      <w:pPr>
        <w:pStyle w:val="Terms"/>
        <w:rPr>
          <w:color w:val="000000" w:themeColor="text1"/>
        </w:rPr>
      </w:pPr>
      <w:r w:rsidRPr="00A52AB8">
        <w:rPr>
          <w:color w:val="000000" w:themeColor="text1"/>
        </w:rPr>
        <w:t>ESEI</w:t>
      </w:r>
    </w:p>
    <w:p w14:paraId="3B330FBA" w14:textId="5D88DA7E" w:rsidR="00663387" w:rsidRPr="00A52AB8" w:rsidRDefault="00663387" w:rsidP="00663387">
      <w:pPr>
        <w:pStyle w:val="Definition"/>
        <w:rPr>
          <w:color w:val="000000" w:themeColor="text1"/>
        </w:rPr>
      </w:pPr>
      <w:r w:rsidRPr="00A52AB8">
        <w:rPr>
          <w:color w:val="000000" w:themeColor="text1"/>
        </w:rPr>
        <w:t>SEI (</w:t>
      </w:r>
      <w:r w:rsidRPr="00496A4D">
        <w:rPr>
          <w:color w:val="000000" w:themeColor="text1"/>
        </w:rPr>
        <w:fldChar w:fldCharType="begin"/>
      </w:r>
      <w:r w:rsidRPr="00A52AB8">
        <w:rPr>
          <w:color w:val="000000" w:themeColor="text1"/>
        </w:rPr>
        <w:instrText xml:space="preserve"> REF _Ref48984467 \n \h </w:instrText>
      </w:r>
      <w:r w:rsidR="00007BE2"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3.126</w:t>
      </w:r>
      <w:r w:rsidRPr="00496A4D">
        <w:rPr>
          <w:color w:val="000000" w:themeColor="text1"/>
        </w:rPr>
        <w:fldChar w:fldCharType="end"/>
      </w:r>
      <w:r w:rsidRPr="00A52AB8">
        <w:rPr>
          <w:color w:val="000000" w:themeColor="text1"/>
        </w:rPr>
        <w:t>) that is deemed as essential by the decoding process and should not be ignored or discarded</w:t>
      </w:r>
    </w:p>
    <w:p w14:paraId="30EF2CA3" w14:textId="57B6F400" w:rsidR="00663387" w:rsidRPr="00A52AB8" w:rsidRDefault="00663387" w:rsidP="00E72F7E">
      <w:pPr>
        <w:pStyle w:val="TermHeading"/>
      </w:pPr>
      <w:bookmarkStart w:id="55" w:name="_Ref49679360"/>
    </w:p>
    <w:bookmarkEnd w:id="55"/>
    <w:p w14:paraId="6290296D" w14:textId="77777777" w:rsidR="00663387" w:rsidRPr="00A52AB8" w:rsidRDefault="00663387" w:rsidP="00663387">
      <w:pPr>
        <w:pStyle w:val="Terms"/>
        <w:rPr>
          <w:color w:val="000000" w:themeColor="text1"/>
        </w:rPr>
      </w:pPr>
      <w:r w:rsidRPr="00A52AB8">
        <w:rPr>
          <w:color w:val="000000" w:themeColor="text1"/>
        </w:rPr>
        <w:t>essential supplemental enhancement information NAL unit</w:t>
      </w:r>
    </w:p>
    <w:p w14:paraId="4F922DFD" w14:textId="77777777" w:rsidR="00663387" w:rsidRPr="00A52AB8" w:rsidRDefault="00663387" w:rsidP="00663387">
      <w:pPr>
        <w:pStyle w:val="Terms"/>
        <w:rPr>
          <w:color w:val="000000" w:themeColor="text1"/>
        </w:rPr>
      </w:pPr>
      <w:r w:rsidRPr="00A52AB8">
        <w:rPr>
          <w:color w:val="000000" w:themeColor="text1"/>
        </w:rPr>
        <w:t>ESEI NAL unit</w:t>
      </w:r>
    </w:p>
    <w:p w14:paraId="35FB1243" w14:textId="03E2CA24" w:rsidR="00663387" w:rsidRPr="00A52AB8" w:rsidRDefault="00663387" w:rsidP="00564EF6">
      <w:pPr>
        <w:pStyle w:val="Definition"/>
        <w:rPr>
          <w:color w:val="000000" w:themeColor="text1"/>
        </w:rPr>
      </w:pPr>
      <w:r w:rsidRPr="00A52AB8">
        <w:rPr>
          <w:i/>
          <w:iCs/>
          <w:color w:val="000000" w:themeColor="text1"/>
        </w:rPr>
        <w:t>NAL</w:t>
      </w:r>
      <w:r w:rsidRPr="00A52AB8">
        <w:rPr>
          <w:i/>
          <w:iCs/>
        </w:rPr>
        <w:t xml:space="preserve"> </w:t>
      </w:r>
      <w:r w:rsidRPr="00A52AB8">
        <w:rPr>
          <w:i/>
          <w:iCs/>
          <w:color w:val="000000" w:themeColor="text1"/>
        </w:rPr>
        <w:t>unit</w:t>
      </w:r>
      <w:r w:rsidRPr="00A52AB8">
        <w:rPr>
          <w:color w:val="000000" w:themeColor="text1"/>
        </w:rPr>
        <w:t xml:space="preserve"> (</w:t>
      </w:r>
      <w:r w:rsidR="00231931" w:rsidRPr="00496A4D">
        <w:rPr>
          <w:color w:val="000000" w:themeColor="text1"/>
        </w:rPr>
        <w:fldChar w:fldCharType="begin"/>
      </w:r>
      <w:r w:rsidR="00231931" w:rsidRPr="00A52AB8">
        <w:rPr>
          <w:color w:val="000000" w:themeColor="text1"/>
        </w:rPr>
        <w:instrText xml:space="preserve"> REF _Ref47525311 \n \h </w:instrText>
      </w:r>
      <w:r w:rsidR="008F69D5" w:rsidRPr="00A52AB8">
        <w:rPr>
          <w:color w:val="000000" w:themeColor="text1"/>
        </w:rPr>
        <w:instrText xml:space="preserve"> \* MERGEFORMAT </w:instrText>
      </w:r>
      <w:r w:rsidR="00231931" w:rsidRPr="00496A4D">
        <w:rPr>
          <w:color w:val="000000" w:themeColor="text1"/>
        </w:rPr>
      </w:r>
      <w:r w:rsidR="00231931" w:rsidRPr="00496A4D">
        <w:rPr>
          <w:color w:val="000000" w:themeColor="text1"/>
        </w:rPr>
        <w:fldChar w:fldCharType="separate"/>
      </w:r>
      <w:r w:rsidR="00507A67">
        <w:rPr>
          <w:color w:val="000000" w:themeColor="text1"/>
        </w:rPr>
        <w:t>3.84</w:t>
      </w:r>
      <w:r w:rsidR="00231931" w:rsidRPr="00496A4D">
        <w:rPr>
          <w:color w:val="000000" w:themeColor="text1"/>
        </w:rPr>
        <w:fldChar w:fldCharType="end"/>
      </w:r>
      <w:r w:rsidRPr="00A52AB8">
        <w:rPr>
          <w:color w:val="000000" w:themeColor="text1"/>
        </w:rPr>
        <w:t xml:space="preserve">) corresponding to an ESEI </w:t>
      </w:r>
      <w:r w:rsidR="00B517DC" w:rsidRPr="00A52AB8">
        <w:rPr>
          <w:color w:val="000000" w:themeColor="text1"/>
        </w:rPr>
        <w:t>(</w:t>
      </w:r>
      <w:r w:rsidR="00B517DC" w:rsidRPr="00496A4D">
        <w:rPr>
          <w:color w:val="000000" w:themeColor="text1"/>
        </w:rPr>
        <w:fldChar w:fldCharType="begin"/>
      </w:r>
      <w:r w:rsidR="00B517DC" w:rsidRPr="00A52AB8">
        <w:rPr>
          <w:color w:val="000000" w:themeColor="text1"/>
        </w:rPr>
        <w:instrText xml:space="preserve"> REF _Ref51582056 \n \h </w:instrText>
      </w:r>
      <w:r w:rsidR="008F69D5" w:rsidRPr="00A52AB8">
        <w:rPr>
          <w:color w:val="000000" w:themeColor="text1"/>
        </w:rPr>
        <w:instrText xml:space="preserve"> \* MERGEFORMAT </w:instrText>
      </w:r>
      <w:r w:rsidR="00B517DC" w:rsidRPr="00496A4D">
        <w:rPr>
          <w:color w:val="000000" w:themeColor="text1"/>
        </w:rPr>
      </w:r>
      <w:r w:rsidR="00B517DC" w:rsidRPr="00496A4D">
        <w:rPr>
          <w:color w:val="000000" w:themeColor="text1"/>
        </w:rPr>
        <w:fldChar w:fldCharType="separate"/>
      </w:r>
      <w:r w:rsidR="00507A67">
        <w:rPr>
          <w:color w:val="000000" w:themeColor="text1"/>
        </w:rPr>
        <w:t>3.59</w:t>
      </w:r>
      <w:r w:rsidR="00B517DC" w:rsidRPr="00496A4D">
        <w:rPr>
          <w:color w:val="000000" w:themeColor="text1"/>
        </w:rPr>
        <w:fldChar w:fldCharType="end"/>
      </w:r>
      <w:r w:rsidR="00B517DC" w:rsidRPr="00A52AB8">
        <w:rPr>
          <w:color w:val="000000" w:themeColor="text1"/>
        </w:rPr>
        <w:t xml:space="preserve">) </w:t>
      </w:r>
      <w:r w:rsidRPr="00A52AB8">
        <w:rPr>
          <w:color w:val="000000" w:themeColor="text1"/>
        </w:rPr>
        <w:t>and has nal_unit_type equal to NAL_PREFIX_ESEI or NAL_SUFFIX_ESEI</w:t>
      </w:r>
    </w:p>
    <w:p w14:paraId="7BF85586" w14:textId="77777777" w:rsidR="00564EF6" w:rsidRPr="00A52AB8" w:rsidRDefault="00564EF6" w:rsidP="00E72F7E">
      <w:pPr>
        <w:pStyle w:val="TermHeading"/>
      </w:pPr>
    </w:p>
    <w:p w14:paraId="28D29DD7" w14:textId="77777777" w:rsidR="0050235C" w:rsidRPr="00A52AB8" w:rsidRDefault="00564EF6" w:rsidP="00564EF6">
      <w:pPr>
        <w:pStyle w:val="Terms"/>
        <w:rPr>
          <w:color w:val="000000" w:themeColor="text1"/>
        </w:rPr>
      </w:pPr>
      <w:r w:rsidRPr="00A52AB8">
        <w:rPr>
          <w:color w:val="000000" w:themeColor="text1"/>
        </w:rPr>
        <w:t>flag</w:t>
      </w:r>
    </w:p>
    <w:p w14:paraId="770EEF09" w14:textId="256B84CE" w:rsidR="00564EF6" w:rsidRPr="00A52AB8" w:rsidRDefault="00564EF6" w:rsidP="00564EF6">
      <w:pPr>
        <w:pStyle w:val="Definition"/>
        <w:rPr>
          <w:color w:val="000000" w:themeColor="text1"/>
        </w:rPr>
      </w:pPr>
      <w:r w:rsidRPr="00A52AB8">
        <w:rPr>
          <w:color w:val="000000" w:themeColor="text1"/>
        </w:rPr>
        <w:t>variable or single-bit syntax element that can take one of the two possible values: 0 and 1</w:t>
      </w:r>
    </w:p>
    <w:p w14:paraId="12F51FAA" w14:textId="77777777" w:rsidR="00564EF6" w:rsidRPr="00A52AB8" w:rsidRDefault="00564EF6" w:rsidP="00E72F7E">
      <w:pPr>
        <w:pStyle w:val="TermHeading"/>
      </w:pPr>
      <w:bookmarkStart w:id="56" w:name="_Ref47526217"/>
    </w:p>
    <w:bookmarkEnd w:id="56"/>
    <w:p w14:paraId="60CC7148" w14:textId="77777777" w:rsidR="00564EF6" w:rsidRPr="00A52AB8" w:rsidRDefault="00564EF6" w:rsidP="00564EF6">
      <w:pPr>
        <w:pStyle w:val="Terms"/>
        <w:rPr>
          <w:color w:val="000000" w:themeColor="text1"/>
        </w:rPr>
      </w:pPr>
      <w:r w:rsidRPr="00A52AB8">
        <w:rPr>
          <w:color w:val="000000" w:themeColor="text1"/>
        </w:rPr>
        <w:t>geometry</w:t>
      </w:r>
    </w:p>
    <w:p w14:paraId="1E22BDA9" w14:textId="3F59F336" w:rsidR="00564EF6" w:rsidRPr="00A52AB8" w:rsidRDefault="00564EF6" w:rsidP="00564EF6">
      <w:pPr>
        <w:pStyle w:val="Definition"/>
        <w:rPr>
          <w:color w:val="000000" w:themeColor="text1"/>
        </w:rPr>
      </w:pPr>
      <w:r w:rsidRPr="00A52AB8">
        <w:rPr>
          <w:color w:val="000000" w:themeColor="text1"/>
        </w:rPr>
        <w:t xml:space="preserve">set of </w:t>
      </w:r>
      <w:r w:rsidRPr="00A52AB8">
        <w:rPr>
          <w:i/>
          <w:iCs/>
          <w:color w:val="000000" w:themeColor="text1"/>
        </w:rPr>
        <w:t>cartesian coordinates</w:t>
      </w:r>
      <w:r w:rsidRPr="00A52AB8">
        <w:rPr>
          <w:color w:val="000000" w:themeColor="text1"/>
        </w:rPr>
        <w:t xml:space="preserve"> (</w:t>
      </w:r>
      <w:r w:rsidRPr="00496A4D">
        <w:rPr>
          <w:color w:val="000000" w:themeColor="text1"/>
        </w:rPr>
        <w:fldChar w:fldCharType="begin"/>
      </w:r>
      <w:r w:rsidRPr="00A52AB8">
        <w:rPr>
          <w:color w:val="000000" w:themeColor="text1"/>
        </w:rPr>
        <w:instrText xml:space="preserve"> REF _Ref47526144 \r \h </w:instrText>
      </w:r>
      <w:r w:rsidR="006371AA"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3.30</w:t>
      </w:r>
      <w:r w:rsidRPr="00496A4D">
        <w:rPr>
          <w:color w:val="000000" w:themeColor="text1"/>
        </w:rPr>
        <w:fldChar w:fldCharType="end"/>
      </w:r>
      <w:r w:rsidRPr="00A52AB8">
        <w:rPr>
          <w:color w:val="000000" w:themeColor="text1"/>
        </w:rPr>
        <w:t xml:space="preserve">) associated with a </w:t>
      </w:r>
      <w:r w:rsidRPr="00A52AB8">
        <w:rPr>
          <w:i/>
          <w:iCs/>
          <w:color w:val="000000" w:themeColor="text1"/>
        </w:rPr>
        <w:t xml:space="preserve">volumetric frame </w:t>
      </w:r>
      <w:r w:rsidRPr="00A52AB8">
        <w:rPr>
          <w:color w:val="000000" w:themeColor="text1"/>
        </w:rPr>
        <w:t>(</w:t>
      </w:r>
      <w:r w:rsidRPr="00496A4D">
        <w:rPr>
          <w:color w:val="000000" w:themeColor="text1"/>
        </w:rPr>
        <w:fldChar w:fldCharType="begin"/>
      </w:r>
      <w:r w:rsidRPr="00A52AB8">
        <w:rPr>
          <w:color w:val="000000" w:themeColor="text1"/>
        </w:rPr>
        <w:instrText xml:space="preserve"> REF _Ref47524838 \r \h </w:instrText>
      </w:r>
      <w:r w:rsidR="006371AA"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3.148</w:t>
      </w:r>
      <w:r w:rsidRPr="00496A4D">
        <w:rPr>
          <w:color w:val="000000" w:themeColor="text1"/>
        </w:rPr>
        <w:fldChar w:fldCharType="end"/>
      </w:r>
      <w:r w:rsidRPr="00A52AB8">
        <w:rPr>
          <w:color w:val="000000" w:themeColor="text1"/>
        </w:rPr>
        <w:t>)</w:t>
      </w:r>
    </w:p>
    <w:p w14:paraId="35D2C274" w14:textId="77777777" w:rsidR="00564EF6" w:rsidRPr="00A52AB8" w:rsidRDefault="00564EF6" w:rsidP="00E72F7E">
      <w:pPr>
        <w:pStyle w:val="TermHeading"/>
      </w:pPr>
      <w:bookmarkStart w:id="57" w:name="_Ref49679544"/>
    </w:p>
    <w:bookmarkEnd w:id="57"/>
    <w:p w14:paraId="717AAF9C" w14:textId="3295681E" w:rsidR="00564EF6" w:rsidRPr="00A52AB8" w:rsidRDefault="00564EF6" w:rsidP="00564EF6">
      <w:pPr>
        <w:pStyle w:val="Terms"/>
        <w:rPr>
          <w:color w:val="000000" w:themeColor="text1"/>
        </w:rPr>
      </w:pPr>
      <w:r w:rsidRPr="00A52AB8">
        <w:rPr>
          <w:color w:val="000000" w:themeColor="text1"/>
        </w:rPr>
        <w:t xml:space="preserve">geometry </w:t>
      </w:r>
      <w:r w:rsidR="00A3510F" w:rsidRPr="00A52AB8">
        <w:rPr>
          <w:color w:val="000000" w:themeColor="text1"/>
        </w:rPr>
        <w:t>access unit</w:t>
      </w:r>
    </w:p>
    <w:p w14:paraId="0AAFDADA" w14:textId="02865B29" w:rsidR="00564EF6" w:rsidRPr="00A52AB8" w:rsidRDefault="00564EF6" w:rsidP="00564EF6">
      <w:pPr>
        <w:pStyle w:val="Definition"/>
        <w:rPr>
          <w:color w:val="000000" w:themeColor="text1"/>
        </w:rPr>
      </w:pPr>
      <w:r w:rsidRPr="00A52AB8">
        <w:t xml:space="preserve">collection of </w:t>
      </w:r>
      <w:r w:rsidRPr="00A52AB8">
        <w:rPr>
          <w:i/>
          <w:iCs/>
          <w:color w:val="000000" w:themeColor="text1"/>
        </w:rPr>
        <w:t xml:space="preserve">geometry maps </w:t>
      </w:r>
      <w:r w:rsidRPr="00A52AB8">
        <w:rPr>
          <w:color w:val="000000" w:themeColor="text1"/>
        </w:rPr>
        <w:t>(</w:t>
      </w:r>
      <w:r w:rsidRPr="00496A4D">
        <w:rPr>
          <w:color w:val="000000" w:themeColor="text1"/>
        </w:rPr>
        <w:fldChar w:fldCharType="begin"/>
      </w:r>
      <w:r w:rsidRPr="00A52AB8">
        <w:rPr>
          <w:color w:val="000000" w:themeColor="text1"/>
        </w:rPr>
        <w:instrText xml:space="preserve"> REF _Ref47525627 \r \h </w:instrText>
      </w:r>
      <w:r w:rsidR="006371AA"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3.65</w:t>
      </w:r>
      <w:r w:rsidRPr="00496A4D">
        <w:rPr>
          <w:color w:val="000000" w:themeColor="text1"/>
        </w:rPr>
        <w:fldChar w:fldCharType="end"/>
      </w:r>
      <w:r w:rsidRPr="00A52AB8">
        <w:rPr>
          <w:color w:val="000000" w:themeColor="text1"/>
        </w:rPr>
        <w:t xml:space="preserve">) </w:t>
      </w:r>
      <w:r w:rsidR="00A3510F" w:rsidRPr="00A52AB8">
        <w:rPr>
          <w:color w:val="000000" w:themeColor="text1"/>
        </w:rPr>
        <w:t xml:space="preserve">and auxiliary geometry frames, if present, </w:t>
      </w:r>
      <w:r w:rsidRPr="00A52AB8">
        <w:t>corresponding to the same time instance</w:t>
      </w:r>
    </w:p>
    <w:p w14:paraId="5AC76937" w14:textId="77777777" w:rsidR="00B073B9" w:rsidRPr="00A52AB8" w:rsidRDefault="00B073B9" w:rsidP="00E72F7E">
      <w:pPr>
        <w:pStyle w:val="TermHeading"/>
      </w:pPr>
      <w:bookmarkStart w:id="58" w:name="_Ref50630166"/>
    </w:p>
    <w:bookmarkEnd w:id="58"/>
    <w:p w14:paraId="2F1C5C71" w14:textId="1F2B2F76" w:rsidR="00B073B9" w:rsidRPr="00A52AB8" w:rsidRDefault="00B073B9" w:rsidP="00B073B9">
      <w:pPr>
        <w:pStyle w:val="Terms"/>
        <w:rPr>
          <w:color w:val="000000" w:themeColor="text1"/>
        </w:rPr>
      </w:pPr>
      <w:r w:rsidRPr="00A52AB8">
        <w:rPr>
          <w:color w:val="000000" w:themeColor="text1"/>
        </w:rPr>
        <w:t>geometry frame</w:t>
      </w:r>
    </w:p>
    <w:p w14:paraId="6765FA1C" w14:textId="026002D7" w:rsidR="00B073B9" w:rsidRPr="00A52AB8" w:rsidRDefault="00B073B9" w:rsidP="00B073B9">
      <w:pPr>
        <w:pStyle w:val="Definition"/>
        <w:rPr>
          <w:color w:val="000000" w:themeColor="text1"/>
        </w:rPr>
      </w:pPr>
      <w:r w:rsidRPr="00A52AB8">
        <w:t xml:space="preserve">2D array </w:t>
      </w:r>
      <w:r w:rsidRPr="00A52AB8">
        <w:rPr>
          <w:color w:val="000000" w:themeColor="text1"/>
        </w:rPr>
        <w:t xml:space="preserve">created through the aggregation of the </w:t>
      </w:r>
      <w:r w:rsidRPr="00A52AB8">
        <w:rPr>
          <w:i/>
          <w:iCs/>
          <w:color w:val="000000" w:themeColor="text1"/>
        </w:rPr>
        <w:t>geometry</w:t>
      </w:r>
      <w:r w:rsidRPr="00A52AB8">
        <w:rPr>
          <w:color w:val="000000" w:themeColor="text1"/>
        </w:rPr>
        <w:t xml:space="preserve"> (</w:t>
      </w:r>
      <w:r w:rsidRPr="00496A4D">
        <w:rPr>
          <w:color w:val="000000" w:themeColor="text1"/>
        </w:rPr>
        <w:fldChar w:fldCharType="begin"/>
      </w:r>
      <w:r w:rsidRPr="00A52AB8">
        <w:rPr>
          <w:color w:val="000000" w:themeColor="text1"/>
        </w:rPr>
        <w:instrText xml:space="preserve"> REF _Ref47526217 \r \h  \* MERGEFORMAT </w:instrText>
      </w:r>
      <w:r w:rsidRPr="00496A4D">
        <w:rPr>
          <w:color w:val="000000" w:themeColor="text1"/>
        </w:rPr>
      </w:r>
      <w:r w:rsidRPr="00496A4D">
        <w:rPr>
          <w:color w:val="000000" w:themeColor="text1"/>
        </w:rPr>
        <w:fldChar w:fldCharType="separate"/>
      </w:r>
      <w:r w:rsidR="00507A67">
        <w:rPr>
          <w:color w:val="000000" w:themeColor="text1"/>
        </w:rPr>
        <w:t>3.62</w:t>
      </w:r>
      <w:r w:rsidRPr="00496A4D">
        <w:rPr>
          <w:color w:val="000000" w:themeColor="text1"/>
        </w:rPr>
        <w:fldChar w:fldCharType="end"/>
      </w:r>
      <w:r w:rsidRPr="00A52AB8">
        <w:rPr>
          <w:color w:val="000000" w:themeColor="text1"/>
        </w:rPr>
        <w:t xml:space="preserve">) information associated with each </w:t>
      </w:r>
      <w:r w:rsidRPr="00A52AB8">
        <w:rPr>
          <w:i/>
          <w:color w:val="000000" w:themeColor="text1"/>
        </w:rPr>
        <w:t>patch</w:t>
      </w:r>
      <w:r w:rsidRPr="00A52AB8">
        <w:rPr>
          <w:color w:val="000000" w:themeColor="text1"/>
        </w:rPr>
        <w:t xml:space="preserve"> </w:t>
      </w:r>
      <w:r w:rsidRPr="00A52AB8">
        <w:t>(</w:t>
      </w:r>
      <w:r w:rsidRPr="00496A4D">
        <w:fldChar w:fldCharType="begin"/>
      </w:r>
      <w:r w:rsidRPr="00A52AB8">
        <w:instrText xml:space="preserve"> REF _Ref47523249 \r \h  \* MERGEFORMAT </w:instrText>
      </w:r>
      <w:r w:rsidRPr="00496A4D">
        <w:fldChar w:fldCharType="separate"/>
      </w:r>
      <w:r w:rsidR="00507A67">
        <w:t>3.93</w:t>
      </w:r>
      <w:r w:rsidRPr="00496A4D">
        <w:fldChar w:fldCharType="end"/>
      </w:r>
      <w:r w:rsidRPr="00A52AB8">
        <w:t>)</w:t>
      </w:r>
    </w:p>
    <w:p w14:paraId="176B9552" w14:textId="77777777" w:rsidR="00564EF6" w:rsidRPr="00A52AB8" w:rsidRDefault="00564EF6" w:rsidP="00E72F7E">
      <w:pPr>
        <w:pStyle w:val="TermHeading"/>
      </w:pPr>
      <w:bookmarkStart w:id="59" w:name="_Ref47525627"/>
    </w:p>
    <w:bookmarkEnd w:id="59"/>
    <w:p w14:paraId="154C2024" w14:textId="77777777" w:rsidR="00564EF6" w:rsidRPr="00A52AB8" w:rsidRDefault="00564EF6" w:rsidP="00564EF6">
      <w:pPr>
        <w:pStyle w:val="Terms"/>
        <w:rPr>
          <w:color w:val="000000" w:themeColor="text1"/>
        </w:rPr>
      </w:pPr>
      <w:r w:rsidRPr="00A52AB8">
        <w:rPr>
          <w:color w:val="000000" w:themeColor="text1"/>
        </w:rPr>
        <w:t>geometry map</w:t>
      </w:r>
    </w:p>
    <w:p w14:paraId="2479C525" w14:textId="0E5981E9" w:rsidR="00564EF6" w:rsidRPr="00A52AB8" w:rsidRDefault="00B073B9" w:rsidP="00564EF6">
      <w:pPr>
        <w:pStyle w:val="Definition"/>
      </w:pPr>
      <w:r w:rsidRPr="00A52AB8">
        <w:rPr>
          <w:i/>
        </w:rPr>
        <w:t>geometry frame</w:t>
      </w:r>
      <w:r w:rsidRPr="00A52AB8">
        <w:t xml:space="preserve"> </w:t>
      </w:r>
      <w:r w:rsidR="00DB656A" w:rsidRPr="00A52AB8">
        <w:t>(</w:t>
      </w:r>
      <w:r w:rsidR="00DB656A" w:rsidRPr="00496A4D">
        <w:fldChar w:fldCharType="begin"/>
      </w:r>
      <w:r w:rsidR="00DB656A" w:rsidRPr="00A52AB8">
        <w:instrText xml:space="preserve"> REF _Ref50630166 \n \h </w:instrText>
      </w:r>
      <w:r w:rsidR="007478BA" w:rsidRPr="00A52AB8">
        <w:instrText xml:space="preserve"> \* MERGEFORMAT </w:instrText>
      </w:r>
      <w:r w:rsidR="00DB656A" w:rsidRPr="00496A4D">
        <w:fldChar w:fldCharType="separate"/>
      </w:r>
      <w:r w:rsidR="00507A67">
        <w:t>3.64</w:t>
      </w:r>
      <w:r w:rsidR="00DB656A" w:rsidRPr="00496A4D">
        <w:fldChar w:fldCharType="end"/>
      </w:r>
      <w:r w:rsidR="00DB656A" w:rsidRPr="00A52AB8">
        <w:t xml:space="preserve">) </w:t>
      </w:r>
      <w:r w:rsidRPr="00A52AB8">
        <w:t xml:space="preserve">containing geometry </w:t>
      </w:r>
      <w:r w:rsidRPr="00A52AB8">
        <w:rPr>
          <w:i/>
        </w:rPr>
        <w:t>patch</w:t>
      </w:r>
      <w:r w:rsidRPr="00A52AB8">
        <w:t xml:space="preserve"> </w:t>
      </w:r>
      <w:r w:rsidR="00DB656A" w:rsidRPr="00A52AB8">
        <w:t>(</w:t>
      </w:r>
      <w:r w:rsidR="00DB656A" w:rsidRPr="00496A4D">
        <w:fldChar w:fldCharType="begin"/>
      </w:r>
      <w:r w:rsidR="00DB656A" w:rsidRPr="00A52AB8">
        <w:instrText xml:space="preserve"> REF _Ref47523249 \r \h  \* MERGEFORMAT </w:instrText>
      </w:r>
      <w:r w:rsidR="00DB656A" w:rsidRPr="00496A4D">
        <w:fldChar w:fldCharType="separate"/>
      </w:r>
      <w:r w:rsidR="00507A67">
        <w:t>3.93</w:t>
      </w:r>
      <w:r w:rsidR="00DB656A" w:rsidRPr="00496A4D">
        <w:fldChar w:fldCharType="end"/>
      </w:r>
      <w:r w:rsidR="00DB656A" w:rsidRPr="00A52AB8">
        <w:t xml:space="preserve">) </w:t>
      </w:r>
      <w:r w:rsidRPr="00A52AB8">
        <w:t xml:space="preserve">information </w:t>
      </w:r>
      <w:r w:rsidR="00DB656A" w:rsidRPr="00A52AB8">
        <w:t>projected at a particular depth</w:t>
      </w:r>
    </w:p>
    <w:p w14:paraId="5D45EF37" w14:textId="77777777" w:rsidR="00BF7B4F" w:rsidRPr="00A52AB8" w:rsidRDefault="00BF7B4F" w:rsidP="00E72F7E">
      <w:pPr>
        <w:pStyle w:val="TermHeading"/>
      </w:pPr>
    </w:p>
    <w:p w14:paraId="5EF6F30F" w14:textId="236ABC1D" w:rsidR="00BF7B4F" w:rsidRPr="00A52AB8" w:rsidRDefault="00BF7B4F" w:rsidP="00BF7B4F">
      <w:pPr>
        <w:pStyle w:val="Terms"/>
      </w:pPr>
      <w:r w:rsidRPr="00A52AB8">
        <w:rPr>
          <w:color w:val="000000" w:themeColor="text1"/>
        </w:rPr>
        <w:t xml:space="preserve">global broken link access </w:t>
      </w:r>
      <w:r w:rsidRPr="00A52AB8">
        <w:t>access unit</w:t>
      </w:r>
      <w:r w:rsidRPr="00A52AB8">
        <w:br/>
        <w:t>GBLA access unit</w:t>
      </w:r>
    </w:p>
    <w:p w14:paraId="15BC0956" w14:textId="72E90635" w:rsidR="00BF7B4F" w:rsidRPr="00A52AB8" w:rsidRDefault="00BF7B4F" w:rsidP="00BF7B4F">
      <w:pPr>
        <w:pStyle w:val="Definition"/>
        <w:rPr>
          <w:color w:val="000000" w:themeColor="text1"/>
        </w:rPr>
      </w:pPr>
      <w:r w:rsidRPr="00A52AB8">
        <w:rPr>
          <w:iCs/>
          <w:color w:val="000000" w:themeColor="text1"/>
        </w:rPr>
        <w:t>access unit</w:t>
      </w:r>
      <w:r w:rsidRPr="00A52AB8">
        <w:rPr>
          <w:i/>
          <w:iCs/>
          <w:color w:val="000000" w:themeColor="text1"/>
        </w:rPr>
        <w:t xml:space="preserve"> </w:t>
      </w:r>
      <w:r w:rsidRPr="00A52AB8">
        <w:rPr>
          <w:iCs/>
          <w:color w:val="000000" w:themeColor="text1"/>
        </w:rPr>
        <w:t xml:space="preserve">in which the </w:t>
      </w:r>
      <w:r w:rsidRPr="00A52AB8">
        <w:rPr>
          <w:i/>
          <w:iCs/>
          <w:color w:val="000000" w:themeColor="text1"/>
        </w:rPr>
        <w:t xml:space="preserve">coded atlas </w:t>
      </w:r>
      <w:r w:rsidRPr="00A52AB8">
        <w:rPr>
          <w:color w:val="000000" w:themeColor="text1"/>
        </w:rPr>
        <w:t>(</w:t>
      </w:r>
      <w:r w:rsidRPr="00496A4D">
        <w:rPr>
          <w:color w:val="000000" w:themeColor="text1"/>
        </w:rPr>
        <w:fldChar w:fldCharType="begin"/>
      </w:r>
      <w:r w:rsidRPr="00A52AB8">
        <w:rPr>
          <w:color w:val="000000" w:themeColor="text1"/>
        </w:rPr>
        <w:instrText xml:space="preserve"> REF _Ref47525438 \r \h  \* MERGEFORMAT </w:instrText>
      </w:r>
      <w:r w:rsidRPr="00496A4D">
        <w:rPr>
          <w:color w:val="000000" w:themeColor="text1"/>
        </w:rPr>
      </w:r>
      <w:r w:rsidRPr="00496A4D">
        <w:rPr>
          <w:color w:val="000000" w:themeColor="text1"/>
        </w:rPr>
        <w:fldChar w:fldCharType="separate"/>
      </w:r>
      <w:r w:rsidR="00507A67">
        <w:rPr>
          <w:color w:val="000000" w:themeColor="text1"/>
        </w:rPr>
        <w:t>3.34</w:t>
      </w:r>
      <w:r w:rsidRPr="00496A4D">
        <w:rPr>
          <w:color w:val="000000" w:themeColor="text1"/>
        </w:rPr>
        <w:fldChar w:fldCharType="end"/>
      </w:r>
      <w:r w:rsidRPr="00A52AB8">
        <w:rPr>
          <w:color w:val="000000" w:themeColor="text1"/>
        </w:rPr>
        <w:t xml:space="preserve">) with nal_layer_id equal to 0 is a </w:t>
      </w:r>
      <w:r w:rsidRPr="00A52AB8">
        <w:rPr>
          <w:i/>
          <w:color w:val="000000" w:themeColor="text1"/>
        </w:rPr>
        <w:t>GBLA coded atlas</w:t>
      </w:r>
      <w:r w:rsidRPr="00A52AB8">
        <w:rPr>
          <w:color w:val="000000" w:themeColor="text1"/>
        </w:rPr>
        <w:t xml:space="preserve"> (</w:t>
      </w:r>
      <w:r w:rsidRPr="00496A4D">
        <w:rPr>
          <w:color w:val="000000" w:themeColor="text1"/>
        </w:rPr>
        <w:fldChar w:fldCharType="begin"/>
      </w:r>
      <w:r w:rsidRPr="00A52AB8">
        <w:rPr>
          <w:color w:val="000000" w:themeColor="text1"/>
        </w:rPr>
        <w:instrText xml:space="preserve"> REF _Ref49595328 \n \h </w:instrText>
      </w:r>
      <w:r w:rsidR="00007BE2"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3.67</w:t>
      </w:r>
      <w:r w:rsidRPr="00496A4D">
        <w:rPr>
          <w:color w:val="000000" w:themeColor="text1"/>
        </w:rPr>
        <w:fldChar w:fldCharType="end"/>
      </w:r>
      <w:r w:rsidRPr="00A52AB8">
        <w:rPr>
          <w:color w:val="000000" w:themeColor="text1"/>
        </w:rPr>
        <w:t>)</w:t>
      </w:r>
    </w:p>
    <w:p w14:paraId="6E8CDB87" w14:textId="77777777" w:rsidR="00564EF6" w:rsidRPr="00A52AB8" w:rsidRDefault="00564EF6" w:rsidP="00E72F7E">
      <w:pPr>
        <w:pStyle w:val="TermHeading"/>
      </w:pPr>
      <w:bookmarkStart w:id="60" w:name="_Ref49595328"/>
    </w:p>
    <w:bookmarkEnd w:id="60"/>
    <w:p w14:paraId="2CCEC800" w14:textId="77777777" w:rsidR="00564EF6" w:rsidRPr="00A52AB8" w:rsidRDefault="00564EF6" w:rsidP="00564EF6">
      <w:pPr>
        <w:pStyle w:val="Terms"/>
        <w:rPr>
          <w:color w:val="000000" w:themeColor="text1"/>
        </w:rPr>
      </w:pPr>
      <w:r w:rsidRPr="00A52AB8">
        <w:rPr>
          <w:color w:val="000000" w:themeColor="text1"/>
        </w:rPr>
        <w:t>global broken link access coded atlas</w:t>
      </w:r>
    </w:p>
    <w:p w14:paraId="5856F35A" w14:textId="20C222A7" w:rsidR="0050235C" w:rsidRPr="00A52AB8" w:rsidRDefault="00564EF6" w:rsidP="00564EF6">
      <w:pPr>
        <w:pStyle w:val="Terms"/>
        <w:rPr>
          <w:color w:val="000000" w:themeColor="text1"/>
        </w:rPr>
      </w:pPr>
      <w:r w:rsidRPr="00A52AB8">
        <w:rPr>
          <w:color w:val="000000" w:themeColor="text1"/>
        </w:rPr>
        <w:t>GBLA</w:t>
      </w:r>
      <w:r w:rsidR="00D440E3" w:rsidRPr="00A52AB8">
        <w:rPr>
          <w:color w:val="000000" w:themeColor="text1"/>
        </w:rPr>
        <w:t xml:space="preserve"> </w:t>
      </w:r>
      <w:r w:rsidRPr="00A52AB8">
        <w:rPr>
          <w:color w:val="000000" w:themeColor="text1"/>
        </w:rPr>
        <w:t>coded atlas</w:t>
      </w:r>
    </w:p>
    <w:p w14:paraId="6345527D" w14:textId="60A71C39" w:rsidR="00564EF6" w:rsidRPr="00A52AB8" w:rsidRDefault="00D440E3" w:rsidP="00564EF6">
      <w:pPr>
        <w:pStyle w:val="Definition"/>
      </w:pPr>
      <w:r w:rsidRPr="00A52AB8">
        <w:rPr>
          <w:i/>
          <w:iCs/>
          <w:color w:val="000000" w:themeColor="text1"/>
        </w:rPr>
        <w:t>IRAP coded atlas</w:t>
      </w:r>
      <w:r w:rsidRPr="00A52AB8">
        <w:rPr>
          <w:color w:val="000000" w:themeColor="text1"/>
        </w:rPr>
        <w:t xml:space="preserve"> (</w:t>
      </w:r>
      <w:r w:rsidRPr="00496A4D">
        <w:rPr>
          <w:color w:val="000000" w:themeColor="text1"/>
        </w:rPr>
        <w:fldChar w:fldCharType="begin"/>
      </w:r>
      <w:r w:rsidRPr="00A52AB8">
        <w:rPr>
          <w:color w:val="000000" w:themeColor="text1"/>
        </w:rPr>
        <w:instrText xml:space="preserve"> REF _Ref49778170 \r \h  \* MERGEFORMAT </w:instrText>
      </w:r>
      <w:r w:rsidRPr="00496A4D">
        <w:rPr>
          <w:color w:val="000000" w:themeColor="text1"/>
        </w:rPr>
      </w:r>
      <w:r w:rsidRPr="00496A4D">
        <w:rPr>
          <w:color w:val="000000" w:themeColor="text1"/>
        </w:rPr>
        <w:fldChar w:fldCharType="separate"/>
      </w:r>
      <w:r w:rsidR="00507A67">
        <w:rPr>
          <w:color w:val="000000" w:themeColor="text1"/>
        </w:rPr>
        <w:t>3.79</w:t>
      </w:r>
      <w:r w:rsidRPr="00496A4D">
        <w:rPr>
          <w:color w:val="000000" w:themeColor="text1"/>
        </w:rPr>
        <w:fldChar w:fldCharType="end"/>
      </w:r>
      <w:r w:rsidRPr="00A52AB8">
        <w:rPr>
          <w:color w:val="000000" w:themeColor="text1"/>
        </w:rPr>
        <w:t xml:space="preserve">) </w:t>
      </w:r>
      <w:r w:rsidRPr="00A52AB8">
        <w:t xml:space="preserve">frame for which each </w:t>
      </w:r>
      <w:r w:rsidRPr="00A52AB8">
        <w:rPr>
          <w:i/>
          <w:iCs/>
        </w:rPr>
        <w:t>ACL NAL unit</w:t>
      </w:r>
      <w:r w:rsidRPr="00A52AB8">
        <w:t xml:space="preserve"> (</w:t>
      </w:r>
      <w:r w:rsidRPr="00496A4D">
        <w:fldChar w:fldCharType="begin"/>
      </w:r>
      <w:r w:rsidRPr="00A52AB8">
        <w:instrText xml:space="preserve"> REF _Ref49013819 \n \h </w:instrText>
      </w:r>
      <w:r w:rsidR="007478BA" w:rsidRPr="00A52AB8">
        <w:instrText xml:space="preserve"> \* MERGEFORMAT </w:instrText>
      </w:r>
      <w:r w:rsidRPr="00496A4D">
        <w:fldChar w:fldCharType="separate"/>
      </w:r>
      <w:r w:rsidR="00507A67">
        <w:t>3.6</w:t>
      </w:r>
      <w:r w:rsidRPr="00496A4D">
        <w:fldChar w:fldCharType="end"/>
      </w:r>
      <w:r w:rsidRPr="00A52AB8">
        <w:t xml:space="preserve">) has </w:t>
      </w:r>
      <w:r w:rsidR="00564EF6" w:rsidRPr="00A52AB8">
        <w:t>nal_unit_type equal to NAL_GBLA_W_LP, NAL_GBLA_W_RADL, or NAL_GBLA_N_LP respectively</w:t>
      </w:r>
    </w:p>
    <w:p w14:paraId="3B19919A" w14:textId="77777777" w:rsidR="00BF7B4F" w:rsidRPr="00A52AB8" w:rsidRDefault="00BF7B4F" w:rsidP="00E72F7E">
      <w:pPr>
        <w:pStyle w:val="TermHeading"/>
      </w:pPr>
    </w:p>
    <w:p w14:paraId="5EF397EF" w14:textId="6921B631" w:rsidR="00BF7B4F" w:rsidRPr="00A52AB8" w:rsidRDefault="00BF7B4F" w:rsidP="00BF7B4F">
      <w:pPr>
        <w:pStyle w:val="Terms"/>
      </w:pPr>
      <w:r w:rsidRPr="00A52AB8">
        <w:rPr>
          <w:color w:val="000000" w:themeColor="text1"/>
        </w:rPr>
        <w:t xml:space="preserve">global clean random access </w:t>
      </w:r>
      <w:r w:rsidRPr="00A52AB8">
        <w:t>access unit</w:t>
      </w:r>
      <w:r w:rsidRPr="00A52AB8">
        <w:br/>
        <w:t>GCRA access unit</w:t>
      </w:r>
    </w:p>
    <w:p w14:paraId="69EA80A6" w14:textId="3154EE5F" w:rsidR="00BF7B4F" w:rsidRPr="00A52AB8" w:rsidRDefault="00BF7B4F" w:rsidP="00BF7B4F">
      <w:pPr>
        <w:pStyle w:val="Definition"/>
      </w:pPr>
      <w:r w:rsidRPr="00A52AB8">
        <w:rPr>
          <w:iCs/>
          <w:color w:val="000000" w:themeColor="text1"/>
        </w:rPr>
        <w:t>access unit</w:t>
      </w:r>
      <w:r w:rsidRPr="00A52AB8">
        <w:rPr>
          <w:i/>
          <w:iCs/>
          <w:color w:val="000000" w:themeColor="text1"/>
        </w:rPr>
        <w:t xml:space="preserve"> </w:t>
      </w:r>
      <w:r w:rsidRPr="00A52AB8">
        <w:rPr>
          <w:iCs/>
          <w:color w:val="000000" w:themeColor="text1"/>
        </w:rPr>
        <w:t xml:space="preserve">in which the </w:t>
      </w:r>
      <w:r w:rsidRPr="00A52AB8">
        <w:rPr>
          <w:i/>
          <w:iCs/>
          <w:color w:val="000000" w:themeColor="text1"/>
        </w:rPr>
        <w:t xml:space="preserve">coded atlas </w:t>
      </w:r>
      <w:r w:rsidRPr="00A52AB8">
        <w:rPr>
          <w:color w:val="000000" w:themeColor="text1"/>
        </w:rPr>
        <w:t>(</w:t>
      </w:r>
      <w:r w:rsidRPr="00496A4D">
        <w:rPr>
          <w:color w:val="000000" w:themeColor="text1"/>
        </w:rPr>
        <w:fldChar w:fldCharType="begin"/>
      </w:r>
      <w:r w:rsidRPr="00A52AB8">
        <w:rPr>
          <w:color w:val="000000" w:themeColor="text1"/>
        </w:rPr>
        <w:instrText xml:space="preserve"> REF _Ref47525438 \r \h  \* MERGEFORMAT </w:instrText>
      </w:r>
      <w:r w:rsidRPr="00496A4D">
        <w:rPr>
          <w:color w:val="000000" w:themeColor="text1"/>
        </w:rPr>
      </w:r>
      <w:r w:rsidRPr="00496A4D">
        <w:rPr>
          <w:color w:val="000000" w:themeColor="text1"/>
        </w:rPr>
        <w:fldChar w:fldCharType="separate"/>
      </w:r>
      <w:r w:rsidR="00507A67">
        <w:rPr>
          <w:color w:val="000000" w:themeColor="text1"/>
        </w:rPr>
        <w:t>3.34</w:t>
      </w:r>
      <w:r w:rsidRPr="00496A4D">
        <w:rPr>
          <w:color w:val="000000" w:themeColor="text1"/>
        </w:rPr>
        <w:fldChar w:fldCharType="end"/>
      </w:r>
      <w:r w:rsidRPr="00A52AB8">
        <w:rPr>
          <w:color w:val="000000" w:themeColor="text1"/>
        </w:rPr>
        <w:t xml:space="preserve">) with nal_layer_id equal to 0 is a </w:t>
      </w:r>
      <w:r w:rsidRPr="00A52AB8">
        <w:rPr>
          <w:i/>
          <w:color w:val="000000" w:themeColor="text1"/>
        </w:rPr>
        <w:t>GCRA coded atlas</w:t>
      </w:r>
      <w:r w:rsidRPr="00A52AB8">
        <w:rPr>
          <w:color w:val="000000" w:themeColor="text1"/>
        </w:rPr>
        <w:t xml:space="preserve"> (</w:t>
      </w:r>
      <w:r w:rsidRPr="00496A4D">
        <w:rPr>
          <w:color w:val="000000" w:themeColor="text1"/>
        </w:rPr>
        <w:fldChar w:fldCharType="begin"/>
      </w:r>
      <w:r w:rsidRPr="00A52AB8">
        <w:rPr>
          <w:color w:val="000000" w:themeColor="text1"/>
        </w:rPr>
        <w:instrText xml:space="preserve"> REF _Ref49595444 \n \h </w:instrText>
      </w:r>
      <w:r w:rsidR="00007BE2"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3.69</w:t>
      </w:r>
      <w:r w:rsidRPr="00496A4D">
        <w:rPr>
          <w:color w:val="000000" w:themeColor="text1"/>
        </w:rPr>
        <w:fldChar w:fldCharType="end"/>
      </w:r>
      <w:r w:rsidRPr="00A52AB8">
        <w:rPr>
          <w:color w:val="000000" w:themeColor="text1"/>
        </w:rPr>
        <w:t>)</w:t>
      </w:r>
    </w:p>
    <w:p w14:paraId="757A6AA3" w14:textId="77777777" w:rsidR="00564EF6" w:rsidRPr="00A52AB8" w:rsidRDefault="00564EF6" w:rsidP="00E72F7E">
      <w:pPr>
        <w:pStyle w:val="TermHeading"/>
      </w:pPr>
      <w:bookmarkStart w:id="61" w:name="_Ref49595444"/>
    </w:p>
    <w:bookmarkEnd w:id="61"/>
    <w:p w14:paraId="7459D843" w14:textId="4155F340" w:rsidR="00564EF6" w:rsidRPr="00A52AB8" w:rsidRDefault="00564EF6" w:rsidP="00564EF6">
      <w:pPr>
        <w:pStyle w:val="Terms"/>
        <w:rPr>
          <w:color w:val="000000" w:themeColor="text1"/>
        </w:rPr>
      </w:pPr>
      <w:r w:rsidRPr="00A52AB8">
        <w:rPr>
          <w:color w:val="000000" w:themeColor="text1"/>
        </w:rPr>
        <w:t>global clean random access coded atlas</w:t>
      </w:r>
    </w:p>
    <w:p w14:paraId="35CA75A8" w14:textId="7E5099ED" w:rsidR="00564EF6" w:rsidRPr="00A52AB8" w:rsidRDefault="00564EF6" w:rsidP="00564EF6">
      <w:pPr>
        <w:pStyle w:val="Terms"/>
        <w:rPr>
          <w:color w:val="000000" w:themeColor="text1"/>
        </w:rPr>
      </w:pPr>
      <w:r w:rsidRPr="00A52AB8">
        <w:rPr>
          <w:color w:val="000000" w:themeColor="text1"/>
        </w:rPr>
        <w:t>GCRA</w:t>
      </w:r>
      <w:r w:rsidR="006E1969" w:rsidRPr="00A52AB8">
        <w:rPr>
          <w:color w:val="000000" w:themeColor="text1"/>
        </w:rPr>
        <w:t xml:space="preserve"> </w:t>
      </w:r>
      <w:r w:rsidRPr="00A52AB8">
        <w:rPr>
          <w:color w:val="000000" w:themeColor="text1"/>
        </w:rPr>
        <w:t>coded atlas</w:t>
      </w:r>
    </w:p>
    <w:p w14:paraId="3310767D" w14:textId="371DF6D1" w:rsidR="00564EF6" w:rsidRPr="00A52AB8" w:rsidRDefault="006E1969" w:rsidP="00564EF6">
      <w:pPr>
        <w:pStyle w:val="Definition"/>
      </w:pPr>
      <w:r w:rsidRPr="00A52AB8">
        <w:rPr>
          <w:i/>
          <w:iCs/>
          <w:color w:val="000000" w:themeColor="text1"/>
        </w:rPr>
        <w:t>IRAP coded atlas</w:t>
      </w:r>
      <w:r w:rsidRPr="00A52AB8">
        <w:rPr>
          <w:color w:val="000000" w:themeColor="text1"/>
        </w:rPr>
        <w:t xml:space="preserve"> (</w:t>
      </w:r>
      <w:r w:rsidRPr="00496A4D">
        <w:rPr>
          <w:color w:val="000000" w:themeColor="text1"/>
        </w:rPr>
        <w:fldChar w:fldCharType="begin"/>
      </w:r>
      <w:r w:rsidRPr="00A52AB8">
        <w:rPr>
          <w:color w:val="000000" w:themeColor="text1"/>
        </w:rPr>
        <w:instrText xml:space="preserve"> REF _Ref49778170 \n \h </w:instrText>
      </w:r>
      <w:r w:rsidR="007478BA"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3.79</w:t>
      </w:r>
      <w:r w:rsidRPr="00496A4D">
        <w:rPr>
          <w:color w:val="000000" w:themeColor="text1"/>
        </w:rPr>
        <w:fldChar w:fldCharType="end"/>
      </w:r>
      <w:r w:rsidRPr="00A52AB8">
        <w:rPr>
          <w:color w:val="000000" w:themeColor="text1"/>
        </w:rPr>
        <w:t xml:space="preserve">) </w:t>
      </w:r>
      <w:r w:rsidRPr="00A52AB8">
        <w:t xml:space="preserve">frame for which each </w:t>
      </w:r>
      <w:r w:rsidRPr="00A52AB8">
        <w:rPr>
          <w:i/>
          <w:iCs/>
        </w:rPr>
        <w:t>ACL NAL unit</w:t>
      </w:r>
      <w:r w:rsidRPr="00A52AB8">
        <w:t xml:space="preserve"> (</w:t>
      </w:r>
      <w:r w:rsidRPr="00496A4D">
        <w:fldChar w:fldCharType="begin"/>
      </w:r>
      <w:r w:rsidRPr="00A52AB8">
        <w:instrText xml:space="preserve"> REF _Ref49013819 \n \h </w:instrText>
      </w:r>
      <w:r w:rsidR="007478BA" w:rsidRPr="00A52AB8">
        <w:instrText xml:space="preserve"> \* MERGEFORMAT </w:instrText>
      </w:r>
      <w:r w:rsidRPr="00496A4D">
        <w:fldChar w:fldCharType="separate"/>
      </w:r>
      <w:r w:rsidR="00507A67">
        <w:t>3.6</w:t>
      </w:r>
      <w:r w:rsidRPr="00496A4D">
        <w:fldChar w:fldCharType="end"/>
      </w:r>
      <w:r w:rsidRPr="00A52AB8">
        <w:t xml:space="preserve">) has </w:t>
      </w:r>
      <w:r w:rsidR="00564EF6" w:rsidRPr="00A52AB8">
        <w:t>nal_unit_type equal to NAL_GCRA</w:t>
      </w:r>
    </w:p>
    <w:p w14:paraId="2790D2B5" w14:textId="77777777" w:rsidR="00BF7B4F" w:rsidRPr="00A52AB8" w:rsidRDefault="00BF7B4F" w:rsidP="00E72F7E">
      <w:pPr>
        <w:pStyle w:val="TermHeading"/>
      </w:pPr>
    </w:p>
    <w:p w14:paraId="79F032BB" w14:textId="51FA49BB" w:rsidR="00BF7B4F" w:rsidRPr="00A52AB8" w:rsidRDefault="00BF7B4F" w:rsidP="00BF7B4F">
      <w:pPr>
        <w:pStyle w:val="Terms"/>
      </w:pPr>
      <w:r w:rsidRPr="00A52AB8">
        <w:rPr>
          <w:color w:val="000000" w:themeColor="text1"/>
        </w:rPr>
        <w:t xml:space="preserve">global instantaneous decoding refresh </w:t>
      </w:r>
      <w:r w:rsidRPr="00A52AB8">
        <w:t>access unit</w:t>
      </w:r>
      <w:r w:rsidRPr="00A52AB8">
        <w:br/>
        <w:t>GIDR access unit</w:t>
      </w:r>
    </w:p>
    <w:p w14:paraId="060C0594" w14:textId="5740335C" w:rsidR="00BF7B4F" w:rsidRPr="00A52AB8" w:rsidRDefault="00BF7B4F" w:rsidP="00BF7B4F">
      <w:pPr>
        <w:pStyle w:val="Definition"/>
      </w:pPr>
      <w:r w:rsidRPr="00A52AB8">
        <w:rPr>
          <w:iCs/>
          <w:color w:val="000000" w:themeColor="text1"/>
        </w:rPr>
        <w:t>access unit</w:t>
      </w:r>
      <w:r w:rsidRPr="00A52AB8">
        <w:rPr>
          <w:i/>
          <w:iCs/>
          <w:color w:val="000000" w:themeColor="text1"/>
        </w:rPr>
        <w:t xml:space="preserve"> </w:t>
      </w:r>
      <w:r w:rsidRPr="00A52AB8">
        <w:rPr>
          <w:iCs/>
          <w:color w:val="000000" w:themeColor="text1"/>
        </w:rPr>
        <w:t xml:space="preserve">in which the </w:t>
      </w:r>
      <w:r w:rsidRPr="00A52AB8">
        <w:rPr>
          <w:i/>
          <w:iCs/>
          <w:color w:val="000000" w:themeColor="text1"/>
        </w:rPr>
        <w:t xml:space="preserve">coded atlas </w:t>
      </w:r>
      <w:r w:rsidRPr="00A52AB8">
        <w:rPr>
          <w:color w:val="000000" w:themeColor="text1"/>
        </w:rPr>
        <w:t>(</w:t>
      </w:r>
      <w:r w:rsidRPr="00496A4D">
        <w:rPr>
          <w:color w:val="000000" w:themeColor="text1"/>
        </w:rPr>
        <w:fldChar w:fldCharType="begin"/>
      </w:r>
      <w:r w:rsidRPr="00A52AB8">
        <w:rPr>
          <w:color w:val="000000" w:themeColor="text1"/>
        </w:rPr>
        <w:instrText xml:space="preserve"> REF _Ref47525438 \r \h  \* MERGEFORMAT </w:instrText>
      </w:r>
      <w:r w:rsidRPr="00496A4D">
        <w:rPr>
          <w:color w:val="000000" w:themeColor="text1"/>
        </w:rPr>
      </w:r>
      <w:r w:rsidRPr="00496A4D">
        <w:rPr>
          <w:color w:val="000000" w:themeColor="text1"/>
        </w:rPr>
        <w:fldChar w:fldCharType="separate"/>
      </w:r>
      <w:r w:rsidR="00507A67">
        <w:rPr>
          <w:color w:val="000000" w:themeColor="text1"/>
        </w:rPr>
        <w:t>3.34</w:t>
      </w:r>
      <w:r w:rsidRPr="00496A4D">
        <w:rPr>
          <w:color w:val="000000" w:themeColor="text1"/>
        </w:rPr>
        <w:fldChar w:fldCharType="end"/>
      </w:r>
      <w:r w:rsidRPr="00A52AB8">
        <w:rPr>
          <w:color w:val="000000" w:themeColor="text1"/>
        </w:rPr>
        <w:t xml:space="preserve">) with nal_layer_id equal to 0 is a </w:t>
      </w:r>
      <w:r w:rsidRPr="00A52AB8">
        <w:rPr>
          <w:i/>
          <w:color w:val="000000" w:themeColor="text1"/>
        </w:rPr>
        <w:t>GIDR coded atlas</w:t>
      </w:r>
      <w:r w:rsidRPr="00A52AB8">
        <w:rPr>
          <w:color w:val="000000" w:themeColor="text1"/>
        </w:rPr>
        <w:t xml:space="preserve"> (</w:t>
      </w:r>
      <w:r w:rsidRPr="00496A4D">
        <w:rPr>
          <w:color w:val="000000" w:themeColor="text1"/>
        </w:rPr>
        <w:fldChar w:fldCharType="begin"/>
      </w:r>
      <w:r w:rsidRPr="00A52AB8">
        <w:rPr>
          <w:color w:val="000000" w:themeColor="text1"/>
        </w:rPr>
        <w:instrText xml:space="preserve"> REF _Ref49595532 \n \h </w:instrText>
      </w:r>
      <w:r w:rsidR="00007BE2"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3.71</w:t>
      </w:r>
      <w:r w:rsidRPr="00496A4D">
        <w:rPr>
          <w:color w:val="000000" w:themeColor="text1"/>
        </w:rPr>
        <w:fldChar w:fldCharType="end"/>
      </w:r>
      <w:r w:rsidRPr="00A52AB8">
        <w:rPr>
          <w:color w:val="000000" w:themeColor="text1"/>
        </w:rPr>
        <w:t>)</w:t>
      </w:r>
    </w:p>
    <w:p w14:paraId="199E65B1" w14:textId="77777777" w:rsidR="00564EF6" w:rsidRPr="00A52AB8" w:rsidRDefault="00564EF6" w:rsidP="00E72F7E">
      <w:pPr>
        <w:pStyle w:val="TermHeading"/>
      </w:pPr>
      <w:bookmarkStart w:id="62" w:name="_Ref49595532"/>
    </w:p>
    <w:bookmarkEnd w:id="62"/>
    <w:p w14:paraId="6CAFE754" w14:textId="77777777" w:rsidR="00564EF6" w:rsidRPr="00A52AB8" w:rsidRDefault="00564EF6" w:rsidP="00564EF6">
      <w:pPr>
        <w:pStyle w:val="Terms"/>
        <w:rPr>
          <w:color w:val="000000" w:themeColor="text1"/>
        </w:rPr>
      </w:pPr>
      <w:r w:rsidRPr="00A52AB8">
        <w:rPr>
          <w:color w:val="000000" w:themeColor="text1"/>
        </w:rPr>
        <w:t>global instantaneous decoding refresh coded atlas access unit</w:t>
      </w:r>
    </w:p>
    <w:p w14:paraId="334A6BEA" w14:textId="77777777" w:rsidR="00564EF6" w:rsidRPr="00A52AB8" w:rsidRDefault="00564EF6" w:rsidP="00564EF6">
      <w:pPr>
        <w:pStyle w:val="Terms"/>
      </w:pPr>
      <w:r w:rsidRPr="00A52AB8">
        <w:rPr>
          <w:color w:val="000000" w:themeColor="text1"/>
        </w:rPr>
        <w:t>GIDR-coded atlas</w:t>
      </w:r>
    </w:p>
    <w:p w14:paraId="491AC726" w14:textId="1E820B64" w:rsidR="00564EF6" w:rsidRPr="00A52AB8" w:rsidRDefault="00564EF6" w:rsidP="00564EF6">
      <w:pPr>
        <w:pStyle w:val="Definition"/>
        <w:rPr>
          <w:color w:val="000000" w:themeColor="text1"/>
        </w:rPr>
      </w:pPr>
      <w:r w:rsidRPr="00A52AB8">
        <w:rPr>
          <w:i/>
          <w:iCs/>
          <w:color w:val="000000" w:themeColor="text1"/>
        </w:rPr>
        <w:t>coded atlas</w:t>
      </w:r>
      <w:r w:rsidRPr="00A52AB8">
        <w:rPr>
          <w:color w:val="000000" w:themeColor="text1"/>
        </w:rPr>
        <w:t xml:space="preserve"> (</w:t>
      </w:r>
      <w:r w:rsidRPr="00496A4D">
        <w:rPr>
          <w:color w:val="000000" w:themeColor="text1"/>
        </w:rPr>
        <w:fldChar w:fldCharType="begin"/>
      </w:r>
      <w:r w:rsidRPr="00A52AB8">
        <w:rPr>
          <w:color w:val="000000" w:themeColor="text1"/>
        </w:rPr>
        <w:instrText xml:space="preserve"> REF _Ref47525438 \r \h </w:instrText>
      </w:r>
      <w:r w:rsidR="006371AA"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3.34</w:t>
      </w:r>
      <w:r w:rsidRPr="00496A4D">
        <w:rPr>
          <w:color w:val="000000" w:themeColor="text1"/>
        </w:rPr>
        <w:fldChar w:fldCharType="end"/>
      </w:r>
      <w:r w:rsidRPr="00A52AB8">
        <w:rPr>
          <w:color w:val="000000" w:themeColor="text1"/>
        </w:rPr>
        <w:t xml:space="preserve">) for which each </w:t>
      </w:r>
      <w:r w:rsidRPr="00A52AB8">
        <w:rPr>
          <w:i/>
          <w:iCs/>
          <w:color w:val="000000" w:themeColor="text1"/>
        </w:rPr>
        <w:t>ACL NAL unit</w:t>
      </w:r>
      <w:r w:rsidRPr="00A52AB8">
        <w:rPr>
          <w:color w:val="000000" w:themeColor="text1"/>
        </w:rPr>
        <w:t xml:space="preserve"> </w:t>
      </w:r>
      <w:r w:rsidR="006E1969" w:rsidRPr="00A52AB8">
        <w:rPr>
          <w:color w:val="000000" w:themeColor="text1"/>
        </w:rPr>
        <w:t>(</w:t>
      </w:r>
      <w:r w:rsidR="006E1969" w:rsidRPr="00496A4D">
        <w:rPr>
          <w:color w:val="000000" w:themeColor="text1"/>
        </w:rPr>
        <w:fldChar w:fldCharType="begin"/>
      </w:r>
      <w:r w:rsidR="006E1969" w:rsidRPr="00A52AB8">
        <w:rPr>
          <w:color w:val="000000" w:themeColor="text1"/>
        </w:rPr>
        <w:instrText xml:space="preserve"> REF _Ref49013819 \n \h </w:instrText>
      </w:r>
      <w:r w:rsidR="007478BA" w:rsidRPr="00A52AB8">
        <w:rPr>
          <w:color w:val="000000" w:themeColor="text1"/>
        </w:rPr>
        <w:instrText xml:space="preserve"> \* MERGEFORMAT </w:instrText>
      </w:r>
      <w:r w:rsidR="006E1969" w:rsidRPr="00496A4D">
        <w:rPr>
          <w:color w:val="000000" w:themeColor="text1"/>
        </w:rPr>
      </w:r>
      <w:r w:rsidR="006E1969" w:rsidRPr="00496A4D">
        <w:rPr>
          <w:color w:val="000000" w:themeColor="text1"/>
        </w:rPr>
        <w:fldChar w:fldCharType="separate"/>
      </w:r>
      <w:r w:rsidR="00507A67">
        <w:rPr>
          <w:color w:val="000000" w:themeColor="text1"/>
        </w:rPr>
        <w:t>3.6</w:t>
      </w:r>
      <w:r w:rsidR="006E1969" w:rsidRPr="00496A4D">
        <w:rPr>
          <w:color w:val="000000" w:themeColor="text1"/>
        </w:rPr>
        <w:fldChar w:fldCharType="end"/>
      </w:r>
      <w:r w:rsidR="006E1969" w:rsidRPr="00A52AB8">
        <w:rPr>
          <w:color w:val="000000" w:themeColor="text1"/>
        </w:rPr>
        <w:t xml:space="preserve">) </w:t>
      </w:r>
      <w:r w:rsidRPr="00A52AB8">
        <w:rPr>
          <w:color w:val="000000" w:themeColor="text1"/>
        </w:rPr>
        <w:t xml:space="preserve">has nal_unit_type equal to NAL_GIDR_W_RADL, NAL_GBLA_N_LP, or NAL_GCRA, or in the range of NAL_GBLA_W_LP to NAL_GBLA_N_LP, inclusive, and specify a random access association between the current </w:t>
      </w:r>
      <w:r w:rsidRPr="00A52AB8">
        <w:rPr>
          <w:i/>
          <w:iCs/>
          <w:color w:val="000000" w:themeColor="text1"/>
        </w:rPr>
        <w:t>coded atlas</w:t>
      </w:r>
      <w:r w:rsidRPr="00A52AB8">
        <w:rPr>
          <w:color w:val="000000" w:themeColor="text1"/>
        </w:rPr>
        <w:t xml:space="preserve"> and its correspond</w:t>
      </w:r>
      <w:r w:rsidR="00064B64" w:rsidRPr="00A52AB8">
        <w:rPr>
          <w:color w:val="000000" w:themeColor="text1"/>
        </w:rPr>
        <w:t>ing</w:t>
      </w:r>
      <w:r w:rsidRPr="00A52AB8">
        <w:rPr>
          <w:color w:val="000000" w:themeColor="text1"/>
        </w:rPr>
        <w:t xml:space="preserve"> coded video frames at the same composition time</w:t>
      </w:r>
    </w:p>
    <w:p w14:paraId="1AC2BAD5" w14:textId="77777777" w:rsidR="0050235C" w:rsidRPr="00A52AB8" w:rsidRDefault="0050235C" w:rsidP="00E72F7E">
      <w:pPr>
        <w:pStyle w:val="TermHeading"/>
      </w:pPr>
    </w:p>
    <w:p w14:paraId="56E25930" w14:textId="77777777" w:rsidR="00564EF6" w:rsidRPr="00A52AB8" w:rsidRDefault="00564EF6" w:rsidP="00564EF6">
      <w:pPr>
        <w:pStyle w:val="Terms"/>
        <w:rPr>
          <w:color w:val="000000" w:themeColor="text1"/>
        </w:rPr>
      </w:pPr>
      <w:r w:rsidRPr="00A52AB8">
        <w:rPr>
          <w:color w:val="000000" w:themeColor="text1"/>
        </w:rPr>
        <w:t>global intra random access point coded atlas</w:t>
      </w:r>
    </w:p>
    <w:p w14:paraId="2AB31DB1" w14:textId="77777777" w:rsidR="0050235C" w:rsidRPr="00A52AB8" w:rsidRDefault="00564EF6" w:rsidP="00564EF6">
      <w:pPr>
        <w:pStyle w:val="Terms"/>
        <w:rPr>
          <w:color w:val="000000" w:themeColor="text1"/>
        </w:rPr>
      </w:pPr>
      <w:r w:rsidRPr="00A52AB8">
        <w:rPr>
          <w:color w:val="000000" w:themeColor="text1"/>
        </w:rPr>
        <w:t>GIRAP coded atlas</w:t>
      </w:r>
    </w:p>
    <w:p w14:paraId="276B1E93" w14:textId="0A9B6B02" w:rsidR="00564EF6" w:rsidRPr="00A52AB8" w:rsidRDefault="00564EF6" w:rsidP="00564EF6">
      <w:pPr>
        <w:pStyle w:val="Definition"/>
      </w:pPr>
      <w:r w:rsidRPr="00A52AB8">
        <w:rPr>
          <w:i/>
          <w:iCs/>
          <w:color w:val="000000" w:themeColor="text1"/>
        </w:rPr>
        <w:t>IRAP coded atlas</w:t>
      </w:r>
      <w:r w:rsidRPr="00A52AB8">
        <w:rPr>
          <w:color w:val="000000" w:themeColor="text1"/>
        </w:rPr>
        <w:t xml:space="preserve"> (</w:t>
      </w:r>
      <w:r w:rsidR="00C87605" w:rsidRPr="00496A4D">
        <w:rPr>
          <w:color w:val="000000" w:themeColor="text1"/>
        </w:rPr>
        <w:fldChar w:fldCharType="begin"/>
      </w:r>
      <w:r w:rsidR="00C87605" w:rsidRPr="00A52AB8">
        <w:rPr>
          <w:color w:val="000000" w:themeColor="text1"/>
        </w:rPr>
        <w:instrText xml:space="preserve"> REF _Ref49778170 \r \h </w:instrText>
      </w:r>
      <w:r w:rsidR="00007BE2" w:rsidRPr="00A52AB8">
        <w:rPr>
          <w:color w:val="000000" w:themeColor="text1"/>
        </w:rPr>
        <w:instrText xml:space="preserve"> \* MERGEFORMAT </w:instrText>
      </w:r>
      <w:r w:rsidR="00C87605" w:rsidRPr="00496A4D">
        <w:rPr>
          <w:color w:val="000000" w:themeColor="text1"/>
        </w:rPr>
      </w:r>
      <w:r w:rsidR="00C87605" w:rsidRPr="00496A4D">
        <w:rPr>
          <w:color w:val="000000" w:themeColor="text1"/>
        </w:rPr>
        <w:fldChar w:fldCharType="separate"/>
      </w:r>
      <w:r w:rsidR="00507A67">
        <w:rPr>
          <w:color w:val="000000" w:themeColor="text1"/>
        </w:rPr>
        <w:t>3.79</w:t>
      </w:r>
      <w:r w:rsidR="00C87605" w:rsidRPr="00496A4D">
        <w:rPr>
          <w:color w:val="000000" w:themeColor="text1"/>
        </w:rPr>
        <w:fldChar w:fldCharType="end"/>
      </w:r>
      <w:r w:rsidR="00121DE5" w:rsidRPr="00A52AB8">
        <w:rPr>
          <w:color w:val="000000" w:themeColor="text1"/>
        </w:rPr>
        <w:t xml:space="preserve">) </w:t>
      </w:r>
      <w:r w:rsidRPr="00A52AB8">
        <w:t xml:space="preserve">for which each </w:t>
      </w:r>
      <w:r w:rsidRPr="00A52AB8">
        <w:rPr>
          <w:i/>
          <w:iCs/>
        </w:rPr>
        <w:t>ACL NAL unit</w:t>
      </w:r>
      <w:r w:rsidRPr="00A52AB8">
        <w:t xml:space="preserve"> </w:t>
      </w:r>
      <w:r w:rsidR="006E1969" w:rsidRPr="00A52AB8">
        <w:rPr>
          <w:color w:val="000000" w:themeColor="text1"/>
        </w:rPr>
        <w:t>(</w:t>
      </w:r>
      <w:r w:rsidR="006E1969" w:rsidRPr="00496A4D">
        <w:rPr>
          <w:color w:val="000000" w:themeColor="text1"/>
        </w:rPr>
        <w:fldChar w:fldCharType="begin"/>
      </w:r>
      <w:r w:rsidR="006E1969" w:rsidRPr="00A52AB8">
        <w:rPr>
          <w:color w:val="000000" w:themeColor="text1"/>
        </w:rPr>
        <w:instrText xml:space="preserve"> REF _Ref49013819 \n \h </w:instrText>
      </w:r>
      <w:r w:rsidR="007478BA" w:rsidRPr="00A52AB8">
        <w:rPr>
          <w:color w:val="000000" w:themeColor="text1"/>
        </w:rPr>
        <w:instrText xml:space="preserve"> \* MERGEFORMAT </w:instrText>
      </w:r>
      <w:r w:rsidR="006E1969" w:rsidRPr="00496A4D">
        <w:rPr>
          <w:color w:val="000000" w:themeColor="text1"/>
        </w:rPr>
      </w:r>
      <w:r w:rsidR="006E1969" w:rsidRPr="00496A4D">
        <w:rPr>
          <w:color w:val="000000" w:themeColor="text1"/>
        </w:rPr>
        <w:fldChar w:fldCharType="separate"/>
      </w:r>
      <w:r w:rsidR="00507A67">
        <w:rPr>
          <w:color w:val="000000" w:themeColor="text1"/>
        </w:rPr>
        <w:t>3.6</w:t>
      </w:r>
      <w:r w:rsidR="006E1969" w:rsidRPr="00496A4D">
        <w:rPr>
          <w:color w:val="000000" w:themeColor="text1"/>
        </w:rPr>
        <w:fldChar w:fldCharType="end"/>
      </w:r>
      <w:r w:rsidR="006E1969" w:rsidRPr="00A52AB8">
        <w:rPr>
          <w:color w:val="000000" w:themeColor="text1"/>
        </w:rPr>
        <w:t xml:space="preserve">) </w:t>
      </w:r>
      <w:r w:rsidRPr="00A52AB8">
        <w:t xml:space="preserve">has nal_unit_type equal to NAL_GIDR_W_RADL, NAL_GBLA_N_LP, or NAL_GCRA, or in the range of NAL_GBLA_W_LP to NAL_GBLA_N_LP, inclusive, and specify a random access association between the current coded atlas and </w:t>
      </w:r>
      <w:r w:rsidR="00487C30" w:rsidRPr="00A52AB8">
        <w:t>the</w:t>
      </w:r>
      <w:r w:rsidRPr="00A52AB8">
        <w:t xml:space="preserve"> correspond</w:t>
      </w:r>
      <w:r w:rsidR="00487C30" w:rsidRPr="00A52AB8">
        <w:t>ing</w:t>
      </w:r>
      <w:r w:rsidRPr="00A52AB8">
        <w:t xml:space="preserve"> coded video frames at the same composition time</w:t>
      </w:r>
    </w:p>
    <w:p w14:paraId="645A2148" w14:textId="77777777" w:rsidR="000A4F0E" w:rsidRPr="00A52AB8" w:rsidRDefault="000A4F0E" w:rsidP="00E72F7E">
      <w:pPr>
        <w:pStyle w:val="TermHeading"/>
      </w:pPr>
      <w:bookmarkStart w:id="63" w:name="_Ref50945065"/>
    </w:p>
    <w:bookmarkEnd w:id="63"/>
    <w:p w14:paraId="5FAAB1DD" w14:textId="31C4CEFD" w:rsidR="000A4F0E" w:rsidRPr="00A52AB8" w:rsidRDefault="000A4F0E" w:rsidP="000A4F0E">
      <w:pPr>
        <w:pStyle w:val="Terms"/>
        <w:rPr>
          <w:color w:val="000000" w:themeColor="text1"/>
        </w:rPr>
      </w:pPr>
      <w:r w:rsidRPr="00A52AB8">
        <w:rPr>
          <w:color w:val="000000" w:themeColor="text1"/>
        </w:rPr>
        <w:t>hypothetical reference decoder</w:t>
      </w:r>
    </w:p>
    <w:p w14:paraId="6DB0F38B" w14:textId="082BB6F1" w:rsidR="000A4F0E" w:rsidRPr="00A52AB8" w:rsidRDefault="000A4F0E" w:rsidP="000A4F0E">
      <w:pPr>
        <w:pStyle w:val="Terms"/>
      </w:pPr>
      <w:r w:rsidRPr="00A52AB8">
        <w:rPr>
          <w:color w:val="000000" w:themeColor="text1"/>
        </w:rPr>
        <w:t>HRD</w:t>
      </w:r>
    </w:p>
    <w:p w14:paraId="036DAE59" w14:textId="46414FFC" w:rsidR="000A4F0E" w:rsidRPr="00A52AB8" w:rsidRDefault="000A4F0E" w:rsidP="000A4F0E">
      <w:pPr>
        <w:pStyle w:val="Definition"/>
      </w:pPr>
      <w:r w:rsidRPr="00A52AB8">
        <w:t xml:space="preserve">hypothetical decoder model that specifies constraints on the variability of conforming atlas </w:t>
      </w:r>
      <w:r w:rsidRPr="00A52AB8">
        <w:rPr>
          <w:i/>
          <w:iCs/>
        </w:rPr>
        <w:t xml:space="preserve">NAL unit </w:t>
      </w:r>
      <w:r w:rsidR="00B71DEF" w:rsidRPr="00A52AB8">
        <w:rPr>
          <w:color w:val="000000" w:themeColor="text1"/>
        </w:rPr>
        <w:t>(</w:t>
      </w:r>
      <w:r w:rsidR="00B71DEF" w:rsidRPr="00496A4D">
        <w:rPr>
          <w:color w:val="000000" w:themeColor="text1"/>
        </w:rPr>
        <w:fldChar w:fldCharType="begin"/>
      </w:r>
      <w:r w:rsidR="00B71DEF" w:rsidRPr="00A52AB8">
        <w:rPr>
          <w:color w:val="000000" w:themeColor="text1"/>
        </w:rPr>
        <w:instrText xml:space="preserve"> REF _Ref47525311 \n \h </w:instrText>
      </w:r>
      <w:r w:rsidR="007478BA" w:rsidRPr="00A52AB8">
        <w:rPr>
          <w:color w:val="000000" w:themeColor="text1"/>
        </w:rPr>
        <w:instrText xml:space="preserve"> \* MERGEFORMAT </w:instrText>
      </w:r>
      <w:r w:rsidR="00B71DEF" w:rsidRPr="00496A4D">
        <w:rPr>
          <w:color w:val="000000" w:themeColor="text1"/>
        </w:rPr>
      </w:r>
      <w:r w:rsidR="00B71DEF" w:rsidRPr="00496A4D">
        <w:rPr>
          <w:color w:val="000000" w:themeColor="text1"/>
        </w:rPr>
        <w:fldChar w:fldCharType="separate"/>
      </w:r>
      <w:r w:rsidR="00507A67">
        <w:rPr>
          <w:color w:val="000000" w:themeColor="text1"/>
        </w:rPr>
        <w:t>3.84</w:t>
      </w:r>
      <w:r w:rsidR="00B71DEF" w:rsidRPr="00496A4D">
        <w:rPr>
          <w:color w:val="000000" w:themeColor="text1"/>
        </w:rPr>
        <w:fldChar w:fldCharType="end"/>
      </w:r>
      <w:r w:rsidR="00B71DEF" w:rsidRPr="00A52AB8">
        <w:rPr>
          <w:color w:val="000000" w:themeColor="text1"/>
        </w:rPr>
        <w:t xml:space="preserve">) </w:t>
      </w:r>
      <w:r w:rsidRPr="00A52AB8">
        <w:t xml:space="preserve">streams or conforming </w:t>
      </w:r>
      <w:r w:rsidR="00B71DEF" w:rsidRPr="00A52AB8">
        <w:rPr>
          <w:i/>
          <w:iCs/>
        </w:rPr>
        <w:t xml:space="preserve">coded </w:t>
      </w:r>
      <w:r w:rsidRPr="00A52AB8">
        <w:rPr>
          <w:i/>
          <w:iCs/>
        </w:rPr>
        <w:t>atlas</w:t>
      </w:r>
      <w:r w:rsidR="00B71DEF" w:rsidRPr="00A52AB8">
        <w:rPr>
          <w:color w:val="000000" w:themeColor="text1"/>
        </w:rPr>
        <w:t xml:space="preserve"> (</w:t>
      </w:r>
      <w:r w:rsidR="00B71DEF" w:rsidRPr="00496A4D">
        <w:rPr>
          <w:color w:val="000000" w:themeColor="text1"/>
        </w:rPr>
        <w:fldChar w:fldCharType="begin"/>
      </w:r>
      <w:r w:rsidR="00B71DEF" w:rsidRPr="00A52AB8">
        <w:rPr>
          <w:color w:val="000000" w:themeColor="text1"/>
        </w:rPr>
        <w:instrText xml:space="preserve"> REF _Ref47525438 \r \h  </w:instrText>
      </w:r>
      <w:r w:rsidR="00231931" w:rsidRPr="00A52AB8">
        <w:rPr>
          <w:color w:val="000000" w:themeColor="text1"/>
        </w:rPr>
        <w:instrText xml:space="preserve"> \* MERGEFORMAT </w:instrText>
      </w:r>
      <w:r w:rsidR="00B71DEF" w:rsidRPr="00496A4D">
        <w:rPr>
          <w:color w:val="000000" w:themeColor="text1"/>
        </w:rPr>
      </w:r>
      <w:r w:rsidR="00B71DEF" w:rsidRPr="00496A4D">
        <w:rPr>
          <w:color w:val="000000" w:themeColor="text1"/>
        </w:rPr>
        <w:fldChar w:fldCharType="separate"/>
      </w:r>
      <w:r w:rsidR="00507A67">
        <w:rPr>
          <w:color w:val="000000" w:themeColor="text1"/>
        </w:rPr>
        <w:t>3.34</w:t>
      </w:r>
      <w:r w:rsidR="00B71DEF" w:rsidRPr="00496A4D">
        <w:rPr>
          <w:color w:val="000000" w:themeColor="text1"/>
        </w:rPr>
        <w:fldChar w:fldCharType="end"/>
      </w:r>
      <w:r w:rsidR="00B71DEF" w:rsidRPr="00A52AB8">
        <w:rPr>
          <w:color w:val="000000" w:themeColor="text1"/>
        </w:rPr>
        <w:t>)</w:t>
      </w:r>
      <w:r w:rsidRPr="00A52AB8">
        <w:t xml:space="preserve"> sample streams that an encoding process may produce</w:t>
      </w:r>
    </w:p>
    <w:p w14:paraId="7EC38E62" w14:textId="77777777" w:rsidR="000A4F0E" w:rsidRPr="00A52AB8" w:rsidRDefault="000A4F0E" w:rsidP="00E72F7E">
      <w:pPr>
        <w:pStyle w:val="TermHeading"/>
      </w:pPr>
    </w:p>
    <w:p w14:paraId="2F3A45E1" w14:textId="208B330E" w:rsidR="000A4F0E" w:rsidRPr="00A52AB8" w:rsidRDefault="000A4F0E" w:rsidP="000A4F0E">
      <w:pPr>
        <w:pStyle w:val="Terms"/>
        <w:rPr>
          <w:color w:val="000000" w:themeColor="text1"/>
        </w:rPr>
      </w:pPr>
      <w:r w:rsidRPr="00A52AB8">
        <w:rPr>
          <w:color w:val="000000" w:themeColor="text1"/>
        </w:rPr>
        <w:t>hypothetical stream scheduler</w:t>
      </w:r>
    </w:p>
    <w:p w14:paraId="6997A160" w14:textId="6167CB8D" w:rsidR="000A4F0E" w:rsidRPr="00A52AB8" w:rsidRDefault="000A4F0E" w:rsidP="000A4F0E">
      <w:pPr>
        <w:pStyle w:val="Terms"/>
      </w:pPr>
      <w:r w:rsidRPr="00A52AB8">
        <w:rPr>
          <w:color w:val="000000" w:themeColor="text1"/>
        </w:rPr>
        <w:t>HSS</w:t>
      </w:r>
    </w:p>
    <w:p w14:paraId="376F6035" w14:textId="31D23D3B" w:rsidR="000A4F0E" w:rsidRPr="00A52AB8" w:rsidRDefault="000A4F0E" w:rsidP="000A4F0E">
      <w:pPr>
        <w:pStyle w:val="Definition"/>
      </w:pPr>
      <w:r w:rsidRPr="00A52AB8">
        <w:t xml:space="preserve">hypothetical delivery mechanism used for checking the conformance of an </w:t>
      </w:r>
      <w:r w:rsidRPr="00A52AB8">
        <w:rPr>
          <w:i/>
          <w:iCs/>
        </w:rPr>
        <w:t>atlas sub-bitstream</w:t>
      </w:r>
      <w:r w:rsidRPr="00A52AB8">
        <w:t xml:space="preserve"> (</w:t>
      </w:r>
      <w:r w:rsidRPr="00496A4D">
        <w:fldChar w:fldCharType="begin"/>
      </w:r>
      <w:r w:rsidRPr="00A52AB8">
        <w:instrText xml:space="preserve"> REF _Ref47525222 \n \h </w:instrText>
      </w:r>
      <w:r w:rsidR="007478BA" w:rsidRPr="00A52AB8">
        <w:instrText xml:space="preserve"> \* MERGEFORMAT </w:instrText>
      </w:r>
      <w:r w:rsidRPr="00496A4D">
        <w:fldChar w:fldCharType="separate"/>
      </w:r>
      <w:r w:rsidR="00507A67">
        <w:t>3.13</w:t>
      </w:r>
      <w:r w:rsidRPr="00496A4D">
        <w:fldChar w:fldCharType="end"/>
      </w:r>
      <w:r w:rsidRPr="00A52AB8">
        <w:t xml:space="preserve">) or a decoder with regards to the timing and data flow of the input of an </w:t>
      </w:r>
      <w:r w:rsidRPr="00A52AB8">
        <w:rPr>
          <w:i/>
          <w:iCs/>
        </w:rPr>
        <w:t>atlas sub-bitstream</w:t>
      </w:r>
      <w:r w:rsidRPr="00A52AB8">
        <w:t xml:space="preserve"> (</w:t>
      </w:r>
      <w:r w:rsidRPr="00496A4D">
        <w:fldChar w:fldCharType="begin"/>
      </w:r>
      <w:r w:rsidRPr="00A52AB8">
        <w:instrText xml:space="preserve"> REF _Ref47525222 \n \h </w:instrText>
      </w:r>
      <w:r w:rsidR="007478BA" w:rsidRPr="00A52AB8">
        <w:instrText xml:space="preserve"> \* MERGEFORMAT </w:instrText>
      </w:r>
      <w:r w:rsidRPr="00496A4D">
        <w:fldChar w:fldCharType="separate"/>
      </w:r>
      <w:r w:rsidR="00507A67">
        <w:t>3.13</w:t>
      </w:r>
      <w:r w:rsidRPr="00496A4D">
        <w:fldChar w:fldCharType="end"/>
      </w:r>
      <w:r w:rsidRPr="00A52AB8">
        <w:t xml:space="preserve">) into the </w:t>
      </w:r>
      <w:r w:rsidRPr="00A52AB8">
        <w:rPr>
          <w:i/>
          <w:iCs/>
        </w:rPr>
        <w:t xml:space="preserve">hypothetical reference decoder </w:t>
      </w:r>
      <w:r w:rsidRPr="00A52AB8">
        <w:t>(</w:t>
      </w:r>
      <w:r w:rsidRPr="00496A4D">
        <w:fldChar w:fldCharType="begin"/>
      </w:r>
      <w:r w:rsidRPr="00A52AB8">
        <w:instrText xml:space="preserve"> REF _Ref50945065 \n \h </w:instrText>
      </w:r>
      <w:r w:rsidR="007478BA" w:rsidRPr="00A52AB8">
        <w:instrText xml:space="preserve"> \* MERGEFORMAT </w:instrText>
      </w:r>
      <w:r w:rsidRPr="00496A4D">
        <w:fldChar w:fldCharType="separate"/>
      </w:r>
      <w:r w:rsidR="00507A67">
        <w:t>3.73</w:t>
      </w:r>
      <w:r w:rsidRPr="00496A4D">
        <w:fldChar w:fldCharType="end"/>
      </w:r>
      <w:r w:rsidRPr="00A52AB8">
        <w:t>)</w:t>
      </w:r>
    </w:p>
    <w:p w14:paraId="5380C644" w14:textId="77777777" w:rsidR="00564EF6" w:rsidRPr="00A52AB8" w:rsidRDefault="00564EF6" w:rsidP="00E72F7E">
      <w:pPr>
        <w:pStyle w:val="TermHeading"/>
      </w:pPr>
    </w:p>
    <w:p w14:paraId="0E4308E1" w14:textId="77777777" w:rsidR="00564EF6" w:rsidRPr="00A52AB8" w:rsidRDefault="00564EF6" w:rsidP="00564EF6">
      <w:pPr>
        <w:pStyle w:val="Terms"/>
        <w:rPr>
          <w:color w:val="000000" w:themeColor="text1"/>
        </w:rPr>
      </w:pPr>
      <w:r w:rsidRPr="00A52AB8">
        <w:rPr>
          <w:color w:val="000000" w:themeColor="text1"/>
        </w:rPr>
        <w:t>instantaneous decoding refresh coded atlas access unit</w:t>
      </w:r>
    </w:p>
    <w:p w14:paraId="3CB861FA" w14:textId="7D91C709" w:rsidR="00564EF6" w:rsidRPr="00A52AB8" w:rsidRDefault="00564EF6" w:rsidP="00564EF6">
      <w:pPr>
        <w:pStyle w:val="Terms"/>
      </w:pPr>
      <w:r w:rsidRPr="00A52AB8">
        <w:rPr>
          <w:color w:val="000000" w:themeColor="text1"/>
        </w:rPr>
        <w:t>IDR</w:t>
      </w:r>
      <w:r w:rsidR="00D67C10" w:rsidRPr="00A52AB8">
        <w:rPr>
          <w:color w:val="000000" w:themeColor="text1"/>
        </w:rPr>
        <w:t xml:space="preserve"> </w:t>
      </w:r>
      <w:r w:rsidRPr="00A52AB8">
        <w:rPr>
          <w:color w:val="000000" w:themeColor="text1"/>
        </w:rPr>
        <w:t>coded atlas access unit</w:t>
      </w:r>
    </w:p>
    <w:p w14:paraId="08937D2E" w14:textId="325BB098" w:rsidR="00564EF6" w:rsidRPr="00A52AB8" w:rsidRDefault="00564EF6" w:rsidP="00564EF6">
      <w:pPr>
        <w:pStyle w:val="Definition"/>
        <w:rPr>
          <w:color w:val="000000" w:themeColor="text1"/>
        </w:rPr>
      </w:pPr>
      <w:r w:rsidRPr="00A52AB8">
        <w:rPr>
          <w:color w:val="000000" w:themeColor="text1"/>
        </w:rPr>
        <w:t xml:space="preserve">access unit in which the </w:t>
      </w:r>
      <w:r w:rsidRPr="00A52AB8">
        <w:rPr>
          <w:i/>
          <w:iCs/>
          <w:color w:val="000000" w:themeColor="text1"/>
        </w:rPr>
        <w:t>coded atlas</w:t>
      </w:r>
      <w:r w:rsidRPr="00A52AB8">
        <w:rPr>
          <w:color w:val="000000" w:themeColor="text1"/>
        </w:rPr>
        <w:t xml:space="preserve"> (</w:t>
      </w:r>
      <w:r w:rsidRPr="00496A4D">
        <w:rPr>
          <w:color w:val="000000" w:themeColor="text1"/>
        </w:rPr>
        <w:fldChar w:fldCharType="begin"/>
      </w:r>
      <w:r w:rsidRPr="00A52AB8">
        <w:rPr>
          <w:color w:val="000000" w:themeColor="text1"/>
        </w:rPr>
        <w:instrText xml:space="preserve"> REF _Ref47525438 \r \h </w:instrText>
      </w:r>
      <w:r w:rsidR="006371AA"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3.34</w:t>
      </w:r>
      <w:r w:rsidRPr="00496A4D">
        <w:rPr>
          <w:color w:val="000000" w:themeColor="text1"/>
        </w:rPr>
        <w:fldChar w:fldCharType="end"/>
      </w:r>
      <w:r w:rsidRPr="00A52AB8">
        <w:rPr>
          <w:color w:val="000000" w:themeColor="text1"/>
        </w:rPr>
        <w:t xml:space="preserve">) with nal_layer_id equal to 0 is an </w:t>
      </w:r>
      <w:r w:rsidRPr="00A52AB8">
        <w:rPr>
          <w:i/>
          <w:iCs/>
          <w:color w:val="000000" w:themeColor="text1"/>
        </w:rPr>
        <w:t>IDR coded atlas</w:t>
      </w:r>
      <w:r w:rsidR="00487C30" w:rsidRPr="00A52AB8">
        <w:rPr>
          <w:color w:val="000000" w:themeColor="text1"/>
        </w:rPr>
        <w:t xml:space="preserve"> (</w:t>
      </w:r>
      <w:r w:rsidR="00487C30" w:rsidRPr="00496A4D">
        <w:rPr>
          <w:color w:val="000000" w:themeColor="text1"/>
        </w:rPr>
        <w:fldChar w:fldCharType="begin"/>
      </w:r>
      <w:r w:rsidR="00487C30" w:rsidRPr="00A52AB8">
        <w:rPr>
          <w:color w:val="000000" w:themeColor="text1"/>
        </w:rPr>
        <w:instrText xml:space="preserve"> REF _Ref49679174 \n \h </w:instrText>
      </w:r>
      <w:r w:rsidR="007478BA" w:rsidRPr="00A52AB8">
        <w:rPr>
          <w:color w:val="000000" w:themeColor="text1"/>
        </w:rPr>
        <w:instrText xml:space="preserve"> \* MERGEFORMAT </w:instrText>
      </w:r>
      <w:r w:rsidR="00487C30" w:rsidRPr="00496A4D">
        <w:rPr>
          <w:color w:val="000000" w:themeColor="text1"/>
        </w:rPr>
      </w:r>
      <w:r w:rsidR="00487C30" w:rsidRPr="00496A4D">
        <w:rPr>
          <w:color w:val="000000" w:themeColor="text1"/>
        </w:rPr>
        <w:fldChar w:fldCharType="separate"/>
      </w:r>
      <w:r w:rsidR="00507A67">
        <w:rPr>
          <w:color w:val="000000" w:themeColor="text1"/>
        </w:rPr>
        <w:t>3.76</w:t>
      </w:r>
      <w:r w:rsidR="00487C30" w:rsidRPr="00496A4D">
        <w:rPr>
          <w:color w:val="000000" w:themeColor="text1"/>
        </w:rPr>
        <w:fldChar w:fldCharType="end"/>
      </w:r>
      <w:r w:rsidR="00487C30" w:rsidRPr="00A52AB8">
        <w:rPr>
          <w:color w:val="000000" w:themeColor="text1"/>
        </w:rPr>
        <w:t>)</w:t>
      </w:r>
    </w:p>
    <w:p w14:paraId="1D35FA85" w14:textId="77777777" w:rsidR="00564EF6" w:rsidRPr="00A52AB8" w:rsidRDefault="00564EF6" w:rsidP="00E72F7E">
      <w:pPr>
        <w:pStyle w:val="TermHeading"/>
      </w:pPr>
      <w:bookmarkStart w:id="64" w:name="_Ref49679174"/>
    </w:p>
    <w:bookmarkEnd w:id="64"/>
    <w:p w14:paraId="3AD88B9F" w14:textId="77777777" w:rsidR="00564EF6" w:rsidRPr="00A52AB8" w:rsidRDefault="00564EF6" w:rsidP="00564EF6">
      <w:pPr>
        <w:pStyle w:val="Terms"/>
        <w:rPr>
          <w:color w:val="000000" w:themeColor="text1"/>
        </w:rPr>
      </w:pPr>
      <w:r w:rsidRPr="00A52AB8">
        <w:rPr>
          <w:color w:val="000000" w:themeColor="text1"/>
        </w:rPr>
        <w:t>instantaneous decoding refresh coded atlas</w:t>
      </w:r>
    </w:p>
    <w:p w14:paraId="33E1FBD3" w14:textId="77777777" w:rsidR="0050235C" w:rsidRPr="00A52AB8" w:rsidRDefault="00564EF6" w:rsidP="00564EF6">
      <w:pPr>
        <w:pStyle w:val="Terms"/>
        <w:rPr>
          <w:color w:val="000000" w:themeColor="text1"/>
        </w:rPr>
      </w:pPr>
      <w:r w:rsidRPr="00A52AB8">
        <w:rPr>
          <w:color w:val="000000" w:themeColor="text1"/>
        </w:rPr>
        <w:t>IDR</w:t>
      </w:r>
      <w:r w:rsidR="00D67C10" w:rsidRPr="00A52AB8">
        <w:rPr>
          <w:color w:val="000000" w:themeColor="text1"/>
        </w:rPr>
        <w:t xml:space="preserve"> </w:t>
      </w:r>
      <w:r w:rsidRPr="00A52AB8">
        <w:rPr>
          <w:color w:val="000000" w:themeColor="text1"/>
        </w:rPr>
        <w:t>coded atlas</w:t>
      </w:r>
    </w:p>
    <w:p w14:paraId="2E30DF7E" w14:textId="581E5BC9" w:rsidR="00564EF6" w:rsidRPr="00A52AB8" w:rsidRDefault="00564EF6" w:rsidP="00564EF6">
      <w:pPr>
        <w:pStyle w:val="Definition"/>
        <w:rPr>
          <w:color w:val="000000" w:themeColor="text1"/>
        </w:rPr>
      </w:pPr>
      <w:r w:rsidRPr="00A52AB8">
        <w:rPr>
          <w:i/>
          <w:iCs/>
          <w:color w:val="000000" w:themeColor="text1"/>
        </w:rPr>
        <w:t>IRAP coded atlas</w:t>
      </w:r>
      <w:r w:rsidRPr="00A52AB8">
        <w:rPr>
          <w:color w:val="000000" w:themeColor="text1"/>
        </w:rPr>
        <w:t xml:space="preserve"> </w:t>
      </w:r>
      <w:r w:rsidR="00121DE5" w:rsidRPr="00A52AB8">
        <w:rPr>
          <w:color w:val="000000" w:themeColor="text1"/>
        </w:rPr>
        <w:t>(</w:t>
      </w:r>
      <w:r w:rsidR="00C87605" w:rsidRPr="00496A4D">
        <w:rPr>
          <w:color w:val="000000" w:themeColor="text1"/>
        </w:rPr>
        <w:fldChar w:fldCharType="begin"/>
      </w:r>
      <w:r w:rsidR="00C87605" w:rsidRPr="00A52AB8">
        <w:rPr>
          <w:color w:val="000000" w:themeColor="text1"/>
        </w:rPr>
        <w:instrText xml:space="preserve"> REF _Ref49778170 \r \h </w:instrText>
      </w:r>
      <w:r w:rsidR="00007BE2" w:rsidRPr="00A52AB8">
        <w:rPr>
          <w:color w:val="000000" w:themeColor="text1"/>
        </w:rPr>
        <w:instrText xml:space="preserve"> \* MERGEFORMAT </w:instrText>
      </w:r>
      <w:r w:rsidR="00C87605" w:rsidRPr="00496A4D">
        <w:rPr>
          <w:color w:val="000000" w:themeColor="text1"/>
        </w:rPr>
      </w:r>
      <w:r w:rsidR="00C87605" w:rsidRPr="00496A4D">
        <w:rPr>
          <w:color w:val="000000" w:themeColor="text1"/>
        </w:rPr>
        <w:fldChar w:fldCharType="separate"/>
      </w:r>
      <w:r w:rsidR="00507A67">
        <w:rPr>
          <w:color w:val="000000" w:themeColor="text1"/>
        </w:rPr>
        <w:t>3.79</w:t>
      </w:r>
      <w:r w:rsidR="00C87605" w:rsidRPr="00496A4D">
        <w:rPr>
          <w:color w:val="000000" w:themeColor="text1"/>
        </w:rPr>
        <w:fldChar w:fldCharType="end"/>
      </w:r>
      <w:r w:rsidR="00121DE5" w:rsidRPr="00A52AB8">
        <w:rPr>
          <w:color w:val="000000" w:themeColor="text1"/>
        </w:rPr>
        <w:t xml:space="preserve">) </w:t>
      </w:r>
      <w:r w:rsidRPr="00A52AB8">
        <w:rPr>
          <w:color w:val="000000" w:themeColor="text1"/>
        </w:rPr>
        <w:t xml:space="preserve">for which each </w:t>
      </w:r>
      <w:r w:rsidRPr="00A52AB8">
        <w:rPr>
          <w:i/>
          <w:iCs/>
          <w:color w:val="000000" w:themeColor="text1"/>
        </w:rPr>
        <w:t>ACL NAL unit</w:t>
      </w:r>
      <w:r w:rsidRPr="00A52AB8">
        <w:rPr>
          <w:color w:val="000000" w:themeColor="text1"/>
        </w:rPr>
        <w:t xml:space="preserve"> </w:t>
      </w:r>
      <w:r w:rsidR="00487C30" w:rsidRPr="00A52AB8">
        <w:rPr>
          <w:color w:val="000000" w:themeColor="text1"/>
        </w:rPr>
        <w:t>(</w:t>
      </w:r>
      <w:r w:rsidR="00487C30" w:rsidRPr="00496A4D">
        <w:rPr>
          <w:color w:val="000000" w:themeColor="text1"/>
        </w:rPr>
        <w:fldChar w:fldCharType="begin"/>
      </w:r>
      <w:r w:rsidR="00487C30" w:rsidRPr="00A52AB8">
        <w:rPr>
          <w:color w:val="000000" w:themeColor="text1"/>
        </w:rPr>
        <w:instrText xml:space="preserve"> REF _Ref49013819 \n \h </w:instrText>
      </w:r>
      <w:r w:rsidR="007478BA" w:rsidRPr="00A52AB8">
        <w:rPr>
          <w:color w:val="000000" w:themeColor="text1"/>
        </w:rPr>
        <w:instrText xml:space="preserve"> \* MERGEFORMAT </w:instrText>
      </w:r>
      <w:r w:rsidR="00487C30" w:rsidRPr="00496A4D">
        <w:rPr>
          <w:color w:val="000000" w:themeColor="text1"/>
        </w:rPr>
      </w:r>
      <w:r w:rsidR="00487C30" w:rsidRPr="00496A4D">
        <w:rPr>
          <w:color w:val="000000" w:themeColor="text1"/>
        </w:rPr>
        <w:fldChar w:fldCharType="separate"/>
      </w:r>
      <w:r w:rsidR="00507A67">
        <w:rPr>
          <w:color w:val="000000" w:themeColor="text1"/>
        </w:rPr>
        <w:t>3.6</w:t>
      </w:r>
      <w:r w:rsidR="00487C30" w:rsidRPr="00496A4D">
        <w:rPr>
          <w:color w:val="000000" w:themeColor="text1"/>
        </w:rPr>
        <w:fldChar w:fldCharType="end"/>
      </w:r>
      <w:r w:rsidR="00487C30" w:rsidRPr="00A52AB8">
        <w:rPr>
          <w:color w:val="000000" w:themeColor="text1"/>
        </w:rPr>
        <w:t xml:space="preserve">) </w:t>
      </w:r>
      <w:r w:rsidRPr="00A52AB8">
        <w:rPr>
          <w:color w:val="000000" w:themeColor="text1"/>
        </w:rPr>
        <w:t>has nal_unit_type equal to NAL_IDR_W_RADL, or NAL_IDR_N_LP, NAL_GIDR_W_RADL, or NAL_GIDR_N_LP</w:t>
      </w:r>
    </w:p>
    <w:p w14:paraId="23FAB70C" w14:textId="77777777" w:rsidR="00564EF6" w:rsidRPr="00A52AB8" w:rsidRDefault="00564EF6" w:rsidP="00564EF6">
      <w:pPr>
        <w:pStyle w:val="Note1"/>
        <w:rPr>
          <w:rFonts w:ascii="Cambria" w:hAnsi="Cambria"/>
        </w:rPr>
      </w:pPr>
      <w:r w:rsidRPr="00A52AB8" w:rsidDel="00112A5D">
        <w:rPr>
          <w:rFonts w:ascii="Cambria" w:hAnsi="Cambria"/>
        </w:rPr>
        <w:t>NOTE – </w:t>
      </w:r>
      <w:r w:rsidRPr="00A52AB8">
        <w:rPr>
          <w:rFonts w:ascii="Cambria" w:hAnsi="Cambria"/>
        </w:rPr>
        <w:t>An IDR coded atlas does not refer to any atlases other than itself for inter prediction in its decoding process, and may be the first atlas in the bitstream in decoding order, or may appear later in the bitstream. Each IDR coded atlas is the first atlas of a CAS in decoding order. When an IDR coded atlas for which each ACL NAL unit has nal_unit_type equal to NAL_IDR_W_RADL or NAL_GIDR_W_RADL, it may have associated RADL coded atlases. When an IDR coded atlas for which each ACL NAL unit has nal_unit_type equal to NAL_IDR_N_LP or NAL_GIDR_N_LP, it does not have any associated leading coded atlases. An IDR coded atlas does not have associated RASL coded atlases.</w:t>
      </w:r>
    </w:p>
    <w:p w14:paraId="644D0BC4" w14:textId="77777777" w:rsidR="00564EF6" w:rsidRPr="00A52AB8" w:rsidRDefault="00564EF6" w:rsidP="00E72F7E">
      <w:pPr>
        <w:pStyle w:val="TermHeading"/>
      </w:pPr>
    </w:p>
    <w:p w14:paraId="7AC9582F" w14:textId="77777777" w:rsidR="00564EF6" w:rsidRPr="00A52AB8" w:rsidRDefault="00564EF6" w:rsidP="00564EF6">
      <w:pPr>
        <w:pStyle w:val="Terms"/>
        <w:rPr>
          <w:color w:val="000000" w:themeColor="text1"/>
        </w:rPr>
      </w:pPr>
      <w:r w:rsidRPr="00A52AB8">
        <w:rPr>
          <w:color w:val="000000" w:themeColor="text1"/>
        </w:rPr>
        <w:t>inter atlas tile</w:t>
      </w:r>
    </w:p>
    <w:p w14:paraId="1948F831" w14:textId="69494FBE" w:rsidR="00564EF6" w:rsidRPr="00A52AB8" w:rsidRDefault="00564EF6" w:rsidP="00564EF6">
      <w:pPr>
        <w:pStyle w:val="Definition"/>
      </w:pPr>
      <w:r w:rsidRPr="00A52AB8">
        <w:t xml:space="preserve">atlas tile that </w:t>
      </w:r>
      <w:r w:rsidR="008307B6" w:rsidRPr="00A52AB8">
        <w:t xml:space="preserve">may be </w:t>
      </w:r>
      <w:r w:rsidRPr="00A52AB8">
        <w:t>decoded using both intra or inter prediction methods</w:t>
      </w:r>
    </w:p>
    <w:p w14:paraId="1F661FAF" w14:textId="77777777" w:rsidR="00564EF6" w:rsidRPr="00A52AB8" w:rsidRDefault="00564EF6" w:rsidP="00E72F7E">
      <w:pPr>
        <w:pStyle w:val="TermHeading"/>
      </w:pPr>
    </w:p>
    <w:p w14:paraId="2BDA32AD" w14:textId="77777777" w:rsidR="00564EF6" w:rsidRPr="00A52AB8" w:rsidRDefault="00564EF6" w:rsidP="00564EF6">
      <w:pPr>
        <w:pStyle w:val="Terms"/>
        <w:rPr>
          <w:color w:val="000000" w:themeColor="text1"/>
        </w:rPr>
      </w:pPr>
      <w:r w:rsidRPr="00A52AB8">
        <w:rPr>
          <w:color w:val="000000" w:themeColor="text1"/>
        </w:rPr>
        <w:t>intra atlas tile</w:t>
      </w:r>
    </w:p>
    <w:p w14:paraId="6CD6CFDE" w14:textId="1F5D2624" w:rsidR="00564EF6" w:rsidRPr="00A52AB8" w:rsidRDefault="00564EF6" w:rsidP="00564EF6">
      <w:pPr>
        <w:pStyle w:val="Definition"/>
      </w:pPr>
      <w:r w:rsidRPr="00A52AB8">
        <w:t>atlas tile that is decoded using only intra prediction methods</w:t>
      </w:r>
    </w:p>
    <w:p w14:paraId="5D1BB509" w14:textId="77777777" w:rsidR="00416651" w:rsidRPr="00A52AB8" w:rsidRDefault="00416651" w:rsidP="00E72F7E">
      <w:pPr>
        <w:keepNext/>
        <w:widowControl w:val="0"/>
        <w:numPr>
          <w:ilvl w:val="1"/>
          <w:numId w:val="65"/>
        </w:numPr>
        <w:tabs>
          <w:tab w:val="clear" w:pos="403"/>
          <w:tab w:val="clear" w:pos="1613"/>
          <w:tab w:val="left" w:pos="1588"/>
          <w:tab w:val="left" w:pos="1985"/>
        </w:tabs>
        <w:overflowPunct w:val="0"/>
        <w:autoSpaceDE w:val="0"/>
        <w:autoSpaceDN w:val="0"/>
        <w:adjustRightInd w:val="0"/>
        <w:spacing w:before="136" w:after="0" w:line="240" w:lineRule="auto"/>
        <w:ind w:left="794" w:hanging="794"/>
        <w:textAlignment w:val="baseline"/>
        <w:rPr>
          <w:color w:val="000000" w:themeColor="text1"/>
        </w:rPr>
      </w:pPr>
      <w:bookmarkStart w:id="65" w:name="_Ref49778170"/>
    </w:p>
    <w:bookmarkEnd w:id="65"/>
    <w:p w14:paraId="51204AF3" w14:textId="44F3EEC4" w:rsidR="00564EF6" w:rsidRPr="00A52AB8" w:rsidRDefault="00564EF6" w:rsidP="00564EF6">
      <w:pPr>
        <w:pStyle w:val="Terms"/>
        <w:rPr>
          <w:color w:val="000000" w:themeColor="text1"/>
        </w:rPr>
      </w:pPr>
      <w:r w:rsidRPr="00A52AB8">
        <w:rPr>
          <w:color w:val="000000" w:themeColor="text1"/>
        </w:rPr>
        <w:t>intra random access point coded atlas</w:t>
      </w:r>
    </w:p>
    <w:p w14:paraId="08DF6A8A" w14:textId="6779924E" w:rsidR="0050235C" w:rsidRPr="00A52AB8" w:rsidRDefault="00564EF6" w:rsidP="00564EF6">
      <w:pPr>
        <w:pStyle w:val="Terms"/>
        <w:rPr>
          <w:color w:val="000000" w:themeColor="text1"/>
        </w:rPr>
      </w:pPr>
      <w:r w:rsidRPr="00A52AB8">
        <w:rPr>
          <w:color w:val="000000" w:themeColor="text1"/>
        </w:rPr>
        <w:t>IRAP coded atlas</w:t>
      </w:r>
    </w:p>
    <w:p w14:paraId="038912D5" w14:textId="0BC628CE" w:rsidR="000E19C2" w:rsidRPr="00A52AB8" w:rsidRDefault="000E19C2" w:rsidP="000E19C2">
      <w:pPr>
        <w:pStyle w:val="Terms"/>
        <w:rPr>
          <w:color w:val="000000" w:themeColor="text1"/>
        </w:rPr>
      </w:pPr>
      <w:r w:rsidRPr="00A52AB8">
        <w:rPr>
          <w:color w:val="000000" w:themeColor="text1"/>
        </w:rPr>
        <w:t>IRAP coded atlas frame</w:t>
      </w:r>
    </w:p>
    <w:p w14:paraId="0D7522C5" w14:textId="515F61AE" w:rsidR="00564EF6" w:rsidRPr="00A52AB8" w:rsidRDefault="00564EF6" w:rsidP="00564EF6">
      <w:pPr>
        <w:pStyle w:val="Definition"/>
        <w:rPr>
          <w:color w:val="000000" w:themeColor="text1"/>
        </w:rPr>
      </w:pPr>
      <w:r w:rsidRPr="00A52AB8">
        <w:rPr>
          <w:i/>
          <w:iCs/>
          <w:color w:val="000000" w:themeColor="text1"/>
        </w:rPr>
        <w:t>coded atlas</w:t>
      </w:r>
      <w:r w:rsidR="00121DE5" w:rsidRPr="00A52AB8">
        <w:rPr>
          <w:i/>
          <w:iCs/>
          <w:color w:val="000000" w:themeColor="text1"/>
        </w:rPr>
        <w:t xml:space="preserve"> </w:t>
      </w:r>
      <w:r w:rsidR="00121DE5" w:rsidRPr="00A52AB8">
        <w:rPr>
          <w:color w:val="000000" w:themeColor="text1"/>
        </w:rPr>
        <w:t>(</w:t>
      </w:r>
      <w:r w:rsidR="00121DE5" w:rsidRPr="00496A4D">
        <w:rPr>
          <w:color w:val="000000" w:themeColor="text1"/>
        </w:rPr>
        <w:fldChar w:fldCharType="begin"/>
      </w:r>
      <w:r w:rsidR="00121DE5" w:rsidRPr="00A52AB8">
        <w:rPr>
          <w:color w:val="000000" w:themeColor="text1"/>
        </w:rPr>
        <w:instrText xml:space="preserve"> REF _Ref47525438 \r \h  \* MERGEFORMAT </w:instrText>
      </w:r>
      <w:r w:rsidR="00121DE5" w:rsidRPr="00496A4D">
        <w:rPr>
          <w:color w:val="000000" w:themeColor="text1"/>
        </w:rPr>
      </w:r>
      <w:r w:rsidR="00121DE5" w:rsidRPr="00496A4D">
        <w:rPr>
          <w:color w:val="000000" w:themeColor="text1"/>
        </w:rPr>
        <w:fldChar w:fldCharType="separate"/>
      </w:r>
      <w:r w:rsidR="00507A67">
        <w:rPr>
          <w:color w:val="000000" w:themeColor="text1"/>
        </w:rPr>
        <w:t>3.34</w:t>
      </w:r>
      <w:r w:rsidR="00121DE5" w:rsidRPr="00496A4D">
        <w:rPr>
          <w:color w:val="000000" w:themeColor="text1"/>
        </w:rPr>
        <w:fldChar w:fldCharType="end"/>
      </w:r>
      <w:r w:rsidR="00121DE5" w:rsidRPr="00A52AB8">
        <w:rPr>
          <w:color w:val="000000" w:themeColor="text1"/>
        </w:rPr>
        <w:t xml:space="preserve">) </w:t>
      </w:r>
      <w:r w:rsidRPr="00A52AB8">
        <w:rPr>
          <w:color w:val="000000" w:themeColor="text1"/>
        </w:rPr>
        <w:t xml:space="preserve">for which each </w:t>
      </w:r>
      <w:r w:rsidRPr="00A52AB8">
        <w:rPr>
          <w:i/>
          <w:iCs/>
          <w:color w:val="000000" w:themeColor="text1"/>
        </w:rPr>
        <w:t>ACL NAL unit</w:t>
      </w:r>
      <w:r w:rsidRPr="00A52AB8">
        <w:rPr>
          <w:color w:val="000000" w:themeColor="text1"/>
        </w:rPr>
        <w:t xml:space="preserve"> </w:t>
      </w:r>
      <w:r w:rsidR="008307B6" w:rsidRPr="00A52AB8">
        <w:rPr>
          <w:color w:val="000000" w:themeColor="text1"/>
        </w:rPr>
        <w:t>(</w:t>
      </w:r>
      <w:r w:rsidR="008307B6" w:rsidRPr="00496A4D">
        <w:rPr>
          <w:color w:val="000000" w:themeColor="text1"/>
        </w:rPr>
        <w:fldChar w:fldCharType="begin"/>
      </w:r>
      <w:r w:rsidR="008307B6" w:rsidRPr="00A52AB8">
        <w:rPr>
          <w:color w:val="000000" w:themeColor="text1"/>
        </w:rPr>
        <w:instrText xml:space="preserve"> REF _Ref49013819 \n \h </w:instrText>
      </w:r>
      <w:r w:rsidR="007478BA" w:rsidRPr="00A52AB8">
        <w:rPr>
          <w:color w:val="000000" w:themeColor="text1"/>
        </w:rPr>
        <w:instrText xml:space="preserve"> \* MERGEFORMAT </w:instrText>
      </w:r>
      <w:r w:rsidR="008307B6" w:rsidRPr="00496A4D">
        <w:rPr>
          <w:color w:val="000000" w:themeColor="text1"/>
        </w:rPr>
      </w:r>
      <w:r w:rsidR="008307B6" w:rsidRPr="00496A4D">
        <w:rPr>
          <w:color w:val="000000" w:themeColor="text1"/>
        </w:rPr>
        <w:fldChar w:fldCharType="separate"/>
      </w:r>
      <w:r w:rsidR="00507A67">
        <w:rPr>
          <w:color w:val="000000" w:themeColor="text1"/>
        </w:rPr>
        <w:t>3.6</w:t>
      </w:r>
      <w:r w:rsidR="008307B6" w:rsidRPr="00496A4D">
        <w:rPr>
          <w:color w:val="000000" w:themeColor="text1"/>
        </w:rPr>
        <w:fldChar w:fldCharType="end"/>
      </w:r>
      <w:r w:rsidR="008307B6" w:rsidRPr="00A52AB8">
        <w:rPr>
          <w:color w:val="000000" w:themeColor="text1"/>
        </w:rPr>
        <w:t xml:space="preserve">) </w:t>
      </w:r>
      <w:r w:rsidRPr="00A52AB8">
        <w:rPr>
          <w:color w:val="000000" w:themeColor="text1"/>
        </w:rPr>
        <w:t>has nal_unit_type in the range of NAL_BLA_W_LP to NAL_RSV_IRAP_ACL_29, inclusive</w:t>
      </w:r>
    </w:p>
    <w:p w14:paraId="77ABFA22" w14:textId="2BC4BF10" w:rsidR="0050235C" w:rsidRPr="00A52AB8" w:rsidRDefault="00564EF6">
      <w:pPr>
        <w:pStyle w:val="Note1"/>
        <w:rPr>
          <w:rFonts w:ascii="Cambria" w:hAnsi="Cambria"/>
        </w:rPr>
      </w:pPr>
      <w:r w:rsidRPr="00A52AB8" w:rsidDel="00112A5D">
        <w:rPr>
          <w:rFonts w:ascii="Cambria" w:hAnsi="Cambria"/>
        </w:rPr>
        <w:t>NOTE – </w:t>
      </w:r>
      <w:r w:rsidRPr="00A52AB8">
        <w:rPr>
          <w:rFonts w:ascii="Cambria" w:hAnsi="Cambria"/>
        </w:rPr>
        <w:t xml:space="preserve">An IRAP coded atlas does not refer to any coded atlases other than itself for prediction in its decoding process, and may be a BLA coded atlas, a CRA coded atlas, </w:t>
      </w:r>
      <w:r w:rsidR="000C1ACB" w:rsidRPr="00A52AB8">
        <w:rPr>
          <w:rFonts w:ascii="Cambria" w:hAnsi="Cambria"/>
        </w:rPr>
        <w:t xml:space="preserve">or </w:t>
      </w:r>
      <w:r w:rsidRPr="00A52AB8">
        <w:rPr>
          <w:rFonts w:ascii="Cambria" w:hAnsi="Cambria"/>
        </w:rPr>
        <w:t xml:space="preserve">an IDR coded atlas. Provided the necessary parameter sets are available when they need to be activated, the IRAP coded atlas and all subsequent non-RASL coded atlas in decoding order can be </w:t>
      </w:r>
      <w:r w:rsidRPr="00A52AB8">
        <w:rPr>
          <w:rFonts w:ascii="Cambria" w:hAnsi="Cambria"/>
        </w:rPr>
        <w:lastRenderedPageBreak/>
        <w:t>correctly decoded without performing the decoding process of any coded atlases that precede the IRAP coded atlas in decoding order.</w:t>
      </w:r>
    </w:p>
    <w:p w14:paraId="4025C8A6" w14:textId="77777777" w:rsidR="00F560F8" w:rsidRPr="00A52AB8" w:rsidRDefault="00F560F8" w:rsidP="00E72F7E">
      <w:pPr>
        <w:pStyle w:val="TermHeading"/>
      </w:pPr>
      <w:bookmarkStart w:id="66" w:name="_Ref49678876"/>
    </w:p>
    <w:bookmarkEnd w:id="66"/>
    <w:p w14:paraId="048F53FC" w14:textId="090717CA" w:rsidR="00F560F8" w:rsidRPr="00A52AB8" w:rsidRDefault="00F560F8" w:rsidP="00F560F8">
      <w:pPr>
        <w:pStyle w:val="Terms"/>
        <w:rPr>
          <w:color w:val="000000" w:themeColor="text1"/>
        </w:rPr>
      </w:pPr>
      <w:r w:rsidRPr="00A52AB8">
        <w:rPr>
          <w:color w:val="000000" w:themeColor="text1"/>
        </w:rPr>
        <w:t>intra random access point coded atlas access unit</w:t>
      </w:r>
    </w:p>
    <w:p w14:paraId="0995AF8F" w14:textId="0D05000D" w:rsidR="00F560F8" w:rsidRPr="00A52AB8" w:rsidRDefault="00F560F8" w:rsidP="00F560F8">
      <w:pPr>
        <w:pStyle w:val="Terms"/>
        <w:rPr>
          <w:color w:val="000000" w:themeColor="text1"/>
        </w:rPr>
      </w:pPr>
      <w:r w:rsidRPr="00A52AB8">
        <w:rPr>
          <w:color w:val="000000" w:themeColor="text1"/>
        </w:rPr>
        <w:t>IRAP coded atlas access unit</w:t>
      </w:r>
    </w:p>
    <w:p w14:paraId="791FC264" w14:textId="69C3A8FD" w:rsidR="00F560F8" w:rsidRPr="00A52AB8" w:rsidRDefault="00F560F8" w:rsidP="00F560F8">
      <w:pPr>
        <w:pStyle w:val="Definition"/>
        <w:rPr>
          <w:color w:val="000000" w:themeColor="text1"/>
        </w:rPr>
      </w:pPr>
      <w:r w:rsidRPr="00A52AB8">
        <w:rPr>
          <w:iCs/>
          <w:color w:val="000000" w:themeColor="text1"/>
        </w:rPr>
        <w:t>access unit</w:t>
      </w:r>
      <w:r w:rsidRPr="00A52AB8">
        <w:rPr>
          <w:i/>
          <w:iCs/>
          <w:color w:val="000000" w:themeColor="text1"/>
        </w:rPr>
        <w:t xml:space="preserve"> </w:t>
      </w:r>
      <w:r w:rsidRPr="00A52AB8">
        <w:rPr>
          <w:iCs/>
          <w:color w:val="000000" w:themeColor="text1"/>
        </w:rPr>
        <w:t xml:space="preserve">in which the </w:t>
      </w:r>
      <w:r w:rsidRPr="00A52AB8">
        <w:rPr>
          <w:i/>
          <w:iCs/>
          <w:color w:val="000000" w:themeColor="text1"/>
        </w:rPr>
        <w:t xml:space="preserve">coded atlas </w:t>
      </w:r>
      <w:r w:rsidRPr="00A52AB8">
        <w:rPr>
          <w:color w:val="000000" w:themeColor="text1"/>
        </w:rPr>
        <w:t>(</w:t>
      </w:r>
      <w:r w:rsidRPr="00496A4D">
        <w:rPr>
          <w:color w:val="000000" w:themeColor="text1"/>
        </w:rPr>
        <w:fldChar w:fldCharType="begin"/>
      </w:r>
      <w:r w:rsidRPr="00A52AB8">
        <w:rPr>
          <w:color w:val="000000" w:themeColor="text1"/>
        </w:rPr>
        <w:instrText xml:space="preserve"> REF _Ref47525438 \r \h  </w:instrText>
      </w:r>
      <w:r w:rsidR="007478BA"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3.34</w:t>
      </w:r>
      <w:r w:rsidRPr="00496A4D">
        <w:rPr>
          <w:color w:val="000000" w:themeColor="text1"/>
        </w:rPr>
        <w:fldChar w:fldCharType="end"/>
      </w:r>
      <w:r w:rsidRPr="00A52AB8">
        <w:rPr>
          <w:color w:val="000000" w:themeColor="text1"/>
        </w:rPr>
        <w:t>) with nal_layer_id equal to 0 is a</w:t>
      </w:r>
      <w:r w:rsidR="00047562" w:rsidRPr="00A52AB8">
        <w:rPr>
          <w:color w:val="000000" w:themeColor="text1"/>
        </w:rPr>
        <w:t>n</w:t>
      </w:r>
      <w:r w:rsidRPr="00A52AB8">
        <w:rPr>
          <w:color w:val="000000" w:themeColor="text1"/>
        </w:rPr>
        <w:t xml:space="preserve"> </w:t>
      </w:r>
      <w:r w:rsidRPr="00A52AB8">
        <w:rPr>
          <w:i/>
          <w:color w:val="000000" w:themeColor="text1"/>
        </w:rPr>
        <w:t>IRAP coded atlas</w:t>
      </w:r>
      <w:r w:rsidRPr="00A52AB8">
        <w:rPr>
          <w:color w:val="000000" w:themeColor="text1"/>
        </w:rPr>
        <w:t xml:space="preserve"> (</w:t>
      </w:r>
      <w:r w:rsidRPr="00496A4D">
        <w:rPr>
          <w:color w:val="000000" w:themeColor="text1"/>
        </w:rPr>
        <w:fldChar w:fldCharType="begin"/>
      </w:r>
      <w:r w:rsidRPr="00A52AB8">
        <w:rPr>
          <w:color w:val="000000" w:themeColor="text1"/>
        </w:rPr>
        <w:instrText xml:space="preserve"> REF _Ref49778170 \r \h </w:instrText>
      </w:r>
      <w:r w:rsidR="007478BA"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3.79</w:t>
      </w:r>
      <w:r w:rsidRPr="00496A4D">
        <w:rPr>
          <w:color w:val="000000" w:themeColor="text1"/>
        </w:rPr>
        <w:fldChar w:fldCharType="end"/>
      </w:r>
      <w:r w:rsidRPr="00A52AB8">
        <w:rPr>
          <w:color w:val="000000" w:themeColor="text1"/>
        </w:rPr>
        <w:t>)</w:t>
      </w:r>
    </w:p>
    <w:p w14:paraId="2AB7ACBF" w14:textId="77777777" w:rsidR="00047562" w:rsidRPr="00A52AB8" w:rsidRDefault="00047562" w:rsidP="00E72F7E">
      <w:pPr>
        <w:pStyle w:val="TermHeading"/>
      </w:pPr>
      <w:bookmarkStart w:id="67" w:name="_Ref51767919"/>
      <w:bookmarkStart w:id="68" w:name="_Ref48984989"/>
    </w:p>
    <w:bookmarkEnd w:id="67"/>
    <w:p w14:paraId="636AD78D" w14:textId="46FE366E" w:rsidR="00047562" w:rsidRPr="00A52AB8" w:rsidRDefault="00047562" w:rsidP="00047562">
      <w:pPr>
        <w:pStyle w:val="Terms"/>
        <w:rPr>
          <w:color w:val="000000" w:themeColor="text1"/>
        </w:rPr>
      </w:pPr>
      <w:r w:rsidRPr="00A52AB8">
        <w:rPr>
          <w:color w:val="000000" w:themeColor="text1"/>
        </w:rPr>
        <w:t>intra random access point coded common atlas frame</w:t>
      </w:r>
    </w:p>
    <w:p w14:paraId="5F351CB5" w14:textId="1498F16A" w:rsidR="00047562" w:rsidRPr="00A52AB8" w:rsidRDefault="00047562" w:rsidP="00047562">
      <w:pPr>
        <w:pStyle w:val="Terms"/>
        <w:rPr>
          <w:color w:val="000000" w:themeColor="text1"/>
        </w:rPr>
      </w:pPr>
      <w:r w:rsidRPr="00A52AB8">
        <w:rPr>
          <w:color w:val="000000" w:themeColor="text1"/>
        </w:rPr>
        <w:t>IRAP coded common atlas frame</w:t>
      </w:r>
    </w:p>
    <w:p w14:paraId="1A9CEEAA" w14:textId="5C446A22" w:rsidR="00625925" w:rsidRPr="00A52AB8" w:rsidRDefault="00047562" w:rsidP="00625925">
      <w:pPr>
        <w:pStyle w:val="Definition"/>
      </w:pPr>
      <w:r w:rsidRPr="00A52AB8">
        <w:rPr>
          <w:i/>
          <w:iCs/>
          <w:color w:val="000000" w:themeColor="text1"/>
        </w:rPr>
        <w:t xml:space="preserve">coded common atlas frame </w:t>
      </w:r>
      <w:r w:rsidRPr="00A52AB8">
        <w:rPr>
          <w:color w:val="000000" w:themeColor="text1"/>
        </w:rPr>
        <w:t>(</w:t>
      </w:r>
      <w:r w:rsidRPr="00496A4D">
        <w:rPr>
          <w:color w:val="000000" w:themeColor="text1"/>
        </w:rPr>
        <w:fldChar w:fldCharType="begin"/>
      </w:r>
      <w:r w:rsidRPr="00A52AB8">
        <w:rPr>
          <w:color w:val="000000" w:themeColor="text1"/>
        </w:rPr>
        <w:instrText xml:space="preserve"> REF _Ref51767554 \r \h </w:instrText>
      </w:r>
      <w:r w:rsidRPr="00496A4D">
        <w:rPr>
          <w:color w:val="000000" w:themeColor="text1"/>
        </w:rPr>
      </w:r>
      <w:r w:rsidRPr="00496A4D">
        <w:rPr>
          <w:color w:val="000000" w:themeColor="text1"/>
        </w:rPr>
        <w:fldChar w:fldCharType="separate"/>
      </w:r>
      <w:r w:rsidR="00507A67">
        <w:rPr>
          <w:color w:val="000000" w:themeColor="text1"/>
        </w:rPr>
        <w:t>3.38</w:t>
      </w:r>
      <w:r w:rsidRPr="00496A4D">
        <w:rPr>
          <w:color w:val="000000" w:themeColor="text1"/>
        </w:rPr>
        <w:fldChar w:fldCharType="end"/>
      </w:r>
      <w:r w:rsidRPr="00A52AB8">
        <w:rPr>
          <w:color w:val="000000" w:themeColor="text1"/>
        </w:rPr>
        <w:t xml:space="preserve">) </w:t>
      </w:r>
      <w:r w:rsidR="00625925" w:rsidRPr="00A52AB8">
        <w:rPr>
          <w:color w:val="000000" w:themeColor="text1"/>
        </w:rPr>
        <w:t xml:space="preserve">that </w:t>
      </w:r>
      <w:r w:rsidR="00F260AF" w:rsidRPr="00A52AB8">
        <w:rPr>
          <w:color w:val="000000" w:themeColor="text1"/>
        </w:rPr>
        <w:t xml:space="preserve">replaces all </w:t>
      </w:r>
      <w:r w:rsidR="00625925" w:rsidRPr="00A52AB8">
        <w:t>common information (e.g. projection parameters)</w:t>
      </w:r>
    </w:p>
    <w:p w14:paraId="5E1C6F76" w14:textId="77777777" w:rsidR="00047562" w:rsidRPr="00A52AB8" w:rsidRDefault="00047562" w:rsidP="00E72F7E">
      <w:pPr>
        <w:pStyle w:val="TermHeading"/>
      </w:pPr>
      <w:bookmarkStart w:id="69" w:name="_Ref51768215"/>
    </w:p>
    <w:bookmarkEnd w:id="69"/>
    <w:p w14:paraId="03ECF9AE" w14:textId="482F9238" w:rsidR="00047562" w:rsidRPr="00A52AB8" w:rsidRDefault="00047562" w:rsidP="00047562">
      <w:pPr>
        <w:pStyle w:val="Terms"/>
        <w:rPr>
          <w:color w:val="000000" w:themeColor="text1"/>
        </w:rPr>
      </w:pPr>
      <w:r w:rsidRPr="00A52AB8">
        <w:rPr>
          <w:color w:val="000000" w:themeColor="text1"/>
        </w:rPr>
        <w:t>intra random access point coded common atlas access unit</w:t>
      </w:r>
    </w:p>
    <w:p w14:paraId="35334CB2" w14:textId="1744A77D" w:rsidR="00047562" w:rsidRPr="00A52AB8" w:rsidRDefault="00047562" w:rsidP="00047562">
      <w:pPr>
        <w:pStyle w:val="Terms"/>
        <w:rPr>
          <w:color w:val="000000" w:themeColor="text1"/>
        </w:rPr>
      </w:pPr>
      <w:r w:rsidRPr="00A52AB8">
        <w:rPr>
          <w:color w:val="000000" w:themeColor="text1"/>
        </w:rPr>
        <w:t>IRAP coded common atlas access unit</w:t>
      </w:r>
    </w:p>
    <w:p w14:paraId="0C122342" w14:textId="122A69DF" w:rsidR="00047562" w:rsidRPr="00A52AB8" w:rsidRDefault="00047562" w:rsidP="00047562">
      <w:pPr>
        <w:pStyle w:val="Definition"/>
        <w:rPr>
          <w:color w:val="000000" w:themeColor="text1"/>
        </w:rPr>
      </w:pPr>
      <w:r w:rsidRPr="00A52AB8">
        <w:rPr>
          <w:iCs/>
          <w:color w:val="000000" w:themeColor="text1"/>
        </w:rPr>
        <w:t>access unit</w:t>
      </w:r>
      <w:r w:rsidRPr="00A52AB8">
        <w:rPr>
          <w:i/>
          <w:iCs/>
          <w:color w:val="000000" w:themeColor="text1"/>
        </w:rPr>
        <w:t xml:space="preserve"> </w:t>
      </w:r>
      <w:r w:rsidRPr="00A52AB8">
        <w:rPr>
          <w:iCs/>
          <w:color w:val="000000" w:themeColor="text1"/>
        </w:rPr>
        <w:t xml:space="preserve">in which the </w:t>
      </w:r>
      <w:r w:rsidRPr="00A52AB8">
        <w:rPr>
          <w:i/>
          <w:iCs/>
          <w:color w:val="000000" w:themeColor="text1"/>
        </w:rPr>
        <w:t xml:space="preserve">coded common atlas frame </w:t>
      </w:r>
      <w:r w:rsidRPr="00A52AB8">
        <w:rPr>
          <w:color w:val="000000" w:themeColor="text1"/>
        </w:rPr>
        <w:t>(</w:t>
      </w:r>
      <w:r w:rsidRPr="00496A4D">
        <w:rPr>
          <w:color w:val="000000" w:themeColor="text1"/>
        </w:rPr>
        <w:fldChar w:fldCharType="begin"/>
      </w:r>
      <w:r w:rsidRPr="00A52AB8">
        <w:rPr>
          <w:color w:val="000000" w:themeColor="text1"/>
        </w:rPr>
        <w:instrText xml:space="preserve"> REF _Ref51767554 \r \h </w:instrText>
      </w:r>
      <w:r w:rsidRPr="00496A4D">
        <w:rPr>
          <w:color w:val="000000" w:themeColor="text1"/>
        </w:rPr>
      </w:r>
      <w:r w:rsidRPr="00496A4D">
        <w:rPr>
          <w:color w:val="000000" w:themeColor="text1"/>
        </w:rPr>
        <w:fldChar w:fldCharType="separate"/>
      </w:r>
      <w:r w:rsidR="00507A67">
        <w:rPr>
          <w:color w:val="000000" w:themeColor="text1"/>
        </w:rPr>
        <w:t>3.38</w:t>
      </w:r>
      <w:r w:rsidRPr="00496A4D">
        <w:rPr>
          <w:color w:val="000000" w:themeColor="text1"/>
        </w:rPr>
        <w:fldChar w:fldCharType="end"/>
      </w:r>
      <w:r w:rsidRPr="00A52AB8">
        <w:rPr>
          <w:color w:val="000000" w:themeColor="text1"/>
        </w:rPr>
        <w:t xml:space="preserve">) with nal_layer_id equal to 0 is an </w:t>
      </w:r>
      <w:r w:rsidRPr="00A52AB8">
        <w:rPr>
          <w:i/>
          <w:color w:val="000000" w:themeColor="text1"/>
        </w:rPr>
        <w:t xml:space="preserve">IRAP coded </w:t>
      </w:r>
      <w:r w:rsidR="002C66F9" w:rsidRPr="00A52AB8">
        <w:rPr>
          <w:i/>
          <w:color w:val="000000" w:themeColor="text1"/>
        </w:rPr>
        <w:t xml:space="preserve">common </w:t>
      </w:r>
      <w:r w:rsidRPr="00A52AB8">
        <w:rPr>
          <w:i/>
          <w:color w:val="000000" w:themeColor="text1"/>
        </w:rPr>
        <w:t>atlas frame</w:t>
      </w:r>
      <w:r w:rsidRPr="00A52AB8">
        <w:rPr>
          <w:color w:val="000000" w:themeColor="text1"/>
        </w:rPr>
        <w:t xml:space="preserve"> (</w:t>
      </w:r>
      <w:r w:rsidR="002C66F9" w:rsidRPr="00496A4D">
        <w:rPr>
          <w:color w:val="000000" w:themeColor="text1"/>
        </w:rPr>
        <w:fldChar w:fldCharType="begin"/>
      </w:r>
      <w:r w:rsidR="002C66F9" w:rsidRPr="00A52AB8">
        <w:rPr>
          <w:color w:val="000000" w:themeColor="text1"/>
        </w:rPr>
        <w:instrText xml:space="preserve"> REF _Ref51767919 \r \h </w:instrText>
      </w:r>
      <w:r w:rsidR="002C66F9" w:rsidRPr="00496A4D">
        <w:rPr>
          <w:color w:val="000000" w:themeColor="text1"/>
        </w:rPr>
      </w:r>
      <w:r w:rsidR="002C66F9" w:rsidRPr="00496A4D">
        <w:rPr>
          <w:color w:val="000000" w:themeColor="text1"/>
        </w:rPr>
        <w:fldChar w:fldCharType="separate"/>
      </w:r>
      <w:r w:rsidR="00507A67">
        <w:rPr>
          <w:color w:val="000000" w:themeColor="text1"/>
        </w:rPr>
        <w:t>3.81</w:t>
      </w:r>
      <w:r w:rsidR="002C66F9" w:rsidRPr="00496A4D">
        <w:rPr>
          <w:color w:val="000000" w:themeColor="text1"/>
        </w:rPr>
        <w:fldChar w:fldCharType="end"/>
      </w:r>
      <w:r w:rsidRPr="00A52AB8">
        <w:rPr>
          <w:color w:val="000000" w:themeColor="text1"/>
        </w:rPr>
        <w:t>)</w:t>
      </w:r>
    </w:p>
    <w:p w14:paraId="626BBAE6" w14:textId="69C9A42B" w:rsidR="008C0A27" w:rsidRPr="00A52AB8" w:rsidRDefault="008C0A27" w:rsidP="00E72F7E">
      <w:pPr>
        <w:pStyle w:val="TermHeading"/>
      </w:pPr>
    </w:p>
    <w:bookmarkEnd w:id="68"/>
    <w:p w14:paraId="59EDEC02" w14:textId="77777777" w:rsidR="008C0A27" w:rsidRPr="00A52AB8" w:rsidRDefault="008C0A27" w:rsidP="008C0A27">
      <w:pPr>
        <w:pStyle w:val="Terms"/>
        <w:rPr>
          <w:color w:val="000000" w:themeColor="text1"/>
        </w:rPr>
      </w:pPr>
      <w:r w:rsidRPr="00A52AB8">
        <w:rPr>
          <w:color w:val="000000" w:themeColor="text1"/>
        </w:rPr>
        <w:t>multi-component collection of V3C sub-bitstreams</w:t>
      </w:r>
    </w:p>
    <w:p w14:paraId="1783FC7E" w14:textId="3BAAC0FA" w:rsidR="008C0A27" w:rsidRPr="00A52AB8" w:rsidRDefault="008C0A27" w:rsidP="008C0A27">
      <w:pPr>
        <w:pStyle w:val="Definition"/>
        <w:rPr>
          <w:rFonts w:cs="Calibri"/>
        </w:rPr>
      </w:pPr>
      <w:r w:rsidRPr="00A52AB8">
        <w:rPr>
          <w:rFonts w:cs="Calibri"/>
          <w:i/>
          <w:iCs/>
        </w:rPr>
        <w:t>V3C sub-bitstreams</w:t>
      </w:r>
      <w:r w:rsidRPr="00A52AB8">
        <w:rPr>
          <w:rFonts w:cs="Calibri"/>
        </w:rPr>
        <w:t xml:space="preserve"> (</w:t>
      </w:r>
      <w:r w:rsidRPr="00496A4D">
        <w:rPr>
          <w:rFonts w:cs="Calibri"/>
        </w:rPr>
        <w:fldChar w:fldCharType="begin"/>
      </w:r>
      <w:r w:rsidRPr="00A52AB8">
        <w:rPr>
          <w:rFonts w:cs="Calibri"/>
        </w:rPr>
        <w:instrText xml:space="preserve"> REF _Ref47524909 \r \h  \* MERGEFORMAT </w:instrText>
      </w:r>
      <w:r w:rsidRPr="00496A4D">
        <w:rPr>
          <w:rFonts w:cs="Calibri"/>
        </w:rPr>
      </w:r>
      <w:r w:rsidRPr="00496A4D">
        <w:rPr>
          <w:rFonts w:cs="Calibri"/>
        </w:rPr>
        <w:fldChar w:fldCharType="separate"/>
      </w:r>
      <w:r w:rsidR="00507A67">
        <w:rPr>
          <w:rFonts w:cs="Calibri"/>
        </w:rPr>
        <w:t>3.143</w:t>
      </w:r>
      <w:r w:rsidRPr="00496A4D">
        <w:rPr>
          <w:rFonts w:cs="Calibri"/>
        </w:rPr>
        <w:fldChar w:fldCharType="end"/>
      </w:r>
      <w:r w:rsidRPr="00A52AB8">
        <w:rPr>
          <w:rFonts w:cs="Calibri"/>
        </w:rPr>
        <w:t xml:space="preserve">) of multiple </w:t>
      </w:r>
      <w:r w:rsidRPr="00A52AB8">
        <w:rPr>
          <w:rFonts w:cs="Calibri"/>
          <w:i/>
          <w:iCs/>
        </w:rPr>
        <w:t>V3C components</w:t>
      </w:r>
      <w:r w:rsidRPr="00A52AB8">
        <w:rPr>
          <w:rFonts w:cs="Calibri"/>
        </w:rPr>
        <w:t xml:space="preserve"> (</w:t>
      </w:r>
      <w:r w:rsidRPr="00496A4D">
        <w:rPr>
          <w:rFonts w:cs="Calibri"/>
        </w:rPr>
        <w:fldChar w:fldCharType="begin"/>
      </w:r>
      <w:r w:rsidRPr="00A52AB8">
        <w:rPr>
          <w:rFonts w:cs="Calibri"/>
        </w:rPr>
        <w:instrText xml:space="preserve"> REF _Ref47525972 \r \h </w:instrText>
      </w:r>
      <w:r w:rsidR="007812ED" w:rsidRPr="00A52AB8">
        <w:rPr>
          <w:rFonts w:cs="Calibri"/>
        </w:rPr>
        <w:instrText xml:space="preserve"> \* MERGEFORMAT </w:instrText>
      </w:r>
      <w:r w:rsidRPr="00496A4D">
        <w:rPr>
          <w:rFonts w:cs="Calibri"/>
        </w:rPr>
      </w:r>
      <w:r w:rsidRPr="00496A4D">
        <w:rPr>
          <w:rFonts w:cs="Calibri"/>
        </w:rPr>
        <w:fldChar w:fldCharType="separate"/>
      </w:r>
      <w:r w:rsidR="00507A67">
        <w:rPr>
          <w:rFonts w:cs="Calibri"/>
        </w:rPr>
        <w:t>3.139</w:t>
      </w:r>
      <w:r w:rsidRPr="00496A4D">
        <w:rPr>
          <w:rFonts w:cs="Calibri"/>
        </w:rPr>
        <w:fldChar w:fldCharType="end"/>
      </w:r>
      <w:r w:rsidRPr="00A52AB8">
        <w:rPr>
          <w:rFonts w:cs="Calibri"/>
        </w:rPr>
        <w:t>) that, when decoded, enable the reconstruction of volumetric content</w:t>
      </w:r>
    </w:p>
    <w:p w14:paraId="15009BE5" w14:textId="77777777" w:rsidR="00564EF6" w:rsidRPr="00A52AB8" w:rsidRDefault="00564EF6" w:rsidP="00E72F7E">
      <w:pPr>
        <w:pStyle w:val="TermHeading"/>
      </w:pPr>
      <w:bookmarkStart w:id="70" w:name="_Ref47525311"/>
    </w:p>
    <w:bookmarkEnd w:id="70"/>
    <w:p w14:paraId="53695697" w14:textId="77777777" w:rsidR="00564EF6" w:rsidRPr="00A52AB8" w:rsidRDefault="00564EF6" w:rsidP="00564EF6">
      <w:pPr>
        <w:pStyle w:val="Terms"/>
        <w:rPr>
          <w:color w:val="000000" w:themeColor="text1"/>
        </w:rPr>
      </w:pPr>
      <w:r w:rsidRPr="00A52AB8">
        <w:rPr>
          <w:color w:val="000000" w:themeColor="text1"/>
        </w:rPr>
        <w:t>network abstraction layer unit</w:t>
      </w:r>
    </w:p>
    <w:p w14:paraId="0B2BB3C1" w14:textId="77777777" w:rsidR="00564EF6" w:rsidRPr="00A52AB8" w:rsidRDefault="00564EF6" w:rsidP="00564EF6">
      <w:pPr>
        <w:pStyle w:val="Terms"/>
        <w:rPr>
          <w:color w:val="000000" w:themeColor="text1"/>
        </w:rPr>
      </w:pPr>
      <w:r w:rsidRPr="00A52AB8">
        <w:rPr>
          <w:color w:val="000000" w:themeColor="text1"/>
        </w:rPr>
        <w:t>NAL unit</w:t>
      </w:r>
    </w:p>
    <w:p w14:paraId="269B9EE0" w14:textId="13F45882" w:rsidR="00564EF6" w:rsidRPr="00A52AB8" w:rsidRDefault="00564EF6" w:rsidP="00564EF6">
      <w:pPr>
        <w:pStyle w:val="Definition"/>
        <w:rPr>
          <w:color w:val="000000" w:themeColor="text1"/>
        </w:rPr>
      </w:pPr>
      <w:r w:rsidRPr="00A52AB8">
        <w:rPr>
          <w:color w:val="000000" w:themeColor="text1"/>
        </w:rPr>
        <w:t xml:space="preserve">syntax structure containing an indication of the type of data to follow and </w:t>
      </w:r>
      <w:r w:rsidRPr="00A52AB8">
        <w:rPr>
          <w:i/>
          <w:iCs/>
          <w:color w:val="000000" w:themeColor="text1"/>
        </w:rPr>
        <w:t>bytes</w:t>
      </w:r>
      <w:r w:rsidRPr="00A52AB8">
        <w:rPr>
          <w:color w:val="000000" w:themeColor="text1"/>
        </w:rPr>
        <w:t xml:space="preserve"> </w:t>
      </w:r>
      <w:r w:rsidR="00296D2B" w:rsidRPr="00A52AB8">
        <w:rPr>
          <w:color w:val="000000" w:themeColor="text1"/>
        </w:rPr>
        <w:t>(</w:t>
      </w:r>
      <w:r w:rsidR="00296D2B" w:rsidRPr="00496A4D">
        <w:rPr>
          <w:color w:val="000000" w:themeColor="text1"/>
        </w:rPr>
        <w:fldChar w:fldCharType="begin"/>
      </w:r>
      <w:r w:rsidR="00296D2B" w:rsidRPr="00A52AB8">
        <w:rPr>
          <w:color w:val="000000" w:themeColor="text1"/>
        </w:rPr>
        <w:instrText xml:space="preserve"> REF _Ref47526560 \n \h </w:instrText>
      </w:r>
      <w:r w:rsidR="007478BA" w:rsidRPr="00A52AB8">
        <w:rPr>
          <w:color w:val="000000" w:themeColor="text1"/>
        </w:rPr>
        <w:instrText xml:space="preserve"> \* MERGEFORMAT </w:instrText>
      </w:r>
      <w:r w:rsidR="00296D2B" w:rsidRPr="00496A4D">
        <w:rPr>
          <w:color w:val="000000" w:themeColor="text1"/>
        </w:rPr>
      </w:r>
      <w:r w:rsidR="00296D2B" w:rsidRPr="00496A4D">
        <w:rPr>
          <w:color w:val="000000" w:themeColor="text1"/>
        </w:rPr>
        <w:fldChar w:fldCharType="separate"/>
      </w:r>
      <w:r w:rsidR="00507A67">
        <w:rPr>
          <w:color w:val="000000" w:themeColor="text1"/>
        </w:rPr>
        <w:t>3.24</w:t>
      </w:r>
      <w:r w:rsidR="00296D2B" w:rsidRPr="00496A4D">
        <w:rPr>
          <w:color w:val="000000" w:themeColor="text1"/>
        </w:rPr>
        <w:fldChar w:fldCharType="end"/>
      </w:r>
      <w:r w:rsidR="00296D2B" w:rsidRPr="00A52AB8">
        <w:rPr>
          <w:color w:val="000000" w:themeColor="text1"/>
        </w:rPr>
        <w:t xml:space="preserve">) </w:t>
      </w:r>
      <w:r w:rsidRPr="00A52AB8">
        <w:rPr>
          <w:color w:val="000000" w:themeColor="text1"/>
        </w:rPr>
        <w:t xml:space="preserve">containing that data in the form of an </w:t>
      </w:r>
      <w:r w:rsidRPr="00A52AB8">
        <w:rPr>
          <w:i/>
          <w:iCs/>
          <w:color w:val="000000" w:themeColor="text1"/>
        </w:rPr>
        <w:t>RBSP</w:t>
      </w:r>
      <w:r w:rsidRPr="00A52AB8">
        <w:rPr>
          <w:color w:val="000000" w:themeColor="text1"/>
        </w:rPr>
        <w:t xml:space="preserve"> (</w:t>
      </w:r>
      <w:r w:rsidRPr="00496A4D">
        <w:rPr>
          <w:color w:val="000000" w:themeColor="text1"/>
        </w:rPr>
        <w:fldChar w:fldCharType="begin"/>
      </w:r>
      <w:r w:rsidRPr="00A52AB8">
        <w:rPr>
          <w:color w:val="000000" w:themeColor="text1"/>
        </w:rPr>
        <w:instrText xml:space="preserve"> REF _Ref47526449 \r \h </w:instrText>
      </w:r>
      <w:r w:rsidR="006371AA"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3.108</w:t>
      </w:r>
      <w:r w:rsidRPr="00496A4D">
        <w:rPr>
          <w:color w:val="000000" w:themeColor="text1"/>
        </w:rPr>
        <w:fldChar w:fldCharType="end"/>
      </w:r>
      <w:r w:rsidRPr="00A52AB8">
        <w:rPr>
          <w:color w:val="000000" w:themeColor="text1"/>
        </w:rPr>
        <w:t>)</w:t>
      </w:r>
    </w:p>
    <w:p w14:paraId="3B2AADD9" w14:textId="77777777" w:rsidR="00564EF6" w:rsidRPr="00A52AB8" w:rsidRDefault="00564EF6" w:rsidP="00E72F7E">
      <w:pPr>
        <w:pStyle w:val="TermHeading"/>
      </w:pPr>
    </w:p>
    <w:p w14:paraId="6F5C39B1" w14:textId="77777777" w:rsidR="00564EF6" w:rsidRPr="00A52AB8" w:rsidRDefault="00564EF6" w:rsidP="00564EF6">
      <w:pPr>
        <w:pStyle w:val="Terms"/>
        <w:rPr>
          <w:color w:val="000000" w:themeColor="text1"/>
        </w:rPr>
      </w:pPr>
      <w:r w:rsidRPr="00A52AB8">
        <w:rPr>
          <w:color w:val="000000" w:themeColor="text1"/>
        </w:rPr>
        <w:t>network abstraction layer unit stream</w:t>
      </w:r>
    </w:p>
    <w:p w14:paraId="401E2FAA" w14:textId="77777777" w:rsidR="00564EF6" w:rsidRPr="00A52AB8" w:rsidRDefault="00564EF6" w:rsidP="00564EF6">
      <w:pPr>
        <w:pStyle w:val="Terms"/>
        <w:rPr>
          <w:color w:val="000000" w:themeColor="text1"/>
        </w:rPr>
      </w:pPr>
      <w:r w:rsidRPr="00A52AB8">
        <w:rPr>
          <w:color w:val="000000" w:themeColor="text1"/>
        </w:rPr>
        <w:t>NAL unit stream</w:t>
      </w:r>
    </w:p>
    <w:p w14:paraId="61176A0B" w14:textId="755AEF1A" w:rsidR="00564EF6" w:rsidRPr="00A52AB8" w:rsidRDefault="00564EF6" w:rsidP="00564EF6">
      <w:pPr>
        <w:pStyle w:val="Definition"/>
      </w:pPr>
      <w:r w:rsidRPr="00A52AB8">
        <w:t xml:space="preserve">sequence of </w:t>
      </w:r>
      <w:r w:rsidRPr="00A52AB8">
        <w:rPr>
          <w:i/>
          <w:iCs/>
        </w:rPr>
        <w:t xml:space="preserve">NAL units </w:t>
      </w:r>
      <w:r w:rsidRPr="00A52AB8">
        <w:t>(</w:t>
      </w:r>
      <w:r w:rsidRPr="00496A4D">
        <w:fldChar w:fldCharType="begin"/>
      </w:r>
      <w:r w:rsidRPr="00A52AB8">
        <w:instrText xml:space="preserve"> REF _Ref47525311 \r \h  \* MERGEFORMAT </w:instrText>
      </w:r>
      <w:r w:rsidRPr="00496A4D">
        <w:fldChar w:fldCharType="separate"/>
      </w:r>
      <w:r w:rsidR="00507A67">
        <w:t>3.84</w:t>
      </w:r>
      <w:r w:rsidRPr="00496A4D">
        <w:fldChar w:fldCharType="end"/>
      </w:r>
      <w:r w:rsidRPr="00A52AB8">
        <w:t>)</w:t>
      </w:r>
    </w:p>
    <w:p w14:paraId="5A4C074E" w14:textId="77777777" w:rsidR="007F6786" w:rsidRPr="00A52AB8" w:rsidRDefault="007F6786" w:rsidP="00E72F7E">
      <w:pPr>
        <w:pStyle w:val="TermHeading"/>
      </w:pPr>
      <w:bookmarkStart w:id="71" w:name="_Ref49013866"/>
    </w:p>
    <w:bookmarkEnd w:id="71"/>
    <w:p w14:paraId="31C116F9" w14:textId="19EB7FEF" w:rsidR="007F6786" w:rsidRPr="00A52AB8" w:rsidRDefault="007F6786" w:rsidP="007F6786">
      <w:pPr>
        <w:pStyle w:val="Terms"/>
        <w:rPr>
          <w:color w:val="000000" w:themeColor="text1"/>
        </w:rPr>
      </w:pPr>
      <w:r w:rsidRPr="00A52AB8">
        <w:rPr>
          <w:color w:val="000000" w:themeColor="text1"/>
        </w:rPr>
        <w:t>non-ACL NAL unit</w:t>
      </w:r>
    </w:p>
    <w:p w14:paraId="579B2DEA" w14:textId="6476ED38" w:rsidR="007F6786" w:rsidRPr="00A52AB8" w:rsidRDefault="007F6786" w:rsidP="00564EF6">
      <w:pPr>
        <w:pStyle w:val="Definition"/>
      </w:pPr>
      <w:r w:rsidRPr="00A52AB8">
        <w:t>NAL unit (</w:t>
      </w:r>
      <w:r w:rsidR="00C6062B" w:rsidRPr="00496A4D">
        <w:fldChar w:fldCharType="begin"/>
      </w:r>
      <w:r w:rsidR="00C6062B" w:rsidRPr="00A52AB8">
        <w:instrText xml:space="preserve"> REF _Ref47525311 \n \h </w:instrText>
      </w:r>
      <w:r w:rsidR="00007BE2" w:rsidRPr="00A52AB8">
        <w:instrText xml:space="preserve"> \* MERGEFORMAT </w:instrText>
      </w:r>
      <w:r w:rsidR="00C6062B" w:rsidRPr="00496A4D">
        <w:fldChar w:fldCharType="separate"/>
      </w:r>
      <w:r w:rsidR="00507A67">
        <w:t>3.84</w:t>
      </w:r>
      <w:r w:rsidR="00C6062B" w:rsidRPr="00496A4D">
        <w:fldChar w:fldCharType="end"/>
      </w:r>
      <w:r w:rsidRPr="00A52AB8">
        <w:t xml:space="preserve">) that is not an </w:t>
      </w:r>
      <w:r w:rsidRPr="00A52AB8">
        <w:rPr>
          <w:i/>
          <w:iCs/>
        </w:rPr>
        <w:t>ACL NAL unit</w:t>
      </w:r>
      <w:r w:rsidR="00296D2B" w:rsidRPr="00A52AB8">
        <w:t xml:space="preserve"> (</w:t>
      </w:r>
      <w:r w:rsidR="00296D2B" w:rsidRPr="00496A4D">
        <w:fldChar w:fldCharType="begin"/>
      </w:r>
      <w:r w:rsidR="00296D2B" w:rsidRPr="00A52AB8">
        <w:instrText xml:space="preserve"> REF _Ref49013819 \n \h </w:instrText>
      </w:r>
      <w:r w:rsidR="007478BA" w:rsidRPr="00A52AB8">
        <w:instrText xml:space="preserve"> \* MERGEFORMAT </w:instrText>
      </w:r>
      <w:r w:rsidR="00296D2B" w:rsidRPr="00496A4D">
        <w:fldChar w:fldCharType="separate"/>
      </w:r>
      <w:r w:rsidR="00507A67">
        <w:t>3.6</w:t>
      </w:r>
      <w:r w:rsidR="00296D2B" w:rsidRPr="00496A4D">
        <w:fldChar w:fldCharType="end"/>
      </w:r>
      <w:r w:rsidR="00296D2B" w:rsidRPr="00A52AB8">
        <w:t>)</w:t>
      </w:r>
    </w:p>
    <w:p w14:paraId="20434AAA" w14:textId="77777777" w:rsidR="00E72F7E" w:rsidRPr="00A52AB8" w:rsidRDefault="00E72F7E" w:rsidP="00E72F7E">
      <w:pPr>
        <w:pStyle w:val="TermHeading"/>
      </w:pPr>
    </w:p>
    <w:p w14:paraId="3C46C6F0" w14:textId="02AC259E" w:rsidR="00645520" w:rsidRPr="00A52AB8" w:rsidRDefault="00645520" w:rsidP="00645520">
      <w:pPr>
        <w:pStyle w:val="Terms"/>
        <w:rPr>
          <w:color w:val="000000" w:themeColor="text1"/>
        </w:rPr>
      </w:pPr>
      <w:r w:rsidRPr="00A52AB8">
        <w:rPr>
          <w:color w:val="000000" w:themeColor="text1"/>
        </w:rPr>
        <w:t>non-auxiliary video component</w:t>
      </w:r>
      <w:r w:rsidRPr="00A52AB8">
        <w:rPr>
          <w:color w:val="000000" w:themeColor="text1"/>
        </w:rPr>
        <w:br/>
        <w:t>regular video component</w:t>
      </w:r>
    </w:p>
    <w:p w14:paraId="0B399291" w14:textId="2B6764C1" w:rsidR="00645520" w:rsidRPr="00A52AB8" w:rsidRDefault="00645520" w:rsidP="00564EF6">
      <w:pPr>
        <w:pStyle w:val="Definition"/>
        <w:rPr>
          <w:color w:val="000000" w:themeColor="text1"/>
        </w:rPr>
      </w:pPr>
      <w:r w:rsidRPr="00A52AB8">
        <w:rPr>
          <w:rFonts w:cs="Calibri"/>
          <w:i/>
          <w:iCs/>
        </w:rPr>
        <w:t>video component</w:t>
      </w:r>
      <w:r w:rsidRPr="00A52AB8">
        <w:rPr>
          <w:rFonts w:cs="Calibri"/>
        </w:rPr>
        <w:t xml:space="preserve"> (</w:t>
      </w:r>
      <w:r w:rsidRPr="00496A4D">
        <w:rPr>
          <w:rFonts w:cs="Calibri"/>
        </w:rPr>
        <w:fldChar w:fldCharType="begin"/>
      </w:r>
      <w:r w:rsidRPr="00A52AB8">
        <w:rPr>
          <w:rFonts w:cs="Calibri"/>
        </w:rPr>
        <w:instrText xml:space="preserve"> REF _Ref51322754 \n \h </w:instrText>
      </w:r>
      <w:r w:rsidR="008F69D5" w:rsidRPr="00A52AB8">
        <w:rPr>
          <w:rFonts w:cs="Calibri"/>
        </w:rPr>
        <w:instrText xml:space="preserve"> \* MERGEFORMAT </w:instrText>
      </w:r>
      <w:r w:rsidRPr="00496A4D">
        <w:rPr>
          <w:rFonts w:cs="Calibri"/>
        </w:rPr>
      </w:r>
      <w:r w:rsidRPr="00496A4D">
        <w:rPr>
          <w:rFonts w:cs="Calibri"/>
        </w:rPr>
        <w:fldChar w:fldCharType="separate"/>
      </w:r>
      <w:r w:rsidR="00507A67">
        <w:rPr>
          <w:rFonts w:cs="Calibri"/>
        </w:rPr>
        <w:t>3.135</w:t>
      </w:r>
      <w:r w:rsidRPr="00496A4D">
        <w:rPr>
          <w:rFonts w:cs="Calibri"/>
        </w:rPr>
        <w:fldChar w:fldCharType="end"/>
      </w:r>
      <w:r w:rsidRPr="00A52AB8">
        <w:rPr>
          <w:rFonts w:cs="Calibri"/>
        </w:rPr>
        <w:t xml:space="preserve">) </w:t>
      </w:r>
      <w:r w:rsidRPr="00A52AB8">
        <w:t>indicated as being of non-auxiliary type through an appropriate flag in the VPS (</w:t>
      </w:r>
      <w:r w:rsidRPr="00496A4D">
        <w:fldChar w:fldCharType="begin"/>
      </w:r>
      <w:r w:rsidRPr="00A52AB8">
        <w:instrText xml:space="preserve"> REF _Ref50642568 \r \h   </w:instrText>
      </w:r>
      <w:r w:rsidR="008F69D5" w:rsidRPr="00A52AB8">
        <w:instrText xml:space="preserve"> \* MERGEFORMAT </w:instrText>
      </w:r>
      <w:r w:rsidRPr="00496A4D">
        <w:fldChar w:fldCharType="separate"/>
      </w:r>
      <w:r w:rsidR="00507A67">
        <w:t>3.144</w:t>
      </w:r>
      <w:r w:rsidRPr="00496A4D">
        <w:fldChar w:fldCharType="end"/>
      </w:r>
      <w:r w:rsidRPr="00A52AB8">
        <w:t>)</w:t>
      </w:r>
    </w:p>
    <w:p w14:paraId="5CF26A1D" w14:textId="77777777" w:rsidR="00D02CBB" w:rsidRPr="00A52AB8" w:rsidRDefault="00D02CBB" w:rsidP="00E72F7E">
      <w:pPr>
        <w:pStyle w:val="TermHeading"/>
      </w:pPr>
    </w:p>
    <w:p w14:paraId="5ADDC1EF" w14:textId="460864BD" w:rsidR="00D02CBB" w:rsidRPr="00A52AB8" w:rsidRDefault="00D02CBB" w:rsidP="00D02CBB">
      <w:pPr>
        <w:pStyle w:val="Terms"/>
        <w:rPr>
          <w:color w:val="000000" w:themeColor="text1"/>
        </w:rPr>
      </w:pPr>
      <w:r w:rsidRPr="00A52AB8">
        <w:rPr>
          <w:color w:val="000000" w:themeColor="text1"/>
        </w:rPr>
        <w:t>non-auxiliary video sub-bitstream</w:t>
      </w:r>
      <w:r w:rsidRPr="00A52AB8">
        <w:rPr>
          <w:color w:val="000000" w:themeColor="text1"/>
        </w:rPr>
        <w:br/>
        <w:t>regular video sub-bitstream</w:t>
      </w:r>
    </w:p>
    <w:p w14:paraId="370042F4" w14:textId="47B8AFFC" w:rsidR="00D02CBB" w:rsidRPr="00A52AB8" w:rsidRDefault="00D02CBB" w:rsidP="00564EF6">
      <w:pPr>
        <w:pStyle w:val="Definition"/>
        <w:rPr>
          <w:color w:val="000000" w:themeColor="text1"/>
        </w:rPr>
      </w:pPr>
      <w:r w:rsidRPr="00A52AB8">
        <w:t>video sub-bitstream (</w:t>
      </w:r>
      <w:r w:rsidRPr="00496A4D">
        <w:fldChar w:fldCharType="begin"/>
      </w:r>
      <w:r w:rsidRPr="00A52AB8">
        <w:instrText xml:space="preserve"> REF _Ref50934758 \r \h </w:instrText>
      </w:r>
      <w:r w:rsidR="007478BA" w:rsidRPr="00A52AB8">
        <w:instrText xml:space="preserve"> \* MERGEFORMAT </w:instrText>
      </w:r>
      <w:r w:rsidRPr="00496A4D">
        <w:fldChar w:fldCharType="separate"/>
      </w:r>
      <w:r w:rsidR="00507A67">
        <w:t>3.137</w:t>
      </w:r>
      <w:r w:rsidRPr="00496A4D">
        <w:fldChar w:fldCharType="end"/>
      </w:r>
      <w:r w:rsidRPr="00A52AB8">
        <w:t>) indicated as being of non-auxiliary type through an appropriate flag in the VPS (</w:t>
      </w:r>
      <w:r w:rsidRPr="00496A4D">
        <w:fldChar w:fldCharType="begin"/>
      </w:r>
      <w:r w:rsidRPr="00A52AB8">
        <w:instrText xml:space="preserve"> REF _Ref50642568 \r \h </w:instrText>
      </w:r>
      <w:r w:rsidR="007478BA" w:rsidRPr="00A52AB8">
        <w:instrText xml:space="preserve"> \* MERGEFORMAT </w:instrText>
      </w:r>
      <w:r w:rsidRPr="00496A4D">
        <w:fldChar w:fldCharType="separate"/>
      </w:r>
      <w:r w:rsidR="00507A67">
        <w:t>3.144</w:t>
      </w:r>
      <w:r w:rsidRPr="00496A4D">
        <w:fldChar w:fldCharType="end"/>
      </w:r>
      <w:r w:rsidRPr="00A52AB8">
        <w:t>)</w:t>
      </w:r>
    </w:p>
    <w:p w14:paraId="773D5394" w14:textId="77777777" w:rsidR="00663387" w:rsidRPr="00A52AB8" w:rsidRDefault="00663387" w:rsidP="00E72F7E">
      <w:pPr>
        <w:pStyle w:val="TermHeading"/>
      </w:pPr>
      <w:bookmarkStart w:id="72" w:name="_Ref48984921"/>
    </w:p>
    <w:bookmarkEnd w:id="72"/>
    <w:p w14:paraId="06BC5259" w14:textId="77777777" w:rsidR="00663387" w:rsidRPr="00A52AB8" w:rsidRDefault="00663387" w:rsidP="00663387">
      <w:pPr>
        <w:pStyle w:val="Terms"/>
        <w:rPr>
          <w:color w:val="000000" w:themeColor="text1"/>
        </w:rPr>
      </w:pPr>
      <w:r w:rsidRPr="00A52AB8">
        <w:rPr>
          <w:color w:val="000000" w:themeColor="text1"/>
        </w:rPr>
        <w:t>non-essential supplemental enhancement information</w:t>
      </w:r>
    </w:p>
    <w:p w14:paraId="01AFE44C" w14:textId="77777777" w:rsidR="00663387" w:rsidRPr="00A52AB8" w:rsidRDefault="00663387" w:rsidP="00663387">
      <w:pPr>
        <w:pStyle w:val="Terms"/>
        <w:rPr>
          <w:color w:val="000000" w:themeColor="text1"/>
        </w:rPr>
      </w:pPr>
      <w:r w:rsidRPr="00A52AB8">
        <w:rPr>
          <w:color w:val="000000" w:themeColor="text1"/>
        </w:rPr>
        <w:t>NSEI</w:t>
      </w:r>
    </w:p>
    <w:p w14:paraId="53D5E16B" w14:textId="383AEC12" w:rsidR="00663387" w:rsidRPr="00A52AB8" w:rsidRDefault="00663387" w:rsidP="00564EF6">
      <w:pPr>
        <w:pStyle w:val="Definition"/>
        <w:rPr>
          <w:color w:val="000000" w:themeColor="text1"/>
        </w:rPr>
      </w:pPr>
      <w:r w:rsidRPr="00A52AB8">
        <w:rPr>
          <w:color w:val="000000" w:themeColor="text1"/>
        </w:rPr>
        <w:t>SEI (</w:t>
      </w:r>
      <w:r w:rsidRPr="00496A4D">
        <w:rPr>
          <w:color w:val="000000" w:themeColor="text1"/>
        </w:rPr>
        <w:fldChar w:fldCharType="begin"/>
      </w:r>
      <w:r w:rsidRPr="00A52AB8">
        <w:rPr>
          <w:color w:val="000000" w:themeColor="text1"/>
        </w:rPr>
        <w:instrText xml:space="preserve"> REF _Ref48984467 \n \h </w:instrText>
      </w:r>
      <w:r w:rsidR="00007BE2"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3.126</w:t>
      </w:r>
      <w:r w:rsidRPr="00496A4D">
        <w:rPr>
          <w:color w:val="000000" w:themeColor="text1"/>
        </w:rPr>
        <w:fldChar w:fldCharType="end"/>
      </w:r>
      <w:r w:rsidRPr="00A52AB8">
        <w:rPr>
          <w:color w:val="000000" w:themeColor="text1"/>
        </w:rPr>
        <w:t>) that is deemed as non essential by the decoding process and may be ignored or discarded without any adverse effects</w:t>
      </w:r>
    </w:p>
    <w:p w14:paraId="4F35AD59" w14:textId="77777777" w:rsidR="00564EF6" w:rsidRPr="00A52AB8" w:rsidRDefault="00564EF6" w:rsidP="00E72F7E">
      <w:pPr>
        <w:pStyle w:val="TermHeading"/>
      </w:pPr>
      <w:bookmarkStart w:id="73" w:name="_Ref49679400"/>
    </w:p>
    <w:bookmarkEnd w:id="73"/>
    <w:p w14:paraId="59481A41" w14:textId="77777777" w:rsidR="00564EF6" w:rsidRPr="00A52AB8" w:rsidRDefault="00564EF6" w:rsidP="00564EF6">
      <w:pPr>
        <w:pStyle w:val="Terms"/>
        <w:rPr>
          <w:color w:val="000000" w:themeColor="text1"/>
        </w:rPr>
      </w:pPr>
      <w:r w:rsidRPr="00A52AB8">
        <w:rPr>
          <w:color w:val="000000" w:themeColor="text1"/>
        </w:rPr>
        <w:t>non-essential supplemental enhancement information</w:t>
      </w:r>
      <w:r w:rsidR="00663387" w:rsidRPr="00A52AB8">
        <w:rPr>
          <w:color w:val="000000" w:themeColor="text1"/>
        </w:rPr>
        <w:t xml:space="preserve"> NAL unit</w:t>
      </w:r>
    </w:p>
    <w:p w14:paraId="3E24112C" w14:textId="77777777" w:rsidR="00564EF6" w:rsidRPr="00A52AB8" w:rsidRDefault="00564EF6" w:rsidP="00564EF6">
      <w:pPr>
        <w:pStyle w:val="Terms"/>
        <w:rPr>
          <w:color w:val="000000" w:themeColor="text1"/>
        </w:rPr>
      </w:pPr>
      <w:r w:rsidRPr="00A52AB8">
        <w:rPr>
          <w:color w:val="000000" w:themeColor="text1"/>
        </w:rPr>
        <w:t>NSEI</w:t>
      </w:r>
      <w:r w:rsidR="00663387" w:rsidRPr="00A52AB8">
        <w:rPr>
          <w:color w:val="000000" w:themeColor="text1"/>
        </w:rPr>
        <w:t xml:space="preserve"> NAL unit</w:t>
      </w:r>
    </w:p>
    <w:p w14:paraId="08B38B7F" w14:textId="1E322984" w:rsidR="00564EF6" w:rsidRPr="00A52AB8" w:rsidRDefault="00564EF6" w:rsidP="00564EF6">
      <w:pPr>
        <w:pStyle w:val="Definition"/>
        <w:rPr>
          <w:color w:val="000000" w:themeColor="text1"/>
        </w:rPr>
      </w:pPr>
      <w:r w:rsidRPr="00A52AB8">
        <w:rPr>
          <w:i/>
          <w:iCs/>
          <w:color w:val="000000" w:themeColor="text1"/>
        </w:rPr>
        <w:t>NAL</w:t>
      </w:r>
      <w:r w:rsidRPr="00A52AB8">
        <w:rPr>
          <w:i/>
          <w:iCs/>
        </w:rPr>
        <w:t xml:space="preserve"> </w:t>
      </w:r>
      <w:r w:rsidRPr="00A52AB8">
        <w:rPr>
          <w:i/>
          <w:iCs/>
          <w:color w:val="000000" w:themeColor="text1"/>
        </w:rPr>
        <w:t>unit</w:t>
      </w:r>
      <w:r w:rsidRPr="00A52AB8">
        <w:rPr>
          <w:color w:val="000000" w:themeColor="text1"/>
        </w:rPr>
        <w:t xml:space="preserve"> </w:t>
      </w:r>
      <w:r w:rsidRPr="00A52AB8">
        <w:t>(</w:t>
      </w:r>
      <w:r w:rsidRPr="00496A4D">
        <w:fldChar w:fldCharType="begin"/>
      </w:r>
      <w:r w:rsidRPr="00A52AB8">
        <w:instrText xml:space="preserve"> REF _Ref47525311 \r \h  \* MERGEFORMAT </w:instrText>
      </w:r>
      <w:r w:rsidRPr="00496A4D">
        <w:fldChar w:fldCharType="separate"/>
      </w:r>
      <w:r w:rsidR="00507A67">
        <w:t>3.84</w:t>
      </w:r>
      <w:r w:rsidRPr="00496A4D">
        <w:fldChar w:fldCharType="end"/>
      </w:r>
      <w:r w:rsidRPr="00A52AB8">
        <w:t xml:space="preserve">) </w:t>
      </w:r>
      <w:r w:rsidRPr="00A52AB8">
        <w:rPr>
          <w:color w:val="000000" w:themeColor="text1"/>
        </w:rPr>
        <w:t xml:space="preserve">corresponding to a </w:t>
      </w:r>
      <w:r w:rsidR="00663387" w:rsidRPr="00A52AB8">
        <w:rPr>
          <w:i/>
          <w:iCs/>
          <w:color w:val="000000" w:themeColor="text1"/>
        </w:rPr>
        <w:t>N</w:t>
      </w:r>
      <w:r w:rsidRPr="00A52AB8">
        <w:rPr>
          <w:i/>
          <w:iCs/>
          <w:color w:val="000000" w:themeColor="text1"/>
        </w:rPr>
        <w:t>SEI</w:t>
      </w:r>
      <w:r w:rsidRPr="00A52AB8">
        <w:rPr>
          <w:color w:val="000000" w:themeColor="text1"/>
        </w:rPr>
        <w:t xml:space="preserve"> </w:t>
      </w:r>
      <w:r w:rsidR="00663387" w:rsidRPr="00A52AB8">
        <w:rPr>
          <w:color w:val="000000" w:themeColor="text1"/>
        </w:rPr>
        <w:t>(</w:t>
      </w:r>
      <w:r w:rsidR="00663387" w:rsidRPr="00496A4D">
        <w:rPr>
          <w:color w:val="000000" w:themeColor="text1"/>
        </w:rPr>
        <w:fldChar w:fldCharType="begin"/>
      </w:r>
      <w:r w:rsidR="00663387" w:rsidRPr="00A52AB8">
        <w:rPr>
          <w:color w:val="000000" w:themeColor="text1"/>
        </w:rPr>
        <w:instrText xml:space="preserve"> REF _Ref48984921 \n \h </w:instrText>
      </w:r>
      <w:r w:rsidR="00007BE2" w:rsidRPr="00A52AB8">
        <w:rPr>
          <w:color w:val="000000" w:themeColor="text1"/>
        </w:rPr>
        <w:instrText xml:space="preserve"> \* MERGEFORMAT </w:instrText>
      </w:r>
      <w:r w:rsidR="00663387" w:rsidRPr="00496A4D">
        <w:rPr>
          <w:color w:val="000000" w:themeColor="text1"/>
        </w:rPr>
      </w:r>
      <w:r w:rsidR="00663387" w:rsidRPr="00496A4D">
        <w:rPr>
          <w:color w:val="000000" w:themeColor="text1"/>
        </w:rPr>
        <w:fldChar w:fldCharType="separate"/>
      </w:r>
      <w:r w:rsidR="00507A67">
        <w:rPr>
          <w:color w:val="000000" w:themeColor="text1"/>
        </w:rPr>
        <w:t>3.89</w:t>
      </w:r>
      <w:r w:rsidR="00663387" w:rsidRPr="00496A4D">
        <w:rPr>
          <w:color w:val="000000" w:themeColor="text1"/>
        </w:rPr>
        <w:fldChar w:fldCharType="end"/>
      </w:r>
      <w:r w:rsidR="00663387" w:rsidRPr="00A52AB8">
        <w:rPr>
          <w:color w:val="000000" w:themeColor="text1"/>
        </w:rPr>
        <w:t xml:space="preserve">) </w:t>
      </w:r>
      <w:r w:rsidRPr="00A52AB8">
        <w:rPr>
          <w:color w:val="000000" w:themeColor="text1"/>
        </w:rPr>
        <w:t>and has nal_unit_type equal to NAL_PREFIX_NSEI or NAL_SUFFIX_NSEI</w:t>
      </w:r>
    </w:p>
    <w:p w14:paraId="6AFB37B0" w14:textId="77777777" w:rsidR="00564EF6" w:rsidRPr="00A52AB8" w:rsidRDefault="00564EF6" w:rsidP="00E72F7E">
      <w:pPr>
        <w:pStyle w:val="TermHeading"/>
      </w:pPr>
      <w:bookmarkStart w:id="74" w:name="_Ref47525562"/>
    </w:p>
    <w:bookmarkEnd w:id="74"/>
    <w:p w14:paraId="42944FC0" w14:textId="77777777" w:rsidR="00564EF6" w:rsidRPr="00A52AB8" w:rsidRDefault="00564EF6" w:rsidP="00564EF6">
      <w:pPr>
        <w:pStyle w:val="Terms"/>
        <w:rPr>
          <w:color w:val="000000" w:themeColor="text1"/>
        </w:rPr>
      </w:pPr>
      <w:r w:rsidRPr="00A52AB8">
        <w:rPr>
          <w:color w:val="000000" w:themeColor="text1"/>
        </w:rPr>
        <w:t>occupancy</w:t>
      </w:r>
    </w:p>
    <w:p w14:paraId="4EC4597B" w14:textId="20906292" w:rsidR="00564EF6" w:rsidRPr="00A52AB8" w:rsidRDefault="00564EF6" w:rsidP="00564EF6">
      <w:pPr>
        <w:pStyle w:val="Definition"/>
      </w:pPr>
      <w:r w:rsidRPr="00A52AB8">
        <w:t xml:space="preserve">values that indicate whether </w:t>
      </w:r>
      <w:r w:rsidRPr="00A52AB8">
        <w:rPr>
          <w:i/>
          <w:iCs/>
        </w:rPr>
        <w:t>atlas samples</w:t>
      </w:r>
      <w:r w:rsidRPr="00A52AB8">
        <w:t xml:space="preserve"> </w:t>
      </w:r>
      <w:r w:rsidR="00296D2B" w:rsidRPr="00A52AB8">
        <w:t>(</w:t>
      </w:r>
      <w:r w:rsidR="00296D2B" w:rsidRPr="00496A4D">
        <w:fldChar w:fldCharType="begin"/>
      </w:r>
      <w:r w:rsidR="00296D2B" w:rsidRPr="00A52AB8">
        <w:instrText xml:space="preserve"> REF _Ref50571972 \n \h </w:instrText>
      </w:r>
      <w:r w:rsidR="007478BA" w:rsidRPr="00A52AB8">
        <w:instrText xml:space="preserve"> \* MERGEFORMAT </w:instrText>
      </w:r>
      <w:r w:rsidR="00296D2B" w:rsidRPr="00496A4D">
        <w:fldChar w:fldCharType="separate"/>
      </w:r>
      <w:r w:rsidR="00507A67">
        <w:t>3.10</w:t>
      </w:r>
      <w:r w:rsidR="00296D2B" w:rsidRPr="00496A4D">
        <w:fldChar w:fldCharType="end"/>
      </w:r>
      <w:r w:rsidR="00296D2B" w:rsidRPr="00A52AB8">
        <w:t xml:space="preserve">) </w:t>
      </w:r>
      <w:r w:rsidRPr="00A52AB8">
        <w:t>correspond to associated samples in 3D space</w:t>
      </w:r>
    </w:p>
    <w:p w14:paraId="5DA9B0A1" w14:textId="77777777" w:rsidR="00564EF6" w:rsidRPr="00A52AB8" w:rsidRDefault="00564EF6" w:rsidP="00E72F7E">
      <w:pPr>
        <w:pStyle w:val="TermHeading"/>
      </w:pPr>
      <w:bookmarkStart w:id="75" w:name="_Ref47978123"/>
    </w:p>
    <w:bookmarkEnd w:id="75"/>
    <w:p w14:paraId="51E9EE5F" w14:textId="77777777" w:rsidR="00564EF6" w:rsidRPr="00A52AB8" w:rsidRDefault="00564EF6" w:rsidP="00564EF6">
      <w:pPr>
        <w:pStyle w:val="Terms"/>
        <w:rPr>
          <w:color w:val="000000" w:themeColor="text1"/>
        </w:rPr>
      </w:pPr>
      <w:r w:rsidRPr="00A52AB8">
        <w:rPr>
          <w:color w:val="000000" w:themeColor="text1"/>
        </w:rPr>
        <w:t>occupancy frame</w:t>
      </w:r>
    </w:p>
    <w:p w14:paraId="166AA335" w14:textId="2338F7D3" w:rsidR="00564EF6" w:rsidRPr="00A52AB8" w:rsidRDefault="00564EF6" w:rsidP="00564EF6">
      <w:pPr>
        <w:pStyle w:val="Definition"/>
        <w:rPr>
          <w:i/>
          <w:iCs/>
        </w:rPr>
      </w:pPr>
      <w:r w:rsidRPr="00A52AB8">
        <w:t xml:space="preserve">collection of </w:t>
      </w:r>
      <w:r w:rsidRPr="00A52AB8">
        <w:rPr>
          <w:i/>
          <w:iCs/>
          <w:color w:val="000000" w:themeColor="text1"/>
        </w:rPr>
        <w:t xml:space="preserve">occupancy </w:t>
      </w:r>
      <w:r w:rsidRPr="00A52AB8">
        <w:rPr>
          <w:color w:val="000000" w:themeColor="text1"/>
        </w:rPr>
        <w:t>(</w:t>
      </w:r>
      <w:r w:rsidRPr="00496A4D">
        <w:rPr>
          <w:color w:val="000000" w:themeColor="text1"/>
        </w:rPr>
        <w:fldChar w:fldCharType="begin"/>
      </w:r>
      <w:r w:rsidRPr="00A52AB8">
        <w:rPr>
          <w:color w:val="000000" w:themeColor="text1"/>
        </w:rPr>
        <w:instrText xml:space="preserve"> REF _Ref47525562 \r \h </w:instrText>
      </w:r>
      <w:r w:rsidR="006371AA"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3.91</w:t>
      </w:r>
      <w:r w:rsidRPr="00496A4D">
        <w:rPr>
          <w:color w:val="000000" w:themeColor="text1"/>
        </w:rPr>
        <w:fldChar w:fldCharType="end"/>
      </w:r>
      <w:r w:rsidRPr="00A52AB8">
        <w:rPr>
          <w:color w:val="000000" w:themeColor="text1"/>
        </w:rPr>
        <w:t xml:space="preserve">) </w:t>
      </w:r>
      <w:r w:rsidRPr="00A52AB8">
        <w:t xml:space="preserve">values that constitute a 2D array and represents the entire occupancy </w:t>
      </w:r>
      <w:r w:rsidR="00663CA9" w:rsidRPr="00A52AB8">
        <w:rPr>
          <w:i/>
          <w:iCs/>
          <w:color w:val="000000" w:themeColor="text1"/>
        </w:rPr>
        <w:t xml:space="preserve"> </w:t>
      </w:r>
      <w:r w:rsidR="00663CA9" w:rsidRPr="00A52AB8">
        <w:rPr>
          <w:color w:val="000000" w:themeColor="text1"/>
        </w:rPr>
        <w:t>(</w:t>
      </w:r>
      <w:r w:rsidR="00663CA9" w:rsidRPr="00496A4D">
        <w:rPr>
          <w:color w:val="000000" w:themeColor="text1"/>
        </w:rPr>
        <w:fldChar w:fldCharType="begin"/>
      </w:r>
      <w:r w:rsidR="00663CA9" w:rsidRPr="00A52AB8">
        <w:rPr>
          <w:color w:val="000000" w:themeColor="text1"/>
        </w:rPr>
        <w:instrText xml:space="preserve"> REF _Ref47525562 \r \h   </w:instrText>
      </w:r>
      <w:r w:rsidR="008F69D5" w:rsidRPr="00A52AB8">
        <w:rPr>
          <w:color w:val="000000" w:themeColor="text1"/>
        </w:rPr>
        <w:instrText xml:space="preserve"> \* MERGEFORMAT </w:instrText>
      </w:r>
      <w:r w:rsidR="00663CA9" w:rsidRPr="00496A4D">
        <w:rPr>
          <w:color w:val="000000" w:themeColor="text1"/>
        </w:rPr>
      </w:r>
      <w:r w:rsidR="00663CA9" w:rsidRPr="00496A4D">
        <w:rPr>
          <w:color w:val="000000" w:themeColor="text1"/>
        </w:rPr>
        <w:fldChar w:fldCharType="separate"/>
      </w:r>
      <w:r w:rsidR="00507A67">
        <w:rPr>
          <w:color w:val="000000" w:themeColor="text1"/>
        </w:rPr>
        <w:t>3.91</w:t>
      </w:r>
      <w:r w:rsidR="00663CA9" w:rsidRPr="00496A4D">
        <w:rPr>
          <w:color w:val="000000" w:themeColor="text1"/>
        </w:rPr>
        <w:fldChar w:fldCharType="end"/>
      </w:r>
      <w:r w:rsidR="00663CA9" w:rsidRPr="00A52AB8">
        <w:rPr>
          <w:color w:val="000000" w:themeColor="text1"/>
        </w:rPr>
        <w:t xml:space="preserve">) </w:t>
      </w:r>
      <w:r w:rsidRPr="00A52AB8">
        <w:t xml:space="preserve">information of a single </w:t>
      </w:r>
      <w:r w:rsidRPr="00A52AB8">
        <w:rPr>
          <w:i/>
          <w:iCs/>
        </w:rPr>
        <w:t xml:space="preserve">atlas frame </w:t>
      </w:r>
      <w:r w:rsidRPr="00A52AB8">
        <w:t>(</w:t>
      </w:r>
      <w:r w:rsidRPr="00496A4D">
        <w:fldChar w:fldCharType="begin"/>
      </w:r>
      <w:r w:rsidRPr="00A52AB8">
        <w:instrText xml:space="preserve"> REF _Ref47524579 \r \h </w:instrText>
      </w:r>
      <w:r w:rsidR="006371AA" w:rsidRPr="00A52AB8">
        <w:instrText xml:space="preserve"> \* MERGEFORMAT </w:instrText>
      </w:r>
      <w:r w:rsidRPr="00496A4D">
        <w:fldChar w:fldCharType="separate"/>
      </w:r>
      <w:r w:rsidR="00507A67">
        <w:t>3.8</w:t>
      </w:r>
      <w:r w:rsidRPr="00496A4D">
        <w:fldChar w:fldCharType="end"/>
      </w:r>
      <w:r w:rsidRPr="00A52AB8">
        <w:t>)</w:t>
      </w:r>
    </w:p>
    <w:p w14:paraId="1403E2ED" w14:textId="77777777" w:rsidR="00564EF6" w:rsidRPr="00A52AB8" w:rsidRDefault="00564EF6" w:rsidP="00E72F7E">
      <w:pPr>
        <w:pStyle w:val="TermHeading"/>
      </w:pPr>
      <w:bookmarkStart w:id="76" w:name="_Ref47523249"/>
    </w:p>
    <w:bookmarkEnd w:id="76"/>
    <w:p w14:paraId="74255A30" w14:textId="77777777" w:rsidR="00564EF6" w:rsidRPr="00A52AB8" w:rsidRDefault="00564EF6" w:rsidP="00564EF6">
      <w:pPr>
        <w:pStyle w:val="Terms"/>
        <w:rPr>
          <w:color w:val="000000" w:themeColor="text1"/>
        </w:rPr>
      </w:pPr>
      <w:r w:rsidRPr="00A52AB8">
        <w:rPr>
          <w:color w:val="000000" w:themeColor="text1"/>
        </w:rPr>
        <w:t>patch</w:t>
      </w:r>
    </w:p>
    <w:p w14:paraId="5801D733" w14:textId="10E4B4B4" w:rsidR="00564EF6" w:rsidRPr="00A52AB8" w:rsidRDefault="00564EF6" w:rsidP="00564EF6">
      <w:pPr>
        <w:pStyle w:val="Definition"/>
        <w:rPr>
          <w:color w:val="000000" w:themeColor="text1"/>
        </w:rPr>
      </w:pPr>
      <w:r w:rsidRPr="00A52AB8">
        <w:rPr>
          <w:color w:val="000000" w:themeColor="text1"/>
        </w:rPr>
        <w:t xml:space="preserve">rectangular region within an </w:t>
      </w:r>
      <w:r w:rsidRPr="00A52AB8">
        <w:rPr>
          <w:i/>
          <w:color w:val="000000" w:themeColor="text1"/>
        </w:rPr>
        <w:t xml:space="preserve">atlas </w:t>
      </w:r>
      <w:r w:rsidRPr="00A52AB8">
        <w:rPr>
          <w:iCs/>
          <w:color w:val="000000" w:themeColor="text1"/>
        </w:rPr>
        <w:t>(</w:t>
      </w:r>
      <w:r w:rsidRPr="00496A4D">
        <w:fldChar w:fldCharType="begin"/>
      </w:r>
      <w:r w:rsidRPr="00A52AB8">
        <w:instrText xml:space="preserve"> REF _Ref47524403 \r \h </w:instrText>
      </w:r>
      <w:r w:rsidR="006371AA" w:rsidRPr="00A52AB8">
        <w:instrText xml:space="preserve"> \* MERGEFORMAT </w:instrText>
      </w:r>
      <w:r w:rsidRPr="00496A4D">
        <w:fldChar w:fldCharType="separate"/>
      </w:r>
      <w:r w:rsidR="00507A67">
        <w:t>3.4</w:t>
      </w:r>
      <w:r w:rsidRPr="00496A4D">
        <w:fldChar w:fldCharType="end"/>
      </w:r>
      <w:r w:rsidRPr="00A52AB8">
        <w:rPr>
          <w:iCs/>
          <w:color w:val="000000" w:themeColor="text1"/>
        </w:rPr>
        <w:t>) associated with volumetric information</w:t>
      </w:r>
    </w:p>
    <w:p w14:paraId="59A9B1CB" w14:textId="77777777" w:rsidR="00564EF6" w:rsidRPr="00A52AB8" w:rsidRDefault="00564EF6" w:rsidP="00E72F7E">
      <w:pPr>
        <w:pStyle w:val="TermHeading"/>
      </w:pPr>
    </w:p>
    <w:p w14:paraId="2B0C6DB5" w14:textId="77777777" w:rsidR="0050235C" w:rsidRPr="00A52AB8" w:rsidRDefault="00564EF6" w:rsidP="00564EF6">
      <w:pPr>
        <w:pStyle w:val="Terms"/>
        <w:rPr>
          <w:color w:val="000000" w:themeColor="text1"/>
        </w:rPr>
      </w:pPr>
      <w:r w:rsidRPr="00A52AB8">
        <w:rPr>
          <w:color w:val="000000" w:themeColor="text1"/>
        </w:rPr>
        <w:t>patch data</w:t>
      </w:r>
    </w:p>
    <w:p w14:paraId="457E7E26" w14:textId="34D11AA6" w:rsidR="00FD59A0" w:rsidRPr="00A52AB8" w:rsidRDefault="00FD59A0" w:rsidP="00564EF6">
      <w:pPr>
        <w:pStyle w:val="Definition"/>
      </w:pPr>
      <w:r w:rsidRPr="00A52AB8">
        <w:t xml:space="preserve">data in an </w:t>
      </w:r>
      <w:r w:rsidRPr="00A52AB8">
        <w:rPr>
          <w:i/>
          <w:iCs/>
        </w:rPr>
        <w:t>atlas</w:t>
      </w:r>
      <w:r w:rsidRPr="00A52AB8">
        <w:t xml:space="preserve"> (</w:t>
      </w:r>
      <w:r w:rsidRPr="00496A4D">
        <w:fldChar w:fldCharType="begin"/>
      </w:r>
      <w:r w:rsidRPr="00A52AB8">
        <w:instrText xml:space="preserve"> REF _Ref47524403 \r \h  \* MERGEFORMAT </w:instrText>
      </w:r>
      <w:r w:rsidRPr="00496A4D">
        <w:fldChar w:fldCharType="separate"/>
      </w:r>
      <w:r w:rsidR="00507A67">
        <w:t>3.4</w:t>
      </w:r>
      <w:r w:rsidRPr="00496A4D">
        <w:fldChar w:fldCharType="end"/>
      </w:r>
      <w:r w:rsidRPr="00A52AB8">
        <w:t xml:space="preserve">) associated with a </w:t>
      </w:r>
      <w:r w:rsidRPr="00A52AB8">
        <w:rPr>
          <w:i/>
          <w:iCs/>
        </w:rPr>
        <w:t>patch</w:t>
      </w:r>
      <w:r w:rsidRPr="00A52AB8">
        <w:t xml:space="preserve"> (</w:t>
      </w:r>
      <w:r w:rsidRPr="00496A4D">
        <w:fldChar w:fldCharType="begin"/>
      </w:r>
      <w:r w:rsidRPr="00A52AB8">
        <w:instrText xml:space="preserve"> REF _Ref47523249 \r \h  \* MERGEFORMAT </w:instrText>
      </w:r>
      <w:r w:rsidRPr="00496A4D">
        <w:fldChar w:fldCharType="separate"/>
      </w:r>
      <w:r w:rsidR="00507A67">
        <w:t>3.93</w:t>
      </w:r>
      <w:r w:rsidRPr="00496A4D">
        <w:fldChar w:fldCharType="end"/>
      </w:r>
      <w:r w:rsidRPr="00A52AB8">
        <w:t>) that enables the conversion of 2D projected data back to 3D space</w:t>
      </w:r>
    </w:p>
    <w:p w14:paraId="19F6CC8A" w14:textId="77777777" w:rsidR="00F05D3F" w:rsidRPr="00A52AB8" w:rsidRDefault="00F05D3F" w:rsidP="00E72F7E">
      <w:pPr>
        <w:pStyle w:val="TermHeading"/>
      </w:pPr>
      <w:bookmarkStart w:id="77" w:name="_Ref47980179"/>
    </w:p>
    <w:bookmarkEnd w:id="77"/>
    <w:p w14:paraId="31220230" w14:textId="77777777" w:rsidR="0050235C" w:rsidRPr="00A52AB8" w:rsidRDefault="00F05D3F" w:rsidP="00F05D3F">
      <w:pPr>
        <w:pStyle w:val="Terms"/>
        <w:rPr>
          <w:color w:val="000000" w:themeColor="text1"/>
        </w:rPr>
      </w:pPr>
      <w:r w:rsidRPr="00A52AB8">
        <w:rPr>
          <w:color w:val="000000" w:themeColor="text1"/>
        </w:rPr>
        <w:t>patch mode</w:t>
      </w:r>
    </w:p>
    <w:p w14:paraId="3A1D2C87" w14:textId="0497ED6B" w:rsidR="00F05D3F" w:rsidRPr="00A52AB8" w:rsidRDefault="00A715B3" w:rsidP="00564EF6">
      <w:pPr>
        <w:pStyle w:val="Definition"/>
      </w:pPr>
      <w:r w:rsidRPr="00A52AB8">
        <w:rPr>
          <w:i/>
          <w:iCs/>
        </w:rPr>
        <w:t>syntax element</w:t>
      </w:r>
      <w:r w:rsidRPr="00A52AB8">
        <w:t xml:space="preserve"> </w:t>
      </w:r>
      <w:r w:rsidR="00042BCF" w:rsidRPr="00A52AB8">
        <w:t>(</w:t>
      </w:r>
      <w:r w:rsidR="00042BCF" w:rsidRPr="00496A4D">
        <w:fldChar w:fldCharType="begin"/>
      </w:r>
      <w:r w:rsidR="00042BCF" w:rsidRPr="00A52AB8">
        <w:instrText xml:space="preserve"> REF _Ref47525293 \r \h </w:instrText>
      </w:r>
      <w:r w:rsidR="00851254" w:rsidRPr="00A52AB8">
        <w:instrText xml:space="preserve"> \* MERGEFORMAT </w:instrText>
      </w:r>
      <w:r w:rsidR="00042BCF" w:rsidRPr="00496A4D">
        <w:fldChar w:fldCharType="separate"/>
      </w:r>
      <w:r w:rsidR="00507A67">
        <w:t>3.128</w:t>
      </w:r>
      <w:r w:rsidR="00042BCF" w:rsidRPr="00496A4D">
        <w:fldChar w:fldCharType="end"/>
      </w:r>
      <w:r w:rsidR="00042BCF" w:rsidRPr="00A52AB8">
        <w:t>)</w:t>
      </w:r>
      <w:r w:rsidR="000909CA" w:rsidRPr="00A52AB8">
        <w:t xml:space="preserve"> </w:t>
      </w:r>
      <w:r w:rsidRPr="00A52AB8">
        <w:t xml:space="preserve">in the </w:t>
      </w:r>
      <w:r w:rsidRPr="00A52AB8">
        <w:rPr>
          <w:i/>
          <w:iCs/>
        </w:rPr>
        <w:t>atlas bitstream</w:t>
      </w:r>
      <w:r w:rsidR="008C0A27" w:rsidRPr="00A52AB8">
        <w:rPr>
          <w:i/>
          <w:iCs/>
        </w:rPr>
        <w:t xml:space="preserve"> </w:t>
      </w:r>
      <w:r w:rsidR="000B4224" w:rsidRPr="00A52AB8">
        <w:t>(</w:t>
      </w:r>
      <w:r w:rsidR="00F04029" w:rsidRPr="00496A4D">
        <w:fldChar w:fldCharType="begin"/>
      </w:r>
      <w:r w:rsidR="00F04029" w:rsidRPr="00A52AB8">
        <w:instrText xml:space="preserve"> REF _Ref48156683 \n \h </w:instrText>
      </w:r>
      <w:r w:rsidR="00851254" w:rsidRPr="00A52AB8">
        <w:instrText xml:space="preserve"> \* MERGEFORMAT </w:instrText>
      </w:r>
      <w:r w:rsidR="00F04029" w:rsidRPr="00496A4D">
        <w:fldChar w:fldCharType="separate"/>
      </w:r>
      <w:r w:rsidR="00507A67">
        <w:t>3.5</w:t>
      </w:r>
      <w:r w:rsidR="00F04029" w:rsidRPr="00496A4D">
        <w:fldChar w:fldCharType="end"/>
      </w:r>
      <w:r w:rsidR="000B4224" w:rsidRPr="00A52AB8">
        <w:t>)</w:t>
      </w:r>
      <w:r w:rsidRPr="00A52AB8">
        <w:t xml:space="preserve"> </w:t>
      </w:r>
      <w:r w:rsidR="007B2D7B" w:rsidRPr="00A52AB8">
        <w:t xml:space="preserve">that </w:t>
      </w:r>
      <w:r w:rsidRPr="00A52AB8">
        <w:t>indicat</w:t>
      </w:r>
      <w:r w:rsidR="007B2D7B" w:rsidRPr="00A52AB8">
        <w:t>es</w:t>
      </w:r>
      <w:r w:rsidRPr="00A52AB8">
        <w:t xml:space="preserve"> how a </w:t>
      </w:r>
      <w:r w:rsidRPr="00A52AB8">
        <w:rPr>
          <w:i/>
          <w:iCs/>
        </w:rPr>
        <w:t>patch</w:t>
      </w:r>
      <w:r w:rsidRPr="00A52AB8">
        <w:t xml:space="preserve"> </w:t>
      </w:r>
      <w:r w:rsidR="00646C71" w:rsidRPr="00A52AB8">
        <w:t>(</w:t>
      </w:r>
      <w:r w:rsidR="00646C71" w:rsidRPr="00496A4D">
        <w:fldChar w:fldCharType="begin"/>
      </w:r>
      <w:r w:rsidR="00646C71" w:rsidRPr="00A52AB8">
        <w:instrText xml:space="preserve"> REF _Ref47523249 \r \h  \* MERGEFORMAT </w:instrText>
      </w:r>
      <w:r w:rsidR="00646C71" w:rsidRPr="00496A4D">
        <w:fldChar w:fldCharType="separate"/>
      </w:r>
      <w:r w:rsidR="00507A67">
        <w:t>3.93</w:t>
      </w:r>
      <w:r w:rsidR="00646C71" w:rsidRPr="00496A4D">
        <w:fldChar w:fldCharType="end"/>
      </w:r>
      <w:r w:rsidR="00646C71" w:rsidRPr="00A52AB8">
        <w:t xml:space="preserve">) </w:t>
      </w:r>
      <w:r w:rsidRPr="00A52AB8">
        <w:t>is defined</w:t>
      </w:r>
      <w:r w:rsidR="007B2D7B" w:rsidRPr="00A52AB8">
        <w:t xml:space="preserve"> and</w:t>
      </w:r>
      <w:r w:rsidR="001C392F" w:rsidRPr="00A52AB8">
        <w:t xml:space="preserve"> </w:t>
      </w:r>
      <w:r w:rsidRPr="00A52AB8">
        <w:t xml:space="preserve">associated with other </w:t>
      </w:r>
      <w:r w:rsidR="001C392F" w:rsidRPr="00A52AB8">
        <w:rPr>
          <w:i/>
          <w:iCs/>
        </w:rPr>
        <w:t xml:space="preserve">V3C </w:t>
      </w:r>
      <w:r w:rsidRPr="00A52AB8">
        <w:rPr>
          <w:i/>
          <w:iCs/>
        </w:rPr>
        <w:t>components</w:t>
      </w:r>
      <w:r w:rsidR="001C392F" w:rsidRPr="00A52AB8">
        <w:rPr>
          <w:i/>
          <w:iCs/>
        </w:rPr>
        <w:t xml:space="preserve"> </w:t>
      </w:r>
      <w:r w:rsidR="001C392F" w:rsidRPr="00A52AB8">
        <w:t>(</w:t>
      </w:r>
      <w:r w:rsidR="005A4BCF" w:rsidRPr="00496A4D">
        <w:fldChar w:fldCharType="begin"/>
      </w:r>
      <w:r w:rsidR="005A4BCF" w:rsidRPr="00A52AB8">
        <w:instrText xml:space="preserve"> REF _Ref47525972 \r \h </w:instrText>
      </w:r>
      <w:r w:rsidR="00851254" w:rsidRPr="00A52AB8">
        <w:instrText xml:space="preserve"> \* MERGEFORMAT </w:instrText>
      </w:r>
      <w:r w:rsidR="005A4BCF" w:rsidRPr="00496A4D">
        <w:fldChar w:fldCharType="separate"/>
      </w:r>
      <w:r w:rsidR="00507A67">
        <w:t>3.139</w:t>
      </w:r>
      <w:r w:rsidR="005A4BCF" w:rsidRPr="00496A4D">
        <w:fldChar w:fldCharType="end"/>
      </w:r>
      <w:r w:rsidR="001C392F" w:rsidRPr="00A52AB8">
        <w:t>)</w:t>
      </w:r>
      <w:r w:rsidRPr="00A52AB8">
        <w:t xml:space="preserve"> </w:t>
      </w:r>
      <w:r w:rsidR="00135BEF" w:rsidRPr="00A52AB8">
        <w:t xml:space="preserve">and provides information of how to reconstruct such </w:t>
      </w:r>
      <w:r w:rsidR="00646C71" w:rsidRPr="00A52AB8">
        <w:rPr>
          <w:i/>
          <w:iCs/>
        </w:rPr>
        <w:t xml:space="preserve">V3C </w:t>
      </w:r>
      <w:r w:rsidR="00135BEF" w:rsidRPr="00A52AB8">
        <w:rPr>
          <w:i/>
          <w:iCs/>
        </w:rPr>
        <w:t>components</w:t>
      </w:r>
      <w:r w:rsidR="005A4BCF" w:rsidRPr="00A52AB8">
        <w:t xml:space="preserve"> (</w:t>
      </w:r>
      <w:r w:rsidR="005A4BCF" w:rsidRPr="00496A4D">
        <w:fldChar w:fldCharType="begin"/>
      </w:r>
      <w:r w:rsidR="005A4BCF" w:rsidRPr="00A52AB8">
        <w:instrText xml:space="preserve"> REF _Ref47525972 \r \h </w:instrText>
      </w:r>
      <w:r w:rsidR="00851254" w:rsidRPr="00A52AB8">
        <w:instrText xml:space="preserve"> \* MERGEFORMAT </w:instrText>
      </w:r>
      <w:r w:rsidR="005A4BCF" w:rsidRPr="00496A4D">
        <w:fldChar w:fldCharType="separate"/>
      </w:r>
      <w:r w:rsidR="00507A67">
        <w:t>3.139</w:t>
      </w:r>
      <w:r w:rsidR="005A4BCF" w:rsidRPr="00496A4D">
        <w:fldChar w:fldCharType="end"/>
      </w:r>
      <w:r w:rsidR="005A4BCF" w:rsidRPr="00A52AB8">
        <w:t>)</w:t>
      </w:r>
    </w:p>
    <w:p w14:paraId="0C4214C8" w14:textId="77777777" w:rsidR="00E258B8" w:rsidRPr="00A52AB8" w:rsidRDefault="00E258B8" w:rsidP="00E72F7E">
      <w:pPr>
        <w:pStyle w:val="TermHeading"/>
      </w:pPr>
      <w:bookmarkStart w:id="78" w:name="_Ref47981265"/>
    </w:p>
    <w:bookmarkEnd w:id="78"/>
    <w:p w14:paraId="18180781" w14:textId="77777777" w:rsidR="0050235C" w:rsidRPr="00A52AB8" w:rsidRDefault="00E258B8" w:rsidP="00E258B8">
      <w:pPr>
        <w:pStyle w:val="Terms"/>
        <w:rPr>
          <w:color w:val="000000" w:themeColor="text1"/>
        </w:rPr>
      </w:pPr>
      <w:r w:rsidRPr="00A52AB8">
        <w:rPr>
          <w:color w:val="000000" w:themeColor="text1"/>
        </w:rPr>
        <w:t>patch type</w:t>
      </w:r>
    </w:p>
    <w:p w14:paraId="25162AA3" w14:textId="4B1E7F5A" w:rsidR="00E258B8" w:rsidRPr="00A52AB8" w:rsidRDefault="00145B75" w:rsidP="00564EF6">
      <w:pPr>
        <w:pStyle w:val="Definition"/>
      </w:pPr>
      <w:r w:rsidRPr="00A52AB8">
        <w:t>clas</w:t>
      </w:r>
      <w:r w:rsidR="00585987" w:rsidRPr="00A52AB8">
        <w:t>s</w:t>
      </w:r>
      <w:r w:rsidRPr="00A52AB8">
        <w:t>ification</w:t>
      </w:r>
      <w:r w:rsidR="00E258B8" w:rsidRPr="00A52AB8">
        <w:t xml:space="preserve"> of </w:t>
      </w:r>
      <w:r w:rsidR="00E258B8" w:rsidRPr="00A52AB8">
        <w:rPr>
          <w:i/>
          <w:iCs/>
        </w:rPr>
        <w:t>patch modes</w:t>
      </w:r>
      <w:r w:rsidR="00E258B8" w:rsidRPr="00A52AB8">
        <w:t xml:space="preserve"> (</w:t>
      </w:r>
      <w:r w:rsidR="008D39B1" w:rsidRPr="00496A4D">
        <w:fldChar w:fldCharType="begin"/>
      </w:r>
      <w:r w:rsidR="008D39B1" w:rsidRPr="00A52AB8">
        <w:instrText xml:space="preserve"> REF _Ref47980179 \r \h </w:instrText>
      </w:r>
      <w:r w:rsidR="00851254" w:rsidRPr="00A52AB8">
        <w:instrText xml:space="preserve"> \* MERGEFORMAT </w:instrText>
      </w:r>
      <w:r w:rsidR="008D39B1" w:rsidRPr="00496A4D">
        <w:fldChar w:fldCharType="separate"/>
      </w:r>
      <w:r w:rsidR="00507A67">
        <w:t>3.95</w:t>
      </w:r>
      <w:r w:rsidR="008D39B1" w:rsidRPr="00496A4D">
        <w:fldChar w:fldCharType="end"/>
      </w:r>
      <w:r w:rsidR="00E258B8" w:rsidRPr="00A52AB8">
        <w:t>)</w:t>
      </w:r>
      <w:r w:rsidR="00D60085" w:rsidRPr="00A52AB8">
        <w:t xml:space="preserve"> </w:t>
      </w:r>
      <w:r w:rsidRPr="00A52AB8">
        <w:t>based on</w:t>
      </w:r>
      <w:r w:rsidR="00C946E7" w:rsidRPr="00A52AB8">
        <w:t xml:space="preserve"> how the</w:t>
      </w:r>
      <w:r w:rsidR="00160DD6" w:rsidRPr="00A52AB8">
        <w:t xml:space="preserve"> </w:t>
      </w:r>
      <w:r w:rsidR="00C946E7" w:rsidRPr="00A52AB8">
        <w:t xml:space="preserve">characteristics of a </w:t>
      </w:r>
      <w:r w:rsidR="00C946E7" w:rsidRPr="00A52AB8">
        <w:rPr>
          <w:i/>
          <w:iCs/>
        </w:rPr>
        <w:t>patch</w:t>
      </w:r>
      <w:r w:rsidR="00C946E7" w:rsidRPr="00A52AB8">
        <w:t xml:space="preserve"> </w:t>
      </w:r>
      <w:r w:rsidR="00837DDB" w:rsidRPr="00A52AB8">
        <w:t>(</w:t>
      </w:r>
      <w:r w:rsidR="00837DDB" w:rsidRPr="00496A4D">
        <w:fldChar w:fldCharType="begin"/>
      </w:r>
      <w:r w:rsidR="00837DDB" w:rsidRPr="00A52AB8">
        <w:instrText xml:space="preserve"> REF _Ref47523249 \r \h  \* MERGEFORMAT </w:instrText>
      </w:r>
      <w:r w:rsidR="00837DDB" w:rsidRPr="00496A4D">
        <w:fldChar w:fldCharType="separate"/>
      </w:r>
      <w:r w:rsidR="00507A67">
        <w:t>3.93</w:t>
      </w:r>
      <w:r w:rsidR="00837DDB" w:rsidRPr="00496A4D">
        <w:fldChar w:fldCharType="end"/>
      </w:r>
      <w:r w:rsidR="00837DDB" w:rsidRPr="00A52AB8">
        <w:t xml:space="preserve">) </w:t>
      </w:r>
      <w:r w:rsidR="00C946E7" w:rsidRPr="00A52AB8">
        <w:t>are signalled and interpreted</w:t>
      </w:r>
    </w:p>
    <w:p w14:paraId="5E6E6A8E" w14:textId="77777777" w:rsidR="00564EF6" w:rsidRPr="00A52AB8" w:rsidRDefault="00564EF6" w:rsidP="00E72F7E">
      <w:pPr>
        <w:pStyle w:val="TermHeading"/>
      </w:pPr>
      <w:bookmarkStart w:id="79" w:name="_Ref51582214"/>
    </w:p>
    <w:bookmarkEnd w:id="79"/>
    <w:p w14:paraId="4CFAC465" w14:textId="51F7E162" w:rsidR="00564EF6" w:rsidRPr="00A52AB8" w:rsidRDefault="00564EF6" w:rsidP="00564EF6">
      <w:pPr>
        <w:pStyle w:val="Terms"/>
        <w:rPr>
          <w:color w:val="000000" w:themeColor="text1"/>
        </w:rPr>
      </w:pPr>
      <w:r w:rsidRPr="00A52AB8">
        <w:rPr>
          <w:color w:val="000000" w:themeColor="text1"/>
        </w:rPr>
        <w:t>prefix ESEI NAL unit</w:t>
      </w:r>
    </w:p>
    <w:p w14:paraId="4B4D255E" w14:textId="1D2B22EF" w:rsidR="00564EF6" w:rsidRPr="00A52AB8" w:rsidRDefault="00564EF6" w:rsidP="00564EF6">
      <w:pPr>
        <w:pStyle w:val="Definition"/>
        <w:rPr>
          <w:color w:val="000000" w:themeColor="text1"/>
        </w:rPr>
      </w:pPr>
      <w:r w:rsidRPr="00A52AB8">
        <w:rPr>
          <w:i/>
          <w:iCs/>
          <w:color w:val="000000" w:themeColor="text1"/>
        </w:rPr>
        <w:t>essential SEI NAL unit</w:t>
      </w:r>
      <w:r w:rsidR="00121DE5" w:rsidRPr="00A52AB8">
        <w:rPr>
          <w:color w:val="000000" w:themeColor="text1"/>
        </w:rPr>
        <w:t xml:space="preserve"> (</w:t>
      </w:r>
      <w:r w:rsidR="00121DE5" w:rsidRPr="00496A4D">
        <w:rPr>
          <w:color w:val="000000" w:themeColor="text1"/>
        </w:rPr>
        <w:fldChar w:fldCharType="begin"/>
      </w:r>
      <w:r w:rsidR="00121DE5" w:rsidRPr="00A52AB8">
        <w:rPr>
          <w:color w:val="000000" w:themeColor="text1"/>
        </w:rPr>
        <w:instrText xml:space="preserve"> REF _Ref49679360 \n \h </w:instrText>
      </w:r>
      <w:r w:rsidR="00007BE2" w:rsidRPr="00A52AB8">
        <w:rPr>
          <w:color w:val="000000" w:themeColor="text1"/>
        </w:rPr>
        <w:instrText xml:space="preserve"> \* MERGEFORMAT </w:instrText>
      </w:r>
      <w:r w:rsidR="00121DE5" w:rsidRPr="00496A4D">
        <w:rPr>
          <w:color w:val="000000" w:themeColor="text1"/>
        </w:rPr>
      </w:r>
      <w:r w:rsidR="00121DE5" w:rsidRPr="00496A4D">
        <w:rPr>
          <w:color w:val="000000" w:themeColor="text1"/>
        </w:rPr>
        <w:fldChar w:fldCharType="separate"/>
      </w:r>
      <w:r w:rsidR="00507A67">
        <w:rPr>
          <w:color w:val="000000" w:themeColor="text1"/>
        </w:rPr>
        <w:t>3.60</w:t>
      </w:r>
      <w:r w:rsidR="00121DE5" w:rsidRPr="00496A4D">
        <w:rPr>
          <w:color w:val="000000" w:themeColor="text1"/>
        </w:rPr>
        <w:fldChar w:fldCharType="end"/>
      </w:r>
      <w:r w:rsidR="00121DE5" w:rsidRPr="00A52AB8">
        <w:rPr>
          <w:color w:val="000000" w:themeColor="text1"/>
        </w:rPr>
        <w:t>)</w:t>
      </w:r>
      <w:r w:rsidRPr="00A52AB8">
        <w:rPr>
          <w:color w:val="000000" w:themeColor="text1"/>
        </w:rPr>
        <w:t xml:space="preserve"> that has nal_unit_type equal to NAL_PREFIX_ESEI</w:t>
      </w:r>
    </w:p>
    <w:p w14:paraId="699F5658" w14:textId="77777777" w:rsidR="00564EF6" w:rsidRPr="00A52AB8" w:rsidRDefault="00564EF6" w:rsidP="00E72F7E">
      <w:pPr>
        <w:pStyle w:val="TermHeading"/>
      </w:pPr>
      <w:bookmarkStart w:id="80" w:name="_Ref51582198"/>
    </w:p>
    <w:bookmarkEnd w:id="80"/>
    <w:p w14:paraId="20C06DF3" w14:textId="46790B7D" w:rsidR="00564EF6" w:rsidRPr="00A52AB8" w:rsidRDefault="00564EF6" w:rsidP="00564EF6">
      <w:pPr>
        <w:pStyle w:val="Terms"/>
        <w:rPr>
          <w:color w:val="000000" w:themeColor="text1"/>
        </w:rPr>
      </w:pPr>
      <w:r w:rsidRPr="00A52AB8">
        <w:rPr>
          <w:color w:val="000000" w:themeColor="text1"/>
        </w:rPr>
        <w:t>prefix NSEI NAL unit</w:t>
      </w:r>
    </w:p>
    <w:p w14:paraId="1146C00C" w14:textId="4EC06531" w:rsidR="00564EF6" w:rsidRPr="00A52AB8" w:rsidRDefault="00564EF6" w:rsidP="00564EF6">
      <w:pPr>
        <w:pStyle w:val="Definition"/>
        <w:rPr>
          <w:color w:val="000000" w:themeColor="text1"/>
        </w:rPr>
      </w:pPr>
      <w:r w:rsidRPr="00A52AB8">
        <w:rPr>
          <w:color w:val="000000" w:themeColor="text1"/>
        </w:rPr>
        <w:t xml:space="preserve">non-essential SEI NAL unit </w:t>
      </w:r>
      <w:r w:rsidR="00121DE5" w:rsidRPr="00A52AB8">
        <w:rPr>
          <w:color w:val="000000" w:themeColor="text1"/>
        </w:rPr>
        <w:t>(</w:t>
      </w:r>
      <w:r w:rsidR="00121DE5" w:rsidRPr="00496A4D">
        <w:rPr>
          <w:color w:val="000000" w:themeColor="text1"/>
        </w:rPr>
        <w:fldChar w:fldCharType="begin"/>
      </w:r>
      <w:r w:rsidR="00121DE5" w:rsidRPr="00A52AB8">
        <w:rPr>
          <w:color w:val="000000" w:themeColor="text1"/>
        </w:rPr>
        <w:instrText xml:space="preserve"> REF _Ref49679400 \n \h </w:instrText>
      </w:r>
      <w:r w:rsidR="00007BE2" w:rsidRPr="00A52AB8">
        <w:rPr>
          <w:color w:val="000000" w:themeColor="text1"/>
        </w:rPr>
        <w:instrText xml:space="preserve"> \* MERGEFORMAT </w:instrText>
      </w:r>
      <w:r w:rsidR="00121DE5" w:rsidRPr="00496A4D">
        <w:rPr>
          <w:color w:val="000000" w:themeColor="text1"/>
        </w:rPr>
      </w:r>
      <w:r w:rsidR="00121DE5" w:rsidRPr="00496A4D">
        <w:rPr>
          <w:color w:val="000000" w:themeColor="text1"/>
        </w:rPr>
        <w:fldChar w:fldCharType="separate"/>
      </w:r>
      <w:r w:rsidR="00507A67">
        <w:rPr>
          <w:color w:val="000000" w:themeColor="text1"/>
        </w:rPr>
        <w:t>3.90</w:t>
      </w:r>
      <w:r w:rsidR="00121DE5" w:rsidRPr="00496A4D">
        <w:rPr>
          <w:color w:val="000000" w:themeColor="text1"/>
        </w:rPr>
        <w:fldChar w:fldCharType="end"/>
      </w:r>
      <w:r w:rsidR="00121DE5" w:rsidRPr="00A52AB8">
        <w:rPr>
          <w:color w:val="000000" w:themeColor="text1"/>
        </w:rPr>
        <w:t xml:space="preserve">) </w:t>
      </w:r>
      <w:r w:rsidRPr="00A52AB8">
        <w:rPr>
          <w:color w:val="000000" w:themeColor="text1"/>
        </w:rPr>
        <w:t>that has nal_unit_type equal to NAL_PREFIX_NSEI</w:t>
      </w:r>
    </w:p>
    <w:p w14:paraId="62424BBF" w14:textId="77777777" w:rsidR="00564EF6" w:rsidRPr="00A52AB8" w:rsidRDefault="00564EF6" w:rsidP="00564EF6">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p>
    <w:p w14:paraId="2460D1DA" w14:textId="77777777" w:rsidR="00564EF6" w:rsidRPr="00A52AB8" w:rsidRDefault="00564EF6" w:rsidP="00564EF6">
      <w:pPr>
        <w:pStyle w:val="Terms"/>
        <w:rPr>
          <w:color w:val="000000" w:themeColor="text1"/>
        </w:rPr>
      </w:pPr>
      <w:r w:rsidRPr="00A52AB8">
        <w:rPr>
          <w:color w:val="000000" w:themeColor="text1"/>
        </w:rPr>
        <w:t>prefix SEI message</w:t>
      </w:r>
    </w:p>
    <w:p w14:paraId="315F6E84" w14:textId="1987C7CF" w:rsidR="00564EF6" w:rsidRPr="00A52AB8" w:rsidRDefault="00564EF6" w:rsidP="00564EF6">
      <w:pPr>
        <w:pStyle w:val="Definition"/>
        <w:rPr>
          <w:color w:val="000000" w:themeColor="text1"/>
        </w:rPr>
      </w:pPr>
      <w:r w:rsidRPr="00A52AB8">
        <w:rPr>
          <w:i/>
          <w:iCs/>
          <w:color w:val="000000" w:themeColor="text1"/>
        </w:rPr>
        <w:t>SEI</w:t>
      </w:r>
      <w:r w:rsidRPr="00A52AB8">
        <w:rPr>
          <w:color w:val="000000" w:themeColor="text1"/>
        </w:rPr>
        <w:t xml:space="preserve"> </w:t>
      </w:r>
      <w:r w:rsidR="00121DE5" w:rsidRPr="00A52AB8">
        <w:rPr>
          <w:color w:val="000000" w:themeColor="text1"/>
        </w:rPr>
        <w:t>(</w:t>
      </w:r>
      <w:r w:rsidR="00121DE5" w:rsidRPr="00496A4D">
        <w:rPr>
          <w:color w:val="000000" w:themeColor="text1"/>
        </w:rPr>
        <w:fldChar w:fldCharType="begin"/>
      </w:r>
      <w:r w:rsidR="00121DE5" w:rsidRPr="00A52AB8">
        <w:rPr>
          <w:color w:val="000000" w:themeColor="text1"/>
        </w:rPr>
        <w:instrText xml:space="preserve"> REF _Ref48984467 \n \h </w:instrText>
      </w:r>
      <w:r w:rsidR="00007BE2" w:rsidRPr="00A52AB8">
        <w:rPr>
          <w:color w:val="000000" w:themeColor="text1"/>
        </w:rPr>
        <w:instrText xml:space="preserve"> \* MERGEFORMAT </w:instrText>
      </w:r>
      <w:r w:rsidR="00121DE5" w:rsidRPr="00496A4D">
        <w:rPr>
          <w:color w:val="000000" w:themeColor="text1"/>
        </w:rPr>
      </w:r>
      <w:r w:rsidR="00121DE5" w:rsidRPr="00496A4D">
        <w:rPr>
          <w:color w:val="000000" w:themeColor="text1"/>
        </w:rPr>
        <w:fldChar w:fldCharType="separate"/>
      </w:r>
      <w:r w:rsidR="00507A67">
        <w:rPr>
          <w:color w:val="000000" w:themeColor="text1"/>
        </w:rPr>
        <w:t>3.126</w:t>
      </w:r>
      <w:r w:rsidR="00121DE5" w:rsidRPr="00496A4D">
        <w:rPr>
          <w:color w:val="000000" w:themeColor="text1"/>
        </w:rPr>
        <w:fldChar w:fldCharType="end"/>
      </w:r>
      <w:r w:rsidR="00121DE5" w:rsidRPr="00A52AB8">
        <w:rPr>
          <w:color w:val="000000" w:themeColor="text1"/>
        </w:rPr>
        <w:t xml:space="preserve">) </w:t>
      </w:r>
      <w:r w:rsidRPr="00A52AB8">
        <w:rPr>
          <w:color w:val="000000" w:themeColor="text1"/>
        </w:rPr>
        <w:t xml:space="preserve">message that is contained in a prefix NSEI </w:t>
      </w:r>
      <w:r w:rsidR="00663CA9" w:rsidRPr="00A52AB8">
        <w:rPr>
          <w:color w:val="000000" w:themeColor="text1"/>
        </w:rPr>
        <w:t>NAL unit (</w:t>
      </w:r>
      <w:r w:rsidR="00663CA9" w:rsidRPr="00496A4D">
        <w:rPr>
          <w:color w:val="000000" w:themeColor="text1"/>
        </w:rPr>
        <w:fldChar w:fldCharType="begin"/>
      </w:r>
      <w:r w:rsidR="00663CA9" w:rsidRPr="00A52AB8">
        <w:rPr>
          <w:color w:val="000000" w:themeColor="text1"/>
        </w:rPr>
        <w:instrText xml:space="preserve"> REF _Ref51582198 \n \h </w:instrText>
      </w:r>
      <w:r w:rsidR="008F69D5" w:rsidRPr="00A52AB8">
        <w:rPr>
          <w:color w:val="000000" w:themeColor="text1"/>
        </w:rPr>
        <w:instrText xml:space="preserve"> \* MERGEFORMAT </w:instrText>
      </w:r>
      <w:r w:rsidR="00663CA9" w:rsidRPr="00496A4D">
        <w:rPr>
          <w:color w:val="000000" w:themeColor="text1"/>
        </w:rPr>
      </w:r>
      <w:r w:rsidR="00663CA9" w:rsidRPr="00496A4D">
        <w:rPr>
          <w:color w:val="000000" w:themeColor="text1"/>
        </w:rPr>
        <w:fldChar w:fldCharType="separate"/>
      </w:r>
      <w:r w:rsidR="00507A67">
        <w:rPr>
          <w:color w:val="000000" w:themeColor="text1"/>
        </w:rPr>
        <w:t>3.98</w:t>
      </w:r>
      <w:r w:rsidR="00663CA9" w:rsidRPr="00496A4D">
        <w:rPr>
          <w:color w:val="000000" w:themeColor="text1"/>
        </w:rPr>
        <w:fldChar w:fldCharType="end"/>
      </w:r>
      <w:r w:rsidR="00663CA9" w:rsidRPr="00A52AB8">
        <w:rPr>
          <w:color w:val="000000" w:themeColor="text1"/>
        </w:rPr>
        <w:t xml:space="preserve">) </w:t>
      </w:r>
      <w:r w:rsidRPr="00A52AB8">
        <w:rPr>
          <w:color w:val="000000" w:themeColor="text1"/>
        </w:rPr>
        <w:t>or prefix ESEI NAL unit</w:t>
      </w:r>
      <w:r w:rsidR="00663CA9" w:rsidRPr="00A52AB8">
        <w:rPr>
          <w:color w:val="000000" w:themeColor="text1"/>
        </w:rPr>
        <w:t xml:space="preserve"> (</w:t>
      </w:r>
      <w:r w:rsidR="00663CA9" w:rsidRPr="00496A4D">
        <w:rPr>
          <w:color w:val="000000" w:themeColor="text1"/>
        </w:rPr>
        <w:fldChar w:fldCharType="begin"/>
      </w:r>
      <w:r w:rsidR="00663CA9" w:rsidRPr="00A52AB8">
        <w:rPr>
          <w:color w:val="000000" w:themeColor="text1"/>
        </w:rPr>
        <w:instrText xml:space="preserve"> REF _Ref51582214 \n \h </w:instrText>
      </w:r>
      <w:r w:rsidR="008F69D5" w:rsidRPr="00A52AB8">
        <w:rPr>
          <w:color w:val="000000" w:themeColor="text1"/>
        </w:rPr>
        <w:instrText xml:space="preserve"> \* MERGEFORMAT </w:instrText>
      </w:r>
      <w:r w:rsidR="00663CA9" w:rsidRPr="00496A4D">
        <w:rPr>
          <w:color w:val="000000" w:themeColor="text1"/>
        </w:rPr>
      </w:r>
      <w:r w:rsidR="00663CA9" w:rsidRPr="00496A4D">
        <w:rPr>
          <w:color w:val="000000" w:themeColor="text1"/>
        </w:rPr>
        <w:fldChar w:fldCharType="separate"/>
      </w:r>
      <w:r w:rsidR="00507A67">
        <w:rPr>
          <w:color w:val="000000" w:themeColor="text1"/>
        </w:rPr>
        <w:t>3.97</w:t>
      </w:r>
      <w:r w:rsidR="00663CA9" w:rsidRPr="00496A4D">
        <w:rPr>
          <w:color w:val="000000" w:themeColor="text1"/>
        </w:rPr>
        <w:fldChar w:fldCharType="end"/>
      </w:r>
      <w:r w:rsidR="00663CA9" w:rsidRPr="00A52AB8">
        <w:rPr>
          <w:color w:val="000000" w:themeColor="text1"/>
        </w:rPr>
        <w:t>)</w:t>
      </w:r>
    </w:p>
    <w:p w14:paraId="351F7B05" w14:textId="77777777" w:rsidR="00564EF6" w:rsidRPr="00A52AB8" w:rsidRDefault="00564EF6" w:rsidP="00E72F7E">
      <w:pPr>
        <w:pStyle w:val="TermHeading"/>
      </w:pPr>
    </w:p>
    <w:p w14:paraId="13BF4A15" w14:textId="5428502D" w:rsidR="00564EF6" w:rsidRPr="00A52AB8" w:rsidRDefault="00564EF6" w:rsidP="00564EF6">
      <w:pPr>
        <w:pStyle w:val="Terms"/>
        <w:rPr>
          <w:color w:val="000000" w:themeColor="text1"/>
        </w:rPr>
      </w:pPr>
      <w:r w:rsidRPr="00A52AB8">
        <w:rPr>
          <w:color w:val="000000" w:themeColor="text1"/>
        </w:rPr>
        <w:t>prefix SEI NAL unit</w:t>
      </w:r>
    </w:p>
    <w:p w14:paraId="2C89C43F" w14:textId="3A4650DD" w:rsidR="00564EF6" w:rsidRPr="00A52AB8" w:rsidRDefault="00564EF6" w:rsidP="00564EF6">
      <w:pPr>
        <w:pStyle w:val="Definition"/>
        <w:rPr>
          <w:color w:val="000000" w:themeColor="text1"/>
        </w:rPr>
      </w:pPr>
      <w:r w:rsidRPr="00A52AB8">
        <w:rPr>
          <w:i/>
          <w:iCs/>
          <w:color w:val="000000" w:themeColor="text1"/>
        </w:rPr>
        <w:t>SEI NAL unit</w:t>
      </w:r>
      <w:r w:rsidRPr="00A52AB8">
        <w:rPr>
          <w:color w:val="000000" w:themeColor="text1"/>
        </w:rPr>
        <w:t xml:space="preserve"> </w:t>
      </w:r>
      <w:r w:rsidR="00121DE5" w:rsidRPr="00A52AB8">
        <w:rPr>
          <w:color w:val="000000" w:themeColor="text1"/>
        </w:rPr>
        <w:t>(</w:t>
      </w:r>
      <w:r w:rsidR="00121DE5" w:rsidRPr="00496A4D">
        <w:rPr>
          <w:color w:val="000000" w:themeColor="text1"/>
        </w:rPr>
        <w:fldChar w:fldCharType="begin"/>
      </w:r>
      <w:r w:rsidR="00121DE5" w:rsidRPr="00A52AB8">
        <w:rPr>
          <w:color w:val="000000" w:themeColor="text1"/>
        </w:rPr>
        <w:instrText xml:space="preserve"> REF _Ref48980265 \n \h </w:instrText>
      </w:r>
      <w:r w:rsidR="00007BE2" w:rsidRPr="00A52AB8">
        <w:rPr>
          <w:color w:val="000000" w:themeColor="text1"/>
        </w:rPr>
        <w:instrText xml:space="preserve"> \* MERGEFORMAT </w:instrText>
      </w:r>
      <w:r w:rsidR="00121DE5" w:rsidRPr="00496A4D">
        <w:rPr>
          <w:color w:val="000000" w:themeColor="text1"/>
        </w:rPr>
      </w:r>
      <w:r w:rsidR="00121DE5" w:rsidRPr="00496A4D">
        <w:rPr>
          <w:color w:val="000000" w:themeColor="text1"/>
        </w:rPr>
        <w:fldChar w:fldCharType="separate"/>
      </w:r>
      <w:r w:rsidR="00507A67">
        <w:rPr>
          <w:color w:val="000000" w:themeColor="text1"/>
        </w:rPr>
        <w:t>3.127</w:t>
      </w:r>
      <w:r w:rsidR="00121DE5" w:rsidRPr="00496A4D">
        <w:rPr>
          <w:color w:val="000000" w:themeColor="text1"/>
        </w:rPr>
        <w:fldChar w:fldCharType="end"/>
      </w:r>
      <w:r w:rsidR="00121DE5" w:rsidRPr="00A52AB8">
        <w:rPr>
          <w:color w:val="000000" w:themeColor="text1"/>
        </w:rPr>
        <w:t xml:space="preserve">) </w:t>
      </w:r>
      <w:r w:rsidRPr="00A52AB8">
        <w:rPr>
          <w:color w:val="000000" w:themeColor="text1"/>
        </w:rPr>
        <w:t>that has nal_unit_type equal to NAL_PREFIX_NSEI or NAL_PREFIX_ESEI</w:t>
      </w:r>
    </w:p>
    <w:p w14:paraId="3C3A7CB4" w14:textId="77777777" w:rsidR="007B43F5" w:rsidRPr="00A52AB8" w:rsidRDefault="007B43F5" w:rsidP="00E72F7E">
      <w:pPr>
        <w:pStyle w:val="TermHeading"/>
      </w:pPr>
      <w:bookmarkStart w:id="81" w:name="_Ref47981961"/>
    </w:p>
    <w:bookmarkEnd w:id="81"/>
    <w:p w14:paraId="171517DE" w14:textId="77777777" w:rsidR="0050235C" w:rsidRPr="00A52AB8" w:rsidRDefault="000B0CD5" w:rsidP="000B0CD5">
      <w:pPr>
        <w:pStyle w:val="Terms"/>
        <w:rPr>
          <w:color w:val="000000" w:themeColor="text1"/>
        </w:rPr>
      </w:pPr>
      <w:r w:rsidRPr="00A52AB8">
        <w:rPr>
          <w:color w:val="000000" w:themeColor="text1"/>
        </w:rPr>
        <w:t>PROJECTED patch</w:t>
      </w:r>
    </w:p>
    <w:p w14:paraId="5CAA33DD" w14:textId="745ED0CB" w:rsidR="003F5D9C" w:rsidRPr="00A52AB8" w:rsidRDefault="003F5D9C" w:rsidP="00564EF6">
      <w:pPr>
        <w:pStyle w:val="Definition"/>
        <w:rPr>
          <w:rFonts w:cs="Calibri"/>
        </w:rPr>
      </w:pPr>
      <w:r w:rsidRPr="00A52AB8">
        <w:rPr>
          <w:i/>
          <w:iCs/>
        </w:rPr>
        <w:t>patch</w:t>
      </w:r>
      <w:r w:rsidRPr="00A52AB8">
        <w:t xml:space="preserve"> (</w:t>
      </w:r>
      <w:r w:rsidRPr="00496A4D">
        <w:fldChar w:fldCharType="begin"/>
      </w:r>
      <w:r w:rsidRPr="00A52AB8">
        <w:instrText xml:space="preserve"> REF _Ref47523249 \r \h  \* MERGEFORMAT </w:instrText>
      </w:r>
      <w:r w:rsidRPr="00496A4D">
        <w:fldChar w:fldCharType="separate"/>
      </w:r>
      <w:r w:rsidR="00507A67">
        <w:t>3.93</w:t>
      </w:r>
      <w:r w:rsidRPr="00496A4D">
        <w:fldChar w:fldCharType="end"/>
      </w:r>
      <w:r w:rsidRPr="00A52AB8">
        <w:t xml:space="preserve">) </w:t>
      </w:r>
      <w:r w:rsidR="00730876" w:rsidRPr="00A52AB8">
        <w:t xml:space="preserve">with </w:t>
      </w:r>
      <w:r w:rsidRPr="00A52AB8">
        <w:rPr>
          <w:i/>
          <w:iCs/>
        </w:rPr>
        <w:t>patch mode</w:t>
      </w:r>
      <w:r w:rsidRPr="00A52AB8">
        <w:t xml:space="preserve"> (</w:t>
      </w:r>
      <w:r w:rsidRPr="00496A4D">
        <w:fldChar w:fldCharType="begin"/>
      </w:r>
      <w:r w:rsidRPr="00A52AB8">
        <w:instrText xml:space="preserve"> REF _Ref47980179 \r \h </w:instrText>
      </w:r>
      <w:r w:rsidR="00851254" w:rsidRPr="00A52AB8">
        <w:instrText xml:space="preserve"> \* MERGEFORMAT </w:instrText>
      </w:r>
      <w:r w:rsidRPr="00496A4D">
        <w:fldChar w:fldCharType="separate"/>
      </w:r>
      <w:r w:rsidR="00507A67">
        <w:t>3.95</w:t>
      </w:r>
      <w:r w:rsidRPr="00496A4D">
        <w:fldChar w:fldCharType="end"/>
      </w:r>
      <w:r w:rsidRPr="00A52AB8">
        <w:t>) equal to I_</w:t>
      </w:r>
      <w:r w:rsidR="00EE1748" w:rsidRPr="00A52AB8">
        <w:t>INTRA</w:t>
      </w:r>
      <w:r w:rsidRPr="00A52AB8">
        <w:t>, P_</w:t>
      </w:r>
      <w:r w:rsidR="00EE1748" w:rsidRPr="00A52AB8">
        <w:t>INTRA</w:t>
      </w:r>
      <w:r w:rsidRPr="00A52AB8">
        <w:t>,</w:t>
      </w:r>
      <w:r w:rsidR="00EE1748" w:rsidRPr="00A52AB8">
        <w:t xml:space="preserve"> P_INTER,</w:t>
      </w:r>
      <w:r w:rsidRPr="00A52AB8">
        <w:t xml:space="preserve"> </w:t>
      </w:r>
      <w:r w:rsidR="00EE1748" w:rsidRPr="00A52AB8">
        <w:t>P_MERGE, or</w:t>
      </w:r>
      <w:r w:rsidRPr="00A52AB8">
        <w:t xml:space="preserve"> </w:t>
      </w:r>
      <w:r w:rsidRPr="00A52AB8">
        <w:rPr>
          <w:color w:val="000000" w:themeColor="text1"/>
          <w:lang w:eastAsia="ko-KR"/>
        </w:rPr>
        <w:t xml:space="preserve">P_SKIP </w:t>
      </w:r>
      <w:r w:rsidR="00D44AC5" w:rsidRPr="00A52AB8">
        <w:rPr>
          <w:color w:val="000000" w:themeColor="text1"/>
          <w:lang w:eastAsia="ko-KR"/>
        </w:rPr>
        <w:t xml:space="preserve">that </w:t>
      </w:r>
      <w:r w:rsidR="00EE1748" w:rsidRPr="00A52AB8">
        <w:rPr>
          <w:color w:val="000000" w:themeColor="text1"/>
          <w:lang w:eastAsia="ko-KR"/>
        </w:rPr>
        <w:t>is</w:t>
      </w:r>
      <w:r w:rsidR="00D44AC5" w:rsidRPr="00A52AB8">
        <w:rPr>
          <w:color w:val="000000" w:themeColor="text1"/>
          <w:lang w:eastAsia="ko-KR"/>
        </w:rPr>
        <w:t xml:space="preserve"> </w:t>
      </w:r>
      <w:r w:rsidR="00D44AC5" w:rsidRPr="00A52AB8">
        <w:rPr>
          <w:color w:val="000000" w:themeColor="text1"/>
        </w:rPr>
        <w:t>associated with projected information onto a 2D image</w:t>
      </w:r>
    </w:p>
    <w:p w14:paraId="08948FC3" w14:textId="77777777" w:rsidR="00564EF6" w:rsidRPr="00A52AB8" w:rsidRDefault="00564EF6" w:rsidP="00E72F7E">
      <w:pPr>
        <w:pStyle w:val="TermHeading"/>
      </w:pPr>
    </w:p>
    <w:p w14:paraId="465BE396" w14:textId="77777777" w:rsidR="00564EF6" w:rsidRPr="00A52AB8" w:rsidRDefault="00564EF6" w:rsidP="00564EF6">
      <w:pPr>
        <w:pStyle w:val="Terms"/>
        <w:rPr>
          <w:color w:val="000000" w:themeColor="text1"/>
        </w:rPr>
      </w:pPr>
      <w:r w:rsidRPr="00A52AB8">
        <w:rPr>
          <w:color w:val="000000" w:themeColor="text1"/>
        </w:rPr>
        <w:t>PROJECTED patch type</w:t>
      </w:r>
    </w:p>
    <w:p w14:paraId="4E36D0BA" w14:textId="5A14E319" w:rsidR="00564EF6" w:rsidRPr="00A52AB8" w:rsidRDefault="003F5D9C" w:rsidP="00564EF6">
      <w:pPr>
        <w:pStyle w:val="Definition"/>
      </w:pPr>
      <w:r w:rsidRPr="00A52AB8">
        <w:rPr>
          <w:i/>
          <w:iCs/>
        </w:rPr>
        <w:t xml:space="preserve">patch type </w:t>
      </w:r>
      <w:r w:rsidRPr="00A52AB8">
        <w:t>(</w:t>
      </w:r>
      <w:r w:rsidRPr="00496A4D">
        <w:fldChar w:fldCharType="begin"/>
      </w:r>
      <w:r w:rsidRPr="00A52AB8">
        <w:instrText xml:space="preserve"> REF _Ref47981265 \r \h  \* MERGEFORMAT </w:instrText>
      </w:r>
      <w:r w:rsidRPr="00496A4D">
        <w:fldChar w:fldCharType="separate"/>
      </w:r>
      <w:r w:rsidR="00507A67">
        <w:t>3.96</w:t>
      </w:r>
      <w:r w:rsidRPr="00496A4D">
        <w:fldChar w:fldCharType="end"/>
      </w:r>
      <w:r w:rsidRPr="00A52AB8">
        <w:t>) indicating</w:t>
      </w:r>
      <w:r w:rsidRPr="00A52AB8">
        <w:rPr>
          <w:i/>
          <w:iCs/>
        </w:rPr>
        <w:t xml:space="preserve"> </w:t>
      </w:r>
      <w:r w:rsidRPr="00A52AB8">
        <w:t xml:space="preserve">a </w:t>
      </w:r>
      <w:r w:rsidRPr="00A52AB8">
        <w:rPr>
          <w:i/>
          <w:iCs/>
        </w:rPr>
        <w:t xml:space="preserve">PROJECTED patch </w:t>
      </w:r>
      <w:r w:rsidRPr="00A52AB8">
        <w:t>(</w:t>
      </w:r>
      <w:r w:rsidR="00D44AC5" w:rsidRPr="00496A4D">
        <w:fldChar w:fldCharType="begin"/>
      </w:r>
      <w:r w:rsidR="00D44AC5" w:rsidRPr="00A52AB8">
        <w:instrText xml:space="preserve"> REF _Ref47981961 \r \h </w:instrText>
      </w:r>
      <w:r w:rsidR="00851254" w:rsidRPr="00A52AB8">
        <w:instrText xml:space="preserve"> \* MERGEFORMAT </w:instrText>
      </w:r>
      <w:r w:rsidR="00D44AC5" w:rsidRPr="00496A4D">
        <w:fldChar w:fldCharType="separate"/>
      </w:r>
      <w:r w:rsidR="00507A67">
        <w:t>3.101</w:t>
      </w:r>
      <w:r w:rsidR="00D44AC5" w:rsidRPr="00496A4D">
        <w:fldChar w:fldCharType="end"/>
      </w:r>
      <w:r w:rsidRPr="00A52AB8">
        <w:t>)</w:t>
      </w:r>
    </w:p>
    <w:p w14:paraId="27F2443E" w14:textId="77777777" w:rsidR="00564EF6" w:rsidRPr="00A52AB8" w:rsidRDefault="00564EF6" w:rsidP="00E72F7E">
      <w:pPr>
        <w:pStyle w:val="TermHeading"/>
      </w:pPr>
    </w:p>
    <w:p w14:paraId="1430BBBE" w14:textId="77777777" w:rsidR="00564EF6" w:rsidRPr="00A52AB8" w:rsidRDefault="00564EF6" w:rsidP="00564EF6">
      <w:pPr>
        <w:pStyle w:val="Terms"/>
        <w:rPr>
          <w:color w:val="000000" w:themeColor="text1"/>
        </w:rPr>
      </w:pPr>
      <w:r w:rsidRPr="00A52AB8">
        <w:rPr>
          <w:color w:val="000000" w:themeColor="text1"/>
        </w:rPr>
        <w:t>random access</w:t>
      </w:r>
    </w:p>
    <w:p w14:paraId="2C9F2ADC" w14:textId="6C79633C" w:rsidR="00564EF6" w:rsidRPr="00A52AB8" w:rsidRDefault="00564EF6" w:rsidP="00564EF6">
      <w:pPr>
        <w:pStyle w:val="Definition"/>
        <w:rPr>
          <w:color w:val="000000" w:themeColor="text1"/>
        </w:rPr>
      </w:pPr>
      <w:r w:rsidRPr="00A52AB8">
        <w:rPr>
          <w:color w:val="000000" w:themeColor="text1"/>
        </w:rPr>
        <w:t xml:space="preserve">the act of starting the decoding process for a </w:t>
      </w:r>
      <w:r w:rsidRPr="00A52AB8">
        <w:rPr>
          <w:rFonts w:cs="Calibri"/>
          <w:i/>
          <w:iCs/>
        </w:rPr>
        <w:t>bitstream</w:t>
      </w:r>
      <w:r w:rsidRPr="00A52AB8">
        <w:rPr>
          <w:rFonts w:cs="Calibri"/>
        </w:rPr>
        <w:t xml:space="preserve"> (</w:t>
      </w:r>
      <w:r w:rsidRPr="00496A4D">
        <w:rPr>
          <w:rFonts w:cs="Calibri"/>
        </w:rPr>
        <w:fldChar w:fldCharType="begin"/>
      </w:r>
      <w:r w:rsidRPr="00A52AB8">
        <w:rPr>
          <w:rFonts w:cs="Calibri"/>
        </w:rPr>
        <w:instrText xml:space="preserve"> REF _Ref47523191 \r \h </w:instrText>
      </w:r>
      <w:r w:rsidR="006371AA" w:rsidRPr="00A52AB8">
        <w:rPr>
          <w:rFonts w:cs="Calibri"/>
        </w:rPr>
        <w:instrText xml:space="preserve"> \* MERGEFORMAT </w:instrText>
      </w:r>
      <w:r w:rsidRPr="00496A4D">
        <w:rPr>
          <w:rFonts w:cs="Calibri"/>
        </w:rPr>
      </w:r>
      <w:r w:rsidRPr="00496A4D">
        <w:rPr>
          <w:rFonts w:cs="Calibri"/>
        </w:rPr>
        <w:fldChar w:fldCharType="separate"/>
      </w:r>
      <w:r w:rsidR="00507A67">
        <w:rPr>
          <w:rFonts w:cs="Calibri"/>
        </w:rPr>
        <w:t>3.23</w:t>
      </w:r>
      <w:r w:rsidRPr="00496A4D">
        <w:rPr>
          <w:rFonts w:cs="Calibri"/>
        </w:rPr>
        <w:fldChar w:fldCharType="end"/>
      </w:r>
      <w:r w:rsidRPr="00A52AB8">
        <w:rPr>
          <w:rFonts w:cs="Calibri"/>
        </w:rPr>
        <w:t xml:space="preserve">) </w:t>
      </w:r>
      <w:r w:rsidRPr="00A52AB8">
        <w:rPr>
          <w:color w:val="000000" w:themeColor="text1"/>
        </w:rPr>
        <w:t>at a point other than the beginning of the stream</w:t>
      </w:r>
    </w:p>
    <w:p w14:paraId="7DCE6A00" w14:textId="77777777" w:rsidR="007527EB" w:rsidRPr="00A52AB8" w:rsidRDefault="007527EB" w:rsidP="00E72F7E">
      <w:pPr>
        <w:pStyle w:val="TermHeading"/>
      </w:pPr>
    </w:p>
    <w:p w14:paraId="72C57337" w14:textId="33F5F1B0" w:rsidR="007527EB" w:rsidRPr="00A52AB8" w:rsidRDefault="007527EB" w:rsidP="007527EB">
      <w:pPr>
        <w:pStyle w:val="Terms"/>
      </w:pPr>
      <w:r w:rsidRPr="00A52AB8">
        <w:t>random access decodable leading access unit</w:t>
      </w:r>
      <w:r w:rsidRPr="00A52AB8">
        <w:br/>
        <w:t>RADL access unit</w:t>
      </w:r>
    </w:p>
    <w:p w14:paraId="65774532" w14:textId="45C0B909" w:rsidR="007527EB" w:rsidRPr="00A52AB8" w:rsidRDefault="007527EB" w:rsidP="00564EF6">
      <w:pPr>
        <w:pStyle w:val="Definition"/>
        <w:rPr>
          <w:color w:val="000000" w:themeColor="text1"/>
        </w:rPr>
      </w:pPr>
      <w:r w:rsidRPr="00A52AB8">
        <w:rPr>
          <w:iCs/>
          <w:color w:val="000000" w:themeColor="text1"/>
        </w:rPr>
        <w:t>access unit</w:t>
      </w:r>
      <w:r w:rsidRPr="00A52AB8">
        <w:rPr>
          <w:i/>
          <w:iCs/>
          <w:color w:val="000000" w:themeColor="text1"/>
        </w:rPr>
        <w:t xml:space="preserve"> </w:t>
      </w:r>
      <w:r w:rsidRPr="00A52AB8">
        <w:rPr>
          <w:iCs/>
          <w:color w:val="000000" w:themeColor="text1"/>
        </w:rPr>
        <w:t xml:space="preserve">in which the </w:t>
      </w:r>
      <w:r w:rsidRPr="00A52AB8">
        <w:rPr>
          <w:i/>
          <w:iCs/>
          <w:color w:val="000000" w:themeColor="text1"/>
        </w:rPr>
        <w:t xml:space="preserve">coded atlas </w:t>
      </w:r>
      <w:r w:rsidRPr="00A52AB8">
        <w:rPr>
          <w:color w:val="000000" w:themeColor="text1"/>
        </w:rPr>
        <w:t>(</w:t>
      </w:r>
      <w:r w:rsidRPr="00496A4D">
        <w:rPr>
          <w:color w:val="000000" w:themeColor="text1"/>
        </w:rPr>
        <w:fldChar w:fldCharType="begin"/>
      </w:r>
      <w:r w:rsidRPr="00A52AB8">
        <w:rPr>
          <w:color w:val="000000" w:themeColor="text1"/>
        </w:rPr>
        <w:instrText xml:space="preserve"> REF _Ref47525438 \r \h  \* MERGEFORMAT </w:instrText>
      </w:r>
      <w:r w:rsidRPr="00496A4D">
        <w:rPr>
          <w:color w:val="000000" w:themeColor="text1"/>
        </w:rPr>
      </w:r>
      <w:r w:rsidRPr="00496A4D">
        <w:rPr>
          <w:color w:val="000000" w:themeColor="text1"/>
        </w:rPr>
        <w:fldChar w:fldCharType="separate"/>
      </w:r>
      <w:r w:rsidR="00507A67">
        <w:rPr>
          <w:color w:val="000000" w:themeColor="text1"/>
        </w:rPr>
        <w:t>3.34</w:t>
      </w:r>
      <w:r w:rsidRPr="00496A4D">
        <w:rPr>
          <w:color w:val="000000" w:themeColor="text1"/>
        </w:rPr>
        <w:fldChar w:fldCharType="end"/>
      </w:r>
      <w:r w:rsidRPr="00A52AB8">
        <w:rPr>
          <w:color w:val="000000" w:themeColor="text1"/>
        </w:rPr>
        <w:t xml:space="preserve">) with nal_layer_id equal to 0 is a </w:t>
      </w:r>
      <w:r w:rsidRPr="00A52AB8">
        <w:rPr>
          <w:i/>
          <w:color w:val="000000" w:themeColor="text1"/>
        </w:rPr>
        <w:t>RADL coded atlas</w:t>
      </w:r>
      <w:r w:rsidRPr="00A52AB8">
        <w:rPr>
          <w:color w:val="000000" w:themeColor="text1"/>
        </w:rPr>
        <w:t xml:space="preserve"> (</w:t>
      </w:r>
      <w:r w:rsidRPr="00496A4D">
        <w:rPr>
          <w:color w:val="000000" w:themeColor="text1"/>
        </w:rPr>
        <w:fldChar w:fldCharType="begin"/>
      </w:r>
      <w:r w:rsidRPr="00A52AB8">
        <w:rPr>
          <w:color w:val="000000" w:themeColor="text1"/>
        </w:rPr>
        <w:instrText xml:space="preserve"> REF _Ref49594786 \n \h </w:instrText>
      </w:r>
      <w:r w:rsidR="00007BE2"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3.105</w:t>
      </w:r>
      <w:r w:rsidRPr="00496A4D">
        <w:rPr>
          <w:color w:val="000000" w:themeColor="text1"/>
        </w:rPr>
        <w:fldChar w:fldCharType="end"/>
      </w:r>
      <w:r w:rsidRPr="00A52AB8">
        <w:rPr>
          <w:color w:val="000000" w:themeColor="text1"/>
        </w:rPr>
        <w:t>)</w:t>
      </w:r>
    </w:p>
    <w:p w14:paraId="713C14A8" w14:textId="77777777" w:rsidR="00564EF6" w:rsidRPr="00A52AB8" w:rsidRDefault="00564EF6" w:rsidP="00E72F7E">
      <w:pPr>
        <w:pStyle w:val="TermHeading"/>
      </w:pPr>
      <w:bookmarkStart w:id="82" w:name="_Ref49594786"/>
    </w:p>
    <w:bookmarkEnd w:id="82"/>
    <w:p w14:paraId="28F16FF6" w14:textId="77777777" w:rsidR="00564EF6" w:rsidRPr="00A52AB8" w:rsidRDefault="00564EF6" w:rsidP="00564EF6">
      <w:pPr>
        <w:pStyle w:val="Terms"/>
        <w:rPr>
          <w:color w:val="000000" w:themeColor="text1"/>
        </w:rPr>
      </w:pPr>
      <w:r w:rsidRPr="00A52AB8">
        <w:rPr>
          <w:color w:val="000000" w:themeColor="text1"/>
        </w:rPr>
        <w:t>random access decodable leading coded atlas</w:t>
      </w:r>
      <w:r w:rsidRPr="00A52AB8">
        <w:rPr>
          <w:color w:val="000000" w:themeColor="text1"/>
        </w:rPr>
        <w:br/>
        <w:t>RADL coded atlas</w:t>
      </w:r>
    </w:p>
    <w:p w14:paraId="5160FED1" w14:textId="25432690" w:rsidR="00564EF6" w:rsidRPr="00A52AB8" w:rsidRDefault="00564EF6" w:rsidP="00564EF6">
      <w:pPr>
        <w:pStyle w:val="Definition"/>
        <w:rPr>
          <w:color w:val="000000" w:themeColor="text1"/>
        </w:rPr>
      </w:pPr>
      <w:r w:rsidRPr="00A52AB8">
        <w:rPr>
          <w:i/>
          <w:iCs/>
          <w:color w:val="000000" w:themeColor="text1"/>
        </w:rPr>
        <w:t xml:space="preserve">coded atlas </w:t>
      </w:r>
      <w:r w:rsidRPr="00A52AB8">
        <w:rPr>
          <w:color w:val="000000" w:themeColor="text1"/>
        </w:rPr>
        <w:t>(</w:t>
      </w:r>
      <w:r w:rsidRPr="00496A4D">
        <w:rPr>
          <w:color w:val="000000" w:themeColor="text1"/>
        </w:rPr>
        <w:fldChar w:fldCharType="begin"/>
      </w:r>
      <w:r w:rsidRPr="00A52AB8">
        <w:rPr>
          <w:color w:val="000000" w:themeColor="text1"/>
        </w:rPr>
        <w:instrText xml:space="preserve"> REF _Ref47525438 \r \h </w:instrText>
      </w:r>
      <w:r w:rsidR="006371AA"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3.34</w:t>
      </w:r>
      <w:r w:rsidRPr="00496A4D">
        <w:rPr>
          <w:color w:val="000000" w:themeColor="text1"/>
        </w:rPr>
        <w:fldChar w:fldCharType="end"/>
      </w:r>
      <w:r w:rsidRPr="00A52AB8">
        <w:rPr>
          <w:color w:val="000000" w:themeColor="text1"/>
        </w:rPr>
        <w:t xml:space="preserve">) for which each </w:t>
      </w:r>
      <w:r w:rsidRPr="00A52AB8">
        <w:rPr>
          <w:i/>
          <w:iCs/>
          <w:color w:val="000000" w:themeColor="text1"/>
        </w:rPr>
        <w:t>ACL NAL unit</w:t>
      </w:r>
      <w:r w:rsidRPr="00A52AB8">
        <w:rPr>
          <w:color w:val="000000" w:themeColor="text1"/>
        </w:rPr>
        <w:t xml:space="preserve"> </w:t>
      </w:r>
      <w:r w:rsidR="007B2D7B" w:rsidRPr="00A52AB8">
        <w:rPr>
          <w:color w:val="000000" w:themeColor="text1"/>
        </w:rPr>
        <w:t>(</w:t>
      </w:r>
      <w:r w:rsidR="007B2D7B" w:rsidRPr="00496A4D">
        <w:rPr>
          <w:color w:val="000000" w:themeColor="text1"/>
        </w:rPr>
        <w:fldChar w:fldCharType="begin"/>
      </w:r>
      <w:r w:rsidR="007B2D7B" w:rsidRPr="00A52AB8">
        <w:rPr>
          <w:color w:val="000000" w:themeColor="text1"/>
        </w:rPr>
        <w:instrText xml:space="preserve"> REF _Ref49013819 \n \h </w:instrText>
      </w:r>
      <w:r w:rsidR="007478BA" w:rsidRPr="00A52AB8">
        <w:rPr>
          <w:color w:val="000000" w:themeColor="text1"/>
        </w:rPr>
        <w:instrText xml:space="preserve"> \* MERGEFORMAT </w:instrText>
      </w:r>
      <w:r w:rsidR="007B2D7B" w:rsidRPr="00496A4D">
        <w:rPr>
          <w:color w:val="000000" w:themeColor="text1"/>
        </w:rPr>
      </w:r>
      <w:r w:rsidR="007B2D7B" w:rsidRPr="00496A4D">
        <w:rPr>
          <w:color w:val="000000" w:themeColor="text1"/>
        </w:rPr>
        <w:fldChar w:fldCharType="separate"/>
      </w:r>
      <w:r w:rsidR="00507A67">
        <w:rPr>
          <w:color w:val="000000" w:themeColor="text1"/>
        </w:rPr>
        <w:t>3.6</w:t>
      </w:r>
      <w:r w:rsidR="007B2D7B" w:rsidRPr="00496A4D">
        <w:rPr>
          <w:color w:val="000000" w:themeColor="text1"/>
        </w:rPr>
        <w:fldChar w:fldCharType="end"/>
      </w:r>
      <w:r w:rsidR="007B2D7B" w:rsidRPr="00A52AB8">
        <w:rPr>
          <w:color w:val="000000" w:themeColor="text1"/>
        </w:rPr>
        <w:t xml:space="preserve">) </w:t>
      </w:r>
      <w:r w:rsidRPr="00A52AB8">
        <w:rPr>
          <w:color w:val="000000" w:themeColor="text1"/>
        </w:rPr>
        <w:t>has nal_unit_type equal to NAL_RADL_R or NAL_RADL_N</w:t>
      </w:r>
    </w:p>
    <w:p w14:paraId="111C7896" w14:textId="321282F4" w:rsidR="00564EF6" w:rsidRPr="00A52AB8" w:rsidRDefault="00564EF6" w:rsidP="00564EF6">
      <w:pPr>
        <w:pStyle w:val="Note1"/>
        <w:rPr>
          <w:rFonts w:ascii="Cambria" w:hAnsi="Cambria"/>
        </w:rPr>
      </w:pPr>
      <w:r w:rsidRPr="00A52AB8">
        <w:rPr>
          <w:rFonts w:ascii="Cambria" w:hAnsi="Cambria"/>
        </w:rPr>
        <w:t>NOTE</w:t>
      </w:r>
      <w:r w:rsidR="002A7425" w:rsidRPr="00A52AB8">
        <w:rPr>
          <w:rFonts w:ascii="Cambria" w:hAnsi="Cambria"/>
        </w:rPr>
        <w:t> </w:t>
      </w:r>
      <w:r w:rsidRPr="00A52AB8">
        <w:rPr>
          <w:rFonts w:ascii="Cambria" w:hAnsi="Cambria"/>
        </w:rPr>
        <w:t>–</w:t>
      </w:r>
      <w:r w:rsidR="002A7425" w:rsidRPr="00A52AB8">
        <w:rPr>
          <w:rFonts w:ascii="Cambria" w:hAnsi="Cambria"/>
        </w:rPr>
        <w:t> </w:t>
      </w:r>
      <w:r w:rsidRPr="00A52AB8">
        <w:rPr>
          <w:rFonts w:ascii="Cambria" w:hAnsi="Cambria"/>
        </w:rPr>
        <w:t>All RADL coded atlases are leading coded atlas. RADL coded atlases are not used as reference atlases for the decoding process of trailing coded atlases of the same associated IRAP coded atlas. When present, all RADL coded atlases precede, in decoding order, all trailing coded atlases of the same associated IRAP coded atlas.</w:t>
      </w:r>
    </w:p>
    <w:p w14:paraId="696F3310" w14:textId="77777777" w:rsidR="007527EB" w:rsidRPr="00A52AB8" w:rsidRDefault="007527EB" w:rsidP="00E72F7E">
      <w:pPr>
        <w:pStyle w:val="TermHeading"/>
      </w:pPr>
    </w:p>
    <w:p w14:paraId="6A06EAEA" w14:textId="6C30A588" w:rsidR="007527EB" w:rsidRPr="00A52AB8" w:rsidRDefault="007527EB" w:rsidP="007527EB">
      <w:pPr>
        <w:pStyle w:val="Terms"/>
      </w:pPr>
      <w:r w:rsidRPr="00A52AB8">
        <w:t>random access skipped leading access unit</w:t>
      </w:r>
      <w:r w:rsidRPr="00A52AB8">
        <w:br/>
        <w:t>RASL access unit</w:t>
      </w:r>
    </w:p>
    <w:p w14:paraId="0B368C95" w14:textId="241219DB" w:rsidR="007527EB" w:rsidRPr="00A52AB8" w:rsidRDefault="007527EB" w:rsidP="00FB4953">
      <w:pPr>
        <w:pStyle w:val="Definition"/>
        <w:rPr>
          <w:color w:val="000000" w:themeColor="text1"/>
        </w:rPr>
      </w:pPr>
      <w:r w:rsidRPr="00A52AB8">
        <w:rPr>
          <w:iCs/>
          <w:color w:val="000000" w:themeColor="text1"/>
        </w:rPr>
        <w:t>access unit</w:t>
      </w:r>
      <w:r w:rsidRPr="00A52AB8">
        <w:rPr>
          <w:i/>
          <w:iCs/>
          <w:color w:val="000000" w:themeColor="text1"/>
        </w:rPr>
        <w:t xml:space="preserve"> </w:t>
      </w:r>
      <w:r w:rsidRPr="00A52AB8">
        <w:rPr>
          <w:iCs/>
          <w:color w:val="000000" w:themeColor="text1"/>
        </w:rPr>
        <w:t xml:space="preserve">in which the </w:t>
      </w:r>
      <w:r w:rsidRPr="00A52AB8">
        <w:rPr>
          <w:i/>
          <w:iCs/>
          <w:color w:val="000000" w:themeColor="text1"/>
        </w:rPr>
        <w:t xml:space="preserve">coded atlas </w:t>
      </w:r>
      <w:r w:rsidRPr="00A52AB8">
        <w:rPr>
          <w:color w:val="000000" w:themeColor="text1"/>
        </w:rPr>
        <w:t>(</w:t>
      </w:r>
      <w:r w:rsidRPr="00496A4D">
        <w:rPr>
          <w:color w:val="000000" w:themeColor="text1"/>
        </w:rPr>
        <w:fldChar w:fldCharType="begin"/>
      </w:r>
      <w:r w:rsidRPr="00A52AB8">
        <w:rPr>
          <w:color w:val="000000" w:themeColor="text1"/>
        </w:rPr>
        <w:instrText xml:space="preserve"> REF _Ref47525438 \r \h  \* MERGEFORMAT </w:instrText>
      </w:r>
      <w:r w:rsidRPr="00496A4D">
        <w:rPr>
          <w:color w:val="000000" w:themeColor="text1"/>
        </w:rPr>
      </w:r>
      <w:r w:rsidRPr="00496A4D">
        <w:rPr>
          <w:color w:val="000000" w:themeColor="text1"/>
        </w:rPr>
        <w:fldChar w:fldCharType="separate"/>
      </w:r>
      <w:r w:rsidR="00507A67">
        <w:rPr>
          <w:color w:val="000000" w:themeColor="text1"/>
        </w:rPr>
        <w:t>3.34</w:t>
      </w:r>
      <w:r w:rsidRPr="00496A4D">
        <w:rPr>
          <w:color w:val="000000" w:themeColor="text1"/>
        </w:rPr>
        <w:fldChar w:fldCharType="end"/>
      </w:r>
      <w:r w:rsidRPr="00A52AB8">
        <w:rPr>
          <w:color w:val="000000" w:themeColor="text1"/>
        </w:rPr>
        <w:t xml:space="preserve">) with nal_layer_id equal to 0 is a </w:t>
      </w:r>
      <w:r w:rsidRPr="00A52AB8">
        <w:rPr>
          <w:i/>
          <w:color w:val="000000" w:themeColor="text1"/>
        </w:rPr>
        <w:t>RASL coded atlas</w:t>
      </w:r>
      <w:r w:rsidRPr="00A52AB8">
        <w:rPr>
          <w:color w:val="000000" w:themeColor="text1"/>
        </w:rPr>
        <w:t xml:space="preserve"> (</w:t>
      </w:r>
      <w:r w:rsidRPr="00496A4D">
        <w:rPr>
          <w:color w:val="000000" w:themeColor="text1"/>
        </w:rPr>
        <w:fldChar w:fldCharType="begin"/>
      </w:r>
      <w:r w:rsidRPr="00A52AB8">
        <w:rPr>
          <w:color w:val="000000" w:themeColor="text1"/>
        </w:rPr>
        <w:instrText xml:space="preserve"> REF _Ref49594680 \n \h </w:instrText>
      </w:r>
      <w:r w:rsidR="00007BE2"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3.107</w:t>
      </w:r>
      <w:r w:rsidRPr="00496A4D">
        <w:rPr>
          <w:color w:val="000000" w:themeColor="text1"/>
        </w:rPr>
        <w:fldChar w:fldCharType="end"/>
      </w:r>
      <w:r w:rsidRPr="00A52AB8">
        <w:rPr>
          <w:color w:val="000000" w:themeColor="text1"/>
        </w:rPr>
        <w:t>)</w:t>
      </w:r>
    </w:p>
    <w:p w14:paraId="0C4AD21C" w14:textId="77777777" w:rsidR="00564EF6" w:rsidRPr="00A52AB8" w:rsidRDefault="00564EF6" w:rsidP="00E72F7E">
      <w:pPr>
        <w:pStyle w:val="TermHeading"/>
      </w:pPr>
      <w:bookmarkStart w:id="83" w:name="_Ref49594680"/>
    </w:p>
    <w:bookmarkEnd w:id="83"/>
    <w:p w14:paraId="2D6B37D1" w14:textId="77777777" w:rsidR="00564EF6" w:rsidRPr="00A52AB8" w:rsidRDefault="00564EF6" w:rsidP="00564EF6">
      <w:pPr>
        <w:pStyle w:val="Terms"/>
      </w:pPr>
      <w:r w:rsidRPr="00A52AB8">
        <w:t>random access skipped leading coded atlas</w:t>
      </w:r>
      <w:r w:rsidRPr="00A52AB8">
        <w:br/>
        <w:t>RASL coded atlas</w:t>
      </w:r>
    </w:p>
    <w:p w14:paraId="054916E2" w14:textId="47C02B24" w:rsidR="00564EF6" w:rsidRPr="00A52AB8" w:rsidRDefault="00564EF6" w:rsidP="00564EF6">
      <w:pPr>
        <w:pStyle w:val="Definition"/>
        <w:rPr>
          <w:color w:val="000000" w:themeColor="text1"/>
        </w:rPr>
      </w:pPr>
      <w:r w:rsidRPr="00A52AB8">
        <w:rPr>
          <w:i/>
          <w:iCs/>
          <w:color w:val="000000" w:themeColor="text1"/>
        </w:rPr>
        <w:t xml:space="preserve">coded atlas </w:t>
      </w:r>
      <w:r w:rsidRPr="00A52AB8">
        <w:rPr>
          <w:color w:val="000000" w:themeColor="text1"/>
        </w:rPr>
        <w:t>(</w:t>
      </w:r>
      <w:r w:rsidRPr="00496A4D">
        <w:rPr>
          <w:color w:val="000000" w:themeColor="text1"/>
        </w:rPr>
        <w:fldChar w:fldCharType="begin"/>
      </w:r>
      <w:r w:rsidRPr="00A52AB8">
        <w:rPr>
          <w:color w:val="000000" w:themeColor="text1"/>
        </w:rPr>
        <w:instrText xml:space="preserve"> REF _Ref47525438 \r \h </w:instrText>
      </w:r>
      <w:r w:rsidR="006371AA"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3.34</w:t>
      </w:r>
      <w:r w:rsidRPr="00496A4D">
        <w:rPr>
          <w:color w:val="000000" w:themeColor="text1"/>
        </w:rPr>
        <w:fldChar w:fldCharType="end"/>
      </w:r>
      <w:r w:rsidRPr="00A52AB8">
        <w:rPr>
          <w:color w:val="000000" w:themeColor="text1"/>
        </w:rPr>
        <w:t xml:space="preserve">) for which each </w:t>
      </w:r>
      <w:r w:rsidRPr="00A52AB8">
        <w:rPr>
          <w:i/>
          <w:iCs/>
          <w:color w:val="000000" w:themeColor="text1"/>
        </w:rPr>
        <w:t>ACL NAL unit</w:t>
      </w:r>
      <w:r w:rsidRPr="00A52AB8">
        <w:rPr>
          <w:color w:val="000000" w:themeColor="text1"/>
        </w:rPr>
        <w:t xml:space="preserve"> </w:t>
      </w:r>
      <w:r w:rsidR="00B00BE0" w:rsidRPr="00A52AB8">
        <w:rPr>
          <w:color w:val="000000" w:themeColor="text1"/>
        </w:rPr>
        <w:t>(</w:t>
      </w:r>
      <w:r w:rsidR="00B00BE0" w:rsidRPr="00496A4D">
        <w:rPr>
          <w:color w:val="000000" w:themeColor="text1"/>
        </w:rPr>
        <w:fldChar w:fldCharType="begin"/>
      </w:r>
      <w:r w:rsidR="00B00BE0" w:rsidRPr="00A52AB8">
        <w:rPr>
          <w:color w:val="000000" w:themeColor="text1"/>
        </w:rPr>
        <w:instrText xml:space="preserve"> REF _Ref49013819 \n \h </w:instrText>
      </w:r>
      <w:r w:rsidR="007478BA" w:rsidRPr="00A52AB8">
        <w:rPr>
          <w:color w:val="000000" w:themeColor="text1"/>
        </w:rPr>
        <w:instrText xml:space="preserve"> \* MERGEFORMAT </w:instrText>
      </w:r>
      <w:r w:rsidR="00B00BE0" w:rsidRPr="00496A4D">
        <w:rPr>
          <w:color w:val="000000" w:themeColor="text1"/>
        </w:rPr>
      </w:r>
      <w:r w:rsidR="00B00BE0" w:rsidRPr="00496A4D">
        <w:rPr>
          <w:color w:val="000000" w:themeColor="text1"/>
        </w:rPr>
        <w:fldChar w:fldCharType="separate"/>
      </w:r>
      <w:r w:rsidR="00507A67">
        <w:rPr>
          <w:color w:val="000000" w:themeColor="text1"/>
        </w:rPr>
        <w:t>3.6</w:t>
      </w:r>
      <w:r w:rsidR="00B00BE0" w:rsidRPr="00496A4D">
        <w:rPr>
          <w:color w:val="000000" w:themeColor="text1"/>
        </w:rPr>
        <w:fldChar w:fldCharType="end"/>
      </w:r>
      <w:r w:rsidR="00B00BE0" w:rsidRPr="00A52AB8">
        <w:rPr>
          <w:color w:val="000000" w:themeColor="text1"/>
        </w:rPr>
        <w:t xml:space="preserve">) </w:t>
      </w:r>
      <w:r w:rsidRPr="00A52AB8">
        <w:rPr>
          <w:color w:val="000000" w:themeColor="text1"/>
        </w:rPr>
        <w:t>has nal_unit_type equal to NAL_RASL_R or NAL_RASL_N</w:t>
      </w:r>
    </w:p>
    <w:p w14:paraId="5FFF9A4A" w14:textId="36FB3E49" w:rsidR="00564EF6" w:rsidRPr="00A52AB8" w:rsidRDefault="00564EF6" w:rsidP="00564EF6">
      <w:pPr>
        <w:pStyle w:val="Note1"/>
        <w:rPr>
          <w:rFonts w:ascii="Cambria" w:hAnsi="Cambria"/>
          <w:color w:val="000000" w:themeColor="text1"/>
        </w:rPr>
      </w:pPr>
      <w:r w:rsidRPr="00A52AB8">
        <w:rPr>
          <w:rFonts w:ascii="Cambria" w:hAnsi="Cambria"/>
        </w:rPr>
        <w:t>NOTE</w:t>
      </w:r>
      <w:r w:rsidR="002A7425" w:rsidRPr="00A52AB8">
        <w:rPr>
          <w:rFonts w:ascii="Cambria" w:hAnsi="Cambria"/>
        </w:rPr>
        <w:t> </w:t>
      </w:r>
      <w:r w:rsidRPr="00A52AB8">
        <w:rPr>
          <w:rFonts w:ascii="Cambria" w:hAnsi="Cambria"/>
        </w:rPr>
        <w:t>–</w:t>
      </w:r>
      <w:r w:rsidR="002A7425" w:rsidRPr="00A52AB8">
        <w:rPr>
          <w:rFonts w:ascii="Cambria" w:hAnsi="Cambria"/>
        </w:rPr>
        <w:t> </w:t>
      </w:r>
      <w:r w:rsidRPr="00A52AB8">
        <w:rPr>
          <w:rFonts w:ascii="Cambria" w:hAnsi="Cambria"/>
        </w:rPr>
        <w:t xml:space="preserve">All RASL coded atlases are leading coded atlas of an associated BLA or CRA coded atlas. When the associated IRAP coded </w:t>
      </w:r>
      <w:r w:rsidR="00F52217" w:rsidRPr="00A52AB8">
        <w:rPr>
          <w:rFonts w:ascii="Cambria" w:hAnsi="Cambria"/>
        </w:rPr>
        <w:t xml:space="preserve">atlas </w:t>
      </w:r>
      <w:r w:rsidRPr="00A52AB8">
        <w:rPr>
          <w:rFonts w:ascii="Cambria" w:hAnsi="Cambria"/>
        </w:rPr>
        <w:t>has NoOutputBeforeRecoveryFlag equal to 1, the RASL coded atlas is not output and may not be correctly decodable, as the RASL coded atlas may contain references to coded atlases that are not present in the bitstream. RASL coded atlases are not used as reference atlases for the decoding process of non-RASL coded atlases. When present, all RASL coded atlases precede, in decoding order, all trailing coded atlases of the same associated IRAP coded atlas.</w:t>
      </w:r>
    </w:p>
    <w:p w14:paraId="6BCEFFF1" w14:textId="77777777" w:rsidR="00564EF6" w:rsidRPr="00A52AB8" w:rsidRDefault="00564EF6" w:rsidP="00E72F7E">
      <w:pPr>
        <w:pStyle w:val="TermHeading"/>
      </w:pPr>
      <w:bookmarkStart w:id="84" w:name="_Ref47526449"/>
    </w:p>
    <w:bookmarkEnd w:id="84"/>
    <w:p w14:paraId="7F3DB270" w14:textId="77777777" w:rsidR="00564EF6" w:rsidRPr="00A52AB8" w:rsidRDefault="00564EF6" w:rsidP="00564EF6">
      <w:pPr>
        <w:pStyle w:val="Terms"/>
        <w:rPr>
          <w:color w:val="000000" w:themeColor="text1"/>
        </w:rPr>
      </w:pPr>
      <w:r w:rsidRPr="00A52AB8">
        <w:rPr>
          <w:color w:val="000000" w:themeColor="text1"/>
        </w:rPr>
        <w:t>raw byte sequence payload</w:t>
      </w:r>
    </w:p>
    <w:p w14:paraId="7CF3767C" w14:textId="77777777" w:rsidR="00564EF6" w:rsidRPr="00A52AB8" w:rsidRDefault="00564EF6" w:rsidP="00564EF6">
      <w:pPr>
        <w:pStyle w:val="Terms"/>
        <w:rPr>
          <w:color w:val="000000" w:themeColor="text1"/>
        </w:rPr>
      </w:pPr>
      <w:r w:rsidRPr="00A52AB8">
        <w:rPr>
          <w:color w:val="000000" w:themeColor="text1"/>
        </w:rPr>
        <w:t>RBSP</w:t>
      </w:r>
    </w:p>
    <w:p w14:paraId="2315605F" w14:textId="579193AF" w:rsidR="00564EF6" w:rsidRPr="00A52AB8" w:rsidRDefault="00564EF6" w:rsidP="00564EF6">
      <w:pPr>
        <w:pStyle w:val="Definition"/>
        <w:rPr>
          <w:color w:val="000000" w:themeColor="text1"/>
        </w:rPr>
      </w:pPr>
      <w:r w:rsidRPr="00A52AB8">
        <w:rPr>
          <w:i/>
        </w:rPr>
        <w:t>syntax structure</w:t>
      </w:r>
      <w:r w:rsidRPr="00A52AB8">
        <w:t xml:space="preserve"> (</w:t>
      </w:r>
      <w:r w:rsidRPr="00496A4D">
        <w:fldChar w:fldCharType="begin"/>
      </w:r>
      <w:r w:rsidRPr="00A52AB8">
        <w:instrText xml:space="preserve"> REF _Ref47526553 \r \h </w:instrText>
      </w:r>
      <w:r w:rsidR="006371AA" w:rsidRPr="00A52AB8">
        <w:instrText xml:space="preserve"> \* MERGEFORMAT </w:instrText>
      </w:r>
      <w:r w:rsidRPr="00496A4D">
        <w:fldChar w:fldCharType="separate"/>
      </w:r>
      <w:r w:rsidR="00507A67">
        <w:t>3.129</w:t>
      </w:r>
      <w:r w:rsidRPr="00496A4D">
        <w:fldChar w:fldCharType="end"/>
      </w:r>
      <w:r w:rsidRPr="00A52AB8">
        <w:t xml:space="preserve">) containing an integer number of </w:t>
      </w:r>
      <w:r w:rsidRPr="00A52AB8">
        <w:rPr>
          <w:i/>
        </w:rPr>
        <w:t xml:space="preserve">bytes </w:t>
      </w:r>
      <w:r w:rsidRPr="00A52AB8">
        <w:rPr>
          <w:iCs/>
        </w:rPr>
        <w:t>(</w:t>
      </w:r>
      <w:r w:rsidRPr="00496A4D">
        <w:rPr>
          <w:iCs/>
        </w:rPr>
        <w:fldChar w:fldCharType="begin"/>
      </w:r>
      <w:r w:rsidRPr="00A52AB8">
        <w:rPr>
          <w:iCs/>
        </w:rPr>
        <w:instrText xml:space="preserve"> REF _Ref47526560 \r \h </w:instrText>
      </w:r>
      <w:r w:rsidR="006371AA" w:rsidRPr="00A52AB8">
        <w:rPr>
          <w:iCs/>
        </w:rPr>
        <w:instrText xml:space="preserve"> \* MERGEFORMAT </w:instrText>
      </w:r>
      <w:r w:rsidRPr="00496A4D">
        <w:rPr>
          <w:iCs/>
        </w:rPr>
      </w:r>
      <w:r w:rsidRPr="00496A4D">
        <w:rPr>
          <w:iCs/>
        </w:rPr>
        <w:fldChar w:fldCharType="separate"/>
      </w:r>
      <w:r w:rsidR="00507A67">
        <w:rPr>
          <w:iCs/>
        </w:rPr>
        <w:t>3.24</w:t>
      </w:r>
      <w:r w:rsidRPr="00496A4D">
        <w:rPr>
          <w:iCs/>
        </w:rPr>
        <w:fldChar w:fldCharType="end"/>
      </w:r>
      <w:r w:rsidRPr="00A52AB8">
        <w:rPr>
          <w:iCs/>
        </w:rPr>
        <w:t>)</w:t>
      </w:r>
      <w:r w:rsidRPr="00A52AB8">
        <w:t xml:space="preserve"> that is encapsulated in a </w:t>
      </w:r>
      <w:r w:rsidRPr="00A52AB8">
        <w:rPr>
          <w:i/>
          <w:iCs/>
        </w:rPr>
        <w:t>NAL unit</w:t>
      </w:r>
      <w:r w:rsidRPr="00A52AB8">
        <w:t xml:space="preserve"> </w:t>
      </w:r>
      <w:r w:rsidR="00B00BE0" w:rsidRPr="00A52AB8">
        <w:t>(</w:t>
      </w:r>
      <w:r w:rsidR="00B00BE0" w:rsidRPr="00496A4D">
        <w:fldChar w:fldCharType="begin"/>
      </w:r>
      <w:r w:rsidR="00B00BE0" w:rsidRPr="00A52AB8">
        <w:instrText xml:space="preserve"> REF _Ref47525311 \n \h </w:instrText>
      </w:r>
      <w:r w:rsidR="007478BA" w:rsidRPr="00A52AB8">
        <w:instrText xml:space="preserve"> \* MERGEFORMAT </w:instrText>
      </w:r>
      <w:r w:rsidR="00B00BE0" w:rsidRPr="00496A4D">
        <w:fldChar w:fldCharType="separate"/>
      </w:r>
      <w:r w:rsidR="00507A67">
        <w:t>3.84</w:t>
      </w:r>
      <w:r w:rsidR="00B00BE0" w:rsidRPr="00496A4D">
        <w:fldChar w:fldCharType="end"/>
      </w:r>
      <w:r w:rsidR="00B00BE0" w:rsidRPr="00A52AB8">
        <w:t xml:space="preserve">) </w:t>
      </w:r>
      <w:r w:rsidRPr="00A52AB8">
        <w:t xml:space="preserve">and that is either empty or has the form of a </w:t>
      </w:r>
      <w:r w:rsidRPr="00A52AB8">
        <w:rPr>
          <w:i/>
          <w:iCs/>
        </w:rPr>
        <w:t>string of data bits</w:t>
      </w:r>
      <w:r w:rsidRPr="00A52AB8">
        <w:t xml:space="preserve"> </w:t>
      </w:r>
      <w:r w:rsidR="00B00BE0" w:rsidRPr="00A52AB8">
        <w:t>(</w:t>
      </w:r>
      <w:r w:rsidR="00B00BE0" w:rsidRPr="00496A4D">
        <w:fldChar w:fldCharType="begin"/>
      </w:r>
      <w:r w:rsidR="00B00BE0" w:rsidRPr="00A52AB8">
        <w:instrText xml:space="preserve"> REF _Ref50572694 \n \h </w:instrText>
      </w:r>
      <w:r w:rsidR="007478BA" w:rsidRPr="00A52AB8">
        <w:instrText xml:space="preserve"> \* MERGEFORMAT </w:instrText>
      </w:r>
      <w:r w:rsidR="00B00BE0" w:rsidRPr="00496A4D">
        <w:fldChar w:fldCharType="separate"/>
      </w:r>
      <w:r w:rsidR="00507A67">
        <w:t>3.116</w:t>
      </w:r>
      <w:r w:rsidR="00B00BE0" w:rsidRPr="00496A4D">
        <w:fldChar w:fldCharType="end"/>
      </w:r>
      <w:r w:rsidR="00B00BE0" w:rsidRPr="00A52AB8">
        <w:t xml:space="preserve">) </w:t>
      </w:r>
      <w:r w:rsidRPr="00A52AB8">
        <w:t xml:space="preserve">containing </w:t>
      </w:r>
      <w:r w:rsidRPr="00A52AB8">
        <w:rPr>
          <w:i/>
        </w:rPr>
        <w:t>syntax elements</w:t>
      </w:r>
      <w:r w:rsidRPr="00A52AB8">
        <w:t xml:space="preserve"> </w:t>
      </w:r>
      <w:r w:rsidR="00B00BE0" w:rsidRPr="00A52AB8">
        <w:t>(</w:t>
      </w:r>
      <w:r w:rsidR="00B00BE0" w:rsidRPr="00496A4D">
        <w:fldChar w:fldCharType="begin"/>
      </w:r>
      <w:r w:rsidR="00B00BE0" w:rsidRPr="00A52AB8">
        <w:instrText xml:space="preserve"> REF _Ref47525293 \n \h </w:instrText>
      </w:r>
      <w:r w:rsidR="007478BA" w:rsidRPr="00A52AB8">
        <w:instrText xml:space="preserve"> \* MERGEFORMAT </w:instrText>
      </w:r>
      <w:r w:rsidR="00B00BE0" w:rsidRPr="00496A4D">
        <w:fldChar w:fldCharType="separate"/>
      </w:r>
      <w:r w:rsidR="00507A67">
        <w:t>3.128</w:t>
      </w:r>
      <w:r w:rsidR="00B00BE0" w:rsidRPr="00496A4D">
        <w:fldChar w:fldCharType="end"/>
      </w:r>
      <w:r w:rsidR="00B00BE0" w:rsidRPr="00A52AB8">
        <w:t xml:space="preserve">) </w:t>
      </w:r>
      <w:r w:rsidRPr="00A52AB8">
        <w:t xml:space="preserve">followed by an </w:t>
      </w:r>
      <w:r w:rsidRPr="00A52AB8">
        <w:rPr>
          <w:i/>
          <w:iCs/>
        </w:rPr>
        <w:t>RBSP stop bit</w:t>
      </w:r>
      <w:r w:rsidRPr="00A52AB8">
        <w:t xml:space="preserve"> </w:t>
      </w:r>
      <w:r w:rsidR="003D1272" w:rsidRPr="00A52AB8">
        <w:t>(</w:t>
      </w:r>
      <w:r w:rsidR="003D1272" w:rsidRPr="00496A4D">
        <w:fldChar w:fldCharType="begin"/>
      </w:r>
      <w:r w:rsidR="003D1272" w:rsidRPr="00A52AB8">
        <w:instrText xml:space="preserve"> REF _Ref50572605 \r \h </w:instrText>
      </w:r>
      <w:r w:rsidR="007478BA" w:rsidRPr="00A52AB8">
        <w:instrText xml:space="preserve"> \* MERGEFORMAT </w:instrText>
      </w:r>
      <w:r w:rsidR="003D1272" w:rsidRPr="00496A4D">
        <w:fldChar w:fldCharType="separate"/>
      </w:r>
      <w:r w:rsidR="00507A67">
        <w:t>3.109</w:t>
      </w:r>
      <w:r w:rsidR="003D1272" w:rsidRPr="00496A4D">
        <w:fldChar w:fldCharType="end"/>
      </w:r>
      <w:r w:rsidR="003D1272" w:rsidRPr="00A52AB8">
        <w:t xml:space="preserve">) </w:t>
      </w:r>
      <w:r w:rsidRPr="00A52AB8">
        <w:t>and zero or more subsequent bits equal to</w:t>
      </w:r>
      <w:r w:rsidRPr="00A52AB8">
        <w:rPr>
          <w:color w:val="000000" w:themeColor="text1"/>
        </w:rPr>
        <w:t xml:space="preserve"> 0</w:t>
      </w:r>
    </w:p>
    <w:p w14:paraId="061ED097" w14:textId="77777777" w:rsidR="00564EF6" w:rsidRPr="00A52AB8" w:rsidRDefault="00564EF6" w:rsidP="00E72F7E">
      <w:pPr>
        <w:pStyle w:val="TermHeading"/>
      </w:pPr>
      <w:bookmarkStart w:id="85" w:name="_Ref50572605"/>
    </w:p>
    <w:bookmarkEnd w:id="85"/>
    <w:p w14:paraId="6734ED8C" w14:textId="77777777" w:rsidR="00564EF6" w:rsidRPr="00A52AB8" w:rsidRDefault="00564EF6" w:rsidP="00564EF6">
      <w:pPr>
        <w:pStyle w:val="Terms"/>
        <w:rPr>
          <w:color w:val="000000" w:themeColor="text1"/>
        </w:rPr>
      </w:pPr>
      <w:r w:rsidRPr="00A52AB8">
        <w:rPr>
          <w:color w:val="000000" w:themeColor="text1"/>
        </w:rPr>
        <w:t>raw byte sequence payload stop bit</w:t>
      </w:r>
    </w:p>
    <w:p w14:paraId="7489F2A4" w14:textId="77777777" w:rsidR="00564EF6" w:rsidRPr="00A52AB8" w:rsidRDefault="00564EF6" w:rsidP="00564EF6">
      <w:pPr>
        <w:pStyle w:val="Terms"/>
        <w:rPr>
          <w:color w:val="000000" w:themeColor="text1"/>
        </w:rPr>
      </w:pPr>
      <w:r w:rsidRPr="00A52AB8">
        <w:rPr>
          <w:color w:val="000000" w:themeColor="text1"/>
        </w:rPr>
        <w:t>RBSP stop bit</w:t>
      </w:r>
    </w:p>
    <w:p w14:paraId="6B2E7529" w14:textId="4B4F1EB8" w:rsidR="00564EF6" w:rsidRPr="00A52AB8" w:rsidRDefault="00564EF6" w:rsidP="00564EF6">
      <w:pPr>
        <w:pStyle w:val="Definition"/>
        <w:rPr>
          <w:i/>
          <w:iCs/>
        </w:rPr>
      </w:pPr>
      <w:r w:rsidRPr="00A52AB8">
        <w:t xml:space="preserve">bit equal to 1 present within a </w:t>
      </w:r>
      <w:r w:rsidRPr="00A52AB8">
        <w:rPr>
          <w:i/>
          <w:iCs/>
        </w:rPr>
        <w:t xml:space="preserve">raw byte sequence payload </w:t>
      </w:r>
      <w:r w:rsidRPr="00A52AB8">
        <w:t>(</w:t>
      </w:r>
      <w:r w:rsidRPr="00496A4D">
        <w:fldChar w:fldCharType="begin"/>
      </w:r>
      <w:r w:rsidRPr="00A52AB8">
        <w:instrText xml:space="preserve"> REF _Ref47525562 \</w:instrText>
      </w:r>
      <w:r w:rsidR="003D1272" w:rsidRPr="00A52AB8">
        <w:instrText>n</w:instrText>
      </w:r>
      <w:r w:rsidRPr="00A52AB8">
        <w:instrText xml:space="preserve"> \h </w:instrText>
      </w:r>
      <w:r w:rsidR="006371AA" w:rsidRPr="00A52AB8">
        <w:instrText xml:space="preserve"> \* MERGEFORMAT </w:instrText>
      </w:r>
      <w:r w:rsidRPr="00496A4D">
        <w:fldChar w:fldCharType="separate"/>
      </w:r>
      <w:r w:rsidR="00507A67">
        <w:t>3.91</w:t>
      </w:r>
      <w:r w:rsidRPr="00496A4D">
        <w:fldChar w:fldCharType="end"/>
      </w:r>
      <w:r w:rsidRPr="00A52AB8">
        <w:t>)</w:t>
      </w:r>
      <w:r w:rsidRPr="00A52AB8">
        <w:rPr>
          <w:i/>
          <w:iCs/>
        </w:rPr>
        <w:t xml:space="preserve"> </w:t>
      </w:r>
      <w:r w:rsidRPr="00A52AB8">
        <w:t xml:space="preserve">after a </w:t>
      </w:r>
      <w:r w:rsidRPr="00A52AB8">
        <w:rPr>
          <w:i/>
          <w:iCs/>
        </w:rPr>
        <w:t>string of data bits</w:t>
      </w:r>
      <w:r w:rsidR="003D1272" w:rsidRPr="00A52AB8">
        <w:t xml:space="preserve"> (</w:t>
      </w:r>
      <w:r w:rsidR="003D1272" w:rsidRPr="00496A4D">
        <w:fldChar w:fldCharType="begin"/>
      </w:r>
      <w:r w:rsidR="003D1272" w:rsidRPr="00A52AB8">
        <w:instrText xml:space="preserve"> REF _Ref50572694 \r \h </w:instrText>
      </w:r>
      <w:r w:rsidR="007478BA" w:rsidRPr="00A52AB8">
        <w:instrText xml:space="preserve"> \* MERGEFORMAT </w:instrText>
      </w:r>
      <w:r w:rsidR="003D1272" w:rsidRPr="00496A4D">
        <w:fldChar w:fldCharType="separate"/>
      </w:r>
      <w:r w:rsidR="00507A67">
        <w:t>3.116</w:t>
      </w:r>
      <w:r w:rsidR="003D1272" w:rsidRPr="00496A4D">
        <w:fldChar w:fldCharType="end"/>
      </w:r>
      <w:r w:rsidR="003D1272" w:rsidRPr="00A52AB8">
        <w:t>),</w:t>
      </w:r>
      <w:r w:rsidRPr="00A52AB8">
        <w:t xml:space="preserve"> for which the location of the end within an </w:t>
      </w:r>
      <w:r w:rsidRPr="00A52AB8">
        <w:rPr>
          <w:i/>
          <w:iCs/>
        </w:rPr>
        <w:t xml:space="preserve">RBSP </w:t>
      </w:r>
      <w:r w:rsidR="003D1272" w:rsidRPr="00A52AB8">
        <w:t>(</w:t>
      </w:r>
      <w:r w:rsidR="003D1272" w:rsidRPr="00496A4D">
        <w:fldChar w:fldCharType="begin"/>
      </w:r>
      <w:r w:rsidR="003D1272" w:rsidRPr="00A52AB8">
        <w:instrText xml:space="preserve"> REF _Ref47525562 \n \h  \* MERGEFORMAT </w:instrText>
      </w:r>
      <w:r w:rsidR="003D1272" w:rsidRPr="00496A4D">
        <w:fldChar w:fldCharType="separate"/>
      </w:r>
      <w:r w:rsidR="00507A67">
        <w:t>3.91</w:t>
      </w:r>
      <w:r w:rsidR="003D1272" w:rsidRPr="00496A4D">
        <w:fldChar w:fldCharType="end"/>
      </w:r>
      <w:r w:rsidR="003D1272" w:rsidRPr="00A52AB8">
        <w:t xml:space="preserve">) </w:t>
      </w:r>
      <w:r w:rsidRPr="00A52AB8">
        <w:t xml:space="preserve">can be identified by searching from the end of the </w:t>
      </w:r>
      <w:r w:rsidRPr="00A52AB8">
        <w:rPr>
          <w:i/>
          <w:iCs/>
        </w:rPr>
        <w:t>RBSP</w:t>
      </w:r>
      <w:r w:rsidRPr="00A52AB8">
        <w:t xml:space="preserve"> </w:t>
      </w:r>
      <w:r w:rsidR="003D1272" w:rsidRPr="00A52AB8">
        <w:t>(</w:t>
      </w:r>
      <w:r w:rsidR="003D1272" w:rsidRPr="00496A4D">
        <w:fldChar w:fldCharType="begin"/>
      </w:r>
      <w:r w:rsidR="003D1272" w:rsidRPr="00A52AB8">
        <w:instrText xml:space="preserve"> REF _Ref47525562 \n \h  \* MERGEFORMAT </w:instrText>
      </w:r>
      <w:r w:rsidR="003D1272" w:rsidRPr="00496A4D">
        <w:fldChar w:fldCharType="separate"/>
      </w:r>
      <w:r w:rsidR="00507A67">
        <w:t>3.91</w:t>
      </w:r>
      <w:r w:rsidR="003D1272" w:rsidRPr="00496A4D">
        <w:fldChar w:fldCharType="end"/>
      </w:r>
      <w:r w:rsidR="003D1272" w:rsidRPr="00A52AB8">
        <w:t xml:space="preserve">) </w:t>
      </w:r>
      <w:r w:rsidRPr="00A52AB8">
        <w:t xml:space="preserve">for the </w:t>
      </w:r>
      <w:r w:rsidR="002E514E" w:rsidRPr="00A52AB8">
        <w:t>for</w:t>
      </w:r>
      <w:r w:rsidRPr="00A52AB8">
        <w:t xml:space="preserve"> the last non-zero bit in the </w:t>
      </w:r>
      <w:r w:rsidRPr="00A52AB8">
        <w:rPr>
          <w:i/>
          <w:iCs/>
        </w:rPr>
        <w:t>RBSP</w:t>
      </w:r>
      <w:r w:rsidR="003D1272" w:rsidRPr="00A52AB8">
        <w:rPr>
          <w:i/>
          <w:iCs/>
        </w:rPr>
        <w:t xml:space="preserve"> </w:t>
      </w:r>
      <w:r w:rsidR="003D1272" w:rsidRPr="00A52AB8">
        <w:t>(</w:t>
      </w:r>
      <w:r w:rsidR="003D1272" w:rsidRPr="00496A4D">
        <w:fldChar w:fldCharType="begin"/>
      </w:r>
      <w:r w:rsidR="003D1272" w:rsidRPr="00A52AB8">
        <w:instrText xml:space="preserve"> REF _Ref47525562 \n \h  \* MERGEFORMAT </w:instrText>
      </w:r>
      <w:r w:rsidR="003D1272" w:rsidRPr="00496A4D">
        <w:fldChar w:fldCharType="separate"/>
      </w:r>
      <w:r w:rsidR="00507A67">
        <w:t>3.91</w:t>
      </w:r>
      <w:r w:rsidR="003D1272" w:rsidRPr="00496A4D">
        <w:fldChar w:fldCharType="end"/>
      </w:r>
      <w:r w:rsidR="003D1272" w:rsidRPr="00A52AB8">
        <w:t>)</w:t>
      </w:r>
    </w:p>
    <w:p w14:paraId="7051A233" w14:textId="77777777" w:rsidR="00564EF6" w:rsidRPr="00A52AB8" w:rsidRDefault="00564EF6" w:rsidP="00E72F7E">
      <w:pPr>
        <w:pStyle w:val="TermHeading"/>
      </w:pPr>
      <w:bookmarkStart w:id="86" w:name="_Ref47526582"/>
    </w:p>
    <w:bookmarkEnd w:id="86"/>
    <w:p w14:paraId="06C8658F" w14:textId="77777777" w:rsidR="00564EF6" w:rsidRPr="00A52AB8" w:rsidRDefault="00564EF6" w:rsidP="00564EF6">
      <w:pPr>
        <w:pStyle w:val="Terms"/>
        <w:rPr>
          <w:color w:val="000000" w:themeColor="text1"/>
        </w:rPr>
      </w:pPr>
      <w:r w:rsidRPr="00A52AB8">
        <w:rPr>
          <w:color w:val="000000" w:themeColor="text1"/>
        </w:rPr>
        <w:t>RAW coded point</w:t>
      </w:r>
    </w:p>
    <w:p w14:paraId="2C6E92A3" w14:textId="021A65B8" w:rsidR="0050235C" w:rsidRPr="00A52AB8" w:rsidRDefault="00564EF6" w:rsidP="00564EF6">
      <w:pPr>
        <w:pStyle w:val="Definition"/>
      </w:pPr>
      <w:r w:rsidRPr="00A52AB8">
        <w:rPr>
          <w:i/>
          <w:iCs/>
        </w:rPr>
        <w:t>coded representation</w:t>
      </w:r>
      <w:r w:rsidRPr="00A52AB8">
        <w:t xml:space="preserve"> </w:t>
      </w:r>
      <w:r w:rsidR="00121DE5" w:rsidRPr="00A52AB8">
        <w:t>(</w:t>
      </w:r>
      <w:r w:rsidR="00121DE5" w:rsidRPr="00496A4D">
        <w:fldChar w:fldCharType="begin"/>
      </w:r>
      <w:r w:rsidR="00121DE5" w:rsidRPr="00A52AB8">
        <w:instrText xml:space="preserve"> REF _Ref49679513 \n \h </w:instrText>
      </w:r>
      <w:r w:rsidR="00007BE2" w:rsidRPr="00A52AB8">
        <w:instrText xml:space="preserve"> \* MERGEFORMAT </w:instrText>
      </w:r>
      <w:r w:rsidR="00121DE5" w:rsidRPr="00496A4D">
        <w:fldChar w:fldCharType="separate"/>
      </w:r>
      <w:r w:rsidR="00507A67">
        <w:t>3.42</w:t>
      </w:r>
      <w:r w:rsidR="00121DE5" w:rsidRPr="00496A4D">
        <w:fldChar w:fldCharType="end"/>
      </w:r>
      <w:r w:rsidR="00121DE5" w:rsidRPr="00A52AB8">
        <w:t xml:space="preserve">) </w:t>
      </w:r>
      <w:r w:rsidRPr="00A52AB8">
        <w:t xml:space="preserve">of a 3D point for which its </w:t>
      </w:r>
      <w:r w:rsidRPr="00A52AB8">
        <w:rPr>
          <w:i/>
          <w:iCs/>
          <w:color w:val="000000" w:themeColor="text1"/>
        </w:rPr>
        <w:t>geometry</w:t>
      </w:r>
      <w:r w:rsidRPr="00A52AB8">
        <w:rPr>
          <w:color w:val="000000" w:themeColor="text1"/>
        </w:rPr>
        <w:t xml:space="preserve"> (</w:t>
      </w:r>
      <w:r w:rsidRPr="00496A4D">
        <w:rPr>
          <w:color w:val="000000" w:themeColor="text1"/>
        </w:rPr>
        <w:fldChar w:fldCharType="begin"/>
      </w:r>
      <w:r w:rsidRPr="00A52AB8">
        <w:rPr>
          <w:color w:val="000000" w:themeColor="text1"/>
        </w:rPr>
        <w:instrText xml:space="preserve"> REF _Ref47526217 \r \h </w:instrText>
      </w:r>
      <w:r w:rsidR="006371AA"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3.62</w:t>
      </w:r>
      <w:r w:rsidRPr="00496A4D">
        <w:rPr>
          <w:color w:val="000000" w:themeColor="text1"/>
        </w:rPr>
        <w:fldChar w:fldCharType="end"/>
      </w:r>
      <w:r w:rsidRPr="00A52AB8">
        <w:rPr>
          <w:color w:val="000000" w:themeColor="text1"/>
        </w:rPr>
        <w:t xml:space="preserve">) </w:t>
      </w:r>
      <w:r w:rsidRPr="00A52AB8">
        <w:t xml:space="preserve">value is directly stored in </w:t>
      </w:r>
      <w:r w:rsidR="00391548" w:rsidRPr="00A52AB8">
        <w:t xml:space="preserve">the corresponding region of a </w:t>
      </w:r>
      <w:r w:rsidR="00391548" w:rsidRPr="00A52AB8">
        <w:rPr>
          <w:i/>
          <w:iCs/>
        </w:rPr>
        <w:t xml:space="preserve">RAW patch </w:t>
      </w:r>
      <w:r w:rsidR="00391548" w:rsidRPr="00A52AB8">
        <w:t>(</w:t>
      </w:r>
      <w:r w:rsidR="00391548" w:rsidRPr="00496A4D">
        <w:fldChar w:fldCharType="begin"/>
      </w:r>
      <w:r w:rsidR="00391548" w:rsidRPr="00A52AB8">
        <w:instrText xml:space="preserve"> REF _Ref47981699 \n \h  \* MERGEFORMAT </w:instrText>
      </w:r>
      <w:r w:rsidR="00391548" w:rsidRPr="00496A4D">
        <w:fldChar w:fldCharType="separate"/>
      </w:r>
      <w:r w:rsidR="00507A67">
        <w:t>3.111</w:t>
      </w:r>
      <w:r w:rsidR="00391548" w:rsidRPr="00496A4D">
        <w:fldChar w:fldCharType="end"/>
      </w:r>
      <w:r w:rsidR="00391548" w:rsidRPr="00A52AB8">
        <w:t xml:space="preserve">) in either </w:t>
      </w:r>
      <w:r w:rsidRPr="00A52AB8">
        <w:t xml:space="preserve">the first component of the first </w:t>
      </w:r>
      <w:r w:rsidRPr="00A52AB8">
        <w:rPr>
          <w:i/>
          <w:iCs/>
          <w:color w:val="000000" w:themeColor="text1"/>
        </w:rPr>
        <w:t xml:space="preserve">geometry map </w:t>
      </w:r>
      <w:r w:rsidRPr="00A52AB8">
        <w:rPr>
          <w:color w:val="000000" w:themeColor="text1"/>
        </w:rPr>
        <w:t>(</w:t>
      </w:r>
      <w:r w:rsidRPr="00496A4D">
        <w:rPr>
          <w:color w:val="000000" w:themeColor="text1"/>
        </w:rPr>
        <w:fldChar w:fldCharType="begin"/>
      </w:r>
      <w:r w:rsidRPr="00A52AB8">
        <w:rPr>
          <w:color w:val="000000" w:themeColor="text1"/>
        </w:rPr>
        <w:instrText xml:space="preserve"> REF _Ref47525627 \r \h </w:instrText>
      </w:r>
      <w:r w:rsidR="006371AA"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3.65</w:t>
      </w:r>
      <w:r w:rsidRPr="00496A4D">
        <w:rPr>
          <w:color w:val="000000" w:themeColor="text1"/>
        </w:rPr>
        <w:fldChar w:fldCharType="end"/>
      </w:r>
      <w:r w:rsidRPr="00A52AB8">
        <w:rPr>
          <w:color w:val="000000" w:themeColor="text1"/>
        </w:rPr>
        <w:t xml:space="preserve">) </w:t>
      </w:r>
      <w:r w:rsidR="00391548" w:rsidRPr="00A52AB8">
        <w:t xml:space="preserve">or the </w:t>
      </w:r>
      <w:r w:rsidR="00391548" w:rsidRPr="00A52AB8">
        <w:rPr>
          <w:i/>
          <w:iCs/>
        </w:rPr>
        <w:t>auxiliary geometry frame</w:t>
      </w:r>
      <w:r w:rsidR="00391548" w:rsidRPr="00A52AB8">
        <w:t xml:space="preserve"> (</w:t>
      </w:r>
      <w:r w:rsidR="00391548" w:rsidRPr="00496A4D">
        <w:fldChar w:fldCharType="begin"/>
      </w:r>
      <w:r w:rsidR="00391548" w:rsidRPr="00A52AB8">
        <w:instrText xml:space="preserve"> REF _Ref50669686 \r \h </w:instrText>
      </w:r>
      <w:r w:rsidR="007478BA" w:rsidRPr="00A52AB8">
        <w:instrText xml:space="preserve"> \* MERGEFORMAT </w:instrText>
      </w:r>
      <w:r w:rsidR="00391548" w:rsidRPr="00496A4D">
        <w:fldChar w:fldCharType="separate"/>
      </w:r>
      <w:r w:rsidR="00507A67">
        <w:t>3.20</w:t>
      </w:r>
      <w:r w:rsidR="00391548" w:rsidRPr="00496A4D">
        <w:fldChar w:fldCharType="end"/>
      </w:r>
      <w:r w:rsidR="00391548" w:rsidRPr="00A52AB8">
        <w:t xml:space="preserve">), </w:t>
      </w:r>
      <w:r w:rsidRPr="00A52AB8">
        <w:t xml:space="preserve">and for which its attribute values, if present, are directly stored </w:t>
      </w:r>
      <w:r w:rsidR="00391548" w:rsidRPr="00A52AB8">
        <w:t xml:space="preserve">in the corresponding region of a </w:t>
      </w:r>
      <w:r w:rsidR="00391548" w:rsidRPr="00A52AB8">
        <w:rPr>
          <w:i/>
          <w:iCs/>
        </w:rPr>
        <w:t xml:space="preserve">RAW patch </w:t>
      </w:r>
      <w:r w:rsidR="00391548" w:rsidRPr="00A52AB8">
        <w:t>(</w:t>
      </w:r>
      <w:r w:rsidR="00391548" w:rsidRPr="00496A4D">
        <w:fldChar w:fldCharType="begin"/>
      </w:r>
      <w:r w:rsidR="00391548" w:rsidRPr="00A52AB8">
        <w:instrText xml:space="preserve"> REF _Ref47981699 \n \h  \* MERGEFORMAT </w:instrText>
      </w:r>
      <w:r w:rsidR="00391548" w:rsidRPr="00496A4D">
        <w:fldChar w:fldCharType="separate"/>
      </w:r>
      <w:r w:rsidR="00507A67">
        <w:t>3.111</w:t>
      </w:r>
      <w:r w:rsidR="00391548" w:rsidRPr="00496A4D">
        <w:fldChar w:fldCharType="end"/>
      </w:r>
      <w:r w:rsidR="00391548" w:rsidRPr="00A52AB8">
        <w:t xml:space="preserve">) in either </w:t>
      </w:r>
      <w:r w:rsidRPr="00A52AB8">
        <w:t xml:space="preserve">first </w:t>
      </w:r>
      <w:r w:rsidRPr="00A52AB8">
        <w:rPr>
          <w:i/>
          <w:iCs/>
          <w:color w:val="000000" w:themeColor="text1"/>
        </w:rPr>
        <w:t xml:space="preserve">attribute map </w:t>
      </w:r>
      <w:r w:rsidRPr="00A52AB8">
        <w:rPr>
          <w:color w:val="000000" w:themeColor="text1"/>
        </w:rPr>
        <w:t>(</w:t>
      </w:r>
      <w:r w:rsidRPr="00496A4D">
        <w:rPr>
          <w:color w:val="000000" w:themeColor="text1"/>
        </w:rPr>
        <w:fldChar w:fldCharType="begin"/>
      </w:r>
      <w:r w:rsidRPr="00A52AB8">
        <w:rPr>
          <w:color w:val="000000" w:themeColor="text1"/>
        </w:rPr>
        <w:instrText xml:space="preserve"> REF _Ref47525197 \r \h </w:instrText>
      </w:r>
      <w:r w:rsidR="006371AA"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3.18</w:t>
      </w:r>
      <w:r w:rsidRPr="00496A4D">
        <w:rPr>
          <w:color w:val="000000" w:themeColor="text1"/>
        </w:rPr>
        <w:fldChar w:fldCharType="end"/>
      </w:r>
      <w:r w:rsidRPr="00A52AB8">
        <w:rPr>
          <w:color w:val="000000" w:themeColor="text1"/>
        </w:rPr>
        <w:t>)</w:t>
      </w:r>
      <w:r w:rsidRPr="00A52AB8">
        <w:t xml:space="preserve"> </w:t>
      </w:r>
      <w:r w:rsidR="00391548" w:rsidRPr="00A52AB8">
        <w:t xml:space="preserve">or the </w:t>
      </w:r>
      <w:r w:rsidR="00391548" w:rsidRPr="00A52AB8">
        <w:rPr>
          <w:i/>
          <w:iCs/>
        </w:rPr>
        <w:t>auxiliary attribute frame</w:t>
      </w:r>
      <w:r w:rsidR="00391548" w:rsidRPr="00A52AB8">
        <w:t xml:space="preserve"> (</w:t>
      </w:r>
      <w:r w:rsidR="00391548" w:rsidRPr="00496A4D">
        <w:fldChar w:fldCharType="begin"/>
      </w:r>
      <w:r w:rsidR="00391548" w:rsidRPr="00A52AB8">
        <w:instrText xml:space="preserve"> REF _Ref50669846 \r \h </w:instrText>
      </w:r>
      <w:r w:rsidR="007478BA" w:rsidRPr="00A52AB8">
        <w:instrText xml:space="preserve"> \* MERGEFORMAT </w:instrText>
      </w:r>
      <w:r w:rsidR="00391548" w:rsidRPr="00496A4D">
        <w:fldChar w:fldCharType="separate"/>
      </w:r>
      <w:r w:rsidR="00507A67">
        <w:t>3.19</w:t>
      </w:r>
      <w:r w:rsidR="00391548" w:rsidRPr="00496A4D">
        <w:fldChar w:fldCharType="end"/>
      </w:r>
      <w:r w:rsidR="00391548" w:rsidRPr="00A52AB8">
        <w:t>)</w:t>
      </w:r>
      <w:r w:rsidRPr="00A52AB8">
        <w:t>, without any form of projection</w:t>
      </w:r>
    </w:p>
    <w:p w14:paraId="26ED014F" w14:textId="1F416FE6" w:rsidR="00825DB1" w:rsidRPr="00A52AB8" w:rsidRDefault="00825DB1" w:rsidP="00E72F7E">
      <w:pPr>
        <w:pStyle w:val="TermHeading"/>
      </w:pPr>
      <w:bookmarkStart w:id="87" w:name="_Ref47981699"/>
    </w:p>
    <w:bookmarkEnd w:id="87"/>
    <w:p w14:paraId="40B6837E" w14:textId="77777777" w:rsidR="0050235C" w:rsidRPr="00A52AB8" w:rsidRDefault="00825DB1" w:rsidP="00825DB1">
      <w:pPr>
        <w:pStyle w:val="Terms"/>
        <w:rPr>
          <w:color w:val="000000" w:themeColor="text1"/>
        </w:rPr>
      </w:pPr>
      <w:r w:rsidRPr="00A52AB8">
        <w:rPr>
          <w:color w:val="000000" w:themeColor="text1"/>
        </w:rPr>
        <w:t>RAW patch</w:t>
      </w:r>
    </w:p>
    <w:p w14:paraId="6212A696" w14:textId="378EDF4E" w:rsidR="00825DB1" w:rsidRPr="00A52AB8" w:rsidRDefault="00825DB1" w:rsidP="00564EF6">
      <w:pPr>
        <w:pStyle w:val="Definition"/>
        <w:rPr>
          <w:rFonts w:cs="Calibri"/>
        </w:rPr>
      </w:pPr>
      <w:r w:rsidRPr="00A52AB8">
        <w:rPr>
          <w:i/>
          <w:iCs/>
        </w:rPr>
        <w:t>patch</w:t>
      </w:r>
      <w:r w:rsidRPr="00A52AB8">
        <w:t xml:space="preserve"> (</w:t>
      </w:r>
      <w:r w:rsidRPr="00496A4D">
        <w:fldChar w:fldCharType="begin"/>
      </w:r>
      <w:r w:rsidRPr="00A52AB8">
        <w:instrText xml:space="preserve"> REF _Ref47523249 \r \h  \* MERGEFORMAT </w:instrText>
      </w:r>
      <w:r w:rsidRPr="00496A4D">
        <w:fldChar w:fldCharType="separate"/>
      </w:r>
      <w:r w:rsidR="00507A67">
        <w:t>3.93</w:t>
      </w:r>
      <w:r w:rsidRPr="00496A4D">
        <w:fldChar w:fldCharType="end"/>
      </w:r>
      <w:r w:rsidRPr="00A52AB8">
        <w:t xml:space="preserve">) </w:t>
      </w:r>
      <w:r w:rsidR="00730876" w:rsidRPr="00A52AB8">
        <w:t xml:space="preserve">with </w:t>
      </w:r>
      <w:r w:rsidRPr="00A52AB8">
        <w:rPr>
          <w:i/>
          <w:iCs/>
        </w:rPr>
        <w:t>patch mode</w:t>
      </w:r>
      <w:r w:rsidRPr="00A52AB8">
        <w:t xml:space="preserve"> (</w:t>
      </w:r>
      <w:r w:rsidRPr="00496A4D">
        <w:fldChar w:fldCharType="begin"/>
      </w:r>
      <w:r w:rsidRPr="00A52AB8">
        <w:instrText xml:space="preserve"> REF _Ref47980179 \r \h </w:instrText>
      </w:r>
      <w:r w:rsidR="00851254" w:rsidRPr="00A52AB8">
        <w:instrText xml:space="preserve"> \* MERGEFORMAT </w:instrText>
      </w:r>
      <w:r w:rsidRPr="00496A4D">
        <w:fldChar w:fldCharType="separate"/>
      </w:r>
      <w:r w:rsidR="00507A67">
        <w:t>3.95</w:t>
      </w:r>
      <w:r w:rsidRPr="00496A4D">
        <w:fldChar w:fldCharType="end"/>
      </w:r>
      <w:r w:rsidRPr="00A52AB8">
        <w:t xml:space="preserve">) equal to I_RAW, P_RAW, or </w:t>
      </w:r>
      <w:r w:rsidRPr="00A52AB8">
        <w:rPr>
          <w:color w:val="000000" w:themeColor="text1"/>
          <w:lang w:eastAsia="ko-KR"/>
        </w:rPr>
        <w:t xml:space="preserve">P_SKIP associated with </w:t>
      </w:r>
      <w:r w:rsidRPr="00A52AB8">
        <w:rPr>
          <w:i/>
          <w:iCs/>
          <w:color w:val="000000" w:themeColor="text1"/>
          <w:lang w:eastAsia="ko-KR"/>
        </w:rPr>
        <w:t xml:space="preserve">RAW coded points </w:t>
      </w:r>
      <w:r w:rsidRPr="00A52AB8">
        <w:rPr>
          <w:color w:val="000000" w:themeColor="text1"/>
          <w:lang w:eastAsia="ko-KR"/>
        </w:rPr>
        <w:t>(</w:t>
      </w:r>
      <w:r w:rsidR="00121DE5" w:rsidRPr="00496A4D">
        <w:rPr>
          <w:color w:val="000000" w:themeColor="text1"/>
          <w:lang w:eastAsia="ko-KR"/>
        </w:rPr>
        <w:fldChar w:fldCharType="begin"/>
      </w:r>
      <w:r w:rsidR="00121DE5" w:rsidRPr="00A52AB8">
        <w:rPr>
          <w:color w:val="000000" w:themeColor="text1"/>
          <w:lang w:eastAsia="ko-KR"/>
        </w:rPr>
        <w:instrText xml:space="preserve"> REF _Ref47526582 \n \h </w:instrText>
      </w:r>
      <w:r w:rsidR="00007BE2" w:rsidRPr="00A52AB8">
        <w:rPr>
          <w:color w:val="000000" w:themeColor="text1"/>
          <w:lang w:eastAsia="ko-KR"/>
        </w:rPr>
        <w:instrText xml:space="preserve"> \* MERGEFORMAT </w:instrText>
      </w:r>
      <w:r w:rsidR="00121DE5" w:rsidRPr="00496A4D">
        <w:rPr>
          <w:color w:val="000000" w:themeColor="text1"/>
          <w:lang w:eastAsia="ko-KR"/>
        </w:rPr>
      </w:r>
      <w:r w:rsidR="00121DE5" w:rsidRPr="00496A4D">
        <w:rPr>
          <w:color w:val="000000" w:themeColor="text1"/>
          <w:lang w:eastAsia="ko-KR"/>
        </w:rPr>
        <w:fldChar w:fldCharType="separate"/>
      </w:r>
      <w:r w:rsidR="00507A67">
        <w:rPr>
          <w:color w:val="000000" w:themeColor="text1"/>
          <w:lang w:eastAsia="ko-KR"/>
        </w:rPr>
        <w:t>3.110</w:t>
      </w:r>
      <w:r w:rsidR="00121DE5" w:rsidRPr="00496A4D">
        <w:rPr>
          <w:color w:val="000000" w:themeColor="text1"/>
          <w:lang w:eastAsia="ko-KR"/>
        </w:rPr>
        <w:fldChar w:fldCharType="end"/>
      </w:r>
      <w:r w:rsidRPr="00A52AB8">
        <w:rPr>
          <w:color w:val="000000" w:themeColor="text1"/>
          <w:lang w:eastAsia="ko-KR"/>
        </w:rPr>
        <w:t>)</w:t>
      </w:r>
    </w:p>
    <w:p w14:paraId="008DA2EF" w14:textId="77777777" w:rsidR="00564EF6" w:rsidRPr="00A52AB8" w:rsidRDefault="00564EF6" w:rsidP="00E72F7E">
      <w:pPr>
        <w:pStyle w:val="TermHeading"/>
      </w:pPr>
    </w:p>
    <w:p w14:paraId="54B06784" w14:textId="77777777" w:rsidR="00564EF6" w:rsidRPr="00A52AB8" w:rsidRDefault="00564EF6" w:rsidP="00564EF6">
      <w:pPr>
        <w:pStyle w:val="Terms"/>
        <w:rPr>
          <w:color w:val="000000" w:themeColor="text1"/>
        </w:rPr>
      </w:pPr>
      <w:r w:rsidRPr="00A52AB8">
        <w:rPr>
          <w:color w:val="000000" w:themeColor="text1"/>
        </w:rPr>
        <w:t>RAW patch</w:t>
      </w:r>
      <w:r w:rsidR="00330677" w:rsidRPr="00A52AB8">
        <w:rPr>
          <w:color w:val="000000" w:themeColor="text1"/>
        </w:rPr>
        <w:t xml:space="preserve"> type</w:t>
      </w:r>
    </w:p>
    <w:p w14:paraId="0E8011BE" w14:textId="064E22B8" w:rsidR="00564EF6" w:rsidRPr="00A52AB8" w:rsidRDefault="00AE5F27" w:rsidP="00564EF6">
      <w:pPr>
        <w:pStyle w:val="Definition"/>
      </w:pPr>
      <w:r w:rsidRPr="00A52AB8">
        <w:rPr>
          <w:i/>
          <w:iCs/>
        </w:rPr>
        <w:t xml:space="preserve">patch type </w:t>
      </w:r>
      <w:r w:rsidRPr="00A52AB8">
        <w:t>(</w:t>
      </w:r>
      <w:r w:rsidRPr="00496A4D">
        <w:fldChar w:fldCharType="begin"/>
      </w:r>
      <w:r w:rsidRPr="00A52AB8">
        <w:instrText xml:space="preserve"> REF _Ref47981265 \r \h  \* MERGEFORMAT </w:instrText>
      </w:r>
      <w:r w:rsidRPr="00496A4D">
        <w:fldChar w:fldCharType="separate"/>
      </w:r>
      <w:r w:rsidR="00507A67">
        <w:t>3.96</w:t>
      </w:r>
      <w:r w:rsidRPr="00496A4D">
        <w:fldChar w:fldCharType="end"/>
      </w:r>
      <w:r w:rsidRPr="00A52AB8">
        <w:t>) indicating</w:t>
      </w:r>
      <w:r w:rsidR="00825DB1" w:rsidRPr="00A52AB8">
        <w:rPr>
          <w:i/>
          <w:iCs/>
        </w:rPr>
        <w:t xml:space="preserve"> </w:t>
      </w:r>
      <w:r w:rsidR="005B4793" w:rsidRPr="00A52AB8">
        <w:t>a</w:t>
      </w:r>
      <w:r w:rsidR="005B4793" w:rsidRPr="00A52AB8">
        <w:rPr>
          <w:i/>
          <w:iCs/>
        </w:rPr>
        <w:t xml:space="preserve"> </w:t>
      </w:r>
      <w:r w:rsidR="00825DB1" w:rsidRPr="00A52AB8">
        <w:rPr>
          <w:i/>
          <w:iCs/>
        </w:rPr>
        <w:t>RAW patch</w:t>
      </w:r>
      <w:r w:rsidR="008C7683" w:rsidRPr="00A52AB8">
        <w:rPr>
          <w:i/>
          <w:iCs/>
        </w:rPr>
        <w:t xml:space="preserve"> </w:t>
      </w:r>
      <w:r w:rsidR="008C7683" w:rsidRPr="00A52AB8">
        <w:t>(</w:t>
      </w:r>
      <w:r w:rsidR="00121DE5" w:rsidRPr="00496A4D">
        <w:fldChar w:fldCharType="begin"/>
      </w:r>
      <w:r w:rsidR="00121DE5" w:rsidRPr="00A52AB8">
        <w:instrText xml:space="preserve"> REF _Ref47981699 \n \h </w:instrText>
      </w:r>
      <w:r w:rsidR="00007BE2" w:rsidRPr="00A52AB8">
        <w:instrText xml:space="preserve"> \* MERGEFORMAT </w:instrText>
      </w:r>
      <w:r w:rsidR="00121DE5" w:rsidRPr="00496A4D">
        <w:fldChar w:fldCharType="separate"/>
      </w:r>
      <w:r w:rsidR="00507A67">
        <w:t>3.111</w:t>
      </w:r>
      <w:r w:rsidR="00121DE5" w:rsidRPr="00496A4D">
        <w:fldChar w:fldCharType="end"/>
      </w:r>
      <w:r w:rsidR="008C7683" w:rsidRPr="00A52AB8">
        <w:t>)</w:t>
      </w:r>
    </w:p>
    <w:p w14:paraId="418A905C" w14:textId="77777777" w:rsidR="00785051" w:rsidRPr="00A52AB8" w:rsidRDefault="00785051" w:rsidP="00E72F7E">
      <w:pPr>
        <w:pStyle w:val="TermHeading"/>
      </w:pPr>
    </w:p>
    <w:p w14:paraId="7BD0E013" w14:textId="0DBD7FDF" w:rsidR="00785051" w:rsidRPr="00A52AB8" w:rsidRDefault="00785051" w:rsidP="00785051">
      <w:pPr>
        <w:pStyle w:val="Terms"/>
        <w:rPr>
          <w:color w:val="000000" w:themeColor="text1"/>
        </w:rPr>
      </w:pPr>
      <w:r w:rsidRPr="00A52AB8">
        <w:rPr>
          <w:color w:val="000000" w:themeColor="text1"/>
        </w:rPr>
        <w:t>reserved</w:t>
      </w:r>
    </w:p>
    <w:p w14:paraId="19D2F144" w14:textId="652EC1D1" w:rsidR="00785051" w:rsidRPr="00A52AB8" w:rsidRDefault="00785051" w:rsidP="00564EF6">
      <w:pPr>
        <w:pStyle w:val="Definition"/>
      </w:pPr>
      <w:r w:rsidRPr="00A52AB8">
        <w:t xml:space="preserve">term that may be used to specify that some values of a particular </w:t>
      </w:r>
      <w:r w:rsidRPr="00A52AB8">
        <w:rPr>
          <w:i/>
          <w:iCs/>
        </w:rPr>
        <w:t>syntax element</w:t>
      </w:r>
      <w:r w:rsidRPr="00A52AB8">
        <w:t xml:space="preserve"> (</w:t>
      </w:r>
      <w:r w:rsidRPr="00496A4D">
        <w:fldChar w:fldCharType="begin"/>
      </w:r>
      <w:r w:rsidRPr="00A52AB8">
        <w:instrText xml:space="preserve"> REF _Ref47526553 \n \h </w:instrText>
      </w:r>
      <w:r w:rsidR="007478BA" w:rsidRPr="00A52AB8">
        <w:instrText xml:space="preserve"> \* MERGEFORMAT </w:instrText>
      </w:r>
      <w:r w:rsidRPr="00496A4D">
        <w:fldChar w:fldCharType="separate"/>
      </w:r>
      <w:r w:rsidR="00507A67">
        <w:t>3.129</w:t>
      </w:r>
      <w:r w:rsidRPr="00496A4D">
        <w:fldChar w:fldCharType="end"/>
      </w:r>
      <w:r w:rsidRPr="00A52AB8">
        <w:t xml:space="preserve">) are for future use by ISO/IEC and shall not be used in </w:t>
      </w:r>
      <w:r w:rsidRPr="00A52AB8">
        <w:rPr>
          <w:i/>
          <w:iCs/>
        </w:rPr>
        <w:t>bitstreams</w:t>
      </w:r>
      <w:r w:rsidRPr="00A52AB8">
        <w:t xml:space="preserve"> (</w:t>
      </w:r>
      <w:r w:rsidRPr="00496A4D">
        <w:fldChar w:fldCharType="begin"/>
      </w:r>
      <w:r w:rsidRPr="00A52AB8">
        <w:instrText xml:space="preserve"> REF _Ref47523191 \n \h </w:instrText>
      </w:r>
      <w:r w:rsidR="007478BA" w:rsidRPr="00A52AB8">
        <w:instrText xml:space="preserve"> \* MERGEFORMAT </w:instrText>
      </w:r>
      <w:r w:rsidRPr="00496A4D">
        <w:fldChar w:fldCharType="separate"/>
      </w:r>
      <w:r w:rsidR="00507A67">
        <w:t>3.23</w:t>
      </w:r>
      <w:r w:rsidRPr="00496A4D">
        <w:fldChar w:fldCharType="end"/>
      </w:r>
      <w:r w:rsidRPr="00A52AB8">
        <w:t xml:space="preserve">) or atlas </w:t>
      </w:r>
      <w:r w:rsidRPr="00A52AB8">
        <w:rPr>
          <w:i/>
          <w:iCs/>
        </w:rPr>
        <w:t>bitstreams</w:t>
      </w:r>
      <w:r w:rsidRPr="00A52AB8">
        <w:t xml:space="preserve"> (</w:t>
      </w:r>
      <w:r w:rsidRPr="00496A4D">
        <w:fldChar w:fldCharType="begin"/>
      </w:r>
      <w:r w:rsidRPr="00A52AB8">
        <w:instrText xml:space="preserve"> REF _Ref48156683 \n \h </w:instrText>
      </w:r>
      <w:r w:rsidR="007478BA" w:rsidRPr="00A52AB8">
        <w:instrText xml:space="preserve"> \* MERGEFORMAT </w:instrText>
      </w:r>
      <w:r w:rsidRPr="00496A4D">
        <w:fldChar w:fldCharType="separate"/>
      </w:r>
      <w:r w:rsidR="00507A67">
        <w:t>3.5</w:t>
      </w:r>
      <w:r w:rsidRPr="00496A4D">
        <w:fldChar w:fldCharType="end"/>
      </w:r>
      <w:r w:rsidRPr="00A52AB8">
        <w:t xml:space="preserve">) conforming to this version of this document, but may be used in </w:t>
      </w:r>
      <w:r w:rsidRPr="00A52AB8">
        <w:rPr>
          <w:i/>
          <w:iCs/>
        </w:rPr>
        <w:t>bitstreams</w:t>
      </w:r>
      <w:r w:rsidRPr="00A52AB8">
        <w:t xml:space="preserve"> (</w:t>
      </w:r>
      <w:r w:rsidRPr="00496A4D">
        <w:fldChar w:fldCharType="begin"/>
      </w:r>
      <w:r w:rsidRPr="00A52AB8">
        <w:instrText xml:space="preserve"> REF _Ref47523191 \n \h </w:instrText>
      </w:r>
      <w:r w:rsidR="007478BA" w:rsidRPr="00A52AB8">
        <w:instrText xml:space="preserve"> \* MERGEFORMAT </w:instrText>
      </w:r>
      <w:r w:rsidRPr="00496A4D">
        <w:fldChar w:fldCharType="separate"/>
      </w:r>
      <w:r w:rsidR="00507A67">
        <w:t>3.23</w:t>
      </w:r>
      <w:r w:rsidRPr="00496A4D">
        <w:fldChar w:fldCharType="end"/>
      </w:r>
      <w:r w:rsidRPr="00A52AB8">
        <w:t xml:space="preserve">) or atlas </w:t>
      </w:r>
      <w:r w:rsidRPr="00A52AB8">
        <w:rPr>
          <w:i/>
          <w:iCs/>
        </w:rPr>
        <w:t>bitstreams</w:t>
      </w:r>
      <w:r w:rsidRPr="00A52AB8">
        <w:t xml:space="preserve"> (</w:t>
      </w:r>
      <w:r w:rsidRPr="00496A4D">
        <w:fldChar w:fldCharType="begin"/>
      </w:r>
      <w:r w:rsidRPr="00A52AB8">
        <w:instrText xml:space="preserve"> REF _Ref48156683 \n \h </w:instrText>
      </w:r>
      <w:r w:rsidR="007478BA" w:rsidRPr="00A52AB8">
        <w:instrText xml:space="preserve"> \* MERGEFORMAT </w:instrText>
      </w:r>
      <w:r w:rsidRPr="00496A4D">
        <w:fldChar w:fldCharType="separate"/>
      </w:r>
      <w:r w:rsidR="00507A67">
        <w:t>3.5</w:t>
      </w:r>
      <w:r w:rsidRPr="00496A4D">
        <w:fldChar w:fldCharType="end"/>
      </w:r>
      <w:r w:rsidRPr="00A52AB8">
        <w:t>) conforming to future extensions of this document</w:t>
      </w:r>
    </w:p>
    <w:p w14:paraId="3024F1E5" w14:textId="77777777" w:rsidR="00B606C5" w:rsidRPr="00A52AB8" w:rsidRDefault="00B606C5" w:rsidP="00E72F7E">
      <w:pPr>
        <w:pStyle w:val="TermHeading"/>
      </w:pPr>
    </w:p>
    <w:p w14:paraId="1460BDE1" w14:textId="690D4B57" w:rsidR="00B606C5" w:rsidRPr="00A52AB8" w:rsidRDefault="00B606C5" w:rsidP="00B606C5">
      <w:pPr>
        <w:pStyle w:val="Terms"/>
      </w:pPr>
      <w:r w:rsidRPr="00A52AB8">
        <w:t>step-wise temporal sub-layer access access unit</w:t>
      </w:r>
      <w:r w:rsidRPr="00A52AB8">
        <w:br/>
        <w:t>STSA access unit</w:t>
      </w:r>
    </w:p>
    <w:p w14:paraId="5E61127D" w14:textId="3868B687" w:rsidR="00B606C5" w:rsidRPr="00A52AB8" w:rsidRDefault="00B606C5" w:rsidP="00B606C5">
      <w:pPr>
        <w:pStyle w:val="Definition"/>
        <w:rPr>
          <w:color w:val="000000" w:themeColor="text1"/>
        </w:rPr>
      </w:pPr>
      <w:r w:rsidRPr="00A52AB8">
        <w:rPr>
          <w:iCs/>
          <w:color w:val="000000" w:themeColor="text1"/>
        </w:rPr>
        <w:t>access unit</w:t>
      </w:r>
      <w:r w:rsidRPr="00A52AB8">
        <w:rPr>
          <w:i/>
          <w:iCs/>
          <w:color w:val="000000" w:themeColor="text1"/>
        </w:rPr>
        <w:t xml:space="preserve"> </w:t>
      </w:r>
      <w:r w:rsidRPr="00A52AB8">
        <w:rPr>
          <w:iCs/>
          <w:color w:val="000000" w:themeColor="text1"/>
        </w:rPr>
        <w:t xml:space="preserve">in which the </w:t>
      </w:r>
      <w:r w:rsidRPr="00A52AB8">
        <w:rPr>
          <w:i/>
          <w:iCs/>
          <w:color w:val="000000" w:themeColor="text1"/>
        </w:rPr>
        <w:t xml:space="preserve">coded atlas </w:t>
      </w:r>
      <w:r w:rsidRPr="00A52AB8">
        <w:rPr>
          <w:color w:val="000000" w:themeColor="text1"/>
        </w:rPr>
        <w:t>(</w:t>
      </w:r>
      <w:r w:rsidRPr="00496A4D">
        <w:rPr>
          <w:color w:val="000000" w:themeColor="text1"/>
        </w:rPr>
        <w:fldChar w:fldCharType="begin"/>
      </w:r>
      <w:r w:rsidRPr="00A52AB8">
        <w:rPr>
          <w:color w:val="000000" w:themeColor="text1"/>
        </w:rPr>
        <w:instrText xml:space="preserve"> REF _Ref47525438 \r \h  \* MERGEFORMAT </w:instrText>
      </w:r>
      <w:r w:rsidRPr="00496A4D">
        <w:rPr>
          <w:color w:val="000000" w:themeColor="text1"/>
        </w:rPr>
      </w:r>
      <w:r w:rsidRPr="00496A4D">
        <w:rPr>
          <w:color w:val="000000" w:themeColor="text1"/>
        </w:rPr>
        <w:fldChar w:fldCharType="separate"/>
      </w:r>
      <w:r w:rsidR="00507A67">
        <w:rPr>
          <w:color w:val="000000" w:themeColor="text1"/>
        </w:rPr>
        <w:t>3.34</w:t>
      </w:r>
      <w:r w:rsidRPr="00496A4D">
        <w:rPr>
          <w:color w:val="000000" w:themeColor="text1"/>
        </w:rPr>
        <w:fldChar w:fldCharType="end"/>
      </w:r>
      <w:r w:rsidRPr="00A52AB8">
        <w:rPr>
          <w:color w:val="000000" w:themeColor="text1"/>
        </w:rPr>
        <w:t xml:space="preserve">) with nal_layer_id equal to 0 is a </w:t>
      </w:r>
      <w:r w:rsidRPr="00A52AB8">
        <w:rPr>
          <w:i/>
          <w:color w:val="000000" w:themeColor="text1"/>
        </w:rPr>
        <w:t>STSA coded atlas</w:t>
      </w:r>
      <w:r w:rsidRPr="00A52AB8">
        <w:rPr>
          <w:color w:val="000000" w:themeColor="text1"/>
        </w:rPr>
        <w:t xml:space="preserve"> (</w:t>
      </w:r>
      <w:r w:rsidR="00121DE5" w:rsidRPr="00496A4D">
        <w:rPr>
          <w:color w:val="000000" w:themeColor="text1"/>
        </w:rPr>
        <w:fldChar w:fldCharType="begin"/>
      </w:r>
      <w:r w:rsidR="00121DE5" w:rsidRPr="00A52AB8">
        <w:rPr>
          <w:color w:val="000000" w:themeColor="text1"/>
        </w:rPr>
        <w:instrText xml:space="preserve"> REF _Ref49596785 \n \h </w:instrText>
      </w:r>
      <w:r w:rsidR="00007BE2" w:rsidRPr="00A52AB8">
        <w:rPr>
          <w:color w:val="000000" w:themeColor="text1"/>
        </w:rPr>
        <w:instrText xml:space="preserve"> \* MERGEFORMAT </w:instrText>
      </w:r>
      <w:r w:rsidR="00121DE5" w:rsidRPr="00496A4D">
        <w:rPr>
          <w:color w:val="000000" w:themeColor="text1"/>
        </w:rPr>
      </w:r>
      <w:r w:rsidR="00121DE5" w:rsidRPr="00496A4D">
        <w:rPr>
          <w:color w:val="000000" w:themeColor="text1"/>
        </w:rPr>
        <w:fldChar w:fldCharType="separate"/>
      </w:r>
      <w:r w:rsidR="00507A67">
        <w:rPr>
          <w:color w:val="000000" w:themeColor="text1"/>
        </w:rPr>
        <w:t>3.115</w:t>
      </w:r>
      <w:r w:rsidR="00121DE5" w:rsidRPr="00496A4D">
        <w:rPr>
          <w:color w:val="000000" w:themeColor="text1"/>
        </w:rPr>
        <w:fldChar w:fldCharType="end"/>
      </w:r>
      <w:r w:rsidRPr="00A52AB8">
        <w:rPr>
          <w:color w:val="000000" w:themeColor="text1"/>
        </w:rPr>
        <w:t>)</w:t>
      </w:r>
    </w:p>
    <w:p w14:paraId="4D0F36A0" w14:textId="77777777" w:rsidR="00B606C5" w:rsidRPr="00A52AB8" w:rsidRDefault="00B606C5" w:rsidP="00E72F7E">
      <w:pPr>
        <w:pStyle w:val="TermHeading"/>
      </w:pPr>
      <w:bookmarkStart w:id="88" w:name="_Ref49596785"/>
    </w:p>
    <w:bookmarkEnd w:id="88"/>
    <w:p w14:paraId="5BAF8392" w14:textId="11282DA3" w:rsidR="00B606C5" w:rsidRPr="00A52AB8" w:rsidRDefault="00B606C5" w:rsidP="00B606C5">
      <w:pPr>
        <w:pStyle w:val="Terms"/>
      </w:pPr>
      <w:r w:rsidRPr="00A52AB8">
        <w:t>step-wise temporal sub-layer access coded atlas</w:t>
      </w:r>
      <w:r w:rsidRPr="00A52AB8">
        <w:br/>
        <w:t>STSA coded atlas</w:t>
      </w:r>
    </w:p>
    <w:p w14:paraId="57531CF8" w14:textId="228C9CAC" w:rsidR="00B606C5" w:rsidRPr="00A52AB8" w:rsidRDefault="00B606C5" w:rsidP="00564EF6">
      <w:pPr>
        <w:pStyle w:val="Definition"/>
        <w:rPr>
          <w:color w:val="000000" w:themeColor="text1"/>
        </w:rPr>
      </w:pPr>
      <w:r w:rsidRPr="00A52AB8">
        <w:rPr>
          <w:i/>
          <w:iCs/>
          <w:color w:val="000000" w:themeColor="text1"/>
        </w:rPr>
        <w:t xml:space="preserve">coded atlas </w:t>
      </w:r>
      <w:r w:rsidRPr="00A52AB8">
        <w:rPr>
          <w:color w:val="000000" w:themeColor="text1"/>
        </w:rPr>
        <w:t>(</w:t>
      </w:r>
      <w:r w:rsidRPr="00496A4D">
        <w:rPr>
          <w:color w:val="000000" w:themeColor="text1"/>
        </w:rPr>
        <w:fldChar w:fldCharType="begin"/>
      </w:r>
      <w:r w:rsidRPr="00A52AB8">
        <w:rPr>
          <w:color w:val="000000" w:themeColor="text1"/>
        </w:rPr>
        <w:instrText xml:space="preserve"> REF _Ref47525438 \r \h  \* MERGEFORMAT </w:instrText>
      </w:r>
      <w:r w:rsidRPr="00496A4D">
        <w:rPr>
          <w:color w:val="000000" w:themeColor="text1"/>
        </w:rPr>
      </w:r>
      <w:r w:rsidRPr="00496A4D">
        <w:rPr>
          <w:color w:val="000000" w:themeColor="text1"/>
        </w:rPr>
        <w:fldChar w:fldCharType="separate"/>
      </w:r>
      <w:r w:rsidR="00507A67">
        <w:rPr>
          <w:color w:val="000000" w:themeColor="text1"/>
        </w:rPr>
        <w:t>3.34</w:t>
      </w:r>
      <w:r w:rsidRPr="00496A4D">
        <w:rPr>
          <w:color w:val="000000" w:themeColor="text1"/>
        </w:rPr>
        <w:fldChar w:fldCharType="end"/>
      </w:r>
      <w:r w:rsidRPr="00A52AB8">
        <w:rPr>
          <w:color w:val="000000" w:themeColor="text1"/>
        </w:rPr>
        <w:t xml:space="preserve">) for which each </w:t>
      </w:r>
      <w:r w:rsidRPr="00A52AB8">
        <w:rPr>
          <w:i/>
          <w:iCs/>
          <w:color w:val="000000" w:themeColor="text1"/>
        </w:rPr>
        <w:t>ACL NAL unit</w:t>
      </w:r>
      <w:r w:rsidRPr="00A52AB8">
        <w:rPr>
          <w:color w:val="000000" w:themeColor="text1"/>
        </w:rPr>
        <w:t xml:space="preserve"> </w:t>
      </w:r>
      <w:r w:rsidR="00164766" w:rsidRPr="00A52AB8">
        <w:rPr>
          <w:color w:val="000000" w:themeColor="text1"/>
        </w:rPr>
        <w:t>(</w:t>
      </w:r>
      <w:r w:rsidR="00164766" w:rsidRPr="00496A4D">
        <w:rPr>
          <w:color w:val="000000" w:themeColor="text1"/>
        </w:rPr>
        <w:fldChar w:fldCharType="begin"/>
      </w:r>
      <w:r w:rsidR="00164766" w:rsidRPr="00A52AB8">
        <w:rPr>
          <w:color w:val="000000" w:themeColor="text1"/>
        </w:rPr>
        <w:instrText xml:space="preserve"> REF _Ref49013819 \r \h </w:instrText>
      </w:r>
      <w:r w:rsidR="007478BA" w:rsidRPr="00A52AB8">
        <w:rPr>
          <w:color w:val="000000" w:themeColor="text1"/>
        </w:rPr>
        <w:instrText xml:space="preserve"> \* MERGEFORMAT </w:instrText>
      </w:r>
      <w:r w:rsidR="00164766" w:rsidRPr="00496A4D">
        <w:rPr>
          <w:color w:val="000000" w:themeColor="text1"/>
        </w:rPr>
      </w:r>
      <w:r w:rsidR="00164766" w:rsidRPr="00496A4D">
        <w:rPr>
          <w:color w:val="000000" w:themeColor="text1"/>
        </w:rPr>
        <w:fldChar w:fldCharType="separate"/>
      </w:r>
      <w:r w:rsidR="00507A67">
        <w:rPr>
          <w:color w:val="000000" w:themeColor="text1"/>
        </w:rPr>
        <w:t>3.6</w:t>
      </w:r>
      <w:r w:rsidR="00164766" w:rsidRPr="00496A4D">
        <w:rPr>
          <w:color w:val="000000" w:themeColor="text1"/>
        </w:rPr>
        <w:fldChar w:fldCharType="end"/>
      </w:r>
      <w:r w:rsidR="00164766" w:rsidRPr="00A52AB8">
        <w:rPr>
          <w:color w:val="000000" w:themeColor="text1"/>
        </w:rPr>
        <w:t xml:space="preserve">) </w:t>
      </w:r>
      <w:r w:rsidRPr="00A52AB8">
        <w:rPr>
          <w:color w:val="000000" w:themeColor="text1"/>
        </w:rPr>
        <w:t>has nal_unit_type equal to NAL_STSA_R or NAL_STSA_N</w:t>
      </w:r>
    </w:p>
    <w:p w14:paraId="230773F2" w14:textId="77777777" w:rsidR="00B00BE0" w:rsidRPr="00A52AB8" w:rsidRDefault="00B00BE0" w:rsidP="00E72F7E">
      <w:pPr>
        <w:pStyle w:val="TermHeading"/>
      </w:pPr>
      <w:bookmarkStart w:id="89" w:name="_Ref50572694"/>
    </w:p>
    <w:bookmarkEnd w:id="89"/>
    <w:p w14:paraId="72E5C333" w14:textId="20287AD1" w:rsidR="00B00BE0" w:rsidRPr="00A52AB8" w:rsidRDefault="00B00BE0" w:rsidP="00B00BE0">
      <w:pPr>
        <w:pStyle w:val="Terms"/>
      </w:pPr>
      <w:r w:rsidRPr="00A52AB8">
        <w:t>string of data bits</w:t>
      </w:r>
      <w:r w:rsidRPr="00A52AB8">
        <w:br/>
        <w:t>SODB</w:t>
      </w:r>
    </w:p>
    <w:p w14:paraId="3A835535" w14:textId="71065136" w:rsidR="00B00BE0" w:rsidRPr="00A52AB8" w:rsidRDefault="00B00BE0" w:rsidP="00B00BE0">
      <w:pPr>
        <w:pStyle w:val="Definition"/>
        <w:rPr>
          <w:color w:val="000000" w:themeColor="text1"/>
        </w:rPr>
      </w:pPr>
      <w:r w:rsidRPr="00A52AB8">
        <w:rPr>
          <w:color w:val="000000" w:themeColor="text1"/>
        </w:rPr>
        <w:t xml:space="preserve">sequence of some number of bits representing </w:t>
      </w:r>
      <w:r w:rsidRPr="00A52AB8">
        <w:rPr>
          <w:i/>
          <w:iCs/>
          <w:color w:val="000000" w:themeColor="text1"/>
        </w:rPr>
        <w:t>syntax elements</w:t>
      </w:r>
      <w:r w:rsidRPr="00A52AB8">
        <w:rPr>
          <w:color w:val="000000" w:themeColor="text1"/>
        </w:rPr>
        <w:t xml:space="preserve"> (</w:t>
      </w:r>
      <w:r w:rsidRPr="00496A4D">
        <w:rPr>
          <w:color w:val="000000" w:themeColor="text1"/>
        </w:rPr>
        <w:fldChar w:fldCharType="begin"/>
      </w:r>
      <w:r w:rsidRPr="00A52AB8">
        <w:rPr>
          <w:color w:val="000000" w:themeColor="text1"/>
        </w:rPr>
        <w:instrText xml:space="preserve"> REF _Ref47525293 \n \h </w:instrText>
      </w:r>
      <w:r w:rsidR="007478BA"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3.128</w:t>
      </w:r>
      <w:r w:rsidRPr="00496A4D">
        <w:rPr>
          <w:color w:val="000000" w:themeColor="text1"/>
        </w:rPr>
        <w:fldChar w:fldCharType="end"/>
      </w:r>
      <w:r w:rsidRPr="00A52AB8">
        <w:rPr>
          <w:color w:val="000000" w:themeColor="text1"/>
        </w:rPr>
        <w:t xml:space="preserve">) present within a </w:t>
      </w:r>
      <w:r w:rsidRPr="00A52AB8">
        <w:rPr>
          <w:i/>
          <w:iCs/>
          <w:color w:val="000000" w:themeColor="text1"/>
        </w:rPr>
        <w:t>raw byte sequence payload</w:t>
      </w:r>
      <w:r w:rsidRPr="00A52AB8">
        <w:rPr>
          <w:color w:val="000000" w:themeColor="text1"/>
        </w:rPr>
        <w:t xml:space="preserve"> (</w:t>
      </w:r>
      <w:r w:rsidRPr="00496A4D">
        <w:rPr>
          <w:color w:val="000000" w:themeColor="text1"/>
        </w:rPr>
        <w:fldChar w:fldCharType="begin"/>
      </w:r>
      <w:r w:rsidRPr="00A52AB8">
        <w:rPr>
          <w:color w:val="000000" w:themeColor="text1"/>
        </w:rPr>
        <w:instrText xml:space="preserve"> REF _Ref47526449 \n \h </w:instrText>
      </w:r>
      <w:r w:rsidR="007478BA"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3.108</w:t>
      </w:r>
      <w:r w:rsidRPr="00496A4D">
        <w:rPr>
          <w:color w:val="000000" w:themeColor="text1"/>
        </w:rPr>
        <w:fldChar w:fldCharType="end"/>
      </w:r>
      <w:r w:rsidRPr="00A52AB8">
        <w:rPr>
          <w:color w:val="000000" w:themeColor="text1"/>
        </w:rPr>
        <w:t xml:space="preserve">) prior to the </w:t>
      </w:r>
      <w:r w:rsidRPr="00A52AB8">
        <w:rPr>
          <w:i/>
          <w:iCs/>
          <w:color w:val="000000" w:themeColor="text1"/>
        </w:rPr>
        <w:t>raw byte sequence payload stop</w:t>
      </w:r>
      <w:r w:rsidRPr="00A52AB8">
        <w:rPr>
          <w:color w:val="000000" w:themeColor="text1"/>
        </w:rPr>
        <w:t xml:space="preserve"> </w:t>
      </w:r>
      <w:r w:rsidRPr="00A52AB8">
        <w:rPr>
          <w:i/>
          <w:iCs/>
          <w:color w:val="000000" w:themeColor="text1"/>
        </w:rPr>
        <w:t>bit</w:t>
      </w:r>
      <w:r w:rsidRPr="00A52AB8">
        <w:rPr>
          <w:color w:val="000000" w:themeColor="text1"/>
        </w:rPr>
        <w:t xml:space="preserve"> (</w:t>
      </w:r>
      <w:r w:rsidRPr="00496A4D">
        <w:rPr>
          <w:color w:val="000000" w:themeColor="text1"/>
        </w:rPr>
        <w:fldChar w:fldCharType="begin"/>
      </w:r>
      <w:r w:rsidRPr="00A52AB8">
        <w:rPr>
          <w:color w:val="000000" w:themeColor="text1"/>
        </w:rPr>
        <w:instrText xml:space="preserve"> REF _Ref50572605 \n \h </w:instrText>
      </w:r>
      <w:r w:rsidR="007478BA"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3.109</w:t>
      </w:r>
      <w:r w:rsidRPr="00496A4D">
        <w:rPr>
          <w:color w:val="000000" w:themeColor="text1"/>
        </w:rPr>
        <w:fldChar w:fldCharType="end"/>
      </w:r>
      <w:r w:rsidRPr="00A52AB8">
        <w:rPr>
          <w:color w:val="000000" w:themeColor="text1"/>
        </w:rPr>
        <w:t>), where the left-most bit is considered to be the first and most significant bit, and the right-most bit is considered to be the last and least significant bit</w:t>
      </w:r>
    </w:p>
    <w:p w14:paraId="62355C58" w14:textId="77777777" w:rsidR="00564EF6" w:rsidRPr="00A52AB8" w:rsidRDefault="00564EF6" w:rsidP="00E72F7E">
      <w:pPr>
        <w:pStyle w:val="TermHeading"/>
      </w:pPr>
      <w:bookmarkStart w:id="90" w:name="_Ref47524811"/>
    </w:p>
    <w:bookmarkEnd w:id="90"/>
    <w:p w14:paraId="34249042" w14:textId="77777777" w:rsidR="00564EF6" w:rsidRPr="00A52AB8" w:rsidRDefault="00564EF6" w:rsidP="00564EF6">
      <w:pPr>
        <w:pStyle w:val="Terms"/>
        <w:rPr>
          <w:color w:val="000000" w:themeColor="text1"/>
        </w:rPr>
      </w:pPr>
      <w:r w:rsidRPr="00A52AB8">
        <w:rPr>
          <w:color w:val="000000" w:themeColor="text1"/>
        </w:rPr>
        <w:t>sub-bitstream</w:t>
      </w:r>
    </w:p>
    <w:p w14:paraId="77C17393" w14:textId="65BB0F62" w:rsidR="0050235C" w:rsidRPr="00A52AB8" w:rsidRDefault="00590C19" w:rsidP="00564EF6">
      <w:pPr>
        <w:pStyle w:val="Definition"/>
        <w:rPr>
          <w:rFonts w:cs="Calibri"/>
        </w:rPr>
      </w:pPr>
      <w:r w:rsidRPr="00A52AB8">
        <w:rPr>
          <w:color w:val="000000" w:themeColor="text1"/>
        </w:rPr>
        <w:t xml:space="preserve">portion </w:t>
      </w:r>
      <w:r w:rsidR="00564EF6" w:rsidRPr="00A52AB8">
        <w:rPr>
          <w:color w:val="000000" w:themeColor="text1"/>
        </w:rPr>
        <w:t xml:space="preserve">of a </w:t>
      </w:r>
      <w:r w:rsidR="00564EF6" w:rsidRPr="00A52AB8">
        <w:rPr>
          <w:rFonts w:cs="Calibri"/>
          <w:i/>
          <w:iCs/>
        </w:rPr>
        <w:t>bitstream</w:t>
      </w:r>
      <w:r w:rsidR="00564EF6" w:rsidRPr="00A52AB8">
        <w:rPr>
          <w:rFonts w:cs="Calibri"/>
        </w:rPr>
        <w:t xml:space="preserve"> (</w:t>
      </w:r>
      <w:r w:rsidR="00564EF6" w:rsidRPr="00496A4D">
        <w:rPr>
          <w:rFonts w:cs="Calibri"/>
        </w:rPr>
        <w:fldChar w:fldCharType="begin"/>
      </w:r>
      <w:r w:rsidR="00564EF6" w:rsidRPr="00A52AB8">
        <w:rPr>
          <w:rFonts w:cs="Calibri"/>
        </w:rPr>
        <w:instrText xml:space="preserve"> REF _Ref47523191 \r \h </w:instrText>
      </w:r>
      <w:r w:rsidR="006371AA" w:rsidRPr="00A52AB8">
        <w:rPr>
          <w:rFonts w:cs="Calibri"/>
        </w:rPr>
        <w:instrText xml:space="preserve"> \* MERGEFORMAT </w:instrText>
      </w:r>
      <w:r w:rsidR="00564EF6" w:rsidRPr="00496A4D">
        <w:rPr>
          <w:rFonts w:cs="Calibri"/>
        </w:rPr>
      </w:r>
      <w:r w:rsidR="00564EF6" w:rsidRPr="00496A4D">
        <w:rPr>
          <w:rFonts w:cs="Calibri"/>
        </w:rPr>
        <w:fldChar w:fldCharType="separate"/>
      </w:r>
      <w:r w:rsidR="00507A67">
        <w:rPr>
          <w:rFonts w:cs="Calibri"/>
        </w:rPr>
        <w:t>3.23</w:t>
      </w:r>
      <w:r w:rsidR="00564EF6" w:rsidRPr="00496A4D">
        <w:rPr>
          <w:rFonts w:cs="Calibri"/>
        </w:rPr>
        <w:fldChar w:fldCharType="end"/>
      </w:r>
      <w:r w:rsidR="00564EF6" w:rsidRPr="00A52AB8">
        <w:rPr>
          <w:rFonts w:cs="Calibri"/>
        </w:rPr>
        <w:t>)</w:t>
      </w:r>
    </w:p>
    <w:p w14:paraId="30F7E2CE" w14:textId="34DF5B61" w:rsidR="00564EF6" w:rsidRPr="00A52AB8" w:rsidRDefault="00564EF6" w:rsidP="00E72F7E">
      <w:pPr>
        <w:pStyle w:val="TermHeading"/>
      </w:pPr>
      <w:bookmarkStart w:id="91" w:name="_Ref47524886"/>
    </w:p>
    <w:bookmarkEnd w:id="91"/>
    <w:p w14:paraId="6E4B5B5E" w14:textId="77777777" w:rsidR="0050235C" w:rsidRPr="00A52AB8" w:rsidRDefault="00564EF6" w:rsidP="00564EF6">
      <w:pPr>
        <w:pStyle w:val="Terms"/>
        <w:rPr>
          <w:color w:val="000000" w:themeColor="text1"/>
        </w:rPr>
      </w:pPr>
      <w:r w:rsidRPr="00A52AB8">
        <w:rPr>
          <w:color w:val="000000" w:themeColor="text1"/>
        </w:rPr>
        <w:t>sub-bitstream composition unit</w:t>
      </w:r>
    </w:p>
    <w:p w14:paraId="0AAD7EB2" w14:textId="37015A3B" w:rsidR="00564EF6" w:rsidRPr="00A52AB8" w:rsidRDefault="00564EF6" w:rsidP="00564EF6">
      <w:pPr>
        <w:pStyle w:val="Definition"/>
        <w:rPr>
          <w:color w:val="000000" w:themeColor="text1"/>
        </w:rPr>
      </w:pPr>
      <w:r w:rsidRPr="00A52AB8">
        <w:rPr>
          <w:color w:val="000000" w:themeColor="text1"/>
        </w:rPr>
        <w:t xml:space="preserve">partition of a </w:t>
      </w:r>
      <w:r w:rsidRPr="00A52AB8">
        <w:rPr>
          <w:i/>
          <w:iCs/>
          <w:color w:val="000000" w:themeColor="text1"/>
        </w:rPr>
        <w:t>sub-bitstream</w:t>
      </w:r>
      <w:r w:rsidRPr="00A52AB8">
        <w:rPr>
          <w:color w:val="000000" w:themeColor="text1"/>
        </w:rPr>
        <w:t xml:space="preserve"> (</w:t>
      </w:r>
      <w:r w:rsidRPr="00496A4D">
        <w:rPr>
          <w:color w:val="000000" w:themeColor="text1"/>
        </w:rPr>
        <w:fldChar w:fldCharType="begin"/>
      </w:r>
      <w:r w:rsidRPr="00A52AB8">
        <w:rPr>
          <w:color w:val="000000" w:themeColor="text1"/>
        </w:rPr>
        <w:instrText xml:space="preserve"> REF _Ref47524811 \r \h </w:instrText>
      </w:r>
      <w:r w:rsidR="006371AA"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3.117</w:t>
      </w:r>
      <w:r w:rsidRPr="00496A4D">
        <w:rPr>
          <w:color w:val="000000" w:themeColor="text1"/>
        </w:rPr>
        <w:fldChar w:fldCharType="end"/>
      </w:r>
      <w:r w:rsidRPr="00A52AB8">
        <w:rPr>
          <w:color w:val="000000" w:themeColor="text1"/>
        </w:rPr>
        <w:t>) that has a certain composition time</w:t>
      </w:r>
    </w:p>
    <w:p w14:paraId="3CE21F66" w14:textId="77777777" w:rsidR="00564EF6" w:rsidRPr="00A52AB8" w:rsidRDefault="00564EF6" w:rsidP="00E72F7E">
      <w:pPr>
        <w:pStyle w:val="TermHeading"/>
      </w:pPr>
      <w:bookmarkStart w:id="92" w:name="_Ref47525804"/>
    </w:p>
    <w:bookmarkEnd w:id="92"/>
    <w:p w14:paraId="49DB5064" w14:textId="77777777" w:rsidR="00564EF6" w:rsidRPr="00A52AB8" w:rsidRDefault="00564EF6" w:rsidP="00564EF6">
      <w:pPr>
        <w:pStyle w:val="Terms"/>
        <w:rPr>
          <w:color w:val="000000" w:themeColor="text1"/>
        </w:rPr>
      </w:pPr>
      <w:r w:rsidRPr="00A52AB8">
        <w:rPr>
          <w:color w:val="000000" w:themeColor="text1"/>
        </w:rPr>
        <w:t>sub-bitstream IRAP composition unit</w:t>
      </w:r>
    </w:p>
    <w:p w14:paraId="1641A577" w14:textId="722B0563" w:rsidR="0050235C" w:rsidRPr="00A52AB8" w:rsidRDefault="00564EF6" w:rsidP="00564EF6">
      <w:pPr>
        <w:pStyle w:val="Definition"/>
        <w:rPr>
          <w:color w:val="000000" w:themeColor="text1"/>
        </w:rPr>
      </w:pPr>
      <w:r w:rsidRPr="00A52AB8">
        <w:rPr>
          <w:i/>
          <w:iCs/>
          <w:color w:val="000000" w:themeColor="text1"/>
        </w:rPr>
        <w:t>sub-bitstream composition unit</w:t>
      </w:r>
      <w:r w:rsidRPr="00A52AB8">
        <w:rPr>
          <w:color w:val="000000" w:themeColor="text1"/>
        </w:rPr>
        <w:t xml:space="preserve"> (</w:t>
      </w:r>
      <w:r w:rsidRPr="00496A4D">
        <w:rPr>
          <w:color w:val="000000" w:themeColor="text1"/>
        </w:rPr>
        <w:fldChar w:fldCharType="begin"/>
      </w:r>
      <w:r w:rsidRPr="00A52AB8">
        <w:rPr>
          <w:color w:val="000000" w:themeColor="text1"/>
        </w:rPr>
        <w:instrText xml:space="preserve"> REF _Ref47524886 \r \h </w:instrText>
      </w:r>
      <w:r w:rsidR="006371AA"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3.118</w:t>
      </w:r>
      <w:r w:rsidRPr="00496A4D">
        <w:rPr>
          <w:color w:val="000000" w:themeColor="text1"/>
        </w:rPr>
        <w:fldChar w:fldCharType="end"/>
      </w:r>
      <w:r w:rsidRPr="00A52AB8">
        <w:rPr>
          <w:color w:val="000000" w:themeColor="text1"/>
        </w:rPr>
        <w:t>)</w:t>
      </w:r>
      <w:r w:rsidRPr="00A52AB8">
        <w:rPr>
          <w:i/>
          <w:iCs/>
          <w:color w:val="000000" w:themeColor="text1"/>
        </w:rPr>
        <w:t xml:space="preserve"> </w:t>
      </w:r>
      <w:r w:rsidRPr="00A52AB8">
        <w:rPr>
          <w:color w:val="000000" w:themeColor="text1"/>
        </w:rPr>
        <w:t xml:space="preserve">that forms an independent random access point for the </w:t>
      </w:r>
      <w:r w:rsidRPr="00A52AB8">
        <w:rPr>
          <w:i/>
          <w:iCs/>
          <w:color w:val="000000" w:themeColor="text1"/>
        </w:rPr>
        <w:t>sub-bitstream</w:t>
      </w:r>
      <w:r w:rsidRPr="00A52AB8">
        <w:rPr>
          <w:color w:val="000000" w:themeColor="text1"/>
        </w:rPr>
        <w:t xml:space="preserve"> (</w:t>
      </w:r>
      <w:r w:rsidRPr="00496A4D">
        <w:rPr>
          <w:color w:val="000000" w:themeColor="text1"/>
        </w:rPr>
        <w:fldChar w:fldCharType="begin"/>
      </w:r>
      <w:r w:rsidRPr="00A52AB8">
        <w:rPr>
          <w:color w:val="000000" w:themeColor="text1"/>
        </w:rPr>
        <w:instrText xml:space="preserve"> REF _Ref47524811 \r \h </w:instrText>
      </w:r>
      <w:r w:rsidR="006371AA"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3.117</w:t>
      </w:r>
      <w:r w:rsidRPr="00496A4D">
        <w:rPr>
          <w:color w:val="000000" w:themeColor="text1"/>
        </w:rPr>
        <w:fldChar w:fldCharType="end"/>
      </w:r>
      <w:r w:rsidRPr="00A52AB8">
        <w:rPr>
          <w:color w:val="000000" w:themeColor="text1"/>
        </w:rPr>
        <w:t>)</w:t>
      </w:r>
    </w:p>
    <w:p w14:paraId="4121E354" w14:textId="5BFD0F52" w:rsidR="008547DA" w:rsidRPr="00A52AB8" w:rsidRDefault="008547DA" w:rsidP="00E72F7E">
      <w:pPr>
        <w:pStyle w:val="TermHeading"/>
      </w:pPr>
    </w:p>
    <w:p w14:paraId="4C1AD1B3" w14:textId="193C27B0" w:rsidR="008547DA" w:rsidRPr="00A52AB8" w:rsidRDefault="008547DA" w:rsidP="008547DA">
      <w:pPr>
        <w:pStyle w:val="Terms"/>
        <w:rPr>
          <w:color w:val="000000" w:themeColor="text1"/>
        </w:rPr>
      </w:pPr>
      <w:r w:rsidRPr="00A52AB8">
        <w:rPr>
          <w:color w:val="000000" w:themeColor="text1"/>
        </w:rPr>
        <w:t>sub-layer</w:t>
      </w:r>
    </w:p>
    <w:p w14:paraId="2286C2B0" w14:textId="7F350E0A" w:rsidR="008547DA" w:rsidRPr="00A52AB8" w:rsidRDefault="008547DA" w:rsidP="00564EF6">
      <w:pPr>
        <w:pStyle w:val="Definition"/>
      </w:pPr>
      <w:r w:rsidRPr="00A52AB8">
        <w:t xml:space="preserve">temporal scalable layer of a temporal scalable </w:t>
      </w:r>
      <w:r w:rsidRPr="00A52AB8">
        <w:rPr>
          <w:i/>
          <w:iCs/>
        </w:rPr>
        <w:t>atlas sub-</w:t>
      </w:r>
      <w:r w:rsidRPr="00A52AB8">
        <w:rPr>
          <w:i/>
        </w:rPr>
        <w:t xml:space="preserve">bitstream </w:t>
      </w:r>
      <w:r w:rsidRPr="00A52AB8">
        <w:rPr>
          <w:iCs/>
        </w:rPr>
        <w:t>(</w:t>
      </w:r>
      <w:r w:rsidR="00212A06" w:rsidRPr="00496A4D">
        <w:rPr>
          <w:iCs/>
        </w:rPr>
        <w:fldChar w:fldCharType="begin"/>
      </w:r>
      <w:r w:rsidR="00212A06" w:rsidRPr="00A52AB8">
        <w:rPr>
          <w:iCs/>
        </w:rPr>
        <w:instrText xml:space="preserve"> REF _Ref47525222 \r \h </w:instrText>
      </w:r>
      <w:r w:rsidR="007478BA" w:rsidRPr="00A52AB8">
        <w:rPr>
          <w:iCs/>
        </w:rPr>
        <w:instrText xml:space="preserve"> \* MERGEFORMAT </w:instrText>
      </w:r>
      <w:r w:rsidR="00212A06" w:rsidRPr="00496A4D">
        <w:rPr>
          <w:iCs/>
        </w:rPr>
      </w:r>
      <w:r w:rsidR="00212A06" w:rsidRPr="00496A4D">
        <w:rPr>
          <w:iCs/>
        </w:rPr>
        <w:fldChar w:fldCharType="separate"/>
      </w:r>
      <w:r w:rsidR="00507A67">
        <w:rPr>
          <w:iCs/>
        </w:rPr>
        <w:t>3.13</w:t>
      </w:r>
      <w:r w:rsidR="00212A06" w:rsidRPr="00496A4D">
        <w:rPr>
          <w:iCs/>
        </w:rPr>
        <w:fldChar w:fldCharType="end"/>
      </w:r>
      <w:r w:rsidRPr="00A52AB8">
        <w:rPr>
          <w:iCs/>
        </w:rPr>
        <w:t>)</w:t>
      </w:r>
      <w:r w:rsidRPr="00A52AB8">
        <w:t xml:space="preserve">, consisting of </w:t>
      </w:r>
      <w:r w:rsidRPr="00A52AB8">
        <w:rPr>
          <w:i/>
        </w:rPr>
        <w:t>ACL NAL units</w:t>
      </w:r>
      <w:r w:rsidRPr="00A52AB8">
        <w:t xml:space="preserve"> (</w:t>
      </w:r>
      <w:r w:rsidR="00212A06" w:rsidRPr="00496A4D">
        <w:fldChar w:fldCharType="begin"/>
      </w:r>
      <w:r w:rsidR="00212A06" w:rsidRPr="00A52AB8">
        <w:instrText xml:space="preserve"> REF _Ref49013819 \r \h </w:instrText>
      </w:r>
      <w:r w:rsidR="007478BA" w:rsidRPr="00A52AB8">
        <w:instrText xml:space="preserve"> \* MERGEFORMAT </w:instrText>
      </w:r>
      <w:r w:rsidR="00212A06" w:rsidRPr="00496A4D">
        <w:fldChar w:fldCharType="separate"/>
      </w:r>
      <w:r w:rsidR="00507A67">
        <w:t>3.6</w:t>
      </w:r>
      <w:r w:rsidR="00212A06" w:rsidRPr="00496A4D">
        <w:fldChar w:fldCharType="end"/>
      </w:r>
      <w:r w:rsidRPr="00A52AB8">
        <w:t xml:space="preserve">) with a particular value of the TemporalId variable and the associated </w:t>
      </w:r>
      <w:r w:rsidRPr="00A52AB8">
        <w:rPr>
          <w:i/>
        </w:rPr>
        <w:t xml:space="preserve">non-ACL NAL units </w:t>
      </w:r>
      <w:r w:rsidRPr="00A52AB8">
        <w:rPr>
          <w:iCs/>
        </w:rPr>
        <w:t>(</w:t>
      </w:r>
      <w:r w:rsidR="00212A06" w:rsidRPr="00496A4D">
        <w:fldChar w:fldCharType="begin"/>
      </w:r>
      <w:r w:rsidR="00212A06" w:rsidRPr="00A52AB8">
        <w:instrText xml:space="preserve"> REF _Ref49013866 \n \h  \* MERGEFORMAT </w:instrText>
      </w:r>
      <w:r w:rsidR="00212A06" w:rsidRPr="00496A4D">
        <w:fldChar w:fldCharType="separate"/>
      </w:r>
      <w:r w:rsidR="00507A67">
        <w:t>3.86</w:t>
      </w:r>
      <w:r w:rsidR="00212A06" w:rsidRPr="00496A4D">
        <w:fldChar w:fldCharType="end"/>
      </w:r>
      <w:r w:rsidRPr="00A52AB8">
        <w:rPr>
          <w:iCs/>
        </w:rPr>
        <w:t>)</w:t>
      </w:r>
      <w:r w:rsidRPr="00A52AB8">
        <w:t>.</w:t>
      </w:r>
    </w:p>
    <w:p w14:paraId="1388DDFC" w14:textId="77777777" w:rsidR="008547DA" w:rsidRPr="00A52AB8" w:rsidRDefault="008547DA" w:rsidP="00E72F7E">
      <w:pPr>
        <w:pStyle w:val="TermHeading"/>
      </w:pPr>
    </w:p>
    <w:p w14:paraId="04B8BD8E" w14:textId="1C0A0001" w:rsidR="008547DA" w:rsidRPr="00A52AB8" w:rsidRDefault="008547DA" w:rsidP="008547DA">
      <w:pPr>
        <w:pStyle w:val="Terms"/>
        <w:rPr>
          <w:color w:val="000000" w:themeColor="text1"/>
        </w:rPr>
      </w:pPr>
      <w:r w:rsidRPr="00A52AB8">
        <w:rPr>
          <w:color w:val="000000" w:themeColor="text1"/>
        </w:rPr>
        <w:t>sub-layer non-reference atlas frame</w:t>
      </w:r>
      <w:r w:rsidRPr="00A52AB8">
        <w:rPr>
          <w:color w:val="000000" w:themeColor="text1"/>
        </w:rPr>
        <w:br/>
        <w:t>SLNR atlas frame</w:t>
      </w:r>
    </w:p>
    <w:p w14:paraId="753E4040" w14:textId="347D5FCF" w:rsidR="008547DA" w:rsidRPr="00A52AB8" w:rsidRDefault="008547DA" w:rsidP="008547DA">
      <w:pPr>
        <w:pStyle w:val="Definition"/>
      </w:pPr>
      <w:r w:rsidRPr="00A52AB8">
        <w:rPr>
          <w:i/>
          <w:iCs/>
        </w:rPr>
        <w:t>atlas frames</w:t>
      </w:r>
      <w:r w:rsidRPr="00A52AB8">
        <w:t xml:space="preserve"> (</w:t>
      </w:r>
      <w:r w:rsidR="00212A06" w:rsidRPr="00496A4D">
        <w:fldChar w:fldCharType="begin"/>
      </w:r>
      <w:r w:rsidR="00212A06" w:rsidRPr="00A52AB8">
        <w:instrText xml:space="preserve"> REF _Ref47524579 \r \h </w:instrText>
      </w:r>
      <w:r w:rsidR="007478BA" w:rsidRPr="00A52AB8">
        <w:instrText xml:space="preserve"> \* MERGEFORMAT </w:instrText>
      </w:r>
      <w:r w:rsidR="00212A06" w:rsidRPr="00496A4D">
        <w:fldChar w:fldCharType="separate"/>
      </w:r>
      <w:r w:rsidR="00507A67">
        <w:t>3.8</w:t>
      </w:r>
      <w:r w:rsidR="00212A06" w:rsidRPr="00496A4D">
        <w:fldChar w:fldCharType="end"/>
      </w:r>
      <w:r w:rsidRPr="00A52AB8">
        <w:t xml:space="preserve">) that contains </w:t>
      </w:r>
      <w:r w:rsidRPr="00A52AB8">
        <w:rPr>
          <w:i/>
          <w:iCs/>
        </w:rPr>
        <w:t>patches</w:t>
      </w:r>
      <w:r w:rsidRPr="00A52AB8">
        <w:t xml:space="preserve"> (</w:t>
      </w:r>
      <w:r w:rsidR="00212A06" w:rsidRPr="00496A4D">
        <w:fldChar w:fldCharType="begin"/>
      </w:r>
      <w:r w:rsidR="00212A06" w:rsidRPr="00A52AB8">
        <w:instrText xml:space="preserve"> REF _Ref47523249 \r \h </w:instrText>
      </w:r>
      <w:r w:rsidR="007478BA" w:rsidRPr="00A52AB8">
        <w:instrText xml:space="preserve"> \* MERGEFORMAT </w:instrText>
      </w:r>
      <w:r w:rsidR="00212A06" w:rsidRPr="00496A4D">
        <w:fldChar w:fldCharType="separate"/>
      </w:r>
      <w:r w:rsidR="00507A67">
        <w:t>3.93</w:t>
      </w:r>
      <w:r w:rsidR="00212A06" w:rsidRPr="00496A4D">
        <w:fldChar w:fldCharType="end"/>
      </w:r>
      <w:r w:rsidRPr="00A52AB8">
        <w:t xml:space="preserve">) that cannot be used for inter prediction in the decoding process of subsequent </w:t>
      </w:r>
      <w:r w:rsidRPr="00A52AB8">
        <w:rPr>
          <w:i/>
          <w:iCs/>
        </w:rPr>
        <w:t>atlas frames</w:t>
      </w:r>
      <w:r w:rsidRPr="00A52AB8">
        <w:t xml:space="preserve"> (</w:t>
      </w:r>
      <w:r w:rsidR="00212A06" w:rsidRPr="00496A4D">
        <w:fldChar w:fldCharType="begin"/>
      </w:r>
      <w:r w:rsidR="00212A06" w:rsidRPr="00A52AB8">
        <w:instrText xml:space="preserve"> REF _Ref47524579 \r \h </w:instrText>
      </w:r>
      <w:r w:rsidR="007478BA" w:rsidRPr="00A52AB8">
        <w:instrText xml:space="preserve"> \* MERGEFORMAT </w:instrText>
      </w:r>
      <w:r w:rsidR="00212A06" w:rsidRPr="00496A4D">
        <w:fldChar w:fldCharType="separate"/>
      </w:r>
      <w:r w:rsidR="00507A67">
        <w:t>3.8</w:t>
      </w:r>
      <w:r w:rsidR="00212A06" w:rsidRPr="00496A4D">
        <w:fldChar w:fldCharType="end"/>
      </w:r>
      <w:r w:rsidRPr="00A52AB8">
        <w:t>) of the same sub-layer in decoding order.</w:t>
      </w:r>
    </w:p>
    <w:p w14:paraId="2B3BE80E" w14:textId="77777777" w:rsidR="00564EF6" w:rsidRPr="00A52AB8" w:rsidRDefault="00564EF6" w:rsidP="00E72F7E">
      <w:pPr>
        <w:pStyle w:val="TermHeading"/>
      </w:pPr>
      <w:bookmarkStart w:id="93" w:name="_Ref47525232"/>
    </w:p>
    <w:bookmarkEnd w:id="93"/>
    <w:p w14:paraId="34423708" w14:textId="77777777" w:rsidR="00564EF6" w:rsidRPr="00A52AB8" w:rsidRDefault="00564EF6" w:rsidP="00564EF6">
      <w:pPr>
        <w:pStyle w:val="Terms"/>
        <w:rPr>
          <w:color w:val="000000" w:themeColor="text1"/>
        </w:rPr>
      </w:pPr>
      <w:r w:rsidRPr="00A52AB8">
        <w:rPr>
          <w:color w:val="000000" w:themeColor="text1"/>
        </w:rPr>
        <w:t>suffix ESEI NAL unit</w:t>
      </w:r>
    </w:p>
    <w:p w14:paraId="6B45EE7E" w14:textId="20F06ABC" w:rsidR="00564EF6" w:rsidRPr="00A52AB8" w:rsidRDefault="00164766" w:rsidP="00564EF6">
      <w:pPr>
        <w:pStyle w:val="Definition"/>
        <w:rPr>
          <w:color w:val="000000" w:themeColor="text1"/>
        </w:rPr>
      </w:pPr>
      <w:r w:rsidRPr="00A52AB8">
        <w:rPr>
          <w:i/>
          <w:iCs/>
          <w:color w:val="000000" w:themeColor="text1"/>
        </w:rPr>
        <w:t>E</w:t>
      </w:r>
      <w:r w:rsidR="00564EF6" w:rsidRPr="00A52AB8">
        <w:rPr>
          <w:i/>
          <w:iCs/>
          <w:color w:val="000000" w:themeColor="text1"/>
        </w:rPr>
        <w:t xml:space="preserve">SEI </w:t>
      </w:r>
      <w:r w:rsidR="00FF25EB" w:rsidRPr="00A52AB8">
        <w:rPr>
          <w:i/>
          <w:iCs/>
          <w:color w:val="000000" w:themeColor="text1"/>
        </w:rPr>
        <w:t>NAL</w:t>
      </w:r>
      <w:r w:rsidR="00FF25EB" w:rsidRPr="00A52AB8">
        <w:rPr>
          <w:color w:val="000000" w:themeColor="text1"/>
        </w:rPr>
        <w:t xml:space="preserve"> </w:t>
      </w:r>
      <w:r w:rsidRPr="00A52AB8">
        <w:rPr>
          <w:color w:val="000000" w:themeColor="text1"/>
        </w:rPr>
        <w:t>(</w:t>
      </w:r>
      <w:r w:rsidRPr="00496A4D">
        <w:rPr>
          <w:color w:val="000000" w:themeColor="text1"/>
        </w:rPr>
        <w:fldChar w:fldCharType="begin"/>
      </w:r>
      <w:r w:rsidRPr="00A52AB8">
        <w:rPr>
          <w:color w:val="000000" w:themeColor="text1"/>
        </w:rPr>
        <w:instrText xml:space="preserve"> REF _Ref49679360 \r \h </w:instrText>
      </w:r>
      <w:r w:rsidR="007478BA"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3.60</w:t>
      </w:r>
      <w:r w:rsidRPr="00496A4D">
        <w:rPr>
          <w:color w:val="000000" w:themeColor="text1"/>
        </w:rPr>
        <w:fldChar w:fldCharType="end"/>
      </w:r>
      <w:r w:rsidRPr="00A52AB8">
        <w:rPr>
          <w:color w:val="000000" w:themeColor="text1"/>
        </w:rPr>
        <w:t xml:space="preserve">) </w:t>
      </w:r>
      <w:r w:rsidR="00564EF6" w:rsidRPr="00A52AB8">
        <w:rPr>
          <w:color w:val="000000" w:themeColor="text1"/>
        </w:rPr>
        <w:t>unit that has nal_unit_type equal to NAL_SUFFIX_ESEI</w:t>
      </w:r>
    </w:p>
    <w:p w14:paraId="74DB47A3" w14:textId="77777777" w:rsidR="00564EF6" w:rsidRPr="00A52AB8" w:rsidRDefault="00564EF6" w:rsidP="00E72F7E">
      <w:pPr>
        <w:pStyle w:val="TermHeading"/>
      </w:pPr>
      <w:bookmarkStart w:id="94" w:name="_Ref50574933"/>
    </w:p>
    <w:bookmarkEnd w:id="94"/>
    <w:p w14:paraId="1B583FC3" w14:textId="77777777" w:rsidR="00564EF6" w:rsidRPr="00A52AB8" w:rsidRDefault="00564EF6" w:rsidP="00564EF6">
      <w:pPr>
        <w:pStyle w:val="Terms"/>
        <w:rPr>
          <w:color w:val="000000" w:themeColor="text1"/>
        </w:rPr>
      </w:pPr>
      <w:r w:rsidRPr="00A52AB8">
        <w:rPr>
          <w:color w:val="000000" w:themeColor="text1"/>
        </w:rPr>
        <w:t>suffix NSEI NAL unit</w:t>
      </w:r>
    </w:p>
    <w:p w14:paraId="2392E5F2" w14:textId="7BA9D485" w:rsidR="00564EF6" w:rsidRPr="00A52AB8" w:rsidRDefault="007A4CD9" w:rsidP="00564EF6">
      <w:pPr>
        <w:pStyle w:val="Definition"/>
        <w:rPr>
          <w:color w:val="000000" w:themeColor="text1"/>
        </w:rPr>
      </w:pPr>
      <w:r w:rsidRPr="00A52AB8">
        <w:rPr>
          <w:i/>
          <w:iCs/>
          <w:color w:val="000000" w:themeColor="text1"/>
        </w:rPr>
        <w:t>N</w:t>
      </w:r>
      <w:r w:rsidR="00564EF6" w:rsidRPr="00A52AB8">
        <w:rPr>
          <w:i/>
          <w:iCs/>
          <w:color w:val="000000" w:themeColor="text1"/>
        </w:rPr>
        <w:t xml:space="preserve">SEI </w:t>
      </w:r>
      <w:r w:rsidR="00FF25EB" w:rsidRPr="00A52AB8">
        <w:rPr>
          <w:i/>
          <w:iCs/>
          <w:color w:val="000000" w:themeColor="text1"/>
        </w:rPr>
        <w:t xml:space="preserve">NAL </w:t>
      </w:r>
      <w:r w:rsidR="00564EF6" w:rsidRPr="00A52AB8">
        <w:rPr>
          <w:i/>
          <w:iCs/>
          <w:color w:val="000000" w:themeColor="text1"/>
        </w:rPr>
        <w:t>unit</w:t>
      </w:r>
      <w:r w:rsidR="00564EF6" w:rsidRPr="00A52AB8">
        <w:rPr>
          <w:color w:val="000000" w:themeColor="text1"/>
        </w:rPr>
        <w:t xml:space="preserve"> </w:t>
      </w:r>
      <w:r w:rsidRPr="00A52AB8">
        <w:rPr>
          <w:color w:val="000000" w:themeColor="text1"/>
        </w:rPr>
        <w:t>(</w:t>
      </w:r>
      <w:r w:rsidRPr="00496A4D">
        <w:rPr>
          <w:color w:val="000000" w:themeColor="text1"/>
        </w:rPr>
        <w:fldChar w:fldCharType="begin"/>
      </w:r>
      <w:r w:rsidRPr="00A52AB8">
        <w:rPr>
          <w:color w:val="000000" w:themeColor="text1"/>
        </w:rPr>
        <w:instrText xml:space="preserve"> REF _Ref49679400 \r \h </w:instrText>
      </w:r>
      <w:r w:rsidR="007478BA"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3.90</w:t>
      </w:r>
      <w:r w:rsidRPr="00496A4D">
        <w:rPr>
          <w:color w:val="000000" w:themeColor="text1"/>
        </w:rPr>
        <w:fldChar w:fldCharType="end"/>
      </w:r>
      <w:r w:rsidRPr="00A52AB8">
        <w:rPr>
          <w:color w:val="000000" w:themeColor="text1"/>
        </w:rPr>
        <w:t xml:space="preserve">) </w:t>
      </w:r>
      <w:r w:rsidR="00564EF6" w:rsidRPr="00A52AB8">
        <w:rPr>
          <w:color w:val="000000" w:themeColor="text1"/>
        </w:rPr>
        <w:t>that has nal_unit_type equal to NAL_SUFFIX_NSEI</w:t>
      </w:r>
    </w:p>
    <w:p w14:paraId="558C410A" w14:textId="77777777" w:rsidR="00564EF6" w:rsidRPr="00A52AB8" w:rsidRDefault="00564EF6" w:rsidP="00E72F7E">
      <w:pPr>
        <w:pStyle w:val="TermHeading"/>
      </w:pPr>
      <w:bookmarkStart w:id="95" w:name="_Ref48985074"/>
    </w:p>
    <w:bookmarkEnd w:id="95"/>
    <w:p w14:paraId="00A80B75" w14:textId="77777777" w:rsidR="00564EF6" w:rsidRPr="00A52AB8" w:rsidRDefault="00564EF6" w:rsidP="00564EF6">
      <w:pPr>
        <w:pStyle w:val="Terms"/>
        <w:rPr>
          <w:color w:val="000000" w:themeColor="text1"/>
        </w:rPr>
      </w:pPr>
      <w:r w:rsidRPr="00A52AB8">
        <w:rPr>
          <w:color w:val="000000" w:themeColor="text1"/>
        </w:rPr>
        <w:t>suffix SEI message</w:t>
      </w:r>
    </w:p>
    <w:p w14:paraId="49CC2D6B" w14:textId="596BBFAF" w:rsidR="00564EF6" w:rsidRPr="00A52AB8" w:rsidRDefault="00564EF6" w:rsidP="00564EF6">
      <w:pPr>
        <w:pStyle w:val="Definition"/>
        <w:rPr>
          <w:color w:val="000000" w:themeColor="text1"/>
        </w:rPr>
      </w:pPr>
      <w:r w:rsidRPr="00A52AB8">
        <w:rPr>
          <w:i/>
          <w:iCs/>
          <w:color w:val="000000" w:themeColor="text1"/>
        </w:rPr>
        <w:t>SEI</w:t>
      </w:r>
      <w:r w:rsidRPr="00A52AB8">
        <w:rPr>
          <w:color w:val="000000" w:themeColor="text1"/>
        </w:rPr>
        <w:t xml:space="preserve"> </w:t>
      </w:r>
      <w:r w:rsidR="007A4CD9" w:rsidRPr="00A52AB8">
        <w:rPr>
          <w:color w:val="000000" w:themeColor="text1"/>
        </w:rPr>
        <w:t>(</w:t>
      </w:r>
      <w:r w:rsidR="007A4CD9" w:rsidRPr="00496A4D">
        <w:rPr>
          <w:color w:val="000000" w:themeColor="text1"/>
        </w:rPr>
        <w:fldChar w:fldCharType="begin"/>
      </w:r>
      <w:r w:rsidR="007A4CD9" w:rsidRPr="00A52AB8">
        <w:rPr>
          <w:color w:val="000000" w:themeColor="text1"/>
        </w:rPr>
        <w:instrText xml:space="preserve"> REF _Ref48984467 \r \h </w:instrText>
      </w:r>
      <w:r w:rsidR="007478BA" w:rsidRPr="00A52AB8">
        <w:rPr>
          <w:color w:val="000000" w:themeColor="text1"/>
        </w:rPr>
        <w:instrText xml:space="preserve"> \* MERGEFORMAT </w:instrText>
      </w:r>
      <w:r w:rsidR="007A4CD9" w:rsidRPr="00496A4D">
        <w:rPr>
          <w:color w:val="000000" w:themeColor="text1"/>
        </w:rPr>
      </w:r>
      <w:r w:rsidR="007A4CD9" w:rsidRPr="00496A4D">
        <w:rPr>
          <w:color w:val="000000" w:themeColor="text1"/>
        </w:rPr>
        <w:fldChar w:fldCharType="separate"/>
      </w:r>
      <w:r w:rsidR="00507A67">
        <w:rPr>
          <w:color w:val="000000" w:themeColor="text1"/>
        </w:rPr>
        <w:t>3.126</w:t>
      </w:r>
      <w:r w:rsidR="007A4CD9" w:rsidRPr="00496A4D">
        <w:rPr>
          <w:color w:val="000000" w:themeColor="text1"/>
        </w:rPr>
        <w:fldChar w:fldCharType="end"/>
      </w:r>
      <w:r w:rsidR="007A4CD9" w:rsidRPr="00A52AB8">
        <w:rPr>
          <w:color w:val="000000" w:themeColor="text1"/>
        </w:rPr>
        <w:t xml:space="preserve">) </w:t>
      </w:r>
      <w:r w:rsidRPr="00A52AB8">
        <w:rPr>
          <w:color w:val="000000" w:themeColor="text1"/>
        </w:rPr>
        <w:t xml:space="preserve">message that is contained in </w:t>
      </w:r>
      <w:r w:rsidR="007A4CD9" w:rsidRPr="00A52AB8">
        <w:rPr>
          <w:color w:val="000000" w:themeColor="text1"/>
        </w:rPr>
        <w:t xml:space="preserve">either </w:t>
      </w:r>
      <w:r w:rsidRPr="00A52AB8">
        <w:rPr>
          <w:color w:val="000000" w:themeColor="text1"/>
        </w:rPr>
        <w:t xml:space="preserve">a suffix NSEI </w:t>
      </w:r>
      <w:r w:rsidR="007A4CD9" w:rsidRPr="00A52AB8">
        <w:rPr>
          <w:color w:val="000000" w:themeColor="text1"/>
        </w:rPr>
        <w:t>NAL unit (</w:t>
      </w:r>
      <w:r w:rsidR="007A4CD9" w:rsidRPr="00496A4D">
        <w:rPr>
          <w:color w:val="000000" w:themeColor="text1"/>
        </w:rPr>
        <w:fldChar w:fldCharType="begin"/>
      </w:r>
      <w:r w:rsidR="007A4CD9" w:rsidRPr="00A52AB8">
        <w:rPr>
          <w:color w:val="000000" w:themeColor="text1"/>
        </w:rPr>
        <w:instrText xml:space="preserve"> REF _Ref50574933 \r \h </w:instrText>
      </w:r>
      <w:r w:rsidR="007478BA" w:rsidRPr="00A52AB8">
        <w:rPr>
          <w:color w:val="000000" w:themeColor="text1"/>
        </w:rPr>
        <w:instrText xml:space="preserve"> \* MERGEFORMAT </w:instrText>
      </w:r>
      <w:r w:rsidR="007A4CD9" w:rsidRPr="00496A4D">
        <w:rPr>
          <w:color w:val="000000" w:themeColor="text1"/>
        </w:rPr>
      </w:r>
      <w:r w:rsidR="007A4CD9" w:rsidRPr="00496A4D">
        <w:rPr>
          <w:color w:val="000000" w:themeColor="text1"/>
        </w:rPr>
        <w:fldChar w:fldCharType="separate"/>
      </w:r>
      <w:r w:rsidR="00507A67">
        <w:rPr>
          <w:color w:val="000000" w:themeColor="text1"/>
        </w:rPr>
        <w:t>3.123</w:t>
      </w:r>
      <w:r w:rsidR="007A4CD9" w:rsidRPr="00496A4D">
        <w:rPr>
          <w:color w:val="000000" w:themeColor="text1"/>
        </w:rPr>
        <w:fldChar w:fldCharType="end"/>
      </w:r>
      <w:r w:rsidR="007A4CD9" w:rsidRPr="00A52AB8">
        <w:rPr>
          <w:color w:val="000000" w:themeColor="text1"/>
        </w:rPr>
        <w:t xml:space="preserve">) </w:t>
      </w:r>
      <w:r w:rsidRPr="00A52AB8">
        <w:rPr>
          <w:color w:val="000000" w:themeColor="text1"/>
        </w:rPr>
        <w:t>or</w:t>
      </w:r>
      <w:r w:rsidR="007A4CD9" w:rsidRPr="00A52AB8">
        <w:rPr>
          <w:color w:val="000000" w:themeColor="text1"/>
        </w:rPr>
        <w:t xml:space="preserve"> a</w:t>
      </w:r>
      <w:r w:rsidRPr="00A52AB8">
        <w:rPr>
          <w:color w:val="000000" w:themeColor="text1"/>
        </w:rPr>
        <w:t xml:space="preserve"> </w:t>
      </w:r>
      <w:r w:rsidR="007A4CD9" w:rsidRPr="00A52AB8">
        <w:rPr>
          <w:color w:val="000000" w:themeColor="text1"/>
        </w:rPr>
        <w:t xml:space="preserve">suffix </w:t>
      </w:r>
      <w:r w:rsidRPr="00A52AB8">
        <w:rPr>
          <w:color w:val="000000" w:themeColor="text1"/>
        </w:rPr>
        <w:t>ESEI NAL unit</w:t>
      </w:r>
      <w:r w:rsidR="007A4CD9" w:rsidRPr="00A52AB8">
        <w:rPr>
          <w:color w:val="000000" w:themeColor="text1"/>
        </w:rPr>
        <w:t xml:space="preserve"> (</w:t>
      </w:r>
      <w:r w:rsidR="007A4CD9" w:rsidRPr="00496A4D">
        <w:rPr>
          <w:color w:val="000000" w:themeColor="text1"/>
        </w:rPr>
        <w:fldChar w:fldCharType="begin"/>
      </w:r>
      <w:r w:rsidR="007A4CD9" w:rsidRPr="00A52AB8">
        <w:rPr>
          <w:color w:val="000000" w:themeColor="text1"/>
        </w:rPr>
        <w:instrText xml:space="preserve"> REF _Ref47525232 \r \h </w:instrText>
      </w:r>
      <w:r w:rsidR="007478BA" w:rsidRPr="00A52AB8">
        <w:rPr>
          <w:color w:val="000000" w:themeColor="text1"/>
        </w:rPr>
        <w:instrText xml:space="preserve"> \* MERGEFORMAT </w:instrText>
      </w:r>
      <w:r w:rsidR="007A4CD9" w:rsidRPr="00496A4D">
        <w:rPr>
          <w:color w:val="000000" w:themeColor="text1"/>
        </w:rPr>
      </w:r>
      <w:r w:rsidR="007A4CD9" w:rsidRPr="00496A4D">
        <w:rPr>
          <w:color w:val="000000" w:themeColor="text1"/>
        </w:rPr>
        <w:fldChar w:fldCharType="separate"/>
      </w:r>
      <w:r w:rsidR="00507A67">
        <w:rPr>
          <w:color w:val="000000" w:themeColor="text1"/>
        </w:rPr>
        <w:t>3.122</w:t>
      </w:r>
      <w:r w:rsidR="007A4CD9" w:rsidRPr="00496A4D">
        <w:rPr>
          <w:color w:val="000000" w:themeColor="text1"/>
        </w:rPr>
        <w:fldChar w:fldCharType="end"/>
      </w:r>
      <w:r w:rsidR="007A4CD9" w:rsidRPr="00A52AB8">
        <w:rPr>
          <w:color w:val="000000" w:themeColor="text1"/>
        </w:rPr>
        <w:t>)</w:t>
      </w:r>
    </w:p>
    <w:p w14:paraId="38F73844" w14:textId="77777777" w:rsidR="00564EF6" w:rsidRPr="00A52AB8" w:rsidRDefault="00564EF6" w:rsidP="00E72F7E">
      <w:pPr>
        <w:pStyle w:val="TermHeading"/>
      </w:pPr>
    </w:p>
    <w:p w14:paraId="7F365833" w14:textId="77777777" w:rsidR="00564EF6" w:rsidRPr="00A52AB8" w:rsidRDefault="00564EF6" w:rsidP="00564EF6">
      <w:pPr>
        <w:pStyle w:val="Terms"/>
        <w:rPr>
          <w:color w:val="000000" w:themeColor="text1"/>
        </w:rPr>
      </w:pPr>
      <w:r w:rsidRPr="00A52AB8">
        <w:rPr>
          <w:color w:val="000000" w:themeColor="text1"/>
        </w:rPr>
        <w:t>suffix SEI NAL unit</w:t>
      </w:r>
    </w:p>
    <w:p w14:paraId="62E29203" w14:textId="0B152BA5" w:rsidR="00564EF6" w:rsidRPr="00A52AB8" w:rsidRDefault="00564EF6" w:rsidP="00564EF6">
      <w:pPr>
        <w:pStyle w:val="Definition"/>
        <w:rPr>
          <w:color w:val="000000" w:themeColor="text1"/>
        </w:rPr>
      </w:pPr>
      <w:r w:rsidRPr="00A52AB8">
        <w:rPr>
          <w:i/>
          <w:iCs/>
          <w:color w:val="000000" w:themeColor="text1"/>
        </w:rPr>
        <w:t xml:space="preserve">SEI </w:t>
      </w:r>
      <w:r w:rsidR="00FF25EB" w:rsidRPr="00A52AB8">
        <w:rPr>
          <w:i/>
          <w:iCs/>
          <w:color w:val="000000" w:themeColor="text1"/>
        </w:rPr>
        <w:t xml:space="preserve">NAL </w:t>
      </w:r>
      <w:r w:rsidRPr="00A52AB8">
        <w:rPr>
          <w:i/>
          <w:iCs/>
          <w:color w:val="000000" w:themeColor="text1"/>
        </w:rPr>
        <w:t>unit</w:t>
      </w:r>
      <w:r w:rsidRPr="00A52AB8">
        <w:rPr>
          <w:color w:val="000000" w:themeColor="text1"/>
        </w:rPr>
        <w:t xml:space="preserve"> </w:t>
      </w:r>
      <w:r w:rsidR="00663387" w:rsidRPr="00A52AB8">
        <w:rPr>
          <w:color w:val="000000" w:themeColor="text1"/>
        </w:rPr>
        <w:t>(</w:t>
      </w:r>
      <w:r w:rsidR="00663387" w:rsidRPr="00496A4D">
        <w:rPr>
          <w:color w:val="000000" w:themeColor="text1"/>
        </w:rPr>
        <w:fldChar w:fldCharType="begin"/>
      </w:r>
      <w:r w:rsidR="00663387" w:rsidRPr="00A52AB8">
        <w:rPr>
          <w:color w:val="000000" w:themeColor="text1"/>
        </w:rPr>
        <w:instrText xml:space="preserve"> REF _Ref48980265 \n \h </w:instrText>
      </w:r>
      <w:r w:rsidR="00007BE2" w:rsidRPr="00A52AB8">
        <w:rPr>
          <w:color w:val="000000" w:themeColor="text1"/>
        </w:rPr>
        <w:instrText xml:space="preserve"> \* MERGEFORMAT </w:instrText>
      </w:r>
      <w:r w:rsidR="00663387" w:rsidRPr="00496A4D">
        <w:rPr>
          <w:color w:val="000000" w:themeColor="text1"/>
        </w:rPr>
      </w:r>
      <w:r w:rsidR="00663387" w:rsidRPr="00496A4D">
        <w:rPr>
          <w:color w:val="000000" w:themeColor="text1"/>
        </w:rPr>
        <w:fldChar w:fldCharType="separate"/>
      </w:r>
      <w:r w:rsidR="00507A67">
        <w:rPr>
          <w:color w:val="000000" w:themeColor="text1"/>
        </w:rPr>
        <w:t>3.127</w:t>
      </w:r>
      <w:r w:rsidR="00663387" w:rsidRPr="00496A4D">
        <w:rPr>
          <w:color w:val="000000" w:themeColor="text1"/>
        </w:rPr>
        <w:fldChar w:fldCharType="end"/>
      </w:r>
      <w:r w:rsidR="00663387" w:rsidRPr="00A52AB8">
        <w:rPr>
          <w:color w:val="000000" w:themeColor="text1"/>
        </w:rPr>
        <w:t xml:space="preserve">) </w:t>
      </w:r>
      <w:r w:rsidRPr="00A52AB8">
        <w:rPr>
          <w:color w:val="000000" w:themeColor="text1"/>
        </w:rPr>
        <w:t>that has nal_unit_type equal to NAL_SUFFIX_NSEI or NAL_SUFFIX_ESEI</w:t>
      </w:r>
    </w:p>
    <w:p w14:paraId="2908761A" w14:textId="77777777" w:rsidR="00564EF6" w:rsidRPr="00A52AB8" w:rsidRDefault="00564EF6" w:rsidP="00E72F7E">
      <w:pPr>
        <w:pStyle w:val="TermHeading"/>
      </w:pPr>
      <w:bookmarkStart w:id="96" w:name="_Ref48984467"/>
    </w:p>
    <w:bookmarkEnd w:id="96"/>
    <w:p w14:paraId="0D1D94A4" w14:textId="77777777" w:rsidR="0050235C" w:rsidRPr="00A52AB8" w:rsidRDefault="00564EF6" w:rsidP="00564EF6">
      <w:pPr>
        <w:pStyle w:val="Terms"/>
        <w:rPr>
          <w:color w:val="000000" w:themeColor="text1"/>
        </w:rPr>
      </w:pPr>
      <w:r w:rsidRPr="00A52AB8">
        <w:rPr>
          <w:color w:val="000000" w:themeColor="text1"/>
        </w:rPr>
        <w:t>supplemental enhancement information</w:t>
      </w:r>
    </w:p>
    <w:p w14:paraId="698C9641" w14:textId="6F75968D" w:rsidR="00564EF6" w:rsidRPr="00A52AB8" w:rsidRDefault="00564EF6" w:rsidP="00564EF6">
      <w:pPr>
        <w:pStyle w:val="Terms"/>
        <w:rPr>
          <w:color w:val="000000" w:themeColor="text1"/>
        </w:rPr>
      </w:pPr>
      <w:r w:rsidRPr="00A52AB8">
        <w:rPr>
          <w:color w:val="000000" w:themeColor="text1"/>
        </w:rPr>
        <w:t>SEI</w:t>
      </w:r>
    </w:p>
    <w:p w14:paraId="516D3299" w14:textId="2D934F14" w:rsidR="00FF25EB" w:rsidRPr="00A52AB8" w:rsidRDefault="00FF25EB" w:rsidP="004A6049">
      <w:pPr>
        <w:pStyle w:val="Definition"/>
      </w:pPr>
      <w:r w:rsidRPr="00A52AB8">
        <w:rPr>
          <w:color w:val="000000" w:themeColor="text1"/>
        </w:rPr>
        <w:t>information that may be inserted in</w:t>
      </w:r>
      <w:r w:rsidR="00B517DC" w:rsidRPr="00A52AB8">
        <w:rPr>
          <w:color w:val="000000" w:themeColor="text1"/>
        </w:rPr>
        <w:t>to</w:t>
      </w:r>
      <w:r w:rsidRPr="00A52AB8">
        <w:rPr>
          <w:color w:val="000000" w:themeColor="text1"/>
        </w:rPr>
        <w:t xml:space="preserve"> </w:t>
      </w:r>
      <w:r w:rsidR="00663387" w:rsidRPr="00A52AB8">
        <w:rPr>
          <w:color w:val="000000" w:themeColor="text1"/>
        </w:rPr>
        <w:t>the</w:t>
      </w:r>
      <w:r w:rsidRPr="00A52AB8">
        <w:rPr>
          <w:color w:val="000000" w:themeColor="text1"/>
        </w:rPr>
        <w:t xml:space="preserve"> bitstream </w:t>
      </w:r>
      <w:r w:rsidR="00663387" w:rsidRPr="00A52AB8">
        <w:rPr>
          <w:rFonts w:cs="Calibri"/>
        </w:rPr>
        <w:t>(</w:t>
      </w:r>
      <w:r w:rsidR="00663387" w:rsidRPr="00496A4D">
        <w:rPr>
          <w:rFonts w:cs="Calibri"/>
        </w:rPr>
        <w:fldChar w:fldCharType="begin"/>
      </w:r>
      <w:r w:rsidR="00663387" w:rsidRPr="00A52AB8">
        <w:rPr>
          <w:rFonts w:cs="Calibri"/>
        </w:rPr>
        <w:instrText xml:space="preserve"> REF _Ref47523191 \n \h </w:instrText>
      </w:r>
      <w:r w:rsidR="00007BE2" w:rsidRPr="00A52AB8">
        <w:rPr>
          <w:rFonts w:cs="Calibri"/>
        </w:rPr>
        <w:instrText xml:space="preserve"> </w:instrText>
      </w:r>
      <w:r w:rsidR="008F69D5" w:rsidRPr="00A52AB8">
        <w:rPr>
          <w:rFonts w:cs="Calibri"/>
        </w:rPr>
        <w:instrText xml:space="preserve"> \* MERGEFORMAT </w:instrText>
      </w:r>
      <w:r w:rsidR="00663387" w:rsidRPr="00496A4D">
        <w:rPr>
          <w:rFonts w:cs="Calibri"/>
        </w:rPr>
      </w:r>
      <w:r w:rsidR="00663387" w:rsidRPr="00496A4D">
        <w:rPr>
          <w:rFonts w:cs="Calibri"/>
        </w:rPr>
        <w:fldChar w:fldCharType="separate"/>
      </w:r>
      <w:r w:rsidR="00507A67">
        <w:rPr>
          <w:rFonts w:cs="Calibri"/>
        </w:rPr>
        <w:t>3.23</w:t>
      </w:r>
      <w:r w:rsidR="00663387" w:rsidRPr="00496A4D">
        <w:rPr>
          <w:rFonts w:cs="Calibri"/>
        </w:rPr>
        <w:fldChar w:fldCharType="end"/>
      </w:r>
      <w:r w:rsidR="00663387" w:rsidRPr="00A52AB8">
        <w:rPr>
          <w:rFonts w:cs="Calibri"/>
        </w:rPr>
        <w:t xml:space="preserve">) </w:t>
      </w:r>
      <w:r w:rsidRPr="00A52AB8">
        <w:rPr>
          <w:color w:val="000000" w:themeColor="text1"/>
        </w:rPr>
        <w:t>for various purposes such as indicating bitstream</w:t>
      </w:r>
      <w:r w:rsidR="00B517DC" w:rsidRPr="00A52AB8">
        <w:rPr>
          <w:color w:val="000000" w:themeColor="text1"/>
        </w:rPr>
        <w:t xml:space="preserve"> </w:t>
      </w:r>
      <w:r w:rsidR="00B517DC" w:rsidRPr="00A52AB8">
        <w:rPr>
          <w:rFonts w:cs="Calibri"/>
        </w:rPr>
        <w:t>(</w:t>
      </w:r>
      <w:r w:rsidR="00B517DC" w:rsidRPr="00496A4D">
        <w:rPr>
          <w:rFonts w:cs="Calibri"/>
        </w:rPr>
        <w:fldChar w:fldCharType="begin"/>
      </w:r>
      <w:r w:rsidR="00B517DC" w:rsidRPr="00A52AB8">
        <w:rPr>
          <w:rFonts w:cs="Calibri"/>
        </w:rPr>
        <w:instrText xml:space="preserve"> REF _Ref47523191 \n \h  </w:instrText>
      </w:r>
      <w:r w:rsidR="008F69D5" w:rsidRPr="00A52AB8">
        <w:rPr>
          <w:rFonts w:cs="Calibri"/>
        </w:rPr>
        <w:instrText xml:space="preserve"> \* MERGEFORMAT </w:instrText>
      </w:r>
      <w:r w:rsidR="00B517DC" w:rsidRPr="00496A4D">
        <w:rPr>
          <w:rFonts w:cs="Calibri"/>
        </w:rPr>
      </w:r>
      <w:r w:rsidR="00B517DC" w:rsidRPr="00496A4D">
        <w:rPr>
          <w:rFonts w:cs="Calibri"/>
        </w:rPr>
        <w:fldChar w:fldCharType="separate"/>
      </w:r>
      <w:r w:rsidR="00507A67">
        <w:rPr>
          <w:rFonts w:cs="Calibri"/>
        </w:rPr>
        <w:t>3.23</w:t>
      </w:r>
      <w:r w:rsidR="00B517DC" w:rsidRPr="00496A4D">
        <w:rPr>
          <w:rFonts w:cs="Calibri"/>
        </w:rPr>
        <w:fldChar w:fldCharType="end"/>
      </w:r>
      <w:r w:rsidR="00B517DC" w:rsidRPr="00A52AB8">
        <w:rPr>
          <w:rFonts w:cs="Calibri"/>
        </w:rPr>
        <w:t>)</w:t>
      </w:r>
      <w:r w:rsidRPr="00A52AB8">
        <w:rPr>
          <w:color w:val="000000" w:themeColor="text1"/>
        </w:rPr>
        <w:t xml:space="preserve">properties or for specifying various constraints that </w:t>
      </w:r>
      <w:r w:rsidR="00663387" w:rsidRPr="00A52AB8">
        <w:rPr>
          <w:color w:val="000000" w:themeColor="text1"/>
        </w:rPr>
        <w:t xml:space="preserve">may </w:t>
      </w:r>
      <w:r w:rsidRPr="00A52AB8">
        <w:rPr>
          <w:color w:val="000000" w:themeColor="text1"/>
        </w:rPr>
        <w:t xml:space="preserve">apply to the </w:t>
      </w:r>
      <w:r w:rsidR="00663387" w:rsidRPr="00A52AB8">
        <w:rPr>
          <w:color w:val="000000" w:themeColor="text1"/>
        </w:rPr>
        <w:t>bitstream</w:t>
      </w:r>
      <w:r w:rsidR="00B517DC" w:rsidRPr="00A52AB8">
        <w:rPr>
          <w:color w:val="000000" w:themeColor="text1"/>
        </w:rPr>
        <w:t xml:space="preserve"> </w:t>
      </w:r>
      <w:r w:rsidR="00B517DC" w:rsidRPr="00A52AB8">
        <w:rPr>
          <w:rFonts w:cs="Calibri"/>
        </w:rPr>
        <w:t>(</w:t>
      </w:r>
      <w:r w:rsidR="00B517DC" w:rsidRPr="00496A4D">
        <w:rPr>
          <w:rFonts w:cs="Calibri"/>
        </w:rPr>
        <w:fldChar w:fldCharType="begin"/>
      </w:r>
      <w:r w:rsidR="00B517DC" w:rsidRPr="00A52AB8">
        <w:rPr>
          <w:rFonts w:cs="Calibri"/>
        </w:rPr>
        <w:instrText xml:space="preserve"> REF _Ref47523191 \n \h  </w:instrText>
      </w:r>
      <w:r w:rsidR="008F69D5" w:rsidRPr="00A52AB8">
        <w:rPr>
          <w:rFonts w:cs="Calibri"/>
        </w:rPr>
        <w:instrText xml:space="preserve"> \* MERGEFORMAT </w:instrText>
      </w:r>
      <w:r w:rsidR="00B517DC" w:rsidRPr="00496A4D">
        <w:rPr>
          <w:rFonts w:cs="Calibri"/>
        </w:rPr>
      </w:r>
      <w:r w:rsidR="00B517DC" w:rsidRPr="00496A4D">
        <w:rPr>
          <w:rFonts w:cs="Calibri"/>
        </w:rPr>
        <w:fldChar w:fldCharType="separate"/>
      </w:r>
      <w:r w:rsidR="00507A67">
        <w:rPr>
          <w:rFonts w:cs="Calibri"/>
        </w:rPr>
        <w:t>3.23</w:t>
      </w:r>
      <w:r w:rsidR="00B517DC" w:rsidRPr="00496A4D">
        <w:rPr>
          <w:rFonts w:cs="Calibri"/>
        </w:rPr>
        <w:fldChar w:fldCharType="end"/>
      </w:r>
      <w:r w:rsidR="00B517DC" w:rsidRPr="00A52AB8">
        <w:rPr>
          <w:rFonts w:cs="Calibri"/>
        </w:rPr>
        <w:t>)</w:t>
      </w:r>
    </w:p>
    <w:p w14:paraId="653B0281" w14:textId="77777777" w:rsidR="00FF25EB" w:rsidRPr="00A52AB8" w:rsidRDefault="00FF25EB" w:rsidP="00E72F7E">
      <w:pPr>
        <w:pStyle w:val="TermHeading"/>
      </w:pPr>
      <w:bookmarkStart w:id="97" w:name="_Ref48980265"/>
    </w:p>
    <w:bookmarkEnd w:id="97"/>
    <w:p w14:paraId="00F77410" w14:textId="3E940DD4" w:rsidR="00231931" w:rsidRPr="00A52AB8" w:rsidRDefault="00231931" w:rsidP="00231931">
      <w:pPr>
        <w:pStyle w:val="Terms"/>
        <w:rPr>
          <w:color w:val="000000" w:themeColor="text1"/>
        </w:rPr>
      </w:pPr>
      <w:r w:rsidRPr="00A52AB8">
        <w:rPr>
          <w:color w:val="000000" w:themeColor="text1"/>
        </w:rPr>
        <w:t>supplemental enhancement information NAL unit</w:t>
      </w:r>
    </w:p>
    <w:p w14:paraId="47A325BE" w14:textId="175111EE" w:rsidR="00FF25EB" w:rsidRPr="00A52AB8" w:rsidRDefault="00FF25EB" w:rsidP="00983491">
      <w:pPr>
        <w:pStyle w:val="Definition"/>
        <w:spacing w:after="0"/>
      </w:pPr>
      <w:r w:rsidRPr="00A52AB8">
        <w:rPr>
          <w:color w:val="000000" w:themeColor="text1"/>
        </w:rPr>
        <w:t>SEI NAL unit</w:t>
      </w:r>
    </w:p>
    <w:p w14:paraId="58EBC0F0" w14:textId="3AC86793" w:rsidR="00564EF6" w:rsidRPr="00A52AB8" w:rsidRDefault="00FF25EB" w:rsidP="00564EF6">
      <w:pPr>
        <w:pStyle w:val="Definition"/>
        <w:rPr>
          <w:color w:val="000000" w:themeColor="text1"/>
        </w:rPr>
      </w:pPr>
      <w:r w:rsidRPr="00A52AB8">
        <w:rPr>
          <w:i/>
          <w:iCs/>
          <w:color w:val="000000" w:themeColor="text1"/>
        </w:rPr>
        <w:t>NAL unit</w:t>
      </w:r>
      <w:r w:rsidRPr="00A52AB8">
        <w:rPr>
          <w:i/>
          <w:color w:val="000000" w:themeColor="text1"/>
        </w:rPr>
        <w:t xml:space="preserve"> </w:t>
      </w:r>
      <w:r w:rsidRPr="00A52AB8">
        <w:t>(</w:t>
      </w:r>
      <w:r w:rsidRPr="00496A4D">
        <w:fldChar w:fldCharType="begin"/>
      </w:r>
      <w:r w:rsidRPr="00A52AB8">
        <w:instrText xml:space="preserve"> REF _Ref47525311 \n \h </w:instrText>
      </w:r>
      <w:r w:rsidR="00007BE2" w:rsidRPr="00A52AB8">
        <w:instrText xml:space="preserve"> \* MERGEFORMAT </w:instrText>
      </w:r>
      <w:r w:rsidRPr="00496A4D">
        <w:fldChar w:fldCharType="separate"/>
      </w:r>
      <w:r w:rsidR="00507A67">
        <w:t>3.84</w:t>
      </w:r>
      <w:r w:rsidRPr="00496A4D">
        <w:fldChar w:fldCharType="end"/>
      </w:r>
      <w:r w:rsidRPr="00A52AB8">
        <w:t xml:space="preserve">), intended for providing </w:t>
      </w:r>
      <w:r w:rsidRPr="00A52AB8">
        <w:rPr>
          <w:i/>
          <w:iCs/>
        </w:rPr>
        <w:t>supplemental enhancement information</w:t>
      </w:r>
      <w:r w:rsidRPr="00A52AB8">
        <w:t xml:space="preserve"> (</w:t>
      </w:r>
      <w:r w:rsidRPr="00496A4D">
        <w:fldChar w:fldCharType="begin"/>
      </w:r>
      <w:r w:rsidRPr="00A52AB8">
        <w:instrText xml:space="preserve"> REF _Ref48984467 \n \h </w:instrText>
      </w:r>
      <w:r w:rsidR="00007BE2" w:rsidRPr="00A52AB8">
        <w:instrText xml:space="preserve"> \* MERGEFORMAT </w:instrText>
      </w:r>
      <w:r w:rsidRPr="00496A4D">
        <w:fldChar w:fldCharType="separate"/>
      </w:r>
      <w:r w:rsidR="00507A67">
        <w:t>3.126</w:t>
      </w:r>
      <w:r w:rsidRPr="00496A4D">
        <w:fldChar w:fldCharType="end"/>
      </w:r>
      <w:r w:rsidRPr="00A52AB8">
        <w:t xml:space="preserve">) that </w:t>
      </w:r>
      <w:r w:rsidR="00564EF6" w:rsidRPr="00A52AB8">
        <w:rPr>
          <w:color w:val="000000" w:themeColor="text1"/>
        </w:rPr>
        <w:t>has nal_unit_type equal to NAL_PREFIX_NSEI, NAL_PREFIX_ESEI, NAL_SUFFIX_NSEI, or NAL_SUFFIX_ESEI</w:t>
      </w:r>
    </w:p>
    <w:p w14:paraId="6755AC00" w14:textId="77777777" w:rsidR="00564EF6" w:rsidRPr="00A52AB8" w:rsidRDefault="00564EF6" w:rsidP="00E72F7E">
      <w:pPr>
        <w:pStyle w:val="TermHeading"/>
      </w:pPr>
      <w:bookmarkStart w:id="98" w:name="_Ref47525293"/>
    </w:p>
    <w:bookmarkEnd w:id="98"/>
    <w:p w14:paraId="5CB45CA8" w14:textId="77777777" w:rsidR="00564EF6" w:rsidRPr="00A52AB8" w:rsidRDefault="00564EF6" w:rsidP="00564EF6">
      <w:pPr>
        <w:pStyle w:val="Terms"/>
        <w:rPr>
          <w:color w:val="000000" w:themeColor="text1"/>
        </w:rPr>
      </w:pPr>
      <w:r w:rsidRPr="00A52AB8">
        <w:rPr>
          <w:color w:val="000000" w:themeColor="text1"/>
        </w:rPr>
        <w:t>syntax element</w:t>
      </w:r>
    </w:p>
    <w:p w14:paraId="0E537F03" w14:textId="188038B7" w:rsidR="00564EF6" w:rsidRPr="00A52AB8" w:rsidRDefault="00564EF6" w:rsidP="00564EF6">
      <w:pPr>
        <w:pStyle w:val="Definition"/>
        <w:rPr>
          <w:color w:val="000000" w:themeColor="text1"/>
        </w:rPr>
      </w:pPr>
      <w:r w:rsidRPr="00A52AB8">
        <w:rPr>
          <w:color w:val="000000" w:themeColor="text1"/>
        </w:rPr>
        <w:t xml:space="preserve">element of data represented in the </w:t>
      </w:r>
      <w:r w:rsidRPr="00A52AB8">
        <w:rPr>
          <w:rFonts w:cs="Calibri"/>
          <w:i/>
          <w:iCs/>
        </w:rPr>
        <w:t>bitstream</w:t>
      </w:r>
      <w:r w:rsidRPr="00A52AB8">
        <w:rPr>
          <w:rFonts w:cs="Calibri"/>
        </w:rPr>
        <w:t xml:space="preserve"> (</w:t>
      </w:r>
      <w:r w:rsidRPr="00496A4D">
        <w:rPr>
          <w:rFonts w:cs="Calibri"/>
        </w:rPr>
        <w:fldChar w:fldCharType="begin"/>
      </w:r>
      <w:r w:rsidRPr="00A52AB8">
        <w:rPr>
          <w:rFonts w:cs="Calibri"/>
        </w:rPr>
        <w:instrText xml:space="preserve"> REF _Ref47523191 \r \h </w:instrText>
      </w:r>
      <w:r w:rsidR="006371AA" w:rsidRPr="00A52AB8">
        <w:rPr>
          <w:rFonts w:cs="Calibri"/>
        </w:rPr>
        <w:instrText xml:space="preserve"> \* MERGEFORMAT </w:instrText>
      </w:r>
      <w:r w:rsidRPr="00496A4D">
        <w:rPr>
          <w:rFonts w:cs="Calibri"/>
        </w:rPr>
      </w:r>
      <w:r w:rsidRPr="00496A4D">
        <w:rPr>
          <w:rFonts w:cs="Calibri"/>
        </w:rPr>
        <w:fldChar w:fldCharType="separate"/>
      </w:r>
      <w:r w:rsidR="00507A67">
        <w:rPr>
          <w:rFonts w:cs="Calibri"/>
        </w:rPr>
        <w:t>3.23</w:t>
      </w:r>
      <w:r w:rsidRPr="00496A4D">
        <w:rPr>
          <w:rFonts w:cs="Calibri"/>
        </w:rPr>
        <w:fldChar w:fldCharType="end"/>
      </w:r>
      <w:r w:rsidRPr="00A52AB8">
        <w:rPr>
          <w:rFonts w:cs="Calibri"/>
        </w:rPr>
        <w:t>)</w:t>
      </w:r>
    </w:p>
    <w:p w14:paraId="343C51BC" w14:textId="77777777" w:rsidR="00564EF6" w:rsidRPr="00A52AB8" w:rsidRDefault="00564EF6" w:rsidP="00E72F7E">
      <w:pPr>
        <w:pStyle w:val="TermHeading"/>
      </w:pPr>
      <w:bookmarkStart w:id="99" w:name="_Ref47526553"/>
    </w:p>
    <w:bookmarkEnd w:id="99"/>
    <w:p w14:paraId="09186341" w14:textId="77777777" w:rsidR="00564EF6" w:rsidRPr="00A52AB8" w:rsidRDefault="00564EF6" w:rsidP="00564EF6">
      <w:pPr>
        <w:pStyle w:val="Terms"/>
        <w:rPr>
          <w:color w:val="000000" w:themeColor="text1"/>
        </w:rPr>
      </w:pPr>
      <w:r w:rsidRPr="00A52AB8">
        <w:rPr>
          <w:color w:val="000000" w:themeColor="text1"/>
        </w:rPr>
        <w:t>syntax structure</w:t>
      </w:r>
    </w:p>
    <w:p w14:paraId="07A472CF" w14:textId="62DD06C7" w:rsidR="00564EF6" w:rsidRPr="00A52AB8" w:rsidRDefault="00564EF6" w:rsidP="00564EF6">
      <w:pPr>
        <w:pStyle w:val="Definition"/>
        <w:rPr>
          <w:color w:val="000000" w:themeColor="text1"/>
        </w:rPr>
      </w:pPr>
      <w:r w:rsidRPr="00A52AB8">
        <w:rPr>
          <w:color w:val="000000" w:themeColor="text1"/>
        </w:rPr>
        <w:t xml:space="preserve">zero or more </w:t>
      </w:r>
      <w:r w:rsidRPr="00A52AB8">
        <w:rPr>
          <w:i/>
          <w:iCs/>
          <w:color w:val="000000" w:themeColor="text1"/>
        </w:rPr>
        <w:t>syntax elements</w:t>
      </w:r>
      <w:r w:rsidRPr="00A52AB8">
        <w:rPr>
          <w:color w:val="000000" w:themeColor="text1"/>
        </w:rPr>
        <w:t xml:space="preserve"> (</w:t>
      </w:r>
      <w:r w:rsidRPr="00496A4D">
        <w:rPr>
          <w:color w:val="000000" w:themeColor="text1"/>
        </w:rPr>
        <w:fldChar w:fldCharType="begin"/>
      </w:r>
      <w:r w:rsidRPr="00A52AB8">
        <w:rPr>
          <w:color w:val="000000" w:themeColor="text1"/>
        </w:rPr>
        <w:instrText xml:space="preserve"> REF _Ref47525293 \r \h </w:instrText>
      </w:r>
      <w:r w:rsidR="006371AA"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3.128</w:t>
      </w:r>
      <w:r w:rsidRPr="00496A4D">
        <w:rPr>
          <w:color w:val="000000" w:themeColor="text1"/>
        </w:rPr>
        <w:fldChar w:fldCharType="end"/>
      </w:r>
      <w:r w:rsidRPr="00A52AB8">
        <w:rPr>
          <w:color w:val="000000" w:themeColor="text1"/>
        </w:rPr>
        <w:t xml:space="preserve">) present together in the </w:t>
      </w:r>
      <w:r w:rsidRPr="00A52AB8">
        <w:rPr>
          <w:rFonts w:cs="Calibri"/>
          <w:i/>
          <w:iCs/>
        </w:rPr>
        <w:t>bitstream</w:t>
      </w:r>
      <w:r w:rsidRPr="00A52AB8">
        <w:rPr>
          <w:rFonts w:cs="Calibri"/>
        </w:rPr>
        <w:t xml:space="preserve"> (</w:t>
      </w:r>
      <w:r w:rsidRPr="00496A4D">
        <w:rPr>
          <w:rFonts w:cs="Calibri"/>
        </w:rPr>
        <w:fldChar w:fldCharType="begin"/>
      </w:r>
      <w:r w:rsidRPr="00A52AB8">
        <w:rPr>
          <w:rFonts w:cs="Calibri"/>
        </w:rPr>
        <w:instrText xml:space="preserve"> REF _Ref47523191 \r \h </w:instrText>
      </w:r>
      <w:r w:rsidR="006371AA" w:rsidRPr="00A52AB8">
        <w:rPr>
          <w:rFonts w:cs="Calibri"/>
        </w:rPr>
        <w:instrText xml:space="preserve"> \* MERGEFORMAT </w:instrText>
      </w:r>
      <w:r w:rsidRPr="00496A4D">
        <w:rPr>
          <w:rFonts w:cs="Calibri"/>
        </w:rPr>
      </w:r>
      <w:r w:rsidRPr="00496A4D">
        <w:rPr>
          <w:rFonts w:cs="Calibri"/>
        </w:rPr>
        <w:fldChar w:fldCharType="separate"/>
      </w:r>
      <w:r w:rsidR="00507A67">
        <w:rPr>
          <w:rFonts w:cs="Calibri"/>
        </w:rPr>
        <w:t>3.23</w:t>
      </w:r>
      <w:r w:rsidRPr="00496A4D">
        <w:rPr>
          <w:rFonts w:cs="Calibri"/>
        </w:rPr>
        <w:fldChar w:fldCharType="end"/>
      </w:r>
      <w:r w:rsidRPr="00A52AB8">
        <w:rPr>
          <w:rFonts w:cs="Calibri"/>
        </w:rPr>
        <w:t xml:space="preserve">) </w:t>
      </w:r>
      <w:r w:rsidRPr="00A52AB8">
        <w:rPr>
          <w:color w:val="000000" w:themeColor="text1"/>
        </w:rPr>
        <w:t>in a specified order</w:t>
      </w:r>
    </w:p>
    <w:p w14:paraId="1EDC7067" w14:textId="77777777" w:rsidR="00B606C5" w:rsidRPr="00A52AB8" w:rsidRDefault="00B606C5" w:rsidP="00E72F7E">
      <w:pPr>
        <w:pStyle w:val="TermHeading"/>
      </w:pPr>
    </w:p>
    <w:p w14:paraId="09D0E04F" w14:textId="2314250E" w:rsidR="00B606C5" w:rsidRPr="00A52AB8" w:rsidRDefault="00B606C5" w:rsidP="00B606C5">
      <w:pPr>
        <w:pStyle w:val="Terms"/>
      </w:pPr>
      <w:r w:rsidRPr="00A52AB8">
        <w:t>temporal sub-layer access access unit</w:t>
      </w:r>
      <w:r w:rsidRPr="00A52AB8">
        <w:br/>
        <w:t>TSA access unit</w:t>
      </w:r>
    </w:p>
    <w:p w14:paraId="2D39F5B7" w14:textId="7C952D0B" w:rsidR="00B606C5" w:rsidRPr="00A52AB8" w:rsidRDefault="00B606C5" w:rsidP="00B606C5">
      <w:pPr>
        <w:pStyle w:val="Definition"/>
        <w:rPr>
          <w:color w:val="000000" w:themeColor="text1"/>
        </w:rPr>
      </w:pPr>
      <w:r w:rsidRPr="00A52AB8">
        <w:rPr>
          <w:iCs/>
          <w:color w:val="000000" w:themeColor="text1"/>
        </w:rPr>
        <w:t>access unit</w:t>
      </w:r>
      <w:r w:rsidRPr="00A52AB8">
        <w:rPr>
          <w:i/>
          <w:iCs/>
          <w:color w:val="000000" w:themeColor="text1"/>
        </w:rPr>
        <w:t xml:space="preserve"> </w:t>
      </w:r>
      <w:r w:rsidRPr="00A52AB8">
        <w:rPr>
          <w:iCs/>
          <w:color w:val="000000" w:themeColor="text1"/>
        </w:rPr>
        <w:t xml:space="preserve">in which the </w:t>
      </w:r>
      <w:r w:rsidRPr="00A52AB8">
        <w:rPr>
          <w:i/>
          <w:iCs/>
          <w:color w:val="000000" w:themeColor="text1"/>
        </w:rPr>
        <w:t xml:space="preserve">coded atlas </w:t>
      </w:r>
      <w:r w:rsidRPr="00A52AB8">
        <w:rPr>
          <w:color w:val="000000" w:themeColor="text1"/>
        </w:rPr>
        <w:t>(</w:t>
      </w:r>
      <w:r w:rsidRPr="00496A4D">
        <w:rPr>
          <w:color w:val="000000" w:themeColor="text1"/>
        </w:rPr>
        <w:fldChar w:fldCharType="begin"/>
      </w:r>
      <w:r w:rsidRPr="00A52AB8">
        <w:rPr>
          <w:color w:val="000000" w:themeColor="text1"/>
        </w:rPr>
        <w:instrText xml:space="preserve"> REF _Ref47525438 \r \h  \* MERGEFORMAT </w:instrText>
      </w:r>
      <w:r w:rsidRPr="00496A4D">
        <w:rPr>
          <w:color w:val="000000" w:themeColor="text1"/>
        </w:rPr>
      </w:r>
      <w:r w:rsidRPr="00496A4D">
        <w:rPr>
          <w:color w:val="000000" w:themeColor="text1"/>
        </w:rPr>
        <w:fldChar w:fldCharType="separate"/>
      </w:r>
      <w:r w:rsidR="00507A67">
        <w:rPr>
          <w:color w:val="000000" w:themeColor="text1"/>
        </w:rPr>
        <w:t>3.34</w:t>
      </w:r>
      <w:r w:rsidRPr="00496A4D">
        <w:rPr>
          <w:color w:val="000000" w:themeColor="text1"/>
        </w:rPr>
        <w:fldChar w:fldCharType="end"/>
      </w:r>
      <w:r w:rsidRPr="00A52AB8">
        <w:rPr>
          <w:color w:val="000000" w:themeColor="text1"/>
        </w:rPr>
        <w:t xml:space="preserve">) with nal_layer_id equal to 0 is a </w:t>
      </w:r>
      <w:r w:rsidRPr="00A52AB8">
        <w:rPr>
          <w:i/>
          <w:color w:val="000000" w:themeColor="text1"/>
        </w:rPr>
        <w:t>TSA coded atlas</w:t>
      </w:r>
      <w:r w:rsidRPr="00A52AB8">
        <w:rPr>
          <w:color w:val="000000" w:themeColor="text1"/>
        </w:rPr>
        <w:t xml:space="preserve"> (</w:t>
      </w:r>
      <w:r w:rsidRPr="00496A4D">
        <w:rPr>
          <w:color w:val="000000" w:themeColor="text1"/>
        </w:rPr>
        <w:fldChar w:fldCharType="begin"/>
      </w:r>
      <w:r w:rsidRPr="00A52AB8">
        <w:rPr>
          <w:color w:val="000000" w:themeColor="text1"/>
        </w:rPr>
        <w:instrText xml:space="preserve"> REF _Ref49596879 \n \h </w:instrText>
      </w:r>
      <w:r w:rsidR="00007BE2"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3.131</w:t>
      </w:r>
      <w:r w:rsidRPr="00496A4D">
        <w:rPr>
          <w:color w:val="000000" w:themeColor="text1"/>
        </w:rPr>
        <w:fldChar w:fldCharType="end"/>
      </w:r>
      <w:r w:rsidRPr="00A52AB8">
        <w:rPr>
          <w:color w:val="000000" w:themeColor="text1"/>
        </w:rPr>
        <w:t>)</w:t>
      </w:r>
    </w:p>
    <w:p w14:paraId="23943E1B" w14:textId="77777777" w:rsidR="00B606C5" w:rsidRPr="00A52AB8" w:rsidRDefault="00B606C5" w:rsidP="00E72F7E">
      <w:pPr>
        <w:pStyle w:val="TermHeading"/>
      </w:pPr>
      <w:bookmarkStart w:id="100" w:name="_Ref49596879"/>
    </w:p>
    <w:bookmarkEnd w:id="100"/>
    <w:p w14:paraId="091F565F" w14:textId="4F0EA5E5" w:rsidR="00B606C5" w:rsidRPr="00A52AB8" w:rsidRDefault="00B606C5" w:rsidP="00B606C5">
      <w:pPr>
        <w:pStyle w:val="Terms"/>
      </w:pPr>
      <w:r w:rsidRPr="00A52AB8">
        <w:t>temporal sub-layer access coded atlas</w:t>
      </w:r>
      <w:r w:rsidRPr="00A52AB8">
        <w:br/>
        <w:t>TSA coded atlas</w:t>
      </w:r>
    </w:p>
    <w:p w14:paraId="124135B5" w14:textId="2E88038D" w:rsidR="00B606C5" w:rsidRPr="00A52AB8" w:rsidRDefault="00B606C5" w:rsidP="00B606C5">
      <w:pPr>
        <w:pStyle w:val="Definition"/>
        <w:rPr>
          <w:color w:val="000000" w:themeColor="text1"/>
        </w:rPr>
      </w:pPr>
      <w:r w:rsidRPr="00A52AB8">
        <w:rPr>
          <w:i/>
          <w:iCs/>
          <w:color w:val="000000" w:themeColor="text1"/>
        </w:rPr>
        <w:t xml:space="preserve">coded atlas </w:t>
      </w:r>
      <w:r w:rsidRPr="00A52AB8">
        <w:rPr>
          <w:color w:val="000000" w:themeColor="text1"/>
        </w:rPr>
        <w:t>(</w:t>
      </w:r>
      <w:r w:rsidRPr="00496A4D">
        <w:rPr>
          <w:color w:val="000000" w:themeColor="text1"/>
        </w:rPr>
        <w:fldChar w:fldCharType="begin"/>
      </w:r>
      <w:r w:rsidRPr="00A52AB8">
        <w:rPr>
          <w:color w:val="000000" w:themeColor="text1"/>
        </w:rPr>
        <w:instrText xml:space="preserve"> REF _Ref47525438 \r \h  \* MERGEFORMAT </w:instrText>
      </w:r>
      <w:r w:rsidRPr="00496A4D">
        <w:rPr>
          <w:color w:val="000000" w:themeColor="text1"/>
        </w:rPr>
      </w:r>
      <w:r w:rsidRPr="00496A4D">
        <w:rPr>
          <w:color w:val="000000" w:themeColor="text1"/>
        </w:rPr>
        <w:fldChar w:fldCharType="separate"/>
      </w:r>
      <w:r w:rsidR="00507A67">
        <w:rPr>
          <w:color w:val="000000" w:themeColor="text1"/>
        </w:rPr>
        <w:t>3.34</w:t>
      </w:r>
      <w:r w:rsidRPr="00496A4D">
        <w:rPr>
          <w:color w:val="000000" w:themeColor="text1"/>
        </w:rPr>
        <w:fldChar w:fldCharType="end"/>
      </w:r>
      <w:r w:rsidRPr="00A52AB8">
        <w:rPr>
          <w:color w:val="000000" w:themeColor="text1"/>
        </w:rPr>
        <w:t xml:space="preserve">) for which each </w:t>
      </w:r>
      <w:r w:rsidRPr="00A52AB8">
        <w:rPr>
          <w:i/>
          <w:iCs/>
          <w:color w:val="000000" w:themeColor="text1"/>
        </w:rPr>
        <w:t>ACL NAL unit</w:t>
      </w:r>
      <w:r w:rsidRPr="00A52AB8">
        <w:rPr>
          <w:color w:val="000000" w:themeColor="text1"/>
        </w:rPr>
        <w:t xml:space="preserve"> </w:t>
      </w:r>
      <w:r w:rsidR="007A4CD9" w:rsidRPr="00A52AB8">
        <w:rPr>
          <w:color w:val="000000" w:themeColor="text1"/>
        </w:rPr>
        <w:t>(</w:t>
      </w:r>
      <w:r w:rsidR="007A4CD9" w:rsidRPr="00496A4D">
        <w:rPr>
          <w:color w:val="000000" w:themeColor="text1"/>
        </w:rPr>
        <w:fldChar w:fldCharType="begin"/>
      </w:r>
      <w:r w:rsidR="007A4CD9" w:rsidRPr="00A52AB8">
        <w:rPr>
          <w:color w:val="000000" w:themeColor="text1"/>
        </w:rPr>
        <w:instrText xml:space="preserve"> REF _Ref49013819 \r \h </w:instrText>
      </w:r>
      <w:r w:rsidR="007478BA" w:rsidRPr="00A52AB8">
        <w:rPr>
          <w:color w:val="000000" w:themeColor="text1"/>
        </w:rPr>
        <w:instrText xml:space="preserve"> \* MERGEFORMAT </w:instrText>
      </w:r>
      <w:r w:rsidR="007A4CD9" w:rsidRPr="00496A4D">
        <w:rPr>
          <w:color w:val="000000" w:themeColor="text1"/>
        </w:rPr>
      </w:r>
      <w:r w:rsidR="007A4CD9" w:rsidRPr="00496A4D">
        <w:rPr>
          <w:color w:val="000000" w:themeColor="text1"/>
        </w:rPr>
        <w:fldChar w:fldCharType="separate"/>
      </w:r>
      <w:r w:rsidR="00507A67">
        <w:rPr>
          <w:color w:val="000000" w:themeColor="text1"/>
        </w:rPr>
        <w:t>3.6</w:t>
      </w:r>
      <w:r w:rsidR="007A4CD9" w:rsidRPr="00496A4D">
        <w:rPr>
          <w:color w:val="000000" w:themeColor="text1"/>
        </w:rPr>
        <w:fldChar w:fldCharType="end"/>
      </w:r>
      <w:r w:rsidR="007A4CD9" w:rsidRPr="00A52AB8">
        <w:rPr>
          <w:color w:val="000000" w:themeColor="text1"/>
        </w:rPr>
        <w:t xml:space="preserve">) </w:t>
      </w:r>
      <w:r w:rsidRPr="00A52AB8">
        <w:rPr>
          <w:color w:val="000000" w:themeColor="text1"/>
        </w:rPr>
        <w:t>has nal_unit_type equal to NAL_TSA_R or NAL_TSA_N</w:t>
      </w:r>
    </w:p>
    <w:p w14:paraId="4AD51989" w14:textId="77777777" w:rsidR="00564EF6" w:rsidRPr="00A52AB8" w:rsidRDefault="00564EF6" w:rsidP="00E72F7E">
      <w:pPr>
        <w:pStyle w:val="TermHeading"/>
      </w:pPr>
    </w:p>
    <w:p w14:paraId="6C41684B" w14:textId="77777777" w:rsidR="00564EF6" w:rsidRPr="00A52AB8" w:rsidRDefault="00564EF6" w:rsidP="00564EF6">
      <w:pPr>
        <w:pStyle w:val="Terms"/>
        <w:rPr>
          <w:color w:val="000000" w:themeColor="text1"/>
        </w:rPr>
      </w:pPr>
      <w:r w:rsidRPr="00A52AB8">
        <w:rPr>
          <w:color w:val="000000" w:themeColor="text1"/>
        </w:rPr>
        <w:t>tile</w:t>
      </w:r>
    </w:p>
    <w:p w14:paraId="244B090C" w14:textId="3068CFF8" w:rsidR="00564EF6" w:rsidRPr="00A52AB8" w:rsidRDefault="00564EF6" w:rsidP="00564EF6">
      <w:pPr>
        <w:pStyle w:val="Definition"/>
        <w:rPr>
          <w:color w:val="000000" w:themeColor="text1"/>
        </w:rPr>
      </w:pPr>
      <w:r w:rsidRPr="00A52AB8">
        <w:rPr>
          <w:color w:val="000000" w:themeColor="text1"/>
        </w:rPr>
        <w:t xml:space="preserve">independently decodable rectangular region of an </w:t>
      </w:r>
      <w:r w:rsidRPr="00A52AB8">
        <w:rPr>
          <w:i/>
          <w:iCs/>
          <w:color w:val="000000" w:themeColor="text1"/>
        </w:rPr>
        <w:t>atlas frame</w:t>
      </w:r>
      <w:r w:rsidRPr="00A52AB8">
        <w:rPr>
          <w:color w:val="000000" w:themeColor="text1"/>
        </w:rPr>
        <w:t xml:space="preserve"> (</w:t>
      </w:r>
      <w:r w:rsidRPr="00496A4D">
        <w:rPr>
          <w:color w:val="000000" w:themeColor="text1"/>
        </w:rPr>
        <w:fldChar w:fldCharType="begin"/>
      </w:r>
      <w:r w:rsidRPr="00A52AB8">
        <w:rPr>
          <w:color w:val="000000" w:themeColor="text1"/>
        </w:rPr>
        <w:instrText xml:space="preserve"> REF _Ref47524579 \r \h </w:instrText>
      </w:r>
      <w:r w:rsidR="006371AA"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3.8</w:t>
      </w:r>
      <w:r w:rsidRPr="00496A4D">
        <w:rPr>
          <w:color w:val="000000" w:themeColor="text1"/>
        </w:rPr>
        <w:fldChar w:fldCharType="end"/>
      </w:r>
      <w:r w:rsidRPr="00A52AB8">
        <w:rPr>
          <w:color w:val="000000" w:themeColor="text1"/>
        </w:rPr>
        <w:t>)</w:t>
      </w:r>
    </w:p>
    <w:p w14:paraId="6D30584E" w14:textId="77777777" w:rsidR="00785051" w:rsidRPr="00A52AB8" w:rsidRDefault="00785051" w:rsidP="00E72F7E">
      <w:pPr>
        <w:pStyle w:val="TermHeading"/>
      </w:pPr>
    </w:p>
    <w:p w14:paraId="72B88BB0" w14:textId="7801174A" w:rsidR="00785051" w:rsidRPr="00A52AB8" w:rsidRDefault="00785051" w:rsidP="00785051">
      <w:pPr>
        <w:pStyle w:val="Terms"/>
        <w:rPr>
          <w:color w:val="000000" w:themeColor="text1"/>
        </w:rPr>
      </w:pPr>
      <w:r w:rsidRPr="00A52AB8">
        <w:rPr>
          <w:color w:val="000000" w:themeColor="text1"/>
        </w:rPr>
        <w:t>unspecified</w:t>
      </w:r>
    </w:p>
    <w:p w14:paraId="5D703BB7" w14:textId="3D07FF34" w:rsidR="00785051" w:rsidRPr="00A52AB8" w:rsidRDefault="00785051" w:rsidP="00564EF6">
      <w:pPr>
        <w:pStyle w:val="Definition"/>
        <w:rPr>
          <w:color w:val="000000" w:themeColor="text1"/>
        </w:rPr>
      </w:pPr>
      <w:r w:rsidRPr="00A52AB8">
        <w:rPr>
          <w:color w:val="000000" w:themeColor="text1"/>
        </w:rPr>
        <w:t xml:space="preserve">term that may be used to specify some values of a particular </w:t>
      </w:r>
      <w:r w:rsidRPr="00A52AB8">
        <w:rPr>
          <w:i/>
          <w:iCs/>
          <w:color w:val="000000" w:themeColor="text1"/>
        </w:rPr>
        <w:t>syntax element</w:t>
      </w:r>
      <w:r w:rsidRPr="00A52AB8">
        <w:rPr>
          <w:color w:val="000000" w:themeColor="text1"/>
        </w:rPr>
        <w:t xml:space="preserve"> (</w:t>
      </w:r>
      <w:r w:rsidRPr="00496A4D">
        <w:rPr>
          <w:color w:val="000000" w:themeColor="text1"/>
        </w:rPr>
        <w:fldChar w:fldCharType="begin"/>
      </w:r>
      <w:r w:rsidRPr="00A52AB8">
        <w:rPr>
          <w:color w:val="000000" w:themeColor="text1"/>
        </w:rPr>
        <w:instrText xml:space="preserve"> REF _Ref47526553 \n \h </w:instrText>
      </w:r>
      <w:r w:rsidR="007478BA"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3.129</w:t>
      </w:r>
      <w:r w:rsidRPr="00496A4D">
        <w:rPr>
          <w:color w:val="000000" w:themeColor="text1"/>
        </w:rPr>
        <w:fldChar w:fldCharType="end"/>
      </w:r>
      <w:r w:rsidRPr="00A52AB8">
        <w:rPr>
          <w:color w:val="000000" w:themeColor="text1"/>
        </w:rPr>
        <w:t>) to indicate that the values have no specified meaning in this document and will not have a specified meaning in the future as an integral part of future versions of this document</w:t>
      </w:r>
    </w:p>
    <w:p w14:paraId="6DA6D850" w14:textId="77777777" w:rsidR="00564EF6" w:rsidRPr="00A52AB8" w:rsidRDefault="00564EF6" w:rsidP="00E72F7E">
      <w:pPr>
        <w:pStyle w:val="TermHeading"/>
      </w:pPr>
    </w:p>
    <w:p w14:paraId="34C575CA" w14:textId="77777777" w:rsidR="00564EF6" w:rsidRPr="00A52AB8" w:rsidRDefault="00564EF6" w:rsidP="00564EF6">
      <w:pPr>
        <w:pStyle w:val="Terms"/>
        <w:rPr>
          <w:color w:val="000000" w:themeColor="text1"/>
        </w:rPr>
      </w:pPr>
      <w:r w:rsidRPr="00A52AB8">
        <w:rPr>
          <w:color w:val="000000" w:themeColor="text1"/>
        </w:rPr>
        <w:t>video bitstream</w:t>
      </w:r>
    </w:p>
    <w:p w14:paraId="1644A29F" w14:textId="626FB112" w:rsidR="00564EF6" w:rsidRPr="00A52AB8" w:rsidRDefault="00564EF6" w:rsidP="00564EF6">
      <w:pPr>
        <w:pStyle w:val="Definition"/>
        <w:rPr>
          <w:color w:val="000000" w:themeColor="text1"/>
        </w:rPr>
      </w:pPr>
      <w:r w:rsidRPr="00A52AB8">
        <w:rPr>
          <w:rFonts w:cs="Calibri"/>
          <w:i/>
          <w:iCs/>
        </w:rPr>
        <w:t>bitstream</w:t>
      </w:r>
      <w:r w:rsidRPr="00A52AB8">
        <w:rPr>
          <w:rFonts w:cs="Calibri"/>
        </w:rPr>
        <w:t xml:space="preserve"> (</w:t>
      </w:r>
      <w:r w:rsidRPr="00496A4D">
        <w:rPr>
          <w:rFonts w:cs="Calibri"/>
        </w:rPr>
        <w:fldChar w:fldCharType="begin"/>
      </w:r>
      <w:r w:rsidRPr="00A52AB8">
        <w:rPr>
          <w:rFonts w:cs="Calibri"/>
        </w:rPr>
        <w:instrText xml:space="preserve"> REF _Ref47523191 \r \h </w:instrText>
      </w:r>
      <w:r w:rsidR="006371AA" w:rsidRPr="00A52AB8">
        <w:rPr>
          <w:rFonts w:cs="Calibri"/>
        </w:rPr>
        <w:instrText xml:space="preserve"> \* MERGEFORMAT </w:instrText>
      </w:r>
      <w:r w:rsidRPr="00496A4D">
        <w:rPr>
          <w:rFonts w:cs="Calibri"/>
        </w:rPr>
      </w:r>
      <w:r w:rsidRPr="00496A4D">
        <w:rPr>
          <w:rFonts w:cs="Calibri"/>
        </w:rPr>
        <w:fldChar w:fldCharType="separate"/>
      </w:r>
      <w:r w:rsidR="00507A67">
        <w:rPr>
          <w:rFonts w:cs="Calibri"/>
        </w:rPr>
        <w:t>3.23</w:t>
      </w:r>
      <w:r w:rsidRPr="00496A4D">
        <w:rPr>
          <w:rFonts w:cs="Calibri"/>
        </w:rPr>
        <w:fldChar w:fldCharType="end"/>
      </w:r>
      <w:r w:rsidRPr="00A52AB8">
        <w:rPr>
          <w:rFonts w:cs="Calibri"/>
        </w:rPr>
        <w:t xml:space="preserve">) </w:t>
      </w:r>
      <w:r w:rsidRPr="00A52AB8">
        <w:rPr>
          <w:color w:val="000000" w:themeColor="text1"/>
        </w:rPr>
        <w:t xml:space="preserve">conforming to a video specification that may represent a </w:t>
      </w:r>
      <w:r w:rsidRPr="00A52AB8">
        <w:rPr>
          <w:i/>
          <w:iCs/>
          <w:color w:val="000000" w:themeColor="text1"/>
        </w:rPr>
        <w:t>V3C component</w:t>
      </w:r>
      <w:r w:rsidRPr="00A52AB8">
        <w:rPr>
          <w:color w:val="000000" w:themeColor="text1"/>
        </w:rPr>
        <w:t xml:space="preserve"> (</w:t>
      </w:r>
      <w:r w:rsidRPr="00496A4D">
        <w:rPr>
          <w:color w:val="000000" w:themeColor="text1"/>
        </w:rPr>
        <w:fldChar w:fldCharType="begin"/>
      </w:r>
      <w:r w:rsidRPr="00A52AB8">
        <w:rPr>
          <w:color w:val="000000" w:themeColor="text1"/>
        </w:rPr>
        <w:instrText xml:space="preserve"> REF _Ref47525972 \r \h </w:instrText>
      </w:r>
      <w:r w:rsidR="006371AA"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3.139</w:t>
      </w:r>
      <w:r w:rsidRPr="00496A4D">
        <w:rPr>
          <w:color w:val="000000" w:themeColor="text1"/>
        </w:rPr>
        <w:fldChar w:fldCharType="end"/>
      </w:r>
      <w:r w:rsidRPr="00A52AB8">
        <w:t xml:space="preserve">) </w:t>
      </w:r>
      <w:r w:rsidRPr="00A52AB8">
        <w:rPr>
          <w:color w:val="000000" w:themeColor="text1"/>
        </w:rPr>
        <w:t>as specified by this document</w:t>
      </w:r>
    </w:p>
    <w:p w14:paraId="0C89C68A" w14:textId="77777777" w:rsidR="001206A5" w:rsidRPr="00A52AB8" w:rsidRDefault="001206A5" w:rsidP="00E72F7E">
      <w:pPr>
        <w:pStyle w:val="TermHeading"/>
      </w:pPr>
      <w:bookmarkStart w:id="101" w:name="_Ref51322754"/>
    </w:p>
    <w:bookmarkEnd w:id="101"/>
    <w:p w14:paraId="1C925202" w14:textId="3E40C10D" w:rsidR="001206A5" w:rsidRPr="00A52AB8" w:rsidRDefault="001206A5" w:rsidP="001206A5">
      <w:pPr>
        <w:pStyle w:val="Terms"/>
        <w:rPr>
          <w:color w:val="000000" w:themeColor="text1"/>
        </w:rPr>
      </w:pPr>
      <w:r w:rsidRPr="00A52AB8">
        <w:rPr>
          <w:color w:val="000000" w:themeColor="text1"/>
        </w:rPr>
        <w:t>video component</w:t>
      </w:r>
    </w:p>
    <w:p w14:paraId="3460E135" w14:textId="62F3015E" w:rsidR="001206A5" w:rsidRPr="00A52AB8" w:rsidRDefault="001206A5" w:rsidP="001206A5">
      <w:pPr>
        <w:pStyle w:val="Definition"/>
        <w:rPr>
          <w:color w:val="000000" w:themeColor="text1"/>
        </w:rPr>
      </w:pPr>
      <w:r w:rsidRPr="00A52AB8">
        <w:rPr>
          <w:rFonts w:cs="Calibri"/>
          <w:i/>
          <w:iCs/>
        </w:rPr>
        <w:t>V3C component</w:t>
      </w:r>
      <w:r w:rsidRPr="00A52AB8">
        <w:rPr>
          <w:rFonts w:cs="Calibri"/>
        </w:rPr>
        <w:t xml:space="preserve"> (</w:t>
      </w:r>
      <w:r w:rsidR="00AF2829" w:rsidRPr="00496A4D">
        <w:rPr>
          <w:rFonts w:cs="Calibri"/>
        </w:rPr>
        <w:fldChar w:fldCharType="begin"/>
      </w:r>
      <w:r w:rsidR="00AF2829" w:rsidRPr="00A52AB8">
        <w:rPr>
          <w:rFonts w:cs="Calibri"/>
        </w:rPr>
        <w:instrText xml:space="preserve"> REF _Ref47525972 \r \h </w:instrText>
      </w:r>
      <w:r w:rsidR="007478BA" w:rsidRPr="00A52AB8">
        <w:rPr>
          <w:rFonts w:cs="Calibri"/>
        </w:rPr>
        <w:instrText xml:space="preserve"> \* MERGEFORMAT </w:instrText>
      </w:r>
      <w:r w:rsidR="00AF2829" w:rsidRPr="00496A4D">
        <w:rPr>
          <w:rFonts w:cs="Calibri"/>
        </w:rPr>
      </w:r>
      <w:r w:rsidR="00AF2829" w:rsidRPr="00496A4D">
        <w:rPr>
          <w:rFonts w:cs="Calibri"/>
        </w:rPr>
        <w:fldChar w:fldCharType="separate"/>
      </w:r>
      <w:r w:rsidR="00507A67">
        <w:rPr>
          <w:rFonts w:cs="Calibri"/>
        </w:rPr>
        <w:t>3.139</w:t>
      </w:r>
      <w:r w:rsidR="00AF2829" w:rsidRPr="00496A4D">
        <w:rPr>
          <w:rFonts w:cs="Calibri"/>
        </w:rPr>
        <w:fldChar w:fldCharType="end"/>
      </w:r>
      <w:r w:rsidRPr="00A52AB8">
        <w:rPr>
          <w:rFonts w:cs="Calibri"/>
        </w:rPr>
        <w:t xml:space="preserve">) </w:t>
      </w:r>
      <w:r w:rsidRPr="00A52AB8">
        <w:rPr>
          <w:color w:val="000000" w:themeColor="text1"/>
        </w:rPr>
        <w:t>of type</w:t>
      </w:r>
      <w:r w:rsidR="00AF2829" w:rsidRPr="00A52AB8">
        <w:rPr>
          <w:i/>
          <w:iCs/>
          <w:color w:val="000000" w:themeColor="text1"/>
        </w:rPr>
        <w:t xml:space="preserve"> occupancy </w:t>
      </w:r>
      <w:r w:rsidR="00AF2829" w:rsidRPr="00A52AB8">
        <w:rPr>
          <w:color w:val="000000" w:themeColor="text1"/>
        </w:rPr>
        <w:t>(</w:t>
      </w:r>
      <w:r w:rsidR="00AF2829" w:rsidRPr="00496A4D">
        <w:rPr>
          <w:color w:val="000000" w:themeColor="text1"/>
        </w:rPr>
        <w:fldChar w:fldCharType="begin"/>
      </w:r>
      <w:r w:rsidR="00AF2829" w:rsidRPr="00A52AB8">
        <w:rPr>
          <w:color w:val="000000" w:themeColor="text1"/>
        </w:rPr>
        <w:instrText xml:space="preserve"> REF _Ref47525562 \r \h  \* MERGEFORMAT </w:instrText>
      </w:r>
      <w:r w:rsidR="00AF2829" w:rsidRPr="00496A4D">
        <w:rPr>
          <w:color w:val="000000" w:themeColor="text1"/>
        </w:rPr>
      </w:r>
      <w:r w:rsidR="00AF2829" w:rsidRPr="00496A4D">
        <w:rPr>
          <w:color w:val="000000" w:themeColor="text1"/>
        </w:rPr>
        <w:fldChar w:fldCharType="separate"/>
      </w:r>
      <w:r w:rsidR="00507A67">
        <w:rPr>
          <w:color w:val="000000" w:themeColor="text1"/>
        </w:rPr>
        <w:t>3.91</w:t>
      </w:r>
      <w:r w:rsidR="00AF2829" w:rsidRPr="00496A4D">
        <w:rPr>
          <w:color w:val="000000" w:themeColor="text1"/>
        </w:rPr>
        <w:fldChar w:fldCharType="end"/>
      </w:r>
      <w:r w:rsidR="00AF2829" w:rsidRPr="00A52AB8">
        <w:rPr>
          <w:color w:val="000000" w:themeColor="text1"/>
        </w:rPr>
        <w:t xml:space="preserve">), </w:t>
      </w:r>
      <w:r w:rsidR="00AF2829" w:rsidRPr="00A52AB8">
        <w:rPr>
          <w:i/>
          <w:iCs/>
          <w:color w:val="000000" w:themeColor="text1"/>
        </w:rPr>
        <w:t>geometry</w:t>
      </w:r>
      <w:r w:rsidR="00AF2829" w:rsidRPr="00A52AB8">
        <w:rPr>
          <w:color w:val="000000" w:themeColor="text1"/>
        </w:rPr>
        <w:t xml:space="preserve"> (</w:t>
      </w:r>
      <w:r w:rsidR="00AF2829" w:rsidRPr="00496A4D">
        <w:rPr>
          <w:color w:val="000000" w:themeColor="text1"/>
        </w:rPr>
        <w:fldChar w:fldCharType="begin"/>
      </w:r>
      <w:r w:rsidR="00AF2829" w:rsidRPr="00A52AB8">
        <w:rPr>
          <w:color w:val="000000" w:themeColor="text1"/>
        </w:rPr>
        <w:instrText xml:space="preserve"> REF _Ref47526217 \r \h  \* MERGEFORMAT </w:instrText>
      </w:r>
      <w:r w:rsidR="00AF2829" w:rsidRPr="00496A4D">
        <w:rPr>
          <w:color w:val="000000" w:themeColor="text1"/>
        </w:rPr>
      </w:r>
      <w:r w:rsidR="00AF2829" w:rsidRPr="00496A4D">
        <w:rPr>
          <w:color w:val="000000" w:themeColor="text1"/>
        </w:rPr>
        <w:fldChar w:fldCharType="separate"/>
      </w:r>
      <w:r w:rsidR="00507A67">
        <w:rPr>
          <w:color w:val="000000" w:themeColor="text1"/>
        </w:rPr>
        <w:t>3.62</w:t>
      </w:r>
      <w:r w:rsidR="00AF2829" w:rsidRPr="00496A4D">
        <w:rPr>
          <w:color w:val="000000" w:themeColor="text1"/>
        </w:rPr>
        <w:fldChar w:fldCharType="end"/>
      </w:r>
      <w:r w:rsidR="00AF2829" w:rsidRPr="00A52AB8">
        <w:rPr>
          <w:color w:val="000000" w:themeColor="text1"/>
        </w:rPr>
        <w:t xml:space="preserve">), </w:t>
      </w:r>
      <w:r w:rsidR="00AF2829" w:rsidRPr="00A52AB8">
        <w:t xml:space="preserve">or </w:t>
      </w:r>
      <w:r w:rsidR="00AF2829" w:rsidRPr="00A52AB8">
        <w:rPr>
          <w:i/>
          <w:iCs/>
          <w:color w:val="000000" w:themeColor="text1"/>
        </w:rPr>
        <w:t>attribute</w:t>
      </w:r>
      <w:r w:rsidR="00AF2829" w:rsidRPr="00A52AB8">
        <w:rPr>
          <w:color w:val="000000" w:themeColor="text1"/>
        </w:rPr>
        <w:t xml:space="preserve"> (</w:t>
      </w:r>
      <w:r w:rsidR="00926723" w:rsidRPr="00496A4D">
        <w:fldChar w:fldCharType="begin"/>
      </w:r>
      <w:r w:rsidR="00926723" w:rsidRPr="00A52AB8">
        <w:instrText xml:space="preserve"> REF _Ref49509311 \n \h </w:instrText>
      </w:r>
      <w:r w:rsidR="008F69D5" w:rsidRPr="00A52AB8">
        <w:instrText xml:space="preserve"> \* MERGEFORMAT </w:instrText>
      </w:r>
      <w:r w:rsidR="00926723" w:rsidRPr="00496A4D">
        <w:fldChar w:fldCharType="separate"/>
      </w:r>
      <w:r w:rsidR="00507A67">
        <w:t>3.15</w:t>
      </w:r>
      <w:r w:rsidR="00926723" w:rsidRPr="00496A4D">
        <w:fldChar w:fldCharType="end"/>
      </w:r>
      <w:r w:rsidR="00AF2829" w:rsidRPr="00A52AB8">
        <w:rPr>
          <w:color w:val="000000" w:themeColor="text1"/>
        </w:rPr>
        <w:t>)</w:t>
      </w:r>
    </w:p>
    <w:p w14:paraId="621F783D" w14:textId="77777777" w:rsidR="00564EF6" w:rsidRPr="00A52AB8" w:rsidRDefault="00564EF6" w:rsidP="00E72F7E">
      <w:pPr>
        <w:pStyle w:val="TermHeading"/>
      </w:pPr>
    </w:p>
    <w:p w14:paraId="6C54AB20" w14:textId="77777777" w:rsidR="00564EF6" w:rsidRPr="00A52AB8" w:rsidRDefault="00564EF6" w:rsidP="00564EF6">
      <w:pPr>
        <w:pStyle w:val="Terms"/>
        <w:rPr>
          <w:color w:val="000000" w:themeColor="text1"/>
        </w:rPr>
      </w:pPr>
      <w:r w:rsidRPr="00A52AB8">
        <w:rPr>
          <w:color w:val="000000" w:themeColor="text1"/>
        </w:rPr>
        <w:t>video data unit</w:t>
      </w:r>
    </w:p>
    <w:p w14:paraId="0735EB35" w14:textId="5EA7359C" w:rsidR="00564EF6" w:rsidRPr="00A52AB8" w:rsidRDefault="00564EF6" w:rsidP="00564EF6">
      <w:pPr>
        <w:pStyle w:val="Definition"/>
        <w:rPr>
          <w:color w:val="000000" w:themeColor="text1"/>
        </w:rPr>
      </w:pPr>
      <w:r w:rsidRPr="00A52AB8">
        <w:rPr>
          <w:i/>
          <w:iCs/>
          <w:color w:val="000000" w:themeColor="text1"/>
        </w:rPr>
        <w:t>syntax structure</w:t>
      </w:r>
      <w:r w:rsidRPr="00A52AB8">
        <w:rPr>
          <w:color w:val="000000" w:themeColor="text1"/>
        </w:rPr>
        <w:t xml:space="preserve"> (</w:t>
      </w:r>
      <w:r w:rsidRPr="00496A4D">
        <w:rPr>
          <w:color w:val="000000" w:themeColor="text1"/>
        </w:rPr>
        <w:fldChar w:fldCharType="begin"/>
      </w:r>
      <w:r w:rsidRPr="00A52AB8">
        <w:rPr>
          <w:color w:val="000000" w:themeColor="text1"/>
        </w:rPr>
        <w:instrText xml:space="preserve"> REF _Ref47526553 \r \h </w:instrText>
      </w:r>
      <w:r w:rsidR="006371AA"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3.129</w:t>
      </w:r>
      <w:r w:rsidRPr="00496A4D">
        <w:rPr>
          <w:color w:val="000000" w:themeColor="text1"/>
        </w:rPr>
        <w:fldChar w:fldCharType="end"/>
      </w:r>
      <w:r w:rsidRPr="00A52AB8">
        <w:rPr>
          <w:color w:val="000000" w:themeColor="text1"/>
        </w:rPr>
        <w:t>) containing video data information, such as a NAL unit</w:t>
      </w:r>
      <w:r w:rsidR="00663CA9" w:rsidRPr="00A52AB8">
        <w:rPr>
          <w:color w:val="000000" w:themeColor="text1"/>
        </w:rPr>
        <w:t xml:space="preserve"> (</w:t>
      </w:r>
      <w:r w:rsidR="00663CA9" w:rsidRPr="00496A4D">
        <w:rPr>
          <w:color w:val="000000" w:themeColor="text1"/>
        </w:rPr>
        <w:fldChar w:fldCharType="begin"/>
      </w:r>
      <w:r w:rsidR="00663CA9" w:rsidRPr="00A52AB8">
        <w:rPr>
          <w:color w:val="000000" w:themeColor="text1"/>
        </w:rPr>
        <w:instrText xml:space="preserve"> REF _Ref47525311 \n \h </w:instrText>
      </w:r>
      <w:r w:rsidR="008F69D5" w:rsidRPr="00A52AB8">
        <w:rPr>
          <w:color w:val="000000" w:themeColor="text1"/>
        </w:rPr>
        <w:instrText xml:space="preserve"> \* MERGEFORMAT </w:instrText>
      </w:r>
      <w:r w:rsidR="00663CA9" w:rsidRPr="00496A4D">
        <w:rPr>
          <w:color w:val="000000" w:themeColor="text1"/>
        </w:rPr>
      </w:r>
      <w:r w:rsidR="00663CA9" w:rsidRPr="00496A4D">
        <w:rPr>
          <w:color w:val="000000" w:themeColor="text1"/>
        </w:rPr>
        <w:fldChar w:fldCharType="separate"/>
      </w:r>
      <w:r w:rsidR="00507A67">
        <w:rPr>
          <w:color w:val="000000" w:themeColor="text1"/>
        </w:rPr>
        <w:t>3.84</w:t>
      </w:r>
      <w:r w:rsidR="00663CA9" w:rsidRPr="00496A4D">
        <w:rPr>
          <w:color w:val="000000" w:themeColor="text1"/>
        </w:rPr>
        <w:fldChar w:fldCharType="end"/>
      </w:r>
      <w:r w:rsidR="00663CA9" w:rsidRPr="00A52AB8">
        <w:rPr>
          <w:color w:val="000000" w:themeColor="text1"/>
        </w:rPr>
        <w:t xml:space="preserve">) </w:t>
      </w:r>
      <w:r w:rsidRPr="00A52AB8">
        <w:rPr>
          <w:color w:val="000000" w:themeColor="text1"/>
        </w:rPr>
        <w:t>in the context of ISO/IEC 23008-2 or ISO/IEC 14496-10</w:t>
      </w:r>
    </w:p>
    <w:p w14:paraId="3A8CF80B" w14:textId="77777777" w:rsidR="00564EF6" w:rsidRPr="00A52AB8" w:rsidRDefault="00564EF6" w:rsidP="00E72F7E">
      <w:pPr>
        <w:pStyle w:val="TermHeading"/>
      </w:pPr>
      <w:bookmarkStart w:id="102" w:name="_Ref50934758"/>
    </w:p>
    <w:bookmarkEnd w:id="102"/>
    <w:p w14:paraId="4D1482C8" w14:textId="77777777" w:rsidR="00564EF6" w:rsidRPr="00A52AB8" w:rsidRDefault="00564EF6" w:rsidP="00564EF6">
      <w:pPr>
        <w:pStyle w:val="Terms"/>
        <w:rPr>
          <w:color w:val="000000" w:themeColor="text1"/>
        </w:rPr>
      </w:pPr>
      <w:r w:rsidRPr="00A52AB8">
        <w:rPr>
          <w:color w:val="000000" w:themeColor="text1"/>
        </w:rPr>
        <w:t>video sub-bitstream</w:t>
      </w:r>
    </w:p>
    <w:p w14:paraId="26EA02C2" w14:textId="48CE2F14" w:rsidR="00564EF6" w:rsidRPr="00A52AB8" w:rsidRDefault="00564EF6" w:rsidP="00564EF6">
      <w:pPr>
        <w:pStyle w:val="Definition"/>
        <w:rPr>
          <w:color w:val="000000" w:themeColor="text1"/>
        </w:rPr>
      </w:pPr>
      <w:r w:rsidRPr="00A52AB8">
        <w:rPr>
          <w:color w:val="000000" w:themeColor="text1"/>
        </w:rPr>
        <w:t xml:space="preserve">extracted </w:t>
      </w:r>
      <w:r w:rsidRPr="00A52AB8">
        <w:rPr>
          <w:i/>
          <w:iCs/>
          <w:color w:val="000000" w:themeColor="text1"/>
        </w:rPr>
        <w:t>sub-bitstream</w:t>
      </w:r>
      <w:r w:rsidRPr="00A52AB8">
        <w:rPr>
          <w:color w:val="000000" w:themeColor="text1"/>
        </w:rPr>
        <w:t xml:space="preserve"> (</w:t>
      </w:r>
      <w:r w:rsidRPr="00496A4D">
        <w:rPr>
          <w:color w:val="000000" w:themeColor="text1"/>
        </w:rPr>
        <w:fldChar w:fldCharType="begin"/>
      </w:r>
      <w:r w:rsidRPr="00A52AB8">
        <w:rPr>
          <w:color w:val="000000" w:themeColor="text1"/>
        </w:rPr>
        <w:instrText xml:space="preserve"> REF _Ref47524811 \r \h </w:instrText>
      </w:r>
      <w:r w:rsidR="006371AA"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3.117</w:t>
      </w:r>
      <w:r w:rsidRPr="00496A4D">
        <w:rPr>
          <w:color w:val="000000" w:themeColor="text1"/>
        </w:rPr>
        <w:fldChar w:fldCharType="end"/>
      </w:r>
      <w:r w:rsidRPr="00A52AB8">
        <w:rPr>
          <w:color w:val="000000" w:themeColor="text1"/>
        </w:rPr>
        <w:t xml:space="preserve">) from the </w:t>
      </w:r>
      <w:r w:rsidRPr="00A52AB8">
        <w:rPr>
          <w:i/>
          <w:iCs/>
          <w:color w:val="000000" w:themeColor="text1"/>
        </w:rPr>
        <w:t>V3C bitstream</w:t>
      </w:r>
      <w:r w:rsidRPr="00A52AB8">
        <w:rPr>
          <w:color w:val="000000" w:themeColor="text1"/>
        </w:rPr>
        <w:t xml:space="preserve"> (</w:t>
      </w:r>
      <w:r w:rsidRPr="00496A4D">
        <w:rPr>
          <w:color w:val="000000" w:themeColor="text1"/>
        </w:rPr>
        <w:fldChar w:fldCharType="begin"/>
      </w:r>
      <w:r w:rsidRPr="00A52AB8">
        <w:rPr>
          <w:color w:val="000000" w:themeColor="text1"/>
        </w:rPr>
        <w:instrText xml:space="preserve"> REF _Ref47524821 \r \h </w:instrText>
      </w:r>
      <w:r w:rsidR="006371AA"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3.138</w:t>
      </w:r>
      <w:r w:rsidRPr="00496A4D">
        <w:rPr>
          <w:color w:val="000000" w:themeColor="text1"/>
        </w:rPr>
        <w:fldChar w:fldCharType="end"/>
      </w:r>
      <w:r w:rsidRPr="00A52AB8">
        <w:rPr>
          <w:color w:val="000000" w:themeColor="text1"/>
        </w:rPr>
        <w:t xml:space="preserve">) containing a part of a </w:t>
      </w:r>
      <w:r w:rsidRPr="00A52AB8">
        <w:rPr>
          <w:i/>
          <w:iCs/>
          <w:color w:val="000000" w:themeColor="text1"/>
        </w:rPr>
        <w:t xml:space="preserve">video bitstream </w:t>
      </w:r>
      <w:r w:rsidRPr="00A52AB8">
        <w:rPr>
          <w:color w:val="000000" w:themeColor="text1"/>
        </w:rPr>
        <w:t>(</w:t>
      </w:r>
      <w:r w:rsidR="00605E55" w:rsidRPr="00496A4D">
        <w:rPr>
          <w:color w:val="000000" w:themeColor="text1"/>
        </w:rPr>
        <w:fldChar w:fldCharType="begin"/>
      </w:r>
      <w:r w:rsidR="00605E55" w:rsidRPr="00A52AB8">
        <w:rPr>
          <w:color w:val="000000" w:themeColor="text1"/>
        </w:rPr>
        <w:instrText xml:space="preserve"> REF _Ref47526866 \r \h </w:instrText>
      </w:r>
      <w:r w:rsidR="007478BA" w:rsidRPr="00A52AB8">
        <w:rPr>
          <w:color w:val="000000" w:themeColor="text1"/>
        </w:rPr>
        <w:instrText xml:space="preserve"> \* MERGEFORMAT </w:instrText>
      </w:r>
      <w:r w:rsidR="00605E55" w:rsidRPr="00496A4D">
        <w:rPr>
          <w:color w:val="000000" w:themeColor="text1"/>
        </w:rPr>
      </w:r>
      <w:r w:rsidR="00605E55" w:rsidRPr="00496A4D">
        <w:rPr>
          <w:color w:val="000000" w:themeColor="text1"/>
        </w:rPr>
        <w:fldChar w:fldCharType="separate"/>
      </w:r>
      <w:r w:rsidR="00507A67">
        <w:rPr>
          <w:color w:val="000000" w:themeColor="text1"/>
        </w:rPr>
        <w:t>3.146</w:t>
      </w:r>
      <w:r w:rsidR="00605E55" w:rsidRPr="00496A4D">
        <w:rPr>
          <w:color w:val="000000" w:themeColor="text1"/>
        </w:rPr>
        <w:fldChar w:fldCharType="end"/>
      </w:r>
      <w:r w:rsidRPr="00A52AB8">
        <w:rPr>
          <w:color w:val="000000" w:themeColor="text1"/>
        </w:rPr>
        <w:t>)</w:t>
      </w:r>
    </w:p>
    <w:p w14:paraId="7A78869E" w14:textId="77777777" w:rsidR="00564EF6" w:rsidRPr="00A52AB8" w:rsidRDefault="00564EF6" w:rsidP="00E72F7E">
      <w:pPr>
        <w:pStyle w:val="TermHeading"/>
      </w:pPr>
      <w:bookmarkStart w:id="103" w:name="_Ref47524821"/>
    </w:p>
    <w:bookmarkEnd w:id="103"/>
    <w:p w14:paraId="5EB58608" w14:textId="77777777" w:rsidR="001206A5" w:rsidRPr="00A52AB8" w:rsidRDefault="001206A5" w:rsidP="00564EF6">
      <w:pPr>
        <w:pStyle w:val="Terms"/>
        <w:rPr>
          <w:color w:val="000000" w:themeColor="text1"/>
        </w:rPr>
      </w:pPr>
      <w:r w:rsidRPr="00A52AB8">
        <w:rPr>
          <w:color w:val="000000" w:themeColor="text1"/>
        </w:rPr>
        <w:t>video-based visual volumetric coding bitstream</w:t>
      </w:r>
    </w:p>
    <w:p w14:paraId="7CD159CD" w14:textId="620C85B3" w:rsidR="00564EF6" w:rsidRPr="00A52AB8" w:rsidRDefault="00564EF6" w:rsidP="00564EF6">
      <w:pPr>
        <w:pStyle w:val="Terms"/>
        <w:rPr>
          <w:color w:val="000000" w:themeColor="text1"/>
        </w:rPr>
      </w:pPr>
      <w:r w:rsidRPr="00A52AB8">
        <w:rPr>
          <w:color w:val="000000" w:themeColor="text1"/>
        </w:rPr>
        <w:t>V3C bitstream</w:t>
      </w:r>
    </w:p>
    <w:p w14:paraId="066EF7CD" w14:textId="157BB690" w:rsidR="00564EF6" w:rsidRPr="00A52AB8" w:rsidRDefault="00564EF6" w:rsidP="00564EF6">
      <w:pPr>
        <w:pStyle w:val="Definition"/>
        <w:rPr>
          <w:i/>
          <w:iCs/>
        </w:rPr>
      </w:pPr>
      <w:r w:rsidRPr="00A52AB8">
        <w:t xml:space="preserve">sequence of bits that forms the representation of </w:t>
      </w:r>
      <w:r w:rsidRPr="00A52AB8">
        <w:rPr>
          <w:i/>
          <w:iCs/>
        </w:rPr>
        <w:t>coded volumetric frames</w:t>
      </w:r>
      <w:r w:rsidRPr="00A52AB8">
        <w:rPr>
          <w:iCs/>
        </w:rPr>
        <w:t xml:space="preserve"> (</w:t>
      </w:r>
      <w:r w:rsidRPr="00496A4D">
        <w:rPr>
          <w:iCs/>
        </w:rPr>
        <w:fldChar w:fldCharType="begin"/>
      </w:r>
      <w:r w:rsidRPr="00A52AB8">
        <w:rPr>
          <w:iCs/>
        </w:rPr>
        <w:instrText xml:space="preserve"> REF _Ref47526697 \r \h </w:instrText>
      </w:r>
      <w:r w:rsidR="006371AA" w:rsidRPr="00A52AB8">
        <w:rPr>
          <w:iCs/>
        </w:rPr>
        <w:instrText xml:space="preserve"> \* MERGEFORMAT </w:instrText>
      </w:r>
      <w:r w:rsidRPr="00496A4D">
        <w:rPr>
          <w:iCs/>
        </w:rPr>
      </w:r>
      <w:r w:rsidRPr="00496A4D">
        <w:rPr>
          <w:iCs/>
        </w:rPr>
        <w:fldChar w:fldCharType="separate"/>
      </w:r>
      <w:r w:rsidR="00507A67">
        <w:rPr>
          <w:iCs/>
        </w:rPr>
        <w:t>3.37</w:t>
      </w:r>
      <w:r w:rsidRPr="00496A4D">
        <w:rPr>
          <w:iCs/>
        </w:rPr>
        <w:fldChar w:fldCharType="end"/>
      </w:r>
      <w:r w:rsidRPr="00A52AB8">
        <w:rPr>
          <w:iCs/>
        </w:rPr>
        <w:t xml:space="preserve">) and associated data forming one or more </w:t>
      </w:r>
      <w:r w:rsidRPr="00A52AB8">
        <w:rPr>
          <w:i/>
          <w:iCs/>
        </w:rPr>
        <w:t xml:space="preserve">CVSs </w:t>
      </w:r>
      <w:r w:rsidRPr="00A52AB8">
        <w:t>(</w:t>
      </w:r>
      <w:r w:rsidRPr="00496A4D">
        <w:fldChar w:fldCharType="begin"/>
      </w:r>
      <w:r w:rsidRPr="00A52AB8">
        <w:instrText xml:space="preserve"> REF _Ref47526686 \r \h </w:instrText>
      </w:r>
      <w:r w:rsidR="006371AA" w:rsidRPr="00A52AB8">
        <w:instrText xml:space="preserve"> \* MERGEFORMAT </w:instrText>
      </w:r>
      <w:r w:rsidRPr="00496A4D">
        <w:fldChar w:fldCharType="separate"/>
      </w:r>
      <w:r w:rsidR="00507A67">
        <w:t>3.41</w:t>
      </w:r>
      <w:r w:rsidRPr="00496A4D">
        <w:fldChar w:fldCharType="end"/>
      </w:r>
      <w:r w:rsidRPr="00A52AB8">
        <w:t>)</w:t>
      </w:r>
    </w:p>
    <w:p w14:paraId="6A251D5B" w14:textId="77777777" w:rsidR="00564EF6" w:rsidRPr="00A52AB8" w:rsidRDefault="00564EF6" w:rsidP="00E72F7E">
      <w:pPr>
        <w:pStyle w:val="TermHeading"/>
      </w:pPr>
      <w:bookmarkStart w:id="104" w:name="_Ref47525972"/>
    </w:p>
    <w:bookmarkEnd w:id="104"/>
    <w:p w14:paraId="741FBFCA" w14:textId="469BCED3" w:rsidR="001206A5" w:rsidRPr="00A52AB8" w:rsidRDefault="001206A5" w:rsidP="00564EF6">
      <w:pPr>
        <w:pStyle w:val="Terms"/>
        <w:rPr>
          <w:color w:val="000000" w:themeColor="text1"/>
        </w:rPr>
      </w:pPr>
      <w:r w:rsidRPr="00A52AB8">
        <w:rPr>
          <w:color w:val="000000" w:themeColor="text1"/>
        </w:rPr>
        <w:t>video-based visual volumetric coding component</w:t>
      </w:r>
    </w:p>
    <w:p w14:paraId="2CE41A81" w14:textId="1CA80049" w:rsidR="00564EF6" w:rsidRPr="00A52AB8" w:rsidRDefault="00564EF6" w:rsidP="00564EF6">
      <w:pPr>
        <w:pStyle w:val="Terms"/>
        <w:rPr>
          <w:color w:val="000000" w:themeColor="text1"/>
        </w:rPr>
      </w:pPr>
      <w:r w:rsidRPr="00A52AB8">
        <w:rPr>
          <w:color w:val="000000" w:themeColor="text1"/>
        </w:rPr>
        <w:t>V3C component</w:t>
      </w:r>
    </w:p>
    <w:p w14:paraId="0C848213" w14:textId="4C69E636" w:rsidR="0050235C" w:rsidRPr="00A52AB8" w:rsidRDefault="00564EF6" w:rsidP="00564EF6">
      <w:pPr>
        <w:pStyle w:val="Definition"/>
        <w:rPr>
          <w:i/>
          <w:iCs/>
        </w:rPr>
      </w:pPr>
      <w:r w:rsidRPr="00A52AB8">
        <w:rPr>
          <w:i/>
          <w:iCs/>
        </w:rPr>
        <w:t xml:space="preserve">atlas </w:t>
      </w:r>
      <w:r w:rsidRPr="00A52AB8">
        <w:rPr>
          <w:color w:val="000000" w:themeColor="text1"/>
        </w:rPr>
        <w:t>(</w:t>
      </w:r>
      <w:r w:rsidRPr="00496A4D">
        <w:fldChar w:fldCharType="begin"/>
      </w:r>
      <w:r w:rsidRPr="00A52AB8">
        <w:instrText xml:space="preserve"> REF _Ref47524403 \r \h </w:instrText>
      </w:r>
      <w:r w:rsidR="006371AA" w:rsidRPr="00A52AB8">
        <w:instrText xml:space="preserve"> \* MERGEFORMAT </w:instrText>
      </w:r>
      <w:r w:rsidRPr="00496A4D">
        <w:fldChar w:fldCharType="separate"/>
      </w:r>
      <w:r w:rsidR="00507A67">
        <w:t>3.4</w:t>
      </w:r>
      <w:r w:rsidRPr="00496A4D">
        <w:fldChar w:fldCharType="end"/>
      </w:r>
      <w:r w:rsidRPr="00A52AB8">
        <w:rPr>
          <w:color w:val="000000" w:themeColor="text1"/>
        </w:rPr>
        <w:t>)</w:t>
      </w:r>
      <w:r w:rsidRPr="00A52AB8">
        <w:t xml:space="preserve">, </w:t>
      </w:r>
      <w:r w:rsidRPr="00A52AB8">
        <w:rPr>
          <w:i/>
          <w:iCs/>
          <w:color w:val="000000" w:themeColor="text1"/>
        </w:rPr>
        <w:t xml:space="preserve">occupancy </w:t>
      </w:r>
      <w:r w:rsidRPr="00A52AB8">
        <w:rPr>
          <w:color w:val="000000" w:themeColor="text1"/>
        </w:rPr>
        <w:t>(</w:t>
      </w:r>
      <w:r w:rsidRPr="00496A4D">
        <w:rPr>
          <w:color w:val="000000" w:themeColor="text1"/>
        </w:rPr>
        <w:fldChar w:fldCharType="begin"/>
      </w:r>
      <w:r w:rsidRPr="00A52AB8">
        <w:rPr>
          <w:color w:val="000000" w:themeColor="text1"/>
        </w:rPr>
        <w:instrText xml:space="preserve"> REF _Ref47525562 \r \h </w:instrText>
      </w:r>
      <w:r w:rsidR="006371AA"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3.91</w:t>
      </w:r>
      <w:r w:rsidRPr="00496A4D">
        <w:rPr>
          <w:color w:val="000000" w:themeColor="text1"/>
        </w:rPr>
        <w:fldChar w:fldCharType="end"/>
      </w:r>
      <w:r w:rsidRPr="00A52AB8">
        <w:rPr>
          <w:color w:val="000000" w:themeColor="text1"/>
        </w:rPr>
        <w:t xml:space="preserve">), </w:t>
      </w:r>
      <w:r w:rsidRPr="00A52AB8">
        <w:rPr>
          <w:i/>
          <w:iCs/>
          <w:color w:val="000000" w:themeColor="text1"/>
        </w:rPr>
        <w:t>geometry</w:t>
      </w:r>
      <w:r w:rsidRPr="00A52AB8">
        <w:rPr>
          <w:color w:val="000000" w:themeColor="text1"/>
        </w:rPr>
        <w:t xml:space="preserve"> (</w:t>
      </w:r>
      <w:r w:rsidRPr="00496A4D">
        <w:rPr>
          <w:color w:val="000000" w:themeColor="text1"/>
        </w:rPr>
        <w:fldChar w:fldCharType="begin"/>
      </w:r>
      <w:r w:rsidRPr="00A52AB8">
        <w:rPr>
          <w:color w:val="000000" w:themeColor="text1"/>
        </w:rPr>
        <w:instrText xml:space="preserve"> REF _Ref47526217 \r \h </w:instrText>
      </w:r>
      <w:r w:rsidR="006371AA"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3.62</w:t>
      </w:r>
      <w:r w:rsidRPr="00496A4D">
        <w:rPr>
          <w:color w:val="000000" w:themeColor="text1"/>
        </w:rPr>
        <w:fldChar w:fldCharType="end"/>
      </w:r>
      <w:r w:rsidRPr="00A52AB8">
        <w:rPr>
          <w:color w:val="000000" w:themeColor="text1"/>
        </w:rPr>
        <w:t xml:space="preserve">), </w:t>
      </w:r>
      <w:r w:rsidRPr="00A52AB8">
        <w:t xml:space="preserve">or </w:t>
      </w:r>
      <w:r w:rsidRPr="00A52AB8">
        <w:rPr>
          <w:i/>
          <w:iCs/>
          <w:color w:val="000000" w:themeColor="text1"/>
        </w:rPr>
        <w:t>attribute</w:t>
      </w:r>
      <w:r w:rsidRPr="00A52AB8">
        <w:rPr>
          <w:color w:val="000000" w:themeColor="text1"/>
        </w:rPr>
        <w:t xml:space="preserve"> (</w:t>
      </w:r>
      <w:r w:rsidR="00926723" w:rsidRPr="00496A4D">
        <w:fldChar w:fldCharType="begin"/>
      </w:r>
      <w:r w:rsidR="00926723" w:rsidRPr="00A52AB8">
        <w:instrText xml:space="preserve"> REF _Ref49509311 \n \h </w:instrText>
      </w:r>
      <w:r w:rsidR="008F69D5" w:rsidRPr="00A52AB8">
        <w:instrText xml:space="preserve"> \* MERGEFORMAT </w:instrText>
      </w:r>
      <w:r w:rsidR="00926723" w:rsidRPr="00496A4D">
        <w:fldChar w:fldCharType="separate"/>
      </w:r>
      <w:r w:rsidR="00507A67">
        <w:t>3.15</w:t>
      </w:r>
      <w:r w:rsidR="00926723" w:rsidRPr="00496A4D">
        <w:fldChar w:fldCharType="end"/>
      </w:r>
      <w:r w:rsidRPr="00A52AB8">
        <w:rPr>
          <w:color w:val="000000" w:themeColor="text1"/>
        </w:rPr>
        <w:t xml:space="preserve">) </w:t>
      </w:r>
      <w:r w:rsidRPr="00A52AB8">
        <w:rPr>
          <w:iCs/>
        </w:rPr>
        <w:t xml:space="preserve">of a particular type that is associated with a V3C </w:t>
      </w:r>
      <w:r w:rsidRPr="00A52AB8">
        <w:rPr>
          <w:rFonts w:cs="Calibri"/>
        </w:rPr>
        <w:t>volumetric content</w:t>
      </w:r>
      <w:r w:rsidRPr="00A52AB8">
        <w:rPr>
          <w:iCs/>
        </w:rPr>
        <w:t xml:space="preserve"> representation</w:t>
      </w:r>
    </w:p>
    <w:p w14:paraId="4775BC64" w14:textId="42DBFCF8" w:rsidR="00564EF6" w:rsidRPr="00A52AB8" w:rsidRDefault="00564EF6" w:rsidP="00E72F7E">
      <w:pPr>
        <w:pStyle w:val="TermHeading"/>
      </w:pPr>
    </w:p>
    <w:p w14:paraId="3E685A17" w14:textId="0ECE162C" w:rsidR="001206A5" w:rsidRPr="00A52AB8" w:rsidRDefault="001206A5" w:rsidP="00564EF6">
      <w:pPr>
        <w:pStyle w:val="Terms"/>
        <w:rPr>
          <w:color w:val="000000" w:themeColor="text1"/>
        </w:rPr>
      </w:pPr>
      <w:r w:rsidRPr="00A52AB8">
        <w:rPr>
          <w:color w:val="000000" w:themeColor="text1"/>
        </w:rPr>
        <w:t>video-based visual volumetric coding component frame</w:t>
      </w:r>
    </w:p>
    <w:p w14:paraId="0AC930DB" w14:textId="15C19470" w:rsidR="00564EF6" w:rsidRPr="00A52AB8" w:rsidRDefault="00564EF6" w:rsidP="00564EF6">
      <w:pPr>
        <w:pStyle w:val="Terms"/>
        <w:rPr>
          <w:color w:val="000000" w:themeColor="text1"/>
        </w:rPr>
      </w:pPr>
      <w:r w:rsidRPr="00A52AB8">
        <w:rPr>
          <w:color w:val="000000" w:themeColor="text1"/>
        </w:rPr>
        <w:t>V3C component frame</w:t>
      </w:r>
    </w:p>
    <w:p w14:paraId="0EF83235" w14:textId="588159FF" w:rsidR="00564EF6" w:rsidRPr="00A52AB8" w:rsidRDefault="00564EF6" w:rsidP="00564EF6">
      <w:pPr>
        <w:pStyle w:val="Definition"/>
      </w:pPr>
      <w:r w:rsidRPr="00A52AB8">
        <w:t xml:space="preserve">single </w:t>
      </w:r>
      <w:r w:rsidRPr="00A52AB8">
        <w:rPr>
          <w:i/>
          <w:iCs/>
          <w:color w:val="000000" w:themeColor="text1"/>
        </w:rPr>
        <w:t>V3C component</w:t>
      </w:r>
      <w:r w:rsidRPr="00A52AB8">
        <w:rPr>
          <w:color w:val="000000" w:themeColor="text1"/>
        </w:rPr>
        <w:t xml:space="preserve"> (</w:t>
      </w:r>
      <w:r w:rsidRPr="00496A4D">
        <w:rPr>
          <w:color w:val="000000" w:themeColor="text1"/>
        </w:rPr>
        <w:fldChar w:fldCharType="begin"/>
      </w:r>
      <w:r w:rsidRPr="00A52AB8">
        <w:rPr>
          <w:color w:val="000000" w:themeColor="text1"/>
        </w:rPr>
        <w:instrText xml:space="preserve"> REF _Ref47525972 \r \h </w:instrText>
      </w:r>
      <w:r w:rsidR="006371AA"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3.139</w:t>
      </w:r>
      <w:r w:rsidRPr="00496A4D">
        <w:rPr>
          <w:color w:val="000000" w:themeColor="text1"/>
        </w:rPr>
        <w:fldChar w:fldCharType="end"/>
      </w:r>
      <w:r w:rsidRPr="00A52AB8">
        <w:t>) pertaining to one particular output time</w:t>
      </w:r>
    </w:p>
    <w:p w14:paraId="62AAE62E" w14:textId="77777777" w:rsidR="00564EF6" w:rsidRPr="00A52AB8" w:rsidRDefault="00564EF6" w:rsidP="00E72F7E">
      <w:pPr>
        <w:pStyle w:val="TermHeading"/>
      </w:pPr>
      <w:bookmarkStart w:id="105" w:name="_Ref47525772"/>
    </w:p>
    <w:bookmarkEnd w:id="105"/>
    <w:p w14:paraId="04E4ACAA" w14:textId="2E05936D" w:rsidR="001206A5" w:rsidRPr="00A52AB8" w:rsidRDefault="001206A5" w:rsidP="00564EF6">
      <w:pPr>
        <w:pStyle w:val="Terms"/>
        <w:rPr>
          <w:color w:val="000000" w:themeColor="text1"/>
        </w:rPr>
      </w:pPr>
      <w:r w:rsidRPr="00A52AB8">
        <w:rPr>
          <w:color w:val="000000" w:themeColor="text1"/>
        </w:rPr>
        <w:t>video-based visual volumetric coding composition unit</w:t>
      </w:r>
    </w:p>
    <w:p w14:paraId="514D6520" w14:textId="5019B294" w:rsidR="00564EF6" w:rsidRPr="00A52AB8" w:rsidRDefault="00564EF6" w:rsidP="00564EF6">
      <w:pPr>
        <w:pStyle w:val="Terms"/>
        <w:rPr>
          <w:color w:val="000000" w:themeColor="text1"/>
        </w:rPr>
      </w:pPr>
      <w:r w:rsidRPr="00A52AB8">
        <w:rPr>
          <w:color w:val="000000" w:themeColor="text1"/>
        </w:rPr>
        <w:t>V3C composition unit</w:t>
      </w:r>
    </w:p>
    <w:p w14:paraId="212D647A" w14:textId="6BB471B0" w:rsidR="00564EF6" w:rsidRPr="00A52AB8" w:rsidRDefault="00564EF6" w:rsidP="00564EF6">
      <w:pPr>
        <w:pStyle w:val="Definition"/>
      </w:pPr>
      <w:r w:rsidRPr="00A52AB8">
        <w:t xml:space="preserve">set of all </w:t>
      </w:r>
      <w:r w:rsidRPr="00A52AB8">
        <w:rPr>
          <w:i/>
          <w:iCs/>
          <w:color w:val="000000" w:themeColor="text1"/>
        </w:rPr>
        <w:t xml:space="preserve">sub-bitstream composition units </w:t>
      </w:r>
      <w:r w:rsidRPr="00A52AB8">
        <w:rPr>
          <w:color w:val="000000" w:themeColor="text1"/>
        </w:rPr>
        <w:t>(</w:t>
      </w:r>
      <w:r w:rsidR="00CC1144" w:rsidRPr="00496A4D">
        <w:rPr>
          <w:color w:val="000000" w:themeColor="text1"/>
        </w:rPr>
        <w:fldChar w:fldCharType="begin"/>
      </w:r>
      <w:r w:rsidR="00CC1144" w:rsidRPr="00A52AB8">
        <w:rPr>
          <w:color w:val="000000" w:themeColor="text1"/>
        </w:rPr>
        <w:instrText xml:space="preserve"> REF  _Ref47524886 \h \r  \* MERGEFORMAT </w:instrText>
      </w:r>
      <w:r w:rsidR="00CC1144" w:rsidRPr="00496A4D">
        <w:rPr>
          <w:color w:val="000000" w:themeColor="text1"/>
        </w:rPr>
      </w:r>
      <w:r w:rsidR="00CC1144" w:rsidRPr="00496A4D">
        <w:rPr>
          <w:color w:val="000000" w:themeColor="text1"/>
        </w:rPr>
        <w:fldChar w:fldCharType="separate"/>
      </w:r>
      <w:r w:rsidR="00507A67">
        <w:rPr>
          <w:color w:val="000000" w:themeColor="text1"/>
        </w:rPr>
        <w:t>3.118</w:t>
      </w:r>
      <w:r w:rsidR="00CC1144" w:rsidRPr="00496A4D">
        <w:rPr>
          <w:color w:val="000000" w:themeColor="text1"/>
        </w:rPr>
        <w:fldChar w:fldCharType="end"/>
      </w:r>
      <w:r w:rsidRPr="00A52AB8">
        <w:rPr>
          <w:color w:val="000000" w:themeColor="text1"/>
        </w:rPr>
        <w:t>)</w:t>
      </w:r>
      <w:r w:rsidRPr="00A52AB8">
        <w:rPr>
          <w:i/>
          <w:iCs/>
          <w:color w:val="000000" w:themeColor="text1"/>
        </w:rPr>
        <w:t xml:space="preserve"> </w:t>
      </w:r>
      <w:r w:rsidRPr="00A52AB8">
        <w:t xml:space="preserve">that share the same </w:t>
      </w:r>
      <w:r w:rsidRPr="00A52AB8">
        <w:rPr>
          <w:i/>
          <w:iCs/>
        </w:rPr>
        <w:t>composition time</w:t>
      </w:r>
      <w:r w:rsidR="008D3215" w:rsidRPr="00A52AB8">
        <w:t xml:space="preserve"> (</w:t>
      </w:r>
      <w:r w:rsidR="008D3215" w:rsidRPr="00496A4D">
        <w:fldChar w:fldCharType="begin"/>
      </w:r>
      <w:r w:rsidR="008D3215" w:rsidRPr="00A52AB8">
        <w:instrText xml:space="preserve"> REF _Ref49803120 \r \h </w:instrText>
      </w:r>
      <w:r w:rsidR="007478BA" w:rsidRPr="00A52AB8">
        <w:instrText xml:space="preserve"> \* MERGEFORMAT </w:instrText>
      </w:r>
      <w:r w:rsidR="008D3215" w:rsidRPr="00496A4D">
        <w:fldChar w:fldCharType="separate"/>
      </w:r>
      <w:r w:rsidR="00507A67">
        <w:t>3.50</w:t>
      </w:r>
      <w:r w:rsidR="008D3215" w:rsidRPr="00496A4D">
        <w:fldChar w:fldCharType="end"/>
      </w:r>
      <w:r w:rsidR="008D3215" w:rsidRPr="00A52AB8">
        <w:t>)</w:t>
      </w:r>
      <w:r w:rsidRPr="00A52AB8">
        <w:t xml:space="preserve">, where one of the </w:t>
      </w:r>
      <w:r w:rsidRPr="00A52AB8">
        <w:rPr>
          <w:i/>
          <w:iCs/>
        </w:rPr>
        <w:t>sub-bitstream composition units</w:t>
      </w:r>
      <w:r w:rsidRPr="00A52AB8">
        <w:t xml:space="preserve"> </w:t>
      </w:r>
      <w:r w:rsidR="00663CA9" w:rsidRPr="00A52AB8">
        <w:rPr>
          <w:color w:val="000000" w:themeColor="text1"/>
        </w:rPr>
        <w:t>(</w:t>
      </w:r>
      <w:r w:rsidR="00663CA9" w:rsidRPr="00496A4D">
        <w:rPr>
          <w:color w:val="000000" w:themeColor="text1"/>
        </w:rPr>
        <w:fldChar w:fldCharType="begin"/>
      </w:r>
      <w:r w:rsidR="00663CA9" w:rsidRPr="00A52AB8">
        <w:rPr>
          <w:color w:val="000000" w:themeColor="text1"/>
        </w:rPr>
        <w:instrText xml:space="preserve"> REF _Ref47524886 \r \h  </w:instrText>
      </w:r>
      <w:r w:rsidR="008F69D5" w:rsidRPr="00A52AB8">
        <w:rPr>
          <w:color w:val="000000" w:themeColor="text1"/>
        </w:rPr>
        <w:instrText xml:space="preserve"> \* MERGEFORMAT </w:instrText>
      </w:r>
      <w:r w:rsidR="00663CA9" w:rsidRPr="00496A4D">
        <w:rPr>
          <w:color w:val="000000" w:themeColor="text1"/>
        </w:rPr>
      </w:r>
      <w:r w:rsidR="00663CA9" w:rsidRPr="00496A4D">
        <w:rPr>
          <w:color w:val="000000" w:themeColor="text1"/>
        </w:rPr>
        <w:fldChar w:fldCharType="separate"/>
      </w:r>
      <w:r w:rsidR="00507A67">
        <w:rPr>
          <w:color w:val="000000" w:themeColor="text1"/>
        </w:rPr>
        <w:t>3.118</w:t>
      </w:r>
      <w:r w:rsidR="00663CA9" w:rsidRPr="00496A4D">
        <w:rPr>
          <w:color w:val="000000" w:themeColor="text1"/>
        </w:rPr>
        <w:fldChar w:fldCharType="end"/>
      </w:r>
      <w:r w:rsidR="00663CA9" w:rsidRPr="00A52AB8">
        <w:rPr>
          <w:color w:val="000000" w:themeColor="text1"/>
        </w:rPr>
        <w:t xml:space="preserve">) </w:t>
      </w:r>
      <w:r w:rsidRPr="00A52AB8">
        <w:t xml:space="preserve">is a </w:t>
      </w:r>
      <w:r w:rsidRPr="00A52AB8">
        <w:rPr>
          <w:i/>
          <w:iCs/>
        </w:rPr>
        <w:t>coded atlas access unit</w:t>
      </w:r>
      <w:r w:rsidRPr="00A52AB8">
        <w:t xml:space="preserve"> (</w:t>
      </w:r>
      <w:r w:rsidRPr="00496A4D">
        <w:fldChar w:fldCharType="begin"/>
      </w:r>
      <w:r w:rsidRPr="00A52AB8">
        <w:instrText xml:space="preserve"> REF _Ref47525180 \r \h </w:instrText>
      </w:r>
      <w:r w:rsidR="006371AA" w:rsidRPr="00A52AB8">
        <w:instrText xml:space="preserve"> \* MERGEFORMAT </w:instrText>
      </w:r>
      <w:r w:rsidRPr="00496A4D">
        <w:fldChar w:fldCharType="separate"/>
      </w:r>
      <w:r w:rsidR="00507A67">
        <w:t>3.35</w:t>
      </w:r>
      <w:r w:rsidRPr="00496A4D">
        <w:fldChar w:fldCharType="end"/>
      </w:r>
      <w:r w:rsidRPr="00A52AB8">
        <w:t>)</w:t>
      </w:r>
    </w:p>
    <w:p w14:paraId="65746CB7" w14:textId="77777777" w:rsidR="00564EF6" w:rsidRPr="00A52AB8" w:rsidRDefault="00564EF6" w:rsidP="00E72F7E">
      <w:pPr>
        <w:pStyle w:val="TermHeading"/>
      </w:pPr>
      <w:bookmarkStart w:id="106" w:name="_Ref47525745"/>
    </w:p>
    <w:bookmarkEnd w:id="106"/>
    <w:p w14:paraId="75E724E2" w14:textId="4B939FF8" w:rsidR="001206A5" w:rsidRPr="00A52AB8" w:rsidRDefault="001206A5" w:rsidP="00564EF6">
      <w:pPr>
        <w:pStyle w:val="Terms"/>
        <w:rPr>
          <w:color w:val="000000" w:themeColor="text1"/>
        </w:rPr>
      </w:pPr>
      <w:r w:rsidRPr="00A52AB8">
        <w:rPr>
          <w:color w:val="000000" w:themeColor="text1"/>
        </w:rPr>
        <w:t>video-based visual volumetric coding IRAP composition unit</w:t>
      </w:r>
    </w:p>
    <w:p w14:paraId="3E7BA4DD" w14:textId="667A1E3E" w:rsidR="00564EF6" w:rsidRPr="00A52AB8" w:rsidRDefault="00564EF6" w:rsidP="00564EF6">
      <w:pPr>
        <w:pStyle w:val="Terms"/>
        <w:rPr>
          <w:color w:val="000000" w:themeColor="text1"/>
        </w:rPr>
      </w:pPr>
      <w:r w:rsidRPr="00A52AB8">
        <w:rPr>
          <w:color w:val="000000" w:themeColor="text1"/>
        </w:rPr>
        <w:t>V3C IRAP composition unit</w:t>
      </w:r>
    </w:p>
    <w:p w14:paraId="287079D8" w14:textId="09306869" w:rsidR="00564EF6" w:rsidRPr="00A52AB8" w:rsidRDefault="00564EF6" w:rsidP="00564EF6">
      <w:pPr>
        <w:pStyle w:val="Definition"/>
      </w:pPr>
      <w:r w:rsidRPr="00A52AB8">
        <w:rPr>
          <w:i/>
          <w:iCs/>
          <w:color w:val="000000" w:themeColor="text1"/>
        </w:rPr>
        <w:t>V3C composition unit</w:t>
      </w:r>
      <w:r w:rsidRPr="00A52AB8">
        <w:rPr>
          <w:color w:val="000000" w:themeColor="text1"/>
        </w:rPr>
        <w:t xml:space="preserve"> (</w:t>
      </w:r>
      <w:r w:rsidRPr="00496A4D">
        <w:rPr>
          <w:color w:val="000000" w:themeColor="text1"/>
        </w:rPr>
        <w:fldChar w:fldCharType="begin"/>
      </w:r>
      <w:r w:rsidRPr="00A52AB8">
        <w:rPr>
          <w:color w:val="000000" w:themeColor="text1"/>
        </w:rPr>
        <w:instrText xml:space="preserve"> REF _Ref47525772 \r \h </w:instrText>
      </w:r>
      <w:r w:rsidR="006371AA"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3.141</w:t>
      </w:r>
      <w:r w:rsidRPr="00496A4D">
        <w:rPr>
          <w:color w:val="000000" w:themeColor="text1"/>
        </w:rPr>
        <w:fldChar w:fldCharType="end"/>
      </w:r>
      <w:r w:rsidRPr="00A52AB8">
        <w:rPr>
          <w:color w:val="000000" w:themeColor="text1"/>
        </w:rPr>
        <w:t xml:space="preserve">) </w:t>
      </w:r>
      <w:r w:rsidRPr="00A52AB8">
        <w:t xml:space="preserve">for which all </w:t>
      </w:r>
      <w:r w:rsidRPr="00A52AB8">
        <w:rPr>
          <w:i/>
          <w:iCs/>
          <w:color w:val="000000" w:themeColor="text1"/>
        </w:rPr>
        <w:t>sub-bitstream composition units</w:t>
      </w:r>
      <w:r w:rsidRPr="00A52AB8">
        <w:rPr>
          <w:color w:val="000000" w:themeColor="text1"/>
        </w:rPr>
        <w:t xml:space="preserve"> (</w:t>
      </w:r>
      <w:r w:rsidRPr="00496A4D">
        <w:rPr>
          <w:color w:val="000000" w:themeColor="text1"/>
        </w:rPr>
        <w:fldChar w:fldCharType="begin"/>
      </w:r>
      <w:r w:rsidRPr="00A52AB8">
        <w:rPr>
          <w:color w:val="000000" w:themeColor="text1"/>
        </w:rPr>
        <w:instrText xml:space="preserve"> REF _Ref47524886 \r \h </w:instrText>
      </w:r>
      <w:r w:rsidR="006371AA"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3.118</w:t>
      </w:r>
      <w:r w:rsidRPr="00496A4D">
        <w:rPr>
          <w:color w:val="000000" w:themeColor="text1"/>
        </w:rPr>
        <w:fldChar w:fldCharType="end"/>
      </w:r>
      <w:r w:rsidRPr="00A52AB8">
        <w:rPr>
          <w:color w:val="000000" w:themeColor="text1"/>
        </w:rPr>
        <w:t xml:space="preserve">) </w:t>
      </w:r>
      <w:r w:rsidRPr="00A52AB8">
        <w:t xml:space="preserve">are </w:t>
      </w:r>
      <w:r w:rsidR="00D428EE" w:rsidRPr="00A52AB8">
        <w:t xml:space="preserve">sub-bitsteam </w:t>
      </w:r>
      <w:r w:rsidRPr="00A52AB8">
        <w:t>IRAP composition units</w:t>
      </w:r>
      <w:r w:rsidR="00D428EE" w:rsidRPr="00A52AB8">
        <w:t xml:space="preserve"> (</w:t>
      </w:r>
      <w:r w:rsidR="00D428EE" w:rsidRPr="00496A4D">
        <w:fldChar w:fldCharType="begin"/>
      </w:r>
      <w:r w:rsidR="00D428EE" w:rsidRPr="00A52AB8">
        <w:instrText xml:space="preserve"> REF _Ref47525804 \n \h </w:instrText>
      </w:r>
      <w:r w:rsidR="008F69D5" w:rsidRPr="00A52AB8">
        <w:instrText xml:space="preserve"> \* MERGEFORMAT </w:instrText>
      </w:r>
      <w:r w:rsidR="00D428EE" w:rsidRPr="00496A4D">
        <w:fldChar w:fldCharType="separate"/>
      </w:r>
      <w:r w:rsidR="00507A67">
        <w:t>3.119</w:t>
      </w:r>
      <w:r w:rsidR="00D428EE" w:rsidRPr="00496A4D">
        <w:fldChar w:fldCharType="end"/>
      </w:r>
      <w:r w:rsidR="00D428EE" w:rsidRPr="00A52AB8">
        <w:t>)</w:t>
      </w:r>
      <w:r w:rsidRPr="00A52AB8">
        <w:t xml:space="preserve">, where one of the sub-bitstream composition units </w:t>
      </w:r>
      <w:r w:rsidR="00663CA9" w:rsidRPr="00A52AB8">
        <w:t>(</w:t>
      </w:r>
      <w:r w:rsidR="00663CA9" w:rsidRPr="00496A4D">
        <w:fldChar w:fldCharType="begin"/>
      </w:r>
      <w:r w:rsidR="00663CA9" w:rsidRPr="00A52AB8">
        <w:instrText xml:space="preserve"> REF _Ref47524886 \n \h </w:instrText>
      </w:r>
      <w:r w:rsidR="008F69D5" w:rsidRPr="00A52AB8">
        <w:instrText xml:space="preserve"> \* MERGEFORMAT </w:instrText>
      </w:r>
      <w:r w:rsidR="00663CA9" w:rsidRPr="00496A4D">
        <w:fldChar w:fldCharType="separate"/>
      </w:r>
      <w:r w:rsidR="00507A67">
        <w:t>3.118</w:t>
      </w:r>
      <w:r w:rsidR="00663CA9" w:rsidRPr="00496A4D">
        <w:fldChar w:fldCharType="end"/>
      </w:r>
      <w:r w:rsidR="00663CA9" w:rsidRPr="00A52AB8">
        <w:t xml:space="preserve">) </w:t>
      </w:r>
      <w:r w:rsidRPr="00A52AB8">
        <w:t xml:space="preserve">is </w:t>
      </w:r>
      <w:r w:rsidR="008D3215" w:rsidRPr="00A52AB8">
        <w:t xml:space="preserve">a </w:t>
      </w:r>
      <w:r w:rsidRPr="00A52AB8">
        <w:t xml:space="preserve">coded atlas access unit </w:t>
      </w:r>
      <w:r w:rsidR="00D428EE" w:rsidRPr="00A52AB8">
        <w:t>(</w:t>
      </w:r>
      <w:r w:rsidR="00D428EE" w:rsidRPr="00496A4D">
        <w:fldChar w:fldCharType="begin"/>
      </w:r>
      <w:r w:rsidR="00D428EE" w:rsidRPr="00A52AB8">
        <w:instrText xml:space="preserve"> REF _Ref47525180 \n \h </w:instrText>
      </w:r>
      <w:r w:rsidR="008F69D5" w:rsidRPr="00A52AB8">
        <w:instrText xml:space="preserve"> \* MERGEFORMAT </w:instrText>
      </w:r>
      <w:r w:rsidR="00D428EE" w:rsidRPr="00496A4D">
        <w:fldChar w:fldCharType="separate"/>
      </w:r>
      <w:r w:rsidR="00507A67">
        <w:t>3.35</w:t>
      </w:r>
      <w:r w:rsidR="00D428EE" w:rsidRPr="00496A4D">
        <w:fldChar w:fldCharType="end"/>
      </w:r>
      <w:r w:rsidR="00D428EE" w:rsidRPr="00A52AB8">
        <w:t xml:space="preserve">) </w:t>
      </w:r>
      <w:r w:rsidRPr="00A52AB8">
        <w:t xml:space="preserve">for which each ACL NAL </w:t>
      </w:r>
      <w:r w:rsidR="00D428EE" w:rsidRPr="00A52AB8">
        <w:t>unit (</w:t>
      </w:r>
      <w:r w:rsidR="00D428EE" w:rsidRPr="00496A4D">
        <w:fldChar w:fldCharType="begin"/>
      </w:r>
      <w:r w:rsidR="00D428EE" w:rsidRPr="00A52AB8">
        <w:instrText xml:space="preserve"> REF _Ref49013819 \n \h </w:instrText>
      </w:r>
      <w:r w:rsidR="008F69D5" w:rsidRPr="00A52AB8">
        <w:instrText xml:space="preserve"> \* MERGEFORMAT </w:instrText>
      </w:r>
      <w:r w:rsidR="00D428EE" w:rsidRPr="00496A4D">
        <w:fldChar w:fldCharType="separate"/>
      </w:r>
      <w:r w:rsidR="00507A67">
        <w:t>3.6</w:t>
      </w:r>
      <w:r w:rsidR="00D428EE" w:rsidRPr="00496A4D">
        <w:fldChar w:fldCharType="end"/>
      </w:r>
      <w:r w:rsidR="00D428EE" w:rsidRPr="00A52AB8">
        <w:t xml:space="preserve">) </w:t>
      </w:r>
      <w:r w:rsidRPr="00A52AB8">
        <w:t>has nal_unit_type in the range of NAL_GBLA_W_LP to NAL_GBLA_N_LP, or is in the range of NAL_GIDR_W_RADL to NAL_GIDR_N_LP, or is equal to NAL_GCRA, inclusive</w:t>
      </w:r>
    </w:p>
    <w:p w14:paraId="7DFF18D9" w14:textId="77777777" w:rsidR="00564EF6" w:rsidRPr="00A52AB8" w:rsidRDefault="00564EF6" w:rsidP="00E72F7E">
      <w:pPr>
        <w:pStyle w:val="TermHeading"/>
      </w:pPr>
      <w:bookmarkStart w:id="107" w:name="_Ref47524909"/>
    </w:p>
    <w:bookmarkEnd w:id="107"/>
    <w:p w14:paraId="33A90040" w14:textId="47B26F63" w:rsidR="001206A5" w:rsidRPr="00A52AB8" w:rsidRDefault="001206A5" w:rsidP="00564EF6">
      <w:pPr>
        <w:pStyle w:val="Terms"/>
        <w:rPr>
          <w:color w:val="000000" w:themeColor="text1"/>
        </w:rPr>
      </w:pPr>
      <w:r w:rsidRPr="00A52AB8">
        <w:rPr>
          <w:color w:val="000000" w:themeColor="text1"/>
        </w:rPr>
        <w:t>video-based visual volumetric coding sub-bitstream</w:t>
      </w:r>
    </w:p>
    <w:p w14:paraId="3E6944AD" w14:textId="19F6FF33" w:rsidR="00564EF6" w:rsidRPr="00A52AB8" w:rsidRDefault="00564EF6" w:rsidP="00564EF6">
      <w:pPr>
        <w:pStyle w:val="Terms"/>
        <w:rPr>
          <w:color w:val="000000" w:themeColor="text1"/>
        </w:rPr>
      </w:pPr>
      <w:r w:rsidRPr="00A52AB8">
        <w:rPr>
          <w:color w:val="000000" w:themeColor="text1"/>
        </w:rPr>
        <w:t>V3C sub-bitstream</w:t>
      </w:r>
    </w:p>
    <w:p w14:paraId="677C86D3" w14:textId="43238896" w:rsidR="00564EF6" w:rsidRPr="00A52AB8" w:rsidRDefault="00564EF6" w:rsidP="00564EF6">
      <w:pPr>
        <w:pStyle w:val="Definition"/>
      </w:pPr>
      <w:r w:rsidRPr="00A52AB8">
        <w:rPr>
          <w:i/>
          <w:iCs/>
        </w:rPr>
        <w:t>sub-bitstream</w:t>
      </w:r>
      <w:r w:rsidRPr="00A52AB8">
        <w:t xml:space="preserve"> (</w:t>
      </w:r>
      <w:r w:rsidRPr="00496A4D">
        <w:fldChar w:fldCharType="begin"/>
      </w:r>
      <w:r w:rsidRPr="00A52AB8">
        <w:instrText xml:space="preserve"> REF _Ref47524811 \r \h </w:instrText>
      </w:r>
      <w:r w:rsidR="006371AA" w:rsidRPr="00A52AB8">
        <w:instrText xml:space="preserve"> \* MERGEFORMAT </w:instrText>
      </w:r>
      <w:r w:rsidRPr="00496A4D">
        <w:fldChar w:fldCharType="separate"/>
      </w:r>
      <w:r w:rsidR="00507A67">
        <w:t>3.117</w:t>
      </w:r>
      <w:r w:rsidRPr="00496A4D">
        <w:fldChar w:fldCharType="end"/>
      </w:r>
      <w:r w:rsidRPr="00A52AB8">
        <w:t xml:space="preserve">) of a </w:t>
      </w:r>
      <w:r w:rsidRPr="00A52AB8">
        <w:rPr>
          <w:i/>
          <w:iCs/>
        </w:rPr>
        <w:t>V3C bitstream</w:t>
      </w:r>
      <w:r w:rsidRPr="00A52AB8">
        <w:t xml:space="preserve"> (</w:t>
      </w:r>
      <w:r w:rsidRPr="00496A4D">
        <w:fldChar w:fldCharType="begin"/>
      </w:r>
      <w:r w:rsidRPr="00A52AB8">
        <w:instrText xml:space="preserve"> REF _Ref47524821 \r \h </w:instrText>
      </w:r>
      <w:r w:rsidR="006371AA" w:rsidRPr="00A52AB8">
        <w:instrText xml:space="preserve"> \* MERGEFORMAT </w:instrText>
      </w:r>
      <w:r w:rsidRPr="00496A4D">
        <w:fldChar w:fldCharType="separate"/>
      </w:r>
      <w:r w:rsidR="00507A67">
        <w:t>3.138</w:t>
      </w:r>
      <w:r w:rsidRPr="00496A4D">
        <w:fldChar w:fldCharType="end"/>
      </w:r>
      <w:r w:rsidRPr="00A52AB8">
        <w:t xml:space="preserve">) corresponding to a </w:t>
      </w:r>
      <w:r w:rsidRPr="00A52AB8">
        <w:rPr>
          <w:i/>
          <w:iCs/>
          <w:color w:val="000000" w:themeColor="text1"/>
        </w:rPr>
        <w:t>V3C component</w:t>
      </w:r>
      <w:r w:rsidRPr="00A52AB8">
        <w:rPr>
          <w:color w:val="000000" w:themeColor="text1"/>
        </w:rPr>
        <w:t xml:space="preserve"> (</w:t>
      </w:r>
      <w:r w:rsidRPr="00496A4D">
        <w:rPr>
          <w:color w:val="000000" w:themeColor="text1"/>
        </w:rPr>
        <w:fldChar w:fldCharType="begin"/>
      </w:r>
      <w:r w:rsidRPr="00A52AB8">
        <w:rPr>
          <w:color w:val="000000" w:themeColor="text1"/>
        </w:rPr>
        <w:instrText xml:space="preserve"> REF _Ref47525972 \r \h </w:instrText>
      </w:r>
      <w:r w:rsidR="006371AA"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3.139</w:t>
      </w:r>
      <w:r w:rsidRPr="00496A4D">
        <w:rPr>
          <w:color w:val="000000" w:themeColor="text1"/>
        </w:rPr>
        <w:fldChar w:fldCharType="end"/>
      </w:r>
      <w:r w:rsidRPr="00A52AB8">
        <w:t>)</w:t>
      </w:r>
    </w:p>
    <w:p w14:paraId="2F4D2EA9" w14:textId="77777777" w:rsidR="00564EF6" w:rsidRPr="00A52AB8" w:rsidRDefault="00564EF6" w:rsidP="00E72F7E">
      <w:pPr>
        <w:pStyle w:val="TermHeading"/>
      </w:pPr>
      <w:bookmarkStart w:id="108" w:name="_Ref50642568"/>
    </w:p>
    <w:bookmarkEnd w:id="108"/>
    <w:p w14:paraId="12E46538" w14:textId="73074749" w:rsidR="001206A5" w:rsidRPr="00A52AB8" w:rsidRDefault="001206A5" w:rsidP="00564EF6">
      <w:pPr>
        <w:pStyle w:val="Terms"/>
        <w:rPr>
          <w:color w:val="000000" w:themeColor="text1"/>
        </w:rPr>
      </w:pPr>
      <w:r w:rsidRPr="00A52AB8">
        <w:rPr>
          <w:color w:val="000000" w:themeColor="text1"/>
        </w:rPr>
        <w:t>video-based visual volumetric coding parameter set</w:t>
      </w:r>
    </w:p>
    <w:p w14:paraId="3F03D359" w14:textId="3143D8E4" w:rsidR="00564EF6" w:rsidRPr="00A52AB8" w:rsidRDefault="00564EF6" w:rsidP="00564EF6">
      <w:pPr>
        <w:pStyle w:val="Terms"/>
        <w:rPr>
          <w:color w:val="000000" w:themeColor="text1"/>
        </w:rPr>
      </w:pPr>
      <w:r w:rsidRPr="00A52AB8">
        <w:rPr>
          <w:color w:val="000000" w:themeColor="text1"/>
        </w:rPr>
        <w:t>V3C parameter set</w:t>
      </w:r>
    </w:p>
    <w:p w14:paraId="10CFE1E4" w14:textId="77777777" w:rsidR="00564EF6" w:rsidRPr="00A52AB8" w:rsidRDefault="00564EF6" w:rsidP="00564EF6">
      <w:pPr>
        <w:pStyle w:val="Terms"/>
        <w:rPr>
          <w:color w:val="000000" w:themeColor="text1"/>
        </w:rPr>
      </w:pPr>
      <w:r w:rsidRPr="00A52AB8">
        <w:rPr>
          <w:color w:val="000000" w:themeColor="text1"/>
        </w:rPr>
        <w:t>VPS</w:t>
      </w:r>
    </w:p>
    <w:p w14:paraId="1219922A" w14:textId="010ECC95" w:rsidR="00564EF6" w:rsidRPr="00A52AB8" w:rsidRDefault="00564EF6" w:rsidP="00564EF6">
      <w:pPr>
        <w:pStyle w:val="Definition"/>
        <w:rPr>
          <w:i/>
          <w:iCs/>
        </w:rPr>
      </w:pPr>
      <w:r w:rsidRPr="00A52AB8">
        <w:rPr>
          <w:i/>
          <w:iCs/>
          <w:color w:val="000000" w:themeColor="text1"/>
        </w:rPr>
        <w:t>syntax structure</w:t>
      </w:r>
      <w:r w:rsidRPr="00A52AB8">
        <w:rPr>
          <w:color w:val="000000" w:themeColor="text1"/>
        </w:rPr>
        <w:t xml:space="preserve"> (</w:t>
      </w:r>
      <w:r w:rsidRPr="00496A4D">
        <w:rPr>
          <w:color w:val="000000" w:themeColor="text1"/>
        </w:rPr>
        <w:fldChar w:fldCharType="begin"/>
      </w:r>
      <w:r w:rsidRPr="00A52AB8">
        <w:rPr>
          <w:color w:val="000000" w:themeColor="text1"/>
        </w:rPr>
        <w:instrText xml:space="preserve"> REF _Ref47526553 \r \h </w:instrText>
      </w:r>
      <w:r w:rsidR="006371AA"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3.129</w:t>
      </w:r>
      <w:r w:rsidRPr="00496A4D">
        <w:rPr>
          <w:color w:val="000000" w:themeColor="text1"/>
        </w:rPr>
        <w:fldChar w:fldCharType="end"/>
      </w:r>
      <w:r w:rsidRPr="00A52AB8">
        <w:rPr>
          <w:color w:val="000000" w:themeColor="text1"/>
        </w:rPr>
        <w:t xml:space="preserve">) containing </w:t>
      </w:r>
      <w:r w:rsidRPr="00A52AB8">
        <w:rPr>
          <w:i/>
          <w:iCs/>
          <w:color w:val="000000" w:themeColor="text1"/>
        </w:rPr>
        <w:t>syntax elements</w:t>
      </w:r>
      <w:r w:rsidRPr="00A52AB8">
        <w:rPr>
          <w:color w:val="000000" w:themeColor="text1"/>
        </w:rPr>
        <w:t xml:space="preserve"> (</w:t>
      </w:r>
      <w:r w:rsidRPr="00496A4D">
        <w:rPr>
          <w:color w:val="000000" w:themeColor="text1"/>
        </w:rPr>
        <w:fldChar w:fldCharType="begin"/>
      </w:r>
      <w:r w:rsidRPr="00A52AB8">
        <w:rPr>
          <w:color w:val="000000" w:themeColor="text1"/>
        </w:rPr>
        <w:instrText xml:space="preserve"> REF _Ref47525293 \r \h </w:instrText>
      </w:r>
      <w:r w:rsidR="006371AA"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3.128</w:t>
      </w:r>
      <w:r w:rsidRPr="00496A4D">
        <w:rPr>
          <w:color w:val="000000" w:themeColor="text1"/>
        </w:rPr>
        <w:fldChar w:fldCharType="end"/>
      </w:r>
      <w:r w:rsidRPr="00A52AB8">
        <w:rPr>
          <w:color w:val="000000" w:themeColor="text1"/>
        </w:rPr>
        <w:t xml:space="preserve">) that apply to zero or more entire </w:t>
      </w:r>
      <w:r w:rsidRPr="00A52AB8">
        <w:rPr>
          <w:i/>
          <w:iCs/>
          <w:color w:val="000000" w:themeColor="text1"/>
        </w:rPr>
        <w:t>CVSs</w:t>
      </w:r>
      <w:r w:rsidRPr="00A52AB8">
        <w:rPr>
          <w:color w:val="000000" w:themeColor="text1"/>
        </w:rPr>
        <w:t xml:space="preserve"> (</w:t>
      </w:r>
      <w:r w:rsidRPr="00496A4D">
        <w:rPr>
          <w:color w:val="000000" w:themeColor="text1"/>
        </w:rPr>
        <w:fldChar w:fldCharType="begin"/>
      </w:r>
      <w:r w:rsidRPr="00A52AB8">
        <w:rPr>
          <w:color w:val="000000" w:themeColor="text1"/>
        </w:rPr>
        <w:instrText xml:space="preserve"> REF _Ref47526686 \r \h </w:instrText>
      </w:r>
      <w:r w:rsidR="006371AA"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3.41</w:t>
      </w:r>
      <w:r w:rsidRPr="00496A4D">
        <w:rPr>
          <w:color w:val="000000" w:themeColor="text1"/>
        </w:rPr>
        <w:fldChar w:fldCharType="end"/>
      </w:r>
      <w:r w:rsidRPr="00A52AB8">
        <w:rPr>
          <w:color w:val="000000" w:themeColor="text1"/>
        </w:rPr>
        <w:t xml:space="preserve">) </w:t>
      </w:r>
      <w:r w:rsidR="00391548" w:rsidRPr="00A52AB8">
        <w:rPr>
          <w:color w:val="000000" w:themeColor="text1"/>
        </w:rPr>
        <w:t xml:space="preserve">and may be referred to </w:t>
      </w:r>
      <w:r w:rsidRPr="00A52AB8">
        <w:rPr>
          <w:color w:val="000000" w:themeColor="text1"/>
        </w:rPr>
        <w:t xml:space="preserve">by </w:t>
      </w:r>
      <w:r w:rsidRPr="00A52AB8">
        <w:rPr>
          <w:i/>
          <w:iCs/>
          <w:color w:val="000000" w:themeColor="text1"/>
        </w:rPr>
        <w:t>syntax element</w:t>
      </w:r>
      <w:r w:rsidR="00391548" w:rsidRPr="00A52AB8">
        <w:rPr>
          <w:i/>
          <w:iCs/>
          <w:color w:val="000000" w:themeColor="text1"/>
        </w:rPr>
        <w:t>s</w:t>
      </w:r>
      <w:r w:rsidR="00CF2A27" w:rsidRPr="00A52AB8">
        <w:rPr>
          <w:color w:val="000000" w:themeColor="text1"/>
        </w:rPr>
        <w:t xml:space="preserve"> (</w:t>
      </w:r>
      <w:r w:rsidR="00CF2A27" w:rsidRPr="00496A4D">
        <w:rPr>
          <w:color w:val="000000" w:themeColor="text1"/>
        </w:rPr>
        <w:fldChar w:fldCharType="begin"/>
      </w:r>
      <w:r w:rsidR="00CF2A27" w:rsidRPr="00A52AB8">
        <w:rPr>
          <w:color w:val="000000" w:themeColor="text1"/>
        </w:rPr>
        <w:instrText xml:space="preserve"> REF _Ref47525293 \r \h  \* MERGEFORMAT </w:instrText>
      </w:r>
      <w:r w:rsidR="00CF2A27" w:rsidRPr="00496A4D">
        <w:rPr>
          <w:color w:val="000000" w:themeColor="text1"/>
        </w:rPr>
      </w:r>
      <w:r w:rsidR="00CF2A27" w:rsidRPr="00496A4D">
        <w:rPr>
          <w:color w:val="000000" w:themeColor="text1"/>
        </w:rPr>
        <w:fldChar w:fldCharType="separate"/>
      </w:r>
      <w:r w:rsidR="00507A67">
        <w:rPr>
          <w:color w:val="000000" w:themeColor="text1"/>
        </w:rPr>
        <w:t>3.128</w:t>
      </w:r>
      <w:r w:rsidR="00CF2A27" w:rsidRPr="00496A4D">
        <w:rPr>
          <w:color w:val="000000" w:themeColor="text1"/>
        </w:rPr>
        <w:fldChar w:fldCharType="end"/>
      </w:r>
      <w:r w:rsidR="00CF2A27" w:rsidRPr="00A52AB8">
        <w:rPr>
          <w:color w:val="000000" w:themeColor="text1"/>
        </w:rPr>
        <w:t>)</w:t>
      </w:r>
      <w:r w:rsidRPr="00A52AB8">
        <w:rPr>
          <w:color w:val="000000" w:themeColor="text1"/>
        </w:rPr>
        <w:t xml:space="preserve"> found in the </w:t>
      </w:r>
      <w:r w:rsidRPr="00A52AB8">
        <w:rPr>
          <w:i/>
          <w:iCs/>
          <w:color w:val="000000" w:themeColor="text1"/>
        </w:rPr>
        <w:t>V3C unit header</w:t>
      </w:r>
      <w:r w:rsidRPr="00A52AB8">
        <w:rPr>
          <w:color w:val="000000" w:themeColor="text1"/>
        </w:rPr>
        <w:t xml:space="preserve"> (</w:t>
      </w:r>
      <w:r w:rsidRPr="00496A4D">
        <w:rPr>
          <w:color w:val="000000" w:themeColor="text1"/>
        </w:rPr>
        <w:fldChar w:fldCharType="begin"/>
      </w:r>
      <w:r w:rsidRPr="00A52AB8">
        <w:rPr>
          <w:color w:val="000000" w:themeColor="text1"/>
        </w:rPr>
        <w:instrText xml:space="preserve"> REF _Ref47526866 \r \h </w:instrText>
      </w:r>
      <w:r w:rsidR="006371AA"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3.146</w:t>
      </w:r>
      <w:r w:rsidRPr="00496A4D">
        <w:rPr>
          <w:color w:val="000000" w:themeColor="text1"/>
        </w:rPr>
        <w:fldChar w:fldCharType="end"/>
      </w:r>
      <w:r w:rsidRPr="00A52AB8">
        <w:rPr>
          <w:color w:val="000000" w:themeColor="text1"/>
        </w:rPr>
        <w:t>)</w:t>
      </w:r>
    </w:p>
    <w:p w14:paraId="7A0920C8" w14:textId="77777777" w:rsidR="00564EF6" w:rsidRPr="00A52AB8" w:rsidRDefault="00564EF6" w:rsidP="00E72F7E">
      <w:pPr>
        <w:pStyle w:val="TermHeading"/>
      </w:pPr>
      <w:bookmarkStart w:id="109" w:name="_Ref47526824"/>
    </w:p>
    <w:bookmarkEnd w:id="109"/>
    <w:p w14:paraId="533F90CF" w14:textId="56F4B796" w:rsidR="001206A5" w:rsidRPr="00A52AB8" w:rsidRDefault="001206A5" w:rsidP="00564EF6">
      <w:pPr>
        <w:pStyle w:val="Terms"/>
        <w:rPr>
          <w:color w:val="000000" w:themeColor="text1"/>
        </w:rPr>
      </w:pPr>
      <w:r w:rsidRPr="00A52AB8">
        <w:rPr>
          <w:color w:val="000000" w:themeColor="text1"/>
        </w:rPr>
        <w:t>video-based visual volumetric coding unit</w:t>
      </w:r>
    </w:p>
    <w:p w14:paraId="4B3B9C74" w14:textId="72AC3379" w:rsidR="00564EF6" w:rsidRPr="00A52AB8" w:rsidRDefault="00564EF6" w:rsidP="00564EF6">
      <w:pPr>
        <w:pStyle w:val="Terms"/>
        <w:rPr>
          <w:color w:val="000000" w:themeColor="text1"/>
        </w:rPr>
      </w:pPr>
      <w:r w:rsidRPr="00A52AB8">
        <w:rPr>
          <w:color w:val="000000" w:themeColor="text1"/>
        </w:rPr>
        <w:t>V3C unit</w:t>
      </w:r>
    </w:p>
    <w:p w14:paraId="48EDFB76" w14:textId="35ADB2D7" w:rsidR="00564EF6" w:rsidRPr="00A52AB8" w:rsidRDefault="00564EF6" w:rsidP="00564EF6">
      <w:pPr>
        <w:pStyle w:val="Definition"/>
      </w:pPr>
      <w:r w:rsidRPr="00A52AB8">
        <w:rPr>
          <w:i/>
          <w:iCs/>
          <w:color w:val="000000" w:themeColor="text1"/>
        </w:rPr>
        <w:t>syntax structure</w:t>
      </w:r>
      <w:r w:rsidRPr="00A52AB8">
        <w:rPr>
          <w:color w:val="000000" w:themeColor="text1"/>
        </w:rPr>
        <w:t xml:space="preserve"> (</w:t>
      </w:r>
      <w:r w:rsidRPr="00496A4D">
        <w:rPr>
          <w:color w:val="000000" w:themeColor="text1"/>
        </w:rPr>
        <w:fldChar w:fldCharType="begin"/>
      </w:r>
      <w:r w:rsidRPr="00A52AB8">
        <w:rPr>
          <w:color w:val="000000" w:themeColor="text1"/>
        </w:rPr>
        <w:instrText xml:space="preserve"> REF _Ref47526553 \r \h </w:instrText>
      </w:r>
      <w:r w:rsidR="006371AA"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3.129</w:t>
      </w:r>
      <w:r w:rsidRPr="00496A4D">
        <w:rPr>
          <w:color w:val="000000" w:themeColor="text1"/>
        </w:rPr>
        <w:fldChar w:fldCharType="end"/>
      </w:r>
      <w:r w:rsidRPr="00A52AB8">
        <w:rPr>
          <w:color w:val="000000" w:themeColor="text1"/>
        </w:rPr>
        <w:t xml:space="preserve">) </w:t>
      </w:r>
      <w:r w:rsidRPr="00A52AB8">
        <w:t xml:space="preserve">containing a </w:t>
      </w:r>
      <w:r w:rsidRPr="00A52AB8">
        <w:rPr>
          <w:i/>
        </w:rPr>
        <w:t>V3C unit header</w:t>
      </w:r>
      <w:r w:rsidRPr="00A52AB8">
        <w:t xml:space="preserve"> (</w:t>
      </w:r>
      <w:r w:rsidR="00605E55" w:rsidRPr="00496A4D">
        <w:fldChar w:fldCharType="begin"/>
      </w:r>
      <w:r w:rsidR="00605E55" w:rsidRPr="00A52AB8">
        <w:instrText xml:space="preserve"> REF _Ref47526866 \r \h </w:instrText>
      </w:r>
      <w:r w:rsidR="007478BA" w:rsidRPr="00A52AB8">
        <w:instrText xml:space="preserve"> \* MERGEFORMAT </w:instrText>
      </w:r>
      <w:r w:rsidR="00605E55" w:rsidRPr="00496A4D">
        <w:fldChar w:fldCharType="separate"/>
      </w:r>
      <w:r w:rsidR="00507A67">
        <w:t>3.146</w:t>
      </w:r>
      <w:r w:rsidR="00605E55" w:rsidRPr="00496A4D">
        <w:fldChar w:fldCharType="end"/>
      </w:r>
      <w:r w:rsidRPr="00A52AB8">
        <w:t xml:space="preserve">) and a </w:t>
      </w:r>
      <w:r w:rsidRPr="00A52AB8">
        <w:rPr>
          <w:i/>
        </w:rPr>
        <w:t xml:space="preserve">V3C unit payload </w:t>
      </w:r>
      <w:r w:rsidRPr="00A52AB8">
        <w:rPr>
          <w:iCs/>
        </w:rPr>
        <w:t>(</w:t>
      </w:r>
      <w:r w:rsidRPr="00496A4D">
        <w:rPr>
          <w:iCs/>
        </w:rPr>
        <w:fldChar w:fldCharType="begin"/>
      </w:r>
      <w:r w:rsidRPr="00A52AB8">
        <w:rPr>
          <w:iCs/>
        </w:rPr>
        <w:instrText xml:space="preserve"> REF _Ref47526832 \r \h </w:instrText>
      </w:r>
      <w:r w:rsidR="006371AA" w:rsidRPr="00A52AB8">
        <w:rPr>
          <w:iCs/>
        </w:rPr>
        <w:instrText xml:space="preserve"> \* MERGEFORMAT </w:instrText>
      </w:r>
      <w:r w:rsidRPr="00496A4D">
        <w:rPr>
          <w:iCs/>
        </w:rPr>
      </w:r>
      <w:r w:rsidRPr="00496A4D">
        <w:rPr>
          <w:iCs/>
        </w:rPr>
        <w:fldChar w:fldCharType="separate"/>
      </w:r>
      <w:r w:rsidR="00507A67">
        <w:rPr>
          <w:iCs/>
        </w:rPr>
        <w:t>3.147</w:t>
      </w:r>
      <w:r w:rsidRPr="00496A4D">
        <w:rPr>
          <w:iCs/>
        </w:rPr>
        <w:fldChar w:fldCharType="end"/>
      </w:r>
      <w:r w:rsidRPr="00A52AB8">
        <w:rPr>
          <w:iCs/>
        </w:rPr>
        <w:t>)</w:t>
      </w:r>
    </w:p>
    <w:p w14:paraId="6CD4B83A" w14:textId="77777777" w:rsidR="00564EF6" w:rsidRPr="00A52AB8" w:rsidRDefault="00564EF6" w:rsidP="00E72F7E">
      <w:pPr>
        <w:pStyle w:val="TermHeading"/>
      </w:pPr>
      <w:bookmarkStart w:id="110" w:name="_Ref47526866"/>
    </w:p>
    <w:bookmarkEnd w:id="110"/>
    <w:p w14:paraId="62641DA7" w14:textId="26164454" w:rsidR="001206A5" w:rsidRPr="00A52AB8" w:rsidRDefault="001206A5" w:rsidP="00564EF6">
      <w:pPr>
        <w:pStyle w:val="Terms"/>
        <w:rPr>
          <w:color w:val="000000" w:themeColor="text1"/>
        </w:rPr>
      </w:pPr>
      <w:r w:rsidRPr="00A52AB8">
        <w:rPr>
          <w:color w:val="000000" w:themeColor="text1"/>
        </w:rPr>
        <w:t>video-based visual volumetric coding unit header</w:t>
      </w:r>
    </w:p>
    <w:p w14:paraId="37AC8B85" w14:textId="38099349" w:rsidR="00564EF6" w:rsidRPr="00A52AB8" w:rsidRDefault="00564EF6" w:rsidP="00564EF6">
      <w:pPr>
        <w:pStyle w:val="Terms"/>
        <w:rPr>
          <w:color w:val="000000" w:themeColor="text1"/>
        </w:rPr>
      </w:pPr>
      <w:r w:rsidRPr="00A52AB8">
        <w:rPr>
          <w:color w:val="000000" w:themeColor="text1"/>
        </w:rPr>
        <w:t>V3C unit header</w:t>
      </w:r>
    </w:p>
    <w:p w14:paraId="659B7CC0" w14:textId="5BE0D913" w:rsidR="0050235C" w:rsidRPr="00A52AB8" w:rsidRDefault="00564EF6" w:rsidP="00564EF6">
      <w:pPr>
        <w:pStyle w:val="Definition"/>
      </w:pPr>
      <w:r w:rsidRPr="00A52AB8">
        <w:rPr>
          <w:i/>
          <w:iCs/>
          <w:color w:val="000000" w:themeColor="text1"/>
        </w:rPr>
        <w:t>syntax structure</w:t>
      </w:r>
      <w:r w:rsidRPr="00A52AB8">
        <w:rPr>
          <w:color w:val="000000" w:themeColor="text1"/>
        </w:rPr>
        <w:t xml:space="preserve"> (</w:t>
      </w:r>
      <w:r w:rsidRPr="00496A4D">
        <w:rPr>
          <w:color w:val="000000" w:themeColor="text1"/>
        </w:rPr>
        <w:fldChar w:fldCharType="begin"/>
      </w:r>
      <w:r w:rsidRPr="00A52AB8">
        <w:rPr>
          <w:color w:val="000000" w:themeColor="text1"/>
        </w:rPr>
        <w:instrText xml:space="preserve"> REF _Ref47526553 \r \h </w:instrText>
      </w:r>
      <w:r w:rsidR="006371AA"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3.129</w:t>
      </w:r>
      <w:r w:rsidRPr="00496A4D">
        <w:rPr>
          <w:color w:val="000000" w:themeColor="text1"/>
        </w:rPr>
        <w:fldChar w:fldCharType="end"/>
      </w:r>
      <w:r w:rsidRPr="00A52AB8">
        <w:rPr>
          <w:color w:val="000000" w:themeColor="text1"/>
        </w:rPr>
        <w:t xml:space="preserve">) </w:t>
      </w:r>
      <w:r w:rsidRPr="00A52AB8">
        <w:t>containing an indication of the type of data to follow</w:t>
      </w:r>
    </w:p>
    <w:p w14:paraId="23224B6D" w14:textId="527ECD6C" w:rsidR="00564EF6" w:rsidRPr="00A52AB8" w:rsidRDefault="00564EF6" w:rsidP="00E72F7E">
      <w:pPr>
        <w:pStyle w:val="TermHeading"/>
      </w:pPr>
      <w:bookmarkStart w:id="111" w:name="_Ref47526832"/>
    </w:p>
    <w:bookmarkEnd w:id="111"/>
    <w:p w14:paraId="6E3F5CC2" w14:textId="244BD70D" w:rsidR="001206A5" w:rsidRPr="00A52AB8" w:rsidRDefault="001206A5" w:rsidP="00564EF6">
      <w:pPr>
        <w:pStyle w:val="Terms"/>
        <w:rPr>
          <w:color w:val="000000" w:themeColor="text1"/>
        </w:rPr>
      </w:pPr>
      <w:r w:rsidRPr="00A52AB8">
        <w:rPr>
          <w:color w:val="000000" w:themeColor="text1"/>
        </w:rPr>
        <w:t>video-based visual volumetric coding unit payload</w:t>
      </w:r>
    </w:p>
    <w:p w14:paraId="75B469F0" w14:textId="241FAD12" w:rsidR="00564EF6" w:rsidRPr="00A52AB8" w:rsidRDefault="00564EF6" w:rsidP="00564EF6">
      <w:pPr>
        <w:pStyle w:val="Terms"/>
        <w:rPr>
          <w:color w:val="000000" w:themeColor="text1"/>
        </w:rPr>
      </w:pPr>
      <w:r w:rsidRPr="00A52AB8">
        <w:rPr>
          <w:color w:val="000000" w:themeColor="text1"/>
        </w:rPr>
        <w:t>V3C unit payload</w:t>
      </w:r>
    </w:p>
    <w:p w14:paraId="2551181F" w14:textId="030C646B" w:rsidR="00564EF6" w:rsidRPr="00A52AB8" w:rsidRDefault="00564EF6" w:rsidP="00564EF6">
      <w:pPr>
        <w:pStyle w:val="Definition"/>
      </w:pPr>
      <w:r w:rsidRPr="00A52AB8">
        <w:rPr>
          <w:i/>
          <w:iCs/>
          <w:color w:val="000000" w:themeColor="text1"/>
        </w:rPr>
        <w:t>syntax structure</w:t>
      </w:r>
      <w:r w:rsidRPr="00A52AB8">
        <w:rPr>
          <w:color w:val="000000" w:themeColor="text1"/>
        </w:rPr>
        <w:t xml:space="preserve"> (</w:t>
      </w:r>
      <w:r w:rsidRPr="00496A4D">
        <w:rPr>
          <w:color w:val="000000" w:themeColor="text1"/>
        </w:rPr>
        <w:fldChar w:fldCharType="begin"/>
      </w:r>
      <w:r w:rsidRPr="00A52AB8">
        <w:rPr>
          <w:color w:val="000000" w:themeColor="text1"/>
        </w:rPr>
        <w:instrText xml:space="preserve"> REF _Ref47526553 \r \h </w:instrText>
      </w:r>
      <w:r w:rsidR="006371AA"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3.129</w:t>
      </w:r>
      <w:r w:rsidRPr="00496A4D">
        <w:rPr>
          <w:color w:val="000000" w:themeColor="text1"/>
        </w:rPr>
        <w:fldChar w:fldCharType="end"/>
      </w:r>
      <w:r w:rsidRPr="00A52AB8">
        <w:rPr>
          <w:color w:val="000000" w:themeColor="text1"/>
        </w:rPr>
        <w:t xml:space="preserve">) </w:t>
      </w:r>
      <w:r w:rsidRPr="00A52AB8">
        <w:t xml:space="preserve">containing the </w:t>
      </w:r>
      <w:r w:rsidRPr="00A52AB8">
        <w:rPr>
          <w:i/>
        </w:rPr>
        <w:t>bytes</w:t>
      </w:r>
      <w:r w:rsidRPr="00A52AB8">
        <w:t xml:space="preserve"> (</w:t>
      </w:r>
      <w:r w:rsidRPr="00496A4D">
        <w:fldChar w:fldCharType="begin"/>
      </w:r>
      <w:r w:rsidRPr="00A52AB8">
        <w:instrText xml:space="preserve"> REF _Ref47526560 \r \h </w:instrText>
      </w:r>
      <w:r w:rsidR="006371AA" w:rsidRPr="00A52AB8">
        <w:instrText xml:space="preserve"> \* MERGEFORMAT </w:instrText>
      </w:r>
      <w:r w:rsidRPr="00496A4D">
        <w:fldChar w:fldCharType="separate"/>
      </w:r>
      <w:r w:rsidR="00507A67">
        <w:t>3.24</w:t>
      </w:r>
      <w:r w:rsidRPr="00496A4D">
        <w:fldChar w:fldCharType="end"/>
      </w:r>
      <w:r w:rsidRPr="00A52AB8">
        <w:t xml:space="preserve">) containing </w:t>
      </w:r>
      <w:r w:rsidRPr="00A52AB8">
        <w:rPr>
          <w:rFonts w:cs="Calibri"/>
          <w:i/>
          <w:iCs/>
        </w:rPr>
        <w:t>V3C sub-bitstream</w:t>
      </w:r>
      <w:r w:rsidRPr="00A52AB8">
        <w:rPr>
          <w:rFonts w:cs="Calibri"/>
        </w:rPr>
        <w:t xml:space="preserve"> (</w:t>
      </w:r>
      <w:r w:rsidRPr="00496A4D">
        <w:rPr>
          <w:rFonts w:cs="Calibri"/>
        </w:rPr>
        <w:fldChar w:fldCharType="begin"/>
      </w:r>
      <w:r w:rsidRPr="00A52AB8">
        <w:rPr>
          <w:rFonts w:cs="Calibri"/>
        </w:rPr>
        <w:instrText xml:space="preserve"> REF _Ref47524909 \r \h </w:instrText>
      </w:r>
      <w:r w:rsidR="006371AA" w:rsidRPr="00A52AB8">
        <w:rPr>
          <w:rFonts w:cs="Calibri"/>
        </w:rPr>
        <w:instrText xml:space="preserve"> \* MERGEFORMAT </w:instrText>
      </w:r>
      <w:r w:rsidRPr="00496A4D">
        <w:rPr>
          <w:rFonts w:cs="Calibri"/>
        </w:rPr>
      </w:r>
      <w:r w:rsidRPr="00496A4D">
        <w:rPr>
          <w:rFonts w:cs="Calibri"/>
        </w:rPr>
        <w:fldChar w:fldCharType="separate"/>
      </w:r>
      <w:r w:rsidR="00507A67">
        <w:rPr>
          <w:rFonts w:cs="Calibri"/>
        </w:rPr>
        <w:t>3.143</w:t>
      </w:r>
      <w:r w:rsidRPr="00496A4D">
        <w:rPr>
          <w:rFonts w:cs="Calibri"/>
        </w:rPr>
        <w:fldChar w:fldCharType="end"/>
      </w:r>
      <w:r w:rsidRPr="00A52AB8">
        <w:rPr>
          <w:rFonts w:cs="Calibri"/>
        </w:rPr>
        <w:t xml:space="preserve">) </w:t>
      </w:r>
      <w:r w:rsidRPr="00A52AB8">
        <w:t>data</w:t>
      </w:r>
    </w:p>
    <w:p w14:paraId="33172186" w14:textId="77777777" w:rsidR="00564EF6" w:rsidRPr="00A52AB8" w:rsidRDefault="00564EF6" w:rsidP="00E72F7E">
      <w:pPr>
        <w:pStyle w:val="TermHeading"/>
      </w:pPr>
      <w:bookmarkStart w:id="112" w:name="_Ref47524838"/>
    </w:p>
    <w:bookmarkEnd w:id="112"/>
    <w:p w14:paraId="178FB9AF" w14:textId="77777777" w:rsidR="0050235C" w:rsidRPr="00A52AB8" w:rsidRDefault="00564EF6" w:rsidP="00564EF6">
      <w:pPr>
        <w:pStyle w:val="Terms"/>
        <w:rPr>
          <w:color w:val="000000" w:themeColor="text1"/>
        </w:rPr>
      </w:pPr>
      <w:r w:rsidRPr="00A52AB8">
        <w:rPr>
          <w:color w:val="000000" w:themeColor="text1"/>
        </w:rPr>
        <w:t>volumetric frame</w:t>
      </w:r>
    </w:p>
    <w:p w14:paraId="25EBE1C7" w14:textId="6741D0DC" w:rsidR="00564EF6" w:rsidRPr="00A52AB8" w:rsidRDefault="00564EF6" w:rsidP="00564EF6">
      <w:pPr>
        <w:pStyle w:val="Definition"/>
        <w:rPr>
          <w:color w:val="000000" w:themeColor="text1"/>
        </w:rPr>
      </w:pPr>
      <w:r w:rsidRPr="00A52AB8">
        <w:rPr>
          <w:color w:val="000000" w:themeColor="text1"/>
        </w:rPr>
        <w:t xml:space="preserve">set of 3D points specified by their </w:t>
      </w:r>
      <w:r w:rsidRPr="00A52AB8">
        <w:rPr>
          <w:i/>
          <w:iCs/>
          <w:color w:val="000000" w:themeColor="text1"/>
        </w:rPr>
        <w:t>cartesian coordinates</w:t>
      </w:r>
      <w:r w:rsidRPr="00A52AB8">
        <w:rPr>
          <w:color w:val="000000" w:themeColor="text1"/>
        </w:rPr>
        <w:t xml:space="preserve"> (</w:t>
      </w:r>
      <w:r w:rsidRPr="00496A4D">
        <w:rPr>
          <w:color w:val="000000" w:themeColor="text1"/>
        </w:rPr>
        <w:fldChar w:fldCharType="begin"/>
      </w:r>
      <w:r w:rsidRPr="00A52AB8">
        <w:rPr>
          <w:color w:val="000000" w:themeColor="text1"/>
        </w:rPr>
        <w:instrText xml:space="preserve"> REF _Ref47526144 \r \h </w:instrText>
      </w:r>
      <w:r w:rsidR="006371AA"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3.30</w:t>
      </w:r>
      <w:r w:rsidRPr="00496A4D">
        <w:rPr>
          <w:color w:val="000000" w:themeColor="text1"/>
        </w:rPr>
        <w:fldChar w:fldCharType="end"/>
      </w:r>
      <w:r w:rsidRPr="00A52AB8">
        <w:rPr>
          <w:color w:val="000000" w:themeColor="text1"/>
        </w:rPr>
        <w:t xml:space="preserve">) and zero or more corresponding sets of </w:t>
      </w:r>
      <w:r w:rsidRPr="00A52AB8">
        <w:rPr>
          <w:i/>
          <w:iCs/>
          <w:color w:val="000000" w:themeColor="text1"/>
        </w:rPr>
        <w:t>attribute</w:t>
      </w:r>
      <w:r w:rsidR="00E14FFB" w:rsidRPr="00A52AB8">
        <w:rPr>
          <w:i/>
          <w:iCs/>
          <w:color w:val="000000" w:themeColor="text1"/>
        </w:rPr>
        <w:t>s</w:t>
      </w:r>
      <w:r w:rsidRPr="00A52AB8">
        <w:rPr>
          <w:color w:val="000000" w:themeColor="text1"/>
        </w:rPr>
        <w:t xml:space="preserve"> (</w:t>
      </w:r>
      <w:r w:rsidRPr="00496A4D">
        <w:rPr>
          <w:color w:val="000000" w:themeColor="text1"/>
        </w:rPr>
        <w:fldChar w:fldCharType="begin"/>
      </w:r>
      <w:r w:rsidRPr="00A52AB8">
        <w:rPr>
          <w:color w:val="000000" w:themeColor="text1"/>
        </w:rPr>
        <w:instrText xml:space="preserve"> REF _Ref47525204 \r \h </w:instrText>
      </w:r>
      <w:r w:rsidR="006371AA"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3.14</w:t>
      </w:r>
      <w:r w:rsidRPr="00496A4D">
        <w:rPr>
          <w:color w:val="000000" w:themeColor="text1"/>
        </w:rPr>
        <w:fldChar w:fldCharType="end"/>
      </w:r>
      <w:r w:rsidRPr="00A52AB8">
        <w:rPr>
          <w:color w:val="000000" w:themeColor="text1"/>
        </w:rPr>
        <w:t>) at a particular time instance</w:t>
      </w:r>
    </w:p>
    <w:p w14:paraId="654164B6" w14:textId="77777777" w:rsidR="00564EF6" w:rsidRPr="00A52AB8" w:rsidRDefault="00564EF6" w:rsidP="00E72F7E">
      <w:pPr>
        <w:pStyle w:val="TermHeading"/>
      </w:pPr>
    </w:p>
    <w:p w14:paraId="60A60BB7" w14:textId="77777777" w:rsidR="0050235C" w:rsidRPr="00A52AB8" w:rsidRDefault="00564EF6" w:rsidP="00564EF6">
      <w:pPr>
        <w:pStyle w:val="Terms"/>
        <w:rPr>
          <w:color w:val="000000" w:themeColor="text1"/>
        </w:rPr>
      </w:pPr>
      <w:r w:rsidRPr="00A52AB8">
        <w:rPr>
          <w:color w:val="000000" w:themeColor="text1"/>
        </w:rPr>
        <w:t>volumetric sequence</w:t>
      </w:r>
    </w:p>
    <w:p w14:paraId="50F1CB05" w14:textId="23952A8B" w:rsidR="00564EF6" w:rsidRPr="00A52AB8" w:rsidRDefault="00564EF6" w:rsidP="00564EF6">
      <w:pPr>
        <w:pStyle w:val="Definition"/>
        <w:rPr>
          <w:iCs/>
          <w:color w:val="000000" w:themeColor="text1"/>
        </w:rPr>
      </w:pPr>
      <w:r w:rsidRPr="00A52AB8">
        <w:rPr>
          <w:color w:val="000000" w:themeColor="text1"/>
        </w:rPr>
        <w:t xml:space="preserve">sequence of </w:t>
      </w:r>
      <w:r w:rsidRPr="00A52AB8">
        <w:rPr>
          <w:i/>
          <w:color w:val="000000" w:themeColor="text1"/>
        </w:rPr>
        <w:t xml:space="preserve">volumetric frames </w:t>
      </w:r>
      <w:r w:rsidRPr="00A52AB8">
        <w:rPr>
          <w:iCs/>
          <w:color w:val="000000" w:themeColor="text1"/>
        </w:rPr>
        <w:t>(</w:t>
      </w:r>
      <w:r w:rsidRPr="00496A4D">
        <w:rPr>
          <w:iCs/>
          <w:color w:val="000000" w:themeColor="text1"/>
        </w:rPr>
        <w:fldChar w:fldCharType="begin"/>
      </w:r>
      <w:r w:rsidRPr="00A52AB8">
        <w:rPr>
          <w:iCs/>
          <w:color w:val="000000" w:themeColor="text1"/>
        </w:rPr>
        <w:instrText xml:space="preserve"> REF _Ref47524838 \r \h </w:instrText>
      </w:r>
      <w:r w:rsidR="006371AA" w:rsidRPr="00A52AB8">
        <w:rPr>
          <w:iCs/>
          <w:color w:val="000000" w:themeColor="text1"/>
        </w:rPr>
        <w:instrText xml:space="preserve"> \* MERGEFORMAT </w:instrText>
      </w:r>
      <w:r w:rsidRPr="00496A4D">
        <w:rPr>
          <w:iCs/>
          <w:color w:val="000000" w:themeColor="text1"/>
        </w:rPr>
      </w:r>
      <w:r w:rsidRPr="00496A4D">
        <w:rPr>
          <w:iCs/>
          <w:color w:val="000000" w:themeColor="text1"/>
        </w:rPr>
        <w:fldChar w:fldCharType="separate"/>
      </w:r>
      <w:r w:rsidR="00507A67">
        <w:rPr>
          <w:iCs/>
          <w:color w:val="000000" w:themeColor="text1"/>
        </w:rPr>
        <w:t>3.148</w:t>
      </w:r>
      <w:r w:rsidRPr="00496A4D">
        <w:rPr>
          <w:iCs/>
          <w:color w:val="000000" w:themeColor="text1"/>
        </w:rPr>
        <w:fldChar w:fldCharType="end"/>
      </w:r>
      <w:r w:rsidRPr="00A52AB8">
        <w:rPr>
          <w:iCs/>
          <w:color w:val="000000" w:themeColor="text1"/>
        </w:rPr>
        <w:t>)</w:t>
      </w:r>
    </w:p>
    <w:p w14:paraId="67065D4D" w14:textId="548E357A" w:rsidR="00120E20" w:rsidRPr="00A52AB8" w:rsidDel="008238EA" w:rsidRDefault="00120E20" w:rsidP="00A308D1">
      <w:pPr>
        <w:pStyle w:val="Heading1"/>
      </w:pPr>
      <w:bookmarkStart w:id="113" w:name="_Toc38890636"/>
      <w:bookmarkStart w:id="114" w:name="_Toc39425221"/>
      <w:bookmarkStart w:id="115" w:name="_Toc42729932"/>
      <w:bookmarkStart w:id="116" w:name="_Toc45105388"/>
      <w:bookmarkStart w:id="117" w:name="_Toc45530246"/>
      <w:bookmarkStart w:id="118" w:name="_Toc46301598"/>
      <w:bookmarkStart w:id="119" w:name="_Toc46302423"/>
      <w:bookmarkStart w:id="120" w:name="_Toc19035106"/>
      <w:bookmarkStart w:id="121" w:name="_Toc19036043"/>
      <w:bookmarkStart w:id="122" w:name="_Toc19035107"/>
      <w:bookmarkStart w:id="123" w:name="_Toc19036044"/>
      <w:bookmarkStart w:id="124" w:name="_Toc529875144"/>
      <w:bookmarkStart w:id="125" w:name="_Toc529878694"/>
      <w:bookmarkStart w:id="126" w:name="_Toc529879663"/>
      <w:bookmarkStart w:id="127" w:name="_Toc529880789"/>
      <w:bookmarkStart w:id="128" w:name="_Toc529881596"/>
      <w:bookmarkStart w:id="129" w:name="_Toc529882031"/>
      <w:bookmarkStart w:id="130" w:name="_Toc529882338"/>
      <w:bookmarkStart w:id="131" w:name="_Toc529893824"/>
      <w:bookmarkStart w:id="132" w:name="_Toc529959429"/>
      <w:bookmarkStart w:id="133" w:name="_Toc529875145"/>
      <w:bookmarkStart w:id="134" w:name="_Toc529878695"/>
      <w:bookmarkStart w:id="135" w:name="_Toc529879664"/>
      <w:bookmarkStart w:id="136" w:name="_Toc529880790"/>
      <w:bookmarkStart w:id="137" w:name="_Toc529881597"/>
      <w:bookmarkStart w:id="138" w:name="_Toc529882032"/>
      <w:bookmarkStart w:id="139" w:name="_Toc529882339"/>
      <w:bookmarkStart w:id="140" w:name="_Toc529893825"/>
      <w:bookmarkStart w:id="141" w:name="_Toc529959430"/>
      <w:bookmarkStart w:id="142" w:name="_Toc529875146"/>
      <w:bookmarkStart w:id="143" w:name="_Toc529878696"/>
      <w:bookmarkStart w:id="144" w:name="_Toc529879665"/>
      <w:bookmarkStart w:id="145" w:name="_Toc529880791"/>
      <w:bookmarkStart w:id="146" w:name="_Toc529881598"/>
      <w:bookmarkStart w:id="147" w:name="_Toc529882033"/>
      <w:bookmarkStart w:id="148" w:name="_Toc529882340"/>
      <w:bookmarkStart w:id="149" w:name="_Toc529893826"/>
      <w:bookmarkStart w:id="150" w:name="_Toc529959431"/>
      <w:bookmarkStart w:id="151" w:name="_Toc529875147"/>
      <w:bookmarkStart w:id="152" w:name="_Toc529878697"/>
      <w:bookmarkStart w:id="153" w:name="_Toc529879666"/>
      <w:bookmarkStart w:id="154" w:name="_Toc529880792"/>
      <w:bookmarkStart w:id="155" w:name="_Toc529881599"/>
      <w:bookmarkStart w:id="156" w:name="_Toc529882034"/>
      <w:bookmarkStart w:id="157" w:name="_Toc529882341"/>
      <w:bookmarkStart w:id="158" w:name="_Toc529893827"/>
      <w:bookmarkStart w:id="159" w:name="_Toc529959432"/>
      <w:bookmarkStart w:id="160" w:name="_Toc529875148"/>
      <w:bookmarkStart w:id="161" w:name="_Toc529878698"/>
      <w:bookmarkStart w:id="162" w:name="_Toc529879667"/>
      <w:bookmarkStart w:id="163" w:name="_Toc529880793"/>
      <w:bookmarkStart w:id="164" w:name="_Toc529881600"/>
      <w:bookmarkStart w:id="165" w:name="_Toc529882035"/>
      <w:bookmarkStart w:id="166" w:name="_Toc529882342"/>
      <w:bookmarkStart w:id="167" w:name="_Toc529893828"/>
      <w:bookmarkStart w:id="168" w:name="_Toc529959433"/>
      <w:bookmarkStart w:id="169" w:name="_Toc529875149"/>
      <w:bookmarkStart w:id="170" w:name="_Toc529878699"/>
      <w:bookmarkStart w:id="171" w:name="_Toc529879668"/>
      <w:bookmarkStart w:id="172" w:name="_Toc529880794"/>
      <w:bookmarkStart w:id="173" w:name="_Toc529881601"/>
      <w:bookmarkStart w:id="174" w:name="_Toc529882036"/>
      <w:bookmarkStart w:id="175" w:name="_Toc529882343"/>
      <w:bookmarkStart w:id="176" w:name="_Toc529893829"/>
      <w:bookmarkStart w:id="177" w:name="_Toc529959434"/>
      <w:bookmarkStart w:id="178" w:name="_Toc529875150"/>
      <w:bookmarkStart w:id="179" w:name="_Toc529878700"/>
      <w:bookmarkStart w:id="180" w:name="_Toc529879669"/>
      <w:bookmarkStart w:id="181" w:name="_Toc529880795"/>
      <w:bookmarkStart w:id="182" w:name="_Toc529881602"/>
      <w:bookmarkStart w:id="183" w:name="_Toc529882037"/>
      <w:bookmarkStart w:id="184" w:name="_Toc529882344"/>
      <w:bookmarkStart w:id="185" w:name="_Toc529893830"/>
      <w:bookmarkStart w:id="186" w:name="_Toc529959435"/>
      <w:bookmarkStart w:id="187" w:name="_Toc529875151"/>
      <w:bookmarkStart w:id="188" w:name="_Toc529878701"/>
      <w:bookmarkStart w:id="189" w:name="_Toc529879670"/>
      <w:bookmarkStart w:id="190" w:name="_Toc529880796"/>
      <w:bookmarkStart w:id="191" w:name="_Toc529881603"/>
      <w:bookmarkStart w:id="192" w:name="_Toc529882038"/>
      <w:bookmarkStart w:id="193" w:name="_Toc529882345"/>
      <w:bookmarkStart w:id="194" w:name="_Toc529893831"/>
      <w:bookmarkStart w:id="195" w:name="_Toc529959436"/>
      <w:bookmarkStart w:id="196" w:name="_Toc529875152"/>
      <w:bookmarkStart w:id="197" w:name="_Toc529878702"/>
      <w:bookmarkStart w:id="198" w:name="_Toc529879671"/>
      <w:bookmarkStart w:id="199" w:name="_Toc529880797"/>
      <w:bookmarkStart w:id="200" w:name="_Toc529881604"/>
      <w:bookmarkStart w:id="201" w:name="_Toc529882039"/>
      <w:bookmarkStart w:id="202" w:name="_Toc529882346"/>
      <w:bookmarkStart w:id="203" w:name="_Toc529893832"/>
      <w:bookmarkStart w:id="204" w:name="_Toc529959437"/>
      <w:bookmarkStart w:id="205" w:name="_Toc529875153"/>
      <w:bookmarkStart w:id="206" w:name="_Toc529878703"/>
      <w:bookmarkStart w:id="207" w:name="_Toc529879672"/>
      <w:bookmarkStart w:id="208" w:name="_Toc529880798"/>
      <w:bookmarkStart w:id="209" w:name="_Toc529881605"/>
      <w:bookmarkStart w:id="210" w:name="_Toc529882040"/>
      <w:bookmarkStart w:id="211" w:name="_Toc529882347"/>
      <w:bookmarkStart w:id="212" w:name="_Toc529893833"/>
      <w:bookmarkStart w:id="213" w:name="_Toc529959438"/>
      <w:bookmarkStart w:id="214" w:name="_Toc529875154"/>
      <w:bookmarkStart w:id="215" w:name="_Toc529878704"/>
      <w:bookmarkStart w:id="216" w:name="_Toc529879673"/>
      <w:bookmarkStart w:id="217" w:name="_Toc529880799"/>
      <w:bookmarkStart w:id="218" w:name="_Toc529881606"/>
      <w:bookmarkStart w:id="219" w:name="_Toc529882041"/>
      <w:bookmarkStart w:id="220" w:name="_Toc529882348"/>
      <w:bookmarkStart w:id="221" w:name="_Toc529893834"/>
      <w:bookmarkStart w:id="222" w:name="_Toc529959439"/>
      <w:bookmarkStart w:id="223" w:name="_Toc529875155"/>
      <w:bookmarkStart w:id="224" w:name="_Toc529878705"/>
      <w:bookmarkStart w:id="225" w:name="_Toc529879674"/>
      <w:bookmarkStart w:id="226" w:name="_Toc529880800"/>
      <w:bookmarkStart w:id="227" w:name="_Toc529881607"/>
      <w:bookmarkStart w:id="228" w:name="_Toc529882042"/>
      <w:bookmarkStart w:id="229" w:name="_Toc529882349"/>
      <w:bookmarkStart w:id="230" w:name="_Toc529893835"/>
      <w:bookmarkStart w:id="231" w:name="_Toc529959440"/>
      <w:bookmarkStart w:id="232" w:name="_Toc529875156"/>
      <w:bookmarkStart w:id="233" w:name="_Toc529878706"/>
      <w:bookmarkStart w:id="234" w:name="_Toc529879675"/>
      <w:bookmarkStart w:id="235" w:name="_Toc529880801"/>
      <w:bookmarkStart w:id="236" w:name="_Toc529881608"/>
      <w:bookmarkStart w:id="237" w:name="_Toc529882043"/>
      <w:bookmarkStart w:id="238" w:name="_Toc529882350"/>
      <w:bookmarkStart w:id="239" w:name="_Toc529893836"/>
      <w:bookmarkStart w:id="240" w:name="_Toc529959441"/>
      <w:bookmarkStart w:id="241" w:name="_Toc529875157"/>
      <w:bookmarkStart w:id="242" w:name="_Toc529878707"/>
      <w:bookmarkStart w:id="243" w:name="_Toc529879676"/>
      <w:bookmarkStart w:id="244" w:name="_Toc529880802"/>
      <w:bookmarkStart w:id="245" w:name="_Toc529881609"/>
      <w:bookmarkStart w:id="246" w:name="_Toc529882044"/>
      <w:bookmarkStart w:id="247" w:name="_Toc529882351"/>
      <w:bookmarkStart w:id="248" w:name="_Toc529893837"/>
      <w:bookmarkStart w:id="249" w:name="_Toc529959442"/>
      <w:bookmarkStart w:id="250" w:name="_Toc529874725"/>
      <w:bookmarkStart w:id="251" w:name="_Toc529874794"/>
      <w:bookmarkStart w:id="252" w:name="_Toc529874886"/>
      <w:bookmarkStart w:id="253" w:name="_Toc529874947"/>
      <w:bookmarkStart w:id="254" w:name="_Toc529875158"/>
      <w:bookmarkStart w:id="255" w:name="_Toc529878708"/>
      <w:bookmarkStart w:id="256" w:name="_Toc529879677"/>
      <w:bookmarkStart w:id="257" w:name="_Toc529880803"/>
      <w:bookmarkStart w:id="258" w:name="_Toc529881610"/>
      <w:bookmarkStart w:id="259" w:name="_Toc529882045"/>
      <w:bookmarkStart w:id="260" w:name="_Toc529882352"/>
      <w:bookmarkStart w:id="261" w:name="_Toc529893838"/>
      <w:bookmarkStart w:id="262" w:name="_Toc529959443"/>
      <w:bookmarkStart w:id="263" w:name="_Toc529874726"/>
      <w:bookmarkStart w:id="264" w:name="_Toc529874795"/>
      <w:bookmarkStart w:id="265" w:name="_Toc529874887"/>
      <w:bookmarkStart w:id="266" w:name="_Toc529874948"/>
      <w:bookmarkStart w:id="267" w:name="_Toc529875159"/>
      <w:bookmarkStart w:id="268" w:name="_Toc529878709"/>
      <w:bookmarkStart w:id="269" w:name="_Toc529879678"/>
      <w:bookmarkStart w:id="270" w:name="_Toc529880804"/>
      <w:bookmarkStart w:id="271" w:name="_Toc529881611"/>
      <w:bookmarkStart w:id="272" w:name="_Toc529882046"/>
      <w:bookmarkStart w:id="273" w:name="_Toc529882353"/>
      <w:bookmarkStart w:id="274" w:name="_Toc529893839"/>
      <w:bookmarkStart w:id="275" w:name="_Toc529959444"/>
      <w:bookmarkStart w:id="276" w:name="_Toc529874727"/>
      <w:bookmarkStart w:id="277" w:name="_Toc529874796"/>
      <w:bookmarkStart w:id="278" w:name="_Toc529874888"/>
      <w:bookmarkStart w:id="279" w:name="_Toc529874949"/>
      <w:bookmarkStart w:id="280" w:name="_Toc529875160"/>
      <w:bookmarkStart w:id="281" w:name="_Toc529878710"/>
      <w:bookmarkStart w:id="282" w:name="_Toc529879679"/>
      <w:bookmarkStart w:id="283" w:name="_Toc529880805"/>
      <w:bookmarkStart w:id="284" w:name="_Toc529881612"/>
      <w:bookmarkStart w:id="285" w:name="_Toc529882047"/>
      <w:bookmarkStart w:id="286" w:name="_Toc529882354"/>
      <w:bookmarkStart w:id="287" w:name="_Toc529893840"/>
      <w:bookmarkStart w:id="288" w:name="_Toc529959445"/>
      <w:bookmarkStart w:id="289" w:name="_Toc529874728"/>
      <w:bookmarkStart w:id="290" w:name="_Toc529874797"/>
      <w:bookmarkStart w:id="291" w:name="_Toc529874889"/>
      <w:bookmarkStart w:id="292" w:name="_Toc529874950"/>
      <w:bookmarkStart w:id="293" w:name="_Toc529875161"/>
      <w:bookmarkStart w:id="294" w:name="_Toc529878711"/>
      <w:bookmarkStart w:id="295" w:name="_Toc529879680"/>
      <w:bookmarkStart w:id="296" w:name="_Toc529880806"/>
      <w:bookmarkStart w:id="297" w:name="_Toc529881613"/>
      <w:bookmarkStart w:id="298" w:name="_Toc529882048"/>
      <w:bookmarkStart w:id="299" w:name="_Toc529882355"/>
      <w:bookmarkStart w:id="300" w:name="_Toc529893841"/>
      <w:bookmarkStart w:id="301" w:name="_Toc529959446"/>
      <w:bookmarkStart w:id="302" w:name="_Toc511952608"/>
      <w:bookmarkStart w:id="303" w:name="_Ref51840397"/>
      <w:bookmarkStart w:id="304" w:name="_Toc52181576"/>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r w:rsidRPr="00A52AB8" w:rsidDel="008238EA">
        <w:t>A</w:t>
      </w:r>
      <w:r w:rsidR="00ED2A0D" w:rsidRPr="00A52AB8" w:rsidDel="008238EA">
        <w:t>bbreviated terms</w:t>
      </w:r>
      <w:bookmarkStart w:id="305" w:name="_Toc353798249"/>
      <w:bookmarkEnd w:id="302"/>
      <w:bookmarkEnd w:id="303"/>
      <w:bookmarkEnd w:id="304"/>
    </w:p>
    <w:p w14:paraId="6B040085" w14:textId="381128EA" w:rsidR="0082408E" w:rsidRPr="00A52AB8" w:rsidDel="008238EA" w:rsidRDefault="0082408E" w:rsidP="0082408E">
      <w:pPr>
        <w:tabs>
          <w:tab w:val="clear" w:pos="403"/>
        </w:tabs>
        <w:rPr>
          <w:color w:val="000000" w:themeColor="text1"/>
        </w:rPr>
      </w:pPr>
      <w:r w:rsidRPr="00A52AB8" w:rsidDel="008238EA">
        <w:rPr>
          <w:color w:val="000000" w:themeColor="text1"/>
        </w:rPr>
        <w:t>1D</w:t>
      </w:r>
      <w:r w:rsidRPr="00A52AB8" w:rsidDel="008238EA">
        <w:rPr>
          <w:color w:val="000000" w:themeColor="text1"/>
        </w:rPr>
        <w:tab/>
        <w:t>One-Dimensional</w:t>
      </w:r>
    </w:p>
    <w:p w14:paraId="0BA9D601" w14:textId="1C526E8C" w:rsidR="00ED72F5" w:rsidRPr="00A52AB8" w:rsidDel="008238EA" w:rsidRDefault="00ED72F5">
      <w:pPr>
        <w:tabs>
          <w:tab w:val="clear" w:pos="403"/>
        </w:tabs>
        <w:rPr>
          <w:color w:val="000000" w:themeColor="text1"/>
        </w:rPr>
      </w:pPr>
      <w:r w:rsidRPr="00A52AB8" w:rsidDel="008238EA">
        <w:rPr>
          <w:color w:val="000000" w:themeColor="text1"/>
        </w:rPr>
        <w:t>2D</w:t>
      </w:r>
      <w:r w:rsidRPr="00A52AB8" w:rsidDel="008238EA">
        <w:rPr>
          <w:color w:val="000000" w:themeColor="text1"/>
        </w:rPr>
        <w:tab/>
        <w:t>Two-Dimensional</w:t>
      </w:r>
    </w:p>
    <w:p w14:paraId="0D83A388" w14:textId="216B79A8" w:rsidR="00ED72F5" w:rsidRPr="00A52AB8" w:rsidDel="008238EA" w:rsidRDefault="00ED72F5">
      <w:pPr>
        <w:tabs>
          <w:tab w:val="clear" w:pos="403"/>
        </w:tabs>
        <w:rPr>
          <w:color w:val="000000" w:themeColor="text1"/>
        </w:rPr>
      </w:pPr>
      <w:r w:rsidRPr="00A52AB8" w:rsidDel="008238EA">
        <w:rPr>
          <w:color w:val="000000" w:themeColor="text1"/>
        </w:rPr>
        <w:t>3D</w:t>
      </w:r>
      <w:r w:rsidRPr="00A52AB8" w:rsidDel="008238EA">
        <w:rPr>
          <w:color w:val="000000" w:themeColor="text1"/>
        </w:rPr>
        <w:tab/>
        <w:t>Three-Dimensional</w:t>
      </w:r>
    </w:p>
    <w:p w14:paraId="534BDC2B" w14:textId="75A59934" w:rsidR="00097B06" w:rsidRPr="00A52AB8" w:rsidDel="008238EA" w:rsidRDefault="00097B06" w:rsidP="00097B06">
      <w:pPr>
        <w:tabs>
          <w:tab w:val="clear" w:pos="403"/>
        </w:tabs>
        <w:rPr>
          <w:color w:val="000000" w:themeColor="text1"/>
        </w:rPr>
      </w:pPr>
      <w:r w:rsidRPr="00A52AB8" w:rsidDel="008238EA">
        <w:rPr>
          <w:color w:val="000000" w:themeColor="text1"/>
        </w:rPr>
        <w:t>4D</w:t>
      </w:r>
      <w:r w:rsidRPr="00A52AB8" w:rsidDel="008238EA">
        <w:rPr>
          <w:color w:val="000000" w:themeColor="text1"/>
        </w:rPr>
        <w:tab/>
        <w:t>Four-Dimensional</w:t>
      </w:r>
    </w:p>
    <w:p w14:paraId="204A3B5C" w14:textId="4E9517A8" w:rsidR="00097B06" w:rsidRPr="00A52AB8" w:rsidDel="008238EA" w:rsidRDefault="00097B06" w:rsidP="00097B06">
      <w:pPr>
        <w:tabs>
          <w:tab w:val="clear" w:pos="403"/>
        </w:tabs>
        <w:rPr>
          <w:color w:val="000000" w:themeColor="text1"/>
        </w:rPr>
      </w:pPr>
      <w:r w:rsidRPr="00A52AB8" w:rsidDel="008238EA">
        <w:rPr>
          <w:color w:val="000000" w:themeColor="text1"/>
        </w:rPr>
        <w:t>5D</w:t>
      </w:r>
      <w:r w:rsidRPr="00A52AB8" w:rsidDel="008238EA">
        <w:rPr>
          <w:color w:val="000000" w:themeColor="text1"/>
        </w:rPr>
        <w:tab/>
        <w:t>Five-Dimensional</w:t>
      </w:r>
    </w:p>
    <w:p w14:paraId="5AD3F4D0" w14:textId="0BAA3127" w:rsidR="00097B06" w:rsidRPr="00A52AB8" w:rsidDel="008238EA" w:rsidRDefault="00097B06" w:rsidP="00097B06">
      <w:pPr>
        <w:tabs>
          <w:tab w:val="clear" w:pos="403"/>
        </w:tabs>
        <w:rPr>
          <w:color w:val="000000" w:themeColor="text1"/>
        </w:rPr>
      </w:pPr>
      <w:r w:rsidRPr="00A52AB8" w:rsidDel="008238EA">
        <w:rPr>
          <w:color w:val="000000" w:themeColor="text1"/>
        </w:rPr>
        <w:lastRenderedPageBreak/>
        <w:t>6D</w:t>
      </w:r>
      <w:r w:rsidRPr="00A52AB8" w:rsidDel="008238EA">
        <w:rPr>
          <w:color w:val="000000" w:themeColor="text1"/>
        </w:rPr>
        <w:tab/>
        <w:t>Six-Dimensional</w:t>
      </w:r>
    </w:p>
    <w:p w14:paraId="137E290C" w14:textId="0EBC0A57" w:rsidR="00C33B4E" w:rsidRPr="00A52AB8" w:rsidDel="008238EA" w:rsidRDefault="00C33B4E" w:rsidP="00097B06">
      <w:pPr>
        <w:tabs>
          <w:tab w:val="clear" w:pos="403"/>
        </w:tabs>
        <w:rPr>
          <w:color w:val="000000" w:themeColor="text1"/>
        </w:rPr>
      </w:pPr>
      <w:r w:rsidRPr="00A52AB8" w:rsidDel="008238EA">
        <w:rPr>
          <w:color w:val="000000" w:themeColor="text1"/>
        </w:rPr>
        <w:t>7D</w:t>
      </w:r>
      <w:r w:rsidRPr="00A52AB8" w:rsidDel="008238EA">
        <w:rPr>
          <w:color w:val="000000" w:themeColor="text1"/>
        </w:rPr>
        <w:tab/>
        <w:t>Seven-Dimensional</w:t>
      </w:r>
    </w:p>
    <w:p w14:paraId="0E25509B" w14:textId="2DA75138" w:rsidR="002752B1" w:rsidRPr="00A52AB8" w:rsidDel="008238EA" w:rsidRDefault="002752B1">
      <w:pPr>
        <w:tabs>
          <w:tab w:val="clear" w:pos="403"/>
        </w:tabs>
        <w:rPr>
          <w:color w:val="000000" w:themeColor="text1"/>
          <w:lang w:eastAsia="ja-JP"/>
        </w:rPr>
      </w:pPr>
      <w:r w:rsidRPr="00A52AB8" w:rsidDel="008238EA">
        <w:rPr>
          <w:color w:val="000000" w:themeColor="text1"/>
          <w:lang w:eastAsia="ja-JP"/>
        </w:rPr>
        <w:t>ACL</w:t>
      </w:r>
      <w:r w:rsidRPr="00A52AB8" w:rsidDel="008238EA">
        <w:rPr>
          <w:color w:val="000000" w:themeColor="text1"/>
          <w:lang w:eastAsia="ja-JP"/>
        </w:rPr>
        <w:tab/>
        <w:t>Atlas Coding Layer</w:t>
      </w:r>
    </w:p>
    <w:p w14:paraId="489206A0" w14:textId="64AFB853" w:rsidR="0053494A" w:rsidRPr="00A52AB8" w:rsidDel="008238EA" w:rsidRDefault="0053494A">
      <w:pPr>
        <w:tabs>
          <w:tab w:val="clear" w:pos="403"/>
        </w:tabs>
        <w:rPr>
          <w:color w:val="000000" w:themeColor="text1"/>
          <w:lang w:eastAsia="ja-JP"/>
        </w:rPr>
      </w:pPr>
      <w:r w:rsidRPr="00A52AB8" w:rsidDel="008238EA">
        <w:rPr>
          <w:color w:val="000000" w:themeColor="text1"/>
          <w:lang w:eastAsia="ja-JP"/>
        </w:rPr>
        <w:t>AAPS</w:t>
      </w:r>
      <w:r w:rsidRPr="00A52AB8" w:rsidDel="008238EA">
        <w:rPr>
          <w:color w:val="000000" w:themeColor="text1"/>
          <w:lang w:eastAsia="ja-JP"/>
        </w:rPr>
        <w:tab/>
        <w:t>Atlas Adaptation Parameter Set</w:t>
      </w:r>
    </w:p>
    <w:p w14:paraId="1A9A4D3B" w14:textId="06990C86" w:rsidR="00C33B4E" w:rsidRPr="00A52AB8" w:rsidDel="008238EA" w:rsidRDefault="00C33B4E">
      <w:pPr>
        <w:tabs>
          <w:tab w:val="clear" w:pos="403"/>
        </w:tabs>
        <w:rPr>
          <w:color w:val="000000" w:themeColor="text1"/>
          <w:lang w:eastAsia="ja-JP"/>
        </w:rPr>
      </w:pPr>
      <w:r w:rsidRPr="00A52AB8" w:rsidDel="008238EA">
        <w:rPr>
          <w:color w:val="000000" w:themeColor="text1"/>
          <w:lang w:eastAsia="ja-JP"/>
        </w:rPr>
        <w:t>AFPS</w:t>
      </w:r>
      <w:r w:rsidRPr="00A52AB8" w:rsidDel="008238EA">
        <w:rPr>
          <w:color w:val="000000" w:themeColor="text1"/>
          <w:lang w:eastAsia="ja-JP"/>
        </w:rPr>
        <w:tab/>
        <w:t>Atlas Frame Parameter Set</w:t>
      </w:r>
    </w:p>
    <w:p w14:paraId="27B058CE" w14:textId="75A60DB3" w:rsidR="00C33B4E" w:rsidRPr="00A52AB8" w:rsidDel="008238EA" w:rsidRDefault="00C33B4E">
      <w:pPr>
        <w:tabs>
          <w:tab w:val="clear" w:pos="403"/>
        </w:tabs>
        <w:rPr>
          <w:color w:val="000000" w:themeColor="text1"/>
          <w:lang w:eastAsia="ja-JP"/>
        </w:rPr>
      </w:pPr>
      <w:r w:rsidRPr="00A52AB8" w:rsidDel="008238EA">
        <w:rPr>
          <w:color w:val="000000" w:themeColor="text1"/>
          <w:lang w:eastAsia="ja-JP"/>
        </w:rPr>
        <w:t>ASPS</w:t>
      </w:r>
      <w:r w:rsidRPr="00A52AB8" w:rsidDel="008238EA">
        <w:rPr>
          <w:color w:val="000000" w:themeColor="text1"/>
          <w:lang w:eastAsia="ja-JP"/>
        </w:rPr>
        <w:tab/>
        <w:t>Atlas Sequence Parameter Set</w:t>
      </w:r>
    </w:p>
    <w:p w14:paraId="25150A6F" w14:textId="07CDB3BE" w:rsidR="00ED72F5" w:rsidRPr="00A52AB8" w:rsidDel="008238EA" w:rsidRDefault="00ED72F5">
      <w:pPr>
        <w:tabs>
          <w:tab w:val="clear" w:pos="403"/>
        </w:tabs>
        <w:rPr>
          <w:color w:val="000000" w:themeColor="text1"/>
        </w:rPr>
      </w:pPr>
      <w:r w:rsidRPr="00A52AB8" w:rsidDel="008238EA">
        <w:rPr>
          <w:color w:val="000000" w:themeColor="text1"/>
        </w:rPr>
        <w:t>AU</w:t>
      </w:r>
      <w:r w:rsidRPr="00A52AB8" w:rsidDel="008238EA">
        <w:rPr>
          <w:color w:val="000000" w:themeColor="text1"/>
        </w:rPr>
        <w:tab/>
        <w:t>Access Unit</w:t>
      </w:r>
    </w:p>
    <w:p w14:paraId="4F04E28A" w14:textId="1F5F9185" w:rsidR="00C33B4E" w:rsidRPr="00A52AB8" w:rsidDel="008238EA" w:rsidRDefault="00C33B4E">
      <w:pPr>
        <w:tabs>
          <w:tab w:val="clear" w:pos="403"/>
        </w:tabs>
        <w:rPr>
          <w:color w:val="000000" w:themeColor="text1"/>
        </w:rPr>
      </w:pPr>
      <w:r w:rsidRPr="00A52AB8" w:rsidDel="008238EA">
        <w:rPr>
          <w:color w:val="000000" w:themeColor="text1"/>
        </w:rPr>
        <w:t>BLA</w:t>
      </w:r>
      <w:r w:rsidRPr="00A52AB8" w:rsidDel="008238EA">
        <w:rPr>
          <w:color w:val="000000" w:themeColor="text1"/>
        </w:rPr>
        <w:tab/>
        <w:t>Broken Link Access</w:t>
      </w:r>
    </w:p>
    <w:p w14:paraId="333E03CA" w14:textId="305FEC9F" w:rsidR="00F218D9" w:rsidRPr="00A52AB8" w:rsidDel="008238EA" w:rsidRDefault="00F218D9">
      <w:pPr>
        <w:tabs>
          <w:tab w:val="clear" w:pos="403"/>
        </w:tabs>
        <w:rPr>
          <w:color w:val="000000" w:themeColor="text1"/>
        </w:rPr>
      </w:pPr>
      <w:r w:rsidRPr="00A52AB8" w:rsidDel="008238EA">
        <w:rPr>
          <w:color w:val="000000" w:themeColor="text1"/>
        </w:rPr>
        <w:t xml:space="preserve">CAB </w:t>
      </w:r>
      <w:r w:rsidRPr="00A52AB8" w:rsidDel="008238EA">
        <w:rPr>
          <w:color w:val="000000" w:themeColor="text1"/>
        </w:rPr>
        <w:tab/>
        <w:t>Coded Atlas Buffer</w:t>
      </w:r>
    </w:p>
    <w:p w14:paraId="1B9F5A7E" w14:textId="48525A65" w:rsidR="00C33B4E" w:rsidRPr="00A52AB8" w:rsidDel="008238EA" w:rsidRDefault="00C33B4E">
      <w:pPr>
        <w:tabs>
          <w:tab w:val="clear" w:pos="403"/>
        </w:tabs>
        <w:rPr>
          <w:color w:val="000000" w:themeColor="text1"/>
        </w:rPr>
      </w:pPr>
      <w:r w:rsidRPr="00A52AB8" w:rsidDel="008238EA">
        <w:rPr>
          <w:color w:val="000000" w:themeColor="text1"/>
        </w:rPr>
        <w:t>CRA</w:t>
      </w:r>
      <w:r w:rsidRPr="00A52AB8" w:rsidDel="008238EA">
        <w:rPr>
          <w:color w:val="000000" w:themeColor="text1"/>
        </w:rPr>
        <w:tab/>
        <w:t>Clean Random Access</w:t>
      </w:r>
    </w:p>
    <w:p w14:paraId="6D243073" w14:textId="7245E570" w:rsidR="003D26A5" w:rsidRPr="00A52AB8" w:rsidDel="008238EA" w:rsidRDefault="002752B1">
      <w:pPr>
        <w:tabs>
          <w:tab w:val="clear" w:pos="403"/>
        </w:tabs>
        <w:rPr>
          <w:color w:val="000000" w:themeColor="text1"/>
        </w:rPr>
      </w:pPr>
      <w:r w:rsidRPr="00A52AB8" w:rsidDel="008238EA">
        <w:rPr>
          <w:color w:val="000000" w:themeColor="text1"/>
        </w:rPr>
        <w:t>DAB</w:t>
      </w:r>
      <w:r w:rsidR="003D26A5" w:rsidRPr="00A52AB8" w:rsidDel="008238EA">
        <w:rPr>
          <w:color w:val="000000" w:themeColor="text1"/>
        </w:rPr>
        <w:tab/>
        <w:t xml:space="preserve">Decoded </w:t>
      </w:r>
      <w:r w:rsidR="008F0D00" w:rsidRPr="00A52AB8" w:rsidDel="008238EA">
        <w:rPr>
          <w:color w:val="000000" w:themeColor="text1"/>
        </w:rPr>
        <w:t xml:space="preserve">Atlas </w:t>
      </w:r>
      <w:r w:rsidR="003D26A5" w:rsidRPr="00A52AB8" w:rsidDel="008238EA">
        <w:rPr>
          <w:color w:val="000000" w:themeColor="text1"/>
        </w:rPr>
        <w:t>Buffer</w:t>
      </w:r>
    </w:p>
    <w:p w14:paraId="149F1E41" w14:textId="0DD09B18" w:rsidR="000A4F0E" w:rsidRPr="00A52AB8" w:rsidDel="008238EA" w:rsidRDefault="000A4F0E">
      <w:pPr>
        <w:tabs>
          <w:tab w:val="clear" w:pos="403"/>
        </w:tabs>
        <w:rPr>
          <w:color w:val="000000" w:themeColor="text1"/>
        </w:rPr>
      </w:pPr>
      <w:r w:rsidRPr="00A52AB8" w:rsidDel="008238EA">
        <w:rPr>
          <w:color w:val="000000" w:themeColor="text1"/>
        </w:rPr>
        <w:t>HSS</w:t>
      </w:r>
      <w:r w:rsidRPr="00A52AB8" w:rsidDel="008238EA">
        <w:rPr>
          <w:color w:val="000000" w:themeColor="text1"/>
        </w:rPr>
        <w:tab/>
        <w:t>Hypothetical Stream Scheduler</w:t>
      </w:r>
    </w:p>
    <w:p w14:paraId="2063A457" w14:textId="03DBAE34" w:rsidR="00ED72F5" w:rsidRPr="00A52AB8" w:rsidDel="008238EA" w:rsidRDefault="00ED72F5">
      <w:pPr>
        <w:tabs>
          <w:tab w:val="clear" w:pos="403"/>
        </w:tabs>
      </w:pPr>
      <w:r w:rsidRPr="00A52AB8" w:rsidDel="008238EA">
        <w:t>I</w:t>
      </w:r>
      <w:r w:rsidRPr="00A52AB8" w:rsidDel="008238EA">
        <w:tab/>
        <w:t>Intra</w:t>
      </w:r>
    </w:p>
    <w:p w14:paraId="29A45B20" w14:textId="0352416C" w:rsidR="00ED72F5" w:rsidRPr="00A52AB8" w:rsidDel="008238EA" w:rsidRDefault="00ED72F5">
      <w:pPr>
        <w:tabs>
          <w:tab w:val="clear" w:pos="403"/>
        </w:tabs>
        <w:rPr>
          <w:color w:val="000000" w:themeColor="text1"/>
        </w:rPr>
      </w:pPr>
      <w:r w:rsidRPr="00A52AB8" w:rsidDel="008238EA">
        <w:rPr>
          <w:color w:val="000000" w:themeColor="text1"/>
        </w:rPr>
        <w:t>IDR</w:t>
      </w:r>
      <w:r w:rsidRPr="00A52AB8" w:rsidDel="008238EA">
        <w:rPr>
          <w:color w:val="000000" w:themeColor="text1"/>
        </w:rPr>
        <w:tab/>
        <w:t>Instantaneous Decoding Refresh</w:t>
      </w:r>
    </w:p>
    <w:p w14:paraId="214892F9" w14:textId="4A966EFA" w:rsidR="00ED72F5" w:rsidRPr="00A52AB8" w:rsidDel="008238EA" w:rsidRDefault="00ED72F5">
      <w:pPr>
        <w:tabs>
          <w:tab w:val="clear" w:pos="403"/>
        </w:tabs>
        <w:rPr>
          <w:color w:val="000000" w:themeColor="text1"/>
        </w:rPr>
      </w:pPr>
      <w:r w:rsidRPr="00A52AB8" w:rsidDel="008238EA">
        <w:rPr>
          <w:color w:val="000000" w:themeColor="text1"/>
        </w:rPr>
        <w:t>IRAP</w:t>
      </w:r>
      <w:r w:rsidRPr="00A52AB8" w:rsidDel="008238EA">
        <w:rPr>
          <w:color w:val="000000" w:themeColor="text1"/>
        </w:rPr>
        <w:tab/>
        <w:t>Intra Random Access Point</w:t>
      </w:r>
    </w:p>
    <w:p w14:paraId="783B24B5" w14:textId="233F9E62" w:rsidR="00ED72F5" w:rsidRPr="00A52AB8" w:rsidDel="008238EA" w:rsidRDefault="00ED72F5">
      <w:pPr>
        <w:tabs>
          <w:tab w:val="clear" w:pos="403"/>
        </w:tabs>
        <w:rPr>
          <w:color w:val="000000" w:themeColor="text1"/>
        </w:rPr>
      </w:pPr>
      <w:r w:rsidRPr="00A52AB8" w:rsidDel="008238EA">
        <w:rPr>
          <w:color w:val="000000" w:themeColor="text1"/>
        </w:rPr>
        <w:t>LSB</w:t>
      </w:r>
      <w:r w:rsidRPr="00A52AB8" w:rsidDel="008238EA">
        <w:rPr>
          <w:color w:val="000000" w:themeColor="text1"/>
        </w:rPr>
        <w:tab/>
        <w:t>Least Significant Bit</w:t>
      </w:r>
    </w:p>
    <w:p w14:paraId="0FFC342F" w14:textId="0EDA2D13" w:rsidR="00ED72F5" w:rsidRPr="00A52AB8" w:rsidDel="008238EA" w:rsidRDefault="00ED72F5">
      <w:pPr>
        <w:tabs>
          <w:tab w:val="clear" w:pos="403"/>
        </w:tabs>
        <w:rPr>
          <w:color w:val="000000" w:themeColor="text1"/>
        </w:rPr>
      </w:pPr>
      <w:r w:rsidRPr="00A52AB8" w:rsidDel="008238EA">
        <w:rPr>
          <w:color w:val="000000" w:themeColor="text1"/>
        </w:rPr>
        <w:t>MSB</w:t>
      </w:r>
      <w:r w:rsidRPr="00A52AB8" w:rsidDel="008238EA">
        <w:rPr>
          <w:color w:val="000000" w:themeColor="text1"/>
        </w:rPr>
        <w:tab/>
        <w:t>Most Significant Bit</w:t>
      </w:r>
    </w:p>
    <w:p w14:paraId="596AAF70" w14:textId="0E4EC911" w:rsidR="00422EA9" w:rsidRPr="00A52AB8" w:rsidDel="008238EA" w:rsidRDefault="00422EA9">
      <w:pPr>
        <w:tabs>
          <w:tab w:val="clear" w:pos="403"/>
        </w:tabs>
        <w:rPr>
          <w:color w:val="000000" w:themeColor="text1"/>
          <w:lang w:eastAsia="ja-JP"/>
        </w:rPr>
      </w:pPr>
      <w:r w:rsidRPr="00A52AB8" w:rsidDel="008238EA">
        <w:rPr>
          <w:color w:val="000000" w:themeColor="text1"/>
          <w:lang w:eastAsia="ja-JP"/>
        </w:rPr>
        <w:t>NAL</w:t>
      </w:r>
      <w:r w:rsidRPr="00A52AB8" w:rsidDel="008238EA">
        <w:rPr>
          <w:color w:val="000000" w:themeColor="text1"/>
          <w:lang w:eastAsia="ja-JP"/>
        </w:rPr>
        <w:tab/>
        <w:t>Network Abstraction Layer</w:t>
      </w:r>
    </w:p>
    <w:p w14:paraId="6CD936A6" w14:textId="13E262F5" w:rsidR="00ED72F5" w:rsidRPr="00A52AB8" w:rsidDel="008238EA" w:rsidRDefault="00ED72F5">
      <w:pPr>
        <w:tabs>
          <w:tab w:val="clear" w:pos="403"/>
        </w:tabs>
        <w:rPr>
          <w:color w:val="000000" w:themeColor="text1"/>
        </w:rPr>
      </w:pPr>
      <w:r w:rsidRPr="00A52AB8" w:rsidDel="008238EA">
        <w:rPr>
          <w:color w:val="000000" w:themeColor="text1"/>
        </w:rPr>
        <w:t>P</w:t>
      </w:r>
      <w:r w:rsidRPr="00A52AB8" w:rsidDel="008238EA">
        <w:rPr>
          <w:color w:val="000000" w:themeColor="text1"/>
        </w:rPr>
        <w:tab/>
        <w:t>Predictive</w:t>
      </w:r>
    </w:p>
    <w:p w14:paraId="3DDCB278" w14:textId="28E9960D" w:rsidR="004C4C00" w:rsidRPr="00A52AB8" w:rsidDel="008238EA" w:rsidRDefault="004C4C00" w:rsidP="004C4C00">
      <w:pPr>
        <w:tabs>
          <w:tab w:val="clear" w:pos="403"/>
        </w:tabs>
        <w:rPr>
          <w:color w:val="000000" w:themeColor="text1"/>
          <w:lang w:eastAsia="ja-JP"/>
        </w:rPr>
      </w:pPr>
      <w:r w:rsidRPr="00A52AB8" w:rsidDel="008238EA">
        <w:rPr>
          <w:color w:val="000000" w:themeColor="text1"/>
        </w:rPr>
        <w:t>PCC</w:t>
      </w:r>
      <w:r w:rsidRPr="00A52AB8" w:rsidDel="008238EA">
        <w:rPr>
          <w:color w:val="000000" w:themeColor="text1"/>
        </w:rPr>
        <w:tab/>
        <w:t>Point Cloud Co</w:t>
      </w:r>
      <w:r w:rsidRPr="00A52AB8" w:rsidDel="008238EA">
        <w:rPr>
          <w:color w:val="000000" w:themeColor="text1"/>
          <w:lang w:eastAsia="ja-JP"/>
        </w:rPr>
        <w:t>mpression</w:t>
      </w:r>
    </w:p>
    <w:p w14:paraId="64126BC6" w14:textId="1A072081" w:rsidR="00ED72F5" w:rsidRPr="00A52AB8" w:rsidDel="008238EA" w:rsidRDefault="00ED72F5">
      <w:pPr>
        <w:tabs>
          <w:tab w:val="clear" w:pos="403"/>
        </w:tabs>
        <w:rPr>
          <w:color w:val="000000" w:themeColor="text1"/>
          <w:lang w:eastAsia="ja-JP"/>
        </w:rPr>
      </w:pPr>
      <w:r w:rsidRPr="00A52AB8" w:rsidDel="008238EA">
        <w:rPr>
          <w:color w:val="000000" w:themeColor="text1"/>
          <w:lang w:eastAsia="ja-JP"/>
        </w:rPr>
        <w:t>PLR</w:t>
      </w:r>
      <w:r w:rsidRPr="00A52AB8" w:rsidDel="008238EA">
        <w:rPr>
          <w:color w:val="000000" w:themeColor="text1"/>
          <w:lang w:eastAsia="ja-JP"/>
        </w:rPr>
        <w:tab/>
        <w:t>Point Local Reconstruction</w:t>
      </w:r>
    </w:p>
    <w:p w14:paraId="31BD734E" w14:textId="48C047CE" w:rsidR="002E112A" w:rsidRPr="00A52AB8" w:rsidDel="008238EA" w:rsidRDefault="002E112A">
      <w:pPr>
        <w:tabs>
          <w:tab w:val="clear" w:pos="403"/>
        </w:tabs>
        <w:rPr>
          <w:color w:val="000000" w:themeColor="text1"/>
          <w:lang w:eastAsia="ja-JP"/>
        </w:rPr>
      </w:pPr>
      <w:r w:rsidRPr="00A52AB8" w:rsidDel="008238EA">
        <w:rPr>
          <w:color w:val="000000" w:themeColor="text1"/>
          <w:lang w:eastAsia="ja-JP"/>
        </w:rPr>
        <w:t>RAFL</w:t>
      </w:r>
      <w:r w:rsidRPr="00A52AB8" w:rsidDel="008238EA">
        <w:rPr>
          <w:color w:val="000000" w:themeColor="text1"/>
          <w:lang w:eastAsia="ja-JP"/>
        </w:rPr>
        <w:tab/>
        <w:t>Reference Atlas Frame List</w:t>
      </w:r>
    </w:p>
    <w:p w14:paraId="4BFD5226" w14:textId="33514CD0" w:rsidR="00ED72F5" w:rsidRPr="00A52AB8" w:rsidDel="008238EA" w:rsidRDefault="00ED72F5">
      <w:pPr>
        <w:tabs>
          <w:tab w:val="clear" w:pos="403"/>
        </w:tabs>
        <w:rPr>
          <w:color w:val="000000" w:themeColor="text1"/>
        </w:rPr>
      </w:pPr>
      <w:r w:rsidRPr="00A52AB8" w:rsidDel="008238EA">
        <w:rPr>
          <w:color w:val="000000" w:themeColor="text1"/>
        </w:rPr>
        <w:t>RBSP</w:t>
      </w:r>
      <w:r w:rsidRPr="00A52AB8" w:rsidDel="008238EA">
        <w:rPr>
          <w:color w:val="000000" w:themeColor="text1"/>
        </w:rPr>
        <w:tab/>
        <w:t>Raw Byte Sequence Payload</w:t>
      </w:r>
    </w:p>
    <w:p w14:paraId="50455B56" w14:textId="038CFA58" w:rsidR="000C0E11" w:rsidRPr="00A52AB8" w:rsidDel="008238EA" w:rsidRDefault="000C0E11">
      <w:pPr>
        <w:tabs>
          <w:tab w:val="clear" w:pos="403"/>
        </w:tabs>
        <w:rPr>
          <w:color w:val="000000" w:themeColor="text1"/>
        </w:rPr>
      </w:pPr>
      <w:r w:rsidRPr="00A52AB8" w:rsidDel="008238EA">
        <w:rPr>
          <w:color w:val="000000" w:themeColor="text1"/>
        </w:rPr>
        <w:t>SODB</w:t>
      </w:r>
      <w:r w:rsidRPr="00A52AB8" w:rsidDel="008238EA">
        <w:rPr>
          <w:color w:val="000000" w:themeColor="text1"/>
        </w:rPr>
        <w:tab/>
        <w:t>String of Data Bits</w:t>
      </w:r>
    </w:p>
    <w:p w14:paraId="0FCDE2CA" w14:textId="216F8B2D" w:rsidR="00063D5E" w:rsidRPr="00A52AB8" w:rsidDel="008238EA" w:rsidRDefault="00063D5E">
      <w:pPr>
        <w:tabs>
          <w:tab w:val="clear" w:pos="403"/>
        </w:tabs>
        <w:rPr>
          <w:color w:val="000000" w:themeColor="text1"/>
        </w:rPr>
      </w:pPr>
      <w:r w:rsidRPr="00A52AB8" w:rsidDel="008238EA">
        <w:rPr>
          <w:color w:val="000000" w:themeColor="text1"/>
        </w:rPr>
        <w:t>V3C</w:t>
      </w:r>
      <w:r w:rsidRPr="00A52AB8" w:rsidDel="008238EA">
        <w:rPr>
          <w:color w:val="000000" w:themeColor="text1"/>
        </w:rPr>
        <w:tab/>
        <w:t>Visual</w:t>
      </w:r>
      <w:r w:rsidR="009112B3" w:rsidRPr="00A52AB8" w:rsidDel="008238EA">
        <w:rPr>
          <w:color w:val="000000" w:themeColor="text1"/>
        </w:rPr>
        <w:t xml:space="preserve"> Volumetric Video-based Coding</w:t>
      </w:r>
    </w:p>
    <w:p w14:paraId="709E436A" w14:textId="375564C6" w:rsidR="004C4C00" w:rsidRPr="00A52AB8" w:rsidDel="008238EA" w:rsidRDefault="004C4C00" w:rsidP="00E860C4">
      <w:r w:rsidRPr="00A52AB8" w:rsidDel="008238EA">
        <w:t>V-PCC</w:t>
      </w:r>
      <w:r w:rsidRPr="00A52AB8" w:rsidDel="008238EA">
        <w:tab/>
        <w:t>Video-based Point Cloud Compression</w:t>
      </w:r>
    </w:p>
    <w:p w14:paraId="68820C1D" w14:textId="5E10A6AB" w:rsidR="00120E20" w:rsidRPr="00A52AB8" w:rsidRDefault="00120E20">
      <w:pPr>
        <w:pStyle w:val="Heading1"/>
        <w:spacing w:line="240" w:lineRule="atLeast"/>
        <w:jc w:val="both"/>
        <w:rPr>
          <w:color w:val="000000" w:themeColor="text1"/>
        </w:rPr>
      </w:pPr>
      <w:bookmarkStart w:id="306" w:name="_Toc38318942"/>
      <w:bookmarkStart w:id="307" w:name="_Toc38354488"/>
      <w:bookmarkStart w:id="308" w:name="_Toc38890638"/>
      <w:bookmarkStart w:id="309" w:name="_Toc39425223"/>
      <w:bookmarkStart w:id="310" w:name="_Toc529874730"/>
      <w:bookmarkStart w:id="311" w:name="_Toc529874799"/>
      <w:bookmarkStart w:id="312" w:name="_Toc529874891"/>
      <w:bookmarkStart w:id="313" w:name="_Toc529874952"/>
      <w:bookmarkStart w:id="314" w:name="_Toc529875163"/>
      <w:bookmarkStart w:id="315" w:name="_Toc529878713"/>
      <w:bookmarkStart w:id="316" w:name="_Toc529879682"/>
      <w:bookmarkStart w:id="317" w:name="_Toc529880808"/>
      <w:bookmarkStart w:id="318" w:name="_Toc529881615"/>
      <w:bookmarkStart w:id="319" w:name="_Toc529882050"/>
      <w:bookmarkStart w:id="320" w:name="_Toc529882357"/>
      <w:bookmarkStart w:id="321" w:name="_Toc529893843"/>
      <w:bookmarkStart w:id="322" w:name="_Toc529959448"/>
      <w:bookmarkStart w:id="323" w:name="_Ref38313976"/>
      <w:bookmarkStart w:id="324" w:name="_Toc52181577"/>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r w:rsidRPr="00A52AB8">
        <w:rPr>
          <w:color w:val="000000" w:themeColor="text1"/>
        </w:rPr>
        <w:lastRenderedPageBreak/>
        <w:t>Conventions</w:t>
      </w:r>
      <w:bookmarkEnd w:id="323"/>
      <w:bookmarkEnd w:id="324"/>
    </w:p>
    <w:p w14:paraId="60179F3B" w14:textId="1D89471F" w:rsidR="00120E20" w:rsidRPr="00A52AB8" w:rsidRDefault="00120E20" w:rsidP="00A308D1">
      <w:pPr>
        <w:pStyle w:val="Heading2"/>
      </w:pPr>
      <w:bookmarkStart w:id="325" w:name="_Toc33005123"/>
      <w:bookmarkStart w:id="326" w:name="_Toc219707772"/>
      <w:bookmarkStart w:id="327" w:name="_Toc219707773"/>
      <w:bookmarkStart w:id="328" w:name="_Toc219707774"/>
      <w:bookmarkStart w:id="329" w:name="_Toc219707775"/>
      <w:bookmarkStart w:id="330" w:name="_Toc219707783"/>
      <w:bookmarkStart w:id="331" w:name="_Toc390728000"/>
      <w:bookmarkStart w:id="332" w:name="_Toc511952610"/>
      <w:bookmarkStart w:id="333" w:name="_Toc52181578"/>
      <w:bookmarkEnd w:id="325"/>
      <w:bookmarkEnd w:id="326"/>
      <w:bookmarkEnd w:id="327"/>
      <w:bookmarkEnd w:id="328"/>
      <w:bookmarkEnd w:id="329"/>
      <w:bookmarkEnd w:id="330"/>
      <w:r w:rsidRPr="00A52AB8">
        <w:t>General</w:t>
      </w:r>
      <w:bookmarkEnd w:id="331"/>
      <w:bookmarkEnd w:id="332"/>
      <w:bookmarkEnd w:id="333"/>
    </w:p>
    <w:p w14:paraId="05448D74" w14:textId="77777777" w:rsidR="00120E20" w:rsidRPr="00A52AB8" w:rsidRDefault="00120E20">
      <w:pPr>
        <w:pStyle w:val="Note1"/>
        <w:rPr>
          <w:rFonts w:ascii="Cambria" w:hAnsi="Cambria"/>
          <w:color w:val="000000" w:themeColor="text1"/>
        </w:rPr>
      </w:pPr>
      <w:r w:rsidRPr="00A52AB8">
        <w:rPr>
          <w:rFonts w:ascii="Cambria" w:hAnsi="Cambria"/>
          <w:color w:val="000000" w:themeColor="text1"/>
        </w:rPr>
        <w:t xml:space="preserve">NOTE – The mathematical operators used in this </w:t>
      </w:r>
      <w:r w:rsidR="0015211D" w:rsidRPr="00A52AB8">
        <w:rPr>
          <w:rFonts w:ascii="Cambria" w:hAnsi="Cambria"/>
          <w:color w:val="000000" w:themeColor="text1"/>
        </w:rPr>
        <w:t xml:space="preserve">document </w:t>
      </w:r>
      <w:r w:rsidRPr="00A52AB8">
        <w:rPr>
          <w:rFonts w:ascii="Cambria" w:hAnsi="Cambria"/>
          <w:color w:val="000000" w:themeColor="text1"/>
        </w:rPr>
        <w:t>are similar to those used in the C programming language. However, the results of integer division and arithmetic shift operations are defined more precisely, and additional operations are defined, such as exponentiation and real-valued division. Numbering and counting conventions generally begin from 0.</w:t>
      </w:r>
    </w:p>
    <w:p w14:paraId="31F347A6" w14:textId="4121D1F3" w:rsidR="00120E20" w:rsidRPr="00A52AB8" w:rsidRDefault="00120E20" w:rsidP="005C26E9">
      <w:pPr>
        <w:pStyle w:val="Heading2"/>
        <w:rPr>
          <w:color w:val="000000" w:themeColor="text1"/>
        </w:rPr>
      </w:pPr>
      <w:bookmarkStart w:id="334" w:name="_Toc20134224"/>
      <w:bookmarkStart w:id="335" w:name="_Toc24455817"/>
      <w:bookmarkStart w:id="336" w:name="_Toc77680335"/>
      <w:bookmarkStart w:id="337" w:name="_Toc118289001"/>
      <w:bookmarkStart w:id="338" w:name="_Toc226456471"/>
      <w:bookmarkStart w:id="339" w:name="_Toc248045174"/>
      <w:bookmarkStart w:id="340" w:name="_Toc287363730"/>
      <w:bookmarkStart w:id="341" w:name="_Toc311216713"/>
      <w:bookmarkStart w:id="342" w:name="_Toc317198678"/>
      <w:bookmarkStart w:id="343" w:name="_Toc390728001"/>
      <w:bookmarkStart w:id="344" w:name="_Toc511952611"/>
      <w:bookmarkStart w:id="345" w:name="_Toc52181579"/>
      <w:r w:rsidRPr="00A52AB8">
        <w:rPr>
          <w:color w:val="000000" w:themeColor="text1"/>
        </w:rPr>
        <w:t>Arithmetic operators</w:t>
      </w:r>
      <w:bookmarkEnd w:id="334"/>
      <w:bookmarkEnd w:id="335"/>
      <w:bookmarkEnd w:id="336"/>
      <w:bookmarkEnd w:id="337"/>
      <w:bookmarkEnd w:id="338"/>
      <w:bookmarkEnd w:id="339"/>
      <w:bookmarkEnd w:id="340"/>
      <w:bookmarkEnd w:id="341"/>
      <w:bookmarkEnd w:id="342"/>
      <w:bookmarkEnd w:id="343"/>
      <w:bookmarkEnd w:id="344"/>
      <w:bookmarkEnd w:id="345"/>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2"/>
        <w:gridCol w:w="8900"/>
      </w:tblGrid>
      <w:tr w:rsidR="002A58B2" w:rsidRPr="00A52AB8" w14:paraId="66DA11D4" w14:textId="77777777" w:rsidTr="00466D1D">
        <w:tc>
          <w:tcPr>
            <w:tcW w:w="437" w:type="pct"/>
            <w:vAlign w:val="center"/>
          </w:tcPr>
          <w:p w14:paraId="5D108119" w14:textId="77777777" w:rsidR="002A58B2" w:rsidRPr="00A52AB8" w:rsidRDefault="002A58B2">
            <w:pPr>
              <w:pStyle w:val="enumlev1"/>
              <w:tabs>
                <w:tab w:val="clear" w:pos="794"/>
                <w:tab w:val="clear" w:pos="1191"/>
                <w:tab w:val="clear" w:pos="1588"/>
                <w:tab w:val="clear" w:pos="1985"/>
              </w:tabs>
              <w:ind w:left="0" w:firstLine="0"/>
              <w:jc w:val="left"/>
              <w:rPr>
                <w:rFonts w:ascii="Cambria" w:hAnsi="Cambria"/>
                <w:color w:val="000000" w:themeColor="text1"/>
              </w:rPr>
            </w:pPr>
            <w:r w:rsidRPr="00A52AB8">
              <w:rPr>
                <w:rFonts w:ascii="Cambria" w:hAnsi="Cambria" w:cs="Symbol"/>
                <w:color w:val="000000" w:themeColor="text1"/>
              </w:rPr>
              <w:t>+</w:t>
            </w:r>
          </w:p>
        </w:tc>
        <w:tc>
          <w:tcPr>
            <w:tcW w:w="4563" w:type="pct"/>
            <w:vAlign w:val="center"/>
          </w:tcPr>
          <w:p w14:paraId="5D357518" w14:textId="77777777" w:rsidR="002A58B2" w:rsidRPr="00A52AB8" w:rsidRDefault="00B661CE">
            <w:pPr>
              <w:pStyle w:val="enumlev1"/>
              <w:tabs>
                <w:tab w:val="clear" w:pos="794"/>
                <w:tab w:val="clear" w:pos="1191"/>
                <w:tab w:val="clear" w:pos="1588"/>
                <w:tab w:val="clear" w:pos="1985"/>
              </w:tabs>
              <w:ind w:left="0" w:firstLine="0"/>
              <w:rPr>
                <w:rFonts w:ascii="Cambria" w:hAnsi="Cambria"/>
                <w:color w:val="000000" w:themeColor="text1"/>
              </w:rPr>
            </w:pPr>
            <w:r w:rsidRPr="00A52AB8">
              <w:rPr>
                <w:rFonts w:ascii="Cambria" w:hAnsi="Cambria"/>
                <w:color w:val="000000" w:themeColor="text1"/>
              </w:rPr>
              <w:t>a</w:t>
            </w:r>
            <w:r w:rsidR="002A58B2" w:rsidRPr="00A52AB8">
              <w:rPr>
                <w:rFonts w:ascii="Cambria" w:hAnsi="Cambria"/>
                <w:color w:val="000000" w:themeColor="text1"/>
              </w:rPr>
              <w:t>ddition</w:t>
            </w:r>
          </w:p>
        </w:tc>
      </w:tr>
      <w:tr w:rsidR="002A58B2" w:rsidRPr="00A52AB8" w14:paraId="46024750" w14:textId="77777777" w:rsidTr="00466D1D">
        <w:tc>
          <w:tcPr>
            <w:tcW w:w="437" w:type="pct"/>
            <w:vAlign w:val="center"/>
          </w:tcPr>
          <w:p w14:paraId="56EAD25F" w14:textId="77777777" w:rsidR="002A58B2" w:rsidRPr="00A52AB8" w:rsidRDefault="002A58B2" w:rsidP="004F7C57">
            <w:pPr>
              <w:pStyle w:val="enumlev1"/>
              <w:tabs>
                <w:tab w:val="clear" w:pos="794"/>
                <w:tab w:val="clear" w:pos="1191"/>
                <w:tab w:val="clear" w:pos="1588"/>
                <w:tab w:val="clear" w:pos="1985"/>
              </w:tabs>
              <w:ind w:left="0" w:firstLine="0"/>
              <w:jc w:val="left"/>
              <w:rPr>
                <w:rFonts w:ascii="Cambria" w:hAnsi="Cambria"/>
                <w:color w:val="000000" w:themeColor="text1"/>
              </w:rPr>
            </w:pPr>
            <w:r w:rsidRPr="00A52AB8">
              <w:rPr>
                <w:rFonts w:ascii="Cambria" w:hAnsi="Cambria"/>
                <w:color w:val="000000" w:themeColor="text1"/>
              </w:rPr>
              <w:t>−</w:t>
            </w:r>
          </w:p>
        </w:tc>
        <w:tc>
          <w:tcPr>
            <w:tcW w:w="4563" w:type="pct"/>
            <w:vAlign w:val="center"/>
          </w:tcPr>
          <w:p w14:paraId="099576FC" w14:textId="77777777" w:rsidR="002A58B2" w:rsidRPr="00A52AB8" w:rsidRDefault="00B661CE" w:rsidP="004F7C57">
            <w:pPr>
              <w:pStyle w:val="enumlev1"/>
              <w:tabs>
                <w:tab w:val="clear" w:pos="794"/>
                <w:tab w:val="clear" w:pos="1191"/>
                <w:tab w:val="clear" w:pos="1588"/>
                <w:tab w:val="clear" w:pos="1985"/>
              </w:tabs>
              <w:ind w:left="0" w:firstLine="0"/>
              <w:rPr>
                <w:rFonts w:ascii="Cambria" w:hAnsi="Cambria"/>
                <w:color w:val="000000" w:themeColor="text1"/>
              </w:rPr>
            </w:pPr>
            <w:r w:rsidRPr="00A52AB8">
              <w:rPr>
                <w:rFonts w:ascii="Cambria" w:hAnsi="Cambria"/>
                <w:color w:val="000000" w:themeColor="text1"/>
              </w:rPr>
              <w:t>s</w:t>
            </w:r>
            <w:r w:rsidR="002A58B2" w:rsidRPr="00A52AB8">
              <w:rPr>
                <w:rFonts w:ascii="Cambria" w:hAnsi="Cambria"/>
                <w:color w:val="000000" w:themeColor="text1"/>
              </w:rPr>
              <w:t>ubtraction (as a two-argument operator) or negation (as a unary prefix operator)</w:t>
            </w:r>
          </w:p>
        </w:tc>
      </w:tr>
      <w:tr w:rsidR="002A58B2" w:rsidRPr="00A52AB8" w14:paraId="070A3F9D" w14:textId="77777777" w:rsidTr="00466D1D">
        <w:tc>
          <w:tcPr>
            <w:tcW w:w="437" w:type="pct"/>
            <w:vAlign w:val="center"/>
          </w:tcPr>
          <w:p w14:paraId="60769084" w14:textId="77777777" w:rsidR="002A58B2" w:rsidRPr="00A52AB8" w:rsidRDefault="002A58B2" w:rsidP="004F7C57">
            <w:pPr>
              <w:pStyle w:val="enumlev1"/>
              <w:tabs>
                <w:tab w:val="clear" w:pos="794"/>
                <w:tab w:val="clear" w:pos="1191"/>
                <w:tab w:val="clear" w:pos="1588"/>
                <w:tab w:val="clear" w:pos="1985"/>
              </w:tabs>
              <w:ind w:left="0" w:firstLine="0"/>
              <w:jc w:val="left"/>
              <w:rPr>
                <w:rFonts w:ascii="Cambria" w:hAnsi="Cambria"/>
                <w:color w:val="000000" w:themeColor="text1"/>
              </w:rPr>
            </w:pPr>
            <w:r w:rsidRPr="00A52AB8">
              <w:rPr>
                <w:rFonts w:ascii="Cambria" w:hAnsi="Cambria"/>
                <w:color w:val="000000" w:themeColor="text1"/>
              </w:rPr>
              <w:t>*</w:t>
            </w:r>
          </w:p>
        </w:tc>
        <w:tc>
          <w:tcPr>
            <w:tcW w:w="4563" w:type="pct"/>
            <w:vAlign w:val="center"/>
          </w:tcPr>
          <w:p w14:paraId="3F930A98" w14:textId="77777777" w:rsidR="002A58B2" w:rsidRPr="00A52AB8" w:rsidRDefault="00B661CE" w:rsidP="004F7C57">
            <w:pPr>
              <w:pStyle w:val="enumlev1"/>
              <w:tabs>
                <w:tab w:val="clear" w:pos="794"/>
                <w:tab w:val="clear" w:pos="1191"/>
                <w:tab w:val="clear" w:pos="1588"/>
                <w:tab w:val="clear" w:pos="1985"/>
              </w:tabs>
              <w:ind w:left="0" w:firstLine="0"/>
              <w:rPr>
                <w:rFonts w:ascii="Cambria" w:hAnsi="Cambria"/>
                <w:color w:val="000000" w:themeColor="text1"/>
              </w:rPr>
            </w:pPr>
            <w:r w:rsidRPr="00A52AB8">
              <w:rPr>
                <w:rFonts w:ascii="Cambria" w:hAnsi="Cambria"/>
                <w:color w:val="000000" w:themeColor="text1"/>
              </w:rPr>
              <w:t>m</w:t>
            </w:r>
            <w:r w:rsidR="002A58B2" w:rsidRPr="00A52AB8">
              <w:rPr>
                <w:rFonts w:ascii="Cambria" w:hAnsi="Cambria"/>
                <w:color w:val="000000" w:themeColor="text1"/>
              </w:rPr>
              <w:t>ultiplication, including matrix multiplication</w:t>
            </w:r>
          </w:p>
        </w:tc>
      </w:tr>
      <w:tr w:rsidR="002A58B2" w:rsidRPr="00A52AB8" w14:paraId="5F6AD990" w14:textId="77777777" w:rsidTr="00466D1D">
        <w:tc>
          <w:tcPr>
            <w:tcW w:w="437" w:type="pct"/>
            <w:vAlign w:val="center"/>
          </w:tcPr>
          <w:p w14:paraId="2F372E12" w14:textId="77777777" w:rsidR="002A58B2" w:rsidRPr="00A52AB8" w:rsidRDefault="002A58B2" w:rsidP="004F7C57">
            <w:pPr>
              <w:pStyle w:val="enumlev1"/>
              <w:tabs>
                <w:tab w:val="clear" w:pos="794"/>
                <w:tab w:val="clear" w:pos="1191"/>
                <w:tab w:val="clear" w:pos="1588"/>
                <w:tab w:val="clear" w:pos="1985"/>
              </w:tabs>
              <w:ind w:left="0" w:firstLine="0"/>
              <w:jc w:val="left"/>
              <w:rPr>
                <w:rFonts w:ascii="Cambria" w:hAnsi="Cambria"/>
                <w:color w:val="000000" w:themeColor="text1"/>
              </w:rPr>
            </w:pPr>
            <w:r w:rsidRPr="00A52AB8">
              <w:rPr>
                <w:rFonts w:ascii="Cambria" w:hAnsi="Cambria"/>
                <w:color w:val="000000" w:themeColor="text1"/>
              </w:rPr>
              <w:t>x</w:t>
            </w:r>
            <w:r w:rsidRPr="00A52AB8">
              <w:rPr>
                <w:rFonts w:ascii="Cambria" w:hAnsi="Cambria"/>
                <w:color w:val="000000" w:themeColor="text1"/>
                <w:vertAlign w:val="superscript"/>
              </w:rPr>
              <w:t>y</w:t>
            </w:r>
          </w:p>
        </w:tc>
        <w:tc>
          <w:tcPr>
            <w:tcW w:w="4563" w:type="pct"/>
            <w:vAlign w:val="center"/>
          </w:tcPr>
          <w:p w14:paraId="72EF3FAE" w14:textId="77777777" w:rsidR="002A58B2" w:rsidRPr="00A52AB8" w:rsidRDefault="00B661CE" w:rsidP="004F7C57">
            <w:pPr>
              <w:pStyle w:val="enumlev1"/>
              <w:tabs>
                <w:tab w:val="clear" w:pos="794"/>
                <w:tab w:val="clear" w:pos="1191"/>
                <w:tab w:val="clear" w:pos="1588"/>
                <w:tab w:val="clear" w:pos="1985"/>
              </w:tabs>
              <w:ind w:left="0" w:firstLine="0"/>
              <w:rPr>
                <w:rFonts w:ascii="Cambria" w:hAnsi="Cambria"/>
                <w:color w:val="000000" w:themeColor="text1"/>
              </w:rPr>
            </w:pPr>
            <w:r w:rsidRPr="00A52AB8">
              <w:rPr>
                <w:rFonts w:ascii="Cambria" w:hAnsi="Cambria"/>
                <w:color w:val="000000" w:themeColor="text1"/>
              </w:rPr>
              <w:t>e</w:t>
            </w:r>
            <w:r w:rsidR="002A58B2" w:rsidRPr="00A52AB8">
              <w:rPr>
                <w:rFonts w:ascii="Cambria" w:hAnsi="Cambria"/>
                <w:color w:val="000000" w:themeColor="text1"/>
              </w:rPr>
              <w:t xml:space="preserve">xponentiation. Specifies </w:t>
            </w:r>
            <w:r w:rsidR="002A58B2" w:rsidRPr="00A52AB8">
              <w:rPr>
                <w:rFonts w:ascii="Cambria" w:hAnsi="Cambria"/>
                <w:iCs/>
                <w:color w:val="000000" w:themeColor="text1"/>
              </w:rPr>
              <w:t>x</w:t>
            </w:r>
            <w:r w:rsidR="002A58B2" w:rsidRPr="00A52AB8">
              <w:rPr>
                <w:rFonts w:ascii="Cambria" w:hAnsi="Cambria"/>
                <w:color w:val="000000" w:themeColor="text1"/>
              </w:rPr>
              <w:t xml:space="preserve"> to the power of </w:t>
            </w:r>
            <w:r w:rsidR="002A58B2" w:rsidRPr="00A52AB8">
              <w:rPr>
                <w:rFonts w:ascii="Cambria" w:hAnsi="Cambria"/>
                <w:iCs/>
                <w:color w:val="000000" w:themeColor="text1"/>
              </w:rPr>
              <w:t>y</w:t>
            </w:r>
            <w:r w:rsidR="002A58B2" w:rsidRPr="00A52AB8">
              <w:rPr>
                <w:rFonts w:ascii="Cambria" w:hAnsi="Cambria"/>
                <w:color w:val="000000" w:themeColor="text1"/>
              </w:rPr>
              <w:t>. In other contexts, such notation is used for superscripting not intended for interpretation as exponentiation.</w:t>
            </w:r>
          </w:p>
        </w:tc>
      </w:tr>
      <w:tr w:rsidR="002A58B2" w:rsidRPr="00A52AB8" w14:paraId="3BED1163" w14:textId="77777777" w:rsidTr="00466D1D">
        <w:tc>
          <w:tcPr>
            <w:tcW w:w="437" w:type="pct"/>
            <w:vAlign w:val="center"/>
          </w:tcPr>
          <w:p w14:paraId="2129641F" w14:textId="77777777" w:rsidR="002A58B2" w:rsidRPr="00A52AB8" w:rsidRDefault="002A58B2" w:rsidP="004F7C57">
            <w:pPr>
              <w:pStyle w:val="enumlev1"/>
              <w:tabs>
                <w:tab w:val="clear" w:pos="794"/>
                <w:tab w:val="clear" w:pos="1191"/>
                <w:tab w:val="clear" w:pos="1588"/>
                <w:tab w:val="clear" w:pos="1985"/>
              </w:tabs>
              <w:ind w:left="0" w:firstLine="0"/>
              <w:jc w:val="left"/>
              <w:rPr>
                <w:rFonts w:ascii="Cambria" w:hAnsi="Cambria"/>
                <w:color w:val="000000" w:themeColor="text1"/>
              </w:rPr>
            </w:pPr>
            <w:r w:rsidRPr="00A52AB8">
              <w:rPr>
                <w:rFonts w:ascii="Cambria" w:hAnsi="Cambria"/>
                <w:color w:val="000000" w:themeColor="text1"/>
              </w:rPr>
              <w:t>/</w:t>
            </w:r>
          </w:p>
        </w:tc>
        <w:tc>
          <w:tcPr>
            <w:tcW w:w="4563" w:type="pct"/>
            <w:vAlign w:val="center"/>
          </w:tcPr>
          <w:p w14:paraId="4BF2C7F0" w14:textId="7D9D8687" w:rsidR="002A58B2" w:rsidRPr="00A52AB8" w:rsidRDefault="00B661CE" w:rsidP="004F7C57">
            <w:pPr>
              <w:pStyle w:val="enumlev1"/>
              <w:tabs>
                <w:tab w:val="clear" w:pos="794"/>
                <w:tab w:val="clear" w:pos="1191"/>
                <w:tab w:val="clear" w:pos="1588"/>
                <w:tab w:val="clear" w:pos="1985"/>
              </w:tabs>
              <w:ind w:left="0" w:firstLine="0"/>
              <w:rPr>
                <w:rFonts w:ascii="Cambria" w:hAnsi="Cambria"/>
                <w:color w:val="000000" w:themeColor="text1"/>
              </w:rPr>
            </w:pPr>
            <w:r w:rsidRPr="00A52AB8">
              <w:rPr>
                <w:rFonts w:ascii="Cambria" w:hAnsi="Cambria"/>
                <w:color w:val="000000" w:themeColor="text1"/>
              </w:rPr>
              <w:t>i</w:t>
            </w:r>
            <w:r w:rsidR="002A58B2" w:rsidRPr="00A52AB8">
              <w:rPr>
                <w:rFonts w:ascii="Cambria" w:hAnsi="Cambria"/>
                <w:color w:val="000000" w:themeColor="text1"/>
              </w:rPr>
              <w:t>nteger division with truncation of the result toward zero. For example, 7</w:t>
            </w:r>
            <w:r w:rsidR="003D3D0D" w:rsidRPr="00A52AB8">
              <w:rPr>
                <w:rFonts w:ascii="Cambria" w:hAnsi="Cambria"/>
                <w:color w:val="000000" w:themeColor="text1"/>
              </w:rPr>
              <w:t> </w:t>
            </w:r>
            <w:r w:rsidR="002A58B2" w:rsidRPr="00A52AB8">
              <w:rPr>
                <w:rFonts w:ascii="Cambria" w:hAnsi="Cambria"/>
                <w:color w:val="000000" w:themeColor="text1"/>
              </w:rPr>
              <w:t>/</w:t>
            </w:r>
            <w:r w:rsidR="003D3D0D" w:rsidRPr="00A52AB8">
              <w:rPr>
                <w:rFonts w:ascii="Cambria" w:hAnsi="Cambria"/>
                <w:color w:val="000000" w:themeColor="text1"/>
              </w:rPr>
              <w:t> </w:t>
            </w:r>
            <w:r w:rsidR="002A58B2" w:rsidRPr="00A52AB8">
              <w:rPr>
                <w:rFonts w:ascii="Cambria" w:hAnsi="Cambria"/>
                <w:color w:val="000000" w:themeColor="text1"/>
              </w:rPr>
              <w:t>4 and −7</w:t>
            </w:r>
            <w:r w:rsidR="003D3D0D" w:rsidRPr="00A52AB8">
              <w:rPr>
                <w:rFonts w:ascii="Cambria" w:hAnsi="Cambria"/>
                <w:color w:val="000000" w:themeColor="text1"/>
              </w:rPr>
              <w:t> </w:t>
            </w:r>
            <w:r w:rsidR="002A58B2" w:rsidRPr="00A52AB8">
              <w:rPr>
                <w:rFonts w:ascii="Cambria" w:hAnsi="Cambria"/>
                <w:color w:val="000000" w:themeColor="text1"/>
              </w:rPr>
              <w:t>/</w:t>
            </w:r>
            <w:r w:rsidR="003D3D0D" w:rsidRPr="00A52AB8">
              <w:rPr>
                <w:rFonts w:ascii="Cambria" w:hAnsi="Cambria"/>
                <w:color w:val="000000" w:themeColor="text1"/>
              </w:rPr>
              <w:t> </w:t>
            </w:r>
            <w:r w:rsidR="002A58B2" w:rsidRPr="00A52AB8">
              <w:rPr>
                <w:rFonts w:ascii="Cambria" w:hAnsi="Cambria"/>
                <w:color w:val="000000" w:themeColor="text1"/>
              </w:rPr>
              <w:t>−4 are truncated to 1 and −7</w:t>
            </w:r>
            <w:r w:rsidR="003D3D0D" w:rsidRPr="00A52AB8">
              <w:rPr>
                <w:rFonts w:ascii="Cambria" w:hAnsi="Cambria"/>
                <w:color w:val="000000" w:themeColor="text1"/>
              </w:rPr>
              <w:t> </w:t>
            </w:r>
            <w:r w:rsidR="002A58B2" w:rsidRPr="00A52AB8">
              <w:rPr>
                <w:rFonts w:ascii="Cambria" w:hAnsi="Cambria"/>
                <w:color w:val="000000" w:themeColor="text1"/>
              </w:rPr>
              <w:t>/</w:t>
            </w:r>
            <w:r w:rsidR="003D3D0D" w:rsidRPr="00A52AB8">
              <w:rPr>
                <w:rFonts w:ascii="Cambria" w:hAnsi="Cambria"/>
                <w:color w:val="000000" w:themeColor="text1"/>
              </w:rPr>
              <w:t> </w:t>
            </w:r>
            <w:r w:rsidR="002A58B2" w:rsidRPr="00A52AB8">
              <w:rPr>
                <w:rFonts w:ascii="Cambria" w:hAnsi="Cambria"/>
                <w:color w:val="000000" w:themeColor="text1"/>
              </w:rPr>
              <w:t>4 and 7</w:t>
            </w:r>
            <w:r w:rsidR="003D3D0D" w:rsidRPr="00A52AB8">
              <w:rPr>
                <w:rFonts w:ascii="Cambria" w:hAnsi="Cambria"/>
                <w:color w:val="000000" w:themeColor="text1"/>
              </w:rPr>
              <w:t> </w:t>
            </w:r>
            <w:r w:rsidR="002A58B2" w:rsidRPr="00A52AB8">
              <w:rPr>
                <w:rFonts w:ascii="Cambria" w:hAnsi="Cambria"/>
                <w:color w:val="000000" w:themeColor="text1"/>
              </w:rPr>
              <w:t>/</w:t>
            </w:r>
            <w:r w:rsidR="003D3D0D" w:rsidRPr="00A52AB8">
              <w:rPr>
                <w:rFonts w:ascii="Cambria" w:hAnsi="Cambria"/>
                <w:color w:val="000000" w:themeColor="text1"/>
              </w:rPr>
              <w:t> </w:t>
            </w:r>
            <w:r w:rsidR="002A58B2" w:rsidRPr="00A52AB8">
              <w:rPr>
                <w:rFonts w:ascii="Cambria" w:hAnsi="Cambria"/>
                <w:color w:val="000000" w:themeColor="text1"/>
              </w:rPr>
              <w:t>−4 are truncated to −1.</w:t>
            </w:r>
          </w:p>
        </w:tc>
      </w:tr>
      <w:tr w:rsidR="002A58B2" w:rsidRPr="00A52AB8" w14:paraId="5924C2F1" w14:textId="77777777" w:rsidTr="00466D1D">
        <w:tc>
          <w:tcPr>
            <w:tcW w:w="437" w:type="pct"/>
            <w:vAlign w:val="center"/>
          </w:tcPr>
          <w:p w14:paraId="10C0DC95" w14:textId="77777777" w:rsidR="002A58B2" w:rsidRPr="00A52AB8" w:rsidRDefault="002A58B2" w:rsidP="004F7C57">
            <w:pPr>
              <w:pStyle w:val="enumlev1"/>
              <w:tabs>
                <w:tab w:val="clear" w:pos="794"/>
                <w:tab w:val="clear" w:pos="1191"/>
                <w:tab w:val="clear" w:pos="1588"/>
                <w:tab w:val="clear" w:pos="1985"/>
              </w:tabs>
              <w:ind w:left="0" w:firstLine="0"/>
              <w:jc w:val="left"/>
              <w:rPr>
                <w:rFonts w:ascii="Cambria" w:hAnsi="Cambria"/>
                <w:color w:val="000000" w:themeColor="text1"/>
              </w:rPr>
            </w:pPr>
            <w:r w:rsidRPr="00A52AB8">
              <w:rPr>
                <w:rFonts w:ascii="Cambria" w:hAnsi="Cambria" w:cs="Symbol"/>
                <w:color w:val="000000" w:themeColor="text1"/>
              </w:rPr>
              <w:sym w:font="Symbol" w:char="F0B8"/>
            </w:r>
          </w:p>
        </w:tc>
        <w:tc>
          <w:tcPr>
            <w:tcW w:w="4563" w:type="pct"/>
            <w:vAlign w:val="center"/>
          </w:tcPr>
          <w:p w14:paraId="51DAFCE5" w14:textId="77777777" w:rsidR="002A58B2" w:rsidRPr="00A52AB8" w:rsidRDefault="002A58B2" w:rsidP="004F7C57">
            <w:pPr>
              <w:pStyle w:val="enumlev1"/>
              <w:tabs>
                <w:tab w:val="clear" w:pos="794"/>
                <w:tab w:val="clear" w:pos="1191"/>
                <w:tab w:val="clear" w:pos="1588"/>
                <w:tab w:val="clear" w:pos="1985"/>
              </w:tabs>
              <w:ind w:left="0" w:firstLine="0"/>
              <w:rPr>
                <w:rFonts w:ascii="Cambria" w:hAnsi="Cambria"/>
                <w:color w:val="000000" w:themeColor="text1"/>
              </w:rPr>
            </w:pPr>
            <w:r w:rsidRPr="00A52AB8">
              <w:rPr>
                <w:rFonts w:ascii="Cambria" w:hAnsi="Cambria"/>
                <w:color w:val="000000" w:themeColor="text1"/>
              </w:rPr>
              <w:t>division in mathematical equations where no truncation or rounding is intended.</w:t>
            </w:r>
          </w:p>
        </w:tc>
      </w:tr>
      <w:tr w:rsidR="002A58B2" w:rsidRPr="00A52AB8" w14:paraId="0AE0DF00" w14:textId="77777777" w:rsidTr="00466D1D">
        <w:tc>
          <w:tcPr>
            <w:tcW w:w="437" w:type="pct"/>
            <w:vAlign w:val="center"/>
          </w:tcPr>
          <w:p w14:paraId="72578B03" w14:textId="77777777" w:rsidR="002A58B2" w:rsidRPr="00A52AB8" w:rsidRDefault="000E745B" w:rsidP="004F7C57">
            <w:pPr>
              <w:pStyle w:val="enumlev1"/>
              <w:tabs>
                <w:tab w:val="clear" w:pos="794"/>
                <w:tab w:val="clear" w:pos="1191"/>
                <w:tab w:val="clear" w:pos="1588"/>
                <w:tab w:val="clear" w:pos="1985"/>
              </w:tabs>
              <w:ind w:left="0" w:firstLine="0"/>
              <w:jc w:val="left"/>
              <w:rPr>
                <w:rFonts w:ascii="Cambria" w:hAnsi="Cambria"/>
                <w:color w:val="000000" w:themeColor="text1"/>
              </w:rPr>
            </w:pPr>
            <m:oMathPara>
              <m:oMathParaPr>
                <m:jc m:val="left"/>
              </m:oMathParaPr>
              <m:oMath>
                <m:f>
                  <m:fPr>
                    <m:ctrlPr>
                      <w:rPr>
                        <w:rFonts w:ascii="Cambria Math" w:hAnsi="Cambria Math"/>
                        <w:color w:val="000000" w:themeColor="text1"/>
                      </w:rPr>
                    </m:ctrlPr>
                  </m:fPr>
                  <m:num>
                    <m:r>
                      <m:rPr>
                        <m:sty m:val="p"/>
                      </m:rPr>
                      <w:rPr>
                        <w:rFonts w:ascii="Cambria Math" w:hAnsi="Cambria Math"/>
                        <w:color w:val="000000" w:themeColor="text1"/>
                      </w:rPr>
                      <m:t>x</m:t>
                    </m:r>
                  </m:num>
                  <m:den>
                    <m:r>
                      <m:rPr>
                        <m:sty m:val="p"/>
                      </m:rPr>
                      <w:rPr>
                        <w:rFonts w:ascii="Cambria Math" w:hAnsi="Cambria Math"/>
                        <w:color w:val="000000" w:themeColor="text1"/>
                      </w:rPr>
                      <m:t>y</m:t>
                    </m:r>
                  </m:den>
                </m:f>
              </m:oMath>
            </m:oMathPara>
          </w:p>
        </w:tc>
        <w:tc>
          <w:tcPr>
            <w:tcW w:w="4563" w:type="pct"/>
            <w:vAlign w:val="center"/>
          </w:tcPr>
          <w:p w14:paraId="237CEEC6" w14:textId="77777777" w:rsidR="002A58B2" w:rsidRPr="00A52AB8" w:rsidRDefault="002A58B2" w:rsidP="004F7C57">
            <w:pPr>
              <w:pStyle w:val="enumlev1"/>
              <w:tabs>
                <w:tab w:val="clear" w:pos="794"/>
                <w:tab w:val="clear" w:pos="1191"/>
                <w:tab w:val="clear" w:pos="1588"/>
                <w:tab w:val="clear" w:pos="1985"/>
              </w:tabs>
              <w:ind w:left="0" w:firstLine="0"/>
              <w:rPr>
                <w:rFonts w:ascii="Cambria" w:hAnsi="Cambria"/>
                <w:color w:val="000000" w:themeColor="text1"/>
              </w:rPr>
            </w:pPr>
            <w:r w:rsidRPr="00A52AB8">
              <w:rPr>
                <w:rFonts w:ascii="Cambria" w:hAnsi="Cambria"/>
                <w:color w:val="000000" w:themeColor="text1"/>
              </w:rPr>
              <w:t>division in mathematical equations where no truncation or rounding is intended.</w:t>
            </w:r>
          </w:p>
        </w:tc>
      </w:tr>
      <w:tr w:rsidR="002A58B2" w:rsidRPr="00A52AB8" w14:paraId="1E2AC0AA" w14:textId="77777777" w:rsidTr="00466D1D">
        <w:tc>
          <w:tcPr>
            <w:tcW w:w="437" w:type="pct"/>
            <w:vAlign w:val="center"/>
          </w:tcPr>
          <w:p w14:paraId="6FD7B7E6" w14:textId="77777777" w:rsidR="002A58B2" w:rsidRPr="00A52AB8" w:rsidRDefault="000E745B" w:rsidP="004F7C57">
            <w:pPr>
              <w:pStyle w:val="enumlev1"/>
              <w:tabs>
                <w:tab w:val="clear" w:pos="794"/>
                <w:tab w:val="clear" w:pos="1191"/>
                <w:tab w:val="clear" w:pos="1588"/>
                <w:tab w:val="clear" w:pos="1985"/>
              </w:tabs>
              <w:ind w:left="0" w:firstLine="0"/>
              <w:jc w:val="left"/>
              <w:rPr>
                <w:rFonts w:ascii="Cambria" w:hAnsi="Cambria"/>
                <w:color w:val="000000" w:themeColor="text1"/>
              </w:rPr>
            </w:pPr>
            <m:oMathPara>
              <m:oMathParaPr>
                <m:jc m:val="left"/>
              </m:oMathParaPr>
              <m:oMath>
                <m:nary>
                  <m:naryPr>
                    <m:chr m:val="∑"/>
                    <m:limLoc m:val="undOvr"/>
                    <m:ctrlPr>
                      <w:rPr>
                        <w:rFonts w:ascii="Cambria Math" w:hAnsi="Cambria Math"/>
                        <w:color w:val="000000" w:themeColor="text1"/>
                      </w:rPr>
                    </m:ctrlPr>
                  </m:naryPr>
                  <m:sub>
                    <m:r>
                      <m:rPr>
                        <m:sty m:val="p"/>
                      </m:rPr>
                      <w:rPr>
                        <w:rFonts w:ascii="Cambria Math" w:hAnsi="Cambria Math"/>
                        <w:color w:val="000000" w:themeColor="text1"/>
                      </w:rPr>
                      <m:t>i=x</m:t>
                    </m:r>
                  </m:sub>
                  <m:sup>
                    <m:r>
                      <m:rPr>
                        <m:sty m:val="p"/>
                      </m:rPr>
                      <w:rPr>
                        <w:rFonts w:ascii="Cambria Math" w:hAnsi="Cambria Math"/>
                        <w:color w:val="000000" w:themeColor="text1"/>
                      </w:rPr>
                      <m:t>y</m:t>
                    </m:r>
                  </m:sup>
                  <m:e>
                    <m:r>
                      <w:rPr>
                        <w:rFonts w:ascii="Cambria Math" w:hAnsi="Cambria Math"/>
                        <w:color w:val="000000" w:themeColor="text1"/>
                      </w:rPr>
                      <m:t>f</m:t>
                    </m:r>
                    <m:d>
                      <m:dPr>
                        <m:ctrlPr>
                          <w:rPr>
                            <w:rFonts w:ascii="Cambria Math" w:hAnsi="Cambria Math"/>
                            <w:color w:val="000000" w:themeColor="text1"/>
                          </w:rPr>
                        </m:ctrlPr>
                      </m:dPr>
                      <m:e>
                        <m:r>
                          <m:rPr>
                            <m:sty m:val="p"/>
                          </m:rPr>
                          <w:rPr>
                            <w:rFonts w:ascii="Cambria Math" w:hAnsi="Cambria Math"/>
                            <w:color w:val="000000" w:themeColor="text1"/>
                          </w:rPr>
                          <m:t>i</m:t>
                        </m:r>
                      </m:e>
                    </m:d>
                  </m:e>
                </m:nary>
              </m:oMath>
            </m:oMathPara>
          </w:p>
        </w:tc>
        <w:tc>
          <w:tcPr>
            <w:tcW w:w="4563" w:type="pct"/>
            <w:vAlign w:val="center"/>
          </w:tcPr>
          <w:p w14:paraId="41B6D589" w14:textId="641D96D0" w:rsidR="002A58B2" w:rsidRPr="00A52AB8" w:rsidRDefault="002A58B2" w:rsidP="004F7C57">
            <w:pPr>
              <w:pStyle w:val="enumlev1"/>
              <w:tabs>
                <w:tab w:val="clear" w:pos="794"/>
                <w:tab w:val="clear" w:pos="1191"/>
                <w:tab w:val="clear" w:pos="1588"/>
                <w:tab w:val="clear" w:pos="1985"/>
              </w:tabs>
              <w:ind w:left="0" w:firstLine="0"/>
              <w:rPr>
                <w:rFonts w:ascii="Cambria" w:hAnsi="Cambria"/>
                <w:color w:val="000000" w:themeColor="text1"/>
              </w:rPr>
            </w:pPr>
            <w:r w:rsidRPr="00A52AB8">
              <w:rPr>
                <w:rFonts w:ascii="Cambria" w:hAnsi="Cambria"/>
                <w:color w:val="000000" w:themeColor="text1"/>
              </w:rPr>
              <w:t xml:space="preserve">summation of </w:t>
            </w:r>
            <w:r w:rsidRPr="00A52AB8">
              <w:rPr>
                <w:rFonts w:ascii="Cambria" w:hAnsi="Cambria"/>
                <w:iCs/>
                <w:color w:val="000000" w:themeColor="text1"/>
              </w:rPr>
              <w:t>f</w:t>
            </w:r>
            <w:r w:rsidRPr="00A52AB8">
              <w:rPr>
                <w:rFonts w:ascii="Cambria" w:hAnsi="Cambria"/>
                <w:color w:val="000000" w:themeColor="text1"/>
              </w:rPr>
              <w:t>( </w:t>
            </w:r>
            <w:r w:rsidRPr="00A52AB8">
              <w:rPr>
                <w:rFonts w:ascii="Cambria" w:hAnsi="Cambria"/>
                <w:iCs/>
                <w:color w:val="000000" w:themeColor="text1"/>
              </w:rPr>
              <w:t>i </w:t>
            </w:r>
            <w:r w:rsidRPr="00A52AB8">
              <w:rPr>
                <w:rFonts w:ascii="Cambria" w:hAnsi="Cambria"/>
                <w:color w:val="000000" w:themeColor="text1"/>
              </w:rPr>
              <w:t xml:space="preserve">) with </w:t>
            </w:r>
            <w:r w:rsidRPr="00A52AB8">
              <w:rPr>
                <w:rFonts w:ascii="Cambria" w:hAnsi="Cambria"/>
                <w:iCs/>
                <w:color w:val="000000" w:themeColor="text1"/>
              </w:rPr>
              <w:t>i</w:t>
            </w:r>
            <w:r w:rsidRPr="00A52AB8">
              <w:rPr>
                <w:rFonts w:ascii="Cambria" w:hAnsi="Cambria"/>
                <w:color w:val="000000" w:themeColor="text1"/>
              </w:rPr>
              <w:t xml:space="preserve"> taking all integer values from </w:t>
            </w:r>
            <w:r w:rsidRPr="00A52AB8">
              <w:rPr>
                <w:rFonts w:ascii="Cambria" w:hAnsi="Cambria"/>
                <w:iCs/>
                <w:color w:val="000000" w:themeColor="text1"/>
              </w:rPr>
              <w:t>x</w:t>
            </w:r>
            <w:r w:rsidRPr="00A52AB8">
              <w:rPr>
                <w:rFonts w:ascii="Cambria" w:hAnsi="Cambria"/>
                <w:color w:val="000000" w:themeColor="text1"/>
              </w:rPr>
              <w:t xml:space="preserve"> up to and including </w:t>
            </w:r>
            <w:r w:rsidRPr="00A52AB8">
              <w:rPr>
                <w:rFonts w:ascii="Cambria" w:hAnsi="Cambria"/>
                <w:iCs/>
                <w:color w:val="000000" w:themeColor="text1"/>
              </w:rPr>
              <w:t>y</w:t>
            </w:r>
            <w:r w:rsidRPr="00A52AB8">
              <w:rPr>
                <w:rFonts w:ascii="Cambria" w:hAnsi="Cambria"/>
                <w:color w:val="000000" w:themeColor="text1"/>
              </w:rPr>
              <w:t>.</w:t>
            </w:r>
          </w:p>
        </w:tc>
      </w:tr>
      <w:tr w:rsidR="002A58B2" w:rsidRPr="00A52AB8" w14:paraId="35E0C360" w14:textId="77777777" w:rsidTr="00466D1D">
        <w:tc>
          <w:tcPr>
            <w:tcW w:w="437" w:type="pct"/>
            <w:vAlign w:val="center"/>
          </w:tcPr>
          <w:p w14:paraId="692DEFB4" w14:textId="77777777" w:rsidR="002A58B2" w:rsidRPr="00A52AB8" w:rsidRDefault="002A58B2" w:rsidP="004F7C57">
            <w:pPr>
              <w:pStyle w:val="enumlev1"/>
              <w:tabs>
                <w:tab w:val="clear" w:pos="794"/>
                <w:tab w:val="clear" w:pos="1191"/>
                <w:tab w:val="clear" w:pos="1588"/>
                <w:tab w:val="clear" w:pos="1985"/>
              </w:tabs>
              <w:ind w:left="0" w:firstLine="0"/>
              <w:jc w:val="left"/>
              <w:rPr>
                <w:rFonts w:ascii="Cambria" w:hAnsi="Cambria"/>
                <w:color w:val="000000" w:themeColor="text1"/>
              </w:rPr>
            </w:pPr>
            <w:r w:rsidRPr="00A52AB8">
              <w:rPr>
                <w:rFonts w:ascii="Cambria" w:hAnsi="Cambria"/>
                <w:color w:val="000000" w:themeColor="text1"/>
              </w:rPr>
              <w:t>x % y</w:t>
            </w:r>
          </w:p>
        </w:tc>
        <w:tc>
          <w:tcPr>
            <w:tcW w:w="4563" w:type="pct"/>
            <w:vAlign w:val="center"/>
          </w:tcPr>
          <w:p w14:paraId="2251C434" w14:textId="570E3E4D" w:rsidR="002A58B2" w:rsidRPr="00A52AB8" w:rsidRDefault="00B661CE" w:rsidP="004F7C57">
            <w:pPr>
              <w:pStyle w:val="enumlev1"/>
              <w:tabs>
                <w:tab w:val="clear" w:pos="794"/>
                <w:tab w:val="clear" w:pos="1191"/>
                <w:tab w:val="clear" w:pos="1588"/>
                <w:tab w:val="clear" w:pos="1985"/>
              </w:tabs>
              <w:ind w:left="0" w:firstLine="0"/>
              <w:rPr>
                <w:rFonts w:ascii="Cambria" w:hAnsi="Cambria"/>
                <w:color w:val="000000" w:themeColor="text1"/>
              </w:rPr>
            </w:pPr>
            <w:r w:rsidRPr="00A52AB8">
              <w:rPr>
                <w:rFonts w:ascii="Cambria" w:hAnsi="Cambria"/>
                <w:color w:val="000000" w:themeColor="text1"/>
              </w:rPr>
              <w:t>m</w:t>
            </w:r>
            <w:r w:rsidR="002A58B2" w:rsidRPr="00A52AB8">
              <w:rPr>
                <w:rFonts w:ascii="Cambria" w:hAnsi="Cambria"/>
                <w:color w:val="000000" w:themeColor="text1"/>
              </w:rPr>
              <w:t xml:space="preserve">odulus. Remainder of </w:t>
            </w:r>
            <w:r w:rsidR="002A58B2" w:rsidRPr="00A52AB8">
              <w:rPr>
                <w:rFonts w:ascii="Cambria" w:hAnsi="Cambria"/>
                <w:iCs/>
                <w:color w:val="000000" w:themeColor="text1"/>
              </w:rPr>
              <w:t>x</w:t>
            </w:r>
            <w:r w:rsidR="002A58B2" w:rsidRPr="00A52AB8">
              <w:rPr>
                <w:rFonts w:ascii="Cambria" w:hAnsi="Cambria"/>
                <w:color w:val="000000" w:themeColor="text1"/>
              </w:rPr>
              <w:t xml:space="preserve"> divided by </w:t>
            </w:r>
            <w:r w:rsidR="002A58B2" w:rsidRPr="00A52AB8">
              <w:rPr>
                <w:rFonts w:ascii="Cambria" w:hAnsi="Cambria"/>
                <w:iCs/>
                <w:color w:val="000000" w:themeColor="text1"/>
              </w:rPr>
              <w:t>y</w:t>
            </w:r>
            <w:r w:rsidR="002A58B2" w:rsidRPr="00A52AB8">
              <w:rPr>
                <w:rFonts w:ascii="Cambria" w:hAnsi="Cambria"/>
                <w:color w:val="000000" w:themeColor="text1"/>
              </w:rPr>
              <w:t xml:space="preserve">, defined only for integers x and y with </w:t>
            </w:r>
            <w:r w:rsidR="002A58B2" w:rsidRPr="00A52AB8">
              <w:rPr>
                <w:rFonts w:ascii="Cambria" w:hAnsi="Cambria"/>
                <w:iCs/>
                <w:color w:val="000000" w:themeColor="text1"/>
              </w:rPr>
              <w:t>x</w:t>
            </w:r>
            <w:r w:rsidR="003D3D0D" w:rsidRPr="00A52AB8">
              <w:rPr>
                <w:rFonts w:ascii="Cambria" w:hAnsi="Cambria"/>
                <w:iCs/>
                <w:color w:val="000000" w:themeColor="text1"/>
              </w:rPr>
              <w:t> </w:t>
            </w:r>
            <w:r w:rsidR="002A58B2" w:rsidRPr="00A52AB8">
              <w:rPr>
                <w:rFonts w:ascii="Cambria" w:hAnsi="Cambria"/>
                <w:color w:val="000000" w:themeColor="text1"/>
              </w:rPr>
              <w:t>&gt;</w:t>
            </w:r>
            <w:r w:rsidR="00D47707" w:rsidRPr="00A52AB8">
              <w:rPr>
                <w:rFonts w:ascii="Cambria" w:hAnsi="Cambria"/>
                <w:color w:val="000000" w:themeColor="text1"/>
              </w:rPr>
              <w:t>= </w:t>
            </w:r>
            <w:r w:rsidR="002A58B2" w:rsidRPr="00A52AB8">
              <w:rPr>
                <w:rFonts w:ascii="Cambria" w:hAnsi="Cambria"/>
                <w:color w:val="000000" w:themeColor="text1"/>
              </w:rPr>
              <w:t xml:space="preserve">0 and </w:t>
            </w:r>
            <w:r w:rsidR="002A58B2" w:rsidRPr="00A52AB8">
              <w:rPr>
                <w:rFonts w:ascii="Cambria" w:hAnsi="Cambria"/>
                <w:iCs/>
                <w:color w:val="000000" w:themeColor="text1"/>
              </w:rPr>
              <w:t>y</w:t>
            </w:r>
            <w:r w:rsidR="003D3D0D" w:rsidRPr="00A52AB8">
              <w:rPr>
                <w:rFonts w:ascii="Cambria" w:hAnsi="Cambria"/>
                <w:color w:val="000000" w:themeColor="text1"/>
              </w:rPr>
              <w:t> </w:t>
            </w:r>
            <w:r w:rsidR="002A58B2" w:rsidRPr="00A52AB8">
              <w:rPr>
                <w:rFonts w:ascii="Cambria" w:hAnsi="Cambria"/>
                <w:color w:val="000000" w:themeColor="text1"/>
              </w:rPr>
              <w:t>&gt;</w:t>
            </w:r>
            <w:r w:rsidR="003D3D0D" w:rsidRPr="00A52AB8">
              <w:rPr>
                <w:rFonts w:ascii="Cambria" w:hAnsi="Cambria"/>
                <w:color w:val="000000" w:themeColor="text1"/>
              </w:rPr>
              <w:t> </w:t>
            </w:r>
            <w:r w:rsidR="002A58B2" w:rsidRPr="00A52AB8">
              <w:rPr>
                <w:rFonts w:ascii="Cambria" w:hAnsi="Cambria"/>
                <w:color w:val="000000" w:themeColor="text1"/>
              </w:rPr>
              <w:t>0.</w:t>
            </w:r>
          </w:p>
        </w:tc>
      </w:tr>
    </w:tbl>
    <w:p w14:paraId="0AB41478" w14:textId="480ED75B" w:rsidR="00120E20" w:rsidRPr="00A52AB8" w:rsidRDefault="00120E20" w:rsidP="005C26E9">
      <w:pPr>
        <w:pStyle w:val="Heading2"/>
        <w:rPr>
          <w:color w:val="000000" w:themeColor="text1"/>
        </w:rPr>
      </w:pPr>
      <w:bookmarkStart w:id="346" w:name="_Toc986276"/>
      <w:bookmarkStart w:id="347" w:name="_Toc1000816"/>
      <w:bookmarkStart w:id="348" w:name="_Toc1001353"/>
      <w:bookmarkStart w:id="349" w:name="_Toc1002167"/>
      <w:bookmarkStart w:id="350" w:name="_Toc1195408"/>
      <w:bookmarkStart w:id="351" w:name="_Toc1198428"/>
      <w:bookmarkStart w:id="352" w:name="_Toc1380085"/>
      <w:bookmarkStart w:id="353" w:name="_Toc1466451"/>
      <w:bookmarkStart w:id="354" w:name="_Toc1476424"/>
      <w:bookmarkStart w:id="355" w:name="_Toc1742824"/>
      <w:bookmarkStart w:id="356" w:name="_Toc1743369"/>
      <w:bookmarkStart w:id="357" w:name="_Toc488804403"/>
      <w:bookmarkStart w:id="358" w:name="_Toc496067375"/>
      <w:bookmarkStart w:id="359" w:name="_Toc496067608"/>
      <w:bookmarkStart w:id="360" w:name="_Toc20134225"/>
      <w:bookmarkStart w:id="361" w:name="_Toc77680336"/>
      <w:bookmarkStart w:id="362" w:name="_Toc118289002"/>
      <w:bookmarkStart w:id="363" w:name="_Toc226456472"/>
      <w:bookmarkStart w:id="364" w:name="_Toc248045175"/>
      <w:bookmarkStart w:id="365" w:name="_Toc287363731"/>
      <w:bookmarkStart w:id="366" w:name="_Toc311216714"/>
      <w:bookmarkStart w:id="367" w:name="_Toc317198679"/>
      <w:bookmarkStart w:id="368" w:name="_Toc390728002"/>
      <w:bookmarkStart w:id="369" w:name="_Toc511952612"/>
      <w:bookmarkStart w:id="370" w:name="_Toc52181580"/>
      <w:bookmarkEnd w:id="346"/>
      <w:bookmarkEnd w:id="347"/>
      <w:bookmarkEnd w:id="348"/>
      <w:bookmarkEnd w:id="349"/>
      <w:bookmarkEnd w:id="350"/>
      <w:bookmarkEnd w:id="351"/>
      <w:bookmarkEnd w:id="352"/>
      <w:bookmarkEnd w:id="353"/>
      <w:bookmarkEnd w:id="354"/>
      <w:bookmarkEnd w:id="355"/>
      <w:bookmarkEnd w:id="356"/>
      <w:r w:rsidRPr="00A52AB8">
        <w:rPr>
          <w:color w:val="000000" w:themeColor="text1"/>
        </w:rPr>
        <w:t>Logical operators</w:t>
      </w:r>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6"/>
        <w:gridCol w:w="8896"/>
      </w:tblGrid>
      <w:tr w:rsidR="002A58B2" w:rsidRPr="00A52AB8" w14:paraId="2FE8B834" w14:textId="77777777" w:rsidTr="00466D1D">
        <w:tc>
          <w:tcPr>
            <w:tcW w:w="435" w:type="pct"/>
          </w:tcPr>
          <w:p w14:paraId="3981E3DC" w14:textId="759684DF" w:rsidR="002A58B2" w:rsidRPr="00A52AB8" w:rsidRDefault="002A58B2">
            <w:pPr>
              <w:pStyle w:val="enumlev1"/>
              <w:tabs>
                <w:tab w:val="clear" w:pos="794"/>
                <w:tab w:val="clear" w:pos="1191"/>
                <w:tab w:val="clear" w:pos="1588"/>
                <w:tab w:val="clear" w:pos="1985"/>
              </w:tabs>
              <w:ind w:left="0" w:firstLine="0"/>
              <w:rPr>
                <w:rFonts w:ascii="Cambria" w:hAnsi="Cambria"/>
                <w:color w:val="000000" w:themeColor="text1"/>
              </w:rPr>
            </w:pPr>
            <w:r w:rsidRPr="00A52AB8">
              <w:rPr>
                <w:rFonts w:ascii="Cambria" w:hAnsi="Cambria"/>
                <w:iCs/>
                <w:color w:val="000000" w:themeColor="text1"/>
              </w:rPr>
              <w:t>x</w:t>
            </w:r>
            <w:r w:rsidR="008768E9" w:rsidRPr="00A52AB8">
              <w:rPr>
                <w:rFonts w:ascii="Cambria" w:hAnsi="Cambria"/>
                <w:color w:val="000000" w:themeColor="text1"/>
              </w:rPr>
              <w:t> &amp;&amp; </w:t>
            </w:r>
            <w:r w:rsidRPr="00A52AB8">
              <w:rPr>
                <w:rFonts w:ascii="Cambria" w:hAnsi="Cambria"/>
                <w:iCs/>
                <w:color w:val="000000" w:themeColor="text1"/>
              </w:rPr>
              <w:t>y</w:t>
            </w:r>
          </w:p>
        </w:tc>
        <w:tc>
          <w:tcPr>
            <w:tcW w:w="4524" w:type="pct"/>
          </w:tcPr>
          <w:p w14:paraId="470F4577" w14:textId="77777777" w:rsidR="002A58B2" w:rsidRPr="00A52AB8" w:rsidRDefault="002A58B2">
            <w:pPr>
              <w:pStyle w:val="enumlev1"/>
              <w:tabs>
                <w:tab w:val="clear" w:pos="794"/>
                <w:tab w:val="clear" w:pos="1191"/>
                <w:tab w:val="clear" w:pos="1588"/>
                <w:tab w:val="clear" w:pos="1985"/>
              </w:tabs>
              <w:ind w:left="0" w:firstLine="0"/>
              <w:rPr>
                <w:rFonts w:ascii="Cambria" w:hAnsi="Cambria"/>
                <w:iCs/>
                <w:color w:val="000000" w:themeColor="text1"/>
              </w:rPr>
            </w:pPr>
            <w:r w:rsidRPr="00A52AB8">
              <w:rPr>
                <w:rFonts w:ascii="Cambria" w:hAnsi="Cambria"/>
                <w:color w:val="000000" w:themeColor="text1"/>
              </w:rPr>
              <w:t xml:space="preserve">Boolean logical "and" of </w:t>
            </w:r>
            <w:r w:rsidRPr="00A52AB8">
              <w:rPr>
                <w:rFonts w:ascii="Cambria" w:hAnsi="Cambria"/>
                <w:iCs/>
                <w:color w:val="000000" w:themeColor="text1"/>
              </w:rPr>
              <w:t>x</w:t>
            </w:r>
            <w:r w:rsidRPr="00A52AB8">
              <w:rPr>
                <w:rFonts w:ascii="Cambria" w:hAnsi="Cambria"/>
                <w:color w:val="000000" w:themeColor="text1"/>
              </w:rPr>
              <w:t xml:space="preserve"> and </w:t>
            </w:r>
            <w:r w:rsidRPr="00A52AB8">
              <w:rPr>
                <w:rFonts w:ascii="Cambria" w:hAnsi="Cambria"/>
                <w:iCs/>
                <w:color w:val="000000" w:themeColor="text1"/>
              </w:rPr>
              <w:t>y.</w:t>
            </w:r>
          </w:p>
        </w:tc>
      </w:tr>
      <w:tr w:rsidR="002A58B2" w:rsidRPr="00A52AB8" w14:paraId="685026A9" w14:textId="77777777" w:rsidTr="00466D1D">
        <w:tc>
          <w:tcPr>
            <w:tcW w:w="435" w:type="pct"/>
          </w:tcPr>
          <w:p w14:paraId="0DEF71CB" w14:textId="1F47A714" w:rsidR="002A58B2" w:rsidRPr="00A52AB8" w:rsidRDefault="002A58B2" w:rsidP="004F7C57">
            <w:pPr>
              <w:pStyle w:val="enumlev1"/>
              <w:tabs>
                <w:tab w:val="clear" w:pos="794"/>
                <w:tab w:val="clear" w:pos="1191"/>
                <w:tab w:val="clear" w:pos="1588"/>
                <w:tab w:val="clear" w:pos="1985"/>
              </w:tabs>
              <w:ind w:left="0" w:firstLine="0"/>
              <w:rPr>
                <w:rFonts w:ascii="Cambria" w:hAnsi="Cambria"/>
                <w:color w:val="000000" w:themeColor="text1"/>
              </w:rPr>
            </w:pPr>
            <w:r w:rsidRPr="00A52AB8">
              <w:rPr>
                <w:rFonts w:ascii="Cambria" w:hAnsi="Cambria"/>
                <w:iCs/>
                <w:color w:val="000000" w:themeColor="text1"/>
              </w:rPr>
              <w:t>x</w:t>
            </w:r>
            <w:r w:rsidR="008768E9" w:rsidRPr="00A52AB8">
              <w:rPr>
                <w:rFonts w:ascii="Cambria" w:hAnsi="Cambria"/>
                <w:iCs/>
                <w:color w:val="000000" w:themeColor="text1"/>
              </w:rPr>
              <w:t> || </w:t>
            </w:r>
            <w:r w:rsidRPr="00A52AB8">
              <w:rPr>
                <w:rFonts w:ascii="Cambria" w:hAnsi="Cambria"/>
                <w:iCs/>
                <w:color w:val="000000" w:themeColor="text1"/>
              </w:rPr>
              <w:t>y</w:t>
            </w:r>
          </w:p>
        </w:tc>
        <w:tc>
          <w:tcPr>
            <w:tcW w:w="4524" w:type="pct"/>
          </w:tcPr>
          <w:p w14:paraId="35ED367D" w14:textId="77777777" w:rsidR="002A58B2" w:rsidRPr="00A52AB8" w:rsidRDefault="002A58B2" w:rsidP="004F7C57">
            <w:pPr>
              <w:pStyle w:val="enumlev1"/>
              <w:tabs>
                <w:tab w:val="clear" w:pos="794"/>
                <w:tab w:val="clear" w:pos="1191"/>
                <w:tab w:val="clear" w:pos="1588"/>
                <w:tab w:val="clear" w:pos="1985"/>
              </w:tabs>
              <w:ind w:left="0" w:firstLine="0"/>
              <w:rPr>
                <w:rFonts w:ascii="Cambria" w:hAnsi="Cambria"/>
                <w:iCs/>
                <w:color w:val="000000" w:themeColor="text1"/>
              </w:rPr>
            </w:pPr>
            <w:r w:rsidRPr="00A52AB8">
              <w:rPr>
                <w:rFonts w:ascii="Cambria" w:hAnsi="Cambria"/>
                <w:color w:val="000000" w:themeColor="text1"/>
              </w:rPr>
              <w:t xml:space="preserve">Boolean logical "or" of </w:t>
            </w:r>
            <w:r w:rsidRPr="00A52AB8">
              <w:rPr>
                <w:rFonts w:ascii="Cambria" w:hAnsi="Cambria"/>
                <w:iCs/>
                <w:color w:val="000000" w:themeColor="text1"/>
              </w:rPr>
              <w:t>x</w:t>
            </w:r>
            <w:r w:rsidRPr="00A52AB8">
              <w:rPr>
                <w:rFonts w:ascii="Cambria" w:hAnsi="Cambria"/>
                <w:color w:val="000000" w:themeColor="text1"/>
              </w:rPr>
              <w:t xml:space="preserve"> and </w:t>
            </w:r>
            <w:r w:rsidRPr="00A52AB8">
              <w:rPr>
                <w:rFonts w:ascii="Cambria" w:hAnsi="Cambria"/>
                <w:iCs/>
                <w:color w:val="000000" w:themeColor="text1"/>
              </w:rPr>
              <w:t>y.</w:t>
            </w:r>
          </w:p>
        </w:tc>
      </w:tr>
      <w:tr w:rsidR="002A58B2" w:rsidRPr="00A52AB8" w14:paraId="1B7399CA" w14:textId="77777777" w:rsidTr="00466D1D">
        <w:tc>
          <w:tcPr>
            <w:tcW w:w="435" w:type="pct"/>
          </w:tcPr>
          <w:p w14:paraId="65E805A6" w14:textId="77777777" w:rsidR="002A58B2" w:rsidRPr="00A52AB8" w:rsidRDefault="002A58B2" w:rsidP="004F7C57">
            <w:pPr>
              <w:pStyle w:val="enumlev1"/>
              <w:tabs>
                <w:tab w:val="clear" w:pos="794"/>
                <w:tab w:val="clear" w:pos="1191"/>
                <w:tab w:val="clear" w:pos="1588"/>
                <w:tab w:val="clear" w:pos="1985"/>
              </w:tabs>
              <w:ind w:left="0" w:firstLine="0"/>
              <w:rPr>
                <w:rFonts w:ascii="Cambria" w:hAnsi="Cambria"/>
                <w:color w:val="000000" w:themeColor="text1"/>
              </w:rPr>
            </w:pPr>
            <w:r w:rsidRPr="00A52AB8">
              <w:rPr>
                <w:rFonts w:ascii="Cambria" w:hAnsi="Cambria"/>
                <w:color w:val="000000" w:themeColor="text1"/>
              </w:rPr>
              <w:t>!</w:t>
            </w:r>
          </w:p>
        </w:tc>
        <w:tc>
          <w:tcPr>
            <w:tcW w:w="4524" w:type="pct"/>
          </w:tcPr>
          <w:p w14:paraId="112D8C7F" w14:textId="77777777" w:rsidR="002A58B2" w:rsidRPr="00A52AB8" w:rsidRDefault="002A58B2" w:rsidP="004F7C57">
            <w:pPr>
              <w:pStyle w:val="enumlev1"/>
              <w:tabs>
                <w:tab w:val="clear" w:pos="794"/>
                <w:tab w:val="clear" w:pos="1191"/>
                <w:tab w:val="clear" w:pos="1588"/>
                <w:tab w:val="clear" w:pos="1985"/>
              </w:tabs>
              <w:ind w:left="0" w:firstLine="0"/>
              <w:rPr>
                <w:rFonts w:ascii="Cambria" w:hAnsi="Cambria"/>
                <w:color w:val="000000" w:themeColor="text1"/>
              </w:rPr>
            </w:pPr>
            <w:r w:rsidRPr="00A52AB8">
              <w:rPr>
                <w:rFonts w:ascii="Cambria" w:hAnsi="Cambria"/>
                <w:color w:val="000000" w:themeColor="text1"/>
              </w:rPr>
              <w:t>Boolean logical "not".</w:t>
            </w:r>
          </w:p>
        </w:tc>
      </w:tr>
      <w:tr w:rsidR="002A58B2" w:rsidRPr="00A52AB8" w14:paraId="5FEDEF8C" w14:textId="77777777" w:rsidTr="00466D1D">
        <w:tc>
          <w:tcPr>
            <w:tcW w:w="435" w:type="pct"/>
          </w:tcPr>
          <w:p w14:paraId="3CDF8FF5" w14:textId="77777777" w:rsidR="002A58B2" w:rsidRPr="00A52AB8" w:rsidRDefault="002A58B2" w:rsidP="004F7C57">
            <w:pPr>
              <w:pStyle w:val="enumlev1"/>
              <w:tabs>
                <w:tab w:val="clear" w:pos="794"/>
                <w:tab w:val="clear" w:pos="1191"/>
                <w:tab w:val="clear" w:pos="1588"/>
                <w:tab w:val="clear" w:pos="1985"/>
              </w:tabs>
              <w:ind w:left="0" w:firstLine="0"/>
              <w:rPr>
                <w:rFonts w:ascii="Cambria" w:hAnsi="Cambria"/>
                <w:color w:val="000000" w:themeColor="text1"/>
              </w:rPr>
            </w:pPr>
            <w:r w:rsidRPr="00A52AB8">
              <w:rPr>
                <w:rFonts w:ascii="Cambria" w:hAnsi="Cambria"/>
                <w:color w:val="000000" w:themeColor="text1"/>
              </w:rPr>
              <w:t>x</w:t>
            </w:r>
            <w:r w:rsidR="003730E9" w:rsidRPr="00A52AB8">
              <w:rPr>
                <w:rFonts w:ascii="Cambria" w:hAnsi="Cambria"/>
                <w:color w:val="000000" w:themeColor="text1"/>
              </w:rPr>
              <w:t> </w:t>
            </w:r>
            <w:r w:rsidRPr="00A52AB8">
              <w:rPr>
                <w:rFonts w:ascii="Cambria" w:hAnsi="Cambria"/>
                <w:color w:val="000000" w:themeColor="text1"/>
              </w:rPr>
              <w:t>?</w:t>
            </w:r>
            <w:r w:rsidR="003730E9" w:rsidRPr="00A52AB8">
              <w:rPr>
                <w:rFonts w:ascii="Cambria" w:hAnsi="Cambria"/>
                <w:color w:val="000000" w:themeColor="text1"/>
              </w:rPr>
              <w:t> </w:t>
            </w:r>
            <w:r w:rsidRPr="00A52AB8">
              <w:rPr>
                <w:rFonts w:ascii="Cambria" w:hAnsi="Cambria"/>
                <w:color w:val="000000" w:themeColor="text1"/>
              </w:rPr>
              <w:t>y</w:t>
            </w:r>
            <w:r w:rsidR="003730E9" w:rsidRPr="00A52AB8">
              <w:rPr>
                <w:rFonts w:ascii="Cambria" w:hAnsi="Cambria"/>
                <w:color w:val="000000" w:themeColor="text1"/>
              </w:rPr>
              <w:t> </w:t>
            </w:r>
            <w:r w:rsidRPr="00A52AB8">
              <w:rPr>
                <w:rFonts w:ascii="Cambria" w:hAnsi="Cambria"/>
                <w:color w:val="000000" w:themeColor="text1"/>
              </w:rPr>
              <w:t>:</w:t>
            </w:r>
            <w:r w:rsidR="003730E9" w:rsidRPr="00A52AB8">
              <w:rPr>
                <w:rFonts w:ascii="Cambria" w:hAnsi="Cambria"/>
                <w:color w:val="000000" w:themeColor="text1"/>
              </w:rPr>
              <w:t> </w:t>
            </w:r>
            <w:r w:rsidRPr="00A52AB8">
              <w:rPr>
                <w:rFonts w:ascii="Cambria" w:hAnsi="Cambria"/>
                <w:color w:val="000000" w:themeColor="text1"/>
              </w:rPr>
              <w:t>z</w:t>
            </w:r>
          </w:p>
        </w:tc>
        <w:tc>
          <w:tcPr>
            <w:tcW w:w="4524" w:type="pct"/>
          </w:tcPr>
          <w:p w14:paraId="67A27EF8" w14:textId="77777777" w:rsidR="002A58B2" w:rsidRPr="00A52AB8" w:rsidRDefault="002E2418" w:rsidP="004F7C57">
            <w:pPr>
              <w:pStyle w:val="enumlev1"/>
              <w:tabs>
                <w:tab w:val="clear" w:pos="794"/>
                <w:tab w:val="clear" w:pos="1191"/>
                <w:tab w:val="clear" w:pos="1588"/>
                <w:tab w:val="clear" w:pos="1985"/>
              </w:tabs>
              <w:ind w:left="0" w:firstLine="0"/>
              <w:rPr>
                <w:rFonts w:ascii="Cambria" w:hAnsi="Cambria"/>
                <w:color w:val="000000" w:themeColor="text1"/>
              </w:rPr>
            </w:pPr>
            <w:r w:rsidRPr="00A52AB8">
              <w:rPr>
                <w:rFonts w:ascii="Cambria" w:hAnsi="Cambria"/>
                <w:color w:val="000000" w:themeColor="text1"/>
              </w:rPr>
              <w:t xml:space="preserve">if </w:t>
            </w:r>
            <w:r w:rsidR="002A58B2" w:rsidRPr="00A52AB8">
              <w:rPr>
                <w:rFonts w:ascii="Cambria" w:hAnsi="Cambria"/>
                <w:color w:val="000000" w:themeColor="text1"/>
              </w:rPr>
              <w:t>x is TRUE or not equal to 0, evaluates to the value of y; otherwise, evaluates to the value of z.</w:t>
            </w:r>
          </w:p>
        </w:tc>
      </w:tr>
    </w:tbl>
    <w:p w14:paraId="460BA693" w14:textId="4552AEEB" w:rsidR="00120E20" w:rsidRPr="00A52AB8" w:rsidRDefault="00120E20" w:rsidP="005C26E9">
      <w:pPr>
        <w:pStyle w:val="Heading2"/>
        <w:rPr>
          <w:color w:val="000000" w:themeColor="text1"/>
        </w:rPr>
      </w:pPr>
      <w:bookmarkStart w:id="371" w:name="_Toc488804404"/>
      <w:bookmarkStart w:id="372" w:name="_Toc496067376"/>
      <w:bookmarkStart w:id="373" w:name="_Toc496067609"/>
      <w:bookmarkStart w:id="374" w:name="_Toc20134226"/>
      <w:bookmarkStart w:id="375" w:name="_Toc77680337"/>
      <w:bookmarkStart w:id="376" w:name="_Toc118289003"/>
      <w:bookmarkStart w:id="377" w:name="_Toc226456473"/>
      <w:bookmarkStart w:id="378" w:name="_Toc248045176"/>
      <w:bookmarkStart w:id="379" w:name="_Toc287363732"/>
      <w:bookmarkStart w:id="380" w:name="_Toc311216715"/>
      <w:bookmarkStart w:id="381" w:name="_Toc317198680"/>
      <w:bookmarkStart w:id="382" w:name="_Toc390728003"/>
      <w:bookmarkStart w:id="383" w:name="_Toc511952613"/>
      <w:bookmarkStart w:id="384" w:name="_Toc52181581"/>
      <w:r w:rsidRPr="00A52AB8">
        <w:rPr>
          <w:color w:val="000000" w:themeColor="text1"/>
        </w:rPr>
        <w:t>Relational operators</w:t>
      </w:r>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8"/>
        <w:gridCol w:w="8824"/>
      </w:tblGrid>
      <w:tr w:rsidR="00547A58" w:rsidRPr="00A52AB8" w14:paraId="3A7BA70E" w14:textId="77777777" w:rsidTr="00466D1D">
        <w:tc>
          <w:tcPr>
            <w:tcW w:w="435" w:type="pct"/>
          </w:tcPr>
          <w:p w14:paraId="480231A4" w14:textId="77777777" w:rsidR="00547A58" w:rsidRPr="00A52AB8" w:rsidRDefault="00547A58">
            <w:pPr>
              <w:pStyle w:val="enumlev1"/>
              <w:tabs>
                <w:tab w:val="clear" w:pos="794"/>
                <w:tab w:val="clear" w:pos="1191"/>
                <w:tab w:val="clear" w:pos="1588"/>
                <w:tab w:val="clear" w:pos="1985"/>
              </w:tabs>
              <w:ind w:left="0" w:firstLine="0"/>
              <w:rPr>
                <w:rFonts w:ascii="Cambria" w:hAnsi="Cambria"/>
                <w:color w:val="000000" w:themeColor="text1"/>
              </w:rPr>
            </w:pPr>
            <w:r w:rsidRPr="00A52AB8">
              <w:rPr>
                <w:rFonts w:ascii="Cambria" w:hAnsi="Cambria" w:cs="Symbol"/>
                <w:color w:val="000000" w:themeColor="text1"/>
              </w:rPr>
              <w:t>&gt;</w:t>
            </w:r>
          </w:p>
        </w:tc>
        <w:tc>
          <w:tcPr>
            <w:tcW w:w="4134" w:type="pct"/>
          </w:tcPr>
          <w:p w14:paraId="17372B0F" w14:textId="77777777" w:rsidR="00547A58" w:rsidRPr="00A52AB8" w:rsidRDefault="00547A58">
            <w:pPr>
              <w:pStyle w:val="enumlev1"/>
              <w:tabs>
                <w:tab w:val="clear" w:pos="794"/>
                <w:tab w:val="clear" w:pos="1191"/>
                <w:tab w:val="clear" w:pos="1588"/>
                <w:tab w:val="clear" w:pos="1985"/>
              </w:tabs>
              <w:ind w:left="0" w:firstLine="0"/>
              <w:rPr>
                <w:rFonts w:ascii="Cambria" w:hAnsi="Cambria"/>
                <w:color w:val="000000" w:themeColor="text1"/>
              </w:rPr>
            </w:pPr>
            <w:r w:rsidRPr="00A52AB8">
              <w:rPr>
                <w:rFonts w:ascii="Cambria" w:hAnsi="Cambria"/>
                <w:color w:val="000000" w:themeColor="text1"/>
              </w:rPr>
              <w:t>Greater than.</w:t>
            </w:r>
          </w:p>
        </w:tc>
      </w:tr>
      <w:tr w:rsidR="00547A58" w:rsidRPr="00A52AB8" w14:paraId="08FF966A" w14:textId="77777777" w:rsidTr="00466D1D">
        <w:tc>
          <w:tcPr>
            <w:tcW w:w="435" w:type="pct"/>
          </w:tcPr>
          <w:p w14:paraId="34C49E4D" w14:textId="77777777" w:rsidR="00547A58" w:rsidRPr="00A52AB8" w:rsidRDefault="00547A58" w:rsidP="004F7C57">
            <w:pPr>
              <w:pStyle w:val="enumlev1"/>
              <w:tabs>
                <w:tab w:val="clear" w:pos="794"/>
                <w:tab w:val="clear" w:pos="1191"/>
                <w:tab w:val="clear" w:pos="1588"/>
                <w:tab w:val="clear" w:pos="1985"/>
              </w:tabs>
              <w:ind w:left="0" w:firstLine="0"/>
              <w:rPr>
                <w:rFonts w:ascii="Cambria" w:hAnsi="Cambria"/>
                <w:color w:val="000000" w:themeColor="text1"/>
              </w:rPr>
            </w:pPr>
            <w:r w:rsidRPr="00A52AB8">
              <w:rPr>
                <w:rFonts w:ascii="Cambria" w:hAnsi="Cambria" w:cs="Symbol"/>
                <w:color w:val="000000" w:themeColor="text1"/>
              </w:rPr>
              <w:t>&gt;=</w:t>
            </w:r>
          </w:p>
        </w:tc>
        <w:tc>
          <w:tcPr>
            <w:tcW w:w="4134" w:type="pct"/>
          </w:tcPr>
          <w:p w14:paraId="75F9BE1F" w14:textId="77777777" w:rsidR="00547A58" w:rsidRPr="00A52AB8" w:rsidRDefault="00547A58" w:rsidP="004F7C57">
            <w:pPr>
              <w:pStyle w:val="enumlev1"/>
              <w:tabs>
                <w:tab w:val="clear" w:pos="794"/>
                <w:tab w:val="clear" w:pos="1191"/>
                <w:tab w:val="clear" w:pos="1588"/>
                <w:tab w:val="clear" w:pos="1985"/>
              </w:tabs>
              <w:ind w:left="0" w:firstLine="0"/>
              <w:rPr>
                <w:rFonts w:ascii="Cambria" w:hAnsi="Cambria"/>
                <w:color w:val="000000" w:themeColor="text1"/>
              </w:rPr>
            </w:pPr>
            <w:r w:rsidRPr="00A52AB8">
              <w:rPr>
                <w:rFonts w:ascii="Cambria" w:hAnsi="Cambria"/>
                <w:color w:val="000000" w:themeColor="text1"/>
              </w:rPr>
              <w:t>Greater than or equal to.</w:t>
            </w:r>
          </w:p>
        </w:tc>
      </w:tr>
      <w:tr w:rsidR="00547A58" w:rsidRPr="00A52AB8" w14:paraId="65FE57BA" w14:textId="77777777" w:rsidTr="00466D1D">
        <w:tc>
          <w:tcPr>
            <w:tcW w:w="435" w:type="pct"/>
          </w:tcPr>
          <w:p w14:paraId="503A0A64" w14:textId="77777777" w:rsidR="00547A58" w:rsidRPr="00A52AB8" w:rsidRDefault="00547A58" w:rsidP="004F7C57">
            <w:pPr>
              <w:pStyle w:val="enumlev1"/>
              <w:tabs>
                <w:tab w:val="clear" w:pos="794"/>
                <w:tab w:val="clear" w:pos="1191"/>
                <w:tab w:val="clear" w:pos="1588"/>
                <w:tab w:val="clear" w:pos="1985"/>
              </w:tabs>
              <w:ind w:left="0" w:firstLine="0"/>
              <w:rPr>
                <w:rFonts w:ascii="Cambria" w:hAnsi="Cambria"/>
                <w:color w:val="000000" w:themeColor="text1"/>
              </w:rPr>
            </w:pPr>
            <w:r w:rsidRPr="00A52AB8">
              <w:rPr>
                <w:rFonts w:ascii="Cambria" w:hAnsi="Cambria" w:cs="Symbol"/>
                <w:color w:val="000000" w:themeColor="text1"/>
              </w:rPr>
              <w:t>&lt;</w:t>
            </w:r>
          </w:p>
        </w:tc>
        <w:tc>
          <w:tcPr>
            <w:tcW w:w="4134" w:type="pct"/>
          </w:tcPr>
          <w:p w14:paraId="5DAD8CC5" w14:textId="77777777" w:rsidR="00547A58" w:rsidRPr="00A52AB8" w:rsidRDefault="00547A58" w:rsidP="004F7C57">
            <w:pPr>
              <w:pStyle w:val="enumlev1"/>
              <w:tabs>
                <w:tab w:val="clear" w:pos="794"/>
                <w:tab w:val="clear" w:pos="1191"/>
                <w:tab w:val="clear" w:pos="1588"/>
                <w:tab w:val="clear" w:pos="1985"/>
              </w:tabs>
              <w:ind w:left="0" w:firstLine="0"/>
              <w:rPr>
                <w:rFonts w:ascii="Cambria" w:hAnsi="Cambria"/>
                <w:color w:val="000000" w:themeColor="text1"/>
              </w:rPr>
            </w:pPr>
            <w:r w:rsidRPr="00A52AB8">
              <w:rPr>
                <w:rFonts w:ascii="Cambria" w:hAnsi="Cambria"/>
                <w:color w:val="000000" w:themeColor="text1"/>
              </w:rPr>
              <w:t>Less than.</w:t>
            </w:r>
          </w:p>
        </w:tc>
      </w:tr>
      <w:tr w:rsidR="00547A58" w:rsidRPr="00A52AB8" w14:paraId="27F41147" w14:textId="77777777" w:rsidTr="00466D1D">
        <w:tc>
          <w:tcPr>
            <w:tcW w:w="435" w:type="pct"/>
          </w:tcPr>
          <w:p w14:paraId="69786591" w14:textId="77777777" w:rsidR="00547A58" w:rsidRPr="00A52AB8" w:rsidRDefault="00547A58" w:rsidP="004F7C57">
            <w:pPr>
              <w:pStyle w:val="enumlev1"/>
              <w:tabs>
                <w:tab w:val="clear" w:pos="794"/>
                <w:tab w:val="clear" w:pos="1191"/>
                <w:tab w:val="clear" w:pos="1588"/>
                <w:tab w:val="clear" w:pos="1985"/>
              </w:tabs>
              <w:ind w:left="0" w:firstLine="0"/>
              <w:rPr>
                <w:rFonts w:ascii="Cambria" w:hAnsi="Cambria"/>
                <w:color w:val="000000" w:themeColor="text1"/>
              </w:rPr>
            </w:pPr>
            <w:r w:rsidRPr="00A52AB8">
              <w:rPr>
                <w:rFonts w:ascii="Cambria" w:hAnsi="Cambria" w:cs="Symbol"/>
                <w:color w:val="000000" w:themeColor="text1"/>
              </w:rPr>
              <w:t>&lt;=</w:t>
            </w:r>
          </w:p>
        </w:tc>
        <w:tc>
          <w:tcPr>
            <w:tcW w:w="4134" w:type="pct"/>
          </w:tcPr>
          <w:p w14:paraId="4ADD5433" w14:textId="77777777" w:rsidR="00547A58" w:rsidRPr="00A52AB8" w:rsidRDefault="00547A58" w:rsidP="004F7C57">
            <w:pPr>
              <w:pStyle w:val="enumlev1"/>
              <w:tabs>
                <w:tab w:val="clear" w:pos="794"/>
                <w:tab w:val="clear" w:pos="1191"/>
                <w:tab w:val="clear" w:pos="1588"/>
                <w:tab w:val="clear" w:pos="1985"/>
              </w:tabs>
              <w:ind w:left="0" w:firstLine="0"/>
              <w:rPr>
                <w:rFonts w:ascii="Cambria" w:hAnsi="Cambria"/>
                <w:color w:val="000000" w:themeColor="text1"/>
              </w:rPr>
            </w:pPr>
            <w:r w:rsidRPr="00A52AB8">
              <w:rPr>
                <w:rFonts w:ascii="Cambria" w:hAnsi="Cambria"/>
                <w:color w:val="000000" w:themeColor="text1"/>
              </w:rPr>
              <w:t>Less than or equal to.</w:t>
            </w:r>
          </w:p>
        </w:tc>
      </w:tr>
      <w:tr w:rsidR="00547A58" w:rsidRPr="00A52AB8" w14:paraId="2B970FCA" w14:textId="77777777" w:rsidTr="00466D1D">
        <w:tc>
          <w:tcPr>
            <w:tcW w:w="435" w:type="pct"/>
          </w:tcPr>
          <w:p w14:paraId="5947A815" w14:textId="4A2739CF" w:rsidR="00547A58" w:rsidRPr="00A52AB8" w:rsidRDefault="008768E9" w:rsidP="004F7C57">
            <w:pPr>
              <w:pStyle w:val="enumlev1"/>
              <w:tabs>
                <w:tab w:val="clear" w:pos="794"/>
                <w:tab w:val="clear" w:pos="1191"/>
                <w:tab w:val="clear" w:pos="1588"/>
                <w:tab w:val="clear" w:pos="1985"/>
              </w:tabs>
              <w:ind w:left="0" w:firstLine="0"/>
              <w:rPr>
                <w:rFonts w:ascii="Cambria" w:hAnsi="Cambria"/>
                <w:color w:val="000000" w:themeColor="text1"/>
              </w:rPr>
            </w:pPr>
            <w:r w:rsidRPr="00A52AB8">
              <w:rPr>
                <w:rFonts w:ascii="Cambria" w:hAnsi="Cambria" w:cs="Symbol"/>
                <w:color w:val="000000" w:themeColor="text1"/>
              </w:rPr>
              <w:t>==</w:t>
            </w:r>
          </w:p>
        </w:tc>
        <w:tc>
          <w:tcPr>
            <w:tcW w:w="4134" w:type="pct"/>
          </w:tcPr>
          <w:p w14:paraId="2D081EEC" w14:textId="77777777" w:rsidR="00547A58" w:rsidRPr="00A52AB8" w:rsidRDefault="00547A58" w:rsidP="004F7C57">
            <w:pPr>
              <w:pStyle w:val="enumlev1"/>
              <w:tabs>
                <w:tab w:val="clear" w:pos="794"/>
                <w:tab w:val="clear" w:pos="1191"/>
                <w:tab w:val="clear" w:pos="1588"/>
                <w:tab w:val="clear" w:pos="1985"/>
              </w:tabs>
              <w:ind w:left="0" w:firstLine="0"/>
              <w:rPr>
                <w:rFonts w:ascii="Cambria" w:hAnsi="Cambria"/>
                <w:color w:val="000000" w:themeColor="text1"/>
              </w:rPr>
            </w:pPr>
            <w:r w:rsidRPr="00A52AB8">
              <w:rPr>
                <w:rFonts w:ascii="Cambria" w:hAnsi="Cambria"/>
                <w:color w:val="000000" w:themeColor="text1"/>
              </w:rPr>
              <w:t>Equal to.</w:t>
            </w:r>
          </w:p>
        </w:tc>
      </w:tr>
      <w:tr w:rsidR="00547A58" w:rsidRPr="00A52AB8" w14:paraId="248B022A" w14:textId="77777777" w:rsidTr="00466D1D">
        <w:tc>
          <w:tcPr>
            <w:tcW w:w="435" w:type="pct"/>
          </w:tcPr>
          <w:p w14:paraId="5D4579DE" w14:textId="77777777" w:rsidR="00547A58" w:rsidRPr="00A52AB8" w:rsidRDefault="00547A58" w:rsidP="004F7C57">
            <w:pPr>
              <w:pStyle w:val="enumlev1"/>
              <w:tabs>
                <w:tab w:val="clear" w:pos="794"/>
                <w:tab w:val="clear" w:pos="1191"/>
                <w:tab w:val="clear" w:pos="1588"/>
                <w:tab w:val="clear" w:pos="1985"/>
              </w:tabs>
              <w:ind w:left="0" w:firstLine="0"/>
              <w:rPr>
                <w:rFonts w:ascii="Cambria" w:hAnsi="Cambria"/>
                <w:color w:val="000000" w:themeColor="text1"/>
              </w:rPr>
            </w:pPr>
            <w:r w:rsidRPr="00A52AB8">
              <w:rPr>
                <w:rFonts w:ascii="Cambria" w:hAnsi="Cambria"/>
                <w:color w:val="000000" w:themeColor="text1"/>
              </w:rPr>
              <w:t>!</w:t>
            </w:r>
            <w:r w:rsidRPr="00A52AB8">
              <w:rPr>
                <w:rFonts w:ascii="Cambria" w:hAnsi="Cambria" w:cs="Symbol"/>
                <w:color w:val="000000" w:themeColor="text1"/>
              </w:rPr>
              <w:t>=</w:t>
            </w:r>
          </w:p>
        </w:tc>
        <w:tc>
          <w:tcPr>
            <w:tcW w:w="4134" w:type="pct"/>
          </w:tcPr>
          <w:p w14:paraId="4D613069" w14:textId="77777777" w:rsidR="00547A58" w:rsidRPr="00A52AB8" w:rsidRDefault="00547A58" w:rsidP="004F7C57">
            <w:pPr>
              <w:pStyle w:val="enumlev1"/>
              <w:tabs>
                <w:tab w:val="clear" w:pos="794"/>
                <w:tab w:val="clear" w:pos="1191"/>
                <w:tab w:val="clear" w:pos="1588"/>
                <w:tab w:val="clear" w:pos="1985"/>
              </w:tabs>
              <w:ind w:left="0" w:firstLine="0"/>
              <w:rPr>
                <w:rFonts w:ascii="Cambria" w:hAnsi="Cambria"/>
                <w:color w:val="000000" w:themeColor="text1"/>
              </w:rPr>
            </w:pPr>
            <w:r w:rsidRPr="00A52AB8">
              <w:rPr>
                <w:rFonts w:ascii="Cambria" w:hAnsi="Cambria"/>
                <w:color w:val="000000" w:themeColor="text1"/>
              </w:rPr>
              <w:t>Not equal to.</w:t>
            </w:r>
          </w:p>
        </w:tc>
      </w:tr>
    </w:tbl>
    <w:p w14:paraId="03DECCD1" w14:textId="6097786C" w:rsidR="00120E20" w:rsidRPr="00A52AB8" w:rsidRDefault="00120E20" w:rsidP="005C26E9">
      <w:pPr>
        <w:pStyle w:val="Heading2"/>
        <w:rPr>
          <w:color w:val="000000" w:themeColor="text1"/>
        </w:rPr>
      </w:pPr>
      <w:bookmarkStart w:id="385" w:name="_Toc533167132"/>
      <w:bookmarkStart w:id="386" w:name="_Toc488804405"/>
      <w:bookmarkStart w:id="387" w:name="_Toc496067377"/>
      <w:bookmarkStart w:id="388" w:name="_Toc496067610"/>
      <w:bookmarkStart w:id="389" w:name="_Toc20134227"/>
      <w:bookmarkStart w:id="390" w:name="_Toc77680338"/>
      <w:bookmarkStart w:id="391" w:name="_Toc118289004"/>
      <w:bookmarkStart w:id="392" w:name="_Toc226456474"/>
      <w:bookmarkStart w:id="393" w:name="_Toc248045177"/>
      <w:bookmarkStart w:id="394" w:name="_Toc287363733"/>
      <w:bookmarkStart w:id="395" w:name="_Toc311216716"/>
      <w:bookmarkStart w:id="396" w:name="_Toc317198681"/>
      <w:bookmarkStart w:id="397" w:name="_Toc390728004"/>
      <w:bookmarkStart w:id="398" w:name="_Toc511952614"/>
      <w:bookmarkStart w:id="399" w:name="_Toc52181582"/>
      <w:bookmarkEnd w:id="385"/>
      <w:r w:rsidRPr="00A52AB8">
        <w:rPr>
          <w:color w:val="000000" w:themeColor="text1"/>
        </w:rPr>
        <w:t>Bit-wise operators</w:t>
      </w:r>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48"/>
        <w:gridCol w:w="8904"/>
      </w:tblGrid>
      <w:tr w:rsidR="00BA5C8F" w:rsidRPr="00A52AB8" w14:paraId="70B1AD9C" w14:textId="77777777" w:rsidTr="00BA5C8F">
        <w:tc>
          <w:tcPr>
            <w:tcW w:w="435" w:type="pct"/>
          </w:tcPr>
          <w:p w14:paraId="15643350" w14:textId="77777777" w:rsidR="00BA5C8F" w:rsidRPr="00A52AB8" w:rsidRDefault="00BA5C8F">
            <w:pPr>
              <w:pStyle w:val="enumlev1"/>
              <w:tabs>
                <w:tab w:val="clear" w:pos="794"/>
                <w:tab w:val="clear" w:pos="1191"/>
                <w:tab w:val="clear" w:pos="1588"/>
                <w:tab w:val="clear" w:pos="1985"/>
              </w:tabs>
              <w:ind w:left="0" w:firstLine="0"/>
              <w:rPr>
                <w:rFonts w:ascii="Cambria" w:hAnsi="Cambria"/>
                <w:color w:val="000000" w:themeColor="text1"/>
              </w:rPr>
            </w:pPr>
            <w:r w:rsidRPr="00A52AB8">
              <w:rPr>
                <w:rFonts w:ascii="Cambria" w:hAnsi="Cambria"/>
                <w:color w:val="000000" w:themeColor="text1"/>
              </w:rPr>
              <w:t>~</w:t>
            </w:r>
          </w:p>
        </w:tc>
        <w:tc>
          <w:tcPr>
            <w:tcW w:w="4565" w:type="pct"/>
          </w:tcPr>
          <w:p w14:paraId="40113F2E" w14:textId="77777777" w:rsidR="00BA5C8F" w:rsidRPr="00A52AB8" w:rsidRDefault="002E2418" w:rsidP="005C26E9">
            <w:pPr>
              <w:pStyle w:val="enumlev1"/>
              <w:tabs>
                <w:tab w:val="clear" w:pos="794"/>
                <w:tab w:val="clear" w:pos="1191"/>
                <w:tab w:val="clear" w:pos="1588"/>
                <w:tab w:val="clear" w:pos="1985"/>
              </w:tabs>
              <w:ind w:left="0" w:firstLine="0"/>
              <w:jc w:val="left"/>
              <w:rPr>
                <w:rFonts w:ascii="Cambria" w:hAnsi="Cambria"/>
                <w:color w:val="000000" w:themeColor="text1"/>
              </w:rPr>
            </w:pPr>
            <w:r w:rsidRPr="00A52AB8">
              <w:rPr>
                <w:rFonts w:ascii="Cambria" w:hAnsi="Cambria"/>
                <w:color w:val="000000" w:themeColor="text1"/>
              </w:rPr>
              <w:t>b</w:t>
            </w:r>
            <w:r w:rsidR="00BA5C8F" w:rsidRPr="00A52AB8">
              <w:rPr>
                <w:rFonts w:ascii="Cambria" w:hAnsi="Cambria"/>
                <w:color w:val="000000" w:themeColor="text1"/>
              </w:rPr>
              <w:t xml:space="preserve">it-wise "not". </w:t>
            </w:r>
            <w:r w:rsidRPr="00A52AB8">
              <w:rPr>
                <w:rFonts w:ascii="Cambria" w:hAnsi="Cambria"/>
                <w:color w:val="000000" w:themeColor="text1"/>
              </w:rPr>
              <w:br/>
            </w:r>
            <w:r w:rsidR="00BA5C8F" w:rsidRPr="00A52AB8">
              <w:rPr>
                <w:rFonts w:ascii="Cambria" w:hAnsi="Cambria"/>
                <w:color w:val="000000" w:themeColor="text1"/>
              </w:rPr>
              <w:t>When operating on integer arguments, operates on a two's complement representation of the integer value. When operating on a binary argument that contains fewer bits than another argument, the shorter argument is extended by adding more significant bits equal to 0.</w:t>
            </w:r>
          </w:p>
        </w:tc>
      </w:tr>
      <w:tr w:rsidR="00547A58" w:rsidRPr="00A52AB8" w14:paraId="2613DBF2" w14:textId="77777777" w:rsidTr="00BA5C8F">
        <w:tc>
          <w:tcPr>
            <w:tcW w:w="435" w:type="pct"/>
          </w:tcPr>
          <w:p w14:paraId="6B5E3B12" w14:textId="77777777" w:rsidR="00547A58" w:rsidRPr="00A52AB8" w:rsidRDefault="00547A58" w:rsidP="004F7C57">
            <w:pPr>
              <w:pStyle w:val="enumlev1"/>
              <w:tabs>
                <w:tab w:val="clear" w:pos="794"/>
                <w:tab w:val="clear" w:pos="1191"/>
                <w:tab w:val="clear" w:pos="1588"/>
                <w:tab w:val="clear" w:pos="1985"/>
              </w:tabs>
              <w:ind w:left="0" w:firstLine="0"/>
              <w:rPr>
                <w:rFonts w:ascii="Cambria" w:hAnsi="Cambria"/>
                <w:color w:val="000000" w:themeColor="text1"/>
              </w:rPr>
            </w:pPr>
            <w:r w:rsidRPr="00A52AB8">
              <w:rPr>
                <w:rFonts w:ascii="Cambria" w:hAnsi="Cambria"/>
                <w:color w:val="000000" w:themeColor="text1"/>
              </w:rPr>
              <w:t>&amp;</w:t>
            </w:r>
          </w:p>
        </w:tc>
        <w:tc>
          <w:tcPr>
            <w:tcW w:w="4565" w:type="pct"/>
          </w:tcPr>
          <w:p w14:paraId="190D160E" w14:textId="77777777" w:rsidR="00547A58" w:rsidRPr="00A52AB8" w:rsidRDefault="002E2418" w:rsidP="005C26E9">
            <w:pPr>
              <w:pStyle w:val="enumlev1"/>
              <w:tabs>
                <w:tab w:val="clear" w:pos="794"/>
                <w:tab w:val="clear" w:pos="1191"/>
                <w:tab w:val="clear" w:pos="1588"/>
                <w:tab w:val="clear" w:pos="1985"/>
              </w:tabs>
              <w:ind w:left="0" w:firstLine="0"/>
              <w:jc w:val="left"/>
              <w:rPr>
                <w:rFonts w:ascii="Cambria" w:hAnsi="Cambria"/>
                <w:color w:val="000000" w:themeColor="text1"/>
              </w:rPr>
            </w:pPr>
            <w:r w:rsidRPr="00A52AB8">
              <w:rPr>
                <w:rFonts w:ascii="Cambria" w:hAnsi="Cambria"/>
                <w:color w:val="000000" w:themeColor="text1"/>
              </w:rPr>
              <w:t>bit</w:t>
            </w:r>
            <w:r w:rsidR="00547A58" w:rsidRPr="00A52AB8">
              <w:rPr>
                <w:rFonts w:ascii="Cambria" w:hAnsi="Cambria"/>
                <w:color w:val="000000" w:themeColor="text1"/>
              </w:rPr>
              <w:t xml:space="preserve">-wise "and". </w:t>
            </w:r>
            <w:r w:rsidR="00EB36F3" w:rsidRPr="00A52AB8">
              <w:rPr>
                <w:rFonts w:ascii="Cambria" w:hAnsi="Cambria"/>
                <w:color w:val="000000" w:themeColor="text1"/>
              </w:rPr>
              <w:br/>
            </w:r>
            <w:r w:rsidR="00547A58" w:rsidRPr="00A52AB8">
              <w:rPr>
                <w:rFonts w:ascii="Cambria" w:hAnsi="Cambria"/>
                <w:color w:val="000000" w:themeColor="text1"/>
              </w:rPr>
              <w:t>When operating on integer arguments, operates on a two's complement representation of the integer value. When operating on a binary argument that contains fewer bits than another argument, the shorter argument is extended by adding more significant bits equal to 0.</w:t>
            </w:r>
          </w:p>
        </w:tc>
      </w:tr>
      <w:tr w:rsidR="00547A58" w:rsidRPr="00A52AB8" w14:paraId="3CA95F74" w14:textId="77777777" w:rsidTr="00BA5C8F">
        <w:tc>
          <w:tcPr>
            <w:tcW w:w="435" w:type="pct"/>
          </w:tcPr>
          <w:p w14:paraId="62E9A9FB" w14:textId="77777777" w:rsidR="00547A58" w:rsidRPr="00A52AB8" w:rsidRDefault="00547A58" w:rsidP="004F7C57">
            <w:pPr>
              <w:pStyle w:val="enumlev1"/>
              <w:tabs>
                <w:tab w:val="clear" w:pos="794"/>
                <w:tab w:val="clear" w:pos="1191"/>
                <w:tab w:val="clear" w:pos="1588"/>
                <w:tab w:val="clear" w:pos="1985"/>
              </w:tabs>
              <w:ind w:left="0" w:firstLine="0"/>
              <w:rPr>
                <w:rFonts w:ascii="Cambria" w:hAnsi="Cambria"/>
                <w:color w:val="000000" w:themeColor="text1"/>
              </w:rPr>
            </w:pPr>
            <w:r w:rsidRPr="00A52AB8">
              <w:rPr>
                <w:rFonts w:ascii="Cambria" w:hAnsi="Cambria"/>
                <w:color w:val="000000" w:themeColor="text1"/>
              </w:rPr>
              <w:t>|</w:t>
            </w:r>
          </w:p>
        </w:tc>
        <w:tc>
          <w:tcPr>
            <w:tcW w:w="4565" w:type="pct"/>
          </w:tcPr>
          <w:p w14:paraId="392ADE92" w14:textId="77777777" w:rsidR="00547A58" w:rsidRPr="00A52AB8" w:rsidRDefault="002E2418" w:rsidP="005C26E9">
            <w:pPr>
              <w:pStyle w:val="enumlev1"/>
              <w:tabs>
                <w:tab w:val="clear" w:pos="794"/>
                <w:tab w:val="clear" w:pos="1191"/>
                <w:tab w:val="clear" w:pos="1588"/>
                <w:tab w:val="clear" w:pos="1985"/>
              </w:tabs>
              <w:ind w:left="0" w:firstLine="0"/>
              <w:jc w:val="left"/>
              <w:rPr>
                <w:rFonts w:ascii="Cambria" w:hAnsi="Cambria"/>
                <w:color w:val="000000" w:themeColor="text1"/>
              </w:rPr>
            </w:pPr>
            <w:r w:rsidRPr="00A52AB8">
              <w:rPr>
                <w:rFonts w:ascii="Cambria" w:hAnsi="Cambria"/>
                <w:color w:val="000000" w:themeColor="text1"/>
              </w:rPr>
              <w:t>bit</w:t>
            </w:r>
            <w:r w:rsidR="00547A58" w:rsidRPr="00A52AB8">
              <w:rPr>
                <w:rFonts w:ascii="Cambria" w:hAnsi="Cambria"/>
                <w:color w:val="000000" w:themeColor="text1"/>
              </w:rPr>
              <w:t xml:space="preserve">-wise "or". </w:t>
            </w:r>
            <w:r w:rsidR="00EB36F3" w:rsidRPr="00A52AB8">
              <w:rPr>
                <w:rFonts w:ascii="Cambria" w:hAnsi="Cambria"/>
                <w:color w:val="000000" w:themeColor="text1"/>
              </w:rPr>
              <w:br/>
            </w:r>
            <w:r w:rsidR="00547A58" w:rsidRPr="00A52AB8">
              <w:rPr>
                <w:rFonts w:ascii="Cambria" w:hAnsi="Cambria"/>
                <w:color w:val="000000" w:themeColor="text1"/>
              </w:rPr>
              <w:t>When operating on integer arguments, operates on a two's complement representation of the integer value. When operating on a binary argument that contains fewer bits than another argument, the shorter argument is extended by adding more significant bits equal to 0.</w:t>
            </w:r>
          </w:p>
        </w:tc>
      </w:tr>
      <w:tr w:rsidR="00547A58" w:rsidRPr="00A52AB8" w14:paraId="7FF4F423" w14:textId="77777777" w:rsidTr="00BA5C8F">
        <w:tc>
          <w:tcPr>
            <w:tcW w:w="435" w:type="pct"/>
          </w:tcPr>
          <w:p w14:paraId="48BFCBDE" w14:textId="77777777" w:rsidR="00547A58" w:rsidRPr="00A52AB8" w:rsidRDefault="00547A58" w:rsidP="004F7C57">
            <w:pPr>
              <w:pStyle w:val="enumlev1"/>
              <w:tabs>
                <w:tab w:val="clear" w:pos="794"/>
                <w:tab w:val="clear" w:pos="1191"/>
                <w:tab w:val="clear" w:pos="1588"/>
                <w:tab w:val="clear" w:pos="1985"/>
              </w:tabs>
              <w:ind w:left="0" w:firstLine="0"/>
              <w:rPr>
                <w:rFonts w:ascii="Cambria" w:hAnsi="Cambria"/>
                <w:color w:val="000000" w:themeColor="text1"/>
              </w:rPr>
            </w:pPr>
            <w:r w:rsidRPr="00A52AB8">
              <w:rPr>
                <w:rFonts w:ascii="Cambria" w:hAnsi="Cambria"/>
                <w:color w:val="000000" w:themeColor="text1"/>
              </w:rPr>
              <w:lastRenderedPageBreak/>
              <w:t>^</w:t>
            </w:r>
          </w:p>
        </w:tc>
        <w:tc>
          <w:tcPr>
            <w:tcW w:w="4565" w:type="pct"/>
          </w:tcPr>
          <w:p w14:paraId="00FCDE9E" w14:textId="77777777" w:rsidR="00547A58" w:rsidRPr="00A52AB8" w:rsidRDefault="002E2418" w:rsidP="005C26E9">
            <w:pPr>
              <w:pStyle w:val="enumlev1"/>
              <w:tabs>
                <w:tab w:val="clear" w:pos="794"/>
                <w:tab w:val="clear" w:pos="1191"/>
                <w:tab w:val="clear" w:pos="1588"/>
                <w:tab w:val="clear" w:pos="1985"/>
              </w:tabs>
              <w:ind w:left="0" w:firstLine="0"/>
              <w:jc w:val="left"/>
              <w:rPr>
                <w:rFonts w:ascii="Cambria" w:hAnsi="Cambria"/>
                <w:color w:val="000000" w:themeColor="text1"/>
              </w:rPr>
            </w:pPr>
            <w:r w:rsidRPr="00A52AB8">
              <w:rPr>
                <w:rFonts w:ascii="Cambria" w:hAnsi="Cambria"/>
                <w:color w:val="000000" w:themeColor="text1"/>
              </w:rPr>
              <w:t>bit</w:t>
            </w:r>
            <w:r w:rsidR="00547A58" w:rsidRPr="00A52AB8">
              <w:rPr>
                <w:rFonts w:ascii="Cambria" w:hAnsi="Cambria"/>
                <w:color w:val="000000" w:themeColor="text1"/>
              </w:rPr>
              <w:t xml:space="preserve">-wise "exclusive or". </w:t>
            </w:r>
            <w:r w:rsidR="00EB36F3" w:rsidRPr="00A52AB8">
              <w:rPr>
                <w:rFonts w:ascii="Cambria" w:hAnsi="Cambria"/>
                <w:color w:val="000000" w:themeColor="text1"/>
              </w:rPr>
              <w:br/>
            </w:r>
            <w:r w:rsidR="00547A58" w:rsidRPr="00A52AB8">
              <w:rPr>
                <w:rFonts w:ascii="Cambria" w:hAnsi="Cambria"/>
                <w:color w:val="000000" w:themeColor="text1"/>
              </w:rPr>
              <w:t>When operating on integer arguments, operates on a two's complement representation of the integer value. When operating on a binary argument that contains fewer bits than another argument, the shorter argument is extended by adding more significant bits equal to 0.</w:t>
            </w:r>
          </w:p>
        </w:tc>
      </w:tr>
      <w:tr w:rsidR="00547A58" w:rsidRPr="00A52AB8" w14:paraId="3729B771" w14:textId="77777777" w:rsidTr="00BA5C8F">
        <w:tc>
          <w:tcPr>
            <w:tcW w:w="435" w:type="pct"/>
          </w:tcPr>
          <w:p w14:paraId="7346F160" w14:textId="77777777" w:rsidR="00547A58" w:rsidRPr="00A52AB8" w:rsidRDefault="00547A58" w:rsidP="004F7C57">
            <w:pPr>
              <w:pStyle w:val="enumlev1"/>
              <w:tabs>
                <w:tab w:val="clear" w:pos="794"/>
                <w:tab w:val="clear" w:pos="1191"/>
                <w:tab w:val="clear" w:pos="1588"/>
                <w:tab w:val="clear" w:pos="1985"/>
              </w:tabs>
              <w:ind w:left="0" w:firstLine="0"/>
              <w:rPr>
                <w:rFonts w:ascii="Cambria" w:hAnsi="Cambria"/>
                <w:color w:val="000000" w:themeColor="text1"/>
              </w:rPr>
            </w:pPr>
            <w:r w:rsidRPr="00A52AB8">
              <w:rPr>
                <w:rFonts w:ascii="Cambria" w:hAnsi="Cambria"/>
                <w:color w:val="000000" w:themeColor="text1"/>
              </w:rPr>
              <w:t>x</w:t>
            </w:r>
            <w:r w:rsidR="003730E9" w:rsidRPr="00A52AB8">
              <w:rPr>
                <w:rFonts w:ascii="Cambria" w:hAnsi="Cambria"/>
                <w:color w:val="000000" w:themeColor="text1"/>
              </w:rPr>
              <w:t> </w:t>
            </w:r>
            <w:r w:rsidRPr="00A52AB8">
              <w:rPr>
                <w:rFonts w:ascii="Cambria" w:hAnsi="Cambria"/>
                <w:color w:val="000000" w:themeColor="text1"/>
              </w:rPr>
              <w:t>&gt;&gt;</w:t>
            </w:r>
            <w:r w:rsidR="003730E9" w:rsidRPr="00A52AB8">
              <w:rPr>
                <w:rFonts w:ascii="Cambria" w:hAnsi="Cambria"/>
                <w:color w:val="000000" w:themeColor="text1"/>
              </w:rPr>
              <w:t> </w:t>
            </w:r>
            <w:r w:rsidRPr="00A52AB8">
              <w:rPr>
                <w:rFonts w:ascii="Cambria" w:hAnsi="Cambria"/>
                <w:color w:val="000000" w:themeColor="text1"/>
              </w:rPr>
              <w:t>y</w:t>
            </w:r>
          </w:p>
        </w:tc>
        <w:tc>
          <w:tcPr>
            <w:tcW w:w="4565" w:type="pct"/>
          </w:tcPr>
          <w:p w14:paraId="03A6F5A0" w14:textId="77777777" w:rsidR="00547A58" w:rsidRPr="00A52AB8" w:rsidRDefault="002E2418" w:rsidP="005C26E9">
            <w:pPr>
              <w:pStyle w:val="enumlev1"/>
              <w:tabs>
                <w:tab w:val="clear" w:pos="794"/>
                <w:tab w:val="clear" w:pos="1191"/>
                <w:tab w:val="clear" w:pos="1588"/>
                <w:tab w:val="clear" w:pos="1985"/>
              </w:tabs>
              <w:ind w:left="0" w:firstLine="0"/>
              <w:jc w:val="left"/>
              <w:rPr>
                <w:rFonts w:ascii="Cambria" w:hAnsi="Cambria"/>
                <w:color w:val="000000" w:themeColor="text1"/>
              </w:rPr>
            </w:pPr>
            <w:r w:rsidRPr="00A52AB8">
              <w:rPr>
                <w:rFonts w:ascii="Cambria" w:hAnsi="Cambria"/>
                <w:color w:val="000000" w:themeColor="text1"/>
              </w:rPr>
              <w:t>a</w:t>
            </w:r>
            <w:r w:rsidR="00547A58" w:rsidRPr="00A52AB8">
              <w:rPr>
                <w:rFonts w:ascii="Cambria" w:hAnsi="Cambria"/>
                <w:color w:val="000000" w:themeColor="text1"/>
              </w:rPr>
              <w:t xml:space="preserve">rithmetic right shift of a two's complement integer representation of x by y binary digits. </w:t>
            </w:r>
            <w:r w:rsidR="00EB36F3" w:rsidRPr="00A52AB8">
              <w:rPr>
                <w:rFonts w:ascii="Cambria" w:hAnsi="Cambria"/>
                <w:color w:val="000000" w:themeColor="text1"/>
              </w:rPr>
              <w:br/>
            </w:r>
            <w:r w:rsidR="00547A58" w:rsidRPr="00A52AB8">
              <w:rPr>
                <w:rFonts w:ascii="Cambria" w:hAnsi="Cambria"/>
                <w:color w:val="000000" w:themeColor="text1"/>
              </w:rPr>
              <w:t>This function is defined only for non-negative integer values of y. Bits shifted into the MSBs as a result of the right shift have a value equal to the MSB of x prior to the shift operation.</w:t>
            </w:r>
          </w:p>
        </w:tc>
      </w:tr>
      <w:tr w:rsidR="00547A58" w:rsidRPr="00A52AB8" w14:paraId="2080EC89" w14:textId="77777777" w:rsidTr="00BA5C8F">
        <w:tc>
          <w:tcPr>
            <w:tcW w:w="435" w:type="pct"/>
          </w:tcPr>
          <w:p w14:paraId="566F4C5B" w14:textId="53E99873" w:rsidR="00547A58" w:rsidRPr="00A52AB8" w:rsidRDefault="00547A58" w:rsidP="004F7C57">
            <w:pPr>
              <w:pStyle w:val="enumlev1"/>
              <w:tabs>
                <w:tab w:val="clear" w:pos="794"/>
                <w:tab w:val="clear" w:pos="1191"/>
                <w:tab w:val="clear" w:pos="1588"/>
                <w:tab w:val="clear" w:pos="1985"/>
              </w:tabs>
              <w:ind w:left="0" w:firstLine="0"/>
              <w:rPr>
                <w:rFonts w:ascii="Cambria" w:hAnsi="Cambria"/>
                <w:color w:val="000000" w:themeColor="text1"/>
              </w:rPr>
            </w:pPr>
            <w:r w:rsidRPr="00A52AB8">
              <w:rPr>
                <w:rFonts w:ascii="Cambria" w:hAnsi="Cambria"/>
                <w:color w:val="000000" w:themeColor="text1"/>
              </w:rPr>
              <w:t>x</w:t>
            </w:r>
            <w:r w:rsidR="003730E9" w:rsidRPr="00A52AB8">
              <w:rPr>
                <w:rFonts w:ascii="Cambria" w:hAnsi="Cambria"/>
                <w:color w:val="000000" w:themeColor="text1"/>
              </w:rPr>
              <w:t> </w:t>
            </w:r>
            <w:r w:rsidRPr="00A52AB8">
              <w:rPr>
                <w:rFonts w:ascii="Cambria" w:hAnsi="Cambria"/>
                <w:color w:val="000000" w:themeColor="text1"/>
              </w:rPr>
              <w:t>&lt;&lt;</w:t>
            </w:r>
            <w:r w:rsidR="003730E9" w:rsidRPr="00A52AB8">
              <w:rPr>
                <w:rFonts w:ascii="Cambria" w:hAnsi="Cambria"/>
                <w:color w:val="000000" w:themeColor="text1"/>
              </w:rPr>
              <w:t> </w:t>
            </w:r>
            <w:r w:rsidRPr="00A52AB8">
              <w:rPr>
                <w:rFonts w:ascii="Cambria" w:hAnsi="Cambria"/>
                <w:color w:val="000000" w:themeColor="text1"/>
              </w:rPr>
              <w:t>y</w:t>
            </w:r>
          </w:p>
        </w:tc>
        <w:tc>
          <w:tcPr>
            <w:tcW w:w="4565" w:type="pct"/>
          </w:tcPr>
          <w:p w14:paraId="06D124E4" w14:textId="77777777" w:rsidR="00547A58" w:rsidRPr="00A52AB8" w:rsidRDefault="002E2418" w:rsidP="005C26E9">
            <w:pPr>
              <w:pStyle w:val="enumlev1"/>
              <w:tabs>
                <w:tab w:val="clear" w:pos="794"/>
                <w:tab w:val="clear" w:pos="1191"/>
                <w:tab w:val="clear" w:pos="1588"/>
                <w:tab w:val="clear" w:pos="1985"/>
              </w:tabs>
              <w:ind w:left="0" w:firstLine="0"/>
              <w:jc w:val="left"/>
              <w:rPr>
                <w:rFonts w:ascii="Cambria" w:hAnsi="Cambria"/>
                <w:color w:val="000000" w:themeColor="text1"/>
              </w:rPr>
            </w:pPr>
            <w:r w:rsidRPr="00A52AB8">
              <w:rPr>
                <w:rFonts w:ascii="Cambria" w:hAnsi="Cambria"/>
                <w:color w:val="000000" w:themeColor="text1"/>
              </w:rPr>
              <w:t>a</w:t>
            </w:r>
            <w:r w:rsidR="00547A58" w:rsidRPr="00A52AB8">
              <w:rPr>
                <w:rFonts w:ascii="Cambria" w:hAnsi="Cambria"/>
                <w:color w:val="000000" w:themeColor="text1"/>
              </w:rPr>
              <w:t xml:space="preserve">rithmetic left shift of a two's complement integer representation of x by y binary digits. </w:t>
            </w:r>
            <w:r w:rsidR="00EB36F3" w:rsidRPr="00A52AB8">
              <w:rPr>
                <w:rFonts w:ascii="Cambria" w:hAnsi="Cambria"/>
                <w:color w:val="000000" w:themeColor="text1"/>
              </w:rPr>
              <w:br/>
            </w:r>
            <w:r w:rsidR="00547A58" w:rsidRPr="00A52AB8">
              <w:rPr>
                <w:rFonts w:ascii="Cambria" w:hAnsi="Cambria"/>
                <w:color w:val="000000" w:themeColor="text1"/>
              </w:rPr>
              <w:t>This function is defined only for non-negative integer values of y. Bits shifted into the LSBs as a result of the left shift have a value equal to 0.</w:t>
            </w:r>
          </w:p>
        </w:tc>
      </w:tr>
    </w:tbl>
    <w:p w14:paraId="0CFF15F8" w14:textId="6FEDD37A" w:rsidR="00120E20" w:rsidRPr="00A52AB8" w:rsidRDefault="00120E20" w:rsidP="005C26E9">
      <w:pPr>
        <w:pStyle w:val="Heading2"/>
        <w:rPr>
          <w:color w:val="000000" w:themeColor="text1"/>
        </w:rPr>
      </w:pPr>
      <w:bookmarkStart w:id="400" w:name="_Toc488804406"/>
      <w:bookmarkStart w:id="401" w:name="_Toc496067378"/>
      <w:bookmarkStart w:id="402" w:name="_Toc496067611"/>
      <w:bookmarkStart w:id="403" w:name="_Toc20134228"/>
      <w:bookmarkStart w:id="404" w:name="_Toc77680339"/>
      <w:bookmarkStart w:id="405" w:name="_Toc118289005"/>
      <w:bookmarkStart w:id="406" w:name="_Toc226456475"/>
      <w:bookmarkStart w:id="407" w:name="_Toc248045178"/>
      <w:bookmarkStart w:id="408" w:name="_Toc287363734"/>
      <w:bookmarkStart w:id="409" w:name="_Toc311216717"/>
      <w:bookmarkStart w:id="410" w:name="_Toc317198682"/>
      <w:bookmarkStart w:id="411" w:name="_Toc390728005"/>
      <w:bookmarkStart w:id="412" w:name="_Toc511952615"/>
      <w:bookmarkStart w:id="413" w:name="_Toc52181583"/>
      <w:r w:rsidRPr="00A52AB8">
        <w:rPr>
          <w:color w:val="000000" w:themeColor="text1"/>
        </w:rPr>
        <w:t>Assignment</w:t>
      </w:r>
      <w:bookmarkEnd w:id="400"/>
      <w:bookmarkEnd w:id="401"/>
      <w:bookmarkEnd w:id="402"/>
      <w:bookmarkEnd w:id="403"/>
      <w:r w:rsidRPr="00A52AB8">
        <w:rPr>
          <w:color w:val="000000" w:themeColor="text1"/>
        </w:rPr>
        <w:t xml:space="preserve"> operators</w:t>
      </w:r>
      <w:bookmarkEnd w:id="404"/>
      <w:bookmarkEnd w:id="405"/>
      <w:bookmarkEnd w:id="406"/>
      <w:bookmarkEnd w:id="407"/>
      <w:bookmarkEnd w:id="408"/>
      <w:bookmarkEnd w:id="409"/>
      <w:bookmarkEnd w:id="410"/>
      <w:bookmarkEnd w:id="411"/>
      <w:bookmarkEnd w:id="412"/>
      <w:bookmarkEnd w:id="413"/>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48"/>
        <w:gridCol w:w="8904"/>
      </w:tblGrid>
      <w:tr w:rsidR="00547A58" w:rsidRPr="00A52AB8" w14:paraId="4D76BAF7" w14:textId="77777777" w:rsidTr="00466D1D">
        <w:tc>
          <w:tcPr>
            <w:tcW w:w="435" w:type="pct"/>
          </w:tcPr>
          <w:p w14:paraId="30FA8889" w14:textId="77777777" w:rsidR="00547A58" w:rsidRPr="00A52AB8" w:rsidRDefault="00547A58">
            <w:pPr>
              <w:pStyle w:val="enumlev1"/>
              <w:tabs>
                <w:tab w:val="clear" w:pos="794"/>
                <w:tab w:val="clear" w:pos="1191"/>
                <w:tab w:val="clear" w:pos="1588"/>
                <w:tab w:val="clear" w:pos="1985"/>
              </w:tabs>
              <w:ind w:left="0" w:firstLine="0"/>
              <w:rPr>
                <w:rFonts w:ascii="Cambria" w:hAnsi="Cambria" w:cs="Symbol"/>
                <w:color w:val="000000" w:themeColor="text1"/>
              </w:rPr>
            </w:pPr>
            <w:r w:rsidRPr="00A52AB8">
              <w:rPr>
                <w:rFonts w:ascii="Cambria" w:hAnsi="Cambria" w:cs="Symbol"/>
                <w:color w:val="000000" w:themeColor="text1"/>
              </w:rPr>
              <w:t>=</w:t>
            </w:r>
          </w:p>
        </w:tc>
        <w:tc>
          <w:tcPr>
            <w:tcW w:w="4710" w:type="pct"/>
          </w:tcPr>
          <w:p w14:paraId="1654C783" w14:textId="77777777" w:rsidR="00547A58" w:rsidRPr="00A52AB8" w:rsidRDefault="00EB36F3">
            <w:pPr>
              <w:pStyle w:val="enumlev1"/>
              <w:tabs>
                <w:tab w:val="clear" w:pos="794"/>
                <w:tab w:val="clear" w:pos="1191"/>
                <w:tab w:val="clear" w:pos="1588"/>
                <w:tab w:val="clear" w:pos="1985"/>
              </w:tabs>
              <w:ind w:left="0" w:firstLine="0"/>
              <w:rPr>
                <w:rFonts w:ascii="Cambria" w:hAnsi="Cambria"/>
                <w:color w:val="000000" w:themeColor="text1"/>
              </w:rPr>
            </w:pPr>
            <w:r w:rsidRPr="00A52AB8">
              <w:rPr>
                <w:rFonts w:ascii="Cambria" w:hAnsi="Cambria"/>
                <w:color w:val="000000" w:themeColor="text1"/>
              </w:rPr>
              <w:t>a</w:t>
            </w:r>
            <w:r w:rsidR="00547A58" w:rsidRPr="00A52AB8">
              <w:rPr>
                <w:rFonts w:ascii="Cambria" w:hAnsi="Cambria"/>
                <w:color w:val="000000" w:themeColor="text1"/>
              </w:rPr>
              <w:t>ssignment operator.</w:t>
            </w:r>
          </w:p>
        </w:tc>
      </w:tr>
      <w:tr w:rsidR="00547A58" w:rsidRPr="00A52AB8" w14:paraId="60931CB9" w14:textId="77777777" w:rsidTr="00466D1D">
        <w:tc>
          <w:tcPr>
            <w:tcW w:w="435" w:type="pct"/>
          </w:tcPr>
          <w:p w14:paraId="5EEF6F6B" w14:textId="5DE1A3FF" w:rsidR="00547A58" w:rsidRPr="00A52AB8" w:rsidRDefault="00547A58" w:rsidP="004F7C57">
            <w:pPr>
              <w:pStyle w:val="enumlev1"/>
              <w:tabs>
                <w:tab w:val="clear" w:pos="794"/>
                <w:tab w:val="clear" w:pos="1191"/>
                <w:tab w:val="clear" w:pos="1588"/>
                <w:tab w:val="clear" w:pos="1985"/>
              </w:tabs>
              <w:ind w:left="0" w:firstLine="0"/>
              <w:rPr>
                <w:rFonts w:ascii="Cambria" w:hAnsi="Cambria"/>
                <w:color w:val="000000" w:themeColor="text1"/>
              </w:rPr>
            </w:pPr>
            <w:r w:rsidRPr="00A52AB8">
              <w:rPr>
                <w:rFonts w:ascii="Cambria" w:hAnsi="Cambria" w:cs="Symbol"/>
                <w:color w:val="000000" w:themeColor="text1"/>
              </w:rPr>
              <w:t>++</w:t>
            </w:r>
          </w:p>
        </w:tc>
        <w:tc>
          <w:tcPr>
            <w:tcW w:w="4710" w:type="pct"/>
          </w:tcPr>
          <w:p w14:paraId="229245F9" w14:textId="5B163741" w:rsidR="00547A58" w:rsidRPr="00A52AB8" w:rsidRDefault="00EB36F3" w:rsidP="004F7C57">
            <w:pPr>
              <w:pStyle w:val="enumlev1"/>
              <w:tabs>
                <w:tab w:val="clear" w:pos="794"/>
                <w:tab w:val="clear" w:pos="1191"/>
                <w:tab w:val="clear" w:pos="1588"/>
                <w:tab w:val="clear" w:pos="1985"/>
              </w:tabs>
              <w:ind w:left="0" w:firstLine="0"/>
              <w:rPr>
                <w:rFonts w:ascii="Cambria" w:hAnsi="Cambria"/>
                <w:color w:val="000000" w:themeColor="text1"/>
              </w:rPr>
            </w:pPr>
            <w:r w:rsidRPr="00A52AB8">
              <w:rPr>
                <w:rFonts w:ascii="Cambria" w:hAnsi="Cambria"/>
                <w:color w:val="000000" w:themeColor="text1"/>
              </w:rPr>
              <w:t>i</w:t>
            </w:r>
            <w:r w:rsidR="00547A58" w:rsidRPr="00A52AB8">
              <w:rPr>
                <w:rFonts w:ascii="Cambria" w:hAnsi="Cambria"/>
                <w:color w:val="000000" w:themeColor="text1"/>
              </w:rPr>
              <w:t xml:space="preserve">ncrement, i.e. </w:t>
            </w:r>
            <w:r w:rsidR="00547A58" w:rsidRPr="00A52AB8">
              <w:rPr>
                <w:rFonts w:ascii="Cambria" w:hAnsi="Cambria"/>
                <w:iCs/>
                <w:color w:val="000000" w:themeColor="text1"/>
              </w:rPr>
              <w:t>x</w:t>
            </w:r>
            <w:r w:rsidR="00547A58" w:rsidRPr="00A52AB8">
              <w:rPr>
                <w:rFonts w:ascii="Cambria" w:hAnsi="Cambria" w:cs="Symbol"/>
                <w:color w:val="000000" w:themeColor="text1"/>
              </w:rPr>
              <w:t>++</w:t>
            </w:r>
            <w:r w:rsidR="00547A58" w:rsidRPr="00A52AB8">
              <w:rPr>
                <w:rFonts w:ascii="Cambria" w:hAnsi="Cambria"/>
                <w:color w:val="000000" w:themeColor="text1"/>
              </w:rPr>
              <w:t xml:space="preserve"> is equivalent to </w:t>
            </w:r>
            <w:r w:rsidR="00547A58" w:rsidRPr="00A52AB8">
              <w:rPr>
                <w:rFonts w:ascii="Cambria" w:hAnsi="Cambria"/>
                <w:iCs/>
                <w:color w:val="000000" w:themeColor="text1"/>
              </w:rPr>
              <w:t>x</w:t>
            </w:r>
            <w:r w:rsidR="0023721F" w:rsidRPr="00A52AB8">
              <w:rPr>
                <w:rFonts w:ascii="Cambria" w:hAnsi="Cambria"/>
                <w:color w:val="000000" w:themeColor="text1"/>
              </w:rPr>
              <w:t> </w:t>
            </w:r>
            <w:r w:rsidR="00D47707" w:rsidRPr="00A52AB8">
              <w:rPr>
                <w:rFonts w:ascii="Cambria" w:hAnsi="Cambria" w:cs="Symbol"/>
                <w:color w:val="000000" w:themeColor="text1"/>
              </w:rPr>
              <w:t>= </w:t>
            </w:r>
            <w:r w:rsidR="00547A58" w:rsidRPr="00A52AB8">
              <w:rPr>
                <w:rFonts w:ascii="Cambria" w:hAnsi="Cambria"/>
                <w:iCs/>
                <w:color w:val="000000" w:themeColor="text1"/>
              </w:rPr>
              <w:t>x</w:t>
            </w:r>
            <w:r w:rsidR="00C31DAE" w:rsidRPr="00A52AB8">
              <w:rPr>
                <w:rFonts w:ascii="Cambria" w:hAnsi="Cambria"/>
                <w:color w:val="000000" w:themeColor="text1"/>
              </w:rPr>
              <w:t> </w:t>
            </w:r>
            <w:r w:rsidR="00547A58" w:rsidRPr="00A52AB8">
              <w:rPr>
                <w:rFonts w:ascii="Cambria" w:hAnsi="Cambria" w:cs="Symbol"/>
                <w:color w:val="000000" w:themeColor="text1"/>
              </w:rPr>
              <w:t>+</w:t>
            </w:r>
            <w:r w:rsidR="00C31DAE" w:rsidRPr="00A52AB8">
              <w:rPr>
                <w:rFonts w:ascii="Cambria" w:hAnsi="Cambria"/>
                <w:color w:val="000000" w:themeColor="text1"/>
              </w:rPr>
              <w:t> </w:t>
            </w:r>
            <w:r w:rsidR="00547A58" w:rsidRPr="00A52AB8">
              <w:rPr>
                <w:rFonts w:ascii="Cambria" w:hAnsi="Cambria"/>
                <w:color w:val="000000" w:themeColor="text1"/>
              </w:rPr>
              <w:t>1; when used in an array index, evaluates to the value of the variable prior to the increment operation.</w:t>
            </w:r>
          </w:p>
        </w:tc>
      </w:tr>
      <w:tr w:rsidR="00547A58" w:rsidRPr="00A52AB8" w14:paraId="6D64F15A" w14:textId="77777777" w:rsidTr="00466D1D">
        <w:tc>
          <w:tcPr>
            <w:tcW w:w="435" w:type="pct"/>
          </w:tcPr>
          <w:p w14:paraId="06C1D90D" w14:textId="21F9AAFD" w:rsidR="00547A58" w:rsidRPr="00A52AB8" w:rsidRDefault="008768E9" w:rsidP="004F7C57">
            <w:pPr>
              <w:pStyle w:val="enumlev1"/>
              <w:tabs>
                <w:tab w:val="clear" w:pos="794"/>
                <w:tab w:val="clear" w:pos="1191"/>
                <w:tab w:val="clear" w:pos="1588"/>
                <w:tab w:val="clear" w:pos="1985"/>
              </w:tabs>
              <w:ind w:left="0" w:firstLine="0"/>
              <w:rPr>
                <w:rFonts w:ascii="Cambria" w:hAnsi="Cambria"/>
                <w:color w:val="000000" w:themeColor="text1"/>
              </w:rPr>
            </w:pPr>
            <w:r w:rsidRPr="00A52AB8">
              <w:rPr>
                <w:rFonts w:ascii="Cambria" w:hAnsi="Cambria"/>
                <w:color w:val="000000" w:themeColor="text1"/>
              </w:rPr>
              <w:t>−−</w:t>
            </w:r>
          </w:p>
        </w:tc>
        <w:tc>
          <w:tcPr>
            <w:tcW w:w="4710" w:type="pct"/>
          </w:tcPr>
          <w:p w14:paraId="55B07427" w14:textId="759FB116" w:rsidR="00547A58" w:rsidRPr="00A52AB8" w:rsidRDefault="00EB36F3" w:rsidP="004F7C57">
            <w:pPr>
              <w:pStyle w:val="enumlev1"/>
              <w:tabs>
                <w:tab w:val="clear" w:pos="794"/>
                <w:tab w:val="clear" w:pos="1191"/>
                <w:tab w:val="clear" w:pos="1588"/>
                <w:tab w:val="clear" w:pos="1985"/>
              </w:tabs>
              <w:ind w:left="0" w:firstLine="0"/>
              <w:rPr>
                <w:rFonts w:ascii="Cambria" w:hAnsi="Cambria"/>
                <w:color w:val="000000" w:themeColor="text1"/>
              </w:rPr>
            </w:pPr>
            <w:r w:rsidRPr="00A52AB8">
              <w:rPr>
                <w:rFonts w:ascii="Cambria" w:hAnsi="Cambria"/>
                <w:color w:val="000000" w:themeColor="text1"/>
              </w:rPr>
              <w:t>d</w:t>
            </w:r>
            <w:r w:rsidR="00547A58" w:rsidRPr="00A52AB8">
              <w:rPr>
                <w:rFonts w:ascii="Cambria" w:hAnsi="Cambria"/>
                <w:color w:val="000000" w:themeColor="text1"/>
              </w:rPr>
              <w:t xml:space="preserve">ecrement, i.e. </w:t>
            </w:r>
            <w:r w:rsidR="00547A58" w:rsidRPr="00A52AB8">
              <w:rPr>
                <w:rFonts w:ascii="Cambria" w:hAnsi="Cambria"/>
                <w:iCs/>
                <w:color w:val="000000" w:themeColor="text1"/>
              </w:rPr>
              <w:t>x</w:t>
            </w:r>
            <w:r w:rsidR="00547A58" w:rsidRPr="00A52AB8">
              <w:rPr>
                <w:rFonts w:ascii="Cambria" w:hAnsi="Cambria"/>
                <w:color w:val="000000" w:themeColor="text1"/>
              </w:rPr>
              <w:t xml:space="preserve">−− is equivalent to </w:t>
            </w:r>
            <w:r w:rsidR="00547A58" w:rsidRPr="00A52AB8">
              <w:rPr>
                <w:rFonts w:ascii="Cambria" w:hAnsi="Cambria"/>
                <w:iCs/>
                <w:color w:val="000000" w:themeColor="text1"/>
              </w:rPr>
              <w:t>x</w:t>
            </w:r>
            <w:r w:rsidR="0023721F" w:rsidRPr="00A52AB8">
              <w:rPr>
                <w:rFonts w:ascii="Cambria" w:hAnsi="Cambria"/>
                <w:color w:val="000000" w:themeColor="text1"/>
              </w:rPr>
              <w:t> </w:t>
            </w:r>
            <w:r w:rsidR="00D47707" w:rsidRPr="00A52AB8">
              <w:rPr>
                <w:rFonts w:ascii="Cambria" w:hAnsi="Cambria" w:cs="Symbol"/>
                <w:color w:val="000000" w:themeColor="text1"/>
              </w:rPr>
              <w:t>= </w:t>
            </w:r>
            <w:r w:rsidR="00547A58" w:rsidRPr="00A52AB8">
              <w:rPr>
                <w:rFonts w:ascii="Cambria" w:hAnsi="Cambria"/>
                <w:iCs/>
                <w:color w:val="000000" w:themeColor="text1"/>
              </w:rPr>
              <w:t>x</w:t>
            </w:r>
            <w:r w:rsidR="00C31DAE" w:rsidRPr="00A52AB8">
              <w:rPr>
                <w:rFonts w:ascii="Cambria" w:hAnsi="Cambria"/>
                <w:color w:val="000000" w:themeColor="text1"/>
              </w:rPr>
              <w:t> </w:t>
            </w:r>
            <w:r w:rsidR="00547A58" w:rsidRPr="00A52AB8">
              <w:rPr>
                <w:rFonts w:ascii="Cambria" w:hAnsi="Cambria"/>
                <w:color w:val="000000" w:themeColor="text1"/>
              </w:rPr>
              <w:t>−</w:t>
            </w:r>
            <w:r w:rsidR="00C31DAE" w:rsidRPr="00A52AB8">
              <w:rPr>
                <w:rFonts w:ascii="Cambria" w:hAnsi="Cambria"/>
                <w:color w:val="000000" w:themeColor="text1"/>
              </w:rPr>
              <w:t> </w:t>
            </w:r>
            <w:r w:rsidR="00547A58" w:rsidRPr="00A52AB8">
              <w:rPr>
                <w:rFonts w:ascii="Cambria" w:hAnsi="Cambria"/>
                <w:color w:val="000000" w:themeColor="text1"/>
              </w:rPr>
              <w:t>1; when used in an array index, evaluates to the value of the variable prior to the decrement operation.</w:t>
            </w:r>
          </w:p>
        </w:tc>
      </w:tr>
      <w:tr w:rsidR="00547A58" w:rsidRPr="00A52AB8" w14:paraId="6FCE3384" w14:textId="77777777" w:rsidTr="00466D1D">
        <w:tc>
          <w:tcPr>
            <w:tcW w:w="435" w:type="pct"/>
          </w:tcPr>
          <w:p w14:paraId="548C0D32" w14:textId="77777777" w:rsidR="00547A58" w:rsidRPr="00A52AB8" w:rsidRDefault="00547A58" w:rsidP="004F7C57">
            <w:pPr>
              <w:pStyle w:val="enumlev1"/>
              <w:tabs>
                <w:tab w:val="clear" w:pos="794"/>
                <w:tab w:val="clear" w:pos="1191"/>
                <w:tab w:val="clear" w:pos="1588"/>
                <w:tab w:val="clear" w:pos="1985"/>
              </w:tabs>
              <w:ind w:left="0" w:firstLine="0"/>
              <w:rPr>
                <w:rFonts w:ascii="Cambria" w:hAnsi="Cambria"/>
                <w:color w:val="000000" w:themeColor="text1"/>
              </w:rPr>
            </w:pPr>
            <w:r w:rsidRPr="00A52AB8">
              <w:rPr>
                <w:rFonts w:ascii="Cambria" w:hAnsi="Cambria"/>
                <w:color w:val="000000" w:themeColor="text1"/>
              </w:rPr>
              <w:t>+=</w:t>
            </w:r>
          </w:p>
        </w:tc>
        <w:tc>
          <w:tcPr>
            <w:tcW w:w="4710" w:type="pct"/>
          </w:tcPr>
          <w:p w14:paraId="1BE3089D" w14:textId="6A99A765" w:rsidR="00547A58" w:rsidRPr="00A52AB8" w:rsidRDefault="00EB36F3" w:rsidP="004F7C57">
            <w:pPr>
              <w:pStyle w:val="enumlev1"/>
              <w:tabs>
                <w:tab w:val="clear" w:pos="794"/>
                <w:tab w:val="clear" w:pos="1191"/>
                <w:tab w:val="clear" w:pos="1588"/>
                <w:tab w:val="clear" w:pos="1985"/>
              </w:tabs>
              <w:ind w:left="0" w:firstLine="0"/>
              <w:rPr>
                <w:rFonts w:ascii="Cambria" w:hAnsi="Cambria"/>
                <w:color w:val="000000" w:themeColor="text1"/>
              </w:rPr>
            </w:pPr>
            <w:r w:rsidRPr="00A52AB8">
              <w:rPr>
                <w:rFonts w:ascii="Cambria" w:hAnsi="Cambria"/>
                <w:color w:val="000000" w:themeColor="text1"/>
              </w:rPr>
              <w:t>i</w:t>
            </w:r>
            <w:r w:rsidR="00547A58" w:rsidRPr="00A52AB8">
              <w:rPr>
                <w:rFonts w:ascii="Cambria" w:hAnsi="Cambria"/>
                <w:color w:val="000000" w:themeColor="text1"/>
              </w:rPr>
              <w:t>ncrement by amount specified, i.e. x</w:t>
            </w:r>
            <w:r w:rsidR="00C31DAE" w:rsidRPr="00A52AB8">
              <w:rPr>
                <w:rFonts w:ascii="Cambria" w:hAnsi="Cambria"/>
                <w:color w:val="000000" w:themeColor="text1"/>
              </w:rPr>
              <w:t> </w:t>
            </w:r>
            <w:r w:rsidR="00547A58" w:rsidRPr="00A52AB8">
              <w:rPr>
                <w:rFonts w:ascii="Cambria" w:hAnsi="Cambria"/>
                <w:color w:val="000000" w:themeColor="text1"/>
              </w:rPr>
              <w:t>+</w:t>
            </w:r>
            <w:r w:rsidR="00D47707" w:rsidRPr="00A52AB8">
              <w:rPr>
                <w:rFonts w:ascii="Cambria" w:hAnsi="Cambria"/>
                <w:color w:val="000000" w:themeColor="text1"/>
              </w:rPr>
              <w:t>= </w:t>
            </w:r>
            <w:r w:rsidR="00547A58" w:rsidRPr="00A52AB8">
              <w:rPr>
                <w:rFonts w:ascii="Cambria" w:hAnsi="Cambria"/>
                <w:color w:val="000000" w:themeColor="text1"/>
              </w:rPr>
              <w:t>3 is equivalent to x</w:t>
            </w:r>
            <w:r w:rsidR="0023721F" w:rsidRPr="00A52AB8">
              <w:rPr>
                <w:rFonts w:ascii="Cambria" w:hAnsi="Cambria"/>
                <w:color w:val="000000" w:themeColor="text1"/>
              </w:rPr>
              <w:t> </w:t>
            </w:r>
            <w:r w:rsidR="00D47707" w:rsidRPr="00A52AB8">
              <w:rPr>
                <w:rFonts w:ascii="Cambria" w:hAnsi="Cambria"/>
                <w:color w:val="000000" w:themeColor="text1"/>
              </w:rPr>
              <w:t>= </w:t>
            </w:r>
            <w:r w:rsidR="00547A58" w:rsidRPr="00A52AB8">
              <w:rPr>
                <w:rFonts w:ascii="Cambria" w:hAnsi="Cambria"/>
                <w:color w:val="000000" w:themeColor="text1"/>
              </w:rPr>
              <w:t>x</w:t>
            </w:r>
            <w:r w:rsidR="00C31DAE" w:rsidRPr="00A52AB8">
              <w:rPr>
                <w:rFonts w:ascii="Cambria" w:hAnsi="Cambria"/>
                <w:color w:val="000000" w:themeColor="text1"/>
              </w:rPr>
              <w:t> </w:t>
            </w:r>
            <w:r w:rsidR="00547A58" w:rsidRPr="00A52AB8">
              <w:rPr>
                <w:rFonts w:ascii="Cambria" w:hAnsi="Cambria"/>
                <w:color w:val="000000" w:themeColor="text1"/>
              </w:rPr>
              <w:t>+</w:t>
            </w:r>
            <w:r w:rsidR="00C31DAE" w:rsidRPr="00A52AB8">
              <w:rPr>
                <w:rFonts w:ascii="Cambria" w:hAnsi="Cambria"/>
                <w:color w:val="000000" w:themeColor="text1"/>
              </w:rPr>
              <w:t> </w:t>
            </w:r>
            <w:r w:rsidR="00547A58" w:rsidRPr="00A52AB8">
              <w:rPr>
                <w:rFonts w:ascii="Cambria" w:hAnsi="Cambria"/>
                <w:color w:val="000000" w:themeColor="text1"/>
              </w:rPr>
              <w:t>3, and x</w:t>
            </w:r>
            <w:r w:rsidR="00C31DAE" w:rsidRPr="00A52AB8">
              <w:rPr>
                <w:rFonts w:ascii="Cambria" w:hAnsi="Cambria"/>
                <w:color w:val="000000" w:themeColor="text1"/>
              </w:rPr>
              <w:t> </w:t>
            </w:r>
            <w:r w:rsidR="00547A58" w:rsidRPr="00A52AB8">
              <w:rPr>
                <w:rFonts w:ascii="Cambria" w:hAnsi="Cambria"/>
                <w:color w:val="000000" w:themeColor="text1"/>
              </w:rPr>
              <w:t>+</w:t>
            </w:r>
            <w:r w:rsidR="00D47707" w:rsidRPr="00A52AB8">
              <w:rPr>
                <w:rFonts w:ascii="Cambria" w:hAnsi="Cambria"/>
                <w:color w:val="000000" w:themeColor="text1"/>
              </w:rPr>
              <w:t>= </w:t>
            </w:r>
            <w:r w:rsidR="00547A58" w:rsidRPr="00A52AB8">
              <w:rPr>
                <w:rFonts w:ascii="Cambria" w:hAnsi="Cambria"/>
                <w:color w:val="000000" w:themeColor="text1"/>
              </w:rPr>
              <w:t>(−3) is equivalent to x</w:t>
            </w:r>
            <w:r w:rsidR="00D47707" w:rsidRPr="00A52AB8">
              <w:rPr>
                <w:rFonts w:ascii="Cambria" w:hAnsi="Cambria"/>
                <w:color w:val="000000" w:themeColor="text1"/>
              </w:rPr>
              <w:t> = </w:t>
            </w:r>
            <w:r w:rsidR="00547A58" w:rsidRPr="00A52AB8">
              <w:rPr>
                <w:rFonts w:ascii="Cambria" w:hAnsi="Cambria"/>
                <w:color w:val="000000" w:themeColor="text1"/>
              </w:rPr>
              <w:t>x + (−3).</w:t>
            </w:r>
          </w:p>
        </w:tc>
      </w:tr>
      <w:tr w:rsidR="00547A58" w:rsidRPr="00A52AB8" w14:paraId="12D13E0F" w14:textId="77777777" w:rsidTr="00466D1D">
        <w:tc>
          <w:tcPr>
            <w:tcW w:w="435" w:type="pct"/>
          </w:tcPr>
          <w:p w14:paraId="549B4FE7" w14:textId="77777777" w:rsidR="00547A58" w:rsidRPr="00A52AB8" w:rsidRDefault="00547A58" w:rsidP="004F7C57">
            <w:pPr>
              <w:pStyle w:val="enumlev1"/>
              <w:tabs>
                <w:tab w:val="clear" w:pos="794"/>
                <w:tab w:val="clear" w:pos="1191"/>
                <w:tab w:val="clear" w:pos="1588"/>
                <w:tab w:val="clear" w:pos="1985"/>
              </w:tabs>
              <w:ind w:left="0" w:firstLine="0"/>
              <w:rPr>
                <w:rFonts w:ascii="Cambria" w:hAnsi="Cambria"/>
                <w:color w:val="000000" w:themeColor="text1"/>
              </w:rPr>
            </w:pPr>
            <w:r w:rsidRPr="00A52AB8">
              <w:rPr>
                <w:rFonts w:ascii="Cambria" w:hAnsi="Cambria"/>
                <w:color w:val="000000" w:themeColor="text1"/>
              </w:rPr>
              <w:t>−=</w:t>
            </w:r>
          </w:p>
        </w:tc>
        <w:tc>
          <w:tcPr>
            <w:tcW w:w="4710" w:type="pct"/>
          </w:tcPr>
          <w:p w14:paraId="655541FC" w14:textId="3FC77C3F" w:rsidR="00547A58" w:rsidRPr="00A52AB8" w:rsidRDefault="00EB36F3" w:rsidP="004F7C57">
            <w:pPr>
              <w:pStyle w:val="enumlev1"/>
              <w:tabs>
                <w:tab w:val="clear" w:pos="794"/>
                <w:tab w:val="clear" w:pos="1191"/>
                <w:tab w:val="clear" w:pos="1588"/>
                <w:tab w:val="clear" w:pos="1985"/>
              </w:tabs>
              <w:ind w:left="0" w:firstLine="0"/>
              <w:rPr>
                <w:rFonts w:ascii="Cambria" w:hAnsi="Cambria"/>
                <w:color w:val="000000" w:themeColor="text1"/>
              </w:rPr>
            </w:pPr>
            <w:r w:rsidRPr="00A52AB8">
              <w:rPr>
                <w:rFonts w:ascii="Cambria" w:hAnsi="Cambria"/>
                <w:color w:val="000000" w:themeColor="text1"/>
              </w:rPr>
              <w:t>d</w:t>
            </w:r>
            <w:r w:rsidR="00547A58" w:rsidRPr="00A52AB8">
              <w:rPr>
                <w:rFonts w:ascii="Cambria" w:hAnsi="Cambria"/>
                <w:color w:val="000000" w:themeColor="text1"/>
              </w:rPr>
              <w:t>ecrement by amount specified, i.e. x</w:t>
            </w:r>
            <w:r w:rsidR="00C31DAE" w:rsidRPr="00A52AB8">
              <w:rPr>
                <w:rFonts w:ascii="Cambria" w:hAnsi="Cambria"/>
                <w:color w:val="000000" w:themeColor="text1"/>
              </w:rPr>
              <w:t> </w:t>
            </w:r>
            <w:r w:rsidR="00547A58" w:rsidRPr="00A52AB8">
              <w:rPr>
                <w:rFonts w:ascii="Cambria" w:hAnsi="Cambria"/>
                <w:color w:val="000000" w:themeColor="text1"/>
              </w:rPr>
              <w:t>−</w:t>
            </w:r>
            <w:r w:rsidR="00D47707" w:rsidRPr="00A52AB8">
              <w:rPr>
                <w:rFonts w:ascii="Cambria" w:hAnsi="Cambria"/>
                <w:color w:val="000000" w:themeColor="text1"/>
              </w:rPr>
              <w:t>= </w:t>
            </w:r>
            <w:r w:rsidR="00547A58" w:rsidRPr="00A52AB8">
              <w:rPr>
                <w:rFonts w:ascii="Cambria" w:hAnsi="Cambria"/>
                <w:color w:val="000000" w:themeColor="text1"/>
              </w:rPr>
              <w:t>3 is equivalent to x</w:t>
            </w:r>
            <w:r w:rsidR="0023721F" w:rsidRPr="00A52AB8">
              <w:rPr>
                <w:rFonts w:ascii="Cambria" w:hAnsi="Cambria"/>
                <w:color w:val="000000" w:themeColor="text1"/>
              </w:rPr>
              <w:t> </w:t>
            </w:r>
            <w:r w:rsidR="00D47707" w:rsidRPr="00A52AB8">
              <w:rPr>
                <w:rFonts w:ascii="Cambria" w:hAnsi="Cambria"/>
                <w:color w:val="000000" w:themeColor="text1"/>
              </w:rPr>
              <w:t>= </w:t>
            </w:r>
            <w:r w:rsidR="00547A58" w:rsidRPr="00A52AB8">
              <w:rPr>
                <w:rFonts w:ascii="Cambria" w:hAnsi="Cambria"/>
                <w:color w:val="000000" w:themeColor="text1"/>
              </w:rPr>
              <w:t>x</w:t>
            </w:r>
            <w:r w:rsidR="00C31DAE" w:rsidRPr="00A52AB8">
              <w:rPr>
                <w:rFonts w:ascii="Cambria" w:hAnsi="Cambria"/>
                <w:color w:val="000000" w:themeColor="text1"/>
              </w:rPr>
              <w:t> </w:t>
            </w:r>
            <w:r w:rsidR="00547A58" w:rsidRPr="00A52AB8">
              <w:rPr>
                <w:rFonts w:ascii="Cambria" w:hAnsi="Cambria"/>
                <w:color w:val="000000" w:themeColor="text1"/>
              </w:rPr>
              <w:t>−</w:t>
            </w:r>
            <w:r w:rsidR="00C31DAE" w:rsidRPr="00A52AB8">
              <w:rPr>
                <w:rFonts w:ascii="Cambria" w:hAnsi="Cambria"/>
                <w:color w:val="000000" w:themeColor="text1"/>
              </w:rPr>
              <w:t> </w:t>
            </w:r>
            <w:r w:rsidR="00547A58" w:rsidRPr="00A52AB8">
              <w:rPr>
                <w:rFonts w:ascii="Cambria" w:hAnsi="Cambria"/>
                <w:color w:val="000000" w:themeColor="text1"/>
              </w:rPr>
              <w:t>3, and x</w:t>
            </w:r>
            <w:r w:rsidR="00C31DAE" w:rsidRPr="00A52AB8">
              <w:rPr>
                <w:rFonts w:ascii="Cambria" w:hAnsi="Cambria"/>
                <w:color w:val="000000" w:themeColor="text1"/>
              </w:rPr>
              <w:t> </w:t>
            </w:r>
            <w:r w:rsidR="00547A58" w:rsidRPr="00A52AB8">
              <w:rPr>
                <w:rFonts w:ascii="Cambria" w:hAnsi="Cambria"/>
                <w:color w:val="000000" w:themeColor="text1"/>
              </w:rPr>
              <w:t>−</w:t>
            </w:r>
            <w:r w:rsidR="00D47707" w:rsidRPr="00A52AB8">
              <w:rPr>
                <w:rFonts w:ascii="Cambria" w:hAnsi="Cambria"/>
                <w:color w:val="000000" w:themeColor="text1"/>
              </w:rPr>
              <w:t>= </w:t>
            </w:r>
            <w:r w:rsidR="00547A58" w:rsidRPr="00A52AB8">
              <w:rPr>
                <w:rFonts w:ascii="Cambria" w:hAnsi="Cambria"/>
                <w:color w:val="000000" w:themeColor="text1"/>
              </w:rPr>
              <w:t>(−3) is equivalent to x</w:t>
            </w:r>
            <w:r w:rsidR="00D47707" w:rsidRPr="00A52AB8">
              <w:rPr>
                <w:rFonts w:ascii="Cambria" w:hAnsi="Cambria"/>
                <w:color w:val="000000" w:themeColor="text1"/>
              </w:rPr>
              <w:t> = </w:t>
            </w:r>
            <w:r w:rsidR="00547A58" w:rsidRPr="00A52AB8">
              <w:rPr>
                <w:rFonts w:ascii="Cambria" w:hAnsi="Cambria"/>
                <w:color w:val="000000" w:themeColor="text1"/>
              </w:rPr>
              <w:t>x − (−3).</w:t>
            </w:r>
          </w:p>
        </w:tc>
      </w:tr>
    </w:tbl>
    <w:p w14:paraId="0046934E" w14:textId="6716B2FC" w:rsidR="00120E20" w:rsidRPr="00A52AB8" w:rsidRDefault="003C7DF7" w:rsidP="005C26E9">
      <w:pPr>
        <w:pStyle w:val="Heading2"/>
        <w:rPr>
          <w:color w:val="000000" w:themeColor="text1"/>
        </w:rPr>
      </w:pPr>
      <w:bookmarkStart w:id="414" w:name="_Toc52181584"/>
      <w:r w:rsidRPr="00A52AB8">
        <w:rPr>
          <w:color w:val="000000" w:themeColor="text1"/>
        </w:rPr>
        <w:t>Other operators</w:t>
      </w:r>
      <w:bookmarkEnd w:id="414"/>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7"/>
        <w:gridCol w:w="8935"/>
      </w:tblGrid>
      <w:tr w:rsidR="00547A58" w:rsidRPr="00A52AB8" w14:paraId="364C15FD" w14:textId="77777777" w:rsidTr="00466D1D">
        <w:tc>
          <w:tcPr>
            <w:tcW w:w="419" w:type="pct"/>
          </w:tcPr>
          <w:p w14:paraId="2E8DC040" w14:textId="100C7F30" w:rsidR="00547A58" w:rsidRPr="00A52AB8" w:rsidRDefault="00547A58">
            <w:pPr>
              <w:pStyle w:val="Equation"/>
              <w:spacing w:before="0"/>
              <w:rPr>
                <w:color w:val="000000" w:themeColor="text1"/>
                <w:position w:val="6"/>
                <w:sz w:val="20"/>
                <w:szCs w:val="20"/>
              </w:rPr>
            </w:pPr>
            <w:r w:rsidRPr="00A52AB8">
              <w:rPr>
                <w:color w:val="000000" w:themeColor="text1"/>
                <w:position w:val="6"/>
                <w:sz w:val="20"/>
                <w:szCs w:val="20"/>
              </w:rPr>
              <w:t>y..z</w:t>
            </w:r>
          </w:p>
        </w:tc>
        <w:tc>
          <w:tcPr>
            <w:tcW w:w="4581" w:type="pct"/>
          </w:tcPr>
          <w:p w14:paraId="0F151179" w14:textId="62F657FF" w:rsidR="00AF13FE" w:rsidRPr="00A52AB8" w:rsidRDefault="00AF13FE" w:rsidP="009C6742">
            <w:pPr>
              <w:pStyle w:val="Equation"/>
              <w:spacing w:before="0"/>
              <w:jc w:val="both"/>
              <w:rPr>
                <w:color w:val="000000" w:themeColor="text1"/>
                <w:position w:val="6"/>
                <w:sz w:val="20"/>
                <w:szCs w:val="20"/>
              </w:rPr>
            </w:pPr>
            <w:r w:rsidRPr="00A52AB8">
              <w:rPr>
                <w:color w:val="000000" w:themeColor="text1"/>
                <w:position w:val="6"/>
                <w:sz w:val="20"/>
                <w:szCs w:val="20"/>
              </w:rPr>
              <w:t>range</w:t>
            </w:r>
            <w:r w:rsidR="00C31DAE" w:rsidRPr="00A52AB8">
              <w:rPr>
                <w:color w:val="000000" w:themeColor="text1"/>
                <w:position w:val="6"/>
                <w:sz w:val="20"/>
                <w:szCs w:val="20"/>
              </w:rPr>
              <w:t xml:space="preserve"> </w:t>
            </w:r>
            <w:r w:rsidRPr="00A52AB8">
              <w:rPr>
                <w:color w:val="000000" w:themeColor="text1"/>
                <w:position w:val="6"/>
                <w:sz w:val="20"/>
                <w:szCs w:val="20"/>
              </w:rPr>
              <w:t>operator</w:t>
            </w:r>
            <w:r w:rsidR="003C7DF7" w:rsidRPr="00A52AB8">
              <w:rPr>
                <w:color w:val="000000" w:themeColor="text1"/>
                <w:position w:val="6"/>
                <w:sz w:val="20"/>
                <w:szCs w:val="20"/>
              </w:rPr>
              <w:t>/notation</w:t>
            </w:r>
            <w:r w:rsidR="00C31DAE" w:rsidRPr="00A52AB8">
              <w:rPr>
                <w:color w:val="000000" w:themeColor="text1"/>
                <w:position w:val="6"/>
                <w:sz w:val="20"/>
                <w:szCs w:val="20"/>
              </w:rPr>
              <w:t>.</w:t>
            </w:r>
            <w:r w:rsidR="00C31DAE" w:rsidRPr="00A52AB8">
              <w:rPr>
                <w:color w:val="000000" w:themeColor="text1"/>
                <w:position w:val="6"/>
                <w:sz w:val="20"/>
                <w:szCs w:val="20"/>
              </w:rPr>
              <w:tab/>
            </w:r>
            <w:r w:rsidR="003C7DF7" w:rsidRPr="00A52AB8">
              <w:rPr>
                <w:color w:val="000000" w:themeColor="text1"/>
                <w:position w:val="6"/>
                <w:sz w:val="20"/>
                <w:szCs w:val="20"/>
              </w:rPr>
              <w:br/>
            </w:r>
            <w:r w:rsidRPr="00A52AB8">
              <w:rPr>
                <w:color w:val="000000" w:themeColor="text1"/>
                <w:position w:val="6"/>
                <w:sz w:val="20"/>
                <w:szCs w:val="20"/>
              </w:rPr>
              <w:t>This function is defined only for integer values of y and z. When z is larger than or equal to y, it defines a</w:t>
            </w:r>
            <w:r w:rsidR="003C7DF7" w:rsidRPr="00A52AB8">
              <w:rPr>
                <w:color w:val="000000" w:themeColor="text1"/>
                <w:position w:val="6"/>
                <w:sz w:val="20"/>
                <w:szCs w:val="20"/>
              </w:rPr>
              <w:t>n ordered</w:t>
            </w:r>
            <w:r w:rsidRPr="00A52AB8">
              <w:rPr>
                <w:color w:val="000000" w:themeColor="text1"/>
                <w:position w:val="6"/>
                <w:sz w:val="20"/>
                <w:szCs w:val="20"/>
              </w:rPr>
              <w:t xml:space="preserve"> set of values from y to z in increments of 1</w:t>
            </w:r>
            <w:r w:rsidR="008D2A3A" w:rsidRPr="00A52AB8">
              <w:rPr>
                <w:color w:val="000000" w:themeColor="text1"/>
                <w:position w:val="6"/>
                <w:sz w:val="20"/>
                <w:szCs w:val="20"/>
              </w:rPr>
              <w:t>. Otherwise, w</w:t>
            </w:r>
            <w:r w:rsidRPr="00A52AB8">
              <w:rPr>
                <w:color w:val="000000" w:themeColor="text1"/>
                <w:position w:val="6"/>
                <w:sz w:val="20"/>
                <w:szCs w:val="20"/>
              </w:rPr>
              <w:t>hen z is smaller than y, the output of this function is an empty set.</w:t>
            </w:r>
            <w:r w:rsidR="008D2A3A" w:rsidRPr="00A52AB8">
              <w:rPr>
                <w:color w:val="000000" w:themeColor="text1"/>
                <w:position w:val="6"/>
                <w:sz w:val="20"/>
                <w:szCs w:val="20"/>
              </w:rPr>
              <w:t xml:space="preserve"> If this operator is used within the context of a loop, it specifies that any subsequent operations defined are performed using each element of this set, unless this set is empty.</w:t>
            </w:r>
          </w:p>
        </w:tc>
        <w:bookmarkStart w:id="415" w:name="_Toc24455822"/>
      </w:tr>
    </w:tbl>
    <w:p w14:paraId="1FF46C3F" w14:textId="773537CE" w:rsidR="00120E20" w:rsidRPr="00A52AB8" w:rsidRDefault="00120E20" w:rsidP="004F7C57">
      <w:pPr>
        <w:pStyle w:val="Heading2"/>
        <w:rPr>
          <w:color w:val="000000" w:themeColor="text1"/>
        </w:rPr>
      </w:pPr>
      <w:bookmarkStart w:id="416" w:name="_Toc986305"/>
      <w:bookmarkStart w:id="417" w:name="_Toc1000845"/>
      <w:bookmarkStart w:id="418" w:name="_Toc1001382"/>
      <w:bookmarkStart w:id="419" w:name="_Toc1002196"/>
      <w:bookmarkStart w:id="420" w:name="_Toc1195437"/>
      <w:bookmarkStart w:id="421" w:name="_Toc1198457"/>
      <w:bookmarkStart w:id="422" w:name="_Toc1380114"/>
      <w:bookmarkStart w:id="423" w:name="_Toc1466480"/>
      <w:bookmarkStart w:id="424" w:name="_Toc1476453"/>
      <w:bookmarkStart w:id="425" w:name="_Toc1742853"/>
      <w:bookmarkStart w:id="426" w:name="_Toc1743398"/>
      <w:bookmarkStart w:id="427" w:name="_Toc77680341"/>
      <w:bookmarkStart w:id="428" w:name="_Toc118289007"/>
      <w:bookmarkStart w:id="429" w:name="_Ref196969207"/>
      <w:bookmarkStart w:id="430" w:name="_Toc226456477"/>
      <w:bookmarkStart w:id="431" w:name="_Toc248045180"/>
      <w:bookmarkStart w:id="432" w:name="_Toc287363736"/>
      <w:bookmarkStart w:id="433" w:name="_Toc311216719"/>
      <w:bookmarkStart w:id="434" w:name="_Toc317198684"/>
      <w:bookmarkStart w:id="435" w:name="_Toc390728007"/>
      <w:bookmarkStart w:id="436" w:name="_Toc511952617"/>
      <w:bookmarkStart w:id="437" w:name="_Toc52181585"/>
      <w:bookmarkEnd w:id="416"/>
      <w:bookmarkEnd w:id="417"/>
      <w:bookmarkEnd w:id="418"/>
      <w:bookmarkEnd w:id="419"/>
      <w:bookmarkEnd w:id="420"/>
      <w:bookmarkEnd w:id="421"/>
      <w:bookmarkEnd w:id="422"/>
      <w:bookmarkEnd w:id="423"/>
      <w:bookmarkEnd w:id="424"/>
      <w:bookmarkEnd w:id="425"/>
      <w:bookmarkEnd w:id="426"/>
      <w:r w:rsidRPr="00A52AB8">
        <w:rPr>
          <w:color w:val="000000" w:themeColor="text1"/>
        </w:rPr>
        <w:t xml:space="preserve">Mathematical </w:t>
      </w:r>
      <w:bookmarkEnd w:id="415"/>
      <w:r w:rsidRPr="00A52AB8">
        <w:rPr>
          <w:color w:val="000000" w:themeColor="text1"/>
        </w:rPr>
        <w:t>functions</w:t>
      </w:r>
      <w:bookmarkEnd w:id="427"/>
      <w:bookmarkEnd w:id="428"/>
      <w:bookmarkEnd w:id="429"/>
      <w:bookmarkEnd w:id="430"/>
      <w:bookmarkEnd w:id="431"/>
      <w:bookmarkEnd w:id="432"/>
      <w:bookmarkEnd w:id="433"/>
      <w:bookmarkEnd w:id="434"/>
      <w:bookmarkEnd w:id="435"/>
      <w:bookmarkEnd w:id="436"/>
      <w:bookmarkEnd w:id="437"/>
    </w:p>
    <w:p w14:paraId="7EE95E7C" w14:textId="3A443593" w:rsidR="00120E20" w:rsidRPr="00A52AB8" w:rsidRDefault="00E9624B" w:rsidP="00C86722">
      <w:pPr>
        <w:tabs>
          <w:tab w:val="left" w:pos="360"/>
          <w:tab w:val="left" w:pos="720"/>
          <w:tab w:val="left" w:pos="1080"/>
        </w:tabs>
        <w:rPr>
          <w:lang w:eastAsia="ja-JP"/>
        </w:rPr>
      </w:pPr>
      <w:r w:rsidRPr="00A52AB8">
        <w:rPr>
          <w:lang w:eastAsia="ja-JP"/>
        </w:rPr>
        <w:tab/>
      </w:r>
      <w:r w:rsidR="00120E20" w:rsidRPr="00A52AB8">
        <w:rPr>
          <w:lang w:eastAsia="ja-JP"/>
        </w:rPr>
        <w:t>Abs(</w:t>
      </w:r>
      <w:r w:rsidRPr="00A52AB8">
        <w:rPr>
          <w:lang w:eastAsia="ja-JP"/>
        </w:rPr>
        <w:t> </w:t>
      </w:r>
      <w:r w:rsidR="00120E20" w:rsidRPr="00A52AB8">
        <w:rPr>
          <w:lang w:eastAsia="ja-JP"/>
        </w:rPr>
        <w:t>x</w:t>
      </w:r>
      <w:r w:rsidRPr="00A52AB8">
        <w:rPr>
          <w:lang w:eastAsia="ja-JP"/>
        </w:rPr>
        <w:t> </w:t>
      </w:r>
      <w:r w:rsidR="00120E20" w:rsidRPr="00A52AB8">
        <w:rPr>
          <w:lang w:eastAsia="ja-JP"/>
        </w:rPr>
        <w:t>)</w:t>
      </w:r>
      <m:oMath>
        <m:r>
          <m:rPr>
            <m:sty m:val="p"/>
          </m:rPr>
          <w:rPr>
            <w:rFonts w:ascii="Cambria Math" w:hAnsi="Cambria Math"/>
            <w:lang w:eastAsia="ja-JP"/>
          </w:rPr>
          <m:t> = </m:t>
        </m:r>
        <m:d>
          <m:dPr>
            <m:begChr m:val="{"/>
            <m:endChr m:val=""/>
            <m:ctrlPr>
              <w:rPr>
                <w:rFonts w:ascii="Cambria Math" w:hAnsi="Cambria Math"/>
                <w:lang w:eastAsia="ja-JP"/>
              </w:rPr>
            </m:ctrlPr>
          </m:dPr>
          <m:e>
            <m:m>
              <m:mPr>
                <m:mcs>
                  <m:mc>
                    <m:mcPr>
                      <m:count m:val="1"/>
                      <m:mcJc m:val="right"/>
                    </m:mcPr>
                  </m:mc>
                  <m:mc>
                    <m:mcPr>
                      <m:count m:val="1"/>
                      <m:mcJc m:val="center"/>
                    </m:mcPr>
                  </m:mc>
                  <m:mc>
                    <m:mcPr>
                      <m:count m:val="1"/>
                      <m:mcJc m:val="left"/>
                    </m:mcPr>
                  </m:mc>
                </m:mcs>
                <m:ctrlPr>
                  <w:rPr>
                    <w:rFonts w:ascii="Cambria Math" w:hAnsi="Cambria Math"/>
                    <w:lang w:eastAsia="ja-JP"/>
                  </w:rPr>
                </m:ctrlPr>
              </m:mPr>
              <m:mr>
                <m:e>
                  <m:r>
                    <m:rPr>
                      <m:sty m:val="p"/>
                    </m:rPr>
                    <w:rPr>
                      <w:rFonts w:ascii="Cambria Math" w:hAnsi="Cambria Math"/>
                      <w:lang w:eastAsia="ja-JP"/>
                    </w:rPr>
                    <m:t>x</m:t>
                  </m:r>
                </m:e>
                <m:e>
                  <m:r>
                    <m:rPr>
                      <m:sty m:val="p"/>
                    </m:rPr>
                    <w:rPr>
                      <w:rFonts w:ascii="Cambria Math" w:hAnsi="Cambria Math"/>
                      <w:lang w:eastAsia="ja-JP"/>
                    </w:rPr>
                    <m:t>;</m:t>
                  </m:r>
                </m:e>
                <m:e>
                  <m:r>
                    <m:rPr>
                      <m:sty m:val="p"/>
                    </m:rPr>
                    <w:rPr>
                      <w:rFonts w:ascii="Cambria Math" w:hAnsi="Cambria Math"/>
                      <w:lang w:eastAsia="ja-JP"/>
                    </w:rPr>
                    <m:t>x&gt;=0</m:t>
                  </m:r>
                </m:e>
              </m:mr>
              <m:mr>
                <m:e>
                  <m:r>
                    <m:rPr>
                      <m:sty m:val="p"/>
                    </m:rPr>
                    <w:rPr>
                      <w:rFonts w:ascii="Cambria Math" w:hAnsi="Cambria Math"/>
                      <w:lang w:eastAsia="ja-JP"/>
                    </w:rPr>
                    <m:t>-x</m:t>
                  </m:r>
                </m:e>
                <m:e>
                  <m:r>
                    <m:rPr>
                      <m:sty m:val="p"/>
                    </m:rPr>
                    <w:rPr>
                      <w:rFonts w:ascii="Cambria Math" w:hAnsi="Cambria Math"/>
                      <w:lang w:eastAsia="ja-JP"/>
                    </w:rPr>
                    <m:t>;</m:t>
                  </m:r>
                </m:e>
                <m:e>
                  <m:r>
                    <m:rPr>
                      <m:sty m:val="p"/>
                    </m:rPr>
                    <w:rPr>
                      <w:rFonts w:ascii="Cambria Math" w:hAnsi="Cambria Math"/>
                      <w:lang w:eastAsia="ja-JP"/>
                    </w:rPr>
                    <m:t>x&lt;0</m:t>
                  </m:r>
                </m:e>
              </m:mr>
            </m:m>
          </m:e>
        </m:d>
      </m:oMath>
      <w:r w:rsidRPr="00A52AB8">
        <w:rPr>
          <w:lang w:eastAsia="ja-JP"/>
        </w:rPr>
        <w:tab/>
      </w:r>
      <w:r w:rsidR="00B702F2" w:rsidRPr="00A52AB8">
        <w:rPr>
          <w:lang w:eastAsia="ja-JP"/>
        </w:rPr>
        <w:tab/>
      </w:r>
      <w:r w:rsidR="00B702F2" w:rsidRPr="00A52AB8">
        <w:rPr>
          <w:lang w:eastAsia="ja-JP"/>
        </w:rPr>
        <w:tab/>
      </w:r>
      <w:r w:rsidR="00B702F2" w:rsidRPr="00A52AB8">
        <w:rPr>
          <w:lang w:eastAsia="ja-JP"/>
        </w:rPr>
        <w:tab/>
      </w:r>
      <w:r w:rsidR="00B702F2" w:rsidRPr="00A52AB8">
        <w:rPr>
          <w:lang w:eastAsia="ja-JP"/>
        </w:rPr>
        <w:tab/>
      </w:r>
      <w:r w:rsidR="00120E20" w:rsidRPr="00A52AB8">
        <w:rPr>
          <w:lang w:eastAsia="ja-JP"/>
        </w:rPr>
        <w:t>(</w:t>
      </w:r>
      <w:r w:rsidR="00120E20" w:rsidRPr="00496A4D">
        <w:rPr>
          <w:lang w:eastAsia="ja-JP"/>
        </w:rPr>
        <w:fldChar w:fldCharType="begin"/>
      </w:r>
      <w:r w:rsidR="00120E20" w:rsidRPr="00A52AB8">
        <w:rPr>
          <w:lang w:eastAsia="ja-JP"/>
        </w:rPr>
        <w:instrText xml:space="preserve"> SEQ Equation \* ARABIC \s 1 </w:instrText>
      </w:r>
      <w:r w:rsidR="00120E20" w:rsidRPr="00496A4D">
        <w:rPr>
          <w:lang w:eastAsia="ja-JP"/>
        </w:rPr>
        <w:fldChar w:fldCharType="separate"/>
      </w:r>
      <w:r w:rsidR="00507A67">
        <w:rPr>
          <w:noProof/>
          <w:lang w:eastAsia="ja-JP"/>
        </w:rPr>
        <w:t>1</w:t>
      </w:r>
      <w:r w:rsidR="00120E20" w:rsidRPr="00496A4D">
        <w:rPr>
          <w:lang w:eastAsia="ja-JP"/>
        </w:rPr>
        <w:fldChar w:fldCharType="end"/>
      </w:r>
      <w:r w:rsidR="00120E20" w:rsidRPr="00A52AB8">
        <w:rPr>
          <w:lang w:eastAsia="ja-JP"/>
        </w:rPr>
        <w:t>)</w:t>
      </w:r>
    </w:p>
    <w:p w14:paraId="59DAC4B0" w14:textId="1B6BC363" w:rsidR="00120E20" w:rsidRPr="00A52AB8" w:rsidRDefault="00E9624B" w:rsidP="00C86722">
      <w:pPr>
        <w:tabs>
          <w:tab w:val="left" w:pos="360"/>
          <w:tab w:val="left" w:pos="720"/>
          <w:tab w:val="left" w:pos="1080"/>
        </w:tabs>
        <w:rPr>
          <w:lang w:eastAsia="ja-JP"/>
        </w:rPr>
      </w:pPr>
      <w:r w:rsidRPr="00A52AB8">
        <w:rPr>
          <w:lang w:eastAsia="ja-JP"/>
        </w:rPr>
        <w:tab/>
      </w:r>
      <w:r w:rsidR="00120E20" w:rsidRPr="00A52AB8">
        <w:rPr>
          <w:lang w:eastAsia="ja-JP"/>
        </w:rPr>
        <w:t>Ceil(</w:t>
      </w:r>
      <w:r w:rsidRPr="00A52AB8">
        <w:rPr>
          <w:lang w:eastAsia="ja-JP"/>
        </w:rPr>
        <w:t> </w:t>
      </w:r>
      <w:r w:rsidR="00120E20" w:rsidRPr="00A52AB8">
        <w:rPr>
          <w:lang w:eastAsia="ja-JP"/>
        </w:rPr>
        <w:t>x</w:t>
      </w:r>
      <w:r w:rsidRPr="00A52AB8">
        <w:rPr>
          <w:lang w:eastAsia="ja-JP"/>
        </w:rPr>
        <w:t> </w:t>
      </w:r>
      <w:r w:rsidR="00120E20" w:rsidRPr="00A52AB8">
        <w:rPr>
          <w:lang w:eastAsia="ja-JP"/>
        </w:rPr>
        <w:t>)</w:t>
      </w:r>
      <w:r w:rsidRPr="00A52AB8">
        <w:rPr>
          <w:lang w:eastAsia="ja-JP"/>
        </w:rPr>
        <w:t> </w:t>
      </w:r>
      <w:r w:rsidR="00120E20" w:rsidRPr="00A52AB8">
        <w:rPr>
          <w:lang w:eastAsia="ja-JP"/>
        </w:rPr>
        <w:t>the smallest integer greater than or equal to x.</w:t>
      </w:r>
      <w:r w:rsidR="00B36498" w:rsidRPr="00A52AB8">
        <w:rPr>
          <w:lang w:eastAsia="ja-JP"/>
        </w:rPr>
        <w:tab/>
      </w:r>
      <w:r w:rsidR="00120E20" w:rsidRPr="00A52AB8">
        <w:rPr>
          <w:lang w:eastAsia="ja-JP"/>
        </w:rPr>
        <w:t>(</w:t>
      </w:r>
      <w:r w:rsidR="00120E20" w:rsidRPr="00496A4D">
        <w:rPr>
          <w:lang w:eastAsia="ja-JP"/>
        </w:rPr>
        <w:fldChar w:fldCharType="begin"/>
      </w:r>
      <w:r w:rsidR="00120E20" w:rsidRPr="00A52AB8">
        <w:rPr>
          <w:lang w:eastAsia="ja-JP"/>
        </w:rPr>
        <w:instrText xml:space="preserve"> SEQ Equation \* ARABIC \s 1 </w:instrText>
      </w:r>
      <w:r w:rsidR="00120E20" w:rsidRPr="00496A4D">
        <w:rPr>
          <w:lang w:eastAsia="ja-JP"/>
        </w:rPr>
        <w:fldChar w:fldCharType="separate"/>
      </w:r>
      <w:r w:rsidR="00507A67">
        <w:rPr>
          <w:noProof/>
          <w:lang w:eastAsia="ja-JP"/>
        </w:rPr>
        <w:t>2</w:t>
      </w:r>
      <w:r w:rsidR="00120E20" w:rsidRPr="00496A4D">
        <w:rPr>
          <w:lang w:eastAsia="ja-JP"/>
        </w:rPr>
        <w:fldChar w:fldCharType="end"/>
      </w:r>
      <w:r w:rsidR="00120E20" w:rsidRPr="00A52AB8">
        <w:rPr>
          <w:lang w:eastAsia="ja-JP"/>
        </w:rPr>
        <w:t>)</w:t>
      </w:r>
    </w:p>
    <w:p w14:paraId="38B887B4" w14:textId="3750A021" w:rsidR="00120E20" w:rsidRPr="00A52AB8" w:rsidRDefault="00EB3911" w:rsidP="00C86722">
      <w:pPr>
        <w:tabs>
          <w:tab w:val="left" w:pos="360"/>
          <w:tab w:val="left" w:pos="720"/>
          <w:tab w:val="left" w:pos="1080"/>
        </w:tabs>
        <w:rPr>
          <w:lang w:eastAsia="ja-JP"/>
        </w:rPr>
      </w:pPr>
      <w:r w:rsidRPr="00A52AB8">
        <w:rPr>
          <w:lang w:eastAsia="ja-JP"/>
        </w:rPr>
        <w:tab/>
      </w:r>
      <w:r w:rsidR="00120E20" w:rsidRPr="00A52AB8">
        <w:rPr>
          <w:lang w:eastAsia="ja-JP"/>
        </w:rPr>
        <w:t>Clip3(</w:t>
      </w:r>
      <w:r w:rsidRPr="00A52AB8">
        <w:rPr>
          <w:lang w:eastAsia="ja-JP"/>
        </w:rPr>
        <w:t> </w:t>
      </w:r>
      <w:r w:rsidR="00120E20" w:rsidRPr="00A52AB8">
        <w:rPr>
          <w:lang w:eastAsia="ja-JP"/>
        </w:rPr>
        <w:t>x,</w:t>
      </w:r>
      <w:r w:rsidRPr="00A52AB8">
        <w:rPr>
          <w:lang w:eastAsia="ja-JP"/>
        </w:rPr>
        <w:t> </w:t>
      </w:r>
      <w:r w:rsidR="00120E20" w:rsidRPr="00A52AB8">
        <w:rPr>
          <w:lang w:eastAsia="ja-JP"/>
        </w:rPr>
        <w:t>y,</w:t>
      </w:r>
      <w:r w:rsidRPr="00A52AB8">
        <w:rPr>
          <w:lang w:eastAsia="ja-JP"/>
        </w:rPr>
        <w:t> </w:t>
      </w:r>
      <w:r w:rsidR="00120E20" w:rsidRPr="00A52AB8">
        <w:rPr>
          <w:lang w:eastAsia="ja-JP"/>
        </w:rPr>
        <w:t>z</w:t>
      </w:r>
      <w:r w:rsidRPr="00A52AB8">
        <w:rPr>
          <w:lang w:eastAsia="ja-JP"/>
        </w:rPr>
        <w:t> </w:t>
      </w:r>
      <w:r w:rsidR="00120E20" w:rsidRPr="00A52AB8">
        <w:rPr>
          <w:lang w:eastAsia="ja-JP"/>
        </w:rPr>
        <w:t>)</w:t>
      </w:r>
      <w:r w:rsidR="00D47707" w:rsidRPr="00A52AB8">
        <w:rPr>
          <w:lang w:eastAsia="ja-JP"/>
        </w:rPr>
        <w:t> = </w:t>
      </w:r>
      <m:oMath>
        <m:d>
          <m:dPr>
            <m:begChr m:val="{"/>
            <m:endChr m:val=""/>
            <m:ctrlPr>
              <w:rPr>
                <w:rFonts w:ascii="Cambria Math" w:hAnsi="Cambria Math"/>
                <w:lang w:eastAsia="ja-JP"/>
              </w:rPr>
            </m:ctrlPr>
          </m:dPr>
          <m:e>
            <m:m>
              <m:mPr>
                <m:mcs>
                  <m:mc>
                    <m:mcPr>
                      <m:count m:val="1"/>
                      <m:mcJc m:val="right"/>
                    </m:mcPr>
                  </m:mc>
                  <m:mc>
                    <m:mcPr>
                      <m:count m:val="1"/>
                      <m:mcJc m:val="center"/>
                    </m:mcPr>
                  </m:mc>
                  <m:mc>
                    <m:mcPr>
                      <m:count m:val="1"/>
                      <m:mcJc m:val="left"/>
                    </m:mcPr>
                  </m:mc>
                </m:mcs>
                <m:ctrlPr>
                  <w:rPr>
                    <w:rFonts w:ascii="Cambria Math" w:hAnsi="Cambria Math"/>
                    <w:lang w:eastAsia="ja-JP"/>
                  </w:rPr>
                </m:ctrlPr>
              </m:mPr>
              <m:mr>
                <m:e>
                  <m:r>
                    <m:rPr>
                      <m:sty m:val="p"/>
                    </m:rPr>
                    <w:rPr>
                      <w:rFonts w:ascii="Cambria Math" w:hAnsi="Cambria Math"/>
                      <w:lang w:eastAsia="ja-JP"/>
                    </w:rPr>
                    <m:t>x</m:t>
                  </m:r>
                </m:e>
                <m:e>
                  <m:r>
                    <m:rPr>
                      <m:sty m:val="p"/>
                    </m:rPr>
                    <w:rPr>
                      <w:rFonts w:ascii="Cambria Math" w:hAnsi="Cambria Math"/>
                      <w:lang w:eastAsia="ja-JP"/>
                    </w:rPr>
                    <m:t>;</m:t>
                  </m:r>
                </m:e>
                <m:e>
                  <m:r>
                    <m:rPr>
                      <m:sty m:val="p"/>
                    </m:rPr>
                    <w:rPr>
                      <w:rFonts w:ascii="Cambria Math" w:hAnsi="Cambria Math"/>
                      <w:lang w:eastAsia="ja-JP"/>
                    </w:rPr>
                    <m:t>z&lt;x</m:t>
                  </m:r>
                </m:e>
              </m:mr>
              <m:mr>
                <m:e>
                  <m:r>
                    <m:rPr>
                      <m:sty m:val="p"/>
                    </m:rPr>
                    <w:rPr>
                      <w:rFonts w:ascii="Cambria Math" w:hAnsi="Cambria Math"/>
                      <w:lang w:eastAsia="ja-JP"/>
                    </w:rPr>
                    <m:t>y</m:t>
                  </m:r>
                </m:e>
                <m:e>
                  <m:r>
                    <m:rPr>
                      <m:sty m:val="p"/>
                    </m:rPr>
                    <w:rPr>
                      <w:rFonts w:ascii="Cambria Math" w:hAnsi="Cambria Math"/>
                      <w:lang w:eastAsia="ja-JP"/>
                    </w:rPr>
                    <m:t>;</m:t>
                  </m:r>
                </m:e>
                <m:e>
                  <m:r>
                    <m:rPr>
                      <m:sty m:val="p"/>
                    </m:rPr>
                    <w:rPr>
                      <w:rFonts w:ascii="Cambria Math" w:hAnsi="Cambria Math"/>
                      <w:lang w:eastAsia="ja-JP"/>
                    </w:rPr>
                    <m:t>z&gt;y</m:t>
                  </m:r>
                </m:e>
              </m:mr>
              <m:mr>
                <m:e>
                  <m:r>
                    <m:rPr>
                      <m:sty m:val="p"/>
                    </m:rPr>
                    <w:rPr>
                      <w:rFonts w:ascii="Cambria Math" w:hAnsi="Cambria Math"/>
                      <w:lang w:eastAsia="ja-JP"/>
                    </w:rPr>
                    <m:t>z</m:t>
                  </m:r>
                </m:e>
                <m:e>
                  <m:r>
                    <m:rPr>
                      <m:sty m:val="p"/>
                    </m:rPr>
                    <w:rPr>
                      <w:rFonts w:ascii="Cambria Math" w:hAnsi="Cambria Math"/>
                      <w:lang w:eastAsia="ja-JP"/>
                    </w:rPr>
                    <m:t>;</m:t>
                  </m:r>
                </m:e>
                <m:e>
                  <m:r>
                    <m:rPr>
                      <m:sty m:val="p"/>
                    </m:rPr>
                    <w:rPr>
                      <w:rFonts w:ascii="Cambria Math" w:hAnsi="Cambria Math"/>
                      <w:lang w:eastAsia="ja-JP"/>
                    </w:rPr>
                    <m:t>otherwise</m:t>
                  </m:r>
                </m:e>
              </m:mr>
            </m:m>
          </m:e>
        </m:d>
      </m:oMath>
      <w:r w:rsidR="00120E20" w:rsidRPr="00A52AB8">
        <w:rPr>
          <w:lang w:eastAsia="ja-JP"/>
        </w:rPr>
        <w:tab/>
      </w:r>
      <w:r w:rsidR="00B702F2" w:rsidRPr="00A52AB8">
        <w:rPr>
          <w:lang w:eastAsia="ja-JP"/>
        </w:rPr>
        <w:tab/>
      </w:r>
      <w:r w:rsidR="00B702F2" w:rsidRPr="00A52AB8">
        <w:rPr>
          <w:lang w:eastAsia="ja-JP"/>
        </w:rPr>
        <w:tab/>
      </w:r>
      <w:r w:rsidR="00B702F2" w:rsidRPr="00A52AB8">
        <w:rPr>
          <w:lang w:eastAsia="ja-JP"/>
        </w:rPr>
        <w:tab/>
      </w:r>
      <w:r w:rsidR="00120E20" w:rsidRPr="00A52AB8">
        <w:rPr>
          <w:lang w:eastAsia="ja-JP"/>
        </w:rPr>
        <w:t>(</w:t>
      </w:r>
      <w:r w:rsidR="00120E20" w:rsidRPr="00496A4D">
        <w:rPr>
          <w:lang w:eastAsia="ja-JP"/>
        </w:rPr>
        <w:fldChar w:fldCharType="begin"/>
      </w:r>
      <w:r w:rsidR="00120E20" w:rsidRPr="00A52AB8">
        <w:rPr>
          <w:lang w:eastAsia="ja-JP"/>
        </w:rPr>
        <w:instrText xml:space="preserve"> SEQ Equation \* ARABIC \s 1 </w:instrText>
      </w:r>
      <w:r w:rsidR="00120E20" w:rsidRPr="00496A4D">
        <w:rPr>
          <w:lang w:eastAsia="ja-JP"/>
        </w:rPr>
        <w:fldChar w:fldCharType="separate"/>
      </w:r>
      <w:r w:rsidR="00507A67">
        <w:rPr>
          <w:noProof/>
          <w:lang w:eastAsia="ja-JP"/>
        </w:rPr>
        <w:t>3</w:t>
      </w:r>
      <w:r w:rsidR="00120E20" w:rsidRPr="00496A4D">
        <w:rPr>
          <w:lang w:eastAsia="ja-JP"/>
        </w:rPr>
        <w:fldChar w:fldCharType="end"/>
      </w:r>
      <w:r w:rsidR="00120E20" w:rsidRPr="00A52AB8">
        <w:rPr>
          <w:lang w:eastAsia="ja-JP"/>
        </w:rPr>
        <w:t>)</w:t>
      </w:r>
    </w:p>
    <w:p w14:paraId="1A3AD038" w14:textId="24B30BD5" w:rsidR="00120E20" w:rsidRPr="00A52AB8" w:rsidRDefault="00EB3911" w:rsidP="00C86722">
      <w:pPr>
        <w:tabs>
          <w:tab w:val="left" w:pos="360"/>
          <w:tab w:val="left" w:pos="720"/>
          <w:tab w:val="left" w:pos="1080"/>
        </w:tabs>
        <w:rPr>
          <w:lang w:eastAsia="ja-JP"/>
        </w:rPr>
      </w:pPr>
      <w:r w:rsidRPr="00A52AB8">
        <w:rPr>
          <w:lang w:eastAsia="ja-JP"/>
        </w:rPr>
        <w:tab/>
      </w:r>
      <w:r w:rsidR="00120E20" w:rsidRPr="00A52AB8">
        <w:rPr>
          <w:lang w:eastAsia="ja-JP"/>
        </w:rPr>
        <w:t>Floor(</w:t>
      </w:r>
      <w:r w:rsidRPr="00A52AB8">
        <w:rPr>
          <w:lang w:eastAsia="ja-JP"/>
        </w:rPr>
        <w:t> </w:t>
      </w:r>
      <w:r w:rsidR="00120E20" w:rsidRPr="00A52AB8">
        <w:rPr>
          <w:lang w:eastAsia="ja-JP"/>
        </w:rPr>
        <w:t>x</w:t>
      </w:r>
      <w:r w:rsidRPr="00A52AB8">
        <w:rPr>
          <w:lang w:eastAsia="ja-JP"/>
        </w:rPr>
        <w:t> </w:t>
      </w:r>
      <w:r w:rsidR="00120E20" w:rsidRPr="00A52AB8">
        <w:rPr>
          <w:lang w:eastAsia="ja-JP"/>
        </w:rPr>
        <w:t>)</w:t>
      </w:r>
      <w:r w:rsidRPr="00A52AB8">
        <w:rPr>
          <w:lang w:eastAsia="ja-JP"/>
        </w:rPr>
        <w:t> </w:t>
      </w:r>
      <w:r w:rsidR="00120E20" w:rsidRPr="00A52AB8">
        <w:rPr>
          <w:lang w:eastAsia="ja-JP"/>
        </w:rPr>
        <w:t>the largest integer less than or equal to x.</w:t>
      </w:r>
      <w:r w:rsidRPr="00A52AB8">
        <w:rPr>
          <w:lang w:eastAsia="ja-JP"/>
        </w:rPr>
        <w:tab/>
      </w:r>
      <w:r w:rsidR="00120E20" w:rsidRPr="00A52AB8">
        <w:rPr>
          <w:lang w:eastAsia="ja-JP"/>
        </w:rPr>
        <w:t>(</w:t>
      </w:r>
      <w:r w:rsidR="00120E20" w:rsidRPr="00496A4D">
        <w:rPr>
          <w:lang w:eastAsia="ja-JP"/>
        </w:rPr>
        <w:fldChar w:fldCharType="begin"/>
      </w:r>
      <w:r w:rsidR="00120E20" w:rsidRPr="00A52AB8">
        <w:rPr>
          <w:lang w:eastAsia="ja-JP"/>
        </w:rPr>
        <w:instrText xml:space="preserve"> SEQ Equation \* ARABIC \s 1 </w:instrText>
      </w:r>
      <w:r w:rsidR="00120E20" w:rsidRPr="00496A4D">
        <w:rPr>
          <w:lang w:eastAsia="ja-JP"/>
        </w:rPr>
        <w:fldChar w:fldCharType="separate"/>
      </w:r>
      <w:r w:rsidR="00507A67">
        <w:rPr>
          <w:noProof/>
          <w:lang w:eastAsia="ja-JP"/>
        </w:rPr>
        <w:t>4</w:t>
      </w:r>
      <w:r w:rsidR="00120E20" w:rsidRPr="00496A4D">
        <w:rPr>
          <w:lang w:eastAsia="ja-JP"/>
        </w:rPr>
        <w:fldChar w:fldCharType="end"/>
      </w:r>
      <w:r w:rsidR="00120E20" w:rsidRPr="00A52AB8">
        <w:rPr>
          <w:lang w:eastAsia="ja-JP"/>
        </w:rPr>
        <w:t>)</w:t>
      </w:r>
    </w:p>
    <w:p w14:paraId="5D52C74A" w14:textId="5D5F31CC" w:rsidR="00120E20" w:rsidRPr="00A52AB8" w:rsidRDefault="00EB3911" w:rsidP="00C86722">
      <w:pPr>
        <w:tabs>
          <w:tab w:val="left" w:pos="360"/>
          <w:tab w:val="left" w:pos="720"/>
          <w:tab w:val="left" w:pos="1080"/>
        </w:tabs>
        <w:rPr>
          <w:lang w:eastAsia="ja-JP"/>
        </w:rPr>
      </w:pPr>
      <w:r w:rsidRPr="00A52AB8">
        <w:rPr>
          <w:lang w:eastAsia="ja-JP"/>
        </w:rPr>
        <w:tab/>
      </w:r>
      <w:r w:rsidR="00120E20" w:rsidRPr="00A52AB8">
        <w:rPr>
          <w:lang w:eastAsia="ja-JP"/>
        </w:rPr>
        <w:t>Log2(</w:t>
      </w:r>
      <w:r w:rsidRPr="00A52AB8">
        <w:rPr>
          <w:lang w:eastAsia="ja-JP"/>
        </w:rPr>
        <w:t> </w:t>
      </w:r>
      <w:r w:rsidR="00120E20" w:rsidRPr="00A52AB8">
        <w:rPr>
          <w:lang w:eastAsia="ja-JP"/>
        </w:rPr>
        <w:t>x</w:t>
      </w:r>
      <w:r w:rsidRPr="00A52AB8">
        <w:rPr>
          <w:lang w:eastAsia="ja-JP"/>
        </w:rPr>
        <w:t> </w:t>
      </w:r>
      <w:r w:rsidR="00120E20" w:rsidRPr="00A52AB8">
        <w:rPr>
          <w:lang w:eastAsia="ja-JP"/>
        </w:rPr>
        <w:t>)</w:t>
      </w:r>
      <w:r w:rsidRPr="00A52AB8">
        <w:rPr>
          <w:lang w:eastAsia="ja-JP"/>
        </w:rPr>
        <w:t> </w:t>
      </w:r>
      <w:r w:rsidR="00120E20" w:rsidRPr="00A52AB8">
        <w:rPr>
          <w:lang w:eastAsia="ja-JP"/>
        </w:rPr>
        <w:t>the</w:t>
      </w:r>
      <w:r w:rsidR="000F7D7F" w:rsidRPr="00A52AB8">
        <w:rPr>
          <w:lang w:eastAsia="ja-JP"/>
        </w:rPr>
        <w:t xml:space="preserve"> </w:t>
      </w:r>
      <w:r w:rsidR="00120E20" w:rsidRPr="00A52AB8">
        <w:rPr>
          <w:lang w:eastAsia="ja-JP"/>
        </w:rPr>
        <w:t>base-2 logarithm of x.</w:t>
      </w:r>
      <w:r w:rsidR="000F7D7F" w:rsidRPr="00A52AB8">
        <w:rPr>
          <w:lang w:eastAsia="ja-JP"/>
        </w:rPr>
        <w:tab/>
      </w:r>
      <w:r w:rsidR="00B702F2" w:rsidRPr="00A52AB8">
        <w:rPr>
          <w:lang w:eastAsia="ja-JP"/>
        </w:rPr>
        <w:tab/>
      </w:r>
      <w:r w:rsidR="00B702F2" w:rsidRPr="00A52AB8">
        <w:rPr>
          <w:lang w:eastAsia="ja-JP"/>
        </w:rPr>
        <w:tab/>
      </w:r>
      <w:r w:rsidR="00B702F2" w:rsidRPr="00A52AB8">
        <w:rPr>
          <w:lang w:eastAsia="ja-JP"/>
        </w:rPr>
        <w:tab/>
      </w:r>
      <w:r w:rsidR="00120E20" w:rsidRPr="00A52AB8">
        <w:rPr>
          <w:lang w:eastAsia="ja-JP"/>
        </w:rPr>
        <w:t>(</w:t>
      </w:r>
      <w:r w:rsidR="00120E20" w:rsidRPr="00496A4D">
        <w:rPr>
          <w:lang w:eastAsia="ja-JP"/>
        </w:rPr>
        <w:fldChar w:fldCharType="begin"/>
      </w:r>
      <w:r w:rsidR="00120E20" w:rsidRPr="00A52AB8">
        <w:rPr>
          <w:lang w:eastAsia="ja-JP"/>
        </w:rPr>
        <w:instrText xml:space="preserve"> SEQ Equation \* ARABIC \s 1 </w:instrText>
      </w:r>
      <w:r w:rsidR="00120E20" w:rsidRPr="00496A4D">
        <w:rPr>
          <w:lang w:eastAsia="ja-JP"/>
        </w:rPr>
        <w:fldChar w:fldCharType="separate"/>
      </w:r>
      <w:r w:rsidR="00507A67">
        <w:rPr>
          <w:noProof/>
          <w:lang w:eastAsia="ja-JP"/>
        </w:rPr>
        <w:t>5</w:t>
      </w:r>
      <w:r w:rsidR="00120E20" w:rsidRPr="00496A4D">
        <w:rPr>
          <w:lang w:eastAsia="ja-JP"/>
        </w:rPr>
        <w:fldChar w:fldCharType="end"/>
      </w:r>
      <w:r w:rsidR="00120E20" w:rsidRPr="00A52AB8">
        <w:rPr>
          <w:lang w:eastAsia="ja-JP"/>
        </w:rPr>
        <w:t>)</w:t>
      </w:r>
    </w:p>
    <w:p w14:paraId="4BB43EA5" w14:textId="39B26DFD" w:rsidR="00120E20" w:rsidRPr="00A52AB8" w:rsidRDefault="000F7D7F" w:rsidP="00C86722">
      <w:pPr>
        <w:tabs>
          <w:tab w:val="left" w:pos="360"/>
          <w:tab w:val="left" w:pos="720"/>
          <w:tab w:val="left" w:pos="1080"/>
        </w:tabs>
        <w:rPr>
          <w:lang w:eastAsia="ja-JP"/>
        </w:rPr>
      </w:pPr>
      <w:r w:rsidRPr="00A52AB8">
        <w:rPr>
          <w:lang w:eastAsia="ja-JP"/>
        </w:rPr>
        <w:tab/>
      </w:r>
      <w:r w:rsidR="00120E20" w:rsidRPr="00A52AB8">
        <w:rPr>
          <w:lang w:eastAsia="ja-JP"/>
        </w:rPr>
        <w:t>Log10(</w:t>
      </w:r>
      <w:r w:rsidR="00EB3911" w:rsidRPr="00A52AB8">
        <w:rPr>
          <w:lang w:eastAsia="ja-JP"/>
        </w:rPr>
        <w:t> </w:t>
      </w:r>
      <w:r w:rsidR="00120E20" w:rsidRPr="00A52AB8">
        <w:rPr>
          <w:lang w:eastAsia="ja-JP"/>
        </w:rPr>
        <w:t>x</w:t>
      </w:r>
      <w:r w:rsidR="00EB3911" w:rsidRPr="00A52AB8">
        <w:rPr>
          <w:lang w:eastAsia="ja-JP"/>
        </w:rPr>
        <w:t> </w:t>
      </w:r>
      <w:r w:rsidR="00120E20" w:rsidRPr="00A52AB8">
        <w:rPr>
          <w:lang w:eastAsia="ja-JP"/>
        </w:rPr>
        <w:t>)</w:t>
      </w:r>
      <w:r w:rsidR="00EB3911" w:rsidRPr="00A52AB8">
        <w:rPr>
          <w:lang w:eastAsia="ja-JP"/>
        </w:rPr>
        <w:t> </w:t>
      </w:r>
      <w:r w:rsidR="00120E20" w:rsidRPr="00A52AB8">
        <w:rPr>
          <w:lang w:eastAsia="ja-JP"/>
        </w:rPr>
        <w:t>the base-10 logarithm of x.</w:t>
      </w:r>
      <w:r w:rsidR="00120E20" w:rsidRPr="00A52AB8">
        <w:rPr>
          <w:lang w:eastAsia="ja-JP"/>
        </w:rPr>
        <w:tab/>
      </w:r>
      <w:r w:rsidR="00B702F2" w:rsidRPr="00A52AB8">
        <w:rPr>
          <w:lang w:eastAsia="ja-JP"/>
        </w:rPr>
        <w:tab/>
      </w:r>
      <w:r w:rsidR="00B702F2" w:rsidRPr="00A52AB8">
        <w:rPr>
          <w:lang w:eastAsia="ja-JP"/>
        </w:rPr>
        <w:tab/>
      </w:r>
      <w:r w:rsidR="00120E20" w:rsidRPr="00A52AB8">
        <w:rPr>
          <w:lang w:eastAsia="ja-JP"/>
        </w:rPr>
        <w:t>(</w:t>
      </w:r>
      <w:r w:rsidR="00120E20" w:rsidRPr="00496A4D">
        <w:rPr>
          <w:lang w:eastAsia="ja-JP"/>
        </w:rPr>
        <w:fldChar w:fldCharType="begin"/>
      </w:r>
      <w:r w:rsidR="00120E20" w:rsidRPr="00A52AB8">
        <w:rPr>
          <w:lang w:eastAsia="ja-JP"/>
        </w:rPr>
        <w:instrText xml:space="preserve"> SEQ Equation \* ARABIC \s 1 </w:instrText>
      </w:r>
      <w:r w:rsidR="00120E20" w:rsidRPr="00496A4D">
        <w:rPr>
          <w:lang w:eastAsia="ja-JP"/>
        </w:rPr>
        <w:fldChar w:fldCharType="separate"/>
      </w:r>
      <w:r w:rsidR="00507A67">
        <w:rPr>
          <w:noProof/>
          <w:lang w:eastAsia="ja-JP"/>
        </w:rPr>
        <w:t>6</w:t>
      </w:r>
      <w:r w:rsidR="00120E20" w:rsidRPr="00496A4D">
        <w:rPr>
          <w:lang w:eastAsia="ja-JP"/>
        </w:rPr>
        <w:fldChar w:fldCharType="end"/>
      </w:r>
      <w:r w:rsidR="00120E20" w:rsidRPr="00A52AB8">
        <w:rPr>
          <w:lang w:eastAsia="ja-JP"/>
        </w:rPr>
        <w:t>)</w:t>
      </w:r>
    </w:p>
    <w:p w14:paraId="20ECA8D8" w14:textId="15232EF7" w:rsidR="0050235C" w:rsidRPr="00A52AB8" w:rsidRDefault="000F7D7F" w:rsidP="00136219">
      <w:pPr>
        <w:tabs>
          <w:tab w:val="left" w:pos="360"/>
          <w:tab w:val="left" w:pos="720"/>
          <w:tab w:val="left" w:pos="1080"/>
        </w:tabs>
        <w:rPr>
          <w:lang w:eastAsia="ja-JP"/>
        </w:rPr>
      </w:pPr>
      <w:r w:rsidRPr="00A52AB8">
        <w:rPr>
          <w:lang w:eastAsia="ja-JP"/>
        </w:rPr>
        <w:tab/>
      </w:r>
      <w:r w:rsidR="00120E20" w:rsidRPr="00A52AB8">
        <w:rPr>
          <w:lang w:eastAsia="ja-JP"/>
        </w:rPr>
        <w:t>Max(</w:t>
      </w:r>
      <w:r w:rsidR="00EB3911" w:rsidRPr="00A52AB8">
        <w:rPr>
          <w:lang w:eastAsia="ja-JP"/>
        </w:rPr>
        <w:t> </w:t>
      </w:r>
      <w:r w:rsidR="00120E20" w:rsidRPr="00A52AB8">
        <w:rPr>
          <w:lang w:eastAsia="ja-JP"/>
        </w:rPr>
        <w:t>x,</w:t>
      </w:r>
      <w:r w:rsidR="00EB3911" w:rsidRPr="00A52AB8">
        <w:rPr>
          <w:lang w:eastAsia="ja-JP"/>
        </w:rPr>
        <w:t> </w:t>
      </w:r>
      <w:r w:rsidR="00120E20" w:rsidRPr="00A52AB8">
        <w:rPr>
          <w:lang w:eastAsia="ja-JP"/>
        </w:rPr>
        <w:t>y</w:t>
      </w:r>
      <w:r w:rsidR="00EB3911" w:rsidRPr="00A52AB8">
        <w:rPr>
          <w:lang w:eastAsia="ja-JP"/>
        </w:rPr>
        <w:t> </w:t>
      </w:r>
      <w:r w:rsidR="00120E20" w:rsidRPr="00A52AB8">
        <w:rPr>
          <w:lang w:eastAsia="ja-JP"/>
        </w:rPr>
        <w:t>)</w:t>
      </w:r>
      <m:oMath>
        <m:r>
          <m:rPr>
            <m:sty m:val="p"/>
          </m:rPr>
          <w:rPr>
            <w:rFonts w:ascii="Cambria Math" w:hAnsi="Cambria Math"/>
            <w:lang w:eastAsia="ja-JP"/>
          </w:rPr>
          <m:t> = </m:t>
        </m:r>
        <m:d>
          <m:dPr>
            <m:begChr m:val="{"/>
            <m:endChr m:val=""/>
            <m:ctrlPr>
              <w:rPr>
                <w:rFonts w:ascii="Cambria Math" w:hAnsi="Cambria Math"/>
                <w:lang w:eastAsia="ja-JP"/>
              </w:rPr>
            </m:ctrlPr>
          </m:dPr>
          <m:e>
            <m:m>
              <m:mPr>
                <m:mcs>
                  <m:mc>
                    <m:mcPr>
                      <m:count m:val="1"/>
                      <m:mcJc m:val="right"/>
                    </m:mcPr>
                  </m:mc>
                  <m:mc>
                    <m:mcPr>
                      <m:count m:val="1"/>
                      <m:mcJc m:val="center"/>
                    </m:mcPr>
                  </m:mc>
                  <m:mc>
                    <m:mcPr>
                      <m:count m:val="1"/>
                      <m:mcJc m:val="left"/>
                    </m:mcPr>
                  </m:mc>
                </m:mcs>
                <m:ctrlPr>
                  <w:rPr>
                    <w:rFonts w:ascii="Cambria Math" w:hAnsi="Cambria Math"/>
                    <w:lang w:eastAsia="ja-JP"/>
                  </w:rPr>
                </m:ctrlPr>
              </m:mPr>
              <m:mr>
                <m:e>
                  <m:r>
                    <m:rPr>
                      <m:sty m:val="p"/>
                    </m:rPr>
                    <w:rPr>
                      <w:rFonts w:ascii="Cambria Math" w:hAnsi="Cambria Math"/>
                      <w:lang w:eastAsia="ja-JP"/>
                    </w:rPr>
                    <m:t>x</m:t>
                  </m:r>
                </m:e>
                <m:e>
                  <m:r>
                    <m:rPr>
                      <m:sty m:val="p"/>
                    </m:rPr>
                    <w:rPr>
                      <w:rFonts w:ascii="Cambria Math" w:hAnsi="Cambria Math"/>
                      <w:lang w:eastAsia="ja-JP"/>
                    </w:rPr>
                    <m:t>;</m:t>
                  </m:r>
                </m:e>
                <m:e>
                  <m:r>
                    <m:rPr>
                      <m:sty m:val="p"/>
                    </m:rPr>
                    <w:rPr>
                      <w:rFonts w:ascii="Cambria Math" w:hAnsi="Cambria Math"/>
                      <w:lang w:eastAsia="ja-JP"/>
                    </w:rPr>
                    <m:t>x&gt;=y</m:t>
                  </m:r>
                </m:e>
              </m:mr>
              <m:mr>
                <m:e>
                  <m:r>
                    <m:rPr>
                      <m:sty m:val="p"/>
                    </m:rPr>
                    <w:rPr>
                      <w:rFonts w:ascii="Cambria Math" w:hAnsi="Cambria Math"/>
                      <w:lang w:eastAsia="ja-JP"/>
                    </w:rPr>
                    <m:t>y</m:t>
                  </m:r>
                </m:e>
                <m:e>
                  <m:r>
                    <m:rPr>
                      <m:sty m:val="p"/>
                    </m:rPr>
                    <w:rPr>
                      <w:rFonts w:ascii="Cambria Math" w:hAnsi="Cambria Math"/>
                      <w:lang w:eastAsia="ja-JP"/>
                    </w:rPr>
                    <m:t>;</m:t>
                  </m:r>
                </m:e>
                <m:e>
                  <m:r>
                    <m:rPr>
                      <m:sty m:val="p"/>
                    </m:rPr>
                    <w:rPr>
                      <w:rFonts w:ascii="Cambria Math" w:hAnsi="Cambria Math"/>
                      <w:lang w:eastAsia="ja-JP"/>
                    </w:rPr>
                    <m:t>x&lt;y</m:t>
                  </m:r>
                </m:e>
              </m:mr>
            </m:m>
          </m:e>
        </m:d>
      </m:oMath>
      <w:r w:rsidR="00120E20" w:rsidRPr="00A52AB8">
        <w:rPr>
          <w:lang w:eastAsia="ja-JP"/>
        </w:rPr>
        <w:tab/>
      </w:r>
      <w:r w:rsidR="00B702F2" w:rsidRPr="00A52AB8">
        <w:rPr>
          <w:lang w:eastAsia="ja-JP"/>
        </w:rPr>
        <w:tab/>
      </w:r>
      <w:r w:rsidR="00B702F2" w:rsidRPr="00A52AB8">
        <w:rPr>
          <w:lang w:eastAsia="ja-JP"/>
        </w:rPr>
        <w:tab/>
      </w:r>
      <w:r w:rsidR="00B702F2" w:rsidRPr="00A52AB8">
        <w:rPr>
          <w:lang w:eastAsia="ja-JP"/>
        </w:rPr>
        <w:tab/>
      </w:r>
      <w:r w:rsidR="00B702F2" w:rsidRPr="00A52AB8">
        <w:rPr>
          <w:lang w:eastAsia="ja-JP"/>
        </w:rPr>
        <w:tab/>
      </w:r>
      <w:r w:rsidR="00120E20" w:rsidRPr="00A52AB8">
        <w:rPr>
          <w:lang w:eastAsia="ja-JP"/>
        </w:rPr>
        <w:t>(</w:t>
      </w:r>
      <w:r w:rsidR="00120E20" w:rsidRPr="00496A4D">
        <w:rPr>
          <w:lang w:eastAsia="ja-JP"/>
        </w:rPr>
        <w:fldChar w:fldCharType="begin"/>
      </w:r>
      <w:r w:rsidR="00120E20" w:rsidRPr="00A52AB8">
        <w:rPr>
          <w:lang w:eastAsia="ja-JP"/>
        </w:rPr>
        <w:instrText xml:space="preserve"> SEQ Equation \* ARABIC \s 1 </w:instrText>
      </w:r>
      <w:r w:rsidR="00120E20" w:rsidRPr="00496A4D">
        <w:rPr>
          <w:lang w:eastAsia="ja-JP"/>
        </w:rPr>
        <w:fldChar w:fldCharType="separate"/>
      </w:r>
      <w:r w:rsidR="00507A67">
        <w:rPr>
          <w:noProof/>
          <w:lang w:eastAsia="ja-JP"/>
        </w:rPr>
        <w:t>7</w:t>
      </w:r>
      <w:r w:rsidR="00120E20" w:rsidRPr="00496A4D">
        <w:rPr>
          <w:lang w:eastAsia="ja-JP"/>
        </w:rPr>
        <w:fldChar w:fldCharType="end"/>
      </w:r>
      <w:r w:rsidR="00120E20" w:rsidRPr="00A52AB8">
        <w:rPr>
          <w:lang w:eastAsia="ja-JP"/>
        </w:rPr>
        <w:t>)</w:t>
      </w:r>
    </w:p>
    <w:p w14:paraId="14D16BE2" w14:textId="0D1E8EEE" w:rsidR="0050235C" w:rsidRPr="00A52AB8" w:rsidRDefault="00136219" w:rsidP="00CE60BF">
      <w:pPr>
        <w:tabs>
          <w:tab w:val="left" w:pos="360"/>
          <w:tab w:val="left" w:pos="720"/>
          <w:tab w:val="left" w:pos="1080"/>
        </w:tabs>
        <w:rPr>
          <w:lang w:eastAsia="ja-JP"/>
        </w:rPr>
      </w:pPr>
      <w:r w:rsidRPr="00A52AB8">
        <w:rPr>
          <w:lang w:eastAsia="ja-JP"/>
        </w:rPr>
        <w:tab/>
        <w:t>Mean( A ) the arithmetic average value of the input array A</w:t>
      </w:r>
      <w:r w:rsidR="001342DA" w:rsidRPr="00A52AB8">
        <w:rPr>
          <w:lang w:eastAsia="ja-JP"/>
        </w:rPr>
        <w:t>.</w:t>
      </w:r>
      <w:r w:rsidRPr="00A52AB8">
        <w:rPr>
          <w:lang w:eastAsia="ja-JP"/>
        </w:rPr>
        <w:tab/>
        <w:t>(</w:t>
      </w:r>
      <w:r w:rsidRPr="00496A4D">
        <w:rPr>
          <w:lang w:eastAsia="ja-JP"/>
        </w:rPr>
        <w:fldChar w:fldCharType="begin"/>
      </w:r>
      <w:r w:rsidRPr="00A52AB8">
        <w:rPr>
          <w:lang w:eastAsia="ja-JP"/>
        </w:rPr>
        <w:instrText xml:space="preserve"> SEQ Equation \* ARABIC \s 1 </w:instrText>
      </w:r>
      <w:r w:rsidRPr="00496A4D">
        <w:rPr>
          <w:lang w:eastAsia="ja-JP"/>
        </w:rPr>
        <w:fldChar w:fldCharType="separate"/>
      </w:r>
      <w:r w:rsidR="00507A67">
        <w:rPr>
          <w:noProof/>
          <w:lang w:eastAsia="ja-JP"/>
        </w:rPr>
        <w:t>8</w:t>
      </w:r>
      <w:r w:rsidRPr="00496A4D">
        <w:rPr>
          <w:lang w:eastAsia="ja-JP"/>
        </w:rPr>
        <w:fldChar w:fldCharType="end"/>
      </w:r>
      <w:r w:rsidRPr="00A52AB8">
        <w:rPr>
          <w:lang w:eastAsia="ja-JP"/>
        </w:rPr>
        <w:t>)</w:t>
      </w:r>
    </w:p>
    <w:p w14:paraId="20A14F20" w14:textId="260F48F7" w:rsidR="00CE60BF" w:rsidRPr="00A52AB8" w:rsidRDefault="00CE60BF" w:rsidP="00CE60BF">
      <w:pPr>
        <w:tabs>
          <w:tab w:val="left" w:pos="360"/>
          <w:tab w:val="left" w:pos="720"/>
          <w:tab w:val="left" w:pos="1080"/>
        </w:tabs>
        <w:rPr>
          <w:lang w:eastAsia="ja-JP"/>
        </w:rPr>
      </w:pPr>
      <w:r w:rsidRPr="00A52AB8">
        <w:rPr>
          <w:lang w:eastAsia="ja-JP"/>
        </w:rPr>
        <w:tab/>
        <w:t>Median( A ) the median value of the input array A</w:t>
      </w:r>
      <w:r w:rsidR="001342DA" w:rsidRPr="00A52AB8">
        <w:rPr>
          <w:lang w:eastAsia="ja-JP"/>
        </w:rPr>
        <w:t>.</w:t>
      </w:r>
      <w:r w:rsidRPr="00A52AB8">
        <w:rPr>
          <w:lang w:eastAsia="ja-JP"/>
        </w:rPr>
        <w:tab/>
        <w:t>(</w:t>
      </w:r>
      <w:r w:rsidRPr="00496A4D">
        <w:rPr>
          <w:lang w:eastAsia="ja-JP"/>
        </w:rPr>
        <w:fldChar w:fldCharType="begin"/>
      </w:r>
      <w:r w:rsidRPr="00A52AB8">
        <w:rPr>
          <w:lang w:eastAsia="ja-JP"/>
        </w:rPr>
        <w:instrText xml:space="preserve"> SEQ Equation \* ARABIC \s 1 </w:instrText>
      </w:r>
      <w:r w:rsidRPr="00496A4D">
        <w:rPr>
          <w:lang w:eastAsia="ja-JP"/>
        </w:rPr>
        <w:fldChar w:fldCharType="separate"/>
      </w:r>
      <w:r w:rsidR="00507A67">
        <w:rPr>
          <w:noProof/>
          <w:lang w:eastAsia="ja-JP"/>
        </w:rPr>
        <w:t>9</w:t>
      </w:r>
      <w:r w:rsidRPr="00496A4D">
        <w:rPr>
          <w:lang w:eastAsia="ja-JP"/>
        </w:rPr>
        <w:fldChar w:fldCharType="end"/>
      </w:r>
      <w:r w:rsidRPr="00A52AB8">
        <w:rPr>
          <w:lang w:eastAsia="ja-JP"/>
        </w:rPr>
        <w:t>)</w:t>
      </w:r>
    </w:p>
    <w:p w14:paraId="34397356" w14:textId="68A5E5D4" w:rsidR="00136219" w:rsidRPr="00A52AB8" w:rsidRDefault="000F7D7F" w:rsidP="00136219">
      <w:pPr>
        <w:tabs>
          <w:tab w:val="left" w:pos="360"/>
          <w:tab w:val="left" w:pos="720"/>
          <w:tab w:val="left" w:pos="1080"/>
        </w:tabs>
        <w:rPr>
          <w:lang w:eastAsia="ja-JP"/>
        </w:rPr>
      </w:pPr>
      <w:r w:rsidRPr="00A52AB8">
        <w:rPr>
          <w:lang w:eastAsia="ja-JP"/>
        </w:rPr>
        <w:tab/>
      </w:r>
      <w:r w:rsidR="00136219" w:rsidRPr="00A52AB8">
        <w:rPr>
          <w:lang w:eastAsia="ja-JP"/>
        </w:rPr>
        <w:t>Min( x, y )</w:t>
      </w:r>
      <m:oMath>
        <m:r>
          <m:rPr>
            <m:sty m:val="p"/>
          </m:rPr>
          <w:rPr>
            <w:rFonts w:ascii="Cambria Math" w:hAnsi="Cambria Math"/>
            <w:lang w:eastAsia="ja-JP"/>
          </w:rPr>
          <m:t> = </m:t>
        </m:r>
        <m:d>
          <m:dPr>
            <m:begChr m:val="{"/>
            <m:endChr m:val=""/>
            <m:ctrlPr>
              <w:rPr>
                <w:rFonts w:ascii="Cambria Math" w:hAnsi="Cambria Math"/>
                <w:lang w:eastAsia="ja-JP"/>
              </w:rPr>
            </m:ctrlPr>
          </m:dPr>
          <m:e>
            <m:m>
              <m:mPr>
                <m:mcs>
                  <m:mc>
                    <m:mcPr>
                      <m:count m:val="1"/>
                      <m:mcJc m:val="right"/>
                    </m:mcPr>
                  </m:mc>
                  <m:mc>
                    <m:mcPr>
                      <m:count m:val="1"/>
                      <m:mcJc m:val="center"/>
                    </m:mcPr>
                  </m:mc>
                  <m:mc>
                    <m:mcPr>
                      <m:count m:val="1"/>
                      <m:mcJc m:val="left"/>
                    </m:mcPr>
                  </m:mc>
                </m:mcs>
                <m:ctrlPr>
                  <w:rPr>
                    <w:rFonts w:ascii="Cambria Math" w:hAnsi="Cambria Math"/>
                    <w:lang w:eastAsia="ja-JP"/>
                  </w:rPr>
                </m:ctrlPr>
              </m:mPr>
              <m:mr>
                <m:e>
                  <m:r>
                    <m:rPr>
                      <m:sty m:val="p"/>
                    </m:rPr>
                    <w:rPr>
                      <w:rFonts w:ascii="Cambria Math" w:hAnsi="Cambria Math"/>
                      <w:lang w:eastAsia="ja-JP"/>
                    </w:rPr>
                    <m:t>x</m:t>
                  </m:r>
                </m:e>
                <m:e>
                  <m:r>
                    <m:rPr>
                      <m:sty m:val="p"/>
                    </m:rPr>
                    <w:rPr>
                      <w:rFonts w:ascii="Cambria Math" w:hAnsi="Cambria Math"/>
                      <w:lang w:eastAsia="ja-JP"/>
                    </w:rPr>
                    <m:t>;</m:t>
                  </m:r>
                </m:e>
                <m:e>
                  <m:r>
                    <m:rPr>
                      <m:sty m:val="p"/>
                    </m:rPr>
                    <w:rPr>
                      <w:rFonts w:ascii="Cambria Math" w:hAnsi="Cambria Math"/>
                      <w:lang w:eastAsia="ja-JP"/>
                    </w:rPr>
                    <m:t>x&lt;=y</m:t>
                  </m:r>
                </m:e>
              </m:mr>
              <m:mr>
                <m:e>
                  <m:r>
                    <m:rPr>
                      <m:sty m:val="p"/>
                    </m:rPr>
                    <w:rPr>
                      <w:rFonts w:ascii="Cambria Math" w:hAnsi="Cambria Math"/>
                      <w:lang w:eastAsia="ja-JP"/>
                    </w:rPr>
                    <m:t>y</m:t>
                  </m:r>
                </m:e>
                <m:e>
                  <m:r>
                    <m:rPr>
                      <m:sty m:val="p"/>
                    </m:rPr>
                    <w:rPr>
                      <w:rFonts w:ascii="Cambria Math" w:hAnsi="Cambria Math"/>
                      <w:lang w:eastAsia="ja-JP"/>
                    </w:rPr>
                    <m:t>;</m:t>
                  </m:r>
                </m:e>
                <m:e>
                  <m:r>
                    <m:rPr>
                      <m:sty m:val="p"/>
                    </m:rPr>
                    <w:rPr>
                      <w:rFonts w:ascii="Cambria Math" w:hAnsi="Cambria Math"/>
                      <w:lang w:eastAsia="ja-JP"/>
                    </w:rPr>
                    <m:t>x&gt;y</m:t>
                  </m:r>
                </m:e>
              </m:mr>
            </m:m>
          </m:e>
        </m:d>
      </m:oMath>
      <w:r w:rsidR="00136219" w:rsidRPr="00A52AB8">
        <w:rPr>
          <w:lang w:eastAsia="ja-JP"/>
        </w:rPr>
        <w:tab/>
      </w:r>
      <w:r w:rsidR="00136219" w:rsidRPr="00A52AB8">
        <w:rPr>
          <w:lang w:eastAsia="ja-JP"/>
        </w:rPr>
        <w:tab/>
      </w:r>
      <w:r w:rsidR="00136219" w:rsidRPr="00A52AB8">
        <w:rPr>
          <w:lang w:eastAsia="ja-JP"/>
        </w:rPr>
        <w:tab/>
      </w:r>
      <w:r w:rsidR="00136219" w:rsidRPr="00A52AB8">
        <w:rPr>
          <w:lang w:eastAsia="ja-JP"/>
        </w:rPr>
        <w:tab/>
      </w:r>
      <w:r w:rsidR="00136219" w:rsidRPr="00A52AB8">
        <w:rPr>
          <w:lang w:eastAsia="ja-JP"/>
        </w:rPr>
        <w:tab/>
        <w:t>(</w:t>
      </w:r>
      <w:r w:rsidR="00136219" w:rsidRPr="00496A4D">
        <w:rPr>
          <w:lang w:eastAsia="ja-JP"/>
        </w:rPr>
        <w:fldChar w:fldCharType="begin"/>
      </w:r>
      <w:r w:rsidR="00136219" w:rsidRPr="00A52AB8">
        <w:rPr>
          <w:lang w:eastAsia="ja-JP"/>
        </w:rPr>
        <w:instrText xml:space="preserve"> SEQ Equation \* ARABIC \s 1 </w:instrText>
      </w:r>
      <w:r w:rsidR="00136219" w:rsidRPr="00496A4D">
        <w:rPr>
          <w:lang w:eastAsia="ja-JP"/>
        </w:rPr>
        <w:fldChar w:fldCharType="separate"/>
      </w:r>
      <w:r w:rsidR="00507A67">
        <w:rPr>
          <w:noProof/>
          <w:lang w:eastAsia="ja-JP"/>
        </w:rPr>
        <w:t>10</w:t>
      </w:r>
      <w:r w:rsidR="00136219" w:rsidRPr="00496A4D">
        <w:rPr>
          <w:lang w:eastAsia="ja-JP"/>
        </w:rPr>
        <w:fldChar w:fldCharType="end"/>
      </w:r>
      <w:r w:rsidR="00136219" w:rsidRPr="00A52AB8">
        <w:rPr>
          <w:lang w:eastAsia="ja-JP"/>
        </w:rPr>
        <w:t>)</w:t>
      </w:r>
    </w:p>
    <w:p w14:paraId="1B0A8296" w14:textId="27464900" w:rsidR="00120E20" w:rsidRPr="00A52AB8" w:rsidRDefault="00136219" w:rsidP="00C86722">
      <w:pPr>
        <w:tabs>
          <w:tab w:val="left" w:pos="360"/>
          <w:tab w:val="left" w:pos="720"/>
          <w:tab w:val="left" w:pos="1080"/>
        </w:tabs>
        <w:rPr>
          <w:lang w:eastAsia="ja-JP"/>
        </w:rPr>
      </w:pPr>
      <w:r w:rsidRPr="00A52AB8">
        <w:rPr>
          <w:lang w:eastAsia="ja-JP"/>
        </w:rPr>
        <w:lastRenderedPageBreak/>
        <w:tab/>
      </w:r>
      <w:r w:rsidR="00120E20" w:rsidRPr="00A52AB8">
        <w:rPr>
          <w:lang w:eastAsia="ja-JP"/>
        </w:rPr>
        <w:t>Round(</w:t>
      </w:r>
      <w:r w:rsidR="00EB3911" w:rsidRPr="00A52AB8">
        <w:rPr>
          <w:lang w:eastAsia="ja-JP"/>
        </w:rPr>
        <w:t> </w:t>
      </w:r>
      <w:r w:rsidR="00120E20" w:rsidRPr="00A52AB8">
        <w:rPr>
          <w:lang w:eastAsia="ja-JP"/>
        </w:rPr>
        <w:t>x</w:t>
      </w:r>
      <w:r w:rsidR="00EB3911" w:rsidRPr="00A52AB8">
        <w:rPr>
          <w:lang w:eastAsia="ja-JP"/>
        </w:rPr>
        <w:t> </w:t>
      </w:r>
      <w:r w:rsidR="00120E20" w:rsidRPr="00A52AB8">
        <w:rPr>
          <w:lang w:eastAsia="ja-JP"/>
        </w:rPr>
        <w:t>)</w:t>
      </w:r>
      <w:r w:rsidR="00D47707" w:rsidRPr="00A52AB8">
        <w:rPr>
          <w:lang w:eastAsia="ja-JP"/>
        </w:rPr>
        <w:t> = </w:t>
      </w:r>
      <w:r w:rsidR="00120E20" w:rsidRPr="00A52AB8">
        <w:rPr>
          <w:lang w:eastAsia="ja-JP"/>
        </w:rPr>
        <w:t>Sign(</w:t>
      </w:r>
      <w:r w:rsidR="00EB3911" w:rsidRPr="00A52AB8">
        <w:rPr>
          <w:lang w:eastAsia="ja-JP"/>
        </w:rPr>
        <w:t> </w:t>
      </w:r>
      <w:r w:rsidR="00120E20" w:rsidRPr="00A52AB8">
        <w:rPr>
          <w:lang w:eastAsia="ja-JP"/>
        </w:rPr>
        <w:t>x</w:t>
      </w:r>
      <w:r w:rsidR="00EB3911" w:rsidRPr="00A52AB8">
        <w:rPr>
          <w:lang w:eastAsia="ja-JP"/>
        </w:rPr>
        <w:t> </w:t>
      </w:r>
      <w:r w:rsidR="00120E20" w:rsidRPr="00A52AB8">
        <w:rPr>
          <w:lang w:eastAsia="ja-JP"/>
        </w:rPr>
        <w:t>)</w:t>
      </w:r>
      <w:r w:rsidR="00EB3911" w:rsidRPr="00A52AB8">
        <w:rPr>
          <w:lang w:eastAsia="ja-JP"/>
        </w:rPr>
        <w:t> </w:t>
      </w:r>
      <w:r w:rsidR="00120E20" w:rsidRPr="00A52AB8">
        <w:rPr>
          <w:lang w:eastAsia="ja-JP"/>
        </w:rPr>
        <w:t>*</w:t>
      </w:r>
      <w:r w:rsidR="00EB3911" w:rsidRPr="00A52AB8">
        <w:rPr>
          <w:lang w:eastAsia="ja-JP"/>
        </w:rPr>
        <w:t> </w:t>
      </w:r>
      <w:r w:rsidR="00120E20" w:rsidRPr="00A52AB8">
        <w:rPr>
          <w:lang w:eastAsia="ja-JP"/>
        </w:rPr>
        <w:t>Floor(</w:t>
      </w:r>
      <w:r w:rsidR="00EB3911" w:rsidRPr="00A52AB8">
        <w:rPr>
          <w:lang w:eastAsia="ja-JP"/>
        </w:rPr>
        <w:t> </w:t>
      </w:r>
      <w:r w:rsidR="00120E20" w:rsidRPr="00A52AB8">
        <w:rPr>
          <w:lang w:eastAsia="ja-JP"/>
        </w:rPr>
        <w:t>Abs(</w:t>
      </w:r>
      <w:r w:rsidR="00EB3911" w:rsidRPr="00A52AB8">
        <w:rPr>
          <w:lang w:eastAsia="ja-JP"/>
        </w:rPr>
        <w:t> </w:t>
      </w:r>
      <w:r w:rsidR="00120E20" w:rsidRPr="00A52AB8">
        <w:rPr>
          <w:lang w:eastAsia="ja-JP"/>
        </w:rPr>
        <w:t>x</w:t>
      </w:r>
      <w:r w:rsidR="00EB3911" w:rsidRPr="00A52AB8">
        <w:rPr>
          <w:lang w:eastAsia="ja-JP"/>
        </w:rPr>
        <w:t> </w:t>
      </w:r>
      <w:r w:rsidR="00120E20" w:rsidRPr="00A52AB8">
        <w:rPr>
          <w:lang w:eastAsia="ja-JP"/>
        </w:rPr>
        <w:t>)</w:t>
      </w:r>
      <w:r w:rsidR="00EB3911" w:rsidRPr="00A52AB8">
        <w:rPr>
          <w:lang w:eastAsia="ja-JP"/>
        </w:rPr>
        <w:t> </w:t>
      </w:r>
      <w:r w:rsidR="00120E20" w:rsidRPr="00A52AB8">
        <w:rPr>
          <w:lang w:eastAsia="ja-JP"/>
        </w:rPr>
        <w:t>+</w:t>
      </w:r>
      <w:r w:rsidR="00EB3911" w:rsidRPr="00A52AB8">
        <w:rPr>
          <w:lang w:eastAsia="ja-JP"/>
        </w:rPr>
        <w:t> </w:t>
      </w:r>
      <w:r w:rsidR="00120E20" w:rsidRPr="00A52AB8">
        <w:rPr>
          <w:lang w:eastAsia="ja-JP"/>
        </w:rPr>
        <w:t>0.5</w:t>
      </w:r>
      <w:r w:rsidR="00EB3911" w:rsidRPr="00A52AB8">
        <w:rPr>
          <w:lang w:eastAsia="ja-JP"/>
        </w:rPr>
        <w:t> </w:t>
      </w:r>
      <w:r w:rsidR="00120E20" w:rsidRPr="00A52AB8">
        <w:rPr>
          <w:lang w:eastAsia="ja-JP"/>
        </w:rPr>
        <w:t>)</w:t>
      </w:r>
      <w:r w:rsidR="00120E20" w:rsidRPr="00A52AB8">
        <w:rPr>
          <w:lang w:eastAsia="ja-JP"/>
        </w:rPr>
        <w:tab/>
        <w:t>(</w:t>
      </w:r>
      <w:r w:rsidR="00120E20" w:rsidRPr="00496A4D">
        <w:rPr>
          <w:lang w:eastAsia="ja-JP"/>
        </w:rPr>
        <w:fldChar w:fldCharType="begin"/>
      </w:r>
      <w:r w:rsidR="00120E20" w:rsidRPr="00A52AB8">
        <w:rPr>
          <w:lang w:eastAsia="ja-JP"/>
        </w:rPr>
        <w:instrText xml:space="preserve"> SEQ Equation \* ARABIC \s 1 </w:instrText>
      </w:r>
      <w:r w:rsidR="00120E20" w:rsidRPr="00496A4D">
        <w:rPr>
          <w:lang w:eastAsia="ja-JP"/>
        </w:rPr>
        <w:fldChar w:fldCharType="separate"/>
      </w:r>
      <w:r w:rsidR="00507A67">
        <w:rPr>
          <w:noProof/>
          <w:lang w:eastAsia="ja-JP"/>
        </w:rPr>
        <w:t>11</w:t>
      </w:r>
      <w:r w:rsidR="00120E20" w:rsidRPr="00496A4D">
        <w:rPr>
          <w:lang w:eastAsia="ja-JP"/>
        </w:rPr>
        <w:fldChar w:fldCharType="end"/>
      </w:r>
      <w:r w:rsidR="00120E20" w:rsidRPr="00A52AB8">
        <w:rPr>
          <w:lang w:eastAsia="ja-JP"/>
        </w:rPr>
        <w:t>)</w:t>
      </w:r>
    </w:p>
    <w:p w14:paraId="7D406DE2" w14:textId="602ECCEA" w:rsidR="00120E20" w:rsidRPr="00A52AB8" w:rsidRDefault="000F7D7F" w:rsidP="00C86722">
      <w:pPr>
        <w:tabs>
          <w:tab w:val="left" w:pos="360"/>
          <w:tab w:val="left" w:pos="720"/>
          <w:tab w:val="left" w:pos="1080"/>
        </w:tabs>
        <w:rPr>
          <w:lang w:eastAsia="ja-JP"/>
        </w:rPr>
      </w:pPr>
      <w:r w:rsidRPr="00A52AB8">
        <w:rPr>
          <w:lang w:eastAsia="ja-JP"/>
        </w:rPr>
        <w:tab/>
      </w:r>
      <w:r w:rsidR="00120E20" w:rsidRPr="00A52AB8">
        <w:rPr>
          <w:lang w:eastAsia="ja-JP"/>
        </w:rPr>
        <w:t>Sign(</w:t>
      </w:r>
      <w:r w:rsidR="00EB3911" w:rsidRPr="00A52AB8">
        <w:rPr>
          <w:lang w:eastAsia="ja-JP"/>
        </w:rPr>
        <w:t> </w:t>
      </w:r>
      <w:r w:rsidR="00120E20" w:rsidRPr="00A52AB8">
        <w:rPr>
          <w:lang w:eastAsia="ja-JP"/>
        </w:rPr>
        <w:t>x</w:t>
      </w:r>
      <w:r w:rsidR="00EB3911" w:rsidRPr="00A52AB8">
        <w:rPr>
          <w:lang w:eastAsia="ja-JP"/>
        </w:rPr>
        <w:t> </w:t>
      </w:r>
      <w:r w:rsidR="00120E20" w:rsidRPr="00A52AB8">
        <w:rPr>
          <w:lang w:eastAsia="ja-JP"/>
        </w:rPr>
        <w:t>)</w:t>
      </w:r>
      <w:r w:rsidR="00D47707" w:rsidRPr="00A52AB8">
        <w:rPr>
          <w:lang w:eastAsia="ja-JP"/>
        </w:rPr>
        <w:t> = </w:t>
      </w:r>
      <m:oMath>
        <m:d>
          <m:dPr>
            <m:begChr m:val="{"/>
            <m:endChr m:val=""/>
            <m:ctrlPr>
              <w:rPr>
                <w:rFonts w:ascii="Cambria Math" w:hAnsi="Cambria Math"/>
                <w:lang w:eastAsia="ja-JP"/>
              </w:rPr>
            </m:ctrlPr>
          </m:dPr>
          <m:e>
            <m:m>
              <m:mPr>
                <m:mcs>
                  <m:mc>
                    <m:mcPr>
                      <m:count m:val="1"/>
                      <m:mcJc m:val="right"/>
                    </m:mcPr>
                  </m:mc>
                  <m:mc>
                    <m:mcPr>
                      <m:count m:val="1"/>
                      <m:mcJc m:val="center"/>
                    </m:mcPr>
                  </m:mc>
                  <m:mc>
                    <m:mcPr>
                      <m:count m:val="1"/>
                      <m:mcJc m:val="left"/>
                    </m:mcPr>
                  </m:mc>
                </m:mcs>
                <m:ctrlPr>
                  <w:rPr>
                    <w:rFonts w:ascii="Cambria Math" w:hAnsi="Cambria Math"/>
                    <w:lang w:eastAsia="ja-JP"/>
                  </w:rPr>
                </m:ctrlPr>
              </m:mPr>
              <m:mr>
                <m:e>
                  <m:r>
                    <m:rPr>
                      <m:sty m:val="p"/>
                    </m:rPr>
                    <w:rPr>
                      <w:rFonts w:ascii="Cambria Math" w:hAnsi="Cambria Math"/>
                      <w:lang w:eastAsia="ja-JP"/>
                    </w:rPr>
                    <m:t>1</m:t>
                  </m:r>
                </m:e>
                <m:e>
                  <m:r>
                    <m:rPr>
                      <m:sty m:val="p"/>
                    </m:rPr>
                    <w:rPr>
                      <w:rFonts w:ascii="Cambria Math" w:hAnsi="Cambria Math"/>
                      <w:lang w:eastAsia="ja-JP"/>
                    </w:rPr>
                    <m:t>;</m:t>
                  </m:r>
                </m:e>
                <m:e>
                  <m:r>
                    <m:rPr>
                      <m:sty m:val="p"/>
                    </m:rPr>
                    <w:rPr>
                      <w:rFonts w:ascii="Cambria Math" w:hAnsi="Cambria Math"/>
                      <w:lang w:eastAsia="ja-JP"/>
                    </w:rPr>
                    <m:t>x&gt;0</m:t>
                  </m:r>
                </m:e>
              </m:mr>
              <m:mr>
                <m:e>
                  <m:r>
                    <m:rPr>
                      <m:sty m:val="p"/>
                    </m:rPr>
                    <w:rPr>
                      <w:rFonts w:ascii="Cambria Math" w:hAnsi="Cambria Math"/>
                      <w:lang w:eastAsia="ja-JP"/>
                    </w:rPr>
                    <m:t>0</m:t>
                  </m:r>
                </m:e>
                <m:e>
                  <m:r>
                    <m:rPr>
                      <m:sty m:val="p"/>
                    </m:rPr>
                    <w:rPr>
                      <w:rFonts w:ascii="Cambria Math" w:hAnsi="Cambria Math"/>
                      <w:lang w:eastAsia="ja-JP"/>
                    </w:rPr>
                    <m:t>;</m:t>
                  </m:r>
                </m:e>
                <m:e>
                  <m:r>
                    <m:rPr>
                      <m:sty m:val="p"/>
                    </m:rPr>
                    <w:rPr>
                      <w:rFonts w:ascii="Cambria Math" w:hAnsi="Cambria Math"/>
                      <w:lang w:eastAsia="ja-JP"/>
                    </w:rPr>
                    <m:t>x=0</m:t>
                  </m:r>
                </m:e>
              </m:mr>
              <m:mr>
                <m:e>
                  <m:r>
                    <m:rPr>
                      <m:sty m:val="p"/>
                    </m:rPr>
                    <w:rPr>
                      <w:rFonts w:ascii="Cambria Math" w:hAnsi="Cambria Math"/>
                      <w:lang w:eastAsia="ja-JP"/>
                    </w:rPr>
                    <m:t>-1</m:t>
                  </m:r>
                </m:e>
                <m:e>
                  <m:r>
                    <m:rPr>
                      <m:sty m:val="p"/>
                    </m:rPr>
                    <w:rPr>
                      <w:rFonts w:ascii="Cambria Math" w:hAnsi="Cambria Math"/>
                      <w:lang w:eastAsia="ja-JP"/>
                    </w:rPr>
                    <m:t>;</m:t>
                  </m:r>
                </m:e>
                <m:e>
                  <m:r>
                    <m:rPr>
                      <m:sty m:val="p"/>
                    </m:rPr>
                    <w:rPr>
                      <w:rFonts w:ascii="Cambria Math" w:hAnsi="Cambria Math"/>
                      <w:lang w:eastAsia="ja-JP"/>
                    </w:rPr>
                    <m:t>x&lt;0</m:t>
                  </m:r>
                </m:e>
              </m:mr>
            </m:m>
          </m:e>
        </m:d>
      </m:oMath>
      <w:r w:rsidR="00120E20" w:rsidRPr="00A52AB8">
        <w:rPr>
          <w:lang w:eastAsia="ja-JP"/>
        </w:rPr>
        <w:tab/>
      </w:r>
      <w:r w:rsidR="00B702F2" w:rsidRPr="00A52AB8">
        <w:rPr>
          <w:lang w:eastAsia="ja-JP"/>
        </w:rPr>
        <w:tab/>
      </w:r>
      <w:r w:rsidR="00B702F2" w:rsidRPr="00A52AB8">
        <w:rPr>
          <w:lang w:eastAsia="ja-JP"/>
        </w:rPr>
        <w:tab/>
      </w:r>
      <w:r w:rsidR="00B702F2" w:rsidRPr="00A52AB8">
        <w:rPr>
          <w:lang w:eastAsia="ja-JP"/>
        </w:rPr>
        <w:tab/>
      </w:r>
      <w:r w:rsidR="00B702F2" w:rsidRPr="00A52AB8">
        <w:rPr>
          <w:lang w:eastAsia="ja-JP"/>
        </w:rPr>
        <w:tab/>
      </w:r>
      <w:r w:rsidR="00B702F2" w:rsidRPr="00A52AB8">
        <w:rPr>
          <w:lang w:eastAsia="ja-JP"/>
        </w:rPr>
        <w:tab/>
      </w:r>
      <w:r w:rsidR="00120E20" w:rsidRPr="00A52AB8">
        <w:rPr>
          <w:lang w:eastAsia="ja-JP"/>
        </w:rPr>
        <w:t>(</w:t>
      </w:r>
      <w:r w:rsidR="00120E20" w:rsidRPr="00496A4D">
        <w:rPr>
          <w:lang w:eastAsia="ja-JP"/>
        </w:rPr>
        <w:fldChar w:fldCharType="begin"/>
      </w:r>
      <w:r w:rsidR="00120E20" w:rsidRPr="00A52AB8">
        <w:rPr>
          <w:lang w:eastAsia="ja-JP"/>
        </w:rPr>
        <w:instrText xml:space="preserve"> SEQ Equation \* ARABIC \s 1 </w:instrText>
      </w:r>
      <w:r w:rsidR="00120E20" w:rsidRPr="00496A4D">
        <w:rPr>
          <w:lang w:eastAsia="ja-JP"/>
        </w:rPr>
        <w:fldChar w:fldCharType="separate"/>
      </w:r>
      <w:r w:rsidR="00507A67">
        <w:rPr>
          <w:noProof/>
          <w:lang w:eastAsia="ja-JP"/>
        </w:rPr>
        <w:t>12</w:t>
      </w:r>
      <w:r w:rsidR="00120E20" w:rsidRPr="00496A4D">
        <w:rPr>
          <w:lang w:eastAsia="ja-JP"/>
        </w:rPr>
        <w:fldChar w:fldCharType="end"/>
      </w:r>
      <w:r w:rsidR="00120E20" w:rsidRPr="00A52AB8">
        <w:rPr>
          <w:lang w:eastAsia="ja-JP"/>
        </w:rPr>
        <w:t>)</w:t>
      </w:r>
    </w:p>
    <w:p w14:paraId="2BC47C8D" w14:textId="71F0E663" w:rsidR="00136219" w:rsidRPr="00A52AB8" w:rsidRDefault="00136219" w:rsidP="00136219">
      <w:pPr>
        <w:tabs>
          <w:tab w:val="left" w:pos="360"/>
          <w:tab w:val="left" w:pos="720"/>
          <w:tab w:val="left" w:pos="1080"/>
        </w:tabs>
        <w:rPr>
          <w:lang w:eastAsia="ja-JP"/>
        </w:rPr>
      </w:pPr>
      <w:r w:rsidRPr="00A52AB8">
        <w:rPr>
          <w:lang w:eastAsia="ja-JP"/>
        </w:rPr>
        <w:tab/>
        <w:t>Sort( A ) the sorted version of the input array A in increasing order</w:t>
      </w:r>
      <w:r w:rsidR="001342DA" w:rsidRPr="00A52AB8">
        <w:rPr>
          <w:lang w:eastAsia="ja-JP"/>
        </w:rPr>
        <w:t>.</w:t>
      </w:r>
      <w:r w:rsidRPr="00A52AB8">
        <w:rPr>
          <w:lang w:eastAsia="ja-JP"/>
        </w:rPr>
        <w:tab/>
        <w:t>(</w:t>
      </w:r>
      <w:r w:rsidRPr="00496A4D">
        <w:rPr>
          <w:lang w:eastAsia="ja-JP"/>
        </w:rPr>
        <w:fldChar w:fldCharType="begin"/>
      </w:r>
      <w:r w:rsidRPr="00A52AB8">
        <w:rPr>
          <w:lang w:eastAsia="ja-JP"/>
        </w:rPr>
        <w:instrText xml:space="preserve"> SEQ Equation \* ARABIC \s 1 </w:instrText>
      </w:r>
      <w:r w:rsidRPr="00496A4D">
        <w:rPr>
          <w:lang w:eastAsia="ja-JP"/>
        </w:rPr>
        <w:fldChar w:fldCharType="separate"/>
      </w:r>
      <w:r w:rsidR="00507A67">
        <w:rPr>
          <w:noProof/>
          <w:lang w:eastAsia="ja-JP"/>
        </w:rPr>
        <w:t>13</w:t>
      </w:r>
      <w:r w:rsidRPr="00496A4D">
        <w:rPr>
          <w:lang w:eastAsia="ja-JP"/>
        </w:rPr>
        <w:fldChar w:fldCharType="end"/>
      </w:r>
      <w:r w:rsidRPr="00A52AB8">
        <w:rPr>
          <w:lang w:eastAsia="ja-JP"/>
        </w:rPr>
        <w:t>)</w:t>
      </w:r>
    </w:p>
    <w:p w14:paraId="6179B2E8" w14:textId="1CB7579B" w:rsidR="00935390" w:rsidRPr="00A52AB8" w:rsidRDefault="000F7D7F" w:rsidP="004A6049">
      <w:pPr>
        <w:tabs>
          <w:tab w:val="left" w:pos="360"/>
          <w:tab w:val="left" w:pos="720"/>
          <w:tab w:val="left" w:pos="1080"/>
        </w:tabs>
        <w:jc w:val="left"/>
        <w:rPr>
          <w:lang w:eastAsia="ja-JP"/>
        </w:rPr>
      </w:pPr>
      <w:r w:rsidRPr="00A52AB8">
        <w:rPr>
          <w:lang w:eastAsia="ja-JP"/>
        </w:rPr>
        <w:tab/>
      </w:r>
      <w:r w:rsidR="00120E20" w:rsidRPr="00A52AB8">
        <w:rPr>
          <w:lang w:eastAsia="ja-JP"/>
        </w:rPr>
        <w:t>Sqrt(</w:t>
      </w:r>
      <w:r w:rsidR="00EB3911" w:rsidRPr="00A52AB8">
        <w:rPr>
          <w:lang w:eastAsia="ja-JP"/>
        </w:rPr>
        <w:t> </w:t>
      </w:r>
      <w:r w:rsidR="00120E20" w:rsidRPr="00A52AB8">
        <w:rPr>
          <w:lang w:eastAsia="ja-JP"/>
        </w:rPr>
        <w:t>x</w:t>
      </w:r>
      <w:r w:rsidR="00EB3911" w:rsidRPr="00A52AB8">
        <w:rPr>
          <w:lang w:eastAsia="ja-JP"/>
        </w:rPr>
        <w:t> </w:t>
      </w:r>
      <w:r w:rsidR="00120E20" w:rsidRPr="00A52AB8">
        <w:rPr>
          <w:lang w:eastAsia="ja-JP"/>
        </w:rPr>
        <w:t>)</w:t>
      </w:r>
      <w:r w:rsidR="00EB3911" w:rsidRPr="00A52AB8">
        <w:rPr>
          <w:lang w:eastAsia="ja-JP"/>
        </w:rPr>
        <w:t> </w:t>
      </w:r>
      <w:r w:rsidR="00242357" w:rsidRPr="00A52AB8">
        <w:rPr>
          <w:lang w:eastAsia="ja-JP"/>
        </w:rPr>
        <w:t>the square root of x</w:t>
      </w:r>
      <w:r w:rsidR="001342DA" w:rsidRPr="00A52AB8">
        <w:rPr>
          <w:lang w:eastAsia="ja-JP"/>
        </w:rPr>
        <w:t>.</w:t>
      </w:r>
      <w:r w:rsidR="00B36498" w:rsidRPr="00A52AB8">
        <w:rPr>
          <w:lang w:eastAsia="ja-JP"/>
        </w:rPr>
        <w:tab/>
      </w:r>
      <w:r w:rsidR="00B702F2" w:rsidRPr="00A52AB8">
        <w:rPr>
          <w:lang w:eastAsia="ja-JP"/>
        </w:rPr>
        <w:tab/>
      </w:r>
      <w:r w:rsidR="00B702F2" w:rsidRPr="00A52AB8">
        <w:rPr>
          <w:lang w:eastAsia="ja-JP"/>
        </w:rPr>
        <w:tab/>
      </w:r>
      <w:r w:rsidR="00B702F2" w:rsidRPr="00A52AB8">
        <w:rPr>
          <w:lang w:eastAsia="ja-JP"/>
        </w:rPr>
        <w:tab/>
      </w:r>
      <w:r w:rsidR="00B702F2" w:rsidRPr="00A52AB8">
        <w:rPr>
          <w:lang w:eastAsia="ja-JP"/>
        </w:rPr>
        <w:tab/>
      </w:r>
      <w:r w:rsidR="00120E20" w:rsidRPr="00A52AB8">
        <w:rPr>
          <w:lang w:eastAsia="ja-JP"/>
        </w:rPr>
        <w:t>(</w:t>
      </w:r>
      <w:r w:rsidR="00120E20" w:rsidRPr="00496A4D">
        <w:rPr>
          <w:lang w:eastAsia="ja-JP"/>
        </w:rPr>
        <w:fldChar w:fldCharType="begin"/>
      </w:r>
      <w:r w:rsidR="00120E20" w:rsidRPr="00A52AB8">
        <w:rPr>
          <w:lang w:eastAsia="ja-JP"/>
        </w:rPr>
        <w:instrText xml:space="preserve"> SEQ Equation \* ARABIC \s 1 </w:instrText>
      </w:r>
      <w:r w:rsidR="00120E20" w:rsidRPr="00496A4D">
        <w:rPr>
          <w:lang w:eastAsia="ja-JP"/>
        </w:rPr>
        <w:fldChar w:fldCharType="separate"/>
      </w:r>
      <w:r w:rsidR="00507A67">
        <w:rPr>
          <w:noProof/>
          <w:lang w:eastAsia="ja-JP"/>
        </w:rPr>
        <w:t>14</w:t>
      </w:r>
      <w:r w:rsidR="00120E20" w:rsidRPr="00496A4D">
        <w:rPr>
          <w:lang w:eastAsia="ja-JP"/>
        </w:rPr>
        <w:fldChar w:fldCharType="end"/>
      </w:r>
      <w:r w:rsidR="00120E20" w:rsidRPr="00A52AB8">
        <w:rPr>
          <w:lang w:eastAsia="ja-JP"/>
        </w:rPr>
        <w:t>)</w:t>
      </w:r>
      <w:bookmarkStart w:id="438" w:name="_Toc226456478"/>
      <w:bookmarkStart w:id="439" w:name="_Toc248045181"/>
      <w:bookmarkStart w:id="440" w:name="_Toc287363737"/>
      <w:bookmarkStart w:id="441" w:name="_Toc311216720"/>
      <w:bookmarkStart w:id="442" w:name="_Toc317198685"/>
    </w:p>
    <w:p w14:paraId="14D151FA" w14:textId="4A82EAA6" w:rsidR="00120E20" w:rsidRPr="00A52AB8" w:rsidRDefault="00120E20">
      <w:pPr>
        <w:pStyle w:val="Heading2"/>
        <w:rPr>
          <w:color w:val="000000" w:themeColor="text1"/>
        </w:rPr>
      </w:pPr>
      <w:bookmarkStart w:id="443" w:name="_Toc39425239"/>
      <w:bookmarkStart w:id="444" w:name="_Toc390728008"/>
      <w:bookmarkStart w:id="445" w:name="_Toc511952618"/>
      <w:bookmarkStart w:id="446" w:name="_Toc52181586"/>
      <w:bookmarkEnd w:id="443"/>
      <w:r w:rsidRPr="00A52AB8">
        <w:rPr>
          <w:color w:val="000000" w:themeColor="text1"/>
        </w:rPr>
        <w:t>Order of operation precedence</w:t>
      </w:r>
      <w:bookmarkEnd w:id="438"/>
      <w:bookmarkEnd w:id="439"/>
      <w:bookmarkEnd w:id="440"/>
      <w:bookmarkEnd w:id="441"/>
      <w:bookmarkEnd w:id="442"/>
      <w:bookmarkEnd w:id="444"/>
      <w:bookmarkEnd w:id="445"/>
      <w:bookmarkEnd w:id="446"/>
    </w:p>
    <w:p w14:paraId="3D429DF7" w14:textId="77777777" w:rsidR="00120E20" w:rsidRPr="00A52AB8" w:rsidRDefault="00120E20">
      <w:pPr>
        <w:rPr>
          <w:color w:val="000000" w:themeColor="text1"/>
        </w:rPr>
      </w:pPr>
      <w:r w:rsidRPr="00A52AB8">
        <w:rPr>
          <w:color w:val="000000" w:themeColor="text1"/>
        </w:rPr>
        <w:t>When order of precedence in an expression is not indicated explicitly by use of parentheses, the following rules apply:</w:t>
      </w:r>
    </w:p>
    <w:p w14:paraId="3FB2E4C6" w14:textId="77777777" w:rsidR="00120E20" w:rsidRPr="00A52AB8" w:rsidRDefault="00120E20">
      <w:pPr>
        <w:spacing w:before="86"/>
        <w:ind w:left="397" w:hanging="397"/>
        <w:rPr>
          <w:color w:val="000000" w:themeColor="text1"/>
        </w:rPr>
      </w:pPr>
      <w:r w:rsidRPr="00A52AB8">
        <w:rPr>
          <w:color w:val="000000" w:themeColor="text1"/>
        </w:rPr>
        <w:t>–</w:t>
      </w:r>
      <w:r w:rsidRPr="00A52AB8">
        <w:rPr>
          <w:color w:val="000000" w:themeColor="text1"/>
        </w:rPr>
        <w:tab/>
        <w:t>Operations of a higher precedence are evaluated before any operation of a lower precedence.</w:t>
      </w:r>
    </w:p>
    <w:p w14:paraId="4CFF43D0" w14:textId="77777777" w:rsidR="00120E20" w:rsidRPr="00A52AB8" w:rsidRDefault="00120E20">
      <w:pPr>
        <w:spacing w:before="86"/>
        <w:ind w:left="397" w:hanging="397"/>
        <w:rPr>
          <w:color w:val="000000" w:themeColor="text1"/>
        </w:rPr>
      </w:pPr>
      <w:r w:rsidRPr="00A52AB8">
        <w:rPr>
          <w:color w:val="000000" w:themeColor="text1"/>
        </w:rPr>
        <w:t>–</w:t>
      </w:r>
      <w:r w:rsidRPr="00A52AB8">
        <w:rPr>
          <w:color w:val="000000" w:themeColor="text1"/>
        </w:rPr>
        <w:tab/>
        <w:t>Operations of the same precedence are evaluated sequentially from left to right.</w:t>
      </w:r>
    </w:p>
    <w:p w14:paraId="77D97221" w14:textId="62730D43" w:rsidR="00120E20" w:rsidRPr="00A52AB8" w:rsidRDefault="00334892">
      <w:pPr>
        <w:rPr>
          <w:color w:val="000000" w:themeColor="text1"/>
        </w:rPr>
      </w:pPr>
      <w:r w:rsidRPr="00496A4D">
        <w:rPr>
          <w:color w:val="000000" w:themeColor="text1"/>
        </w:rPr>
        <w:fldChar w:fldCharType="begin"/>
      </w:r>
      <w:r w:rsidRPr="00A52AB8">
        <w:rPr>
          <w:color w:val="000000" w:themeColor="text1"/>
        </w:rPr>
        <w:instrText xml:space="preserve"> REF _Ref215994896 \h </w:instrText>
      </w:r>
      <w:r w:rsidR="006371AA"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sidRPr="00A52AB8">
        <w:rPr>
          <w:color w:val="000000" w:themeColor="text1"/>
        </w:rPr>
        <w:t>Table </w:t>
      </w:r>
      <w:r w:rsidR="00507A67">
        <w:rPr>
          <w:color w:val="000000" w:themeColor="text1"/>
        </w:rPr>
        <w:t>1</w:t>
      </w:r>
      <w:r w:rsidRPr="00496A4D">
        <w:rPr>
          <w:color w:val="000000" w:themeColor="text1"/>
        </w:rPr>
        <w:fldChar w:fldCharType="end"/>
      </w:r>
      <w:r w:rsidR="002B4C4D" w:rsidRPr="00A52AB8">
        <w:rPr>
          <w:color w:val="000000" w:themeColor="text1"/>
        </w:rPr>
        <w:t xml:space="preserve"> </w:t>
      </w:r>
      <w:r w:rsidR="00120E20" w:rsidRPr="00A52AB8">
        <w:rPr>
          <w:color w:val="000000" w:themeColor="text1"/>
        </w:rPr>
        <w:t>specifies the precedence of operations from highest to lowest; a higher position in the table indicates a higher precedence.</w:t>
      </w:r>
    </w:p>
    <w:p w14:paraId="6BFC4795" w14:textId="77777777" w:rsidR="00120E20" w:rsidRPr="00A52AB8" w:rsidRDefault="00120E20">
      <w:pPr>
        <w:pStyle w:val="Note1"/>
        <w:rPr>
          <w:rFonts w:ascii="Cambria" w:hAnsi="Cambria"/>
          <w:color w:val="000000" w:themeColor="text1"/>
        </w:rPr>
      </w:pPr>
      <w:r w:rsidRPr="00A52AB8">
        <w:rPr>
          <w:rFonts w:ascii="Cambria" w:hAnsi="Cambria"/>
          <w:color w:val="000000" w:themeColor="text1"/>
        </w:rPr>
        <w:t xml:space="preserve">NOTE – For those operators that are also used in the C programming language, the order of precedence used in </w:t>
      </w:r>
      <w:r w:rsidR="00FD4C0B" w:rsidRPr="00A52AB8">
        <w:rPr>
          <w:rFonts w:ascii="Cambria" w:hAnsi="Cambria"/>
          <w:color w:val="000000" w:themeColor="text1"/>
        </w:rPr>
        <w:t>this document</w:t>
      </w:r>
      <w:r w:rsidRPr="00A52AB8">
        <w:rPr>
          <w:rFonts w:ascii="Cambria" w:hAnsi="Cambria"/>
          <w:color w:val="000000" w:themeColor="text1"/>
        </w:rPr>
        <w:t xml:space="preserve"> is the same as used in the C programming language.</w:t>
      </w:r>
    </w:p>
    <w:p w14:paraId="48531909" w14:textId="1A95713A" w:rsidR="00120E20" w:rsidRPr="00A52AB8" w:rsidRDefault="00120E20">
      <w:pPr>
        <w:pStyle w:val="Caption"/>
        <w:rPr>
          <w:rFonts w:ascii="Cambria" w:hAnsi="Cambria"/>
          <w:color w:val="000000" w:themeColor="text1"/>
        </w:rPr>
      </w:pPr>
      <w:bookmarkStart w:id="447" w:name="_Ref215994896"/>
      <w:bookmarkStart w:id="448" w:name="_Toc246350677"/>
      <w:bookmarkStart w:id="449" w:name="_Toc287363916"/>
      <w:bookmarkStart w:id="450" w:name="_Toc390728352"/>
      <w:r w:rsidRPr="00A52AB8">
        <w:rPr>
          <w:rFonts w:ascii="Cambria" w:hAnsi="Cambria"/>
          <w:color w:val="000000" w:themeColor="text1"/>
        </w:rPr>
        <w:lastRenderedPageBreak/>
        <w:t>Table </w:t>
      </w:r>
      <w:r w:rsidR="0053363C" w:rsidRPr="00496A4D">
        <w:rPr>
          <w:rFonts w:ascii="Cambria" w:hAnsi="Cambria"/>
          <w:color w:val="000000" w:themeColor="text1"/>
        </w:rPr>
        <w:fldChar w:fldCharType="begin"/>
      </w:r>
      <w:r w:rsidR="0053363C" w:rsidRPr="00A52AB8">
        <w:rPr>
          <w:rFonts w:ascii="Cambria" w:hAnsi="Cambria"/>
          <w:color w:val="000000" w:themeColor="text1"/>
        </w:rPr>
        <w:instrText xml:space="preserve"> SEQ Table \* ARABIC \s 1 </w:instrText>
      </w:r>
      <w:r w:rsidR="0053363C" w:rsidRPr="00496A4D">
        <w:rPr>
          <w:rFonts w:ascii="Cambria" w:hAnsi="Cambria"/>
          <w:color w:val="000000" w:themeColor="text1"/>
        </w:rPr>
        <w:fldChar w:fldCharType="separate"/>
      </w:r>
      <w:r w:rsidR="00507A67">
        <w:rPr>
          <w:rFonts w:ascii="Cambria" w:hAnsi="Cambria"/>
          <w:noProof/>
          <w:color w:val="000000" w:themeColor="text1"/>
        </w:rPr>
        <w:t>1</w:t>
      </w:r>
      <w:r w:rsidR="0053363C" w:rsidRPr="00496A4D">
        <w:rPr>
          <w:rFonts w:ascii="Cambria" w:hAnsi="Cambria"/>
          <w:color w:val="000000" w:themeColor="text1"/>
        </w:rPr>
        <w:fldChar w:fldCharType="end"/>
      </w:r>
      <w:bookmarkEnd w:id="447"/>
      <w:r w:rsidR="00B00E27" w:rsidRPr="00A52AB8">
        <w:rPr>
          <w:rFonts w:ascii="Cambria" w:hAnsi="Cambria" w:cs="Calibri"/>
          <w:bCs w:val="0"/>
        </w:rPr>
        <w:t> </w:t>
      </w:r>
      <w:r w:rsidR="00B00E27" w:rsidRPr="00A52AB8">
        <w:rPr>
          <w:rFonts w:ascii="Cambria" w:hAnsi="Cambria"/>
        </w:rPr>
        <w:t>– </w:t>
      </w:r>
      <w:r w:rsidRPr="00A52AB8">
        <w:rPr>
          <w:rFonts w:ascii="Cambria" w:hAnsi="Cambria"/>
          <w:color w:val="000000" w:themeColor="text1"/>
        </w:rPr>
        <w:t>Operation precedence from highest (at top of table) to lowest (at bottom of table)</w:t>
      </w:r>
      <w:bookmarkEnd w:id="448"/>
      <w:bookmarkEnd w:id="449"/>
      <w:bookmarkEnd w:id="450"/>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95"/>
        <w:gridCol w:w="1162"/>
      </w:tblGrid>
      <w:tr w:rsidR="00547A58" w:rsidRPr="00A52AB8" w14:paraId="578D08AA" w14:textId="77777777" w:rsidTr="00466D1D">
        <w:trPr>
          <w:jc w:val="center"/>
        </w:trPr>
        <w:tc>
          <w:tcPr>
            <w:tcW w:w="5485" w:type="dxa"/>
            <w:gridSpan w:val="2"/>
            <w:vAlign w:val="center"/>
          </w:tcPr>
          <w:p w14:paraId="36F45C7D" w14:textId="77777777" w:rsidR="00547A58" w:rsidRPr="00A52AB8" w:rsidRDefault="00547A58">
            <w:pPr>
              <w:keepNext/>
              <w:keepLines/>
              <w:spacing w:before="120" w:after="120"/>
              <w:jc w:val="left"/>
              <w:rPr>
                <w:b/>
                <w:color w:val="000000" w:themeColor="text1"/>
              </w:rPr>
            </w:pPr>
            <w:r w:rsidRPr="00A52AB8">
              <w:rPr>
                <w:b/>
                <w:color w:val="000000" w:themeColor="text1"/>
              </w:rPr>
              <w:t>operations (with operands x, y, and z)</w:t>
            </w:r>
          </w:p>
        </w:tc>
      </w:tr>
      <w:tr w:rsidR="00547A58" w:rsidRPr="00A52AB8" w14:paraId="032B45EE" w14:textId="77777777" w:rsidTr="00466D1D">
        <w:trPr>
          <w:jc w:val="center"/>
        </w:trPr>
        <w:tc>
          <w:tcPr>
            <w:tcW w:w="4495" w:type="dxa"/>
            <w:tcBorders>
              <w:right w:val="nil"/>
            </w:tcBorders>
            <w:vAlign w:val="center"/>
          </w:tcPr>
          <w:p w14:paraId="5892591E" w14:textId="3AF8DF7E" w:rsidR="00547A58" w:rsidRPr="00A52AB8" w:rsidRDefault="00547A58" w:rsidP="004F7C57">
            <w:pPr>
              <w:keepNext/>
              <w:keepLines/>
              <w:spacing w:before="120" w:after="120"/>
              <w:jc w:val="left"/>
              <w:rPr>
                <w:color w:val="000000" w:themeColor="text1"/>
              </w:rPr>
            </w:pPr>
            <w:r w:rsidRPr="00A52AB8">
              <w:rPr>
                <w:color w:val="000000" w:themeColor="text1"/>
              </w:rPr>
              <w:t>"x++", "x</w:t>
            </w:r>
            <w:r w:rsidR="008768E9" w:rsidRPr="00A52AB8">
              <w:rPr>
                <w:color w:val="000000" w:themeColor="text1"/>
              </w:rPr>
              <w:t>−−</w:t>
            </w:r>
            <w:r w:rsidRPr="00A52AB8">
              <w:rPr>
                <w:color w:val="000000" w:themeColor="text1"/>
              </w:rPr>
              <w:t>"</w:t>
            </w:r>
          </w:p>
        </w:tc>
        <w:tc>
          <w:tcPr>
            <w:tcW w:w="990" w:type="dxa"/>
            <w:tcBorders>
              <w:left w:val="nil"/>
            </w:tcBorders>
            <w:vAlign w:val="center"/>
          </w:tcPr>
          <w:p w14:paraId="0171BB4E" w14:textId="77777777" w:rsidR="00547A58" w:rsidRPr="00A52AB8" w:rsidRDefault="00547A58" w:rsidP="004F7C57">
            <w:pPr>
              <w:keepNext/>
              <w:keepLines/>
              <w:spacing w:before="120" w:after="120"/>
              <w:jc w:val="left"/>
              <w:rPr>
                <w:color w:val="000000" w:themeColor="text1"/>
              </w:rPr>
            </w:pPr>
          </w:p>
        </w:tc>
      </w:tr>
      <w:tr w:rsidR="00547A58" w:rsidRPr="00A52AB8" w14:paraId="0A9B9BF0" w14:textId="77777777" w:rsidTr="00466D1D">
        <w:trPr>
          <w:jc w:val="center"/>
        </w:trPr>
        <w:tc>
          <w:tcPr>
            <w:tcW w:w="4495" w:type="dxa"/>
            <w:tcBorders>
              <w:right w:val="nil"/>
            </w:tcBorders>
            <w:vAlign w:val="center"/>
          </w:tcPr>
          <w:p w14:paraId="2E265D7B" w14:textId="77777777" w:rsidR="00547A58" w:rsidRPr="00A52AB8" w:rsidRDefault="00547A58" w:rsidP="004F7C57">
            <w:pPr>
              <w:keepNext/>
              <w:keepLines/>
              <w:spacing w:before="120" w:after="120"/>
              <w:jc w:val="left"/>
              <w:rPr>
                <w:color w:val="000000" w:themeColor="text1"/>
              </w:rPr>
            </w:pPr>
            <w:r w:rsidRPr="00A52AB8">
              <w:rPr>
                <w:color w:val="000000" w:themeColor="text1"/>
              </w:rPr>
              <w:t>"!x", "−x" (as a unary prefix operator)</w:t>
            </w:r>
          </w:p>
        </w:tc>
        <w:tc>
          <w:tcPr>
            <w:tcW w:w="990" w:type="dxa"/>
            <w:tcBorders>
              <w:left w:val="nil"/>
            </w:tcBorders>
            <w:vAlign w:val="center"/>
          </w:tcPr>
          <w:p w14:paraId="10DD087F" w14:textId="77777777" w:rsidR="00547A58" w:rsidRPr="00A52AB8" w:rsidRDefault="00547A58" w:rsidP="004F7C57">
            <w:pPr>
              <w:keepNext/>
              <w:keepLines/>
              <w:spacing w:before="120" w:after="120"/>
              <w:jc w:val="left"/>
              <w:rPr>
                <w:color w:val="000000" w:themeColor="text1"/>
              </w:rPr>
            </w:pPr>
          </w:p>
        </w:tc>
      </w:tr>
      <w:tr w:rsidR="00547A58" w:rsidRPr="00A52AB8" w14:paraId="4762F8E2" w14:textId="77777777" w:rsidTr="00466D1D">
        <w:trPr>
          <w:jc w:val="center"/>
        </w:trPr>
        <w:tc>
          <w:tcPr>
            <w:tcW w:w="4495" w:type="dxa"/>
            <w:tcBorders>
              <w:right w:val="nil"/>
            </w:tcBorders>
            <w:vAlign w:val="center"/>
          </w:tcPr>
          <w:p w14:paraId="0EB9ECF7" w14:textId="77777777" w:rsidR="00547A58" w:rsidRPr="00A52AB8" w:rsidRDefault="00547A58" w:rsidP="004F7C57">
            <w:pPr>
              <w:keepNext/>
              <w:keepLines/>
              <w:spacing w:before="120" w:after="120"/>
              <w:jc w:val="left"/>
              <w:rPr>
                <w:color w:val="000000" w:themeColor="text1"/>
              </w:rPr>
            </w:pPr>
            <w:r w:rsidRPr="00A52AB8">
              <w:rPr>
                <w:color w:val="000000" w:themeColor="text1"/>
              </w:rPr>
              <w:t>x</w:t>
            </w:r>
            <w:r w:rsidRPr="00A52AB8">
              <w:rPr>
                <w:color w:val="000000" w:themeColor="text1"/>
                <w:vertAlign w:val="superscript"/>
              </w:rPr>
              <w:t>y</w:t>
            </w:r>
          </w:p>
        </w:tc>
        <w:tc>
          <w:tcPr>
            <w:tcW w:w="990" w:type="dxa"/>
            <w:tcBorders>
              <w:left w:val="nil"/>
            </w:tcBorders>
            <w:vAlign w:val="center"/>
          </w:tcPr>
          <w:p w14:paraId="0DC4865B" w14:textId="77777777" w:rsidR="00547A58" w:rsidRPr="00A52AB8" w:rsidRDefault="00547A58" w:rsidP="004F7C57">
            <w:pPr>
              <w:keepNext/>
              <w:keepLines/>
              <w:spacing w:before="120" w:after="120"/>
              <w:jc w:val="left"/>
              <w:rPr>
                <w:color w:val="000000" w:themeColor="text1"/>
              </w:rPr>
            </w:pPr>
          </w:p>
        </w:tc>
      </w:tr>
      <w:tr w:rsidR="00547A58" w:rsidRPr="00A52AB8" w14:paraId="7EB912AD" w14:textId="77777777" w:rsidTr="00466D1D">
        <w:trPr>
          <w:jc w:val="center"/>
        </w:trPr>
        <w:tc>
          <w:tcPr>
            <w:tcW w:w="4495" w:type="dxa"/>
            <w:tcBorders>
              <w:right w:val="nil"/>
            </w:tcBorders>
            <w:vAlign w:val="center"/>
          </w:tcPr>
          <w:p w14:paraId="3AF2D18D" w14:textId="77777777" w:rsidR="00547A58" w:rsidRPr="00A52AB8" w:rsidRDefault="00547A58" w:rsidP="004F7C57">
            <w:pPr>
              <w:keepNext/>
              <w:keepLines/>
              <w:spacing w:before="120" w:after="120"/>
              <w:jc w:val="left"/>
              <w:rPr>
                <w:color w:val="000000" w:themeColor="text1"/>
              </w:rPr>
            </w:pPr>
            <w:r w:rsidRPr="00A52AB8">
              <w:rPr>
                <w:color w:val="000000" w:themeColor="text1"/>
              </w:rPr>
              <w:t>"x * y", "x / y", "x </w:t>
            </w:r>
            <w:r w:rsidR="00FD4C0B" w:rsidRPr="00A52AB8">
              <w:rPr>
                <w:rFonts w:cs="Symbol"/>
                <w:color w:val="000000" w:themeColor="text1"/>
              </w:rPr>
              <w:sym w:font="Symbol" w:char="F0B8"/>
            </w:r>
            <w:r w:rsidRPr="00A52AB8">
              <w:rPr>
                <w:color w:val="000000" w:themeColor="text1"/>
              </w:rPr>
              <w:t> y"</w:t>
            </w:r>
            <w:r w:rsidR="00FD4C0B" w:rsidRPr="00A52AB8">
              <w:rPr>
                <w:rFonts w:cs="Symbol"/>
                <w:color w:val="000000" w:themeColor="text1"/>
              </w:rPr>
              <w:t xml:space="preserve">, </w:t>
            </w:r>
            <w:r w:rsidRPr="00A52AB8">
              <w:rPr>
                <w:color w:val="000000" w:themeColor="text1"/>
              </w:rPr>
              <w:t>"</w:t>
            </w:r>
            <m:oMath>
              <m:f>
                <m:fPr>
                  <m:ctrlPr>
                    <w:rPr>
                      <w:rFonts w:ascii="Cambria Math" w:hAnsi="Cambria Math"/>
                      <w:color w:val="000000" w:themeColor="text1"/>
                    </w:rPr>
                  </m:ctrlPr>
                </m:fPr>
                <m:num>
                  <m:r>
                    <m:rPr>
                      <m:sty m:val="p"/>
                    </m:rPr>
                    <w:rPr>
                      <w:rFonts w:ascii="Cambria Math" w:hAnsi="Cambria Math"/>
                      <w:color w:val="000000" w:themeColor="text1"/>
                    </w:rPr>
                    <m:t>x</m:t>
                  </m:r>
                </m:num>
                <m:den>
                  <m:r>
                    <m:rPr>
                      <m:sty m:val="p"/>
                    </m:rPr>
                    <w:rPr>
                      <w:rFonts w:ascii="Cambria Math" w:hAnsi="Cambria Math"/>
                      <w:color w:val="000000" w:themeColor="text1"/>
                    </w:rPr>
                    <m:t>y</m:t>
                  </m:r>
                </m:den>
              </m:f>
            </m:oMath>
            <w:r w:rsidRPr="00A52AB8">
              <w:rPr>
                <w:color w:val="000000" w:themeColor="text1"/>
              </w:rPr>
              <w:t>", "x % y"</w:t>
            </w:r>
          </w:p>
        </w:tc>
        <w:tc>
          <w:tcPr>
            <w:tcW w:w="990" w:type="dxa"/>
            <w:tcBorders>
              <w:left w:val="nil"/>
            </w:tcBorders>
            <w:vAlign w:val="center"/>
          </w:tcPr>
          <w:p w14:paraId="105DEF7C" w14:textId="77777777" w:rsidR="00547A58" w:rsidRPr="00A52AB8" w:rsidRDefault="00547A58" w:rsidP="004F7C57">
            <w:pPr>
              <w:keepNext/>
              <w:keepLines/>
              <w:spacing w:before="120" w:after="120"/>
              <w:jc w:val="left"/>
              <w:rPr>
                <w:color w:val="000000" w:themeColor="text1"/>
              </w:rPr>
            </w:pPr>
          </w:p>
        </w:tc>
      </w:tr>
      <w:tr w:rsidR="00547A58" w:rsidRPr="00A52AB8" w14:paraId="5F907D4A" w14:textId="77777777" w:rsidTr="00466D1D">
        <w:trPr>
          <w:jc w:val="center"/>
        </w:trPr>
        <w:tc>
          <w:tcPr>
            <w:tcW w:w="4495" w:type="dxa"/>
            <w:tcBorders>
              <w:right w:val="nil"/>
            </w:tcBorders>
            <w:vAlign w:val="center"/>
          </w:tcPr>
          <w:p w14:paraId="1D0E849D" w14:textId="77777777" w:rsidR="00547A58" w:rsidRPr="00A52AB8" w:rsidRDefault="00547A58" w:rsidP="004F7C57">
            <w:pPr>
              <w:keepNext/>
              <w:keepLines/>
              <w:spacing w:before="120" w:after="120"/>
              <w:jc w:val="left"/>
              <w:rPr>
                <w:color w:val="000000" w:themeColor="text1"/>
              </w:rPr>
            </w:pPr>
            <w:r w:rsidRPr="00A52AB8">
              <w:rPr>
                <w:color w:val="000000" w:themeColor="text1"/>
              </w:rPr>
              <w:t xml:space="preserve">"x + y", "x − y" (as a two-argument operator), </w:t>
            </w:r>
          </w:p>
        </w:tc>
        <w:tc>
          <w:tcPr>
            <w:tcW w:w="990" w:type="dxa"/>
            <w:tcBorders>
              <w:left w:val="nil"/>
            </w:tcBorders>
            <w:vAlign w:val="center"/>
          </w:tcPr>
          <w:p w14:paraId="510247FC" w14:textId="77777777" w:rsidR="00547A58" w:rsidRPr="00A52AB8" w:rsidRDefault="00547A58" w:rsidP="004F7C57">
            <w:pPr>
              <w:keepNext/>
              <w:keepLines/>
              <w:spacing w:before="120" w:after="120"/>
              <w:jc w:val="left"/>
              <w:rPr>
                <w:color w:val="000000" w:themeColor="text1"/>
              </w:rPr>
            </w:pPr>
            <m:oMathPara>
              <m:oMath>
                <m:r>
                  <w:rPr>
                    <w:rFonts w:ascii="Cambria Math" w:hAnsi="Cambria Math"/>
                    <w:color w:val="000000" w:themeColor="text1"/>
                  </w:rPr>
                  <m:t>"</m:t>
                </m:r>
                <m:nary>
                  <m:naryPr>
                    <m:chr m:val="∑"/>
                    <m:limLoc m:val="undOvr"/>
                    <m:ctrlPr>
                      <w:rPr>
                        <w:rFonts w:ascii="Cambria Math" w:hAnsi="Cambria Math"/>
                        <w:color w:val="000000" w:themeColor="text1"/>
                      </w:rPr>
                    </m:ctrlPr>
                  </m:naryPr>
                  <m:sub>
                    <m:r>
                      <m:rPr>
                        <m:sty m:val="p"/>
                      </m:rPr>
                      <w:rPr>
                        <w:rFonts w:ascii="Cambria Math" w:hAnsi="Cambria Math"/>
                        <w:color w:val="000000" w:themeColor="text1"/>
                      </w:rPr>
                      <m:t>i=x</m:t>
                    </m:r>
                  </m:sub>
                  <m:sup>
                    <m:r>
                      <m:rPr>
                        <m:sty m:val="p"/>
                      </m:rPr>
                      <w:rPr>
                        <w:rFonts w:ascii="Cambria Math" w:hAnsi="Cambria Math"/>
                        <w:color w:val="000000" w:themeColor="text1"/>
                      </w:rPr>
                      <m:t>y</m:t>
                    </m:r>
                  </m:sup>
                  <m:e>
                    <m:r>
                      <w:rPr>
                        <w:rFonts w:ascii="Cambria Math" w:hAnsi="Cambria Math"/>
                        <w:color w:val="000000" w:themeColor="text1"/>
                      </w:rPr>
                      <m:t>f</m:t>
                    </m:r>
                    <m:d>
                      <m:dPr>
                        <m:ctrlPr>
                          <w:rPr>
                            <w:rFonts w:ascii="Cambria Math" w:hAnsi="Cambria Math"/>
                            <w:color w:val="000000" w:themeColor="text1"/>
                          </w:rPr>
                        </m:ctrlPr>
                      </m:dPr>
                      <m:e>
                        <m:r>
                          <m:rPr>
                            <m:sty m:val="p"/>
                          </m:rPr>
                          <w:rPr>
                            <w:rFonts w:ascii="Cambria Math" w:hAnsi="Cambria Math"/>
                            <w:color w:val="000000" w:themeColor="text1"/>
                          </w:rPr>
                          <m:t>i</m:t>
                        </m:r>
                      </m:e>
                    </m:d>
                  </m:e>
                </m:nary>
                <m:r>
                  <w:rPr>
                    <w:rFonts w:ascii="Cambria Math" w:hAnsi="Cambria Math"/>
                    <w:color w:val="000000" w:themeColor="text1"/>
                  </w:rPr>
                  <m:t>"</m:t>
                </m:r>
              </m:oMath>
            </m:oMathPara>
          </w:p>
        </w:tc>
      </w:tr>
      <w:tr w:rsidR="00547A58" w:rsidRPr="00A52AB8" w14:paraId="4B51061B" w14:textId="77777777" w:rsidTr="00466D1D">
        <w:trPr>
          <w:jc w:val="center"/>
        </w:trPr>
        <w:tc>
          <w:tcPr>
            <w:tcW w:w="4495" w:type="dxa"/>
            <w:tcBorders>
              <w:right w:val="nil"/>
            </w:tcBorders>
            <w:vAlign w:val="center"/>
          </w:tcPr>
          <w:p w14:paraId="45236B8E" w14:textId="2BB3B95D" w:rsidR="00547A58" w:rsidRPr="00A52AB8" w:rsidRDefault="00547A58" w:rsidP="004F7C57">
            <w:pPr>
              <w:keepNext/>
              <w:keepLines/>
              <w:spacing w:before="120" w:after="120"/>
              <w:jc w:val="left"/>
              <w:rPr>
                <w:color w:val="000000" w:themeColor="text1"/>
              </w:rPr>
            </w:pPr>
            <w:r w:rsidRPr="00A52AB8">
              <w:rPr>
                <w:color w:val="000000" w:themeColor="text1"/>
              </w:rPr>
              <w:t>"x &lt;&lt; y", "x</w:t>
            </w:r>
            <w:r w:rsidR="008768E9" w:rsidRPr="00A52AB8">
              <w:rPr>
                <w:color w:val="000000" w:themeColor="text1"/>
              </w:rPr>
              <w:t> &gt;&gt; </w:t>
            </w:r>
            <w:r w:rsidRPr="00A52AB8">
              <w:rPr>
                <w:color w:val="000000" w:themeColor="text1"/>
              </w:rPr>
              <w:t>y"</w:t>
            </w:r>
          </w:p>
        </w:tc>
        <w:tc>
          <w:tcPr>
            <w:tcW w:w="990" w:type="dxa"/>
            <w:tcBorders>
              <w:left w:val="nil"/>
            </w:tcBorders>
            <w:vAlign w:val="center"/>
          </w:tcPr>
          <w:p w14:paraId="7AE20119" w14:textId="77777777" w:rsidR="00547A58" w:rsidRPr="00A52AB8" w:rsidRDefault="00547A58" w:rsidP="004F7C57">
            <w:pPr>
              <w:keepNext/>
              <w:keepLines/>
              <w:spacing w:before="120" w:after="120"/>
              <w:jc w:val="left"/>
              <w:rPr>
                <w:color w:val="000000" w:themeColor="text1"/>
              </w:rPr>
            </w:pPr>
          </w:p>
        </w:tc>
      </w:tr>
      <w:tr w:rsidR="00547A58" w:rsidRPr="00A52AB8" w14:paraId="07107F0D" w14:textId="77777777" w:rsidTr="00466D1D">
        <w:trPr>
          <w:jc w:val="center"/>
        </w:trPr>
        <w:tc>
          <w:tcPr>
            <w:tcW w:w="4495" w:type="dxa"/>
            <w:tcBorders>
              <w:right w:val="nil"/>
            </w:tcBorders>
            <w:vAlign w:val="center"/>
          </w:tcPr>
          <w:p w14:paraId="7E64148B" w14:textId="2F6FB0FB" w:rsidR="00547A58" w:rsidRPr="00A52AB8" w:rsidRDefault="00547A58" w:rsidP="004F7C57">
            <w:pPr>
              <w:keepNext/>
              <w:keepLines/>
              <w:spacing w:before="120" w:after="120"/>
              <w:jc w:val="left"/>
              <w:rPr>
                <w:color w:val="000000" w:themeColor="text1"/>
              </w:rPr>
            </w:pPr>
            <w:r w:rsidRPr="00A52AB8">
              <w:rPr>
                <w:color w:val="000000" w:themeColor="text1"/>
              </w:rPr>
              <w:t>"x &lt; y", "x</w:t>
            </w:r>
            <w:r w:rsidR="008768E9" w:rsidRPr="00A52AB8">
              <w:rPr>
                <w:color w:val="000000" w:themeColor="text1"/>
              </w:rPr>
              <w:t> </w:t>
            </w:r>
            <w:r w:rsidR="00A234FD" w:rsidRPr="00A52AB8">
              <w:rPr>
                <w:color w:val="000000" w:themeColor="text1"/>
              </w:rPr>
              <w:t>&lt;=</w:t>
            </w:r>
            <w:r w:rsidR="00D47707" w:rsidRPr="00A52AB8">
              <w:rPr>
                <w:color w:val="000000" w:themeColor="text1"/>
              </w:rPr>
              <w:t> </w:t>
            </w:r>
            <w:r w:rsidRPr="00A52AB8">
              <w:rPr>
                <w:color w:val="000000" w:themeColor="text1"/>
              </w:rPr>
              <w:t>y", "x &gt; y", "x</w:t>
            </w:r>
            <w:r w:rsidR="008768E9" w:rsidRPr="00A52AB8">
              <w:rPr>
                <w:color w:val="000000" w:themeColor="text1"/>
              </w:rPr>
              <w:t> </w:t>
            </w:r>
            <w:r w:rsidR="00A234FD" w:rsidRPr="00A52AB8">
              <w:rPr>
                <w:color w:val="000000" w:themeColor="text1"/>
              </w:rPr>
              <w:t>&gt;=</w:t>
            </w:r>
            <w:r w:rsidR="00D47707" w:rsidRPr="00A52AB8">
              <w:rPr>
                <w:color w:val="000000" w:themeColor="text1"/>
              </w:rPr>
              <w:t> </w:t>
            </w:r>
            <w:r w:rsidRPr="00A52AB8">
              <w:rPr>
                <w:color w:val="000000" w:themeColor="text1"/>
              </w:rPr>
              <w:t>y"</w:t>
            </w:r>
          </w:p>
        </w:tc>
        <w:tc>
          <w:tcPr>
            <w:tcW w:w="990" w:type="dxa"/>
            <w:tcBorders>
              <w:left w:val="nil"/>
            </w:tcBorders>
            <w:vAlign w:val="center"/>
          </w:tcPr>
          <w:p w14:paraId="6075176C" w14:textId="77777777" w:rsidR="00547A58" w:rsidRPr="00A52AB8" w:rsidRDefault="00547A58" w:rsidP="004F7C57">
            <w:pPr>
              <w:keepNext/>
              <w:keepLines/>
              <w:spacing w:before="120" w:after="120"/>
              <w:jc w:val="left"/>
              <w:rPr>
                <w:color w:val="000000" w:themeColor="text1"/>
              </w:rPr>
            </w:pPr>
          </w:p>
        </w:tc>
      </w:tr>
      <w:tr w:rsidR="00547A58" w:rsidRPr="00A52AB8" w14:paraId="4AA7D0F8" w14:textId="77777777" w:rsidTr="00466D1D">
        <w:trPr>
          <w:jc w:val="center"/>
        </w:trPr>
        <w:tc>
          <w:tcPr>
            <w:tcW w:w="4495" w:type="dxa"/>
            <w:tcBorders>
              <w:right w:val="nil"/>
            </w:tcBorders>
            <w:vAlign w:val="center"/>
          </w:tcPr>
          <w:p w14:paraId="1EE6D005" w14:textId="7FB64769" w:rsidR="00547A58" w:rsidRPr="00A52AB8" w:rsidRDefault="00547A58" w:rsidP="004F7C57">
            <w:pPr>
              <w:keepNext/>
              <w:keepLines/>
              <w:spacing w:before="120" w:after="120"/>
              <w:jc w:val="left"/>
              <w:rPr>
                <w:color w:val="000000" w:themeColor="text1"/>
              </w:rPr>
            </w:pPr>
            <w:r w:rsidRPr="00A52AB8">
              <w:rPr>
                <w:color w:val="000000" w:themeColor="text1"/>
              </w:rPr>
              <w:t>"x</w:t>
            </w:r>
            <w:r w:rsidR="001F262A" w:rsidRPr="00A52AB8">
              <w:rPr>
                <w:color w:val="000000" w:themeColor="text1"/>
              </w:rPr>
              <w:t> =</w:t>
            </w:r>
            <w:r w:rsidR="00D47707" w:rsidRPr="00A52AB8">
              <w:rPr>
                <w:color w:val="000000" w:themeColor="text1"/>
              </w:rPr>
              <w:t>= </w:t>
            </w:r>
            <w:r w:rsidRPr="00A52AB8">
              <w:rPr>
                <w:color w:val="000000" w:themeColor="text1"/>
              </w:rPr>
              <w:t>y", "x </w:t>
            </w:r>
            <w:r w:rsidR="00E963F3" w:rsidRPr="00A52AB8">
              <w:rPr>
                <w:color w:val="000000" w:themeColor="text1"/>
              </w:rPr>
              <w:t>!=</w:t>
            </w:r>
            <w:r w:rsidR="00D47707" w:rsidRPr="00A52AB8">
              <w:rPr>
                <w:color w:val="000000" w:themeColor="text1"/>
              </w:rPr>
              <w:t> </w:t>
            </w:r>
            <w:r w:rsidRPr="00A52AB8">
              <w:rPr>
                <w:color w:val="000000" w:themeColor="text1"/>
              </w:rPr>
              <w:t>y"</w:t>
            </w:r>
          </w:p>
        </w:tc>
        <w:tc>
          <w:tcPr>
            <w:tcW w:w="990" w:type="dxa"/>
            <w:tcBorders>
              <w:left w:val="nil"/>
            </w:tcBorders>
            <w:vAlign w:val="center"/>
          </w:tcPr>
          <w:p w14:paraId="17C70F6F" w14:textId="77777777" w:rsidR="00547A58" w:rsidRPr="00A52AB8" w:rsidRDefault="00547A58" w:rsidP="004F7C57">
            <w:pPr>
              <w:keepNext/>
              <w:keepLines/>
              <w:spacing w:before="120" w:after="120"/>
              <w:jc w:val="left"/>
              <w:rPr>
                <w:color w:val="000000" w:themeColor="text1"/>
              </w:rPr>
            </w:pPr>
          </w:p>
        </w:tc>
      </w:tr>
      <w:tr w:rsidR="00547A58" w:rsidRPr="00A52AB8" w14:paraId="64C975B4" w14:textId="77777777" w:rsidTr="00466D1D">
        <w:trPr>
          <w:jc w:val="center"/>
        </w:trPr>
        <w:tc>
          <w:tcPr>
            <w:tcW w:w="4495" w:type="dxa"/>
            <w:tcBorders>
              <w:right w:val="nil"/>
            </w:tcBorders>
            <w:vAlign w:val="center"/>
          </w:tcPr>
          <w:p w14:paraId="2308840D" w14:textId="77777777" w:rsidR="00547A58" w:rsidRPr="00A52AB8" w:rsidRDefault="00547A58" w:rsidP="004F7C57">
            <w:pPr>
              <w:keepNext/>
              <w:keepLines/>
              <w:spacing w:before="120" w:after="120"/>
              <w:jc w:val="left"/>
              <w:rPr>
                <w:color w:val="000000" w:themeColor="text1"/>
              </w:rPr>
            </w:pPr>
            <w:r w:rsidRPr="00A52AB8">
              <w:rPr>
                <w:color w:val="000000" w:themeColor="text1"/>
              </w:rPr>
              <w:t>"x &amp; y"</w:t>
            </w:r>
          </w:p>
        </w:tc>
        <w:tc>
          <w:tcPr>
            <w:tcW w:w="990" w:type="dxa"/>
            <w:tcBorders>
              <w:left w:val="nil"/>
            </w:tcBorders>
            <w:vAlign w:val="center"/>
          </w:tcPr>
          <w:p w14:paraId="18BEA4EA" w14:textId="77777777" w:rsidR="00547A58" w:rsidRPr="00A52AB8" w:rsidRDefault="00547A58" w:rsidP="004F7C57">
            <w:pPr>
              <w:keepNext/>
              <w:keepLines/>
              <w:spacing w:before="120" w:after="120"/>
              <w:jc w:val="left"/>
              <w:rPr>
                <w:color w:val="000000" w:themeColor="text1"/>
              </w:rPr>
            </w:pPr>
          </w:p>
        </w:tc>
      </w:tr>
      <w:tr w:rsidR="00547A58" w:rsidRPr="00A52AB8" w14:paraId="5FB30519" w14:textId="77777777" w:rsidTr="00466D1D">
        <w:trPr>
          <w:jc w:val="center"/>
        </w:trPr>
        <w:tc>
          <w:tcPr>
            <w:tcW w:w="4495" w:type="dxa"/>
            <w:tcBorders>
              <w:right w:val="nil"/>
            </w:tcBorders>
            <w:vAlign w:val="center"/>
          </w:tcPr>
          <w:p w14:paraId="1FB56C49" w14:textId="77777777" w:rsidR="00547A58" w:rsidRPr="00A52AB8" w:rsidRDefault="00547A58" w:rsidP="004F7C57">
            <w:pPr>
              <w:keepNext/>
              <w:keepLines/>
              <w:spacing w:before="120" w:after="120"/>
              <w:jc w:val="left"/>
              <w:rPr>
                <w:color w:val="000000" w:themeColor="text1"/>
              </w:rPr>
            </w:pPr>
            <w:r w:rsidRPr="00A52AB8">
              <w:rPr>
                <w:color w:val="000000" w:themeColor="text1"/>
              </w:rPr>
              <w:t>"x | y"</w:t>
            </w:r>
          </w:p>
        </w:tc>
        <w:tc>
          <w:tcPr>
            <w:tcW w:w="990" w:type="dxa"/>
            <w:tcBorders>
              <w:left w:val="nil"/>
            </w:tcBorders>
            <w:vAlign w:val="center"/>
          </w:tcPr>
          <w:p w14:paraId="0E07E398" w14:textId="77777777" w:rsidR="00547A58" w:rsidRPr="00A52AB8" w:rsidRDefault="00547A58" w:rsidP="004F7C57">
            <w:pPr>
              <w:keepNext/>
              <w:keepLines/>
              <w:spacing w:before="120" w:after="120"/>
              <w:jc w:val="left"/>
              <w:rPr>
                <w:color w:val="000000" w:themeColor="text1"/>
              </w:rPr>
            </w:pPr>
          </w:p>
        </w:tc>
      </w:tr>
      <w:tr w:rsidR="00547A58" w:rsidRPr="00A52AB8" w14:paraId="656A2897" w14:textId="77777777" w:rsidTr="00466D1D">
        <w:trPr>
          <w:jc w:val="center"/>
        </w:trPr>
        <w:tc>
          <w:tcPr>
            <w:tcW w:w="4495" w:type="dxa"/>
            <w:tcBorders>
              <w:right w:val="nil"/>
            </w:tcBorders>
            <w:vAlign w:val="center"/>
          </w:tcPr>
          <w:p w14:paraId="71D789D6" w14:textId="75E42C77" w:rsidR="00547A58" w:rsidRPr="00A52AB8" w:rsidRDefault="00547A58" w:rsidP="004F7C57">
            <w:pPr>
              <w:keepNext/>
              <w:keepLines/>
              <w:spacing w:before="120" w:after="120"/>
              <w:jc w:val="left"/>
              <w:rPr>
                <w:color w:val="000000" w:themeColor="text1"/>
              </w:rPr>
            </w:pPr>
            <w:r w:rsidRPr="00A52AB8">
              <w:rPr>
                <w:color w:val="000000" w:themeColor="text1"/>
              </w:rPr>
              <w:t>"x</w:t>
            </w:r>
            <w:r w:rsidR="00562D0B" w:rsidRPr="00A52AB8">
              <w:rPr>
                <w:color w:val="000000" w:themeColor="text1"/>
              </w:rPr>
              <w:t> &amp;&amp; </w:t>
            </w:r>
            <w:r w:rsidRPr="00A52AB8">
              <w:rPr>
                <w:color w:val="000000" w:themeColor="text1"/>
              </w:rPr>
              <w:t>y"</w:t>
            </w:r>
          </w:p>
        </w:tc>
        <w:tc>
          <w:tcPr>
            <w:tcW w:w="990" w:type="dxa"/>
            <w:tcBorders>
              <w:left w:val="nil"/>
            </w:tcBorders>
            <w:vAlign w:val="center"/>
          </w:tcPr>
          <w:p w14:paraId="74CFDD4F" w14:textId="77777777" w:rsidR="00547A58" w:rsidRPr="00A52AB8" w:rsidRDefault="00547A58" w:rsidP="004F7C57">
            <w:pPr>
              <w:keepNext/>
              <w:keepLines/>
              <w:spacing w:before="120" w:after="120"/>
              <w:jc w:val="left"/>
              <w:rPr>
                <w:color w:val="000000" w:themeColor="text1"/>
              </w:rPr>
            </w:pPr>
          </w:p>
        </w:tc>
      </w:tr>
      <w:tr w:rsidR="00547A58" w:rsidRPr="00A52AB8" w14:paraId="466C1486" w14:textId="77777777" w:rsidTr="00466D1D">
        <w:trPr>
          <w:jc w:val="center"/>
        </w:trPr>
        <w:tc>
          <w:tcPr>
            <w:tcW w:w="4495" w:type="dxa"/>
            <w:tcBorders>
              <w:right w:val="nil"/>
            </w:tcBorders>
            <w:vAlign w:val="center"/>
          </w:tcPr>
          <w:p w14:paraId="34A423AA" w14:textId="3D39A919" w:rsidR="00547A58" w:rsidRPr="00A52AB8" w:rsidRDefault="00547A58" w:rsidP="004F7C57">
            <w:pPr>
              <w:keepNext/>
              <w:keepLines/>
              <w:spacing w:before="120" w:after="120"/>
              <w:jc w:val="left"/>
              <w:rPr>
                <w:color w:val="000000" w:themeColor="text1"/>
              </w:rPr>
            </w:pPr>
            <w:r w:rsidRPr="00A52AB8">
              <w:rPr>
                <w:color w:val="000000" w:themeColor="text1"/>
              </w:rPr>
              <w:t>"x </w:t>
            </w:r>
            <w:r w:rsidR="008768E9" w:rsidRPr="00A52AB8">
              <w:rPr>
                <w:color w:val="000000" w:themeColor="text1"/>
              </w:rPr>
              <w:t>||</w:t>
            </w:r>
            <w:r w:rsidRPr="00A52AB8">
              <w:rPr>
                <w:color w:val="000000" w:themeColor="text1"/>
              </w:rPr>
              <w:t> y"</w:t>
            </w:r>
          </w:p>
        </w:tc>
        <w:tc>
          <w:tcPr>
            <w:tcW w:w="990" w:type="dxa"/>
            <w:tcBorders>
              <w:left w:val="nil"/>
            </w:tcBorders>
            <w:vAlign w:val="center"/>
          </w:tcPr>
          <w:p w14:paraId="17F8FF6F" w14:textId="77777777" w:rsidR="00547A58" w:rsidRPr="00A52AB8" w:rsidRDefault="00547A58" w:rsidP="004F7C57">
            <w:pPr>
              <w:keepNext/>
              <w:keepLines/>
              <w:spacing w:before="120" w:after="120"/>
              <w:jc w:val="left"/>
              <w:rPr>
                <w:color w:val="000000" w:themeColor="text1"/>
              </w:rPr>
            </w:pPr>
          </w:p>
        </w:tc>
      </w:tr>
      <w:tr w:rsidR="00547A58" w:rsidRPr="00A52AB8" w14:paraId="01EC2AA2" w14:textId="77777777" w:rsidTr="00466D1D">
        <w:trPr>
          <w:jc w:val="center"/>
        </w:trPr>
        <w:tc>
          <w:tcPr>
            <w:tcW w:w="4495" w:type="dxa"/>
            <w:tcBorders>
              <w:right w:val="nil"/>
            </w:tcBorders>
            <w:vAlign w:val="center"/>
          </w:tcPr>
          <w:p w14:paraId="3B5C324B" w14:textId="77777777" w:rsidR="00547A58" w:rsidRPr="00A52AB8" w:rsidRDefault="00547A58" w:rsidP="004F7C57">
            <w:pPr>
              <w:keepNext/>
              <w:keepLines/>
              <w:spacing w:before="120" w:after="120"/>
              <w:jc w:val="left"/>
              <w:rPr>
                <w:color w:val="000000" w:themeColor="text1"/>
              </w:rPr>
            </w:pPr>
            <w:r w:rsidRPr="00A52AB8">
              <w:rPr>
                <w:color w:val="000000" w:themeColor="text1"/>
              </w:rPr>
              <w:t>"x ? y : z"</w:t>
            </w:r>
          </w:p>
        </w:tc>
        <w:tc>
          <w:tcPr>
            <w:tcW w:w="990" w:type="dxa"/>
            <w:tcBorders>
              <w:left w:val="nil"/>
            </w:tcBorders>
            <w:vAlign w:val="center"/>
          </w:tcPr>
          <w:p w14:paraId="5B024A60" w14:textId="77777777" w:rsidR="00547A58" w:rsidRPr="00A52AB8" w:rsidRDefault="00547A58" w:rsidP="004F7C57">
            <w:pPr>
              <w:keepNext/>
              <w:keepLines/>
              <w:spacing w:before="120" w:after="120"/>
              <w:jc w:val="left"/>
              <w:rPr>
                <w:color w:val="000000" w:themeColor="text1"/>
              </w:rPr>
            </w:pPr>
          </w:p>
        </w:tc>
      </w:tr>
      <w:tr w:rsidR="00547A58" w:rsidRPr="00A52AB8" w14:paraId="4903B46B" w14:textId="77777777" w:rsidTr="00466D1D">
        <w:trPr>
          <w:jc w:val="center"/>
        </w:trPr>
        <w:tc>
          <w:tcPr>
            <w:tcW w:w="4495" w:type="dxa"/>
            <w:tcBorders>
              <w:right w:val="nil"/>
            </w:tcBorders>
            <w:vAlign w:val="center"/>
          </w:tcPr>
          <w:p w14:paraId="5C2C2F97" w14:textId="77777777" w:rsidR="00547A58" w:rsidRPr="00A52AB8" w:rsidRDefault="00547A58" w:rsidP="004F7C57">
            <w:pPr>
              <w:keepNext/>
              <w:keepLines/>
              <w:spacing w:before="120" w:after="120"/>
              <w:jc w:val="left"/>
              <w:rPr>
                <w:color w:val="000000" w:themeColor="text1"/>
              </w:rPr>
            </w:pPr>
            <w:r w:rsidRPr="00A52AB8">
              <w:rPr>
                <w:color w:val="000000" w:themeColor="text1"/>
              </w:rPr>
              <w:t>"x..y"</w:t>
            </w:r>
          </w:p>
        </w:tc>
        <w:tc>
          <w:tcPr>
            <w:tcW w:w="990" w:type="dxa"/>
            <w:tcBorders>
              <w:left w:val="nil"/>
            </w:tcBorders>
            <w:vAlign w:val="center"/>
          </w:tcPr>
          <w:p w14:paraId="262A8A2D" w14:textId="77777777" w:rsidR="00547A58" w:rsidRPr="00A52AB8" w:rsidRDefault="00547A58" w:rsidP="004F7C57">
            <w:pPr>
              <w:keepNext/>
              <w:keepLines/>
              <w:spacing w:before="120" w:after="120"/>
              <w:jc w:val="left"/>
              <w:rPr>
                <w:color w:val="000000" w:themeColor="text1"/>
              </w:rPr>
            </w:pPr>
          </w:p>
        </w:tc>
      </w:tr>
      <w:tr w:rsidR="00547A58" w:rsidRPr="00A52AB8" w14:paraId="64513EEC" w14:textId="77777777" w:rsidTr="00466D1D">
        <w:trPr>
          <w:jc w:val="center"/>
        </w:trPr>
        <w:tc>
          <w:tcPr>
            <w:tcW w:w="4495" w:type="dxa"/>
            <w:tcBorders>
              <w:right w:val="nil"/>
            </w:tcBorders>
            <w:vAlign w:val="center"/>
          </w:tcPr>
          <w:p w14:paraId="2E2D3F12" w14:textId="2063F29A" w:rsidR="00547A58" w:rsidRPr="00A52AB8" w:rsidRDefault="00547A58" w:rsidP="004F7C57">
            <w:pPr>
              <w:keepNext/>
              <w:keepLines/>
              <w:spacing w:before="120" w:after="120"/>
              <w:jc w:val="left"/>
              <w:rPr>
                <w:color w:val="000000" w:themeColor="text1"/>
              </w:rPr>
            </w:pPr>
            <w:r w:rsidRPr="00A52AB8">
              <w:rPr>
                <w:color w:val="000000" w:themeColor="text1"/>
              </w:rPr>
              <w:t>"x</w:t>
            </w:r>
            <w:r w:rsidR="00D47707" w:rsidRPr="00A52AB8">
              <w:rPr>
                <w:color w:val="000000" w:themeColor="text1"/>
              </w:rPr>
              <w:t> = </w:t>
            </w:r>
            <w:r w:rsidRPr="00A52AB8">
              <w:rPr>
                <w:color w:val="000000" w:themeColor="text1"/>
              </w:rPr>
              <w:t>y", "x +</w:t>
            </w:r>
            <w:r w:rsidR="00D47707" w:rsidRPr="00A52AB8">
              <w:rPr>
                <w:color w:val="000000" w:themeColor="text1"/>
              </w:rPr>
              <w:t>= </w:t>
            </w:r>
            <w:r w:rsidRPr="00A52AB8">
              <w:rPr>
                <w:color w:val="000000" w:themeColor="text1"/>
              </w:rPr>
              <w:t>y", "x −</w:t>
            </w:r>
            <w:r w:rsidR="00D47707" w:rsidRPr="00A52AB8">
              <w:rPr>
                <w:color w:val="000000" w:themeColor="text1"/>
              </w:rPr>
              <w:t>= </w:t>
            </w:r>
            <w:r w:rsidRPr="00A52AB8">
              <w:rPr>
                <w:color w:val="000000" w:themeColor="text1"/>
              </w:rPr>
              <w:t>y"</w:t>
            </w:r>
          </w:p>
        </w:tc>
        <w:tc>
          <w:tcPr>
            <w:tcW w:w="990" w:type="dxa"/>
            <w:tcBorders>
              <w:left w:val="nil"/>
            </w:tcBorders>
            <w:vAlign w:val="center"/>
          </w:tcPr>
          <w:p w14:paraId="18D952FC" w14:textId="77777777" w:rsidR="00547A58" w:rsidRPr="00A52AB8" w:rsidRDefault="00547A58" w:rsidP="004F7C57">
            <w:pPr>
              <w:keepNext/>
              <w:keepLines/>
              <w:spacing w:before="120" w:after="120"/>
              <w:jc w:val="left"/>
              <w:rPr>
                <w:color w:val="000000" w:themeColor="text1"/>
              </w:rPr>
            </w:pPr>
          </w:p>
        </w:tc>
      </w:tr>
    </w:tbl>
    <w:p w14:paraId="1BE7D87A" w14:textId="4896BE59" w:rsidR="00120E20" w:rsidRPr="00A52AB8" w:rsidRDefault="00120E20" w:rsidP="004F7C57">
      <w:pPr>
        <w:pStyle w:val="Heading2"/>
        <w:rPr>
          <w:color w:val="000000" w:themeColor="text1"/>
        </w:rPr>
      </w:pPr>
      <w:bookmarkStart w:id="451" w:name="_Toc39425241"/>
      <w:bookmarkStart w:id="452" w:name="_Toc39425242"/>
      <w:bookmarkStart w:id="453" w:name="_Toc77680342"/>
      <w:bookmarkStart w:id="454" w:name="_Toc118289008"/>
      <w:bookmarkStart w:id="455" w:name="_Toc226456479"/>
      <w:bookmarkStart w:id="456" w:name="_Toc248045182"/>
      <w:bookmarkStart w:id="457" w:name="_Toc287363738"/>
      <w:bookmarkStart w:id="458" w:name="_Toc311216721"/>
      <w:bookmarkStart w:id="459" w:name="_Toc317198686"/>
      <w:bookmarkStart w:id="460" w:name="_Ref350427772"/>
      <w:bookmarkStart w:id="461" w:name="_Toc390728009"/>
      <w:bookmarkStart w:id="462" w:name="_Toc511952619"/>
      <w:bookmarkStart w:id="463" w:name="_Toc52181587"/>
      <w:bookmarkEnd w:id="451"/>
      <w:bookmarkEnd w:id="452"/>
      <w:r w:rsidRPr="00A52AB8">
        <w:rPr>
          <w:color w:val="000000" w:themeColor="text1"/>
        </w:rPr>
        <w:t>Variables, syntax elements, and tables</w:t>
      </w:r>
      <w:bookmarkEnd w:id="453"/>
      <w:bookmarkEnd w:id="454"/>
      <w:bookmarkEnd w:id="455"/>
      <w:bookmarkEnd w:id="456"/>
      <w:bookmarkEnd w:id="457"/>
      <w:bookmarkEnd w:id="458"/>
      <w:bookmarkEnd w:id="459"/>
      <w:bookmarkEnd w:id="460"/>
      <w:bookmarkEnd w:id="461"/>
      <w:bookmarkEnd w:id="462"/>
      <w:bookmarkEnd w:id="463"/>
    </w:p>
    <w:p w14:paraId="286873A6" w14:textId="77777777" w:rsidR="00120E20" w:rsidRPr="00A52AB8" w:rsidRDefault="00120E20">
      <w:pPr>
        <w:rPr>
          <w:color w:val="000000" w:themeColor="text1"/>
        </w:rPr>
      </w:pPr>
      <w:r w:rsidRPr="00A52AB8">
        <w:rPr>
          <w:color w:val="000000" w:themeColor="text1"/>
        </w:rPr>
        <w:t xml:space="preserve">Syntax elements in the bitstream are represented in </w:t>
      </w:r>
      <w:r w:rsidRPr="00A52AB8">
        <w:rPr>
          <w:b/>
          <w:bCs/>
          <w:color w:val="000000" w:themeColor="text1"/>
        </w:rPr>
        <w:t>bold</w:t>
      </w:r>
      <w:r w:rsidRPr="00A52AB8">
        <w:rPr>
          <w:color w:val="000000" w:themeColor="text1"/>
        </w:rPr>
        <w:t xml:space="preserve"> type. Each syntax element is described by its name (all lower case letters with underscore characters), and one descriptor for its method of coded representation. The decoding process behaves according to the value of the syntax element and to the values of previously decoded syntax elements. When a value of a syntax element is used in the syntax tables or the text, it appears in regular (i.e. not bold) type.</w:t>
      </w:r>
    </w:p>
    <w:p w14:paraId="4A296B0A" w14:textId="77777777" w:rsidR="00120E20" w:rsidRPr="00A52AB8" w:rsidRDefault="00120E20">
      <w:pPr>
        <w:rPr>
          <w:color w:val="000000" w:themeColor="text1"/>
        </w:rPr>
      </w:pPr>
      <w:r w:rsidRPr="00A52AB8">
        <w:rPr>
          <w:color w:val="000000" w:themeColor="text1"/>
        </w:rPr>
        <w:t>In some cases the syntax tables may use the values of other variables derived from syntax elements values. Such variables appear in the syntax tables, or text, named by a mixture of lower case and upper case letter and without any underscore characters. Variables starting with an upper case letter are derived for the decoding of the current syntax structure and all depending syntax structures. Variables starting with an upper case letter may be used in the decoding process for later syntax structures without mentioning the originating syntax structure of the variable. Variables starting with a lower case letter are only used within the subclause in which they are derived.</w:t>
      </w:r>
    </w:p>
    <w:p w14:paraId="31FC4044" w14:textId="77777777" w:rsidR="00120E20" w:rsidRPr="00A52AB8" w:rsidRDefault="00120E20">
      <w:pPr>
        <w:rPr>
          <w:color w:val="000000" w:themeColor="text1"/>
        </w:rPr>
      </w:pPr>
      <w:r w:rsidRPr="00A52AB8">
        <w:rPr>
          <w:color w:val="000000" w:themeColor="text1"/>
        </w:rPr>
        <w:t xml:space="preserve">In some cases, "mnemonic" names for syntax element values or variable values are used interchangeably with their numerical values. Sometimes "mnemonic" names are used without any associated numerical values. The association of values and names is specified in the text. The names are constructed from one </w:t>
      </w:r>
      <w:r w:rsidRPr="00A52AB8">
        <w:rPr>
          <w:color w:val="000000" w:themeColor="text1"/>
        </w:rPr>
        <w:lastRenderedPageBreak/>
        <w:t>or more groups of letters separated by an underscore character. Each group starts with an upper case letter and may contain more upper case letters.</w:t>
      </w:r>
    </w:p>
    <w:p w14:paraId="353A3E2E" w14:textId="48BD58C9" w:rsidR="00120E20" w:rsidRPr="00A52AB8" w:rsidRDefault="00B01ABC">
      <w:pPr>
        <w:pStyle w:val="Note1"/>
        <w:rPr>
          <w:rFonts w:ascii="Cambria" w:hAnsi="Cambria"/>
          <w:color w:val="000000" w:themeColor="text1"/>
        </w:rPr>
      </w:pPr>
      <w:r w:rsidRPr="00A52AB8" w:rsidDel="00112A5D">
        <w:rPr>
          <w:rFonts w:ascii="Cambria" w:hAnsi="Cambria"/>
        </w:rPr>
        <w:t>NOTE</w:t>
      </w:r>
      <w:r w:rsidRPr="00A52AB8">
        <w:rPr>
          <w:rFonts w:ascii="Cambria" w:hAnsi="Cambria"/>
        </w:rPr>
        <w:t> </w:t>
      </w:r>
      <w:r w:rsidRPr="00496A4D">
        <w:rPr>
          <w:rFonts w:ascii="Cambria" w:hAnsi="Cambria"/>
        </w:rPr>
        <w:fldChar w:fldCharType="begin"/>
      </w:r>
      <w:r w:rsidRPr="00A52AB8">
        <w:rPr>
          <w:rFonts w:ascii="Cambria" w:hAnsi="Cambria"/>
        </w:rPr>
        <w:instrText xml:space="preserve"> SEQ NoteCounter \s 9 \* MERGEFORMAT </w:instrText>
      </w:r>
      <w:r w:rsidRPr="00496A4D">
        <w:rPr>
          <w:rFonts w:ascii="Cambria" w:hAnsi="Cambria"/>
        </w:rPr>
        <w:fldChar w:fldCharType="separate"/>
      </w:r>
      <w:r w:rsidR="00507A67">
        <w:rPr>
          <w:rFonts w:ascii="Cambria" w:hAnsi="Cambria"/>
          <w:noProof/>
        </w:rPr>
        <w:t>1</w:t>
      </w:r>
      <w:r w:rsidRPr="00496A4D">
        <w:rPr>
          <w:rFonts w:ascii="Cambria" w:hAnsi="Cambria"/>
        </w:rPr>
        <w:fldChar w:fldCharType="end"/>
      </w:r>
      <w:r w:rsidRPr="00A52AB8" w:rsidDel="00112A5D">
        <w:rPr>
          <w:rFonts w:ascii="Cambria" w:hAnsi="Cambria"/>
        </w:rPr>
        <w:t> </w:t>
      </w:r>
      <w:r w:rsidR="00120E20" w:rsidRPr="00A52AB8">
        <w:rPr>
          <w:rFonts w:ascii="Cambria" w:hAnsi="Cambria"/>
          <w:color w:val="000000" w:themeColor="text1"/>
        </w:rPr>
        <w:t>– The syntax is described in a manner that closely follows the C-language syntactic constructs.</w:t>
      </w:r>
    </w:p>
    <w:p w14:paraId="16703D82" w14:textId="6C2D17B5" w:rsidR="00120E20" w:rsidRPr="00A52AB8" w:rsidRDefault="00120E20">
      <w:pPr>
        <w:rPr>
          <w:color w:val="000000" w:themeColor="text1"/>
        </w:rPr>
      </w:pPr>
      <w:r w:rsidRPr="00A52AB8">
        <w:rPr>
          <w:color w:val="000000" w:themeColor="text1"/>
        </w:rPr>
        <w:t xml:space="preserve">Functions that specify properties of the current position in the bitstream are referred to as syntax functions. These functions are specified in </w:t>
      </w:r>
      <w:r w:rsidR="00123091" w:rsidRPr="00A52AB8">
        <w:rPr>
          <w:color w:val="000000" w:themeColor="text1"/>
        </w:rPr>
        <w:t>sub</w:t>
      </w:r>
      <w:r w:rsidRPr="00A52AB8">
        <w:rPr>
          <w:color w:val="000000" w:themeColor="text1"/>
        </w:rPr>
        <w:t>clause </w:t>
      </w:r>
      <w:r w:rsidRPr="00496A4D">
        <w:rPr>
          <w:color w:val="000000" w:themeColor="text1"/>
        </w:rPr>
        <w:fldChar w:fldCharType="begin"/>
      </w:r>
      <w:r w:rsidRPr="00A52AB8">
        <w:rPr>
          <w:color w:val="000000" w:themeColor="text1"/>
        </w:rPr>
        <w:instrText xml:space="preserve"> REF _Ref316817924 \r \h  \* MERGEFORMAT </w:instrText>
      </w:r>
      <w:r w:rsidRPr="00496A4D">
        <w:rPr>
          <w:color w:val="000000" w:themeColor="text1"/>
        </w:rPr>
      </w:r>
      <w:r w:rsidRPr="00496A4D">
        <w:rPr>
          <w:color w:val="000000" w:themeColor="text1"/>
        </w:rPr>
        <w:fldChar w:fldCharType="separate"/>
      </w:r>
      <w:r w:rsidR="00507A67">
        <w:rPr>
          <w:color w:val="000000" w:themeColor="text1"/>
        </w:rPr>
        <w:t>8.2</w:t>
      </w:r>
      <w:r w:rsidRPr="00496A4D">
        <w:rPr>
          <w:color w:val="000000" w:themeColor="text1"/>
        </w:rPr>
        <w:fldChar w:fldCharType="end"/>
      </w:r>
      <w:r w:rsidRPr="00A52AB8">
        <w:rPr>
          <w:color w:val="000000" w:themeColor="text1"/>
        </w:rPr>
        <w:t xml:space="preserve"> and assume the existence of a bitstream pointer with an indication of the position of the next bit to be read by the decoding process from the bitstream. Syntax functions are described by their names, which are constructed as syntax element names and end with left and right round parentheses including zero or more variable names (for definition) or values (for usage), separated by commas (if more than one variable).</w:t>
      </w:r>
    </w:p>
    <w:p w14:paraId="6AF4730D" w14:textId="4EDAE519" w:rsidR="00120E20" w:rsidRPr="00A52AB8" w:rsidRDefault="00120E20">
      <w:pPr>
        <w:rPr>
          <w:color w:val="000000" w:themeColor="text1"/>
        </w:rPr>
      </w:pPr>
      <w:r w:rsidRPr="00A52AB8">
        <w:rPr>
          <w:color w:val="000000" w:themeColor="text1"/>
        </w:rPr>
        <w:t xml:space="preserve">Functions that are not syntax functions (including mathematical functions specified in </w:t>
      </w:r>
      <w:r w:rsidR="00413D15" w:rsidRPr="00A52AB8">
        <w:rPr>
          <w:color w:val="000000" w:themeColor="text1"/>
        </w:rPr>
        <w:t>sub</w:t>
      </w:r>
      <w:r w:rsidRPr="00A52AB8">
        <w:rPr>
          <w:color w:val="000000" w:themeColor="text1"/>
        </w:rPr>
        <w:t>clause </w:t>
      </w:r>
      <w:r w:rsidRPr="00496A4D">
        <w:rPr>
          <w:color w:val="000000" w:themeColor="text1"/>
        </w:rPr>
        <w:fldChar w:fldCharType="begin"/>
      </w:r>
      <w:r w:rsidRPr="00A52AB8">
        <w:rPr>
          <w:color w:val="000000" w:themeColor="text1"/>
        </w:rPr>
        <w:instrText xml:space="preserve"> REF _Ref196969207 \r \h  \* MERGEFORMAT </w:instrText>
      </w:r>
      <w:r w:rsidRPr="00496A4D">
        <w:rPr>
          <w:color w:val="000000" w:themeColor="text1"/>
        </w:rPr>
      </w:r>
      <w:r w:rsidRPr="00496A4D">
        <w:rPr>
          <w:color w:val="000000" w:themeColor="text1"/>
        </w:rPr>
        <w:fldChar w:fldCharType="separate"/>
      </w:r>
      <w:r w:rsidR="00507A67">
        <w:rPr>
          <w:color w:val="000000" w:themeColor="text1"/>
        </w:rPr>
        <w:t>5.8</w:t>
      </w:r>
      <w:r w:rsidRPr="00496A4D">
        <w:rPr>
          <w:color w:val="000000" w:themeColor="text1"/>
        </w:rPr>
        <w:fldChar w:fldCharType="end"/>
      </w:r>
      <w:r w:rsidRPr="00A52AB8">
        <w:rPr>
          <w:color w:val="000000" w:themeColor="text1"/>
        </w:rPr>
        <w:t>) are described by their names, which start with an upper case letter, contain a mixture of lower and upper case letters without any underscore character, and end with left and right parentheses including zero or more variable names (for definition) or values (for usage) separated by commas (if more than one variable).</w:t>
      </w:r>
    </w:p>
    <w:p w14:paraId="2E5BAB4D" w14:textId="77777777" w:rsidR="0050235C" w:rsidRPr="00A52AB8" w:rsidRDefault="00120E20">
      <w:pPr>
        <w:rPr>
          <w:color w:val="000000" w:themeColor="text1"/>
        </w:rPr>
      </w:pPr>
      <w:r w:rsidRPr="00A52AB8">
        <w:rPr>
          <w:color w:val="000000" w:themeColor="text1"/>
        </w:rPr>
        <w:t xml:space="preserve">A one-dimensional array is referred to as a list. A two-dimensional array is referred to as a matrix. Arrays can either be syntax elements or variables. Subscripts or square parentheses are used for the indexing of arrays. In reference to a visual depiction of a matrix, the first subscript is used as a row (vertical) index and the second subscript is used as a column (horizontal) index. The </w:t>
      </w:r>
      <w:r w:rsidR="00FC03CC" w:rsidRPr="00A52AB8">
        <w:rPr>
          <w:color w:val="000000" w:themeColor="text1"/>
        </w:rPr>
        <w:t xml:space="preserve">same </w:t>
      </w:r>
      <w:r w:rsidRPr="00A52AB8">
        <w:rPr>
          <w:color w:val="000000" w:themeColor="text1"/>
        </w:rPr>
        <w:t xml:space="preserve">indexing order is </w:t>
      </w:r>
      <w:r w:rsidR="00FC03CC" w:rsidRPr="00A52AB8">
        <w:rPr>
          <w:color w:val="000000" w:themeColor="text1"/>
        </w:rPr>
        <w:t xml:space="preserve">used </w:t>
      </w:r>
      <w:r w:rsidRPr="00A52AB8">
        <w:rPr>
          <w:color w:val="000000" w:themeColor="text1"/>
        </w:rPr>
        <w:t>when using square parentheses. Thus, an element of a matrix s at horizontal position x and vertical position y may be denoted either as s</w:t>
      </w:r>
      <w:r w:rsidR="004B7314" w:rsidRPr="00A52AB8">
        <w:rPr>
          <w:color w:val="000000" w:themeColor="text1"/>
        </w:rPr>
        <w:t>[ y ][ x ]</w:t>
      </w:r>
      <w:r w:rsidRPr="00A52AB8">
        <w:rPr>
          <w:color w:val="000000" w:themeColor="text1"/>
        </w:rPr>
        <w:t xml:space="preserve"> or as s</w:t>
      </w:r>
      <w:r w:rsidRPr="00A52AB8">
        <w:rPr>
          <w:color w:val="000000" w:themeColor="text1"/>
          <w:vertAlign w:val="subscript"/>
        </w:rPr>
        <w:t>yx</w:t>
      </w:r>
      <w:r w:rsidRPr="00A52AB8">
        <w:rPr>
          <w:color w:val="000000" w:themeColor="text1"/>
        </w:rPr>
        <w:t xml:space="preserve">. A single </w:t>
      </w:r>
      <w:r w:rsidR="00FC03CC" w:rsidRPr="00A52AB8">
        <w:rPr>
          <w:color w:val="000000" w:themeColor="text1"/>
        </w:rPr>
        <w:t xml:space="preserve">row </w:t>
      </w:r>
      <w:r w:rsidRPr="00A52AB8">
        <w:rPr>
          <w:color w:val="000000" w:themeColor="text1"/>
        </w:rPr>
        <w:t xml:space="preserve">of a matrix may be referred to as a list and denoted by omission of the </w:t>
      </w:r>
      <w:r w:rsidR="00FC03CC" w:rsidRPr="00A52AB8">
        <w:rPr>
          <w:color w:val="000000" w:themeColor="text1"/>
        </w:rPr>
        <w:t xml:space="preserve">column </w:t>
      </w:r>
      <w:r w:rsidRPr="00A52AB8">
        <w:rPr>
          <w:color w:val="000000" w:themeColor="text1"/>
        </w:rPr>
        <w:t xml:space="preserve">index. Thus, the </w:t>
      </w:r>
      <w:r w:rsidR="00FC03CC" w:rsidRPr="00A52AB8">
        <w:rPr>
          <w:color w:val="000000" w:themeColor="text1"/>
        </w:rPr>
        <w:t xml:space="preserve">row </w:t>
      </w:r>
      <w:r w:rsidRPr="00A52AB8">
        <w:rPr>
          <w:color w:val="000000" w:themeColor="text1"/>
        </w:rPr>
        <w:t>of a matrix s at horizontal position x may be referred to as the list s</w:t>
      </w:r>
      <w:r w:rsidR="004B7314" w:rsidRPr="00A52AB8">
        <w:rPr>
          <w:color w:val="000000" w:themeColor="text1"/>
        </w:rPr>
        <w:t>[ y ]</w:t>
      </w:r>
      <w:r w:rsidRPr="00A52AB8">
        <w:rPr>
          <w:color w:val="000000" w:themeColor="text1"/>
        </w:rPr>
        <w:t>.</w:t>
      </w:r>
    </w:p>
    <w:p w14:paraId="621E475E" w14:textId="455A640E" w:rsidR="00FC03CC" w:rsidRPr="00A52AB8" w:rsidRDefault="00B01ABC">
      <w:pPr>
        <w:pStyle w:val="Note1"/>
        <w:rPr>
          <w:rFonts w:ascii="Cambria" w:hAnsi="Cambria"/>
          <w:color w:val="000000" w:themeColor="text1"/>
        </w:rPr>
      </w:pPr>
      <w:r w:rsidRPr="00A52AB8" w:rsidDel="00112A5D">
        <w:rPr>
          <w:rFonts w:ascii="Cambria" w:hAnsi="Cambria"/>
        </w:rPr>
        <w:t>NOTE</w:t>
      </w:r>
      <w:r w:rsidRPr="00A52AB8">
        <w:rPr>
          <w:rFonts w:ascii="Cambria" w:hAnsi="Cambria"/>
        </w:rPr>
        <w:t> </w:t>
      </w:r>
      <w:r w:rsidRPr="00496A4D">
        <w:rPr>
          <w:rFonts w:ascii="Cambria" w:hAnsi="Cambria"/>
        </w:rPr>
        <w:fldChar w:fldCharType="begin"/>
      </w:r>
      <w:r w:rsidRPr="00A52AB8">
        <w:rPr>
          <w:rFonts w:ascii="Cambria" w:hAnsi="Cambria"/>
        </w:rPr>
        <w:instrText xml:space="preserve"> SEQ NoteCounter \s 9 \* MERGEFORMAT </w:instrText>
      </w:r>
      <w:r w:rsidRPr="00496A4D">
        <w:rPr>
          <w:rFonts w:ascii="Cambria" w:hAnsi="Cambria"/>
        </w:rPr>
        <w:fldChar w:fldCharType="separate"/>
      </w:r>
      <w:r w:rsidR="00507A67">
        <w:rPr>
          <w:rFonts w:ascii="Cambria" w:hAnsi="Cambria"/>
          <w:noProof/>
        </w:rPr>
        <w:t>2</w:t>
      </w:r>
      <w:r w:rsidRPr="00496A4D">
        <w:rPr>
          <w:rFonts w:ascii="Cambria" w:hAnsi="Cambria"/>
        </w:rPr>
        <w:fldChar w:fldCharType="end"/>
      </w:r>
      <w:r w:rsidRPr="00A52AB8" w:rsidDel="00112A5D">
        <w:rPr>
          <w:rFonts w:ascii="Cambria" w:hAnsi="Cambria"/>
        </w:rPr>
        <w:t> </w:t>
      </w:r>
      <w:r w:rsidR="00FC03CC" w:rsidRPr="00A52AB8">
        <w:rPr>
          <w:rFonts w:ascii="Cambria" w:hAnsi="Cambria"/>
          <w:color w:val="000000" w:themeColor="text1"/>
        </w:rPr>
        <w:t xml:space="preserve">– In some video specifications a reverse indexing order </w:t>
      </w:r>
      <w:r w:rsidR="00413D15" w:rsidRPr="00A52AB8">
        <w:rPr>
          <w:rFonts w:ascii="Cambria" w:hAnsi="Cambria"/>
          <w:color w:val="000000" w:themeColor="text1"/>
        </w:rPr>
        <w:t xml:space="preserve">can </w:t>
      </w:r>
      <w:r w:rsidR="0030790B" w:rsidRPr="00A52AB8">
        <w:rPr>
          <w:rFonts w:ascii="Cambria" w:hAnsi="Cambria"/>
          <w:color w:val="000000" w:themeColor="text1"/>
        </w:rPr>
        <w:t>be</w:t>
      </w:r>
      <w:r w:rsidR="00FC03CC" w:rsidRPr="00A52AB8">
        <w:rPr>
          <w:rFonts w:ascii="Cambria" w:hAnsi="Cambria"/>
          <w:color w:val="000000" w:themeColor="text1"/>
        </w:rPr>
        <w:t xml:space="preserve"> used when using square parenthesis for depicting two dimensional arrays, i.e. </w:t>
      </w:r>
      <w:r w:rsidR="0030790B" w:rsidRPr="00A52AB8">
        <w:rPr>
          <w:rFonts w:ascii="Cambria" w:hAnsi="Cambria"/>
          <w:color w:val="000000" w:themeColor="text1"/>
        </w:rPr>
        <w:t>the first element in the square parentheses is the column (horizontal)</w:t>
      </w:r>
      <w:r w:rsidR="00FC03CC" w:rsidRPr="00A52AB8">
        <w:rPr>
          <w:rFonts w:ascii="Cambria" w:hAnsi="Cambria"/>
          <w:color w:val="000000" w:themeColor="text1"/>
        </w:rPr>
        <w:t xml:space="preserve"> </w:t>
      </w:r>
      <w:r w:rsidR="0030790B" w:rsidRPr="00A52AB8">
        <w:rPr>
          <w:rFonts w:ascii="Cambria" w:hAnsi="Cambria"/>
          <w:color w:val="000000" w:themeColor="text1"/>
        </w:rPr>
        <w:t>index and the second element in the square parentheses is the row (vertical) index</w:t>
      </w:r>
      <w:r w:rsidR="00FC03CC" w:rsidRPr="00A52AB8">
        <w:rPr>
          <w:rFonts w:ascii="Cambria" w:hAnsi="Cambria"/>
          <w:color w:val="000000" w:themeColor="text1"/>
        </w:rPr>
        <w:t>.</w:t>
      </w:r>
    </w:p>
    <w:p w14:paraId="3EA4CBFF" w14:textId="4CA972A2" w:rsidR="00120E20" w:rsidRPr="00A52AB8" w:rsidRDefault="00120E20">
      <w:pPr>
        <w:rPr>
          <w:color w:val="000000" w:themeColor="text1"/>
        </w:rPr>
      </w:pPr>
      <w:r w:rsidRPr="00A52AB8">
        <w:rPr>
          <w:color w:val="000000" w:themeColor="text1"/>
        </w:rPr>
        <w:t>A specification of values of the entries in rows and columns of an array may be denoted by {</w:t>
      </w:r>
      <w:r w:rsidR="00421F52" w:rsidRPr="00A52AB8">
        <w:rPr>
          <w:color w:val="000000" w:themeColor="text1"/>
        </w:rPr>
        <w:t> </w:t>
      </w:r>
      <w:r w:rsidRPr="00A52AB8">
        <w:rPr>
          <w:color w:val="000000" w:themeColor="text1"/>
        </w:rPr>
        <w:t>{...}</w:t>
      </w:r>
      <w:r w:rsidR="00421F52" w:rsidRPr="00A52AB8">
        <w:rPr>
          <w:color w:val="000000" w:themeColor="text1"/>
        </w:rPr>
        <w:t> </w:t>
      </w:r>
      <w:r w:rsidRPr="00A52AB8">
        <w:rPr>
          <w:color w:val="000000" w:themeColor="text1"/>
        </w:rPr>
        <w:t>{...}</w:t>
      </w:r>
      <w:r w:rsidR="00421F52" w:rsidRPr="00A52AB8">
        <w:rPr>
          <w:color w:val="000000" w:themeColor="text1"/>
        </w:rPr>
        <w:t> </w:t>
      </w:r>
      <w:r w:rsidRPr="00A52AB8">
        <w:rPr>
          <w:color w:val="000000" w:themeColor="text1"/>
        </w:rPr>
        <w:t xml:space="preserve">}, where each inner pair of brackets specifies the values of the elements within a row in increasing column order and the rows are ordered in increasing row order. Thus, setting a matrix s equal to </w:t>
      </w:r>
      <w:r w:rsidR="00421F52" w:rsidRPr="00A52AB8">
        <w:rPr>
          <w:color w:val="000000" w:themeColor="text1"/>
        </w:rPr>
        <w:t>{ { 1 } </w:t>
      </w:r>
      <w:r w:rsidRPr="00A52AB8">
        <w:rPr>
          <w:color w:val="000000" w:themeColor="text1"/>
        </w:rPr>
        <w:t>{</w:t>
      </w:r>
      <w:r w:rsidR="00421F52" w:rsidRPr="00A52AB8">
        <w:rPr>
          <w:color w:val="000000" w:themeColor="text1"/>
        </w:rPr>
        <w:t> </w:t>
      </w:r>
      <w:r w:rsidRPr="00A52AB8">
        <w:rPr>
          <w:color w:val="000000" w:themeColor="text1"/>
        </w:rPr>
        <w:t>6</w:t>
      </w:r>
      <w:r w:rsidR="00421F52" w:rsidRPr="00A52AB8">
        <w:rPr>
          <w:color w:val="000000" w:themeColor="text1"/>
        </w:rPr>
        <w:t> </w:t>
      </w:r>
      <w:r w:rsidRPr="00A52AB8">
        <w:rPr>
          <w:color w:val="000000" w:themeColor="text1"/>
        </w:rPr>
        <w:t>}</w:t>
      </w:r>
      <w:r w:rsidR="00421F52" w:rsidRPr="00A52AB8">
        <w:rPr>
          <w:color w:val="000000" w:themeColor="text1"/>
        </w:rPr>
        <w:t> </w:t>
      </w:r>
      <w:r w:rsidRPr="00A52AB8">
        <w:rPr>
          <w:color w:val="000000" w:themeColor="text1"/>
        </w:rPr>
        <w:t>{</w:t>
      </w:r>
      <w:r w:rsidR="00421F52" w:rsidRPr="00A52AB8">
        <w:rPr>
          <w:color w:val="000000" w:themeColor="text1"/>
        </w:rPr>
        <w:t> </w:t>
      </w:r>
      <w:r w:rsidRPr="00A52AB8">
        <w:rPr>
          <w:color w:val="000000" w:themeColor="text1"/>
        </w:rPr>
        <w:t>4</w:t>
      </w:r>
      <w:r w:rsidR="00421F52" w:rsidRPr="00A52AB8">
        <w:rPr>
          <w:color w:val="000000" w:themeColor="text1"/>
        </w:rPr>
        <w:t> } { </w:t>
      </w:r>
      <w:r w:rsidRPr="00A52AB8">
        <w:rPr>
          <w:color w:val="000000" w:themeColor="text1"/>
        </w:rPr>
        <w:t>9</w:t>
      </w:r>
      <w:r w:rsidR="00421F52" w:rsidRPr="00A52AB8">
        <w:rPr>
          <w:color w:val="000000" w:themeColor="text1"/>
        </w:rPr>
        <w:t> </w:t>
      </w:r>
      <w:r w:rsidRPr="00A52AB8">
        <w:rPr>
          <w:color w:val="000000" w:themeColor="text1"/>
        </w:rPr>
        <w:t>}</w:t>
      </w:r>
      <w:r w:rsidR="00421F52" w:rsidRPr="00A52AB8">
        <w:rPr>
          <w:color w:val="000000" w:themeColor="text1"/>
        </w:rPr>
        <w:t> }</w:t>
      </w:r>
      <w:r w:rsidRPr="00A52AB8">
        <w:rPr>
          <w:color w:val="000000" w:themeColor="text1"/>
        </w:rPr>
        <w:t xml:space="preserve"> specifies that s</w:t>
      </w:r>
      <w:r w:rsidR="00D770D3" w:rsidRPr="00A52AB8">
        <w:rPr>
          <w:color w:val="000000" w:themeColor="text1"/>
        </w:rPr>
        <w:t>[ 0 ][ 0 ]</w:t>
      </w:r>
      <w:r w:rsidRPr="00A52AB8">
        <w:rPr>
          <w:color w:val="000000" w:themeColor="text1"/>
        </w:rPr>
        <w:t xml:space="preserve"> is set equal to 1, s</w:t>
      </w:r>
      <w:r w:rsidR="00D770D3" w:rsidRPr="00A52AB8">
        <w:rPr>
          <w:color w:val="000000" w:themeColor="text1"/>
        </w:rPr>
        <w:t>[ 0 ]</w:t>
      </w:r>
      <w:r w:rsidR="004C3161" w:rsidRPr="00A52AB8">
        <w:rPr>
          <w:color w:val="000000" w:themeColor="text1"/>
        </w:rPr>
        <w:t>[ </w:t>
      </w:r>
      <w:r w:rsidR="0030790B" w:rsidRPr="00A52AB8">
        <w:rPr>
          <w:color w:val="000000" w:themeColor="text1"/>
        </w:rPr>
        <w:t>1</w:t>
      </w:r>
      <w:r w:rsidR="004C3161" w:rsidRPr="00A52AB8">
        <w:rPr>
          <w:color w:val="000000" w:themeColor="text1"/>
        </w:rPr>
        <w:t> ]</w:t>
      </w:r>
      <w:r w:rsidRPr="00A52AB8">
        <w:rPr>
          <w:color w:val="000000" w:themeColor="text1"/>
        </w:rPr>
        <w:t xml:space="preserve"> is set equal to 6, s</w:t>
      </w:r>
      <w:r w:rsidR="004C3161" w:rsidRPr="00A52AB8">
        <w:rPr>
          <w:color w:val="000000" w:themeColor="text1"/>
        </w:rPr>
        <w:t>[ </w:t>
      </w:r>
      <w:r w:rsidR="0030790B" w:rsidRPr="00A52AB8">
        <w:rPr>
          <w:color w:val="000000" w:themeColor="text1"/>
        </w:rPr>
        <w:t>1</w:t>
      </w:r>
      <w:r w:rsidR="004C3161" w:rsidRPr="00A52AB8">
        <w:rPr>
          <w:color w:val="000000" w:themeColor="text1"/>
        </w:rPr>
        <w:t> ]</w:t>
      </w:r>
      <w:r w:rsidR="00D770D3" w:rsidRPr="00A52AB8">
        <w:rPr>
          <w:color w:val="000000" w:themeColor="text1"/>
        </w:rPr>
        <w:t>[ 0 ]</w:t>
      </w:r>
      <w:r w:rsidRPr="00A52AB8">
        <w:rPr>
          <w:color w:val="000000" w:themeColor="text1"/>
        </w:rPr>
        <w:t xml:space="preserve"> is set equal to 4, and s[ 1 ][ 1 ] is set equal to 9.</w:t>
      </w:r>
    </w:p>
    <w:p w14:paraId="14FCB130" w14:textId="3562B069" w:rsidR="00DE7BF3" w:rsidRPr="00A52AB8" w:rsidRDefault="00DE7BF3">
      <w:pPr>
        <w:rPr>
          <w:color w:val="000000" w:themeColor="text1"/>
        </w:rPr>
      </w:pPr>
      <w:r w:rsidRPr="00A52AB8">
        <w:rPr>
          <w:color w:val="000000" w:themeColor="text1"/>
        </w:rPr>
        <w:t xml:space="preserve">The symbol "×" </w:t>
      </w:r>
      <w:r w:rsidR="00964E63" w:rsidRPr="00A52AB8">
        <w:rPr>
          <w:color w:val="000000" w:themeColor="text1"/>
        </w:rPr>
        <w:t>is</w:t>
      </w:r>
      <w:r w:rsidRPr="00A52AB8">
        <w:rPr>
          <w:color w:val="000000" w:themeColor="text1"/>
        </w:rPr>
        <w:t xml:space="preserve"> used to separate the individual dimensions of an array in this document. For example, a 3D array, array3D, having elements array3D[ z ][ y ][ x ], with z being in the range of 0 to ( Dim</w:t>
      </w:r>
      <w:r w:rsidRPr="00A52AB8">
        <w:rPr>
          <w:color w:val="000000" w:themeColor="text1"/>
          <w:vertAlign w:val="subscript"/>
        </w:rPr>
        <w:t>0,</w:t>
      </w:r>
      <w:r w:rsidRPr="00A52AB8">
        <w:rPr>
          <w:color w:val="000000" w:themeColor="text1"/>
        </w:rPr>
        <w:t> –</w:t>
      </w:r>
      <w:r w:rsidRPr="00A52AB8">
        <w:t> </w:t>
      </w:r>
      <w:r w:rsidRPr="00A52AB8">
        <w:rPr>
          <w:color w:val="000000" w:themeColor="text1"/>
        </w:rPr>
        <w:t>1 ), inclusive, y in the range of 0</w:t>
      </w:r>
      <w:r w:rsidRPr="00A52AB8">
        <w:rPr>
          <w:color w:val="000000" w:themeColor="text1"/>
          <w:vertAlign w:val="subscript"/>
        </w:rPr>
        <w:t xml:space="preserve"> </w:t>
      </w:r>
      <w:r w:rsidRPr="00A52AB8">
        <w:rPr>
          <w:color w:val="000000" w:themeColor="text1"/>
        </w:rPr>
        <w:t>to ( Dim</w:t>
      </w:r>
      <w:r w:rsidRPr="00A52AB8">
        <w:rPr>
          <w:color w:val="000000" w:themeColor="text1"/>
          <w:vertAlign w:val="subscript"/>
        </w:rPr>
        <w:t>1</w:t>
      </w:r>
      <w:r w:rsidRPr="00A52AB8">
        <w:rPr>
          <w:color w:val="000000" w:themeColor="text1"/>
        </w:rPr>
        <w:t> –</w:t>
      </w:r>
      <w:r w:rsidRPr="00A52AB8">
        <w:t> </w:t>
      </w:r>
      <w:r w:rsidRPr="00A52AB8">
        <w:rPr>
          <w:color w:val="000000" w:themeColor="text1"/>
        </w:rPr>
        <w:t>1 ), inclusive, and x in the range of 0 to ( Dim</w:t>
      </w:r>
      <w:r w:rsidRPr="00A52AB8">
        <w:rPr>
          <w:color w:val="000000" w:themeColor="text1"/>
          <w:vertAlign w:val="subscript"/>
        </w:rPr>
        <w:t>2</w:t>
      </w:r>
      <w:r w:rsidRPr="00A52AB8">
        <w:rPr>
          <w:color w:val="000000" w:themeColor="text1"/>
        </w:rPr>
        <w:t> –</w:t>
      </w:r>
      <w:r w:rsidRPr="00A52AB8">
        <w:t> </w:t>
      </w:r>
      <w:r w:rsidRPr="00A52AB8">
        <w:rPr>
          <w:color w:val="000000" w:themeColor="text1"/>
        </w:rPr>
        <w:t>1 ), inclusive, can also be referred to as being of size Dim</w:t>
      </w:r>
      <w:r w:rsidRPr="00A52AB8">
        <w:rPr>
          <w:color w:val="000000" w:themeColor="text1"/>
          <w:vertAlign w:val="subscript"/>
        </w:rPr>
        <w:t>0</w:t>
      </w:r>
      <w:r w:rsidRPr="00A52AB8">
        <w:rPr>
          <w:color w:val="000000" w:themeColor="text1"/>
        </w:rPr>
        <w:t xml:space="preserve"> × Dim</w:t>
      </w:r>
      <w:r w:rsidRPr="00A52AB8">
        <w:rPr>
          <w:color w:val="000000" w:themeColor="text1"/>
          <w:vertAlign w:val="subscript"/>
        </w:rPr>
        <w:t>1</w:t>
      </w:r>
      <w:r w:rsidRPr="00A52AB8">
        <w:rPr>
          <w:color w:val="000000" w:themeColor="text1"/>
        </w:rPr>
        <w:t xml:space="preserve"> × Dim</w:t>
      </w:r>
      <w:r w:rsidRPr="00A52AB8">
        <w:rPr>
          <w:color w:val="000000" w:themeColor="text1"/>
          <w:vertAlign w:val="subscript"/>
        </w:rPr>
        <w:t>2</w:t>
      </w:r>
      <w:r w:rsidRPr="00A52AB8">
        <w:rPr>
          <w:color w:val="000000" w:themeColor="text1"/>
        </w:rPr>
        <w:t>.</w:t>
      </w:r>
    </w:p>
    <w:p w14:paraId="5332D039" w14:textId="77777777" w:rsidR="00120E20" w:rsidRPr="00A52AB8" w:rsidRDefault="00120E20">
      <w:pPr>
        <w:rPr>
          <w:color w:val="000000" w:themeColor="text1"/>
        </w:rPr>
      </w:pPr>
      <w:r w:rsidRPr="00A52AB8">
        <w:rPr>
          <w:color w:val="000000" w:themeColor="text1"/>
        </w:rPr>
        <w:t>Binary notation is indicated by enclosing the string of bit values by single quote marks. For example, '01000001' represents an eight-bit string having only its second and its last bits (counted from the most to the least significant bit) equal to 1.</w:t>
      </w:r>
    </w:p>
    <w:p w14:paraId="5F6B0BB3" w14:textId="77777777" w:rsidR="00120E20" w:rsidRPr="00A52AB8" w:rsidRDefault="00120E20">
      <w:pPr>
        <w:rPr>
          <w:color w:val="000000" w:themeColor="text1"/>
        </w:rPr>
      </w:pPr>
      <w:r w:rsidRPr="00A52AB8">
        <w:rPr>
          <w:color w:val="000000" w:themeColor="text1"/>
        </w:rPr>
        <w:t>Hexadecimal notation, indicated by prefixing the hexadecimal number by "0x", may be used instead of binary notation when the number of bits is an integer multiple of 4. For example, 0x41 represents an eight-bit string having only its second and its last bits (counted from the most to the least significant bit) equal to 1.</w:t>
      </w:r>
    </w:p>
    <w:p w14:paraId="28ACA892" w14:textId="77777777" w:rsidR="00120E20" w:rsidRPr="00A52AB8" w:rsidRDefault="00120E20">
      <w:pPr>
        <w:rPr>
          <w:color w:val="000000" w:themeColor="text1"/>
        </w:rPr>
      </w:pPr>
      <w:r w:rsidRPr="00A52AB8">
        <w:rPr>
          <w:color w:val="000000" w:themeColor="text1"/>
        </w:rPr>
        <w:t>Numerical values not enclosed in single quotes and not prefixed by "0x" are decimal values.</w:t>
      </w:r>
    </w:p>
    <w:p w14:paraId="02CBBB04" w14:textId="77777777" w:rsidR="00120E20" w:rsidRPr="00A52AB8" w:rsidRDefault="00120E20">
      <w:pPr>
        <w:rPr>
          <w:color w:val="000000" w:themeColor="text1"/>
        </w:rPr>
      </w:pPr>
      <w:r w:rsidRPr="00A52AB8">
        <w:rPr>
          <w:color w:val="000000" w:themeColor="text1"/>
        </w:rPr>
        <w:t>A value equal to 0 represents a FALSE condition in a test statement. The value TRUE is represented by any value different from zero.</w:t>
      </w:r>
    </w:p>
    <w:p w14:paraId="5CD230FD" w14:textId="52BECFA2" w:rsidR="00120E20" w:rsidRPr="00A52AB8" w:rsidRDefault="00120E20">
      <w:pPr>
        <w:pStyle w:val="Heading2"/>
        <w:rPr>
          <w:color w:val="000000" w:themeColor="text1"/>
        </w:rPr>
      </w:pPr>
      <w:bookmarkStart w:id="464" w:name="_Toc77680343"/>
      <w:bookmarkStart w:id="465" w:name="_Toc118289009"/>
      <w:bookmarkStart w:id="466" w:name="_Toc226456480"/>
      <w:bookmarkStart w:id="467" w:name="_Toc248045183"/>
      <w:bookmarkStart w:id="468" w:name="_Toc287363739"/>
      <w:bookmarkStart w:id="469" w:name="_Toc311216722"/>
      <w:bookmarkStart w:id="470" w:name="_Toc317198687"/>
      <w:bookmarkStart w:id="471" w:name="_Toc390728010"/>
      <w:bookmarkStart w:id="472" w:name="_Toc511952620"/>
      <w:bookmarkStart w:id="473" w:name="_Toc52181588"/>
      <w:r w:rsidRPr="00A52AB8">
        <w:rPr>
          <w:color w:val="000000" w:themeColor="text1"/>
        </w:rPr>
        <w:lastRenderedPageBreak/>
        <w:t>Text description of logical operations</w:t>
      </w:r>
      <w:bookmarkEnd w:id="464"/>
      <w:bookmarkEnd w:id="465"/>
      <w:bookmarkEnd w:id="466"/>
      <w:bookmarkEnd w:id="467"/>
      <w:bookmarkEnd w:id="468"/>
      <w:bookmarkEnd w:id="469"/>
      <w:bookmarkEnd w:id="470"/>
      <w:bookmarkEnd w:id="471"/>
      <w:bookmarkEnd w:id="472"/>
      <w:bookmarkEnd w:id="473"/>
    </w:p>
    <w:p w14:paraId="06AE3E05" w14:textId="77777777" w:rsidR="00120E20" w:rsidRPr="00A52AB8" w:rsidRDefault="00120E20">
      <w:pPr>
        <w:tabs>
          <w:tab w:val="clear" w:pos="403"/>
        </w:tabs>
        <w:rPr>
          <w:color w:val="000000" w:themeColor="text1"/>
        </w:rPr>
      </w:pPr>
      <w:r w:rsidRPr="00A52AB8">
        <w:rPr>
          <w:color w:val="000000" w:themeColor="text1"/>
        </w:rPr>
        <w:t>In the text, a statement of logical operations as would be described mathematically in the following form:</w:t>
      </w:r>
    </w:p>
    <w:p w14:paraId="658E03B5" w14:textId="77777777" w:rsidR="00120E20" w:rsidRPr="00A52AB8" w:rsidRDefault="00120E20">
      <w:pPr>
        <w:pStyle w:val="Equation"/>
        <w:ind w:left="806"/>
        <w:rPr>
          <w:color w:val="000000" w:themeColor="text1"/>
        </w:rPr>
      </w:pPr>
      <w:r w:rsidRPr="00A52AB8">
        <w:rPr>
          <w:color w:val="000000" w:themeColor="text1"/>
        </w:rPr>
        <w:t>if( condition 0 )</w:t>
      </w:r>
      <w:r w:rsidR="006F2D97" w:rsidRPr="00A52AB8">
        <w:rPr>
          <w:color w:val="000000" w:themeColor="text1"/>
        </w:rPr>
        <w:br/>
      </w:r>
      <w:r w:rsidR="006F2D97" w:rsidRPr="00A52AB8">
        <w:rPr>
          <w:color w:val="000000" w:themeColor="text1"/>
        </w:rPr>
        <w:tab/>
      </w:r>
      <w:r w:rsidRPr="00A52AB8">
        <w:rPr>
          <w:color w:val="000000" w:themeColor="text1"/>
        </w:rPr>
        <w:t>statement 0</w:t>
      </w:r>
      <w:r w:rsidR="006F2D97" w:rsidRPr="00A52AB8">
        <w:rPr>
          <w:color w:val="000000" w:themeColor="text1"/>
        </w:rPr>
        <w:br/>
      </w:r>
      <w:r w:rsidRPr="00A52AB8">
        <w:rPr>
          <w:color w:val="000000" w:themeColor="text1"/>
        </w:rPr>
        <w:t>else if( condition 1 )</w:t>
      </w:r>
      <w:r w:rsidR="006F2D97" w:rsidRPr="00A52AB8">
        <w:rPr>
          <w:color w:val="000000" w:themeColor="text1"/>
        </w:rPr>
        <w:br/>
      </w:r>
      <w:r w:rsidR="006F2D97" w:rsidRPr="00A52AB8">
        <w:rPr>
          <w:color w:val="000000" w:themeColor="text1"/>
        </w:rPr>
        <w:tab/>
      </w:r>
      <w:r w:rsidRPr="00A52AB8">
        <w:rPr>
          <w:color w:val="000000" w:themeColor="text1"/>
        </w:rPr>
        <w:t>statement 1</w:t>
      </w:r>
      <w:r w:rsidRPr="00A52AB8">
        <w:rPr>
          <w:color w:val="000000" w:themeColor="text1"/>
        </w:rPr>
        <w:br/>
        <w:t>...</w:t>
      </w:r>
      <w:r w:rsidRPr="00A52AB8">
        <w:rPr>
          <w:color w:val="000000" w:themeColor="text1"/>
        </w:rPr>
        <w:br/>
        <w:t>else /* informative remark on remaining condition */</w:t>
      </w:r>
      <w:r w:rsidR="006F2D97" w:rsidRPr="00A52AB8">
        <w:rPr>
          <w:color w:val="000000" w:themeColor="text1"/>
        </w:rPr>
        <w:br/>
      </w:r>
      <w:r w:rsidR="006F2D97" w:rsidRPr="00A52AB8">
        <w:rPr>
          <w:color w:val="000000" w:themeColor="text1"/>
        </w:rPr>
        <w:tab/>
      </w:r>
      <w:r w:rsidRPr="00A52AB8">
        <w:rPr>
          <w:color w:val="000000" w:themeColor="text1"/>
        </w:rPr>
        <w:t>statement n</w:t>
      </w:r>
    </w:p>
    <w:p w14:paraId="143111F2" w14:textId="77777777" w:rsidR="00120E20" w:rsidRPr="00A52AB8" w:rsidRDefault="00120E20">
      <w:pPr>
        <w:rPr>
          <w:color w:val="000000" w:themeColor="text1"/>
        </w:rPr>
      </w:pPr>
      <w:r w:rsidRPr="00A52AB8">
        <w:rPr>
          <w:color w:val="000000" w:themeColor="text1"/>
        </w:rPr>
        <w:t>may be described in the following manner:</w:t>
      </w:r>
    </w:p>
    <w:p w14:paraId="398A2690" w14:textId="77777777" w:rsidR="00120E20" w:rsidRPr="00A52AB8" w:rsidRDefault="00120E20">
      <w:pPr>
        <w:pStyle w:val="enumlev1"/>
        <w:rPr>
          <w:rFonts w:ascii="Cambria" w:hAnsi="Cambria"/>
          <w:color w:val="000000" w:themeColor="text1"/>
          <w:sz w:val="22"/>
          <w:szCs w:val="22"/>
        </w:rPr>
      </w:pPr>
      <w:r w:rsidRPr="00A52AB8">
        <w:rPr>
          <w:rFonts w:ascii="Cambria" w:hAnsi="Cambria"/>
          <w:color w:val="000000" w:themeColor="text1"/>
          <w:sz w:val="22"/>
          <w:szCs w:val="22"/>
        </w:rPr>
        <w:t>... as follows / ... the following applies:</w:t>
      </w:r>
    </w:p>
    <w:p w14:paraId="03F63E41" w14:textId="77777777" w:rsidR="00120E20" w:rsidRPr="00A52AB8" w:rsidRDefault="00120E20">
      <w:pPr>
        <w:pStyle w:val="enumlev1"/>
        <w:rPr>
          <w:rFonts w:ascii="Cambria" w:hAnsi="Cambria"/>
          <w:color w:val="000000" w:themeColor="text1"/>
          <w:sz w:val="22"/>
          <w:szCs w:val="22"/>
        </w:rPr>
      </w:pPr>
      <w:r w:rsidRPr="00A52AB8">
        <w:rPr>
          <w:rFonts w:ascii="Cambria" w:hAnsi="Cambria"/>
          <w:color w:val="000000" w:themeColor="text1"/>
          <w:sz w:val="22"/>
          <w:szCs w:val="22"/>
        </w:rPr>
        <w:t>–</w:t>
      </w:r>
      <w:r w:rsidRPr="00A52AB8">
        <w:rPr>
          <w:rFonts w:ascii="Cambria" w:hAnsi="Cambria"/>
          <w:color w:val="000000" w:themeColor="text1"/>
          <w:sz w:val="22"/>
          <w:szCs w:val="22"/>
        </w:rPr>
        <w:tab/>
        <w:t>If condition 0, statement 0</w:t>
      </w:r>
    </w:p>
    <w:p w14:paraId="18BEF239" w14:textId="77777777" w:rsidR="00120E20" w:rsidRPr="00A52AB8" w:rsidRDefault="00120E20">
      <w:pPr>
        <w:pStyle w:val="enumlev1"/>
        <w:rPr>
          <w:rFonts w:ascii="Cambria" w:hAnsi="Cambria"/>
          <w:color w:val="000000" w:themeColor="text1"/>
          <w:sz w:val="22"/>
          <w:szCs w:val="22"/>
        </w:rPr>
      </w:pPr>
      <w:r w:rsidRPr="00A52AB8">
        <w:rPr>
          <w:rFonts w:ascii="Cambria" w:hAnsi="Cambria"/>
          <w:color w:val="000000" w:themeColor="text1"/>
          <w:sz w:val="22"/>
          <w:szCs w:val="22"/>
        </w:rPr>
        <w:t>–</w:t>
      </w:r>
      <w:r w:rsidRPr="00A52AB8">
        <w:rPr>
          <w:rFonts w:ascii="Cambria" w:hAnsi="Cambria"/>
          <w:color w:val="000000" w:themeColor="text1"/>
          <w:sz w:val="22"/>
          <w:szCs w:val="22"/>
        </w:rPr>
        <w:tab/>
        <w:t>Otherwise, if condition 1, statement 1</w:t>
      </w:r>
    </w:p>
    <w:p w14:paraId="705F276E" w14:textId="77777777" w:rsidR="00120E20" w:rsidRPr="00A52AB8" w:rsidRDefault="00120E20">
      <w:pPr>
        <w:pStyle w:val="enumlev1"/>
        <w:rPr>
          <w:rFonts w:ascii="Cambria" w:hAnsi="Cambria"/>
          <w:color w:val="000000" w:themeColor="text1"/>
          <w:sz w:val="22"/>
          <w:szCs w:val="22"/>
        </w:rPr>
      </w:pPr>
      <w:r w:rsidRPr="00A52AB8">
        <w:rPr>
          <w:rFonts w:ascii="Cambria" w:hAnsi="Cambria"/>
          <w:color w:val="000000" w:themeColor="text1"/>
          <w:sz w:val="22"/>
          <w:szCs w:val="22"/>
        </w:rPr>
        <w:t>–</w:t>
      </w:r>
      <w:r w:rsidRPr="00A52AB8">
        <w:rPr>
          <w:rFonts w:ascii="Cambria" w:hAnsi="Cambria"/>
          <w:color w:val="000000" w:themeColor="text1"/>
          <w:sz w:val="22"/>
          <w:szCs w:val="22"/>
        </w:rPr>
        <w:tab/>
        <w:t>...</w:t>
      </w:r>
    </w:p>
    <w:p w14:paraId="0D78A60B" w14:textId="77777777" w:rsidR="00120E20" w:rsidRPr="00A52AB8" w:rsidRDefault="00120E20">
      <w:pPr>
        <w:pStyle w:val="enumlev1"/>
        <w:rPr>
          <w:rFonts w:ascii="Cambria" w:hAnsi="Cambria"/>
          <w:color w:val="000000" w:themeColor="text1"/>
          <w:sz w:val="22"/>
          <w:szCs w:val="22"/>
        </w:rPr>
      </w:pPr>
      <w:r w:rsidRPr="00A52AB8">
        <w:rPr>
          <w:rFonts w:ascii="Cambria" w:hAnsi="Cambria"/>
          <w:color w:val="000000" w:themeColor="text1"/>
          <w:sz w:val="22"/>
          <w:szCs w:val="22"/>
        </w:rPr>
        <w:t>–</w:t>
      </w:r>
      <w:r w:rsidRPr="00A52AB8">
        <w:rPr>
          <w:rFonts w:ascii="Cambria" w:hAnsi="Cambria"/>
          <w:color w:val="000000" w:themeColor="text1"/>
          <w:sz w:val="22"/>
          <w:szCs w:val="22"/>
        </w:rPr>
        <w:tab/>
        <w:t>Otherwise (informative remark on remaining condition), statement n</w:t>
      </w:r>
    </w:p>
    <w:p w14:paraId="6886A9DE" w14:textId="77777777" w:rsidR="00120E20" w:rsidRPr="00A52AB8" w:rsidRDefault="00120E20">
      <w:pPr>
        <w:rPr>
          <w:color w:val="000000" w:themeColor="text1"/>
        </w:rPr>
      </w:pPr>
      <w:r w:rsidRPr="00A52AB8">
        <w:rPr>
          <w:color w:val="000000" w:themeColor="text1"/>
        </w:rPr>
        <w:t>Each "If ... Otherwise, if ... Otherwise, ..." statement in the text is introduced with "... as follows" or "... the following applies" immediately followed by "If ... ". The last condition of the "If ... Otherwise, if ... Otherwise, ..." is always an "Otherwise, ...". Interleaved "If ... Otherwise, if ... Otherwise, ..." statements can be identified by matching "... as follows" or "... the following applies" with the ending "Otherwise, ...".</w:t>
      </w:r>
    </w:p>
    <w:p w14:paraId="112F9A7E" w14:textId="77777777" w:rsidR="00120E20" w:rsidRPr="00A52AB8" w:rsidRDefault="00120E20">
      <w:pPr>
        <w:rPr>
          <w:color w:val="000000" w:themeColor="text1"/>
        </w:rPr>
      </w:pPr>
      <w:r w:rsidRPr="00A52AB8">
        <w:rPr>
          <w:color w:val="000000" w:themeColor="text1"/>
        </w:rPr>
        <w:t>In the text, a statement of logical operations as would be described mathematically in the following form:</w:t>
      </w:r>
    </w:p>
    <w:p w14:paraId="6A469C60" w14:textId="2A50E244" w:rsidR="00120E20" w:rsidRPr="00A52AB8" w:rsidRDefault="00120E20">
      <w:pPr>
        <w:pStyle w:val="Equation"/>
        <w:ind w:left="806"/>
        <w:rPr>
          <w:color w:val="000000" w:themeColor="text1"/>
        </w:rPr>
      </w:pPr>
      <w:r w:rsidRPr="00A52AB8">
        <w:rPr>
          <w:color w:val="000000" w:themeColor="text1"/>
        </w:rPr>
        <w:t>if( condition 0a</w:t>
      </w:r>
      <w:r w:rsidR="008768E9" w:rsidRPr="00A52AB8">
        <w:rPr>
          <w:color w:val="000000" w:themeColor="text1"/>
        </w:rPr>
        <w:t> &amp;&amp; </w:t>
      </w:r>
      <w:r w:rsidRPr="00A52AB8">
        <w:rPr>
          <w:color w:val="000000" w:themeColor="text1"/>
        </w:rPr>
        <w:t>condition 0b )</w:t>
      </w:r>
      <w:r w:rsidRPr="00A52AB8">
        <w:rPr>
          <w:color w:val="000000" w:themeColor="text1"/>
        </w:rPr>
        <w:br/>
      </w:r>
      <w:r w:rsidR="006F2D97" w:rsidRPr="00A52AB8">
        <w:rPr>
          <w:color w:val="000000" w:themeColor="text1"/>
        </w:rPr>
        <w:tab/>
      </w:r>
      <w:r w:rsidRPr="00A52AB8">
        <w:rPr>
          <w:color w:val="000000" w:themeColor="text1"/>
        </w:rPr>
        <w:t>statement 0</w:t>
      </w:r>
      <w:r w:rsidRPr="00A52AB8">
        <w:rPr>
          <w:color w:val="000000" w:themeColor="text1"/>
        </w:rPr>
        <w:br/>
        <w:t>else if( condition 1a</w:t>
      </w:r>
      <w:r w:rsidR="00816339" w:rsidRPr="00A52AB8">
        <w:rPr>
          <w:color w:val="000000" w:themeColor="text1"/>
        </w:rPr>
        <w:t> </w:t>
      </w:r>
      <w:r w:rsidRPr="00A52AB8">
        <w:rPr>
          <w:color w:val="000000" w:themeColor="text1"/>
        </w:rPr>
        <w:t>||</w:t>
      </w:r>
      <w:r w:rsidR="00816339" w:rsidRPr="00A52AB8">
        <w:rPr>
          <w:color w:val="000000" w:themeColor="text1"/>
        </w:rPr>
        <w:t> </w:t>
      </w:r>
      <w:r w:rsidRPr="00A52AB8">
        <w:rPr>
          <w:color w:val="000000" w:themeColor="text1"/>
        </w:rPr>
        <w:t>condition 1b )</w:t>
      </w:r>
      <w:r w:rsidRPr="00A52AB8">
        <w:rPr>
          <w:color w:val="000000" w:themeColor="text1"/>
        </w:rPr>
        <w:br/>
      </w:r>
      <w:r w:rsidR="006F2D97" w:rsidRPr="00A52AB8">
        <w:rPr>
          <w:color w:val="000000" w:themeColor="text1"/>
        </w:rPr>
        <w:tab/>
      </w:r>
      <w:r w:rsidRPr="00A52AB8">
        <w:rPr>
          <w:color w:val="000000" w:themeColor="text1"/>
        </w:rPr>
        <w:t>statement 1</w:t>
      </w:r>
      <w:r w:rsidR="006F2D97" w:rsidRPr="00A52AB8">
        <w:rPr>
          <w:color w:val="000000" w:themeColor="text1"/>
        </w:rPr>
        <w:br/>
      </w:r>
      <w:r w:rsidRPr="00A52AB8">
        <w:rPr>
          <w:color w:val="000000" w:themeColor="text1"/>
        </w:rPr>
        <w:t>...</w:t>
      </w:r>
      <w:r w:rsidR="006F2D97" w:rsidRPr="00A52AB8">
        <w:rPr>
          <w:color w:val="000000" w:themeColor="text1"/>
        </w:rPr>
        <w:br/>
      </w:r>
      <w:r w:rsidRPr="00A52AB8">
        <w:rPr>
          <w:color w:val="000000" w:themeColor="text1"/>
        </w:rPr>
        <w:t>else</w:t>
      </w:r>
      <w:r w:rsidR="006F2D97" w:rsidRPr="00A52AB8">
        <w:rPr>
          <w:color w:val="000000" w:themeColor="text1"/>
        </w:rPr>
        <w:br/>
      </w:r>
      <w:r w:rsidR="006F2D97" w:rsidRPr="00A52AB8">
        <w:rPr>
          <w:color w:val="000000" w:themeColor="text1"/>
        </w:rPr>
        <w:tab/>
      </w:r>
      <w:r w:rsidRPr="00A52AB8">
        <w:rPr>
          <w:color w:val="000000" w:themeColor="text1"/>
        </w:rPr>
        <w:t>statement n</w:t>
      </w:r>
    </w:p>
    <w:p w14:paraId="31EA0F74" w14:textId="77777777" w:rsidR="00120E20" w:rsidRPr="00A52AB8" w:rsidRDefault="00120E20">
      <w:pPr>
        <w:tabs>
          <w:tab w:val="clear" w:pos="403"/>
        </w:tabs>
        <w:rPr>
          <w:color w:val="000000" w:themeColor="text1"/>
        </w:rPr>
      </w:pPr>
      <w:r w:rsidRPr="00A52AB8">
        <w:rPr>
          <w:color w:val="000000" w:themeColor="text1"/>
        </w:rPr>
        <w:t>may be described in the following manner:</w:t>
      </w:r>
    </w:p>
    <w:p w14:paraId="7B5FA34A" w14:textId="77777777" w:rsidR="00120E20" w:rsidRPr="00A52AB8" w:rsidRDefault="00120E20">
      <w:pPr>
        <w:tabs>
          <w:tab w:val="clear" w:pos="403"/>
        </w:tabs>
        <w:ind w:left="720"/>
        <w:rPr>
          <w:color w:val="000000" w:themeColor="text1"/>
        </w:rPr>
      </w:pPr>
      <w:r w:rsidRPr="00A52AB8">
        <w:rPr>
          <w:color w:val="000000" w:themeColor="text1"/>
        </w:rPr>
        <w:t>... as follows / ... the following applies:</w:t>
      </w:r>
    </w:p>
    <w:p w14:paraId="1F083908" w14:textId="77777777" w:rsidR="00120E20" w:rsidRPr="00A52AB8" w:rsidRDefault="00120E20">
      <w:pPr>
        <w:pStyle w:val="enumlev1"/>
        <w:tabs>
          <w:tab w:val="clear" w:pos="794"/>
          <w:tab w:val="clear" w:pos="1191"/>
          <w:tab w:val="clear" w:pos="1588"/>
          <w:tab w:val="clear" w:pos="1985"/>
        </w:tabs>
        <w:rPr>
          <w:rFonts w:ascii="Cambria" w:hAnsi="Cambria"/>
          <w:color w:val="000000" w:themeColor="text1"/>
          <w:sz w:val="22"/>
          <w:szCs w:val="22"/>
        </w:rPr>
      </w:pPr>
      <w:r w:rsidRPr="00A52AB8">
        <w:rPr>
          <w:rFonts w:ascii="Cambria" w:hAnsi="Cambria"/>
          <w:color w:val="000000" w:themeColor="text1"/>
          <w:sz w:val="22"/>
          <w:szCs w:val="22"/>
        </w:rPr>
        <w:t>–</w:t>
      </w:r>
      <w:r w:rsidRPr="00A52AB8">
        <w:rPr>
          <w:rFonts w:ascii="Cambria" w:hAnsi="Cambria"/>
          <w:color w:val="000000" w:themeColor="text1"/>
          <w:sz w:val="22"/>
          <w:szCs w:val="22"/>
        </w:rPr>
        <w:tab/>
        <w:t>If all of the following conditions are true, statement 0:</w:t>
      </w:r>
    </w:p>
    <w:p w14:paraId="1980B828" w14:textId="77777777" w:rsidR="00120E20" w:rsidRPr="00A52AB8" w:rsidRDefault="00120E20">
      <w:pPr>
        <w:pStyle w:val="enumlev1"/>
        <w:tabs>
          <w:tab w:val="clear" w:pos="794"/>
          <w:tab w:val="clear" w:pos="1191"/>
          <w:tab w:val="clear" w:pos="1588"/>
          <w:tab w:val="clear" w:pos="1985"/>
        </w:tabs>
        <w:ind w:left="1588"/>
        <w:rPr>
          <w:rFonts w:ascii="Cambria" w:hAnsi="Cambria"/>
          <w:color w:val="000000" w:themeColor="text1"/>
          <w:sz w:val="22"/>
          <w:szCs w:val="22"/>
        </w:rPr>
      </w:pPr>
      <w:r w:rsidRPr="00A52AB8">
        <w:rPr>
          <w:rFonts w:ascii="Cambria" w:hAnsi="Cambria"/>
          <w:color w:val="000000" w:themeColor="text1"/>
          <w:sz w:val="22"/>
          <w:szCs w:val="22"/>
        </w:rPr>
        <w:t>–</w:t>
      </w:r>
      <w:r w:rsidRPr="00A52AB8">
        <w:rPr>
          <w:rFonts w:ascii="Cambria" w:hAnsi="Cambria"/>
          <w:color w:val="000000" w:themeColor="text1"/>
          <w:sz w:val="22"/>
          <w:szCs w:val="22"/>
        </w:rPr>
        <w:tab/>
        <w:t>condition 0a</w:t>
      </w:r>
    </w:p>
    <w:p w14:paraId="7A259E9C" w14:textId="77777777" w:rsidR="00120E20" w:rsidRPr="00A52AB8" w:rsidRDefault="00120E20">
      <w:pPr>
        <w:pStyle w:val="enumlev1"/>
        <w:tabs>
          <w:tab w:val="clear" w:pos="794"/>
          <w:tab w:val="clear" w:pos="1191"/>
          <w:tab w:val="clear" w:pos="1588"/>
          <w:tab w:val="clear" w:pos="1985"/>
        </w:tabs>
        <w:ind w:left="1588"/>
        <w:rPr>
          <w:rFonts w:ascii="Cambria" w:hAnsi="Cambria"/>
          <w:color w:val="000000" w:themeColor="text1"/>
          <w:sz w:val="22"/>
          <w:szCs w:val="22"/>
        </w:rPr>
      </w:pPr>
      <w:r w:rsidRPr="00A52AB8">
        <w:rPr>
          <w:rFonts w:ascii="Cambria" w:hAnsi="Cambria"/>
          <w:color w:val="000000" w:themeColor="text1"/>
          <w:sz w:val="22"/>
          <w:szCs w:val="22"/>
        </w:rPr>
        <w:t>–</w:t>
      </w:r>
      <w:r w:rsidRPr="00A52AB8">
        <w:rPr>
          <w:rFonts w:ascii="Cambria" w:hAnsi="Cambria"/>
          <w:color w:val="000000" w:themeColor="text1"/>
          <w:sz w:val="22"/>
          <w:szCs w:val="22"/>
        </w:rPr>
        <w:tab/>
        <w:t>condition 0b</w:t>
      </w:r>
    </w:p>
    <w:p w14:paraId="1042BCD6" w14:textId="77777777" w:rsidR="00120E20" w:rsidRPr="00A52AB8" w:rsidRDefault="00120E20">
      <w:pPr>
        <w:pStyle w:val="enumlev1"/>
        <w:tabs>
          <w:tab w:val="clear" w:pos="794"/>
          <w:tab w:val="clear" w:pos="1191"/>
          <w:tab w:val="clear" w:pos="1588"/>
          <w:tab w:val="clear" w:pos="1985"/>
        </w:tabs>
        <w:rPr>
          <w:rFonts w:ascii="Cambria" w:hAnsi="Cambria"/>
          <w:color w:val="000000" w:themeColor="text1"/>
          <w:sz w:val="22"/>
          <w:szCs w:val="22"/>
        </w:rPr>
      </w:pPr>
      <w:r w:rsidRPr="00A52AB8">
        <w:rPr>
          <w:rFonts w:ascii="Cambria" w:hAnsi="Cambria"/>
          <w:color w:val="000000" w:themeColor="text1"/>
          <w:sz w:val="22"/>
          <w:szCs w:val="22"/>
        </w:rPr>
        <w:t>–</w:t>
      </w:r>
      <w:r w:rsidRPr="00A52AB8">
        <w:rPr>
          <w:rFonts w:ascii="Cambria" w:hAnsi="Cambria"/>
          <w:color w:val="000000" w:themeColor="text1"/>
          <w:sz w:val="22"/>
          <w:szCs w:val="22"/>
        </w:rPr>
        <w:tab/>
        <w:t>Otherwise, if one or more of the following conditions are true, statement 1:</w:t>
      </w:r>
    </w:p>
    <w:p w14:paraId="6B532273" w14:textId="77777777" w:rsidR="00120E20" w:rsidRPr="00A52AB8" w:rsidRDefault="00120E20">
      <w:pPr>
        <w:pStyle w:val="enumlev1"/>
        <w:tabs>
          <w:tab w:val="clear" w:pos="794"/>
          <w:tab w:val="clear" w:pos="1191"/>
          <w:tab w:val="clear" w:pos="1588"/>
          <w:tab w:val="clear" w:pos="1985"/>
        </w:tabs>
        <w:ind w:left="1588"/>
        <w:rPr>
          <w:rFonts w:ascii="Cambria" w:hAnsi="Cambria"/>
          <w:color w:val="000000" w:themeColor="text1"/>
          <w:sz w:val="22"/>
          <w:szCs w:val="22"/>
        </w:rPr>
      </w:pPr>
      <w:r w:rsidRPr="00A52AB8">
        <w:rPr>
          <w:rFonts w:ascii="Cambria" w:hAnsi="Cambria"/>
          <w:color w:val="000000" w:themeColor="text1"/>
          <w:sz w:val="22"/>
          <w:szCs w:val="22"/>
        </w:rPr>
        <w:t>–</w:t>
      </w:r>
      <w:r w:rsidRPr="00A52AB8">
        <w:rPr>
          <w:rFonts w:ascii="Cambria" w:hAnsi="Cambria"/>
          <w:color w:val="000000" w:themeColor="text1"/>
          <w:sz w:val="22"/>
          <w:szCs w:val="22"/>
        </w:rPr>
        <w:tab/>
        <w:t>condition 1a</w:t>
      </w:r>
    </w:p>
    <w:p w14:paraId="6F5D8545" w14:textId="77777777" w:rsidR="00120E20" w:rsidRPr="00A52AB8" w:rsidRDefault="00120E20">
      <w:pPr>
        <w:pStyle w:val="enumlev1"/>
        <w:tabs>
          <w:tab w:val="clear" w:pos="794"/>
          <w:tab w:val="clear" w:pos="1191"/>
          <w:tab w:val="clear" w:pos="1588"/>
          <w:tab w:val="clear" w:pos="1985"/>
        </w:tabs>
        <w:ind w:left="1588"/>
        <w:rPr>
          <w:rFonts w:ascii="Cambria" w:hAnsi="Cambria"/>
          <w:color w:val="000000" w:themeColor="text1"/>
          <w:sz w:val="22"/>
          <w:szCs w:val="22"/>
        </w:rPr>
      </w:pPr>
      <w:r w:rsidRPr="00A52AB8">
        <w:rPr>
          <w:rFonts w:ascii="Cambria" w:hAnsi="Cambria"/>
          <w:color w:val="000000" w:themeColor="text1"/>
          <w:sz w:val="22"/>
          <w:szCs w:val="22"/>
        </w:rPr>
        <w:t>–</w:t>
      </w:r>
      <w:r w:rsidRPr="00A52AB8">
        <w:rPr>
          <w:rFonts w:ascii="Cambria" w:hAnsi="Cambria"/>
          <w:color w:val="000000" w:themeColor="text1"/>
          <w:sz w:val="22"/>
          <w:szCs w:val="22"/>
        </w:rPr>
        <w:tab/>
        <w:t>condition 1b</w:t>
      </w:r>
    </w:p>
    <w:p w14:paraId="71CE8CB1" w14:textId="77777777" w:rsidR="00120E20" w:rsidRPr="00A52AB8" w:rsidRDefault="00120E20">
      <w:pPr>
        <w:pStyle w:val="enumlev1"/>
        <w:tabs>
          <w:tab w:val="clear" w:pos="794"/>
          <w:tab w:val="clear" w:pos="1191"/>
          <w:tab w:val="clear" w:pos="1588"/>
          <w:tab w:val="clear" w:pos="1985"/>
        </w:tabs>
        <w:rPr>
          <w:rFonts w:ascii="Cambria" w:hAnsi="Cambria"/>
          <w:color w:val="000000" w:themeColor="text1"/>
          <w:sz w:val="22"/>
          <w:szCs w:val="22"/>
        </w:rPr>
      </w:pPr>
      <w:r w:rsidRPr="00A52AB8">
        <w:rPr>
          <w:rFonts w:ascii="Cambria" w:hAnsi="Cambria"/>
          <w:color w:val="000000" w:themeColor="text1"/>
          <w:sz w:val="22"/>
          <w:szCs w:val="22"/>
        </w:rPr>
        <w:t>–</w:t>
      </w:r>
      <w:r w:rsidRPr="00A52AB8">
        <w:rPr>
          <w:rFonts w:ascii="Cambria" w:hAnsi="Cambria"/>
          <w:color w:val="000000" w:themeColor="text1"/>
          <w:sz w:val="22"/>
          <w:szCs w:val="22"/>
        </w:rPr>
        <w:tab/>
        <w:t>...</w:t>
      </w:r>
    </w:p>
    <w:p w14:paraId="1BF86068" w14:textId="77777777" w:rsidR="00120E20" w:rsidRPr="00A52AB8" w:rsidRDefault="00120E20">
      <w:pPr>
        <w:pStyle w:val="enumlev1"/>
        <w:tabs>
          <w:tab w:val="clear" w:pos="794"/>
          <w:tab w:val="clear" w:pos="1191"/>
          <w:tab w:val="clear" w:pos="1588"/>
          <w:tab w:val="clear" w:pos="1985"/>
        </w:tabs>
        <w:rPr>
          <w:rFonts w:ascii="Cambria" w:hAnsi="Cambria"/>
          <w:color w:val="000000" w:themeColor="text1"/>
          <w:sz w:val="22"/>
          <w:szCs w:val="22"/>
        </w:rPr>
      </w:pPr>
      <w:r w:rsidRPr="00A52AB8">
        <w:rPr>
          <w:rFonts w:ascii="Cambria" w:hAnsi="Cambria"/>
          <w:color w:val="000000" w:themeColor="text1"/>
          <w:sz w:val="22"/>
          <w:szCs w:val="22"/>
        </w:rPr>
        <w:t>–</w:t>
      </w:r>
      <w:r w:rsidRPr="00A52AB8">
        <w:rPr>
          <w:rFonts w:ascii="Cambria" w:hAnsi="Cambria"/>
          <w:color w:val="000000" w:themeColor="text1"/>
          <w:sz w:val="22"/>
          <w:szCs w:val="22"/>
        </w:rPr>
        <w:tab/>
        <w:t>Otherwise, statement n</w:t>
      </w:r>
    </w:p>
    <w:p w14:paraId="2297443C" w14:textId="77777777" w:rsidR="00120E20" w:rsidRPr="00A52AB8" w:rsidRDefault="00120E20">
      <w:pPr>
        <w:keepNext/>
        <w:keepLines/>
        <w:rPr>
          <w:color w:val="000000" w:themeColor="text1"/>
        </w:rPr>
      </w:pPr>
      <w:r w:rsidRPr="00A52AB8">
        <w:rPr>
          <w:color w:val="000000" w:themeColor="text1"/>
        </w:rPr>
        <w:lastRenderedPageBreak/>
        <w:t>In the text, a statement of logical operations as would be described mathematically in the following form:</w:t>
      </w:r>
    </w:p>
    <w:p w14:paraId="20216C18" w14:textId="77777777" w:rsidR="00120E20" w:rsidRPr="00A52AB8" w:rsidRDefault="00120E20">
      <w:pPr>
        <w:pStyle w:val="Equation"/>
        <w:keepNext/>
        <w:keepLines/>
        <w:ind w:left="806"/>
        <w:rPr>
          <w:color w:val="000000" w:themeColor="text1"/>
        </w:rPr>
      </w:pPr>
      <w:r w:rsidRPr="00A52AB8">
        <w:rPr>
          <w:color w:val="000000" w:themeColor="text1"/>
        </w:rPr>
        <w:t>if(</w:t>
      </w:r>
      <w:r w:rsidR="003A5206" w:rsidRPr="00A52AB8">
        <w:rPr>
          <w:color w:val="000000" w:themeColor="text1"/>
        </w:rPr>
        <w:t> </w:t>
      </w:r>
      <w:r w:rsidRPr="00A52AB8">
        <w:rPr>
          <w:color w:val="000000" w:themeColor="text1"/>
        </w:rPr>
        <w:t>condition</w:t>
      </w:r>
      <w:r w:rsidR="003E2200" w:rsidRPr="00A52AB8">
        <w:rPr>
          <w:color w:val="000000" w:themeColor="text1"/>
        </w:rPr>
        <w:t> </w:t>
      </w:r>
      <w:r w:rsidRPr="00A52AB8">
        <w:rPr>
          <w:color w:val="000000" w:themeColor="text1"/>
        </w:rPr>
        <w:t>0</w:t>
      </w:r>
      <w:r w:rsidR="003E2200" w:rsidRPr="00A52AB8">
        <w:rPr>
          <w:color w:val="000000" w:themeColor="text1"/>
        </w:rPr>
        <w:t> </w:t>
      </w:r>
      <w:r w:rsidRPr="00A52AB8">
        <w:rPr>
          <w:color w:val="000000" w:themeColor="text1"/>
        </w:rPr>
        <w:t>)</w:t>
      </w:r>
      <w:r w:rsidRPr="00A52AB8">
        <w:rPr>
          <w:color w:val="000000" w:themeColor="text1"/>
        </w:rPr>
        <w:br/>
      </w:r>
      <w:r w:rsidR="006F2D97" w:rsidRPr="00A52AB8">
        <w:rPr>
          <w:color w:val="000000" w:themeColor="text1"/>
        </w:rPr>
        <w:tab/>
      </w:r>
      <w:r w:rsidRPr="00A52AB8">
        <w:rPr>
          <w:color w:val="000000" w:themeColor="text1"/>
        </w:rPr>
        <w:t>statement 0</w:t>
      </w:r>
      <w:r w:rsidRPr="00A52AB8">
        <w:rPr>
          <w:color w:val="000000" w:themeColor="text1"/>
        </w:rPr>
        <w:br/>
        <w:t>if(</w:t>
      </w:r>
      <w:r w:rsidR="003E2200" w:rsidRPr="00A52AB8">
        <w:rPr>
          <w:color w:val="000000" w:themeColor="text1"/>
        </w:rPr>
        <w:t> </w:t>
      </w:r>
      <w:r w:rsidRPr="00A52AB8">
        <w:rPr>
          <w:color w:val="000000" w:themeColor="text1"/>
        </w:rPr>
        <w:t>condition</w:t>
      </w:r>
      <w:r w:rsidR="003E2200" w:rsidRPr="00A52AB8">
        <w:rPr>
          <w:color w:val="000000" w:themeColor="text1"/>
        </w:rPr>
        <w:t> </w:t>
      </w:r>
      <w:r w:rsidRPr="00A52AB8">
        <w:rPr>
          <w:color w:val="000000" w:themeColor="text1"/>
        </w:rPr>
        <w:t>1</w:t>
      </w:r>
      <w:r w:rsidR="003E2200" w:rsidRPr="00A52AB8">
        <w:rPr>
          <w:color w:val="000000" w:themeColor="text1"/>
        </w:rPr>
        <w:t> </w:t>
      </w:r>
      <w:r w:rsidRPr="00A52AB8">
        <w:rPr>
          <w:color w:val="000000" w:themeColor="text1"/>
        </w:rPr>
        <w:t>)</w:t>
      </w:r>
      <w:r w:rsidRPr="00A52AB8">
        <w:rPr>
          <w:color w:val="000000" w:themeColor="text1"/>
        </w:rPr>
        <w:br/>
      </w:r>
      <w:r w:rsidR="006F2D97" w:rsidRPr="00A52AB8">
        <w:rPr>
          <w:color w:val="000000" w:themeColor="text1"/>
        </w:rPr>
        <w:tab/>
      </w:r>
      <w:r w:rsidRPr="00A52AB8">
        <w:rPr>
          <w:color w:val="000000" w:themeColor="text1"/>
        </w:rPr>
        <w:t>statement 1</w:t>
      </w:r>
    </w:p>
    <w:p w14:paraId="3D3C9455" w14:textId="77777777" w:rsidR="00120E20" w:rsidRPr="00A52AB8" w:rsidRDefault="00120E20">
      <w:pPr>
        <w:rPr>
          <w:color w:val="000000" w:themeColor="text1"/>
        </w:rPr>
      </w:pPr>
      <w:r w:rsidRPr="00A52AB8">
        <w:rPr>
          <w:color w:val="000000" w:themeColor="text1"/>
        </w:rPr>
        <w:t>may be described in the following manner:</w:t>
      </w:r>
    </w:p>
    <w:p w14:paraId="581362E2" w14:textId="77777777" w:rsidR="00120E20" w:rsidRPr="00A52AB8" w:rsidRDefault="00120E20">
      <w:pPr>
        <w:pStyle w:val="enumlev1"/>
        <w:rPr>
          <w:rFonts w:ascii="Cambria" w:hAnsi="Cambria"/>
          <w:color w:val="000000" w:themeColor="text1"/>
          <w:sz w:val="22"/>
          <w:szCs w:val="22"/>
        </w:rPr>
      </w:pPr>
      <w:r w:rsidRPr="00A52AB8">
        <w:rPr>
          <w:rFonts w:ascii="Cambria" w:hAnsi="Cambria"/>
          <w:color w:val="000000" w:themeColor="text1"/>
          <w:sz w:val="22"/>
          <w:szCs w:val="22"/>
        </w:rPr>
        <w:t>When condition 0, statement 0</w:t>
      </w:r>
    </w:p>
    <w:p w14:paraId="7AC5686A" w14:textId="77777777" w:rsidR="00120E20" w:rsidRPr="00A52AB8" w:rsidRDefault="00120E20">
      <w:pPr>
        <w:pStyle w:val="enumlev1"/>
        <w:spacing w:after="240"/>
        <w:ind w:left="1195" w:hanging="403"/>
        <w:rPr>
          <w:rFonts w:ascii="Cambria" w:hAnsi="Cambria"/>
          <w:color w:val="000000" w:themeColor="text1"/>
          <w:sz w:val="22"/>
          <w:szCs w:val="22"/>
        </w:rPr>
      </w:pPr>
      <w:r w:rsidRPr="00A52AB8">
        <w:rPr>
          <w:rFonts w:ascii="Cambria" w:hAnsi="Cambria"/>
          <w:color w:val="000000" w:themeColor="text1"/>
          <w:sz w:val="22"/>
          <w:szCs w:val="22"/>
        </w:rPr>
        <w:t>When condition 1, statement 1</w:t>
      </w:r>
    </w:p>
    <w:p w14:paraId="0243B56E" w14:textId="77777777" w:rsidR="00B46A68" w:rsidRPr="00A52AB8" w:rsidRDefault="00B46A68" w:rsidP="00534CC9">
      <w:pPr>
        <w:keepNext/>
        <w:keepLines/>
        <w:rPr>
          <w:color w:val="000000" w:themeColor="text1"/>
        </w:rPr>
      </w:pPr>
      <w:r w:rsidRPr="00A52AB8">
        <w:rPr>
          <w:color w:val="000000" w:themeColor="text1"/>
        </w:rPr>
        <w:t>In addition, a “continue” statement, which is used within loops, is defined as follows:</w:t>
      </w:r>
    </w:p>
    <w:p w14:paraId="7A93E771" w14:textId="77777777" w:rsidR="00B46A68" w:rsidRPr="00A52AB8" w:rsidRDefault="00B46A68" w:rsidP="00534CC9">
      <w:pPr>
        <w:keepNext/>
        <w:keepLines/>
        <w:rPr>
          <w:color w:val="000000" w:themeColor="text1"/>
        </w:rPr>
      </w:pPr>
      <w:r w:rsidRPr="00A52AB8">
        <w:rPr>
          <w:color w:val="000000" w:themeColor="text1"/>
        </w:rPr>
        <w:t>The “continue” statement, when encountered inside a loop, jumps to the beginning of the loop for the next iteration. This results in skipping the execution of subsequent statements inside the body of the loop for the current iteration. For example:</w:t>
      </w:r>
    </w:p>
    <w:p w14:paraId="1722D9E2" w14:textId="6ADC31B0" w:rsidR="00534CC9" w:rsidRPr="00A52AB8" w:rsidRDefault="00534CC9" w:rsidP="00534CC9">
      <w:pPr>
        <w:pStyle w:val="Equation"/>
        <w:keepNext/>
        <w:keepLines/>
        <w:ind w:left="806"/>
        <w:rPr>
          <w:color w:val="000000" w:themeColor="text1"/>
        </w:rPr>
      </w:pPr>
      <w:r w:rsidRPr="00A52AB8">
        <w:rPr>
          <w:color w:val="000000" w:themeColor="text1"/>
        </w:rPr>
        <w:t>for( j =0; j &lt; N; j++</w:t>
      </w:r>
      <w:r w:rsidR="00F52217" w:rsidRPr="00A52AB8">
        <w:rPr>
          <w:color w:val="000000" w:themeColor="text1"/>
        </w:rPr>
        <w:t> </w:t>
      </w:r>
      <w:r w:rsidR="008F1F82" w:rsidRPr="00A52AB8">
        <w:rPr>
          <w:color w:val="000000" w:themeColor="text1"/>
        </w:rPr>
        <w:t>) {</w:t>
      </w:r>
      <w:r w:rsidRPr="00A52AB8">
        <w:rPr>
          <w:color w:val="000000" w:themeColor="text1"/>
        </w:rPr>
        <w:br/>
      </w:r>
      <w:r w:rsidRPr="00A52AB8">
        <w:rPr>
          <w:color w:val="000000" w:themeColor="text1"/>
        </w:rPr>
        <w:tab/>
        <w:t>statement 0</w:t>
      </w:r>
      <w:r w:rsidRPr="00A52AB8">
        <w:rPr>
          <w:color w:val="000000" w:themeColor="text1"/>
        </w:rPr>
        <w:br/>
      </w:r>
      <w:r w:rsidRPr="00A52AB8">
        <w:rPr>
          <w:color w:val="000000" w:themeColor="text1"/>
        </w:rPr>
        <w:tab/>
        <w:t>if( condition 1 )</w:t>
      </w:r>
      <w:r w:rsidRPr="00A52AB8">
        <w:rPr>
          <w:color w:val="000000" w:themeColor="text1"/>
        </w:rPr>
        <w:br/>
      </w:r>
      <w:r w:rsidRPr="00A52AB8">
        <w:rPr>
          <w:color w:val="000000" w:themeColor="text1"/>
        </w:rPr>
        <w:tab/>
      </w:r>
      <w:r w:rsidRPr="00A52AB8">
        <w:rPr>
          <w:color w:val="000000" w:themeColor="text1"/>
        </w:rPr>
        <w:tab/>
        <w:t>continue</w:t>
      </w:r>
      <w:r w:rsidRPr="00A52AB8">
        <w:rPr>
          <w:color w:val="000000" w:themeColor="text1"/>
        </w:rPr>
        <w:br/>
      </w:r>
      <w:r w:rsidRPr="00A52AB8">
        <w:rPr>
          <w:color w:val="000000" w:themeColor="text1"/>
        </w:rPr>
        <w:tab/>
        <w:t>statement 1</w:t>
      </w:r>
      <w:r w:rsidRPr="00A52AB8">
        <w:rPr>
          <w:color w:val="000000" w:themeColor="text1"/>
        </w:rPr>
        <w:br/>
      </w:r>
      <w:r w:rsidRPr="00A52AB8">
        <w:rPr>
          <w:color w:val="000000" w:themeColor="text1"/>
        </w:rPr>
        <w:tab/>
        <w:t>statement 2</w:t>
      </w:r>
      <w:r w:rsidRPr="00A52AB8">
        <w:rPr>
          <w:color w:val="000000" w:themeColor="text1"/>
        </w:rPr>
        <w:br/>
        <w:t>}</w:t>
      </w:r>
    </w:p>
    <w:p w14:paraId="2F0D7903" w14:textId="77777777" w:rsidR="00534CC9" w:rsidRPr="00A52AB8" w:rsidRDefault="00534CC9" w:rsidP="00534CC9">
      <w:pPr>
        <w:rPr>
          <w:color w:val="000000" w:themeColor="text1"/>
        </w:rPr>
      </w:pPr>
      <w:r w:rsidRPr="00A52AB8">
        <w:rPr>
          <w:color w:val="000000" w:themeColor="text1"/>
        </w:rPr>
        <w:t>is equivalent to the following:</w:t>
      </w:r>
    </w:p>
    <w:p w14:paraId="32E82DA0" w14:textId="1C6B159D" w:rsidR="00534CC9" w:rsidRPr="00A52AB8" w:rsidRDefault="00534CC9" w:rsidP="00534CC9">
      <w:pPr>
        <w:pStyle w:val="Equation"/>
        <w:keepNext/>
        <w:keepLines/>
        <w:ind w:left="806"/>
        <w:rPr>
          <w:color w:val="000000" w:themeColor="text1"/>
        </w:rPr>
      </w:pPr>
      <w:r w:rsidRPr="00A52AB8">
        <w:rPr>
          <w:color w:val="000000" w:themeColor="text1"/>
        </w:rPr>
        <w:t>for( j =0; j &lt; N; j++</w:t>
      </w:r>
      <w:r w:rsidR="00F52217" w:rsidRPr="00A52AB8">
        <w:rPr>
          <w:color w:val="000000" w:themeColor="text1"/>
        </w:rPr>
        <w:t> </w:t>
      </w:r>
      <w:r w:rsidR="008F1F82" w:rsidRPr="00A52AB8">
        <w:rPr>
          <w:color w:val="000000" w:themeColor="text1"/>
        </w:rPr>
        <w:t>) {</w:t>
      </w:r>
      <w:r w:rsidRPr="00A52AB8">
        <w:rPr>
          <w:color w:val="000000" w:themeColor="text1"/>
        </w:rPr>
        <w:br/>
      </w:r>
      <w:r w:rsidRPr="00A52AB8">
        <w:rPr>
          <w:color w:val="000000" w:themeColor="text1"/>
        </w:rPr>
        <w:tab/>
        <w:t>statement 0</w:t>
      </w:r>
      <w:r w:rsidRPr="00A52AB8">
        <w:rPr>
          <w:color w:val="000000" w:themeColor="text1"/>
        </w:rPr>
        <w:br/>
      </w:r>
      <w:r w:rsidRPr="00A52AB8">
        <w:rPr>
          <w:color w:val="000000" w:themeColor="text1"/>
        </w:rPr>
        <w:tab/>
        <w:t>if( !condition 1 </w:t>
      </w:r>
      <w:r w:rsidR="008F1F82" w:rsidRPr="00A52AB8">
        <w:rPr>
          <w:color w:val="000000" w:themeColor="text1"/>
        </w:rPr>
        <w:t>) {</w:t>
      </w:r>
      <w:r w:rsidRPr="00A52AB8">
        <w:rPr>
          <w:color w:val="000000" w:themeColor="text1"/>
        </w:rPr>
        <w:br/>
      </w:r>
      <w:r w:rsidRPr="00A52AB8">
        <w:rPr>
          <w:color w:val="000000" w:themeColor="text1"/>
        </w:rPr>
        <w:tab/>
      </w:r>
      <w:r w:rsidRPr="00A52AB8">
        <w:rPr>
          <w:color w:val="000000" w:themeColor="text1"/>
        </w:rPr>
        <w:tab/>
        <w:t>statement </w:t>
      </w:r>
      <w:r w:rsidR="00B46A68" w:rsidRPr="00A52AB8">
        <w:rPr>
          <w:color w:val="000000" w:themeColor="text1"/>
        </w:rPr>
        <w:t>1</w:t>
      </w:r>
      <w:r w:rsidRPr="00A52AB8">
        <w:rPr>
          <w:color w:val="000000" w:themeColor="text1"/>
        </w:rPr>
        <w:br/>
      </w:r>
      <w:r w:rsidRPr="00A52AB8">
        <w:rPr>
          <w:color w:val="000000" w:themeColor="text1"/>
        </w:rPr>
        <w:tab/>
      </w:r>
      <w:r w:rsidRPr="00A52AB8">
        <w:rPr>
          <w:color w:val="000000" w:themeColor="text1"/>
        </w:rPr>
        <w:tab/>
        <w:t>statement </w:t>
      </w:r>
      <w:r w:rsidR="00B46A68" w:rsidRPr="00A52AB8">
        <w:rPr>
          <w:color w:val="000000" w:themeColor="text1"/>
        </w:rPr>
        <w:t>2</w:t>
      </w:r>
      <w:r w:rsidRPr="00A52AB8">
        <w:rPr>
          <w:color w:val="000000" w:themeColor="text1"/>
        </w:rPr>
        <w:br/>
      </w:r>
      <w:r w:rsidRPr="00A52AB8">
        <w:rPr>
          <w:color w:val="000000" w:themeColor="text1"/>
        </w:rPr>
        <w:tab/>
        <w:t>}</w:t>
      </w:r>
      <w:r w:rsidRPr="00A52AB8">
        <w:rPr>
          <w:color w:val="000000" w:themeColor="text1"/>
        </w:rPr>
        <w:br/>
        <w:t>}</w:t>
      </w:r>
    </w:p>
    <w:p w14:paraId="60E4EE5F" w14:textId="5A94D42A" w:rsidR="00120E20" w:rsidRPr="00A52AB8" w:rsidRDefault="00120E20">
      <w:pPr>
        <w:pStyle w:val="Heading2"/>
        <w:rPr>
          <w:color w:val="000000" w:themeColor="text1"/>
        </w:rPr>
      </w:pPr>
      <w:bookmarkStart w:id="474" w:name="_Toc77680344"/>
      <w:bookmarkStart w:id="475" w:name="_Toc118289010"/>
      <w:bookmarkStart w:id="476" w:name="_Toc226456481"/>
      <w:bookmarkStart w:id="477" w:name="_Toc248045184"/>
      <w:bookmarkStart w:id="478" w:name="_Toc287363740"/>
      <w:bookmarkStart w:id="479" w:name="_Toc311216723"/>
      <w:bookmarkStart w:id="480" w:name="_Toc317198688"/>
      <w:bookmarkStart w:id="481" w:name="_Toc390728011"/>
      <w:bookmarkStart w:id="482" w:name="_Toc511952621"/>
      <w:bookmarkStart w:id="483" w:name="_Toc52181589"/>
      <w:r w:rsidRPr="00A52AB8">
        <w:rPr>
          <w:color w:val="000000" w:themeColor="text1"/>
        </w:rPr>
        <w:t>Processes</w:t>
      </w:r>
      <w:bookmarkEnd w:id="474"/>
      <w:bookmarkEnd w:id="475"/>
      <w:bookmarkEnd w:id="476"/>
      <w:bookmarkEnd w:id="477"/>
      <w:bookmarkEnd w:id="478"/>
      <w:bookmarkEnd w:id="479"/>
      <w:bookmarkEnd w:id="480"/>
      <w:bookmarkEnd w:id="481"/>
      <w:bookmarkEnd w:id="482"/>
      <w:bookmarkEnd w:id="483"/>
    </w:p>
    <w:p w14:paraId="49998E4C" w14:textId="77777777" w:rsidR="00120E20" w:rsidRPr="00A52AB8" w:rsidRDefault="00120E20">
      <w:pPr>
        <w:rPr>
          <w:color w:val="000000" w:themeColor="text1"/>
        </w:rPr>
      </w:pPr>
      <w:r w:rsidRPr="00A52AB8">
        <w:rPr>
          <w:color w:val="000000" w:themeColor="text1"/>
        </w:rPr>
        <w:t>Processes are used to describe the decoding of syntax elements. A process has a separate specification and invoking. All syntax elements and upper case variables that pertain to the current syntax structure and depending syntax structures are available in the process specification and invoking. A process specification may also have a lower case variable explicitly specified as input. Each process specification has explicitly specified an output. The output is a variable that can either be an upper case variable or a lower case variable.</w:t>
      </w:r>
    </w:p>
    <w:p w14:paraId="22F4E702" w14:textId="77777777" w:rsidR="00120E20" w:rsidRPr="00A52AB8" w:rsidRDefault="00120E20">
      <w:pPr>
        <w:rPr>
          <w:color w:val="000000" w:themeColor="text1"/>
        </w:rPr>
      </w:pPr>
      <w:r w:rsidRPr="00A52AB8">
        <w:rPr>
          <w:color w:val="000000" w:themeColor="text1"/>
        </w:rPr>
        <w:t>When invoking a process, the assignment of variables is specified as follows:</w:t>
      </w:r>
    </w:p>
    <w:p w14:paraId="284EF2B2" w14:textId="77777777" w:rsidR="00120E20" w:rsidRPr="00A52AB8" w:rsidRDefault="00120E20">
      <w:pPr>
        <w:pStyle w:val="enumlev1"/>
        <w:ind w:left="397"/>
        <w:rPr>
          <w:rFonts w:ascii="Cambria" w:hAnsi="Cambria"/>
          <w:color w:val="000000" w:themeColor="text1"/>
          <w:sz w:val="22"/>
          <w:szCs w:val="22"/>
        </w:rPr>
      </w:pPr>
      <w:r w:rsidRPr="00A52AB8">
        <w:rPr>
          <w:rFonts w:ascii="Cambria" w:hAnsi="Cambria"/>
          <w:color w:val="000000" w:themeColor="text1"/>
          <w:sz w:val="22"/>
          <w:szCs w:val="22"/>
        </w:rPr>
        <w:t>–</w:t>
      </w:r>
      <w:r w:rsidRPr="00A52AB8">
        <w:rPr>
          <w:rFonts w:ascii="Cambria" w:hAnsi="Cambria"/>
          <w:color w:val="000000" w:themeColor="text1"/>
          <w:sz w:val="22"/>
          <w:szCs w:val="22"/>
        </w:rPr>
        <w:tab/>
        <w:t>If the variables at the invoking and the process specification do not have the same name, the variables are explicitly assigned to lower case input or output variables of the process specification.</w:t>
      </w:r>
    </w:p>
    <w:p w14:paraId="77C16EA0" w14:textId="77777777" w:rsidR="00120E20" w:rsidRPr="00A52AB8" w:rsidRDefault="00120E20">
      <w:pPr>
        <w:pStyle w:val="enumlev1"/>
        <w:ind w:left="397"/>
        <w:rPr>
          <w:rFonts w:ascii="Cambria" w:hAnsi="Cambria"/>
          <w:color w:val="000000" w:themeColor="text1"/>
          <w:sz w:val="22"/>
          <w:szCs w:val="22"/>
        </w:rPr>
      </w:pPr>
      <w:r w:rsidRPr="00A52AB8">
        <w:rPr>
          <w:rFonts w:ascii="Cambria" w:hAnsi="Cambria"/>
          <w:color w:val="000000" w:themeColor="text1"/>
          <w:sz w:val="22"/>
          <w:szCs w:val="22"/>
        </w:rPr>
        <w:t>–</w:t>
      </w:r>
      <w:r w:rsidRPr="00A52AB8">
        <w:rPr>
          <w:rFonts w:ascii="Cambria" w:hAnsi="Cambria"/>
          <w:color w:val="000000" w:themeColor="text1"/>
          <w:sz w:val="22"/>
          <w:szCs w:val="22"/>
        </w:rPr>
        <w:tab/>
        <w:t>Otherwise (the variables at the invoking and the process specification have the same name), assignment is implied.</w:t>
      </w:r>
    </w:p>
    <w:p w14:paraId="52BDF9C4" w14:textId="77777777" w:rsidR="00120E20" w:rsidRPr="00A52AB8" w:rsidRDefault="00120E20">
      <w:pPr>
        <w:rPr>
          <w:b/>
          <w:color w:val="000000" w:themeColor="text1"/>
        </w:rPr>
      </w:pPr>
      <w:r w:rsidRPr="00A52AB8">
        <w:rPr>
          <w:color w:val="000000" w:themeColor="text1"/>
        </w:rPr>
        <w:t>In the specification of a process, a specific coding block may be referred to by the variable name having a value equal to the address of the specific coding block.</w:t>
      </w:r>
    </w:p>
    <w:p w14:paraId="5D23C7F7" w14:textId="4C64BA91" w:rsidR="009450F8" w:rsidRPr="00A52AB8" w:rsidRDefault="004B6F50" w:rsidP="00A37974">
      <w:pPr>
        <w:pStyle w:val="Heading1"/>
        <w:rPr>
          <w:color w:val="000000" w:themeColor="text1"/>
        </w:rPr>
      </w:pPr>
      <w:bookmarkStart w:id="484" w:name="_Ref34468389"/>
      <w:bookmarkStart w:id="485" w:name="_Toc77680345"/>
      <w:bookmarkStart w:id="486" w:name="_Toc118289011"/>
      <w:bookmarkStart w:id="487" w:name="_Toc226456482"/>
      <w:bookmarkStart w:id="488" w:name="_Toc248045185"/>
      <w:bookmarkStart w:id="489" w:name="_Toc287363741"/>
      <w:bookmarkStart w:id="490" w:name="_Toc311216724"/>
      <w:bookmarkStart w:id="491" w:name="_Toc317198689"/>
      <w:bookmarkStart w:id="492" w:name="_Toc390728012"/>
      <w:bookmarkStart w:id="493" w:name="_Toc511952622"/>
      <w:bookmarkStart w:id="494" w:name="_Ref38313987"/>
      <w:bookmarkStart w:id="495" w:name="_Toc52181590"/>
      <w:r w:rsidRPr="00A52AB8">
        <w:rPr>
          <w:color w:val="000000" w:themeColor="text1"/>
        </w:rPr>
        <w:lastRenderedPageBreak/>
        <w:t xml:space="preserve">Overall </w:t>
      </w:r>
      <w:r w:rsidR="009450F8" w:rsidRPr="00A52AB8">
        <w:rPr>
          <w:color w:val="000000" w:themeColor="text1"/>
        </w:rPr>
        <w:t xml:space="preserve">V3C </w:t>
      </w:r>
      <w:r w:rsidR="004162DB" w:rsidRPr="00A52AB8">
        <w:rPr>
          <w:color w:val="000000" w:themeColor="text1"/>
        </w:rPr>
        <w:t xml:space="preserve">characteristics, </w:t>
      </w:r>
      <w:r w:rsidRPr="00A52AB8">
        <w:rPr>
          <w:color w:val="000000" w:themeColor="text1"/>
        </w:rPr>
        <w:t xml:space="preserve">decoding </w:t>
      </w:r>
      <w:r w:rsidR="004162DB" w:rsidRPr="00A52AB8">
        <w:rPr>
          <w:color w:val="000000" w:themeColor="text1"/>
        </w:rPr>
        <w:t xml:space="preserve">operations, </w:t>
      </w:r>
      <w:r w:rsidRPr="00A52AB8">
        <w:rPr>
          <w:color w:val="000000" w:themeColor="text1"/>
        </w:rPr>
        <w:t xml:space="preserve">and </w:t>
      </w:r>
      <w:r w:rsidR="004162DB" w:rsidRPr="00A52AB8">
        <w:rPr>
          <w:color w:val="000000" w:themeColor="text1"/>
        </w:rPr>
        <w:t xml:space="preserve">post-decoding </w:t>
      </w:r>
      <w:r w:rsidRPr="00A52AB8">
        <w:rPr>
          <w:color w:val="000000" w:themeColor="text1"/>
        </w:rPr>
        <w:t>processes</w:t>
      </w:r>
      <w:bookmarkEnd w:id="495"/>
    </w:p>
    <w:p w14:paraId="750E8FC4" w14:textId="38167973" w:rsidR="0057374A" w:rsidRPr="00A52AB8" w:rsidRDefault="004162DB" w:rsidP="0057374A">
      <w:pPr>
        <w:pStyle w:val="Heading2"/>
        <w:rPr>
          <w:color w:val="000000" w:themeColor="text1"/>
        </w:rPr>
      </w:pPr>
      <w:bookmarkStart w:id="496" w:name="_Ref49424622"/>
      <w:bookmarkStart w:id="497" w:name="_Toc52181591"/>
      <w:r w:rsidRPr="00A52AB8">
        <w:rPr>
          <w:color w:val="000000" w:themeColor="text1"/>
        </w:rPr>
        <w:t>V3C characteristics</w:t>
      </w:r>
      <w:bookmarkEnd w:id="496"/>
      <w:bookmarkEnd w:id="497"/>
    </w:p>
    <w:p w14:paraId="504175B4" w14:textId="45BC9761" w:rsidR="000D179A" w:rsidRPr="00A52AB8" w:rsidRDefault="000D179A" w:rsidP="000D179A">
      <w:r w:rsidRPr="00A52AB8">
        <w:t>This document enables the encoding and decoding process</w:t>
      </w:r>
      <w:r w:rsidR="0055474A" w:rsidRPr="00A52AB8">
        <w:t>es</w:t>
      </w:r>
      <w:r w:rsidRPr="00A52AB8">
        <w:t xml:space="preserve"> of a variety of volumetric media by using video and image coding technologies. This is achieved through first a conversion of such media from their corresponding 3D representation to multiple 2D representations, also referred to as V3C components in this document, before coding such information. Such representations include, in this version of this document, the occupancy, geometry, and attribute components. The occupancy component can inform a V3C decoding and/or rendering system of which samples in the 2D components are associated with data in the final 3D representation. The geometry component contains information about the precise location of 3D data in space, while attribute components can provide additional properties, e.g. texture or material information, of such 3D data. An example is shown in </w:t>
      </w:r>
      <w:r w:rsidRPr="00496A4D">
        <w:fldChar w:fldCharType="begin"/>
      </w:r>
      <w:r w:rsidRPr="00A52AB8">
        <w:instrText xml:space="preserve"> REF _Ref48761053 \h  \* MERGEFORMAT </w:instrText>
      </w:r>
      <w:r w:rsidRPr="00496A4D">
        <w:fldChar w:fldCharType="separate"/>
      </w:r>
      <w:r w:rsidR="00507A67" w:rsidRPr="00A52AB8">
        <w:t>Figure </w:t>
      </w:r>
      <w:r w:rsidR="00507A67">
        <w:t>1</w:t>
      </w:r>
      <w:r w:rsidRPr="00496A4D">
        <w:fldChar w:fldCharType="end"/>
      </w:r>
      <w:r w:rsidRPr="00A52AB8">
        <w:t>.</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046"/>
      </w:tblGrid>
      <w:tr w:rsidR="000D179A" w:rsidRPr="00A52AB8" w14:paraId="06BBA98B" w14:textId="77777777" w:rsidTr="00177E5F">
        <w:trPr>
          <w:jc w:val="center"/>
        </w:trPr>
        <w:tc>
          <w:tcPr>
            <w:tcW w:w="4871" w:type="dxa"/>
            <w:vAlign w:val="center"/>
          </w:tcPr>
          <w:p w14:paraId="7A4D68D5" w14:textId="77777777" w:rsidR="000D179A" w:rsidRPr="00A52AB8" w:rsidRDefault="000D179A" w:rsidP="00177E5F">
            <w:pPr>
              <w:jc w:val="center"/>
            </w:pPr>
            <w:r w:rsidRPr="00496A4D">
              <w:rPr>
                <w:noProof/>
              </w:rPr>
              <w:drawing>
                <wp:inline distT="0" distB="0" distL="0" distR="0" wp14:anchorId="29E4D9A4" wp14:editId="4B7E3BD3">
                  <wp:extent cx="4968815" cy="2272957"/>
                  <wp:effectExtent l="0" t="0" r="381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009708" cy="2291663"/>
                          </a:xfrm>
                          <a:prstGeom prst="rect">
                            <a:avLst/>
                          </a:prstGeom>
                          <a:noFill/>
                          <a:ln>
                            <a:noFill/>
                          </a:ln>
                        </pic:spPr>
                      </pic:pic>
                    </a:graphicData>
                  </a:graphic>
                </wp:inline>
              </w:drawing>
            </w:r>
          </w:p>
        </w:tc>
      </w:tr>
      <w:tr w:rsidR="000D179A" w:rsidRPr="00A52AB8" w14:paraId="5F1C0062" w14:textId="77777777" w:rsidTr="00177E5F">
        <w:trPr>
          <w:jc w:val="center"/>
        </w:trPr>
        <w:tc>
          <w:tcPr>
            <w:tcW w:w="4871" w:type="dxa"/>
            <w:vAlign w:val="center"/>
          </w:tcPr>
          <w:p w14:paraId="6863FE34" w14:textId="77777777" w:rsidR="000D179A" w:rsidRPr="00A52AB8" w:rsidRDefault="000D179A" w:rsidP="00177E5F">
            <w:pPr>
              <w:jc w:val="center"/>
            </w:pPr>
            <w:r w:rsidRPr="00A52AB8">
              <w:t>(a)</w:t>
            </w:r>
          </w:p>
        </w:tc>
      </w:tr>
      <w:tr w:rsidR="000D179A" w:rsidRPr="00A52AB8" w14:paraId="650E7319" w14:textId="77777777" w:rsidTr="00177E5F">
        <w:trPr>
          <w:jc w:val="center"/>
        </w:trPr>
        <w:tc>
          <w:tcPr>
            <w:tcW w:w="4871" w:type="dxa"/>
            <w:vAlign w:val="center"/>
          </w:tcPr>
          <w:p w14:paraId="5047943B" w14:textId="77777777" w:rsidR="000D179A" w:rsidRPr="00A52AB8" w:rsidRDefault="000D179A" w:rsidP="00177E5F">
            <w:pPr>
              <w:jc w:val="center"/>
            </w:pPr>
            <w:r w:rsidRPr="00496A4D">
              <w:rPr>
                <w:noProof/>
              </w:rPr>
              <w:drawing>
                <wp:inline distT="0" distB="0" distL="0" distR="0" wp14:anchorId="44C9DFEC" wp14:editId="0FA04B83">
                  <wp:extent cx="4518610" cy="2277374"/>
                  <wp:effectExtent l="0" t="0" r="0" b="889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591778" cy="2314251"/>
                          </a:xfrm>
                          <a:prstGeom prst="rect">
                            <a:avLst/>
                          </a:prstGeom>
                          <a:noFill/>
                          <a:ln>
                            <a:noFill/>
                          </a:ln>
                        </pic:spPr>
                      </pic:pic>
                    </a:graphicData>
                  </a:graphic>
                </wp:inline>
              </w:drawing>
            </w:r>
          </w:p>
        </w:tc>
      </w:tr>
      <w:tr w:rsidR="000D179A" w:rsidRPr="00A52AB8" w14:paraId="3A035002" w14:textId="77777777" w:rsidTr="00177E5F">
        <w:trPr>
          <w:jc w:val="center"/>
        </w:trPr>
        <w:tc>
          <w:tcPr>
            <w:tcW w:w="4871" w:type="dxa"/>
            <w:vAlign w:val="center"/>
          </w:tcPr>
          <w:p w14:paraId="766273D9" w14:textId="77777777" w:rsidR="000D179A" w:rsidRPr="00A52AB8" w:rsidRDefault="000D179A" w:rsidP="00177E5F">
            <w:pPr>
              <w:jc w:val="center"/>
            </w:pPr>
            <w:r w:rsidRPr="00A52AB8">
              <w:t>(b)</w:t>
            </w:r>
          </w:p>
        </w:tc>
      </w:tr>
    </w:tbl>
    <w:p w14:paraId="2C212017" w14:textId="468994F6" w:rsidR="000D179A" w:rsidRPr="00A52AB8" w:rsidRDefault="000D179A" w:rsidP="000D179A">
      <w:pPr>
        <w:pStyle w:val="Caption"/>
        <w:jc w:val="both"/>
        <w:rPr>
          <w:rFonts w:ascii="Cambria" w:hAnsi="Cambria"/>
        </w:rPr>
      </w:pPr>
      <w:bookmarkStart w:id="498" w:name="_Ref48761053"/>
      <w:r w:rsidRPr="00A52AB8">
        <w:rPr>
          <w:rFonts w:ascii="Cambria" w:hAnsi="Cambria"/>
        </w:rPr>
        <w:t>Figure </w:t>
      </w:r>
      <w:r w:rsidRPr="00496A4D">
        <w:rPr>
          <w:rFonts w:ascii="Cambria" w:hAnsi="Cambria"/>
        </w:rPr>
        <w:fldChar w:fldCharType="begin"/>
      </w:r>
      <w:r w:rsidRPr="00A52AB8">
        <w:rPr>
          <w:rFonts w:ascii="Cambria" w:hAnsi="Cambria"/>
        </w:rPr>
        <w:instrText xml:space="preserve"> SEQ Figure \* ARABIC </w:instrText>
      </w:r>
      <w:r w:rsidRPr="00496A4D">
        <w:rPr>
          <w:rFonts w:ascii="Cambria" w:hAnsi="Cambria"/>
        </w:rPr>
        <w:fldChar w:fldCharType="separate"/>
      </w:r>
      <w:r w:rsidR="00507A67">
        <w:rPr>
          <w:rFonts w:ascii="Cambria" w:hAnsi="Cambria"/>
          <w:noProof/>
        </w:rPr>
        <w:t>1</w:t>
      </w:r>
      <w:r w:rsidRPr="00496A4D">
        <w:rPr>
          <w:rFonts w:ascii="Cambria" w:hAnsi="Cambria"/>
        </w:rPr>
        <w:fldChar w:fldCharType="end"/>
      </w:r>
      <w:bookmarkEnd w:id="498"/>
      <w:r w:rsidRPr="00A52AB8">
        <w:rPr>
          <w:rFonts w:ascii="Cambria" w:hAnsi="Cambria"/>
        </w:rPr>
        <w:t> – Volumetric media conversion at (a) encoder and reconstruction at (b) decoder side. The 3D media is converted to a series of 2D representations: occupancy, geometry, and attributes. Additional atlas information is also included in the bitstream to enable inverse reconstruction.</w:t>
      </w:r>
    </w:p>
    <w:p w14:paraId="0DD8D126" w14:textId="51959FEF" w:rsidR="000D179A" w:rsidRPr="00A52AB8" w:rsidRDefault="000D179A" w:rsidP="000D179A">
      <w:r w:rsidRPr="00A52AB8">
        <w:t xml:space="preserve">Additional information that allows associating all these subcomponents and enables the inverse reconstruction, from a 2D representation back to a 3D representation is also included in a special component, referred to in this document as the atlas. An atlas consists of multiple elements, named as </w:t>
      </w:r>
      <w:r w:rsidRPr="00A52AB8">
        <w:lastRenderedPageBreak/>
        <w:t xml:space="preserve">patches. Each patch identifies a region in all available 2D components and contains information necessary to perform the appropriate inverse projection of this region </w:t>
      </w:r>
      <w:r w:rsidR="001D0E91" w:rsidRPr="00A52AB8">
        <w:t>back to the</w:t>
      </w:r>
      <w:r w:rsidRPr="00A52AB8">
        <w:t xml:space="preserve"> 3D space. The shape of such regions is determined through a 2D bounding box associated with each patch as well as their coding order. The shape of these regions is also further refined after the consideration of the occupancy information.</w:t>
      </w:r>
    </w:p>
    <w:p w14:paraId="51DC5A86" w14:textId="7D9E6D32" w:rsidR="000D179A" w:rsidRPr="00A52AB8" w:rsidRDefault="00984EB1" w:rsidP="000D179A">
      <w:r w:rsidRPr="00A52AB8">
        <w:t>Atlases are partitioned into patch packing blocks of equal size, as defined in subclause </w:t>
      </w:r>
      <w:r w:rsidRPr="00496A4D">
        <w:fldChar w:fldCharType="begin"/>
      </w:r>
      <w:r w:rsidRPr="00A52AB8">
        <w:instrText xml:space="preserve"> REF _Ref49198420 \r \h  \* MERGEFORMAT </w:instrText>
      </w:r>
      <w:r w:rsidRPr="00496A4D">
        <w:fldChar w:fldCharType="separate"/>
      </w:r>
      <w:r w:rsidR="00507A67">
        <w:t>8.4.6.1.1</w:t>
      </w:r>
      <w:r w:rsidRPr="00496A4D">
        <w:fldChar w:fldCharType="end"/>
      </w:r>
      <w:r w:rsidRPr="00A52AB8">
        <w:t xml:space="preserve">. </w:t>
      </w:r>
      <w:r w:rsidR="00594944" w:rsidRPr="00A52AB8">
        <w:t>The 2D bounding boxes of patches, as defined in subclause </w:t>
      </w:r>
      <w:r w:rsidR="00594944" w:rsidRPr="00496A4D">
        <w:fldChar w:fldCharType="begin"/>
      </w:r>
      <w:r w:rsidR="00594944" w:rsidRPr="00A52AB8">
        <w:instrText xml:space="preserve"> REF _Ref1191713 \r \h </w:instrText>
      </w:r>
      <w:r w:rsidRPr="00A52AB8">
        <w:instrText xml:space="preserve"> \* MERGEFORMAT </w:instrText>
      </w:r>
      <w:r w:rsidR="00594944" w:rsidRPr="00496A4D">
        <w:fldChar w:fldCharType="separate"/>
      </w:r>
      <w:r w:rsidR="00507A67">
        <w:t>9.2.5</w:t>
      </w:r>
      <w:r w:rsidR="00594944" w:rsidRPr="00496A4D">
        <w:fldChar w:fldCharType="end"/>
      </w:r>
      <w:r w:rsidR="00594944" w:rsidRPr="00A52AB8">
        <w:t>,</w:t>
      </w:r>
      <w:r w:rsidR="001D0E91" w:rsidRPr="00A52AB8">
        <w:t xml:space="preserve"> </w:t>
      </w:r>
      <w:r w:rsidR="00594944" w:rsidRPr="00A52AB8">
        <w:t xml:space="preserve">and their coding order determine the mapping between the blocks of the atlas image and the patch indices. </w:t>
      </w:r>
      <w:r w:rsidR="000D179A" w:rsidRPr="00496A4D">
        <w:fldChar w:fldCharType="begin"/>
      </w:r>
      <w:r w:rsidR="000D179A" w:rsidRPr="00A52AB8">
        <w:instrText xml:space="preserve"> REF _Ref46917204 \h </w:instrText>
      </w:r>
      <w:r w:rsidR="00007BE2" w:rsidRPr="00A52AB8">
        <w:instrText xml:space="preserve"> \* MERGEFORMAT </w:instrText>
      </w:r>
      <w:r w:rsidR="000D179A" w:rsidRPr="00496A4D">
        <w:fldChar w:fldCharType="separate"/>
      </w:r>
      <w:r w:rsidR="00507A67" w:rsidRPr="00A52AB8">
        <w:t>Figure </w:t>
      </w:r>
      <w:r w:rsidR="00507A67">
        <w:t>2</w:t>
      </w:r>
      <w:r w:rsidR="000D179A" w:rsidRPr="00496A4D">
        <w:fldChar w:fldCharType="end"/>
      </w:r>
      <w:r w:rsidR="000D179A" w:rsidRPr="00A52AB8">
        <w:t xml:space="preserve"> shows an example of block to patch mapping with 4 projected patches onto an atlas when asps_patch_precedence_order_flag is equal to 0. Projected points are represented with dark grey. The area that does not contain any projected points is represented with light grey. Patch packing blocks are represented with dashed lines. The number inside each patch packing block represents the patch index of the patch to which it is mapped.</w:t>
      </w:r>
    </w:p>
    <w:p w14:paraId="0D89979B" w14:textId="77777777" w:rsidR="000D179A" w:rsidRPr="00A52AB8" w:rsidRDefault="000D179A" w:rsidP="000D179A">
      <w:pPr>
        <w:keepNext/>
        <w:jc w:val="center"/>
      </w:pPr>
      <w:r w:rsidRPr="00496A4D">
        <w:rPr>
          <w:noProof/>
        </w:rPr>
        <w:drawing>
          <wp:inline distT="0" distB="0" distL="0" distR="0" wp14:anchorId="137D8DD9" wp14:editId="52B78C95">
            <wp:extent cx="4639317" cy="4254927"/>
            <wp:effectExtent l="0" t="0" r="889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646422" cy="4261444"/>
                    </a:xfrm>
                    <a:prstGeom prst="rect">
                      <a:avLst/>
                    </a:prstGeom>
                    <a:noFill/>
                    <a:ln>
                      <a:noFill/>
                    </a:ln>
                  </pic:spPr>
                </pic:pic>
              </a:graphicData>
            </a:graphic>
          </wp:inline>
        </w:drawing>
      </w:r>
    </w:p>
    <w:p w14:paraId="7289CF60" w14:textId="1D8C210D" w:rsidR="000D179A" w:rsidRPr="00A52AB8" w:rsidRDefault="000D179A" w:rsidP="000D179A">
      <w:pPr>
        <w:pStyle w:val="Caption"/>
        <w:rPr>
          <w:rFonts w:ascii="Cambria" w:eastAsiaTheme="minorEastAsia" w:hAnsi="Cambria"/>
        </w:rPr>
      </w:pPr>
      <w:bookmarkStart w:id="499" w:name="_Ref46917204"/>
      <w:r w:rsidRPr="00A52AB8">
        <w:rPr>
          <w:rFonts w:ascii="Cambria" w:eastAsiaTheme="minorEastAsia" w:hAnsi="Cambria"/>
        </w:rPr>
        <w:t>Figure </w:t>
      </w:r>
      <w:r w:rsidRPr="00496A4D">
        <w:rPr>
          <w:rFonts w:ascii="Cambria" w:eastAsiaTheme="minorEastAsia" w:hAnsi="Cambria"/>
        </w:rPr>
        <w:fldChar w:fldCharType="begin"/>
      </w:r>
      <w:r w:rsidRPr="00A52AB8">
        <w:rPr>
          <w:rFonts w:ascii="Cambria" w:eastAsiaTheme="minorEastAsia" w:hAnsi="Cambria"/>
        </w:rPr>
        <w:instrText xml:space="preserve"> SEQ Figure \* ARABIC </w:instrText>
      </w:r>
      <w:r w:rsidRPr="00496A4D">
        <w:rPr>
          <w:rFonts w:ascii="Cambria" w:eastAsiaTheme="minorEastAsia" w:hAnsi="Cambria"/>
        </w:rPr>
        <w:fldChar w:fldCharType="separate"/>
      </w:r>
      <w:r w:rsidR="00507A67">
        <w:rPr>
          <w:rFonts w:ascii="Cambria" w:eastAsiaTheme="minorEastAsia" w:hAnsi="Cambria"/>
          <w:noProof/>
        </w:rPr>
        <w:t>2</w:t>
      </w:r>
      <w:r w:rsidRPr="00496A4D">
        <w:rPr>
          <w:rFonts w:ascii="Cambria" w:eastAsiaTheme="minorEastAsia" w:hAnsi="Cambria"/>
        </w:rPr>
        <w:fldChar w:fldCharType="end"/>
      </w:r>
      <w:bookmarkEnd w:id="499"/>
      <w:r w:rsidRPr="00A52AB8">
        <w:rPr>
          <w:rFonts w:ascii="Cambria" w:eastAsiaTheme="minorEastAsia" w:hAnsi="Cambria"/>
        </w:rPr>
        <w:t> </w:t>
      </w:r>
      <w:r w:rsidRPr="00A52AB8">
        <w:rPr>
          <w:rFonts w:ascii="Cambria" w:hAnsi="Cambria"/>
        </w:rPr>
        <w:t>– </w:t>
      </w:r>
      <w:r w:rsidRPr="00A52AB8">
        <w:rPr>
          <w:rFonts w:ascii="Cambria" w:eastAsiaTheme="minorEastAsia" w:hAnsi="Cambria"/>
        </w:rPr>
        <w:t>An example of block to patch mapping</w:t>
      </w:r>
    </w:p>
    <w:p w14:paraId="375D14FB" w14:textId="5B1242BF" w:rsidR="0050235C" w:rsidRPr="00A52AB8" w:rsidRDefault="000D179A" w:rsidP="000D179A">
      <w:r w:rsidRPr="00A52AB8">
        <w:t xml:space="preserve">In this document, axes orientations are specified for internal operations. For instance, the origin of the atlas coordinates is located </w:t>
      </w:r>
      <w:r w:rsidR="001D0E91" w:rsidRPr="00A52AB8">
        <w:t>o</w:t>
      </w:r>
      <w:r w:rsidRPr="00A52AB8">
        <w:t>n the top-left corner of the atlas frame. For the reconstruction step, an intermediate axes definition for a local 3D patch coordinate system is used. The 3D local patch coordinate system is then converted to the final target 3D coordinate system using appropriate transformation steps.</w:t>
      </w:r>
    </w:p>
    <w:p w14:paraId="206AFE38" w14:textId="0DC77195" w:rsidR="000D179A" w:rsidRPr="00A52AB8" w:rsidRDefault="000D179A" w:rsidP="000D179A">
      <w:pPr>
        <w:pStyle w:val="Note1"/>
        <w:rPr>
          <w:rFonts w:ascii="Cambria" w:hAnsi="Cambria"/>
        </w:rPr>
      </w:pPr>
      <w:r w:rsidRPr="00A52AB8">
        <w:rPr>
          <w:rFonts w:ascii="Cambria" w:hAnsi="Cambria"/>
        </w:rPr>
        <w:t>NOTE – In some instances the transformation steps to convert from the local 3D patch coordinate system to the target 3D coordinate system are specified in this document.</w:t>
      </w:r>
    </w:p>
    <w:p w14:paraId="43A7811C" w14:textId="7E071A4F" w:rsidR="000D179A" w:rsidRPr="00A52AB8" w:rsidRDefault="00E421C4" w:rsidP="000D179A">
      <w:pPr>
        <w:pStyle w:val="Note1"/>
        <w:ind w:left="0"/>
        <w:rPr>
          <w:rFonts w:ascii="Cambria" w:hAnsi="Cambria"/>
          <w:sz w:val="22"/>
          <w:szCs w:val="22"/>
        </w:rPr>
      </w:pPr>
      <w:r w:rsidRPr="00496A4D">
        <w:rPr>
          <w:rFonts w:ascii="Cambria" w:hAnsi="Cambria"/>
          <w:sz w:val="22"/>
          <w:szCs w:val="22"/>
        </w:rPr>
        <w:fldChar w:fldCharType="begin"/>
      </w:r>
      <w:r w:rsidRPr="00A52AB8">
        <w:rPr>
          <w:rFonts w:ascii="Cambria" w:hAnsi="Cambria"/>
          <w:sz w:val="22"/>
          <w:szCs w:val="22"/>
        </w:rPr>
        <w:instrText xml:space="preserve"> REF  _Ref49256657 \h  \* MERGEFORMAT </w:instrText>
      </w:r>
      <w:r w:rsidRPr="00496A4D">
        <w:rPr>
          <w:rFonts w:ascii="Cambria" w:hAnsi="Cambria"/>
          <w:sz w:val="22"/>
          <w:szCs w:val="22"/>
        </w:rPr>
      </w:r>
      <w:r w:rsidRPr="00496A4D">
        <w:rPr>
          <w:rFonts w:ascii="Cambria" w:hAnsi="Cambria"/>
          <w:sz w:val="22"/>
          <w:szCs w:val="22"/>
        </w:rPr>
        <w:fldChar w:fldCharType="separate"/>
      </w:r>
      <w:r w:rsidR="00507A67" w:rsidRPr="00507A67">
        <w:rPr>
          <w:rFonts w:ascii="Cambria" w:hAnsi="Cambria"/>
          <w:sz w:val="22"/>
          <w:szCs w:val="22"/>
        </w:rPr>
        <w:t>Figure 3</w:t>
      </w:r>
      <w:r w:rsidRPr="00496A4D">
        <w:rPr>
          <w:rFonts w:ascii="Cambria" w:hAnsi="Cambria"/>
          <w:sz w:val="22"/>
          <w:szCs w:val="22"/>
        </w:rPr>
        <w:fldChar w:fldCharType="end"/>
      </w:r>
      <w:r w:rsidR="000D179A" w:rsidRPr="00A52AB8">
        <w:rPr>
          <w:rFonts w:ascii="Cambria" w:hAnsi="Cambria"/>
          <w:sz w:val="22"/>
          <w:szCs w:val="22"/>
        </w:rPr>
        <w:t>(a) shows an example of a single patch packed onto an atlas image. This patch is then converted to a local 3D patch coordinate system (U, V, D) defined by the projection plane with origin O’, tangent (U), bi-tangent (V)</w:t>
      </w:r>
      <w:r w:rsidR="001D0E91" w:rsidRPr="00A52AB8">
        <w:rPr>
          <w:rFonts w:ascii="Cambria" w:hAnsi="Cambria"/>
          <w:sz w:val="22"/>
          <w:szCs w:val="22"/>
        </w:rPr>
        <w:t>,</w:t>
      </w:r>
      <w:r w:rsidR="000D179A" w:rsidRPr="00A52AB8">
        <w:rPr>
          <w:rFonts w:ascii="Cambria" w:hAnsi="Cambria"/>
          <w:sz w:val="22"/>
          <w:szCs w:val="22"/>
        </w:rPr>
        <w:t xml:space="preserve"> and normal (D) axes. For an orthographic projection, the projection plane is equal to the sides of an axis-aligned 3D bounding box, as shown in </w:t>
      </w:r>
      <w:r w:rsidRPr="00496A4D">
        <w:rPr>
          <w:rFonts w:ascii="Cambria" w:hAnsi="Cambria"/>
          <w:sz w:val="22"/>
          <w:szCs w:val="22"/>
        </w:rPr>
        <w:fldChar w:fldCharType="begin"/>
      </w:r>
      <w:r w:rsidRPr="00A52AB8">
        <w:rPr>
          <w:rFonts w:ascii="Cambria" w:hAnsi="Cambria"/>
          <w:sz w:val="22"/>
          <w:szCs w:val="22"/>
        </w:rPr>
        <w:instrText xml:space="preserve"> REF  _Ref49256657 \h  \* MERGEFORMAT </w:instrText>
      </w:r>
      <w:r w:rsidRPr="00496A4D">
        <w:rPr>
          <w:rFonts w:ascii="Cambria" w:hAnsi="Cambria"/>
          <w:sz w:val="22"/>
          <w:szCs w:val="22"/>
        </w:rPr>
      </w:r>
      <w:r w:rsidRPr="00496A4D">
        <w:rPr>
          <w:rFonts w:ascii="Cambria" w:hAnsi="Cambria"/>
          <w:sz w:val="22"/>
          <w:szCs w:val="22"/>
        </w:rPr>
        <w:fldChar w:fldCharType="separate"/>
      </w:r>
      <w:r w:rsidR="00507A67" w:rsidRPr="00507A67">
        <w:rPr>
          <w:rFonts w:ascii="Cambria" w:hAnsi="Cambria"/>
          <w:sz w:val="22"/>
          <w:szCs w:val="22"/>
        </w:rPr>
        <w:t>Figure 3</w:t>
      </w:r>
      <w:r w:rsidRPr="00496A4D">
        <w:rPr>
          <w:rFonts w:ascii="Cambria" w:hAnsi="Cambria"/>
          <w:sz w:val="22"/>
          <w:szCs w:val="22"/>
        </w:rPr>
        <w:fldChar w:fldCharType="end"/>
      </w:r>
      <w:r w:rsidR="000D179A" w:rsidRPr="00A52AB8">
        <w:rPr>
          <w:rFonts w:ascii="Cambria" w:hAnsi="Cambria"/>
          <w:sz w:val="22"/>
          <w:szCs w:val="22"/>
        </w:rPr>
        <w:t xml:space="preserve">(b). The location of the bounding box in the 3D </w:t>
      </w:r>
      <w:r w:rsidR="006D7953" w:rsidRPr="00A52AB8">
        <w:rPr>
          <w:rFonts w:ascii="Cambria" w:hAnsi="Cambria"/>
          <w:sz w:val="22"/>
          <w:szCs w:val="22"/>
        </w:rPr>
        <w:t xml:space="preserve">model </w:t>
      </w:r>
      <w:r w:rsidR="000D179A" w:rsidRPr="00A52AB8">
        <w:rPr>
          <w:rFonts w:ascii="Cambria" w:hAnsi="Cambria"/>
          <w:sz w:val="22"/>
          <w:szCs w:val="22"/>
        </w:rPr>
        <w:t xml:space="preserve">coordinate system, defined by a left-handed system with axes (X, Y, Z), can be obtained by </w:t>
      </w:r>
      <w:r w:rsidR="000D179A" w:rsidRPr="00A52AB8">
        <w:rPr>
          <w:rFonts w:ascii="Cambria" w:hAnsi="Cambria"/>
          <w:sz w:val="22"/>
          <w:szCs w:val="22"/>
        </w:rPr>
        <w:lastRenderedPageBreak/>
        <w:t xml:space="preserve">adding offsets TilePatch3dOffsetU, TilePatch3DOffsetV, and TilePatch3DOffsetD, as illustrated in </w:t>
      </w:r>
      <w:r w:rsidRPr="00496A4D">
        <w:rPr>
          <w:rFonts w:ascii="Cambria" w:hAnsi="Cambria"/>
          <w:sz w:val="22"/>
          <w:szCs w:val="22"/>
        </w:rPr>
        <w:fldChar w:fldCharType="begin"/>
      </w:r>
      <w:r w:rsidRPr="00A52AB8">
        <w:rPr>
          <w:rFonts w:ascii="Cambria" w:hAnsi="Cambria"/>
          <w:sz w:val="22"/>
          <w:szCs w:val="22"/>
        </w:rPr>
        <w:instrText xml:space="preserve"> REF  _Ref49256657 \h  \* MERGEFORMAT </w:instrText>
      </w:r>
      <w:r w:rsidRPr="00496A4D">
        <w:rPr>
          <w:rFonts w:ascii="Cambria" w:hAnsi="Cambria"/>
          <w:sz w:val="22"/>
          <w:szCs w:val="22"/>
        </w:rPr>
      </w:r>
      <w:r w:rsidRPr="00496A4D">
        <w:rPr>
          <w:rFonts w:ascii="Cambria" w:hAnsi="Cambria"/>
          <w:sz w:val="22"/>
          <w:szCs w:val="22"/>
        </w:rPr>
        <w:fldChar w:fldCharType="separate"/>
      </w:r>
      <w:r w:rsidR="00507A67" w:rsidRPr="00507A67">
        <w:rPr>
          <w:rFonts w:ascii="Cambria" w:hAnsi="Cambria"/>
          <w:sz w:val="22"/>
          <w:szCs w:val="22"/>
        </w:rPr>
        <w:t>Figure 3</w:t>
      </w:r>
      <w:r w:rsidRPr="00496A4D">
        <w:rPr>
          <w:rFonts w:ascii="Cambria" w:hAnsi="Cambria"/>
          <w:sz w:val="22"/>
          <w:szCs w:val="22"/>
        </w:rPr>
        <w:fldChar w:fldCharType="end"/>
      </w:r>
      <w:r w:rsidR="000D179A" w:rsidRPr="00A52AB8">
        <w:rPr>
          <w:rFonts w:ascii="Cambria" w:hAnsi="Cambria"/>
          <w:sz w:val="22"/>
          <w:szCs w:val="22"/>
        </w:rPr>
        <w:t>(c).</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08"/>
        <w:gridCol w:w="5144"/>
      </w:tblGrid>
      <w:tr w:rsidR="000A7BBA" w:rsidRPr="00A52AB8" w14:paraId="01BC1343" w14:textId="5A16B0F2" w:rsidTr="000A7BBA">
        <w:trPr>
          <w:jc w:val="center"/>
        </w:trPr>
        <w:tc>
          <w:tcPr>
            <w:tcW w:w="9742" w:type="dxa"/>
            <w:gridSpan w:val="2"/>
          </w:tcPr>
          <w:p w14:paraId="338F2BA7" w14:textId="0AF427FE" w:rsidR="000A7BBA" w:rsidRPr="00A52AB8" w:rsidRDefault="000A7BBA" w:rsidP="000A7BBA">
            <w:pPr>
              <w:pStyle w:val="Equation"/>
              <w:tabs>
                <w:tab w:val="left" w:pos="403"/>
              </w:tabs>
              <w:spacing w:after="0"/>
              <w:jc w:val="center"/>
            </w:pPr>
            <w:r w:rsidRPr="00A52AB8">
              <w:t xml:space="preserve"> </w:t>
            </w:r>
            <w:r w:rsidRPr="00496A4D">
              <w:rPr>
                <w:noProof/>
              </w:rPr>
              <w:drawing>
                <wp:inline distT="0" distB="0" distL="0" distR="0" wp14:anchorId="7ED24A0F" wp14:editId="75F627A8">
                  <wp:extent cx="4923454" cy="3094074"/>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985760" cy="3133229"/>
                          </a:xfrm>
                          <a:prstGeom prst="rect">
                            <a:avLst/>
                          </a:prstGeom>
                          <a:noFill/>
                          <a:ln>
                            <a:noFill/>
                          </a:ln>
                        </pic:spPr>
                      </pic:pic>
                    </a:graphicData>
                  </a:graphic>
                </wp:inline>
              </w:drawing>
            </w:r>
          </w:p>
        </w:tc>
      </w:tr>
      <w:tr w:rsidR="000A7BBA" w:rsidRPr="00A52AB8" w14:paraId="5DDE92B9" w14:textId="77777777" w:rsidTr="000A7BBA">
        <w:trPr>
          <w:jc w:val="center"/>
        </w:trPr>
        <w:tc>
          <w:tcPr>
            <w:tcW w:w="9742" w:type="dxa"/>
            <w:gridSpan w:val="2"/>
          </w:tcPr>
          <w:p w14:paraId="1AFFAEB8" w14:textId="2F28F658" w:rsidR="000A7BBA" w:rsidRPr="00A52AB8" w:rsidRDefault="000A7BBA" w:rsidP="000A7BBA">
            <w:pPr>
              <w:pStyle w:val="Equation"/>
              <w:tabs>
                <w:tab w:val="left" w:pos="403"/>
              </w:tabs>
              <w:spacing w:before="0" w:after="0"/>
              <w:jc w:val="center"/>
            </w:pPr>
            <w:r w:rsidRPr="00A52AB8">
              <w:t>(a)</w:t>
            </w:r>
          </w:p>
        </w:tc>
      </w:tr>
      <w:tr w:rsidR="000A7BBA" w:rsidRPr="00A52AB8" w14:paraId="501FD2CD" w14:textId="168A6330" w:rsidTr="000A7BBA">
        <w:trPr>
          <w:jc w:val="center"/>
        </w:trPr>
        <w:tc>
          <w:tcPr>
            <w:tcW w:w="5709" w:type="dxa"/>
          </w:tcPr>
          <w:p w14:paraId="3315385B" w14:textId="2E8EF59A" w:rsidR="000A7BBA" w:rsidRPr="00A52AB8" w:rsidRDefault="000A7BBA" w:rsidP="000A7BBA">
            <w:pPr>
              <w:pStyle w:val="Equation"/>
              <w:tabs>
                <w:tab w:val="left" w:pos="403"/>
              </w:tabs>
              <w:spacing w:after="0"/>
              <w:jc w:val="center"/>
            </w:pPr>
            <w:r w:rsidRPr="00496A4D">
              <w:rPr>
                <w:noProof/>
              </w:rPr>
              <w:drawing>
                <wp:inline distT="0" distB="0" distL="0" distR="0" wp14:anchorId="539A4BBE" wp14:editId="481D58F7">
                  <wp:extent cx="2735249" cy="2969079"/>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757263" cy="2992975"/>
                          </a:xfrm>
                          <a:prstGeom prst="rect">
                            <a:avLst/>
                          </a:prstGeom>
                          <a:noFill/>
                          <a:ln>
                            <a:noFill/>
                          </a:ln>
                        </pic:spPr>
                      </pic:pic>
                    </a:graphicData>
                  </a:graphic>
                </wp:inline>
              </w:drawing>
            </w:r>
          </w:p>
        </w:tc>
        <w:tc>
          <w:tcPr>
            <w:tcW w:w="4033" w:type="dxa"/>
          </w:tcPr>
          <w:p w14:paraId="560BE0C8" w14:textId="1409495F" w:rsidR="000A7BBA" w:rsidRPr="00A52AB8" w:rsidRDefault="000A7BBA" w:rsidP="000A7BBA">
            <w:pPr>
              <w:pStyle w:val="Equation"/>
              <w:tabs>
                <w:tab w:val="left" w:pos="403"/>
              </w:tabs>
              <w:spacing w:after="0"/>
              <w:jc w:val="center"/>
            </w:pPr>
            <w:r w:rsidRPr="00496A4D">
              <w:rPr>
                <w:noProof/>
              </w:rPr>
              <w:drawing>
                <wp:inline distT="0" distB="0" distL="0" distR="0" wp14:anchorId="43508193" wp14:editId="50496ED4">
                  <wp:extent cx="3129518" cy="3040912"/>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159106" cy="3069662"/>
                          </a:xfrm>
                          <a:prstGeom prst="rect">
                            <a:avLst/>
                          </a:prstGeom>
                          <a:noFill/>
                          <a:ln>
                            <a:noFill/>
                          </a:ln>
                        </pic:spPr>
                      </pic:pic>
                    </a:graphicData>
                  </a:graphic>
                </wp:inline>
              </w:drawing>
            </w:r>
          </w:p>
        </w:tc>
      </w:tr>
      <w:tr w:rsidR="000A7BBA" w:rsidRPr="00A52AB8" w14:paraId="32D1E2EF" w14:textId="77777777" w:rsidTr="000A7BBA">
        <w:trPr>
          <w:jc w:val="center"/>
        </w:trPr>
        <w:tc>
          <w:tcPr>
            <w:tcW w:w="5709" w:type="dxa"/>
          </w:tcPr>
          <w:p w14:paraId="676E26C7" w14:textId="44003388" w:rsidR="000A7BBA" w:rsidRPr="00A52AB8" w:rsidRDefault="000A7BBA" w:rsidP="000A7BBA">
            <w:pPr>
              <w:pStyle w:val="Equation"/>
              <w:tabs>
                <w:tab w:val="left" w:pos="403"/>
              </w:tabs>
              <w:spacing w:before="0" w:after="0"/>
              <w:jc w:val="center"/>
            </w:pPr>
            <w:r w:rsidRPr="00A52AB8">
              <w:t>(b)</w:t>
            </w:r>
          </w:p>
        </w:tc>
        <w:tc>
          <w:tcPr>
            <w:tcW w:w="4033" w:type="dxa"/>
          </w:tcPr>
          <w:p w14:paraId="07D288AC" w14:textId="6FE0FFD0" w:rsidR="000A7BBA" w:rsidRPr="00A52AB8" w:rsidRDefault="000A7BBA" w:rsidP="000A7BBA">
            <w:pPr>
              <w:pStyle w:val="Equation"/>
              <w:tabs>
                <w:tab w:val="left" w:pos="403"/>
              </w:tabs>
              <w:spacing w:before="0" w:after="0"/>
              <w:jc w:val="center"/>
            </w:pPr>
            <w:r w:rsidRPr="00A52AB8">
              <w:t>(c)</w:t>
            </w:r>
          </w:p>
        </w:tc>
      </w:tr>
    </w:tbl>
    <w:p w14:paraId="7F7DD233" w14:textId="5E34A435" w:rsidR="000D179A" w:rsidRPr="00A52AB8" w:rsidRDefault="000D179A" w:rsidP="00CA0323">
      <w:bookmarkStart w:id="500" w:name="_Ref49256657"/>
      <w:r w:rsidRPr="00A52AB8">
        <w:t>Figure </w:t>
      </w:r>
      <w:r w:rsidRPr="00496A4D">
        <w:fldChar w:fldCharType="begin"/>
      </w:r>
      <w:r w:rsidRPr="00A52AB8">
        <w:instrText xml:space="preserve"> SEQ Figure \* ARABIC </w:instrText>
      </w:r>
      <w:r w:rsidRPr="00496A4D">
        <w:fldChar w:fldCharType="separate"/>
      </w:r>
      <w:r w:rsidR="00507A67">
        <w:rPr>
          <w:noProof/>
        </w:rPr>
        <w:t>3</w:t>
      </w:r>
      <w:r w:rsidRPr="00496A4D">
        <w:fldChar w:fldCharType="end"/>
      </w:r>
      <w:bookmarkEnd w:id="500"/>
      <w:r w:rsidRPr="00A52AB8">
        <w:t> – Example of (a) an atlas coordinate system, (b) a local 3D patch coordinate system, and (c) final target 3D coordinate system</w:t>
      </w:r>
    </w:p>
    <w:p w14:paraId="7DD18EE3" w14:textId="314512C9" w:rsidR="0057374A" w:rsidRPr="00A52AB8" w:rsidRDefault="0057374A" w:rsidP="0057374A">
      <w:pPr>
        <w:pStyle w:val="Heading2"/>
        <w:rPr>
          <w:color w:val="000000" w:themeColor="text1"/>
        </w:rPr>
      </w:pPr>
      <w:bookmarkStart w:id="501" w:name="_Ref50231427"/>
      <w:bookmarkStart w:id="502" w:name="_Toc52181592"/>
      <w:r w:rsidRPr="00A52AB8">
        <w:rPr>
          <w:color w:val="000000" w:themeColor="text1"/>
        </w:rPr>
        <w:t xml:space="preserve">V3C </w:t>
      </w:r>
      <w:r w:rsidR="004162DB" w:rsidRPr="00A52AB8">
        <w:rPr>
          <w:color w:val="000000" w:themeColor="text1"/>
        </w:rPr>
        <w:t xml:space="preserve">bitstream characteristics, </w:t>
      </w:r>
      <w:r w:rsidRPr="00A52AB8">
        <w:rPr>
          <w:color w:val="000000" w:themeColor="text1"/>
        </w:rPr>
        <w:t>decoding</w:t>
      </w:r>
      <w:r w:rsidR="004162DB" w:rsidRPr="00A52AB8">
        <w:rPr>
          <w:color w:val="000000" w:themeColor="text1"/>
        </w:rPr>
        <w:t xml:space="preserve"> operations,</w:t>
      </w:r>
      <w:r w:rsidRPr="00A52AB8">
        <w:rPr>
          <w:color w:val="000000" w:themeColor="text1"/>
        </w:rPr>
        <w:t xml:space="preserve"> and post-decoding processes</w:t>
      </w:r>
      <w:bookmarkEnd w:id="501"/>
      <w:bookmarkEnd w:id="502"/>
    </w:p>
    <w:p w14:paraId="11AE4E7F" w14:textId="477B4C1B" w:rsidR="0057374A" w:rsidRPr="00A52AB8" w:rsidRDefault="0057374A" w:rsidP="004B6F50">
      <w:pPr>
        <w:rPr>
          <w:lang w:eastAsia="ja-JP"/>
        </w:rPr>
      </w:pPr>
      <w:r w:rsidRPr="00A52AB8">
        <w:rPr>
          <w:lang w:eastAsia="ja-JP"/>
        </w:rPr>
        <w:t xml:space="preserve">This subclause </w:t>
      </w:r>
      <w:r w:rsidR="00783357" w:rsidRPr="00A52AB8">
        <w:rPr>
          <w:lang w:eastAsia="ja-JP"/>
        </w:rPr>
        <w:t xml:space="preserve">provides high-level description of the characteristics and the operations needed </w:t>
      </w:r>
      <w:r w:rsidRPr="00A52AB8">
        <w:rPr>
          <w:lang w:eastAsia="ja-JP"/>
        </w:rPr>
        <w:t xml:space="preserve">for </w:t>
      </w:r>
      <w:r w:rsidR="00783357" w:rsidRPr="00A52AB8">
        <w:rPr>
          <w:lang w:eastAsia="ja-JP"/>
        </w:rPr>
        <w:t xml:space="preserve">the </w:t>
      </w:r>
      <w:r w:rsidRPr="00A52AB8">
        <w:rPr>
          <w:lang w:eastAsia="ja-JP"/>
        </w:rPr>
        <w:t>decoding of V3C bitstreams and optional post-decoding processes</w:t>
      </w:r>
      <w:r w:rsidR="004162DB" w:rsidRPr="00A52AB8">
        <w:rPr>
          <w:lang w:eastAsia="ja-JP"/>
        </w:rPr>
        <w:t xml:space="preserve"> needed by applications</w:t>
      </w:r>
      <w:r w:rsidRPr="00A52AB8">
        <w:rPr>
          <w:lang w:eastAsia="ja-JP"/>
        </w:rPr>
        <w:t xml:space="preserve">, which </w:t>
      </w:r>
      <w:r w:rsidR="004162DB" w:rsidRPr="00A52AB8">
        <w:rPr>
          <w:lang w:eastAsia="ja-JP"/>
        </w:rPr>
        <w:t xml:space="preserve">may </w:t>
      </w:r>
      <w:r w:rsidRPr="00A52AB8">
        <w:rPr>
          <w:lang w:eastAsia="ja-JP"/>
        </w:rPr>
        <w:t>include nominal format conversion, pre-reconstruction, reconstruction, post-reconstruction, and adaptation.</w:t>
      </w:r>
    </w:p>
    <w:p w14:paraId="7EFD95AA" w14:textId="52FEB46B" w:rsidR="008B4572" w:rsidRPr="00A52AB8" w:rsidRDefault="00190359" w:rsidP="008B4572">
      <w:pPr>
        <w:rPr>
          <w:lang w:eastAsia="ja-JP"/>
        </w:rPr>
      </w:pPr>
      <w:r w:rsidRPr="00A52AB8">
        <w:rPr>
          <w:lang w:eastAsia="ja-JP"/>
        </w:rPr>
        <w:lastRenderedPageBreak/>
        <w:t xml:space="preserve">As mentioned in subclause </w:t>
      </w:r>
      <w:r w:rsidRPr="00496A4D">
        <w:rPr>
          <w:lang w:eastAsia="ja-JP"/>
        </w:rPr>
        <w:fldChar w:fldCharType="begin"/>
      </w:r>
      <w:r w:rsidRPr="00A52AB8">
        <w:rPr>
          <w:lang w:eastAsia="ja-JP"/>
        </w:rPr>
        <w:instrText xml:space="preserve"> REF _Ref49424622 \r \h </w:instrText>
      </w:r>
      <w:r w:rsidR="00007BE2" w:rsidRPr="00A52AB8">
        <w:rPr>
          <w:lang w:eastAsia="ja-JP"/>
        </w:rPr>
        <w:instrText xml:space="preserve"> \* MERGEFORMAT </w:instrText>
      </w:r>
      <w:r w:rsidRPr="00496A4D">
        <w:rPr>
          <w:lang w:eastAsia="ja-JP"/>
        </w:rPr>
      </w:r>
      <w:r w:rsidRPr="00496A4D">
        <w:rPr>
          <w:lang w:eastAsia="ja-JP"/>
        </w:rPr>
        <w:fldChar w:fldCharType="separate"/>
      </w:r>
      <w:r w:rsidR="00507A67">
        <w:rPr>
          <w:lang w:eastAsia="ja-JP"/>
        </w:rPr>
        <w:t>6.1</w:t>
      </w:r>
      <w:r w:rsidRPr="00496A4D">
        <w:rPr>
          <w:lang w:eastAsia="ja-JP"/>
        </w:rPr>
        <w:fldChar w:fldCharType="end"/>
      </w:r>
      <w:r w:rsidRPr="00A52AB8">
        <w:rPr>
          <w:lang w:eastAsia="ja-JP"/>
        </w:rPr>
        <w:t>, the V3C bitstream is composed of a collection of V3C components, such as atlas, occupancy, geometry, and attribute</w:t>
      </w:r>
      <w:r w:rsidR="001E12F3" w:rsidRPr="00A52AB8">
        <w:rPr>
          <w:lang w:eastAsia="ja-JP"/>
        </w:rPr>
        <w:t>s</w:t>
      </w:r>
      <w:r w:rsidRPr="00A52AB8">
        <w:rPr>
          <w:lang w:eastAsia="ja-JP"/>
        </w:rPr>
        <w:t xml:space="preserve">. Furthermore, to provide additional functionalities and similar flexibility as available in many video specifications, the atlas component may be divided into tiles and is encapsulated into NAL units. Clause </w:t>
      </w:r>
      <w:r w:rsidRPr="00496A4D">
        <w:rPr>
          <w:lang w:eastAsia="ja-JP"/>
        </w:rPr>
        <w:fldChar w:fldCharType="begin"/>
      </w:r>
      <w:r w:rsidRPr="00A52AB8">
        <w:rPr>
          <w:lang w:eastAsia="ja-JP"/>
        </w:rPr>
        <w:instrText xml:space="preserve"> REF _Ref48762072 \n \h  \* MERGEFORMAT </w:instrText>
      </w:r>
      <w:r w:rsidRPr="00496A4D">
        <w:rPr>
          <w:lang w:eastAsia="ja-JP"/>
        </w:rPr>
      </w:r>
      <w:r w:rsidRPr="00496A4D">
        <w:rPr>
          <w:lang w:eastAsia="ja-JP"/>
        </w:rPr>
        <w:fldChar w:fldCharType="separate"/>
      </w:r>
      <w:r w:rsidR="00507A67">
        <w:rPr>
          <w:lang w:eastAsia="ja-JP"/>
        </w:rPr>
        <w:t>7</w:t>
      </w:r>
      <w:r w:rsidRPr="00496A4D">
        <w:rPr>
          <w:lang w:eastAsia="ja-JP"/>
        </w:rPr>
        <w:fldChar w:fldCharType="end"/>
      </w:r>
      <w:r w:rsidRPr="00A52AB8">
        <w:rPr>
          <w:lang w:eastAsia="ja-JP"/>
        </w:rPr>
        <w:t xml:space="preserve"> provides further details on the encapsulation of V3C component bitstreams into V3C units and NAL units.</w:t>
      </w:r>
    </w:p>
    <w:p w14:paraId="3B392EE2" w14:textId="3DB2D591" w:rsidR="00336850" w:rsidRPr="00A52AB8" w:rsidRDefault="00336850" w:rsidP="00336850">
      <w:pPr>
        <w:rPr>
          <w:lang w:eastAsia="ja-JP"/>
        </w:rPr>
      </w:pPr>
      <w:r w:rsidRPr="00A52AB8">
        <w:rPr>
          <w:lang w:eastAsia="ja-JP"/>
        </w:rPr>
        <w:t xml:space="preserve">V3C bitstream syntax elements and their semantics are specified in Clause </w:t>
      </w:r>
      <w:r w:rsidRPr="00496A4D">
        <w:rPr>
          <w:lang w:eastAsia="ja-JP"/>
        </w:rPr>
        <w:fldChar w:fldCharType="begin"/>
      </w:r>
      <w:r w:rsidRPr="00A52AB8">
        <w:rPr>
          <w:lang w:eastAsia="ja-JP"/>
        </w:rPr>
        <w:instrText xml:space="preserve"> REF _Ref326740334 \n \h  \* MERGEFORMAT </w:instrText>
      </w:r>
      <w:r w:rsidRPr="00496A4D">
        <w:rPr>
          <w:lang w:eastAsia="ja-JP"/>
        </w:rPr>
      </w:r>
      <w:r w:rsidRPr="00496A4D">
        <w:rPr>
          <w:lang w:eastAsia="ja-JP"/>
        </w:rPr>
        <w:fldChar w:fldCharType="separate"/>
      </w:r>
      <w:r w:rsidR="00507A67">
        <w:rPr>
          <w:lang w:eastAsia="ja-JP"/>
        </w:rPr>
        <w:t>8</w:t>
      </w:r>
      <w:r w:rsidRPr="00496A4D">
        <w:rPr>
          <w:lang w:eastAsia="ja-JP"/>
        </w:rPr>
        <w:fldChar w:fldCharType="end"/>
      </w:r>
      <w:r w:rsidRPr="00A52AB8">
        <w:rPr>
          <w:lang w:eastAsia="ja-JP"/>
        </w:rPr>
        <w:t xml:space="preserve">. Particular focus is placed on the atlas bitstream, its characteristics, and </w:t>
      </w:r>
      <w:r w:rsidR="00015C09" w:rsidRPr="00A52AB8">
        <w:rPr>
          <w:lang w:eastAsia="ja-JP"/>
        </w:rPr>
        <w:t>any constraints that may apply on such syntax.</w:t>
      </w:r>
    </w:p>
    <w:p w14:paraId="65BBF2E1" w14:textId="7CDC946A" w:rsidR="001A49CA" w:rsidRPr="00A52AB8" w:rsidRDefault="003C51C5" w:rsidP="004A6049">
      <w:pPr>
        <w:rPr>
          <w:lang w:eastAsia="ja-JP"/>
        </w:rPr>
      </w:pPr>
      <w:r w:rsidRPr="00A52AB8">
        <w:rPr>
          <w:lang w:eastAsia="ja-JP"/>
        </w:rPr>
        <w:t xml:space="preserve">Clause </w:t>
      </w:r>
      <w:r w:rsidRPr="00496A4D">
        <w:rPr>
          <w:lang w:eastAsia="ja-JP"/>
        </w:rPr>
        <w:fldChar w:fldCharType="begin"/>
      </w:r>
      <w:r w:rsidRPr="00A52AB8">
        <w:rPr>
          <w:lang w:eastAsia="ja-JP"/>
        </w:rPr>
        <w:instrText xml:space="preserve"> REF _Ref389779808 \n \h </w:instrText>
      </w:r>
      <w:r w:rsidR="0068122F" w:rsidRPr="00A52AB8">
        <w:rPr>
          <w:lang w:eastAsia="ja-JP"/>
        </w:rPr>
        <w:instrText xml:space="preserve"> \* MERGEFORMAT </w:instrText>
      </w:r>
      <w:r w:rsidRPr="00496A4D">
        <w:rPr>
          <w:lang w:eastAsia="ja-JP"/>
        </w:rPr>
      </w:r>
      <w:r w:rsidRPr="00496A4D">
        <w:rPr>
          <w:lang w:eastAsia="ja-JP"/>
        </w:rPr>
        <w:fldChar w:fldCharType="separate"/>
      </w:r>
      <w:r w:rsidR="00507A67">
        <w:rPr>
          <w:lang w:eastAsia="ja-JP"/>
        </w:rPr>
        <w:t>9</w:t>
      </w:r>
      <w:r w:rsidRPr="00496A4D">
        <w:rPr>
          <w:lang w:eastAsia="ja-JP"/>
        </w:rPr>
        <w:fldChar w:fldCharType="end"/>
      </w:r>
      <w:r w:rsidRPr="00A52AB8">
        <w:rPr>
          <w:lang w:eastAsia="ja-JP"/>
        </w:rPr>
        <w:t xml:space="preserve"> invokes the decoding process of </w:t>
      </w:r>
      <w:r w:rsidR="001A49CA" w:rsidRPr="00A52AB8">
        <w:rPr>
          <w:lang w:eastAsia="ja-JP"/>
        </w:rPr>
        <w:t xml:space="preserve">a </w:t>
      </w:r>
      <w:r w:rsidRPr="00A52AB8">
        <w:rPr>
          <w:lang w:eastAsia="ja-JP"/>
        </w:rPr>
        <w:t>V3C bitstream</w:t>
      </w:r>
      <w:r w:rsidR="001A49CA" w:rsidRPr="00A52AB8">
        <w:rPr>
          <w:lang w:eastAsia="ja-JP"/>
        </w:rPr>
        <w:t xml:space="preserve"> or a collection of V3C sub-bitstreams</w:t>
      </w:r>
      <w:r w:rsidRPr="00A52AB8">
        <w:rPr>
          <w:lang w:eastAsia="ja-JP"/>
        </w:rPr>
        <w:t xml:space="preserve">, with outputs composed of decoded atlas </w:t>
      </w:r>
      <w:r w:rsidR="001A49CA" w:rsidRPr="00A52AB8">
        <w:rPr>
          <w:lang w:eastAsia="ja-JP"/>
        </w:rPr>
        <w:t>information</w:t>
      </w:r>
      <w:r w:rsidR="001A49CA" w:rsidRPr="00A52AB8">
        <w:rPr>
          <w:color w:val="000000" w:themeColor="text1"/>
        </w:rPr>
        <w:t>, a set of decoded video s</w:t>
      </w:r>
      <w:r w:rsidR="00257AD4" w:rsidRPr="00A52AB8">
        <w:rPr>
          <w:color w:val="000000" w:themeColor="text1"/>
        </w:rPr>
        <w:t>ub-bi</w:t>
      </w:r>
      <w:r w:rsidR="001A49CA" w:rsidRPr="00A52AB8">
        <w:rPr>
          <w:color w:val="000000" w:themeColor="text1"/>
        </w:rPr>
        <w:t>t</w:t>
      </w:r>
      <w:r w:rsidR="00257AD4" w:rsidRPr="00A52AB8">
        <w:rPr>
          <w:color w:val="000000" w:themeColor="text1"/>
        </w:rPr>
        <w:t>st</w:t>
      </w:r>
      <w:r w:rsidR="001A49CA" w:rsidRPr="00A52AB8">
        <w:rPr>
          <w:color w:val="000000" w:themeColor="text1"/>
        </w:rPr>
        <w:t>reams, corresponding to the occupancy, geometry, and attribute, if available, and information of the CVS</w:t>
      </w:r>
      <w:r w:rsidRPr="00A52AB8">
        <w:rPr>
          <w:lang w:eastAsia="ja-JP"/>
        </w:rPr>
        <w:t>.</w:t>
      </w:r>
    </w:p>
    <w:p w14:paraId="657401FB" w14:textId="0BAF30FD" w:rsidR="003E4E38" w:rsidRPr="00A52AB8" w:rsidRDefault="00485601" w:rsidP="003E4E38">
      <w:pPr>
        <w:rPr>
          <w:lang w:eastAsia="ja-JP"/>
        </w:rPr>
      </w:pPr>
      <w:r w:rsidRPr="00A52AB8">
        <w:rPr>
          <w:lang w:eastAsia="ja-JP"/>
        </w:rPr>
        <w:t xml:space="preserve">The decoded video frames may </w:t>
      </w:r>
      <w:r w:rsidR="00064A18" w:rsidRPr="00A52AB8">
        <w:rPr>
          <w:lang w:eastAsia="ja-JP"/>
        </w:rPr>
        <w:t>require the application of additional transformations</w:t>
      </w:r>
      <w:r w:rsidR="003E4E38" w:rsidRPr="00A52AB8">
        <w:rPr>
          <w:lang w:eastAsia="ja-JP"/>
        </w:rPr>
        <w:t xml:space="preserve">, as described in </w:t>
      </w:r>
      <w:r w:rsidR="003E4E38" w:rsidRPr="00496A4D">
        <w:rPr>
          <w:lang w:eastAsia="ja-JP"/>
        </w:rPr>
        <w:fldChar w:fldCharType="begin"/>
      </w:r>
      <w:r w:rsidR="003E4E38" w:rsidRPr="00A52AB8">
        <w:rPr>
          <w:lang w:eastAsia="ja-JP"/>
        </w:rPr>
        <w:instrText xml:space="preserve"> REF _Ref38561253 \n \h  \* MERGEFORMAT </w:instrText>
      </w:r>
      <w:r w:rsidR="003E4E38" w:rsidRPr="00496A4D">
        <w:rPr>
          <w:lang w:eastAsia="ja-JP"/>
        </w:rPr>
      </w:r>
      <w:r w:rsidR="003E4E38" w:rsidRPr="00496A4D">
        <w:rPr>
          <w:lang w:eastAsia="ja-JP"/>
        </w:rPr>
        <w:fldChar w:fldCharType="separate"/>
      </w:r>
      <w:r w:rsidR="00507A67">
        <w:rPr>
          <w:lang w:eastAsia="ja-JP"/>
        </w:rPr>
        <w:t>Annex B</w:t>
      </w:r>
      <w:r w:rsidR="003E4E38" w:rsidRPr="00496A4D">
        <w:rPr>
          <w:lang w:eastAsia="ja-JP"/>
        </w:rPr>
        <w:fldChar w:fldCharType="end"/>
      </w:r>
      <w:r w:rsidR="003E4E38" w:rsidRPr="00A52AB8">
        <w:rPr>
          <w:lang w:eastAsia="ja-JP"/>
        </w:rPr>
        <w:t>,</w:t>
      </w:r>
      <w:r w:rsidR="00064A18" w:rsidRPr="00A52AB8">
        <w:rPr>
          <w:lang w:eastAsia="ja-JP"/>
        </w:rPr>
        <w:t xml:space="preserve"> before any reconstruction operation</w:t>
      </w:r>
      <w:r w:rsidR="003E4E38" w:rsidRPr="00A52AB8">
        <w:rPr>
          <w:lang w:eastAsia="ja-JP"/>
        </w:rPr>
        <w:t>s</w:t>
      </w:r>
      <w:r w:rsidR="00064A18" w:rsidRPr="00A52AB8">
        <w:rPr>
          <w:lang w:eastAsia="ja-JP"/>
        </w:rPr>
        <w:t>.</w:t>
      </w:r>
      <w:r w:rsidR="003E4E38" w:rsidRPr="00A52AB8">
        <w:rPr>
          <w:lang w:eastAsia="ja-JP"/>
        </w:rPr>
        <w:t xml:space="preserve"> For example, the different components may need to be time-aligned and converted to a nominal video format.</w:t>
      </w:r>
    </w:p>
    <w:p w14:paraId="22A11A58" w14:textId="159DAFF1" w:rsidR="003E4E38" w:rsidRPr="00A52AB8" w:rsidRDefault="00066F1A" w:rsidP="004A6049">
      <w:pPr>
        <w:rPr>
          <w:lang w:eastAsia="ja-JP"/>
        </w:rPr>
      </w:pPr>
      <w:r w:rsidRPr="00A52AB8">
        <w:rPr>
          <w:lang w:eastAsia="ja-JP"/>
        </w:rPr>
        <w:t xml:space="preserve">With the V3C components in </w:t>
      </w:r>
      <w:r w:rsidR="0065222A" w:rsidRPr="00A52AB8">
        <w:rPr>
          <w:lang w:eastAsia="ja-JP"/>
        </w:rPr>
        <w:t xml:space="preserve">the </w:t>
      </w:r>
      <w:r w:rsidRPr="00A52AB8">
        <w:rPr>
          <w:lang w:eastAsia="ja-JP"/>
        </w:rPr>
        <w:t xml:space="preserve">nominal format, the 3D volumetric content is </w:t>
      </w:r>
      <w:r w:rsidR="0029334C" w:rsidRPr="00A52AB8">
        <w:rPr>
          <w:lang w:eastAsia="ja-JP"/>
        </w:rPr>
        <w:t xml:space="preserve">obtained </w:t>
      </w:r>
      <w:r w:rsidRPr="00A52AB8">
        <w:rPr>
          <w:lang w:eastAsia="ja-JP"/>
        </w:rPr>
        <w:t>according to the following steps: pre-reconstruction</w:t>
      </w:r>
      <w:r w:rsidR="0029334C" w:rsidRPr="00A52AB8">
        <w:rPr>
          <w:lang w:eastAsia="ja-JP"/>
        </w:rPr>
        <w:t>, reconstruction,</w:t>
      </w:r>
      <w:r w:rsidRPr="00A52AB8">
        <w:rPr>
          <w:lang w:eastAsia="ja-JP"/>
        </w:rPr>
        <w:t xml:space="preserve"> post-reconstruction</w:t>
      </w:r>
      <w:r w:rsidR="003E4E38" w:rsidRPr="00A52AB8">
        <w:rPr>
          <w:lang w:eastAsia="ja-JP"/>
        </w:rPr>
        <w:t>,</w:t>
      </w:r>
      <w:r w:rsidR="0029334C" w:rsidRPr="00A52AB8">
        <w:rPr>
          <w:lang w:eastAsia="ja-JP"/>
        </w:rPr>
        <w:t xml:space="preserve"> and adaptation.</w:t>
      </w:r>
    </w:p>
    <w:p w14:paraId="50A0B316" w14:textId="5522259B" w:rsidR="0050235C" w:rsidRPr="00A52AB8" w:rsidRDefault="0029334C" w:rsidP="004A6049">
      <w:pPr>
        <w:rPr>
          <w:lang w:eastAsia="ja-JP"/>
        </w:rPr>
      </w:pPr>
      <w:r w:rsidRPr="00A52AB8">
        <w:rPr>
          <w:lang w:eastAsia="ja-JP"/>
        </w:rPr>
        <w:t>For pre-reconstruction</w:t>
      </w:r>
      <w:r w:rsidR="006E6E03" w:rsidRPr="00A52AB8">
        <w:rPr>
          <w:lang w:eastAsia="ja-JP"/>
        </w:rPr>
        <w:t>,</w:t>
      </w:r>
      <w:r w:rsidRPr="00A52AB8">
        <w:rPr>
          <w:lang w:eastAsia="ja-JP"/>
        </w:rPr>
        <w:t xml:space="preserve"> as specified in Clause </w:t>
      </w:r>
      <w:r w:rsidRPr="00496A4D">
        <w:rPr>
          <w:lang w:eastAsia="ja-JP"/>
        </w:rPr>
        <w:fldChar w:fldCharType="begin"/>
      </w:r>
      <w:r w:rsidRPr="00A52AB8">
        <w:rPr>
          <w:lang w:eastAsia="ja-JP"/>
        </w:rPr>
        <w:instrText xml:space="preserve"> REF _Ref49357926 \r \h </w:instrText>
      </w:r>
      <w:r w:rsidR="0068122F" w:rsidRPr="00A52AB8">
        <w:rPr>
          <w:lang w:eastAsia="ja-JP"/>
        </w:rPr>
        <w:instrText xml:space="preserve"> \* MERGEFORMAT </w:instrText>
      </w:r>
      <w:r w:rsidRPr="00496A4D">
        <w:rPr>
          <w:lang w:eastAsia="ja-JP"/>
        </w:rPr>
      </w:r>
      <w:r w:rsidRPr="00496A4D">
        <w:rPr>
          <w:lang w:eastAsia="ja-JP"/>
        </w:rPr>
        <w:fldChar w:fldCharType="separate"/>
      </w:r>
      <w:r w:rsidR="00507A67">
        <w:rPr>
          <w:lang w:eastAsia="ja-JP"/>
        </w:rPr>
        <w:t>10</w:t>
      </w:r>
      <w:r w:rsidRPr="00496A4D">
        <w:rPr>
          <w:lang w:eastAsia="ja-JP"/>
        </w:rPr>
        <w:fldChar w:fldCharType="end"/>
      </w:r>
      <w:r w:rsidRPr="00A52AB8">
        <w:rPr>
          <w:lang w:eastAsia="ja-JP"/>
        </w:rPr>
        <w:t>, some of the decoded V3C components may be further processed according to a specific application.</w:t>
      </w:r>
    </w:p>
    <w:p w14:paraId="5E7E52EF" w14:textId="7D5C50E9" w:rsidR="006777B0" w:rsidRPr="00A52AB8" w:rsidRDefault="0029334C" w:rsidP="004A6049">
      <w:pPr>
        <w:rPr>
          <w:lang w:eastAsia="ja-JP"/>
        </w:rPr>
      </w:pPr>
      <w:r w:rsidRPr="00A52AB8">
        <w:rPr>
          <w:lang w:eastAsia="ja-JP"/>
        </w:rPr>
        <w:t xml:space="preserve">In the reconstruction stage, described in Clause </w:t>
      </w:r>
      <w:r w:rsidRPr="00496A4D">
        <w:rPr>
          <w:lang w:eastAsia="ja-JP"/>
        </w:rPr>
        <w:fldChar w:fldCharType="begin"/>
      </w:r>
      <w:r w:rsidRPr="00A52AB8">
        <w:rPr>
          <w:lang w:eastAsia="ja-JP"/>
        </w:rPr>
        <w:instrText xml:space="preserve"> REF _Ref49271962 \r \h </w:instrText>
      </w:r>
      <w:r w:rsidR="0068122F" w:rsidRPr="00A52AB8">
        <w:rPr>
          <w:lang w:eastAsia="ja-JP"/>
        </w:rPr>
        <w:instrText xml:space="preserve"> \* MERGEFORMAT </w:instrText>
      </w:r>
      <w:r w:rsidRPr="00496A4D">
        <w:rPr>
          <w:lang w:eastAsia="ja-JP"/>
        </w:rPr>
      </w:r>
      <w:r w:rsidRPr="00496A4D">
        <w:rPr>
          <w:lang w:eastAsia="ja-JP"/>
        </w:rPr>
        <w:fldChar w:fldCharType="separate"/>
      </w:r>
      <w:r w:rsidR="00507A67">
        <w:rPr>
          <w:lang w:eastAsia="ja-JP"/>
        </w:rPr>
        <w:t>11</w:t>
      </w:r>
      <w:r w:rsidRPr="00496A4D">
        <w:rPr>
          <w:lang w:eastAsia="ja-JP"/>
        </w:rPr>
        <w:fldChar w:fldCharType="end"/>
      </w:r>
      <w:r w:rsidRPr="00A52AB8">
        <w:rPr>
          <w:lang w:eastAsia="ja-JP"/>
        </w:rPr>
        <w:t>, the video components</w:t>
      </w:r>
      <w:r w:rsidR="003122DE" w:rsidRPr="00A52AB8">
        <w:rPr>
          <w:lang w:eastAsia="ja-JP"/>
        </w:rPr>
        <w:t>,</w:t>
      </w:r>
      <w:r w:rsidRPr="00A52AB8">
        <w:rPr>
          <w:lang w:eastAsia="ja-JP"/>
        </w:rPr>
        <w:t xml:space="preserve"> along with the decoded atlas data</w:t>
      </w:r>
      <w:r w:rsidR="003122DE" w:rsidRPr="00A52AB8">
        <w:rPr>
          <w:lang w:eastAsia="ja-JP"/>
        </w:rPr>
        <w:t>,</w:t>
      </w:r>
      <w:r w:rsidRPr="00A52AB8">
        <w:rPr>
          <w:lang w:eastAsia="ja-JP"/>
        </w:rPr>
        <w:t xml:space="preserve"> are processed to reconstruct the volumetric content</w:t>
      </w:r>
      <w:r w:rsidR="006E6E03" w:rsidRPr="00A52AB8">
        <w:rPr>
          <w:lang w:eastAsia="ja-JP"/>
        </w:rPr>
        <w:t xml:space="preserve"> </w:t>
      </w:r>
      <w:r w:rsidR="00BE51D1" w:rsidRPr="00A52AB8">
        <w:rPr>
          <w:lang w:eastAsia="ja-JP"/>
        </w:rPr>
        <w:t xml:space="preserve">and associated information </w:t>
      </w:r>
      <w:r w:rsidR="006E6E03" w:rsidRPr="00A52AB8">
        <w:rPr>
          <w:lang w:eastAsia="ja-JP"/>
        </w:rPr>
        <w:t>as output</w:t>
      </w:r>
      <w:r w:rsidR="00BE51D1" w:rsidRPr="00A52AB8">
        <w:rPr>
          <w:lang w:eastAsia="ja-JP"/>
        </w:rPr>
        <w:t>s</w:t>
      </w:r>
      <w:r w:rsidRPr="00A52AB8">
        <w:rPr>
          <w:lang w:eastAsia="ja-JP"/>
        </w:rPr>
        <w:t xml:space="preserve">. </w:t>
      </w:r>
      <w:r w:rsidR="006E6E03" w:rsidRPr="00A52AB8">
        <w:rPr>
          <w:lang w:eastAsia="ja-JP"/>
        </w:rPr>
        <w:t>For</w:t>
      </w:r>
      <w:r w:rsidRPr="00A52AB8">
        <w:rPr>
          <w:lang w:eastAsia="ja-JP"/>
        </w:rPr>
        <w:t xml:space="preserve"> some specific applications, th</w:t>
      </w:r>
      <w:r w:rsidR="006E6E03" w:rsidRPr="00A52AB8">
        <w:rPr>
          <w:lang w:eastAsia="ja-JP"/>
        </w:rPr>
        <w:t>is</w:t>
      </w:r>
      <w:r w:rsidRPr="00A52AB8">
        <w:rPr>
          <w:lang w:eastAsia="ja-JP"/>
        </w:rPr>
        <w:t xml:space="preserve"> </w:t>
      </w:r>
      <w:r w:rsidR="006E6E03" w:rsidRPr="00A52AB8">
        <w:rPr>
          <w:lang w:eastAsia="ja-JP"/>
        </w:rPr>
        <w:t xml:space="preserve">output corresponds to </w:t>
      </w:r>
      <w:r w:rsidRPr="00A52AB8">
        <w:rPr>
          <w:lang w:eastAsia="ja-JP"/>
        </w:rPr>
        <w:t>a collection of points and their associated attributes, if present.</w:t>
      </w:r>
    </w:p>
    <w:p w14:paraId="581BA02B" w14:textId="59AEAD1A" w:rsidR="006777B0" w:rsidRPr="00A52AB8" w:rsidRDefault="0029334C" w:rsidP="004A6049">
      <w:pPr>
        <w:rPr>
          <w:lang w:eastAsia="ja-JP"/>
        </w:rPr>
      </w:pPr>
      <w:r w:rsidRPr="00A52AB8">
        <w:rPr>
          <w:lang w:eastAsia="ja-JP"/>
        </w:rPr>
        <w:t xml:space="preserve">The </w:t>
      </w:r>
      <w:r w:rsidR="00BE51D1" w:rsidRPr="00A52AB8">
        <w:rPr>
          <w:lang w:eastAsia="ja-JP"/>
        </w:rPr>
        <w:t xml:space="preserve">reconstructed </w:t>
      </w:r>
      <w:r w:rsidRPr="00A52AB8">
        <w:rPr>
          <w:lang w:eastAsia="ja-JP"/>
        </w:rPr>
        <w:t xml:space="preserve">volumetric content can be </w:t>
      </w:r>
      <w:r w:rsidR="0068122F" w:rsidRPr="00A52AB8">
        <w:rPr>
          <w:lang w:eastAsia="ja-JP"/>
        </w:rPr>
        <w:t xml:space="preserve">further </w:t>
      </w:r>
      <w:r w:rsidR="00A37974" w:rsidRPr="00A52AB8">
        <w:rPr>
          <w:lang w:eastAsia="ja-JP"/>
        </w:rPr>
        <w:t>processed</w:t>
      </w:r>
      <w:r w:rsidR="00B2561A" w:rsidRPr="00A52AB8">
        <w:rPr>
          <w:lang w:eastAsia="ja-JP"/>
        </w:rPr>
        <w:t>, depending on the application,</w:t>
      </w:r>
      <w:r w:rsidR="00A37974" w:rsidRPr="00A52AB8">
        <w:rPr>
          <w:lang w:eastAsia="ja-JP"/>
        </w:rPr>
        <w:t xml:space="preserve"> by </w:t>
      </w:r>
      <w:r w:rsidRPr="00A52AB8">
        <w:rPr>
          <w:lang w:eastAsia="ja-JP"/>
        </w:rPr>
        <w:t xml:space="preserve">applying </w:t>
      </w:r>
      <w:r w:rsidR="0068122F" w:rsidRPr="00A52AB8">
        <w:rPr>
          <w:lang w:eastAsia="ja-JP"/>
        </w:rPr>
        <w:t xml:space="preserve">informative </w:t>
      </w:r>
      <w:r w:rsidR="00A37974" w:rsidRPr="00A52AB8">
        <w:rPr>
          <w:lang w:eastAsia="ja-JP"/>
        </w:rPr>
        <w:t xml:space="preserve">post-reconstruction </w:t>
      </w:r>
      <w:r w:rsidRPr="00A52AB8">
        <w:rPr>
          <w:lang w:eastAsia="ja-JP"/>
        </w:rPr>
        <w:t>methods</w:t>
      </w:r>
      <w:r w:rsidR="00B2561A" w:rsidRPr="00A52AB8">
        <w:rPr>
          <w:lang w:eastAsia="ja-JP"/>
        </w:rPr>
        <w:t>,</w:t>
      </w:r>
      <w:r w:rsidRPr="00A52AB8">
        <w:rPr>
          <w:lang w:eastAsia="ja-JP"/>
        </w:rPr>
        <w:t xml:space="preserve"> </w:t>
      </w:r>
      <w:r w:rsidR="00B2561A" w:rsidRPr="00A52AB8">
        <w:rPr>
          <w:lang w:eastAsia="ja-JP"/>
        </w:rPr>
        <w:t xml:space="preserve">as </w:t>
      </w:r>
      <w:r w:rsidRPr="00A52AB8">
        <w:rPr>
          <w:lang w:eastAsia="ja-JP"/>
        </w:rPr>
        <w:t xml:space="preserve">described in Clause </w:t>
      </w:r>
      <w:r w:rsidRPr="00496A4D">
        <w:rPr>
          <w:lang w:eastAsia="ja-JP"/>
        </w:rPr>
        <w:fldChar w:fldCharType="begin"/>
      </w:r>
      <w:r w:rsidRPr="00A52AB8">
        <w:rPr>
          <w:lang w:eastAsia="ja-JP"/>
        </w:rPr>
        <w:instrText xml:space="preserve"> REF _Ref47951483 \r \h </w:instrText>
      </w:r>
      <w:r w:rsidR="0068122F" w:rsidRPr="00A52AB8">
        <w:rPr>
          <w:lang w:eastAsia="ja-JP"/>
        </w:rPr>
        <w:instrText xml:space="preserve"> \* MERGEFORMAT </w:instrText>
      </w:r>
      <w:r w:rsidRPr="00496A4D">
        <w:rPr>
          <w:lang w:eastAsia="ja-JP"/>
        </w:rPr>
      </w:r>
      <w:r w:rsidRPr="00496A4D">
        <w:rPr>
          <w:lang w:eastAsia="ja-JP"/>
        </w:rPr>
        <w:fldChar w:fldCharType="separate"/>
      </w:r>
      <w:r w:rsidR="00507A67">
        <w:rPr>
          <w:lang w:eastAsia="ja-JP"/>
        </w:rPr>
        <w:t>12</w:t>
      </w:r>
      <w:r w:rsidRPr="00496A4D">
        <w:rPr>
          <w:lang w:eastAsia="ja-JP"/>
        </w:rPr>
        <w:fldChar w:fldCharType="end"/>
      </w:r>
      <w:r w:rsidRPr="00A52AB8">
        <w:rPr>
          <w:lang w:eastAsia="ja-JP"/>
        </w:rPr>
        <w:t>.</w:t>
      </w:r>
    </w:p>
    <w:p w14:paraId="6B957CD7" w14:textId="61A20074" w:rsidR="00015C09" w:rsidRPr="00A52AB8" w:rsidRDefault="00B2561A" w:rsidP="004A6049">
      <w:pPr>
        <w:rPr>
          <w:lang w:eastAsia="ja-JP"/>
        </w:rPr>
      </w:pPr>
      <w:r w:rsidRPr="00A52AB8">
        <w:rPr>
          <w:lang w:eastAsia="ja-JP"/>
        </w:rPr>
        <w:t>Depending on the application</w:t>
      </w:r>
      <w:r w:rsidR="0029334C" w:rsidRPr="00A52AB8">
        <w:rPr>
          <w:lang w:eastAsia="ja-JP"/>
        </w:rPr>
        <w:t xml:space="preserve">, the </w:t>
      </w:r>
      <w:r w:rsidR="00BE51D1" w:rsidRPr="00A52AB8">
        <w:rPr>
          <w:lang w:eastAsia="ja-JP"/>
        </w:rPr>
        <w:t xml:space="preserve">post-reconstructed </w:t>
      </w:r>
      <w:r w:rsidR="0029334C" w:rsidRPr="00A52AB8">
        <w:rPr>
          <w:lang w:eastAsia="ja-JP"/>
        </w:rPr>
        <w:t>volumetric content can be further</w:t>
      </w:r>
      <w:r w:rsidRPr="00A52AB8">
        <w:rPr>
          <w:lang w:eastAsia="ja-JP"/>
        </w:rPr>
        <w:t xml:space="preserve"> optionally</w:t>
      </w:r>
      <w:r w:rsidR="0029334C" w:rsidRPr="00A52AB8">
        <w:rPr>
          <w:lang w:eastAsia="ja-JP"/>
        </w:rPr>
        <w:t xml:space="preserve"> </w:t>
      </w:r>
      <w:r w:rsidRPr="00A52AB8">
        <w:rPr>
          <w:lang w:eastAsia="ja-JP"/>
        </w:rPr>
        <w:t xml:space="preserve">processed </w:t>
      </w:r>
      <w:r w:rsidR="006E6E03" w:rsidRPr="00A52AB8">
        <w:rPr>
          <w:lang w:eastAsia="ja-JP"/>
        </w:rPr>
        <w:t xml:space="preserve">by </w:t>
      </w:r>
      <w:r w:rsidRPr="00A52AB8">
        <w:rPr>
          <w:lang w:eastAsia="ja-JP"/>
        </w:rPr>
        <w:t>additional transformation</w:t>
      </w:r>
      <w:r w:rsidR="006E6E03" w:rsidRPr="00A52AB8">
        <w:rPr>
          <w:lang w:eastAsia="ja-JP"/>
        </w:rPr>
        <w:t>s</w:t>
      </w:r>
      <w:r w:rsidRPr="00A52AB8">
        <w:rPr>
          <w:lang w:eastAsia="ja-JP"/>
        </w:rPr>
        <w:t>, as</w:t>
      </w:r>
      <w:r w:rsidR="006E6E03" w:rsidRPr="00A52AB8">
        <w:rPr>
          <w:lang w:eastAsia="ja-JP"/>
        </w:rPr>
        <w:t xml:space="preserve"> described in Clause </w:t>
      </w:r>
      <w:r w:rsidR="0029334C" w:rsidRPr="00496A4D">
        <w:rPr>
          <w:lang w:eastAsia="ja-JP"/>
        </w:rPr>
        <w:fldChar w:fldCharType="begin"/>
      </w:r>
      <w:r w:rsidR="0029334C" w:rsidRPr="00A52AB8">
        <w:rPr>
          <w:lang w:eastAsia="ja-JP"/>
        </w:rPr>
        <w:instrText xml:space="preserve"> REF _Ref48314996 \r \h </w:instrText>
      </w:r>
      <w:r w:rsidR="0068122F" w:rsidRPr="00A52AB8">
        <w:rPr>
          <w:lang w:eastAsia="ja-JP"/>
        </w:rPr>
        <w:instrText xml:space="preserve"> \* MERGEFORMAT </w:instrText>
      </w:r>
      <w:r w:rsidR="0029334C" w:rsidRPr="00496A4D">
        <w:rPr>
          <w:lang w:eastAsia="ja-JP"/>
        </w:rPr>
      </w:r>
      <w:r w:rsidR="0029334C" w:rsidRPr="00496A4D">
        <w:rPr>
          <w:lang w:eastAsia="ja-JP"/>
        </w:rPr>
        <w:fldChar w:fldCharType="separate"/>
      </w:r>
      <w:r w:rsidR="00507A67">
        <w:rPr>
          <w:lang w:eastAsia="ja-JP"/>
        </w:rPr>
        <w:t>13</w:t>
      </w:r>
      <w:r w:rsidR="0029334C" w:rsidRPr="00496A4D">
        <w:rPr>
          <w:lang w:eastAsia="ja-JP"/>
        </w:rPr>
        <w:fldChar w:fldCharType="end"/>
      </w:r>
      <w:r w:rsidR="006E6E03" w:rsidRPr="00A52AB8">
        <w:rPr>
          <w:lang w:eastAsia="ja-JP"/>
        </w:rPr>
        <w:t>.</w:t>
      </w:r>
    </w:p>
    <w:p w14:paraId="1FB1E246" w14:textId="4CCF2721" w:rsidR="00A20A04" w:rsidRPr="00A52AB8" w:rsidRDefault="00CE2D34" w:rsidP="00CA0323">
      <w:pPr>
        <w:pStyle w:val="Heading1"/>
        <w:rPr>
          <w:rFonts w:eastAsiaTheme="minorEastAsia"/>
        </w:rPr>
      </w:pPr>
      <w:bookmarkStart w:id="503" w:name="_Ref48313807"/>
      <w:bookmarkStart w:id="504" w:name="_Ref48762072"/>
      <w:bookmarkStart w:id="505" w:name="_Toc52181593"/>
      <w:bookmarkEnd w:id="484"/>
      <w:bookmarkEnd w:id="485"/>
      <w:bookmarkEnd w:id="486"/>
      <w:bookmarkEnd w:id="487"/>
      <w:bookmarkEnd w:id="488"/>
      <w:bookmarkEnd w:id="489"/>
      <w:bookmarkEnd w:id="490"/>
      <w:bookmarkEnd w:id="491"/>
      <w:bookmarkEnd w:id="492"/>
      <w:bookmarkEnd w:id="493"/>
      <w:bookmarkEnd w:id="494"/>
      <w:r w:rsidRPr="00A52AB8">
        <w:rPr>
          <w:color w:val="000000" w:themeColor="text1"/>
        </w:rPr>
        <w:t>Bitstream format, partitioning, and scanning processes</w:t>
      </w:r>
      <w:bookmarkEnd w:id="503"/>
      <w:bookmarkEnd w:id="505"/>
    </w:p>
    <w:p w14:paraId="52D60C61" w14:textId="2FA7CAF3" w:rsidR="0057374A" w:rsidRPr="00A52AB8" w:rsidRDefault="0057374A" w:rsidP="0057374A">
      <w:pPr>
        <w:pStyle w:val="Heading2"/>
        <w:rPr>
          <w:color w:val="000000" w:themeColor="text1"/>
        </w:rPr>
      </w:pPr>
      <w:bookmarkStart w:id="506" w:name="_Toc52181594"/>
      <w:bookmarkEnd w:id="504"/>
      <w:r w:rsidRPr="00A52AB8">
        <w:rPr>
          <w:color w:val="000000" w:themeColor="text1"/>
        </w:rPr>
        <w:t>General</w:t>
      </w:r>
      <w:bookmarkEnd w:id="506"/>
    </w:p>
    <w:p w14:paraId="08A8A21C" w14:textId="37A59561" w:rsidR="00C22347" w:rsidRPr="00A52AB8" w:rsidRDefault="00C22347">
      <w:pPr>
        <w:rPr>
          <w:color w:val="000000" w:themeColor="text1"/>
        </w:rPr>
      </w:pPr>
      <w:r w:rsidRPr="00A52AB8">
        <w:t xml:space="preserve">Coded V3C video components are referred to in this document as video bitstreams, while an atlas component is referred to as the atlas bitstream. Video bitstreams and atlas bitstreams may be further split into smaller units, referred to here as video and atlas sub-bitstreams, respectively, and may be interleaved together, after the addition of appropriate delimiters, to construct a V3C bitstream. One particular form of a V3C bitstream, referred to as the V3C sample stream format, </w:t>
      </w:r>
      <w:r w:rsidR="007745E8" w:rsidRPr="00A52AB8">
        <w:t xml:space="preserve">that encapsulates all V3C units, </w:t>
      </w:r>
      <w:r w:rsidRPr="00A52AB8">
        <w:t xml:space="preserve">is presented in </w:t>
      </w:r>
      <w:r w:rsidRPr="00496A4D">
        <w:fldChar w:fldCharType="begin"/>
      </w:r>
      <w:r w:rsidRPr="00A52AB8">
        <w:instrText xml:space="preserve"> REF _Ref38894897 \n \h  \* MERGEFORMAT </w:instrText>
      </w:r>
      <w:r w:rsidRPr="00496A4D">
        <w:fldChar w:fldCharType="separate"/>
      </w:r>
      <w:r w:rsidR="00507A67">
        <w:t>Annex C</w:t>
      </w:r>
      <w:r w:rsidRPr="00496A4D">
        <w:fldChar w:fldCharType="end"/>
      </w:r>
      <w:r w:rsidRPr="00A52AB8">
        <w:t>.</w:t>
      </w:r>
    </w:p>
    <w:p w14:paraId="485FD141" w14:textId="379D754D" w:rsidR="00120E20" w:rsidRPr="00A52AB8" w:rsidRDefault="00E66562">
      <w:pPr>
        <w:pStyle w:val="Heading2"/>
        <w:rPr>
          <w:color w:val="000000" w:themeColor="text1"/>
        </w:rPr>
      </w:pPr>
      <w:bookmarkStart w:id="507" w:name="_Toc52181595"/>
      <w:r w:rsidRPr="00A52AB8">
        <w:rPr>
          <w:color w:val="000000" w:themeColor="text1"/>
        </w:rPr>
        <w:t>V3C</w:t>
      </w:r>
      <w:r w:rsidR="00616A58" w:rsidRPr="00A52AB8">
        <w:rPr>
          <w:color w:val="000000" w:themeColor="text1"/>
        </w:rPr>
        <w:t xml:space="preserve"> bitstream formats</w:t>
      </w:r>
      <w:bookmarkEnd w:id="507"/>
    </w:p>
    <w:p w14:paraId="0B2B06D3" w14:textId="77777777" w:rsidR="0050235C" w:rsidRPr="00A52AB8" w:rsidRDefault="00521F53">
      <w:bookmarkStart w:id="508" w:name="_Toc20134233"/>
      <w:bookmarkStart w:id="509" w:name="_Ref81058824"/>
      <w:bookmarkStart w:id="510" w:name="_Toc77680347"/>
      <w:bookmarkStart w:id="511" w:name="_Toc118289013"/>
      <w:bookmarkStart w:id="512" w:name="_Ref205023600"/>
      <w:bookmarkStart w:id="513" w:name="_Toc226456484"/>
      <w:bookmarkStart w:id="514" w:name="_Toc248045187"/>
      <w:bookmarkStart w:id="515" w:name="_Toc287363743"/>
      <w:bookmarkStart w:id="516" w:name="_Toc311216726"/>
      <w:bookmarkStart w:id="517" w:name="_Ref317173305"/>
      <w:bookmarkStart w:id="518" w:name="_Toc317198691"/>
      <w:bookmarkStart w:id="519" w:name="_Toc390728014"/>
      <w:r w:rsidRPr="00A52AB8">
        <w:t xml:space="preserve">This </w:t>
      </w:r>
      <w:r w:rsidR="00802980" w:rsidRPr="00A52AB8">
        <w:t>sub</w:t>
      </w:r>
      <w:r w:rsidRPr="00A52AB8">
        <w:t xml:space="preserve">clause specifies the relationship between the </w:t>
      </w:r>
      <w:r w:rsidR="00B845F9" w:rsidRPr="00A52AB8">
        <w:t>V3C</w:t>
      </w:r>
      <w:r w:rsidRPr="00A52AB8">
        <w:t xml:space="preserve"> unit </w:t>
      </w:r>
      <w:r w:rsidR="00616A58" w:rsidRPr="00A52AB8">
        <w:t xml:space="preserve">stream format and the </w:t>
      </w:r>
      <w:r w:rsidR="00B845F9" w:rsidRPr="00A52AB8">
        <w:t>V3C</w:t>
      </w:r>
      <w:r w:rsidR="00616A58" w:rsidRPr="00A52AB8">
        <w:t xml:space="preserve"> </w:t>
      </w:r>
      <w:r w:rsidRPr="00A52AB8">
        <w:t xml:space="preserve">sample stream, either of which are referred to as the </w:t>
      </w:r>
      <w:r w:rsidR="00B845F9" w:rsidRPr="00A52AB8">
        <w:t>V3C</w:t>
      </w:r>
      <w:r w:rsidRPr="00A52AB8">
        <w:t xml:space="preserve"> bitstream.</w:t>
      </w:r>
      <w:r w:rsidR="007426AF" w:rsidRPr="00A52AB8">
        <w:t xml:space="preserve"> </w:t>
      </w:r>
      <w:r w:rsidR="007830E0" w:rsidRPr="00A52AB8">
        <w:t>A</w:t>
      </w:r>
      <w:r w:rsidR="00F768FF" w:rsidRPr="00A52AB8">
        <w:t xml:space="preserve">ll </w:t>
      </w:r>
      <w:r w:rsidR="00B845F9" w:rsidRPr="00A52AB8">
        <w:t>V3C</w:t>
      </w:r>
      <w:r w:rsidR="00F768FF" w:rsidRPr="00A52AB8">
        <w:t xml:space="preserve"> components including any associated </w:t>
      </w:r>
      <w:r w:rsidR="00B845F9" w:rsidRPr="00A52AB8">
        <w:t>V3C</w:t>
      </w:r>
      <w:r w:rsidR="00F768FF" w:rsidRPr="00A52AB8">
        <w:t xml:space="preserve"> </w:t>
      </w:r>
      <w:r w:rsidR="00822648" w:rsidRPr="00A52AB8">
        <w:t>V</w:t>
      </w:r>
      <w:r w:rsidR="00F768FF" w:rsidRPr="00A52AB8">
        <w:t>PSs could be encapsulated using a different format depending on application.</w:t>
      </w:r>
    </w:p>
    <w:p w14:paraId="4EFCC884" w14:textId="216A6ED8" w:rsidR="00521F53" w:rsidRPr="00A52AB8" w:rsidRDefault="00521F53">
      <w:r w:rsidRPr="00A52AB8">
        <w:t xml:space="preserve">The bitstream can be in one of two formats: the </w:t>
      </w:r>
      <w:r w:rsidR="00B845F9" w:rsidRPr="00A52AB8">
        <w:t>V3C</w:t>
      </w:r>
      <w:r w:rsidRPr="00A52AB8">
        <w:t xml:space="preserve"> unit stream format or the sample stream format. The </w:t>
      </w:r>
      <w:r w:rsidR="00B845F9" w:rsidRPr="00A52AB8">
        <w:t>V3C</w:t>
      </w:r>
      <w:r w:rsidRPr="00A52AB8">
        <w:t xml:space="preserve"> unit stream format is conceptually the more "basic" type. It consists of a sequence of syntax structures called </w:t>
      </w:r>
      <w:r w:rsidR="00B845F9" w:rsidRPr="00A52AB8">
        <w:t>V3C</w:t>
      </w:r>
      <w:r w:rsidRPr="00A52AB8">
        <w:t xml:space="preserve"> units. This sequence is ordered in decoding order. There are constraints imposed on the decoding order (and contents) of the </w:t>
      </w:r>
      <w:r w:rsidR="00B845F9" w:rsidRPr="00A52AB8">
        <w:t>V3C</w:t>
      </w:r>
      <w:r w:rsidRPr="00A52AB8">
        <w:t xml:space="preserve"> units in the </w:t>
      </w:r>
      <w:r w:rsidR="00B845F9" w:rsidRPr="00A52AB8">
        <w:t>V3C</w:t>
      </w:r>
      <w:r w:rsidRPr="00A52AB8">
        <w:t xml:space="preserve"> unit stream.</w:t>
      </w:r>
    </w:p>
    <w:p w14:paraId="52A5497E" w14:textId="77777777" w:rsidR="00616A58" w:rsidRPr="00A52AB8" w:rsidRDefault="00FD4C0B">
      <w:pPr>
        <w:pStyle w:val="Note1"/>
        <w:rPr>
          <w:rFonts w:ascii="Cambria" w:hAnsi="Cambria"/>
        </w:rPr>
      </w:pPr>
      <w:r w:rsidRPr="00A52AB8">
        <w:rPr>
          <w:rFonts w:ascii="Cambria" w:hAnsi="Cambria"/>
        </w:rPr>
        <w:lastRenderedPageBreak/>
        <w:t>NOTE</w:t>
      </w:r>
      <w:r w:rsidR="00B01ABC" w:rsidRPr="00A52AB8">
        <w:rPr>
          <w:rFonts w:ascii="Cambria" w:hAnsi="Cambria"/>
        </w:rPr>
        <w:t> </w:t>
      </w:r>
      <w:r w:rsidRPr="00A52AB8">
        <w:rPr>
          <w:rFonts w:ascii="Cambria" w:hAnsi="Cambria"/>
        </w:rPr>
        <w:t>–</w:t>
      </w:r>
      <w:r w:rsidR="00B01ABC" w:rsidRPr="00A52AB8">
        <w:rPr>
          <w:rFonts w:ascii="Cambria" w:hAnsi="Cambria"/>
        </w:rPr>
        <w:t> </w:t>
      </w:r>
      <w:r w:rsidR="00616A58" w:rsidRPr="00A52AB8">
        <w:rPr>
          <w:rFonts w:ascii="Cambria" w:hAnsi="Cambria"/>
        </w:rPr>
        <w:t xml:space="preserve">The </w:t>
      </w:r>
      <w:r w:rsidR="00B845F9" w:rsidRPr="00A52AB8">
        <w:rPr>
          <w:rFonts w:ascii="Cambria" w:hAnsi="Cambria"/>
        </w:rPr>
        <w:t>V3C</w:t>
      </w:r>
      <w:r w:rsidR="00616A58" w:rsidRPr="00A52AB8">
        <w:rPr>
          <w:rFonts w:ascii="Cambria" w:hAnsi="Cambria"/>
        </w:rPr>
        <w:t xml:space="preserve"> unit stream format is commonly not intended to be used in any applications on its own since it requires additional information, i.e. sub-bitstream size information, for decoding its associated sub-bitstreams. One method of achieving this is through the use of the sample stream format.</w:t>
      </w:r>
    </w:p>
    <w:p w14:paraId="2A0142F0" w14:textId="1C118EF9" w:rsidR="00521F53" w:rsidRPr="00A52AB8" w:rsidRDefault="00521F53">
      <w:r w:rsidRPr="00A52AB8">
        <w:t xml:space="preserve">The </w:t>
      </w:r>
      <w:r w:rsidR="00B52F56" w:rsidRPr="00A52AB8">
        <w:t>sample</w:t>
      </w:r>
      <w:r w:rsidRPr="00A52AB8">
        <w:t xml:space="preserve"> stream format can be constructed from the </w:t>
      </w:r>
      <w:r w:rsidR="00B845F9" w:rsidRPr="00A52AB8">
        <w:t>V3C</w:t>
      </w:r>
      <w:r w:rsidRPr="00A52AB8">
        <w:t xml:space="preserve"> unit stream format by ordering the </w:t>
      </w:r>
      <w:r w:rsidR="00B845F9" w:rsidRPr="00A52AB8">
        <w:t>V3C</w:t>
      </w:r>
      <w:r w:rsidRPr="00A52AB8">
        <w:t xml:space="preserve"> units in decoding order and prefixing each </w:t>
      </w:r>
      <w:r w:rsidR="00816633" w:rsidRPr="00A52AB8">
        <w:t>V3C</w:t>
      </w:r>
      <w:r w:rsidRPr="00A52AB8">
        <w:t xml:space="preserve"> unit with a </w:t>
      </w:r>
      <w:r w:rsidR="006C2716" w:rsidRPr="00A52AB8">
        <w:t xml:space="preserve">heading that specifies the exact size, in bytes, of the </w:t>
      </w:r>
      <w:r w:rsidR="00816633" w:rsidRPr="00A52AB8">
        <w:t>V3C</w:t>
      </w:r>
      <w:r w:rsidR="006C2716" w:rsidRPr="00A52AB8">
        <w:t xml:space="preserve"> unit</w:t>
      </w:r>
      <w:r w:rsidRPr="00A52AB8">
        <w:t xml:space="preserve">. </w:t>
      </w:r>
      <w:r w:rsidR="006C2716" w:rsidRPr="00A52AB8">
        <w:t>A sample stream header is included at the beginning of the sample stream bitstream that specifies the precision, in bytes, of the signal</w:t>
      </w:r>
      <w:r w:rsidR="00985B55" w:rsidRPr="00A52AB8">
        <w:t>l</w:t>
      </w:r>
      <w:r w:rsidR="006C2716" w:rsidRPr="00A52AB8">
        <w:t xml:space="preserve">ed </w:t>
      </w:r>
      <w:r w:rsidR="00816633" w:rsidRPr="00A52AB8">
        <w:t>V3C</w:t>
      </w:r>
      <w:r w:rsidR="006C2716" w:rsidRPr="00A52AB8">
        <w:t xml:space="preserve"> unit size. </w:t>
      </w:r>
      <w:r w:rsidRPr="00A52AB8">
        <w:t xml:space="preserve">The </w:t>
      </w:r>
      <w:r w:rsidR="00816633" w:rsidRPr="00A52AB8">
        <w:t>V3C</w:t>
      </w:r>
      <w:r w:rsidRPr="00A52AB8">
        <w:t xml:space="preserve"> unit stream format can be extracted from the </w:t>
      </w:r>
      <w:r w:rsidR="006C2716" w:rsidRPr="00A52AB8">
        <w:t>sample</w:t>
      </w:r>
      <w:r w:rsidRPr="00A52AB8">
        <w:t xml:space="preserve"> stream format by </w:t>
      </w:r>
      <w:r w:rsidR="006C2716" w:rsidRPr="00A52AB8">
        <w:t xml:space="preserve">traversing through the sample stream format, </w:t>
      </w:r>
      <w:r w:rsidR="006F4732" w:rsidRPr="00A52AB8">
        <w:t>reading</w:t>
      </w:r>
      <w:r w:rsidR="006C2716" w:rsidRPr="00A52AB8">
        <w:t xml:space="preserve"> the </w:t>
      </w:r>
      <w:r w:rsidR="006F4732" w:rsidRPr="00A52AB8">
        <w:t>size</w:t>
      </w:r>
      <w:r w:rsidR="006C2716" w:rsidRPr="00A52AB8">
        <w:t xml:space="preserve"> information</w:t>
      </w:r>
      <w:r w:rsidR="006F4732" w:rsidRPr="00A52AB8">
        <w:t xml:space="preserve"> and appropriately extracting each </w:t>
      </w:r>
      <w:r w:rsidR="00816633" w:rsidRPr="00A52AB8">
        <w:t>V3C</w:t>
      </w:r>
      <w:r w:rsidR="006F4732" w:rsidRPr="00A52AB8">
        <w:t xml:space="preserve"> unit</w:t>
      </w:r>
      <w:r w:rsidRPr="00A52AB8">
        <w:t xml:space="preserve">. Methods of framing </w:t>
      </w:r>
      <w:r w:rsidR="00816633" w:rsidRPr="00A52AB8">
        <w:t>V3C</w:t>
      </w:r>
      <w:r w:rsidRPr="00A52AB8">
        <w:t xml:space="preserve"> units in a manner other than </w:t>
      </w:r>
      <w:r w:rsidR="006F4732" w:rsidRPr="00A52AB8">
        <w:t xml:space="preserve">the </w:t>
      </w:r>
      <w:r w:rsidRPr="00A52AB8">
        <w:t xml:space="preserve">use of the </w:t>
      </w:r>
      <w:r w:rsidR="006F4732" w:rsidRPr="00A52AB8">
        <w:t>sample</w:t>
      </w:r>
      <w:r w:rsidRPr="00A52AB8">
        <w:t xml:space="preserve"> stream format are outside the scope of </w:t>
      </w:r>
      <w:r w:rsidR="001905CC" w:rsidRPr="00A52AB8">
        <w:t>this document</w:t>
      </w:r>
      <w:r w:rsidRPr="00A52AB8">
        <w:t xml:space="preserve">. The </w:t>
      </w:r>
      <w:r w:rsidR="006F4732" w:rsidRPr="00A52AB8">
        <w:t>sample</w:t>
      </w:r>
      <w:r w:rsidRPr="00A52AB8">
        <w:t xml:space="preserve"> stream format is specified in </w:t>
      </w:r>
      <w:r w:rsidR="006F4732" w:rsidRPr="00496A4D">
        <w:fldChar w:fldCharType="begin"/>
      </w:r>
      <w:r w:rsidR="006F4732" w:rsidRPr="00A52AB8">
        <w:instrText xml:space="preserve"> REF _Ref5894532 \r \h </w:instrText>
      </w:r>
      <w:r w:rsidR="00025423" w:rsidRPr="00A52AB8">
        <w:instrText xml:space="preserve"> \* MERGEFORMAT </w:instrText>
      </w:r>
      <w:r w:rsidR="006F4732" w:rsidRPr="00496A4D">
        <w:fldChar w:fldCharType="separate"/>
      </w:r>
      <w:r w:rsidR="00507A67">
        <w:t>Annex C</w:t>
      </w:r>
      <w:r w:rsidR="006F4732" w:rsidRPr="00496A4D">
        <w:fldChar w:fldCharType="end"/>
      </w:r>
      <w:r w:rsidRPr="00A52AB8">
        <w:t>.</w:t>
      </w:r>
    </w:p>
    <w:p w14:paraId="0D71B4B4" w14:textId="77777777" w:rsidR="00616A58" w:rsidRPr="00A52AB8" w:rsidRDefault="00616A58">
      <w:pPr>
        <w:pStyle w:val="Heading2"/>
        <w:rPr>
          <w:color w:val="000000" w:themeColor="text1"/>
        </w:rPr>
      </w:pPr>
      <w:bookmarkStart w:id="520" w:name="_Toc52181596"/>
      <w:r w:rsidRPr="00A52AB8">
        <w:rPr>
          <w:color w:val="000000" w:themeColor="text1"/>
        </w:rPr>
        <w:t>NAL bitstream formats</w:t>
      </w:r>
      <w:bookmarkEnd w:id="520"/>
    </w:p>
    <w:p w14:paraId="10E93F86" w14:textId="77777777" w:rsidR="0050235C" w:rsidRPr="00A52AB8" w:rsidRDefault="00616A58">
      <w:r w:rsidRPr="00A52AB8">
        <w:t xml:space="preserve">This </w:t>
      </w:r>
      <w:r w:rsidR="007830E0" w:rsidRPr="00A52AB8">
        <w:t>sub</w:t>
      </w:r>
      <w:r w:rsidRPr="00A52AB8">
        <w:t xml:space="preserve">clause specifies the relationship between the </w:t>
      </w:r>
      <w:r w:rsidR="00700ABA" w:rsidRPr="00A52AB8">
        <w:t>network abstraction layer (</w:t>
      </w:r>
      <w:r w:rsidRPr="00A52AB8">
        <w:t>NAL</w:t>
      </w:r>
      <w:r w:rsidR="00700ABA" w:rsidRPr="00A52AB8">
        <w:t>)</w:t>
      </w:r>
      <w:r w:rsidRPr="00A52AB8">
        <w:t xml:space="preserve"> unit stream and the </w:t>
      </w:r>
      <w:r w:rsidR="00700ABA" w:rsidRPr="00A52AB8">
        <w:t>NAL</w:t>
      </w:r>
      <w:r w:rsidRPr="00A52AB8">
        <w:t xml:space="preserve"> sample stream, either of which are referred to as the </w:t>
      </w:r>
      <w:r w:rsidR="00700ABA" w:rsidRPr="00A52AB8">
        <w:t>NAL</w:t>
      </w:r>
      <w:r w:rsidRPr="00A52AB8">
        <w:t xml:space="preserve"> bitstream.</w:t>
      </w:r>
    </w:p>
    <w:p w14:paraId="2652DCF4" w14:textId="59D99E17" w:rsidR="00616A58" w:rsidRPr="00A52AB8" w:rsidRDefault="00616A58">
      <w:r w:rsidRPr="00A52AB8">
        <w:t xml:space="preserve">The bitstream can be in one of two formats: the </w:t>
      </w:r>
      <w:r w:rsidR="00700ABA" w:rsidRPr="00A52AB8">
        <w:t>NAL</w:t>
      </w:r>
      <w:r w:rsidRPr="00A52AB8">
        <w:t xml:space="preserve"> unit stream format or the sample stream format. The </w:t>
      </w:r>
      <w:r w:rsidR="00700ABA" w:rsidRPr="00A52AB8">
        <w:t>NAL</w:t>
      </w:r>
      <w:r w:rsidRPr="00A52AB8">
        <w:t xml:space="preserve"> unit stream format is conceptually the more "basic" type. It consists of a sequence of syntax structures called </w:t>
      </w:r>
      <w:r w:rsidR="00700ABA" w:rsidRPr="00A52AB8">
        <w:t>NAL</w:t>
      </w:r>
      <w:r w:rsidRPr="00A52AB8">
        <w:t xml:space="preserve"> units. This sequence is ordered in decoding order, as described in </w:t>
      </w:r>
      <w:r w:rsidR="005A0423" w:rsidRPr="00A52AB8">
        <w:t>sub</w:t>
      </w:r>
      <w:r w:rsidRPr="00A52AB8">
        <w:t>clause</w:t>
      </w:r>
      <w:r w:rsidR="00822648" w:rsidRPr="00A52AB8">
        <w:t xml:space="preserve"> </w:t>
      </w:r>
      <w:r w:rsidR="00822648" w:rsidRPr="00496A4D">
        <w:fldChar w:fldCharType="begin"/>
      </w:r>
      <w:r w:rsidR="00822648" w:rsidRPr="00A52AB8">
        <w:instrText xml:space="preserve"> REF _Ref36022522 \w \h </w:instrText>
      </w:r>
      <w:r w:rsidR="00025423" w:rsidRPr="00A52AB8">
        <w:instrText xml:space="preserve"> \* MERGEFORMAT </w:instrText>
      </w:r>
      <w:r w:rsidR="00822648" w:rsidRPr="00496A4D">
        <w:fldChar w:fldCharType="separate"/>
      </w:r>
      <w:r w:rsidR="00507A67">
        <w:t>8.4.5.3</w:t>
      </w:r>
      <w:r w:rsidR="00822648" w:rsidRPr="00496A4D">
        <w:fldChar w:fldCharType="end"/>
      </w:r>
      <w:r w:rsidRPr="00A52AB8">
        <w:t xml:space="preserve">. There are constraints imposed on the decoding order (and contents) of the </w:t>
      </w:r>
      <w:r w:rsidR="00700ABA" w:rsidRPr="00A52AB8">
        <w:t>NAL</w:t>
      </w:r>
      <w:r w:rsidRPr="00A52AB8">
        <w:t xml:space="preserve"> units in the </w:t>
      </w:r>
      <w:r w:rsidR="00700ABA" w:rsidRPr="00A52AB8">
        <w:t>NAL</w:t>
      </w:r>
      <w:r w:rsidRPr="00A52AB8">
        <w:t xml:space="preserve"> unit stream.</w:t>
      </w:r>
    </w:p>
    <w:p w14:paraId="53F34E50" w14:textId="77777777" w:rsidR="00616A58" w:rsidRPr="00A52AB8" w:rsidRDefault="00FD4C0B">
      <w:pPr>
        <w:pStyle w:val="Note1"/>
        <w:rPr>
          <w:rFonts w:ascii="Cambria" w:hAnsi="Cambria"/>
        </w:rPr>
      </w:pPr>
      <w:r w:rsidRPr="00A52AB8">
        <w:rPr>
          <w:rFonts w:ascii="Cambria" w:hAnsi="Cambria"/>
        </w:rPr>
        <w:t>NOTE</w:t>
      </w:r>
      <w:r w:rsidR="00B01ABC" w:rsidRPr="00A52AB8">
        <w:rPr>
          <w:rFonts w:ascii="Cambria" w:hAnsi="Cambria"/>
        </w:rPr>
        <w:t> </w:t>
      </w:r>
      <w:r w:rsidRPr="00A52AB8">
        <w:rPr>
          <w:rFonts w:ascii="Cambria" w:hAnsi="Cambria"/>
        </w:rPr>
        <w:t>–</w:t>
      </w:r>
      <w:r w:rsidR="00B01ABC" w:rsidRPr="00A52AB8">
        <w:rPr>
          <w:rFonts w:ascii="Cambria" w:hAnsi="Cambria"/>
        </w:rPr>
        <w:t> </w:t>
      </w:r>
      <w:r w:rsidR="00616A58" w:rsidRPr="00A52AB8">
        <w:rPr>
          <w:rFonts w:ascii="Cambria" w:hAnsi="Cambria"/>
        </w:rPr>
        <w:t xml:space="preserve">The </w:t>
      </w:r>
      <w:r w:rsidR="00700ABA" w:rsidRPr="00A52AB8">
        <w:rPr>
          <w:rFonts w:ascii="Cambria" w:hAnsi="Cambria"/>
        </w:rPr>
        <w:t>NAL</w:t>
      </w:r>
      <w:r w:rsidR="00616A58" w:rsidRPr="00A52AB8">
        <w:rPr>
          <w:rFonts w:ascii="Cambria" w:hAnsi="Cambria"/>
        </w:rPr>
        <w:t xml:space="preserve"> unit stream format is commonly not intended to be used in any applications on its own since it requires additional information, i.e. sub-bitstream size information, for decoding its associated sub-bitstreams. One method of achieving this is through the use of the </w:t>
      </w:r>
      <w:r w:rsidR="00700ABA" w:rsidRPr="00A52AB8">
        <w:rPr>
          <w:rFonts w:ascii="Cambria" w:hAnsi="Cambria"/>
        </w:rPr>
        <w:t xml:space="preserve">NAL </w:t>
      </w:r>
      <w:r w:rsidR="00616A58" w:rsidRPr="00A52AB8">
        <w:rPr>
          <w:rFonts w:ascii="Cambria" w:hAnsi="Cambria"/>
        </w:rPr>
        <w:t>sample stream format.</w:t>
      </w:r>
    </w:p>
    <w:p w14:paraId="38102C74" w14:textId="7579FAED" w:rsidR="00616A58" w:rsidRPr="00A52AB8" w:rsidRDefault="00616A58">
      <w:r w:rsidRPr="00A52AB8">
        <w:t xml:space="preserve">The </w:t>
      </w:r>
      <w:r w:rsidR="00700ABA" w:rsidRPr="00A52AB8">
        <w:t xml:space="preserve">NAL </w:t>
      </w:r>
      <w:r w:rsidRPr="00A52AB8">
        <w:t xml:space="preserve">sample stream format can be constructed from the </w:t>
      </w:r>
      <w:r w:rsidR="00700ABA" w:rsidRPr="00A52AB8">
        <w:t>NAL</w:t>
      </w:r>
      <w:r w:rsidRPr="00A52AB8">
        <w:t xml:space="preserve"> unit stream format by ordering the </w:t>
      </w:r>
      <w:r w:rsidR="00700ABA" w:rsidRPr="00A52AB8">
        <w:t>NAL</w:t>
      </w:r>
      <w:r w:rsidRPr="00A52AB8">
        <w:t xml:space="preserve"> units in decoding order and prefixing each </w:t>
      </w:r>
      <w:r w:rsidR="00700ABA" w:rsidRPr="00A52AB8">
        <w:t>NAL</w:t>
      </w:r>
      <w:r w:rsidRPr="00A52AB8">
        <w:t xml:space="preserve"> unit with a heading that specifies the exact size, in bytes, of the </w:t>
      </w:r>
      <w:r w:rsidR="00700ABA" w:rsidRPr="00A52AB8">
        <w:t>NAL</w:t>
      </w:r>
      <w:r w:rsidRPr="00A52AB8">
        <w:t xml:space="preserve"> unit. A sample stream header is included at the beginning of the sample stream bitstream that specifies the precision, in bytes, of the signa</w:t>
      </w:r>
      <w:r w:rsidR="00985B55" w:rsidRPr="00A52AB8">
        <w:t>l</w:t>
      </w:r>
      <w:r w:rsidRPr="00A52AB8">
        <w:t xml:space="preserve">led </w:t>
      </w:r>
      <w:r w:rsidR="00700ABA" w:rsidRPr="00A52AB8">
        <w:t>NAL</w:t>
      </w:r>
      <w:r w:rsidRPr="00A52AB8">
        <w:t xml:space="preserve"> unit size. The </w:t>
      </w:r>
      <w:r w:rsidR="00700ABA" w:rsidRPr="00A52AB8">
        <w:t>NAL</w:t>
      </w:r>
      <w:r w:rsidRPr="00A52AB8">
        <w:t xml:space="preserve"> unit stream format can be extracted from the sample stream format by traversing through the sample stream format, reading the size information and appropriately extracting each </w:t>
      </w:r>
      <w:r w:rsidR="00700ABA" w:rsidRPr="00A52AB8">
        <w:t>NAL</w:t>
      </w:r>
      <w:r w:rsidRPr="00A52AB8">
        <w:t xml:space="preserve"> unit. Methods of framing </w:t>
      </w:r>
      <w:r w:rsidR="00700ABA" w:rsidRPr="00A52AB8">
        <w:t>NAL</w:t>
      </w:r>
      <w:r w:rsidRPr="00A52AB8">
        <w:t xml:space="preserve"> units in a manner other than the use of the sample stream format are outside the scope of </w:t>
      </w:r>
      <w:r w:rsidR="001905CC" w:rsidRPr="00A52AB8">
        <w:t>this document</w:t>
      </w:r>
      <w:r w:rsidRPr="00A52AB8">
        <w:t>. The sample stream format is specified in</w:t>
      </w:r>
      <w:r w:rsidR="00700ABA" w:rsidRPr="00A52AB8">
        <w:t xml:space="preserve"> </w:t>
      </w:r>
      <w:r w:rsidR="00700ABA" w:rsidRPr="00496A4D">
        <w:fldChar w:fldCharType="begin"/>
      </w:r>
      <w:r w:rsidR="00700ABA" w:rsidRPr="00A52AB8">
        <w:instrText xml:space="preserve"> REF _Ref19022738 \r \h </w:instrText>
      </w:r>
      <w:r w:rsidR="00025423" w:rsidRPr="00A52AB8">
        <w:instrText xml:space="preserve"> \* MERGEFORMAT </w:instrText>
      </w:r>
      <w:r w:rsidR="00700ABA" w:rsidRPr="00496A4D">
        <w:fldChar w:fldCharType="separate"/>
      </w:r>
      <w:r w:rsidR="00507A67">
        <w:t>Annex D</w:t>
      </w:r>
      <w:r w:rsidR="00700ABA" w:rsidRPr="00496A4D">
        <w:fldChar w:fldCharType="end"/>
      </w:r>
      <w:r w:rsidRPr="00A52AB8">
        <w:t>.</w:t>
      </w:r>
    </w:p>
    <w:p w14:paraId="5F862C5D" w14:textId="77777777" w:rsidR="0022237E" w:rsidRPr="00A52AB8" w:rsidRDefault="0022237E">
      <w:pPr>
        <w:pStyle w:val="Heading2"/>
      </w:pPr>
      <w:bookmarkStart w:id="521" w:name="_Toc19035125"/>
      <w:bookmarkStart w:id="522" w:name="_Toc19036062"/>
      <w:bookmarkStart w:id="523" w:name="_Toc52181597"/>
      <w:bookmarkEnd w:id="521"/>
      <w:bookmarkEnd w:id="522"/>
      <w:r w:rsidRPr="00A52AB8">
        <w:t xml:space="preserve">Partitioning of </w:t>
      </w:r>
      <w:r w:rsidR="008F0D00" w:rsidRPr="00A52AB8">
        <w:t>atlas frame</w:t>
      </w:r>
      <w:r w:rsidRPr="00A52AB8">
        <w:t>s</w:t>
      </w:r>
      <w:r w:rsidR="00B84D25" w:rsidRPr="00A52AB8">
        <w:t xml:space="preserve"> into</w:t>
      </w:r>
      <w:r w:rsidRPr="00A52AB8">
        <w:t xml:space="preserve"> tiles</w:t>
      </w:r>
      <w:bookmarkEnd w:id="523"/>
    </w:p>
    <w:p w14:paraId="3960DDE7" w14:textId="77777777" w:rsidR="0022237E" w:rsidRPr="00A52AB8" w:rsidRDefault="0022237E">
      <w:r w:rsidRPr="00A52AB8">
        <w:t xml:space="preserve">This subclause specifies how </w:t>
      </w:r>
      <w:r w:rsidR="00814813" w:rsidRPr="00A52AB8">
        <w:t>an atlas</w:t>
      </w:r>
      <w:r w:rsidR="008F0D00" w:rsidRPr="00A52AB8">
        <w:t xml:space="preserve"> frame</w:t>
      </w:r>
      <w:r w:rsidRPr="00A52AB8">
        <w:t xml:space="preserve"> is partitioned into t</w:t>
      </w:r>
      <w:r w:rsidR="00534270" w:rsidRPr="00A52AB8">
        <w:t>iles</w:t>
      </w:r>
      <w:r w:rsidRPr="00A52AB8">
        <w:t>.</w:t>
      </w:r>
    </w:p>
    <w:p w14:paraId="542DB2E5" w14:textId="77777777" w:rsidR="0022237E" w:rsidRPr="00A52AB8" w:rsidRDefault="00B84D25">
      <w:r w:rsidRPr="00A52AB8">
        <w:t>To enable parallelization, random access, as well as a variety of other functionalities, a</w:t>
      </w:r>
      <w:r w:rsidR="00814813" w:rsidRPr="00A52AB8">
        <w:t>n atlas</w:t>
      </w:r>
      <w:r w:rsidR="008F0D00" w:rsidRPr="00A52AB8">
        <w:t xml:space="preserve"> frame</w:t>
      </w:r>
      <w:r w:rsidR="0022237E" w:rsidRPr="00A52AB8">
        <w:t xml:space="preserve"> </w:t>
      </w:r>
      <w:r w:rsidRPr="00A52AB8">
        <w:t xml:space="preserve">can be </w:t>
      </w:r>
      <w:r w:rsidR="0022237E" w:rsidRPr="00A52AB8">
        <w:t xml:space="preserve">divided into one or more </w:t>
      </w:r>
      <w:r w:rsidRPr="00A52AB8">
        <w:t xml:space="preserve">rectangular partitions, that are referred to as </w:t>
      </w:r>
      <w:r w:rsidR="0022237E" w:rsidRPr="00A52AB8">
        <w:t>tile</w:t>
      </w:r>
      <w:r w:rsidRPr="00A52AB8">
        <w:t>s</w:t>
      </w:r>
      <w:r w:rsidR="0022237E" w:rsidRPr="00A52AB8">
        <w:t>.</w:t>
      </w:r>
      <w:r w:rsidRPr="00A52AB8">
        <w:t xml:space="preserve"> Tiles are not allowed to overlap</w:t>
      </w:r>
      <w:r w:rsidR="002D15C6" w:rsidRPr="00A52AB8">
        <w:t>. An atlas frame may contain regions that are not associated with a tile.</w:t>
      </w:r>
    </w:p>
    <w:p w14:paraId="7834DC12" w14:textId="77777777" w:rsidR="00712B23" w:rsidRPr="00A52AB8" w:rsidRDefault="002D15C6">
      <w:r w:rsidRPr="00A52AB8">
        <w:t xml:space="preserve">Partitioning of an atlas frame into tiles can be performed </w:t>
      </w:r>
      <w:r w:rsidR="00712B23" w:rsidRPr="00A52AB8">
        <w:t>as follows:</w:t>
      </w:r>
    </w:p>
    <w:p w14:paraId="1EEB996C" w14:textId="237C1C16" w:rsidR="00E34827" w:rsidRPr="00A52AB8" w:rsidRDefault="00712B2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The atlas frame is first partitioned into </w:t>
      </w:r>
      <w:r w:rsidR="0000335E" w:rsidRPr="00A52AB8">
        <w:rPr>
          <w:color w:val="000000" w:themeColor="text1"/>
        </w:rPr>
        <w:t>NumPartitionColumns</w:t>
      </w:r>
      <w:r w:rsidR="00336272" w:rsidRPr="00A52AB8">
        <w:rPr>
          <w:color w:val="000000" w:themeColor="text1"/>
        </w:rPr>
        <w:t> </w:t>
      </w:r>
      <w:r w:rsidR="002E53A3" w:rsidRPr="00A52AB8">
        <w:rPr>
          <w:color w:val="000000" w:themeColor="text1"/>
        </w:rPr>
        <w:t>*</w:t>
      </w:r>
      <w:r w:rsidR="00336272" w:rsidRPr="00A52AB8">
        <w:rPr>
          <w:color w:val="000000" w:themeColor="text1"/>
        </w:rPr>
        <w:t> </w:t>
      </w:r>
      <w:r w:rsidR="003B27C3" w:rsidRPr="00A52AB8">
        <w:rPr>
          <w:color w:val="000000" w:themeColor="text1"/>
        </w:rPr>
        <w:t xml:space="preserve">NumPartitionRows </w:t>
      </w:r>
      <w:r w:rsidR="00BF3F7F" w:rsidRPr="00A52AB8">
        <w:rPr>
          <w:color w:val="000000" w:themeColor="text1"/>
        </w:rPr>
        <w:t xml:space="preserve">number of tile </w:t>
      </w:r>
      <w:r w:rsidR="00E34827" w:rsidRPr="00A52AB8">
        <w:rPr>
          <w:color w:val="000000" w:themeColor="text1"/>
        </w:rPr>
        <w:t>partitions</w:t>
      </w:r>
      <w:r w:rsidR="003C1362" w:rsidRPr="00A52AB8">
        <w:rPr>
          <w:color w:val="000000" w:themeColor="text1"/>
        </w:rPr>
        <w:t xml:space="preserve">, where NumPartitionColumns and NumPartitionRows are derived in subclause </w:t>
      </w:r>
      <w:r w:rsidR="003C1362" w:rsidRPr="00496A4D">
        <w:rPr>
          <w:color w:val="000000" w:themeColor="text1"/>
        </w:rPr>
        <w:fldChar w:fldCharType="begin"/>
      </w:r>
      <w:r w:rsidR="003C1362" w:rsidRPr="00A52AB8">
        <w:rPr>
          <w:color w:val="000000" w:themeColor="text1"/>
        </w:rPr>
        <w:instrText xml:space="preserve"> REF _Ref39419709 \r \h </w:instrText>
      </w:r>
      <w:r w:rsidR="007478BA" w:rsidRPr="00A52AB8">
        <w:rPr>
          <w:color w:val="000000" w:themeColor="text1"/>
        </w:rPr>
        <w:instrText xml:space="preserve"> \* MERGEFORMAT </w:instrText>
      </w:r>
      <w:r w:rsidR="003C1362" w:rsidRPr="00496A4D">
        <w:rPr>
          <w:color w:val="000000" w:themeColor="text1"/>
        </w:rPr>
      </w:r>
      <w:r w:rsidR="003C1362" w:rsidRPr="00496A4D">
        <w:rPr>
          <w:color w:val="000000" w:themeColor="text1"/>
        </w:rPr>
        <w:fldChar w:fldCharType="separate"/>
      </w:r>
      <w:r w:rsidR="00507A67">
        <w:rPr>
          <w:color w:val="000000" w:themeColor="text1"/>
        </w:rPr>
        <w:t>7.5</w:t>
      </w:r>
      <w:r w:rsidR="003C1362" w:rsidRPr="00496A4D">
        <w:rPr>
          <w:color w:val="000000" w:themeColor="text1"/>
        </w:rPr>
        <w:fldChar w:fldCharType="end"/>
      </w:r>
      <w:r w:rsidR="00E34827" w:rsidRPr="00A52AB8">
        <w:rPr>
          <w:color w:val="000000" w:themeColor="text1"/>
        </w:rPr>
        <w:t xml:space="preserve">. The width and height of each </w:t>
      </w:r>
      <w:r w:rsidR="00BF3F7F" w:rsidRPr="00A52AB8">
        <w:rPr>
          <w:color w:val="000000" w:themeColor="text1"/>
        </w:rPr>
        <w:t>tile partition</w:t>
      </w:r>
      <w:r w:rsidR="00E34827" w:rsidRPr="00A52AB8">
        <w:rPr>
          <w:color w:val="000000" w:themeColor="text1"/>
        </w:rPr>
        <w:t>, respectively, is indicated in the atlas frame tile information syntax (</w:t>
      </w:r>
      <w:r w:rsidR="00E34827" w:rsidRPr="00496A4D">
        <w:rPr>
          <w:color w:val="000000" w:themeColor="text1"/>
        </w:rPr>
        <w:fldChar w:fldCharType="begin"/>
      </w:r>
      <w:r w:rsidR="00E34827" w:rsidRPr="00A52AB8">
        <w:rPr>
          <w:color w:val="000000" w:themeColor="text1"/>
        </w:rPr>
        <w:instrText xml:space="preserve"> REF _Ref39419038 \r \h </w:instrText>
      </w:r>
      <w:r w:rsidR="00CA5401" w:rsidRPr="00A52AB8">
        <w:rPr>
          <w:color w:val="000000" w:themeColor="text1"/>
        </w:rPr>
        <w:instrText xml:space="preserve"> \* MERGEFORMAT </w:instrText>
      </w:r>
      <w:r w:rsidR="00E34827" w:rsidRPr="00496A4D">
        <w:rPr>
          <w:color w:val="000000" w:themeColor="text1"/>
        </w:rPr>
      </w:r>
      <w:r w:rsidR="00E34827" w:rsidRPr="00496A4D">
        <w:rPr>
          <w:color w:val="000000" w:themeColor="text1"/>
        </w:rPr>
        <w:fldChar w:fldCharType="separate"/>
      </w:r>
      <w:r w:rsidR="00507A67">
        <w:rPr>
          <w:color w:val="000000" w:themeColor="text1"/>
        </w:rPr>
        <w:t>8.3.6.2.2</w:t>
      </w:r>
      <w:r w:rsidR="00E34827" w:rsidRPr="00496A4D">
        <w:rPr>
          <w:color w:val="000000" w:themeColor="text1"/>
        </w:rPr>
        <w:fldChar w:fldCharType="end"/>
      </w:r>
      <w:r w:rsidR="00E34827" w:rsidRPr="00A52AB8">
        <w:rPr>
          <w:color w:val="000000" w:themeColor="text1"/>
        </w:rPr>
        <w:t>).</w:t>
      </w:r>
    </w:p>
    <w:p w14:paraId="527B8ABB" w14:textId="77777777" w:rsidR="0050235C" w:rsidRPr="00A52AB8" w:rsidRDefault="000A68F0"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One or more </w:t>
      </w:r>
      <w:r w:rsidR="00BF3F7F" w:rsidRPr="00A52AB8">
        <w:rPr>
          <w:color w:val="000000" w:themeColor="text1"/>
        </w:rPr>
        <w:t xml:space="preserve">tile </w:t>
      </w:r>
      <w:r w:rsidRPr="00A52AB8">
        <w:rPr>
          <w:color w:val="000000" w:themeColor="text1"/>
        </w:rPr>
        <w:t xml:space="preserve">partitions are then combined into tiles by indicating the locations of the </w:t>
      </w:r>
      <w:r w:rsidR="00BF3F7F" w:rsidRPr="00A52AB8">
        <w:rPr>
          <w:color w:val="000000" w:themeColor="text1"/>
        </w:rPr>
        <w:t xml:space="preserve">tile </w:t>
      </w:r>
      <w:r w:rsidRPr="00A52AB8">
        <w:rPr>
          <w:color w:val="000000" w:themeColor="text1"/>
        </w:rPr>
        <w:t>partitions that correspon</w:t>
      </w:r>
      <w:r w:rsidR="00A308D1" w:rsidRPr="00A52AB8">
        <w:rPr>
          <w:color w:val="000000" w:themeColor="text1"/>
        </w:rPr>
        <w:t>d</w:t>
      </w:r>
      <w:r w:rsidRPr="00A52AB8">
        <w:rPr>
          <w:color w:val="000000" w:themeColor="text1"/>
        </w:rPr>
        <w:t xml:space="preserve"> to the top-left and bottom-right corners of the tile.</w:t>
      </w:r>
      <w:r w:rsidR="00D90693" w:rsidRPr="00A52AB8">
        <w:rPr>
          <w:color w:val="000000" w:themeColor="text1"/>
        </w:rPr>
        <w:t xml:space="preserve"> All </w:t>
      </w:r>
      <w:r w:rsidR="00BF3F7F" w:rsidRPr="00A52AB8">
        <w:rPr>
          <w:color w:val="000000" w:themeColor="text1"/>
        </w:rPr>
        <w:t xml:space="preserve">tile </w:t>
      </w:r>
      <w:r w:rsidR="00D90693" w:rsidRPr="00A52AB8">
        <w:rPr>
          <w:color w:val="000000" w:themeColor="text1"/>
        </w:rPr>
        <w:t xml:space="preserve">partitions within these two </w:t>
      </w:r>
      <w:r w:rsidR="00BF3F7F" w:rsidRPr="00A52AB8">
        <w:rPr>
          <w:color w:val="000000" w:themeColor="text1"/>
        </w:rPr>
        <w:t xml:space="preserve">tile </w:t>
      </w:r>
      <w:r w:rsidR="00D90693" w:rsidRPr="00A52AB8">
        <w:rPr>
          <w:color w:val="000000" w:themeColor="text1"/>
        </w:rPr>
        <w:t xml:space="preserve">partitions </w:t>
      </w:r>
      <w:r w:rsidR="0022237E" w:rsidRPr="00A52AB8">
        <w:rPr>
          <w:color w:val="000000" w:themeColor="text1"/>
        </w:rPr>
        <w:t xml:space="preserve">collectively form </w:t>
      </w:r>
      <w:r w:rsidR="00D90693" w:rsidRPr="00A52AB8">
        <w:rPr>
          <w:color w:val="000000" w:themeColor="text1"/>
        </w:rPr>
        <w:t>a tile, which is essential</w:t>
      </w:r>
      <w:r w:rsidR="00A308D1" w:rsidRPr="00A52AB8">
        <w:rPr>
          <w:color w:val="000000" w:themeColor="text1"/>
        </w:rPr>
        <w:t>l</w:t>
      </w:r>
      <w:r w:rsidR="00D90693" w:rsidRPr="00A52AB8">
        <w:rPr>
          <w:color w:val="000000" w:themeColor="text1"/>
        </w:rPr>
        <w:t xml:space="preserve">y </w:t>
      </w:r>
      <w:r w:rsidR="0022237E" w:rsidRPr="00A52AB8">
        <w:rPr>
          <w:color w:val="000000" w:themeColor="text1"/>
        </w:rPr>
        <w:t xml:space="preserve">a rectangular region of the </w:t>
      </w:r>
      <w:r w:rsidR="008F0D00" w:rsidRPr="00A52AB8">
        <w:rPr>
          <w:color w:val="000000" w:themeColor="text1"/>
        </w:rPr>
        <w:t>atlas frame</w:t>
      </w:r>
      <w:r w:rsidR="0022237E" w:rsidRPr="00A52AB8">
        <w:rPr>
          <w:color w:val="000000" w:themeColor="text1"/>
        </w:rPr>
        <w:t>.</w:t>
      </w:r>
    </w:p>
    <w:p w14:paraId="214117D2" w14:textId="049E23F8" w:rsidR="0022237E" w:rsidRPr="00A52AB8" w:rsidRDefault="0022237E">
      <w:r w:rsidRPr="00496A4D">
        <w:lastRenderedPageBreak/>
        <w:fldChar w:fldCharType="begin"/>
      </w:r>
      <w:r w:rsidRPr="00A52AB8">
        <w:instrText xml:space="preserve"> REF _Ref1745753 \h </w:instrText>
      </w:r>
      <w:r w:rsidR="00025423" w:rsidRPr="00A52AB8">
        <w:instrText xml:space="preserve"> \* MERGEFORMAT </w:instrText>
      </w:r>
      <w:r w:rsidRPr="00496A4D">
        <w:fldChar w:fldCharType="separate"/>
      </w:r>
      <w:r w:rsidR="00507A67" w:rsidRPr="00507A67">
        <w:t>Figure 4</w:t>
      </w:r>
      <w:r w:rsidRPr="00496A4D">
        <w:fldChar w:fldCharType="end"/>
      </w:r>
      <w:r w:rsidRPr="00A52AB8">
        <w:t xml:space="preserve"> shows an example </w:t>
      </w:r>
      <w:r w:rsidR="00BD39DF" w:rsidRPr="00A52AB8">
        <w:t xml:space="preserve">tile </w:t>
      </w:r>
      <w:r w:rsidRPr="00A52AB8">
        <w:t xml:space="preserve">partitioning of </w:t>
      </w:r>
      <w:r w:rsidR="00814813" w:rsidRPr="00A52AB8">
        <w:t>an atlas</w:t>
      </w:r>
      <w:r w:rsidR="008F0D00" w:rsidRPr="00A52AB8">
        <w:t xml:space="preserve"> frame</w:t>
      </w:r>
      <w:r w:rsidRPr="00A52AB8">
        <w:t xml:space="preserve">, where the </w:t>
      </w:r>
      <w:r w:rsidR="008F0D00" w:rsidRPr="00A52AB8">
        <w:t>atlas frame</w:t>
      </w:r>
      <w:r w:rsidRPr="00A52AB8">
        <w:t xml:space="preserve"> is divided into </w:t>
      </w:r>
      <w:r w:rsidR="00CF7D89" w:rsidRPr="00A52AB8">
        <w:t xml:space="preserve">16 </w:t>
      </w:r>
      <w:r w:rsidR="00BF3F7F" w:rsidRPr="00A52AB8">
        <w:t xml:space="preserve">tile </w:t>
      </w:r>
      <w:r w:rsidR="00B84D25" w:rsidRPr="00A52AB8">
        <w:t xml:space="preserve">partitions </w:t>
      </w:r>
      <w:r w:rsidRPr="00A52AB8">
        <w:t>(</w:t>
      </w:r>
      <w:r w:rsidR="00BF3F7F" w:rsidRPr="00A52AB8">
        <w:t xml:space="preserve">based on the indication of </w:t>
      </w:r>
      <w:r w:rsidR="00CF7D89" w:rsidRPr="00A52AB8">
        <w:t xml:space="preserve">4 </w:t>
      </w:r>
      <w:r w:rsidR="00BF3F7F" w:rsidRPr="00A52AB8">
        <w:t xml:space="preserve">tile </w:t>
      </w:r>
      <w:r w:rsidR="00D90693" w:rsidRPr="00A52AB8">
        <w:t xml:space="preserve">partition </w:t>
      </w:r>
      <w:r w:rsidRPr="00A52AB8">
        <w:t xml:space="preserve">columns and 4 </w:t>
      </w:r>
      <w:r w:rsidR="00BF3F7F" w:rsidRPr="00A52AB8">
        <w:t xml:space="preserve">tile </w:t>
      </w:r>
      <w:r w:rsidR="00D90693" w:rsidRPr="00A52AB8">
        <w:t xml:space="preserve">partition </w:t>
      </w:r>
      <w:r w:rsidRPr="00A52AB8">
        <w:t xml:space="preserve">rows) and </w:t>
      </w:r>
      <w:r w:rsidR="00CF7D89" w:rsidRPr="00A52AB8">
        <w:t xml:space="preserve">7 </w:t>
      </w:r>
      <w:r w:rsidR="001F4042" w:rsidRPr="00A52AB8">
        <w:t>tile</w:t>
      </w:r>
      <w:r w:rsidR="00B84D25" w:rsidRPr="00A52AB8">
        <w:t>s</w:t>
      </w:r>
      <w:r w:rsidRPr="00A52AB8">
        <w:t>.</w:t>
      </w:r>
    </w:p>
    <w:p w14:paraId="593B86EA" w14:textId="62AB7B52" w:rsidR="0022237E" w:rsidRPr="00A52AB8" w:rsidRDefault="004B2D21" w:rsidP="003819BE">
      <w:pPr>
        <w:keepNext/>
        <w:jc w:val="center"/>
      </w:pPr>
      <w:r w:rsidRPr="00496A4D">
        <w:rPr>
          <w:noProof/>
        </w:rPr>
        <w:drawing>
          <wp:inline distT="0" distB="0" distL="0" distR="0" wp14:anchorId="7A14FAC8" wp14:editId="11E5B5BB">
            <wp:extent cx="6192520" cy="427990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6192520" cy="4279900"/>
                    </a:xfrm>
                    <a:prstGeom prst="rect">
                      <a:avLst/>
                    </a:prstGeom>
                  </pic:spPr>
                </pic:pic>
              </a:graphicData>
            </a:graphic>
          </wp:inline>
        </w:drawing>
      </w:r>
      <w:bookmarkStart w:id="524" w:name="_Ref1745753"/>
      <w:r w:rsidR="0022237E" w:rsidRPr="00A52AB8">
        <w:rPr>
          <w:b/>
          <w:bCs/>
          <w:sz w:val="20"/>
          <w:szCs w:val="20"/>
        </w:rPr>
        <w:t>Figure </w:t>
      </w:r>
      <w:r w:rsidR="00551506" w:rsidRPr="00496A4D">
        <w:rPr>
          <w:b/>
          <w:bCs/>
          <w:sz w:val="20"/>
          <w:szCs w:val="20"/>
        </w:rPr>
        <w:fldChar w:fldCharType="begin"/>
      </w:r>
      <w:r w:rsidR="00551506" w:rsidRPr="00A52AB8">
        <w:rPr>
          <w:b/>
          <w:bCs/>
          <w:sz w:val="20"/>
          <w:szCs w:val="20"/>
        </w:rPr>
        <w:instrText xml:space="preserve"> SEQ Figure \* ARABIC </w:instrText>
      </w:r>
      <w:r w:rsidR="00551506" w:rsidRPr="00496A4D">
        <w:rPr>
          <w:b/>
          <w:bCs/>
          <w:sz w:val="20"/>
          <w:szCs w:val="20"/>
        </w:rPr>
        <w:fldChar w:fldCharType="separate"/>
      </w:r>
      <w:r w:rsidR="00507A67">
        <w:rPr>
          <w:b/>
          <w:bCs/>
          <w:noProof/>
          <w:sz w:val="20"/>
          <w:szCs w:val="20"/>
        </w:rPr>
        <w:t>4</w:t>
      </w:r>
      <w:r w:rsidR="00551506" w:rsidRPr="00496A4D">
        <w:rPr>
          <w:b/>
          <w:bCs/>
          <w:sz w:val="20"/>
          <w:szCs w:val="20"/>
        </w:rPr>
        <w:fldChar w:fldCharType="end"/>
      </w:r>
      <w:bookmarkEnd w:id="524"/>
      <w:r w:rsidR="00C84D2A" w:rsidRPr="00A52AB8">
        <w:rPr>
          <w:b/>
          <w:bCs/>
          <w:sz w:val="20"/>
          <w:szCs w:val="20"/>
        </w:rPr>
        <w:t> </w:t>
      </w:r>
      <w:r w:rsidR="00C84D2A" w:rsidRPr="00A52AB8">
        <w:rPr>
          <w:sz w:val="20"/>
          <w:szCs w:val="20"/>
        </w:rPr>
        <w:t>–</w:t>
      </w:r>
      <w:r w:rsidR="00C84D2A" w:rsidRPr="00A52AB8">
        <w:rPr>
          <w:b/>
          <w:bCs/>
          <w:sz w:val="20"/>
          <w:szCs w:val="20"/>
        </w:rPr>
        <w:t> </w:t>
      </w:r>
      <w:r w:rsidR="00814813" w:rsidRPr="00A52AB8">
        <w:rPr>
          <w:b/>
          <w:bCs/>
          <w:sz w:val="20"/>
          <w:szCs w:val="20"/>
        </w:rPr>
        <w:t xml:space="preserve">An </w:t>
      </w:r>
      <w:r w:rsidR="00537AF9" w:rsidRPr="00A52AB8">
        <w:rPr>
          <w:b/>
          <w:bCs/>
          <w:sz w:val="20"/>
          <w:szCs w:val="20"/>
        </w:rPr>
        <w:t xml:space="preserve">example of an </w:t>
      </w:r>
      <w:r w:rsidR="00814813" w:rsidRPr="00A52AB8">
        <w:rPr>
          <w:b/>
          <w:bCs/>
          <w:sz w:val="20"/>
          <w:szCs w:val="20"/>
        </w:rPr>
        <w:t>atlas</w:t>
      </w:r>
      <w:r w:rsidR="005503F3" w:rsidRPr="00A52AB8">
        <w:rPr>
          <w:b/>
          <w:bCs/>
          <w:sz w:val="20"/>
          <w:szCs w:val="20"/>
        </w:rPr>
        <w:t xml:space="preserve"> frame</w:t>
      </w:r>
      <w:r w:rsidR="008F0D00" w:rsidRPr="00A52AB8">
        <w:rPr>
          <w:b/>
          <w:bCs/>
          <w:sz w:val="20"/>
          <w:szCs w:val="20"/>
        </w:rPr>
        <w:t xml:space="preserve"> </w:t>
      </w:r>
      <w:r w:rsidR="0022237E" w:rsidRPr="00A52AB8">
        <w:rPr>
          <w:b/>
          <w:bCs/>
          <w:sz w:val="20"/>
          <w:szCs w:val="20"/>
        </w:rPr>
        <w:t xml:space="preserve">partitioned into </w:t>
      </w:r>
      <w:r w:rsidR="00CF7D89" w:rsidRPr="00A52AB8">
        <w:rPr>
          <w:b/>
          <w:bCs/>
          <w:sz w:val="20"/>
          <w:szCs w:val="20"/>
        </w:rPr>
        <w:t>7</w:t>
      </w:r>
      <w:r w:rsidR="0022237E" w:rsidRPr="00A52AB8">
        <w:rPr>
          <w:b/>
          <w:bCs/>
          <w:sz w:val="20"/>
          <w:szCs w:val="20"/>
        </w:rPr>
        <w:t xml:space="preserve"> </w:t>
      </w:r>
      <w:r w:rsidR="00DA4973" w:rsidRPr="00A52AB8">
        <w:rPr>
          <w:b/>
          <w:bCs/>
          <w:sz w:val="20"/>
          <w:szCs w:val="20"/>
        </w:rPr>
        <w:t>tiles</w:t>
      </w:r>
    </w:p>
    <w:p w14:paraId="5BB39E9D" w14:textId="77777777" w:rsidR="0022237E" w:rsidRPr="00A52AB8" w:rsidRDefault="00D90693" w:rsidP="005C26E9">
      <w:pPr>
        <w:pStyle w:val="Heading2"/>
      </w:pPr>
      <w:bookmarkStart w:id="525" w:name="_Toc19035128"/>
      <w:bookmarkStart w:id="526" w:name="_Toc19036065"/>
      <w:bookmarkStart w:id="527" w:name="_Ref39419709"/>
      <w:bookmarkStart w:id="528" w:name="_Ref39812198"/>
      <w:bookmarkStart w:id="529" w:name="_Ref39812211"/>
      <w:bookmarkStart w:id="530" w:name="_Toc52181598"/>
      <w:bookmarkEnd w:id="525"/>
      <w:bookmarkEnd w:id="526"/>
      <w:r w:rsidRPr="00A52AB8">
        <w:t xml:space="preserve">Tile </w:t>
      </w:r>
      <w:r w:rsidR="00BF3F7F" w:rsidRPr="00A52AB8">
        <w:t xml:space="preserve">partition </w:t>
      </w:r>
      <w:r w:rsidRPr="00A52AB8">
        <w:t>s</w:t>
      </w:r>
      <w:r w:rsidR="0022237E" w:rsidRPr="00A52AB8">
        <w:t xml:space="preserve">canning </w:t>
      </w:r>
      <w:r w:rsidR="009B2CEA" w:rsidRPr="00A52AB8">
        <w:t>p</w:t>
      </w:r>
      <w:r w:rsidR="0022237E" w:rsidRPr="00A52AB8">
        <w:t>rocess</w:t>
      </w:r>
      <w:bookmarkStart w:id="531" w:name="_Toc39425252"/>
      <w:bookmarkStart w:id="532" w:name="_Toc38890664"/>
      <w:bookmarkStart w:id="533" w:name="_Toc39425253"/>
      <w:bookmarkEnd w:id="527"/>
      <w:bookmarkEnd w:id="528"/>
      <w:bookmarkEnd w:id="529"/>
      <w:bookmarkEnd w:id="530"/>
      <w:bookmarkEnd w:id="531"/>
      <w:bookmarkEnd w:id="532"/>
      <w:bookmarkEnd w:id="533"/>
    </w:p>
    <w:p w14:paraId="14D8E48C" w14:textId="06CC971B" w:rsidR="0022237E" w:rsidRPr="00A52AB8" w:rsidRDefault="0022237E">
      <w:r w:rsidRPr="00A52AB8">
        <w:t xml:space="preserve">The list </w:t>
      </w:r>
      <w:r w:rsidR="00A52204" w:rsidRPr="00A52AB8">
        <w:t>PartitionWidth</w:t>
      </w:r>
      <w:r w:rsidR="001F4484" w:rsidRPr="00A52AB8">
        <w:t>[ i ]</w:t>
      </w:r>
      <w:r w:rsidR="0019520B" w:rsidRPr="00A52AB8">
        <w:t>,</w:t>
      </w:r>
      <w:r w:rsidRPr="00A52AB8">
        <w:t xml:space="preserve"> for i ranging from 0 to </w:t>
      </w:r>
      <w:r w:rsidR="00A52204" w:rsidRPr="00A52AB8">
        <w:t>NumPartitionColumns</w:t>
      </w:r>
      <w:r w:rsidR="00D53CFD" w:rsidRPr="00A52AB8">
        <w:t> </w:t>
      </w:r>
      <w:r w:rsidR="00FF562F" w:rsidRPr="00A52AB8">
        <w:t>− </w:t>
      </w:r>
      <w:r w:rsidR="00D53CFD" w:rsidRPr="00A52AB8">
        <w:t>1</w:t>
      </w:r>
      <w:r w:rsidRPr="00A52AB8">
        <w:t xml:space="preserve">, inclusive, specifying the width of the i-th </w:t>
      </w:r>
      <w:r w:rsidR="00BF3F7F" w:rsidRPr="00A52AB8">
        <w:t xml:space="preserve">tile </w:t>
      </w:r>
      <w:r w:rsidR="00D90693" w:rsidRPr="00A52AB8">
        <w:t xml:space="preserve">partition </w:t>
      </w:r>
      <w:r w:rsidRPr="00A52AB8">
        <w:t xml:space="preserve">column in units of </w:t>
      </w:r>
      <w:r w:rsidR="008D6D1B" w:rsidRPr="00A52AB8">
        <w:t>64 samples</w:t>
      </w:r>
      <w:r w:rsidRPr="00A52AB8">
        <w:t xml:space="preserve">, is derived, and the value of </w:t>
      </w:r>
      <w:r w:rsidR="002A51DF" w:rsidRPr="00A52AB8">
        <w:t xml:space="preserve">NumPartitionColumns </w:t>
      </w:r>
      <w:r w:rsidRPr="00A52AB8">
        <w:t>is inferred, as follows:</w:t>
      </w:r>
    </w:p>
    <w:p w14:paraId="5FC49DD5" w14:textId="1FAE589B" w:rsidR="00446D62" w:rsidRPr="00A52AB8" w:rsidRDefault="00AB1BD0" w:rsidP="00792CFF">
      <w:pPr>
        <w:jc w:val="left"/>
      </w:pPr>
      <w:r w:rsidRPr="00A52AB8">
        <w:tab/>
      </w:r>
      <w:r w:rsidR="00446D62" w:rsidRPr="00A52AB8">
        <w:t>if(</w:t>
      </w:r>
      <w:r w:rsidR="0073456E" w:rsidRPr="00A52AB8">
        <w:t> </w:t>
      </w:r>
      <w:r w:rsidR="00446D62" w:rsidRPr="00A52AB8">
        <w:t>afti_uniform_partition_spacing_flag</w:t>
      </w:r>
      <w:r w:rsidR="0073456E" w:rsidRPr="00A52AB8">
        <w:t> </w:t>
      </w:r>
      <w:r w:rsidR="008F1F82" w:rsidRPr="00A52AB8">
        <w:t>) {</w:t>
      </w:r>
      <w:r w:rsidR="00446D62" w:rsidRPr="00A52AB8">
        <w:br/>
      </w:r>
      <w:r w:rsidR="00446D62" w:rsidRPr="00A52AB8">
        <w:tab/>
      </w:r>
      <w:r w:rsidRPr="00A52AB8">
        <w:tab/>
      </w:r>
      <w:r w:rsidR="00446D62" w:rsidRPr="00A52AB8">
        <w:t>partitionWidth</w:t>
      </w:r>
      <w:r w:rsidR="00D47707" w:rsidRPr="00A52AB8">
        <w:t> = </w:t>
      </w:r>
      <w:r w:rsidR="00446D62" w:rsidRPr="00A52AB8">
        <w:t>(</w:t>
      </w:r>
      <w:r w:rsidR="0073456E" w:rsidRPr="00A52AB8">
        <w:t> </w:t>
      </w:r>
      <w:r w:rsidR="00446D62" w:rsidRPr="00A52AB8">
        <w:t>afti_partition_cols_width_minus1</w:t>
      </w:r>
      <w:r w:rsidR="0073456E" w:rsidRPr="00A52AB8">
        <w:t> </w:t>
      </w:r>
      <w:r w:rsidR="00446D62" w:rsidRPr="00A52AB8">
        <w:t>+</w:t>
      </w:r>
      <w:r w:rsidR="0073456E" w:rsidRPr="00A52AB8">
        <w:t> </w:t>
      </w:r>
      <w:r w:rsidR="00446D62" w:rsidRPr="00A52AB8">
        <w:t>1</w:t>
      </w:r>
      <w:r w:rsidR="0073456E" w:rsidRPr="00A52AB8">
        <w:t> </w:t>
      </w:r>
      <w:r w:rsidR="00446D62" w:rsidRPr="00A52AB8">
        <w:t>)</w:t>
      </w:r>
      <w:r w:rsidR="0073456E" w:rsidRPr="00A52AB8">
        <w:t> </w:t>
      </w:r>
      <w:r w:rsidR="00446D62" w:rsidRPr="00A52AB8">
        <w:t>*</w:t>
      </w:r>
      <w:r w:rsidR="0073456E" w:rsidRPr="00A52AB8">
        <w:t> </w:t>
      </w:r>
      <w:r w:rsidR="00446D62" w:rsidRPr="00A52AB8">
        <w:t>64</w:t>
      </w:r>
      <w:r w:rsidR="00446D62" w:rsidRPr="00A52AB8">
        <w:br/>
      </w:r>
      <w:r w:rsidRPr="00A52AB8">
        <w:tab/>
      </w:r>
      <w:r w:rsidR="00446D62" w:rsidRPr="00A52AB8">
        <w:tab/>
        <w:t>NumPartitionColumns</w:t>
      </w:r>
      <w:r w:rsidR="0023721F" w:rsidRPr="00A52AB8">
        <w:t> </w:t>
      </w:r>
      <w:r w:rsidR="00D47707" w:rsidRPr="00A52AB8">
        <w:t>= </w:t>
      </w:r>
      <w:r w:rsidR="00446D62" w:rsidRPr="00A52AB8">
        <w:rPr>
          <w:lang w:eastAsia="ja-JP"/>
        </w:rPr>
        <w:t>asps_frame_width </w:t>
      </w:r>
      <w:r w:rsidR="00446D62" w:rsidRPr="00A52AB8">
        <w:t>/ partitionWidth</w:t>
      </w:r>
      <w:r w:rsidR="00446D62" w:rsidRPr="00A52AB8">
        <w:br/>
      </w:r>
      <w:r w:rsidRPr="00A52AB8">
        <w:tab/>
      </w:r>
      <w:r w:rsidR="00446D62" w:rsidRPr="00A52AB8">
        <w:tab/>
        <w:t>PartitionPosX[ 0 ]</w:t>
      </w:r>
      <w:r w:rsidR="00D47707" w:rsidRPr="00A52AB8">
        <w:t> = </w:t>
      </w:r>
      <w:r w:rsidR="00446D62" w:rsidRPr="00A52AB8">
        <w:t>0</w:t>
      </w:r>
      <w:r w:rsidR="00446D62" w:rsidRPr="00A52AB8">
        <w:br/>
      </w:r>
      <w:r w:rsidRPr="00A52AB8">
        <w:tab/>
      </w:r>
      <w:r w:rsidR="00446D62" w:rsidRPr="00A52AB8">
        <w:tab/>
        <w:t>PartitionWidth[ 0 ]</w:t>
      </w:r>
      <w:r w:rsidR="00D47707" w:rsidRPr="00A52AB8">
        <w:t> = </w:t>
      </w:r>
      <w:r w:rsidR="00446D62" w:rsidRPr="00A52AB8">
        <w:t>partitionWidth</w:t>
      </w:r>
      <w:r w:rsidR="00446D62" w:rsidRPr="00A52AB8">
        <w:br/>
      </w:r>
      <w:r w:rsidRPr="00A52AB8">
        <w:tab/>
      </w:r>
      <w:r w:rsidR="00446D62" w:rsidRPr="00A52AB8">
        <w:tab/>
        <w:t>for( </w:t>
      </w:r>
      <w:r w:rsidR="00CB09B0" w:rsidRPr="00A52AB8">
        <w:t>i</w:t>
      </w:r>
      <w:r w:rsidR="00D47707" w:rsidRPr="00A52AB8">
        <w:t> = </w:t>
      </w:r>
      <w:r w:rsidR="00446D62" w:rsidRPr="00A52AB8">
        <w:t>1;</w:t>
      </w:r>
      <w:r w:rsidR="00CB09B0" w:rsidRPr="00A52AB8">
        <w:t> i </w:t>
      </w:r>
      <w:r w:rsidR="00446D62" w:rsidRPr="00A52AB8">
        <w:t>&lt;</w:t>
      </w:r>
      <w:r w:rsidR="008F1F82" w:rsidRPr="00A52AB8">
        <w:t> </w:t>
      </w:r>
      <w:r w:rsidR="00446D62" w:rsidRPr="00A52AB8">
        <w:t>NumPartitionColumns</w:t>
      </w:r>
      <w:r w:rsidR="00CB09B0" w:rsidRPr="00A52AB8">
        <w:t> </w:t>
      </w:r>
      <w:r w:rsidR="00446D62" w:rsidRPr="00A52AB8">
        <w:t>–</w:t>
      </w:r>
      <w:r w:rsidR="00CB09B0" w:rsidRPr="00A52AB8">
        <w:t> </w:t>
      </w:r>
      <w:r w:rsidR="00446D62" w:rsidRPr="00A52AB8">
        <w:t>1;</w:t>
      </w:r>
      <w:r w:rsidR="00CB09B0" w:rsidRPr="00A52AB8">
        <w:t> </w:t>
      </w:r>
      <w:r w:rsidR="00446D62" w:rsidRPr="00A52AB8">
        <w:t>i</w:t>
      </w:r>
      <w:r w:rsidR="00006CCF" w:rsidRPr="00A52AB8">
        <w:t>++ </w:t>
      </w:r>
      <w:r w:rsidR="008F1F82" w:rsidRPr="00A52AB8">
        <w:t>) {</w:t>
      </w:r>
      <w:r w:rsidR="00446D62" w:rsidRPr="00A52AB8">
        <w:br/>
      </w:r>
      <w:r w:rsidRPr="00A52AB8">
        <w:tab/>
      </w:r>
      <w:r w:rsidR="00446D62" w:rsidRPr="00A52AB8">
        <w:tab/>
      </w:r>
      <w:r w:rsidR="00446D62" w:rsidRPr="00A52AB8">
        <w:tab/>
        <w:t>PartitionPosX[ i ]</w:t>
      </w:r>
      <w:r w:rsidR="00D47707" w:rsidRPr="00A52AB8">
        <w:t> = </w:t>
      </w:r>
      <w:r w:rsidR="00F55DCB" w:rsidRPr="00A52AB8">
        <w:t>PartitionPosX[ i – 1 ] + </w:t>
      </w:r>
      <w:r w:rsidR="00F843FD" w:rsidRPr="00A52AB8">
        <w:t>PartitionWidth[ i – 1 ]</w:t>
      </w:r>
      <w:r w:rsidR="00446D62" w:rsidRPr="00A52AB8">
        <w:br/>
      </w:r>
      <w:r w:rsidRPr="00A52AB8">
        <w:tab/>
      </w:r>
      <w:r w:rsidR="00446D62" w:rsidRPr="00A52AB8">
        <w:tab/>
      </w:r>
      <w:r w:rsidR="00446D62" w:rsidRPr="00A52AB8">
        <w:tab/>
        <w:t>PartitionWidth[ i ]</w:t>
      </w:r>
      <w:r w:rsidR="00D47707" w:rsidRPr="00A52AB8">
        <w:t> = </w:t>
      </w:r>
      <w:r w:rsidR="00446D62" w:rsidRPr="00A52AB8">
        <w:t>partitionWidth</w:t>
      </w:r>
      <w:r w:rsidR="00446D62" w:rsidRPr="00A52AB8">
        <w:br/>
      </w:r>
      <w:r w:rsidRPr="00A52AB8">
        <w:tab/>
      </w:r>
      <w:r w:rsidR="00446D62" w:rsidRPr="00A52AB8">
        <w:tab/>
        <w:t>}</w:t>
      </w:r>
      <w:r w:rsidR="00446D62" w:rsidRPr="00A52AB8">
        <w:br/>
      </w:r>
      <w:r w:rsidRPr="00A52AB8">
        <w:tab/>
      </w:r>
      <w:r w:rsidR="0023721F" w:rsidRPr="00A52AB8">
        <w:t>} else {</w:t>
      </w:r>
      <w:r w:rsidR="00446D62" w:rsidRPr="00A52AB8">
        <w:br/>
      </w:r>
      <w:r w:rsidRPr="00A52AB8">
        <w:tab/>
      </w:r>
      <w:r w:rsidR="00446D62" w:rsidRPr="00A52AB8">
        <w:tab/>
        <w:t>NumPartitionColumns</w:t>
      </w:r>
      <w:r w:rsidR="00D47707" w:rsidRPr="00A52AB8">
        <w:t> = </w:t>
      </w:r>
      <w:r w:rsidR="00446D62" w:rsidRPr="00A52AB8">
        <w:t>afti_num_partition_columns_minus1 + 1</w:t>
      </w:r>
      <w:r w:rsidR="00446D62" w:rsidRPr="00A52AB8">
        <w:br/>
      </w:r>
      <w:r w:rsidRPr="00A52AB8">
        <w:tab/>
      </w:r>
      <w:r w:rsidR="00446D62" w:rsidRPr="00A52AB8">
        <w:tab/>
        <w:t>PartitionPosX[ 0 ]</w:t>
      </w:r>
      <w:r w:rsidR="00D47707" w:rsidRPr="00A52AB8">
        <w:t> = </w:t>
      </w:r>
      <w:r w:rsidR="00446D62" w:rsidRPr="00A52AB8">
        <w:t>0</w:t>
      </w:r>
      <w:r w:rsidR="00446D62" w:rsidRPr="00A52AB8">
        <w:br/>
      </w:r>
      <w:r w:rsidRPr="00A52AB8">
        <w:tab/>
      </w:r>
      <w:r w:rsidR="00446D62" w:rsidRPr="00A52AB8">
        <w:tab/>
        <w:t>partitionWidth[ 0 ]</w:t>
      </w:r>
      <w:r w:rsidR="00D47707" w:rsidRPr="00A52AB8">
        <w:t> = </w:t>
      </w:r>
      <w:r w:rsidR="00446D62" w:rsidRPr="00A52AB8">
        <w:t>( afti_partition_column_width_minus1[ 0 ]</w:t>
      </w:r>
      <w:r w:rsidR="008F1F82" w:rsidRPr="00A52AB8">
        <w:t> </w:t>
      </w:r>
      <w:r w:rsidR="00446D62" w:rsidRPr="00A52AB8">
        <w:t>+</w:t>
      </w:r>
      <w:r w:rsidR="008F1F82" w:rsidRPr="00A52AB8">
        <w:t> </w:t>
      </w:r>
      <w:r w:rsidR="00446D62" w:rsidRPr="00A52AB8">
        <w:t>1 ) * 64</w:t>
      </w:r>
      <w:r w:rsidR="00446D62" w:rsidRPr="00A52AB8">
        <w:br/>
      </w:r>
      <w:r w:rsidRPr="00A52AB8">
        <w:tab/>
      </w:r>
      <w:r w:rsidR="00446D62" w:rsidRPr="00A52AB8">
        <w:tab/>
        <w:t>for( </w:t>
      </w:r>
      <w:r w:rsidR="00CB09B0" w:rsidRPr="00A52AB8">
        <w:t>i</w:t>
      </w:r>
      <w:r w:rsidR="00D47707" w:rsidRPr="00A52AB8">
        <w:t> = </w:t>
      </w:r>
      <w:r w:rsidR="00446D62" w:rsidRPr="00A52AB8">
        <w:t>1;</w:t>
      </w:r>
      <w:r w:rsidR="00CB09B0" w:rsidRPr="00A52AB8">
        <w:t> i </w:t>
      </w:r>
      <w:r w:rsidR="00446D62" w:rsidRPr="00A52AB8">
        <w:t>&lt;</w:t>
      </w:r>
      <w:r w:rsidR="00CB09B0" w:rsidRPr="00A52AB8">
        <w:t> </w:t>
      </w:r>
      <w:r w:rsidR="00446D62" w:rsidRPr="00A52AB8">
        <w:t>NumPartitionColumns</w:t>
      </w:r>
      <w:r w:rsidR="00CB09B0" w:rsidRPr="00A52AB8">
        <w:t> </w:t>
      </w:r>
      <w:r w:rsidR="00446D62" w:rsidRPr="00A52AB8">
        <w:t>–</w:t>
      </w:r>
      <w:r w:rsidR="00CB09B0" w:rsidRPr="00A52AB8">
        <w:t> </w:t>
      </w:r>
      <w:r w:rsidR="00446D62" w:rsidRPr="00A52AB8">
        <w:t>1;</w:t>
      </w:r>
      <w:r w:rsidR="00CB09B0" w:rsidRPr="00A52AB8">
        <w:t> </w:t>
      </w:r>
      <w:r w:rsidR="00446D62" w:rsidRPr="00A52AB8">
        <w:t>i</w:t>
      </w:r>
      <w:r w:rsidR="00006CCF" w:rsidRPr="00A52AB8">
        <w:t>++ </w:t>
      </w:r>
      <w:r w:rsidR="008F1F82" w:rsidRPr="00A52AB8">
        <w:t>) {</w:t>
      </w:r>
      <w:r w:rsidR="00446D62" w:rsidRPr="00A52AB8">
        <w:br/>
      </w:r>
      <w:r w:rsidRPr="00A52AB8">
        <w:tab/>
      </w:r>
      <w:r w:rsidR="00446D62" w:rsidRPr="00A52AB8">
        <w:tab/>
      </w:r>
      <w:r w:rsidR="00446D62" w:rsidRPr="00A52AB8">
        <w:tab/>
        <w:t>PartitionPosX[ i ]</w:t>
      </w:r>
      <w:r w:rsidR="00D47707" w:rsidRPr="00A52AB8">
        <w:t> = </w:t>
      </w:r>
      <w:r w:rsidR="00750B85" w:rsidRPr="00A52AB8">
        <w:t>PartitionPosX</w:t>
      </w:r>
      <w:r w:rsidR="00446D62" w:rsidRPr="00A52AB8">
        <w:t>[</w:t>
      </w:r>
      <w:r w:rsidR="006F0DDA" w:rsidRPr="00A52AB8">
        <w:t> i – 1 </w:t>
      </w:r>
      <w:r w:rsidR="00446D62" w:rsidRPr="00A52AB8">
        <w:t>]</w:t>
      </w:r>
      <w:r w:rsidRPr="00A52AB8">
        <w:t> </w:t>
      </w:r>
      <w:r w:rsidR="00446D62" w:rsidRPr="00A52AB8">
        <w:t>+</w:t>
      </w:r>
      <w:r w:rsidRPr="00A52AB8">
        <w:t> </w:t>
      </w:r>
      <w:r w:rsidR="00446D62" w:rsidRPr="00A52AB8">
        <w:t>PartitionWidth[</w:t>
      </w:r>
      <w:r w:rsidR="009118D5" w:rsidRPr="00A52AB8">
        <w:t> i </w:t>
      </w:r>
      <w:r w:rsidR="00446D62" w:rsidRPr="00A52AB8">
        <w:t>–</w:t>
      </w:r>
      <w:r w:rsidR="00EF5260" w:rsidRPr="00A52AB8">
        <w:t> </w:t>
      </w:r>
      <w:r w:rsidR="00446D62" w:rsidRPr="00A52AB8">
        <w:t>1</w:t>
      </w:r>
      <w:r w:rsidR="00EF5260" w:rsidRPr="00A52AB8">
        <w:t> </w:t>
      </w:r>
      <w:r w:rsidR="00446D62" w:rsidRPr="00A52AB8">
        <w:t xml:space="preserve">] </w:t>
      </w:r>
      <w:r w:rsidR="00446D62" w:rsidRPr="00A52AB8">
        <w:br/>
      </w:r>
      <w:r w:rsidRPr="00A52AB8">
        <w:tab/>
      </w:r>
      <w:r w:rsidR="00446D62" w:rsidRPr="00A52AB8">
        <w:tab/>
      </w:r>
      <w:r w:rsidR="00446D62" w:rsidRPr="00A52AB8">
        <w:tab/>
        <w:t>PartitionWidth[ i ]</w:t>
      </w:r>
      <w:r w:rsidR="00D47707" w:rsidRPr="00A52AB8">
        <w:t> = </w:t>
      </w:r>
      <w:r w:rsidR="00446D62" w:rsidRPr="00A52AB8">
        <w:t>( afti_partition_column_width_minus1[ i ]</w:t>
      </w:r>
      <w:r w:rsidR="00CB09B0" w:rsidRPr="00A52AB8">
        <w:t> </w:t>
      </w:r>
      <w:r w:rsidR="00446D62" w:rsidRPr="00A52AB8">
        <w:t>+</w:t>
      </w:r>
      <w:r w:rsidR="00CB09B0" w:rsidRPr="00A52AB8">
        <w:t> </w:t>
      </w:r>
      <w:r w:rsidR="00446D62" w:rsidRPr="00A52AB8">
        <w:t>1 ) * 64</w:t>
      </w:r>
      <w:r w:rsidR="00446D62" w:rsidRPr="00A52AB8">
        <w:br/>
      </w:r>
      <w:r w:rsidRPr="00A52AB8">
        <w:tab/>
      </w:r>
      <w:r w:rsidR="00446D62" w:rsidRPr="00A52AB8">
        <w:tab/>
        <w:t>}</w:t>
      </w:r>
      <w:r w:rsidR="00446D62" w:rsidRPr="00A52AB8">
        <w:br/>
      </w:r>
      <w:r w:rsidRPr="00A52AB8">
        <w:tab/>
      </w:r>
      <w:r w:rsidR="00446D62" w:rsidRPr="00A52AB8">
        <w:t>}</w:t>
      </w:r>
      <w:r w:rsidR="00AA21AA" w:rsidRPr="00A52AB8">
        <w:br/>
      </w:r>
      <w:r w:rsidRPr="00A52AB8">
        <w:lastRenderedPageBreak/>
        <w:tab/>
      </w:r>
      <w:r w:rsidR="00AA21AA" w:rsidRPr="00A52AB8">
        <w:t>if(</w:t>
      </w:r>
      <w:r w:rsidRPr="00A52AB8">
        <w:t> </w:t>
      </w:r>
      <w:r w:rsidR="00AA21AA" w:rsidRPr="00A52AB8">
        <w:t>NumPartitionColumns &gt;</w:t>
      </w:r>
      <w:r w:rsidR="00487E51" w:rsidRPr="00A52AB8">
        <w:t> </w:t>
      </w:r>
      <w:r w:rsidR="00AA21AA" w:rsidRPr="00A52AB8">
        <w:t>1</w:t>
      </w:r>
      <w:r w:rsidRPr="00A52AB8">
        <w:t> </w:t>
      </w:r>
      <w:r w:rsidR="008F1F82" w:rsidRPr="00A52AB8">
        <w:t>) {</w:t>
      </w:r>
      <w:r w:rsidR="00446D62" w:rsidRPr="00A52AB8">
        <w:br/>
      </w:r>
      <w:r w:rsidRPr="00A52AB8">
        <w:tab/>
      </w:r>
      <w:r w:rsidR="007A65C1" w:rsidRPr="00A52AB8">
        <w:tab/>
      </w:r>
      <w:r w:rsidR="00446D62" w:rsidRPr="00A52AB8">
        <w:t>PartitionPosX[</w:t>
      </w:r>
      <w:r w:rsidRPr="00A52AB8">
        <w:t> </w:t>
      </w:r>
      <w:r w:rsidR="00446D62" w:rsidRPr="00A52AB8">
        <w:t>NumPartitionColumns</w:t>
      </w:r>
      <w:r w:rsidR="00D10581" w:rsidRPr="00A52AB8">
        <w:t> </w:t>
      </w:r>
      <w:r w:rsidRPr="00A52AB8">
        <w:t>–</w:t>
      </w:r>
      <w:r w:rsidR="00D10581" w:rsidRPr="00A52AB8">
        <w:t> </w:t>
      </w:r>
      <w:r w:rsidR="00446D62" w:rsidRPr="00A52AB8">
        <w:t>1</w:t>
      </w:r>
      <w:r w:rsidRPr="00A52AB8">
        <w:t> </w:t>
      </w:r>
      <w:r w:rsidR="00446D62" w:rsidRPr="00A52AB8">
        <w:t>]</w:t>
      </w:r>
      <w:r w:rsidR="00D47707" w:rsidRPr="00A52AB8">
        <w:t> = </w:t>
      </w:r>
      <w:r w:rsidR="00CA5401" w:rsidRPr="00A52AB8">
        <w:br/>
      </w:r>
      <w:r w:rsidRPr="00A52AB8">
        <w:tab/>
      </w:r>
      <w:r w:rsidR="00CA5401" w:rsidRPr="00A52AB8">
        <w:tab/>
      </w:r>
      <w:r w:rsidR="00CA5401" w:rsidRPr="00A52AB8">
        <w:tab/>
      </w:r>
      <w:r w:rsidR="00446D62" w:rsidRPr="00A52AB8">
        <w:t>PartitionPosX[</w:t>
      </w:r>
      <w:r w:rsidR="008F1F82" w:rsidRPr="00A52AB8">
        <w:t> </w:t>
      </w:r>
      <w:r w:rsidR="00446D62" w:rsidRPr="00A52AB8">
        <w:t>NumPartitionColumns </w:t>
      </w:r>
      <w:r w:rsidRPr="00A52AB8">
        <w:t>–</w:t>
      </w:r>
      <w:r w:rsidR="00446D62" w:rsidRPr="00A52AB8">
        <w:t> 2</w:t>
      </w:r>
      <w:r w:rsidRPr="00A52AB8">
        <w:t> </w:t>
      </w:r>
      <w:r w:rsidR="00446D62" w:rsidRPr="00A52AB8">
        <w:t>]</w:t>
      </w:r>
      <w:r w:rsidRPr="00A52AB8">
        <w:t> </w:t>
      </w:r>
      <w:r w:rsidR="00446D62" w:rsidRPr="00A52AB8">
        <w:t>+</w:t>
      </w:r>
      <w:r w:rsidRPr="00A52AB8">
        <w:t> </w:t>
      </w:r>
      <w:r w:rsidR="00446D62" w:rsidRPr="00A52AB8">
        <w:t>PartitionWidth[</w:t>
      </w:r>
      <w:r w:rsidRPr="00A52AB8">
        <w:t> </w:t>
      </w:r>
      <w:r w:rsidR="00446D62" w:rsidRPr="00A52AB8">
        <w:t>NumPartitionColumns </w:t>
      </w:r>
      <w:r w:rsidRPr="00A52AB8">
        <w:t>–</w:t>
      </w:r>
      <w:r w:rsidR="00446D62" w:rsidRPr="00A52AB8">
        <w:t> 2</w:t>
      </w:r>
      <w:r w:rsidRPr="00A52AB8">
        <w:t> </w:t>
      </w:r>
      <w:r w:rsidR="00446D62" w:rsidRPr="00A52AB8">
        <w:t>]</w:t>
      </w:r>
      <w:r w:rsidR="00446D62" w:rsidRPr="00A52AB8">
        <w:br/>
      </w:r>
      <w:r w:rsidRPr="00A52AB8">
        <w:tab/>
      </w:r>
      <w:r w:rsidR="007A65C1" w:rsidRPr="00A52AB8">
        <w:tab/>
      </w:r>
      <w:r w:rsidR="00446D62" w:rsidRPr="00A52AB8">
        <w:t>PartitionWidth[</w:t>
      </w:r>
      <w:r w:rsidRPr="00A52AB8">
        <w:t> </w:t>
      </w:r>
      <w:r w:rsidR="00446D62" w:rsidRPr="00A52AB8">
        <w:t>NumPartitionColumns </w:t>
      </w:r>
      <w:r w:rsidRPr="00A52AB8">
        <w:t>–</w:t>
      </w:r>
      <w:r w:rsidR="00446D62" w:rsidRPr="00A52AB8">
        <w:t> 1</w:t>
      </w:r>
      <w:r w:rsidRPr="00A52AB8">
        <w:t> </w:t>
      </w:r>
      <w:r w:rsidR="00446D62" w:rsidRPr="00A52AB8">
        <w:t>]</w:t>
      </w:r>
      <w:r w:rsidR="00D47707" w:rsidRPr="00A52AB8">
        <w:t> = </w:t>
      </w:r>
      <w:r w:rsidR="00CA5401" w:rsidRPr="00A52AB8">
        <w:tab/>
      </w:r>
      <w:r w:rsidRPr="00A52AB8">
        <w:tab/>
      </w:r>
      <w:r w:rsidR="00CA5401" w:rsidRPr="00A52AB8">
        <w:tab/>
      </w:r>
      <w:r w:rsidR="00CA5401" w:rsidRPr="00A52AB8">
        <w:tab/>
      </w:r>
      <w:r w:rsidR="00CA5401" w:rsidRPr="00A52AB8">
        <w:tab/>
      </w:r>
      <w:r w:rsidR="00446D62" w:rsidRPr="00A52AB8">
        <w:rPr>
          <w:lang w:eastAsia="ja-JP"/>
        </w:rPr>
        <w:t>asps_frame_width – </w:t>
      </w:r>
      <w:r w:rsidR="00446D62" w:rsidRPr="00A52AB8">
        <w:t>PartitionPosX</w:t>
      </w:r>
      <w:r w:rsidR="00446D62" w:rsidRPr="00A52AB8">
        <w:rPr>
          <w:lang w:eastAsia="ja-JP"/>
        </w:rPr>
        <w:t>[</w:t>
      </w:r>
      <w:r w:rsidRPr="00A52AB8">
        <w:rPr>
          <w:lang w:eastAsia="ja-JP"/>
        </w:rPr>
        <w:t> </w:t>
      </w:r>
      <w:r w:rsidR="00446D62" w:rsidRPr="00A52AB8">
        <w:rPr>
          <w:lang w:eastAsia="ja-JP"/>
        </w:rPr>
        <w:t>NumPartitionColumns </w:t>
      </w:r>
      <w:r w:rsidRPr="00A52AB8">
        <w:rPr>
          <w:lang w:eastAsia="ja-JP"/>
        </w:rPr>
        <w:t>–</w:t>
      </w:r>
      <w:r w:rsidR="00446D62" w:rsidRPr="00A52AB8">
        <w:rPr>
          <w:lang w:eastAsia="ja-JP"/>
        </w:rPr>
        <w:t> 1</w:t>
      </w:r>
      <w:r w:rsidRPr="00A52AB8">
        <w:rPr>
          <w:lang w:eastAsia="ja-JP"/>
        </w:rPr>
        <w:t> </w:t>
      </w:r>
      <w:r w:rsidR="00446D62" w:rsidRPr="00A52AB8">
        <w:rPr>
          <w:lang w:eastAsia="ja-JP"/>
        </w:rPr>
        <w:t>]</w:t>
      </w:r>
      <w:r w:rsidR="00AA21AA" w:rsidRPr="00A52AB8">
        <w:rPr>
          <w:lang w:eastAsia="ja-JP"/>
        </w:rPr>
        <w:br/>
      </w:r>
      <w:r w:rsidRPr="00A52AB8">
        <w:rPr>
          <w:lang w:eastAsia="ja-JP"/>
        </w:rPr>
        <w:tab/>
      </w:r>
      <w:r w:rsidR="00AA21AA" w:rsidRPr="00A52AB8">
        <w:rPr>
          <w:lang w:eastAsia="ja-JP"/>
        </w:rPr>
        <w:t>}</w:t>
      </w:r>
    </w:p>
    <w:p w14:paraId="14E7DF74" w14:textId="6A273362" w:rsidR="0022237E" w:rsidRPr="00A52AB8" w:rsidRDefault="0022237E">
      <w:r w:rsidRPr="00A52AB8">
        <w:t xml:space="preserve">The list </w:t>
      </w:r>
      <w:r w:rsidR="005C11F2" w:rsidRPr="00A52AB8">
        <w:t>PartitionHeight</w:t>
      </w:r>
      <w:r w:rsidR="001F4484" w:rsidRPr="00A52AB8">
        <w:t>[ j ]</w:t>
      </w:r>
      <w:r w:rsidRPr="00A52AB8">
        <w:t xml:space="preserve"> for j ranging from 0 to </w:t>
      </w:r>
      <w:r w:rsidR="00FB3387" w:rsidRPr="00A52AB8">
        <w:t>NumPartitionRows</w:t>
      </w:r>
      <w:r w:rsidR="00D056A4" w:rsidRPr="00A52AB8">
        <w:t> </w:t>
      </w:r>
      <w:r w:rsidR="00CA2076" w:rsidRPr="00A52AB8">
        <w:t>-</w:t>
      </w:r>
      <w:r w:rsidR="00D056A4" w:rsidRPr="00A52AB8">
        <w:t> </w:t>
      </w:r>
      <w:r w:rsidR="00CA2076" w:rsidRPr="00A52AB8">
        <w:t>1</w:t>
      </w:r>
      <w:r w:rsidRPr="00A52AB8">
        <w:t xml:space="preserve">, inclusive, specifying the height of the j-th tile </w:t>
      </w:r>
      <w:r w:rsidR="00BF3F7F" w:rsidRPr="00A52AB8">
        <w:t xml:space="preserve">partition </w:t>
      </w:r>
      <w:r w:rsidRPr="00A52AB8">
        <w:t xml:space="preserve">row in units of </w:t>
      </w:r>
      <w:r w:rsidR="00B20BF3" w:rsidRPr="00A52AB8">
        <w:t>64 samples</w:t>
      </w:r>
      <w:r w:rsidRPr="00A52AB8">
        <w:t xml:space="preserve">, is derived, and the value of </w:t>
      </w:r>
      <w:r w:rsidR="00860F5D" w:rsidRPr="00A52AB8">
        <w:t xml:space="preserve">NumPartitionRows </w:t>
      </w:r>
      <w:r w:rsidRPr="00A52AB8">
        <w:t>is inferred, as follows:</w:t>
      </w:r>
    </w:p>
    <w:p w14:paraId="1E742E46" w14:textId="76DE3C7B" w:rsidR="0097333D" w:rsidRPr="00A52AB8" w:rsidRDefault="001F2976" w:rsidP="0097333D">
      <w:pPr>
        <w:pStyle w:val="Equation"/>
        <w:tabs>
          <w:tab w:val="left" w:pos="403"/>
        </w:tabs>
      </w:pPr>
      <w:r w:rsidRPr="00A52AB8">
        <w:tab/>
      </w:r>
      <w:r w:rsidR="0097333D" w:rsidRPr="00A52AB8">
        <w:t>if(</w:t>
      </w:r>
      <w:r w:rsidR="0023721F" w:rsidRPr="00A52AB8">
        <w:t> </w:t>
      </w:r>
      <w:r w:rsidR="0097333D" w:rsidRPr="00A52AB8">
        <w:t>afti_uniform_partition_spacing_flag</w:t>
      </w:r>
      <w:r w:rsidR="0023721F" w:rsidRPr="00A52AB8">
        <w:t> </w:t>
      </w:r>
      <w:r w:rsidR="008F1F82" w:rsidRPr="00A52AB8">
        <w:t>) {</w:t>
      </w:r>
      <w:r w:rsidR="0097333D" w:rsidRPr="00A52AB8">
        <w:br/>
      </w:r>
      <w:r w:rsidRPr="00A52AB8">
        <w:tab/>
      </w:r>
      <w:r w:rsidR="0097333D" w:rsidRPr="00A52AB8">
        <w:tab/>
        <w:t>partitionHeight</w:t>
      </w:r>
      <w:r w:rsidR="00D47707" w:rsidRPr="00A52AB8">
        <w:t> = </w:t>
      </w:r>
      <w:r w:rsidR="0097333D" w:rsidRPr="00A52AB8">
        <w:t>(afti_partition_rows_height_minus1</w:t>
      </w:r>
      <w:r w:rsidR="00D57F7F" w:rsidRPr="00A52AB8">
        <w:t> </w:t>
      </w:r>
      <w:r w:rsidR="0097333D" w:rsidRPr="00A52AB8">
        <w:t>+</w:t>
      </w:r>
      <w:r w:rsidR="00D57F7F" w:rsidRPr="00A52AB8">
        <w:t> </w:t>
      </w:r>
      <w:r w:rsidR="0097333D" w:rsidRPr="00A52AB8">
        <w:t>1)</w:t>
      </w:r>
      <w:r w:rsidR="00D57F7F" w:rsidRPr="00A52AB8">
        <w:t> </w:t>
      </w:r>
      <w:r w:rsidR="0097333D" w:rsidRPr="00A52AB8">
        <w:t>*</w:t>
      </w:r>
      <w:r w:rsidR="00D57F7F" w:rsidRPr="00A52AB8">
        <w:t> </w:t>
      </w:r>
      <w:r w:rsidR="0097333D" w:rsidRPr="00A52AB8">
        <w:t>64</w:t>
      </w:r>
      <w:r w:rsidR="0097333D" w:rsidRPr="00A52AB8">
        <w:br/>
      </w:r>
      <w:r w:rsidRPr="00A52AB8">
        <w:tab/>
      </w:r>
      <w:r w:rsidR="0097333D" w:rsidRPr="00A52AB8">
        <w:tab/>
        <w:t>NumPartitionRows</w:t>
      </w:r>
      <w:r w:rsidR="00D47707" w:rsidRPr="00A52AB8">
        <w:t> = </w:t>
      </w:r>
      <w:r w:rsidR="0097333D" w:rsidRPr="00A52AB8">
        <w:t>asps_frame_height / partitionHeight</w:t>
      </w:r>
      <w:r w:rsidR="0097333D" w:rsidRPr="00A52AB8">
        <w:br/>
      </w:r>
      <w:r w:rsidRPr="00A52AB8">
        <w:tab/>
      </w:r>
      <w:r w:rsidR="0097333D" w:rsidRPr="00A52AB8">
        <w:tab/>
        <w:t>PartitionPosY[ 0 ]</w:t>
      </w:r>
      <w:r w:rsidR="00D47707" w:rsidRPr="00A52AB8">
        <w:t> = </w:t>
      </w:r>
      <w:r w:rsidR="0097333D" w:rsidRPr="00A52AB8">
        <w:t>0</w:t>
      </w:r>
      <w:r w:rsidR="0097333D" w:rsidRPr="00A52AB8">
        <w:br/>
      </w:r>
      <w:r w:rsidRPr="00A52AB8">
        <w:tab/>
      </w:r>
      <w:r w:rsidR="0097333D" w:rsidRPr="00A52AB8">
        <w:tab/>
        <w:t>PartitionHeight[ 0 ]</w:t>
      </w:r>
      <w:r w:rsidR="00D47707" w:rsidRPr="00A52AB8">
        <w:t> = </w:t>
      </w:r>
      <w:r w:rsidR="0097333D" w:rsidRPr="00A52AB8">
        <w:t>partitionHeight</w:t>
      </w:r>
      <w:r w:rsidR="0097333D" w:rsidRPr="00A52AB8">
        <w:br/>
      </w:r>
      <w:r w:rsidRPr="00A52AB8">
        <w:tab/>
      </w:r>
      <w:r w:rsidR="0097333D" w:rsidRPr="00A52AB8">
        <w:tab/>
        <w:t>for( </w:t>
      </w:r>
      <w:r w:rsidR="00EE05BB" w:rsidRPr="00A52AB8">
        <w:t>j</w:t>
      </w:r>
      <w:r w:rsidR="00D47707" w:rsidRPr="00A52AB8">
        <w:t> = </w:t>
      </w:r>
      <w:r w:rsidR="0097333D" w:rsidRPr="00A52AB8">
        <w:t>1;</w:t>
      </w:r>
      <w:r w:rsidR="005A6FEF" w:rsidRPr="00A52AB8">
        <w:t> </w:t>
      </w:r>
      <w:r w:rsidR="00EE05BB" w:rsidRPr="00A52AB8">
        <w:t>j</w:t>
      </w:r>
      <w:r w:rsidR="005A6FEF" w:rsidRPr="00A52AB8">
        <w:t> </w:t>
      </w:r>
      <w:r w:rsidR="0097333D" w:rsidRPr="00A52AB8">
        <w:t>&lt;</w:t>
      </w:r>
      <w:r w:rsidR="005A6FEF" w:rsidRPr="00A52AB8">
        <w:t> </w:t>
      </w:r>
      <w:r w:rsidR="0097333D" w:rsidRPr="00A52AB8">
        <w:t>NumPartitionRows</w:t>
      </w:r>
      <w:r w:rsidR="005A6FEF" w:rsidRPr="00A52AB8">
        <w:t> </w:t>
      </w:r>
      <w:r w:rsidR="0097333D" w:rsidRPr="00A52AB8">
        <w:t>–</w:t>
      </w:r>
      <w:r w:rsidR="005A6FEF" w:rsidRPr="00A52AB8">
        <w:t> </w:t>
      </w:r>
      <w:r w:rsidR="0097333D" w:rsidRPr="00A52AB8">
        <w:t>1;</w:t>
      </w:r>
      <w:r w:rsidR="005A6FEF" w:rsidRPr="00A52AB8">
        <w:t> </w:t>
      </w:r>
      <w:r w:rsidR="00EE05BB" w:rsidRPr="00A52AB8">
        <w:t>j</w:t>
      </w:r>
      <w:r w:rsidR="00006CCF" w:rsidRPr="00A52AB8">
        <w:t>++ </w:t>
      </w:r>
      <w:r w:rsidR="008F1F82" w:rsidRPr="00A52AB8">
        <w:t>) {</w:t>
      </w:r>
      <w:r w:rsidR="0097333D" w:rsidRPr="00A52AB8">
        <w:br/>
      </w:r>
      <w:r w:rsidRPr="00A52AB8">
        <w:tab/>
      </w:r>
      <w:r w:rsidR="0097333D" w:rsidRPr="00A52AB8">
        <w:tab/>
      </w:r>
      <w:r w:rsidR="0097333D" w:rsidRPr="00A52AB8">
        <w:tab/>
        <w:t>PartitionPosY[ </w:t>
      </w:r>
      <w:r w:rsidR="00EE05BB" w:rsidRPr="00A52AB8">
        <w:t>j</w:t>
      </w:r>
      <w:r w:rsidR="0097333D" w:rsidRPr="00A52AB8">
        <w:t> ]</w:t>
      </w:r>
      <w:r w:rsidR="00D47707" w:rsidRPr="00A52AB8">
        <w:t> = </w:t>
      </w:r>
      <w:r w:rsidR="00A23B5E" w:rsidRPr="00A52AB8">
        <w:t>PartitionPos</w:t>
      </w:r>
      <w:r w:rsidR="00B92E93" w:rsidRPr="00A52AB8">
        <w:t>Y</w:t>
      </w:r>
      <w:r w:rsidR="00A23B5E" w:rsidRPr="00A52AB8">
        <w:t>[ </w:t>
      </w:r>
      <w:r w:rsidR="004F0B7A" w:rsidRPr="00A52AB8">
        <w:t>j</w:t>
      </w:r>
      <w:r w:rsidR="00A23B5E" w:rsidRPr="00A52AB8">
        <w:t> – 1 ] + PartitionHeight[ </w:t>
      </w:r>
      <w:r w:rsidR="009D6091" w:rsidRPr="00A52AB8">
        <w:t>j</w:t>
      </w:r>
      <w:r w:rsidR="00A23B5E" w:rsidRPr="00A52AB8">
        <w:t xml:space="preserve"> – 1 ] </w:t>
      </w:r>
      <w:r w:rsidR="0097333D" w:rsidRPr="00A52AB8">
        <w:br/>
      </w:r>
      <w:r w:rsidRPr="00A52AB8">
        <w:tab/>
      </w:r>
      <w:r w:rsidR="0097333D" w:rsidRPr="00A52AB8">
        <w:tab/>
      </w:r>
      <w:r w:rsidR="0097333D" w:rsidRPr="00A52AB8">
        <w:tab/>
        <w:t>PartitionHeight[ </w:t>
      </w:r>
      <w:r w:rsidR="00EE05BB" w:rsidRPr="00A52AB8">
        <w:t>j</w:t>
      </w:r>
      <w:r w:rsidR="0097333D" w:rsidRPr="00A52AB8">
        <w:t> ]</w:t>
      </w:r>
      <w:r w:rsidR="00D47707" w:rsidRPr="00A52AB8">
        <w:t> = </w:t>
      </w:r>
      <w:r w:rsidR="0097333D" w:rsidRPr="00A52AB8">
        <w:t>partitionHeight</w:t>
      </w:r>
      <w:r w:rsidR="0097333D" w:rsidRPr="00A52AB8">
        <w:br/>
      </w:r>
      <w:r w:rsidRPr="00A52AB8">
        <w:tab/>
      </w:r>
      <w:r w:rsidR="0097333D" w:rsidRPr="00A52AB8">
        <w:tab/>
        <w:t>}</w:t>
      </w:r>
      <w:r w:rsidR="0097333D" w:rsidRPr="00A52AB8">
        <w:br/>
      </w:r>
      <w:r w:rsidRPr="00A52AB8">
        <w:tab/>
      </w:r>
      <w:r w:rsidR="0023721F" w:rsidRPr="00A52AB8">
        <w:t>} else {</w:t>
      </w:r>
      <w:r w:rsidR="0097333D" w:rsidRPr="00A52AB8">
        <w:br/>
      </w:r>
      <w:r w:rsidRPr="00A52AB8">
        <w:tab/>
      </w:r>
      <w:r w:rsidR="0097333D" w:rsidRPr="00A52AB8">
        <w:tab/>
        <w:t>NumPartitionRows</w:t>
      </w:r>
      <w:r w:rsidR="00D47707" w:rsidRPr="00A52AB8">
        <w:t> = </w:t>
      </w:r>
      <w:r w:rsidR="0097333D" w:rsidRPr="00A52AB8">
        <w:t>afti_num_partition_rows_minus1 + 1</w:t>
      </w:r>
      <w:r w:rsidR="0097333D" w:rsidRPr="00A52AB8">
        <w:br/>
      </w:r>
      <w:r w:rsidRPr="00A52AB8">
        <w:tab/>
      </w:r>
      <w:r w:rsidR="0097333D" w:rsidRPr="00A52AB8">
        <w:tab/>
        <w:t>PartitionPosY[ 0 ]</w:t>
      </w:r>
      <w:r w:rsidR="00D47707" w:rsidRPr="00A52AB8">
        <w:t> = </w:t>
      </w:r>
      <w:r w:rsidR="0097333D" w:rsidRPr="00A52AB8">
        <w:t>0</w:t>
      </w:r>
      <w:r w:rsidR="0097333D" w:rsidRPr="00A52AB8">
        <w:br/>
      </w:r>
      <w:r w:rsidRPr="00A52AB8">
        <w:tab/>
      </w:r>
      <w:r w:rsidR="0097333D" w:rsidRPr="00A52AB8">
        <w:tab/>
        <w:t>PartitionHeight[ 0 ]</w:t>
      </w:r>
      <w:r w:rsidR="00D47707" w:rsidRPr="00A52AB8">
        <w:t> = </w:t>
      </w:r>
      <w:r w:rsidR="0097333D" w:rsidRPr="00A52AB8">
        <w:t>( afti_partition_row_height_minus1[ 0 ]</w:t>
      </w:r>
      <w:r w:rsidR="005A6FEF" w:rsidRPr="00A52AB8">
        <w:t> </w:t>
      </w:r>
      <w:r w:rsidR="0097333D" w:rsidRPr="00A52AB8">
        <w:t>+</w:t>
      </w:r>
      <w:r w:rsidR="005A6FEF" w:rsidRPr="00A52AB8">
        <w:t> </w:t>
      </w:r>
      <w:r w:rsidR="0097333D" w:rsidRPr="00A52AB8">
        <w:t>1 ) * 64</w:t>
      </w:r>
      <w:r w:rsidR="0097333D" w:rsidRPr="00A52AB8">
        <w:br/>
      </w:r>
      <w:r w:rsidRPr="00A52AB8">
        <w:tab/>
      </w:r>
      <w:r w:rsidR="0097333D" w:rsidRPr="00A52AB8">
        <w:tab/>
        <w:t>for( </w:t>
      </w:r>
      <w:r w:rsidR="00EE05BB" w:rsidRPr="00A52AB8">
        <w:t>j</w:t>
      </w:r>
      <w:r w:rsidR="00D47707" w:rsidRPr="00A52AB8">
        <w:t> = </w:t>
      </w:r>
      <w:r w:rsidR="0097333D" w:rsidRPr="00A52AB8">
        <w:t>1;</w:t>
      </w:r>
      <w:r w:rsidR="005A6FEF" w:rsidRPr="00A52AB8">
        <w:t> </w:t>
      </w:r>
      <w:r w:rsidR="00EE05BB" w:rsidRPr="00A52AB8">
        <w:t>j</w:t>
      </w:r>
      <w:r w:rsidR="005A6FEF" w:rsidRPr="00A52AB8">
        <w:t> </w:t>
      </w:r>
      <w:r w:rsidR="0097333D" w:rsidRPr="00A52AB8">
        <w:t>&lt;</w:t>
      </w:r>
      <w:r w:rsidR="005A6FEF" w:rsidRPr="00A52AB8">
        <w:t> </w:t>
      </w:r>
      <w:r w:rsidR="0097333D" w:rsidRPr="00A52AB8">
        <w:t>NumPartitionRows</w:t>
      </w:r>
      <w:r w:rsidR="005A6FEF" w:rsidRPr="00A52AB8">
        <w:t> </w:t>
      </w:r>
      <w:r w:rsidR="0097333D" w:rsidRPr="00A52AB8">
        <w:t>–</w:t>
      </w:r>
      <w:r w:rsidR="005A6FEF" w:rsidRPr="00A52AB8">
        <w:t> </w:t>
      </w:r>
      <w:r w:rsidR="0097333D" w:rsidRPr="00A52AB8">
        <w:t>1;</w:t>
      </w:r>
      <w:r w:rsidR="005A6FEF" w:rsidRPr="00A52AB8">
        <w:t> </w:t>
      </w:r>
      <w:r w:rsidR="00EE05BB" w:rsidRPr="00A52AB8">
        <w:t>j</w:t>
      </w:r>
      <w:r w:rsidR="00006CCF" w:rsidRPr="00A52AB8">
        <w:t>++ </w:t>
      </w:r>
      <w:r w:rsidR="008F1F82" w:rsidRPr="00A52AB8">
        <w:t>) {</w:t>
      </w:r>
      <w:r w:rsidR="0097333D" w:rsidRPr="00A52AB8">
        <w:br/>
      </w:r>
      <w:r w:rsidRPr="00A52AB8">
        <w:tab/>
      </w:r>
      <w:r w:rsidR="0097333D" w:rsidRPr="00A52AB8">
        <w:tab/>
      </w:r>
      <w:r w:rsidR="0097333D" w:rsidRPr="00A52AB8">
        <w:tab/>
        <w:t>PartitionPosY[</w:t>
      </w:r>
      <w:r w:rsidR="00EE05BB" w:rsidRPr="00A52AB8">
        <w:t> j </w:t>
      </w:r>
      <w:r w:rsidR="0097333D" w:rsidRPr="00A52AB8">
        <w:t>]</w:t>
      </w:r>
      <w:r w:rsidR="00D47707" w:rsidRPr="00A52AB8">
        <w:t> = </w:t>
      </w:r>
      <w:r w:rsidR="0097333D" w:rsidRPr="00A52AB8">
        <w:t>PartitionPosY[</w:t>
      </w:r>
      <w:r w:rsidR="00497629" w:rsidRPr="00A52AB8">
        <w:t> j </w:t>
      </w:r>
      <w:r w:rsidR="0041541E" w:rsidRPr="00A52AB8">
        <w:t>– 1 </w:t>
      </w:r>
      <w:r w:rsidR="0097333D" w:rsidRPr="00A52AB8">
        <w:t>]</w:t>
      </w:r>
      <w:r w:rsidR="00D57F7F" w:rsidRPr="00A52AB8">
        <w:t> </w:t>
      </w:r>
      <w:r w:rsidR="0097333D" w:rsidRPr="00A52AB8">
        <w:t>+</w:t>
      </w:r>
      <w:r w:rsidR="00D57F7F" w:rsidRPr="00A52AB8">
        <w:t> </w:t>
      </w:r>
      <w:r w:rsidR="0097333D" w:rsidRPr="00A52AB8">
        <w:t>PartitionHeight[</w:t>
      </w:r>
      <w:r w:rsidR="00461B80" w:rsidRPr="00A52AB8">
        <w:t> j </w:t>
      </w:r>
      <w:r w:rsidR="0097333D" w:rsidRPr="00A52AB8">
        <w:t>–</w:t>
      </w:r>
      <w:r w:rsidR="00461B80" w:rsidRPr="00A52AB8">
        <w:t> </w:t>
      </w:r>
      <w:r w:rsidR="0097333D" w:rsidRPr="00A52AB8">
        <w:t>1</w:t>
      </w:r>
      <w:r w:rsidR="00461B80" w:rsidRPr="00A52AB8">
        <w:t> </w:t>
      </w:r>
      <w:r w:rsidR="0097333D" w:rsidRPr="00A52AB8">
        <w:t>]</w:t>
      </w:r>
      <w:r w:rsidR="0097333D" w:rsidRPr="00A52AB8">
        <w:br/>
      </w:r>
      <w:r w:rsidRPr="00A52AB8">
        <w:tab/>
      </w:r>
      <w:r w:rsidR="0097333D" w:rsidRPr="00A52AB8">
        <w:tab/>
      </w:r>
      <w:r w:rsidR="0097333D" w:rsidRPr="00A52AB8">
        <w:tab/>
        <w:t>PartitionHeight[</w:t>
      </w:r>
      <w:r w:rsidR="00064999" w:rsidRPr="00A52AB8">
        <w:t> j </w:t>
      </w:r>
      <w:r w:rsidR="0097333D" w:rsidRPr="00A52AB8">
        <w:t>]</w:t>
      </w:r>
      <w:r w:rsidR="00D47707" w:rsidRPr="00A52AB8">
        <w:t> = </w:t>
      </w:r>
      <w:r w:rsidR="0097333D" w:rsidRPr="00A52AB8">
        <w:t>( afti_partition_row_height_minus1[ </w:t>
      </w:r>
      <w:r w:rsidR="00AD53B2" w:rsidRPr="00A52AB8">
        <w:t>j</w:t>
      </w:r>
      <w:r w:rsidR="0097333D" w:rsidRPr="00A52AB8">
        <w:t> ]</w:t>
      </w:r>
      <w:r w:rsidR="005A6FEF" w:rsidRPr="00A52AB8">
        <w:t> </w:t>
      </w:r>
      <w:r w:rsidR="0097333D" w:rsidRPr="00A52AB8">
        <w:t>+</w:t>
      </w:r>
      <w:r w:rsidR="005A6FEF" w:rsidRPr="00A52AB8">
        <w:t> </w:t>
      </w:r>
      <w:r w:rsidR="0097333D" w:rsidRPr="00A52AB8">
        <w:t>1 ) * 64</w:t>
      </w:r>
      <w:r w:rsidR="0097333D" w:rsidRPr="00A52AB8">
        <w:br/>
      </w:r>
      <w:r w:rsidRPr="00A52AB8">
        <w:tab/>
      </w:r>
      <w:r w:rsidR="0097333D" w:rsidRPr="00A52AB8">
        <w:tab/>
        <w:t>}</w:t>
      </w:r>
      <w:r w:rsidR="0097333D" w:rsidRPr="00A52AB8">
        <w:br/>
      </w:r>
      <w:r w:rsidRPr="00A52AB8">
        <w:tab/>
      </w:r>
      <w:r w:rsidR="0097333D" w:rsidRPr="00A52AB8">
        <w:t>}</w:t>
      </w:r>
      <w:r w:rsidR="00104F9E" w:rsidRPr="00A52AB8">
        <w:br/>
      </w:r>
      <w:r w:rsidRPr="00A52AB8">
        <w:tab/>
      </w:r>
      <w:r w:rsidR="00104F9E" w:rsidRPr="00A52AB8">
        <w:t>if(</w:t>
      </w:r>
      <w:r w:rsidR="0023721F" w:rsidRPr="00A52AB8">
        <w:t> </w:t>
      </w:r>
      <w:r w:rsidR="009226E2" w:rsidRPr="00A52AB8">
        <w:t>NumPartitionRows </w:t>
      </w:r>
      <w:r w:rsidR="00104F9E" w:rsidRPr="00A52AB8">
        <w:t>&gt;</w:t>
      </w:r>
      <w:r w:rsidR="0064583A" w:rsidRPr="00A52AB8">
        <w:t> </w:t>
      </w:r>
      <w:r w:rsidR="00104F9E" w:rsidRPr="00A52AB8">
        <w:t>1</w:t>
      </w:r>
      <w:r w:rsidR="0023721F" w:rsidRPr="00A52AB8">
        <w:t> </w:t>
      </w:r>
      <w:r w:rsidR="008F1F82" w:rsidRPr="00A52AB8">
        <w:t>) {</w:t>
      </w:r>
      <w:r w:rsidR="0097333D" w:rsidRPr="00A52AB8">
        <w:br/>
      </w:r>
      <w:r w:rsidR="0097333D" w:rsidRPr="00A52AB8">
        <w:tab/>
      </w:r>
      <w:r w:rsidRPr="00A52AB8">
        <w:tab/>
      </w:r>
      <w:r w:rsidR="0097333D" w:rsidRPr="00A52AB8">
        <w:t>PartitionPosY[</w:t>
      </w:r>
      <w:r w:rsidR="00FF72A4" w:rsidRPr="00A52AB8">
        <w:t> </w:t>
      </w:r>
      <w:r w:rsidR="005814A1" w:rsidRPr="00A52AB8">
        <w:t>NumPartitionRows</w:t>
      </w:r>
      <w:r w:rsidR="00FC7685" w:rsidRPr="00A52AB8">
        <w:t> </w:t>
      </w:r>
      <w:r w:rsidR="00153914" w:rsidRPr="00A52AB8">
        <w:t>–</w:t>
      </w:r>
      <w:r w:rsidR="0097333D" w:rsidRPr="00A52AB8">
        <w:t> 1</w:t>
      </w:r>
      <w:r w:rsidR="00153914" w:rsidRPr="00A52AB8">
        <w:t> </w:t>
      </w:r>
      <w:r w:rsidR="0097333D" w:rsidRPr="00A52AB8">
        <w:t>]</w:t>
      </w:r>
      <w:r w:rsidR="005A6FEF" w:rsidRPr="00A52AB8">
        <w:t> </w:t>
      </w:r>
      <w:r w:rsidR="0097333D" w:rsidRPr="00A52AB8">
        <w:t>=</w:t>
      </w:r>
      <w:r w:rsidR="00CA5401" w:rsidRPr="00A52AB8">
        <w:br/>
      </w:r>
      <w:r w:rsidR="00CA5401" w:rsidRPr="00A52AB8">
        <w:tab/>
      </w:r>
      <w:r w:rsidRPr="00A52AB8">
        <w:tab/>
      </w:r>
      <w:r w:rsidR="00CA5401" w:rsidRPr="00A52AB8">
        <w:tab/>
      </w:r>
      <w:r w:rsidR="0097333D" w:rsidRPr="00A52AB8">
        <w:t>PartitionPosY[</w:t>
      </w:r>
      <w:r w:rsidR="00D57F7F" w:rsidRPr="00A52AB8">
        <w:t> </w:t>
      </w:r>
      <w:r w:rsidR="0097333D" w:rsidRPr="00A52AB8">
        <w:t>NumPartitionRows</w:t>
      </w:r>
      <w:r w:rsidR="00EC7D4B" w:rsidRPr="00A52AB8">
        <w:t> </w:t>
      </w:r>
      <w:r w:rsidR="00D174DA" w:rsidRPr="00A52AB8">
        <w:t>–</w:t>
      </w:r>
      <w:r w:rsidR="00EC7D4B" w:rsidRPr="00A52AB8">
        <w:t> </w:t>
      </w:r>
      <w:r w:rsidR="0097333D" w:rsidRPr="00A52AB8">
        <w:t>2</w:t>
      </w:r>
      <w:r w:rsidR="00D174DA" w:rsidRPr="00A52AB8">
        <w:t> </w:t>
      </w:r>
      <w:r w:rsidR="0097333D" w:rsidRPr="00A52AB8">
        <w:t>]</w:t>
      </w:r>
      <w:r w:rsidR="00D57F7F" w:rsidRPr="00A52AB8">
        <w:t> </w:t>
      </w:r>
      <w:r w:rsidR="0097333D" w:rsidRPr="00A52AB8">
        <w:t>+</w:t>
      </w:r>
      <w:r w:rsidR="00D57F7F" w:rsidRPr="00A52AB8">
        <w:t> </w:t>
      </w:r>
      <w:r w:rsidR="0097333D" w:rsidRPr="00A52AB8">
        <w:t>partitionHeight[</w:t>
      </w:r>
      <w:r w:rsidR="00D57F7F" w:rsidRPr="00A52AB8">
        <w:t> </w:t>
      </w:r>
      <w:r w:rsidR="0097333D" w:rsidRPr="00A52AB8">
        <w:t>NumPartitionRows</w:t>
      </w:r>
      <w:r w:rsidR="001D70D1" w:rsidRPr="00A52AB8">
        <w:t> </w:t>
      </w:r>
      <w:r w:rsidR="00D174DA" w:rsidRPr="00A52AB8">
        <w:t>–</w:t>
      </w:r>
      <w:r w:rsidR="001D70D1" w:rsidRPr="00A52AB8">
        <w:t> </w:t>
      </w:r>
      <w:r w:rsidR="0097333D" w:rsidRPr="00A52AB8">
        <w:t>2</w:t>
      </w:r>
      <w:r w:rsidR="00D174DA" w:rsidRPr="00A52AB8">
        <w:t> </w:t>
      </w:r>
      <w:r w:rsidR="0097333D" w:rsidRPr="00A52AB8">
        <w:t>]</w:t>
      </w:r>
      <w:r w:rsidR="0097333D" w:rsidRPr="00A52AB8">
        <w:br/>
      </w:r>
      <w:r w:rsidR="0097333D" w:rsidRPr="00A52AB8">
        <w:tab/>
      </w:r>
      <w:r w:rsidRPr="00A52AB8">
        <w:tab/>
      </w:r>
      <w:r w:rsidR="0097333D" w:rsidRPr="00A52AB8">
        <w:t>PartitionHeight[</w:t>
      </w:r>
      <w:r w:rsidR="00AD5FCC" w:rsidRPr="00A52AB8">
        <w:t> </w:t>
      </w:r>
      <w:r w:rsidR="00613247" w:rsidRPr="00A52AB8">
        <w:t>NumPartitionRows </w:t>
      </w:r>
      <w:r w:rsidR="009F4698" w:rsidRPr="00A52AB8">
        <w:t>–</w:t>
      </w:r>
      <w:r w:rsidR="00613247" w:rsidRPr="00A52AB8">
        <w:t> 1</w:t>
      </w:r>
      <w:r w:rsidR="009F4698" w:rsidRPr="00A52AB8">
        <w:t> </w:t>
      </w:r>
      <w:r w:rsidR="0097333D" w:rsidRPr="00A52AB8">
        <w:t>]</w:t>
      </w:r>
      <w:r w:rsidR="0023721F" w:rsidRPr="00A52AB8">
        <w:t> </w:t>
      </w:r>
      <w:r w:rsidR="00D47707" w:rsidRPr="00A52AB8">
        <w:t>= </w:t>
      </w:r>
      <w:r w:rsidR="00CA5401" w:rsidRPr="00A52AB8">
        <w:br/>
      </w:r>
      <w:r w:rsidR="00CA5401" w:rsidRPr="00A52AB8">
        <w:tab/>
      </w:r>
      <w:r w:rsidRPr="00A52AB8">
        <w:tab/>
      </w:r>
      <w:r w:rsidR="00CA5401" w:rsidRPr="00A52AB8">
        <w:tab/>
      </w:r>
      <w:r w:rsidR="0097333D" w:rsidRPr="00A52AB8">
        <w:t>asps_frame_</w:t>
      </w:r>
      <w:r w:rsidR="0097333D" w:rsidRPr="00A52AB8">
        <w:rPr>
          <w:lang w:eastAsia="ja-JP"/>
        </w:rPr>
        <w:t>height </w:t>
      </w:r>
      <w:r w:rsidR="0097333D" w:rsidRPr="00A52AB8">
        <w:t>–</w:t>
      </w:r>
      <w:r w:rsidR="00D57F7F" w:rsidRPr="00A52AB8">
        <w:t> </w:t>
      </w:r>
      <w:r w:rsidR="0097333D" w:rsidRPr="00A52AB8">
        <w:t>PartitionPosY[</w:t>
      </w:r>
      <w:r w:rsidR="0077235E" w:rsidRPr="00A52AB8">
        <w:t> NumPartitionRows – </w:t>
      </w:r>
      <w:r w:rsidR="0097333D" w:rsidRPr="00A52AB8">
        <w:t>1</w:t>
      </w:r>
      <w:r w:rsidR="0077235E" w:rsidRPr="00A52AB8">
        <w:t> </w:t>
      </w:r>
      <w:r w:rsidR="0097333D" w:rsidRPr="00A52AB8">
        <w:t>]</w:t>
      </w:r>
      <w:r w:rsidR="00104F9E" w:rsidRPr="00A52AB8">
        <w:br/>
      </w:r>
      <w:r w:rsidRPr="00A52AB8">
        <w:tab/>
      </w:r>
      <w:r w:rsidR="00104F9E" w:rsidRPr="00A52AB8">
        <w:t>}</w:t>
      </w:r>
    </w:p>
    <w:p w14:paraId="6A1FF1B1" w14:textId="77777777" w:rsidR="0097333D" w:rsidRPr="00A52AB8" w:rsidRDefault="0097333D" w:rsidP="00F05A66">
      <w:pPr>
        <w:pStyle w:val="Equation"/>
        <w:tabs>
          <w:tab w:val="left" w:pos="403"/>
        </w:tabs>
        <w:jc w:val="both"/>
      </w:pPr>
      <w:r w:rsidRPr="00A52AB8">
        <w:rPr>
          <w:color w:val="000000" w:themeColor="text1"/>
        </w:rPr>
        <w:t>It is a requirement of bitstream conformance that the value</w:t>
      </w:r>
      <w:r w:rsidR="007E4DED" w:rsidRPr="00A52AB8">
        <w:rPr>
          <w:color w:val="000000" w:themeColor="text1"/>
        </w:rPr>
        <w:t>s</w:t>
      </w:r>
      <w:r w:rsidRPr="00A52AB8">
        <w:rPr>
          <w:color w:val="000000" w:themeColor="text1"/>
        </w:rPr>
        <w:t xml:space="preserve"> of partitionWidth[ i ] </w:t>
      </w:r>
      <w:r w:rsidRPr="00A52AB8">
        <w:t>for i ranging from 0 to NumPartitionColumns</w:t>
      </w:r>
      <w:r w:rsidR="00223712" w:rsidRPr="00A52AB8">
        <w:t> </w:t>
      </w:r>
      <w:r w:rsidR="00892B40" w:rsidRPr="00A52AB8">
        <w:t>–</w:t>
      </w:r>
      <w:r w:rsidR="00223712" w:rsidRPr="00A52AB8">
        <w:t> 1</w:t>
      </w:r>
      <w:r w:rsidR="0092738E" w:rsidRPr="00A52AB8">
        <w:t>,</w:t>
      </w:r>
      <w:r w:rsidR="00781B8A" w:rsidRPr="00A52AB8">
        <w:t xml:space="preserve"> </w:t>
      </w:r>
      <w:r w:rsidR="0092738E" w:rsidRPr="00A52AB8">
        <w:t>inclusive</w:t>
      </w:r>
      <w:r w:rsidR="00781B8A" w:rsidRPr="00A52AB8">
        <w:t>,</w:t>
      </w:r>
      <w:r w:rsidR="0092738E" w:rsidRPr="00A52AB8">
        <w:rPr>
          <w:color w:val="000000" w:themeColor="text1"/>
        </w:rPr>
        <w:t xml:space="preserve"> </w:t>
      </w:r>
      <w:r w:rsidRPr="00A52AB8">
        <w:rPr>
          <w:color w:val="000000" w:themeColor="text1"/>
        </w:rPr>
        <w:t>and partitionHeight[ j ]</w:t>
      </w:r>
      <w:r w:rsidRPr="00A52AB8">
        <w:t xml:space="preserve"> for j ranging from 0 to NumPartitionRows</w:t>
      </w:r>
      <w:r w:rsidR="00F556DF" w:rsidRPr="00A52AB8">
        <w:t> </w:t>
      </w:r>
      <w:r w:rsidR="00892B40" w:rsidRPr="00A52AB8">
        <w:t>–</w:t>
      </w:r>
      <w:r w:rsidR="00F556DF" w:rsidRPr="00A52AB8">
        <w:t> 1</w:t>
      </w:r>
      <w:r w:rsidR="00DC16CD" w:rsidRPr="00A52AB8">
        <w:t>, inclusive</w:t>
      </w:r>
      <w:r w:rsidR="00781B8A" w:rsidRPr="00A52AB8">
        <w:t>,</w:t>
      </w:r>
      <w:r w:rsidR="00DC16CD" w:rsidRPr="00A52AB8">
        <w:rPr>
          <w:color w:val="000000" w:themeColor="text1"/>
        </w:rPr>
        <w:t xml:space="preserve"> </w:t>
      </w:r>
      <w:r w:rsidRPr="00A52AB8">
        <w:rPr>
          <w:color w:val="000000" w:themeColor="text1"/>
        </w:rPr>
        <w:t xml:space="preserve">are greater </w:t>
      </w:r>
      <w:r w:rsidR="009F0596" w:rsidRPr="00A52AB8">
        <w:rPr>
          <w:color w:val="000000" w:themeColor="text1"/>
        </w:rPr>
        <w:t xml:space="preserve">than </w:t>
      </w:r>
      <w:r w:rsidRPr="00A52AB8">
        <w:rPr>
          <w:color w:val="000000" w:themeColor="text1"/>
        </w:rPr>
        <w:t>or equal to 64</w:t>
      </w:r>
      <w:r w:rsidR="00E806FA" w:rsidRPr="00A52AB8">
        <w:rPr>
          <w:color w:val="000000" w:themeColor="text1"/>
          <w:lang w:eastAsia="ja-JP"/>
        </w:rPr>
        <w:t xml:space="preserve"> and are</w:t>
      </w:r>
      <w:r w:rsidR="005D086B" w:rsidRPr="00A52AB8">
        <w:rPr>
          <w:color w:val="000000" w:themeColor="text1"/>
          <w:lang w:eastAsia="ja-JP"/>
        </w:rPr>
        <w:t xml:space="preserve"> multiple</w:t>
      </w:r>
      <w:r w:rsidR="00E806FA" w:rsidRPr="00A52AB8">
        <w:rPr>
          <w:color w:val="000000" w:themeColor="text1"/>
          <w:lang w:eastAsia="ja-JP"/>
        </w:rPr>
        <w:t>s</w:t>
      </w:r>
      <w:r w:rsidR="005D086B" w:rsidRPr="00A52AB8">
        <w:rPr>
          <w:color w:val="000000" w:themeColor="text1"/>
          <w:lang w:eastAsia="ja-JP"/>
        </w:rPr>
        <w:t xml:space="preserve"> of </w:t>
      </w:r>
      <w:r w:rsidR="00211ABD" w:rsidRPr="00A52AB8">
        <w:rPr>
          <w:color w:val="000000" w:themeColor="text1"/>
          <w:lang w:eastAsia="ja-JP"/>
        </w:rPr>
        <w:t>PatchPackingBlockSize.</w:t>
      </w:r>
    </w:p>
    <w:p w14:paraId="66881154" w14:textId="7C804A53" w:rsidR="00120E20" w:rsidRPr="00A52AB8" w:rsidRDefault="00120E20">
      <w:pPr>
        <w:pStyle w:val="Heading1"/>
        <w:rPr>
          <w:color w:val="000000" w:themeColor="text1"/>
        </w:rPr>
      </w:pPr>
      <w:bookmarkStart w:id="534" w:name="_Toc45105408"/>
      <w:bookmarkStart w:id="535" w:name="_Toc45530266"/>
      <w:bookmarkStart w:id="536" w:name="_Toc46301618"/>
      <w:bookmarkStart w:id="537" w:name="_Toc46302443"/>
      <w:bookmarkStart w:id="538" w:name="_Toc533167145"/>
      <w:bookmarkStart w:id="539" w:name="_Ref326740334"/>
      <w:bookmarkStart w:id="540" w:name="_Toc390728028"/>
      <w:bookmarkStart w:id="541" w:name="_Toc511952625"/>
      <w:bookmarkStart w:id="542" w:name="_Toc52181599"/>
      <w:bookmarkEnd w:id="508"/>
      <w:bookmarkEnd w:id="509"/>
      <w:bookmarkEnd w:id="510"/>
      <w:bookmarkEnd w:id="511"/>
      <w:bookmarkEnd w:id="512"/>
      <w:bookmarkEnd w:id="513"/>
      <w:bookmarkEnd w:id="514"/>
      <w:bookmarkEnd w:id="515"/>
      <w:bookmarkEnd w:id="516"/>
      <w:bookmarkEnd w:id="517"/>
      <w:bookmarkEnd w:id="518"/>
      <w:bookmarkEnd w:id="519"/>
      <w:bookmarkEnd w:id="534"/>
      <w:bookmarkEnd w:id="535"/>
      <w:bookmarkEnd w:id="536"/>
      <w:bookmarkEnd w:id="537"/>
      <w:bookmarkEnd w:id="538"/>
      <w:r w:rsidRPr="00A52AB8">
        <w:rPr>
          <w:color w:val="000000" w:themeColor="text1"/>
        </w:rPr>
        <w:t>Syntax and semantics</w:t>
      </w:r>
      <w:bookmarkEnd w:id="539"/>
      <w:bookmarkEnd w:id="540"/>
      <w:bookmarkEnd w:id="541"/>
      <w:bookmarkEnd w:id="542"/>
    </w:p>
    <w:p w14:paraId="0D0DB14A" w14:textId="2A0D3349" w:rsidR="00120E20" w:rsidRPr="00A52AB8" w:rsidRDefault="00120E20">
      <w:pPr>
        <w:pStyle w:val="Heading2"/>
        <w:rPr>
          <w:color w:val="000000" w:themeColor="text1"/>
        </w:rPr>
      </w:pPr>
      <w:bookmarkStart w:id="543" w:name="_Toc33005504"/>
      <w:bookmarkStart w:id="544" w:name="_Toc33005508"/>
      <w:bookmarkStart w:id="545" w:name="_Toc33005509"/>
      <w:bookmarkStart w:id="546" w:name="_Toc33005525"/>
      <w:bookmarkStart w:id="547" w:name="_Toc33005553"/>
      <w:bookmarkStart w:id="548" w:name="_Toc33005569"/>
      <w:bookmarkStart w:id="549" w:name="_Toc33005589"/>
      <w:bookmarkStart w:id="550" w:name="_Toc33005613"/>
      <w:bookmarkStart w:id="551" w:name="_Toc33005629"/>
      <w:bookmarkStart w:id="552" w:name="_Ref33101620"/>
      <w:bookmarkStart w:id="553" w:name="_Toc77680368"/>
      <w:bookmarkStart w:id="554" w:name="_Toc118289038"/>
      <w:bookmarkStart w:id="555" w:name="_Toc226456515"/>
      <w:bookmarkStart w:id="556" w:name="_Toc248045218"/>
      <w:bookmarkStart w:id="557" w:name="_Toc287363748"/>
      <w:bookmarkStart w:id="558" w:name="_Toc311216736"/>
      <w:bookmarkStart w:id="559" w:name="_Toc317198700"/>
      <w:bookmarkStart w:id="560" w:name="_Toc390728029"/>
      <w:bookmarkStart w:id="561" w:name="_Toc511952626"/>
      <w:bookmarkStart w:id="562" w:name="_Toc52181600"/>
      <w:bookmarkEnd w:id="543"/>
      <w:bookmarkEnd w:id="544"/>
      <w:bookmarkEnd w:id="545"/>
      <w:bookmarkEnd w:id="546"/>
      <w:bookmarkEnd w:id="547"/>
      <w:bookmarkEnd w:id="548"/>
      <w:bookmarkEnd w:id="549"/>
      <w:bookmarkEnd w:id="550"/>
      <w:bookmarkEnd w:id="551"/>
      <w:r w:rsidRPr="00A52AB8">
        <w:rPr>
          <w:color w:val="000000" w:themeColor="text1"/>
        </w:rPr>
        <w:t>Method of specifying syntax in tabular form</w:t>
      </w:r>
      <w:bookmarkEnd w:id="552"/>
      <w:bookmarkEnd w:id="553"/>
      <w:bookmarkEnd w:id="554"/>
      <w:bookmarkEnd w:id="555"/>
      <w:bookmarkEnd w:id="556"/>
      <w:bookmarkEnd w:id="557"/>
      <w:bookmarkEnd w:id="558"/>
      <w:bookmarkEnd w:id="559"/>
      <w:bookmarkEnd w:id="560"/>
      <w:bookmarkEnd w:id="561"/>
      <w:bookmarkEnd w:id="562"/>
    </w:p>
    <w:p w14:paraId="61571B54" w14:textId="77777777" w:rsidR="00120E20" w:rsidRPr="00A52AB8" w:rsidRDefault="00120E20">
      <w:pPr>
        <w:keepNext/>
        <w:rPr>
          <w:color w:val="000000" w:themeColor="text1"/>
        </w:rPr>
      </w:pPr>
      <w:r w:rsidRPr="00A52AB8">
        <w:rPr>
          <w:color w:val="000000" w:themeColor="text1"/>
        </w:rPr>
        <w:t>The syntax tables specify a superset of the syntax of all allowed bitstreams. Additional constraints on the syntax may be specified, either directly or indirectly, in other clauses.</w:t>
      </w:r>
    </w:p>
    <w:p w14:paraId="65C04F3D" w14:textId="77777777" w:rsidR="00120E20" w:rsidRPr="00A52AB8" w:rsidRDefault="00120E20">
      <w:pPr>
        <w:pStyle w:val="Note1"/>
        <w:spacing w:after="240"/>
        <w:ind w:left="289"/>
        <w:rPr>
          <w:rFonts w:ascii="Cambria" w:hAnsi="Cambria"/>
          <w:color w:val="000000" w:themeColor="text1"/>
        </w:rPr>
      </w:pPr>
      <w:r w:rsidRPr="00A52AB8">
        <w:rPr>
          <w:rFonts w:ascii="Cambria" w:hAnsi="Cambria"/>
          <w:color w:val="000000" w:themeColor="text1"/>
        </w:rPr>
        <w:t xml:space="preserve">NOTE – An actual decoder should implement some means for identifying entry points into the bitstream and some means to identify and handle non-conforming bitstreams. The methods for identifying and handling errors and other such situations are not specified in </w:t>
      </w:r>
      <w:r w:rsidR="001905CC" w:rsidRPr="00A52AB8">
        <w:rPr>
          <w:rFonts w:ascii="Cambria" w:hAnsi="Cambria"/>
          <w:color w:val="000000" w:themeColor="text1"/>
        </w:rPr>
        <w:t>this document</w:t>
      </w:r>
      <w:r w:rsidRPr="00A52AB8">
        <w:rPr>
          <w:rFonts w:ascii="Cambria" w:hAnsi="Cambria"/>
          <w:color w:val="000000" w:themeColor="text1"/>
        </w:rPr>
        <w:t>.</w:t>
      </w:r>
    </w:p>
    <w:p w14:paraId="1DACBC51" w14:textId="77777777" w:rsidR="00120E20" w:rsidRPr="00A52AB8" w:rsidRDefault="00120E20">
      <w:pPr>
        <w:rPr>
          <w:color w:val="000000" w:themeColor="text1"/>
        </w:rPr>
      </w:pPr>
      <w:r w:rsidRPr="00A52AB8">
        <w:rPr>
          <w:color w:val="000000" w:themeColor="text1"/>
        </w:rPr>
        <w:t xml:space="preserve">The following table lists examples of the syntax specification format. When </w:t>
      </w:r>
      <w:r w:rsidRPr="00A52AB8">
        <w:rPr>
          <w:b/>
          <w:bCs/>
          <w:color w:val="000000" w:themeColor="text1"/>
        </w:rPr>
        <w:t>syntax_element</w:t>
      </w:r>
      <w:r w:rsidRPr="00A52AB8">
        <w:rPr>
          <w:color w:val="000000" w:themeColor="text1"/>
        </w:rPr>
        <w:t xml:space="preserve"> appears, it specifies that a syntax element is parsed from the bitstream and the bitstream pointer is advanced to the next position beyond the syntax element in the bitstream parsing process.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920"/>
        <w:gridCol w:w="1252"/>
      </w:tblGrid>
      <w:tr w:rsidR="00120E20" w:rsidRPr="00A52AB8" w14:paraId="29D7FF38" w14:textId="77777777" w:rsidTr="00F05A66">
        <w:tc>
          <w:tcPr>
            <w:tcW w:w="7920" w:type="dxa"/>
            <w:tcBorders>
              <w:top w:val="single" w:sz="4" w:space="0" w:color="auto"/>
              <w:left w:val="single" w:sz="4" w:space="0" w:color="auto"/>
              <w:bottom w:val="single" w:sz="4" w:space="0" w:color="auto"/>
              <w:right w:val="single" w:sz="4" w:space="0" w:color="auto"/>
            </w:tcBorders>
          </w:tcPr>
          <w:p w14:paraId="06C12B26" w14:textId="77777777" w:rsidR="00120E20" w:rsidRPr="00A52AB8" w:rsidRDefault="00120E20">
            <w:pPr>
              <w:pStyle w:val="tablesyntax"/>
              <w:spacing w:before="20" w:after="40"/>
              <w:rPr>
                <w:rFonts w:ascii="Cambria" w:hAnsi="Cambria"/>
                <w:color w:val="000000" w:themeColor="text1"/>
              </w:rPr>
            </w:pPr>
          </w:p>
        </w:tc>
        <w:tc>
          <w:tcPr>
            <w:tcW w:w="1252" w:type="dxa"/>
            <w:tcBorders>
              <w:left w:val="single" w:sz="4" w:space="0" w:color="auto"/>
            </w:tcBorders>
          </w:tcPr>
          <w:p w14:paraId="3BA0FB5D" w14:textId="77777777" w:rsidR="00120E20" w:rsidRPr="00A52AB8" w:rsidRDefault="00120E20">
            <w:pPr>
              <w:pStyle w:val="tableheading"/>
              <w:keepLines w:val="0"/>
              <w:spacing w:before="20" w:after="40"/>
              <w:jc w:val="center"/>
              <w:rPr>
                <w:rFonts w:ascii="Cambria" w:hAnsi="Cambria"/>
                <w:color w:val="000000" w:themeColor="text1"/>
              </w:rPr>
            </w:pPr>
            <w:r w:rsidRPr="00A52AB8">
              <w:rPr>
                <w:rFonts w:ascii="Cambria" w:hAnsi="Cambria"/>
                <w:color w:val="000000" w:themeColor="text1"/>
              </w:rPr>
              <w:t>Descriptor</w:t>
            </w:r>
          </w:p>
        </w:tc>
      </w:tr>
      <w:tr w:rsidR="00120E20" w:rsidRPr="00A52AB8" w14:paraId="6FBDA891" w14:textId="77777777" w:rsidTr="00F05A66">
        <w:tc>
          <w:tcPr>
            <w:tcW w:w="7920" w:type="dxa"/>
            <w:tcBorders>
              <w:top w:val="single" w:sz="4" w:space="0" w:color="auto"/>
              <w:left w:val="single" w:sz="4" w:space="0" w:color="auto"/>
              <w:bottom w:val="single" w:sz="4" w:space="0" w:color="auto"/>
              <w:right w:val="single" w:sz="4" w:space="0" w:color="auto"/>
            </w:tcBorders>
          </w:tcPr>
          <w:p w14:paraId="5E66D86A" w14:textId="77777777" w:rsidR="00120E20" w:rsidRPr="00A52AB8" w:rsidRDefault="00120E20" w:rsidP="004F7C57">
            <w:pPr>
              <w:pStyle w:val="tablesyntax"/>
              <w:spacing w:before="20" w:after="40"/>
              <w:rPr>
                <w:rFonts w:ascii="Cambria" w:hAnsi="Cambria"/>
                <w:color w:val="000000" w:themeColor="text1"/>
              </w:rPr>
            </w:pPr>
            <w:r w:rsidRPr="00A52AB8">
              <w:rPr>
                <w:rFonts w:ascii="Cambria" w:hAnsi="Cambria"/>
                <w:color w:val="000000" w:themeColor="text1"/>
              </w:rPr>
              <w:t>/* A statement can be a syntax element with an associated descriptor or can be an expression used to specify conditions for the existence, type, and quantity of syntax elements, as in the following two examples */</w:t>
            </w:r>
          </w:p>
        </w:tc>
        <w:tc>
          <w:tcPr>
            <w:tcW w:w="1252" w:type="dxa"/>
            <w:tcBorders>
              <w:left w:val="single" w:sz="4" w:space="0" w:color="auto"/>
            </w:tcBorders>
          </w:tcPr>
          <w:p w14:paraId="2A8948E1" w14:textId="77777777" w:rsidR="00120E20" w:rsidRPr="00A52AB8" w:rsidRDefault="00120E20" w:rsidP="004F7C57">
            <w:pPr>
              <w:pStyle w:val="tablecell"/>
              <w:spacing w:before="20" w:after="40"/>
              <w:jc w:val="center"/>
              <w:rPr>
                <w:rFonts w:ascii="Cambria" w:hAnsi="Cambria"/>
                <w:color w:val="000000" w:themeColor="text1"/>
              </w:rPr>
            </w:pPr>
          </w:p>
        </w:tc>
      </w:tr>
      <w:tr w:rsidR="00120E20" w:rsidRPr="00A52AB8" w14:paraId="36313D56" w14:textId="77777777" w:rsidTr="00F05A66">
        <w:tc>
          <w:tcPr>
            <w:tcW w:w="7920" w:type="dxa"/>
            <w:tcBorders>
              <w:top w:val="single" w:sz="4" w:space="0" w:color="auto"/>
              <w:left w:val="single" w:sz="4" w:space="0" w:color="auto"/>
              <w:bottom w:val="single" w:sz="4" w:space="0" w:color="auto"/>
              <w:right w:val="single" w:sz="4" w:space="0" w:color="auto"/>
            </w:tcBorders>
          </w:tcPr>
          <w:p w14:paraId="59F8B1CB" w14:textId="77777777" w:rsidR="00120E20" w:rsidRPr="00A52AB8" w:rsidRDefault="00120E20" w:rsidP="004F7C57">
            <w:pPr>
              <w:pStyle w:val="tablesyntax"/>
              <w:spacing w:before="20" w:after="40"/>
              <w:rPr>
                <w:rFonts w:ascii="Cambria" w:hAnsi="Cambria"/>
                <w:b/>
                <w:color w:val="000000" w:themeColor="text1"/>
              </w:rPr>
            </w:pPr>
            <w:r w:rsidRPr="00A52AB8">
              <w:rPr>
                <w:rFonts w:ascii="Cambria" w:hAnsi="Cambria"/>
                <w:b/>
                <w:color w:val="000000" w:themeColor="text1"/>
              </w:rPr>
              <w:t>syntax_element</w:t>
            </w:r>
          </w:p>
        </w:tc>
        <w:tc>
          <w:tcPr>
            <w:tcW w:w="1252" w:type="dxa"/>
            <w:tcBorders>
              <w:left w:val="single" w:sz="4" w:space="0" w:color="auto"/>
            </w:tcBorders>
          </w:tcPr>
          <w:p w14:paraId="34C9A0F9" w14:textId="77777777" w:rsidR="00120E20" w:rsidRPr="00A52AB8" w:rsidRDefault="00120E20" w:rsidP="004F7C57">
            <w:pPr>
              <w:pStyle w:val="tablecell"/>
              <w:spacing w:before="20" w:after="40"/>
              <w:jc w:val="center"/>
              <w:rPr>
                <w:rFonts w:ascii="Cambria" w:hAnsi="Cambria"/>
                <w:color w:val="000000" w:themeColor="text1"/>
              </w:rPr>
            </w:pPr>
            <w:r w:rsidRPr="00A52AB8">
              <w:rPr>
                <w:rFonts w:ascii="Cambria" w:hAnsi="Cambria"/>
                <w:color w:val="000000" w:themeColor="text1"/>
              </w:rPr>
              <w:t>ue(v)</w:t>
            </w:r>
          </w:p>
        </w:tc>
      </w:tr>
      <w:tr w:rsidR="00120E20" w:rsidRPr="00A52AB8" w14:paraId="7940DC01" w14:textId="77777777" w:rsidTr="00F05A66">
        <w:tc>
          <w:tcPr>
            <w:tcW w:w="7920" w:type="dxa"/>
            <w:tcBorders>
              <w:top w:val="single" w:sz="4" w:space="0" w:color="auto"/>
              <w:left w:val="single" w:sz="4" w:space="0" w:color="auto"/>
              <w:bottom w:val="single" w:sz="4" w:space="0" w:color="auto"/>
              <w:right w:val="single" w:sz="4" w:space="0" w:color="auto"/>
            </w:tcBorders>
          </w:tcPr>
          <w:p w14:paraId="1A0ACDA8" w14:textId="77777777" w:rsidR="00120E20" w:rsidRPr="00A52AB8" w:rsidRDefault="00120E20" w:rsidP="004F7C57">
            <w:pPr>
              <w:pStyle w:val="tablesyntax"/>
              <w:spacing w:before="20" w:after="40"/>
              <w:rPr>
                <w:rFonts w:ascii="Cambria" w:hAnsi="Cambria"/>
                <w:color w:val="000000" w:themeColor="text1"/>
              </w:rPr>
            </w:pPr>
            <w:r w:rsidRPr="00A52AB8">
              <w:rPr>
                <w:rFonts w:ascii="Cambria" w:hAnsi="Cambria"/>
                <w:color w:val="000000" w:themeColor="text1"/>
              </w:rPr>
              <w:t>conditioning statement</w:t>
            </w:r>
          </w:p>
        </w:tc>
        <w:tc>
          <w:tcPr>
            <w:tcW w:w="1252" w:type="dxa"/>
            <w:tcBorders>
              <w:left w:val="single" w:sz="4" w:space="0" w:color="auto"/>
            </w:tcBorders>
          </w:tcPr>
          <w:p w14:paraId="2B806F76" w14:textId="77777777" w:rsidR="00120E20" w:rsidRPr="00A52AB8" w:rsidRDefault="00120E20" w:rsidP="004F7C57">
            <w:pPr>
              <w:pStyle w:val="tablecell"/>
              <w:spacing w:before="20" w:after="40"/>
              <w:jc w:val="center"/>
              <w:rPr>
                <w:rFonts w:ascii="Cambria" w:hAnsi="Cambria"/>
                <w:color w:val="000000" w:themeColor="text1"/>
              </w:rPr>
            </w:pPr>
          </w:p>
        </w:tc>
      </w:tr>
      <w:tr w:rsidR="00120E20" w:rsidRPr="00A52AB8" w14:paraId="7F7CEEAF" w14:textId="77777777" w:rsidTr="00F05A66">
        <w:tc>
          <w:tcPr>
            <w:tcW w:w="7920" w:type="dxa"/>
            <w:tcBorders>
              <w:top w:val="single" w:sz="4" w:space="0" w:color="auto"/>
              <w:left w:val="single" w:sz="4" w:space="0" w:color="auto"/>
              <w:bottom w:val="single" w:sz="4" w:space="0" w:color="auto"/>
              <w:right w:val="single" w:sz="4" w:space="0" w:color="auto"/>
            </w:tcBorders>
          </w:tcPr>
          <w:p w14:paraId="4844FFE9" w14:textId="77777777" w:rsidR="00120E20" w:rsidRPr="00A52AB8" w:rsidRDefault="00120E20" w:rsidP="004F7C57">
            <w:pPr>
              <w:pStyle w:val="tablesyntax"/>
              <w:spacing w:before="20" w:after="40"/>
              <w:rPr>
                <w:rFonts w:ascii="Cambria" w:hAnsi="Cambria"/>
                <w:color w:val="000000" w:themeColor="text1"/>
              </w:rPr>
            </w:pPr>
          </w:p>
        </w:tc>
        <w:tc>
          <w:tcPr>
            <w:tcW w:w="1252" w:type="dxa"/>
            <w:tcBorders>
              <w:left w:val="single" w:sz="4" w:space="0" w:color="auto"/>
            </w:tcBorders>
          </w:tcPr>
          <w:p w14:paraId="1A1A56B4" w14:textId="77777777" w:rsidR="00120E20" w:rsidRPr="00A52AB8" w:rsidRDefault="00120E20" w:rsidP="004F7C57">
            <w:pPr>
              <w:pStyle w:val="tablecell"/>
              <w:spacing w:before="20" w:after="40"/>
              <w:jc w:val="center"/>
              <w:rPr>
                <w:rFonts w:ascii="Cambria" w:hAnsi="Cambria"/>
                <w:color w:val="000000" w:themeColor="text1"/>
              </w:rPr>
            </w:pPr>
          </w:p>
        </w:tc>
      </w:tr>
      <w:tr w:rsidR="00120E20" w:rsidRPr="00A52AB8" w14:paraId="104C1C3A" w14:textId="77777777" w:rsidTr="00F05A66">
        <w:tc>
          <w:tcPr>
            <w:tcW w:w="7920" w:type="dxa"/>
            <w:tcBorders>
              <w:top w:val="single" w:sz="4" w:space="0" w:color="auto"/>
              <w:left w:val="single" w:sz="4" w:space="0" w:color="auto"/>
              <w:bottom w:val="single" w:sz="4" w:space="0" w:color="auto"/>
              <w:right w:val="single" w:sz="4" w:space="0" w:color="auto"/>
            </w:tcBorders>
          </w:tcPr>
          <w:p w14:paraId="76DDB1B9" w14:textId="77777777" w:rsidR="00120E20" w:rsidRPr="00A52AB8" w:rsidRDefault="00120E20" w:rsidP="004F7C57">
            <w:pPr>
              <w:pStyle w:val="tablesyntax"/>
              <w:spacing w:before="20" w:after="40"/>
              <w:rPr>
                <w:rFonts w:ascii="Cambria" w:hAnsi="Cambria"/>
                <w:color w:val="000000" w:themeColor="text1"/>
              </w:rPr>
            </w:pPr>
            <w:r w:rsidRPr="00A52AB8">
              <w:rPr>
                <w:rFonts w:ascii="Cambria" w:hAnsi="Cambria"/>
                <w:color w:val="000000" w:themeColor="text1"/>
              </w:rPr>
              <w:t>/* A group of statements enclosed in curly brackets is a compound statement and is treated functionally as a single statement. */</w:t>
            </w:r>
          </w:p>
        </w:tc>
        <w:tc>
          <w:tcPr>
            <w:tcW w:w="1252" w:type="dxa"/>
            <w:tcBorders>
              <w:left w:val="single" w:sz="4" w:space="0" w:color="auto"/>
            </w:tcBorders>
          </w:tcPr>
          <w:p w14:paraId="31F7F3AE" w14:textId="77777777" w:rsidR="00120E20" w:rsidRPr="00A52AB8" w:rsidRDefault="00120E20" w:rsidP="004F7C57">
            <w:pPr>
              <w:pStyle w:val="tablecell"/>
              <w:spacing w:before="20" w:after="40"/>
              <w:jc w:val="center"/>
              <w:rPr>
                <w:rFonts w:ascii="Cambria" w:hAnsi="Cambria"/>
                <w:color w:val="000000" w:themeColor="text1"/>
              </w:rPr>
            </w:pPr>
          </w:p>
        </w:tc>
      </w:tr>
      <w:tr w:rsidR="00120E20" w:rsidRPr="00A52AB8" w14:paraId="1A3FC761" w14:textId="77777777" w:rsidTr="00F05A66">
        <w:tc>
          <w:tcPr>
            <w:tcW w:w="7920" w:type="dxa"/>
            <w:tcBorders>
              <w:top w:val="single" w:sz="4" w:space="0" w:color="auto"/>
              <w:left w:val="single" w:sz="4" w:space="0" w:color="auto"/>
              <w:bottom w:val="single" w:sz="4" w:space="0" w:color="auto"/>
              <w:right w:val="single" w:sz="4" w:space="0" w:color="auto"/>
            </w:tcBorders>
          </w:tcPr>
          <w:p w14:paraId="52E39185" w14:textId="77777777" w:rsidR="00120E20" w:rsidRPr="00A52AB8" w:rsidRDefault="00120E20" w:rsidP="004F7C57">
            <w:pPr>
              <w:pStyle w:val="tablesyntax"/>
              <w:spacing w:before="20" w:after="40"/>
              <w:rPr>
                <w:rFonts w:ascii="Cambria" w:hAnsi="Cambria"/>
                <w:color w:val="000000" w:themeColor="text1"/>
              </w:rPr>
            </w:pPr>
            <w:r w:rsidRPr="00A52AB8">
              <w:rPr>
                <w:rFonts w:ascii="Cambria" w:hAnsi="Cambria"/>
                <w:color w:val="000000" w:themeColor="text1"/>
              </w:rPr>
              <w:t>{</w:t>
            </w:r>
          </w:p>
        </w:tc>
        <w:tc>
          <w:tcPr>
            <w:tcW w:w="1252" w:type="dxa"/>
            <w:tcBorders>
              <w:left w:val="single" w:sz="4" w:space="0" w:color="auto"/>
            </w:tcBorders>
          </w:tcPr>
          <w:p w14:paraId="7F527AD9" w14:textId="77777777" w:rsidR="00120E20" w:rsidRPr="00A52AB8" w:rsidRDefault="00120E20" w:rsidP="004F7C57">
            <w:pPr>
              <w:pStyle w:val="tablecell"/>
              <w:spacing w:before="20" w:after="40"/>
              <w:jc w:val="center"/>
              <w:rPr>
                <w:rFonts w:ascii="Cambria" w:hAnsi="Cambria"/>
                <w:color w:val="000000" w:themeColor="text1"/>
              </w:rPr>
            </w:pPr>
          </w:p>
        </w:tc>
      </w:tr>
      <w:tr w:rsidR="00120E20" w:rsidRPr="00A52AB8" w14:paraId="0D15D02F" w14:textId="77777777" w:rsidTr="00F05A66">
        <w:tc>
          <w:tcPr>
            <w:tcW w:w="7920" w:type="dxa"/>
            <w:tcBorders>
              <w:top w:val="single" w:sz="4" w:space="0" w:color="auto"/>
              <w:left w:val="single" w:sz="4" w:space="0" w:color="auto"/>
              <w:bottom w:val="single" w:sz="4" w:space="0" w:color="auto"/>
              <w:right w:val="single" w:sz="4" w:space="0" w:color="auto"/>
            </w:tcBorders>
          </w:tcPr>
          <w:p w14:paraId="1BD0811F" w14:textId="77777777" w:rsidR="00120E20" w:rsidRPr="00A52AB8" w:rsidRDefault="00120E20" w:rsidP="004F7C57">
            <w:pPr>
              <w:pStyle w:val="tablesyntax"/>
              <w:spacing w:before="20" w:after="40"/>
              <w:rPr>
                <w:rFonts w:ascii="Cambria" w:hAnsi="Cambria"/>
                <w:color w:val="000000" w:themeColor="text1"/>
              </w:rPr>
            </w:pPr>
            <w:r w:rsidRPr="00A52AB8">
              <w:rPr>
                <w:rFonts w:ascii="Cambria" w:hAnsi="Cambria"/>
                <w:color w:val="000000" w:themeColor="text1"/>
              </w:rPr>
              <w:tab/>
              <w:t>statement</w:t>
            </w:r>
          </w:p>
        </w:tc>
        <w:tc>
          <w:tcPr>
            <w:tcW w:w="1252" w:type="dxa"/>
            <w:tcBorders>
              <w:left w:val="single" w:sz="4" w:space="0" w:color="auto"/>
            </w:tcBorders>
          </w:tcPr>
          <w:p w14:paraId="28F65489" w14:textId="77777777" w:rsidR="00120E20" w:rsidRPr="00A52AB8" w:rsidRDefault="00120E20" w:rsidP="004F7C57">
            <w:pPr>
              <w:pStyle w:val="tablecell"/>
              <w:spacing w:before="20" w:after="40"/>
              <w:jc w:val="center"/>
              <w:rPr>
                <w:rFonts w:ascii="Cambria" w:hAnsi="Cambria"/>
                <w:color w:val="000000" w:themeColor="text1"/>
              </w:rPr>
            </w:pPr>
          </w:p>
        </w:tc>
      </w:tr>
      <w:tr w:rsidR="00120E20" w:rsidRPr="00A52AB8" w14:paraId="134EFDA9" w14:textId="77777777" w:rsidTr="00F05A66">
        <w:tc>
          <w:tcPr>
            <w:tcW w:w="7920" w:type="dxa"/>
            <w:tcBorders>
              <w:top w:val="single" w:sz="4" w:space="0" w:color="auto"/>
              <w:left w:val="single" w:sz="4" w:space="0" w:color="auto"/>
              <w:bottom w:val="single" w:sz="4" w:space="0" w:color="auto"/>
              <w:right w:val="single" w:sz="4" w:space="0" w:color="auto"/>
            </w:tcBorders>
          </w:tcPr>
          <w:p w14:paraId="18E04855" w14:textId="77777777" w:rsidR="00120E20" w:rsidRPr="00A52AB8" w:rsidRDefault="00120E20" w:rsidP="004F7C57">
            <w:pPr>
              <w:pStyle w:val="tablesyntax"/>
              <w:spacing w:before="20" w:after="40"/>
              <w:rPr>
                <w:rFonts w:ascii="Cambria" w:hAnsi="Cambria"/>
                <w:color w:val="000000" w:themeColor="text1"/>
              </w:rPr>
            </w:pPr>
            <w:r w:rsidRPr="00A52AB8">
              <w:rPr>
                <w:rFonts w:ascii="Cambria" w:hAnsi="Cambria"/>
                <w:color w:val="000000" w:themeColor="text1"/>
              </w:rPr>
              <w:tab/>
              <w:t>statement</w:t>
            </w:r>
          </w:p>
        </w:tc>
        <w:tc>
          <w:tcPr>
            <w:tcW w:w="1252" w:type="dxa"/>
            <w:tcBorders>
              <w:left w:val="single" w:sz="4" w:space="0" w:color="auto"/>
            </w:tcBorders>
          </w:tcPr>
          <w:p w14:paraId="6F43B3A0" w14:textId="77777777" w:rsidR="00120E20" w:rsidRPr="00A52AB8" w:rsidRDefault="00120E20" w:rsidP="004F7C57">
            <w:pPr>
              <w:pStyle w:val="tablecell"/>
              <w:spacing w:before="20" w:after="40"/>
              <w:jc w:val="center"/>
              <w:rPr>
                <w:rFonts w:ascii="Cambria" w:hAnsi="Cambria"/>
                <w:color w:val="000000" w:themeColor="text1"/>
              </w:rPr>
            </w:pPr>
          </w:p>
        </w:tc>
      </w:tr>
      <w:tr w:rsidR="00120E20" w:rsidRPr="00A52AB8" w14:paraId="32EF5C16" w14:textId="77777777" w:rsidTr="00F05A66">
        <w:tc>
          <w:tcPr>
            <w:tcW w:w="7920" w:type="dxa"/>
            <w:tcBorders>
              <w:top w:val="single" w:sz="4" w:space="0" w:color="auto"/>
              <w:left w:val="single" w:sz="4" w:space="0" w:color="auto"/>
              <w:bottom w:val="single" w:sz="4" w:space="0" w:color="auto"/>
              <w:right w:val="single" w:sz="4" w:space="0" w:color="auto"/>
            </w:tcBorders>
          </w:tcPr>
          <w:p w14:paraId="5865EBAC" w14:textId="77777777" w:rsidR="00120E20" w:rsidRPr="00A52AB8" w:rsidRDefault="00120E20" w:rsidP="004F7C57">
            <w:pPr>
              <w:pStyle w:val="tablesyntax"/>
              <w:spacing w:before="20" w:after="40"/>
              <w:rPr>
                <w:rFonts w:ascii="Cambria" w:hAnsi="Cambria"/>
                <w:color w:val="000000" w:themeColor="text1"/>
              </w:rPr>
            </w:pPr>
            <w:r w:rsidRPr="00A52AB8">
              <w:rPr>
                <w:rFonts w:ascii="Cambria" w:hAnsi="Cambria"/>
                <w:color w:val="000000" w:themeColor="text1"/>
              </w:rPr>
              <w:tab/>
              <w:t>...</w:t>
            </w:r>
          </w:p>
        </w:tc>
        <w:tc>
          <w:tcPr>
            <w:tcW w:w="1252" w:type="dxa"/>
            <w:tcBorders>
              <w:left w:val="single" w:sz="4" w:space="0" w:color="auto"/>
            </w:tcBorders>
          </w:tcPr>
          <w:p w14:paraId="590F16ED" w14:textId="77777777" w:rsidR="00120E20" w:rsidRPr="00A52AB8" w:rsidRDefault="00120E20" w:rsidP="004F7C57">
            <w:pPr>
              <w:pStyle w:val="tablecell"/>
              <w:spacing w:before="20" w:after="40"/>
              <w:jc w:val="center"/>
              <w:rPr>
                <w:rFonts w:ascii="Cambria" w:hAnsi="Cambria"/>
                <w:color w:val="000000" w:themeColor="text1"/>
              </w:rPr>
            </w:pPr>
          </w:p>
        </w:tc>
      </w:tr>
      <w:tr w:rsidR="00120E20" w:rsidRPr="00A52AB8" w14:paraId="621627B1" w14:textId="77777777" w:rsidTr="00F05A66">
        <w:tc>
          <w:tcPr>
            <w:tcW w:w="7920" w:type="dxa"/>
            <w:tcBorders>
              <w:top w:val="single" w:sz="4" w:space="0" w:color="auto"/>
              <w:left w:val="single" w:sz="4" w:space="0" w:color="auto"/>
              <w:bottom w:val="single" w:sz="4" w:space="0" w:color="auto"/>
              <w:right w:val="single" w:sz="4" w:space="0" w:color="auto"/>
            </w:tcBorders>
          </w:tcPr>
          <w:p w14:paraId="23AC979A" w14:textId="77777777" w:rsidR="00120E20" w:rsidRPr="00A52AB8" w:rsidRDefault="00120E20" w:rsidP="004F7C57">
            <w:pPr>
              <w:pStyle w:val="tablesyntax"/>
              <w:spacing w:before="20" w:after="40"/>
              <w:rPr>
                <w:rFonts w:ascii="Cambria" w:hAnsi="Cambria"/>
                <w:color w:val="000000" w:themeColor="text1"/>
              </w:rPr>
            </w:pPr>
            <w:r w:rsidRPr="00A52AB8">
              <w:rPr>
                <w:rFonts w:ascii="Cambria" w:hAnsi="Cambria"/>
                <w:color w:val="000000" w:themeColor="text1"/>
              </w:rPr>
              <w:t>}</w:t>
            </w:r>
          </w:p>
        </w:tc>
        <w:tc>
          <w:tcPr>
            <w:tcW w:w="1252" w:type="dxa"/>
            <w:tcBorders>
              <w:left w:val="single" w:sz="4" w:space="0" w:color="auto"/>
            </w:tcBorders>
          </w:tcPr>
          <w:p w14:paraId="2F40C018" w14:textId="77777777" w:rsidR="00120E20" w:rsidRPr="00A52AB8" w:rsidRDefault="00120E20" w:rsidP="004F7C57">
            <w:pPr>
              <w:pStyle w:val="tablecell"/>
              <w:spacing w:before="20" w:after="40"/>
              <w:jc w:val="center"/>
              <w:rPr>
                <w:rFonts w:ascii="Cambria" w:hAnsi="Cambria"/>
                <w:color w:val="000000" w:themeColor="text1"/>
              </w:rPr>
            </w:pPr>
          </w:p>
        </w:tc>
      </w:tr>
      <w:tr w:rsidR="00120E20" w:rsidRPr="00A52AB8" w14:paraId="19BF82FF" w14:textId="77777777" w:rsidTr="00F05A66">
        <w:tc>
          <w:tcPr>
            <w:tcW w:w="7920" w:type="dxa"/>
            <w:tcBorders>
              <w:top w:val="single" w:sz="4" w:space="0" w:color="auto"/>
              <w:left w:val="single" w:sz="4" w:space="0" w:color="auto"/>
              <w:bottom w:val="single" w:sz="4" w:space="0" w:color="auto"/>
              <w:right w:val="single" w:sz="4" w:space="0" w:color="auto"/>
            </w:tcBorders>
          </w:tcPr>
          <w:p w14:paraId="06FD9C61" w14:textId="77777777" w:rsidR="00120E20" w:rsidRPr="00A52AB8" w:rsidRDefault="00120E20" w:rsidP="004F7C57">
            <w:pPr>
              <w:pStyle w:val="tablesyntax"/>
              <w:spacing w:before="20" w:after="40"/>
              <w:rPr>
                <w:rFonts w:ascii="Cambria" w:hAnsi="Cambria"/>
                <w:color w:val="000000" w:themeColor="text1"/>
              </w:rPr>
            </w:pPr>
          </w:p>
        </w:tc>
        <w:tc>
          <w:tcPr>
            <w:tcW w:w="1252" w:type="dxa"/>
            <w:tcBorders>
              <w:left w:val="single" w:sz="4" w:space="0" w:color="auto"/>
            </w:tcBorders>
          </w:tcPr>
          <w:p w14:paraId="4A64D801" w14:textId="77777777" w:rsidR="00120E20" w:rsidRPr="00A52AB8" w:rsidRDefault="00120E20" w:rsidP="004F7C57">
            <w:pPr>
              <w:pStyle w:val="tablecell"/>
              <w:spacing w:before="20" w:after="40"/>
              <w:jc w:val="center"/>
              <w:rPr>
                <w:rFonts w:ascii="Cambria" w:hAnsi="Cambria"/>
                <w:color w:val="000000" w:themeColor="text1"/>
              </w:rPr>
            </w:pPr>
          </w:p>
        </w:tc>
      </w:tr>
      <w:tr w:rsidR="00120E20" w:rsidRPr="00A52AB8" w14:paraId="4A9C51D0" w14:textId="77777777" w:rsidTr="00F05A66">
        <w:tc>
          <w:tcPr>
            <w:tcW w:w="7920" w:type="dxa"/>
            <w:tcBorders>
              <w:top w:val="single" w:sz="4" w:space="0" w:color="auto"/>
              <w:left w:val="single" w:sz="4" w:space="0" w:color="auto"/>
              <w:bottom w:val="single" w:sz="4" w:space="0" w:color="auto"/>
              <w:right w:val="single" w:sz="4" w:space="0" w:color="auto"/>
            </w:tcBorders>
          </w:tcPr>
          <w:p w14:paraId="631121F0" w14:textId="77777777" w:rsidR="00120E20" w:rsidRPr="00A52AB8" w:rsidRDefault="00120E20" w:rsidP="004F7C57">
            <w:pPr>
              <w:pStyle w:val="tablesyntax"/>
              <w:spacing w:before="20" w:after="40"/>
              <w:rPr>
                <w:rFonts w:ascii="Cambria" w:hAnsi="Cambria"/>
                <w:color w:val="000000" w:themeColor="text1"/>
              </w:rPr>
            </w:pPr>
            <w:r w:rsidRPr="00A52AB8">
              <w:rPr>
                <w:rFonts w:ascii="Cambria" w:hAnsi="Cambria"/>
                <w:color w:val="000000" w:themeColor="text1"/>
              </w:rPr>
              <w:t>/* A "while" structure specifies a test of whether a condition is true, and if true, specifies evaluation of a statement (or compound statement) repeatedly until the condition is no longer true */</w:t>
            </w:r>
          </w:p>
        </w:tc>
        <w:tc>
          <w:tcPr>
            <w:tcW w:w="1252" w:type="dxa"/>
            <w:tcBorders>
              <w:left w:val="single" w:sz="4" w:space="0" w:color="auto"/>
            </w:tcBorders>
          </w:tcPr>
          <w:p w14:paraId="234FE1F6" w14:textId="77777777" w:rsidR="00120E20" w:rsidRPr="00A52AB8" w:rsidRDefault="00120E20" w:rsidP="004F7C57">
            <w:pPr>
              <w:pStyle w:val="tablecell"/>
              <w:spacing w:before="20" w:after="40"/>
              <w:jc w:val="center"/>
              <w:rPr>
                <w:rFonts w:ascii="Cambria" w:hAnsi="Cambria"/>
                <w:color w:val="000000" w:themeColor="text1"/>
              </w:rPr>
            </w:pPr>
          </w:p>
        </w:tc>
      </w:tr>
      <w:tr w:rsidR="00120E20" w:rsidRPr="00A52AB8" w14:paraId="5FE01B90" w14:textId="77777777" w:rsidTr="00F05A66">
        <w:tc>
          <w:tcPr>
            <w:tcW w:w="7920" w:type="dxa"/>
            <w:tcBorders>
              <w:top w:val="single" w:sz="4" w:space="0" w:color="auto"/>
              <w:left w:val="single" w:sz="4" w:space="0" w:color="auto"/>
              <w:bottom w:val="single" w:sz="4" w:space="0" w:color="auto"/>
              <w:right w:val="single" w:sz="4" w:space="0" w:color="auto"/>
            </w:tcBorders>
          </w:tcPr>
          <w:p w14:paraId="69FB8249" w14:textId="77777777" w:rsidR="00120E20" w:rsidRPr="00A52AB8" w:rsidRDefault="00120E20" w:rsidP="004F7C57">
            <w:pPr>
              <w:pStyle w:val="tablesyntax"/>
              <w:spacing w:before="20" w:after="40"/>
              <w:rPr>
                <w:rFonts w:ascii="Cambria" w:hAnsi="Cambria"/>
                <w:color w:val="000000" w:themeColor="text1"/>
              </w:rPr>
            </w:pPr>
            <w:r w:rsidRPr="00A52AB8">
              <w:rPr>
                <w:rFonts w:ascii="Cambria" w:hAnsi="Cambria"/>
                <w:color w:val="000000" w:themeColor="text1"/>
              </w:rPr>
              <w:t>while( condition )</w:t>
            </w:r>
          </w:p>
        </w:tc>
        <w:tc>
          <w:tcPr>
            <w:tcW w:w="1252" w:type="dxa"/>
            <w:tcBorders>
              <w:left w:val="single" w:sz="4" w:space="0" w:color="auto"/>
            </w:tcBorders>
          </w:tcPr>
          <w:p w14:paraId="70C20FAC" w14:textId="77777777" w:rsidR="00120E20" w:rsidRPr="00A52AB8" w:rsidRDefault="00120E20" w:rsidP="004F7C57">
            <w:pPr>
              <w:pStyle w:val="tablecell"/>
              <w:spacing w:before="20" w:after="40"/>
              <w:jc w:val="center"/>
              <w:rPr>
                <w:rFonts w:ascii="Cambria" w:hAnsi="Cambria"/>
                <w:color w:val="000000" w:themeColor="text1"/>
              </w:rPr>
            </w:pPr>
          </w:p>
        </w:tc>
      </w:tr>
      <w:tr w:rsidR="00120E20" w:rsidRPr="00A52AB8" w14:paraId="6F20546A" w14:textId="77777777" w:rsidTr="00F05A66">
        <w:tc>
          <w:tcPr>
            <w:tcW w:w="7920" w:type="dxa"/>
            <w:tcBorders>
              <w:top w:val="single" w:sz="4" w:space="0" w:color="auto"/>
              <w:left w:val="single" w:sz="4" w:space="0" w:color="auto"/>
              <w:bottom w:val="single" w:sz="4" w:space="0" w:color="auto"/>
              <w:right w:val="single" w:sz="4" w:space="0" w:color="auto"/>
            </w:tcBorders>
          </w:tcPr>
          <w:p w14:paraId="338E5AAD" w14:textId="77777777" w:rsidR="00120E20" w:rsidRPr="00A52AB8" w:rsidRDefault="00120E20" w:rsidP="004F7C57">
            <w:pPr>
              <w:pStyle w:val="tablesyntax"/>
              <w:spacing w:before="20" w:after="40"/>
              <w:rPr>
                <w:rFonts w:ascii="Cambria" w:hAnsi="Cambria"/>
                <w:color w:val="000000" w:themeColor="text1"/>
              </w:rPr>
            </w:pPr>
            <w:r w:rsidRPr="00A52AB8">
              <w:rPr>
                <w:rFonts w:ascii="Cambria" w:hAnsi="Cambria"/>
                <w:color w:val="000000" w:themeColor="text1"/>
              </w:rPr>
              <w:tab/>
              <w:t>statement</w:t>
            </w:r>
          </w:p>
        </w:tc>
        <w:tc>
          <w:tcPr>
            <w:tcW w:w="1252" w:type="dxa"/>
            <w:tcBorders>
              <w:left w:val="single" w:sz="4" w:space="0" w:color="auto"/>
            </w:tcBorders>
          </w:tcPr>
          <w:p w14:paraId="77395FE2" w14:textId="77777777" w:rsidR="00120E20" w:rsidRPr="00A52AB8" w:rsidRDefault="00120E20" w:rsidP="004F7C57">
            <w:pPr>
              <w:pStyle w:val="tablecell"/>
              <w:spacing w:before="20" w:after="40"/>
              <w:jc w:val="center"/>
              <w:rPr>
                <w:rFonts w:ascii="Cambria" w:hAnsi="Cambria"/>
                <w:color w:val="000000" w:themeColor="text1"/>
              </w:rPr>
            </w:pPr>
          </w:p>
        </w:tc>
      </w:tr>
      <w:tr w:rsidR="00120E20" w:rsidRPr="00A52AB8" w14:paraId="60217902" w14:textId="77777777" w:rsidTr="00F05A66">
        <w:tc>
          <w:tcPr>
            <w:tcW w:w="7920" w:type="dxa"/>
            <w:tcBorders>
              <w:top w:val="single" w:sz="4" w:space="0" w:color="auto"/>
              <w:left w:val="single" w:sz="4" w:space="0" w:color="auto"/>
              <w:bottom w:val="single" w:sz="4" w:space="0" w:color="auto"/>
              <w:right w:val="single" w:sz="4" w:space="0" w:color="auto"/>
            </w:tcBorders>
          </w:tcPr>
          <w:p w14:paraId="46535554" w14:textId="77777777" w:rsidR="00120E20" w:rsidRPr="00A52AB8" w:rsidRDefault="00120E20" w:rsidP="004F7C57">
            <w:pPr>
              <w:pStyle w:val="tablesyntax"/>
              <w:spacing w:before="20" w:after="40"/>
              <w:rPr>
                <w:rFonts w:ascii="Cambria" w:hAnsi="Cambria"/>
                <w:color w:val="000000" w:themeColor="text1"/>
              </w:rPr>
            </w:pPr>
          </w:p>
        </w:tc>
        <w:tc>
          <w:tcPr>
            <w:tcW w:w="1252" w:type="dxa"/>
            <w:tcBorders>
              <w:left w:val="single" w:sz="4" w:space="0" w:color="auto"/>
            </w:tcBorders>
          </w:tcPr>
          <w:p w14:paraId="05FD43DF" w14:textId="77777777" w:rsidR="00120E20" w:rsidRPr="00A52AB8" w:rsidRDefault="00120E20" w:rsidP="004F7C57">
            <w:pPr>
              <w:pStyle w:val="tablecell"/>
              <w:spacing w:before="20" w:after="40"/>
              <w:jc w:val="center"/>
              <w:rPr>
                <w:rFonts w:ascii="Cambria" w:hAnsi="Cambria"/>
                <w:color w:val="000000" w:themeColor="text1"/>
              </w:rPr>
            </w:pPr>
          </w:p>
        </w:tc>
      </w:tr>
      <w:tr w:rsidR="00120E20" w:rsidRPr="00A52AB8" w14:paraId="27A7E893" w14:textId="77777777" w:rsidTr="00F05A66">
        <w:tc>
          <w:tcPr>
            <w:tcW w:w="7920" w:type="dxa"/>
            <w:tcBorders>
              <w:top w:val="single" w:sz="4" w:space="0" w:color="auto"/>
              <w:left w:val="single" w:sz="4" w:space="0" w:color="auto"/>
              <w:bottom w:val="single" w:sz="4" w:space="0" w:color="auto"/>
              <w:right w:val="single" w:sz="4" w:space="0" w:color="auto"/>
            </w:tcBorders>
          </w:tcPr>
          <w:p w14:paraId="7F2C2800" w14:textId="77777777" w:rsidR="00120E20" w:rsidRPr="00A52AB8" w:rsidRDefault="00120E20" w:rsidP="004F7C57">
            <w:pPr>
              <w:pStyle w:val="tablesyntax"/>
              <w:spacing w:before="20" w:after="40"/>
              <w:rPr>
                <w:rFonts w:ascii="Cambria" w:hAnsi="Cambria"/>
                <w:color w:val="000000" w:themeColor="text1"/>
              </w:rPr>
            </w:pPr>
            <w:r w:rsidRPr="00A52AB8">
              <w:rPr>
                <w:rFonts w:ascii="Cambria" w:hAnsi="Cambria"/>
                <w:color w:val="000000" w:themeColor="text1"/>
              </w:rPr>
              <w:t>/* A "do ... while" structure specifies evaluation of a statement once, followed by a test of whether a condition is true, and if true, specifies repeated evaluation of the statement until the condition is no longer true */</w:t>
            </w:r>
          </w:p>
        </w:tc>
        <w:tc>
          <w:tcPr>
            <w:tcW w:w="1252" w:type="dxa"/>
            <w:tcBorders>
              <w:left w:val="single" w:sz="4" w:space="0" w:color="auto"/>
            </w:tcBorders>
          </w:tcPr>
          <w:p w14:paraId="5C0785E1" w14:textId="77777777" w:rsidR="00120E20" w:rsidRPr="00A52AB8" w:rsidRDefault="00120E20" w:rsidP="004F7C57">
            <w:pPr>
              <w:pStyle w:val="tablecell"/>
              <w:spacing w:before="20" w:after="40"/>
              <w:jc w:val="center"/>
              <w:rPr>
                <w:rFonts w:ascii="Cambria" w:hAnsi="Cambria"/>
                <w:color w:val="000000" w:themeColor="text1"/>
              </w:rPr>
            </w:pPr>
          </w:p>
        </w:tc>
      </w:tr>
      <w:tr w:rsidR="00120E20" w:rsidRPr="00A52AB8" w14:paraId="7D4D58C9" w14:textId="77777777" w:rsidTr="00F05A66">
        <w:tc>
          <w:tcPr>
            <w:tcW w:w="7920" w:type="dxa"/>
            <w:tcBorders>
              <w:top w:val="single" w:sz="4" w:space="0" w:color="auto"/>
              <w:left w:val="single" w:sz="4" w:space="0" w:color="auto"/>
              <w:bottom w:val="single" w:sz="4" w:space="0" w:color="auto"/>
              <w:right w:val="single" w:sz="4" w:space="0" w:color="auto"/>
            </w:tcBorders>
          </w:tcPr>
          <w:p w14:paraId="6F920F17" w14:textId="77777777" w:rsidR="00120E20" w:rsidRPr="00A52AB8" w:rsidRDefault="00120E20" w:rsidP="004F7C57">
            <w:pPr>
              <w:pStyle w:val="tablesyntax"/>
              <w:spacing w:before="20" w:after="40"/>
              <w:rPr>
                <w:rFonts w:ascii="Cambria" w:hAnsi="Cambria"/>
                <w:color w:val="000000" w:themeColor="text1"/>
              </w:rPr>
            </w:pPr>
            <w:r w:rsidRPr="00A52AB8">
              <w:rPr>
                <w:rFonts w:ascii="Cambria" w:hAnsi="Cambria"/>
                <w:color w:val="000000" w:themeColor="text1"/>
              </w:rPr>
              <w:t>do</w:t>
            </w:r>
          </w:p>
        </w:tc>
        <w:tc>
          <w:tcPr>
            <w:tcW w:w="1252" w:type="dxa"/>
            <w:tcBorders>
              <w:left w:val="single" w:sz="4" w:space="0" w:color="auto"/>
            </w:tcBorders>
          </w:tcPr>
          <w:p w14:paraId="5159CE54" w14:textId="77777777" w:rsidR="00120E20" w:rsidRPr="00A52AB8" w:rsidRDefault="00120E20" w:rsidP="004F7C57">
            <w:pPr>
              <w:pStyle w:val="tablecell"/>
              <w:spacing w:before="20" w:after="40"/>
              <w:jc w:val="center"/>
              <w:rPr>
                <w:rFonts w:ascii="Cambria" w:hAnsi="Cambria"/>
                <w:color w:val="000000" w:themeColor="text1"/>
              </w:rPr>
            </w:pPr>
          </w:p>
        </w:tc>
      </w:tr>
      <w:tr w:rsidR="00120E20" w:rsidRPr="00A52AB8" w14:paraId="13FCC543" w14:textId="77777777" w:rsidTr="00F05A66">
        <w:tc>
          <w:tcPr>
            <w:tcW w:w="7920" w:type="dxa"/>
            <w:tcBorders>
              <w:top w:val="single" w:sz="4" w:space="0" w:color="auto"/>
              <w:left w:val="single" w:sz="4" w:space="0" w:color="auto"/>
              <w:bottom w:val="single" w:sz="4" w:space="0" w:color="auto"/>
              <w:right w:val="single" w:sz="4" w:space="0" w:color="auto"/>
            </w:tcBorders>
          </w:tcPr>
          <w:p w14:paraId="1B5402EB" w14:textId="77777777" w:rsidR="00120E20" w:rsidRPr="00A52AB8" w:rsidRDefault="00120E20" w:rsidP="004F7C57">
            <w:pPr>
              <w:pStyle w:val="tablesyntax"/>
              <w:spacing w:before="20" w:after="40"/>
              <w:rPr>
                <w:rFonts w:ascii="Cambria" w:hAnsi="Cambria"/>
                <w:color w:val="000000" w:themeColor="text1"/>
              </w:rPr>
            </w:pPr>
            <w:r w:rsidRPr="00A52AB8">
              <w:rPr>
                <w:rFonts w:ascii="Cambria" w:hAnsi="Cambria"/>
                <w:color w:val="000000" w:themeColor="text1"/>
              </w:rPr>
              <w:tab/>
              <w:t>statement</w:t>
            </w:r>
          </w:p>
        </w:tc>
        <w:tc>
          <w:tcPr>
            <w:tcW w:w="1252" w:type="dxa"/>
            <w:tcBorders>
              <w:left w:val="single" w:sz="4" w:space="0" w:color="auto"/>
            </w:tcBorders>
          </w:tcPr>
          <w:p w14:paraId="0100BA6E" w14:textId="77777777" w:rsidR="00120E20" w:rsidRPr="00A52AB8" w:rsidRDefault="00120E20" w:rsidP="004F7C57">
            <w:pPr>
              <w:pStyle w:val="tablecell"/>
              <w:spacing w:before="20" w:after="40"/>
              <w:jc w:val="center"/>
              <w:rPr>
                <w:rFonts w:ascii="Cambria" w:hAnsi="Cambria"/>
                <w:color w:val="000000" w:themeColor="text1"/>
              </w:rPr>
            </w:pPr>
          </w:p>
        </w:tc>
      </w:tr>
      <w:tr w:rsidR="00120E20" w:rsidRPr="00A52AB8" w14:paraId="0A79B93E" w14:textId="77777777" w:rsidTr="00F05A66">
        <w:tc>
          <w:tcPr>
            <w:tcW w:w="7920" w:type="dxa"/>
            <w:tcBorders>
              <w:top w:val="single" w:sz="4" w:space="0" w:color="auto"/>
              <w:left w:val="single" w:sz="4" w:space="0" w:color="auto"/>
              <w:bottom w:val="single" w:sz="4" w:space="0" w:color="auto"/>
              <w:right w:val="single" w:sz="4" w:space="0" w:color="auto"/>
            </w:tcBorders>
          </w:tcPr>
          <w:p w14:paraId="632850C3" w14:textId="77777777" w:rsidR="00120E20" w:rsidRPr="00A52AB8" w:rsidRDefault="00120E20" w:rsidP="004F7C57">
            <w:pPr>
              <w:pStyle w:val="tablesyntax"/>
              <w:spacing w:before="20" w:after="40"/>
              <w:rPr>
                <w:rFonts w:ascii="Cambria" w:hAnsi="Cambria"/>
                <w:color w:val="000000" w:themeColor="text1"/>
              </w:rPr>
            </w:pPr>
            <w:r w:rsidRPr="00A52AB8">
              <w:rPr>
                <w:rFonts w:ascii="Cambria" w:hAnsi="Cambria"/>
                <w:color w:val="000000" w:themeColor="text1"/>
              </w:rPr>
              <w:t>while( condition )</w:t>
            </w:r>
          </w:p>
        </w:tc>
        <w:tc>
          <w:tcPr>
            <w:tcW w:w="1252" w:type="dxa"/>
            <w:tcBorders>
              <w:left w:val="single" w:sz="4" w:space="0" w:color="auto"/>
            </w:tcBorders>
          </w:tcPr>
          <w:p w14:paraId="1CAF41BD" w14:textId="77777777" w:rsidR="00120E20" w:rsidRPr="00A52AB8" w:rsidRDefault="00120E20" w:rsidP="004F7C57">
            <w:pPr>
              <w:pStyle w:val="tablecell"/>
              <w:spacing w:before="20" w:after="40"/>
              <w:jc w:val="center"/>
              <w:rPr>
                <w:rFonts w:ascii="Cambria" w:hAnsi="Cambria"/>
                <w:color w:val="000000" w:themeColor="text1"/>
              </w:rPr>
            </w:pPr>
          </w:p>
        </w:tc>
      </w:tr>
      <w:tr w:rsidR="00120E20" w:rsidRPr="00A52AB8" w14:paraId="78CA2F19" w14:textId="77777777" w:rsidTr="00F05A66">
        <w:tc>
          <w:tcPr>
            <w:tcW w:w="7920" w:type="dxa"/>
            <w:tcBorders>
              <w:top w:val="single" w:sz="4" w:space="0" w:color="auto"/>
              <w:left w:val="single" w:sz="4" w:space="0" w:color="auto"/>
              <w:bottom w:val="single" w:sz="4" w:space="0" w:color="auto"/>
              <w:right w:val="single" w:sz="4" w:space="0" w:color="auto"/>
            </w:tcBorders>
          </w:tcPr>
          <w:p w14:paraId="7AC4413B" w14:textId="77777777" w:rsidR="00120E20" w:rsidRPr="00A52AB8" w:rsidRDefault="00120E20" w:rsidP="004F7C57">
            <w:pPr>
              <w:pStyle w:val="tablesyntax"/>
              <w:spacing w:before="20" w:after="40"/>
              <w:rPr>
                <w:rFonts w:ascii="Cambria" w:hAnsi="Cambria"/>
                <w:color w:val="000000" w:themeColor="text1"/>
              </w:rPr>
            </w:pPr>
          </w:p>
        </w:tc>
        <w:tc>
          <w:tcPr>
            <w:tcW w:w="1252" w:type="dxa"/>
            <w:tcBorders>
              <w:left w:val="single" w:sz="4" w:space="0" w:color="auto"/>
            </w:tcBorders>
          </w:tcPr>
          <w:p w14:paraId="56078019" w14:textId="77777777" w:rsidR="00120E20" w:rsidRPr="00A52AB8" w:rsidRDefault="00120E20" w:rsidP="004F7C57">
            <w:pPr>
              <w:pStyle w:val="tablecell"/>
              <w:spacing w:before="20" w:after="40"/>
              <w:jc w:val="center"/>
              <w:rPr>
                <w:rFonts w:ascii="Cambria" w:hAnsi="Cambria"/>
                <w:color w:val="000000" w:themeColor="text1"/>
              </w:rPr>
            </w:pPr>
          </w:p>
        </w:tc>
      </w:tr>
      <w:tr w:rsidR="00120E20" w:rsidRPr="00A52AB8" w14:paraId="005E940D" w14:textId="77777777" w:rsidTr="00F05A66">
        <w:tc>
          <w:tcPr>
            <w:tcW w:w="7920" w:type="dxa"/>
            <w:tcBorders>
              <w:top w:val="single" w:sz="4" w:space="0" w:color="auto"/>
              <w:left w:val="single" w:sz="4" w:space="0" w:color="auto"/>
              <w:bottom w:val="single" w:sz="4" w:space="0" w:color="auto"/>
              <w:right w:val="single" w:sz="4" w:space="0" w:color="auto"/>
            </w:tcBorders>
          </w:tcPr>
          <w:p w14:paraId="7F7DC11F" w14:textId="77777777" w:rsidR="00120E20" w:rsidRPr="00A52AB8" w:rsidRDefault="00120E20" w:rsidP="004F7C57">
            <w:pPr>
              <w:pStyle w:val="tablesyntax"/>
              <w:spacing w:before="20" w:after="40"/>
              <w:rPr>
                <w:rFonts w:ascii="Cambria" w:hAnsi="Cambria"/>
                <w:color w:val="000000" w:themeColor="text1"/>
              </w:rPr>
            </w:pPr>
            <w:r w:rsidRPr="00A52AB8">
              <w:rPr>
                <w:rFonts w:ascii="Cambria" w:hAnsi="Cambria"/>
                <w:color w:val="000000" w:themeColor="text1"/>
              </w:rPr>
              <w:t>/* An "if ... else" structure specifies a test of whether a condition is true and, if the condition is true, specifies evaluation of a primary statement, otherwise, specifies evaluation of an alternative statement. The "else" part of the structure and the associated alternative statement is omitted if no alternative statement evaluation is needed */</w:t>
            </w:r>
          </w:p>
        </w:tc>
        <w:tc>
          <w:tcPr>
            <w:tcW w:w="1252" w:type="dxa"/>
            <w:tcBorders>
              <w:left w:val="single" w:sz="4" w:space="0" w:color="auto"/>
            </w:tcBorders>
          </w:tcPr>
          <w:p w14:paraId="1666C9F6" w14:textId="77777777" w:rsidR="00120E20" w:rsidRPr="00A52AB8" w:rsidRDefault="00120E20" w:rsidP="004F7C57">
            <w:pPr>
              <w:pStyle w:val="tablecell"/>
              <w:spacing w:before="20" w:after="40"/>
              <w:jc w:val="center"/>
              <w:rPr>
                <w:rFonts w:ascii="Cambria" w:hAnsi="Cambria"/>
                <w:color w:val="000000" w:themeColor="text1"/>
              </w:rPr>
            </w:pPr>
          </w:p>
        </w:tc>
      </w:tr>
      <w:tr w:rsidR="00120E20" w:rsidRPr="00A52AB8" w14:paraId="0EF77258" w14:textId="77777777" w:rsidTr="00F05A66">
        <w:tc>
          <w:tcPr>
            <w:tcW w:w="7920" w:type="dxa"/>
            <w:tcBorders>
              <w:top w:val="single" w:sz="4" w:space="0" w:color="auto"/>
              <w:left w:val="single" w:sz="4" w:space="0" w:color="auto"/>
              <w:bottom w:val="single" w:sz="4" w:space="0" w:color="auto"/>
              <w:right w:val="single" w:sz="4" w:space="0" w:color="auto"/>
            </w:tcBorders>
          </w:tcPr>
          <w:p w14:paraId="4762543F" w14:textId="77777777" w:rsidR="00120E20" w:rsidRPr="00A52AB8" w:rsidRDefault="00120E20" w:rsidP="004F7C57">
            <w:pPr>
              <w:pStyle w:val="tablesyntax"/>
              <w:spacing w:before="20" w:after="40"/>
              <w:rPr>
                <w:rFonts w:ascii="Cambria" w:hAnsi="Cambria"/>
                <w:color w:val="000000" w:themeColor="text1"/>
              </w:rPr>
            </w:pPr>
            <w:r w:rsidRPr="00A52AB8">
              <w:rPr>
                <w:rFonts w:ascii="Cambria" w:hAnsi="Cambria"/>
                <w:color w:val="000000" w:themeColor="text1"/>
              </w:rPr>
              <w:t>if( condition )</w:t>
            </w:r>
          </w:p>
        </w:tc>
        <w:tc>
          <w:tcPr>
            <w:tcW w:w="1252" w:type="dxa"/>
            <w:tcBorders>
              <w:left w:val="single" w:sz="4" w:space="0" w:color="auto"/>
            </w:tcBorders>
          </w:tcPr>
          <w:p w14:paraId="2246BE18" w14:textId="77777777" w:rsidR="00120E20" w:rsidRPr="00A52AB8" w:rsidRDefault="00120E20" w:rsidP="004F7C57">
            <w:pPr>
              <w:pStyle w:val="tablecell"/>
              <w:spacing w:before="20" w:after="40"/>
              <w:jc w:val="center"/>
              <w:rPr>
                <w:rFonts w:ascii="Cambria" w:hAnsi="Cambria"/>
                <w:color w:val="000000" w:themeColor="text1"/>
              </w:rPr>
            </w:pPr>
          </w:p>
        </w:tc>
      </w:tr>
      <w:tr w:rsidR="00120E20" w:rsidRPr="00A52AB8" w14:paraId="77514D8F" w14:textId="77777777" w:rsidTr="00F05A66">
        <w:tc>
          <w:tcPr>
            <w:tcW w:w="7920" w:type="dxa"/>
            <w:tcBorders>
              <w:top w:val="single" w:sz="4" w:space="0" w:color="auto"/>
              <w:left w:val="single" w:sz="4" w:space="0" w:color="auto"/>
              <w:bottom w:val="single" w:sz="4" w:space="0" w:color="auto"/>
              <w:right w:val="single" w:sz="4" w:space="0" w:color="auto"/>
            </w:tcBorders>
          </w:tcPr>
          <w:p w14:paraId="45EA425B" w14:textId="77777777" w:rsidR="00120E20" w:rsidRPr="00A52AB8" w:rsidRDefault="00120E20" w:rsidP="004F7C57">
            <w:pPr>
              <w:pStyle w:val="tablesyntax"/>
              <w:spacing w:before="20" w:after="40"/>
              <w:rPr>
                <w:rFonts w:ascii="Cambria" w:hAnsi="Cambria"/>
                <w:color w:val="000000" w:themeColor="text1"/>
              </w:rPr>
            </w:pPr>
            <w:r w:rsidRPr="00A52AB8">
              <w:rPr>
                <w:rFonts w:ascii="Cambria" w:hAnsi="Cambria"/>
                <w:color w:val="000000" w:themeColor="text1"/>
              </w:rPr>
              <w:tab/>
              <w:t>primary statement</w:t>
            </w:r>
          </w:p>
        </w:tc>
        <w:tc>
          <w:tcPr>
            <w:tcW w:w="1252" w:type="dxa"/>
            <w:tcBorders>
              <w:left w:val="single" w:sz="4" w:space="0" w:color="auto"/>
            </w:tcBorders>
          </w:tcPr>
          <w:p w14:paraId="4700733A" w14:textId="77777777" w:rsidR="00120E20" w:rsidRPr="00A52AB8" w:rsidRDefault="00120E20" w:rsidP="004F7C57">
            <w:pPr>
              <w:pStyle w:val="tablecell"/>
              <w:spacing w:before="20" w:after="40"/>
              <w:jc w:val="center"/>
              <w:rPr>
                <w:rFonts w:ascii="Cambria" w:hAnsi="Cambria"/>
                <w:color w:val="000000" w:themeColor="text1"/>
              </w:rPr>
            </w:pPr>
          </w:p>
        </w:tc>
      </w:tr>
      <w:tr w:rsidR="00120E20" w:rsidRPr="00A52AB8" w14:paraId="6282B164" w14:textId="77777777" w:rsidTr="00F05A66">
        <w:tc>
          <w:tcPr>
            <w:tcW w:w="7920" w:type="dxa"/>
            <w:tcBorders>
              <w:top w:val="single" w:sz="4" w:space="0" w:color="auto"/>
              <w:left w:val="single" w:sz="4" w:space="0" w:color="auto"/>
              <w:bottom w:val="single" w:sz="4" w:space="0" w:color="auto"/>
              <w:right w:val="single" w:sz="4" w:space="0" w:color="auto"/>
            </w:tcBorders>
          </w:tcPr>
          <w:p w14:paraId="051970D2" w14:textId="77777777" w:rsidR="00120E20" w:rsidRPr="00A52AB8" w:rsidRDefault="00120E20" w:rsidP="004F7C57">
            <w:pPr>
              <w:pStyle w:val="tablesyntax"/>
              <w:spacing w:before="20" w:after="40"/>
              <w:rPr>
                <w:rFonts w:ascii="Cambria" w:hAnsi="Cambria"/>
                <w:color w:val="000000" w:themeColor="text1"/>
              </w:rPr>
            </w:pPr>
            <w:r w:rsidRPr="00A52AB8">
              <w:rPr>
                <w:rFonts w:ascii="Cambria" w:hAnsi="Cambria"/>
                <w:color w:val="000000" w:themeColor="text1"/>
              </w:rPr>
              <w:t>else</w:t>
            </w:r>
          </w:p>
        </w:tc>
        <w:tc>
          <w:tcPr>
            <w:tcW w:w="1252" w:type="dxa"/>
            <w:tcBorders>
              <w:left w:val="single" w:sz="4" w:space="0" w:color="auto"/>
            </w:tcBorders>
          </w:tcPr>
          <w:p w14:paraId="3C09E428" w14:textId="77777777" w:rsidR="00120E20" w:rsidRPr="00A52AB8" w:rsidRDefault="00120E20" w:rsidP="004F7C57">
            <w:pPr>
              <w:pStyle w:val="tablecell"/>
              <w:spacing w:before="20" w:after="40"/>
              <w:jc w:val="center"/>
              <w:rPr>
                <w:rFonts w:ascii="Cambria" w:hAnsi="Cambria"/>
                <w:color w:val="000000" w:themeColor="text1"/>
              </w:rPr>
            </w:pPr>
          </w:p>
        </w:tc>
      </w:tr>
      <w:tr w:rsidR="00120E20" w:rsidRPr="00A52AB8" w14:paraId="3CAACF0B" w14:textId="77777777" w:rsidTr="00F05A66">
        <w:tc>
          <w:tcPr>
            <w:tcW w:w="7920" w:type="dxa"/>
            <w:tcBorders>
              <w:top w:val="single" w:sz="4" w:space="0" w:color="auto"/>
              <w:left w:val="single" w:sz="4" w:space="0" w:color="auto"/>
              <w:bottom w:val="single" w:sz="4" w:space="0" w:color="auto"/>
              <w:right w:val="single" w:sz="4" w:space="0" w:color="auto"/>
            </w:tcBorders>
          </w:tcPr>
          <w:p w14:paraId="4ADC2185" w14:textId="77777777" w:rsidR="00120E20" w:rsidRPr="00A52AB8" w:rsidRDefault="00120E20" w:rsidP="004F7C57">
            <w:pPr>
              <w:pStyle w:val="tablesyntax"/>
              <w:spacing w:before="20" w:after="40"/>
              <w:rPr>
                <w:rFonts w:ascii="Cambria" w:hAnsi="Cambria"/>
                <w:color w:val="000000" w:themeColor="text1"/>
              </w:rPr>
            </w:pPr>
            <w:r w:rsidRPr="00A52AB8">
              <w:rPr>
                <w:rFonts w:ascii="Cambria" w:hAnsi="Cambria"/>
                <w:color w:val="000000" w:themeColor="text1"/>
              </w:rPr>
              <w:tab/>
              <w:t>alternative statement</w:t>
            </w:r>
          </w:p>
        </w:tc>
        <w:tc>
          <w:tcPr>
            <w:tcW w:w="1252" w:type="dxa"/>
            <w:tcBorders>
              <w:left w:val="single" w:sz="4" w:space="0" w:color="auto"/>
            </w:tcBorders>
          </w:tcPr>
          <w:p w14:paraId="79FEBD23" w14:textId="77777777" w:rsidR="00120E20" w:rsidRPr="00A52AB8" w:rsidRDefault="00120E20" w:rsidP="004F7C57">
            <w:pPr>
              <w:pStyle w:val="tablecell"/>
              <w:spacing w:before="20" w:after="40"/>
              <w:jc w:val="center"/>
              <w:rPr>
                <w:rFonts w:ascii="Cambria" w:hAnsi="Cambria"/>
                <w:color w:val="000000" w:themeColor="text1"/>
              </w:rPr>
            </w:pPr>
          </w:p>
        </w:tc>
      </w:tr>
      <w:tr w:rsidR="00120E20" w:rsidRPr="00A52AB8" w14:paraId="5CB2C1E9" w14:textId="77777777" w:rsidTr="00F05A66">
        <w:tc>
          <w:tcPr>
            <w:tcW w:w="7920" w:type="dxa"/>
            <w:tcBorders>
              <w:top w:val="single" w:sz="4" w:space="0" w:color="auto"/>
              <w:left w:val="single" w:sz="4" w:space="0" w:color="auto"/>
              <w:bottom w:val="single" w:sz="4" w:space="0" w:color="auto"/>
              <w:right w:val="single" w:sz="4" w:space="0" w:color="auto"/>
            </w:tcBorders>
          </w:tcPr>
          <w:p w14:paraId="7FD59F0D" w14:textId="77777777" w:rsidR="00120E20" w:rsidRPr="00A52AB8" w:rsidRDefault="00120E20" w:rsidP="004F7C57">
            <w:pPr>
              <w:pStyle w:val="tablesyntax"/>
              <w:spacing w:before="20" w:after="40"/>
              <w:rPr>
                <w:rFonts w:ascii="Cambria" w:hAnsi="Cambria"/>
                <w:color w:val="000000" w:themeColor="text1"/>
              </w:rPr>
            </w:pPr>
          </w:p>
        </w:tc>
        <w:tc>
          <w:tcPr>
            <w:tcW w:w="1252" w:type="dxa"/>
            <w:tcBorders>
              <w:left w:val="single" w:sz="4" w:space="0" w:color="auto"/>
            </w:tcBorders>
          </w:tcPr>
          <w:p w14:paraId="4143AF8E" w14:textId="77777777" w:rsidR="00120E20" w:rsidRPr="00A52AB8" w:rsidRDefault="00120E20" w:rsidP="004F7C57">
            <w:pPr>
              <w:pStyle w:val="tablecell"/>
              <w:spacing w:before="20" w:after="40"/>
              <w:jc w:val="center"/>
              <w:rPr>
                <w:rFonts w:ascii="Cambria" w:hAnsi="Cambria"/>
                <w:color w:val="000000" w:themeColor="text1"/>
              </w:rPr>
            </w:pPr>
          </w:p>
        </w:tc>
      </w:tr>
      <w:tr w:rsidR="00120E20" w:rsidRPr="00A52AB8" w14:paraId="661F4E3A" w14:textId="77777777" w:rsidTr="00F05A66">
        <w:tc>
          <w:tcPr>
            <w:tcW w:w="7920" w:type="dxa"/>
            <w:tcBorders>
              <w:top w:val="single" w:sz="4" w:space="0" w:color="auto"/>
              <w:left w:val="single" w:sz="4" w:space="0" w:color="auto"/>
              <w:bottom w:val="single" w:sz="4" w:space="0" w:color="auto"/>
              <w:right w:val="single" w:sz="4" w:space="0" w:color="auto"/>
            </w:tcBorders>
          </w:tcPr>
          <w:p w14:paraId="50C5F3FD" w14:textId="77777777" w:rsidR="00120E20" w:rsidRPr="00A52AB8" w:rsidRDefault="00120E20" w:rsidP="004F7C57">
            <w:pPr>
              <w:pStyle w:val="tablesyntax"/>
              <w:spacing w:before="20" w:after="40"/>
              <w:rPr>
                <w:rFonts w:ascii="Cambria" w:hAnsi="Cambria"/>
                <w:color w:val="000000" w:themeColor="text1"/>
              </w:rPr>
            </w:pPr>
            <w:r w:rsidRPr="00A52AB8">
              <w:rPr>
                <w:rFonts w:ascii="Cambria" w:hAnsi="Cambria"/>
                <w:color w:val="000000" w:themeColor="text1"/>
              </w:rPr>
              <w:t>/* A "for" structure specifies evaluation of an initial statement, followed by a test of a condition, and if the condition is true, specifies repeated evaluation of a primary statement followed by a subsequent statement until the condition is no longer true. */</w:t>
            </w:r>
          </w:p>
        </w:tc>
        <w:tc>
          <w:tcPr>
            <w:tcW w:w="1252" w:type="dxa"/>
            <w:tcBorders>
              <w:left w:val="single" w:sz="4" w:space="0" w:color="auto"/>
            </w:tcBorders>
          </w:tcPr>
          <w:p w14:paraId="552E23C6" w14:textId="77777777" w:rsidR="00120E20" w:rsidRPr="00A52AB8" w:rsidRDefault="00120E20" w:rsidP="004F7C57">
            <w:pPr>
              <w:pStyle w:val="tablecell"/>
              <w:spacing w:before="20" w:after="40"/>
              <w:jc w:val="center"/>
              <w:rPr>
                <w:rFonts w:ascii="Cambria" w:hAnsi="Cambria"/>
                <w:color w:val="000000" w:themeColor="text1"/>
              </w:rPr>
            </w:pPr>
          </w:p>
        </w:tc>
      </w:tr>
      <w:tr w:rsidR="00120E20" w:rsidRPr="00A52AB8" w14:paraId="0F1752B2" w14:textId="77777777" w:rsidTr="00F05A66">
        <w:tc>
          <w:tcPr>
            <w:tcW w:w="7920" w:type="dxa"/>
            <w:tcBorders>
              <w:top w:val="single" w:sz="4" w:space="0" w:color="auto"/>
              <w:left w:val="single" w:sz="4" w:space="0" w:color="auto"/>
              <w:bottom w:val="single" w:sz="4" w:space="0" w:color="auto"/>
              <w:right w:val="single" w:sz="4" w:space="0" w:color="auto"/>
            </w:tcBorders>
          </w:tcPr>
          <w:p w14:paraId="5A08E51B" w14:textId="77777777" w:rsidR="00120E20" w:rsidRPr="00A52AB8" w:rsidRDefault="00120E20" w:rsidP="004F7C57">
            <w:pPr>
              <w:pStyle w:val="tablesyntax"/>
              <w:spacing w:before="20" w:after="40"/>
              <w:rPr>
                <w:rFonts w:ascii="Cambria" w:hAnsi="Cambria"/>
                <w:color w:val="000000" w:themeColor="text1"/>
              </w:rPr>
            </w:pPr>
            <w:r w:rsidRPr="00A52AB8">
              <w:rPr>
                <w:rFonts w:ascii="Cambria" w:hAnsi="Cambria"/>
                <w:color w:val="000000" w:themeColor="text1"/>
              </w:rPr>
              <w:t>for( initial statement; condition; subsequent statement )</w:t>
            </w:r>
          </w:p>
        </w:tc>
        <w:tc>
          <w:tcPr>
            <w:tcW w:w="1252" w:type="dxa"/>
            <w:tcBorders>
              <w:left w:val="single" w:sz="4" w:space="0" w:color="auto"/>
            </w:tcBorders>
          </w:tcPr>
          <w:p w14:paraId="224A1514" w14:textId="77777777" w:rsidR="00120E20" w:rsidRPr="00A52AB8" w:rsidRDefault="00120E20" w:rsidP="004F7C57">
            <w:pPr>
              <w:pStyle w:val="tablecell"/>
              <w:spacing w:before="20" w:after="40"/>
              <w:jc w:val="center"/>
              <w:rPr>
                <w:rFonts w:ascii="Cambria" w:hAnsi="Cambria"/>
                <w:color w:val="000000" w:themeColor="text1"/>
              </w:rPr>
            </w:pPr>
          </w:p>
        </w:tc>
      </w:tr>
      <w:tr w:rsidR="00120E20" w:rsidRPr="00A52AB8" w14:paraId="1A7BEB7A" w14:textId="77777777" w:rsidTr="00F05A66">
        <w:tc>
          <w:tcPr>
            <w:tcW w:w="7920" w:type="dxa"/>
            <w:tcBorders>
              <w:top w:val="single" w:sz="4" w:space="0" w:color="auto"/>
              <w:left w:val="single" w:sz="4" w:space="0" w:color="auto"/>
              <w:bottom w:val="single" w:sz="4" w:space="0" w:color="auto"/>
              <w:right w:val="single" w:sz="4" w:space="0" w:color="auto"/>
            </w:tcBorders>
          </w:tcPr>
          <w:p w14:paraId="0CCC3382" w14:textId="77777777" w:rsidR="00120E20" w:rsidRPr="00A52AB8" w:rsidRDefault="00120E20" w:rsidP="004F7C57">
            <w:pPr>
              <w:pStyle w:val="tablesyntax"/>
              <w:spacing w:before="20" w:after="40"/>
              <w:rPr>
                <w:rFonts w:ascii="Cambria" w:hAnsi="Cambria"/>
                <w:color w:val="000000" w:themeColor="text1"/>
              </w:rPr>
            </w:pPr>
            <w:r w:rsidRPr="00A52AB8">
              <w:rPr>
                <w:rFonts w:ascii="Cambria" w:hAnsi="Cambria"/>
                <w:color w:val="000000" w:themeColor="text1"/>
              </w:rPr>
              <w:tab/>
              <w:t>primary statement</w:t>
            </w:r>
          </w:p>
        </w:tc>
        <w:tc>
          <w:tcPr>
            <w:tcW w:w="1252" w:type="dxa"/>
            <w:tcBorders>
              <w:left w:val="single" w:sz="4" w:space="0" w:color="auto"/>
            </w:tcBorders>
          </w:tcPr>
          <w:p w14:paraId="10E0C896" w14:textId="77777777" w:rsidR="00120E20" w:rsidRPr="00A52AB8" w:rsidRDefault="00120E20" w:rsidP="004F7C57">
            <w:pPr>
              <w:pStyle w:val="tablecell"/>
              <w:spacing w:before="20" w:after="40"/>
              <w:jc w:val="center"/>
              <w:rPr>
                <w:rFonts w:ascii="Cambria" w:hAnsi="Cambria"/>
                <w:color w:val="000000" w:themeColor="text1"/>
              </w:rPr>
            </w:pPr>
          </w:p>
        </w:tc>
      </w:tr>
    </w:tbl>
    <w:p w14:paraId="1F0557A7" w14:textId="0CB23516" w:rsidR="00120E20" w:rsidRPr="00A52AB8" w:rsidRDefault="00120E20" w:rsidP="004F7C57">
      <w:pPr>
        <w:pStyle w:val="Heading2"/>
        <w:rPr>
          <w:color w:val="000000" w:themeColor="text1"/>
        </w:rPr>
      </w:pPr>
      <w:bookmarkStart w:id="563" w:name="_Toc20134239"/>
      <w:bookmarkStart w:id="564" w:name="_Ref33442712"/>
      <w:bookmarkStart w:id="565" w:name="_Toc77680369"/>
      <w:bookmarkStart w:id="566" w:name="_Toc118289039"/>
      <w:bookmarkStart w:id="567" w:name="_Ref168818615"/>
      <w:bookmarkStart w:id="568" w:name="_Ref196969106"/>
      <w:bookmarkStart w:id="569" w:name="_Ref220340855"/>
      <w:bookmarkStart w:id="570" w:name="_Toc226456516"/>
      <w:bookmarkStart w:id="571" w:name="_Toc248045219"/>
      <w:bookmarkStart w:id="572" w:name="_Toc287363749"/>
      <w:bookmarkStart w:id="573" w:name="_Toc311216737"/>
      <w:bookmarkStart w:id="574" w:name="_Ref316817924"/>
      <w:bookmarkStart w:id="575" w:name="_Toc317198701"/>
      <w:bookmarkStart w:id="576" w:name="_Toc390728030"/>
      <w:bookmarkStart w:id="577" w:name="_Toc511952627"/>
      <w:bookmarkStart w:id="578" w:name="_Ref38314045"/>
      <w:bookmarkStart w:id="579" w:name="_Ref46496050"/>
      <w:bookmarkStart w:id="580" w:name="_Toc52181601"/>
      <w:r w:rsidRPr="00A52AB8">
        <w:rPr>
          <w:color w:val="000000" w:themeColor="text1"/>
        </w:rPr>
        <w:t>Specification of syntax functions and descriptors</w:t>
      </w:r>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p>
    <w:p w14:paraId="2B005B37" w14:textId="5DA75263" w:rsidR="0049222F" w:rsidRPr="00A52AB8" w:rsidRDefault="00120E20" w:rsidP="00F05A66">
      <w:r w:rsidRPr="00A52AB8">
        <w:rPr>
          <w:color w:val="000000" w:themeColor="text1"/>
        </w:rPr>
        <w:t xml:space="preserve">The functions presented </w:t>
      </w:r>
      <w:r w:rsidR="006A1389" w:rsidRPr="00A52AB8">
        <w:rPr>
          <w:color w:val="000000" w:themeColor="text1"/>
        </w:rPr>
        <w:t>in subc</w:t>
      </w:r>
      <w:r w:rsidR="00B447EF" w:rsidRPr="00A52AB8">
        <w:rPr>
          <w:color w:val="000000" w:themeColor="text1"/>
        </w:rPr>
        <w:t xml:space="preserve">lause </w:t>
      </w:r>
      <w:r w:rsidR="00B447EF" w:rsidRPr="00496A4D">
        <w:rPr>
          <w:color w:val="000000" w:themeColor="text1"/>
        </w:rPr>
        <w:fldChar w:fldCharType="begin"/>
      </w:r>
      <w:r w:rsidR="00B447EF" w:rsidRPr="00A52AB8">
        <w:rPr>
          <w:color w:val="000000" w:themeColor="text1"/>
        </w:rPr>
        <w:instrText xml:space="preserve"> REF _Ref46496050 \n \h </w:instrText>
      </w:r>
      <w:r w:rsidR="006371AA" w:rsidRPr="00A52AB8">
        <w:rPr>
          <w:color w:val="000000" w:themeColor="text1"/>
        </w:rPr>
        <w:instrText xml:space="preserve"> \* MERGEFORMAT </w:instrText>
      </w:r>
      <w:r w:rsidR="00B447EF" w:rsidRPr="00496A4D">
        <w:rPr>
          <w:color w:val="000000" w:themeColor="text1"/>
        </w:rPr>
      </w:r>
      <w:r w:rsidR="00B447EF" w:rsidRPr="00496A4D">
        <w:rPr>
          <w:color w:val="000000" w:themeColor="text1"/>
        </w:rPr>
        <w:fldChar w:fldCharType="separate"/>
      </w:r>
      <w:r w:rsidR="00507A67">
        <w:rPr>
          <w:color w:val="000000" w:themeColor="text1"/>
        </w:rPr>
        <w:t>8.2</w:t>
      </w:r>
      <w:r w:rsidR="00B447EF" w:rsidRPr="00496A4D">
        <w:rPr>
          <w:color w:val="000000" w:themeColor="text1"/>
        </w:rPr>
        <w:fldChar w:fldCharType="end"/>
      </w:r>
      <w:r w:rsidR="006A1389" w:rsidRPr="00A52AB8">
        <w:rPr>
          <w:color w:val="000000" w:themeColor="text1"/>
        </w:rPr>
        <w:t xml:space="preserve"> </w:t>
      </w:r>
      <w:r w:rsidRPr="00A52AB8">
        <w:rPr>
          <w:color w:val="000000" w:themeColor="text1"/>
        </w:rPr>
        <w:t>are used in the syntactical description. These functions are expressed in terms of the value of a bitstream pointer that indicates the position of the next bit to be read by the decoding process from the bitstream.</w:t>
      </w:r>
    </w:p>
    <w:p w14:paraId="47B813A3" w14:textId="77777777" w:rsidR="00120E20" w:rsidRPr="00A52AB8" w:rsidRDefault="00120E20">
      <w:pPr>
        <w:keepNext/>
        <w:rPr>
          <w:color w:val="000000" w:themeColor="text1"/>
        </w:rPr>
      </w:pPr>
      <w:r w:rsidRPr="00A52AB8">
        <w:rPr>
          <w:color w:val="000000" w:themeColor="text1"/>
        </w:rPr>
        <w:lastRenderedPageBreak/>
        <w:t>byte_aligned( ) is specified as follows:</w:t>
      </w:r>
    </w:p>
    <w:p w14:paraId="7BD63911" w14:textId="69EAB921" w:rsidR="00120E20" w:rsidRPr="00A52AB8" w:rsidRDefault="00120E20"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If the current position in the bitstream is on a byte boundary, i.e. the next bit in the bitstream is the first bit in a byte, the return value of byte_aligned( ) is equal to TRUE.</w:t>
      </w:r>
    </w:p>
    <w:p w14:paraId="64582DBF" w14:textId="6CCD2491" w:rsidR="00120E20" w:rsidRPr="00A52AB8" w:rsidRDefault="00120E20"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Otherwise, the return value of byte_aligned( ) is equal to FALSE.</w:t>
      </w:r>
    </w:p>
    <w:p w14:paraId="25DFD9DF" w14:textId="4F91C540" w:rsidR="00562B9E" w:rsidRPr="00A52AB8" w:rsidRDefault="00562B9E">
      <w:pPr>
        <w:tabs>
          <w:tab w:val="left" w:pos="700"/>
        </w:tabs>
        <w:rPr>
          <w:color w:val="000000" w:themeColor="text1"/>
        </w:rPr>
      </w:pPr>
      <w:r w:rsidRPr="00A52AB8">
        <w:rPr>
          <w:color w:val="000000" w:themeColor="text1"/>
        </w:rPr>
        <w:t>more_data_in_payload(</w:t>
      </w:r>
      <w:r w:rsidR="00750334" w:rsidRPr="00A52AB8">
        <w:rPr>
          <w:color w:val="000000" w:themeColor="text1"/>
        </w:rPr>
        <w:t> </w:t>
      </w:r>
      <w:r w:rsidRPr="00A52AB8">
        <w:rPr>
          <w:color w:val="000000" w:themeColor="text1"/>
        </w:rPr>
        <w:t>) is specified as follows:</w:t>
      </w:r>
    </w:p>
    <w:p w14:paraId="17B5FF8E" w14:textId="7ECD65C8" w:rsidR="00562B9E" w:rsidRPr="00A52AB8" w:rsidRDefault="00562B9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If byte_aligned(</w:t>
      </w:r>
      <w:r w:rsidR="00750334" w:rsidRPr="00A52AB8">
        <w:rPr>
          <w:color w:val="000000" w:themeColor="text1"/>
        </w:rPr>
        <w:t> </w:t>
      </w:r>
      <w:r w:rsidRPr="00A52AB8">
        <w:rPr>
          <w:color w:val="000000" w:themeColor="text1"/>
        </w:rPr>
        <w:t>) is equal to TRUE and the current position in the sei_payload( ) syntax structure is 8</w:t>
      </w:r>
      <w:r w:rsidR="005D6932" w:rsidRPr="00A52AB8">
        <w:rPr>
          <w:color w:val="000000" w:themeColor="text1"/>
        </w:rPr>
        <w:t> </w:t>
      </w:r>
      <w:r w:rsidRPr="00A52AB8">
        <w:rPr>
          <w:color w:val="000000" w:themeColor="text1"/>
        </w:rPr>
        <w:t>*</w:t>
      </w:r>
      <w:r w:rsidR="005D6932" w:rsidRPr="00A52AB8">
        <w:rPr>
          <w:color w:val="000000" w:themeColor="text1"/>
        </w:rPr>
        <w:t> </w:t>
      </w:r>
      <w:r w:rsidRPr="00A52AB8">
        <w:rPr>
          <w:color w:val="000000" w:themeColor="text1"/>
        </w:rPr>
        <w:t>payloadSize bits from the beginning of the sei_payload( ) syntax structure, the return value of more_data_in_payload(</w:t>
      </w:r>
      <w:r w:rsidR="00750334" w:rsidRPr="00A52AB8">
        <w:rPr>
          <w:color w:val="000000" w:themeColor="text1"/>
        </w:rPr>
        <w:t> </w:t>
      </w:r>
      <w:r w:rsidRPr="00A52AB8">
        <w:rPr>
          <w:color w:val="000000" w:themeColor="text1"/>
        </w:rPr>
        <w:t>) is equal to FALSE.</w:t>
      </w:r>
    </w:p>
    <w:p w14:paraId="3C199F43" w14:textId="188F4C80" w:rsidR="00562B9E" w:rsidRPr="00A52AB8" w:rsidRDefault="00562B9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Otherwise, the return value of more_data_in_payload(</w:t>
      </w:r>
      <w:r w:rsidR="00750334" w:rsidRPr="00A52AB8">
        <w:rPr>
          <w:color w:val="000000" w:themeColor="text1"/>
        </w:rPr>
        <w:t> </w:t>
      </w:r>
      <w:r w:rsidRPr="00A52AB8">
        <w:rPr>
          <w:color w:val="000000" w:themeColor="text1"/>
        </w:rPr>
        <w:t>) is equal to TRUE.</w:t>
      </w:r>
    </w:p>
    <w:p w14:paraId="1654E95D" w14:textId="77777777" w:rsidR="0050235C" w:rsidRPr="00A52AB8" w:rsidRDefault="0087595E">
      <w:r w:rsidRPr="00A52AB8">
        <w:t>more_rbsp_data(</w:t>
      </w:r>
      <w:r w:rsidR="00750334" w:rsidRPr="00A52AB8">
        <w:t> </w:t>
      </w:r>
      <w:r w:rsidRPr="00A52AB8">
        <w:t>) is specified as follows:</w:t>
      </w:r>
    </w:p>
    <w:p w14:paraId="796C2F93" w14:textId="77777777" w:rsidR="0050235C" w:rsidRPr="00A52AB8" w:rsidRDefault="0087595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If there is no more data in the raw byte sequence payload (RBSP), the return value of more_rbsp_data(</w:t>
      </w:r>
      <w:r w:rsidR="00750334" w:rsidRPr="00A52AB8">
        <w:rPr>
          <w:color w:val="000000" w:themeColor="text1"/>
        </w:rPr>
        <w:t> </w:t>
      </w:r>
      <w:r w:rsidRPr="00A52AB8">
        <w:rPr>
          <w:color w:val="000000" w:themeColor="text1"/>
        </w:rPr>
        <w:t>) is equal to FALSE.</w:t>
      </w:r>
    </w:p>
    <w:p w14:paraId="6FA27D05" w14:textId="075BFD2E" w:rsidR="0050235C" w:rsidRPr="00A52AB8" w:rsidRDefault="0087595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Otherwise, the RBSP data </w:t>
      </w:r>
      <w:r w:rsidR="003122DE" w:rsidRPr="00A52AB8">
        <w:rPr>
          <w:color w:val="000000" w:themeColor="text1"/>
        </w:rPr>
        <w:t xml:space="preserve">is </w:t>
      </w:r>
      <w:r w:rsidRPr="00A52AB8">
        <w:rPr>
          <w:color w:val="000000" w:themeColor="text1"/>
        </w:rPr>
        <w:t>searched for the last (least significant, right-most) bit equal to 1 that is present in the RBSP. Given the position of this bit, which is the first bit (rbsp_stop_one_bit) of the rbsp_trailing_bits( ) syntax structure, the following applies:</w:t>
      </w:r>
    </w:p>
    <w:p w14:paraId="5572C44A" w14:textId="77777777" w:rsidR="0050235C" w:rsidRPr="00A52AB8" w:rsidRDefault="0087595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If there is more data in an RBSP before the rbsp_trailing_bits(</w:t>
      </w:r>
      <w:r w:rsidR="00750334" w:rsidRPr="00A52AB8">
        <w:rPr>
          <w:color w:val="000000" w:themeColor="text1"/>
        </w:rPr>
        <w:t> </w:t>
      </w:r>
      <w:r w:rsidRPr="00A52AB8">
        <w:rPr>
          <w:color w:val="000000" w:themeColor="text1"/>
        </w:rPr>
        <w:t>) syntax structure, the return value of more_rbsp_data(</w:t>
      </w:r>
      <w:r w:rsidR="00750334" w:rsidRPr="00A52AB8">
        <w:rPr>
          <w:color w:val="000000" w:themeColor="text1"/>
        </w:rPr>
        <w:t> </w:t>
      </w:r>
      <w:r w:rsidRPr="00A52AB8">
        <w:rPr>
          <w:color w:val="000000" w:themeColor="text1"/>
        </w:rPr>
        <w:t>) is equal to TRUE.</w:t>
      </w:r>
    </w:p>
    <w:p w14:paraId="0FDA2CE8" w14:textId="77777777" w:rsidR="0050235C" w:rsidRPr="00A52AB8" w:rsidRDefault="0087595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Otherwise, the return value of more_rbsp_data(</w:t>
      </w:r>
      <w:r w:rsidR="00750334" w:rsidRPr="00A52AB8">
        <w:rPr>
          <w:color w:val="000000" w:themeColor="text1"/>
        </w:rPr>
        <w:t> </w:t>
      </w:r>
      <w:r w:rsidRPr="00A52AB8">
        <w:rPr>
          <w:color w:val="000000" w:themeColor="text1"/>
        </w:rPr>
        <w:t>) is equal to FALSE.</w:t>
      </w:r>
    </w:p>
    <w:p w14:paraId="602E0765" w14:textId="4DFB270F" w:rsidR="0050235C" w:rsidRPr="00A52AB8" w:rsidRDefault="0087595E">
      <w:pPr>
        <w:ind w:left="360"/>
      </w:pPr>
      <w:r w:rsidRPr="00A52AB8">
        <w:t xml:space="preserve">The method for enabling determination of whether there is more data in the RBSP is specified by the application (or in </w:t>
      </w:r>
      <w:r w:rsidR="003B6A68" w:rsidRPr="00496A4D">
        <w:fldChar w:fldCharType="begin"/>
      </w:r>
      <w:r w:rsidR="003B6A68" w:rsidRPr="00A52AB8">
        <w:instrText xml:space="preserve"> REF _Ref19025138 \r \h </w:instrText>
      </w:r>
      <w:r w:rsidR="00025423" w:rsidRPr="00A52AB8">
        <w:instrText xml:space="preserve"> \* MERGEFORMAT </w:instrText>
      </w:r>
      <w:r w:rsidR="003B6A68" w:rsidRPr="00496A4D">
        <w:fldChar w:fldCharType="separate"/>
      </w:r>
      <w:r w:rsidR="00507A67">
        <w:t>Annex D</w:t>
      </w:r>
      <w:r w:rsidR="003B6A68" w:rsidRPr="00496A4D">
        <w:fldChar w:fldCharType="end"/>
      </w:r>
      <w:r w:rsidRPr="00A52AB8">
        <w:t xml:space="preserve"> for applications that use the </w:t>
      </w:r>
      <w:r w:rsidR="003B6A68" w:rsidRPr="00A52AB8">
        <w:t>sample</w:t>
      </w:r>
      <w:r w:rsidRPr="00A52AB8">
        <w:t xml:space="preserve"> stream format).</w:t>
      </w:r>
    </w:p>
    <w:p w14:paraId="07E6382C" w14:textId="77777777" w:rsidR="0050235C" w:rsidRPr="00A52AB8" w:rsidRDefault="00DA5523">
      <w:r w:rsidRPr="00A52AB8">
        <w:t>next_bits(</w:t>
      </w:r>
      <w:r w:rsidR="00750334" w:rsidRPr="00A52AB8">
        <w:t> </w:t>
      </w:r>
      <w:r w:rsidRPr="00A52AB8">
        <w:t>n</w:t>
      </w:r>
      <w:r w:rsidR="00750334" w:rsidRPr="00A52AB8">
        <w:t> </w:t>
      </w:r>
      <w:r w:rsidRPr="00A52AB8">
        <w:t>) provides the next bits in the bitstream for comparison purposes, without advancing the bitstream pointer. Provides a look at the next n bits in the bitstream with n being its argument.</w:t>
      </w:r>
    </w:p>
    <w:p w14:paraId="411A9A84" w14:textId="77777777" w:rsidR="0050235C" w:rsidRPr="00A52AB8" w:rsidRDefault="00DA5523">
      <w:r w:rsidRPr="00A52AB8">
        <w:t>payload_extension_present(</w:t>
      </w:r>
      <w:r w:rsidR="00750334" w:rsidRPr="00A52AB8">
        <w:t> </w:t>
      </w:r>
      <w:r w:rsidRPr="00A52AB8">
        <w:t>) is specified as follows:</w:t>
      </w:r>
    </w:p>
    <w:p w14:paraId="7264683D" w14:textId="77777777" w:rsidR="0050235C" w:rsidRPr="00A52AB8" w:rsidRDefault="00DA552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If the current position in the sei_payload(</w:t>
      </w:r>
      <w:r w:rsidR="00750334" w:rsidRPr="00A52AB8">
        <w:rPr>
          <w:color w:val="000000" w:themeColor="text1"/>
        </w:rPr>
        <w:t> </w:t>
      </w:r>
      <w:r w:rsidRPr="00A52AB8">
        <w:rPr>
          <w:color w:val="000000" w:themeColor="text1"/>
        </w:rPr>
        <w:t>) syntax structure is not the position of the last (least significant, right-most) bit that is equal to 1 that is less than 8 * payloadSize bits from the beginning of the syntax structure (i.e. the position of the payload_bit_equal_to_one syntax element), the return value of payload_extension_present(</w:t>
      </w:r>
      <w:r w:rsidR="00750334" w:rsidRPr="00A52AB8">
        <w:rPr>
          <w:color w:val="000000" w:themeColor="text1"/>
        </w:rPr>
        <w:t> </w:t>
      </w:r>
      <w:r w:rsidRPr="00A52AB8">
        <w:rPr>
          <w:color w:val="000000" w:themeColor="text1"/>
        </w:rPr>
        <w:t>) is equal to TRUE.</w:t>
      </w:r>
    </w:p>
    <w:p w14:paraId="43A2EE66" w14:textId="77777777" w:rsidR="0050235C" w:rsidRPr="00A52AB8" w:rsidRDefault="00DA552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Otherwise, the return value of payload_extension_present(</w:t>
      </w:r>
      <w:r w:rsidR="00750334" w:rsidRPr="00A52AB8">
        <w:rPr>
          <w:color w:val="000000" w:themeColor="text1"/>
        </w:rPr>
        <w:t> </w:t>
      </w:r>
      <w:r w:rsidRPr="00A52AB8">
        <w:rPr>
          <w:color w:val="000000" w:themeColor="text1"/>
        </w:rPr>
        <w:t>) is equal to FALSE.</w:t>
      </w:r>
    </w:p>
    <w:p w14:paraId="0ED295BA" w14:textId="5CA09B37" w:rsidR="005F6D81" w:rsidRPr="00A52AB8" w:rsidRDefault="005F6D81">
      <w:pPr>
        <w:rPr>
          <w:color w:val="000000" w:themeColor="text1"/>
        </w:rPr>
      </w:pPr>
      <w:r w:rsidRPr="00A52AB8">
        <w:rPr>
          <w:color w:val="000000" w:themeColor="text1"/>
        </w:rPr>
        <w:t>read_bits(</w:t>
      </w:r>
      <w:r w:rsidR="00ED7B24" w:rsidRPr="00A52AB8">
        <w:rPr>
          <w:color w:val="000000" w:themeColor="text1"/>
        </w:rPr>
        <w:t> </w:t>
      </w:r>
      <w:r w:rsidRPr="00A52AB8">
        <w:rPr>
          <w:color w:val="000000" w:themeColor="text1"/>
        </w:rPr>
        <w:t>n</w:t>
      </w:r>
      <w:r w:rsidR="00ED7B24" w:rsidRPr="00A52AB8">
        <w:rPr>
          <w:color w:val="000000" w:themeColor="text1"/>
        </w:rPr>
        <w:t> </w:t>
      </w:r>
      <w:r w:rsidRPr="00A52AB8">
        <w:rPr>
          <w:color w:val="000000" w:themeColor="text1"/>
        </w:rPr>
        <w:t>) reads the next n bits from the bitstream and advances the bitstream pointer by n bit positions. When n is equal to 0, read_bits(</w:t>
      </w:r>
      <w:r w:rsidR="00750334" w:rsidRPr="00A52AB8">
        <w:rPr>
          <w:color w:val="000000" w:themeColor="text1"/>
        </w:rPr>
        <w:t> </w:t>
      </w:r>
      <w:r w:rsidRPr="00A52AB8">
        <w:rPr>
          <w:color w:val="000000" w:themeColor="text1"/>
        </w:rPr>
        <w:t>n</w:t>
      </w:r>
      <w:r w:rsidR="00750334" w:rsidRPr="00A52AB8">
        <w:rPr>
          <w:color w:val="000000" w:themeColor="text1"/>
        </w:rPr>
        <w:t> </w:t>
      </w:r>
      <w:r w:rsidRPr="00A52AB8">
        <w:rPr>
          <w:color w:val="000000" w:themeColor="text1"/>
        </w:rPr>
        <w:t>) is specified to return a value equal to 0 and to not advance the bitstream pointer.</w:t>
      </w:r>
    </w:p>
    <w:p w14:paraId="3FC6ABA8" w14:textId="77777777" w:rsidR="00074EDC" w:rsidRPr="00A52AB8" w:rsidRDefault="00074EDC" w:rsidP="00007BE2">
      <w:pPr>
        <w:rPr>
          <w:color w:val="000000" w:themeColor="text1"/>
        </w:rPr>
      </w:pPr>
      <w:r w:rsidRPr="00A52AB8">
        <w:rPr>
          <w:color w:val="000000" w:themeColor="text1"/>
        </w:rPr>
        <w:t>The following descriptors specify the parsing process of each syntax element:</w:t>
      </w:r>
    </w:p>
    <w:p w14:paraId="43B41084" w14:textId="31CB1291" w:rsidR="00074EDC" w:rsidRPr="00A52AB8" w:rsidRDefault="00074ED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b(8): byte having any pattern of bit string (8 bits). The parsing process for this descriptor is specified by the return value of the function read_bits( 8 ).</w:t>
      </w:r>
    </w:p>
    <w:p w14:paraId="6DEA728A" w14:textId="569421A9" w:rsidR="00120E20" w:rsidRPr="00A52AB8" w:rsidRDefault="00120E20"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f(n): fixed-pattern bit string using n bits written (from left to right) with the left bit first. The parsing process for this descriptor is specified by the return value of the function read_bits( n ).</w:t>
      </w:r>
    </w:p>
    <w:p w14:paraId="56390920" w14:textId="0BDC3A32" w:rsidR="00D830A7" w:rsidRPr="00A52AB8" w:rsidRDefault="00D830A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f</w:t>
      </w:r>
      <w:r w:rsidR="00C5714C" w:rsidRPr="00A52AB8">
        <w:rPr>
          <w:color w:val="000000" w:themeColor="text1"/>
        </w:rPr>
        <w:t>l</w:t>
      </w:r>
      <w:r w:rsidRPr="00A52AB8">
        <w:rPr>
          <w:color w:val="000000" w:themeColor="text1"/>
        </w:rPr>
        <w:t xml:space="preserve">(n): binary floating point value using n bits. The parsing process for this descriptor is </w:t>
      </w:r>
      <w:r w:rsidR="00F621EB" w:rsidRPr="00A52AB8">
        <w:rPr>
          <w:color w:val="000000" w:themeColor="text1"/>
        </w:rPr>
        <w:t>as specified in IEEE 754-2019</w:t>
      </w:r>
      <w:r w:rsidRPr="00A52AB8">
        <w:rPr>
          <w:color w:val="000000" w:themeColor="text1"/>
        </w:rPr>
        <w:t>.</w:t>
      </w:r>
    </w:p>
    <w:p w14:paraId="651FE72A" w14:textId="05116231" w:rsidR="00055BFD" w:rsidRPr="00A52AB8" w:rsidRDefault="00120E20"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i(n): signed integer using n bits. When n is "v" in the syntax table, the number of bits varies in a manner dependent on the value of other syntax elements. The parsing process for this descriptor is specified by the return value of the function read_bits( n ) interpreted as a two's complement </w:t>
      </w:r>
      <w:r w:rsidRPr="00A52AB8">
        <w:rPr>
          <w:color w:val="000000" w:themeColor="text1"/>
        </w:rPr>
        <w:lastRenderedPageBreak/>
        <w:t xml:space="preserve">integer representation with </w:t>
      </w:r>
      <w:r w:rsidR="005D6932" w:rsidRPr="00A52AB8">
        <w:rPr>
          <w:color w:val="000000" w:themeColor="text1"/>
        </w:rPr>
        <w:t xml:space="preserve">the </w:t>
      </w:r>
      <w:r w:rsidRPr="00A52AB8">
        <w:rPr>
          <w:color w:val="000000" w:themeColor="text1"/>
        </w:rPr>
        <w:t>most significant</w:t>
      </w:r>
      <w:r w:rsidR="005D6932" w:rsidRPr="00A52AB8">
        <w:rPr>
          <w:color w:val="000000" w:themeColor="text1"/>
        </w:rPr>
        <w:t xml:space="preserve"> (left)</w:t>
      </w:r>
      <w:r w:rsidRPr="00A52AB8">
        <w:rPr>
          <w:color w:val="000000" w:themeColor="text1"/>
        </w:rPr>
        <w:t xml:space="preserve"> bit written first.</w:t>
      </w:r>
      <w:r w:rsidR="00ED7B24" w:rsidRPr="00A52AB8">
        <w:rPr>
          <w:color w:val="000000" w:themeColor="text1"/>
        </w:rPr>
        <w:t xml:space="preserve"> In particular, </w:t>
      </w:r>
      <w:r w:rsidR="00BA5C8F" w:rsidRPr="00A52AB8">
        <w:rPr>
          <w:color w:val="000000" w:themeColor="text1"/>
        </w:rPr>
        <w:t>the parsing process for this descriptor is specified</w:t>
      </w:r>
      <w:r w:rsidR="00ED7B24" w:rsidRPr="00A52AB8">
        <w:rPr>
          <w:color w:val="000000" w:themeColor="text1"/>
        </w:rPr>
        <w:t xml:space="preserve"> as follows:</w:t>
      </w:r>
    </w:p>
    <w:p w14:paraId="13F42E98" w14:textId="7D1C760A" w:rsidR="00ED7B24" w:rsidRPr="00A52AB8" w:rsidRDefault="00ED7B24" w:rsidP="00007BE2">
      <w:pPr>
        <w:ind w:left="805"/>
      </w:pPr>
      <w:r w:rsidRPr="00A52AB8">
        <w:t>i(n</w:t>
      </w:r>
      <w:r w:rsidR="008F1F82" w:rsidRPr="00A52AB8">
        <w:t>) {</w:t>
      </w:r>
      <w:r w:rsidR="00BA5C8F" w:rsidRPr="00A52AB8">
        <w:br/>
      </w:r>
      <w:r w:rsidR="0084473B" w:rsidRPr="00A52AB8">
        <w:tab/>
      </w:r>
      <w:r w:rsidR="0084473B" w:rsidRPr="00A52AB8">
        <w:tab/>
      </w:r>
      <w:r w:rsidRPr="00A52AB8">
        <w:t>value</w:t>
      </w:r>
      <w:r w:rsidR="00D47707" w:rsidRPr="00A52AB8">
        <w:t> = </w:t>
      </w:r>
      <w:r w:rsidRPr="00A52AB8">
        <w:t>read_bits( n )</w:t>
      </w:r>
      <w:r w:rsidRPr="00A52AB8">
        <w:br/>
      </w:r>
      <w:r w:rsidRPr="00A52AB8">
        <w:tab/>
      </w:r>
      <w:r w:rsidRPr="00A52AB8">
        <w:tab/>
        <w:t>if( value &lt; </w:t>
      </w:r>
      <w:r w:rsidR="00BA5C8F" w:rsidRPr="00A52AB8">
        <w:t>( 1 &lt;&lt; ( n – 1 )</w:t>
      </w:r>
      <w:r w:rsidR="00D63ACE" w:rsidRPr="00A52AB8">
        <w:t> </w:t>
      </w:r>
      <w:r w:rsidR="00BA5C8F" w:rsidRPr="00A52AB8">
        <w:t>)</w:t>
      </w:r>
      <w:r w:rsidR="00D63ACE" w:rsidRPr="00A52AB8">
        <w:t> </w:t>
      </w:r>
      <w:r w:rsidRPr="00A52AB8">
        <w:t>)</w:t>
      </w:r>
      <w:r w:rsidRPr="00A52AB8">
        <w:br/>
      </w:r>
      <w:r w:rsidRPr="00A52AB8">
        <w:tab/>
      </w:r>
      <w:r w:rsidRPr="00A52AB8">
        <w:tab/>
      </w:r>
      <w:r w:rsidRPr="00A52AB8">
        <w:tab/>
        <w:t>return</w:t>
      </w:r>
      <w:r w:rsidR="0084473B" w:rsidRPr="00A52AB8">
        <w:t> </w:t>
      </w:r>
      <w:r w:rsidRPr="00A52AB8">
        <w:t>value</w:t>
      </w:r>
      <w:r w:rsidRPr="00A52AB8">
        <w:tab/>
      </w:r>
      <w:r w:rsidRPr="00A52AB8">
        <w:br/>
      </w:r>
      <w:r w:rsidRPr="00A52AB8">
        <w:tab/>
      </w:r>
      <w:r w:rsidRPr="00A52AB8">
        <w:tab/>
        <w:t>else</w:t>
      </w:r>
      <w:r w:rsidRPr="00A52AB8">
        <w:br/>
      </w:r>
      <w:r w:rsidRPr="00A52AB8">
        <w:tab/>
      </w:r>
      <w:r w:rsidRPr="00A52AB8">
        <w:tab/>
      </w:r>
      <w:r w:rsidRPr="00A52AB8">
        <w:tab/>
        <w:t>return</w:t>
      </w:r>
      <w:r w:rsidR="0084473B" w:rsidRPr="00A52AB8">
        <w:t> </w:t>
      </w:r>
      <w:r w:rsidRPr="00A52AB8">
        <w:t>(</w:t>
      </w:r>
      <w:r w:rsidR="00BA5C8F" w:rsidRPr="00A52AB8">
        <w:t> </w:t>
      </w:r>
      <w:r w:rsidRPr="00A52AB8">
        <w:t>val</w:t>
      </w:r>
      <w:r w:rsidR="00BA5C8F" w:rsidRPr="00A52AB8">
        <w:t>ue</w:t>
      </w:r>
      <w:r w:rsidRPr="00A52AB8">
        <w:t> | ~(</w:t>
      </w:r>
      <w:r w:rsidR="00D63ACE" w:rsidRPr="00A52AB8">
        <w:t> </w:t>
      </w:r>
      <w:r w:rsidR="00BA5C8F" w:rsidRPr="00A52AB8">
        <w:t>( 1 &lt;&lt;</w:t>
      </w:r>
      <w:r w:rsidR="00766CC9" w:rsidRPr="00A52AB8">
        <w:t> </w:t>
      </w:r>
      <w:r w:rsidR="00BA5C8F" w:rsidRPr="00A52AB8">
        <w:t>(n – 1)) – </w:t>
      </w:r>
      <w:r w:rsidRPr="00A52AB8">
        <w:t>1</w:t>
      </w:r>
      <w:r w:rsidR="00BA5C8F" w:rsidRPr="00A52AB8">
        <w:t> </w:t>
      </w:r>
      <w:r w:rsidRPr="00A52AB8">
        <w:t>)</w:t>
      </w:r>
      <w:r w:rsidR="00D63ACE" w:rsidRPr="00A52AB8">
        <w:t> )</w:t>
      </w:r>
      <w:r w:rsidRPr="00A52AB8">
        <w:br/>
      </w:r>
      <w:r w:rsidRPr="00A52AB8">
        <w:tab/>
        <w:t>}</w:t>
      </w:r>
    </w:p>
    <w:p w14:paraId="19AC4C1F" w14:textId="6DE489EE" w:rsidR="002A6A1C" w:rsidRPr="00A52AB8" w:rsidRDefault="002A6A1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se(v): signed integer 0-th order Exp-Golomb-coded syntax element with the left bit first. The parsing process for this descriptor is specified in </w:t>
      </w:r>
      <w:r w:rsidR="00A92DFC" w:rsidRPr="00A52AB8">
        <w:rPr>
          <w:color w:val="000000" w:themeColor="text1"/>
        </w:rPr>
        <w:t>sub</w:t>
      </w:r>
      <w:r w:rsidRPr="00A52AB8">
        <w:rPr>
          <w:color w:val="000000" w:themeColor="text1"/>
        </w:rPr>
        <w:t>clause</w:t>
      </w:r>
      <w:r w:rsidR="00D46D9D" w:rsidRPr="00A52AB8">
        <w:rPr>
          <w:color w:val="000000" w:themeColor="text1"/>
        </w:rPr>
        <w:t xml:space="preserve"> </w:t>
      </w:r>
      <w:r w:rsidR="00D46D9D" w:rsidRPr="00496A4D">
        <w:rPr>
          <w:color w:val="000000" w:themeColor="text1"/>
        </w:rPr>
        <w:fldChar w:fldCharType="begin"/>
      </w:r>
      <w:r w:rsidR="00D46D9D" w:rsidRPr="00A52AB8">
        <w:rPr>
          <w:color w:val="000000" w:themeColor="text1"/>
        </w:rPr>
        <w:instrText xml:space="preserve"> REF _Ref39811754 \r \h </w:instrText>
      </w:r>
      <w:r w:rsidR="00CA5401" w:rsidRPr="00A52AB8">
        <w:rPr>
          <w:color w:val="000000" w:themeColor="text1"/>
        </w:rPr>
        <w:instrText xml:space="preserve"> \* MERGEFORMAT </w:instrText>
      </w:r>
      <w:r w:rsidR="00D46D9D" w:rsidRPr="00496A4D">
        <w:rPr>
          <w:color w:val="000000" w:themeColor="text1"/>
        </w:rPr>
      </w:r>
      <w:r w:rsidR="00D46D9D" w:rsidRPr="00496A4D">
        <w:rPr>
          <w:color w:val="000000" w:themeColor="text1"/>
        </w:rPr>
        <w:fldChar w:fldCharType="separate"/>
      </w:r>
      <w:r w:rsidR="00507A67">
        <w:rPr>
          <w:color w:val="000000" w:themeColor="text1"/>
        </w:rPr>
        <w:t>14.2</w:t>
      </w:r>
      <w:r w:rsidR="00D46D9D" w:rsidRPr="00496A4D">
        <w:rPr>
          <w:color w:val="000000" w:themeColor="text1"/>
        </w:rPr>
        <w:fldChar w:fldCharType="end"/>
      </w:r>
      <w:r w:rsidRPr="00A52AB8">
        <w:rPr>
          <w:color w:val="000000" w:themeColor="text1"/>
        </w:rPr>
        <w:t>.</w:t>
      </w:r>
    </w:p>
    <w:p w14:paraId="01F0FF02" w14:textId="058712DC" w:rsidR="002A6A1C" w:rsidRPr="00A52AB8" w:rsidRDefault="002A6A1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st(v): null-terminated string encoded as UTF-8 characters as specified in ISO/IEC 10646. The parsing process is specified as follows: st(v) begins at a byte-aligned position in the bitstream and reads and returns a series of bytes from the bitstream, beginning at the current position and continuing up to but not including the next byte-aligned byte that is equal to 0x00, and advances the bitstream pointer by ( stringLength + 1 ) * 8 bit positions, where stringLength is equal to the number of bytes returned.</w:t>
      </w:r>
    </w:p>
    <w:p w14:paraId="1573969E" w14:textId="77777777" w:rsidR="002A6A1C" w:rsidRPr="00A52AB8" w:rsidRDefault="002A6A1C" w:rsidP="001000BF">
      <w:pPr>
        <w:pStyle w:val="Note1"/>
        <w:spacing w:after="240"/>
        <w:ind w:left="289"/>
        <w:rPr>
          <w:rFonts w:ascii="Cambria" w:hAnsi="Cambria"/>
          <w:color w:val="000000" w:themeColor="text1"/>
        </w:rPr>
      </w:pPr>
      <w:r w:rsidRPr="00A52AB8">
        <w:rPr>
          <w:rFonts w:ascii="Cambria" w:hAnsi="Cambria"/>
          <w:color w:val="000000" w:themeColor="text1"/>
        </w:rPr>
        <w:t>NOTE</w:t>
      </w:r>
      <w:r w:rsidR="00EA6217" w:rsidRPr="00A52AB8">
        <w:rPr>
          <w:rFonts w:ascii="Cambria" w:hAnsi="Cambria"/>
          <w:color w:val="000000" w:themeColor="text1"/>
        </w:rPr>
        <w:t> – </w:t>
      </w:r>
      <w:r w:rsidRPr="00A52AB8">
        <w:rPr>
          <w:rFonts w:ascii="Cambria" w:hAnsi="Cambria"/>
          <w:color w:val="000000" w:themeColor="text1"/>
        </w:rPr>
        <w:t>The st(v) syntax descriptor is only used in this document when the current position in the bitstream is a byte-aligned position.</w:t>
      </w:r>
    </w:p>
    <w:p w14:paraId="0E65E94B" w14:textId="29EB2D28" w:rsidR="00120E20" w:rsidRPr="00A52AB8" w:rsidRDefault="00120E20"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u(n): unsigned integer using n bits. When n is "v" in the syntax table, the number of bits varies in a manner dependent on the value of other syntax elements. The parsing process for this descriptor is specified by the return value of the function read_bits( n ) interpreted as a binary representation of an unsigned integer with </w:t>
      </w:r>
      <w:r w:rsidR="00ED7B24" w:rsidRPr="00A52AB8">
        <w:rPr>
          <w:color w:val="000000" w:themeColor="text1"/>
        </w:rPr>
        <w:t xml:space="preserve">the </w:t>
      </w:r>
      <w:r w:rsidRPr="00A52AB8">
        <w:rPr>
          <w:color w:val="000000" w:themeColor="text1"/>
        </w:rPr>
        <w:t>most significant bit written first.</w:t>
      </w:r>
      <w:r w:rsidR="00BC5E5C" w:rsidRPr="00A52AB8">
        <w:rPr>
          <w:color w:val="000000" w:themeColor="text1"/>
        </w:rPr>
        <w:t xml:space="preserve"> When n is equal to 0, the associated syntax element is not present in the bitstream and its corresponding value shall be inferred to be equal to 0 unless specified otherwise in the semantics.</w:t>
      </w:r>
    </w:p>
    <w:p w14:paraId="76B3AE12" w14:textId="6AE17E51" w:rsidR="00120E20" w:rsidRPr="00A52AB8" w:rsidRDefault="00120E20"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ue(v): unsigned integer 0-th order Exp-Golomb-coded syntax element with the left bit first. The parsing process for this descriptor is specified in </w:t>
      </w:r>
      <w:r w:rsidR="00406A86" w:rsidRPr="00A52AB8">
        <w:rPr>
          <w:color w:val="000000" w:themeColor="text1"/>
        </w:rPr>
        <w:t>subclause</w:t>
      </w:r>
      <w:r w:rsidR="00D46D9D" w:rsidRPr="00A52AB8">
        <w:rPr>
          <w:color w:val="000000" w:themeColor="text1"/>
        </w:rPr>
        <w:t xml:space="preserve"> </w:t>
      </w:r>
      <w:r w:rsidR="00D46D9D" w:rsidRPr="00496A4D">
        <w:rPr>
          <w:color w:val="000000" w:themeColor="text1"/>
        </w:rPr>
        <w:fldChar w:fldCharType="begin"/>
      </w:r>
      <w:r w:rsidR="00D46D9D" w:rsidRPr="00A52AB8">
        <w:rPr>
          <w:color w:val="000000" w:themeColor="text1"/>
        </w:rPr>
        <w:instrText xml:space="preserve"> REF _Ref39811776 \r \h </w:instrText>
      </w:r>
      <w:r w:rsidR="00CA5401" w:rsidRPr="00A52AB8">
        <w:rPr>
          <w:color w:val="000000" w:themeColor="text1"/>
        </w:rPr>
        <w:instrText xml:space="preserve"> \* MERGEFORMAT </w:instrText>
      </w:r>
      <w:r w:rsidR="00D46D9D" w:rsidRPr="00496A4D">
        <w:rPr>
          <w:color w:val="000000" w:themeColor="text1"/>
        </w:rPr>
      </w:r>
      <w:r w:rsidR="00D46D9D" w:rsidRPr="00496A4D">
        <w:rPr>
          <w:color w:val="000000" w:themeColor="text1"/>
        </w:rPr>
        <w:fldChar w:fldCharType="separate"/>
      </w:r>
      <w:r w:rsidR="00507A67">
        <w:rPr>
          <w:color w:val="000000" w:themeColor="text1"/>
        </w:rPr>
        <w:t>14.2</w:t>
      </w:r>
      <w:r w:rsidR="00D46D9D" w:rsidRPr="00496A4D">
        <w:rPr>
          <w:color w:val="000000" w:themeColor="text1"/>
        </w:rPr>
        <w:fldChar w:fldCharType="end"/>
      </w:r>
      <w:r w:rsidRPr="00A52AB8">
        <w:rPr>
          <w:color w:val="000000" w:themeColor="text1"/>
        </w:rPr>
        <w:t>.</w:t>
      </w:r>
    </w:p>
    <w:p w14:paraId="6629E1D9" w14:textId="7AFAB291" w:rsidR="00120E20" w:rsidRPr="00A52AB8" w:rsidRDefault="00120E20">
      <w:pPr>
        <w:pStyle w:val="Heading2"/>
        <w:rPr>
          <w:color w:val="000000" w:themeColor="text1"/>
        </w:rPr>
      </w:pPr>
      <w:bookmarkStart w:id="581" w:name="_Ref35660929"/>
      <w:bookmarkStart w:id="582" w:name="_Toc77680370"/>
      <w:bookmarkStart w:id="583" w:name="_Toc118289040"/>
      <w:bookmarkStart w:id="584" w:name="_Toc226456517"/>
      <w:bookmarkStart w:id="585" w:name="_Toc248045220"/>
      <w:bookmarkStart w:id="586" w:name="_Toc287363750"/>
      <w:bookmarkStart w:id="587" w:name="_Toc311216738"/>
      <w:bookmarkStart w:id="588" w:name="_Toc317198702"/>
      <w:bookmarkStart w:id="589" w:name="_Toc390728031"/>
      <w:bookmarkStart w:id="590" w:name="_Toc511952628"/>
      <w:bookmarkStart w:id="591" w:name="_Toc52181602"/>
      <w:r w:rsidRPr="00A52AB8">
        <w:rPr>
          <w:color w:val="000000" w:themeColor="text1"/>
        </w:rPr>
        <w:t>Syntax in tabular form</w:t>
      </w:r>
      <w:bookmarkEnd w:id="581"/>
      <w:bookmarkEnd w:id="582"/>
      <w:bookmarkEnd w:id="583"/>
      <w:bookmarkEnd w:id="584"/>
      <w:bookmarkEnd w:id="585"/>
      <w:bookmarkEnd w:id="586"/>
      <w:bookmarkEnd w:id="587"/>
      <w:bookmarkEnd w:id="588"/>
      <w:bookmarkEnd w:id="589"/>
      <w:bookmarkEnd w:id="590"/>
      <w:bookmarkEnd w:id="591"/>
    </w:p>
    <w:p w14:paraId="6FCA1EAA" w14:textId="3F66A446" w:rsidR="00EE152A" w:rsidRPr="00A52AB8" w:rsidRDefault="00EE152A">
      <w:pPr>
        <w:pStyle w:val="Heading3"/>
      </w:pPr>
      <w:bookmarkStart w:id="592" w:name="_Toc511952629"/>
      <w:bookmarkStart w:id="593" w:name="_Toc529871393"/>
      <w:bookmarkStart w:id="594" w:name="_Ref38314064"/>
      <w:bookmarkStart w:id="595" w:name="_Toc52181603"/>
      <w:r w:rsidRPr="00A52AB8">
        <w:t>General</w:t>
      </w:r>
      <w:bookmarkEnd w:id="592"/>
      <w:bookmarkEnd w:id="593"/>
      <w:bookmarkEnd w:id="594"/>
      <w:bookmarkEnd w:id="595"/>
    </w:p>
    <w:p w14:paraId="380761FC" w14:textId="0E580079" w:rsidR="00EE152A" w:rsidRPr="00A52AB8" w:rsidRDefault="00EE152A">
      <w:pPr>
        <w:spacing w:after="120"/>
        <w:rPr>
          <w:color w:val="000000" w:themeColor="text1"/>
          <w:lang w:eastAsia="ko-KR"/>
        </w:rPr>
      </w:pPr>
      <w:r w:rsidRPr="00A52AB8">
        <w:rPr>
          <w:color w:val="000000" w:themeColor="text1"/>
          <w:lang w:eastAsia="ko-KR"/>
        </w:rPr>
        <w:t xml:space="preserve">The </w:t>
      </w:r>
      <w:r w:rsidR="00816633" w:rsidRPr="00A52AB8">
        <w:rPr>
          <w:color w:val="000000" w:themeColor="text1"/>
          <w:lang w:eastAsia="ko-KR"/>
        </w:rPr>
        <w:t>V3C</w:t>
      </w:r>
      <w:r w:rsidRPr="00A52AB8">
        <w:rPr>
          <w:color w:val="000000" w:themeColor="text1"/>
          <w:lang w:eastAsia="ko-KR"/>
        </w:rPr>
        <w:t xml:space="preserve"> bitstream is composed of a set of </w:t>
      </w:r>
      <w:r w:rsidR="00816633" w:rsidRPr="00A52AB8">
        <w:rPr>
          <w:color w:val="000000" w:themeColor="text1"/>
          <w:lang w:eastAsia="ko-KR"/>
        </w:rPr>
        <w:t>V3C</w:t>
      </w:r>
      <w:r w:rsidRPr="00A52AB8">
        <w:rPr>
          <w:color w:val="000000" w:themeColor="text1"/>
          <w:lang w:eastAsia="ko-KR"/>
        </w:rPr>
        <w:t xml:space="preserve"> units</w:t>
      </w:r>
      <w:r w:rsidR="00D03CDE" w:rsidRPr="00A52AB8">
        <w:rPr>
          <w:color w:val="000000" w:themeColor="text1"/>
          <w:lang w:eastAsia="ko-KR"/>
        </w:rPr>
        <w:t xml:space="preserve"> as shown in</w:t>
      </w:r>
      <w:r w:rsidR="002E7F47" w:rsidRPr="00A52AB8">
        <w:rPr>
          <w:color w:val="000000" w:themeColor="text1"/>
          <w:lang w:eastAsia="ja-JP"/>
        </w:rPr>
        <w:t xml:space="preserve"> </w:t>
      </w:r>
      <w:r w:rsidR="002E7F47" w:rsidRPr="00496A4D">
        <w:rPr>
          <w:color w:val="000000" w:themeColor="text1"/>
          <w:lang w:eastAsia="ja-JP"/>
        </w:rPr>
        <w:fldChar w:fldCharType="begin"/>
      </w:r>
      <w:r w:rsidR="002E7F47" w:rsidRPr="00A52AB8">
        <w:rPr>
          <w:color w:val="000000" w:themeColor="text1"/>
          <w:lang w:eastAsia="ja-JP"/>
        </w:rPr>
        <w:instrText xml:space="preserve"> REF _Ref49257318 \h </w:instrText>
      </w:r>
      <w:r w:rsidR="00007BE2" w:rsidRPr="00A52AB8">
        <w:rPr>
          <w:color w:val="000000" w:themeColor="text1"/>
          <w:lang w:eastAsia="ja-JP"/>
        </w:rPr>
        <w:instrText xml:space="preserve"> \* MERGEFORMAT </w:instrText>
      </w:r>
      <w:r w:rsidR="002E7F47" w:rsidRPr="00496A4D">
        <w:rPr>
          <w:color w:val="000000" w:themeColor="text1"/>
          <w:lang w:eastAsia="ja-JP"/>
        </w:rPr>
      </w:r>
      <w:r w:rsidR="002E7F47" w:rsidRPr="00496A4D">
        <w:rPr>
          <w:color w:val="000000" w:themeColor="text1"/>
          <w:lang w:eastAsia="ja-JP"/>
        </w:rPr>
        <w:fldChar w:fldCharType="separate"/>
      </w:r>
      <w:r w:rsidR="00507A67" w:rsidRPr="00A52AB8">
        <w:t xml:space="preserve">Figure </w:t>
      </w:r>
      <w:r w:rsidR="00507A67">
        <w:t>5</w:t>
      </w:r>
      <w:r w:rsidR="002E7F47" w:rsidRPr="00496A4D">
        <w:rPr>
          <w:color w:val="000000" w:themeColor="text1"/>
          <w:lang w:eastAsia="ja-JP"/>
        </w:rPr>
        <w:fldChar w:fldCharType="end"/>
      </w:r>
      <w:r w:rsidRPr="00A52AB8">
        <w:rPr>
          <w:color w:val="000000" w:themeColor="text1"/>
          <w:lang w:eastAsia="ko-KR"/>
        </w:rPr>
        <w:t xml:space="preserve">. Each </w:t>
      </w:r>
      <w:r w:rsidR="00816633" w:rsidRPr="00A52AB8">
        <w:rPr>
          <w:color w:val="000000" w:themeColor="text1"/>
          <w:lang w:eastAsia="ko-KR"/>
        </w:rPr>
        <w:t>V3C</w:t>
      </w:r>
      <w:r w:rsidRPr="00A52AB8">
        <w:rPr>
          <w:color w:val="000000" w:themeColor="text1"/>
          <w:lang w:eastAsia="ko-KR"/>
        </w:rPr>
        <w:t xml:space="preserve"> unit has a </w:t>
      </w:r>
      <w:r w:rsidR="00816633" w:rsidRPr="00A52AB8">
        <w:rPr>
          <w:color w:val="000000" w:themeColor="text1"/>
          <w:lang w:eastAsia="ko-KR"/>
        </w:rPr>
        <w:t>V3C</w:t>
      </w:r>
      <w:r w:rsidRPr="00A52AB8">
        <w:rPr>
          <w:color w:val="000000" w:themeColor="text1"/>
          <w:lang w:eastAsia="ko-KR"/>
        </w:rPr>
        <w:t xml:space="preserve"> unit header and a </w:t>
      </w:r>
      <w:r w:rsidR="00816633" w:rsidRPr="00A52AB8">
        <w:rPr>
          <w:color w:val="000000" w:themeColor="text1"/>
          <w:lang w:eastAsia="ko-KR"/>
        </w:rPr>
        <w:t>V3C</w:t>
      </w:r>
      <w:r w:rsidRPr="00A52AB8">
        <w:rPr>
          <w:color w:val="000000" w:themeColor="text1"/>
          <w:lang w:eastAsia="ko-KR"/>
        </w:rPr>
        <w:t xml:space="preserve"> unit payload. The </w:t>
      </w:r>
      <w:r w:rsidR="00816633" w:rsidRPr="00A52AB8">
        <w:rPr>
          <w:color w:val="000000" w:themeColor="text1"/>
          <w:lang w:eastAsia="ko-KR"/>
        </w:rPr>
        <w:t>V3C</w:t>
      </w:r>
      <w:r w:rsidRPr="00A52AB8">
        <w:rPr>
          <w:color w:val="000000" w:themeColor="text1"/>
          <w:lang w:eastAsia="ko-KR"/>
        </w:rPr>
        <w:t xml:space="preserve"> unit header describes the </w:t>
      </w:r>
      <w:r w:rsidR="00816633" w:rsidRPr="00A52AB8">
        <w:rPr>
          <w:color w:val="000000" w:themeColor="text1"/>
          <w:lang w:eastAsia="ko-KR"/>
        </w:rPr>
        <w:t>V3C</w:t>
      </w:r>
      <w:r w:rsidRPr="00A52AB8">
        <w:rPr>
          <w:color w:val="000000" w:themeColor="text1"/>
          <w:lang w:eastAsia="ko-KR"/>
        </w:rPr>
        <w:t xml:space="preserve"> unit type.</w:t>
      </w:r>
      <w:r w:rsidR="00B61D05" w:rsidRPr="00A52AB8">
        <w:rPr>
          <w:color w:val="000000" w:themeColor="text1"/>
          <w:lang w:eastAsia="ko-KR"/>
        </w:rPr>
        <w:t xml:space="preserve"> </w:t>
      </w:r>
      <w:r w:rsidR="00943D4E" w:rsidRPr="00496A4D">
        <w:rPr>
          <w:color w:val="000000" w:themeColor="text1"/>
          <w:lang w:eastAsia="ko-KR"/>
        </w:rPr>
        <w:fldChar w:fldCharType="begin"/>
      </w:r>
      <w:r w:rsidR="00943D4E" w:rsidRPr="00A52AB8">
        <w:rPr>
          <w:color w:val="000000" w:themeColor="text1"/>
          <w:lang w:eastAsia="ko-KR"/>
        </w:rPr>
        <w:instrText xml:space="preserve"> REF _Ref1760030 \h </w:instrText>
      </w:r>
      <w:r w:rsidR="00025423" w:rsidRPr="00A52AB8">
        <w:rPr>
          <w:color w:val="000000" w:themeColor="text1"/>
          <w:lang w:eastAsia="ko-KR"/>
        </w:rPr>
        <w:instrText xml:space="preserve"> \* MERGEFORMAT </w:instrText>
      </w:r>
      <w:r w:rsidR="00943D4E" w:rsidRPr="00496A4D">
        <w:rPr>
          <w:color w:val="000000" w:themeColor="text1"/>
          <w:lang w:eastAsia="ko-KR"/>
        </w:rPr>
      </w:r>
      <w:r w:rsidR="00943D4E" w:rsidRPr="00496A4D">
        <w:rPr>
          <w:color w:val="000000" w:themeColor="text1"/>
          <w:lang w:eastAsia="ko-KR"/>
        </w:rPr>
        <w:fldChar w:fldCharType="separate"/>
      </w:r>
      <w:r w:rsidR="00507A67" w:rsidRPr="00A52AB8">
        <w:rPr>
          <w:color w:val="000000" w:themeColor="text1"/>
        </w:rPr>
        <w:t xml:space="preserve">Table </w:t>
      </w:r>
      <w:r w:rsidR="00507A67">
        <w:rPr>
          <w:color w:val="000000" w:themeColor="text1"/>
        </w:rPr>
        <w:t>2</w:t>
      </w:r>
      <w:r w:rsidR="00943D4E" w:rsidRPr="00496A4D">
        <w:rPr>
          <w:color w:val="000000" w:themeColor="text1"/>
          <w:lang w:eastAsia="ko-KR"/>
        </w:rPr>
        <w:fldChar w:fldCharType="end"/>
      </w:r>
      <w:r w:rsidR="00F51EDE" w:rsidRPr="00A52AB8">
        <w:rPr>
          <w:color w:val="000000" w:themeColor="text1"/>
          <w:lang w:eastAsia="ja-JP"/>
        </w:rPr>
        <w:t xml:space="preserve"> </w:t>
      </w:r>
      <w:r w:rsidRPr="00A52AB8">
        <w:rPr>
          <w:color w:val="000000" w:themeColor="text1"/>
        </w:rPr>
        <w:t xml:space="preserve">describes the supported </w:t>
      </w:r>
      <w:r w:rsidR="00816633" w:rsidRPr="00A52AB8">
        <w:rPr>
          <w:color w:val="000000" w:themeColor="text1"/>
          <w:lang w:eastAsia="ko-KR"/>
        </w:rPr>
        <w:t>V3C</w:t>
      </w:r>
      <w:r w:rsidRPr="00A52AB8">
        <w:rPr>
          <w:color w:val="000000" w:themeColor="text1"/>
          <w:lang w:eastAsia="ko-KR"/>
        </w:rPr>
        <w:t xml:space="preserve"> unit types.</w:t>
      </w:r>
    </w:p>
    <w:p w14:paraId="0E46CEB3" w14:textId="0D677A1D" w:rsidR="00EE152A" w:rsidRPr="00A52AB8" w:rsidRDefault="00EE152A">
      <w:pPr>
        <w:spacing w:after="120"/>
        <w:rPr>
          <w:color w:val="000000" w:themeColor="text1"/>
          <w:lang w:eastAsia="ko-KR"/>
        </w:rPr>
      </w:pPr>
      <w:r w:rsidRPr="00A52AB8">
        <w:rPr>
          <w:color w:val="000000" w:themeColor="text1"/>
          <w:lang w:eastAsia="ko-KR"/>
        </w:rPr>
        <w:t xml:space="preserve">The </w:t>
      </w:r>
      <w:r w:rsidR="000E3355" w:rsidRPr="00A52AB8">
        <w:rPr>
          <w:color w:val="000000" w:themeColor="text1"/>
          <w:lang w:eastAsia="ko-KR"/>
        </w:rPr>
        <w:t>a</w:t>
      </w:r>
      <w:r w:rsidRPr="00A52AB8">
        <w:rPr>
          <w:color w:val="000000" w:themeColor="text1"/>
          <w:lang w:eastAsia="ko-KR"/>
        </w:rPr>
        <w:t xml:space="preserve">ttribute </w:t>
      </w:r>
      <w:r w:rsidR="000E3355" w:rsidRPr="00A52AB8">
        <w:rPr>
          <w:color w:val="000000" w:themeColor="text1"/>
          <w:lang w:eastAsia="ko-KR"/>
        </w:rPr>
        <w:t>v</w:t>
      </w:r>
      <w:r w:rsidRPr="00A52AB8">
        <w:rPr>
          <w:color w:val="000000" w:themeColor="text1"/>
          <w:lang w:eastAsia="ko-KR"/>
        </w:rPr>
        <w:t xml:space="preserve">ideo </w:t>
      </w:r>
      <w:r w:rsidR="000E3355" w:rsidRPr="00A52AB8">
        <w:rPr>
          <w:color w:val="000000" w:themeColor="text1"/>
          <w:lang w:eastAsia="ko-KR"/>
        </w:rPr>
        <w:t>d</w:t>
      </w:r>
      <w:r w:rsidRPr="00A52AB8">
        <w:rPr>
          <w:color w:val="000000" w:themeColor="text1"/>
          <w:lang w:eastAsia="ko-KR"/>
        </w:rPr>
        <w:t xml:space="preserve">ata </w:t>
      </w:r>
      <w:r w:rsidR="00816633" w:rsidRPr="00A52AB8">
        <w:rPr>
          <w:color w:val="000000" w:themeColor="text1"/>
          <w:lang w:eastAsia="ko-KR"/>
        </w:rPr>
        <w:t>V3C</w:t>
      </w:r>
      <w:r w:rsidRPr="00A52AB8">
        <w:rPr>
          <w:color w:val="000000" w:themeColor="text1"/>
          <w:lang w:eastAsia="ko-KR"/>
        </w:rPr>
        <w:t xml:space="preserve"> unit header specifies also the index</w:t>
      </w:r>
      <w:r w:rsidR="00257AD4" w:rsidRPr="00A52AB8">
        <w:rPr>
          <w:color w:val="000000" w:themeColor="text1"/>
          <w:lang w:eastAsia="ko-KR"/>
        </w:rPr>
        <w:t xml:space="preserve"> of the attribute, which allows identification of the attribute type based on VPS information, and the partition index</w:t>
      </w:r>
      <w:r w:rsidRPr="00A52AB8">
        <w:rPr>
          <w:color w:val="000000" w:themeColor="text1"/>
          <w:lang w:eastAsia="ko-KR"/>
        </w:rPr>
        <w:t xml:space="preserve">, </w:t>
      </w:r>
      <w:r w:rsidR="00257AD4" w:rsidRPr="00A52AB8">
        <w:rPr>
          <w:color w:val="000000" w:themeColor="text1"/>
          <w:lang w:eastAsia="ko-KR"/>
        </w:rPr>
        <w:t>which enables an attribute that consists of multiple components to be segmented into smaller component partition units</w:t>
      </w:r>
      <w:r w:rsidRPr="00A52AB8">
        <w:rPr>
          <w:color w:val="000000" w:themeColor="text1"/>
          <w:lang w:eastAsia="ko-KR"/>
        </w:rPr>
        <w:t>.</w:t>
      </w:r>
      <w:r w:rsidR="00257AD4" w:rsidRPr="00A52AB8">
        <w:rPr>
          <w:color w:val="000000" w:themeColor="text1"/>
          <w:lang w:eastAsia="ko-KR"/>
        </w:rPr>
        <w:t xml:space="preserve"> Such segmentation allows such attribute types to be coded using legacy coding specifications that may be limited in terms of the number of components that they can support.</w:t>
      </w:r>
    </w:p>
    <w:p w14:paraId="4D746DD0" w14:textId="639441A0" w:rsidR="00EE152A" w:rsidRPr="00A52AB8" w:rsidRDefault="00EE152A">
      <w:pPr>
        <w:spacing w:after="120"/>
        <w:rPr>
          <w:color w:val="000000" w:themeColor="text1"/>
          <w:lang w:eastAsia="ko-KR"/>
        </w:rPr>
      </w:pPr>
      <w:r w:rsidRPr="00A52AB8">
        <w:rPr>
          <w:color w:val="000000" w:themeColor="text1"/>
          <w:lang w:eastAsia="ko-KR"/>
        </w:rPr>
        <w:t xml:space="preserve">The occupancy, geometry, and attribute </w:t>
      </w:r>
      <w:r w:rsidR="000E3355" w:rsidRPr="00A52AB8">
        <w:rPr>
          <w:color w:val="000000" w:themeColor="text1"/>
          <w:lang w:eastAsia="ko-KR"/>
        </w:rPr>
        <w:t>v</w:t>
      </w:r>
      <w:r w:rsidRPr="00A52AB8">
        <w:rPr>
          <w:color w:val="000000" w:themeColor="text1"/>
          <w:lang w:eastAsia="ko-KR"/>
        </w:rPr>
        <w:t xml:space="preserve">ideo </w:t>
      </w:r>
      <w:r w:rsidR="000E3355" w:rsidRPr="00A52AB8">
        <w:rPr>
          <w:color w:val="000000" w:themeColor="text1"/>
          <w:lang w:eastAsia="ko-KR"/>
        </w:rPr>
        <w:t>d</w:t>
      </w:r>
      <w:r w:rsidRPr="00A52AB8">
        <w:rPr>
          <w:color w:val="000000" w:themeColor="text1"/>
          <w:lang w:eastAsia="ko-KR"/>
        </w:rPr>
        <w:t>ata unit payloads correspond to video data units (e.g. NAL unit</w:t>
      </w:r>
      <w:r w:rsidR="003D4FE4" w:rsidRPr="00A52AB8">
        <w:rPr>
          <w:color w:val="000000" w:themeColor="text1"/>
          <w:lang w:eastAsia="ko-KR"/>
        </w:rPr>
        <w:t>s defined in ISO/IEC 23008-2</w:t>
      </w:r>
      <w:r w:rsidRPr="00A52AB8">
        <w:rPr>
          <w:color w:val="000000" w:themeColor="text1"/>
          <w:lang w:eastAsia="ko-KR"/>
        </w:rPr>
        <w:t xml:space="preserve">) that could be decoded by </w:t>
      </w:r>
      <w:r w:rsidR="006333E7" w:rsidRPr="00A52AB8">
        <w:rPr>
          <w:color w:val="000000" w:themeColor="text1"/>
          <w:lang w:eastAsia="ko-KR"/>
        </w:rPr>
        <w:t xml:space="preserve">an </w:t>
      </w:r>
      <w:r w:rsidR="00AC35CD" w:rsidRPr="00A52AB8">
        <w:rPr>
          <w:color w:val="000000" w:themeColor="text1"/>
          <w:lang w:eastAsia="ko-KR"/>
        </w:rPr>
        <w:t xml:space="preserve">appropriate </w:t>
      </w:r>
      <w:r w:rsidRPr="00A52AB8">
        <w:rPr>
          <w:color w:val="000000" w:themeColor="text1"/>
          <w:lang w:eastAsia="ko-KR"/>
        </w:rPr>
        <w:t>video decoder</w:t>
      </w:r>
      <w:r w:rsidR="00AC35CD" w:rsidRPr="00A52AB8">
        <w:rPr>
          <w:color w:val="000000" w:themeColor="text1"/>
          <w:lang w:eastAsia="ko-KR"/>
        </w:rPr>
        <w:t xml:space="preserve"> as indicated by </w:t>
      </w:r>
      <w:r w:rsidR="009D1009" w:rsidRPr="00A52AB8">
        <w:rPr>
          <w:color w:val="000000" w:themeColor="text1"/>
          <w:lang w:eastAsia="ko-KR"/>
        </w:rPr>
        <w:t xml:space="preserve">the </w:t>
      </w:r>
      <w:r w:rsidR="00AC35CD" w:rsidRPr="00A52AB8">
        <w:rPr>
          <w:color w:val="000000" w:themeColor="text1"/>
          <w:lang w:eastAsia="ko-KR"/>
        </w:rPr>
        <w:t xml:space="preserve">profiles defined in </w:t>
      </w:r>
      <w:r w:rsidR="009D1009" w:rsidRPr="00496A4D">
        <w:rPr>
          <w:color w:val="000000" w:themeColor="text1"/>
          <w:lang w:eastAsia="ko-KR"/>
        </w:rPr>
        <w:fldChar w:fldCharType="begin"/>
      </w:r>
      <w:r w:rsidR="009D1009" w:rsidRPr="00A52AB8">
        <w:rPr>
          <w:color w:val="000000" w:themeColor="text1"/>
          <w:lang w:eastAsia="ko-KR"/>
        </w:rPr>
        <w:instrText xml:space="preserve"> REF _Ref38898728 \n \h </w:instrText>
      </w:r>
      <w:r w:rsidR="0076013B" w:rsidRPr="00A52AB8">
        <w:rPr>
          <w:color w:val="000000" w:themeColor="text1"/>
          <w:lang w:eastAsia="ko-KR"/>
        </w:rPr>
        <w:instrText xml:space="preserve"> \* MERGEFORMAT </w:instrText>
      </w:r>
      <w:r w:rsidR="009D1009" w:rsidRPr="00496A4D">
        <w:rPr>
          <w:color w:val="000000" w:themeColor="text1"/>
          <w:lang w:eastAsia="ko-KR"/>
        </w:rPr>
      </w:r>
      <w:r w:rsidR="009D1009" w:rsidRPr="00496A4D">
        <w:rPr>
          <w:color w:val="000000" w:themeColor="text1"/>
          <w:lang w:eastAsia="ko-KR"/>
        </w:rPr>
        <w:fldChar w:fldCharType="separate"/>
      </w:r>
      <w:r w:rsidR="00507A67">
        <w:rPr>
          <w:color w:val="000000" w:themeColor="text1"/>
          <w:lang w:eastAsia="ko-KR"/>
        </w:rPr>
        <w:t>Annex A</w:t>
      </w:r>
      <w:r w:rsidR="009D1009" w:rsidRPr="00496A4D">
        <w:rPr>
          <w:color w:val="000000" w:themeColor="text1"/>
          <w:lang w:eastAsia="ko-KR"/>
        </w:rPr>
        <w:fldChar w:fldCharType="end"/>
      </w:r>
      <w:r w:rsidR="0076013B" w:rsidRPr="00A52AB8">
        <w:rPr>
          <w:color w:val="000000" w:themeColor="text1"/>
          <w:lang w:eastAsia="ko-KR"/>
        </w:rPr>
        <w:t xml:space="preserve"> and, if present, </w:t>
      </w:r>
      <w:r w:rsidR="0072003B" w:rsidRPr="00A52AB8">
        <w:rPr>
          <w:color w:val="000000" w:themeColor="text1"/>
          <w:lang w:eastAsia="ko-KR"/>
        </w:rPr>
        <w:t xml:space="preserve">the </w:t>
      </w:r>
      <w:r w:rsidR="0076013B" w:rsidRPr="00A52AB8">
        <w:rPr>
          <w:color w:val="000000" w:themeColor="text1"/>
          <w:lang w:eastAsia="ko-KR"/>
        </w:rPr>
        <w:t xml:space="preserve">component codec mapping SEI message defined in subclause </w:t>
      </w:r>
      <w:r w:rsidR="0076013B" w:rsidRPr="00496A4D">
        <w:rPr>
          <w:color w:val="000000" w:themeColor="text1"/>
          <w:lang w:eastAsia="ko-KR"/>
        </w:rPr>
        <w:fldChar w:fldCharType="begin"/>
      </w:r>
      <w:r w:rsidR="0076013B" w:rsidRPr="00A52AB8">
        <w:rPr>
          <w:color w:val="000000" w:themeColor="text1"/>
          <w:lang w:eastAsia="ko-KR"/>
        </w:rPr>
        <w:instrText xml:space="preserve"> REF _Ref21443984 \n \h </w:instrText>
      </w:r>
      <w:r w:rsidR="006371AA" w:rsidRPr="00A52AB8">
        <w:rPr>
          <w:color w:val="000000" w:themeColor="text1"/>
          <w:lang w:eastAsia="ko-KR"/>
        </w:rPr>
        <w:instrText xml:space="preserve"> \* MERGEFORMAT </w:instrText>
      </w:r>
      <w:r w:rsidR="0076013B" w:rsidRPr="00496A4D">
        <w:rPr>
          <w:color w:val="000000" w:themeColor="text1"/>
          <w:lang w:eastAsia="ko-KR"/>
        </w:rPr>
      </w:r>
      <w:r w:rsidR="0076013B" w:rsidRPr="00496A4D">
        <w:rPr>
          <w:color w:val="000000" w:themeColor="text1"/>
          <w:lang w:eastAsia="ko-KR"/>
        </w:rPr>
        <w:fldChar w:fldCharType="separate"/>
      </w:r>
      <w:r w:rsidR="00507A67">
        <w:rPr>
          <w:color w:val="000000" w:themeColor="text1"/>
          <w:lang w:eastAsia="ko-KR"/>
        </w:rPr>
        <w:t>F.3.11</w:t>
      </w:r>
      <w:r w:rsidR="0076013B" w:rsidRPr="00496A4D">
        <w:rPr>
          <w:color w:val="000000" w:themeColor="text1"/>
          <w:lang w:eastAsia="ko-KR"/>
        </w:rPr>
        <w:fldChar w:fldCharType="end"/>
      </w:r>
      <w:r w:rsidR="000F2BDB" w:rsidRPr="00A52AB8">
        <w:rPr>
          <w:color w:val="000000" w:themeColor="text1"/>
          <w:lang w:eastAsia="ko-KR"/>
        </w:rPr>
        <w:t>.</w:t>
      </w:r>
    </w:p>
    <w:p w14:paraId="6AB07F17" w14:textId="77777777" w:rsidR="002E7F47" w:rsidRPr="00A52AB8" w:rsidRDefault="00A04B02">
      <w:pPr>
        <w:keepNext/>
        <w:jc w:val="center"/>
      </w:pPr>
      <w:r w:rsidRPr="00A52AB8">
        <w:lastRenderedPageBreak/>
        <w:t xml:space="preserve"> </w:t>
      </w:r>
      <w:r w:rsidRPr="00496A4D">
        <w:rPr>
          <w:noProof/>
          <w:color w:val="000000" w:themeColor="text1"/>
        </w:rPr>
        <w:drawing>
          <wp:inline distT="0" distB="0" distL="0" distR="0" wp14:anchorId="34799024" wp14:editId="369B7A50">
            <wp:extent cx="4306976" cy="4466166"/>
            <wp:effectExtent l="0" t="0" r="0" b="4445"/>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4313382" cy="4472808"/>
                    </a:xfrm>
                    <a:prstGeom prst="rect">
                      <a:avLst/>
                    </a:prstGeom>
                  </pic:spPr>
                </pic:pic>
              </a:graphicData>
            </a:graphic>
          </wp:inline>
        </w:drawing>
      </w:r>
    </w:p>
    <w:p w14:paraId="06A594AA" w14:textId="6DDB73DD" w:rsidR="00F45425" w:rsidRPr="00A52AB8" w:rsidRDefault="002E7F47" w:rsidP="004A7026">
      <w:pPr>
        <w:pStyle w:val="Caption"/>
        <w:rPr>
          <w:rFonts w:ascii="Cambria" w:hAnsi="Cambria"/>
          <w:color w:val="000000" w:themeColor="text1"/>
        </w:rPr>
      </w:pPr>
      <w:bookmarkStart w:id="596" w:name="_Ref49257318"/>
      <w:r w:rsidRPr="00A52AB8">
        <w:rPr>
          <w:rFonts w:ascii="Cambria" w:hAnsi="Cambria"/>
        </w:rPr>
        <w:t xml:space="preserve">Figure </w:t>
      </w:r>
      <w:r w:rsidRPr="00496A4D">
        <w:rPr>
          <w:rFonts w:ascii="Cambria" w:hAnsi="Cambria"/>
        </w:rPr>
        <w:fldChar w:fldCharType="begin"/>
      </w:r>
      <w:r w:rsidRPr="00A52AB8">
        <w:rPr>
          <w:rFonts w:ascii="Cambria" w:hAnsi="Cambria"/>
        </w:rPr>
        <w:instrText xml:space="preserve"> SEQ Figure \* ARABIC </w:instrText>
      </w:r>
      <w:r w:rsidRPr="00496A4D">
        <w:rPr>
          <w:rFonts w:ascii="Cambria" w:hAnsi="Cambria"/>
        </w:rPr>
        <w:fldChar w:fldCharType="separate"/>
      </w:r>
      <w:r w:rsidR="00507A67">
        <w:rPr>
          <w:rFonts w:ascii="Cambria" w:hAnsi="Cambria"/>
          <w:noProof/>
        </w:rPr>
        <w:t>5</w:t>
      </w:r>
      <w:r w:rsidRPr="00496A4D">
        <w:rPr>
          <w:rFonts w:ascii="Cambria" w:hAnsi="Cambria"/>
        </w:rPr>
        <w:fldChar w:fldCharType="end"/>
      </w:r>
      <w:bookmarkEnd w:id="596"/>
      <w:r w:rsidRPr="00A52AB8">
        <w:rPr>
          <w:rFonts w:ascii="Cambria" w:eastAsiaTheme="minorEastAsia" w:hAnsi="Cambria"/>
          <w:color w:val="000000" w:themeColor="text1"/>
          <w:lang w:eastAsia="ja-JP"/>
        </w:rPr>
        <w:t> </w:t>
      </w:r>
      <w:r w:rsidRPr="00A52AB8">
        <w:rPr>
          <w:rFonts w:ascii="Cambria" w:hAnsi="Cambria"/>
        </w:rPr>
        <w:t>– </w:t>
      </w:r>
      <w:r w:rsidRPr="00A52AB8">
        <w:rPr>
          <w:rFonts w:ascii="Cambria" w:eastAsiaTheme="minorEastAsia" w:hAnsi="Cambria"/>
          <w:color w:val="000000" w:themeColor="text1"/>
          <w:lang w:eastAsia="ja-JP"/>
        </w:rPr>
        <w:t xml:space="preserve">Overview of V3C </w:t>
      </w:r>
      <w:r w:rsidRPr="00A52AB8">
        <w:rPr>
          <w:rFonts w:ascii="Cambria" w:hAnsi="Cambria"/>
          <w:color w:val="000000" w:themeColor="text1"/>
        </w:rPr>
        <w:t>bitstream structure</w:t>
      </w:r>
    </w:p>
    <w:p w14:paraId="05E730F6" w14:textId="4AE6BA53" w:rsidR="00EE152A" w:rsidRPr="00A52AB8" w:rsidRDefault="004B6ABD">
      <w:pPr>
        <w:pStyle w:val="Heading3"/>
      </w:pPr>
      <w:bookmarkStart w:id="597" w:name="_Toc49257532"/>
      <w:bookmarkStart w:id="598" w:name="_Toc49345030"/>
      <w:bookmarkStart w:id="599" w:name="_Toc49349840"/>
      <w:bookmarkStart w:id="600" w:name="_Toc39425260"/>
      <w:bookmarkStart w:id="601" w:name="_Toc42729958"/>
      <w:bookmarkStart w:id="602" w:name="_Toc45105414"/>
      <w:bookmarkStart w:id="603" w:name="_Toc45530272"/>
      <w:bookmarkStart w:id="604" w:name="_Toc46301624"/>
      <w:bookmarkStart w:id="605" w:name="_Toc46302449"/>
      <w:bookmarkStart w:id="606" w:name="_Toc39425261"/>
      <w:bookmarkStart w:id="607" w:name="_Toc42729959"/>
      <w:bookmarkStart w:id="608" w:name="_Toc45105415"/>
      <w:bookmarkStart w:id="609" w:name="_Toc45530273"/>
      <w:bookmarkStart w:id="610" w:name="_Toc46301625"/>
      <w:bookmarkStart w:id="611" w:name="_Toc46302450"/>
      <w:bookmarkStart w:id="612" w:name="_Toc39425262"/>
      <w:bookmarkStart w:id="613" w:name="_Toc42729960"/>
      <w:bookmarkStart w:id="614" w:name="_Toc45105416"/>
      <w:bookmarkStart w:id="615" w:name="_Toc45530274"/>
      <w:bookmarkStart w:id="616" w:name="_Toc46301626"/>
      <w:bookmarkStart w:id="617" w:name="_Toc46302451"/>
      <w:bookmarkStart w:id="618" w:name="_Toc529871394"/>
      <w:bookmarkStart w:id="619" w:name="_Ref38314076"/>
      <w:bookmarkStart w:id="620" w:name="_Ref49974081"/>
      <w:bookmarkStart w:id="621" w:name="_Toc52181604"/>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r w:rsidRPr="00A52AB8">
        <w:t>V3C</w:t>
      </w:r>
      <w:r w:rsidR="00EE152A" w:rsidRPr="00A52AB8">
        <w:t xml:space="preserve"> unit syntax</w:t>
      </w:r>
      <w:bookmarkEnd w:id="618"/>
      <w:bookmarkEnd w:id="619"/>
      <w:bookmarkEnd w:id="620"/>
      <w:bookmarkEnd w:id="621"/>
    </w:p>
    <w:p w14:paraId="114E1141" w14:textId="77777777" w:rsidR="009606D7" w:rsidRPr="00A52AB8" w:rsidRDefault="009606D7" w:rsidP="00CB76AA">
      <w:pPr>
        <w:pStyle w:val="Heading4"/>
      </w:pPr>
      <w:r w:rsidRPr="00A52AB8">
        <w:t xml:space="preserve">General </w:t>
      </w:r>
      <w:r w:rsidR="004B6ABD" w:rsidRPr="00A52AB8">
        <w:t>V3C</w:t>
      </w:r>
      <w:r w:rsidRPr="00A52AB8">
        <w:t xml:space="preserve"> unit syntax</w:t>
      </w:r>
    </w:p>
    <w:tbl>
      <w:tblPr>
        <w:tblStyle w:val="TableGrid"/>
        <w:tblW w:w="5000" w:type="pct"/>
        <w:jc w:val="center"/>
        <w:tblLook w:val="04A0" w:firstRow="1" w:lastRow="0" w:firstColumn="1" w:lastColumn="0" w:noHBand="0" w:noVBand="1"/>
      </w:tblPr>
      <w:tblGrid>
        <w:gridCol w:w="8266"/>
        <w:gridCol w:w="1476"/>
      </w:tblGrid>
      <w:tr w:rsidR="00EE152A" w:rsidRPr="00A52AB8" w14:paraId="41AC9C3A" w14:textId="77777777" w:rsidTr="006F23E0">
        <w:trPr>
          <w:jc w:val="center"/>
        </w:trPr>
        <w:tc>
          <w:tcPr>
            <w:tcW w:w="8266" w:type="dxa"/>
          </w:tcPr>
          <w:p w14:paraId="7AF8B3D1" w14:textId="49F3FF4A" w:rsidR="00EE152A" w:rsidRPr="00A52AB8" w:rsidRDefault="00FD2C5E">
            <w:pPr>
              <w:spacing w:before="20" w:after="20"/>
              <w:rPr>
                <w:color w:val="000000" w:themeColor="text1"/>
                <w:sz w:val="20"/>
              </w:rPr>
            </w:pPr>
            <w:r w:rsidRPr="00A52AB8">
              <w:rPr>
                <w:color w:val="000000" w:themeColor="text1"/>
                <w:sz w:val="20"/>
              </w:rPr>
              <w:t>v3c_</w:t>
            </w:r>
            <w:r w:rsidR="00EE152A" w:rsidRPr="00A52AB8">
              <w:rPr>
                <w:color w:val="000000" w:themeColor="text1"/>
                <w:sz w:val="20"/>
              </w:rPr>
              <w:t>unit( </w:t>
            </w:r>
            <w:r w:rsidR="00C76CF2" w:rsidRPr="00A52AB8">
              <w:rPr>
                <w:color w:val="000000" w:themeColor="text1"/>
                <w:sz w:val="20"/>
              </w:rPr>
              <w:t>numBytesInV3CUnit</w:t>
            </w:r>
            <w:r w:rsidR="00376E1A" w:rsidRPr="00A52AB8">
              <w:rPr>
                <w:color w:val="000000" w:themeColor="text1"/>
                <w:sz w:val="20"/>
              </w:rPr>
              <w:t> </w:t>
            </w:r>
            <w:r w:rsidR="008F1F82" w:rsidRPr="00A52AB8">
              <w:rPr>
                <w:color w:val="000000" w:themeColor="text1"/>
                <w:sz w:val="20"/>
              </w:rPr>
              <w:t>) {</w:t>
            </w:r>
          </w:p>
        </w:tc>
        <w:tc>
          <w:tcPr>
            <w:tcW w:w="1476" w:type="dxa"/>
          </w:tcPr>
          <w:p w14:paraId="32174486" w14:textId="77777777" w:rsidR="00EE152A" w:rsidRPr="00A52AB8" w:rsidRDefault="00EE152A">
            <w:pPr>
              <w:spacing w:before="20" w:after="20"/>
              <w:jc w:val="center"/>
              <w:rPr>
                <w:b/>
                <w:color w:val="000000" w:themeColor="text1"/>
                <w:sz w:val="20"/>
              </w:rPr>
            </w:pPr>
            <w:r w:rsidRPr="00A52AB8">
              <w:rPr>
                <w:b/>
                <w:color w:val="000000" w:themeColor="text1"/>
                <w:sz w:val="20"/>
              </w:rPr>
              <w:t>Descriptor</w:t>
            </w:r>
          </w:p>
        </w:tc>
      </w:tr>
      <w:tr w:rsidR="00EE152A" w:rsidRPr="00A52AB8" w14:paraId="1818FF2B" w14:textId="77777777" w:rsidTr="006F23E0">
        <w:trPr>
          <w:jc w:val="center"/>
        </w:trPr>
        <w:tc>
          <w:tcPr>
            <w:tcW w:w="8266" w:type="dxa"/>
          </w:tcPr>
          <w:p w14:paraId="15F224DB" w14:textId="77777777" w:rsidR="00EE152A" w:rsidRPr="00A52AB8" w:rsidRDefault="00EE152A" w:rsidP="004F7C57">
            <w:pPr>
              <w:spacing w:before="20" w:after="20"/>
              <w:rPr>
                <w:color w:val="000000" w:themeColor="text1"/>
                <w:sz w:val="20"/>
              </w:rPr>
            </w:pPr>
            <w:r w:rsidRPr="00A52AB8">
              <w:rPr>
                <w:color w:val="000000" w:themeColor="text1"/>
                <w:sz w:val="20"/>
              </w:rPr>
              <w:tab/>
            </w:r>
            <w:r w:rsidR="00FD2C5E" w:rsidRPr="00A52AB8">
              <w:rPr>
                <w:color w:val="000000" w:themeColor="text1"/>
                <w:sz w:val="20"/>
              </w:rPr>
              <w:t>v3c_</w:t>
            </w:r>
            <w:r w:rsidRPr="00A52AB8">
              <w:rPr>
                <w:color w:val="000000" w:themeColor="text1"/>
                <w:sz w:val="20"/>
              </w:rPr>
              <w:t>unit_header(</w:t>
            </w:r>
            <w:r w:rsidR="00B9072C" w:rsidRPr="00A52AB8">
              <w:rPr>
                <w:color w:val="000000" w:themeColor="text1"/>
                <w:sz w:val="20"/>
              </w:rPr>
              <w:t> </w:t>
            </w:r>
            <w:r w:rsidRPr="00A52AB8">
              <w:rPr>
                <w:color w:val="000000" w:themeColor="text1"/>
                <w:sz w:val="20"/>
              </w:rPr>
              <w:t>)</w:t>
            </w:r>
          </w:p>
        </w:tc>
        <w:tc>
          <w:tcPr>
            <w:tcW w:w="1476" w:type="dxa"/>
          </w:tcPr>
          <w:p w14:paraId="057C997D" w14:textId="77777777" w:rsidR="00EE152A" w:rsidRPr="00A52AB8" w:rsidRDefault="00EE152A" w:rsidP="004F7C57">
            <w:pPr>
              <w:spacing w:before="20" w:after="20"/>
              <w:jc w:val="center"/>
              <w:rPr>
                <w:color w:val="000000" w:themeColor="text1"/>
                <w:sz w:val="20"/>
              </w:rPr>
            </w:pPr>
          </w:p>
        </w:tc>
      </w:tr>
      <w:tr w:rsidR="00EE152A" w:rsidRPr="00A52AB8" w14:paraId="6204EA42" w14:textId="77777777" w:rsidTr="006F23E0">
        <w:trPr>
          <w:jc w:val="center"/>
        </w:trPr>
        <w:tc>
          <w:tcPr>
            <w:tcW w:w="8266" w:type="dxa"/>
          </w:tcPr>
          <w:p w14:paraId="1201D54A" w14:textId="4649C0AF" w:rsidR="00EE152A" w:rsidRPr="00A52AB8" w:rsidRDefault="00B9072C" w:rsidP="004F7C57">
            <w:pPr>
              <w:spacing w:before="20" w:after="20"/>
              <w:rPr>
                <w:color w:val="000000" w:themeColor="text1"/>
                <w:sz w:val="20"/>
              </w:rPr>
            </w:pPr>
            <w:r w:rsidRPr="00A52AB8">
              <w:rPr>
                <w:color w:val="000000" w:themeColor="text1"/>
                <w:sz w:val="20"/>
              </w:rPr>
              <w:tab/>
            </w:r>
            <w:r w:rsidR="00FD2C5E" w:rsidRPr="00A52AB8">
              <w:rPr>
                <w:color w:val="000000" w:themeColor="text1"/>
                <w:sz w:val="20"/>
              </w:rPr>
              <w:t>v3c_</w:t>
            </w:r>
            <w:r w:rsidR="00EE152A" w:rsidRPr="00A52AB8">
              <w:rPr>
                <w:color w:val="000000" w:themeColor="text1"/>
                <w:sz w:val="20"/>
              </w:rPr>
              <w:t>unit_payload(</w:t>
            </w:r>
            <w:r w:rsidR="00376E1A" w:rsidRPr="00A52AB8">
              <w:rPr>
                <w:color w:val="000000" w:themeColor="text1"/>
                <w:sz w:val="20"/>
              </w:rPr>
              <w:t> </w:t>
            </w:r>
            <w:r w:rsidR="00C76CF2" w:rsidRPr="00A52AB8">
              <w:rPr>
                <w:color w:val="000000" w:themeColor="text1"/>
                <w:sz w:val="20"/>
              </w:rPr>
              <w:t>numBytesInV3CUnit</w:t>
            </w:r>
            <w:r w:rsidR="00376E1A" w:rsidRPr="00A52AB8">
              <w:rPr>
                <w:color w:val="000000" w:themeColor="text1"/>
                <w:sz w:val="20"/>
              </w:rPr>
              <w:t> </w:t>
            </w:r>
            <w:r w:rsidR="003D77B3" w:rsidRPr="00A52AB8">
              <w:rPr>
                <w:color w:val="000000" w:themeColor="text1"/>
                <w:sz w:val="20"/>
              </w:rPr>
              <w:t>–</w:t>
            </w:r>
            <w:r w:rsidR="00376E1A" w:rsidRPr="00A52AB8">
              <w:rPr>
                <w:color w:val="000000" w:themeColor="text1"/>
                <w:sz w:val="20"/>
              </w:rPr>
              <w:t> </w:t>
            </w:r>
            <w:r w:rsidR="003D77B3" w:rsidRPr="00A52AB8">
              <w:rPr>
                <w:color w:val="000000" w:themeColor="text1"/>
                <w:sz w:val="20"/>
              </w:rPr>
              <w:t>4</w:t>
            </w:r>
            <w:r w:rsidRPr="00A52AB8">
              <w:rPr>
                <w:color w:val="000000" w:themeColor="text1"/>
                <w:sz w:val="20"/>
              </w:rPr>
              <w:t> </w:t>
            </w:r>
            <w:r w:rsidR="00EE152A" w:rsidRPr="00A52AB8">
              <w:rPr>
                <w:color w:val="000000" w:themeColor="text1"/>
                <w:sz w:val="20"/>
              </w:rPr>
              <w:t>)</w:t>
            </w:r>
          </w:p>
        </w:tc>
        <w:tc>
          <w:tcPr>
            <w:tcW w:w="1476" w:type="dxa"/>
          </w:tcPr>
          <w:p w14:paraId="6B6021FD" w14:textId="77777777" w:rsidR="00EE152A" w:rsidRPr="00A52AB8" w:rsidRDefault="00EE152A" w:rsidP="004F7C57">
            <w:pPr>
              <w:spacing w:before="20" w:after="20"/>
              <w:jc w:val="center"/>
              <w:rPr>
                <w:color w:val="000000" w:themeColor="text1"/>
                <w:sz w:val="20"/>
              </w:rPr>
            </w:pPr>
          </w:p>
        </w:tc>
      </w:tr>
      <w:tr w:rsidR="00EE152A" w:rsidRPr="00A52AB8" w14:paraId="6686F992" w14:textId="77777777" w:rsidTr="006F23E0">
        <w:trPr>
          <w:jc w:val="center"/>
        </w:trPr>
        <w:tc>
          <w:tcPr>
            <w:tcW w:w="8266" w:type="dxa"/>
          </w:tcPr>
          <w:p w14:paraId="719BCFD9" w14:textId="77777777" w:rsidR="00EE152A" w:rsidRPr="00A52AB8" w:rsidRDefault="00EE152A" w:rsidP="004F7C57">
            <w:pPr>
              <w:spacing w:before="20" w:after="20"/>
              <w:rPr>
                <w:color w:val="000000" w:themeColor="text1"/>
                <w:sz w:val="20"/>
              </w:rPr>
            </w:pPr>
            <w:r w:rsidRPr="00A52AB8">
              <w:rPr>
                <w:color w:val="000000" w:themeColor="text1"/>
                <w:sz w:val="20"/>
              </w:rPr>
              <w:t>}</w:t>
            </w:r>
          </w:p>
        </w:tc>
        <w:tc>
          <w:tcPr>
            <w:tcW w:w="1476" w:type="dxa"/>
          </w:tcPr>
          <w:p w14:paraId="0181AAED" w14:textId="77777777" w:rsidR="00EE152A" w:rsidRPr="00A52AB8" w:rsidRDefault="00EE152A" w:rsidP="004F7C57">
            <w:pPr>
              <w:spacing w:before="20" w:after="20"/>
              <w:jc w:val="center"/>
              <w:rPr>
                <w:color w:val="000000" w:themeColor="text1"/>
                <w:sz w:val="20"/>
              </w:rPr>
            </w:pPr>
          </w:p>
        </w:tc>
      </w:tr>
    </w:tbl>
    <w:p w14:paraId="63214E13" w14:textId="77777777" w:rsidR="00EE152A" w:rsidRPr="00A52AB8" w:rsidRDefault="004B6ABD" w:rsidP="005C26E9">
      <w:pPr>
        <w:pStyle w:val="Heading4"/>
      </w:pPr>
      <w:bookmarkStart w:id="622" w:name="_Toc529871395"/>
      <w:r w:rsidRPr="00A52AB8">
        <w:t>V3C</w:t>
      </w:r>
      <w:r w:rsidR="00EE152A" w:rsidRPr="00A52AB8">
        <w:t xml:space="preserve"> unit header syntax</w:t>
      </w:r>
      <w:bookmarkEnd w:id="622"/>
    </w:p>
    <w:tbl>
      <w:tblPr>
        <w:tblStyle w:val="TableGrid"/>
        <w:tblW w:w="5000" w:type="pct"/>
        <w:jc w:val="center"/>
        <w:tblLayout w:type="fixed"/>
        <w:tblLook w:val="04A0" w:firstRow="1" w:lastRow="0" w:firstColumn="1" w:lastColumn="0" w:noHBand="0" w:noVBand="1"/>
      </w:tblPr>
      <w:tblGrid>
        <w:gridCol w:w="8411"/>
        <w:gridCol w:w="1331"/>
      </w:tblGrid>
      <w:tr w:rsidR="00EE152A" w:rsidRPr="00A52AB8" w14:paraId="4EE57DFB" w14:textId="77777777" w:rsidTr="00983491">
        <w:trPr>
          <w:jc w:val="center"/>
        </w:trPr>
        <w:tc>
          <w:tcPr>
            <w:tcW w:w="7921" w:type="dxa"/>
          </w:tcPr>
          <w:p w14:paraId="0FBD13C2" w14:textId="3095A3FC" w:rsidR="00EE152A" w:rsidRPr="00A52AB8" w:rsidRDefault="00FD2C5E" w:rsidP="004F7C57">
            <w:pPr>
              <w:spacing w:before="20" w:after="20"/>
              <w:rPr>
                <w:color w:val="000000" w:themeColor="text1"/>
                <w:sz w:val="20"/>
                <w:szCs w:val="20"/>
              </w:rPr>
            </w:pPr>
            <w:r w:rsidRPr="00A52AB8">
              <w:rPr>
                <w:color w:val="000000" w:themeColor="text1"/>
                <w:sz w:val="20"/>
                <w:szCs w:val="20"/>
              </w:rPr>
              <w:t>v3c_</w:t>
            </w:r>
            <w:r w:rsidR="00EE152A" w:rsidRPr="00A52AB8">
              <w:rPr>
                <w:color w:val="000000" w:themeColor="text1"/>
                <w:sz w:val="20"/>
                <w:szCs w:val="20"/>
              </w:rPr>
              <w:t>unit_header( </w:t>
            </w:r>
            <w:r w:rsidR="008F1F82" w:rsidRPr="00A52AB8">
              <w:rPr>
                <w:color w:val="000000" w:themeColor="text1"/>
                <w:sz w:val="20"/>
                <w:szCs w:val="20"/>
              </w:rPr>
              <w:t>) {</w:t>
            </w:r>
          </w:p>
        </w:tc>
        <w:tc>
          <w:tcPr>
            <w:tcW w:w="1253" w:type="dxa"/>
          </w:tcPr>
          <w:p w14:paraId="63ABBFAF" w14:textId="77777777" w:rsidR="00EE152A" w:rsidRPr="00A52AB8" w:rsidRDefault="00EE152A">
            <w:pPr>
              <w:spacing w:before="20" w:after="20"/>
              <w:jc w:val="center"/>
              <w:rPr>
                <w:b/>
                <w:color w:val="000000" w:themeColor="text1"/>
                <w:sz w:val="20"/>
                <w:szCs w:val="20"/>
              </w:rPr>
            </w:pPr>
            <w:r w:rsidRPr="00A52AB8">
              <w:rPr>
                <w:b/>
                <w:color w:val="000000" w:themeColor="text1"/>
                <w:sz w:val="20"/>
                <w:szCs w:val="20"/>
              </w:rPr>
              <w:t>Descriptor</w:t>
            </w:r>
          </w:p>
        </w:tc>
      </w:tr>
      <w:tr w:rsidR="005E7703" w:rsidRPr="00A52AB8" w14:paraId="03A50027" w14:textId="77777777" w:rsidTr="00983491">
        <w:trPr>
          <w:jc w:val="center"/>
        </w:trPr>
        <w:tc>
          <w:tcPr>
            <w:tcW w:w="7921" w:type="dxa"/>
          </w:tcPr>
          <w:p w14:paraId="551EE51E" w14:textId="77777777" w:rsidR="005E7703" w:rsidRPr="00A52AB8" w:rsidRDefault="005E7703" w:rsidP="004F7C57">
            <w:pPr>
              <w:spacing w:before="20" w:after="20"/>
              <w:rPr>
                <w:b/>
                <w:color w:val="000000" w:themeColor="text1"/>
                <w:sz w:val="20"/>
                <w:szCs w:val="20"/>
              </w:rPr>
            </w:pPr>
            <w:r w:rsidRPr="00A52AB8">
              <w:rPr>
                <w:color w:val="000000" w:themeColor="text1"/>
                <w:sz w:val="20"/>
                <w:szCs w:val="20"/>
              </w:rPr>
              <w:tab/>
            </w:r>
            <w:r w:rsidR="00707920" w:rsidRPr="00A52AB8">
              <w:rPr>
                <w:b/>
                <w:color w:val="000000" w:themeColor="text1"/>
                <w:sz w:val="20"/>
                <w:szCs w:val="20"/>
              </w:rPr>
              <w:t>vuh_unit_type</w:t>
            </w:r>
          </w:p>
        </w:tc>
        <w:tc>
          <w:tcPr>
            <w:tcW w:w="1253" w:type="dxa"/>
          </w:tcPr>
          <w:p w14:paraId="1D488F0F" w14:textId="77777777" w:rsidR="005E7703" w:rsidRPr="00A52AB8" w:rsidRDefault="005E7703" w:rsidP="004F7C57">
            <w:pPr>
              <w:spacing w:before="20" w:after="20"/>
              <w:jc w:val="center"/>
              <w:rPr>
                <w:color w:val="000000" w:themeColor="text1"/>
                <w:sz w:val="20"/>
                <w:szCs w:val="20"/>
              </w:rPr>
            </w:pPr>
            <w:r w:rsidRPr="00A52AB8">
              <w:rPr>
                <w:color w:val="000000" w:themeColor="text1"/>
                <w:sz w:val="20"/>
                <w:szCs w:val="20"/>
              </w:rPr>
              <w:t>u(5)</w:t>
            </w:r>
          </w:p>
        </w:tc>
      </w:tr>
      <w:tr w:rsidR="004B642C" w:rsidRPr="00A52AB8" w14:paraId="5CB38845" w14:textId="77777777" w:rsidTr="00983491">
        <w:trPr>
          <w:jc w:val="center"/>
        </w:trPr>
        <w:tc>
          <w:tcPr>
            <w:tcW w:w="7921" w:type="dxa"/>
          </w:tcPr>
          <w:p w14:paraId="6C039981" w14:textId="1D9F083C" w:rsidR="004B642C" w:rsidRPr="00A52AB8" w:rsidRDefault="004B642C" w:rsidP="001824B9">
            <w:pPr>
              <w:spacing w:before="20" w:after="20"/>
              <w:rPr>
                <w:color w:val="000000" w:themeColor="text1"/>
                <w:sz w:val="20"/>
                <w:szCs w:val="20"/>
              </w:rPr>
            </w:pPr>
            <w:r w:rsidRPr="00A52AB8">
              <w:rPr>
                <w:color w:val="000000" w:themeColor="text1"/>
                <w:sz w:val="20"/>
                <w:szCs w:val="20"/>
              </w:rPr>
              <w:tab/>
              <w:t>if(</w:t>
            </w:r>
            <w:r w:rsidR="004C3161" w:rsidRPr="00A52AB8">
              <w:rPr>
                <w:color w:val="000000" w:themeColor="text1"/>
                <w:sz w:val="20"/>
                <w:szCs w:val="20"/>
              </w:rPr>
              <w:t> </w:t>
            </w:r>
            <w:r w:rsidR="00707920" w:rsidRPr="00A52AB8">
              <w:rPr>
                <w:color w:val="000000" w:themeColor="text1"/>
                <w:sz w:val="20"/>
                <w:szCs w:val="20"/>
              </w:rPr>
              <w:t>vuh_unit_type</w:t>
            </w:r>
            <w:r w:rsidR="008768E9" w:rsidRPr="00A52AB8">
              <w:rPr>
                <w:color w:val="000000" w:themeColor="text1"/>
                <w:sz w:val="20"/>
                <w:szCs w:val="20"/>
              </w:rPr>
              <w:t> </w:t>
            </w:r>
            <w:r w:rsidR="00726AAE" w:rsidRPr="00A52AB8">
              <w:rPr>
                <w:color w:val="000000" w:themeColor="text1"/>
                <w:sz w:val="20"/>
                <w:szCs w:val="20"/>
              </w:rPr>
              <w:t>==</w:t>
            </w:r>
            <w:r w:rsidR="00D47707" w:rsidRPr="00A52AB8">
              <w:rPr>
                <w:color w:val="000000" w:themeColor="text1"/>
                <w:sz w:val="20"/>
                <w:szCs w:val="20"/>
              </w:rPr>
              <w:t> </w:t>
            </w:r>
            <w:r w:rsidR="00F03B52" w:rsidRPr="00A52AB8">
              <w:rPr>
                <w:color w:val="000000" w:themeColor="text1"/>
                <w:sz w:val="20"/>
                <w:szCs w:val="20"/>
                <w:lang w:eastAsia="ja-JP"/>
              </w:rPr>
              <w:t>V3C_</w:t>
            </w:r>
            <w:r w:rsidRPr="00A52AB8">
              <w:rPr>
                <w:color w:val="000000" w:themeColor="text1"/>
                <w:sz w:val="20"/>
                <w:szCs w:val="20"/>
              </w:rPr>
              <w:t>AVD</w:t>
            </w:r>
            <w:r w:rsidR="008768E9" w:rsidRPr="00A52AB8">
              <w:rPr>
                <w:color w:val="000000" w:themeColor="text1"/>
                <w:sz w:val="20"/>
                <w:szCs w:val="20"/>
              </w:rPr>
              <w:t> || </w:t>
            </w:r>
            <w:r w:rsidR="00707920" w:rsidRPr="00A52AB8">
              <w:rPr>
                <w:color w:val="000000" w:themeColor="text1"/>
                <w:sz w:val="20"/>
                <w:szCs w:val="20"/>
              </w:rPr>
              <w:t>vuh_unit_type</w:t>
            </w:r>
            <w:r w:rsidR="008768E9" w:rsidRPr="00A52AB8">
              <w:rPr>
                <w:color w:val="000000" w:themeColor="text1"/>
                <w:sz w:val="20"/>
                <w:szCs w:val="20"/>
              </w:rPr>
              <w:t> </w:t>
            </w:r>
            <w:r w:rsidR="00726AAE" w:rsidRPr="00A52AB8">
              <w:rPr>
                <w:color w:val="000000" w:themeColor="text1"/>
                <w:sz w:val="20"/>
                <w:szCs w:val="20"/>
              </w:rPr>
              <w:t>==</w:t>
            </w:r>
            <w:r w:rsidR="00D47707" w:rsidRPr="00A52AB8">
              <w:rPr>
                <w:color w:val="000000" w:themeColor="text1"/>
                <w:sz w:val="20"/>
                <w:szCs w:val="20"/>
              </w:rPr>
              <w:t> </w:t>
            </w:r>
            <w:r w:rsidR="00F03B52" w:rsidRPr="00A52AB8">
              <w:rPr>
                <w:color w:val="000000" w:themeColor="text1"/>
                <w:sz w:val="20"/>
                <w:szCs w:val="20"/>
                <w:lang w:eastAsia="ja-JP"/>
              </w:rPr>
              <w:t>V3C_</w:t>
            </w:r>
            <w:r w:rsidRPr="00A52AB8">
              <w:rPr>
                <w:color w:val="000000" w:themeColor="text1"/>
                <w:sz w:val="20"/>
                <w:szCs w:val="20"/>
                <w:lang w:eastAsia="ja-JP"/>
              </w:rPr>
              <w:t>G</w:t>
            </w:r>
            <w:r w:rsidRPr="00A52AB8">
              <w:rPr>
                <w:color w:val="000000" w:themeColor="text1"/>
                <w:sz w:val="20"/>
                <w:szCs w:val="20"/>
              </w:rPr>
              <w:t>VD</w:t>
            </w:r>
            <w:r w:rsidR="008768E9" w:rsidRPr="00A52AB8">
              <w:rPr>
                <w:color w:val="000000" w:themeColor="text1"/>
                <w:sz w:val="20"/>
                <w:szCs w:val="20"/>
              </w:rPr>
              <w:t> ||</w:t>
            </w:r>
            <w:r w:rsidR="009A0707" w:rsidRPr="00A52AB8">
              <w:rPr>
                <w:color w:val="000000" w:themeColor="text1"/>
                <w:sz w:val="20"/>
                <w:szCs w:val="20"/>
              </w:rPr>
              <w:br/>
            </w:r>
            <w:r w:rsidRPr="00A52AB8">
              <w:rPr>
                <w:color w:val="000000" w:themeColor="text1"/>
                <w:sz w:val="20"/>
                <w:szCs w:val="20"/>
              </w:rPr>
              <w:tab/>
            </w:r>
            <w:r w:rsidRPr="00A52AB8">
              <w:rPr>
                <w:color w:val="000000" w:themeColor="text1"/>
                <w:sz w:val="20"/>
                <w:szCs w:val="20"/>
              </w:rPr>
              <w:tab/>
            </w:r>
            <w:r w:rsidR="00707920" w:rsidRPr="00A52AB8">
              <w:rPr>
                <w:color w:val="000000" w:themeColor="text1"/>
                <w:sz w:val="20"/>
                <w:szCs w:val="20"/>
              </w:rPr>
              <w:t>vuh_unit_type</w:t>
            </w:r>
            <w:r w:rsidR="008768E9" w:rsidRPr="00A52AB8">
              <w:rPr>
                <w:color w:val="000000" w:themeColor="text1"/>
                <w:sz w:val="20"/>
                <w:szCs w:val="20"/>
              </w:rPr>
              <w:t> </w:t>
            </w:r>
            <w:r w:rsidR="00726AAE" w:rsidRPr="00A52AB8">
              <w:rPr>
                <w:color w:val="000000" w:themeColor="text1"/>
                <w:sz w:val="20"/>
                <w:szCs w:val="20"/>
              </w:rPr>
              <w:t>==</w:t>
            </w:r>
            <w:r w:rsidR="00D47707" w:rsidRPr="00A52AB8">
              <w:rPr>
                <w:color w:val="000000" w:themeColor="text1"/>
                <w:sz w:val="20"/>
                <w:szCs w:val="20"/>
              </w:rPr>
              <w:t> </w:t>
            </w:r>
            <w:r w:rsidR="00F03B52" w:rsidRPr="00A52AB8">
              <w:rPr>
                <w:color w:val="000000" w:themeColor="text1"/>
                <w:sz w:val="20"/>
                <w:szCs w:val="20"/>
                <w:lang w:eastAsia="ja-JP"/>
              </w:rPr>
              <w:t>V3C_</w:t>
            </w:r>
            <w:r w:rsidRPr="00A52AB8">
              <w:rPr>
                <w:color w:val="000000" w:themeColor="text1"/>
                <w:sz w:val="20"/>
                <w:szCs w:val="20"/>
                <w:lang w:eastAsia="ja-JP"/>
              </w:rPr>
              <w:t>O</w:t>
            </w:r>
            <w:r w:rsidRPr="00A52AB8">
              <w:rPr>
                <w:color w:val="000000" w:themeColor="text1"/>
                <w:sz w:val="20"/>
                <w:szCs w:val="20"/>
              </w:rPr>
              <w:t>VD</w:t>
            </w:r>
            <w:r w:rsidR="008768E9" w:rsidRPr="00A52AB8">
              <w:rPr>
                <w:color w:val="000000" w:themeColor="text1"/>
                <w:sz w:val="20"/>
                <w:szCs w:val="20"/>
              </w:rPr>
              <w:t> || </w:t>
            </w:r>
            <w:r w:rsidR="00707920" w:rsidRPr="00A52AB8">
              <w:rPr>
                <w:color w:val="000000" w:themeColor="text1"/>
                <w:sz w:val="20"/>
                <w:szCs w:val="20"/>
              </w:rPr>
              <w:t>vuh_unit_type</w:t>
            </w:r>
            <w:r w:rsidR="008768E9" w:rsidRPr="00A52AB8">
              <w:rPr>
                <w:color w:val="000000" w:themeColor="text1"/>
                <w:sz w:val="20"/>
                <w:szCs w:val="20"/>
              </w:rPr>
              <w:t> </w:t>
            </w:r>
            <w:r w:rsidR="00726AAE" w:rsidRPr="00A52AB8">
              <w:rPr>
                <w:color w:val="000000" w:themeColor="text1"/>
                <w:sz w:val="20"/>
                <w:szCs w:val="20"/>
              </w:rPr>
              <w:t>==</w:t>
            </w:r>
            <w:r w:rsidR="00D47707" w:rsidRPr="00A52AB8">
              <w:rPr>
                <w:color w:val="000000" w:themeColor="text1"/>
                <w:sz w:val="20"/>
                <w:szCs w:val="20"/>
              </w:rPr>
              <w:t> </w:t>
            </w:r>
            <w:r w:rsidR="00F03B52" w:rsidRPr="00A52AB8">
              <w:rPr>
                <w:color w:val="000000" w:themeColor="text1"/>
                <w:sz w:val="20"/>
                <w:szCs w:val="20"/>
                <w:lang w:eastAsia="ja-JP"/>
              </w:rPr>
              <w:t>V3C_</w:t>
            </w:r>
            <w:r w:rsidR="00A52C3F" w:rsidRPr="00A52AB8">
              <w:rPr>
                <w:color w:val="000000" w:themeColor="text1"/>
                <w:sz w:val="20"/>
                <w:szCs w:val="20"/>
                <w:lang w:eastAsia="ja-JP"/>
              </w:rPr>
              <w:t>AD</w:t>
            </w:r>
            <w:r w:rsidRPr="00A52AB8">
              <w:rPr>
                <w:color w:val="000000" w:themeColor="text1"/>
                <w:sz w:val="20"/>
                <w:szCs w:val="20"/>
              </w:rPr>
              <w:t> </w:t>
            </w:r>
            <w:r w:rsidR="00C2716D" w:rsidRPr="00A52AB8">
              <w:rPr>
                <w:color w:val="000000" w:themeColor="text1"/>
                <w:sz w:val="20"/>
                <w:szCs w:val="20"/>
              </w:rPr>
              <w:t>||</w:t>
            </w:r>
            <w:r w:rsidR="00C2716D" w:rsidRPr="00A52AB8">
              <w:rPr>
                <w:color w:val="000000" w:themeColor="text1"/>
                <w:sz w:val="20"/>
                <w:szCs w:val="20"/>
              </w:rPr>
              <w:br/>
            </w:r>
            <w:r w:rsidR="00C2716D" w:rsidRPr="00A52AB8">
              <w:rPr>
                <w:color w:val="000000" w:themeColor="text1"/>
                <w:sz w:val="20"/>
                <w:szCs w:val="20"/>
              </w:rPr>
              <w:tab/>
            </w:r>
            <w:r w:rsidR="00C2716D" w:rsidRPr="00A52AB8">
              <w:rPr>
                <w:color w:val="000000" w:themeColor="text1"/>
                <w:sz w:val="20"/>
                <w:szCs w:val="20"/>
              </w:rPr>
              <w:tab/>
              <w:t>vuh_unit_type</w:t>
            </w:r>
            <w:r w:rsidR="00C2716D" w:rsidRPr="00A52AB8">
              <w:t> </w:t>
            </w:r>
            <w:r w:rsidR="00C2716D" w:rsidRPr="00A52AB8">
              <w:rPr>
                <w:color w:val="000000" w:themeColor="text1"/>
                <w:sz w:val="20"/>
                <w:szCs w:val="20"/>
              </w:rPr>
              <w:t>== V3C_CAD || vuh_unit_type == V3C_PVD</w:t>
            </w:r>
            <w:r w:rsidR="00C2716D" w:rsidRPr="00A52AB8">
              <w:t> </w:t>
            </w:r>
            <w:r w:rsidR="008F1F82" w:rsidRPr="00A52AB8">
              <w:rPr>
                <w:color w:val="000000" w:themeColor="text1"/>
                <w:sz w:val="20"/>
                <w:szCs w:val="20"/>
              </w:rPr>
              <w:t>)</w:t>
            </w:r>
          </w:p>
        </w:tc>
        <w:tc>
          <w:tcPr>
            <w:tcW w:w="1253" w:type="dxa"/>
          </w:tcPr>
          <w:p w14:paraId="6124D2B0" w14:textId="77777777" w:rsidR="004B642C" w:rsidRPr="00A52AB8" w:rsidRDefault="004B642C">
            <w:pPr>
              <w:spacing w:before="20" w:after="20"/>
              <w:jc w:val="center"/>
              <w:rPr>
                <w:color w:val="000000" w:themeColor="text1"/>
                <w:sz w:val="20"/>
                <w:szCs w:val="20"/>
              </w:rPr>
            </w:pPr>
          </w:p>
        </w:tc>
      </w:tr>
      <w:tr w:rsidR="004B642C" w:rsidRPr="00A52AB8" w14:paraId="1B8A12BB" w14:textId="77777777" w:rsidTr="00983491">
        <w:trPr>
          <w:jc w:val="center"/>
        </w:trPr>
        <w:tc>
          <w:tcPr>
            <w:tcW w:w="7921" w:type="dxa"/>
          </w:tcPr>
          <w:p w14:paraId="6E7FB334" w14:textId="77777777" w:rsidR="004B642C" w:rsidRPr="00A52AB8" w:rsidRDefault="004B642C" w:rsidP="004F7C57">
            <w:pPr>
              <w:spacing w:before="20" w:after="20"/>
              <w:rPr>
                <w:color w:val="000000" w:themeColor="text1"/>
                <w:sz w:val="20"/>
                <w:szCs w:val="20"/>
              </w:rPr>
            </w:pPr>
            <w:r w:rsidRPr="00A52AB8">
              <w:rPr>
                <w:b/>
                <w:color w:val="000000" w:themeColor="text1"/>
                <w:sz w:val="20"/>
                <w:szCs w:val="20"/>
              </w:rPr>
              <w:tab/>
            </w:r>
            <w:r w:rsidRPr="00A52AB8">
              <w:rPr>
                <w:b/>
                <w:color w:val="000000" w:themeColor="text1"/>
                <w:sz w:val="20"/>
                <w:szCs w:val="20"/>
              </w:rPr>
              <w:tab/>
            </w:r>
            <w:r w:rsidR="00707920" w:rsidRPr="00A52AB8">
              <w:rPr>
                <w:b/>
                <w:color w:val="000000" w:themeColor="text1"/>
                <w:sz w:val="20"/>
                <w:szCs w:val="20"/>
              </w:rPr>
              <w:t>vuh_</w:t>
            </w:r>
            <w:r w:rsidR="00307947" w:rsidRPr="00A52AB8">
              <w:rPr>
                <w:b/>
                <w:color w:val="000000" w:themeColor="text1"/>
                <w:sz w:val="20"/>
                <w:szCs w:val="20"/>
              </w:rPr>
              <w:t>v3c_</w:t>
            </w:r>
            <w:r w:rsidRPr="00A52AB8">
              <w:rPr>
                <w:b/>
                <w:color w:val="000000" w:themeColor="text1"/>
                <w:sz w:val="20"/>
                <w:szCs w:val="20"/>
              </w:rPr>
              <w:t>parameter_set_id</w:t>
            </w:r>
          </w:p>
        </w:tc>
        <w:tc>
          <w:tcPr>
            <w:tcW w:w="1253" w:type="dxa"/>
          </w:tcPr>
          <w:p w14:paraId="340AC090" w14:textId="77777777" w:rsidR="004B642C" w:rsidRPr="00A52AB8" w:rsidRDefault="004B642C" w:rsidP="004F7C57">
            <w:pPr>
              <w:spacing w:before="20" w:after="20"/>
              <w:jc w:val="center"/>
              <w:rPr>
                <w:color w:val="000000" w:themeColor="text1"/>
                <w:sz w:val="20"/>
                <w:szCs w:val="20"/>
              </w:rPr>
            </w:pPr>
            <w:r w:rsidRPr="00A52AB8">
              <w:rPr>
                <w:color w:val="000000" w:themeColor="text1"/>
                <w:sz w:val="20"/>
                <w:szCs w:val="20"/>
              </w:rPr>
              <w:t>u(4)</w:t>
            </w:r>
          </w:p>
        </w:tc>
      </w:tr>
      <w:tr w:rsidR="00C2716D" w:rsidRPr="00A52AB8" w14:paraId="4EC670CE" w14:textId="77777777" w:rsidTr="00983491">
        <w:trPr>
          <w:jc w:val="center"/>
        </w:trPr>
        <w:tc>
          <w:tcPr>
            <w:tcW w:w="7921" w:type="dxa"/>
          </w:tcPr>
          <w:p w14:paraId="63200EF6" w14:textId="7DE52366" w:rsidR="00C2716D" w:rsidRPr="00A52AB8" w:rsidRDefault="00C2716D" w:rsidP="004F7C57">
            <w:pPr>
              <w:spacing w:before="20" w:after="20"/>
              <w:rPr>
                <w:b/>
                <w:color w:val="000000" w:themeColor="text1"/>
                <w:sz w:val="20"/>
                <w:szCs w:val="20"/>
              </w:rPr>
            </w:pPr>
            <w:r w:rsidRPr="00A52AB8">
              <w:rPr>
                <w:color w:val="000000" w:themeColor="text1"/>
                <w:sz w:val="20"/>
                <w:szCs w:val="20"/>
              </w:rPr>
              <w:tab/>
              <w:t>if( vuh_unit_type == </w:t>
            </w:r>
            <w:r w:rsidRPr="00A52AB8">
              <w:rPr>
                <w:color w:val="000000" w:themeColor="text1"/>
                <w:sz w:val="20"/>
                <w:szCs w:val="20"/>
                <w:lang w:eastAsia="ja-JP"/>
              </w:rPr>
              <w:t>V3C_</w:t>
            </w:r>
            <w:r w:rsidRPr="00A52AB8">
              <w:rPr>
                <w:color w:val="000000" w:themeColor="text1"/>
                <w:sz w:val="20"/>
                <w:szCs w:val="20"/>
              </w:rPr>
              <w:t>AVD || vuh_unit_type == </w:t>
            </w:r>
            <w:r w:rsidRPr="00A52AB8">
              <w:rPr>
                <w:color w:val="000000" w:themeColor="text1"/>
                <w:sz w:val="20"/>
                <w:szCs w:val="20"/>
                <w:lang w:eastAsia="ja-JP"/>
              </w:rPr>
              <w:t>V3C_G</w:t>
            </w:r>
            <w:r w:rsidRPr="00A52AB8">
              <w:rPr>
                <w:color w:val="000000" w:themeColor="text1"/>
                <w:sz w:val="20"/>
                <w:szCs w:val="20"/>
              </w:rPr>
              <w:t>VD ||</w:t>
            </w:r>
            <w:r w:rsidRPr="00A52AB8">
              <w:rPr>
                <w:color w:val="000000" w:themeColor="text1"/>
                <w:sz w:val="20"/>
                <w:szCs w:val="20"/>
              </w:rPr>
              <w:br/>
            </w:r>
            <w:r w:rsidRPr="00A52AB8">
              <w:rPr>
                <w:color w:val="000000" w:themeColor="text1"/>
                <w:sz w:val="20"/>
                <w:szCs w:val="20"/>
              </w:rPr>
              <w:tab/>
            </w:r>
            <w:r w:rsidRPr="00A52AB8">
              <w:rPr>
                <w:color w:val="000000" w:themeColor="text1"/>
                <w:sz w:val="20"/>
                <w:szCs w:val="20"/>
              </w:rPr>
              <w:tab/>
              <w:t>vuh_unit_type == </w:t>
            </w:r>
            <w:r w:rsidRPr="00A52AB8">
              <w:rPr>
                <w:color w:val="000000" w:themeColor="text1"/>
                <w:sz w:val="20"/>
                <w:szCs w:val="20"/>
                <w:lang w:eastAsia="ja-JP"/>
              </w:rPr>
              <w:t>V3C_O</w:t>
            </w:r>
            <w:r w:rsidRPr="00A52AB8">
              <w:rPr>
                <w:color w:val="000000" w:themeColor="text1"/>
                <w:sz w:val="20"/>
                <w:szCs w:val="20"/>
              </w:rPr>
              <w:t>VD || vuh_unit_type == </w:t>
            </w:r>
            <w:r w:rsidRPr="00A52AB8">
              <w:rPr>
                <w:color w:val="000000" w:themeColor="text1"/>
                <w:sz w:val="20"/>
                <w:szCs w:val="20"/>
                <w:lang w:eastAsia="ja-JP"/>
              </w:rPr>
              <w:t>V3C_AD</w:t>
            </w:r>
            <w:r w:rsidRPr="00A52AB8">
              <w:rPr>
                <w:color w:val="000000" w:themeColor="text1"/>
                <w:sz w:val="20"/>
                <w:szCs w:val="20"/>
              </w:rPr>
              <w:t> ||</w:t>
            </w:r>
            <w:r w:rsidRPr="00A52AB8">
              <w:rPr>
                <w:color w:val="000000" w:themeColor="text1"/>
                <w:sz w:val="20"/>
                <w:szCs w:val="20"/>
              </w:rPr>
              <w:br/>
            </w:r>
            <w:r w:rsidRPr="00A52AB8">
              <w:rPr>
                <w:color w:val="000000" w:themeColor="text1"/>
                <w:sz w:val="20"/>
                <w:szCs w:val="20"/>
              </w:rPr>
              <w:tab/>
            </w:r>
            <w:r w:rsidRPr="00A52AB8">
              <w:rPr>
                <w:color w:val="000000" w:themeColor="text1"/>
                <w:sz w:val="20"/>
                <w:szCs w:val="20"/>
              </w:rPr>
              <w:tab/>
              <w:t>vuh_unit_type == V3C_PVD</w:t>
            </w:r>
            <w:r w:rsidRPr="00A52AB8">
              <w:t> </w:t>
            </w:r>
            <w:r w:rsidRPr="00A52AB8">
              <w:rPr>
                <w:color w:val="000000" w:themeColor="text1"/>
                <w:sz w:val="20"/>
                <w:szCs w:val="20"/>
              </w:rPr>
              <w:t>)</w:t>
            </w:r>
          </w:p>
        </w:tc>
        <w:tc>
          <w:tcPr>
            <w:tcW w:w="1253" w:type="dxa"/>
          </w:tcPr>
          <w:p w14:paraId="5FEAD3A6" w14:textId="77777777" w:rsidR="00C2716D" w:rsidRPr="00A52AB8" w:rsidRDefault="00C2716D" w:rsidP="004F7C57">
            <w:pPr>
              <w:spacing w:before="20" w:after="20"/>
              <w:jc w:val="center"/>
              <w:rPr>
                <w:color w:val="000000" w:themeColor="text1"/>
                <w:sz w:val="20"/>
                <w:szCs w:val="20"/>
              </w:rPr>
            </w:pPr>
          </w:p>
        </w:tc>
      </w:tr>
      <w:tr w:rsidR="00F647BE" w:rsidRPr="00A52AB8" w14:paraId="7AF8F025" w14:textId="77777777" w:rsidTr="00983491">
        <w:trPr>
          <w:jc w:val="center"/>
        </w:trPr>
        <w:tc>
          <w:tcPr>
            <w:tcW w:w="7921" w:type="dxa"/>
          </w:tcPr>
          <w:p w14:paraId="1AFD4F2D" w14:textId="1E4CA1BD" w:rsidR="00F647BE" w:rsidRPr="00A52AB8" w:rsidRDefault="00F647BE" w:rsidP="004F7C57">
            <w:pPr>
              <w:spacing w:before="20" w:after="20"/>
              <w:rPr>
                <w:color w:val="000000" w:themeColor="text1"/>
                <w:sz w:val="20"/>
                <w:szCs w:val="20"/>
              </w:rPr>
            </w:pPr>
            <w:r w:rsidRPr="00A52AB8">
              <w:rPr>
                <w:b/>
                <w:color w:val="000000" w:themeColor="text1"/>
                <w:sz w:val="20"/>
                <w:szCs w:val="20"/>
              </w:rPr>
              <w:tab/>
            </w:r>
            <w:r w:rsidRPr="00A52AB8">
              <w:rPr>
                <w:b/>
                <w:color w:val="000000" w:themeColor="text1"/>
                <w:sz w:val="20"/>
                <w:szCs w:val="20"/>
              </w:rPr>
              <w:tab/>
            </w:r>
            <w:r w:rsidR="00707920" w:rsidRPr="00A52AB8">
              <w:rPr>
                <w:b/>
                <w:color w:val="000000" w:themeColor="text1"/>
                <w:sz w:val="20"/>
                <w:szCs w:val="20"/>
              </w:rPr>
              <w:t>vuh_atlas_id</w:t>
            </w:r>
          </w:p>
        </w:tc>
        <w:tc>
          <w:tcPr>
            <w:tcW w:w="1253" w:type="dxa"/>
          </w:tcPr>
          <w:p w14:paraId="02D33084" w14:textId="77777777" w:rsidR="00F647BE" w:rsidRPr="00A52AB8" w:rsidRDefault="00F647BE" w:rsidP="004F7C57">
            <w:pPr>
              <w:spacing w:before="20" w:after="20"/>
              <w:jc w:val="center"/>
              <w:rPr>
                <w:color w:val="000000" w:themeColor="text1"/>
                <w:sz w:val="20"/>
                <w:szCs w:val="20"/>
              </w:rPr>
            </w:pPr>
            <w:r w:rsidRPr="00A52AB8">
              <w:rPr>
                <w:color w:val="000000" w:themeColor="text1"/>
                <w:sz w:val="20"/>
                <w:szCs w:val="20"/>
              </w:rPr>
              <w:t>u(</w:t>
            </w:r>
            <w:r w:rsidR="00A844B7" w:rsidRPr="00A52AB8">
              <w:rPr>
                <w:color w:val="000000" w:themeColor="text1"/>
                <w:sz w:val="20"/>
                <w:szCs w:val="20"/>
              </w:rPr>
              <w:t>6</w:t>
            </w:r>
            <w:r w:rsidRPr="00A52AB8">
              <w:rPr>
                <w:color w:val="000000" w:themeColor="text1"/>
                <w:sz w:val="20"/>
                <w:szCs w:val="20"/>
              </w:rPr>
              <w:t>)</w:t>
            </w:r>
          </w:p>
        </w:tc>
      </w:tr>
      <w:tr w:rsidR="005E7703" w:rsidRPr="00A52AB8" w14:paraId="228EF601" w14:textId="77777777" w:rsidTr="00983491">
        <w:trPr>
          <w:jc w:val="center"/>
        </w:trPr>
        <w:tc>
          <w:tcPr>
            <w:tcW w:w="7921" w:type="dxa"/>
          </w:tcPr>
          <w:p w14:paraId="010BC230" w14:textId="26C39702" w:rsidR="005E7703" w:rsidRPr="00A52AB8" w:rsidRDefault="005E7703" w:rsidP="004F7C57">
            <w:pPr>
              <w:spacing w:before="20" w:after="20"/>
              <w:rPr>
                <w:color w:val="000000" w:themeColor="text1"/>
                <w:sz w:val="20"/>
                <w:szCs w:val="20"/>
              </w:rPr>
            </w:pPr>
            <w:r w:rsidRPr="00A52AB8">
              <w:rPr>
                <w:color w:val="000000" w:themeColor="text1"/>
                <w:sz w:val="20"/>
                <w:szCs w:val="20"/>
              </w:rPr>
              <w:tab/>
            </w:r>
            <w:r w:rsidR="0021699E" w:rsidRPr="00A52AB8">
              <w:rPr>
                <w:color w:val="000000" w:themeColor="text1"/>
                <w:sz w:val="20"/>
                <w:szCs w:val="20"/>
              </w:rPr>
              <w:t>if(</w:t>
            </w:r>
            <w:r w:rsidR="004C3161" w:rsidRPr="00A52AB8">
              <w:rPr>
                <w:color w:val="000000" w:themeColor="text1"/>
                <w:sz w:val="20"/>
                <w:szCs w:val="20"/>
                <w:lang w:eastAsia="ja-JP"/>
              </w:rPr>
              <w:t> </w:t>
            </w:r>
            <w:r w:rsidR="00707920" w:rsidRPr="00A52AB8">
              <w:rPr>
                <w:color w:val="000000" w:themeColor="text1"/>
                <w:sz w:val="20"/>
                <w:szCs w:val="20"/>
              </w:rPr>
              <w:t>vuh_unit_type</w:t>
            </w:r>
            <w:r w:rsidR="008768E9" w:rsidRPr="00A52AB8">
              <w:rPr>
                <w:color w:val="000000" w:themeColor="text1"/>
                <w:sz w:val="20"/>
                <w:szCs w:val="20"/>
                <w:lang w:eastAsia="ja-JP"/>
              </w:rPr>
              <w:t> </w:t>
            </w:r>
            <w:r w:rsidR="00726AAE" w:rsidRPr="00A52AB8">
              <w:rPr>
                <w:color w:val="000000" w:themeColor="text1"/>
                <w:sz w:val="20"/>
                <w:szCs w:val="20"/>
                <w:lang w:eastAsia="ja-JP"/>
              </w:rPr>
              <w:t>==</w:t>
            </w:r>
            <w:r w:rsidR="00D47707" w:rsidRPr="00A52AB8">
              <w:rPr>
                <w:color w:val="000000" w:themeColor="text1"/>
                <w:sz w:val="20"/>
                <w:szCs w:val="20"/>
                <w:lang w:eastAsia="ja-JP"/>
              </w:rPr>
              <w:t> </w:t>
            </w:r>
            <w:r w:rsidR="00F03B52" w:rsidRPr="00A52AB8">
              <w:rPr>
                <w:color w:val="000000" w:themeColor="text1"/>
                <w:sz w:val="20"/>
                <w:szCs w:val="20"/>
                <w:lang w:eastAsia="ja-JP"/>
              </w:rPr>
              <w:t>V3C_</w:t>
            </w:r>
            <w:r w:rsidRPr="00A52AB8">
              <w:rPr>
                <w:color w:val="000000" w:themeColor="text1"/>
                <w:sz w:val="20"/>
                <w:szCs w:val="20"/>
              </w:rPr>
              <w:t>AVD</w:t>
            </w:r>
            <w:r w:rsidR="004C3161" w:rsidRPr="00A52AB8">
              <w:rPr>
                <w:color w:val="000000" w:themeColor="text1"/>
                <w:sz w:val="20"/>
                <w:szCs w:val="20"/>
                <w:lang w:eastAsia="ja-JP"/>
              </w:rPr>
              <w:t> </w:t>
            </w:r>
            <w:r w:rsidR="008F1F82" w:rsidRPr="00A52AB8">
              <w:rPr>
                <w:color w:val="000000" w:themeColor="text1"/>
                <w:sz w:val="20"/>
                <w:szCs w:val="20"/>
              </w:rPr>
              <w:t>) {</w:t>
            </w:r>
          </w:p>
        </w:tc>
        <w:tc>
          <w:tcPr>
            <w:tcW w:w="1253" w:type="dxa"/>
          </w:tcPr>
          <w:p w14:paraId="3B255732" w14:textId="77777777" w:rsidR="005E7703" w:rsidRPr="00A52AB8" w:rsidRDefault="005E7703" w:rsidP="004F7C57">
            <w:pPr>
              <w:spacing w:before="20" w:after="20"/>
              <w:jc w:val="center"/>
              <w:rPr>
                <w:color w:val="000000" w:themeColor="text1"/>
                <w:sz w:val="20"/>
                <w:szCs w:val="20"/>
              </w:rPr>
            </w:pPr>
          </w:p>
        </w:tc>
      </w:tr>
      <w:tr w:rsidR="00947CA7" w:rsidRPr="00A52AB8" w14:paraId="72A59400" w14:textId="77777777" w:rsidTr="00983491">
        <w:trPr>
          <w:jc w:val="center"/>
        </w:trPr>
        <w:tc>
          <w:tcPr>
            <w:tcW w:w="7921" w:type="dxa"/>
          </w:tcPr>
          <w:p w14:paraId="61804553" w14:textId="77777777" w:rsidR="00947CA7" w:rsidRPr="00A52AB8" w:rsidRDefault="00947CA7" w:rsidP="004F7C57">
            <w:pPr>
              <w:spacing w:before="20" w:after="20"/>
              <w:rPr>
                <w:color w:val="000000" w:themeColor="text1"/>
                <w:sz w:val="20"/>
                <w:szCs w:val="20"/>
              </w:rPr>
            </w:pPr>
            <w:r w:rsidRPr="00A52AB8">
              <w:rPr>
                <w:color w:val="000000" w:themeColor="text1"/>
                <w:sz w:val="20"/>
                <w:szCs w:val="20"/>
              </w:rPr>
              <w:tab/>
            </w:r>
            <w:r w:rsidRPr="00A52AB8">
              <w:rPr>
                <w:color w:val="000000" w:themeColor="text1"/>
                <w:sz w:val="20"/>
                <w:szCs w:val="20"/>
              </w:rPr>
              <w:tab/>
            </w:r>
            <w:r w:rsidR="00707920" w:rsidRPr="00A52AB8">
              <w:rPr>
                <w:b/>
                <w:color w:val="000000" w:themeColor="text1"/>
                <w:sz w:val="20"/>
                <w:szCs w:val="20"/>
              </w:rPr>
              <w:t>vuh_attribute_index</w:t>
            </w:r>
          </w:p>
        </w:tc>
        <w:tc>
          <w:tcPr>
            <w:tcW w:w="1253" w:type="dxa"/>
          </w:tcPr>
          <w:p w14:paraId="10F06D80" w14:textId="77777777" w:rsidR="00947CA7" w:rsidRPr="00A52AB8" w:rsidRDefault="00947CA7" w:rsidP="004F7C57">
            <w:pPr>
              <w:spacing w:before="20" w:after="20"/>
              <w:jc w:val="center"/>
              <w:rPr>
                <w:color w:val="000000" w:themeColor="text1"/>
                <w:sz w:val="20"/>
                <w:szCs w:val="20"/>
              </w:rPr>
            </w:pPr>
            <w:r w:rsidRPr="00A52AB8">
              <w:rPr>
                <w:color w:val="000000" w:themeColor="text1"/>
                <w:sz w:val="20"/>
                <w:szCs w:val="20"/>
              </w:rPr>
              <w:t>u(7)</w:t>
            </w:r>
          </w:p>
        </w:tc>
      </w:tr>
      <w:tr w:rsidR="00FE691B" w:rsidRPr="00A52AB8" w14:paraId="3D1A9635" w14:textId="77777777" w:rsidTr="00983491">
        <w:trPr>
          <w:jc w:val="center"/>
        </w:trPr>
        <w:tc>
          <w:tcPr>
            <w:tcW w:w="7921" w:type="dxa"/>
          </w:tcPr>
          <w:p w14:paraId="552BAF4C" w14:textId="77777777" w:rsidR="00FE691B" w:rsidRPr="00A52AB8" w:rsidRDefault="00FE691B" w:rsidP="004F7C57">
            <w:pPr>
              <w:spacing w:before="20" w:after="20"/>
              <w:rPr>
                <w:b/>
                <w:color w:val="000000" w:themeColor="text1"/>
                <w:sz w:val="20"/>
                <w:szCs w:val="20"/>
              </w:rPr>
            </w:pPr>
            <w:r w:rsidRPr="00A52AB8">
              <w:rPr>
                <w:b/>
                <w:color w:val="000000" w:themeColor="text1"/>
                <w:sz w:val="20"/>
                <w:szCs w:val="20"/>
              </w:rPr>
              <w:tab/>
            </w:r>
            <w:r w:rsidRPr="00A52AB8">
              <w:rPr>
                <w:b/>
                <w:color w:val="000000" w:themeColor="text1"/>
                <w:sz w:val="20"/>
                <w:szCs w:val="20"/>
              </w:rPr>
              <w:tab/>
            </w:r>
            <w:r w:rsidR="00707920" w:rsidRPr="00A52AB8">
              <w:rPr>
                <w:b/>
                <w:color w:val="000000" w:themeColor="text1"/>
                <w:sz w:val="20"/>
                <w:szCs w:val="20"/>
              </w:rPr>
              <w:t>vuh_attribute_</w:t>
            </w:r>
            <w:r w:rsidR="000021B5" w:rsidRPr="00A52AB8">
              <w:rPr>
                <w:b/>
                <w:color w:val="000000" w:themeColor="text1"/>
                <w:sz w:val="20"/>
                <w:szCs w:val="20"/>
              </w:rPr>
              <w:t>partition</w:t>
            </w:r>
            <w:r w:rsidR="00707920" w:rsidRPr="00A52AB8">
              <w:rPr>
                <w:b/>
                <w:color w:val="000000" w:themeColor="text1"/>
                <w:sz w:val="20"/>
                <w:szCs w:val="20"/>
              </w:rPr>
              <w:t>_index</w:t>
            </w:r>
          </w:p>
        </w:tc>
        <w:tc>
          <w:tcPr>
            <w:tcW w:w="1253" w:type="dxa"/>
          </w:tcPr>
          <w:p w14:paraId="07F0D4A6" w14:textId="77777777" w:rsidR="00FE691B" w:rsidRPr="00A52AB8" w:rsidRDefault="00FE691B" w:rsidP="004F7C57">
            <w:pPr>
              <w:spacing w:before="20" w:after="20"/>
              <w:jc w:val="center"/>
              <w:rPr>
                <w:color w:val="000000" w:themeColor="text1"/>
                <w:sz w:val="20"/>
                <w:szCs w:val="20"/>
              </w:rPr>
            </w:pPr>
            <w:r w:rsidRPr="00A52AB8">
              <w:rPr>
                <w:color w:val="000000" w:themeColor="text1"/>
                <w:sz w:val="20"/>
                <w:szCs w:val="20"/>
              </w:rPr>
              <w:t>u(</w:t>
            </w:r>
            <w:r w:rsidR="00D02F50" w:rsidRPr="00A52AB8">
              <w:rPr>
                <w:color w:val="000000" w:themeColor="text1"/>
                <w:sz w:val="20"/>
                <w:szCs w:val="20"/>
              </w:rPr>
              <w:t>5</w:t>
            </w:r>
            <w:r w:rsidRPr="00A52AB8">
              <w:rPr>
                <w:color w:val="000000" w:themeColor="text1"/>
                <w:sz w:val="20"/>
                <w:szCs w:val="20"/>
              </w:rPr>
              <w:t>)</w:t>
            </w:r>
          </w:p>
        </w:tc>
      </w:tr>
      <w:tr w:rsidR="0008143C" w:rsidRPr="00A52AB8" w14:paraId="02DBDE41" w14:textId="77777777" w:rsidTr="00983491">
        <w:trPr>
          <w:jc w:val="center"/>
        </w:trPr>
        <w:tc>
          <w:tcPr>
            <w:tcW w:w="7921" w:type="dxa"/>
          </w:tcPr>
          <w:p w14:paraId="4001480B" w14:textId="77777777" w:rsidR="0008143C" w:rsidRPr="00A52AB8" w:rsidRDefault="0008143C" w:rsidP="004F7C57">
            <w:pPr>
              <w:spacing w:before="20" w:after="20"/>
              <w:rPr>
                <w:color w:val="000000" w:themeColor="text1"/>
                <w:sz w:val="20"/>
                <w:szCs w:val="20"/>
              </w:rPr>
            </w:pPr>
            <w:r w:rsidRPr="00A52AB8">
              <w:rPr>
                <w:b/>
                <w:color w:val="000000" w:themeColor="text1"/>
                <w:sz w:val="20"/>
                <w:szCs w:val="20"/>
              </w:rPr>
              <w:lastRenderedPageBreak/>
              <w:tab/>
            </w:r>
            <w:r w:rsidRPr="00A52AB8">
              <w:rPr>
                <w:b/>
                <w:color w:val="000000" w:themeColor="text1"/>
                <w:sz w:val="20"/>
                <w:szCs w:val="20"/>
              </w:rPr>
              <w:tab/>
            </w:r>
            <w:r w:rsidR="00707920" w:rsidRPr="00A52AB8">
              <w:rPr>
                <w:b/>
                <w:color w:val="000000" w:themeColor="text1"/>
                <w:sz w:val="20"/>
                <w:szCs w:val="20"/>
              </w:rPr>
              <w:t>vuh_map_index</w:t>
            </w:r>
          </w:p>
        </w:tc>
        <w:tc>
          <w:tcPr>
            <w:tcW w:w="1253" w:type="dxa"/>
          </w:tcPr>
          <w:p w14:paraId="0C35B134" w14:textId="77777777" w:rsidR="0008143C" w:rsidRPr="00A52AB8" w:rsidRDefault="0008143C" w:rsidP="004F7C57">
            <w:pPr>
              <w:spacing w:before="20" w:after="20"/>
              <w:jc w:val="center"/>
              <w:rPr>
                <w:color w:val="000000" w:themeColor="text1"/>
                <w:sz w:val="20"/>
                <w:szCs w:val="20"/>
              </w:rPr>
            </w:pPr>
            <w:r w:rsidRPr="00A52AB8">
              <w:rPr>
                <w:color w:val="000000" w:themeColor="text1"/>
                <w:sz w:val="20"/>
                <w:szCs w:val="20"/>
              </w:rPr>
              <w:t>u(</w:t>
            </w:r>
            <w:r w:rsidR="00D02F50" w:rsidRPr="00A52AB8">
              <w:rPr>
                <w:color w:val="000000" w:themeColor="text1"/>
                <w:sz w:val="20"/>
                <w:szCs w:val="20"/>
              </w:rPr>
              <w:t>4</w:t>
            </w:r>
            <w:r w:rsidRPr="00A52AB8">
              <w:rPr>
                <w:color w:val="000000" w:themeColor="text1"/>
                <w:sz w:val="20"/>
                <w:szCs w:val="20"/>
              </w:rPr>
              <w:t>)</w:t>
            </w:r>
          </w:p>
        </w:tc>
      </w:tr>
      <w:tr w:rsidR="0008143C" w:rsidRPr="00A52AB8" w14:paraId="60F2AE89" w14:textId="77777777" w:rsidTr="00983491">
        <w:trPr>
          <w:jc w:val="center"/>
        </w:trPr>
        <w:tc>
          <w:tcPr>
            <w:tcW w:w="7921" w:type="dxa"/>
          </w:tcPr>
          <w:p w14:paraId="47EA063B" w14:textId="77777777" w:rsidR="0008143C" w:rsidRPr="00A52AB8" w:rsidRDefault="0008143C" w:rsidP="004F7C57">
            <w:pPr>
              <w:spacing w:before="20" w:after="20"/>
              <w:rPr>
                <w:color w:val="000000" w:themeColor="text1"/>
                <w:sz w:val="20"/>
                <w:szCs w:val="20"/>
              </w:rPr>
            </w:pPr>
            <w:r w:rsidRPr="00A52AB8">
              <w:rPr>
                <w:color w:val="000000" w:themeColor="text1"/>
                <w:sz w:val="20"/>
                <w:szCs w:val="20"/>
              </w:rPr>
              <w:tab/>
            </w:r>
            <w:r w:rsidRPr="00A52AB8">
              <w:rPr>
                <w:color w:val="000000" w:themeColor="text1"/>
                <w:sz w:val="20"/>
                <w:szCs w:val="20"/>
              </w:rPr>
              <w:tab/>
            </w:r>
            <w:r w:rsidR="00707920" w:rsidRPr="00A52AB8">
              <w:rPr>
                <w:b/>
                <w:color w:val="000000" w:themeColor="text1"/>
                <w:sz w:val="20"/>
                <w:szCs w:val="20"/>
              </w:rPr>
              <w:t>vuh_</w:t>
            </w:r>
            <w:r w:rsidR="004A5D0A" w:rsidRPr="00A52AB8">
              <w:rPr>
                <w:b/>
                <w:color w:val="000000" w:themeColor="text1"/>
                <w:sz w:val="20"/>
                <w:szCs w:val="20"/>
              </w:rPr>
              <w:t>auxiliary</w:t>
            </w:r>
            <w:r w:rsidR="00707920" w:rsidRPr="00A52AB8">
              <w:rPr>
                <w:b/>
                <w:color w:val="000000" w:themeColor="text1"/>
                <w:sz w:val="20"/>
                <w:szCs w:val="20"/>
              </w:rPr>
              <w:t>_video_flag</w:t>
            </w:r>
          </w:p>
        </w:tc>
        <w:tc>
          <w:tcPr>
            <w:tcW w:w="1253" w:type="dxa"/>
          </w:tcPr>
          <w:p w14:paraId="77FDDC20" w14:textId="77777777" w:rsidR="0008143C" w:rsidRPr="00A52AB8" w:rsidRDefault="0008143C" w:rsidP="004F7C57">
            <w:pPr>
              <w:spacing w:before="20" w:after="20"/>
              <w:jc w:val="center"/>
              <w:rPr>
                <w:color w:val="000000" w:themeColor="text1"/>
                <w:sz w:val="20"/>
                <w:szCs w:val="20"/>
              </w:rPr>
            </w:pPr>
            <w:r w:rsidRPr="00A52AB8">
              <w:rPr>
                <w:color w:val="000000" w:themeColor="text1"/>
                <w:sz w:val="20"/>
                <w:szCs w:val="20"/>
              </w:rPr>
              <w:t>u(</w:t>
            </w:r>
            <w:r w:rsidR="00D45369" w:rsidRPr="00A52AB8">
              <w:rPr>
                <w:color w:val="000000" w:themeColor="text1"/>
                <w:sz w:val="20"/>
                <w:szCs w:val="20"/>
              </w:rPr>
              <w:t>1</w:t>
            </w:r>
            <w:r w:rsidRPr="00A52AB8">
              <w:rPr>
                <w:color w:val="000000" w:themeColor="text1"/>
                <w:sz w:val="20"/>
                <w:szCs w:val="20"/>
              </w:rPr>
              <w:t>)</w:t>
            </w:r>
          </w:p>
        </w:tc>
      </w:tr>
      <w:tr w:rsidR="002A0328" w:rsidRPr="00A52AB8" w14:paraId="2394037E" w14:textId="77777777" w:rsidTr="00983491">
        <w:trPr>
          <w:jc w:val="center"/>
        </w:trPr>
        <w:tc>
          <w:tcPr>
            <w:tcW w:w="7921" w:type="dxa"/>
          </w:tcPr>
          <w:p w14:paraId="591EA1CC" w14:textId="5BE9B9AF" w:rsidR="002A0328" w:rsidRPr="00A52AB8" w:rsidRDefault="002A0328" w:rsidP="004F7C57">
            <w:pPr>
              <w:spacing w:before="20" w:after="20"/>
              <w:rPr>
                <w:color w:val="000000" w:themeColor="text1"/>
                <w:sz w:val="20"/>
                <w:szCs w:val="20"/>
              </w:rPr>
            </w:pPr>
            <w:r w:rsidRPr="00A52AB8">
              <w:rPr>
                <w:color w:val="000000" w:themeColor="text1"/>
                <w:sz w:val="20"/>
                <w:szCs w:val="20"/>
              </w:rPr>
              <w:tab/>
              <w:t>}</w:t>
            </w:r>
            <w:r w:rsidR="002C5775" w:rsidRPr="00A52AB8">
              <w:rPr>
                <w:color w:val="000000" w:themeColor="text1"/>
                <w:sz w:val="20"/>
                <w:szCs w:val="20"/>
              </w:rPr>
              <w:t> </w:t>
            </w:r>
            <w:r w:rsidRPr="00A52AB8">
              <w:rPr>
                <w:color w:val="000000" w:themeColor="text1"/>
                <w:sz w:val="20"/>
                <w:szCs w:val="20"/>
              </w:rPr>
              <w:t>else</w:t>
            </w:r>
            <w:r w:rsidR="002C5775" w:rsidRPr="00A52AB8">
              <w:rPr>
                <w:color w:val="000000" w:themeColor="text1"/>
                <w:sz w:val="20"/>
                <w:szCs w:val="20"/>
              </w:rPr>
              <w:t> </w:t>
            </w:r>
            <w:r w:rsidR="003A5206" w:rsidRPr="00A52AB8">
              <w:rPr>
                <w:color w:val="000000" w:themeColor="text1"/>
                <w:sz w:val="20"/>
                <w:szCs w:val="20"/>
              </w:rPr>
              <w:t>if(</w:t>
            </w:r>
            <w:r w:rsidR="008C1032" w:rsidRPr="00A52AB8">
              <w:rPr>
                <w:color w:val="000000" w:themeColor="text1"/>
                <w:sz w:val="20"/>
                <w:szCs w:val="20"/>
                <w:lang w:eastAsia="ja-JP"/>
              </w:rPr>
              <w:t> </w:t>
            </w:r>
            <w:r w:rsidR="00707920" w:rsidRPr="00A52AB8">
              <w:rPr>
                <w:color w:val="000000" w:themeColor="text1"/>
                <w:sz w:val="20"/>
                <w:szCs w:val="20"/>
              </w:rPr>
              <w:t>vuh_unit_type</w:t>
            </w:r>
            <w:r w:rsidR="008768E9" w:rsidRPr="00A52AB8">
              <w:rPr>
                <w:color w:val="000000" w:themeColor="text1"/>
                <w:sz w:val="20"/>
                <w:szCs w:val="20"/>
              </w:rPr>
              <w:t> </w:t>
            </w:r>
            <w:r w:rsidR="00726AAE" w:rsidRPr="00A52AB8">
              <w:rPr>
                <w:color w:val="000000" w:themeColor="text1"/>
                <w:sz w:val="20"/>
                <w:szCs w:val="20"/>
              </w:rPr>
              <w:t>==</w:t>
            </w:r>
            <w:r w:rsidR="00D47707" w:rsidRPr="00A52AB8">
              <w:rPr>
                <w:color w:val="000000" w:themeColor="text1"/>
                <w:sz w:val="20"/>
                <w:szCs w:val="20"/>
              </w:rPr>
              <w:t> </w:t>
            </w:r>
            <w:r w:rsidR="00F03B52" w:rsidRPr="00A52AB8">
              <w:rPr>
                <w:color w:val="000000" w:themeColor="text1"/>
                <w:sz w:val="20"/>
                <w:szCs w:val="20"/>
                <w:lang w:eastAsia="ja-JP"/>
              </w:rPr>
              <w:t>V3C_</w:t>
            </w:r>
            <w:r w:rsidR="008C1032" w:rsidRPr="00A52AB8">
              <w:rPr>
                <w:color w:val="000000" w:themeColor="text1"/>
                <w:sz w:val="20"/>
                <w:szCs w:val="20"/>
              </w:rPr>
              <w:t>GVD </w:t>
            </w:r>
            <w:r w:rsidR="008F1F82" w:rsidRPr="00A52AB8">
              <w:rPr>
                <w:color w:val="000000" w:themeColor="text1"/>
                <w:sz w:val="20"/>
                <w:szCs w:val="20"/>
              </w:rPr>
              <w:t>) {</w:t>
            </w:r>
          </w:p>
        </w:tc>
        <w:tc>
          <w:tcPr>
            <w:tcW w:w="1253" w:type="dxa"/>
          </w:tcPr>
          <w:p w14:paraId="0731FBC2" w14:textId="77777777" w:rsidR="002A0328" w:rsidRPr="00A52AB8" w:rsidRDefault="002A0328" w:rsidP="004F7C57">
            <w:pPr>
              <w:spacing w:before="20" w:after="20"/>
              <w:jc w:val="center"/>
              <w:rPr>
                <w:color w:val="000000" w:themeColor="text1"/>
                <w:sz w:val="20"/>
                <w:szCs w:val="20"/>
              </w:rPr>
            </w:pPr>
          </w:p>
        </w:tc>
      </w:tr>
      <w:tr w:rsidR="00F647BE" w:rsidRPr="00A52AB8" w14:paraId="74606BB3" w14:textId="77777777" w:rsidTr="00983491">
        <w:trPr>
          <w:jc w:val="center"/>
        </w:trPr>
        <w:tc>
          <w:tcPr>
            <w:tcW w:w="7921" w:type="dxa"/>
          </w:tcPr>
          <w:p w14:paraId="0056AD3A" w14:textId="77777777" w:rsidR="00F647BE" w:rsidRPr="00A52AB8" w:rsidRDefault="00F647BE" w:rsidP="004F7C57">
            <w:pPr>
              <w:spacing w:before="20" w:after="20"/>
              <w:rPr>
                <w:color w:val="000000" w:themeColor="text1"/>
                <w:sz w:val="20"/>
                <w:szCs w:val="20"/>
              </w:rPr>
            </w:pPr>
            <w:r w:rsidRPr="00A52AB8">
              <w:rPr>
                <w:b/>
                <w:color w:val="000000" w:themeColor="text1"/>
                <w:sz w:val="20"/>
                <w:szCs w:val="20"/>
              </w:rPr>
              <w:tab/>
            </w:r>
            <w:r w:rsidRPr="00A52AB8">
              <w:rPr>
                <w:b/>
                <w:color w:val="000000" w:themeColor="text1"/>
                <w:sz w:val="20"/>
                <w:szCs w:val="20"/>
              </w:rPr>
              <w:tab/>
            </w:r>
            <w:r w:rsidR="00707920" w:rsidRPr="00A52AB8">
              <w:rPr>
                <w:b/>
                <w:color w:val="000000" w:themeColor="text1"/>
                <w:sz w:val="20"/>
                <w:szCs w:val="20"/>
              </w:rPr>
              <w:t>vuh_map_index</w:t>
            </w:r>
          </w:p>
        </w:tc>
        <w:tc>
          <w:tcPr>
            <w:tcW w:w="1253" w:type="dxa"/>
          </w:tcPr>
          <w:p w14:paraId="1840433E" w14:textId="77777777" w:rsidR="00F647BE" w:rsidRPr="00A52AB8" w:rsidRDefault="00F647BE" w:rsidP="004F7C57">
            <w:pPr>
              <w:spacing w:before="20" w:after="20"/>
              <w:jc w:val="center"/>
              <w:rPr>
                <w:color w:val="000000" w:themeColor="text1"/>
                <w:sz w:val="20"/>
                <w:szCs w:val="20"/>
              </w:rPr>
            </w:pPr>
            <w:r w:rsidRPr="00A52AB8">
              <w:rPr>
                <w:color w:val="000000" w:themeColor="text1"/>
                <w:sz w:val="20"/>
                <w:szCs w:val="20"/>
              </w:rPr>
              <w:t>u(4)</w:t>
            </w:r>
          </w:p>
        </w:tc>
      </w:tr>
      <w:tr w:rsidR="00F647BE" w:rsidRPr="00A52AB8" w14:paraId="6E085A8A" w14:textId="77777777" w:rsidTr="00983491">
        <w:trPr>
          <w:jc w:val="center"/>
        </w:trPr>
        <w:tc>
          <w:tcPr>
            <w:tcW w:w="7921" w:type="dxa"/>
          </w:tcPr>
          <w:p w14:paraId="3210B9DB" w14:textId="77777777" w:rsidR="00F647BE" w:rsidRPr="00A52AB8" w:rsidRDefault="00F647BE" w:rsidP="004F7C57">
            <w:pPr>
              <w:spacing w:before="20" w:after="20"/>
              <w:rPr>
                <w:color w:val="000000" w:themeColor="text1"/>
                <w:sz w:val="20"/>
                <w:szCs w:val="20"/>
              </w:rPr>
            </w:pPr>
            <w:r w:rsidRPr="00A52AB8">
              <w:rPr>
                <w:color w:val="000000" w:themeColor="text1"/>
                <w:sz w:val="20"/>
                <w:szCs w:val="20"/>
              </w:rPr>
              <w:tab/>
            </w:r>
            <w:r w:rsidRPr="00A52AB8">
              <w:rPr>
                <w:color w:val="000000" w:themeColor="text1"/>
                <w:sz w:val="20"/>
                <w:szCs w:val="20"/>
              </w:rPr>
              <w:tab/>
            </w:r>
            <w:r w:rsidR="00707920" w:rsidRPr="00A52AB8">
              <w:rPr>
                <w:b/>
                <w:color w:val="000000" w:themeColor="text1"/>
                <w:sz w:val="20"/>
                <w:szCs w:val="20"/>
              </w:rPr>
              <w:t>vuh_</w:t>
            </w:r>
            <w:r w:rsidR="004A5D0A" w:rsidRPr="00A52AB8">
              <w:rPr>
                <w:b/>
                <w:color w:val="000000" w:themeColor="text1"/>
                <w:sz w:val="20"/>
                <w:szCs w:val="20"/>
              </w:rPr>
              <w:t>auxiliary</w:t>
            </w:r>
            <w:r w:rsidR="00707920" w:rsidRPr="00A52AB8">
              <w:rPr>
                <w:b/>
                <w:color w:val="000000" w:themeColor="text1"/>
                <w:sz w:val="20"/>
                <w:szCs w:val="20"/>
              </w:rPr>
              <w:t>_video_flag</w:t>
            </w:r>
          </w:p>
        </w:tc>
        <w:tc>
          <w:tcPr>
            <w:tcW w:w="1253" w:type="dxa"/>
          </w:tcPr>
          <w:p w14:paraId="46B6CDF7" w14:textId="77777777" w:rsidR="00F647BE" w:rsidRPr="00A52AB8" w:rsidRDefault="00F647BE" w:rsidP="004F7C57">
            <w:pPr>
              <w:spacing w:before="20" w:after="20"/>
              <w:jc w:val="center"/>
              <w:rPr>
                <w:color w:val="000000" w:themeColor="text1"/>
                <w:sz w:val="20"/>
                <w:szCs w:val="20"/>
              </w:rPr>
            </w:pPr>
            <w:r w:rsidRPr="00A52AB8">
              <w:rPr>
                <w:color w:val="000000" w:themeColor="text1"/>
                <w:sz w:val="20"/>
                <w:szCs w:val="20"/>
              </w:rPr>
              <w:t>u(1)</w:t>
            </w:r>
          </w:p>
        </w:tc>
      </w:tr>
      <w:tr w:rsidR="00F647BE" w:rsidRPr="00A52AB8" w14:paraId="611E7711" w14:textId="77777777" w:rsidTr="00983491">
        <w:trPr>
          <w:jc w:val="center"/>
        </w:trPr>
        <w:tc>
          <w:tcPr>
            <w:tcW w:w="7921" w:type="dxa"/>
          </w:tcPr>
          <w:p w14:paraId="518649DB" w14:textId="77777777" w:rsidR="00F647BE" w:rsidRPr="00A52AB8" w:rsidRDefault="00F647BE" w:rsidP="004F7C57">
            <w:pPr>
              <w:spacing w:before="20" w:after="20"/>
              <w:rPr>
                <w:color w:val="000000" w:themeColor="text1"/>
                <w:sz w:val="20"/>
                <w:szCs w:val="20"/>
              </w:rPr>
            </w:pPr>
            <w:r w:rsidRPr="00A52AB8">
              <w:rPr>
                <w:color w:val="000000" w:themeColor="text1"/>
                <w:sz w:val="20"/>
                <w:szCs w:val="20"/>
              </w:rPr>
              <w:tab/>
            </w:r>
            <w:r w:rsidRPr="00A52AB8">
              <w:rPr>
                <w:color w:val="000000" w:themeColor="text1"/>
                <w:sz w:val="20"/>
                <w:szCs w:val="20"/>
              </w:rPr>
              <w:tab/>
            </w:r>
            <w:r w:rsidR="00707920" w:rsidRPr="00A52AB8">
              <w:rPr>
                <w:b/>
                <w:color w:val="000000" w:themeColor="text1"/>
                <w:sz w:val="20"/>
                <w:szCs w:val="20"/>
              </w:rPr>
              <w:t>vuh_reserved_zero_12bits</w:t>
            </w:r>
          </w:p>
        </w:tc>
        <w:tc>
          <w:tcPr>
            <w:tcW w:w="1253" w:type="dxa"/>
          </w:tcPr>
          <w:p w14:paraId="27CC3BCA" w14:textId="77777777" w:rsidR="00F647BE" w:rsidRPr="00A52AB8" w:rsidRDefault="00F647BE" w:rsidP="004F7C57">
            <w:pPr>
              <w:spacing w:before="20" w:after="20"/>
              <w:jc w:val="center"/>
              <w:rPr>
                <w:color w:val="000000" w:themeColor="text1"/>
                <w:sz w:val="20"/>
                <w:szCs w:val="20"/>
              </w:rPr>
            </w:pPr>
            <w:r w:rsidRPr="00A52AB8">
              <w:rPr>
                <w:color w:val="000000" w:themeColor="text1"/>
                <w:sz w:val="20"/>
                <w:szCs w:val="20"/>
              </w:rPr>
              <w:t>u(1</w:t>
            </w:r>
            <w:r w:rsidR="00D02F50" w:rsidRPr="00A52AB8">
              <w:rPr>
                <w:color w:val="000000" w:themeColor="text1"/>
                <w:sz w:val="20"/>
                <w:szCs w:val="20"/>
              </w:rPr>
              <w:t>2</w:t>
            </w:r>
            <w:r w:rsidRPr="00A52AB8">
              <w:rPr>
                <w:color w:val="000000" w:themeColor="text1"/>
                <w:sz w:val="20"/>
                <w:szCs w:val="20"/>
              </w:rPr>
              <w:t>)</w:t>
            </w:r>
          </w:p>
        </w:tc>
      </w:tr>
      <w:tr w:rsidR="00F647BE" w:rsidRPr="00A52AB8" w14:paraId="04C0BC10" w14:textId="77777777" w:rsidTr="00983491">
        <w:trPr>
          <w:jc w:val="center"/>
        </w:trPr>
        <w:tc>
          <w:tcPr>
            <w:tcW w:w="7921" w:type="dxa"/>
          </w:tcPr>
          <w:p w14:paraId="68CABA57" w14:textId="32850A21" w:rsidR="00F647BE" w:rsidRPr="00A52AB8" w:rsidRDefault="00F647BE" w:rsidP="004F7C57">
            <w:pPr>
              <w:spacing w:before="20" w:after="20"/>
              <w:rPr>
                <w:color w:val="000000" w:themeColor="text1"/>
                <w:sz w:val="20"/>
                <w:szCs w:val="20"/>
              </w:rPr>
            </w:pPr>
            <w:r w:rsidRPr="00A52AB8">
              <w:rPr>
                <w:color w:val="000000" w:themeColor="text1"/>
                <w:sz w:val="20"/>
                <w:szCs w:val="20"/>
              </w:rPr>
              <w:tab/>
              <w:t>}</w:t>
            </w:r>
            <w:r w:rsidR="009C7B8A" w:rsidRPr="00A52AB8">
              <w:rPr>
                <w:color w:val="000000" w:themeColor="text1"/>
                <w:sz w:val="20"/>
                <w:szCs w:val="20"/>
              </w:rPr>
              <w:t> </w:t>
            </w:r>
            <w:r w:rsidRPr="00A52AB8">
              <w:rPr>
                <w:color w:val="000000" w:themeColor="text1"/>
                <w:sz w:val="20"/>
                <w:szCs w:val="20"/>
              </w:rPr>
              <w:t>else</w:t>
            </w:r>
            <w:r w:rsidR="009C7B8A" w:rsidRPr="00A52AB8">
              <w:rPr>
                <w:color w:val="000000" w:themeColor="text1"/>
                <w:sz w:val="20"/>
                <w:szCs w:val="20"/>
              </w:rPr>
              <w:t> </w:t>
            </w:r>
            <w:r w:rsidRPr="00A52AB8">
              <w:rPr>
                <w:color w:val="000000" w:themeColor="text1"/>
                <w:sz w:val="20"/>
                <w:szCs w:val="20"/>
              </w:rPr>
              <w:t>if(</w:t>
            </w:r>
            <w:r w:rsidRPr="00A52AB8">
              <w:rPr>
                <w:color w:val="000000" w:themeColor="text1"/>
                <w:sz w:val="20"/>
                <w:szCs w:val="20"/>
                <w:lang w:eastAsia="ja-JP"/>
              </w:rPr>
              <w:t> </w:t>
            </w:r>
            <w:r w:rsidR="00707920" w:rsidRPr="00A52AB8">
              <w:rPr>
                <w:color w:val="000000" w:themeColor="text1"/>
                <w:sz w:val="20"/>
                <w:szCs w:val="20"/>
              </w:rPr>
              <w:t>vuh_unit_type</w:t>
            </w:r>
            <w:r w:rsidR="008768E9" w:rsidRPr="00A52AB8">
              <w:rPr>
                <w:color w:val="000000" w:themeColor="text1"/>
                <w:sz w:val="20"/>
                <w:szCs w:val="20"/>
              </w:rPr>
              <w:t> </w:t>
            </w:r>
            <w:r w:rsidR="00726AAE" w:rsidRPr="00A52AB8">
              <w:rPr>
                <w:color w:val="000000" w:themeColor="text1"/>
                <w:sz w:val="20"/>
                <w:szCs w:val="20"/>
              </w:rPr>
              <w:t>==</w:t>
            </w:r>
            <w:r w:rsidR="00D47707" w:rsidRPr="00A52AB8">
              <w:rPr>
                <w:color w:val="000000" w:themeColor="text1"/>
                <w:sz w:val="20"/>
                <w:szCs w:val="20"/>
              </w:rPr>
              <w:t> </w:t>
            </w:r>
            <w:r w:rsidR="00F03B52" w:rsidRPr="00A52AB8">
              <w:rPr>
                <w:color w:val="000000" w:themeColor="text1"/>
                <w:sz w:val="20"/>
                <w:szCs w:val="20"/>
                <w:lang w:eastAsia="ja-JP"/>
              </w:rPr>
              <w:t>V3C_</w:t>
            </w:r>
            <w:r w:rsidRPr="00A52AB8">
              <w:rPr>
                <w:color w:val="000000" w:themeColor="text1"/>
                <w:sz w:val="20"/>
                <w:szCs w:val="20"/>
                <w:lang w:eastAsia="ja-JP"/>
              </w:rPr>
              <w:t>O</w:t>
            </w:r>
            <w:r w:rsidRPr="00A52AB8">
              <w:rPr>
                <w:color w:val="000000" w:themeColor="text1"/>
                <w:sz w:val="20"/>
                <w:szCs w:val="20"/>
              </w:rPr>
              <w:t>VD</w:t>
            </w:r>
            <w:r w:rsidR="008768E9" w:rsidRPr="00A52AB8">
              <w:rPr>
                <w:color w:val="000000" w:themeColor="text1"/>
                <w:sz w:val="20"/>
                <w:szCs w:val="20"/>
              </w:rPr>
              <w:t> || </w:t>
            </w:r>
            <w:r w:rsidR="00707920" w:rsidRPr="00A52AB8">
              <w:rPr>
                <w:color w:val="000000" w:themeColor="text1"/>
                <w:sz w:val="20"/>
                <w:szCs w:val="20"/>
              </w:rPr>
              <w:t>vuh_unit_type</w:t>
            </w:r>
            <w:r w:rsidR="008768E9" w:rsidRPr="00A52AB8">
              <w:rPr>
                <w:color w:val="000000" w:themeColor="text1"/>
                <w:sz w:val="20"/>
                <w:szCs w:val="20"/>
              </w:rPr>
              <w:t> </w:t>
            </w:r>
            <w:r w:rsidR="00726AAE" w:rsidRPr="00A52AB8">
              <w:rPr>
                <w:color w:val="000000" w:themeColor="text1"/>
                <w:sz w:val="20"/>
                <w:szCs w:val="20"/>
              </w:rPr>
              <w:t>==</w:t>
            </w:r>
            <w:r w:rsidR="00D47707" w:rsidRPr="00A52AB8">
              <w:rPr>
                <w:color w:val="000000" w:themeColor="text1"/>
                <w:sz w:val="20"/>
                <w:szCs w:val="20"/>
              </w:rPr>
              <w:t> </w:t>
            </w:r>
            <w:r w:rsidR="00F03B52" w:rsidRPr="00A52AB8">
              <w:rPr>
                <w:color w:val="000000" w:themeColor="text1"/>
                <w:sz w:val="20"/>
                <w:szCs w:val="20"/>
                <w:lang w:eastAsia="ja-JP"/>
              </w:rPr>
              <w:t>V3C_</w:t>
            </w:r>
            <w:r w:rsidR="00A52C3F" w:rsidRPr="00A52AB8">
              <w:rPr>
                <w:color w:val="000000" w:themeColor="text1"/>
                <w:sz w:val="20"/>
                <w:szCs w:val="20"/>
                <w:lang w:eastAsia="ja-JP"/>
              </w:rPr>
              <w:t>AD</w:t>
            </w:r>
            <w:r w:rsidR="00A52C3F" w:rsidRPr="00A52AB8">
              <w:rPr>
                <w:color w:val="000000" w:themeColor="text1"/>
                <w:sz w:val="20"/>
                <w:szCs w:val="20"/>
              </w:rPr>
              <w:t> </w:t>
            </w:r>
            <w:r w:rsidR="00C2716D" w:rsidRPr="00A52AB8">
              <w:rPr>
                <w:color w:val="000000" w:themeColor="text1"/>
                <w:sz w:val="20"/>
                <w:szCs w:val="20"/>
              </w:rPr>
              <w:t>||</w:t>
            </w:r>
            <w:r w:rsidR="00C2716D" w:rsidRPr="00A52AB8">
              <w:rPr>
                <w:color w:val="000000" w:themeColor="text1"/>
                <w:sz w:val="20"/>
                <w:szCs w:val="20"/>
              </w:rPr>
              <w:br/>
            </w:r>
            <w:r w:rsidR="00C2716D" w:rsidRPr="00A52AB8">
              <w:rPr>
                <w:color w:val="000000" w:themeColor="text1"/>
                <w:sz w:val="20"/>
                <w:szCs w:val="20"/>
              </w:rPr>
              <w:tab/>
            </w:r>
            <w:r w:rsidR="00C2716D" w:rsidRPr="00A52AB8">
              <w:rPr>
                <w:color w:val="000000" w:themeColor="text1"/>
                <w:sz w:val="20"/>
                <w:szCs w:val="20"/>
              </w:rPr>
              <w:tab/>
              <w:t>vuh_unit_type == V3C_</w:t>
            </w:r>
            <w:r w:rsidR="00CB1436">
              <w:rPr>
                <w:color w:val="000000" w:themeColor="text1"/>
                <w:sz w:val="20"/>
                <w:szCs w:val="20"/>
              </w:rPr>
              <w:t>PV</w:t>
            </w:r>
            <w:r w:rsidR="00C2716D" w:rsidRPr="00A52AB8">
              <w:rPr>
                <w:color w:val="000000" w:themeColor="text1"/>
                <w:sz w:val="20"/>
                <w:szCs w:val="20"/>
              </w:rPr>
              <w:t>D </w:t>
            </w:r>
            <w:r w:rsidRPr="00A52AB8">
              <w:rPr>
                <w:color w:val="000000" w:themeColor="text1"/>
                <w:sz w:val="20"/>
                <w:szCs w:val="20"/>
              </w:rPr>
              <w:t>)</w:t>
            </w:r>
          </w:p>
        </w:tc>
        <w:tc>
          <w:tcPr>
            <w:tcW w:w="1253" w:type="dxa"/>
          </w:tcPr>
          <w:p w14:paraId="445B7C6A" w14:textId="77777777" w:rsidR="00F647BE" w:rsidRPr="00A52AB8" w:rsidRDefault="00F647BE" w:rsidP="004F7C57">
            <w:pPr>
              <w:spacing w:before="20" w:after="20"/>
              <w:jc w:val="center"/>
              <w:rPr>
                <w:color w:val="000000" w:themeColor="text1"/>
                <w:sz w:val="20"/>
                <w:szCs w:val="20"/>
              </w:rPr>
            </w:pPr>
          </w:p>
        </w:tc>
      </w:tr>
      <w:tr w:rsidR="00F647BE" w:rsidRPr="00A52AB8" w14:paraId="3AEE4C29" w14:textId="77777777" w:rsidTr="00983491">
        <w:trPr>
          <w:jc w:val="center"/>
        </w:trPr>
        <w:tc>
          <w:tcPr>
            <w:tcW w:w="7921" w:type="dxa"/>
          </w:tcPr>
          <w:p w14:paraId="70FB6536" w14:textId="77777777" w:rsidR="00F647BE" w:rsidRPr="00A52AB8" w:rsidRDefault="00F647BE" w:rsidP="004F7C57">
            <w:pPr>
              <w:spacing w:before="20" w:after="20"/>
              <w:rPr>
                <w:color w:val="000000" w:themeColor="text1"/>
                <w:sz w:val="20"/>
                <w:szCs w:val="20"/>
              </w:rPr>
            </w:pPr>
            <w:r w:rsidRPr="00A52AB8">
              <w:rPr>
                <w:color w:val="000000" w:themeColor="text1"/>
                <w:sz w:val="20"/>
                <w:szCs w:val="20"/>
              </w:rPr>
              <w:tab/>
            </w:r>
            <w:r w:rsidRPr="00A52AB8">
              <w:rPr>
                <w:color w:val="000000" w:themeColor="text1"/>
                <w:sz w:val="20"/>
                <w:szCs w:val="20"/>
              </w:rPr>
              <w:tab/>
            </w:r>
            <w:r w:rsidR="00707920" w:rsidRPr="00A52AB8">
              <w:rPr>
                <w:b/>
                <w:color w:val="000000" w:themeColor="text1"/>
                <w:sz w:val="20"/>
                <w:szCs w:val="20"/>
              </w:rPr>
              <w:t>vuh_reserved_zero_17bits</w:t>
            </w:r>
          </w:p>
        </w:tc>
        <w:tc>
          <w:tcPr>
            <w:tcW w:w="1253" w:type="dxa"/>
          </w:tcPr>
          <w:p w14:paraId="7766B9AE" w14:textId="77777777" w:rsidR="00F647BE" w:rsidRPr="00A52AB8" w:rsidRDefault="00F647BE" w:rsidP="004F7C57">
            <w:pPr>
              <w:spacing w:before="20" w:after="20"/>
              <w:jc w:val="center"/>
              <w:rPr>
                <w:color w:val="000000" w:themeColor="text1"/>
                <w:sz w:val="20"/>
                <w:szCs w:val="20"/>
              </w:rPr>
            </w:pPr>
            <w:r w:rsidRPr="00A52AB8">
              <w:rPr>
                <w:color w:val="000000" w:themeColor="text1"/>
                <w:sz w:val="20"/>
                <w:szCs w:val="20"/>
              </w:rPr>
              <w:t>u(</w:t>
            </w:r>
            <w:r w:rsidR="00600C52" w:rsidRPr="00A52AB8">
              <w:rPr>
                <w:color w:val="000000" w:themeColor="text1"/>
                <w:sz w:val="20"/>
                <w:szCs w:val="20"/>
              </w:rPr>
              <w:t>17</w:t>
            </w:r>
            <w:r w:rsidRPr="00A52AB8">
              <w:rPr>
                <w:color w:val="000000" w:themeColor="text1"/>
                <w:sz w:val="20"/>
                <w:szCs w:val="20"/>
              </w:rPr>
              <w:t>)</w:t>
            </w:r>
          </w:p>
        </w:tc>
      </w:tr>
      <w:tr w:rsidR="00C2716D" w:rsidRPr="00A52AB8" w14:paraId="10460A34" w14:textId="77777777" w:rsidTr="00C2716D">
        <w:trPr>
          <w:jc w:val="center"/>
        </w:trPr>
        <w:tc>
          <w:tcPr>
            <w:tcW w:w="8411" w:type="dxa"/>
          </w:tcPr>
          <w:p w14:paraId="2CFCE9D8" w14:textId="2A00EF68" w:rsidR="00C2716D" w:rsidRPr="00A52AB8" w:rsidRDefault="00C2716D" w:rsidP="004F7C57">
            <w:pPr>
              <w:spacing w:before="20" w:after="20"/>
              <w:rPr>
                <w:color w:val="000000" w:themeColor="text1"/>
                <w:sz w:val="20"/>
                <w:szCs w:val="20"/>
              </w:rPr>
            </w:pPr>
            <w:r w:rsidRPr="00A52AB8">
              <w:rPr>
                <w:color w:val="000000" w:themeColor="text1"/>
                <w:sz w:val="20"/>
                <w:szCs w:val="20"/>
              </w:rPr>
              <w:tab/>
              <w:t>else if( vuh_unit_type == V3C_CAD )</w:t>
            </w:r>
          </w:p>
        </w:tc>
        <w:tc>
          <w:tcPr>
            <w:tcW w:w="1331" w:type="dxa"/>
          </w:tcPr>
          <w:p w14:paraId="7DA3CEEB" w14:textId="77777777" w:rsidR="00C2716D" w:rsidRPr="00A52AB8" w:rsidRDefault="00C2716D" w:rsidP="004F7C57">
            <w:pPr>
              <w:spacing w:before="20" w:after="20"/>
              <w:jc w:val="center"/>
              <w:rPr>
                <w:color w:val="000000" w:themeColor="text1"/>
                <w:sz w:val="20"/>
                <w:szCs w:val="20"/>
              </w:rPr>
            </w:pPr>
          </w:p>
        </w:tc>
      </w:tr>
      <w:tr w:rsidR="00C2716D" w:rsidRPr="00A52AB8" w14:paraId="3E721221" w14:textId="77777777" w:rsidTr="00C2716D">
        <w:trPr>
          <w:jc w:val="center"/>
        </w:trPr>
        <w:tc>
          <w:tcPr>
            <w:tcW w:w="8411" w:type="dxa"/>
          </w:tcPr>
          <w:p w14:paraId="6A02380B" w14:textId="76E4F4FB" w:rsidR="00C2716D" w:rsidRPr="00A52AB8" w:rsidRDefault="00C2716D" w:rsidP="004F7C57">
            <w:pPr>
              <w:spacing w:before="20" w:after="20"/>
              <w:rPr>
                <w:color w:val="000000" w:themeColor="text1"/>
                <w:sz w:val="20"/>
                <w:szCs w:val="20"/>
              </w:rPr>
            </w:pPr>
            <w:r w:rsidRPr="00A52AB8">
              <w:rPr>
                <w:color w:val="000000" w:themeColor="text1"/>
                <w:sz w:val="20"/>
                <w:szCs w:val="20"/>
              </w:rPr>
              <w:tab/>
            </w:r>
            <w:r w:rsidRPr="00A52AB8">
              <w:rPr>
                <w:color w:val="000000" w:themeColor="text1"/>
                <w:sz w:val="20"/>
                <w:szCs w:val="20"/>
              </w:rPr>
              <w:tab/>
              <w:t>vuh_reserved_zero_23bits</w:t>
            </w:r>
          </w:p>
        </w:tc>
        <w:tc>
          <w:tcPr>
            <w:tcW w:w="1331" w:type="dxa"/>
          </w:tcPr>
          <w:p w14:paraId="722CDEF3" w14:textId="353129D1" w:rsidR="00C2716D" w:rsidRPr="00A52AB8" w:rsidRDefault="00C2716D" w:rsidP="004F7C57">
            <w:pPr>
              <w:spacing w:before="20" w:after="20"/>
              <w:jc w:val="center"/>
              <w:rPr>
                <w:color w:val="000000" w:themeColor="text1"/>
                <w:sz w:val="20"/>
                <w:szCs w:val="20"/>
              </w:rPr>
            </w:pPr>
            <w:r w:rsidRPr="00A52AB8">
              <w:rPr>
                <w:color w:val="000000" w:themeColor="text1"/>
                <w:sz w:val="20"/>
                <w:szCs w:val="20"/>
              </w:rPr>
              <w:t>u(23)</w:t>
            </w:r>
          </w:p>
        </w:tc>
      </w:tr>
      <w:tr w:rsidR="00F647BE" w:rsidRPr="00A52AB8" w14:paraId="5FF389B3" w14:textId="77777777" w:rsidTr="00983491">
        <w:trPr>
          <w:jc w:val="center"/>
        </w:trPr>
        <w:tc>
          <w:tcPr>
            <w:tcW w:w="7921" w:type="dxa"/>
          </w:tcPr>
          <w:p w14:paraId="62EC95C9" w14:textId="77777777" w:rsidR="00F647BE" w:rsidRPr="00A52AB8" w:rsidRDefault="00F647BE" w:rsidP="004F7C57">
            <w:pPr>
              <w:spacing w:before="20" w:after="20"/>
              <w:rPr>
                <w:color w:val="000000" w:themeColor="text1"/>
                <w:sz w:val="20"/>
                <w:szCs w:val="20"/>
              </w:rPr>
            </w:pPr>
            <w:r w:rsidRPr="00A52AB8">
              <w:rPr>
                <w:color w:val="000000" w:themeColor="text1"/>
                <w:sz w:val="20"/>
                <w:szCs w:val="20"/>
              </w:rPr>
              <w:tab/>
              <w:t>else</w:t>
            </w:r>
          </w:p>
        </w:tc>
        <w:tc>
          <w:tcPr>
            <w:tcW w:w="1253" w:type="dxa"/>
          </w:tcPr>
          <w:p w14:paraId="293B3882" w14:textId="77777777" w:rsidR="00F647BE" w:rsidRPr="00A52AB8" w:rsidRDefault="00F647BE" w:rsidP="004F7C57">
            <w:pPr>
              <w:spacing w:before="20" w:after="20"/>
              <w:jc w:val="center"/>
              <w:rPr>
                <w:color w:val="000000" w:themeColor="text1"/>
                <w:sz w:val="20"/>
                <w:szCs w:val="20"/>
              </w:rPr>
            </w:pPr>
          </w:p>
        </w:tc>
      </w:tr>
      <w:tr w:rsidR="00F647BE" w:rsidRPr="00A52AB8" w14:paraId="71740539" w14:textId="77777777" w:rsidTr="00983491">
        <w:trPr>
          <w:jc w:val="center"/>
        </w:trPr>
        <w:tc>
          <w:tcPr>
            <w:tcW w:w="7921" w:type="dxa"/>
          </w:tcPr>
          <w:p w14:paraId="1CF673E4" w14:textId="77777777" w:rsidR="00F647BE" w:rsidRPr="00A52AB8" w:rsidRDefault="00F647BE" w:rsidP="004F7C57">
            <w:pPr>
              <w:spacing w:before="20" w:after="20"/>
              <w:rPr>
                <w:color w:val="000000" w:themeColor="text1"/>
                <w:sz w:val="20"/>
                <w:szCs w:val="20"/>
              </w:rPr>
            </w:pPr>
            <w:r w:rsidRPr="00A52AB8">
              <w:rPr>
                <w:color w:val="000000" w:themeColor="text1"/>
                <w:sz w:val="20"/>
                <w:szCs w:val="20"/>
              </w:rPr>
              <w:tab/>
            </w:r>
            <w:r w:rsidRPr="00A52AB8">
              <w:rPr>
                <w:color w:val="000000" w:themeColor="text1"/>
                <w:sz w:val="20"/>
                <w:szCs w:val="20"/>
              </w:rPr>
              <w:tab/>
            </w:r>
            <w:r w:rsidR="00707920" w:rsidRPr="00A52AB8">
              <w:rPr>
                <w:b/>
                <w:color w:val="000000" w:themeColor="text1"/>
                <w:sz w:val="20"/>
                <w:szCs w:val="20"/>
              </w:rPr>
              <w:t>vuh_reserved_zero_27bits</w:t>
            </w:r>
          </w:p>
        </w:tc>
        <w:tc>
          <w:tcPr>
            <w:tcW w:w="1253" w:type="dxa"/>
          </w:tcPr>
          <w:p w14:paraId="35C8BFD4" w14:textId="77777777" w:rsidR="00F647BE" w:rsidRPr="00A52AB8" w:rsidRDefault="00F647BE" w:rsidP="004F7C57">
            <w:pPr>
              <w:spacing w:before="20" w:after="20"/>
              <w:jc w:val="center"/>
              <w:rPr>
                <w:color w:val="000000" w:themeColor="text1"/>
                <w:sz w:val="20"/>
                <w:szCs w:val="20"/>
              </w:rPr>
            </w:pPr>
            <w:r w:rsidRPr="00A52AB8">
              <w:rPr>
                <w:color w:val="000000" w:themeColor="text1"/>
                <w:sz w:val="20"/>
                <w:szCs w:val="20"/>
              </w:rPr>
              <w:t>u(27)</w:t>
            </w:r>
          </w:p>
        </w:tc>
      </w:tr>
      <w:tr w:rsidR="00F647BE" w:rsidRPr="00A52AB8" w14:paraId="0ED255E0" w14:textId="77777777" w:rsidTr="00983491">
        <w:trPr>
          <w:jc w:val="center"/>
        </w:trPr>
        <w:tc>
          <w:tcPr>
            <w:tcW w:w="7921" w:type="dxa"/>
          </w:tcPr>
          <w:p w14:paraId="0AF95A6A" w14:textId="77777777" w:rsidR="00F647BE" w:rsidRPr="00A52AB8" w:rsidRDefault="00F647BE" w:rsidP="004F7C57">
            <w:pPr>
              <w:spacing w:before="20" w:after="20"/>
              <w:rPr>
                <w:color w:val="000000" w:themeColor="text1"/>
                <w:sz w:val="20"/>
                <w:szCs w:val="20"/>
              </w:rPr>
            </w:pPr>
            <w:r w:rsidRPr="00A52AB8">
              <w:rPr>
                <w:color w:val="000000" w:themeColor="text1"/>
                <w:sz w:val="20"/>
                <w:szCs w:val="20"/>
              </w:rPr>
              <w:t>}</w:t>
            </w:r>
          </w:p>
        </w:tc>
        <w:tc>
          <w:tcPr>
            <w:tcW w:w="1253" w:type="dxa"/>
          </w:tcPr>
          <w:p w14:paraId="1B0E4DFB" w14:textId="77777777" w:rsidR="00F647BE" w:rsidRPr="00A52AB8" w:rsidRDefault="00F647BE" w:rsidP="004F7C57">
            <w:pPr>
              <w:spacing w:before="20" w:after="20"/>
              <w:jc w:val="center"/>
              <w:rPr>
                <w:color w:val="000000" w:themeColor="text1"/>
                <w:sz w:val="20"/>
                <w:szCs w:val="20"/>
              </w:rPr>
            </w:pPr>
          </w:p>
        </w:tc>
      </w:tr>
    </w:tbl>
    <w:p w14:paraId="363534FD" w14:textId="77777777" w:rsidR="00EE152A" w:rsidRPr="00A52AB8" w:rsidRDefault="004B6ABD" w:rsidP="005C26E9">
      <w:pPr>
        <w:pStyle w:val="Heading4"/>
      </w:pPr>
      <w:bookmarkStart w:id="623" w:name="_Toc529871396"/>
      <w:r w:rsidRPr="00A52AB8">
        <w:t>V3C</w:t>
      </w:r>
      <w:r w:rsidR="00EE152A" w:rsidRPr="00A52AB8">
        <w:t xml:space="preserve"> </w:t>
      </w:r>
      <w:r w:rsidR="00713DB3" w:rsidRPr="00A52AB8">
        <w:t>unit</w:t>
      </w:r>
      <w:r w:rsidR="00DB7E13" w:rsidRPr="00A52AB8">
        <w:t xml:space="preserve"> </w:t>
      </w:r>
      <w:r w:rsidR="00EE152A" w:rsidRPr="00A52AB8">
        <w:t>payload syntax</w:t>
      </w:r>
      <w:bookmarkEnd w:id="623"/>
    </w:p>
    <w:tbl>
      <w:tblPr>
        <w:tblStyle w:val="TableGrid"/>
        <w:tblW w:w="5000" w:type="pct"/>
        <w:jc w:val="center"/>
        <w:tblLook w:val="04A0" w:firstRow="1" w:lastRow="0" w:firstColumn="1" w:lastColumn="0" w:noHBand="0" w:noVBand="1"/>
      </w:tblPr>
      <w:tblGrid>
        <w:gridCol w:w="8411"/>
        <w:gridCol w:w="1331"/>
      </w:tblGrid>
      <w:tr w:rsidR="00EE152A" w:rsidRPr="004F23D9" w14:paraId="6FAE91D0" w14:textId="77777777" w:rsidTr="00007BE2">
        <w:trPr>
          <w:jc w:val="center"/>
        </w:trPr>
        <w:tc>
          <w:tcPr>
            <w:tcW w:w="8411" w:type="dxa"/>
          </w:tcPr>
          <w:p w14:paraId="323E93BF" w14:textId="40EFF383" w:rsidR="00EE152A" w:rsidRPr="004F23D9" w:rsidRDefault="00307947">
            <w:pPr>
              <w:spacing w:before="20" w:after="20"/>
              <w:rPr>
                <w:color w:val="000000" w:themeColor="text1"/>
                <w:sz w:val="20"/>
                <w:szCs w:val="20"/>
              </w:rPr>
            </w:pPr>
            <w:r w:rsidRPr="004F23D9">
              <w:rPr>
                <w:color w:val="000000" w:themeColor="text1"/>
                <w:sz w:val="20"/>
                <w:szCs w:val="20"/>
              </w:rPr>
              <w:t>v3c_</w:t>
            </w:r>
            <w:r w:rsidR="00713DB3" w:rsidRPr="004F23D9">
              <w:rPr>
                <w:color w:val="000000" w:themeColor="text1"/>
                <w:sz w:val="20"/>
                <w:szCs w:val="20"/>
              </w:rPr>
              <w:t>unit</w:t>
            </w:r>
            <w:r w:rsidR="00EE152A" w:rsidRPr="004F23D9">
              <w:rPr>
                <w:color w:val="000000" w:themeColor="text1"/>
                <w:sz w:val="20"/>
                <w:szCs w:val="20"/>
              </w:rPr>
              <w:t>_payload(</w:t>
            </w:r>
            <w:r w:rsidR="00376E1A" w:rsidRPr="004F23D9">
              <w:rPr>
                <w:color w:val="000000" w:themeColor="text1"/>
                <w:sz w:val="20"/>
                <w:szCs w:val="20"/>
              </w:rPr>
              <w:t> </w:t>
            </w:r>
            <w:r w:rsidR="003D77B3" w:rsidRPr="004F23D9">
              <w:rPr>
                <w:color w:val="000000" w:themeColor="text1"/>
                <w:sz w:val="20"/>
              </w:rPr>
              <w:t>numBytesInV</w:t>
            </w:r>
            <w:r w:rsidR="00C76CF2" w:rsidRPr="004F23D9">
              <w:rPr>
                <w:color w:val="000000" w:themeColor="text1"/>
                <w:sz w:val="20"/>
              </w:rPr>
              <w:t>3C</w:t>
            </w:r>
            <w:r w:rsidR="003D77B3" w:rsidRPr="004F23D9">
              <w:rPr>
                <w:color w:val="000000" w:themeColor="text1"/>
                <w:sz w:val="20"/>
              </w:rPr>
              <w:t>Payload</w:t>
            </w:r>
            <w:r w:rsidR="00376E1A" w:rsidRPr="004F23D9">
              <w:rPr>
                <w:color w:val="000000" w:themeColor="text1"/>
                <w:sz w:val="20"/>
              </w:rPr>
              <w:t> </w:t>
            </w:r>
            <w:r w:rsidR="008F1F82" w:rsidRPr="004F23D9">
              <w:rPr>
                <w:color w:val="000000" w:themeColor="text1"/>
                <w:sz w:val="20"/>
                <w:szCs w:val="20"/>
              </w:rPr>
              <w:t>) {</w:t>
            </w:r>
          </w:p>
        </w:tc>
        <w:tc>
          <w:tcPr>
            <w:tcW w:w="1331" w:type="dxa"/>
          </w:tcPr>
          <w:p w14:paraId="25B6C4F4" w14:textId="77777777" w:rsidR="00EE152A" w:rsidRPr="007B1C76" w:rsidRDefault="00EE152A">
            <w:pPr>
              <w:spacing w:before="20" w:after="20"/>
              <w:jc w:val="center"/>
              <w:rPr>
                <w:b/>
                <w:color w:val="000000" w:themeColor="text1"/>
                <w:sz w:val="20"/>
                <w:szCs w:val="20"/>
              </w:rPr>
            </w:pPr>
            <w:r w:rsidRPr="007B1C76">
              <w:rPr>
                <w:b/>
                <w:color w:val="000000" w:themeColor="text1"/>
                <w:sz w:val="20"/>
                <w:szCs w:val="20"/>
              </w:rPr>
              <w:t>Descriptor</w:t>
            </w:r>
          </w:p>
        </w:tc>
      </w:tr>
      <w:tr w:rsidR="00EE152A" w:rsidRPr="004F23D9" w14:paraId="2669599C" w14:textId="77777777" w:rsidTr="00007BE2">
        <w:trPr>
          <w:jc w:val="center"/>
        </w:trPr>
        <w:tc>
          <w:tcPr>
            <w:tcW w:w="8411" w:type="dxa"/>
          </w:tcPr>
          <w:p w14:paraId="171CDC37" w14:textId="3968B714" w:rsidR="00EE152A" w:rsidRPr="004F23D9" w:rsidRDefault="00955B1C" w:rsidP="004F7C57">
            <w:pPr>
              <w:spacing w:before="20" w:after="20"/>
              <w:rPr>
                <w:color w:val="000000" w:themeColor="text1"/>
                <w:sz w:val="20"/>
                <w:szCs w:val="20"/>
              </w:rPr>
            </w:pPr>
            <w:r w:rsidRPr="004F23D9">
              <w:rPr>
                <w:color w:val="000000" w:themeColor="text1"/>
                <w:sz w:val="20"/>
                <w:szCs w:val="20"/>
              </w:rPr>
              <w:tab/>
            </w:r>
            <w:r w:rsidR="003A5206" w:rsidRPr="004F23D9">
              <w:rPr>
                <w:color w:val="000000" w:themeColor="text1"/>
                <w:sz w:val="20"/>
                <w:szCs w:val="20"/>
              </w:rPr>
              <w:t>if(</w:t>
            </w:r>
            <w:r w:rsidR="003730E9" w:rsidRPr="004F23D9">
              <w:rPr>
                <w:color w:val="000000" w:themeColor="text1"/>
                <w:sz w:val="20"/>
                <w:szCs w:val="20"/>
                <w:lang w:eastAsia="ja-JP"/>
              </w:rPr>
              <w:t> </w:t>
            </w:r>
            <w:r w:rsidR="00707920" w:rsidRPr="004F23D9">
              <w:rPr>
                <w:color w:val="000000" w:themeColor="text1"/>
                <w:sz w:val="20"/>
                <w:szCs w:val="20"/>
              </w:rPr>
              <w:t>vuh_unit_type</w:t>
            </w:r>
            <w:r w:rsidR="008768E9" w:rsidRPr="004F23D9">
              <w:rPr>
                <w:color w:val="000000" w:themeColor="text1"/>
                <w:sz w:val="20"/>
                <w:szCs w:val="20"/>
              </w:rPr>
              <w:t> </w:t>
            </w:r>
            <w:r w:rsidR="00726AAE" w:rsidRPr="004F23D9">
              <w:rPr>
                <w:color w:val="000000" w:themeColor="text1"/>
                <w:sz w:val="20"/>
                <w:szCs w:val="20"/>
              </w:rPr>
              <w:t>==</w:t>
            </w:r>
            <w:r w:rsidR="00D47707" w:rsidRPr="004F23D9">
              <w:rPr>
                <w:color w:val="000000" w:themeColor="text1"/>
                <w:sz w:val="20"/>
                <w:szCs w:val="20"/>
              </w:rPr>
              <w:t> </w:t>
            </w:r>
            <w:r w:rsidR="00F03B52" w:rsidRPr="004F23D9">
              <w:rPr>
                <w:color w:val="000000" w:themeColor="text1"/>
                <w:sz w:val="20"/>
                <w:szCs w:val="20"/>
                <w:lang w:eastAsia="ko-KR"/>
              </w:rPr>
              <w:t>V3C_</w:t>
            </w:r>
            <w:r w:rsidR="00B20F5B" w:rsidRPr="004F23D9">
              <w:rPr>
                <w:color w:val="000000" w:themeColor="text1"/>
                <w:sz w:val="20"/>
                <w:szCs w:val="20"/>
                <w:lang w:eastAsia="ko-KR"/>
              </w:rPr>
              <w:t>VPS</w:t>
            </w:r>
            <w:r w:rsidR="003730E9" w:rsidRPr="004F23D9">
              <w:rPr>
                <w:color w:val="000000" w:themeColor="text1"/>
                <w:sz w:val="20"/>
                <w:szCs w:val="20"/>
                <w:lang w:eastAsia="ja-JP"/>
              </w:rPr>
              <w:t> </w:t>
            </w:r>
            <w:r w:rsidR="00EE152A" w:rsidRPr="004F23D9">
              <w:rPr>
                <w:color w:val="000000" w:themeColor="text1"/>
                <w:sz w:val="20"/>
                <w:szCs w:val="20"/>
              </w:rPr>
              <w:t>)</w:t>
            </w:r>
          </w:p>
        </w:tc>
        <w:tc>
          <w:tcPr>
            <w:tcW w:w="1331" w:type="dxa"/>
          </w:tcPr>
          <w:p w14:paraId="4938E300" w14:textId="77777777" w:rsidR="00EE152A" w:rsidRPr="007B1C76" w:rsidRDefault="00EE152A" w:rsidP="004F7C57">
            <w:pPr>
              <w:spacing w:before="20" w:after="20"/>
              <w:jc w:val="center"/>
              <w:rPr>
                <w:color w:val="000000" w:themeColor="text1"/>
                <w:sz w:val="20"/>
                <w:szCs w:val="20"/>
              </w:rPr>
            </w:pPr>
          </w:p>
        </w:tc>
      </w:tr>
      <w:tr w:rsidR="00EE152A" w:rsidRPr="004F23D9" w14:paraId="14796F87" w14:textId="77777777" w:rsidTr="00007BE2">
        <w:trPr>
          <w:jc w:val="center"/>
        </w:trPr>
        <w:tc>
          <w:tcPr>
            <w:tcW w:w="8411" w:type="dxa"/>
          </w:tcPr>
          <w:p w14:paraId="329F6AA6" w14:textId="313EAEA9" w:rsidR="00EE152A" w:rsidRPr="004F23D9" w:rsidRDefault="001527F9" w:rsidP="004F7C57">
            <w:pPr>
              <w:spacing w:before="20" w:after="20"/>
              <w:rPr>
                <w:color w:val="000000" w:themeColor="text1"/>
                <w:sz w:val="20"/>
                <w:szCs w:val="20"/>
              </w:rPr>
            </w:pPr>
            <w:r w:rsidRPr="004F23D9">
              <w:rPr>
                <w:color w:val="000000" w:themeColor="text1"/>
                <w:sz w:val="20"/>
                <w:szCs w:val="20"/>
              </w:rPr>
              <w:tab/>
            </w:r>
            <w:r w:rsidR="00955B1C" w:rsidRPr="004F23D9">
              <w:rPr>
                <w:color w:val="000000" w:themeColor="text1"/>
                <w:sz w:val="20"/>
                <w:szCs w:val="20"/>
              </w:rPr>
              <w:tab/>
            </w:r>
            <w:r w:rsidR="00307947" w:rsidRPr="004F23D9">
              <w:rPr>
                <w:color w:val="000000" w:themeColor="text1"/>
                <w:sz w:val="20"/>
                <w:szCs w:val="20"/>
              </w:rPr>
              <w:t>v3c_</w:t>
            </w:r>
            <w:r w:rsidR="00EE152A" w:rsidRPr="004F23D9">
              <w:rPr>
                <w:color w:val="000000" w:themeColor="text1"/>
                <w:sz w:val="20"/>
                <w:szCs w:val="20"/>
              </w:rPr>
              <w:t>parameter_set(</w:t>
            </w:r>
            <w:r w:rsidR="00E46CFC" w:rsidRPr="004F23D9">
              <w:rPr>
                <w:color w:val="000000" w:themeColor="text1"/>
                <w:sz w:val="20"/>
                <w:szCs w:val="20"/>
              </w:rPr>
              <w:t> </w:t>
            </w:r>
            <w:r w:rsidR="00C76CF2" w:rsidRPr="00CA2168">
              <w:rPr>
                <w:color w:val="000000" w:themeColor="text1"/>
                <w:sz w:val="20"/>
                <w:szCs w:val="20"/>
              </w:rPr>
              <w:t>numBytesInV3CPayload</w:t>
            </w:r>
            <w:r w:rsidR="00376E1A" w:rsidRPr="00CA2168">
              <w:rPr>
                <w:color w:val="000000" w:themeColor="text1"/>
                <w:sz w:val="20"/>
                <w:szCs w:val="20"/>
              </w:rPr>
              <w:t> </w:t>
            </w:r>
            <w:r w:rsidR="00EE152A" w:rsidRPr="004F23D9">
              <w:rPr>
                <w:color w:val="000000" w:themeColor="text1"/>
                <w:sz w:val="20"/>
                <w:szCs w:val="20"/>
              </w:rPr>
              <w:t>)</w:t>
            </w:r>
          </w:p>
        </w:tc>
        <w:tc>
          <w:tcPr>
            <w:tcW w:w="1331" w:type="dxa"/>
          </w:tcPr>
          <w:p w14:paraId="28CB25E4" w14:textId="77777777" w:rsidR="00EE152A" w:rsidRPr="004F23D9" w:rsidRDefault="00EE152A" w:rsidP="004F7C57">
            <w:pPr>
              <w:spacing w:before="20" w:after="20"/>
              <w:jc w:val="center"/>
              <w:rPr>
                <w:color w:val="000000" w:themeColor="text1"/>
                <w:sz w:val="20"/>
                <w:szCs w:val="20"/>
              </w:rPr>
            </w:pPr>
          </w:p>
        </w:tc>
      </w:tr>
      <w:tr w:rsidR="00EE152A" w:rsidRPr="004F23D9" w14:paraId="11F96F51" w14:textId="77777777" w:rsidTr="00007BE2">
        <w:trPr>
          <w:jc w:val="center"/>
        </w:trPr>
        <w:tc>
          <w:tcPr>
            <w:tcW w:w="8411" w:type="dxa"/>
          </w:tcPr>
          <w:p w14:paraId="11B83D67" w14:textId="790BA5C8" w:rsidR="00EE152A" w:rsidRPr="004F23D9" w:rsidRDefault="00955B1C" w:rsidP="004F7C57">
            <w:pPr>
              <w:spacing w:before="20" w:after="20"/>
              <w:rPr>
                <w:color w:val="000000" w:themeColor="text1"/>
                <w:sz w:val="20"/>
                <w:szCs w:val="20"/>
              </w:rPr>
            </w:pPr>
            <w:r w:rsidRPr="004F23D9">
              <w:rPr>
                <w:color w:val="000000" w:themeColor="text1"/>
                <w:sz w:val="20"/>
                <w:szCs w:val="20"/>
              </w:rPr>
              <w:tab/>
            </w:r>
            <w:r w:rsidR="00EE152A" w:rsidRPr="004F23D9">
              <w:rPr>
                <w:color w:val="000000" w:themeColor="text1"/>
                <w:sz w:val="20"/>
                <w:szCs w:val="20"/>
              </w:rPr>
              <w:t>else</w:t>
            </w:r>
            <w:r w:rsidR="004F23D9" w:rsidRPr="004F23D9">
              <w:rPr>
                <w:color w:val="000000" w:themeColor="text1"/>
                <w:sz w:val="20"/>
                <w:szCs w:val="20"/>
              </w:rPr>
              <w:t> </w:t>
            </w:r>
            <w:r w:rsidR="003A5206" w:rsidRPr="004F23D9">
              <w:rPr>
                <w:color w:val="000000" w:themeColor="text1"/>
                <w:sz w:val="20"/>
                <w:szCs w:val="20"/>
              </w:rPr>
              <w:t>if(</w:t>
            </w:r>
            <w:r w:rsidR="003730E9" w:rsidRPr="004F23D9">
              <w:rPr>
                <w:color w:val="000000" w:themeColor="text1"/>
                <w:sz w:val="20"/>
                <w:szCs w:val="20"/>
              </w:rPr>
              <w:t> </w:t>
            </w:r>
            <w:r w:rsidR="00707920" w:rsidRPr="004F23D9">
              <w:rPr>
                <w:color w:val="000000" w:themeColor="text1"/>
                <w:sz w:val="20"/>
                <w:szCs w:val="20"/>
              </w:rPr>
              <w:t>vuh_unit_type</w:t>
            </w:r>
            <w:r w:rsidR="008768E9" w:rsidRPr="004F23D9">
              <w:rPr>
                <w:color w:val="000000" w:themeColor="text1"/>
                <w:sz w:val="20"/>
                <w:szCs w:val="20"/>
              </w:rPr>
              <w:t> </w:t>
            </w:r>
            <w:r w:rsidR="00726AAE" w:rsidRPr="004F23D9">
              <w:rPr>
                <w:color w:val="000000" w:themeColor="text1"/>
                <w:sz w:val="20"/>
                <w:szCs w:val="20"/>
              </w:rPr>
              <w:t>==</w:t>
            </w:r>
            <w:r w:rsidR="00D47707" w:rsidRPr="004F23D9">
              <w:rPr>
                <w:color w:val="000000" w:themeColor="text1"/>
                <w:sz w:val="20"/>
                <w:szCs w:val="20"/>
              </w:rPr>
              <w:t> </w:t>
            </w:r>
            <w:r w:rsidR="00F03B52" w:rsidRPr="004F23D9">
              <w:rPr>
                <w:color w:val="000000" w:themeColor="text1"/>
                <w:sz w:val="20"/>
                <w:szCs w:val="20"/>
                <w:lang w:eastAsia="ko-KR"/>
              </w:rPr>
              <w:t>V3C_</w:t>
            </w:r>
            <w:r w:rsidR="00DB7E13" w:rsidRPr="004F23D9">
              <w:rPr>
                <w:color w:val="000000" w:themeColor="text1"/>
                <w:sz w:val="20"/>
                <w:szCs w:val="20"/>
                <w:lang w:eastAsia="ko-KR"/>
              </w:rPr>
              <w:t>A</w:t>
            </w:r>
            <w:r w:rsidR="005D6240" w:rsidRPr="004F23D9">
              <w:rPr>
                <w:color w:val="000000" w:themeColor="text1"/>
                <w:sz w:val="20"/>
                <w:szCs w:val="20"/>
                <w:lang w:eastAsia="ko-KR"/>
              </w:rPr>
              <w:t>D</w:t>
            </w:r>
            <w:r w:rsidR="004F23D9" w:rsidRPr="004F23D9">
              <w:rPr>
                <w:color w:val="000000" w:themeColor="text1"/>
                <w:sz w:val="20"/>
                <w:szCs w:val="20"/>
                <w:lang w:eastAsia="ko-KR"/>
              </w:rPr>
              <w:br/>
            </w:r>
            <w:r w:rsidR="004F23D9" w:rsidRPr="004F23D9">
              <w:rPr>
                <w:color w:val="000000" w:themeColor="text1"/>
                <w:sz w:val="20"/>
                <w:szCs w:val="20"/>
              </w:rPr>
              <w:tab/>
            </w:r>
            <w:r w:rsidR="004F23D9" w:rsidRPr="004F23D9">
              <w:rPr>
                <w:color w:val="000000" w:themeColor="text1"/>
                <w:sz w:val="20"/>
                <w:szCs w:val="20"/>
              </w:rPr>
              <w:tab/>
            </w:r>
            <w:r w:rsidR="004F23D9" w:rsidRPr="004F23D9">
              <w:rPr>
                <w:color w:val="000000" w:themeColor="text1"/>
                <w:sz w:val="20"/>
                <w:szCs w:val="20"/>
              </w:rPr>
              <w:tab/>
              <w:t>|| vuh_unit_type == V3C_CAD </w:t>
            </w:r>
            <w:r w:rsidR="003411AD" w:rsidRPr="004F23D9">
              <w:rPr>
                <w:color w:val="000000" w:themeColor="text1"/>
                <w:sz w:val="20"/>
                <w:szCs w:val="20"/>
              </w:rPr>
              <w:t>)</w:t>
            </w:r>
          </w:p>
        </w:tc>
        <w:tc>
          <w:tcPr>
            <w:tcW w:w="1331" w:type="dxa"/>
          </w:tcPr>
          <w:p w14:paraId="64184419" w14:textId="77777777" w:rsidR="00EE152A" w:rsidRPr="007B1C76" w:rsidRDefault="00EE152A" w:rsidP="004F7C57">
            <w:pPr>
              <w:spacing w:before="20" w:after="20"/>
              <w:jc w:val="center"/>
              <w:rPr>
                <w:color w:val="000000" w:themeColor="text1"/>
                <w:sz w:val="20"/>
                <w:szCs w:val="20"/>
              </w:rPr>
            </w:pPr>
          </w:p>
        </w:tc>
      </w:tr>
      <w:tr w:rsidR="00EE152A" w:rsidRPr="004F23D9" w14:paraId="547BE947" w14:textId="77777777" w:rsidTr="00007BE2">
        <w:trPr>
          <w:jc w:val="center"/>
        </w:trPr>
        <w:tc>
          <w:tcPr>
            <w:tcW w:w="8411" w:type="dxa"/>
          </w:tcPr>
          <w:p w14:paraId="2930300C" w14:textId="4CBF51B3" w:rsidR="00EE152A" w:rsidRPr="004F23D9" w:rsidRDefault="001527F9" w:rsidP="004F7C57">
            <w:pPr>
              <w:spacing w:before="20" w:after="20"/>
              <w:rPr>
                <w:color w:val="000000" w:themeColor="text1"/>
                <w:sz w:val="20"/>
                <w:szCs w:val="20"/>
                <w:lang w:eastAsia="ja-JP"/>
              </w:rPr>
            </w:pPr>
            <w:r w:rsidRPr="004F23D9">
              <w:rPr>
                <w:color w:val="000000" w:themeColor="text1"/>
                <w:sz w:val="20"/>
                <w:szCs w:val="20"/>
              </w:rPr>
              <w:tab/>
            </w:r>
            <w:r w:rsidR="00955B1C" w:rsidRPr="004F23D9">
              <w:rPr>
                <w:color w:val="000000" w:themeColor="text1"/>
                <w:sz w:val="20"/>
                <w:szCs w:val="20"/>
              </w:rPr>
              <w:tab/>
            </w:r>
            <w:r w:rsidR="00DB7E13" w:rsidRPr="004F23D9">
              <w:rPr>
                <w:color w:val="000000" w:themeColor="text1"/>
                <w:sz w:val="20"/>
                <w:szCs w:val="20"/>
              </w:rPr>
              <w:t>atlas</w:t>
            </w:r>
            <w:r w:rsidR="00543A7D" w:rsidRPr="004F23D9">
              <w:rPr>
                <w:color w:val="000000" w:themeColor="text1"/>
                <w:sz w:val="20"/>
                <w:szCs w:val="20"/>
              </w:rPr>
              <w:t>_</w:t>
            </w:r>
            <w:r w:rsidR="00DB7E13" w:rsidRPr="004F23D9">
              <w:rPr>
                <w:color w:val="000000" w:themeColor="text1"/>
                <w:sz w:val="20"/>
                <w:szCs w:val="20"/>
              </w:rPr>
              <w:t>sub</w:t>
            </w:r>
            <w:r w:rsidR="00713DB3" w:rsidRPr="004F23D9">
              <w:rPr>
                <w:color w:val="000000" w:themeColor="text1"/>
                <w:sz w:val="20"/>
                <w:szCs w:val="20"/>
              </w:rPr>
              <w:t>_bit</w:t>
            </w:r>
            <w:r w:rsidR="00DB7E13" w:rsidRPr="004F23D9">
              <w:rPr>
                <w:color w:val="000000" w:themeColor="text1"/>
                <w:sz w:val="20"/>
                <w:szCs w:val="20"/>
              </w:rPr>
              <w:t>stream</w:t>
            </w:r>
            <w:r w:rsidR="00EE152A" w:rsidRPr="004F23D9">
              <w:rPr>
                <w:color w:val="000000" w:themeColor="text1"/>
                <w:sz w:val="20"/>
                <w:szCs w:val="20"/>
              </w:rPr>
              <w:t>(</w:t>
            </w:r>
            <w:r w:rsidR="00BC52B1" w:rsidRPr="004F23D9">
              <w:rPr>
                <w:color w:val="000000" w:themeColor="text1"/>
                <w:sz w:val="20"/>
                <w:szCs w:val="20"/>
              </w:rPr>
              <w:t> </w:t>
            </w:r>
            <w:r w:rsidR="00C76CF2" w:rsidRPr="00CA2168">
              <w:rPr>
                <w:color w:val="000000" w:themeColor="text1"/>
                <w:sz w:val="20"/>
                <w:szCs w:val="20"/>
              </w:rPr>
              <w:t>numBytesInV3CPayload</w:t>
            </w:r>
            <w:r w:rsidR="00376E1A" w:rsidRPr="00CA2168">
              <w:rPr>
                <w:color w:val="000000" w:themeColor="text1"/>
                <w:sz w:val="20"/>
                <w:szCs w:val="20"/>
              </w:rPr>
              <w:t> </w:t>
            </w:r>
            <w:r w:rsidR="00EE152A" w:rsidRPr="004F23D9">
              <w:rPr>
                <w:color w:val="000000" w:themeColor="text1"/>
                <w:sz w:val="20"/>
                <w:szCs w:val="20"/>
              </w:rPr>
              <w:t>)</w:t>
            </w:r>
          </w:p>
        </w:tc>
        <w:tc>
          <w:tcPr>
            <w:tcW w:w="1331" w:type="dxa"/>
          </w:tcPr>
          <w:p w14:paraId="38B009FC" w14:textId="77777777" w:rsidR="00EE152A" w:rsidRPr="004F23D9" w:rsidRDefault="00EE152A" w:rsidP="004F7C57">
            <w:pPr>
              <w:spacing w:before="20" w:after="20"/>
              <w:jc w:val="center"/>
              <w:rPr>
                <w:color w:val="000000" w:themeColor="text1"/>
                <w:sz w:val="20"/>
                <w:szCs w:val="20"/>
              </w:rPr>
            </w:pPr>
          </w:p>
        </w:tc>
      </w:tr>
      <w:tr w:rsidR="00EE152A" w:rsidRPr="004F23D9" w14:paraId="307BD231" w14:textId="77777777" w:rsidTr="00007BE2">
        <w:trPr>
          <w:jc w:val="center"/>
        </w:trPr>
        <w:tc>
          <w:tcPr>
            <w:tcW w:w="8411" w:type="dxa"/>
          </w:tcPr>
          <w:p w14:paraId="30B135BD" w14:textId="7C21456E" w:rsidR="00EE152A" w:rsidRPr="004F23D9" w:rsidRDefault="00955B1C" w:rsidP="004F7C57">
            <w:pPr>
              <w:spacing w:before="20" w:after="20"/>
              <w:rPr>
                <w:color w:val="000000" w:themeColor="text1"/>
                <w:sz w:val="20"/>
                <w:szCs w:val="20"/>
              </w:rPr>
            </w:pPr>
            <w:r w:rsidRPr="004F23D9">
              <w:rPr>
                <w:color w:val="000000" w:themeColor="text1"/>
                <w:sz w:val="20"/>
                <w:szCs w:val="20"/>
              </w:rPr>
              <w:tab/>
            </w:r>
            <w:r w:rsidR="00EE152A" w:rsidRPr="004F23D9">
              <w:rPr>
                <w:color w:val="000000" w:themeColor="text1"/>
                <w:sz w:val="20"/>
                <w:szCs w:val="20"/>
              </w:rPr>
              <w:t>else</w:t>
            </w:r>
            <w:r w:rsidR="006E05AF" w:rsidRPr="004F23D9">
              <w:rPr>
                <w:color w:val="000000" w:themeColor="text1"/>
                <w:sz w:val="20"/>
                <w:szCs w:val="20"/>
              </w:rPr>
              <w:t> </w:t>
            </w:r>
            <w:r w:rsidR="003A5206" w:rsidRPr="004F23D9">
              <w:rPr>
                <w:color w:val="000000" w:themeColor="text1"/>
                <w:sz w:val="20"/>
                <w:szCs w:val="20"/>
              </w:rPr>
              <w:t>if(</w:t>
            </w:r>
            <w:r w:rsidR="006E05AF" w:rsidRPr="004F23D9">
              <w:rPr>
                <w:color w:val="000000" w:themeColor="text1"/>
                <w:sz w:val="20"/>
                <w:szCs w:val="20"/>
              </w:rPr>
              <w:t> </w:t>
            </w:r>
            <w:r w:rsidR="00707920" w:rsidRPr="004F23D9">
              <w:rPr>
                <w:color w:val="000000" w:themeColor="text1"/>
                <w:sz w:val="20"/>
                <w:szCs w:val="20"/>
              </w:rPr>
              <w:t>vuh_unit_type</w:t>
            </w:r>
            <w:r w:rsidR="008768E9" w:rsidRPr="004F23D9">
              <w:rPr>
                <w:color w:val="000000" w:themeColor="text1"/>
                <w:sz w:val="20"/>
                <w:szCs w:val="20"/>
              </w:rPr>
              <w:t> </w:t>
            </w:r>
            <w:r w:rsidR="00726AAE" w:rsidRPr="004F23D9">
              <w:rPr>
                <w:color w:val="000000" w:themeColor="text1"/>
                <w:sz w:val="20"/>
                <w:szCs w:val="20"/>
              </w:rPr>
              <w:t>==</w:t>
            </w:r>
            <w:r w:rsidR="00D47707" w:rsidRPr="004F23D9">
              <w:rPr>
                <w:color w:val="000000" w:themeColor="text1"/>
                <w:sz w:val="20"/>
                <w:szCs w:val="20"/>
              </w:rPr>
              <w:t> </w:t>
            </w:r>
            <w:r w:rsidR="00F03B52" w:rsidRPr="004F23D9">
              <w:rPr>
                <w:color w:val="000000" w:themeColor="text1"/>
                <w:sz w:val="20"/>
                <w:szCs w:val="20"/>
                <w:lang w:eastAsia="ko-KR"/>
              </w:rPr>
              <w:t>V3C_</w:t>
            </w:r>
            <w:r w:rsidR="006E05AF" w:rsidRPr="004F23D9">
              <w:rPr>
                <w:color w:val="000000" w:themeColor="text1"/>
                <w:sz w:val="20"/>
                <w:szCs w:val="20"/>
                <w:lang w:eastAsia="ko-KR"/>
              </w:rPr>
              <w:t>OVD</w:t>
            </w:r>
            <w:r w:rsidR="008768E9" w:rsidRPr="004F23D9">
              <w:rPr>
                <w:color w:val="000000" w:themeColor="text1"/>
                <w:sz w:val="20"/>
                <w:szCs w:val="20"/>
              </w:rPr>
              <w:t> ||</w:t>
            </w:r>
            <w:r w:rsidR="006E05AF" w:rsidRPr="004F23D9">
              <w:rPr>
                <w:color w:val="000000" w:themeColor="text1"/>
                <w:sz w:val="20"/>
                <w:szCs w:val="20"/>
              </w:rPr>
              <w:br/>
            </w:r>
            <w:r w:rsidR="006E05AF" w:rsidRPr="004F23D9">
              <w:rPr>
                <w:color w:val="000000" w:themeColor="text1"/>
                <w:sz w:val="20"/>
                <w:szCs w:val="20"/>
              </w:rPr>
              <w:tab/>
            </w:r>
            <w:r w:rsidR="006E05AF" w:rsidRPr="004F23D9">
              <w:rPr>
                <w:color w:val="000000" w:themeColor="text1"/>
                <w:sz w:val="20"/>
                <w:szCs w:val="20"/>
              </w:rPr>
              <w:tab/>
            </w:r>
            <w:r w:rsidR="006E05AF" w:rsidRPr="004F23D9">
              <w:rPr>
                <w:color w:val="000000" w:themeColor="text1"/>
                <w:sz w:val="20"/>
                <w:szCs w:val="20"/>
              </w:rPr>
              <w:tab/>
            </w:r>
            <w:r w:rsidR="00707920" w:rsidRPr="004F23D9">
              <w:rPr>
                <w:color w:val="000000" w:themeColor="text1"/>
                <w:sz w:val="20"/>
                <w:szCs w:val="20"/>
              </w:rPr>
              <w:t>vuh_unit_type</w:t>
            </w:r>
            <w:r w:rsidR="008768E9" w:rsidRPr="004F23D9">
              <w:rPr>
                <w:color w:val="000000" w:themeColor="text1"/>
                <w:sz w:val="20"/>
                <w:szCs w:val="20"/>
              </w:rPr>
              <w:t> </w:t>
            </w:r>
            <w:r w:rsidR="00726AAE" w:rsidRPr="004F23D9">
              <w:rPr>
                <w:color w:val="000000" w:themeColor="text1"/>
                <w:sz w:val="20"/>
                <w:szCs w:val="20"/>
              </w:rPr>
              <w:t>==</w:t>
            </w:r>
            <w:r w:rsidR="00D47707" w:rsidRPr="004F23D9">
              <w:rPr>
                <w:color w:val="000000" w:themeColor="text1"/>
                <w:sz w:val="20"/>
                <w:szCs w:val="20"/>
              </w:rPr>
              <w:t> </w:t>
            </w:r>
            <w:r w:rsidR="00F03B52" w:rsidRPr="004F23D9">
              <w:rPr>
                <w:color w:val="000000" w:themeColor="text1"/>
                <w:sz w:val="20"/>
                <w:szCs w:val="20"/>
                <w:lang w:eastAsia="ko-KR"/>
              </w:rPr>
              <w:t>V3C_</w:t>
            </w:r>
            <w:r w:rsidR="006E05AF" w:rsidRPr="004F23D9">
              <w:rPr>
                <w:color w:val="000000" w:themeColor="text1"/>
                <w:sz w:val="20"/>
                <w:szCs w:val="20"/>
                <w:lang w:eastAsia="ko-KR"/>
              </w:rPr>
              <w:t>GVD</w:t>
            </w:r>
            <w:r w:rsidR="008768E9" w:rsidRPr="004F23D9">
              <w:rPr>
                <w:color w:val="000000" w:themeColor="text1"/>
                <w:sz w:val="20"/>
                <w:szCs w:val="20"/>
              </w:rPr>
              <w:t> ||</w:t>
            </w:r>
            <w:r w:rsidR="006E05AF" w:rsidRPr="004F23D9">
              <w:rPr>
                <w:color w:val="000000" w:themeColor="text1"/>
                <w:sz w:val="20"/>
                <w:szCs w:val="20"/>
              </w:rPr>
              <w:br/>
            </w:r>
            <w:r w:rsidR="006E05AF" w:rsidRPr="004F23D9">
              <w:rPr>
                <w:color w:val="000000" w:themeColor="text1"/>
                <w:sz w:val="20"/>
                <w:szCs w:val="20"/>
              </w:rPr>
              <w:tab/>
            </w:r>
            <w:r w:rsidR="006E05AF" w:rsidRPr="004F23D9">
              <w:rPr>
                <w:color w:val="000000" w:themeColor="text1"/>
                <w:sz w:val="20"/>
                <w:szCs w:val="20"/>
              </w:rPr>
              <w:tab/>
            </w:r>
            <w:r w:rsidR="006E05AF" w:rsidRPr="004F23D9">
              <w:rPr>
                <w:color w:val="000000" w:themeColor="text1"/>
                <w:sz w:val="20"/>
                <w:szCs w:val="20"/>
              </w:rPr>
              <w:tab/>
            </w:r>
            <w:r w:rsidR="00707920" w:rsidRPr="004F23D9">
              <w:rPr>
                <w:color w:val="000000" w:themeColor="text1"/>
                <w:sz w:val="20"/>
                <w:szCs w:val="20"/>
              </w:rPr>
              <w:t>vuh_unit_type</w:t>
            </w:r>
            <w:r w:rsidR="008768E9" w:rsidRPr="004F23D9">
              <w:rPr>
                <w:color w:val="000000" w:themeColor="text1"/>
                <w:sz w:val="20"/>
                <w:szCs w:val="20"/>
              </w:rPr>
              <w:t> </w:t>
            </w:r>
            <w:r w:rsidR="00726AAE" w:rsidRPr="004F23D9">
              <w:rPr>
                <w:color w:val="000000" w:themeColor="text1"/>
                <w:sz w:val="20"/>
                <w:szCs w:val="20"/>
              </w:rPr>
              <w:t>==</w:t>
            </w:r>
            <w:r w:rsidR="00D47707" w:rsidRPr="004F23D9">
              <w:rPr>
                <w:color w:val="000000" w:themeColor="text1"/>
                <w:sz w:val="20"/>
                <w:szCs w:val="20"/>
              </w:rPr>
              <w:t> </w:t>
            </w:r>
            <w:r w:rsidR="00F03B52" w:rsidRPr="004F23D9">
              <w:rPr>
                <w:color w:val="000000" w:themeColor="text1"/>
                <w:sz w:val="20"/>
                <w:szCs w:val="20"/>
                <w:lang w:eastAsia="ko-KR"/>
              </w:rPr>
              <w:t>V3C_</w:t>
            </w:r>
            <w:r w:rsidR="006E05AF" w:rsidRPr="004F23D9">
              <w:rPr>
                <w:color w:val="000000" w:themeColor="text1"/>
                <w:sz w:val="20"/>
                <w:szCs w:val="20"/>
                <w:lang w:eastAsia="ko-KR"/>
              </w:rPr>
              <w:t>AVD</w:t>
            </w:r>
            <w:r w:rsidR="004F23D9">
              <w:rPr>
                <w:color w:val="000000" w:themeColor="text1"/>
                <w:sz w:val="20"/>
                <w:szCs w:val="20"/>
                <w:lang w:eastAsia="ko-KR"/>
              </w:rPr>
              <w:t> ||</w:t>
            </w:r>
            <w:r w:rsidR="004F23D9">
              <w:rPr>
                <w:color w:val="000000" w:themeColor="text1"/>
                <w:sz w:val="20"/>
                <w:szCs w:val="20"/>
                <w:lang w:eastAsia="ko-KR"/>
              </w:rPr>
              <w:br/>
            </w:r>
            <w:r w:rsidR="004F23D9" w:rsidRPr="00062EA3">
              <w:rPr>
                <w:color w:val="000000" w:themeColor="text1"/>
                <w:sz w:val="20"/>
                <w:szCs w:val="20"/>
              </w:rPr>
              <w:tab/>
            </w:r>
            <w:r w:rsidR="004F23D9" w:rsidRPr="00062EA3">
              <w:rPr>
                <w:color w:val="000000" w:themeColor="text1"/>
                <w:sz w:val="20"/>
                <w:szCs w:val="20"/>
              </w:rPr>
              <w:tab/>
            </w:r>
            <w:r w:rsidR="004F23D9" w:rsidRPr="00062EA3">
              <w:rPr>
                <w:color w:val="000000" w:themeColor="text1"/>
                <w:sz w:val="20"/>
                <w:szCs w:val="20"/>
              </w:rPr>
              <w:tab/>
            </w:r>
            <w:r w:rsidR="004F23D9">
              <w:rPr>
                <w:color w:val="000000" w:themeColor="text1"/>
                <w:sz w:val="20"/>
                <w:szCs w:val="20"/>
              </w:rPr>
              <w:t>vuh_unit_type == V3C_PVD </w:t>
            </w:r>
            <w:r w:rsidR="003411AD" w:rsidRPr="004F23D9">
              <w:rPr>
                <w:color w:val="000000" w:themeColor="text1"/>
                <w:sz w:val="20"/>
                <w:szCs w:val="20"/>
              </w:rPr>
              <w:t>)</w:t>
            </w:r>
          </w:p>
        </w:tc>
        <w:tc>
          <w:tcPr>
            <w:tcW w:w="1331" w:type="dxa"/>
          </w:tcPr>
          <w:p w14:paraId="1967718C" w14:textId="77777777" w:rsidR="00EE152A" w:rsidRPr="007B1C76" w:rsidRDefault="00EE152A" w:rsidP="004F7C57">
            <w:pPr>
              <w:spacing w:before="20" w:after="20"/>
              <w:jc w:val="center"/>
              <w:rPr>
                <w:color w:val="000000" w:themeColor="text1"/>
                <w:sz w:val="20"/>
                <w:szCs w:val="20"/>
              </w:rPr>
            </w:pPr>
          </w:p>
        </w:tc>
      </w:tr>
      <w:tr w:rsidR="00EE152A" w:rsidRPr="004F23D9" w14:paraId="50C0A21F" w14:textId="77777777" w:rsidTr="00007BE2">
        <w:trPr>
          <w:jc w:val="center"/>
        </w:trPr>
        <w:tc>
          <w:tcPr>
            <w:tcW w:w="8411" w:type="dxa"/>
          </w:tcPr>
          <w:p w14:paraId="193B5C79" w14:textId="77777777" w:rsidR="00EE152A" w:rsidRPr="004F23D9" w:rsidRDefault="001527F9" w:rsidP="004F7C57">
            <w:pPr>
              <w:spacing w:before="20" w:after="20"/>
              <w:rPr>
                <w:color w:val="000000" w:themeColor="text1"/>
                <w:sz w:val="20"/>
                <w:szCs w:val="20"/>
              </w:rPr>
            </w:pPr>
            <w:r w:rsidRPr="004F23D9">
              <w:rPr>
                <w:color w:val="000000" w:themeColor="text1"/>
                <w:sz w:val="20"/>
                <w:szCs w:val="20"/>
              </w:rPr>
              <w:tab/>
            </w:r>
            <w:r w:rsidR="00955B1C" w:rsidRPr="004F23D9">
              <w:rPr>
                <w:color w:val="000000" w:themeColor="text1"/>
                <w:sz w:val="20"/>
                <w:szCs w:val="20"/>
              </w:rPr>
              <w:tab/>
            </w:r>
            <w:r w:rsidR="00EE152A" w:rsidRPr="004F23D9">
              <w:rPr>
                <w:color w:val="000000" w:themeColor="text1"/>
                <w:sz w:val="20"/>
                <w:szCs w:val="20"/>
              </w:rPr>
              <w:t>video_</w:t>
            </w:r>
            <w:r w:rsidR="00DB7E13" w:rsidRPr="004F23D9">
              <w:rPr>
                <w:color w:val="000000" w:themeColor="text1"/>
                <w:sz w:val="20"/>
                <w:szCs w:val="20"/>
              </w:rPr>
              <w:t>sub</w:t>
            </w:r>
            <w:r w:rsidR="00713DB3" w:rsidRPr="004F23D9">
              <w:rPr>
                <w:color w:val="000000" w:themeColor="text1"/>
                <w:sz w:val="20"/>
                <w:szCs w:val="20"/>
              </w:rPr>
              <w:t>_bit</w:t>
            </w:r>
            <w:r w:rsidR="00DB7E13" w:rsidRPr="004F23D9">
              <w:rPr>
                <w:color w:val="000000" w:themeColor="text1"/>
                <w:sz w:val="20"/>
                <w:szCs w:val="20"/>
              </w:rPr>
              <w:t>stream</w:t>
            </w:r>
            <w:r w:rsidR="00EE152A" w:rsidRPr="004F23D9">
              <w:rPr>
                <w:color w:val="000000" w:themeColor="text1"/>
                <w:sz w:val="20"/>
                <w:szCs w:val="20"/>
              </w:rPr>
              <w:t>(</w:t>
            </w:r>
            <w:r w:rsidR="00955B1C" w:rsidRPr="004F23D9">
              <w:rPr>
                <w:color w:val="000000" w:themeColor="text1"/>
                <w:sz w:val="20"/>
                <w:szCs w:val="20"/>
              </w:rPr>
              <w:t> </w:t>
            </w:r>
            <w:r w:rsidR="00C76CF2" w:rsidRPr="00CA2168">
              <w:rPr>
                <w:color w:val="000000" w:themeColor="text1"/>
                <w:sz w:val="20"/>
                <w:szCs w:val="20"/>
              </w:rPr>
              <w:t>numBytesInV3CPayload </w:t>
            </w:r>
            <w:r w:rsidR="00EE152A" w:rsidRPr="004F23D9">
              <w:rPr>
                <w:color w:val="000000" w:themeColor="text1"/>
                <w:sz w:val="20"/>
                <w:szCs w:val="20"/>
              </w:rPr>
              <w:t>)</w:t>
            </w:r>
          </w:p>
        </w:tc>
        <w:tc>
          <w:tcPr>
            <w:tcW w:w="1331" w:type="dxa"/>
          </w:tcPr>
          <w:p w14:paraId="15574A0D" w14:textId="77777777" w:rsidR="00EE152A" w:rsidRPr="004F23D9" w:rsidRDefault="00EE152A" w:rsidP="004F7C57">
            <w:pPr>
              <w:spacing w:before="20" w:after="20"/>
              <w:jc w:val="center"/>
              <w:rPr>
                <w:color w:val="000000" w:themeColor="text1"/>
                <w:sz w:val="20"/>
                <w:szCs w:val="20"/>
              </w:rPr>
            </w:pPr>
          </w:p>
        </w:tc>
      </w:tr>
      <w:tr w:rsidR="00EE152A" w:rsidRPr="00A52AB8" w14:paraId="6F8522C0" w14:textId="77777777" w:rsidTr="00007BE2">
        <w:trPr>
          <w:jc w:val="center"/>
        </w:trPr>
        <w:tc>
          <w:tcPr>
            <w:tcW w:w="8411" w:type="dxa"/>
          </w:tcPr>
          <w:p w14:paraId="09187175" w14:textId="77777777" w:rsidR="00EE152A" w:rsidRPr="004F23D9" w:rsidRDefault="00EE152A" w:rsidP="004F7C57">
            <w:pPr>
              <w:spacing w:before="20" w:after="20"/>
              <w:rPr>
                <w:color w:val="000000" w:themeColor="text1"/>
                <w:sz w:val="20"/>
                <w:szCs w:val="20"/>
              </w:rPr>
            </w:pPr>
            <w:r w:rsidRPr="004F23D9">
              <w:rPr>
                <w:color w:val="000000" w:themeColor="text1"/>
                <w:sz w:val="20"/>
                <w:szCs w:val="20"/>
              </w:rPr>
              <w:t>}</w:t>
            </w:r>
          </w:p>
        </w:tc>
        <w:tc>
          <w:tcPr>
            <w:tcW w:w="1331" w:type="dxa"/>
          </w:tcPr>
          <w:p w14:paraId="09C54217" w14:textId="77777777" w:rsidR="00EE152A" w:rsidRPr="00A52AB8" w:rsidRDefault="00EE152A" w:rsidP="004F7C57">
            <w:pPr>
              <w:spacing w:before="20" w:after="20"/>
              <w:jc w:val="center"/>
              <w:rPr>
                <w:color w:val="000000" w:themeColor="text1"/>
                <w:sz w:val="20"/>
                <w:szCs w:val="20"/>
              </w:rPr>
            </w:pPr>
          </w:p>
        </w:tc>
      </w:tr>
    </w:tbl>
    <w:p w14:paraId="443ECC3C" w14:textId="301CB817" w:rsidR="00221998" w:rsidRPr="00A52AB8" w:rsidRDefault="00221998" w:rsidP="00007BE2">
      <w:pPr>
        <w:pStyle w:val="Heading4"/>
      </w:pPr>
      <w:r w:rsidRPr="00A52AB8">
        <w:t>Atlas sub-bitstream syntax</w:t>
      </w:r>
    </w:p>
    <w:tbl>
      <w:tblPr>
        <w:tblStyle w:val="TableGrid"/>
        <w:tblW w:w="5000" w:type="pct"/>
        <w:jc w:val="center"/>
        <w:tblLook w:val="04A0" w:firstRow="1" w:lastRow="0" w:firstColumn="1" w:lastColumn="0" w:noHBand="0" w:noVBand="1"/>
      </w:tblPr>
      <w:tblGrid>
        <w:gridCol w:w="8411"/>
        <w:gridCol w:w="1331"/>
      </w:tblGrid>
      <w:tr w:rsidR="00221998" w:rsidRPr="00A52AB8" w14:paraId="0D9DCEB7" w14:textId="77777777" w:rsidTr="00007BE2">
        <w:trPr>
          <w:jc w:val="center"/>
        </w:trPr>
        <w:tc>
          <w:tcPr>
            <w:tcW w:w="8411" w:type="dxa"/>
          </w:tcPr>
          <w:p w14:paraId="0661679A" w14:textId="055E2EE6" w:rsidR="00221998" w:rsidRPr="00A52AB8" w:rsidRDefault="00221998" w:rsidP="004F7C57">
            <w:pPr>
              <w:spacing w:before="20" w:after="20"/>
              <w:rPr>
                <w:color w:val="000000" w:themeColor="text1"/>
                <w:sz w:val="20"/>
                <w:szCs w:val="20"/>
              </w:rPr>
            </w:pPr>
            <w:r w:rsidRPr="00A52AB8">
              <w:rPr>
                <w:color w:val="000000" w:themeColor="text1"/>
                <w:sz w:val="20"/>
                <w:szCs w:val="20"/>
              </w:rPr>
              <w:t>atlas_sub_bitstream( </w:t>
            </w:r>
            <w:r w:rsidRPr="00A52AB8">
              <w:rPr>
                <w:color w:val="000000" w:themeColor="text1"/>
                <w:sz w:val="20"/>
              </w:rPr>
              <w:t>numBytes </w:t>
            </w:r>
            <w:r w:rsidR="008F1F82" w:rsidRPr="00A52AB8">
              <w:rPr>
                <w:color w:val="000000" w:themeColor="text1"/>
                <w:sz w:val="20"/>
                <w:szCs w:val="20"/>
              </w:rPr>
              <w:t>) {</w:t>
            </w:r>
          </w:p>
        </w:tc>
        <w:tc>
          <w:tcPr>
            <w:tcW w:w="1331" w:type="dxa"/>
          </w:tcPr>
          <w:p w14:paraId="61D042C1" w14:textId="77777777" w:rsidR="00221998" w:rsidRPr="00A52AB8" w:rsidRDefault="00221998" w:rsidP="004F7C57">
            <w:pPr>
              <w:spacing w:before="20" w:after="20"/>
              <w:jc w:val="center"/>
              <w:rPr>
                <w:color w:val="000000" w:themeColor="text1"/>
                <w:sz w:val="20"/>
                <w:szCs w:val="20"/>
              </w:rPr>
            </w:pPr>
          </w:p>
        </w:tc>
      </w:tr>
      <w:tr w:rsidR="00221998" w:rsidRPr="00A52AB8" w14:paraId="22BFA6AA" w14:textId="77777777" w:rsidTr="00007BE2">
        <w:trPr>
          <w:jc w:val="center"/>
        </w:trPr>
        <w:tc>
          <w:tcPr>
            <w:tcW w:w="8411" w:type="dxa"/>
          </w:tcPr>
          <w:p w14:paraId="276A0CB7" w14:textId="0939E408" w:rsidR="00221998" w:rsidRPr="00A52AB8" w:rsidRDefault="00221998" w:rsidP="004F7C57">
            <w:pPr>
              <w:spacing w:before="20" w:after="20"/>
              <w:rPr>
                <w:color w:val="000000" w:themeColor="text1"/>
                <w:sz w:val="20"/>
                <w:szCs w:val="20"/>
              </w:rPr>
            </w:pPr>
            <w:r w:rsidRPr="00A52AB8">
              <w:rPr>
                <w:sz w:val="20"/>
                <w:szCs w:val="20"/>
              </w:rPr>
              <w:tab/>
              <w:t>sample_stream_nal_header</w:t>
            </w:r>
            <w:r w:rsidR="00395064" w:rsidRPr="00A52AB8">
              <w:rPr>
                <w:sz w:val="20"/>
                <w:szCs w:val="20"/>
              </w:rPr>
              <w:t>( )</w:t>
            </w:r>
          </w:p>
        </w:tc>
        <w:tc>
          <w:tcPr>
            <w:tcW w:w="1331" w:type="dxa"/>
          </w:tcPr>
          <w:p w14:paraId="2A76985B" w14:textId="77777777" w:rsidR="00221998" w:rsidRPr="00A52AB8" w:rsidRDefault="00221998" w:rsidP="004F7C57">
            <w:pPr>
              <w:spacing w:before="20" w:after="20"/>
              <w:jc w:val="center"/>
              <w:rPr>
                <w:color w:val="000000" w:themeColor="text1"/>
                <w:sz w:val="20"/>
                <w:szCs w:val="20"/>
              </w:rPr>
            </w:pPr>
          </w:p>
        </w:tc>
      </w:tr>
      <w:tr w:rsidR="00221998" w:rsidRPr="00A52AB8" w14:paraId="2FBE5BB4" w14:textId="77777777" w:rsidTr="00221998">
        <w:trPr>
          <w:jc w:val="center"/>
        </w:trPr>
        <w:tc>
          <w:tcPr>
            <w:tcW w:w="8411" w:type="dxa"/>
          </w:tcPr>
          <w:p w14:paraId="4AEF4E06" w14:textId="080C2447" w:rsidR="00221998" w:rsidRPr="00A52AB8" w:rsidRDefault="00221998" w:rsidP="004F7C57">
            <w:pPr>
              <w:spacing w:before="20" w:after="20"/>
              <w:rPr>
                <w:sz w:val="20"/>
                <w:szCs w:val="20"/>
              </w:rPr>
            </w:pPr>
            <w:r w:rsidRPr="00A52AB8">
              <w:rPr>
                <w:sz w:val="20"/>
                <w:szCs w:val="20"/>
              </w:rPr>
              <w:tab/>
            </w:r>
            <w:r w:rsidRPr="00A52AB8">
              <w:rPr>
                <w:color w:val="000000" w:themeColor="text1"/>
                <w:sz w:val="20"/>
              </w:rPr>
              <w:t>numBytes</w:t>
            </w:r>
            <w:r w:rsidR="00833BFE" w:rsidRPr="00A52AB8">
              <w:rPr>
                <w:color w:val="000000" w:themeColor="text1"/>
                <w:sz w:val="20"/>
              </w:rPr>
              <w:t>−−</w:t>
            </w:r>
          </w:p>
        </w:tc>
        <w:tc>
          <w:tcPr>
            <w:tcW w:w="1331" w:type="dxa"/>
          </w:tcPr>
          <w:p w14:paraId="5991217B" w14:textId="77777777" w:rsidR="00221998" w:rsidRPr="00A52AB8" w:rsidRDefault="00221998" w:rsidP="004F7C57">
            <w:pPr>
              <w:spacing w:before="20" w:after="20"/>
              <w:jc w:val="center"/>
              <w:rPr>
                <w:color w:val="000000" w:themeColor="text1"/>
                <w:sz w:val="20"/>
                <w:szCs w:val="20"/>
              </w:rPr>
            </w:pPr>
          </w:p>
        </w:tc>
      </w:tr>
      <w:tr w:rsidR="00221998" w:rsidRPr="00A52AB8" w14:paraId="37568249" w14:textId="77777777" w:rsidTr="00221998">
        <w:trPr>
          <w:jc w:val="center"/>
        </w:trPr>
        <w:tc>
          <w:tcPr>
            <w:tcW w:w="8411" w:type="dxa"/>
          </w:tcPr>
          <w:p w14:paraId="7C704402" w14:textId="19A168DF" w:rsidR="00221998" w:rsidRPr="00A52AB8" w:rsidRDefault="00221998" w:rsidP="004F7C57">
            <w:pPr>
              <w:spacing w:before="20" w:after="20"/>
              <w:rPr>
                <w:sz w:val="20"/>
                <w:szCs w:val="20"/>
              </w:rPr>
            </w:pPr>
            <w:r w:rsidRPr="00A52AB8">
              <w:rPr>
                <w:sz w:val="20"/>
                <w:szCs w:val="20"/>
              </w:rPr>
              <w:tab/>
              <w:t>while( numBytes &gt; 0 </w:t>
            </w:r>
            <w:r w:rsidR="008F1F82" w:rsidRPr="00A52AB8">
              <w:rPr>
                <w:sz w:val="20"/>
                <w:szCs w:val="20"/>
              </w:rPr>
              <w:t>) {</w:t>
            </w:r>
          </w:p>
        </w:tc>
        <w:tc>
          <w:tcPr>
            <w:tcW w:w="1331" w:type="dxa"/>
          </w:tcPr>
          <w:p w14:paraId="79EDEAD2" w14:textId="77777777" w:rsidR="00221998" w:rsidRPr="00A52AB8" w:rsidRDefault="00221998" w:rsidP="004F7C57">
            <w:pPr>
              <w:spacing w:before="20" w:after="20"/>
              <w:jc w:val="center"/>
              <w:rPr>
                <w:color w:val="000000" w:themeColor="text1"/>
                <w:sz w:val="20"/>
                <w:szCs w:val="20"/>
              </w:rPr>
            </w:pPr>
          </w:p>
        </w:tc>
      </w:tr>
      <w:tr w:rsidR="00221998" w:rsidRPr="00A52AB8" w14:paraId="6BCD740A" w14:textId="77777777" w:rsidTr="00221998">
        <w:trPr>
          <w:jc w:val="center"/>
        </w:trPr>
        <w:tc>
          <w:tcPr>
            <w:tcW w:w="8411" w:type="dxa"/>
          </w:tcPr>
          <w:p w14:paraId="64F3C3C2" w14:textId="6040E4FD" w:rsidR="00221998" w:rsidRPr="00A52AB8" w:rsidRDefault="00221998" w:rsidP="004F7C57">
            <w:pPr>
              <w:spacing w:before="20" w:after="20"/>
              <w:rPr>
                <w:sz w:val="20"/>
                <w:szCs w:val="20"/>
              </w:rPr>
            </w:pPr>
            <w:r w:rsidRPr="00A52AB8">
              <w:rPr>
                <w:sz w:val="20"/>
                <w:szCs w:val="20"/>
              </w:rPr>
              <w:tab/>
            </w:r>
            <w:r w:rsidRPr="00A52AB8">
              <w:rPr>
                <w:sz w:val="20"/>
                <w:szCs w:val="20"/>
              </w:rPr>
              <w:tab/>
              <w:t>sample_stream_nal_unit</w:t>
            </w:r>
            <w:r w:rsidR="00395064" w:rsidRPr="00A52AB8">
              <w:rPr>
                <w:sz w:val="20"/>
                <w:szCs w:val="20"/>
              </w:rPr>
              <w:t>( )</w:t>
            </w:r>
          </w:p>
        </w:tc>
        <w:tc>
          <w:tcPr>
            <w:tcW w:w="1331" w:type="dxa"/>
          </w:tcPr>
          <w:p w14:paraId="76A9D140" w14:textId="77777777" w:rsidR="00221998" w:rsidRPr="00A52AB8" w:rsidRDefault="00221998" w:rsidP="004F7C57">
            <w:pPr>
              <w:spacing w:before="20" w:after="20"/>
              <w:jc w:val="center"/>
              <w:rPr>
                <w:color w:val="000000" w:themeColor="text1"/>
                <w:sz w:val="20"/>
                <w:szCs w:val="20"/>
              </w:rPr>
            </w:pPr>
          </w:p>
        </w:tc>
      </w:tr>
      <w:tr w:rsidR="00221998" w:rsidRPr="00A52AB8" w14:paraId="63E740EE" w14:textId="77777777" w:rsidTr="00221998">
        <w:trPr>
          <w:jc w:val="center"/>
        </w:trPr>
        <w:tc>
          <w:tcPr>
            <w:tcW w:w="8411" w:type="dxa"/>
          </w:tcPr>
          <w:p w14:paraId="3F21FC54" w14:textId="349D9DAB" w:rsidR="00221998" w:rsidRPr="00A52AB8" w:rsidRDefault="00221998" w:rsidP="004F7C57">
            <w:pPr>
              <w:spacing w:before="20" w:after="20"/>
              <w:rPr>
                <w:sz w:val="20"/>
                <w:szCs w:val="20"/>
              </w:rPr>
            </w:pPr>
            <w:r w:rsidRPr="00A52AB8">
              <w:rPr>
                <w:sz w:val="20"/>
                <w:szCs w:val="20"/>
              </w:rPr>
              <w:tab/>
            </w:r>
            <w:r w:rsidRPr="00A52AB8">
              <w:rPr>
                <w:sz w:val="20"/>
                <w:szCs w:val="20"/>
              </w:rPr>
              <w:tab/>
            </w:r>
            <w:r w:rsidRPr="00A52AB8">
              <w:rPr>
                <w:color w:val="000000" w:themeColor="text1"/>
                <w:sz w:val="20"/>
              </w:rPr>
              <w:t>numBytes −</w:t>
            </w:r>
            <w:r w:rsidR="00D47707" w:rsidRPr="00A52AB8">
              <w:rPr>
                <w:color w:val="000000" w:themeColor="text1"/>
                <w:sz w:val="20"/>
              </w:rPr>
              <w:t>= </w:t>
            </w:r>
            <w:r w:rsidRPr="00A52AB8">
              <w:rPr>
                <w:sz w:val="20"/>
                <w:szCs w:val="20"/>
              </w:rPr>
              <w:t>ssnu_nal_unit_size + ssnh_unit_size_precision_bytes_minus1 + 1</w:t>
            </w:r>
          </w:p>
        </w:tc>
        <w:tc>
          <w:tcPr>
            <w:tcW w:w="1331" w:type="dxa"/>
          </w:tcPr>
          <w:p w14:paraId="15D9E9B3" w14:textId="77777777" w:rsidR="00221998" w:rsidRPr="00A52AB8" w:rsidRDefault="00221998" w:rsidP="004F7C57">
            <w:pPr>
              <w:spacing w:before="20" w:after="20"/>
              <w:jc w:val="center"/>
              <w:rPr>
                <w:color w:val="000000" w:themeColor="text1"/>
                <w:sz w:val="20"/>
                <w:szCs w:val="20"/>
              </w:rPr>
            </w:pPr>
          </w:p>
        </w:tc>
      </w:tr>
      <w:tr w:rsidR="00221998" w:rsidRPr="00A52AB8" w14:paraId="3A724C42" w14:textId="77777777" w:rsidTr="00221998">
        <w:trPr>
          <w:jc w:val="center"/>
        </w:trPr>
        <w:tc>
          <w:tcPr>
            <w:tcW w:w="8411" w:type="dxa"/>
          </w:tcPr>
          <w:p w14:paraId="1338C608" w14:textId="4B200691" w:rsidR="00221998" w:rsidRPr="00A52AB8" w:rsidRDefault="00221998" w:rsidP="004F7C57">
            <w:pPr>
              <w:spacing w:before="20" w:after="20"/>
              <w:rPr>
                <w:sz w:val="20"/>
                <w:szCs w:val="20"/>
              </w:rPr>
            </w:pPr>
            <w:r w:rsidRPr="00A52AB8">
              <w:rPr>
                <w:sz w:val="20"/>
                <w:szCs w:val="20"/>
              </w:rPr>
              <w:tab/>
              <w:t>}</w:t>
            </w:r>
          </w:p>
        </w:tc>
        <w:tc>
          <w:tcPr>
            <w:tcW w:w="1331" w:type="dxa"/>
          </w:tcPr>
          <w:p w14:paraId="0411D057" w14:textId="77777777" w:rsidR="00221998" w:rsidRPr="00A52AB8" w:rsidRDefault="00221998" w:rsidP="004F7C57">
            <w:pPr>
              <w:spacing w:before="20" w:after="20"/>
              <w:jc w:val="center"/>
              <w:rPr>
                <w:color w:val="000000" w:themeColor="text1"/>
                <w:sz w:val="20"/>
                <w:szCs w:val="20"/>
              </w:rPr>
            </w:pPr>
          </w:p>
        </w:tc>
      </w:tr>
      <w:tr w:rsidR="00221998" w:rsidRPr="00A52AB8" w14:paraId="18ED8CFA" w14:textId="77777777" w:rsidTr="00221998">
        <w:trPr>
          <w:jc w:val="center"/>
        </w:trPr>
        <w:tc>
          <w:tcPr>
            <w:tcW w:w="8411" w:type="dxa"/>
          </w:tcPr>
          <w:p w14:paraId="06A9DD7B" w14:textId="6C4616DA" w:rsidR="00221998" w:rsidRPr="00A52AB8" w:rsidRDefault="00221998" w:rsidP="004F7C57">
            <w:pPr>
              <w:spacing w:before="20" w:after="20"/>
              <w:rPr>
                <w:sz w:val="20"/>
                <w:szCs w:val="20"/>
              </w:rPr>
            </w:pPr>
            <w:r w:rsidRPr="00A52AB8">
              <w:rPr>
                <w:sz w:val="20"/>
                <w:szCs w:val="20"/>
              </w:rPr>
              <w:t>}</w:t>
            </w:r>
          </w:p>
        </w:tc>
        <w:tc>
          <w:tcPr>
            <w:tcW w:w="1331" w:type="dxa"/>
          </w:tcPr>
          <w:p w14:paraId="3DA25D99" w14:textId="77777777" w:rsidR="00221998" w:rsidRPr="00A52AB8" w:rsidRDefault="00221998" w:rsidP="004F7C57">
            <w:pPr>
              <w:spacing w:before="20" w:after="20"/>
              <w:jc w:val="center"/>
              <w:rPr>
                <w:color w:val="000000" w:themeColor="text1"/>
                <w:sz w:val="20"/>
                <w:szCs w:val="20"/>
              </w:rPr>
            </w:pPr>
          </w:p>
        </w:tc>
      </w:tr>
    </w:tbl>
    <w:p w14:paraId="61931B01" w14:textId="77777777" w:rsidR="00A26356" w:rsidRPr="00A52AB8" w:rsidRDefault="00A26356" w:rsidP="004F7C57">
      <w:pPr>
        <w:pStyle w:val="Heading3"/>
      </w:pPr>
      <w:bookmarkStart w:id="624" w:name="_Toc986323"/>
      <w:bookmarkStart w:id="625" w:name="_Toc1000863"/>
      <w:bookmarkStart w:id="626" w:name="_Toc1001400"/>
      <w:bookmarkStart w:id="627" w:name="_Toc1002214"/>
      <w:bookmarkStart w:id="628" w:name="_Toc1195454"/>
      <w:bookmarkStart w:id="629" w:name="_Toc1198474"/>
      <w:bookmarkStart w:id="630" w:name="_Toc1380131"/>
      <w:bookmarkStart w:id="631" w:name="_Toc1466497"/>
      <w:bookmarkStart w:id="632" w:name="_Toc1476470"/>
      <w:bookmarkStart w:id="633" w:name="_Toc1742870"/>
      <w:bookmarkStart w:id="634" w:name="_Toc1743415"/>
      <w:bookmarkStart w:id="635" w:name="_Toc19035137"/>
      <w:bookmarkStart w:id="636" w:name="_Toc19036074"/>
      <w:bookmarkStart w:id="637" w:name="_Ref38314087"/>
      <w:bookmarkStart w:id="638" w:name="_Toc511952631"/>
      <w:bookmarkStart w:id="639" w:name="_Toc529871397"/>
      <w:bookmarkStart w:id="640" w:name="_Toc52181605"/>
      <w:bookmarkEnd w:id="624"/>
      <w:bookmarkEnd w:id="625"/>
      <w:bookmarkEnd w:id="626"/>
      <w:bookmarkEnd w:id="627"/>
      <w:bookmarkEnd w:id="628"/>
      <w:bookmarkEnd w:id="629"/>
      <w:bookmarkEnd w:id="630"/>
      <w:bookmarkEnd w:id="631"/>
      <w:bookmarkEnd w:id="632"/>
      <w:bookmarkEnd w:id="633"/>
      <w:bookmarkEnd w:id="634"/>
      <w:bookmarkEnd w:id="635"/>
      <w:bookmarkEnd w:id="636"/>
      <w:r w:rsidRPr="00A52AB8">
        <w:t>Byte alignment syntax</w:t>
      </w:r>
      <w:bookmarkEnd w:id="637"/>
      <w:bookmarkEnd w:id="640"/>
    </w:p>
    <w:tbl>
      <w:tblPr>
        <w:tblStyle w:val="TableGrid"/>
        <w:tblW w:w="5000" w:type="pct"/>
        <w:jc w:val="center"/>
        <w:tblLook w:val="04A0" w:firstRow="1" w:lastRow="0" w:firstColumn="1" w:lastColumn="0" w:noHBand="0" w:noVBand="1"/>
      </w:tblPr>
      <w:tblGrid>
        <w:gridCol w:w="8422"/>
        <w:gridCol w:w="1320"/>
      </w:tblGrid>
      <w:tr w:rsidR="00A26356" w:rsidRPr="00A52AB8" w14:paraId="09B937E1" w14:textId="77777777" w:rsidTr="00A252B5">
        <w:trPr>
          <w:jc w:val="center"/>
        </w:trPr>
        <w:tc>
          <w:tcPr>
            <w:tcW w:w="7921" w:type="dxa"/>
          </w:tcPr>
          <w:p w14:paraId="637FEDEC" w14:textId="1DB68835" w:rsidR="00A26356" w:rsidRPr="00A52AB8" w:rsidRDefault="00A26356" w:rsidP="00037F18">
            <w:pPr>
              <w:spacing w:before="20" w:after="20"/>
              <w:rPr>
                <w:color w:val="000000" w:themeColor="text1"/>
                <w:sz w:val="20"/>
                <w:szCs w:val="20"/>
              </w:rPr>
            </w:pPr>
            <w:r w:rsidRPr="00A52AB8">
              <w:rPr>
                <w:color w:val="000000" w:themeColor="text1"/>
                <w:sz w:val="20"/>
                <w:szCs w:val="20"/>
              </w:rPr>
              <w:t>byte_alignment( </w:t>
            </w:r>
            <w:r w:rsidR="008F1F82" w:rsidRPr="00A52AB8">
              <w:rPr>
                <w:color w:val="000000" w:themeColor="text1"/>
                <w:sz w:val="20"/>
                <w:szCs w:val="20"/>
              </w:rPr>
              <w:t>) {</w:t>
            </w:r>
          </w:p>
        </w:tc>
        <w:tc>
          <w:tcPr>
            <w:tcW w:w="1242" w:type="dxa"/>
          </w:tcPr>
          <w:p w14:paraId="3DD75A8A" w14:textId="77777777" w:rsidR="00A26356" w:rsidRPr="00A52AB8" w:rsidRDefault="00A26356">
            <w:pPr>
              <w:keepNext/>
              <w:spacing w:before="20" w:after="20"/>
              <w:jc w:val="center"/>
              <w:rPr>
                <w:b/>
                <w:color w:val="000000" w:themeColor="text1"/>
                <w:sz w:val="20"/>
                <w:szCs w:val="20"/>
              </w:rPr>
            </w:pPr>
            <w:r w:rsidRPr="00A52AB8">
              <w:rPr>
                <w:b/>
                <w:color w:val="000000" w:themeColor="text1"/>
                <w:sz w:val="20"/>
                <w:szCs w:val="20"/>
              </w:rPr>
              <w:t>Descriptor</w:t>
            </w:r>
          </w:p>
        </w:tc>
      </w:tr>
      <w:tr w:rsidR="00A26356" w:rsidRPr="00A52AB8" w14:paraId="53F81FC9" w14:textId="77777777" w:rsidTr="00A252B5">
        <w:trPr>
          <w:jc w:val="center"/>
        </w:trPr>
        <w:tc>
          <w:tcPr>
            <w:tcW w:w="7921" w:type="dxa"/>
          </w:tcPr>
          <w:p w14:paraId="21A15AC1" w14:textId="77777777" w:rsidR="00A26356" w:rsidRPr="00A52AB8" w:rsidRDefault="00A26356" w:rsidP="00AA6492">
            <w:pPr>
              <w:spacing w:before="20" w:after="20"/>
              <w:rPr>
                <w:color w:val="000000" w:themeColor="text1"/>
                <w:sz w:val="20"/>
                <w:szCs w:val="20"/>
              </w:rPr>
            </w:pPr>
            <w:r w:rsidRPr="00A52AB8">
              <w:rPr>
                <w:color w:val="000000" w:themeColor="text1"/>
                <w:sz w:val="20"/>
                <w:szCs w:val="20"/>
              </w:rPr>
              <w:tab/>
            </w:r>
            <w:r w:rsidRPr="00A52AB8">
              <w:rPr>
                <w:b/>
                <w:bCs/>
                <w:color w:val="000000" w:themeColor="text1"/>
                <w:sz w:val="20"/>
                <w:szCs w:val="20"/>
              </w:rPr>
              <w:t>alignment_bit_equal_to_one</w:t>
            </w:r>
            <w:r w:rsidRPr="00A52AB8">
              <w:rPr>
                <w:color w:val="000000" w:themeColor="text1"/>
                <w:sz w:val="20"/>
                <w:szCs w:val="20"/>
              </w:rPr>
              <w:t xml:space="preserve"> /* equal to 1 */</w:t>
            </w:r>
          </w:p>
        </w:tc>
        <w:tc>
          <w:tcPr>
            <w:tcW w:w="1242" w:type="dxa"/>
          </w:tcPr>
          <w:p w14:paraId="46235170" w14:textId="77777777" w:rsidR="00A26356" w:rsidRPr="00A52AB8" w:rsidRDefault="00A26356" w:rsidP="004F7C57">
            <w:pPr>
              <w:keepNext/>
              <w:spacing w:before="20" w:after="20"/>
              <w:jc w:val="center"/>
              <w:rPr>
                <w:color w:val="000000" w:themeColor="text1"/>
                <w:sz w:val="20"/>
                <w:szCs w:val="20"/>
              </w:rPr>
            </w:pPr>
            <w:r w:rsidRPr="00A52AB8">
              <w:rPr>
                <w:color w:val="000000" w:themeColor="text1"/>
                <w:sz w:val="20"/>
                <w:szCs w:val="20"/>
              </w:rPr>
              <w:t>f(1)</w:t>
            </w:r>
          </w:p>
        </w:tc>
      </w:tr>
      <w:tr w:rsidR="00A26356" w:rsidRPr="00A52AB8" w14:paraId="321BFD63" w14:textId="77777777" w:rsidTr="00A252B5">
        <w:trPr>
          <w:jc w:val="center"/>
        </w:trPr>
        <w:tc>
          <w:tcPr>
            <w:tcW w:w="7921" w:type="dxa"/>
          </w:tcPr>
          <w:p w14:paraId="70E843A6" w14:textId="0D1404EC" w:rsidR="00A26356" w:rsidRPr="00A52AB8" w:rsidRDefault="00A26356" w:rsidP="00AA6492">
            <w:pPr>
              <w:spacing w:before="20" w:after="20"/>
              <w:rPr>
                <w:color w:val="000000" w:themeColor="text1"/>
                <w:sz w:val="20"/>
                <w:szCs w:val="20"/>
              </w:rPr>
            </w:pPr>
            <w:r w:rsidRPr="00A52AB8">
              <w:rPr>
                <w:color w:val="000000" w:themeColor="text1"/>
                <w:sz w:val="20"/>
                <w:szCs w:val="20"/>
              </w:rPr>
              <w:tab/>
              <w:t>while(</w:t>
            </w:r>
            <w:r w:rsidR="00376E1A" w:rsidRPr="00A52AB8">
              <w:rPr>
                <w:color w:val="000000" w:themeColor="text1"/>
                <w:sz w:val="20"/>
                <w:szCs w:val="20"/>
              </w:rPr>
              <w:t> </w:t>
            </w:r>
            <w:r w:rsidRPr="00A52AB8">
              <w:rPr>
                <w:color w:val="000000" w:themeColor="text1"/>
                <w:sz w:val="20"/>
                <w:szCs w:val="20"/>
              </w:rPr>
              <w:t>!byte_aligned(</w:t>
            </w:r>
            <w:r w:rsidR="00376E1A" w:rsidRPr="00A52AB8">
              <w:rPr>
                <w:color w:val="000000" w:themeColor="text1"/>
                <w:sz w:val="20"/>
                <w:szCs w:val="20"/>
              </w:rPr>
              <w:t> </w:t>
            </w:r>
            <w:r w:rsidRPr="00A52AB8">
              <w:rPr>
                <w:color w:val="000000" w:themeColor="text1"/>
                <w:sz w:val="20"/>
                <w:szCs w:val="20"/>
              </w:rPr>
              <w:t>)</w:t>
            </w:r>
            <w:r w:rsidR="00376E1A" w:rsidRPr="00A52AB8">
              <w:rPr>
                <w:color w:val="000000" w:themeColor="text1"/>
                <w:sz w:val="20"/>
                <w:szCs w:val="20"/>
              </w:rPr>
              <w:t> </w:t>
            </w:r>
            <w:r w:rsidRPr="00A52AB8">
              <w:rPr>
                <w:color w:val="000000" w:themeColor="text1"/>
                <w:sz w:val="20"/>
                <w:szCs w:val="20"/>
              </w:rPr>
              <w:t xml:space="preserve">) </w:t>
            </w:r>
          </w:p>
        </w:tc>
        <w:tc>
          <w:tcPr>
            <w:tcW w:w="1242" w:type="dxa"/>
          </w:tcPr>
          <w:p w14:paraId="19782B26" w14:textId="77777777" w:rsidR="00A26356" w:rsidRPr="00A52AB8" w:rsidRDefault="00A26356" w:rsidP="004F7C57">
            <w:pPr>
              <w:keepNext/>
              <w:spacing w:before="20" w:after="20"/>
              <w:jc w:val="center"/>
              <w:rPr>
                <w:color w:val="000000" w:themeColor="text1"/>
                <w:sz w:val="20"/>
                <w:szCs w:val="20"/>
              </w:rPr>
            </w:pPr>
          </w:p>
        </w:tc>
      </w:tr>
      <w:tr w:rsidR="00A26356" w:rsidRPr="00A52AB8" w14:paraId="6BFCBE6D" w14:textId="77777777" w:rsidTr="00A252B5">
        <w:trPr>
          <w:jc w:val="center"/>
        </w:trPr>
        <w:tc>
          <w:tcPr>
            <w:tcW w:w="7921" w:type="dxa"/>
          </w:tcPr>
          <w:p w14:paraId="76D49BB9" w14:textId="77777777" w:rsidR="00A26356" w:rsidRPr="00A52AB8" w:rsidRDefault="00A26356" w:rsidP="00AA6492">
            <w:pPr>
              <w:spacing w:before="20" w:after="20"/>
              <w:rPr>
                <w:color w:val="000000" w:themeColor="text1"/>
                <w:sz w:val="20"/>
                <w:szCs w:val="20"/>
              </w:rPr>
            </w:pPr>
            <w:r w:rsidRPr="00A52AB8">
              <w:rPr>
                <w:color w:val="000000" w:themeColor="text1"/>
                <w:sz w:val="20"/>
                <w:szCs w:val="20"/>
              </w:rPr>
              <w:tab/>
            </w:r>
            <w:r w:rsidRPr="00A52AB8">
              <w:rPr>
                <w:color w:val="000000" w:themeColor="text1"/>
                <w:sz w:val="20"/>
                <w:szCs w:val="20"/>
              </w:rPr>
              <w:tab/>
            </w:r>
            <w:r w:rsidRPr="00A52AB8">
              <w:rPr>
                <w:b/>
                <w:bCs/>
                <w:color w:val="000000" w:themeColor="text1"/>
                <w:sz w:val="20"/>
                <w:szCs w:val="20"/>
              </w:rPr>
              <w:t>alignment_bit_equal_to_zero</w:t>
            </w:r>
            <w:r w:rsidRPr="00A52AB8">
              <w:rPr>
                <w:color w:val="000000" w:themeColor="text1"/>
                <w:sz w:val="20"/>
                <w:szCs w:val="20"/>
              </w:rPr>
              <w:t xml:space="preserve"> /* equal to 0 */</w:t>
            </w:r>
          </w:p>
        </w:tc>
        <w:tc>
          <w:tcPr>
            <w:tcW w:w="1242" w:type="dxa"/>
          </w:tcPr>
          <w:p w14:paraId="55670377" w14:textId="77777777" w:rsidR="00A26356" w:rsidRPr="00A52AB8" w:rsidRDefault="00A26356" w:rsidP="004F7C57">
            <w:pPr>
              <w:keepNext/>
              <w:spacing w:before="20" w:after="20"/>
              <w:jc w:val="center"/>
              <w:rPr>
                <w:color w:val="000000" w:themeColor="text1"/>
                <w:sz w:val="20"/>
                <w:szCs w:val="20"/>
              </w:rPr>
            </w:pPr>
            <w:r w:rsidRPr="00A52AB8">
              <w:rPr>
                <w:color w:val="000000" w:themeColor="text1"/>
                <w:sz w:val="20"/>
                <w:szCs w:val="20"/>
              </w:rPr>
              <w:t>f(1)</w:t>
            </w:r>
          </w:p>
        </w:tc>
      </w:tr>
      <w:tr w:rsidR="00A26356" w:rsidRPr="00A52AB8" w14:paraId="35493545" w14:textId="77777777" w:rsidTr="00A252B5">
        <w:trPr>
          <w:jc w:val="center"/>
        </w:trPr>
        <w:tc>
          <w:tcPr>
            <w:tcW w:w="7921" w:type="dxa"/>
          </w:tcPr>
          <w:p w14:paraId="5A223F67" w14:textId="77777777" w:rsidR="00A26356" w:rsidRPr="00A52AB8" w:rsidRDefault="00A26356" w:rsidP="004F7C57">
            <w:pPr>
              <w:spacing w:before="20" w:after="20"/>
              <w:rPr>
                <w:color w:val="000000" w:themeColor="text1"/>
                <w:sz w:val="20"/>
                <w:szCs w:val="20"/>
              </w:rPr>
            </w:pPr>
            <w:r w:rsidRPr="00A52AB8">
              <w:rPr>
                <w:color w:val="000000" w:themeColor="text1"/>
                <w:sz w:val="20"/>
                <w:szCs w:val="20"/>
              </w:rPr>
              <w:t>}</w:t>
            </w:r>
          </w:p>
        </w:tc>
        <w:tc>
          <w:tcPr>
            <w:tcW w:w="1242" w:type="dxa"/>
          </w:tcPr>
          <w:p w14:paraId="6EE72A28" w14:textId="77777777" w:rsidR="00A26356" w:rsidRPr="00A52AB8" w:rsidRDefault="00A26356" w:rsidP="004F7C57">
            <w:pPr>
              <w:spacing w:before="20" w:after="20"/>
              <w:jc w:val="center"/>
              <w:rPr>
                <w:color w:val="000000" w:themeColor="text1"/>
                <w:sz w:val="20"/>
                <w:szCs w:val="20"/>
              </w:rPr>
            </w:pPr>
          </w:p>
        </w:tc>
      </w:tr>
    </w:tbl>
    <w:p w14:paraId="548D71E8" w14:textId="51C7B6BE" w:rsidR="00EE152A" w:rsidRPr="00A52AB8" w:rsidRDefault="009D1CB0" w:rsidP="004F7C57">
      <w:pPr>
        <w:pStyle w:val="Heading3"/>
      </w:pPr>
      <w:bookmarkStart w:id="641" w:name="_Ref38314099"/>
      <w:bookmarkStart w:id="642" w:name="_Toc52181606"/>
      <w:r w:rsidRPr="00A52AB8">
        <w:lastRenderedPageBreak/>
        <w:t xml:space="preserve">V3C </w:t>
      </w:r>
      <w:r w:rsidR="00EE152A" w:rsidRPr="00A52AB8">
        <w:t>parameter set syntax</w:t>
      </w:r>
      <w:bookmarkEnd w:id="638"/>
      <w:bookmarkEnd w:id="639"/>
      <w:bookmarkEnd w:id="641"/>
      <w:bookmarkEnd w:id="642"/>
    </w:p>
    <w:p w14:paraId="5157A2F4" w14:textId="77777777" w:rsidR="00A26356" w:rsidRPr="00A52AB8" w:rsidRDefault="00A26356" w:rsidP="005C26E9">
      <w:pPr>
        <w:pStyle w:val="Heading4"/>
      </w:pPr>
      <w:r w:rsidRPr="00A52AB8">
        <w:t xml:space="preserve">General </w:t>
      </w:r>
      <w:r w:rsidR="004B6ABD" w:rsidRPr="00A52AB8">
        <w:t>V3C</w:t>
      </w:r>
      <w:r w:rsidR="00221D8F" w:rsidRPr="00A52AB8">
        <w:t xml:space="preserve"> </w:t>
      </w:r>
      <w:r w:rsidRPr="00A52AB8">
        <w:t>parameter set syntax</w:t>
      </w:r>
    </w:p>
    <w:tbl>
      <w:tblPr>
        <w:tblStyle w:val="TableGrid"/>
        <w:tblW w:w="5000" w:type="pct"/>
        <w:jc w:val="center"/>
        <w:tblLook w:val="04A0" w:firstRow="1" w:lastRow="0" w:firstColumn="1" w:lastColumn="0" w:noHBand="0" w:noVBand="1"/>
      </w:tblPr>
      <w:tblGrid>
        <w:gridCol w:w="8411"/>
        <w:gridCol w:w="1331"/>
      </w:tblGrid>
      <w:tr w:rsidR="00EE152A" w:rsidRPr="00A52AB8" w14:paraId="01A2A51C" w14:textId="77777777" w:rsidTr="004A6049">
        <w:trPr>
          <w:jc w:val="center"/>
        </w:trPr>
        <w:tc>
          <w:tcPr>
            <w:tcW w:w="8411" w:type="dxa"/>
          </w:tcPr>
          <w:p w14:paraId="2A134408" w14:textId="56C7320A" w:rsidR="00EE152A" w:rsidRPr="00A52AB8" w:rsidRDefault="00307947">
            <w:pPr>
              <w:spacing w:before="20" w:after="20"/>
              <w:rPr>
                <w:color w:val="000000" w:themeColor="text1"/>
                <w:sz w:val="20"/>
                <w:szCs w:val="20"/>
              </w:rPr>
            </w:pPr>
            <w:r w:rsidRPr="00A52AB8">
              <w:rPr>
                <w:color w:val="000000" w:themeColor="text1"/>
                <w:sz w:val="20"/>
                <w:szCs w:val="20"/>
              </w:rPr>
              <w:t>v3c_</w:t>
            </w:r>
            <w:r w:rsidR="00EE152A" w:rsidRPr="00A52AB8">
              <w:rPr>
                <w:color w:val="000000" w:themeColor="text1"/>
                <w:sz w:val="20"/>
                <w:szCs w:val="20"/>
              </w:rPr>
              <w:t>parameter_set(</w:t>
            </w:r>
            <w:r w:rsidR="00C065FF" w:rsidRPr="00A52AB8">
              <w:rPr>
                <w:color w:val="000000" w:themeColor="text1"/>
                <w:sz w:val="20"/>
                <w:szCs w:val="20"/>
              </w:rPr>
              <w:t> </w:t>
            </w:r>
            <w:r w:rsidR="00C065FF" w:rsidRPr="00A52AB8">
              <w:rPr>
                <w:color w:val="000000" w:themeColor="text1"/>
                <w:sz w:val="20"/>
              </w:rPr>
              <w:t>numBytesInV3CPayload</w:t>
            </w:r>
            <w:r w:rsidR="00EE152A" w:rsidRPr="00A52AB8">
              <w:rPr>
                <w:color w:val="000000" w:themeColor="text1"/>
                <w:sz w:val="20"/>
                <w:szCs w:val="20"/>
              </w:rPr>
              <w:t> </w:t>
            </w:r>
            <w:r w:rsidR="008F1F82" w:rsidRPr="00A52AB8">
              <w:rPr>
                <w:color w:val="000000" w:themeColor="text1"/>
                <w:sz w:val="20"/>
                <w:szCs w:val="20"/>
              </w:rPr>
              <w:t>) {</w:t>
            </w:r>
          </w:p>
        </w:tc>
        <w:tc>
          <w:tcPr>
            <w:tcW w:w="1331" w:type="dxa"/>
          </w:tcPr>
          <w:p w14:paraId="4025B522" w14:textId="77777777" w:rsidR="00EE152A" w:rsidRPr="00A52AB8" w:rsidRDefault="00EE152A">
            <w:pPr>
              <w:spacing w:before="20" w:after="20"/>
              <w:jc w:val="center"/>
              <w:rPr>
                <w:b/>
                <w:color w:val="000000" w:themeColor="text1"/>
                <w:sz w:val="20"/>
                <w:szCs w:val="20"/>
              </w:rPr>
            </w:pPr>
            <w:r w:rsidRPr="00A52AB8">
              <w:rPr>
                <w:b/>
                <w:color w:val="000000" w:themeColor="text1"/>
                <w:sz w:val="20"/>
                <w:szCs w:val="20"/>
              </w:rPr>
              <w:t>Descriptor</w:t>
            </w:r>
          </w:p>
        </w:tc>
      </w:tr>
      <w:tr w:rsidR="00EE152A" w:rsidRPr="00A52AB8" w14:paraId="0BB128E8" w14:textId="77777777" w:rsidTr="004A6049">
        <w:trPr>
          <w:jc w:val="center"/>
        </w:trPr>
        <w:tc>
          <w:tcPr>
            <w:tcW w:w="8411" w:type="dxa"/>
          </w:tcPr>
          <w:p w14:paraId="57A4C8C9" w14:textId="5FFC9A56" w:rsidR="00EE152A" w:rsidRPr="00A52AB8" w:rsidRDefault="0019569C" w:rsidP="004F7C57">
            <w:pPr>
              <w:spacing w:before="20" w:after="20"/>
              <w:rPr>
                <w:color w:val="000000" w:themeColor="text1"/>
                <w:sz w:val="20"/>
                <w:szCs w:val="20"/>
                <w:lang w:eastAsia="ja-JP"/>
              </w:rPr>
            </w:pPr>
            <w:r w:rsidRPr="00A52AB8">
              <w:rPr>
                <w:color w:val="000000" w:themeColor="text1"/>
                <w:sz w:val="20"/>
                <w:szCs w:val="20"/>
              </w:rPr>
              <w:tab/>
            </w:r>
            <w:r w:rsidR="006831E6" w:rsidRPr="00A52AB8">
              <w:rPr>
                <w:color w:val="000000" w:themeColor="text1"/>
                <w:sz w:val="20"/>
                <w:szCs w:val="20"/>
              </w:rPr>
              <w:t>profile_tier_level(</w:t>
            </w:r>
            <w:r w:rsidR="00376E1A" w:rsidRPr="00A52AB8">
              <w:rPr>
                <w:color w:val="000000" w:themeColor="text1"/>
                <w:sz w:val="20"/>
                <w:szCs w:val="20"/>
              </w:rPr>
              <w:t> </w:t>
            </w:r>
            <w:r w:rsidR="006831E6" w:rsidRPr="00A52AB8">
              <w:rPr>
                <w:color w:val="000000" w:themeColor="text1"/>
                <w:sz w:val="20"/>
                <w:szCs w:val="20"/>
              </w:rPr>
              <w:t>)</w:t>
            </w:r>
          </w:p>
        </w:tc>
        <w:tc>
          <w:tcPr>
            <w:tcW w:w="1331" w:type="dxa"/>
          </w:tcPr>
          <w:p w14:paraId="67B7A7E7" w14:textId="77777777" w:rsidR="00EE152A" w:rsidRPr="00A52AB8" w:rsidRDefault="00EE152A" w:rsidP="004F7C57">
            <w:pPr>
              <w:spacing w:before="20" w:after="20"/>
              <w:jc w:val="center"/>
              <w:rPr>
                <w:color w:val="000000" w:themeColor="text1"/>
                <w:sz w:val="20"/>
                <w:szCs w:val="20"/>
              </w:rPr>
            </w:pPr>
          </w:p>
        </w:tc>
      </w:tr>
      <w:tr w:rsidR="00BF0C13" w:rsidRPr="00A52AB8" w14:paraId="40222A04" w14:textId="77777777" w:rsidTr="004A6049">
        <w:trPr>
          <w:jc w:val="center"/>
        </w:trPr>
        <w:tc>
          <w:tcPr>
            <w:tcW w:w="8411" w:type="dxa"/>
          </w:tcPr>
          <w:p w14:paraId="267AF38C" w14:textId="77777777" w:rsidR="00BF0C13" w:rsidRPr="00A52AB8" w:rsidRDefault="00BF0C13" w:rsidP="004F7C57">
            <w:pPr>
              <w:spacing w:before="20" w:after="20"/>
              <w:rPr>
                <w:b/>
                <w:color w:val="000000" w:themeColor="text1"/>
                <w:sz w:val="20"/>
                <w:szCs w:val="20"/>
              </w:rPr>
            </w:pPr>
            <w:r w:rsidRPr="00A52AB8">
              <w:rPr>
                <w:color w:val="000000" w:themeColor="text1"/>
                <w:sz w:val="20"/>
                <w:szCs w:val="20"/>
              </w:rPr>
              <w:tab/>
            </w:r>
            <w:r w:rsidR="00707920" w:rsidRPr="00A52AB8">
              <w:rPr>
                <w:b/>
                <w:color w:val="000000" w:themeColor="text1"/>
                <w:sz w:val="20"/>
                <w:szCs w:val="20"/>
              </w:rPr>
              <w:t>vps_</w:t>
            </w:r>
            <w:r w:rsidR="00307947" w:rsidRPr="00A52AB8">
              <w:rPr>
                <w:b/>
                <w:color w:val="000000" w:themeColor="text1"/>
                <w:sz w:val="20"/>
                <w:szCs w:val="20"/>
              </w:rPr>
              <w:t>v3c_</w:t>
            </w:r>
            <w:r w:rsidR="00707920" w:rsidRPr="00A52AB8">
              <w:rPr>
                <w:b/>
                <w:color w:val="000000" w:themeColor="text1"/>
                <w:sz w:val="20"/>
                <w:szCs w:val="20"/>
              </w:rPr>
              <w:t>parameter_set_id</w:t>
            </w:r>
          </w:p>
        </w:tc>
        <w:tc>
          <w:tcPr>
            <w:tcW w:w="1331" w:type="dxa"/>
          </w:tcPr>
          <w:p w14:paraId="55DDFC3A" w14:textId="77777777" w:rsidR="00BF0C13" w:rsidRPr="00A52AB8" w:rsidRDefault="00BF0C13" w:rsidP="004F7C57">
            <w:pPr>
              <w:spacing w:before="20" w:after="20"/>
              <w:jc w:val="center"/>
              <w:rPr>
                <w:color w:val="000000" w:themeColor="text1"/>
                <w:sz w:val="20"/>
                <w:szCs w:val="20"/>
              </w:rPr>
            </w:pPr>
            <w:r w:rsidRPr="00A52AB8">
              <w:rPr>
                <w:color w:val="000000" w:themeColor="text1"/>
                <w:sz w:val="20"/>
                <w:szCs w:val="20"/>
              </w:rPr>
              <w:t>u(</w:t>
            </w:r>
            <w:r w:rsidR="003505E0" w:rsidRPr="00A52AB8">
              <w:rPr>
                <w:color w:val="000000" w:themeColor="text1"/>
                <w:sz w:val="20"/>
                <w:szCs w:val="20"/>
              </w:rPr>
              <w:t>4</w:t>
            </w:r>
            <w:r w:rsidRPr="00A52AB8">
              <w:rPr>
                <w:color w:val="000000" w:themeColor="text1"/>
                <w:sz w:val="20"/>
                <w:szCs w:val="20"/>
              </w:rPr>
              <w:t>)</w:t>
            </w:r>
          </w:p>
        </w:tc>
      </w:tr>
      <w:tr w:rsidR="001F40D6" w:rsidRPr="00A52AB8" w14:paraId="4FCC99DB" w14:textId="77777777" w:rsidTr="004A6049">
        <w:trPr>
          <w:jc w:val="center"/>
        </w:trPr>
        <w:tc>
          <w:tcPr>
            <w:tcW w:w="8411" w:type="dxa"/>
          </w:tcPr>
          <w:p w14:paraId="79B2B956" w14:textId="77777777" w:rsidR="001F40D6" w:rsidRPr="00A52AB8" w:rsidRDefault="001F40D6" w:rsidP="004F7C57">
            <w:pPr>
              <w:spacing w:before="20" w:after="20"/>
              <w:rPr>
                <w:b/>
                <w:bCs/>
                <w:color w:val="000000" w:themeColor="text1"/>
                <w:sz w:val="20"/>
                <w:szCs w:val="20"/>
              </w:rPr>
            </w:pPr>
            <w:r w:rsidRPr="00A52AB8">
              <w:rPr>
                <w:color w:val="000000" w:themeColor="text1"/>
                <w:sz w:val="20"/>
                <w:szCs w:val="20"/>
              </w:rPr>
              <w:tab/>
            </w:r>
            <w:r w:rsidRPr="00A52AB8">
              <w:rPr>
                <w:b/>
                <w:bCs/>
                <w:color w:val="000000" w:themeColor="text1"/>
                <w:sz w:val="20"/>
                <w:szCs w:val="20"/>
              </w:rPr>
              <w:t>vps_reserved_zero_8bits</w:t>
            </w:r>
          </w:p>
        </w:tc>
        <w:tc>
          <w:tcPr>
            <w:tcW w:w="1331" w:type="dxa"/>
          </w:tcPr>
          <w:p w14:paraId="587D08EF" w14:textId="77777777" w:rsidR="001F40D6" w:rsidRPr="00A52AB8" w:rsidRDefault="001F40D6" w:rsidP="004F7C57">
            <w:pPr>
              <w:spacing w:before="20" w:after="20"/>
              <w:jc w:val="center"/>
              <w:rPr>
                <w:color w:val="000000" w:themeColor="text1"/>
                <w:sz w:val="20"/>
                <w:szCs w:val="20"/>
              </w:rPr>
            </w:pPr>
            <w:r w:rsidRPr="00A52AB8">
              <w:rPr>
                <w:color w:val="000000" w:themeColor="text1"/>
                <w:sz w:val="20"/>
                <w:szCs w:val="20"/>
              </w:rPr>
              <w:t>u(8)</w:t>
            </w:r>
          </w:p>
        </w:tc>
      </w:tr>
      <w:tr w:rsidR="003F591B" w:rsidRPr="00A52AB8" w14:paraId="4E7CFC76" w14:textId="77777777" w:rsidTr="004A6049">
        <w:trPr>
          <w:jc w:val="center"/>
        </w:trPr>
        <w:tc>
          <w:tcPr>
            <w:tcW w:w="8411" w:type="dxa"/>
          </w:tcPr>
          <w:p w14:paraId="77374903" w14:textId="77777777" w:rsidR="003F591B" w:rsidRPr="00A52AB8" w:rsidRDefault="003F591B" w:rsidP="004F7C57">
            <w:pPr>
              <w:spacing w:before="20" w:after="20"/>
              <w:rPr>
                <w:b/>
                <w:color w:val="000000" w:themeColor="text1"/>
                <w:sz w:val="20"/>
                <w:szCs w:val="20"/>
              </w:rPr>
            </w:pPr>
            <w:r w:rsidRPr="00A52AB8">
              <w:rPr>
                <w:color w:val="000000" w:themeColor="text1"/>
                <w:sz w:val="20"/>
                <w:szCs w:val="20"/>
              </w:rPr>
              <w:tab/>
            </w:r>
            <w:r w:rsidR="00707920" w:rsidRPr="00A52AB8">
              <w:rPr>
                <w:b/>
                <w:color w:val="000000" w:themeColor="text1"/>
                <w:sz w:val="20"/>
                <w:szCs w:val="20"/>
              </w:rPr>
              <w:t>vps_atlas_count_minus1</w:t>
            </w:r>
          </w:p>
        </w:tc>
        <w:tc>
          <w:tcPr>
            <w:tcW w:w="1331" w:type="dxa"/>
          </w:tcPr>
          <w:p w14:paraId="1EF8EBDB" w14:textId="77777777" w:rsidR="003F591B" w:rsidRPr="00A52AB8" w:rsidRDefault="003F591B" w:rsidP="004F7C57">
            <w:pPr>
              <w:spacing w:before="20" w:after="20"/>
              <w:jc w:val="center"/>
              <w:rPr>
                <w:color w:val="000000" w:themeColor="text1"/>
                <w:sz w:val="20"/>
                <w:szCs w:val="20"/>
              </w:rPr>
            </w:pPr>
            <w:r w:rsidRPr="00A52AB8">
              <w:rPr>
                <w:color w:val="000000" w:themeColor="text1"/>
                <w:sz w:val="20"/>
                <w:szCs w:val="20"/>
              </w:rPr>
              <w:t>u(</w:t>
            </w:r>
            <w:r w:rsidR="00CD2A2A" w:rsidRPr="00A52AB8">
              <w:rPr>
                <w:color w:val="000000" w:themeColor="text1"/>
                <w:sz w:val="20"/>
                <w:szCs w:val="20"/>
              </w:rPr>
              <w:t>6</w:t>
            </w:r>
            <w:r w:rsidRPr="00A52AB8">
              <w:rPr>
                <w:color w:val="000000" w:themeColor="text1"/>
                <w:sz w:val="20"/>
                <w:szCs w:val="20"/>
              </w:rPr>
              <w:t>)</w:t>
            </w:r>
          </w:p>
        </w:tc>
      </w:tr>
      <w:tr w:rsidR="003F591B" w:rsidRPr="00A52AB8" w14:paraId="035DD9E2" w14:textId="77777777" w:rsidTr="004A6049">
        <w:trPr>
          <w:jc w:val="center"/>
        </w:trPr>
        <w:tc>
          <w:tcPr>
            <w:tcW w:w="8411" w:type="dxa"/>
          </w:tcPr>
          <w:p w14:paraId="2BEE14C8" w14:textId="07D80C14" w:rsidR="003F591B" w:rsidRPr="00A52AB8" w:rsidRDefault="003F591B" w:rsidP="004F7C57">
            <w:pPr>
              <w:spacing w:before="20" w:after="20"/>
              <w:rPr>
                <w:color w:val="000000" w:themeColor="text1"/>
                <w:sz w:val="20"/>
                <w:szCs w:val="20"/>
              </w:rPr>
            </w:pPr>
            <w:r w:rsidRPr="00A52AB8">
              <w:rPr>
                <w:color w:val="000000" w:themeColor="text1"/>
                <w:sz w:val="20"/>
                <w:szCs w:val="20"/>
              </w:rPr>
              <w:tab/>
              <w:t>for(</w:t>
            </w:r>
            <w:r w:rsidR="00222A3C" w:rsidRPr="00A52AB8">
              <w:rPr>
                <w:color w:val="000000" w:themeColor="text1"/>
                <w:sz w:val="20"/>
                <w:szCs w:val="20"/>
              </w:rPr>
              <w:t>k</w:t>
            </w:r>
            <w:r w:rsidR="00D47707" w:rsidRPr="00A52AB8">
              <w:rPr>
                <w:color w:val="000000" w:themeColor="text1"/>
                <w:sz w:val="20"/>
                <w:szCs w:val="20"/>
              </w:rPr>
              <w:t> = </w:t>
            </w:r>
            <w:r w:rsidRPr="00A52AB8">
              <w:rPr>
                <w:color w:val="000000" w:themeColor="text1"/>
                <w:sz w:val="20"/>
                <w:szCs w:val="20"/>
              </w:rPr>
              <w:t>0;</w:t>
            </w:r>
            <w:r w:rsidR="00376E1A" w:rsidRPr="00A52AB8">
              <w:rPr>
                <w:color w:val="000000" w:themeColor="text1"/>
                <w:sz w:val="20"/>
                <w:szCs w:val="20"/>
              </w:rPr>
              <w:t> </w:t>
            </w:r>
            <w:r w:rsidR="00222A3C" w:rsidRPr="00A52AB8">
              <w:rPr>
                <w:color w:val="000000" w:themeColor="text1"/>
                <w:sz w:val="20"/>
                <w:szCs w:val="20"/>
              </w:rPr>
              <w:t>k</w:t>
            </w:r>
            <w:r w:rsidR="00376E1A" w:rsidRPr="00A52AB8">
              <w:rPr>
                <w:color w:val="000000" w:themeColor="text1"/>
                <w:sz w:val="20"/>
                <w:szCs w:val="20"/>
              </w:rPr>
              <w:t> </w:t>
            </w:r>
            <w:r w:rsidRPr="00A52AB8">
              <w:rPr>
                <w:color w:val="000000" w:themeColor="text1"/>
                <w:sz w:val="20"/>
                <w:szCs w:val="20"/>
              </w:rPr>
              <w:t>&lt;</w:t>
            </w:r>
            <w:r w:rsidR="00376E1A" w:rsidRPr="00A52AB8">
              <w:rPr>
                <w:color w:val="000000" w:themeColor="text1"/>
                <w:sz w:val="20"/>
                <w:szCs w:val="20"/>
              </w:rPr>
              <w:t> </w:t>
            </w:r>
            <w:r w:rsidR="00707920" w:rsidRPr="00A52AB8">
              <w:rPr>
                <w:color w:val="000000" w:themeColor="text1"/>
                <w:sz w:val="20"/>
                <w:szCs w:val="20"/>
              </w:rPr>
              <w:t>vps_atlas_count_minus1</w:t>
            </w:r>
            <w:r w:rsidR="00376E1A" w:rsidRPr="00A52AB8">
              <w:rPr>
                <w:color w:val="000000" w:themeColor="text1"/>
                <w:sz w:val="20"/>
                <w:szCs w:val="20"/>
              </w:rPr>
              <w:t> </w:t>
            </w:r>
            <w:r w:rsidR="00ED4675" w:rsidRPr="00A52AB8">
              <w:rPr>
                <w:color w:val="000000" w:themeColor="text1"/>
                <w:sz w:val="20"/>
                <w:szCs w:val="20"/>
              </w:rPr>
              <w:t>+</w:t>
            </w:r>
            <w:r w:rsidR="00376E1A" w:rsidRPr="00A52AB8">
              <w:rPr>
                <w:color w:val="000000" w:themeColor="text1"/>
                <w:sz w:val="20"/>
                <w:szCs w:val="20"/>
              </w:rPr>
              <w:t> </w:t>
            </w:r>
            <w:r w:rsidR="00ED4675" w:rsidRPr="00A52AB8">
              <w:rPr>
                <w:color w:val="000000" w:themeColor="text1"/>
                <w:sz w:val="20"/>
                <w:szCs w:val="20"/>
              </w:rPr>
              <w:t>1</w:t>
            </w:r>
            <w:r w:rsidRPr="00A52AB8">
              <w:rPr>
                <w:color w:val="000000" w:themeColor="text1"/>
                <w:sz w:val="20"/>
                <w:szCs w:val="20"/>
              </w:rPr>
              <w:t>;</w:t>
            </w:r>
            <w:r w:rsidR="00376E1A" w:rsidRPr="00A52AB8">
              <w:rPr>
                <w:color w:val="000000" w:themeColor="text1"/>
                <w:sz w:val="20"/>
                <w:szCs w:val="20"/>
              </w:rPr>
              <w:t> </w:t>
            </w:r>
            <w:r w:rsidR="00222A3C" w:rsidRPr="00A52AB8">
              <w:rPr>
                <w:color w:val="000000" w:themeColor="text1"/>
                <w:sz w:val="20"/>
                <w:szCs w:val="20"/>
              </w:rPr>
              <w:t>k</w:t>
            </w:r>
            <w:r w:rsidR="00006CCF" w:rsidRPr="00A52AB8">
              <w:rPr>
                <w:color w:val="000000" w:themeColor="text1"/>
                <w:sz w:val="20"/>
                <w:szCs w:val="20"/>
              </w:rPr>
              <w:t>++ </w:t>
            </w:r>
            <w:r w:rsidR="008F1F82" w:rsidRPr="00A52AB8">
              <w:rPr>
                <w:color w:val="000000" w:themeColor="text1"/>
                <w:sz w:val="20"/>
                <w:szCs w:val="20"/>
              </w:rPr>
              <w:t>) {</w:t>
            </w:r>
          </w:p>
        </w:tc>
        <w:tc>
          <w:tcPr>
            <w:tcW w:w="1331" w:type="dxa"/>
          </w:tcPr>
          <w:p w14:paraId="67A0154B" w14:textId="77777777" w:rsidR="003F591B" w:rsidRPr="00A52AB8" w:rsidRDefault="003F591B" w:rsidP="004F7C57">
            <w:pPr>
              <w:spacing w:before="20" w:after="20"/>
              <w:jc w:val="center"/>
              <w:rPr>
                <w:color w:val="000000" w:themeColor="text1"/>
                <w:sz w:val="20"/>
                <w:szCs w:val="20"/>
              </w:rPr>
            </w:pPr>
          </w:p>
        </w:tc>
      </w:tr>
      <w:tr w:rsidR="001748AF" w:rsidRPr="00A52AB8" w14:paraId="30664F7B" w14:textId="77777777" w:rsidTr="004A6049">
        <w:trPr>
          <w:jc w:val="center"/>
        </w:trPr>
        <w:tc>
          <w:tcPr>
            <w:tcW w:w="8411" w:type="dxa"/>
          </w:tcPr>
          <w:p w14:paraId="427C5B57" w14:textId="77777777" w:rsidR="001748AF" w:rsidRPr="00A52AB8" w:rsidRDefault="001748AF" w:rsidP="004F7C57">
            <w:pPr>
              <w:spacing w:before="20" w:after="20"/>
              <w:rPr>
                <w:color w:val="000000" w:themeColor="text1"/>
                <w:sz w:val="20"/>
                <w:szCs w:val="20"/>
              </w:rPr>
            </w:pPr>
            <w:r w:rsidRPr="00A52AB8">
              <w:rPr>
                <w:color w:val="000000" w:themeColor="text1"/>
                <w:sz w:val="20"/>
                <w:szCs w:val="20"/>
              </w:rPr>
              <w:tab/>
            </w:r>
            <w:r w:rsidRPr="00A52AB8">
              <w:rPr>
                <w:color w:val="000000" w:themeColor="text1"/>
                <w:sz w:val="20"/>
                <w:szCs w:val="20"/>
              </w:rPr>
              <w:tab/>
            </w:r>
            <w:r w:rsidRPr="00A52AB8">
              <w:rPr>
                <w:b/>
                <w:color w:val="000000" w:themeColor="text1"/>
                <w:sz w:val="20"/>
                <w:szCs w:val="20"/>
              </w:rPr>
              <w:t>vps_atlas_id</w:t>
            </w:r>
            <w:r w:rsidR="004B7314" w:rsidRPr="00A52AB8">
              <w:rPr>
                <w:bCs/>
                <w:color w:val="000000" w:themeColor="text1"/>
                <w:sz w:val="20"/>
                <w:szCs w:val="20"/>
              </w:rPr>
              <w:t>[ k ]</w:t>
            </w:r>
          </w:p>
        </w:tc>
        <w:tc>
          <w:tcPr>
            <w:tcW w:w="1331" w:type="dxa"/>
          </w:tcPr>
          <w:p w14:paraId="37C8E0D6" w14:textId="77777777" w:rsidR="001748AF" w:rsidRPr="00A52AB8" w:rsidRDefault="00020030" w:rsidP="004F7C57">
            <w:pPr>
              <w:spacing w:before="20" w:after="20"/>
              <w:jc w:val="center"/>
              <w:rPr>
                <w:color w:val="000000" w:themeColor="text1"/>
                <w:sz w:val="20"/>
                <w:szCs w:val="20"/>
              </w:rPr>
            </w:pPr>
            <w:r w:rsidRPr="00A52AB8">
              <w:rPr>
                <w:color w:val="000000" w:themeColor="text1"/>
                <w:sz w:val="20"/>
                <w:szCs w:val="20"/>
              </w:rPr>
              <w:t>u(6)</w:t>
            </w:r>
          </w:p>
        </w:tc>
      </w:tr>
      <w:tr w:rsidR="002515BF" w:rsidRPr="00A52AB8" w14:paraId="2688680E" w14:textId="77777777" w:rsidTr="004A6049">
        <w:trPr>
          <w:jc w:val="center"/>
        </w:trPr>
        <w:tc>
          <w:tcPr>
            <w:tcW w:w="8411" w:type="dxa"/>
          </w:tcPr>
          <w:p w14:paraId="6003DE13" w14:textId="06737C24" w:rsidR="002515BF" w:rsidRPr="00A52AB8" w:rsidRDefault="00222A3C" w:rsidP="004F7C57">
            <w:pPr>
              <w:spacing w:before="20" w:after="20"/>
              <w:rPr>
                <w:color w:val="000000" w:themeColor="text1"/>
                <w:sz w:val="20"/>
                <w:szCs w:val="20"/>
              </w:rPr>
            </w:pPr>
            <w:r w:rsidRPr="00A52AB8">
              <w:rPr>
                <w:color w:val="000000" w:themeColor="text1"/>
                <w:sz w:val="20"/>
                <w:szCs w:val="20"/>
              </w:rPr>
              <w:tab/>
            </w:r>
            <w:r w:rsidRPr="00A52AB8">
              <w:rPr>
                <w:color w:val="000000" w:themeColor="text1"/>
                <w:sz w:val="20"/>
                <w:szCs w:val="20"/>
              </w:rPr>
              <w:tab/>
            </w:r>
            <w:r w:rsidR="001B3B0F" w:rsidRPr="00A52AB8">
              <w:rPr>
                <w:color w:val="000000" w:themeColor="text1"/>
                <w:sz w:val="20"/>
                <w:szCs w:val="20"/>
              </w:rPr>
              <w:t>j</w:t>
            </w:r>
            <w:r w:rsidR="00D47707" w:rsidRPr="00A52AB8">
              <w:rPr>
                <w:color w:val="000000" w:themeColor="text1"/>
                <w:sz w:val="20"/>
                <w:szCs w:val="20"/>
              </w:rPr>
              <w:t> = </w:t>
            </w:r>
            <w:r w:rsidRPr="00A52AB8">
              <w:rPr>
                <w:color w:val="000000" w:themeColor="text1"/>
                <w:sz w:val="20"/>
                <w:szCs w:val="20"/>
              </w:rPr>
              <w:t>vps_atlas_id</w:t>
            </w:r>
            <w:r w:rsidR="004B7314" w:rsidRPr="00A52AB8">
              <w:rPr>
                <w:color w:val="000000" w:themeColor="text1"/>
                <w:sz w:val="20"/>
                <w:szCs w:val="20"/>
              </w:rPr>
              <w:t>[ k ]</w:t>
            </w:r>
          </w:p>
        </w:tc>
        <w:tc>
          <w:tcPr>
            <w:tcW w:w="1331" w:type="dxa"/>
          </w:tcPr>
          <w:p w14:paraId="0F6B682E" w14:textId="77777777" w:rsidR="002515BF" w:rsidRPr="00A52AB8" w:rsidRDefault="002515BF" w:rsidP="004F7C57">
            <w:pPr>
              <w:spacing w:before="20" w:after="20"/>
              <w:jc w:val="center"/>
              <w:rPr>
                <w:color w:val="000000" w:themeColor="text1"/>
                <w:sz w:val="20"/>
                <w:szCs w:val="20"/>
              </w:rPr>
            </w:pPr>
          </w:p>
        </w:tc>
      </w:tr>
      <w:tr w:rsidR="00EE152A" w:rsidRPr="00A52AB8" w14:paraId="03D981D5" w14:textId="77777777" w:rsidTr="004A6049">
        <w:trPr>
          <w:jc w:val="center"/>
        </w:trPr>
        <w:tc>
          <w:tcPr>
            <w:tcW w:w="8411" w:type="dxa"/>
          </w:tcPr>
          <w:p w14:paraId="5A0CB587" w14:textId="77777777" w:rsidR="00EE152A" w:rsidRPr="00A52AB8" w:rsidRDefault="00EE152A" w:rsidP="004F7C57">
            <w:pPr>
              <w:spacing w:before="20" w:after="20"/>
              <w:rPr>
                <w:color w:val="000000" w:themeColor="text1"/>
                <w:sz w:val="20"/>
                <w:szCs w:val="20"/>
              </w:rPr>
            </w:pPr>
            <w:r w:rsidRPr="00A52AB8">
              <w:rPr>
                <w:color w:val="000000" w:themeColor="text1"/>
                <w:sz w:val="20"/>
                <w:szCs w:val="20"/>
              </w:rPr>
              <w:tab/>
            </w:r>
            <w:r w:rsidR="003F591B" w:rsidRPr="00A52AB8">
              <w:rPr>
                <w:color w:val="000000" w:themeColor="text1"/>
                <w:sz w:val="20"/>
                <w:szCs w:val="20"/>
              </w:rPr>
              <w:tab/>
            </w:r>
            <w:r w:rsidR="0026338A" w:rsidRPr="00A52AB8">
              <w:rPr>
                <w:b/>
                <w:color w:val="000000" w:themeColor="text1"/>
                <w:sz w:val="20"/>
                <w:szCs w:val="20"/>
              </w:rPr>
              <w:t>vps_frame_width</w:t>
            </w:r>
            <w:r w:rsidR="001F4484" w:rsidRPr="00A52AB8">
              <w:rPr>
                <w:bCs/>
                <w:color w:val="000000" w:themeColor="text1"/>
                <w:sz w:val="20"/>
                <w:szCs w:val="20"/>
              </w:rPr>
              <w:t>[ j ]</w:t>
            </w:r>
          </w:p>
        </w:tc>
        <w:tc>
          <w:tcPr>
            <w:tcW w:w="1331" w:type="dxa"/>
          </w:tcPr>
          <w:p w14:paraId="349CF115" w14:textId="77777777" w:rsidR="00EE152A" w:rsidRPr="00A52AB8" w:rsidRDefault="00EE152A" w:rsidP="004F7C57">
            <w:pPr>
              <w:spacing w:before="20" w:after="20"/>
              <w:jc w:val="center"/>
              <w:rPr>
                <w:color w:val="000000" w:themeColor="text1"/>
                <w:sz w:val="20"/>
                <w:szCs w:val="20"/>
              </w:rPr>
            </w:pPr>
            <w:r w:rsidRPr="00A52AB8">
              <w:rPr>
                <w:color w:val="000000" w:themeColor="text1"/>
                <w:sz w:val="20"/>
                <w:szCs w:val="20"/>
              </w:rPr>
              <w:t>u</w:t>
            </w:r>
            <w:r w:rsidR="009D2EC6" w:rsidRPr="00A52AB8">
              <w:rPr>
                <w:color w:val="000000" w:themeColor="text1"/>
                <w:sz w:val="20"/>
                <w:szCs w:val="20"/>
              </w:rPr>
              <w:t>e</w:t>
            </w:r>
            <w:r w:rsidRPr="00A52AB8">
              <w:rPr>
                <w:color w:val="000000" w:themeColor="text1"/>
                <w:sz w:val="20"/>
                <w:szCs w:val="20"/>
              </w:rPr>
              <w:t>(</w:t>
            </w:r>
            <w:r w:rsidR="009D2EC6" w:rsidRPr="00A52AB8">
              <w:rPr>
                <w:color w:val="000000" w:themeColor="text1"/>
                <w:sz w:val="20"/>
                <w:szCs w:val="20"/>
              </w:rPr>
              <w:t>v</w:t>
            </w:r>
            <w:r w:rsidRPr="00A52AB8">
              <w:rPr>
                <w:color w:val="000000" w:themeColor="text1"/>
                <w:sz w:val="20"/>
                <w:szCs w:val="20"/>
              </w:rPr>
              <w:t>)</w:t>
            </w:r>
          </w:p>
        </w:tc>
      </w:tr>
      <w:tr w:rsidR="00EE152A" w:rsidRPr="00A52AB8" w14:paraId="71BE3D26" w14:textId="77777777" w:rsidTr="004A6049">
        <w:trPr>
          <w:jc w:val="center"/>
        </w:trPr>
        <w:tc>
          <w:tcPr>
            <w:tcW w:w="8411" w:type="dxa"/>
          </w:tcPr>
          <w:p w14:paraId="4A567BA1" w14:textId="77777777" w:rsidR="00EE152A" w:rsidRPr="00A52AB8" w:rsidRDefault="00EE152A" w:rsidP="004F7C57">
            <w:pPr>
              <w:spacing w:before="20" w:after="20"/>
              <w:rPr>
                <w:color w:val="000000" w:themeColor="text1"/>
                <w:sz w:val="20"/>
                <w:szCs w:val="20"/>
              </w:rPr>
            </w:pPr>
            <w:r w:rsidRPr="00A52AB8">
              <w:rPr>
                <w:color w:val="000000" w:themeColor="text1"/>
                <w:sz w:val="20"/>
                <w:szCs w:val="20"/>
              </w:rPr>
              <w:tab/>
            </w:r>
            <w:r w:rsidR="003F591B" w:rsidRPr="00A52AB8">
              <w:rPr>
                <w:color w:val="000000" w:themeColor="text1"/>
                <w:sz w:val="20"/>
                <w:szCs w:val="20"/>
              </w:rPr>
              <w:tab/>
            </w:r>
            <w:r w:rsidR="0026338A" w:rsidRPr="00A52AB8">
              <w:rPr>
                <w:b/>
                <w:color w:val="000000" w:themeColor="text1"/>
                <w:sz w:val="20"/>
                <w:szCs w:val="20"/>
              </w:rPr>
              <w:t>vps_frame_height</w:t>
            </w:r>
            <w:r w:rsidR="001F4484" w:rsidRPr="00A52AB8">
              <w:rPr>
                <w:bCs/>
                <w:color w:val="000000" w:themeColor="text1"/>
                <w:sz w:val="20"/>
                <w:szCs w:val="20"/>
              </w:rPr>
              <w:t>[ j ]</w:t>
            </w:r>
          </w:p>
        </w:tc>
        <w:tc>
          <w:tcPr>
            <w:tcW w:w="1331" w:type="dxa"/>
          </w:tcPr>
          <w:p w14:paraId="72D1B29E" w14:textId="77777777" w:rsidR="00EE152A" w:rsidRPr="00A52AB8" w:rsidRDefault="00EE152A" w:rsidP="004F7C57">
            <w:pPr>
              <w:spacing w:before="20" w:after="20"/>
              <w:jc w:val="center"/>
              <w:rPr>
                <w:color w:val="000000" w:themeColor="text1"/>
                <w:sz w:val="20"/>
                <w:szCs w:val="20"/>
              </w:rPr>
            </w:pPr>
            <w:r w:rsidRPr="00A52AB8">
              <w:rPr>
                <w:color w:val="000000" w:themeColor="text1"/>
                <w:sz w:val="20"/>
                <w:szCs w:val="20"/>
              </w:rPr>
              <w:t>u</w:t>
            </w:r>
            <w:r w:rsidR="009D2EC6" w:rsidRPr="00A52AB8">
              <w:rPr>
                <w:color w:val="000000" w:themeColor="text1"/>
                <w:sz w:val="20"/>
                <w:szCs w:val="20"/>
              </w:rPr>
              <w:t>e</w:t>
            </w:r>
            <w:r w:rsidRPr="00A52AB8">
              <w:rPr>
                <w:color w:val="000000" w:themeColor="text1"/>
                <w:sz w:val="20"/>
                <w:szCs w:val="20"/>
              </w:rPr>
              <w:t>(</w:t>
            </w:r>
            <w:r w:rsidR="009D2EC6" w:rsidRPr="00A52AB8">
              <w:rPr>
                <w:color w:val="000000" w:themeColor="text1"/>
                <w:sz w:val="20"/>
                <w:szCs w:val="20"/>
              </w:rPr>
              <w:t>v</w:t>
            </w:r>
            <w:r w:rsidRPr="00A52AB8">
              <w:rPr>
                <w:color w:val="000000" w:themeColor="text1"/>
                <w:sz w:val="20"/>
                <w:szCs w:val="20"/>
              </w:rPr>
              <w:t>)</w:t>
            </w:r>
          </w:p>
        </w:tc>
      </w:tr>
      <w:tr w:rsidR="00220D7B" w:rsidRPr="00A52AB8" w14:paraId="7F985DAE" w14:textId="77777777" w:rsidTr="004A6049">
        <w:trPr>
          <w:jc w:val="center"/>
        </w:trPr>
        <w:tc>
          <w:tcPr>
            <w:tcW w:w="8411" w:type="dxa"/>
          </w:tcPr>
          <w:p w14:paraId="2A3CCE6C" w14:textId="77777777" w:rsidR="00220D7B" w:rsidRPr="00A52AB8" w:rsidRDefault="003F591B" w:rsidP="004F7C57">
            <w:pPr>
              <w:spacing w:before="20" w:after="20"/>
              <w:rPr>
                <w:color w:val="000000" w:themeColor="text1"/>
                <w:sz w:val="20"/>
                <w:szCs w:val="20"/>
              </w:rPr>
            </w:pPr>
            <w:r w:rsidRPr="00A52AB8">
              <w:rPr>
                <w:b/>
                <w:color w:val="000000" w:themeColor="text1"/>
                <w:sz w:val="20"/>
                <w:szCs w:val="20"/>
              </w:rPr>
              <w:tab/>
            </w:r>
            <w:r w:rsidR="00220D7B" w:rsidRPr="00A52AB8">
              <w:rPr>
                <w:b/>
                <w:color w:val="000000" w:themeColor="text1"/>
                <w:sz w:val="20"/>
                <w:szCs w:val="20"/>
              </w:rPr>
              <w:tab/>
            </w:r>
            <w:r w:rsidR="00A13222" w:rsidRPr="00A52AB8">
              <w:rPr>
                <w:b/>
                <w:color w:val="000000" w:themeColor="text1"/>
                <w:sz w:val="20"/>
                <w:szCs w:val="20"/>
              </w:rPr>
              <w:t>vps_map_count_minus1</w:t>
            </w:r>
            <w:r w:rsidR="001F4484" w:rsidRPr="00A52AB8">
              <w:rPr>
                <w:bCs/>
                <w:color w:val="000000" w:themeColor="text1"/>
                <w:sz w:val="20"/>
                <w:szCs w:val="20"/>
              </w:rPr>
              <w:t>[ j ]</w:t>
            </w:r>
          </w:p>
        </w:tc>
        <w:tc>
          <w:tcPr>
            <w:tcW w:w="1331" w:type="dxa"/>
          </w:tcPr>
          <w:p w14:paraId="79C7C332" w14:textId="77777777" w:rsidR="00220D7B" w:rsidRPr="00A52AB8" w:rsidRDefault="00220D7B" w:rsidP="004F7C57">
            <w:pPr>
              <w:spacing w:before="20" w:after="20"/>
              <w:jc w:val="center"/>
              <w:rPr>
                <w:color w:val="000000" w:themeColor="text1"/>
                <w:sz w:val="20"/>
                <w:szCs w:val="20"/>
              </w:rPr>
            </w:pPr>
            <w:r w:rsidRPr="00A52AB8">
              <w:rPr>
                <w:color w:val="000000" w:themeColor="text1"/>
                <w:sz w:val="20"/>
                <w:szCs w:val="20"/>
              </w:rPr>
              <w:t>u(4)</w:t>
            </w:r>
          </w:p>
        </w:tc>
      </w:tr>
      <w:tr w:rsidR="00716356" w:rsidRPr="00A52AB8" w14:paraId="65F8D098" w14:textId="77777777" w:rsidTr="004A6049">
        <w:trPr>
          <w:jc w:val="center"/>
        </w:trPr>
        <w:tc>
          <w:tcPr>
            <w:tcW w:w="8411" w:type="dxa"/>
          </w:tcPr>
          <w:p w14:paraId="134EDA9E" w14:textId="5D206C7A" w:rsidR="00716356" w:rsidRPr="00A52AB8" w:rsidRDefault="003F591B" w:rsidP="004F7C57">
            <w:pPr>
              <w:spacing w:before="20" w:after="20"/>
              <w:rPr>
                <w:b/>
                <w:color w:val="000000" w:themeColor="text1"/>
                <w:sz w:val="20"/>
                <w:szCs w:val="20"/>
              </w:rPr>
            </w:pPr>
            <w:r w:rsidRPr="00A52AB8">
              <w:rPr>
                <w:b/>
                <w:color w:val="000000" w:themeColor="text1"/>
                <w:sz w:val="20"/>
                <w:szCs w:val="20"/>
              </w:rPr>
              <w:tab/>
            </w:r>
            <w:r w:rsidR="00716356" w:rsidRPr="00A52AB8">
              <w:rPr>
                <w:b/>
                <w:color w:val="000000" w:themeColor="text1"/>
                <w:sz w:val="20"/>
                <w:szCs w:val="20"/>
              </w:rPr>
              <w:tab/>
            </w:r>
            <w:r w:rsidR="003A5206" w:rsidRPr="00A52AB8">
              <w:rPr>
                <w:color w:val="000000" w:themeColor="text1"/>
                <w:sz w:val="20"/>
                <w:szCs w:val="20"/>
              </w:rPr>
              <w:t>if(</w:t>
            </w:r>
            <w:r w:rsidR="00376E1A" w:rsidRPr="00A52AB8">
              <w:rPr>
                <w:color w:val="000000" w:themeColor="text1"/>
                <w:sz w:val="20"/>
                <w:szCs w:val="20"/>
              </w:rPr>
              <w:t> </w:t>
            </w:r>
            <w:r w:rsidR="00A13222" w:rsidRPr="00A52AB8">
              <w:rPr>
                <w:color w:val="000000" w:themeColor="text1"/>
                <w:sz w:val="20"/>
                <w:szCs w:val="20"/>
              </w:rPr>
              <w:t>vps_map_count_minus1</w:t>
            </w:r>
            <w:r w:rsidR="001F4484" w:rsidRPr="00A52AB8">
              <w:rPr>
                <w:color w:val="000000" w:themeColor="text1"/>
                <w:sz w:val="20"/>
                <w:szCs w:val="20"/>
              </w:rPr>
              <w:t>[ j ]</w:t>
            </w:r>
            <w:r w:rsidR="00376E1A" w:rsidRPr="00A52AB8">
              <w:rPr>
                <w:color w:val="000000" w:themeColor="text1"/>
                <w:sz w:val="20"/>
                <w:szCs w:val="20"/>
              </w:rPr>
              <w:t> </w:t>
            </w:r>
            <w:r w:rsidR="00716356" w:rsidRPr="00A52AB8">
              <w:rPr>
                <w:color w:val="000000" w:themeColor="text1"/>
                <w:sz w:val="20"/>
                <w:szCs w:val="20"/>
              </w:rPr>
              <w:t>&gt;</w:t>
            </w:r>
            <w:r w:rsidR="00376E1A" w:rsidRPr="00A52AB8">
              <w:rPr>
                <w:color w:val="000000" w:themeColor="text1"/>
                <w:sz w:val="20"/>
                <w:szCs w:val="20"/>
              </w:rPr>
              <w:t> </w:t>
            </w:r>
            <w:r w:rsidR="00716356" w:rsidRPr="00A52AB8">
              <w:rPr>
                <w:color w:val="000000" w:themeColor="text1"/>
                <w:sz w:val="20"/>
                <w:szCs w:val="20"/>
              </w:rPr>
              <w:t>0</w:t>
            </w:r>
            <w:r w:rsidR="00376E1A" w:rsidRPr="00A52AB8">
              <w:rPr>
                <w:color w:val="000000" w:themeColor="text1"/>
                <w:sz w:val="20"/>
                <w:szCs w:val="20"/>
              </w:rPr>
              <w:t> </w:t>
            </w:r>
            <w:r w:rsidR="00716356" w:rsidRPr="00A52AB8">
              <w:rPr>
                <w:color w:val="000000" w:themeColor="text1"/>
                <w:sz w:val="20"/>
                <w:szCs w:val="20"/>
              </w:rPr>
              <w:t>)</w:t>
            </w:r>
          </w:p>
        </w:tc>
        <w:tc>
          <w:tcPr>
            <w:tcW w:w="1331" w:type="dxa"/>
          </w:tcPr>
          <w:p w14:paraId="5325A35C" w14:textId="77777777" w:rsidR="00716356" w:rsidRPr="00A52AB8" w:rsidRDefault="00716356" w:rsidP="004F7C57">
            <w:pPr>
              <w:spacing w:before="20" w:after="20"/>
              <w:jc w:val="center"/>
              <w:rPr>
                <w:color w:val="000000" w:themeColor="text1"/>
                <w:sz w:val="20"/>
                <w:szCs w:val="20"/>
              </w:rPr>
            </w:pPr>
          </w:p>
        </w:tc>
      </w:tr>
      <w:tr w:rsidR="00716356" w:rsidRPr="00A52AB8" w14:paraId="1E526CC1" w14:textId="77777777" w:rsidTr="004A6049">
        <w:trPr>
          <w:jc w:val="center"/>
        </w:trPr>
        <w:tc>
          <w:tcPr>
            <w:tcW w:w="8411" w:type="dxa"/>
          </w:tcPr>
          <w:p w14:paraId="15673EB3" w14:textId="77777777" w:rsidR="00716356" w:rsidRPr="00A52AB8" w:rsidRDefault="003F591B" w:rsidP="004F7C57">
            <w:pPr>
              <w:spacing w:before="20" w:after="20"/>
              <w:rPr>
                <w:b/>
                <w:color w:val="000000" w:themeColor="text1"/>
                <w:sz w:val="20"/>
                <w:szCs w:val="20"/>
              </w:rPr>
            </w:pPr>
            <w:r w:rsidRPr="00A52AB8">
              <w:rPr>
                <w:b/>
                <w:color w:val="000000" w:themeColor="text1"/>
                <w:sz w:val="20"/>
                <w:szCs w:val="20"/>
              </w:rPr>
              <w:tab/>
            </w:r>
            <w:r w:rsidR="00716356" w:rsidRPr="00A52AB8">
              <w:rPr>
                <w:b/>
                <w:color w:val="000000" w:themeColor="text1"/>
                <w:sz w:val="20"/>
                <w:szCs w:val="20"/>
              </w:rPr>
              <w:tab/>
            </w:r>
            <w:r w:rsidR="00716356" w:rsidRPr="00A52AB8">
              <w:rPr>
                <w:b/>
                <w:color w:val="000000" w:themeColor="text1"/>
                <w:sz w:val="20"/>
                <w:szCs w:val="20"/>
              </w:rPr>
              <w:tab/>
            </w:r>
            <w:r w:rsidR="00A13222" w:rsidRPr="00A52AB8">
              <w:rPr>
                <w:b/>
                <w:color w:val="000000" w:themeColor="text1"/>
                <w:sz w:val="20"/>
                <w:szCs w:val="20"/>
              </w:rPr>
              <w:t>vps_multiple_map_streams_present_flag</w:t>
            </w:r>
            <w:r w:rsidR="001F4484" w:rsidRPr="00A52AB8">
              <w:rPr>
                <w:bCs/>
                <w:color w:val="000000" w:themeColor="text1"/>
                <w:sz w:val="20"/>
                <w:szCs w:val="20"/>
              </w:rPr>
              <w:t>[ j ]</w:t>
            </w:r>
          </w:p>
        </w:tc>
        <w:tc>
          <w:tcPr>
            <w:tcW w:w="1331" w:type="dxa"/>
          </w:tcPr>
          <w:p w14:paraId="34DD0696" w14:textId="77777777" w:rsidR="00716356" w:rsidRPr="00A52AB8" w:rsidRDefault="00716356" w:rsidP="004F7C57">
            <w:pPr>
              <w:spacing w:before="20" w:after="20"/>
              <w:jc w:val="center"/>
              <w:rPr>
                <w:color w:val="000000" w:themeColor="text1"/>
                <w:sz w:val="20"/>
                <w:szCs w:val="20"/>
              </w:rPr>
            </w:pPr>
            <w:r w:rsidRPr="00A52AB8">
              <w:rPr>
                <w:color w:val="000000" w:themeColor="text1"/>
                <w:sz w:val="20"/>
                <w:szCs w:val="20"/>
              </w:rPr>
              <w:t>u(1)</w:t>
            </w:r>
          </w:p>
        </w:tc>
      </w:tr>
      <w:tr w:rsidR="003505E0" w:rsidRPr="00A52AB8" w14:paraId="15D0F4DE" w14:textId="77777777" w:rsidTr="004A6049">
        <w:trPr>
          <w:jc w:val="center"/>
        </w:trPr>
        <w:tc>
          <w:tcPr>
            <w:tcW w:w="8411" w:type="dxa"/>
          </w:tcPr>
          <w:p w14:paraId="5B22EDCC" w14:textId="176E1B6A" w:rsidR="003505E0" w:rsidRPr="00A52AB8" w:rsidRDefault="003F591B" w:rsidP="004F7C57">
            <w:pPr>
              <w:spacing w:before="20" w:after="20"/>
              <w:rPr>
                <w:color w:val="000000" w:themeColor="text1"/>
                <w:sz w:val="20"/>
                <w:szCs w:val="20"/>
              </w:rPr>
            </w:pPr>
            <w:r w:rsidRPr="00A52AB8">
              <w:rPr>
                <w:color w:val="000000" w:themeColor="text1"/>
                <w:sz w:val="20"/>
                <w:szCs w:val="20"/>
              </w:rPr>
              <w:tab/>
            </w:r>
            <w:r w:rsidR="003505E0" w:rsidRPr="00A52AB8">
              <w:rPr>
                <w:color w:val="000000" w:themeColor="text1"/>
                <w:sz w:val="20"/>
                <w:szCs w:val="20"/>
              </w:rPr>
              <w:tab/>
            </w:r>
            <w:r w:rsidR="00A13222" w:rsidRPr="00A52AB8">
              <w:rPr>
                <w:color w:val="000000" w:themeColor="text1"/>
                <w:sz w:val="20"/>
                <w:szCs w:val="20"/>
              </w:rPr>
              <w:t>vps_map_absolute_coding_enabled_flag</w:t>
            </w:r>
            <w:r w:rsidR="001F4484" w:rsidRPr="00A52AB8">
              <w:rPr>
                <w:color w:val="000000" w:themeColor="text1"/>
                <w:sz w:val="20"/>
                <w:szCs w:val="20"/>
              </w:rPr>
              <w:t>[ j ]</w:t>
            </w:r>
            <w:r w:rsidR="00D770D3" w:rsidRPr="00A52AB8">
              <w:rPr>
                <w:color w:val="000000" w:themeColor="text1"/>
                <w:sz w:val="20"/>
                <w:szCs w:val="20"/>
              </w:rPr>
              <w:t>[ 0 ]</w:t>
            </w:r>
            <w:r w:rsidR="00D47707" w:rsidRPr="00A52AB8">
              <w:rPr>
                <w:color w:val="000000" w:themeColor="text1"/>
                <w:sz w:val="20"/>
                <w:szCs w:val="20"/>
              </w:rPr>
              <w:t> = </w:t>
            </w:r>
            <w:r w:rsidR="003505E0" w:rsidRPr="00A52AB8">
              <w:rPr>
                <w:color w:val="000000" w:themeColor="text1"/>
                <w:sz w:val="20"/>
                <w:szCs w:val="20"/>
              </w:rPr>
              <w:t>1</w:t>
            </w:r>
          </w:p>
        </w:tc>
        <w:tc>
          <w:tcPr>
            <w:tcW w:w="1331" w:type="dxa"/>
          </w:tcPr>
          <w:p w14:paraId="66098219" w14:textId="77777777" w:rsidR="003505E0" w:rsidRPr="00A52AB8" w:rsidRDefault="003505E0" w:rsidP="004F7C57">
            <w:pPr>
              <w:spacing w:before="20" w:after="20"/>
              <w:jc w:val="center"/>
              <w:rPr>
                <w:color w:val="000000" w:themeColor="text1"/>
                <w:sz w:val="20"/>
                <w:szCs w:val="20"/>
              </w:rPr>
            </w:pPr>
          </w:p>
        </w:tc>
      </w:tr>
      <w:tr w:rsidR="002B6462" w:rsidRPr="00A52AB8" w14:paraId="2697A611" w14:textId="77777777" w:rsidTr="004A6049">
        <w:trPr>
          <w:jc w:val="center"/>
        </w:trPr>
        <w:tc>
          <w:tcPr>
            <w:tcW w:w="8411" w:type="dxa"/>
          </w:tcPr>
          <w:p w14:paraId="0C4E9ED3" w14:textId="761E7D08" w:rsidR="002B6462" w:rsidRPr="00A52AB8" w:rsidRDefault="002B6462" w:rsidP="004F7C57">
            <w:pPr>
              <w:spacing w:before="20" w:after="20"/>
              <w:rPr>
                <w:color w:val="000000" w:themeColor="text1"/>
                <w:sz w:val="20"/>
                <w:szCs w:val="20"/>
              </w:rPr>
            </w:pPr>
            <w:r w:rsidRPr="00A52AB8">
              <w:rPr>
                <w:color w:val="000000" w:themeColor="text1"/>
                <w:sz w:val="20"/>
                <w:szCs w:val="20"/>
              </w:rPr>
              <w:tab/>
            </w:r>
            <w:r w:rsidRPr="00A52AB8">
              <w:rPr>
                <w:color w:val="000000" w:themeColor="text1"/>
                <w:sz w:val="20"/>
                <w:szCs w:val="20"/>
              </w:rPr>
              <w:tab/>
              <w:t>vps_map_predictor_index_diff[ j ]</w:t>
            </w:r>
            <w:r w:rsidR="00D770D3" w:rsidRPr="00A52AB8">
              <w:rPr>
                <w:color w:val="000000" w:themeColor="text1"/>
                <w:sz w:val="20"/>
                <w:szCs w:val="20"/>
              </w:rPr>
              <w:t>[ 0 ]</w:t>
            </w:r>
            <w:r w:rsidR="00D47707" w:rsidRPr="00A52AB8">
              <w:rPr>
                <w:color w:val="000000" w:themeColor="text1"/>
                <w:sz w:val="20"/>
                <w:szCs w:val="20"/>
              </w:rPr>
              <w:t> = </w:t>
            </w:r>
            <w:r w:rsidRPr="00A52AB8">
              <w:rPr>
                <w:color w:val="000000" w:themeColor="text1"/>
                <w:sz w:val="20"/>
                <w:szCs w:val="20"/>
              </w:rPr>
              <w:t>0</w:t>
            </w:r>
          </w:p>
        </w:tc>
        <w:tc>
          <w:tcPr>
            <w:tcW w:w="1331" w:type="dxa"/>
          </w:tcPr>
          <w:p w14:paraId="3F2FC4A4" w14:textId="77777777" w:rsidR="002B6462" w:rsidRPr="00A52AB8" w:rsidRDefault="002B6462" w:rsidP="004F7C57">
            <w:pPr>
              <w:spacing w:before="20" w:after="20"/>
              <w:jc w:val="center"/>
              <w:rPr>
                <w:color w:val="000000" w:themeColor="text1"/>
                <w:sz w:val="20"/>
                <w:szCs w:val="20"/>
              </w:rPr>
            </w:pPr>
          </w:p>
        </w:tc>
      </w:tr>
      <w:tr w:rsidR="00716356" w:rsidRPr="00A52AB8" w14:paraId="68EB6742" w14:textId="77777777" w:rsidTr="004A6049">
        <w:trPr>
          <w:jc w:val="center"/>
        </w:trPr>
        <w:tc>
          <w:tcPr>
            <w:tcW w:w="8411" w:type="dxa"/>
          </w:tcPr>
          <w:p w14:paraId="22CA8F87" w14:textId="038CAC0A" w:rsidR="00716356" w:rsidRPr="00A52AB8" w:rsidRDefault="003F591B" w:rsidP="004F7C57">
            <w:pPr>
              <w:spacing w:before="20" w:after="20"/>
              <w:rPr>
                <w:color w:val="000000" w:themeColor="text1"/>
                <w:sz w:val="20"/>
                <w:szCs w:val="20"/>
              </w:rPr>
            </w:pPr>
            <w:r w:rsidRPr="00A52AB8">
              <w:rPr>
                <w:color w:val="000000" w:themeColor="text1"/>
                <w:sz w:val="20"/>
                <w:szCs w:val="20"/>
              </w:rPr>
              <w:tab/>
            </w:r>
            <w:r w:rsidR="00716356" w:rsidRPr="00A52AB8">
              <w:rPr>
                <w:color w:val="000000" w:themeColor="text1"/>
                <w:sz w:val="20"/>
                <w:szCs w:val="20"/>
              </w:rPr>
              <w:tab/>
            </w:r>
            <w:r w:rsidR="0021699E" w:rsidRPr="00A52AB8">
              <w:rPr>
                <w:color w:val="000000" w:themeColor="text1"/>
                <w:sz w:val="20"/>
                <w:szCs w:val="20"/>
              </w:rPr>
              <w:t>for(</w:t>
            </w:r>
            <w:r w:rsidR="006936C4" w:rsidRPr="00A52AB8">
              <w:rPr>
                <w:color w:val="000000" w:themeColor="text1"/>
                <w:sz w:val="20"/>
                <w:szCs w:val="20"/>
              </w:rPr>
              <w:t> </w:t>
            </w:r>
            <w:r w:rsidR="001B3B0F" w:rsidRPr="00A52AB8">
              <w:rPr>
                <w:color w:val="000000" w:themeColor="text1"/>
                <w:sz w:val="20"/>
                <w:szCs w:val="20"/>
              </w:rPr>
              <w:t>i</w:t>
            </w:r>
            <w:r w:rsidR="00D47707" w:rsidRPr="00A52AB8">
              <w:rPr>
                <w:color w:val="000000" w:themeColor="text1"/>
                <w:sz w:val="20"/>
                <w:szCs w:val="20"/>
              </w:rPr>
              <w:t> = </w:t>
            </w:r>
            <w:r w:rsidR="006936C4" w:rsidRPr="00A52AB8">
              <w:rPr>
                <w:color w:val="000000" w:themeColor="text1"/>
                <w:sz w:val="20"/>
                <w:szCs w:val="20"/>
              </w:rPr>
              <w:t>1</w:t>
            </w:r>
            <w:r w:rsidR="00716356" w:rsidRPr="00A52AB8">
              <w:rPr>
                <w:color w:val="000000" w:themeColor="text1"/>
                <w:sz w:val="20"/>
                <w:szCs w:val="20"/>
              </w:rPr>
              <w:t>;</w:t>
            </w:r>
            <w:r w:rsidR="001B3B0F" w:rsidRPr="00A52AB8">
              <w:rPr>
                <w:color w:val="000000" w:themeColor="text1"/>
                <w:sz w:val="20"/>
                <w:szCs w:val="20"/>
              </w:rPr>
              <w:t> i </w:t>
            </w:r>
            <w:r w:rsidR="00A234FD" w:rsidRPr="00A52AB8">
              <w:rPr>
                <w:color w:val="000000" w:themeColor="text1"/>
                <w:sz w:val="20"/>
                <w:szCs w:val="20"/>
              </w:rPr>
              <w:t>&lt;=</w:t>
            </w:r>
            <w:r w:rsidR="00D47707" w:rsidRPr="00A52AB8">
              <w:rPr>
                <w:color w:val="000000" w:themeColor="text1"/>
                <w:sz w:val="20"/>
                <w:szCs w:val="20"/>
              </w:rPr>
              <w:t> </w:t>
            </w:r>
            <w:r w:rsidR="00A13222" w:rsidRPr="00A52AB8">
              <w:rPr>
                <w:color w:val="000000" w:themeColor="text1"/>
                <w:sz w:val="20"/>
                <w:szCs w:val="20"/>
              </w:rPr>
              <w:t>vps_map_count_minus1</w:t>
            </w:r>
            <w:r w:rsidR="001F4484" w:rsidRPr="00A52AB8">
              <w:rPr>
                <w:color w:val="000000" w:themeColor="text1"/>
                <w:sz w:val="20"/>
                <w:szCs w:val="20"/>
              </w:rPr>
              <w:t>[ j ]</w:t>
            </w:r>
            <w:r w:rsidR="00716356" w:rsidRPr="00A52AB8">
              <w:rPr>
                <w:color w:val="000000" w:themeColor="text1"/>
                <w:sz w:val="20"/>
                <w:szCs w:val="20"/>
              </w:rPr>
              <w:t>;</w:t>
            </w:r>
            <w:r w:rsidR="001B3B0F" w:rsidRPr="00A52AB8">
              <w:rPr>
                <w:color w:val="000000" w:themeColor="text1"/>
                <w:sz w:val="20"/>
                <w:szCs w:val="20"/>
              </w:rPr>
              <w:t> </w:t>
            </w:r>
            <w:r w:rsidR="00716356" w:rsidRPr="00A52AB8">
              <w:rPr>
                <w:color w:val="000000" w:themeColor="text1"/>
                <w:sz w:val="20"/>
                <w:szCs w:val="20"/>
              </w:rPr>
              <w:t>i</w:t>
            </w:r>
            <w:r w:rsidR="00006CCF" w:rsidRPr="00A52AB8">
              <w:rPr>
                <w:color w:val="000000" w:themeColor="text1"/>
                <w:sz w:val="20"/>
                <w:szCs w:val="20"/>
              </w:rPr>
              <w:t>++ </w:t>
            </w:r>
            <w:r w:rsidR="008F1F82" w:rsidRPr="00A52AB8">
              <w:rPr>
                <w:color w:val="000000" w:themeColor="text1"/>
                <w:sz w:val="20"/>
                <w:szCs w:val="20"/>
              </w:rPr>
              <w:t>) {</w:t>
            </w:r>
          </w:p>
        </w:tc>
        <w:tc>
          <w:tcPr>
            <w:tcW w:w="1331" w:type="dxa"/>
          </w:tcPr>
          <w:p w14:paraId="4FF0EE1B" w14:textId="77777777" w:rsidR="00716356" w:rsidRPr="00A52AB8" w:rsidRDefault="00716356" w:rsidP="004F7C57">
            <w:pPr>
              <w:spacing w:before="20" w:after="20"/>
              <w:jc w:val="center"/>
              <w:rPr>
                <w:color w:val="000000" w:themeColor="text1"/>
                <w:sz w:val="20"/>
                <w:szCs w:val="20"/>
              </w:rPr>
            </w:pPr>
          </w:p>
        </w:tc>
      </w:tr>
      <w:tr w:rsidR="006936C4" w:rsidRPr="00A52AB8" w14:paraId="13664546" w14:textId="77777777" w:rsidTr="004A6049">
        <w:trPr>
          <w:jc w:val="center"/>
        </w:trPr>
        <w:tc>
          <w:tcPr>
            <w:tcW w:w="8411" w:type="dxa"/>
          </w:tcPr>
          <w:p w14:paraId="29E54CEF" w14:textId="77777777" w:rsidR="006936C4" w:rsidRPr="00A52AB8" w:rsidRDefault="006936C4" w:rsidP="004F7C57">
            <w:pPr>
              <w:spacing w:before="20" w:after="20"/>
              <w:rPr>
                <w:color w:val="000000" w:themeColor="text1"/>
                <w:sz w:val="20"/>
                <w:szCs w:val="20"/>
              </w:rPr>
            </w:pPr>
            <w:r w:rsidRPr="00A52AB8">
              <w:rPr>
                <w:color w:val="000000" w:themeColor="text1"/>
                <w:sz w:val="20"/>
                <w:szCs w:val="20"/>
              </w:rPr>
              <w:tab/>
            </w:r>
            <w:r w:rsidRPr="00A52AB8">
              <w:rPr>
                <w:color w:val="000000" w:themeColor="text1"/>
                <w:sz w:val="20"/>
                <w:szCs w:val="20"/>
              </w:rPr>
              <w:tab/>
            </w:r>
            <w:r w:rsidRPr="00A52AB8">
              <w:rPr>
                <w:color w:val="000000" w:themeColor="text1"/>
                <w:sz w:val="20"/>
                <w:szCs w:val="20"/>
              </w:rPr>
              <w:tab/>
              <w:t>if(</w:t>
            </w:r>
            <w:r w:rsidRPr="00A52AB8">
              <w:t> </w:t>
            </w:r>
            <w:r w:rsidRPr="00A52AB8">
              <w:rPr>
                <w:color w:val="000000" w:themeColor="text1"/>
                <w:sz w:val="20"/>
                <w:szCs w:val="20"/>
              </w:rPr>
              <w:t>vps_multiple_map_streams_present_flag</w:t>
            </w:r>
            <w:r w:rsidR="001F4484" w:rsidRPr="00A52AB8">
              <w:rPr>
                <w:color w:val="000000" w:themeColor="text1"/>
                <w:sz w:val="20"/>
                <w:szCs w:val="20"/>
              </w:rPr>
              <w:t>[ j ]</w:t>
            </w:r>
            <w:r w:rsidRPr="00A52AB8">
              <w:rPr>
                <w:color w:val="000000" w:themeColor="text1"/>
                <w:sz w:val="20"/>
                <w:szCs w:val="20"/>
              </w:rPr>
              <w:t> )</w:t>
            </w:r>
          </w:p>
        </w:tc>
        <w:tc>
          <w:tcPr>
            <w:tcW w:w="1331" w:type="dxa"/>
          </w:tcPr>
          <w:p w14:paraId="5CC52D43" w14:textId="77777777" w:rsidR="006936C4" w:rsidRPr="00A52AB8" w:rsidRDefault="006936C4" w:rsidP="004F7C57">
            <w:pPr>
              <w:spacing w:before="20" w:after="20"/>
              <w:jc w:val="center"/>
              <w:rPr>
                <w:color w:val="000000" w:themeColor="text1"/>
                <w:sz w:val="20"/>
                <w:szCs w:val="20"/>
              </w:rPr>
            </w:pPr>
          </w:p>
        </w:tc>
      </w:tr>
      <w:tr w:rsidR="006936C4" w:rsidRPr="00A52AB8" w14:paraId="10143367" w14:textId="77777777" w:rsidTr="004A6049">
        <w:trPr>
          <w:jc w:val="center"/>
        </w:trPr>
        <w:tc>
          <w:tcPr>
            <w:tcW w:w="8411" w:type="dxa"/>
          </w:tcPr>
          <w:p w14:paraId="557C516A" w14:textId="77777777" w:rsidR="006936C4" w:rsidRPr="00A52AB8" w:rsidRDefault="006936C4" w:rsidP="004F7C57">
            <w:pPr>
              <w:spacing w:before="20" w:after="20"/>
              <w:rPr>
                <w:b/>
                <w:color w:val="000000" w:themeColor="text1"/>
                <w:sz w:val="20"/>
                <w:szCs w:val="20"/>
              </w:rPr>
            </w:pPr>
            <w:r w:rsidRPr="00A52AB8">
              <w:rPr>
                <w:b/>
                <w:color w:val="000000" w:themeColor="text1"/>
                <w:sz w:val="20"/>
                <w:szCs w:val="20"/>
              </w:rPr>
              <w:tab/>
            </w:r>
            <w:r w:rsidRPr="00A52AB8">
              <w:rPr>
                <w:b/>
                <w:color w:val="000000" w:themeColor="text1"/>
                <w:sz w:val="20"/>
                <w:szCs w:val="20"/>
              </w:rPr>
              <w:tab/>
            </w:r>
            <w:r w:rsidRPr="00A52AB8">
              <w:rPr>
                <w:b/>
                <w:color w:val="000000" w:themeColor="text1"/>
                <w:sz w:val="20"/>
                <w:szCs w:val="20"/>
              </w:rPr>
              <w:tab/>
            </w:r>
            <w:r w:rsidRPr="00A52AB8">
              <w:rPr>
                <w:b/>
                <w:color w:val="000000" w:themeColor="text1"/>
                <w:sz w:val="20"/>
                <w:szCs w:val="20"/>
              </w:rPr>
              <w:tab/>
              <w:t>vps_map_absolute_coding_enabled_flag</w:t>
            </w:r>
            <w:r w:rsidR="001F4484" w:rsidRPr="00A52AB8">
              <w:rPr>
                <w:bCs/>
                <w:color w:val="000000" w:themeColor="text1"/>
                <w:sz w:val="20"/>
                <w:szCs w:val="20"/>
              </w:rPr>
              <w:t>[ j ][ i ]</w:t>
            </w:r>
          </w:p>
        </w:tc>
        <w:tc>
          <w:tcPr>
            <w:tcW w:w="1331" w:type="dxa"/>
          </w:tcPr>
          <w:p w14:paraId="1D4C382F" w14:textId="77777777" w:rsidR="006936C4" w:rsidRPr="00A52AB8" w:rsidRDefault="006936C4" w:rsidP="004F7C57">
            <w:pPr>
              <w:spacing w:before="20" w:after="20"/>
              <w:jc w:val="center"/>
              <w:rPr>
                <w:color w:val="000000" w:themeColor="text1"/>
                <w:sz w:val="20"/>
                <w:szCs w:val="20"/>
              </w:rPr>
            </w:pPr>
            <w:r w:rsidRPr="00A52AB8">
              <w:rPr>
                <w:color w:val="000000" w:themeColor="text1"/>
                <w:sz w:val="20"/>
                <w:szCs w:val="20"/>
              </w:rPr>
              <w:t>u(1)</w:t>
            </w:r>
          </w:p>
        </w:tc>
      </w:tr>
      <w:tr w:rsidR="006936C4" w:rsidRPr="00A52AB8" w14:paraId="002B7293" w14:textId="77777777" w:rsidTr="004A6049">
        <w:trPr>
          <w:jc w:val="center"/>
        </w:trPr>
        <w:tc>
          <w:tcPr>
            <w:tcW w:w="8411" w:type="dxa"/>
          </w:tcPr>
          <w:p w14:paraId="72049F1A" w14:textId="77777777" w:rsidR="006936C4" w:rsidRPr="00A52AB8" w:rsidRDefault="006936C4" w:rsidP="004F7C57">
            <w:pPr>
              <w:spacing w:before="20" w:after="20"/>
              <w:rPr>
                <w:bCs/>
                <w:color w:val="000000" w:themeColor="text1"/>
                <w:sz w:val="20"/>
                <w:szCs w:val="20"/>
              </w:rPr>
            </w:pPr>
            <w:r w:rsidRPr="00A52AB8">
              <w:rPr>
                <w:b/>
                <w:color w:val="000000" w:themeColor="text1"/>
                <w:sz w:val="20"/>
                <w:szCs w:val="20"/>
              </w:rPr>
              <w:tab/>
            </w:r>
            <w:r w:rsidRPr="00A52AB8">
              <w:rPr>
                <w:b/>
                <w:color w:val="000000" w:themeColor="text1"/>
                <w:sz w:val="20"/>
                <w:szCs w:val="20"/>
              </w:rPr>
              <w:tab/>
            </w:r>
            <w:r w:rsidRPr="00A52AB8">
              <w:rPr>
                <w:b/>
                <w:color w:val="000000" w:themeColor="text1"/>
                <w:sz w:val="20"/>
                <w:szCs w:val="20"/>
              </w:rPr>
              <w:tab/>
            </w:r>
            <w:r w:rsidRPr="00A52AB8">
              <w:rPr>
                <w:bCs/>
                <w:color w:val="000000" w:themeColor="text1"/>
                <w:sz w:val="20"/>
                <w:szCs w:val="20"/>
              </w:rPr>
              <w:t>else</w:t>
            </w:r>
          </w:p>
        </w:tc>
        <w:tc>
          <w:tcPr>
            <w:tcW w:w="1331" w:type="dxa"/>
          </w:tcPr>
          <w:p w14:paraId="36589A7D" w14:textId="77777777" w:rsidR="006936C4" w:rsidRPr="00A52AB8" w:rsidRDefault="006936C4" w:rsidP="004F7C57">
            <w:pPr>
              <w:spacing w:before="20" w:after="20"/>
              <w:jc w:val="center"/>
              <w:rPr>
                <w:color w:val="000000" w:themeColor="text1"/>
                <w:sz w:val="20"/>
                <w:szCs w:val="20"/>
              </w:rPr>
            </w:pPr>
          </w:p>
        </w:tc>
      </w:tr>
      <w:tr w:rsidR="006936C4" w:rsidRPr="00A52AB8" w14:paraId="442A7646" w14:textId="77777777" w:rsidTr="004A6049">
        <w:trPr>
          <w:jc w:val="center"/>
        </w:trPr>
        <w:tc>
          <w:tcPr>
            <w:tcW w:w="8411" w:type="dxa"/>
          </w:tcPr>
          <w:p w14:paraId="1DD7179E" w14:textId="28963A76" w:rsidR="006936C4" w:rsidRPr="00A52AB8" w:rsidRDefault="006936C4" w:rsidP="004F7C57">
            <w:pPr>
              <w:spacing w:before="20" w:after="20"/>
              <w:rPr>
                <w:bCs/>
                <w:color w:val="000000" w:themeColor="text1"/>
                <w:sz w:val="20"/>
                <w:szCs w:val="20"/>
              </w:rPr>
            </w:pPr>
            <w:r w:rsidRPr="00A52AB8">
              <w:rPr>
                <w:b/>
                <w:color w:val="000000" w:themeColor="text1"/>
                <w:sz w:val="20"/>
                <w:szCs w:val="20"/>
              </w:rPr>
              <w:tab/>
            </w:r>
            <w:r w:rsidRPr="00A52AB8">
              <w:rPr>
                <w:b/>
                <w:color w:val="000000" w:themeColor="text1"/>
                <w:sz w:val="20"/>
                <w:szCs w:val="20"/>
              </w:rPr>
              <w:tab/>
            </w:r>
            <w:r w:rsidRPr="00A52AB8">
              <w:rPr>
                <w:b/>
                <w:color w:val="000000" w:themeColor="text1"/>
                <w:sz w:val="20"/>
                <w:szCs w:val="20"/>
              </w:rPr>
              <w:tab/>
            </w:r>
            <w:r w:rsidRPr="00A52AB8">
              <w:rPr>
                <w:b/>
                <w:color w:val="000000" w:themeColor="text1"/>
                <w:sz w:val="20"/>
                <w:szCs w:val="20"/>
              </w:rPr>
              <w:tab/>
            </w:r>
            <w:r w:rsidRPr="00A52AB8">
              <w:rPr>
                <w:bCs/>
                <w:color w:val="000000" w:themeColor="text1"/>
                <w:sz w:val="20"/>
                <w:szCs w:val="20"/>
              </w:rPr>
              <w:t>vps_map_absolute_coding_enabled_flag</w:t>
            </w:r>
            <w:r w:rsidR="001F4484" w:rsidRPr="00A52AB8">
              <w:rPr>
                <w:bCs/>
                <w:color w:val="000000" w:themeColor="text1"/>
                <w:sz w:val="20"/>
                <w:szCs w:val="20"/>
              </w:rPr>
              <w:t>[ j ][ i ]</w:t>
            </w:r>
            <w:r w:rsidR="00D47707" w:rsidRPr="00A52AB8">
              <w:rPr>
                <w:bCs/>
                <w:color w:val="000000" w:themeColor="text1"/>
                <w:sz w:val="20"/>
                <w:szCs w:val="20"/>
              </w:rPr>
              <w:t> = </w:t>
            </w:r>
            <w:r w:rsidRPr="00A52AB8">
              <w:rPr>
                <w:bCs/>
                <w:color w:val="000000" w:themeColor="text1"/>
                <w:sz w:val="20"/>
                <w:szCs w:val="20"/>
              </w:rPr>
              <w:t>1</w:t>
            </w:r>
          </w:p>
        </w:tc>
        <w:tc>
          <w:tcPr>
            <w:tcW w:w="1331" w:type="dxa"/>
          </w:tcPr>
          <w:p w14:paraId="5FB1D44D" w14:textId="77777777" w:rsidR="006936C4" w:rsidRPr="00A52AB8" w:rsidRDefault="006936C4" w:rsidP="004F7C57">
            <w:pPr>
              <w:spacing w:before="20" w:after="20"/>
              <w:jc w:val="center"/>
              <w:rPr>
                <w:color w:val="000000" w:themeColor="text1"/>
                <w:sz w:val="20"/>
                <w:szCs w:val="20"/>
              </w:rPr>
            </w:pPr>
          </w:p>
        </w:tc>
      </w:tr>
      <w:tr w:rsidR="006936C4" w:rsidRPr="00A52AB8" w14:paraId="191439CD" w14:textId="77777777" w:rsidTr="004A6049">
        <w:trPr>
          <w:jc w:val="center"/>
        </w:trPr>
        <w:tc>
          <w:tcPr>
            <w:tcW w:w="8411" w:type="dxa"/>
          </w:tcPr>
          <w:p w14:paraId="2C082F47" w14:textId="4E3F8309" w:rsidR="006936C4" w:rsidRPr="00A52AB8" w:rsidRDefault="006936C4" w:rsidP="004F7C57">
            <w:pPr>
              <w:spacing w:before="20" w:after="20"/>
              <w:rPr>
                <w:b/>
                <w:color w:val="000000" w:themeColor="text1"/>
                <w:sz w:val="20"/>
                <w:szCs w:val="20"/>
              </w:rPr>
            </w:pPr>
            <w:r w:rsidRPr="00A52AB8">
              <w:rPr>
                <w:color w:val="000000" w:themeColor="text1"/>
                <w:sz w:val="20"/>
                <w:szCs w:val="20"/>
              </w:rPr>
              <w:tab/>
            </w:r>
            <w:r w:rsidRPr="00A52AB8">
              <w:rPr>
                <w:color w:val="000000" w:themeColor="text1"/>
                <w:sz w:val="20"/>
                <w:szCs w:val="20"/>
              </w:rPr>
              <w:tab/>
            </w:r>
            <w:r w:rsidRPr="00A52AB8">
              <w:rPr>
                <w:color w:val="000000" w:themeColor="text1"/>
                <w:sz w:val="20"/>
                <w:szCs w:val="20"/>
              </w:rPr>
              <w:tab/>
              <w:t>if(</w:t>
            </w:r>
            <w:r w:rsidR="00395064" w:rsidRPr="00A52AB8">
              <w:rPr>
                <w:color w:val="000000" w:themeColor="text1"/>
                <w:sz w:val="20"/>
                <w:szCs w:val="20"/>
              </w:rPr>
              <w:t> </w:t>
            </w:r>
            <w:r w:rsidRPr="00A52AB8">
              <w:rPr>
                <w:color w:val="000000" w:themeColor="text1"/>
                <w:sz w:val="20"/>
                <w:szCs w:val="20"/>
              </w:rPr>
              <w:t>vps_map_absolute_coding_enabled_flag</w:t>
            </w:r>
            <w:r w:rsidR="001F4484" w:rsidRPr="00A52AB8">
              <w:rPr>
                <w:color w:val="000000" w:themeColor="text1"/>
                <w:sz w:val="20"/>
                <w:szCs w:val="20"/>
              </w:rPr>
              <w:t>[ j ][ i ]</w:t>
            </w:r>
            <w:r w:rsidR="008768E9" w:rsidRPr="00A52AB8">
              <w:rPr>
                <w:color w:val="000000" w:themeColor="text1"/>
                <w:sz w:val="20"/>
                <w:szCs w:val="20"/>
              </w:rPr>
              <w:t> </w:t>
            </w:r>
            <w:r w:rsidR="00726AAE" w:rsidRPr="00A52AB8">
              <w:rPr>
                <w:color w:val="000000" w:themeColor="text1"/>
                <w:sz w:val="20"/>
                <w:szCs w:val="20"/>
              </w:rPr>
              <w:t>==</w:t>
            </w:r>
            <w:r w:rsidR="00D47707" w:rsidRPr="00A52AB8">
              <w:rPr>
                <w:color w:val="000000" w:themeColor="text1"/>
                <w:sz w:val="20"/>
                <w:szCs w:val="20"/>
              </w:rPr>
              <w:t> </w:t>
            </w:r>
            <w:r w:rsidRPr="00A52AB8">
              <w:rPr>
                <w:color w:val="000000" w:themeColor="text1"/>
                <w:sz w:val="20"/>
                <w:szCs w:val="20"/>
              </w:rPr>
              <w:t>0 </w:t>
            </w:r>
            <w:r w:rsidR="008F1F82" w:rsidRPr="00A52AB8">
              <w:rPr>
                <w:color w:val="000000" w:themeColor="text1"/>
                <w:sz w:val="20"/>
                <w:szCs w:val="20"/>
              </w:rPr>
              <w:t>) {</w:t>
            </w:r>
          </w:p>
        </w:tc>
        <w:tc>
          <w:tcPr>
            <w:tcW w:w="1331" w:type="dxa"/>
          </w:tcPr>
          <w:p w14:paraId="510A7415" w14:textId="77777777" w:rsidR="006936C4" w:rsidRPr="00A52AB8" w:rsidRDefault="006936C4" w:rsidP="004F7C57">
            <w:pPr>
              <w:spacing w:before="20" w:after="20"/>
              <w:jc w:val="center"/>
              <w:rPr>
                <w:color w:val="000000" w:themeColor="text1"/>
                <w:sz w:val="20"/>
                <w:szCs w:val="20"/>
              </w:rPr>
            </w:pPr>
          </w:p>
        </w:tc>
      </w:tr>
      <w:tr w:rsidR="006936C4" w:rsidRPr="00A52AB8" w14:paraId="4205095E" w14:textId="77777777" w:rsidTr="004A6049">
        <w:trPr>
          <w:jc w:val="center"/>
        </w:trPr>
        <w:tc>
          <w:tcPr>
            <w:tcW w:w="8411" w:type="dxa"/>
          </w:tcPr>
          <w:p w14:paraId="37FA1DBA" w14:textId="77777777" w:rsidR="006936C4" w:rsidRPr="00A52AB8" w:rsidRDefault="006936C4" w:rsidP="004F7C57">
            <w:pPr>
              <w:spacing w:before="20" w:after="20"/>
              <w:rPr>
                <w:b/>
                <w:color w:val="000000" w:themeColor="text1"/>
                <w:sz w:val="20"/>
                <w:szCs w:val="20"/>
              </w:rPr>
            </w:pPr>
            <w:r w:rsidRPr="00A52AB8">
              <w:rPr>
                <w:b/>
                <w:color w:val="000000" w:themeColor="text1"/>
                <w:sz w:val="20"/>
                <w:szCs w:val="20"/>
              </w:rPr>
              <w:tab/>
            </w:r>
            <w:r w:rsidRPr="00A52AB8">
              <w:rPr>
                <w:b/>
                <w:color w:val="000000" w:themeColor="text1"/>
                <w:sz w:val="20"/>
                <w:szCs w:val="20"/>
              </w:rPr>
              <w:tab/>
            </w:r>
            <w:r w:rsidRPr="00A52AB8">
              <w:rPr>
                <w:b/>
                <w:color w:val="000000" w:themeColor="text1"/>
                <w:sz w:val="20"/>
                <w:szCs w:val="20"/>
              </w:rPr>
              <w:tab/>
            </w:r>
            <w:r w:rsidRPr="00A52AB8">
              <w:rPr>
                <w:b/>
                <w:color w:val="000000" w:themeColor="text1"/>
                <w:sz w:val="20"/>
                <w:szCs w:val="20"/>
              </w:rPr>
              <w:tab/>
              <w:t>vps_map_predictor_index_diff</w:t>
            </w:r>
            <w:r w:rsidR="001F4484" w:rsidRPr="00A52AB8">
              <w:rPr>
                <w:bCs/>
                <w:color w:val="000000" w:themeColor="text1"/>
                <w:sz w:val="20"/>
                <w:szCs w:val="20"/>
              </w:rPr>
              <w:t>[ j ][ i ]</w:t>
            </w:r>
          </w:p>
        </w:tc>
        <w:tc>
          <w:tcPr>
            <w:tcW w:w="1331" w:type="dxa"/>
          </w:tcPr>
          <w:p w14:paraId="11534183" w14:textId="77777777" w:rsidR="006936C4" w:rsidRPr="00A52AB8" w:rsidRDefault="006936C4" w:rsidP="004F7C57">
            <w:pPr>
              <w:spacing w:before="20" w:after="20"/>
              <w:jc w:val="center"/>
              <w:rPr>
                <w:color w:val="000000" w:themeColor="text1"/>
                <w:sz w:val="20"/>
                <w:szCs w:val="20"/>
              </w:rPr>
            </w:pPr>
            <w:r w:rsidRPr="00A52AB8">
              <w:rPr>
                <w:color w:val="000000" w:themeColor="text1"/>
                <w:sz w:val="20"/>
                <w:szCs w:val="20"/>
              </w:rPr>
              <w:t>ue(v)</w:t>
            </w:r>
          </w:p>
        </w:tc>
      </w:tr>
      <w:tr w:rsidR="006936C4" w:rsidRPr="00A52AB8" w14:paraId="4F1BACFE" w14:textId="77777777" w:rsidTr="004A6049">
        <w:trPr>
          <w:jc w:val="center"/>
        </w:trPr>
        <w:tc>
          <w:tcPr>
            <w:tcW w:w="8411" w:type="dxa"/>
          </w:tcPr>
          <w:p w14:paraId="56453FA0" w14:textId="77777777" w:rsidR="006936C4" w:rsidRPr="00A52AB8" w:rsidRDefault="006936C4" w:rsidP="004F7C57">
            <w:pPr>
              <w:spacing w:before="20" w:after="20"/>
              <w:rPr>
                <w:color w:val="000000" w:themeColor="text1"/>
                <w:sz w:val="20"/>
                <w:szCs w:val="20"/>
              </w:rPr>
            </w:pPr>
            <w:r w:rsidRPr="00A52AB8">
              <w:rPr>
                <w:color w:val="000000" w:themeColor="text1"/>
                <w:sz w:val="20"/>
                <w:szCs w:val="20"/>
              </w:rPr>
              <w:tab/>
            </w:r>
            <w:r w:rsidRPr="00A52AB8">
              <w:rPr>
                <w:color w:val="000000" w:themeColor="text1"/>
                <w:sz w:val="20"/>
                <w:szCs w:val="20"/>
              </w:rPr>
              <w:tab/>
            </w:r>
            <w:r w:rsidRPr="00A52AB8">
              <w:rPr>
                <w:color w:val="000000" w:themeColor="text1"/>
                <w:sz w:val="20"/>
                <w:szCs w:val="20"/>
              </w:rPr>
              <w:tab/>
              <w:t>}</w:t>
            </w:r>
          </w:p>
        </w:tc>
        <w:tc>
          <w:tcPr>
            <w:tcW w:w="1331" w:type="dxa"/>
          </w:tcPr>
          <w:p w14:paraId="39A6CD38" w14:textId="77777777" w:rsidR="006936C4" w:rsidRPr="00A52AB8" w:rsidRDefault="006936C4" w:rsidP="004F7C57">
            <w:pPr>
              <w:spacing w:before="20" w:after="20"/>
              <w:jc w:val="center"/>
              <w:rPr>
                <w:color w:val="000000" w:themeColor="text1"/>
                <w:sz w:val="20"/>
                <w:szCs w:val="20"/>
              </w:rPr>
            </w:pPr>
          </w:p>
        </w:tc>
      </w:tr>
      <w:tr w:rsidR="006936C4" w:rsidRPr="00A52AB8" w14:paraId="7806EC04" w14:textId="77777777" w:rsidTr="004A6049">
        <w:trPr>
          <w:jc w:val="center"/>
        </w:trPr>
        <w:tc>
          <w:tcPr>
            <w:tcW w:w="8411" w:type="dxa"/>
          </w:tcPr>
          <w:p w14:paraId="73C86955" w14:textId="77777777" w:rsidR="006936C4" w:rsidRPr="00A52AB8" w:rsidRDefault="006936C4" w:rsidP="004F7C57">
            <w:pPr>
              <w:spacing w:before="20" w:after="20"/>
              <w:rPr>
                <w:bCs/>
                <w:color w:val="000000" w:themeColor="text1"/>
                <w:sz w:val="20"/>
                <w:szCs w:val="20"/>
              </w:rPr>
            </w:pPr>
            <w:r w:rsidRPr="00A52AB8">
              <w:rPr>
                <w:bCs/>
                <w:color w:val="000000" w:themeColor="text1"/>
                <w:sz w:val="20"/>
                <w:szCs w:val="20"/>
              </w:rPr>
              <w:tab/>
            </w:r>
            <w:r w:rsidRPr="00A52AB8">
              <w:rPr>
                <w:bCs/>
                <w:color w:val="000000" w:themeColor="text1"/>
                <w:sz w:val="20"/>
                <w:szCs w:val="20"/>
              </w:rPr>
              <w:tab/>
              <w:t>}</w:t>
            </w:r>
          </w:p>
        </w:tc>
        <w:tc>
          <w:tcPr>
            <w:tcW w:w="1331" w:type="dxa"/>
          </w:tcPr>
          <w:p w14:paraId="6A7DD2A5" w14:textId="77777777" w:rsidR="006936C4" w:rsidRPr="00A52AB8" w:rsidRDefault="006936C4" w:rsidP="004F7C57">
            <w:pPr>
              <w:spacing w:before="20" w:after="20"/>
              <w:jc w:val="center"/>
              <w:rPr>
                <w:bCs/>
                <w:color w:val="000000" w:themeColor="text1"/>
                <w:sz w:val="20"/>
                <w:szCs w:val="20"/>
              </w:rPr>
            </w:pPr>
          </w:p>
        </w:tc>
      </w:tr>
      <w:tr w:rsidR="006936C4" w:rsidRPr="00A52AB8" w14:paraId="2A0F5709" w14:textId="77777777" w:rsidTr="004A6049">
        <w:trPr>
          <w:jc w:val="center"/>
        </w:trPr>
        <w:tc>
          <w:tcPr>
            <w:tcW w:w="8411" w:type="dxa"/>
          </w:tcPr>
          <w:p w14:paraId="3C993AC2" w14:textId="77777777" w:rsidR="006936C4" w:rsidRPr="00A52AB8" w:rsidRDefault="006936C4" w:rsidP="004F7C57">
            <w:pPr>
              <w:spacing w:before="20" w:after="20"/>
              <w:rPr>
                <w:b/>
                <w:color w:val="000000" w:themeColor="text1"/>
                <w:sz w:val="20"/>
                <w:szCs w:val="20"/>
              </w:rPr>
            </w:pPr>
            <w:r w:rsidRPr="00A52AB8">
              <w:rPr>
                <w:b/>
                <w:color w:val="000000" w:themeColor="text1"/>
                <w:sz w:val="20"/>
                <w:szCs w:val="20"/>
              </w:rPr>
              <w:tab/>
            </w:r>
            <w:r w:rsidRPr="00A52AB8">
              <w:rPr>
                <w:b/>
                <w:color w:val="000000" w:themeColor="text1"/>
                <w:sz w:val="20"/>
                <w:szCs w:val="20"/>
              </w:rPr>
              <w:tab/>
              <w:t>vps_</w:t>
            </w:r>
            <w:r w:rsidR="00C30138" w:rsidRPr="00A52AB8">
              <w:rPr>
                <w:b/>
                <w:color w:val="000000" w:themeColor="text1"/>
                <w:sz w:val="20"/>
                <w:szCs w:val="20"/>
              </w:rPr>
              <w:t>auxiliary</w:t>
            </w:r>
            <w:r w:rsidRPr="00A52AB8">
              <w:rPr>
                <w:b/>
                <w:color w:val="000000" w:themeColor="text1"/>
                <w:sz w:val="20"/>
                <w:szCs w:val="20"/>
              </w:rPr>
              <w:t>_video_present_flag</w:t>
            </w:r>
            <w:r w:rsidR="001F4484" w:rsidRPr="00A52AB8">
              <w:rPr>
                <w:bCs/>
                <w:color w:val="000000" w:themeColor="text1"/>
                <w:sz w:val="20"/>
                <w:szCs w:val="20"/>
              </w:rPr>
              <w:t>[ j ]</w:t>
            </w:r>
          </w:p>
        </w:tc>
        <w:tc>
          <w:tcPr>
            <w:tcW w:w="1331" w:type="dxa"/>
          </w:tcPr>
          <w:p w14:paraId="5D6FEE21" w14:textId="77777777" w:rsidR="006936C4" w:rsidRPr="00A52AB8" w:rsidRDefault="006936C4" w:rsidP="004F7C57">
            <w:pPr>
              <w:spacing w:before="20" w:after="20"/>
              <w:jc w:val="center"/>
              <w:rPr>
                <w:color w:val="000000" w:themeColor="text1"/>
                <w:sz w:val="20"/>
                <w:szCs w:val="20"/>
              </w:rPr>
            </w:pPr>
            <w:r w:rsidRPr="00A52AB8">
              <w:rPr>
                <w:color w:val="000000" w:themeColor="text1"/>
                <w:sz w:val="20"/>
                <w:szCs w:val="20"/>
              </w:rPr>
              <w:t>u(1)</w:t>
            </w:r>
          </w:p>
        </w:tc>
      </w:tr>
      <w:tr w:rsidR="0069257B" w:rsidRPr="00A52AB8" w14:paraId="6AFFCE1F" w14:textId="77777777" w:rsidTr="004A6049">
        <w:trPr>
          <w:jc w:val="center"/>
        </w:trPr>
        <w:tc>
          <w:tcPr>
            <w:tcW w:w="8411" w:type="dxa"/>
          </w:tcPr>
          <w:p w14:paraId="298AAF17" w14:textId="77777777" w:rsidR="0069257B" w:rsidRPr="00A52AB8" w:rsidRDefault="009863BD" w:rsidP="004F7C57">
            <w:pPr>
              <w:spacing w:before="20" w:after="20"/>
              <w:rPr>
                <w:b/>
                <w:color w:val="000000" w:themeColor="text1"/>
                <w:sz w:val="20"/>
                <w:szCs w:val="20"/>
              </w:rPr>
            </w:pPr>
            <w:r w:rsidRPr="00A52AB8">
              <w:rPr>
                <w:b/>
                <w:bCs/>
                <w:color w:val="000000" w:themeColor="text1"/>
                <w:sz w:val="20"/>
                <w:szCs w:val="20"/>
              </w:rPr>
              <w:tab/>
            </w:r>
            <w:r w:rsidRPr="00A52AB8">
              <w:rPr>
                <w:b/>
                <w:bCs/>
                <w:color w:val="000000" w:themeColor="text1"/>
                <w:sz w:val="20"/>
                <w:szCs w:val="20"/>
              </w:rPr>
              <w:tab/>
              <w:t>vps_occupancy_video_present_flag</w:t>
            </w:r>
            <w:r w:rsidRPr="00A52AB8">
              <w:rPr>
                <w:bCs/>
                <w:color w:val="000000" w:themeColor="text1"/>
                <w:sz w:val="20"/>
                <w:szCs w:val="20"/>
              </w:rPr>
              <w:t>[ j ]</w:t>
            </w:r>
          </w:p>
        </w:tc>
        <w:tc>
          <w:tcPr>
            <w:tcW w:w="1331" w:type="dxa"/>
          </w:tcPr>
          <w:p w14:paraId="486BCF62" w14:textId="77777777" w:rsidR="0069257B" w:rsidRPr="00A52AB8" w:rsidRDefault="005B7AC7" w:rsidP="004F7C57">
            <w:pPr>
              <w:spacing w:before="20" w:after="20"/>
              <w:jc w:val="center"/>
              <w:rPr>
                <w:color w:val="000000" w:themeColor="text1"/>
                <w:sz w:val="20"/>
                <w:szCs w:val="20"/>
              </w:rPr>
            </w:pPr>
            <w:r w:rsidRPr="00A52AB8">
              <w:rPr>
                <w:color w:val="000000" w:themeColor="text1"/>
                <w:sz w:val="20"/>
                <w:szCs w:val="20"/>
              </w:rPr>
              <w:t>u(1)</w:t>
            </w:r>
          </w:p>
        </w:tc>
      </w:tr>
      <w:tr w:rsidR="0069257B" w:rsidRPr="00A52AB8" w14:paraId="5FE6E17A" w14:textId="77777777" w:rsidTr="004A6049">
        <w:trPr>
          <w:jc w:val="center"/>
        </w:trPr>
        <w:tc>
          <w:tcPr>
            <w:tcW w:w="8411" w:type="dxa"/>
          </w:tcPr>
          <w:p w14:paraId="72936E33" w14:textId="77777777" w:rsidR="0069257B" w:rsidRPr="00A52AB8" w:rsidRDefault="00474DF8" w:rsidP="004F7C57">
            <w:pPr>
              <w:spacing w:before="20" w:after="20"/>
              <w:rPr>
                <w:b/>
                <w:color w:val="000000" w:themeColor="text1"/>
                <w:sz w:val="20"/>
                <w:szCs w:val="20"/>
              </w:rPr>
            </w:pPr>
            <w:r w:rsidRPr="00A52AB8">
              <w:rPr>
                <w:b/>
                <w:bCs/>
                <w:color w:val="000000" w:themeColor="text1"/>
                <w:sz w:val="20"/>
                <w:szCs w:val="20"/>
              </w:rPr>
              <w:tab/>
            </w:r>
            <w:r w:rsidRPr="00A52AB8">
              <w:rPr>
                <w:b/>
                <w:bCs/>
                <w:color w:val="000000" w:themeColor="text1"/>
                <w:sz w:val="20"/>
                <w:szCs w:val="20"/>
              </w:rPr>
              <w:tab/>
              <w:t>vps_</w:t>
            </w:r>
            <w:r w:rsidR="00281B67" w:rsidRPr="00A52AB8">
              <w:rPr>
                <w:b/>
                <w:bCs/>
                <w:color w:val="000000" w:themeColor="text1"/>
                <w:sz w:val="20"/>
                <w:szCs w:val="20"/>
              </w:rPr>
              <w:t>geometry</w:t>
            </w:r>
            <w:r w:rsidRPr="00A52AB8">
              <w:rPr>
                <w:b/>
                <w:bCs/>
                <w:color w:val="000000" w:themeColor="text1"/>
                <w:sz w:val="20"/>
                <w:szCs w:val="20"/>
              </w:rPr>
              <w:t>_video_present_flag</w:t>
            </w:r>
            <w:r w:rsidRPr="00A52AB8">
              <w:rPr>
                <w:bCs/>
                <w:color w:val="000000" w:themeColor="text1"/>
                <w:sz w:val="20"/>
                <w:szCs w:val="20"/>
              </w:rPr>
              <w:t>[ j ]</w:t>
            </w:r>
          </w:p>
        </w:tc>
        <w:tc>
          <w:tcPr>
            <w:tcW w:w="1331" w:type="dxa"/>
          </w:tcPr>
          <w:p w14:paraId="1CF78CF2" w14:textId="77777777" w:rsidR="0069257B" w:rsidRPr="00A52AB8" w:rsidRDefault="005B7AC7" w:rsidP="004F7C57">
            <w:pPr>
              <w:spacing w:before="20" w:after="20"/>
              <w:jc w:val="center"/>
              <w:rPr>
                <w:color w:val="000000" w:themeColor="text1"/>
                <w:sz w:val="20"/>
                <w:szCs w:val="20"/>
              </w:rPr>
            </w:pPr>
            <w:r w:rsidRPr="00A52AB8">
              <w:rPr>
                <w:color w:val="000000" w:themeColor="text1"/>
                <w:sz w:val="20"/>
                <w:szCs w:val="20"/>
              </w:rPr>
              <w:t>u(1)</w:t>
            </w:r>
          </w:p>
        </w:tc>
      </w:tr>
      <w:tr w:rsidR="00395064" w:rsidRPr="00A52AB8" w14:paraId="21117D5D" w14:textId="77777777" w:rsidTr="004A6049">
        <w:trPr>
          <w:jc w:val="center"/>
        </w:trPr>
        <w:tc>
          <w:tcPr>
            <w:tcW w:w="8411" w:type="dxa"/>
          </w:tcPr>
          <w:p w14:paraId="5FFA8ADE" w14:textId="5590779F" w:rsidR="00395064" w:rsidRPr="00A52AB8" w:rsidRDefault="00395064" w:rsidP="004F7C57">
            <w:pPr>
              <w:spacing w:before="20" w:after="20"/>
              <w:rPr>
                <w:color w:val="000000" w:themeColor="text1"/>
                <w:sz w:val="20"/>
                <w:szCs w:val="20"/>
              </w:rPr>
            </w:pPr>
            <w:r w:rsidRPr="00A52AB8">
              <w:rPr>
                <w:b/>
                <w:bCs/>
                <w:color w:val="000000" w:themeColor="text1"/>
                <w:sz w:val="20"/>
                <w:szCs w:val="20"/>
              </w:rPr>
              <w:tab/>
            </w:r>
            <w:r w:rsidRPr="00A52AB8">
              <w:rPr>
                <w:b/>
                <w:bCs/>
                <w:color w:val="000000" w:themeColor="text1"/>
                <w:sz w:val="20"/>
                <w:szCs w:val="20"/>
              </w:rPr>
              <w:tab/>
              <w:t>vps_attribute_video_present_flag</w:t>
            </w:r>
            <w:r w:rsidRPr="00A52AB8">
              <w:rPr>
                <w:color w:val="000000" w:themeColor="text1"/>
                <w:sz w:val="20"/>
                <w:szCs w:val="20"/>
              </w:rPr>
              <w:t>[ j ]</w:t>
            </w:r>
          </w:p>
        </w:tc>
        <w:tc>
          <w:tcPr>
            <w:tcW w:w="1331" w:type="dxa"/>
          </w:tcPr>
          <w:p w14:paraId="29AE5C23" w14:textId="12E55DE2" w:rsidR="00395064" w:rsidRPr="00A52AB8" w:rsidRDefault="00395064" w:rsidP="004F7C57">
            <w:pPr>
              <w:spacing w:before="20" w:after="20"/>
              <w:jc w:val="center"/>
              <w:rPr>
                <w:color w:val="000000" w:themeColor="text1"/>
                <w:sz w:val="20"/>
                <w:szCs w:val="20"/>
              </w:rPr>
            </w:pPr>
            <w:r w:rsidRPr="00A52AB8">
              <w:rPr>
                <w:color w:val="000000" w:themeColor="text1"/>
                <w:sz w:val="20"/>
                <w:szCs w:val="20"/>
              </w:rPr>
              <w:t>u(1)</w:t>
            </w:r>
          </w:p>
        </w:tc>
      </w:tr>
      <w:tr w:rsidR="005B7AC7" w:rsidRPr="00A52AB8" w14:paraId="7B500A0C" w14:textId="77777777" w:rsidTr="004A6049">
        <w:trPr>
          <w:jc w:val="center"/>
        </w:trPr>
        <w:tc>
          <w:tcPr>
            <w:tcW w:w="8411" w:type="dxa"/>
          </w:tcPr>
          <w:p w14:paraId="277248B6" w14:textId="194C9DC6" w:rsidR="005B7AC7" w:rsidRPr="00A52AB8" w:rsidRDefault="005B7AC7" w:rsidP="004F7C57">
            <w:pPr>
              <w:spacing w:before="20" w:after="20"/>
              <w:rPr>
                <w:b/>
                <w:color w:val="000000" w:themeColor="text1"/>
                <w:sz w:val="20"/>
                <w:szCs w:val="20"/>
              </w:rPr>
            </w:pPr>
            <w:r w:rsidRPr="00A52AB8">
              <w:rPr>
                <w:color w:val="000000" w:themeColor="text1"/>
                <w:sz w:val="20"/>
                <w:szCs w:val="20"/>
              </w:rPr>
              <w:tab/>
            </w:r>
            <w:r w:rsidRPr="00A52AB8">
              <w:rPr>
                <w:color w:val="000000" w:themeColor="text1"/>
                <w:sz w:val="20"/>
                <w:szCs w:val="20"/>
              </w:rPr>
              <w:tab/>
              <w:t>if(</w:t>
            </w:r>
            <w:r w:rsidR="00395064" w:rsidRPr="00A52AB8">
              <w:rPr>
                <w:color w:val="000000" w:themeColor="text1"/>
                <w:sz w:val="20"/>
                <w:szCs w:val="20"/>
              </w:rPr>
              <w:t> </w:t>
            </w:r>
            <w:r w:rsidR="00281B67" w:rsidRPr="00A52AB8">
              <w:rPr>
                <w:color w:val="000000" w:themeColor="text1"/>
                <w:sz w:val="20"/>
                <w:szCs w:val="20"/>
              </w:rPr>
              <w:t>vps_occupancy_video_present_flag</w:t>
            </w:r>
            <w:r w:rsidRPr="00A52AB8">
              <w:rPr>
                <w:color w:val="000000" w:themeColor="text1"/>
                <w:sz w:val="20"/>
                <w:szCs w:val="20"/>
              </w:rPr>
              <w:t>[ j ]</w:t>
            </w:r>
            <w:r w:rsidR="00395064" w:rsidRPr="00A52AB8">
              <w:rPr>
                <w:color w:val="000000" w:themeColor="text1"/>
                <w:sz w:val="20"/>
                <w:szCs w:val="20"/>
              </w:rPr>
              <w:t> </w:t>
            </w:r>
            <w:r w:rsidRPr="00A52AB8">
              <w:rPr>
                <w:color w:val="000000" w:themeColor="text1"/>
                <w:sz w:val="20"/>
                <w:szCs w:val="20"/>
              </w:rPr>
              <w:t>)</w:t>
            </w:r>
          </w:p>
        </w:tc>
        <w:tc>
          <w:tcPr>
            <w:tcW w:w="1331" w:type="dxa"/>
          </w:tcPr>
          <w:p w14:paraId="665C3AFE" w14:textId="77777777" w:rsidR="005B7AC7" w:rsidRPr="00A52AB8" w:rsidRDefault="005B7AC7" w:rsidP="004F7C57">
            <w:pPr>
              <w:spacing w:before="20" w:after="20"/>
              <w:jc w:val="center"/>
              <w:rPr>
                <w:color w:val="000000" w:themeColor="text1"/>
                <w:sz w:val="20"/>
                <w:szCs w:val="20"/>
              </w:rPr>
            </w:pPr>
          </w:p>
        </w:tc>
      </w:tr>
      <w:tr w:rsidR="006936C4" w:rsidRPr="00A52AB8" w14:paraId="490D15E2" w14:textId="77777777" w:rsidTr="004A6049">
        <w:trPr>
          <w:jc w:val="center"/>
        </w:trPr>
        <w:tc>
          <w:tcPr>
            <w:tcW w:w="8411" w:type="dxa"/>
          </w:tcPr>
          <w:p w14:paraId="489E5E27" w14:textId="77777777" w:rsidR="006936C4" w:rsidRPr="00A52AB8" w:rsidRDefault="006936C4" w:rsidP="004F7C57">
            <w:pPr>
              <w:spacing w:before="20" w:after="20"/>
              <w:rPr>
                <w:color w:val="000000" w:themeColor="text1"/>
                <w:sz w:val="20"/>
                <w:szCs w:val="20"/>
              </w:rPr>
            </w:pPr>
            <w:r w:rsidRPr="00A52AB8">
              <w:rPr>
                <w:b/>
                <w:color w:val="000000" w:themeColor="text1"/>
                <w:sz w:val="20"/>
                <w:szCs w:val="20"/>
              </w:rPr>
              <w:tab/>
            </w:r>
            <w:r w:rsidRPr="00A52AB8">
              <w:rPr>
                <w:b/>
                <w:color w:val="000000" w:themeColor="text1"/>
                <w:sz w:val="20"/>
                <w:szCs w:val="20"/>
              </w:rPr>
              <w:tab/>
            </w:r>
            <w:r w:rsidR="005B7AC7" w:rsidRPr="00A52AB8">
              <w:rPr>
                <w:b/>
                <w:color w:val="000000" w:themeColor="text1"/>
                <w:sz w:val="20"/>
                <w:szCs w:val="20"/>
              </w:rPr>
              <w:tab/>
            </w:r>
            <w:r w:rsidRPr="00A52AB8">
              <w:rPr>
                <w:color w:val="000000" w:themeColor="text1"/>
                <w:sz w:val="20"/>
                <w:szCs w:val="20"/>
              </w:rPr>
              <w:t>occupancy_information( j )</w:t>
            </w:r>
          </w:p>
        </w:tc>
        <w:tc>
          <w:tcPr>
            <w:tcW w:w="1331" w:type="dxa"/>
          </w:tcPr>
          <w:p w14:paraId="7E8ED84E" w14:textId="77777777" w:rsidR="006936C4" w:rsidRPr="00A52AB8" w:rsidRDefault="006936C4" w:rsidP="004F7C57">
            <w:pPr>
              <w:spacing w:before="20" w:after="20"/>
              <w:jc w:val="center"/>
              <w:rPr>
                <w:color w:val="000000" w:themeColor="text1"/>
                <w:sz w:val="20"/>
                <w:szCs w:val="20"/>
              </w:rPr>
            </w:pPr>
          </w:p>
        </w:tc>
      </w:tr>
      <w:tr w:rsidR="005B7AC7" w:rsidRPr="00A52AB8" w14:paraId="142BA797" w14:textId="77777777" w:rsidTr="004A6049">
        <w:trPr>
          <w:jc w:val="center"/>
        </w:trPr>
        <w:tc>
          <w:tcPr>
            <w:tcW w:w="8411" w:type="dxa"/>
          </w:tcPr>
          <w:p w14:paraId="160D4829" w14:textId="52E1F881" w:rsidR="005B7AC7" w:rsidRPr="00A52AB8" w:rsidRDefault="005B7AC7" w:rsidP="004F7C57">
            <w:pPr>
              <w:spacing w:before="20" w:after="20"/>
              <w:rPr>
                <w:b/>
                <w:color w:val="000000" w:themeColor="text1"/>
                <w:sz w:val="20"/>
                <w:szCs w:val="20"/>
              </w:rPr>
            </w:pPr>
            <w:r w:rsidRPr="00A52AB8">
              <w:rPr>
                <w:color w:val="000000" w:themeColor="text1"/>
                <w:sz w:val="20"/>
                <w:szCs w:val="20"/>
              </w:rPr>
              <w:tab/>
            </w:r>
            <w:r w:rsidRPr="00A52AB8">
              <w:rPr>
                <w:color w:val="000000" w:themeColor="text1"/>
                <w:sz w:val="20"/>
                <w:szCs w:val="20"/>
              </w:rPr>
              <w:tab/>
              <w:t>if(</w:t>
            </w:r>
            <w:r w:rsidR="00395064" w:rsidRPr="00A52AB8">
              <w:rPr>
                <w:color w:val="000000" w:themeColor="text1"/>
                <w:sz w:val="20"/>
                <w:szCs w:val="20"/>
              </w:rPr>
              <w:t> </w:t>
            </w:r>
            <w:r w:rsidR="00281B67" w:rsidRPr="00A52AB8">
              <w:rPr>
                <w:color w:val="000000" w:themeColor="text1"/>
                <w:sz w:val="20"/>
                <w:szCs w:val="20"/>
              </w:rPr>
              <w:t>vps_geometry_video_present_flag</w:t>
            </w:r>
            <w:r w:rsidRPr="00A52AB8">
              <w:rPr>
                <w:color w:val="000000" w:themeColor="text1"/>
                <w:sz w:val="20"/>
                <w:szCs w:val="20"/>
              </w:rPr>
              <w:t>[ j ]</w:t>
            </w:r>
            <w:r w:rsidR="00395064" w:rsidRPr="00A52AB8">
              <w:rPr>
                <w:color w:val="000000" w:themeColor="text1"/>
                <w:sz w:val="20"/>
                <w:szCs w:val="20"/>
              </w:rPr>
              <w:t> </w:t>
            </w:r>
            <w:r w:rsidRPr="00A52AB8">
              <w:rPr>
                <w:color w:val="000000" w:themeColor="text1"/>
                <w:sz w:val="20"/>
                <w:szCs w:val="20"/>
              </w:rPr>
              <w:t>)</w:t>
            </w:r>
          </w:p>
        </w:tc>
        <w:tc>
          <w:tcPr>
            <w:tcW w:w="1331" w:type="dxa"/>
          </w:tcPr>
          <w:p w14:paraId="16960432" w14:textId="77777777" w:rsidR="005B7AC7" w:rsidRPr="00A52AB8" w:rsidRDefault="005B7AC7" w:rsidP="004F7C57">
            <w:pPr>
              <w:spacing w:before="20" w:after="20"/>
              <w:jc w:val="center"/>
              <w:rPr>
                <w:color w:val="000000" w:themeColor="text1"/>
                <w:sz w:val="20"/>
                <w:szCs w:val="20"/>
              </w:rPr>
            </w:pPr>
          </w:p>
        </w:tc>
      </w:tr>
      <w:tr w:rsidR="006936C4" w:rsidRPr="00A52AB8" w14:paraId="605BBD13" w14:textId="77777777" w:rsidTr="004A6049">
        <w:trPr>
          <w:jc w:val="center"/>
        </w:trPr>
        <w:tc>
          <w:tcPr>
            <w:tcW w:w="8411" w:type="dxa"/>
          </w:tcPr>
          <w:p w14:paraId="69C912E3" w14:textId="77777777" w:rsidR="006936C4" w:rsidRPr="00A52AB8" w:rsidRDefault="006936C4" w:rsidP="004F7C57">
            <w:pPr>
              <w:spacing w:before="20" w:after="20"/>
              <w:rPr>
                <w:color w:val="000000" w:themeColor="text1"/>
                <w:sz w:val="20"/>
                <w:szCs w:val="20"/>
              </w:rPr>
            </w:pPr>
            <w:r w:rsidRPr="00A52AB8">
              <w:rPr>
                <w:b/>
                <w:color w:val="000000" w:themeColor="text1"/>
                <w:sz w:val="20"/>
                <w:szCs w:val="20"/>
              </w:rPr>
              <w:tab/>
            </w:r>
            <w:r w:rsidRPr="00A52AB8">
              <w:rPr>
                <w:b/>
                <w:color w:val="000000" w:themeColor="text1"/>
                <w:sz w:val="20"/>
                <w:szCs w:val="20"/>
              </w:rPr>
              <w:tab/>
            </w:r>
            <w:r w:rsidR="005B7AC7" w:rsidRPr="00A52AB8">
              <w:rPr>
                <w:b/>
                <w:color w:val="000000" w:themeColor="text1"/>
                <w:sz w:val="20"/>
                <w:szCs w:val="20"/>
              </w:rPr>
              <w:tab/>
            </w:r>
            <w:r w:rsidRPr="00A52AB8">
              <w:rPr>
                <w:color w:val="000000" w:themeColor="text1"/>
                <w:sz w:val="20"/>
                <w:szCs w:val="20"/>
              </w:rPr>
              <w:t>geometry_information( j )</w:t>
            </w:r>
          </w:p>
        </w:tc>
        <w:tc>
          <w:tcPr>
            <w:tcW w:w="1331" w:type="dxa"/>
          </w:tcPr>
          <w:p w14:paraId="61E66FCC" w14:textId="77777777" w:rsidR="006936C4" w:rsidRPr="00A52AB8" w:rsidRDefault="006936C4" w:rsidP="004F7C57">
            <w:pPr>
              <w:spacing w:before="20" w:after="20"/>
              <w:jc w:val="center"/>
              <w:rPr>
                <w:color w:val="000000" w:themeColor="text1"/>
                <w:sz w:val="20"/>
                <w:szCs w:val="20"/>
              </w:rPr>
            </w:pPr>
          </w:p>
        </w:tc>
      </w:tr>
      <w:tr w:rsidR="005B7AC7" w:rsidRPr="00A52AB8" w14:paraId="58FAF947" w14:textId="77777777" w:rsidTr="004A6049">
        <w:trPr>
          <w:jc w:val="center"/>
        </w:trPr>
        <w:tc>
          <w:tcPr>
            <w:tcW w:w="8411" w:type="dxa"/>
          </w:tcPr>
          <w:p w14:paraId="3A71652F" w14:textId="42075A2F" w:rsidR="005B7AC7" w:rsidRPr="00A52AB8" w:rsidRDefault="005B7AC7" w:rsidP="004F7C57">
            <w:pPr>
              <w:spacing w:before="20" w:after="20"/>
              <w:rPr>
                <w:b/>
                <w:color w:val="000000" w:themeColor="text1"/>
                <w:sz w:val="20"/>
                <w:szCs w:val="20"/>
              </w:rPr>
            </w:pPr>
            <w:r w:rsidRPr="00A52AB8">
              <w:rPr>
                <w:color w:val="000000" w:themeColor="text1"/>
                <w:sz w:val="20"/>
                <w:szCs w:val="20"/>
              </w:rPr>
              <w:tab/>
            </w:r>
            <w:r w:rsidRPr="00A52AB8">
              <w:rPr>
                <w:color w:val="000000" w:themeColor="text1"/>
                <w:sz w:val="20"/>
                <w:szCs w:val="20"/>
              </w:rPr>
              <w:tab/>
              <w:t>if(</w:t>
            </w:r>
            <w:r w:rsidR="00395064" w:rsidRPr="00A52AB8">
              <w:rPr>
                <w:color w:val="000000" w:themeColor="text1"/>
                <w:sz w:val="20"/>
                <w:szCs w:val="20"/>
              </w:rPr>
              <w:t> </w:t>
            </w:r>
            <w:r w:rsidR="00281B67" w:rsidRPr="00A52AB8">
              <w:rPr>
                <w:color w:val="000000" w:themeColor="text1"/>
                <w:sz w:val="20"/>
                <w:szCs w:val="20"/>
              </w:rPr>
              <w:t>vps_attribute_video_present_flag</w:t>
            </w:r>
            <w:r w:rsidRPr="00A52AB8">
              <w:rPr>
                <w:color w:val="000000" w:themeColor="text1"/>
                <w:sz w:val="20"/>
                <w:szCs w:val="20"/>
              </w:rPr>
              <w:t>[ j ]</w:t>
            </w:r>
            <w:r w:rsidR="00395064" w:rsidRPr="00A52AB8">
              <w:rPr>
                <w:color w:val="000000" w:themeColor="text1"/>
                <w:sz w:val="20"/>
                <w:szCs w:val="20"/>
              </w:rPr>
              <w:t> </w:t>
            </w:r>
            <w:r w:rsidRPr="00A52AB8">
              <w:rPr>
                <w:color w:val="000000" w:themeColor="text1"/>
                <w:sz w:val="20"/>
                <w:szCs w:val="20"/>
              </w:rPr>
              <w:t>)</w:t>
            </w:r>
          </w:p>
        </w:tc>
        <w:tc>
          <w:tcPr>
            <w:tcW w:w="1331" w:type="dxa"/>
          </w:tcPr>
          <w:p w14:paraId="2B438967" w14:textId="77777777" w:rsidR="005B7AC7" w:rsidRPr="00A52AB8" w:rsidRDefault="005B7AC7" w:rsidP="004F7C57">
            <w:pPr>
              <w:spacing w:before="20" w:after="20"/>
              <w:jc w:val="center"/>
              <w:rPr>
                <w:color w:val="000000" w:themeColor="text1"/>
                <w:sz w:val="20"/>
                <w:szCs w:val="20"/>
              </w:rPr>
            </w:pPr>
          </w:p>
        </w:tc>
      </w:tr>
      <w:tr w:rsidR="006936C4" w:rsidRPr="00A52AB8" w14:paraId="73265A1D" w14:textId="77777777" w:rsidTr="004A6049">
        <w:trPr>
          <w:jc w:val="center"/>
        </w:trPr>
        <w:tc>
          <w:tcPr>
            <w:tcW w:w="8411" w:type="dxa"/>
          </w:tcPr>
          <w:p w14:paraId="2F39EFDC" w14:textId="77777777" w:rsidR="006936C4" w:rsidRPr="00A52AB8" w:rsidRDefault="006936C4" w:rsidP="004F7C57">
            <w:pPr>
              <w:spacing w:before="20" w:after="20"/>
              <w:rPr>
                <w:color w:val="000000" w:themeColor="text1"/>
                <w:sz w:val="20"/>
                <w:szCs w:val="20"/>
              </w:rPr>
            </w:pPr>
            <w:r w:rsidRPr="00A52AB8">
              <w:rPr>
                <w:b/>
                <w:color w:val="000000" w:themeColor="text1"/>
                <w:sz w:val="20"/>
                <w:szCs w:val="20"/>
              </w:rPr>
              <w:tab/>
            </w:r>
            <w:r w:rsidRPr="00A52AB8">
              <w:rPr>
                <w:b/>
                <w:color w:val="000000" w:themeColor="text1"/>
                <w:sz w:val="20"/>
                <w:szCs w:val="20"/>
              </w:rPr>
              <w:tab/>
            </w:r>
            <w:r w:rsidR="005B7AC7" w:rsidRPr="00A52AB8">
              <w:rPr>
                <w:b/>
                <w:color w:val="000000" w:themeColor="text1"/>
                <w:sz w:val="20"/>
                <w:szCs w:val="20"/>
              </w:rPr>
              <w:tab/>
            </w:r>
            <w:r w:rsidRPr="00A52AB8">
              <w:rPr>
                <w:color w:val="000000" w:themeColor="text1"/>
                <w:sz w:val="20"/>
                <w:szCs w:val="20"/>
              </w:rPr>
              <w:t>attribute_information( j )</w:t>
            </w:r>
          </w:p>
        </w:tc>
        <w:tc>
          <w:tcPr>
            <w:tcW w:w="1331" w:type="dxa"/>
          </w:tcPr>
          <w:p w14:paraId="5CB3A74F" w14:textId="77777777" w:rsidR="006936C4" w:rsidRPr="00A52AB8" w:rsidRDefault="006936C4" w:rsidP="004F7C57">
            <w:pPr>
              <w:spacing w:before="20" w:after="20"/>
              <w:jc w:val="center"/>
              <w:rPr>
                <w:color w:val="000000" w:themeColor="text1"/>
                <w:sz w:val="20"/>
                <w:szCs w:val="20"/>
              </w:rPr>
            </w:pPr>
          </w:p>
        </w:tc>
      </w:tr>
      <w:tr w:rsidR="006936C4" w:rsidRPr="00A52AB8" w14:paraId="3987C150" w14:textId="77777777" w:rsidTr="004A6049">
        <w:trPr>
          <w:trHeight w:val="43"/>
          <w:jc w:val="center"/>
        </w:trPr>
        <w:tc>
          <w:tcPr>
            <w:tcW w:w="8411" w:type="dxa"/>
          </w:tcPr>
          <w:p w14:paraId="215BF144" w14:textId="77777777" w:rsidR="006936C4" w:rsidRPr="00A52AB8" w:rsidRDefault="006936C4" w:rsidP="004F7C57">
            <w:pPr>
              <w:spacing w:before="20" w:after="20"/>
              <w:rPr>
                <w:color w:val="000000" w:themeColor="text1"/>
                <w:sz w:val="20"/>
                <w:szCs w:val="20"/>
              </w:rPr>
            </w:pPr>
            <w:r w:rsidRPr="00A52AB8">
              <w:rPr>
                <w:color w:val="000000" w:themeColor="text1"/>
                <w:sz w:val="20"/>
                <w:szCs w:val="20"/>
              </w:rPr>
              <w:tab/>
              <w:t>}</w:t>
            </w:r>
          </w:p>
        </w:tc>
        <w:tc>
          <w:tcPr>
            <w:tcW w:w="1331" w:type="dxa"/>
          </w:tcPr>
          <w:p w14:paraId="5F437260" w14:textId="77777777" w:rsidR="006936C4" w:rsidRPr="00A52AB8" w:rsidRDefault="006936C4" w:rsidP="004F7C57">
            <w:pPr>
              <w:spacing w:before="20" w:after="20"/>
              <w:jc w:val="center"/>
              <w:rPr>
                <w:color w:val="000000" w:themeColor="text1"/>
                <w:sz w:val="20"/>
                <w:szCs w:val="20"/>
              </w:rPr>
            </w:pPr>
          </w:p>
        </w:tc>
      </w:tr>
      <w:tr w:rsidR="00E90B58" w:rsidRPr="00A52AB8" w14:paraId="7FBAAD27" w14:textId="77777777" w:rsidTr="004A6049">
        <w:trPr>
          <w:trHeight w:val="43"/>
          <w:jc w:val="center"/>
        </w:trPr>
        <w:tc>
          <w:tcPr>
            <w:tcW w:w="8411" w:type="dxa"/>
          </w:tcPr>
          <w:p w14:paraId="280FFE3E" w14:textId="77777777" w:rsidR="00E90B58" w:rsidRPr="00A52AB8" w:rsidRDefault="00E90B58" w:rsidP="004F7C57">
            <w:pPr>
              <w:spacing w:before="20" w:after="20"/>
              <w:rPr>
                <w:b/>
                <w:color w:val="000000" w:themeColor="text1"/>
                <w:sz w:val="20"/>
                <w:szCs w:val="20"/>
              </w:rPr>
            </w:pPr>
            <w:r w:rsidRPr="00A52AB8">
              <w:rPr>
                <w:b/>
                <w:color w:val="000000" w:themeColor="text1"/>
                <w:sz w:val="20"/>
                <w:szCs w:val="20"/>
              </w:rPr>
              <w:tab/>
              <w:t>vps_extension_present_flag</w:t>
            </w:r>
          </w:p>
        </w:tc>
        <w:tc>
          <w:tcPr>
            <w:tcW w:w="1331" w:type="dxa"/>
          </w:tcPr>
          <w:p w14:paraId="089964BF" w14:textId="77777777" w:rsidR="00E90B58" w:rsidRPr="00A52AB8" w:rsidRDefault="00E90B58" w:rsidP="004F7C57">
            <w:pPr>
              <w:spacing w:before="20" w:after="20"/>
              <w:jc w:val="center"/>
              <w:rPr>
                <w:color w:val="000000" w:themeColor="text1"/>
                <w:sz w:val="20"/>
                <w:szCs w:val="20"/>
              </w:rPr>
            </w:pPr>
            <w:r w:rsidRPr="00A52AB8">
              <w:rPr>
                <w:color w:val="000000" w:themeColor="text1"/>
                <w:sz w:val="20"/>
                <w:szCs w:val="20"/>
              </w:rPr>
              <w:t>u(1)</w:t>
            </w:r>
          </w:p>
        </w:tc>
      </w:tr>
      <w:tr w:rsidR="00E90B58" w:rsidRPr="00A52AB8" w14:paraId="206636B1" w14:textId="77777777" w:rsidTr="004A6049">
        <w:trPr>
          <w:trHeight w:val="43"/>
          <w:jc w:val="center"/>
        </w:trPr>
        <w:tc>
          <w:tcPr>
            <w:tcW w:w="8411" w:type="dxa"/>
          </w:tcPr>
          <w:p w14:paraId="3791B318" w14:textId="33CC0B8C" w:rsidR="00E90B58" w:rsidRPr="00A52AB8" w:rsidRDefault="00E90B58" w:rsidP="004F7C57">
            <w:pPr>
              <w:spacing w:before="20" w:after="20"/>
              <w:rPr>
                <w:rFonts w:eastAsia="Times New Roman"/>
                <w:color w:val="000000" w:themeColor="text1"/>
                <w:sz w:val="20"/>
              </w:rPr>
            </w:pPr>
            <w:r w:rsidRPr="00A52AB8">
              <w:rPr>
                <w:color w:val="000000" w:themeColor="text1"/>
                <w:sz w:val="20"/>
                <w:szCs w:val="20"/>
              </w:rPr>
              <w:tab/>
              <w:t>if(</w:t>
            </w:r>
            <w:r w:rsidR="0091568A" w:rsidRPr="00A52AB8">
              <w:rPr>
                <w:color w:val="000000" w:themeColor="text1"/>
                <w:sz w:val="20"/>
                <w:szCs w:val="20"/>
              </w:rPr>
              <w:t> </w:t>
            </w:r>
            <w:r w:rsidRPr="00A52AB8">
              <w:rPr>
                <w:color w:val="000000" w:themeColor="text1"/>
                <w:sz w:val="20"/>
                <w:szCs w:val="20"/>
              </w:rPr>
              <w:t>vps_extension_present_flag</w:t>
            </w:r>
            <w:r w:rsidR="0091568A" w:rsidRPr="00A52AB8">
              <w:rPr>
                <w:color w:val="000000" w:themeColor="text1"/>
                <w:sz w:val="20"/>
                <w:szCs w:val="20"/>
              </w:rPr>
              <w:t> </w:t>
            </w:r>
            <w:r w:rsidRPr="00A52AB8">
              <w:rPr>
                <w:color w:val="000000" w:themeColor="text1"/>
                <w:sz w:val="20"/>
                <w:szCs w:val="20"/>
              </w:rPr>
              <w:t>)</w:t>
            </w:r>
            <w:r w:rsidR="00741143">
              <w:rPr>
                <w:color w:val="000000" w:themeColor="text1"/>
                <w:sz w:val="20"/>
                <w:szCs w:val="20"/>
              </w:rPr>
              <w:t xml:space="preserve"> {</w:t>
            </w:r>
          </w:p>
        </w:tc>
        <w:tc>
          <w:tcPr>
            <w:tcW w:w="1331" w:type="dxa"/>
          </w:tcPr>
          <w:p w14:paraId="6B90785B" w14:textId="77777777" w:rsidR="00E90B58" w:rsidRPr="00A52AB8" w:rsidRDefault="00E90B58" w:rsidP="004F7C57">
            <w:pPr>
              <w:spacing w:before="20" w:after="20"/>
              <w:jc w:val="center"/>
              <w:rPr>
                <w:rFonts w:eastAsia="Times New Roman"/>
                <w:color w:val="000000" w:themeColor="text1"/>
                <w:sz w:val="20"/>
              </w:rPr>
            </w:pPr>
          </w:p>
        </w:tc>
      </w:tr>
      <w:tr w:rsidR="00741143" w:rsidRPr="00A52AB8" w14:paraId="15506BA1" w14:textId="77777777" w:rsidTr="00CA49A1">
        <w:trPr>
          <w:trHeight w:val="43"/>
          <w:jc w:val="center"/>
        </w:trPr>
        <w:tc>
          <w:tcPr>
            <w:tcW w:w="8411" w:type="dxa"/>
          </w:tcPr>
          <w:p w14:paraId="21AB3D6A" w14:textId="591B9B8E" w:rsidR="00741143" w:rsidRPr="002D50CF" w:rsidRDefault="00741143" w:rsidP="00CA49A1">
            <w:pPr>
              <w:spacing w:before="20" w:after="20"/>
              <w:rPr>
                <w:b/>
                <w:bCs/>
                <w:color w:val="000000" w:themeColor="text1"/>
                <w:sz w:val="20"/>
              </w:rPr>
            </w:pPr>
            <w:r w:rsidRPr="00A52AB8">
              <w:rPr>
                <w:color w:val="000000" w:themeColor="text1"/>
                <w:sz w:val="20"/>
              </w:rPr>
              <w:tab/>
            </w:r>
            <w:r w:rsidRPr="00A52AB8">
              <w:rPr>
                <w:color w:val="000000" w:themeColor="text1"/>
                <w:sz w:val="20"/>
              </w:rPr>
              <w:tab/>
            </w:r>
            <w:r>
              <w:rPr>
                <w:b/>
                <w:bCs/>
                <w:color w:val="000000" w:themeColor="text1"/>
                <w:sz w:val="20"/>
              </w:rPr>
              <w:t>vps_</w:t>
            </w:r>
            <w:r w:rsidR="00F232F7">
              <w:rPr>
                <w:b/>
                <w:bCs/>
                <w:color w:val="000000" w:themeColor="text1"/>
                <w:sz w:val="20"/>
              </w:rPr>
              <w:t>packing_information</w:t>
            </w:r>
            <w:r>
              <w:rPr>
                <w:b/>
                <w:bCs/>
                <w:color w:val="000000" w:themeColor="text1"/>
                <w:sz w:val="20"/>
              </w:rPr>
              <w:t>_present_flag</w:t>
            </w:r>
          </w:p>
        </w:tc>
        <w:tc>
          <w:tcPr>
            <w:tcW w:w="1331" w:type="dxa"/>
          </w:tcPr>
          <w:p w14:paraId="415FDA8F" w14:textId="77777777" w:rsidR="00741143" w:rsidRPr="00A52AB8" w:rsidRDefault="00741143" w:rsidP="00CA49A1">
            <w:pPr>
              <w:spacing w:before="20" w:after="20"/>
              <w:jc w:val="center"/>
              <w:rPr>
                <w:color w:val="000000" w:themeColor="text1"/>
                <w:sz w:val="20"/>
                <w:szCs w:val="20"/>
              </w:rPr>
            </w:pPr>
            <w:r>
              <w:rPr>
                <w:color w:val="000000" w:themeColor="text1"/>
                <w:sz w:val="20"/>
                <w:szCs w:val="20"/>
              </w:rPr>
              <w:t>u(1)</w:t>
            </w:r>
          </w:p>
        </w:tc>
      </w:tr>
      <w:tr w:rsidR="00604DE8" w:rsidRPr="00A52AB8" w14:paraId="09857E67" w14:textId="77777777" w:rsidTr="004A6049">
        <w:trPr>
          <w:trHeight w:val="43"/>
          <w:jc w:val="center"/>
        </w:trPr>
        <w:tc>
          <w:tcPr>
            <w:tcW w:w="8411" w:type="dxa"/>
          </w:tcPr>
          <w:p w14:paraId="4C819A02" w14:textId="39C47D8F" w:rsidR="00604DE8" w:rsidRPr="00A52AB8" w:rsidRDefault="00604DE8" w:rsidP="004F7C57">
            <w:pPr>
              <w:spacing w:before="20" w:after="20"/>
              <w:rPr>
                <w:b/>
                <w:bCs/>
                <w:color w:val="000000" w:themeColor="text1"/>
                <w:sz w:val="20"/>
              </w:rPr>
            </w:pPr>
            <w:r w:rsidRPr="00A52AB8">
              <w:rPr>
                <w:color w:val="000000" w:themeColor="text1"/>
                <w:sz w:val="20"/>
              </w:rPr>
              <w:tab/>
            </w:r>
            <w:r w:rsidRPr="00A52AB8">
              <w:rPr>
                <w:color w:val="000000" w:themeColor="text1"/>
                <w:sz w:val="20"/>
              </w:rPr>
              <w:tab/>
            </w:r>
            <w:r w:rsidRPr="00A52AB8">
              <w:rPr>
                <w:b/>
                <w:bCs/>
                <w:color w:val="000000" w:themeColor="text1"/>
                <w:sz w:val="20"/>
              </w:rPr>
              <w:t>vps_miv_extension_present_flag</w:t>
            </w:r>
          </w:p>
        </w:tc>
        <w:tc>
          <w:tcPr>
            <w:tcW w:w="1331" w:type="dxa"/>
          </w:tcPr>
          <w:p w14:paraId="22FE1C04" w14:textId="7229AC22" w:rsidR="00604DE8" w:rsidRPr="00A52AB8" w:rsidRDefault="00604DE8" w:rsidP="004F7C57">
            <w:pPr>
              <w:spacing w:before="20" w:after="20"/>
              <w:jc w:val="center"/>
              <w:rPr>
                <w:color w:val="000000" w:themeColor="text1"/>
                <w:sz w:val="20"/>
                <w:szCs w:val="20"/>
              </w:rPr>
            </w:pPr>
            <w:r w:rsidRPr="00A52AB8">
              <w:rPr>
                <w:color w:val="000000" w:themeColor="text1"/>
                <w:sz w:val="20"/>
                <w:szCs w:val="20"/>
              </w:rPr>
              <w:t>u(1)</w:t>
            </w:r>
          </w:p>
        </w:tc>
      </w:tr>
      <w:tr w:rsidR="00736612" w:rsidRPr="00A52AB8" w14:paraId="0A1A61E6" w14:textId="77777777" w:rsidTr="004A6049">
        <w:trPr>
          <w:trHeight w:val="43"/>
          <w:jc w:val="center"/>
        </w:trPr>
        <w:tc>
          <w:tcPr>
            <w:tcW w:w="8411" w:type="dxa"/>
          </w:tcPr>
          <w:p w14:paraId="01D6531C" w14:textId="1941A6A7" w:rsidR="00736612" w:rsidRPr="00A52AB8" w:rsidRDefault="00E35D7E" w:rsidP="004F7C57">
            <w:pPr>
              <w:spacing w:before="20" w:after="20"/>
              <w:rPr>
                <w:b/>
                <w:bCs/>
                <w:color w:val="000000" w:themeColor="text1"/>
                <w:sz w:val="20"/>
              </w:rPr>
            </w:pPr>
            <w:r w:rsidRPr="00A52AB8">
              <w:rPr>
                <w:color w:val="000000" w:themeColor="text1"/>
                <w:sz w:val="20"/>
              </w:rPr>
              <w:tab/>
            </w:r>
            <w:r w:rsidRPr="00A52AB8">
              <w:rPr>
                <w:color w:val="000000" w:themeColor="text1"/>
                <w:sz w:val="20"/>
              </w:rPr>
              <w:tab/>
            </w:r>
            <w:r w:rsidRPr="00A52AB8">
              <w:rPr>
                <w:b/>
                <w:bCs/>
                <w:color w:val="000000" w:themeColor="text1"/>
                <w:sz w:val="20"/>
              </w:rPr>
              <w:t>vps_extension_</w:t>
            </w:r>
            <w:r w:rsidR="00741143">
              <w:rPr>
                <w:b/>
                <w:bCs/>
                <w:color w:val="000000" w:themeColor="text1"/>
                <w:sz w:val="20"/>
              </w:rPr>
              <w:t>6</w:t>
            </w:r>
            <w:r w:rsidR="00604DE8" w:rsidRPr="00A52AB8">
              <w:rPr>
                <w:b/>
                <w:bCs/>
                <w:color w:val="000000" w:themeColor="text1"/>
                <w:sz w:val="20"/>
              </w:rPr>
              <w:t>bits</w:t>
            </w:r>
          </w:p>
        </w:tc>
        <w:tc>
          <w:tcPr>
            <w:tcW w:w="1331" w:type="dxa"/>
          </w:tcPr>
          <w:p w14:paraId="163F011D" w14:textId="06A31BB4" w:rsidR="00736612" w:rsidRPr="00A52AB8" w:rsidRDefault="006903E1" w:rsidP="004F7C57">
            <w:pPr>
              <w:spacing w:before="20" w:after="20"/>
              <w:jc w:val="center"/>
              <w:rPr>
                <w:color w:val="000000" w:themeColor="text1"/>
                <w:sz w:val="20"/>
                <w:szCs w:val="20"/>
              </w:rPr>
            </w:pPr>
            <w:r w:rsidRPr="00A52AB8">
              <w:rPr>
                <w:color w:val="000000" w:themeColor="text1"/>
                <w:sz w:val="20"/>
                <w:szCs w:val="20"/>
              </w:rPr>
              <w:t>u(</w:t>
            </w:r>
            <w:r w:rsidR="00741143">
              <w:rPr>
                <w:color w:val="000000" w:themeColor="text1"/>
                <w:sz w:val="20"/>
                <w:szCs w:val="20"/>
              </w:rPr>
              <w:t>6</w:t>
            </w:r>
            <w:r w:rsidRPr="00A52AB8">
              <w:rPr>
                <w:color w:val="000000" w:themeColor="text1"/>
                <w:sz w:val="20"/>
                <w:szCs w:val="20"/>
              </w:rPr>
              <w:t>)</w:t>
            </w:r>
          </w:p>
        </w:tc>
      </w:tr>
      <w:tr w:rsidR="00741143" w:rsidRPr="00A52AB8" w14:paraId="2B7BB6F4" w14:textId="77777777" w:rsidTr="004A6049">
        <w:trPr>
          <w:trHeight w:val="43"/>
          <w:jc w:val="center"/>
        </w:trPr>
        <w:tc>
          <w:tcPr>
            <w:tcW w:w="8411" w:type="dxa"/>
          </w:tcPr>
          <w:p w14:paraId="6072A0F9" w14:textId="4E93E3F9" w:rsidR="00741143" w:rsidRPr="00A52AB8" w:rsidRDefault="00741143" w:rsidP="004F7C57">
            <w:pPr>
              <w:spacing w:before="20" w:after="20"/>
              <w:rPr>
                <w:color w:val="000000" w:themeColor="text1"/>
                <w:sz w:val="20"/>
              </w:rPr>
            </w:pPr>
            <w:r w:rsidRPr="00A52AB8">
              <w:rPr>
                <w:color w:val="000000" w:themeColor="text1"/>
                <w:sz w:val="20"/>
              </w:rPr>
              <w:tab/>
            </w:r>
            <w:r>
              <w:rPr>
                <w:color w:val="000000" w:themeColor="text1"/>
                <w:sz w:val="20"/>
              </w:rPr>
              <w:t>}</w:t>
            </w:r>
          </w:p>
        </w:tc>
        <w:tc>
          <w:tcPr>
            <w:tcW w:w="1331" w:type="dxa"/>
          </w:tcPr>
          <w:p w14:paraId="28965D08" w14:textId="77777777" w:rsidR="00741143" w:rsidRPr="00A52AB8" w:rsidRDefault="00741143" w:rsidP="004F7C57">
            <w:pPr>
              <w:spacing w:before="20" w:after="20"/>
              <w:jc w:val="center"/>
              <w:rPr>
                <w:color w:val="000000" w:themeColor="text1"/>
                <w:sz w:val="20"/>
                <w:szCs w:val="20"/>
              </w:rPr>
            </w:pPr>
          </w:p>
        </w:tc>
      </w:tr>
      <w:tr w:rsidR="00741143" w:rsidRPr="00A52AB8" w14:paraId="5019A7B2" w14:textId="77777777" w:rsidTr="004A6049">
        <w:trPr>
          <w:trHeight w:val="43"/>
          <w:jc w:val="center"/>
        </w:trPr>
        <w:tc>
          <w:tcPr>
            <w:tcW w:w="8411" w:type="dxa"/>
          </w:tcPr>
          <w:p w14:paraId="0A0C363A" w14:textId="24B5358E" w:rsidR="00741143" w:rsidRPr="00A52AB8" w:rsidRDefault="00741143" w:rsidP="004F7C57">
            <w:pPr>
              <w:spacing w:before="20" w:after="20"/>
              <w:rPr>
                <w:color w:val="000000" w:themeColor="text1"/>
                <w:sz w:val="20"/>
              </w:rPr>
            </w:pPr>
            <w:r w:rsidRPr="00A52AB8">
              <w:rPr>
                <w:color w:val="000000" w:themeColor="text1"/>
                <w:sz w:val="20"/>
              </w:rPr>
              <w:tab/>
            </w:r>
            <w:r>
              <w:rPr>
                <w:color w:val="000000" w:themeColor="text1"/>
                <w:sz w:val="20"/>
              </w:rPr>
              <w:t>if( vps_</w:t>
            </w:r>
            <w:r w:rsidR="00F232F7">
              <w:rPr>
                <w:color w:val="000000" w:themeColor="text1"/>
                <w:sz w:val="20"/>
              </w:rPr>
              <w:t>packing_information</w:t>
            </w:r>
            <w:r>
              <w:rPr>
                <w:color w:val="000000" w:themeColor="text1"/>
                <w:sz w:val="20"/>
              </w:rPr>
              <w:t>_present_flag ) {</w:t>
            </w:r>
          </w:p>
        </w:tc>
        <w:tc>
          <w:tcPr>
            <w:tcW w:w="1331" w:type="dxa"/>
          </w:tcPr>
          <w:p w14:paraId="118901E0" w14:textId="77777777" w:rsidR="00741143" w:rsidRPr="00A52AB8" w:rsidRDefault="00741143" w:rsidP="004F7C57">
            <w:pPr>
              <w:spacing w:before="20" w:after="20"/>
              <w:jc w:val="center"/>
              <w:rPr>
                <w:color w:val="000000" w:themeColor="text1"/>
                <w:sz w:val="20"/>
                <w:szCs w:val="20"/>
              </w:rPr>
            </w:pPr>
          </w:p>
        </w:tc>
      </w:tr>
      <w:tr w:rsidR="00741143" w:rsidRPr="00A52AB8" w14:paraId="0D0E24AE" w14:textId="77777777" w:rsidTr="004A6049">
        <w:trPr>
          <w:trHeight w:val="43"/>
          <w:jc w:val="center"/>
        </w:trPr>
        <w:tc>
          <w:tcPr>
            <w:tcW w:w="8411" w:type="dxa"/>
          </w:tcPr>
          <w:p w14:paraId="03432FC9" w14:textId="74BDA077" w:rsidR="00741143" w:rsidRPr="00A52AB8" w:rsidRDefault="00741143" w:rsidP="004F7C57">
            <w:pPr>
              <w:spacing w:before="20" w:after="20"/>
              <w:rPr>
                <w:color w:val="000000" w:themeColor="text1"/>
                <w:sz w:val="20"/>
              </w:rPr>
            </w:pPr>
            <w:r w:rsidRPr="00A52AB8">
              <w:rPr>
                <w:color w:val="000000" w:themeColor="text1"/>
                <w:sz w:val="20"/>
              </w:rPr>
              <w:tab/>
            </w:r>
            <w:r w:rsidRPr="00A52AB8">
              <w:rPr>
                <w:color w:val="000000" w:themeColor="text1"/>
                <w:sz w:val="20"/>
              </w:rPr>
              <w:tab/>
            </w:r>
            <w:r w:rsidRPr="00741143">
              <w:rPr>
                <w:color w:val="000000" w:themeColor="text1"/>
                <w:sz w:val="20"/>
              </w:rPr>
              <w:t>for(</w:t>
            </w:r>
            <w:r>
              <w:rPr>
                <w:color w:val="000000" w:themeColor="text1"/>
                <w:sz w:val="20"/>
              </w:rPr>
              <w:t> </w:t>
            </w:r>
            <w:r w:rsidRPr="00741143">
              <w:rPr>
                <w:color w:val="000000" w:themeColor="text1"/>
                <w:sz w:val="20"/>
              </w:rPr>
              <w:t>k</w:t>
            </w:r>
            <w:r>
              <w:rPr>
                <w:color w:val="000000" w:themeColor="text1"/>
                <w:sz w:val="20"/>
              </w:rPr>
              <w:t> </w:t>
            </w:r>
            <w:r w:rsidRPr="00741143">
              <w:rPr>
                <w:color w:val="000000" w:themeColor="text1"/>
                <w:sz w:val="20"/>
              </w:rPr>
              <w:t>=</w:t>
            </w:r>
            <w:r>
              <w:rPr>
                <w:color w:val="000000" w:themeColor="text1"/>
                <w:sz w:val="20"/>
              </w:rPr>
              <w:t> </w:t>
            </w:r>
            <w:r w:rsidRPr="00741143">
              <w:rPr>
                <w:color w:val="000000" w:themeColor="text1"/>
                <w:sz w:val="20"/>
              </w:rPr>
              <w:t>0</w:t>
            </w:r>
            <w:r>
              <w:rPr>
                <w:color w:val="000000" w:themeColor="text1"/>
                <w:sz w:val="20"/>
              </w:rPr>
              <w:t> </w:t>
            </w:r>
            <w:r w:rsidRPr="00741143">
              <w:rPr>
                <w:color w:val="000000" w:themeColor="text1"/>
                <w:sz w:val="20"/>
              </w:rPr>
              <w:t>;</w:t>
            </w:r>
            <w:r>
              <w:rPr>
                <w:color w:val="000000" w:themeColor="text1"/>
                <w:sz w:val="20"/>
              </w:rPr>
              <w:t> </w:t>
            </w:r>
            <w:r w:rsidRPr="00741143">
              <w:rPr>
                <w:color w:val="000000" w:themeColor="text1"/>
                <w:sz w:val="20"/>
              </w:rPr>
              <w:t>k</w:t>
            </w:r>
            <w:r>
              <w:rPr>
                <w:color w:val="000000" w:themeColor="text1"/>
                <w:sz w:val="20"/>
              </w:rPr>
              <w:t> </w:t>
            </w:r>
            <w:r w:rsidRPr="00741143">
              <w:rPr>
                <w:color w:val="000000" w:themeColor="text1"/>
                <w:sz w:val="20"/>
              </w:rPr>
              <w:t>&lt;=</w:t>
            </w:r>
            <w:r>
              <w:rPr>
                <w:color w:val="000000" w:themeColor="text1"/>
                <w:sz w:val="20"/>
              </w:rPr>
              <w:t> </w:t>
            </w:r>
            <w:r w:rsidRPr="00741143">
              <w:rPr>
                <w:color w:val="000000" w:themeColor="text1"/>
                <w:sz w:val="20"/>
              </w:rPr>
              <w:t>vps_atlas_count_minus1;</w:t>
            </w:r>
            <w:r>
              <w:rPr>
                <w:color w:val="000000" w:themeColor="text1"/>
                <w:sz w:val="20"/>
              </w:rPr>
              <w:t> </w:t>
            </w:r>
            <w:r w:rsidRPr="00741143">
              <w:rPr>
                <w:color w:val="000000" w:themeColor="text1"/>
                <w:sz w:val="20"/>
              </w:rPr>
              <w:t>k++</w:t>
            </w:r>
            <w:r>
              <w:rPr>
                <w:color w:val="000000" w:themeColor="text1"/>
                <w:sz w:val="20"/>
              </w:rPr>
              <w:t> </w:t>
            </w:r>
            <w:r w:rsidRPr="00741143">
              <w:rPr>
                <w:color w:val="000000" w:themeColor="text1"/>
                <w:sz w:val="20"/>
              </w:rPr>
              <w:t>)</w:t>
            </w:r>
            <w:r>
              <w:rPr>
                <w:color w:val="000000" w:themeColor="text1"/>
                <w:sz w:val="20"/>
              </w:rPr>
              <w:t> {</w:t>
            </w:r>
          </w:p>
        </w:tc>
        <w:tc>
          <w:tcPr>
            <w:tcW w:w="1331" w:type="dxa"/>
          </w:tcPr>
          <w:p w14:paraId="438CD682" w14:textId="77777777" w:rsidR="00741143" w:rsidRPr="00A52AB8" w:rsidRDefault="00741143" w:rsidP="004F7C57">
            <w:pPr>
              <w:spacing w:before="20" w:after="20"/>
              <w:jc w:val="center"/>
              <w:rPr>
                <w:color w:val="000000" w:themeColor="text1"/>
                <w:sz w:val="20"/>
                <w:szCs w:val="20"/>
              </w:rPr>
            </w:pPr>
          </w:p>
        </w:tc>
      </w:tr>
      <w:tr w:rsidR="00F232F7" w:rsidRPr="00A52AB8" w14:paraId="02647942" w14:textId="77777777" w:rsidTr="00CA49A1">
        <w:trPr>
          <w:jc w:val="center"/>
        </w:trPr>
        <w:tc>
          <w:tcPr>
            <w:tcW w:w="8411" w:type="dxa"/>
          </w:tcPr>
          <w:p w14:paraId="7A5941BB" w14:textId="2259AB4A" w:rsidR="00F232F7" w:rsidRPr="00A52AB8" w:rsidRDefault="00F232F7" w:rsidP="00CA49A1">
            <w:pPr>
              <w:spacing w:before="20" w:after="20"/>
              <w:rPr>
                <w:color w:val="000000" w:themeColor="text1"/>
                <w:sz w:val="20"/>
                <w:szCs w:val="20"/>
              </w:rPr>
            </w:pPr>
            <w:r w:rsidRPr="00A52AB8">
              <w:rPr>
                <w:color w:val="000000" w:themeColor="text1"/>
                <w:sz w:val="20"/>
                <w:szCs w:val="20"/>
              </w:rPr>
              <w:tab/>
            </w:r>
            <w:r w:rsidRPr="00A52AB8">
              <w:rPr>
                <w:color w:val="000000" w:themeColor="text1"/>
                <w:sz w:val="20"/>
              </w:rPr>
              <w:tab/>
            </w:r>
            <w:r w:rsidRPr="00A52AB8">
              <w:rPr>
                <w:color w:val="000000" w:themeColor="text1"/>
                <w:sz w:val="20"/>
                <w:szCs w:val="20"/>
              </w:rPr>
              <w:tab/>
              <w:t>j = vps_atlas_id[ k ]</w:t>
            </w:r>
          </w:p>
        </w:tc>
        <w:tc>
          <w:tcPr>
            <w:tcW w:w="1331" w:type="dxa"/>
          </w:tcPr>
          <w:p w14:paraId="4D3B98DF" w14:textId="77777777" w:rsidR="00F232F7" w:rsidRPr="00A52AB8" w:rsidRDefault="00F232F7" w:rsidP="00CA49A1">
            <w:pPr>
              <w:spacing w:before="20" w:after="20"/>
              <w:jc w:val="center"/>
              <w:rPr>
                <w:color w:val="000000" w:themeColor="text1"/>
                <w:sz w:val="20"/>
                <w:szCs w:val="20"/>
              </w:rPr>
            </w:pPr>
          </w:p>
        </w:tc>
      </w:tr>
      <w:tr w:rsidR="00741143" w:rsidRPr="00A52AB8" w14:paraId="1E21BBFE" w14:textId="77777777" w:rsidTr="004A6049">
        <w:trPr>
          <w:trHeight w:val="43"/>
          <w:jc w:val="center"/>
        </w:trPr>
        <w:tc>
          <w:tcPr>
            <w:tcW w:w="8411" w:type="dxa"/>
          </w:tcPr>
          <w:p w14:paraId="19DA661D" w14:textId="40240943" w:rsidR="00741143" w:rsidRPr="00A52AB8" w:rsidRDefault="00741143" w:rsidP="004F7C57">
            <w:pPr>
              <w:spacing w:before="20" w:after="20"/>
              <w:rPr>
                <w:color w:val="000000" w:themeColor="text1"/>
                <w:sz w:val="20"/>
              </w:rPr>
            </w:pPr>
            <w:r w:rsidRPr="00A52AB8">
              <w:rPr>
                <w:color w:val="000000" w:themeColor="text1"/>
                <w:sz w:val="20"/>
              </w:rPr>
              <w:tab/>
            </w:r>
            <w:r w:rsidRPr="00A52AB8">
              <w:rPr>
                <w:color w:val="000000" w:themeColor="text1"/>
                <w:sz w:val="20"/>
              </w:rPr>
              <w:tab/>
            </w:r>
            <w:r w:rsidRPr="00A52AB8">
              <w:rPr>
                <w:color w:val="000000" w:themeColor="text1"/>
                <w:sz w:val="20"/>
              </w:rPr>
              <w:tab/>
            </w:r>
            <w:r w:rsidRPr="00EE3D19">
              <w:rPr>
                <w:b/>
                <w:bCs/>
                <w:color w:val="000000" w:themeColor="text1"/>
                <w:sz w:val="20"/>
              </w:rPr>
              <w:t>vps_packed_video_present_flag</w:t>
            </w:r>
            <w:r>
              <w:rPr>
                <w:color w:val="000000" w:themeColor="text1"/>
                <w:sz w:val="20"/>
              </w:rPr>
              <w:t>[ </w:t>
            </w:r>
            <w:r w:rsidR="00F232F7">
              <w:rPr>
                <w:color w:val="000000" w:themeColor="text1"/>
                <w:sz w:val="20"/>
              </w:rPr>
              <w:t>j</w:t>
            </w:r>
            <w:r>
              <w:rPr>
                <w:color w:val="000000" w:themeColor="text1"/>
                <w:sz w:val="20"/>
              </w:rPr>
              <w:t> ]</w:t>
            </w:r>
          </w:p>
        </w:tc>
        <w:tc>
          <w:tcPr>
            <w:tcW w:w="1331" w:type="dxa"/>
          </w:tcPr>
          <w:p w14:paraId="6A8C2985" w14:textId="77777777" w:rsidR="00741143" w:rsidRPr="00A52AB8" w:rsidRDefault="00741143" w:rsidP="004F7C57">
            <w:pPr>
              <w:spacing w:before="20" w:after="20"/>
              <w:jc w:val="center"/>
              <w:rPr>
                <w:color w:val="000000" w:themeColor="text1"/>
                <w:sz w:val="20"/>
                <w:szCs w:val="20"/>
              </w:rPr>
            </w:pPr>
          </w:p>
        </w:tc>
      </w:tr>
      <w:tr w:rsidR="00741143" w:rsidRPr="00A52AB8" w14:paraId="611AE587" w14:textId="77777777" w:rsidTr="004A6049">
        <w:trPr>
          <w:trHeight w:val="43"/>
          <w:jc w:val="center"/>
        </w:trPr>
        <w:tc>
          <w:tcPr>
            <w:tcW w:w="8411" w:type="dxa"/>
          </w:tcPr>
          <w:p w14:paraId="0F35CF9A" w14:textId="02F68060" w:rsidR="00741143" w:rsidRPr="00A52AB8" w:rsidRDefault="00741143" w:rsidP="004F7C57">
            <w:pPr>
              <w:spacing w:before="20" w:after="20"/>
              <w:rPr>
                <w:color w:val="000000" w:themeColor="text1"/>
                <w:sz w:val="20"/>
              </w:rPr>
            </w:pPr>
            <w:r w:rsidRPr="00A52AB8">
              <w:rPr>
                <w:color w:val="000000" w:themeColor="text1"/>
                <w:sz w:val="20"/>
              </w:rPr>
              <w:lastRenderedPageBreak/>
              <w:tab/>
            </w:r>
            <w:r w:rsidRPr="00A52AB8">
              <w:rPr>
                <w:color w:val="000000" w:themeColor="text1"/>
                <w:sz w:val="20"/>
              </w:rPr>
              <w:tab/>
            </w:r>
            <w:r w:rsidRPr="00A52AB8">
              <w:rPr>
                <w:color w:val="000000" w:themeColor="text1"/>
                <w:sz w:val="20"/>
              </w:rPr>
              <w:tab/>
            </w:r>
            <w:r>
              <w:rPr>
                <w:color w:val="000000" w:themeColor="text1"/>
                <w:sz w:val="20"/>
              </w:rPr>
              <w:t>if( vps_packed_video_present_flag[ </w:t>
            </w:r>
            <w:r w:rsidR="00F232F7">
              <w:rPr>
                <w:color w:val="000000" w:themeColor="text1"/>
                <w:sz w:val="20"/>
              </w:rPr>
              <w:t>j</w:t>
            </w:r>
            <w:r>
              <w:rPr>
                <w:color w:val="000000" w:themeColor="text1"/>
                <w:sz w:val="20"/>
              </w:rPr>
              <w:t> ] )</w:t>
            </w:r>
          </w:p>
        </w:tc>
        <w:tc>
          <w:tcPr>
            <w:tcW w:w="1331" w:type="dxa"/>
          </w:tcPr>
          <w:p w14:paraId="1E69EFA2" w14:textId="77777777" w:rsidR="00741143" w:rsidRPr="00A52AB8" w:rsidRDefault="00741143" w:rsidP="004F7C57">
            <w:pPr>
              <w:spacing w:before="20" w:after="20"/>
              <w:jc w:val="center"/>
              <w:rPr>
                <w:color w:val="000000" w:themeColor="text1"/>
                <w:sz w:val="20"/>
                <w:szCs w:val="20"/>
              </w:rPr>
            </w:pPr>
          </w:p>
        </w:tc>
      </w:tr>
      <w:tr w:rsidR="00741143" w:rsidRPr="00A52AB8" w14:paraId="49FCE9AA" w14:textId="77777777" w:rsidTr="004A6049">
        <w:trPr>
          <w:trHeight w:val="43"/>
          <w:jc w:val="center"/>
        </w:trPr>
        <w:tc>
          <w:tcPr>
            <w:tcW w:w="8411" w:type="dxa"/>
          </w:tcPr>
          <w:p w14:paraId="35F6901B" w14:textId="5F6B95A5" w:rsidR="00741143" w:rsidRPr="00A52AB8" w:rsidRDefault="00741143" w:rsidP="004F7C57">
            <w:pPr>
              <w:spacing w:before="20" w:after="20"/>
              <w:rPr>
                <w:color w:val="000000" w:themeColor="text1"/>
                <w:sz w:val="20"/>
              </w:rPr>
            </w:pPr>
            <w:r w:rsidRPr="00A52AB8">
              <w:rPr>
                <w:color w:val="000000" w:themeColor="text1"/>
                <w:sz w:val="20"/>
              </w:rPr>
              <w:tab/>
            </w:r>
            <w:r w:rsidRPr="00A52AB8">
              <w:rPr>
                <w:color w:val="000000" w:themeColor="text1"/>
                <w:sz w:val="20"/>
              </w:rPr>
              <w:tab/>
            </w:r>
            <w:r w:rsidRPr="00A52AB8">
              <w:rPr>
                <w:color w:val="000000" w:themeColor="text1"/>
                <w:sz w:val="20"/>
              </w:rPr>
              <w:tab/>
            </w:r>
            <w:r w:rsidRPr="00A52AB8">
              <w:rPr>
                <w:color w:val="000000" w:themeColor="text1"/>
                <w:sz w:val="20"/>
              </w:rPr>
              <w:tab/>
            </w:r>
            <w:r>
              <w:rPr>
                <w:color w:val="000000" w:themeColor="text1"/>
                <w:sz w:val="20"/>
              </w:rPr>
              <w:t>packing_information( </w:t>
            </w:r>
            <w:r w:rsidR="00F232F7">
              <w:rPr>
                <w:color w:val="000000" w:themeColor="text1"/>
                <w:sz w:val="20"/>
              </w:rPr>
              <w:t>j</w:t>
            </w:r>
            <w:r>
              <w:rPr>
                <w:color w:val="000000" w:themeColor="text1"/>
                <w:sz w:val="20"/>
              </w:rPr>
              <w:t> )</w:t>
            </w:r>
          </w:p>
        </w:tc>
        <w:tc>
          <w:tcPr>
            <w:tcW w:w="1331" w:type="dxa"/>
          </w:tcPr>
          <w:p w14:paraId="4F033B0B" w14:textId="77777777" w:rsidR="00741143" w:rsidRPr="00A52AB8" w:rsidRDefault="00741143" w:rsidP="004F7C57">
            <w:pPr>
              <w:spacing w:before="20" w:after="20"/>
              <w:jc w:val="center"/>
              <w:rPr>
                <w:color w:val="000000" w:themeColor="text1"/>
                <w:sz w:val="20"/>
                <w:szCs w:val="20"/>
              </w:rPr>
            </w:pPr>
          </w:p>
        </w:tc>
      </w:tr>
      <w:tr w:rsidR="00741143" w:rsidRPr="00A52AB8" w14:paraId="618577CA" w14:textId="77777777" w:rsidTr="004A6049">
        <w:trPr>
          <w:trHeight w:val="43"/>
          <w:jc w:val="center"/>
        </w:trPr>
        <w:tc>
          <w:tcPr>
            <w:tcW w:w="8411" w:type="dxa"/>
          </w:tcPr>
          <w:p w14:paraId="069D0257" w14:textId="36B52176" w:rsidR="00741143" w:rsidRPr="00A52AB8" w:rsidRDefault="00741143" w:rsidP="004F7C57">
            <w:pPr>
              <w:spacing w:before="20" w:after="20"/>
              <w:rPr>
                <w:color w:val="000000" w:themeColor="text1"/>
                <w:sz w:val="20"/>
              </w:rPr>
            </w:pPr>
            <w:r w:rsidRPr="00A52AB8">
              <w:rPr>
                <w:color w:val="000000" w:themeColor="text1"/>
                <w:sz w:val="20"/>
              </w:rPr>
              <w:tab/>
            </w:r>
            <w:r w:rsidRPr="00A52AB8">
              <w:rPr>
                <w:color w:val="000000" w:themeColor="text1"/>
                <w:sz w:val="20"/>
              </w:rPr>
              <w:tab/>
            </w:r>
            <w:r>
              <w:rPr>
                <w:color w:val="000000" w:themeColor="text1"/>
                <w:sz w:val="20"/>
              </w:rPr>
              <w:t>}</w:t>
            </w:r>
          </w:p>
        </w:tc>
        <w:tc>
          <w:tcPr>
            <w:tcW w:w="1331" w:type="dxa"/>
          </w:tcPr>
          <w:p w14:paraId="506F8671" w14:textId="77777777" w:rsidR="00741143" w:rsidRPr="00A52AB8" w:rsidRDefault="00741143" w:rsidP="004F7C57">
            <w:pPr>
              <w:spacing w:before="20" w:after="20"/>
              <w:jc w:val="center"/>
              <w:rPr>
                <w:color w:val="000000" w:themeColor="text1"/>
                <w:sz w:val="20"/>
                <w:szCs w:val="20"/>
              </w:rPr>
            </w:pPr>
          </w:p>
        </w:tc>
      </w:tr>
      <w:tr w:rsidR="00741143" w:rsidRPr="00A52AB8" w14:paraId="5D67977E" w14:textId="77777777" w:rsidTr="004A6049">
        <w:trPr>
          <w:trHeight w:val="43"/>
          <w:jc w:val="center"/>
        </w:trPr>
        <w:tc>
          <w:tcPr>
            <w:tcW w:w="8411" w:type="dxa"/>
          </w:tcPr>
          <w:p w14:paraId="29712205" w14:textId="7D5857AE" w:rsidR="00741143" w:rsidRPr="00A52AB8" w:rsidRDefault="00741143" w:rsidP="004F7C57">
            <w:pPr>
              <w:spacing w:before="20" w:after="20"/>
              <w:rPr>
                <w:color w:val="000000" w:themeColor="text1"/>
                <w:sz w:val="20"/>
              </w:rPr>
            </w:pPr>
            <w:r w:rsidRPr="00A52AB8">
              <w:rPr>
                <w:color w:val="000000" w:themeColor="text1"/>
                <w:sz w:val="20"/>
              </w:rPr>
              <w:tab/>
            </w:r>
            <w:r>
              <w:rPr>
                <w:color w:val="000000" w:themeColor="text1"/>
                <w:sz w:val="20"/>
              </w:rPr>
              <w:t>}</w:t>
            </w:r>
          </w:p>
        </w:tc>
        <w:tc>
          <w:tcPr>
            <w:tcW w:w="1331" w:type="dxa"/>
          </w:tcPr>
          <w:p w14:paraId="7432D6CE" w14:textId="77777777" w:rsidR="00741143" w:rsidRPr="00A52AB8" w:rsidRDefault="00741143" w:rsidP="004F7C57">
            <w:pPr>
              <w:spacing w:before="20" w:after="20"/>
              <w:jc w:val="center"/>
              <w:rPr>
                <w:color w:val="000000" w:themeColor="text1"/>
                <w:sz w:val="20"/>
                <w:szCs w:val="20"/>
              </w:rPr>
            </w:pPr>
          </w:p>
        </w:tc>
      </w:tr>
      <w:tr w:rsidR="00604DE8" w:rsidRPr="00A52AB8" w14:paraId="6EAAD1F1" w14:textId="77777777" w:rsidTr="004A6049">
        <w:trPr>
          <w:trHeight w:val="43"/>
          <w:jc w:val="center"/>
        </w:trPr>
        <w:tc>
          <w:tcPr>
            <w:tcW w:w="8411" w:type="dxa"/>
          </w:tcPr>
          <w:p w14:paraId="04000737" w14:textId="2EB413F6" w:rsidR="00604DE8" w:rsidRPr="00A52AB8" w:rsidRDefault="00604DE8" w:rsidP="004F7C57">
            <w:pPr>
              <w:spacing w:before="20" w:after="20"/>
              <w:rPr>
                <w:color w:val="000000" w:themeColor="text1"/>
                <w:sz w:val="20"/>
              </w:rPr>
            </w:pPr>
            <w:r w:rsidRPr="00A52AB8">
              <w:rPr>
                <w:color w:val="000000" w:themeColor="text1"/>
                <w:sz w:val="20"/>
              </w:rPr>
              <w:tab/>
              <w:t>if( vps_miv_extension_present_flag )</w:t>
            </w:r>
          </w:p>
        </w:tc>
        <w:tc>
          <w:tcPr>
            <w:tcW w:w="1331" w:type="dxa"/>
          </w:tcPr>
          <w:p w14:paraId="102175A4" w14:textId="77777777" w:rsidR="00604DE8" w:rsidRPr="00A52AB8" w:rsidRDefault="00604DE8" w:rsidP="004F7C57">
            <w:pPr>
              <w:spacing w:before="20" w:after="20"/>
              <w:jc w:val="center"/>
              <w:rPr>
                <w:color w:val="000000" w:themeColor="text1"/>
                <w:sz w:val="20"/>
                <w:szCs w:val="20"/>
              </w:rPr>
            </w:pPr>
          </w:p>
        </w:tc>
      </w:tr>
      <w:tr w:rsidR="00604DE8" w:rsidRPr="00A52AB8" w14:paraId="2AB72E62" w14:textId="77777777" w:rsidTr="004A6049">
        <w:trPr>
          <w:trHeight w:val="43"/>
          <w:jc w:val="center"/>
        </w:trPr>
        <w:tc>
          <w:tcPr>
            <w:tcW w:w="8411" w:type="dxa"/>
          </w:tcPr>
          <w:p w14:paraId="2A4501B0" w14:textId="4F7A3228" w:rsidR="00604DE8" w:rsidRPr="00A52AB8" w:rsidRDefault="00604DE8" w:rsidP="004F7C57">
            <w:pPr>
              <w:spacing w:before="20" w:after="20"/>
              <w:rPr>
                <w:color w:val="000000" w:themeColor="text1"/>
                <w:sz w:val="20"/>
              </w:rPr>
            </w:pPr>
            <w:r w:rsidRPr="00A52AB8">
              <w:rPr>
                <w:color w:val="000000" w:themeColor="text1"/>
                <w:sz w:val="20"/>
              </w:rPr>
              <w:tab/>
            </w:r>
            <w:r w:rsidRPr="00A52AB8">
              <w:rPr>
                <w:color w:val="000000" w:themeColor="text1"/>
                <w:sz w:val="20"/>
              </w:rPr>
              <w:tab/>
              <w:t>vps_miv_extension( ) /*Specified in ISO/IEC 23090-12</w:t>
            </w:r>
            <w:r w:rsidR="00720659">
              <w:rPr>
                <w:rStyle w:val="FootnoteReference"/>
                <w:color w:val="000000" w:themeColor="text1"/>
              </w:rPr>
              <w:footnoteReference w:id="3"/>
            </w:r>
            <w:r w:rsidRPr="00A52AB8">
              <w:rPr>
                <w:color w:val="000000" w:themeColor="text1"/>
                <w:sz w:val="20"/>
              </w:rPr>
              <w:t xml:space="preserve"> */</w:t>
            </w:r>
          </w:p>
        </w:tc>
        <w:tc>
          <w:tcPr>
            <w:tcW w:w="1331" w:type="dxa"/>
          </w:tcPr>
          <w:p w14:paraId="345E8F96" w14:textId="77777777" w:rsidR="00604DE8" w:rsidRPr="00A52AB8" w:rsidRDefault="00604DE8" w:rsidP="004F7C57">
            <w:pPr>
              <w:spacing w:before="20" w:after="20"/>
              <w:jc w:val="center"/>
              <w:rPr>
                <w:color w:val="000000" w:themeColor="text1"/>
                <w:sz w:val="20"/>
                <w:szCs w:val="20"/>
              </w:rPr>
            </w:pPr>
          </w:p>
        </w:tc>
      </w:tr>
      <w:tr w:rsidR="00E35D7E" w:rsidRPr="00A52AB8" w14:paraId="686A54FA" w14:textId="77777777" w:rsidTr="004A6049">
        <w:trPr>
          <w:trHeight w:val="43"/>
          <w:jc w:val="center"/>
        </w:trPr>
        <w:tc>
          <w:tcPr>
            <w:tcW w:w="8411" w:type="dxa"/>
          </w:tcPr>
          <w:p w14:paraId="2AAE02FA" w14:textId="2506113F" w:rsidR="00E35D7E" w:rsidRPr="00A52AB8" w:rsidRDefault="00E35D7E" w:rsidP="004F7C57">
            <w:pPr>
              <w:spacing w:before="20" w:after="20"/>
              <w:rPr>
                <w:color w:val="000000" w:themeColor="text1"/>
                <w:sz w:val="20"/>
              </w:rPr>
            </w:pPr>
            <w:r w:rsidRPr="00A52AB8">
              <w:rPr>
                <w:color w:val="000000" w:themeColor="text1"/>
                <w:sz w:val="20"/>
              </w:rPr>
              <w:tab/>
            </w:r>
            <w:r w:rsidRPr="00A52AB8">
              <w:rPr>
                <w:color w:val="000000" w:themeColor="text1"/>
                <w:sz w:val="20"/>
                <w:szCs w:val="20"/>
              </w:rPr>
              <w:t>if(</w:t>
            </w:r>
            <w:r w:rsidR="0091568A" w:rsidRPr="00A52AB8">
              <w:rPr>
                <w:color w:val="000000" w:themeColor="text1"/>
                <w:sz w:val="20"/>
                <w:szCs w:val="20"/>
              </w:rPr>
              <w:t> </w:t>
            </w:r>
            <w:r w:rsidR="0064118B" w:rsidRPr="00A52AB8">
              <w:rPr>
                <w:color w:val="000000" w:themeColor="text1"/>
                <w:sz w:val="20"/>
                <w:szCs w:val="20"/>
              </w:rPr>
              <w:t>v</w:t>
            </w:r>
            <w:r w:rsidR="0064118B" w:rsidRPr="00A52AB8">
              <w:rPr>
                <w:sz w:val="20"/>
                <w:szCs w:val="20"/>
              </w:rPr>
              <w:t>ps_extension_</w:t>
            </w:r>
            <w:r w:rsidR="00741143">
              <w:rPr>
                <w:sz w:val="20"/>
                <w:szCs w:val="20"/>
              </w:rPr>
              <w:t>6</w:t>
            </w:r>
            <w:r w:rsidR="00604DE8" w:rsidRPr="00A52AB8">
              <w:rPr>
                <w:sz w:val="20"/>
                <w:szCs w:val="20"/>
              </w:rPr>
              <w:t>bits </w:t>
            </w:r>
            <w:r w:rsidR="008F1F82" w:rsidRPr="00A52AB8">
              <w:rPr>
                <w:color w:val="000000" w:themeColor="text1"/>
                <w:sz w:val="20"/>
                <w:szCs w:val="20"/>
              </w:rPr>
              <w:t>) {</w:t>
            </w:r>
          </w:p>
        </w:tc>
        <w:tc>
          <w:tcPr>
            <w:tcW w:w="1331" w:type="dxa"/>
          </w:tcPr>
          <w:p w14:paraId="70B4F00F" w14:textId="77777777" w:rsidR="00E35D7E" w:rsidRPr="00A52AB8" w:rsidRDefault="00E35D7E" w:rsidP="004F7C57">
            <w:pPr>
              <w:spacing w:before="20" w:after="20"/>
              <w:jc w:val="center"/>
              <w:rPr>
                <w:color w:val="000000" w:themeColor="text1"/>
                <w:sz w:val="20"/>
                <w:szCs w:val="20"/>
              </w:rPr>
            </w:pPr>
          </w:p>
        </w:tc>
      </w:tr>
      <w:tr w:rsidR="00E90B58" w:rsidRPr="00A52AB8" w14:paraId="3A47C391" w14:textId="77777777" w:rsidTr="004A6049">
        <w:trPr>
          <w:trHeight w:val="43"/>
          <w:jc w:val="center"/>
        </w:trPr>
        <w:tc>
          <w:tcPr>
            <w:tcW w:w="8411" w:type="dxa"/>
          </w:tcPr>
          <w:p w14:paraId="524AD974" w14:textId="77777777" w:rsidR="00E90B58" w:rsidRPr="00A52AB8" w:rsidRDefault="00E90B58" w:rsidP="004F7C57">
            <w:pPr>
              <w:spacing w:before="20" w:after="20"/>
              <w:rPr>
                <w:rFonts w:eastAsia="Times New Roman"/>
                <w:b/>
                <w:bCs/>
                <w:color w:val="000000" w:themeColor="text1"/>
                <w:sz w:val="20"/>
              </w:rPr>
            </w:pPr>
            <w:r w:rsidRPr="00A52AB8">
              <w:rPr>
                <w:color w:val="000000" w:themeColor="text1"/>
                <w:sz w:val="20"/>
              </w:rPr>
              <w:tab/>
            </w:r>
            <w:r w:rsidRPr="00A52AB8">
              <w:rPr>
                <w:color w:val="000000" w:themeColor="text1"/>
                <w:sz w:val="20"/>
              </w:rPr>
              <w:tab/>
            </w:r>
            <w:r w:rsidRPr="00A52AB8">
              <w:rPr>
                <w:b/>
                <w:color w:val="000000" w:themeColor="text1"/>
                <w:sz w:val="20"/>
                <w:szCs w:val="20"/>
              </w:rPr>
              <w:t>vps_extension_length</w:t>
            </w:r>
            <w:r w:rsidR="008F5A9B" w:rsidRPr="00A52AB8">
              <w:rPr>
                <w:b/>
                <w:color w:val="000000" w:themeColor="text1"/>
                <w:sz w:val="20"/>
                <w:szCs w:val="20"/>
              </w:rPr>
              <w:t>_minus1</w:t>
            </w:r>
          </w:p>
        </w:tc>
        <w:tc>
          <w:tcPr>
            <w:tcW w:w="1331" w:type="dxa"/>
          </w:tcPr>
          <w:p w14:paraId="1C8520CB" w14:textId="77777777" w:rsidR="00E90B58" w:rsidRPr="00A52AB8" w:rsidRDefault="00E90B58" w:rsidP="004F7C57">
            <w:pPr>
              <w:spacing w:before="20" w:after="20"/>
              <w:jc w:val="center"/>
              <w:rPr>
                <w:color w:val="000000" w:themeColor="text1"/>
                <w:sz w:val="20"/>
                <w:szCs w:val="20"/>
              </w:rPr>
            </w:pPr>
            <w:r w:rsidRPr="00A52AB8">
              <w:rPr>
                <w:color w:val="000000" w:themeColor="text1"/>
                <w:sz w:val="20"/>
                <w:szCs w:val="20"/>
              </w:rPr>
              <w:t>ue(v)</w:t>
            </w:r>
          </w:p>
        </w:tc>
      </w:tr>
      <w:tr w:rsidR="00E90B58" w:rsidRPr="00A52AB8" w14:paraId="0E3DAB8D" w14:textId="77777777" w:rsidTr="004A6049">
        <w:trPr>
          <w:trHeight w:val="43"/>
          <w:jc w:val="center"/>
        </w:trPr>
        <w:tc>
          <w:tcPr>
            <w:tcW w:w="8411" w:type="dxa"/>
          </w:tcPr>
          <w:p w14:paraId="6E2677E0" w14:textId="349257FC" w:rsidR="00E90B58" w:rsidRPr="00A52AB8" w:rsidRDefault="00E90B58" w:rsidP="004F7C57">
            <w:pPr>
              <w:spacing w:before="20" w:after="20"/>
              <w:rPr>
                <w:color w:val="000000" w:themeColor="text1"/>
                <w:sz w:val="20"/>
                <w:szCs w:val="20"/>
              </w:rPr>
            </w:pPr>
            <w:r w:rsidRPr="00A52AB8">
              <w:rPr>
                <w:color w:val="000000" w:themeColor="text1"/>
                <w:sz w:val="20"/>
                <w:szCs w:val="20"/>
              </w:rPr>
              <w:tab/>
            </w:r>
            <w:r w:rsidRPr="00A52AB8">
              <w:rPr>
                <w:color w:val="000000" w:themeColor="text1"/>
                <w:sz w:val="20"/>
                <w:szCs w:val="20"/>
              </w:rPr>
              <w:tab/>
              <w:t>for(</w:t>
            </w:r>
            <w:r w:rsidR="008F5A9B" w:rsidRPr="00A52AB8">
              <w:rPr>
                <w:color w:val="000000" w:themeColor="text1"/>
                <w:sz w:val="20"/>
                <w:szCs w:val="20"/>
              </w:rPr>
              <w:t> </w:t>
            </w:r>
            <w:r w:rsidRPr="00A52AB8">
              <w:rPr>
                <w:color w:val="000000" w:themeColor="text1"/>
                <w:sz w:val="20"/>
                <w:szCs w:val="20"/>
              </w:rPr>
              <w:t>j</w:t>
            </w:r>
            <w:r w:rsidR="00D47707" w:rsidRPr="00A52AB8">
              <w:rPr>
                <w:color w:val="000000" w:themeColor="text1"/>
                <w:sz w:val="20"/>
                <w:szCs w:val="20"/>
              </w:rPr>
              <w:t> = </w:t>
            </w:r>
            <w:r w:rsidRPr="00A52AB8">
              <w:rPr>
                <w:color w:val="000000" w:themeColor="text1"/>
                <w:sz w:val="20"/>
                <w:szCs w:val="20"/>
              </w:rPr>
              <w:t>0;</w:t>
            </w:r>
            <w:r w:rsidR="0091568A" w:rsidRPr="00A52AB8">
              <w:rPr>
                <w:color w:val="000000" w:themeColor="text1"/>
                <w:sz w:val="20"/>
                <w:szCs w:val="20"/>
              </w:rPr>
              <w:t> </w:t>
            </w:r>
            <w:r w:rsidRPr="00A52AB8">
              <w:rPr>
                <w:color w:val="000000" w:themeColor="text1"/>
                <w:sz w:val="20"/>
                <w:szCs w:val="20"/>
              </w:rPr>
              <w:t>j</w:t>
            </w:r>
            <w:r w:rsidR="0091568A" w:rsidRPr="00A52AB8">
              <w:rPr>
                <w:color w:val="000000" w:themeColor="text1"/>
                <w:sz w:val="20"/>
                <w:szCs w:val="20"/>
              </w:rPr>
              <w:t> </w:t>
            </w:r>
            <w:r w:rsidRPr="00A52AB8">
              <w:rPr>
                <w:color w:val="000000" w:themeColor="text1"/>
                <w:sz w:val="20"/>
                <w:szCs w:val="20"/>
              </w:rPr>
              <w:t>&lt;</w:t>
            </w:r>
            <w:r w:rsidR="0091568A" w:rsidRPr="00A52AB8">
              <w:rPr>
                <w:color w:val="000000" w:themeColor="text1"/>
                <w:sz w:val="20"/>
                <w:szCs w:val="20"/>
              </w:rPr>
              <w:t> </w:t>
            </w:r>
            <w:r w:rsidRPr="00A52AB8">
              <w:rPr>
                <w:color w:val="000000" w:themeColor="text1"/>
                <w:sz w:val="20"/>
                <w:szCs w:val="20"/>
              </w:rPr>
              <w:t>vps_extension_length</w:t>
            </w:r>
            <w:r w:rsidR="008F5A9B" w:rsidRPr="00A52AB8">
              <w:rPr>
                <w:color w:val="000000" w:themeColor="text1"/>
                <w:sz w:val="20"/>
                <w:szCs w:val="20"/>
              </w:rPr>
              <w:t>_minus1</w:t>
            </w:r>
            <w:r w:rsidR="0091568A" w:rsidRPr="00A52AB8">
              <w:rPr>
                <w:color w:val="000000" w:themeColor="text1"/>
                <w:sz w:val="20"/>
                <w:szCs w:val="20"/>
              </w:rPr>
              <w:t> </w:t>
            </w:r>
            <w:r w:rsidRPr="00A52AB8">
              <w:rPr>
                <w:color w:val="000000" w:themeColor="text1"/>
                <w:sz w:val="20"/>
                <w:szCs w:val="20"/>
              </w:rPr>
              <w:t>+</w:t>
            </w:r>
            <w:r w:rsidR="0091568A" w:rsidRPr="00A52AB8">
              <w:rPr>
                <w:color w:val="000000" w:themeColor="text1"/>
                <w:sz w:val="20"/>
                <w:szCs w:val="20"/>
              </w:rPr>
              <w:t> </w:t>
            </w:r>
            <w:r w:rsidRPr="00A52AB8">
              <w:rPr>
                <w:color w:val="000000" w:themeColor="text1"/>
                <w:sz w:val="20"/>
                <w:szCs w:val="20"/>
              </w:rPr>
              <w:t>1;</w:t>
            </w:r>
            <w:r w:rsidR="0091568A" w:rsidRPr="00A52AB8">
              <w:rPr>
                <w:color w:val="000000" w:themeColor="text1"/>
                <w:sz w:val="20"/>
                <w:szCs w:val="20"/>
              </w:rPr>
              <w:t> </w:t>
            </w:r>
            <w:r w:rsidRPr="00A52AB8">
              <w:rPr>
                <w:color w:val="000000" w:themeColor="text1"/>
                <w:sz w:val="20"/>
                <w:szCs w:val="20"/>
              </w:rPr>
              <w:t>j</w:t>
            </w:r>
            <w:r w:rsidR="00006CCF" w:rsidRPr="00A52AB8">
              <w:rPr>
                <w:color w:val="000000" w:themeColor="text1"/>
                <w:sz w:val="20"/>
                <w:szCs w:val="20"/>
              </w:rPr>
              <w:t>++ </w:t>
            </w:r>
            <w:r w:rsidR="008F1F82" w:rsidRPr="00A52AB8">
              <w:rPr>
                <w:color w:val="000000" w:themeColor="text1"/>
                <w:sz w:val="20"/>
                <w:szCs w:val="20"/>
              </w:rPr>
              <w:t>) {</w:t>
            </w:r>
          </w:p>
        </w:tc>
        <w:tc>
          <w:tcPr>
            <w:tcW w:w="1331" w:type="dxa"/>
          </w:tcPr>
          <w:p w14:paraId="54D1C349" w14:textId="77777777" w:rsidR="00E90B58" w:rsidRPr="00A52AB8" w:rsidRDefault="00E90B58" w:rsidP="004F7C57">
            <w:pPr>
              <w:spacing w:before="20" w:after="20"/>
              <w:jc w:val="center"/>
              <w:rPr>
                <w:rFonts w:eastAsia="Times New Roman"/>
                <w:color w:val="000000" w:themeColor="text1"/>
                <w:sz w:val="20"/>
              </w:rPr>
            </w:pPr>
          </w:p>
        </w:tc>
      </w:tr>
      <w:tr w:rsidR="00E90B58" w:rsidRPr="00A52AB8" w14:paraId="52CFDE0C" w14:textId="77777777" w:rsidTr="004A6049">
        <w:trPr>
          <w:trHeight w:val="43"/>
          <w:jc w:val="center"/>
        </w:trPr>
        <w:tc>
          <w:tcPr>
            <w:tcW w:w="8411" w:type="dxa"/>
          </w:tcPr>
          <w:p w14:paraId="6EEB0681" w14:textId="77777777" w:rsidR="00E90B58" w:rsidRPr="00A52AB8" w:rsidRDefault="00E90B58" w:rsidP="004F7C57">
            <w:pPr>
              <w:spacing w:before="20" w:after="20"/>
              <w:rPr>
                <w:rFonts w:eastAsia="Times New Roman"/>
                <w:color w:val="000000" w:themeColor="text1"/>
                <w:sz w:val="20"/>
              </w:rPr>
            </w:pPr>
            <w:r w:rsidRPr="00A52AB8">
              <w:rPr>
                <w:color w:val="000000" w:themeColor="text1"/>
                <w:sz w:val="20"/>
              </w:rPr>
              <w:tab/>
            </w:r>
            <w:r w:rsidRPr="00A52AB8">
              <w:rPr>
                <w:color w:val="000000" w:themeColor="text1"/>
                <w:sz w:val="20"/>
              </w:rPr>
              <w:tab/>
            </w:r>
            <w:r w:rsidRPr="00A52AB8">
              <w:rPr>
                <w:color w:val="000000" w:themeColor="text1"/>
                <w:sz w:val="20"/>
              </w:rPr>
              <w:tab/>
            </w:r>
            <w:r w:rsidRPr="00A52AB8">
              <w:rPr>
                <w:b/>
                <w:color w:val="000000" w:themeColor="text1"/>
                <w:sz w:val="20"/>
                <w:szCs w:val="20"/>
              </w:rPr>
              <w:t>vps_extension_data_byte</w:t>
            </w:r>
          </w:p>
        </w:tc>
        <w:tc>
          <w:tcPr>
            <w:tcW w:w="1331" w:type="dxa"/>
          </w:tcPr>
          <w:p w14:paraId="49656B3D" w14:textId="77777777" w:rsidR="00E90B58" w:rsidRPr="00A52AB8" w:rsidRDefault="00E90B58" w:rsidP="004F7C57">
            <w:pPr>
              <w:spacing w:before="20" w:after="20"/>
              <w:jc w:val="center"/>
              <w:rPr>
                <w:rFonts w:eastAsia="Times New Roman"/>
                <w:color w:val="000000" w:themeColor="text1"/>
                <w:sz w:val="20"/>
              </w:rPr>
            </w:pPr>
            <w:r w:rsidRPr="00A52AB8">
              <w:rPr>
                <w:color w:val="000000" w:themeColor="text1"/>
                <w:sz w:val="20"/>
                <w:szCs w:val="20"/>
              </w:rPr>
              <w:t>u(8)</w:t>
            </w:r>
          </w:p>
        </w:tc>
      </w:tr>
      <w:tr w:rsidR="00E90B58" w:rsidRPr="00A52AB8" w14:paraId="2E10EF71" w14:textId="77777777" w:rsidTr="004A6049">
        <w:trPr>
          <w:trHeight w:val="43"/>
          <w:jc w:val="center"/>
        </w:trPr>
        <w:tc>
          <w:tcPr>
            <w:tcW w:w="8411" w:type="dxa"/>
          </w:tcPr>
          <w:p w14:paraId="0B8658DD" w14:textId="77777777" w:rsidR="00E90B58" w:rsidRPr="00A52AB8" w:rsidRDefault="00E90B58" w:rsidP="004F7C57">
            <w:pPr>
              <w:spacing w:before="20" w:after="20"/>
              <w:rPr>
                <w:rFonts w:eastAsia="Times New Roman"/>
                <w:color w:val="000000" w:themeColor="text1"/>
                <w:sz w:val="20"/>
              </w:rPr>
            </w:pPr>
            <w:r w:rsidRPr="00A52AB8">
              <w:rPr>
                <w:color w:val="000000" w:themeColor="text1"/>
                <w:sz w:val="20"/>
                <w:szCs w:val="20"/>
              </w:rPr>
              <w:tab/>
            </w:r>
            <w:r w:rsidRPr="00A52AB8">
              <w:rPr>
                <w:color w:val="000000" w:themeColor="text1"/>
                <w:sz w:val="20"/>
                <w:szCs w:val="20"/>
              </w:rPr>
              <w:tab/>
              <w:t>}</w:t>
            </w:r>
          </w:p>
        </w:tc>
        <w:tc>
          <w:tcPr>
            <w:tcW w:w="1331" w:type="dxa"/>
          </w:tcPr>
          <w:p w14:paraId="3C0BDC58" w14:textId="77777777" w:rsidR="00E90B58" w:rsidRPr="00A52AB8" w:rsidRDefault="00E90B58" w:rsidP="004F7C57">
            <w:pPr>
              <w:spacing w:before="20" w:after="20"/>
              <w:jc w:val="center"/>
              <w:rPr>
                <w:rFonts w:eastAsia="Times New Roman"/>
                <w:color w:val="000000" w:themeColor="text1"/>
                <w:sz w:val="20"/>
              </w:rPr>
            </w:pPr>
          </w:p>
        </w:tc>
      </w:tr>
      <w:tr w:rsidR="00E90B58" w:rsidRPr="00A52AB8" w14:paraId="31D21F69" w14:textId="77777777" w:rsidTr="004A6049">
        <w:trPr>
          <w:trHeight w:val="43"/>
          <w:jc w:val="center"/>
        </w:trPr>
        <w:tc>
          <w:tcPr>
            <w:tcW w:w="8411" w:type="dxa"/>
          </w:tcPr>
          <w:p w14:paraId="5ABE82DD" w14:textId="77777777" w:rsidR="00E90B58" w:rsidRPr="00A52AB8" w:rsidRDefault="00E90B58" w:rsidP="004F7C57">
            <w:pPr>
              <w:spacing w:before="20" w:after="20"/>
              <w:rPr>
                <w:rFonts w:eastAsia="Times New Roman"/>
                <w:color w:val="000000" w:themeColor="text1"/>
                <w:sz w:val="20"/>
              </w:rPr>
            </w:pPr>
            <w:r w:rsidRPr="00A52AB8">
              <w:rPr>
                <w:color w:val="000000" w:themeColor="text1"/>
                <w:sz w:val="20"/>
                <w:szCs w:val="20"/>
              </w:rPr>
              <w:tab/>
              <w:t>}</w:t>
            </w:r>
          </w:p>
        </w:tc>
        <w:tc>
          <w:tcPr>
            <w:tcW w:w="1331" w:type="dxa"/>
          </w:tcPr>
          <w:p w14:paraId="59AF36B2" w14:textId="77777777" w:rsidR="00E90B58" w:rsidRPr="00A52AB8" w:rsidRDefault="00E90B58" w:rsidP="004F7C57">
            <w:pPr>
              <w:spacing w:before="20" w:after="20"/>
              <w:jc w:val="center"/>
              <w:rPr>
                <w:rFonts w:eastAsia="Times New Roman"/>
                <w:color w:val="000000" w:themeColor="text1"/>
                <w:sz w:val="20"/>
              </w:rPr>
            </w:pPr>
          </w:p>
        </w:tc>
      </w:tr>
      <w:tr w:rsidR="006936C4" w:rsidRPr="00A52AB8" w14:paraId="3DDA6C55" w14:textId="77777777" w:rsidTr="004A6049">
        <w:trPr>
          <w:trHeight w:val="43"/>
          <w:jc w:val="center"/>
        </w:trPr>
        <w:tc>
          <w:tcPr>
            <w:tcW w:w="8411" w:type="dxa"/>
          </w:tcPr>
          <w:p w14:paraId="650BC354" w14:textId="3C098413" w:rsidR="006936C4" w:rsidRPr="00A52AB8" w:rsidRDefault="006936C4" w:rsidP="004F7C57">
            <w:pPr>
              <w:spacing w:before="20" w:after="20"/>
              <w:rPr>
                <w:color w:val="000000" w:themeColor="text1"/>
                <w:sz w:val="20"/>
                <w:szCs w:val="20"/>
              </w:rPr>
            </w:pPr>
            <w:r w:rsidRPr="00A52AB8">
              <w:rPr>
                <w:color w:val="000000" w:themeColor="text1"/>
                <w:sz w:val="20"/>
                <w:szCs w:val="20"/>
              </w:rPr>
              <w:tab/>
              <w:t>byte_alignment(</w:t>
            </w:r>
            <w:r w:rsidR="0091568A" w:rsidRPr="00A52AB8">
              <w:rPr>
                <w:color w:val="000000" w:themeColor="text1"/>
                <w:sz w:val="20"/>
                <w:szCs w:val="20"/>
              </w:rPr>
              <w:t> </w:t>
            </w:r>
            <w:r w:rsidRPr="00A52AB8">
              <w:rPr>
                <w:color w:val="000000" w:themeColor="text1"/>
                <w:sz w:val="20"/>
                <w:szCs w:val="20"/>
              </w:rPr>
              <w:t>)</w:t>
            </w:r>
          </w:p>
        </w:tc>
        <w:tc>
          <w:tcPr>
            <w:tcW w:w="1331" w:type="dxa"/>
          </w:tcPr>
          <w:p w14:paraId="0F515299" w14:textId="77777777" w:rsidR="006936C4" w:rsidRPr="00A52AB8" w:rsidRDefault="006936C4" w:rsidP="004F7C57">
            <w:pPr>
              <w:spacing w:before="20" w:after="20"/>
              <w:jc w:val="center"/>
              <w:rPr>
                <w:color w:val="000000" w:themeColor="text1"/>
                <w:sz w:val="20"/>
                <w:szCs w:val="20"/>
              </w:rPr>
            </w:pPr>
          </w:p>
        </w:tc>
      </w:tr>
      <w:tr w:rsidR="006936C4" w:rsidRPr="00A52AB8" w14:paraId="58835E7D" w14:textId="77777777" w:rsidTr="004A6049">
        <w:trPr>
          <w:jc w:val="center"/>
        </w:trPr>
        <w:tc>
          <w:tcPr>
            <w:tcW w:w="8411" w:type="dxa"/>
          </w:tcPr>
          <w:p w14:paraId="7F7ACDEB" w14:textId="77777777" w:rsidR="006936C4" w:rsidRPr="00A52AB8" w:rsidRDefault="006936C4" w:rsidP="004F7C57">
            <w:pPr>
              <w:spacing w:before="20" w:after="20"/>
              <w:rPr>
                <w:color w:val="000000" w:themeColor="text1"/>
                <w:sz w:val="20"/>
                <w:szCs w:val="20"/>
              </w:rPr>
            </w:pPr>
            <w:r w:rsidRPr="00A52AB8">
              <w:rPr>
                <w:color w:val="000000" w:themeColor="text1"/>
                <w:sz w:val="20"/>
                <w:szCs w:val="20"/>
              </w:rPr>
              <w:t>}</w:t>
            </w:r>
          </w:p>
        </w:tc>
        <w:tc>
          <w:tcPr>
            <w:tcW w:w="1331" w:type="dxa"/>
          </w:tcPr>
          <w:p w14:paraId="253AB6CB" w14:textId="77777777" w:rsidR="006936C4" w:rsidRPr="00A52AB8" w:rsidRDefault="006936C4" w:rsidP="004F7C57">
            <w:pPr>
              <w:spacing w:before="20" w:after="20"/>
              <w:jc w:val="center"/>
              <w:rPr>
                <w:color w:val="000000" w:themeColor="text1"/>
                <w:sz w:val="20"/>
                <w:szCs w:val="20"/>
              </w:rPr>
            </w:pPr>
          </w:p>
        </w:tc>
      </w:tr>
    </w:tbl>
    <w:p w14:paraId="42CCCBF5" w14:textId="77777777" w:rsidR="00BD3098" w:rsidRPr="00A52AB8" w:rsidRDefault="00BD3098" w:rsidP="00CB76AA">
      <w:pPr>
        <w:pStyle w:val="Heading4"/>
      </w:pPr>
      <w:r w:rsidRPr="00A52AB8">
        <w:t>Profile, tier, and level syntax</w:t>
      </w:r>
    </w:p>
    <w:tbl>
      <w:tblPr>
        <w:tblStyle w:val="TableGrid"/>
        <w:tblW w:w="5000" w:type="pct"/>
        <w:tblLook w:val="04A0" w:firstRow="1" w:lastRow="0" w:firstColumn="1" w:lastColumn="0" w:noHBand="0" w:noVBand="1"/>
      </w:tblPr>
      <w:tblGrid>
        <w:gridCol w:w="8411"/>
        <w:gridCol w:w="1331"/>
      </w:tblGrid>
      <w:tr w:rsidR="00BD3098" w:rsidRPr="00A52AB8" w14:paraId="4BB0C111" w14:textId="77777777" w:rsidTr="00A252B5">
        <w:tc>
          <w:tcPr>
            <w:tcW w:w="7921" w:type="dxa"/>
          </w:tcPr>
          <w:p w14:paraId="45B95B15" w14:textId="6D46262D" w:rsidR="00BD3098" w:rsidRPr="00A52AB8" w:rsidRDefault="00BD3098">
            <w:pPr>
              <w:spacing w:before="20" w:after="20"/>
              <w:rPr>
                <w:color w:val="000000" w:themeColor="text1"/>
                <w:sz w:val="20"/>
                <w:szCs w:val="20"/>
              </w:rPr>
            </w:pPr>
            <w:r w:rsidRPr="00A52AB8">
              <w:rPr>
                <w:color w:val="000000" w:themeColor="text1"/>
                <w:sz w:val="20"/>
                <w:szCs w:val="20"/>
              </w:rPr>
              <w:t>profile_tier_level( </w:t>
            </w:r>
            <w:r w:rsidR="008F1F82" w:rsidRPr="00A52AB8">
              <w:rPr>
                <w:color w:val="000000" w:themeColor="text1"/>
                <w:sz w:val="20"/>
                <w:szCs w:val="20"/>
              </w:rPr>
              <w:t>) {</w:t>
            </w:r>
          </w:p>
        </w:tc>
        <w:tc>
          <w:tcPr>
            <w:tcW w:w="1253" w:type="dxa"/>
          </w:tcPr>
          <w:p w14:paraId="72E80FBD" w14:textId="77777777" w:rsidR="00BD3098" w:rsidRPr="00A52AB8" w:rsidRDefault="00BD3098">
            <w:pPr>
              <w:spacing w:before="20" w:after="20"/>
              <w:jc w:val="center"/>
              <w:rPr>
                <w:b/>
                <w:color w:val="000000" w:themeColor="text1"/>
                <w:sz w:val="20"/>
                <w:szCs w:val="20"/>
              </w:rPr>
            </w:pPr>
            <w:r w:rsidRPr="00A52AB8">
              <w:rPr>
                <w:b/>
                <w:color w:val="000000" w:themeColor="text1"/>
                <w:sz w:val="20"/>
                <w:szCs w:val="20"/>
              </w:rPr>
              <w:t>Descriptor</w:t>
            </w:r>
          </w:p>
        </w:tc>
      </w:tr>
      <w:tr w:rsidR="006831E6" w:rsidRPr="00A52AB8" w14:paraId="778F1DD4" w14:textId="77777777" w:rsidTr="00A252B5">
        <w:tc>
          <w:tcPr>
            <w:tcW w:w="7921" w:type="dxa"/>
          </w:tcPr>
          <w:p w14:paraId="56EB894F" w14:textId="77777777" w:rsidR="006831E6" w:rsidRPr="00A52AB8" w:rsidRDefault="006831E6" w:rsidP="004F7C57">
            <w:pPr>
              <w:spacing w:before="20" w:after="20"/>
              <w:rPr>
                <w:b/>
                <w:color w:val="000000" w:themeColor="text1"/>
                <w:sz w:val="20"/>
                <w:szCs w:val="20"/>
              </w:rPr>
            </w:pPr>
            <w:r w:rsidRPr="00A52AB8">
              <w:rPr>
                <w:color w:val="000000" w:themeColor="text1"/>
                <w:sz w:val="20"/>
                <w:szCs w:val="20"/>
              </w:rPr>
              <w:tab/>
            </w:r>
            <w:r w:rsidR="008843B7" w:rsidRPr="00A52AB8">
              <w:rPr>
                <w:b/>
                <w:color w:val="000000" w:themeColor="text1"/>
                <w:sz w:val="20"/>
                <w:szCs w:val="20"/>
              </w:rPr>
              <w:t>ptl_</w:t>
            </w:r>
            <w:r w:rsidRPr="00A52AB8">
              <w:rPr>
                <w:b/>
                <w:color w:val="000000" w:themeColor="text1"/>
                <w:sz w:val="20"/>
                <w:szCs w:val="20"/>
              </w:rPr>
              <w:t>tier_flag</w:t>
            </w:r>
          </w:p>
        </w:tc>
        <w:tc>
          <w:tcPr>
            <w:tcW w:w="1253" w:type="dxa"/>
          </w:tcPr>
          <w:p w14:paraId="24FF7743" w14:textId="77777777" w:rsidR="006831E6" w:rsidRPr="00A52AB8" w:rsidRDefault="006831E6" w:rsidP="004F7C57">
            <w:pPr>
              <w:spacing w:before="20" w:after="20"/>
              <w:jc w:val="center"/>
              <w:rPr>
                <w:color w:val="000000" w:themeColor="text1"/>
                <w:sz w:val="20"/>
                <w:szCs w:val="20"/>
              </w:rPr>
            </w:pPr>
            <w:r w:rsidRPr="00A52AB8">
              <w:rPr>
                <w:color w:val="000000" w:themeColor="text1"/>
                <w:sz w:val="20"/>
                <w:szCs w:val="20"/>
              </w:rPr>
              <w:t>u(1)</w:t>
            </w:r>
          </w:p>
        </w:tc>
      </w:tr>
      <w:tr w:rsidR="0068623B" w:rsidRPr="00A52AB8" w14:paraId="1BE123DA" w14:textId="77777777" w:rsidTr="00A252B5">
        <w:tc>
          <w:tcPr>
            <w:tcW w:w="7921" w:type="dxa"/>
          </w:tcPr>
          <w:p w14:paraId="48783BB6" w14:textId="77777777" w:rsidR="0068623B" w:rsidRPr="00A52AB8" w:rsidRDefault="0068623B" w:rsidP="004F7C57">
            <w:pPr>
              <w:spacing w:before="20" w:after="20"/>
              <w:rPr>
                <w:color w:val="000000" w:themeColor="text1"/>
                <w:sz w:val="20"/>
                <w:szCs w:val="20"/>
                <w:lang w:eastAsia="ja-JP"/>
              </w:rPr>
            </w:pPr>
            <w:r w:rsidRPr="00A52AB8">
              <w:rPr>
                <w:color w:val="000000" w:themeColor="text1"/>
                <w:sz w:val="20"/>
                <w:szCs w:val="20"/>
              </w:rPr>
              <w:tab/>
            </w:r>
            <w:r w:rsidRPr="00A52AB8">
              <w:rPr>
                <w:b/>
                <w:color w:val="000000" w:themeColor="text1"/>
                <w:sz w:val="20"/>
                <w:szCs w:val="20"/>
              </w:rPr>
              <w:t>ptl_profile</w:t>
            </w:r>
            <w:r w:rsidRPr="00A52AB8">
              <w:rPr>
                <w:b/>
                <w:color w:val="000000" w:themeColor="text1"/>
                <w:sz w:val="20"/>
                <w:szCs w:val="20"/>
                <w:lang w:eastAsia="ja-JP"/>
              </w:rPr>
              <w:t xml:space="preserve">_codec_group_idc </w:t>
            </w:r>
          </w:p>
        </w:tc>
        <w:tc>
          <w:tcPr>
            <w:tcW w:w="1253" w:type="dxa"/>
          </w:tcPr>
          <w:p w14:paraId="47978BF5" w14:textId="77777777" w:rsidR="0068623B" w:rsidRPr="00A52AB8" w:rsidRDefault="0068623B" w:rsidP="004F7C57">
            <w:pPr>
              <w:spacing w:before="20" w:after="20"/>
              <w:jc w:val="center"/>
              <w:rPr>
                <w:color w:val="000000" w:themeColor="text1"/>
                <w:sz w:val="20"/>
                <w:szCs w:val="20"/>
              </w:rPr>
            </w:pPr>
            <w:r w:rsidRPr="00A52AB8">
              <w:rPr>
                <w:color w:val="000000" w:themeColor="text1"/>
                <w:sz w:val="20"/>
                <w:szCs w:val="20"/>
              </w:rPr>
              <w:t>u(7)</w:t>
            </w:r>
          </w:p>
        </w:tc>
      </w:tr>
      <w:tr w:rsidR="0068623B" w:rsidRPr="00A52AB8" w14:paraId="5592F0F5" w14:textId="77777777" w:rsidTr="00A252B5">
        <w:tc>
          <w:tcPr>
            <w:tcW w:w="7921" w:type="dxa"/>
          </w:tcPr>
          <w:p w14:paraId="2729209D" w14:textId="77777777" w:rsidR="0068623B" w:rsidRPr="00A52AB8" w:rsidRDefault="0068623B" w:rsidP="004F7C57">
            <w:pPr>
              <w:spacing w:before="20" w:after="20"/>
              <w:rPr>
                <w:color w:val="000000" w:themeColor="text1"/>
                <w:sz w:val="20"/>
                <w:szCs w:val="20"/>
                <w:lang w:eastAsia="ja-JP"/>
              </w:rPr>
            </w:pPr>
            <w:r w:rsidRPr="00A52AB8">
              <w:rPr>
                <w:color w:val="000000" w:themeColor="text1"/>
                <w:sz w:val="20"/>
                <w:szCs w:val="20"/>
              </w:rPr>
              <w:tab/>
            </w:r>
            <w:r w:rsidRPr="00A52AB8">
              <w:rPr>
                <w:b/>
                <w:color w:val="000000" w:themeColor="text1"/>
                <w:sz w:val="20"/>
                <w:szCs w:val="20"/>
              </w:rPr>
              <w:t>ptl_profile</w:t>
            </w:r>
            <w:r w:rsidRPr="00A52AB8">
              <w:rPr>
                <w:b/>
                <w:color w:val="000000" w:themeColor="text1"/>
                <w:sz w:val="20"/>
                <w:szCs w:val="20"/>
                <w:lang w:eastAsia="ja-JP"/>
              </w:rPr>
              <w:t xml:space="preserve">_toolset_idc </w:t>
            </w:r>
          </w:p>
        </w:tc>
        <w:tc>
          <w:tcPr>
            <w:tcW w:w="1253" w:type="dxa"/>
          </w:tcPr>
          <w:p w14:paraId="6FD4E646" w14:textId="77777777" w:rsidR="0068623B" w:rsidRPr="00A52AB8" w:rsidRDefault="0068623B" w:rsidP="004F7C57">
            <w:pPr>
              <w:spacing w:before="20" w:after="20"/>
              <w:jc w:val="center"/>
              <w:rPr>
                <w:color w:val="000000" w:themeColor="text1"/>
                <w:sz w:val="20"/>
                <w:szCs w:val="20"/>
              </w:rPr>
            </w:pPr>
            <w:r w:rsidRPr="00A52AB8">
              <w:rPr>
                <w:color w:val="000000" w:themeColor="text1"/>
                <w:sz w:val="20"/>
                <w:szCs w:val="20"/>
              </w:rPr>
              <w:t>u(8)</w:t>
            </w:r>
          </w:p>
        </w:tc>
      </w:tr>
      <w:tr w:rsidR="00BD3098" w:rsidRPr="00A52AB8" w14:paraId="69CFE778" w14:textId="77777777" w:rsidTr="00A252B5">
        <w:tc>
          <w:tcPr>
            <w:tcW w:w="7921" w:type="dxa"/>
          </w:tcPr>
          <w:p w14:paraId="0132C5A4" w14:textId="77777777" w:rsidR="00BB4C23" w:rsidRPr="00A52AB8" w:rsidRDefault="00BD3098" w:rsidP="004F7C57">
            <w:pPr>
              <w:spacing w:before="20" w:after="20"/>
              <w:rPr>
                <w:color w:val="000000" w:themeColor="text1"/>
                <w:sz w:val="20"/>
                <w:szCs w:val="20"/>
                <w:lang w:eastAsia="ja-JP"/>
              </w:rPr>
            </w:pPr>
            <w:r w:rsidRPr="00A52AB8">
              <w:rPr>
                <w:color w:val="000000" w:themeColor="text1"/>
                <w:sz w:val="20"/>
                <w:szCs w:val="20"/>
              </w:rPr>
              <w:tab/>
            </w:r>
            <w:r w:rsidR="008843B7" w:rsidRPr="00A52AB8">
              <w:rPr>
                <w:b/>
                <w:color w:val="000000" w:themeColor="text1"/>
                <w:sz w:val="20"/>
                <w:szCs w:val="20"/>
              </w:rPr>
              <w:t>ptl_</w:t>
            </w:r>
            <w:r w:rsidRPr="00A52AB8">
              <w:rPr>
                <w:b/>
                <w:color w:val="000000" w:themeColor="text1"/>
                <w:sz w:val="20"/>
                <w:szCs w:val="20"/>
              </w:rPr>
              <w:t>profile</w:t>
            </w:r>
            <w:r w:rsidRPr="00A52AB8">
              <w:rPr>
                <w:b/>
                <w:color w:val="000000" w:themeColor="text1"/>
                <w:sz w:val="20"/>
                <w:szCs w:val="20"/>
                <w:lang w:eastAsia="ja-JP"/>
              </w:rPr>
              <w:t>_</w:t>
            </w:r>
            <w:r w:rsidR="0068623B" w:rsidRPr="00A52AB8">
              <w:rPr>
                <w:b/>
                <w:color w:val="000000" w:themeColor="text1"/>
                <w:sz w:val="20"/>
                <w:szCs w:val="20"/>
                <w:lang w:eastAsia="ja-JP"/>
              </w:rPr>
              <w:t>reconstruction_</w:t>
            </w:r>
            <w:r w:rsidRPr="00A52AB8">
              <w:rPr>
                <w:b/>
                <w:color w:val="000000" w:themeColor="text1"/>
                <w:sz w:val="20"/>
                <w:szCs w:val="20"/>
                <w:lang w:eastAsia="ja-JP"/>
              </w:rPr>
              <w:t>idc</w:t>
            </w:r>
            <w:r w:rsidR="00BB4C23" w:rsidRPr="00A52AB8">
              <w:rPr>
                <w:b/>
                <w:color w:val="000000" w:themeColor="text1"/>
                <w:sz w:val="20"/>
                <w:szCs w:val="20"/>
                <w:lang w:eastAsia="ja-JP"/>
              </w:rPr>
              <w:t xml:space="preserve"> </w:t>
            </w:r>
          </w:p>
        </w:tc>
        <w:tc>
          <w:tcPr>
            <w:tcW w:w="1253" w:type="dxa"/>
          </w:tcPr>
          <w:p w14:paraId="13D4E7DE" w14:textId="77777777" w:rsidR="00BD3098" w:rsidRPr="00A52AB8" w:rsidRDefault="00BD3098" w:rsidP="004F7C57">
            <w:pPr>
              <w:spacing w:before="20" w:after="20"/>
              <w:jc w:val="center"/>
              <w:rPr>
                <w:color w:val="000000" w:themeColor="text1"/>
                <w:sz w:val="20"/>
                <w:szCs w:val="20"/>
              </w:rPr>
            </w:pPr>
            <w:r w:rsidRPr="00A52AB8">
              <w:rPr>
                <w:color w:val="000000" w:themeColor="text1"/>
                <w:sz w:val="20"/>
                <w:szCs w:val="20"/>
              </w:rPr>
              <w:t>u(</w:t>
            </w:r>
            <w:r w:rsidR="0068623B" w:rsidRPr="00A52AB8">
              <w:rPr>
                <w:color w:val="000000" w:themeColor="text1"/>
                <w:sz w:val="20"/>
                <w:szCs w:val="20"/>
              </w:rPr>
              <w:t>8</w:t>
            </w:r>
            <w:r w:rsidRPr="00A52AB8">
              <w:rPr>
                <w:color w:val="000000" w:themeColor="text1"/>
                <w:sz w:val="20"/>
                <w:szCs w:val="20"/>
              </w:rPr>
              <w:t>)</w:t>
            </w:r>
          </w:p>
        </w:tc>
      </w:tr>
      <w:tr w:rsidR="006831E6" w:rsidRPr="00A52AB8" w14:paraId="628EE544" w14:textId="77777777" w:rsidTr="00A252B5">
        <w:tc>
          <w:tcPr>
            <w:tcW w:w="7921" w:type="dxa"/>
          </w:tcPr>
          <w:p w14:paraId="67EFD84C" w14:textId="77777777" w:rsidR="006831E6" w:rsidRPr="00A52AB8" w:rsidRDefault="009B4D27" w:rsidP="004F7C57">
            <w:pPr>
              <w:spacing w:before="20" w:after="20"/>
              <w:rPr>
                <w:b/>
                <w:color w:val="000000" w:themeColor="text1"/>
                <w:sz w:val="20"/>
                <w:szCs w:val="20"/>
              </w:rPr>
            </w:pPr>
            <w:r w:rsidRPr="00A52AB8">
              <w:rPr>
                <w:b/>
                <w:color w:val="000000" w:themeColor="text1"/>
                <w:sz w:val="20"/>
                <w:szCs w:val="20"/>
              </w:rPr>
              <w:tab/>
            </w:r>
            <w:r w:rsidR="008843B7" w:rsidRPr="00A52AB8">
              <w:rPr>
                <w:b/>
                <w:color w:val="000000" w:themeColor="text1"/>
                <w:sz w:val="20"/>
                <w:szCs w:val="20"/>
              </w:rPr>
              <w:t>ptl_</w:t>
            </w:r>
            <w:r w:rsidR="00E45EBB" w:rsidRPr="00A52AB8">
              <w:rPr>
                <w:b/>
                <w:color w:val="000000" w:themeColor="text1"/>
                <w:sz w:val="20"/>
                <w:szCs w:val="20"/>
              </w:rPr>
              <w:t>reserved_zero_</w:t>
            </w:r>
            <w:r w:rsidR="0085061D" w:rsidRPr="00A52AB8">
              <w:rPr>
                <w:b/>
                <w:color w:val="000000" w:themeColor="text1"/>
                <w:sz w:val="20"/>
                <w:szCs w:val="20"/>
              </w:rPr>
              <w:t>16bits</w:t>
            </w:r>
          </w:p>
        </w:tc>
        <w:tc>
          <w:tcPr>
            <w:tcW w:w="1253" w:type="dxa"/>
          </w:tcPr>
          <w:p w14:paraId="7749BAC4" w14:textId="77777777" w:rsidR="006831E6" w:rsidRPr="00A52AB8" w:rsidRDefault="009B4D27" w:rsidP="004F7C57">
            <w:pPr>
              <w:spacing w:before="20" w:after="20"/>
              <w:jc w:val="center"/>
              <w:rPr>
                <w:color w:val="000000" w:themeColor="text1"/>
                <w:sz w:val="20"/>
                <w:szCs w:val="20"/>
              </w:rPr>
            </w:pPr>
            <w:r w:rsidRPr="00A52AB8">
              <w:rPr>
                <w:color w:val="000000" w:themeColor="text1"/>
                <w:sz w:val="20"/>
                <w:szCs w:val="20"/>
              </w:rPr>
              <w:t>u(</w:t>
            </w:r>
            <w:r w:rsidR="0085061D" w:rsidRPr="00A52AB8">
              <w:rPr>
                <w:color w:val="000000" w:themeColor="text1"/>
                <w:sz w:val="20"/>
                <w:szCs w:val="20"/>
              </w:rPr>
              <w:t>16</w:t>
            </w:r>
            <w:r w:rsidRPr="00A52AB8">
              <w:rPr>
                <w:color w:val="000000" w:themeColor="text1"/>
                <w:sz w:val="20"/>
                <w:szCs w:val="20"/>
              </w:rPr>
              <w:t>)</w:t>
            </w:r>
          </w:p>
        </w:tc>
      </w:tr>
      <w:tr w:rsidR="00CA2168" w:rsidRPr="00A52AB8" w14:paraId="2B7543B3" w14:textId="77777777" w:rsidTr="00A252B5">
        <w:tc>
          <w:tcPr>
            <w:tcW w:w="7921" w:type="dxa"/>
          </w:tcPr>
          <w:p w14:paraId="4F28404C" w14:textId="552F80BA" w:rsidR="00CA2168" w:rsidRPr="00CA2168" w:rsidRDefault="00CA2168" w:rsidP="004F7C57">
            <w:pPr>
              <w:spacing w:before="20" w:after="20"/>
              <w:rPr>
                <w:b/>
                <w:color w:val="000000" w:themeColor="text1"/>
                <w:sz w:val="20"/>
                <w:szCs w:val="20"/>
              </w:rPr>
            </w:pPr>
            <w:r>
              <w:rPr>
                <w:b/>
                <w:color w:val="000000" w:themeColor="text1"/>
                <w:sz w:val="20"/>
                <w:szCs w:val="20"/>
              </w:rPr>
              <w:tab/>
            </w:r>
            <w:r w:rsidRPr="00EE3D19">
              <w:rPr>
                <w:b/>
                <w:color w:val="000000" w:themeColor="text1"/>
                <w:sz w:val="20"/>
                <w:szCs w:val="20"/>
              </w:rPr>
              <w:t>ptl_max_decodes_idc</w:t>
            </w:r>
          </w:p>
        </w:tc>
        <w:tc>
          <w:tcPr>
            <w:tcW w:w="1253" w:type="dxa"/>
          </w:tcPr>
          <w:p w14:paraId="56378850" w14:textId="7269D0E1" w:rsidR="00CA2168" w:rsidRPr="00A52AB8" w:rsidRDefault="00CA2168" w:rsidP="004F7C57">
            <w:pPr>
              <w:spacing w:before="20" w:after="20"/>
              <w:jc w:val="center"/>
              <w:rPr>
                <w:color w:val="000000" w:themeColor="text1"/>
                <w:sz w:val="20"/>
                <w:szCs w:val="20"/>
              </w:rPr>
            </w:pPr>
            <w:r>
              <w:rPr>
                <w:color w:val="000000" w:themeColor="text1"/>
                <w:sz w:val="20"/>
                <w:szCs w:val="20"/>
              </w:rPr>
              <w:t>u(4)</w:t>
            </w:r>
          </w:p>
        </w:tc>
      </w:tr>
      <w:tr w:rsidR="00104C5A" w:rsidRPr="00A52AB8" w14:paraId="2044DBAD" w14:textId="77777777" w:rsidTr="00A252B5">
        <w:tc>
          <w:tcPr>
            <w:tcW w:w="7921" w:type="dxa"/>
          </w:tcPr>
          <w:p w14:paraId="1EFE497B" w14:textId="7AADE1D6" w:rsidR="00104C5A" w:rsidRPr="00A52AB8" w:rsidRDefault="004E5ACC" w:rsidP="004F7C57">
            <w:pPr>
              <w:spacing w:before="20" w:after="20"/>
              <w:rPr>
                <w:b/>
                <w:color w:val="000000" w:themeColor="text1"/>
                <w:sz w:val="20"/>
                <w:szCs w:val="20"/>
              </w:rPr>
            </w:pPr>
            <w:r w:rsidRPr="00A52AB8">
              <w:rPr>
                <w:b/>
                <w:color w:val="000000" w:themeColor="text1"/>
                <w:sz w:val="20"/>
                <w:szCs w:val="20"/>
              </w:rPr>
              <w:tab/>
              <w:t>ptl_reserved_0xfff_1</w:t>
            </w:r>
            <w:r w:rsidR="00CA2168">
              <w:rPr>
                <w:b/>
                <w:color w:val="000000" w:themeColor="text1"/>
                <w:sz w:val="20"/>
                <w:szCs w:val="20"/>
              </w:rPr>
              <w:t>2</w:t>
            </w:r>
            <w:r w:rsidRPr="00A52AB8">
              <w:rPr>
                <w:b/>
                <w:color w:val="000000" w:themeColor="text1"/>
                <w:sz w:val="20"/>
                <w:szCs w:val="20"/>
              </w:rPr>
              <w:t>bits</w:t>
            </w:r>
          </w:p>
        </w:tc>
        <w:tc>
          <w:tcPr>
            <w:tcW w:w="1253" w:type="dxa"/>
          </w:tcPr>
          <w:p w14:paraId="1C55BD1E" w14:textId="7BBDCC3E" w:rsidR="00104C5A" w:rsidRPr="00A52AB8" w:rsidRDefault="002D61DD" w:rsidP="004F7C57">
            <w:pPr>
              <w:spacing w:before="20" w:after="20"/>
              <w:jc w:val="center"/>
              <w:rPr>
                <w:color w:val="000000" w:themeColor="text1"/>
                <w:sz w:val="20"/>
                <w:szCs w:val="20"/>
              </w:rPr>
            </w:pPr>
            <w:r w:rsidRPr="00A52AB8">
              <w:rPr>
                <w:color w:val="000000" w:themeColor="text1"/>
                <w:sz w:val="20"/>
                <w:szCs w:val="20"/>
              </w:rPr>
              <w:t>u(</w:t>
            </w:r>
            <w:r w:rsidR="00CA2168" w:rsidRPr="00A52AB8">
              <w:rPr>
                <w:color w:val="000000" w:themeColor="text1"/>
                <w:sz w:val="20"/>
                <w:szCs w:val="20"/>
              </w:rPr>
              <w:t>1</w:t>
            </w:r>
            <w:r w:rsidR="00CA2168">
              <w:rPr>
                <w:color w:val="000000" w:themeColor="text1"/>
                <w:sz w:val="20"/>
                <w:szCs w:val="20"/>
              </w:rPr>
              <w:t>2</w:t>
            </w:r>
            <w:r w:rsidRPr="00A52AB8">
              <w:rPr>
                <w:color w:val="000000" w:themeColor="text1"/>
                <w:sz w:val="20"/>
                <w:szCs w:val="20"/>
              </w:rPr>
              <w:t>)</w:t>
            </w:r>
          </w:p>
        </w:tc>
      </w:tr>
      <w:tr w:rsidR="00BD3098" w:rsidRPr="00A52AB8" w14:paraId="2039C54A" w14:textId="77777777" w:rsidTr="00A252B5">
        <w:tc>
          <w:tcPr>
            <w:tcW w:w="7921" w:type="dxa"/>
            <w:tcBorders>
              <w:bottom w:val="single" w:sz="4" w:space="0" w:color="000000" w:themeColor="text1"/>
            </w:tcBorders>
          </w:tcPr>
          <w:p w14:paraId="0CAC4308" w14:textId="77777777" w:rsidR="00BD3098" w:rsidRPr="00A52AB8" w:rsidRDefault="00BD3098" w:rsidP="004F7C57">
            <w:pPr>
              <w:spacing w:before="20" w:after="20"/>
              <w:rPr>
                <w:b/>
                <w:color w:val="000000" w:themeColor="text1"/>
                <w:sz w:val="20"/>
                <w:szCs w:val="20"/>
                <w:lang w:eastAsia="ja-JP"/>
              </w:rPr>
            </w:pPr>
            <w:r w:rsidRPr="00A52AB8">
              <w:rPr>
                <w:color w:val="000000" w:themeColor="text1"/>
                <w:sz w:val="20"/>
                <w:szCs w:val="20"/>
              </w:rPr>
              <w:tab/>
            </w:r>
            <w:r w:rsidR="008843B7" w:rsidRPr="00A52AB8">
              <w:rPr>
                <w:b/>
                <w:color w:val="000000" w:themeColor="text1"/>
                <w:sz w:val="20"/>
                <w:szCs w:val="20"/>
              </w:rPr>
              <w:t>ptl</w:t>
            </w:r>
            <w:r w:rsidRPr="00A52AB8">
              <w:rPr>
                <w:b/>
                <w:color w:val="000000" w:themeColor="text1"/>
                <w:sz w:val="20"/>
                <w:szCs w:val="20"/>
              </w:rPr>
              <w:t>_level</w:t>
            </w:r>
            <w:r w:rsidRPr="00A52AB8">
              <w:rPr>
                <w:b/>
                <w:color w:val="000000" w:themeColor="text1"/>
                <w:sz w:val="20"/>
                <w:szCs w:val="20"/>
                <w:lang w:eastAsia="ja-JP"/>
              </w:rPr>
              <w:t>_idc</w:t>
            </w:r>
          </w:p>
        </w:tc>
        <w:tc>
          <w:tcPr>
            <w:tcW w:w="1253" w:type="dxa"/>
            <w:tcBorders>
              <w:bottom w:val="single" w:sz="4" w:space="0" w:color="000000" w:themeColor="text1"/>
            </w:tcBorders>
          </w:tcPr>
          <w:p w14:paraId="479452D0" w14:textId="77777777" w:rsidR="00BD3098" w:rsidRPr="00A52AB8" w:rsidRDefault="00BD3098" w:rsidP="004F7C57">
            <w:pPr>
              <w:spacing w:before="20" w:after="20"/>
              <w:jc w:val="center"/>
              <w:rPr>
                <w:color w:val="000000" w:themeColor="text1"/>
                <w:sz w:val="20"/>
                <w:szCs w:val="20"/>
              </w:rPr>
            </w:pPr>
            <w:r w:rsidRPr="00A52AB8">
              <w:rPr>
                <w:color w:val="000000" w:themeColor="text1"/>
                <w:sz w:val="20"/>
                <w:szCs w:val="20"/>
              </w:rPr>
              <w:t>u(8)</w:t>
            </w:r>
          </w:p>
        </w:tc>
      </w:tr>
      <w:tr w:rsidR="00751485" w:rsidRPr="00A52AB8" w14:paraId="29FD753D" w14:textId="77777777" w:rsidTr="00A252B5">
        <w:tc>
          <w:tcPr>
            <w:tcW w:w="792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352658C" w14:textId="77777777" w:rsidR="004E02EB" w:rsidRPr="00A52AB8" w:rsidRDefault="004E02EB" w:rsidP="0045670D">
            <w:pPr>
              <w:spacing w:before="20" w:after="20"/>
              <w:rPr>
                <w:b/>
                <w:bCs/>
                <w:color w:val="000000" w:themeColor="text1"/>
                <w:sz w:val="20"/>
                <w:szCs w:val="20"/>
              </w:rPr>
            </w:pPr>
            <w:r w:rsidRPr="00A52AB8">
              <w:rPr>
                <w:b/>
                <w:bCs/>
                <w:color w:val="000000" w:themeColor="text1"/>
                <w:sz w:val="20"/>
                <w:szCs w:val="20"/>
              </w:rPr>
              <w:tab/>
              <w:t>ptl_num_sub_profiles</w:t>
            </w:r>
          </w:p>
        </w:tc>
        <w:tc>
          <w:tcPr>
            <w:tcW w:w="1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B0E9881" w14:textId="77777777" w:rsidR="004E02EB" w:rsidRPr="00A52AB8" w:rsidRDefault="004E02EB" w:rsidP="0045670D">
            <w:pPr>
              <w:spacing w:before="20" w:after="20"/>
              <w:jc w:val="center"/>
              <w:rPr>
                <w:color w:val="000000" w:themeColor="text1"/>
                <w:sz w:val="20"/>
                <w:szCs w:val="20"/>
              </w:rPr>
            </w:pPr>
            <w:r w:rsidRPr="00A52AB8">
              <w:rPr>
                <w:color w:val="000000" w:themeColor="text1"/>
                <w:sz w:val="20"/>
                <w:szCs w:val="20"/>
              </w:rPr>
              <w:t>u(6)</w:t>
            </w:r>
          </w:p>
        </w:tc>
      </w:tr>
      <w:tr w:rsidR="00751485" w:rsidRPr="00A52AB8" w14:paraId="24D40E58" w14:textId="77777777" w:rsidTr="00A252B5">
        <w:tc>
          <w:tcPr>
            <w:tcW w:w="792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B87800B" w14:textId="77777777" w:rsidR="004E02EB" w:rsidRPr="00A52AB8" w:rsidRDefault="004E02EB" w:rsidP="0045670D">
            <w:pPr>
              <w:spacing w:before="20" w:after="20"/>
              <w:rPr>
                <w:b/>
                <w:bCs/>
                <w:color w:val="000000" w:themeColor="text1"/>
                <w:sz w:val="20"/>
                <w:szCs w:val="20"/>
              </w:rPr>
            </w:pPr>
            <w:r w:rsidRPr="00A52AB8">
              <w:rPr>
                <w:b/>
                <w:bCs/>
                <w:color w:val="000000" w:themeColor="text1"/>
                <w:sz w:val="20"/>
                <w:szCs w:val="20"/>
              </w:rPr>
              <w:tab/>
              <w:t>ptl_extended_sub_profile_flag</w:t>
            </w:r>
          </w:p>
        </w:tc>
        <w:tc>
          <w:tcPr>
            <w:tcW w:w="1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84832DD" w14:textId="77777777" w:rsidR="004E02EB" w:rsidRPr="00A52AB8" w:rsidRDefault="004E02EB" w:rsidP="0045670D">
            <w:pPr>
              <w:spacing w:before="20" w:after="20"/>
              <w:jc w:val="center"/>
              <w:rPr>
                <w:color w:val="000000" w:themeColor="text1"/>
                <w:sz w:val="20"/>
                <w:szCs w:val="20"/>
              </w:rPr>
            </w:pPr>
            <w:r w:rsidRPr="00A52AB8">
              <w:rPr>
                <w:color w:val="000000" w:themeColor="text1"/>
                <w:sz w:val="20"/>
                <w:szCs w:val="20"/>
              </w:rPr>
              <w:t>u(1)</w:t>
            </w:r>
          </w:p>
        </w:tc>
      </w:tr>
      <w:tr w:rsidR="00751485" w:rsidRPr="00A52AB8" w14:paraId="02A830C6" w14:textId="77777777" w:rsidTr="00A252B5">
        <w:tc>
          <w:tcPr>
            <w:tcW w:w="792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6371970" w14:textId="50C56C22" w:rsidR="004E02EB" w:rsidRPr="00A52AB8" w:rsidRDefault="004E02EB" w:rsidP="0045670D">
            <w:pPr>
              <w:spacing w:before="20" w:after="20"/>
              <w:rPr>
                <w:color w:val="000000" w:themeColor="text1"/>
                <w:sz w:val="20"/>
                <w:szCs w:val="20"/>
              </w:rPr>
            </w:pPr>
            <w:r w:rsidRPr="00A52AB8">
              <w:rPr>
                <w:color w:val="000000" w:themeColor="text1"/>
                <w:sz w:val="20"/>
                <w:szCs w:val="20"/>
              </w:rPr>
              <w:tab/>
            </w:r>
            <w:r w:rsidRPr="00A52AB8">
              <w:rPr>
                <w:sz w:val="20"/>
                <w:szCs w:val="20"/>
              </w:rPr>
              <w:t>for(</w:t>
            </w:r>
            <w:r w:rsidR="00A308D1" w:rsidRPr="00A52AB8">
              <w:rPr>
                <w:sz w:val="20"/>
                <w:szCs w:val="20"/>
              </w:rPr>
              <w:t> </w:t>
            </w:r>
            <w:r w:rsidRPr="00A52AB8">
              <w:rPr>
                <w:sz w:val="20"/>
                <w:szCs w:val="20"/>
              </w:rPr>
              <w:t>i</w:t>
            </w:r>
            <w:r w:rsidR="00D47707" w:rsidRPr="00A52AB8">
              <w:rPr>
                <w:sz w:val="20"/>
                <w:szCs w:val="20"/>
              </w:rPr>
              <w:t> = </w:t>
            </w:r>
            <w:r w:rsidRPr="00A52AB8">
              <w:rPr>
                <w:sz w:val="20"/>
                <w:szCs w:val="20"/>
              </w:rPr>
              <w:t>0;</w:t>
            </w:r>
            <w:r w:rsidR="00A308D1" w:rsidRPr="00A52AB8">
              <w:rPr>
                <w:sz w:val="20"/>
                <w:szCs w:val="20"/>
              </w:rPr>
              <w:t> </w:t>
            </w:r>
            <w:r w:rsidRPr="00A52AB8">
              <w:rPr>
                <w:sz w:val="20"/>
                <w:szCs w:val="20"/>
              </w:rPr>
              <w:t>i</w:t>
            </w:r>
            <w:r w:rsidR="00A308D1" w:rsidRPr="00A52AB8">
              <w:rPr>
                <w:sz w:val="20"/>
                <w:szCs w:val="20"/>
              </w:rPr>
              <w:t> </w:t>
            </w:r>
            <w:r w:rsidRPr="00A52AB8">
              <w:rPr>
                <w:sz w:val="20"/>
                <w:szCs w:val="20"/>
              </w:rPr>
              <w:t>&lt;</w:t>
            </w:r>
            <w:r w:rsidR="00A308D1" w:rsidRPr="00A52AB8">
              <w:rPr>
                <w:sz w:val="20"/>
                <w:szCs w:val="20"/>
              </w:rPr>
              <w:t> </w:t>
            </w:r>
            <w:r w:rsidRPr="00A52AB8">
              <w:rPr>
                <w:sz w:val="20"/>
                <w:szCs w:val="20"/>
              </w:rPr>
              <w:t>ptl_num_sub_profiles;</w:t>
            </w:r>
            <w:r w:rsidR="00A308D1" w:rsidRPr="00A52AB8">
              <w:rPr>
                <w:sz w:val="20"/>
                <w:szCs w:val="20"/>
              </w:rPr>
              <w:t> </w:t>
            </w:r>
            <w:r w:rsidRPr="00A52AB8">
              <w:rPr>
                <w:sz w:val="20"/>
                <w:szCs w:val="20"/>
              </w:rPr>
              <w:t>i</w:t>
            </w:r>
            <w:r w:rsidR="00006CCF" w:rsidRPr="00A52AB8">
              <w:rPr>
                <w:sz w:val="20"/>
                <w:szCs w:val="20"/>
              </w:rPr>
              <w:t>++ )</w:t>
            </w:r>
          </w:p>
        </w:tc>
        <w:tc>
          <w:tcPr>
            <w:tcW w:w="1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AD7C4DD" w14:textId="77777777" w:rsidR="004E02EB" w:rsidRPr="00A52AB8" w:rsidRDefault="004E02EB" w:rsidP="0045670D">
            <w:pPr>
              <w:spacing w:before="20" w:after="20"/>
              <w:jc w:val="center"/>
              <w:rPr>
                <w:color w:val="000000" w:themeColor="text1"/>
                <w:sz w:val="20"/>
                <w:szCs w:val="20"/>
              </w:rPr>
            </w:pPr>
          </w:p>
        </w:tc>
      </w:tr>
      <w:tr w:rsidR="00751485" w:rsidRPr="00A52AB8" w14:paraId="70CA9BCA" w14:textId="77777777" w:rsidTr="00A252B5">
        <w:tc>
          <w:tcPr>
            <w:tcW w:w="792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963D148" w14:textId="3F8CECFF" w:rsidR="004E02EB" w:rsidRPr="00A52AB8" w:rsidRDefault="004E02EB" w:rsidP="0045670D">
            <w:pPr>
              <w:spacing w:before="20" w:after="20"/>
              <w:rPr>
                <w:b/>
                <w:color w:val="000000" w:themeColor="text1"/>
                <w:sz w:val="20"/>
                <w:szCs w:val="20"/>
              </w:rPr>
            </w:pPr>
            <w:r w:rsidRPr="00A52AB8">
              <w:rPr>
                <w:color w:val="000000" w:themeColor="text1"/>
                <w:sz w:val="20"/>
                <w:szCs w:val="20"/>
              </w:rPr>
              <w:tab/>
            </w:r>
            <w:r w:rsidRPr="00A52AB8">
              <w:rPr>
                <w:color w:val="000000" w:themeColor="text1"/>
                <w:sz w:val="20"/>
                <w:szCs w:val="20"/>
              </w:rPr>
              <w:tab/>
            </w:r>
            <w:r w:rsidRPr="00A52AB8">
              <w:rPr>
                <w:b/>
                <w:color w:val="000000" w:themeColor="text1"/>
                <w:sz w:val="20"/>
                <w:szCs w:val="20"/>
              </w:rPr>
              <w:t>ptl_sub_profile_idc</w:t>
            </w:r>
            <w:r w:rsidRPr="00A52AB8">
              <w:rPr>
                <w:bCs/>
                <w:color w:val="000000" w:themeColor="text1"/>
                <w:sz w:val="20"/>
                <w:szCs w:val="20"/>
              </w:rPr>
              <w:t>[</w:t>
            </w:r>
            <w:r w:rsidR="00A308D1" w:rsidRPr="00A52AB8">
              <w:rPr>
                <w:bCs/>
                <w:color w:val="000000" w:themeColor="text1"/>
                <w:sz w:val="20"/>
                <w:szCs w:val="20"/>
              </w:rPr>
              <w:t> </w:t>
            </w:r>
            <w:r w:rsidRPr="00A52AB8">
              <w:rPr>
                <w:bCs/>
                <w:color w:val="000000" w:themeColor="text1"/>
                <w:sz w:val="20"/>
                <w:szCs w:val="20"/>
              </w:rPr>
              <w:t>i</w:t>
            </w:r>
            <w:r w:rsidR="00A308D1" w:rsidRPr="00A52AB8">
              <w:rPr>
                <w:bCs/>
                <w:color w:val="000000" w:themeColor="text1"/>
                <w:sz w:val="20"/>
                <w:szCs w:val="20"/>
              </w:rPr>
              <w:t> </w:t>
            </w:r>
            <w:r w:rsidRPr="00A52AB8">
              <w:rPr>
                <w:bCs/>
                <w:color w:val="000000" w:themeColor="text1"/>
                <w:sz w:val="20"/>
                <w:szCs w:val="20"/>
              </w:rPr>
              <w:t>]</w:t>
            </w:r>
          </w:p>
        </w:tc>
        <w:tc>
          <w:tcPr>
            <w:tcW w:w="1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5607739" w14:textId="77777777" w:rsidR="004E02EB" w:rsidRPr="00A52AB8" w:rsidRDefault="004E02EB" w:rsidP="0045670D">
            <w:pPr>
              <w:spacing w:before="20" w:after="20"/>
              <w:jc w:val="center"/>
              <w:rPr>
                <w:color w:val="000000" w:themeColor="text1"/>
                <w:sz w:val="20"/>
                <w:szCs w:val="20"/>
              </w:rPr>
            </w:pPr>
            <w:r w:rsidRPr="00A52AB8">
              <w:rPr>
                <w:color w:val="000000" w:themeColor="text1"/>
                <w:sz w:val="20"/>
                <w:szCs w:val="20"/>
              </w:rPr>
              <w:t>u(v)</w:t>
            </w:r>
          </w:p>
        </w:tc>
      </w:tr>
      <w:tr w:rsidR="00751485" w:rsidRPr="00A52AB8" w14:paraId="48801D76" w14:textId="77777777" w:rsidTr="00A252B5">
        <w:tc>
          <w:tcPr>
            <w:tcW w:w="792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7C779FD" w14:textId="77777777" w:rsidR="004E02EB" w:rsidRPr="00A52AB8" w:rsidRDefault="004E02EB" w:rsidP="0045670D">
            <w:pPr>
              <w:spacing w:before="20" w:after="20"/>
              <w:rPr>
                <w:b/>
                <w:bCs/>
                <w:color w:val="000000" w:themeColor="text1"/>
                <w:sz w:val="20"/>
                <w:szCs w:val="20"/>
              </w:rPr>
            </w:pPr>
            <w:r w:rsidRPr="00A52AB8">
              <w:rPr>
                <w:b/>
                <w:bCs/>
                <w:color w:val="000000" w:themeColor="text1"/>
                <w:sz w:val="20"/>
                <w:szCs w:val="20"/>
              </w:rPr>
              <w:tab/>
              <w:t>ptl_tool_constraints_present_flag</w:t>
            </w:r>
          </w:p>
        </w:tc>
        <w:tc>
          <w:tcPr>
            <w:tcW w:w="1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A9F9E14" w14:textId="77777777" w:rsidR="004E02EB" w:rsidRPr="00A52AB8" w:rsidRDefault="004E02EB" w:rsidP="0045670D">
            <w:pPr>
              <w:spacing w:before="20" w:after="20"/>
              <w:jc w:val="center"/>
              <w:rPr>
                <w:color w:val="000000" w:themeColor="text1"/>
                <w:sz w:val="20"/>
                <w:szCs w:val="20"/>
              </w:rPr>
            </w:pPr>
            <w:r w:rsidRPr="00A52AB8">
              <w:rPr>
                <w:color w:val="000000" w:themeColor="text1"/>
                <w:sz w:val="20"/>
                <w:szCs w:val="20"/>
              </w:rPr>
              <w:t>u(1)</w:t>
            </w:r>
          </w:p>
        </w:tc>
      </w:tr>
      <w:tr w:rsidR="00377731" w:rsidRPr="00A52AB8" w14:paraId="7063E415" w14:textId="77777777" w:rsidTr="00A252B5">
        <w:tc>
          <w:tcPr>
            <w:tcW w:w="792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5F71A8B" w14:textId="6B1B8E59" w:rsidR="004E02EB" w:rsidRPr="00A52AB8" w:rsidRDefault="004E02EB" w:rsidP="0045670D">
            <w:pPr>
              <w:spacing w:before="20" w:after="20"/>
              <w:rPr>
                <w:color w:val="000000" w:themeColor="text1"/>
                <w:sz w:val="20"/>
                <w:szCs w:val="20"/>
              </w:rPr>
            </w:pPr>
            <w:r w:rsidRPr="00A52AB8">
              <w:rPr>
                <w:color w:val="000000" w:themeColor="text1"/>
                <w:sz w:val="20"/>
                <w:szCs w:val="20"/>
              </w:rPr>
              <w:tab/>
            </w:r>
            <w:r w:rsidRPr="00A52AB8">
              <w:rPr>
                <w:sz w:val="20"/>
                <w:szCs w:val="20"/>
              </w:rPr>
              <w:t>if(</w:t>
            </w:r>
            <w:r w:rsidR="00254E95" w:rsidRPr="00A52AB8">
              <w:rPr>
                <w:sz w:val="20"/>
                <w:szCs w:val="20"/>
              </w:rPr>
              <w:t> </w:t>
            </w:r>
            <w:r w:rsidRPr="00A52AB8">
              <w:rPr>
                <w:color w:val="000000" w:themeColor="text1"/>
                <w:sz w:val="20"/>
                <w:szCs w:val="20"/>
              </w:rPr>
              <w:t>ptl_toolset_constraints_present_flag</w:t>
            </w:r>
            <w:r w:rsidR="00254E95" w:rsidRPr="00A52AB8">
              <w:rPr>
                <w:sz w:val="20"/>
                <w:szCs w:val="20"/>
              </w:rPr>
              <w:t> </w:t>
            </w:r>
            <w:r w:rsidRPr="00A52AB8">
              <w:rPr>
                <w:sz w:val="20"/>
                <w:szCs w:val="20"/>
              </w:rPr>
              <w:t>)</w:t>
            </w:r>
          </w:p>
        </w:tc>
        <w:tc>
          <w:tcPr>
            <w:tcW w:w="1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3C24F2B" w14:textId="77777777" w:rsidR="004E02EB" w:rsidRPr="00A52AB8" w:rsidRDefault="004E02EB" w:rsidP="0045670D">
            <w:pPr>
              <w:spacing w:before="20" w:after="20"/>
              <w:jc w:val="center"/>
              <w:rPr>
                <w:color w:val="000000" w:themeColor="text1"/>
                <w:sz w:val="20"/>
                <w:szCs w:val="20"/>
              </w:rPr>
            </w:pPr>
          </w:p>
        </w:tc>
      </w:tr>
      <w:tr w:rsidR="00751485" w:rsidRPr="00A52AB8" w14:paraId="6146DC45" w14:textId="77777777" w:rsidTr="00A252B5">
        <w:tc>
          <w:tcPr>
            <w:tcW w:w="792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331F410" w14:textId="730F4CD9" w:rsidR="004E02EB" w:rsidRPr="00A52AB8" w:rsidRDefault="004E02EB" w:rsidP="0045670D">
            <w:pPr>
              <w:spacing w:before="20" w:after="20"/>
              <w:rPr>
                <w:b/>
                <w:color w:val="000000" w:themeColor="text1"/>
                <w:sz w:val="20"/>
                <w:szCs w:val="20"/>
              </w:rPr>
            </w:pPr>
            <w:r w:rsidRPr="00A52AB8">
              <w:rPr>
                <w:b/>
                <w:color w:val="000000" w:themeColor="text1"/>
                <w:sz w:val="20"/>
                <w:szCs w:val="20"/>
              </w:rPr>
              <w:tab/>
            </w:r>
            <w:r w:rsidRPr="00A52AB8">
              <w:rPr>
                <w:b/>
                <w:color w:val="000000" w:themeColor="text1"/>
                <w:sz w:val="20"/>
                <w:szCs w:val="20"/>
              </w:rPr>
              <w:tab/>
            </w:r>
            <w:r w:rsidRPr="00A52AB8">
              <w:rPr>
                <w:color w:val="000000" w:themeColor="text1"/>
                <w:sz w:val="20"/>
                <w:szCs w:val="20"/>
              </w:rPr>
              <w:t>profile_toolset_constraints_info</w:t>
            </w:r>
            <w:r w:rsidR="00F9719C" w:rsidRPr="00A52AB8">
              <w:rPr>
                <w:color w:val="000000" w:themeColor="text1"/>
                <w:sz w:val="20"/>
                <w:szCs w:val="20"/>
              </w:rPr>
              <w:t>rmation</w:t>
            </w:r>
            <w:r w:rsidRPr="00A52AB8">
              <w:rPr>
                <w:color w:val="000000" w:themeColor="text1"/>
                <w:sz w:val="20"/>
                <w:szCs w:val="20"/>
              </w:rPr>
              <w:t>(</w:t>
            </w:r>
            <w:r w:rsidR="00395064" w:rsidRPr="00A52AB8">
              <w:t> </w:t>
            </w:r>
            <w:r w:rsidRPr="00A52AB8">
              <w:rPr>
                <w:color w:val="000000" w:themeColor="text1"/>
                <w:sz w:val="20"/>
                <w:szCs w:val="20"/>
              </w:rPr>
              <w:t>)</w:t>
            </w:r>
          </w:p>
        </w:tc>
        <w:tc>
          <w:tcPr>
            <w:tcW w:w="1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E6CDC28" w14:textId="77777777" w:rsidR="004E02EB" w:rsidRPr="00A52AB8" w:rsidRDefault="004E02EB" w:rsidP="0045670D">
            <w:pPr>
              <w:spacing w:before="20" w:after="20"/>
              <w:jc w:val="center"/>
              <w:rPr>
                <w:color w:val="000000" w:themeColor="text1"/>
                <w:sz w:val="20"/>
                <w:szCs w:val="20"/>
              </w:rPr>
            </w:pPr>
          </w:p>
        </w:tc>
      </w:tr>
      <w:tr w:rsidR="00BD3098" w:rsidRPr="00A52AB8" w14:paraId="4CEB0E12" w14:textId="77777777" w:rsidTr="00A252B5">
        <w:tc>
          <w:tcPr>
            <w:tcW w:w="7921" w:type="dxa"/>
            <w:tcBorders>
              <w:top w:val="single" w:sz="4" w:space="0" w:color="000000" w:themeColor="text1"/>
            </w:tcBorders>
          </w:tcPr>
          <w:p w14:paraId="767D3913" w14:textId="77777777" w:rsidR="00BD3098" w:rsidRPr="00A52AB8" w:rsidRDefault="00BD3098" w:rsidP="004F7C57">
            <w:pPr>
              <w:spacing w:before="20" w:after="20"/>
              <w:rPr>
                <w:color w:val="000000" w:themeColor="text1"/>
                <w:sz w:val="20"/>
                <w:szCs w:val="20"/>
              </w:rPr>
            </w:pPr>
            <w:r w:rsidRPr="00A52AB8">
              <w:rPr>
                <w:color w:val="000000" w:themeColor="text1"/>
                <w:sz w:val="20"/>
                <w:szCs w:val="20"/>
              </w:rPr>
              <w:t>}</w:t>
            </w:r>
          </w:p>
        </w:tc>
        <w:tc>
          <w:tcPr>
            <w:tcW w:w="1253" w:type="dxa"/>
            <w:tcBorders>
              <w:top w:val="single" w:sz="4" w:space="0" w:color="000000" w:themeColor="text1"/>
            </w:tcBorders>
          </w:tcPr>
          <w:p w14:paraId="3D039154" w14:textId="77777777" w:rsidR="00BD3098" w:rsidRPr="00A52AB8" w:rsidRDefault="00BD3098" w:rsidP="004F7C57">
            <w:pPr>
              <w:spacing w:before="20" w:after="20"/>
              <w:jc w:val="center"/>
              <w:rPr>
                <w:color w:val="000000" w:themeColor="text1"/>
                <w:sz w:val="20"/>
                <w:szCs w:val="20"/>
              </w:rPr>
            </w:pPr>
          </w:p>
        </w:tc>
      </w:tr>
    </w:tbl>
    <w:p w14:paraId="7087981C" w14:textId="77777777" w:rsidR="00EE152A" w:rsidRPr="00A52AB8" w:rsidRDefault="00EE152A" w:rsidP="00CB76AA">
      <w:pPr>
        <w:pStyle w:val="Heading4"/>
      </w:pPr>
      <w:bookmarkStart w:id="643" w:name="_Toc986340"/>
      <w:bookmarkStart w:id="644" w:name="_Toc1000880"/>
      <w:bookmarkStart w:id="645" w:name="_Toc1001417"/>
      <w:bookmarkStart w:id="646" w:name="_Toc1002231"/>
      <w:bookmarkStart w:id="647" w:name="_Toc1195471"/>
      <w:bookmarkStart w:id="648" w:name="_Toc1198491"/>
      <w:bookmarkStart w:id="649" w:name="_Toc1380148"/>
      <w:bookmarkStart w:id="650" w:name="_Toc1466514"/>
      <w:bookmarkStart w:id="651" w:name="_Toc1476487"/>
      <w:bookmarkStart w:id="652" w:name="_Toc1742887"/>
      <w:bookmarkStart w:id="653" w:name="_Toc1743432"/>
      <w:bookmarkStart w:id="654" w:name="_Toc529871399"/>
      <w:bookmarkEnd w:id="643"/>
      <w:bookmarkEnd w:id="644"/>
      <w:bookmarkEnd w:id="645"/>
      <w:bookmarkEnd w:id="646"/>
      <w:bookmarkEnd w:id="647"/>
      <w:bookmarkEnd w:id="648"/>
      <w:bookmarkEnd w:id="649"/>
      <w:bookmarkEnd w:id="650"/>
      <w:bookmarkEnd w:id="651"/>
      <w:bookmarkEnd w:id="652"/>
      <w:bookmarkEnd w:id="653"/>
      <w:r w:rsidRPr="00A52AB8">
        <w:t xml:space="preserve">Occupancy </w:t>
      </w:r>
      <w:r w:rsidR="00DA3C5F" w:rsidRPr="00A52AB8">
        <w:t xml:space="preserve">information </w:t>
      </w:r>
      <w:r w:rsidRPr="00A52AB8">
        <w:t>syntax</w:t>
      </w:r>
      <w:bookmarkEnd w:id="654"/>
    </w:p>
    <w:tbl>
      <w:tblPr>
        <w:tblStyle w:val="TableGrid"/>
        <w:tblW w:w="5000" w:type="pct"/>
        <w:jc w:val="center"/>
        <w:tblLook w:val="04A0" w:firstRow="1" w:lastRow="0" w:firstColumn="1" w:lastColumn="0" w:noHBand="0" w:noVBand="1"/>
      </w:tblPr>
      <w:tblGrid>
        <w:gridCol w:w="8411"/>
        <w:gridCol w:w="1331"/>
      </w:tblGrid>
      <w:tr w:rsidR="00EE152A" w:rsidRPr="00A52AB8" w14:paraId="1DCE2397" w14:textId="77777777" w:rsidTr="00A252B5">
        <w:trPr>
          <w:jc w:val="center"/>
        </w:trPr>
        <w:tc>
          <w:tcPr>
            <w:tcW w:w="7921" w:type="dxa"/>
          </w:tcPr>
          <w:p w14:paraId="1CE366A1" w14:textId="40D227BF" w:rsidR="00EE152A" w:rsidRPr="00A52AB8" w:rsidRDefault="00EE152A">
            <w:pPr>
              <w:spacing w:before="20" w:after="20"/>
              <w:rPr>
                <w:color w:val="000000" w:themeColor="text1"/>
                <w:sz w:val="20"/>
                <w:szCs w:val="20"/>
              </w:rPr>
            </w:pPr>
            <w:r w:rsidRPr="00A52AB8">
              <w:rPr>
                <w:color w:val="000000" w:themeColor="text1"/>
                <w:sz w:val="20"/>
                <w:szCs w:val="20"/>
              </w:rPr>
              <w:t>occupancy_</w:t>
            </w:r>
            <w:r w:rsidR="00DA3C5F" w:rsidRPr="00A52AB8">
              <w:rPr>
                <w:color w:val="000000" w:themeColor="text1"/>
                <w:sz w:val="20"/>
                <w:szCs w:val="20"/>
              </w:rPr>
              <w:t>information</w:t>
            </w:r>
            <w:r w:rsidRPr="00A52AB8">
              <w:rPr>
                <w:color w:val="000000" w:themeColor="text1"/>
                <w:sz w:val="20"/>
                <w:szCs w:val="20"/>
              </w:rPr>
              <w:t>( </w:t>
            </w:r>
            <w:r w:rsidR="00A308D1" w:rsidRPr="00A52AB8">
              <w:rPr>
                <w:color w:val="000000" w:themeColor="text1"/>
                <w:sz w:val="20"/>
                <w:szCs w:val="20"/>
              </w:rPr>
              <w:t>atlasID</w:t>
            </w:r>
            <w:r w:rsidR="00611237" w:rsidRPr="00A52AB8">
              <w:rPr>
                <w:color w:val="000000" w:themeColor="text1"/>
                <w:sz w:val="20"/>
                <w:szCs w:val="20"/>
              </w:rPr>
              <w:t> </w:t>
            </w:r>
            <w:r w:rsidR="008F1F82" w:rsidRPr="00A52AB8">
              <w:rPr>
                <w:color w:val="000000" w:themeColor="text1"/>
                <w:sz w:val="20"/>
                <w:szCs w:val="20"/>
              </w:rPr>
              <w:t>) {</w:t>
            </w:r>
          </w:p>
        </w:tc>
        <w:tc>
          <w:tcPr>
            <w:tcW w:w="1253" w:type="dxa"/>
          </w:tcPr>
          <w:p w14:paraId="5AE4FD16" w14:textId="77777777" w:rsidR="00EE152A" w:rsidRPr="00A52AB8" w:rsidRDefault="00EE152A">
            <w:pPr>
              <w:spacing w:before="20" w:after="20"/>
              <w:jc w:val="center"/>
              <w:rPr>
                <w:b/>
                <w:color w:val="000000" w:themeColor="text1"/>
                <w:sz w:val="20"/>
                <w:szCs w:val="20"/>
              </w:rPr>
            </w:pPr>
            <w:r w:rsidRPr="00A52AB8">
              <w:rPr>
                <w:b/>
                <w:color w:val="000000" w:themeColor="text1"/>
                <w:sz w:val="20"/>
                <w:szCs w:val="20"/>
              </w:rPr>
              <w:t>Descriptor</w:t>
            </w:r>
          </w:p>
        </w:tc>
      </w:tr>
      <w:tr w:rsidR="00EE152A" w:rsidRPr="00A52AB8" w14:paraId="2DEBB5EE" w14:textId="77777777" w:rsidTr="00A252B5">
        <w:trPr>
          <w:jc w:val="center"/>
        </w:trPr>
        <w:tc>
          <w:tcPr>
            <w:tcW w:w="7921" w:type="dxa"/>
          </w:tcPr>
          <w:p w14:paraId="08380F3B" w14:textId="15E46ADF" w:rsidR="00EE152A" w:rsidRPr="00A52AB8" w:rsidRDefault="00A700B6" w:rsidP="004F7C57">
            <w:pPr>
              <w:spacing w:before="20" w:after="20"/>
              <w:rPr>
                <w:b/>
                <w:color w:val="000000" w:themeColor="text1"/>
                <w:sz w:val="20"/>
                <w:szCs w:val="20"/>
              </w:rPr>
            </w:pPr>
            <w:r w:rsidRPr="00A52AB8">
              <w:rPr>
                <w:b/>
                <w:color w:val="000000" w:themeColor="text1"/>
                <w:sz w:val="20"/>
                <w:szCs w:val="20"/>
              </w:rPr>
              <w:tab/>
            </w:r>
            <w:r w:rsidR="000F532C" w:rsidRPr="00A52AB8">
              <w:rPr>
                <w:b/>
                <w:color w:val="000000" w:themeColor="text1"/>
                <w:sz w:val="20"/>
                <w:szCs w:val="20"/>
              </w:rPr>
              <w:t>oi_</w:t>
            </w:r>
            <w:r w:rsidR="004C1B5E" w:rsidRPr="00A52AB8">
              <w:rPr>
                <w:b/>
                <w:color w:val="000000" w:themeColor="text1"/>
                <w:sz w:val="20"/>
                <w:szCs w:val="20"/>
              </w:rPr>
              <w:t>occupancy_</w:t>
            </w:r>
            <w:r w:rsidR="00EE152A" w:rsidRPr="00A52AB8">
              <w:rPr>
                <w:b/>
                <w:color w:val="000000" w:themeColor="text1"/>
                <w:sz w:val="20"/>
                <w:szCs w:val="20"/>
              </w:rPr>
              <w:t>codec_id</w:t>
            </w:r>
            <w:r w:rsidR="005E1D50" w:rsidRPr="00A52AB8">
              <w:rPr>
                <w:bCs/>
                <w:color w:val="000000" w:themeColor="text1"/>
                <w:sz w:val="20"/>
                <w:szCs w:val="20"/>
              </w:rPr>
              <w:t>[ </w:t>
            </w:r>
            <w:r w:rsidR="00A308D1" w:rsidRPr="00A52AB8">
              <w:rPr>
                <w:bCs/>
                <w:color w:val="000000" w:themeColor="text1"/>
                <w:sz w:val="20"/>
                <w:szCs w:val="20"/>
              </w:rPr>
              <w:t>atlasID</w:t>
            </w:r>
            <w:r w:rsidR="00611237" w:rsidRPr="00A52AB8">
              <w:rPr>
                <w:bCs/>
                <w:color w:val="000000" w:themeColor="text1"/>
                <w:sz w:val="20"/>
                <w:szCs w:val="20"/>
              </w:rPr>
              <w:t> </w:t>
            </w:r>
            <w:r w:rsidR="005E1D50" w:rsidRPr="00A52AB8">
              <w:rPr>
                <w:bCs/>
                <w:color w:val="000000" w:themeColor="text1"/>
                <w:sz w:val="20"/>
                <w:szCs w:val="20"/>
              </w:rPr>
              <w:t>]</w:t>
            </w:r>
          </w:p>
        </w:tc>
        <w:tc>
          <w:tcPr>
            <w:tcW w:w="1253" w:type="dxa"/>
          </w:tcPr>
          <w:p w14:paraId="69AD06D3" w14:textId="77777777" w:rsidR="00EE152A" w:rsidRPr="00A52AB8" w:rsidRDefault="00EE152A" w:rsidP="004F7C57">
            <w:pPr>
              <w:spacing w:before="20" w:after="20"/>
              <w:jc w:val="center"/>
              <w:rPr>
                <w:color w:val="000000" w:themeColor="text1"/>
                <w:sz w:val="20"/>
                <w:szCs w:val="20"/>
              </w:rPr>
            </w:pPr>
            <w:r w:rsidRPr="00A52AB8">
              <w:rPr>
                <w:color w:val="000000" w:themeColor="text1"/>
                <w:sz w:val="20"/>
                <w:szCs w:val="20"/>
              </w:rPr>
              <w:t>u(8)</w:t>
            </w:r>
          </w:p>
        </w:tc>
      </w:tr>
      <w:tr w:rsidR="00004871" w:rsidRPr="00A52AB8" w14:paraId="1F1C75D5" w14:textId="77777777" w:rsidTr="00A252B5">
        <w:trPr>
          <w:jc w:val="center"/>
        </w:trPr>
        <w:tc>
          <w:tcPr>
            <w:tcW w:w="7921" w:type="dxa"/>
          </w:tcPr>
          <w:p w14:paraId="46AF26CE" w14:textId="76E4BD42" w:rsidR="00004871" w:rsidRPr="00A52AB8" w:rsidRDefault="00004871" w:rsidP="004F7C57">
            <w:pPr>
              <w:spacing w:before="20" w:after="20"/>
              <w:rPr>
                <w:b/>
                <w:color w:val="000000" w:themeColor="text1"/>
                <w:sz w:val="20"/>
                <w:szCs w:val="20"/>
              </w:rPr>
            </w:pPr>
            <w:r w:rsidRPr="00A52AB8">
              <w:rPr>
                <w:b/>
                <w:color w:val="000000" w:themeColor="text1"/>
                <w:sz w:val="20"/>
                <w:szCs w:val="20"/>
              </w:rPr>
              <w:tab/>
            </w:r>
            <w:r w:rsidR="000F532C" w:rsidRPr="00A52AB8">
              <w:rPr>
                <w:b/>
                <w:color w:val="000000" w:themeColor="text1"/>
                <w:sz w:val="20"/>
                <w:szCs w:val="20"/>
              </w:rPr>
              <w:t>oi_</w:t>
            </w:r>
            <w:r w:rsidRPr="00A52AB8">
              <w:rPr>
                <w:b/>
                <w:color w:val="000000" w:themeColor="text1"/>
                <w:sz w:val="20"/>
                <w:szCs w:val="20"/>
              </w:rPr>
              <w:t>lossy_occupancy_compression_threshold</w:t>
            </w:r>
            <w:r w:rsidR="005E1D50" w:rsidRPr="00A52AB8">
              <w:rPr>
                <w:bCs/>
                <w:color w:val="000000" w:themeColor="text1"/>
                <w:sz w:val="20"/>
                <w:szCs w:val="20"/>
              </w:rPr>
              <w:t>[ </w:t>
            </w:r>
            <w:r w:rsidR="00A308D1" w:rsidRPr="00A52AB8">
              <w:rPr>
                <w:bCs/>
                <w:color w:val="000000" w:themeColor="text1"/>
                <w:sz w:val="20"/>
                <w:szCs w:val="20"/>
              </w:rPr>
              <w:t>atlasID</w:t>
            </w:r>
            <w:r w:rsidR="00611237" w:rsidRPr="00A52AB8">
              <w:rPr>
                <w:bCs/>
                <w:color w:val="000000" w:themeColor="text1"/>
                <w:sz w:val="20"/>
                <w:szCs w:val="20"/>
              </w:rPr>
              <w:t> </w:t>
            </w:r>
            <w:r w:rsidR="005E1D50" w:rsidRPr="00A52AB8">
              <w:rPr>
                <w:bCs/>
                <w:color w:val="000000" w:themeColor="text1"/>
                <w:sz w:val="20"/>
                <w:szCs w:val="20"/>
              </w:rPr>
              <w:t>]</w:t>
            </w:r>
          </w:p>
        </w:tc>
        <w:tc>
          <w:tcPr>
            <w:tcW w:w="1253" w:type="dxa"/>
          </w:tcPr>
          <w:p w14:paraId="48708148" w14:textId="77777777" w:rsidR="00004871" w:rsidRPr="00A52AB8" w:rsidRDefault="00004871" w:rsidP="004F7C57">
            <w:pPr>
              <w:spacing w:before="20" w:after="20"/>
              <w:jc w:val="center"/>
              <w:rPr>
                <w:color w:val="000000" w:themeColor="text1"/>
                <w:sz w:val="20"/>
                <w:szCs w:val="20"/>
              </w:rPr>
            </w:pPr>
            <w:r w:rsidRPr="00A52AB8">
              <w:rPr>
                <w:color w:val="000000" w:themeColor="text1"/>
                <w:sz w:val="20"/>
                <w:szCs w:val="20"/>
              </w:rPr>
              <w:t>u(8)</w:t>
            </w:r>
          </w:p>
        </w:tc>
      </w:tr>
      <w:tr w:rsidR="002F62C5" w:rsidRPr="00A52AB8" w14:paraId="11454A5F" w14:textId="77777777" w:rsidTr="00A252B5">
        <w:trPr>
          <w:jc w:val="center"/>
        </w:trPr>
        <w:tc>
          <w:tcPr>
            <w:tcW w:w="7921" w:type="dxa"/>
          </w:tcPr>
          <w:p w14:paraId="21E13B95" w14:textId="403D7B6C" w:rsidR="002F62C5" w:rsidRPr="00A52AB8" w:rsidRDefault="002F62C5" w:rsidP="004F7C57">
            <w:pPr>
              <w:spacing w:before="20" w:after="20"/>
              <w:rPr>
                <w:color w:val="000000" w:themeColor="text1"/>
                <w:sz w:val="20"/>
                <w:szCs w:val="20"/>
              </w:rPr>
            </w:pPr>
            <w:r w:rsidRPr="00A52AB8">
              <w:rPr>
                <w:color w:val="000000" w:themeColor="text1"/>
                <w:sz w:val="20"/>
                <w:szCs w:val="20"/>
              </w:rPr>
              <w:tab/>
            </w:r>
            <w:r w:rsidRPr="00A52AB8">
              <w:rPr>
                <w:b/>
                <w:color w:val="000000" w:themeColor="text1"/>
                <w:sz w:val="20"/>
                <w:szCs w:val="20"/>
              </w:rPr>
              <w:t>oi_occupancy</w:t>
            </w:r>
            <w:r w:rsidR="00E17778" w:rsidRPr="00A52AB8">
              <w:rPr>
                <w:b/>
                <w:color w:val="000000" w:themeColor="text1"/>
                <w:sz w:val="20"/>
                <w:szCs w:val="20"/>
              </w:rPr>
              <w:t>_</w:t>
            </w:r>
            <w:r w:rsidRPr="00A52AB8">
              <w:rPr>
                <w:b/>
                <w:color w:val="000000" w:themeColor="text1"/>
                <w:sz w:val="20"/>
                <w:szCs w:val="20"/>
              </w:rPr>
              <w:t>2d_bit</w:t>
            </w:r>
            <w:r w:rsidR="00C514C6" w:rsidRPr="00A52AB8">
              <w:rPr>
                <w:b/>
                <w:color w:val="000000" w:themeColor="text1"/>
                <w:sz w:val="20"/>
                <w:szCs w:val="20"/>
              </w:rPr>
              <w:t>_</w:t>
            </w:r>
            <w:r w:rsidRPr="00A52AB8">
              <w:rPr>
                <w:b/>
                <w:color w:val="000000" w:themeColor="text1"/>
                <w:sz w:val="20"/>
                <w:szCs w:val="20"/>
              </w:rPr>
              <w:t>depth_minus1</w:t>
            </w:r>
            <w:r w:rsidRPr="00A52AB8">
              <w:rPr>
                <w:bCs/>
                <w:color w:val="000000" w:themeColor="text1"/>
                <w:sz w:val="20"/>
                <w:szCs w:val="20"/>
              </w:rPr>
              <w:t>[ </w:t>
            </w:r>
            <w:r w:rsidR="00A308D1" w:rsidRPr="00A52AB8">
              <w:rPr>
                <w:bCs/>
                <w:color w:val="000000" w:themeColor="text1"/>
                <w:sz w:val="20"/>
                <w:szCs w:val="20"/>
              </w:rPr>
              <w:t>atlasID</w:t>
            </w:r>
            <w:r w:rsidR="00611237" w:rsidRPr="00A52AB8">
              <w:rPr>
                <w:bCs/>
                <w:color w:val="000000" w:themeColor="text1"/>
                <w:sz w:val="20"/>
                <w:szCs w:val="20"/>
              </w:rPr>
              <w:t> </w:t>
            </w:r>
            <w:r w:rsidRPr="00A52AB8">
              <w:rPr>
                <w:bCs/>
                <w:color w:val="000000" w:themeColor="text1"/>
                <w:sz w:val="20"/>
                <w:szCs w:val="20"/>
              </w:rPr>
              <w:t>]</w:t>
            </w:r>
          </w:p>
        </w:tc>
        <w:tc>
          <w:tcPr>
            <w:tcW w:w="1253" w:type="dxa"/>
          </w:tcPr>
          <w:p w14:paraId="58B77661" w14:textId="77777777" w:rsidR="002F62C5" w:rsidRPr="00A52AB8" w:rsidRDefault="002F62C5" w:rsidP="004F7C57">
            <w:pPr>
              <w:spacing w:before="20" w:after="20"/>
              <w:jc w:val="center"/>
              <w:rPr>
                <w:color w:val="000000" w:themeColor="text1"/>
                <w:sz w:val="20"/>
                <w:szCs w:val="20"/>
              </w:rPr>
            </w:pPr>
            <w:r w:rsidRPr="00A52AB8">
              <w:rPr>
                <w:color w:val="000000" w:themeColor="text1"/>
                <w:sz w:val="20"/>
                <w:szCs w:val="20"/>
              </w:rPr>
              <w:t>u(5)</w:t>
            </w:r>
          </w:p>
        </w:tc>
      </w:tr>
      <w:tr w:rsidR="002F62C5" w:rsidRPr="00A52AB8" w14:paraId="73D1FA22" w14:textId="77777777" w:rsidTr="00A252B5">
        <w:trPr>
          <w:jc w:val="center"/>
        </w:trPr>
        <w:tc>
          <w:tcPr>
            <w:tcW w:w="7921" w:type="dxa"/>
          </w:tcPr>
          <w:p w14:paraId="2A42DDE7" w14:textId="11B4AE30" w:rsidR="002F62C5" w:rsidRPr="00A52AB8" w:rsidRDefault="002F62C5" w:rsidP="004F7C57">
            <w:pPr>
              <w:spacing w:before="20" w:after="20"/>
              <w:rPr>
                <w:color w:val="000000" w:themeColor="text1"/>
                <w:sz w:val="20"/>
                <w:szCs w:val="20"/>
              </w:rPr>
            </w:pPr>
            <w:r w:rsidRPr="00A52AB8">
              <w:rPr>
                <w:bCs/>
                <w:color w:val="000000" w:themeColor="text1"/>
                <w:sz w:val="20"/>
                <w:szCs w:val="20"/>
              </w:rPr>
              <w:tab/>
            </w:r>
            <w:r w:rsidRPr="00A52AB8">
              <w:rPr>
                <w:b/>
                <w:bCs/>
                <w:color w:val="000000" w:themeColor="text1"/>
                <w:sz w:val="20"/>
                <w:szCs w:val="20"/>
              </w:rPr>
              <w:t>oi_</w:t>
            </w:r>
            <w:r w:rsidRPr="00A52AB8">
              <w:rPr>
                <w:b/>
                <w:color w:val="000000" w:themeColor="text1"/>
                <w:sz w:val="20"/>
                <w:szCs w:val="20"/>
              </w:rPr>
              <w:t>occupancy</w:t>
            </w:r>
            <w:r w:rsidRPr="00A52AB8">
              <w:rPr>
                <w:b/>
                <w:bCs/>
                <w:color w:val="000000" w:themeColor="text1"/>
                <w:sz w:val="20"/>
                <w:szCs w:val="20"/>
              </w:rPr>
              <w:t>_MSB_align_flag</w:t>
            </w:r>
            <w:r w:rsidRPr="00A52AB8">
              <w:rPr>
                <w:bCs/>
                <w:color w:val="000000" w:themeColor="text1"/>
                <w:sz w:val="20"/>
                <w:szCs w:val="20"/>
              </w:rPr>
              <w:t>[ </w:t>
            </w:r>
            <w:r w:rsidR="00A308D1" w:rsidRPr="00A52AB8">
              <w:rPr>
                <w:bCs/>
                <w:color w:val="000000" w:themeColor="text1"/>
                <w:sz w:val="20"/>
                <w:szCs w:val="20"/>
              </w:rPr>
              <w:t>atlasID</w:t>
            </w:r>
            <w:r w:rsidR="00611237" w:rsidRPr="00A52AB8">
              <w:rPr>
                <w:bCs/>
                <w:color w:val="000000" w:themeColor="text1"/>
                <w:sz w:val="20"/>
                <w:szCs w:val="20"/>
              </w:rPr>
              <w:t> </w:t>
            </w:r>
            <w:r w:rsidRPr="00A52AB8">
              <w:rPr>
                <w:bCs/>
                <w:color w:val="000000" w:themeColor="text1"/>
                <w:sz w:val="20"/>
                <w:szCs w:val="20"/>
              </w:rPr>
              <w:t>]</w:t>
            </w:r>
          </w:p>
        </w:tc>
        <w:tc>
          <w:tcPr>
            <w:tcW w:w="1253" w:type="dxa"/>
          </w:tcPr>
          <w:p w14:paraId="6247B404" w14:textId="77777777" w:rsidR="002F62C5" w:rsidRPr="00A52AB8" w:rsidRDefault="002F62C5" w:rsidP="004F7C57">
            <w:pPr>
              <w:spacing w:before="20" w:after="20"/>
              <w:jc w:val="center"/>
              <w:rPr>
                <w:color w:val="000000" w:themeColor="text1"/>
                <w:sz w:val="20"/>
                <w:szCs w:val="20"/>
              </w:rPr>
            </w:pPr>
            <w:r w:rsidRPr="00A52AB8">
              <w:rPr>
                <w:color w:val="000000" w:themeColor="text1"/>
                <w:sz w:val="20"/>
                <w:szCs w:val="20"/>
              </w:rPr>
              <w:t>u(1)</w:t>
            </w:r>
          </w:p>
        </w:tc>
      </w:tr>
      <w:tr w:rsidR="002F62C5" w:rsidRPr="00A52AB8" w14:paraId="7DEA9638" w14:textId="77777777" w:rsidTr="00A252B5">
        <w:trPr>
          <w:jc w:val="center"/>
        </w:trPr>
        <w:tc>
          <w:tcPr>
            <w:tcW w:w="7921" w:type="dxa"/>
          </w:tcPr>
          <w:p w14:paraId="5975CDC8" w14:textId="77777777" w:rsidR="002F62C5" w:rsidRPr="00A52AB8" w:rsidRDefault="002F62C5" w:rsidP="004F7C57">
            <w:pPr>
              <w:spacing w:before="20" w:after="20"/>
              <w:rPr>
                <w:color w:val="000000" w:themeColor="text1"/>
                <w:sz w:val="20"/>
                <w:szCs w:val="20"/>
              </w:rPr>
            </w:pPr>
            <w:r w:rsidRPr="00A52AB8">
              <w:rPr>
                <w:color w:val="000000" w:themeColor="text1"/>
                <w:sz w:val="20"/>
                <w:szCs w:val="20"/>
              </w:rPr>
              <w:t>}</w:t>
            </w:r>
          </w:p>
        </w:tc>
        <w:tc>
          <w:tcPr>
            <w:tcW w:w="1253" w:type="dxa"/>
          </w:tcPr>
          <w:p w14:paraId="17644CFF" w14:textId="77777777" w:rsidR="002F62C5" w:rsidRPr="00A52AB8" w:rsidRDefault="002F62C5" w:rsidP="004F7C57">
            <w:pPr>
              <w:spacing w:before="20" w:after="20"/>
              <w:jc w:val="center"/>
              <w:rPr>
                <w:color w:val="000000" w:themeColor="text1"/>
                <w:sz w:val="20"/>
                <w:szCs w:val="20"/>
              </w:rPr>
            </w:pPr>
          </w:p>
        </w:tc>
      </w:tr>
    </w:tbl>
    <w:p w14:paraId="2B91DC67" w14:textId="77777777" w:rsidR="00EE152A" w:rsidRPr="00A52AB8" w:rsidRDefault="00EE152A" w:rsidP="00CB76AA">
      <w:pPr>
        <w:pStyle w:val="Heading4"/>
      </w:pPr>
      <w:bookmarkStart w:id="655" w:name="_Toc529871400"/>
      <w:r w:rsidRPr="00A52AB8">
        <w:t xml:space="preserve">Geometry </w:t>
      </w:r>
      <w:r w:rsidR="00DA3C5F" w:rsidRPr="00A52AB8">
        <w:t xml:space="preserve">information </w:t>
      </w:r>
      <w:r w:rsidRPr="00A52AB8">
        <w:t>syntax</w:t>
      </w:r>
      <w:bookmarkEnd w:id="655"/>
    </w:p>
    <w:tbl>
      <w:tblPr>
        <w:tblStyle w:val="TableGrid"/>
        <w:tblW w:w="5000" w:type="pct"/>
        <w:jc w:val="center"/>
        <w:tblLook w:val="04A0" w:firstRow="1" w:lastRow="0" w:firstColumn="1" w:lastColumn="0" w:noHBand="0" w:noVBand="1"/>
      </w:tblPr>
      <w:tblGrid>
        <w:gridCol w:w="8411"/>
        <w:gridCol w:w="1331"/>
      </w:tblGrid>
      <w:tr w:rsidR="006036FE" w:rsidRPr="00A52AB8" w14:paraId="523CC199" w14:textId="77777777" w:rsidTr="00A252B5">
        <w:trPr>
          <w:jc w:val="center"/>
        </w:trPr>
        <w:tc>
          <w:tcPr>
            <w:tcW w:w="7921" w:type="dxa"/>
          </w:tcPr>
          <w:p w14:paraId="15C13137" w14:textId="46DC6BC0" w:rsidR="00EE152A" w:rsidRPr="00A52AB8" w:rsidRDefault="00EE152A">
            <w:pPr>
              <w:spacing w:before="20" w:after="20"/>
              <w:rPr>
                <w:color w:val="000000" w:themeColor="text1"/>
                <w:sz w:val="20"/>
                <w:szCs w:val="20"/>
              </w:rPr>
            </w:pPr>
            <w:r w:rsidRPr="00A52AB8">
              <w:rPr>
                <w:bCs/>
                <w:color w:val="000000" w:themeColor="text1"/>
                <w:sz w:val="20"/>
                <w:szCs w:val="20"/>
              </w:rPr>
              <w:t>geometry_</w:t>
            </w:r>
            <w:r w:rsidR="00DA3C5F" w:rsidRPr="00A52AB8">
              <w:rPr>
                <w:bCs/>
                <w:color w:val="000000" w:themeColor="text1"/>
                <w:sz w:val="20"/>
                <w:szCs w:val="20"/>
              </w:rPr>
              <w:t>information</w:t>
            </w:r>
            <w:r w:rsidRPr="00A52AB8">
              <w:rPr>
                <w:color w:val="000000" w:themeColor="text1"/>
                <w:sz w:val="20"/>
                <w:szCs w:val="20"/>
              </w:rPr>
              <w:t>(</w:t>
            </w:r>
            <w:r w:rsidR="005E1D50" w:rsidRPr="00A52AB8">
              <w:rPr>
                <w:b/>
                <w:color w:val="000000" w:themeColor="text1"/>
                <w:sz w:val="20"/>
                <w:szCs w:val="20"/>
              </w:rPr>
              <w:t> </w:t>
            </w:r>
            <w:r w:rsidR="00A308D1" w:rsidRPr="00A52AB8">
              <w:rPr>
                <w:bCs/>
                <w:color w:val="000000" w:themeColor="text1"/>
                <w:sz w:val="20"/>
                <w:szCs w:val="20"/>
              </w:rPr>
              <w:t>atlasID</w:t>
            </w:r>
            <w:r w:rsidR="00611237" w:rsidRPr="00A52AB8">
              <w:rPr>
                <w:bCs/>
                <w:color w:val="000000" w:themeColor="text1"/>
                <w:sz w:val="20"/>
                <w:szCs w:val="20"/>
              </w:rPr>
              <w:t> </w:t>
            </w:r>
            <w:r w:rsidR="008F1F82" w:rsidRPr="00A52AB8">
              <w:rPr>
                <w:color w:val="000000" w:themeColor="text1"/>
                <w:sz w:val="20"/>
                <w:szCs w:val="20"/>
              </w:rPr>
              <w:t>) {</w:t>
            </w:r>
          </w:p>
        </w:tc>
        <w:tc>
          <w:tcPr>
            <w:tcW w:w="1253" w:type="dxa"/>
          </w:tcPr>
          <w:p w14:paraId="2F89BDA2" w14:textId="77777777" w:rsidR="00EE152A" w:rsidRPr="00A52AB8" w:rsidRDefault="00EE152A">
            <w:pPr>
              <w:spacing w:before="20" w:after="20"/>
              <w:jc w:val="center"/>
              <w:rPr>
                <w:b/>
                <w:color w:val="000000" w:themeColor="text1"/>
                <w:sz w:val="20"/>
                <w:szCs w:val="20"/>
              </w:rPr>
            </w:pPr>
            <w:r w:rsidRPr="00A52AB8">
              <w:rPr>
                <w:b/>
                <w:color w:val="000000" w:themeColor="text1"/>
                <w:sz w:val="20"/>
                <w:szCs w:val="20"/>
              </w:rPr>
              <w:t>Descriptor</w:t>
            </w:r>
          </w:p>
        </w:tc>
      </w:tr>
      <w:tr w:rsidR="006036FE" w:rsidRPr="00A52AB8" w14:paraId="13A09E3D" w14:textId="77777777" w:rsidTr="00A252B5">
        <w:trPr>
          <w:jc w:val="center"/>
        </w:trPr>
        <w:tc>
          <w:tcPr>
            <w:tcW w:w="7921" w:type="dxa"/>
          </w:tcPr>
          <w:p w14:paraId="7FDBEAF0" w14:textId="017D813A" w:rsidR="00EE152A" w:rsidRPr="00A52AB8" w:rsidRDefault="00BA1DB6" w:rsidP="004F7C57">
            <w:pPr>
              <w:spacing w:before="20" w:after="20"/>
              <w:rPr>
                <w:b/>
                <w:color w:val="000000" w:themeColor="text1"/>
                <w:sz w:val="20"/>
                <w:szCs w:val="20"/>
              </w:rPr>
            </w:pPr>
            <w:r w:rsidRPr="00A52AB8">
              <w:rPr>
                <w:color w:val="000000" w:themeColor="text1"/>
                <w:sz w:val="20"/>
                <w:szCs w:val="20"/>
              </w:rPr>
              <w:tab/>
            </w:r>
            <w:r w:rsidR="000F532C" w:rsidRPr="00A52AB8">
              <w:rPr>
                <w:b/>
                <w:color w:val="000000" w:themeColor="text1"/>
                <w:sz w:val="20"/>
                <w:szCs w:val="20"/>
              </w:rPr>
              <w:t>gi_</w:t>
            </w:r>
            <w:r w:rsidR="004C1B5E" w:rsidRPr="00A52AB8">
              <w:rPr>
                <w:b/>
                <w:color w:val="000000" w:themeColor="text1"/>
                <w:sz w:val="20"/>
                <w:szCs w:val="20"/>
              </w:rPr>
              <w:t>geometry_</w:t>
            </w:r>
            <w:r w:rsidR="00EE152A" w:rsidRPr="00A52AB8">
              <w:rPr>
                <w:b/>
                <w:color w:val="000000" w:themeColor="text1"/>
                <w:sz w:val="20"/>
                <w:szCs w:val="20"/>
              </w:rPr>
              <w:t>codec_id</w:t>
            </w:r>
            <w:r w:rsidR="005E1D50" w:rsidRPr="00A52AB8">
              <w:rPr>
                <w:bCs/>
                <w:color w:val="000000" w:themeColor="text1"/>
                <w:sz w:val="20"/>
                <w:szCs w:val="20"/>
              </w:rPr>
              <w:t>[ </w:t>
            </w:r>
            <w:r w:rsidR="00A308D1" w:rsidRPr="00A52AB8">
              <w:rPr>
                <w:bCs/>
                <w:color w:val="000000" w:themeColor="text1"/>
                <w:sz w:val="20"/>
                <w:szCs w:val="20"/>
              </w:rPr>
              <w:t>atlasID</w:t>
            </w:r>
            <w:r w:rsidR="00611237" w:rsidRPr="00A52AB8">
              <w:rPr>
                <w:bCs/>
                <w:color w:val="000000" w:themeColor="text1"/>
                <w:sz w:val="20"/>
                <w:szCs w:val="20"/>
              </w:rPr>
              <w:t> </w:t>
            </w:r>
            <w:r w:rsidR="005E1D50" w:rsidRPr="00A52AB8">
              <w:rPr>
                <w:bCs/>
                <w:color w:val="000000" w:themeColor="text1"/>
                <w:sz w:val="20"/>
                <w:szCs w:val="20"/>
              </w:rPr>
              <w:t>]</w:t>
            </w:r>
          </w:p>
        </w:tc>
        <w:tc>
          <w:tcPr>
            <w:tcW w:w="1253" w:type="dxa"/>
          </w:tcPr>
          <w:p w14:paraId="32D0E9A8" w14:textId="77777777" w:rsidR="00EE152A" w:rsidRPr="00A52AB8" w:rsidRDefault="00EE152A" w:rsidP="004F7C57">
            <w:pPr>
              <w:spacing w:before="20" w:after="20"/>
              <w:jc w:val="center"/>
              <w:rPr>
                <w:color w:val="000000" w:themeColor="text1"/>
                <w:sz w:val="20"/>
                <w:szCs w:val="20"/>
              </w:rPr>
            </w:pPr>
            <w:r w:rsidRPr="00A52AB8">
              <w:rPr>
                <w:color w:val="000000" w:themeColor="text1"/>
                <w:sz w:val="20"/>
                <w:szCs w:val="20"/>
              </w:rPr>
              <w:t>u(8)</w:t>
            </w:r>
          </w:p>
        </w:tc>
      </w:tr>
      <w:tr w:rsidR="00D95488" w:rsidRPr="00A52AB8" w14:paraId="0322CA0E" w14:textId="77777777" w:rsidTr="00A252B5">
        <w:trPr>
          <w:jc w:val="center"/>
        </w:trPr>
        <w:tc>
          <w:tcPr>
            <w:tcW w:w="7921" w:type="dxa"/>
          </w:tcPr>
          <w:p w14:paraId="13E33339" w14:textId="46D35135" w:rsidR="00D95488" w:rsidRPr="00A52AB8" w:rsidRDefault="00D95488" w:rsidP="004F7C57">
            <w:pPr>
              <w:spacing w:before="20" w:after="20"/>
              <w:rPr>
                <w:b/>
                <w:color w:val="000000" w:themeColor="text1"/>
                <w:sz w:val="20"/>
                <w:szCs w:val="20"/>
              </w:rPr>
            </w:pPr>
            <w:r w:rsidRPr="00A52AB8">
              <w:rPr>
                <w:color w:val="000000" w:themeColor="text1"/>
                <w:sz w:val="20"/>
                <w:szCs w:val="20"/>
              </w:rPr>
              <w:lastRenderedPageBreak/>
              <w:tab/>
            </w:r>
            <w:r w:rsidR="000F532C" w:rsidRPr="00A52AB8">
              <w:rPr>
                <w:b/>
                <w:color w:val="000000" w:themeColor="text1"/>
                <w:sz w:val="20"/>
                <w:szCs w:val="20"/>
              </w:rPr>
              <w:t>gi_</w:t>
            </w:r>
            <w:r w:rsidRPr="00A52AB8">
              <w:rPr>
                <w:b/>
                <w:color w:val="000000" w:themeColor="text1"/>
                <w:sz w:val="20"/>
                <w:szCs w:val="20"/>
              </w:rPr>
              <w:t>geometry</w:t>
            </w:r>
            <w:r w:rsidR="00E17778" w:rsidRPr="00A52AB8">
              <w:rPr>
                <w:b/>
                <w:color w:val="000000" w:themeColor="text1"/>
                <w:sz w:val="20"/>
                <w:szCs w:val="20"/>
              </w:rPr>
              <w:t>_</w:t>
            </w:r>
            <w:r w:rsidRPr="00A52AB8">
              <w:rPr>
                <w:b/>
                <w:color w:val="000000" w:themeColor="text1"/>
                <w:sz w:val="20"/>
                <w:szCs w:val="20"/>
              </w:rPr>
              <w:t>2d_bit</w:t>
            </w:r>
            <w:r w:rsidR="00C514C6" w:rsidRPr="00A52AB8">
              <w:rPr>
                <w:b/>
                <w:color w:val="000000" w:themeColor="text1"/>
                <w:sz w:val="20"/>
                <w:szCs w:val="20"/>
              </w:rPr>
              <w:t>_</w:t>
            </w:r>
            <w:r w:rsidRPr="00A52AB8">
              <w:rPr>
                <w:b/>
                <w:color w:val="000000" w:themeColor="text1"/>
                <w:sz w:val="20"/>
                <w:szCs w:val="20"/>
              </w:rPr>
              <w:t>depth</w:t>
            </w:r>
            <w:r w:rsidR="005E7B38" w:rsidRPr="00A52AB8">
              <w:rPr>
                <w:b/>
                <w:color w:val="000000" w:themeColor="text1"/>
                <w:sz w:val="20"/>
                <w:szCs w:val="20"/>
              </w:rPr>
              <w:t>_minus1</w:t>
            </w:r>
            <w:r w:rsidR="005E1D50" w:rsidRPr="00A52AB8">
              <w:rPr>
                <w:bCs/>
                <w:color w:val="000000" w:themeColor="text1"/>
                <w:sz w:val="20"/>
                <w:szCs w:val="20"/>
              </w:rPr>
              <w:t>[ </w:t>
            </w:r>
            <w:r w:rsidR="00A308D1" w:rsidRPr="00A52AB8">
              <w:rPr>
                <w:bCs/>
                <w:color w:val="000000" w:themeColor="text1"/>
                <w:sz w:val="20"/>
                <w:szCs w:val="20"/>
              </w:rPr>
              <w:t>atlasID</w:t>
            </w:r>
            <w:r w:rsidR="00611237" w:rsidRPr="00A52AB8">
              <w:rPr>
                <w:bCs/>
                <w:color w:val="000000" w:themeColor="text1"/>
                <w:sz w:val="20"/>
                <w:szCs w:val="20"/>
              </w:rPr>
              <w:t> </w:t>
            </w:r>
            <w:r w:rsidR="005E1D50" w:rsidRPr="00A52AB8">
              <w:rPr>
                <w:bCs/>
                <w:color w:val="000000" w:themeColor="text1"/>
                <w:sz w:val="20"/>
                <w:szCs w:val="20"/>
              </w:rPr>
              <w:t>]</w:t>
            </w:r>
          </w:p>
        </w:tc>
        <w:tc>
          <w:tcPr>
            <w:tcW w:w="1253" w:type="dxa"/>
          </w:tcPr>
          <w:p w14:paraId="0E30D9DE" w14:textId="77777777" w:rsidR="00D95488" w:rsidRPr="00A52AB8" w:rsidRDefault="00D95488" w:rsidP="004F7C57">
            <w:pPr>
              <w:spacing w:before="20" w:after="20"/>
              <w:jc w:val="center"/>
              <w:rPr>
                <w:color w:val="000000" w:themeColor="text1"/>
                <w:sz w:val="20"/>
                <w:szCs w:val="20"/>
              </w:rPr>
            </w:pPr>
            <w:r w:rsidRPr="00A52AB8">
              <w:rPr>
                <w:color w:val="000000" w:themeColor="text1"/>
                <w:sz w:val="20"/>
                <w:szCs w:val="20"/>
              </w:rPr>
              <w:t>u(5)</w:t>
            </w:r>
          </w:p>
        </w:tc>
      </w:tr>
      <w:tr w:rsidR="002F62C5" w:rsidRPr="00A52AB8" w14:paraId="20437BEB" w14:textId="77777777" w:rsidTr="00A252B5">
        <w:trPr>
          <w:jc w:val="center"/>
        </w:trPr>
        <w:tc>
          <w:tcPr>
            <w:tcW w:w="7921" w:type="dxa"/>
          </w:tcPr>
          <w:p w14:paraId="68AE3B99" w14:textId="33DF2E81" w:rsidR="002F62C5" w:rsidRPr="00A52AB8" w:rsidRDefault="002F62C5" w:rsidP="004F7C57">
            <w:pPr>
              <w:spacing w:before="20" w:after="20"/>
              <w:rPr>
                <w:color w:val="000000" w:themeColor="text1"/>
                <w:sz w:val="20"/>
                <w:szCs w:val="20"/>
              </w:rPr>
            </w:pPr>
            <w:r w:rsidRPr="00A52AB8">
              <w:rPr>
                <w:bCs/>
                <w:color w:val="000000" w:themeColor="text1"/>
                <w:sz w:val="20"/>
                <w:szCs w:val="20"/>
              </w:rPr>
              <w:tab/>
            </w:r>
            <w:r w:rsidRPr="00A52AB8">
              <w:rPr>
                <w:b/>
                <w:bCs/>
                <w:color w:val="000000" w:themeColor="text1"/>
                <w:sz w:val="20"/>
                <w:szCs w:val="20"/>
              </w:rPr>
              <w:t>gi_geometry_MSB_align_flag</w:t>
            </w:r>
            <w:r w:rsidRPr="00A52AB8">
              <w:rPr>
                <w:bCs/>
                <w:color w:val="000000" w:themeColor="text1"/>
                <w:sz w:val="20"/>
                <w:szCs w:val="20"/>
              </w:rPr>
              <w:t>[ </w:t>
            </w:r>
            <w:r w:rsidR="00A308D1" w:rsidRPr="00A52AB8">
              <w:rPr>
                <w:bCs/>
                <w:color w:val="000000" w:themeColor="text1"/>
                <w:sz w:val="20"/>
                <w:szCs w:val="20"/>
              </w:rPr>
              <w:t>atlasID</w:t>
            </w:r>
            <w:r w:rsidR="00611237" w:rsidRPr="00A52AB8">
              <w:rPr>
                <w:bCs/>
                <w:color w:val="000000" w:themeColor="text1"/>
                <w:sz w:val="20"/>
                <w:szCs w:val="20"/>
              </w:rPr>
              <w:t> </w:t>
            </w:r>
            <w:r w:rsidRPr="00A52AB8">
              <w:rPr>
                <w:bCs/>
                <w:color w:val="000000" w:themeColor="text1"/>
                <w:sz w:val="20"/>
                <w:szCs w:val="20"/>
              </w:rPr>
              <w:t>]</w:t>
            </w:r>
          </w:p>
        </w:tc>
        <w:tc>
          <w:tcPr>
            <w:tcW w:w="1253" w:type="dxa"/>
          </w:tcPr>
          <w:p w14:paraId="7F31457B" w14:textId="77777777" w:rsidR="002F62C5" w:rsidRPr="00A52AB8" w:rsidRDefault="002F62C5" w:rsidP="004F7C57">
            <w:pPr>
              <w:spacing w:before="20" w:after="20"/>
              <w:jc w:val="center"/>
              <w:rPr>
                <w:color w:val="000000" w:themeColor="text1"/>
                <w:sz w:val="20"/>
                <w:szCs w:val="20"/>
              </w:rPr>
            </w:pPr>
            <w:r w:rsidRPr="00A52AB8">
              <w:rPr>
                <w:color w:val="000000" w:themeColor="text1"/>
                <w:sz w:val="20"/>
                <w:szCs w:val="20"/>
              </w:rPr>
              <w:t>u(1)</w:t>
            </w:r>
          </w:p>
        </w:tc>
      </w:tr>
      <w:tr w:rsidR="006036FE" w:rsidRPr="00A52AB8" w14:paraId="6D414C11" w14:textId="77777777" w:rsidTr="00A252B5">
        <w:trPr>
          <w:jc w:val="center"/>
        </w:trPr>
        <w:tc>
          <w:tcPr>
            <w:tcW w:w="7921" w:type="dxa"/>
          </w:tcPr>
          <w:p w14:paraId="57F5A024" w14:textId="1407DE69" w:rsidR="004B04E2" w:rsidRPr="00A52AB8" w:rsidRDefault="004B04E2" w:rsidP="004F7C57">
            <w:pPr>
              <w:spacing w:before="20" w:after="20"/>
              <w:rPr>
                <w:b/>
                <w:color w:val="000000" w:themeColor="text1"/>
                <w:sz w:val="20"/>
                <w:szCs w:val="20"/>
              </w:rPr>
            </w:pPr>
            <w:r w:rsidRPr="00A52AB8">
              <w:rPr>
                <w:color w:val="000000" w:themeColor="text1"/>
                <w:sz w:val="20"/>
                <w:szCs w:val="20"/>
              </w:rPr>
              <w:tab/>
            </w:r>
            <w:r w:rsidR="000F532C" w:rsidRPr="00A52AB8">
              <w:rPr>
                <w:b/>
                <w:color w:val="000000" w:themeColor="text1"/>
                <w:sz w:val="20"/>
                <w:szCs w:val="20"/>
              </w:rPr>
              <w:t>gi_</w:t>
            </w:r>
            <w:r w:rsidRPr="00A52AB8">
              <w:rPr>
                <w:b/>
                <w:color w:val="000000" w:themeColor="text1"/>
                <w:sz w:val="20"/>
                <w:szCs w:val="20"/>
              </w:rPr>
              <w:t>geometry_</w:t>
            </w:r>
            <w:r w:rsidR="007A502F" w:rsidRPr="00A52AB8">
              <w:rPr>
                <w:b/>
                <w:color w:val="000000" w:themeColor="text1"/>
                <w:sz w:val="20"/>
                <w:szCs w:val="20"/>
              </w:rPr>
              <w:t>3d_</w:t>
            </w:r>
            <w:r w:rsidR="00F75473" w:rsidRPr="00A52AB8">
              <w:rPr>
                <w:b/>
                <w:color w:val="000000" w:themeColor="text1"/>
                <w:sz w:val="20"/>
                <w:szCs w:val="20"/>
              </w:rPr>
              <w:t>coordinates_</w:t>
            </w:r>
            <w:r w:rsidRPr="00A52AB8">
              <w:rPr>
                <w:b/>
                <w:color w:val="000000" w:themeColor="text1"/>
                <w:sz w:val="20"/>
                <w:szCs w:val="20"/>
              </w:rPr>
              <w:t>bit</w:t>
            </w:r>
            <w:r w:rsidR="00C514C6" w:rsidRPr="00A52AB8">
              <w:rPr>
                <w:b/>
                <w:color w:val="000000" w:themeColor="text1"/>
                <w:sz w:val="20"/>
                <w:szCs w:val="20"/>
              </w:rPr>
              <w:t>_</w:t>
            </w:r>
            <w:r w:rsidRPr="00A52AB8">
              <w:rPr>
                <w:b/>
                <w:color w:val="000000" w:themeColor="text1"/>
                <w:sz w:val="20"/>
                <w:szCs w:val="20"/>
              </w:rPr>
              <w:t>depth_minus1</w:t>
            </w:r>
            <w:r w:rsidR="005E1D50" w:rsidRPr="00A52AB8">
              <w:rPr>
                <w:bCs/>
                <w:color w:val="000000" w:themeColor="text1"/>
                <w:sz w:val="20"/>
                <w:szCs w:val="20"/>
              </w:rPr>
              <w:t>[ </w:t>
            </w:r>
            <w:r w:rsidR="00A308D1" w:rsidRPr="00A52AB8">
              <w:rPr>
                <w:bCs/>
                <w:color w:val="000000" w:themeColor="text1"/>
                <w:sz w:val="20"/>
                <w:szCs w:val="20"/>
              </w:rPr>
              <w:t>atlasID</w:t>
            </w:r>
            <w:r w:rsidR="00611237" w:rsidRPr="00A52AB8">
              <w:rPr>
                <w:bCs/>
                <w:color w:val="000000" w:themeColor="text1"/>
                <w:sz w:val="20"/>
                <w:szCs w:val="20"/>
              </w:rPr>
              <w:t> </w:t>
            </w:r>
            <w:r w:rsidR="005E1D50" w:rsidRPr="00A52AB8">
              <w:rPr>
                <w:bCs/>
                <w:color w:val="000000" w:themeColor="text1"/>
                <w:sz w:val="20"/>
                <w:szCs w:val="20"/>
              </w:rPr>
              <w:t>]</w:t>
            </w:r>
          </w:p>
        </w:tc>
        <w:tc>
          <w:tcPr>
            <w:tcW w:w="1253" w:type="dxa"/>
          </w:tcPr>
          <w:p w14:paraId="050D60A5" w14:textId="77777777" w:rsidR="004B04E2" w:rsidRPr="00A52AB8" w:rsidRDefault="004B04E2" w:rsidP="004F7C57">
            <w:pPr>
              <w:spacing w:before="20" w:after="20"/>
              <w:jc w:val="center"/>
              <w:rPr>
                <w:color w:val="000000" w:themeColor="text1"/>
                <w:sz w:val="20"/>
                <w:szCs w:val="20"/>
              </w:rPr>
            </w:pPr>
            <w:r w:rsidRPr="00A52AB8">
              <w:rPr>
                <w:color w:val="000000" w:themeColor="text1"/>
                <w:sz w:val="20"/>
                <w:szCs w:val="20"/>
              </w:rPr>
              <w:t>u(</w:t>
            </w:r>
            <w:r w:rsidR="0077422D" w:rsidRPr="00A52AB8">
              <w:rPr>
                <w:color w:val="000000" w:themeColor="text1"/>
                <w:sz w:val="20"/>
                <w:szCs w:val="20"/>
              </w:rPr>
              <w:t>5</w:t>
            </w:r>
            <w:r w:rsidRPr="00A52AB8">
              <w:rPr>
                <w:color w:val="000000" w:themeColor="text1"/>
                <w:sz w:val="20"/>
                <w:szCs w:val="20"/>
              </w:rPr>
              <w:t>)</w:t>
            </w:r>
          </w:p>
        </w:tc>
      </w:tr>
      <w:tr w:rsidR="003730E9" w:rsidRPr="00A52AB8" w14:paraId="14C2B31E" w14:textId="77777777" w:rsidTr="00A252B5">
        <w:trPr>
          <w:jc w:val="center"/>
        </w:trPr>
        <w:tc>
          <w:tcPr>
            <w:tcW w:w="7921" w:type="dxa"/>
          </w:tcPr>
          <w:p w14:paraId="7D1015DE" w14:textId="0CEC29EE" w:rsidR="003730E9" w:rsidRPr="00A52AB8" w:rsidRDefault="003730E9" w:rsidP="004F7C57">
            <w:pPr>
              <w:spacing w:before="20" w:after="20"/>
              <w:rPr>
                <w:color w:val="000000" w:themeColor="text1"/>
                <w:sz w:val="20"/>
                <w:szCs w:val="20"/>
              </w:rPr>
            </w:pPr>
            <w:r w:rsidRPr="00A52AB8">
              <w:rPr>
                <w:b/>
                <w:bCs/>
                <w:color w:val="000000" w:themeColor="text1"/>
                <w:sz w:val="20"/>
                <w:szCs w:val="20"/>
              </w:rPr>
              <w:tab/>
            </w:r>
            <w:r w:rsidR="003A5206" w:rsidRPr="00A52AB8">
              <w:rPr>
                <w:color w:val="000000" w:themeColor="text1"/>
                <w:sz w:val="20"/>
                <w:szCs w:val="20"/>
              </w:rPr>
              <w:t>if(</w:t>
            </w:r>
            <w:r w:rsidRPr="00A52AB8">
              <w:rPr>
                <w:color w:val="000000" w:themeColor="text1"/>
                <w:sz w:val="20"/>
                <w:szCs w:val="20"/>
              </w:rPr>
              <w:t> </w:t>
            </w:r>
            <w:r w:rsidR="00C30138" w:rsidRPr="00A52AB8">
              <w:rPr>
                <w:color w:val="000000" w:themeColor="text1"/>
                <w:sz w:val="20"/>
                <w:szCs w:val="20"/>
              </w:rPr>
              <w:t>vps_auxiliary_video_present_flag</w:t>
            </w:r>
            <w:r w:rsidR="005E1D50" w:rsidRPr="00A52AB8">
              <w:rPr>
                <w:color w:val="000000" w:themeColor="text1"/>
                <w:sz w:val="20"/>
                <w:szCs w:val="20"/>
              </w:rPr>
              <w:t>[ </w:t>
            </w:r>
            <w:r w:rsidR="00A308D1" w:rsidRPr="00A52AB8">
              <w:rPr>
                <w:color w:val="000000" w:themeColor="text1"/>
                <w:sz w:val="20"/>
                <w:szCs w:val="20"/>
              </w:rPr>
              <w:t>atlasID</w:t>
            </w:r>
            <w:r w:rsidR="00611237" w:rsidRPr="00A52AB8">
              <w:rPr>
                <w:color w:val="000000" w:themeColor="text1"/>
                <w:sz w:val="20"/>
                <w:szCs w:val="20"/>
              </w:rPr>
              <w:t> </w:t>
            </w:r>
            <w:r w:rsidR="005E1D50" w:rsidRPr="00A52AB8">
              <w:rPr>
                <w:color w:val="000000" w:themeColor="text1"/>
                <w:sz w:val="20"/>
                <w:szCs w:val="20"/>
              </w:rPr>
              <w:t>]</w:t>
            </w:r>
            <w:r w:rsidRPr="00A52AB8">
              <w:rPr>
                <w:color w:val="000000" w:themeColor="text1"/>
                <w:sz w:val="20"/>
                <w:szCs w:val="20"/>
              </w:rPr>
              <w:t> )</w:t>
            </w:r>
          </w:p>
        </w:tc>
        <w:tc>
          <w:tcPr>
            <w:tcW w:w="1253" w:type="dxa"/>
          </w:tcPr>
          <w:p w14:paraId="6D23E2DA" w14:textId="77777777" w:rsidR="003730E9" w:rsidRPr="00A52AB8" w:rsidRDefault="003730E9" w:rsidP="004F7C57">
            <w:pPr>
              <w:spacing w:before="20" w:after="20"/>
              <w:jc w:val="center"/>
              <w:rPr>
                <w:b/>
                <w:bCs/>
                <w:color w:val="000000" w:themeColor="text1"/>
                <w:sz w:val="20"/>
                <w:szCs w:val="20"/>
              </w:rPr>
            </w:pPr>
          </w:p>
        </w:tc>
      </w:tr>
      <w:tr w:rsidR="003730E9" w:rsidRPr="00A52AB8" w14:paraId="2CCEBF02" w14:textId="77777777" w:rsidTr="00A252B5">
        <w:trPr>
          <w:jc w:val="center"/>
        </w:trPr>
        <w:tc>
          <w:tcPr>
            <w:tcW w:w="7921" w:type="dxa"/>
          </w:tcPr>
          <w:p w14:paraId="0C5E4B5C" w14:textId="5B114363" w:rsidR="003730E9" w:rsidRPr="00A52AB8" w:rsidRDefault="003730E9" w:rsidP="004F7C57">
            <w:pPr>
              <w:spacing w:before="20" w:after="20"/>
              <w:rPr>
                <w:b/>
                <w:color w:val="000000" w:themeColor="text1"/>
                <w:sz w:val="20"/>
                <w:szCs w:val="20"/>
              </w:rPr>
            </w:pPr>
            <w:r w:rsidRPr="00A52AB8">
              <w:rPr>
                <w:color w:val="000000" w:themeColor="text1"/>
                <w:sz w:val="20"/>
                <w:szCs w:val="20"/>
              </w:rPr>
              <w:tab/>
            </w:r>
            <w:r w:rsidRPr="00A52AB8">
              <w:rPr>
                <w:color w:val="000000" w:themeColor="text1"/>
                <w:sz w:val="20"/>
                <w:szCs w:val="20"/>
              </w:rPr>
              <w:tab/>
            </w:r>
            <w:r w:rsidR="000F532C" w:rsidRPr="00A52AB8">
              <w:rPr>
                <w:b/>
                <w:color w:val="000000" w:themeColor="text1"/>
                <w:sz w:val="20"/>
                <w:szCs w:val="20"/>
              </w:rPr>
              <w:t>gi_</w:t>
            </w:r>
            <w:r w:rsidR="00C30138" w:rsidRPr="00A52AB8">
              <w:rPr>
                <w:b/>
                <w:color w:val="000000" w:themeColor="text1"/>
                <w:sz w:val="20"/>
                <w:szCs w:val="20"/>
              </w:rPr>
              <w:t>auxiliary</w:t>
            </w:r>
            <w:r w:rsidRPr="00A52AB8">
              <w:rPr>
                <w:b/>
                <w:color w:val="000000" w:themeColor="text1"/>
                <w:sz w:val="20"/>
                <w:szCs w:val="20"/>
              </w:rPr>
              <w:t>_geometry_codec_id</w:t>
            </w:r>
            <w:r w:rsidR="005E1D50" w:rsidRPr="00A52AB8">
              <w:rPr>
                <w:bCs/>
                <w:color w:val="000000" w:themeColor="text1"/>
                <w:sz w:val="20"/>
                <w:szCs w:val="20"/>
              </w:rPr>
              <w:t>[ </w:t>
            </w:r>
            <w:r w:rsidR="00A308D1" w:rsidRPr="00A52AB8">
              <w:rPr>
                <w:bCs/>
                <w:color w:val="000000" w:themeColor="text1"/>
                <w:sz w:val="20"/>
                <w:szCs w:val="20"/>
              </w:rPr>
              <w:t>atlasID</w:t>
            </w:r>
            <w:r w:rsidR="00611237" w:rsidRPr="00A52AB8">
              <w:rPr>
                <w:bCs/>
                <w:color w:val="000000" w:themeColor="text1"/>
                <w:sz w:val="20"/>
                <w:szCs w:val="20"/>
              </w:rPr>
              <w:t> </w:t>
            </w:r>
            <w:r w:rsidR="005E1D50" w:rsidRPr="00A52AB8">
              <w:rPr>
                <w:bCs/>
                <w:color w:val="000000" w:themeColor="text1"/>
                <w:sz w:val="20"/>
                <w:szCs w:val="20"/>
              </w:rPr>
              <w:t>]</w:t>
            </w:r>
          </w:p>
        </w:tc>
        <w:tc>
          <w:tcPr>
            <w:tcW w:w="1253" w:type="dxa"/>
          </w:tcPr>
          <w:p w14:paraId="187DCA83" w14:textId="77777777" w:rsidR="003730E9" w:rsidRPr="00A52AB8" w:rsidRDefault="003730E9" w:rsidP="004F7C57">
            <w:pPr>
              <w:spacing w:before="20" w:after="20"/>
              <w:jc w:val="center"/>
              <w:rPr>
                <w:color w:val="000000" w:themeColor="text1"/>
                <w:sz w:val="20"/>
                <w:szCs w:val="20"/>
              </w:rPr>
            </w:pPr>
            <w:r w:rsidRPr="00A52AB8">
              <w:rPr>
                <w:color w:val="000000" w:themeColor="text1"/>
                <w:sz w:val="20"/>
                <w:szCs w:val="20"/>
              </w:rPr>
              <w:t>u(8)</w:t>
            </w:r>
          </w:p>
        </w:tc>
      </w:tr>
      <w:tr w:rsidR="006036FE" w:rsidRPr="00A52AB8" w14:paraId="41D84C6D" w14:textId="77777777" w:rsidTr="00A252B5">
        <w:trPr>
          <w:jc w:val="center"/>
        </w:trPr>
        <w:tc>
          <w:tcPr>
            <w:tcW w:w="7921" w:type="dxa"/>
          </w:tcPr>
          <w:p w14:paraId="12828B24" w14:textId="77777777" w:rsidR="00EE152A" w:rsidRPr="00A52AB8" w:rsidRDefault="00EE152A" w:rsidP="004F7C57">
            <w:pPr>
              <w:spacing w:before="20" w:after="20"/>
              <w:rPr>
                <w:color w:val="000000" w:themeColor="text1"/>
                <w:sz w:val="20"/>
                <w:szCs w:val="20"/>
              </w:rPr>
            </w:pPr>
            <w:r w:rsidRPr="00A52AB8">
              <w:rPr>
                <w:color w:val="000000" w:themeColor="text1"/>
                <w:sz w:val="20"/>
                <w:szCs w:val="20"/>
              </w:rPr>
              <w:t>}</w:t>
            </w:r>
          </w:p>
        </w:tc>
        <w:tc>
          <w:tcPr>
            <w:tcW w:w="1253" w:type="dxa"/>
          </w:tcPr>
          <w:p w14:paraId="3520AEA2" w14:textId="77777777" w:rsidR="00EE152A" w:rsidRPr="00A52AB8" w:rsidRDefault="00EE152A" w:rsidP="004F7C57">
            <w:pPr>
              <w:spacing w:before="20" w:after="20"/>
              <w:jc w:val="center"/>
              <w:rPr>
                <w:color w:val="000000" w:themeColor="text1"/>
                <w:sz w:val="20"/>
                <w:szCs w:val="20"/>
              </w:rPr>
            </w:pPr>
          </w:p>
        </w:tc>
      </w:tr>
    </w:tbl>
    <w:p w14:paraId="21F8C7B1" w14:textId="77777777" w:rsidR="00EE152A" w:rsidRPr="00A52AB8" w:rsidRDefault="00EE152A" w:rsidP="00CB76AA">
      <w:pPr>
        <w:pStyle w:val="Heading4"/>
      </w:pPr>
      <w:bookmarkStart w:id="656" w:name="_Toc986343"/>
      <w:bookmarkStart w:id="657" w:name="_Toc1000883"/>
      <w:bookmarkStart w:id="658" w:name="_Toc1001420"/>
      <w:bookmarkStart w:id="659" w:name="_Toc1002234"/>
      <w:bookmarkStart w:id="660" w:name="_Toc1195474"/>
      <w:bookmarkStart w:id="661" w:name="_Toc1198494"/>
      <w:bookmarkStart w:id="662" w:name="_Toc1380151"/>
      <w:bookmarkStart w:id="663" w:name="_Toc1466517"/>
      <w:bookmarkStart w:id="664" w:name="_Toc1476490"/>
      <w:bookmarkStart w:id="665" w:name="_Toc1742890"/>
      <w:bookmarkStart w:id="666" w:name="_Toc1743435"/>
      <w:bookmarkStart w:id="667" w:name="_Toc986344"/>
      <w:bookmarkStart w:id="668" w:name="_Toc1000884"/>
      <w:bookmarkStart w:id="669" w:name="_Toc1001421"/>
      <w:bookmarkStart w:id="670" w:name="_Toc1002235"/>
      <w:bookmarkStart w:id="671" w:name="_Toc1195475"/>
      <w:bookmarkStart w:id="672" w:name="_Toc1198495"/>
      <w:bookmarkStart w:id="673" w:name="_Toc1380152"/>
      <w:bookmarkStart w:id="674" w:name="_Toc1466518"/>
      <w:bookmarkStart w:id="675" w:name="_Toc1476491"/>
      <w:bookmarkStart w:id="676" w:name="_Toc1742891"/>
      <w:bookmarkStart w:id="677" w:name="_Toc1743436"/>
      <w:bookmarkStart w:id="678" w:name="_Toc529871401"/>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r w:rsidRPr="00A52AB8">
        <w:t xml:space="preserve">Attribute </w:t>
      </w:r>
      <w:r w:rsidR="00DA3C5F" w:rsidRPr="00A52AB8">
        <w:t xml:space="preserve">information </w:t>
      </w:r>
      <w:r w:rsidRPr="00A52AB8">
        <w:t>syntax</w:t>
      </w:r>
      <w:bookmarkEnd w:id="678"/>
    </w:p>
    <w:tbl>
      <w:tblPr>
        <w:tblStyle w:val="TableGrid"/>
        <w:tblW w:w="5000" w:type="pct"/>
        <w:tblLayout w:type="fixed"/>
        <w:tblLook w:val="04A0" w:firstRow="1" w:lastRow="0" w:firstColumn="1" w:lastColumn="0" w:noHBand="0" w:noVBand="1"/>
      </w:tblPr>
      <w:tblGrid>
        <w:gridCol w:w="8411"/>
        <w:gridCol w:w="1331"/>
      </w:tblGrid>
      <w:tr w:rsidR="00EE152A" w:rsidRPr="00A52AB8" w14:paraId="27610AA7" w14:textId="77777777" w:rsidTr="00A252B5">
        <w:tc>
          <w:tcPr>
            <w:tcW w:w="7921" w:type="dxa"/>
          </w:tcPr>
          <w:p w14:paraId="60119FD3" w14:textId="111E791F" w:rsidR="00EE152A" w:rsidRPr="00A52AB8" w:rsidRDefault="00EE152A" w:rsidP="004F7C57">
            <w:pPr>
              <w:spacing w:before="20" w:after="20"/>
              <w:rPr>
                <w:color w:val="000000" w:themeColor="text1"/>
                <w:sz w:val="20"/>
                <w:szCs w:val="20"/>
              </w:rPr>
            </w:pPr>
            <w:r w:rsidRPr="00A52AB8">
              <w:rPr>
                <w:bCs/>
                <w:color w:val="000000" w:themeColor="text1"/>
                <w:sz w:val="20"/>
                <w:szCs w:val="20"/>
              </w:rPr>
              <w:t>attribute_</w:t>
            </w:r>
            <w:r w:rsidR="00DA3C5F" w:rsidRPr="00A52AB8">
              <w:rPr>
                <w:bCs/>
                <w:color w:val="000000" w:themeColor="text1"/>
                <w:sz w:val="20"/>
                <w:szCs w:val="20"/>
              </w:rPr>
              <w:t>information</w:t>
            </w:r>
            <w:r w:rsidRPr="00A52AB8">
              <w:rPr>
                <w:color w:val="000000" w:themeColor="text1"/>
                <w:sz w:val="20"/>
                <w:szCs w:val="20"/>
              </w:rPr>
              <w:t>(</w:t>
            </w:r>
            <w:r w:rsidR="005E1D50" w:rsidRPr="00A52AB8">
              <w:rPr>
                <w:b/>
                <w:color w:val="000000" w:themeColor="text1"/>
                <w:sz w:val="20"/>
                <w:szCs w:val="20"/>
              </w:rPr>
              <w:t> </w:t>
            </w:r>
            <w:r w:rsidR="00A308D1" w:rsidRPr="00A52AB8">
              <w:rPr>
                <w:color w:val="000000" w:themeColor="text1"/>
                <w:sz w:val="20"/>
                <w:szCs w:val="20"/>
              </w:rPr>
              <w:t>atlasID</w:t>
            </w:r>
            <w:r w:rsidR="00611237" w:rsidRPr="00A52AB8">
              <w:rPr>
                <w:b/>
                <w:color w:val="000000" w:themeColor="text1"/>
                <w:sz w:val="20"/>
                <w:szCs w:val="20"/>
              </w:rPr>
              <w:t> </w:t>
            </w:r>
            <w:r w:rsidR="008F1F82" w:rsidRPr="00A52AB8">
              <w:rPr>
                <w:color w:val="000000" w:themeColor="text1"/>
                <w:sz w:val="20"/>
                <w:szCs w:val="20"/>
              </w:rPr>
              <w:t>) {</w:t>
            </w:r>
          </w:p>
        </w:tc>
        <w:tc>
          <w:tcPr>
            <w:tcW w:w="1253" w:type="dxa"/>
          </w:tcPr>
          <w:p w14:paraId="1F2D4948" w14:textId="77777777" w:rsidR="00EE152A" w:rsidRPr="00A52AB8" w:rsidRDefault="00EE152A">
            <w:pPr>
              <w:spacing w:before="20" w:after="20"/>
              <w:jc w:val="center"/>
              <w:rPr>
                <w:b/>
                <w:color w:val="000000" w:themeColor="text1"/>
                <w:sz w:val="20"/>
                <w:szCs w:val="20"/>
              </w:rPr>
            </w:pPr>
            <w:r w:rsidRPr="00A52AB8">
              <w:rPr>
                <w:b/>
                <w:color w:val="000000" w:themeColor="text1"/>
                <w:sz w:val="20"/>
                <w:szCs w:val="20"/>
              </w:rPr>
              <w:t>Descriptor</w:t>
            </w:r>
          </w:p>
        </w:tc>
      </w:tr>
      <w:tr w:rsidR="00064298" w:rsidRPr="00A52AB8" w14:paraId="098C5E77" w14:textId="77777777" w:rsidTr="00A252B5">
        <w:trPr>
          <w:trHeight w:val="70"/>
        </w:trPr>
        <w:tc>
          <w:tcPr>
            <w:tcW w:w="7921" w:type="dxa"/>
          </w:tcPr>
          <w:p w14:paraId="50E264AF" w14:textId="4B83C6A8" w:rsidR="00064298" w:rsidRPr="00A52AB8" w:rsidRDefault="00064298" w:rsidP="004F7C57">
            <w:pPr>
              <w:spacing w:before="20" w:after="20"/>
              <w:rPr>
                <w:b/>
                <w:color w:val="000000" w:themeColor="text1"/>
                <w:sz w:val="20"/>
                <w:szCs w:val="20"/>
              </w:rPr>
            </w:pPr>
            <w:r w:rsidRPr="00A52AB8">
              <w:rPr>
                <w:color w:val="000000" w:themeColor="text1"/>
                <w:sz w:val="20"/>
                <w:szCs w:val="20"/>
              </w:rPr>
              <w:tab/>
            </w:r>
            <w:r w:rsidR="000F532C" w:rsidRPr="00A52AB8">
              <w:rPr>
                <w:b/>
                <w:color w:val="000000" w:themeColor="text1"/>
                <w:sz w:val="20"/>
                <w:szCs w:val="20"/>
              </w:rPr>
              <w:t>ai_</w:t>
            </w:r>
            <w:r w:rsidRPr="00A52AB8">
              <w:rPr>
                <w:b/>
                <w:color w:val="000000" w:themeColor="text1"/>
                <w:sz w:val="20"/>
                <w:szCs w:val="20"/>
              </w:rPr>
              <w:t>attribute_count</w:t>
            </w:r>
            <w:r w:rsidR="005E1D50" w:rsidRPr="00A52AB8">
              <w:rPr>
                <w:bCs/>
                <w:color w:val="000000" w:themeColor="text1"/>
                <w:sz w:val="20"/>
                <w:szCs w:val="20"/>
              </w:rPr>
              <w:t>[ </w:t>
            </w:r>
            <w:r w:rsidR="00A308D1" w:rsidRPr="00A52AB8">
              <w:rPr>
                <w:color w:val="000000" w:themeColor="text1"/>
                <w:sz w:val="20"/>
                <w:szCs w:val="20"/>
              </w:rPr>
              <w:t>atlasID</w:t>
            </w:r>
            <w:r w:rsidR="00611237" w:rsidRPr="00A52AB8">
              <w:rPr>
                <w:bCs/>
                <w:color w:val="000000" w:themeColor="text1"/>
                <w:sz w:val="20"/>
                <w:szCs w:val="20"/>
              </w:rPr>
              <w:t> </w:t>
            </w:r>
            <w:r w:rsidR="005E1D50" w:rsidRPr="00A52AB8">
              <w:rPr>
                <w:bCs/>
                <w:color w:val="000000" w:themeColor="text1"/>
                <w:sz w:val="20"/>
                <w:szCs w:val="20"/>
              </w:rPr>
              <w:t>]</w:t>
            </w:r>
          </w:p>
        </w:tc>
        <w:tc>
          <w:tcPr>
            <w:tcW w:w="1253" w:type="dxa"/>
          </w:tcPr>
          <w:p w14:paraId="183D7A5F" w14:textId="77777777" w:rsidR="00064298" w:rsidRPr="00A52AB8" w:rsidRDefault="00064298" w:rsidP="004F7C57">
            <w:pPr>
              <w:spacing w:before="20" w:after="20"/>
              <w:jc w:val="center"/>
              <w:rPr>
                <w:color w:val="000000" w:themeColor="text1"/>
                <w:sz w:val="20"/>
                <w:szCs w:val="20"/>
              </w:rPr>
            </w:pPr>
            <w:r w:rsidRPr="00A52AB8">
              <w:rPr>
                <w:color w:val="000000" w:themeColor="text1"/>
                <w:sz w:val="20"/>
                <w:szCs w:val="20"/>
              </w:rPr>
              <w:t>u(7)</w:t>
            </w:r>
          </w:p>
        </w:tc>
      </w:tr>
      <w:tr w:rsidR="00064298" w:rsidRPr="00A52AB8" w14:paraId="3E463A98" w14:textId="77777777" w:rsidTr="00A252B5">
        <w:tc>
          <w:tcPr>
            <w:tcW w:w="7921" w:type="dxa"/>
          </w:tcPr>
          <w:p w14:paraId="6910A770" w14:textId="41AAFF0A" w:rsidR="00064298" w:rsidRPr="00A52AB8" w:rsidRDefault="00064298" w:rsidP="004F7C57">
            <w:pPr>
              <w:spacing w:before="20" w:after="20"/>
              <w:rPr>
                <w:color w:val="000000" w:themeColor="text1"/>
                <w:sz w:val="20"/>
                <w:szCs w:val="20"/>
              </w:rPr>
            </w:pPr>
            <w:r w:rsidRPr="00A52AB8">
              <w:rPr>
                <w:color w:val="000000" w:themeColor="text1"/>
                <w:sz w:val="20"/>
                <w:szCs w:val="20"/>
              </w:rPr>
              <w:tab/>
              <w:t>for(</w:t>
            </w:r>
            <w:r w:rsidRPr="00A52AB8">
              <w:rPr>
                <w:color w:val="000000" w:themeColor="text1"/>
                <w:sz w:val="20"/>
                <w:szCs w:val="20"/>
                <w:lang w:eastAsia="ja-JP"/>
              </w:rPr>
              <w:t xml:space="preserve"> </w:t>
            </w:r>
            <w:r w:rsidRPr="00A52AB8">
              <w:rPr>
                <w:color w:val="000000" w:themeColor="text1"/>
                <w:sz w:val="20"/>
                <w:szCs w:val="20"/>
              </w:rPr>
              <w:t>i</w:t>
            </w:r>
            <w:r w:rsidR="0023721F" w:rsidRPr="00A52AB8">
              <w:rPr>
                <w:color w:val="000000" w:themeColor="text1"/>
                <w:sz w:val="20"/>
                <w:szCs w:val="20"/>
              </w:rPr>
              <w:t> </w:t>
            </w:r>
            <w:r w:rsidR="00D47707" w:rsidRPr="00A52AB8">
              <w:rPr>
                <w:color w:val="000000" w:themeColor="text1"/>
                <w:sz w:val="20"/>
                <w:szCs w:val="20"/>
              </w:rPr>
              <w:t>= </w:t>
            </w:r>
            <w:r w:rsidRPr="00A52AB8">
              <w:rPr>
                <w:color w:val="000000" w:themeColor="text1"/>
                <w:sz w:val="20"/>
                <w:szCs w:val="20"/>
              </w:rPr>
              <w:t xml:space="preserve">0; i &lt; </w:t>
            </w:r>
            <w:r w:rsidR="000F532C" w:rsidRPr="00A52AB8">
              <w:rPr>
                <w:color w:val="000000" w:themeColor="text1"/>
                <w:sz w:val="20"/>
                <w:szCs w:val="20"/>
              </w:rPr>
              <w:t>ai_</w:t>
            </w:r>
            <w:r w:rsidRPr="00A52AB8">
              <w:rPr>
                <w:color w:val="000000" w:themeColor="text1"/>
                <w:sz w:val="20"/>
                <w:szCs w:val="20"/>
              </w:rPr>
              <w:t>attribute_count</w:t>
            </w:r>
            <w:r w:rsidR="002632DA" w:rsidRPr="00A52AB8">
              <w:rPr>
                <w:color w:val="000000" w:themeColor="text1"/>
                <w:sz w:val="20"/>
                <w:szCs w:val="20"/>
              </w:rPr>
              <w:t>[ </w:t>
            </w:r>
            <w:r w:rsidR="00A308D1" w:rsidRPr="00A52AB8">
              <w:rPr>
                <w:color w:val="000000" w:themeColor="text1"/>
                <w:sz w:val="20"/>
                <w:szCs w:val="20"/>
              </w:rPr>
              <w:t>atlasID</w:t>
            </w:r>
            <w:r w:rsidR="00611237" w:rsidRPr="00A52AB8">
              <w:rPr>
                <w:color w:val="000000" w:themeColor="text1"/>
                <w:sz w:val="20"/>
                <w:szCs w:val="20"/>
              </w:rPr>
              <w:t> </w:t>
            </w:r>
            <w:r w:rsidR="002632DA" w:rsidRPr="00A52AB8">
              <w:rPr>
                <w:color w:val="000000" w:themeColor="text1"/>
                <w:sz w:val="20"/>
                <w:szCs w:val="20"/>
              </w:rPr>
              <w:t>]</w:t>
            </w:r>
            <w:r w:rsidRPr="00A52AB8">
              <w:rPr>
                <w:color w:val="000000" w:themeColor="text1"/>
                <w:sz w:val="20"/>
                <w:szCs w:val="20"/>
              </w:rPr>
              <w:t>; i</w:t>
            </w:r>
            <w:r w:rsidR="00006CCF" w:rsidRPr="00A52AB8">
              <w:rPr>
                <w:color w:val="000000" w:themeColor="text1"/>
                <w:sz w:val="20"/>
                <w:szCs w:val="20"/>
              </w:rPr>
              <w:t>++ </w:t>
            </w:r>
            <w:r w:rsidR="008F1F82" w:rsidRPr="00A52AB8">
              <w:rPr>
                <w:color w:val="000000" w:themeColor="text1"/>
                <w:sz w:val="20"/>
                <w:szCs w:val="20"/>
              </w:rPr>
              <w:t>) {</w:t>
            </w:r>
          </w:p>
        </w:tc>
        <w:tc>
          <w:tcPr>
            <w:tcW w:w="1253" w:type="dxa"/>
          </w:tcPr>
          <w:p w14:paraId="3EF453F9" w14:textId="77777777" w:rsidR="00064298" w:rsidRPr="00A52AB8" w:rsidRDefault="00064298" w:rsidP="004F7C57">
            <w:pPr>
              <w:spacing w:before="20" w:after="20"/>
              <w:jc w:val="center"/>
              <w:rPr>
                <w:color w:val="000000" w:themeColor="text1"/>
                <w:sz w:val="20"/>
                <w:szCs w:val="20"/>
              </w:rPr>
            </w:pPr>
          </w:p>
        </w:tc>
      </w:tr>
      <w:tr w:rsidR="00506CBE" w:rsidRPr="00A52AB8" w14:paraId="276144A6" w14:textId="77777777" w:rsidTr="00A252B5">
        <w:tc>
          <w:tcPr>
            <w:tcW w:w="7921" w:type="dxa"/>
          </w:tcPr>
          <w:p w14:paraId="2742A978" w14:textId="5060C8B5" w:rsidR="00506CBE" w:rsidRPr="00A52AB8" w:rsidRDefault="00506CBE" w:rsidP="004F7C57">
            <w:pPr>
              <w:spacing w:before="20" w:after="20"/>
              <w:rPr>
                <w:b/>
                <w:color w:val="000000" w:themeColor="text1"/>
                <w:sz w:val="20"/>
                <w:szCs w:val="20"/>
              </w:rPr>
            </w:pPr>
            <w:r w:rsidRPr="00A52AB8">
              <w:rPr>
                <w:color w:val="000000" w:themeColor="text1"/>
                <w:sz w:val="20"/>
                <w:szCs w:val="20"/>
              </w:rPr>
              <w:tab/>
            </w:r>
            <w:r w:rsidR="00064298" w:rsidRPr="00A52AB8">
              <w:rPr>
                <w:color w:val="000000" w:themeColor="text1"/>
                <w:sz w:val="20"/>
                <w:szCs w:val="20"/>
              </w:rPr>
              <w:tab/>
            </w:r>
            <w:r w:rsidR="000F532C" w:rsidRPr="00A52AB8">
              <w:rPr>
                <w:b/>
                <w:color w:val="000000" w:themeColor="text1"/>
                <w:sz w:val="20"/>
                <w:szCs w:val="20"/>
              </w:rPr>
              <w:t>ai_</w:t>
            </w:r>
            <w:r w:rsidRPr="00A52AB8">
              <w:rPr>
                <w:b/>
                <w:color w:val="000000" w:themeColor="text1"/>
                <w:sz w:val="20"/>
                <w:szCs w:val="20"/>
              </w:rPr>
              <w:t>attribute_type_id</w:t>
            </w:r>
            <w:r w:rsidR="005E1D50" w:rsidRPr="00A52AB8">
              <w:rPr>
                <w:bCs/>
                <w:color w:val="000000" w:themeColor="text1"/>
                <w:sz w:val="20"/>
                <w:szCs w:val="20"/>
              </w:rPr>
              <w:t>[ </w:t>
            </w:r>
            <w:r w:rsidR="00A308D1" w:rsidRPr="00A52AB8">
              <w:rPr>
                <w:color w:val="000000" w:themeColor="text1"/>
                <w:sz w:val="20"/>
                <w:szCs w:val="20"/>
              </w:rPr>
              <w:t>atlasID</w:t>
            </w:r>
            <w:r w:rsidR="00611237" w:rsidRPr="00A52AB8">
              <w:rPr>
                <w:bCs/>
                <w:color w:val="000000" w:themeColor="text1"/>
                <w:sz w:val="20"/>
                <w:szCs w:val="20"/>
              </w:rPr>
              <w:t> </w:t>
            </w:r>
            <w:r w:rsidR="005E1D50" w:rsidRPr="00A52AB8">
              <w:rPr>
                <w:bCs/>
                <w:color w:val="000000" w:themeColor="text1"/>
                <w:sz w:val="20"/>
                <w:szCs w:val="20"/>
              </w:rPr>
              <w:t>]</w:t>
            </w:r>
            <w:r w:rsidR="001F4484" w:rsidRPr="00A52AB8">
              <w:rPr>
                <w:bCs/>
                <w:color w:val="000000" w:themeColor="text1"/>
                <w:sz w:val="20"/>
                <w:szCs w:val="20"/>
              </w:rPr>
              <w:t>[ i ]</w:t>
            </w:r>
          </w:p>
        </w:tc>
        <w:tc>
          <w:tcPr>
            <w:tcW w:w="1253" w:type="dxa"/>
          </w:tcPr>
          <w:p w14:paraId="436C28AD" w14:textId="77777777" w:rsidR="00506CBE" w:rsidRPr="00A52AB8" w:rsidRDefault="00506CBE" w:rsidP="004F7C57">
            <w:pPr>
              <w:spacing w:before="20" w:after="20"/>
              <w:jc w:val="center"/>
              <w:rPr>
                <w:color w:val="000000" w:themeColor="text1"/>
                <w:sz w:val="20"/>
                <w:szCs w:val="20"/>
              </w:rPr>
            </w:pPr>
            <w:r w:rsidRPr="00A52AB8">
              <w:rPr>
                <w:color w:val="000000" w:themeColor="text1"/>
                <w:sz w:val="20"/>
                <w:szCs w:val="20"/>
              </w:rPr>
              <w:t>u(4)</w:t>
            </w:r>
          </w:p>
        </w:tc>
      </w:tr>
      <w:tr w:rsidR="00EE152A" w:rsidRPr="00A52AB8" w14:paraId="01AB49DF" w14:textId="77777777" w:rsidTr="00A252B5">
        <w:tc>
          <w:tcPr>
            <w:tcW w:w="7921" w:type="dxa"/>
          </w:tcPr>
          <w:p w14:paraId="599358F0" w14:textId="2C00A006" w:rsidR="00EE152A" w:rsidRPr="00A52AB8" w:rsidRDefault="007F4157" w:rsidP="004F7C57">
            <w:pPr>
              <w:spacing w:before="20" w:after="20"/>
              <w:rPr>
                <w:b/>
                <w:color w:val="000000" w:themeColor="text1"/>
                <w:sz w:val="20"/>
                <w:szCs w:val="20"/>
              </w:rPr>
            </w:pPr>
            <w:r w:rsidRPr="00A52AB8">
              <w:rPr>
                <w:color w:val="000000" w:themeColor="text1"/>
                <w:sz w:val="20"/>
                <w:szCs w:val="20"/>
              </w:rPr>
              <w:tab/>
            </w:r>
            <w:r w:rsidRPr="00A52AB8">
              <w:rPr>
                <w:color w:val="000000" w:themeColor="text1"/>
                <w:sz w:val="20"/>
                <w:szCs w:val="20"/>
              </w:rPr>
              <w:tab/>
            </w:r>
            <w:r w:rsidR="000F532C" w:rsidRPr="00A52AB8">
              <w:rPr>
                <w:b/>
                <w:color w:val="000000" w:themeColor="text1"/>
                <w:sz w:val="20"/>
                <w:szCs w:val="20"/>
              </w:rPr>
              <w:t>ai_</w:t>
            </w:r>
            <w:r w:rsidR="00BE21A2" w:rsidRPr="00A52AB8">
              <w:rPr>
                <w:b/>
                <w:color w:val="000000" w:themeColor="text1"/>
                <w:sz w:val="20"/>
                <w:szCs w:val="20"/>
              </w:rPr>
              <w:t>attribute_</w:t>
            </w:r>
            <w:r w:rsidR="00EE152A" w:rsidRPr="00A52AB8">
              <w:rPr>
                <w:b/>
                <w:color w:val="000000" w:themeColor="text1"/>
                <w:sz w:val="20"/>
                <w:szCs w:val="20"/>
              </w:rPr>
              <w:t>codec_id</w:t>
            </w:r>
            <w:r w:rsidR="005E1D50" w:rsidRPr="00A52AB8">
              <w:rPr>
                <w:bCs/>
                <w:color w:val="000000" w:themeColor="text1"/>
                <w:sz w:val="20"/>
                <w:szCs w:val="20"/>
              </w:rPr>
              <w:t>[ </w:t>
            </w:r>
            <w:r w:rsidR="00A308D1" w:rsidRPr="00A52AB8">
              <w:rPr>
                <w:color w:val="000000" w:themeColor="text1"/>
                <w:sz w:val="20"/>
                <w:szCs w:val="20"/>
              </w:rPr>
              <w:t>atlasID</w:t>
            </w:r>
            <w:r w:rsidR="00611237" w:rsidRPr="00A52AB8">
              <w:rPr>
                <w:bCs/>
                <w:color w:val="000000" w:themeColor="text1"/>
                <w:sz w:val="20"/>
                <w:szCs w:val="20"/>
              </w:rPr>
              <w:t> </w:t>
            </w:r>
            <w:r w:rsidR="005E1D50" w:rsidRPr="00A52AB8">
              <w:rPr>
                <w:bCs/>
                <w:color w:val="000000" w:themeColor="text1"/>
                <w:sz w:val="20"/>
                <w:szCs w:val="20"/>
              </w:rPr>
              <w:t>]</w:t>
            </w:r>
            <w:r w:rsidR="001F4484" w:rsidRPr="00A52AB8">
              <w:rPr>
                <w:bCs/>
                <w:color w:val="000000" w:themeColor="text1"/>
                <w:sz w:val="20"/>
                <w:szCs w:val="20"/>
              </w:rPr>
              <w:t>[ i ]</w:t>
            </w:r>
          </w:p>
        </w:tc>
        <w:tc>
          <w:tcPr>
            <w:tcW w:w="1253" w:type="dxa"/>
          </w:tcPr>
          <w:p w14:paraId="04C7D7B7" w14:textId="77777777" w:rsidR="00EE152A" w:rsidRPr="00A52AB8" w:rsidRDefault="00EE152A" w:rsidP="004F7C57">
            <w:pPr>
              <w:spacing w:before="20" w:after="20"/>
              <w:jc w:val="center"/>
              <w:rPr>
                <w:color w:val="000000" w:themeColor="text1"/>
                <w:sz w:val="20"/>
                <w:szCs w:val="20"/>
              </w:rPr>
            </w:pPr>
            <w:r w:rsidRPr="00A52AB8">
              <w:rPr>
                <w:color w:val="000000" w:themeColor="text1"/>
                <w:sz w:val="20"/>
                <w:szCs w:val="20"/>
              </w:rPr>
              <w:t>u(8)</w:t>
            </w:r>
          </w:p>
        </w:tc>
      </w:tr>
      <w:tr w:rsidR="003730E9" w:rsidRPr="00A52AB8" w14:paraId="48D639BD" w14:textId="77777777" w:rsidTr="00A252B5">
        <w:tc>
          <w:tcPr>
            <w:tcW w:w="7921" w:type="dxa"/>
          </w:tcPr>
          <w:p w14:paraId="233DA0F1" w14:textId="2F07C63F" w:rsidR="003730E9" w:rsidRPr="00A52AB8" w:rsidRDefault="007F4157" w:rsidP="004F7C57">
            <w:pPr>
              <w:spacing w:before="20" w:after="20"/>
              <w:rPr>
                <w:color w:val="000000" w:themeColor="text1"/>
                <w:sz w:val="20"/>
                <w:szCs w:val="20"/>
              </w:rPr>
            </w:pPr>
            <w:r w:rsidRPr="00A52AB8">
              <w:rPr>
                <w:b/>
                <w:bCs/>
                <w:color w:val="000000" w:themeColor="text1"/>
                <w:sz w:val="20"/>
                <w:szCs w:val="20"/>
              </w:rPr>
              <w:tab/>
            </w:r>
            <w:r w:rsidRPr="00A52AB8">
              <w:rPr>
                <w:b/>
                <w:bCs/>
                <w:color w:val="000000" w:themeColor="text1"/>
                <w:sz w:val="20"/>
                <w:szCs w:val="20"/>
              </w:rPr>
              <w:tab/>
            </w:r>
            <w:r w:rsidR="003A5206" w:rsidRPr="00A52AB8">
              <w:rPr>
                <w:color w:val="000000" w:themeColor="text1"/>
                <w:sz w:val="20"/>
                <w:szCs w:val="20"/>
              </w:rPr>
              <w:t>if(</w:t>
            </w:r>
            <w:r w:rsidR="003730E9" w:rsidRPr="00A52AB8">
              <w:rPr>
                <w:color w:val="000000" w:themeColor="text1"/>
                <w:sz w:val="20"/>
                <w:szCs w:val="20"/>
              </w:rPr>
              <w:t> </w:t>
            </w:r>
            <w:r w:rsidR="00C30138" w:rsidRPr="00A52AB8">
              <w:rPr>
                <w:color w:val="000000" w:themeColor="text1"/>
                <w:sz w:val="20"/>
                <w:szCs w:val="20"/>
              </w:rPr>
              <w:t>vps_auxiliary_video_present_flag</w:t>
            </w:r>
            <w:r w:rsidR="005E1D50" w:rsidRPr="00A52AB8">
              <w:rPr>
                <w:color w:val="000000" w:themeColor="text1"/>
                <w:sz w:val="20"/>
                <w:szCs w:val="20"/>
              </w:rPr>
              <w:t>[ </w:t>
            </w:r>
            <w:r w:rsidR="00A308D1" w:rsidRPr="00A52AB8">
              <w:rPr>
                <w:color w:val="000000" w:themeColor="text1"/>
                <w:sz w:val="20"/>
                <w:szCs w:val="20"/>
              </w:rPr>
              <w:t>atlasID</w:t>
            </w:r>
            <w:r w:rsidR="00611237" w:rsidRPr="00A52AB8">
              <w:rPr>
                <w:color w:val="000000" w:themeColor="text1"/>
                <w:sz w:val="20"/>
                <w:szCs w:val="20"/>
              </w:rPr>
              <w:t> </w:t>
            </w:r>
            <w:r w:rsidR="005E1D50" w:rsidRPr="00A52AB8">
              <w:rPr>
                <w:color w:val="000000" w:themeColor="text1"/>
                <w:sz w:val="20"/>
                <w:szCs w:val="20"/>
              </w:rPr>
              <w:t>]</w:t>
            </w:r>
            <w:r w:rsidR="003730E9" w:rsidRPr="00A52AB8">
              <w:rPr>
                <w:color w:val="000000" w:themeColor="text1"/>
                <w:sz w:val="20"/>
                <w:szCs w:val="20"/>
              </w:rPr>
              <w:t> )</w:t>
            </w:r>
          </w:p>
        </w:tc>
        <w:tc>
          <w:tcPr>
            <w:tcW w:w="1253" w:type="dxa"/>
          </w:tcPr>
          <w:p w14:paraId="0E54087C" w14:textId="77777777" w:rsidR="003730E9" w:rsidRPr="00A52AB8" w:rsidRDefault="003730E9" w:rsidP="004F7C57">
            <w:pPr>
              <w:spacing w:before="20" w:after="20"/>
              <w:jc w:val="center"/>
              <w:rPr>
                <w:b/>
                <w:bCs/>
                <w:color w:val="000000" w:themeColor="text1"/>
                <w:sz w:val="20"/>
                <w:szCs w:val="20"/>
              </w:rPr>
            </w:pPr>
          </w:p>
        </w:tc>
      </w:tr>
      <w:tr w:rsidR="003730E9" w:rsidRPr="00A52AB8" w14:paraId="74616728" w14:textId="77777777" w:rsidTr="00A252B5">
        <w:tc>
          <w:tcPr>
            <w:tcW w:w="7921" w:type="dxa"/>
          </w:tcPr>
          <w:p w14:paraId="5D71E671" w14:textId="584D1DFA" w:rsidR="003730E9" w:rsidRPr="00A52AB8" w:rsidRDefault="003730E9" w:rsidP="004F7C57">
            <w:pPr>
              <w:spacing w:before="20" w:after="20"/>
              <w:rPr>
                <w:b/>
                <w:color w:val="000000" w:themeColor="text1"/>
                <w:sz w:val="20"/>
                <w:szCs w:val="20"/>
              </w:rPr>
            </w:pPr>
            <w:r w:rsidRPr="00A52AB8">
              <w:rPr>
                <w:color w:val="000000" w:themeColor="text1"/>
                <w:sz w:val="20"/>
                <w:szCs w:val="20"/>
              </w:rPr>
              <w:tab/>
            </w:r>
            <w:r w:rsidRPr="00A52AB8">
              <w:rPr>
                <w:color w:val="000000" w:themeColor="text1"/>
                <w:sz w:val="20"/>
                <w:szCs w:val="20"/>
              </w:rPr>
              <w:tab/>
            </w:r>
            <w:r w:rsidR="00064298" w:rsidRPr="00A52AB8">
              <w:rPr>
                <w:color w:val="000000" w:themeColor="text1"/>
                <w:sz w:val="20"/>
                <w:szCs w:val="20"/>
              </w:rPr>
              <w:tab/>
            </w:r>
            <w:r w:rsidR="000F532C" w:rsidRPr="00A52AB8">
              <w:rPr>
                <w:b/>
                <w:color w:val="000000" w:themeColor="text1"/>
                <w:sz w:val="20"/>
                <w:szCs w:val="20"/>
              </w:rPr>
              <w:t>ai_</w:t>
            </w:r>
            <w:r w:rsidR="00C30138" w:rsidRPr="00A52AB8">
              <w:rPr>
                <w:b/>
                <w:color w:val="000000" w:themeColor="text1"/>
                <w:sz w:val="20"/>
                <w:szCs w:val="20"/>
              </w:rPr>
              <w:t>auxiliary</w:t>
            </w:r>
            <w:r w:rsidRPr="00A52AB8">
              <w:rPr>
                <w:b/>
                <w:color w:val="000000" w:themeColor="text1"/>
                <w:sz w:val="20"/>
                <w:szCs w:val="20"/>
              </w:rPr>
              <w:t>_attribute_codec_id</w:t>
            </w:r>
            <w:r w:rsidR="005E1D50" w:rsidRPr="00A52AB8">
              <w:rPr>
                <w:bCs/>
                <w:color w:val="000000" w:themeColor="text1"/>
                <w:sz w:val="20"/>
                <w:szCs w:val="20"/>
              </w:rPr>
              <w:t>[ </w:t>
            </w:r>
            <w:r w:rsidR="00A308D1" w:rsidRPr="00A52AB8">
              <w:rPr>
                <w:color w:val="000000" w:themeColor="text1"/>
                <w:sz w:val="20"/>
                <w:szCs w:val="20"/>
              </w:rPr>
              <w:t>atlasID</w:t>
            </w:r>
            <w:r w:rsidR="00611237" w:rsidRPr="00A52AB8">
              <w:rPr>
                <w:bCs/>
                <w:color w:val="000000" w:themeColor="text1"/>
                <w:sz w:val="20"/>
                <w:szCs w:val="20"/>
              </w:rPr>
              <w:t> </w:t>
            </w:r>
            <w:r w:rsidR="005E1D50" w:rsidRPr="00A52AB8">
              <w:rPr>
                <w:bCs/>
                <w:color w:val="000000" w:themeColor="text1"/>
                <w:sz w:val="20"/>
                <w:szCs w:val="20"/>
              </w:rPr>
              <w:t>]</w:t>
            </w:r>
            <w:r w:rsidR="001F4484" w:rsidRPr="00A52AB8">
              <w:rPr>
                <w:bCs/>
                <w:color w:val="000000" w:themeColor="text1"/>
                <w:sz w:val="20"/>
                <w:szCs w:val="20"/>
              </w:rPr>
              <w:t>[ i ]</w:t>
            </w:r>
          </w:p>
        </w:tc>
        <w:tc>
          <w:tcPr>
            <w:tcW w:w="1253" w:type="dxa"/>
          </w:tcPr>
          <w:p w14:paraId="75A274A2" w14:textId="77777777" w:rsidR="003730E9" w:rsidRPr="00A52AB8" w:rsidRDefault="003730E9" w:rsidP="004F7C57">
            <w:pPr>
              <w:spacing w:before="20" w:after="20"/>
              <w:jc w:val="center"/>
              <w:rPr>
                <w:color w:val="000000" w:themeColor="text1"/>
                <w:sz w:val="20"/>
                <w:szCs w:val="20"/>
              </w:rPr>
            </w:pPr>
            <w:r w:rsidRPr="00A52AB8">
              <w:rPr>
                <w:color w:val="000000" w:themeColor="text1"/>
                <w:sz w:val="20"/>
                <w:szCs w:val="20"/>
              </w:rPr>
              <w:t>u(8)</w:t>
            </w:r>
          </w:p>
        </w:tc>
      </w:tr>
      <w:tr w:rsidR="0064604A" w:rsidRPr="00A52AB8" w14:paraId="5F0A4217" w14:textId="77777777" w:rsidTr="00A252B5">
        <w:tc>
          <w:tcPr>
            <w:tcW w:w="7921" w:type="dxa"/>
          </w:tcPr>
          <w:p w14:paraId="57BF508E" w14:textId="2183D76A" w:rsidR="0064604A" w:rsidRPr="00A52AB8" w:rsidRDefault="0064604A" w:rsidP="004F7C57">
            <w:pPr>
              <w:spacing w:before="20" w:after="20"/>
              <w:rPr>
                <w:color w:val="000000" w:themeColor="text1"/>
                <w:sz w:val="20"/>
                <w:szCs w:val="20"/>
              </w:rPr>
            </w:pPr>
            <w:r w:rsidRPr="00A52AB8">
              <w:rPr>
                <w:b/>
                <w:color w:val="000000" w:themeColor="text1"/>
                <w:sz w:val="20"/>
                <w:szCs w:val="20"/>
              </w:rPr>
              <w:tab/>
            </w:r>
            <w:r w:rsidRPr="00A52AB8">
              <w:rPr>
                <w:b/>
                <w:color w:val="000000" w:themeColor="text1"/>
                <w:sz w:val="20"/>
                <w:szCs w:val="20"/>
              </w:rPr>
              <w:tab/>
            </w:r>
            <w:r w:rsidRPr="00A52AB8">
              <w:rPr>
                <w:color w:val="000000" w:themeColor="text1"/>
                <w:sz w:val="20"/>
                <w:szCs w:val="20"/>
              </w:rPr>
              <w:t>if(</w:t>
            </w:r>
            <w:r w:rsidR="004F7C57" w:rsidRPr="00A52AB8">
              <w:rPr>
                <w:color w:val="000000" w:themeColor="text1"/>
                <w:sz w:val="20"/>
                <w:szCs w:val="20"/>
              </w:rPr>
              <w:t> </w:t>
            </w:r>
            <w:r w:rsidR="00A13222" w:rsidRPr="00A52AB8">
              <w:rPr>
                <w:color w:val="000000" w:themeColor="text1"/>
                <w:sz w:val="20"/>
                <w:szCs w:val="20"/>
              </w:rPr>
              <w:t>vps_map_</w:t>
            </w:r>
            <w:r w:rsidR="004F7C57" w:rsidRPr="00A52AB8">
              <w:rPr>
                <w:color w:val="000000" w:themeColor="text1"/>
                <w:sz w:val="20"/>
                <w:szCs w:val="20"/>
              </w:rPr>
              <w:t>count_minus1</w:t>
            </w:r>
            <w:r w:rsidRPr="00A52AB8">
              <w:rPr>
                <w:color w:val="000000" w:themeColor="text1"/>
                <w:sz w:val="20"/>
                <w:szCs w:val="20"/>
              </w:rPr>
              <w:t>[ </w:t>
            </w:r>
            <w:r w:rsidR="00D719CF" w:rsidRPr="00A52AB8">
              <w:rPr>
                <w:color w:val="000000" w:themeColor="text1"/>
                <w:sz w:val="20"/>
                <w:szCs w:val="20"/>
              </w:rPr>
              <w:t>atlasID</w:t>
            </w:r>
            <w:r w:rsidR="009375A1" w:rsidRPr="00A52AB8">
              <w:rPr>
                <w:color w:val="000000" w:themeColor="text1"/>
                <w:sz w:val="20"/>
                <w:szCs w:val="20"/>
              </w:rPr>
              <w:t> </w:t>
            </w:r>
            <w:r w:rsidRPr="00A52AB8">
              <w:rPr>
                <w:color w:val="000000" w:themeColor="text1"/>
                <w:sz w:val="20"/>
                <w:szCs w:val="20"/>
              </w:rPr>
              <w:t>]</w:t>
            </w:r>
            <w:r w:rsidR="004F7C57" w:rsidRPr="00A52AB8">
              <w:rPr>
                <w:color w:val="000000" w:themeColor="text1"/>
                <w:sz w:val="20"/>
                <w:szCs w:val="20"/>
              </w:rPr>
              <w:t> &gt; </w:t>
            </w:r>
            <w:r w:rsidRPr="00A52AB8">
              <w:rPr>
                <w:color w:val="000000" w:themeColor="text1"/>
                <w:sz w:val="20"/>
                <w:szCs w:val="20"/>
              </w:rPr>
              <w:t>0</w:t>
            </w:r>
            <w:r w:rsidR="004F7C57" w:rsidRPr="00A52AB8">
              <w:rPr>
                <w:color w:val="000000" w:themeColor="text1"/>
                <w:sz w:val="20"/>
                <w:szCs w:val="20"/>
              </w:rPr>
              <w:t> </w:t>
            </w:r>
            <w:r w:rsidRPr="00A52AB8">
              <w:rPr>
                <w:color w:val="000000" w:themeColor="text1"/>
                <w:sz w:val="20"/>
                <w:szCs w:val="20"/>
              </w:rPr>
              <w:t>)</w:t>
            </w:r>
          </w:p>
        </w:tc>
        <w:tc>
          <w:tcPr>
            <w:tcW w:w="1253" w:type="dxa"/>
          </w:tcPr>
          <w:p w14:paraId="61824E7F" w14:textId="77777777" w:rsidR="0064604A" w:rsidRPr="00A52AB8" w:rsidRDefault="0064604A" w:rsidP="004F7C57">
            <w:pPr>
              <w:spacing w:before="20" w:after="20"/>
              <w:jc w:val="center"/>
              <w:rPr>
                <w:color w:val="000000" w:themeColor="text1"/>
                <w:sz w:val="20"/>
                <w:szCs w:val="20"/>
              </w:rPr>
            </w:pPr>
          </w:p>
        </w:tc>
      </w:tr>
      <w:tr w:rsidR="0064604A" w:rsidRPr="00A52AB8" w14:paraId="4567EEDB" w14:textId="77777777" w:rsidTr="00A252B5">
        <w:tc>
          <w:tcPr>
            <w:tcW w:w="7921" w:type="dxa"/>
          </w:tcPr>
          <w:p w14:paraId="27965209" w14:textId="59EBBDF2" w:rsidR="0064604A" w:rsidRPr="00A52AB8" w:rsidRDefault="0064604A" w:rsidP="004F7C57">
            <w:pPr>
              <w:spacing w:before="20" w:after="20"/>
              <w:rPr>
                <w:b/>
                <w:color w:val="000000" w:themeColor="text1"/>
                <w:sz w:val="20"/>
                <w:szCs w:val="20"/>
              </w:rPr>
            </w:pPr>
            <w:r w:rsidRPr="00A52AB8">
              <w:rPr>
                <w:b/>
                <w:color w:val="000000" w:themeColor="text1"/>
                <w:sz w:val="20"/>
                <w:szCs w:val="20"/>
              </w:rPr>
              <w:tab/>
            </w:r>
            <w:r w:rsidRPr="00A52AB8">
              <w:rPr>
                <w:b/>
                <w:color w:val="000000" w:themeColor="text1"/>
                <w:sz w:val="20"/>
                <w:szCs w:val="20"/>
              </w:rPr>
              <w:tab/>
            </w:r>
            <w:r w:rsidRPr="00A52AB8">
              <w:rPr>
                <w:b/>
                <w:color w:val="000000" w:themeColor="text1"/>
                <w:sz w:val="20"/>
                <w:szCs w:val="20"/>
              </w:rPr>
              <w:tab/>
              <w:t>ai_attribute_</w:t>
            </w:r>
            <w:r w:rsidR="00151346" w:rsidRPr="00A52AB8">
              <w:rPr>
                <w:b/>
                <w:color w:val="000000" w:themeColor="text1"/>
                <w:sz w:val="20"/>
                <w:szCs w:val="20"/>
              </w:rPr>
              <w:t>map</w:t>
            </w:r>
            <w:r w:rsidRPr="00A52AB8">
              <w:rPr>
                <w:b/>
                <w:color w:val="000000" w:themeColor="text1"/>
                <w:sz w:val="20"/>
                <w:szCs w:val="20"/>
              </w:rPr>
              <w:t>_absolute_coding_</w:t>
            </w:r>
            <w:r w:rsidR="004F7C57" w:rsidRPr="00A52AB8">
              <w:rPr>
                <w:b/>
                <w:color w:val="000000" w:themeColor="text1"/>
                <w:sz w:val="20"/>
                <w:szCs w:val="20"/>
              </w:rPr>
              <w:t>persistence</w:t>
            </w:r>
            <w:r w:rsidRPr="00A52AB8">
              <w:rPr>
                <w:b/>
                <w:color w:val="000000" w:themeColor="text1"/>
                <w:sz w:val="20"/>
                <w:szCs w:val="20"/>
              </w:rPr>
              <w:t>_flag</w:t>
            </w:r>
            <w:r w:rsidRPr="00A52AB8">
              <w:rPr>
                <w:bCs/>
                <w:color w:val="000000" w:themeColor="text1"/>
                <w:sz w:val="20"/>
                <w:szCs w:val="20"/>
              </w:rPr>
              <w:t>[ </w:t>
            </w:r>
            <w:r w:rsidR="00D719CF" w:rsidRPr="00A52AB8">
              <w:rPr>
                <w:color w:val="000000" w:themeColor="text1"/>
                <w:sz w:val="20"/>
                <w:szCs w:val="20"/>
              </w:rPr>
              <w:t>atlasID</w:t>
            </w:r>
            <w:r w:rsidR="00611237" w:rsidRPr="00A52AB8">
              <w:rPr>
                <w:bCs/>
                <w:color w:val="000000" w:themeColor="text1"/>
                <w:sz w:val="20"/>
                <w:szCs w:val="20"/>
              </w:rPr>
              <w:t> </w:t>
            </w:r>
            <w:r w:rsidRPr="00A52AB8">
              <w:rPr>
                <w:bCs/>
                <w:color w:val="000000" w:themeColor="text1"/>
                <w:sz w:val="20"/>
                <w:szCs w:val="20"/>
              </w:rPr>
              <w:t>]</w:t>
            </w:r>
            <w:r w:rsidR="001F4484" w:rsidRPr="00A52AB8">
              <w:rPr>
                <w:bCs/>
                <w:color w:val="000000" w:themeColor="text1"/>
                <w:sz w:val="20"/>
                <w:szCs w:val="20"/>
              </w:rPr>
              <w:t>[ i ]</w:t>
            </w:r>
          </w:p>
        </w:tc>
        <w:tc>
          <w:tcPr>
            <w:tcW w:w="1253" w:type="dxa"/>
          </w:tcPr>
          <w:p w14:paraId="4CD5E967" w14:textId="77777777" w:rsidR="0064604A" w:rsidRPr="00A52AB8" w:rsidRDefault="0064604A" w:rsidP="004F7C57">
            <w:pPr>
              <w:spacing w:before="20" w:after="20"/>
              <w:jc w:val="center"/>
              <w:rPr>
                <w:color w:val="000000" w:themeColor="text1"/>
                <w:sz w:val="20"/>
                <w:szCs w:val="20"/>
              </w:rPr>
            </w:pPr>
            <w:r w:rsidRPr="00A52AB8">
              <w:rPr>
                <w:color w:val="000000" w:themeColor="text1"/>
                <w:sz w:val="20"/>
                <w:szCs w:val="20"/>
              </w:rPr>
              <w:t>u(1)</w:t>
            </w:r>
          </w:p>
        </w:tc>
      </w:tr>
      <w:tr w:rsidR="00937B95" w:rsidRPr="00A52AB8" w14:paraId="7620F482" w14:textId="77777777" w:rsidTr="00A252B5">
        <w:tc>
          <w:tcPr>
            <w:tcW w:w="7921" w:type="dxa"/>
          </w:tcPr>
          <w:p w14:paraId="3F432A9D" w14:textId="43E2CED8" w:rsidR="00937B95" w:rsidRPr="00A52AB8" w:rsidRDefault="007F4157" w:rsidP="004F7C57">
            <w:pPr>
              <w:spacing w:before="20" w:after="20"/>
              <w:rPr>
                <w:b/>
                <w:color w:val="000000" w:themeColor="text1"/>
                <w:sz w:val="20"/>
                <w:szCs w:val="20"/>
              </w:rPr>
            </w:pPr>
            <w:r w:rsidRPr="00A52AB8">
              <w:rPr>
                <w:color w:val="000000" w:themeColor="text1"/>
                <w:sz w:val="20"/>
                <w:szCs w:val="20"/>
              </w:rPr>
              <w:tab/>
            </w:r>
            <w:r w:rsidRPr="00A52AB8">
              <w:rPr>
                <w:color w:val="000000" w:themeColor="text1"/>
                <w:sz w:val="20"/>
                <w:szCs w:val="20"/>
              </w:rPr>
              <w:tab/>
            </w:r>
            <w:r w:rsidR="000F532C" w:rsidRPr="00A52AB8">
              <w:rPr>
                <w:b/>
                <w:color w:val="000000" w:themeColor="text1"/>
                <w:sz w:val="20"/>
                <w:szCs w:val="20"/>
              </w:rPr>
              <w:t>ai_</w:t>
            </w:r>
            <w:r w:rsidR="00937B95" w:rsidRPr="00A52AB8">
              <w:rPr>
                <w:b/>
                <w:bCs/>
                <w:color w:val="000000" w:themeColor="text1"/>
                <w:sz w:val="20"/>
                <w:szCs w:val="20"/>
              </w:rPr>
              <w:t>attribute_dimension_minus1</w:t>
            </w:r>
            <w:r w:rsidR="005E1D50" w:rsidRPr="00A52AB8">
              <w:rPr>
                <w:bCs/>
                <w:color w:val="000000" w:themeColor="text1"/>
                <w:sz w:val="20"/>
                <w:szCs w:val="20"/>
              </w:rPr>
              <w:t>[ </w:t>
            </w:r>
            <w:r w:rsidR="00D719CF" w:rsidRPr="00A52AB8">
              <w:rPr>
                <w:color w:val="000000" w:themeColor="text1"/>
                <w:sz w:val="20"/>
                <w:szCs w:val="20"/>
              </w:rPr>
              <w:t>atlasID</w:t>
            </w:r>
            <w:r w:rsidR="00611237" w:rsidRPr="00A52AB8">
              <w:rPr>
                <w:bCs/>
                <w:color w:val="000000" w:themeColor="text1"/>
                <w:sz w:val="20"/>
                <w:szCs w:val="20"/>
              </w:rPr>
              <w:t> </w:t>
            </w:r>
            <w:r w:rsidR="005E1D50" w:rsidRPr="00A52AB8">
              <w:rPr>
                <w:bCs/>
                <w:color w:val="000000" w:themeColor="text1"/>
                <w:sz w:val="20"/>
                <w:szCs w:val="20"/>
              </w:rPr>
              <w:t>]</w:t>
            </w:r>
            <w:r w:rsidR="001F4484" w:rsidRPr="00A52AB8">
              <w:rPr>
                <w:bCs/>
                <w:color w:val="000000" w:themeColor="text1"/>
                <w:sz w:val="20"/>
                <w:szCs w:val="20"/>
              </w:rPr>
              <w:t>[ i ]</w:t>
            </w:r>
          </w:p>
        </w:tc>
        <w:tc>
          <w:tcPr>
            <w:tcW w:w="1253" w:type="dxa"/>
          </w:tcPr>
          <w:p w14:paraId="0EC6A7D3" w14:textId="77777777" w:rsidR="00937B95" w:rsidRPr="00A52AB8" w:rsidRDefault="00937B95" w:rsidP="004F7C57">
            <w:pPr>
              <w:spacing w:before="20" w:after="20"/>
              <w:jc w:val="center"/>
              <w:rPr>
                <w:color w:val="000000" w:themeColor="text1"/>
                <w:sz w:val="20"/>
                <w:szCs w:val="20"/>
              </w:rPr>
            </w:pPr>
            <w:r w:rsidRPr="00A52AB8">
              <w:rPr>
                <w:color w:val="000000" w:themeColor="text1"/>
                <w:sz w:val="20"/>
                <w:szCs w:val="20"/>
              </w:rPr>
              <w:t>u(</w:t>
            </w:r>
            <w:r w:rsidR="00CD2A2A" w:rsidRPr="00A52AB8">
              <w:rPr>
                <w:color w:val="000000" w:themeColor="text1"/>
                <w:sz w:val="20"/>
                <w:szCs w:val="20"/>
              </w:rPr>
              <w:t>6</w:t>
            </w:r>
            <w:r w:rsidRPr="00A52AB8">
              <w:rPr>
                <w:color w:val="000000" w:themeColor="text1"/>
                <w:sz w:val="20"/>
                <w:szCs w:val="20"/>
              </w:rPr>
              <w:t>)</w:t>
            </w:r>
          </w:p>
        </w:tc>
      </w:tr>
      <w:tr w:rsidR="00F273B3" w:rsidRPr="00A52AB8" w14:paraId="1D81CDCD" w14:textId="77777777" w:rsidTr="00A252B5">
        <w:tc>
          <w:tcPr>
            <w:tcW w:w="7921" w:type="dxa"/>
          </w:tcPr>
          <w:p w14:paraId="69511B88" w14:textId="5806F6C7" w:rsidR="00F273B3" w:rsidRPr="00A52AB8" w:rsidRDefault="00F273B3" w:rsidP="004F7C57">
            <w:pPr>
              <w:spacing w:before="20" w:after="20"/>
              <w:rPr>
                <w:b/>
                <w:color w:val="000000" w:themeColor="text1"/>
                <w:sz w:val="20"/>
                <w:szCs w:val="20"/>
              </w:rPr>
            </w:pPr>
            <w:r w:rsidRPr="00A52AB8">
              <w:rPr>
                <w:color w:val="000000" w:themeColor="text1"/>
                <w:sz w:val="20"/>
                <w:szCs w:val="20"/>
              </w:rPr>
              <w:tab/>
            </w:r>
            <w:r w:rsidRPr="00A52AB8">
              <w:rPr>
                <w:color w:val="000000" w:themeColor="text1"/>
                <w:sz w:val="20"/>
                <w:szCs w:val="20"/>
              </w:rPr>
              <w:tab/>
              <w:t>if( </w:t>
            </w:r>
            <w:r w:rsidR="000F532C" w:rsidRPr="00A52AB8">
              <w:rPr>
                <w:color w:val="000000" w:themeColor="text1"/>
                <w:sz w:val="20"/>
                <w:szCs w:val="20"/>
              </w:rPr>
              <w:t>ai_</w:t>
            </w:r>
            <w:r w:rsidRPr="00A52AB8">
              <w:rPr>
                <w:color w:val="000000" w:themeColor="text1"/>
                <w:sz w:val="20"/>
                <w:szCs w:val="20"/>
              </w:rPr>
              <w:t>attribute_dimension_minus1</w:t>
            </w:r>
            <w:r w:rsidR="002632DA" w:rsidRPr="00A52AB8">
              <w:rPr>
                <w:color w:val="000000" w:themeColor="text1"/>
                <w:sz w:val="20"/>
                <w:szCs w:val="20"/>
              </w:rPr>
              <w:t>[ </w:t>
            </w:r>
            <w:r w:rsidR="00D719CF" w:rsidRPr="00A52AB8">
              <w:rPr>
                <w:color w:val="000000" w:themeColor="text1"/>
                <w:sz w:val="20"/>
                <w:szCs w:val="20"/>
              </w:rPr>
              <w:t>atlasID</w:t>
            </w:r>
            <w:r w:rsidR="00611237" w:rsidRPr="00A52AB8">
              <w:rPr>
                <w:color w:val="000000" w:themeColor="text1"/>
                <w:sz w:val="20"/>
                <w:szCs w:val="20"/>
              </w:rPr>
              <w:t> </w:t>
            </w:r>
            <w:r w:rsidR="002632DA" w:rsidRPr="00A52AB8">
              <w:rPr>
                <w:color w:val="000000" w:themeColor="text1"/>
                <w:sz w:val="20"/>
                <w:szCs w:val="20"/>
              </w:rPr>
              <w:t>]</w:t>
            </w:r>
            <w:r w:rsidR="001F4484" w:rsidRPr="00A52AB8">
              <w:rPr>
                <w:bCs/>
                <w:color w:val="000000" w:themeColor="text1"/>
                <w:sz w:val="20"/>
                <w:szCs w:val="20"/>
              </w:rPr>
              <w:t>[ i ]</w:t>
            </w:r>
            <w:r w:rsidRPr="00A52AB8">
              <w:rPr>
                <w:bCs/>
                <w:color w:val="000000" w:themeColor="text1"/>
                <w:sz w:val="20"/>
                <w:szCs w:val="20"/>
              </w:rPr>
              <w:t> &gt; 0 </w:t>
            </w:r>
            <w:r w:rsidR="008F1F82" w:rsidRPr="00A52AB8">
              <w:rPr>
                <w:color w:val="000000" w:themeColor="text1"/>
                <w:sz w:val="20"/>
                <w:szCs w:val="20"/>
              </w:rPr>
              <w:t>) {</w:t>
            </w:r>
          </w:p>
        </w:tc>
        <w:tc>
          <w:tcPr>
            <w:tcW w:w="1253" w:type="dxa"/>
          </w:tcPr>
          <w:p w14:paraId="679A176E" w14:textId="77777777" w:rsidR="00F273B3" w:rsidRPr="00A52AB8" w:rsidRDefault="00F273B3" w:rsidP="004F7C57">
            <w:pPr>
              <w:spacing w:before="20" w:after="20"/>
              <w:jc w:val="center"/>
              <w:rPr>
                <w:color w:val="000000" w:themeColor="text1"/>
                <w:sz w:val="20"/>
                <w:szCs w:val="20"/>
              </w:rPr>
            </w:pPr>
          </w:p>
        </w:tc>
      </w:tr>
      <w:tr w:rsidR="00F273B3" w:rsidRPr="00A52AB8" w14:paraId="0D2A1614" w14:textId="77777777" w:rsidTr="00A252B5">
        <w:tc>
          <w:tcPr>
            <w:tcW w:w="7921" w:type="dxa"/>
          </w:tcPr>
          <w:p w14:paraId="17C0E819" w14:textId="2452C39A" w:rsidR="00F273B3" w:rsidRPr="00A52AB8" w:rsidRDefault="00F273B3" w:rsidP="004F7C57">
            <w:pPr>
              <w:spacing w:before="20" w:after="20"/>
              <w:rPr>
                <w:color w:val="000000" w:themeColor="text1"/>
                <w:sz w:val="20"/>
                <w:szCs w:val="20"/>
              </w:rPr>
            </w:pPr>
            <w:r w:rsidRPr="00A52AB8">
              <w:rPr>
                <w:color w:val="000000" w:themeColor="text1"/>
                <w:sz w:val="20"/>
                <w:szCs w:val="20"/>
              </w:rPr>
              <w:tab/>
            </w:r>
            <w:r w:rsidRPr="00A52AB8">
              <w:rPr>
                <w:color w:val="000000" w:themeColor="text1"/>
                <w:sz w:val="20"/>
                <w:szCs w:val="20"/>
              </w:rPr>
              <w:tab/>
            </w:r>
            <w:r w:rsidRPr="00A52AB8">
              <w:rPr>
                <w:color w:val="000000" w:themeColor="text1"/>
                <w:sz w:val="20"/>
                <w:szCs w:val="20"/>
              </w:rPr>
              <w:tab/>
            </w:r>
            <w:r w:rsidR="000F532C" w:rsidRPr="00A52AB8">
              <w:rPr>
                <w:b/>
                <w:color w:val="000000" w:themeColor="text1"/>
                <w:sz w:val="20"/>
                <w:szCs w:val="20"/>
              </w:rPr>
              <w:t>ai_</w:t>
            </w:r>
            <w:r w:rsidRPr="00A52AB8">
              <w:rPr>
                <w:b/>
                <w:bCs/>
                <w:color w:val="000000" w:themeColor="text1"/>
                <w:sz w:val="20"/>
                <w:szCs w:val="20"/>
              </w:rPr>
              <w:t>attribute_dimension_partitions</w:t>
            </w:r>
            <w:r w:rsidR="00937B95" w:rsidRPr="00A52AB8">
              <w:rPr>
                <w:b/>
                <w:bCs/>
                <w:color w:val="000000" w:themeColor="text1"/>
                <w:sz w:val="20"/>
                <w:szCs w:val="20"/>
              </w:rPr>
              <w:t>_minus1</w:t>
            </w:r>
            <w:r w:rsidR="005E1D50" w:rsidRPr="00A52AB8">
              <w:rPr>
                <w:bCs/>
                <w:color w:val="000000" w:themeColor="text1"/>
                <w:sz w:val="20"/>
                <w:szCs w:val="20"/>
              </w:rPr>
              <w:t>[ </w:t>
            </w:r>
            <w:r w:rsidR="00D719CF" w:rsidRPr="00A52AB8">
              <w:rPr>
                <w:color w:val="000000" w:themeColor="text1"/>
                <w:sz w:val="20"/>
                <w:szCs w:val="20"/>
              </w:rPr>
              <w:t>atlasID</w:t>
            </w:r>
            <w:r w:rsidR="00611237" w:rsidRPr="00A52AB8">
              <w:rPr>
                <w:bCs/>
                <w:color w:val="000000" w:themeColor="text1"/>
                <w:sz w:val="20"/>
                <w:szCs w:val="20"/>
              </w:rPr>
              <w:t> </w:t>
            </w:r>
            <w:r w:rsidR="005E1D50" w:rsidRPr="00A52AB8">
              <w:rPr>
                <w:bCs/>
                <w:color w:val="000000" w:themeColor="text1"/>
                <w:sz w:val="20"/>
                <w:szCs w:val="20"/>
              </w:rPr>
              <w:t>]</w:t>
            </w:r>
            <w:r w:rsidR="001F4484" w:rsidRPr="00A52AB8">
              <w:rPr>
                <w:bCs/>
                <w:color w:val="000000" w:themeColor="text1"/>
                <w:sz w:val="20"/>
                <w:szCs w:val="20"/>
              </w:rPr>
              <w:t>[ i ]</w:t>
            </w:r>
          </w:p>
        </w:tc>
        <w:tc>
          <w:tcPr>
            <w:tcW w:w="1253" w:type="dxa"/>
          </w:tcPr>
          <w:p w14:paraId="5E94CA84" w14:textId="77777777" w:rsidR="00F273B3" w:rsidRPr="00A52AB8" w:rsidRDefault="00F273B3" w:rsidP="004F7C57">
            <w:pPr>
              <w:spacing w:before="20" w:after="20"/>
              <w:jc w:val="center"/>
              <w:rPr>
                <w:color w:val="000000" w:themeColor="text1"/>
                <w:sz w:val="20"/>
                <w:szCs w:val="20"/>
              </w:rPr>
            </w:pPr>
            <w:r w:rsidRPr="00A52AB8">
              <w:rPr>
                <w:color w:val="000000" w:themeColor="text1"/>
                <w:sz w:val="20"/>
                <w:szCs w:val="20"/>
              </w:rPr>
              <w:t>u(</w:t>
            </w:r>
            <w:r w:rsidR="00CD2A2A" w:rsidRPr="00A52AB8">
              <w:rPr>
                <w:color w:val="000000" w:themeColor="text1"/>
                <w:sz w:val="20"/>
                <w:szCs w:val="20"/>
              </w:rPr>
              <w:t>6</w:t>
            </w:r>
            <w:r w:rsidRPr="00A52AB8">
              <w:rPr>
                <w:color w:val="000000" w:themeColor="text1"/>
                <w:sz w:val="20"/>
                <w:szCs w:val="20"/>
              </w:rPr>
              <w:t>)</w:t>
            </w:r>
          </w:p>
        </w:tc>
      </w:tr>
      <w:tr w:rsidR="00CE1CF2" w:rsidRPr="00A52AB8" w14:paraId="3403580B" w14:textId="77777777" w:rsidTr="00A252B5">
        <w:trPr>
          <w:trHeight w:val="53"/>
        </w:trPr>
        <w:tc>
          <w:tcPr>
            <w:tcW w:w="7921" w:type="dxa"/>
          </w:tcPr>
          <w:p w14:paraId="229DB4DD" w14:textId="4CA1E28D" w:rsidR="00CE1CF2" w:rsidRPr="00A52AB8" w:rsidRDefault="00CE1CF2" w:rsidP="004F7C57">
            <w:pPr>
              <w:spacing w:before="20" w:after="20"/>
              <w:rPr>
                <w:color w:val="000000" w:themeColor="text1"/>
                <w:sz w:val="20"/>
                <w:szCs w:val="20"/>
              </w:rPr>
            </w:pPr>
            <w:r w:rsidRPr="00A52AB8">
              <w:rPr>
                <w:color w:val="000000" w:themeColor="text1"/>
                <w:sz w:val="20"/>
                <w:szCs w:val="20"/>
              </w:rPr>
              <w:tab/>
            </w:r>
            <w:r w:rsidRPr="00A52AB8">
              <w:rPr>
                <w:color w:val="000000" w:themeColor="text1"/>
                <w:sz w:val="20"/>
                <w:szCs w:val="20"/>
              </w:rPr>
              <w:tab/>
            </w:r>
            <w:r w:rsidRPr="00A52AB8">
              <w:rPr>
                <w:color w:val="000000" w:themeColor="text1"/>
                <w:sz w:val="20"/>
                <w:szCs w:val="20"/>
              </w:rPr>
              <w:tab/>
            </w:r>
            <w:r w:rsidR="00F8734E" w:rsidRPr="00A52AB8">
              <w:rPr>
                <w:color w:val="000000" w:themeColor="text1"/>
                <w:sz w:val="20"/>
                <w:szCs w:val="20"/>
              </w:rPr>
              <w:t>r</w:t>
            </w:r>
            <w:r w:rsidRPr="00A52AB8">
              <w:rPr>
                <w:color w:val="000000" w:themeColor="text1"/>
                <w:sz w:val="20"/>
                <w:szCs w:val="20"/>
              </w:rPr>
              <w:t>emainingDimensions</w:t>
            </w:r>
            <w:r w:rsidR="00D47707" w:rsidRPr="00A52AB8">
              <w:rPr>
                <w:color w:val="000000" w:themeColor="text1"/>
                <w:sz w:val="20"/>
                <w:szCs w:val="20"/>
              </w:rPr>
              <w:t> = </w:t>
            </w:r>
            <w:r w:rsidR="000F532C" w:rsidRPr="00A52AB8">
              <w:rPr>
                <w:color w:val="000000" w:themeColor="text1"/>
                <w:sz w:val="20"/>
                <w:szCs w:val="20"/>
              </w:rPr>
              <w:t>ai_</w:t>
            </w:r>
            <w:r w:rsidRPr="00A52AB8">
              <w:rPr>
                <w:bCs/>
                <w:color w:val="000000" w:themeColor="text1"/>
                <w:sz w:val="20"/>
                <w:szCs w:val="20"/>
              </w:rPr>
              <w:t>attribute_dimension_minus1</w:t>
            </w:r>
            <w:r w:rsidR="002632DA" w:rsidRPr="00A52AB8">
              <w:rPr>
                <w:color w:val="000000" w:themeColor="text1"/>
                <w:sz w:val="20"/>
                <w:szCs w:val="20"/>
              </w:rPr>
              <w:t>[ </w:t>
            </w:r>
            <w:r w:rsidR="00D719CF" w:rsidRPr="00A52AB8">
              <w:rPr>
                <w:color w:val="000000" w:themeColor="text1"/>
                <w:sz w:val="20"/>
                <w:szCs w:val="20"/>
              </w:rPr>
              <w:t>atlasID</w:t>
            </w:r>
            <w:r w:rsidR="00611237" w:rsidRPr="00A52AB8">
              <w:rPr>
                <w:color w:val="000000" w:themeColor="text1"/>
                <w:sz w:val="20"/>
                <w:szCs w:val="20"/>
              </w:rPr>
              <w:t> </w:t>
            </w:r>
            <w:r w:rsidR="002632DA" w:rsidRPr="00A52AB8">
              <w:rPr>
                <w:color w:val="000000" w:themeColor="text1"/>
                <w:sz w:val="20"/>
                <w:szCs w:val="20"/>
              </w:rPr>
              <w:t>]</w:t>
            </w:r>
            <w:r w:rsidR="001F4484" w:rsidRPr="00A52AB8">
              <w:rPr>
                <w:bCs/>
                <w:color w:val="000000" w:themeColor="text1"/>
                <w:sz w:val="20"/>
                <w:szCs w:val="20"/>
              </w:rPr>
              <w:t>[ i ]</w:t>
            </w:r>
          </w:p>
        </w:tc>
        <w:tc>
          <w:tcPr>
            <w:tcW w:w="1253" w:type="dxa"/>
          </w:tcPr>
          <w:p w14:paraId="17305396" w14:textId="77777777" w:rsidR="00CE1CF2" w:rsidRPr="00A52AB8" w:rsidRDefault="00CE1CF2" w:rsidP="004F7C57">
            <w:pPr>
              <w:spacing w:before="20" w:after="20"/>
              <w:jc w:val="center"/>
              <w:rPr>
                <w:color w:val="000000" w:themeColor="text1"/>
                <w:sz w:val="20"/>
                <w:szCs w:val="20"/>
              </w:rPr>
            </w:pPr>
          </w:p>
        </w:tc>
      </w:tr>
      <w:tr w:rsidR="00CE1CF2" w:rsidRPr="00A52AB8" w14:paraId="24407CE9" w14:textId="77777777" w:rsidTr="00A252B5">
        <w:trPr>
          <w:trHeight w:val="53"/>
        </w:trPr>
        <w:tc>
          <w:tcPr>
            <w:tcW w:w="7921" w:type="dxa"/>
          </w:tcPr>
          <w:p w14:paraId="7F555A76" w14:textId="797D2C70" w:rsidR="00CE1CF2" w:rsidRPr="00A52AB8" w:rsidRDefault="00CE1CF2" w:rsidP="004F7C57">
            <w:pPr>
              <w:spacing w:before="20" w:after="20"/>
              <w:rPr>
                <w:color w:val="000000" w:themeColor="text1"/>
                <w:sz w:val="20"/>
                <w:szCs w:val="20"/>
              </w:rPr>
            </w:pPr>
            <w:r w:rsidRPr="00A52AB8">
              <w:rPr>
                <w:color w:val="000000" w:themeColor="text1"/>
                <w:sz w:val="20"/>
                <w:szCs w:val="20"/>
              </w:rPr>
              <w:tab/>
            </w:r>
            <w:r w:rsidRPr="00A52AB8">
              <w:rPr>
                <w:color w:val="000000" w:themeColor="text1"/>
                <w:sz w:val="20"/>
                <w:szCs w:val="20"/>
              </w:rPr>
              <w:tab/>
            </w:r>
            <w:r w:rsidRPr="00A52AB8">
              <w:rPr>
                <w:color w:val="000000" w:themeColor="text1"/>
                <w:sz w:val="20"/>
                <w:szCs w:val="20"/>
              </w:rPr>
              <w:tab/>
              <w:t>k</w:t>
            </w:r>
            <w:r w:rsidR="00D47707" w:rsidRPr="00A52AB8">
              <w:rPr>
                <w:color w:val="000000" w:themeColor="text1"/>
                <w:sz w:val="20"/>
                <w:szCs w:val="20"/>
              </w:rPr>
              <w:t> = </w:t>
            </w:r>
            <w:r w:rsidR="000F532C" w:rsidRPr="00A52AB8">
              <w:rPr>
                <w:color w:val="000000" w:themeColor="text1"/>
                <w:sz w:val="20"/>
                <w:szCs w:val="20"/>
              </w:rPr>
              <w:t>ai_</w:t>
            </w:r>
            <w:r w:rsidRPr="00A52AB8">
              <w:rPr>
                <w:color w:val="000000" w:themeColor="text1"/>
                <w:sz w:val="20"/>
                <w:szCs w:val="20"/>
              </w:rPr>
              <w:t>attribute_dimension_partitions</w:t>
            </w:r>
            <w:r w:rsidR="00937B95" w:rsidRPr="00A52AB8">
              <w:rPr>
                <w:color w:val="000000" w:themeColor="text1"/>
                <w:sz w:val="20"/>
                <w:szCs w:val="20"/>
              </w:rPr>
              <w:t>_minus1</w:t>
            </w:r>
            <w:r w:rsidR="002632DA" w:rsidRPr="00A52AB8">
              <w:rPr>
                <w:color w:val="000000" w:themeColor="text1"/>
                <w:sz w:val="20"/>
                <w:szCs w:val="20"/>
              </w:rPr>
              <w:t>[ </w:t>
            </w:r>
            <w:r w:rsidR="00D719CF" w:rsidRPr="00A52AB8">
              <w:rPr>
                <w:color w:val="000000" w:themeColor="text1"/>
                <w:sz w:val="20"/>
                <w:szCs w:val="20"/>
              </w:rPr>
              <w:t>atlasID</w:t>
            </w:r>
            <w:r w:rsidR="00611237" w:rsidRPr="00A52AB8">
              <w:rPr>
                <w:color w:val="000000" w:themeColor="text1"/>
                <w:sz w:val="20"/>
                <w:szCs w:val="20"/>
              </w:rPr>
              <w:t> </w:t>
            </w:r>
            <w:r w:rsidR="002632DA" w:rsidRPr="00A52AB8">
              <w:rPr>
                <w:color w:val="000000" w:themeColor="text1"/>
                <w:sz w:val="20"/>
                <w:szCs w:val="20"/>
              </w:rPr>
              <w:t>]</w:t>
            </w:r>
            <w:r w:rsidR="001F4484" w:rsidRPr="00A52AB8">
              <w:rPr>
                <w:color w:val="000000" w:themeColor="text1"/>
                <w:sz w:val="20"/>
                <w:szCs w:val="20"/>
              </w:rPr>
              <w:t>[ i ]</w:t>
            </w:r>
          </w:p>
        </w:tc>
        <w:tc>
          <w:tcPr>
            <w:tcW w:w="1253" w:type="dxa"/>
          </w:tcPr>
          <w:p w14:paraId="087C511D" w14:textId="77777777" w:rsidR="00CE1CF2" w:rsidRPr="00A52AB8" w:rsidRDefault="00CE1CF2" w:rsidP="004F7C57">
            <w:pPr>
              <w:spacing w:before="20" w:after="20"/>
              <w:jc w:val="center"/>
              <w:rPr>
                <w:color w:val="000000" w:themeColor="text1"/>
                <w:sz w:val="20"/>
                <w:szCs w:val="20"/>
              </w:rPr>
            </w:pPr>
          </w:p>
        </w:tc>
      </w:tr>
      <w:tr w:rsidR="00F273B3" w:rsidRPr="00A52AB8" w14:paraId="76F33B33" w14:textId="77777777" w:rsidTr="00A252B5">
        <w:trPr>
          <w:trHeight w:val="53"/>
        </w:trPr>
        <w:tc>
          <w:tcPr>
            <w:tcW w:w="7921" w:type="dxa"/>
          </w:tcPr>
          <w:p w14:paraId="5904B309" w14:textId="0F4AA3EC" w:rsidR="00F273B3" w:rsidRPr="00A52AB8" w:rsidRDefault="00F273B3" w:rsidP="004F7C57">
            <w:pPr>
              <w:spacing w:before="20" w:after="20"/>
              <w:rPr>
                <w:bCs/>
                <w:color w:val="000000" w:themeColor="text1"/>
                <w:sz w:val="20"/>
                <w:szCs w:val="20"/>
              </w:rPr>
            </w:pPr>
            <w:r w:rsidRPr="00A52AB8">
              <w:rPr>
                <w:color w:val="000000" w:themeColor="text1"/>
                <w:sz w:val="20"/>
                <w:szCs w:val="20"/>
              </w:rPr>
              <w:tab/>
            </w:r>
            <w:r w:rsidRPr="00A52AB8">
              <w:rPr>
                <w:color w:val="000000" w:themeColor="text1"/>
                <w:sz w:val="20"/>
                <w:szCs w:val="20"/>
              </w:rPr>
              <w:tab/>
            </w:r>
            <w:r w:rsidRPr="00A52AB8">
              <w:rPr>
                <w:color w:val="000000" w:themeColor="text1"/>
                <w:sz w:val="20"/>
                <w:szCs w:val="20"/>
              </w:rPr>
              <w:tab/>
              <w:t>for( j</w:t>
            </w:r>
            <w:r w:rsidR="00D47707" w:rsidRPr="00A52AB8">
              <w:rPr>
                <w:color w:val="000000" w:themeColor="text1"/>
                <w:sz w:val="20"/>
                <w:szCs w:val="20"/>
              </w:rPr>
              <w:t> = </w:t>
            </w:r>
            <w:r w:rsidRPr="00A52AB8">
              <w:rPr>
                <w:color w:val="000000" w:themeColor="text1"/>
                <w:sz w:val="20"/>
                <w:szCs w:val="20"/>
              </w:rPr>
              <w:t>0; j &lt; </w:t>
            </w:r>
            <w:r w:rsidR="00CE1CF2" w:rsidRPr="00A52AB8">
              <w:rPr>
                <w:color w:val="000000" w:themeColor="text1"/>
                <w:sz w:val="20"/>
                <w:szCs w:val="20"/>
              </w:rPr>
              <w:t>k</w:t>
            </w:r>
            <w:r w:rsidRPr="00A52AB8">
              <w:rPr>
                <w:color w:val="000000" w:themeColor="text1"/>
                <w:sz w:val="20"/>
                <w:szCs w:val="20"/>
              </w:rPr>
              <w:t>;</w:t>
            </w:r>
            <w:r w:rsidR="00254E95" w:rsidRPr="00A52AB8">
              <w:rPr>
                <w:color w:val="000000" w:themeColor="text1"/>
                <w:sz w:val="20"/>
                <w:szCs w:val="20"/>
              </w:rPr>
              <w:t> </w:t>
            </w:r>
            <w:r w:rsidRPr="00A52AB8">
              <w:rPr>
                <w:color w:val="000000" w:themeColor="text1"/>
                <w:sz w:val="20"/>
                <w:szCs w:val="20"/>
              </w:rPr>
              <w:t>j++ </w:t>
            </w:r>
            <w:r w:rsidR="008F1F82" w:rsidRPr="00A52AB8">
              <w:rPr>
                <w:color w:val="000000" w:themeColor="text1"/>
                <w:sz w:val="20"/>
                <w:szCs w:val="20"/>
              </w:rPr>
              <w:t>) {</w:t>
            </w:r>
          </w:p>
        </w:tc>
        <w:tc>
          <w:tcPr>
            <w:tcW w:w="1253" w:type="dxa"/>
          </w:tcPr>
          <w:p w14:paraId="2455498C" w14:textId="77777777" w:rsidR="00F273B3" w:rsidRPr="00A52AB8" w:rsidRDefault="00F273B3" w:rsidP="004F7C57">
            <w:pPr>
              <w:spacing w:before="20" w:after="20"/>
              <w:jc w:val="center"/>
              <w:rPr>
                <w:color w:val="000000" w:themeColor="text1"/>
                <w:sz w:val="20"/>
                <w:szCs w:val="20"/>
              </w:rPr>
            </w:pPr>
          </w:p>
        </w:tc>
      </w:tr>
      <w:tr w:rsidR="00B372CB" w:rsidRPr="00A52AB8" w14:paraId="5B3A3184" w14:textId="77777777" w:rsidTr="00A252B5">
        <w:tc>
          <w:tcPr>
            <w:tcW w:w="7921" w:type="dxa"/>
          </w:tcPr>
          <w:p w14:paraId="6C330E55" w14:textId="55C01FC6" w:rsidR="00B372CB" w:rsidRPr="00A52AB8" w:rsidRDefault="00B372CB" w:rsidP="004F7C57">
            <w:pPr>
              <w:spacing w:before="20" w:after="20"/>
              <w:rPr>
                <w:color w:val="000000" w:themeColor="text1"/>
                <w:sz w:val="20"/>
                <w:szCs w:val="20"/>
              </w:rPr>
            </w:pPr>
            <w:r w:rsidRPr="00A52AB8">
              <w:rPr>
                <w:color w:val="000000" w:themeColor="text1"/>
                <w:sz w:val="20"/>
                <w:szCs w:val="20"/>
              </w:rPr>
              <w:tab/>
            </w:r>
            <w:r w:rsidRPr="00A52AB8">
              <w:rPr>
                <w:color w:val="000000" w:themeColor="text1"/>
                <w:sz w:val="20"/>
                <w:szCs w:val="20"/>
              </w:rPr>
              <w:tab/>
            </w:r>
            <w:r w:rsidRPr="00A52AB8">
              <w:rPr>
                <w:color w:val="000000" w:themeColor="text1"/>
                <w:sz w:val="20"/>
                <w:szCs w:val="20"/>
              </w:rPr>
              <w:tab/>
            </w:r>
            <w:r w:rsidRPr="00A52AB8">
              <w:rPr>
                <w:color w:val="000000" w:themeColor="text1"/>
                <w:sz w:val="20"/>
                <w:szCs w:val="20"/>
              </w:rPr>
              <w:tab/>
              <w:t>if( </w:t>
            </w:r>
            <w:r w:rsidR="000C6F01" w:rsidRPr="00A52AB8">
              <w:rPr>
                <w:rStyle w:val="fontstyle01"/>
                <w:rFonts w:ascii="Cambria" w:hAnsi="Cambria"/>
                <w:color w:val="000000" w:themeColor="text1"/>
              </w:rPr>
              <w:t>k – </w:t>
            </w:r>
            <w:r w:rsidRPr="00A52AB8">
              <w:rPr>
                <w:rStyle w:val="fontstyle01"/>
                <w:rFonts w:ascii="Cambria" w:hAnsi="Cambria"/>
                <w:color w:val="000000" w:themeColor="text1"/>
              </w:rPr>
              <w:t>j</w:t>
            </w:r>
            <w:r w:rsidR="008768E9" w:rsidRPr="00A52AB8">
              <w:rPr>
                <w:rStyle w:val="fontstyle01"/>
                <w:rFonts w:ascii="Cambria" w:hAnsi="Cambria"/>
                <w:color w:val="000000" w:themeColor="text1"/>
              </w:rPr>
              <w:t> </w:t>
            </w:r>
            <w:r w:rsidR="00726AAE" w:rsidRPr="00A52AB8">
              <w:rPr>
                <w:rStyle w:val="fontstyle01"/>
                <w:rFonts w:ascii="Cambria" w:hAnsi="Cambria"/>
                <w:color w:val="000000" w:themeColor="text1"/>
              </w:rPr>
              <w:t>==</w:t>
            </w:r>
            <w:r w:rsidR="00D47707" w:rsidRPr="00A52AB8">
              <w:rPr>
                <w:rStyle w:val="fontstyle01"/>
                <w:rFonts w:ascii="Cambria" w:hAnsi="Cambria"/>
                <w:color w:val="000000" w:themeColor="text1"/>
              </w:rPr>
              <w:t> </w:t>
            </w:r>
            <w:r w:rsidRPr="00A52AB8">
              <w:rPr>
                <w:color w:val="000000" w:themeColor="text1"/>
                <w:sz w:val="20"/>
                <w:szCs w:val="20"/>
              </w:rPr>
              <w:t>remainingDimensions</w:t>
            </w:r>
            <w:r w:rsidR="000C6F01" w:rsidRPr="00A52AB8">
              <w:rPr>
                <w:rStyle w:val="fontstyle01"/>
                <w:rFonts w:ascii="Cambria" w:hAnsi="Cambria"/>
                <w:color w:val="000000" w:themeColor="text1"/>
              </w:rPr>
              <w:t> </w:t>
            </w:r>
            <w:r w:rsidRPr="00A52AB8">
              <w:rPr>
                <w:color w:val="000000" w:themeColor="text1"/>
                <w:sz w:val="20"/>
                <w:szCs w:val="20"/>
              </w:rPr>
              <w:t>)</w:t>
            </w:r>
          </w:p>
        </w:tc>
        <w:tc>
          <w:tcPr>
            <w:tcW w:w="1253" w:type="dxa"/>
          </w:tcPr>
          <w:p w14:paraId="7DB9C7FD" w14:textId="77777777" w:rsidR="00B372CB" w:rsidRPr="00A52AB8" w:rsidRDefault="00B372CB" w:rsidP="004F7C57">
            <w:pPr>
              <w:spacing w:before="20" w:after="20"/>
              <w:jc w:val="center"/>
              <w:rPr>
                <w:color w:val="000000" w:themeColor="text1"/>
                <w:sz w:val="20"/>
                <w:szCs w:val="20"/>
              </w:rPr>
            </w:pPr>
          </w:p>
        </w:tc>
      </w:tr>
      <w:tr w:rsidR="00B372CB" w:rsidRPr="00A52AB8" w14:paraId="0AAD4D54" w14:textId="77777777" w:rsidTr="00A252B5">
        <w:tc>
          <w:tcPr>
            <w:tcW w:w="7921" w:type="dxa"/>
          </w:tcPr>
          <w:p w14:paraId="628A717D" w14:textId="468FC985" w:rsidR="00B372CB" w:rsidRPr="00A52AB8" w:rsidRDefault="00B372CB" w:rsidP="004F7C57">
            <w:pPr>
              <w:spacing w:before="20" w:after="20"/>
              <w:rPr>
                <w:b/>
                <w:color w:val="000000" w:themeColor="text1"/>
                <w:sz w:val="20"/>
                <w:szCs w:val="20"/>
              </w:rPr>
            </w:pPr>
            <w:r w:rsidRPr="00A52AB8">
              <w:rPr>
                <w:color w:val="000000" w:themeColor="text1"/>
                <w:sz w:val="20"/>
                <w:szCs w:val="20"/>
              </w:rPr>
              <w:tab/>
            </w:r>
            <w:r w:rsidRPr="00A52AB8">
              <w:rPr>
                <w:color w:val="000000" w:themeColor="text1"/>
                <w:sz w:val="20"/>
                <w:szCs w:val="20"/>
              </w:rPr>
              <w:tab/>
            </w:r>
            <w:r w:rsidRPr="00A52AB8">
              <w:rPr>
                <w:color w:val="000000" w:themeColor="text1"/>
                <w:sz w:val="20"/>
                <w:szCs w:val="20"/>
              </w:rPr>
              <w:tab/>
            </w:r>
            <w:r w:rsidRPr="00A52AB8">
              <w:rPr>
                <w:color w:val="000000" w:themeColor="text1"/>
                <w:sz w:val="20"/>
                <w:szCs w:val="20"/>
              </w:rPr>
              <w:tab/>
            </w:r>
            <w:r w:rsidRPr="00A52AB8">
              <w:rPr>
                <w:color w:val="000000" w:themeColor="text1"/>
                <w:sz w:val="20"/>
                <w:szCs w:val="20"/>
              </w:rPr>
              <w:tab/>
            </w:r>
            <w:r w:rsidR="000F532C" w:rsidRPr="00A52AB8">
              <w:rPr>
                <w:color w:val="000000" w:themeColor="text1"/>
                <w:sz w:val="20"/>
                <w:szCs w:val="20"/>
              </w:rPr>
              <w:t>ai_</w:t>
            </w:r>
            <w:r w:rsidRPr="00A52AB8">
              <w:rPr>
                <w:color w:val="000000" w:themeColor="text1"/>
                <w:sz w:val="20"/>
                <w:szCs w:val="20"/>
              </w:rPr>
              <w:t>attribute_partition_channels_minus1</w:t>
            </w:r>
            <w:r w:rsidR="002632DA" w:rsidRPr="00A52AB8">
              <w:rPr>
                <w:color w:val="000000" w:themeColor="text1"/>
                <w:sz w:val="20"/>
                <w:szCs w:val="20"/>
              </w:rPr>
              <w:t>[ </w:t>
            </w:r>
            <w:r w:rsidR="00D719CF" w:rsidRPr="00A52AB8">
              <w:rPr>
                <w:color w:val="000000" w:themeColor="text1"/>
                <w:sz w:val="20"/>
                <w:szCs w:val="20"/>
              </w:rPr>
              <w:t>atlasID</w:t>
            </w:r>
            <w:r w:rsidR="00611237" w:rsidRPr="00A52AB8">
              <w:rPr>
                <w:color w:val="000000" w:themeColor="text1"/>
                <w:sz w:val="20"/>
                <w:szCs w:val="20"/>
              </w:rPr>
              <w:t> </w:t>
            </w:r>
            <w:r w:rsidR="002632DA" w:rsidRPr="00A52AB8">
              <w:rPr>
                <w:color w:val="000000" w:themeColor="text1"/>
                <w:sz w:val="20"/>
                <w:szCs w:val="20"/>
              </w:rPr>
              <w:t>]</w:t>
            </w:r>
            <w:r w:rsidR="001F4484" w:rsidRPr="00A52AB8">
              <w:rPr>
                <w:color w:val="000000" w:themeColor="text1"/>
                <w:sz w:val="20"/>
                <w:szCs w:val="20"/>
              </w:rPr>
              <w:t>[ i ][ j ]</w:t>
            </w:r>
            <w:r w:rsidR="00D47707" w:rsidRPr="00A52AB8">
              <w:rPr>
                <w:color w:val="000000" w:themeColor="text1"/>
                <w:sz w:val="20"/>
                <w:szCs w:val="20"/>
              </w:rPr>
              <w:t> = </w:t>
            </w:r>
            <w:r w:rsidRPr="00A52AB8">
              <w:rPr>
                <w:color w:val="000000" w:themeColor="text1"/>
                <w:sz w:val="20"/>
                <w:szCs w:val="20"/>
              </w:rPr>
              <w:t>0</w:t>
            </w:r>
          </w:p>
        </w:tc>
        <w:tc>
          <w:tcPr>
            <w:tcW w:w="1253" w:type="dxa"/>
          </w:tcPr>
          <w:p w14:paraId="7430AEC2" w14:textId="77777777" w:rsidR="00B372CB" w:rsidRPr="00A52AB8" w:rsidRDefault="00B372CB" w:rsidP="004F7C57">
            <w:pPr>
              <w:spacing w:before="20" w:after="20"/>
              <w:jc w:val="center"/>
              <w:rPr>
                <w:color w:val="000000" w:themeColor="text1"/>
                <w:sz w:val="20"/>
                <w:szCs w:val="20"/>
              </w:rPr>
            </w:pPr>
          </w:p>
        </w:tc>
      </w:tr>
      <w:tr w:rsidR="00B372CB" w:rsidRPr="00A52AB8" w14:paraId="36836D76" w14:textId="77777777" w:rsidTr="00A252B5">
        <w:tc>
          <w:tcPr>
            <w:tcW w:w="7921" w:type="dxa"/>
          </w:tcPr>
          <w:p w14:paraId="357C44F1" w14:textId="0CC7A1FB" w:rsidR="00B372CB" w:rsidRPr="00A52AB8" w:rsidRDefault="00B372CB" w:rsidP="004F7C57">
            <w:pPr>
              <w:spacing w:before="20" w:after="20"/>
              <w:rPr>
                <w:color w:val="000000" w:themeColor="text1"/>
                <w:sz w:val="20"/>
                <w:szCs w:val="20"/>
              </w:rPr>
            </w:pPr>
            <w:r w:rsidRPr="00A52AB8">
              <w:rPr>
                <w:color w:val="000000" w:themeColor="text1"/>
                <w:sz w:val="20"/>
                <w:szCs w:val="20"/>
              </w:rPr>
              <w:tab/>
            </w:r>
            <w:r w:rsidRPr="00A52AB8">
              <w:rPr>
                <w:color w:val="000000" w:themeColor="text1"/>
                <w:sz w:val="20"/>
                <w:szCs w:val="20"/>
              </w:rPr>
              <w:tab/>
            </w:r>
            <w:r w:rsidRPr="00A52AB8">
              <w:rPr>
                <w:color w:val="000000" w:themeColor="text1"/>
                <w:sz w:val="20"/>
                <w:szCs w:val="20"/>
              </w:rPr>
              <w:tab/>
            </w:r>
            <w:r w:rsidRPr="00A52AB8">
              <w:rPr>
                <w:color w:val="000000" w:themeColor="text1"/>
                <w:sz w:val="20"/>
                <w:szCs w:val="20"/>
              </w:rPr>
              <w:tab/>
            </w:r>
            <w:r w:rsidR="00D719CF" w:rsidRPr="00A52AB8">
              <w:rPr>
                <w:color w:val="000000" w:themeColor="text1"/>
                <w:sz w:val="20"/>
                <w:szCs w:val="20"/>
              </w:rPr>
              <w:t>e</w:t>
            </w:r>
            <w:r w:rsidRPr="00A52AB8">
              <w:rPr>
                <w:color w:val="000000" w:themeColor="text1"/>
                <w:sz w:val="20"/>
                <w:szCs w:val="20"/>
              </w:rPr>
              <w:t>lse</w:t>
            </w:r>
          </w:p>
        </w:tc>
        <w:tc>
          <w:tcPr>
            <w:tcW w:w="1253" w:type="dxa"/>
          </w:tcPr>
          <w:p w14:paraId="7B6D9894" w14:textId="77777777" w:rsidR="00B372CB" w:rsidRPr="00A52AB8" w:rsidRDefault="00B372CB" w:rsidP="004F7C57">
            <w:pPr>
              <w:spacing w:before="20" w:after="20"/>
              <w:jc w:val="center"/>
              <w:rPr>
                <w:color w:val="000000" w:themeColor="text1"/>
                <w:sz w:val="20"/>
                <w:szCs w:val="20"/>
              </w:rPr>
            </w:pPr>
          </w:p>
        </w:tc>
      </w:tr>
      <w:tr w:rsidR="00F273B3" w:rsidRPr="00A52AB8" w14:paraId="71E5B7C2" w14:textId="77777777" w:rsidTr="00A252B5">
        <w:tc>
          <w:tcPr>
            <w:tcW w:w="7921" w:type="dxa"/>
          </w:tcPr>
          <w:p w14:paraId="6B0B1FE8" w14:textId="619DD54D" w:rsidR="00F273B3" w:rsidRPr="00A52AB8" w:rsidRDefault="00F273B3" w:rsidP="004F7C57">
            <w:pPr>
              <w:spacing w:before="20" w:after="20"/>
              <w:rPr>
                <w:b/>
                <w:color w:val="000000" w:themeColor="text1"/>
                <w:sz w:val="20"/>
                <w:szCs w:val="20"/>
              </w:rPr>
            </w:pPr>
            <w:r w:rsidRPr="00A52AB8">
              <w:rPr>
                <w:color w:val="000000" w:themeColor="text1"/>
                <w:sz w:val="20"/>
                <w:szCs w:val="20"/>
              </w:rPr>
              <w:tab/>
            </w:r>
            <w:r w:rsidRPr="00A52AB8">
              <w:rPr>
                <w:color w:val="000000" w:themeColor="text1"/>
                <w:sz w:val="20"/>
                <w:szCs w:val="20"/>
              </w:rPr>
              <w:tab/>
            </w:r>
            <w:r w:rsidRPr="00A52AB8">
              <w:rPr>
                <w:color w:val="000000" w:themeColor="text1"/>
                <w:sz w:val="20"/>
                <w:szCs w:val="20"/>
              </w:rPr>
              <w:tab/>
            </w:r>
            <w:r w:rsidRPr="00A52AB8">
              <w:rPr>
                <w:color w:val="000000" w:themeColor="text1"/>
                <w:sz w:val="20"/>
                <w:szCs w:val="20"/>
              </w:rPr>
              <w:tab/>
            </w:r>
            <w:r w:rsidR="00B372CB" w:rsidRPr="00A52AB8">
              <w:rPr>
                <w:color w:val="000000" w:themeColor="text1"/>
                <w:sz w:val="20"/>
                <w:szCs w:val="20"/>
              </w:rPr>
              <w:tab/>
            </w:r>
            <w:r w:rsidR="000F532C" w:rsidRPr="00A52AB8">
              <w:rPr>
                <w:b/>
                <w:color w:val="000000" w:themeColor="text1"/>
                <w:sz w:val="20"/>
                <w:szCs w:val="20"/>
              </w:rPr>
              <w:t>ai_</w:t>
            </w:r>
            <w:r w:rsidRPr="00A52AB8">
              <w:rPr>
                <w:b/>
                <w:color w:val="000000" w:themeColor="text1"/>
                <w:sz w:val="20"/>
                <w:szCs w:val="20"/>
              </w:rPr>
              <w:t>attribute_partition_</w:t>
            </w:r>
            <w:r w:rsidR="000A75B1" w:rsidRPr="00A52AB8">
              <w:rPr>
                <w:b/>
                <w:color w:val="000000" w:themeColor="text1"/>
                <w:sz w:val="20"/>
                <w:szCs w:val="20"/>
              </w:rPr>
              <w:t>channels</w:t>
            </w:r>
            <w:r w:rsidR="00F8734E" w:rsidRPr="00A52AB8">
              <w:rPr>
                <w:b/>
                <w:color w:val="000000" w:themeColor="text1"/>
                <w:sz w:val="20"/>
                <w:szCs w:val="20"/>
              </w:rPr>
              <w:t>_minus1</w:t>
            </w:r>
            <w:r w:rsidR="005E1D50" w:rsidRPr="00A52AB8">
              <w:rPr>
                <w:color w:val="000000" w:themeColor="text1"/>
                <w:sz w:val="20"/>
                <w:szCs w:val="20"/>
              </w:rPr>
              <w:t>[ </w:t>
            </w:r>
            <w:r w:rsidR="00D719CF" w:rsidRPr="00A52AB8">
              <w:rPr>
                <w:color w:val="000000" w:themeColor="text1"/>
                <w:sz w:val="20"/>
                <w:szCs w:val="20"/>
              </w:rPr>
              <w:t>atlasID</w:t>
            </w:r>
            <w:r w:rsidR="00611237" w:rsidRPr="00A52AB8">
              <w:rPr>
                <w:color w:val="000000" w:themeColor="text1"/>
                <w:sz w:val="20"/>
                <w:szCs w:val="20"/>
              </w:rPr>
              <w:t> </w:t>
            </w:r>
            <w:r w:rsidR="005E1D50" w:rsidRPr="00A52AB8">
              <w:rPr>
                <w:color w:val="000000" w:themeColor="text1"/>
                <w:sz w:val="20"/>
                <w:szCs w:val="20"/>
              </w:rPr>
              <w:t>]</w:t>
            </w:r>
            <w:r w:rsidR="001F4484" w:rsidRPr="00A52AB8">
              <w:rPr>
                <w:color w:val="000000" w:themeColor="text1"/>
                <w:sz w:val="20"/>
                <w:szCs w:val="20"/>
              </w:rPr>
              <w:t>[ i ][ j ]</w:t>
            </w:r>
          </w:p>
        </w:tc>
        <w:tc>
          <w:tcPr>
            <w:tcW w:w="1253" w:type="dxa"/>
          </w:tcPr>
          <w:p w14:paraId="24D3F188" w14:textId="77777777" w:rsidR="00F273B3" w:rsidRPr="00A52AB8" w:rsidRDefault="00F273B3" w:rsidP="004F7C57">
            <w:pPr>
              <w:spacing w:before="20" w:after="20"/>
              <w:jc w:val="center"/>
              <w:rPr>
                <w:color w:val="000000" w:themeColor="text1"/>
                <w:sz w:val="20"/>
                <w:szCs w:val="20"/>
              </w:rPr>
            </w:pPr>
            <w:r w:rsidRPr="00A52AB8">
              <w:rPr>
                <w:color w:val="000000" w:themeColor="text1"/>
                <w:sz w:val="20"/>
                <w:szCs w:val="20"/>
              </w:rPr>
              <w:t>ue(v)</w:t>
            </w:r>
          </w:p>
        </w:tc>
      </w:tr>
      <w:tr w:rsidR="00EE152A" w:rsidRPr="00A52AB8" w14:paraId="3E792FF7" w14:textId="77777777" w:rsidTr="00A252B5">
        <w:tc>
          <w:tcPr>
            <w:tcW w:w="7921" w:type="dxa"/>
          </w:tcPr>
          <w:p w14:paraId="14C78703" w14:textId="54BD2A63" w:rsidR="00EE152A" w:rsidRPr="00A52AB8" w:rsidRDefault="00CE1CF2" w:rsidP="004F7C57">
            <w:pPr>
              <w:spacing w:before="20" w:after="20"/>
              <w:rPr>
                <w:color w:val="000000" w:themeColor="text1"/>
                <w:sz w:val="20"/>
                <w:szCs w:val="20"/>
              </w:rPr>
            </w:pPr>
            <w:r w:rsidRPr="00A52AB8">
              <w:rPr>
                <w:color w:val="000000" w:themeColor="text1"/>
                <w:sz w:val="20"/>
                <w:szCs w:val="20"/>
              </w:rPr>
              <w:tab/>
            </w:r>
            <w:r w:rsidRPr="00A52AB8">
              <w:rPr>
                <w:color w:val="000000" w:themeColor="text1"/>
                <w:sz w:val="20"/>
                <w:szCs w:val="20"/>
              </w:rPr>
              <w:tab/>
            </w:r>
            <w:r w:rsidRPr="00A52AB8">
              <w:rPr>
                <w:color w:val="000000" w:themeColor="text1"/>
                <w:sz w:val="20"/>
                <w:szCs w:val="20"/>
              </w:rPr>
              <w:tab/>
            </w:r>
            <w:r w:rsidR="00F8734E" w:rsidRPr="00A52AB8">
              <w:rPr>
                <w:color w:val="000000" w:themeColor="text1"/>
                <w:sz w:val="20"/>
                <w:szCs w:val="20"/>
              </w:rPr>
              <w:tab/>
              <w:t>r</w:t>
            </w:r>
            <w:r w:rsidRPr="00A52AB8">
              <w:rPr>
                <w:color w:val="000000" w:themeColor="text1"/>
                <w:sz w:val="20"/>
                <w:szCs w:val="20"/>
              </w:rPr>
              <w:t>emainingDimensions</w:t>
            </w:r>
            <w:r w:rsidR="004A71BD" w:rsidRPr="00A52AB8">
              <w:rPr>
                <w:color w:val="000000" w:themeColor="text1"/>
                <w:sz w:val="20"/>
                <w:szCs w:val="20"/>
              </w:rPr>
              <w:t> </w:t>
            </w:r>
            <w:r w:rsidRPr="00A52AB8">
              <w:rPr>
                <w:rStyle w:val="fontstyle01"/>
                <w:rFonts w:ascii="Cambria" w:hAnsi="Cambria"/>
                <w:color w:val="000000" w:themeColor="text1"/>
              </w:rPr>
              <w:t>–</w:t>
            </w:r>
            <w:r w:rsidRPr="00A52AB8">
              <w:rPr>
                <w:color w:val="000000" w:themeColor="text1"/>
                <w:sz w:val="20"/>
                <w:szCs w:val="20"/>
              </w:rPr>
              <w:t>=</w:t>
            </w:r>
            <w:r w:rsidR="00C61E38" w:rsidRPr="00A52AB8">
              <w:rPr>
                <w:color w:val="000000" w:themeColor="text1"/>
                <w:sz w:val="20"/>
                <w:szCs w:val="20"/>
              </w:rPr>
              <w:br/>
            </w:r>
            <w:r w:rsidR="002632DA" w:rsidRPr="00A52AB8">
              <w:rPr>
                <w:color w:val="000000" w:themeColor="text1"/>
                <w:sz w:val="20"/>
                <w:szCs w:val="20"/>
              </w:rPr>
              <w:tab/>
            </w:r>
            <w:r w:rsidR="002632DA" w:rsidRPr="00A52AB8">
              <w:rPr>
                <w:color w:val="000000" w:themeColor="text1"/>
                <w:sz w:val="20"/>
                <w:szCs w:val="20"/>
              </w:rPr>
              <w:tab/>
            </w:r>
            <w:r w:rsidR="002632DA" w:rsidRPr="00A52AB8">
              <w:rPr>
                <w:color w:val="000000" w:themeColor="text1"/>
                <w:sz w:val="20"/>
                <w:szCs w:val="20"/>
              </w:rPr>
              <w:tab/>
            </w:r>
            <w:r w:rsidR="002632DA" w:rsidRPr="00A52AB8">
              <w:rPr>
                <w:color w:val="000000" w:themeColor="text1"/>
                <w:sz w:val="20"/>
                <w:szCs w:val="20"/>
              </w:rPr>
              <w:tab/>
            </w:r>
            <w:r w:rsidR="002632DA" w:rsidRPr="00A52AB8">
              <w:rPr>
                <w:color w:val="000000" w:themeColor="text1"/>
                <w:sz w:val="20"/>
                <w:szCs w:val="20"/>
              </w:rPr>
              <w:tab/>
            </w:r>
            <w:r w:rsidR="000F532C" w:rsidRPr="00A52AB8">
              <w:rPr>
                <w:color w:val="000000" w:themeColor="text1"/>
                <w:sz w:val="20"/>
                <w:szCs w:val="20"/>
              </w:rPr>
              <w:t>ai_</w:t>
            </w:r>
            <w:r w:rsidRPr="00A52AB8">
              <w:rPr>
                <w:color w:val="000000" w:themeColor="text1"/>
                <w:sz w:val="20"/>
                <w:szCs w:val="20"/>
              </w:rPr>
              <w:t>attribute_partition_</w:t>
            </w:r>
            <w:r w:rsidR="000A75B1" w:rsidRPr="00A52AB8">
              <w:rPr>
                <w:color w:val="000000" w:themeColor="text1"/>
                <w:sz w:val="20"/>
                <w:szCs w:val="20"/>
              </w:rPr>
              <w:t>channels</w:t>
            </w:r>
            <w:r w:rsidR="00F8734E" w:rsidRPr="00A52AB8">
              <w:rPr>
                <w:color w:val="000000" w:themeColor="text1"/>
                <w:sz w:val="20"/>
                <w:szCs w:val="20"/>
              </w:rPr>
              <w:t>_minus1</w:t>
            </w:r>
            <w:r w:rsidR="005E1D50" w:rsidRPr="00A52AB8">
              <w:rPr>
                <w:color w:val="000000" w:themeColor="text1"/>
                <w:sz w:val="20"/>
                <w:szCs w:val="20"/>
              </w:rPr>
              <w:t>[ </w:t>
            </w:r>
            <w:r w:rsidR="00D719CF" w:rsidRPr="00A52AB8">
              <w:rPr>
                <w:color w:val="000000" w:themeColor="text1"/>
                <w:sz w:val="20"/>
                <w:szCs w:val="20"/>
              </w:rPr>
              <w:t>atlasID</w:t>
            </w:r>
            <w:r w:rsidR="00611237" w:rsidRPr="00A52AB8">
              <w:rPr>
                <w:color w:val="000000" w:themeColor="text1"/>
                <w:sz w:val="20"/>
                <w:szCs w:val="20"/>
              </w:rPr>
              <w:t> </w:t>
            </w:r>
            <w:r w:rsidR="005E1D50" w:rsidRPr="00A52AB8">
              <w:rPr>
                <w:color w:val="000000" w:themeColor="text1"/>
                <w:sz w:val="20"/>
                <w:szCs w:val="20"/>
              </w:rPr>
              <w:t>]</w:t>
            </w:r>
            <w:r w:rsidR="001F4484" w:rsidRPr="00A52AB8">
              <w:rPr>
                <w:color w:val="000000" w:themeColor="text1"/>
                <w:sz w:val="20"/>
                <w:szCs w:val="20"/>
              </w:rPr>
              <w:t>[ i ][ j ]</w:t>
            </w:r>
            <w:r w:rsidR="00254E95" w:rsidRPr="00A52AB8">
              <w:rPr>
                <w:color w:val="000000" w:themeColor="text1"/>
                <w:sz w:val="20"/>
                <w:szCs w:val="20"/>
              </w:rPr>
              <w:t> </w:t>
            </w:r>
            <w:r w:rsidR="00B372CB" w:rsidRPr="00A52AB8">
              <w:rPr>
                <w:color w:val="000000" w:themeColor="text1"/>
                <w:sz w:val="20"/>
                <w:szCs w:val="20"/>
              </w:rPr>
              <w:t>+</w:t>
            </w:r>
            <w:r w:rsidR="00254E95" w:rsidRPr="00A52AB8">
              <w:rPr>
                <w:color w:val="000000" w:themeColor="text1"/>
                <w:sz w:val="20"/>
                <w:szCs w:val="20"/>
              </w:rPr>
              <w:t> </w:t>
            </w:r>
            <w:r w:rsidR="00B372CB" w:rsidRPr="00A52AB8">
              <w:rPr>
                <w:color w:val="000000" w:themeColor="text1"/>
                <w:sz w:val="20"/>
                <w:szCs w:val="20"/>
              </w:rPr>
              <w:t>1</w:t>
            </w:r>
          </w:p>
        </w:tc>
        <w:tc>
          <w:tcPr>
            <w:tcW w:w="1253" w:type="dxa"/>
          </w:tcPr>
          <w:p w14:paraId="4593498B" w14:textId="77777777" w:rsidR="00EE152A" w:rsidRPr="00A52AB8" w:rsidRDefault="00EE152A" w:rsidP="004F7C57">
            <w:pPr>
              <w:spacing w:before="20" w:after="20"/>
              <w:jc w:val="center"/>
              <w:rPr>
                <w:color w:val="000000" w:themeColor="text1"/>
                <w:sz w:val="20"/>
                <w:szCs w:val="20"/>
              </w:rPr>
            </w:pPr>
          </w:p>
        </w:tc>
      </w:tr>
      <w:tr w:rsidR="00EE152A" w:rsidRPr="00A52AB8" w14:paraId="021E5329" w14:textId="77777777" w:rsidTr="00A252B5">
        <w:tc>
          <w:tcPr>
            <w:tcW w:w="7921" w:type="dxa"/>
          </w:tcPr>
          <w:p w14:paraId="4A31E1BC" w14:textId="77777777" w:rsidR="00EE152A" w:rsidRPr="00A52AB8" w:rsidRDefault="00CE1CF2" w:rsidP="004F7C57">
            <w:pPr>
              <w:spacing w:before="20" w:after="20"/>
              <w:rPr>
                <w:bCs/>
                <w:color w:val="000000" w:themeColor="text1"/>
                <w:sz w:val="20"/>
                <w:szCs w:val="20"/>
              </w:rPr>
            </w:pPr>
            <w:r w:rsidRPr="00A52AB8">
              <w:rPr>
                <w:bCs/>
                <w:color w:val="000000" w:themeColor="text1"/>
                <w:sz w:val="20"/>
                <w:szCs w:val="20"/>
              </w:rPr>
              <w:tab/>
            </w:r>
            <w:r w:rsidRPr="00A52AB8">
              <w:rPr>
                <w:bCs/>
                <w:color w:val="000000" w:themeColor="text1"/>
                <w:sz w:val="20"/>
                <w:szCs w:val="20"/>
              </w:rPr>
              <w:tab/>
            </w:r>
            <w:r w:rsidRPr="00A52AB8">
              <w:rPr>
                <w:bCs/>
                <w:color w:val="000000" w:themeColor="text1"/>
                <w:sz w:val="20"/>
                <w:szCs w:val="20"/>
              </w:rPr>
              <w:tab/>
              <w:t>}</w:t>
            </w:r>
          </w:p>
        </w:tc>
        <w:tc>
          <w:tcPr>
            <w:tcW w:w="1253" w:type="dxa"/>
          </w:tcPr>
          <w:p w14:paraId="76ADBC50" w14:textId="77777777" w:rsidR="00EE152A" w:rsidRPr="00A52AB8" w:rsidRDefault="00EE152A" w:rsidP="004F7C57">
            <w:pPr>
              <w:spacing w:before="20" w:after="20"/>
              <w:jc w:val="center"/>
              <w:rPr>
                <w:color w:val="000000" w:themeColor="text1"/>
                <w:sz w:val="20"/>
                <w:szCs w:val="20"/>
              </w:rPr>
            </w:pPr>
          </w:p>
        </w:tc>
      </w:tr>
      <w:tr w:rsidR="00CE1CF2" w:rsidRPr="00A52AB8" w14:paraId="3EADA596" w14:textId="77777777" w:rsidTr="00A252B5">
        <w:trPr>
          <w:trHeight w:val="53"/>
        </w:trPr>
        <w:tc>
          <w:tcPr>
            <w:tcW w:w="7921" w:type="dxa"/>
          </w:tcPr>
          <w:p w14:paraId="6068F661" w14:textId="56ADC375" w:rsidR="00CE1CF2" w:rsidRPr="00A52AB8" w:rsidRDefault="00CE1CF2" w:rsidP="004F7C57">
            <w:pPr>
              <w:spacing w:before="20" w:after="20"/>
              <w:rPr>
                <w:bCs/>
                <w:color w:val="000000" w:themeColor="text1"/>
                <w:sz w:val="20"/>
                <w:szCs w:val="20"/>
              </w:rPr>
            </w:pPr>
            <w:r w:rsidRPr="00A52AB8">
              <w:rPr>
                <w:bCs/>
                <w:color w:val="000000" w:themeColor="text1"/>
                <w:sz w:val="20"/>
                <w:szCs w:val="20"/>
              </w:rPr>
              <w:tab/>
            </w:r>
            <w:r w:rsidRPr="00A52AB8">
              <w:rPr>
                <w:bCs/>
                <w:color w:val="000000" w:themeColor="text1"/>
                <w:sz w:val="20"/>
                <w:szCs w:val="20"/>
              </w:rPr>
              <w:tab/>
            </w:r>
            <w:r w:rsidRPr="00A52AB8">
              <w:rPr>
                <w:bCs/>
                <w:color w:val="000000" w:themeColor="text1"/>
                <w:sz w:val="20"/>
                <w:szCs w:val="20"/>
              </w:rPr>
              <w:tab/>
            </w:r>
            <w:r w:rsidR="000F532C" w:rsidRPr="00A52AB8">
              <w:rPr>
                <w:color w:val="000000" w:themeColor="text1"/>
                <w:sz w:val="20"/>
                <w:szCs w:val="20"/>
              </w:rPr>
              <w:t>ai_</w:t>
            </w:r>
            <w:r w:rsidRPr="00A52AB8">
              <w:rPr>
                <w:color w:val="000000" w:themeColor="text1"/>
                <w:sz w:val="20"/>
                <w:szCs w:val="20"/>
              </w:rPr>
              <w:t>attribute_partition_</w:t>
            </w:r>
            <w:r w:rsidR="000A75B1" w:rsidRPr="00A52AB8">
              <w:rPr>
                <w:color w:val="000000" w:themeColor="text1"/>
                <w:sz w:val="20"/>
                <w:szCs w:val="20"/>
              </w:rPr>
              <w:t>channels_minus1</w:t>
            </w:r>
            <w:r w:rsidR="005E1D50" w:rsidRPr="00A52AB8">
              <w:rPr>
                <w:color w:val="000000" w:themeColor="text1"/>
                <w:sz w:val="20"/>
                <w:szCs w:val="20"/>
              </w:rPr>
              <w:t>[ </w:t>
            </w:r>
            <w:r w:rsidR="00D719CF" w:rsidRPr="00A52AB8">
              <w:rPr>
                <w:color w:val="000000" w:themeColor="text1"/>
                <w:sz w:val="20"/>
                <w:szCs w:val="20"/>
              </w:rPr>
              <w:t>atlasID</w:t>
            </w:r>
            <w:r w:rsidR="00611237" w:rsidRPr="00A52AB8">
              <w:rPr>
                <w:color w:val="000000" w:themeColor="text1"/>
                <w:sz w:val="20"/>
                <w:szCs w:val="20"/>
              </w:rPr>
              <w:t> </w:t>
            </w:r>
            <w:r w:rsidR="005E1D50" w:rsidRPr="00A52AB8">
              <w:rPr>
                <w:color w:val="000000" w:themeColor="text1"/>
                <w:sz w:val="20"/>
                <w:szCs w:val="20"/>
              </w:rPr>
              <w:t>]</w:t>
            </w:r>
            <w:r w:rsidR="001F4484" w:rsidRPr="00A52AB8">
              <w:rPr>
                <w:color w:val="000000" w:themeColor="text1"/>
                <w:sz w:val="20"/>
                <w:szCs w:val="20"/>
              </w:rPr>
              <w:t>[ i ]</w:t>
            </w:r>
            <w:r w:rsidR="004B7314" w:rsidRPr="00A52AB8">
              <w:rPr>
                <w:color w:val="000000" w:themeColor="text1"/>
                <w:sz w:val="20"/>
                <w:szCs w:val="20"/>
              </w:rPr>
              <w:t>[ k ]</w:t>
            </w:r>
            <w:r w:rsidR="00D47707" w:rsidRPr="00A52AB8">
              <w:rPr>
                <w:sz w:val="20"/>
                <w:szCs w:val="20"/>
              </w:rPr>
              <w:t> </w:t>
            </w:r>
            <w:r w:rsidR="00D47707" w:rsidRPr="00A52AB8">
              <w:rPr>
                <w:color w:val="000000" w:themeColor="text1"/>
                <w:sz w:val="20"/>
                <w:szCs w:val="20"/>
              </w:rPr>
              <w:t>= </w:t>
            </w:r>
            <w:r w:rsidR="00F8734E" w:rsidRPr="00A52AB8">
              <w:rPr>
                <w:color w:val="000000" w:themeColor="text1"/>
                <w:sz w:val="20"/>
                <w:szCs w:val="20"/>
              </w:rPr>
              <w:t>r</w:t>
            </w:r>
            <w:r w:rsidRPr="00A52AB8">
              <w:rPr>
                <w:color w:val="000000" w:themeColor="text1"/>
                <w:sz w:val="20"/>
                <w:szCs w:val="20"/>
              </w:rPr>
              <w:t>emainingDimensions</w:t>
            </w:r>
            <w:r w:rsidR="000A75B1" w:rsidRPr="00A52AB8">
              <w:rPr>
                <w:color w:val="000000" w:themeColor="text1"/>
                <w:sz w:val="20"/>
                <w:szCs w:val="20"/>
              </w:rPr>
              <w:t> </w:t>
            </w:r>
          </w:p>
        </w:tc>
        <w:tc>
          <w:tcPr>
            <w:tcW w:w="1253" w:type="dxa"/>
          </w:tcPr>
          <w:p w14:paraId="35C0C0B5" w14:textId="77777777" w:rsidR="00CE1CF2" w:rsidRPr="00A52AB8" w:rsidRDefault="00CE1CF2" w:rsidP="004F7C57">
            <w:pPr>
              <w:spacing w:before="20" w:after="20"/>
              <w:jc w:val="center"/>
              <w:rPr>
                <w:color w:val="000000" w:themeColor="text1"/>
                <w:sz w:val="20"/>
                <w:szCs w:val="20"/>
              </w:rPr>
            </w:pPr>
          </w:p>
        </w:tc>
      </w:tr>
      <w:tr w:rsidR="00CE1CF2" w:rsidRPr="00A52AB8" w14:paraId="7040F56D" w14:textId="77777777" w:rsidTr="00A252B5">
        <w:trPr>
          <w:trHeight w:val="53"/>
        </w:trPr>
        <w:tc>
          <w:tcPr>
            <w:tcW w:w="7921" w:type="dxa"/>
          </w:tcPr>
          <w:p w14:paraId="26B6506C" w14:textId="77777777" w:rsidR="00CE1CF2" w:rsidRPr="00A52AB8" w:rsidRDefault="00CE1CF2" w:rsidP="004F7C57">
            <w:pPr>
              <w:spacing w:before="20" w:after="20"/>
              <w:rPr>
                <w:bCs/>
                <w:color w:val="000000" w:themeColor="text1"/>
                <w:sz w:val="20"/>
                <w:szCs w:val="20"/>
              </w:rPr>
            </w:pPr>
            <w:r w:rsidRPr="00A52AB8">
              <w:rPr>
                <w:bCs/>
                <w:color w:val="000000" w:themeColor="text1"/>
                <w:sz w:val="20"/>
                <w:szCs w:val="20"/>
              </w:rPr>
              <w:tab/>
            </w:r>
            <w:r w:rsidRPr="00A52AB8">
              <w:rPr>
                <w:bCs/>
                <w:color w:val="000000" w:themeColor="text1"/>
                <w:sz w:val="20"/>
                <w:szCs w:val="20"/>
              </w:rPr>
              <w:tab/>
              <w:t>}</w:t>
            </w:r>
          </w:p>
        </w:tc>
        <w:tc>
          <w:tcPr>
            <w:tcW w:w="1253" w:type="dxa"/>
          </w:tcPr>
          <w:p w14:paraId="3B380C69" w14:textId="77777777" w:rsidR="00CE1CF2" w:rsidRPr="00A52AB8" w:rsidRDefault="00CE1CF2" w:rsidP="004F7C57">
            <w:pPr>
              <w:spacing w:before="20" w:after="20"/>
              <w:jc w:val="center"/>
              <w:rPr>
                <w:color w:val="000000" w:themeColor="text1"/>
                <w:sz w:val="20"/>
                <w:szCs w:val="20"/>
              </w:rPr>
            </w:pPr>
          </w:p>
        </w:tc>
      </w:tr>
      <w:tr w:rsidR="000851E2" w:rsidRPr="00A52AB8" w14:paraId="1EE93EDA" w14:textId="77777777" w:rsidTr="00A252B5">
        <w:trPr>
          <w:trHeight w:val="53"/>
        </w:trPr>
        <w:tc>
          <w:tcPr>
            <w:tcW w:w="7921" w:type="dxa"/>
          </w:tcPr>
          <w:p w14:paraId="07145C46" w14:textId="45A13CA8" w:rsidR="000851E2" w:rsidRPr="00A52AB8" w:rsidRDefault="000851E2" w:rsidP="004F7C57">
            <w:pPr>
              <w:spacing w:before="20" w:after="20"/>
              <w:rPr>
                <w:bCs/>
                <w:color w:val="000000" w:themeColor="text1"/>
                <w:sz w:val="20"/>
                <w:szCs w:val="20"/>
              </w:rPr>
            </w:pPr>
            <w:r w:rsidRPr="00A52AB8">
              <w:rPr>
                <w:bCs/>
                <w:color w:val="000000" w:themeColor="text1"/>
                <w:sz w:val="20"/>
                <w:szCs w:val="20"/>
              </w:rPr>
              <w:tab/>
            </w:r>
            <w:r w:rsidRPr="00A52AB8">
              <w:rPr>
                <w:bCs/>
                <w:color w:val="000000" w:themeColor="text1"/>
                <w:sz w:val="20"/>
                <w:szCs w:val="20"/>
              </w:rPr>
              <w:tab/>
            </w:r>
            <w:r w:rsidR="000F532C" w:rsidRPr="00A52AB8">
              <w:rPr>
                <w:b/>
                <w:bCs/>
                <w:color w:val="000000" w:themeColor="text1"/>
                <w:sz w:val="20"/>
                <w:szCs w:val="20"/>
              </w:rPr>
              <w:t>ai_</w:t>
            </w:r>
            <w:r w:rsidRPr="00A52AB8">
              <w:rPr>
                <w:b/>
                <w:bCs/>
                <w:color w:val="000000" w:themeColor="text1"/>
                <w:sz w:val="20"/>
                <w:szCs w:val="20"/>
              </w:rPr>
              <w:t>attribute</w:t>
            </w:r>
            <w:r w:rsidR="00E17778" w:rsidRPr="00A52AB8">
              <w:rPr>
                <w:b/>
                <w:bCs/>
                <w:color w:val="000000" w:themeColor="text1"/>
                <w:sz w:val="20"/>
                <w:szCs w:val="20"/>
              </w:rPr>
              <w:t>_</w:t>
            </w:r>
            <w:r w:rsidRPr="00A52AB8">
              <w:rPr>
                <w:b/>
                <w:bCs/>
                <w:color w:val="000000" w:themeColor="text1"/>
                <w:sz w:val="20"/>
                <w:szCs w:val="20"/>
              </w:rPr>
              <w:t>2d_bit</w:t>
            </w:r>
            <w:r w:rsidR="00C514C6" w:rsidRPr="00A52AB8">
              <w:rPr>
                <w:b/>
                <w:bCs/>
                <w:color w:val="000000" w:themeColor="text1"/>
                <w:sz w:val="20"/>
                <w:szCs w:val="20"/>
              </w:rPr>
              <w:t>_</w:t>
            </w:r>
            <w:r w:rsidRPr="00A52AB8">
              <w:rPr>
                <w:b/>
                <w:bCs/>
                <w:color w:val="000000" w:themeColor="text1"/>
                <w:sz w:val="20"/>
                <w:szCs w:val="20"/>
              </w:rPr>
              <w:t>depth_minus1</w:t>
            </w:r>
            <w:r w:rsidR="005E1D50" w:rsidRPr="00A52AB8">
              <w:rPr>
                <w:bCs/>
                <w:color w:val="000000" w:themeColor="text1"/>
                <w:sz w:val="20"/>
                <w:szCs w:val="20"/>
              </w:rPr>
              <w:t>[ </w:t>
            </w:r>
            <w:r w:rsidR="00D719CF" w:rsidRPr="00A52AB8">
              <w:rPr>
                <w:bCs/>
                <w:color w:val="000000" w:themeColor="text1"/>
                <w:sz w:val="20"/>
                <w:szCs w:val="20"/>
              </w:rPr>
              <w:t>atlasID</w:t>
            </w:r>
            <w:r w:rsidR="00611237" w:rsidRPr="00A52AB8">
              <w:rPr>
                <w:bCs/>
                <w:color w:val="000000" w:themeColor="text1"/>
                <w:sz w:val="20"/>
                <w:szCs w:val="20"/>
              </w:rPr>
              <w:t> </w:t>
            </w:r>
            <w:r w:rsidR="005E1D50" w:rsidRPr="00A52AB8">
              <w:rPr>
                <w:bCs/>
                <w:color w:val="000000" w:themeColor="text1"/>
                <w:sz w:val="20"/>
                <w:szCs w:val="20"/>
              </w:rPr>
              <w:t>]</w:t>
            </w:r>
            <w:r w:rsidR="001F4484" w:rsidRPr="00A52AB8">
              <w:rPr>
                <w:bCs/>
                <w:color w:val="000000" w:themeColor="text1"/>
                <w:sz w:val="20"/>
                <w:szCs w:val="20"/>
              </w:rPr>
              <w:t>[ i ]</w:t>
            </w:r>
          </w:p>
        </w:tc>
        <w:tc>
          <w:tcPr>
            <w:tcW w:w="1253" w:type="dxa"/>
          </w:tcPr>
          <w:p w14:paraId="33249EB4" w14:textId="77777777" w:rsidR="000851E2" w:rsidRPr="00A52AB8" w:rsidRDefault="000851E2" w:rsidP="004F7C57">
            <w:pPr>
              <w:spacing w:before="20" w:after="20"/>
              <w:jc w:val="center"/>
              <w:rPr>
                <w:color w:val="000000" w:themeColor="text1"/>
                <w:sz w:val="20"/>
                <w:szCs w:val="20"/>
              </w:rPr>
            </w:pPr>
            <w:r w:rsidRPr="00A52AB8">
              <w:rPr>
                <w:color w:val="000000" w:themeColor="text1"/>
                <w:sz w:val="20"/>
                <w:szCs w:val="20"/>
              </w:rPr>
              <w:t>u(5)</w:t>
            </w:r>
          </w:p>
        </w:tc>
      </w:tr>
      <w:tr w:rsidR="000851E2" w:rsidRPr="00A52AB8" w14:paraId="0C6DF0F7" w14:textId="77777777" w:rsidTr="00A252B5">
        <w:tc>
          <w:tcPr>
            <w:tcW w:w="7921" w:type="dxa"/>
          </w:tcPr>
          <w:p w14:paraId="751CF467" w14:textId="55A0E42D" w:rsidR="000851E2" w:rsidRPr="00A52AB8" w:rsidRDefault="000851E2" w:rsidP="004F7C57">
            <w:pPr>
              <w:spacing w:before="20" w:after="20"/>
              <w:rPr>
                <w:b/>
                <w:bCs/>
                <w:color w:val="000000" w:themeColor="text1"/>
                <w:sz w:val="20"/>
                <w:szCs w:val="20"/>
              </w:rPr>
            </w:pPr>
            <w:r w:rsidRPr="00A52AB8">
              <w:rPr>
                <w:bCs/>
                <w:color w:val="000000" w:themeColor="text1"/>
                <w:sz w:val="20"/>
                <w:szCs w:val="20"/>
              </w:rPr>
              <w:tab/>
            </w:r>
            <w:r w:rsidRPr="00A52AB8">
              <w:rPr>
                <w:bCs/>
                <w:color w:val="000000" w:themeColor="text1"/>
                <w:sz w:val="20"/>
                <w:szCs w:val="20"/>
              </w:rPr>
              <w:tab/>
            </w:r>
            <w:r w:rsidR="000F532C" w:rsidRPr="00A52AB8">
              <w:rPr>
                <w:b/>
                <w:bCs/>
                <w:color w:val="000000" w:themeColor="text1"/>
                <w:sz w:val="20"/>
                <w:szCs w:val="20"/>
              </w:rPr>
              <w:t>ai_</w:t>
            </w:r>
            <w:r w:rsidRPr="00A52AB8">
              <w:rPr>
                <w:b/>
                <w:bCs/>
                <w:color w:val="000000" w:themeColor="text1"/>
                <w:sz w:val="20"/>
                <w:szCs w:val="20"/>
              </w:rPr>
              <w:t>attribute_MSB_align_flag</w:t>
            </w:r>
            <w:r w:rsidR="002632DA" w:rsidRPr="00A52AB8">
              <w:rPr>
                <w:bCs/>
                <w:color w:val="000000" w:themeColor="text1"/>
                <w:sz w:val="20"/>
                <w:szCs w:val="20"/>
              </w:rPr>
              <w:t>[ </w:t>
            </w:r>
            <w:r w:rsidR="00D719CF" w:rsidRPr="00A52AB8">
              <w:rPr>
                <w:bCs/>
                <w:color w:val="000000" w:themeColor="text1"/>
                <w:sz w:val="20"/>
                <w:szCs w:val="20"/>
              </w:rPr>
              <w:t>atlasID</w:t>
            </w:r>
            <w:r w:rsidR="00611237" w:rsidRPr="00A52AB8">
              <w:rPr>
                <w:bCs/>
                <w:color w:val="000000" w:themeColor="text1"/>
                <w:sz w:val="20"/>
                <w:szCs w:val="20"/>
              </w:rPr>
              <w:t> </w:t>
            </w:r>
            <w:r w:rsidR="002632DA" w:rsidRPr="00A52AB8">
              <w:rPr>
                <w:bCs/>
                <w:color w:val="000000" w:themeColor="text1"/>
                <w:sz w:val="20"/>
                <w:szCs w:val="20"/>
              </w:rPr>
              <w:t>]</w:t>
            </w:r>
            <w:r w:rsidR="001F4484" w:rsidRPr="00A52AB8">
              <w:rPr>
                <w:bCs/>
                <w:color w:val="000000" w:themeColor="text1"/>
                <w:sz w:val="20"/>
                <w:szCs w:val="20"/>
              </w:rPr>
              <w:t>[ i ]</w:t>
            </w:r>
          </w:p>
        </w:tc>
        <w:tc>
          <w:tcPr>
            <w:tcW w:w="1253" w:type="dxa"/>
          </w:tcPr>
          <w:p w14:paraId="72D910FF" w14:textId="77777777" w:rsidR="000851E2" w:rsidRPr="00A52AB8" w:rsidRDefault="000851E2" w:rsidP="004F7C57">
            <w:pPr>
              <w:spacing w:before="20" w:after="20"/>
              <w:jc w:val="center"/>
              <w:rPr>
                <w:color w:val="000000" w:themeColor="text1"/>
                <w:sz w:val="20"/>
                <w:szCs w:val="20"/>
              </w:rPr>
            </w:pPr>
            <w:r w:rsidRPr="00A52AB8">
              <w:rPr>
                <w:color w:val="000000" w:themeColor="text1"/>
                <w:sz w:val="20"/>
                <w:szCs w:val="20"/>
              </w:rPr>
              <w:t>u(1)</w:t>
            </w:r>
          </w:p>
        </w:tc>
      </w:tr>
      <w:tr w:rsidR="00EE152A" w:rsidRPr="00A52AB8" w14:paraId="6C1B44A1" w14:textId="77777777" w:rsidTr="00A252B5">
        <w:tc>
          <w:tcPr>
            <w:tcW w:w="7921" w:type="dxa"/>
          </w:tcPr>
          <w:p w14:paraId="70C1DD9D" w14:textId="77777777" w:rsidR="00EE152A" w:rsidRPr="00A52AB8" w:rsidRDefault="00EE152A" w:rsidP="004F7C57">
            <w:pPr>
              <w:spacing w:before="20" w:after="20"/>
              <w:rPr>
                <w:bCs/>
                <w:color w:val="000000" w:themeColor="text1"/>
                <w:sz w:val="20"/>
                <w:szCs w:val="20"/>
              </w:rPr>
            </w:pPr>
            <w:r w:rsidRPr="00A52AB8">
              <w:rPr>
                <w:color w:val="000000" w:themeColor="text1"/>
                <w:sz w:val="20"/>
                <w:szCs w:val="20"/>
              </w:rPr>
              <w:tab/>
              <w:t>}</w:t>
            </w:r>
          </w:p>
        </w:tc>
        <w:tc>
          <w:tcPr>
            <w:tcW w:w="1253" w:type="dxa"/>
          </w:tcPr>
          <w:p w14:paraId="585FBE7A" w14:textId="77777777" w:rsidR="00EE152A" w:rsidRPr="00A52AB8" w:rsidRDefault="00EE152A" w:rsidP="004F7C57">
            <w:pPr>
              <w:spacing w:before="20" w:after="20"/>
              <w:jc w:val="center"/>
              <w:rPr>
                <w:color w:val="000000" w:themeColor="text1"/>
                <w:sz w:val="20"/>
                <w:szCs w:val="20"/>
              </w:rPr>
            </w:pPr>
          </w:p>
        </w:tc>
      </w:tr>
      <w:tr w:rsidR="00EE152A" w:rsidRPr="00A52AB8" w14:paraId="152CD945" w14:textId="77777777" w:rsidTr="00A252B5">
        <w:tc>
          <w:tcPr>
            <w:tcW w:w="7921" w:type="dxa"/>
          </w:tcPr>
          <w:p w14:paraId="6D24CD6C" w14:textId="77777777" w:rsidR="00EE152A" w:rsidRPr="00A52AB8" w:rsidRDefault="00EE152A" w:rsidP="004F7C57">
            <w:pPr>
              <w:spacing w:before="20" w:after="20"/>
              <w:rPr>
                <w:color w:val="000000" w:themeColor="text1"/>
                <w:sz w:val="20"/>
                <w:szCs w:val="20"/>
              </w:rPr>
            </w:pPr>
            <w:r w:rsidRPr="00A52AB8">
              <w:rPr>
                <w:color w:val="000000" w:themeColor="text1"/>
                <w:sz w:val="20"/>
                <w:szCs w:val="20"/>
              </w:rPr>
              <w:t>}</w:t>
            </w:r>
          </w:p>
        </w:tc>
        <w:tc>
          <w:tcPr>
            <w:tcW w:w="1253" w:type="dxa"/>
          </w:tcPr>
          <w:p w14:paraId="37E988AB" w14:textId="77777777" w:rsidR="00EE152A" w:rsidRPr="00A52AB8" w:rsidRDefault="00EE152A" w:rsidP="004F7C57">
            <w:pPr>
              <w:spacing w:before="20" w:after="20"/>
              <w:jc w:val="center"/>
              <w:rPr>
                <w:color w:val="000000" w:themeColor="text1"/>
                <w:sz w:val="20"/>
                <w:szCs w:val="20"/>
              </w:rPr>
            </w:pPr>
          </w:p>
        </w:tc>
      </w:tr>
    </w:tbl>
    <w:p w14:paraId="7497FB0A" w14:textId="77777777" w:rsidR="0096378A" w:rsidRPr="00A52AB8" w:rsidRDefault="00D51FCC" w:rsidP="0096378A">
      <w:pPr>
        <w:pStyle w:val="Heading4"/>
      </w:pPr>
      <w:bookmarkStart w:id="679" w:name="_Toc5629180"/>
      <w:bookmarkStart w:id="680" w:name="_Toc7681700"/>
      <w:bookmarkStart w:id="681" w:name="_Toc7702444"/>
      <w:bookmarkStart w:id="682" w:name="_Toc5629181"/>
      <w:bookmarkStart w:id="683" w:name="_Toc7681701"/>
      <w:bookmarkStart w:id="684" w:name="_Toc7702445"/>
      <w:bookmarkStart w:id="685" w:name="_Toc5629182"/>
      <w:bookmarkStart w:id="686" w:name="_Toc7681702"/>
      <w:bookmarkStart w:id="687" w:name="_Toc7702446"/>
      <w:bookmarkStart w:id="688" w:name="_Toc986348"/>
      <w:bookmarkStart w:id="689" w:name="_Toc1000888"/>
      <w:bookmarkStart w:id="690" w:name="_Toc1001425"/>
      <w:bookmarkStart w:id="691" w:name="_Toc1002239"/>
      <w:bookmarkStart w:id="692" w:name="_Toc1195479"/>
      <w:bookmarkStart w:id="693" w:name="_Toc1198499"/>
      <w:bookmarkStart w:id="694" w:name="_Toc1380156"/>
      <w:bookmarkStart w:id="695" w:name="_Toc1466522"/>
      <w:bookmarkStart w:id="696" w:name="_Toc1476495"/>
      <w:bookmarkStart w:id="697" w:name="_Toc1742895"/>
      <w:bookmarkStart w:id="698" w:name="_Toc1743440"/>
      <w:bookmarkStart w:id="699" w:name="_Ref38314307"/>
      <w:bookmarkStart w:id="700" w:name="_Toc529871404"/>
      <w:bookmarkStart w:id="701" w:name="_Ref534569381"/>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r w:rsidRPr="00A52AB8">
        <w:t>Profile toolset constraints information</w:t>
      </w:r>
      <w:r w:rsidR="0096378A" w:rsidRPr="00A52AB8">
        <w:t xml:space="preserve"> syntax</w:t>
      </w:r>
    </w:p>
    <w:tbl>
      <w:tblPr>
        <w:tblStyle w:val="TableGrid"/>
        <w:tblW w:w="5000" w:type="pct"/>
        <w:tblLook w:val="04A0" w:firstRow="1" w:lastRow="0" w:firstColumn="1" w:lastColumn="0" w:noHBand="0" w:noVBand="1"/>
      </w:tblPr>
      <w:tblGrid>
        <w:gridCol w:w="8411"/>
        <w:gridCol w:w="1331"/>
      </w:tblGrid>
      <w:tr w:rsidR="00866B3F" w:rsidRPr="00A52AB8" w14:paraId="41C40B9A" w14:textId="77777777" w:rsidTr="00056233">
        <w:tc>
          <w:tcPr>
            <w:tcW w:w="8411" w:type="dxa"/>
          </w:tcPr>
          <w:p w14:paraId="058699B6" w14:textId="63303179" w:rsidR="00866B3F" w:rsidRPr="00A52AB8" w:rsidRDefault="00866B3F" w:rsidP="0045670D">
            <w:pPr>
              <w:spacing w:before="20" w:after="20"/>
              <w:rPr>
                <w:color w:val="000000" w:themeColor="text1"/>
                <w:sz w:val="20"/>
                <w:szCs w:val="20"/>
              </w:rPr>
            </w:pPr>
            <w:r w:rsidRPr="00A52AB8">
              <w:rPr>
                <w:color w:val="000000" w:themeColor="text1"/>
                <w:sz w:val="20"/>
                <w:szCs w:val="20"/>
              </w:rPr>
              <w:t>profile_toolset_constraints_info</w:t>
            </w:r>
            <w:r w:rsidR="00693C36" w:rsidRPr="00A52AB8">
              <w:rPr>
                <w:color w:val="000000" w:themeColor="text1"/>
                <w:sz w:val="20"/>
                <w:szCs w:val="20"/>
              </w:rPr>
              <w:t>rmation</w:t>
            </w:r>
            <w:r w:rsidRPr="00A52AB8">
              <w:rPr>
                <w:color w:val="000000" w:themeColor="text1"/>
                <w:sz w:val="20"/>
                <w:szCs w:val="20"/>
              </w:rPr>
              <w:t>( </w:t>
            </w:r>
            <w:r w:rsidR="008F1F82" w:rsidRPr="00A52AB8">
              <w:rPr>
                <w:color w:val="000000" w:themeColor="text1"/>
                <w:sz w:val="20"/>
                <w:szCs w:val="20"/>
              </w:rPr>
              <w:t>) {</w:t>
            </w:r>
          </w:p>
        </w:tc>
        <w:tc>
          <w:tcPr>
            <w:tcW w:w="1331" w:type="dxa"/>
          </w:tcPr>
          <w:p w14:paraId="17C37DF6" w14:textId="77777777" w:rsidR="00866B3F" w:rsidRPr="00A52AB8" w:rsidRDefault="00866B3F" w:rsidP="0045670D">
            <w:pPr>
              <w:spacing w:before="20" w:after="20"/>
              <w:jc w:val="center"/>
              <w:rPr>
                <w:b/>
                <w:color w:val="000000" w:themeColor="text1"/>
                <w:sz w:val="20"/>
                <w:szCs w:val="20"/>
              </w:rPr>
            </w:pPr>
            <w:r w:rsidRPr="00A52AB8">
              <w:rPr>
                <w:b/>
                <w:color w:val="000000" w:themeColor="text1"/>
                <w:sz w:val="20"/>
                <w:szCs w:val="20"/>
              </w:rPr>
              <w:t>Descriptor</w:t>
            </w:r>
          </w:p>
        </w:tc>
      </w:tr>
      <w:tr w:rsidR="00554B63" w:rsidRPr="00A52AB8" w14:paraId="54E01CE0" w14:textId="77777777" w:rsidTr="00056233">
        <w:tc>
          <w:tcPr>
            <w:tcW w:w="8411" w:type="dxa"/>
          </w:tcPr>
          <w:p w14:paraId="18FDE67E" w14:textId="57FBBF29" w:rsidR="00866B3F" w:rsidRPr="00A52AB8" w:rsidRDefault="00866B3F" w:rsidP="0045670D">
            <w:pPr>
              <w:spacing w:before="20" w:after="20"/>
              <w:rPr>
                <w:b/>
                <w:color w:val="000000" w:themeColor="text1"/>
                <w:sz w:val="20"/>
                <w:szCs w:val="20"/>
              </w:rPr>
            </w:pPr>
            <w:r w:rsidRPr="00A52AB8">
              <w:rPr>
                <w:b/>
                <w:color w:val="000000" w:themeColor="text1"/>
                <w:sz w:val="20"/>
                <w:szCs w:val="20"/>
              </w:rPr>
              <w:tab/>
              <w:t>pt</w:t>
            </w:r>
            <w:r w:rsidR="00554B63" w:rsidRPr="00A52AB8">
              <w:rPr>
                <w:b/>
                <w:color w:val="000000" w:themeColor="text1"/>
                <w:sz w:val="20"/>
                <w:szCs w:val="20"/>
              </w:rPr>
              <w:t>c</w:t>
            </w:r>
            <w:r w:rsidRPr="00A52AB8">
              <w:rPr>
                <w:b/>
                <w:color w:val="000000" w:themeColor="text1"/>
                <w:sz w:val="20"/>
                <w:szCs w:val="20"/>
              </w:rPr>
              <w:t>_one_</w:t>
            </w:r>
            <w:r w:rsidR="004933EB" w:rsidRPr="00A52AB8">
              <w:rPr>
                <w:b/>
                <w:color w:val="000000" w:themeColor="text1"/>
                <w:sz w:val="20"/>
                <w:szCs w:val="20"/>
              </w:rPr>
              <w:t>v3c_</w:t>
            </w:r>
            <w:r w:rsidRPr="00A52AB8">
              <w:rPr>
                <w:b/>
                <w:color w:val="000000" w:themeColor="text1"/>
                <w:sz w:val="20"/>
                <w:szCs w:val="20"/>
              </w:rPr>
              <w:t>frame_only_flag</w:t>
            </w:r>
          </w:p>
        </w:tc>
        <w:tc>
          <w:tcPr>
            <w:tcW w:w="1331" w:type="dxa"/>
          </w:tcPr>
          <w:p w14:paraId="5F80378E" w14:textId="77777777" w:rsidR="00866B3F" w:rsidRPr="00A52AB8" w:rsidRDefault="00866B3F" w:rsidP="0045670D">
            <w:pPr>
              <w:spacing w:before="20" w:after="20"/>
              <w:jc w:val="center"/>
              <w:rPr>
                <w:color w:val="000000" w:themeColor="text1"/>
                <w:sz w:val="20"/>
                <w:szCs w:val="20"/>
              </w:rPr>
            </w:pPr>
            <w:r w:rsidRPr="00A52AB8">
              <w:rPr>
                <w:color w:val="000000" w:themeColor="text1"/>
                <w:sz w:val="20"/>
                <w:szCs w:val="20"/>
              </w:rPr>
              <w:t>u(1)</w:t>
            </w:r>
          </w:p>
        </w:tc>
      </w:tr>
      <w:tr w:rsidR="00554B63" w:rsidRPr="00A52AB8" w14:paraId="3263D2F2" w14:textId="77777777" w:rsidTr="00056233">
        <w:tc>
          <w:tcPr>
            <w:tcW w:w="8411" w:type="dxa"/>
          </w:tcPr>
          <w:p w14:paraId="34C0927F" w14:textId="77777777" w:rsidR="00866B3F" w:rsidRPr="00A52AB8" w:rsidRDefault="00866B3F" w:rsidP="0045670D">
            <w:pPr>
              <w:spacing w:before="20" w:after="20"/>
              <w:rPr>
                <w:b/>
                <w:color w:val="000000" w:themeColor="text1"/>
                <w:sz w:val="20"/>
                <w:szCs w:val="20"/>
              </w:rPr>
            </w:pPr>
            <w:r w:rsidRPr="00A52AB8">
              <w:rPr>
                <w:b/>
                <w:color w:val="000000" w:themeColor="text1"/>
                <w:sz w:val="20"/>
                <w:szCs w:val="20"/>
              </w:rPr>
              <w:tab/>
              <w:t>pt</w:t>
            </w:r>
            <w:r w:rsidR="00554B63" w:rsidRPr="00A52AB8">
              <w:rPr>
                <w:b/>
                <w:color w:val="000000" w:themeColor="text1"/>
                <w:sz w:val="20"/>
                <w:szCs w:val="20"/>
              </w:rPr>
              <w:t>c</w:t>
            </w:r>
            <w:r w:rsidRPr="00A52AB8">
              <w:rPr>
                <w:b/>
                <w:color w:val="000000" w:themeColor="text1"/>
                <w:sz w:val="20"/>
                <w:szCs w:val="20"/>
              </w:rPr>
              <w:t>_</w:t>
            </w:r>
            <w:r w:rsidR="00D375CC" w:rsidRPr="00A52AB8">
              <w:rPr>
                <w:b/>
                <w:sz w:val="20"/>
                <w:szCs w:val="20"/>
              </w:rPr>
              <w:t>eom_constraint</w:t>
            </w:r>
            <w:r w:rsidRPr="00A52AB8">
              <w:rPr>
                <w:b/>
                <w:sz w:val="20"/>
                <w:szCs w:val="20"/>
              </w:rPr>
              <w:t>_flag</w:t>
            </w:r>
          </w:p>
        </w:tc>
        <w:tc>
          <w:tcPr>
            <w:tcW w:w="1331" w:type="dxa"/>
          </w:tcPr>
          <w:p w14:paraId="5AC0D2CC" w14:textId="77777777" w:rsidR="00866B3F" w:rsidRPr="00A52AB8" w:rsidRDefault="00866B3F" w:rsidP="0045670D">
            <w:pPr>
              <w:spacing w:before="20" w:after="20"/>
              <w:jc w:val="center"/>
              <w:rPr>
                <w:color w:val="000000" w:themeColor="text1"/>
                <w:sz w:val="20"/>
                <w:szCs w:val="20"/>
              </w:rPr>
            </w:pPr>
            <w:r w:rsidRPr="00A52AB8">
              <w:rPr>
                <w:color w:val="000000" w:themeColor="text1"/>
                <w:sz w:val="20"/>
                <w:szCs w:val="20"/>
              </w:rPr>
              <w:t>u(1)</w:t>
            </w:r>
          </w:p>
        </w:tc>
      </w:tr>
      <w:tr w:rsidR="00554B63" w:rsidRPr="00A52AB8" w14:paraId="0FEBDFD2" w14:textId="77777777" w:rsidTr="00056233">
        <w:tc>
          <w:tcPr>
            <w:tcW w:w="8411" w:type="dxa"/>
          </w:tcPr>
          <w:p w14:paraId="3AA06AE7" w14:textId="77777777" w:rsidR="00866B3F" w:rsidRPr="00A52AB8" w:rsidRDefault="00866B3F" w:rsidP="0045670D">
            <w:pPr>
              <w:spacing w:before="20" w:after="20"/>
              <w:rPr>
                <w:color w:val="000000" w:themeColor="text1"/>
                <w:sz w:val="20"/>
                <w:szCs w:val="20"/>
                <w:lang w:eastAsia="ja-JP"/>
              </w:rPr>
            </w:pPr>
            <w:r w:rsidRPr="00A52AB8">
              <w:rPr>
                <w:b/>
                <w:color w:val="000000" w:themeColor="text1"/>
                <w:sz w:val="20"/>
                <w:szCs w:val="20"/>
              </w:rPr>
              <w:tab/>
              <w:t>pt</w:t>
            </w:r>
            <w:r w:rsidR="00554B63" w:rsidRPr="00A52AB8">
              <w:rPr>
                <w:b/>
                <w:color w:val="000000" w:themeColor="text1"/>
                <w:sz w:val="20"/>
                <w:szCs w:val="20"/>
              </w:rPr>
              <w:t>c</w:t>
            </w:r>
            <w:r w:rsidRPr="00A52AB8">
              <w:rPr>
                <w:b/>
                <w:color w:val="000000" w:themeColor="text1"/>
                <w:sz w:val="20"/>
                <w:szCs w:val="20"/>
              </w:rPr>
              <w:t>_max</w:t>
            </w:r>
            <w:r w:rsidRPr="00A52AB8">
              <w:rPr>
                <w:b/>
                <w:sz w:val="20"/>
                <w:szCs w:val="20"/>
              </w:rPr>
              <w:t>_map_count_minus1</w:t>
            </w:r>
          </w:p>
        </w:tc>
        <w:tc>
          <w:tcPr>
            <w:tcW w:w="1331" w:type="dxa"/>
          </w:tcPr>
          <w:p w14:paraId="3731E35B" w14:textId="77777777" w:rsidR="00866B3F" w:rsidRPr="00A52AB8" w:rsidRDefault="00866B3F" w:rsidP="0045670D">
            <w:pPr>
              <w:spacing w:before="20" w:after="20"/>
              <w:jc w:val="center"/>
              <w:rPr>
                <w:color w:val="000000" w:themeColor="text1"/>
                <w:sz w:val="20"/>
                <w:szCs w:val="20"/>
              </w:rPr>
            </w:pPr>
            <w:r w:rsidRPr="00A52AB8">
              <w:rPr>
                <w:color w:val="000000" w:themeColor="text1"/>
                <w:sz w:val="20"/>
                <w:szCs w:val="20"/>
              </w:rPr>
              <w:t>u(4)</w:t>
            </w:r>
          </w:p>
        </w:tc>
      </w:tr>
      <w:tr w:rsidR="00554B63" w:rsidRPr="00A52AB8" w14:paraId="5702B8C0" w14:textId="77777777" w:rsidTr="00056233">
        <w:tc>
          <w:tcPr>
            <w:tcW w:w="8411" w:type="dxa"/>
          </w:tcPr>
          <w:p w14:paraId="66F632E2" w14:textId="77777777" w:rsidR="00866B3F" w:rsidRPr="00A52AB8" w:rsidRDefault="00866B3F" w:rsidP="0045670D">
            <w:pPr>
              <w:spacing w:before="20" w:after="20"/>
              <w:rPr>
                <w:color w:val="000000" w:themeColor="text1"/>
                <w:sz w:val="20"/>
                <w:szCs w:val="20"/>
                <w:lang w:eastAsia="ja-JP"/>
              </w:rPr>
            </w:pPr>
            <w:r w:rsidRPr="00A52AB8">
              <w:rPr>
                <w:b/>
                <w:color w:val="000000" w:themeColor="text1"/>
                <w:sz w:val="20"/>
                <w:szCs w:val="20"/>
              </w:rPr>
              <w:tab/>
              <w:t>pt</w:t>
            </w:r>
            <w:r w:rsidR="00554B63" w:rsidRPr="00A52AB8">
              <w:rPr>
                <w:b/>
                <w:color w:val="000000" w:themeColor="text1"/>
                <w:sz w:val="20"/>
                <w:szCs w:val="20"/>
              </w:rPr>
              <w:t>c</w:t>
            </w:r>
            <w:r w:rsidRPr="00A52AB8">
              <w:rPr>
                <w:b/>
                <w:color w:val="000000" w:themeColor="text1"/>
                <w:sz w:val="20"/>
                <w:szCs w:val="20"/>
              </w:rPr>
              <w:t>_max</w:t>
            </w:r>
            <w:r w:rsidRPr="00A52AB8">
              <w:rPr>
                <w:b/>
                <w:sz w:val="20"/>
                <w:szCs w:val="20"/>
              </w:rPr>
              <w:t>_atlas_count_minus1</w:t>
            </w:r>
          </w:p>
        </w:tc>
        <w:tc>
          <w:tcPr>
            <w:tcW w:w="1331" w:type="dxa"/>
          </w:tcPr>
          <w:p w14:paraId="0E0AFFC4" w14:textId="77777777" w:rsidR="00866B3F" w:rsidRPr="00A52AB8" w:rsidRDefault="00866B3F" w:rsidP="0045670D">
            <w:pPr>
              <w:spacing w:before="20" w:after="20"/>
              <w:jc w:val="center"/>
              <w:rPr>
                <w:color w:val="000000" w:themeColor="text1"/>
                <w:sz w:val="20"/>
                <w:szCs w:val="20"/>
              </w:rPr>
            </w:pPr>
            <w:r w:rsidRPr="00A52AB8">
              <w:rPr>
                <w:color w:val="000000" w:themeColor="text1"/>
                <w:sz w:val="20"/>
                <w:szCs w:val="20"/>
              </w:rPr>
              <w:t>u(4)</w:t>
            </w:r>
          </w:p>
        </w:tc>
      </w:tr>
      <w:tr w:rsidR="00554B63" w:rsidRPr="00A52AB8" w14:paraId="14CD9051" w14:textId="77777777" w:rsidTr="00056233">
        <w:tc>
          <w:tcPr>
            <w:tcW w:w="8411" w:type="dxa"/>
          </w:tcPr>
          <w:p w14:paraId="1E768095" w14:textId="77777777" w:rsidR="00866B3F" w:rsidRPr="00A52AB8" w:rsidRDefault="00866B3F" w:rsidP="0045670D">
            <w:pPr>
              <w:spacing w:before="20" w:after="20"/>
              <w:rPr>
                <w:color w:val="000000" w:themeColor="text1"/>
                <w:sz w:val="20"/>
                <w:szCs w:val="20"/>
                <w:lang w:eastAsia="ja-JP"/>
              </w:rPr>
            </w:pPr>
            <w:r w:rsidRPr="00A52AB8">
              <w:rPr>
                <w:b/>
                <w:color w:val="000000" w:themeColor="text1"/>
                <w:sz w:val="20"/>
                <w:szCs w:val="20"/>
              </w:rPr>
              <w:tab/>
              <w:t>pt</w:t>
            </w:r>
            <w:r w:rsidR="00554B63" w:rsidRPr="00A52AB8">
              <w:rPr>
                <w:b/>
                <w:color w:val="000000" w:themeColor="text1"/>
                <w:sz w:val="20"/>
                <w:szCs w:val="20"/>
              </w:rPr>
              <w:t>c</w:t>
            </w:r>
            <w:r w:rsidRPr="00A52AB8">
              <w:rPr>
                <w:b/>
                <w:color w:val="000000" w:themeColor="text1"/>
                <w:sz w:val="20"/>
                <w:szCs w:val="20"/>
              </w:rPr>
              <w:t>_</w:t>
            </w:r>
            <w:r w:rsidRPr="00A52AB8">
              <w:rPr>
                <w:b/>
                <w:sz w:val="20"/>
                <w:szCs w:val="20"/>
              </w:rPr>
              <w:t xml:space="preserve">multiple_map_streams_constraint_flag </w:t>
            </w:r>
          </w:p>
        </w:tc>
        <w:tc>
          <w:tcPr>
            <w:tcW w:w="1331" w:type="dxa"/>
          </w:tcPr>
          <w:p w14:paraId="432F9E02" w14:textId="77777777" w:rsidR="00866B3F" w:rsidRPr="00A52AB8" w:rsidRDefault="00866B3F" w:rsidP="0045670D">
            <w:pPr>
              <w:spacing w:before="20" w:after="20"/>
              <w:jc w:val="center"/>
              <w:rPr>
                <w:color w:val="000000" w:themeColor="text1"/>
                <w:sz w:val="20"/>
                <w:szCs w:val="20"/>
              </w:rPr>
            </w:pPr>
            <w:r w:rsidRPr="00A52AB8">
              <w:rPr>
                <w:color w:val="000000" w:themeColor="text1"/>
                <w:sz w:val="20"/>
                <w:szCs w:val="20"/>
              </w:rPr>
              <w:t>u(1)</w:t>
            </w:r>
          </w:p>
        </w:tc>
      </w:tr>
      <w:tr w:rsidR="00554B63" w:rsidRPr="00A52AB8" w14:paraId="206CEC93" w14:textId="77777777" w:rsidTr="00056233">
        <w:tc>
          <w:tcPr>
            <w:tcW w:w="8411" w:type="dxa"/>
          </w:tcPr>
          <w:p w14:paraId="2D2621E2" w14:textId="77777777" w:rsidR="00866B3F" w:rsidRPr="00A52AB8" w:rsidRDefault="00866B3F" w:rsidP="0045670D">
            <w:pPr>
              <w:spacing w:before="20" w:after="20"/>
              <w:rPr>
                <w:b/>
                <w:color w:val="000000" w:themeColor="text1"/>
                <w:sz w:val="20"/>
                <w:szCs w:val="20"/>
              </w:rPr>
            </w:pPr>
            <w:r w:rsidRPr="00A52AB8">
              <w:rPr>
                <w:b/>
                <w:sz w:val="20"/>
                <w:szCs w:val="20"/>
              </w:rPr>
              <w:tab/>
              <w:t>pt</w:t>
            </w:r>
            <w:r w:rsidR="00554B63" w:rsidRPr="00A52AB8">
              <w:rPr>
                <w:b/>
                <w:sz w:val="20"/>
                <w:szCs w:val="20"/>
              </w:rPr>
              <w:t>c</w:t>
            </w:r>
            <w:r w:rsidRPr="00A52AB8">
              <w:rPr>
                <w:b/>
                <w:sz w:val="20"/>
                <w:szCs w:val="20"/>
              </w:rPr>
              <w:t>_</w:t>
            </w:r>
            <w:r w:rsidR="00D375CC" w:rsidRPr="00A52AB8">
              <w:rPr>
                <w:b/>
                <w:sz w:val="20"/>
                <w:szCs w:val="20"/>
              </w:rPr>
              <w:t>plr</w:t>
            </w:r>
            <w:r w:rsidRPr="00A52AB8">
              <w:rPr>
                <w:b/>
                <w:sz w:val="20"/>
                <w:szCs w:val="20"/>
              </w:rPr>
              <w:t>_constraint_flag</w:t>
            </w:r>
          </w:p>
        </w:tc>
        <w:tc>
          <w:tcPr>
            <w:tcW w:w="1331" w:type="dxa"/>
          </w:tcPr>
          <w:p w14:paraId="2AEEA642" w14:textId="77777777" w:rsidR="00866B3F" w:rsidRPr="00A52AB8" w:rsidRDefault="00866B3F" w:rsidP="0045670D">
            <w:pPr>
              <w:spacing w:before="20" w:after="20"/>
              <w:jc w:val="center"/>
              <w:rPr>
                <w:color w:val="000000" w:themeColor="text1"/>
                <w:sz w:val="20"/>
                <w:szCs w:val="20"/>
              </w:rPr>
            </w:pPr>
            <w:r w:rsidRPr="00A52AB8">
              <w:rPr>
                <w:color w:val="000000" w:themeColor="text1"/>
                <w:sz w:val="20"/>
                <w:szCs w:val="20"/>
              </w:rPr>
              <w:t>u(1)</w:t>
            </w:r>
          </w:p>
        </w:tc>
      </w:tr>
      <w:tr w:rsidR="00554B63" w:rsidRPr="00A52AB8" w14:paraId="537E1A21" w14:textId="77777777" w:rsidTr="00056233">
        <w:tc>
          <w:tcPr>
            <w:tcW w:w="8411" w:type="dxa"/>
          </w:tcPr>
          <w:p w14:paraId="0DBC7888" w14:textId="77777777" w:rsidR="00866B3F" w:rsidRPr="00A52AB8" w:rsidRDefault="00866B3F" w:rsidP="0045670D">
            <w:pPr>
              <w:spacing w:before="20" w:after="20"/>
              <w:rPr>
                <w:b/>
                <w:color w:val="000000" w:themeColor="text1"/>
                <w:sz w:val="20"/>
                <w:szCs w:val="20"/>
                <w:lang w:eastAsia="ja-JP"/>
              </w:rPr>
            </w:pPr>
            <w:r w:rsidRPr="00A52AB8">
              <w:rPr>
                <w:b/>
                <w:sz w:val="20"/>
                <w:szCs w:val="20"/>
              </w:rPr>
              <w:tab/>
              <w:t>pt</w:t>
            </w:r>
            <w:r w:rsidR="00554B63" w:rsidRPr="00A52AB8">
              <w:rPr>
                <w:b/>
                <w:sz w:val="20"/>
                <w:szCs w:val="20"/>
              </w:rPr>
              <w:t>c</w:t>
            </w:r>
            <w:r w:rsidRPr="00A52AB8">
              <w:rPr>
                <w:b/>
                <w:sz w:val="20"/>
                <w:szCs w:val="20"/>
              </w:rPr>
              <w:t>_attribute_max_dimension_minus1</w:t>
            </w:r>
          </w:p>
        </w:tc>
        <w:tc>
          <w:tcPr>
            <w:tcW w:w="1331" w:type="dxa"/>
          </w:tcPr>
          <w:p w14:paraId="1268A491" w14:textId="77777777" w:rsidR="00866B3F" w:rsidRPr="00A52AB8" w:rsidRDefault="00866B3F" w:rsidP="0045670D">
            <w:pPr>
              <w:spacing w:before="20" w:after="20"/>
              <w:jc w:val="center"/>
              <w:rPr>
                <w:color w:val="000000" w:themeColor="text1"/>
                <w:sz w:val="20"/>
                <w:szCs w:val="20"/>
              </w:rPr>
            </w:pPr>
            <w:r w:rsidRPr="00A52AB8">
              <w:rPr>
                <w:color w:val="000000" w:themeColor="text1"/>
                <w:sz w:val="20"/>
                <w:szCs w:val="20"/>
              </w:rPr>
              <w:t>u(6)</w:t>
            </w:r>
          </w:p>
        </w:tc>
      </w:tr>
      <w:tr w:rsidR="00554B63" w:rsidRPr="00A52AB8" w14:paraId="22DAFF40" w14:textId="77777777" w:rsidTr="00056233">
        <w:tc>
          <w:tcPr>
            <w:tcW w:w="8411" w:type="dxa"/>
          </w:tcPr>
          <w:p w14:paraId="27BD3A75" w14:textId="77777777" w:rsidR="00866B3F" w:rsidRPr="00A52AB8" w:rsidRDefault="00866B3F" w:rsidP="0045670D">
            <w:pPr>
              <w:spacing w:before="20" w:after="20"/>
              <w:rPr>
                <w:b/>
                <w:color w:val="000000" w:themeColor="text1"/>
                <w:sz w:val="20"/>
                <w:szCs w:val="20"/>
              </w:rPr>
            </w:pPr>
            <w:r w:rsidRPr="00A52AB8">
              <w:rPr>
                <w:b/>
                <w:sz w:val="20"/>
                <w:szCs w:val="20"/>
              </w:rPr>
              <w:tab/>
              <w:t>pt</w:t>
            </w:r>
            <w:r w:rsidR="00554B63" w:rsidRPr="00A52AB8">
              <w:rPr>
                <w:b/>
                <w:sz w:val="20"/>
                <w:szCs w:val="20"/>
              </w:rPr>
              <w:t>c</w:t>
            </w:r>
            <w:r w:rsidRPr="00A52AB8">
              <w:rPr>
                <w:b/>
                <w:sz w:val="20"/>
                <w:szCs w:val="20"/>
              </w:rPr>
              <w:t>_attribute_max_dimension_partitions_minus1</w:t>
            </w:r>
          </w:p>
        </w:tc>
        <w:tc>
          <w:tcPr>
            <w:tcW w:w="1331" w:type="dxa"/>
          </w:tcPr>
          <w:p w14:paraId="21786582" w14:textId="77777777" w:rsidR="00866B3F" w:rsidRPr="00A52AB8" w:rsidRDefault="00866B3F" w:rsidP="0045670D">
            <w:pPr>
              <w:spacing w:before="20" w:after="20"/>
              <w:jc w:val="center"/>
              <w:rPr>
                <w:color w:val="000000" w:themeColor="text1"/>
                <w:sz w:val="20"/>
                <w:szCs w:val="20"/>
              </w:rPr>
            </w:pPr>
            <w:r w:rsidRPr="00A52AB8">
              <w:rPr>
                <w:color w:val="000000" w:themeColor="text1"/>
                <w:sz w:val="20"/>
                <w:szCs w:val="20"/>
              </w:rPr>
              <w:t>u(6)</w:t>
            </w:r>
          </w:p>
        </w:tc>
      </w:tr>
      <w:tr w:rsidR="00554B63" w:rsidRPr="00A52AB8" w14:paraId="41141F7B" w14:textId="77777777" w:rsidTr="00056233">
        <w:tc>
          <w:tcPr>
            <w:tcW w:w="8411" w:type="dxa"/>
          </w:tcPr>
          <w:p w14:paraId="467EF79E" w14:textId="77777777" w:rsidR="00866B3F" w:rsidRPr="00A52AB8" w:rsidRDefault="00866B3F" w:rsidP="0045670D">
            <w:pPr>
              <w:spacing w:before="20" w:after="20"/>
              <w:rPr>
                <w:b/>
                <w:color w:val="000000" w:themeColor="text1"/>
                <w:sz w:val="20"/>
                <w:szCs w:val="20"/>
              </w:rPr>
            </w:pPr>
            <w:r w:rsidRPr="00A52AB8">
              <w:rPr>
                <w:b/>
                <w:sz w:val="20"/>
                <w:szCs w:val="20"/>
              </w:rPr>
              <w:tab/>
              <w:t>pt</w:t>
            </w:r>
            <w:r w:rsidR="00554B63" w:rsidRPr="00A52AB8">
              <w:rPr>
                <w:b/>
                <w:sz w:val="20"/>
                <w:szCs w:val="20"/>
              </w:rPr>
              <w:t>c</w:t>
            </w:r>
            <w:r w:rsidRPr="00A52AB8">
              <w:rPr>
                <w:b/>
                <w:sz w:val="20"/>
                <w:szCs w:val="20"/>
              </w:rPr>
              <w:t>_no_eight_orientations_constraint_flag</w:t>
            </w:r>
          </w:p>
        </w:tc>
        <w:tc>
          <w:tcPr>
            <w:tcW w:w="1331" w:type="dxa"/>
          </w:tcPr>
          <w:p w14:paraId="0FEE392D" w14:textId="77777777" w:rsidR="00866B3F" w:rsidRPr="00A52AB8" w:rsidRDefault="00866B3F" w:rsidP="0045670D">
            <w:pPr>
              <w:spacing w:before="20" w:after="20"/>
              <w:jc w:val="center"/>
              <w:rPr>
                <w:color w:val="000000" w:themeColor="text1"/>
                <w:sz w:val="20"/>
                <w:szCs w:val="20"/>
              </w:rPr>
            </w:pPr>
            <w:r w:rsidRPr="00A52AB8">
              <w:rPr>
                <w:color w:val="000000" w:themeColor="text1"/>
                <w:sz w:val="20"/>
                <w:szCs w:val="20"/>
              </w:rPr>
              <w:t>u(1)</w:t>
            </w:r>
          </w:p>
        </w:tc>
      </w:tr>
      <w:tr w:rsidR="00554B63" w:rsidRPr="00A52AB8" w14:paraId="7A9921D9" w14:textId="77777777" w:rsidTr="00056233">
        <w:tc>
          <w:tcPr>
            <w:tcW w:w="8411" w:type="dxa"/>
          </w:tcPr>
          <w:p w14:paraId="3C088B00" w14:textId="77777777" w:rsidR="00866B3F" w:rsidRPr="00A52AB8" w:rsidRDefault="00866B3F" w:rsidP="0045670D">
            <w:pPr>
              <w:spacing w:before="20" w:after="20"/>
              <w:rPr>
                <w:b/>
                <w:sz w:val="20"/>
                <w:szCs w:val="20"/>
              </w:rPr>
            </w:pPr>
            <w:r w:rsidRPr="00A52AB8">
              <w:rPr>
                <w:b/>
                <w:sz w:val="20"/>
                <w:szCs w:val="20"/>
              </w:rPr>
              <w:lastRenderedPageBreak/>
              <w:tab/>
              <w:t>pt</w:t>
            </w:r>
            <w:r w:rsidR="00554B63" w:rsidRPr="00A52AB8">
              <w:rPr>
                <w:b/>
                <w:sz w:val="20"/>
                <w:szCs w:val="20"/>
              </w:rPr>
              <w:t>c</w:t>
            </w:r>
            <w:r w:rsidRPr="00A52AB8">
              <w:rPr>
                <w:b/>
                <w:sz w:val="20"/>
                <w:szCs w:val="20"/>
              </w:rPr>
              <w:t>_no_45degree_projection_patch_constraint_flag</w:t>
            </w:r>
          </w:p>
        </w:tc>
        <w:tc>
          <w:tcPr>
            <w:tcW w:w="1331" w:type="dxa"/>
          </w:tcPr>
          <w:p w14:paraId="2EC94642" w14:textId="77777777" w:rsidR="00866B3F" w:rsidRPr="00A52AB8" w:rsidRDefault="00866B3F" w:rsidP="0045670D">
            <w:pPr>
              <w:spacing w:before="20" w:after="20"/>
              <w:jc w:val="center"/>
              <w:rPr>
                <w:color w:val="000000" w:themeColor="text1"/>
                <w:sz w:val="20"/>
                <w:szCs w:val="20"/>
              </w:rPr>
            </w:pPr>
            <w:r w:rsidRPr="00A52AB8">
              <w:rPr>
                <w:color w:val="000000" w:themeColor="text1"/>
                <w:sz w:val="20"/>
                <w:szCs w:val="20"/>
              </w:rPr>
              <w:t>u(1)</w:t>
            </w:r>
          </w:p>
        </w:tc>
      </w:tr>
      <w:tr w:rsidR="00554B63" w:rsidRPr="00A52AB8" w14:paraId="18069396" w14:textId="77777777" w:rsidTr="00056233">
        <w:tc>
          <w:tcPr>
            <w:tcW w:w="8411" w:type="dxa"/>
          </w:tcPr>
          <w:p w14:paraId="5FB473CC" w14:textId="77777777" w:rsidR="00866B3F" w:rsidRPr="00A52AB8" w:rsidRDefault="00866B3F" w:rsidP="0045670D">
            <w:pPr>
              <w:spacing w:before="20" w:after="20"/>
              <w:rPr>
                <w:b/>
                <w:sz w:val="20"/>
                <w:szCs w:val="20"/>
              </w:rPr>
            </w:pPr>
            <w:r w:rsidRPr="00A52AB8">
              <w:rPr>
                <w:b/>
                <w:sz w:val="20"/>
                <w:szCs w:val="20"/>
              </w:rPr>
              <w:tab/>
              <w:t>pt</w:t>
            </w:r>
            <w:r w:rsidR="00554B63" w:rsidRPr="00A52AB8">
              <w:rPr>
                <w:b/>
                <w:sz w:val="20"/>
                <w:szCs w:val="20"/>
              </w:rPr>
              <w:t>c</w:t>
            </w:r>
            <w:r w:rsidRPr="00A52AB8">
              <w:rPr>
                <w:b/>
                <w:sz w:val="20"/>
                <w:szCs w:val="20"/>
              </w:rPr>
              <w:t>_reserved_zero_6bits</w:t>
            </w:r>
          </w:p>
        </w:tc>
        <w:tc>
          <w:tcPr>
            <w:tcW w:w="1331" w:type="dxa"/>
          </w:tcPr>
          <w:p w14:paraId="28CB3D97" w14:textId="77777777" w:rsidR="00866B3F" w:rsidRPr="00A52AB8" w:rsidRDefault="00866B3F" w:rsidP="0045670D">
            <w:pPr>
              <w:spacing w:before="20" w:after="20"/>
              <w:jc w:val="center"/>
              <w:rPr>
                <w:color w:val="000000" w:themeColor="text1"/>
                <w:sz w:val="20"/>
                <w:szCs w:val="20"/>
              </w:rPr>
            </w:pPr>
            <w:r w:rsidRPr="00A52AB8">
              <w:rPr>
                <w:color w:val="000000" w:themeColor="text1"/>
                <w:sz w:val="20"/>
                <w:szCs w:val="20"/>
              </w:rPr>
              <w:t>u(6)</w:t>
            </w:r>
          </w:p>
        </w:tc>
      </w:tr>
      <w:tr w:rsidR="00866B3F" w:rsidRPr="00A52AB8" w14:paraId="7CD0227B" w14:textId="77777777" w:rsidTr="00056233">
        <w:tc>
          <w:tcPr>
            <w:tcW w:w="8411" w:type="dxa"/>
          </w:tcPr>
          <w:p w14:paraId="4F58B124" w14:textId="77777777" w:rsidR="00866B3F" w:rsidRPr="00A52AB8" w:rsidRDefault="00866B3F" w:rsidP="0045670D">
            <w:pPr>
              <w:spacing w:before="20" w:after="20"/>
              <w:rPr>
                <w:b/>
                <w:color w:val="000000" w:themeColor="text1"/>
                <w:sz w:val="20"/>
                <w:szCs w:val="20"/>
              </w:rPr>
            </w:pPr>
            <w:r w:rsidRPr="00A52AB8">
              <w:rPr>
                <w:sz w:val="20"/>
                <w:szCs w:val="20"/>
              </w:rPr>
              <w:tab/>
            </w:r>
            <w:r w:rsidRPr="00A52AB8">
              <w:rPr>
                <w:b/>
                <w:bCs/>
                <w:sz w:val="20"/>
                <w:szCs w:val="20"/>
              </w:rPr>
              <w:t>pt</w:t>
            </w:r>
            <w:r w:rsidR="00554B63" w:rsidRPr="00A52AB8">
              <w:rPr>
                <w:b/>
                <w:bCs/>
                <w:sz w:val="20"/>
                <w:szCs w:val="20"/>
              </w:rPr>
              <w:t>c</w:t>
            </w:r>
            <w:r w:rsidRPr="00A52AB8">
              <w:rPr>
                <w:b/>
                <w:bCs/>
                <w:sz w:val="20"/>
                <w:szCs w:val="20"/>
              </w:rPr>
              <w:t>_num_reserved_constraint_bytes</w:t>
            </w:r>
          </w:p>
        </w:tc>
        <w:tc>
          <w:tcPr>
            <w:tcW w:w="1331" w:type="dxa"/>
          </w:tcPr>
          <w:p w14:paraId="18908F24" w14:textId="77777777" w:rsidR="00866B3F" w:rsidRPr="00A52AB8" w:rsidRDefault="00866B3F" w:rsidP="0045670D">
            <w:pPr>
              <w:spacing w:before="20" w:after="20"/>
              <w:jc w:val="center"/>
              <w:rPr>
                <w:color w:val="000000" w:themeColor="text1"/>
                <w:sz w:val="20"/>
                <w:szCs w:val="20"/>
              </w:rPr>
            </w:pPr>
            <w:r w:rsidRPr="00A52AB8">
              <w:rPr>
                <w:sz w:val="20"/>
                <w:szCs w:val="20"/>
              </w:rPr>
              <w:t>u(8)</w:t>
            </w:r>
          </w:p>
        </w:tc>
      </w:tr>
      <w:tr w:rsidR="00866B3F" w:rsidRPr="00A52AB8" w14:paraId="6E86436B" w14:textId="77777777" w:rsidTr="00056233">
        <w:tc>
          <w:tcPr>
            <w:tcW w:w="8411" w:type="dxa"/>
          </w:tcPr>
          <w:p w14:paraId="57C7B0AF" w14:textId="4AE6E438" w:rsidR="00866B3F" w:rsidRPr="00A52AB8" w:rsidRDefault="00866B3F" w:rsidP="004933EB">
            <w:pPr>
              <w:spacing w:before="20" w:after="20"/>
              <w:rPr>
                <w:color w:val="000000" w:themeColor="text1"/>
                <w:sz w:val="20"/>
                <w:szCs w:val="20"/>
              </w:rPr>
            </w:pPr>
            <w:r w:rsidRPr="00A52AB8">
              <w:rPr>
                <w:sz w:val="20"/>
                <w:szCs w:val="20"/>
              </w:rPr>
              <w:tab/>
              <w:t>for</w:t>
            </w:r>
            <w:r w:rsidR="004933EB" w:rsidRPr="00A52AB8">
              <w:rPr>
                <w:sz w:val="20"/>
                <w:szCs w:val="20"/>
              </w:rPr>
              <w:t>( i</w:t>
            </w:r>
            <w:r w:rsidR="00D47707" w:rsidRPr="00A52AB8">
              <w:rPr>
                <w:sz w:val="20"/>
                <w:szCs w:val="20"/>
              </w:rPr>
              <w:t> = </w:t>
            </w:r>
            <w:r w:rsidRPr="00A52AB8">
              <w:rPr>
                <w:sz w:val="20"/>
                <w:szCs w:val="20"/>
              </w:rPr>
              <w:t>0</w:t>
            </w:r>
            <w:r w:rsidR="004933EB" w:rsidRPr="00A52AB8">
              <w:rPr>
                <w:sz w:val="20"/>
                <w:szCs w:val="20"/>
              </w:rPr>
              <w:t>; </w:t>
            </w:r>
            <w:r w:rsidR="00254E95" w:rsidRPr="00A52AB8">
              <w:rPr>
                <w:sz w:val="20"/>
                <w:szCs w:val="20"/>
              </w:rPr>
              <w:t>i </w:t>
            </w:r>
            <w:r w:rsidRPr="00A52AB8">
              <w:rPr>
                <w:sz w:val="20"/>
                <w:szCs w:val="20"/>
              </w:rPr>
              <w:t>&lt;</w:t>
            </w:r>
            <w:r w:rsidR="00254E95" w:rsidRPr="00A52AB8">
              <w:rPr>
                <w:sz w:val="20"/>
                <w:szCs w:val="20"/>
              </w:rPr>
              <w:t> </w:t>
            </w:r>
            <w:r w:rsidRPr="00A52AB8">
              <w:rPr>
                <w:sz w:val="20"/>
                <w:szCs w:val="20"/>
              </w:rPr>
              <w:t>pt</w:t>
            </w:r>
            <w:r w:rsidR="00554B63" w:rsidRPr="00A52AB8">
              <w:rPr>
                <w:sz w:val="20"/>
                <w:szCs w:val="20"/>
              </w:rPr>
              <w:t>c</w:t>
            </w:r>
            <w:r w:rsidRPr="00A52AB8">
              <w:rPr>
                <w:sz w:val="20"/>
                <w:szCs w:val="20"/>
              </w:rPr>
              <w:t>_num_reserved_constraint_bytes;</w:t>
            </w:r>
            <w:r w:rsidR="00254E95" w:rsidRPr="00A52AB8">
              <w:rPr>
                <w:sz w:val="20"/>
                <w:szCs w:val="20"/>
              </w:rPr>
              <w:t> </w:t>
            </w:r>
            <w:r w:rsidRPr="00A52AB8">
              <w:rPr>
                <w:sz w:val="20"/>
                <w:szCs w:val="20"/>
              </w:rPr>
              <w:t>i</w:t>
            </w:r>
            <w:r w:rsidR="00006CCF" w:rsidRPr="00A52AB8">
              <w:rPr>
                <w:sz w:val="20"/>
                <w:szCs w:val="20"/>
              </w:rPr>
              <w:t>++ )</w:t>
            </w:r>
          </w:p>
        </w:tc>
        <w:tc>
          <w:tcPr>
            <w:tcW w:w="1331" w:type="dxa"/>
          </w:tcPr>
          <w:p w14:paraId="22D207E9" w14:textId="77777777" w:rsidR="00866B3F" w:rsidRPr="00A52AB8" w:rsidRDefault="00866B3F" w:rsidP="0045670D">
            <w:pPr>
              <w:spacing w:before="20" w:after="20"/>
              <w:jc w:val="center"/>
              <w:rPr>
                <w:color w:val="000000" w:themeColor="text1"/>
                <w:sz w:val="20"/>
                <w:szCs w:val="20"/>
              </w:rPr>
            </w:pPr>
          </w:p>
        </w:tc>
      </w:tr>
      <w:tr w:rsidR="00866B3F" w:rsidRPr="00A52AB8" w14:paraId="2D1E1840" w14:textId="77777777" w:rsidTr="00056233">
        <w:tc>
          <w:tcPr>
            <w:tcW w:w="8411" w:type="dxa"/>
          </w:tcPr>
          <w:p w14:paraId="2FD54E8B" w14:textId="77777777" w:rsidR="00866B3F" w:rsidRPr="00A52AB8" w:rsidRDefault="00866B3F" w:rsidP="0045670D">
            <w:pPr>
              <w:spacing w:before="20" w:after="20"/>
              <w:rPr>
                <w:color w:val="000000" w:themeColor="text1"/>
                <w:sz w:val="20"/>
                <w:szCs w:val="20"/>
              </w:rPr>
            </w:pPr>
            <w:r w:rsidRPr="00A52AB8">
              <w:rPr>
                <w:sz w:val="20"/>
                <w:szCs w:val="20"/>
              </w:rPr>
              <w:tab/>
            </w:r>
            <w:r w:rsidRPr="00A52AB8">
              <w:rPr>
                <w:sz w:val="20"/>
                <w:szCs w:val="20"/>
              </w:rPr>
              <w:tab/>
            </w:r>
            <w:r w:rsidRPr="00A52AB8">
              <w:rPr>
                <w:b/>
                <w:bCs/>
                <w:sz w:val="20"/>
                <w:szCs w:val="20"/>
              </w:rPr>
              <w:t>pt</w:t>
            </w:r>
            <w:r w:rsidR="00554B63" w:rsidRPr="00A52AB8">
              <w:rPr>
                <w:b/>
                <w:bCs/>
                <w:sz w:val="20"/>
                <w:szCs w:val="20"/>
              </w:rPr>
              <w:t>c</w:t>
            </w:r>
            <w:r w:rsidRPr="00A52AB8">
              <w:rPr>
                <w:b/>
                <w:bCs/>
                <w:sz w:val="20"/>
                <w:szCs w:val="20"/>
              </w:rPr>
              <w:t>_reserved_constraint_byte</w:t>
            </w:r>
            <w:r w:rsidRPr="00A52AB8">
              <w:rPr>
                <w:sz w:val="20"/>
                <w:szCs w:val="20"/>
              </w:rPr>
              <w:t>[ i ]</w:t>
            </w:r>
          </w:p>
        </w:tc>
        <w:tc>
          <w:tcPr>
            <w:tcW w:w="1331" w:type="dxa"/>
          </w:tcPr>
          <w:p w14:paraId="2532E8EA" w14:textId="77777777" w:rsidR="00866B3F" w:rsidRPr="00A52AB8" w:rsidRDefault="00866B3F" w:rsidP="0045670D">
            <w:pPr>
              <w:spacing w:before="20" w:after="20"/>
              <w:jc w:val="center"/>
              <w:rPr>
                <w:color w:val="000000" w:themeColor="text1"/>
                <w:sz w:val="20"/>
                <w:szCs w:val="20"/>
              </w:rPr>
            </w:pPr>
            <w:r w:rsidRPr="00A52AB8">
              <w:rPr>
                <w:sz w:val="20"/>
                <w:szCs w:val="20"/>
              </w:rPr>
              <w:t>u(8)</w:t>
            </w:r>
          </w:p>
        </w:tc>
      </w:tr>
      <w:tr w:rsidR="00866B3F" w:rsidRPr="00A52AB8" w14:paraId="51858A01" w14:textId="77777777" w:rsidTr="00056233">
        <w:tc>
          <w:tcPr>
            <w:tcW w:w="8411" w:type="dxa"/>
          </w:tcPr>
          <w:p w14:paraId="76950E69" w14:textId="77777777" w:rsidR="00866B3F" w:rsidRPr="00A52AB8" w:rsidRDefault="00866B3F" w:rsidP="0045670D">
            <w:pPr>
              <w:spacing w:before="20" w:after="20"/>
              <w:rPr>
                <w:color w:val="000000" w:themeColor="text1"/>
                <w:sz w:val="20"/>
                <w:szCs w:val="20"/>
              </w:rPr>
            </w:pPr>
            <w:r w:rsidRPr="00A52AB8">
              <w:rPr>
                <w:color w:val="000000" w:themeColor="text1"/>
                <w:sz w:val="20"/>
                <w:szCs w:val="20"/>
              </w:rPr>
              <w:t>}</w:t>
            </w:r>
          </w:p>
        </w:tc>
        <w:tc>
          <w:tcPr>
            <w:tcW w:w="1331" w:type="dxa"/>
          </w:tcPr>
          <w:p w14:paraId="4F56D711" w14:textId="77777777" w:rsidR="00866B3F" w:rsidRPr="00A52AB8" w:rsidRDefault="00866B3F" w:rsidP="0045670D">
            <w:pPr>
              <w:spacing w:before="20" w:after="20"/>
              <w:jc w:val="center"/>
              <w:rPr>
                <w:color w:val="000000" w:themeColor="text1"/>
                <w:sz w:val="20"/>
                <w:szCs w:val="20"/>
              </w:rPr>
            </w:pPr>
          </w:p>
        </w:tc>
      </w:tr>
    </w:tbl>
    <w:p w14:paraId="3E1C03D0" w14:textId="141CEA48" w:rsidR="00056233" w:rsidRDefault="00056233" w:rsidP="00056233">
      <w:pPr>
        <w:pStyle w:val="Heading4"/>
        <w:tabs>
          <w:tab w:val="num" w:pos="1080"/>
        </w:tabs>
        <w:rPr>
          <w:lang w:val="en-US"/>
        </w:rPr>
      </w:pPr>
      <w:bookmarkStart w:id="702" w:name="_Ref48745460"/>
      <w:bookmarkStart w:id="703" w:name="_Ref51540694"/>
      <w:r>
        <w:t>Packing information</w:t>
      </w:r>
      <w:r w:rsidRPr="009A012B">
        <w:t xml:space="preserve"> syntax</w:t>
      </w:r>
      <w:bookmarkEnd w:id="702"/>
    </w:p>
    <w:tbl>
      <w:tblPr>
        <w:tblW w:w="974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11"/>
        <w:gridCol w:w="1330"/>
      </w:tblGrid>
      <w:tr w:rsidR="00056233" w:rsidRPr="004E073C" w14:paraId="7BE1376F" w14:textId="77777777" w:rsidTr="00CA49A1">
        <w:tc>
          <w:tcPr>
            <w:tcW w:w="7921" w:type="dxa"/>
            <w:tcBorders>
              <w:top w:val="single" w:sz="4" w:space="0" w:color="auto"/>
              <w:left w:val="single" w:sz="4" w:space="0" w:color="auto"/>
              <w:bottom w:val="single" w:sz="4" w:space="0" w:color="auto"/>
              <w:right w:val="single" w:sz="4" w:space="0" w:color="auto"/>
            </w:tcBorders>
          </w:tcPr>
          <w:p w14:paraId="53CB05FF" w14:textId="77777777" w:rsidR="00056233" w:rsidRPr="004E073C" w:rsidRDefault="00056233" w:rsidP="004E073C">
            <w:pPr>
              <w:spacing w:before="20" w:after="20"/>
              <w:rPr>
                <w:color w:val="000000" w:themeColor="text1"/>
                <w:sz w:val="20"/>
                <w:szCs w:val="20"/>
              </w:rPr>
            </w:pPr>
            <w:r w:rsidRPr="004E073C">
              <w:rPr>
                <w:color w:val="000000" w:themeColor="text1"/>
                <w:sz w:val="20"/>
                <w:szCs w:val="20"/>
              </w:rPr>
              <w:t>packing_information( j ) {</w:t>
            </w:r>
          </w:p>
        </w:tc>
        <w:tc>
          <w:tcPr>
            <w:tcW w:w="1253" w:type="dxa"/>
            <w:tcBorders>
              <w:top w:val="single" w:sz="4" w:space="0" w:color="auto"/>
              <w:left w:val="single" w:sz="4" w:space="0" w:color="auto"/>
              <w:bottom w:val="single" w:sz="4" w:space="0" w:color="auto"/>
              <w:right w:val="single" w:sz="4" w:space="0" w:color="auto"/>
            </w:tcBorders>
          </w:tcPr>
          <w:p w14:paraId="2EB1F3C2" w14:textId="77777777" w:rsidR="00056233" w:rsidRPr="004E073C" w:rsidRDefault="00056233" w:rsidP="004E073C">
            <w:pPr>
              <w:spacing w:before="20" w:after="20"/>
              <w:rPr>
                <w:b/>
                <w:bCs/>
                <w:color w:val="000000" w:themeColor="text1"/>
                <w:sz w:val="20"/>
                <w:szCs w:val="20"/>
              </w:rPr>
            </w:pPr>
            <w:r w:rsidRPr="004E073C">
              <w:rPr>
                <w:b/>
                <w:bCs/>
                <w:color w:val="000000" w:themeColor="text1"/>
                <w:sz w:val="20"/>
                <w:szCs w:val="20"/>
              </w:rPr>
              <w:t>Descriptor</w:t>
            </w:r>
          </w:p>
        </w:tc>
      </w:tr>
      <w:tr w:rsidR="00056233" w:rsidRPr="004E073C" w14:paraId="7ED59F34" w14:textId="77777777" w:rsidTr="00CA49A1">
        <w:tc>
          <w:tcPr>
            <w:tcW w:w="7921" w:type="dxa"/>
            <w:tcBorders>
              <w:top w:val="single" w:sz="4" w:space="0" w:color="auto"/>
              <w:left w:val="single" w:sz="4" w:space="0" w:color="auto"/>
              <w:bottom w:val="single" w:sz="4" w:space="0" w:color="auto"/>
              <w:right w:val="single" w:sz="4" w:space="0" w:color="auto"/>
            </w:tcBorders>
          </w:tcPr>
          <w:p w14:paraId="0A1894FD" w14:textId="770D37B4" w:rsidR="00056233" w:rsidRPr="004E073C" w:rsidRDefault="00056233" w:rsidP="004E073C">
            <w:pPr>
              <w:spacing w:before="20" w:after="20"/>
              <w:rPr>
                <w:color w:val="000000" w:themeColor="text1"/>
                <w:sz w:val="20"/>
                <w:szCs w:val="20"/>
              </w:rPr>
            </w:pPr>
            <w:r w:rsidRPr="004E073C">
              <w:rPr>
                <w:color w:val="000000" w:themeColor="text1"/>
                <w:sz w:val="20"/>
                <w:szCs w:val="20"/>
              </w:rPr>
              <w:tab/>
            </w:r>
            <w:r w:rsidRPr="004E073C">
              <w:rPr>
                <w:b/>
                <w:bCs/>
                <w:color w:val="000000" w:themeColor="text1"/>
                <w:sz w:val="20"/>
                <w:szCs w:val="20"/>
              </w:rPr>
              <w:t>pi</w:t>
            </w:r>
            <w:r w:rsidR="00312142" w:rsidRPr="004E073C">
              <w:rPr>
                <w:b/>
                <w:bCs/>
                <w:color w:val="000000" w:themeColor="text1"/>
                <w:sz w:val="20"/>
                <w:szCs w:val="20"/>
              </w:rPr>
              <w:t>n</w:t>
            </w:r>
            <w:r w:rsidRPr="004E073C">
              <w:rPr>
                <w:b/>
                <w:bCs/>
                <w:color w:val="000000" w:themeColor="text1"/>
                <w:sz w:val="20"/>
                <w:szCs w:val="20"/>
              </w:rPr>
              <w:t>_codec_id</w:t>
            </w:r>
            <w:r w:rsidRPr="004E073C">
              <w:rPr>
                <w:color w:val="000000" w:themeColor="text1"/>
                <w:sz w:val="20"/>
                <w:szCs w:val="20"/>
              </w:rPr>
              <w:t>[ j ]</w:t>
            </w:r>
          </w:p>
        </w:tc>
        <w:tc>
          <w:tcPr>
            <w:tcW w:w="1253" w:type="dxa"/>
            <w:tcBorders>
              <w:top w:val="single" w:sz="4" w:space="0" w:color="auto"/>
              <w:left w:val="single" w:sz="4" w:space="0" w:color="auto"/>
              <w:bottom w:val="single" w:sz="4" w:space="0" w:color="auto"/>
              <w:right w:val="single" w:sz="4" w:space="0" w:color="auto"/>
            </w:tcBorders>
          </w:tcPr>
          <w:p w14:paraId="6C186488" w14:textId="77777777" w:rsidR="00056233" w:rsidRPr="004E073C" w:rsidRDefault="00056233" w:rsidP="004E073C">
            <w:pPr>
              <w:spacing w:before="20" w:after="20"/>
              <w:jc w:val="center"/>
              <w:rPr>
                <w:color w:val="000000" w:themeColor="text1"/>
                <w:sz w:val="20"/>
                <w:szCs w:val="20"/>
              </w:rPr>
            </w:pPr>
            <w:r w:rsidRPr="004E073C">
              <w:rPr>
                <w:color w:val="000000" w:themeColor="text1"/>
                <w:sz w:val="20"/>
                <w:szCs w:val="20"/>
              </w:rPr>
              <w:t>u(8)</w:t>
            </w:r>
          </w:p>
        </w:tc>
      </w:tr>
      <w:tr w:rsidR="00056233" w:rsidRPr="004E073C" w14:paraId="6BB0DAE3" w14:textId="77777777" w:rsidTr="00CA49A1">
        <w:tc>
          <w:tcPr>
            <w:tcW w:w="7921" w:type="dxa"/>
            <w:tcBorders>
              <w:top w:val="single" w:sz="4" w:space="0" w:color="auto"/>
              <w:left w:val="single" w:sz="4" w:space="0" w:color="auto"/>
              <w:bottom w:val="single" w:sz="4" w:space="0" w:color="auto"/>
              <w:right w:val="single" w:sz="4" w:space="0" w:color="auto"/>
            </w:tcBorders>
          </w:tcPr>
          <w:p w14:paraId="64497A03" w14:textId="511EEE4C" w:rsidR="00056233" w:rsidRPr="004E073C" w:rsidRDefault="00056233" w:rsidP="004E073C">
            <w:pPr>
              <w:spacing w:before="20" w:after="20"/>
              <w:rPr>
                <w:color w:val="000000" w:themeColor="text1"/>
                <w:sz w:val="20"/>
                <w:szCs w:val="20"/>
              </w:rPr>
            </w:pPr>
            <w:r w:rsidRPr="004E073C">
              <w:rPr>
                <w:color w:val="000000" w:themeColor="text1"/>
                <w:sz w:val="20"/>
                <w:szCs w:val="20"/>
              </w:rPr>
              <w:tab/>
            </w:r>
            <w:r w:rsidRPr="004E073C">
              <w:rPr>
                <w:b/>
                <w:bCs/>
                <w:color w:val="000000" w:themeColor="text1"/>
                <w:sz w:val="20"/>
                <w:szCs w:val="20"/>
              </w:rPr>
              <w:t>pi</w:t>
            </w:r>
            <w:r w:rsidR="00312142" w:rsidRPr="004E073C">
              <w:rPr>
                <w:b/>
                <w:bCs/>
                <w:color w:val="000000" w:themeColor="text1"/>
                <w:sz w:val="20"/>
                <w:szCs w:val="20"/>
              </w:rPr>
              <w:t>n</w:t>
            </w:r>
            <w:r w:rsidRPr="004E073C">
              <w:rPr>
                <w:b/>
                <w:bCs/>
                <w:color w:val="000000" w:themeColor="text1"/>
                <w:sz w:val="20"/>
                <w:szCs w:val="20"/>
              </w:rPr>
              <w:t>_regions_count_minus1</w:t>
            </w:r>
            <w:r w:rsidRPr="004E073C">
              <w:rPr>
                <w:color w:val="000000" w:themeColor="text1"/>
                <w:sz w:val="20"/>
                <w:szCs w:val="20"/>
              </w:rPr>
              <w:t>[ j ]</w:t>
            </w:r>
          </w:p>
        </w:tc>
        <w:tc>
          <w:tcPr>
            <w:tcW w:w="1253" w:type="dxa"/>
            <w:tcBorders>
              <w:top w:val="single" w:sz="4" w:space="0" w:color="auto"/>
              <w:left w:val="single" w:sz="4" w:space="0" w:color="auto"/>
              <w:bottom w:val="single" w:sz="4" w:space="0" w:color="auto"/>
              <w:right w:val="single" w:sz="4" w:space="0" w:color="auto"/>
            </w:tcBorders>
          </w:tcPr>
          <w:p w14:paraId="71DAA31F" w14:textId="77777777" w:rsidR="00056233" w:rsidRPr="004E073C" w:rsidRDefault="00056233" w:rsidP="004E073C">
            <w:pPr>
              <w:spacing w:before="20" w:after="20"/>
              <w:jc w:val="center"/>
              <w:rPr>
                <w:color w:val="000000" w:themeColor="text1"/>
                <w:sz w:val="20"/>
                <w:szCs w:val="20"/>
              </w:rPr>
            </w:pPr>
            <w:r w:rsidRPr="004E073C">
              <w:rPr>
                <w:color w:val="000000" w:themeColor="text1"/>
                <w:sz w:val="20"/>
                <w:szCs w:val="20"/>
              </w:rPr>
              <w:t>ue(v)</w:t>
            </w:r>
          </w:p>
        </w:tc>
      </w:tr>
      <w:tr w:rsidR="00056233" w:rsidRPr="004E073C" w14:paraId="7E40A164" w14:textId="77777777" w:rsidTr="00CA49A1">
        <w:tc>
          <w:tcPr>
            <w:tcW w:w="7921" w:type="dxa"/>
            <w:tcBorders>
              <w:top w:val="single" w:sz="4" w:space="0" w:color="auto"/>
              <w:left w:val="single" w:sz="4" w:space="0" w:color="auto"/>
              <w:bottom w:val="single" w:sz="4" w:space="0" w:color="auto"/>
              <w:right w:val="single" w:sz="4" w:space="0" w:color="auto"/>
            </w:tcBorders>
          </w:tcPr>
          <w:p w14:paraId="7ACA35C4" w14:textId="2AA8C7D5" w:rsidR="00056233" w:rsidRPr="004E073C" w:rsidRDefault="00056233" w:rsidP="004E073C">
            <w:pPr>
              <w:spacing w:before="20" w:after="20"/>
              <w:rPr>
                <w:color w:val="000000" w:themeColor="text1"/>
                <w:sz w:val="20"/>
                <w:szCs w:val="20"/>
              </w:rPr>
            </w:pPr>
            <w:r w:rsidRPr="004E073C">
              <w:rPr>
                <w:color w:val="000000" w:themeColor="text1"/>
                <w:sz w:val="20"/>
                <w:szCs w:val="20"/>
              </w:rPr>
              <w:tab/>
              <w:t>for( i = 0; i &lt;= pi</w:t>
            </w:r>
            <w:r w:rsidR="00312142" w:rsidRPr="004E073C">
              <w:rPr>
                <w:color w:val="000000" w:themeColor="text1"/>
                <w:sz w:val="20"/>
                <w:szCs w:val="20"/>
              </w:rPr>
              <w:t>n</w:t>
            </w:r>
            <w:r w:rsidRPr="004E073C">
              <w:rPr>
                <w:color w:val="000000" w:themeColor="text1"/>
                <w:sz w:val="20"/>
                <w:szCs w:val="20"/>
              </w:rPr>
              <w:t>_regions_count_minus1; i++ ) {</w:t>
            </w:r>
          </w:p>
        </w:tc>
        <w:tc>
          <w:tcPr>
            <w:tcW w:w="1253" w:type="dxa"/>
            <w:tcBorders>
              <w:top w:val="single" w:sz="4" w:space="0" w:color="auto"/>
              <w:left w:val="single" w:sz="4" w:space="0" w:color="auto"/>
              <w:bottom w:val="single" w:sz="4" w:space="0" w:color="auto"/>
              <w:right w:val="single" w:sz="4" w:space="0" w:color="auto"/>
            </w:tcBorders>
          </w:tcPr>
          <w:p w14:paraId="3A7D916C" w14:textId="77777777" w:rsidR="00056233" w:rsidRPr="004E073C" w:rsidRDefault="00056233" w:rsidP="004E073C">
            <w:pPr>
              <w:spacing w:before="20" w:after="20"/>
              <w:jc w:val="center"/>
              <w:rPr>
                <w:color w:val="000000" w:themeColor="text1"/>
                <w:sz w:val="20"/>
                <w:szCs w:val="20"/>
              </w:rPr>
            </w:pPr>
          </w:p>
        </w:tc>
      </w:tr>
      <w:tr w:rsidR="00056233" w:rsidRPr="004E073C" w14:paraId="4317E9C0" w14:textId="77777777" w:rsidTr="00CA49A1">
        <w:tc>
          <w:tcPr>
            <w:tcW w:w="7921" w:type="dxa"/>
            <w:tcBorders>
              <w:top w:val="single" w:sz="4" w:space="0" w:color="auto"/>
              <w:left w:val="single" w:sz="4" w:space="0" w:color="auto"/>
              <w:bottom w:val="single" w:sz="4" w:space="0" w:color="auto"/>
              <w:right w:val="single" w:sz="4" w:space="0" w:color="auto"/>
            </w:tcBorders>
          </w:tcPr>
          <w:p w14:paraId="107C6C45" w14:textId="2806F146" w:rsidR="00056233" w:rsidRPr="004E073C" w:rsidRDefault="00056233" w:rsidP="004E073C">
            <w:pPr>
              <w:spacing w:before="20" w:after="20"/>
              <w:rPr>
                <w:color w:val="000000" w:themeColor="text1"/>
                <w:sz w:val="20"/>
                <w:szCs w:val="20"/>
              </w:rPr>
            </w:pPr>
            <w:r w:rsidRPr="004E073C">
              <w:rPr>
                <w:color w:val="000000" w:themeColor="text1"/>
                <w:sz w:val="20"/>
                <w:szCs w:val="20"/>
              </w:rPr>
              <w:tab/>
            </w:r>
            <w:r w:rsidRPr="004E073C">
              <w:rPr>
                <w:color w:val="000000" w:themeColor="text1"/>
                <w:sz w:val="20"/>
                <w:szCs w:val="20"/>
              </w:rPr>
              <w:tab/>
            </w:r>
            <w:r w:rsidRPr="004E073C">
              <w:rPr>
                <w:b/>
                <w:bCs/>
                <w:color w:val="000000" w:themeColor="text1"/>
                <w:sz w:val="20"/>
                <w:szCs w:val="20"/>
              </w:rPr>
              <w:t>pi</w:t>
            </w:r>
            <w:r w:rsidR="00312142" w:rsidRPr="004E073C">
              <w:rPr>
                <w:b/>
                <w:bCs/>
                <w:color w:val="000000" w:themeColor="text1"/>
                <w:sz w:val="20"/>
                <w:szCs w:val="20"/>
              </w:rPr>
              <w:t>n</w:t>
            </w:r>
            <w:r w:rsidRPr="004E073C">
              <w:rPr>
                <w:b/>
                <w:bCs/>
                <w:color w:val="000000" w:themeColor="text1"/>
                <w:sz w:val="20"/>
                <w:szCs w:val="20"/>
              </w:rPr>
              <w:t>_region_tile_id</w:t>
            </w:r>
            <w:r w:rsidRPr="004E073C">
              <w:rPr>
                <w:color w:val="000000" w:themeColor="text1"/>
                <w:sz w:val="20"/>
                <w:szCs w:val="20"/>
              </w:rPr>
              <w:t>[ j ][ i ]</w:t>
            </w:r>
          </w:p>
        </w:tc>
        <w:tc>
          <w:tcPr>
            <w:tcW w:w="1253" w:type="dxa"/>
            <w:tcBorders>
              <w:top w:val="single" w:sz="4" w:space="0" w:color="auto"/>
              <w:left w:val="single" w:sz="4" w:space="0" w:color="auto"/>
              <w:bottom w:val="single" w:sz="4" w:space="0" w:color="auto"/>
              <w:right w:val="single" w:sz="4" w:space="0" w:color="auto"/>
            </w:tcBorders>
          </w:tcPr>
          <w:p w14:paraId="10525F1F" w14:textId="77777777" w:rsidR="00056233" w:rsidRPr="004E073C" w:rsidRDefault="00056233" w:rsidP="004E073C">
            <w:pPr>
              <w:spacing w:before="20" w:after="20"/>
              <w:jc w:val="center"/>
              <w:rPr>
                <w:color w:val="000000" w:themeColor="text1"/>
                <w:sz w:val="20"/>
                <w:szCs w:val="20"/>
              </w:rPr>
            </w:pPr>
            <w:r w:rsidRPr="004E073C">
              <w:rPr>
                <w:color w:val="000000" w:themeColor="text1"/>
                <w:sz w:val="20"/>
                <w:szCs w:val="20"/>
              </w:rPr>
              <w:t>u(8)</w:t>
            </w:r>
          </w:p>
        </w:tc>
      </w:tr>
      <w:tr w:rsidR="00056233" w:rsidRPr="004E073C" w14:paraId="2AD5C436" w14:textId="77777777" w:rsidTr="00CA49A1">
        <w:tc>
          <w:tcPr>
            <w:tcW w:w="7921" w:type="dxa"/>
            <w:tcBorders>
              <w:top w:val="single" w:sz="4" w:space="0" w:color="auto"/>
              <w:left w:val="single" w:sz="4" w:space="0" w:color="auto"/>
              <w:bottom w:val="single" w:sz="4" w:space="0" w:color="auto"/>
              <w:right w:val="single" w:sz="4" w:space="0" w:color="auto"/>
            </w:tcBorders>
          </w:tcPr>
          <w:p w14:paraId="076F3B27" w14:textId="2D62DB6E" w:rsidR="00056233" w:rsidRPr="004E073C" w:rsidRDefault="00056233" w:rsidP="004E073C">
            <w:pPr>
              <w:spacing w:before="20" w:after="20"/>
              <w:rPr>
                <w:color w:val="000000" w:themeColor="text1"/>
                <w:sz w:val="20"/>
                <w:szCs w:val="20"/>
              </w:rPr>
            </w:pPr>
            <w:r w:rsidRPr="004E073C">
              <w:rPr>
                <w:color w:val="000000" w:themeColor="text1"/>
                <w:sz w:val="20"/>
                <w:szCs w:val="20"/>
              </w:rPr>
              <w:tab/>
            </w:r>
            <w:r w:rsidRPr="004E073C">
              <w:rPr>
                <w:color w:val="000000" w:themeColor="text1"/>
                <w:sz w:val="20"/>
                <w:szCs w:val="20"/>
              </w:rPr>
              <w:tab/>
            </w:r>
            <w:r w:rsidRPr="004E073C">
              <w:rPr>
                <w:b/>
                <w:bCs/>
                <w:color w:val="000000" w:themeColor="text1"/>
                <w:sz w:val="20"/>
                <w:szCs w:val="20"/>
              </w:rPr>
              <w:t>pi</w:t>
            </w:r>
            <w:r w:rsidR="00312142" w:rsidRPr="004E073C">
              <w:rPr>
                <w:b/>
                <w:bCs/>
                <w:color w:val="000000" w:themeColor="text1"/>
                <w:sz w:val="20"/>
                <w:szCs w:val="20"/>
              </w:rPr>
              <w:t>n</w:t>
            </w:r>
            <w:r w:rsidRPr="004E073C">
              <w:rPr>
                <w:b/>
                <w:bCs/>
                <w:color w:val="000000" w:themeColor="text1"/>
                <w:sz w:val="20"/>
                <w:szCs w:val="20"/>
              </w:rPr>
              <w:t>_region_type_id_minus2</w:t>
            </w:r>
            <w:r w:rsidRPr="004E073C">
              <w:rPr>
                <w:color w:val="000000" w:themeColor="text1"/>
                <w:sz w:val="20"/>
                <w:szCs w:val="20"/>
              </w:rPr>
              <w:t>[ j ][ i ]</w:t>
            </w:r>
          </w:p>
        </w:tc>
        <w:tc>
          <w:tcPr>
            <w:tcW w:w="1253" w:type="dxa"/>
            <w:tcBorders>
              <w:top w:val="single" w:sz="4" w:space="0" w:color="auto"/>
              <w:left w:val="single" w:sz="4" w:space="0" w:color="auto"/>
              <w:bottom w:val="single" w:sz="4" w:space="0" w:color="auto"/>
              <w:right w:val="single" w:sz="4" w:space="0" w:color="auto"/>
            </w:tcBorders>
          </w:tcPr>
          <w:p w14:paraId="513CF6D2" w14:textId="77777777" w:rsidR="00056233" w:rsidRPr="004E073C" w:rsidRDefault="00056233" w:rsidP="004E073C">
            <w:pPr>
              <w:spacing w:before="20" w:after="20"/>
              <w:jc w:val="center"/>
              <w:rPr>
                <w:color w:val="000000" w:themeColor="text1"/>
                <w:sz w:val="20"/>
                <w:szCs w:val="20"/>
              </w:rPr>
            </w:pPr>
            <w:r w:rsidRPr="004E073C">
              <w:rPr>
                <w:color w:val="000000" w:themeColor="text1"/>
                <w:sz w:val="20"/>
                <w:szCs w:val="20"/>
              </w:rPr>
              <w:t>u(2)</w:t>
            </w:r>
          </w:p>
        </w:tc>
      </w:tr>
      <w:tr w:rsidR="00056233" w:rsidRPr="004E073C" w14:paraId="490A6A96" w14:textId="77777777" w:rsidTr="00CA49A1">
        <w:tc>
          <w:tcPr>
            <w:tcW w:w="7921" w:type="dxa"/>
            <w:tcBorders>
              <w:top w:val="single" w:sz="4" w:space="0" w:color="auto"/>
              <w:left w:val="single" w:sz="4" w:space="0" w:color="auto"/>
              <w:bottom w:val="single" w:sz="4" w:space="0" w:color="auto"/>
              <w:right w:val="single" w:sz="4" w:space="0" w:color="auto"/>
            </w:tcBorders>
          </w:tcPr>
          <w:p w14:paraId="65D51100" w14:textId="4488CC00" w:rsidR="00056233" w:rsidRPr="004E073C" w:rsidRDefault="00056233" w:rsidP="004E073C">
            <w:pPr>
              <w:spacing w:before="20" w:after="20"/>
              <w:rPr>
                <w:color w:val="000000" w:themeColor="text1"/>
                <w:sz w:val="20"/>
                <w:szCs w:val="20"/>
              </w:rPr>
            </w:pPr>
            <w:r w:rsidRPr="004E073C">
              <w:rPr>
                <w:color w:val="000000" w:themeColor="text1"/>
                <w:sz w:val="20"/>
                <w:szCs w:val="20"/>
              </w:rPr>
              <w:tab/>
            </w:r>
            <w:r w:rsidRPr="004E073C">
              <w:rPr>
                <w:color w:val="000000" w:themeColor="text1"/>
                <w:sz w:val="20"/>
                <w:szCs w:val="20"/>
              </w:rPr>
              <w:tab/>
            </w:r>
            <w:r w:rsidRPr="004E073C">
              <w:rPr>
                <w:b/>
                <w:bCs/>
                <w:color w:val="000000" w:themeColor="text1"/>
                <w:sz w:val="20"/>
                <w:szCs w:val="20"/>
              </w:rPr>
              <w:t>pi</w:t>
            </w:r>
            <w:r w:rsidR="00312142" w:rsidRPr="004E073C">
              <w:rPr>
                <w:b/>
                <w:bCs/>
                <w:color w:val="000000" w:themeColor="text1"/>
                <w:sz w:val="20"/>
                <w:szCs w:val="20"/>
              </w:rPr>
              <w:t>n</w:t>
            </w:r>
            <w:r w:rsidRPr="004E073C">
              <w:rPr>
                <w:b/>
                <w:bCs/>
                <w:color w:val="000000" w:themeColor="text1"/>
                <w:sz w:val="20"/>
                <w:szCs w:val="20"/>
              </w:rPr>
              <w:t>_region_top_left_x</w:t>
            </w:r>
            <w:r w:rsidRPr="004E073C">
              <w:rPr>
                <w:color w:val="000000" w:themeColor="text1"/>
                <w:sz w:val="20"/>
                <w:szCs w:val="20"/>
              </w:rPr>
              <w:t>[ j ][ i ]</w:t>
            </w:r>
          </w:p>
        </w:tc>
        <w:tc>
          <w:tcPr>
            <w:tcW w:w="1253" w:type="dxa"/>
            <w:tcBorders>
              <w:top w:val="single" w:sz="4" w:space="0" w:color="auto"/>
              <w:left w:val="single" w:sz="4" w:space="0" w:color="auto"/>
              <w:bottom w:val="single" w:sz="4" w:space="0" w:color="auto"/>
              <w:right w:val="single" w:sz="4" w:space="0" w:color="auto"/>
            </w:tcBorders>
          </w:tcPr>
          <w:p w14:paraId="39FA0E7B" w14:textId="77777777" w:rsidR="00056233" w:rsidRPr="004E073C" w:rsidRDefault="00056233" w:rsidP="004E073C">
            <w:pPr>
              <w:spacing w:before="20" w:after="20"/>
              <w:jc w:val="center"/>
              <w:rPr>
                <w:color w:val="000000" w:themeColor="text1"/>
                <w:sz w:val="20"/>
                <w:szCs w:val="20"/>
              </w:rPr>
            </w:pPr>
            <w:r w:rsidRPr="004E073C">
              <w:rPr>
                <w:color w:val="000000" w:themeColor="text1"/>
                <w:sz w:val="20"/>
                <w:szCs w:val="20"/>
              </w:rPr>
              <w:t>u(16)</w:t>
            </w:r>
          </w:p>
        </w:tc>
      </w:tr>
      <w:tr w:rsidR="00056233" w:rsidRPr="004E073C" w14:paraId="20AA34DD" w14:textId="77777777" w:rsidTr="00CA49A1">
        <w:tc>
          <w:tcPr>
            <w:tcW w:w="7921" w:type="dxa"/>
            <w:tcBorders>
              <w:top w:val="single" w:sz="4" w:space="0" w:color="auto"/>
              <w:left w:val="single" w:sz="4" w:space="0" w:color="auto"/>
              <w:bottom w:val="single" w:sz="4" w:space="0" w:color="auto"/>
              <w:right w:val="single" w:sz="4" w:space="0" w:color="auto"/>
            </w:tcBorders>
          </w:tcPr>
          <w:p w14:paraId="2FA7D788" w14:textId="4F06E8F3" w:rsidR="00056233" w:rsidRPr="004E073C" w:rsidRDefault="00056233" w:rsidP="004E073C">
            <w:pPr>
              <w:spacing w:before="20" w:after="20"/>
              <w:rPr>
                <w:color w:val="000000" w:themeColor="text1"/>
                <w:sz w:val="20"/>
                <w:szCs w:val="20"/>
              </w:rPr>
            </w:pPr>
            <w:r w:rsidRPr="004E073C">
              <w:rPr>
                <w:color w:val="000000" w:themeColor="text1"/>
                <w:sz w:val="20"/>
                <w:szCs w:val="20"/>
              </w:rPr>
              <w:tab/>
            </w:r>
            <w:r w:rsidRPr="004E073C">
              <w:rPr>
                <w:color w:val="000000" w:themeColor="text1"/>
                <w:sz w:val="20"/>
                <w:szCs w:val="20"/>
              </w:rPr>
              <w:tab/>
            </w:r>
            <w:r w:rsidRPr="004E073C">
              <w:rPr>
                <w:b/>
                <w:bCs/>
                <w:color w:val="000000" w:themeColor="text1"/>
                <w:sz w:val="20"/>
                <w:szCs w:val="20"/>
              </w:rPr>
              <w:t>pi</w:t>
            </w:r>
            <w:r w:rsidR="00312142" w:rsidRPr="004E073C">
              <w:rPr>
                <w:b/>
                <w:bCs/>
                <w:color w:val="000000" w:themeColor="text1"/>
                <w:sz w:val="20"/>
                <w:szCs w:val="20"/>
              </w:rPr>
              <w:t>n</w:t>
            </w:r>
            <w:r w:rsidRPr="004E073C">
              <w:rPr>
                <w:b/>
                <w:bCs/>
                <w:color w:val="000000" w:themeColor="text1"/>
                <w:sz w:val="20"/>
                <w:szCs w:val="20"/>
              </w:rPr>
              <w:t>_region_top_left_y</w:t>
            </w:r>
            <w:r w:rsidRPr="004E073C">
              <w:rPr>
                <w:color w:val="000000" w:themeColor="text1"/>
                <w:sz w:val="20"/>
                <w:szCs w:val="20"/>
              </w:rPr>
              <w:t>[ j ][ i ]</w:t>
            </w:r>
          </w:p>
        </w:tc>
        <w:tc>
          <w:tcPr>
            <w:tcW w:w="1253" w:type="dxa"/>
            <w:tcBorders>
              <w:top w:val="single" w:sz="4" w:space="0" w:color="auto"/>
              <w:left w:val="single" w:sz="4" w:space="0" w:color="auto"/>
              <w:bottom w:val="single" w:sz="4" w:space="0" w:color="auto"/>
              <w:right w:val="single" w:sz="4" w:space="0" w:color="auto"/>
            </w:tcBorders>
          </w:tcPr>
          <w:p w14:paraId="55044A7B" w14:textId="77777777" w:rsidR="00056233" w:rsidRPr="004E073C" w:rsidRDefault="00056233" w:rsidP="004E073C">
            <w:pPr>
              <w:spacing w:before="20" w:after="20"/>
              <w:jc w:val="center"/>
              <w:rPr>
                <w:color w:val="000000" w:themeColor="text1"/>
                <w:sz w:val="20"/>
                <w:szCs w:val="20"/>
              </w:rPr>
            </w:pPr>
            <w:r w:rsidRPr="004E073C">
              <w:rPr>
                <w:color w:val="000000" w:themeColor="text1"/>
                <w:sz w:val="20"/>
                <w:szCs w:val="20"/>
              </w:rPr>
              <w:t>u(16)</w:t>
            </w:r>
          </w:p>
        </w:tc>
      </w:tr>
      <w:tr w:rsidR="00056233" w:rsidRPr="004E073C" w14:paraId="064DFC34" w14:textId="77777777" w:rsidTr="00CA49A1">
        <w:tc>
          <w:tcPr>
            <w:tcW w:w="7921" w:type="dxa"/>
            <w:tcBorders>
              <w:top w:val="single" w:sz="4" w:space="0" w:color="auto"/>
              <w:left w:val="single" w:sz="4" w:space="0" w:color="auto"/>
              <w:bottom w:val="single" w:sz="4" w:space="0" w:color="auto"/>
              <w:right w:val="single" w:sz="4" w:space="0" w:color="auto"/>
            </w:tcBorders>
          </w:tcPr>
          <w:p w14:paraId="3CBAD681" w14:textId="4E4F1DEC" w:rsidR="00056233" w:rsidRPr="004E073C" w:rsidRDefault="00056233" w:rsidP="004E073C">
            <w:pPr>
              <w:spacing w:before="20" w:after="20"/>
              <w:rPr>
                <w:color w:val="000000" w:themeColor="text1"/>
                <w:sz w:val="20"/>
                <w:szCs w:val="20"/>
              </w:rPr>
            </w:pPr>
            <w:r w:rsidRPr="004E073C">
              <w:rPr>
                <w:color w:val="000000" w:themeColor="text1"/>
                <w:sz w:val="20"/>
                <w:szCs w:val="20"/>
              </w:rPr>
              <w:tab/>
            </w:r>
            <w:r w:rsidRPr="004E073C">
              <w:rPr>
                <w:color w:val="000000" w:themeColor="text1"/>
                <w:sz w:val="20"/>
                <w:szCs w:val="20"/>
              </w:rPr>
              <w:tab/>
            </w:r>
            <w:r w:rsidRPr="004E073C">
              <w:rPr>
                <w:b/>
                <w:bCs/>
                <w:color w:val="000000" w:themeColor="text1"/>
                <w:sz w:val="20"/>
                <w:szCs w:val="20"/>
              </w:rPr>
              <w:t>pi</w:t>
            </w:r>
            <w:r w:rsidR="00312142" w:rsidRPr="004E073C">
              <w:rPr>
                <w:b/>
                <w:bCs/>
                <w:color w:val="000000" w:themeColor="text1"/>
                <w:sz w:val="20"/>
                <w:szCs w:val="20"/>
              </w:rPr>
              <w:t>n</w:t>
            </w:r>
            <w:r w:rsidRPr="004E073C">
              <w:rPr>
                <w:b/>
                <w:bCs/>
                <w:color w:val="000000" w:themeColor="text1"/>
                <w:sz w:val="20"/>
                <w:szCs w:val="20"/>
              </w:rPr>
              <w:t>_region_width_minus1</w:t>
            </w:r>
            <w:r w:rsidRPr="004E073C">
              <w:rPr>
                <w:color w:val="000000" w:themeColor="text1"/>
                <w:sz w:val="20"/>
                <w:szCs w:val="20"/>
              </w:rPr>
              <w:t>[ j ][ i ]</w:t>
            </w:r>
          </w:p>
        </w:tc>
        <w:tc>
          <w:tcPr>
            <w:tcW w:w="1253" w:type="dxa"/>
            <w:tcBorders>
              <w:top w:val="single" w:sz="4" w:space="0" w:color="auto"/>
              <w:left w:val="single" w:sz="4" w:space="0" w:color="auto"/>
              <w:bottom w:val="single" w:sz="4" w:space="0" w:color="auto"/>
              <w:right w:val="single" w:sz="4" w:space="0" w:color="auto"/>
            </w:tcBorders>
          </w:tcPr>
          <w:p w14:paraId="66C3F2FF" w14:textId="77777777" w:rsidR="00056233" w:rsidRPr="004E073C" w:rsidRDefault="00056233" w:rsidP="004E073C">
            <w:pPr>
              <w:spacing w:before="20" w:after="20"/>
              <w:jc w:val="center"/>
              <w:rPr>
                <w:color w:val="000000" w:themeColor="text1"/>
                <w:sz w:val="20"/>
                <w:szCs w:val="20"/>
              </w:rPr>
            </w:pPr>
            <w:r w:rsidRPr="004E073C">
              <w:rPr>
                <w:color w:val="000000" w:themeColor="text1"/>
                <w:sz w:val="20"/>
                <w:szCs w:val="20"/>
              </w:rPr>
              <w:t>u(16)</w:t>
            </w:r>
          </w:p>
        </w:tc>
      </w:tr>
      <w:tr w:rsidR="00056233" w:rsidRPr="004E073C" w14:paraId="57CBA4A5" w14:textId="77777777" w:rsidTr="00CA49A1">
        <w:tc>
          <w:tcPr>
            <w:tcW w:w="7921" w:type="dxa"/>
            <w:tcBorders>
              <w:top w:val="single" w:sz="4" w:space="0" w:color="auto"/>
              <w:left w:val="single" w:sz="4" w:space="0" w:color="auto"/>
              <w:bottom w:val="single" w:sz="4" w:space="0" w:color="auto"/>
              <w:right w:val="single" w:sz="4" w:space="0" w:color="auto"/>
            </w:tcBorders>
          </w:tcPr>
          <w:p w14:paraId="78D10904" w14:textId="4C3BD0C2" w:rsidR="00056233" w:rsidRPr="004E073C" w:rsidRDefault="00056233" w:rsidP="004E073C">
            <w:pPr>
              <w:spacing w:before="20" w:after="20"/>
              <w:rPr>
                <w:color w:val="000000" w:themeColor="text1"/>
                <w:sz w:val="20"/>
                <w:szCs w:val="20"/>
              </w:rPr>
            </w:pPr>
            <w:r w:rsidRPr="004E073C">
              <w:rPr>
                <w:color w:val="000000" w:themeColor="text1"/>
                <w:sz w:val="20"/>
                <w:szCs w:val="20"/>
              </w:rPr>
              <w:tab/>
            </w:r>
            <w:r w:rsidRPr="004E073C">
              <w:rPr>
                <w:color w:val="000000" w:themeColor="text1"/>
                <w:sz w:val="20"/>
                <w:szCs w:val="20"/>
              </w:rPr>
              <w:tab/>
            </w:r>
            <w:r w:rsidRPr="004E073C">
              <w:rPr>
                <w:b/>
                <w:bCs/>
                <w:color w:val="000000" w:themeColor="text1"/>
                <w:sz w:val="20"/>
                <w:szCs w:val="20"/>
              </w:rPr>
              <w:t>pi</w:t>
            </w:r>
            <w:r w:rsidR="00312142" w:rsidRPr="004E073C">
              <w:rPr>
                <w:b/>
                <w:bCs/>
                <w:color w:val="000000" w:themeColor="text1"/>
                <w:sz w:val="20"/>
                <w:szCs w:val="20"/>
              </w:rPr>
              <w:t>n</w:t>
            </w:r>
            <w:r w:rsidRPr="004E073C">
              <w:rPr>
                <w:b/>
                <w:bCs/>
                <w:color w:val="000000" w:themeColor="text1"/>
                <w:sz w:val="20"/>
                <w:szCs w:val="20"/>
              </w:rPr>
              <w:t>_region_height_minus1</w:t>
            </w:r>
            <w:r w:rsidRPr="004E073C">
              <w:rPr>
                <w:color w:val="000000" w:themeColor="text1"/>
                <w:sz w:val="20"/>
                <w:szCs w:val="20"/>
              </w:rPr>
              <w:t>[ j ][ i ]</w:t>
            </w:r>
          </w:p>
        </w:tc>
        <w:tc>
          <w:tcPr>
            <w:tcW w:w="1253" w:type="dxa"/>
            <w:tcBorders>
              <w:top w:val="single" w:sz="4" w:space="0" w:color="auto"/>
              <w:left w:val="single" w:sz="4" w:space="0" w:color="auto"/>
              <w:bottom w:val="single" w:sz="4" w:space="0" w:color="auto"/>
              <w:right w:val="single" w:sz="4" w:space="0" w:color="auto"/>
            </w:tcBorders>
          </w:tcPr>
          <w:p w14:paraId="0653CC27" w14:textId="77777777" w:rsidR="00056233" w:rsidRPr="004E073C" w:rsidRDefault="00056233" w:rsidP="004E073C">
            <w:pPr>
              <w:spacing w:before="20" w:after="20"/>
              <w:jc w:val="center"/>
              <w:rPr>
                <w:color w:val="000000" w:themeColor="text1"/>
                <w:sz w:val="20"/>
                <w:szCs w:val="20"/>
              </w:rPr>
            </w:pPr>
            <w:r w:rsidRPr="004E073C">
              <w:rPr>
                <w:color w:val="000000" w:themeColor="text1"/>
                <w:sz w:val="20"/>
                <w:szCs w:val="20"/>
              </w:rPr>
              <w:t>u(16)</w:t>
            </w:r>
          </w:p>
        </w:tc>
      </w:tr>
      <w:tr w:rsidR="00056233" w:rsidRPr="004E073C" w14:paraId="0D32E1B7" w14:textId="77777777" w:rsidTr="00CA49A1">
        <w:tc>
          <w:tcPr>
            <w:tcW w:w="7921" w:type="dxa"/>
            <w:tcBorders>
              <w:top w:val="single" w:sz="4" w:space="0" w:color="auto"/>
              <w:left w:val="single" w:sz="4" w:space="0" w:color="auto"/>
              <w:bottom w:val="single" w:sz="4" w:space="0" w:color="auto"/>
              <w:right w:val="single" w:sz="4" w:space="0" w:color="auto"/>
            </w:tcBorders>
          </w:tcPr>
          <w:p w14:paraId="3A783BC9" w14:textId="2DC47D24" w:rsidR="00056233" w:rsidRPr="004E073C" w:rsidRDefault="00056233" w:rsidP="004E073C">
            <w:pPr>
              <w:spacing w:before="20" w:after="20"/>
              <w:rPr>
                <w:color w:val="000000" w:themeColor="text1"/>
                <w:sz w:val="20"/>
                <w:szCs w:val="20"/>
              </w:rPr>
            </w:pPr>
            <w:r w:rsidRPr="004E073C">
              <w:rPr>
                <w:color w:val="000000" w:themeColor="text1"/>
                <w:sz w:val="20"/>
                <w:szCs w:val="20"/>
              </w:rPr>
              <w:tab/>
            </w:r>
            <w:r w:rsidRPr="004E073C">
              <w:rPr>
                <w:color w:val="000000" w:themeColor="text1"/>
                <w:sz w:val="20"/>
                <w:szCs w:val="20"/>
              </w:rPr>
              <w:tab/>
            </w:r>
            <w:r w:rsidRPr="004E073C">
              <w:rPr>
                <w:b/>
                <w:bCs/>
                <w:color w:val="000000" w:themeColor="text1"/>
                <w:sz w:val="20"/>
                <w:szCs w:val="20"/>
              </w:rPr>
              <w:t>pi</w:t>
            </w:r>
            <w:r w:rsidR="00312142" w:rsidRPr="004E073C">
              <w:rPr>
                <w:b/>
                <w:bCs/>
                <w:color w:val="000000" w:themeColor="text1"/>
                <w:sz w:val="20"/>
                <w:szCs w:val="20"/>
              </w:rPr>
              <w:t>n</w:t>
            </w:r>
            <w:r w:rsidRPr="004E073C">
              <w:rPr>
                <w:b/>
                <w:bCs/>
                <w:color w:val="000000" w:themeColor="text1"/>
                <w:sz w:val="20"/>
                <w:szCs w:val="20"/>
              </w:rPr>
              <w:t>_region_map_index</w:t>
            </w:r>
            <w:r w:rsidRPr="004E073C">
              <w:rPr>
                <w:color w:val="000000" w:themeColor="text1"/>
                <w:sz w:val="20"/>
                <w:szCs w:val="20"/>
              </w:rPr>
              <w:t>[ j ][ i ]</w:t>
            </w:r>
          </w:p>
        </w:tc>
        <w:tc>
          <w:tcPr>
            <w:tcW w:w="1253" w:type="dxa"/>
            <w:tcBorders>
              <w:top w:val="single" w:sz="4" w:space="0" w:color="auto"/>
              <w:left w:val="single" w:sz="4" w:space="0" w:color="auto"/>
              <w:bottom w:val="single" w:sz="4" w:space="0" w:color="auto"/>
              <w:right w:val="single" w:sz="4" w:space="0" w:color="auto"/>
            </w:tcBorders>
          </w:tcPr>
          <w:p w14:paraId="319A72CD" w14:textId="77777777" w:rsidR="00056233" w:rsidRPr="004E073C" w:rsidRDefault="00056233" w:rsidP="004E073C">
            <w:pPr>
              <w:spacing w:before="20" w:after="20"/>
              <w:jc w:val="center"/>
              <w:rPr>
                <w:color w:val="000000" w:themeColor="text1"/>
                <w:sz w:val="20"/>
                <w:szCs w:val="20"/>
              </w:rPr>
            </w:pPr>
            <w:r w:rsidRPr="004E073C">
              <w:rPr>
                <w:color w:val="000000" w:themeColor="text1"/>
                <w:sz w:val="20"/>
                <w:szCs w:val="20"/>
              </w:rPr>
              <w:t>u(4)</w:t>
            </w:r>
          </w:p>
        </w:tc>
      </w:tr>
      <w:tr w:rsidR="00056233" w:rsidRPr="004E073C" w14:paraId="10677155" w14:textId="77777777" w:rsidTr="00CA49A1">
        <w:tc>
          <w:tcPr>
            <w:tcW w:w="7921" w:type="dxa"/>
            <w:tcBorders>
              <w:top w:val="single" w:sz="4" w:space="0" w:color="auto"/>
              <w:left w:val="single" w:sz="4" w:space="0" w:color="auto"/>
              <w:bottom w:val="single" w:sz="4" w:space="0" w:color="auto"/>
              <w:right w:val="single" w:sz="4" w:space="0" w:color="auto"/>
            </w:tcBorders>
          </w:tcPr>
          <w:p w14:paraId="7409E8A4" w14:textId="232D636A" w:rsidR="00056233" w:rsidRPr="004E073C" w:rsidRDefault="00056233" w:rsidP="004E073C">
            <w:pPr>
              <w:spacing w:before="20" w:after="20"/>
              <w:rPr>
                <w:color w:val="000000" w:themeColor="text1"/>
                <w:sz w:val="20"/>
                <w:szCs w:val="20"/>
              </w:rPr>
            </w:pPr>
            <w:r w:rsidRPr="004E073C">
              <w:rPr>
                <w:color w:val="000000" w:themeColor="text1"/>
                <w:sz w:val="20"/>
                <w:szCs w:val="20"/>
              </w:rPr>
              <w:tab/>
            </w:r>
            <w:r w:rsidRPr="004E073C">
              <w:rPr>
                <w:color w:val="000000" w:themeColor="text1"/>
                <w:sz w:val="20"/>
                <w:szCs w:val="20"/>
              </w:rPr>
              <w:tab/>
            </w:r>
            <w:r w:rsidRPr="004E073C">
              <w:rPr>
                <w:b/>
                <w:bCs/>
                <w:color w:val="000000" w:themeColor="text1"/>
                <w:sz w:val="20"/>
                <w:szCs w:val="20"/>
              </w:rPr>
              <w:t>pi</w:t>
            </w:r>
            <w:r w:rsidR="00312142" w:rsidRPr="004E073C">
              <w:rPr>
                <w:b/>
                <w:bCs/>
                <w:color w:val="000000" w:themeColor="text1"/>
                <w:sz w:val="20"/>
                <w:szCs w:val="20"/>
              </w:rPr>
              <w:t>n</w:t>
            </w:r>
            <w:r w:rsidRPr="004E073C">
              <w:rPr>
                <w:b/>
                <w:bCs/>
                <w:color w:val="000000" w:themeColor="text1"/>
                <w:sz w:val="20"/>
                <w:szCs w:val="20"/>
              </w:rPr>
              <w:t>_region_rotation_flag</w:t>
            </w:r>
            <w:r w:rsidRPr="004E073C">
              <w:rPr>
                <w:color w:val="000000" w:themeColor="text1"/>
                <w:sz w:val="20"/>
                <w:szCs w:val="20"/>
              </w:rPr>
              <w:t>[ j ][ i ]</w:t>
            </w:r>
          </w:p>
        </w:tc>
        <w:tc>
          <w:tcPr>
            <w:tcW w:w="1253" w:type="dxa"/>
            <w:tcBorders>
              <w:top w:val="single" w:sz="4" w:space="0" w:color="auto"/>
              <w:left w:val="single" w:sz="4" w:space="0" w:color="auto"/>
              <w:bottom w:val="single" w:sz="4" w:space="0" w:color="auto"/>
              <w:right w:val="single" w:sz="4" w:space="0" w:color="auto"/>
            </w:tcBorders>
          </w:tcPr>
          <w:p w14:paraId="3B2EE080" w14:textId="77777777" w:rsidR="00056233" w:rsidRPr="004E073C" w:rsidRDefault="00056233" w:rsidP="004E073C">
            <w:pPr>
              <w:spacing w:before="20" w:after="20"/>
              <w:jc w:val="center"/>
              <w:rPr>
                <w:color w:val="000000" w:themeColor="text1"/>
                <w:sz w:val="20"/>
                <w:szCs w:val="20"/>
              </w:rPr>
            </w:pPr>
            <w:r w:rsidRPr="004E073C">
              <w:rPr>
                <w:color w:val="000000" w:themeColor="text1"/>
                <w:sz w:val="20"/>
                <w:szCs w:val="20"/>
              </w:rPr>
              <w:t>u(1)</w:t>
            </w:r>
          </w:p>
        </w:tc>
      </w:tr>
      <w:tr w:rsidR="00056233" w:rsidRPr="004E073C" w14:paraId="1130D5B6" w14:textId="77777777" w:rsidTr="00CA49A1">
        <w:tc>
          <w:tcPr>
            <w:tcW w:w="7921" w:type="dxa"/>
            <w:tcBorders>
              <w:top w:val="single" w:sz="4" w:space="0" w:color="auto"/>
              <w:left w:val="single" w:sz="4" w:space="0" w:color="auto"/>
              <w:bottom w:val="single" w:sz="4" w:space="0" w:color="auto"/>
              <w:right w:val="single" w:sz="4" w:space="0" w:color="auto"/>
            </w:tcBorders>
          </w:tcPr>
          <w:p w14:paraId="6B7393C2" w14:textId="340167F7" w:rsidR="00056233" w:rsidRPr="004E073C" w:rsidRDefault="00056233" w:rsidP="004E073C">
            <w:pPr>
              <w:spacing w:before="20" w:after="20"/>
              <w:rPr>
                <w:color w:val="000000" w:themeColor="text1"/>
                <w:sz w:val="20"/>
                <w:szCs w:val="20"/>
              </w:rPr>
            </w:pPr>
            <w:r w:rsidRPr="004E073C">
              <w:rPr>
                <w:color w:val="000000" w:themeColor="text1"/>
                <w:sz w:val="20"/>
                <w:szCs w:val="20"/>
              </w:rPr>
              <w:tab/>
            </w:r>
            <w:r w:rsidRPr="004E073C">
              <w:rPr>
                <w:color w:val="000000" w:themeColor="text1"/>
                <w:sz w:val="20"/>
                <w:szCs w:val="20"/>
              </w:rPr>
              <w:tab/>
              <w:t>if( pi</w:t>
            </w:r>
            <w:r w:rsidR="00312142" w:rsidRPr="004E073C">
              <w:rPr>
                <w:color w:val="000000" w:themeColor="text1"/>
                <w:sz w:val="20"/>
                <w:szCs w:val="20"/>
              </w:rPr>
              <w:t>n</w:t>
            </w:r>
            <w:r w:rsidRPr="004E073C">
              <w:rPr>
                <w:color w:val="000000" w:themeColor="text1"/>
                <w:sz w:val="20"/>
                <w:szCs w:val="20"/>
              </w:rPr>
              <w:t>_region_type_id_minus2[ j ][ i ] + 2  = =  V3C_AVD ||</w:t>
            </w:r>
            <w:r w:rsidRPr="004E073C">
              <w:rPr>
                <w:color w:val="000000" w:themeColor="text1"/>
                <w:sz w:val="20"/>
                <w:szCs w:val="20"/>
              </w:rPr>
              <w:br/>
            </w:r>
            <w:r w:rsidRPr="004E073C">
              <w:rPr>
                <w:color w:val="000000" w:themeColor="text1"/>
                <w:sz w:val="20"/>
                <w:szCs w:val="20"/>
              </w:rPr>
              <w:tab/>
            </w:r>
            <w:r w:rsidRPr="004E073C">
              <w:rPr>
                <w:color w:val="000000" w:themeColor="text1"/>
                <w:sz w:val="20"/>
                <w:szCs w:val="20"/>
              </w:rPr>
              <w:tab/>
            </w:r>
            <w:r w:rsidRPr="004E073C">
              <w:rPr>
                <w:color w:val="000000" w:themeColor="text1"/>
                <w:sz w:val="20"/>
                <w:szCs w:val="20"/>
              </w:rPr>
              <w:tab/>
              <w:t>pi</w:t>
            </w:r>
            <w:r w:rsidR="00312142" w:rsidRPr="004E073C">
              <w:rPr>
                <w:color w:val="000000" w:themeColor="text1"/>
                <w:sz w:val="20"/>
                <w:szCs w:val="20"/>
              </w:rPr>
              <w:t>n</w:t>
            </w:r>
            <w:r w:rsidRPr="004E073C">
              <w:rPr>
                <w:color w:val="000000" w:themeColor="text1"/>
                <w:sz w:val="20"/>
                <w:szCs w:val="20"/>
              </w:rPr>
              <w:t>_region_type_id_minus2[ j ][ i ] + 2  = =  V3C_GVD )</w:t>
            </w:r>
          </w:p>
        </w:tc>
        <w:tc>
          <w:tcPr>
            <w:tcW w:w="1253" w:type="dxa"/>
            <w:tcBorders>
              <w:top w:val="single" w:sz="4" w:space="0" w:color="auto"/>
              <w:left w:val="single" w:sz="4" w:space="0" w:color="auto"/>
              <w:bottom w:val="single" w:sz="4" w:space="0" w:color="auto"/>
              <w:right w:val="single" w:sz="4" w:space="0" w:color="auto"/>
            </w:tcBorders>
          </w:tcPr>
          <w:p w14:paraId="4BF85710" w14:textId="77777777" w:rsidR="00056233" w:rsidRPr="004E073C" w:rsidRDefault="00056233" w:rsidP="004E073C">
            <w:pPr>
              <w:spacing w:before="20" w:after="20"/>
              <w:jc w:val="center"/>
              <w:rPr>
                <w:color w:val="000000" w:themeColor="text1"/>
                <w:sz w:val="20"/>
                <w:szCs w:val="20"/>
              </w:rPr>
            </w:pPr>
          </w:p>
        </w:tc>
      </w:tr>
      <w:tr w:rsidR="00056233" w:rsidRPr="004E073C" w14:paraId="08EC4B7C" w14:textId="77777777" w:rsidTr="00CA49A1">
        <w:tc>
          <w:tcPr>
            <w:tcW w:w="7921" w:type="dxa"/>
            <w:tcBorders>
              <w:top w:val="single" w:sz="4" w:space="0" w:color="auto"/>
              <w:left w:val="single" w:sz="4" w:space="0" w:color="auto"/>
              <w:bottom w:val="single" w:sz="4" w:space="0" w:color="auto"/>
              <w:right w:val="single" w:sz="4" w:space="0" w:color="auto"/>
            </w:tcBorders>
          </w:tcPr>
          <w:p w14:paraId="198352E1" w14:textId="34FE3DDB" w:rsidR="00056233" w:rsidRPr="004E073C" w:rsidRDefault="00056233" w:rsidP="004E073C">
            <w:pPr>
              <w:spacing w:before="20" w:after="20"/>
              <w:rPr>
                <w:color w:val="000000" w:themeColor="text1"/>
                <w:sz w:val="20"/>
                <w:szCs w:val="20"/>
              </w:rPr>
            </w:pPr>
            <w:r w:rsidRPr="004E073C">
              <w:rPr>
                <w:color w:val="000000" w:themeColor="text1"/>
                <w:sz w:val="20"/>
                <w:szCs w:val="20"/>
              </w:rPr>
              <w:tab/>
            </w:r>
            <w:r w:rsidRPr="004E073C">
              <w:rPr>
                <w:color w:val="000000" w:themeColor="text1"/>
                <w:sz w:val="20"/>
                <w:szCs w:val="20"/>
              </w:rPr>
              <w:tab/>
            </w:r>
            <w:r w:rsidRPr="004E073C">
              <w:rPr>
                <w:color w:val="000000" w:themeColor="text1"/>
                <w:sz w:val="20"/>
                <w:szCs w:val="20"/>
              </w:rPr>
              <w:tab/>
            </w:r>
            <w:r w:rsidRPr="004E073C">
              <w:rPr>
                <w:b/>
                <w:bCs/>
                <w:color w:val="000000" w:themeColor="text1"/>
                <w:sz w:val="20"/>
                <w:szCs w:val="20"/>
              </w:rPr>
              <w:t>pi</w:t>
            </w:r>
            <w:r w:rsidR="00312142" w:rsidRPr="004E073C">
              <w:rPr>
                <w:b/>
                <w:bCs/>
                <w:color w:val="000000" w:themeColor="text1"/>
                <w:sz w:val="20"/>
                <w:szCs w:val="20"/>
              </w:rPr>
              <w:t>n</w:t>
            </w:r>
            <w:r w:rsidRPr="004E073C">
              <w:rPr>
                <w:b/>
                <w:bCs/>
                <w:color w:val="000000" w:themeColor="text1"/>
                <w:sz w:val="20"/>
                <w:szCs w:val="20"/>
              </w:rPr>
              <w:t>_region_auxiliary_data_flag</w:t>
            </w:r>
            <w:r w:rsidRPr="004E073C">
              <w:rPr>
                <w:color w:val="000000" w:themeColor="text1"/>
                <w:sz w:val="20"/>
                <w:szCs w:val="20"/>
              </w:rPr>
              <w:t>[ j ][ i ]</w:t>
            </w:r>
          </w:p>
        </w:tc>
        <w:tc>
          <w:tcPr>
            <w:tcW w:w="1253" w:type="dxa"/>
            <w:tcBorders>
              <w:top w:val="single" w:sz="4" w:space="0" w:color="auto"/>
              <w:left w:val="single" w:sz="4" w:space="0" w:color="auto"/>
              <w:bottom w:val="single" w:sz="4" w:space="0" w:color="auto"/>
              <w:right w:val="single" w:sz="4" w:space="0" w:color="auto"/>
            </w:tcBorders>
          </w:tcPr>
          <w:p w14:paraId="5E0F3836" w14:textId="77777777" w:rsidR="00056233" w:rsidRPr="004E073C" w:rsidRDefault="00056233" w:rsidP="004E073C">
            <w:pPr>
              <w:spacing w:before="20" w:after="20"/>
              <w:jc w:val="center"/>
              <w:rPr>
                <w:color w:val="000000" w:themeColor="text1"/>
                <w:sz w:val="20"/>
                <w:szCs w:val="20"/>
              </w:rPr>
            </w:pPr>
            <w:r w:rsidRPr="004E073C">
              <w:rPr>
                <w:color w:val="000000" w:themeColor="text1"/>
                <w:sz w:val="20"/>
                <w:szCs w:val="20"/>
              </w:rPr>
              <w:t>u(1)</w:t>
            </w:r>
          </w:p>
        </w:tc>
      </w:tr>
      <w:tr w:rsidR="00056233" w:rsidRPr="004E073C" w14:paraId="7CA9885B" w14:textId="77777777" w:rsidTr="00CA49A1">
        <w:tc>
          <w:tcPr>
            <w:tcW w:w="7921" w:type="dxa"/>
            <w:tcBorders>
              <w:top w:val="single" w:sz="4" w:space="0" w:color="auto"/>
              <w:left w:val="single" w:sz="4" w:space="0" w:color="auto"/>
              <w:bottom w:val="single" w:sz="4" w:space="0" w:color="auto"/>
              <w:right w:val="single" w:sz="4" w:space="0" w:color="auto"/>
            </w:tcBorders>
          </w:tcPr>
          <w:p w14:paraId="6C187BAE" w14:textId="1897CD35" w:rsidR="00056233" w:rsidRPr="004E073C" w:rsidRDefault="00056233" w:rsidP="004E073C">
            <w:pPr>
              <w:spacing w:before="20" w:after="20"/>
              <w:rPr>
                <w:color w:val="000000" w:themeColor="text1"/>
                <w:sz w:val="20"/>
                <w:szCs w:val="20"/>
              </w:rPr>
            </w:pPr>
            <w:r w:rsidRPr="004E073C">
              <w:rPr>
                <w:color w:val="000000" w:themeColor="text1"/>
                <w:sz w:val="20"/>
                <w:szCs w:val="20"/>
              </w:rPr>
              <w:tab/>
            </w:r>
            <w:r w:rsidRPr="004E073C">
              <w:rPr>
                <w:color w:val="000000" w:themeColor="text1"/>
                <w:sz w:val="20"/>
                <w:szCs w:val="20"/>
              </w:rPr>
              <w:tab/>
              <w:t>if( pi</w:t>
            </w:r>
            <w:r w:rsidR="00312142" w:rsidRPr="004E073C">
              <w:rPr>
                <w:color w:val="000000" w:themeColor="text1"/>
                <w:sz w:val="20"/>
                <w:szCs w:val="20"/>
              </w:rPr>
              <w:t>n</w:t>
            </w:r>
            <w:r w:rsidRPr="004E073C">
              <w:rPr>
                <w:color w:val="000000" w:themeColor="text1"/>
                <w:sz w:val="20"/>
                <w:szCs w:val="20"/>
              </w:rPr>
              <w:t>_region_type_id_minus2[ j ][ i ] + 2  = =  V3C_AVD ) {</w:t>
            </w:r>
          </w:p>
        </w:tc>
        <w:tc>
          <w:tcPr>
            <w:tcW w:w="1253" w:type="dxa"/>
            <w:tcBorders>
              <w:top w:val="single" w:sz="4" w:space="0" w:color="auto"/>
              <w:left w:val="single" w:sz="4" w:space="0" w:color="auto"/>
              <w:bottom w:val="single" w:sz="4" w:space="0" w:color="auto"/>
              <w:right w:val="single" w:sz="4" w:space="0" w:color="auto"/>
            </w:tcBorders>
          </w:tcPr>
          <w:p w14:paraId="024DC5CA" w14:textId="77777777" w:rsidR="00056233" w:rsidRPr="004E073C" w:rsidRDefault="00056233" w:rsidP="004E073C">
            <w:pPr>
              <w:spacing w:before="20" w:after="20"/>
              <w:jc w:val="center"/>
              <w:rPr>
                <w:color w:val="000000" w:themeColor="text1"/>
                <w:sz w:val="20"/>
                <w:szCs w:val="20"/>
              </w:rPr>
            </w:pPr>
          </w:p>
        </w:tc>
      </w:tr>
      <w:tr w:rsidR="00056233" w:rsidRPr="004E073C" w14:paraId="6B03E102" w14:textId="77777777" w:rsidTr="00CA49A1">
        <w:tc>
          <w:tcPr>
            <w:tcW w:w="7921" w:type="dxa"/>
            <w:tcBorders>
              <w:top w:val="single" w:sz="4" w:space="0" w:color="auto"/>
              <w:left w:val="single" w:sz="4" w:space="0" w:color="auto"/>
              <w:bottom w:val="single" w:sz="4" w:space="0" w:color="auto"/>
              <w:right w:val="single" w:sz="4" w:space="0" w:color="auto"/>
            </w:tcBorders>
          </w:tcPr>
          <w:p w14:paraId="0EE11130" w14:textId="12A82B25" w:rsidR="00056233" w:rsidRPr="004E073C" w:rsidRDefault="00056233" w:rsidP="004E073C">
            <w:pPr>
              <w:spacing w:before="20" w:after="20"/>
              <w:rPr>
                <w:color w:val="000000" w:themeColor="text1"/>
                <w:sz w:val="20"/>
                <w:szCs w:val="20"/>
              </w:rPr>
            </w:pPr>
            <w:r w:rsidRPr="004E073C">
              <w:rPr>
                <w:color w:val="000000" w:themeColor="text1"/>
                <w:sz w:val="20"/>
                <w:szCs w:val="20"/>
              </w:rPr>
              <w:tab/>
            </w:r>
            <w:r w:rsidRPr="004E073C">
              <w:rPr>
                <w:color w:val="000000" w:themeColor="text1"/>
                <w:sz w:val="20"/>
                <w:szCs w:val="20"/>
              </w:rPr>
              <w:tab/>
            </w:r>
            <w:r w:rsidRPr="004E073C">
              <w:rPr>
                <w:color w:val="000000" w:themeColor="text1"/>
                <w:sz w:val="20"/>
                <w:szCs w:val="20"/>
              </w:rPr>
              <w:tab/>
            </w:r>
            <w:r w:rsidRPr="004E073C">
              <w:rPr>
                <w:b/>
                <w:bCs/>
                <w:color w:val="000000" w:themeColor="text1"/>
                <w:sz w:val="20"/>
                <w:szCs w:val="20"/>
              </w:rPr>
              <w:t>pi</w:t>
            </w:r>
            <w:r w:rsidR="00312142" w:rsidRPr="004E073C">
              <w:rPr>
                <w:b/>
                <w:bCs/>
                <w:color w:val="000000" w:themeColor="text1"/>
                <w:sz w:val="20"/>
                <w:szCs w:val="20"/>
              </w:rPr>
              <w:t>n</w:t>
            </w:r>
            <w:r w:rsidRPr="004E073C">
              <w:rPr>
                <w:b/>
                <w:bCs/>
                <w:color w:val="000000" w:themeColor="text1"/>
                <w:sz w:val="20"/>
                <w:szCs w:val="20"/>
              </w:rPr>
              <w:t>_region_attr_type_id</w:t>
            </w:r>
            <w:r w:rsidRPr="004E073C">
              <w:rPr>
                <w:color w:val="000000" w:themeColor="text1"/>
                <w:sz w:val="20"/>
                <w:szCs w:val="20"/>
              </w:rPr>
              <w:t>[ j ][ i ]</w:t>
            </w:r>
          </w:p>
        </w:tc>
        <w:tc>
          <w:tcPr>
            <w:tcW w:w="1253" w:type="dxa"/>
            <w:tcBorders>
              <w:top w:val="single" w:sz="4" w:space="0" w:color="auto"/>
              <w:left w:val="single" w:sz="4" w:space="0" w:color="auto"/>
              <w:bottom w:val="single" w:sz="4" w:space="0" w:color="auto"/>
              <w:right w:val="single" w:sz="4" w:space="0" w:color="auto"/>
            </w:tcBorders>
          </w:tcPr>
          <w:p w14:paraId="6B5D07DF" w14:textId="77777777" w:rsidR="00056233" w:rsidRPr="004E073C" w:rsidRDefault="00056233" w:rsidP="004E073C">
            <w:pPr>
              <w:spacing w:before="20" w:after="20"/>
              <w:jc w:val="center"/>
              <w:rPr>
                <w:color w:val="000000" w:themeColor="text1"/>
                <w:sz w:val="20"/>
                <w:szCs w:val="20"/>
              </w:rPr>
            </w:pPr>
            <w:r w:rsidRPr="004E073C">
              <w:rPr>
                <w:color w:val="000000" w:themeColor="text1"/>
                <w:sz w:val="20"/>
                <w:szCs w:val="20"/>
              </w:rPr>
              <w:t>u(4)</w:t>
            </w:r>
          </w:p>
        </w:tc>
      </w:tr>
      <w:tr w:rsidR="00056233" w:rsidRPr="004E073C" w14:paraId="63973929" w14:textId="77777777" w:rsidTr="00CA49A1">
        <w:tc>
          <w:tcPr>
            <w:tcW w:w="7921" w:type="dxa"/>
            <w:tcBorders>
              <w:top w:val="single" w:sz="4" w:space="0" w:color="auto"/>
              <w:left w:val="single" w:sz="4" w:space="0" w:color="auto"/>
              <w:bottom w:val="single" w:sz="4" w:space="0" w:color="auto"/>
              <w:right w:val="single" w:sz="4" w:space="0" w:color="auto"/>
            </w:tcBorders>
          </w:tcPr>
          <w:p w14:paraId="0EDBF241" w14:textId="1E2CFC8D" w:rsidR="00056233" w:rsidRPr="004E073C" w:rsidRDefault="00056233" w:rsidP="004E073C">
            <w:pPr>
              <w:spacing w:before="20" w:after="20"/>
              <w:rPr>
                <w:color w:val="000000" w:themeColor="text1"/>
                <w:sz w:val="20"/>
                <w:szCs w:val="20"/>
              </w:rPr>
            </w:pPr>
            <w:r w:rsidRPr="004E073C">
              <w:rPr>
                <w:color w:val="000000" w:themeColor="text1"/>
                <w:sz w:val="20"/>
                <w:szCs w:val="20"/>
              </w:rPr>
              <w:tab/>
            </w:r>
            <w:r w:rsidRPr="004E073C">
              <w:rPr>
                <w:color w:val="000000" w:themeColor="text1"/>
                <w:sz w:val="20"/>
                <w:szCs w:val="20"/>
              </w:rPr>
              <w:tab/>
            </w:r>
            <w:r w:rsidRPr="004E073C">
              <w:rPr>
                <w:color w:val="000000" w:themeColor="text1"/>
                <w:sz w:val="20"/>
                <w:szCs w:val="20"/>
              </w:rPr>
              <w:tab/>
            </w:r>
            <w:r w:rsidRPr="004E073C">
              <w:rPr>
                <w:b/>
                <w:bCs/>
                <w:color w:val="000000" w:themeColor="text1"/>
                <w:sz w:val="20"/>
                <w:szCs w:val="20"/>
              </w:rPr>
              <w:t>pi</w:t>
            </w:r>
            <w:r w:rsidR="00312142" w:rsidRPr="004E073C">
              <w:rPr>
                <w:b/>
                <w:bCs/>
                <w:color w:val="000000" w:themeColor="text1"/>
                <w:sz w:val="20"/>
                <w:szCs w:val="20"/>
              </w:rPr>
              <w:t>n</w:t>
            </w:r>
            <w:r w:rsidRPr="004E073C">
              <w:rPr>
                <w:b/>
                <w:bCs/>
                <w:color w:val="000000" w:themeColor="text1"/>
                <w:sz w:val="20"/>
                <w:szCs w:val="20"/>
              </w:rPr>
              <w:t>_region_attr_partitions_flag</w:t>
            </w:r>
            <w:r w:rsidRPr="004E073C">
              <w:rPr>
                <w:color w:val="000000" w:themeColor="text1"/>
                <w:sz w:val="20"/>
                <w:szCs w:val="20"/>
              </w:rPr>
              <w:t>[ j ][ i ]</w:t>
            </w:r>
          </w:p>
        </w:tc>
        <w:tc>
          <w:tcPr>
            <w:tcW w:w="1253" w:type="dxa"/>
            <w:tcBorders>
              <w:top w:val="single" w:sz="4" w:space="0" w:color="auto"/>
              <w:left w:val="single" w:sz="4" w:space="0" w:color="auto"/>
              <w:bottom w:val="single" w:sz="4" w:space="0" w:color="auto"/>
              <w:right w:val="single" w:sz="4" w:space="0" w:color="auto"/>
            </w:tcBorders>
          </w:tcPr>
          <w:p w14:paraId="26E96A14" w14:textId="77777777" w:rsidR="00056233" w:rsidRPr="004E073C" w:rsidRDefault="00056233" w:rsidP="004E073C">
            <w:pPr>
              <w:spacing w:before="20" w:after="20"/>
              <w:jc w:val="center"/>
              <w:rPr>
                <w:color w:val="000000" w:themeColor="text1"/>
                <w:sz w:val="20"/>
                <w:szCs w:val="20"/>
              </w:rPr>
            </w:pPr>
          </w:p>
        </w:tc>
      </w:tr>
      <w:tr w:rsidR="00056233" w:rsidRPr="004E073C" w14:paraId="0C862F47" w14:textId="77777777" w:rsidTr="00CA49A1">
        <w:tc>
          <w:tcPr>
            <w:tcW w:w="7921" w:type="dxa"/>
            <w:tcBorders>
              <w:top w:val="single" w:sz="4" w:space="0" w:color="auto"/>
              <w:left w:val="single" w:sz="4" w:space="0" w:color="auto"/>
              <w:bottom w:val="single" w:sz="4" w:space="0" w:color="auto"/>
              <w:right w:val="single" w:sz="4" w:space="0" w:color="auto"/>
            </w:tcBorders>
          </w:tcPr>
          <w:p w14:paraId="3B78C711" w14:textId="3EE1686B" w:rsidR="00056233" w:rsidRPr="004E073C" w:rsidRDefault="00056233" w:rsidP="004E073C">
            <w:pPr>
              <w:spacing w:before="20" w:after="20"/>
              <w:rPr>
                <w:color w:val="000000" w:themeColor="text1"/>
                <w:sz w:val="20"/>
                <w:szCs w:val="20"/>
              </w:rPr>
            </w:pPr>
            <w:r w:rsidRPr="004E073C">
              <w:rPr>
                <w:color w:val="000000" w:themeColor="text1"/>
                <w:sz w:val="20"/>
                <w:szCs w:val="20"/>
              </w:rPr>
              <w:tab/>
            </w:r>
            <w:r w:rsidRPr="004E073C">
              <w:rPr>
                <w:color w:val="000000" w:themeColor="text1"/>
                <w:sz w:val="20"/>
                <w:szCs w:val="20"/>
              </w:rPr>
              <w:tab/>
            </w:r>
            <w:r w:rsidRPr="004E073C">
              <w:rPr>
                <w:color w:val="000000" w:themeColor="text1"/>
                <w:sz w:val="20"/>
                <w:szCs w:val="20"/>
              </w:rPr>
              <w:tab/>
              <w:t>if( pi</w:t>
            </w:r>
            <w:r w:rsidR="00312142" w:rsidRPr="004E073C">
              <w:rPr>
                <w:color w:val="000000" w:themeColor="text1"/>
                <w:sz w:val="20"/>
                <w:szCs w:val="20"/>
              </w:rPr>
              <w:t>n</w:t>
            </w:r>
            <w:r w:rsidRPr="004E073C">
              <w:rPr>
                <w:color w:val="000000" w:themeColor="text1"/>
                <w:sz w:val="20"/>
                <w:szCs w:val="20"/>
              </w:rPr>
              <w:t>_region_attr_partitions_flag[ j ][ i ] )</w:t>
            </w:r>
          </w:p>
        </w:tc>
        <w:tc>
          <w:tcPr>
            <w:tcW w:w="1253" w:type="dxa"/>
            <w:tcBorders>
              <w:top w:val="single" w:sz="4" w:space="0" w:color="auto"/>
              <w:left w:val="single" w:sz="4" w:space="0" w:color="auto"/>
              <w:bottom w:val="single" w:sz="4" w:space="0" w:color="auto"/>
              <w:right w:val="single" w:sz="4" w:space="0" w:color="auto"/>
            </w:tcBorders>
          </w:tcPr>
          <w:p w14:paraId="2379A39B" w14:textId="77777777" w:rsidR="00056233" w:rsidRPr="004E073C" w:rsidRDefault="00056233" w:rsidP="004E073C">
            <w:pPr>
              <w:spacing w:before="20" w:after="20"/>
              <w:jc w:val="center"/>
              <w:rPr>
                <w:color w:val="000000" w:themeColor="text1"/>
                <w:sz w:val="20"/>
                <w:szCs w:val="20"/>
              </w:rPr>
            </w:pPr>
          </w:p>
        </w:tc>
      </w:tr>
      <w:tr w:rsidR="00056233" w:rsidRPr="004E073C" w14:paraId="6CEFD7E9" w14:textId="77777777" w:rsidTr="00CA49A1">
        <w:tc>
          <w:tcPr>
            <w:tcW w:w="7921" w:type="dxa"/>
            <w:tcBorders>
              <w:top w:val="single" w:sz="4" w:space="0" w:color="auto"/>
              <w:left w:val="single" w:sz="4" w:space="0" w:color="auto"/>
              <w:bottom w:val="single" w:sz="4" w:space="0" w:color="auto"/>
              <w:right w:val="single" w:sz="4" w:space="0" w:color="auto"/>
            </w:tcBorders>
          </w:tcPr>
          <w:p w14:paraId="12D07297" w14:textId="686F9760" w:rsidR="00056233" w:rsidRPr="004E073C" w:rsidRDefault="00056233" w:rsidP="004E073C">
            <w:pPr>
              <w:spacing w:before="20" w:after="20"/>
              <w:rPr>
                <w:color w:val="000000" w:themeColor="text1"/>
                <w:sz w:val="20"/>
                <w:szCs w:val="20"/>
              </w:rPr>
            </w:pPr>
            <w:r w:rsidRPr="004E073C">
              <w:rPr>
                <w:color w:val="000000" w:themeColor="text1"/>
                <w:sz w:val="20"/>
                <w:szCs w:val="20"/>
              </w:rPr>
              <w:tab/>
            </w:r>
            <w:r w:rsidRPr="004E073C">
              <w:rPr>
                <w:color w:val="000000" w:themeColor="text1"/>
                <w:sz w:val="20"/>
                <w:szCs w:val="20"/>
              </w:rPr>
              <w:tab/>
            </w:r>
            <w:r w:rsidRPr="004E073C">
              <w:rPr>
                <w:color w:val="000000" w:themeColor="text1"/>
                <w:sz w:val="20"/>
                <w:szCs w:val="20"/>
              </w:rPr>
              <w:tab/>
            </w:r>
            <w:r w:rsidRPr="004E073C">
              <w:rPr>
                <w:color w:val="000000" w:themeColor="text1"/>
                <w:sz w:val="20"/>
                <w:szCs w:val="20"/>
              </w:rPr>
              <w:tab/>
            </w:r>
            <w:r w:rsidRPr="004E073C">
              <w:rPr>
                <w:b/>
                <w:bCs/>
                <w:color w:val="000000" w:themeColor="text1"/>
                <w:sz w:val="20"/>
                <w:szCs w:val="20"/>
              </w:rPr>
              <w:t>pi</w:t>
            </w:r>
            <w:r w:rsidR="00312142" w:rsidRPr="004E073C">
              <w:rPr>
                <w:b/>
                <w:bCs/>
                <w:color w:val="000000" w:themeColor="text1"/>
                <w:sz w:val="20"/>
                <w:szCs w:val="20"/>
              </w:rPr>
              <w:t>n</w:t>
            </w:r>
            <w:r w:rsidRPr="004E073C">
              <w:rPr>
                <w:b/>
                <w:bCs/>
                <w:color w:val="000000" w:themeColor="text1"/>
                <w:sz w:val="20"/>
                <w:szCs w:val="20"/>
              </w:rPr>
              <w:t>_region_attr_partition_index</w:t>
            </w:r>
            <w:r w:rsidRPr="004E073C">
              <w:rPr>
                <w:color w:val="000000" w:themeColor="text1"/>
                <w:sz w:val="20"/>
                <w:szCs w:val="20"/>
              </w:rPr>
              <w:t>[ j ][ i ]</w:t>
            </w:r>
          </w:p>
        </w:tc>
        <w:tc>
          <w:tcPr>
            <w:tcW w:w="1253" w:type="dxa"/>
            <w:tcBorders>
              <w:top w:val="single" w:sz="4" w:space="0" w:color="auto"/>
              <w:left w:val="single" w:sz="4" w:space="0" w:color="auto"/>
              <w:bottom w:val="single" w:sz="4" w:space="0" w:color="auto"/>
              <w:right w:val="single" w:sz="4" w:space="0" w:color="auto"/>
            </w:tcBorders>
          </w:tcPr>
          <w:p w14:paraId="61C8BC62" w14:textId="77777777" w:rsidR="00056233" w:rsidRPr="004E073C" w:rsidRDefault="00056233" w:rsidP="004E073C">
            <w:pPr>
              <w:spacing w:before="20" w:after="20"/>
              <w:jc w:val="center"/>
              <w:rPr>
                <w:color w:val="000000" w:themeColor="text1"/>
                <w:sz w:val="20"/>
                <w:szCs w:val="20"/>
              </w:rPr>
            </w:pPr>
            <w:r w:rsidRPr="004E073C">
              <w:rPr>
                <w:color w:val="000000" w:themeColor="text1"/>
                <w:sz w:val="20"/>
                <w:szCs w:val="20"/>
              </w:rPr>
              <w:t>u(5)</w:t>
            </w:r>
          </w:p>
        </w:tc>
      </w:tr>
      <w:tr w:rsidR="00056233" w:rsidRPr="004E073C" w14:paraId="7A98E55E" w14:textId="77777777" w:rsidTr="00CA49A1">
        <w:tc>
          <w:tcPr>
            <w:tcW w:w="7921" w:type="dxa"/>
            <w:tcBorders>
              <w:top w:val="single" w:sz="4" w:space="0" w:color="auto"/>
              <w:left w:val="single" w:sz="4" w:space="0" w:color="auto"/>
              <w:bottom w:val="single" w:sz="4" w:space="0" w:color="auto"/>
              <w:right w:val="single" w:sz="4" w:space="0" w:color="auto"/>
            </w:tcBorders>
          </w:tcPr>
          <w:p w14:paraId="483AFD74" w14:textId="1C0F3B28" w:rsidR="00056233" w:rsidRPr="004E073C" w:rsidRDefault="00056233" w:rsidP="004E073C">
            <w:pPr>
              <w:spacing w:before="20" w:after="20"/>
              <w:rPr>
                <w:color w:val="000000" w:themeColor="text1"/>
                <w:sz w:val="20"/>
                <w:szCs w:val="20"/>
              </w:rPr>
            </w:pPr>
            <w:r w:rsidRPr="004E073C">
              <w:rPr>
                <w:color w:val="000000" w:themeColor="text1"/>
                <w:sz w:val="20"/>
                <w:szCs w:val="20"/>
              </w:rPr>
              <w:tab/>
            </w:r>
            <w:r w:rsidRPr="004E073C">
              <w:rPr>
                <w:color w:val="000000" w:themeColor="text1"/>
                <w:sz w:val="20"/>
                <w:szCs w:val="20"/>
              </w:rPr>
              <w:tab/>
            </w:r>
            <w:r w:rsidRPr="004E073C">
              <w:rPr>
                <w:color w:val="000000" w:themeColor="text1"/>
                <w:sz w:val="20"/>
                <w:szCs w:val="20"/>
              </w:rPr>
              <w:tab/>
            </w:r>
            <w:r w:rsidRPr="004E073C">
              <w:rPr>
                <w:color w:val="000000" w:themeColor="text1"/>
                <w:sz w:val="20"/>
                <w:szCs w:val="20"/>
              </w:rPr>
              <w:tab/>
              <w:t>if( pi</w:t>
            </w:r>
            <w:r w:rsidR="00312142" w:rsidRPr="004E073C">
              <w:rPr>
                <w:color w:val="000000" w:themeColor="text1"/>
                <w:sz w:val="20"/>
                <w:szCs w:val="20"/>
              </w:rPr>
              <w:t>n</w:t>
            </w:r>
            <w:r w:rsidRPr="004E073C">
              <w:rPr>
                <w:color w:val="000000" w:themeColor="text1"/>
                <w:sz w:val="20"/>
                <w:szCs w:val="20"/>
              </w:rPr>
              <w:t>_region_attr_partition_index[ j ][ i ]  = =  0 )</w:t>
            </w:r>
          </w:p>
        </w:tc>
        <w:tc>
          <w:tcPr>
            <w:tcW w:w="1253" w:type="dxa"/>
            <w:tcBorders>
              <w:top w:val="single" w:sz="4" w:space="0" w:color="auto"/>
              <w:left w:val="single" w:sz="4" w:space="0" w:color="auto"/>
              <w:bottom w:val="single" w:sz="4" w:space="0" w:color="auto"/>
              <w:right w:val="single" w:sz="4" w:space="0" w:color="auto"/>
            </w:tcBorders>
          </w:tcPr>
          <w:p w14:paraId="1A1A3611" w14:textId="77777777" w:rsidR="00056233" w:rsidRPr="004E073C" w:rsidRDefault="00056233" w:rsidP="004E073C">
            <w:pPr>
              <w:spacing w:before="20" w:after="20"/>
              <w:jc w:val="center"/>
              <w:rPr>
                <w:color w:val="000000" w:themeColor="text1"/>
                <w:sz w:val="20"/>
                <w:szCs w:val="20"/>
              </w:rPr>
            </w:pPr>
          </w:p>
        </w:tc>
      </w:tr>
      <w:tr w:rsidR="00056233" w:rsidRPr="004E073C" w14:paraId="00B02C9F" w14:textId="77777777" w:rsidTr="00CA49A1">
        <w:tc>
          <w:tcPr>
            <w:tcW w:w="7921" w:type="dxa"/>
            <w:tcBorders>
              <w:top w:val="single" w:sz="4" w:space="0" w:color="auto"/>
              <w:left w:val="single" w:sz="4" w:space="0" w:color="auto"/>
              <w:bottom w:val="single" w:sz="4" w:space="0" w:color="auto"/>
              <w:right w:val="single" w:sz="4" w:space="0" w:color="auto"/>
            </w:tcBorders>
          </w:tcPr>
          <w:p w14:paraId="56A43405" w14:textId="0F5D3BFC" w:rsidR="00056233" w:rsidRPr="004E073C" w:rsidRDefault="00056233" w:rsidP="004E073C">
            <w:pPr>
              <w:spacing w:before="20" w:after="20"/>
              <w:rPr>
                <w:color w:val="000000" w:themeColor="text1"/>
                <w:sz w:val="20"/>
                <w:szCs w:val="20"/>
              </w:rPr>
            </w:pPr>
            <w:r w:rsidRPr="004E073C">
              <w:rPr>
                <w:color w:val="000000" w:themeColor="text1"/>
                <w:sz w:val="20"/>
                <w:szCs w:val="20"/>
              </w:rPr>
              <w:tab/>
            </w:r>
            <w:r w:rsidRPr="004E073C">
              <w:rPr>
                <w:color w:val="000000" w:themeColor="text1"/>
                <w:sz w:val="20"/>
                <w:szCs w:val="20"/>
              </w:rPr>
              <w:tab/>
            </w:r>
            <w:r w:rsidRPr="004E073C">
              <w:rPr>
                <w:color w:val="000000" w:themeColor="text1"/>
                <w:sz w:val="20"/>
                <w:szCs w:val="20"/>
              </w:rPr>
              <w:tab/>
            </w:r>
            <w:r w:rsidRPr="004E073C">
              <w:rPr>
                <w:color w:val="000000" w:themeColor="text1"/>
                <w:sz w:val="20"/>
                <w:szCs w:val="20"/>
              </w:rPr>
              <w:tab/>
            </w:r>
            <w:r w:rsidRPr="004E073C">
              <w:rPr>
                <w:color w:val="000000" w:themeColor="text1"/>
                <w:sz w:val="20"/>
                <w:szCs w:val="20"/>
              </w:rPr>
              <w:tab/>
            </w:r>
            <w:r w:rsidRPr="004E073C">
              <w:rPr>
                <w:b/>
                <w:bCs/>
                <w:color w:val="000000" w:themeColor="text1"/>
                <w:sz w:val="20"/>
                <w:szCs w:val="20"/>
              </w:rPr>
              <w:t>pi</w:t>
            </w:r>
            <w:r w:rsidR="00312142" w:rsidRPr="004E073C">
              <w:rPr>
                <w:b/>
                <w:bCs/>
                <w:color w:val="000000" w:themeColor="text1"/>
                <w:sz w:val="20"/>
                <w:szCs w:val="20"/>
              </w:rPr>
              <w:t>n</w:t>
            </w:r>
            <w:r w:rsidRPr="004E073C">
              <w:rPr>
                <w:b/>
                <w:bCs/>
                <w:color w:val="000000" w:themeColor="text1"/>
                <w:sz w:val="20"/>
                <w:szCs w:val="20"/>
              </w:rPr>
              <w:t>_region_attr_partitions_minus1</w:t>
            </w:r>
            <w:r w:rsidRPr="004E073C">
              <w:rPr>
                <w:color w:val="000000" w:themeColor="text1"/>
                <w:sz w:val="20"/>
                <w:szCs w:val="20"/>
              </w:rPr>
              <w:t>[ j ][ i ]</w:t>
            </w:r>
          </w:p>
        </w:tc>
        <w:tc>
          <w:tcPr>
            <w:tcW w:w="1253" w:type="dxa"/>
            <w:tcBorders>
              <w:top w:val="single" w:sz="4" w:space="0" w:color="auto"/>
              <w:left w:val="single" w:sz="4" w:space="0" w:color="auto"/>
              <w:bottom w:val="single" w:sz="4" w:space="0" w:color="auto"/>
              <w:right w:val="single" w:sz="4" w:space="0" w:color="auto"/>
            </w:tcBorders>
          </w:tcPr>
          <w:p w14:paraId="746C7ACE" w14:textId="77777777" w:rsidR="00056233" w:rsidRPr="004E073C" w:rsidRDefault="00056233" w:rsidP="004E073C">
            <w:pPr>
              <w:spacing w:before="20" w:after="20"/>
              <w:jc w:val="center"/>
              <w:rPr>
                <w:color w:val="000000" w:themeColor="text1"/>
                <w:sz w:val="20"/>
                <w:szCs w:val="20"/>
              </w:rPr>
            </w:pPr>
            <w:r w:rsidRPr="004E073C">
              <w:rPr>
                <w:color w:val="000000" w:themeColor="text1"/>
                <w:sz w:val="20"/>
                <w:szCs w:val="20"/>
              </w:rPr>
              <w:t>u(6)</w:t>
            </w:r>
          </w:p>
        </w:tc>
      </w:tr>
      <w:tr w:rsidR="00056233" w:rsidRPr="004E073C" w14:paraId="20959055" w14:textId="77777777" w:rsidTr="00CA49A1">
        <w:tc>
          <w:tcPr>
            <w:tcW w:w="7921" w:type="dxa"/>
            <w:tcBorders>
              <w:top w:val="single" w:sz="4" w:space="0" w:color="auto"/>
              <w:left w:val="single" w:sz="4" w:space="0" w:color="auto"/>
              <w:bottom w:val="single" w:sz="4" w:space="0" w:color="auto"/>
              <w:right w:val="single" w:sz="4" w:space="0" w:color="auto"/>
            </w:tcBorders>
          </w:tcPr>
          <w:p w14:paraId="01AC85F0" w14:textId="77777777" w:rsidR="00056233" w:rsidRPr="004E073C" w:rsidRDefault="00056233" w:rsidP="004E073C">
            <w:pPr>
              <w:spacing w:before="20" w:after="20"/>
              <w:rPr>
                <w:color w:val="000000" w:themeColor="text1"/>
                <w:sz w:val="20"/>
                <w:szCs w:val="20"/>
              </w:rPr>
            </w:pPr>
            <w:r w:rsidRPr="004E073C">
              <w:rPr>
                <w:color w:val="000000" w:themeColor="text1"/>
                <w:sz w:val="20"/>
                <w:szCs w:val="20"/>
              </w:rPr>
              <w:tab/>
            </w:r>
            <w:r w:rsidRPr="004E073C">
              <w:rPr>
                <w:color w:val="000000" w:themeColor="text1"/>
                <w:sz w:val="20"/>
                <w:szCs w:val="20"/>
              </w:rPr>
              <w:tab/>
              <w:t>}</w:t>
            </w:r>
          </w:p>
        </w:tc>
        <w:tc>
          <w:tcPr>
            <w:tcW w:w="1253" w:type="dxa"/>
            <w:tcBorders>
              <w:top w:val="single" w:sz="4" w:space="0" w:color="auto"/>
              <w:left w:val="single" w:sz="4" w:space="0" w:color="auto"/>
              <w:bottom w:val="single" w:sz="4" w:space="0" w:color="auto"/>
              <w:right w:val="single" w:sz="4" w:space="0" w:color="auto"/>
            </w:tcBorders>
          </w:tcPr>
          <w:p w14:paraId="529B082D" w14:textId="77777777" w:rsidR="00056233" w:rsidRPr="004E073C" w:rsidRDefault="00056233" w:rsidP="004E073C">
            <w:pPr>
              <w:spacing w:before="20" w:after="20"/>
              <w:jc w:val="center"/>
              <w:rPr>
                <w:color w:val="000000" w:themeColor="text1"/>
                <w:sz w:val="20"/>
                <w:szCs w:val="20"/>
              </w:rPr>
            </w:pPr>
          </w:p>
        </w:tc>
      </w:tr>
      <w:tr w:rsidR="00056233" w:rsidRPr="004E073C" w14:paraId="2C3DF8BF" w14:textId="77777777" w:rsidTr="00CA49A1">
        <w:tc>
          <w:tcPr>
            <w:tcW w:w="7921" w:type="dxa"/>
            <w:tcBorders>
              <w:top w:val="single" w:sz="4" w:space="0" w:color="auto"/>
              <w:left w:val="single" w:sz="4" w:space="0" w:color="auto"/>
              <w:bottom w:val="single" w:sz="4" w:space="0" w:color="auto"/>
              <w:right w:val="single" w:sz="4" w:space="0" w:color="auto"/>
            </w:tcBorders>
          </w:tcPr>
          <w:p w14:paraId="24CEE047" w14:textId="77777777" w:rsidR="00056233" w:rsidRPr="004E073C" w:rsidRDefault="00056233" w:rsidP="004E073C">
            <w:pPr>
              <w:spacing w:before="20" w:after="20"/>
              <w:rPr>
                <w:color w:val="000000" w:themeColor="text1"/>
                <w:sz w:val="20"/>
                <w:szCs w:val="20"/>
              </w:rPr>
            </w:pPr>
            <w:r w:rsidRPr="004E073C">
              <w:rPr>
                <w:color w:val="000000" w:themeColor="text1"/>
                <w:sz w:val="20"/>
                <w:szCs w:val="20"/>
              </w:rPr>
              <w:tab/>
              <w:t>}</w:t>
            </w:r>
          </w:p>
        </w:tc>
        <w:tc>
          <w:tcPr>
            <w:tcW w:w="1253" w:type="dxa"/>
            <w:tcBorders>
              <w:top w:val="single" w:sz="4" w:space="0" w:color="auto"/>
              <w:left w:val="single" w:sz="4" w:space="0" w:color="auto"/>
              <w:bottom w:val="single" w:sz="4" w:space="0" w:color="auto"/>
              <w:right w:val="single" w:sz="4" w:space="0" w:color="auto"/>
            </w:tcBorders>
          </w:tcPr>
          <w:p w14:paraId="2F7EBDA4" w14:textId="77777777" w:rsidR="00056233" w:rsidRPr="004E073C" w:rsidRDefault="00056233" w:rsidP="004E073C">
            <w:pPr>
              <w:spacing w:before="20" w:after="20"/>
              <w:jc w:val="center"/>
              <w:rPr>
                <w:color w:val="000000" w:themeColor="text1"/>
                <w:sz w:val="20"/>
                <w:szCs w:val="20"/>
              </w:rPr>
            </w:pPr>
          </w:p>
        </w:tc>
      </w:tr>
      <w:tr w:rsidR="00056233" w:rsidRPr="004E073C" w14:paraId="190C3366" w14:textId="77777777" w:rsidTr="00CA49A1">
        <w:tc>
          <w:tcPr>
            <w:tcW w:w="7921" w:type="dxa"/>
            <w:tcBorders>
              <w:top w:val="single" w:sz="4" w:space="0" w:color="auto"/>
              <w:left w:val="single" w:sz="4" w:space="0" w:color="auto"/>
              <w:bottom w:val="single" w:sz="4" w:space="0" w:color="auto"/>
              <w:right w:val="single" w:sz="4" w:space="0" w:color="auto"/>
            </w:tcBorders>
          </w:tcPr>
          <w:p w14:paraId="607C8BC1" w14:textId="77777777" w:rsidR="00056233" w:rsidRPr="004E073C" w:rsidRDefault="00056233" w:rsidP="004E073C">
            <w:pPr>
              <w:spacing w:before="20" w:after="20"/>
              <w:rPr>
                <w:color w:val="000000" w:themeColor="text1"/>
                <w:sz w:val="20"/>
                <w:szCs w:val="20"/>
              </w:rPr>
            </w:pPr>
            <w:r w:rsidRPr="004E073C">
              <w:rPr>
                <w:color w:val="000000" w:themeColor="text1"/>
                <w:sz w:val="20"/>
                <w:szCs w:val="20"/>
              </w:rPr>
              <w:t>}</w:t>
            </w:r>
          </w:p>
        </w:tc>
        <w:tc>
          <w:tcPr>
            <w:tcW w:w="1253" w:type="dxa"/>
            <w:tcBorders>
              <w:top w:val="single" w:sz="4" w:space="0" w:color="auto"/>
              <w:left w:val="single" w:sz="4" w:space="0" w:color="auto"/>
              <w:bottom w:val="single" w:sz="4" w:space="0" w:color="auto"/>
              <w:right w:val="single" w:sz="4" w:space="0" w:color="auto"/>
            </w:tcBorders>
          </w:tcPr>
          <w:p w14:paraId="250A592F" w14:textId="77777777" w:rsidR="00056233" w:rsidRPr="004E073C" w:rsidRDefault="00056233" w:rsidP="004E073C">
            <w:pPr>
              <w:spacing w:before="20" w:after="20"/>
              <w:jc w:val="center"/>
              <w:rPr>
                <w:color w:val="000000" w:themeColor="text1"/>
                <w:sz w:val="20"/>
                <w:szCs w:val="20"/>
              </w:rPr>
            </w:pPr>
          </w:p>
        </w:tc>
      </w:tr>
    </w:tbl>
    <w:p w14:paraId="0B0C389C" w14:textId="77777777" w:rsidR="009B4D27" w:rsidRPr="00A52AB8" w:rsidRDefault="00AE5B5A" w:rsidP="004F7C57">
      <w:pPr>
        <w:pStyle w:val="Heading3"/>
      </w:pPr>
      <w:bookmarkStart w:id="704" w:name="_Toc52181607"/>
      <w:r w:rsidRPr="00A52AB8">
        <w:t>NAL</w:t>
      </w:r>
      <w:r w:rsidR="0070402F" w:rsidRPr="00A52AB8">
        <w:t xml:space="preserve"> </w:t>
      </w:r>
      <w:r w:rsidR="00422EA9" w:rsidRPr="00A52AB8">
        <w:t xml:space="preserve">unit </w:t>
      </w:r>
      <w:r w:rsidR="00203A97" w:rsidRPr="00A52AB8">
        <w:t>syntax</w:t>
      </w:r>
      <w:bookmarkEnd w:id="699"/>
      <w:bookmarkEnd w:id="703"/>
      <w:bookmarkEnd w:id="704"/>
    </w:p>
    <w:p w14:paraId="6EE46FE4" w14:textId="77777777" w:rsidR="00A26356" w:rsidRPr="00A52AB8" w:rsidRDefault="00A26356" w:rsidP="00CB76AA">
      <w:pPr>
        <w:pStyle w:val="Heading4"/>
      </w:pPr>
      <w:r w:rsidRPr="00A52AB8">
        <w:t xml:space="preserve">General </w:t>
      </w:r>
      <w:r w:rsidR="00AE5B5A" w:rsidRPr="00A52AB8">
        <w:t>NAL</w:t>
      </w:r>
      <w:r w:rsidR="00422EA9" w:rsidRPr="00A52AB8">
        <w:t xml:space="preserve"> unit</w:t>
      </w:r>
      <w:r w:rsidR="00566AA2" w:rsidRPr="00A52AB8">
        <w:t xml:space="preserve"> </w:t>
      </w:r>
      <w:r w:rsidRPr="00A52AB8">
        <w:t>syntax</w:t>
      </w:r>
    </w:p>
    <w:tbl>
      <w:tblPr>
        <w:tblStyle w:val="TableGrid"/>
        <w:tblW w:w="5000" w:type="pct"/>
        <w:jc w:val="center"/>
        <w:tblLayout w:type="fixed"/>
        <w:tblLook w:val="04A0" w:firstRow="1" w:lastRow="0" w:firstColumn="1" w:lastColumn="0" w:noHBand="0" w:noVBand="1"/>
      </w:tblPr>
      <w:tblGrid>
        <w:gridCol w:w="8411"/>
        <w:gridCol w:w="1331"/>
      </w:tblGrid>
      <w:tr w:rsidR="009B4D27" w:rsidRPr="00A52AB8" w14:paraId="055AB27C" w14:textId="77777777" w:rsidTr="00A252B5">
        <w:trPr>
          <w:jc w:val="center"/>
        </w:trPr>
        <w:tc>
          <w:tcPr>
            <w:tcW w:w="7921" w:type="dxa"/>
          </w:tcPr>
          <w:p w14:paraId="4CA57903" w14:textId="16CE1C73" w:rsidR="009B4D27" w:rsidRPr="00A52AB8" w:rsidRDefault="00AE5B5A">
            <w:pPr>
              <w:spacing w:before="20" w:after="20"/>
              <w:rPr>
                <w:color w:val="000000" w:themeColor="text1"/>
                <w:sz w:val="20"/>
                <w:szCs w:val="20"/>
              </w:rPr>
            </w:pPr>
            <w:r w:rsidRPr="00A52AB8">
              <w:rPr>
                <w:color w:val="000000" w:themeColor="text1"/>
                <w:sz w:val="20"/>
                <w:szCs w:val="20"/>
              </w:rPr>
              <w:t>nal</w:t>
            </w:r>
            <w:r w:rsidR="009B4D27" w:rsidRPr="00A52AB8">
              <w:rPr>
                <w:color w:val="000000" w:themeColor="text1"/>
                <w:sz w:val="20"/>
                <w:szCs w:val="20"/>
              </w:rPr>
              <w:t>_</w:t>
            </w:r>
            <w:r w:rsidR="00566AA2" w:rsidRPr="00A52AB8">
              <w:rPr>
                <w:color w:val="000000" w:themeColor="text1"/>
                <w:sz w:val="20"/>
                <w:szCs w:val="20"/>
              </w:rPr>
              <w:t>unit</w:t>
            </w:r>
            <w:r w:rsidR="009B4D27" w:rsidRPr="00A52AB8">
              <w:rPr>
                <w:color w:val="000000" w:themeColor="text1"/>
                <w:sz w:val="20"/>
                <w:szCs w:val="20"/>
              </w:rPr>
              <w:t>( </w:t>
            </w:r>
            <w:r w:rsidR="00CC2F71" w:rsidRPr="00A52AB8">
              <w:rPr>
                <w:sz w:val="20"/>
                <w:szCs w:val="20"/>
              </w:rPr>
              <w:t>NumBytesIn</w:t>
            </w:r>
            <w:r w:rsidRPr="00A52AB8">
              <w:rPr>
                <w:sz w:val="20"/>
                <w:szCs w:val="20"/>
              </w:rPr>
              <w:t>Nal</w:t>
            </w:r>
            <w:r w:rsidR="00CC2F71" w:rsidRPr="00A52AB8">
              <w:rPr>
                <w:sz w:val="20"/>
                <w:szCs w:val="20"/>
              </w:rPr>
              <w:t>Unit </w:t>
            </w:r>
            <w:r w:rsidR="008F1F82" w:rsidRPr="00A52AB8">
              <w:rPr>
                <w:color w:val="000000" w:themeColor="text1"/>
                <w:sz w:val="20"/>
                <w:szCs w:val="20"/>
              </w:rPr>
              <w:t>) {</w:t>
            </w:r>
          </w:p>
        </w:tc>
        <w:tc>
          <w:tcPr>
            <w:tcW w:w="1253" w:type="dxa"/>
          </w:tcPr>
          <w:p w14:paraId="0320333F" w14:textId="77777777" w:rsidR="009B4D27" w:rsidRPr="00A52AB8" w:rsidRDefault="009B4D27">
            <w:pPr>
              <w:spacing w:before="20" w:after="20"/>
              <w:jc w:val="center"/>
              <w:rPr>
                <w:b/>
                <w:color w:val="000000" w:themeColor="text1"/>
                <w:sz w:val="20"/>
                <w:szCs w:val="20"/>
              </w:rPr>
            </w:pPr>
            <w:r w:rsidRPr="00A52AB8">
              <w:rPr>
                <w:b/>
                <w:color w:val="000000" w:themeColor="text1"/>
                <w:sz w:val="20"/>
                <w:szCs w:val="20"/>
              </w:rPr>
              <w:t>Descriptor</w:t>
            </w:r>
          </w:p>
        </w:tc>
      </w:tr>
      <w:tr w:rsidR="009B4D27" w:rsidRPr="00A52AB8" w14:paraId="1D3E1BFF" w14:textId="77777777" w:rsidTr="00A252B5">
        <w:trPr>
          <w:jc w:val="center"/>
        </w:trPr>
        <w:tc>
          <w:tcPr>
            <w:tcW w:w="7921" w:type="dxa"/>
          </w:tcPr>
          <w:p w14:paraId="037DF42D" w14:textId="77777777" w:rsidR="009B4D27" w:rsidRPr="00A52AB8" w:rsidRDefault="009B4D27" w:rsidP="004F7C57">
            <w:pPr>
              <w:spacing w:before="20" w:after="20"/>
              <w:rPr>
                <w:b/>
                <w:color w:val="000000" w:themeColor="text1"/>
                <w:sz w:val="20"/>
                <w:szCs w:val="20"/>
              </w:rPr>
            </w:pPr>
            <w:r w:rsidRPr="00A52AB8">
              <w:rPr>
                <w:color w:val="000000" w:themeColor="text1"/>
                <w:sz w:val="20"/>
                <w:szCs w:val="20"/>
              </w:rPr>
              <w:tab/>
            </w:r>
            <w:r w:rsidR="00AE5B5A" w:rsidRPr="00A52AB8">
              <w:rPr>
                <w:color w:val="000000" w:themeColor="text1"/>
                <w:sz w:val="20"/>
                <w:szCs w:val="20"/>
              </w:rPr>
              <w:t>nal</w:t>
            </w:r>
            <w:r w:rsidR="00566AA2" w:rsidRPr="00A52AB8">
              <w:rPr>
                <w:color w:val="000000" w:themeColor="text1"/>
                <w:sz w:val="20"/>
                <w:szCs w:val="20"/>
              </w:rPr>
              <w:t>_unit_header( )</w:t>
            </w:r>
          </w:p>
        </w:tc>
        <w:tc>
          <w:tcPr>
            <w:tcW w:w="1253" w:type="dxa"/>
          </w:tcPr>
          <w:p w14:paraId="120D2481" w14:textId="77777777" w:rsidR="009B4D27" w:rsidRPr="00A52AB8" w:rsidRDefault="009B4D27" w:rsidP="004F7C57">
            <w:pPr>
              <w:spacing w:before="20" w:after="20"/>
              <w:jc w:val="center"/>
              <w:rPr>
                <w:color w:val="000000" w:themeColor="text1"/>
                <w:sz w:val="20"/>
                <w:szCs w:val="20"/>
              </w:rPr>
            </w:pPr>
          </w:p>
        </w:tc>
      </w:tr>
      <w:tr w:rsidR="009B4D27" w:rsidRPr="00A52AB8" w14:paraId="4CC49BAC" w14:textId="77777777" w:rsidTr="00A252B5">
        <w:trPr>
          <w:jc w:val="center"/>
        </w:trPr>
        <w:tc>
          <w:tcPr>
            <w:tcW w:w="7921" w:type="dxa"/>
          </w:tcPr>
          <w:p w14:paraId="72C4BBE2" w14:textId="60CD31CC" w:rsidR="009B4D27" w:rsidRPr="00A52AB8" w:rsidRDefault="002B2F38" w:rsidP="004F7C57">
            <w:pPr>
              <w:spacing w:before="20" w:after="20"/>
              <w:rPr>
                <w:color w:val="000000" w:themeColor="text1"/>
                <w:sz w:val="20"/>
                <w:szCs w:val="20"/>
              </w:rPr>
            </w:pPr>
            <w:r w:rsidRPr="00A52AB8">
              <w:rPr>
                <w:sz w:val="20"/>
                <w:szCs w:val="20"/>
              </w:rPr>
              <w:tab/>
              <w:t>NumBytesInRbsp</w:t>
            </w:r>
            <w:r w:rsidR="0023721F" w:rsidRPr="00A52AB8">
              <w:rPr>
                <w:sz w:val="20"/>
                <w:szCs w:val="20"/>
              </w:rPr>
              <w:t> </w:t>
            </w:r>
            <w:r w:rsidR="00D47707" w:rsidRPr="00A52AB8">
              <w:rPr>
                <w:sz w:val="20"/>
                <w:szCs w:val="20"/>
              </w:rPr>
              <w:t>= </w:t>
            </w:r>
            <w:r w:rsidRPr="00A52AB8">
              <w:rPr>
                <w:sz w:val="20"/>
                <w:szCs w:val="20"/>
              </w:rPr>
              <w:t>0</w:t>
            </w:r>
          </w:p>
        </w:tc>
        <w:tc>
          <w:tcPr>
            <w:tcW w:w="1253" w:type="dxa"/>
          </w:tcPr>
          <w:p w14:paraId="0068BA6D" w14:textId="77777777" w:rsidR="009B4D27" w:rsidRPr="00A52AB8" w:rsidRDefault="009B4D27" w:rsidP="004F7C57">
            <w:pPr>
              <w:spacing w:before="20" w:after="20"/>
              <w:jc w:val="center"/>
              <w:rPr>
                <w:color w:val="000000" w:themeColor="text1"/>
                <w:sz w:val="20"/>
                <w:szCs w:val="20"/>
              </w:rPr>
            </w:pPr>
          </w:p>
        </w:tc>
      </w:tr>
      <w:tr w:rsidR="002B2F38" w:rsidRPr="00A52AB8" w14:paraId="405E83C3" w14:textId="77777777" w:rsidTr="00A252B5">
        <w:trPr>
          <w:jc w:val="center"/>
        </w:trPr>
        <w:tc>
          <w:tcPr>
            <w:tcW w:w="7921" w:type="dxa"/>
          </w:tcPr>
          <w:p w14:paraId="2D94F88B" w14:textId="35B5F07B" w:rsidR="002B2F38" w:rsidRPr="00A52AB8" w:rsidRDefault="002B2F38" w:rsidP="004F7C57">
            <w:pPr>
              <w:spacing w:before="20" w:after="20"/>
              <w:rPr>
                <w:color w:val="000000" w:themeColor="text1"/>
                <w:sz w:val="20"/>
                <w:szCs w:val="20"/>
              </w:rPr>
            </w:pPr>
            <w:r w:rsidRPr="00A52AB8">
              <w:rPr>
                <w:sz w:val="20"/>
                <w:szCs w:val="20"/>
              </w:rPr>
              <w:tab/>
              <w:t>for(</w:t>
            </w:r>
            <w:r w:rsidR="00254E95" w:rsidRPr="00A52AB8">
              <w:rPr>
                <w:sz w:val="20"/>
                <w:szCs w:val="20"/>
              </w:rPr>
              <w:t> i</w:t>
            </w:r>
            <w:r w:rsidR="00D47707" w:rsidRPr="00A52AB8">
              <w:rPr>
                <w:sz w:val="20"/>
                <w:szCs w:val="20"/>
              </w:rPr>
              <w:t> = </w:t>
            </w:r>
            <w:r w:rsidRPr="00A52AB8">
              <w:rPr>
                <w:sz w:val="20"/>
                <w:szCs w:val="20"/>
              </w:rPr>
              <w:t>2;</w:t>
            </w:r>
            <w:r w:rsidR="00254E95" w:rsidRPr="00A52AB8">
              <w:rPr>
                <w:sz w:val="20"/>
                <w:szCs w:val="20"/>
              </w:rPr>
              <w:t> </w:t>
            </w:r>
            <w:r w:rsidR="009C698E" w:rsidRPr="00A52AB8">
              <w:rPr>
                <w:sz w:val="20"/>
                <w:szCs w:val="20"/>
              </w:rPr>
              <w:t>i </w:t>
            </w:r>
            <w:r w:rsidRPr="00A52AB8">
              <w:rPr>
                <w:sz w:val="20"/>
                <w:szCs w:val="20"/>
              </w:rPr>
              <w:t>&lt;</w:t>
            </w:r>
            <w:r w:rsidR="009C698E" w:rsidRPr="00A52AB8">
              <w:rPr>
                <w:sz w:val="20"/>
                <w:szCs w:val="20"/>
              </w:rPr>
              <w:t> </w:t>
            </w:r>
            <w:r w:rsidRPr="00A52AB8">
              <w:rPr>
                <w:sz w:val="20"/>
                <w:szCs w:val="20"/>
              </w:rPr>
              <w:t>NumBytesIn</w:t>
            </w:r>
            <w:r w:rsidR="00AE5B5A" w:rsidRPr="00A52AB8">
              <w:rPr>
                <w:sz w:val="20"/>
                <w:szCs w:val="20"/>
              </w:rPr>
              <w:t>Nal</w:t>
            </w:r>
            <w:r w:rsidRPr="00A52AB8">
              <w:rPr>
                <w:sz w:val="20"/>
                <w:szCs w:val="20"/>
              </w:rPr>
              <w:t>Unit;</w:t>
            </w:r>
            <w:r w:rsidR="009C698E" w:rsidRPr="00A52AB8">
              <w:rPr>
                <w:sz w:val="20"/>
                <w:szCs w:val="20"/>
              </w:rPr>
              <w:t> </w:t>
            </w:r>
            <w:r w:rsidRPr="00A52AB8">
              <w:rPr>
                <w:sz w:val="20"/>
                <w:szCs w:val="20"/>
              </w:rPr>
              <w:t>i</w:t>
            </w:r>
            <w:r w:rsidR="00006CCF" w:rsidRPr="00A52AB8">
              <w:rPr>
                <w:sz w:val="20"/>
                <w:szCs w:val="20"/>
              </w:rPr>
              <w:t>++ )</w:t>
            </w:r>
          </w:p>
        </w:tc>
        <w:tc>
          <w:tcPr>
            <w:tcW w:w="1253" w:type="dxa"/>
          </w:tcPr>
          <w:p w14:paraId="470FB34E" w14:textId="77777777" w:rsidR="002B2F38" w:rsidRPr="00A52AB8" w:rsidRDefault="002B2F38" w:rsidP="004F7C57">
            <w:pPr>
              <w:spacing w:before="20" w:after="20"/>
              <w:jc w:val="center"/>
              <w:rPr>
                <w:color w:val="000000" w:themeColor="text1"/>
                <w:sz w:val="20"/>
                <w:szCs w:val="20"/>
              </w:rPr>
            </w:pPr>
          </w:p>
        </w:tc>
      </w:tr>
      <w:tr w:rsidR="002B2F38" w:rsidRPr="00A52AB8" w14:paraId="6F2C252E" w14:textId="77777777" w:rsidTr="00A252B5">
        <w:trPr>
          <w:jc w:val="center"/>
        </w:trPr>
        <w:tc>
          <w:tcPr>
            <w:tcW w:w="7921" w:type="dxa"/>
          </w:tcPr>
          <w:p w14:paraId="04F1B42C" w14:textId="77777777" w:rsidR="002B2F38" w:rsidRPr="00A52AB8" w:rsidRDefault="002B2F38" w:rsidP="004F7C57">
            <w:pPr>
              <w:spacing w:before="20" w:after="20"/>
              <w:rPr>
                <w:color w:val="000000" w:themeColor="text1"/>
                <w:sz w:val="20"/>
                <w:szCs w:val="20"/>
              </w:rPr>
            </w:pPr>
            <w:r w:rsidRPr="00A52AB8">
              <w:rPr>
                <w:sz w:val="20"/>
                <w:szCs w:val="20"/>
              </w:rPr>
              <w:tab/>
            </w:r>
            <w:r w:rsidRPr="00A52AB8">
              <w:rPr>
                <w:sz w:val="20"/>
                <w:szCs w:val="20"/>
              </w:rPr>
              <w:tab/>
            </w:r>
            <w:r w:rsidRPr="00A52AB8">
              <w:rPr>
                <w:b/>
                <w:bCs/>
                <w:sz w:val="20"/>
                <w:szCs w:val="20"/>
              </w:rPr>
              <w:t>rbsp_byte</w:t>
            </w:r>
            <w:r w:rsidRPr="00A52AB8">
              <w:rPr>
                <w:bCs/>
                <w:sz w:val="20"/>
                <w:szCs w:val="20"/>
              </w:rPr>
              <w:t>[</w:t>
            </w:r>
            <w:r w:rsidRPr="00A52AB8">
              <w:rPr>
                <w:sz w:val="20"/>
                <w:szCs w:val="20"/>
              </w:rPr>
              <w:t> NumBytesInRbsp++ </w:t>
            </w:r>
            <w:r w:rsidRPr="00A52AB8">
              <w:rPr>
                <w:bCs/>
                <w:sz w:val="20"/>
                <w:szCs w:val="20"/>
              </w:rPr>
              <w:t>]</w:t>
            </w:r>
          </w:p>
        </w:tc>
        <w:tc>
          <w:tcPr>
            <w:tcW w:w="1253" w:type="dxa"/>
          </w:tcPr>
          <w:p w14:paraId="4799B7C7" w14:textId="77777777" w:rsidR="002B2F38" w:rsidRPr="00A52AB8" w:rsidRDefault="002B2F38" w:rsidP="004F7C57">
            <w:pPr>
              <w:spacing w:before="20" w:after="20"/>
              <w:jc w:val="center"/>
              <w:rPr>
                <w:color w:val="000000" w:themeColor="text1"/>
                <w:sz w:val="20"/>
                <w:szCs w:val="20"/>
              </w:rPr>
            </w:pPr>
            <w:r w:rsidRPr="00A52AB8">
              <w:rPr>
                <w:sz w:val="20"/>
                <w:szCs w:val="20"/>
              </w:rPr>
              <w:t>b(8)</w:t>
            </w:r>
          </w:p>
        </w:tc>
      </w:tr>
      <w:tr w:rsidR="002B2F38" w:rsidRPr="00A52AB8" w14:paraId="03E269FF" w14:textId="77777777" w:rsidTr="00A252B5">
        <w:trPr>
          <w:jc w:val="center"/>
        </w:trPr>
        <w:tc>
          <w:tcPr>
            <w:tcW w:w="7921" w:type="dxa"/>
          </w:tcPr>
          <w:p w14:paraId="0B9B5864" w14:textId="77777777" w:rsidR="002B2F38" w:rsidRPr="00A52AB8" w:rsidRDefault="002B2F38" w:rsidP="004F7C57">
            <w:pPr>
              <w:spacing w:before="20" w:after="20"/>
              <w:rPr>
                <w:sz w:val="20"/>
                <w:szCs w:val="20"/>
              </w:rPr>
            </w:pPr>
            <w:r w:rsidRPr="00A52AB8">
              <w:rPr>
                <w:sz w:val="20"/>
                <w:szCs w:val="20"/>
              </w:rPr>
              <w:t>}</w:t>
            </w:r>
          </w:p>
        </w:tc>
        <w:tc>
          <w:tcPr>
            <w:tcW w:w="1253" w:type="dxa"/>
          </w:tcPr>
          <w:p w14:paraId="619A9F69" w14:textId="77777777" w:rsidR="002B2F38" w:rsidRPr="00A52AB8" w:rsidRDefault="002B2F38" w:rsidP="004F7C57">
            <w:pPr>
              <w:spacing w:before="20" w:after="20"/>
              <w:jc w:val="center"/>
              <w:rPr>
                <w:color w:val="000000" w:themeColor="text1"/>
                <w:sz w:val="20"/>
                <w:szCs w:val="20"/>
              </w:rPr>
            </w:pPr>
          </w:p>
        </w:tc>
      </w:tr>
    </w:tbl>
    <w:p w14:paraId="20090FDD" w14:textId="77777777" w:rsidR="00442B5B" w:rsidRPr="00A52AB8" w:rsidRDefault="00AE5B5A" w:rsidP="00CB76AA">
      <w:pPr>
        <w:pStyle w:val="Heading4"/>
      </w:pPr>
      <w:r w:rsidRPr="00A52AB8">
        <w:t>NAL</w:t>
      </w:r>
      <w:r w:rsidR="00422EA9" w:rsidRPr="00A52AB8">
        <w:t xml:space="preserve"> unit</w:t>
      </w:r>
      <w:r w:rsidR="00442B5B" w:rsidRPr="00A52AB8">
        <w:t xml:space="preserve"> header syntax</w:t>
      </w:r>
    </w:p>
    <w:tbl>
      <w:tblPr>
        <w:tblStyle w:val="TableGrid"/>
        <w:tblW w:w="5000" w:type="pct"/>
        <w:jc w:val="center"/>
        <w:tblLayout w:type="fixed"/>
        <w:tblLook w:val="04A0" w:firstRow="1" w:lastRow="0" w:firstColumn="1" w:lastColumn="0" w:noHBand="0" w:noVBand="1"/>
      </w:tblPr>
      <w:tblGrid>
        <w:gridCol w:w="8411"/>
        <w:gridCol w:w="1331"/>
      </w:tblGrid>
      <w:tr w:rsidR="00442B5B" w:rsidRPr="00A52AB8" w14:paraId="7C0B5131" w14:textId="77777777" w:rsidTr="00A252B5">
        <w:trPr>
          <w:jc w:val="center"/>
        </w:trPr>
        <w:tc>
          <w:tcPr>
            <w:tcW w:w="7921" w:type="dxa"/>
          </w:tcPr>
          <w:p w14:paraId="16B25BEB" w14:textId="1FD7747B" w:rsidR="00442B5B" w:rsidRPr="00A52AB8" w:rsidRDefault="00AE5B5A" w:rsidP="004F7C57">
            <w:pPr>
              <w:spacing w:before="20" w:after="20"/>
              <w:rPr>
                <w:color w:val="000000" w:themeColor="text1"/>
                <w:sz w:val="20"/>
                <w:szCs w:val="20"/>
              </w:rPr>
            </w:pPr>
            <w:r w:rsidRPr="00A52AB8">
              <w:rPr>
                <w:color w:val="000000" w:themeColor="text1"/>
                <w:sz w:val="20"/>
                <w:szCs w:val="20"/>
              </w:rPr>
              <w:t>nal</w:t>
            </w:r>
            <w:r w:rsidR="00442B5B" w:rsidRPr="00A52AB8">
              <w:rPr>
                <w:color w:val="000000" w:themeColor="text1"/>
                <w:sz w:val="20"/>
                <w:szCs w:val="20"/>
              </w:rPr>
              <w:t>_unit_header( </w:t>
            </w:r>
            <w:r w:rsidR="008F1F82" w:rsidRPr="00A52AB8">
              <w:rPr>
                <w:color w:val="000000" w:themeColor="text1"/>
                <w:sz w:val="20"/>
                <w:szCs w:val="20"/>
              </w:rPr>
              <w:t>) {</w:t>
            </w:r>
          </w:p>
        </w:tc>
        <w:tc>
          <w:tcPr>
            <w:tcW w:w="1253" w:type="dxa"/>
          </w:tcPr>
          <w:p w14:paraId="537CF68D" w14:textId="77777777" w:rsidR="00442B5B" w:rsidRPr="00A52AB8" w:rsidRDefault="00442B5B">
            <w:pPr>
              <w:spacing w:before="20" w:after="20"/>
              <w:jc w:val="center"/>
              <w:rPr>
                <w:b/>
                <w:color w:val="000000" w:themeColor="text1"/>
                <w:sz w:val="20"/>
                <w:szCs w:val="20"/>
              </w:rPr>
            </w:pPr>
            <w:r w:rsidRPr="00A52AB8">
              <w:rPr>
                <w:b/>
                <w:color w:val="000000" w:themeColor="text1"/>
                <w:sz w:val="20"/>
                <w:szCs w:val="20"/>
              </w:rPr>
              <w:t>Descriptor</w:t>
            </w:r>
          </w:p>
        </w:tc>
      </w:tr>
      <w:tr w:rsidR="00442B5B" w:rsidRPr="00A52AB8" w14:paraId="6DE0737E" w14:textId="77777777" w:rsidTr="00A252B5">
        <w:trPr>
          <w:jc w:val="center"/>
        </w:trPr>
        <w:tc>
          <w:tcPr>
            <w:tcW w:w="7921" w:type="dxa"/>
          </w:tcPr>
          <w:p w14:paraId="5936BA10" w14:textId="77777777" w:rsidR="00442B5B" w:rsidRPr="00A52AB8" w:rsidRDefault="00442B5B" w:rsidP="004F7C57">
            <w:pPr>
              <w:spacing w:before="20" w:after="20"/>
              <w:rPr>
                <w:b/>
                <w:color w:val="000000" w:themeColor="text1"/>
                <w:sz w:val="20"/>
                <w:szCs w:val="20"/>
              </w:rPr>
            </w:pPr>
            <w:r w:rsidRPr="00A52AB8">
              <w:rPr>
                <w:b/>
                <w:color w:val="000000" w:themeColor="text1"/>
                <w:sz w:val="20"/>
                <w:szCs w:val="20"/>
              </w:rPr>
              <w:tab/>
            </w:r>
            <w:r w:rsidR="00BA2E90" w:rsidRPr="00A52AB8">
              <w:rPr>
                <w:b/>
                <w:color w:val="000000" w:themeColor="text1"/>
                <w:sz w:val="20"/>
                <w:szCs w:val="20"/>
              </w:rPr>
              <w:t>nal</w:t>
            </w:r>
            <w:r w:rsidR="00D63F49" w:rsidRPr="00A52AB8">
              <w:rPr>
                <w:b/>
                <w:color w:val="000000" w:themeColor="text1"/>
                <w:sz w:val="20"/>
                <w:szCs w:val="20"/>
              </w:rPr>
              <w:t>_forbidden_zero_bit</w:t>
            </w:r>
          </w:p>
        </w:tc>
        <w:tc>
          <w:tcPr>
            <w:tcW w:w="1253" w:type="dxa"/>
          </w:tcPr>
          <w:p w14:paraId="238CDBFE" w14:textId="77777777" w:rsidR="00442B5B" w:rsidRPr="00A52AB8" w:rsidRDefault="00D63F49" w:rsidP="004F7C57">
            <w:pPr>
              <w:spacing w:before="20" w:after="20"/>
              <w:jc w:val="center"/>
              <w:rPr>
                <w:color w:val="000000" w:themeColor="text1"/>
                <w:sz w:val="20"/>
                <w:szCs w:val="20"/>
              </w:rPr>
            </w:pPr>
            <w:r w:rsidRPr="00A52AB8">
              <w:rPr>
                <w:color w:val="000000" w:themeColor="text1"/>
                <w:sz w:val="20"/>
                <w:szCs w:val="20"/>
              </w:rPr>
              <w:t>f(1)</w:t>
            </w:r>
          </w:p>
        </w:tc>
      </w:tr>
      <w:tr w:rsidR="00442B5B" w:rsidRPr="00A52AB8" w14:paraId="11BCA1D5" w14:textId="77777777" w:rsidTr="00A252B5">
        <w:trPr>
          <w:jc w:val="center"/>
        </w:trPr>
        <w:tc>
          <w:tcPr>
            <w:tcW w:w="7921" w:type="dxa"/>
          </w:tcPr>
          <w:p w14:paraId="56BB88E8" w14:textId="77777777" w:rsidR="00442B5B" w:rsidRPr="00A52AB8" w:rsidRDefault="00442B5B" w:rsidP="004F7C57">
            <w:pPr>
              <w:spacing w:before="20" w:after="20"/>
              <w:rPr>
                <w:b/>
                <w:color w:val="000000" w:themeColor="text1"/>
                <w:sz w:val="20"/>
                <w:szCs w:val="20"/>
              </w:rPr>
            </w:pPr>
            <w:r w:rsidRPr="00A52AB8">
              <w:rPr>
                <w:b/>
                <w:color w:val="000000" w:themeColor="text1"/>
                <w:sz w:val="20"/>
                <w:szCs w:val="20"/>
              </w:rPr>
              <w:tab/>
            </w:r>
            <w:r w:rsidR="00BA2E90" w:rsidRPr="00A52AB8">
              <w:rPr>
                <w:b/>
                <w:color w:val="000000" w:themeColor="text1"/>
                <w:sz w:val="20"/>
                <w:szCs w:val="20"/>
              </w:rPr>
              <w:t>nal</w:t>
            </w:r>
            <w:r w:rsidR="00D63F49" w:rsidRPr="00A52AB8">
              <w:rPr>
                <w:b/>
                <w:color w:val="000000" w:themeColor="text1"/>
                <w:sz w:val="20"/>
                <w:szCs w:val="20"/>
              </w:rPr>
              <w:t>_unit_type</w:t>
            </w:r>
          </w:p>
        </w:tc>
        <w:tc>
          <w:tcPr>
            <w:tcW w:w="1253" w:type="dxa"/>
          </w:tcPr>
          <w:p w14:paraId="738007EA" w14:textId="77777777" w:rsidR="00442B5B" w:rsidRPr="00A52AB8" w:rsidRDefault="00D63F49" w:rsidP="004F7C57">
            <w:pPr>
              <w:spacing w:before="20" w:after="20"/>
              <w:jc w:val="center"/>
              <w:rPr>
                <w:color w:val="000000" w:themeColor="text1"/>
                <w:sz w:val="20"/>
                <w:szCs w:val="20"/>
              </w:rPr>
            </w:pPr>
            <w:r w:rsidRPr="00A52AB8">
              <w:rPr>
                <w:color w:val="000000" w:themeColor="text1"/>
                <w:sz w:val="20"/>
                <w:szCs w:val="20"/>
              </w:rPr>
              <w:t>u(6)</w:t>
            </w:r>
          </w:p>
        </w:tc>
      </w:tr>
      <w:tr w:rsidR="00442B5B" w:rsidRPr="00A52AB8" w14:paraId="2550CBA5" w14:textId="77777777" w:rsidTr="00A252B5">
        <w:trPr>
          <w:jc w:val="center"/>
        </w:trPr>
        <w:tc>
          <w:tcPr>
            <w:tcW w:w="7921" w:type="dxa"/>
          </w:tcPr>
          <w:p w14:paraId="0C992BBE" w14:textId="77777777" w:rsidR="00442B5B" w:rsidRPr="00A52AB8" w:rsidRDefault="00D63F49" w:rsidP="004F7C57">
            <w:pPr>
              <w:spacing w:before="20" w:after="20"/>
              <w:rPr>
                <w:b/>
                <w:color w:val="000000" w:themeColor="text1"/>
                <w:sz w:val="20"/>
                <w:szCs w:val="20"/>
              </w:rPr>
            </w:pPr>
            <w:r w:rsidRPr="00A52AB8">
              <w:rPr>
                <w:b/>
                <w:color w:val="000000" w:themeColor="text1"/>
                <w:sz w:val="20"/>
                <w:szCs w:val="20"/>
              </w:rPr>
              <w:lastRenderedPageBreak/>
              <w:tab/>
            </w:r>
            <w:r w:rsidR="00BA2E90" w:rsidRPr="00A52AB8">
              <w:rPr>
                <w:b/>
                <w:color w:val="000000" w:themeColor="text1"/>
                <w:sz w:val="20"/>
                <w:szCs w:val="20"/>
              </w:rPr>
              <w:t>nal</w:t>
            </w:r>
            <w:r w:rsidRPr="00A52AB8">
              <w:rPr>
                <w:b/>
                <w:color w:val="000000" w:themeColor="text1"/>
                <w:sz w:val="20"/>
                <w:szCs w:val="20"/>
              </w:rPr>
              <w:t>_layer_id</w:t>
            </w:r>
          </w:p>
        </w:tc>
        <w:tc>
          <w:tcPr>
            <w:tcW w:w="1253" w:type="dxa"/>
          </w:tcPr>
          <w:p w14:paraId="6B2FD6D0" w14:textId="77777777" w:rsidR="00442B5B" w:rsidRPr="00A52AB8" w:rsidRDefault="00D63F49" w:rsidP="004F7C57">
            <w:pPr>
              <w:spacing w:before="20" w:after="20"/>
              <w:jc w:val="center"/>
              <w:rPr>
                <w:color w:val="000000" w:themeColor="text1"/>
                <w:sz w:val="20"/>
                <w:szCs w:val="20"/>
              </w:rPr>
            </w:pPr>
            <w:r w:rsidRPr="00A52AB8">
              <w:rPr>
                <w:color w:val="000000" w:themeColor="text1"/>
                <w:sz w:val="20"/>
                <w:szCs w:val="20"/>
              </w:rPr>
              <w:t>u(6)</w:t>
            </w:r>
          </w:p>
        </w:tc>
      </w:tr>
      <w:tr w:rsidR="00D63F49" w:rsidRPr="00A52AB8" w14:paraId="645F64CE" w14:textId="77777777" w:rsidTr="00A252B5">
        <w:trPr>
          <w:jc w:val="center"/>
        </w:trPr>
        <w:tc>
          <w:tcPr>
            <w:tcW w:w="7921" w:type="dxa"/>
          </w:tcPr>
          <w:p w14:paraId="27A149F1" w14:textId="77777777" w:rsidR="00D63F49" w:rsidRPr="00A52AB8" w:rsidRDefault="00D63F49" w:rsidP="004F7C57">
            <w:pPr>
              <w:spacing w:before="20" w:after="20"/>
              <w:rPr>
                <w:b/>
                <w:color w:val="000000" w:themeColor="text1"/>
                <w:sz w:val="20"/>
                <w:szCs w:val="20"/>
              </w:rPr>
            </w:pPr>
            <w:r w:rsidRPr="00A52AB8">
              <w:rPr>
                <w:b/>
                <w:color w:val="000000" w:themeColor="text1"/>
                <w:sz w:val="20"/>
                <w:szCs w:val="20"/>
              </w:rPr>
              <w:tab/>
            </w:r>
            <w:r w:rsidR="00BA2E90" w:rsidRPr="00A52AB8">
              <w:rPr>
                <w:b/>
                <w:color w:val="000000" w:themeColor="text1"/>
                <w:sz w:val="20"/>
                <w:szCs w:val="20"/>
              </w:rPr>
              <w:t>nal</w:t>
            </w:r>
            <w:r w:rsidRPr="00A52AB8">
              <w:rPr>
                <w:b/>
                <w:color w:val="000000" w:themeColor="text1"/>
                <w:sz w:val="20"/>
                <w:szCs w:val="20"/>
              </w:rPr>
              <w:t>_temporal_id_plus1</w:t>
            </w:r>
          </w:p>
        </w:tc>
        <w:tc>
          <w:tcPr>
            <w:tcW w:w="1253" w:type="dxa"/>
          </w:tcPr>
          <w:p w14:paraId="719E6396" w14:textId="77777777" w:rsidR="00D63F49" w:rsidRPr="00A52AB8" w:rsidRDefault="00D63F49" w:rsidP="004F7C57">
            <w:pPr>
              <w:spacing w:before="20" w:after="20"/>
              <w:jc w:val="center"/>
              <w:rPr>
                <w:color w:val="000000" w:themeColor="text1"/>
                <w:sz w:val="20"/>
                <w:szCs w:val="20"/>
              </w:rPr>
            </w:pPr>
            <w:r w:rsidRPr="00A52AB8">
              <w:rPr>
                <w:color w:val="000000" w:themeColor="text1"/>
                <w:sz w:val="20"/>
                <w:szCs w:val="20"/>
              </w:rPr>
              <w:t>u(3)</w:t>
            </w:r>
          </w:p>
        </w:tc>
      </w:tr>
      <w:tr w:rsidR="00D63F49" w:rsidRPr="00A52AB8" w14:paraId="21940B18" w14:textId="77777777" w:rsidTr="00A252B5">
        <w:trPr>
          <w:jc w:val="center"/>
        </w:trPr>
        <w:tc>
          <w:tcPr>
            <w:tcW w:w="7921" w:type="dxa"/>
          </w:tcPr>
          <w:p w14:paraId="3AAB21A8" w14:textId="77777777" w:rsidR="00D63F49" w:rsidRPr="00A52AB8" w:rsidRDefault="00D63F49" w:rsidP="004F7C57">
            <w:pPr>
              <w:spacing w:before="20" w:after="20"/>
              <w:rPr>
                <w:color w:val="000000" w:themeColor="text1"/>
                <w:sz w:val="20"/>
                <w:szCs w:val="20"/>
              </w:rPr>
            </w:pPr>
            <w:r w:rsidRPr="00A52AB8">
              <w:rPr>
                <w:color w:val="000000" w:themeColor="text1"/>
                <w:sz w:val="20"/>
                <w:szCs w:val="20"/>
              </w:rPr>
              <w:t>}</w:t>
            </w:r>
          </w:p>
        </w:tc>
        <w:tc>
          <w:tcPr>
            <w:tcW w:w="1253" w:type="dxa"/>
          </w:tcPr>
          <w:p w14:paraId="5236F64F" w14:textId="77777777" w:rsidR="00D63F49" w:rsidRPr="00A52AB8" w:rsidRDefault="00D63F49" w:rsidP="004F7C57">
            <w:pPr>
              <w:spacing w:before="20" w:after="20"/>
              <w:jc w:val="center"/>
              <w:rPr>
                <w:color w:val="000000" w:themeColor="text1"/>
                <w:sz w:val="20"/>
                <w:szCs w:val="20"/>
              </w:rPr>
            </w:pPr>
          </w:p>
        </w:tc>
      </w:tr>
    </w:tbl>
    <w:p w14:paraId="43BFD65C" w14:textId="3F9DA866" w:rsidR="0050235C" w:rsidRPr="00A52AB8" w:rsidRDefault="00B0793A" w:rsidP="004F7C57">
      <w:pPr>
        <w:pStyle w:val="Heading3"/>
      </w:pPr>
      <w:bookmarkStart w:id="705" w:name="_Toc18590380"/>
      <w:bookmarkStart w:id="706" w:name="_Toc18590575"/>
      <w:bookmarkStart w:id="707" w:name="_Toc18673548"/>
      <w:bookmarkStart w:id="708" w:name="_Toc18926640"/>
      <w:bookmarkStart w:id="709" w:name="_Toc19035173"/>
      <w:bookmarkStart w:id="710" w:name="_Toc19036110"/>
      <w:bookmarkStart w:id="711" w:name="_Toc52181608"/>
      <w:bookmarkEnd w:id="700"/>
      <w:bookmarkEnd w:id="701"/>
      <w:bookmarkEnd w:id="705"/>
      <w:bookmarkEnd w:id="706"/>
      <w:bookmarkEnd w:id="707"/>
      <w:bookmarkEnd w:id="708"/>
      <w:bookmarkEnd w:id="709"/>
      <w:bookmarkEnd w:id="710"/>
      <w:r w:rsidRPr="00A52AB8">
        <w:t>Raw byte sequence payloads, trailing bits, and byte alignment syntax</w:t>
      </w:r>
      <w:bookmarkEnd w:id="711"/>
    </w:p>
    <w:p w14:paraId="3C1ED241" w14:textId="072F7C4A" w:rsidR="004976C7" w:rsidRPr="00A52AB8" w:rsidRDefault="00EB723C" w:rsidP="005C26E9">
      <w:pPr>
        <w:pStyle w:val="Heading4"/>
      </w:pPr>
      <w:bookmarkStart w:id="712" w:name="_Ref38314340"/>
      <w:r w:rsidRPr="00A52AB8">
        <w:t>Atlas sequence</w:t>
      </w:r>
      <w:r w:rsidR="004976C7" w:rsidRPr="00A52AB8">
        <w:t xml:space="preserve"> parameter set </w:t>
      </w:r>
      <w:r w:rsidR="00B96DCA" w:rsidRPr="00A52AB8">
        <w:t>RBSP</w:t>
      </w:r>
      <w:r w:rsidR="00BF1A6C" w:rsidRPr="00A52AB8">
        <w:t xml:space="preserve"> syntax</w:t>
      </w:r>
      <w:bookmarkEnd w:id="712"/>
    </w:p>
    <w:p w14:paraId="0574EAF9" w14:textId="77777777" w:rsidR="00BF1A6C" w:rsidRPr="00A52AB8" w:rsidRDefault="00BF1A6C" w:rsidP="001000BF">
      <w:pPr>
        <w:pStyle w:val="Heading5"/>
      </w:pPr>
      <w:bookmarkStart w:id="713" w:name="_Ref49199107"/>
      <w:r w:rsidRPr="00A52AB8">
        <w:t>General atlas sequence parameter set RBSP syntax</w:t>
      </w:r>
      <w:bookmarkEnd w:id="713"/>
    </w:p>
    <w:tbl>
      <w:tblPr>
        <w:tblStyle w:val="TableGrid"/>
        <w:tblW w:w="5000" w:type="pct"/>
        <w:tblLayout w:type="fixed"/>
        <w:tblLook w:val="04A0" w:firstRow="1" w:lastRow="0" w:firstColumn="1" w:lastColumn="0" w:noHBand="0" w:noVBand="1"/>
      </w:tblPr>
      <w:tblGrid>
        <w:gridCol w:w="8411"/>
        <w:gridCol w:w="1331"/>
      </w:tblGrid>
      <w:tr w:rsidR="004976C7" w:rsidRPr="00A52AB8" w14:paraId="27100C9E" w14:textId="77777777" w:rsidTr="004A6049">
        <w:tc>
          <w:tcPr>
            <w:tcW w:w="8411" w:type="dxa"/>
          </w:tcPr>
          <w:p w14:paraId="71670063" w14:textId="637B7BBD" w:rsidR="004976C7" w:rsidRPr="00A52AB8" w:rsidRDefault="00175BB0">
            <w:pPr>
              <w:spacing w:before="20" w:after="20"/>
              <w:rPr>
                <w:color w:val="000000" w:themeColor="text1"/>
                <w:sz w:val="20"/>
                <w:szCs w:val="20"/>
              </w:rPr>
            </w:pPr>
            <w:r w:rsidRPr="00A52AB8">
              <w:rPr>
                <w:color w:val="000000" w:themeColor="text1"/>
                <w:sz w:val="20"/>
                <w:szCs w:val="20"/>
              </w:rPr>
              <w:t>atlas_sequence</w:t>
            </w:r>
            <w:r w:rsidR="004976C7" w:rsidRPr="00A52AB8">
              <w:rPr>
                <w:color w:val="000000" w:themeColor="text1"/>
                <w:sz w:val="20"/>
                <w:szCs w:val="20"/>
              </w:rPr>
              <w:t>_</w:t>
            </w:r>
            <w:r w:rsidR="00AB3915" w:rsidRPr="00A52AB8">
              <w:rPr>
                <w:color w:val="000000" w:themeColor="text1"/>
                <w:sz w:val="20"/>
                <w:szCs w:val="20"/>
              </w:rPr>
              <w:t>parameter_set</w:t>
            </w:r>
            <w:r w:rsidR="00B96DCA" w:rsidRPr="00A52AB8">
              <w:rPr>
                <w:color w:val="000000" w:themeColor="text1"/>
                <w:sz w:val="20"/>
                <w:szCs w:val="20"/>
              </w:rPr>
              <w:t>_rbsp</w:t>
            </w:r>
            <w:r w:rsidR="004976C7" w:rsidRPr="00A52AB8">
              <w:rPr>
                <w:color w:val="000000" w:themeColor="text1"/>
                <w:sz w:val="20"/>
                <w:szCs w:val="20"/>
              </w:rPr>
              <w:t>( </w:t>
            </w:r>
            <w:r w:rsidR="008F1F82" w:rsidRPr="00A52AB8">
              <w:rPr>
                <w:color w:val="000000" w:themeColor="text1"/>
                <w:sz w:val="20"/>
                <w:szCs w:val="20"/>
              </w:rPr>
              <w:t>) {</w:t>
            </w:r>
          </w:p>
        </w:tc>
        <w:tc>
          <w:tcPr>
            <w:tcW w:w="1331" w:type="dxa"/>
          </w:tcPr>
          <w:p w14:paraId="1786BD12" w14:textId="77777777" w:rsidR="004976C7" w:rsidRPr="00A52AB8" w:rsidRDefault="004976C7">
            <w:pPr>
              <w:spacing w:before="20" w:after="20"/>
              <w:jc w:val="center"/>
              <w:rPr>
                <w:b/>
                <w:color w:val="000000" w:themeColor="text1"/>
                <w:sz w:val="20"/>
                <w:szCs w:val="20"/>
              </w:rPr>
            </w:pPr>
            <w:r w:rsidRPr="00A52AB8">
              <w:rPr>
                <w:b/>
                <w:color w:val="000000" w:themeColor="text1"/>
                <w:sz w:val="20"/>
                <w:szCs w:val="20"/>
              </w:rPr>
              <w:t>Descriptor</w:t>
            </w:r>
          </w:p>
        </w:tc>
      </w:tr>
      <w:tr w:rsidR="004976C7" w:rsidRPr="00A52AB8" w14:paraId="4BFAA030" w14:textId="77777777" w:rsidTr="004A6049">
        <w:tc>
          <w:tcPr>
            <w:tcW w:w="8411" w:type="dxa"/>
          </w:tcPr>
          <w:p w14:paraId="2DC0E244" w14:textId="77777777" w:rsidR="004976C7" w:rsidRPr="00A52AB8" w:rsidRDefault="004976C7" w:rsidP="004F7C57">
            <w:pPr>
              <w:spacing w:before="20" w:after="20"/>
              <w:rPr>
                <w:b/>
                <w:color w:val="000000" w:themeColor="text1"/>
                <w:sz w:val="20"/>
                <w:szCs w:val="20"/>
              </w:rPr>
            </w:pPr>
            <w:r w:rsidRPr="00A52AB8">
              <w:rPr>
                <w:color w:val="000000" w:themeColor="text1"/>
                <w:sz w:val="20"/>
                <w:szCs w:val="20"/>
              </w:rPr>
              <w:tab/>
            </w:r>
            <w:r w:rsidR="00EB723C" w:rsidRPr="00A52AB8">
              <w:rPr>
                <w:b/>
                <w:color w:val="000000" w:themeColor="text1"/>
                <w:sz w:val="20"/>
                <w:szCs w:val="20"/>
              </w:rPr>
              <w:t>asps_</w:t>
            </w:r>
            <w:r w:rsidR="00175BB0" w:rsidRPr="00A52AB8">
              <w:rPr>
                <w:b/>
                <w:color w:val="000000" w:themeColor="text1"/>
                <w:sz w:val="20"/>
                <w:szCs w:val="20"/>
              </w:rPr>
              <w:t>atlas_sequence</w:t>
            </w:r>
            <w:r w:rsidRPr="00A52AB8">
              <w:rPr>
                <w:b/>
                <w:color w:val="000000" w:themeColor="text1"/>
                <w:sz w:val="20"/>
                <w:szCs w:val="20"/>
              </w:rPr>
              <w:t>_parameter_set_id</w:t>
            </w:r>
          </w:p>
        </w:tc>
        <w:tc>
          <w:tcPr>
            <w:tcW w:w="1331" w:type="dxa"/>
          </w:tcPr>
          <w:p w14:paraId="5BB50E83" w14:textId="77777777" w:rsidR="004976C7" w:rsidRPr="00A52AB8" w:rsidRDefault="004976C7" w:rsidP="004F7C57">
            <w:pPr>
              <w:spacing w:before="20" w:after="20"/>
              <w:jc w:val="center"/>
              <w:rPr>
                <w:color w:val="000000" w:themeColor="text1"/>
                <w:sz w:val="20"/>
                <w:szCs w:val="20"/>
              </w:rPr>
            </w:pPr>
            <w:r w:rsidRPr="00A52AB8">
              <w:rPr>
                <w:color w:val="000000" w:themeColor="text1"/>
                <w:sz w:val="20"/>
                <w:szCs w:val="20"/>
              </w:rPr>
              <w:t>ue(v)</w:t>
            </w:r>
          </w:p>
        </w:tc>
      </w:tr>
      <w:tr w:rsidR="00164043" w:rsidRPr="00A52AB8" w14:paraId="2313BAB2" w14:textId="77777777" w:rsidTr="004A6049">
        <w:tc>
          <w:tcPr>
            <w:tcW w:w="8411" w:type="dxa"/>
          </w:tcPr>
          <w:p w14:paraId="68E04127" w14:textId="77777777" w:rsidR="00164043" w:rsidRPr="00A52AB8" w:rsidRDefault="00164043" w:rsidP="004F7C57">
            <w:pPr>
              <w:spacing w:before="20" w:after="20"/>
              <w:rPr>
                <w:b/>
                <w:sz w:val="20"/>
                <w:szCs w:val="20"/>
              </w:rPr>
            </w:pPr>
            <w:r w:rsidRPr="00A52AB8">
              <w:rPr>
                <w:color w:val="000000" w:themeColor="text1"/>
                <w:sz w:val="20"/>
                <w:szCs w:val="20"/>
              </w:rPr>
              <w:tab/>
            </w:r>
            <w:r w:rsidRPr="00A52AB8">
              <w:rPr>
                <w:b/>
                <w:color w:val="000000" w:themeColor="text1"/>
                <w:sz w:val="20"/>
                <w:szCs w:val="20"/>
              </w:rPr>
              <w:t>asps_frame_width</w:t>
            </w:r>
          </w:p>
        </w:tc>
        <w:tc>
          <w:tcPr>
            <w:tcW w:w="1331" w:type="dxa"/>
          </w:tcPr>
          <w:p w14:paraId="7E306EB3" w14:textId="77777777" w:rsidR="00164043" w:rsidRPr="00A52AB8" w:rsidRDefault="00164043" w:rsidP="004F7C57">
            <w:pPr>
              <w:spacing w:before="20" w:after="20"/>
              <w:jc w:val="center"/>
              <w:rPr>
                <w:sz w:val="20"/>
                <w:szCs w:val="20"/>
              </w:rPr>
            </w:pPr>
            <w:r w:rsidRPr="00A52AB8">
              <w:rPr>
                <w:color w:val="000000" w:themeColor="text1"/>
                <w:sz w:val="20"/>
                <w:szCs w:val="20"/>
              </w:rPr>
              <w:t>u</w:t>
            </w:r>
            <w:r w:rsidR="009D2EC6" w:rsidRPr="00A52AB8">
              <w:rPr>
                <w:color w:val="000000" w:themeColor="text1"/>
                <w:sz w:val="20"/>
                <w:szCs w:val="20"/>
              </w:rPr>
              <w:t>e</w:t>
            </w:r>
            <w:r w:rsidRPr="00A52AB8">
              <w:rPr>
                <w:color w:val="000000" w:themeColor="text1"/>
                <w:sz w:val="20"/>
                <w:szCs w:val="20"/>
              </w:rPr>
              <w:t>(</w:t>
            </w:r>
            <w:r w:rsidR="009D2EC6" w:rsidRPr="00A52AB8">
              <w:rPr>
                <w:color w:val="000000" w:themeColor="text1"/>
                <w:sz w:val="20"/>
                <w:szCs w:val="20"/>
              </w:rPr>
              <w:t>v</w:t>
            </w:r>
            <w:r w:rsidRPr="00A52AB8">
              <w:rPr>
                <w:color w:val="000000" w:themeColor="text1"/>
                <w:sz w:val="20"/>
                <w:szCs w:val="20"/>
              </w:rPr>
              <w:t>)</w:t>
            </w:r>
          </w:p>
        </w:tc>
      </w:tr>
      <w:tr w:rsidR="00164043" w:rsidRPr="00A52AB8" w14:paraId="08D8E44F" w14:textId="77777777" w:rsidTr="004A6049">
        <w:tc>
          <w:tcPr>
            <w:tcW w:w="8411" w:type="dxa"/>
          </w:tcPr>
          <w:p w14:paraId="46EE0745" w14:textId="77777777" w:rsidR="00164043" w:rsidRPr="00A52AB8" w:rsidRDefault="00164043" w:rsidP="004F7C57">
            <w:pPr>
              <w:spacing w:before="20" w:after="20"/>
              <w:rPr>
                <w:b/>
                <w:sz w:val="20"/>
                <w:szCs w:val="20"/>
              </w:rPr>
            </w:pPr>
            <w:r w:rsidRPr="00A52AB8">
              <w:rPr>
                <w:color w:val="000000" w:themeColor="text1"/>
                <w:sz w:val="20"/>
                <w:szCs w:val="20"/>
              </w:rPr>
              <w:tab/>
            </w:r>
            <w:r w:rsidRPr="00A52AB8">
              <w:rPr>
                <w:b/>
                <w:color w:val="000000" w:themeColor="text1"/>
                <w:sz w:val="20"/>
                <w:szCs w:val="20"/>
              </w:rPr>
              <w:t>asps_frame_height</w:t>
            </w:r>
          </w:p>
        </w:tc>
        <w:tc>
          <w:tcPr>
            <w:tcW w:w="1331" w:type="dxa"/>
          </w:tcPr>
          <w:p w14:paraId="3499BC48" w14:textId="77777777" w:rsidR="00164043" w:rsidRPr="00A52AB8" w:rsidRDefault="00164043" w:rsidP="004F7C57">
            <w:pPr>
              <w:spacing w:before="20" w:after="20"/>
              <w:jc w:val="center"/>
              <w:rPr>
                <w:sz w:val="20"/>
                <w:szCs w:val="20"/>
              </w:rPr>
            </w:pPr>
            <w:r w:rsidRPr="00A52AB8">
              <w:rPr>
                <w:color w:val="000000" w:themeColor="text1"/>
                <w:sz w:val="20"/>
                <w:szCs w:val="20"/>
              </w:rPr>
              <w:t>u</w:t>
            </w:r>
            <w:r w:rsidR="009D2EC6" w:rsidRPr="00A52AB8">
              <w:rPr>
                <w:color w:val="000000" w:themeColor="text1"/>
                <w:sz w:val="20"/>
                <w:szCs w:val="20"/>
              </w:rPr>
              <w:t>e</w:t>
            </w:r>
            <w:r w:rsidRPr="00A52AB8">
              <w:rPr>
                <w:color w:val="000000" w:themeColor="text1"/>
                <w:sz w:val="20"/>
                <w:szCs w:val="20"/>
              </w:rPr>
              <w:t>(</w:t>
            </w:r>
            <w:r w:rsidR="009D2EC6" w:rsidRPr="00A52AB8">
              <w:rPr>
                <w:color w:val="000000" w:themeColor="text1"/>
                <w:sz w:val="20"/>
                <w:szCs w:val="20"/>
              </w:rPr>
              <w:t>v</w:t>
            </w:r>
            <w:r w:rsidRPr="00A52AB8">
              <w:rPr>
                <w:color w:val="000000" w:themeColor="text1"/>
                <w:sz w:val="20"/>
                <w:szCs w:val="20"/>
              </w:rPr>
              <w:t>)</w:t>
            </w:r>
          </w:p>
        </w:tc>
      </w:tr>
      <w:tr w:rsidR="002B02A5" w:rsidRPr="00A52AB8" w14:paraId="3E9543F3" w14:textId="77777777" w:rsidTr="004A6049">
        <w:tc>
          <w:tcPr>
            <w:tcW w:w="8411" w:type="dxa"/>
          </w:tcPr>
          <w:p w14:paraId="03BB6F7D" w14:textId="77777777" w:rsidR="002B02A5" w:rsidRPr="00A52AB8" w:rsidRDefault="002B02A5" w:rsidP="004F7C57">
            <w:pPr>
              <w:spacing w:before="20" w:after="20"/>
              <w:rPr>
                <w:color w:val="000000" w:themeColor="text1"/>
                <w:sz w:val="20"/>
                <w:szCs w:val="20"/>
              </w:rPr>
            </w:pPr>
            <w:r w:rsidRPr="00A52AB8">
              <w:rPr>
                <w:color w:val="000000" w:themeColor="text1"/>
                <w:sz w:val="20"/>
                <w:szCs w:val="20"/>
              </w:rPr>
              <w:tab/>
            </w:r>
            <w:r w:rsidRPr="00A52AB8">
              <w:rPr>
                <w:b/>
                <w:color w:val="000000" w:themeColor="text1"/>
                <w:sz w:val="20"/>
                <w:szCs w:val="20"/>
              </w:rPr>
              <w:t>asps_geometry_3d_bit</w:t>
            </w:r>
            <w:r w:rsidR="00C514C6" w:rsidRPr="00A52AB8">
              <w:rPr>
                <w:b/>
                <w:color w:val="000000" w:themeColor="text1"/>
                <w:sz w:val="20"/>
                <w:szCs w:val="20"/>
              </w:rPr>
              <w:t>_</w:t>
            </w:r>
            <w:r w:rsidRPr="00A52AB8">
              <w:rPr>
                <w:b/>
                <w:color w:val="000000" w:themeColor="text1"/>
                <w:sz w:val="20"/>
                <w:szCs w:val="20"/>
              </w:rPr>
              <w:t>depth</w:t>
            </w:r>
            <w:r w:rsidR="00571712" w:rsidRPr="00A52AB8">
              <w:rPr>
                <w:b/>
                <w:color w:val="000000" w:themeColor="text1"/>
                <w:sz w:val="20"/>
                <w:szCs w:val="20"/>
              </w:rPr>
              <w:t>_minus1</w:t>
            </w:r>
          </w:p>
        </w:tc>
        <w:tc>
          <w:tcPr>
            <w:tcW w:w="1331" w:type="dxa"/>
          </w:tcPr>
          <w:p w14:paraId="48B0B825" w14:textId="77777777" w:rsidR="002B02A5" w:rsidRPr="00A52AB8" w:rsidRDefault="000C4DEB" w:rsidP="004F7C57">
            <w:pPr>
              <w:spacing w:before="20" w:after="20"/>
              <w:jc w:val="center"/>
              <w:rPr>
                <w:color w:val="000000" w:themeColor="text1"/>
                <w:sz w:val="20"/>
                <w:szCs w:val="20"/>
              </w:rPr>
            </w:pPr>
            <w:r w:rsidRPr="00A52AB8">
              <w:rPr>
                <w:color w:val="000000" w:themeColor="text1"/>
                <w:sz w:val="20"/>
                <w:szCs w:val="20"/>
              </w:rPr>
              <w:t>u(5)</w:t>
            </w:r>
          </w:p>
        </w:tc>
      </w:tr>
      <w:tr w:rsidR="00DF4157" w:rsidRPr="00A52AB8" w14:paraId="2ED79034" w14:textId="77777777" w:rsidTr="004A6049">
        <w:tc>
          <w:tcPr>
            <w:tcW w:w="8411" w:type="dxa"/>
          </w:tcPr>
          <w:p w14:paraId="7F5C9951" w14:textId="77777777" w:rsidR="00DF4157" w:rsidRPr="00A52AB8" w:rsidRDefault="00DF4157" w:rsidP="00DF4157">
            <w:pPr>
              <w:spacing w:before="20" w:after="20"/>
              <w:rPr>
                <w:b/>
                <w:sz w:val="20"/>
                <w:szCs w:val="20"/>
              </w:rPr>
            </w:pPr>
            <w:r w:rsidRPr="00A52AB8">
              <w:rPr>
                <w:color w:val="000000" w:themeColor="text1"/>
                <w:sz w:val="20"/>
                <w:szCs w:val="20"/>
              </w:rPr>
              <w:tab/>
            </w:r>
            <w:r w:rsidRPr="00A52AB8">
              <w:rPr>
                <w:b/>
                <w:color w:val="000000" w:themeColor="text1"/>
                <w:sz w:val="20"/>
                <w:szCs w:val="20"/>
              </w:rPr>
              <w:t>asps_geometry_2d_bit</w:t>
            </w:r>
            <w:r w:rsidR="00C514C6" w:rsidRPr="00A52AB8">
              <w:rPr>
                <w:b/>
                <w:color w:val="000000" w:themeColor="text1"/>
                <w:sz w:val="20"/>
                <w:szCs w:val="20"/>
              </w:rPr>
              <w:t>_</w:t>
            </w:r>
            <w:r w:rsidRPr="00A52AB8">
              <w:rPr>
                <w:b/>
                <w:color w:val="000000" w:themeColor="text1"/>
                <w:sz w:val="20"/>
                <w:szCs w:val="20"/>
              </w:rPr>
              <w:t>depth</w:t>
            </w:r>
            <w:r w:rsidR="005B0CC2" w:rsidRPr="00A52AB8">
              <w:rPr>
                <w:b/>
                <w:color w:val="000000" w:themeColor="text1"/>
                <w:sz w:val="20"/>
                <w:szCs w:val="20"/>
              </w:rPr>
              <w:t>_minus1</w:t>
            </w:r>
          </w:p>
        </w:tc>
        <w:tc>
          <w:tcPr>
            <w:tcW w:w="1331" w:type="dxa"/>
          </w:tcPr>
          <w:p w14:paraId="1E72A2AD" w14:textId="77777777" w:rsidR="00DF4157" w:rsidRPr="00A52AB8" w:rsidRDefault="000C4DEB" w:rsidP="00DF4157">
            <w:pPr>
              <w:spacing w:before="20" w:after="20"/>
              <w:jc w:val="center"/>
              <w:rPr>
                <w:sz w:val="20"/>
                <w:szCs w:val="20"/>
              </w:rPr>
            </w:pPr>
            <w:r w:rsidRPr="00A52AB8">
              <w:rPr>
                <w:sz w:val="20"/>
                <w:szCs w:val="20"/>
              </w:rPr>
              <w:t>u(5)</w:t>
            </w:r>
          </w:p>
        </w:tc>
      </w:tr>
      <w:tr w:rsidR="00DF4157" w:rsidRPr="00A52AB8" w14:paraId="1167F26F" w14:textId="77777777" w:rsidTr="004A6049">
        <w:tc>
          <w:tcPr>
            <w:tcW w:w="8411" w:type="dxa"/>
          </w:tcPr>
          <w:p w14:paraId="1EC3EE10" w14:textId="77777777" w:rsidR="00DF4157" w:rsidRPr="00A52AB8" w:rsidRDefault="00DF4157" w:rsidP="00DF4157">
            <w:pPr>
              <w:spacing w:before="20" w:after="20"/>
              <w:rPr>
                <w:color w:val="000000" w:themeColor="text1"/>
                <w:sz w:val="20"/>
                <w:szCs w:val="20"/>
              </w:rPr>
            </w:pPr>
            <w:r w:rsidRPr="00A52AB8">
              <w:rPr>
                <w:b/>
                <w:sz w:val="20"/>
                <w:szCs w:val="20"/>
              </w:rPr>
              <w:tab/>
              <w:t>asps_log2_max_atlas_frame_order_cnt_lsb_minus4</w:t>
            </w:r>
          </w:p>
        </w:tc>
        <w:tc>
          <w:tcPr>
            <w:tcW w:w="1331" w:type="dxa"/>
          </w:tcPr>
          <w:p w14:paraId="5D90A71D" w14:textId="77777777" w:rsidR="00DF4157" w:rsidRPr="00A52AB8" w:rsidRDefault="00DF4157" w:rsidP="00DF4157">
            <w:pPr>
              <w:spacing w:before="20" w:after="20"/>
              <w:jc w:val="center"/>
              <w:rPr>
                <w:color w:val="000000" w:themeColor="text1"/>
                <w:sz w:val="20"/>
                <w:szCs w:val="20"/>
              </w:rPr>
            </w:pPr>
            <w:r w:rsidRPr="00A52AB8">
              <w:rPr>
                <w:sz w:val="20"/>
                <w:szCs w:val="20"/>
              </w:rPr>
              <w:t>ue(v)</w:t>
            </w:r>
          </w:p>
        </w:tc>
      </w:tr>
      <w:tr w:rsidR="00DF4157" w:rsidRPr="00A52AB8" w14:paraId="670B9773" w14:textId="77777777" w:rsidTr="004A6049">
        <w:tc>
          <w:tcPr>
            <w:tcW w:w="8411" w:type="dxa"/>
          </w:tcPr>
          <w:p w14:paraId="5BCC3934" w14:textId="77777777" w:rsidR="00DF4157" w:rsidRPr="00A52AB8" w:rsidRDefault="00DF4157" w:rsidP="00DF4157">
            <w:pPr>
              <w:spacing w:before="20" w:after="20"/>
              <w:rPr>
                <w:color w:val="000000" w:themeColor="text1"/>
                <w:sz w:val="20"/>
                <w:szCs w:val="20"/>
              </w:rPr>
            </w:pPr>
            <w:r w:rsidRPr="00A52AB8">
              <w:rPr>
                <w:b/>
                <w:sz w:val="20"/>
                <w:szCs w:val="20"/>
              </w:rPr>
              <w:tab/>
            </w:r>
            <w:bookmarkStart w:id="714" w:name="_Hlk21520011"/>
            <w:r w:rsidRPr="00A52AB8">
              <w:rPr>
                <w:b/>
                <w:sz w:val="20"/>
                <w:szCs w:val="20"/>
              </w:rPr>
              <w:t>asps_max_dec_atlas_frame_buffering_minus1</w:t>
            </w:r>
            <w:bookmarkEnd w:id="714"/>
          </w:p>
        </w:tc>
        <w:tc>
          <w:tcPr>
            <w:tcW w:w="1331" w:type="dxa"/>
          </w:tcPr>
          <w:p w14:paraId="44BB7886" w14:textId="77777777" w:rsidR="00DF4157" w:rsidRPr="00A52AB8" w:rsidRDefault="00DF4157" w:rsidP="00DF4157">
            <w:pPr>
              <w:spacing w:before="20" w:after="20"/>
              <w:jc w:val="center"/>
              <w:rPr>
                <w:color w:val="000000" w:themeColor="text1"/>
                <w:sz w:val="20"/>
                <w:szCs w:val="20"/>
              </w:rPr>
            </w:pPr>
            <w:r w:rsidRPr="00A52AB8">
              <w:rPr>
                <w:sz w:val="20"/>
                <w:szCs w:val="20"/>
              </w:rPr>
              <w:t>ue(v)</w:t>
            </w:r>
          </w:p>
        </w:tc>
      </w:tr>
      <w:tr w:rsidR="00DF4157" w:rsidRPr="00A52AB8" w14:paraId="5F7C9205" w14:textId="77777777" w:rsidTr="004A6049">
        <w:tc>
          <w:tcPr>
            <w:tcW w:w="8411" w:type="dxa"/>
          </w:tcPr>
          <w:p w14:paraId="42BE10C3" w14:textId="77777777" w:rsidR="00DF4157" w:rsidRPr="00A52AB8" w:rsidRDefault="00DF4157" w:rsidP="00DF4157">
            <w:pPr>
              <w:spacing w:before="20" w:after="20"/>
              <w:rPr>
                <w:color w:val="000000" w:themeColor="text1"/>
                <w:sz w:val="20"/>
                <w:szCs w:val="20"/>
              </w:rPr>
            </w:pPr>
            <w:r w:rsidRPr="00A52AB8">
              <w:rPr>
                <w:sz w:val="20"/>
                <w:szCs w:val="20"/>
                <w:lang w:eastAsia="ko-KR"/>
              </w:rPr>
              <w:tab/>
            </w:r>
            <w:r w:rsidRPr="00A52AB8">
              <w:rPr>
                <w:b/>
                <w:sz w:val="20"/>
                <w:szCs w:val="20"/>
                <w:lang w:eastAsia="ko-KR"/>
              </w:rPr>
              <w:t>asps_</w:t>
            </w:r>
            <w:r w:rsidRPr="00A52AB8">
              <w:rPr>
                <w:b/>
                <w:sz w:val="20"/>
                <w:szCs w:val="20"/>
              </w:rPr>
              <w:t>long_term_ref_atlas_frames_flag</w:t>
            </w:r>
          </w:p>
        </w:tc>
        <w:tc>
          <w:tcPr>
            <w:tcW w:w="1331" w:type="dxa"/>
          </w:tcPr>
          <w:p w14:paraId="1095D798" w14:textId="77777777" w:rsidR="00DF4157" w:rsidRPr="00A52AB8" w:rsidRDefault="00DF4157" w:rsidP="00DF4157">
            <w:pPr>
              <w:spacing w:before="20" w:after="20"/>
              <w:jc w:val="center"/>
              <w:rPr>
                <w:color w:val="000000" w:themeColor="text1"/>
                <w:sz w:val="20"/>
                <w:szCs w:val="20"/>
              </w:rPr>
            </w:pPr>
            <w:r w:rsidRPr="00A52AB8">
              <w:rPr>
                <w:sz w:val="20"/>
                <w:szCs w:val="20"/>
                <w:lang w:eastAsia="ko-KR"/>
              </w:rPr>
              <w:t>u(1)</w:t>
            </w:r>
          </w:p>
        </w:tc>
      </w:tr>
      <w:tr w:rsidR="00DF4157" w:rsidRPr="00A52AB8" w14:paraId="20A9DE25" w14:textId="77777777" w:rsidTr="004A6049">
        <w:tc>
          <w:tcPr>
            <w:tcW w:w="8411" w:type="dxa"/>
          </w:tcPr>
          <w:p w14:paraId="48FAC5AC" w14:textId="77777777" w:rsidR="00DF4157" w:rsidRPr="00A52AB8" w:rsidRDefault="00DF4157" w:rsidP="00DF4157">
            <w:pPr>
              <w:spacing w:before="20" w:after="20"/>
              <w:rPr>
                <w:b/>
                <w:sz w:val="20"/>
                <w:szCs w:val="20"/>
              </w:rPr>
            </w:pPr>
            <w:r w:rsidRPr="00A52AB8">
              <w:rPr>
                <w:b/>
                <w:bCs/>
                <w:sz w:val="20"/>
                <w:szCs w:val="20"/>
              </w:rPr>
              <w:tab/>
              <w:t>asps_num_ref_atlas_frame_lists_in_asps</w:t>
            </w:r>
          </w:p>
        </w:tc>
        <w:tc>
          <w:tcPr>
            <w:tcW w:w="1331" w:type="dxa"/>
          </w:tcPr>
          <w:p w14:paraId="577E3AFD" w14:textId="77777777" w:rsidR="00DF4157" w:rsidRPr="00A52AB8" w:rsidRDefault="00DF4157" w:rsidP="00DF4157">
            <w:pPr>
              <w:spacing w:before="20" w:after="20"/>
              <w:jc w:val="center"/>
              <w:rPr>
                <w:color w:val="000000" w:themeColor="text1"/>
                <w:sz w:val="20"/>
                <w:szCs w:val="20"/>
              </w:rPr>
            </w:pPr>
            <w:r w:rsidRPr="00A52AB8">
              <w:rPr>
                <w:sz w:val="20"/>
                <w:szCs w:val="20"/>
              </w:rPr>
              <w:t>ue(v)</w:t>
            </w:r>
          </w:p>
        </w:tc>
      </w:tr>
      <w:tr w:rsidR="00DF4157" w:rsidRPr="00A52AB8" w14:paraId="471F7F0F" w14:textId="77777777" w:rsidTr="004A6049">
        <w:tc>
          <w:tcPr>
            <w:tcW w:w="8411" w:type="dxa"/>
          </w:tcPr>
          <w:p w14:paraId="2FBBE9F0" w14:textId="1346E76B" w:rsidR="00DF4157" w:rsidRPr="00A52AB8" w:rsidRDefault="00DF4157" w:rsidP="00DF4157">
            <w:pPr>
              <w:spacing w:before="20" w:after="20"/>
              <w:rPr>
                <w:b/>
                <w:sz w:val="20"/>
                <w:szCs w:val="20"/>
              </w:rPr>
            </w:pPr>
            <w:r w:rsidRPr="00A52AB8">
              <w:rPr>
                <w:b/>
                <w:sz w:val="20"/>
                <w:szCs w:val="20"/>
              </w:rPr>
              <w:tab/>
            </w:r>
            <w:r w:rsidRPr="00A52AB8">
              <w:rPr>
                <w:bCs/>
                <w:sz w:val="20"/>
                <w:szCs w:val="20"/>
              </w:rPr>
              <w:t>for( i</w:t>
            </w:r>
            <w:r w:rsidR="00D47707" w:rsidRPr="00A52AB8">
              <w:rPr>
                <w:bCs/>
                <w:sz w:val="20"/>
                <w:szCs w:val="20"/>
              </w:rPr>
              <w:t> = </w:t>
            </w:r>
            <w:r w:rsidRPr="00A52AB8">
              <w:rPr>
                <w:bCs/>
                <w:sz w:val="20"/>
                <w:szCs w:val="20"/>
              </w:rPr>
              <w:t>0; i &lt; asps_num_ref_atlas_frame_lists_in_asps; i</w:t>
            </w:r>
            <w:r w:rsidR="00006CCF" w:rsidRPr="00A52AB8">
              <w:rPr>
                <w:bCs/>
                <w:sz w:val="20"/>
                <w:szCs w:val="20"/>
              </w:rPr>
              <w:t>++ )</w:t>
            </w:r>
          </w:p>
        </w:tc>
        <w:tc>
          <w:tcPr>
            <w:tcW w:w="1331" w:type="dxa"/>
          </w:tcPr>
          <w:p w14:paraId="570A7461" w14:textId="77777777" w:rsidR="00DF4157" w:rsidRPr="00A52AB8" w:rsidRDefault="00DF4157" w:rsidP="00DF4157">
            <w:pPr>
              <w:spacing w:before="20" w:after="20"/>
              <w:jc w:val="center"/>
              <w:rPr>
                <w:color w:val="000000" w:themeColor="text1"/>
                <w:sz w:val="20"/>
                <w:szCs w:val="20"/>
              </w:rPr>
            </w:pPr>
          </w:p>
        </w:tc>
      </w:tr>
      <w:tr w:rsidR="00DF4157" w:rsidRPr="00A52AB8" w14:paraId="3FE8F94C" w14:textId="77777777" w:rsidTr="004A6049">
        <w:tc>
          <w:tcPr>
            <w:tcW w:w="8411" w:type="dxa"/>
          </w:tcPr>
          <w:p w14:paraId="1E5A49C7" w14:textId="77777777" w:rsidR="00DF4157" w:rsidRPr="00A52AB8" w:rsidRDefault="00DF4157" w:rsidP="00DF4157">
            <w:pPr>
              <w:spacing w:before="20" w:after="20"/>
              <w:rPr>
                <w:color w:val="000000" w:themeColor="text1"/>
                <w:sz w:val="20"/>
                <w:szCs w:val="20"/>
              </w:rPr>
            </w:pPr>
            <w:r w:rsidRPr="00A52AB8">
              <w:rPr>
                <w:b/>
                <w:sz w:val="20"/>
                <w:szCs w:val="20"/>
              </w:rPr>
              <w:tab/>
            </w:r>
            <w:r w:rsidRPr="00A52AB8">
              <w:rPr>
                <w:b/>
                <w:sz w:val="20"/>
                <w:szCs w:val="20"/>
              </w:rPr>
              <w:tab/>
            </w:r>
            <w:r w:rsidRPr="00A52AB8">
              <w:rPr>
                <w:sz w:val="20"/>
                <w:szCs w:val="20"/>
                <w:lang w:eastAsia="ko-KR"/>
              </w:rPr>
              <w:t>ref_list_struct( i )</w:t>
            </w:r>
          </w:p>
        </w:tc>
        <w:tc>
          <w:tcPr>
            <w:tcW w:w="1331" w:type="dxa"/>
          </w:tcPr>
          <w:p w14:paraId="08CD1D48" w14:textId="77777777" w:rsidR="00DF4157" w:rsidRPr="00A52AB8" w:rsidRDefault="00DF4157" w:rsidP="00DF4157">
            <w:pPr>
              <w:spacing w:before="20" w:after="20"/>
              <w:jc w:val="center"/>
              <w:rPr>
                <w:color w:val="000000" w:themeColor="text1"/>
                <w:sz w:val="20"/>
                <w:szCs w:val="20"/>
              </w:rPr>
            </w:pPr>
          </w:p>
        </w:tc>
      </w:tr>
      <w:tr w:rsidR="00DF4157" w:rsidRPr="00A52AB8" w14:paraId="675F28AB" w14:textId="77777777" w:rsidTr="004A6049">
        <w:tc>
          <w:tcPr>
            <w:tcW w:w="8411" w:type="dxa"/>
          </w:tcPr>
          <w:p w14:paraId="67B09D8B" w14:textId="77777777" w:rsidR="00DF4157" w:rsidRPr="00A52AB8" w:rsidRDefault="00DF4157" w:rsidP="00DF4157">
            <w:pPr>
              <w:spacing w:before="20" w:after="20"/>
              <w:rPr>
                <w:b/>
                <w:sz w:val="20"/>
                <w:szCs w:val="20"/>
              </w:rPr>
            </w:pPr>
            <w:r w:rsidRPr="00A52AB8">
              <w:rPr>
                <w:color w:val="000000" w:themeColor="text1"/>
                <w:sz w:val="20"/>
                <w:szCs w:val="20"/>
              </w:rPr>
              <w:tab/>
            </w:r>
            <w:r w:rsidRPr="00A52AB8">
              <w:rPr>
                <w:b/>
                <w:color w:val="000000" w:themeColor="text1"/>
                <w:sz w:val="20"/>
                <w:szCs w:val="20"/>
              </w:rPr>
              <w:t>asps_use_eight_orientations_flag </w:t>
            </w:r>
          </w:p>
        </w:tc>
        <w:tc>
          <w:tcPr>
            <w:tcW w:w="1331" w:type="dxa"/>
          </w:tcPr>
          <w:p w14:paraId="7D98BB87" w14:textId="77777777" w:rsidR="00DF4157" w:rsidRPr="00A52AB8" w:rsidRDefault="00DF4157" w:rsidP="00DF4157">
            <w:pPr>
              <w:spacing w:before="20" w:after="20"/>
              <w:jc w:val="center"/>
              <w:rPr>
                <w:color w:val="000000" w:themeColor="text1"/>
                <w:sz w:val="20"/>
                <w:szCs w:val="20"/>
              </w:rPr>
            </w:pPr>
            <w:r w:rsidRPr="00A52AB8">
              <w:rPr>
                <w:color w:val="000000" w:themeColor="text1"/>
                <w:sz w:val="20"/>
                <w:szCs w:val="20"/>
              </w:rPr>
              <w:t>u(1)</w:t>
            </w:r>
          </w:p>
        </w:tc>
      </w:tr>
      <w:tr w:rsidR="00DF4157" w:rsidRPr="00A52AB8" w14:paraId="1141865B" w14:textId="77777777" w:rsidTr="004A6049">
        <w:tc>
          <w:tcPr>
            <w:tcW w:w="8411" w:type="dxa"/>
          </w:tcPr>
          <w:p w14:paraId="48A8276D" w14:textId="77777777" w:rsidR="00DF4157" w:rsidRPr="00A52AB8" w:rsidRDefault="00DF4157" w:rsidP="00DF4157">
            <w:pPr>
              <w:spacing w:before="20" w:after="20"/>
              <w:rPr>
                <w:b/>
                <w:color w:val="000000" w:themeColor="text1"/>
                <w:sz w:val="20"/>
                <w:szCs w:val="20"/>
              </w:rPr>
            </w:pPr>
            <w:r w:rsidRPr="00A52AB8">
              <w:rPr>
                <w:color w:val="000000" w:themeColor="text1"/>
                <w:sz w:val="20"/>
                <w:szCs w:val="20"/>
              </w:rPr>
              <w:tab/>
            </w:r>
            <w:r w:rsidRPr="00A52AB8">
              <w:rPr>
                <w:b/>
                <w:color w:val="000000" w:themeColor="text1"/>
                <w:sz w:val="20"/>
                <w:szCs w:val="20"/>
              </w:rPr>
              <w:t>asps_extended_projection_enabled_flag</w:t>
            </w:r>
          </w:p>
        </w:tc>
        <w:tc>
          <w:tcPr>
            <w:tcW w:w="1331" w:type="dxa"/>
          </w:tcPr>
          <w:p w14:paraId="75FD4B60" w14:textId="77777777" w:rsidR="00DF4157" w:rsidRPr="00A52AB8" w:rsidRDefault="00DF4157" w:rsidP="00DF4157">
            <w:pPr>
              <w:spacing w:before="20" w:after="20"/>
              <w:jc w:val="center"/>
              <w:rPr>
                <w:color w:val="000000" w:themeColor="text1"/>
                <w:sz w:val="20"/>
                <w:szCs w:val="20"/>
              </w:rPr>
            </w:pPr>
            <w:r w:rsidRPr="00A52AB8">
              <w:rPr>
                <w:color w:val="000000" w:themeColor="text1"/>
                <w:sz w:val="20"/>
                <w:szCs w:val="20"/>
              </w:rPr>
              <w:t>u(1)</w:t>
            </w:r>
          </w:p>
        </w:tc>
      </w:tr>
      <w:tr w:rsidR="00DF4157" w:rsidRPr="00A52AB8" w14:paraId="238B84DC" w14:textId="77777777" w:rsidTr="004A6049">
        <w:tc>
          <w:tcPr>
            <w:tcW w:w="8411" w:type="dxa"/>
          </w:tcPr>
          <w:p w14:paraId="19CC1ADE" w14:textId="77777777" w:rsidR="00DF4157" w:rsidRPr="00A52AB8" w:rsidRDefault="00DF4157" w:rsidP="00DF4157">
            <w:pPr>
              <w:spacing w:before="20" w:after="20"/>
              <w:rPr>
                <w:color w:val="000000" w:themeColor="text1"/>
                <w:sz w:val="20"/>
                <w:szCs w:val="20"/>
              </w:rPr>
            </w:pPr>
            <w:r w:rsidRPr="00A52AB8">
              <w:rPr>
                <w:color w:val="000000" w:themeColor="text1"/>
                <w:sz w:val="20"/>
                <w:szCs w:val="20"/>
              </w:rPr>
              <w:tab/>
              <w:t>if(</w:t>
            </w:r>
            <w:r w:rsidRPr="00A52AB8">
              <w:rPr>
                <w:sz w:val="20"/>
                <w:szCs w:val="20"/>
              </w:rPr>
              <w:t> </w:t>
            </w:r>
            <w:r w:rsidRPr="00A52AB8">
              <w:rPr>
                <w:color w:val="000000" w:themeColor="text1"/>
                <w:sz w:val="20"/>
                <w:szCs w:val="20"/>
              </w:rPr>
              <w:t>asps_extended_projection_enabled_flag</w:t>
            </w:r>
            <w:r w:rsidRPr="00A52AB8">
              <w:rPr>
                <w:sz w:val="20"/>
                <w:szCs w:val="20"/>
              </w:rPr>
              <w:t> </w:t>
            </w:r>
            <w:r w:rsidRPr="00A52AB8">
              <w:rPr>
                <w:color w:val="000000" w:themeColor="text1"/>
                <w:sz w:val="20"/>
                <w:szCs w:val="20"/>
              </w:rPr>
              <w:t>)</w:t>
            </w:r>
          </w:p>
        </w:tc>
        <w:tc>
          <w:tcPr>
            <w:tcW w:w="1331" w:type="dxa"/>
          </w:tcPr>
          <w:p w14:paraId="462F66E7" w14:textId="77777777" w:rsidR="00DF4157" w:rsidRPr="00A52AB8" w:rsidRDefault="00DF4157" w:rsidP="00DF4157">
            <w:pPr>
              <w:spacing w:before="20" w:after="20"/>
              <w:jc w:val="center"/>
              <w:rPr>
                <w:color w:val="000000" w:themeColor="text1"/>
                <w:sz w:val="20"/>
                <w:szCs w:val="20"/>
              </w:rPr>
            </w:pPr>
          </w:p>
        </w:tc>
      </w:tr>
      <w:tr w:rsidR="00DF4157" w:rsidRPr="00A52AB8" w14:paraId="37B8A5F5" w14:textId="77777777" w:rsidTr="004A6049">
        <w:tc>
          <w:tcPr>
            <w:tcW w:w="8411" w:type="dxa"/>
          </w:tcPr>
          <w:p w14:paraId="3A74B6B3" w14:textId="77777777" w:rsidR="00DF4157" w:rsidRPr="00A52AB8" w:rsidRDefault="00DF4157" w:rsidP="00DF4157">
            <w:pPr>
              <w:spacing w:before="20" w:after="20"/>
              <w:rPr>
                <w:color w:val="000000" w:themeColor="text1"/>
                <w:sz w:val="20"/>
                <w:szCs w:val="20"/>
              </w:rPr>
            </w:pPr>
            <w:r w:rsidRPr="00A52AB8">
              <w:rPr>
                <w:color w:val="000000" w:themeColor="text1"/>
                <w:sz w:val="20"/>
                <w:szCs w:val="20"/>
              </w:rPr>
              <w:tab/>
            </w:r>
            <w:r w:rsidRPr="00A52AB8">
              <w:rPr>
                <w:color w:val="000000" w:themeColor="text1"/>
                <w:sz w:val="20"/>
                <w:szCs w:val="20"/>
              </w:rPr>
              <w:tab/>
            </w:r>
            <w:r w:rsidRPr="00A52AB8">
              <w:rPr>
                <w:b/>
                <w:color w:val="000000" w:themeColor="text1"/>
                <w:sz w:val="20"/>
                <w:szCs w:val="20"/>
              </w:rPr>
              <w:t>asps_max_number_projections_minus1</w:t>
            </w:r>
          </w:p>
        </w:tc>
        <w:tc>
          <w:tcPr>
            <w:tcW w:w="1331" w:type="dxa"/>
          </w:tcPr>
          <w:p w14:paraId="2A91D582" w14:textId="77777777" w:rsidR="00DF4157" w:rsidRPr="00A52AB8" w:rsidRDefault="00DF4157" w:rsidP="00DF4157">
            <w:pPr>
              <w:spacing w:before="20" w:after="20"/>
              <w:jc w:val="center"/>
              <w:rPr>
                <w:color w:val="000000" w:themeColor="text1"/>
                <w:sz w:val="20"/>
                <w:szCs w:val="20"/>
              </w:rPr>
            </w:pPr>
            <w:r w:rsidRPr="00A52AB8">
              <w:rPr>
                <w:color w:val="000000" w:themeColor="text1"/>
                <w:sz w:val="20"/>
                <w:szCs w:val="20"/>
              </w:rPr>
              <w:t>ue(v)</w:t>
            </w:r>
          </w:p>
        </w:tc>
      </w:tr>
      <w:tr w:rsidR="00DF4157" w:rsidRPr="00A52AB8" w14:paraId="51F1B656" w14:textId="77777777" w:rsidTr="004A6049">
        <w:tc>
          <w:tcPr>
            <w:tcW w:w="8411" w:type="dxa"/>
          </w:tcPr>
          <w:p w14:paraId="41C377A7" w14:textId="77777777" w:rsidR="00DF4157" w:rsidRPr="00A52AB8" w:rsidRDefault="00DF4157" w:rsidP="00DF4157">
            <w:pPr>
              <w:spacing w:before="20" w:after="20"/>
              <w:rPr>
                <w:b/>
                <w:sz w:val="20"/>
                <w:szCs w:val="20"/>
              </w:rPr>
            </w:pPr>
            <w:r w:rsidRPr="00A52AB8">
              <w:rPr>
                <w:sz w:val="20"/>
                <w:szCs w:val="20"/>
              </w:rPr>
              <w:tab/>
            </w:r>
            <w:r w:rsidRPr="00A52AB8">
              <w:rPr>
                <w:b/>
                <w:sz w:val="20"/>
                <w:szCs w:val="20"/>
              </w:rPr>
              <w:t>asps_normal_axis_limits_quantization_enabled_flag </w:t>
            </w:r>
          </w:p>
        </w:tc>
        <w:tc>
          <w:tcPr>
            <w:tcW w:w="1331" w:type="dxa"/>
          </w:tcPr>
          <w:p w14:paraId="02D21EBC" w14:textId="77777777" w:rsidR="00DF4157" w:rsidRPr="00A52AB8" w:rsidRDefault="00DF4157" w:rsidP="00DF4157">
            <w:pPr>
              <w:spacing w:before="20" w:after="20"/>
              <w:jc w:val="center"/>
              <w:rPr>
                <w:sz w:val="20"/>
                <w:szCs w:val="20"/>
              </w:rPr>
            </w:pPr>
            <w:r w:rsidRPr="00A52AB8">
              <w:rPr>
                <w:sz w:val="20"/>
                <w:szCs w:val="20"/>
              </w:rPr>
              <w:t>u(1)</w:t>
            </w:r>
          </w:p>
        </w:tc>
      </w:tr>
      <w:tr w:rsidR="00DF4157" w:rsidRPr="00A52AB8" w14:paraId="78A4B6FE" w14:textId="77777777" w:rsidTr="004A6049">
        <w:tc>
          <w:tcPr>
            <w:tcW w:w="8411" w:type="dxa"/>
          </w:tcPr>
          <w:p w14:paraId="40ECE93F" w14:textId="77777777" w:rsidR="00DF4157" w:rsidRPr="00A52AB8" w:rsidRDefault="00DF4157" w:rsidP="00DF4157">
            <w:pPr>
              <w:spacing w:before="20" w:after="20"/>
              <w:rPr>
                <w:b/>
                <w:sz w:val="20"/>
                <w:szCs w:val="20"/>
              </w:rPr>
            </w:pPr>
            <w:r w:rsidRPr="00A52AB8">
              <w:rPr>
                <w:sz w:val="20"/>
                <w:szCs w:val="20"/>
              </w:rPr>
              <w:tab/>
            </w:r>
            <w:r w:rsidRPr="00A52AB8">
              <w:rPr>
                <w:b/>
                <w:sz w:val="20"/>
                <w:szCs w:val="20"/>
              </w:rPr>
              <w:t>asps_normal_axis_max_delta_value_enabled_flag </w:t>
            </w:r>
          </w:p>
        </w:tc>
        <w:tc>
          <w:tcPr>
            <w:tcW w:w="1331" w:type="dxa"/>
          </w:tcPr>
          <w:p w14:paraId="5BBCE4DC" w14:textId="77777777" w:rsidR="00DF4157" w:rsidRPr="00A52AB8" w:rsidRDefault="00DF4157" w:rsidP="00DF4157">
            <w:pPr>
              <w:spacing w:before="20" w:after="20"/>
              <w:jc w:val="center"/>
              <w:rPr>
                <w:sz w:val="20"/>
                <w:szCs w:val="20"/>
              </w:rPr>
            </w:pPr>
            <w:r w:rsidRPr="00A52AB8">
              <w:rPr>
                <w:sz w:val="20"/>
                <w:szCs w:val="20"/>
              </w:rPr>
              <w:t>u(1)</w:t>
            </w:r>
          </w:p>
        </w:tc>
      </w:tr>
      <w:tr w:rsidR="00DF4157" w:rsidRPr="00A52AB8" w14:paraId="0D2DDF0C" w14:textId="77777777" w:rsidTr="004A6049">
        <w:tc>
          <w:tcPr>
            <w:tcW w:w="8411" w:type="dxa"/>
          </w:tcPr>
          <w:p w14:paraId="620D1DC4" w14:textId="77777777" w:rsidR="00DF4157" w:rsidRPr="00A52AB8" w:rsidRDefault="00DF4157" w:rsidP="00DF4157">
            <w:pPr>
              <w:spacing w:before="20" w:after="20"/>
              <w:rPr>
                <w:b/>
                <w:color w:val="000000" w:themeColor="text1"/>
                <w:sz w:val="20"/>
                <w:szCs w:val="20"/>
              </w:rPr>
            </w:pPr>
            <w:r w:rsidRPr="00A52AB8">
              <w:rPr>
                <w:b/>
                <w:color w:val="000000" w:themeColor="text1"/>
                <w:sz w:val="20"/>
                <w:szCs w:val="20"/>
              </w:rPr>
              <w:tab/>
              <w:t>asps_patch_precedence_order_flag</w:t>
            </w:r>
          </w:p>
        </w:tc>
        <w:tc>
          <w:tcPr>
            <w:tcW w:w="1331" w:type="dxa"/>
          </w:tcPr>
          <w:p w14:paraId="2C3BCCD5" w14:textId="77777777" w:rsidR="00DF4157" w:rsidRPr="00A52AB8" w:rsidRDefault="00DF4157" w:rsidP="00DF4157">
            <w:pPr>
              <w:spacing w:before="20" w:after="20"/>
              <w:jc w:val="center"/>
              <w:rPr>
                <w:color w:val="000000" w:themeColor="text1"/>
                <w:sz w:val="20"/>
                <w:szCs w:val="20"/>
              </w:rPr>
            </w:pPr>
            <w:r w:rsidRPr="00A52AB8">
              <w:rPr>
                <w:color w:val="000000" w:themeColor="text1"/>
                <w:sz w:val="20"/>
                <w:szCs w:val="20"/>
              </w:rPr>
              <w:t>u(1)</w:t>
            </w:r>
          </w:p>
        </w:tc>
      </w:tr>
      <w:tr w:rsidR="00DF4157" w:rsidRPr="00A52AB8" w14:paraId="51894BD0" w14:textId="77777777" w:rsidTr="004A6049">
        <w:tc>
          <w:tcPr>
            <w:tcW w:w="8411" w:type="dxa"/>
          </w:tcPr>
          <w:p w14:paraId="33D296C4" w14:textId="77777777" w:rsidR="00DF4157" w:rsidRPr="00A52AB8" w:rsidRDefault="00DF4157" w:rsidP="00DF4157">
            <w:pPr>
              <w:spacing w:before="20" w:after="20"/>
              <w:rPr>
                <w:b/>
                <w:sz w:val="20"/>
                <w:szCs w:val="20"/>
              </w:rPr>
            </w:pPr>
            <w:r w:rsidRPr="00A52AB8">
              <w:rPr>
                <w:b/>
                <w:sz w:val="20"/>
                <w:szCs w:val="20"/>
              </w:rPr>
              <w:tab/>
              <w:t>asps_log2_patch_packing_block_size</w:t>
            </w:r>
          </w:p>
        </w:tc>
        <w:tc>
          <w:tcPr>
            <w:tcW w:w="1331" w:type="dxa"/>
          </w:tcPr>
          <w:p w14:paraId="30EEBB04" w14:textId="77777777" w:rsidR="00DF4157" w:rsidRPr="00A52AB8" w:rsidRDefault="00DF4157" w:rsidP="00DF4157">
            <w:pPr>
              <w:spacing w:before="20" w:after="20"/>
              <w:jc w:val="center"/>
              <w:rPr>
                <w:sz w:val="20"/>
                <w:szCs w:val="20"/>
              </w:rPr>
            </w:pPr>
            <w:r w:rsidRPr="00A52AB8">
              <w:rPr>
                <w:sz w:val="20"/>
                <w:szCs w:val="20"/>
              </w:rPr>
              <w:t>u(3)</w:t>
            </w:r>
          </w:p>
        </w:tc>
      </w:tr>
      <w:tr w:rsidR="00DF4157" w:rsidRPr="00A52AB8" w14:paraId="6D09C23C" w14:textId="77777777" w:rsidTr="004A6049">
        <w:tc>
          <w:tcPr>
            <w:tcW w:w="8411" w:type="dxa"/>
          </w:tcPr>
          <w:p w14:paraId="1B2E4FB8" w14:textId="77777777" w:rsidR="00DF4157" w:rsidRPr="00A52AB8" w:rsidRDefault="00DF4157" w:rsidP="00DF4157">
            <w:pPr>
              <w:spacing w:before="20" w:after="20"/>
              <w:rPr>
                <w:b/>
                <w:bCs/>
                <w:color w:val="000000" w:themeColor="text1"/>
                <w:sz w:val="20"/>
                <w:szCs w:val="20"/>
              </w:rPr>
            </w:pPr>
            <w:r w:rsidRPr="00A52AB8">
              <w:rPr>
                <w:sz w:val="20"/>
                <w:szCs w:val="20"/>
                <w:lang w:eastAsia="ko-KR"/>
              </w:rPr>
              <w:tab/>
            </w:r>
            <w:r w:rsidRPr="00A52AB8">
              <w:rPr>
                <w:b/>
                <w:bCs/>
                <w:sz w:val="20"/>
                <w:szCs w:val="20"/>
                <w:lang w:eastAsia="ko-KR"/>
              </w:rPr>
              <w:t>asps_patch_size_quantizer_present_flag</w:t>
            </w:r>
          </w:p>
        </w:tc>
        <w:tc>
          <w:tcPr>
            <w:tcW w:w="1331" w:type="dxa"/>
          </w:tcPr>
          <w:p w14:paraId="5AB5018F" w14:textId="77777777" w:rsidR="00DF4157" w:rsidRPr="00A52AB8" w:rsidRDefault="00DF4157" w:rsidP="00DF4157">
            <w:pPr>
              <w:spacing w:before="20" w:after="20"/>
              <w:jc w:val="center"/>
              <w:rPr>
                <w:color w:val="000000" w:themeColor="text1"/>
                <w:sz w:val="20"/>
                <w:szCs w:val="20"/>
              </w:rPr>
            </w:pPr>
            <w:r w:rsidRPr="00A52AB8">
              <w:rPr>
                <w:color w:val="000000" w:themeColor="text1"/>
                <w:sz w:val="20"/>
                <w:szCs w:val="20"/>
              </w:rPr>
              <w:t>u(1)</w:t>
            </w:r>
          </w:p>
        </w:tc>
      </w:tr>
      <w:tr w:rsidR="00DF4157" w:rsidRPr="00A52AB8" w14:paraId="5AC3431A" w14:textId="77777777" w:rsidTr="004A6049">
        <w:tc>
          <w:tcPr>
            <w:tcW w:w="8411" w:type="dxa"/>
          </w:tcPr>
          <w:p w14:paraId="2A6D583B" w14:textId="77777777" w:rsidR="00DF4157" w:rsidRPr="00A52AB8" w:rsidRDefault="00DF4157" w:rsidP="00DF4157">
            <w:pPr>
              <w:spacing w:before="20" w:after="20"/>
              <w:rPr>
                <w:b/>
                <w:color w:val="000000" w:themeColor="text1"/>
                <w:sz w:val="20"/>
                <w:szCs w:val="20"/>
              </w:rPr>
            </w:pPr>
            <w:r w:rsidRPr="00A52AB8">
              <w:rPr>
                <w:bCs/>
                <w:color w:val="000000" w:themeColor="text1"/>
                <w:sz w:val="20"/>
                <w:szCs w:val="20"/>
              </w:rPr>
              <w:tab/>
            </w:r>
            <w:r w:rsidRPr="00A52AB8">
              <w:rPr>
                <w:b/>
                <w:color w:val="000000" w:themeColor="text1"/>
                <w:sz w:val="20"/>
                <w:szCs w:val="20"/>
              </w:rPr>
              <w:t>asps_map_count_minus1</w:t>
            </w:r>
          </w:p>
        </w:tc>
        <w:tc>
          <w:tcPr>
            <w:tcW w:w="1331" w:type="dxa"/>
          </w:tcPr>
          <w:p w14:paraId="3FDEA095" w14:textId="77777777" w:rsidR="00DF4157" w:rsidRPr="00A52AB8" w:rsidRDefault="00DF4157" w:rsidP="00DF4157">
            <w:pPr>
              <w:spacing w:before="20" w:after="20"/>
              <w:jc w:val="center"/>
              <w:rPr>
                <w:color w:val="000000" w:themeColor="text1"/>
                <w:sz w:val="20"/>
                <w:szCs w:val="20"/>
              </w:rPr>
            </w:pPr>
            <w:r w:rsidRPr="00A52AB8">
              <w:rPr>
                <w:color w:val="000000" w:themeColor="text1"/>
                <w:sz w:val="20"/>
                <w:szCs w:val="20"/>
              </w:rPr>
              <w:t>u(4)</w:t>
            </w:r>
          </w:p>
        </w:tc>
      </w:tr>
      <w:tr w:rsidR="00DF4157" w:rsidRPr="00A52AB8" w14:paraId="3616140B" w14:textId="77777777" w:rsidTr="004A6049">
        <w:tc>
          <w:tcPr>
            <w:tcW w:w="8411" w:type="dxa"/>
          </w:tcPr>
          <w:p w14:paraId="0FF22785" w14:textId="77777777" w:rsidR="00DF4157" w:rsidRPr="00A52AB8" w:rsidRDefault="00DF4157" w:rsidP="00DF4157">
            <w:pPr>
              <w:spacing w:before="20" w:after="20"/>
              <w:rPr>
                <w:color w:val="000000" w:themeColor="text1"/>
                <w:sz w:val="20"/>
                <w:szCs w:val="20"/>
              </w:rPr>
            </w:pPr>
            <w:r w:rsidRPr="00A52AB8">
              <w:rPr>
                <w:b/>
                <w:color w:val="000000" w:themeColor="text1"/>
                <w:sz w:val="20"/>
                <w:szCs w:val="20"/>
              </w:rPr>
              <w:tab/>
              <w:t>asps_pixel_deinterleaving_enabled_flag</w:t>
            </w:r>
          </w:p>
        </w:tc>
        <w:tc>
          <w:tcPr>
            <w:tcW w:w="1331" w:type="dxa"/>
          </w:tcPr>
          <w:p w14:paraId="57E2E272" w14:textId="77777777" w:rsidR="00DF4157" w:rsidRPr="00A52AB8" w:rsidRDefault="00DF4157" w:rsidP="00DF4157">
            <w:pPr>
              <w:spacing w:before="20" w:after="20"/>
              <w:jc w:val="center"/>
              <w:rPr>
                <w:sz w:val="20"/>
                <w:szCs w:val="20"/>
              </w:rPr>
            </w:pPr>
            <w:r w:rsidRPr="00A52AB8">
              <w:rPr>
                <w:color w:val="000000" w:themeColor="text1"/>
                <w:sz w:val="20"/>
                <w:szCs w:val="20"/>
              </w:rPr>
              <w:t>u(1)</w:t>
            </w:r>
          </w:p>
        </w:tc>
      </w:tr>
      <w:tr w:rsidR="00DF4157" w:rsidRPr="00A52AB8" w14:paraId="23564F12" w14:textId="77777777" w:rsidTr="004A6049">
        <w:tc>
          <w:tcPr>
            <w:tcW w:w="8411" w:type="dxa"/>
          </w:tcPr>
          <w:p w14:paraId="080BC1AA" w14:textId="77777777" w:rsidR="00DF4157" w:rsidRPr="00A52AB8" w:rsidRDefault="00DF4157" w:rsidP="00DF4157">
            <w:pPr>
              <w:spacing w:before="20" w:after="20"/>
              <w:rPr>
                <w:bCs/>
                <w:color w:val="000000" w:themeColor="text1"/>
                <w:sz w:val="20"/>
                <w:szCs w:val="20"/>
              </w:rPr>
            </w:pPr>
            <w:r w:rsidRPr="00A52AB8">
              <w:rPr>
                <w:bCs/>
                <w:color w:val="000000" w:themeColor="text1"/>
                <w:sz w:val="20"/>
                <w:szCs w:val="20"/>
              </w:rPr>
              <w:tab/>
              <w:t>if( asps_pixel_deinterleaving_enabled_flag )</w:t>
            </w:r>
          </w:p>
        </w:tc>
        <w:tc>
          <w:tcPr>
            <w:tcW w:w="1331" w:type="dxa"/>
          </w:tcPr>
          <w:p w14:paraId="46115E2A" w14:textId="77777777" w:rsidR="00DF4157" w:rsidRPr="00A52AB8" w:rsidRDefault="00DF4157" w:rsidP="00DF4157">
            <w:pPr>
              <w:spacing w:before="20" w:after="20"/>
              <w:jc w:val="center"/>
              <w:rPr>
                <w:color w:val="000000" w:themeColor="text1"/>
                <w:sz w:val="20"/>
                <w:szCs w:val="20"/>
              </w:rPr>
            </w:pPr>
          </w:p>
        </w:tc>
      </w:tr>
      <w:tr w:rsidR="00DF4157" w:rsidRPr="00A52AB8" w14:paraId="31EFD5D6" w14:textId="77777777" w:rsidTr="004A6049">
        <w:tc>
          <w:tcPr>
            <w:tcW w:w="8411" w:type="dxa"/>
          </w:tcPr>
          <w:p w14:paraId="412428E6" w14:textId="71069E9C" w:rsidR="00DF4157" w:rsidRPr="00A52AB8" w:rsidRDefault="00DF4157" w:rsidP="00DF4157">
            <w:pPr>
              <w:spacing w:before="20" w:after="20"/>
              <w:rPr>
                <w:bCs/>
                <w:color w:val="000000" w:themeColor="text1"/>
                <w:sz w:val="20"/>
                <w:szCs w:val="20"/>
              </w:rPr>
            </w:pPr>
            <w:r w:rsidRPr="00A52AB8">
              <w:rPr>
                <w:bCs/>
                <w:color w:val="000000" w:themeColor="text1"/>
                <w:sz w:val="20"/>
                <w:szCs w:val="20"/>
              </w:rPr>
              <w:tab/>
            </w:r>
            <w:r w:rsidRPr="00A52AB8">
              <w:rPr>
                <w:bCs/>
                <w:color w:val="000000" w:themeColor="text1"/>
                <w:sz w:val="20"/>
                <w:szCs w:val="20"/>
              </w:rPr>
              <w:tab/>
              <w:t>for( j</w:t>
            </w:r>
            <w:r w:rsidR="00D47707" w:rsidRPr="00A52AB8">
              <w:rPr>
                <w:bCs/>
                <w:color w:val="000000" w:themeColor="text1"/>
                <w:sz w:val="20"/>
                <w:szCs w:val="20"/>
              </w:rPr>
              <w:t> = </w:t>
            </w:r>
            <w:r w:rsidRPr="00A52AB8">
              <w:rPr>
                <w:bCs/>
                <w:color w:val="000000" w:themeColor="text1"/>
                <w:sz w:val="20"/>
                <w:szCs w:val="20"/>
              </w:rPr>
              <w:t>0; j </w:t>
            </w:r>
            <w:r w:rsidR="00A234FD" w:rsidRPr="00A52AB8">
              <w:rPr>
                <w:bCs/>
                <w:color w:val="000000" w:themeColor="text1"/>
                <w:sz w:val="20"/>
                <w:szCs w:val="20"/>
              </w:rPr>
              <w:t>&lt;=</w:t>
            </w:r>
            <w:r w:rsidR="00D47707" w:rsidRPr="00A52AB8">
              <w:rPr>
                <w:bCs/>
                <w:color w:val="000000" w:themeColor="text1"/>
                <w:sz w:val="20"/>
                <w:szCs w:val="20"/>
              </w:rPr>
              <w:t> </w:t>
            </w:r>
            <w:r w:rsidRPr="00A52AB8">
              <w:rPr>
                <w:bCs/>
                <w:color w:val="000000" w:themeColor="text1"/>
                <w:sz w:val="20"/>
                <w:szCs w:val="20"/>
              </w:rPr>
              <w:t>asps_map_count_minus1; j</w:t>
            </w:r>
            <w:r w:rsidR="00006CCF" w:rsidRPr="00A52AB8">
              <w:rPr>
                <w:bCs/>
                <w:color w:val="000000" w:themeColor="text1"/>
                <w:sz w:val="20"/>
                <w:szCs w:val="20"/>
              </w:rPr>
              <w:t>++ )</w:t>
            </w:r>
          </w:p>
        </w:tc>
        <w:tc>
          <w:tcPr>
            <w:tcW w:w="1331" w:type="dxa"/>
          </w:tcPr>
          <w:p w14:paraId="2341E4B6" w14:textId="77777777" w:rsidR="00DF4157" w:rsidRPr="00A52AB8" w:rsidRDefault="00DF4157" w:rsidP="00DF4157">
            <w:pPr>
              <w:spacing w:before="20" w:after="20"/>
              <w:jc w:val="center"/>
              <w:rPr>
                <w:color w:val="000000" w:themeColor="text1"/>
                <w:sz w:val="20"/>
                <w:szCs w:val="20"/>
              </w:rPr>
            </w:pPr>
          </w:p>
        </w:tc>
      </w:tr>
      <w:tr w:rsidR="00DF4157" w:rsidRPr="00A52AB8" w14:paraId="278D75E0" w14:textId="77777777" w:rsidTr="004A6049">
        <w:tc>
          <w:tcPr>
            <w:tcW w:w="8411" w:type="dxa"/>
          </w:tcPr>
          <w:p w14:paraId="58EB43AA" w14:textId="77777777" w:rsidR="00DF4157" w:rsidRPr="00A52AB8" w:rsidRDefault="00DF4157" w:rsidP="00DF4157">
            <w:pPr>
              <w:spacing w:before="20" w:after="20"/>
              <w:rPr>
                <w:bCs/>
                <w:color w:val="000000" w:themeColor="text1"/>
                <w:sz w:val="20"/>
                <w:szCs w:val="20"/>
              </w:rPr>
            </w:pPr>
            <w:r w:rsidRPr="00A52AB8">
              <w:rPr>
                <w:bCs/>
                <w:color w:val="000000" w:themeColor="text1"/>
                <w:sz w:val="20"/>
                <w:szCs w:val="20"/>
              </w:rPr>
              <w:tab/>
            </w:r>
            <w:r w:rsidRPr="00A52AB8">
              <w:rPr>
                <w:bCs/>
                <w:color w:val="000000" w:themeColor="text1"/>
                <w:sz w:val="20"/>
                <w:szCs w:val="20"/>
              </w:rPr>
              <w:tab/>
            </w:r>
            <w:r w:rsidRPr="00A52AB8">
              <w:rPr>
                <w:bCs/>
                <w:color w:val="000000" w:themeColor="text1"/>
                <w:sz w:val="20"/>
                <w:szCs w:val="20"/>
              </w:rPr>
              <w:tab/>
            </w:r>
            <w:r w:rsidRPr="00A52AB8">
              <w:rPr>
                <w:b/>
                <w:bCs/>
                <w:color w:val="000000" w:themeColor="text1"/>
                <w:sz w:val="20"/>
                <w:szCs w:val="20"/>
              </w:rPr>
              <w:t>asps_map_pixel_deinterleaving_flag</w:t>
            </w:r>
            <w:r w:rsidRPr="00A52AB8">
              <w:rPr>
                <w:bCs/>
                <w:color w:val="000000" w:themeColor="text1"/>
                <w:sz w:val="20"/>
                <w:szCs w:val="20"/>
              </w:rPr>
              <w:t>[ j ]</w:t>
            </w:r>
          </w:p>
        </w:tc>
        <w:tc>
          <w:tcPr>
            <w:tcW w:w="1331" w:type="dxa"/>
          </w:tcPr>
          <w:p w14:paraId="548FB131" w14:textId="77777777" w:rsidR="00DF4157" w:rsidRPr="00A52AB8" w:rsidRDefault="00DF4157" w:rsidP="00DF4157">
            <w:pPr>
              <w:spacing w:before="20" w:after="20"/>
              <w:jc w:val="center"/>
              <w:rPr>
                <w:color w:val="000000" w:themeColor="text1"/>
                <w:sz w:val="20"/>
                <w:szCs w:val="20"/>
              </w:rPr>
            </w:pPr>
            <w:r w:rsidRPr="00A52AB8">
              <w:rPr>
                <w:color w:val="000000" w:themeColor="text1"/>
                <w:sz w:val="20"/>
                <w:szCs w:val="20"/>
              </w:rPr>
              <w:t>u(1)</w:t>
            </w:r>
          </w:p>
        </w:tc>
      </w:tr>
      <w:tr w:rsidR="004A4E22" w:rsidRPr="00A52AB8" w14:paraId="362C2D15" w14:textId="77777777" w:rsidTr="004A4E22">
        <w:tc>
          <w:tcPr>
            <w:tcW w:w="8411" w:type="dxa"/>
          </w:tcPr>
          <w:p w14:paraId="78EFDA61" w14:textId="77777777" w:rsidR="004A4E22" w:rsidRPr="00A52AB8" w:rsidRDefault="004A4E22" w:rsidP="00AE7C1B">
            <w:pPr>
              <w:spacing w:before="20" w:after="20"/>
              <w:rPr>
                <w:b/>
                <w:bCs/>
                <w:sz w:val="20"/>
                <w:szCs w:val="20"/>
                <w:lang w:eastAsia="ko-KR"/>
              </w:rPr>
            </w:pPr>
            <w:r w:rsidRPr="00A52AB8">
              <w:rPr>
                <w:sz w:val="20"/>
                <w:szCs w:val="20"/>
                <w:lang w:eastAsia="ko-KR"/>
              </w:rPr>
              <w:tab/>
            </w:r>
            <w:r w:rsidRPr="00A52AB8">
              <w:rPr>
                <w:b/>
                <w:bCs/>
                <w:sz w:val="20"/>
                <w:szCs w:val="20"/>
                <w:lang w:eastAsia="ko-KR"/>
              </w:rPr>
              <w:t>asps_raw_patch_enabled_flag</w:t>
            </w:r>
          </w:p>
        </w:tc>
        <w:tc>
          <w:tcPr>
            <w:tcW w:w="1331" w:type="dxa"/>
          </w:tcPr>
          <w:p w14:paraId="2499AA6F" w14:textId="77777777" w:rsidR="004A4E22" w:rsidRPr="00A52AB8" w:rsidRDefault="004A4E22" w:rsidP="00AE7C1B">
            <w:pPr>
              <w:spacing w:before="20" w:after="20"/>
              <w:jc w:val="center"/>
              <w:rPr>
                <w:color w:val="000000" w:themeColor="text1"/>
                <w:sz w:val="20"/>
                <w:szCs w:val="20"/>
              </w:rPr>
            </w:pPr>
            <w:r w:rsidRPr="00A52AB8">
              <w:rPr>
                <w:color w:val="000000" w:themeColor="text1"/>
                <w:sz w:val="20"/>
                <w:szCs w:val="20"/>
              </w:rPr>
              <w:t>u(1)</w:t>
            </w:r>
          </w:p>
        </w:tc>
      </w:tr>
      <w:tr w:rsidR="00DF4157" w:rsidRPr="00A52AB8" w14:paraId="3A41D431" w14:textId="77777777" w:rsidTr="004A6049">
        <w:tc>
          <w:tcPr>
            <w:tcW w:w="8411" w:type="dxa"/>
          </w:tcPr>
          <w:p w14:paraId="57CA406A" w14:textId="77777777" w:rsidR="00DF4157" w:rsidRPr="00A52AB8" w:rsidRDefault="00DF4157" w:rsidP="00DF4157">
            <w:pPr>
              <w:spacing w:before="20" w:after="20"/>
              <w:rPr>
                <w:b/>
                <w:color w:val="000000" w:themeColor="text1"/>
                <w:sz w:val="20"/>
                <w:szCs w:val="20"/>
              </w:rPr>
            </w:pPr>
            <w:r w:rsidRPr="00A52AB8">
              <w:rPr>
                <w:b/>
                <w:color w:val="000000" w:themeColor="text1"/>
                <w:sz w:val="20"/>
                <w:szCs w:val="20"/>
              </w:rPr>
              <w:tab/>
              <w:t>asps_eom_patch_enabled_flag</w:t>
            </w:r>
          </w:p>
        </w:tc>
        <w:tc>
          <w:tcPr>
            <w:tcW w:w="1331" w:type="dxa"/>
          </w:tcPr>
          <w:p w14:paraId="05160EC8" w14:textId="77777777" w:rsidR="00DF4157" w:rsidRPr="00A52AB8" w:rsidRDefault="00DF4157" w:rsidP="00DF4157">
            <w:pPr>
              <w:spacing w:before="20" w:after="20"/>
              <w:jc w:val="center"/>
              <w:rPr>
                <w:color w:val="000000" w:themeColor="text1"/>
                <w:sz w:val="20"/>
                <w:szCs w:val="20"/>
              </w:rPr>
            </w:pPr>
            <w:r w:rsidRPr="00A52AB8">
              <w:rPr>
                <w:color w:val="000000" w:themeColor="text1"/>
                <w:sz w:val="20"/>
                <w:szCs w:val="20"/>
              </w:rPr>
              <w:t>u(1)</w:t>
            </w:r>
          </w:p>
        </w:tc>
      </w:tr>
      <w:tr w:rsidR="00DF4157" w:rsidRPr="00A52AB8" w14:paraId="0DFE1722" w14:textId="77777777" w:rsidTr="004A6049">
        <w:tc>
          <w:tcPr>
            <w:tcW w:w="8411" w:type="dxa"/>
          </w:tcPr>
          <w:p w14:paraId="0A7624DC" w14:textId="5DCB7029" w:rsidR="00DF4157" w:rsidRPr="00A52AB8" w:rsidRDefault="00DF4157" w:rsidP="00DF4157">
            <w:pPr>
              <w:spacing w:before="20" w:after="20"/>
              <w:rPr>
                <w:bCs/>
                <w:color w:val="000000" w:themeColor="text1"/>
                <w:sz w:val="20"/>
                <w:szCs w:val="20"/>
              </w:rPr>
            </w:pPr>
            <w:r w:rsidRPr="00A52AB8">
              <w:rPr>
                <w:b/>
                <w:color w:val="000000" w:themeColor="text1"/>
                <w:sz w:val="20"/>
                <w:szCs w:val="20"/>
              </w:rPr>
              <w:tab/>
            </w:r>
            <w:r w:rsidRPr="00A52AB8">
              <w:rPr>
                <w:bCs/>
                <w:color w:val="000000" w:themeColor="text1"/>
                <w:sz w:val="20"/>
                <w:szCs w:val="20"/>
              </w:rPr>
              <w:t>if( asps_eom_patch_enabled_flag</w:t>
            </w:r>
            <w:r w:rsidR="008768E9" w:rsidRPr="00A52AB8">
              <w:rPr>
                <w:bCs/>
                <w:color w:val="000000" w:themeColor="text1"/>
                <w:sz w:val="20"/>
                <w:szCs w:val="20"/>
              </w:rPr>
              <w:t> &amp;&amp; </w:t>
            </w:r>
            <w:r w:rsidRPr="00A52AB8">
              <w:rPr>
                <w:bCs/>
                <w:color w:val="000000" w:themeColor="text1"/>
                <w:sz w:val="20"/>
                <w:szCs w:val="20"/>
              </w:rPr>
              <w:t>asps_map_count_minus1</w:t>
            </w:r>
            <w:r w:rsidR="008768E9" w:rsidRPr="00A52AB8">
              <w:rPr>
                <w:bCs/>
                <w:color w:val="000000" w:themeColor="text1"/>
                <w:sz w:val="20"/>
                <w:szCs w:val="20"/>
              </w:rPr>
              <w:t> </w:t>
            </w:r>
            <w:r w:rsidR="00726AAE" w:rsidRPr="00A52AB8">
              <w:rPr>
                <w:bCs/>
                <w:color w:val="000000" w:themeColor="text1"/>
                <w:sz w:val="20"/>
                <w:szCs w:val="20"/>
              </w:rPr>
              <w:t>==</w:t>
            </w:r>
            <w:r w:rsidR="00D47707" w:rsidRPr="00A52AB8">
              <w:rPr>
                <w:bCs/>
                <w:color w:val="000000" w:themeColor="text1"/>
                <w:sz w:val="20"/>
                <w:szCs w:val="20"/>
              </w:rPr>
              <w:t> </w:t>
            </w:r>
            <w:r w:rsidRPr="00A52AB8">
              <w:rPr>
                <w:bCs/>
                <w:color w:val="000000" w:themeColor="text1"/>
                <w:sz w:val="20"/>
                <w:szCs w:val="20"/>
              </w:rPr>
              <w:t>0 )</w:t>
            </w:r>
          </w:p>
        </w:tc>
        <w:tc>
          <w:tcPr>
            <w:tcW w:w="1331" w:type="dxa"/>
          </w:tcPr>
          <w:p w14:paraId="7170C337" w14:textId="77777777" w:rsidR="00DF4157" w:rsidRPr="00A52AB8" w:rsidRDefault="00DF4157" w:rsidP="00DF4157">
            <w:pPr>
              <w:spacing w:before="20" w:after="20"/>
              <w:jc w:val="center"/>
              <w:rPr>
                <w:color w:val="000000" w:themeColor="text1"/>
                <w:sz w:val="20"/>
                <w:szCs w:val="20"/>
              </w:rPr>
            </w:pPr>
          </w:p>
        </w:tc>
      </w:tr>
      <w:tr w:rsidR="00DF4157" w:rsidRPr="00A52AB8" w14:paraId="0A73ECAF" w14:textId="77777777" w:rsidTr="004A6049">
        <w:tc>
          <w:tcPr>
            <w:tcW w:w="8411" w:type="dxa"/>
          </w:tcPr>
          <w:p w14:paraId="67CA3A75" w14:textId="77777777" w:rsidR="00DF4157" w:rsidRPr="00A52AB8" w:rsidRDefault="00DF4157" w:rsidP="00DF4157">
            <w:pPr>
              <w:spacing w:before="20" w:after="20"/>
              <w:rPr>
                <w:b/>
                <w:color w:val="000000" w:themeColor="text1"/>
                <w:sz w:val="20"/>
                <w:szCs w:val="20"/>
              </w:rPr>
            </w:pPr>
            <w:r w:rsidRPr="00A52AB8">
              <w:rPr>
                <w:b/>
                <w:color w:val="000000" w:themeColor="text1"/>
                <w:sz w:val="20"/>
                <w:szCs w:val="20"/>
              </w:rPr>
              <w:tab/>
            </w:r>
            <w:r w:rsidRPr="00A52AB8">
              <w:rPr>
                <w:b/>
                <w:color w:val="000000" w:themeColor="text1"/>
                <w:sz w:val="20"/>
                <w:szCs w:val="20"/>
              </w:rPr>
              <w:tab/>
              <w:t>asps_eom_fix_bit_count_minus1</w:t>
            </w:r>
          </w:p>
        </w:tc>
        <w:tc>
          <w:tcPr>
            <w:tcW w:w="1331" w:type="dxa"/>
          </w:tcPr>
          <w:p w14:paraId="543182CE" w14:textId="77777777" w:rsidR="00DF4157" w:rsidRPr="00A52AB8" w:rsidRDefault="00DF4157" w:rsidP="00DF4157">
            <w:pPr>
              <w:spacing w:before="20" w:after="20"/>
              <w:jc w:val="center"/>
              <w:rPr>
                <w:color w:val="000000" w:themeColor="text1"/>
                <w:sz w:val="20"/>
                <w:szCs w:val="20"/>
              </w:rPr>
            </w:pPr>
            <w:r w:rsidRPr="00A52AB8">
              <w:rPr>
                <w:color w:val="000000" w:themeColor="text1"/>
                <w:sz w:val="20"/>
                <w:szCs w:val="20"/>
              </w:rPr>
              <w:t>u(4)</w:t>
            </w:r>
          </w:p>
        </w:tc>
      </w:tr>
      <w:tr w:rsidR="00DF4157" w:rsidRPr="00A52AB8" w14:paraId="5FB73EC8" w14:textId="77777777" w:rsidTr="004A6049">
        <w:tc>
          <w:tcPr>
            <w:tcW w:w="8411" w:type="dxa"/>
          </w:tcPr>
          <w:p w14:paraId="217DBB6B" w14:textId="5CC3871D" w:rsidR="00DF4157" w:rsidRPr="00A52AB8" w:rsidRDefault="00DF4157" w:rsidP="00EC5959">
            <w:pPr>
              <w:spacing w:before="20" w:after="20"/>
              <w:rPr>
                <w:bCs/>
                <w:color w:val="000000" w:themeColor="text1"/>
                <w:sz w:val="20"/>
                <w:szCs w:val="20"/>
              </w:rPr>
            </w:pPr>
            <w:r w:rsidRPr="00A52AB8">
              <w:rPr>
                <w:b/>
                <w:color w:val="000000" w:themeColor="text1"/>
                <w:sz w:val="20"/>
                <w:szCs w:val="20"/>
              </w:rPr>
              <w:tab/>
            </w:r>
            <w:r w:rsidRPr="00A52AB8">
              <w:rPr>
                <w:bCs/>
                <w:color w:val="000000" w:themeColor="text1"/>
                <w:sz w:val="20"/>
                <w:szCs w:val="20"/>
              </w:rPr>
              <w:t>if(</w:t>
            </w:r>
            <w:r w:rsidR="00EC5959" w:rsidRPr="00A52AB8">
              <w:rPr>
                <w:bCs/>
                <w:color w:val="000000" w:themeColor="text1"/>
                <w:sz w:val="20"/>
                <w:szCs w:val="20"/>
              </w:rPr>
              <w:t> </w:t>
            </w:r>
            <w:r w:rsidRPr="00A52AB8">
              <w:rPr>
                <w:bCs/>
                <w:sz w:val="20"/>
                <w:szCs w:val="20"/>
                <w:lang w:eastAsia="ko-KR"/>
              </w:rPr>
              <w:t>asps_raw_patch_enabled_flag</w:t>
            </w:r>
            <w:r w:rsidR="008768E9" w:rsidRPr="00A52AB8">
              <w:rPr>
                <w:bCs/>
                <w:color w:val="000000" w:themeColor="text1"/>
                <w:sz w:val="20"/>
                <w:szCs w:val="20"/>
              </w:rPr>
              <w:t> || </w:t>
            </w:r>
            <w:r w:rsidRPr="00A52AB8">
              <w:rPr>
                <w:bCs/>
                <w:color w:val="000000" w:themeColor="text1"/>
                <w:sz w:val="20"/>
                <w:szCs w:val="20"/>
              </w:rPr>
              <w:t>asps_eom_patch_enabled_</w:t>
            </w:r>
            <w:r w:rsidR="00EC5959" w:rsidRPr="00A52AB8">
              <w:rPr>
                <w:bCs/>
                <w:color w:val="000000" w:themeColor="text1"/>
                <w:sz w:val="20"/>
                <w:szCs w:val="20"/>
              </w:rPr>
              <w:t>flag </w:t>
            </w:r>
            <w:r w:rsidRPr="00A52AB8">
              <w:rPr>
                <w:bCs/>
                <w:color w:val="000000" w:themeColor="text1"/>
                <w:sz w:val="20"/>
                <w:szCs w:val="20"/>
              </w:rPr>
              <w:t>)</w:t>
            </w:r>
          </w:p>
        </w:tc>
        <w:tc>
          <w:tcPr>
            <w:tcW w:w="1331" w:type="dxa"/>
          </w:tcPr>
          <w:p w14:paraId="6F8BC2A6" w14:textId="77777777" w:rsidR="00DF4157" w:rsidRPr="00A52AB8" w:rsidRDefault="00DF4157" w:rsidP="00DF4157">
            <w:pPr>
              <w:spacing w:before="20" w:after="20"/>
              <w:jc w:val="center"/>
              <w:rPr>
                <w:sz w:val="20"/>
                <w:szCs w:val="20"/>
              </w:rPr>
            </w:pPr>
          </w:p>
        </w:tc>
      </w:tr>
      <w:tr w:rsidR="00DF4157" w:rsidRPr="00A52AB8" w14:paraId="4E980F01" w14:textId="77777777" w:rsidTr="004A6049">
        <w:tc>
          <w:tcPr>
            <w:tcW w:w="8411" w:type="dxa"/>
          </w:tcPr>
          <w:p w14:paraId="13F06ED4" w14:textId="77777777" w:rsidR="00DF4157" w:rsidRPr="00A52AB8" w:rsidRDefault="00DF4157" w:rsidP="00DF4157">
            <w:pPr>
              <w:spacing w:before="20" w:after="20"/>
              <w:rPr>
                <w:b/>
                <w:color w:val="000000" w:themeColor="text1"/>
                <w:sz w:val="20"/>
                <w:szCs w:val="20"/>
              </w:rPr>
            </w:pPr>
            <w:r w:rsidRPr="00A52AB8">
              <w:rPr>
                <w:bCs/>
                <w:color w:val="000000" w:themeColor="text1"/>
                <w:sz w:val="20"/>
                <w:szCs w:val="20"/>
              </w:rPr>
              <w:tab/>
            </w:r>
            <w:r w:rsidRPr="00A52AB8">
              <w:rPr>
                <w:bCs/>
                <w:color w:val="000000" w:themeColor="text1"/>
                <w:sz w:val="20"/>
                <w:szCs w:val="20"/>
              </w:rPr>
              <w:tab/>
            </w:r>
            <w:r w:rsidRPr="00A52AB8">
              <w:rPr>
                <w:b/>
                <w:color w:val="000000" w:themeColor="text1"/>
                <w:sz w:val="20"/>
                <w:szCs w:val="20"/>
              </w:rPr>
              <w:t>asps_auxiliary_video_enabled_flag</w:t>
            </w:r>
          </w:p>
        </w:tc>
        <w:tc>
          <w:tcPr>
            <w:tcW w:w="1331" w:type="dxa"/>
          </w:tcPr>
          <w:p w14:paraId="09D86B46" w14:textId="77777777" w:rsidR="00DF4157" w:rsidRPr="00A52AB8" w:rsidRDefault="00DF4157" w:rsidP="00DF4157">
            <w:pPr>
              <w:spacing w:before="20" w:after="20"/>
              <w:jc w:val="center"/>
              <w:rPr>
                <w:color w:val="000000" w:themeColor="text1"/>
                <w:sz w:val="20"/>
                <w:szCs w:val="20"/>
              </w:rPr>
            </w:pPr>
            <w:r w:rsidRPr="00A52AB8">
              <w:rPr>
                <w:color w:val="000000" w:themeColor="text1"/>
                <w:sz w:val="20"/>
                <w:szCs w:val="20"/>
              </w:rPr>
              <w:t>u(1)</w:t>
            </w:r>
          </w:p>
        </w:tc>
      </w:tr>
      <w:tr w:rsidR="00DF4157" w:rsidRPr="00A52AB8" w14:paraId="003708B4" w14:textId="77777777" w:rsidTr="004A6049">
        <w:tc>
          <w:tcPr>
            <w:tcW w:w="8411" w:type="dxa"/>
          </w:tcPr>
          <w:p w14:paraId="3A848A81" w14:textId="77777777" w:rsidR="00DF4157" w:rsidRPr="00A52AB8" w:rsidRDefault="00DF4157" w:rsidP="00DF4157">
            <w:pPr>
              <w:spacing w:before="20" w:after="20"/>
              <w:rPr>
                <w:bCs/>
                <w:color w:val="000000" w:themeColor="text1"/>
                <w:sz w:val="20"/>
                <w:szCs w:val="20"/>
              </w:rPr>
            </w:pPr>
            <w:r w:rsidRPr="00A52AB8">
              <w:rPr>
                <w:b/>
                <w:color w:val="000000" w:themeColor="text1"/>
                <w:sz w:val="20"/>
                <w:szCs w:val="20"/>
              </w:rPr>
              <w:tab/>
              <w:t>asps_</w:t>
            </w:r>
            <w:r w:rsidR="00D375CC" w:rsidRPr="00A52AB8">
              <w:rPr>
                <w:b/>
                <w:color w:val="000000" w:themeColor="text1"/>
                <w:sz w:val="20"/>
                <w:szCs w:val="20"/>
              </w:rPr>
              <w:t>plr</w:t>
            </w:r>
            <w:r w:rsidRPr="00A52AB8">
              <w:rPr>
                <w:b/>
                <w:color w:val="000000" w:themeColor="text1"/>
                <w:sz w:val="20"/>
                <w:szCs w:val="20"/>
              </w:rPr>
              <w:t>_enabled_flag</w:t>
            </w:r>
          </w:p>
        </w:tc>
        <w:tc>
          <w:tcPr>
            <w:tcW w:w="1331" w:type="dxa"/>
          </w:tcPr>
          <w:p w14:paraId="09C25B59" w14:textId="77777777" w:rsidR="00DF4157" w:rsidRPr="00A52AB8" w:rsidRDefault="00DF4157" w:rsidP="00DF4157">
            <w:pPr>
              <w:spacing w:before="20" w:after="20"/>
              <w:jc w:val="center"/>
              <w:rPr>
                <w:color w:val="000000" w:themeColor="text1"/>
                <w:sz w:val="20"/>
                <w:szCs w:val="20"/>
              </w:rPr>
            </w:pPr>
            <w:r w:rsidRPr="00A52AB8">
              <w:rPr>
                <w:color w:val="000000" w:themeColor="text1"/>
                <w:sz w:val="20"/>
                <w:szCs w:val="20"/>
              </w:rPr>
              <w:t>u(1)</w:t>
            </w:r>
          </w:p>
        </w:tc>
      </w:tr>
      <w:tr w:rsidR="00DF4157" w:rsidRPr="00A52AB8" w14:paraId="4428226F" w14:textId="77777777" w:rsidTr="004A6049">
        <w:tc>
          <w:tcPr>
            <w:tcW w:w="8411" w:type="dxa"/>
          </w:tcPr>
          <w:p w14:paraId="5A558AAD" w14:textId="77777777" w:rsidR="00DF4157" w:rsidRPr="00A52AB8" w:rsidRDefault="00DF4157" w:rsidP="00DF4157">
            <w:pPr>
              <w:spacing w:before="20" w:after="20"/>
              <w:rPr>
                <w:color w:val="000000" w:themeColor="text1"/>
                <w:sz w:val="20"/>
                <w:szCs w:val="20"/>
              </w:rPr>
            </w:pPr>
            <w:r w:rsidRPr="00A52AB8">
              <w:rPr>
                <w:color w:val="000000" w:themeColor="text1"/>
                <w:sz w:val="20"/>
                <w:szCs w:val="20"/>
              </w:rPr>
              <w:tab/>
              <w:t>if( asps_</w:t>
            </w:r>
            <w:r w:rsidR="00D375CC" w:rsidRPr="00A52AB8">
              <w:rPr>
                <w:color w:val="000000" w:themeColor="text1"/>
                <w:sz w:val="20"/>
                <w:szCs w:val="20"/>
              </w:rPr>
              <w:t>plr</w:t>
            </w:r>
            <w:r w:rsidRPr="00A52AB8">
              <w:rPr>
                <w:color w:val="000000" w:themeColor="text1"/>
                <w:sz w:val="20"/>
                <w:szCs w:val="20"/>
              </w:rPr>
              <w:t>_enabled_flag )</w:t>
            </w:r>
          </w:p>
        </w:tc>
        <w:tc>
          <w:tcPr>
            <w:tcW w:w="1331" w:type="dxa"/>
          </w:tcPr>
          <w:p w14:paraId="1EB5EBEA" w14:textId="77777777" w:rsidR="00DF4157" w:rsidRPr="00A52AB8" w:rsidRDefault="00DF4157" w:rsidP="00DF4157">
            <w:pPr>
              <w:spacing w:before="20" w:after="20"/>
              <w:jc w:val="center"/>
              <w:rPr>
                <w:sz w:val="20"/>
                <w:szCs w:val="20"/>
              </w:rPr>
            </w:pPr>
          </w:p>
        </w:tc>
      </w:tr>
      <w:tr w:rsidR="00DF4157" w:rsidRPr="00A52AB8" w14:paraId="67B66A2E" w14:textId="77777777" w:rsidTr="004A6049">
        <w:tc>
          <w:tcPr>
            <w:tcW w:w="8411" w:type="dxa"/>
          </w:tcPr>
          <w:p w14:paraId="52BDDF87" w14:textId="77777777" w:rsidR="00DF4157" w:rsidRPr="00A52AB8" w:rsidRDefault="00DF4157" w:rsidP="00DF4157">
            <w:pPr>
              <w:spacing w:before="20" w:after="20"/>
              <w:rPr>
                <w:color w:val="000000" w:themeColor="text1"/>
                <w:sz w:val="20"/>
                <w:szCs w:val="20"/>
              </w:rPr>
            </w:pPr>
            <w:r w:rsidRPr="00A52AB8">
              <w:rPr>
                <w:color w:val="000000" w:themeColor="text1"/>
                <w:sz w:val="20"/>
                <w:szCs w:val="20"/>
              </w:rPr>
              <w:tab/>
            </w:r>
            <w:r w:rsidRPr="00A52AB8">
              <w:rPr>
                <w:color w:val="000000" w:themeColor="text1"/>
                <w:sz w:val="20"/>
                <w:szCs w:val="20"/>
              </w:rPr>
              <w:tab/>
              <w:t>asps_</w:t>
            </w:r>
            <w:r w:rsidR="00D375CC" w:rsidRPr="00A52AB8">
              <w:rPr>
                <w:color w:val="000000" w:themeColor="text1"/>
                <w:sz w:val="20"/>
                <w:szCs w:val="20"/>
              </w:rPr>
              <w:t>plr</w:t>
            </w:r>
            <w:r w:rsidRPr="00A52AB8">
              <w:rPr>
                <w:color w:val="000000" w:themeColor="text1"/>
                <w:sz w:val="20"/>
                <w:szCs w:val="20"/>
              </w:rPr>
              <w:t>_information( </w:t>
            </w:r>
            <w:r w:rsidRPr="00A52AB8">
              <w:rPr>
                <w:bCs/>
                <w:color w:val="000000" w:themeColor="text1"/>
                <w:sz w:val="20"/>
                <w:szCs w:val="20"/>
              </w:rPr>
              <w:t>asps_map_count_minus1 </w:t>
            </w:r>
            <w:r w:rsidRPr="00A52AB8">
              <w:rPr>
                <w:color w:val="000000" w:themeColor="text1"/>
                <w:sz w:val="20"/>
                <w:szCs w:val="20"/>
              </w:rPr>
              <w:t>)</w:t>
            </w:r>
          </w:p>
        </w:tc>
        <w:tc>
          <w:tcPr>
            <w:tcW w:w="1331" w:type="dxa"/>
          </w:tcPr>
          <w:p w14:paraId="59352AC3" w14:textId="77777777" w:rsidR="00DF4157" w:rsidRPr="00A52AB8" w:rsidRDefault="00DF4157" w:rsidP="00DF4157">
            <w:pPr>
              <w:spacing w:before="20" w:after="20"/>
              <w:jc w:val="center"/>
              <w:rPr>
                <w:sz w:val="20"/>
                <w:szCs w:val="20"/>
              </w:rPr>
            </w:pPr>
          </w:p>
        </w:tc>
      </w:tr>
      <w:tr w:rsidR="00DF4157" w:rsidRPr="00A52AB8" w14:paraId="74DCBD31" w14:textId="77777777" w:rsidTr="004A6049">
        <w:tc>
          <w:tcPr>
            <w:tcW w:w="8411" w:type="dxa"/>
          </w:tcPr>
          <w:p w14:paraId="5C1463C4" w14:textId="77777777" w:rsidR="00DF4157" w:rsidRPr="00A52AB8" w:rsidRDefault="00DF4157" w:rsidP="00DF4157">
            <w:pPr>
              <w:spacing w:before="20" w:after="20"/>
              <w:rPr>
                <w:color w:val="000000" w:themeColor="text1"/>
                <w:sz w:val="20"/>
                <w:szCs w:val="20"/>
              </w:rPr>
            </w:pPr>
            <w:r w:rsidRPr="00A52AB8">
              <w:rPr>
                <w:sz w:val="20"/>
                <w:szCs w:val="20"/>
              </w:rPr>
              <w:tab/>
            </w:r>
            <w:r w:rsidRPr="00A52AB8">
              <w:rPr>
                <w:b/>
                <w:bCs/>
                <w:sz w:val="20"/>
                <w:szCs w:val="20"/>
              </w:rPr>
              <w:t>asps_</w:t>
            </w:r>
            <w:r w:rsidRPr="00A52AB8">
              <w:rPr>
                <w:b/>
                <w:sz w:val="20"/>
                <w:szCs w:val="20"/>
              </w:rPr>
              <w:t>vui_parameters_present_flag</w:t>
            </w:r>
          </w:p>
        </w:tc>
        <w:tc>
          <w:tcPr>
            <w:tcW w:w="1331" w:type="dxa"/>
          </w:tcPr>
          <w:p w14:paraId="1544361D" w14:textId="77777777" w:rsidR="00DF4157" w:rsidRPr="00A52AB8" w:rsidRDefault="00DF4157" w:rsidP="00DF4157">
            <w:pPr>
              <w:spacing w:before="20" w:after="20"/>
              <w:jc w:val="center"/>
              <w:rPr>
                <w:sz w:val="20"/>
                <w:szCs w:val="20"/>
              </w:rPr>
            </w:pPr>
            <w:r w:rsidRPr="00A52AB8">
              <w:rPr>
                <w:sz w:val="20"/>
                <w:szCs w:val="20"/>
              </w:rPr>
              <w:t>u(1)</w:t>
            </w:r>
          </w:p>
        </w:tc>
      </w:tr>
      <w:tr w:rsidR="00DF4157" w:rsidRPr="00A52AB8" w14:paraId="141DD950" w14:textId="77777777" w:rsidTr="004A6049">
        <w:tc>
          <w:tcPr>
            <w:tcW w:w="8411" w:type="dxa"/>
          </w:tcPr>
          <w:p w14:paraId="5352E5A7" w14:textId="77777777" w:rsidR="00DF4157" w:rsidRPr="00A52AB8" w:rsidRDefault="00DF4157" w:rsidP="00DF4157">
            <w:pPr>
              <w:spacing w:before="20" w:after="20"/>
              <w:rPr>
                <w:color w:val="000000" w:themeColor="text1"/>
                <w:sz w:val="20"/>
                <w:szCs w:val="20"/>
              </w:rPr>
            </w:pPr>
            <w:r w:rsidRPr="00A52AB8">
              <w:rPr>
                <w:sz w:val="20"/>
                <w:szCs w:val="20"/>
              </w:rPr>
              <w:tab/>
              <w:t>if( asps_vui_parameters_present_flag )</w:t>
            </w:r>
          </w:p>
        </w:tc>
        <w:tc>
          <w:tcPr>
            <w:tcW w:w="1331" w:type="dxa"/>
          </w:tcPr>
          <w:p w14:paraId="2E412464" w14:textId="77777777" w:rsidR="00DF4157" w:rsidRPr="00A52AB8" w:rsidRDefault="00DF4157" w:rsidP="00DF4157">
            <w:pPr>
              <w:spacing w:before="20" w:after="20"/>
              <w:jc w:val="center"/>
              <w:rPr>
                <w:sz w:val="20"/>
                <w:szCs w:val="20"/>
              </w:rPr>
            </w:pPr>
          </w:p>
        </w:tc>
      </w:tr>
      <w:tr w:rsidR="00DF4157" w:rsidRPr="00A52AB8" w14:paraId="3912E8D1" w14:textId="77777777" w:rsidTr="004A6049">
        <w:tc>
          <w:tcPr>
            <w:tcW w:w="8411" w:type="dxa"/>
          </w:tcPr>
          <w:p w14:paraId="58268264" w14:textId="77777777" w:rsidR="00DF4157" w:rsidRPr="00A52AB8" w:rsidRDefault="00DF4157" w:rsidP="00DF4157">
            <w:pPr>
              <w:spacing w:before="20" w:after="20"/>
              <w:rPr>
                <w:color w:val="000000" w:themeColor="text1"/>
                <w:sz w:val="20"/>
                <w:szCs w:val="20"/>
              </w:rPr>
            </w:pPr>
            <w:r w:rsidRPr="00A52AB8">
              <w:rPr>
                <w:sz w:val="20"/>
                <w:szCs w:val="20"/>
              </w:rPr>
              <w:tab/>
            </w:r>
            <w:r w:rsidRPr="00A52AB8">
              <w:rPr>
                <w:sz w:val="20"/>
                <w:szCs w:val="20"/>
              </w:rPr>
              <w:tab/>
              <w:t>vui_parameters( )</w:t>
            </w:r>
          </w:p>
        </w:tc>
        <w:tc>
          <w:tcPr>
            <w:tcW w:w="1331" w:type="dxa"/>
          </w:tcPr>
          <w:p w14:paraId="5865163C" w14:textId="77777777" w:rsidR="00DF4157" w:rsidRPr="00A52AB8" w:rsidRDefault="00DF4157" w:rsidP="00DF4157">
            <w:pPr>
              <w:spacing w:before="20" w:after="20"/>
              <w:jc w:val="center"/>
              <w:rPr>
                <w:sz w:val="20"/>
                <w:szCs w:val="20"/>
              </w:rPr>
            </w:pPr>
          </w:p>
        </w:tc>
      </w:tr>
      <w:tr w:rsidR="00DF4157" w:rsidRPr="00A52AB8" w14:paraId="301BF3B1" w14:textId="77777777" w:rsidTr="004A6049">
        <w:tc>
          <w:tcPr>
            <w:tcW w:w="8411" w:type="dxa"/>
          </w:tcPr>
          <w:p w14:paraId="257A7EC8" w14:textId="77777777" w:rsidR="00DF4157" w:rsidRPr="00A52AB8" w:rsidRDefault="00DF4157" w:rsidP="00DF4157">
            <w:pPr>
              <w:spacing w:before="20" w:after="20"/>
              <w:rPr>
                <w:sz w:val="20"/>
                <w:szCs w:val="20"/>
              </w:rPr>
            </w:pPr>
            <w:bookmarkStart w:id="715" w:name="_Hlk51837037"/>
            <w:bookmarkStart w:id="716" w:name="_Hlk51836848"/>
            <w:r w:rsidRPr="00A52AB8">
              <w:rPr>
                <w:sz w:val="20"/>
                <w:szCs w:val="20"/>
              </w:rPr>
              <w:tab/>
            </w:r>
            <w:r w:rsidRPr="00A52AB8">
              <w:rPr>
                <w:b/>
                <w:sz w:val="20"/>
                <w:szCs w:val="20"/>
              </w:rPr>
              <w:t>asps_extension_</w:t>
            </w:r>
            <w:r w:rsidR="00F431FA" w:rsidRPr="00A52AB8">
              <w:rPr>
                <w:b/>
                <w:sz w:val="20"/>
                <w:szCs w:val="20"/>
              </w:rPr>
              <w:t>present_</w:t>
            </w:r>
            <w:r w:rsidRPr="00A52AB8">
              <w:rPr>
                <w:b/>
                <w:sz w:val="20"/>
                <w:szCs w:val="20"/>
              </w:rPr>
              <w:t>flag</w:t>
            </w:r>
          </w:p>
        </w:tc>
        <w:tc>
          <w:tcPr>
            <w:tcW w:w="1331" w:type="dxa"/>
          </w:tcPr>
          <w:p w14:paraId="675E84DD" w14:textId="77777777" w:rsidR="00DF4157" w:rsidRPr="00A52AB8" w:rsidRDefault="00DF4157" w:rsidP="00DF4157">
            <w:pPr>
              <w:spacing w:before="20" w:after="20"/>
              <w:jc w:val="center"/>
              <w:rPr>
                <w:sz w:val="20"/>
                <w:szCs w:val="20"/>
              </w:rPr>
            </w:pPr>
            <w:r w:rsidRPr="00A52AB8">
              <w:rPr>
                <w:sz w:val="20"/>
                <w:szCs w:val="20"/>
              </w:rPr>
              <w:t>u(1)</w:t>
            </w:r>
          </w:p>
        </w:tc>
      </w:tr>
      <w:tr w:rsidR="00DF4157" w:rsidRPr="00A52AB8" w14:paraId="02AD7CB5" w14:textId="77777777" w:rsidTr="004A6049">
        <w:tc>
          <w:tcPr>
            <w:tcW w:w="8411" w:type="dxa"/>
          </w:tcPr>
          <w:p w14:paraId="3B60AC3C" w14:textId="609AACDC" w:rsidR="00DF4157" w:rsidRPr="00A52AB8" w:rsidRDefault="00DF4157" w:rsidP="00DF4157">
            <w:pPr>
              <w:spacing w:before="20" w:after="20"/>
              <w:rPr>
                <w:sz w:val="20"/>
                <w:szCs w:val="20"/>
              </w:rPr>
            </w:pPr>
            <w:r w:rsidRPr="00A52AB8">
              <w:rPr>
                <w:sz w:val="20"/>
                <w:szCs w:val="20"/>
              </w:rPr>
              <w:tab/>
              <w:t>if( asps_extension_</w:t>
            </w:r>
            <w:r w:rsidR="00F431FA" w:rsidRPr="00A52AB8">
              <w:rPr>
                <w:sz w:val="20"/>
                <w:szCs w:val="20"/>
              </w:rPr>
              <w:t>present_</w:t>
            </w:r>
            <w:r w:rsidRPr="00A52AB8">
              <w:rPr>
                <w:sz w:val="20"/>
                <w:szCs w:val="20"/>
              </w:rPr>
              <w:t>flag</w:t>
            </w:r>
            <w:r w:rsidRPr="00A52AB8">
              <w:rPr>
                <w:bCs/>
                <w:color w:val="000000" w:themeColor="text1"/>
                <w:sz w:val="20"/>
                <w:szCs w:val="20"/>
              </w:rPr>
              <w:t> </w:t>
            </w:r>
            <w:r w:rsidR="008F1F82" w:rsidRPr="00A52AB8">
              <w:rPr>
                <w:sz w:val="20"/>
                <w:szCs w:val="20"/>
              </w:rPr>
              <w:t>) {</w:t>
            </w:r>
          </w:p>
        </w:tc>
        <w:tc>
          <w:tcPr>
            <w:tcW w:w="1331" w:type="dxa"/>
          </w:tcPr>
          <w:p w14:paraId="06BC58F6" w14:textId="77777777" w:rsidR="00DF4157" w:rsidRPr="00A52AB8" w:rsidRDefault="00DF4157" w:rsidP="00DF4157">
            <w:pPr>
              <w:spacing w:before="20" w:after="20"/>
              <w:jc w:val="center"/>
              <w:rPr>
                <w:sz w:val="20"/>
                <w:szCs w:val="20"/>
              </w:rPr>
            </w:pPr>
          </w:p>
        </w:tc>
      </w:tr>
      <w:tr w:rsidR="00DF4157" w:rsidRPr="00A52AB8" w14:paraId="4A36FDF9" w14:textId="77777777" w:rsidTr="004A6049">
        <w:tc>
          <w:tcPr>
            <w:tcW w:w="8411" w:type="dxa"/>
          </w:tcPr>
          <w:p w14:paraId="5495ED17" w14:textId="0308D871" w:rsidR="00DF4157" w:rsidRPr="00A52AB8" w:rsidRDefault="00DF4157" w:rsidP="00DF4157">
            <w:pPr>
              <w:spacing w:before="20" w:after="20"/>
              <w:rPr>
                <w:b/>
                <w:bCs/>
                <w:sz w:val="20"/>
                <w:szCs w:val="20"/>
              </w:rPr>
            </w:pPr>
            <w:r w:rsidRPr="00A52AB8">
              <w:rPr>
                <w:sz w:val="20"/>
                <w:szCs w:val="20"/>
              </w:rPr>
              <w:lastRenderedPageBreak/>
              <w:tab/>
            </w:r>
            <w:r w:rsidRPr="00A52AB8">
              <w:rPr>
                <w:sz w:val="20"/>
                <w:szCs w:val="20"/>
              </w:rPr>
              <w:tab/>
            </w:r>
            <w:r w:rsidR="00D719CF" w:rsidRPr="00A52AB8">
              <w:rPr>
                <w:b/>
                <w:bCs/>
                <w:sz w:val="20"/>
                <w:szCs w:val="20"/>
              </w:rPr>
              <w:t>asps_vpcc_extension_present_flag</w:t>
            </w:r>
          </w:p>
        </w:tc>
        <w:tc>
          <w:tcPr>
            <w:tcW w:w="1331" w:type="dxa"/>
          </w:tcPr>
          <w:p w14:paraId="16B5742F" w14:textId="77777777" w:rsidR="00DF4157" w:rsidRPr="00A52AB8" w:rsidRDefault="00DF4157" w:rsidP="00DF4157">
            <w:pPr>
              <w:spacing w:before="20" w:after="20"/>
              <w:jc w:val="center"/>
              <w:rPr>
                <w:sz w:val="20"/>
                <w:szCs w:val="20"/>
              </w:rPr>
            </w:pPr>
            <w:r w:rsidRPr="00A52AB8">
              <w:rPr>
                <w:sz w:val="20"/>
                <w:szCs w:val="20"/>
              </w:rPr>
              <w:t>u(1)</w:t>
            </w:r>
          </w:p>
        </w:tc>
      </w:tr>
      <w:tr w:rsidR="00A90D0E" w:rsidRPr="00A52AB8" w14:paraId="56D90253" w14:textId="77777777" w:rsidTr="004A6049">
        <w:tc>
          <w:tcPr>
            <w:tcW w:w="8411" w:type="dxa"/>
          </w:tcPr>
          <w:p w14:paraId="29479173" w14:textId="6DA8B780" w:rsidR="00A90D0E" w:rsidRPr="00A52AB8" w:rsidRDefault="00A90D0E" w:rsidP="00DF4157">
            <w:pPr>
              <w:spacing w:before="20" w:after="20"/>
              <w:rPr>
                <w:b/>
                <w:bCs/>
                <w:sz w:val="20"/>
                <w:szCs w:val="20"/>
              </w:rPr>
            </w:pPr>
            <w:r w:rsidRPr="00A52AB8">
              <w:rPr>
                <w:sz w:val="20"/>
                <w:szCs w:val="20"/>
              </w:rPr>
              <w:tab/>
            </w:r>
            <w:r w:rsidRPr="00A52AB8">
              <w:rPr>
                <w:sz w:val="20"/>
                <w:szCs w:val="20"/>
              </w:rPr>
              <w:tab/>
            </w:r>
            <w:r w:rsidRPr="00A52AB8">
              <w:rPr>
                <w:b/>
                <w:bCs/>
                <w:sz w:val="20"/>
                <w:szCs w:val="20"/>
              </w:rPr>
              <w:t>asps_miv_extension_present_flag</w:t>
            </w:r>
          </w:p>
        </w:tc>
        <w:tc>
          <w:tcPr>
            <w:tcW w:w="1331" w:type="dxa"/>
          </w:tcPr>
          <w:p w14:paraId="39A3AAB7" w14:textId="0E82D567" w:rsidR="00A90D0E" w:rsidRPr="00A52AB8" w:rsidRDefault="00A90D0E" w:rsidP="00DF4157">
            <w:pPr>
              <w:spacing w:before="20" w:after="20"/>
              <w:jc w:val="center"/>
              <w:rPr>
                <w:sz w:val="20"/>
                <w:szCs w:val="20"/>
              </w:rPr>
            </w:pPr>
            <w:r w:rsidRPr="00A52AB8">
              <w:rPr>
                <w:sz w:val="20"/>
                <w:szCs w:val="20"/>
              </w:rPr>
              <w:t>u(1)</w:t>
            </w:r>
          </w:p>
        </w:tc>
      </w:tr>
      <w:tr w:rsidR="00DF4157" w:rsidRPr="00A52AB8" w14:paraId="0A2D708D" w14:textId="77777777" w:rsidTr="004A6049">
        <w:tc>
          <w:tcPr>
            <w:tcW w:w="8411" w:type="dxa"/>
          </w:tcPr>
          <w:p w14:paraId="165DE7DE" w14:textId="585148C2" w:rsidR="00DF4157" w:rsidRPr="00A52AB8" w:rsidRDefault="00DF4157" w:rsidP="00DF4157">
            <w:pPr>
              <w:spacing w:before="20" w:after="20"/>
              <w:rPr>
                <w:b/>
                <w:bCs/>
                <w:sz w:val="20"/>
                <w:szCs w:val="20"/>
              </w:rPr>
            </w:pPr>
            <w:r w:rsidRPr="00A52AB8">
              <w:rPr>
                <w:sz w:val="20"/>
                <w:szCs w:val="20"/>
              </w:rPr>
              <w:tab/>
            </w:r>
            <w:r w:rsidRPr="00A52AB8">
              <w:rPr>
                <w:sz w:val="20"/>
                <w:szCs w:val="20"/>
              </w:rPr>
              <w:tab/>
            </w:r>
            <w:r w:rsidRPr="00A52AB8">
              <w:rPr>
                <w:b/>
                <w:bCs/>
                <w:sz w:val="20"/>
                <w:szCs w:val="20"/>
              </w:rPr>
              <w:t>asps_extension_</w:t>
            </w:r>
            <w:r w:rsidR="00A90D0E" w:rsidRPr="00A52AB8">
              <w:rPr>
                <w:b/>
                <w:bCs/>
                <w:sz w:val="20"/>
                <w:szCs w:val="20"/>
              </w:rPr>
              <w:t>6bits</w:t>
            </w:r>
          </w:p>
        </w:tc>
        <w:tc>
          <w:tcPr>
            <w:tcW w:w="1331" w:type="dxa"/>
          </w:tcPr>
          <w:p w14:paraId="2B94E54C" w14:textId="41610FE5" w:rsidR="00DF4157" w:rsidRPr="00A52AB8" w:rsidRDefault="00DF4157" w:rsidP="00DF4157">
            <w:pPr>
              <w:spacing w:before="20" w:after="20"/>
              <w:jc w:val="center"/>
              <w:rPr>
                <w:sz w:val="20"/>
                <w:szCs w:val="20"/>
              </w:rPr>
            </w:pPr>
            <w:r w:rsidRPr="00A52AB8">
              <w:rPr>
                <w:sz w:val="20"/>
                <w:szCs w:val="20"/>
              </w:rPr>
              <w:t>u(</w:t>
            </w:r>
            <w:r w:rsidR="004D52BE" w:rsidRPr="00A52AB8">
              <w:rPr>
                <w:sz w:val="20"/>
                <w:szCs w:val="20"/>
              </w:rPr>
              <w:t>6</w:t>
            </w:r>
            <w:r w:rsidRPr="00A52AB8">
              <w:rPr>
                <w:sz w:val="20"/>
                <w:szCs w:val="20"/>
              </w:rPr>
              <w:t>)</w:t>
            </w:r>
          </w:p>
        </w:tc>
      </w:tr>
      <w:tr w:rsidR="00DF4157" w:rsidRPr="00A52AB8" w14:paraId="507C0186" w14:textId="77777777" w:rsidTr="004A6049">
        <w:tc>
          <w:tcPr>
            <w:tcW w:w="8411" w:type="dxa"/>
          </w:tcPr>
          <w:p w14:paraId="0C437FD5" w14:textId="77777777" w:rsidR="00DF4157" w:rsidRPr="00A52AB8" w:rsidRDefault="00DF4157" w:rsidP="00DF4157">
            <w:pPr>
              <w:spacing w:before="20" w:after="20"/>
              <w:rPr>
                <w:sz w:val="20"/>
                <w:szCs w:val="20"/>
              </w:rPr>
            </w:pPr>
            <w:r w:rsidRPr="00A52AB8">
              <w:rPr>
                <w:sz w:val="20"/>
                <w:szCs w:val="20"/>
              </w:rPr>
              <w:tab/>
              <w:t>}</w:t>
            </w:r>
          </w:p>
        </w:tc>
        <w:tc>
          <w:tcPr>
            <w:tcW w:w="1331" w:type="dxa"/>
          </w:tcPr>
          <w:p w14:paraId="148BC11C" w14:textId="77777777" w:rsidR="00DF4157" w:rsidRPr="00A52AB8" w:rsidRDefault="00DF4157" w:rsidP="00DF4157">
            <w:pPr>
              <w:spacing w:before="20" w:after="20"/>
              <w:jc w:val="center"/>
              <w:rPr>
                <w:sz w:val="20"/>
                <w:szCs w:val="20"/>
              </w:rPr>
            </w:pPr>
          </w:p>
        </w:tc>
      </w:tr>
      <w:tr w:rsidR="00DF4157" w:rsidRPr="00A52AB8" w14:paraId="100445CE" w14:textId="77777777" w:rsidTr="004A6049">
        <w:tc>
          <w:tcPr>
            <w:tcW w:w="8411" w:type="dxa"/>
          </w:tcPr>
          <w:p w14:paraId="40534DEB" w14:textId="43ABA0BA" w:rsidR="00DF4157" w:rsidRPr="00A52AB8" w:rsidRDefault="00DF4157" w:rsidP="00DF4157">
            <w:pPr>
              <w:spacing w:before="20" w:after="20"/>
              <w:rPr>
                <w:sz w:val="20"/>
                <w:szCs w:val="20"/>
              </w:rPr>
            </w:pPr>
            <w:r w:rsidRPr="00A52AB8">
              <w:rPr>
                <w:sz w:val="20"/>
                <w:szCs w:val="20"/>
              </w:rPr>
              <w:tab/>
              <w:t>if( </w:t>
            </w:r>
            <w:r w:rsidR="00D719CF" w:rsidRPr="00A52AB8">
              <w:rPr>
                <w:sz w:val="20"/>
                <w:szCs w:val="20"/>
              </w:rPr>
              <w:t>asps_vpcc_extension_present_flag</w:t>
            </w:r>
            <w:r w:rsidR="00CF5D98" w:rsidRPr="00A52AB8">
              <w:rPr>
                <w:sz w:val="20"/>
                <w:szCs w:val="20"/>
              </w:rPr>
              <w:t> </w:t>
            </w:r>
            <w:r w:rsidRPr="00A52AB8">
              <w:rPr>
                <w:sz w:val="20"/>
                <w:szCs w:val="20"/>
              </w:rPr>
              <w:t>)</w:t>
            </w:r>
          </w:p>
        </w:tc>
        <w:tc>
          <w:tcPr>
            <w:tcW w:w="1331" w:type="dxa"/>
          </w:tcPr>
          <w:p w14:paraId="56E0FAD9" w14:textId="77777777" w:rsidR="00DF4157" w:rsidRPr="00A52AB8" w:rsidRDefault="00DF4157" w:rsidP="00DF4157">
            <w:pPr>
              <w:spacing w:before="20" w:after="20"/>
              <w:jc w:val="center"/>
              <w:rPr>
                <w:sz w:val="20"/>
                <w:szCs w:val="20"/>
              </w:rPr>
            </w:pPr>
          </w:p>
        </w:tc>
      </w:tr>
      <w:tr w:rsidR="00DF4157" w:rsidRPr="00A52AB8" w14:paraId="3C1CE824" w14:textId="77777777" w:rsidTr="004A6049">
        <w:tc>
          <w:tcPr>
            <w:tcW w:w="8411" w:type="dxa"/>
          </w:tcPr>
          <w:p w14:paraId="0EF6A3B1" w14:textId="4CD0EFA9" w:rsidR="00DF4157" w:rsidRPr="00A52AB8" w:rsidRDefault="00DF4157" w:rsidP="00DF4157">
            <w:pPr>
              <w:spacing w:before="20" w:after="20"/>
              <w:rPr>
                <w:sz w:val="20"/>
                <w:szCs w:val="20"/>
              </w:rPr>
            </w:pPr>
            <w:r w:rsidRPr="00A52AB8">
              <w:rPr>
                <w:sz w:val="20"/>
                <w:szCs w:val="20"/>
              </w:rPr>
              <w:tab/>
            </w:r>
            <w:r w:rsidRPr="00A52AB8">
              <w:rPr>
                <w:sz w:val="20"/>
                <w:szCs w:val="20"/>
              </w:rPr>
              <w:tab/>
              <w:t>asps_vpcc_extension(</w:t>
            </w:r>
            <w:r w:rsidR="009C698E" w:rsidRPr="00A52AB8">
              <w:rPr>
                <w:sz w:val="20"/>
                <w:szCs w:val="20"/>
              </w:rPr>
              <w:t> </w:t>
            </w:r>
            <w:r w:rsidRPr="00A52AB8">
              <w:rPr>
                <w:sz w:val="20"/>
                <w:szCs w:val="20"/>
              </w:rPr>
              <w:t>) /* Specified in Annex H</w:t>
            </w:r>
            <w:r w:rsidR="004D52BE" w:rsidRPr="00A52AB8">
              <w:rPr>
                <w:sz w:val="20"/>
                <w:szCs w:val="20"/>
              </w:rPr>
              <w:t xml:space="preserve"> </w:t>
            </w:r>
            <w:r w:rsidRPr="00A52AB8">
              <w:rPr>
                <w:sz w:val="20"/>
                <w:szCs w:val="20"/>
              </w:rPr>
              <w:t>*/</w:t>
            </w:r>
          </w:p>
        </w:tc>
        <w:tc>
          <w:tcPr>
            <w:tcW w:w="1331" w:type="dxa"/>
          </w:tcPr>
          <w:p w14:paraId="26F26517" w14:textId="77777777" w:rsidR="00DF4157" w:rsidRPr="00A52AB8" w:rsidRDefault="00DF4157" w:rsidP="00DF4157">
            <w:pPr>
              <w:spacing w:before="20" w:after="20"/>
              <w:jc w:val="center"/>
              <w:rPr>
                <w:sz w:val="20"/>
                <w:szCs w:val="20"/>
              </w:rPr>
            </w:pPr>
          </w:p>
        </w:tc>
      </w:tr>
      <w:tr w:rsidR="004D52BE" w:rsidRPr="00A52AB8" w14:paraId="2BF46859" w14:textId="77777777" w:rsidTr="004A6049">
        <w:tc>
          <w:tcPr>
            <w:tcW w:w="8411" w:type="dxa"/>
          </w:tcPr>
          <w:p w14:paraId="068F45F3" w14:textId="0A3D4CDA" w:rsidR="004D52BE" w:rsidRPr="00A52AB8" w:rsidRDefault="004D52BE" w:rsidP="004D52BE">
            <w:pPr>
              <w:spacing w:before="20" w:after="20"/>
              <w:rPr>
                <w:sz w:val="20"/>
                <w:szCs w:val="20"/>
              </w:rPr>
            </w:pPr>
            <w:r w:rsidRPr="00A52AB8">
              <w:rPr>
                <w:sz w:val="20"/>
                <w:szCs w:val="20"/>
              </w:rPr>
              <w:tab/>
              <w:t>if( asps_miv_extension_present_flag )</w:t>
            </w:r>
          </w:p>
        </w:tc>
        <w:tc>
          <w:tcPr>
            <w:tcW w:w="1331" w:type="dxa"/>
          </w:tcPr>
          <w:p w14:paraId="417B22D7" w14:textId="77777777" w:rsidR="004D52BE" w:rsidRPr="00A52AB8" w:rsidRDefault="004D52BE" w:rsidP="004D52BE">
            <w:pPr>
              <w:spacing w:before="20" w:after="20"/>
              <w:jc w:val="center"/>
              <w:rPr>
                <w:sz w:val="20"/>
                <w:szCs w:val="20"/>
              </w:rPr>
            </w:pPr>
          </w:p>
        </w:tc>
      </w:tr>
      <w:tr w:rsidR="004D52BE" w:rsidRPr="00A52AB8" w14:paraId="586F5D98" w14:textId="77777777" w:rsidTr="004A6049">
        <w:tc>
          <w:tcPr>
            <w:tcW w:w="8411" w:type="dxa"/>
          </w:tcPr>
          <w:p w14:paraId="5A53FACB" w14:textId="04E21DD6" w:rsidR="004D52BE" w:rsidRPr="00A52AB8" w:rsidRDefault="004D52BE" w:rsidP="004D52BE">
            <w:pPr>
              <w:spacing w:before="20" w:after="20"/>
              <w:rPr>
                <w:sz w:val="20"/>
                <w:szCs w:val="20"/>
              </w:rPr>
            </w:pPr>
            <w:r w:rsidRPr="00A52AB8">
              <w:rPr>
                <w:sz w:val="20"/>
                <w:szCs w:val="20"/>
              </w:rPr>
              <w:tab/>
            </w:r>
            <w:r w:rsidRPr="00A52AB8">
              <w:rPr>
                <w:sz w:val="20"/>
                <w:szCs w:val="20"/>
              </w:rPr>
              <w:tab/>
              <w:t>asps_miv_extension( ) /* Specified in ISO/IEC 23090-12 */</w:t>
            </w:r>
          </w:p>
        </w:tc>
        <w:tc>
          <w:tcPr>
            <w:tcW w:w="1331" w:type="dxa"/>
          </w:tcPr>
          <w:p w14:paraId="62C91D21" w14:textId="77777777" w:rsidR="004D52BE" w:rsidRPr="00A52AB8" w:rsidRDefault="004D52BE" w:rsidP="004D52BE">
            <w:pPr>
              <w:spacing w:before="20" w:after="20"/>
              <w:jc w:val="center"/>
              <w:rPr>
                <w:sz w:val="20"/>
                <w:szCs w:val="20"/>
              </w:rPr>
            </w:pPr>
          </w:p>
        </w:tc>
      </w:tr>
      <w:tr w:rsidR="004D52BE" w:rsidRPr="00A52AB8" w14:paraId="4AFE34A6" w14:textId="77777777" w:rsidTr="004A6049">
        <w:tc>
          <w:tcPr>
            <w:tcW w:w="8411" w:type="dxa"/>
          </w:tcPr>
          <w:p w14:paraId="713E911D" w14:textId="3D1E6D38" w:rsidR="004D52BE" w:rsidRPr="00A52AB8" w:rsidRDefault="004D52BE" w:rsidP="004D52BE">
            <w:pPr>
              <w:spacing w:before="20" w:after="20"/>
              <w:rPr>
                <w:sz w:val="20"/>
                <w:szCs w:val="20"/>
              </w:rPr>
            </w:pPr>
            <w:r w:rsidRPr="00A52AB8">
              <w:rPr>
                <w:sz w:val="20"/>
                <w:szCs w:val="20"/>
              </w:rPr>
              <w:tab/>
              <w:t>if( asps_extension_6bits</w:t>
            </w:r>
            <w:r w:rsidRPr="00A52AB8">
              <w:rPr>
                <w:bCs/>
                <w:color w:val="000000" w:themeColor="text1"/>
                <w:sz w:val="20"/>
                <w:szCs w:val="20"/>
              </w:rPr>
              <w:t> </w:t>
            </w:r>
            <w:r w:rsidRPr="00A52AB8">
              <w:rPr>
                <w:sz w:val="20"/>
                <w:szCs w:val="20"/>
              </w:rPr>
              <w:t>)</w:t>
            </w:r>
          </w:p>
        </w:tc>
        <w:tc>
          <w:tcPr>
            <w:tcW w:w="1331" w:type="dxa"/>
          </w:tcPr>
          <w:p w14:paraId="0851F3AF" w14:textId="77777777" w:rsidR="004D52BE" w:rsidRPr="00A52AB8" w:rsidRDefault="004D52BE" w:rsidP="004D52BE">
            <w:pPr>
              <w:spacing w:before="20" w:after="20"/>
              <w:jc w:val="center"/>
              <w:rPr>
                <w:sz w:val="20"/>
                <w:szCs w:val="20"/>
              </w:rPr>
            </w:pPr>
          </w:p>
        </w:tc>
      </w:tr>
      <w:tr w:rsidR="004D52BE" w:rsidRPr="00A52AB8" w14:paraId="02E7E97B" w14:textId="77777777" w:rsidTr="004A6049">
        <w:tc>
          <w:tcPr>
            <w:tcW w:w="8411" w:type="dxa"/>
          </w:tcPr>
          <w:p w14:paraId="1536A75D" w14:textId="77777777" w:rsidR="004D52BE" w:rsidRPr="00A52AB8" w:rsidRDefault="004D52BE" w:rsidP="004D52BE">
            <w:pPr>
              <w:spacing w:before="20" w:after="20"/>
              <w:rPr>
                <w:sz w:val="20"/>
                <w:szCs w:val="20"/>
              </w:rPr>
            </w:pPr>
            <w:r w:rsidRPr="00A52AB8">
              <w:rPr>
                <w:sz w:val="20"/>
                <w:szCs w:val="20"/>
              </w:rPr>
              <w:tab/>
            </w:r>
            <w:r w:rsidRPr="00A52AB8">
              <w:rPr>
                <w:sz w:val="20"/>
                <w:szCs w:val="20"/>
              </w:rPr>
              <w:tab/>
              <w:t>while(</w:t>
            </w:r>
            <w:r w:rsidRPr="00A52AB8">
              <w:rPr>
                <w:bCs/>
                <w:color w:val="000000" w:themeColor="text1"/>
                <w:sz w:val="20"/>
                <w:szCs w:val="20"/>
              </w:rPr>
              <w:t> </w:t>
            </w:r>
            <w:r w:rsidRPr="00A52AB8">
              <w:rPr>
                <w:sz w:val="20"/>
                <w:szCs w:val="20"/>
              </w:rPr>
              <w:t>more_rbsp_data(</w:t>
            </w:r>
            <w:r w:rsidRPr="00A52AB8">
              <w:rPr>
                <w:bCs/>
                <w:color w:val="000000" w:themeColor="text1"/>
                <w:sz w:val="20"/>
                <w:szCs w:val="20"/>
              </w:rPr>
              <w:t> </w:t>
            </w:r>
            <w:r w:rsidRPr="00A52AB8">
              <w:rPr>
                <w:sz w:val="20"/>
                <w:szCs w:val="20"/>
              </w:rPr>
              <w:t>)</w:t>
            </w:r>
            <w:r w:rsidRPr="00A52AB8">
              <w:rPr>
                <w:bCs/>
                <w:color w:val="000000" w:themeColor="text1"/>
                <w:sz w:val="20"/>
                <w:szCs w:val="20"/>
              </w:rPr>
              <w:t> </w:t>
            </w:r>
            <w:r w:rsidRPr="00A52AB8">
              <w:rPr>
                <w:sz w:val="20"/>
                <w:szCs w:val="20"/>
              </w:rPr>
              <w:t>)</w:t>
            </w:r>
          </w:p>
        </w:tc>
        <w:tc>
          <w:tcPr>
            <w:tcW w:w="1331" w:type="dxa"/>
          </w:tcPr>
          <w:p w14:paraId="6CBF5334" w14:textId="77777777" w:rsidR="004D52BE" w:rsidRPr="00A52AB8" w:rsidRDefault="004D52BE" w:rsidP="004D52BE">
            <w:pPr>
              <w:spacing w:before="20" w:after="20"/>
              <w:jc w:val="center"/>
              <w:rPr>
                <w:sz w:val="20"/>
                <w:szCs w:val="20"/>
              </w:rPr>
            </w:pPr>
          </w:p>
        </w:tc>
      </w:tr>
      <w:tr w:rsidR="004D52BE" w:rsidRPr="00A52AB8" w14:paraId="4857C5C1" w14:textId="77777777" w:rsidTr="004A6049">
        <w:tc>
          <w:tcPr>
            <w:tcW w:w="8411" w:type="dxa"/>
          </w:tcPr>
          <w:p w14:paraId="15F4C344" w14:textId="77777777" w:rsidR="004D52BE" w:rsidRPr="00A52AB8" w:rsidRDefault="004D52BE" w:rsidP="004D52BE">
            <w:pPr>
              <w:spacing w:before="20" w:after="20"/>
              <w:rPr>
                <w:sz w:val="20"/>
                <w:szCs w:val="20"/>
              </w:rPr>
            </w:pPr>
            <w:r w:rsidRPr="00A52AB8">
              <w:rPr>
                <w:sz w:val="20"/>
                <w:szCs w:val="20"/>
              </w:rPr>
              <w:tab/>
            </w:r>
            <w:r w:rsidRPr="00A52AB8">
              <w:rPr>
                <w:sz w:val="20"/>
                <w:szCs w:val="20"/>
              </w:rPr>
              <w:tab/>
            </w:r>
            <w:r w:rsidRPr="00A52AB8">
              <w:rPr>
                <w:sz w:val="20"/>
                <w:szCs w:val="20"/>
              </w:rPr>
              <w:tab/>
            </w:r>
            <w:r w:rsidRPr="00A52AB8">
              <w:rPr>
                <w:b/>
                <w:sz w:val="20"/>
                <w:szCs w:val="20"/>
              </w:rPr>
              <w:t>asps_extension_data_flag</w:t>
            </w:r>
          </w:p>
        </w:tc>
        <w:tc>
          <w:tcPr>
            <w:tcW w:w="1331" w:type="dxa"/>
          </w:tcPr>
          <w:p w14:paraId="69F3C84B" w14:textId="77777777" w:rsidR="004D52BE" w:rsidRPr="00A52AB8" w:rsidRDefault="004D52BE" w:rsidP="004D52BE">
            <w:pPr>
              <w:spacing w:before="20" w:after="20"/>
              <w:jc w:val="center"/>
              <w:rPr>
                <w:sz w:val="20"/>
                <w:szCs w:val="20"/>
              </w:rPr>
            </w:pPr>
            <w:r w:rsidRPr="00A52AB8">
              <w:rPr>
                <w:sz w:val="20"/>
                <w:szCs w:val="20"/>
              </w:rPr>
              <w:t>u(1)</w:t>
            </w:r>
          </w:p>
        </w:tc>
      </w:tr>
      <w:bookmarkEnd w:id="715"/>
      <w:tr w:rsidR="004D52BE" w:rsidRPr="00A52AB8" w14:paraId="79D70913" w14:textId="77777777" w:rsidTr="004A6049">
        <w:tc>
          <w:tcPr>
            <w:tcW w:w="8411" w:type="dxa"/>
          </w:tcPr>
          <w:p w14:paraId="6A4A5527" w14:textId="77777777" w:rsidR="004D52BE" w:rsidRPr="00A52AB8" w:rsidRDefault="004D52BE" w:rsidP="004D52BE">
            <w:pPr>
              <w:spacing w:before="20" w:after="20"/>
              <w:rPr>
                <w:sz w:val="20"/>
                <w:szCs w:val="20"/>
              </w:rPr>
            </w:pPr>
            <w:r w:rsidRPr="00A52AB8">
              <w:rPr>
                <w:color w:val="000000" w:themeColor="text1"/>
                <w:sz w:val="20"/>
                <w:szCs w:val="20"/>
              </w:rPr>
              <w:tab/>
            </w:r>
            <w:r w:rsidRPr="00A52AB8">
              <w:rPr>
                <w:sz w:val="20"/>
                <w:szCs w:val="20"/>
              </w:rPr>
              <w:t>rbsp_trailing_bits</w:t>
            </w:r>
            <w:r w:rsidRPr="00A52AB8">
              <w:rPr>
                <w:color w:val="000000" w:themeColor="text1"/>
                <w:sz w:val="20"/>
                <w:szCs w:val="20"/>
              </w:rPr>
              <w:t>( )</w:t>
            </w:r>
          </w:p>
        </w:tc>
        <w:tc>
          <w:tcPr>
            <w:tcW w:w="1331" w:type="dxa"/>
          </w:tcPr>
          <w:p w14:paraId="40B1A36B" w14:textId="77777777" w:rsidR="004D52BE" w:rsidRPr="00A52AB8" w:rsidRDefault="004D52BE" w:rsidP="004D52BE">
            <w:pPr>
              <w:spacing w:before="20" w:after="20"/>
              <w:jc w:val="center"/>
              <w:rPr>
                <w:sz w:val="20"/>
                <w:szCs w:val="20"/>
              </w:rPr>
            </w:pPr>
          </w:p>
        </w:tc>
      </w:tr>
      <w:bookmarkEnd w:id="716"/>
      <w:tr w:rsidR="004D52BE" w:rsidRPr="00A52AB8" w14:paraId="204B5F25" w14:textId="77777777" w:rsidTr="004A6049">
        <w:tc>
          <w:tcPr>
            <w:tcW w:w="8411" w:type="dxa"/>
          </w:tcPr>
          <w:p w14:paraId="49840980" w14:textId="77777777" w:rsidR="004D52BE" w:rsidRPr="00A52AB8" w:rsidRDefault="004D52BE" w:rsidP="004D52BE">
            <w:pPr>
              <w:spacing w:before="20" w:after="20"/>
              <w:rPr>
                <w:sz w:val="20"/>
                <w:szCs w:val="20"/>
              </w:rPr>
            </w:pPr>
            <w:r w:rsidRPr="00A52AB8">
              <w:rPr>
                <w:sz w:val="20"/>
                <w:szCs w:val="20"/>
              </w:rPr>
              <w:t>}</w:t>
            </w:r>
          </w:p>
        </w:tc>
        <w:tc>
          <w:tcPr>
            <w:tcW w:w="1331" w:type="dxa"/>
          </w:tcPr>
          <w:p w14:paraId="696D470B" w14:textId="77777777" w:rsidR="004D52BE" w:rsidRPr="00A52AB8" w:rsidRDefault="004D52BE" w:rsidP="004D52BE">
            <w:pPr>
              <w:spacing w:before="20" w:after="20"/>
              <w:jc w:val="center"/>
              <w:rPr>
                <w:sz w:val="20"/>
                <w:szCs w:val="20"/>
              </w:rPr>
            </w:pPr>
          </w:p>
        </w:tc>
      </w:tr>
    </w:tbl>
    <w:p w14:paraId="068DC25F" w14:textId="77777777" w:rsidR="00FB7A65" w:rsidRPr="00A52AB8" w:rsidRDefault="00FB7A65" w:rsidP="001000BF">
      <w:pPr>
        <w:pStyle w:val="Heading5"/>
      </w:pPr>
      <w:bookmarkStart w:id="717" w:name="_Ref19902496"/>
      <w:r w:rsidRPr="00A52AB8">
        <w:t>Point local reconstruction information syntax</w:t>
      </w:r>
      <w:bookmarkEnd w:id="717"/>
    </w:p>
    <w:tbl>
      <w:tblPr>
        <w:tblStyle w:val="TableGrid"/>
        <w:tblW w:w="5000" w:type="pct"/>
        <w:jc w:val="center"/>
        <w:tblLook w:val="04A0" w:firstRow="1" w:lastRow="0" w:firstColumn="1" w:lastColumn="0" w:noHBand="0" w:noVBand="1"/>
      </w:tblPr>
      <w:tblGrid>
        <w:gridCol w:w="8411"/>
        <w:gridCol w:w="1331"/>
      </w:tblGrid>
      <w:tr w:rsidR="00FB7A65" w:rsidRPr="00A52AB8" w14:paraId="22EC7E69" w14:textId="77777777" w:rsidTr="00A252B5">
        <w:trPr>
          <w:jc w:val="center"/>
        </w:trPr>
        <w:tc>
          <w:tcPr>
            <w:tcW w:w="7921" w:type="dxa"/>
          </w:tcPr>
          <w:p w14:paraId="07666545" w14:textId="28E65734" w:rsidR="00FB7A65" w:rsidRPr="00A52AB8" w:rsidRDefault="00DD4258">
            <w:pPr>
              <w:spacing w:before="20" w:after="20"/>
              <w:rPr>
                <w:color w:val="000000" w:themeColor="text1"/>
                <w:sz w:val="20"/>
                <w:szCs w:val="20"/>
              </w:rPr>
            </w:pPr>
            <w:bookmarkStart w:id="718" w:name="_Hlk27562859"/>
            <w:r w:rsidRPr="00A52AB8">
              <w:rPr>
                <w:color w:val="000000" w:themeColor="text1"/>
                <w:sz w:val="20"/>
                <w:szCs w:val="20"/>
              </w:rPr>
              <w:t>asps_</w:t>
            </w:r>
            <w:r w:rsidR="00D375CC" w:rsidRPr="00A52AB8">
              <w:rPr>
                <w:color w:val="000000" w:themeColor="text1"/>
                <w:sz w:val="20"/>
                <w:szCs w:val="20"/>
              </w:rPr>
              <w:t>plr</w:t>
            </w:r>
            <w:r w:rsidR="00FB7A65" w:rsidRPr="00A52AB8">
              <w:rPr>
                <w:color w:val="000000" w:themeColor="text1"/>
                <w:sz w:val="20"/>
                <w:szCs w:val="20"/>
              </w:rPr>
              <w:t>_information(</w:t>
            </w:r>
            <w:r w:rsidRPr="00A52AB8">
              <w:rPr>
                <w:color w:val="000000" w:themeColor="text1"/>
                <w:sz w:val="20"/>
                <w:szCs w:val="20"/>
              </w:rPr>
              <w:t> </w:t>
            </w:r>
            <w:r w:rsidR="001126A7" w:rsidRPr="00A52AB8">
              <w:rPr>
                <w:color w:val="000000" w:themeColor="text1"/>
                <w:sz w:val="20"/>
                <w:szCs w:val="20"/>
              </w:rPr>
              <w:t>mapCountMinus1</w:t>
            </w:r>
            <w:r w:rsidR="00FB7A65" w:rsidRPr="00A52AB8">
              <w:rPr>
                <w:color w:val="000000" w:themeColor="text1"/>
                <w:sz w:val="20"/>
                <w:szCs w:val="20"/>
              </w:rPr>
              <w:t> </w:t>
            </w:r>
            <w:r w:rsidR="008F1F82" w:rsidRPr="00A52AB8">
              <w:rPr>
                <w:color w:val="000000" w:themeColor="text1"/>
                <w:sz w:val="20"/>
                <w:szCs w:val="20"/>
              </w:rPr>
              <w:t>) {</w:t>
            </w:r>
          </w:p>
        </w:tc>
        <w:tc>
          <w:tcPr>
            <w:tcW w:w="1253" w:type="dxa"/>
          </w:tcPr>
          <w:p w14:paraId="7E47C8BA" w14:textId="77777777" w:rsidR="00FB7A65" w:rsidRPr="00A52AB8" w:rsidRDefault="00FB7A65">
            <w:pPr>
              <w:spacing w:before="20" w:after="20"/>
              <w:jc w:val="center"/>
              <w:rPr>
                <w:b/>
                <w:color w:val="000000" w:themeColor="text1"/>
                <w:sz w:val="20"/>
                <w:szCs w:val="20"/>
              </w:rPr>
            </w:pPr>
            <w:r w:rsidRPr="00A52AB8">
              <w:rPr>
                <w:b/>
                <w:color w:val="000000" w:themeColor="text1"/>
                <w:sz w:val="20"/>
                <w:szCs w:val="20"/>
              </w:rPr>
              <w:t>Descriptor</w:t>
            </w:r>
          </w:p>
        </w:tc>
      </w:tr>
      <w:tr w:rsidR="001E79FB" w:rsidRPr="00A52AB8" w14:paraId="3F5A3CE7" w14:textId="77777777" w:rsidTr="00A252B5">
        <w:trPr>
          <w:jc w:val="center"/>
        </w:trPr>
        <w:tc>
          <w:tcPr>
            <w:tcW w:w="7921" w:type="dxa"/>
          </w:tcPr>
          <w:p w14:paraId="65BA38EA" w14:textId="6AB591F4" w:rsidR="001E79FB" w:rsidRPr="00A52AB8" w:rsidRDefault="001E79FB">
            <w:pPr>
              <w:spacing w:before="20" w:after="20"/>
              <w:rPr>
                <w:color w:val="000000" w:themeColor="text1"/>
                <w:sz w:val="20"/>
                <w:szCs w:val="20"/>
              </w:rPr>
            </w:pPr>
            <w:r w:rsidRPr="00A52AB8">
              <w:rPr>
                <w:color w:val="000000" w:themeColor="text1"/>
                <w:sz w:val="20"/>
                <w:szCs w:val="20"/>
              </w:rPr>
              <w:tab/>
              <w:t>for( i</w:t>
            </w:r>
            <w:r w:rsidR="00D47707" w:rsidRPr="00A52AB8">
              <w:rPr>
                <w:color w:val="000000" w:themeColor="text1"/>
                <w:sz w:val="20"/>
                <w:szCs w:val="20"/>
              </w:rPr>
              <w:t> = </w:t>
            </w:r>
            <w:r w:rsidRPr="00A52AB8">
              <w:rPr>
                <w:color w:val="000000" w:themeColor="text1"/>
                <w:sz w:val="20"/>
                <w:szCs w:val="20"/>
              </w:rPr>
              <w:t>0; i &lt; </w:t>
            </w:r>
            <w:r w:rsidR="001126A7" w:rsidRPr="00A52AB8">
              <w:rPr>
                <w:color w:val="000000" w:themeColor="text1"/>
                <w:sz w:val="20"/>
                <w:szCs w:val="20"/>
              </w:rPr>
              <w:t>mapCountMinus1</w:t>
            </w:r>
            <w:r w:rsidRPr="00A52AB8">
              <w:rPr>
                <w:color w:val="000000" w:themeColor="text1"/>
                <w:sz w:val="20"/>
                <w:szCs w:val="20"/>
              </w:rPr>
              <w:t> + 1;</w:t>
            </w:r>
            <w:r w:rsidR="00E85135" w:rsidRPr="00A52AB8">
              <w:rPr>
                <w:color w:val="000000" w:themeColor="text1"/>
                <w:sz w:val="20"/>
                <w:szCs w:val="20"/>
              </w:rPr>
              <w:t> </w:t>
            </w:r>
            <w:r w:rsidRPr="00A52AB8">
              <w:rPr>
                <w:color w:val="000000" w:themeColor="text1"/>
                <w:sz w:val="20"/>
                <w:szCs w:val="20"/>
              </w:rPr>
              <w:t>i</w:t>
            </w:r>
            <w:r w:rsidR="00006CCF" w:rsidRPr="00A52AB8">
              <w:rPr>
                <w:color w:val="000000" w:themeColor="text1"/>
                <w:sz w:val="20"/>
                <w:szCs w:val="20"/>
              </w:rPr>
              <w:t>++ </w:t>
            </w:r>
            <w:r w:rsidR="008F1F82" w:rsidRPr="00A52AB8">
              <w:rPr>
                <w:color w:val="000000" w:themeColor="text1"/>
                <w:sz w:val="20"/>
                <w:szCs w:val="20"/>
              </w:rPr>
              <w:t>) {</w:t>
            </w:r>
          </w:p>
        </w:tc>
        <w:tc>
          <w:tcPr>
            <w:tcW w:w="1253" w:type="dxa"/>
          </w:tcPr>
          <w:p w14:paraId="342660BF" w14:textId="77777777" w:rsidR="001E79FB" w:rsidRPr="00A52AB8" w:rsidRDefault="001E79FB">
            <w:pPr>
              <w:spacing w:before="20" w:after="20"/>
              <w:jc w:val="center"/>
              <w:rPr>
                <w:b/>
                <w:color w:val="000000" w:themeColor="text1"/>
                <w:sz w:val="20"/>
                <w:szCs w:val="20"/>
              </w:rPr>
            </w:pPr>
          </w:p>
        </w:tc>
      </w:tr>
      <w:tr w:rsidR="001E79FB" w:rsidRPr="00A52AB8" w14:paraId="0CC5DD17" w14:textId="77777777" w:rsidTr="00A252B5">
        <w:trPr>
          <w:jc w:val="center"/>
        </w:trPr>
        <w:tc>
          <w:tcPr>
            <w:tcW w:w="7921" w:type="dxa"/>
          </w:tcPr>
          <w:p w14:paraId="03DF48A2" w14:textId="77777777" w:rsidR="001E79FB" w:rsidRPr="00A52AB8" w:rsidRDefault="001E79FB">
            <w:pPr>
              <w:spacing w:before="20" w:after="20"/>
              <w:rPr>
                <w:color w:val="000000" w:themeColor="text1"/>
                <w:sz w:val="20"/>
                <w:szCs w:val="20"/>
              </w:rPr>
            </w:pPr>
            <w:r w:rsidRPr="00A52AB8">
              <w:rPr>
                <w:color w:val="000000" w:themeColor="text1"/>
                <w:sz w:val="20"/>
                <w:szCs w:val="20"/>
              </w:rPr>
              <w:tab/>
            </w:r>
            <w:r w:rsidRPr="00A52AB8">
              <w:rPr>
                <w:color w:val="000000" w:themeColor="text1"/>
                <w:sz w:val="20"/>
                <w:szCs w:val="20"/>
              </w:rPr>
              <w:tab/>
            </w:r>
            <w:r w:rsidR="00D375CC" w:rsidRPr="00A52AB8">
              <w:rPr>
                <w:b/>
                <w:bCs/>
                <w:color w:val="000000" w:themeColor="text1"/>
                <w:sz w:val="20"/>
                <w:szCs w:val="20"/>
              </w:rPr>
              <w:t>plri_map_present</w:t>
            </w:r>
            <w:r w:rsidRPr="00A52AB8">
              <w:rPr>
                <w:b/>
                <w:bCs/>
                <w:color w:val="000000" w:themeColor="text1"/>
                <w:sz w:val="20"/>
                <w:szCs w:val="20"/>
              </w:rPr>
              <w:t>_flag</w:t>
            </w:r>
            <w:r w:rsidR="001F4484" w:rsidRPr="00A52AB8">
              <w:rPr>
                <w:color w:val="000000" w:themeColor="text1"/>
                <w:sz w:val="20"/>
                <w:szCs w:val="20"/>
              </w:rPr>
              <w:t>[ i ]</w:t>
            </w:r>
          </w:p>
        </w:tc>
        <w:tc>
          <w:tcPr>
            <w:tcW w:w="1253" w:type="dxa"/>
          </w:tcPr>
          <w:p w14:paraId="27F212BE" w14:textId="77777777" w:rsidR="001E79FB" w:rsidRPr="00A52AB8" w:rsidRDefault="001E79FB">
            <w:pPr>
              <w:spacing w:before="20" w:after="20"/>
              <w:jc w:val="center"/>
              <w:rPr>
                <w:color w:val="000000" w:themeColor="text1"/>
                <w:sz w:val="20"/>
                <w:szCs w:val="20"/>
              </w:rPr>
            </w:pPr>
            <w:r w:rsidRPr="00A52AB8">
              <w:rPr>
                <w:color w:val="000000" w:themeColor="text1"/>
                <w:sz w:val="20"/>
                <w:szCs w:val="20"/>
              </w:rPr>
              <w:t>u(1)</w:t>
            </w:r>
          </w:p>
        </w:tc>
      </w:tr>
      <w:tr w:rsidR="001E79FB" w:rsidRPr="00A52AB8" w14:paraId="1AA32487" w14:textId="77777777" w:rsidTr="00A252B5">
        <w:trPr>
          <w:jc w:val="center"/>
        </w:trPr>
        <w:tc>
          <w:tcPr>
            <w:tcW w:w="7921" w:type="dxa"/>
          </w:tcPr>
          <w:p w14:paraId="1DBF7B92" w14:textId="52AD4064" w:rsidR="001E79FB" w:rsidRPr="00A52AB8" w:rsidRDefault="001E79FB">
            <w:pPr>
              <w:spacing w:before="20" w:after="20"/>
              <w:rPr>
                <w:color w:val="000000" w:themeColor="text1"/>
                <w:sz w:val="20"/>
                <w:szCs w:val="20"/>
              </w:rPr>
            </w:pPr>
            <w:r w:rsidRPr="00A52AB8">
              <w:rPr>
                <w:color w:val="000000" w:themeColor="text1"/>
                <w:sz w:val="20"/>
                <w:szCs w:val="20"/>
              </w:rPr>
              <w:tab/>
            </w:r>
            <w:r w:rsidRPr="00A52AB8">
              <w:rPr>
                <w:color w:val="000000" w:themeColor="text1"/>
                <w:sz w:val="20"/>
                <w:szCs w:val="20"/>
              </w:rPr>
              <w:tab/>
              <w:t>if( plri_map</w:t>
            </w:r>
            <w:r w:rsidR="00D375CC" w:rsidRPr="00A52AB8">
              <w:rPr>
                <w:color w:val="000000" w:themeColor="text1"/>
                <w:sz w:val="20"/>
                <w:szCs w:val="20"/>
              </w:rPr>
              <w:t>_present</w:t>
            </w:r>
            <w:r w:rsidRPr="00A52AB8">
              <w:rPr>
                <w:color w:val="000000" w:themeColor="text1"/>
                <w:sz w:val="20"/>
                <w:szCs w:val="20"/>
              </w:rPr>
              <w:t>_flag</w:t>
            </w:r>
            <w:r w:rsidR="001F4484" w:rsidRPr="00A52AB8">
              <w:rPr>
                <w:color w:val="000000" w:themeColor="text1"/>
                <w:sz w:val="20"/>
                <w:szCs w:val="20"/>
              </w:rPr>
              <w:t>[ i ]</w:t>
            </w:r>
            <w:r w:rsidR="001F0776" w:rsidRPr="00A52AB8">
              <w:rPr>
                <w:bCs/>
                <w:color w:val="000000" w:themeColor="text1"/>
                <w:sz w:val="20"/>
                <w:szCs w:val="20"/>
              </w:rPr>
              <w:t> </w:t>
            </w:r>
            <w:r w:rsidR="008F1F82" w:rsidRPr="00A52AB8">
              <w:rPr>
                <w:color w:val="000000" w:themeColor="text1"/>
                <w:sz w:val="20"/>
                <w:szCs w:val="20"/>
              </w:rPr>
              <w:t>) {</w:t>
            </w:r>
          </w:p>
        </w:tc>
        <w:tc>
          <w:tcPr>
            <w:tcW w:w="1253" w:type="dxa"/>
          </w:tcPr>
          <w:p w14:paraId="55F45D10" w14:textId="77777777" w:rsidR="001E79FB" w:rsidRPr="00A52AB8" w:rsidRDefault="001E79FB">
            <w:pPr>
              <w:spacing w:before="20" w:after="20"/>
              <w:jc w:val="center"/>
              <w:rPr>
                <w:color w:val="000000" w:themeColor="text1"/>
                <w:sz w:val="20"/>
                <w:szCs w:val="20"/>
              </w:rPr>
            </w:pPr>
          </w:p>
        </w:tc>
      </w:tr>
      <w:tr w:rsidR="00FB7A65" w:rsidRPr="00A52AB8" w14:paraId="7AA86A5D" w14:textId="77777777" w:rsidTr="00A252B5">
        <w:trPr>
          <w:jc w:val="center"/>
        </w:trPr>
        <w:tc>
          <w:tcPr>
            <w:tcW w:w="7921" w:type="dxa"/>
          </w:tcPr>
          <w:p w14:paraId="7FBD103A" w14:textId="77777777" w:rsidR="00FB7A65" w:rsidRPr="00A52AB8" w:rsidRDefault="00FB7A65">
            <w:pPr>
              <w:spacing w:before="20" w:after="20"/>
              <w:rPr>
                <w:b/>
                <w:color w:val="000000" w:themeColor="text1"/>
                <w:sz w:val="20"/>
                <w:szCs w:val="20"/>
              </w:rPr>
            </w:pPr>
            <w:r w:rsidRPr="00A52AB8">
              <w:rPr>
                <w:color w:val="000000" w:themeColor="text1"/>
                <w:sz w:val="20"/>
                <w:szCs w:val="20"/>
              </w:rPr>
              <w:tab/>
            </w:r>
            <w:r w:rsidR="001E79FB" w:rsidRPr="00A52AB8">
              <w:rPr>
                <w:color w:val="000000" w:themeColor="text1"/>
                <w:sz w:val="20"/>
                <w:szCs w:val="20"/>
              </w:rPr>
              <w:tab/>
            </w:r>
            <w:r w:rsidR="001E79FB" w:rsidRPr="00A52AB8">
              <w:rPr>
                <w:color w:val="000000" w:themeColor="text1"/>
                <w:sz w:val="20"/>
                <w:szCs w:val="20"/>
              </w:rPr>
              <w:tab/>
            </w:r>
            <w:r w:rsidRPr="00A52AB8">
              <w:rPr>
                <w:b/>
                <w:color w:val="000000" w:themeColor="text1"/>
                <w:sz w:val="20"/>
                <w:szCs w:val="20"/>
              </w:rPr>
              <w:t>plri_number_of_modes_minus1</w:t>
            </w:r>
            <w:r w:rsidR="001F4484" w:rsidRPr="00A52AB8">
              <w:rPr>
                <w:bCs/>
                <w:color w:val="000000" w:themeColor="text1"/>
                <w:sz w:val="20"/>
                <w:szCs w:val="20"/>
              </w:rPr>
              <w:t>[ i ]</w:t>
            </w:r>
          </w:p>
        </w:tc>
        <w:tc>
          <w:tcPr>
            <w:tcW w:w="1253" w:type="dxa"/>
          </w:tcPr>
          <w:p w14:paraId="13248253" w14:textId="77777777" w:rsidR="00FB7A65" w:rsidRPr="00A52AB8" w:rsidRDefault="00FB7A65">
            <w:pPr>
              <w:spacing w:before="20" w:after="20"/>
              <w:jc w:val="center"/>
              <w:rPr>
                <w:color w:val="000000" w:themeColor="text1"/>
                <w:sz w:val="20"/>
                <w:szCs w:val="20"/>
              </w:rPr>
            </w:pPr>
            <w:r w:rsidRPr="00A52AB8">
              <w:rPr>
                <w:color w:val="000000" w:themeColor="text1"/>
                <w:sz w:val="20"/>
                <w:szCs w:val="20"/>
              </w:rPr>
              <w:t>u(4)</w:t>
            </w:r>
          </w:p>
        </w:tc>
      </w:tr>
      <w:tr w:rsidR="00FB7A65" w:rsidRPr="00A52AB8" w14:paraId="2CFD1A37" w14:textId="77777777" w:rsidTr="00A252B5">
        <w:trPr>
          <w:jc w:val="center"/>
        </w:trPr>
        <w:tc>
          <w:tcPr>
            <w:tcW w:w="7921" w:type="dxa"/>
          </w:tcPr>
          <w:p w14:paraId="2A05652D" w14:textId="1F8DB8CB" w:rsidR="00FB7A65" w:rsidRPr="00A52AB8" w:rsidRDefault="00FB7A65">
            <w:pPr>
              <w:spacing w:before="20" w:after="20"/>
              <w:rPr>
                <w:color w:val="000000" w:themeColor="text1"/>
                <w:sz w:val="20"/>
                <w:szCs w:val="20"/>
                <w:lang w:eastAsia="ja-JP"/>
              </w:rPr>
            </w:pPr>
            <w:r w:rsidRPr="00A52AB8">
              <w:rPr>
                <w:color w:val="000000" w:themeColor="text1"/>
                <w:sz w:val="20"/>
                <w:szCs w:val="20"/>
                <w:lang w:eastAsia="ja-JP"/>
              </w:rPr>
              <w:tab/>
            </w:r>
            <w:r w:rsidR="001E79FB" w:rsidRPr="00A52AB8">
              <w:rPr>
                <w:color w:val="000000" w:themeColor="text1"/>
                <w:sz w:val="20"/>
                <w:szCs w:val="20"/>
                <w:lang w:eastAsia="ja-JP"/>
              </w:rPr>
              <w:tab/>
            </w:r>
            <w:r w:rsidR="001E79FB" w:rsidRPr="00A52AB8">
              <w:rPr>
                <w:color w:val="000000" w:themeColor="text1"/>
                <w:sz w:val="20"/>
                <w:szCs w:val="20"/>
                <w:lang w:eastAsia="ja-JP"/>
              </w:rPr>
              <w:tab/>
            </w:r>
            <w:r w:rsidRPr="00A52AB8">
              <w:rPr>
                <w:color w:val="000000" w:themeColor="text1"/>
                <w:sz w:val="20"/>
                <w:szCs w:val="20"/>
                <w:lang w:eastAsia="ja-JP"/>
              </w:rPr>
              <w:t>for(</w:t>
            </w:r>
            <w:r w:rsidR="005C1B31" w:rsidRPr="00A52AB8">
              <w:rPr>
                <w:color w:val="000000" w:themeColor="text1"/>
                <w:sz w:val="20"/>
                <w:szCs w:val="20"/>
                <w:lang w:eastAsia="ja-JP"/>
              </w:rPr>
              <w:t> </w:t>
            </w:r>
            <w:r w:rsidR="0003368A" w:rsidRPr="00A52AB8">
              <w:rPr>
                <w:color w:val="000000" w:themeColor="text1"/>
                <w:sz w:val="20"/>
                <w:szCs w:val="20"/>
                <w:lang w:eastAsia="ja-JP"/>
              </w:rPr>
              <w:t>j</w:t>
            </w:r>
            <w:r w:rsidR="00D47707" w:rsidRPr="00A52AB8">
              <w:rPr>
                <w:color w:val="000000" w:themeColor="text1"/>
                <w:sz w:val="20"/>
                <w:szCs w:val="20"/>
                <w:lang w:eastAsia="ja-JP"/>
              </w:rPr>
              <w:t> = </w:t>
            </w:r>
            <w:r w:rsidRPr="00A52AB8">
              <w:rPr>
                <w:color w:val="000000" w:themeColor="text1"/>
                <w:sz w:val="20"/>
                <w:szCs w:val="20"/>
                <w:lang w:eastAsia="ja-JP"/>
              </w:rPr>
              <w:t>0;</w:t>
            </w:r>
            <w:r w:rsidR="005C1B31" w:rsidRPr="00A52AB8">
              <w:rPr>
                <w:color w:val="000000" w:themeColor="text1"/>
                <w:sz w:val="20"/>
                <w:szCs w:val="20"/>
                <w:lang w:eastAsia="ja-JP"/>
              </w:rPr>
              <w:t> </w:t>
            </w:r>
            <w:r w:rsidR="0003368A" w:rsidRPr="00A52AB8">
              <w:rPr>
                <w:color w:val="000000" w:themeColor="text1"/>
                <w:sz w:val="20"/>
                <w:szCs w:val="20"/>
                <w:lang w:eastAsia="ja-JP"/>
              </w:rPr>
              <w:t>j</w:t>
            </w:r>
            <w:r w:rsidR="005C1B31" w:rsidRPr="00A52AB8">
              <w:rPr>
                <w:color w:val="000000" w:themeColor="text1"/>
                <w:sz w:val="20"/>
                <w:szCs w:val="20"/>
                <w:lang w:eastAsia="ja-JP"/>
              </w:rPr>
              <w:t> </w:t>
            </w:r>
            <w:r w:rsidRPr="00A52AB8">
              <w:rPr>
                <w:color w:val="000000" w:themeColor="text1"/>
                <w:sz w:val="20"/>
                <w:szCs w:val="20"/>
                <w:lang w:eastAsia="ja-JP"/>
              </w:rPr>
              <w:t>&lt;</w:t>
            </w:r>
            <w:r w:rsidR="005C1B31" w:rsidRPr="00A52AB8">
              <w:rPr>
                <w:color w:val="000000" w:themeColor="text1"/>
                <w:sz w:val="20"/>
                <w:szCs w:val="20"/>
                <w:lang w:eastAsia="ja-JP"/>
              </w:rPr>
              <w:t> </w:t>
            </w:r>
            <w:r w:rsidRPr="00A52AB8">
              <w:rPr>
                <w:color w:val="000000" w:themeColor="text1"/>
                <w:sz w:val="20"/>
                <w:szCs w:val="20"/>
                <w:lang w:eastAsia="ja-JP"/>
              </w:rPr>
              <w:t>plri_number_of_modes_minus1</w:t>
            </w:r>
            <w:r w:rsidR="001F4484" w:rsidRPr="00A52AB8">
              <w:rPr>
                <w:bCs/>
                <w:color w:val="000000" w:themeColor="text1"/>
                <w:sz w:val="20"/>
                <w:szCs w:val="20"/>
              </w:rPr>
              <w:t>[ i ]</w:t>
            </w:r>
            <w:r w:rsidR="005C1B31" w:rsidRPr="00A52AB8">
              <w:rPr>
                <w:color w:val="000000" w:themeColor="text1"/>
                <w:sz w:val="20"/>
                <w:szCs w:val="20"/>
              </w:rPr>
              <w:t> </w:t>
            </w:r>
            <w:r w:rsidR="00DD4258" w:rsidRPr="00A52AB8">
              <w:rPr>
                <w:color w:val="000000" w:themeColor="text1"/>
                <w:sz w:val="20"/>
                <w:szCs w:val="20"/>
              </w:rPr>
              <w:t>+</w:t>
            </w:r>
            <w:r w:rsidR="005C1B31" w:rsidRPr="00A52AB8">
              <w:rPr>
                <w:color w:val="000000" w:themeColor="text1"/>
                <w:sz w:val="20"/>
                <w:szCs w:val="20"/>
              </w:rPr>
              <w:t> </w:t>
            </w:r>
            <w:r w:rsidR="00DD4258" w:rsidRPr="00A52AB8">
              <w:rPr>
                <w:color w:val="000000" w:themeColor="text1"/>
                <w:sz w:val="20"/>
                <w:szCs w:val="20"/>
              </w:rPr>
              <w:t>1</w:t>
            </w:r>
            <w:r w:rsidRPr="00A52AB8">
              <w:rPr>
                <w:color w:val="000000" w:themeColor="text1"/>
                <w:sz w:val="20"/>
                <w:szCs w:val="20"/>
                <w:lang w:eastAsia="ja-JP"/>
              </w:rPr>
              <w:t>;</w:t>
            </w:r>
            <w:r w:rsidR="005C1B31" w:rsidRPr="00A52AB8">
              <w:rPr>
                <w:color w:val="000000" w:themeColor="text1"/>
                <w:sz w:val="20"/>
                <w:szCs w:val="20"/>
                <w:lang w:eastAsia="ja-JP"/>
              </w:rPr>
              <w:t> </w:t>
            </w:r>
            <w:r w:rsidR="0003368A" w:rsidRPr="00A52AB8">
              <w:rPr>
                <w:color w:val="000000" w:themeColor="text1"/>
                <w:sz w:val="20"/>
                <w:szCs w:val="20"/>
                <w:lang w:eastAsia="ja-JP"/>
              </w:rPr>
              <w:t>j</w:t>
            </w:r>
            <w:r w:rsidR="00006CCF" w:rsidRPr="00A52AB8">
              <w:rPr>
                <w:color w:val="000000" w:themeColor="text1"/>
                <w:sz w:val="20"/>
                <w:szCs w:val="20"/>
                <w:lang w:eastAsia="ja-JP"/>
              </w:rPr>
              <w:t>++ </w:t>
            </w:r>
            <w:r w:rsidR="008F1F82" w:rsidRPr="00A52AB8">
              <w:rPr>
                <w:color w:val="000000" w:themeColor="text1"/>
                <w:sz w:val="20"/>
                <w:szCs w:val="20"/>
                <w:lang w:eastAsia="ja-JP"/>
              </w:rPr>
              <w:t>) {</w:t>
            </w:r>
          </w:p>
        </w:tc>
        <w:tc>
          <w:tcPr>
            <w:tcW w:w="1253" w:type="dxa"/>
          </w:tcPr>
          <w:p w14:paraId="2C073EB3" w14:textId="77777777" w:rsidR="00FB7A65" w:rsidRPr="00A52AB8" w:rsidRDefault="00FB7A65">
            <w:pPr>
              <w:spacing w:before="20" w:after="20"/>
              <w:jc w:val="center"/>
              <w:rPr>
                <w:color w:val="000000" w:themeColor="text1"/>
                <w:sz w:val="20"/>
                <w:szCs w:val="20"/>
              </w:rPr>
            </w:pPr>
          </w:p>
        </w:tc>
      </w:tr>
      <w:tr w:rsidR="00FB7A65" w:rsidRPr="00A52AB8" w14:paraId="1EC3973A" w14:textId="77777777" w:rsidTr="00A252B5">
        <w:trPr>
          <w:jc w:val="center"/>
        </w:trPr>
        <w:tc>
          <w:tcPr>
            <w:tcW w:w="7921" w:type="dxa"/>
          </w:tcPr>
          <w:p w14:paraId="04E38ADF" w14:textId="77777777" w:rsidR="00FB7A65" w:rsidRPr="00A52AB8" w:rsidRDefault="00FB7A65">
            <w:pPr>
              <w:spacing w:before="20" w:after="20"/>
              <w:rPr>
                <w:color w:val="000000" w:themeColor="text1"/>
                <w:sz w:val="20"/>
                <w:szCs w:val="20"/>
                <w:lang w:eastAsia="ja-JP"/>
              </w:rPr>
            </w:pPr>
            <w:r w:rsidRPr="00A52AB8">
              <w:rPr>
                <w:color w:val="000000" w:themeColor="text1"/>
                <w:sz w:val="20"/>
                <w:szCs w:val="20"/>
                <w:lang w:eastAsia="ja-JP"/>
              </w:rPr>
              <w:tab/>
            </w:r>
            <w:r w:rsidRPr="00A52AB8">
              <w:rPr>
                <w:color w:val="000000" w:themeColor="text1"/>
                <w:sz w:val="20"/>
                <w:szCs w:val="20"/>
                <w:lang w:eastAsia="ja-JP"/>
              </w:rPr>
              <w:tab/>
            </w:r>
            <w:r w:rsidR="001E79FB" w:rsidRPr="00A52AB8">
              <w:rPr>
                <w:color w:val="000000" w:themeColor="text1"/>
                <w:sz w:val="20"/>
                <w:szCs w:val="20"/>
                <w:lang w:eastAsia="ja-JP"/>
              </w:rPr>
              <w:tab/>
            </w:r>
            <w:r w:rsidR="001E79FB" w:rsidRPr="00A52AB8">
              <w:rPr>
                <w:color w:val="000000" w:themeColor="text1"/>
                <w:sz w:val="20"/>
                <w:szCs w:val="20"/>
                <w:lang w:eastAsia="ja-JP"/>
              </w:rPr>
              <w:tab/>
            </w:r>
            <w:r w:rsidRPr="00A52AB8">
              <w:rPr>
                <w:b/>
                <w:color w:val="000000" w:themeColor="text1"/>
                <w:sz w:val="20"/>
                <w:szCs w:val="20"/>
                <w:lang w:eastAsia="ja-JP"/>
              </w:rPr>
              <w:t>plri_interpolate_flag</w:t>
            </w:r>
            <w:r w:rsidR="001F4484" w:rsidRPr="00A52AB8">
              <w:rPr>
                <w:bCs/>
                <w:color w:val="000000" w:themeColor="text1"/>
                <w:sz w:val="20"/>
                <w:szCs w:val="20"/>
              </w:rPr>
              <w:t>[ i ]</w:t>
            </w:r>
            <w:r w:rsidR="001F4484" w:rsidRPr="00A52AB8">
              <w:rPr>
                <w:color w:val="000000" w:themeColor="text1"/>
                <w:sz w:val="20"/>
                <w:szCs w:val="20"/>
                <w:lang w:eastAsia="ja-JP"/>
              </w:rPr>
              <w:t>[ j ]</w:t>
            </w:r>
          </w:p>
        </w:tc>
        <w:tc>
          <w:tcPr>
            <w:tcW w:w="1253" w:type="dxa"/>
          </w:tcPr>
          <w:p w14:paraId="28534D27" w14:textId="77777777" w:rsidR="00FB7A65" w:rsidRPr="00A52AB8" w:rsidRDefault="00FB7A65">
            <w:pPr>
              <w:spacing w:before="20" w:after="20"/>
              <w:jc w:val="center"/>
              <w:rPr>
                <w:color w:val="000000" w:themeColor="text1"/>
                <w:sz w:val="20"/>
                <w:szCs w:val="20"/>
              </w:rPr>
            </w:pPr>
            <w:r w:rsidRPr="00A52AB8">
              <w:rPr>
                <w:color w:val="000000" w:themeColor="text1"/>
                <w:sz w:val="20"/>
                <w:szCs w:val="20"/>
              </w:rPr>
              <w:t>u(1)</w:t>
            </w:r>
          </w:p>
        </w:tc>
      </w:tr>
      <w:tr w:rsidR="00FB7A65" w:rsidRPr="00A52AB8" w14:paraId="718C6D1B" w14:textId="77777777" w:rsidTr="00A252B5">
        <w:trPr>
          <w:jc w:val="center"/>
        </w:trPr>
        <w:tc>
          <w:tcPr>
            <w:tcW w:w="7921" w:type="dxa"/>
          </w:tcPr>
          <w:p w14:paraId="508D5F8A" w14:textId="77777777" w:rsidR="00FB7A65" w:rsidRPr="00A52AB8" w:rsidRDefault="00FB7A65">
            <w:pPr>
              <w:spacing w:before="20" w:after="20"/>
              <w:rPr>
                <w:color w:val="000000" w:themeColor="text1"/>
                <w:sz w:val="20"/>
                <w:szCs w:val="20"/>
                <w:lang w:eastAsia="ja-JP"/>
              </w:rPr>
            </w:pPr>
            <w:r w:rsidRPr="00A52AB8">
              <w:rPr>
                <w:b/>
                <w:color w:val="000000" w:themeColor="text1"/>
                <w:sz w:val="20"/>
                <w:szCs w:val="20"/>
                <w:lang w:eastAsia="ja-JP"/>
              </w:rPr>
              <w:tab/>
            </w:r>
            <w:r w:rsidRPr="00A52AB8">
              <w:rPr>
                <w:b/>
                <w:color w:val="000000" w:themeColor="text1"/>
                <w:sz w:val="20"/>
                <w:szCs w:val="20"/>
                <w:lang w:eastAsia="ja-JP"/>
              </w:rPr>
              <w:tab/>
            </w:r>
            <w:r w:rsidR="001E79FB" w:rsidRPr="00A52AB8">
              <w:rPr>
                <w:b/>
                <w:color w:val="000000" w:themeColor="text1"/>
                <w:sz w:val="20"/>
                <w:szCs w:val="20"/>
                <w:lang w:eastAsia="ja-JP"/>
              </w:rPr>
              <w:tab/>
            </w:r>
            <w:r w:rsidR="001E79FB" w:rsidRPr="00A52AB8">
              <w:rPr>
                <w:b/>
                <w:color w:val="000000" w:themeColor="text1"/>
                <w:sz w:val="20"/>
                <w:szCs w:val="20"/>
                <w:lang w:eastAsia="ja-JP"/>
              </w:rPr>
              <w:tab/>
            </w:r>
            <w:r w:rsidRPr="00A52AB8">
              <w:rPr>
                <w:b/>
                <w:color w:val="000000" w:themeColor="text1"/>
                <w:sz w:val="20"/>
                <w:szCs w:val="20"/>
                <w:lang w:eastAsia="ja-JP"/>
              </w:rPr>
              <w:t>plri_filling_flag</w:t>
            </w:r>
            <w:r w:rsidR="001F4484" w:rsidRPr="00A52AB8">
              <w:rPr>
                <w:bCs/>
                <w:color w:val="000000" w:themeColor="text1"/>
                <w:sz w:val="20"/>
                <w:szCs w:val="20"/>
              </w:rPr>
              <w:t>[ i ]</w:t>
            </w:r>
            <w:r w:rsidR="001F4484" w:rsidRPr="00A52AB8">
              <w:rPr>
                <w:color w:val="000000" w:themeColor="text1"/>
                <w:sz w:val="20"/>
                <w:szCs w:val="20"/>
                <w:lang w:eastAsia="ja-JP"/>
              </w:rPr>
              <w:t>[ j ]</w:t>
            </w:r>
          </w:p>
        </w:tc>
        <w:tc>
          <w:tcPr>
            <w:tcW w:w="1253" w:type="dxa"/>
          </w:tcPr>
          <w:p w14:paraId="5A97184F" w14:textId="77777777" w:rsidR="00FB7A65" w:rsidRPr="00A52AB8" w:rsidRDefault="00FB7A65">
            <w:pPr>
              <w:spacing w:before="20" w:after="20"/>
              <w:jc w:val="center"/>
              <w:rPr>
                <w:color w:val="000000" w:themeColor="text1"/>
                <w:sz w:val="20"/>
                <w:szCs w:val="20"/>
              </w:rPr>
            </w:pPr>
            <w:r w:rsidRPr="00A52AB8">
              <w:rPr>
                <w:color w:val="000000" w:themeColor="text1"/>
                <w:sz w:val="20"/>
                <w:szCs w:val="20"/>
              </w:rPr>
              <w:t>u(1)</w:t>
            </w:r>
          </w:p>
        </w:tc>
      </w:tr>
      <w:tr w:rsidR="00FB7A65" w:rsidRPr="00A52AB8" w14:paraId="2A871289" w14:textId="77777777" w:rsidTr="00A252B5">
        <w:trPr>
          <w:jc w:val="center"/>
        </w:trPr>
        <w:tc>
          <w:tcPr>
            <w:tcW w:w="7921" w:type="dxa"/>
          </w:tcPr>
          <w:p w14:paraId="33429FEB" w14:textId="77777777" w:rsidR="00FB7A65" w:rsidRPr="00A52AB8" w:rsidRDefault="00FB7A65">
            <w:pPr>
              <w:spacing w:before="20" w:after="20"/>
              <w:rPr>
                <w:b/>
                <w:color w:val="000000" w:themeColor="text1"/>
                <w:sz w:val="20"/>
                <w:szCs w:val="20"/>
              </w:rPr>
            </w:pPr>
            <w:r w:rsidRPr="00A52AB8">
              <w:rPr>
                <w:b/>
                <w:color w:val="000000" w:themeColor="text1"/>
                <w:sz w:val="20"/>
                <w:szCs w:val="20"/>
              </w:rPr>
              <w:tab/>
            </w:r>
            <w:r w:rsidRPr="00A52AB8">
              <w:rPr>
                <w:b/>
                <w:color w:val="000000" w:themeColor="text1"/>
                <w:sz w:val="20"/>
                <w:szCs w:val="20"/>
              </w:rPr>
              <w:tab/>
            </w:r>
            <w:r w:rsidR="00D23F66" w:rsidRPr="00A52AB8">
              <w:rPr>
                <w:b/>
                <w:color w:val="000000" w:themeColor="text1"/>
                <w:sz w:val="20"/>
                <w:szCs w:val="20"/>
              </w:rPr>
              <w:tab/>
            </w:r>
            <w:r w:rsidR="00D23F66" w:rsidRPr="00A52AB8">
              <w:rPr>
                <w:b/>
                <w:color w:val="000000" w:themeColor="text1"/>
                <w:sz w:val="20"/>
                <w:szCs w:val="20"/>
              </w:rPr>
              <w:tab/>
            </w:r>
            <w:r w:rsidRPr="00A52AB8">
              <w:rPr>
                <w:b/>
                <w:color w:val="000000" w:themeColor="text1"/>
                <w:sz w:val="20"/>
                <w:szCs w:val="20"/>
              </w:rPr>
              <w:t>plri_minimum_depth</w:t>
            </w:r>
            <w:r w:rsidR="001F4484" w:rsidRPr="00A52AB8">
              <w:rPr>
                <w:bCs/>
                <w:color w:val="000000" w:themeColor="text1"/>
                <w:sz w:val="20"/>
                <w:szCs w:val="20"/>
              </w:rPr>
              <w:t>[ i ]</w:t>
            </w:r>
            <w:r w:rsidR="001F4484" w:rsidRPr="00A52AB8">
              <w:rPr>
                <w:color w:val="000000" w:themeColor="text1"/>
                <w:sz w:val="20"/>
                <w:szCs w:val="20"/>
              </w:rPr>
              <w:t>[ j ]</w:t>
            </w:r>
          </w:p>
        </w:tc>
        <w:tc>
          <w:tcPr>
            <w:tcW w:w="1253" w:type="dxa"/>
          </w:tcPr>
          <w:p w14:paraId="1DFDBEA2" w14:textId="77777777" w:rsidR="00FB7A65" w:rsidRPr="00A52AB8" w:rsidRDefault="00FB7A65">
            <w:pPr>
              <w:spacing w:before="20" w:after="20"/>
              <w:jc w:val="center"/>
              <w:rPr>
                <w:color w:val="000000" w:themeColor="text1"/>
                <w:sz w:val="20"/>
                <w:szCs w:val="20"/>
              </w:rPr>
            </w:pPr>
            <w:r w:rsidRPr="00A52AB8">
              <w:rPr>
                <w:color w:val="000000" w:themeColor="text1"/>
                <w:sz w:val="20"/>
                <w:szCs w:val="20"/>
              </w:rPr>
              <w:t>u(2)</w:t>
            </w:r>
          </w:p>
        </w:tc>
      </w:tr>
      <w:tr w:rsidR="00FB7A65" w:rsidRPr="00A52AB8" w14:paraId="79BDFE83" w14:textId="77777777" w:rsidTr="00A252B5">
        <w:trPr>
          <w:jc w:val="center"/>
        </w:trPr>
        <w:tc>
          <w:tcPr>
            <w:tcW w:w="7921" w:type="dxa"/>
          </w:tcPr>
          <w:p w14:paraId="1ADEE8C4" w14:textId="77777777" w:rsidR="00FB7A65" w:rsidRPr="00A52AB8" w:rsidRDefault="00FB7A65">
            <w:pPr>
              <w:spacing w:before="20" w:after="20"/>
              <w:rPr>
                <w:b/>
                <w:color w:val="000000" w:themeColor="text1"/>
                <w:sz w:val="20"/>
                <w:szCs w:val="20"/>
                <w:lang w:eastAsia="ja-JP"/>
              </w:rPr>
            </w:pPr>
            <w:r w:rsidRPr="00A52AB8">
              <w:rPr>
                <w:b/>
                <w:color w:val="000000" w:themeColor="text1"/>
                <w:sz w:val="20"/>
                <w:szCs w:val="20"/>
                <w:lang w:eastAsia="ja-JP"/>
              </w:rPr>
              <w:tab/>
            </w:r>
            <w:r w:rsidRPr="00A52AB8">
              <w:rPr>
                <w:b/>
                <w:color w:val="000000" w:themeColor="text1"/>
                <w:sz w:val="20"/>
                <w:szCs w:val="20"/>
                <w:lang w:eastAsia="ja-JP"/>
              </w:rPr>
              <w:tab/>
            </w:r>
            <w:r w:rsidR="00D23F66" w:rsidRPr="00A52AB8">
              <w:rPr>
                <w:b/>
                <w:color w:val="000000" w:themeColor="text1"/>
                <w:sz w:val="20"/>
                <w:szCs w:val="20"/>
                <w:lang w:eastAsia="ja-JP"/>
              </w:rPr>
              <w:tab/>
            </w:r>
            <w:r w:rsidR="00D23F66" w:rsidRPr="00A52AB8">
              <w:rPr>
                <w:b/>
                <w:color w:val="000000" w:themeColor="text1"/>
                <w:sz w:val="20"/>
                <w:szCs w:val="20"/>
                <w:lang w:eastAsia="ja-JP"/>
              </w:rPr>
              <w:tab/>
            </w:r>
            <w:r w:rsidRPr="00A52AB8">
              <w:rPr>
                <w:b/>
                <w:color w:val="000000" w:themeColor="text1"/>
                <w:sz w:val="20"/>
                <w:szCs w:val="20"/>
                <w:lang w:eastAsia="ja-JP"/>
              </w:rPr>
              <w:t>plri_neighbour_minus1</w:t>
            </w:r>
            <w:r w:rsidR="001F4484" w:rsidRPr="00A52AB8">
              <w:rPr>
                <w:bCs/>
                <w:color w:val="000000" w:themeColor="text1"/>
                <w:sz w:val="20"/>
                <w:szCs w:val="20"/>
              </w:rPr>
              <w:t>[ i ]</w:t>
            </w:r>
            <w:r w:rsidR="001F4484" w:rsidRPr="00A52AB8">
              <w:rPr>
                <w:color w:val="000000" w:themeColor="text1"/>
                <w:sz w:val="20"/>
                <w:szCs w:val="20"/>
                <w:lang w:eastAsia="ja-JP"/>
              </w:rPr>
              <w:t>[ j ]</w:t>
            </w:r>
          </w:p>
        </w:tc>
        <w:tc>
          <w:tcPr>
            <w:tcW w:w="1253" w:type="dxa"/>
          </w:tcPr>
          <w:p w14:paraId="74945641" w14:textId="77777777" w:rsidR="00FB7A65" w:rsidRPr="00A52AB8" w:rsidRDefault="00FB7A65">
            <w:pPr>
              <w:spacing w:before="20" w:after="20"/>
              <w:jc w:val="center"/>
              <w:rPr>
                <w:color w:val="000000" w:themeColor="text1"/>
                <w:sz w:val="20"/>
                <w:szCs w:val="20"/>
              </w:rPr>
            </w:pPr>
            <w:r w:rsidRPr="00A52AB8">
              <w:rPr>
                <w:color w:val="000000" w:themeColor="text1"/>
                <w:sz w:val="20"/>
                <w:szCs w:val="20"/>
              </w:rPr>
              <w:t>u(2)</w:t>
            </w:r>
          </w:p>
        </w:tc>
      </w:tr>
      <w:tr w:rsidR="00FB7A65" w:rsidRPr="00A52AB8" w14:paraId="61E5FFBE" w14:textId="77777777" w:rsidTr="00A252B5">
        <w:trPr>
          <w:jc w:val="center"/>
        </w:trPr>
        <w:tc>
          <w:tcPr>
            <w:tcW w:w="7921" w:type="dxa"/>
          </w:tcPr>
          <w:p w14:paraId="08D9CE05" w14:textId="77777777" w:rsidR="00FB7A65" w:rsidRPr="00A52AB8" w:rsidRDefault="00FB7A65">
            <w:pPr>
              <w:spacing w:before="20" w:after="20"/>
              <w:rPr>
                <w:color w:val="000000" w:themeColor="text1"/>
                <w:sz w:val="20"/>
                <w:szCs w:val="20"/>
                <w:lang w:eastAsia="ja-JP"/>
              </w:rPr>
            </w:pPr>
            <w:r w:rsidRPr="00A52AB8">
              <w:rPr>
                <w:color w:val="000000" w:themeColor="text1"/>
                <w:sz w:val="20"/>
                <w:szCs w:val="20"/>
                <w:lang w:eastAsia="ja-JP"/>
              </w:rPr>
              <w:tab/>
            </w:r>
            <w:r w:rsidR="00D23F66" w:rsidRPr="00A52AB8">
              <w:rPr>
                <w:color w:val="000000" w:themeColor="text1"/>
                <w:sz w:val="20"/>
                <w:szCs w:val="20"/>
                <w:lang w:eastAsia="ja-JP"/>
              </w:rPr>
              <w:tab/>
            </w:r>
            <w:r w:rsidR="00D23F66" w:rsidRPr="00A52AB8">
              <w:rPr>
                <w:color w:val="000000" w:themeColor="text1"/>
                <w:sz w:val="20"/>
                <w:szCs w:val="20"/>
                <w:lang w:eastAsia="ja-JP"/>
              </w:rPr>
              <w:tab/>
            </w:r>
            <w:r w:rsidRPr="00A52AB8">
              <w:rPr>
                <w:color w:val="000000" w:themeColor="text1"/>
                <w:sz w:val="20"/>
                <w:szCs w:val="20"/>
                <w:lang w:eastAsia="ja-JP"/>
              </w:rPr>
              <w:t>}</w:t>
            </w:r>
          </w:p>
        </w:tc>
        <w:tc>
          <w:tcPr>
            <w:tcW w:w="1253" w:type="dxa"/>
          </w:tcPr>
          <w:p w14:paraId="26C154FC" w14:textId="77777777" w:rsidR="00FB7A65" w:rsidRPr="00A52AB8" w:rsidRDefault="00FB7A65">
            <w:pPr>
              <w:spacing w:before="20" w:after="20"/>
              <w:jc w:val="center"/>
              <w:rPr>
                <w:color w:val="000000" w:themeColor="text1"/>
                <w:sz w:val="20"/>
                <w:szCs w:val="20"/>
              </w:rPr>
            </w:pPr>
          </w:p>
        </w:tc>
      </w:tr>
      <w:tr w:rsidR="00FB7A65" w:rsidRPr="00A52AB8" w14:paraId="69818F7D" w14:textId="77777777" w:rsidTr="00A252B5">
        <w:trPr>
          <w:jc w:val="center"/>
        </w:trPr>
        <w:tc>
          <w:tcPr>
            <w:tcW w:w="7921" w:type="dxa"/>
          </w:tcPr>
          <w:p w14:paraId="4F90FEB4" w14:textId="77777777" w:rsidR="00FB7A65" w:rsidRPr="00A52AB8" w:rsidRDefault="00FB7A65">
            <w:pPr>
              <w:spacing w:before="20" w:after="20"/>
              <w:rPr>
                <w:b/>
                <w:color w:val="000000" w:themeColor="text1"/>
                <w:sz w:val="20"/>
                <w:szCs w:val="20"/>
                <w:lang w:eastAsia="ja-JP"/>
              </w:rPr>
            </w:pPr>
            <w:r w:rsidRPr="00A52AB8">
              <w:rPr>
                <w:color w:val="000000" w:themeColor="text1"/>
                <w:sz w:val="20"/>
                <w:szCs w:val="20"/>
                <w:lang w:eastAsia="ja-JP"/>
              </w:rPr>
              <w:tab/>
            </w:r>
            <w:r w:rsidR="00D23F66" w:rsidRPr="00A52AB8">
              <w:rPr>
                <w:color w:val="000000" w:themeColor="text1"/>
                <w:sz w:val="20"/>
                <w:szCs w:val="20"/>
                <w:lang w:eastAsia="ja-JP"/>
              </w:rPr>
              <w:tab/>
            </w:r>
            <w:r w:rsidR="00D23F66" w:rsidRPr="00A52AB8">
              <w:rPr>
                <w:color w:val="000000" w:themeColor="text1"/>
                <w:sz w:val="20"/>
                <w:szCs w:val="20"/>
                <w:lang w:eastAsia="ja-JP"/>
              </w:rPr>
              <w:tab/>
            </w:r>
            <w:r w:rsidRPr="00A52AB8">
              <w:rPr>
                <w:b/>
                <w:color w:val="000000" w:themeColor="text1"/>
                <w:sz w:val="20"/>
                <w:szCs w:val="20"/>
                <w:lang w:eastAsia="ja-JP"/>
              </w:rPr>
              <w:t>plri_block_threshold_per_patch_minus1</w:t>
            </w:r>
            <w:r w:rsidR="00DD4258" w:rsidRPr="00A52AB8">
              <w:rPr>
                <w:bCs/>
                <w:color w:val="000000" w:themeColor="text1"/>
                <w:sz w:val="20"/>
                <w:szCs w:val="20"/>
              </w:rPr>
              <w:t>[ </w:t>
            </w:r>
            <w:r w:rsidR="006133C9" w:rsidRPr="00A52AB8">
              <w:rPr>
                <w:bCs/>
                <w:color w:val="000000" w:themeColor="text1"/>
                <w:sz w:val="20"/>
                <w:szCs w:val="20"/>
              </w:rPr>
              <w:t>i </w:t>
            </w:r>
            <w:r w:rsidR="00DD4258" w:rsidRPr="00A52AB8">
              <w:rPr>
                <w:bCs/>
                <w:color w:val="000000" w:themeColor="text1"/>
                <w:sz w:val="20"/>
                <w:szCs w:val="20"/>
              </w:rPr>
              <w:t>]</w:t>
            </w:r>
          </w:p>
        </w:tc>
        <w:tc>
          <w:tcPr>
            <w:tcW w:w="1253" w:type="dxa"/>
          </w:tcPr>
          <w:p w14:paraId="088821B3" w14:textId="77777777" w:rsidR="00FB7A65" w:rsidRPr="00A52AB8" w:rsidRDefault="00FB7A65">
            <w:pPr>
              <w:spacing w:before="20" w:after="20"/>
              <w:jc w:val="center"/>
              <w:rPr>
                <w:color w:val="000000" w:themeColor="text1"/>
                <w:sz w:val="20"/>
                <w:szCs w:val="20"/>
              </w:rPr>
            </w:pPr>
            <w:r w:rsidRPr="00A52AB8">
              <w:rPr>
                <w:color w:val="000000" w:themeColor="text1"/>
                <w:sz w:val="20"/>
                <w:szCs w:val="20"/>
              </w:rPr>
              <w:t>u(</w:t>
            </w:r>
            <w:r w:rsidR="00B67725" w:rsidRPr="00A52AB8">
              <w:rPr>
                <w:color w:val="000000" w:themeColor="text1"/>
                <w:sz w:val="20"/>
                <w:szCs w:val="20"/>
              </w:rPr>
              <w:t>6</w:t>
            </w:r>
            <w:r w:rsidRPr="00A52AB8">
              <w:rPr>
                <w:color w:val="000000" w:themeColor="text1"/>
                <w:sz w:val="20"/>
                <w:szCs w:val="20"/>
              </w:rPr>
              <w:t>)</w:t>
            </w:r>
          </w:p>
        </w:tc>
      </w:tr>
      <w:tr w:rsidR="00D23F66" w:rsidRPr="00A52AB8" w14:paraId="1376B591" w14:textId="77777777" w:rsidTr="00A252B5">
        <w:trPr>
          <w:jc w:val="center"/>
        </w:trPr>
        <w:tc>
          <w:tcPr>
            <w:tcW w:w="7921" w:type="dxa"/>
          </w:tcPr>
          <w:p w14:paraId="2A6AA8D8" w14:textId="77777777" w:rsidR="00D23F66" w:rsidRPr="00A52AB8" w:rsidRDefault="00D23F66">
            <w:pPr>
              <w:spacing w:before="20" w:after="20"/>
              <w:rPr>
                <w:color w:val="000000" w:themeColor="text1"/>
                <w:sz w:val="20"/>
                <w:szCs w:val="20"/>
                <w:lang w:eastAsia="ja-JP"/>
              </w:rPr>
            </w:pPr>
            <w:r w:rsidRPr="00A52AB8">
              <w:rPr>
                <w:color w:val="000000" w:themeColor="text1"/>
                <w:sz w:val="20"/>
                <w:szCs w:val="20"/>
                <w:lang w:eastAsia="ja-JP"/>
              </w:rPr>
              <w:tab/>
            </w:r>
            <w:r w:rsidRPr="00A52AB8">
              <w:rPr>
                <w:color w:val="000000" w:themeColor="text1"/>
                <w:sz w:val="20"/>
                <w:szCs w:val="20"/>
                <w:lang w:eastAsia="ja-JP"/>
              </w:rPr>
              <w:tab/>
              <w:t>}</w:t>
            </w:r>
          </w:p>
        </w:tc>
        <w:tc>
          <w:tcPr>
            <w:tcW w:w="1253" w:type="dxa"/>
          </w:tcPr>
          <w:p w14:paraId="58DC38AA" w14:textId="77777777" w:rsidR="00D23F66" w:rsidRPr="00A52AB8" w:rsidRDefault="00D23F66">
            <w:pPr>
              <w:spacing w:before="20" w:after="20"/>
              <w:jc w:val="center"/>
              <w:rPr>
                <w:color w:val="000000" w:themeColor="text1"/>
                <w:sz w:val="20"/>
                <w:szCs w:val="20"/>
              </w:rPr>
            </w:pPr>
          </w:p>
        </w:tc>
      </w:tr>
      <w:tr w:rsidR="00D23F66" w:rsidRPr="00A52AB8" w14:paraId="3F4EC88F" w14:textId="77777777" w:rsidTr="00A252B5">
        <w:trPr>
          <w:jc w:val="center"/>
        </w:trPr>
        <w:tc>
          <w:tcPr>
            <w:tcW w:w="7921" w:type="dxa"/>
          </w:tcPr>
          <w:p w14:paraId="4C202D0E" w14:textId="77777777" w:rsidR="00D23F66" w:rsidRPr="00A52AB8" w:rsidRDefault="00D23F66">
            <w:pPr>
              <w:spacing w:before="20" w:after="20"/>
              <w:rPr>
                <w:color w:val="000000" w:themeColor="text1"/>
                <w:sz w:val="20"/>
                <w:szCs w:val="20"/>
                <w:lang w:eastAsia="ja-JP"/>
              </w:rPr>
            </w:pPr>
            <w:r w:rsidRPr="00A52AB8">
              <w:rPr>
                <w:color w:val="000000" w:themeColor="text1"/>
                <w:sz w:val="20"/>
                <w:szCs w:val="20"/>
                <w:lang w:eastAsia="ja-JP"/>
              </w:rPr>
              <w:tab/>
              <w:t>}</w:t>
            </w:r>
          </w:p>
        </w:tc>
        <w:tc>
          <w:tcPr>
            <w:tcW w:w="1253" w:type="dxa"/>
          </w:tcPr>
          <w:p w14:paraId="096D4077" w14:textId="77777777" w:rsidR="00D23F66" w:rsidRPr="00A52AB8" w:rsidRDefault="00D23F66">
            <w:pPr>
              <w:spacing w:before="20" w:after="20"/>
              <w:jc w:val="center"/>
              <w:rPr>
                <w:color w:val="000000" w:themeColor="text1"/>
                <w:sz w:val="20"/>
                <w:szCs w:val="20"/>
              </w:rPr>
            </w:pPr>
          </w:p>
        </w:tc>
      </w:tr>
      <w:tr w:rsidR="00FB7A65" w:rsidRPr="00A52AB8" w14:paraId="021AEEBC" w14:textId="77777777" w:rsidTr="00A252B5">
        <w:trPr>
          <w:jc w:val="center"/>
        </w:trPr>
        <w:tc>
          <w:tcPr>
            <w:tcW w:w="7921" w:type="dxa"/>
          </w:tcPr>
          <w:p w14:paraId="4C70D9AF" w14:textId="77777777" w:rsidR="00FB7A65" w:rsidRPr="00A52AB8" w:rsidRDefault="00FB7A65">
            <w:pPr>
              <w:spacing w:before="20" w:after="20"/>
              <w:rPr>
                <w:color w:val="000000" w:themeColor="text1"/>
                <w:sz w:val="20"/>
                <w:szCs w:val="20"/>
              </w:rPr>
            </w:pPr>
            <w:r w:rsidRPr="00A52AB8">
              <w:rPr>
                <w:color w:val="000000" w:themeColor="text1"/>
                <w:sz w:val="20"/>
                <w:szCs w:val="20"/>
              </w:rPr>
              <w:t>}</w:t>
            </w:r>
          </w:p>
        </w:tc>
        <w:tc>
          <w:tcPr>
            <w:tcW w:w="1253" w:type="dxa"/>
          </w:tcPr>
          <w:p w14:paraId="205BF035" w14:textId="77777777" w:rsidR="00FB7A65" w:rsidRPr="00A52AB8" w:rsidRDefault="00FB7A65">
            <w:pPr>
              <w:spacing w:before="20" w:after="20"/>
              <w:jc w:val="center"/>
              <w:rPr>
                <w:color w:val="000000" w:themeColor="text1"/>
                <w:sz w:val="20"/>
                <w:szCs w:val="20"/>
              </w:rPr>
            </w:pPr>
          </w:p>
        </w:tc>
      </w:tr>
    </w:tbl>
    <w:p w14:paraId="5E454EBA" w14:textId="77777777" w:rsidR="002A0817" w:rsidRPr="00A52AB8" w:rsidRDefault="008F0D00" w:rsidP="005C26E9">
      <w:pPr>
        <w:pStyle w:val="Heading4"/>
      </w:pPr>
      <w:bookmarkStart w:id="719" w:name="_Toc986586"/>
      <w:bookmarkStart w:id="720" w:name="_Toc1001126"/>
      <w:bookmarkStart w:id="721" w:name="_Toc1001663"/>
      <w:bookmarkStart w:id="722" w:name="_Toc1002477"/>
      <w:bookmarkStart w:id="723" w:name="_Toc1195717"/>
      <w:bookmarkStart w:id="724" w:name="_Toc1198737"/>
      <w:bookmarkStart w:id="725" w:name="_Toc1380394"/>
      <w:bookmarkStart w:id="726" w:name="_Toc1466760"/>
      <w:bookmarkStart w:id="727" w:name="_Toc1476733"/>
      <w:bookmarkStart w:id="728" w:name="_Toc1743133"/>
      <w:bookmarkStart w:id="729" w:name="_Toc1743678"/>
      <w:bookmarkStart w:id="730" w:name="_Ref38314355"/>
      <w:bookmarkEnd w:id="718"/>
      <w:bookmarkEnd w:id="719"/>
      <w:bookmarkEnd w:id="720"/>
      <w:bookmarkEnd w:id="721"/>
      <w:bookmarkEnd w:id="722"/>
      <w:bookmarkEnd w:id="723"/>
      <w:bookmarkEnd w:id="724"/>
      <w:bookmarkEnd w:id="725"/>
      <w:bookmarkEnd w:id="726"/>
      <w:bookmarkEnd w:id="727"/>
      <w:bookmarkEnd w:id="728"/>
      <w:bookmarkEnd w:id="729"/>
      <w:r w:rsidRPr="00A52AB8">
        <w:t>Atlas frame</w:t>
      </w:r>
      <w:r w:rsidR="002A0817" w:rsidRPr="00A52AB8">
        <w:t xml:space="preserve"> parameter set </w:t>
      </w:r>
      <w:r w:rsidR="005C2989" w:rsidRPr="00A52AB8">
        <w:t xml:space="preserve">RBSP </w:t>
      </w:r>
      <w:r w:rsidR="002A0817" w:rsidRPr="00A52AB8">
        <w:t>syntax</w:t>
      </w:r>
      <w:bookmarkEnd w:id="730"/>
    </w:p>
    <w:p w14:paraId="23EA2AC3" w14:textId="77777777" w:rsidR="00BF1A6C" w:rsidRPr="00A52AB8" w:rsidRDefault="00BF1A6C" w:rsidP="001000BF">
      <w:pPr>
        <w:pStyle w:val="Heading5"/>
      </w:pPr>
      <w:r w:rsidRPr="00A52AB8">
        <w:t>General atlas frame parameter set RBSP syntax</w:t>
      </w:r>
    </w:p>
    <w:tbl>
      <w:tblPr>
        <w:tblStyle w:val="TableGrid"/>
        <w:tblW w:w="5000" w:type="pct"/>
        <w:tblLook w:val="04A0" w:firstRow="1" w:lastRow="0" w:firstColumn="1" w:lastColumn="0" w:noHBand="0" w:noVBand="1"/>
      </w:tblPr>
      <w:tblGrid>
        <w:gridCol w:w="8411"/>
        <w:gridCol w:w="1331"/>
      </w:tblGrid>
      <w:tr w:rsidR="002A0817" w:rsidRPr="00A52AB8" w14:paraId="7793E717" w14:textId="77777777" w:rsidTr="004A6049">
        <w:tc>
          <w:tcPr>
            <w:tcW w:w="8411" w:type="dxa"/>
          </w:tcPr>
          <w:p w14:paraId="6977489D" w14:textId="4206975A" w:rsidR="002A0817" w:rsidRPr="00A52AB8" w:rsidRDefault="00DD23CD">
            <w:pPr>
              <w:spacing w:before="20" w:after="20"/>
              <w:rPr>
                <w:color w:val="000000" w:themeColor="text1"/>
                <w:sz w:val="20"/>
                <w:szCs w:val="20"/>
              </w:rPr>
            </w:pPr>
            <w:r w:rsidRPr="00A52AB8">
              <w:rPr>
                <w:bCs/>
                <w:color w:val="000000" w:themeColor="text1"/>
                <w:sz w:val="20"/>
                <w:szCs w:val="20"/>
              </w:rPr>
              <w:t>atlas_frame</w:t>
            </w:r>
            <w:r w:rsidR="002A0817" w:rsidRPr="00A52AB8">
              <w:rPr>
                <w:bCs/>
                <w:color w:val="000000" w:themeColor="text1"/>
                <w:sz w:val="20"/>
                <w:szCs w:val="20"/>
              </w:rPr>
              <w:t>_parameter_set</w:t>
            </w:r>
            <w:r w:rsidR="005C2989" w:rsidRPr="00A52AB8">
              <w:rPr>
                <w:bCs/>
                <w:color w:val="000000" w:themeColor="text1"/>
                <w:sz w:val="20"/>
                <w:szCs w:val="20"/>
              </w:rPr>
              <w:t>_rbsp</w:t>
            </w:r>
            <w:r w:rsidR="002A0817" w:rsidRPr="00A52AB8">
              <w:rPr>
                <w:color w:val="000000" w:themeColor="text1"/>
                <w:sz w:val="20"/>
                <w:szCs w:val="20"/>
              </w:rPr>
              <w:t>( </w:t>
            </w:r>
            <w:r w:rsidR="008F1F82" w:rsidRPr="00A52AB8">
              <w:rPr>
                <w:color w:val="000000" w:themeColor="text1"/>
                <w:sz w:val="20"/>
                <w:szCs w:val="20"/>
              </w:rPr>
              <w:t>) {</w:t>
            </w:r>
          </w:p>
        </w:tc>
        <w:tc>
          <w:tcPr>
            <w:tcW w:w="1331" w:type="dxa"/>
          </w:tcPr>
          <w:p w14:paraId="20299DB5" w14:textId="77777777" w:rsidR="002A0817" w:rsidRPr="00A52AB8" w:rsidRDefault="002A0817">
            <w:pPr>
              <w:spacing w:before="20" w:after="20"/>
              <w:jc w:val="center"/>
              <w:rPr>
                <w:b/>
                <w:color w:val="000000" w:themeColor="text1"/>
                <w:sz w:val="20"/>
                <w:szCs w:val="20"/>
              </w:rPr>
            </w:pPr>
            <w:r w:rsidRPr="00A52AB8">
              <w:rPr>
                <w:b/>
                <w:color w:val="000000" w:themeColor="text1"/>
                <w:sz w:val="20"/>
                <w:szCs w:val="20"/>
              </w:rPr>
              <w:t>Descriptor</w:t>
            </w:r>
          </w:p>
        </w:tc>
      </w:tr>
      <w:tr w:rsidR="00305B0F" w:rsidRPr="00A52AB8" w14:paraId="56FBEE06" w14:textId="77777777" w:rsidTr="004A6049">
        <w:tc>
          <w:tcPr>
            <w:tcW w:w="8411" w:type="dxa"/>
          </w:tcPr>
          <w:p w14:paraId="0015625B" w14:textId="77777777" w:rsidR="00305B0F" w:rsidRPr="00A52AB8" w:rsidRDefault="00305B0F">
            <w:pPr>
              <w:spacing w:before="20" w:after="20"/>
              <w:rPr>
                <w:b/>
                <w:color w:val="000000" w:themeColor="text1"/>
                <w:sz w:val="20"/>
                <w:szCs w:val="20"/>
              </w:rPr>
            </w:pPr>
            <w:r w:rsidRPr="00A52AB8">
              <w:rPr>
                <w:b/>
                <w:color w:val="000000" w:themeColor="text1"/>
                <w:sz w:val="20"/>
                <w:szCs w:val="20"/>
              </w:rPr>
              <w:tab/>
            </w:r>
            <w:r w:rsidR="008F0D00" w:rsidRPr="00A52AB8">
              <w:rPr>
                <w:b/>
                <w:color w:val="000000" w:themeColor="text1"/>
                <w:sz w:val="20"/>
                <w:szCs w:val="20"/>
              </w:rPr>
              <w:t>afps_</w:t>
            </w:r>
            <w:r w:rsidR="00DD23CD" w:rsidRPr="00A52AB8">
              <w:rPr>
                <w:b/>
                <w:color w:val="000000" w:themeColor="text1"/>
                <w:sz w:val="20"/>
                <w:szCs w:val="20"/>
              </w:rPr>
              <w:t>atlas_frame</w:t>
            </w:r>
            <w:r w:rsidRPr="00A52AB8">
              <w:rPr>
                <w:b/>
                <w:color w:val="000000" w:themeColor="text1"/>
                <w:sz w:val="20"/>
                <w:szCs w:val="20"/>
              </w:rPr>
              <w:t>_parameter_set_id</w:t>
            </w:r>
          </w:p>
        </w:tc>
        <w:tc>
          <w:tcPr>
            <w:tcW w:w="1331" w:type="dxa"/>
          </w:tcPr>
          <w:p w14:paraId="4F6B006B" w14:textId="77777777" w:rsidR="00305B0F" w:rsidRPr="00A52AB8" w:rsidRDefault="00305B0F">
            <w:pPr>
              <w:spacing w:before="20" w:after="20"/>
              <w:jc w:val="center"/>
              <w:rPr>
                <w:color w:val="000000" w:themeColor="text1"/>
                <w:sz w:val="20"/>
                <w:szCs w:val="20"/>
              </w:rPr>
            </w:pPr>
            <w:r w:rsidRPr="00A52AB8">
              <w:rPr>
                <w:color w:val="000000" w:themeColor="text1"/>
                <w:sz w:val="20"/>
                <w:szCs w:val="20"/>
              </w:rPr>
              <w:t>ue(v)</w:t>
            </w:r>
          </w:p>
        </w:tc>
      </w:tr>
      <w:tr w:rsidR="002A0817" w:rsidRPr="00A52AB8" w14:paraId="0E4B6FE0" w14:textId="77777777" w:rsidTr="004A6049">
        <w:tc>
          <w:tcPr>
            <w:tcW w:w="8411" w:type="dxa"/>
          </w:tcPr>
          <w:p w14:paraId="19E74BE7" w14:textId="77777777" w:rsidR="002A0817" w:rsidRPr="00A52AB8" w:rsidRDefault="002A0817">
            <w:pPr>
              <w:spacing w:before="20" w:after="20"/>
              <w:rPr>
                <w:b/>
                <w:color w:val="000000" w:themeColor="text1"/>
                <w:sz w:val="20"/>
                <w:szCs w:val="20"/>
              </w:rPr>
            </w:pPr>
            <w:r w:rsidRPr="00A52AB8">
              <w:rPr>
                <w:b/>
                <w:color w:val="000000" w:themeColor="text1"/>
                <w:sz w:val="20"/>
                <w:szCs w:val="20"/>
              </w:rPr>
              <w:tab/>
            </w:r>
            <w:r w:rsidR="008F0D00" w:rsidRPr="00A52AB8">
              <w:rPr>
                <w:b/>
                <w:color w:val="000000" w:themeColor="text1"/>
                <w:sz w:val="20"/>
                <w:szCs w:val="20"/>
              </w:rPr>
              <w:t>afps_</w:t>
            </w:r>
            <w:r w:rsidR="00175BB0" w:rsidRPr="00A52AB8">
              <w:rPr>
                <w:b/>
                <w:color w:val="000000" w:themeColor="text1"/>
                <w:sz w:val="20"/>
                <w:szCs w:val="20"/>
              </w:rPr>
              <w:t>atlas_sequence</w:t>
            </w:r>
            <w:r w:rsidRPr="00A52AB8">
              <w:rPr>
                <w:b/>
                <w:color w:val="000000" w:themeColor="text1"/>
                <w:sz w:val="20"/>
                <w:szCs w:val="20"/>
              </w:rPr>
              <w:t>_parameter_set_id</w:t>
            </w:r>
          </w:p>
        </w:tc>
        <w:tc>
          <w:tcPr>
            <w:tcW w:w="1331" w:type="dxa"/>
          </w:tcPr>
          <w:p w14:paraId="595789B9" w14:textId="77777777" w:rsidR="002A0817" w:rsidRPr="00A52AB8" w:rsidRDefault="002A0817">
            <w:pPr>
              <w:spacing w:before="20" w:after="20"/>
              <w:jc w:val="center"/>
              <w:rPr>
                <w:color w:val="000000" w:themeColor="text1"/>
                <w:sz w:val="20"/>
                <w:szCs w:val="20"/>
              </w:rPr>
            </w:pPr>
            <w:r w:rsidRPr="00A52AB8">
              <w:rPr>
                <w:color w:val="000000" w:themeColor="text1"/>
                <w:sz w:val="20"/>
                <w:szCs w:val="20"/>
              </w:rPr>
              <w:t>ue(v)</w:t>
            </w:r>
          </w:p>
        </w:tc>
      </w:tr>
      <w:tr w:rsidR="0052103C" w:rsidRPr="00A52AB8" w14:paraId="351EF464" w14:textId="77777777" w:rsidTr="004A6049">
        <w:tc>
          <w:tcPr>
            <w:tcW w:w="8411" w:type="dxa"/>
          </w:tcPr>
          <w:p w14:paraId="7F0FACE7" w14:textId="77777777" w:rsidR="0052103C" w:rsidRPr="00A52AB8" w:rsidRDefault="0052103C">
            <w:pPr>
              <w:spacing w:before="20" w:after="20"/>
              <w:rPr>
                <w:b/>
                <w:color w:val="000000" w:themeColor="text1"/>
                <w:sz w:val="20"/>
                <w:szCs w:val="20"/>
              </w:rPr>
            </w:pPr>
            <w:r w:rsidRPr="00A52AB8">
              <w:rPr>
                <w:b/>
                <w:bCs/>
                <w:sz w:val="20"/>
                <w:szCs w:val="20"/>
              </w:rPr>
              <w:tab/>
            </w:r>
            <w:r w:rsidR="00DD23CD" w:rsidRPr="00A52AB8">
              <w:rPr>
                <w:bCs/>
                <w:color w:val="000000" w:themeColor="text1"/>
                <w:sz w:val="20"/>
                <w:szCs w:val="20"/>
              </w:rPr>
              <w:t>atlas_frame</w:t>
            </w:r>
            <w:r w:rsidR="00B51DB2" w:rsidRPr="00A52AB8">
              <w:rPr>
                <w:bCs/>
                <w:color w:val="000000" w:themeColor="text1"/>
                <w:sz w:val="20"/>
                <w:szCs w:val="20"/>
              </w:rPr>
              <w:t>_tile_</w:t>
            </w:r>
            <w:r w:rsidR="00DA3C5F" w:rsidRPr="00A52AB8">
              <w:rPr>
                <w:bCs/>
                <w:color w:val="000000" w:themeColor="text1"/>
                <w:sz w:val="20"/>
                <w:szCs w:val="20"/>
              </w:rPr>
              <w:t>information</w:t>
            </w:r>
            <w:r w:rsidR="00B51DB2" w:rsidRPr="00A52AB8">
              <w:rPr>
                <w:bCs/>
                <w:color w:val="000000" w:themeColor="text1"/>
                <w:sz w:val="20"/>
                <w:szCs w:val="20"/>
              </w:rPr>
              <w:t>(</w:t>
            </w:r>
            <w:r w:rsidR="00162963" w:rsidRPr="00A52AB8">
              <w:rPr>
                <w:bCs/>
                <w:color w:val="000000" w:themeColor="text1"/>
                <w:sz w:val="20"/>
                <w:szCs w:val="20"/>
              </w:rPr>
              <w:t> </w:t>
            </w:r>
            <w:r w:rsidR="00B51DB2" w:rsidRPr="00A52AB8">
              <w:rPr>
                <w:bCs/>
                <w:color w:val="000000" w:themeColor="text1"/>
                <w:sz w:val="20"/>
                <w:szCs w:val="20"/>
              </w:rPr>
              <w:t>)</w:t>
            </w:r>
          </w:p>
        </w:tc>
        <w:tc>
          <w:tcPr>
            <w:tcW w:w="1331" w:type="dxa"/>
          </w:tcPr>
          <w:p w14:paraId="17691388" w14:textId="77777777" w:rsidR="0052103C" w:rsidRPr="00A52AB8" w:rsidRDefault="0052103C">
            <w:pPr>
              <w:spacing w:before="20" w:after="20"/>
              <w:jc w:val="center"/>
              <w:rPr>
                <w:color w:val="000000" w:themeColor="text1"/>
                <w:sz w:val="20"/>
                <w:szCs w:val="20"/>
              </w:rPr>
            </w:pPr>
          </w:p>
        </w:tc>
      </w:tr>
      <w:tr w:rsidR="008B4166" w:rsidRPr="00A52AB8" w14:paraId="7E0762CF" w14:textId="77777777" w:rsidTr="004A6049">
        <w:tc>
          <w:tcPr>
            <w:tcW w:w="8411" w:type="dxa"/>
          </w:tcPr>
          <w:p w14:paraId="7F926BB4" w14:textId="77777777" w:rsidR="008B4166" w:rsidRPr="00A52AB8" w:rsidRDefault="008B4166">
            <w:pPr>
              <w:spacing w:before="20" w:after="20"/>
              <w:rPr>
                <w:color w:val="000000" w:themeColor="text1"/>
                <w:sz w:val="20"/>
                <w:szCs w:val="20"/>
              </w:rPr>
            </w:pPr>
            <w:r w:rsidRPr="00A52AB8">
              <w:rPr>
                <w:b/>
                <w:bCs/>
                <w:color w:val="000000" w:themeColor="text1"/>
                <w:sz w:val="20"/>
                <w:szCs w:val="20"/>
              </w:rPr>
              <w:tab/>
              <w:t>afps_</w:t>
            </w:r>
            <w:r w:rsidRPr="00A52AB8">
              <w:rPr>
                <w:b/>
                <w:color w:val="000000" w:themeColor="text1"/>
                <w:sz w:val="20"/>
                <w:szCs w:val="20"/>
              </w:rPr>
              <w:t>output_flag_present_flag</w:t>
            </w:r>
          </w:p>
        </w:tc>
        <w:tc>
          <w:tcPr>
            <w:tcW w:w="1331" w:type="dxa"/>
          </w:tcPr>
          <w:p w14:paraId="2F3ACE41" w14:textId="77777777" w:rsidR="008B4166" w:rsidRPr="00A52AB8" w:rsidRDefault="008B4166">
            <w:pPr>
              <w:spacing w:before="20" w:after="20"/>
              <w:jc w:val="center"/>
              <w:rPr>
                <w:color w:val="000000" w:themeColor="text1"/>
                <w:sz w:val="20"/>
                <w:szCs w:val="20"/>
              </w:rPr>
            </w:pPr>
            <w:r w:rsidRPr="00A52AB8">
              <w:rPr>
                <w:color w:val="000000" w:themeColor="text1"/>
                <w:sz w:val="20"/>
                <w:szCs w:val="20"/>
              </w:rPr>
              <w:t>u(1)</w:t>
            </w:r>
          </w:p>
        </w:tc>
      </w:tr>
      <w:tr w:rsidR="00D24D75" w:rsidRPr="00A52AB8" w14:paraId="6C1C8225" w14:textId="77777777" w:rsidTr="004A6049">
        <w:tc>
          <w:tcPr>
            <w:tcW w:w="8411" w:type="dxa"/>
          </w:tcPr>
          <w:p w14:paraId="7C669F2C" w14:textId="77777777" w:rsidR="00D24D75" w:rsidRPr="00A52AB8" w:rsidRDefault="00D24D75">
            <w:pPr>
              <w:spacing w:before="20" w:after="20"/>
              <w:rPr>
                <w:color w:val="000000" w:themeColor="text1"/>
                <w:sz w:val="20"/>
                <w:szCs w:val="20"/>
              </w:rPr>
            </w:pPr>
            <w:r w:rsidRPr="00A52AB8">
              <w:rPr>
                <w:sz w:val="20"/>
                <w:szCs w:val="20"/>
              </w:rPr>
              <w:tab/>
            </w:r>
            <w:r w:rsidR="008F0D00" w:rsidRPr="00A52AB8">
              <w:rPr>
                <w:b/>
                <w:sz w:val="20"/>
                <w:szCs w:val="20"/>
              </w:rPr>
              <w:t>afps_</w:t>
            </w:r>
            <w:r w:rsidRPr="00A52AB8">
              <w:rPr>
                <w:b/>
                <w:sz w:val="20"/>
                <w:szCs w:val="20"/>
              </w:rPr>
              <w:t>num_ref_idx_default_active_minus1</w:t>
            </w:r>
          </w:p>
        </w:tc>
        <w:tc>
          <w:tcPr>
            <w:tcW w:w="1331" w:type="dxa"/>
          </w:tcPr>
          <w:p w14:paraId="07F5647B" w14:textId="77777777" w:rsidR="00D24D75" w:rsidRPr="00A52AB8" w:rsidRDefault="00D24D75">
            <w:pPr>
              <w:spacing w:before="20" w:after="20"/>
              <w:jc w:val="center"/>
              <w:rPr>
                <w:color w:val="000000" w:themeColor="text1"/>
                <w:sz w:val="20"/>
                <w:szCs w:val="20"/>
              </w:rPr>
            </w:pPr>
            <w:r w:rsidRPr="00A52AB8">
              <w:rPr>
                <w:sz w:val="20"/>
                <w:szCs w:val="20"/>
              </w:rPr>
              <w:t>ue(v)</w:t>
            </w:r>
          </w:p>
        </w:tc>
      </w:tr>
      <w:tr w:rsidR="00D24D75" w:rsidRPr="00A52AB8" w14:paraId="0E8E7297" w14:textId="77777777" w:rsidTr="004A6049">
        <w:tc>
          <w:tcPr>
            <w:tcW w:w="8411" w:type="dxa"/>
          </w:tcPr>
          <w:p w14:paraId="1CB9BFE0" w14:textId="77777777" w:rsidR="00D24D75" w:rsidRPr="00A52AB8" w:rsidRDefault="00D24D75">
            <w:pPr>
              <w:spacing w:before="20" w:after="20"/>
              <w:rPr>
                <w:color w:val="000000" w:themeColor="text1"/>
                <w:sz w:val="20"/>
                <w:szCs w:val="20"/>
              </w:rPr>
            </w:pPr>
            <w:r w:rsidRPr="00A52AB8">
              <w:rPr>
                <w:bCs/>
                <w:sz w:val="20"/>
                <w:szCs w:val="20"/>
              </w:rPr>
              <w:tab/>
            </w:r>
            <w:r w:rsidR="008F0D00" w:rsidRPr="00A52AB8">
              <w:rPr>
                <w:b/>
                <w:bCs/>
                <w:sz w:val="20"/>
                <w:szCs w:val="20"/>
              </w:rPr>
              <w:t>afps_</w:t>
            </w:r>
            <w:r w:rsidRPr="00A52AB8">
              <w:rPr>
                <w:b/>
                <w:bCs/>
                <w:sz w:val="20"/>
                <w:szCs w:val="20"/>
              </w:rPr>
              <w:t>additional_lt_</w:t>
            </w:r>
            <w:r w:rsidR="00DD23CD" w:rsidRPr="00A52AB8">
              <w:rPr>
                <w:b/>
                <w:bCs/>
                <w:sz w:val="20"/>
                <w:szCs w:val="20"/>
              </w:rPr>
              <w:t>afoc</w:t>
            </w:r>
            <w:r w:rsidRPr="00A52AB8">
              <w:rPr>
                <w:b/>
                <w:bCs/>
                <w:sz w:val="20"/>
                <w:szCs w:val="20"/>
              </w:rPr>
              <w:t>_lsb_len</w:t>
            </w:r>
          </w:p>
        </w:tc>
        <w:tc>
          <w:tcPr>
            <w:tcW w:w="1331" w:type="dxa"/>
          </w:tcPr>
          <w:p w14:paraId="1D02C6B9" w14:textId="77777777" w:rsidR="00D24D75" w:rsidRPr="00A52AB8" w:rsidRDefault="00D24D75">
            <w:pPr>
              <w:spacing w:before="20" w:after="20"/>
              <w:jc w:val="center"/>
              <w:rPr>
                <w:color w:val="000000" w:themeColor="text1"/>
                <w:sz w:val="20"/>
                <w:szCs w:val="20"/>
              </w:rPr>
            </w:pPr>
            <w:r w:rsidRPr="00A52AB8">
              <w:rPr>
                <w:sz w:val="20"/>
                <w:szCs w:val="20"/>
              </w:rPr>
              <w:t>ue(v)</w:t>
            </w:r>
          </w:p>
        </w:tc>
      </w:tr>
      <w:tr w:rsidR="00E3571F" w:rsidRPr="00A52AB8" w14:paraId="6422A9B3" w14:textId="77777777" w:rsidTr="004A6049">
        <w:tc>
          <w:tcPr>
            <w:tcW w:w="8411" w:type="dxa"/>
          </w:tcPr>
          <w:p w14:paraId="09CEB3FF" w14:textId="77777777" w:rsidR="00E3571F" w:rsidRPr="00A52AB8" w:rsidRDefault="00E3571F">
            <w:pPr>
              <w:spacing w:before="20" w:after="20"/>
              <w:jc w:val="left"/>
              <w:rPr>
                <w:b/>
                <w:color w:val="000000" w:themeColor="text1"/>
                <w:sz w:val="20"/>
                <w:szCs w:val="20"/>
              </w:rPr>
            </w:pPr>
            <w:r w:rsidRPr="00A52AB8">
              <w:rPr>
                <w:b/>
                <w:color w:val="000000" w:themeColor="text1"/>
                <w:sz w:val="20"/>
                <w:szCs w:val="20"/>
              </w:rPr>
              <w:tab/>
              <w:t>afps_lod_mode_enabled_flag</w:t>
            </w:r>
          </w:p>
        </w:tc>
        <w:tc>
          <w:tcPr>
            <w:tcW w:w="1331" w:type="dxa"/>
          </w:tcPr>
          <w:p w14:paraId="59DBE665" w14:textId="77777777" w:rsidR="00E3571F" w:rsidRPr="00A52AB8" w:rsidRDefault="00E3571F">
            <w:pPr>
              <w:spacing w:before="20" w:after="20"/>
              <w:jc w:val="center"/>
              <w:rPr>
                <w:color w:val="000000" w:themeColor="text1"/>
                <w:sz w:val="20"/>
                <w:szCs w:val="20"/>
              </w:rPr>
            </w:pPr>
            <w:r w:rsidRPr="00A52AB8">
              <w:rPr>
                <w:color w:val="000000" w:themeColor="text1"/>
                <w:sz w:val="20"/>
                <w:szCs w:val="20"/>
              </w:rPr>
              <w:t>u(1)</w:t>
            </w:r>
          </w:p>
        </w:tc>
      </w:tr>
      <w:tr w:rsidR="001126A7" w:rsidRPr="00A52AB8" w14:paraId="312E849C" w14:textId="77777777" w:rsidTr="004A6049">
        <w:tc>
          <w:tcPr>
            <w:tcW w:w="8411" w:type="dxa"/>
          </w:tcPr>
          <w:p w14:paraId="20D51F48" w14:textId="77777777" w:rsidR="001126A7" w:rsidRPr="00A52AB8" w:rsidRDefault="001126A7">
            <w:pPr>
              <w:spacing w:before="20" w:after="20"/>
              <w:rPr>
                <w:b/>
                <w:color w:val="000000" w:themeColor="text1"/>
                <w:sz w:val="20"/>
                <w:szCs w:val="20"/>
              </w:rPr>
            </w:pPr>
            <w:r w:rsidRPr="00A52AB8">
              <w:rPr>
                <w:color w:val="000000" w:themeColor="text1"/>
                <w:sz w:val="20"/>
                <w:szCs w:val="20"/>
              </w:rPr>
              <w:tab/>
            </w:r>
            <w:r w:rsidRPr="00A52AB8">
              <w:rPr>
                <w:b/>
                <w:color w:val="000000" w:themeColor="text1"/>
                <w:sz w:val="20"/>
                <w:szCs w:val="20"/>
              </w:rPr>
              <w:t>afps_raw_</w:t>
            </w:r>
            <w:r w:rsidR="00E30FA4" w:rsidRPr="00A52AB8">
              <w:rPr>
                <w:b/>
                <w:color w:val="000000" w:themeColor="text1"/>
                <w:sz w:val="20"/>
                <w:szCs w:val="20"/>
              </w:rPr>
              <w:t>3d_offset_</w:t>
            </w:r>
            <w:r w:rsidRPr="00A52AB8">
              <w:rPr>
                <w:b/>
                <w:color w:val="000000" w:themeColor="text1"/>
                <w:sz w:val="20"/>
                <w:szCs w:val="20"/>
              </w:rPr>
              <w:t>bit_count_explicit_mode_flag</w:t>
            </w:r>
          </w:p>
        </w:tc>
        <w:tc>
          <w:tcPr>
            <w:tcW w:w="1331" w:type="dxa"/>
          </w:tcPr>
          <w:p w14:paraId="2B1DCC2C" w14:textId="77777777" w:rsidR="001126A7" w:rsidRPr="00A52AB8" w:rsidRDefault="001126A7">
            <w:pPr>
              <w:spacing w:before="20" w:after="20"/>
              <w:jc w:val="center"/>
              <w:rPr>
                <w:color w:val="000000" w:themeColor="text1"/>
                <w:sz w:val="20"/>
                <w:szCs w:val="20"/>
              </w:rPr>
            </w:pPr>
            <w:r w:rsidRPr="00A52AB8">
              <w:rPr>
                <w:color w:val="000000" w:themeColor="text1"/>
                <w:sz w:val="20"/>
                <w:szCs w:val="20"/>
              </w:rPr>
              <w:t>u(1)</w:t>
            </w:r>
          </w:p>
        </w:tc>
      </w:tr>
      <w:tr w:rsidR="00523FEE" w:rsidRPr="00A52AB8" w14:paraId="5E214FC8" w14:textId="77777777" w:rsidTr="004A6049">
        <w:tc>
          <w:tcPr>
            <w:tcW w:w="8411" w:type="dxa"/>
          </w:tcPr>
          <w:p w14:paraId="60A2193B" w14:textId="77777777" w:rsidR="00523FEE" w:rsidRPr="00A52AB8" w:rsidRDefault="00523FEE">
            <w:pPr>
              <w:spacing w:before="20" w:after="20"/>
              <w:rPr>
                <w:sz w:val="20"/>
                <w:szCs w:val="20"/>
              </w:rPr>
            </w:pPr>
            <w:r w:rsidRPr="00A52AB8">
              <w:rPr>
                <w:sz w:val="20"/>
                <w:szCs w:val="20"/>
              </w:rPr>
              <w:tab/>
            </w:r>
            <w:r w:rsidRPr="00A52AB8">
              <w:rPr>
                <w:b/>
                <w:sz w:val="20"/>
                <w:szCs w:val="20"/>
              </w:rPr>
              <w:t>afps_</w:t>
            </w:r>
            <w:r w:rsidR="00374BB6" w:rsidRPr="00A52AB8">
              <w:rPr>
                <w:b/>
                <w:sz w:val="20"/>
                <w:szCs w:val="20"/>
              </w:rPr>
              <w:t>extension_</w:t>
            </w:r>
            <w:r w:rsidR="00F431FA" w:rsidRPr="00A52AB8">
              <w:rPr>
                <w:b/>
                <w:sz w:val="20"/>
                <w:szCs w:val="20"/>
              </w:rPr>
              <w:t>present_</w:t>
            </w:r>
            <w:r w:rsidR="00374BB6" w:rsidRPr="00A52AB8">
              <w:rPr>
                <w:b/>
                <w:sz w:val="20"/>
                <w:szCs w:val="20"/>
              </w:rPr>
              <w:t>flag</w:t>
            </w:r>
          </w:p>
        </w:tc>
        <w:tc>
          <w:tcPr>
            <w:tcW w:w="1331" w:type="dxa"/>
          </w:tcPr>
          <w:p w14:paraId="45AECDFD" w14:textId="77777777" w:rsidR="00523FEE" w:rsidRPr="00A52AB8" w:rsidRDefault="00523FEE">
            <w:pPr>
              <w:spacing w:before="20" w:after="20"/>
              <w:jc w:val="center"/>
              <w:rPr>
                <w:sz w:val="20"/>
                <w:szCs w:val="20"/>
              </w:rPr>
            </w:pPr>
            <w:r w:rsidRPr="00A52AB8">
              <w:rPr>
                <w:sz w:val="20"/>
                <w:szCs w:val="20"/>
              </w:rPr>
              <w:t>u(1)</w:t>
            </w:r>
          </w:p>
        </w:tc>
      </w:tr>
      <w:tr w:rsidR="007C403E" w:rsidRPr="00A52AB8" w14:paraId="7C40FED9" w14:textId="77777777" w:rsidTr="004A6049">
        <w:tc>
          <w:tcPr>
            <w:tcW w:w="8411" w:type="dxa"/>
          </w:tcPr>
          <w:p w14:paraId="3EFE8293" w14:textId="753C2B90" w:rsidR="007C403E" w:rsidRPr="00A52AB8" w:rsidRDefault="007C403E" w:rsidP="001B0754">
            <w:pPr>
              <w:spacing w:before="20" w:after="20"/>
              <w:rPr>
                <w:sz w:val="20"/>
                <w:szCs w:val="20"/>
              </w:rPr>
            </w:pPr>
            <w:r w:rsidRPr="00A52AB8">
              <w:rPr>
                <w:sz w:val="20"/>
                <w:szCs w:val="20"/>
              </w:rPr>
              <w:tab/>
              <w:t>if( afps_extension_</w:t>
            </w:r>
            <w:r w:rsidR="00F431FA" w:rsidRPr="00A52AB8">
              <w:rPr>
                <w:sz w:val="20"/>
                <w:szCs w:val="20"/>
              </w:rPr>
              <w:t>present_</w:t>
            </w:r>
            <w:r w:rsidRPr="00A52AB8">
              <w:rPr>
                <w:sz w:val="20"/>
                <w:szCs w:val="20"/>
              </w:rPr>
              <w:t>flag</w:t>
            </w:r>
            <w:r w:rsidRPr="00A52AB8">
              <w:rPr>
                <w:bCs/>
                <w:color w:val="000000" w:themeColor="text1"/>
                <w:sz w:val="20"/>
                <w:szCs w:val="20"/>
              </w:rPr>
              <w:t> </w:t>
            </w:r>
            <w:r w:rsidRPr="00A52AB8">
              <w:rPr>
                <w:sz w:val="20"/>
                <w:szCs w:val="20"/>
              </w:rPr>
              <w:t>)</w:t>
            </w:r>
          </w:p>
        </w:tc>
        <w:tc>
          <w:tcPr>
            <w:tcW w:w="1331" w:type="dxa"/>
          </w:tcPr>
          <w:p w14:paraId="44E40FDA" w14:textId="77777777" w:rsidR="007C403E" w:rsidRPr="00A52AB8" w:rsidRDefault="007C403E" w:rsidP="001B0754">
            <w:pPr>
              <w:spacing w:before="20" w:after="20"/>
              <w:jc w:val="center"/>
              <w:rPr>
                <w:sz w:val="20"/>
                <w:szCs w:val="20"/>
              </w:rPr>
            </w:pPr>
          </w:p>
        </w:tc>
      </w:tr>
      <w:tr w:rsidR="007C403E" w:rsidRPr="00A52AB8" w14:paraId="27712542" w14:textId="77777777" w:rsidTr="004A6049">
        <w:tc>
          <w:tcPr>
            <w:tcW w:w="8411" w:type="dxa"/>
          </w:tcPr>
          <w:p w14:paraId="0448080F" w14:textId="6AC012B4" w:rsidR="007C403E" w:rsidRPr="00A52AB8" w:rsidRDefault="007C403E" w:rsidP="001B0754">
            <w:pPr>
              <w:spacing w:before="20" w:after="20"/>
              <w:rPr>
                <w:b/>
                <w:bCs/>
                <w:sz w:val="20"/>
                <w:szCs w:val="20"/>
              </w:rPr>
            </w:pPr>
            <w:r w:rsidRPr="00A52AB8">
              <w:rPr>
                <w:sz w:val="20"/>
                <w:szCs w:val="20"/>
              </w:rPr>
              <w:tab/>
            </w:r>
            <w:r w:rsidRPr="00A52AB8">
              <w:rPr>
                <w:sz w:val="20"/>
                <w:szCs w:val="20"/>
              </w:rPr>
              <w:tab/>
            </w:r>
            <w:r w:rsidRPr="00A52AB8">
              <w:rPr>
                <w:b/>
                <w:bCs/>
                <w:sz w:val="20"/>
                <w:szCs w:val="20"/>
              </w:rPr>
              <w:t>afps_extension_</w:t>
            </w:r>
            <w:r w:rsidR="004B7172" w:rsidRPr="00A52AB8">
              <w:rPr>
                <w:b/>
                <w:bCs/>
                <w:sz w:val="20"/>
                <w:szCs w:val="20"/>
              </w:rPr>
              <w:t>8</w:t>
            </w:r>
            <w:r w:rsidRPr="00A52AB8">
              <w:rPr>
                <w:b/>
                <w:bCs/>
                <w:sz w:val="20"/>
                <w:szCs w:val="20"/>
              </w:rPr>
              <w:t>bits</w:t>
            </w:r>
          </w:p>
        </w:tc>
        <w:tc>
          <w:tcPr>
            <w:tcW w:w="1331" w:type="dxa"/>
          </w:tcPr>
          <w:p w14:paraId="5A69C9D7" w14:textId="659A7428" w:rsidR="007C403E" w:rsidRPr="00A52AB8" w:rsidRDefault="00BC1D63" w:rsidP="001B0754">
            <w:pPr>
              <w:spacing w:before="20" w:after="20"/>
              <w:jc w:val="center"/>
              <w:rPr>
                <w:sz w:val="20"/>
                <w:szCs w:val="20"/>
              </w:rPr>
            </w:pPr>
            <w:r w:rsidRPr="00A52AB8">
              <w:rPr>
                <w:sz w:val="20"/>
                <w:szCs w:val="20"/>
              </w:rPr>
              <w:t>u(</w:t>
            </w:r>
            <w:r w:rsidR="004B7172" w:rsidRPr="00A52AB8">
              <w:rPr>
                <w:sz w:val="20"/>
                <w:szCs w:val="20"/>
              </w:rPr>
              <w:t>8</w:t>
            </w:r>
            <w:r w:rsidRPr="00A52AB8">
              <w:rPr>
                <w:sz w:val="20"/>
                <w:szCs w:val="20"/>
              </w:rPr>
              <w:t>)</w:t>
            </w:r>
          </w:p>
        </w:tc>
      </w:tr>
      <w:tr w:rsidR="00523FEE" w:rsidRPr="00A52AB8" w14:paraId="6A3699A0" w14:textId="77777777" w:rsidTr="004A6049">
        <w:tc>
          <w:tcPr>
            <w:tcW w:w="8411" w:type="dxa"/>
          </w:tcPr>
          <w:p w14:paraId="53FA8C1F" w14:textId="3411C6E5" w:rsidR="00523FEE" w:rsidRPr="00A52AB8" w:rsidRDefault="00523FEE">
            <w:pPr>
              <w:spacing w:before="20" w:after="20"/>
              <w:rPr>
                <w:sz w:val="20"/>
                <w:szCs w:val="20"/>
              </w:rPr>
            </w:pPr>
            <w:r w:rsidRPr="00A52AB8">
              <w:rPr>
                <w:sz w:val="20"/>
                <w:szCs w:val="20"/>
              </w:rPr>
              <w:tab/>
              <w:t>if(</w:t>
            </w:r>
            <w:r w:rsidR="00D625B3" w:rsidRPr="00A52AB8">
              <w:rPr>
                <w:bCs/>
                <w:color w:val="000000" w:themeColor="text1"/>
                <w:sz w:val="20"/>
                <w:szCs w:val="20"/>
              </w:rPr>
              <w:t> </w:t>
            </w:r>
            <w:r w:rsidR="007C403E" w:rsidRPr="00A52AB8">
              <w:rPr>
                <w:sz w:val="20"/>
                <w:szCs w:val="20"/>
              </w:rPr>
              <w:t>afps_extension_</w:t>
            </w:r>
            <w:r w:rsidR="004B7172" w:rsidRPr="00A52AB8">
              <w:rPr>
                <w:sz w:val="20"/>
                <w:szCs w:val="20"/>
              </w:rPr>
              <w:t>8</w:t>
            </w:r>
            <w:r w:rsidR="007C403E" w:rsidRPr="00A52AB8">
              <w:rPr>
                <w:sz w:val="20"/>
                <w:szCs w:val="20"/>
              </w:rPr>
              <w:t>bits</w:t>
            </w:r>
            <w:r w:rsidR="007C403E" w:rsidRPr="00A52AB8">
              <w:rPr>
                <w:bCs/>
                <w:color w:val="000000" w:themeColor="text1"/>
                <w:sz w:val="20"/>
                <w:szCs w:val="20"/>
              </w:rPr>
              <w:t> </w:t>
            </w:r>
            <w:r w:rsidRPr="00A52AB8">
              <w:rPr>
                <w:sz w:val="20"/>
                <w:szCs w:val="20"/>
              </w:rPr>
              <w:t>)</w:t>
            </w:r>
          </w:p>
        </w:tc>
        <w:tc>
          <w:tcPr>
            <w:tcW w:w="1331" w:type="dxa"/>
          </w:tcPr>
          <w:p w14:paraId="4DDE74E0" w14:textId="77777777" w:rsidR="00523FEE" w:rsidRPr="00A52AB8" w:rsidRDefault="00523FEE">
            <w:pPr>
              <w:spacing w:before="20" w:after="20"/>
              <w:jc w:val="center"/>
              <w:rPr>
                <w:sz w:val="20"/>
                <w:szCs w:val="20"/>
              </w:rPr>
            </w:pPr>
          </w:p>
        </w:tc>
      </w:tr>
      <w:tr w:rsidR="00523FEE" w:rsidRPr="00A52AB8" w14:paraId="71E58BDB" w14:textId="77777777" w:rsidTr="004A6049">
        <w:tc>
          <w:tcPr>
            <w:tcW w:w="8411" w:type="dxa"/>
          </w:tcPr>
          <w:p w14:paraId="4BB090AD" w14:textId="77777777" w:rsidR="00523FEE" w:rsidRPr="00A52AB8" w:rsidRDefault="00523FEE">
            <w:pPr>
              <w:spacing w:before="20" w:after="20"/>
              <w:rPr>
                <w:sz w:val="20"/>
                <w:szCs w:val="20"/>
              </w:rPr>
            </w:pPr>
            <w:r w:rsidRPr="00A52AB8">
              <w:rPr>
                <w:sz w:val="20"/>
                <w:szCs w:val="20"/>
              </w:rPr>
              <w:tab/>
            </w:r>
            <w:r w:rsidRPr="00A52AB8">
              <w:rPr>
                <w:sz w:val="20"/>
                <w:szCs w:val="20"/>
              </w:rPr>
              <w:tab/>
              <w:t>while(</w:t>
            </w:r>
            <w:r w:rsidR="00D625B3" w:rsidRPr="00A52AB8">
              <w:rPr>
                <w:bCs/>
                <w:color w:val="000000" w:themeColor="text1"/>
                <w:sz w:val="20"/>
                <w:szCs w:val="20"/>
              </w:rPr>
              <w:t> </w:t>
            </w:r>
            <w:r w:rsidRPr="00A52AB8">
              <w:rPr>
                <w:sz w:val="20"/>
                <w:szCs w:val="20"/>
              </w:rPr>
              <w:t>more_rbsp_data(</w:t>
            </w:r>
            <w:r w:rsidR="00D625B3" w:rsidRPr="00A52AB8">
              <w:rPr>
                <w:bCs/>
                <w:color w:val="000000" w:themeColor="text1"/>
                <w:sz w:val="20"/>
                <w:szCs w:val="20"/>
              </w:rPr>
              <w:t> </w:t>
            </w:r>
            <w:r w:rsidRPr="00A52AB8">
              <w:rPr>
                <w:sz w:val="20"/>
                <w:szCs w:val="20"/>
              </w:rPr>
              <w:t>)</w:t>
            </w:r>
            <w:r w:rsidR="00D625B3" w:rsidRPr="00A52AB8">
              <w:rPr>
                <w:bCs/>
                <w:color w:val="000000" w:themeColor="text1"/>
                <w:sz w:val="20"/>
                <w:szCs w:val="20"/>
              </w:rPr>
              <w:t> </w:t>
            </w:r>
            <w:r w:rsidRPr="00A52AB8">
              <w:rPr>
                <w:sz w:val="20"/>
                <w:szCs w:val="20"/>
              </w:rPr>
              <w:t>)</w:t>
            </w:r>
          </w:p>
        </w:tc>
        <w:tc>
          <w:tcPr>
            <w:tcW w:w="1331" w:type="dxa"/>
          </w:tcPr>
          <w:p w14:paraId="4FAB18DC" w14:textId="77777777" w:rsidR="00523FEE" w:rsidRPr="00A52AB8" w:rsidRDefault="00523FEE">
            <w:pPr>
              <w:spacing w:before="20" w:after="20"/>
              <w:jc w:val="center"/>
              <w:rPr>
                <w:sz w:val="20"/>
                <w:szCs w:val="20"/>
              </w:rPr>
            </w:pPr>
          </w:p>
        </w:tc>
      </w:tr>
      <w:tr w:rsidR="00523FEE" w:rsidRPr="00A52AB8" w14:paraId="6F60C9D3" w14:textId="77777777" w:rsidTr="004A6049">
        <w:tc>
          <w:tcPr>
            <w:tcW w:w="8411" w:type="dxa"/>
          </w:tcPr>
          <w:p w14:paraId="0E334BE5" w14:textId="77777777" w:rsidR="00523FEE" w:rsidRPr="00A52AB8" w:rsidRDefault="00523FEE">
            <w:pPr>
              <w:spacing w:before="20" w:after="20"/>
              <w:rPr>
                <w:sz w:val="20"/>
                <w:szCs w:val="20"/>
              </w:rPr>
            </w:pPr>
            <w:r w:rsidRPr="00A52AB8">
              <w:rPr>
                <w:sz w:val="20"/>
                <w:szCs w:val="20"/>
              </w:rPr>
              <w:lastRenderedPageBreak/>
              <w:tab/>
            </w:r>
            <w:r w:rsidRPr="00A52AB8">
              <w:rPr>
                <w:sz w:val="20"/>
                <w:szCs w:val="20"/>
              </w:rPr>
              <w:tab/>
            </w:r>
            <w:r w:rsidRPr="00A52AB8">
              <w:rPr>
                <w:sz w:val="20"/>
                <w:szCs w:val="20"/>
              </w:rPr>
              <w:tab/>
            </w:r>
            <w:r w:rsidRPr="00A52AB8">
              <w:rPr>
                <w:b/>
                <w:sz w:val="20"/>
                <w:szCs w:val="20"/>
              </w:rPr>
              <w:t>afps_extension_data_flag</w:t>
            </w:r>
          </w:p>
        </w:tc>
        <w:tc>
          <w:tcPr>
            <w:tcW w:w="1331" w:type="dxa"/>
          </w:tcPr>
          <w:p w14:paraId="60F34311" w14:textId="77777777" w:rsidR="00523FEE" w:rsidRPr="00A52AB8" w:rsidRDefault="00523FEE">
            <w:pPr>
              <w:spacing w:before="20" w:after="20"/>
              <w:jc w:val="center"/>
              <w:rPr>
                <w:sz w:val="20"/>
                <w:szCs w:val="20"/>
              </w:rPr>
            </w:pPr>
            <w:r w:rsidRPr="00A52AB8">
              <w:rPr>
                <w:sz w:val="20"/>
                <w:szCs w:val="20"/>
              </w:rPr>
              <w:t>u(1)</w:t>
            </w:r>
          </w:p>
        </w:tc>
      </w:tr>
      <w:tr w:rsidR="001126A7" w:rsidRPr="00A52AB8" w14:paraId="45047F4C" w14:textId="77777777" w:rsidTr="004A6049">
        <w:tc>
          <w:tcPr>
            <w:tcW w:w="8411" w:type="dxa"/>
          </w:tcPr>
          <w:p w14:paraId="6F2B9E02" w14:textId="77777777" w:rsidR="001126A7" w:rsidRPr="00A52AB8" w:rsidRDefault="001126A7">
            <w:pPr>
              <w:spacing w:before="20" w:after="20"/>
              <w:rPr>
                <w:color w:val="000000" w:themeColor="text1"/>
                <w:sz w:val="20"/>
                <w:szCs w:val="20"/>
              </w:rPr>
            </w:pPr>
            <w:r w:rsidRPr="00A52AB8">
              <w:rPr>
                <w:color w:val="000000" w:themeColor="text1"/>
                <w:sz w:val="20"/>
                <w:szCs w:val="20"/>
              </w:rPr>
              <w:tab/>
            </w:r>
            <w:r w:rsidRPr="00A52AB8">
              <w:rPr>
                <w:sz w:val="20"/>
                <w:szCs w:val="20"/>
              </w:rPr>
              <w:t>rbsp_trailing_bits</w:t>
            </w:r>
            <w:r w:rsidRPr="00A52AB8">
              <w:rPr>
                <w:color w:val="000000" w:themeColor="text1"/>
                <w:sz w:val="20"/>
                <w:szCs w:val="20"/>
              </w:rPr>
              <w:t>(</w:t>
            </w:r>
            <w:r w:rsidR="00D625B3" w:rsidRPr="00A52AB8">
              <w:rPr>
                <w:bCs/>
                <w:color w:val="000000" w:themeColor="text1"/>
                <w:sz w:val="20"/>
                <w:szCs w:val="20"/>
              </w:rPr>
              <w:t> </w:t>
            </w:r>
            <w:r w:rsidRPr="00A52AB8">
              <w:rPr>
                <w:color w:val="000000" w:themeColor="text1"/>
                <w:sz w:val="20"/>
                <w:szCs w:val="20"/>
              </w:rPr>
              <w:t>)</w:t>
            </w:r>
          </w:p>
        </w:tc>
        <w:tc>
          <w:tcPr>
            <w:tcW w:w="1331" w:type="dxa"/>
          </w:tcPr>
          <w:p w14:paraId="7759A464" w14:textId="77777777" w:rsidR="001126A7" w:rsidRPr="00A52AB8" w:rsidRDefault="001126A7">
            <w:pPr>
              <w:spacing w:before="20" w:after="20"/>
              <w:jc w:val="center"/>
              <w:rPr>
                <w:color w:val="000000" w:themeColor="text1"/>
                <w:sz w:val="20"/>
                <w:szCs w:val="20"/>
              </w:rPr>
            </w:pPr>
          </w:p>
        </w:tc>
      </w:tr>
      <w:tr w:rsidR="001126A7" w:rsidRPr="00A52AB8" w14:paraId="37FCA983" w14:textId="77777777" w:rsidTr="004A6049">
        <w:tc>
          <w:tcPr>
            <w:tcW w:w="8411" w:type="dxa"/>
          </w:tcPr>
          <w:p w14:paraId="589460E6" w14:textId="77777777" w:rsidR="001126A7" w:rsidRPr="00A52AB8" w:rsidRDefault="001126A7">
            <w:pPr>
              <w:spacing w:before="20" w:after="20"/>
              <w:rPr>
                <w:color w:val="000000" w:themeColor="text1"/>
                <w:sz w:val="20"/>
                <w:szCs w:val="20"/>
              </w:rPr>
            </w:pPr>
            <w:r w:rsidRPr="00A52AB8">
              <w:rPr>
                <w:color w:val="000000" w:themeColor="text1"/>
                <w:sz w:val="20"/>
                <w:szCs w:val="20"/>
              </w:rPr>
              <w:t>}</w:t>
            </w:r>
          </w:p>
        </w:tc>
        <w:tc>
          <w:tcPr>
            <w:tcW w:w="1331" w:type="dxa"/>
          </w:tcPr>
          <w:p w14:paraId="4F562CAC" w14:textId="77777777" w:rsidR="001126A7" w:rsidRPr="00A52AB8" w:rsidRDefault="001126A7">
            <w:pPr>
              <w:spacing w:before="20" w:after="20"/>
              <w:jc w:val="center"/>
              <w:rPr>
                <w:color w:val="000000" w:themeColor="text1"/>
                <w:sz w:val="20"/>
                <w:szCs w:val="20"/>
              </w:rPr>
            </w:pPr>
          </w:p>
        </w:tc>
      </w:tr>
    </w:tbl>
    <w:p w14:paraId="72FFD70F" w14:textId="77777777" w:rsidR="00B51DB2" w:rsidRPr="00A52AB8" w:rsidRDefault="008F0D00" w:rsidP="001000BF">
      <w:pPr>
        <w:pStyle w:val="Heading5"/>
      </w:pPr>
      <w:bookmarkStart w:id="731" w:name="_Ref39419038"/>
      <w:r w:rsidRPr="00A52AB8">
        <w:t>Atlas frame</w:t>
      </w:r>
      <w:r w:rsidR="00B51DB2" w:rsidRPr="00A52AB8">
        <w:t xml:space="preserve"> tile </w:t>
      </w:r>
      <w:r w:rsidR="00DA3C5F" w:rsidRPr="00A52AB8">
        <w:t>information</w:t>
      </w:r>
      <w:r w:rsidR="00B51DB2" w:rsidRPr="00A52AB8">
        <w:t xml:space="preserve"> syntax</w:t>
      </w:r>
      <w:bookmarkEnd w:id="731"/>
    </w:p>
    <w:tbl>
      <w:tblPr>
        <w:tblStyle w:val="TableGrid"/>
        <w:tblW w:w="5000" w:type="pct"/>
        <w:tblLook w:val="04A0" w:firstRow="1" w:lastRow="0" w:firstColumn="1" w:lastColumn="0" w:noHBand="0" w:noVBand="1"/>
      </w:tblPr>
      <w:tblGrid>
        <w:gridCol w:w="8411"/>
        <w:gridCol w:w="1331"/>
      </w:tblGrid>
      <w:tr w:rsidR="00B51DB2" w:rsidRPr="00A52AB8" w14:paraId="02EC4447" w14:textId="77777777" w:rsidTr="00A252B5">
        <w:tc>
          <w:tcPr>
            <w:tcW w:w="7921" w:type="dxa"/>
          </w:tcPr>
          <w:p w14:paraId="5BEA5DCC" w14:textId="11E936A2" w:rsidR="00B51DB2" w:rsidRPr="00A52AB8" w:rsidRDefault="00DD23CD">
            <w:pPr>
              <w:spacing w:before="20" w:after="20"/>
              <w:rPr>
                <w:color w:val="000000" w:themeColor="text1"/>
                <w:sz w:val="20"/>
                <w:szCs w:val="20"/>
              </w:rPr>
            </w:pPr>
            <w:r w:rsidRPr="00A52AB8">
              <w:rPr>
                <w:bCs/>
                <w:color w:val="000000" w:themeColor="text1"/>
                <w:sz w:val="20"/>
                <w:szCs w:val="20"/>
              </w:rPr>
              <w:t>atlas_frame</w:t>
            </w:r>
            <w:r w:rsidR="00B51DB2" w:rsidRPr="00A52AB8">
              <w:rPr>
                <w:bCs/>
                <w:color w:val="000000" w:themeColor="text1"/>
                <w:sz w:val="20"/>
                <w:szCs w:val="20"/>
              </w:rPr>
              <w:t>_tile_</w:t>
            </w:r>
            <w:r w:rsidR="00DA3C5F" w:rsidRPr="00A52AB8">
              <w:rPr>
                <w:bCs/>
                <w:color w:val="000000" w:themeColor="text1"/>
                <w:sz w:val="20"/>
                <w:szCs w:val="20"/>
              </w:rPr>
              <w:t>information</w:t>
            </w:r>
            <w:r w:rsidR="00B51DB2" w:rsidRPr="00A52AB8">
              <w:rPr>
                <w:color w:val="000000" w:themeColor="text1"/>
                <w:sz w:val="20"/>
                <w:szCs w:val="20"/>
              </w:rPr>
              <w:t>( </w:t>
            </w:r>
            <w:r w:rsidR="008F1F82" w:rsidRPr="00A52AB8">
              <w:rPr>
                <w:color w:val="000000" w:themeColor="text1"/>
                <w:sz w:val="20"/>
                <w:szCs w:val="20"/>
              </w:rPr>
              <w:t>) {</w:t>
            </w:r>
          </w:p>
        </w:tc>
        <w:tc>
          <w:tcPr>
            <w:tcW w:w="1253" w:type="dxa"/>
          </w:tcPr>
          <w:p w14:paraId="491D44FC" w14:textId="77777777" w:rsidR="00B51DB2" w:rsidRPr="00A52AB8" w:rsidRDefault="00B51DB2">
            <w:pPr>
              <w:spacing w:before="20" w:after="20"/>
              <w:jc w:val="center"/>
              <w:rPr>
                <w:b/>
                <w:color w:val="000000" w:themeColor="text1"/>
                <w:sz w:val="20"/>
                <w:szCs w:val="20"/>
              </w:rPr>
            </w:pPr>
            <w:r w:rsidRPr="00A52AB8">
              <w:rPr>
                <w:b/>
                <w:color w:val="000000" w:themeColor="text1"/>
                <w:sz w:val="20"/>
                <w:szCs w:val="20"/>
              </w:rPr>
              <w:t>Descriptor</w:t>
            </w:r>
          </w:p>
        </w:tc>
      </w:tr>
      <w:tr w:rsidR="00B51DB2" w:rsidRPr="00A52AB8" w14:paraId="7BCE6E0D" w14:textId="77777777" w:rsidTr="00A252B5">
        <w:tc>
          <w:tcPr>
            <w:tcW w:w="7921" w:type="dxa"/>
          </w:tcPr>
          <w:p w14:paraId="3D040B45" w14:textId="77777777" w:rsidR="00B51DB2" w:rsidRPr="00A52AB8" w:rsidRDefault="00B51DB2">
            <w:pPr>
              <w:spacing w:before="20" w:after="20"/>
              <w:rPr>
                <w:b/>
                <w:color w:val="000000" w:themeColor="text1"/>
                <w:sz w:val="20"/>
                <w:szCs w:val="20"/>
              </w:rPr>
            </w:pPr>
            <w:r w:rsidRPr="00A52AB8">
              <w:rPr>
                <w:b/>
                <w:bCs/>
                <w:sz w:val="20"/>
                <w:szCs w:val="20"/>
              </w:rPr>
              <w:tab/>
            </w:r>
            <w:r w:rsidR="008F0D00" w:rsidRPr="00A52AB8">
              <w:rPr>
                <w:b/>
                <w:bCs/>
                <w:sz w:val="20"/>
                <w:szCs w:val="20"/>
              </w:rPr>
              <w:t>afti_</w:t>
            </w:r>
            <w:r w:rsidRPr="00A52AB8">
              <w:rPr>
                <w:b/>
                <w:bCs/>
                <w:sz w:val="20"/>
                <w:szCs w:val="20"/>
              </w:rPr>
              <w:t>single_</w:t>
            </w:r>
            <w:r w:rsidRPr="00A52AB8">
              <w:rPr>
                <w:b/>
                <w:sz w:val="20"/>
                <w:szCs w:val="20"/>
              </w:rPr>
              <w:t>tile_in_</w:t>
            </w:r>
            <w:r w:rsidR="00DD23CD" w:rsidRPr="00A52AB8">
              <w:rPr>
                <w:b/>
                <w:sz w:val="20"/>
                <w:szCs w:val="20"/>
              </w:rPr>
              <w:t>atlas_frame</w:t>
            </w:r>
            <w:r w:rsidRPr="00A52AB8">
              <w:rPr>
                <w:b/>
                <w:sz w:val="20"/>
                <w:szCs w:val="20"/>
              </w:rPr>
              <w:t>_flag</w:t>
            </w:r>
          </w:p>
        </w:tc>
        <w:tc>
          <w:tcPr>
            <w:tcW w:w="1253" w:type="dxa"/>
          </w:tcPr>
          <w:p w14:paraId="5F3127BD" w14:textId="77777777" w:rsidR="00B51DB2" w:rsidRPr="00A52AB8" w:rsidRDefault="00B51DB2">
            <w:pPr>
              <w:spacing w:before="20" w:after="20"/>
              <w:jc w:val="center"/>
              <w:rPr>
                <w:color w:val="000000" w:themeColor="text1"/>
                <w:sz w:val="20"/>
                <w:szCs w:val="20"/>
              </w:rPr>
            </w:pPr>
            <w:r w:rsidRPr="00A52AB8">
              <w:rPr>
                <w:color w:val="000000" w:themeColor="text1"/>
                <w:sz w:val="20"/>
                <w:szCs w:val="20"/>
              </w:rPr>
              <w:t>u(1)</w:t>
            </w:r>
          </w:p>
        </w:tc>
      </w:tr>
      <w:tr w:rsidR="00B51DB2" w:rsidRPr="00A52AB8" w14:paraId="74CE1E00" w14:textId="77777777" w:rsidTr="00A252B5">
        <w:tc>
          <w:tcPr>
            <w:tcW w:w="7921" w:type="dxa"/>
          </w:tcPr>
          <w:p w14:paraId="3960D43F" w14:textId="3AE19DA6" w:rsidR="00B51DB2" w:rsidRPr="00A52AB8" w:rsidRDefault="00B51DB2">
            <w:pPr>
              <w:spacing w:before="20" w:after="20"/>
              <w:rPr>
                <w:b/>
                <w:bCs/>
                <w:sz w:val="20"/>
                <w:szCs w:val="20"/>
              </w:rPr>
            </w:pPr>
            <w:r w:rsidRPr="00A52AB8">
              <w:rPr>
                <w:sz w:val="20"/>
                <w:szCs w:val="20"/>
                <w:lang w:eastAsia="ko-KR"/>
              </w:rPr>
              <w:tab/>
              <w:t>if(</w:t>
            </w:r>
            <w:r w:rsidR="005C1B31" w:rsidRPr="00A52AB8">
              <w:rPr>
                <w:sz w:val="20"/>
                <w:szCs w:val="20"/>
                <w:lang w:eastAsia="ko-KR"/>
              </w:rPr>
              <w:t> </w:t>
            </w:r>
            <w:r w:rsidRPr="00A52AB8">
              <w:rPr>
                <w:sz w:val="20"/>
                <w:szCs w:val="20"/>
                <w:lang w:eastAsia="ko-KR"/>
              </w:rPr>
              <w:t>!</w:t>
            </w:r>
            <w:r w:rsidR="008F0D00" w:rsidRPr="00A52AB8">
              <w:rPr>
                <w:sz w:val="20"/>
                <w:szCs w:val="20"/>
                <w:lang w:eastAsia="ko-KR"/>
              </w:rPr>
              <w:t>afti_</w:t>
            </w:r>
            <w:r w:rsidRPr="00A52AB8">
              <w:rPr>
                <w:sz w:val="20"/>
                <w:szCs w:val="20"/>
                <w:lang w:eastAsia="ko-KR"/>
              </w:rPr>
              <w:t>single_tile_in_</w:t>
            </w:r>
            <w:r w:rsidR="00DD23CD" w:rsidRPr="00A52AB8">
              <w:rPr>
                <w:sz w:val="20"/>
                <w:szCs w:val="20"/>
                <w:lang w:eastAsia="ko-KR"/>
              </w:rPr>
              <w:t>atlas_frame</w:t>
            </w:r>
            <w:r w:rsidRPr="00A52AB8">
              <w:rPr>
                <w:sz w:val="20"/>
                <w:szCs w:val="20"/>
                <w:lang w:eastAsia="ko-KR"/>
              </w:rPr>
              <w:t>_flag</w:t>
            </w:r>
            <w:r w:rsidR="005C1B31" w:rsidRPr="00A52AB8">
              <w:rPr>
                <w:sz w:val="20"/>
                <w:szCs w:val="20"/>
                <w:lang w:eastAsia="ko-KR"/>
              </w:rPr>
              <w:t> </w:t>
            </w:r>
            <w:r w:rsidR="008F1F82" w:rsidRPr="00A52AB8">
              <w:rPr>
                <w:sz w:val="20"/>
                <w:szCs w:val="20"/>
                <w:lang w:eastAsia="ko-KR"/>
              </w:rPr>
              <w:t>) {</w:t>
            </w:r>
          </w:p>
        </w:tc>
        <w:tc>
          <w:tcPr>
            <w:tcW w:w="1253" w:type="dxa"/>
          </w:tcPr>
          <w:p w14:paraId="52BB418A" w14:textId="77777777" w:rsidR="00B51DB2" w:rsidRPr="00A52AB8" w:rsidRDefault="00B51DB2">
            <w:pPr>
              <w:spacing w:before="20" w:after="20"/>
              <w:jc w:val="center"/>
              <w:rPr>
                <w:color w:val="000000" w:themeColor="text1"/>
                <w:sz w:val="20"/>
                <w:szCs w:val="20"/>
              </w:rPr>
            </w:pPr>
          </w:p>
        </w:tc>
      </w:tr>
      <w:tr w:rsidR="00C3237C" w:rsidRPr="00A52AB8" w14:paraId="1D9B397B" w14:textId="77777777" w:rsidTr="00A252B5">
        <w:tc>
          <w:tcPr>
            <w:tcW w:w="7921" w:type="dxa"/>
          </w:tcPr>
          <w:p w14:paraId="2261E229" w14:textId="77777777" w:rsidR="00C3237C" w:rsidRPr="00A52AB8" w:rsidRDefault="00C3237C">
            <w:pPr>
              <w:pStyle w:val="tablesyntax"/>
              <w:keepNext w:val="0"/>
              <w:keepLines w:val="0"/>
              <w:spacing w:before="20" w:after="40"/>
              <w:rPr>
                <w:rFonts w:ascii="Cambria" w:hAnsi="Cambria"/>
                <w:b/>
                <w:bCs/>
              </w:rPr>
            </w:pPr>
            <w:r w:rsidRPr="00A52AB8">
              <w:rPr>
                <w:rFonts w:ascii="Cambria" w:hAnsi="Cambria"/>
                <w:b/>
                <w:bCs/>
              </w:rPr>
              <w:tab/>
            </w:r>
            <w:r w:rsidRPr="00A52AB8">
              <w:rPr>
                <w:rFonts w:ascii="Cambria" w:hAnsi="Cambria"/>
                <w:b/>
                <w:bCs/>
              </w:rPr>
              <w:tab/>
            </w:r>
            <w:r w:rsidR="00D90693" w:rsidRPr="00A52AB8">
              <w:rPr>
                <w:rFonts w:ascii="Cambria" w:hAnsi="Cambria"/>
                <w:b/>
                <w:bCs/>
              </w:rPr>
              <w:t>afti_uniform_partition_spacing_flag</w:t>
            </w:r>
          </w:p>
        </w:tc>
        <w:tc>
          <w:tcPr>
            <w:tcW w:w="1253" w:type="dxa"/>
          </w:tcPr>
          <w:p w14:paraId="202DF1A0" w14:textId="77777777" w:rsidR="00C3237C" w:rsidRPr="00A52AB8" w:rsidRDefault="00C3237C">
            <w:pPr>
              <w:pStyle w:val="tablecell"/>
              <w:keepNext w:val="0"/>
              <w:keepLines w:val="0"/>
              <w:spacing w:before="20" w:after="40"/>
              <w:jc w:val="center"/>
              <w:rPr>
                <w:rFonts w:ascii="Cambria" w:hAnsi="Cambria"/>
              </w:rPr>
            </w:pPr>
            <w:r w:rsidRPr="00A52AB8">
              <w:rPr>
                <w:rFonts w:ascii="Cambria" w:hAnsi="Cambria"/>
              </w:rPr>
              <w:t>u(1)</w:t>
            </w:r>
          </w:p>
        </w:tc>
      </w:tr>
      <w:tr w:rsidR="00C3237C" w:rsidRPr="00A52AB8" w14:paraId="0372FD92" w14:textId="77777777" w:rsidTr="00A252B5">
        <w:tc>
          <w:tcPr>
            <w:tcW w:w="7921" w:type="dxa"/>
          </w:tcPr>
          <w:p w14:paraId="66F8D98E" w14:textId="7C69B701" w:rsidR="00C3237C" w:rsidRPr="00A52AB8" w:rsidRDefault="00C3237C">
            <w:pPr>
              <w:pStyle w:val="tablesyntax"/>
              <w:keepNext w:val="0"/>
              <w:keepLines w:val="0"/>
              <w:spacing w:before="20" w:after="40"/>
              <w:rPr>
                <w:rFonts w:ascii="Cambria" w:hAnsi="Cambria"/>
                <w:b/>
                <w:bCs/>
              </w:rPr>
            </w:pPr>
            <w:r w:rsidRPr="00A52AB8">
              <w:rPr>
                <w:rFonts w:ascii="Cambria" w:hAnsi="Cambria"/>
                <w:b/>
                <w:bCs/>
              </w:rPr>
              <w:tab/>
            </w:r>
            <w:r w:rsidRPr="00A52AB8">
              <w:rPr>
                <w:rFonts w:ascii="Cambria" w:hAnsi="Cambria"/>
                <w:b/>
                <w:bCs/>
              </w:rPr>
              <w:tab/>
            </w:r>
            <w:r w:rsidRPr="00A52AB8">
              <w:rPr>
                <w:rFonts w:ascii="Cambria" w:hAnsi="Cambria"/>
              </w:rPr>
              <w:t>if( </w:t>
            </w:r>
            <w:r w:rsidR="00D90693" w:rsidRPr="00A52AB8">
              <w:rPr>
                <w:rFonts w:ascii="Cambria" w:hAnsi="Cambria"/>
              </w:rPr>
              <w:t>afti_uniform_partition_spacing_flag</w:t>
            </w:r>
            <w:r w:rsidRPr="00A52AB8">
              <w:rPr>
                <w:rFonts w:ascii="Cambria" w:hAnsi="Cambria"/>
              </w:rPr>
              <w:t> </w:t>
            </w:r>
            <w:r w:rsidR="008F1F82" w:rsidRPr="00A52AB8">
              <w:rPr>
                <w:rFonts w:ascii="Cambria" w:hAnsi="Cambria"/>
              </w:rPr>
              <w:t>) {</w:t>
            </w:r>
          </w:p>
        </w:tc>
        <w:tc>
          <w:tcPr>
            <w:tcW w:w="1253" w:type="dxa"/>
          </w:tcPr>
          <w:p w14:paraId="73BF0D6D" w14:textId="77777777" w:rsidR="00C3237C" w:rsidRPr="00A52AB8" w:rsidRDefault="00C3237C">
            <w:pPr>
              <w:pStyle w:val="tablecell"/>
              <w:keepNext w:val="0"/>
              <w:keepLines w:val="0"/>
              <w:spacing w:before="20" w:after="40"/>
              <w:jc w:val="center"/>
              <w:rPr>
                <w:rFonts w:ascii="Cambria" w:hAnsi="Cambria"/>
              </w:rPr>
            </w:pPr>
          </w:p>
        </w:tc>
      </w:tr>
      <w:tr w:rsidR="00C3237C" w:rsidRPr="00A52AB8" w14:paraId="11AA08DD" w14:textId="77777777" w:rsidTr="00A252B5">
        <w:tc>
          <w:tcPr>
            <w:tcW w:w="7921" w:type="dxa"/>
          </w:tcPr>
          <w:p w14:paraId="6D767DF6" w14:textId="77777777" w:rsidR="00C3237C" w:rsidRPr="00A52AB8" w:rsidRDefault="00C3237C">
            <w:pPr>
              <w:pStyle w:val="tablesyntax"/>
              <w:keepNext w:val="0"/>
              <w:keepLines w:val="0"/>
              <w:spacing w:before="20" w:after="40"/>
              <w:rPr>
                <w:rFonts w:ascii="Cambria" w:hAnsi="Cambria"/>
                <w:b/>
                <w:bCs/>
              </w:rPr>
            </w:pPr>
            <w:r w:rsidRPr="00A52AB8">
              <w:rPr>
                <w:rFonts w:ascii="Cambria" w:hAnsi="Cambria"/>
                <w:b/>
                <w:bCs/>
              </w:rPr>
              <w:tab/>
            </w:r>
            <w:r w:rsidRPr="00A52AB8">
              <w:rPr>
                <w:rFonts w:ascii="Cambria" w:hAnsi="Cambria"/>
                <w:b/>
                <w:bCs/>
              </w:rPr>
              <w:tab/>
            </w:r>
            <w:r w:rsidRPr="00A52AB8">
              <w:rPr>
                <w:rFonts w:ascii="Cambria" w:hAnsi="Cambria"/>
                <w:b/>
                <w:bCs/>
              </w:rPr>
              <w:tab/>
            </w:r>
            <w:r w:rsidR="00C608C9" w:rsidRPr="00A52AB8">
              <w:rPr>
                <w:rFonts w:ascii="Cambria" w:hAnsi="Cambria"/>
                <w:b/>
                <w:bCs/>
              </w:rPr>
              <w:t>afti_partition_cols_width_minus1</w:t>
            </w:r>
          </w:p>
        </w:tc>
        <w:tc>
          <w:tcPr>
            <w:tcW w:w="1253" w:type="dxa"/>
          </w:tcPr>
          <w:p w14:paraId="75CB41D9" w14:textId="77777777" w:rsidR="00C3237C" w:rsidRPr="00A52AB8" w:rsidRDefault="00C3237C">
            <w:pPr>
              <w:pStyle w:val="tablecell"/>
              <w:keepNext w:val="0"/>
              <w:keepLines w:val="0"/>
              <w:spacing w:before="20" w:after="40"/>
              <w:jc w:val="center"/>
              <w:rPr>
                <w:rFonts w:ascii="Cambria" w:hAnsi="Cambria"/>
              </w:rPr>
            </w:pPr>
            <w:r w:rsidRPr="00A52AB8">
              <w:rPr>
                <w:rFonts w:ascii="Cambria" w:hAnsi="Cambria"/>
              </w:rPr>
              <w:t>ue(v)</w:t>
            </w:r>
          </w:p>
        </w:tc>
      </w:tr>
      <w:tr w:rsidR="00C3237C" w:rsidRPr="00A52AB8" w14:paraId="2C9F138A" w14:textId="77777777" w:rsidTr="00A252B5">
        <w:tc>
          <w:tcPr>
            <w:tcW w:w="7921" w:type="dxa"/>
          </w:tcPr>
          <w:p w14:paraId="4322B078" w14:textId="77777777" w:rsidR="00C3237C" w:rsidRPr="00A52AB8" w:rsidRDefault="00C3237C">
            <w:pPr>
              <w:pStyle w:val="tablesyntax"/>
              <w:keepNext w:val="0"/>
              <w:keepLines w:val="0"/>
              <w:spacing w:before="20" w:after="40"/>
              <w:rPr>
                <w:rFonts w:ascii="Cambria" w:hAnsi="Cambria"/>
                <w:b/>
                <w:bCs/>
              </w:rPr>
            </w:pPr>
            <w:r w:rsidRPr="00A52AB8">
              <w:rPr>
                <w:rFonts w:ascii="Cambria" w:hAnsi="Cambria"/>
                <w:b/>
                <w:bCs/>
              </w:rPr>
              <w:tab/>
            </w:r>
            <w:r w:rsidRPr="00A52AB8">
              <w:rPr>
                <w:rFonts w:ascii="Cambria" w:hAnsi="Cambria"/>
                <w:b/>
                <w:bCs/>
              </w:rPr>
              <w:tab/>
            </w:r>
            <w:r w:rsidRPr="00A52AB8">
              <w:rPr>
                <w:rFonts w:ascii="Cambria" w:hAnsi="Cambria"/>
                <w:b/>
                <w:bCs/>
              </w:rPr>
              <w:tab/>
            </w:r>
            <w:r w:rsidR="00C608C9" w:rsidRPr="00A52AB8">
              <w:rPr>
                <w:rFonts w:ascii="Cambria" w:hAnsi="Cambria"/>
                <w:b/>
                <w:bCs/>
              </w:rPr>
              <w:t>afti_partition_rows_height_minus1</w:t>
            </w:r>
          </w:p>
        </w:tc>
        <w:tc>
          <w:tcPr>
            <w:tcW w:w="1253" w:type="dxa"/>
          </w:tcPr>
          <w:p w14:paraId="24D8CF8D" w14:textId="77777777" w:rsidR="00C3237C" w:rsidRPr="00A52AB8" w:rsidRDefault="00C3237C">
            <w:pPr>
              <w:pStyle w:val="tablecell"/>
              <w:keepNext w:val="0"/>
              <w:keepLines w:val="0"/>
              <w:spacing w:before="20" w:after="40"/>
              <w:jc w:val="center"/>
              <w:rPr>
                <w:rFonts w:ascii="Cambria" w:hAnsi="Cambria"/>
              </w:rPr>
            </w:pPr>
            <w:r w:rsidRPr="00A52AB8">
              <w:rPr>
                <w:rFonts w:ascii="Cambria" w:hAnsi="Cambria"/>
              </w:rPr>
              <w:t>ue(v)</w:t>
            </w:r>
          </w:p>
        </w:tc>
      </w:tr>
      <w:tr w:rsidR="00C3237C" w:rsidRPr="00A52AB8" w14:paraId="38EEBA36" w14:textId="77777777" w:rsidTr="00A252B5">
        <w:tc>
          <w:tcPr>
            <w:tcW w:w="7921" w:type="dxa"/>
          </w:tcPr>
          <w:p w14:paraId="6DBD5B43" w14:textId="7E9E890F" w:rsidR="00C3237C" w:rsidRPr="00A52AB8" w:rsidRDefault="00C3237C">
            <w:pPr>
              <w:pStyle w:val="tablesyntax"/>
              <w:keepNext w:val="0"/>
              <w:keepLines w:val="0"/>
              <w:spacing w:before="20" w:after="40"/>
              <w:rPr>
                <w:rFonts w:ascii="Cambria" w:hAnsi="Cambria"/>
                <w:bCs/>
              </w:rPr>
            </w:pPr>
            <w:r w:rsidRPr="00A52AB8">
              <w:rPr>
                <w:rFonts w:ascii="Cambria" w:hAnsi="Cambria"/>
                <w:b/>
                <w:bCs/>
              </w:rPr>
              <w:tab/>
            </w:r>
            <w:r w:rsidRPr="00A52AB8">
              <w:rPr>
                <w:rFonts w:ascii="Cambria" w:hAnsi="Cambria"/>
                <w:b/>
                <w:bCs/>
              </w:rPr>
              <w:tab/>
            </w:r>
            <w:r w:rsidR="0023721F" w:rsidRPr="00A52AB8">
              <w:rPr>
                <w:rFonts w:ascii="Cambria" w:hAnsi="Cambria"/>
                <w:bCs/>
              </w:rPr>
              <w:t>} else {</w:t>
            </w:r>
          </w:p>
        </w:tc>
        <w:tc>
          <w:tcPr>
            <w:tcW w:w="1253" w:type="dxa"/>
          </w:tcPr>
          <w:p w14:paraId="14631A25" w14:textId="77777777" w:rsidR="00C3237C" w:rsidRPr="00A52AB8" w:rsidRDefault="00C3237C">
            <w:pPr>
              <w:pStyle w:val="tablecell"/>
              <w:keepNext w:val="0"/>
              <w:keepLines w:val="0"/>
              <w:spacing w:before="20" w:after="40"/>
              <w:jc w:val="center"/>
              <w:rPr>
                <w:rFonts w:ascii="Cambria" w:hAnsi="Cambria"/>
              </w:rPr>
            </w:pPr>
          </w:p>
        </w:tc>
      </w:tr>
      <w:tr w:rsidR="00B51DB2" w:rsidRPr="00A52AB8" w14:paraId="5BB62155" w14:textId="77777777" w:rsidTr="00A252B5">
        <w:tc>
          <w:tcPr>
            <w:tcW w:w="7921" w:type="dxa"/>
          </w:tcPr>
          <w:p w14:paraId="396A6902" w14:textId="77777777" w:rsidR="00B51DB2" w:rsidRPr="00A52AB8" w:rsidRDefault="00B51DB2">
            <w:pPr>
              <w:pStyle w:val="tablesyntax"/>
              <w:keepNext w:val="0"/>
              <w:keepLines w:val="0"/>
              <w:spacing w:before="20" w:after="40"/>
              <w:rPr>
                <w:rFonts w:ascii="Cambria" w:hAnsi="Cambria"/>
                <w:b/>
                <w:bCs/>
              </w:rPr>
            </w:pPr>
            <w:r w:rsidRPr="00A52AB8">
              <w:rPr>
                <w:rFonts w:ascii="Cambria" w:hAnsi="Cambria"/>
                <w:b/>
                <w:bCs/>
              </w:rPr>
              <w:tab/>
            </w:r>
            <w:r w:rsidRPr="00A52AB8">
              <w:rPr>
                <w:rFonts w:ascii="Cambria" w:hAnsi="Cambria"/>
                <w:b/>
                <w:bCs/>
              </w:rPr>
              <w:tab/>
            </w:r>
            <w:r w:rsidR="00C3237C" w:rsidRPr="00A52AB8">
              <w:rPr>
                <w:rFonts w:ascii="Cambria" w:hAnsi="Cambria"/>
                <w:b/>
                <w:bCs/>
              </w:rPr>
              <w:tab/>
            </w:r>
            <w:r w:rsidR="00D90693" w:rsidRPr="00A52AB8">
              <w:rPr>
                <w:rFonts w:ascii="Cambria" w:hAnsi="Cambria"/>
                <w:b/>
                <w:bCs/>
              </w:rPr>
              <w:t>afti_num_partition_columns_minus1</w:t>
            </w:r>
          </w:p>
        </w:tc>
        <w:tc>
          <w:tcPr>
            <w:tcW w:w="1253" w:type="dxa"/>
          </w:tcPr>
          <w:p w14:paraId="424B3ED4" w14:textId="77777777" w:rsidR="00B51DB2" w:rsidRPr="00A52AB8" w:rsidRDefault="00B51DB2">
            <w:pPr>
              <w:pStyle w:val="tablecell"/>
              <w:keepNext w:val="0"/>
              <w:keepLines w:val="0"/>
              <w:spacing w:before="20" w:after="40"/>
              <w:jc w:val="center"/>
              <w:rPr>
                <w:rFonts w:ascii="Cambria" w:hAnsi="Cambria"/>
              </w:rPr>
            </w:pPr>
            <w:r w:rsidRPr="00A52AB8">
              <w:rPr>
                <w:rFonts w:ascii="Cambria" w:hAnsi="Cambria"/>
              </w:rPr>
              <w:t>ue(v)</w:t>
            </w:r>
          </w:p>
        </w:tc>
      </w:tr>
      <w:tr w:rsidR="00B51DB2" w:rsidRPr="00A52AB8" w14:paraId="7705527F" w14:textId="77777777" w:rsidTr="00A252B5">
        <w:tc>
          <w:tcPr>
            <w:tcW w:w="7921" w:type="dxa"/>
          </w:tcPr>
          <w:p w14:paraId="75299D4E" w14:textId="77777777" w:rsidR="00B51DB2" w:rsidRPr="00A52AB8" w:rsidRDefault="00B51DB2">
            <w:pPr>
              <w:pStyle w:val="tablesyntax"/>
              <w:keepNext w:val="0"/>
              <w:keepLines w:val="0"/>
              <w:spacing w:before="20" w:after="40"/>
              <w:rPr>
                <w:rFonts w:ascii="Cambria" w:hAnsi="Cambria"/>
                <w:b/>
                <w:bCs/>
              </w:rPr>
            </w:pPr>
            <w:r w:rsidRPr="00A52AB8">
              <w:rPr>
                <w:rFonts w:ascii="Cambria" w:hAnsi="Cambria"/>
                <w:b/>
                <w:bCs/>
              </w:rPr>
              <w:tab/>
            </w:r>
            <w:r w:rsidRPr="00A52AB8">
              <w:rPr>
                <w:rFonts w:ascii="Cambria" w:hAnsi="Cambria"/>
                <w:b/>
                <w:bCs/>
              </w:rPr>
              <w:tab/>
            </w:r>
            <w:r w:rsidR="00C3237C" w:rsidRPr="00A52AB8">
              <w:rPr>
                <w:rFonts w:ascii="Cambria" w:hAnsi="Cambria"/>
                <w:b/>
                <w:bCs/>
              </w:rPr>
              <w:tab/>
            </w:r>
            <w:r w:rsidR="00D90693" w:rsidRPr="00A52AB8">
              <w:rPr>
                <w:rFonts w:ascii="Cambria" w:hAnsi="Cambria"/>
                <w:b/>
                <w:bCs/>
              </w:rPr>
              <w:t>afti_num_partition_rows_minus1</w:t>
            </w:r>
          </w:p>
        </w:tc>
        <w:tc>
          <w:tcPr>
            <w:tcW w:w="1253" w:type="dxa"/>
          </w:tcPr>
          <w:p w14:paraId="5884BAF6" w14:textId="77777777" w:rsidR="00B51DB2" w:rsidRPr="00A52AB8" w:rsidRDefault="00B51DB2">
            <w:pPr>
              <w:pStyle w:val="tablecell"/>
              <w:keepNext w:val="0"/>
              <w:keepLines w:val="0"/>
              <w:spacing w:before="20" w:after="40"/>
              <w:jc w:val="center"/>
              <w:rPr>
                <w:rFonts w:ascii="Cambria" w:hAnsi="Cambria"/>
              </w:rPr>
            </w:pPr>
            <w:r w:rsidRPr="00A52AB8">
              <w:rPr>
                <w:rFonts w:ascii="Cambria" w:hAnsi="Cambria"/>
              </w:rPr>
              <w:t>ue(v)</w:t>
            </w:r>
          </w:p>
        </w:tc>
      </w:tr>
      <w:tr w:rsidR="00B51DB2" w:rsidRPr="00A52AB8" w14:paraId="3624AA85" w14:textId="77777777" w:rsidTr="00A252B5">
        <w:tc>
          <w:tcPr>
            <w:tcW w:w="7921" w:type="dxa"/>
          </w:tcPr>
          <w:p w14:paraId="223AB7E4" w14:textId="7D8B18FF" w:rsidR="00B51DB2" w:rsidRPr="00A52AB8" w:rsidRDefault="00B51DB2">
            <w:pPr>
              <w:pStyle w:val="tablesyntax"/>
              <w:keepNext w:val="0"/>
              <w:keepLines w:val="0"/>
              <w:spacing w:before="20" w:after="40"/>
              <w:rPr>
                <w:rFonts w:ascii="Cambria" w:hAnsi="Cambria"/>
                <w:b/>
                <w:bCs/>
              </w:rPr>
            </w:pPr>
            <w:r w:rsidRPr="00A52AB8">
              <w:rPr>
                <w:rFonts w:ascii="Cambria" w:hAnsi="Cambria"/>
                <w:b/>
                <w:bCs/>
              </w:rPr>
              <w:tab/>
            </w:r>
            <w:r w:rsidRPr="00A52AB8">
              <w:rPr>
                <w:rFonts w:ascii="Cambria" w:hAnsi="Cambria"/>
                <w:b/>
                <w:bCs/>
              </w:rPr>
              <w:tab/>
            </w:r>
            <w:r w:rsidRPr="00A52AB8">
              <w:rPr>
                <w:rFonts w:ascii="Cambria" w:hAnsi="Cambria"/>
                <w:b/>
                <w:bCs/>
              </w:rPr>
              <w:tab/>
            </w:r>
            <w:r w:rsidRPr="00A52AB8">
              <w:rPr>
                <w:rFonts w:ascii="Cambria" w:hAnsi="Cambria"/>
              </w:rPr>
              <w:t>for(</w:t>
            </w:r>
            <w:r w:rsidR="005C1B31" w:rsidRPr="00A52AB8">
              <w:rPr>
                <w:rFonts w:ascii="Cambria" w:hAnsi="Cambria"/>
              </w:rPr>
              <w:t> </w:t>
            </w:r>
            <w:r w:rsidRPr="00A52AB8">
              <w:rPr>
                <w:rFonts w:ascii="Cambria" w:hAnsi="Cambria"/>
              </w:rPr>
              <w:t>i</w:t>
            </w:r>
            <w:r w:rsidR="00D47707" w:rsidRPr="00A52AB8">
              <w:rPr>
                <w:rFonts w:ascii="Cambria" w:hAnsi="Cambria"/>
              </w:rPr>
              <w:t> = </w:t>
            </w:r>
            <w:r w:rsidRPr="00A52AB8">
              <w:rPr>
                <w:rFonts w:ascii="Cambria" w:hAnsi="Cambria"/>
              </w:rPr>
              <w:t>0;</w:t>
            </w:r>
            <w:r w:rsidR="005C1B31" w:rsidRPr="00A52AB8">
              <w:rPr>
                <w:rFonts w:ascii="Cambria" w:hAnsi="Cambria"/>
              </w:rPr>
              <w:t> </w:t>
            </w:r>
            <w:r w:rsidRPr="00A52AB8">
              <w:rPr>
                <w:rFonts w:ascii="Cambria" w:hAnsi="Cambria"/>
              </w:rPr>
              <w:t>i</w:t>
            </w:r>
            <w:r w:rsidR="005C1B31" w:rsidRPr="00A52AB8">
              <w:rPr>
                <w:rFonts w:ascii="Cambria" w:hAnsi="Cambria"/>
              </w:rPr>
              <w:t> </w:t>
            </w:r>
            <w:r w:rsidRPr="00A52AB8">
              <w:rPr>
                <w:rFonts w:ascii="Cambria" w:hAnsi="Cambria"/>
              </w:rPr>
              <w:t>&lt;</w:t>
            </w:r>
            <w:r w:rsidR="005C1B31" w:rsidRPr="00A52AB8">
              <w:rPr>
                <w:rFonts w:ascii="Cambria" w:hAnsi="Cambria"/>
              </w:rPr>
              <w:t> </w:t>
            </w:r>
            <w:r w:rsidR="00D90693" w:rsidRPr="00A52AB8">
              <w:rPr>
                <w:rFonts w:ascii="Cambria" w:hAnsi="Cambria"/>
              </w:rPr>
              <w:t>afti_num_partition_columns_minus1</w:t>
            </w:r>
            <w:r w:rsidRPr="00A52AB8">
              <w:rPr>
                <w:rFonts w:ascii="Cambria" w:hAnsi="Cambria"/>
              </w:rPr>
              <w:t>;</w:t>
            </w:r>
            <w:r w:rsidR="005C1B31" w:rsidRPr="00A52AB8">
              <w:rPr>
                <w:rFonts w:ascii="Cambria" w:hAnsi="Cambria"/>
              </w:rPr>
              <w:t> </w:t>
            </w:r>
            <w:r w:rsidRPr="00A52AB8">
              <w:rPr>
                <w:rFonts w:ascii="Cambria" w:hAnsi="Cambria"/>
              </w:rPr>
              <w:t>i</w:t>
            </w:r>
            <w:r w:rsidR="00006CCF" w:rsidRPr="00A52AB8">
              <w:rPr>
                <w:rFonts w:ascii="Cambria" w:hAnsi="Cambria"/>
              </w:rPr>
              <w:t>++ )</w:t>
            </w:r>
          </w:p>
        </w:tc>
        <w:tc>
          <w:tcPr>
            <w:tcW w:w="1253" w:type="dxa"/>
          </w:tcPr>
          <w:p w14:paraId="41AD7314" w14:textId="77777777" w:rsidR="00B51DB2" w:rsidRPr="00A52AB8" w:rsidRDefault="00B51DB2">
            <w:pPr>
              <w:pStyle w:val="tablecell"/>
              <w:keepNext w:val="0"/>
              <w:keepLines w:val="0"/>
              <w:spacing w:before="20" w:after="40"/>
              <w:jc w:val="center"/>
              <w:rPr>
                <w:rFonts w:ascii="Cambria" w:hAnsi="Cambria"/>
              </w:rPr>
            </w:pPr>
          </w:p>
        </w:tc>
      </w:tr>
      <w:tr w:rsidR="00B51DB2" w:rsidRPr="00A52AB8" w14:paraId="06AA0051" w14:textId="77777777" w:rsidTr="00A252B5">
        <w:tc>
          <w:tcPr>
            <w:tcW w:w="7921" w:type="dxa"/>
          </w:tcPr>
          <w:p w14:paraId="37AE8B81" w14:textId="77777777" w:rsidR="00B51DB2" w:rsidRPr="00A52AB8" w:rsidRDefault="00B51DB2">
            <w:pPr>
              <w:pStyle w:val="tablesyntax"/>
              <w:keepNext w:val="0"/>
              <w:keepLines w:val="0"/>
              <w:spacing w:before="20" w:after="40"/>
              <w:rPr>
                <w:rFonts w:ascii="Cambria" w:hAnsi="Cambria"/>
                <w:b/>
                <w:bCs/>
              </w:rPr>
            </w:pPr>
            <w:r w:rsidRPr="00A52AB8">
              <w:rPr>
                <w:rFonts w:ascii="Cambria" w:hAnsi="Cambria"/>
                <w:b/>
                <w:bCs/>
              </w:rPr>
              <w:tab/>
            </w:r>
            <w:r w:rsidRPr="00A52AB8">
              <w:rPr>
                <w:rFonts w:ascii="Cambria" w:hAnsi="Cambria"/>
                <w:b/>
                <w:bCs/>
              </w:rPr>
              <w:tab/>
            </w:r>
            <w:r w:rsidRPr="00A52AB8">
              <w:rPr>
                <w:rFonts w:ascii="Cambria" w:hAnsi="Cambria"/>
                <w:b/>
                <w:bCs/>
              </w:rPr>
              <w:tab/>
            </w:r>
            <w:r w:rsidRPr="00A52AB8">
              <w:rPr>
                <w:rFonts w:ascii="Cambria" w:hAnsi="Cambria"/>
                <w:b/>
                <w:bCs/>
              </w:rPr>
              <w:tab/>
            </w:r>
            <w:r w:rsidR="00C608C9" w:rsidRPr="00A52AB8">
              <w:rPr>
                <w:rFonts w:ascii="Cambria" w:hAnsi="Cambria"/>
                <w:b/>
                <w:bCs/>
              </w:rPr>
              <w:t>afti_partition_column_width_minus1</w:t>
            </w:r>
            <w:r w:rsidR="001F4484" w:rsidRPr="00A52AB8">
              <w:rPr>
                <w:rFonts w:ascii="Cambria" w:hAnsi="Cambria"/>
              </w:rPr>
              <w:t>[ i ]</w:t>
            </w:r>
          </w:p>
        </w:tc>
        <w:tc>
          <w:tcPr>
            <w:tcW w:w="1253" w:type="dxa"/>
          </w:tcPr>
          <w:p w14:paraId="3E2AAFE0" w14:textId="77777777" w:rsidR="00B51DB2" w:rsidRPr="00A52AB8" w:rsidRDefault="00B51DB2">
            <w:pPr>
              <w:pStyle w:val="tablecell"/>
              <w:keepNext w:val="0"/>
              <w:keepLines w:val="0"/>
              <w:spacing w:before="20" w:after="40"/>
              <w:jc w:val="center"/>
              <w:rPr>
                <w:rFonts w:ascii="Cambria" w:hAnsi="Cambria"/>
              </w:rPr>
            </w:pPr>
            <w:r w:rsidRPr="00A52AB8">
              <w:rPr>
                <w:rFonts w:ascii="Cambria" w:hAnsi="Cambria"/>
              </w:rPr>
              <w:t>ue(v)</w:t>
            </w:r>
          </w:p>
        </w:tc>
      </w:tr>
      <w:tr w:rsidR="00B51DB2" w:rsidRPr="00A52AB8" w14:paraId="3DC7F05A" w14:textId="77777777" w:rsidTr="00A252B5">
        <w:tc>
          <w:tcPr>
            <w:tcW w:w="7921" w:type="dxa"/>
          </w:tcPr>
          <w:p w14:paraId="42DAD208" w14:textId="380DE424" w:rsidR="00B51DB2" w:rsidRPr="00A52AB8" w:rsidRDefault="00B51DB2">
            <w:pPr>
              <w:pStyle w:val="tablesyntax"/>
              <w:keepNext w:val="0"/>
              <w:keepLines w:val="0"/>
              <w:spacing w:before="20" w:after="40"/>
              <w:rPr>
                <w:rFonts w:ascii="Cambria" w:hAnsi="Cambria"/>
                <w:b/>
                <w:bCs/>
              </w:rPr>
            </w:pPr>
            <w:r w:rsidRPr="00A52AB8">
              <w:rPr>
                <w:rFonts w:ascii="Cambria" w:hAnsi="Cambria"/>
                <w:b/>
                <w:bCs/>
              </w:rPr>
              <w:tab/>
            </w:r>
            <w:r w:rsidRPr="00A52AB8">
              <w:rPr>
                <w:rFonts w:ascii="Cambria" w:hAnsi="Cambria"/>
                <w:b/>
                <w:bCs/>
              </w:rPr>
              <w:tab/>
            </w:r>
            <w:r w:rsidRPr="00A52AB8">
              <w:rPr>
                <w:rFonts w:ascii="Cambria" w:hAnsi="Cambria"/>
                <w:b/>
                <w:bCs/>
              </w:rPr>
              <w:tab/>
            </w:r>
            <w:r w:rsidRPr="00A52AB8">
              <w:rPr>
                <w:rFonts w:ascii="Cambria" w:hAnsi="Cambria"/>
              </w:rPr>
              <w:t>for(</w:t>
            </w:r>
            <w:r w:rsidR="005C1B31" w:rsidRPr="00A52AB8">
              <w:rPr>
                <w:rFonts w:ascii="Cambria" w:hAnsi="Cambria"/>
              </w:rPr>
              <w:t> </w:t>
            </w:r>
            <w:r w:rsidRPr="00A52AB8">
              <w:rPr>
                <w:rFonts w:ascii="Cambria" w:hAnsi="Cambria"/>
              </w:rPr>
              <w:t>i</w:t>
            </w:r>
            <w:r w:rsidR="00D47707" w:rsidRPr="00A52AB8">
              <w:rPr>
                <w:rFonts w:ascii="Cambria" w:hAnsi="Cambria"/>
              </w:rPr>
              <w:t> = </w:t>
            </w:r>
            <w:r w:rsidRPr="00A52AB8">
              <w:rPr>
                <w:rFonts w:ascii="Cambria" w:hAnsi="Cambria"/>
              </w:rPr>
              <w:t>0;</w:t>
            </w:r>
            <w:r w:rsidR="005C1B31" w:rsidRPr="00A52AB8">
              <w:rPr>
                <w:rFonts w:ascii="Cambria" w:hAnsi="Cambria"/>
              </w:rPr>
              <w:t> </w:t>
            </w:r>
            <w:r w:rsidRPr="00A52AB8">
              <w:rPr>
                <w:rFonts w:ascii="Cambria" w:hAnsi="Cambria"/>
              </w:rPr>
              <w:t>i</w:t>
            </w:r>
            <w:r w:rsidR="005C1B31" w:rsidRPr="00A52AB8">
              <w:rPr>
                <w:rFonts w:ascii="Cambria" w:hAnsi="Cambria"/>
              </w:rPr>
              <w:t> </w:t>
            </w:r>
            <w:r w:rsidRPr="00A52AB8">
              <w:rPr>
                <w:rFonts w:ascii="Cambria" w:hAnsi="Cambria"/>
              </w:rPr>
              <w:t>&lt;</w:t>
            </w:r>
            <w:r w:rsidR="005C1B31" w:rsidRPr="00A52AB8">
              <w:rPr>
                <w:rFonts w:ascii="Cambria" w:hAnsi="Cambria"/>
              </w:rPr>
              <w:t> </w:t>
            </w:r>
            <w:r w:rsidR="00D90693" w:rsidRPr="00A52AB8">
              <w:rPr>
                <w:rFonts w:ascii="Cambria" w:hAnsi="Cambria"/>
              </w:rPr>
              <w:t>afti_num_partition_rows_minus1</w:t>
            </w:r>
            <w:r w:rsidRPr="00A52AB8">
              <w:rPr>
                <w:rFonts w:ascii="Cambria" w:hAnsi="Cambria"/>
              </w:rPr>
              <w:t>;</w:t>
            </w:r>
            <w:r w:rsidR="005C1B31" w:rsidRPr="00A52AB8">
              <w:rPr>
                <w:rFonts w:ascii="Cambria" w:hAnsi="Cambria"/>
              </w:rPr>
              <w:t> </w:t>
            </w:r>
            <w:r w:rsidRPr="00A52AB8">
              <w:rPr>
                <w:rFonts w:ascii="Cambria" w:hAnsi="Cambria"/>
              </w:rPr>
              <w:t>i</w:t>
            </w:r>
            <w:r w:rsidR="00006CCF" w:rsidRPr="00A52AB8">
              <w:rPr>
                <w:rFonts w:ascii="Cambria" w:hAnsi="Cambria"/>
              </w:rPr>
              <w:t>++ )</w:t>
            </w:r>
          </w:p>
        </w:tc>
        <w:tc>
          <w:tcPr>
            <w:tcW w:w="1253" w:type="dxa"/>
          </w:tcPr>
          <w:p w14:paraId="5FB855FF" w14:textId="77777777" w:rsidR="00B51DB2" w:rsidRPr="00A52AB8" w:rsidRDefault="00B51DB2">
            <w:pPr>
              <w:pStyle w:val="tablecell"/>
              <w:keepNext w:val="0"/>
              <w:keepLines w:val="0"/>
              <w:spacing w:before="20" w:after="40"/>
              <w:jc w:val="center"/>
              <w:rPr>
                <w:rFonts w:ascii="Cambria" w:hAnsi="Cambria"/>
              </w:rPr>
            </w:pPr>
          </w:p>
        </w:tc>
      </w:tr>
      <w:tr w:rsidR="00B51DB2" w:rsidRPr="00A52AB8" w14:paraId="4DD18FF1" w14:textId="77777777" w:rsidTr="00A252B5">
        <w:tc>
          <w:tcPr>
            <w:tcW w:w="7921" w:type="dxa"/>
          </w:tcPr>
          <w:p w14:paraId="3A5C88EF" w14:textId="77777777" w:rsidR="00B51DB2" w:rsidRPr="00A52AB8" w:rsidRDefault="00B51DB2">
            <w:pPr>
              <w:pStyle w:val="tablesyntax"/>
              <w:keepNext w:val="0"/>
              <w:keepLines w:val="0"/>
              <w:spacing w:before="20" w:after="40"/>
              <w:rPr>
                <w:rFonts w:ascii="Cambria" w:hAnsi="Cambria"/>
                <w:b/>
                <w:bCs/>
              </w:rPr>
            </w:pPr>
            <w:r w:rsidRPr="00A52AB8">
              <w:rPr>
                <w:rFonts w:ascii="Cambria" w:hAnsi="Cambria"/>
                <w:b/>
                <w:bCs/>
              </w:rPr>
              <w:tab/>
            </w:r>
            <w:r w:rsidRPr="00A52AB8">
              <w:rPr>
                <w:rFonts w:ascii="Cambria" w:hAnsi="Cambria"/>
                <w:b/>
                <w:bCs/>
              </w:rPr>
              <w:tab/>
            </w:r>
            <w:r w:rsidRPr="00A52AB8">
              <w:rPr>
                <w:rFonts w:ascii="Cambria" w:hAnsi="Cambria"/>
                <w:b/>
                <w:bCs/>
              </w:rPr>
              <w:tab/>
            </w:r>
            <w:r w:rsidRPr="00A52AB8">
              <w:rPr>
                <w:rFonts w:ascii="Cambria" w:hAnsi="Cambria"/>
                <w:b/>
                <w:bCs/>
              </w:rPr>
              <w:tab/>
            </w:r>
            <w:r w:rsidR="00C608C9" w:rsidRPr="00A52AB8">
              <w:rPr>
                <w:rFonts w:ascii="Cambria" w:hAnsi="Cambria"/>
                <w:b/>
                <w:bCs/>
              </w:rPr>
              <w:t>afti_partition_row_height_minus1</w:t>
            </w:r>
            <w:r w:rsidR="001F4484" w:rsidRPr="00A52AB8">
              <w:rPr>
                <w:rFonts w:ascii="Cambria" w:hAnsi="Cambria"/>
              </w:rPr>
              <w:t>[ i ]</w:t>
            </w:r>
          </w:p>
        </w:tc>
        <w:tc>
          <w:tcPr>
            <w:tcW w:w="1253" w:type="dxa"/>
          </w:tcPr>
          <w:p w14:paraId="0AFE034E" w14:textId="77777777" w:rsidR="00B51DB2" w:rsidRPr="00A52AB8" w:rsidRDefault="00B51DB2">
            <w:pPr>
              <w:pStyle w:val="tablecell"/>
              <w:keepNext w:val="0"/>
              <w:keepLines w:val="0"/>
              <w:spacing w:before="20" w:after="40"/>
              <w:jc w:val="center"/>
              <w:rPr>
                <w:rFonts w:ascii="Cambria" w:hAnsi="Cambria"/>
              </w:rPr>
            </w:pPr>
            <w:r w:rsidRPr="00A52AB8">
              <w:rPr>
                <w:rFonts w:ascii="Cambria" w:hAnsi="Cambria"/>
              </w:rPr>
              <w:t>ue(v)</w:t>
            </w:r>
          </w:p>
        </w:tc>
      </w:tr>
      <w:tr w:rsidR="00B51DB2" w:rsidRPr="00A52AB8" w14:paraId="1EB77AEC" w14:textId="77777777" w:rsidTr="00A252B5">
        <w:tc>
          <w:tcPr>
            <w:tcW w:w="7921" w:type="dxa"/>
          </w:tcPr>
          <w:p w14:paraId="7B8BEAC3" w14:textId="77777777" w:rsidR="00B51DB2" w:rsidRPr="00A52AB8" w:rsidRDefault="00B51DB2">
            <w:pPr>
              <w:pStyle w:val="tablesyntax"/>
              <w:keepNext w:val="0"/>
              <w:keepLines w:val="0"/>
              <w:spacing w:before="20" w:after="40"/>
              <w:rPr>
                <w:rFonts w:ascii="Cambria" w:hAnsi="Cambria"/>
                <w:b/>
                <w:bCs/>
              </w:rPr>
            </w:pPr>
            <w:r w:rsidRPr="00A52AB8">
              <w:rPr>
                <w:rFonts w:ascii="Cambria" w:hAnsi="Cambria"/>
                <w:b/>
                <w:bCs/>
              </w:rPr>
              <w:tab/>
            </w:r>
            <w:r w:rsidRPr="00A52AB8">
              <w:rPr>
                <w:rFonts w:ascii="Cambria" w:hAnsi="Cambria"/>
                <w:b/>
                <w:bCs/>
              </w:rPr>
              <w:tab/>
            </w:r>
            <w:r w:rsidRPr="00A52AB8">
              <w:rPr>
                <w:rFonts w:ascii="Cambria" w:hAnsi="Cambria"/>
              </w:rPr>
              <w:t>}</w:t>
            </w:r>
          </w:p>
        </w:tc>
        <w:tc>
          <w:tcPr>
            <w:tcW w:w="1253" w:type="dxa"/>
          </w:tcPr>
          <w:p w14:paraId="41BA2F5B" w14:textId="77777777" w:rsidR="00B51DB2" w:rsidRPr="00A52AB8" w:rsidRDefault="00B51DB2">
            <w:pPr>
              <w:pStyle w:val="tablecell"/>
              <w:keepNext w:val="0"/>
              <w:keepLines w:val="0"/>
              <w:spacing w:before="20" w:after="40"/>
              <w:jc w:val="center"/>
              <w:rPr>
                <w:rFonts w:ascii="Cambria" w:hAnsi="Cambria"/>
              </w:rPr>
            </w:pPr>
          </w:p>
        </w:tc>
      </w:tr>
      <w:tr w:rsidR="00B51DB2" w:rsidRPr="00A52AB8" w14:paraId="1F490265" w14:textId="77777777" w:rsidTr="00A252B5">
        <w:tc>
          <w:tcPr>
            <w:tcW w:w="7921" w:type="dxa"/>
          </w:tcPr>
          <w:p w14:paraId="7FF3606F" w14:textId="77777777" w:rsidR="00B51DB2" w:rsidRPr="00A52AB8" w:rsidRDefault="00B51DB2">
            <w:pPr>
              <w:pStyle w:val="tablesyntax"/>
              <w:keepNext w:val="0"/>
              <w:keepLines w:val="0"/>
              <w:spacing w:before="20" w:after="40"/>
              <w:rPr>
                <w:rFonts w:ascii="Cambria" w:hAnsi="Cambria"/>
                <w:b/>
                <w:bCs/>
              </w:rPr>
            </w:pPr>
            <w:r w:rsidRPr="00A52AB8">
              <w:rPr>
                <w:rFonts w:ascii="Cambria" w:hAnsi="Cambria"/>
                <w:b/>
                <w:bCs/>
                <w:lang w:eastAsia="ko-KR"/>
              </w:rPr>
              <w:tab/>
            </w:r>
            <w:r w:rsidR="0097644F" w:rsidRPr="00A52AB8">
              <w:rPr>
                <w:rFonts w:ascii="Cambria" w:hAnsi="Cambria"/>
                <w:b/>
                <w:bCs/>
                <w:lang w:eastAsia="ko-KR"/>
              </w:rPr>
              <w:tab/>
            </w:r>
            <w:r w:rsidR="00C608C9" w:rsidRPr="00A52AB8">
              <w:rPr>
                <w:rFonts w:ascii="Cambria" w:hAnsi="Cambria"/>
                <w:b/>
                <w:bCs/>
                <w:lang w:eastAsia="ko-KR"/>
              </w:rPr>
              <w:t>afti_single_partition_per_tile_flag</w:t>
            </w:r>
          </w:p>
        </w:tc>
        <w:tc>
          <w:tcPr>
            <w:tcW w:w="1253" w:type="dxa"/>
          </w:tcPr>
          <w:p w14:paraId="36C78513" w14:textId="77777777" w:rsidR="00B51DB2" w:rsidRPr="00A52AB8" w:rsidRDefault="00B51DB2">
            <w:pPr>
              <w:pStyle w:val="tablecell"/>
              <w:keepNext w:val="0"/>
              <w:keepLines w:val="0"/>
              <w:spacing w:before="20" w:after="40"/>
              <w:jc w:val="center"/>
              <w:rPr>
                <w:rFonts w:ascii="Cambria" w:hAnsi="Cambria"/>
              </w:rPr>
            </w:pPr>
            <w:r w:rsidRPr="00A52AB8">
              <w:rPr>
                <w:rFonts w:ascii="Cambria" w:hAnsi="Cambria"/>
              </w:rPr>
              <w:t>u(1)</w:t>
            </w:r>
          </w:p>
        </w:tc>
      </w:tr>
      <w:tr w:rsidR="00B51DB2" w:rsidRPr="00A52AB8" w14:paraId="3FC31AA9" w14:textId="77777777" w:rsidTr="00A252B5">
        <w:tc>
          <w:tcPr>
            <w:tcW w:w="7921" w:type="dxa"/>
          </w:tcPr>
          <w:p w14:paraId="4EEDA406" w14:textId="4254AA02" w:rsidR="00B51DB2" w:rsidRPr="00A52AB8" w:rsidRDefault="00B51DB2">
            <w:pPr>
              <w:pStyle w:val="tablesyntax"/>
              <w:keepNext w:val="0"/>
              <w:keepLines w:val="0"/>
              <w:spacing w:before="20" w:after="40"/>
              <w:rPr>
                <w:rFonts w:ascii="Cambria" w:hAnsi="Cambria"/>
                <w:b/>
                <w:bCs/>
              </w:rPr>
            </w:pPr>
            <w:r w:rsidRPr="00A52AB8">
              <w:rPr>
                <w:rFonts w:ascii="Cambria" w:hAnsi="Cambria"/>
                <w:b/>
                <w:bCs/>
              </w:rPr>
              <w:tab/>
            </w:r>
            <w:r w:rsidR="0097644F" w:rsidRPr="00A52AB8">
              <w:rPr>
                <w:rFonts w:ascii="Cambria" w:hAnsi="Cambria"/>
                <w:b/>
                <w:bCs/>
              </w:rPr>
              <w:tab/>
            </w:r>
            <w:r w:rsidRPr="00A52AB8">
              <w:rPr>
                <w:rFonts w:ascii="Cambria" w:hAnsi="Cambria"/>
                <w:bCs/>
              </w:rPr>
              <w:t>if(</w:t>
            </w:r>
            <w:r w:rsidR="00796793" w:rsidRPr="00A52AB8">
              <w:rPr>
                <w:rFonts w:ascii="Cambria" w:hAnsi="Cambria"/>
                <w:bCs/>
              </w:rPr>
              <w:t> </w:t>
            </w:r>
            <w:r w:rsidRPr="00A52AB8">
              <w:rPr>
                <w:rFonts w:ascii="Cambria" w:hAnsi="Cambria"/>
                <w:bCs/>
              </w:rPr>
              <w:t>!</w:t>
            </w:r>
            <w:r w:rsidR="00C608C9" w:rsidRPr="00A52AB8">
              <w:rPr>
                <w:rFonts w:ascii="Cambria" w:hAnsi="Cambria"/>
                <w:bCs/>
              </w:rPr>
              <w:t>afti_single_partition_per_tile_fla</w:t>
            </w:r>
            <w:r w:rsidR="00796793" w:rsidRPr="00A52AB8">
              <w:rPr>
                <w:rFonts w:ascii="Cambria" w:hAnsi="Cambria"/>
                <w:bCs/>
              </w:rPr>
              <w:t>g </w:t>
            </w:r>
            <w:r w:rsidR="008F1F82" w:rsidRPr="00A52AB8">
              <w:rPr>
                <w:rFonts w:ascii="Cambria" w:hAnsi="Cambria"/>
                <w:bCs/>
              </w:rPr>
              <w:t>) {</w:t>
            </w:r>
          </w:p>
        </w:tc>
        <w:tc>
          <w:tcPr>
            <w:tcW w:w="1253" w:type="dxa"/>
          </w:tcPr>
          <w:p w14:paraId="0DBA5106" w14:textId="77777777" w:rsidR="00B51DB2" w:rsidRPr="00A52AB8" w:rsidRDefault="00B51DB2">
            <w:pPr>
              <w:pStyle w:val="tablecell"/>
              <w:keepNext w:val="0"/>
              <w:keepLines w:val="0"/>
              <w:spacing w:before="20" w:after="40"/>
              <w:jc w:val="center"/>
              <w:rPr>
                <w:rFonts w:ascii="Cambria" w:hAnsi="Cambria"/>
              </w:rPr>
            </w:pPr>
          </w:p>
        </w:tc>
      </w:tr>
      <w:tr w:rsidR="00B51DB2" w:rsidRPr="00A52AB8" w14:paraId="3F3F4305" w14:textId="77777777" w:rsidTr="00A252B5">
        <w:tc>
          <w:tcPr>
            <w:tcW w:w="7921" w:type="dxa"/>
          </w:tcPr>
          <w:p w14:paraId="3AE2AA2C" w14:textId="77777777" w:rsidR="00B51DB2" w:rsidRPr="00A52AB8" w:rsidRDefault="00B51DB2">
            <w:pPr>
              <w:pStyle w:val="tablesyntax"/>
              <w:keepNext w:val="0"/>
              <w:keepLines w:val="0"/>
              <w:spacing w:before="20" w:after="40"/>
              <w:rPr>
                <w:rFonts w:ascii="Cambria" w:hAnsi="Cambria"/>
                <w:b/>
                <w:bCs/>
              </w:rPr>
            </w:pPr>
            <w:r w:rsidRPr="00A52AB8">
              <w:rPr>
                <w:rFonts w:ascii="Cambria" w:hAnsi="Cambria"/>
                <w:b/>
                <w:bCs/>
              </w:rPr>
              <w:tab/>
            </w:r>
            <w:r w:rsidR="0097644F" w:rsidRPr="00A52AB8">
              <w:rPr>
                <w:rFonts w:ascii="Cambria" w:hAnsi="Cambria"/>
                <w:b/>
                <w:bCs/>
              </w:rPr>
              <w:tab/>
            </w:r>
            <w:r w:rsidRPr="00A52AB8">
              <w:rPr>
                <w:rFonts w:ascii="Cambria" w:hAnsi="Cambria"/>
                <w:b/>
                <w:bCs/>
              </w:rPr>
              <w:tab/>
            </w:r>
            <w:r w:rsidR="00C608C9" w:rsidRPr="00A52AB8">
              <w:rPr>
                <w:rFonts w:ascii="Cambria" w:hAnsi="Cambria"/>
                <w:b/>
                <w:bCs/>
              </w:rPr>
              <w:t>afti_num_tiles_in_atlas_frame_minus1</w:t>
            </w:r>
          </w:p>
        </w:tc>
        <w:tc>
          <w:tcPr>
            <w:tcW w:w="1253" w:type="dxa"/>
          </w:tcPr>
          <w:p w14:paraId="24A73F97" w14:textId="77777777" w:rsidR="00B51DB2" w:rsidRPr="00A52AB8" w:rsidRDefault="00B51DB2">
            <w:pPr>
              <w:pStyle w:val="tablecell"/>
              <w:keepNext w:val="0"/>
              <w:keepLines w:val="0"/>
              <w:spacing w:before="20" w:after="40"/>
              <w:jc w:val="center"/>
              <w:rPr>
                <w:rFonts w:ascii="Cambria" w:hAnsi="Cambria"/>
              </w:rPr>
            </w:pPr>
            <w:r w:rsidRPr="00A52AB8">
              <w:rPr>
                <w:rFonts w:ascii="Cambria" w:hAnsi="Cambria"/>
              </w:rPr>
              <w:t>ue(v)</w:t>
            </w:r>
          </w:p>
        </w:tc>
      </w:tr>
      <w:tr w:rsidR="00B51DB2" w:rsidRPr="00A52AB8" w14:paraId="0F3397F8" w14:textId="77777777" w:rsidTr="00A252B5">
        <w:tc>
          <w:tcPr>
            <w:tcW w:w="7921" w:type="dxa"/>
          </w:tcPr>
          <w:p w14:paraId="78FAF55F" w14:textId="2A28A879" w:rsidR="00B51DB2" w:rsidRPr="00A52AB8" w:rsidRDefault="00B51DB2">
            <w:pPr>
              <w:pStyle w:val="tablesyntax"/>
              <w:keepNext w:val="0"/>
              <w:keepLines w:val="0"/>
              <w:spacing w:before="20" w:after="40"/>
              <w:rPr>
                <w:rFonts w:ascii="Cambria" w:hAnsi="Cambria"/>
                <w:b/>
                <w:bCs/>
              </w:rPr>
            </w:pPr>
            <w:r w:rsidRPr="00A52AB8">
              <w:rPr>
                <w:rFonts w:ascii="Cambria" w:hAnsi="Cambria"/>
                <w:b/>
                <w:bCs/>
              </w:rPr>
              <w:tab/>
            </w:r>
            <w:r w:rsidRPr="00A52AB8">
              <w:rPr>
                <w:rFonts w:ascii="Cambria" w:hAnsi="Cambria"/>
                <w:b/>
                <w:bCs/>
              </w:rPr>
              <w:tab/>
            </w:r>
            <w:r w:rsidR="0097644F" w:rsidRPr="00A52AB8">
              <w:rPr>
                <w:rFonts w:ascii="Cambria" w:hAnsi="Cambria"/>
                <w:b/>
                <w:bCs/>
              </w:rPr>
              <w:tab/>
            </w:r>
            <w:r w:rsidRPr="00A52AB8">
              <w:rPr>
                <w:rFonts w:ascii="Cambria" w:hAnsi="Cambria"/>
              </w:rPr>
              <w:t>for(</w:t>
            </w:r>
            <w:r w:rsidR="00E85135" w:rsidRPr="00A52AB8">
              <w:rPr>
                <w:rFonts w:ascii="Cambria" w:hAnsi="Cambria"/>
              </w:rPr>
              <w:t> i</w:t>
            </w:r>
            <w:r w:rsidR="00D47707" w:rsidRPr="00A52AB8">
              <w:rPr>
                <w:rFonts w:ascii="Cambria" w:hAnsi="Cambria"/>
              </w:rPr>
              <w:t> = </w:t>
            </w:r>
            <w:r w:rsidRPr="00A52AB8">
              <w:rPr>
                <w:rFonts w:ascii="Cambria" w:hAnsi="Cambria"/>
              </w:rPr>
              <w:t>0;</w:t>
            </w:r>
            <w:r w:rsidR="00E85135" w:rsidRPr="00A52AB8">
              <w:rPr>
                <w:rFonts w:ascii="Cambria" w:hAnsi="Cambria"/>
              </w:rPr>
              <w:t> i </w:t>
            </w:r>
            <w:r w:rsidRPr="00A52AB8">
              <w:rPr>
                <w:rFonts w:ascii="Cambria" w:hAnsi="Cambria"/>
              </w:rPr>
              <w:t>&lt;</w:t>
            </w:r>
            <w:r w:rsidR="00E85135" w:rsidRPr="00A52AB8">
              <w:rPr>
                <w:rFonts w:ascii="Cambria" w:hAnsi="Cambria"/>
              </w:rPr>
              <w:t> </w:t>
            </w:r>
            <w:r w:rsidR="00C608C9" w:rsidRPr="00A52AB8">
              <w:rPr>
                <w:rFonts w:ascii="Cambria" w:hAnsi="Cambria"/>
              </w:rPr>
              <w:t>afti_num_tiles_in_atlas_frame_minus1</w:t>
            </w:r>
            <w:r w:rsidR="00162963" w:rsidRPr="00A52AB8">
              <w:rPr>
                <w:rFonts w:ascii="Cambria" w:hAnsi="Cambria"/>
              </w:rPr>
              <w:t> + 1</w:t>
            </w:r>
            <w:r w:rsidRPr="00A52AB8">
              <w:rPr>
                <w:rFonts w:ascii="Cambria" w:hAnsi="Cambria"/>
              </w:rPr>
              <w:t>;</w:t>
            </w:r>
            <w:r w:rsidR="00E85135" w:rsidRPr="00A52AB8">
              <w:rPr>
                <w:rFonts w:ascii="Cambria" w:hAnsi="Cambria"/>
              </w:rPr>
              <w:t> </w:t>
            </w:r>
            <w:r w:rsidRPr="00A52AB8">
              <w:rPr>
                <w:rFonts w:ascii="Cambria" w:hAnsi="Cambria"/>
              </w:rPr>
              <w:t>i</w:t>
            </w:r>
            <w:r w:rsidR="00006CCF" w:rsidRPr="00A52AB8">
              <w:rPr>
                <w:rFonts w:ascii="Cambria" w:hAnsi="Cambria"/>
              </w:rPr>
              <w:t>++ </w:t>
            </w:r>
            <w:r w:rsidR="008F1F82" w:rsidRPr="00A52AB8">
              <w:rPr>
                <w:rFonts w:ascii="Cambria" w:hAnsi="Cambria"/>
              </w:rPr>
              <w:t>) {</w:t>
            </w:r>
          </w:p>
        </w:tc>
        <w:tc>
          <w:tcPr>
            <w:tcW w:w="1253" w:type="dxa"/>
          </w:tcPr>
          <w:p w14:paraId="4EA4468E" w14:textId="77777777" w:rsidR="00B51DB2" w:rsidRPr="00A52AB8" w:rsidRDefault="00B51DB2">
            <w:pPr>
              <w:pStyle w:val="tablecell"/>
              <w:keepNext w:val="0"/>
              <w:keepLines w:val="0"/>
              <w:spacing w:before="20" w:after="40"/>
              <w:jc w:val="center"/>
              <w:rPr>
                <w:rFonts w:ascii="Cambria" w:hAnsi="Cambria"/>
              </w:rPr>
            </w:pPr>
          </w:p>
        </w:tc>
      </w:tr>
      <w:tr w:rsidR="00B51DB2" w:rsidRPr="00A52AB8" w14:paraId="350EE7D8" w14:textId="77777777" w:rsidTr="00A252B5">
        <w:tc>
          <w:tcPr>
            <w:tcW w:w="7921" w:type="dxa"/>
          </w:tcPr>
          <w:p w14:paraId="4959CB87" w14:textId="77777777" w:rsidR="00B51DB2" w:rsidRPr="00A52AB8" w:rsidRDefault="00B51DB2">
            <w:pPr>
              <w:pStyle w:val="tablesyntax"/>
              <w:keepNext w:val="0"/>
              <w:keepLines w:val="0"/>
              <w:spacing w:before="20" w:after="40"/>
              <w:rPr>
                <w:rFonts w:ascii="Cambria" w:hAnsi="Cambria"/>
                <w:b/>
                <w:bCs/>
              </w:rPr>
            </w:pPr>
            <w:r w:rsidRPr="00A52AB8">
              <w:rPr>
                <w:rFonts w:ascii="Cambria" w:hAnsi="Cambria"/>
                <w:b/>
                <w:bCs/>
              </w:rPr>
              <w:tab/>
            </w:r>
            <w:r w:rsidRPr="00A52AB8">
              <w:rPr>
                <w:rFonts w:ascii="Cambria" w:hAnsi="Cambria"/>
                <w:b/>
                <w:bCs/>
              </w:rPr>
              <w:tab/>
            </w:r>
            <w:r w:rsidR="0097644F" w:rsidRPr="00A52AB8">
              <w:rPr>
                <w:rFonts w:ascii="Cambria" w:hAnsi="Cambria"/>
                <w:b/>
                <w:bCs/>
              </w:rPr>
              <w:tab/>
            </w:r>
            <w:r w:rsidRPr="00A52AB8">
              <w:rPr>
                <w:rFonts w:ascii="Cambria" w:hAnsi="Cambria"/>
                <w:b/>
                <w:bCs/>
              </w:rPr>
              <w:tab/>
            </w:r>
            <w:r w:rsidR="00185709" w:rsidRPr="00A52AB8">
              <w:rPr>
                <w:rFonts w:ascii="Cambria" w:hAnsi="Cambria"/>
                <w:b/>
                <w:bCs/>
              </w:rPr>
              <w:t>afti_top_left_partition_idx</w:t>
            </w:r>
            <w:r w:rsidR="001F4484" w:rsidRPr="00A52AB8">
              <w:rPr>
                <w:rFonts w:ascii="Cambria" w:hAnsi="Cambria"/>
                <w:bCs/>
              </w:rPr>
              <w:t>[ i ]</w:t>
            </w:r>
          </w:p>
        </w:tc>
        <w:tc>
          <w:tcPr>
            <w:tcW w:w="1253" w:type="dxa"/>
          </w:tcPr>
          <w:p w14:paraId="14E1C9FF" w14:textId="77777777" w:rsidR="00B51DB2" w:rsidRPr="00A52AB8" w:rsidRDefault="00B51DB2">
            <w:pPr>
              <w:pStyle w:val="tablecell"/>
              <w:keepNext w:val="0"/>
              <w:keepLines w:val="0"/>
              <w:spacing w:before="20" w:after="40"/>
              <w:jc w:val="center"/>
              <w:rPr>
                <w:rFonts w:ascii="Cambria" w:hAnsi="Cambria"/>
              </w:rPr>
            </w:pPr>
            <w:r w:rsidRPr="00A52AB8">
              <w:rPr>
                <w:rFonts w:ascii="Cambria" w:hAnsi="Cambria"/>
              </w:rPr>
              <w:t>u(v)</w:t>
            </w:r>
          </w:p>
        </w:tc>
      </w:tr>
      <w:tr w:rsidR="00B51DB2" w:rsidRPr="00A52AB8" w14:paraId="3B432B80" w14:textId="77777777" w:rsidTr="00A252B5">
        <w:tc>
          <w:tcPr>
            <w:tcW w:w="7921" w:type="dxa"/>
          </w:tcPr>
          <w:p w14:paraId="17E129C1" w14:textId="77777777" w:rsidR="00B51DB2" w:rsidRPr="00A52AB8" w:rsidRDefault="00B51DB2">
            <w:pPr>
              <w:pStyle w:val="tablesyntax"/>
              <w:keepNext w:val="0"/>
              <w:keepLines w:val="0"/>
              <w:spacing w:before="20" w:after="40"/>
              <w:rPr>
                <w:rFonts w:ascii="Cambria" w:hAnsi="Cambria"/>
                <w:b/>
                <w:bCs/>
              </w:rPr>
            </w:pPr>
            <w:r w:rsidRPr="00A52AB8">
              <w:rPr>
                <w:rFonts w:ascii="Cambria" w:hAnsi="Cambria"/>
                <w:b/>
                <w:bCs/>
              </w:rPr>
              <w:tab/>
            </w:r>
            <w:r w:rsidRPr="00A52AB8">
              <w:rPr>
                <w:rFonts w:ascii="Cambria" w:hAnsi="Cambria"/>
                <w:b/>
                <w:bCs/>
              </w:rPr>
              <w:tab/>
            </w:r>
            <w:r w:rsidR="0097644F" w:rsidRPr="00A52AB8">
              <w:rPr>
                <w:rFonts w:ascii="Cambria" w:hAnsi="Cambria"/>
                <w:b/>
                <w:bCs/>
              </w:rPr>
              <w:tab/>
            </w:r>
            <w:r w:rsidRPr="00A52AB8">
              <w:rPr>
                <w:rFonts w:ascii="Cambria" w:hAnsi="Cambria"/>
                <w:b/>
                <w:bCs/>
              </w:rPr>
              <w:tab/>
            </w:r>
            <w:r w:rsidR="008F0D00" w:rsidRPr="00A52AB8">
              <w:rPr>
                <w:rFonts w:ascii="Cambria" w:hAnsi="Cambria"/>
                <w:b/>
                <w:bCs/>
              </w:rPr>
              <w:t>afti_</w:t>
            </w:r>
            <w:r w:rsidRPr="00A52AB8">
              <w:rPr>
                <w:rFonts w:ascii="Cambria" w:hAnsi="Cambria"/>
                <w:b/>
                <w:bCs/>
              </w:rPr>
              <w:t>bottom_right_</w:t>
            </w:r>
            <w:r w:rsidR="00185709" w:rsidRPr="00A52AB8">
              <w:rPr>
                <w:rFonts w:ascii="Cambria" w:hAnsi="Cambria"/>
                <w:b/>
                <w:bCs/>
              </w:rPr>
              <w:t>partition</w:t>
            </w:r>
            <w:r w:rsidRPr="00A52AB8">
              <w:rPr>
                <w:rFonts w:ascii="Cambria" w:hAnsi="Cambria"/>
                <w:b/>
                <w:bCs/>
              </w:rPr>
              <w:t>_</w:t>
            </w:r>
            <w:r w:rsidR="00185709" w:rsidRPr="00A52AB8">
              <w:rPr>
                <w:rFonts w:ascii="Cambria" w:hAnsi="Cambria"/>
                <w:b/>
                <w:bCs/>
              </w:rPr>
              <w:t>column</w:t>
            </w:r>
            <w:r w:rsidR="002D0DC0" w:rsidRPr="00A52AB8">
              <w:rPr>
                <w:rFonts w:ascii="Cambria" w:hAnsi="Cambria"/>
                <w:b/>
                <w:bCs/>
              </w:rPr>
              <w:t>_</w:t>
            </w:r>
            <w:r w:rsidR="00185709" w:rsidRPr="00A52AB8">
              <w:rPr>
                <w:rFonts w:ascii="Cambria" w:hAnsi="Cambria"/>
                <w:b/>
                <w:bCs/>
              </w:rPr>
              <w:t>offset</w:t>
            </w:r>
            <w:r w:rsidR="001F4484" w:rsidRPr="00A52AB8">
              <w:rPr>
                <w:rFonts w:ascii="Cambria" w:hAnsi="Cambria"/>
                <w:bCs/>
              </w:rPr>
              <w:t>[ i ]</w:t>
            </w:r>
          </w:p>
        </w:tc>
        <w:tc>
          <w:tcPr>
            <w:tcW w:w="1253" w:type="dxa"/>
          </w:tcPr>
          <w:p w14:paraId="340B9440" w14:textId="77777777" w:rsidR="00B51DB2" w:rsidRPr="00A52AB8" w:rsidRDefault="00B51DB2">
            <w:pPr>
              <w:pStyle w:val="tablecell"/>
              <w:keepNext w:val="0"/>
              <w:keepLines w:val="0"/>
              <w:spacing w:before="20" w:after="40"/>
              <w:jc w:val="center"/>
              <w:rPr>
                <w:rFonts w:ascii="Cambria" w:hAnsi="Cambria"/>
              </w:rPr>
            </w:pPr>
            <w:r w:rsidRPr="00A52AB8">
              <w:rPr>
                <w:rFonts w:ascii="Cambria" w:hAnsi="Cambria"/>
              </w:rPr>
              <w:t>u</w:t>
            </w:r>
            <w:r w:rsidR="00185709" w:rsidRPr="00A52AB8">
              <w:rPr>
                <w:rFonts w:ascii="Cambria" w:hAnsi="Cambria"/>
              </w:rPr>
              <w:t>e</w:t>
            </w:r>
            <w:r w:rsidRPr="00A52AB8">
              <w:rPr>
                <w:rFonts w:ascii="Cambria" w:hAnsi="Cambria"/>
              </w:rPr>
              <w:t>(v)</w:t>
            </w:r>
          </w:p>
        </w:tc>
      </w:tr>
      <w:tr w:rsidR="00185709" w:rsidRPr="00A52AB8" w14:paraId="2FC42319" w14:textId="77777777" w:rsidTr="00A252B5">
        <w:tc>
          <w:tcPr>
            <w:tcW w:w="7921" w:type="dxa"/>
          </w:tcPr>
          <w:p w14:paraId="1AE89595" w14:textId="77777777" w:rsidR="00185709" w:rsidRPr="00A52AB8" w:rsidRDefault="00185709" w:rsidP="00152DEE">
            <w:pPr>
              <w:pStyle w:val="tablesyntax"/>
              <w:keepNext w:val="0"/>
              <w:keepLines w:val="0"/>
              <w:spacing w:before="20" w:after="40"/>
              <w:rPr>
                <w:rFonts w:ascii="Cambria" w:hAnsi="Cambria"/>
                <w:b/>
                <w:bCs/>
              </w:rPr>
            </w:pPr>
            <w:r w:rsidRPr="00A52AB8">
              <w:rPr>
                <w:rFonts w:ascii="Cambria" w:hAnsi="Cambria"/>
                <w:b/>
                <w:bCs/>
              </w:rPr>
              <w:tab/>
            </w:r>
            <w:r w:rsidRPr="00A52AB8">
              <w:rPr>
                <w:rFonts w:ascii="Cambria" w:hAnsi="Cambria"/>
                <w:b/>
                <w:bCs/>
              </w:rPr>
              <w:tab/>
            </w:r>
            <w:r w:rsidRPr="00A52AB8">
              <w:rPr>
                <w:rFonts w:ascii="Cambria" w:hAnsi="Cambria"/>
                <w:b/>
                <w:bCs/>
              </w:rPr>
              <w:tab/>
            </w:r>
            <w:r w:rsidRPr="00A52AB8">
              <w:rPr>
                <w:rFonts w:ascii="Cambria" w:hAnsi="Cambria"/>
                <w:b/>
                <w:bCs/>
              </w:rPr>
              <w:tab/>
              <w:t>afti_bottom_right_partition_row_offset</w:t>
            </w:r>
            <w:r w:rsidRPr="00A52AB8">
              <w:rPr>
                <w:rFonts w:ascii="Cambria" w:hAnsi="Cambria"/>
                <w:bCs/>
              </w:rPr>
              <w:t>[ i ]</w:t>
            </w:r>
          </w:p>
        </w:tc>
        <w:tc>
          <w:tcPr>
            <w:tcW w:w="1253" w:type="dxa"/>
          </w:tcPr>
          <w:p w14:paraId="67BF44ED" w14:textId="77777777" w:rsidR="00185709" w:rsidRPr="00A52AB8" w:rsidRDefault="00185709" w:rsidP="00152DEE">
            <w:pPr>
              <w:pStyle w:val="tablecell"/>
              <w:keepNext w:val="0"/>
              <w:keepLines w:val="0"/>
              <w:spacing w:before="20" w:after="40"/>
              <w:jc w:val="center"/>
              <w:rPr>
                <w:rFonts w:ascii="Cambria" w:hAnsi="Cambria"/>
              </w:rPr>
            </w:pPr>
            <w:r w:rsidRPr="00A52AB8">
              <w:rPr>
                <w:rFonts w:ascii="Cambria" w:hAnsi="Cambria"/>
              </w:rPr>
              <w:t>ue(v)</w:t>
            </w:r>
          </w:p>
        </w:tc>
      </w:tr>
      <w:tr w:rsidR="00B51DB2" w:rsidRPr="00A52AB8" w14:paraId="6F18D3B8" w14:textId="77777777" w:rsidTr="00A252B5">
        <w:tc>
          <w:tcPr>
            <w:tcW w:w="7921" w:type="dxa"/>
          </w:tcPr>
          <w:p w14:paraId="1283383F" w14:textId="77777777" w:rsidR="00B51DB2" w:rsidRPr="00A52AB8" w:rsidRDefault="00B51DB2">
            <w:pPr>
              <w:pStyle w:val="tablesyntax"/>
              <w:keepNext w:val="0"/>
              <w:keepLines w:val="0"/>
              <w:spacing w:before="20" w:after="40"/>
              <w:rPr>
                <w:rFonts w:ascii="Cambria" w:hAnsi="Cambria"/>
                <w:b/>
                <w:bCs/>
              </w:rPr>
            </w:pPr>
            <w:r w:rsidRPr="00A52AB8">
              <w:rPr>
                <w:rFonts w:ascii="Cambria" w:hAnsi="Cambria"/>
                <w:b/>
                <w:bCs/>
              </w:rPr>
              <w:tab/>
            </w:r>
            <w:r w:rsidR="0097644F" w:rsidRPr="00A52AB8">
              <w:rPr>
                <w:rFonts w:ascii="Cambria" w:hAnsi="Cambria"/>
                <w:b/>
                <w:bCs/>
              </w:rPr>
              <w:tab/>
            </w:r>
            <w:r w:rsidRPr="00A52AB8">
              <w:rPr>
                <w:rFonts w:ascii="Cambria" w:hAnsi="Cambria"/>
                <w:b/>
                <w:bCs/>
              </w:rPr>
              <w:tab/>
            </w:r>
            <w:r w:rsidRPr="00A52AB8">
              <w:rPr>
                <w:rFonts w:ascii="Cambria" w:hAnsi="Cambria"/>
                <w:bCs/>
              </w:rPr>
              <w:t>}</w:t>
            </w:r>
          </w:p>
        </w:tc>
        <w:tc>
          <w:tcPr>
            <w:tcW w:w="1253" w:type="dxa"/>
          </w:tcPr>
          <w:p w14:paraId="4F118B46" w14:textId="77777777" w:rsidR="00B51DB2" w:rsidRPr="00A52AB8" w:rsidRDefault="00B51DB2">
            <w:pPr>
              <w:pStyle w:val="tablecell"/>
              <w:keepNext w:val="0"/>
              <w:keepLines w:val="0"/>
              <w:spacing w:before="20" w:after="40"/>
              <w:jc w:val="center"/>
              <w:rPr>
                <w:rFonts w:ascii="Cambria" w:hAnsi="Cambria"/>
              </w:rPr>
            </w:pPr>
          </w:p>
        </w:tc>
      </w:tr>
      <w:tr w:rsidR="00B51DB2" w:rsidRPr="00A52AB8" w14:paraId="4FCBAC0E" w14:textId="77777777" w:rsidTr="00A252B5">
        <w:tc>
          <w:tcPr>
            <w:tcW w:w="7921" w:type="dxa"/>
          </w:tcPr>
          <w:p w14:paraId="267F2B23" w14:textId="77777777" w:rsidR="00B51DB2" w:rsidRPr="00A52AB8" w:rsidRDefault="00B51DB2">
            <w:pPr>
              <w:pStyle w:val="tablesyntax"/>
              <w:keepNext w:val="0"/>
              <w:keepLines w:val="0"/>
              <w:spacing w:before="20" w:after="40"/>
              <w:rPr>
                <w:rFonts w:ascii="Cambria" w:hAnsi="Cambria"/>
                <w:b/>
                <w:bCs/>
              </w:rPr>
            </w:pPr>
            <w:r w:rsidRPr="00A52AB8">
              <w:rPr>
                <w:rFonts w:ascii="Cambria" w:hAnsi="Cambria"/>
                <w:bCs/>
              </w:rPr>
              <w:tab/>
            </w:r>
            <w:r w:rsidR="0097644F" w:rsidRPr="00A52AB8">
              <w:rPr>
                <w:rFonts w:ascii="Cambria" w:hAnsi="Cambria"/>
                <w:bCs/>
              </w:rPr>
              <w:tab/>
            </w:r>
            <w:r w:rsidRPr="00A52AB8">
              <w:rPr>
                <w:rFonts w:ascii="Cambria" w:hAnsi="Cambria"/>
                <w:bCs/>
              </w:rPr>
              <w:t>}</w:t>
            </w:r>
          </w:p>
        </w:tc>
        <w:tc>
          <w:tcPr>
            <w:tcW w:w="1253" w:type="dxa"/>
          </w:tcPr>
          <w:p w14:paraId="77A6A9C4" w14:textId="77777777" w:rsidR="00B51DB2" w:rsidRPr="00A52AB8" w:rsidRDefault="00B51DB2">
            <w:pPr>
              <w:pStyle w:val="tablecell"/>
              <w:keepNext w:val="0"/>
              <w:keepLines w:val="0"/>
              <w:spacing w:before="20" w:after="40"/>
              <w:jc w:val="center"/>
              <w:rPr>
                <w:rFonts w:ascii="Cambria" w:hAnsi="Cambria"/>
              </w:rPr>
            </w:pPr>
          </w:p>
        </w:tc>
      </w:tr>
      <w:tr w:rsidR="00984E4E" w:rsidRPr="00A52AB8" w14:paraId="04FC5384" w14:textId="77777777" w:rsidTr="00A252B5">
        <w:tc>
          <w:tcPr>
            <w:tcW w:w="7921" w:type="dxa"/>
          </w:tcPr>
          <w:p w14:paraId="539465A2" w14:textId="77777777" w:rsidR="00984E4E" w:rsidRPr="00A52AB8" w:rsidRDefault="00984E4E">
            <w:pPr>
              <w:spacing w:before="20" w:after="20"/>
              <w:rPr>
                <w:sz w:val="20"/>
                <w:szCs w:val="20"/>
              </w:rPr>
            </w:pPr>
            <w:r w:rsidRPr="00A52AB8">
              <w:rPr>
                <w:sz w:val="20"/>
                <w:szCs w:val="20"/>
              </w:rPr>
              <w:tab/>
            </w:r>
            <w:r w:rsidRPr="00A52AB8">
              <w:rPr>
                <w:sz w:val="20"/>
                <w:szCs w:val="20"/>
              </w:rPr>
              <w:tab/>
              <w:t>else</w:t>
            </w:r>
          </w:p>
        </w:tc>
        <w:tc>
          <w:tcPr>
            <w:tcW w:w="1253" w:type="dxa"/>
          </w:tcPr>
          <w:p w14:paraId="7F0BDBCD" w14:textId="77777777" w:rsidR="00984E4E" w:rsidRPr="00A52AB8" w:rsidRDefault="00984E4E" w:rsidP="00A252B5">
            <w:pPr>
              <w:spacing w:before="20" w:after="20"/>
              <w:jc w:val="center"/>
              <w:rPr>
                <w:sz w:val="20"/>
                <w:szCs w:val="20"/>
              </w:rPr>
            </w:pPr>
          </w:p>
        </w:tc>
      </w:tr>
      <w:tr w:rsidR="00984E4E" w:rsidRPr="00A52AB8" w14:paraId="2E10B3E9" w14:textId="77777777" w:rsidTr="00A252B5">
        <w:tc>
          <w:tcPr>
            <w:tcW w:w="7921" w:type="dxa"/>
          </w:tcPr>
          <w:p w14:paraId="5F1CB529" w14:textId="31589AC3" w:rsidR="00984E4E" w:rsidRPr="00A52AB8" w:rsidRDefault="00984E4E">
            <w:pPr>
              <w:spacing w:before="20" w:after="20"/>
              <w:rPr>
                <w:sz w:val="20"/>
                <w:szCs w:val="20"/>
              </w:rPr>
            </w:pPr>
            <w:r w:rsidRPr="00A52AB8">
              <w:rPr>
                <w:sz w:val="20"/>
                <w:szCs w:val="20"/>
              </w:rPr>
              <w:tab/>
            </w:r>
            <w:r w:rsidRPr="00A52AB8">
              <w:rPr>
                <w:sz w:val="20"/>
                <w:szCs w:val="20"/>
              </w:rPr>
              <w:tab/>
            </w:r>
            <w:r w:rsidRPr="00A52AB8">
              <w:rPr>
                <w:sz w:val="20"/>
                <w:szCs w:val="20"/>
              </w:rPr>
              <w:tab/>
              <w:t>afti_num_tiles_in_atlas_frame_minus1</w:t>
            </w:r>
            <w:r w:rsidR="00D47707" w:rsidRPr="00A52AB8">
              <w:rPr>
                <w:sz w:val="20"/>
                <w:szCs w:val="20"/>
              </w:rPr>
              <w:t> = </w:t>
            </w:r>
            <w:r w:rsidRPr="00A52AB8">
              <w:rPr>
                <w:sz w:val="20"/>
                <w:szCs w:val="20"/>
              </w:rPr>
              <w:t>NumPartitionsInAtlasFrame</w:t>
            </w:r>
            <w:r w:rsidR="00E85135" w:rsidRPr="00A52AB8">
              <w:rPr>
                <w:sz w:val="20"/>
                <w:szCs w:val="20"/>
              </w:rPr>
              <w:t> </w:t>
            </w:r>
            <w:r w:rsidRPr="00A52AB8">
              <w:rPr>
                <w:sz w:val="20"/>
                <w:szCs w:val="20"/>
              </w:rPr>
              <w:t>–</w:t>
            </w:r>
            <w:r w:rsidR="00E85135" w:rsidRPr="00A52AB8">
              <w:rPr>
                <w:sz w:val="20"/>
                <w:szCs w:val="20"/>
              </w:rPr>
              <w:t> </w:t>
            </w:r>
            <w:r w:rsidRPr="00A52AB8">
              <w:rPr>
                <w:sz w:val="20"/>
                <w:szCs w:val="20"/>
              </w:rPr>
              <w:t>1</w:t>
            </w:r>
          </w:p>
        </w:tc>
        <w:tc>
          <w:tcPr>
            <w:tcW w:w="1253" w:type="dxa"/>
          </w:tcPr>
          <w:p w14:paraId="6B5EC74D" w14:textId="77777777" w:rsidR="00984E4E" w:rsidRPr="00A52AB8" w:rsidRDefault="00984E4E" w:rsidP="00A252B5">
            <w:pPr>
              <w:spacing w:before="20" w:after="20"/>
              <w:jc w:val="center"/>
              <w:rPr>
                <w:sz w:val="20"/>
                <w:szCs w:val="20"/>
              </w:rPr>
            </w:pPr>
          </w:p>
        </w:tc>
      </w:tr>
      <w:tr w:rsidR="005B5C79" w:rsidRPr="00A52AB8" w14:paraId="690EDD57" w14:textId="77777777" w:rsidTr="00A252B5">
        <w:tc>
          <w:tcPr>
            <w:tcW w:w="7921" w:type="dxa"/>
          </w:tcPr>
          <w:p w14:paraId="51D2AA84" w14:textId="77777777" w:rsidR="005B5C79" w:rsidRPr="00A52AB8" w:rsidRDefault="005B5C79">
            <w:pPr>
              <w:spacing w:before="20" w:after="20"/>
              <w:rPr>
                <w:sz w:val="20"/>
                <w:szCs w:val="20"/>
              </w:rPr>
            </w:pPr>
            <w:r w:rsidRPr="00A52AB8">
              <w:rPr>
                <w:sz w:val="20"/>
                <w:szCs w:val="20"/>
              </w:rPr>
              <w:tab/>
              <w:t>}</w:t>
            </w:r>
          </w:p>
        </w:tc>
        <w:tc>
          <w:tcPr>
            <w:tcW w:w="1253" w:type="dxa"/>
          </w:tcPr>
          <w:p w14:paraId="19E45EA0" w14:textId="77777777" w:rsidR="005B5C79" w:rsidRPr="00A52AB8" w:rsidRDefault="005B5C79" w:rsidP="00A252B5">
            <w:pPr>
              <w:spacing w:before="20" w:after="20"/>
              <w:jc w:val="center"/>
              <w:rPr>
                <w:sz w:val="20"/>
                <w:szCs w:val="20"/>
              </w:rPr>
            </w:pPr>
          </w:p>
        </w:tc>
      </w:tr>
      <w:tr w:rsidR="00984E4E" w:rsidRPr="00A52AB8" w14:paraId="4576680B" w14:textId="77777777" w:rsidTr="00A252B5">
        <w:tc>
          <w:tcPr>
            <w:tcW w:w="7921" w:type="dxa"/>
          </w:tcPr>
          <w:p w14:paraId="7A4E3BCD" w14:textId="77777777" w:rsidR="00984E4E" w:rsidRPr="00A52AB8" w:rsidRDefault="00984E4E" w:rsidP="005B5C79">
            <w:pPr>
              <w:spacing w:before="20" w:after="20"/>
              <w:rPr>
                <w:sz w:val="20"/>
                <w:szCs w:val="20"/>
              </w:rPr>
            </w:pPr>
            <w:r w:rsidRPr="00A52AB8">
              <w:rPr>
                <w:b/>
                <w:bCs/>
                <w:sz w:val="20"/>
                <w:szCs w:val="20"/>
              </w:rPr>
              <w:tab/>
            </w:r>
            <w:r w:rsidRPr="00A52AB8">
              <w:rPr>
                <w:sz w:val="20"/>
                <w:szCs w:val="20"/>
              </w:rPr>
              <w:t>else</w:t>
            </w:r>
          </w:p>
        </w:tc>
        <w:tc>
          <w:tcPr>
            <w:tcW w:w="1253" w:type="dxa"/>
          </w:tcPr>
          <w:p w14:paraId="26592893" w14:textId="77777777" w:rsidR="00984E4E" w:rsidRPr="00A52AB8" w:rsidRDefault="00984E4E" w:rsidP="00A252B5">
            <w:pPr>
              <w:spacing w:before="20" w:after="20"/>
              <w:jc w:val="center"/>
              <w:rPr>
                <w:sz w:val="20"/>
                <w:szCs w:val="20"/>
              </w:rPr>
            </w:pPr>
          </w:p>
        </w:tc>
      </w:tr>
      <w:tr w:rsidR="00984E4E" w:rsidRPr="00A52AB8" w14:paraId="250AB692" w14:textId="77777777" w:rsidTr="00A252B5">
        <w:tc>
          <w:tcPr>
            <w:tcW w:w="7921" w:type="dxa"/>
          </w:tcPr>
          <w:p w14:paraId="6A824343" w14:textId="61EFAC08" w:rsidR="00984E4E" w:rsidRPr="00A52AB8" w:rsidRDefault="00984E4E" w:rsidP="00984E4E">
            <w:pPr>
              <w:spacing w:before="20" w:after="20"/>
              <w:rPr>
                <w:b/>
                <w:bCs/>
                <w:sz w:val="20"/>
                <w:szCs w:val="20"/>
              </w:rPr>
            </w:pPr>
            <w:r w:rsidRPr="00A52AB8">
              <w:rPr>
                <w:sz w:val="20"/>
                <w:szCs w:val="20"/>
              </w:rPr>
              <w:tab/>
            </w:r>
            <w:r w:rsidRPr="00A52AB8">
              <w:rPr>
                <w:sz w:val="20"/>
                <w:szCs w:val="20"/>
              </w:rPr>
              <w:tab/>
              <w:t>afti_num_tiles_in_atlas_frame_minus1</w:t>
            </w:r>
            <w:r w:rsidR="00D47707" w:rsidRPr="00A52AB8">
              <w:rPr>
                <w:sz w:val="20"/>
                <w:szCs w:val="20"/>
              </w:rPr>
              <w:t> = </w:t>
            </w:r>
            <w:r w:rsidRPr="00A52AB8">
              <w:rPr>
                <w:sz w:val="20"/>
                <w:szCs w:val="20"/>
              </w:rPr>
              <w:t>0</w:t>
            </w:r>
          </w:p>
        </w:tc>
        <w:tc>
          <w:tcPr>
            <w:tcW w:w="1253" w:type="dxa"/>
          </w:tcPr>
          <w:p w14:paraId="225B564E" w14:textId="77777777" w:rsidR="00984E4E" w:rsidRPr="00A52AB8" w:rsidRDefault="00984E4E" w:rsidP="00A252B5">
            <w:pPr>
              <w:spacing w:before="20" w:after="20"/>
              <w:jc w:val="center"/>
              <w:rPr>
                <w:sz w:val="20"/>
                <w:szCs w:val="20"/>
              </w:rPr>
            </w:pPr>
          </w:p>
        </w:tc>
      </w:tr>
      <w:tr w:rsidR="00984E4E" w:rsidRPr="00A52AB8" w14:paraId="0DCFACD5" w14:textId="77777777" w:rsidTr="00A252B5">
        <w:tc>
          <w:tcPr>
            <w:tcW w:w="7921" w:type="dxa"/>
          </w:tcPr>
          <w:p w14:paraId="270AB66A" w14:textId="42A79808" w:rsidR="00984E4E" w:rsidRPr="00A52AB8" w:rsidRDefault="00984E4E" w:rsidP="00984E4E">
            <w:pPr>
              <w:spacing w:before="20" w:after="20"/>
              <w:rPr>
                <w:b/>
                <w:bCs/>
                <w:sz w:val="20"/>
                <w:szCs w:val="20"/>
              </w:rPr>
            </w:pPr>
            <w:r w:rsidRPr="00A52AB8">
              <w:rPr>
                <w:b/>
                <w:bCs/>
                <w:sz w:val="20"/>
                <w:szCs w:val="20"/>
              </w:rPr>
              <w:tab/>
            </w:r>
            <w:r w:rsidRPr="00A52AB8">
              <w:rPr>
                <w:sz w:val="20"/>
                <w:szCs w:val="20"/>
              </w:rPr>
              <w:t>if( asps_auxiliary_video_enabled_flag </w:t>
            </w:r>
            <w:r w:rsidR="008F1F82" w:rsidRPr="00A52AB8">
              <w:rPr>
                <w:sz w:val="20"/>
                <w:szCs w:val="20"/>
              </w:rPr>
              <w:t>) {</w:t>
            </w:r>
          </w:p>
        </w:tc>
        <w:tc>
          <w:tcPr>
            <w:tcW w:w="1253" w:type="dxa"/>
          </w:tcPr>
          <w:p w14:paraId="6104BCE6" w14:textId="77777777" w:rsidR="00984E4E" w:rsidRPr="00A52AB8" w:rsidRDefault="00984E4E" w:rsidP="00A252B5">
            <w:pPr>
              <w:spacing w:before="20" w:after="20"/>
              <w:jc w:val="center"/>
              <w:rPr>
                <w:sz w:val="20"/>
                <w:szCs w:val="20"/>
              </w:rPr>
            </w:pPr>
          </w:p>
        </w:tc>
      </w:tr>
      <w:tr w:rsidR="00984E4E" w:rsidRPr="00A52AB8" w14:paraId="6BD9C06A" w14:textId="77777777" w:rsidTr="00A252B5">
        <w:tc>
          <w:tcPr>
            <w:tcW w:w="7921" w:type="dxa"/>
          </w:tcPr>
          <w:p w14:paraId="732622B8" w14:textId="77777777" w:rsidR="00984E4E" w:rsidRPr="00A52AB8" w:rsidRDefault="00984E4E" w:rsidP="00984E4E">
            <w:pPr>
              <w:spacing w:before="20" w:after="20"/>
              <w:rPr>
                <w:b/>
                <w:bCs/>
                <w:sz w:val="20"/>
                <w:szCs w:val="20"/>
              </w:rPr>
            </w:pPr>
            <w:r w:rsidRPr="00A52AB8">
              <w:rPr>
                <w:b/>
                <w:bCs/>
                <w:sz w:val="20"/>
                <w:szCs w:val="20"/>
              </w:rPr>
              <w:tab/>
            </w:r>
            <w:r w:rsidRPr="00A52AB8">
              <w:rPr>
                <w:b/>
                <w:bCs/>
                <w:sz w:val="20"/>
                <w:szCs w:val="20"/>
              </w:rPr>
              <w:tab/>
              <w:t>afti_auxiliary_video_tile_row_width_minus1</w:t>
            </w:r>
          </w:p>
        </w:tc>
        <w:tc>
          <w:tcPr>
            <w:tcW w:w="1253" w:type="dxa"/>
          </w:tcPr>
          <w:p w14:paraId="190EE7A7" w14:textId="77777777" w:rsidR="00984E4E" w:rsidRPr="00A52AB8" w:rsidRDefault="00984E4E" w:rsidP="00A252B5">
            <w:pPr>
              <w:spacing w:before="20" w:after="20"/>
              <w:jc w:val="center"/>
              <w:rPr>
                <w:sz w:val="20"/>
                <w:szCs w:val="20"/>
              </w:rPr>
            </w:pPr>
            <w:r w:rsidRPr="00A52AB8">
              <w:rPr>
                <w:sz w:val="20"/>
                <w:szCs w:val="20"/>
              </w:rPr>
              <w:t>ue(v)</w:t>
            </w:r>
          </w:p>
        </w:tc>
      </w:tr>
      <w:tr w:rsidR="00984E4E" w:rsidRPr="00A52AB8" w14:paraId="047926E0" w14:textId="77777777" w:rsidTr="00A252B5">
        <w:tc>
          <w:tcPr>
            <w:tcW w:w="7921" w:type="dxa"/>
          </w:tcPr>
          <w:p w14:paraId="1BB79F0B" w14:textId="508508B2" w:rsidR="00984E4E" w:rsidRPr="00A52AB8" w:rsidRDefault="00984E4E" w:rsidP="00984E4E">
            <w:pPr>
              <w:spacing w:before="20" w:after="20"/>
              <w:rPr>
                <w:b/>
                <w:bCs/>
                <w:sz w:val="20"/>
                <w:szCs w:val="20"/>
              </w:rPr>
            </w:pPr>
            <w:r w:rsidRPr="00A52AB8">
              <w:rPr>
                <w:b/>
                <w:bCs/>
                <w:sz w:val="20"/>
                <w:szCs w:val="20"/>
              </w:rPr>
              <w:tab/>
            </w:r>
            <w:r w:rsidRPr="00A52AB8">
              <w:rPr>
                <w:b/>
                <w:bCs/>
                <w:sz w:val="20"/>
                <w:szCs w:val="20"/>
              </w:rPr>
              <w:tab/>
            </w:r>
            <w:r w:rsidRPr="00A52AB8">
              <w:rPr>
                <w:sz w:val="20"/>
                <w:szCs w:val="20"/>
              </w:rPr>
              <w:t>for( </w:t>
            </w:r>
            <w:r w:rsidR="00E85135" w:rsidRPr="00A52AB8">
              <w:rPr>
                <w:sz w:val="20"/>
                <w:szCs w:val="20"/>
              </w:rPr>
              <w:t>i</w:t>
            </w:r>
            <w:r w:rsidR="00D47707" w:rsidRPr="00A52AB8">
              <w:rPr>
                <w:sz w:val="20"/>
                <w:szCs w:val="20"/>
              </w:rPr>
              <w:t> = </w:t>
            </w:r>
            <w:r w:rsidRPr="00A52AB8">
              <w:rPr>
                <w:sz w:val="20"/>
                <w:szCs w:val="20"/>
              </w:rPr>
              <w:t>0;</w:t>
            </w:r>
            <w:r w:rsidR="00E85135" w:rsidRPr="00A52AB8">
              <w:rPr>
                <w:sz w:val="20"/>
                <w:szCs w:val="20"/>
              </w:rPr>
              <w:t> </w:t>
            </w:r>
            <w:r w:rsidRPr="00A52AB8">
              <w:rPr>
                <w:sz w:val="20"/>
                <w:szCs w:val="20"/>
              </w:rPr>
              <w:t>i &lt;</w:t>
            </w:r>
            <w:r w:rsidR="00E85135" w:rsidRPr="00A52AB8">
              <w:rPr>
                <w:sz w:val="20"/>
                <w:szCs w:val="20"/>
              </w:rPr>
              <w:t> </w:t>
            </w:r>
            <w:r w:rsidRPr="00A52AB8">
              <w:rPr>
                <w:sz w:val="20"/>
                <w:szCs w:val="20"/>
              </w:rPr>
              <w:t>afti_num_tiles_in_atlas_frame_minus1 + 1;</w:t>
            </w:r>
            <w:r w:rsidR="00E85135" w:rsidRPr="00A52AB8">
              <w:rPr>
                <w:sz w:val="20"/>
                <w:szCs w:val="20"/>
              </w:rPr>
              <w:t> </w:t>
            </w:r>
            <w:r w:rsidRPr="00A52AB8">
              <w:rPr>
                <w:sz w:val="20"/>
                <w:szCs w:val="20"/>
              </w:rPr>
              <w:t>i</w:t>
            </w:r>
            <w:r w:rsidR="00006CCF" w:rsidRPr="00A52AB8">
              <w:rPr>
                <w:sz w:val="20"/>
                <w:szCs w:val="20"/>
              </w:rPr>
              <w:t>++ )</w:t>
            </w:r>
          </w:p>
        </w:tc>
        <w:tc>
          <w:tcPr>
            <w:tcW w:w="1253" w:type="dxa"/>
          </w:tcPr>
          <w:p w14:paraId="6E5D1846" w14:textId="77777777" w:rsidR="00984E4E" w:rsidRPr="00A52AB8" w:rsidRDefault="00984E4E" w:rsidP="00A252B5">
            <w:pPr>
              <w:spacing w:before="20" w:after="20"/>
              <w:jc w:val="center"/>
              <w:rPr>
                <w:sz w:val="20"/>
                <w:szCs w:val="20"/>
              </w:rPr>
            </w:pPr>
          </w:p>
        </w:tc>
      </w:tr>
      <w:tr w:rsidR="00984E4E" w:rsidRPr="00A52AB8" w14:paraId="3DCAF39A" w14:textId="77777777" w:rsidTr="00A252B5">
        <w:tc>
          <w:tcPr>
            <w:tcW w:w="7921" w:type="dxa"/>
          </w:tcPr>
          <w:p w14:paraId="36D51327" w14:textId="77777777" w:rsidR="00984E4E" w:rsidRPr="00A52AB8" w:rsidRDefault="00984E4E" w:rsidP="00984E4E">
            <w:pPr>
              <w:spacing w:before="20" w:after="20"/>
              <w:rPr>
                <w:b/>
                <w:bCs/>
                <w:sz w:val="20"/>
                <w:szCs w:val="20"/>
              </w:rPr>
            </w:pPr>
            <w:r w:rsidRPr="00A52AB8">
              <w:rPr>
                <w:b/>
                <w:bCs/>
                <w:sz w:val="20"/>
                <w:szCs w:val="20"/>
              </w:rPr>
              <w:tab/>
            </w:r>
            <w:r w:rsidRPr="00A52AB8">
              <w:rPr>
                <w:b/>
                <w:bCs/>
                <w:sz w:val="20"/>
                <w:szCs w:val="20"/>
              </w:rPr>
              <w:tab/>
            </w:r>
            <w:r w:rsidRPr="00A52AB8">
              <w:rPr>
                <w:b/>
                <w:bCs/>
                <w:sz w:val="20"/>
                <w:szCs w:val="20"/>
              </w:rPr>
              <w:tab/>
              <w:t>afti_auxiliary_video_tile_row_height</w:t>
            </w:r>
            <w:r w:rsidRPr="00A52AB8">
              <w:rPr>
                <w:bCs/>
                <w:sz w:val="20"/>
                <w:szCs w:val="20"/>
              </w:rPr>
              <w:t>[ i ]</w:t>
            </w:r>
          </w:p>
        </w:tc>
        <w:tc>
          <w:tcPr>
            <w:tcW w:w="1253" w:type="dxa"/>
          </w:tcPr>
          <w:p w14:paraId="274C865A" w14:textId="77777777" w:rsidR="00984E4E" w:rsidRPr="00A52AB8" w:rsidRDefault="00984E4E" w:rsidP="00A252B5">
            <w:pPr>
              <w:spacing w:before="20" w:after="20"/>
              <w:jc w:val="center"/>
              <w:rPr>
                <w:sz w:val="20"/>
                <w:szCs w:val="20"/>
              </w:rPr>
            </w:pPr>
            <w:r w:rsidRPr="00A52AB8">
              <w:rPr>
                <w:sz w:val="20"/>
                <w:szCs w:val="20"/>
              </w:rPr>
              <w:t>ue(v)</w:t>
            </w:r>
          </w:p>
        </w:tc>
      </w:tr>
      <w:tr w:rsidR="00984E4E" w:rsidRPr="00A52AB8" w14:paraId="663B8C73" w14:textId="77777777" w:rsidTr="00A252B5">
        <w:tc>
          <w:tcPr>
            <w:tcW w:w="7921" w:type="dxa"/>
          </w:tcPr>
          <w:p w14:paraId="2DF02AAC" w14:textId="77777777" w:rsidR="00984E4E" w:rsidRPr="00A52AB8" w:rsidRDefault="00984E4E" w:rsidP="00984E4E">
            <w:pPr>
              <w:spacing w:before="20" w:after="20"/>
              <w:rPr>
                <w:b/>
                <w:bCs/>
                <w:sz w:val="20"/>
                <w:szCs w:val="20"/>
              </w:rPr>
            </w:pPr>
            <w:r w:rsidRPr="00A52AB8">
              <w:rPr>
                <w:color w:val="000000" w:themeColor="text1"/>
                <w:sz w:val="20"/>
                <w:szCs w:val="20"/>
              </w:rPr>
              <w:tab/>
              <w:t>}</w:t>
            </w:r>
          </w:p>
        </w:tc>
        <w:tc>
          <w:tcPr>
            <w:tcW w:w="1253" w:type="dxa"/>
          </w:tcPr>
          <w:p w14:paraId="71A1C626" w14:textId="77777777" w:rsidR="00984E4E" w:rsidRPr="00A52AB8" w:rsidRDefault="00984E4E" w:rsidP="00A252B5">
            <w:pPr>
              <w:spacing w:before="20" w:after="20"/>
              <w:jc w:val="center"/>
              <w:rPr>
                <w:sz w:val="20"/>
                <w:szCs w:val="20"/>
              </w:rPr>
            </w:pPr>
          </w:p>
        </w:tc>
      </w:tr>
      <w:tr w:rsidR="00984E4E" w:rsidRPr="00A52AB8" w14:paraId="63BDFA7F" w14:textId="77777777" w:rsidTr="00A252B5">
        <w:tc>
          <w:tcPr>
            <w:tcW w:w="7921" w:type="dxa"/>
          </w:tcPr>
          <w:p w14:paraId="1588004E" w14:textId="77777777" w:rsidR="00984E4E" w:rsidRPr="00A52AB8" w:rsidRDefault="00984E4E" w:rsidP="00984E4E">
            <w:pPr>
              <w:spacing w:before="20" w:after="20"/>
              <w:rPr>
                <w:bCs/>
                <w:sz w:val="20"/>
                <w:szCs w:val="20"/>
                <w:lang w:eastAsia="ko-KR"/>
              </w:rPr>
            </w:pPr>
            <w:r w:rsidRPr="00A52AB8">
              <w:rPr>
                <w:b/>
                <w:bCs/>
                <w:sz w:val="20"/>
                <w:szCs w:val="20"/>
              </w:rPr>
              <w:tab/>
              <w:t>afti_signalled_tile_id_flag</w:t>
            </w:r>
          </w:p>
        </w:tc>
        <w:tc>
          <w:tcPr>
            <w:tcW w:w="1253" w:type="dxa"/>
          </w:tcPr>
          <w:p w14:paraId="1D8072BA" w14:textId="77777777" w:rsidR="00984E4E" w:rsidRPr="00A52AB8" w:rsidRDefault="00984E4E" w:rsidP="00A252B5">
            <w:pPr>
              <w:spacing w:before="20" w:after="20"/>
              <w:jc w:val="center"/>
              <w:rPr>
                <w:sz w:val="20"/>
                <w:szCs w:val="20"/>
              </w:rPr>
            </w:pPr>
            <w:r w:rsidRPr="00A52AB8">
              <w:rPr>
                <w:sz w:val="20"/>
                <w:szCs w:val="20"/>
              </w:rPr>
              <w:t>u(1)</w:t>
            </w:r>
          </w:p>
        </w:tc>
      </w:tr>
      <w:tr w:rsidR="00984E4E" w:rsidRPr="00A52AB8" w14:paraId="6755E5F0" w14:textId="77777777" w:rsidTr="00A252B5">
        <w:tc>
          <w:tcPr>
            <w:tcW w:w="7921" w:type="dxa"/>
          </w:tcPr>
          <w:p w14:paraId="0A3FCB6F" w14:textId="1AAB6AE9" w:rsidR="00984E4E" w:rsidRPr="00A52AB8" w:rsidRDefault="00984E4E" w:rsidP="00984E4E">
            <w:pPr>
              <w:spacing w:before="20" w:after="20"/>
              <w:rPr>
                <w:bCs/>
                <w:sz w:val="20"/>
                <w:szCs w:val="20"/>
                <w:lang w:eastAsia="ko-KR"/>
              </w:rPr>
            </w:pPr>
            <w:r w:rsidRPr="00A52AB8">
              <w:rPr>
                <w:bCs/>
                <w:sz w:val="20"/>
                <w:szCs w:val="20"/>
              </w:rPr>
              <w:tab/>
              <w:t>if(</w:t>
            </w:r>
            <w:r w:rsidR="00E85135" w:rsidRPr="00A52AB8">
              <w:rPr>
                <w:bCs/>
                <w:sz w:val="20"/>
                <w:szCs w:val="20"/>
              </w:rPr>
              <w:t> </w:t>
            </w:r>
            <w:r w:rsidRPr="00A52AB8">
              <w:rPr>
                <w:bCs/>
                <w:sz w:val="20"/>
                <w:szCs w:val="20"/>
              </w:rPr>
              <w:t>afti_signalled_tile_id_flag</w:t>
            </w:r>
            <w:r w:rsidR="00E85135" w:rsidRPr="00A52AB8">
              <w:rPr>
                <w:bCs/>
                <w:sz w:val="20"/>
                <w:szCs w:val="20"/>
              </w:rPr>
              <w:t> </w:t>
            </w:r>
            <w:r w:rsidR="008F1F82" w:rsidRPr="00A52AB8">
              <w:rPr>
                <w:bCs/>
                <w:sz w:val="20"/>
                <w:szCs w:val="20"/>
              </w:rPr>
              <w:t>) {</w:t>
            </w:r>
          </w:p>
        </w:tc>
        <w:tc>
          <w:tcPr>
            <w:tcW w:w="1253" w:type="dxa"/>
          </w:tcPr>
          <w:p w14:paraId="4C6C0703" w14:textId="77777777" w:rsidR="00984E4E" w:rsidRPr="00A52AB8" w:rsidRDefault="00984E4E" w:rsidP="00A252B5">
            <w:pPr>
              <w:spacing w:before="20" w:after="20"/>
              <w:jc w:val="center"/>
              <w:rPr>
                <w:sz w:val="20"/>
                <w:szCs w:val="20"/>
              </w:rPr>
            </w:pPr>
          </w:p>
        </w:tc>
      </w:tr>
      <w:tr w:rsidR="00984E4E" w:rsidRPr="00A52AB8" w14:paraId="7574F92A" w14:textId="77777777" w:rsidTr="00A252B5">
        <w:tc>
          <w:tcPr>
            <w:tcW w:w="7921" w:type="dxa"/>
          </w:tcPr>
          <w:p w14:paraId="65631EF2" w14:textId="77777777" w:rsidR="00984E4E" w:rsidRPr="00A52AB8" w:rsidRDefault="00984E4E" w:rsidP="00984E4E">
            <w:pPr>
              <w:spacing w:before="20" w:after="20"/>
              <w:rPr>
                <w:bCs/>
                <w:sz w:val="20"/>
                <w:szCs w:val="20"/>
                <w:lang w:eastAsia="ko-KR"/>
              </w:rPr>
            </w:pPr>
            <w:r w:rsidRPr="00A52AB8">
              <w:rPr>
                <w:b/>
                <w:bCs/>
                <w:sz w:val="20"/>
                <w:szCs w:val="20"/>
              </w:rPr>
              <w:tab/>
            </w:r>
            <w:r w:rsidRPr="00A52AB8">
              <w:rPr>
                <w:b/>
                <w:bCs/>
                <w:sz w:val="20"/>
                <w:szCs w:val="20"/>
              </w:rPr>
              <w:tab/>
              <w:t>afti_signalled_tile_id_length_minus1</w:t>
            </w:r>
          </w:p>
        </w:tc>
        <w:tc>
          <w:tcPr>
            <w:tcW w:w="1253" w:type="dxa"/>
          </w:tcPr>
          <w:p w14:paraId="26A7264C" w14:textId="77777777" w:rsidR="00984E4E" w:rsidRPr="00A52AB8" w:rsidRDefault="00984E4E" w:rsidP="00A252B5">
            <w:pPr>
              <w:spacing w:before="20" w:after="20"/>
              <w:jc w:val="center"/>
              <w:rPr>
                <w:sz w:val="20"/>
                <w:szCs w:val="20"/>
              </w:rPr>
            </w:pPr>
            <w:r w:rsidRPr="00A52AB8">
              <w:rPr>
                <w:sz w:val="20"/>
                <w:szCs w:val="20"/>
              </w:rPr>
              <w:t>ue(v)</w:t>
            </w:r>
          </w:p>
        </w:tc>
      </w:tr>
      <w:tr w:rsidR="00984E4E" w:rsidRPr="00A52AB8" w14:paraId="417A9B1D" w14:textId="77777777" w:rsidTr="00A252B5">
        <w:tc>
          <w:tcPr>
            <w:tcW w:w="7921" w:type="dxa"/>
          </w:tcPr>
          <w:p w14:paraId="2387AC02" w14:textId="317A9B6E" w:rsidR="00984E4E" w:rsidRPr="00A52AB8" w:rsidRDefault="00984E4E" w:rsidP="00984E4E">
            <w:pPr>
              <w:spacing w:before="20" w:after="20"/>
              <w:rPr>
                <w:bCs/>
                <w:sz w:val="20"/>
                <w:szCs w:val="20"/>
                <w:lang w:eastAsia="ko-KR"/>
              </w:rPr>
            </w:pPr>
            <w:r w:rsidRPr="00A52AB8">
              <w:rPr>
                <w:b/>
                <w:bCs/>
                <w:sz w:val="20"/>
                <w:szCs w:val="20"/>
              </w:rPr>
              <w:tab/>
            </w:r>
            <w:r w:rsidRPr="00A52AB8">
              <w:rPr>
                <w:b/>
                <w:bCs/>
                <w:sz w:val="20"/>
                <w:szCs w:val="20"/>
              </w:rPr>
              <w:tab/>
            </w:r>
            <w:r w:rsidRPr="00A52AB8">
              <w:rPr>
                <w:sz w:val="20"/>
                <w:szCs w:val="20"/>
              </w:rPr>
              <w:t>for( </w:t>
            </w:r>
            <w:r w:rsidR="00E85135" w:rsidRPr="00A52AB8">
              <w:rPr>
                <w:sz w:val="20"/>
                <w:szCs w:val="20"/>
              </w:rPr>
              <w:t>i</w:t>
            </w:r>
            <w:r w:rsidR="00D47707" w:rsidRPr="00A52AB8">
              <w:rPr>
                <w:sz w:val="20"/>
                <w:szCs w:val="20"/>
              </w:rPr>
              <w:t> = </w:t>
            </w:r>
            <w:r w:rsidRPr="00A52AB8">
              <w:rPr>
                <w:sz w:val="20"/>
                <w:szCs w:val="20"/>
              </w:rPr>
              <w:t>0;</w:t>
            </w:r>
            <w:r w:rsidR="00E85135" w:rsidRPr="00A52AB8">
              <w:rPr>
                <w:sz w:val="20"/>
                <w:szCs w:val="20"/>
              </w:rPr>
              <w:t> </w:t>
            </w:r>
            <w:r w:rsidRPr="00A52AB8">
              <w:rPr>
                <w:sz w:val="20"/>
                <w:szCs w:val="20"/>
              </w:rPr>
              <w:t>i &lt;</w:t>
            </w:r>
            <w:r w:rsidR="00E85135" w:rsidRPr="00A52AB8">
              <w:rPr>
                <w:sz w:val="20"/>
                <w:szCs w:val="20"/>
              </w:rPr>
              <w:t> </w:t>
            </w:r>
            <w:r w:rsidRPr="00A52AB8">
              <w:rPr>
                <w:sz w:val="20"/>
                <w:szCs w:val="20"/>
              </w:rPr>
              <w:t>afti_num_tile</w:t>
            </w:r>
            <w:r w:rsidR="0032694A" w:rsidRPr="00A52AB8">
              <w:rPr>
                <w:sz w:val="20"/>
                <w:szCs w:val="20"/>
              </w:rPr>
              <w:t>s</w:t>
            </w:r>
            <w:r w:rsidRPr="00A52AB8">
              <w:rPr>
                <w:sz w:val="20"/>
                <w:szCs w:val="20"/>
              </w:rPr>
              <w:t>_in_atlas_frame_minus1 + 1;</w:t>
            </w:r>
            <w:r w:rsidR="00E85135" w:rsidRPr="00A52AB8">
              <w:rPr>
                <w:sz w:val="20"/>
                <w:szCs w:val="20"/>
              </w:rPr>
              <w:t> </w:t>
            </w:r>
            <w:r w:rsidRPr="00A52AB8">
              <w:rPr>
                <w:sz w:val="20"/>
                <w:szCs w:val="20"/>
              </w:rPr>
              <w:t>i</w:t>
            </w:r>
            <w:r w:rsidR="00006CCF" w:rsidRPr="00A52AB8">
              <w:rPr>
                <w:sz w:val="20"/>
                <w:szCs w:val="20"/>
              </w:rPr>
              <w:t>++ </w:t>
            </w:r>
            <w:r w:rsidR="008F1F82" w:rsidRPr="00A52AB8">
              <w:rPr>
                <w:sz w:val="20"/>
                <w:szCs w:val="20"/>
              </w:rPr>
              <w:t>) {</w:t>
            </w:r>
          </w:p>
        </w:tc>
        <w:tc>
          <w:tcPr>
            <w:tcW w:w="1253" w:type="dxa"/>
          </w:tcPr>
          <w:p w14:paraId="26DE83FF" w14:textId="77777777" w:rsidR="00984E4E" w:rsidRPr="00A52AB8" w:rsidRDefault="00984E4E" w:rsidP="00A252B5">
            <w:pPr>
              <w:spacing w:before="20" w:after="20"/>
              <w:jc w:val="center"/>
              <w:rPr>
                <w:sz w:val="20"/>
                <w:szCs w:val="20"/>
              </w:rPr>
            </w:pPr>
          </w:p>
        </w:tc>
      </w:tr>
      <w:tr w:rsidR="00984E4E" w:rsidRPr="00A52AB8" w14:paraId="11C81F88" w14:textId="77777777" w:rsidTr="00A252B5">
        <w:tc>
          <w:tcPr>
            <w:tcW w:w="7921" w:type="dxa"/>
          </w:tcPr>
          <w:p w14:paraId="179D7A55" w14:textId="77777777" w:rsidR="00984E4E" w:rsidRPr="00A52AB8" w:rsidRDefault="00984E4E" w:rsidP="00984E4E">
            <w:pPr>
              <w:spacing w:before="20" w:after="20"/>
              <w:rPr>
                <w:bCs/>
                <w:sz w:val="20"/>
                <w:szCs w:val="20"/>
                <w:lang w:eastAsia="ko-KR"/>
              </w:rPr>
            </w:pPr>
            <w:r w:rsidRPr="00A52AB8">
              <w:rPr>
                <w:b/>
                <w:bCs/>
                <w:sz w:val="20"/>
                <w:szCs w:val="20"/>
              </w:rPr>
              <w:tab/>
            </w:r>
            <w:r w:rsidRPr="00A52AB8">
              <w:rPr>
                <w:b/>
                <w:bCs/>
                <w:sz w:val="20"/>
                <w:szCs w:val="20"/>
              </w:rPr>
              <w:tab/>
            </w:r>
            <w:r w:rsidRPr="00A52AB8">
              <w:rPr>
                <w:b/>
                <w:bCs/>
                <w:sz w:val="20"/>
                <w:szCs w:val="20"/>
              </w:rPr>
              <w:tab/>
              <w:t>afti_tile_id</w:t>
            </w:r>
            <w:r w:rsidRPr="00A52AB8">
              <w:rPr>
                <w:bCs/>
                <w:sz w:val="20"/>
                <w:szCs w:val="20"/>
              </w:rPr>
              <w:t>[ i ]</w:t>
            </w:r>
          </w:p>
        </w:tc>
        <w:tc>
          <w:tcPr>
            <w:tcW w:w="1253" w:type="dxa"/>
          </w:tcPr>
          <w:p w14:paraId="0F6ADDB5" w14:textId="77777777" w:rsidR="00984E4E" w:rsidRPr="00A52AB8" w:rsidRDefault="00984E4E" w:rsidP="00A252B5">
            <w:pPr>
              <w:spacing w:before="20" w:after="20"/>
              <w:jc w:val="center"/>
              <w:rPr>
                <w:sz w:val="20"/>
                <w:szCs w:val="20"/>
              </w:rPr>
            </w:pPr>
            <w:r w:rsidRPr="00A52AB8">
              <w:rPr>
                <w:sz w:val="20"/>
                <w:szCs w:val="20"/>
              </w:rPr>
              <w:t>u(v)</w:t>
            </w:r>
          </w:p>
        </w:tc>
      </w:tr>
      <w:tr w:rsidR="00FD4AD6" w:rsidRPr="00A52AB8" w14:paraId="1EE2A9AD" w14:textId="77777777" w:rsidTr="00A252B5">
        <w:tc>
          <w:tcPr>
            <w:tcW w:w="7921" w:type="dxa"/>
          </w:tcPr>
          <w:p w14:paraId="456E4F6A" w14:textId="47A9A0AE" w:rsidR="00FD4AD6" w:rsidRPr="00A52AB8" w:rsidRDefault="00A3110C" w:rsidP="00984E4E">
            <w:pPr>
              <w:spacing w:before="20" w:after="20"/>
              <w:rPr>
                <w:color w:val="000000" w:themeColor="text1"/>
                <w:sz w:val="20"/>
                <w:szCs w:val="20"/>
              </w:rPr>
            </w:pPr>
            <w:r w:rsidRPr="00A52AB8">
              <w:rPr>
                <w:color w:val="000000" w:themeColor="text1"/>
                <w:sz w:val="20"/>
                <w:szCs w:val="20"/>
              </w:rPr>
              <w:tab/>
            </w:r>
            <w:r w:rsidRPr="00A52AB8">
              <w:rPr>
                <w:color w:val="000000" w:themeColor="text1"/>
                <w:sz w:val="20"/>
                <w:szCs w:val="20"/>
              </w:rPr>
              <w:tab/>
            </w:r>
            <w:r w:rsidRPr="00A52AB8">
              <w:rPr>
                <w:color w:val="000000" w:themeColor="text1"/>
                <w:sz w:val="20"/>
                <w:szCs w:val="20"/>
              </w:rPr>
              <w:tab/>
            </w:r>
            <w:r w:rsidR="007812ED" w:rsidRPr="00A52AB8">
              <w:rPr>
                <w:color w:val="000000" w:themeColor="text1"/>
                <w:sz w:val="20"/>
                <w:szCs w:val="20"/>
              </w:rPr>
              <w:t>TileID</w:t>
            </w:r>
            <w:r w:rsidR="00651874" w:rsidRPr="00A52AB8">
              <w:rPr>
                <w:color w:val="000000" w:themeColor="text1"/>
                <w:sz w:val="20"/>
                <w:szCs w:val="20"/>
              </w:rPr>
              <w:t>T</w:t>
            </w:r>
            <w:r w:rsidRPr="00A52AB8">
              <w:rPr>
                <w:color w:val="000000" w:themeColor="text1"/>
                <w:sz w:val="20"/>
                <w:szCs w:val="20"/>
              </w:rPr>
              <w:t>oIndex[ </w:t>
            </w:r>
            <w:r w:rsidRPr="00A52AB8">
              <w:rPr>
                <w:sz w:val="20"/>
                <w:szCs w:val="20"/>
              </w:rPr>
              <w:t>afti_tile_id[ i ] ]</w:t>
            </w:r>
            <w:r w:rsidR="00D47707" w:rsidRPr="00A52AB8">
              <w:rPr>
                <w:sz w:val="20"/>
                <w:szCs w:val="20"/>
              </w:rPr>
              <w:t> = </w:t>
            </w:r>
            <w:r w:rsidRPr="00A52AB8">
              <w:rPr>
                <w:sz w:val="20"/>
                <w:szCs w:val="20"/>
              </w:rPr>
              <w:t>i</w:t>
            </w:r>
          </w:p>
        </w:tc>
        <w:tc>
          <w:tcPr>
            <w:tcW w:w="1253" w:type="dxa"/>
          </w:tcPr>
          <w:p w14:paraId="33E97963" w14:textId="77777777" w:rsidR="00FD4AD6" w:rsidRPr="00A52AB8" w:rsidRDefault="00FD4AD6" w:rsidP="00984E4E">
            <w:pPr>
              <w:spacing w:before="20" w:after="20"/>
              <w:jc w:val="center"/>
              <w:rPr>
                <w:color w:val="000000" w:themeColor="text1"/>
                <w:sz w:val="20"/>
                <w:szCs w:val="20"/>
              </w:rPr>
            </w:pPr>
          </w:p>
        </w:tc>
      </w:tr>
      <w:tr w:rsidR="00651874" w:rsidRPr="00A52AB8" w14:paraId="5585C0F4" w14:textId="77777777" w:rsidTr="00A252B5">
        <w:tc>
          <w:tcPr>
            <w:tcW w:w="7921" w:type="dxa"/>
          </w:tcPr>
          <w:p w14:paraId="78941C19" w14:textId="51860542" w:rsidR="00651874" w:rsidRPr="00A52AB8" w:rsidRDefault="00651874" w:rsidP="00984E4E">
            <w:pPr>
              <w:spacing w:before="20" w:after="20"/>
              <w:rPr>
                <w:color w:val="000000" w:themeColor="text1"/>
                <w:sz w:val="20"/>
                <w:szCs w:val="20"/>
              </w:rPr>
            </w:pPr>
            <w:r w:rsidRPr="00A52AB8">
              <w:rPr>
                <w:color w:val="000000" w:themeColor="text1"/>
                <w:sz w:val="20"/>
                <w:szCs w:val="20"/>
              </w:rPr>
              <w:tab/>
            </w:r>
            <w:r w:rsidRPr="00A52AB8">
              <w:rPr>
                <w:color w:val="000000" w:themeColor="text1"/>
                <w:sz w:val="20"/>
                <w:szCs w:val="20"/>
              </w:rPr>
              <w:tab/>
            </w:r>
            <w:r w:rsidRPr="00A52AB8">
              <w:rPr>
                <w:color w:val="000000" w:themeColor="text1"/>
                <w:sz w:val="20"/>
                <w:szCs w:val="20"/>
              </w:rPr>
              <w:tab/>
            </w:r>
            <w:r w:rsidR="007812ED" w:rsidRPr="00A52AB8">
              <w:rPr>
                <w:color w:val="000000" w:themeColor="text1"/>
                <w:sz w:val="20"/>
                <w:szCs w:val="20"/>
              </w:rPr>
              <w:t>TileIndexToID</w:t>
            </w:r>
            <w:r w:rsidRPr="00A52AB8">
              <w:rPr>
                <w:color w:val="000000" w:themeColor="text1"/>
                <w:sz w:val="20"/>
                <w:szCs w:val="20"/>
              </w:rPr>
              <w:t>[ i</w:t>
            </w:r>
            <w:r w:rsidRPr="00A52AB8">
              <w:rPr>
                <w:sz w:val="20"/>
                <w:szCs w:val="20"/>
              </w:rPr>
              <w:t> ]</w:t>
            </w:r>
            <w:r w:rsidR="00D47707" w:rsidRPr="00A52AB8">
              <w:rPr>
                <w:sz w:val="20"/>
                <w:szCs w:val="20"/>
              </w:rPr>
              <w:t> = </w:t>
            </w:r>
            <w:r w:rsidRPr="00A52AB8">
              <w:rPr>
                <w:sz w:val="20"/>
                <w:szCs w:val="20"/>
              </w:rPr>
              <w:t>afti_tile_id[ i ]</w:t>
            </w:r>
          </w:p>
        </w:tc>
        <w:tc>
          <w:tcPr>
            <w:tcW w:w="1253" w:type="dxa"/>
          </w:tcPr>
          <w:p w14:paraId="6506EB82" w14:textId="77777777" w:rsidR="00651874" w:rsidRPr="00A52AB8" w:rsidRDefault="00651874" w:rsidP="00984E4E">
            <w:pPr>
              <w:spacing w:before="20" w:after="20"/>
              <w:jc w:val="center"/>
              <w:rPr>
                <w:color w:val="000000" w:themeColor="text1"/>
                <w:sz w:val="20"/>
                <w:szCs w:val="20"/>
              </w:rPr>
            </w:pPr>
          </w:p>
        </w:tc>
      </w:tr>
      <w:tr w:rsidR="00FD4AD6" w:rsidRPr="00A52AB8" w14:paraId="63BFEACE" w14:textId="77777777" w:rsidTr="00A252B5">
        <w:tc>
          <w:tcPr>
            <w:tcW w:w="7921" w:type="dxa"/>
          </w:tcPr>
          <w:p w14:paraId="07482B9B" w14:textId="77777777" w:rsidR="00FD4AD6" w:rsidRPr="00A52AB8" w:rsidRDefault="00FD4AD6" w:rsidP="00984E4E">
            <w:pPr>
              <w:spacing w:before="20" w:after="20"/>
              <w:rPr>
                <w:color w:val="000000" w:themeColor="text1"/>
                <w:sz w:val="20"/>
                <w:szCs w:val="20"/>
              </w:rPr>
            </w:pPr>
            <w:r w:rsidRPr="00A52AB8">
              <w:rPr>
                <w:color w:val="000000" w:themeColor="text1"/>
                <w:sz w:val="20"/>
                <w:szCs w:val="20"/>
              </w:rPr>
              <w:tab/>
            </w:r>
            <w:r w:rsidRPr="00A52AB8">
              <w:rPr>
                <w:color w:val="000000" w:themeColor="text1"/>
                <w:sz w:val="20"/>
                <w:szCs w:val="20"/>
              </w:rPr>
              <w:tab/>
              <w:t>}</w:t>
            </w:r>
          </w:p>
        </w:tc>
        <w:tc>
          <w:tcPr>
            <w:tcW w:w="1253" w:type="dxa"/>
          </w:tcPr>
          <w:p w14:paraId="76BDA06A" w14:textId="77777777" w:rsidR="00FD4AD6" w:rsidRPr="00A52AB8" w:rsidRDefault="00FD4AD6" w:rsidP="00984E4E">
            <w:pPr>
              <w:spacing w:before="20" w:after="20"/>
              <w:jc w:val="center"/>
              <w:rPr>
                <w:color w:val="000000" w:themeColor="text1"/>
                <w:sz w:val="20"/>
                <w:szCs w:val="20"/>
              </w:rPr>
            </w:pPr>
          </w:p>
        </w:tc>
      </w:tr>
      <w:tr w:rsidR="00984E4E" w:rsidRPr="00A52AB8" w14:paraId="72F58878" w14:textId="77777777" w:rsidTr="00A252B5">
        <w:tc>
          <w:tcPr>
            <w:tcW w:w="7921" w:type="dxa"/>
          </w:tcPr>
          <w:p w14:paraId="549FDB0B" w14:textId="77777777" w:rsidR="00984E4E" w:rsidRPr="00A52AB8" w:rsidRDefault="00984E4E" w:rsidP="00984E4E">
            <w:pPr>
              <w:spacing w:before="20" w:after="20"/>
              <w:rPr>
                <w:color w:val="000000" w:themeColor="text1"/>
                <w:sz w:val="20"/>
                <w:szCs w:val="20"/>
              </w:rPr>
            </w:pPr>
            <w:r w:rsidRPr="00A52AB8">
              <w:rPr>
                <w:color w:val="000000" w:themeColor="text1"/>
                <w:sz w:val="20"/>
                <w:szCs w:val="20"/>
              </w:rPr>
              <w:lastRenderedPageBreak/>
              <w:tab/>
              <w:t>}</w:t>
            </w:r>
          </w:p>
        </w:tc>
        <w:tc>
          <w:tcPr>
            <w:tcW w:w="1253" w:type="dxa"/>
          </w:tcPr>
          <w:p w14:paraId="13A318A7" w14:textId="77777777" w:rsidR="00984E4E" w:rsidRPr="00A52AB8" w:rsidRDefault="00984E4E" w:rsidP="00984E4E">
            <w:pPr>
              <w:spacing w:before="20" w:after="20"/>
              <w:jc w:val="center"/>
              <w:rPr>
                <w:color w:val="000000" w:themeColor="text1"/>
                <w:sz w:val="20"/>
                <w:szCs w:val="20"/>
              </w:rPr>
            </w:pPr>
          </w:p>
        </w:tc>
      </w:tr>
      <w:tr w:rsidR="00984E4E" w:rsidRPr="00A52AB8" w14:paraId="7D79BABE" w14:textId="77777777" w:rsidTr="00A252B5">
        <w:tc>
          <w:tcPr>
            <w:tcW w:w="7921" w:type="dxa"/>
          </w:tcPr>
          <w:p w14:paraId="50816093" w14:textId="77777777" w:rsidR="00984E4E" w:rsidRPr="00A52AB8" w:rsidRDefault="008B7732" w:rsidP="00984E4E">
            <w:pPr>
              <w:spacing w:before="20" w:after="20"/>
              <w:rPr>
                <w:color w:val="000000" w:themeColor="text1"/>
                <w:sz w:val="20"/>
                <w:szCs w:val="20"/>
              </w:rPr>
            </w:pPr>
            <w:r w:rsidRPr="00A52AB8">
              <w:rPr>
                <w:color w:val="000000" w:themeColor="text1"/>
                <w:sz w:val="20"/>
                <w:szCs w:val="20"/>
              </w:rPr>
              <w:tab/>
              <w:t>else</w:t>
            </w:r>
          </w:p>
        </w:tc>
        <w:tc>
          <w:tcPr>
            <w:tcW w:w="1253" w:type="dxa"/>
          </w:tcPr>
          <w:p w14:paraId="0E62C058" w14:textId="77777777" w:rsidR="00984E4E" w:rsidRPr="00A52AB8" w:rsidRDefault="00984E4E" w:rsidP="00984E4E">
            <w:pPr>
              <w:spacing w:before="20" w:after="20"/>
              <w:jc w:val="center"/>
              <w:rPr>
                <w:color w:val="000000" w:themeColor="text1"/>
                <w:sz w:val="20"/>
                <w:szCs w:val="20"/>
              </w:rPr>
            </w:pPr>
          </w:p>
        </w:tc>
      </w:tr>
      <w:tr w:rsidR="008B7732" w:rsidRPr="00A52AB8" w14:paraId="61ECCBC2" w14:textId="77777777" w:rsidTr="00A252B5">
        <w:tc>
          <w:tcPr>
            <w:tcW w:w="7921" w:type="dxa"/>
          </w:tcPr>
          <w:p w14:paraId="41FE15DE" w14:textId="0A567346" w:rsidR="008B7732" w:rsidRPr="00A52AB8" w:rsidRDefault="008B7732" w:rsidP="008B7732">
            <w:pPr>
              <w:spacing w:before="20" w:after="20"/>
              <w:rPr>
                <w:color w:val="000000" w:themeColor="text1"/>
                <w:sz w:val="20"/>
                <w:szCs w:val="20"/>
              </w:rPr>
            </w:pPr>
            <w:r w:rsidRPr="00A52AB8">
              <w:rPr>
                <w:b/>
                <w:bCs/>
                <w:sz w:val="20"/>
                <w:szCs w:val="20"/>
              </w:rPr>
              <w:tab/>
            </w:r>
            <w:r w:rsidRPr="00A52AB8">
              <w:rPr>
                <w:b/>
                <w:bCs/>
                <w:sz w:val="20"/>
                <w:szCs w:val="20"/>
              </w:rPr>
              <w:tab/>
            </w:r>
            <w:r w:rsidRPr="00A52AB8">
              <w:rPr>
                <w:sz w:val="20"/>
                <w:szCs w:val="20"/>
              </w:rPr>
              <w:t>for( </w:t>
            </w:r>
            <w:r w:rsidR="00673E93" w:rsidRPr="00A52AB8">
              <w:rPr>
                <w:sz w:val="20"/>
                <w:szCs w:val="20"/>
              </w:rPr>
              <w:t>i</w:t>
            </w:r>
            <w:r w:rsidR="00D47707" w:rsidRPr="00A52AB8">
              <w:rPr>
                <w:sz w:val="20"/>
                <w:szCs w:val="20"/>
              </w:rPr>
              <w:t> = </w:t>
            </w:r>
            <w:r w:rsidRPr="00A52AB8">
              <w:rPr>
                <w:sz w:val="20"/>
                <w:szCs w:val="20"/>
              </w:rPr>
              <w:t>0;</w:t>
            </w:r>
            <w:r w:rsidR="00673E93" w:rsidRPr="00A52AB8">
              <w:rPr>
                <w:sz w:val="20"/>
                <w:szCs w:val="20"/>
              </w:rPr>
              <w:t> </w:t>
            </w:r>
            <w:r w:rsidRPr="00A52AB8">
              <w:rPr>
                <w:sz w:val="20"/>
                <w:szCs w:val="20"/>
              </w:rPr>
              <w:t>i &lt;</w:t>
            </w:r>
            <w:r w:rsidR="00673E93" w:rsidRPr="00A52AB8">
              <w:rPr>
                <w:sz w:val="20"/>
                <w:szCs w:val="20"/>
              </w:rPr>
              <w:t> </w:t>
            </w:r>
            <w:r w:rsidRPr="00A52AB8">
              <w:rPr>
                <w:sz w:val="20"/>
                <w:szCs w:val="20"/>
              </w:rPr>
              <w:t>afti_num_tiles_in_atlas_frame_minus1 + 1;</w:t>
            </w:r>
            <w:r w:rsidR="00673E93" w:rsidRPr="00A52AB8">
              <w:rPr>
                <w:sz w:val="20"/>
                <w:szCs w:val="20"/>
              </w:rPr>
              <w:t> </w:t>
            </w:r>
            <w:r w:rsidRPr="00A52AB8">
              <w:rPr>
                <w:sz w:val="20"/>
                <w:szCs w:val="20"/>
              </w:rPr>
              <w:t>i</w:t>
            </w:r>
            <w:r w:rsidR="00006CCF" w:rsidRPr="00A52AB8">
              <w:rPr>
                <w:sz w:val="20"/>
                <w:szCs w:val="20"/>
              </w:rPr>
              <w:t>++ </w:t>
            </w:r>
            <w:r w:rsidR="008F1F82" w:rsidRPr="00A52AB8">
              <w:rPr>
                <w:sz w:val="20"/>
                <w:szCs w:val="20"/>
              </w:rPr>
              <w:t>) {</w:t>
            </w:r>
          </w:p>
        </w:tc>
        <w:tc>
          <w:tcPr>
            <w:tcW w:w="1253" w:type="dxa"/>
          </w:tcPr>
          <w:p w14:paraId="4B99AF74" w14:textId="77777777" w:rsidR="008B7732" w:rsidRPr="00A52AB8" w:rsidRDefault="008B7732" w:rsidP="008B7732">
            <w:pPr>
              <w:spacing w:before="20" w:after="20"/>
              <w:jc w:val="center"/>
              <w:rPr>
                <w:color w:val="000000" w:themeColor="text1"/>
                <w:sz w:val="20"/>
                <w:szCs w:val="20"/>
              </w:rPr>
            </w:pPr>
          </w:p>
        </w:tc>
      </w:tr>
      <w:tr w:rsidR="00A3110C" w:rsidRPr="00A52AB8" w14:paraId="1090E5C9" w14:textId="77777777" w:rsidTr="00A252B5">
        <w:tc>
          <w:tcPr>
            <w:tcW w:w="7921" w:type="dxa"/>
          </w:tcPr>
          <w:p w14:paraId="5451AA6A" w14:textId="31910A90" w:rsidR="00A3110C" w:rsidRPr="00A52AB8" w:rsidRDefault="00A3110C" w:rsidP="00A3110C">
            <w:pPr>
              <w:spacing w:before="20" w:after="20"/>
              <w:rPr>
                <w:color w:val="000000" w:themeColor="text1"/>
                <w:sz w:val="20"/>
                <w:szCs w:val="20"/>
              </w:rPr>
            </w:pPr>
            <w:r w:rsidRPr="00A52AB8">
              <w:rPr>
                <w:color w:val="000000" w:themeColor="text1"/>
                <w:sz w:val="20"/>
                <w:szCs w:val="20"/>
              </w:rPr>
              <w:tab/>
            </w:r>
            <w:r w:rsidRPr="00A52AB8">
              <w:rPr>
                <w:color w:val="000000" w:themeColor="text1"/>
                <w:sz w:val="20"/>
                <w:szCs w:val="20"/>
              </w:rPr>
              <w:tab/>
            </w:r>
            <w:r w:rsidRPr="00A52AB8">
              <w:rPr>
                <w:color w:val="000000" w:themeColor="text1"/>
                <w:sz w:val="20"/>
                <w:szCs w:val="20"/>
              </w:rPr>
              <w:tab/>
            </w:r>
            <w:r w:rsidRPr="00A52AB8">
              <w:rPr>
                <w:sz w:val="20"/>
                <w:szCs w:val="20"/>
              </w:rPr>
              <w:t>afti_tile_id[ i ]</w:t>
            </w:r>
            <w:r w:rsidR="00D47707" w:rsidRPr="00A52AB8">
              <w:rPr>
                <w:sz w:val="20"/>
                <w:szCs w:val="20"/>
              </w:rPr>
              <w:t> = </w:t>
            </w:r>
            <w:r w:rsidRPr="00A52AB8">
              <w:rPr>
                <w:sz w:val="20"/>
                <w:szCs w:val="20"/>
              </w:rPr>
              <w:t>i</w:t>
            </w:r>
          </w:p>
        </w:tc>
        <w:tc>
          <w:tcPr>
            <w:tcW w:w="1253" w:type="dxa"/>
          </w:tcPr>
          <w:p w14:paraId="5C0395A6" w14:textId="77777777" w:rsidR="00A3110C" w:rsidRPr="00A52AB8" w:rsidRDefault="00A3110C" w:rsidP="00A3110C">
            <w:pPr>
              <w:spacing w:before="20" w:after="20"/>
              <w:jc w:val="center"/>
              <w:rPr>
                <w:color w:val="000000" w:themeColor="text1"/>
                <w:sz w:val="20"/>
                <w:szCs w:val="20"/>
              </w:rPr>
            </w:pPr>
          </w:p>
        </w:tc>
      </w:tr>
      <w:tr w:rsidR="00A3110C" w:rsidRPr="00A52AB8" w14:paraId="0409E81F" w14:textId="77777777" w:rsidTr="00A252B5">
        <w:tc>
          <w:tcPr>
            <w:tcW w:w="7921" w:type="dxa"/>
          </w:tcPr>
          <w:p w14:paraId="21CC19C0" w14:textId="244F10C1" w:rsidR="00A3110C" w:rsidRPr="00A52AB8" w:rsidRDefault="00A3110C" w:rsidP="00A3110C">
            <w:pPr>
              <w:spacing w:before="20" w:after="20"/>
              <w:rPr>
                <w:color w:val="000000" w:themeColor="text1"/>
                <w:sz w:val="20"/>
                <w:szCs w:val="20"/>
              </w:rPr>
            </w:pPr>
            <w:r w:rsidRPr="00A52AB8">
              <w:rPr>
                <w:color w:val="000000" w:themeColor="text1"/>
                <w:sz w:val="20"/>
                <w:szCs w:val="20"/>
              </w:rPr>
              <w:tab/>
            </w:r>
            <w:r w:rsidRPr="00A52AB8">
              <w:rPr>
                <w:color w:val="000000" w:themeColor="text1"/>
                <w:sz w:val="20"/>
                <w:szCs w:val="20"/>
              </w:rPr>
              <w:tab/>
            </w:r>
            <w:r w:rsidRPr="00A52AB8">
              <w:rPr>
                <w:color w:val="000000" w:themeColor="text1"/>
                <w:sz w:val="20"/>
                <w:szCs w:val="20"/>
              </w:rPr>
              <w:tab/>
            </w:r>
            <w:r w:rsidR="007812ED" w:rsidRPr="00A52AB8">
              <w:rPr>
                <w:color w:val="000000" w:themeColor="text1"/>
                <w:sz w:val="20"/>
                <w:szCs w:val="20"/>
              </w:rPr>
              <w:t>TileID</w:t>
            </w:r>
            <w:r w:rsidR="00651874" w:rsidRPr="00A52AB8">
              <w:rPr>
                <w:color w:val="000000" w:themeColor="text1"/>
                <w:sz w:val="20"/>
                <w:szCs w:val="20"/>
              </w:rPr>
              <w:t>ToIndex</w:t>
            </w:r>
            <w:r w:rsidRPr="00A52AB8">
              <w:rPr>
                <w:color w:val="000000" w:themeColor="text1"/>
                <w:sz w:val="20"/>
                <w:szCs w:val="20"/>
              </w:rPr>
              <w:t>[ </w:t>
            </w:r>
            <w:r w:rsidRPr="00A52AB8">
              <w:rPr>
                <w:sz w:val="20"/>
                <w:szCs w:val="20"/>
              </w:rPr>
              <w:t>i ]</w:t>
            </w:r>
            <w:r w:rsidR="00D47707" w:rsidRPr="00A52AB8">
              <w:rPr>
                <w:sz w:val="20"/>
                <w:szCs w:val="20"/>
              </w:rPr>
              <w:t> = </w:t>
            </w:r>
            <w:r w:rsidRPr="00A52AB8">
              <w:rPr>
                <w:sz w:val="20"/>
                <w:szCs w:val="20"/>
              </w:rPr>
              <w:t>i</w:t>
            </w:r>
          </w:p>
        </w:tc>
        <w:tc>
          <w:tcPr>
            <w:tcW w:w="1253" w:type="dxa"/>
          </w:tcPr>
          <w:p w14:paraId="2E04AA66" w14:textId="77777777" w:rsidR="00A3110C" w:rsidRPr="00A52AB8" w:rsidRDefault="00A3110C" w:rsidP="00A3110C">
            <w:pPr>
              <w:spacing w:before="20" w:after="20"/>
              <w:jc w:val="center"/>
              <w:rPr>
                <w:color w:val="000000" w:themeColor="text1"/>
                <w:sz w:val="20"/>
                <w:szCs w:val="20"/>
              </w:rPr>
            </w:pPr>
          </w:p>
        </w:tc>
      </w:tr>
      <w:tr w:rsidR="00651874" w:rsidRPr="00A52AB8" w14:paraId="17C214CB" w14:textId="77777777" w:rsidTr="00A252B5">
        <w:tc>
          <w:tcPr>
            <w:tcW w:w="7921" w:type="dxa"/>
          </w:tcPr>
          <w:p w14:paraId="0B1A914E" w14:textId="084278CF" w:rsidR="00651874" w:rsidRPr="00A52AB8" w:rsidRDefault="00651874" w:rsidP="00A3110C">
            <w:pPr>
              <w:spacing w:before="20" w:after="20"/>
              <w:rPr>
                <w:color w:val="000000" w:themeColor="text1"/>
                <w:sz w:val="20"/>
                <w:szCs w:val="20"/>
              </w:rPr>
            </w:pPr>
            <w:r w:rsidRPr="00A52AB8">
              <w:rPr>
                <w:color w:val="000000" w:themeColor="text1"/>
                <w:sz w:val="20"/>
                <w:szCs w:val="20"/>
              </w:rPr>
              <w:tab/>
            </w:r>
            <w:r w:rsidRPr="00A52AB8">
              <w:rPr>
                <w:color w:val="000000" w:themeColor="text1"/>
                <w:sz w:val="20"/>
                <w:szCs w:val="20"/>
              </w:rPr>
              <w:tab/>
            </w:r>
            <w:r w:rsidRPr="00A52AB8">
              <w:rPr>
                <w:color w:val="000000" w:themeColor="text1"/>
                <w:sz w:val="20"/>
                <w:szCs w:val="20"/>
              </w:rPr>
              <w:tab/>
            </w:r>
            <w:r w:rsidR="007812ED" w:rsidRPr="00A52AB8">
              <w:rPr>
                <w:color w:val="000000" w:themeColor="text1"/>
                <w:sz w:val="20"/>
                <w:szCs w:val="20"/>
              </w:rPr>
              <w:t>TileIndexToID</w:t>
            </w:r>
            <w:r w:rsidRPr="00A52AB8">
              <w:rPr>
                <w:color w:val="000000" w:themeColor="text1"/>
                <w:sz w:val="20"/>
                <w:szCs w:val="20"/>
              </w:rPr>
              <w:t>[ i</w:t>
            </w:r>
            <w:r w:rsidRPr="00A52AB8">
              <w:rPr>
                <w:sz w:val="20"/>
                <w:szCs w:val="20"/>
              </w:rPr>
              <w:t> ]</w:t>
            </w:r>
            <w:r w:rsidR="00D47707" w:rsidRPr="00A52AB8">
              <w:rPr>
                <w:sz w:val="20"/>
                <w:szCs w:val="20"/>
              </w:rPr>
              <w:t> = </w:t>
            </w:r>
            <w:r w:rsidRPr="00A52AB8">
              <w:rPr>
                <w:sz w:val="20"/>
                <w:szCs w:val="20"/>
              </w:rPr>
              <w:t>i</w:t>
            </w:r>
          </w:p>
        </w:tc>
        <w:tc>
          <w:tcPr>
            <w:tcW w:w="1253" w:type="dxa"/>
          </w:tcPr>
          <w:p w14:paraId="15451EFA" w14:textId="77777777" w:rsidR="00651874" w:rsidRPr="00A52AB8" w:rsidRDefault="00651874" w:rsidP="00A3110C">
            <w:pPr>
              <w:spacing w:before="20" w:after="20"/>
              <w:jc w:val="center"/>
              <w:rPr>
                <w:color w:val="000000" w:themeColor="text1"/>
                <w:sz w:val="20"/>
                <w:szCs w:val="20"/>
              </w:rPr>
            </w:pPr>
          </w:p>
        </w:tc>
      </w:tr>
      <w:tr w:rsidR="00A3110C" w:rsidRPr="00A52AB8" w14:paraId="2E39B940" w14:textId="77777777" w:rsidTr="00983491">
        <w:tc>
          <w:tcPr>
            <w:tcW w:w="7921" w:type="dxa"/>
          </w:tcPr>
          <w:p w14:paraId="0BA47D86" w14:textId="77777777" w:rsidR="00A3110C" w:rsidRPr="00A52AB8" w:rsidRDefault="00A3110C" w:rsidP="00A3110C">
            <w:pPr>
              <w:spacing w:before="20" w:after="20"/>
              <w:rPr>
                <w:color w:val="000000" w:themeColor="text1"/>
                <w:sz w:val="20"/>
                <w:szCs w:val="20"/>
              </w:rPr>
            </w:pPr>
            <w:r w:rsidRPr="00A52AB8">
              <w:rPr>
                <w:color w:val="000000" w:themeColor="text1"/>
                <w:sz w:val="20"/>
                <w:szCs w:val="20"/>
              </w:rPr>
              <w:tab/>
            </w:r>
            <w:r w:rsidRPr="00A52AB8">
              <w:rPr>
                <w:color w:val="000000" w:themeColor="text1"/>
                <w:sz w:val="20"/>
                <w:szCs w:val="20"/>
              </w:rPr>
              <w:tab/>
              <w:t>}</w:t>
            </w:r>
          </w:p>
        </w:tc>
        <w:tc>
          <w:tcPr>
            <w:tcW w:w="1253" w:type="dxa"/>
          </w:tcPr>
          <w:p w14:paraId="407045FC" w14:textId="77777777" w:rsidR="00A3110C" w:rsidRPr="00A52AB8" w:rsidRDefault="00A3110C" w:rsidP="00A3110C">
            <w:pPr>
              <w:spacing w:before="20" w:after="20"/>
              <w:jc w:val="center"/>
              <w:rPr>
                <w:color w:val="000000" w:themeColor="text1"/>
                <w:sz w:val="20"/>
                <w:szCs w:val="20"/>
              </w:rPr>
            </w:pPr>
          </w:p>
        </w:tc>
      </w:tr>
      <w:tr w:rsidR="00A3110C" w:rsidRPr="00A52AB8" w14:paraId="0B5D6917" w14:textId="77777777" w:rsidTr="00A252B5">
        <w:tc>
          <w:tcPr>
            <w:tcW w:w="7921" w:type="dxa"/>
          </w:tcPr>
          <w:p w14:paraId="7784AAE2" w14:textId="77777777" w:rsidR="00A3110C" w:rsidRPr="00A52AB8" w:rsidRDefault="00A3110C" w:rsidP="00A3110C">
            <w:pPr>
              <w:spacing w:before="20" w:after="20"/>
              <w:rPr>
                <w:color w:val="000000" w:themeColor="text1"/>
                <w:sz w:val="20"/>
                <w:szCs w:val="20"/>
              </w:rPr>
            </w:pPr>
            <w:r w:rsidRPr="00A52AB8">
              <w:rPr>
                <w:color w:val="000000" w:themeColor="text1"/>
                <w:sz w:val="20"/>
                <w:szCs w:val="20"/>
              </w:rPr>
              <w:t>}</w:t>
            </w:r>
          </w:p>
        </w:tc>
        <w:tc>
          <w:tcPr>
            <w:tcW w:w="1253" w:type="dxa"/>
          </w:tcPr>
          <w:p w14:paraId="379C89C0" w14:textId="77777777" w:rsidR="00A3110C" w:rsidRPr="00A52AB8" w:rsidRDefault="00A3110C" w:rsidP="00A3110C">
            <w:pPr>
              <w:spacing w:before="20" w:after="20"/>
              <w:jc w:val="center"/>
              <w:rPr>
                <w:color w:val="000000" w:themeColor="text1"/>
                <w:sz w:val="20"/>
                <w:szCs w:val="20"/>
              </w:rPr>
            </w:pPr>
          </w:p>
        </w:tc>
      </w:tr>
    </w:tbl>
    <w:p w14:paraId="0D95D3E0" w14:textId="2D92185D" w:rsidR="00B0793A" w:rsidRPr="00A52AB8" w:rsidRDefault="00340156" w:rsidP="00EE3D19">
      <w:pPr>
        <w:pStyle w:val="Heading4"/>
      </w:pPr>
      <w:bookmarkStart w:id="732" w:name="_Ref38314387"/>
      <w:r w:rsidRPr="00A52AB8">
        <w:t xml:space="preserve">Atlas </w:t>
      </w:r>
      <w:r w:rsidR="00C667DD" w:rsidRPr="00A52AB8">
        <w:t>adaptation</w:t>
      </w:r>
      <w:r w:rsidRPr="00A52AB8">
        <w:t xml:space="preserve"> parameter set RBSP syntax</w:t>
      </w:r>
      <w:bookmarkEnd w:id="732"/>
    </w:p>
    <w:tbl>
      <w:tblPr>
        <w:tblStyle w:val="TableGrid"/>
        <w:tblW w:w="5000" w:type="pct"/>
        <w:tblLook w:val="04A0" w:firstRow="1" w:lastRow="0" w:firstColumn="1" w:lastColumn="0" w:noHBand="0" w:noVBand="1"/>
      </w:tblPr>
      <w:tblGrid>
        <w:gridCol w:w="8413"/>
        <w:gridCol w:w="1329"/>
      </w:tblGrid>
      <w:tr w:rsidR="00340156" w:rsidRPr="00A52AB8" w14:paraId="264AA730" w14:textId="77777777" w:rsidTr="004A7026">
        <w:tc>
          <w:tcPr>
            <w:tcW w:w="8413" w:type="dxa"/>
          </w:tcPr>
          <w:p w14:paraId="47EDF6B7" w14:textId="7921559E" w:rsidR="00340156" w:rsidRPr="00A52AB8" w:rsidRDefault="00340156" w:rsidP="005C26E9">
            <w:pPr>
              <w:spacing w:before="20" w:after="20"/>
              <w:rPr>
                <w:sz w:val="20"/>
              </w:rPr>
            </w:pPr>
            <w:r w:rsidRPr="00A52AB8">
              <w:rPr>
                <w:bCs/>
                <w:color w:val="000000" w:themeColor="text1"/>
                <w:sz w:val="20"/>
                <w:szCs w:val="20"/>
              </w:rPr>
              <w:t>atlas_</w:t>
            </w:r>
            <w:r w:rsidR="00C667DD" w:rsidRPr="00A52AB8">
              <w:rPr>
                <w:bCs/>
                <w:color w:val="000000" w:themeColor="text1"/>
                <w:sz w:val="20"/>
                <w:szCs w:val="20"/>
              </w:rPr>
              <w:t>adaptation</w:t>
            </w:r>
            <w:r w:rsidRPr="00A52AB8">
              <w:rPr>
                <w:bCs/>
                <w:color w:val="000000" w:themeColor="text1"/>
                <w:sz w:val="20"/>
                <w:szCs w:val="20"/>
              </w:rPr>
              <w:t>_parameter_set_rbsp(</w:t>
            </w:r>
            <w:r w:rsidR="00673E93" w:rsidRPr="00A52AB8">
              <w:rPr>
                <w:bCs/>
                <w:color w:val="000000" w:themeColor="text1"/>
                <w:sz w:val="20"/>
                <w:szCs w:val="20"/>
              </w:rPr>
              <w:t> </w:t>
            </w:r>
            <w:r w:rsidR="008F1F82" w:rsidRPr="00A52AB8">
              <w:rPr>
                <w:bCs/>
                <w:color w:val="000000" w:themeColor="text1"/>
                <w:sz w:val="20"/>
                <w:szCs w:val="20"/>
              </w:rPr>
              <w:t>) {</w:t>
            </w:r>
          </w:p>
        </w:tc>
        <w:tc>
          <w:tcPr>
            <w:tcW w:w="1329" w:type="dxa"/>
          </w:tcPr>
          <w:p w14:paraId="0F1EA91E" w14:textId="77777777" w:rsidR="00340156" w:rsidRPr="00A52AB8" w:rsidRDefault="00340156">
            <w:pPr>
              <w:spacing w:before="20" w:after="20"/>
              <w:jc w:val="center"/>
              <w:rPr>
                <w:b/>
                <w:color w:val="000000" w:themeColor="text1"/>
                <w:sz w:val="20"/>
                <w:szCs w:val="20"/>
              </w:rPr>
            </w:pPr>
            <w:r w:rsidRPr="00A52AB8">
              <w:rPr>
                <w:b/>
                <w:color w:val="000000" w:themeColor="text1"/>
                <w:sz w:val="20"/>
                <w:szCs w:val="20"/>
              </w:rPr>
              <w:t>Descriptor</w:t>
            </w:r>
          </w:p>
        </w:tc>
      </w:tr>
      <w:tr w:rsidR="00340156" w:rsidRPr="00A52AB8" w14:paraId="57EB4B42" w14:textId="77777777" w:rsidTr="004A7026">
        <w:tc>
          <w:tcPr>
            <w:tcW w:w="8413" w:type="dxa"/>
          </w:tcPr>
          <w:p w14:paraId="18FC9443" w14:textId="77777777" w:rsidR="00340156" w:rsidRPr="00A52AB8" w:rsidRDefault="00340156" w:rsidP="005C26E9">
            <w:pPr>
              <w:spacing w:before="20" w:after="20"/>
              <w:rPr>
                <w:b/>
                <w:bCs/>
                <w:sz w:val="20"/>
                <w:szCs w:val="20"/>
              </w:rPr>
            </w:pPr>
            <w:r w:rsidRPr="00A52AB8">
              <w:rPr>
                <w:b/>
                <w:bCs/>
                <w:sz w:val="20"/>
                <w:szCs w:val="20"/>
              </w:rPr>
              <w:tab/>
              <w:t>a</w:t>
            </w:r>
            <w:r w:rsidR="000F3381" w:rsidRPr="00A52AB8">
              <w:rPr>
                <w:b/>
                <w:bCs/>
                <w:sz w:val="20"/>
                <w:szCs w:val="20"/>
              </w:rPr>
              <w:t>a</w:t>
            </w:r>
            <w:r w:rsidRPr="00A52AB8">
              <w:rPr>
                <w:b/>
                <w:bCs/>
                <w:sz w:val="20"/>
                <w:szCs w:val="20"/>
              </w:rPr>
              <w:t>ps_atlas_</w:t>
            </w:r>
            <w:r w:rsidR="00C667DD" w:rsidRPr="00A52AB8">
              <w:rPr>
                <w:b/>
                <w:bCs/>
                <w:sz w:val="20"/>
                <w:szCs w:val="20"/>
              </w:rPr>
              <w:t>adaptation</w:t>
            </w:r>
            <w:r w:rsidRPr="00A52AB8">
              <w:rPr>
                <w:b/>
                <w:bCs/>
                <w:sz w:val="20"/>
                <w:szCs w:val="20"/>
              </w:rPr>
              <w:t>_parameter_set_id</w:t>
            </w:r>
          </w:p>
        </w:tc>
        <w:tc>
          <w:tcPr>
            <w:tcW w:w="1329" w:type="dxa"/>
          </w:tcPr>
          <w:p w14:paraId="2CD08E2E" w14:textId="77777777" w:rsidR="00340156" w:rsidRPr="00A52AB8" w:rsidRDefault="00340156">
            <w:pPr>
              <w:spacing w:before="20" w:after="20"/>
              <w:jc w:val="center"/>
              <w:rPr>
                <w:color w:val="000000" w:themeColor="text1"/>
                <w:sz w:val="20"/>
                <w:szCs w:val="20"/>
              </w:rPr>
            </w:pPr>
            <w:r w:rsidRPr="00A52AB8">
              <w:rPr>
                <w:color w:val="000000" w:themeColor="text1"/>
                <w:sz w:val="20"/>
                <w:szCs w:val="20"/>
              </w:rPr>
              <w:t>ue(v)</w:t>
            </w:r>
          </w:p>
        </w:tc>
      </w:tr>
      <w:tr w:rsidR="00374BB6" w:rsidRPr="00A52AB8" w14:paraId="3169FF05" w14:textId="77777777" w:rsidTr="004A7026">
        <w:tc>
          <w:tcPr>
            <w:tcW w:w="8413" w:type="dxa"/>
          </w:tcPr>
          <w:p w14:paraId="20F43734" w14:textId="77777777" w:rsidR="00374BB6" w:rsidRPr="00A52AB8" w:rsidRDefault="00374BB6" w:rsidP="005C26E9">
            <w:pPr>
              <w:spacing w:before="20" w:after="20"/>
              <w:rPr>
                <w:b/>
                <w:bCs/>
                <w:sz w:val="20"/>
                <w:szCs w:val="20"/>
              </w:rPr>
            </w:pPr>
            <w:r w:rsidRPr="00A52AB8">
              <w:rPr>
                <w:b/>
                <w:bCs/>
                <w:sz w:val="20"/>
                <w:szCs w:val="20"/>
              </w:rPr>
              <w:tab/>
              <w:t>a</w:t>
            </w:r>
            <w:r w:rsidR="00B0793A" w:rsidRPr="00A52AB8">
              <w:rPr>
                <w:b/>
                <w:bCs/>
                <w:sz w:val="20"/>
                <w:szCs w:val="20"/>
              </w:rPr>
              <w:t>a</w:t>
            </w:r>
            <w:r w:rsidRPr="00A52AB8">
              <w:rPr>
                <w:b/>
                <w:bCs/>
                <w:sz w:val="20"/>
                <w:szCs w:val="20"/>
              </w:rPr>
              <w:t>ps_extension_</w:t>
            </w:r>
            <w:r w:rsidR="00F431FA" w:rsidRPr="00A52AB8">
              <w:rPr>
                <w:b/>
                <w:bCs/>
                <w:sz w:val="20"/>
                <w:szCs w:val="20"/>
              </w:rPr>
              <w:t>present_</w:t>
            </w:r>
            <w:r w:rsidRPr="00A52AB8">
              <w:rPr>
                <w:b/>
                <w:bCs/>
                <w:sz w:val="20"/>
                <w:szCs w:val="20"/>
              </w:rPr>
              <w:t>flag</w:t>
            </w:r>
          </w:p>
        </w:tc>
        <w:tc>
          <w:tcPr>
            <w:tcW w:w="1329" w:type="dxa"/>
          </w:tcPr>
          <w:p w14:paraId="53F67817" w14:textId="77777777" w:rsidR="00374BB6" w:rsidRPr="00A52AB8" w:rsidRDefault="00374BB6">
            <w:pPr>
              <w:spacing w:before="20" w:after="20"/>
              <w:jc w:val="center"/>
              <w:rPr>
                <w:color w:val="000000" w:themeColor="text1"/>
                <w:sz w:val="20"/>
                <w:szCs w:val="20"/>
              </w:rPr>
            </w:pPr>
            <w:r w:rsidRPr="00A52AB8">
              <w:rPr>
                <w:sz w:val="20"/>
                <w:szCs w:val="20"/>
              </w:rPr>
              <w:t>u(1)</w:t>
            </w:r>
          </w:p>
        </w:tc>
      </w:tr>
      <w:tr w:rsidR="008B6A4D" w:rsidRPr="00A52AB8" w14:paraId="1173E92C" w14:textId="77777777" w:rsidTr="004A7026">
        <w:tc>
          <w:tcPr>
            <w:tcW w:w="8413" w:type="dxa"/>
          </w:tcPr>
          <w:p w14:paraId="4A693589" w14:textId="09C6EA7E" w:rsidR="008B6A4D" w:rsidRPr="00A52AB8" w:rsidRDefault="008B6A4D" w:rsidP="001B0754">
            <w:pPr>
              <w:spacing w:before="20" w:after="20"/>
              <w:rPr>
                <w:sz w:val="20"/>
                <w:szCs w:val="20"/>
              </w:rPr>
            </w:pPr>
            <w:r w:rsidRPr="00A52AB8">
              <w:rPr>
                <w:sz w:val="20"/>
                <w:szCs w:val="20"/>
              </w:rPr>
              <w:tab/>
              <w:t>if( aaps_extension_</w:t>
            </w:r>
            <w:r w:rsidR="00F431FA" w:rsidRPr="00A52AB8">
              <w:rPr>
                <w:sz w:val="20"/>
                <w:szCs w:val="20"/>
              </w:rPr>
              <w:t>present_</w:t>
            </w:r>
            <w:r w:rsidRPr="00A52AB8">
              <w:rPr>
                <w:sz w:val="20"/>
                <w:szCs w:val="20"/>
              </w:rPr>
              <w:t>flag</w:t>
            </w:r>
            <w:r w:rsidRPr="00A52AB8">
              <w:rPr>
                <w:bCs/>
                <w:color w:val="000000" w:themeColor="text1"/>
                <w:sz w:val="20"/>
                <w:szCs w:val="20"/>
              </w:rPr>
              <w:t> </w:t>
            </w:r>
            <w:r w:rsidR="008F1F82" w:rsidRPr="00A52AB8">
              <w:rPr>
                <w:sz w:val="20"/>
                <w:szCs w:val="20"/>
              </w:rPr>
              <w:t>) {</w:t>
            </w:r>
          </w:p>
        </w:tc>
        <w:tc>
          <w:tcPr>
            <w:tcW w:w="1329" w:type="dxa"/>
          </w:tcPr>
          <w:p w14:paraId="4137B6FD" w14:textId="77777777" w:rsidR="008B6A4D" w:rsidRPr="00A52AB8" w:rsidRDefault="008B6A4D" w:rsidP="001B0754">
            <w:pPr>
              <w:spacing w:before="20" w:after="20"/>
              <w:jc w:val="center"/>
              <w:rPr>
                <w:sz w:val="20"/>
                <w:szCs w:val="20"/>
              </w:rPr>
            </w:pPr>
          </w:p>
        </w:tc>
      </w:tr>
      <w:tr w:rsidR="008B6A4D" w:rsidRPr="00A52AB8" w14:paraId="0D91A86D" w14:textId="77777777" w:rsidTr="004A7026">
        <w:tc>
          <w:tcPr>
            <w:tcW w:w="8413" w:type="dxa"/>
          </w:tcPr>
          <w:p w14:paraId="26C4E79F" w14:textId="4E3EB33E" w:rsidR="008B6A4D" w:rsidRPr="00A52AB8" w:rsidRDefault="008B6A4D" w:rsidP="001B0754">
            <w:pPr>
              <w:spacing w:before="20" w:after="20"/>
              <w:rPr>
                <w:b/>
                <w:bCs/>
                <w:sz w:val="20"/>
                <w:szCs w:val="20"/>
              </w:rPr>
            </w:pPr>
            <w:r w:rsidRPr="00A52AB8">
              <w:rPr>
                <w:sz w:val="20"/>
                <w:szCs w:val="20"/>
              </w:rPr>
              <w:tab/>
            </w:r>
            <w:r w:rsidRPr="00A52AB8">
              <w:rPr>
                <w:sz w:val="20"/>
                <w:szCs w:val="20"/>
              </w:rPr>
              <w:tab/>
            </w:r>
            <w:r w:rsidR="00D719CF" w:rsidRPr="00A52AB8">
              <w:rPr>
                <w:b/>
                <w:bCs/>
                <w:sz w:val="20"/>
                <w:szCs w:val="20"/>
              </w:rPr>
              <w:t>aaps_vpcc_extension_present_flag</w:t>
            </w:r>
          </w:p>
        </w:tc>
        <w:tc>
          <w:tcPr>
            <w:tcW w:w="1329" w:type="dxa"/>
          </w:tcPr>
          <w:p w14:paraId="6AF67FCC" w14:textId="77777777" w:rsidR="008B6A4D" w:rsidRPr="00A52AB8" w:rsidRDefault="008B6A4D" w:rsidP="001B0754">
            <w:pPr>
              <w:spacing w:before="20" w:after="20"/>
              <w:jc w:val="center"/>
              <w:rPr>
                <w:sz w:val="20"/>
                <w:szCs w:val="20"/>
              </w:rPr>
            </w:pPr>
            <w:r w:rsidRPr="00A52AB8">
              <w:rPr>
                <w:sz w:val="20"/>
                <w:szCs w:val="20"/>
              </w:rPr>
              <w:t>u(1)</w:t>
            </w:r>
          </w:p>
        </w:tc>
      </w:tr>
      <w:tr w:rsidR="002A00E1" w:rsidRPr="00A52AB8" w14:paraId="3ADEA377" w14:textId="77777777" w:rsidTr="004A7026">
        <w:tc>
          <w:tcPr>
            <w:tcW w:w="8413" w:type="dxa"/>
          </w:tcPr>
          <w:p w14:paraId="6F60C84E" w14:textId="3A5CB1B7" w:rsidR="002A00E1" w:rsidRPr="00A52AB8" w:rsidRDefault="002A00E1" w:rsidP="001B0754">
            <w:pPr>
              <w:spacing w:before="20" w:after="20"/>
              <w:rPr>
                <w:b/>
                <w:bCs/>
                <w:sz w:val="20"/>
                <w:szCs w:val="20"/>
              </w:rPr>
            </w:pPr>
            <w:r w:rsidRPr="00A52AB8">
              <w:rPr>
                <w:sz w:val="20"/>
                <w:szCs w:val="20"/>
              </w:rPr>
              <w:tab/>
            </w:r>
            <w:r w:rsidRPr="00A52AB8">
              <w:rPr>
                <w:sz w:val="20"/>
                <w:szCs w:val="20"/>
              </w:rPr>
              <w:tab/>
            </w:r>
            <w:r w:rsidRPr="00A52AB8">
              <w:rPr>
                <w:b/>
                <w:bCs/>
                <w:sz w:val="20"/>
                <w:szCs w:val="20"/>
              </w:rPr>
              <w:t>aaps_miv_extension_present_flag</w:t>
            </w:r>
          </w:p>
        </w:tc>
        <w:tc>
          <w:tcPr>
            <w:tcW w:w="1329" w:type="dxa"/>
          </w:tcPr>
          <w:p w14:paraId="6EF151DE" w14:textId="4C823E02" w:rsidR="002A00E1" w:rsidRPr="00A52AB8" w:rsidRDefault="002A00E1" w:rsidP="001B0754">
            <w:pPr>
              <w:spacing w:before="20" w:after="20"/>
              <w:jc w:val="center"/>
              <w:rPr>
                <w:sz w:val="20"/>
                <w:szCs w:val="20"/>
              </w:rPr>
            </w:pPr>
            <w:r w:rsidRPr="00A52AB8">
              <w:rPr>
                <w:sz w:val="20"/>
                <w:szCs w:val="20"/>
              </w:rPr>
              <w:t>u(1)</w:t>
            </w:r>
          </w:p>
        </w:tc>
      </w:tr>
      <w:tr w:rsidR="008B6A4D" w:rsidRPr="00A52AB8" w14:paraId="6B63E565" w14:textId="77777777" w:rsidTr="004A7026">
        <w:tc>
          <w:tcPr>
            <w:tcW w:w="8413" w:type="dxa"/>
          </w:tcPr>
          <w:p w14:paraId="357821BF" w14:textId="7F643127" w:rsidR="008B6A4D" w:rsidRPr="00A52AB8" w:rsidRDefault="008B6A4D" w:rsidP="001B0754">
            <w:pPr>
              <w:spacing w:before="20" w:after="20"/>
              <w:rPr>
                <w:b/>
                <w:bCs/>
                <w:sz w:val="20"/>
                <w:szCs w:val="20"/>
              </w:rPr>
            </w:pPr>
            <w:r w:rsidRPr="00A52AB8">
              <w:rPr>
                <w:sz w:val="20"/>
                <w:szCs w:val="20"/>
              </w:rPr>
              <w:tab/>
            </w:r>
            <w:r w:rsidRPr="00A52AB8">
              <w:rPr>
                <w:sz w:val="20"/>
                <w:szCs w:val="20"/>
              </w:rPr>
              <w:tab/>
            </w:r>
            <w:r w:rsidRPr="00A52AB8">
              <w:rPr>
                <w:b/>
                <w:bCs/>
                <w:sz w:val="20"/>
                <w:szCs w:val="20"/>
              </w:rPr>
              <w:t>aaps_extension_</w:t>
            </w:r>
            <w:r w:rsidR="002A00E1" w:rsidRPr="00A52AB8">
              <w:rPr>
                <w:b/>
                <w:bCs/>
                <w:sz w:val="20"/>
                <w:szCs w:val="20"/>
              </w:rPr>
              <w:t>6bits</w:t>
            </w:r>
          </w:p>
        </w:tc>
        <w:tc>
          <w:tcPr>
            <w:tcW w:w="1329" w:type="dxa"/>
          </w:tcPr>
          <w:p w14:paraId="5CB37387" w14:textId="41BEAA8A" w:rsidR="008B6A4D" w:rsidRPr="00A52AB8" w:rsidRDefault="008B6A4D" w:rsidP="001B0754">
            <w:pPr>
              <w:spacing w:before="20" w:after="20"/>
              <w:jc w:val="center"/>
              <w:rPr>
                <w:sz w:val="20"/>
                <w:szCs w:val="20"/>
              </w:rPr>
            </w:pPr>
            <w:r w:rsidRPr="00A52AB8">
              <w:rPr>
                <w:sz w:val="20"/>
                <w:szCs w:val="20"/>
              </w:rPr>
              <w:t>u(</w:t>
            </w:r>
            <w:r w:rsidR="002A00E1" w:rsidRPr="00A52AB8">
              <w:rPr>
                <w:sz w:val="20"/>
                <w:szCs w:val="20"/>
              </w:rPr>
              <w:t>6</w:t>
            </w:r>
            <w:r w:rsidRPr="00A52AB8">
              <w:rPr>
                <w:sz w:val="20"/>
                <w:szCs w:val="20"/>
              </w:rPr>
              <w:t>)</w:t>
            </w:r>
          </w:p>
        </w:tc>
      </w:tr>
      <w:tr w:rsidR="008B6A4D" w:rsidRPr="00A52AB8" w14:paraId="690DC0B5" w14:textId="77777777" w:rsidTr="004A7026">
        <w:tc>
          <w:tcPr>
            <w:tcW w:w="8413" w:type="dxa"/>
          </w:tcPr>
          <w:p w14:paraId="72644E59" w14:textId="77777777" w:rsidR="008B6A4D" w:rsidRPr="00A52AB8" w:rsidRDefault="008B6A4D" w:rsidP="001B0754">
            <w:pPr>
              <w:spacing w:before="20" w:after="20"/>
              <w:rPr>
                <w:sz w:val="20"/>
                <w:szCs w:val="20"/>
              </w:rPr>
            </w:pPr>
            <w:r w:rsidRPr="00A52AB8">
              <w:rPr>
                <w:sz w:val="20"/>
                <w:szCs w:val="20"/>
              </w:rPr>
              <w:tab/>
              <w:t>}</w:t>
            </w:r>
          </w:p>
        </w:tc>
        <w:tc>
          <w:tcPr>
            <w:tcW w:w="1329" w:type="dxa"/>
          </w:tcPr>
          <w:p w14:paraId="0D1E9383" w14:textId="77777777" w:rsidR="008B6A4D" w:rsidRPr="00A52AB8" w:rsidRDefault="008B6A4D" w:rsidP="001B0754">
            <w:pPr>
              <w:spacing w:before="20" w:after="20"/>
              <w:jc w:val="center"/>
              <w:rPr>
                <w:sz w:val="20"/>
                <w:szCs w:val="20"/>
              </w:rPr>
            </w:pPr>
          </w:p>
        </w:tc>
      </w:tr>
      <w:tr w:rsidR="008B6A4D" w:rsidRPr="00A52AB8" w14:paraId="38DD9C81" w14:textId="77777777" w:rsidTr="004A7026">
        <w:tc>
          <w:tcPr>
            <w:tcW w:w="8413" w:type="dxa"/>
          </w:tcPr>
          <w:p w14:paraId="4FA6E1D4" w14:textId="4AA15642" w:rsidR="008B6A4D" w:rsidRPr="00A52AB8" w:rsidRDefault="008B6A4D" w:rsidP="001B0754">
            <w:pPr>
              <w:spacing w:before="20" w:after="20"/>
              <w:rPr>
                <w:sz w:val="20"/>
                <w:szCs w:val="20"/>
              </w:rPr>
            </w:pPr>
            <w:r w:rsidRPr="00A52AB8">
              <w:rPr>
                <w:sz w:val="20"/>
                <w:szCs w:val="20"/>
              </w:rPr>
              <w:tab/>
              <w:t>if( </w:t>
            </w:r>
            <w:r w:rsidR="00D719CF" w:rsidRPr="00A52AB8">
              <w:rPr>
                <w:sz w:val="20"/>
                <w:szCs w:val="20"/>
              </w:rPr>
              <w:t>aaps_vpcc_extension_present_flag </w:t>
            </w:r>
            <w:r w:rsidRPr="00A52AB8">
              <w:rPr>
                <w:sz w:val="20"/>
                <w:szCs w:val="20"/>
              </w:rPr>
              <w:t>)</w:t>
            </w:r>
          </w:p>
        </w:tc>
        <w:tc>
          <w:tcPr>
            <w:tcW w:w="1329" w:type="dxa"/>
          </w:tcPr>
          <w:p w14:paraId="50326871" w14:textId="77777777" w:rsidR="008B6A4D" w:rsidRPr="00A52AB8" w:rsidRDefault="008B6A4D" w:rsidP="001B0754">
            <w:pPr>
              <w:spacing w:before="20" w:after="20"/>
              <w:jc w:val="center"/>
              <w:rPr>
                <w:sz w:val="20"/>
                <w:szCs w:val="20"/>
              </w:rPr>
            </w:pPr>
          </w:p>
        </w:tc>
      </w:tr>
      <w:tr w:rsidR="008B6A4D" w:rsidRPr="00A52AB8" w14:paraId="26D3BF7C" w14:textId="77777777" w:rsidTr="004A7026">
        <w:tc>
          <w:tcPr>
            <w:tcW w:w="8413" w:type="dxa"/>
          </w:tcPr>
          <w:p w14:paraId="28C9D875" w14:textId="5CEA78FF" w:rsidR="008B6A4D" w:rsidRPr="00A52AB8" w:rsidRDefault="008B6A4D" w:rsidP="001B0754">
            <w:pPr>
              <w:spacing w:before="20" w:after="20"/>
              <w:rPr>
                <w:sz w:val="20"/>
                <w:szCs w:val="20"/>
              </w:rPr>
            </w:pPr>
            <w:r w:rsidRPr="00A52AB8">
              <w:rPr>
                <w:sz w:val="20"/>
                <w:szCs w:val="20"/>
              </w:rPr>
              <w:tab/>
            </w:r>
            <w:r w:rsidRPr="00A52AB8">
              <w:rPr>
                <w:sz w:val="20"/>
                <w:szCs w:val="20"/>
              </w:rPr>
              <w:tab/>
              <w:t>aaps_vpcc_extension(</w:t>
            </w:r>
            <w:r w:rsidR="003576D8" w:rsidRPr="00A52AB8">
              <w:rPr>
                <w:sz w:val="20"/>
                <w:szCs w:val="20"/>
              </w:rPr>
              <w:t> </w:t>
            </w:r>
            <w:r w:rsidRPr="00A52AB8">
              <w:rPr>
                <w:sz w:val="20"/>
                <w:szCs w:val="20"/>
              </w:rPr>
              <w:t>) /* Specified in Annex H</w:t>
            </w:r>
            <w:r w:rsidR="002A00E1" w:rsidRPr="00A52AB8">
              <w:rPr>
                <w:sz w:val="20"/>
                <w:szCs w:val="20"/>
              </w:rPr>
              <w:t xml:space="preserve"> </w:t>
            </w:r>
            <w:r w:rsidRPr="00A52AB8">
              <w:rPr>
                <w:sz w:val="20"/>
                <w:szCs w:val="20"/>
              </w:rPr>
              <w:t>*/</w:t>
            </w:r>
          </w:p>
        </w:tc>
        <w:tc>
          <w:tcPr>
            <w:tcW w:w="1329" w:type="dxa"/>
          </w:tcPr>
          <w:p w14:paraId="6281C0F1" w14:textId="77777777" w:rsidR="008B6A4D" w:rsidRPr="00A52AB8" w:rsidRDefault="008B6A4D" w:rsidP="001B0754">
            <w:pPr>
              <w:spacing w:before="20" w:after="20"/>
              <w:jc w:val="center"/>
              <w:rPr>
                <w:sz w:val="20"/>
                <w:szCs w:val="20"/>
              </w:rPr>
            </w:pPr>
          </w:p>
        </w:tc>
      </w:tr>
      <w:tr w:rsidR="002A00E1" w:rsidRPr="00A52AB8" w14:paraId="0DACC3BF" w14:textId="77777777" w:rsidTr="004A7026">
        <w:tc>
          <w:tcPr>
            <w:tcW w:w="8413" w:type="dxa"/>
          </w:tcPr>
          <w:p w14:paraId="5F73DDD7" w14:textId="769E88A1" w:rsidR="002A00E1" w:rsidRPr="00A52AB8" w:rsidRDefault="002A00E1" w:rsidP="005C26E9">
            <w:pPr>
              <w:spacing w:before="20" w:after="20"/>
              <w:rPr>
                <w:sz w:val="20"/>
                <w:szCs w:val="20"/>
              </w:rPr>
            </w:pPr>
            <w:r w:rsidRPr="00A52AB8">
              <w:rPr>
                <w:sz w:val="20"/>
                <w:szCs w:val="20"/>
              </w:rPr>
              <w:tab/>
              <w:t>if( aaps_miv_extension_present_flag )</w:t>
            </w:r>
            <w:r w:rsidR="004967A0" w:rsidRPr="00A52AB8">
              <w:rPr>
                <w:sz w:val="20"/>
                <w:szCs w:val="20"/>
              </w:rPr>
              <w:t xml:space="preserve"> {</w:t>
            </w:r>
          </w:p>
        </w:tc>
        <w:tc>
          <w:tcPr>
            <w:tcW w:w="1329" w:type="dxa"/>
          </w:tcPr>
          <w:p w14:paraId="7B127202" w14:textId="77777777" w:rsidR="002A00E1" w:rsidRPr="00A52AB8" w:rsidRDefault="002A00E1">
            <w:pPr>
              <w:spacing w:before="20" w:after="20"/>
              <w:jc w:val="center"/>
              <w:rPr>
                <w:color w:val="000000" w:themeColor="text1"/>
                <w:sz w:val="20"/>
                <w:szCs w:val="20"/>
              </w:rPr>
            </w:pPr>
          </w:p>
        </w:tc>
      </w:tr>
      <w:tr w:rsidR="002A00E1" w:rsidRPr="00A52AB8" w14:paraId="082724B5" w14:textId="77777777" w:rsidTr="004A7026">
        <w:tc>
          <w:tcPr>
            <w:tcW w:w="8413" w:type="dxa"/>
          </w:tcPr>
          <w:p w14:paraId="37DE242B" w14:textId="7A88607C" w:rsidR="002A00E1" w:rsidRPr="00A52AB8" w:rsidRDefault="002A00E1" w:rsidP="005C26E9">
            <w:pPr>
              <w:spacing w:before="20" w:after="20"/>
              <w:rPr>
                <w:sz w:val="20"/>
                <w:szCs w:val="20"/>
              </w:rPr>
            </w:pPr>
            <w:r w:rsidRPr="00A52AB8">
              <w:rPr>
                <w:sz w:val="20"/>
                <w:szCs w:val="20"/>
              </w:rPr>
              <w:tab/>
            </w:r>
            <w:r w:rsidRPr="00A52AB8">
              <w:rPr>
                <w:sz w:val="20"/>
                <w:szCs w:val="20"/>
              </w:rPr>
              <w:tab/>
              <w:t>aaps_miv_extension( ) /* Specified in ISO/IEC 23090-12 */</w:t>
            </w:r>
          </w:p>
        </w:tc>
        <w:tc>
          <w:tcPr>
            <w:tcW w:w="1329" w:type="dxa"/>
          </w:tcPr>
          <w:p w14:paraId="601E5EC9" w14:textId="77777777" w:rsidR="002A00E1" w:rsidRPr="00A52AB8" w:rsidRDefault="002A00E1">
            <w:pPr>
              <w:spacing w:before="20" w:after="20"/>
              <w:jc w:val="center"/>
              <w:rPr>
                <w:color w:val="000000" w:themeColor="text1"/>
                <w:sz w:val="20"/>
                <w:szCs w:val="20"/>
              </w:rPr>
            </w:pPr>
          </w:p>
        </w:tc>
      </w:tr>
      <w:tr w:rsidR="004967A0" w:rsidRPr="00A52AB8" w14:paraId="7D870726" w14:textId="77777777" w:rsidTr="004A7026">
        <w:tc>
          <w:tcPr>
            <w:tcW w:w="8413" w:type="dxa"/>
          </w:tcPr>
          <w:p w14:paraId="43760351" w14:textId="35FBF209" w:rsidR="004967A0" w:rsidRPr="00A52AB8" w:rsidRDefault="004967A0" w:rsidP="005C26E9">
            <w:pPr>
              <w:spacing w:before="20" w:after="20"/>
              <w:rPr>
                <w:sz w:val="20"/>
                <w:szCs w:val="20"/>
              </w:rPr>
            </w:pPr>
            <w:r w:rsidRPr="00A52AB8">
              <w:rPr>
                <w:sz w:val="20"/>
                <w:szCs w:val="20"/>
              </w:rPr>
              <w:tab/>
              <w:t>}</w:t>
            </w:r>
          </w:p>
        </w:tc>
        <w:tc>
          <w:tcPr>
            <w:tcW w:w="1329" w:type="dxa"/>
          </w:tcPr>
          <w:p w14:paraId="216A13D1" w14:textId="77777777" w:rsidR="004967A0" w:rsidRPr="00A52AB8" w:rsidRDefault="004967A0">
            <w:pPr>
              <w:spacing w:before="20" w:after="20"/>
              <w:jc w:val="center"/>
              <w:rPr>
                <w:color w:val="000000" w:themeColor="text1"/>
                <w:sz w:val="20"/>
                <w:szCs w:val="20"/>
              </w:rPr>
            </w:pPr>
          </w:p>
        </w:tc>
      </w:tr>
      <w:tr w:rsidR="00374BB6" w:rsidRPr="00A52AB8" w14:paraId="296883DA" w14:textId="77777777" w:rsidTr="004A7026">
        <w:tc>
          <w:tcPr>
            <w:tcW w:w="8413" w:type="dxa"/>
          </w:tcPr>
          <w:p w14:paraId="3F83084E" w14:textId="0E3C96B8" w:rsidR="00374BB6" w:rsidRPr="00A52AB8" w:rsidRDefault="00374BB6" w:rsidP="005C26E9">
            <w:pPr>
              <w:spacing w:before="20" w:after="20"/>
              <w:rPr>
                <w:sz w:val="20"/>
              </w:rPr>
            </w:pPr>
            <w:r w:rsidRPr="00A52AB8">
              <w:rPr>
                <w:sz w:val="20"/>
                <w:szCs w:val="20"/>
              </w:rPr>
              <w:tab/>
              <w:t>if(</w:t>
            </w:r>
            <w:r w:rsidR="00B0793A" w:rsidRPr="00A52AB8">
              <w:rPr>
                <w:sz w:val="20"/>
                <w:szCs w:val="20"/>
              </w:rPr>
              <w:t> </w:t>
            </w:r>
            <w:r w:rsidR="008B6A4D" w:rsidRPr="00A52AB8">
              <w:rPr>
                <w:sz w:val="20"/>
                <w:szCs w:val="20"/>
              </w:rPr>
              <w:t>aaps_extension_</w:t>
            </w:r>
            <w:r w:rsidR="002A00E1" w:rsidRPr="00A52AB8">
              <w:rPr>
                <w:sz w:val="20"/>
                <w:szCs w:val="20"/>
              </w:rPr>
              <w:t>6bits </w:t>
            </w:r>
            <w:r w:rsidRPr="00A52AB8">
              <w:rPr>
                <w:sz w:val="20"/>
                <w:szCs w:val="20"/>
              </w:rPr>
              <w:t>)</w:t>
            </w:r>
          </w:p>
        </w:tc>
        <w:tc>
          <w:tcPr>
            <w:tcW w:w="1329" w:type="dxa"/>
          </w:tcPr>
          <w:p w14:paraId="20E26C7C" w14:textId="77777777" w:rsidR="00374BB6" w:rsidRPr="00A52AB8" w:rsidRDefault="00374BB6">
            <w:pPr>
              <w:spacing w:before="20" w:after="20"/>
              <w:jc w:val="center"/>
              <w:rPr>
                <w:color w:val="000000" w:themeColor="text1"/>
                <w:sz w:val="20"/>
                <w:szCs w:val="20"/>
              </w:rPr>
            </w:pPr>
          </w:p>
        </w:tc>
      </w:tr>
      <w:tr w:rsidR="00374BB6" w:rsidRPr="00A52AB8" w14:paraId="3183B065" w14:textId="77777777" w:rsidTr="004A7026">
        <w:trPr>
          <w:trHeight w:val="55"/>
        </w:trPr>
        <w:tc>
          <w:tcPr>
            <w:tcW w:w="8413" w:type="dxa"/>
          </w:tcPr>
          <w:p w14:paraId="2996FB84" w14:textId="77777777" w:rsidR="00374BB6" w:rsidRPr="00A52AB8" w:rsidRDefault="00374BB6" w:rsidP="005C26E9">
            <w:pPr>
              <w:spacing w:before="20" w:after="20"/>
              <w:rPr>
                <w:sz w:val="20"/>
              </w:rPr>
            </w:pPr>
            <w:r w:rsidRPr="00A52AB8">
              <w:rPr>
                <w:sz w:val="20"/>
                <w:szCs w:val="20"/>
              </w:rPr>
              <w:tab/>
            </w:r>
            <w:r w:rsidRPr="00A52AB8">
              <w:rPr>
                <w:sz w:val="20"/>
                <w:szCs w:val="20"/>
              </w:rPr>
              <w:tab/>
              <w:t>while(</w:t>
            </w:r>
            <w:r w:rsidR="00B0793A" w:rsidRPr="00A52AB8">
              <w:rPr>
                <w:sz w:val="20"/>
                <w:szCs w:val="20"/>
              </w:rPr>
              <w:t> </w:t>
            </w:r>
            <w:r w:rsidRPr="00A52AB8">
              <w:rPr>
                <w:sz w:val="20"/>
                <w:szCs w:val="20"/>
              </w:rPr>
              <w:t>more_rbsp_data(</w:t>
            </w:r>
            <w:r w:rsidR="00B0793A" w:rsidRPr="00A52AB8">
              <w:rPr>
                <w:sz w:val="20"/>
                <w:szCs w:val="20"/>
              </w:rPr>
              <w:t> </w:t>
            </w:r>
            <w:r w:rsidRPr="00A52AB8">
              <w:rPr>
                <w:sz w:val="20"/>
                <w:szCs w:val="20"/>
              </w:rPr>
              <w:t>)</w:t>
            </w:r>
            <w:r w:rsidR="00B0793A" w:rsidRPr="00A52AB8">
              <w:rPr>
                <w:sz w:val="20"/>
                <w:szCs w:val="20"/>
              </w:rPr>
              <w:t> </w:t>
            </w:r>
            <w:r w:rsidRPr="00A52AB8">
              <w:rPr>
                <w:sz w:val="20"/>
                <w:szCs w:val="20"/>
              </w:rPr>
              <w:t>)</w:t>
            </w:r>
          </w:p>
        </w:tc>
        <w:tc>
          <w:tcPr>
            <w:tcW w:w="1329" w:type="dxa"/>
          </w:tcPr>
          <w:p w14:paraId="203BCF12" w14:textId="77777777" w:rsidR="00374BB6" w:rsidRPr="00A52AB8" w:rsidRDefault="00374BB6">
            <w:pPr>
              <w:spacing w:before="20" w:after="20"/>
              <w:jc w:val="center"/>
              <w:rPr>
                <w:color w:val="000000" w:themeColor="text1"/>
                <w:sz w:val="20"/>
                <w:szCs w:val="20"/>
              </w:rPr>
            </w:pPr>
          </w:p>
        </w:tc>
      </w:tr>
      <w:tr w:rsidR="00374BB6" w:rsidRPr="00A52AB8" w14:paraId="709817F0" w14:textId="77777777" w:rsidTr="004A7026">
        <w:tc>
          <w:tcPr>
            <w:tcW w:w="8413" w:type="dxa"/>
          </w:tcPr>
          <w:p w14:paraId="2412D7C7" w14:textId="77777777" w:rsidR="00374BB6" w:rsidRPr="00A52AB8" w:rsidRDefault="00374BB6" w:rsidP="005C26E9">
            <w:pPr>
              <w:spacing w:before="20" w:after="20"/>
              <w:rPr>
                <w:sz w:val="20"/>
              </w:rPr>
            </w:pPr>
            <w:r w:rsidRPr="00A52AB8">
              <w:rPr>
                <w:sz w:val="20"/>
                <w:szCs w:val="20"/>
              </w:rPr>
              <w:tab/>
            </w:r>
            <w:r w:rsidRPr="00A52AB8">
              <w:rPr>
                <w:sz w:val="20"/>
                <w:szCs w:val="20"/>
              </w:rPr>
              <w:tab/>
            </w:r>
            <w:r w:rsidRPr="00A52AB8">
              <w:rPr>
                <w:sz w:val="20"/>
                <w:szCs w:val="20"/>
              </w:rPr>
              <w:tab/>
              <w:t>a</w:t>
            </w:r>
            <w:r w:rsidR="00B0793A" w:rsidRPr="00A52AB8">
              <w:rPr>
                <w:sz w:val="20"/>
                <w:szCs w:val="20"/>
              </w:rPr>
              <w:t>a</w:t>
            </w:r>
            <w:r w:rsidRPr="00A52AB8">
              <w:rPr>
                <w:sz w:val="20"/>
                <w:szCs w:val="20"/>
              </w:rPr>
              <w:t>ps_extension_data_flag</w:t>
            </w:r>
          </w:p>
        </w:tc>
        <w:tc>
          <w:tcPr>
            <w:tcW w:w="1329" w:type="dxa"/>
          </w:tcPr>
          <w:p w14:paraId="01ECB2E8" w14:textId="77777777" w:rsidR="00374BB6" w:rsidRPr="00A52AB8" w:rsidRDefault="00374BB6">
            <w:pPr>
              <w:spacing w:before="20" w:after="20"/>
              <w:jc w:val="center"/>
              <w:rPr>
                <w:color w:val="000000" w:themeColor="text1"/>
                <w:sz w:val="20"/>
                <w:szCs w:val="20"/>
              </w:rPr>
            </w:pPr>
            <w:r w:rsidRPr="00A52AB8">
              <w:rPr>
                <w:sz w:val="20"/>
                <w:szCs w:val="20"/>
              </w:rPr>
              <w:t>u(1)</w:t>
            </w:r>
          </w:p>
        </w:tc>
      </w:tr>
      <w:tr w:rsidR="00374BB6" w:rsidRPr="00A52AB8" w14:paraId="21D0E220" w14:textId="77777777" w:rsidTr="004A7026">
        <w:tc>
          <w:tcPr>
            <w:tcW w:w="8413" w:type="dxa"/>
          </w:tcPr>
          <w:p w14:paraId="15DB5218" w14:textId="7C5DF8E3" w:rsidR="00374BB6" w:rsidRPr="00A52AB8" w:rsidRDefault="00374BB6" w:rsidP="005C26E9">
            <w:pPr>
              <w:spacing w:before="20" w:after="20"/>
              <w:rPr>
                <w:sz w:val="20"/>
              </w:rPr>
            </w:pPr>
            <w:r w:rsidRPr="00A52AB8">
              <w:rPr>
                <w:sz w:val="20"/>
                <w:szCs w:val="20"/>
              </w:rPr>
              <w:tab/>
              <w:t>rbsp_trailing_bits(</w:t>
            </w:r>
            <w:r w:rsidR="00673E93" w:rsidRPr="00A52AB8">
              <w:rPr>
                <w:sz w:val="20"/>
                <w:szCs w:val="20"/>
              </w:rPr>
              <w:t> </w:t>
            </w:r>
            <w:r w:rsidRPr="00A52AB8">
              <w:rPr>
                <w:sz w:val="20"/>
                <w:szCs w:val="20"/>
              </w:rPr>
              <w:t>)</w:t>
            </w:r>
          </w:p>
        </w:tc>
        <w:tc>
          <w:tcPr>
            <w:tcW w:w="1329" w:type="dxa"/>
          </w:tcPr>
          <w:p w14:paraId="19E92F86" w14:textId="77777777" w:rsidR="00374BB6" w:rsidRPr="00A52AB8" w:rsidRDefault="00374BB6">
            <w:pPr>
              <w:spacing w:before="20" w:after="20"/>
              <w:jc w:val="center"/>
              <w:rPr>
                <w:color w:val="000000" w:themeColor="text1"/>
                <w:sz w:val="20"/>
                <w:szCs w:val="20"/>
              </w:rPr>
            </w:pPr>
          </w:p>
        </w:tc>
      </w:tr>
      <w:tr w:rsidR="00374BB6" w:rsidRPr="00A52AB8" w14:paraId="5F29E63D" w14:textId="77777777" w:rsidTr="004A7026">
        <w:tc>
          <w:tcPr>
            <w:tcW w:w="8413" w:type="dxa"/>
          </w:tcPr>
          <w:p w14:paraId="657FB32C" w14:textId="77777777" w:rsidR="00374BB6" w:rsidRPr="00A52AB8" w:rsidRDefault="00374BB6" w:rsidP="005C26E9">
            <w:pPr>
              <w:spacing w:before="20" w:after="20"/>
              <w:rPr>
                <w:sz w:val="20"/>
              </w:rPr>
            </w:pPr>
            <w:r w:rsidRPr="00A52AB8">
              <w:rPr>
                <w:sz w:val="20"/>
                <w:szCs w:val="20"/>
              </w:rPr>
              <w:t>}</w:t>
            </w:r>
          </w:p>
        </w:tc>
        <w:tc>
          <w:tcPr>
            <w:tcW w:w="1329" w:type="dxa"/>
          </w:tcPr>
          <w:p w14:paraId="6F099F1C" w14:textId="77777777" w:rsidR="00374BB6" w:rsidRPr="00A52AB8" w:rsidRDefault="00374BB6">
            <w:pPr>
              <w:spacing w:before="20" w:after="20"/>
              <w:jc w:val="center"/>
              <w:rPr>
                <w:color w:val="000000" w:themeColor="text1"/>
                <w:sz w:val="20"/>
                <w:szCs w:val="20"/>
              </w:rPr>
            </w:pPr>
          </w:p>
        </w:tc>
      </w:tr>
    </w:tbl>
    <w:p w14:paraId="65728FBE" w14:textId="6D2734EE" w:rsidR="004838F6" w:rsidRPr="00A52AB8" w:rsidRDefault="00ED288D" w:rsidP="00CB76AA">
      <w:pPr>
        <w:pStyle w:val="Heading4"/>
      </w:pPr>
      <w:bookmarkStart w:id="733" w:name="_Ref38314422"/>
      <w:r w:rsidRPr="00A52AB8">
        <w:t xml:space="preserve">Supplemental </w:t>
      </w:r>
      <w:r w:rsidR="004838F6" w:rsidRPr="00A52AB8">
        <w:t xml:space="preserve">enhancement information </w:t>
      </w:r>
      <w:r w:rsidR="0079186F" w:rsidRPr="00A52AB8">
        <w:t>RBSP</w:t>
      </w:r>
      <w:r w:rsidR="004838F6" w:rsidRPr="00A52AB8">
        <w:t xml:space="preserve"> syntax</w:t>
      </w:r>
      <w:bookmarkEnd w:id="733"/>
    </w:p>
    <w:tbl>
      <w:tblPr>
        <w:tblStyle w:val="TableGrid"/>
        <w:tblW w:w="5000" w:type="pct"/>
        <w:jc w:val="center"/>
        <w:tblLook w:val="04A0" w:firstRow="1" w:lastRow="0" w:firstColumn="1" w:lastColumn="0" w:noHBand="0" w:noVBand="1"/>
      </w:tblPr>
      <w:tblGrid>
        <w:gridCol w:w="8414"/>
        <w:gridCol w:w="1328"/>
      </w:tblGrid>
      <w:tr w:rsidR="004838F6" w:rsidRPr="00A52AB8" w14:paraId="57B1A1D0" w14:textId="77777777" w:rsidTr="00A252B5">
        <w:trPr>
          <w:jc w:val="center"/>
        </w:trPr>
        <w:tc>
          <w:tcPr>
            <w:tcW w:w="7940" w:type="dxa"/>
          </w:tcPr>
          <w:p w14:paraId="77016734" w14:textId="6565F0FD" w:rsidR="004838F6" w:rsidRPr="00A52AB8" w:rsidRDefault="004838F6">
            <w:pPr>
              <w:spacing w:before="20" w:after="20"/>
              <w:rPr>
                <w:color w:val="000000" w:themeColor="text1"/>
                <w:sz w:val="20"/>
                <w:szCs w:val="20"/>
              </w:rPr>
            </w:pPr>
            <w:r w:rsidRPr="00A52AB8">
              <w:rPr>
                <w:color w:val="000000" w:themeColor="text1"/>
                <w:sz w:val="20"/>
                <w:szCs w:val="20"/>
              </w:rPr>
              <w:t>sei_</w:t>
            </w:r>
            <w:r w:rsidR="005C2989" w:rsidRPr="00A52AB8">
              <w:rPr>
                <w:color w:val="000000" w:themeColor="text1"/>
                <w:sz w:val="20"/>
                <w:szCs w:val="20"/>
              </w:rPr>
              <w:t>rbsp</w:t>
            </w:r>
            <w:r w:rsidRPr="00A52AB8">
              <w:rPr>
                <w:color w:val="000000" w:themeColor="text1"/>
                <w:sz w:val="20"/>
                <w:szCs w:val="20"/>
              </w:rPr>
              <w:t>( </w:t>
            </w:r>
            <w:r w:rsidR="008F1F82" w:rsidRPr="00A52AB8">
              <w:rPr>
                <w:color w:val="000000" w:themeColor="text1"/>
                <w:sz w:val="20"/>
                <w:szCs w:val="20"/>
              </w:rPr>
              <w:t>) {</w:t>
            </w:r>
          </w:p>
        </w:tc>
        <w:tc>
          <w:tcPr>
            <w:tcW w:w="1253" w:type="dxa"/>
          </w:tcPr>
          <w:p w14:paraId="0BE12769" w14:textId="77777777" w:rsidR="004838F6" w:rsidRPr="00A52AB8" w:rsidRDefault="004838F6">
            <w:pPr>
              <w:spacing w:before="20" w:after="20"/>
              <w:jc w:val="center"/>
              <w:rPr>
                <w:b/>
                <w:color w:val="000000" w:themeColor="text1"/>
                <w:sz w:val="20"/>
                <w:szCs w:val="20"/>
              </w:rPr>
            </w:pPr>
            <w:r w:rsidRPr="00A52AB8">
              <w:rPr>
                <w:b/>
                <w:color w:val="000000" w:themeColor="text1"/>
                <w:sz w:val="20"/>
                <w:szCs w:val="20"/>
              </w:rPr>
              <w:t>Descriptor</w:t>
            </w:r>
          </w:p>
        </w:tc>
      </w:tr>
      <w:tr w:rsidR="004838F6" w:rsidRPr="00A52AB8" w14:paraId="6F1C8C2B" w14:textId="77777777" w:rsidTr="00A252B5">
        <w:trPr>
          <w:jc w:val="center"/>
        </w:trPr>
        <w:tc>
          <w:tcPr>
            <w:tcW w:w="7940" w:type="dxa"/>
          </w:tcPr>
          <w:p w14:paraId="54998B04" w14:textId="77777777" w:rsidR="004838F6" w:rsidRPr="00A52AB8" w:rsidRDefault="004838F6">
            <w:pPr>
              <w:spacing w:before="20" w:after="20"/>
              <w:rPr>
                <w:b/>
                <w:color w:val="000000" w:themeColor="text1"/>
                <w:sz w:val="20"/>
                <w:szCs w:val="20"/>
              </w:rPr>
            </w:pPr>
            <w:r w:rsidRPr="00A52AB8">
              <w:rPr>
                <w:sz w:val="20"/>
                <w:szCs w:val="20"/>
              </w:rPr>
              <w:tab/>
              <w:t>do</w:t>
            </w:r>
          </w:p>
        </w:tc>
        <w:tc>
          <w:tcPr>
            <w:tcW w:w="1253" w:type="dxa"/>
          </w:tcPr>
          <w:p w14:paraId="21770C38" w14:textId="77777777" w:rsidR="004838F6" w:rsidRPr="00A52AB8" w:rsidRDefault="004838F6">
            <w:pPr>
              <w:spacing w:before="20" w:after="20"/>
              <w:jc w:val="center"/>
              <w:rPr>
                <w:color w:val="000000" w:themeColor="text1"/>
                <w:sz w:val="20"/>
                <w:szCs w:val="20"/>
              </w:rPr>
            </w:pPr>
          </w:p>
        </w:tc>
      </w:tr>
      <w:tr w:rsidR="004838F6" w:rsidRPr="00A52AB8" w14:paraId="3A324079" w14:textId="77777777" w:rsidTr="00A252B5">
        <w:trPr>
          <w:jc w:val="center"/>
        </w:trPr>
        <w:tc>
          <w:tcPr>
            <w:tcW w:w="7940" w:type="dxa"/>
          </w:tcPr>
          <w:p w14:paraId="353A46EE" w14:textId="77777777" w:rsidR="004838F6" w:rsidRPr="00A52AB8" w:rsidRDefault="008D47CD">
            <w:pPr>
              <w:pStyle w:val="tablesyntax"/>
              <w:keepNext w:val="0"/>
              <w:keepLines w:val="0"/>
              <w:spacing w:before="20" w:after="40"/>
              <w:rPr>
                <w:rFonts w:ascii="Cambria" w:hAnsi="Cambria"/>
                <w:b/>
                <w:bCs/>
              </w:rPr>
            </w:pPr>
            <w:r w:rsidRPr="00A52AB8">
              <w:rPr>
                <w:rFonts w:ascii="Cambria" w:hAnsi="Cambria"/>
              </w:rPr>
              <w:tab/>
            </w:r>
            <w:r w:rsidRPr="00A52AB8">
              <w:rPr>
                <w:rFonts w:ascii="Cambria" w:hAnsi="Cambria"/>
              </w:rPr>
              <w:tab/>
            </w:r>
            <w:r w:rsidR="004838F6" w:rsidRPr="00A52AB8">
              <w:rPr>
                <w:rFonts w:ascii="Cambria" w:hAnsi="Cambria"/>
              </w:rPr>
              <w:t>sei_message(</w:t>
            </w:r>
            <w:r w:rsidRPr="00A52AB8">
              <w:rPr>
                <w:rFonts w:ascii="Cambria" w:hAnsi="Cambria"/>
              </w:rPr>
              <w:t> </w:t>
            </w:r>
            <w:r w:rsidR="004838F6" w:rsidRPr="00A52AB8">
              <w:rPr>
                <w:rFonts w:ascii="Cambria" w:hAnsi="Cambria"/>
              </w:rPr>
              <w:t>)</w:t>
            </w:r>
          </w:p>
        </w:tc>
        <w:tc>
          <w:tcPr>
            <w:tcW w:w="1253" w:type="dxa"/>
          </w:tcPr>
          <w:p w14:paraId="17BFF54D" w14:textId="77777777" w:rsidR="004838F6" w:rsidRPr="00A52AB8" w:rsidRDefault="004838F6">
            <w:pPr>
              <w:pStyle w:val="tablecell"/>
              <w:keepNext w:val="0"/>
              <w:keepLines w:val="0"/>
              <w:spacing w:before="20" w:after="40"/>
              <w:jc w:val="center"/>
              <w:rPr>
                <w:rFonts w:ascii="Cambria" w:hAnsi="Cambria"/>
              </w:rPr>
            </w:pPr>
          </w:p>
        </w:tc>
      </w:tr>
      <w:tr w:rsidR="004838F6" w:rsidRPr="00A52AB8" w14:paraId="6FC7C151" w14:textId="77777777" w:rsidTr="00A252B5">
        <w:trPr>
          <w:jc w:val="center"/>
        </w:trPr>
        <w:tc>
          <w:tcPr>
            <w:tcW w:w="7940" w:type="dxa"/>
          </w:tcPr>
          <w:p w14:paraId="34E02FF5" w14:textId="77777777" w:rsidR="004838F6" w:rsidRPr="00A52AB8" w:rsidRDefault="004838F6">
            <w:pPr>
              <w:pStyle w:val="tablesyntax"/>
              <w:keepNext w:val="0"/>
              <w:keepLines w:val="0"/>
              <w:spacing w:before="20" w:after="40"/>
              <w:rPr>
                <w:rFonts w:ascii="Cambria" w:hAnsi="Cambria"/>
                <w:b/>
                <w:bCs/>
              </w:rPr>
            </w:pPr>
            <w:r w:rsidRPr="00A52AB8">
              <w:rPr>
                <w:rFonts w:ascii="Cambria" w:hAnsi="Cambria"/>
                <w:b/>
                <w:bCs/>
              </w:rPr>
              <w:tab/>
            </w:r>
            <w:r w:rsidRPr="00A52AB8">
              <w:rPr>
                <w:rFonts w:ascii="Cambria" w:hAnsi="Cambria"/>
              </w:rPr>
              <w:t>while(</w:t>
            </w:r>
            <w:r w:rsidR="008D47CD" w:rsidRPr="00A52AB8">
              <w:rPr>
                <w:rFonts w:ascii="Cambria" w:hAnsi="Cambria"/>
              </w:rPr>
              <w:t> </w:t>
            </w:r>
            <w:r w:rsidRPr="00A52AB8">
              <w:rPr>
                <w:rFonts w:ascii="Cambria" w:hAnsi="Cambria"/>
              </w:rPr>
              <w:t>more_rbsp_data(</w:t>
            </w:r>
            <w:r w:rsidR="008D47CD" w:rsidRPr="00A52AB8">
              <w:rPr>
                <w:rFonts w:ascii="Cambria" w:hAnsi="Cambria"/>
              </w:rPr>
              <w:t> </w:t>
            </w:r>
            <w:r w:rsidRPr="00A52AB8">
              <w:rPr>
                <w:rFonts w:ascii="Cambria" w:hAnsi="Cambria"/>
              </w:rPr>
              <w:t>)</w:t>
            </w:r>
            <w:r w:rsidR="008D47CD" w:rsidRPr="00A52AB8">
              <w:rPr>
                <w:rFonts w:ascii="Cambria" w:hAnsi="Cambria"/>
              </w:rPr>
              <w:t> </w:t>
            </w:r>
            <w:r w:rsidRPr="00A52AB8">
              <w:rPr>
                <w:rFonts w:ascii="Cambria" w:hAnsi="Cambria"/>
              </w:rPr>
              <w:t>)</w:t>
            </w:r>
          </w:p>
        </w:tc>
        <w:tc>
          <w:tcPr>
            <w:tcW w:w="1253" w:type="dxa"/>
          </w:tcPr>
          <w:p w14:paraId="179CA738" w14:textId="77777777" w:rsidR="004838F6" w:rsidRPr="00A52AB8" w:rsidRDefault="004838F6">
            <w:pPr>
              <w:pStyle w:val="tablecell"/>
              <w:keepNext w:val="0"/>
              <w:keepLines w:val="0"/>
              <w:spacing w:before="20" w:after="40"/>
              <w:jc w:val="center"/>
              <w:rPr>
                <w:rFonts w:ascii="Cambria" w:hAnsi="Cambria"/>
              </w:rPr>
            </w:pPr>
          </w:p>
        </w:tc>
      </w:tr>
      <w:tr w:rsidR="004838F6" w:rsidRPr="00A52AB8" w14:paraId="3E6D9563" w14:textId="77777777" w:rsidTr="00A252B5">
        <w:trPr>
          <w:jc w:val="center"/>
        </w:trPr>
        <w:tc>
          <w:tcPr>
            <w:tcW w:w="7940" w:type="dxa"/>
          </w:tcPr>
          <w:p w14:paraId="5D50468C" w14:textId="77777777" w:rsidR="004838F6" w:rsidRPr="00A52AB8" w:rsidRDefault="004838F6">
            <w:pPr>
              <w:pStyle w:val="tablesyntax"/>
              <w:keepNext w:val="0"/>
              <w:keepLines w:val="0"/>
              <w:spacing w:before="20" w:after="40"/>
              <w:rPr>
                <w:rFonts w:ascii="Cambria" w:hAnsi="Cambria"/>
                <w:b/>
                <w:bCs/>
              </w:rPr>
            </w:pPr>
            <w:r w:rsidRPr="00A52AB8">
              <w:rPr>
                <w:rFonts w:ascii="Cambria" w:hAnsi="Cambria"/>
                <w:b/>
                <w:bCs/>
              </w:rPr>
              <w:tab/>
            </w:r>
            <w:r w:rsidRPr="00A52AB8">
              <w:rPr>
                <w:rFonts w:ascii="Cambria" w:hAnsi="Cambria"/>
              </w:rPr>
              <w:t>rbsp_trailing_bits(</w:t>
            </w:r>
            <w:r w:rsidR="008D47CD" w:rsidRPr="00A52AB8">
              <w:rPr>
                <w:rFonts w:ascii="Cambria" w:hAnsi="Cambria"/>
              </w:rPr>
              <w:t> </w:t>
            </w:r>
            <w:r w:rsidRPr="00A52AB8">
              <w:rPr>
                <w:rFonts w:ascii="Cambria" w:hAnsi="Cambria"/>
              </w:rPr>
              <w:t>)</w:t>
            </w:r>
          </w:p>
        </w:tc>
        <w:tc>
          <w:tcPr>
            <w:tcW w:w="1253" w:type="dxa"/>
          </w:tcPr>
          <w:p w14:paraId="6BAF4817" w14:textId="77777777" w:rsidR="004838F6" w:rsidRPr="00A52AB8" w:rsidRDefault="004838F6">
            <w:pPr>
              <w:pStyle w:val="tablecell"/>
              <w:keepNext w:val="0"/>
              <w:keepLines w:val="0"/>
              <w:spacing w:before="20" w:after="40"/>
              <w:jc w:val="center"/>
              <w:rPr>
                <w:rFonts w:ascii="Cambria" w:hAnsi="Cambria"/>
              </w:rPr>
            </w:pPr>
          </w:p>
        </w:tc>
      </w:tr>
      <w:tr w:rsidR="004838F6" w:rsidRPr="00A52AB8" w14:paraId="3FE92E2F" w14:textId="77777777" w:rsidTr="00A252B5">
        <w:trPr>
          <w:jc w:val="center"/>
        </w:trPr>
        <w:tc>
          <w:tcPr>
            <w:tcW w:w="7940" w:type="dxa"/>
          </w:tcPr>
          <w:p w14:paraId="0D08DAB3" w14:textId="77777777" w:rsidR="004838F6" w:rsidRPr="00A52AB8" w:rsidRDefault="004838F6">
            <w:pPr>
              <w:pStyle w:val="tablesyntax"/>
              <w:keepNext w:val="0"/>
              <w:keepLines w:val="0"/>
              <w:spacing w:before="20" w:after="40"/>
              <w:rPr>
                <w:rFonts w:ascii="Cambria" w:hAnsi="Cambria"/>
                <w:bCs/>
              </w:rPr>
            </w:pPr>
            <w:r w:rsidRPr="00A52AB8">
              <w:rPr>
                <w:rFonts w:ascii="Cambria" w:hAnsi="Cambria"/>
                <w:bCs/>
              </w:rPr>
              <w:t>}</w:t>
            </w:r>
          </w:p>
        </w:tc>
        <w:tc>
          <w:tcPr>
            <w:tcW w:w="1253" w:type="dxa"/>
          </w:tcPr>
          <w:p w14:paraId="27BAAF70" w14:textId="77777777" w:rsidR="004838F6" w:rsidRPr="00A52AB8" w:rsidRDefault="004838F6">
            <w:pPr>
              <w:pStyle w:val="tablecell"/>
              <w:keepNext w:val="0"/>
              <w:keepLines w:val="0"/>
              <w:spacing w:before="20" w:after="40"/>
              <w:jc w:val="center"/>
              <w:rPr>
                <w:rFonts w:ascii="Cambria" w:hAnsi="Cambria"/>
              </w:rPr>
            </w:pPr>
          </w:p>
        </w:tc>
      </w:tr>
    </w:tbl>
    <w:p w14:paraId="6F9D9A63" w14:textId="77777777" w:rsidR="00345AD2" w:rsidRPr="00A52AB8" w:rsidRDefault="00345AD2" w:rsidP="00CB76AA">
      <w:pPr>
        <w:pStyle w:val="Heading4"/>
      </w:pPr>
      <w:bookmarkStart w:id="734" w:name="_Ref38314433"/>
      <w:r w:rsidRPr="00A52AB8">
        <w:t>Access unit delimiter RBSP syntax</w:t>
      </w:r>
      <w:bookmarkEnd w:id="734"/>
    </w:p>
    <w:tbl>
      <w:tblPr>
        <w:tblStyle w:val="TableGrid"/>
        <w:tblW w:w="5000" w:type="pct"/>
        <w:jc w:val="center"/>
        <w:tblLook w:val="04A0" w:firstRow="1" w:lastRow="0" w:firstColumn="1" w:lastColumn="0" w:noHBand="0" w:noVBand="1"/>
      </w:tblPr>
      <w:tblGrid>
        <w:gridCol w:w="8411"/>
        <w:gridCol w:w="1331"/>
      </w:tblGrid>
      <w:tr w:rsidR="00345AD2" w:rsidRPr="00A52AB8" w14:paraId="3512C09F" w14:textId="77777777" w:rsidTr="00A252B5">
        <w:trPr>
          <w:jc w:val="center"/>
        </w:trPr>
        <w:tc>
          <w:tcPr>
            <w:tcW w:w="7921" w:type="dxa"/>
          </w:tcPr>
          <w:p w14:paraId="0C38B597" w14:textId="12DB0356" w:rsidR="00345AD2" w:rsidRPr="00A52AB8" w:rsidRDefault="00345AD2">
            <w:pPr>
              <w:spacing w:before="20" w:after="20"/>
              <w:rPr>
                <w:color w:val="000000" w:themeColor="text1"/>
                <w:sz w:val="20"/>
                <w:szCs w:val="20"/>
              </w:rPr>
            </w:pPr>
            <w:r w:rsidRPr="00A52AB8">
              <w:rPr>
                <w:color w:val="000000" w:themeColor="text1"/>
                <w:sz w:val="20"/>
                <w:szCs w:val="20"/>
              </w:rPr>
              <w:t>access_unit_delimiter</w:t>
            </w:r>
            <w:r w:rsidR="005C2989" w:rsidRPr="00A52AB8">
              <w:rPr>
                <w:color w:val="000000" w:themeColor="text1"/>
                <w:sz w:val="20"/>
                <w:szCs w:val="20"/>
              </w:rPr>
              <w:t>_rbsp</w:t>
            </w:r>
            <w:r w:rsidRPr="00A52AB8">
              <w:rPr>
                <w:color w:val="000000" w:themeColor="text1"/>
                <w:sz w:val="20"/>
                <w:szCs w:val="20"/>
              </w:rPr>
              <w:t>( </w:t>
            </w:r>
            <w:r w:rsidR="008F1F82" w:rsidRPr="00A52AB8">
              <w:rPr>
                <w:color w:val="000000" w:themeColor="text1"/>
                <w:sz w:val="20"/>
                <w:szCs w:val="20"/>
              </w:rPr>
              <w:t>) {</w:t>
            </w:r>
          </w:p>
        </w:tc>
        <w:tc>
          <w:tcPr>
            <w:tcW w:w="1253" w:type="dxa"/>
          </w:tcPr>
          <w:p w14:paraId="769B0B70" w14:textId="77777777" w:rsidR="00345AD2" w:rsidRPr="00A52AB8" w:rsidRDefault="00345AD2">
            <w:pPr>
              <w:spacing w:before="20" w:after="20"/>
              <w:jc w:val="center"/>
              <w:rPr>
                <w:b/>
                <w:color w:val="000000" w:themeColor="text1"/>
                <w:sz w:val="20"/>
                <w:szCs w:val="20"/>
              </w:rPr>
            </w:pPr>
            <w:r w:rsidRPr="00A52AB8">
              <w:rPr>
                <w:b/>
                <w:color w:val="000000" w:themeColor="text1"/>
                <w:sz w:val="20"/>
                <w:szCs w:val="20"/>
              </w:rPr>
              <w:t>Descriptor</w:t>
            </w:r>
          </w:p>
        </w:tc>
      </w:tr>
      <w:tr w:rsidR="00345AD2" w:rsidRPr="00A52AB8" w14:paraId="1943B32B" w14:textId="77777777" w:rsidTr="00A252B5">
        <w:trPr>
          <w:jc w:val="center"/>
        </w:trPr>
        <w:tc>
          <w:tcPr>
            <w:tcW w:w="7921" w:type="dxa"/>
          </w:tcPr>
          <w:p w14:paraId="2B747432" w14:textId="77777777" w:rsidR="00345AD2" w:rsidRPr="00A52AB8" w:rsidRDefault="00345AD2">
            <w:pPr>
              <w:spacing w:before="20" w:after="20"/>
              <w:rPr>
                <w:b/>
                <w:color w:val="000000" w:themeColor="text1"/>
                <w:sz w:val="20"/>
                <w:szCs w:val="20"/>
              </w:rPr>
            </w:pPr>
            <w:r w:rsidRPr="00A52AB8">
              <w:rPr>
                <w:sz w:val="20"/>
                <w:szCs w:val="20"/>
              </w:rPr>
              <w:tab/>
            </w:r>
            <w:r w:rsidR="005C2989" w:rsidRPr="00A52AB8">
              <w:rPr>
                <w:b/>
                <w:sz w:val="20"/>
                <w:szCs w:val="20"/>
              </w:rPr>
              <w:t>a</w:t>
            </w:r>
            <w:r w:rsidRPr="00A52AB8">
              <w:rPr>
                <w:b/>
                <w:sz w:val="20"/>
                <w:szCs w:val="20"/>
              </w:rPr>
              <w:t>frame_type</w:t>
            </w:r>
          </w:p>
        </w:tc>
        <w:tc>
          <w:tcPr>
            <w:tcW w:w="1253" w:type="dxa"/>
          </w:tcPr>
          <w:p w14:paraId="2D9A733D" w14:textId="77777777" w:rsidR="00345AD2" w:rsidRPr="00A52AB8" w:rsidRDefault="00345AD2">
            <w:pPr>
              <w:spacing w:before="20" w:after="20"/>
              <w:jc w:val="center"/>
              <w:rPr>
                <w:color w:val="000000" w:themeColor="text1"/>
                <w:sz w:val="20"/>
                <w:szCs w:val="20"/>
              </w:rPr>
            </w:pPr>
            <w:r w:rsidRPr="00A52AB8">
              <w:rPr>
                <w:color w:val="000000" w:themeColor="text1"/>
                <w:sz w:val="20"/>
                <w:szCs w:val="20"/>
              </w:rPr>
              <w:t>u(3)</w:t>
            </w:r>
          </w:p>
        </w:tc>
      </w:tr>
      <w:tr w:rsidR="00345AD2" w:rsidRPr="00A52AB8" w14:paraId="14758458" w14:textId="77777777" w:rsidTr="00A252B5">
        <w:trPr>
          <w:jc w:val="center"/>
        </w:trPr>
        <w:tc>
          <w:tcPr>
            <w:tcW w:w="7921" w:type="dxa"/>
          </w:tcPr>
          <w:p w14:paraId="553D4173" w14:textId="77777777" w:rsidR="00345AD2" w:rsidRPr="00A52AB8" w:rsidRDefault="00345AD2">
            <w:pPr>
              <w:pStyle w:val="tablesyntax"/>
              <w:keepNext w:val="0"/>
              <w:keepLines w:val="0"/>
              <w:spacing w:before="20" w:after="40"/>
              <w:rPr>
                <w:rFonts w:ascii="Cambria" w:hAnsi="Cambria"/>
                <w:b/>
                <w:bCs/>
              </w:rPr>
            </w:pPr>
            <w:r w:rsidRPr="00A52AB8">
              <w:rPr>
                <w:rFonts w:ascii="Cambria" w:hAnsi="Cambria"/>
                <w:b/>
                <w:bCs/>
              </w:rPr>
              <w:tab/>
            </w:r>
            <w:r w:rsidRPr="00A52AB8">
              <w:rPr>
                <w:rFonts w:ascii="Cambria" w:hAnsi="Cambria"/>
              </w:rPr>
              <w:t>rbsp_trailing_bits(</w:t>
            </w:r>
            <w:r w:rsidR="009D7372" w:rsidRPr="00A52AB8">
              <w:rPr>
                <w:rFonts w:ascii="Cambria" w:hAnsi="Cambria"/>
                <w:color w:val="000000" w:themeColor="text1"/>
              </w:rPr>
              <w:t> </w:t>
            </w:r>
            <w:r w:rsidRPr="00A52AB8">
              <w:rPr>
                <w:rFonts w:ascii="Cambria" w:hAnsi="Cambria"/>
              </w:rPr>
              <w:t>)</w:t>
            </w:r>
          </w:p>
        </w:tc>
        <w:tc>
          <w:tcPr>
            <w:tcW w:w="1253" w:type="dxa"/>
          </w:tcPr>
          <w:p w14:paraId="2A04C7E6" w14:textId="77777777" w:rsidR="00345AD2" w:rsidRPr="00A52AB8" w:rsidRDefault="00345AD2">
            <w:pPr>
              <w:pStyle w:val="tablecell"/>
              <w:keepNext w:val="0"/>
              <w:keepLines w:val="0"/>
              <w:spacing w:before="20" w:after="40"/>
              <w:jc w:val="center"/>
              <w:rPr>
                <w:rFonts w:ascii="Cambria" w:hAnsi="Cambria"/>
              </w:rPr>
            </w:pPr>
          </w:p>
        </w:tc>
      </w:tr>
      <w:tr w:rsidR="00345AD2" w:rsidRPr="00A52AB8" w14:paraId="1F36A07D" w14:textId="77777777" w:rsidTr="00A252B5">
        <w:trPr>
          <w:jc w:val="center"/>
        </w:trPr>
        <w:tc>
          <w:tcPr>
            <w:tcW w:w="7921" w:type="dxa"/>
          </w:tcPr>
          <w:p w14:paraId="7B62E9E0" w14:textId="77777777" w:rsidR="00345AD2" w:rsidRPr="00A52AB8" w:rsidRDefault="00345AD2">
            <w:pPr>
              <w:pStyle w:val="tablesyntax"/>
              <w:keepNext w:val="0"/>
              <w:keepLines w:val="0"/>
              <w:spacing w:before="20" w:after="40"/>
              <w:rPr>
                <w:rFonts w:ascii="Cambria" w:hAnsi="Cambria"/>
                <w:bCs/>
              </w:rPr>
            </w:pPr>
            <w:r w:rsidRPr="00A52AB8">
              <w:rPr>
                <w:rFonts w:ascii="Cambria" w:hAnsi="Cambria"/>
                <w:bCs/>
              </w:rPr>
              <w:t>}</w:t>
            </w:r>
          </w:p>
        </w:tc>
        <w:tc>
          <w:tcPr>
            <w:tcW w:w="1253" w:type="dxa"/>
          </w:tcPr>
          <w:p w14:paraId="1CB32246" w14:textId="77777777" w:rsidR="00345AD2" w:rsidRPr="00A52AB8" w:rsidRDefault="00345AD2">
            <w:pPr>
              <w:pStyle w:val="tablecell"/>
              <w:keepNext w:val="0"/>
              <w:keepLines w:val="0"/>
              <w:spacing w:before="20" w:after="40"/>
              <w:jc w:val="center"/>
              <w:rPr>
                <w:rFonts w:ascii="Cambria" w:hAnsi="Cambria"/>
              </w:rPr>
            </w:pPr>
          </w:p>
        </w:tc>
      </w:tr>
    </w:tbl>
    <w:p w14:paraId="0DB792B6" w14:textId="77777777" w:rsidR="00345AD2" w:rsidRPr="00A52AB8" w:rsidRDefault="00345AD2" w:rsidP="00CB76AA">
      <w:pPr>
        <w:pStyle w:val="Heading4"/>
      </w:pPr>
      <w:bookmarkStart w:id="735" w:name="_Ref38314444"/>
      <w:r w:rsidRPr="00A52AB8">
        <w:t>End of sequence RBSP syntax</w:t>
      </w:r>
      <w:bookmarkEnd w:id="735"/>
    </w:p>
    <w:tbl>
      <w:tblPr>
        <w:tblStyle w:val="TableGrid"/>
        <w:tblW w:w="5000" w:type="pct"/>
        <w:jc w:val="center"/>
        <w:tblLook w:val="04A0" w:firstRow="1" w:lastRow="0" w:firstColumn="1" w:lastColumn="0" w:noHBand="0" w:noVBand="1"/>
      </w:tblPr>
      <w:tblGrid>
        <w:gridCol w:w="8411"/>
        <w:gridCol w:w="1331"/>
      </w:tblGrid>
      <w:tr w:rsidR="00345AD2" w:rsidRPr="00A52AB8" w14:paraId="13B15861" w14:textId="77777777" w:rsidTr="00A252B5">
        <w:trPr>
          <w:jc w:val="center"/>
        </w:trPr>
        <w:tc>
          <w:tcPr>
            <w:tcW w:w="7921" w:type="dxa"/>
          </w:tcPr>
          <w:p w14:paraId="5684058A" w14:textId="771BC385" w:rsidR="00345AD2" w:rsidRPr="00A52AB8" w:rsidRDefault="00345AD2">
            <w:pPr>
              <w:spacing w:before="20" w:after="20"/>
              <w:rPr>
                <w:color w:val="000000" w:themeColor="text1"/>
                <w:sz w:val="20"/>
                <w:szCs w:val="20"/>
              </w:rPr>
            </w:pPr>
            <w:r w:rsidRPr="00A52AB8">
              <w:rPr>
                <w:color w:val="000000" w:themeColor="text1"/>
                <w:sz w:val="20"/>
                <w:szCs w:val="20"/>
              </w:rPr>
              <w:t>end_of_sequence</w:t>
            </w:r>
            <w:r w:rsidR="005E1532" w:rsidRPr="00A52AB8">
              <w:rPr>
                <w:color w:val="000000" w:themeColor="text1"/>
                <w:sz w:val="20"/>
                <w:szCs w:val="20"/>
              </w:rPr>
              <w:t>_rbsp</w:t>
            </w:r>
            <w:r w:rsidRPr="00A52AB8">
              <w:rPr>
                <w:color w:val="000000" w:themeColor="text1"/>
                <w:sz w:val="20"/>
                <w:szCs w:val="20"/>
              </w:rPr>
              <w:t>( </w:t>
            </w:r>
            <w:r w:rsidR="008F1F82" w:rsidRPr="00A52AB8">
              <w:rPr>
                <w:color w:val="000000" w:themeColor="text1"/>
                <w:sz w:val="20"/>
                <w:szCs w:val="20"/>
              </w:rPr>
              <w:t>) {</w:t>
            </w:r>
          </w:p>
        </w:tc>
        <w:tc>
          <w:tcPr>
            <w:tcW w:w="1253" w:type="dxa"/>
          </w:tcPr>
          <w:p w14:paraId="21D56C88" w14:textId="77777777" w:rsidR="00345AD2" w:rsidRPr="00A52AB8" w:rsidRDefault="00345AD2">
            <w:pPr>
              <w:spacing w:before="20" w:after="20"/>
              <w:jc w:val="center"/>
              <w:rPr>
                <w:b/>
                <w:color w:val="000000" w:themeColor="text1"/>
                <w:sz w:val="20"/>
                <w:szCs w:val="20"/>
              </w:rPr>
            </w:pPr>
            <w:r w:rsidRPr="00A52AB8">
              <w:rPr>
                <w:b/>
                <w:color w:val="000000" w:themeColor="text1"/>
                <w:sz w:val="20"/>
                <w:szCs w:val="20"/>
              </w:rPr>
              <w:t>Descriptor</w:t>
            </w:r>
          </w:p>
        </w:tc>
      </w:tr>
      <w:tr w:rsidR="00345AD2" w:rsidRPr="00A52AB8" w14:paraId="4BE9B44A" w14:textId="77777777" w:rsidTr="00A252B5">
        <w:trPr>
          <w:jc w:val="center"/>
        </w:trPr>
        <w:tc>
          <w:tcPr>
            <w:tcW w:w="7921" w:type="dxa"/>
          </w:tcPr>
          <w:p w14:paraId="159832D8" w14:textId="77777777" w:rsidR="00345AD2" w:rsidRPr="00A52AB8" w:rsidRDefault="00345AD2">
            <w:pPr>
              <w:pStyle w:val="tablesyntax"/>
              <w:keepNext w:val="0"/>
              <w:keepLines w:val="0"/>
              <w:spacing w:before="20" w:after="40"/>
              <w:rPr>
                <w:rFonts w:ascii="Cambria" w:hAnsi="Cambria"/>
                <w:bCs/>
              </w:rPr>
            </w:pPr>
            <w:r w:rsidRPr="00A52AB8">
              <w:rPr>
                <w:rFonts w:ascii="Cambria" w:hAnsi="Cambria"/>
                <w:bCs/>
              </w:rPr>
              <w:t>}</w:t>
            </w:r>
          </w:p>
        </w:tc>
        <w:tc>
          <w:tcPr>
            <w:tcW w:w="1253" w:type="dxa"/>
          </w:tcPr>
          <w:p w14:paraId="0AE34564" w14:textId="77777777" w:rsidR="00345AD2" w:rsidRPr="00A52AB8" w:rsidRDefault="00345AD2">
            <w:pPr>
              <w:pStyle w:val="tablecell"/>
              <w:keepNext w:val="0"/>
              <w:keepLines w:val="0"/>
              <w:spacing w:before="20" w:after="40"/>
              <w:jc w:val="center"/>
              <w:rPr>
                <w:rFonts w:ascii="Cambria" w:hAnsi="Cambria"/>
              </w:rPr>
            </w:pPr>
          </w:p>
        </w:tc>
      </w:tr>
    </w:tbl>
    <w:p w14:paraId="5FB6661B" w14:textId="77777777" w:rsidR="00345AD2" w:rsidRPr="00A52AB8" w:rsidRDefault="00345AD2" w:rsidP="00CB76AA">
      <w:pPr>
        <w:pStyle w:val="Heading4"/>
      </w:pPr>
      <w:bookmarkStart w:id="736" w:name="_Ref38314650"/>
      <w:r w:rsidRPr="00A52AB8">
        <w:lastRenderedPageBreak/>
        <w:t xml:space="preserve">End of </w:t>
      </w:r>
      <w:r w:rsidR="00B231D7" w:rsidRPr="00A52AB8">
        <w:t>bitstream</w:t>
      </w:r>
      <w:r w:rsidRPr="00A52AB8">
        <w:t xml:space="preserve"> RBSP syntax</w:t>
      </w:r>
      <w:bookmarkEnd w:id="736"/>
    </w:p>
    <w:tbl>
      <w:tblPr>
        <w:tblStyle w:val="TableGrid"/>
        <w:tblW w:w="5000" w:type="pct"/>
        <w:jc w:val="center"/>
        <w:tblLook w:val="04A0" w:firstRow="1" w:lastRow="0" w:firstColumn="1" w:lastColumn="0" w:noHBand="0" w:noVBand="1"/>
      </w:tblPr>
      <w:tblGrid>
        <w:gridCol w:w="8411"/>
        <w:gridCol w:w="1331"/>
      </w:tblGrid>
      <w:tr w:rsidR="008E0086" w:rsidRPr="00A52AB8" w14:paraId="24911A55" w14:textId="77777777" w:rsidTr="00A252B5">
        <w:trPr>
          <w:jc w:val="center"/>
        </w:trPr>
        <w:tc>
          <w:tcPr>
            <w:tcW w:w="7921" w:type="dxa"/>
          </w:tcPr>
          <w:p w14:paraId="7377F0DF" w14:textId="7F28B7E1" w:rsidR="00345AD2" w:rsidRPr="00A52AB8" w:rsidRDefault="00345AD2">
            <w:pPr>
              <w:spacing w:before="20" w:after="20"/>
              <w:rPr>
                <w:color w:val="000000" w:themeColor="text1"/>
                <w:sz w:val="20"/>
                <w:szCs w:val="20"/>
              </w:rPr>
            </w:pPr>
            <w:r w:rsidRPr="00A52AB8">
              <w:rPr>
                <w:color w:val="000000" w:themeColor="text1"/>
                <w:sz w:val="20"/>
                <w:szCs w:val="20"/>
              </w:rPr>
              <w:t>end_of_</w:t>
            </w:r>
            <w:r w:rsidR="005E1532" w:rsidRPr="00A52AB8">
              <w:rPr>
                <w:color w:val="000000" w:themeColor="text1"/>
                <w:sz w:val="20"/>
                <w:szCs w:val="20"/>
              </w:rPr>
              <w:t>atlas_sub</w:t>
            </w:r>
            <w:r w:rsidR="00011283" w:rsidRPr="00A52AB8">
              <w:rPr>
                <w:color w:val="000000" w:themeColor="text1"/>
                <w:sz w:val="20"/>
                <w:szCs w:val="20"/>
              </w:rPr>
              <w:t>_bit</w:t>
            </w:r>
            <w:r w:rsidR="005E1532" w:rsidRPr="00A52AB8">
              <w:rPr>
                <w:color w:val="000000" w:themeColor="text1"/>
                <w:sz w:val="20"/>
                <w:szCs w:val="20"/>
              </w:rPr>
              <w:t>stream_rbsp</w:t>
            </w:r>
            <w:r w:rsidRPr="00A52AB8">
              <w:rPr>
                <w:color w:val="000000" w:themeColor="text1"/>
                <w:sz w:val="20"/>
                <w:szCs w:val="20"/>
              </w:rPr>
              <w:t>( </w:t>
            </w:r>
            <w:r w:rsidR="008F1F82" w:rsidRPr="00A52AB8">
              <w:rPr>
                <w:color w:val="000000" w:themeColor="text1"/>
                <w:sz w:val="20"/>
                <w:szCs w:val="20"/>
              </w:rPr>
              <w:t>) {</w:t>
            </w:r>
          </w:p>
        </w:tc>
        <w:tc>
          <w:tcPr>
            <w:tcW w:w="1253" w:type="dxa"/>
          </w:tcPr>
          <w:p w14:paraId="5B609DC3" w14:textId="77777777" w:rsidR="00345AD2" w:rsidRPr="00A52AB8" w:rsidRDefault="00345AD2">
            <w:pPr>
              <w:spacing w:before="20" w:after="20"/>
              <w:jc w:val="center"/>
              <w:rPr>
                <w:b/>
                <w:color w:val="000000" w:themeColor="text1"/>
                <w:sz w:val="20"/>
                <w:szCs w:val="20"/>
              </w:rPr>
            </w:pPr>
            <w:r w:rsidRPr="00A52AB8">
              <w:rPr>
                <w:b/>
                <w:color w:val="000000" w:themeColor="text1"/>
                <w:sz w:val="20"/>
                <w:szCs w:val="20"/>
              </w:rPr>
              <w:t>Descriptor</w:t>
            </w:r>
          </w:p>
        </w:tc>
      </w:tr>
      <w:tr w:rsidR="00345AD2" w:rsidRPr="00A52AB8" w14:paraId="27AF126D" w14:textId="77777777" w:rsidTr="00A252B5">
        <w:trPr>
          <w:jc w:val="center"/>
        </w:trPr>
        <w:tc>
          <w:tcPr>
            <w:tcW w:w="7921" w:type="dxa"/>
          </w:tcPr>
          <w:p w14:paraId="6DABF635" w14:textId="77777777" w:rsidR="00345AD2" w:rsidRPr="00A52AB8" w:rsidRDefault="00345AD2">
            <w:pPr>
              <w:pStyle w:val="tablesyntax"/>
              <w:keepNext w:val="0"/>
              <w:keepLines w:val="0"/>
              <w:spacing w:before="20" w:after="40"/>
              <w:rPr>
                <w:rFonts w:ascii="Cambria" w:hAnsi="Cambria"/>
                <w:bCs/>
              </w:rPr>
            </w:pPr>
            <w:r w:rsidRPr="00A52AB8">
              <w:rPr>
                <w:rFonts w:ascii="Cambria" w:hAnsi="Cambria"/>
                <w:bCs/>
              </w:rPr>
              <w:t>}</w:t>
            </w:r>
          </w:p>
        </w:tc>
        <w:tc>
          <w:tcPr>
            <w:tcW w:w="1253" w:type="dxa"/>
          </w:tcPr>
          <w:p w14:paraId="79114C75" w14:textId="77777777" w:rsidR="00345AD2" w:rsidRPr="00A52AB8" w:rsidRDefault="00345AD2">
            <w:pPr>
              <w:pStyle w:val="tablecell"/>
              <w:keepNext w:val="0"/>
              <w:keepLines w:val="0"/>
              <w:spacing w:before="20" w:after="40"/>
              <w:jc w:val="center"/>
              <w:rPr>
                <w:rFonts w:ascii="Cambria" w:hAnsi="Cambria"/>
              </w:rPr>
            </w:pPr>
          </w:p>
        </w:tc>
      </w:tr>
    </w:tbl>
    <w:p w14:paraId="0262A50F" w14:textId="77777777" w:rsidR="00345AD2" w:rsidRPr="00A52AB8" w:rsidRDefault="00345AD2" w:rsidP="00CB76AA">
      <w:pPr>
        <w:pStyle w:val="Heading4"/>
      </w:pPr>
      <w:bookmarkStart w:id="737" w:name="_Ref38314657"/>
      <w:r w:rsidRPr="00A52AB8">
        <w:t>Filler data RBSP syntax</w:t>
      </w:r>
      <w:bookmarkEnd w:id="737"/>
    </w:p>
    <w:tbl>
      <w:tblPr>
        <w:tblStyle w:val="TableGrid"/>
        <w:tblW w:w="5000" w:type="pct"/>
        <w:jc w:val="center"/>
        <w:tblLook w:val="04A0" w:firstRow="1" w:lastRow="0" w:firstColumn="1" w:lastColumn="0" w:noHBand="0" w:noVBand="1"/>
      </w:tblPr>
      <w:tblGrid>
        <w:gridCol w:w="8411"/>
        <w:gridCol w:w="1331"/>
      </w:tblGrid>
      <w:tr w:rsidR="00345AD2" w:rsidRPr="00A52AB8" w14:paraId="19353AA4" w14:textId="77777777" w:rsidTr="00A252B5">
        <w:trPr>
          <w:jc w:val="center"/>
        </w:trPr>
        <w:tc>
          <w:tcPr>
            <w:tcW w:w="7921" w:type="dxa"/>
          </w:tcPr>
          <w:p w14:paraId="1D62F28A" w14:textId="58232899" w:rsidR="00345AD2" w:rsidRPr="00A52AB8" w:rsidRDefault="00345AD2">
            <w:pPr>
              <w:spacing w:before="20" w:after="20"/>
              <w:rPr>
                <w:color w:val="000000" w:themeColor="text1"/>
                <w:sz w:val="20"/>
                <w:szCs w:val="20"/>
              </w:rPr>
            </w:pPr>
            <w:r w:rsidRPr="00A52AB8">
              <w:rPr>
                <w:color w:val="000000" w:themeColor="text1"/>
                <w:sz w:val="20"/>
                <w:szCs w:val="20"/>
              </w:rPr>
              <w:t>filler_data</w:t>
            </w:r>
            <w:r w:rsidR="005E1532" w:rsidRPr="00A52AB8">
              <w:rPr>
                <w:color w:val="000000" w:themeColor="text1"/>
                <w:sz w:val="20"/>
                <w:szCs w:val="20"/>
              </w:rPr>
              <w:t>_rbsp</w:t>
            </w:r>
            <w:r w:rsidRPr="00A52AB8">
              <w:rPr>
                <w:color w:val="000000" w:themeColor="text1"/>
                <w:sz w:val="20"/>
                <w:szCs w:val="20"/>
              </w:rPr>
              <w:t>( </w:t>
            </w:r>
            <w:r w:rsidR="008F1F82" w:rsidRPr="00A52AB8">
              <w:rPr>
                <w:color w:val="000000" w:themeColor="text1"/>
                <w:sz w:val="20"/>
                <w:szCs w:val="20"/>
              </w:rPr>
              <w:t>) {</w:t>
            </w:r>
          </w:p>
        </w:tc>
        <w:tc>
          <w:tcPr>
            <w:tcW w:w="1253" w:type="dxa"/>
          </w:tcPr>
          <w:p w14:paraId="77FF538D" w14:textId="77777777" w:rsidR="00345AD2" w:rsidRPr="00A52AB8" w:rsidRDefault="00345AD2">
            <w:pPr>
              <w:spacing w:before="20" w:after="20"/>
              <w:jc w:val="center"/>
              <w:rPr>
                <w:b/>
                <w:color w:val="000000" w:themeColor="text1"/>
                <w:sz w:val="20"/>
                <w:szCs w:val="20"/>
              </w:rPr>
            </w:pPr>
            <w:r w:rsidRPr="00A52AB8">
              <w:rPr>
                <w:b/>
                <w:color w:val="000000" w:themeColor="text1"/>
                <w:sz w:val="20"/>
                <w:szCs w:val="20"/>
              </w:rPr>
              <w:t>Descriptor</w:t>
            </w:r>
          </w:p>
        </w:tc>
      </w:tr>
      <w:tr w:rsidR="00345AD2" w:rsidRPr="00A52AB8" w14:paraId="5210924F" w14:textId="77777777" w:rsidTr="00A252B5">
        <w:trPr>
          <w:jc w:val="center"/>
        </w:trPr>
        <w:tc>
          <w:tcPr>
            <w:tcW w:w="7921" w:type="dxa"/>
          </w:tcPr>
          <w:p w14:paraId="2A176724" w14:textId="4AF0440E" w:rsidR="00345AD2" w:rsidRPr="00A52AB8" w:rsidRDefault="00345AD2">
            <w:pPr>
              <w:spacing w:before="20" w:after="20"/>
              <w:rPr>
                <w:b/>
                <w:color w:val="000000" w:themeColor="text1"/>
                <w:sz w:val="20"/>
                <w:szCs w:val="20"/>
              </w:rPr>
            </w:pPr>
            <w:r w:rsidRPr="00A52AB8">
              <w:rPr>
                <w:sz w:val="20"/>
                <w:szCs w:val="20"/>
              </w:rPr>
              <w:tab/>
              <w:t>while(</w:t>
            </w:r>
            <w:r w:rsidR="00354FD0" w:rsidRPr="00A52AB8">
              <w:rPr>
                <w:sz w:val="20"/>
                <w:szCs w:val="20"/>
              </w:rPr>
              <w:t> </w:t>
            </w:r>
            <w:r w:rsidRPr="00A52AB8">
              <w:rPr>
                <w:sz w:val="20"/>
                <w:szCs w:val="20"/>
              </w:rPr>
              <w:t>next_bits( 8 )</w:t>
            </w:r>
            <w:r w:rsidR="008768E9" w:rsidRPr="00A52AB8">
              <w:rPr>
                <w:sz w:val="20"/>
                <w:szCs w:val="20"/>
              </w:rPr>
              <w:t> </w:t>
            </w:r>
            <w:r w:rsidR="00726AAE" w:rsidRPr="00A52AB8">
              <w:rPr>
                <w:sz w:val="20"/>
                <w:szCs w:val="20"/>
              </w:rPr>
              <w:t>==</w:t>
            </w:r>
            <w:r w:rsidR="00D47707" w:rsidRPr="00A52AB8">
              <w:rPr>
                <w:sz w:val="20"/>
                <w:szCs w:val="20"/>
              </w:rPr>
              <w:t> </w:t>
            </w:r>
            <w:r w:rsidRPr="00A52AB8">
              <w:rPr>
                <w:sz w:val="20"/>
                <w:szCs w:val="20"/>
              </w:rPr>
              <w:t>0xFF</w:t>
            </w:r>
            <w:r w:rsidR="00354FD0" w:rsidRPr="00A52AB8">
              <w:rPr>
                <w:sz w:val="20"/>
                <w:szCs w:val="20"/>
              </w:rPr>
              <w:t xml:space="preserve"> </w:t>
            </w:r>
            <w:r w:rsidRPr="00A52AB8">
              <w:rPr>
                <w:sz w:val="20"/>
                <w:szCs w:val="20"/>
              </w:rPr>
              <w:t>)</w:t>
            </w:r>
          </w:p>
        </w:tc>
        <w:tc>
          <w:tcPr>
            <w:tcW w:w="1253" w:type="dxa"/>
          </w:tcPr>
          <w:p w14:paraId="5EDCA771" w14:textId="77777777" w:rsidR="00345AD2" w:rsidRPr="00A52AB8" w:rsidRDefault="00345AD2">
            <w:pPr>
              <w:spacing w:before="20" w:after="20"/>
              <w:jc w:val="center"/>
              <w:rPr>
                <w:color w:val="000000" w:themeColor="text1"/>
                <w:sz w:val="20"/>
                <w:szCs w:val="20"/>
              </w:rPr>
            </w:pPr>
          </w:p>
        </w:tc>
      </w:tr>
      <w:tr w:rsidR="00345AD2" w:rsidRPr="00A52AB8" w14:paraId="3AFCD161" w14:textId="77777777" w:rsidTr="00A252B5">
        <w:trPr>
          <w:jc w:val="center"/>
        </w:trPr>
        <w:tc>
          <w:tcPr>
            <w:tcW w:w="7921" w:type="dxa"/>
          </w:tcPr>
          <w:p w14:paraId="60C9CEFE" w14:textId="77777777" w:rsidR="00345AD2" w:rsidRPr="00A52AB8" w:rsidRDefault="00345AD2">
            <w:pPr>
              <w:pStyle w:val="tablesyntax"/>
              <w:keepNext w:val="0"/>
              <w:keepLines w:val="0"/>
              <w:spacing w:before="20" w:after="40"/>
              <w:rPr>
                <w:rFonts w:ascii="Cambria" w:hAnsi="Cambria"/>
                <w:b/>
                <w:bCs/>
              </w:rPr>
            </w:pPr>
            <w:r w:rsidRPr="00A52AB8">
              <w:rPr>
                <w:rFonts w:ascii="Cambria" w:hAnsi="Cambria"/>
                <w:b/>
                <w:bCs/>
              </w:rPr>
              <w:tab/>
            </w:r>
            <w:r w:rsidRPr="00A52AB8">
              <w:rPr>
                <w:rFonts w:ascii="Cambria" w:hAnsi="Cambria"/>
                <w:b/>
                <w:bCs/>
              </w:rPr>
              <w:tab/>
              <w:t>ff_byte</w:t>
            </w:r>
            <w:r w:rsidRPr="00A52AB8">
              <w:rPr>
                <w:rFonts w:ascii="Cambria" w:hAnsi="Cambria"/>
                <w:bCs/>
              </w:rPr>
              <w:t xml:space="preserve"> /* equal to 0xFF */</w:t>
            </w:r>
          </w:p>
        </w:tc>
        <w:tc>
          <w:tcPr>
            <w:tcW w:w="1253" w:type="dxa"/>
          </w:tcPr>
          <w:p w14:paraId="3916CE80" w14:textId="77777777" w:rsidR="00345AD2" w:rsidRPr="00A52AB8" w:rsidRDefault="00345AD2">
            <w:pPr>
              <w:pStyle w:val="tablecell"/>
              <w:keepNext w:val="0"/>
              <w:keepLines w:val="0"/>
              <w:spacing w:before="20" w:after="40"/>
              <w:jc w:val="center"/>
              <w:rPr>
                <w:rFonts w:ascii="Cambria" w:hAnsi="Cambria"/>
              </w:rPr>
            </w:pPr>
            <w:r w:rsidRPr="00A52AB8">
              <w:rPr>
                <w:rFonts w:ascii="Cambria" w:hAnsi="Cambria"/>
              </w:rPr>
              <w:t>f(8)</w:t>
            </w:r>
          </w:p>
        </w:tc>
      </w:tr>
      <w:tr w:rsidR="00345AD2" w:rsidRPr="00A52AB8" w14:paraId="25F45839" w14:textId="77777777" w:rsidTr="00A252B5">
        <w:trPr>
          <w:jc w:val="center"/>
        </w:trPr>
        <w:tc>
          <w:tcPr>
            <w:tcW w:w="7921" w:type="dxa"/>
          </w:tcPr>
          <w:p w14:paraId="0FF937A7" w14:textId="77777777" w:rsidR="00345AD2" w:rsidRPr="00A52AB8" w:rsidRDefault="00345AD2">
            <w:pPr>
              <w:pStyle w:val="tablesyntax"/>
              <w:keepNext w:val="0"/>
              <w:keepLines w:val="0"/>
              <w:spacing w:before="20" w:after="40"/>
              <w:rPr>
                <w:rFonts w:ascii="Cambria" w:hAnsi="Cambria"/>
                <w:b/>
                <w:bCs/>
              </w:rPr>
            </w:pPr>
            <w:r w:rsidRPr="00A52AB8">
              <w:rPr>
                <w:rFonts w:ascii="Cambria" w:hAnsi="Cambria"/>
                <w:b/>
                <w:bCs/>
              </w:rPr>
              <w:tab/>
            </w:r>
            <w:r w:rsidRPr="00A52AB8">
              <w:rPr>
                <w:rFonts w:ascii="Cambria" w:hAnsi="Cambria"/>
              </w:rPr>
              <w:t>rbsp_trailing_bits(</w:t>
            </w:r>
            <w:r w:rsidR="009D7372" w:rsidRPr="00A52AB8">
              <w:rPr>
                <w:rFonts w:ascii="Cambria" w:hAnsi="Cambria"/>
                <w:color w:val="000000" w:themeColor="text1"/>
              </w:rPr>
              <w:t> </w:t>
            </w:r>
            <w:r w:rsidRPr="00A52AB8">
              <w:rPr>
                <w:rFonts w:ascii="Cambria" w:hAnsi="Cambria"/>
              </w:rPr>
              <w:t>)</w:t>
            </w:r>
          </w:p>
        </w:tc>
        <w:tc>
          <w:tcPr>
            <w:tcW w:w="1253" w:type="dxa"/>
          </w:tcPr>
          <w:p w14:paraId="66D8CB18" w14:textId="77777777" w:rsidR="00345AD2" w:rsidRPr="00A52AB8" w:rsidRDefault="00345AD2">
            <w:pPr>
              <w:pStyle w:val="tablecell"/>
              <w:keepNext w:val="0"/>
              <w:keepLines w:val="0"/>
              <w:spacing w:before="20" w:after="40"/>
              <w:jc w:val="center"/>
              <w:rPr>
                <w:rFonts w:ascii="Cambria" w:hAnsi="Cambria"/>
              </w:rPr>
            </w:pPr>
          </w:p>
        </w:tc>
      </w:tr>
      <w:tr w:rsidR="00345AD2" w:rsidRPr="00A52AB8" w14:paraId="0D589406" w14:textId="77777777" w:rsidTr="00A252B5">
        <w:trPr>
          <w:jc w:val="center"/>
        </w:trPr>
        <w:tc>
          <w:tcPr>
            <w:tcW w:w="7921" w:type="dxa"/>
          </w:tcPr>
          <w:p w14:paraId="29E949E4" w14:textId="77777777" w:rsidR="00345AD2" w:rsidRPr="00A52AB8" w:rsidRDefault="00345AD2">
            <w:pPr>
              <w:pStyle w:val="tablesyntax"/>
              <w:keepNext w:val="0"/>
              <w:keepLines w:val="0"/>
              <w:spacing w:before="20" w:after="40"/>
              <w:rPr>
                <w:rFonts w:ascii="Cambria" w:hAnsi="Cambria"/>
                <w:bCs/>
              </w:rPr>
            </w:pPr>
            <w:r w:rsidRPr="00A52AB8">
              <w:rPr>
                <w:rFonts w:ascii="Cambria" w:hAnsi="Cambria"/>
                <w:bCs/>
              </w:rPr>
              <w:t>}</w:t>
            </w:r>
          </w:p>
        </w:tc>
        <w:tc>
          <w:tcPr>
            <w:tcW w:w="1253" w:type="dxa"/>
          </w:tcPr>
          <w:p w14:paraId="75C478BB" w14:textId="77777777" w:rsidR="00345AD2" w:rsidRPr="00A52AB8" w:rsidRDefault="00345AD2">
            <w:pPr>
              <w:pStyle w:val="tablecell"/>
              <w:keepNext w:val="0"/>
              <w:keepLines w:val="0"/>
              <w:spacing w:before="20" w:after="40"/>
              <w:jc w:val="center"/>
              <w:rPr>
                <w:rFonts w:ascii="Cambria" w:hAnsi="Cambria"/>
              </w:rPr>
            </w:pPr>
          </w:p>
        </w:tc>
      </w:tr>
    </w:tbl>
    <w:p w14:paraId="1A3367D9" w14:textId="77777777" w:rsidR="00B735ED" w:rsidRPr="00A52AB8" w:rsidRDefault="002A47BD" w:rsidP="00CB76AA">
      <w:pPr>
        <w:pStyle w:val="Heading4"/>
      </w:pPr>
      <w:bookmarkStart w:id="738" w:name="_Ref38314663"/>
      <w:r w:rsidRPr="00A52AB8">
        <w:t xml:space="preserve">Atlas </w:t>
      </w:r>
      <w:r w:rsidR="00B8075E" w:rsidRPr="00A52AB8">
        <w:t>tile</w:t>
      </w:r>
      <w:r w:rsidR="00775D41" w:rsidRPr="00A52AB8">
        <w:t xml:space="preserve"> </w:t>
      </w:r>
      <w:r w:rsidR="00B735ED" w:rsidRPr="00A52AB8">
        <w:t xml:space="preserve">layer </w:t>
      </w:r>
      <w:r w:rsidR="00B239FD" w:rsidRPr="00A52AB8">
        <w:t xml:space="preserve">RBSP </w:t>
      </w:r>
      <w:r w:rsidR="00B735ED" w:rsidRPr="00A52AB8">
        <w:t>syntax</w:t>
      </w:r>
      <w:bookmarkEnd w:id="738"/>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409"/>
        <w:gridCol w:w="1333"/>
      </w:tblGrid>
      <w:tr w:rsidR="00B735ED" w:rsidRPr="00A52AB8" w14:paraId="4C5BEB75" w14:textId="77777777" w:rsidTr="00A252B5">
        <w:trPr>
          <w:cantSplit/>
          <w:jc w:val="center"/>
        </w:trPr>
        <w:tc>
          <w:tcPr>
            <w:tcW w:w="7902" w:type="dxa"/>
          </w:tcPr>
          <w:p w14:paraId="4123B61D" w14:textId="1DC813BC" w:rsidR="00B735ED" w:rsidRPr="00A52AB8" w:rsidRDefault="00EB723C" w:rsidP="00C92770">
            <w:pPr>
              <w:spacing w:before="20" w:after="20"/>
              <w:rPr>
                <w:color w:val="000000" w:themeColor="text1"/>
                <w:sz w:val="20"/>
                <w:szCs w:val="20"/>
              </w:rPr>
            </w:pPr>
            <w:r w:rsidRPr="00A52AB8">
              <w:rPr>
                <w:color w:val="000000" w:themeColor="text1"/>
                <w:sz w:val="20"/>
                <w:szCs w:val="20"/>
              </w:rPr>
              <w:t>atlas_</w:t>
            </w:r>
            <w:r w:rsidR="00B8075E" w:rsidRPr="00A52AB8">
              <w:rPr>
                <w:color w:val="000000" w:themeColor="text1"/>
                <w:sz w:val="20"/>
                <w:szCs w:val="20"/>
              </w:rPr>
              <w:t>tile</w:t>
            </w:r>
            <w:r w:rsidR="00B735ED" w:rsidRPr="00A52AB8">
              <w:rPr>
                <w:color w:val="000000" w:themeColor="text1"/>
                <w:sz w:val="20"/>
                <w:szCs w:val="20"/>
              </w:rPr>
              <w:t>_layer_</w:t>
            </w:r>
            <w:r w:rsidR="00B239FD" w:rsidRPr="00A52AB8">
              <w:rPr>
                <w:color w:val="000000" w:themeColor="text1"/>
                <w:sz w:val="20"/>
                <w:szCs w:val="20"/>
              </w:rPr>
              <w:t>rbsp</w:t>
            </w:r>
            <w:r w:rsidR="00DC2AC9" w:rsidRPr="00A52AB8">
              <w:rPr>
                <w:color w:val="000000" w:themeColor="text1"/>
                <w:sz w:val="20"/>
                <w:szCs w:val="20"/>
              </w:rPr>
              <w:t>( </w:t>
            </w:r>
            <w:r w:rsidR="008F1F82" w:rsidRPr="00A52AB8">
              <w:rPr>
                <w:color w:val="000000" w:themeColor="text1"/>
                <w:sz w:val="20"/>
                <w:szCs w:val="20"/>
              </w:rPr>
              <w:t>) {</w:t>
            </w:r>
          </w:p>
        </w:tc>
        <w:tc>
          <w:tcPr>
            <w:tcW w:w="1253" w:type="dxa"/>
          </w:tcPr>
          <w:p w14:paraId="120E5EEA" w14:textId="77777777" w:rsidR="00B735ED" w:rsidRPr="00A52AB8" w:rsidRDefault="00B735ED">
            <w:pPr>
              <w:pStyle w:val="tableheading"/>
              <w:spacing w:before="20" w:after="40"/>
              <w:jc w:val="center"/>
              <w:rPr>
                <w:rFonts w:ascii="Cambria" w:hAnsi="Cambria"/>
              </w:rPr>
            </w:pPr>
            <w:r w:rsidRPr="00A52AB8">
              <w:rPr>
                <w:rFonts w:ascii="Cambria" w:hAnsi="Cambria"/>
              </w:rPr>
              <w:t>Descriptor</w:t>
            </w:r>
          </w:p>
        </w:tc>
      </w:tr>
      <w:tr w:rsidR="00B735ED" w:rsidRPr="00A52AB8" w14:paraId="623DC2CE" w14:textId="77777777" w:rsidTr="00A252B5">
        <w:trPr>
          <w:cantSplit/>
          <w:jc w:val="center"/>
        </w:trPr>
        <w:tc>
          <w:tcPr>
            <w:tcW w:w="7902" w:type="dxa"/>
          </w:tcPr>
          <w:p w14:paraId="7D64C709" w14:textId="77777777" w:rsidR="00B735ED" w:rsidRPr="00A52AB8" w:rsidRDefault="00B735ED" w:rsidP="00C92770">
            <w:pPr>
              <w:spacing w:before="20" w:after="20"/>
              <w:rPr>
                <w:color w:val="000000" w:themeColor="text1"/>
                <w:sz w:val="20"/>
                <w:szCs w:val="20"/>
              </w:rPr>
            </w:pPr>
            <w:r w:rsidRPr="00A52AB8">
              <w:rPr>
                <w:color w:val="000000" w:themeColor="text1"/>
                <w:sz w:val="20"/>
                <w:szCs w:val="20"/>
              </w:rPr>
              <w:tab/>
            </w:r>
            <w:r w:rsidR="00EB723C" w:rsidRPr="00A52AB8">
              <w:rPr>
                <w:color w:val="000000" w:themeColor="text1"/>
                <w:sz w:val="20"/>
                <w:szCs w:val="20"/>
              </w:rPr>
              <w:t>atlas_</w:t>
            </w:r>
            <w:r w:rsidR="00B8075E" w:rsidRPr="00A52AB8">
              <w:rPr>
                <w:color w:val="000000" w:themeColor="text1"/>
                <w:sz w:val="20"/>
                <w:szCs w:val="20"/>
              </w:rPr>
              <w:t>tile</w:t>
            </w:r>
            <w:r w:rsidRPr="00A52AB8">
              <w:rPr>
                <w:color w:val="000000" w:themeColor="text1"/>
                <w:sz w:val="20"/>
                <w:szCs w:val="20"/>
              </w:rPr>
              <w:t>_header</w:t>
            </w:r>
            <w:r w:rsidR="00DC2AC9" w:rsidRPr="00A52AB8">
              <w:rPr>
                <w:color w:val="000000" w:themeColor="text1"/>
                <w:sz w:val="20"/>
                <w:szCs w:val="20"/>
              </w:rPr>
              <w:t>( )</w:t>
            </w:r>
          </w:p>
        </w:tc>
        <w:tc>
          <w:tcPr>
            <w:tcW w:w="1253" w:type="dxa"/>
          </w:tcPr>
          <w:p w14:paraId="1E3494D0" w14:textId="77777777" w:rsidR="00B735ED" w:rsidRPr="00A52AB8" w:rsidRDefault="00B735ED">
            <w:pPr>
              <w:pStyle w:val="tablecell"/>
              <w:spacing w:before="20" w:after="40"/>
              <w:jc w:val="center"/>
              <w:rPr>
                <w:rFonts w:ascii="Cambria" w:hAnsi="Cambria"/>
              </w:rPr>
            </w:pPr>
          </w:p>
        </w:tc>
      </w:tr>
      <w:tr w:rsidR="00B735ED" w:rsidRPr="00A52AB8" w14:paraId="386410D8" w14:textId="77777777" w:rsidTr="00A252B5">
        <w:trPr>
          <w:cantSplit/>
          <w:jc w:val="center"/>
        </w:trPr>
        <w:tc>
          <w:tcPr>
            <w:tcW w:w="7902" w:type="dxa"/>
          </w:tcPr>
          <w:p w14:paraId="76675178" w14:textId="77777777" w:rsidR="00B735ED" w:rsidRPr="00A52AB8" w:rsidRDefault="00B735ED" w:rsidP="00C92770">
            <w:pPr>
              <w:spacing w:before="20" w:after="20"/>
              <w:rPr>
                <w:color w:val="000000" w:themeColor="text1"/>
                <w:sz w:val="20"/>
                <w:szCs w:val="20"/>
              </w:rPr>
            </w:pPr>
            <w:r w:rsidRPr="00A52AB8">
              <w:rPr>
                <w:color w:val="000000" w:themeColor="text1"/>
                <w:sz w:val="20"/>
                <w:szCs w:val="20"/>
              </w:rPr>
              <w:tab/>
            </w:r>
            <w:r w:rsidR="00EB723C" w:rsidRPr="00A52AB8">
              <w:rPr>
                <w:color w:val="000000" w:themeColor="text1"/>
                <w:sz w:val="20"/>
                <w:szCs w:val="20"/>
              </w:rPr>
              <w:t>atlas_</w:t>
            </w:r>
            <w:r w:rsidR="00B8075E" w:rsidRPr="00A52AB8">
              <w:rPr>
                <w:color w:val="000000" w:themeColor="text1"/>
                <w:sz w:val="20"/>
                <w:szCs w:val="20"/>
              </w:rPr>
              <w:t>tile</w:t>
            </w:r>
            <w:r w:rsidRPr="00A52AB8">
              <w:rPr>
                <w:color w:val="000000" w:themeColor="text1"/>
                <w:sz w:val="20"/>
                <w:szCs w:val="20"/>
              </w:rPr>
              <w:t>_data</w:t>
            </w:r>
            <w:r w:rsidR="0020185D" w:rsidRPr="00A52AB8">
              <w:rPr>
                <w:color w:val="000000" w:themeColor="text1"/>
                <w:sz w:val="20"/>
                <w:szCs w:val="20"/>
              </w:rPr>
              <w:t>_unit</w:t>
            </w:r>
            <w:r w:rsidR="00DC2AC9" w:rsidRPr="00A52AB8">
              <w:rPr>
                <w:color w:val="000000" w:themeColor="text1"/>
                <w:sz w:val="20"/>
                <w:szCs w:val="20"/>
              </w:rPr>
              <w:t>(</w:t>
            </w:r>
            <w:r w:rsidR="00EF6E3D" w:rsidRPr="00A52AB8">
              <w:rPr>
                <w:color w:val="000000" w:themeColor="text1"/>
                <w:sz w:val="20"/>
                <w:szCs w:val="20"/>
              </w:rPr>
              <w:t> </w:t>
            </w:r>
            <w:r w:rsidR="00632FA7" w:rsidRPr="00A52AB8">
              <w:rPr>
                <w:color w:val="000000"/>
                <w:sz w:val="20"/>
                <w:szCs w:val="20"/>
              </w:rPr>
              <w:t>tileID</w:t>
            </w:r>
            <w:r w:rsidR="00DC2AC9" w:rsidRPr="00A52AB8">
              <w:rPr>
                <w:color w:val="000000" w:themeColor="text1"/>
                <w:sz w:val="20"/>
                <w:szCs w:val="20"/>
              </w:rPr>
              <w:t> )</w:t>
            </w:r>
          </w:p>
        </w:tc>
        <w:tc>
          <w:tcPr>
            <w:tcW w:w="1253" w:type="dxa"/>
          </w:tcPr>
          <w:p w14:paraId="74AD535D" w14:textId="77777777" w:rsidR="00B735ED" w:rsidRPr="00A52AB8" w:rsidRDefault="00B735ED">
            <w:pPr>
              <w:pStyle w:val="tablecell"/>
              <w:spacing w:before="20" w:after="40"/>
              <w:jc w:val="center"/>
              <w:rPr>
                <w:rFonts w:ascii="Cambria" w:hAnsi="Cambria"/>
              </w:rPr>
            </w:pPr>
          </w:p>
        </w:tc>
      </w:tr>
      <w:tr w:rsidR="00B735ED" w:rsidRPr="00A52AB8" w14:paraId="50730FCE" w14:textId="77777777" w:rsidTr="00A252B5">
        <w:trPr>
          <w:cantSplit/>
          <w:jc w:val="center"/>
        </w:trPr>
        <w:tc>
          <w:tcPr>
            <w:tcW w:w="7902" w:type="dxa"/>
          </w:tcPr>
          <w:p w14:paraId="71E70442" w14:textId="77777777" w:rsidR="00B735ED" w:rsidRPr="00A52AB8" w:rsidRDefault="008E0086" w:rsidP="00C92770">
            <w:pPr>
              <w:spacing w:before="20" w:after="20"/>
              <w:rPr>
                <w:color w:val="000000" w:themeColor="text1"/>
                <w:sz w:val="20"/>
                <w:szCs w:val="20"/>
              </w:rPr>
            </w:pPr>
            <w:r w:rsidRPr="00A52AB8">
              <w:rPr>
                <w:color w:val="000000" w:themeColor="text1"/>
                <w:sz w:val="20"/>
                <w:szCs w:val="20"/>
              </w:rPr>
              <w:tab/>
              <w:t>rbsp_trailing_bits(</w:t>
            </w:r>
            <w:r w:rsidR="009D7372" w:rsidRPr="00A52AB8">
              <w:rPr>
                <w:color w:val="000000" w:themeColor="text1"/>
                <w:sz w:val="20"/>
                <w:szCs w:val="20"/>
              </w:rPr>
              <w:t> </w:t>
            </w:r>
            <w:r w:rsidRPr="00A52AB8">
              <w:rPr>
                <w:color w:val="000000" w:themeColor="text1"/>
                <w:sz w:val="20"/>
                <w:szCs w:val="20"/>
              </w:rPr>
              <w:t>)</w:t>
            </w:r>
          </w:p>
        </w:tc>
        <w:tc>
          <w:tcPr>
            <w:tcW w:w="1253" w:type="dxa"/>
          </w:tcPr>
          <w:p w14:paraId="469B575B" w14:textId="77777777" w:rsidR="00B735ED" w:rsidRPr="00A52AB8" w:rsidRDefault="00B735ED">
            <w:pPr>
              <w:pStyle w:val="tablecell"/>
              <w:keepNext w:val="0"/>
              <w:spacing w:before="20" w:after="40"/>
              <w:jc w:val="center"/>
              <w:rPr>
                <w:rFonts w:ascii="Cambria" w:hAnsi="Cambria"/>
              </w:rPr>
            </w:pPr>
          </w:p>
        </w:tc>
      </w:tr>
      <w:tr w:rsidR="008E0086" w:rsidRPr="00A52AB8" w14:paraId="69788D31" w14:textId="77777777" w:rsidTr="00A252B5">
        <w:trPr>
          <w:cantSplit/>
          <w:jc w:val="center"/>
        </w:trPr>
        <w:tc>
          <w:tcPr>
            <w:tcW w:w="7902" w:type="dxa"/>
          </w:tcPr>
          <w:p w14:paraId="69323231" w14:textId="77777777" w:rsidR="008E0086" w:rsidRPr="00A52AB8" w:rsidRDefault="008E0086" w:rsidP="00C92770">
            <w:pPr>
              <w:spacing w:before="20" w:after="20"/>
              <w:rPr>
                <w:color w:val="000000" w:themeColor="text1"/>
                <w:sz w:val="20"/>
                <w:szCs w:val="20"/>
              </w:rPr>
            </w:pPr>
            <w:r w:rsidRPr="00A52AB8">
              <w:rPr>
                <w:color w:val="000000" w:themeColor="text1"/>
                <w:sz w:val="20"/>
                <w:szCs w:val="20"/>
              </w:rPr>
              <w:t>}</w:t>
            </w:r>
          </w:p>
        </w:tc>
        <w:tc>
          <w:tcPr>
            <w:tcW w:w="1253" w:type="dxa"/>
          </w:tcPr>
          <w:p w14:paraId="45BC7245" w14:textId="77777777" w:rsidR="008E0086" w:rsidRPr="00A52AB8" w:rsidRDefault="008E0086">
            <w:pPr>
              <w:pStyle w:val="tablecell"/>
              <w:keepNext w:val="0"/>
              <w:spacing w:before="20" w:after="40"/>
              <w:jc w:val="center"/>
              <w:rPr>
                <w:rFonts w:ascii="Cambria" w:hAnsi="Cambria"/>
              </w:rPr>
            </w:pPr>
          </w:p>
        </w:tc>
      </w:tr>
    </w:tbl>
    <w:p w14:paraId="50CD7F9E" w14:textId="23719688" w:rsidR="00EA3474" w:rsidRPr="00A52AB8" w:rsidRDefault="00EA3474" w:rsidP="00CB76AA">
      <w:pPr>
        <w:pStyle w:val="Heading4"/>
      </w:pPr>
      <w:bookmarkStart w:id="739" w:name="_Ref38314677"/>
      <w:r w:rsidRPr="00A52AB8">
        <w:t>RBSP trailing bit syntax</w:t>
      </w:r>
      <w:bookmarkEnd w:id="739"/>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411"/>
        <w:gridCol w:w="1331"/>
      </w:tblGrid>
      <w:tr w:rsidR="00EA3474" w:rsidRPr="00A52AB8" w14:paraId="162429A8" w14:textId="77777777" w:rsidTr="00A252B5">
        <w:trPr>
          <w:cantSplit/>
          <w:jc w:val="center"/>
        </w:trPr>
        <w:tc>
          <w:tcPr>
            <w:tcW w:w="7921" w:type="dxa"/>
          </w:tcPr>
          <w:p w14:paraId="76A5C309" w14:textId="53183F1D" w:rsidR="00EA3474" w:rsidRPr="00A52AB8" w:rsidRDefault="00EA3474" w:rsidP="00C92770">
            <w:pPr>
              <w:spacing w:before="20" w:after="20"/>
            </w:pPr>
            <w:r w:rsidRPr="00A52AB8">
              <w:rPr>
                <w:color w:val="000000" w:themeColor="text1"/>
                <w:sz w:val="20"/>
                <w:szCs w:val="20"/>
              </w:rPr>
              <w:t>rbsp_trailing_bits( </w:t>
            </w:r>
            <w:r w:rsidR="008F1F82" w:rsidRPr="00A52AB8">
              <w:rPr>
                <w:color w:val="000000" w:themeColor="text1"/>
                <w:sz w:val="20"/>
                <w:szCs w:val="20"/>
              </w:rPr>
              <w:t>) {</w:t>
            </w:r>
          </w:p>
        </w:tc>
        <w:tc>
          <w:tcPr>
            <w:tcW w:w="1253" w:type="dxa"/>
          </w:tcPr>
          <w:p w14:paraId="50382D06" w14:textId="77777777" w:rsidR="00EA3474" w:rsidRPr="00A52AB8" w:rsidRDefault="00EA3474" w:rsidP="001F4484">
            <w:pPr>
              <w:pStyle w:val="tableheading"/>
              <w:spacing w:before="20" w:after="40"/>
              <w:jc w:val="center"/>
              <w:rPr>
                <w:rFonts w:ascii="Cambria" w:hAnsi="Cambria"/>
              </w:rPr>
            </w:pPr>
            <w:r w:rsidRPr="00A52AB8">
              <w:rPr>
                <w:rFonts w:ascii="Cambria" w:hAnsi="Cambria"/>
              </w:rPr>
              <w:t>Descriptor</w:t>
            </w:r>
          </w:p>
        </w:tc>
      </w:tr>
      <w:tr w:rsidR="00EA3474" w:rsidRPr="00A52AB8" w14:paraId="2FBA2DB7" w14:textId="77777777" w:rsidTr="00A252B5">
        <w:trPr>
          <w:cantSplit/>
          <w:jc w:val="center"/>
        </w:trPr>
        <w:tc>
          <w:tcPr>
            <w:tcW w:w="7921" w:type="dxa"/>
          </w:tcPr>
          <w:p w14:paraId="045EC9C8" w14:textId="77777777" w:rsidR="00EA3474" w:rsidRPr="00A52AB8" w:rsidRDefault="00EA3474" w:rsidP="00C92770">
            <w:pPr>
              <w:spacing w:before="20" w:after="20"/>
            </w:pPr>
            <w:r w:rsidRPr="00A52AB8">
              <w:rPr>
                <w:color w:val="000000" w:themeColor="text1"/>
                <w:sz w:val="20"/>
                <w:szCs w:val="20"/>
              </w:rPr>
              <w:tab/>
            </w:r>
            <w:r w:rsidRPr="00A52AB8">
              <w:rPr>
                <w:b/>
                <w:bCs/>
                <w:color w:val="000000" w:themeColor="text1"/>
                <w:sz w:val="20"/>
                <w:szCs w:val="20"/>
              </w:rPr>
              <w:t>rbsp_stop_one_bit</w:t>
            </w:r>
            <w:r w:rsidRPr="00A52AB8">
              <w:rPr>
                <w:color w:val="000000" w:themeColor="text1"/>
                <w:sz w:val="20"/>
                <w:szCs w:val="20"/>
              </w:rPr>
              <w:t xml:space="preserve"> /* equal to 1 */</w:t>
            </w:r>
          </w:p>
        </w:tc>
        <w:tc>
          <w:tcPr>
            <w:tcW w:w="1253" w:type="dxa"/>
          </w:tcPr>
          <w:p w14:paraId="436FB687" w14:textId="77777777" w:rsidR="00EA3474" w:rsidRPr="00A52AB8" w:rsidRDefault="00EA3474" w:rsidP="001F4484">
            <w:pPr>
              <w:pStyle w:val="tablecell"/>
              <w:spacing w:before="20" w:after="40"/>
              <w:jc w:val="center"/>
              <w:rPr>
                <w:rFonts w:ascii="Cambria" w:hAnsi="Cambria"/>
              </w:rPr>
            </w:pPr>
            <w:r w:rsidRPr="00A52AB8">
              <w:rPr>
                <w:rFonts w:ascii="Cambria" w:hAnsi="Cambria"/>
              </w:rPr>
              <w:t>f(1)</w:t>
            </w:r>
          </w:p>
        </w:tc>
      </w:tr>
      <w:tr w:rsidR="00EA3474" w:rsidRPr="00A52AB8" w14:paraId="61452C06" w14:textId="77777777" w:rsidTr="00A252B5">
        <w:trPr>
          <w:cantSplit/>
          <w:jc w:val="center"/>
        </w:trPr>
        <w:tc>
          <w:tcPr>
            <w:tcW w:w="7921" w:type="dxa"/>
          </w:tcPr>
          <w:p w14:paraId="147882B3" w14:textId="77777777" w:rsidR="00EA3474" w:rsidRPr="00A52AB8" w:rsidRDefault="00EA3474" w:rsidP="00C92770">
            <w:pPr>
              <w:spacing w:before="20" w:after="20"/>
            </w:pPr>
            <w:r w:rsidRPr="00A52AB8">
              <w:rPr>
                <w:color w:val="000000" w:themeColor="text1"/>
                <w:sz w:val="20"/>
                <w:szCs w:val="20"/>
              </w:rPr>
              <w:tab/>
              <w:t>while(</w:t>
            </w:r>
            <w:r w:rsidR="003E236C" w:rsidRPr="00A52AB8">
              <w:rPr>
                <w:color w:val="000000" w:themeColor="text1"/>
                <w:sz w:val="20"/>
                <w:szCs w:val="20"/>
              </w:rPr>
              <w:t> </w:t>
            </w:r>
            <w:r w:rsidRPr="00A52AB8">
              <w:rPr>
                <w:color w:val="000000" w:themeColor="text1"/>
                <w:sz w:val="20"/>
                <w:szCs w:val="20"/>
              </w:rPr>
              <w:t>!byte_aligned(</w:t>
            </w:r>
            <w:r w:rsidR="003E236C" w:rsidRPr="00A52AB8">
              <w:rPr>
                <w:color w:val="000000" w:themeColor="text1"/>
                <w:sz w:val="20"/>
                <w:szCs w:val="20"/>
              </w:rPr>
              <w:t> </w:t>
            </w:r>
            <w:r w:rsidRPr="00A52AB8">
              <w:rPr>
                <w:color w:val="000000" w:themeColor="text1"/>
                <w:sz w:val="20"/>
                <w:szCs w:val="20"/>
              </w:rPr>
              <w:t>)</w:t>
            </w:r>
            <w:r w:rsidR="003E236C" w:rsidRPr="00A52AB8">
              <w:rPr>
                <w:color w:val="000000" w:themeColor="text1"/>
                <w:sz w:val="20"/>
                <w:szCs w:val="20"/>
              </w:rPr>
              <w:t> </w:t>
            </w:r>
            <w:r w:rsidRPr="00A52AB8">
              <w:rPr>
                <w:color w:val="000000" w:themeColor="text1"/>
                <w:sz w:val="20"/>
                <w:szCs w:val="20"/>
              </w:rPr>
              <w:t>)</w:t>
            </w:r>
          </w:p>
        </w:tc>
        <w:tc>
          <w:tcPr>
            <w:tcW w:w="1253" w:type="dxa"/>
          </w:tcPr>
          <w:p w14:paraId="6E3ACFDC" w14:textId="77777777" w:rsidR="00EA3474" w:rsidRPr="00A52AB8" w:rsidRDefault="00EA3474" w:rsidP="001F4484">
            <w:pPr>
              <w:pStyle w:val="tablecell"/>
              <w:spacing w:before="20" w:after="40"/>
              <w:jc w:val="center"/>
              <w:rPr>
                <w:rFonts w:ascii="Cambria" w:hAnsi="Cambria"/>
              </w:rPr>
            </w:pPr>
          </w:p>
        </w:tc>
      </w:tr>
      <w:tr w:rsidR="00EA3474" w:rsidRPr="00A52AB8" w14:paraId="67723F8C" w14:textId="77777777" w:rsidTr="00A252B5">
        <w:trPr>
          <w:cantSplit/>
          <w:jc w:val="center"/>
        </w:trPr>
        <w:tc>
          <w:tcPr>
            <w:tcW w:w="7921" w:type="dxa"/>
          </w:tcPr>
          <w:p w14:paraId="35B6BAD2" w14:textId="77777777" w:rsidR="00EA3474" w:rsidRPr="00A52AB8" w:rsidRDefault="00EA3474" w:rsidP="00C92770">
            <w:pPr>
              <w:spacing w:before="20" w:after="20"/>
              <w:rPr>
                <w:color w:val="000000" w:themeColor="text1"/>
                <w:sz w:val="20"/>
                <w:szCs w:val="20"/>
              </w:rPr>
            </w:pPr>
            <w:r w:rsidRPr="00A52AB8">
              <w:rPr>
                <w:color w:val="000000" w:themeColor="text1"/>
                <w:sz w:val="20"/>
                <w:szCs w:val="20"/>
              </w:rPr>
              <w:tab/>
            </w:r>
            <w:r w:rsidRPr="00A52AB8">
              <w:rPr>
                <w:color w:val="000000" w:themeColor="text1"/>
                <w:sz w:val="20"/>
                <w:szCs w:val="20"/>
              </w:rPr>
              <w:tab/>
            </w:r>
            <w:r w:rsidRPr="00A52AB8">
              <w:rPr>
                <w:b/>
                <w:bCs/>
                <w:color w:val="000000" w:themeColor="text1"/>
                <w:sz w:val="20"/>
                <w:szCs w:val="20"/>
              </w:rPr>
              <w:t>rbsp_alignment_zero_bit</w:t>
            </w:r>
            <w:r w:rsidRPr="00A52AB8">
              <w:rPr>
                <w:color w:val="000000" w:themeColor="text1"/>
                <w:sz w:val="20"/>
                <w:szCs w:val="20"/>
              </w:rPr>
              <w:t xml:space="preserve"> /* equal to 0 */</w:t>
            </w:r>
          </w:p>
        </w:tc>
        <w:tc>
          <w:tcPr>
            <w:tcW w:w="1253" w:type="dxa"/>
          </w:tcPr>
          <w:p w14:paraId="3E29DF8F" w14:textId="77777777" w:rsidR="00EA3474" w:rsidRPr="00A52AB8" w:rsidRDefault="00EA3474" w:rsidP="001F4484">
            <w:pPr>
              <w:pStyle w:val="tablecell"/>
              <w:spacing w:before="20" w:after="40"/>
              <w:jc w:val="center"/>
              <w:rPr>
                <w:rFonts w:ascii="Cambria" w:hAnsi="Cambria"/>
              </w:rPr>
            </w:pPr>
            <w:r w:rsidRPr="00A52AB8">
              <w:rPr>
                <w:rFonts w:ascii="Cambria" w:hAnsi="Cambria"/>
              </w:rPr>
              <w:t>f(1)</w:t>
            </w:r>
          </w:p>
        </w:tc>
      </w:tr>
      <w:tr w:rsidR="00EA3474" w:rsidRPr="00A52AB8" w14:paraId="539D8321" w14:textId="77777777" w:rsidTr="00A252B5">
        <w:trPr>
          <w:cantSplit/>
          <w:jc w:val="center"/>
        </w:trPr>
        <w:tc>
          <w:tcPr>
            <w:tcW w:w="7921" w:type="dxa"/>
          </w:tcPr>
          <w:p w14:paraId="24FCCC75" w14:textId="77777777" w:rsidR="00EA3474" w:rsidRPr="00A52AB8" w:rsidRDefault="00EA3474" w:rsidP="00C92770">
            <w:pPr>
              <w:spacing w:before="20" w:after="20"/>
            </w:pPr>
            <w:r w:rsidRPr="00A52AB8">
              <w:rPr>
                <w:color w:val="000000" w:themeColor="text1"/>
                <w:sz w:val="20"/>
                <w:szCs w:val="20"/>
              </w:rPr>
              <w:t>}</w:t>
            </w:r>
          </w:p>
        </w:tc>
        <w:tc>
          <w:tcPr>
            <w:tcW w:w="1253" w:type="dxa"/>
          </w:tcPr>
          <w:p w14:paraId="113C5BE1" w14:textId="77777777" w:rsidR="00EA3474" w:rsidRPr="00A52AB8" w:rsidRDefault="00EA3474" w:rsidP="001F4484">
            <w:pPr>
              <w:pStyle w:val="tablecell"/>
              <w:keepNext w:val="0"/>
              <w:spacing w:before="20" w:after="40"/>
              <w:jc w:val="center"/>
              <w:rPr>
                <w:rFonts w:ascii="Cambria" w:hAnsi="Cambria"/>
              </w:rPr>
            </w:pPr>
          </w:p>
        </w:tc>
      </w:tr>
    </w:tbl>
    <w:p w14:paraId="5CBC7243" w14:textId="77777777" w:rsidR="00660A7C" w:rsidRPr="00A52AB8" w:rsidRDefault="002A47BD" w:rsidP="00CB76AA">
      <w:pPr>
        <w:pStyle w:val="Heading4"/>
      </w:pPr>
      <w:bookmarkStart w:id="740" w:name="_Ref38314683"/>
      <w:r w:rsidRPr="00A52AB8">
        <w:t xml:space="preserve">Atlas </w:t>
      </w:r>
      <w:r w:rsidR="00B8075E" w:rsidRPr="00A52AB8">
        <w:t>tile</w:t>
      </w:r>
      <w:r w:rsidR="00775D41" w:rsidRPr="00A52AB8">
        <w:t xml:space="preserve"> </w:t>
      </w:r>
      <w:r w:rsidR="00660A7C" w:rsidRPr="00A52AB8">
        <w:t>header syntax</w:t>
      </w:r>
      <w:bookmarkEnd w:id="740"/>
    </w:p>
    <w:tbl>
      <w:tblPr>
        <w:tblStyle w:val="TableGrid"/>
        <w:tblW w:w="5000" w:type="pct"/>
        <w:jc w:val="center"/>
        <w:tblLayout w:type="fixed"/>
        <w:tblLook w:val="04A0" w:firstRow="1" w:lastRow="0" w:firstColumn="1" w:lastColumn="0" w:noHBand="0" w:noVBand="1"/>
      </w:tblPr>
      <w:tblGrid>
        <w:gridCol w:w="8411"/>
        <w:gridCol w:w="1331"/>
      </w:tblGrid>
      <w:tr w:rsidR="00660A7C" w:rsidRPr="00A52AB8" w14:paraId="5F355382" w14:textId="77777777" w:rsidTr="00A252B5">
        <w:trPr>
          <w:jc w:val="center"/>
        </w:trPr>
        <w:tc>
          <w:tcPr>
            <w:tcW w:w="7921" w:type="dxa"/>
          </w:tcPr>
          <w:p w14:paraId="4478560C" w14:textId="23869339" w:rsidR="00660A7C" w:rsidRPr="00A52AB8" w:rsidRDefault="00EB723C">
            <w:pPr>
              <w:spacing w:before="20" w:after="20"/>
              <w:rPr>
                <w:color w:val="000000" w:themeColor="text1"/>
                <w:sz w:val="20"/>
                <w:szCs w:val="20"/>
              </w:rPr>
            </w:pPr>
            <w:r w:rsidRPr="00A52AB8">
              <w:rPr>
                <w:color w:val="000000" w:themeColor="text1"/>
                <w:sz w:val="20"/>
                <w:szCs w:val="20"/>
              </w:rPr>
              <w:t>atlas_</w:t>
            </w:r>
            <w:r w:rsidR="00B8075E" w:rsidRPr="00A52AB8">
              <w:rPr>
                <w:color w:val="000000" w:themeColor="text1"/>
                <w:sz w:val="20"/>
                <w:szCs w:val="20"/>
              </w:rPr>
              <w:t>tile</w:t>
            </w:r>
            <w:r w:rsidR="00660A7C" w:rsidRPr="00A52AB8">
              <w:rPr>
                <w:color w:val="000000" w:themeColor="text1"/>
                <w:sz w:val="20"/>
                <w:szCs w:val="20"/>
              </w:rPr>
              <w:t>_header</w:t>
            </w:r>
            <w:r w:rsidR="00DC2AC9" w:rsidRPr="00A52AB8">
              <w:rPr>
                <w:color w:val="000000" w:themeColor="text1"/>
                <w:sz w:val="20"/>
                <w:szCs w:val="20"/>
              </w:rPr>
              <w:t>( </w:t>
            </w:r>
            <w:r w:rsidR="008F1F82" w:rsidRPr="00A52AB8">
              <w:rPr>
                <w:color w:val="000000" w:themeColor="text1"/>
                <w:sz w:val="20"/>
                <w:szCs w:val="20"/>
              </w:rPr>
              <w:t>) {</w:t>
            </w:r>
          </w:p>
        </w:tc>
        <w:tc>
          <w:tcPr>
            <w:tcW w:w="1253" w:type="dxa"/>
          </w:tcPr>
          <w:p w14:paraId="5789DECD" w14:textId="77777777" w:rsidR="00660A7C" w:rsidRPr="00A52AB8" w:rsidRDefault="00660A7C">
            <w:pPr>
              <w:spacing w:before="20" w:after="20"/>
              <w:jc w:val="center"/>
              <w:rPr>
                <w:b/>
                <w:color w:val="000000" w:themeColor="text1"/>
                <w:sz w:val="20"/>
                <w:szCs w:val="20"/>
              </w:rPr>
            </w:pPr>
            <w:r w:rsidRPr="00A52AB8">
              <w:rPr>
                <w:b/>
                <w:color w:val="000000" w:themeColor="text1"/>
                <w:sz w:val="20"/>
                <w:szCs w:val="20"/>
              </w:rPr>
              <w:t>Descriptor</w:t>
            </w:r>
          </w:p>
        </w:tc>
      </w:tr>
      <w:tr w:rsidR="00A77536" w:rsidRPr="00A52AB8" w14:paraId="1D5B8EC5" w14:textId="77777777" w:rsidTr="00A252B5">
        <w:trPr>
          <w:jc w:val="center"/>
        </w:trPr>
        <w:tc>
          <w:tcPr>
            <w:tcW w:w="7921" w:type="dxa"/>
          </w:tcPr>
          <w:p w14:paraId="1BD197CB" w14:textId="4D4AB2F0" w:rsidR="00A77536" w:rsidRPr="00A52AB8" w:rsidRDefault="00A77536">
            <w:pPr>
              <w:spacing w:before="20" w:after="20"/>
              <w:rPr>
                <w:color w:val="000000" w:themeColor="text1"/>
                <w:sz w:val="20"/>
                <w:szCs w:val="20"/>
              </w:rPr>
            </w:pPr>
            <w:r w:rsidRPr="00A52AB8">
              <w:rPr>
                <w:color w:val="000000" w:themeColor="text1"/>
                <w:sz w:val="20"/>
                <w:szCs w:val="20"/>
              </w:rPr>
              <w:tab/>
              <w:t>if( nal_unit_type</w:t>
            </w:r>
            <w:r w:rsidR="008768E9" w:rsidRPr="00A52AB8">
              <w:rPr>
                <w:color w:val="000000" w:themeColor="text1"/>
                <w:sz w:val="20"/>
                <w:szCs w:val="20"/>
              </w:rPr>
              <w:t> </w:t>
            </w:r>
            <w:r w:rsidR="00A234FD" w:rsidRPr="00A52AB8">
              <w:rPr>
                <w:color w:val="000000" w:themeColor="text1"/>
                <w:sz w:val="20"/>
                <w:szCs w:val="20"/>
              </w:rPr>
              <w:t>&gt;=</w:t>
            </w:r>
            <w:r w:rsidR="00D47707" w:rsidRPr="00A52AB8">
              <w:rPr>
                <w:color w:val="000000" w:themeColor="text1"/>
                <w:sz w:val="20"/>
                <w:szCs w:val="20"/>
              </w:rPr>
              <w:t> </w:t>
            </w:r>
            <w:r w:rsidRPr="00A52AB8">
              <w:rPr>
                <w:color w:val="000000" w:themeColor="text1"/>
                <w:sz w:val="20"/>
                <w:szCs w:val="20"/>
              </w:rPr>
              <w:t>NAL_BLA_W_LP</w:t>
            </w:r>
            <w:r w:rsidR="008768E9" w:rsidRPr="00A52AB8">
              <w:rPr>
                <w:color w:val="000000" w:themeColor="text1"/>
                <w:sz w:val="20"/>
                <w:szCs w:val="20"/>
              </w:rPr>
              <w:t> &amp;&amp; </w:t>
            </w:r>
            <w:r w:rsidRPr="00A52AB8">
              <w:rPr>
                <w:color w:val="000000" w:themeColor="text1"/>
                <w:sz w:val="20"/>
                <w:szCs w:val="20"/>
              </w:rPr>
              <w:t>nal_unit_type</w:t>
            </w:r>
            <w:r w:rsidR="008768E9" w:rsidRPr="00A52AB8">
              <w:rPr>
                <w:color w:val="000000" w:themeColor="text1"/>
                <w:sz w:val="20"/>
                <w:szCs w:val="20"/>
              </w:rPr>
              <w:t> </w:t>
            </w:r>
            <w:r w:rsidR="00A234FD" w:rsidRPr="00A52AB8">
              <w:rPr>
                <w:color w:val="000000" w:themeColor="text1"/>
                <w:sz w:val="20"/>
                <w:szCs w:val="20"/>
              </w:rPr>
              <w:t>&lt;=</w:t>
            </w:r>
            <w:r w:rsidR="00D47707" w:rsidRPr="00A52AB8">
              <w:rPr>
                <w:color w:val="000000" w:themeColor="text1"/>
                <w:sz w:val="20"/>
                <w:szCs w:val="20"/>
              </w:rPr>
              <w:t> </w:t>
            </w:r>
            <w:r w:rsidRPr="00A52AB8">
              <w:rPr>
                <w:color w:val="000000" w:themeColor="text1"/>
                <w:sz w:val="20"/>
                <w:szCs w:val="20"/>
              </w:rPr>
              <w:t>NAL_RSV_IRAP_ACL_29 )</w:t>
            </w:r>
          </w:p>
        </w:tc>
        <w:tc>
          <w:tcPr>
            <w:tcW w:w="1253" w:type="dxa"/>
          </w:tcPr>
          <w:p w14:paraId="52B8F9FF" w14:textId="77777777" w:rsidR="00A77536" w:rsidRPr="00A52AB8" w:rsidRDefault="00A77536">
            <w:pPr>
              <w:spacing w:before="20" w:after="20"/>
              <w:jc w:val="center"/>
              <w:rPr>
                <w:color w:val="000000" w:themeColor="text1"/>
                <w:sz w:val="20"/>
                <w:szCs w:val="20"/>
              </w:rPr>
            </w:pPr>
          </w:p>
        </w:tc>
      </w:tr>
      <w:tr w:rsidR="00A77536" w:rsidRPr="00A52AB8" w14:paraId="3DC30020" w14:textId="77777777" w:rsidTr="00A252B5">
        <w:trPr>
          <w:jc w:val="center"/>
        </w:trPr>
        <w:tc>
          <w:tcPr>
            <w:tcW w:w="7921" w:type="dxa"/>
          </w:tcPr>
          <w:p w14:paraId="5C80DAF4" w14:textId="77777777" w:rsidR="00A77536" w:rsidRPr="00A52AB8" w:rsidRDefault="00A77536">
            <w:pPr>
              <w:spacing w:before="20" w:after="20"/>
              <w:rPr>
                <w:b/>
                <w:bCs/>
                <w:color w:val="000000" w:themeColor="text1"/>
                <w:sz w:val="20"/>
                <w:szCs w:val="20"/>
              </w:rPr>
            </w:pPr>
            <w:r w:rsidRPr="00A52AB8">
              <w:rPr>
                <w:color w:val="000000" w:themeColor="text1"/>
                <w:sz w:val="20"/>
                <w:szCs w:val="20"/>
              </w:rPr>
              <w:tab/>
            </w:r>
            <w:r w:rsidRPr="00A52AB8">
              <w:rPr>
                <w:color w:val="000000" w:themeColor="text1"/>
                <w:sz w:val="20"/>
                <w:szCs w:val="20"/>
              </w:rPr>
              <w:tab/>
            </w:r>
            <w:r w:rsidRPr="00A52AB8">
              <w:rPr>
                <w:b/>
                <w:bCs/>
                <w:color w:val="000000" w:themeColor="text1"/>
                <w:sz w:val="20"/>
                <w:szCs w:val="20"/>
              </w:rPr>
              <w:t>ath_no_output_of_prior_atlas_frames_flag</w:t>
            </w:r>
          </w:p>
        </w:tc>
        <w:tc>
          <w:tcPr>
            <w:tcW w:w="1253" w:type="dxa"/>
          </w:tcPr>
          <w:p w14:paraId="565CB61B" w14:textId="77777777" w:rsidR="00A77536" w:rsidRPr="00A52AB8" w:rsidRDefault="00A77536">
            <w:pPr>
              <w:spacing w:before="20" w:after="20"/>
              <w:jc w:val="center"/>
              <w:rPr>
                <w:color w:val="000000" w:themeColor="text1"/>
                <w:sz w:val="20"/>
                <w:szCs w:val="20"/>
              </w:rPr>
            </w:pPr>
            <w:r w:rsidRPr="00A52AB8">
              <w:rPr>
                <w:color w:val="000000" w:themeColor="text1"/>
                <w:sz w:val="20"/>
                <w:szCs w:val="20"/>
              </w:rPr>
              <w:t>u(1)</w:t>
            </w:r>
          </w:p>
        </w:tc>
      </w:tr>
      <w:tr w:rsidR="00660A7C" w:rsidRPr="00A52AB8" w14:paraId="14A54477" w14:textId="77777777" w:rsidTr="00A252B5">
        <w:trPr>
          <w:jc w:val="center"/>
        </w:trPr>
        <w:tc>
          <w:tcPr>
            <w:tcW w:w="7921" w:type="dxa"/>
          </w:tcPr>
          <w:p w14:paraId="7CE8AF0D" w14:textId="77777777" w:rsidR="00660A7C" w:rsidRPr="00A52AB8" w:rsidRDefault="00660A7C">
            <w:pPr>
              <w:spacing w:before="20" w:after="20"/>
              <w:rPr>
                <w:b/>
                <w:color w:val="000000" w:themeColor="text1"/>
                <w:sz w:val="20"/>
                <w:szCs w:val="20"/>
              </w:rPr>
            </w:pPr>
            <w:r w:rsidRPr="00A52AB8">
              <w:rPr>
                <w:color w:val="000000" w:themeColor="text1"/>
                <w:sz w:val="20"/>
                <w:szCs w:val="20"/>
              </w:rPr>
              <w:tab/>
            </w:r>
            <w:r w:rsidR="00A62CD5" w:rsidRPr="00A52AB8">
              <w:rPr>
                <w:b/>
                <w:color w:val="000000" w:themeColor="text1"/>
                <w:sz w:val="20"/>
                <w:szCs w:val="20"/>
              </w:rPr>
              <w:t>ath_</w:t>
            </w:r>
            <w:r w:rsidR="00DD23CD" w:rsidRPr="00A52AB8">
              <w:rPr>
                <w:b/>
                <w:color w:val="000000" w:themeColor="text1"/>
                <w:sz w:val="20"/>
                <w:szCs w:val="20"/>
              </w:rPr>
              <w:t>atlas_frame</w:t>
            </w:r>
            <w:r w:rsidRPr="00A52AB8">
              <w:rPr>
                <w:b/>
                <w:color w:val="000000" w:themeColor="text1"/>
                <w:sz w:val="20"/>
                <w:szCs w:val="20"/>
              </w:rPr>
              <w:t>_parameter_set_id</w:t>
            </w:r>
          </w:p>
        </w:tc>
        <w:tc>
          <w:tcPr>
            <w:tcW w:w="1253" w:type="dxa"/>
          </w:tcPr>
          <w:p w14:paraId="0590875A" w14:textId="77777777" w:rsidR="00660A7C" w:rsidRPr="00A52AB8" w:rsidRDefault="00660A7C">
            <w:pPr>
              <w:spacing w:before="20" w:after="20"/>
              <w:jc w:val="center"/>
              <w:rPr>
                <w:color w:val="000000" w:themeColor="text1"/>
                <w:sz w:val="20"/>
                <w:szCs w:val="20"/>
              </w:rPr>
            </w:pPr>
            <w:r w:rsidRPr="00A52AB8">
              <w:rPr>
                <w:color w:val="000000" w:themeColor="text1"/>
                <w:sz w:val="20"/>
                <w:szCs w:val="20"/>
              </w:rPr>
              <w:t>ue(v)</w:t>
            </w:r>
          </w:p>
        </w:tc>
      </w:tr>
      <w:tr w:rsidR="00CE0EF1" w:rsidRPr="00A52AB8" w14:paraId="41DC9C9A" w14:textId="77777777" w:rsidTr="00A252B5">
        <w:trPr>
          <w:jc w:val="center"/>
        </w:trPr>
        <w:tc>
          <w:tcPr>
            <w:tcW w:w="7921" w:type="dxa"/>
          </w:tcPr>
          <w:p w14:paraId="2340489F" w14:textId="77777777" w:rsidR="00CE0EF1" w:rsidRPr="00A52AB8" w:rsidRDefault="00CE0EF1">
            <w:pPr>
              <w:spacing w:before="20" w:after="20"/>
              <w:rPr>
                <w:b/>
                <w:sz w:val="20"/>
                <w:szCs w:val="20"/>
              </w:rPr>
            </w:pPr>
            <w:r w:rsidRPr="00A52AB8">
              <w:rPr>
                <w:b/>
                <w:sz w:val="20"/>
                <w:szCs w:val="20"/>
              </w:rPr>
              <w:tab/>
            </w:r>
            <w:r w:rsidR="00A62CD5" w:rsidRPr="00A52AB8">
              <w:rPr>
                <w:b/>
                <w:color w:val="000000" w:themeColor="text1"/>
                <w:sz w:val="20"/>
                <w:szCs w:val="20"/>
              </w:rPr>
              <w:t>ath_</w:t>
            </w:r>
            <w:r w:rsidR="00423671" w:rsidRPr="00A52AB8">
              <w:rPr>
                <w:b/>
                <w:color w:val="000000" w:themeColor="text1"/>
                <w:sz w:val="20"/>
                <w:szCs w:val="20"/>
              </w:rPr>
              <w:t>atlas_adaptation_parameter_set_id</w:t>
            </w:r>
          </w:p>
        </w:tc>
        <w:tc>
          <w:tcPr>
            <w:tcW w:w="1253" w:type="dxa"/>
          </w:tcPr>
          <w:p w14:paraId="742EC8DC" w14:textId="77777777" w:rsidR="00CE0EF1" w:rsidRPr="00A52AB8" w:rsidRDefault="00CE0EF1">
            <w:pPr>
              <w:spacing w:before="20" w:after="20"/>
              <w:jc w:val="center"/>
              <w:rPr>
                <w:sz w:val="20"/>
                <w:szCs w:val="20"/>
                <w:lang w:eastAsia="ko-KR"/>
              </w:rPr>
            </w:pPr>
            <w:r w:rsidRPr="00A52AB8">
              <w:rPr>
                <w:sz w:val="20"/>
                <w:szCs w:val="20"/>
                <w:lang w:eastAsia="ko-KR"/>
              </w:rPr>
              <w:t>ue(v)</w:t>
            </w:r>
          </w:p>
        </w:tc>
      </w:tr>
      <w:tr w:rsidR="00660A7C" w:rsidRPr="00A52AB8" w14:paraId="5BF2A2B2" w14:textId="77777777" w:rsidTr="00A252B5">
        <w:trPr>
          <w:jc w:val="center"/>
        </w:trPr>
        <w:tc>
          <w:tcPr>
            <w:tcW w:w="7921" w:type="dxa"/>
          </w:tcPr>
          <w:p w14:paraId="4770A360" w14:textId="77777777" w:rsidR="00660A7C" w:rsidRPr="00A52AB8" w:rsidRDefault="00660A7C" w:rsidP="00C2625E">
            <w:pPr>
              <w:spacing w:before="20" w:after="20"/>
              <w:rPr>
                <w:color w:val="000000" w:themeColor="text1"/>
                <w:sz w:val="20"/>
                <w:szCs w:val="20"/>
              </w:rPr>
            </w:pPr>
            <w:r w:rsidRPr="00A52AB8">
              <w:rPr>
                <w:b/>
                <w:sz w:val="20"/>
                <w:szCs w:val="20"/>
              </w:rPr>
              <w:tab/>
            </w:r>
            <w:r w:rsidR="004A199F" w:rsidRPr="00A52AB8">
              <w:rPr>
                <w:b/>
                <w:sz w:val="20"/>
                <w:szCs w:val="20"/>
              </w:rPr>
              <w:t>ath_id</w:t>
            </w:r>
          </w:p>
        </w:tc>
        <w:tc>
          <w:tcPr>
            <w:tcW w:w="1253" w:type="dxa"/>
          </w:tcPr>
          <w:p w14:paraId="47387523" w14:textId="77777777" w:rsidR="00660A7C" w:rsidRPr="00A52AB8" w:rsidRDefault="00660A7C">
            <w:pPr>
              <w:spacing w:before="20" w:after="20"/>
              <w:jc w:val="center"/>
              <w:rPr>
                <w:color w:val="000000" w:themeColor="text1"/>
                <w:sz w:val="20"/>
                <w:szCs w:val="20"/>
              </w:rPr>
            </w:pPr>
            <w:r w:rsidRPr="00A52AB8">
              <w:rPr>
                <w:sz w:val="20"/>
                <w:szCs w:val="20"/>
                <w:lang w:eastAsia="ko-KR"/>
              </w:rPr>
              <w:t>u(v)</w:t>
            </w:r>
          </w:p>
        </w:tc>
      </w:tr>
      <w:tr w:rsidR="000A7617" w:rsidRPr="00A52AB8" w14:paraId="7449641C" w14:textId="77777777" w:rsidTr="00A252B5">
        <w:trPr>
          <w:jc w:val="center"/>
        </w:trPr>
        <w:tc>
          <w:tcPr>
            <w:tcW w:w="7921" w:type="dxa"/>
          </w:tcPr>
          <w:p w14:paraId="06585E7C" w14:textId="45BF752F" w:rsidR="000A7617" w:rsidRPr="00A52AB8" w:rsidRDefault="000A7617">
            <w:pPr>
              <w:spacing w:before="20" w:after="20"/>
              <w:rPr>
                <w:b/>
                <w:sz w:val="20"/>
                <w:szCs w:val="20"/>
              </w:rPr>
            </w:pPr>
            <w:r w:rsidRPr="00A52AB8">
              <w:rPr>
                <w:b/>
                <w:sz w:val="20"/>
                <w:szCs w:val="20"/>
              </w:rPr>
              <w:tab/>
            </w:r>
            <w:r w:rsidR="00632FA7" w:rsidRPr="00A52AB8">
              <w:rPr>
                <w:color w:val="000000"/>
                <w:sz w:val="20"/>
                <w:szCs w:val="20"/>
              </w:rPr>
              <w:t>tileID</w:t>
            </w:r>
            <w:r w:rsidR="00D47707" w:rsidRPr="00A52AB8">
              <w:rPr>
                <w:color w:val="000000"/>
                <w:sz w:val="20"/>
                <w:szCs w:val="20"/>
              </w:rPr>
              <w:t> = </w:t>
            </w:r>
            <w:r w:rsidRPr="00A52AB8">
              <w:rPr>
                <w:bCs/>
                <w:sz w:val="20"/>
                <w:szCs w:val="20"/>
              </w:rPr>
              <w:t>ath_id</w:t>
            </w:r>
          </w:p>
        </w:tc>
        <w:tc>
          <w:tcPr>
            <w:tcW w:w="1253" w:type="dxa"/>
          </w:tcPr>
          <w:p w14:paraId="072D6A08" w14:textId="77777777" w:rsidR="000A7617" w:rsidRPr="00A52AB8" w:rsidRDefault="000A7617">
            <w:pPr>
              <w:spacing w:before="20" w:after="20"/>
              <w:jc w:val="center"/>
              <w:rPr>
                <w:sz w:val="20"/>
                <w:szCs w:val="20"/>
              </w:rPr>
            </w:pPr>
          </w:p>
        </w:tc>
      </w:tr>
      <w:tr w:rsidR="00660A7C" w:rsidRPr="00A52AB8" w14:paraId="59F3D9D3" w14:textId="77777777" w:rsidTr="00A252B5">
        <w:trPr>
          <w:jc w:val="center"/>
        </w:trPr>
        <w:tc>
          <w:tcPr>
            <w:tcW w:w="7921" w:type="dxa"/>
          </w:tcPr>
          <w:p w14:paraId="3E9270A5" w14:textId="77777777" w:rsidR="00660A7C" w:rsidRPr="00A52AB8" w:rsidRDefault="00660A7C">
            <w:pPr>
              <w:spacing w:before="20" w:after="20"/>
              <w:rPr>
                <w:b/>
                <w:sz w:val="20"/>
                <w:szCs w:val="20"/>
              </w:rPr>
            </w:pPr>
            <w:r w:rsidRPr="00A52AB8">
              <w:rPr>
                <w:b/>
                <w:sz w:val="20"/>
                <w:szCs w:val="20"/>
              </w:rPr>
              <w:tab/>
            </w:r>
            <w:r w:rsidR="00A62CD5" w:rsidRPr="00A52AB8">
              <w:rPr>
                <w:b/>
                <w:sz w:val="20"/>
                <w:szCs w:val="20"/>
              </w:rPr>
              <w:t>ath_</w:t>
            </w:r>
            <w:r w:rsidRPr="00A52AB8">
              <w:rPr>
                <w:b/>
                <w:bCs/>
                <w:sz w:val="20"/>
                <w:szCs w:val="20"/>
              </w:rPr>
              <w:t>type</w:t>
            </w:r>
          </w:p>
        </w:tc>
        <w:tc>
          <w:tcPr>
            <w:tcW w:w="1253" w:type="dxa"/>
          </w:tcPr>
          <w:p w14:paraId="12F84821" w14:textId="77777777" w:rsidR="00660A7C" w:rsidRPr="00A52AB8" w:rsidRDefault="00660A7C">
            <w:pPr>
              <w:spacing w:before="20" w:after="20"/>
              <w:jc w:val="center"/>
              <w:rPr>
                <w:sz w:val="20"/>
                <w:szCs w:val="20"/>
                <w:lang w:eastAsia="ko-KR"/>
              </w:rPr>
            </w:pPr>
            <w:r w:rsidRPr="00A52AB8">
              <w:rPr>
                <w:sz w:val="20"/>
                <w:szCs w:val="20"/>
              </w:rPr>
              <w:t>ue(v)</w:t>
            </w:r>
          </w:p>
        </w:tc>
      </w:tr>
      <w:tr w:rsidR="008B4166" w:rsidRPr="00A52AB8" w14:paraId="1DB9E888" w14:textId="77777777" w:rsidTr="00A252B5">
        <w:trPr>
          <w:jc w:val="center"/>
        </w:trPr>
        <w:tc>
          <w:tcPr>
            <w:tcW w:w="7921" w:type="dxa"/>
          </w:tcPr>
          <w:p w14:paraId="7AF86A8F" w14:textId="77777777" w:rsidR="008B4166" w:rsidRPr="00A52AB8" w:rsidRDefault="008B4166" w:rsidP="008B4166">
            <w:pPr>
              <w:spacing w:before="20" w:after="20"/>
              <w:rPr>
                <w:color w:val="000000" w:themeColor="text1"/>
                <w:sz w:val="20"/>
                <w:szCs w:val="20"/>
              </w:rPr>
            </w:pPr>
            <w:r w:rsidRPr="00A52AB8">
              <w:rPr>
                <w:color w:val="000000" w:themeColor="text1"/>
                <w:sz w:val="20"/>
                <w:szCs w:val="20"/>
              </w:rPr>
              <w:tab/>
              <w:t>if( afps_output_flag_present_flag )</w:t>
            </w:r>
          </w:p>
        </w:tc>
        <w:tc>
          <w:tcPr>
            <w:tcW w:w="1253" w:type="dxa"/>
          </w:tcPr>
          <w:p w14:paraId="271CFA45" w14:textId="77777777" w:rsidR="008B4166" w:rsidRPr="00A52AB8" w:rsidRDefault="008B4166" w:rsidP="008B4166">
            <w:pPr>
              <w:spacing w:before="20" w:after="20"/>
              <w:jc w:val="center"/>
              <w:rPr>
                <w:sz w:val="20"/>
                <w:szCs w:val="20"/>
              </w:rPr>
            </w:pPr>
          </w:p>
        </w:tc>
      </w:tr>
      <w:tr w:rsidR="008B4166" w:rsidRPr="00A52AB8" w14:paraId="795E42C2" w14:textId="77777777" w:rsidTr="00A252B5">
        <w:trPr>
          <w:jc w:val="center"/>
        </w:trPr>
        <w:tc>
          <w:tcPr>
            <w:tcW w:w="7921" w:type="dxa"/>
          </w:tcPr>
          <w:p w14:paraId="001A7D7B" w14:textId="77777777" w:rsidR="008B4166" w:rsidRPr="00A52AB8" w:rsidRDefault="008B4166" w:rsidP="008B4166">
            <w:pPr>
              <w:spacing w:before="20" w:after="20"/>
              <w:rPr>
                <w:color w:val="000000" w:themeColor="text1"/>
                <w:sz w:val="20"/>
                <w:szCs w:val="20"/>
              </w:rPr>
            </w:pPr>
            <w:r w:rsidRPr="00A52AB8">
              <w:rPr>
                <w:color w:val="000000" w:themeColor="text1"/>
                <w:sz w:val="20"/>
                <w:szCs w:val="20"/>
              </w:rPr>
              <w:tab/>
            </w:r>
            <w:r w:rsidRPr="00A52AB8">
              <w:rPr>
                <w:color w:val="000000" w:themeColor="text1"/>
                <w:sz w:val="20"/>
                <w:szCs w:val="20"/>
              </w:rPr>
              <w:tab/>
            </w:r>
            <w:r w:rsidR="00A62CD5" w:rsidRPr="00A52AB8">
              <w:rPr>
                <w:b/>
                <w:color w:val="000000" w:themeColor="text1"/>
                <w:sz w:val="20"/>
                <w:szCs w:val="20"/>
              </w:rPr>
              <w:t>ath_</w:t>
            </w:r>
            <w:r w:rsidRPr="00A52AB8">
              <w:rPr>
                <w:b/>
                <w:color w:val="000000" w:themeColor="text1"/>
                <w:sz w:val="20"/>
                <w:szCs w:val="20"/>
              </w:rPr>
              <w:t>atlas_output_flag</w:t>
            </w:r>
          </w:p>
        </w:tc>
        <w:tc>
          <w:tcPr>
            <w:tcW w:w="1253" w:type="dxa"/>
          </w:tcPr>
          <w:p w14:paraId="134C8385" w14:textId="77777777" w:rsidR="008B4166" w:rsidRPr="00A52AB8" w:rsidRDefault="008B4166" w:rsidP="008B4166">
            <w:pPr>
              <w:spacing w:before="20" w:after="20"/>
              <w:jc w:val="center"/>
              <w:rPr>
                <w:sz w:val="20"/>
                <w:szCs w:val="20"/>
              </w:rPr>
            </w:pPr>
            <w:r w:rsidRPr="00A52AB8">
              <w:rPr>
                <w:sz w:val="20"/>
                <w:szCs w:val="20"/>
              </w:rPr>
              <w:t>u(1)</w:t>
            </w:r>
          </w:p>
        </w:tc>
      </w:tr>
      <w:tr w:rsidR="00660A7C" w:rsidRPr="00A52AB8" w14:paraId="74982308" w14:textId="77777777" w:rsidTr="00A252B5">
        <w:trPr>
          <w:jc w:val="center"/>
        </w:trPr>
        <w:tc>
          <w:tcPr>
            <w:tcW w:w="7921" w:type="dxa"/>
          </w:tcPr>
          <w:p w14:paraId="3033F296" w14:textId="77777777" w:rsidR="00660A7C" w:rsidRPr="00A52AB8" w:rsidRDefault="00660A7C">
            <w:pPr>
              <w:spacing w:before="20" w:after="20"/>
              <w:rPr>
                <w:color w:val="000000" w:themeColor="text1"/>
                <w:sz w:val="20"/>
                <w:szCs w:val="20"/>
              </w:rPr>
            </w:pPr>
            <w:r w:rsidRPr="00A52AB8">
              <w:rPr>
                <w:sz w:val="20"/>
                <w:szCs w:val="20"/>
              </w:rPr>
              <w:tab/>
            </w:r>
            <w:r w:rsidR="00A62CD5" w:rsidRPr="00A52AB8">
              <w:rPr>
                <w:b/>
                <w:sz w:val="20"/>
                <w:szCs w:val="20"/>
              </w:rPr>
              <w:t>ath_</w:t>
            </w:r>
            <w:r w:rsidR="008D47CD" w:rsidRPr="00A52AB8">
              <w:rPr>
                <w:b/>
                <w:sz w:val="20"/>
                <w:szCs w:val="20"/>
              </w:rPr>
              <w:t>atlas</w:t>
            </w:r>
            <w:r w:rsidR="009B2B8B" w:rsidRPr="00A52AB8">
              <w:rPr>
                <w:b/>
                <w:sz w:val="20"/>
                <w:szCs w:val="20"/>
              </w:rPr>
              <w:t>_frm_order_cnt_lsb</w:t>
            </w:r>
          </w:p>
        </w:tc>
        <w:tc>
          <w:tcPr>
            <w:tcW w:w="1253" w:type="dxa"/>
          </w:tcPr>
          <w:p w14:paraId="53EE35F0" w14:textId="77777777" w:rsidR="00660A7C" w:rsidRPr="00A52AB8" w:rsidRDefault="00660A7C">
            <w:pPr>
              <w:spacing w:before="20" w:after="20"/>
              <w:jc w:val="center"/>
              <w:rPr>
                <w:color w:val="000000" w:themeColor="text1"/>
                <w:sz w:val="20"/>
                <w:szCs w:val="20"/>
              </w:rPr>
            </w:pPr>
            <w:r w:rsidRPr="00A52AB8">
              <w:rPr>
                <w:sz w:val="20"/>
                <w:szCs w:val="20"/>
              </w:rPr>
              <w:t>u(v)</w:t>
            </w:r>
          </w:p>
        </w:tc>
      </w:tr>
      <w:tr w:rsidR="00660A7C" w:rsidRPr="00A52AB8" w14:paraId="07AE0BA4" w14:textId="77777777" w:rsidTr="00A252B5">
        <w:trPr>
          <w:jc w:val="center"/>
        </w:trPr>
        <w:tc>
          <w:tcPr>
            <w:tcW w:w="7921" w:type="dxa"/>
          </w:tcPr>
          <w:p w14:paraId="0B84EADD" w14:textId="77777777" w:rsidR="00660A7C" w:rsidRPr="00A52AB8" w:rsidRDefault="00660A7C">
            <w:pPr>
              <w:spacing w:before="20" w:after="20"/>
              <w:rPr>
                <w:sz w:val="20"/>
                <w:szCs w:val="20"/>
                <w:lang w:eastAsia="ko-KR"/>
              </w:rPr>
            </w:pPr>
            <w:r w:rsidRPr="00A52AB8">
              <w:rPr>
                <w:sz w:val="20"/>
                <w:szCs w:val="20"/>
                <w:lang w:eastAsia="ko-KR"/>
              </w:rPr>
              <w:tab/>
              <w:t>if(</w:t>
            </w:r>
            <w:r w:rsidRPr="00A52AB8">
              <w:rPr>
                <w:sz w:val="20"/>
                <w:szCs w:val="20"/>
              </w:rPr>
              <w:t> </w:t>
            </w:r>
            <w:r w:rsidR="00EB723C" w:rsidRPr="00A52AB8">
              <w:rPr>
                <w:sz w:val="20"/>
                <w:szCs w:val="20"/>
              </w:rPr>
              <w:t>asps_</w:t>
            </w:r>
            <w:r w:rsidR="00116038" w:rsidRPr="00A52AB8">
              <w:rPr>
                <w:sz w:val="20"/>
                <w:szCs w:val="20"/>
              </w:rPr>
              <w:t>num_ref_</w:t>
            </w:r>
            <w:r w:rsidR="00DD23CD" w:rsidRPr="00A52AB8">
              <w:rPr>
                <w:sz w:val="20"/>
                <w:szCs w:val="20"/>
              </w:rPr>
              <w:t>atlas_frame</w:t>
            </w:r>
            <w:r w:rsidR="00116038" w:rsidRPr="00A52AB8">
              <w:rPr>
                <w:sz w:val="20"/>
                <w:szCs w:val="20"/>
              </w:rPr>
              <w:t>_lists_in_</w:t>
            </w:r>
            <w:r w:rsidR="00FB7E1A" w:rsidRPr="00A52AB8">
              <w:rPr>
                <w:sz w:val="20"/>
                <w:szCs w:val="20"/>
              </w:rPr>
              <w:t>asps</w:t>
            </w:r>
            <w:r w:rsidR="00E55133" w:rsidRPr="00A52AB8">
              <w:rPr>
                <w:sz w:val="20"/>
                <w:szCs w:val="20"/>
                <w:lang w:eastAsia="ko-KR"/>
              </w:rPr>
              <w:t> </w:t>
            </w:r>
            <w:r w:rsidRPr="00A52AB8">
              <w:rPr>
                <w:sz w:val="20"/>
                <w:szCs w:val="20"/>
                <w:lang w:eastAsia="ko-KR"/>
              </w:rPr>
              <w:t>&gt;</w:t>
            </w:r>
            <w:r w:rsidR="00E55133" w:rsidRPr="00A52AB8">
              <w:rPr>
                <w:sz w:val="20"/>
                <w:szCs w:val="20"/>
                <w:lang w:eastAsia="ko-KR"/>
              </w:rPr>
              <w:t> </w:t>
            </w:r>
            <w:r w:rsidRPr="00A52AB8">
              <w:rPr>
                <w:sz w:val="20"/>
                <w:szCs w:val="20"/>
                <w:lang w:eastAsia="ko-KR"/>
              </w:rPr>
              <w:t>0</w:t>
            </w:r>
            <w:r w:rsidR="00E55133" w:rsidRPr="00A52AB8">
              <w:rPr>
                <w:sz w:val="20"/>
                <w:szCs w:val="20"/>
                <w:lang w:eastAsia="ko-KR"/>
              </w:rPr>
              <w:t> </w:t>
            </w:r>
            <w:r w:rsidRPr="00A52AB8">
              <w:rPr>
                <w:sz w:val="20"/>
                <w:szCs w:val="20"/>
                <w:lang w:eastAsia="ko-KR"/>
              </w:rPr>
              <w:t>)</w:t>
            </w:r>
          </w:p>
        </w:tc>
        <w:tc>
          <w:tcPr>
            <w:tcW w:w="1253" w:type="dxa"/>
          </w:tcPr>
          <w:p w14:paraId="0532C4A1" w14:textId="77777777" w:rsidR="00660A7C" w:rsidRPr="00A52AB8" w:rsidRDefault="00660A7C">
            <w:pPr>
              <w:spacing w:before="20" w:after="20"/>
              <w:jc w:val="center"/>
              <w:rPr>
                <w:color w:val="000000" w:themeColor="text1"/>
                <w:sz w:val="20"/>
                <w:szCs w:val="20"/>
              </w:rPr>
            </w:pPr>
          </w:p>
        </w:tc>
      </w:tr>
      <w:tr w:rsidR="00660A7C" w:rsidRPr="00A52AB8" w14:paraId="38FCB55C" w14:textId="77777777" w:rsidTr="00A252B5">
        <w:trPr>
          <w:jc w:val="center"/>
        </w:trPr>
        <w:tc>
          <w:tcPr>
            <w:tcW w:w="7921" w:type="dxa"/>
          </w:tcPr>
          <w:p w14:paraId="3B013A11" w14:textId="77777777" w:rsidR="00660A7C" w:rsidRPr="00A52AB8" w:rsidRDefault="00660A7C">
            <w:pPr>
              <w:spacing w:before="20" w:after="20"/>
              <w:rPr>
                <w:sz w:val="20"/>
                <w:szCs w:val="20"/>
                <w:lang w:eastAsia="ko-KR"/>
              </w:rPr>
            </w:pPr>
            <w:r w:rsidRPr="00A52AB8">
              <w:rPr>
                <w:sz w:val="20"/>
                <w:szCs w:val="20"/>
                <w:lang w:eastAsia="ko-KR"/>
              </w:rPr>
              <w:tab/>
            </w:r>
            <w:r w:rsidRPr="00A52AB8">
              <w:rPr>
                <w:sz w:val="20"/>
                <w:szCs w:val="20"/>
                <w:lang w:eastAsia="ko-KR"/>
              </w:rPr>
              <w:tab/>
            </w:r>
            <w:r w:rsidR="00A62CD5" w:rsidRPr="00A52AB8">
              <w:rPr>
                <w:b/>
                <w:sz w:val="20"/>
                <w:szCs w:val="20"/>
                <w:lang w:eastAsia="ko-KR"/>
              </w:rPr>
              <w:t>ath_</w:t>
            </w:r>
            <w:r w:rsidRPr="00A52AB8">
              <w:rPr>
                <w:b/>
                <w:sz w:val="20"/>
                <w:szCs w:val="20"/>
                <w:lang w:eastAsia="ko-KR"/>
              </w:rPr>
              <w:t>ref_</w:t>
            </w:r>
            <w:r w:rsidR="00DD23CD" w:rsidRPr="00A52AB8">
              <w:rPr>
                <w:b/>
                <w:sz w:val="20"/>
                <w:szCs w:val="20"/>
                <w:lang w:eastAsia="ko-KR"/>
              </w:rPr>
              <w:t>atlas_frame</w:t>
            </w:r>
            <w:r w:rsidRPr="00A52AB8">
              <w:rPr>
                <w:b/>
                <w:sz w:val="20"/>
                <w:szCs w:val="20"/>
                <w:lang w:eastAsia="ko-KR"/>
              </w:rPr>
              <w:t>_list_</w:t>
            </w:r>
            <w:r w:rsidR="00181DA5" w:rsidRPr="00A52AB8">
              <w:rPr>
                <w:b/>
                <w:sz w:val="20"/>
                <w:szCs w:val="20"/>
                <w:lang w:eastAsia="ko-KR"/>
              </w:rPr>
              <w:t>a</w:t>
            </w:r>
            <w:r w:rsidRPr="00A52AB8">
              <w:rPr>
                <w:b/>
                <w:sz w:val="20"/>
                <w:szCs w:val="20"/>
                <w:lang w:eastAsia="ko-KR"/>
              </w:rPr>
              <w:t>sps_flag</w:t>
            </w:r>
          </w:p>
        </w:tc>
        <w:tc>
          <w:tcPr>
            <w:tcW w:w="1253" w:type="dxa"/>
          </w:tcPr>
          <w:p w14:paraId="391D6D73" w14:textId="77777777" w:rsidR="00660A7C" w:rsidRPr="00A52AB8" w:rsidRDefault="00660A7C">
            <w:pPr>
              <w:spacing w:before="20" w:after="20"/>
              <w:jc w:val="center"/>
              <w:rPr>
                <w:color w:val="000000" w:themeColor="text1"/>
                <w:sz w:val="20"/>
                <w:szCs w:val="20"/>
              </w:rPr>
            </w:pPr>
            <w:r w:rsidRPr="00A52AB8">
              <w:rPr>
                <w:sz w:val="20"/>
                <w:szCs w:val="20"/>
              </w:rPr>
              <w:t>u(1)</w:t>
            </w:r>
          </w:p>
        </w:tc>
      </w:tr>
      <w:tr w:rsidR="000D2DA9" w:rsidRPr="00A52AB8" w14:paraId="589646EF" w14:textId="77777777" w:rsidTr="00A252B5">
        <w:trPr>
          <w:jc w:val="center"/>
        </w:trPr>
        <w:tc>
          <w:tcPr>
            <w:tcW w:w="7921" w:type="dxa"/>
          </w:tcPr>
          <w:p w14:paraId="51C6696E" w14:textId="4AC50CE6" w:rsidR="000D2DA9" w:rsidRPr="00A52AB8" w:rsidRDefault="000D2DA9">
            <w:pPr>
              <w:spacing w:before="20" w:after="20"/>
              <w:rPr>
                <w:sz w:val="20"/>
                <w:szCs w:val="20"/>
                <w:lang w:eastAsia="ko-KR"/>
              </w:rPr>
            </w:pPr>
            <w:r w:rsidRPr="00A52AB8">
              <w:rPr>
                <w:sz w:val="20"/>
                <w:szCs w:val="20"/>
                <w:lang w:eastAsia="ko-KR"/>
              </w:rPr>
              <w:tab/>
              <w:t>if( </w:t>
            </w:r>
            <w:r w:rsidR="00A62CD5" w:rsidRPr="00A52AB8">
              <w:rPr>
                <w:sz w:val="20"/>
                <w:szCs w:val="20"/>
                <w:lang w:eastAsia="ko-KR"/>
              </w:rPr>
              <w:t>ath_</w:t>
            </w:r>
            <w:r w:rsidRPr="00A52AB8">
              <w:rPr>
                <w:sz w:val="20"/>
                <w:szCs w:val="20"/>
                <w:lang w:eastAsia="ko-KR"/>
              </w:rPr>
              <w:t>ref_atlas_frame_list_</w:t>
            </w:r>
            <w:r w:rsidR="00181DA5" w:rsidRPr="00A52AB8">
              <w:rPr>
                <w:sz w:val="20"/>
                <w:szCs w:val="20"/>
                <w:lang w:eastAsia="ko-KR"/>
              </w:rPr>
              <w:t>a</w:t>
            </w:r>
            <w:r w:rsidRPr="00A52AB8">
              <w:rPr>
                <w:sz w:val="20"/>
                <w:szCs w:val="20"/>
                <w:lang w:eastAsia="ko-KR"/>
              </w:rPr>
              <w:t>sps_flag</w:t>
            </w:r>
            <w:r w:rsidR="008768E9" w:rsidRPr="00A52AB8">
              <w:rPr>
                <w:sz w:val="20"/>
                <w:szCs w:val="20"/>
                <w:lang w:eastAsia="ko-KR"/>
              </w:rPr>
              <w:t> </w:t>
            </w:r>
            <w:r w:rsidR="00726AAE" w:rsidRPr="00A52AB8">
              <w:rPr>
                <w:sz w:val="20"/>
                <w:szCs w:val="20"/>
                <w:lang w:eastAsia="ko-KR"/>
              </w:rPr>
              <w:t>==</w:t>
            </w:r>
            <w:r w:rsidR="00D47707" w:rsidRPr="00A52AB8">
              <w:rPr>
                <w:sz w:val="20"/>
                <w:szCs w:val="20"/>
                <w:lang w:eastAsia="ko-KR"/>
              </w:rPr>
              <w:t> </w:t>
            </w:r>
            <w:r w:rsidRPr="00A52AB8">
              <w:rPr>
                <w:sz w:val="20"/>
                <w:szCs w:val="20"/>
                <w:lang w:eastAsia="ko-KR"/>
              </w:rPr>
              <w:t>0</w:t>
            </w:r>
            <w:r w:rsidR="00354FD0" w:rsidRPr="00A52AB8">
              <w:rPr>
                <w:sz w:val="20"/>
                <w:szCs w:val="20"/>
                <w:lang w:eastAsia="ko-KR"/>
              </w:rPr>
              <w:t> </w:t>
            </w:r>
            <w:r w:rsidRPr="00A52AB8">
              <w:rPr>
                <w:sz w:val="20"/>
                <w:szCs w:val="20"/>
                <w:lang w:eastAsia="ko-KR"/>
              </w:rPr>
              <w:t>)</w:t>
            </w:r>
          </w:p>
        </w:tc>
        <w:tc>
          <w:tcPr>
            <w:tcW w:w="1253" w:type="dxa"/>
          </w:tcPr>
          <w:p w14:paraId="43C78717" w14:textId="77777777" w:rsidR="000D2DA9" w:rsidRPr="00A52AB8" w:rsidRDefault="000D2DA9">
            <w:pPr>
              <w:spacing w:before="20" w:after="20"/>
              <w:jc w:val="center"/>
              <w:rPr>
                <w:color w:val="000000" w:themeColor="text1"/>
                <w:sz w:val="20"/>
                <w:szCs w:val="20"/>
              </w:rPr>
            </w:pPr>
          </w:p>
        </w:tc>
      </w:tr>
      <w:tr w:rsidR="000D2DA9" w:rsidRPr="00A52AB8" w14:paraId="6FC20393" w14:textId="77777777" w:rsidTr="00A252B5">
        <w:trPr>
          <w:jc w:val="center"/>
        </w:trPr>
        <w:tc>
          <w:tcPr>
            <w:tcW w:w="7921" w:type="dxa"/>
          </w:tcPr>
          <w:p w14:paraId="182C26E7" w14:textId="77777777" w:rsidR="000D2DA9" w:rsidRPr="00A52AB8" w:rsidRDefault="000D2DA9">
            <w:pPr>
              <w:spacing w:before="20" w:after="20"/>
              <w:rPr>
                <w:sz w:val="20"/>
                <w:szCs w:val="20"/>
                <w:lang w:eastAsia="ko-KR"/>
              </w:rPr>
            </w:pPr>
            <w:r w:rsidRPr="00A52AB8">
              <w:rPr>
                <w:sz w:val="20"/>
                <w:szCs w:val="20"/>
                <w:lang w:eastAsia="ko-KR"/>
              </w:rPr>
              <w:tab/>
            </w:r>
            <w:r w:rsidRPr="00A52AB8">
              <w:rPr>
                <w:sz w:val="20"/>
                <w:szCs w:val="20"/>
                <w:lang w:eastAsia="ko-KR"/>
              </w:rPr>
              <w:tab/>
              <w:t>ref_list_struct( asps_num_ref_atlas_frame_lists_in_asps</w:t>
            </w:r>
            <w:r w:rsidRPr="00A52AB8">
              <w:rPr>
                <w:bCs/>
                <w:sz w:val="20"/>
                <w:szCs w:val="20"/>
              </w:rPr>
              <w:t> </w:t>
            </w:r>
            <w:r w:rsidRPr="00A52AB8">
              <w:rPr>
                <w:sz w:val="20"/>
                <w:szCs w:val="20"/>
                <w:lang w:eastAsia="ko-KR"/>
              </w:rPr>
              <w:t>)</w:t>
            </w:r>
          </w:p>
        </w:tc>
        <w:tc>
          <w:tcPr>
            <w:tcW w:w="1253" w:type="dxa"/>
          </w:tcPr>
          <w:p w14:paraId="70DD2ADB" w14:textId="77777777" w:rsidR="000D2DA9" w:rsidRPr="00A52AB8" w:rsidRDefault="000D2DA9">
            <w:pPr>
              <w:spacing w:before="20" w:after="20"/>
              <w:jc w:val="center"/>
              <w:rPr>
                <w:color w:val="000000" w:themeColor="text1"/>
                <w:sz w:val="20"/>
                <w:szCs w:val="20"/>
              </w:rPr>
            </w:pPr>
          </w:p>
        </w:tc>
      </w:tr>
      <w:tr w:rsidR="000D2DA9" w:rsidRPr="00A52AB8" w14:paraId="38069460" w14:textId="77777777" w:rsidTr="00A252B5">
        <w:trPr>
          <w:jc w:val="center"/>
        </w:trPr>
        <w:tc>
          <w:tcPr>
            <w:tcW w:w="7921" w:type="dxa"/>
          </w:tcPr>
          <w:p w14:paraId="01100D86" w14:textId="77777777" w:rsidR="000D2DA9" w:rsidRPr="00A52AB8" w:rsidRDefault="000D2DA9">
            <w:pPr>
              <w:spacing w:before="20" w:after="20"/>
              <w:rPr>
                <w:sz w:val="20"/>
                <w:szCs w:val="20"/>
                <w:lang w:eastAsia="ko-KR"/>
              </w:rPr>
            </w:pPr>
            <w:r w:rsidRPr="00A52AB8">
              <w:rPr>
                <w:sz w:val="20"/>
                <w:szCs w:val="20"/>
                <w:lang w:eastAsia="ko-KR"/>
              </w:rPr>
              <w:tab/>
              <w:t>else if( asps_num_ref_atlas_frame_lists_in_asps &gt; 1 )</w:t>
            </w:r>
          </w:p>
        </w:tc>
        <w:tc>
          <w:tcPr>
            <w:tcW w:w="1253" w:type="dxa"/>
          </w:tcPr>
          <w:p w14:paraId="5FE38F8A" w14:textId="77777777" w:rsidR="000D2DA9" w:rsidRPr="00A52AB8" w:rsidRDefault="000D2DA9">
            <w:pPr>
              <w:spacing w:before="20" w:after="20"/>
              <w:jc w:val="center"/>
              <w:rPr>
                <w:color w:val="000000" w:themeColor="text1"/>
                <w:sz w:val="20"/>
                <w:szCs w:val="20"/>
              </w:rPr>
            </w:pPr>
          </w:p>
        </w:tc>
      </w:tr>
      <w:tr w:rsidR="000D2DA9" w:rsidRPr="00A52AB8" w14:paraId="4BBEA88C" w14:textId="77777777" w:rsidTr="00A252B5">
        <w:trPr>
          <w:jc w:val="center"/>
        </w:trPr>
        <w:tc>
          <w:tcPr>
            <w:tcW w:w="7921" w:type="dxa"/>
          </w:tcPr>
          <w:p w14:paraId="6F76F3C0" w14:textId="77777777" w:rsidR="000D2DA9" w:rsidRPr="00A52AB8" w:rsidRDefault="000D2DA9">
            <w:pPr>
              <w:spacing w:before="20" w:after="20"/>
              <w:rPr>
                <w:sz w:val="20"/>
                <w:szCs w:val="20"/>
                <w:lang w:eastAsia="ko-KR"/>
              </w:rPr>
            </w:pPr>
            <w:r w:rsidRPr="00A52AB8">
              <w:rPr>
                <w:sz w:val="20"/>
                <w:szCs w:val="20"/>
                <w:lang w:eastAsia="ko-KR"/>
              </w:rPr>
              <w:tab/>
            </w:r>
            <w:r w:rsidRPr="00A52AB8">
              <w:rPr>
                <w:sz w:val="20"/>
                <w:szCs w:val="20"/>
                <w:lang w:eastAsia="ko-KR"/>
              </w:rPr>
              <w:tab/>
            </w:r>
            <w:r w:rsidR="00A62CD5" w:rsidRPr="00A52AB8">
              <w:rPr>
                <w:b/>
                <w:sz w:val="20"/>
                <w:szCs w:val="20"/>
                <w:lang w:eastAsia="ko-KR"/>
              </w:rPr>
              <w:t>ath_</w:t>
            </w:r>
            <w:r w:rsidRPr="00A52AB8">
              <w:rPr>
                <w:b/>
                <w:sz w:val="20"/>
                <w:szCs w:val="20"/>
                <w:lang w:eastAsia="ko-KR"/>
              </w:rPr>
              <w:t>ref_atlas_frame_list_idx</w:t>
            </w:r>
          </w:p>
        </w:tc>
        <w:tc>
          <w:tcPr>
            <w:tcW w:w="1253" w:type="dxa"/>
          </w:tcPr>
          <w:p w14:paraId="4171F487" w14:textId="77777777" w:rsidR="000D2DA9" w:rsidRPr="00A52AB8" w:rsidRDefault="000D2DA9">
            <w:pPr>
              <w:spacing w:before="20" w:after="20"/>
              <w:jc w:val="center"/>
              <w:rPr>
                <w:color w:val="000000" w:themeColor="text1"/>
                <w:sz w:val="20"/>
                <w:szCs w:val="20"/>
              </w:rPr>
            </w:pPr>
            <w:r w:rsidRPr="00A52AB8">
              <w:rPr>
                <w:color w:val="000000" w:themeColor="text1"/>
                <w:sz w:val="20"/>
                <w:szCs w:val="20"/>
              </w:rPr>
              <w:t>u(v)</w:t>
            </w:r>
          </w:p>
        </w:tc>
      </w:tr>
      <w:tr w:rsidR="000D2DA9" w:rsidRPr="00A52AB8" w14:paraId="7CA11BE2" w14:textId="77777777" w:rsidTr="00A252B5">
        <w:trPr>
          <w:jc w:val="center"/>
        </w:trPr>
        <w:tc>
          <w:tcPr>
            <w:tcW w:w="7921" w:type="dxa"/>
          </w:tcPr>
          <w:p w14:paraId="6C54E3F7" w14:textId="0DCC2FE3" w:rsidR="000D2DA9" w:rsidRPr="00A52AB8" w:rsidRDefault="000D2DA9">
            <w:pPr>
              <w:spacing w:before="20" w:after="20"/>
              <w:rPr>
                <w:color w:val="000000" w:themeColor="text1"/>
                <w:sz w:val="20"/>
                <w:szCs w:val="20"/>
              </w:rPr>
            </w:pPr>
            <w:r w:rsidRPr="00A52AB8">
              <w:rPr>
                <w:sz w:val="20"/>
                <w:szCs w:val="20"/>
                <w:lang w:eastAsia="ko-KR"/>
              </w:rPr>
              <w:tab/>
              <w:t>for( j</w:t>
            </w:r>
            <w:r w:rsidR="00D47707" w:rsidRPr="00A52AB8">
              <w:rPr>
                <w:sz w:val="20"/>
                <w:szCs w:val="20"/>
                <w:lang w:eastAsia="ko-KR"/>
              </w:rPr>
              <w:t> = </w:t>
            </w:r>
            <w:r w:rsidRPr="00A52AB8">
              <w:rPr>
                <w:sz w:val="20"/>
                <w:szCs w:val="20"/>
                <w:lang w:eastAsia="ko-KR"/>
              </w:rPr>
              <w:t>0; j &lt; NumLtrAtlasFrmEntries; j</w:t>
            </w:r>
            <w:r w:rsidR="00006CCF" w:rsidRPr="00A52AB8">
              <w:rPr>
                <w:sz w:val="20"/>
                <w:szCs w:val="20"/>
                <w:lang w:eastAsia="ko-KR"/>
              </w:rPr>
              <w:t>++ </w:t>
            </w:r>
            <w:r w:rsidR="008F1F82" w:rsidRPr="00A52AB8">
              <w:rPr>
                <w:sz w:val="20"/>
                <w:szCs w:val="20"/>
                <w:lang w:eastAsia="ko-KR"/>
              </w:rPr>
              <w:t>) {</w:t>
            </w:r>
          </w:p>
        </w:tc>
        <w:tc>
          <w:tcPr>
            <w:tcW w:w="1253" w:type="dxa"/>
          </w:tcPr>
          <w:p w14:paraId="0FBA6428" w14:textId="77777777" w:rsidR="000D2DA9" w:rsidRPr="00A52AB8" w:rsidRDefault="000D2DA9">
            <w:pPr>
              <w:spacing w:before="20" w:after="20"/>
              <w:jc w:val="center"/>
              <w:rPr>
                <w:color w:val="000000" w:themeColor="text1"/>
                <w:sz w:val="20"/>
                <w:szCs w:val="20"/>
              </w:rPr>
            </w:pPr>
          </w:p>
        </w:tc>
      </w:tr>
      <w:tr w:rsidR="000D2DA9" w:rsidRPr="00A52AB8" w14:paraId="60BB2496" w14:textId="77777777" w:rsidTr="00A252B5">
        <w:trPr>
          <w:jc w:val="center"/>
        </w:trPr>
        <w:tc>
          <w:tcPr>
            <w:tcW w:w="7921" w:type="dxa"/>
          </w:tcPr>
          <w:p w14:paraId="4BB7A6A3" w14:textId="77777777" w:rsidR="000D2DA9" w:rsidRPr="00A52AB8" w:rsidRDefault="000D2DA9">
            <w:pPr>
              <w:spacing w:before="20" w:after="20"/>
              <w:rPr>
                <w:color w:val="000000" w:themeColor="text1"/>
                <w:sz w:val="20"/>
                <w:szCs w:val="20"/>
              </w:rPr>
            </w:pPr>
            <w:r w:rsidRPr="00A52AB8">
              <w:rPr>
                <w:sz w:val="20"/>
                <w:szCs w:val="20"/>
                <w:lang w:eastAsia="ko-KR"/>
              </w:rPr>
              <w:tab/>
            </w:r>
            <w:r w:rsidRPr="00A52AB8">
              <w:rPr>
                <w:sz w:val="20"/>
                <w:szCs w:val="20"/>
                <w:lang w:eastAsia="ko-KR"/>
              </w:rPr>
              <w:tab/>
            </w:r>
            <w:r w:rsidR="00A62CD5" w:rsidRPr="00A52AB8">
              <w:rPr>
                <w:b/>
                <w:sz w:val="20"/>
                <w:szCs w:val="20"/>
                <w:lang w:eastAsia="ko-KR"/>
              </w:rPr>
              <w:t>ath_</w:t>
            </w:r>
            <w:r w:rsidRPr="00A52AB8">
              <w:rPr>
                <w:b/>
                <w:sz w:val="20"/>
                <w:szCs w:val="20"/>
                <w:lang w:eastAsia="ko-KR"/>
              </w:rPr>
              <w:t>additional_afoc_lsb_present_flag</w:t>
            </w:r>
            <w:r w:rsidR="001F4484" w:rsidRPr="00A52AB8">
              <w:rPr>
                <w:sz w:val="20"/>
                <w:szCs w:val="20"/>
                <w:lang w:eastAsia="ko-KR"/>
              </w:rPr>
              <w:t>[ j ]</w:t>
            </w:r>
          </w:p>
        </w:tc>
        <w:tc>
          <w:tcPr>
            <w:tcW w:w="1253" w:type="dxa"/>
          </w:tcPr>
          <w:p w14:paraId="5F8086AB" w14:textId="77777777" w:rsidR="000D2DA9" w:rsidRPr="00A52AB8" w:rsidRDefault="000D2DA9">
            <w:pPr>
              <w:spacing w:before="20" w:after="20"/>
              <w:jc w:val="center"/>
              <w:rPr>
                <w:color w:val="000000" w:themeColor="text1"/>
                <w:sz w:val="20"/>
                <w:szCs w:val="20"/>
              </w:rPr>
            </w:pPr>
            <w:r w:rsidRPr="00A52AB8">
              <w:rPr>
                <w:sz w:val="20"/>
                <w:szCs w:val="20"/>
              </w:rPr>
              <w:t>u(1)</w:t>
            </w:r>
          </w:p>
        </w:tc>
      </w:tr>
      <w:tr w:rsidR="000D2DA9" w:rsidRPr="00A52AB8" w14:paraId="54651A48" w14:textId="77777777" w:rsidTr="00A252B5">
        <w:trPr>
          <w:jc w:val="center"/>
        </w:trPr>
        <w:tc>
          <w:tcPr>
            <w:tcW w:w="7921" w:type="dxa"/>
          </w:tcPr>
          <w:p w14:paraId="06777FDD" w14:textId="77777777" w:rsidR="000D2DA9" w:rsidRPr="00A52AB8" w:rsidRDefault="000D2DA9">
            <w:pPr>
              <w:spacing w:before="20" w:after="20"/>
              <w:rPr>
                <w:color w:val="000000" w:themeColor="text1"/>
                <w:sz w:val="20"/>
                <w:szCs w:val="20"/>
              </w:rPr>
            </w:pPr>
            <w:r w:rsidRPr="00A52AB8">
              <w:rPr>
                <w:sz w:val="20"/>
                <w:szCs w:val="20"/>
                <w:lang w:eastAsia="ko-KR"/>
              </w:rPr>
              <w:lastRenderedPageBreak/>
              <w:tab/>
            </w:r>
            <w:r w:rsidRPr="00A52AB8">
              <w:rPr>
                <w:sz w:val="20"/>
                <w:szCs w:val="20"/>
                <w:lang w:eastAsia="ko-KR"/>
              </w:rPr>
              <w:tab/>
              <w:t>if( </w:t>
            </w:r>
            <w:r w:rsidR="00A62CD5" w:rsidRPr="00A52AB8">
              <w:rPr>
                <w:sz w:val="20"/>
                <w:szCs w:val="20"/>
                <w:lang w:eastAsia="ko-KR"/>
              </w:rPr>
              <w:t>ath_</w:t>
            </w:r>
            <w:r w:rsidRPr="00A52AB8">
              <w:rPr>
                <w:sz w:val="20"/>
                <w:szCs w:val="20"/>
                <w:lang w:eastAsia="ko-KR"/>
              </w:rPr>
              <w:t>additional_afoc_lsb_present_flag</w:t>
            </w:r>
            <w:r w:rsidR="001F4484" w:rsidRPr="00A52AB8">
              <w:rPr>
                <w:sz w:val="20"/>
                <w:szCs w:val="20"/>
                <w:lang w:eastAsia="ko-KR"/>
              </w:rPr>
              <w:t>[ j ]</w:t>
            </w:r>
            <w:r w:rsidRPr="00A52AB8">
              <w:rPr>
                <w:sz w:val="20"/>
                <w:szCs w:val="20"/>
                <w:lang w:eastAsia="ko-KR"/>
              </w:rPr>
              <w:t> )</w:t>
            </w:r>
          </w:p>
        </w:tc>
        <w:tc>
          <w:tcPr>
            <w:tcW w:w="1253" w:type="dxa"/>
          </w:tcPr>
          <w:p w14:paraId="3170EDF2" w14:textId="77777777" w:rsidR="000D2DA9" w:rsidRPr="00A52AB8" w:rsidRDefault="000D2DA9">
            <w:pPr>
              <w:spacing w:before="20" w:after="20"/>
              <w:jc w:val="center"/>
              <w:rPr>
                <w:color w:val="000000" w:themeColor="text1"/>
                <w:sz w:val="20"/>
                <w:szCs w:val="20"/>
              </w:rPr>
            </w:pPr>
          </w:p>
        </w:tc>
      </w:tr>
      <w:tr w:rsidR="000D2DA9" w:rsidRPr="00A52AB8" w14:paraId="56BA0851" w14:textId="77777777" w:rsidTr="00A252B5">
        <w:trPr>
          <w:jc w:val="center"/>
        </w:trPr>
        <w:tc>
          <w:tcPr>
            <w:tcW w:w="7921" w:type="dxa"/>
          </w:tcPr>
          <w:p w14:paraId="45AE0CEE" w14:textId="77777777" w:rsidR="000D2DA9" w:rsidRPr="00A52AB8" w:rsidRDefault="000D2DA9">
            <w:pPr>
              <w:spacing w:before="20" w:after="20"/>
              <w:rPr>
                <w:color w:val="000000" w:themeColor="text1"/>
                <w:sz w:val="20"/>
                <w:szCs w:val="20"/>
              </w:rPr>
            </w:pPr>
            <w:r w:rsidRPr="00A52AB8">
              <w:rPr>
                <w:sz w:val="20"/>
                <w:szCs w:val="20"/>
                <w:lang w:eastAsia="ko-KR"/>
              </w:rPr>
              <w:tab/>
            </w:r>
            <w:r w:rsidRPr="00A52AB8">
              <w:rPr>
                <w:sz w:val="20"/>
                <w:szCs w:val="20"/>
                <w:lang w:eastAsia="ko-KR"/>
              </w:rPr>
              <w:tab/>
            </w:r>
            <w:r w:rsidRPr="00A52AB8">
              <w:rPr>
                <w:sz w:val="20"/>
                <w:szCs w:val="20"/>
                <w:lang w:eastAsia="ko-KR"/>
              </w:rPr>
              <w:tab/>
            </w:r>
            <w:r w:rsidR="00A62CD5" w:rsidRPr="00A52AB8">
              <w:rPr>
                <w:b/>
                <w:sz w:val="20"/>
                <w:szCs w:val="20"/>
                <w:lang w:eastAsia="ko-KR"/>
              </w:rPr>
              <w:t>ath_</w:t>
            </w:r>
            <w:r w:rsidRPr="00A52AB8">
              <w:rPr>
                <w:b/>
                <w:sz w:val="20"/>
                <w:szCs w:val="20"/>
                <w:lang w:eastAsia="ko-KR"/>
              </w:rPr>
              <w:t>additional_afoc_lsb_val</w:t>
            </w:r>
            <w:r w:rsidR="001F4484" w:rsidRPr="00A52AB8">
              <w:rPr>
                <w:sz w:val="20"/>
                <w:szCs w:val="20"/>
                <w:lang w:eastAsia="ko-KR"/>
              </w:rPr>
              <w:t>[ j ]</w:t>
            </w:r>
          </w:p>
        </w:tc>
        <w:tc>
          <w:tcPr>
            <w:tcW w:w="1253" w:type="dxa"/>
          </w:tcPr>
          <w:p w14:paraId="4132D8F5" w14:textId="77777777" w:rsidR="000D2DA9" w:rsidRPr="00A52AB8" w:rsidRDefault="000D2DA9">
            <w:pPr>
              <w:spacing w:before="20" w:after="20"/>
              <w:jc w:val="center"/>
              <w:rPr>
                <w:color w:val="000000" w:themeColor="text1"/>
                <w:sz w:val="20"/>
                <w:szCs w:val="20"/>
              </w:rPr>
            </w:pPr>
            <w:r w:rsidRPr="00A52AB8">
              <w:rPr>
                <w:sz w:val="20"/>
                <w:szCs w:val="20"/>
              </w:rPr>
              <w:t>u(v)</w:t>
            </w:r>
          </w:p>
        </w:tc>
      </w:tr>
      <w:tr w:rsidR="000D2DA9" w:rsidRPr="00A52AB8" w14:paraId="31A9F667" w14:textId="77777777" w:rsidTr="00A252B5">
        <w:trPr>
          <w:jc w:val="center"/>
        </w:trPr>
        <w:tc>
          <w:tcPr>
            <w:tcW w:w="7921" w:type="dxa"/>
          </w:tcPr>
          <w:p w14:paraId="39DDF90C" w14:textId="77777777" w:rsidR="000D2DA9" w:rsidRPr="00A52AB8" w:rsidRDefault="000D2DA9">
            <w:pPr>
              <w:spacing w:before="20" w:after="20"/>
              <w:rPr>
                <w:color w:val="000000" w:themeColor="text1"/>
                <w:sz w:val="20"/>
                <w:szCs w:val="20"/>
              </w:rPr>
            </w:pPr>
            <w:r w:rsidRPr="00A52AB8">
              <w:rPr>
                <w:sz w:val="20"/>
                <w:szCs w:val="20"/>
                <w:lang w:eastAsia="ko-KR"/>
              </w:rPr>
              <w:tab/>
              <w:t>}</w:t>
            </w:r>
          </w:p>
        </w:tc>
        <w:tc>
          <w:tcPr>
            <w:tcW w:w="1253" w:type="dxa"/>
          </w:tcPr>
          <w:p w14:paraId="13A8113C" w14:textId="77777777" w:rsidR="000D2DA9" w:rsidRPr="00A52AB8" w:rsidRDefault="000D2DA9">
            <w:pPr>
              <w:spacing w:before="20" w:after="20"/>
              <w:jc w:val="center"/>
              <w:rPr>
                <w:color w:val="000000" w:themeColor="text1"/>
                <w:sz w:val="20"/>
                <w:szCs w:val="20"/>
              </w:rPr>
            </w:pPr>
          </w:p>
        </w:tc>
      </w:tr>
      <w:tr w:rsidR="000D2DA9" w:rsidRPr="00A52AB8" w14:paraId="25D42443" w14:textId="77777777" w:rsidTr="00A252B5">
        <w:trPr>
          <w:jc w:val="center"/>
        </w:trPr>
        <w:tc>
          <w:tcPr>
            <w:tcW w:w="7921" w:type="dxa"/>
          </w:tcPr>
          <w:p w14:paraId="605E8B75" w14:textId="1E3E4217" w:rsidR="000D2DA9" w:rsidRPr="00A52AB8" w:rsidRDefault="000D2DA9">
            <w:pPr>
              <w:spacing w:before="20" w:after="20"/>
              <w:rPr>
                <w:sz w:val="20"/>
                <w:szCs w:val="20"/>
                <w:lang w:eastAsia="ko-KR"/>
              </w:rPr>
            </w:pPr>
            <w:r w:rsidRPr="00A52AB8">
              <w:rPr>
                <w:sz w:val="20"/>
                <w:szCs w:val="20"/>
                <w:lang w:eastAsia="ko-KR"/>
              </w:rPr>
              <w:tab/>
              <w:t>if( </w:t>
            </w:r>
            <w:r w:rsidR="00A62CD5" w:rsidRPr="00A52AB8">
              <w:rPr>
                <w:sz w:val="20"/>
                <w:szCs w:val="20"/>
              </w:rPr>
              <w:t>ath_</w:t>
            </w:r>
            <w:r w:rsidRPr="00A52AB8">
              <w:rPr>
                <w:sz w:val="20"/>
                <w:szCs w:val="20"/>
              </w:rPr>
              <w:t>type</w:t>
            </w:r>
            <w:r w:rsidRPr="00A52AB8">
              <w:rPr>
                <w:color w:val="000000" w:themeColor="text1"/>
                <w:sz w:val="20"/>
                <w:szCs w:val="20"/>
              </w:rPr>
              <w:t> </w:t>
            </w:r>
            <w:r w:rsidR="00E963F3" w:rsidRPr="00A52AB8">
              <w:rPr>
                <w:color w:val="000000" w:themeColor="text1"/>
                <w:sz w:val="20"/>
                <w:szCs w:val="20"/>
              </w:rPr>
              <w:t>!=</w:t>
            </w:r>
            <w:r w:rsidR="00D47707" w:rsidRPr="00A52AB8">
              <w:rPr>
                <w:sz w:val="20"/>
                <w:szCs w:val="20"/>
              </w:rPr>
              <w:t> </w:t>
            </w:r>
            <w:r w:rsidRPr="00A52AB8">
              <w:rPr>
                <w:sz w:val="20"/>
                <w:szCs w:val="20"/>
              </w:rPr>
              <w:t>SKIP</w:t>
            </w:r>
            <w:r w:rsidR="00890F7A" w:rsidRPr="00A52AB8">
              <w:rPr>
                <w:sz w:val="20"/>
                <w:szCs w:val="20"/>
              </w:rPr>
              <w:t>_TILE</w:t>
            </w:r>
            <w:r w:rsidRPr="00A52AB8">
              <w:rPr>
                <w:sz w:val="20"/>
                <w:szCs w:val="20"/>
              </w:rPr>
              <w:t> </w:t>
            </w:r>
            <w:r w:rsidR="008F1F82" w:rsidRPr="00A52AB8">
              <w:rPr>
                <w:sz w:val="20"/>
                <w:szCs w:val="20"/>
              </w:rPr>
              <w:t>) {</w:t>
            </w:r>
            <w:r w:rsidRPr="00A52AB8">
              <w:rPr>
                <w:sz w:val="20"/>
                <w:szCs w:val="20"/>
              </w:rPr>
              <w:t> </w:t>
            </w:r>
          </w:p>
        </w:tc>
        <w:tc>
          <w:tcPr>
            <w:tcW w:w="1253" w:type="dxa"/>
          </w:tcPr>
          <w:p w14:paraId="2618F0A1" w14:textId="77777777" w:rsidR="000D2DA9" w:rsidRPr="00A52AB8" w:rsidRDefault="000D2DA9">
            <w:pPr>
              <w:spacing w:before="20" w:after="20"/>
              <w:jc w:val="center"/>
              <w:rPr>
                <w:color w:val="000000" w:themeColor="text1"/>
                <w:sz w:val="20"/>
                <w:szCs w:val="20"/>
              </w:rPr>
            </w:pPr>
          </w:p>
        </w:tc>
      </w:tr>
      <w:tr w:rsidR="000D2DA9" w:rsidRPr="00A52AB8" w14:paraId="1C7A4ED2" w14:textId="77777777" w:rsidTr="00A252B5">
        <w:trPr>
          <w:jc w:val="center"/>
        </w:trPr>
        <w:tc>
          <w:tcPr>
            <w:tcW w:w="7921" w:type="dxa"/>
          </w:tcPr>
          <w:p w14:paraId="567FD4A9" w14:textId="557A2719" w:rsidR="000D2DA9" w:rsidRPr="00A52AB8" w:rsidRDefault="000D2DA9">
            <w:pPr>
              <w:spacing w:before="20" w:after="20"/>
              <w:rPr>
                <w:sz w:val="20"/>
                <w:szCs w:val="20"/>
                <w:lang w:eastAsia="ko-KR"/>
              </w:rPr>
            </w:pPr>
            <w:r w:rsidRPr="00A52AB8">
              <w:rPr>
                <w:sz w:val="20"/>
                <w:szCs w:val="20"/>
                <w:lang w:eastAsia="ko-KR"/>
              </w:rPr>
              <w:tab/>
            </w:r>
            <w:r w:rsidRPr="00A52AB8">
              <w:rPr>
                <w:sz w:val="20"/>
                <w:szCs w:val="20"/>
                <w:lang w:eastAsia="ko-KR"/>
              </w:rPr>
              <w:tab/>
              <w:t>if( asps_normal_axis_limits_quantization_</w:t>
            </w:r>
            <w:r w:rsidR="00016786" w:rsidRPr="00A52AB8">
              <w:rPr>
                <w:sz w:val="20"/>
                <w:szCs w:val="20"/>
                <w:lang w:eastAsia="ko-KR"/>
              </w:rPr>
              <w:t>enabled_flag</w:t>
            </w:r>
            <w:r w:rsidRPr="00A52AB8">
              <w:rPr>
                <w:sz w:val="20"/>
                <w:szCs w:val="20"/>
                <w:lang w:eastAsia="ko-KR"/>
              </w:rPr>
              <w:t> </w:t>
            </w:r>
            <w:r w:rsidR="008F1F82" w:rsidRPr="00A52AB8">
              <w:rPr>
                <w:sz w:val="20"/>
                <w:szCs w:val="20"/>
                <w:lang w:eastAsia="ko-KR"/>
              </w:rPr>
              <w:t>) {</w:t>
            </w:r>
          </w:p>
        </w:tc>
        <w:tc>
          <w:tcPr>
            <w:tcW w:w="1253" w:type="dxa"/>
          </w:tcPr>
          <w:p w14:paraId="010E4BB0" w14:textId="77777777" w:rsidR="000D2DA9" w:rsidRPr="00A52AB8" w:rsidRDefault="000D2DA9">
            <w:pPr>
              <w:spacing w:before="20" w:after="20"/>
              <w:jc w:val="center"/>
              <w:rPr>
                <w:color w:val="000000" w:themeColor="text1"/>
                <w:sz w:val="20"/>
                <w:szCs w:val="20"/>
              </w:rPr>
            </w:pPr>
          </w:p>
        </w:tc>
      </w:tr>
      <w:tr w:rsidR="000D2DA9" w:rsidRPr="00A52AB8" w14:paraId="3DBBDA16" w14:textId="77777777" w:rsidTr="00A252B5">
        <w:trPr>
          <w:jc w:val="center"/>
        </w:trPr>
        <w:tc>
          <w:tcPr>
            <w:tcW w:w="7921" w:type="dxa"/>
          </w:tcPr>
          <w:p w14:paraId="1B2E8464" w14:textId="77777777" w:rsidR="000D2DA9" w:rsidRPr="00A52AB8" w:rsidRDefault="000D2DA9">
            <w:pPr>
              <w:spacing w:before="20" w:after="20"/>
              <w:rPr>
                <w:b/>
                <w:sz w:val="20"/>
                <w:szCs w:val="20"/>
                <w:lang w:eastAsia="ko-KR"/>
              </w:rPr>
            </w:pPr>
            <w:r w:rsidRPr="00A52AB8">
              <w:rPr>
                <w:sz w:val="20"/>
                <w:szCs w:val="20"/>
                <w:lang w:eastAsia="ko-KR"/>
              </w:rPr>
              <w:tab/>
            </w:r>
            <w:r w:rsidRPr="00A52AB8">
              <w:rPr>
                <w:sz w:val="20"/>
                <w:szCs w:val="20"/>
                <w:lang w:eastAsia="ko-KR"/>
              </w:rPr>
              <w:tab/>
            </w:r>
            <w:r w:rsidRPr="00A52AB8">
              <w:rPr>
                <w:sz w:val="20"/>
                <w:szCs w:val="20"/>
                <w:lang w:eastAsia="ko-KR"/>
              </w:rPr>
              <w:tab/>
            </w:r>
            <w:r w:rsidR="00766CC9" w:rsidRPr="00A52AB8">
              <w:rPr>
                <w:b/>
                <w:sz w:val="20"/>
                <w:szCs w:val="20"/>
                <w:lang w:eastAsia="ko-KR"/>
              </w:rPr>
              <w:t>ath_pos_min_d_quantizer</w:t>
            </w:r>
          </w:p>
        </w:tc>
        <w:tc>
          <w:tcPr>
            <w:tcW w:w="1253" w:type="dxa"/>
          </w:tcPr>
          <w:p w14:paraId="6299B4D9" w14:textId="77777777" w:rsidR="000D2DA9" w:rsidRPr="00A52AB8" w:rsidRDefault="000D2DA9">
            <w:pPr>
              <w:spacing w:before="20" w:after="20"/>
              <w:jc w:val="center"/>
              <w:rPr>
                <w:color w:val="000000" w:themeColor="text1"/>
                <w:sz w:val="20"/>
                <w:szCs w:val="20"/>
              </w:rPr>
            </w:pPr>
            <w:r w:rsidRPr="00A52AB8">
              <w:rPr>
                <w:color w:val="000000" w:themeColor="text1"/>
                <w:sz w:val="20"/>
                <w:szCs w:val="20"/>
              </w:rPr>
              <w:t>u(5)</w:t>
            </w:r>
          </w:p>
        </w:tc>
      </w:tr>
      <w:tr w:rsidR="000D2DA9" w:rsidRPr="00A52AB8" w14:paraId="4E371B61" w14:textId="77777777" w:rsidTr="00A252B5">
        <w:trPr>
          <w:jc w:val="center"/>
        </w:trPr>
        <w:tc>
          <w:tcPr>
            <w:tcW w:w="7921" w:type="dxa"/>
          </w:tcPr>
          <w:p w14:paraId="6AAA59B4" w14:textId="77777777" w:rsidR="000D2DA9" w:rsidRPr="00A52AB8" w:rsidRDefault="000D2DA9">
            <w:pPr>
              <w:spacing w:before="20" w:after="20"/>
              <w:rPr>
                <w:sz w:val="20"/>
                <w:szCs w:val="20"/>
                <w:lang w:eastAsia="ko-KR"/>
              </w:rPr>
            </w:pPr>
            <w:r w:rsidRPr="00A52AB8">
              <w:rPr>
                <w:sz w:val="20"/>
                <w:szCs w:val="20"/>
                <w:lang w:eastAsia="ko-KR"/>
              </w:rPr>
              <w:tab/>
            </w:r>
            <w:r w:rsidRPr="00A52AB8">
              <w:rPr>
                <w:sz w:val="20"/>
                <w:szCs w:val="20"/>
                <w:lang w:eastAsia="ko-KR"/>
              </w:rPr>
              <w:tab/>
            </w:r>
            <w:r w:rsidRPr="00A52AB8">
              <w:rPr>
                <w:sz w:val="20"/>
                <w:szCs w:val="20"/>
                <w:lang w:eastAsia="ko-KR"/>
              </w:rPr>
              <w:tab/>
              <w:t>if( asps_normal_axis_max_delta_value_</w:t>
            </w:r>
            <w:r w:rsidR="00016786" w:rsidRPr="00A52AB8">
              <w:rPr>
                <w:sz w:val="20"/>
                <w:szCs w:val="20"/>
                <w:lang w:eastAsia="ko-KR"/>
              </w:rPr>
              <w:t>enabled_flag</w:t>
            </w:r>
            <w:r w:rsidRPr="00A52AB8">
              <w:rPr>
                <w:sz w:val="20"/>
                <w:szCs w:val="20"/>
                <w:lang w:eastAsia="ko-KR"/>
              </w:rPr>
              <w:t> )</w:t>
            </w:r>
          </w:p>
        </w:tc>
        <w:tc>
          <w:tcPr>
            <w:tcW w:w="1253" w:type="dxa"/>
          </w:tcPr>
          <w:p w14:paraId="244034D2" w14:textId="77777777" w:rsidR="000D2DA9" w:rsidRPr="00A52AB8" w:rsidRDefault="000D2DA9">
            <w:pPr>
              <w:spacing w:before="20" w:after="20"/>
              <w:jc w:val="center"/>
              <w:rPr>
                <w:color w:val="000000" w:themeColor="text1"/>
                <w:sz w:val="20"/>
                <w:szCs w:val="20"/>
              </w:rPr>
            </w:pPr>
          </w:p>
        </w:tc>
      </w:tr>
      <w:tr w:rsidR="000D2DA9" w:rsidRPr="00A52AB8" w14:paraId="0F5239DC" w14:textId="77777777" w:rsidTr="00A252B5">
        <w:trPr>
          <w:jc w:val="center"/>
        </w:trPr>
        <w:tc>
          <w:tcPr>
            <w:tcW w:w="7921" w:type="dxa"/>
          </w:tcPr>
          <w:p w14:paraId="33222FD5" w14:textId="77777777" w:rsidR="000D2DA9" w:rsidRPr="00A52AB8" w:rsidRDefault="000D2DA9">
            <w:pPr>
              <w:spacing w:before="20" w:after="20"/>
              <w:rPr>
                <w:b/>
                <w:sz w:val="20"/>
                <w:szCs w:val="20"/>
                <w:lang w:eastAsia="ko-KR"/>
              </w:rPr>
            </w:pPr>
            <w:r w:rsidRPr="00A52AB8">
              <w:rPr>
                <w:sz w:val="20"/>
                <w:szCs w:val="20"/>
                <w:lang w:eastAsia="ko-KR"/>
              </w:rPr>
              <w:tab/>
            </w:r>
            <w:r w:rsidRPr="00A52AB8">
              <w:rPr>
                <w:sz w:val="20"/>
                <w:szCs w:val="20"/>
                <w:lang w:eastAsia="ko-KR"/>
              </w:rPr>
              <w:tab/>
            </w:r>
            <w:r w:rsidRPr="00A52AB8">
              <w:rPr>
                <w:sz w:val="20"/>
                <w:szCs w:val="20"/>
                <w:lang w:eastAsia="ko-KR"/>
              </w:rPr>
              <w:tab/>
            </w:r>
            <w:r w:rsidRPr="00A52AB8">
              <w:rPr>
                <w:sz w:val="20"/>
                <w:szCs w:val="20"/>
                <w:lang w:eastAsia="ko-KR"/>
              </w:rPr>
              <w:tab/>
            </w:r>
            <w:r w:rsidR="007356C4" w:rsidRPr="00A52AB8">
              <w:rPr>
                <w:b/>
                <w:sz w:val="20"/>
                <w:szCs w:val="20"/>
                <w:lang w:eastAsia="ko-KR"/>
              </w:rPr>
              <w:t>ath_pos_delta_max_d_quantizer</w:t>
            </w:r>
          </w:p>
        </w:tc>
        <w:tc>
          <w:tcPr>
            <w:tcW w:w="1253" w:type="dxa"/>
          </w:tcPr>
          <w:p w14:paraId="4191BED1" w14:textId="77777777" w:rsidR="000D2DA9" w:rsidRPr="00A52AB8" w:rsidRDefault="000D2DA9">
            <w:pPr>
              <w:spacing w:before="20" w:after="20"/>
              <w:jc w:val="center"/>
              <w:rPr>
                <w:color w:val="000000" w:themeColor="text1"/>
                <w:sz w:val="20"/>
                <w:szCs w:val="20"/>
              </w:rPr>
            </w:pPr>
            <w:r w:rsidRPr="00A52AB8">
              <w:rPr>
                <w:color w:val="000000" w:themeColor="text1"/>
                <w:sz w:val="20"/>
                <w:szCs w:val="20"/>
              </w:rPr>
              <w:t>u(5)</w:t>
            </w:r>
          </w:p>
        </w:tc>
      </w:tr>
      <w:tr w:rsidR="000D2DA9" w:rsidRPr="00A52AB8" w14:paraId="72672A53" w14:textId="77777777" w:rsidTr="00A252B5">
        <w:trPr>
          <w:jc w:val="center"/>
        </w:trPr>
        <w:tc>
          <w:tcPr>
            <w:tcW w:w="7921" w:type="dxa"/>
          </w:tcPr>
          <w:p w14:paraId="60826FE8" w14:textId="77777777" w:rsidR="000D2DA9" w:rsidRPr="00A52AB8" w:rsidRDefault="000D2DA9">
            <w:pPr>
              <w:spacing w:before="20" w:after="20"/>
              <w:rPr>
                <w:sz w:val="20"/>
                <w:szCs w:val="20"/>
                <w:lang w:eastAsia="ko-KR"/>
              </w:rPr>
            </w:pPr>
            <w:r w:rsidRPr="00A52AB8">
              <w:rPr>
                <w:sz w:val="20"/>
                <w:szCs w:val="20"/>
                <w:lang w:eastAsia="ko-KR"/>
              </w:rPr>
              <w:tab/>
            </w:r>
            <w:r w:rsidRPr="00A52AB8">
              <w:rPr>
                <w:sz w:val="20"/>
                <w:szCs w:val="20"/>
                <w:lang w:eastAsia="ko-KR"/>
              </w:rPr>
              <w:tab/>
              <w:t>}</w:t>
            </w:r>
          </w:p>
        </w:tc>
        <w:tc>
          <w:tcPr>
            <w:tcW w:w="1253" w:type="dxa"/>
          </w:tcPr>
          <w:p w14:paraId="070BFFF6" w14:textId="77777777" w:rsidR="000D2DA9" w:rsidRPr="00A52AB8" w:rsidRDefault="000D2DA9">
            <w:pPr>
              <w:spacing w:before="20" w:after="20"/>
              <w:jc w:val="center"/>
              <w:rPr>
                <w:color w:val="000000" w:themeColor="text1"/>
                <w:sz w:val="20"/>
                <w:szCs w:val="20"/>
              </w:rPr>
            </w:pPr>
          </w:p>
        </w:tc>
      </w:tr>
      <w:tr w:rsidR="005036E4" w:rsidRPr="00A52AB8" w14:paraId="6AE11503" w14:textId="77777777" w:rsidTr="00A252B5">
        <w:trPr>
          <w:jc w:val="center"/>
        </w:trPr>
        <w:tc>
          <w:tcPr>
            <w:tcW w:w="7921" w:type="dxa"/>
          </w:tcPr>
          <w:p w14:paraId="7ACFA790" w14:textId="4A3AD381" w:rsidR="005036E4" w:rsidRPr="00A52AB8" w:rsidRDefault="005036E4">
            <w:pPr>
              <w:spacing w:before="20" w:after="20"/>
              <w:rPr>
                <w:b/>
                <w:bCs/>
                <w:color w:val="000000" w:themeColor="text1"/>
                <w:sz w:val="20"/>
                <w:szCs w:val="20"/>
              </w:rPr>
            </w:pPr>
            <w:r w:rsidRPr="00A52AB8">
              <w:rPr>
                <w:sz w:val="20"/>
                <w:szCs w:val="20"/>
                <w:lang w:eastAsia="ko-KR"/>
              </w:rPr>
              <w:tab/>
            </w:r>
            <w:r w:rsidRPr="00A52AB8">
              <w:rPr>
                <w:sz w:val="20"/>
                <w:szCs w:val="20"/>
                <w:lang w:eastAsia="ko-KR"/>
              </w:rPr>
              <w:tab/>
              <w:t>if( asps_patch_size_quantizer_present_flag</w:t>
            </w:r>
            <w:r w:rsidRPr="00A52AB8">
              <w:rPr>
                <w:b/>
                <w:bCs/>
                <w:sz w:val="20"/>
                <w:szCs w:val="20"/>
                <w:lang w:eastAsia="ko-KR"/>
              </w:rPr>
              <w:t> </w:t>
            </w:r>
            <w:r w:rsidR="008F1F82" w:rsidRPr="00A52AB8">
              <w:rPr>
                <w:sz w:val="20"/>
                <w:szCs w:val="20"/>
                <w:lang w:eastAsia="ko-KR"/>
              </w:rPr>
              <w:t>) {</w:t>
            </w:r>
          </w:p>
        </w:tc>
        <w:tc>
          <w:tcPr>
            <w:tcW w:w="1253" w:type="dxa"/>
          </w:tcPr>
          <w:p w14:paraId="0B5C316F" w14:textId="77777777" w:rsidR="005036E4" w:rsidRPr="00A52AB8" w:rsidRDefault="005036E4">
            <w:pPr>
              <w:spacing w:before="20" w:after="20"/>
              <w:jc w:val="center"/>
              <w:rPr>
                <w:color w:val="000000" w:themeColor="text1"/>
                <w:sz w:val="20"/>
                <w:szCs w:val="20"/>
              </w:rPr>
            </w:pPr>
          </w:p>
        </w:tc>
      </w:tr>
      <w:tr w:rsidR="00E3145D" w:rsidRPr="00A52AB8" w14:paraId="3BE62C09" w14:textId="77777777" w:rsidTr="00A252B5">
        <w:trPr>
          <w:jc w:val="center"/>
        </w:trPr>
        <w:tc>
          <w:tcPr>
            <w:tcW w:w="7921" w:type="dxa"/>
          </w:tcPr>
          <w:p w14:paraId="57EFFBF0" w14:textId="77777777" w:rsidR="00E3145D" w:rsidRPr="00A52AB8" w:rsidRDefault="00E3145D">
            <w:pPr>
              <w:spacing w:before="20" w:after="20"/>
              <w:rPr>
                <w:b/>
                <w:bCs/>
                <w:color w:val="000000" w:themeColor="text1"/>
                <w:sz w:val="20"/>
                <w:szCs w:val="20"/>
              </w:rPr>
            </w:pPr>
            <w:r w:rsidRPr="00A52AB8">
              <w:rPr>
                <w:b/>
                <w:bCs/>
                <w:color w:val="000000" w:themeColor="text1"/>
                <w:sz w:val="20"/>
                <w:szCs w:val="20"/>
              </w:rPr>
              <w:tab/>
            </w:r>
            <w:r w:rsidRPr="00A52AB8">
              <w:rPr>
                <w:b/>
                <w:bCs/>
                <w:color w:val="000000" w:themeColor="text1"/>
                <w:sz w:val="20"/>
                <w:szCs w:val="20"/>
              </w:rPr>
              <w:tab/>
            </w:r>
            <w:r w:rsidR="005036E4" w:rsidRPr="00A52AB8">
              <w:rPr>
                <w:b/>
                <w:bCs/>
                <w:color w:val="000000" w:themeColor="text1"/>
                <w:sz w:val="20"/>
                <w:szCs w:val="20"/>
              </w:rPr>
              <w:tab/>
            </w:r>
            <w:r w:rsidR="00A62CD5" w:rsidRPr="00A52AB8">
              <w:rPr>
                <w:b/>
                <w:bCs/>
                <w:color w:val="000000" w:themeColor="text1"/>
                <w:sz w:val="20"/>
                <w:szCs w:val="20"/>
              </w:rPr>
              <w:t>ath_</w:t>
            </w:r>
            <w:r w:rsidR="007813A6" w:rsidRPr="00A52AB8">
              <w:rPr>
                <w:b/>
                <w:bCs/>
                <w:color w:val="000000" w:themeColor="text1"/>
                <w:sz w:val="20"/>
                <w:szCs w:val="20"/>
              </w:rPr>
              <w:t>patch_size_x_info_quantizer</w:t>
            </w:r>
          </w:p>
        </w:tc>
        <w:tc>
          <w:tcPr>
            <w:tcW w:w="1253" w:type="dxa"/>
          </w:tcPr>
          <w:p w14:paraId="2CA11D1A" w14:textId="77777777" w:rsidR="00E3145D" w:rsidRPr="00A52AB8" w:rsidRDefault="007813A6">
            <w:pPr>
              <w:spacing w:before="20" w:after="20"/>
              <w:jc w:val="center"/>
              <w:rPr>
                <w:color w:val="000000" w:themeColor="text1"/>
                <w:sz w:val="20"/>
                <w:szCs w:val="20"/>
              </w:rPr>
            </w:pPr>
            <w:r w:rsidRPr="00A52AB8">
              <w:rPr>
                <w:color w:val="000000" w:themeColor="text1"/>
                <w:sz w:val="20"/>
                <w:szCs w:val="20"/>
              </w:rPr>
              <w:t>u(3)</w:t>
            </w:r>
          </w:p>
        </w:tc>
      </w:tr>
      <w:tr w:rsidR="00E3145D" w:rsidRPr="00A52AB8" w14:paraId="0EEE9096" w14:textId="77777777" w:rsidTr="00A252B5">
        <w:trPr>
          <w:jc w:val="center"/>
        </w:trPr>
        <w:tc>
          <w:tcPr>
            <w:tcW w:w="7921" w:type="dxa"/>
          </w:tcPr>
          <w:p w14:paraId="08343AF3" w14:textId="77777777" w:rsidR="00E3145D" w:rsidRPr="00A52AB8" w:rsidRDefault="007813A6">
            <w:pPr>
              <w:spacing w:before="20" w:after="20"/>
              <w:rPr>
                <w:b/>
                <w:bCs/>
                <w:color w:val="000000" w:themeColor="text1"/>
                <w:sz w:val="20"/>
                <w:szCs w:val="20"/>
              </w:rPr>
            </w:pPr>
            <w:r w:rsidRPr="00A52AB8">
              <w:rPr>
                <w:b/>
                <w:bCs/>
                <w:color w:val="000000" w:themeColor="text1"/>
                <w:sz w:val="20"/>
                <w:szCs w:val="20"/>
              </w:rPr>
              <w:tab/>
            </w:r>
            <w:r w:rsidRPr="00A52AB8">
              <w:rPr>
                <w:b/>
                <w:bCs/>
                <w:color w:val="000000" w:themeColor="text1"/>
                <w:sz w:val="20"/>
                <w:szCs w:val="20"/>
              </w:rPr>
              <w:tab/>
            </w:r>
            <w:r w:rsidR="005036E4" w:rsidRPr="00A52AB8">
              <w:rPr>
                <w:b/>
                <w:bCs/>
                <w:color w:val="000000" w:themeColor="text1"/>
                <w:sz w:val="20"/>
                <w:szCs w:val="20"/>
              </w:rPr>
              <w:tab/>
            </w:r>
            <w:r w:rsidR="00A62CD5" w:rsidRPr="00A52AB8">
              <w:rPr>
                <w:b/>
                <w:bCs/>
                <w:color w:val="000000" w:themeColor="text1"/>
                <w:sz w:val="20"/>
                <w:szCs w:val="20"/>
              </w:rPr>
              <w:t>ath_</w:t>
            </w:r>
            <w:r w:rsidRPr="00A52AB8">
              <w:rPr>
                <w:b/>
                <w:bCs/>
                <w:color w:val="000000" w:themeColor="text1"/>
                <w:sz w:val="20"/>
                <w:szCs w:val="20"/>
              </w:rPr>
              <w:t>patch_size_y_info_quantizer</w:t>
            </w:r>
          </w:p>
        </w:tc>
        <w:tc>
          <w:tcPr>
            <w:tcW w:w="1253" w:type="dxa"/>
          </w:tcPr>
          <w:p w14:paraId="56C64269" w14:textId="77777777" w:rsidR="00E3145D" w:rsidRPr="00A52AB8" w:rsidRDefault="007813A6">
            <w:pPr>
              <w:spacing w:before="20" w:after="20"/>
              <w:jc w:val="center"/>
              <w:rPr>
                <w:color w:val="000000" w:themeColor="text1"/>
                <w:sz w:val="20"/>
                <w:szCs w:val="20"/>
              </w:rPr>
            </w:pPr>
            <w:r w:rsidRPr="00A52AB8">
              <w:rPr>
                <w:color w:val="000000" w:themeColor="text1"/>
                <w:sz w:val="20"/>
                <w:szCs w:val="20"/>
              </w:rPr>
              <w:t>u(3)</w:t>
            </w:r>
          </w:p>
        </w:tc>
      </w:tr>
      <w:tr w:rsidR="005036E4" w:rsidRPr="00A52AB8" w14:paraId="18696D39" w14:textId="77777777" w:rsidTr="00A252B5">
        <w:trPr>
          <w:jc w:val="center"/>
        </w:trPr>
        <w:tc>
          <w:tcPr>
            <w:tcW w:w="7921" w:type="dxa"/>
          </w:tcPr>
          <w:p w14:paraId="712D872E" w14:textId="77777777" w:rsidR="005036E4" w:rsidRPr="00A52AB8" w:rsidRDefault="005036E4">
            <w:pPr>
              <w:spacing w:before="20" w:after="20"/>
              <w:rPr>
                <w:color w:val="000000" w:themeColor="text1"/>
                <w:sz w:val="20"/>
                <w:szCs w:val="20"/>
              </w:rPr>
            </w:pPr>
            <w:r w:rsidRPr="00A52AB8">
              <w:rPr>
                <w:color w:val="000000" w:themeColor="text1"/>
                <w:sz w:val="20"/>
                <w:szCs w:val="20"/>
              </w:rPr>
              <w:tab/>
            </w:r>
            <w:r w:rsidRPr="00A52AB8">
              <w:rPr>
                <w:color w:val="000000" w:themeColor="text1"/>
                <w:sz w:val="20"/>
                <w:szCs w:val="20"/>
              </w:rPr>
              <w:tab/>
              <w:t>}</w:t>
            </w:r>
          </w:p>
        </w:tc>
        <w:tc>
          <w:tcPr>
            <w:tcW w:w="1253" w:type="dxa"/>
          </w:tcPr>
          <w:p w14:paraId="7AA7F4DB" w14:textId="77777777" w:rsidR="005036E4" w:rsidRPr="00A52AB8" w:rsidRDefault="005036E4">
            <w:pPr>
              <w:spacing w:before="20" w:after="20"/>
              <w:jc w:val="center"/>
              <w:rPr>
                <w:color w:val="000000" w:themeColor="text1"/>
                <w:sz w:val="20"/>
                <w:szCs w:val="20"/>
              </w:rPr>
            </w:pPr>
          </w:p>
        </w:tc>
      </w:tr>
      <w:tr w:rsidR="000D2DA9" w:rsidRPr="00A52AB8" w14:paraId="5E40932F" w14:textId="77777777" w:rsidTr="00A252B5">
        <w:trPr>
          <w:jc w:val="center"/>
        </w:trPr>
        <w:tc>
          <w:tcPr>
            <w:tcW w:w="7921" w:type="dxa"/>
          </w:tcPr>
          <w:p w14:paraId="1F8FDA55" w14:textId="77777777" w:rsidR="000D2DA9" w:rsidRPr="00A52AB8" w:rsidRDefault="000D2DA9">
            <w:pPr>
              <w:spacing w:before="20" w:after="20"/>
              <w:rPr>
                <w:sz w:val="20"/>
                <w:szCs w:val="20"/>
                <w:lang w:eastAsia="ko-KR"/>
              </w:rPr>
            </w:pPr>
            <w:r w:rsidRPr="00A52AB8">
              <w:rPr>
                <w:color w:val="000000" w:themeColor="text1"/>
                <w:sz w:val="20"/>
                <w:szCs w:val="20"/>
              </w:rPr>
              <w:tab/>
            </w:r>
            <w:r w:rsidRPr="00A52AB8">
              <w:rPr>
                <w:color w:val="000000" w:themeColor="text1"/>
                <w:sz w:val="20"/>
                <w:szCs w:val="20"/>
              </w:rPr>
              <w:tab/>
              <w:t>if( afps_raw_</w:t>
            </w:r>
            <w:r w:rsidR="00E30FA4" w:rsidRPr="00A52AB8">
              <w:rPr>
                <w:color w:val="000000" w:themeColor="text1"/>
                <w:sz w:val="20"/>
                <w:szCs w:val="20"/>
              </w:rPr>
              <w:t>3d_offset_</w:t>
            </w:r>
            <w:r w:rsidRPr="00A52AB8">
              <w:rPr>
                <w:color w:val="000000" w:themeColor="text1"/>
                <w:sz w:val="20"/>
                <w:szCs w:val="20"/>
              </w:rPr>
              <w:t>bit_count_explicit_mode_flag</w:t>
            </w:r>
            <w:r w:rsidR="00E23521" w:rsidRPr="00A52AB8">
              <w:rPr>
                <w:color w:val="000000" w:themeColor="text1"/>
                <w:sz w:val="20"/>
                <w:szCs w:val="20"/>
              </w:rPr>
              <w:t> </w:t>
            </w:r>
            <w:r w:rsidRPr="00A52AB8">
              <w:rPr>
                <w:color w:val="000000" w:themeColor="text1"/>
                <w:sz w:val="20"/>
                <w:szCs w:val="20"/>
              </w:rPr>
              <w:t>)</w:t>
            </w:r>
          </w:p>
        </w:tc>
        <w:tc>
          <w:tcPr>
            <w:tcW w:w="1253" w:type="dxa"/>
          </w:tcPr>
          <w:p w14:paraId="6CB7B250" w14:textId="77777777" w:rsidR="000D2DA9" w:rsidRPr="00A52AB8" w:rsidRDefault="000D2DA9">
            <w:pPr>
              <w:spacing w:before="20" w:after="20"/>
              <w:jc w:val="center"/>
              <w:rPr>
                <w:color w:val="000000" w:themeColor="text1"/>
                <w:sz w:val="20"/>
                <w:szCs w:val="20"/>
              </w:rPr>
            </w:pPr>
          </w:p>
        </w:tc>
      </w:tr>
      <w:tr w:rsidR="000D2DA9" w:rsidRPr="00A52AB8" w14:paraId="378C13A1" w14:textId="77777777" w:rsidTr="00A252B5">
        <w:trPr>
          <w:jc w:val="center"/>
        </w:trPr>
        <w:tc>
          <w:tcPr>
            <w:tcW w:w="7921" w:type="dxa"/>
          </w:tcPr>
          <w:p w14:paraId="6E5B501B" w14:textId="77777777" w:rsidR="000D2DA9" w:rsidRPr="00A52AB8" w:rsidRDefault="000D2DA9">
            <w:pPr>
              <w:spacing w:before="20" w:after="20"/>
              <w:rPr>
                <w:sz w:val="20"/>
                <w:szCs w:val="20"/>
                <w:lang w:eastAsia="ko-KR"/>
              </w:rPr>
            </w:pPr>
            <w:r w:rsidRPr="00A52AB8">
              <w:rPr>
                <w:color w:val="000000" w:themeColor="text1"/>
                <w:sz w:val="20"/>
                <w:szCs w:val="20"/>
              </w:rPr>
              <w:tab/>
            </w:r>
            <w:r w:rsidRPr="00A52AB8">
              <w:rPr>
                <w:color w:val="000000" w:themeColor="text1"/>
                <w:sz w:val="20"/>
                <w:szCs w:val="20"/>
              </w:rPr>
              <w:tab/>
            </w:r>
            <w:r w:rsidRPr="00A52AB8">
              <w:rPr>
                <w:color w:val="000000" w:themeColor="text1"/>
                <w:sz w:val="20"/>
                <w:szCs w:val="20"/>
              </w:rPr>
              <w:tab/>
            </w:r>
            <w:r w:rsidR="00A62CD5" w:rsidRPr="00A52AB8">
              <w:rPr>
                <w:b/>
                <w:color w:val="000000" w:themeColor="text1"/>
                <w:sz w:val="20"/>
                <w:szCs w:val="20"/>
              </w:rPr>
              <w:t>ath_</w:t>
            </w:r>
            <w:r w:rsidRPr="00A52AB8">
              <w:rPr>
                <w:b/>
                <w:color w:val="000000" w:themeColor="text1"/>
                <w:sz w:val="20"/>
                <w:szCs w:val="20"/>
              </w:rPr>
              <w:t>raw_</w:t>
            </w:r>
            <w:r w:rsidR="00E30FA4" w:rsidRPr="00A52AB8">
              <w:rPr>
                <w:b/>
                <w:color w:val="000000" w:themeColor="text1"/>
                <w:sz w:val="20"/>
                <w:szCs w:val="20"/>
              </w:rPr>
              <w:t>3d_offset_</w:t>
            </w:r>
            <w:r w:rsidRPr="00A52AB8">
              <w:rPr>
                <w:b/>
                <w:color w:val="000000" w:themeColor="text1"/>
                <w:sz w:val="20"/>
                <w:szCs w:val="20"/>
              </w:rPr>
              <w:t>axis_bit_count_minus1</w:t>
            </w:r>
          </w:p>
        </w:tc>
        <w:tc>
          <w:tcPr>
            <w:tcW w:w="1253" w:type="dxa"/>
          </w:tcPr>
          <w:p w14:paraId="401D1A70" w14:textId="77777777" w:rsidR="000D2DA9" w:rsidRPr="00A52AB8" w:rsidRDefault="000D2DA9">
            <w:pPr>
              <w:spacing w:before="20" w:after="20"/>
              <w:jc w:val="center"/>
              <w:rPr>
                <w:color w:val="000000" w:themeColor="text1"/>
                <w:sz w:val="20"/>
                <w:szCs w:val="20"/>
              </w:rPr>
            </w:pPr>
            <w:r w:rsidRPr="00A52AB8">
              <w:rPr>
                <w:color w:val="000000" w:themeColor="text1"/>
                <w:sz w:val="20"/>
                <w:szCs w:val="20"/>
              </w:rPr>
              <w:t>u(v)</w:t>
            </w:r>
          </w:p>
        </w:tc>
      </w:tr>
      <w:tr w:rsidR="000D2DA9" w:rsidRPr="00A52AB8" w14:paraId="73A457CD" w14:textId="77777777" w:rsidTr="00A252B5">
        <w:trPr>
          <w:jc w:val="center"/>
        </w:trPr>
        <w:tc>
          <w:tcPr>
            <w:tcW w:w="7921" w:type="dxa"/>
          </w:tcPr>
          <w:p w14:paraId="13D9D245" w14:textId="6BE89962" w:rsidR="000D2DA9" w:rsidRPr="00A52AB8" w:rsidRDefault="000D2DA9">
            <w:pPr>
              <w:spacing w:before="20" w:after="20"/>
              <w:rPr>
                <w:color w:val="000000" w:themeColor="text1"/>
                <w:sz w:val="20"/>
                <w:szCs w:val="20"/>
              </w:rPr>
            </w:pPr>
            <w:r w:rsidRPr="00A52AB8">
              <w:rPr>
                <w:sz w:val="20"/>
                <w:szCs w:val="20"/>
                <w:lang w:eastAsia="ko-KR"/>
              </w:rPr>
              <w:tab/>
            </w:r>
            <w:r w:rsidRPr="00A52AB8">
              <w:rPr>
                <w:sz w:val="20"/>
                <w:szCs w:val="20"/>
                <w:lang w:eastAsia="ko-KR"/>
              </w:rPr>
              <w:tab/>
            </w:r>
            <w:r w:rsidRPr="00A52AB8">
              <w:rPr>
                <w:sz w:val="20"/>
                <w:szCs w:val="20"/>
              </w:rPr>
              <w:t>if( </w:t>
            </w:r>
            <w:r w:rsidR="00A62CD5" w:rsidRPr="00A52AB8">
              <w:rPr>
                <w:sz w:val="20"/>
                <w:szCs w:val="20"/>
              </w:rPr>
              <w:t>ath_</w:t>
            </w:r>
            <w:r w:rsidRPr="00A52AB8">
              <w:rPr>
                <w:sz w:val="20"/>
                <w:szCs w:val="20"/>
              </w:rPr>
              <w:t>type</w:t>
            </w:r>
            <w:r w:rsidR="008768E9" w:rsidRPr="00A52AB8">
              <w:rPr>
                <w:color w:val="000000" w:themeColor="text1"/>
                <w:sz w:val="20"/>
                <w:szCs w:val="20"/>
              </w:rPr>
              <w:t> </w:t>
            </w:r>
            <w:r w:rsidR="00726AAE" w:rsidRPr="00A52AB8">
              <w:rPr>
                <w:color w:val="000000" w:themeColor="text1"/>
                <w:sz w:val="20"/>
                <w:szCs w:val="20"/>
              </w:rPr>
              <w:t>==</w:t>
            </w:r>
            <w:r w:rsidR="00D47707" w:rsidRPr="00A52AB8">
              <w:rPr>
                <w:color w:val="000000" w:themeColor="text1"/>
                <w:sz w:val="20"/>
                <w:szCs w:val="20"/>
              </w:rPr>
              <w:t> </w:t>
            </w:r>
            <w:r w:rsidRPr="00A52AB8">
              <w:rPr>
                <w:sz w:val="20"/>
                <w:szCs w:val="20"/>
              </w:rPr>
              <w:t>P</w:t>
            </w:r>
            <w:r w:rsidR="00890F7A" w:rsidRPr="00A52AB8">
              <w:rPr>
                <w:sz w:val="20"/>
                <w:szCs w:val="20"/>
              </w:rPr>
              <w:t>_TILE</w:t>
            </w:r>
            <w:r w:rsidR="008768E9" w:rsidRPr="00A52AB8">
              <w:rPr>
                <w:sz w:val="20"/>
                <w:szCs w:val="20"/>
              </w:rPr>
              <w:t> &amp;&amp; </w:t>
            </w:r>
            <w:r w:rsidRPr="00A52AB8">
              <w:rPr>
                <w:bCs/>
                <w:sz w:val="20"/>
                <w:szCs w:val="20"/>
              </w:rPr>
              <w:t>num_ref_entries[ RlsIdx ] &gt; 1</w:t>
            </w:r>
            <w:r w:rsidRPr="00A52AB8">
              <w:rPr>
                <w:sz w:val="20"/>
                <w:szCs w:val="20"/>
              </w:rPr>
              <w:t> </w:t>
            </w:r>
            <w:r w:rsidR="008F1F82" w:rsidRPr="00A52AB8">
              <w:rPr>
                <w:sz w:val="20"/>
                <w:szCs w:val="20"/>
              </w:rPr>
              <w:t>) {</w:t>
            </w:r>
          </w:p>
        </w:tc>
        <w:tc>
          <w:tcPr>
            <w:tcW w:w="1253" w:type="dxa"/>
          </w:tcPr>
          <w:p w14:paraId="26645F2F" w14:textId="77777777" w:rsidR="000D2DA9" w:rsidRPr="00A52AB8" w:rsidRDefault="000D2DA9">
            <w:pPr>
              <w:spacing w:before="20" w:after="20"/>
              <w:jc w:val="center"/>
              <w:rPr>
                <w:color w:val="000000" w:themeColor="text1"/>
                <w:sz w:val="20"/>
                <w:szCs w:val="20"/>
              </w:rPr>
            </w:pPr>
          </w:p>
        </w:tc>
      </w:tr>
      <w:tr w:rsidR="000D2DA9" w:rsidRPr="00A52AB8" w14:paraId="625B9772" w14:textId="77777777" w:rsidTr="00A252B5">
        <w:trPr>
          <w:jc w:val="center"/>
        </w:trPr>
        <w:tc>
          <w:tcPr>
            <w:tcW w:w="7921" w:type="dxa"/>
          </w:tcPr>
          <w:p w14:paraId="02C9497D" w14:textId="77777777" w:rsidR="000D2DA9" w:rsidRPr="00A52AB8" w:rsidRDefault="000D2DA9">
            <w:pPr>
              <w:spacing w:before="20" w:after="20"/>
              <w:rPr>
                <w:color w:val="000000" w:themeColor="text1"/>
                <w:sz w:val="20"/>
                <w:szCs w:val="20"/>
              </w:rPr>
            </w:pPr>
            <w:r w:rsidRPr="00A52AB8">
              <w:rPr>
                <w:sz w:val="20"/>
                <w:szCs w:val="20"/>
                <w:lang w:eastAsia="ko-KR"/>
              </w:rPr>
              <w:tab/>
            </w:r>
            <w:r w:rsidRPr="00A52AB8">
              <w:rPr>
                <w:sz w:val="20"/>
                <w:szCs w:val="20"/>
                <w:lang w:eastAsia="ko-KR"/>
              </w:rPr>
              <w:tab/>
            </w:r>
            <w:r w:rsidRPr="00A52AB8">
              <w:rPr>
                <w:sz w:val="20"/>
                <w:szCs w:val="20"/>
              </w:rPr>
              <w:tab/>
            </w:r>
            <w:r w:rsidR="00A62CD5" w:rsidRPr="00A52AB8">
              <w:rPr>
                <w:b/>
                <w:sz w:val="20"/>
                <w:szCs w:val="20"/>
              </w:rPr>
              <w:t>ath_</w:t>
            </w:r>
            <w:r w:rsidRPr="00A52AB8">
              <w:rPr>
                <w:b/>
                <w:sz w:val="20"/>
                <w:szCs w:val="20"/>
              </w:rPr>
              <w:t>num_ref_idx_active_override_flag</w:t>
            </w:r>
          </w:p>
        </w:tc>
        <w:tc>
          <w:tcPr>
            <w:tcW w:w="1253" w:type="dxa"/>
          </w:tcPr>
          <w:p w14:paraId="7F14F72E" w14:textId="77777777" w:rsidR="000D2DA9" w:rsidRPr="00A52AB8" w:rsidRDefault="000D2DA9">
            <w:pPr>
              <w:spacing w:before="20" w:after="20"/>
              <w:jc w:val="center"/>
              <w:rPr>
                <w:color w:val="000000" w:themeColor="text1"/>
                <w:sz w:val="20"/>
                <w:szCs w:val="20"/>
              </w:rPr>
            </w:pPr>
            <w:r w:rsidRPr="00A52AB8">
              <w:rPr>
                <w:sz w:val="20"/>
                <w:szCs w:val="20"/>
              </w:rPr>
              <w:t>u(1)</w:t>
            </w:r>
          </w:p>
        </w:tc>
      </w:tr>
      <w:tr w:rsidR="000D2DA9" w:rsidRPr="00A52AB8" w14:paraId="54CC2A95" w14:textId="77777777" w:rsidTr="00A252B5">
        <w:trPr>
          <w:jc w:val="center"/>
        </w:trPr>
        <w:tc>
          <w:tcPr>
            <w:tcW w:w="7921" w:type="dxa"/>
          </w:tcPr>
          <w:p w14:paraId="6ECDEB5E" w14:textId="77777777" w:rsidR="000D2DA9" w:rsidRPr="00A52AB8" w:rsidRDefault="000D2DA9">
            <w:pPr>
              <w:spacing w:before="20" w:after="20"/>
              <w:rPr>
                <w:color w:val="000000" w:themeColor="text1"/>
                <w:sz w:val="20"/>
                <w:szCs w:val="20"/>
              </w:rPr>
            </w:pPr>
            <w:r w:rsidRPr="00A52AB8">
              <w:rPr>
                <w:sz w:val="20"/>
                <w:szCs w:val="20"/>
                <w:lang w:eastAsia="ko-KR"/>
              </w:rPr>
              <w:tab/>
            </w:r>
            <w:r w:rsidRPr="00A52AB8">
              <w:rPr>
                <w:sz w:val="20"/>
                <w:szCs w:val="20"/>
                <w:lang w:eastAsia="ko-KR"/>
              </w:rPr>
              <w:tab/>
            </w:r>
            <w:r w:rsidRPr="00A52AB8">
              <w:rPr>
                <w:sz w:val="20"/>
                <w:szCs w:val="20"/>
              </w:rPr>
              <w:tab/>
              <w:t>if( </w:t>
            </w:r>
            <w:r w:rsidR="00A62CD5" w:rsidRPr="00A52AB8">
              <w:rPr>
                <w:sz w:val="20"/>
                <w:szCs w:val="20"/>
              </w:rPr>
              <w:t>ath_</w:t>
            </w:r>
            <w:r w:rsidRPr="00A52AB8">
              <w:rPr>
                <w:sz w:val="20"/>
                <w:szCs w:val="20"/>
              </w:rPr>
              <w:t>num_ref_idx_active_override_flag )</w:t>
            </w:r>
          </w:p>
        </w:tc>
        <w:tc>
          <w:tcPr>
            <w:tcW w:w="1253" w:type="dxa"/>
          </w:tcPr>
          <w:p w14:paraId="6CCB781F" w14:textId="77777777" w:rsidR="000D2DA9" w:rsidRPr="00A52AB8" w:rsidRDefault="000D2DA9">
            <w:pPr>
              <w:spacing w:before="20" w:after="20"/>
              <w:jc w:val="center"/>
              <w:rPr>
                <w:color w:val="000000" w:themeColor="text1"/>
                <w:sz w:val="20"/>
                <w:szCs w:val="20"/>
              </w:rPr>
            </w:pPr>
          </w:p>
        </w:tc>
      </w:tr>
      <w:tr w:rsidR="000D2DA9" w:rsidRPr="00A52AB8" w14:paraId="7A6BDDB7" w14:textId="77777777" w:rsidTr="00A252B5">
        <w:trPr>
          <w:jc w:val="center"/>
        </w:trPr>
        <w:tc>
          <w:tcPr>
            <w:tcW w:w="7921" w:type="dxa"/>
          </w:tcPr>
          <w:p w14:paraId="378A7091" w14:textId="77777777" w:rsidR="000D2DA9" w:rsidRPr="00A52AB8" w:rsidRDefault="000D2DA9">
            <w:pPr>
              <w:spacing w:before="20" w:after="20"/>
              <w:rPr>
                <w:color w:val="000000" w:themeColor="text1"/>
                <w:sz w:val="20"/>
                <w:szCs w:val="20"/>
              </w:rPr>
            </w:pPr>
            <w:r w:rsidRPr="00A52AB8">
              <w:rPr>
                <w:sz w:val="20"/>
                <w:szCs w:val="20"/>
                <w:lang w:eastAsia="ko-KR"/>
              </w:rPr>
              <w:tab/>
            </w:r>
            <w:r w:rsidRPr="00A52AB8">
              <w:rPr>
                <w:sz w:val="20"/>
                <w:szCs w:val="20"/>
                <w:lang w:eastAsia="ko-KR"/>
              </w:rPr>
              <w:tab/>
            </w:r>
            <w:r w:rsidRPr="00A52AB8">
              <w:rPr>
                <w:sz w:val="20"/>
                <w:szCs w:val="20"/>
                <w:lang w:eastAsia="ko-KR"/>
              </w:rPr>
              <w:tab/>
            </w:r>
            <w:r w:rsidRPr="00A52AB8">
              <w:rPr>
                <w:sz w:val="20"/>
                <w:szCs w:val="20"/>
              </w:rPr>
              <w:tab/>
            </w:r>
            <w:r w:rsidR="00A62CD5" w:rsidRPr="00A52AB8">
              <w:rPr>
                <w:b/>
                <w:sz w:val="20"/>
                <w:szCs w:val="20"/>
              </w:rPr>
              <w:t>ath_</w:t>
            </w:r>
            <w:r w:rsidRPr="00A52AB8">
              <w:rPr>
                <w:b/>
                <w:sz w:val="20"/>
                <w:szCs w:val="20"/>
              </w:rPr>
              <w:t>num_ref_idx_active_minus1</w:t>
            </w:r>
          </w:p>
        </w:tc>
        <w:tc>
          <w:tcPr>
            <w:tcW w:w="1253" w:type="dxa"/>
          </w:tcPr>
          <w:p w14:paraId="550D4DBB" w14:textId="77777777" w:rsidR="000D2DA9" w:rsidRPr="00A52AB8" w:rsidRDefault="000D2DA9">
            <w:pPr>
              <w:spacing w:before="20" w:after="20"/>
              <w:jc w:val="center"/>
              <w:rPr>
                <w:color w:val="000000" w:themeColor="text1"/>
                <w:sz w:val="20"/>
                <w:szCs w:val="20"/>
              </w:rPr>
            </w:pPr>
            <w:r w:rsidRPr="00A52AB8">
              <w:rPr>
                <w:sz w:val="20"/>
                <w:szCs w:val="20"/>
              </w:rPr>
              <w:t>ue(v)</w:t>
            </w:r>
          </w:p>
        </w:tc>
      </w:tr>
      <w:tr w:rsidR="000D2DA9" w:rsidRPr="00A52AB8" w14:paraId="4881D4DA" w14:textId="77777777" w:rsidTr="00A252B5">
        <w:trPr>
          <w:jc w:val="center"/>
        </w:trPr>
        <w:tc>
          <w:tcPr>
            <w:tcW w:w="7921" w:type="dxa"/>
          </w:tcPr>
          <w:p w14:paraId="1725AD12" w14:textId="77777777" w:rsidR="000D2DA9" w:rsidRPr="00A52AB8" w:rsidRDefault="000D2DA9">
            <w:pPr>
              <w:spacing w:before="20" w:after="20"/>
              <w:rPr>
                <w:color w:val="000000" w:themeColor="text1"/>
                <w:sz w:val="20"/>
                <w:szCs w:val="20"/>
              </w:rPr>
            </w:pPr>
            <w:r w:rsidRPr="00A52AB8">
              <w:rPr>
                <w:color w:val="000000" w:themeColor="text1"/>
                <w:sz w:val="20"/>
                <w:szCs w:val="20"/>
              </w:rPr>
              <w:tab/>
            </w:r>
            <w:r w:rsidRPr="00A52AB8">
              <w:rPr>
                <w:color w:val="000000" w:themeColor="text1"/>
                <w:sz w:val="20"/>
                <w:szCs w:val="20"/>
              </w:rPr>
              <w:tab/>
              <w:t>}</w:t>
            </w:r>
          </w:p>
        </w:tc>
        <w:tc>
          <w:tcPr>
            <w:tcW w:w="1253" w:type="dxa"/>
          </w:tcPr>
          <w:p w14:paraId="1B6D3B1F" w14:textId="77777777" w:rsidR="000D2DA9" w:rsidRPr="00A52AB8" w:rsidRDefault="000D2DA9">
            <w:pPr>
              <w:spacing w:before="20" w:after="20"/>
              <w:jc w:val="center"/>
              <w:rPr>
                <w:color w:val="000000" w:themeColor="text1"/>
                <w:sz w:val="20"/>
                <w:szCs w:val="20"/>
              </w:rPr>
            </w:pPr>
          </w:p>
        </w:tc>
      </w:tr>
      <w:tr w:rsidR="000D2DA9" w:rsidRPr="00A52AB8" w14:paraId="62B39DC6" w14:textId="77777777" w:rsidTr="00A252B5">
        <w:trPr>
          <w:jc w:val="center"/>
        </w:trPr>
        <w:tc>
          <w:tcPr>
            <w:tcW w:w="7921" w:type="dxa"/>
          </w:tcPr>
          <w:p w14:paraId="37CF78B3" w14:textId="77777777" w:rsidR="000D2DA9" w:rsidRPr="00A52AB8" w:rsidRDefault="000D2DA9">
            <w:pPr>
              <w:spacing w:before="20" w:after="20"/>
              <w:rPr>
                <w:sz w:val="20"/>
                <w:szCs w:val="20"/>
              </w:rPr>
            </w:pPr>
            <w:r w:rsidRPr="00A52AB8">
              <w:rPr>
                <w:sz w:val="20"/>
                <w:szCs w:val="20"/>
              </w:rPr>
              <w:tab/>
              <w:t>}</w:t>
            </w:r>
          </w:p>
        </w:tc>
        <w:tc>
          <w:tcPr>
            <w:tcW w:w="1253" w:type="dxa"/>
          </w:tcPr>
          <w:p w14:paraId="2D564C23" w14:textId="77777777" w:rsidR="000D2DA9" w:rsidRPr="00A52AB8" w:rsidRDefault="000D2DA9">
            <w:pPr>
              <w:spacing w:before="20" w:after="20"/>
              <w:jc w:val="center"/>
              <w:rPr>
                <w:color w:val="000000" w:themeColor="text1"/>
                <w:sz w:val="20"/>
                <w:szCs w:val="20"/>
              </w:rPr>
            </w:pPr>
          </w:p>
        </w:tc>
      </w:tr>
      <w:tr w:rsidR="000D2DA9" w:rsidRPr="00A52AB8" w14:paraId="372974BC" w14:textId="77777777" w:rsidTr="00A252B5">
        <w:trPr>
          <w:jc w:val="center"/>
        </w:trPr>
        <w:tc>
          <w:tcPr>
            <w:tcW w:w="7921" w:type="dxa"/>
          </w:tcPr>
          <w:p w14:paraId="1FB8A493" w14:textId="77777777" w:rsidR="000D2DA9" w:rsidRPr="00A52AB8" w:rsidRDefault="000D2DA9">
            <w:pPr>
              <w:spacing w:before="20" w:after="20"/>
              <w:rPr>
                <w:color w:val="000000" w:themeColor="text1"/>
                <w:sz w:val="20"/>
                <w:szCs w:val="20"/>
              </w:rPr>
            </w:pPr>
            <w:r w:rsidRPr="00A52AB8">
              <w:rPr>
                <w:sz w:val="20"/>
                <w:szCs w:val="20"/>
              </w:rPr>
              <w:tab/>
              <w:t>byte_alignment( )</w:t>
            </w:r>
          </w:p>
        </w:tc>
        <w:tc>
          <w:tcPr>
            <w:tcW w:w="1253" w:type="dxa"/>
          </w:tcPr>
          <w:p w14:paraId="098E679C" w14:textId="77777777" w:rsidR="000D2DA9" w:rsidRPr="00A52AB8" w:rsidRDefault="000D2DA9">
            <w:pPr>
              <w:spacing w:before="20" w:after="20"/>
              <w:jc w:val="center"/>
              <w:rPr>
                <w:color w:val="000000" w:themeColor="text1"/>
                <w:sz w:val="20"/>
                <w:szCs w:val="20"/>
              </w:rPr>
            </w:pPr>
          </w:p>
        </w:tc>
      </w:tr>
      <w:tr w:rsidR="000D2DA9" w:rsidRPr="00A52AB8" w14:paraId="1F34DB29" w14:textId="77777777" w:rsidTr="00A252B5">
        <w:trPr>
          <w:jc w:val="center"/>
        </w:trPr>
        <w:tc>
          <w:tcPr>
            <w:tcW w:w="7921" w:type="dxa"/>
          </w:tcPr>
          <w:p w14:paraId="4C701874" w14:textId="77777777" w:rsidR="000D2DA9" w:rsidRPr="00A52AB8" w:rsidRDefault="000D2DA9">
            <w:pPr>
              <w:spacing w:before="20" w:after="20"/>
              <w:rPr>
                <w:sz w:val="20"/>
                <w:szCs w:val="20"/>
              </w:rPr>
            </w:pPr>
            <w:r w:rsidRPr="00A52AB8">
              <w:rPr>
                <w:sz w:val="20"/>
                <w:szCs w:val="20"/>
              </w:rPr>
              <w:t>}</w:t>
            </w:r>
          </w:p>
        </w:tc>
        <w:tc>
          <w:tcPr>
            <w:tcW w:w="1253" w:type="dxa"/>
          </w:tcPr>
          <w:p w14:paraId="0366F0E9" w14:textId="77777777" w:rsidR="000D2DA9" w:rsidRPr="00A52AB8" w:rsidRDefault="000D2DA9">
            <w:pPr>
              <w:spacing w:before="20" w:after="20"/>
              <w:jc w:val="center"/>
              <w:rPr>
                <w:color w:val="000000" w:themeColor="text1"/>
                <w:sz w:val="20"/>
                <w:szCs w:val="20"/>
              </w:rPr>
            </w:pPr>
          </w:p>
        </w:tc>
      </w:tr>
    </w:tbl>
    <w:p w14:paraId="49C8766E" w14:textId="77777777" w:rsidR="00F97FCF" w:rsidRPr="00A52AB8" w:rsidRDefault="00F97FCF" w:rsidP="00CB76AA">
      <w:pPr>
        <w:pStyle w:val="Heading4"/>
      </w:pPr>
      <w:bookmarkStart w:id="741" w:name="_Ref38314712"/>
      <w:r w:rsidRPr="00A52AB8">
        <w:t>Reference list structure syntax</w:t>
      </w:r>
      <w:bookmarkEnd w:id="741"/>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411"/>
        <w:gridCol w:w="1331"/>
      </w:tblGrid>
      <w:tr w:rsidR="004C4C81" w:rsidRPr="00A52AB8" w14:paraId="16117137" w14:textId="77777777" w:rsidTr="001809F1">
        <w:trPr>
          <w:cantSplit/>
          <w:jc w:val="center"/>
        </w:trPr>
        <w:tc>
          <w:tcPr>
            <w:tcW w:w="8411" w:type="dxa"/>
          </w:tcPr>
          <w:p w14:paraId="2A743F31" w14:textId="5551331F" w:rsidR="00F97FCF" w:rsidRPr="00A52AB8" w:rsidRDefault="00F97FCF" w:rsidP="004A7026">
            <w:pPr>
              <w:spacing w:before="20" w:after="20"/>
              <w:rPr>
                <w:color w:val="000000" w:themeColor="text1"/>
                <w:sz w:val="20"/>
                <w:szCs w:val="20"/>
              </w:rPr>
            </w:pPr>
            <w:r w:rsidRPr="00A52AB8">
              <w:rPr>
                <w:color w:val="000000" w:themeColor="text1"/>
                <w:sz w:val="20"/>
                <w:szCs w:val="20"/>
              </w:rPr>
              <w:t>ref_list_struct( r</w:t>
            </w:r>
            <w:r w:rsidR="00053B0E" w:rsidRPr="00A52AB8">
              <w:rPr>
                <w:color w:val="000000" w:themeColor="text1"/>
                <w:sz w:val="20"/>
                <w:szCs w:val="20"/>
              </w:rPr>
              <w:t>l</w:t>
            </w:r>
            <w:r w:rsidRPr="00A52AB8">
              <w:rPr>
                <w:color w:val="000000" w:themeColor="text1"/>
                <w:sz w:val="20"/>
                <w:szCs w:val="20"/>
              </w:rPr>
              <w:t>s</w:t>
            </w:r>
            <w:r w:rsidR="00162963" w:rsidRPr="00A52AB8">
              <w:rPr>
                <w:color w:val="000000" w:themeColor="text1"/>
                <w:sz w:val="20"/>
                <w:szCs w:val="20"/>
              </w:rPr>
              <w:t>I</w:t>
            </w:r>
            <w:r w:rsidRPr="00A52AB8">
              <w:rPr>
                <w:color w:val="000000" w:themeColor="text1"/>
                <w:sz w:val="20"/>
                <w:szCs w:val="20"/>
              </w:rPr>
              <w:t>dx</w:t>
            </w:r>
            <w:r w:rsidR="00057E6B" w:rsidRPr="00A52AB8">
              <w:rPr>
                <w:color w:val="000000" w:themeColor="text1"/>
                <w:sz w:val="20"/>
                <w:szCs w:val="20"/>
              </w:rPr>
              <w:t> </w:t>
            </w:r>
            <w:r w:rsidR="008F1F82" w:rsidRPr="00A52AB8">
              <w:rPr>
                <w:color w:val="000000" w:themeColor="text1"/>
                <w:sz w:val="20"/>
                <w:szCs w:val="20"/>
              </w:rPr>
              <w:t>) {</w:t>
            </w:r>
          </w:p>
        </w:tc>
        <w:tc>
          <w:tcPr>
            <w:tcW w:w="1331" w:type="dxa"/>
          </w:tcPr>
          <w:p w14:paraId="48A8FD7D" w14:textId="77777777" w:rsidR="00F97FCF" w:rsidRPr="00A52AB8" w:rsidRDefault="00F97FCF" w:rsidP="004A7026">
            <w:pPr>
              <w:spacing w:before="20" w:after="20"/>
              <w:jc w:val="center"/>
              <w:rPr>
                <w:b/>
                <w:bCs/>
                <w:color w:val="000000" w:themeColor="text1"/>
                <w:sz w:val="20"/>
                <w:szCs w:val="20"/>
              </w:rPr>
            </w:pPr>
            <w:r w:rsidRPr="00A52AB8">
              <w:rPr>
                <w:b/>
                <w:bCs/>
                <w:color w:val="000000" w:themeColor="text1"/>
                <w:sz w:val="20"/>
                <w:szCs w:val="20"/>
              </w:rPr>
              <w:t>Descriptor</w:t>
            </w:r>
          </w:p>
        </w:tc>
      </w:tr>
      <w:tr w:rsidR="004C4C81" w:rsidRPr="00A52AB8" w14:paraId="40082F92" w14:textId="77777777" w:rsidTr="001809F1">
        <w:trPr>
          <w:cantSplit/>
          <w:jc w:val="center"/>
        </w:trPr>
        <w:tc>
          <w:tcPr>
            <w:tcW w:w="8411" w:type="dxa"/>
          </w:tcPr>
          <w:p w14:paraId="3631056D" w14:textId="77777777" w:rsidR="00F97FCF" w:rsidRPr="00A52AB8" w:rsidRDefault="00F97FCF" w:rsidP="004A7026">
            <w:pPr>
              <w:spacing w:before="20" w:after="20"/>
              <w:rPr>
                <w:color w:val="000000" w:themeColor="text1"/>
                <w:sz w:val="20"/>
                <w:szCs w:val="20"/>
              </w:rPr>
            </w:pPr>
            <w:r w:rsidRPr="00A52AB8">
              <w:rPr>
                <w:color w:val="000000" w:themeColor="text1"/>
                <w:sz w:val="20"/>
                <w:szCs w:val="20"/>
              </w:rPr>
              <w:tab/>
            </w:r>
            <w:r w:rsidRPr="00A52AB8">
              <w:rPr>
                <w:b/>
                <w:bCs/>
                <w:color w:val="000000" w:themeColor="text1"/>
                <w:sz w:val="20"/>
                <w:szCs w:val="20"/>
              </w:rPr>
              <w:t>num_ref_entries</w:t>
            </w:r>
            <w:r w:rsidRPr="00A52AB8">
              <w:rPr>
                <w:color w:val="000000" w:themeColor="text1"/>
                <w:sz w:val="20"/>
                <w:szCs w:val="20"/>
              </w:rPr>
              <w:t>[</w:t>
            </w:r>
            <w:r w:rsidR="00057E6B" w:rsidRPr="00A52AB8">
              <w:rPr>
                <w:color w:val="000000" w:themeColor="text1"/>
                <w:sz w:val="20"/>
                <w:szCs w:val="20"/>
              </w:rPr>
              <w:t> </w:t>
            </w:r>
            <w:r w:rsidR="00162963" w:rsidRPr="00A52AB8">
              <w:rPr>
                <w:color w:val="000000" w:themeColor="text1"/>
                <w:sz w:val="20"/>
                <w:szCs w:val="20"/>
              </w:rPr>
              <w:t>rlsIdx </w:t>
            </w:r>
            <w:r w:rsidRPr="00A52AB8">
              <w:rPr>
                <w:color w:val="000000" w:themeColor="text1"/>
                <w:sz w:val="20"/>
                <w:szCs w:val="20"/>
              </w:rPr>
              <w:t>]</w:t>
            </w:r>
          </w:p>
        </w:tc>
        <w:tc>
          <w:tcPr>
            <w:tcW w:w="1331" w:type="dxa"/>
          </w:tcPr>
          <w:p w14:paraId="11A9F427" w14:textId="77777777" w:rsidR="00F97FCF" w:rsidRPr="00A52AB8" w:rsidRDefault="00F97FCF" w:rsidP="004A7026">
            <w:pPr>
              <w:spacing w:before="20" w:after="20"/>
              <w:jc w:val="center"/>
              <w:rPr>
                <w:color w:val="000000" w:themeColor="text1"/>
                <w:sz w:val="20"/>
                <w:szCs w:val="20"/>
              </w:rPr>
            </w:pPr>
            <w:r w:rsidRPr="00A52AB8">
              <w:rPr>
                <w:color w:val="000000" w:themeColor="text1"/>
                <w:sz w:val="20"/>
                <w:szCs w:val="20"/>
              </w:rPr>
              <w:t>ue(v)</w:t>
            </w:r>
          </w:p>
        </w:tc>
      </w:tr>
      <w:tr w:rsidR="004C4C81" w:rsidRPr="00A52AB8" w14:paraId="7941C19E" w14:textId="77777777" w:rsidTr="001809F1">
        <w:trPr>
          <w:cantSplit/>
          <w:jc w:val="center"/>
        </w:trPr>
        <w:tc>
          <w:tcPr>
            <w:tcW w:w="8411" w:type="dxa"/>
          </w:tcPr>
          <w:p w14:paraId="1515BEBF" w14:textId="627F192A" w:rsidR="00F97FCF" w:rsidRPr="00A52AB8" w:rsidRDefault="00F97FCF" w:rsidP="004A7026">
            <w:pPr>
              <w:spacing w:before="20" w:after="20"/>
              <w:rPr>
                <w:color w:val="000000" w:themeColor="text1"/>
                <w:sz w:val="20"/>
                <w:szCs w:val="20"/>
              </w:rPr>
            </w:pPr>
            <w:r w:rsidRPr="00A52AB8">
              <w:rPr>
                <w:color w:val="000000" w:themeColor="text1"/>
                <w:sz w:val="20"/>
                <w:szCs w:val="20"/>
              </w:rPr>
              <w:tab/>
              <w:t>for(</w:t>
            </w:r>
            <w:r w:rsidR="00057E6B" w:rsidRPr="00A52AB8">
              <w:rPr>
                <w:color w:val="000000" w:themeColor="text1"/>
                <w:sz w:val="20"/>
                <w:szCs w:val="20"/>
              </w:rPr>
              <w:t> </w:t>
            </w:r>
            <w:r w:rsidRPr="00A52AB8">
              <w:rPr>
                <w:color w:val="000000" w:themeColor="text1"/>
                <w:sz w:val="20"/>
                <w:szCs w:val="20"/>
              </w:rPr>
              <w:t>i</w:t>
            </w:r>
            <w:r w:rsidR="00D47707" w:rsidRPr="00A52AB8">
              <w:rPr>
                <w:color w:val="000000" w:themeColor="text1"/>
                <w:sz w:val="20"/>
                <w:szCs w:val="20"/>
              </w:rPr>
              <w:t> = </w:t>
            </w:r>
            <w:r w:rsidRPr="00A52AB8">
              <w:rPr>
                <w:color w:val="000000" w:themeColor="text1"/>
                <w:sz w:val="20"/>
                <w:szCs w:val="20"/>
              </w:rPr>
              <w:t>0;</w:t>
            </w:r>
            <w:r w:rsidR="00057E6B" w:rsidRPr="00A52AB8">
              <w:rPr>
                <w:color w:val="000000" w:themeColor="text1"/>
                <w:sz w:val="20"/>
                <w:szCs w:val="20"/>
              </w:rPr>
              <w:t> </w:t>
            </w:r>
            <w:r w:rsidRPr="00A52AB8">
              <w:rPr>
                <w:color w:val="000000" w:themeColor="text1"/>
                <w:sz w:val="20"/>
                <w:szCs w:val="20"/>
              </w:rPr>
              <w:t>i</w:t>
            </w:r>
            <w:r w:rsidR="00057E6B" w:rsidRPr="00A52AB8">
              <w:rPr>
                <w:color w:val="000000" w:themeColor="text1"/>
                <w:sz w:val="20"/>
                <w:szCs w:val="20"/>
              </w:rPr>
              <w:t> </w:t>
            </w:r>
            <w:r w:rsidRPr="00A52AB8">
              <w:rPr>
                <w:color w:val="000000" w:themeColor="text1"/>
                <w:sz w:val="20"/>
                <w:szCs w:val="20"/>
              </w:rPr>
              <w:t>&lt;</w:t>
            </w:r>
            <w:r w:rsidR="00057E6B" w:rsidRPr="00A52AB8">
              <w:rPr>
                <w:color w:val="000000" w:themeColor="text1"/>
                <w:sz w:val="20"/>
                <w:szCs w:val="20"/>
              </w:rPr>
              <w:t> </w:t>
            </w:r>
            <w:r w:rsidRPr="00A52AB8">
              <w:rPr>
                <w:color w:val="000000" w:themeColor="text1"/>
                <w:sz w:val="20"/>
                <w:szCs w:val="20"/>
              </w:rPr>
              <w:t>num_ref_entries[</w:t>
            </w:r>
            <w:r w:rsidR="00057E6B" w:rsidRPr="00A52AB8">
              <w:rPr>
                <w:color w:val="000000" w:themeColor="text1"/>
                <w:sz w:val="20"/>
                <w:szCs w:val="20"/>
              </w:rPr>
              <w:t> </w:t>
            </w:r>
            <w:r w:rsidR="00162963" w:rsidRPr="00A52AB8">
              <w:rPr>
                <w:color w:val="000000" w:themeColor="text1"/>
                <w:sz w:val="20"/>
                <w:szCs w:val="20"/>
              </w:rPr>
              <w:t>rlsIdx </w:t>
            </w:r>
            <w:r w:rsidRPr="00A52AB8">
              <w:rPr>
                <w:color w:val="000000" w:themeColor="text1"/>
                <w:sz w:val="20"/>
                <w:szCs w:val="20"/>
              </w:rPr>
              <w:t>];</w:t>
            </w:r>
            <w:r w:rsidR="00057E6B" w:rsidRPr="00A52AB8">
              <w:rPr>
                <w:color w:val="000000" w:themeColor="text1"/>
                <w:sz w:val="20"/>
                <w:szCs w:val="20"/>
              </w:rPr>
              <w:t> </w:t>
            </w:r>
            <w:r w:rsidRPr="00A52AB8">
              <w:rPr>
                <w:color w:val="000000" w:themeColor="text1"/>
                <w:sz w:val="20"/>
                <w:szCs w:val="20"/>
              </w:rPr>
              <w:t>i</w:t>
            </w:r>
            <w:r w:rsidR="00006CCF" w:rsidRPr="00A52AB8">
              <w:rPr>
                <w:color w:val="000000" w:themeColor="text1"/>
                <w:sz w:val="20"/>
                <w:szCs w:val="20"/>
              </w:rPr>
              <w:t>++ </w:t>
            </w:r>
            <w:r w:rsidR="008F1F82" w:rsidRPr="00A52AB8">
              <w:rPr>
                <w:color w:val="000000" w:themeColor="text1"/>
                <w:sz w:val="20"/>
                <w:szCs w:val="20"/>
              </w:rPr>
              <w:t>) {</w:t>
            </w:r>
          </w:p>
        </w:tc>
        <w:tc>
          <w:tcPr>
            <w:tcW w:w="1331" w:type="dxa"/>
          </w:tcPr>
          <w:p w14:paraId="7E435C88" w14:textId="77777777" w:rsidR="00F97FCF" w:rsidRPr="00A52AB8" w:rsidRDefault="00F97FCF" w:rsidP="004A7026">
            <w:pPr>
              <w:spacing w:before="20" w:after="20"/>
              <w:jc w:val="center"/>
              <w:rPr>
                <w:color w:val="000000" w:themeColor="text1"/>
                <w:sz w:val="20"/>
                <w:szCs w:val="20"/>
              </w:rPr>
            </w:pPr>
          </w:p>
        </w:tc>
      </w:tr>
      <w:tr w:rsidR="004C4C81" w:rsidRPr="00A52AB8" w14:paraId="434348F7" w14:textId="77777777" w:rsidTr="001809F1">
        <w:trPr>
          <w:cantSplit/>
          <w:jc w:val="center"/>
        </w:trPr>
        <w:tc>
          <w:tcPr>
            <w:tcW w:w="8411" w:type="dxa"/>
          </w:tcPr>
          <w:p w14:paraId="6AADC01C" w14:textId="77777777" w:rsidR="00F97FCF" w:rsidRPr="00A52AB8" w:rsidRDefault="00F97FCF" w:rsidP="004A7026">
            <w:pPr>
              <w:spacing w:before="20" w:after="20"/>
              <w:rPr>
                <w:color w:val="000000" w:themeColor="text1"/>
                <w:sz w:val="20"/>
                <w:szCs w:val="20"/>
              </w:rPr>
            </w:pPr>
            <w:r w:rsidRPr="00A52AB8">
              <w:rPr>
                <w:color w:val="000000" w:themeColor="text1"/>
                <w:sz w:val="20"/>
                <w:szCs w:val="20"/>
              </w:rPr>
              <w:tab/>
            </w:r>
            <w:r w:rsidRPr="00A52AB8">
              <w:rPr>
                <w:color w:val="000000" w:themeColor="text1"/>
                <w:sz w:val="20"/>
                <w:szCs w:val="20"/>
              </w:rPr>
              <w:tab/>
              <w:t>if(</w:t>
            </w:r>
            <w:r w:rsidR="00897E6E" w:rsidRPr="00A52AB8">
              <w:rPr>
                <w:color w:val="000000" w:themeColor="text1"/>
                <w:sz w:val="20"/>
                <w:szCs w:val="20"/>
              </w:rPr>
              <w:t> </w:t>
            </w:r>
            <w:r w:rsidR="00EB723C" w:rsidRPr="00A52AB8">
              <w:rPr>
                <w:color w:val="000000" w:themeColor="text1"/>
                <w:sz w:val="20"/>
                <w:szCs w:val="20"/>
              </w:rPr>
              <w:t>asps_</w:t>
            </w:r>
            <w:r w:rsidR="00897E6E" w:rsidRPr="00A52AB8">
              <w:rPr>
                <w:color w:val="000000" w:themeColor="text1"/>
                <w:sz w:val="20"/>
                <w:szCs w:val="20"/>
              </w:rPr>
              <w:t>long_term_ref_</w:t>
            </w:r>
            <w:r w:rsidR="00DD23CD" w:rsidRPr="00A52AB8">
              <w:rPr>
                <w:color w:val="000000" w:themeColor="text1"/>
                <w:sz w:val="20"/>
                <w:szCs w:val="20"/>
              </w:rPr>
              <w:t>atlas_frame</w:t>
            </w:r>
            <w:r w:rsidR="00897E6E" w:rsidRPr="00A52AB8">
              <w:rPr>
                <w:color w:val="000000" w:themeColor="text1"/>
                <w:sz w:val="20"/>
                <w:szCs w:val="20"/>
              </w:rPr>
              <w:t>s_flag</w:t>
            </w:r>
            <w:r w:rsidR="00F41351" w:rsidRPr="00A52AB8">
              <w:rPr>
                <w:color w:val="000000" w:themeColor="text1"/>
                <w:sz w:val="20"/>
                <w:szCs w:val="20"/>
              </w:rPr>
              <w:t> </w:t>
            </w:r>
            <w:r w:rsidRPr="00A52AB8">
              <w:rPr>
                <w:color w:val="000000" w:themeColor="text1"/>
                <w:sz w:val="20"/>
                <w:szCs w:val="20"/>
              </w:rPr>
              <w:t>)</w:t>
            </w:r>
          </w:p>
        </w:tc>
        <w:tc>
          <w:tcPr>
            <w:tcW w:w="1331" w:type="dxa"/>
          </w:tcPr>
          <w:p w14:paraId="26AFD9CD" w14:textId="77777777" w:rsidR="00F97FCF" w:rsidRPr="00A52AB8" w:rsidRDefault="00F97FCF" w:rsidP="004A7026">
            <w:pPr>
              <w:spacing w:before="20" w:after="20"/>
              <w:jc w:val="center"/>
              <w:rPr>
                <w:color w:val="000000" w:themeColor="text1"/>
                <w:sz w:val="20"/>
                <w:szCs w:val="20"/>
              </w:rPr>
            </w:pPr>
          </w:p>
        </w:tc>
      </w:tr>
      <w:tr w:rsidR="004C4C81" w:rsidRPr="00A52AB8" w14:paraId="7E69DE0A" w14:textId="77777777" w:rsidTr="001809F1">
        <w:trPr>
          <w:cantSplit/>
          <w:jc w:val="center"/>
        </w:trPr>
        <w:tc>
          <w:tcPr>
            <w:tcW w:w="8411" w:type="dxa"/>
          </w:tcPr>
          <w:p w14:paraId="07530E1D" w14:textId="77777777" w:rsidR="00F97FCF" w:rsidRPr="00A52AB8" w:rsidRDefault="00F97FCF" w:rsidP="004A7026">
            <w:pPr>
              <w:spacing w:before="20" w:after="20"/>
              <w:rPr>
                <w:color w:val="000000" w:themeColor="text1"/>
                <w:sz w:val="20"/>
                <w:szCs w:val="20"/>
              </w:rPr>
            </w:pPr>
            <w:r w:rsidRPr="00A52AB8">
              <w:rPr>
                <w:color w:val="000000" w:themeColor="text1"/>
                <w:sz w:val="20"/>
                <w:szCs w:val="20"/>
              </w:rPr>
              <w:tab/>
            </w:r>
            <w:r w:rsidRPr="00A52AB8">
              <w:rPr>
                <w:color w:val="000000" w:themeColor="text1"/>
                <w:sz w:val="20"/>
                <w:szCs w:val="20"/>
              </w:rPr>
              <w:tab/>
            </w:r>
            <w:r w:rsidRPr="00A52AB8">
              <w:rPr>
                <w:color w:val="000000" w:themeColor="text1"/>
                <w:sz w:val="20"/>
                <w:szCs w:val="20"/>
              </w:rPr>
              <w:tab/>
            </w:r>
            <w:r w:rsidRPr="00A52AB8">
              <w:rPr>
                <w:b/>
                <w:bCs/>
                <w:color w:val="000000" w:themeColor="text1"/>
                <w:sz w:val="20"/>
                <w:szCs w:val="20"/>
              </w:rPr>
              <w:t>st_ref_</w:t>
            </w:r>
            <w:r w:rsidR="00DD23CD" w:rsidRPr="00A52AB8">
              <w:rPr>
                <w:b/>
                <w:bCs/>
                <w:color w:val="000000" w:themeColor="text1"/>
                <w:sz w:val="20"/>
                <w:szCs w:val="20"/>
              </w:rPr>
              <w:t>atlas_frame</w:t>
            </w:r>
            <w:r w:rsidRPr="00A52AB8">
              <w:rPr>
                <w:b/>
                <w:bCs/>
                <w:color w:val="000000" w:themeColor="text1"/>
                <w:sz w:val="20"/>
                <w:szCs w:val="20"/>
              </w:rPr>
              <w:t>_flag</w:t>
            </w:r>
            <w:r w:rsidRPr="00A52AB8">
              <w:rPr>
                <w:color w:val="000000" w:themeColor="text1"/>
                <w:sz w:val="20"/>
                <w:szCs w:val="20"/>
              </w:rPr>
              <w:t>[</w:t>
            </w:r>
            <w:r w:rsidR="00F41351" w:rsidRPr="00A52AB8">
              <w:rPr>
                <w:color w:val="000000" w:themeColor="text1"/>
                <w:sz w:val="20"/>
                <w:szCs w:val="20"/>
              </w:rPr>
              <w:t> </w:t>
            </w:r>
            <w:r w:rsidR="00162963" w:rsidRPr="00A52AB8">
              <w:rPr>
                <w:color w:val="000000" w:themeColor="text1"/>
                <w:sz w:val="20"/>
                <w:szCs w:val="20"/>
              </w:rPr>
              <w:t>rlsIdx </w:t>
            </w:r>
            <w:r w:rsidRPr="00A52AB8">
              <w:rPr>
                <w:color w:val="000000" w:themeColor="text1"/>
                <w:sz w:val="20"/>
                <w:szCs w:val="20"/>
              </w:rPr>
              <w:t>]</w:t>
            </w:r>
            <w:r w:rsidR="001F4484" w:rsidRPr="00A52AB8">
              <w:rPr>
                <w:color w:val="000000" w:themeColor="text1"/>
                <w:sz w:val="20"/>
                <w:szCs w:val="20"/>
              </w:rPr>
              <w:t>[ i ]</w:t>
            </w:r>
          </w:p>
        </w:tc>
        <w:tc>
          <w:tcPr>
            <w:tcW w:w="1331" w:type="dxa"/>
          </w:tcPr>
          <w:p w14:paraId="185134F8" w14:textId="77777777" w:rsidR="00F97FCF" w:rsidRPr="00A52AB8" w:rsidRDefault="00F97FCF" w:rsidP="004A7026">
            <w:pPr>
              <w:spacing w:before="20" w:after="20"/>
              <w:jc w:val="center"/>
              <w:rPr>
                <w:color w:val="000000" w:themeColor="text1"/>
                <w:sz w:val="20"/>
                <w:szCs w:val="20"/>
              </w:rPr>
            </w:pPr>
            <w:r w:rsidRPr="00A52AB8">
              <w:rPr>
                <w:color w:val="000000" w:themeColor="text1"/>
                <w:sz w:val="20"/>
                <w:szCs w:val="20"/>
              </w:rPr>
              <w:t>u(1)</w:t>
            </w:r>
          </w:p>
        </w:tc>
      </w:tr>
      <w:tr w:rsidR="004C4C81" w:rsidRPr="00A52AB8" w14:paraId="361AE03F" w14:textId="77777777" w:rsidTr="001809F1">
        <w:trPr>
          <w:cantSplit/>
          <w:jc w:val="center"/>
        </w:trPr>
        <w:tc>
          <w:tcPr>
            <w:tcW w:w="8411" w:type="dxa"/>
          </w:tcPr>
          <w:p w14:paraId="3E781E91" w14:textId="5B3EAE9D" w:rsidR="00F97FCF" w:rsidRPr="00A52AB8" w:rsidRDefault="00F97FCF" w:rsidP="004A7026">
            <w:pPr>
              <w:spacing w:before="20" w:after="20"/>
              <w:rPr>
                <w:color w:val="000000" w:themeColor="text1"/>
                <w:sz w:val="20"/>
                <w:szCs w:val="20"/>
              </w:rPr>
            </w:pPr>
            <w:r w:rsidRPr="00A52AB8">
              <w:rPr>
                <w:color w:val="000000" w:themeColor="text1"/>
                <w:sz w:val="20"/>
                <w:szCs w:val="20"/>
              </w:rPr>
              <w:tab/>
            </w:r>
            <w:r w:rsidRPr="00A52AB8">
              <w:rPr>
                <w:color w:val="000000" w:themeColor="text1"/>
                <w:sz w:val="20"/>
                <w:szCs w:val="20"/>
              </w:rPr>
              <w:tab/>
              <w:t>if(</w:t>
            </w:r>
            <w:r w:rsidR="00067D9B" w:rsidRPr="00A52AB8">
              <w:rPr>
                <w:color w:val="000000" w:themeColor="text1"/>
                <w:sz w:val="20"/>
                <w:szCs w:val="20"/>
              </w:rPr>
              <w:t> </w:t>
            </w:r>
            <w:r w:rsidRPr="00A52AB8">
              <w:rPr>
                <w:color w:val="000000" w:themeColor="text1"/>
                <w:sz w:val="20"/>
                <w:szCs w:val="20"/>
              </w:rPr>
              <w:t>st_ref_</w:t>
            </w:r>
            <w:r w:rsidR="00DD23CD" w:rsidRPr="00A52AB8">
              <w:rPr>
                <w:color w:val="000000" w:themeColor="text1"/>
                <w:sz w:val="20"/>
                <w:szCs w:val="20"/>
              </w:rPr>
              <w:t>atlas_frame</w:t>
            </w:r>
            <w:r w:rsidRPr="00A52AB8">
              <w:rPr>
                <w:color w:val="000000" w:themeColor="text1"/>
                <w:sz w:val="20"/>
                <w:szCs w:val="20"/>
              </w:rPr>
              <w:t>_flag</w:t>
            </w:r>
            <w:r w:rsidR="00C630EC" w:rsidRPr="00A52AB8">
              <w:rPr>
                <w:color w:val="000000" w:themeColor="text1"/>
                <w:sz w:val="20"/>
                <w:szCs w:val="20"/>
              </w:rPr>
              <w:t>[ </w:t>
            </w:r>
            <w:r w:rsidR="00162963" w:rsidRPr="00A52AB8">
              <w:rPr>
                <w:color w:val="000000" w:themeColor="text1"/>
                <w:sz w:val="20"/>
                <w:szCs w:val="20"/>
              </w:rPr>
              <w:t>rlsIdx </w:t>
            </w:r>
            <w:r w:rsidR="00C630EC" w:rsidRPr="00A52AB8">
              <w:rPr>
                <w:color w:val="000000" w:themeColor="text1"/>
                <w:sz w:val="20"/>
                <w:szCs w:val="20"/>
              </w:rPr>
              <w:t>]</w:t>
            </w:r>
            <w:r w:rsidR="001F4484" w:rsidRPr="00A52AB8">
              <w:rPr>
                <w:color w:val="000000" w:themeColor="text1"/>
                <w:sz w:val="20"/>
                <w:szCs w:val="20"/>
              </w:rPr>
              <w:t>[ i ]</w:t>
            </w:r>
            <w:r w:rsidR="00067D9B" w:rsidRPr="00A52AB8">
              <w:rPr>
                <w:color w:val="000000" w:themeColor="text1"/>
                <w:sz w:val="20"/>
                <w:szCs w:val="20"/>
              </w:rPr>
              <w:t> </w:t>
            </w:r>
            <w:r w:rsidR="008F1F82" w:rsidRPr="00A52AB8">
              <w:rPr>
                <w:color w:val="000000" w:themeColor="text1"/>
                <w:sz w:val="20"/>
                <w:szCs w:val="20"/>
              </w:rPr>
              <w:t>) {</w:t>
            </w:r>
          </w:p>
        </w:tc>
        <w:tc>
          <w:tcPr>
            <w:tcW w:w="1331" w:type="dxa"/>
          </w:tcPr>
          <w:p w14:paraId="2139811C" w14:textId="77777777" w:rsidR="00F97FCF" w:rsidRPr="00A52AB8" w:rsidRDefault="00F97FCF" w:rsidP="004A7026">
            <w:pPr>
              <w:spacing w:before="20" w:after="20"/>
              <w:jc w:val="center"/>
              <w:rPr>
                <w:color w:val="000000" w:themeColor="text1"/>
                <w:sz w:val="20"/>
                <w:szCs w:val="20"/>
              </w:rPr>
            </w:pPr>
          </w:p>
        </w:tc>
      </w:tr>
      <w:tr w:rsidR="004C4C81" w:rsidRPr="00A52AB8" w14:paraId="1A5678F0" w14:textId="77777777" w:rsidTr="001809F1">
        <w:trPr>
          <w:cantSplit/>
          <w:jc w:val="center"/>
        </w:trPr>
        <w:tc>
          <w:tcPr>
            <w:tcW w:w="8411" w:type="dxa"/>
          </w:tcPr>
          <w:p w14:paraId="401998E5" w14:textId="77777777" w:rsidR="00F97FCF" w:rsidRPr="00A52AB8" w:rsidRDefault="00F97FCF" w:rsidP="004A7026">
            <w:pPr>
              <w:spacing w:before="20" w:after="20"/>
              <w:rPr>
                <w:color w:val="000000" w:themeColor="text1"/>
                <w:sz w:val="20"/>
                <w:szCs w:val="20"/>
              </w:rPr>
            </w:pPr>
            <w:r w:rsidRPr="00A52AB8">
              <w:rPr>
                <w:color w:val="000000" w:themeColor="text1"/>
                <w:sz w:val="20"/>
                <w:szCs w:val="20"/>
              </w:rPr>
              <w:tab/>
            </w:r>
            <w:r w:rsidRPr="00A52AB8">
              <w:rPr>
                <w:color w:val="000000" w:themeColor="text1"/>
                <w:sz w:val="20"/>
                <w:szCs w:val="20"/>
              </w:rPr>
              <w:tab/>
            </w:r>
            <w:r w:rsidRPr="00A52AB8">
              <w:rPr>
                <w:color w:val="000000" w:themeColor="text1"/>
                <w:sz w:val="20"/>
                <w:szCs w:val="20"/>
              </w:rPr>
              <w:tab/>
            </w:r>
            <w:r w:rsidRPr="00A52AB8">
              <w:rPr>
                <w:b/>
                <w:bCs/>
                <w:color w:val="000000" w:themeColor="text1"/>
                <w:sz w:val="20"/>
                <w:szCs w:val="20"/>
              </w:rPr>
              <w:t>abs_delta_</w:t>
            </w:r>
            <w:r w:rsidR="00DD23CD" w:rsidRPr="00A52AB8">
              <w:rPr>
                <w:b/>
                <w:bCs/>
                <w:color w:val="000000" w:themeColor="text1"/>
                <w:sz w:val="20"/>
                <w:szCs w:val="20"/>
              </w:rPr>
              <w:t>afoc</w:t>
            </w:r>
            <w:r w:rsidRPr="00A52AB8">
              <w:rPr>
                <w:b/>
                <w:bCs/>
                <w:color w:val="000000" w:themeColor="text1"/>
                <w:sz w:val="20"/>
                <w:szCs w:val="20"/>
              </w:rPr>
              <w:t>_st</w:t>
            </w:r>
            <w:r w:rsidRPr="00A52AB8">
              <w:rPr>
                <w:color w:val="000000" w:themeColor="text1"/>
                <w:sz w:val="20"/>
                <w:szCs w:val="20"/>
              </w:rPr>
              <w:t>[</w:t>
            </w:r>
            <w:r w:rsidR="00FC1519" w:rsidRPr="00A52AB8">
              <w:rPr>
                <w:color w:val="000000" w:themeColor="text1"/>
                <w:sz w:val="20"/>
                <w:szCs w:val="20"/>
              </w:rPr>
              <w:t> </w:t>
            </w:r>
            <w:r w:rsidR="00162963" w:rsidRPr="00A52AB8">
              <w:rPr>
                <w:color w:val="000000" w:themeColor="text1"/>
                <w:sz w:val="20"/>
                <w:szCs w:val="20"/>
              </w:rPr>
              <w:t>rlsIdx </w:t>
            </w:r>
            <w:r w:rsidRPr="00A52AB8">
              <w:rPr>
                <w:color w:val="000000" w:themeColor="text1"/>
                <w:sz w:val="20"/>
                <w:szCs w:val="20"/>
              </w:rPr>
              <w:t>]</w:t>
            </w:r>
            <w:r w:rsidR="001F4484" w:rsidRPr="00A52AB8">
              <w:rPr>
                <w:color w:val="000000" w:themeColor="text1"/>
                <w:sz w:val="20"/>
                <w:szCs w:val="20"/>
              </w:rPr>
              <w:t>[ i ]</w:t>
            </w:r>
          </w:p>
        </w:tc>
        <w:tc>
          <w:tcPr>
            <w:tcW w:w="1331" w:type="dxa"/>
          </w:tcPr>
          <w:p w14:paraId="310B5206" w14:textId="77777777" w:rsidR="00F97FCF" w:rsidRPr="00A52AB8" w:rsidRDefault="00F97FCF" w:rsidP="004A7026">
            <w:pPr>
              <w:spacing w:before="20" w:after="20"/>
              <w:jc w:val="center"/>
              <w:rPr>
                <w:color w:val="000000" w:themeColor="text1"/>
                <w:sz w:val="20"/>
                <w:szCs w:val="20"/>
              </w:rPr>
            </w:pPr>
            <w:r w:rsidRPr="00A52AB8">
              <w:rPr>
                <w:color w:val="000000" w:themeColor="text1"/>
                <w:sz w:val="20"/>
                <w:szCs w:val="20"/>
              </w:rPr>
              <w:t>ue(v)</w:t>
            </w:r>
          </w:p>
        </w:tc>
      </w:tr>
      <w:tr w:rsidR="004C4C81" w:rsidRPr="00A52AB8" w14:paraId="03D96779" w14:textId="77777777" w:rsidTr="001809F1">
        <w:trPr>
          <w:cantSplit/>
          <w:jc w:val="center"/>
        </w:trPr>
        <w:tc>
          <w:tcPr>
            <w:tcW w:w="8411" w:type="dxa"/>
          </w:tcPr>
          <w:p w14:paraId="026A50FB" w14:textId="77777777" w:rsidR="00F97FCF" w:rsidRPr="00A52AB8" w:rsidRDefault="00F97FCF" w:rsidP="004A7026">
            <w:pPr>
              <w:spacing w:before="20" w:after="20"/>
              <w:rPr>
                <w:color w:val="000000" w:themeColor="text1"/>
                <w:sz w:val="20"/>
                <w:szCs w:val="20"/>
              </w:rPr>
            </w:pPr>
            <w:r w:rsidRPr="00A52AB8">
              <w:rPr>
                <w:color w:val="000000" w:themeColor="text1"/>
                <w:sz w:val="20"/>
                <w:szCs w:val="20"/>
              </w:rPr>
              <w:tab/>
            </w:r>
            <w:r w:rsidRPr="00A52AB8">
              <w:rPr>
                <w:color w:val="000000" w:themeColor="text1"/>
                <w:sz w:val="20"/>
                <w:szCs w:val="20"/>
              </w:rPr>
              <w:tab/>
            </w:r>
            <w:r w:rsidRPr="00A52AB8">
              <w:rPr>
                <w:color w:val="000000" w:themeColor="text1"/>
                <w:sz w:val="20"/>
                <w:szCs w:val="20"/>
              </w:rPr>
              <w:tab/>
              <w:t>if( abs_delta_</w:t>
            </w:r>
            <w:r w:rsidR="00DD23CD" w:rsidRPr="00A52AB8">
              <w:rPr>
                <w:color w:val="000000" w:themeColor="text1"/>
                <w:sz w:val="20"/>
                <w:szCs w:val="20"/>
              </w:rPr>
              <w:t>afoc</w:t>
            </w:r>
            <w:r w:rsidRPr="00A52AB8">
              <w:rPr>
                <w:color w:val="000000" w:themeColor="text1"/>
                <w:sz w:val="20"/>
                <w:szCs w:val="20"/>
              </w:rPr>
              <w:t>_st</w:t>
            </w:r>
            <w:r w:rsidR="00C630EC" w:rsidRPr="00A52AB8">
              <w:rPr>
                <w:color w:val="000000" w:themeColor="text1"/>
                <w:sz w:val="20"/>
                <w:szCs w:val="20"/>
              </w:rPr>
              <w:t>[ rlsIdx ]</w:t>
            </w:r>
            <w:r w:rsidR="001F4484" w:rsidRPr="00A52AB8">
              <w:rPr>
                <w:color w:val="000000" w:themeColor="text1"/>
                <w:sz w:val="20"/>
                <w:szCs w:val="20"/>
              </w:rPr>
              <w:t>[ i ]</w:t>
            </w:r>
            <w:r w:rsidR="00067D9B" w:rsidRPr="00A52AB8">
              <w:rPr>
                <w:color w:val="000000" w:themeColor="text1"/>
                <w:sz w:val="20"/>
                <w:szCs w:val="20"/>
              </w:rPr>
              <w:t> </w:t>
            </w:r>
            <w:r w:rsidRPr="00A52AB8">
              <w:rPr>
                <w:color w:val="000000" w:themeColor="text1"/>
                <w:sz w:val="20"/>
                <w:szCs w:val="20"/>
              </w:rPr>
              <w:t>&gt;</w:t>
            </w:r>
            <w:r w:rsidR="00067D9B" w:rsidRPr="00A52AB8">
              <w:rPr>
                <w:color w:val="000000" w:themeColor="text1"/>
                <w:sz w:val="20"/>
                <w:szCs w:val="20"/>
              </w:rPr>
              <w:t> </w:t>
            </w:r>
            <w:r w:rsidRPr="00A52AB8">
              <w:rPr>
                <w:color w:val="000000" w:themeColor="text1"/>
                <w:sz w:val="20"/>
                <w:szCs w:val="20"/>
              </w:rPr>
              <w:t>0</w:t>
            </w:r>
            <w:r w:rsidR="00067D9B" w:rsidRPr="00A52AB8">
              <w:rPr>
                <w:color w:val="000000" w:themeColor="text1"/>
                <w:sz w:val="20"/>
                <w:szCs w:val="20"/>
              </w:rPr>
              <w:t> </w:t>
            </w:r>
            <w:r w:rsidRPr="00A52AB8">
              <w:rPr>
                <w:color w:val="000000" w:themeColor="text1"/>
                <w:sz w:val="20"/>
                <w:szCs w:val="20"/>
              </w:rPr>
              <w:t>)</w:t>
            </w:r>
          </w:p>
        </w:tc>
        <w:tc>
          <w:tcPr>
            <w:tcW w:w="1331" w:type="dxa"/>
          </w:tcPr>
          <w:p w14:paraId="43B14CBA" w14:textId="77777777" w:rsidR="00F97FCF" w:rsidRPr="00A52AB8" w:rsidRDefault="00F97FCF" w:rsidP="004A7026">
            <w:pPr>
              <w:spacing w:before="20" w:after="20"/>
              <w:jc w:val="center"/>
              <w:rPr>
                <w:color w:val="000000" w:themeColor="text1"/>
                <w:sz w:val="20"/>
                <w:szCs w:val="20"/>
              </w:rPr>
            </w:pPr>
          </w:p>
        </w:tc>
      </w:tr>
      <w:tr w:rsidR="004C4C81" w:rsidRPr="00A52AB8" w14:paraId="5EF96BF3" w14:textId="77777777" w:rsidTr="001809F1">
        <w:trPr>
          <w:cantSplit/>
          <w:jc w:val="center"/>
        </w:trPr>
        <w:tc>
          <w:tcPr>
            <w:tcW w:w="8411" w:type="dxa"/>
          </w:tcPr>
          <w:p w14:paraId="466346A7" w14:textId="77777777" w:rsidR="00F97FCF" w:rsidRPr="00A52AB8" w:rsidRDefault="00F97FCF" w:rsidP="004A7026">
            <w:pPr>
              <w:spacing w:before="20" w:after="20"/>
              <w:rPr>
                <w:color w:val="000000" w:themeColor="text1"/>
                <w:sz w:val="20"/>
                <w:szCs w:val="20"/>
              </w:rPr>
            </w:pPr>
            <w:r w:rsidRPr="00A52AB8">
              <w:rPr>
                <w:color w:val="000000" w:themeColor="text1"/>
                <w:sz w:val="20"/>
                <w:szCs w:val="20"/>
              </w:rPr>
              <w:tab/>
            </w:r>
            <w:r w:rsidRPr="00A52AB8">
              <w:rPr>
                <w:color w:val="000000" w:themeColor="text1"/>
                <w:sz w:val="20"/>
                <w:szCs w:val="20"/>
              </w:rPr>
              <w:tab/>
            </w:r>
            <w:r w:rsidRPr="00A52AB8">
              <w:rPr>
                <w:color w:val="000000" w:themeColor="text1"/>
                <w:sz w:val="20"/>
                <w:szCs w:val="20"/>
              </w:rPr>
              <w:tab/>
            </w:r>
            <w:r w:rsidRPr="00A52AB8">
              <w:rPr>
                <w:color w:val="000000" w:themeColor="text1"/>
                <w:sz w:val="20"/>
                <w:szCs w:val="20"/>
              </w:rPr>
              <w:tab/>
            </w:r>
            <w:r w:rsidRPr="00A52AB8">
              <w:rPr>
                <w:b/>
                <w:bCs/>
                <w:color w:val="000000" w:themeColor="text1"/>
                <w:sz w:val="20"/>
                <w:szCs w:val="20"/>
              </w:rPr>
              <w:t>str</w:t>
            </w:r>
            <w:r w:rsidR="00DE3D1A" w:rsidRPr="00A52AB8">
              <w:rPr>
                <w:b/>
                <w:bCs/>
                <w:color w:val="000000" w:themeColor="text1"/>
                <w:sz w:val="20"/>
                <w:szCs w:val="20"/>
              </w:rPr>
              <w:t>a</w:t>
            </w:r>
            <w:r w:rsidR="00053B0E" w:rsidRPr="00A52AB8">
              <w:rPr>
                <w:b/>
                <w:bCs/>
                <w:color w:val="000000" w:themeColor="text1"/>
                <w:sz w:val="20"/>
                <w:szCs w:val="20"/>
              </w:rPr>
              <w:t>f</w:t>
            </w:r>
            <w:r w:rsidRPr="00A52AB8">
              <w:rPr>
                <w:b/>
                <w:bCs/>
                <w:color w:val="000000" w:themeColor="text1"/>
                <w:sz w:val="20"/>
                <w:szCs w:val="20"/>
              </w:rPr>
              <w:t>_entry_sign_flag</w:t>
            </w:r>
            <w:r w:rsidRPr="00A52AB8">
              <w:rPr>
                <w:color w:val="000000" w:themeColor="text1"/>
                <w:sz w:val="20"/>
                <w:szCs w:val="20"/>
              </w:rPr>
              <w:t>[</w:t>
            </w:r>
            <w:r w:rsidR="00FC1519" w:rsidRPr="00A52AB8">
              <w:rPr>
                <w:color w:val="000000" w:themeColor="text1"/>
                <w:sz w:val="20"/>
                <w:szCs w:val="20"/>
              </w:rPr>
              <w:t> </w:t>
            </w:r>
            <w:r w:rsidR="00162963" w:rsidRPr="00A52AB8">
              <w:rPr>
                <w:color w:val="000000" w:themeColor="text1"/>
                <w:sz w:val="20"/>
                <w:szCs w:val="20"/>
              </w:rPr>
              <w:t>rlsIdx </w:t>
            </w:r>
            <w:r w:rsidRPr="00A52AB8">
              <w:rPr>
                <w:color w:val="000000" w:themeColor="text1"/>
                <w:sz w:val="20"/>
                <w:szCs w:val="20"/>
              </w:rPr>
              <w:t>]</w:t>
            </w:r>
            <w:r w:rsidR="001F4484" w:rsidRPr="00A52AB8">
              <w:rPr>
                <w:color w:val="000000" w:themeColor="text1"/>
                <w:sz w:val="20"/>
                <w:szCs w:val="20"/>
              </w:rPr>
              <w:t>[ i ]</w:t>
            </w:r>
          </w:p>
        </w:tc>
        <w:tc>
          <w:tcPr>
            <w:tcW w:w="1331" w:type="dxa"/>
          </w:tcPr>
          <w:p w14:paraId="699A4943" w14:textId="77777777" w:rsidR="00F97FCF" w:rsidRPr="00A52AB8" w:rsidRDefault="00F97FCF" w:rsidP="004A7026">
            <w:pPr>
              <w:spacing w:before="20" w:after="20"/>
              <w:jc w:val="center"/>
              <w:rPr>
                <w:color w:val="000000" w:themeColor="text1"/>
                <w:sz w:val="20"/>
                <w:szCs w:val="20"/>
              </w:rPr>
            </w:pPr>
            <w:r w:rsidRPr="00A52AB8">
              <w:rPr>
                <w:color w:val="000000" w:themeColor="text1"/>
                <w:sz w:val="20"/>
                <w:szCs w:val="20"/>
              </w:rPr>
              <w:t>u(1)</w:t>
            </w:r>
          </w:p>
        </w:tc>
      </w:tr>
      <w:tr w:rsidR="004C4C81" w:rsidRPr="00A52AB8" w14:paraId="5E29D100" w14:textId="77777777" w:rsidTr="001809F1">
        <w:trPr>
          <w:cantSplit/>
          <w:jc w:val="center"/>
        </w:trPr>
        <w:tc>
          <w:tcPr>
            <w:tcW w:w="8411" w:type="dxa"/>
          </w:tcPr>
          <w:p w14:paraId="21AF369A" w14:textId="77777777" w:rsidR="00F97FCF" w:rsidRPr="00A52AB8" w:rsidRDefault="00F97FCF" w:rsidP="004A7026">
            <w:pPr>
              <w:spacing w:before="20" w:after="20"/>
              <w:rPr>
                <w:color w:val="000000" w:themeColor="text1"/>
                <w:sz w:val="20"/>
                <w:szCs w:val="20"/>
              </w:rPr>
            </w:pPr>
            <w:r w:rsidRPr="00A52AB8">
              <w:rPr>
                <w:color w:val="000000" w:themeColor="text1"/>
                <w:sz w:val="20"/>
                <w:szCs w:val="20"/>
              </w:rPr>
              <w:tab/>
            </w:r>
            <w:r w:rsidRPr="00A52AB8">
              <w:rPr>
                <w:color w:val="000000" w:themeColor="text1"/>
                <w:sz w:val="20"/>
                <w:szCs w:val="20"/>
              </w:rPr>
              <w:tab/>
              <w:t>}</w:t>
            </w:r>
            <w:r w:rsidR="00067D9B" w:rsidRPr="00A52AB8">
              <w:rPr>
                <w:color w:val="000000" w:themeColor="text1"/>
                <w:sz w:val="20"/>
                <w:szCs w:val="20"/>
              </w:rPr>
              <w:t> </w:t>
            </w:r>
            <w:r w:rsidRPr="00A52AB8">
              <w:rPr>
                <w:color w:val="000000" w:themeColor="text1"/>
                <w:sz w:val="20"/>
                <w:szCs w:val="20"/>
              </w:rPr>
              <w:t>else</w:t>
            </w:r>
          </w:p>
        </w:tc>
        <w:tc>
          <w:tcPr>
            <w:tcW w:w="1331" w:type="dxa"/>
          </w:tcPr>
          <w:p w14:paraId="59CE65F2" w14:textId="77777777" w:rsidR="00F97FCF" w:rsidRPr="00A52AB8" w:rsidRDefault="00F97FCF" w:rsidP="004A7026">
            <w:pPr>
              <w:spacing w:before="20" w:after="20"/>
              <w:jc w:val="center"/>
              <w:rPr>
                <w:color w:val="000000" w:themeColor="text1"/>
                <w:sz w:val="20"/>
                <w:szCs w:val="20"/>
              </w:rPr>
            </w:pPr>
          </w:p>
        </w:tc>
      </w:tr>
      <w:tr w:rsidR="004C4C81" w:rsidRPr="00A52AB8" w14:paraId="2E897374" w14:textId="77777777" w:rsidTr="001809F1">
        <w:trPr>
          <w:cantSplit/>
          <w:jc w:val="center"/>
        </w:trPr>
        <w:tc>
          <w:tcPr>
            <w:tcW w:w="8411" w:type="dxa"/>
          </w:tcPr>
          <w:p w14:paraId="0543CFE9" w14:textId="77777777" w:rsidR="00F97FCF" w:rsidRPr="00A52AB8" w:rsidRDefault="00F97FCF" w:rsidP="004A7026">
            <w:pPr>
              <w:spacing w:before="20" w:after="20"/>
              <w:rPr>
                <w:color w:val="000000" w:themeColor="text1"/>
                <w:sz w:val="20"/>
                <w:szCs w:val="20"/>
              </w:rPr>
            </w:pPr>
            <w:r w:rsidRPr="00A52AB8">
              <w:rPr>
                <w:color w:val="000000" w:themeColor="text1"/>
                <w:sz w:val="20"/>
                <w:szCs w:val="20"/>
              </w:rPr>
              <w:tab/>
            </w:r>
            <w:r w:rsidRPr="00A52AB8">
              <w:rPr>
                <w:color w:val="000000" w:themeColor="text1"/>
                <w:sz w:val="20"/>
                <w:szCs w:val="20"/>
              </w:rPr>
              <w:tab/>
            </w:r>
            <w:r w:rsidRPr="00A52AB8">
              <w:rPr>
                <w:color w:val="000000" w:themeColor="text1"/>
                <w:sz w:val="20"/>
                <w:szCs w:val="20"/>
              </w:rPr>
              <w:tab/>
            </w:r>
            <w:r w:rsidR="00DD23CD" w:rsidRPr="00A52AB8">
              <w:rPr>
                <w:b/>
                <w:bCs/>
                <w:color w:val="000000" w:themeColor="text1"/>
                <w:sz w:val="20"/>
                <w:szCs w:val="20"/>
              </w:rPr>
              <w:t>afoc</w:t>
            </w:r>
            <w:r w:rsidRPr="00A52AB8">
              <w:rPr>
                <w:b/>
                <w:bCs/>
                <w:color w:val="000000" w:themeColor="text1"/>
                <w:sz w:val="20"/>
                <w:szCs w:val="20"/>
              </w:rPr>
              <w:t>_lsb_lt</w:t>
            </w:r>
            <w:r w:rsidRPr="00A52AB8">
              <w:rPr>
                <w:color w:val="000000" w:themeColor="text1"/>
                <w:sz w:val="20"/>
                <w:szCs w:val="20"/>
              </w:rPr>
              <w:t>[</w:t>
            </w:r>
            <w:r w:rsidR="00067D9B" w:rsidRPr="00A52AB8">
              <w:rPr>
                <w:color w:val="000000" w:themeColor="text1"/>
                <w:sz w:val="20"/>
                <w:szCs w:val="20"/>
              </w:rPr>
              <w:t> </w:t>
            </w:r>
            <w:r w:rsidR="00162963" w:rsidRPr="00A52AB8">
              <w:rPr>
                <w:color w:val="000000" w:themeColor="text1"/>
                <w:sz w:val="20"/>
                <w:szCs w:val="20"/>
              </w:rPr>
              <w:t>rlsIdx </w:t>
            </w:r>
            <w:r w:rsidRPr="00A52AB8">
              <w:rPr>
                <w:color w:val="000000" w:themeColor="text1"/>
                <w:sz w:val="20"/>
                <w:szCs w:val="20"/>
              </w:rPr>
              <w:t>]</w:t>
            </w:r>
            <w:r w:rsidR="001F4484" w:rsidRPr="00A52AB8">
              <w:rPr>
                <w:color w:val="000000" w:themeColor="text1"/>
                <w:sz w:val="20"/>
                <w:szCs w:val="20"/>
              </w:rPr>
              <w:t>[ i ]</w:t>
            </w:r>
          </w:p>
        </w:tc>
        <w:tc>
          <w:tcPr>
            <w:tcW w:w="1331" w:type="dxa"/>
          </w:tcPr>
          <w:p w14:paraId="158BC822" w14:textId="77777777" w:rsidR="00F97FCF" w:rsidRPr="00A52AB8" w:rsidRDefault="00F97FCF" w:rsidP="004A7026">
            <w:pPr>
              <w:spacing w:before="20" w:after="20"/>
              <w:jc w:val="center"/>
              <w:rPr>
                <w:color w:val="000000" w:themeColor="text1"/>
                <w:sz w:val="20"/>
                <w:szCs w:val="20"/>
              </w:rPr>
            </w:pPr>
            <w:r w:rsidRPr="00A52AB8">
              <w:rPr>
                <w:color w:val="000000" w:themeColor="text1"/>
                <w:sz w:val="20"/>
                <w:szCs w:val="20"/>
              </w:rPr>
              <w:t>u(v)</w:t>
            </w:r>
          </w:p>
        </w:tc>
      </w:tr>
      <w:tr w:rsidR="004C4C81" w:rsidRPr="00A52AB8" w14:paraId="78988DB9" w14:textId="77777777" w:rsidTr="001809F1">
        <w:trPr>
          <w:cantSplit/>
          <w:jc w:val="center"/>
        </w:trPr>
        <w:tc>
          <w:tcPr>
            <w:tcW w:w="8411" w:type="dxa"/>
          </w:tcPr>
          <w:p w14:paraId="6A1EFE55" w14:textId="77777777" w:rsidR="00F97FCF" w:rsidRPr="00A52AB8" w:rsidRDefault="00F97FCF" w:rsidP="004A7026">
            <w:pPr>
              <w:spacing w:before="20" w:after="20"/>
              <w:rPr>
                <w:color w:val="000000" w:themeColor="text1"/>
                <w:sz w:val="20"/>
                <w:szCs w:val="20"/>
              </w:rPr>
            </w:pPr>
            <w:r w:rsidRPr="00A52AB8">
              <w:rPr>
                <w:color w:val="000000" w:themeColor="text1"/>
                <w:sz w:val="20"/>
                <w:szCs w:val="20"/>
              </w:rPr>
              <w:tab/>
              <w:t>}</w:t>
            </w:r>
          </w:p>
        </w:tc>
        <w:tc>
          <w:tcPr>
            <w:tcW w:w="1331" w:type="dxa"/>
          </w:tcPr>
          <w:p w14:paraId="420FF0E0" w14:textId="77777777" w:rsidR="00F97FCF" w:rsidRPr="00A52AB8" w:rsidRDefault="00F97FCF" w:rsidP="004A7026">
            <w:pPr>
              <w:spacing w:before="20" w:after="20"/>
              <w:rPr>
                <w:color w:val="000000" w:themeColor="text1"/>
                <w:sz w:val="20"/>
                <w:szCs w:val="20"/>
              </w:rPr>
            </w:pPr>
          </w:p>
        </w:tc>
      </w:tr>
      <w:tr w:rsidR="004C4C81" w:rsidRPr="00A52AB8" w14:paraId="1B1D96EC" w14:textId="77777777" w:rsidTr="001809F1">
        <w:trPr>
          <w:cantSplit/>
          <w:jc w:val="center"/>
        </w:trPr>
        <w:tc>
          <w:tcPr>
            <w:tcW w:w="8411" w:type="dxa"/>
          </w:tcPr>
          <w:p w14:paraId="0F81F5EF" w14:textId="77777777" w:rsidR="00F97FCF" w:rsidRPr="00A52AB8" w:rsidRDefault="00F97FCF" w:rsidP="004A7026">
            <w:pPr>
              <w:spacing w:before="20" w:after="20"/>
              <w:rPr>
                <w:color w:val="000000" w:themeColor="text1"/>
                <w:sz w:val="20"/>
                <w:szCs w:val="20"/>
              </w:rPr>
            </w:pPr>
            <w:r w:rsidRPr="00A52AB8">
              <w:rPr>
                <w:color w:val="000000" w:themeColor="text1"/>
                <w:sz w:val="20"/>
                <w:szCs w:val="20"/>
              </w:rPr>
              <w:t>}</w:t>
            </w:r>
          </w:p>
        </w:tc>
        <w:tc>
          <w:tcPr>
            <w:tcW w:w="1331" w:type="dxa"/>
          </w:tcPr>
          <w:p w14:paraId="07C491E4" w14:textId="77777777" w:rsidR="00F97FCF" w:rsidRPr="00A52AB8" w:rsidRDefault="00F97FCF" w:rsidP="004A7026">
            <w:pPr>
              <w:spacing w:before="20" w:after="20"/>
              <w:rPr>
                <w:color w:val="000000" w:themeColor="text1"/>
                <w:sz w:val="20"/>
                <w:szCs w:val="20"/>
              </w:rPr>
            </w:pPr>
          </w:p>
        </w:tc>
      </w:tr>
    </w:tbl>
    <w:p w14:paraId="4D856A3D" w14:textId="77777777" w:rsidR="001809F1" w:rsidRDefault="001809F1" w:rsidP="001809F1">
      <w:pPr>
        <w:pStyle w:val="Heading4"/>
      </w:pPr>
      <w:bookmarkStart w:id="742" w:name="_Ref1641520"/>
      <w:r>
        <w:t>Common atlas frame RBSP syntax</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409"/>
        <w:gridCol w:w="1333"/>
      </w:tblGrid>
      <w:tr w:rsidR="001809F1" w:rsidRPr="00A52AB8" w14:paraId="677B9636" w14:textId="77777777" w:rsidTr="00EE3D19">
        <w:trPr>
          <w:cantSplit/>
          <w:jc w:val="center"/>
        </w:trPr>
        <w:tc>
          <w:tcPr>
            <w:tcW w:w="8409" w:type="dxa"/>
          </w:tcPr>
          <w:p w14:paraId="124976DC" w14:textId="77777777" w:rsidR="001809F1" w:rsidRPr="00A52AB8" w:rsidRDefault="001809F1" w:rsidP="00CA49A1">
            <w:pPr>
              <w:spacing w:before="20" w:after="20"/>
              <w:rPr>
                <w:color w:val="000000" w:themeColor="text1"/>
                <w:sz w:val="20"/>
                <w:szCs w:val="20"/>
              </w:rPr>
            </w:pPr>
            <w:r>
              <w:rPr>
                <w:color w:val="000000" w:themeColor="text1"/>
                <w:sz w:val="20"/>
                <w:szCs w:val="20"/>
              </w:rPr>
              <w:t>common_atlas_frame</w:t>
            </w:r>
            <w:r w:rsidRPr="00A52AB8">
              <w:rPr>
                <w:color w:val="000000" w:themeColor="text1"/>
                <w:sz w:val="20"/>
                <w:szCs w:val="20"/>
              </w:rPr>
              <w:t>_rbsp( ) {</w:t>
            </w:r>
          </w:p>
        </w:tc>
        <w:tc>
          <w:tcPr>
            <w:tcW w:w="1333" w:type="dxa"/>
          </w:tcPr>
          <w:p w14:paraId="2761A174" w14:textId="77777777" w:rsidR="001809F1" w:rsidRPr="00A52AB8" w:rsidRDefault="001809F1" w:rsidP="00CA49A1">
            <w:pPr>
              <w:pStyle w:val="tableheading"/>
              <w:spacing w:before="20" w:after="40"/>
              <w:jc w:val="center"/>
              <w:rPr>
                <w:rFonts w:ascii="Cambria" w:hAnsi="Cambria"/>
              </w:rPr>
            </w:pPr>
            <w:r w:rsidRPr="00A52AB8">
              <w:rPr>
                <w:rFonts w:ascii="Cambria" w:hAnsi="Cambria"/>
              </w:rPr>
              <w:t>Descriptor</w:t>
            </w:r>
          </w:p>
        </w:tc>
      </w:tr>
      <w:tr w:rsidR="001809F1" w:rsidRPr="00A52AB8" w14:paraId="799C75B7" w14:textId="77777777" w:rsidTr="001809F1">
        <w:trPr>
          <w:cantSplit/>
          <w:jc w:val="center"/>
        </w:trPr>
        <w:tc>
          <w:tcPr>
            <w:tcW w:w="8409" w:type="dxa"/>
          </w:tcPr>
          <w:p w14:paraId="185AF00F" w14:textId="3A909272" w:rsidR="001809F1" w:rsidRPr="00EE3D19" w:rsidRDefault="001809F1" w:rsidP="00CA49A1">
            <w:pPr>
              <w:spacing w:before="20" w:after="20"/>
              <w:rPr>
                <w:b/>
                <w:bCs/>
                <w:color w:val="000000" w:themeColor="text1"/>
                <w:sz w:val="20"/>
                <w:szCs w:val="20"/>
              </w:rPr>
            </w:pPr>
            <w:r w:rsidRPr="001809F1">
              <w:rPr>
                <w:color w:val="000000" w:themeColor="text1"/>
                <w:sz w:val="20"/>
                <w:szCs w:val="20"/>
              </w:rPr>
              <w:tab/>
            </w:r>
            <w:r w:rsidRPr="00EE3D19">
              <w:rPr>
                <w:b/>
                <w:bCs/>
                <w:color w:val="000000" w:themeColor="text1"/>
                <w:sz w:val="20"/>
                <w:szCs w:val="20"/>
              </w:rPr>
              <w:t>caf_extension_present_flag</w:t>
            </w:r>
          </w:p>
        </w:tc>
        <w:tc>
          <w:tcPr>
            <w:tcW w:w="1333" w:type="dxa"/>
          </w:tcPr>
          <w:p w14:paraId="73B81F7A" w14:textId="31773C59" w:rsidR="001809F1" w:rsidRPr="00A52AB8" w:rsidRDefault="001809F1" w:rsidP="00CA49A1">
            <w:pPr>
              <w:pStyle w:val="tablecell"/>
              <w:keepNext w:val="0"/>
              <w:spacing w:before="20" w:after="40"/>
              <w:jc w:val="center"/>
              <w:rPr>
                <w:rFonts w:ascii="Cambria" w:hAnsi="Cambria"/>
              </w:rPr>
            </w:pPr>
            <w:r>
              <w:rPr>
                <w:rFonts w:ascii="Cambria" w:hAnsi="Cambria"/>
              </w:rPr>
              <w:t>u(1)</w:t>
            </w:r>
          </w:p>
        </w:tc>
      </w:tr>
      <w:tr w:rsidR="001809F1" w:rsidRPr="00A52AB8" w14:paraId="0AF25A17" w14:textId="77777777" w:rsidTr="001809F1">
        <w:trPr>
          <w:cantSplit/>
          <w:jc w:val="center"/>
        </w:trPr>
        <w:tc>
          <w:tcPr>
            <w:tcW w:w="8409" w:type="dxa"/>
          </w:tcPr>
          <w:p w14:paraId="025CEAFD" w14:textId="012B4D63" w:rsidR="001809F1" w:rsidRPr="00A52AB8" w:rsidRDefault="001809F1" w:rsidP="00CA49A1">
            <w:pPr>
              <w:spacing w:before="20" w:after="20"/>
              <w:rPr>
                <w:color w:val="000000" w:themeColor="text1"/>
                <w:sz w:val="20"/>
                <w:szCs w:val="20"/>
              </w:rPr>
            </w:pPr>
            <w:r w:rsidRPr="001809F1">
              <w:rPr>
                <w:color w:val="000000" w:themeColor="text1"/>
                <w:sz w:val="20"/>
                <w:szCs w:val="20"/>
              </w:rPr>
              <w:tab/>
            </w:r>
            <w:r>
              <w:rPr>
                <w:color w:val="000000" w:themeColor="text1"/>
                <w:sz w:val="20"/>
                <w:szCs w:val="20"/>
              </w:rPr>
              <w:t>if( caf_extension_present_flag ) {</w:t>
            </w:r>
          </w:p>
        </w:tc>
        <w:tc>
          <w:tcPr>
            <w:tcW w:w="1333" w:type="dxa"/>
          </w:tcPr>
          <w:p w14:paraId="41AFA8FA" w14:textId="77777777" w:rsidR="001809F1" w:rsidRPr="00A52AB8" w:rsidRDefault="001809F1" w:rsidP="00CA49A1">
            <w:pPr>
              <w:pStyle w:val="tablecell"/>
              <w:keepNext w:val="0"/>
              <w:spacing w:before="20" w:after="40"/>
              <w:jc w:val="center"/>
              <w:rPr>
                <w:rFonts w:ascii="Cambria" w:hAnsi="Cambria"/>
              </w:rPr>
            </w:pPr>
          </w:p>
        </w:tc>
      </w:tr>
      <w:tr w:rsidR="001809F1" w:rsidRPr="00A52AB8" w14:paraId="35B4F3F2" w14:textId="77777777" w:rsidTr="001809F1">
        <w:trPr>
          <w:cantSplit/>
          <w:jc w:val="center"/>
        </w:trPr>
        <w:tc>
          <w:tcPr>
            <w:tcW w:w="8409" w:type="dxa"/>
          </w:tcPr>
          <w:p w14:paraId="3385392E" w14:textId="14625749" w:rsidR="001809F1" w:rsidRPr="00EE3D19" w:rsidRDefault="001809F1" w:rsidP="00CA49A1">
            <w:pPr>
              <w:spacing w:before="20" w:after="20"/>
              <w:rPr>
                <w:b/>
                <w:bCs/>
                <w:color w:val="000000" w:themeColor="text1"/>
                <w:sz w:val="20"/>
                <w:szCs w:val="20"/>
              </w:rPr>
            </w:pPr>
            <w:r w:rsidRPr="001809F1">
              <w:rPr>
                <w:color w:val="000000" w:themeColor="text1"/>
                <w:sz w:val="20"/>
                <w:szCs w:val="20"/>
              </w:rPr>
              <w:tab/>
            </w:r>
            <w:r w:rsidRPr="001809F1">
              <w:rPr>
                <w:color w:val="000000" w:themeColor="text1"/>
                <w:sz w:val="20"/>
                <w:szCs w:val="20"/>
              </w:rPr>
              <w:tab/>
            </w:r>
            <w:r w:rsidRPr="00EE3D19">
              <w:rPr>
                <w:b/>
                <w:bCs/>
                <w:color w:val="000000" w:themeColor="text1"/>
                <w:sz w:val="20"/>
                <w:szCs w:val="20"/>
              </w:rPr>
              <w:t>caf_miv_extension_present_flag</w:t>
            </w:r>
          </w:p>
        </w:tc>
        <w:tc>
          <w:tcPr>
            <w:tcW w:w="1333" w:type="dxa"/>
          </w:tcPr>
          <w:p w14:paraId="18EF7700" w14:textId="0169F547" w:rsidR="001809F1" w:rsidRPr="00A52AB8" w:rsidRDefault="001809F1" w:rsidP="00CA49A1">
            <w:pPr>
              <w:pStyle w:val="tablecell"/>
              <w:keepNext w:val="0"/>
              <w:spacing w:before="20" w:after="40"/>
              <w:jc w:val="center"/>
              <w:rPr>
                <w:rFonts w:ascii="Cambria" w:hAnsi="Cambria"/>
              </w:rPr>
            </w:pPr>
            <w:r>
              <w:rPr>
                <w:rFonts w:ascii="Cambria" w:hAnsi="Cambria"/>
              </w:rPr>
              <w:t>u(1)</w:t>
            </w:r>
          </w:p>
        </w:tc>
      </w:tr>
      <w:tr w:rsidR="001809F1" w:rsidRPr="00A52AB8" w14:paraId="361AD17F" w14:textId="77777777" w:rsidTr="001809F1">
        <w:trPr>
          <w:cantSplit/>
          <w:jc w:val="center"/>
        </w:trPr>
        <w:tc>
          <w:tcPr>
            <w:tcW w:w="8409" w:type="dxa"/>
          </w:tcPr>
          <w:p w14:paraId="4E2CF491" w14:textId="6329996C" w:rsidR="001809F1" w:rsidRPr="001809F1" w:rsidRDefault="001809F1" w:rsidP="00CA49A1">
            <w:pPr>
              <w:spacing w:before="20" w:after="20"/>
              <w:rPr>
                <w:color w:val="000000" w:themeColor="text1"/>
                <w:sz w:val="20"/>
                <w:szCs w:val="20"/>
              </w:rPr>
            </w:pPr>
            <w:r w:rsidRPr="001809F1">
              <w:rPr>
                <w:color w:val="000000" w:themeColor="text1"/>
                <w:sz w:val="20"/>
                <w:szCs w:val="20"/>
              </w:rPr>
              <w:tab/>
            </w:r>
            <w:r w:rsidRPr="001809F1">
              <w:rPr>
                <w:color w:val="000000" w:themeColor="text1"/>
                <w:sz w:val="20"/>
                <w:szCs w:val="20"/>
              </w:rPr>
              <w:tab/>
            </w:r>
            <w:r>
              <w:rPr>
                <w:color w:val="000000" w:themeColor="text1"/>
                <w:sz w:val="20"/>
                <w:szCs w:val="20"/>
              </w:rPr>
              <w:t>caf_extension_7bits</w:t>
            </w:r>
          </w:p>
        </w:tc>
        <w:tc>
          <w:tcPr>
            <w:tcW w:w="1333" w:type="dxa"/>
          </w:tcPr>
          <w:p w14:paraId="2DAF3897" w14:textId="5DFE4C13" w:rsidR="001809F1" w:rsidRDefault="001809F1" w:rsidP="00CA49A1">
            <w:pPr>
              <w:pStyle w:val="tablecell"/>
              <w:keepNext w:val="0"/>
              <w:spacing w:before="20" w:after="40"/>
              <w:jc w:val="center"/>
              <w:rPr>
                <w:rFonts w:ascii="Cambria" w:hAnsi="Cambria"/>
              </w:rPr>
            </w:pPr>
            <w:r>
              <w:rPr>
                <w:rFonts w:ascii="Cambria" w:hAnsi="Cambria"/>
              </w:rPr>
              <w:t>u(7)</w:t>
            </w:r>
          </w:p>
        </w:tc>
      </w:tr>
      <w:tr w:rsidR="001809F1" w:rsidRPr="00A52AB8" w14:paraId="0B05F428" w14:textId="77777777" w:rsidTr="001809F1">
        <w:trPr>
          <w:cantSplit/>
          <w:jc w:val="center"/>
        </w:trPr>
        <w:tc>
          <w:tcPr>
            <w:tcW w:w="8409" w:type="dxa"/>
          </w:tcPr>
          <w:p w14:paraId="0EA3B9ED" w14:textId="60CF0D11" w:rsidR="001809F1" w:rsidRPr="001809F1" w:rsidRDefault="001809F1" w:rsidP="00CA49A1">
            <w:pPr>
              <w:spacing w:before="20" w:after="20"/>
              <w:rPr>
                <w:color w:val="000000" w:themeColor="text1"/>
                <w:sz w:val="20"/>
                <w:szCs w:val="20"/>
              </w:rPr>
            </w:pPr>
            <w:r w:rsidRPr="001809F1">
              <w:rPr>
                <w:color w:val="000000" w:themeColor="text1"/>
                <w:sz w:val="20"/>
                <w:szCs w:val="20"/>
              </w:rPr>
              <w:tab/>
            </w:r>
            <w:r>
              <w:rPr>
                <w:color w:val="000000" w:themeColor="text1"/>
                <w:sz w:val="20"/>
                <w:szCs w:val="20"/>
              </w:rPr>
              <w:t>}</w:t>
            </w:r>
          </w:p>
        </w:tc>
        <w:tc>
          <w:tcPr>
            <w:tcW w:w="1333" w:type="dxa"/>
          </w:tcPr>
          <w:p w14:paraId="3A207A70" w14:textId="77777777" w:rsidR="001809F1" w:rsidRDefault="001809F1" w:rsidP="00CA49A1">
            <w:pPr>
              <w:pStyle w:val="tablecell"/>
              <w:keepNext w:val="0"/>
              <w:spacing w:before="20" w:after="40"/>
              <w:jc w:val="center"/>
              <w:rPr>
                <w:rFonts w:ascii="Cambria" w:hAnsi="Cambria"/>
              </w:rPr>
            </w:pPr>
          </w:p>
        </w:tc>
      </w:tr>
      <w:tr w:rsidR="001809F1" w:rsidRPr="00A52AB8" w14:paraId="6FE553CD" w14:textId="77777777" w:rsidTr="001809F1">
        <w:trPr>
          <w:cantSplit/>
          <w:jc w:val="center"/>
        </w:trPr>
        <w:tc>
          <w:tcPr>
            <w:tcW w:w="8409" w:type="dxa"/>
          </w:tcPr>
          <w:p w14:paraId="53EF8AC3" w14:textId="648BEEC7" w:rsidR="001809F1" w:rsidRPr="00A52AB8" w:rsidRDefault="001809F1" w:rsidP="00CA49A1">
            <w:pPr>
              <w:spacing w:before="20" w:after="20"/>
              <w:rPr>
                <w:color w:val="000000" w:themeColor="text1"/>
                <w:sz w:val="20"/>
                <w:szCs w:val="20"/>
              </w:rPr>
            </w:pPr>
            <w:r>
              <w:rPr>
                <w:color w:val="000000" w:themeColor="text1"/>
                <w:sz w:val="20"/>
                <w:szCs w:val="20"/>
              </w:rPr>
              <w:tab/>
              <w:t>if( caf_miv_extension_present_flag )</w:t>
            </w:r>
          </w:p>
        </w:tc>
        <w:tc>
          <w:tcPr>
            <w:tcW w:w="1333" w:type="dxa"/>
          </w:tcPr>
          <w:p w14:paraId="27AB40E5" w14:textId="77777777" w:rsidR="001809F1" w:rsidRPr="00A52AB8" w:rsidRDefault="001809F1" w:rsidP="00CA49A1">
            <w:pPr>
              <w:pStyle w:val="tablecell"/>
              <w:keepNext w:val="0"/>
              <w:spacing w:before="20" w:after="40"/>
              <w:jc w:val="center"/>
              <w:rPr>
                <w:rFonts w:ascii="Cambria" w:hAnsi="Cambria"/>
              </w:rPr>
            </w:pPr>
          </w:p>
        </w:tc>
      </w:tr>
      <w:tr w:rsidR="001809F1" w:rsidRPr="00A52AB8" w14:paraId="0AF4E66B" w14:textId="77777777" w:rsidTr="001809F1">
        <w:trPr>
          <w:cantSplit/>
          <w:jc w:val="center"/>
        </w:trPr>
        <w:tc>
          <w:tcPr>
            <w:tcW w:w="8409" w:type="dxa"/>
          </w:tcPr>
          <w:p w14:paraId="5A7573E6" w14:textId="0BC5A60A" w:rsidR="001809F1" w:rsidRPr="00A52AB8" w:rsidRDefault="001809F1" w:rsidP="00CA49A1">
            <w:pPr>
              <w:spacing w:before="20" w:after="20"/>
              <w:rPr>
                <w:color w:val="000000" w:themeColor="text1"/>
                <w:sz w:val="20"/>
                <w:szCs w:val="20"/>
              </w:rPr>
            </w:pPr>
            <w:r>
              <w:rPr>
                <w:color w:val="000000" w:themeColor="text1"/>
                <w:sz w:val="20"/>
                <w:szCs w:val="20"/>
              </w:rPr>
              <w:tab/>
            </w:r>
            <w:r>
              <w:rPr>
                <w:color w:val="000000" w:themeColor="text1"/>
                <w:sz w:val="20"/>
                <w:szCs w:val="20"/>
              </w:rPr>
              <w:tab/>
              <w:t>caf_miv_extension( ) /* Specified in ISO/IEC 23090-12 */</w:t>
            </w:r>
          </w:p>
        </w:tc>
        <w:tc>
          <w:tcPr>
            <w:tcW w:w="1333" w:type="dxa"/>
          </w:tcPr>
          <w:p w14:paraId="66EC1BD7" w14:textId="77777777" w:rsidR="001809F1" w:rsidRPr="00A52AB8" w:rsidRDefault="001809F1" w:rsidP="00CA49A1">
            <w:pPr>
              <w:pStyle w:val="tablecell"/>
              <w:keepNext w:val="0"/>
              <w:spacing w:before="20" w:after="40"/>
              <w:jc w:val="center"/>
              <w:rPr>
                <w:rFonts w:ascii="Cambria" w:hAnsi="Cambria"/>
              </w:rPr>
            </w:pPr>
          </w:p>
        </w:tc>
      </w:tr>
      <w:tr w:rsidR="001809F1" w:rsidRPr="00A52AB8" w14:paraId="044A86C0" w14:textId="77777777" w:rsidTr="001809F1">
        <w:trPr>
          <w:cantSplit/>
          <w:jc w:val="center"/>
        </w:trPr>
        <w:tc>
          <w:tcPr>
            <w:tcW w:w="8409" w:type="dxa"/>
          </w:tcPr>
          <w:p w14:paraId="5F42C2EE" w14:textId="08CCA079" w:rsidR="001809F1" w:rsidRDefault="001809F1" w:rsidP="00CA49A1">
            <w:pPr>
              <w:spacing w:before="20" w:after="20"/>
              <w:rPr>
                <w:color w:val="000000" w:themeColor="text1"/>
                <w:sz w:val="20"/>
                <w:szCs w:val="20"/>
              </w:rPr>
            </w:pPr>
            <w:r>
              <w:rPr>
                <w:color w:val="000000" w:themeColor="text1"/>
                <w:sz w:val="20"/>
                <w:szCs w:val="20"/>
              </w:rPr>
              <w:lastRenderedPageBreak/>
              <w:tab/>
              <w:t>if( caf_extension_7bits )</w:t>
            </w:r>
          </w:p>
        </w:tc>
        <w:tc>
          <w:tcPr>
            <w:tcW w:w="1333" w:type="dxa"/>
          </w:tcPr>
          <w:p w14:paraId="1F3D0DE3" w14:textId="77777777" w:rsidR="001809F1" w:rsidRPr="00A52AB8" w:rsidRDefault="001809F1" w:rsidP="00CA49A1">
            <w:pPr>
              <w:pStyle w:val="tablecell"/>
              <w:keepNext w:val="0"/>
              <w:spacing w:before="20" w:after="40"/>
              <w:jc w:val="center"/>
              <w:rPr>
                <w:rFonts w:ascii="Cambria" w:hAnsi="Cambria"/>
              </w:rPr>
            </w:pPr>
          </w:p>
        </w:tc>
      </w:tr>
      <w:tr w:rsidR="001809F1" w:rsidRPr="00A52AB8" w14:paraId="775E9B8B" w14:textId="77777777" w:rsidTr="001809F1">
        <w:trPr>
          <w:cantSplit/>
          <w:jc w:val="center"/>
        </w:trPr>
        <w:tc>
          <w:tcPr>
            <w:tcW w:w="8409" w:type="dxa"/>
          </w:tcPr>
          <w:p w14:paraId="06C00152" w14:textId="0B30BC76" w:rsidR="001809F1" w:rsidRDefault="001809F1" w:rsidP="00CA49A1">
            <w:pPr>
              <w:spacing w:before="20" w:after="20"/>
              <w:rPr>
                <w:color w:val="000000" w:themeColor="text1"/>
                <w:sz w:val="20"/>
                <w:szCs w:val="20"/>
              </w:rPr>
            </w:pPr>
            <w:r>
              <w:rPr>
                <w:color w:val="000000" w:themeColor="text1"/>
                <w:sz w:val="20"/>
                <w:szCs w:val="20"/>
              </w:rPr>
              <w:tab/>
            </w:r>
            <w:r>
              <w:rPr>
                <w:color w:val="000000" w:themeColor="text1"/>
                <w:sz w:val="20"/>
                <w:szCs w:val="20"/>
              </w:rPr>
              <w:tab/>
              <w:t>while( more_rbsp_data( ) )</w:t>
            </w:r>
          </w:p>
        </w:tc>
        <w:tc>
          <w:tcPr>
            <w:tcW w:w="1333" w:type="dxa"/>
          </w:tcPr>
          <w:p w14:paraId="0EFF68A8" w14:textId="77777777" w:rsidR="001809F1" w:rsidRPr="00A52AB8" w:rsidRDefault="001809F1" w:rsidP="00CA49A1">
            <w:pPr>
              <w:pStyle w:val="tablecell"/>
              <w:keepNext w:val="0"/>
              <w:spacing w:before="20" w:after="40"/>
              <w:jc w:val="center"/>
              <w:rPr>
                <w:rFonts w:ascii="Cambria" w:hAnsi="Cambria"/>
              </w:rPr>
            </w:pPr>
          </w:p>
        </w:tc>
      </w:tr>
      <w:tr w:rsidR="001809F1" w:rsidRPr="00A52AB8" w14:paraId="29D83F9B" w14:textId="77777777" w:rsidTr="001809F1">
        <w:trPr>
          <w:cantSplit/>
          <w:jc w:val="center"/>
        </w:trPr>
        <w:tc>
          <w:tcPr>
            <w:tcW w:w="8409" w:type="dxa"/>
          </w:tcPr>
          <w:p w14:paraId="41F348BC" w14:textId="29D0016C" w:rsidR="001809F1" w:rsidRPr="00EE3D19" w:rsidRDefault="001809F1" w:rsidP="00CA49A1">
            <w:pPr>
              <w:spacing w:before="20" w:after="20"/>
              <w:rPr>
                <w:b/>
                <w:bCs/>
                <w:color w:val="000000" w:themeColor="text1"/>
                <w:sz w:val="20"/>
                <w:szCs w:val="20"/>
              </w:rPr>
            </w:pPr>
            <w:r>
              <w:rPr>
                <w:color w:val="000000" w:themeColor="text1"/>
                <w:sz w:val="20"/>
                <w:szCs w:val="20"/>
              </w:rPr>
              <w:tab/>
            </w:r>
            <w:r>
              <w:rPr>
                <w:color w:val="000000" w:themeColor="text1"/>
                <w:sz w:val="20"/>
                <w:szCs w:val="20"/>
              </w:rPr>
              <w:tab/>
            </w:r>
            <w:r>
              <w:rPr>
                <w:color w:val="000000" w:themeColor="text1"/>
                <w:sz w:val="20"/>
                <w:szCs w:val="20"/>
              </w:rPr>
              <w:tab/>
            </w:r>
            <w:r w:rsidRPr="00EE3D19">
              <w:rPr>
                <w:b/>
                <w:bCs/>
                <w:color w:val="000000" w:themeColor="text1"/>
                <w:sz w:val="20"/>
                <w:szCs w:val="20"/>
              </w:rPr>
              <w:t>caf_extension_data_flag</w:t>
            </w:r>
          </w:p>
        </w:tc>
        <w:tc>
          <w:tcPr>
            <w:tcW w:w="1333" w:type="dxa"/>
          </w:tcPr>
          <w:p w14:paraId="2D3A1F87" w14:textId="0BA204FF" w:rsidR="001809F1" w:rsidRPr="00A52AB8" w:rsidRDefault="001809F1" w:rsidP="00CA49A1">
            <w:pPr>
              <w:pStyle w:val="tablecell"/>
              <w:keepNext w:val="0"/>
              <w:spacing w:before="20" w:after="40"/>
              <w:jc w:val="center"/>
              <w:rPr>
                <w:rFonts w:ascii="Cambria" w:hAnsi="Cambria"/>
              </w:rPr>
            </w:pPr>
            <w:r>
              <w:rPr>
                <w:rFonts w:ascii="Cambria" w:hAnsi="Cambria"/>
              </w:rPr>
              <w:t>u(1)</w:t>
            </w:r>
          </w:p>
        </w:tc>
      </w:tr>
      <w:tr w:rsidR="001809F1" w:rsidRPr="00A52AB8" w14:paraId="3F0312A5" w14:textId="77777777" w:rsidTr="00EE3D19">
        <w:trPr>
          <w:cantSplit/>
          <w:jc w:val="center"/>
        </w:trPr>
        <w:tc>
          <w:tcPr>
            <w:tcW w:w="8409" w:type="dxa"/>
          </w:tcPr>
          <w:p w14:paraId="294262AD" w14:textId="77777777" w:rsidR="001809F1" w:rsidRPr="00A52AB8" w:rsidRDefault="001809F1" w:rsidP="00CA49A1">
            <w:pPr>
              <w:spacing w:before="20" w:after="20"/>
              <w:rPr>
                <w:color w:val="000000" w:themeColor="text1"/>
                <w:sz w:val="20"/>
                <w:szCs w:val="20"/>
              </w:rPr>
            </w:pPr>
            <w:r w:rsidRPr="00A52AB8">
              <w:rPr>
                <w:color w:val="000000" w:themeColor="text1"/>
                <w:sz w:val="20"/>
                <w:szCs w:val="20"/>
              </w:rPr>
              <w:tab/>
              <w:t>rbsp_trailing_bits( )</w:t>
            </w:r>
          </w:p>
        </w:tc>
        <w:tc>
          <w:tcPr>
            <w:tcW w:w="1333" w:type="dxa"/>
          </w:tcPr>
          <w:p w14:paraId="72D06016" w14:textId="77777777" w:rsidR="001809F1" w:rsidRPr="00A52AB8" w:rsidRDefault="001809F1" w:rsidP="00CA49A1">
            <w:pPr>
              <w:pStyle w:val="tablecell"/>
              <w:keepNext w:val="0"/>
              <w:spacing w:before="20" w:after="40"/>
              <w:jc w:val="center"/>
              <w:rPr>
                <w:rFonts w:ascii="Cambria" w:hAnsi="Cambria"/>
              </w:rPr>
            </w:pPr>
          </w:p>
        </w:tc>
      </w:tr>
      <w:tr w:rsidR="001809F1" w:rsidRPr="00A52AB8" w14:paraId="48E0275D" w14:textId="77777777" w:rsidTr="00EE3D19">
        <w:trPr>
          <w:cantSplit/>
          <w:jc w:val="center"/>
        </w:trPr>
        <w:tc>
          <w:tcPr>
            <w:tcW w:w="8409" w:type="dxa"/>
          </w:tcPr>
          <w:p w14:paraId="73EF1815" w14:textId="77777777" w:rsidR="001809F1" w:rsidRPr="00A52AB8" w:rsidRDefault="001809F1" w:rsidP="00CA49A1">
            <w:pPr>
              <w:spacing w:before="20" w:after="20"/>
              <w:rPr>
                <w:color w:val="000000" w:themeColor="text1"/>
                <w:sz w:val="20"/>
                <w:szCs w:val="20"/>
              </w:rPr>
            </w:pPr>
            <w:r w:rsidRPr="00A52AB8">
              <w:rPr>
                <w:color w:val="000000" w:themeColor="text1"/>
                <w:sz w:val="20"/>
                <w:szCs w:val="20"/>
              </w:rPr>
              <w:t>}</w:t>
            </w:r>
          </w:p>
        </w:tc>
        <w:tc>
          <w:tcPr>
            <w:tcW w:w="1333" w:type="dxa"/>
          </w:tcPr>
          <w:p w14:paraId="367BDD28" w14:textId="77777777" w:rsidR="001809F1" w:rsidRPr="00A52AB8" w:rsidRDefault="001809F1" w:rsidP="00CA49A1">
            <w:pPr>
              <w:pStyle w:val="tablecell"/>
              <w:keepNext w:val="0"/>
              <w:spacing w:before="20" w:after="40"/>
              <w:jc w:val="center"/>
              <w:rPr>
                <w:rFonts w:ascii="Cambria" w:hAnsi="Cambria"/>
              </w:rPr>
            </w:pPr>
          </w:p>
        </w:tc>
      </w:tr>
    </w:tbl>
    <w:p w14:paraId="59338CF6" w14:textId="1E88CECD" w:rsidR="00F97FCF" w:rsidRPr="00A52AB8" w:rsidRDefault="002A47BD">
      <w:pPr>
        <w:pStyle w:val="Heading3"/>
      </w:pPr>
      <w:bookmarkStart w:id="743" w:name="_Toc52181609"/>
      <w:r w:rsidRPr="00A52AB8">
        <w:t xml:space="preserve">Atlas </w:t>
      </w:r>
      <w:r w:rsidR="00B8075E" w:rsidRPr="00A52AB8">
        <w:t>tile</w:t>
      </w:r>
      <w:r w:rsidR="008F396A" w:rsidRPr="00A52AB8">
        <w:t xml:space="preserve"> </w:t>
      </w:r>
      <w:r w:rsidR="00F97FCF" w:rsidRPr="00A52AB8">
        <w:t xml:space="preserve">data </w:t>
      </w:r>
      <w:r w:rsidR="00454B79" w:rsidRPr="00A52AB8">
        <w:t xml:space="preserve">unit </w:t>
      </w:r>
      <w:r w:rsidR="00F97FCF" w:rsidRPr="00A52AB8">
        <w:t>syntax</w:t>
      </w:r>
      <w:bookmarkEnd w:id="742"/>
      <w:bookmarkEnd w:id="743"/>
    </w:p>
    <w:p w14:paraId="29B3A02C" w14:textId="77777777" w:rsidR="008D6AFA" w:rsidRPr="00A52AB8" w:rsidRDefault="008D6AFA" w:rsidP="00CB76AA">
      <w:pPr>
        <w:pStyle w:val="Heading4"/>
      </w:pPr>
      <w:bookmarkStart w:id="744" w:name="_Hlk49348836"/>
      <w:bookmarkStart w:id="745" w:name="_Hlk49348581"/>
      <w:r w:rsidRPr="00A52AB8">
        <w:t xml:space="preserve">General </w:t>
      </w:r>
      <w:r w:rsidR="002A47BD" w:rsidRPr="00A52AB8">
        <w:t xml:space="preserve">atlas </w:t>
      </w:r>
      <w:r w:rsidR="00B8075E" w:rsidRPr="00A52AB8">
        <w:t>tile</w:t>
      </w:r>
      <w:r w:rsidRPr="00A52AB8">
        <w:t xml:space="preserve"> data unit syntax</w:t>
      </w:r>
    </w:p>
    <w:tbl>
      <w:tblPr>
        <w:tblStyle w:val="TableGrid"/>
        <w:tblW w:w="5000" w:type="pct"/>
        <w:tblLayout w:type="fixed"/>
        <w:tblLook w:val="04A0" w:firstRow="1" w:lastRow="0" w:firstColumn="1" w:lastColumn="0" w:noHBand="0" w:noVBand="1"/>
      </w:tblPr>
      <w:tblGrid>
        <w:gridCol w:w="8411"/>
        <w:gridCol w:w="1331"/>
      </w:tblGrid>
      <w:tr w:rsidR="008B4791" w:rsidRPr="00A52AB8" w14:paraId="7CF1B6DC" w14:textId="77777777" w:rsidTr="004A6049">
        <w:tc>
          <w:tcPr>
            <w:tcW w:w="7921" w:type="dxa"/>
          </w:tcPr>
          <w:bookmarkEnd w:id="744"/>
          <w:p w14:paraId="6B14738D" w14:textId="0EBDA2DE" w:rsidR="008B4791" w:rsidRPr="00A52AB8" w:rsidRDefault="002A47BD" w:rsidP="004A6049">
            <w:pPr>
              <w:tabs>
                <w:tab w:val="clear" w:pos="1210"/>
                <w:tab w:val="clear" w:pos="1613"/>
                <w:tab w:val="clear" w:pos="2016"/>
                <w:tab w:val="clear" w:pos="2419"/>
                <w:tab w:val="clear" w:pos="2822"/>
                <w:tab w:val="clear" w:pos="3226"/>
                <w:tab w:val="clear" w:pos="3629"/>
                <w:tab w:val="clear" w:pos="4032"/>
                <w:tab w:val="clear" w:pos="4435"/>
                <w:tab w:val="clear" w:pos="9677"/>
              </w:tabs>
              <w:spacing w:before="20" w:after="20"/>
              <w:rPr>
                <w:color w:val="000000" w:themeColor="text1"/>
                <w:sz w:val="20"/>
                <w:szCs w:val="20"/>
              </w:rPr>
            </w:pPr>
            <w:r w:rsidRPr="00A52AB8">
              <w:rPr>
                <w:color w:val="000000" w:themeColor="text1"/>
                <w:sz w:val="20"/>
                <w:szCs w:val="20"/>
              </w:rPr>
              <w:t>atlas</w:t>
            </w:r>
            <w:r w:rsidR="008B4791" w:rsidRPr="00A52AB8">
              <w:rPr>
                <w:color w:val="000000" w:themeColor="text1"/>
                <w:sz w:val="20"/>
                <w:szCs w:val="20"/>
              </w:rPr>
              <w:t>_</w:t>
            </w:r>
            <w:r w:rsidR="00B8075E" w:rsidRPr="00A52AB8">
              <w:rPr>
                <w:color w:val="000000" w:themeColor="text1"/>
                <w:sz w:val="20"/>
                <w:szCs w:val="20"/>
              </w:rPr>
              <w:t>tile</w:t>
            </w:r>
            <w:r w:rsidR="008B4791" w:rsidRPr="00A52AB8">
              <w:rPr>
                <w:color w:val="000000" w:themeColor="text1"/>
                <w:sz w:val="20"/>
                <w:szCs w:val="20"/>
              </w:rPr>
              <w:t>_data_unit(</w:t>
            </w:r>
            <w:r w:rsidR="00EF6E3D" w:rsidRPr="00A52AB8">
              <w:rPr>
                <w:color w:val="000000" w:themeColor="text1"/>
                <w:sz w:val="20"/>
                <w:szCs w:val="20"/>
              </w:rPr>
              <w:t> </w:t>
            </w:r>
            <w:r w:rsidR="00632FA7" w:rsidRPr="00A52AB8">
              <w:rPr>
                <w:color w:val="000000" w:themeColor="text1"/>
                <w:sz w:val="20"/>
                <w:szCs w:val="20"/>
              </w:rPr>
              <w:t>tileID</w:t>
            </w:r>
            <w:r w:rsidR="00656310" w:rsidRPr="00A52AB8">
              <w:rPr>
                <w:color w:val="000000"/>
                <w:sz w:val="20"/>
                <w:szCs w:val="20"/>
              </w:rPr>
              <w:t> </w:t>
            </w:r>
            <w:r w:rsidR="008F1F82" w:rsidRPr="00A52AB8">
              <w:rPr>
                <w:color w:val="000000" w:themeColor="text1"/>
                <w:sz w:val="20"/>
                <w:szCs w:val="20"/>
              </w:rPr>
              <w:t>) {</w:t>
            </w:r>
          </w:p>
        </w:tc>
        <w:tc>
          <w:tcPr>
            <w:tcW w:w="1253" w:type="dxa"/>
          </w:tcPr>
          <w:p w14:paraId="0AA1D193" w14:textId="77777777" w:rsidR="008B4791" w:rsidRPr="00A52AB8" w:rsidRDefault="008B4791" w:rsidP="004A6049">
            <w:pPr>
              <w:tabs>
                <w:tab w:val="clear" w:pos="1210"/>
                <w:tab w:val="clear" w:pos="1613"/>
                <w:tab w:val="clear" w:pos="2016"/>
                <w:tab w:val="clear" w:pos="2419"/>
                <w:tab w:val="clear" w:pos="2822"/>
                <w:tab w:val="clear" w:pos="3226"/>
                <w:tab w:val="clear" w:pos="3629"/>
                <w:tab w:val="clear" w:pos="4032"/>
                <w:tab w:val="clear" w:pos="4435"/>
                <w:tab w:val="clear" w:pos="9677"/>
              </w:tabs>
              <w:spacing w:before="20" w:after="20"/>
              <w:jc w:val="center"/>
              <w:rPr>
                <w:b/>
                <w:color w:val="000000" w:themeColor="text1"/>
                <w:sz w:val="20"/>
                <w:szCs w:val="20"/>
              </w:rPr>
            </w:pPr>
            <w:r w:rsidRPr="00A52AB8">
              <w:rPr>
                <w:b/>
                <w:color w:val="000000" w:themeColor="text1"/>
                <w:sz w:val="20"/>
                <w:szCs w:val="20"/>
              </w:rPr>
              <w:t>Descriptor</w:t>
            </w:r>
          </w:p>
        </w:tc>
      </w:tr>
      <w:tr w:rsidR="00426F5F" w:rsidRPr="00A52AB8" w14:paraId="1024B34B" w14:textId="77777777" w:rsidTr="004A6049">
        <w:tc>
          <w:tcPr>
            <w:tcW w:w="7921" w:type="dxa"/>
          </w:tcPr>
          <w:p w14:paraId="60011A8B" w14:textId="6157369C" w:rsidR="00426F5F" w:rsidRPr="00A52AB8" w:rsidRDefault="00426F5F" w:rsidP="004A6049">
            <w:pPr>
              <w:tabs>
                <w:tab w:val="clear" w:pos="1210"/>
                <w:tab w:val="clear" w:pos="1613"/>
                <w:tab w:val="clear" w:pos="2016"/>
                <w:tab w:val="clear" w:pos="2419"/>
                <w:tab w:val="clear" w:pos="2822"/>
                <w:tab w:val="clear" w:pos="3226"/>
                <w:tab w:val="clear" w:pos="3629"/>
                <w:tab w:val="clear" w:pos="4032"/>
                <w:tab w:val="clear" w:pos="4435"/>
                <w:tab w:val="clear" w:pos="9677"/>
              </w:tabs>
              <w:spacing w:after="0" w:line="240" w:lineRule="auto"/>
              <w:jc w:val="left"/>
              <w:rPr>
                <w:sz w:val="24"/>
                <w:szCs w:val="24"/>
              </w:rPr>
            </w:pPr>
            <w:r w:rsidRPr="00A52AB8">
              <w:rPr>
                <w:color w:val="000000"/>
                <w:sz w:val="20"/>
                <w:szCs w:val="20"/>
              </w:rPr>
              <w:tab/>
            </w:r>
            <w:r w:rsidR="00D63ACE" w:rsidRPr="00A52AB8">
              <w:rPr>
                <w:color w:val="000000"/>
                <w:sz w:val="20"/>
                <w:szCs w:val="20"/>
              </w:rPr>
              <w:t>if(</w:t>
            </w:r>
            <w:r w:rsidRPr="00A52AB8">
              <w:rPr>
                <w:color w:val="000000"/>
                <w:sz w:val="20"/>
                <w:szCs w:val="20"/>
              </w:rPr>
              <w:t> ath_type</w:t>
            </w:r>
            <w:r w:rsidR="008768E9" w:rsidRPr="00A52AB8">
              <w:rPr>
                <w:color w:val="000000"/>
                <w:sz w:val="20"/>
                <w:szCs w:val="20"/>
              </w:rPr>
              <w:t> </w:t>
            </w:r>
            <w:r w:rsidR="00726AAE" w:rsidRPr="00A52AB8">
              <w:rPr>
                <w:color w:val="000000"/>
                <w:sz w:val="20"/>
                <w:szCs w:val="20"/>
              </w:rPr>
              <w:t>==</w:t>
            </w:r>
            <w:r w:rsidR="00D47707" w:rsidRPr="00A52AB8">
              <w:rPr>
                <w:color w:val="000000"/>
                <w:sz w:val="20"/>
                <w:szCs w:val="20"/>
              </w:rPr>
              <w:t> </w:t>
            </w:r>
            <w:r w:rsidRPr="00A52AB8">
              <w:rPr>
                <w:color w:val="000000"/>
                <w:sz w:val="20"/>
                <w:szCs w:val="20"/>
              </w:rPr>
              <w:t>SKIP_TILE </w:t>
            </w:r>
            <w:r w:rsidR="008F1F82" w:rsidRPr="00A52AB8">
              <w:rPr>
                <w:color w:val="000000"/>
                <w:sz w:val="20"/>
                <w:szCs w:val="20"/>
              </w:rPr>
              <w:t>) {</w:t>
            </w:r>
          </w:p>
        </w:tc>
        <w:tc>
          <w:tcPr>
            <w:tcW w:w="1253" w:type="dxa"/>
          </w:tcPr>
          <w:p w14:paraId="256433D2" w14:textId="77777777" w:rsidR="00426F5F" w:rsidRPr="00A52AB8" w:rsidRDefault="00426F5F" w:rsidP="004A6049">
            <w:pPr>
              <w:tabs>
                <w:tab w:val="clear" w:pos="1210"/>
                <w:tab w:val="clear" w:pos="1613"/>
                <w:tab w:val="clear" w:pos="2016"/>
                <w:tab w:val="clear" w:pos="2419"/>
                <w:tab w:val="clear" w:pos="2822"/>
                <w:tab w:val="clear" w:pos="3226"/>
                <w:tab w:val="clear" w:pos="3629"/>
                <w:tab w:val="clear" w:pos="4032"/>
                <w:tab w:val="clear" w:pos="4435"/>
                <w:tab w:val="clear" w:pos="9677"/>
              </w:tabs>
              <w:spacing w:before="20" w:after="20"/>
              <w:jc w:val="center"/>
              <w:rPr>
                <w:color w:val="000000" w:themeColor="text1"/>
                <w:sz w:val="20"/>
                <w:szCs w:val="20"/>
              </w:rPr>
            </w:pPr>
          </w:p>
        </w:tc>
      </w:tr>
      <w:tr w:rsidR="008B4791" w:rsidRPr="00A52AB8" w14:paraId="71300AD8" w14:textId="77777777" w:rsidTr="004A6049">
        <w:tc>
          <w:tcPr>
            <w:tcW w:w="7921" w:type="dxa"/>
          </w:tcPr>
          <w:p w14:paraId="6AFEF9F8" w14:textId="69D6F368" w:rsidR="008B4791" w:rsidRPr="00A52AB8" w:rsidRDefault="008B4791" w:rsidP="004A6049">
            <w:pPr>
              <w:tabs>
                <w:tab w:val="clear" w:pos="1210"/>
                <w:tab w:val="clear" w:pos="1613"/>
                <w:tab w:val="clear" w:pos="2016"/>
                <w:tab w:val="clear" w:pos="2419"/>
                <w:tab w:val="clear" w:pos="2822"/>
                <w:tab w:val="clear" w:pos="3226"/>
                <w:tab w:val="clear" w:pos="3629"/>
                <w:tab w:val="clear" w:pos="4032"/>
                <w:tab w:val="clear" w:pos="4435"/>
                <w:tab w:val="clear" w:pos="9677"/>
              </w:tabs>
              <w:spacing w:after="0" w:line="240" w:lineRule="auto"/>
              <w:jc w:val="left"/>
              <w:rPr>
                <w:sz w:val="24"/>
                <w:szCs w:val="24"/>
              </w:rPr>
            </w:pPr>
            <w:r w:rsidRPr="00A52AB8">
              <w:rPr>
                <w:color w:val="000000" w:themeColor="text1"/>
                <w:sz w:val="20"/>
                <w:szCs w:val="20"/>
              </w:rPr>
              <w:tab/>
            </w:r>
            <w:r w:rsidR="00426F5F" w:rsidRPr="00A52AB8">
              <w:rPr>
                <w:color w:val="000000"/>
                <w:sz w:val="20"/>
                <w:szCs w:val="20"/>
              </w:rPr>
              <w:tab/>
              <w:t>for( p</w:t>
            </w:r>
            <w:r w:rsidR="00D47707" w:rsidRPr="00A52AB8">
              <w:rPr>
                <w:color w:val="000000"/>
                <w:sz w:val="20"/>
                <w:szCs w:val="20"/>
              </w:rPr>
              <w:t> = </w:t>
            </w:r>
            <w:r w:rsidR="00426F5F" w:rsidRPr="00A52AB8">
              <w:rPr>
                <w:color w:val="000000"/>
                <w:sz w:val="20"/>
                <w:szCs w:val="20"/>
              </w:rPr>
              <w:t>0; p &lt; RefAtdu</w:t>
            </w:r>
            <w:r w:rsidR="00D12C68" w:rsidRPr="00A52AB8">
              <w:rPr>
                <w:color w:val="000000"/>
                <w:sz w:val="20"/>
                <w:szCs w:val="20"/>
              </w:rPr>
              <w:t>TotalNum</w:t>
            </w:r>
            <w:r w:rsidR="00426F5F" w:rsidRPr="00A52AB8">
              <w:rPr>
                <w:color w:val="000000"/>
                <w:sz w:val="20"/>
                <w:szCs w:val="20"/>
              </w:rPr>
              <w:t>Patches[ </w:t>
            </w:r>
            <w:r w:rsidR="00632FA7" w:rsidRPr="00A52AB8">
              <w:rPr>
                <w:color w:val="000000" w:themeColor="text1"/>
                <w:sz w:val="20"/>
                <w:szCs w:val="20"/>
              </w:rPr>
              <w:t>tileID</w:t>
            </w:r>
            <w:r w:rsidR="00426F5F" w:rsidRPr="00A52AB8">
              <w:rPr>
                <w:color w:val="000000"/>
                <w:sz w:val="20"/>
                <w:szCs w:val="20"/>
              </w:rPr>
              <w:t> ]</w:t>
            </w:r>
            <w:r w:rsidR="000D414B" w:rsidRPr="00A52AB8">
              <w:rPr>
                <w:color w:val="000000"/>
                <w:sz w:val="20"/>
                <w:szCs w:val="20"/>
              </w:rPr>
              <w:t>; </w:t>
            </w:r>
            <w:r w:rsidR="00426F5F" w:rsidRPr="00A52AB8">
              <w:rPr>
                <w:color w:val="000000"/>
                <w:sz w:val="20"/>
                <w:szCs w:val="20"/>
              </w:rPr>
              <w:t>p</w:t>
            </w:r>
            <w:r w:rsidR="00006CCF" w:rsidRPr="00A52AB8">
              <w:rPr>
                <w:color w:val="000000"/>
                <w:sz w:val="20"/>
                <w:szCs w:val="20"/>
              </w:rPr>
              <w:t>++ )</w:t>
            </w:r>
          </w:p>
        </w:tc>
        <w:tc>
          <w:tcPr>
            <w:tcW w:w="1253" w:type="dxa"/>
          </w:tcPr>
          <w:p w14:paraId="52C88200" w14:textId="77777777" w:rsidR="008B4791" w:rsidRPr="00A52AB8" w:rsidRDefault="008B4791" w:rsidP="004A6049">
            <w:pPr>
              <w:tabs>
                <w:tab w:val="clear" w:pos="1210"/>
                <w:tab w:val="clear" w:pos="1613"/>
                <w:tab w:val="clear" w:pos="2016"/>
                <w:tab w:val="clear" w:pos="2419"/>
                <w:tab w:val="clear" w:pos="2822"/>
                <w:tab w:val="clear" w:pos="3226"/>
                <w:tab w:val="clear" w:pos="3629"/>
                <w:tab w:val="clear" w:pos="4032"/>
                <w:tab w:val="clear" w:pos="4435"/>
                <w:tab w:val="clear" w:pos="9677"/>
              </w:tabs>
              <w:spacing w:before="20" w:after="20"/>
              <w:jc w:val="center"/>
              <w:rPr>
                <w:color w:val="000000" w:themeColor="text1"/>
                <w:sz w:val="20"/>
                <w:szCs w:val="20"/>
              </w:rPr>
            </w:pPr>
          </w:p>
        </w:tc>
      </w:tr>
      <w:tr w:rsidR="00426F5F" w:rsidRPr="00A52AB8" w14:paraId="7E12BE35" w14:textId="77777777" w:rsidTr="004A6049">
        <w:tc>
          <w:tcPr>
            <w:tcW w:w="7921" w:type="dxa"/>
          </w:tcPr>
          <w:p w14:paraId="5B1D004C" w14:textId="77777777" w:rsidR="00426F5F" w:rsidRPr="00A52AB8" w:rsidRDefault="00426F5F" w:rsidP="004A6049">
            <w:pPr>
              <w:tabs>
                <w:tab w:val="clear" w:pos="1210"/>
                <w:tab w:val="clear" w:pos="1613"/>
                <w:tab w:val="clear" w:pos="2016"/>
                <w:tab w:val="clear" w:pos="2419"/>
                <w:tab w:val="clear" w:pos="2822"/>
                <w:tab w:val="clear" w:pos="3226"/>
                <w:tab w:val="clear" w:pos="3629"/>
                <w:tab w:val="clear" w:pos="4032"/>
                <w:tab w:val="clear" w:pos="4435"/>
                <w:tab w:val="clear" w:pos="9677"/>
              </w:tabs>
              <w:spacing w:after="0" w:line="240" w:lineRule="auto"/>
              <w:jc w:val="left"/>
              <w:rPr>
                <w:sz w:val="24"/>
                <w:szCs w:val="24"/>
              </w:rPr>
            </w:pPr>
            <w:r w:rsidRPr="00A52AB8">
              <w:rPr>
                <w:color w:val="000000" w:themeColor="text1"/>
                <w:sz w:val="20"/>
                <w:szCs w:val="20"/>
              </w:rPr>
              <w:tab/>
            </w:r>
            <w:r w:rsidRPr="00A52AB8">
              <w:rPr>
                <w:color w:val="000000" w:themeColor="text1"/>
                <w:sz w:val="20"/>
                <w:szCs w:val="20"/>
              </w:rPr>
              <w:tab/>
            </w:r>
            <w:r w:rsidRPr="00A52AB8">
              <w:rPr>
                <w:color w:val="000000" w:themeColor="text1"/>
                <w:sz w:val="20"/>
                <w:szCs w:val="20"/>
              </w:rPr>
              <w:tab/>
            </w:r>
            <w:r w:rsidRPr="00A52AB8">
              <w:rPr>
                <w:color w:val="000000"/>
                <w:sz w:val="20"/>
                <w:szCs w:val="20"/>
              </w:rPr>
              <w:t>skip_patch_data_unit(</w:t>
            </w:r>
            <w:r w:rsidR="00A846C2" w:rsidRPr="00A52AB8">
              <w:rPr>
                <w:color w:val="000000" w:themeColor="text1"/>
                <w:sz w:val="20"/>
                <w:szCs w:val="20"/>
              </w:rPr>
              <w:t> </w:t>
            </w:r>
            <w:r w:rsidRPr="00A52AB8">
              <w:rPr>
                <w:color w:val="000000"/>
                <w:sz w:val="20"/>
                <w:szCs w:val="20"/>
              </w:rPr>
              <w:t>)</w:t>
            </w:r>
          </w:p>
        </w:tc>
        <w:tc>
          <w:tcPr>
            <w:tcW w:w="1253" w:type="dxa"/>
          </w:tcPr>
          <w:p w14:paraId="02A138F5" w14:textId="77777777" w:rsidR="00426F5F" w:rsidRPr="00A52AB8" w:rsidRDefault="00426F5F" w:rsidP="004A6049">
            <w:pPr>
              <w:tabs>
                <w:tab w:val="clear" w:pos="1210"/>
                <w:tab w:val="clear" w:pos="1613"/>
                <w:tab w:val="clear" w:pos="2016"/>
                <w:tab w:val="clear" w:pos="2419"/>
                <w:tab w:val="clear" w:pos="2822"/>
                <w:tab w:val="clear" w:pos="3226"/>
                <w:tab w:val="clear" w:pos="3629"/>
                <w:tab w:val="clear" w:pos="4032"/>
                <w:tab w:val="clear" w:pos="4435"/>
                <w:tab w:val="clear" w:pos="9677"/>
              </w:tabs>
              <w:spacing w:before="20" w:after="20"/>
              <w:jc w:val="center"/>
              <w:rPr>
                <w:color w:val="000000" w:themeColor="text1"/>
                <w:sz w:val="20"/>
                <w:szCs w:val="20"/>
              </w:rPr>
            </w:pPr>
          </w:p>
        </w:tc>
      </w:tr>
      <w:tr w:rsidR="00426F5F" w:rsidRPr="00A52AB8" w14:paraId="4B50BCBE" w14:textId="77777777" w:rsidTr="004A6049">
        <w:tc>
          <w:tcPr>
            <w:tcW w:w="7921" w:type="dxa"/>
          </w:tcPr>
          <w:p w14:paraId="3017E1BB" w14:textId="7644DCD5" w:rsidR="00426F5F" w:rsidRPr="00A52AB8" w:rsidRDefault="00426F5F" w:rsidP="004A6049">
            <w:pPr>
              <w:tabs>
                <w:tab w:val="clear" w:pos="1210"/>
                <w:tab w:val="clear" w:pos="1613"/>
                <w:tab w:val="clear" w:pos="2016"/>
                <w:tab w:val="clear" w:pos="2419"/>
                <w:tab w:val="clear" w:pos="2822"/>
                <w:tab w:val="clear" w:pos="3226"/>
                <w:tab w:val="clear" w:pos="3629"/>
                <w:tab w:val="clear" w:pos="4032"/>
                <w:tab w:val="clear" w:pos="4435"/>
                <w:tab w:val="clear" w:pos="9677"/>
              </w:tabs>
              <w:spacing w:before="20" w:after="20"/>
              <w:rPr>
                <w:color w:val="000000" w:themeColor="text1"/>
                <w:sz w:val="20"/>
                <w:szCs w:val="20"/>
              </w:rPr>
            </w:pPr>
            <w:r w:rsidRPr="00A52AB8">
              <w:rPr>
                <w:color w:val="000000" w:themeColor="text1"/>
                <w:sz w:val="20"/>
                <w:szCs w:val="20"/>
              </w:rPr>
              <w:tab/>
            </w:r>
            <w:r w:rsidR="0023721F" w:rsidRPr="00A52AB8">
              <w:rPr>
                <w:color w:val="000000" w:themeColor="text1"/>
                <w:sz w:val="20"/>
                <w:szCs w:val="20"/>
              </w:rPr>
              <w:t>} else {</w:t>
            </w:r>
          </w:p>
        </w:tc>
        <w:tc>
          <w:tcPr>
            <w:tcW w:w="1253" w:type="dxa"/>
          </w:tcPr>
          <w:p w14:paraId="1F3B91B0" w14:textId="77777777" w:rsidR="00426F5F" w:rsidRPr="00A52AB8" w:rsidRDefault="00426F5F" w:rsidP="004A6049">
            <w:pPr>
              <w:tabs>
                <w:tab w:val="clear" w:pos="1210"/>
                <w:tab w:val="clear" w:pos="1613"/>
                <w:tab w:val="clear" w:pos="2016"/>
                <w:tab w:val="clear" w:pos="2419"/>
                <w:tab w:val="clear" w:pos="2822"/>
                <w:tab w:val="clear" w:pos="3226"/>
                <w:tab w:val="clear" w:pos="3629"/>
                <w:tab w:val="clear" w:pos="4032"/>
                <w:tab w:val="clear" w:pos="4435"/>
                <w:tab w:val="clear" w:pos="9677"/>
              </w:tabs>
              <w:spacing w:before="20" w:after="20"/>
              <w:jc w:val="center"/>
              <w:rPr>
                <w:color w:val="000000" w:themeColor="text1"/>
                <w:sz w:val="20"/>
                <w:szCs w:val="20"/>
              </w:rPr>
            </w:pPr>
          </w:p>
        </w:tc>
      </w:tr>
      <w:bookmarkEnd w:id="745"/>
      <w:tr w:rsidR="00426F5F" w:rsidRPr="00A52AB8" w14:paraId="52D673BC" w14:textId="77777777" w:rsidTr="004A6049">
        <w:tc>
          <w:tcPr>
            <w:tcW w:w="7921" w:type="dxa"/>
          </w:tcPr>
          <w:p w14:paraId="73659A84" w14:textId="7DAD5BEC" w:rsidR="00426F5F" w:rsidRPr="00A52AB8" w:rsidRDefault="00426F5F" w:rsidP="004A6049">
            <w:pPr>
              <w:tabs>
                <w:tab w:val="clear" w:pos="1210"/>
                <w:tab w:val="clear" w:pos="1613"/>
                <w:tab w:val="clear" w:pos="2016"/>
                <w:tab w:val="clear" w:pos="2419"/>
                <w:tab w:val="clear" w:pos="2822"/>
                <w:tab w:val="clear" w:pos="3226"/>
                <w:tab w:val="clear" w:pos="3629"/>
                <w:tab w:val="clear" w:pos="4032"/>
                <w:tab w:val="clear" w:pos="4435"/>
                <w:tab w:val="clear" w:pos="9677"/>
              </w:tabs>
              <w:spacing w:before="20" w:after="20"/>
              <w:rPr>
                <w:color w:val="000000" w:themeColor="text1"/>
                <w:sz w:val="20"/>
                <w:szCs w:val="20"/>
              </w:rPr>
            </w:pPr>
            <w:r w:rsidRPr="00A52AB8">
              <w:rPr>
                <w:color w:val="000000" w:themeColor="text1"/>
                <w:sz w:val="20"/>
                <w:szCs w:val="20"/>
              </w:rPr>
              <w:tab/>
            </w:r>
            <w:r w:rsidR="00B53EC4" w:rsidRPr="00A52AB8">
              <w:rPr>
                <w:color w:val="000000" w:themeColor="text1"/>
                <w:sz w:val="20"/>
                <w:szCs w:val="20"/>
              </w:rPr>
              <w:tab/>
            </w:r>
            <w:r w:rsidRPr="00A52AB8">
              <w:rPr>
                <w:color w:val="000000" w:themeColor="text1"/>
                <w:sz w:val="20"/>
                <w:szCs w:val="20"/>
              </w:rPr>
              <w:t>p</w:t>
            </w:r>
            <w:r w:rsidR="00D47707" w:rsidRPr="00A52AB8">
              <w:rPr>
                <w:color w:val="000000" w:themeColor="text1"/>
                <w:sz w:val="20"/>
                <w:szCs w:val="20"/>
              </w:rPr>
              <w:t> = </w:t>
            </w:r>
            <w:r w:rsidRPr="00A52AB8">
              <w:rPr>
                <w:color w:val="000000" w:themeColor="text1"/>
                <w:sz w:val="20"/>
                <w:szCs w:val="20"/>
              </w:rPr>
              <w:t>0</w:t>
            </w:r>
          </w:p>
        </w:tc>
        <w:tc>
          <w:tcPr>
            <w:tcW w:w="1253" w:type="dxa"/>
          </w:tcPr>
          <w:p w14:paraId="1BE59D76" w14:textId="77777777" w:rsidR="00426F5F" w:rsidRPr="00A52AB8" w:rsidRDefault="00426F5F" w:rsidP="004A6049">
            <w:pPr>
              <w:tabs>
                <w:tab w:val="clear" w:pos="1210"/>
                <w:tab w:val="clear" w:pos="1613"/>
                <w:tab w:val="clear" w:pos="2016"/>
                <w:tab w:val="clear" w:pos="2419"/>
                <w:tab w:val="clear" w:pos="2822"/>
                <w:tab w:val="clear" w:pos="3226"/>
                <w:tab w:val="clear" w:pos="3629"/>
                <w:tab w:val="clear" w:pos="4032"/>
                <w:tab w:val="clear" w:pos="4435"/>
                <w:tab w:val="clear" w:pos="9677"/>
              </w:tabs>
              <w:spacing w:before="20" w:after="20"/>
              <w:jc w:val="center"/>
              <w:rPr>
                <w:color w:val="000000" w:themeColor="text1"/>
                <w:sz w:val="20"/>
                <w:szCs w:val="20"/>
              </w:rPr>
            </w:pPr>
          </w:p>
        </w:tc>
      </w:tr>
      <w:tr w:rsidR="008B4791" w:rsidRPr="00A52AB8" w14:paraId="03252B08" w14:textId="77777777" w:rsidTr="004A6049">
        <w:tc>
          <w:tcPr>
            <w:tcW w:w="7921" w:type="dxa"/>
          </w:tcPr>
          <w:p w14:paraId="0822D229" w14:textId="77777777" w:rsidR="008B4791" w:rsidRPr="00A52AB8" w:rsidRDefault="008B4791" w:rsidP="004A6049">
            <w:pPr>
              <w:tabs>
                <w:tab w:val="clear" w:pos="1210"/>
                <w:tab w:val="clear" w:pos="1613"/>
                <w:tab w:val="clear" w:pos="2016"/>
                <w:tab w:val="clear" w:pos="2419"/>
                <w:tab w:val="clear" w:pos="2822"/>
                <w:tab w:val="clear" w:pos="3226"/>
                <w:tab w:val="clear" w:pos="3629"/>
                <w:tab w:val="clear" w:pos="4032"/>
                <w:tab w:val="clear" w:pos="4435"/>
                <w:tab w:val="clear" w:pos="9677"/>
              </w:tabs>
              <w:spacing w:after="0" w:line="240" w:lineRule="auto"/>
              <w:jc w:val="left"/>
              <w:rPr>
                <w:sz w:val="24"/>
                <w:szCs w:val="24"/>
              </w:rPr>
            </w:pPr>
            <w:r w:rsidRPr="00A52AB8">
              <w:rPr>
                <w:color w:val="000000" w:themeColor="text1"/>
                <w:sz w:val="20"/>
                <w:szCs w:val="20"/>
              </w:rPr>
              <w:tab/>
            </w:r>
            <w:r w:rsidR="00B53EC4" w:rsidRPr="00A52AB8">
              <w:rPr>
                <w:color w:val="000000" w:themeColor="text1"/>
                <w:sz w:val="20"/>
                <w:szCs w:val="20"/>
              </w:rPr>
              <w:tab/>
            </w:r>
            <w:r w:rsidR="00B53EC4" w:rsidRPr="00A52AB8">
              <w:rPr>
                <w:color w:val="000000"/>
                <w:sz w:val="20"/>
                <w:szCs w:val="20"/>
              </w:rPr>
              <w:t>do {</w:t>
            </w:r>
          </w:p>
        </w:tc>
        <w:tc>
          <w:tcPr>
            <w:tcW w:w="1253" w:type="dxa"/>
          </w:tcPr>
          <w:p w14:paraId="3AE520B9" w14:textId="77777777" w:rsidR="008B4791" w:rsidRPr="00A52AB8" w:rsidRDefault="008B4791" w:rsidP="004A6049">
            <w:pPr>
              <w:tabs>
                <w:tab w:val="clear" w:pos="1210"/>
                <w:tab w:val="clear" w:pos="1613"/>
                <w:tab w:val="clear" w:pos="2016"/>
                <w:tab w:val="clear" w:pos="2419"/>
                <w:tab w:val="clear" w:pos="2822"/>
                <w:tab w:val="clear" w:pos="3226"/>
                <w:tab w:val="clear" w:pos="3629"/>
                <w:tab w:val="clear" w:pos="4032"/>
                <w:tab w:val="clear" w:pos="4435"/>
                <w:tab w:val="clear" w:pos="9677"/>
              </w:tabs>
              <w:spacing w:before="20" w:after="20"/>
              <w:jc w:val="center"/>
              <w:rPr>
                <w:b/>
                <w:color w:val="000000" w:themeColor="text1"/>
                <w:sz w:val="20"/>
                <w:szCs w:val="20"/>
              </w:rPr>
            </w:pPr>
          </w:p>
        </w:tc>
      </w:tr>
      <w:tr w:rsidR="00B53EC4" w:rsidRPr="00A52AB8" w14:paraId="37C72C24" w14:textId="77777777" w:rsidTr="004A6049">
        <w:trPr>
          <w:trHeight w:val="66"/>
        </w:trPr>
        <w:tc>
          <w:tcPr>
            <w:tcW w:w="7921" w:type="dxa"/>
          </w:tcPr>
          <w:p w14:paraId="43F092DF" w14:textId="77777777" w:rsidR="00B53EC4" w:rsidRPr="00A52AB8" w:rsidRDefault="00B53EC4" w:rsidP="004A6049">
            <w:pPr>
              <w:tabs>
                <w:tab w:val="clear" w:pos="1210"/>
                <w:tab w:val="clear" w:pos="1613"/>
                <w:tab w:val="clear" w:pos="2016"/>
                <w:tab w:val="clear" w:pos="2419"/>
                <w:tab w:val="clear" w:pos="2822"/>
                <w:tab w:val="clear" w:pos="3226"/>
                <w:tab w:val="clear" w:pos="3629"/>
                <w:tab w:val="clear" w:pos="4032"/>
                <w:tab w:val="clear" w:pos="4435"/>
                <w:tab w:val="clear" w:pos="9677"/>
              </w:tabs>
              <w:spacing w:before="20" w:after="20"/>
              <w:rPr>
                <w:color w:val="000000" w:themeColor="text1"/>
                <w:sz w:val="20"/>
                <w:szCs w:val="20"/>
              </w:rPr>
            </w:pPr>
            <w:r w:rsidRPr="00A52AB8">
              <w:rPr>
                <w:color w:val="000000" w:themeColor="text1"/>
                <w:sz w:val="20"/>
                <w:szCs w:val="20"/>
              </w:rPr>
              <w:tab/>
            </w:r>
            <w:r w:rsidRPr="00A52AB8">
              <w:rPr>
                <w:color w:val="000000" w:themeColor="text1"/>
                <w:sz w:val="20"/>
                <w:szCs w:val="20"/>
              </w:rPr>
              <w:tab/>
            </w:r>
            <w:r w:rsidRPr="00A52AB8">
              <w:rPr>
                <w:color w:val="000000" w:themeColor="text1"/>
                <w:sz w:val="20"/>
                <w:szCs w:val="20"/>
              </w:rPr>
              <w:tab/>
            </w:r>
            <w:r w:rsidRPr="00A52AB8">
              <w:rPr>
                <w:b/>
                <w:color w:val="000000" w:themeColor="text1"/>
                <w:sz w:val="20"/>
                <w:szCs w:val="20"/>
              </w:rPr>
              <w:t>atdu_patch_mode</w:t>
            </w:r>
            <w:r w:rsidR="00A846C2" w:rsidRPr="00A52AB8">
              <w:rPr>
                <w:color w:val="000000"/>
                <w:sz w:val="20"/>
                <w:szCs w:val="20"/>
              </w:rPr>
              <w:t>[ </w:t>
            </w:r>
            <w:r w:rsidR="00632FA7" w:rsidRPr="00A52AB8">
              <w:rPr>
                <w:color w:val="000000" w:themeColor="text1"/>
                <w:sz w:val="20"/>
                <w:szCs w:val="20"/>
              </w:rPr>
              <w:t>tileID</w:t>
            </w:r>
            <w:r w:rsidR="00656310" w:rsidRPr="00A52AB8">
              <w:rPr>
                <w:color w:val="000000"/>
                <w:sz w:val="20"/>
                <w:szCs w:val="20"/>
              </w:rPr>
              <w:t> </w:t>
            </w:r>
            <w:r w:rsidR="00A846C2" w:rsidRPr="00A52AB8">
              <w:rPr>
                <w:color w:val="000000"/>
                <w:sz w:val="20"/>
                <w:szCs w:val="20"/>
              </w:rPr>
              <w:t>]</w:t>
            </w:r>
            <w:r w:rsidRPr="00A52AB8">
              <w:rPr>
                <w:color w:val="000000" w:themeColor="text1"/>
                <w:sz w:val="20"/>
                <w:szCs w:val="20"/>
              </w:rPr>
              <w:t>[ p ]</w:t>
            </w:r>
          </w:p>
        </w:tc>
        <w:tc>
          <w:tcPr>
            <w:tcW w:w="1253" w:type="dxa"/>
          </w:tcPr>
          <w:p w14:paraId="7F3F3AFE" w14:textId="77777777" w:rsidR="00B53EC4" w:rsidRPr="00A52AB8" w:rsidRDefault="00B53EC4" w:rsidP="004A6049">
            <w:pPr>
              <w:tabs>
                <w:tab w:val="clear" w:pos="1210"/>
                <w:tab w:val="clear" w:pos="1613"/>
                <w:tab w:val="clear" w:pos="2016"/>
                <w:tab w:val="clear" w:pos="2419"/>
                <w:tab w:val="clear" w:pos="2822"/>
                <w:tab w:val="clear" w:pos="3226"/>
                <w:tab w:val="clear" w:pos="3629"/>
                <w:tab w:val="clear" w:pos="4032"/>
                <w:tab w:val="clear" w:pos="4435"/>
                <w:tab w:val="clear" w:pos="9677"/>
              </w:tabs>
              <w:spacing w:before="20" w:after="20"/>
              <w:jc w:val="center"/>
              <w:rPr>
                <w:b/>
                <w:color w:val="000000" w:themeColor="text1"/>
                <w:sz w:val="20"/>
                <w:szCs w:val="20"/>
              </w:rPr>
            </w:pPr>
            <w:r w:rsidRPr="00A52AB8">
              <w:rPr>
                <w:color w:val="000000" w:themeColor="text1"/>
                <w:sz w:val="20"/>
                <w:szCs w:val="20"/>
              </w:rPr>
              <w:t>ue(v)</w:t>
            </w:r>
          </w:p>
        </w:tc>
      </w:tr>
      <w:tr w:rsidR="00B53EC4" w:rsidRPr="00A52AB8" w14:paraId="4C02A24A" w14:textId="77777777" w:rsidTr="004A6049">
        <w:trPr>
          <w:trHeight w:val="66"/>
        </w:trPr>
        <w:tc>
          <w:tcPr>
            <w:tcW w:w="7921" w:type="dxa"/>
          </w:tcPr>
          <w:p w14:paraId="6EF5434E" w14:textId="013947B8" w:rsidR="00B53EC4" w:rsidRPr="00A52AB8" w:rsidRDefault="00B53EC4" w:rsidP="004A6049">
            <w:pPr>
              <w:tabs>
                <w:tab w:val="clear" w:pos="1210"/>
                <w:tab w:val="clear" w:pos="1613"/>
                <w:tab w:val="clear" w:pos="2016"/>
                <w:tab w:val="clear" w:pos="2419"/>
                <w:tab w:val="clear" w:pos="2822"/>
                <w:tab w:val="clear" w:pos="3226"/>
                <w:tab w:val="clear" w:pos="3629"/>
                <w:tab w:val="clear" w:pos="4032"/>
                <w:tab w:val="clear" w:pos="4435"/>
                <w:tab w:val="clear" w:pos="9677"/>
              </w:tabs>
              <w:spacing w:after="0" w:line="240" w:lineRule="auto"/>
              <w:jc w:val="left"/>
              <w:rPr>
                <w:sz w:val="24"/>
                <w:szCs w:val="24"/>
              </w:rPr>
            </w:pPr>
            <w:r w:rsidRPr="00A52AB8">
              <w:rPr>
                <w:color w:val="000000"/>
                <w:sz w:val="20"/>
                <w:szCs w:val="20"/>
              </w:rPr>
              <w:tab/>
            </w:r>
            <w:r w:rsidRPr="00A52AB8">
              <w:rPr>
                <w:color w:val="000000"/>
                <w:sz w:val="20"/>
                <w:szCs w:val="20"/>
              </w:rPr>
              <w:tab/>
            </w:r>
            <w:r w:rsidRPr="00A52AB8">
              <w:rPr>
                <w:color w:val="000000"/>
                <w:sz w:val="20"/>
                <w:szCs w:val="20"/>
              </w:rPr>
              <w:tab/>
              <w:t>isEnd</w:t>
            </w:r>
            <w:r w:rsidR="00D47707" w:rsidRPr="00A52AB8">
              <w:rPr>
                <w:color w:val="000000"/>
                <w:sz w:val="20"/>
                <w:szCs w:val="20"/>
              </w:rPr>
              <w:t> = </w:t>
            </w:r>
            <w:r w:rsidRPr="00A52AB8">
              <w:rPr>
                <w:color w:val="000000"/>
                <w:sz w:val="20"/>
                <w:szCs w:val="20"/>
              </w:rPr>
              <w:t>( ath_type</w:t>
            </w:r>
            <w:r w:rsidR="008768E9" w:rsidRPr="00A52AB8">
              <w:rPr>
                <w:color w:val="000000"/>
                <w:sz w:val="20"/>
                <w:szCs w:val="20"/>
              </w:rPr>
              <w:t> </w:t>
            </w:r>
            <w:r w:rsidR="00726AAE" w:rsidRPr="00A52AB8">
              <w:rPr>
                <w:color w:val="000000"/>
                <w:sz w:val="20"/>
                <w:szCs w:val="20"/>
              </w:rPr>
              <w:t>==</w:t>
            </w:r>
            <w:r w:rsidR="00D47707" w:rsidRPr="00A52AB8">
              <w:rPr>
                <w:color w:val="000000"/>
                <w:sz w:val="20"/>
                <w:szCs w:val="20"/>
              </w:rPr>
              <w:t> </w:t>
            </w:r>
            <w:r w:rsidRPr="00A52AB8">
              <w:rPr>
                <w:color w:val="000000"/>
                <w:sz w:val="20"/>
                <w:szCs w:val="20"/>
              </w:rPr>
              <w:t>P_TILE</w:t>
            </w:r>
            <w:r w:rsidR="008768E9" w:rsidRPr="00A52AB8">
              <w:rPr>
                <w:color w:val="000000"/>
                <w:sz w:val="20"/>
                <w:szCs w:val="20"/>
              </w:rPr>
              <w:t> &amp;&amp; </w:t>
            </w:r>
            <w:r w:rsidRPr="00A52AB8">
              <w:rPr>
                <w:color w:val="000000"/>
                <w:sz w:val="20"/>
                <w:szCs w:val="20"/>
              </w:rPr>
              <w:t>atdu_patch_mode</w:t>
            </w:r>
            <w:r w:rsidR="004B63D6" w:rsidRPr="00A52AB8">
              <w:rPr>
                <w:color w:val="000000"/>
                <w:sz w:val="20"/>
                <w:szCs w:val="20"/>
              </w:rPr>
              <w:t>[ </w:t>
            </w:r>
            <w:r w:rsidR="00632FA7" w:rsidRPr="00A52AB8">
              <w:rPr>
                <w:color w:val="000000" w:themeColor="text1"/>
                <w:sz w:val="20"/>
                <w:szCs w:val="20"/>
              </w:rPr>
              <w:t>tileID</w:t>
            </w:r>
            <w:r w:rsidR="004B63D6" w:rsidRPr="00A52AB8">
              <w:rPr>
                <w:color w:val="000000"/>
                <w:sz w:val="20"/>
                <w:szCs w:val="20"/>
              </w:rPr>
              <w:t> ]</w:t>
            </w:r>
            <w:r w:rsidRPr="00A52AB8">
              <w:rPr>
                <w:color w:val="000000"/>
                <w:sz w:val="20"/>
                <w:szCs w:val="20"/>
              </w:rPr>
              <w:t>[ p ]</w:t>
            </w:r>
            <w:r w:rsidR="008768E9" w:rsidRPr="00A52AB8">
              <w:rPr>
                <w:color w:val="000000"/>
                <w:sz w:val="20"/>
                <w:szCs w:val="20"/>
              </w:rPr>
              <w:t> </w:t>
            </w:r>
            <w:r w:rsidR="00726AAE" w:rsidRPr="00A52AB8">
              <w:rPr>
                <w:color w:val="000000"/>
                <w:sz w:val="20"/>
                <w:szCs w:val="20"/>
              </w:rPr>
              <w:t>==</w:t>
            </w:r>
            <w:r w:rsidR="00D47707" w:rsidRPr="00A52AB8">
              <w:rPr>
                <w:color w:val="000000"/>
                <w:sz w:val="20"/>
                <w:szCs w:val="20"/>
              </w:rPr>
              <w:t> </w:t>
            </w:r>
            <w:r w:rsidRPr="00A52AB8">
              <w:rPr>
                <w:color w:val="000000"/>
                <w:sz w:val="20"/>
                <w:szCs w:val="20"/>
              </w:rPr>
              <w:t>P_END) </w:t>
            </w:r>
            <w:r w:rsidR="008768E9" w:rsidRPr="00A52AB8">
              <w:rPr>
                <w:color w:val="000000"/>
                <w:sz w:val="20"/>
                <w:szCs w:val="20"/>
              </w:rPr>
              <w:t>||</w:t>
            </w:r>
            <w:r w:rsidR="00C61E38" w:rsidRPr="00A52AB8">
              <w:rPr>
                <w:rStyle w:val="apple-converted-space"/>
                <w:color w:val="000000"/>
                <w:sz w:val="20"/>
                <w:szCs w:val="20"/>
              </w:rPr>
              <w:br/>
            </w:r>
            <w:r w:rsidRPr="00A52AB8">
              <w:rPr>
                <w:color w:val="000000"/>
                <w:sz w:val="20"/>
                <w:szCs w:val="20"/>
              </w:rPr>
              <w:tab/>
            </w:r>
            <w:r w:rsidRPr="00A52AB8">
              <w:rPr>
                <w:color w:val="000000"/>
                <w:sz w:val="20"/>
                <w:szCs w:val="20"/>
              </w:rPr>
              <w:tab/>
            </w:r>
            <w:r w:rsidRPr="00A52AB8">
              <w:rPr>
                <w:color w:val="000000"/>
                <w:sz w:val="20"/>
                <w:szCs w:val="20"/>
              </w:rPr>
              <w:tab/>
            </w:r>
            <w:r w:rsidRPr="00A52AB8">
              <w:rPr>
                <w:color w:val="000000"/>
                <w:sz w:val="20"/>
                <w:szCs w:val="20"/>
              </w:rPr>
              <w:tab/>
            </w:r>
            <w:r w:rsidRPr="00A52AB8">
              <w:rPr>
                <w:color w:val="000000"/>
                <w:sz w:val="20"/>
                <w:szCs w:val="20"/>
              </w:rPr>
              <w:tab/>
              <w:t>( ath_type</w:t>
            </w:r>
            <w:r w:rsidR="008768E9" w:rsidRPr="00A52AB8">
              <w:rPr>
                <w:color w:val="000000"/>
                <w:sz w:val="20"/>
                <w:szCs w:val="20"/>
              </w:rPr>
              <w:t> </w:t>
            </w:r>
            <w:r w:rsidR="00726AAE" w:rsidRPr="00A52AB8">
              <w:rPr>
                <w:color w:val="000000"/>
                <w:sz w:val="20"/>
                <w:szCs w:val="20"/>
              </w:rPr>
              <w:t>==</w:t>
            </w:r>
            <w:r w:rsidR="00D47707" w:rsidRPr="00A52AB8">
              <w:rPr>
                <w:color w:val="000000"/>
                <w:sz w:val="20"/>
                <w:szCs w:val="20"/>
              </w:rPr>
              <w:t> </w:t>
            </w:r>
            <w:r w:rsidRPr="00A52AB8">
              <w:rPr>
                <w:color w:val="000000"/>
                <w:sz w:val="20"/>
                <w:szCs w:val="20"/>
              </w:rPr>
              <w:t>I_TILE</w:t>
            </w:r>
            <w:r w:rsidR="008768E9" w:rsidRPr="00A52AB8">
              <w:rPr>
                <w:color w:val="000000"/>
                <w:sz w:val="20"/>
                <w:szCs w:val="20"/>
              </w:rPr>
              <w:t> &amp;&amp; </w:t>
            </w:r>
            <w:r w:rsidRPr="00A52AB8">
              <w:rPr>
                <w:color w:val="000000"/>
                <w:sz w:val="20"/>
                <w:szCs w:val="20"/>
              </w:rPr>
              <w:t>atdu_patch_mode</w:t>
            </w:r>
            <w:r w:rsidR="004B63D6" w:rsidRPr="00A52AB8">
              <w:rPr>
                <w:color w:val="000000"/>
                <w:sz w:val="20"/>
                <w:szCs w:val="20"/>
              </w:rPr>
              <w:t>[ </w:t>
            </w:r>
            <w:r w:rsidR="00632FA7" w:rsidRPr="00A52AB8">
              <w:rPr>
                <w:color w:val="000000" w:themeColor="text1"/>
                <w:sz w:val="20"/>
                <w:szCs w:val="20"/>
              </w:rPr>
              <w:t>tileID</w:t>
            </w:r>
            <w:r w:rsidR="004B63D6" w:rsidRPr="00A52AB8">
              <w:rPr>
                <w:color w:val="000000"/>
                <w:sz w:val="20"/>
                <w:szCs w:val="20"/>
              </w:rPr>
              <w:t> ]</w:t>
            </w:r>
            <w:r w:rsidRPr="00A52AB8">
              <w:rPr>
                <w:color w:val="000000"/>
                <w:sz w:val="20"/>
                <w:szCs w:val="20"/>
              </w:rPr>
              <w:t>[ p ]</w:t>
            </w:r>
            <w:r w:rsidR="008768E9" w:rsidRPr="00A52AB8">
              <w:rPr>
                <w:color w:val="000000"/>
                <w:sz w:val="20"/>
                <w:szCs w:val="20"/>
              </w:rPr>
              <w:t> </w:t>
            </w:r>
            <w:r w:rsidR="00726AAE" w:rsidRPr="00A52AB8">
              <w:rPr>
                <w:color w:val="000000"/>
                <w:sz w:val="20"/>
                <w:szCs w:val="20"/>
              </w:rPr>
              <w:t>==</w:t>
            </w:r>
            <w:r w:rsidR="00D47707" w:rsidRPr="00A52AB8">
              <w:rPr>
                <w:color w:val="000000"/>
                <w:sz w:val="20"/>
                <w:szCs w:val="20"/>
              </w:rPr>
              <w:t> </w:t>
            </w:r>
            <w:r w:rsidRPr="00A52AB8">
              <w:rPr>
                <w:color w:val="000000"/>
                <w:sz w:val="20"/>
                <w:szCs w:val="20"/>
              </w:rPr>
              <w:t>I_END )</w:t>
            </w:r>
          </w:p>
        </w:tc>
        <w:tc>
          <w:tcPr>
            <w:tcW w:w="1253" w:type="dxa"/>
          </w:tcPr>
          <w:p w14:paraId="52240C8F" w14:textId="77777777" w:rsidR="00B53EC4" w:rsidRPr="00A52AB8" w:rsidRDefault="00B53EC4" w:rsidP="004A6049">
            <w:pPr>
              <w:tabs>
                <w:tab w:val="clear" w:pos="1210"/>
                <w:tab w:val="clear" w:pos="1613"/>
                <w:tab w:val="clear" w:pos="2016"/>
                <w:tab w:val="clear" w:pos="2419"/>
                <w:tab w:val="clear" w:pos="2822"/>
                <w:tab w:val="clear" w:pos="3226"/>
                <w:tab w:val="clear" w:pos="3629"/>
                <w:tab w:val="clear" w:pos="4032"/>
                <w:tab w:val="clear" w:pos="4435"/>
                <w:tab w:val="clear" w:pos="9677"/>
              </w:tabs>
              <w:spacing w:before="20" w:after="20"/>
              <w:jc w:val="center"/>
              <w:rPr>
                <w:b/>
                <w:color w:val="000000" w:themeColor="text1"/>
                <w:sz w:val="20"/>
                <w:szCs w:val="20"/>
              </w:rPr>
            </w:pPr>
          </w:p>
        </w:tc>
      </w:tr>
      <w:tr w:rsidR="008B4791" w:rsidRPr="00A52AB8" w14:paraId="17B7FA7E" w14:textId="77777777" w:rsidTr="004A6049">
        <w:trPr>
          <w:trHeight w:val="66"/>
        </w:trPr>
        <w:tc>
          <w:tcPr>
            <w:tcW w:w="7921" w:type="dxa"/>
          </w:tcPr>
          <w:p w14:paraId="1C18D0A5" w14:textId="0D811B70" w:rsidR="008B4791" w:rsidRPr="00A52AB8" w:rsidRDefault="00B53EC4" w:rsidP="004A6049">
            <w:pPr>
              <w:tabs>
                <w:tab w:val="clear" w:pos="1210"/>
                <w:tab w:val="clear" w:pos="1613"/>
                <w:tab w:val="clear" w:pos="2016"/>
                <w:tab w:val="clear" w:pos="2419"/>
                <w:tab w:val="clear" w:pos="2822"/>
                <w:tab w:val="clear" w:pos="3226"/>
                <w:tab w:val="clear" w:pos="3629"/>
                <w:tab w:val="clear" w:pos="4032"/>
                <w:tab w:val="clear" w:pos="4435"/>
                <w:tab w:val="clear" w:pos="9677"/>
              </w:tabs>
              <w:spacing w:after="0" w:line="240" w:lineRule="auto"/>
              <w:jc w:val="left"/>
              <w:rPr>
                <w:sz w:val="24"/>
                <w:szCs w:val="24"/>
              </w:rPr>
            </w:pPr>
            <w:r w:rsidRPr="00A52AB8">
              <w:rPr>
                <w:color w:val="000000"/>
                <w:sz w:val="20"/>
                <w:szCs w:val="20"/>
              </w:rPr>
              <w:tab/>
            </w:r>
            <w:r w:rsidRPr="00A52AB8">
              <w:rPr>
                <w:color w:val="000000"/>
                <w:sz w:val="20"/>
                <w:szCs w:val="20"/>
              </w:rPr>
              <w:tab/>
            </w:r>
            <w:r w:rsidRPr="00A52AB8">
              <w:rPr>
                <w:color w:val="000000"/>
                <w:sz w:val="20"/>
                <w:szCs w:val="20"/>
              </w:rPr>
              <w:tab/>
              <w:t>if( !isEnd </w:t>
            </w:r>
            <w:r w:rsidR="008F1F82" w:rsidRPr="00A52AB8">
              <w:rPr>
                <w:color w:val="000000"/>
                <w:sz w:val="20"/>
                <w:szCs w:val="20"/>
              </w:rPr>
              <w:t>) {</w:t>
            </w:r>
          </w:p>
        </w:tc>
        <w:tc>
          <w:tcPr>
            <w:tcW w:w="1253" w:type="dxa"/>
          </w:tcPr>
          <w:p w14:paraId="7F0902A9" w14:textId="77777777" w:rsidR="008B4791" w:rsidRPr="00A52AB8" w:rsidRDefault="008B4791" w:rsidP="004A6049">
            <w:pPr>
              <w:tabs>
                <w:tab w:val="clear" w:pos="1210"/>
                <w:tab w:val="clear" w:pos="1613"/>
                <w:tab w:val="clear" w:pos="2016"/>
                <w:tab w:val="clear" w:pos="2419"/>
                <w:tab w:val="clear" w:pos="2822"/>
                <w:tab w:val="clear" w:pos="3226"/>
                <w:tab w:val="clear" w:pos="3629"/>
                <w:tab w:val="clear" w:pos="4032"/>
                <w:tab w:val="clear" w:pos="4435"/>
                <w:tab w:val="clear" w:pos="9677"/>
              </w:tabs>
              <w:spacing w:before="20" w:after="20"/>
              <w:jc w:val="center"/>
              <w:rPr>
                <w:b/>
                <w:color w:val="000000" w:themeColor="text1"/>
                <w:sz w:val="20"/>
                <w:szCs w:val="20"/>
              </w:rPr>
            </w:pPr>
          </w:p>
        </w:tc>
      </w:tr>
      <w:tr w:rsidR="008B4791" w:rsidRPr="00A52AB8" w14:paraId="2F7C23E2" w14:textId="77777777" w:rsidTr="004A6049">
        <w:tc>
          <w:tcPr>
            <w:tcW w:w="7921" w:type="dxa"/>
          </w:tcPr>
          <w:p w14:paraId="0811793C" w14:textId="77777777" w:rsidR="008B4791" w:rsidRPr="00A52AB8" w:rsidRDefault="008B4791" w:rsidP="004A6049">
            <w:pPr>
              <w:tabs>
                <w:tab w:val="clear" w:pos="1210"/>
                <w:tab w:val="clear" w:pos="1613"/>
                <w:tab w:val="clear" w:pos="2016"/>
                <w:tab w:val="clear" w:pos="2419"/>
                <w:tab w:val="clear" w:pos="2822"/>
                <w:tab w:val="clear" w:pos="3226"/>
                <w:tab w:val="clear" w:pos="3629"/>
                <w:tab w:val="clear" w:pos="4032"/>
                <w:tab w:val="clear" w:pos="4435"/>
                <w:tab w:val="clear" w:pos="9677"/>
              </w:tabs>
              <w:spacing w:before="20" w:after="20"/>
              <w:rPr>
                <w:color w:val="000000" w:themeColor="text1"/>
                <w:sz w:val="20"/>
                <w:szCs w:val="20"/>
              </w:rPr>
            </w:pPr>
            <w:r w:rsidRPr="00A52AB8">
              <w:rPr>
                <w:color w:val="000000" w:themeColor="text1"/>
                <w:sz w:val="20"/>
                <w:szCs w:val="20"/>
              </w:rPr>
              <w:tab/>
            </w:r>
            <w:r w:rsidR="00B53EC4" w:rsidRPr="00A52AB8">
              <w:rPr>
                <w:color w:val="000000" w:themeColor="text1"/>
                <w:sz w:val="20"/>
                <w:szCs w:val="20"/>
              </w:rPr>
              <w:tab/>
            </w:r>
            <w:r w:rsidRPr="00A52AB8">
              <w:rPr>
                <w:color w:val="000000" w:themeColor="text1"/>
                <w:sz w:val="20"/>
                <w:szCs w:val="20"/>
              </w:rPr>
              <w:tab/>
            </w:r>
            <w:r w:rsidR="00B53EC4" w:rsidRPr="00A52AB8">
              <w:rPr>
                <w:color w:val="000000" w:themeColor="text1"/>
                <w:sz w:val="20"/>
                <w:szCs w:val="20"/>
              </w:rPr>
              <w:tab/>
            </w:r>
            <w:r w:rsidRPr="00A52AB8">
              <w:rPr>
                <w:color w:val="000000" w:themeColor="text1"/>
                <w:sz w:val="20"/>
                <w:szCs w:val="20"/>
              </w:rPr>
              <w:t>patch_information_data(</w:t>
            </w:r>
            <w:r w:rsidR="004A292F" w:rsidRPr="00A52AB8">
              <w:rPr>
                <w:color w:val="000000" w:themeColor="text1"/>
                <w:sz w:val="20"/>
                <w:szCs w:val="20"/>
              </w:rPr>
              <w:t> </w:t>
            </w:r>
            <w:r w:rsidR="00632FA7" w:rsidRPr="00A52AB8">
              <w:rPr>
                <w:color w:val="000000" w:themeColor="text1"/>
                <w:sz w:val="20"/>
                <w:szCs w:val="20"/>
              </w:rPr>
              <w:t>tileID</w:t>
            </w:r>
            <w:r w:rsidR="00656310" w:rsidRPr="00A52AB8">
              <w:rPr>
                <w:color w:val="000000"/>
                <w:sz w:val="20"/>
                <w:szCs w:val="20"/>
              </w:rPr>
              <w:t> </w:t>
            </w:r>
            <w:r w:rsidR="004A292F" w:rsidRPr="00A52AB8">
              <w:rPr>
                <w:color w:val="000000" w:themeColor="text1"/>
                <w:sz w:val="20"/>
                <w:szCs w:val="20"/>
              </w:rPr>
              <w:t>,</w:t>
            </w:r>
            <w:r w:rsidR="003E4FCA" w:rsidRPr="00A52AB8">
              <w:rPr>
                <w:color w:val="000000" w:themeColor="text1"/>
                <w:sz w:val="20"/>
                <w:szCs w:val="20"/>
              </w:rPr>
              <w:t> </w:t>
            </w:r>
            <w:r w:rsidRPr="00A52AB8">
              <w:rPr>
                <w:color w:val="000000" w:themeColor="text1"/>
                <w:sz w:val="20"/>
                <w:szCs w:val="20"/>
              </w:rPr>
              <w:t>p</w:t>
            </w:r>
            <w:r w:rsidR="004A292F" w:rsidRPr="00A52AB8">
              <w:rPr>
                <w:color w:val="000000" w:themeColor="text1"/>
                <w:sz w:val="20"/>
                <w:szCs w:val="20"/>
              </w:rPr>
              <w:t> </w:t>
            </w:r>
            <w:r w:rsidRPr="00A52AB8">
              <w:rPr>
                <w:color w:val="000000" w:themeColor="text1"/>
                <w:sz w:val="20"/>
                <w:szCs w:val="20"/>
              </w:rPr>
              <w:t>,</w:t>
            </w:r>
            <w:r w:rsidR="00AF1B7F" w:rsidRPr="00A52AB8">
              <w:rPr>
                <w:color w:val="000000" w:themeColor="text1"/>
                <w:sz w:val="20"/>
                <w:szCs w:val="20"/>
              </w:rPr>
              <w:t> </w:t>
            </w:r>
            <w:r w:rsidR="00A62CD5" w:rsidRPr="00A52AB8">
              <w:rPr>
                <w:color w:val="000000" w:themeColor="text1"/>
                <w:sz w:val="20"/>
                <w:szCs w:val="20"/>
              </w:rPr>
              <w:t>atdu_</w:t>
            </w:r>
            <w:r w:rsidRPr="00A52AB8">
              <w:rPr>
                <w:color w:val="000000" w:themeColor="text1"/>
                <w:sz w:val="20"/>
                <w:szCs w:val="20"/>
              </w:rPr>
              <w:t>patch_mode</w:t>
            </w:r>
            <w:r w:rsidR="004B63D6" w:rsidRPr="00A52AB8">
              <w:rPr>
                <w:color w:val="000000"/>
                <w:sz w:val="20"/>
                <w:szCs w:val="20"/>
              </w:rPr>
              <w:t>[ </w:t>
            </w:r>
            <w:r w:rsidR="00632FA7" w:rsidRPr="00A52AB8">
              <w:rPr>
                <w:color w:val="000000" w:themeColor="text1"/>
                <w:sz w:val="20"/>
                <w:szCs w:val="20"/>
              </w:rPr>
              <w:t>tileID</w:t>
            </w:r>
            <w:r w:rsidR="004B63D6" w:rsidRPr="00A52AB8">
              <w:rPr>
                <w:color w:val="000000"/>
                <w:sz w:val="20"/>
                <w:szCs w:val="20"/>
              </w:rPr>
              <w:t> ]</w:t>
            </w:r>
            <w:r w:rsidRPr="00A52AB8">
              <w:rPr>
                <w:color w:val="000000" w:themeColor="text1"/>
                <w:sz w:val="20"/>
                <w:szCs w:val="20"/>
              </w:rPr>
              <w:t>[ p ]</w:t>
            </w:r>
            <w:r w:rsidR="003E4FCA" w:rsidRPr="00A52AB8">
              <w:rPr>
                <w:color w:val="000000" w:themeColor="text1"/>
                <w:sz w:val="20"/>
                <w:szCs w:val="20"/>
              </w:rPr>
              <w:t> </w:t>
            </w:r>
            <w:r w:rsidRPr="00A52AB8">
              <w:rPr>
                <w:color w:val="000000" w:themeColor="text1"/>
                <w:sz w:val="20"/>
                <w:szCs w:val="20"/>
              </w:rPr>
              <w:t>)</w:t>
            </w:r>
          </w:p>
        </w:tc>
        <w:tc>
          <w:tcPr>
            <w:tcW w:w="1253" w:type="dxa"/>
          </w:tcPr>
          <w:p w14:paraId="2164B4E3" w14:textId="77777777" w:rsidR="008B4791" w:rsidRPr="00A52AB8" w:rsidRDefault="008B4791" w:rsidP="004A6049">
            <w:pPr>
              <w:tabs>
                <w:tab w:val="clear" w:pos="1210"/>
                <w:tab w:val="clear" w:pos="1613"/>
                <w:tab w:val="clear" w:pos="2016"/>
                <w:tab w:val="clear" w:pos="2419"/>
                <w:tab w:val="clear" w:pos="2822"/>
                <w:tab w:val="clear" w:pos="3226"/>
                <w:tab w:val="clear" w:pos="3629"/>
                <w:tab w:val="clear" w:pos="4032"/>
                <w:tab w:val="clear" w:pos="4435"/>
                <w:tab w:val="clear" w:pos="9677"/>
              </w:tabs>
              <w:spacing w:before="20" w:after="20"/>
              <w:jc w:val="center"/>
              <w:rPr>
                <w:b/>
                <w:color w:val="000000" w:themeColor="text1"/>
                <w:sz w:val="20"/>
                <w:szCs w:val="20"/>
              </w:rPr>
            </w:pPr>
          </w:p>
        </w:tc>
      </w:tr>
      <w:tr w:rsidR="008B4791" w:rsidRPr="00A52AB8" w14:paraId="6AAA44CC" w14:textId="77777777" w:rsidTr="004A6049">
        <w:tc>
          <w:tcPr>
            <w:tcW w:w="7921" w:type="dxa"/>
          </w:tcPr>
          <w:p w14:paraId="48797084" w14:textId="77777777" w:rsidR="008B4791" w:rsidRPr="00A52AB8" w:rsidRDefault="008B4791" w:rsidP="004A6049">
            <w:pPr>
              <w:tabs>
                <w:tab w:val="clear" w:pos="1210"/>
                <w:tab w:val="clear" w:pos="1613"/>
                <w:tab w:val="clear" w:pos="2016"/>
                <w:tab w:val="clear" w:pos="2419"/>
                <w:tab w:val="clear" w:pos="2822"/>
                <w:tab w:val="clear" w:pos="3226"/>
                <w:tab w:val="clear" w:pos="3629"/>
                <w:tab w:val="clear" w:pos="4032"/>
                <w:tab w:val="clear" w:pos="4435"/>
                <w:tab w:val="clear" w:pos="9677"/>
              </w:tabs>
              <w:spacing w:before="20" w:after="20"/>
              <w:rPr>
                <w:color w:val="000000" w:themeColor="text1"/>
                <w:sz w:val="20"/>
                <w:szCs w:val="20"/>
              </w:rPr>
            </w:pPr>
            <w:r w:rsidRPr="00A52AB8">
              <w:rPr>
                <w:color w:val="000000" w:themeColor="text1"/>
                <w:sz w:val="20"/>
                <w:szCs w:val="20"/>
              </w:rPr>
              <w:tab/>
            </w:r>
            <w:r w:rsidR="00B53EC4" w:rsidRPr="00A52AB8">
              <w:rPr>
                <w:color w:val="000000" w:themeColor="text1"/>
                <w:sz w:val="20"/>
                <w:szCs w:val="20"/>
              </w:rPr>
              <w:tab/>
            </w:r>
            <w:r w:rsidRPr="00A52AB8">
              <w:rPr>
                <w:color w:val="000000" w:themeColor="text1"/>
                <w:sz w:val="20"/>
                <w:szCs w:val="20"/>
              </w:rPr>
              <w:tab/>
            </w:r>
            <w:r w:rsidR="00B53EC4" w:rsidRPr="00A52AB8">
              <w:rPr>
                <w:color w:val="000000" w:themeColor="text1"/>
                <w:sz w:val="20"/>
                <w:szCs w:val="20"/>
              </w:rPr>
              <w:tab/>
            </w:r>
            <w:r w:rsidRPr="00A52AB8">
              <w:rPr>
                <w:color w:val="000000" w:themeColor="text1"/>
                <w:sz w:val="20"/>
                <w:szCs w:val="20"/>
              </w:rPr>
              <w:t>p++</w:t>
            </w:r>
          </w:p>
        </w:tc>
        <w:tc>
          <w:tcPr>
            <w:tcW w:w="1253" w:type="dxa"/>
          </w:tcPr>
          <w:p w14:paraId="75DE4281" w14:textId="77777777" w:rsidR="008B4791" w:rsidRPr="00A52AB8" w:rsidRDefault="008B4791" w:rsidP="004A6049">
            <w:pPr>
              <w:tabs>
                <w:tab w:val="clear" w:pos="1210"/>
                <w:tab w:val="clear" w:pos="1613"/>
                <w:tab w:val="clear" w:pos="2016"/>
                <w:tab w:val="clear" w:pos="2419"/>
                <w:tab w:val="clear" w:pos="2822"/>
                <w:tab w:val="clear" w:pos="3226"/>
                <w:tab w:val="clear" w:pos="3629"/>
                <w:tab w:val="clear" w:pos="4032"/>
                <w:tab w:val="clear" w:pos="4435"/>
                <w:tab w:val="clear" w:pos="9677"/>
              </w:tabs>
              <w:spacing w:before="20" w:after="20"/>
              <w:jc w:val="center"/>
              <w:rPr>
                <w:b/>
                <w:color w:val="000000" w:themeColor="text1"/>
                <w:sz w:val="20"/>
                <w:szCs w:val="20"/>
              </w:rPr>
            </w:pPr>
          </w:p>
        </w:tc>
      </w:tr>
      <w:tr w:rsidR="008B4791" w:rsidRPr="00A52AB8" w14:paraId="08FEF6F0" w14:textId="77777777" w:rsidTr="004A6049">
        <w:tc>
          <w:tcPr>
            <w:tcW w:w="7921" w:type="dxa"/>
          </w:tcPr>
          <w:p w14:paraId="211E42B8" w14:textId="77777777" w:rsidR="008B4791" w:rsidRPr="00A52AB8" w:rsidRDefault="008B4791" w:rsidP="004A6049">
            <w:pPr>
              <w:tabs>
                <w:tab w:val="clear" w:pos="1210"/>
                <w:tab w:val="clear" w:pos="1613"/>
                <w:tab w:val="clear" w:pos="2016"/>
                <w:tab w:val="clear" w:pos="2419"/>
                <w:tab w:val="clear" w:pos="2822"/>
                <w:tab w:val="clear" w:pos="3226"/>
                <w:tab w:val="clear" w:pos="3629"/>
                <w:tab w:val="clear" w:pos="4032"/>
                <w:tab w:val="clear" w:pos="4435"/>
                <w:tab w:val="clear" w:pos="9677"/>
              </w:tabs>
              <w:spacing w:before="20" w:after="20"/>
              <w:rPr>
                <w:color w:val="000000" w:themeColor="text1"/>
                <w:sz w:val="20"/>
                <w:szCs w:val="20"/>
              </w:rPr>
            </w:pPr>
            <w:r w:rsidRPr="00A52AB8">
              <w:rPr>
                <w:color w:val="000000" w:themeColor="text1"/>
                <w:sz w:val="20"/>
                <w:szCs w:val="20"/>
              </w:rPr>
              <w:tab/>
            </w:r>
            <w:r w:rsidR="00B53EC4" w:rsidRPr="00A52AB8">
              <w:rPr>
                <w:color w:val="000000" w:themeColor="text1"/>
                <w:sz w:val="20"/>
                <w:szCs w:val="20"/>
              </w:rPr>
              <w:tab/>
            </w:r>
            <w:r w:rsidR="00B53EC4" w:rsidRPr="00A52AB8">
              <w:rPr>
                <w:color w:val="000000" w:themeColor="text1"/>
                <w:sz w:val="20"/>
                <w:szCs w:val="20"/>
              </w:rPr>
              <w:tab/>
              <w:t>}</w:t>
            </w:r>
          </w:p>
        </w:tc>
        <w:tc>
          <w:tcPr>
            <w:tcW w:w="1253" w:type="dxa"/>
          </w:tcPr>
          <w:p w14:paraId="20F242F2" w14:textId="77777777" w:rsidR="008B4791" w:rsidRPr="00A52AB8" w:rsidRDefault="008B4791" w:rsidP="004A6049">
            <w:pPr>
              <w:tabs>
                <w:tab w:val="clear" w:pos="1210"/>
                <w:tab w:val="clear" w:pos="1613"/>
                <w:tab w:val="clear" w:pos="2016"/>
                <w:tab w:val="clear" w:pos="2419"/>
                <w:tab w:val="clear" w:pos="2822"/>
                <w:tab w:val="clear" w:pos="3226"/>
                <w:tab w:val="clear" w:pos="3629"/>
                <w:tab w:val="clear" w:pos="4032"/>
                <w:tab w:val="clear" w:pos="4435"/>
                <w:tab w:val="clear" w:pos="9677"/>
              </w:tabs>
              <w:spacing w:before="20" w:after="20"/>
              <w:jc w:val="center"/>
              <w:rPr>
                <w:b/>
                <w:color w:val="000000" w:themeColor="text1"/>
                <w:sz w:val="20"/>
                <w:szCs w:val="20"/>
              </w:rPr>
            </w:pPr>
          </w:p>
        </w:tc>
      </w:tr>
      <w:tr w:rsidR="008B4791" w:rsidRPr="00A52AB8" w14:paraId="4939418F" w14:textId="77777777" w:rsidTr="004A6049">
        <w:tc>
          <w:tcPr>
            <w:tcW w:w="7921" w:type="dxa"/>
          </w:tcPr>
          <w:p w14:paraId="3854116E" w14:textId="77777777" w:rsidR="008B4791" w:rsidRPr="00A52AB8" w:rsidRDefault="008B4791" w:rsidP="004A6049">
            <w:pPr>
              <w:tabs>
                <w:tab w:val="clear" w:pos="1210"/>
                <w:tab w:val="clear" w:pos="1613"/>
                <w:tab w:val="clear" w:pos="2016"/>
                <w:tab w:val="clear" w:pos="2419"/>
                <w:tab w:val="clear" w:pos="2822"/>
                <w:tab w:val="clear" w:pos="3226"/>
                <w:tab w:val="clear" w:pos="3629"/>
                <w:tab w:val="clear" w:pos="4032"/>
                <w:tab w:val="clear" w:pos="4435"/>
                <w:tab w:val="clear" w:pos="9677"/>
              </w:tabs>
              <w:spacing w:before="20" w:after="20"/>
              <w:rPr>
                <w:color w:val="000000" w:themeColor="text1"/>
                <w:sz w:val="20"/>
                <w:szCs w:val="20"/>
              </w:rPr>
            </w:pPr>
            <w:r w:rsidRPr="00A52AB8">
              <w:rPr>
                <w:color w:val="000000" w:themeColor="text1"/>
                <w:sz w:val="20"/>
                <w:szCs w:val="20"/>
                <w:lang w:eastAsia="zh-CN"/>
              </w:rPr>
              <w:tab/>
            </w:r>
            <w:r w:rsidR="00B53EC4" w:rsidRPr="00A52AB8">
              <w:rPr>
                <w:color w:val="000000" w:themeColor="text1"/>
                <w:sz w:val="20"/>
                <w:szCs w:val="20"/>
                <w:lang w:eastAsia="zh-CN"/>
              </w:rPr>
              <w:tab/>
            </w:r>
            <w:r w:rsidRPr="00A52AB8">
              <w:rPr>
                <w:color w:val="000000" w:themeColor="text1"/>
                <w:sz w:val="20"/>
                <w:szCs w:val="20"/>
                <w:lang w:eastAsia="zh-CN"/>
              </w:rPr>
              <w:t>}</w:t>
            </w:r>
            <w:r w:rsidR="00B53EC4" w:rsidRPr="00A52AB8">
              <w:rPr>
                <w:color w:val="000000" w:themeColor="text1"/>
                <w:sz w:val="20"/>
                <w:szCs w:val="20"/>
                <w:lang w:eastAsia="zh-CN"/>
              </w:rPr>
              <w:t> </w:t>
            </w:r>
            <w:r w:rsidR="00B53EC4" w:rsidRPr="00A52AB8">
              <w:rPr>
                <w:rFonts w:eastAsia="MS PGothic" w:cs="Helvetica"/>
                <w:sz w:val="20"/>
                <w:szCs w:val="20"/>
              </w:rPr>
              <w:t>while( !isEnd )</w:t>
            </w:r>
          </w:p>
        </w:tc>
        <w:tc>
          <w:tcPr>
            <w:tcW w:w="1253" w:type="dxa"/>
          </w:tcPr>
          <w:p w14:paraId="0C2D844D" w14:textId="77777777" w:rsidR="008B4791" w:rsidRPr="00A52AB8" w:rsidRDefault="008B4791" w:rsidP="004A6049">
            <w:pPr>
              <w:tabs>
                <w:tab w:val="clear" w:pos="1210"/>
                <w:tab w:val="clear" w:pos="1613"/>
                <w:tab w:val="clear" w:pos="2016"/>
                <w:tab w:val="clear" w:pos="2419"/>
                <w:tab w:val="clear" w:pos="2822"/>
                <w:tab w:val="clear" w:pos="3226"/>
                <w:tab w:val="clear" w:pos="3629"/>
                <w:tab w:val="clear" w:pos="4032"/>
                <w:tab w:val="clear" w:pos="4435"/>
                <w:tab w:val="clear" w:pos="9677"/>
              </w:tabs>
              <w:spacing w:before="20" w:after="20"/>
              <w:jc w:val="center"/>
              <w:rPr>
                <w:b/>
                <w:color w:val="000000" w:themeColor="text1"/>
                <w:sz w:val="20"/>
                <w:szCs w:val="20"/>
              </w:rPr>
            </w:pPr>
          </w:p>
        </w:tc>
      </w:tr>
      <w:tr w:rsidR="00B53EC4" w:rsidRPr="00A52AB8" w14:paraId="5DCD6671" w14:textId="77777777" w:rsidTr="004A6049">
        <w:tc>
          <w:tcPr>
            <w:tcW w:w="7921" w:type="dxa"/>
          </w:tcPr>
          <w:p w14:paraId="3494DEA5" w14:textId="77777777" w:rsidR="00B53EC4" w:rsidRPr="00A52AB8" w:rsidRDefault="00B53EC4" w:rsidP="004A6049">
            <w:pPr>
              <w:tabs>
                <w:tab w:val="clear" w:pos="1210"/>
                <w:tab w:val="clear" w:pos="1613"/>
                <w:tab w:val="clear" w:pos="2016"/>
                <w:tab w:val="clear" w:pos="2419"/>
                <w:tab w:val="clear" w:pos="2822"/>
                <w:tab w:val="clear" w:pos="3226"/>
                <w:tab w:val="clear" w:pos="3629"/>
                <w:tab w:val="clear" w:pos="4032"/>
                <w:tab w:val="clear" w:pos="4435"/>
                <w:tab w:val="clear" w:pos="9677"/>
              </w:tabs>
              <w:spacing w:before="20" w:after="20"/>
              <w:rPr>
                <w:color w:val="000000" w:themeColor="text1"/>
                <w:sz w:val="20"/>
                <w:szCs w:val="20"/>
              </w:rPr>
            </w:pPr>
            <w:r w:rsidRPr="00A52AB8">
              <w:rPr>
                <w:color w:val="000000" w:themeColor="text1"/>
                <w:sz w:val="20"/>
                <w:szCs w:val="20"/>
              </w:rPr>
              <w:tab/>
              <w:t>}</w:t>
            </w:r>
          </w:p>
        </w:tc>
        <w:tc>
          <w:tcPr>
            <w:tcW w:w="1253" w:type="dxa"/>
          </w:tcPr>
          <w:p w14:paraId="4E2E35A9" w14:textId="77777777" w:rsidR="00B53EC4" w:rsidRPr="00A52AB8" w:rsidRDefault="00B53EC4" w:rsidP="004A6049">
            <w:pPr>
              <w:tabs>
                <w:tab w:val="clear" w:pos="1210"/>
                <w:tab w:val="clear" w:pos="1613"/>
                <w:tab w:val="clear" w:pos="2016"/>
                <w:tab w:val="clear" w:pos="2419"/>
                <w:tab w:val="clear" w:pos="2822"/>
                <w:tab w:val="clear" w:pos="3226"/>
                <w:tab w:val="clear" w:pos="3629"/>
                <w:tab w:val="clear" w:pos="4032"/>
                <w:tab w:val="clear" w:pos="4435"/>
                <w:tab w:val="clear" w:pos="9677"/>
              </w:tabs>
              <w:spacing w:before="20" w:after="20"/>
              <w:jc w:val="center"/>
              <w:rPr>
                <w:color w:val="000000" w:themeColor="text1"/>
                <w:sz w:val="20"/>
                <w:szCs w:val="20"/>
              </w:rPr>
            </w:pPr>
          </w:p>
        </w:tc>
      </w:tr>
      <w:tr w:rsidR="008B4791" w:rsidRPr="00A52AB8" w14:paraId="7DC2ADAE" w14:textId="77777777" w:rsidTr="004A6049">
        <w:tc>
          <w:tcPr>
            <w:tcW w:w="7921" w:type="dxa"/>
          </w:tcPr>
          <w:p w14:paraId="2BDFD2EC" w14:textId="674492FF" w:rsidR="008B4791" w:rsidRPr="00A52AB8" w:rsidRDefault="008B4791" w:rsidP="004A6049">
            <w:pPr>
              <w:tabs>
                <w:tab w:val="clear" w:pos="1210"/>
                <w:tab w:val="clear" w:pos="1613"/>
                <w:tab w:val="clear" w:pos="2016"/>
                <w:tab w:val="clear" w:pos="2419"/>
                <w:tab w:val="clear" w:pos="2822"/>
                <w:tab w:val="clear" w:pos="3226"/>
                <w:tab w:val="clear" w:pos="3629"/>
                <w:tab w:val="clear" w:pos="4032"/>
                <w:tab w:val="clear" w:pos="4435"/>
                <w:tab w:val="clear" w:pos="9677"/>
              </w:tabs>
              <w:spacing w:before="20" w:after="20"/>
              <w:rPr>
                <w:color w:val="000000" w:themeColor="text1"/>
                <w:sz w:val="20"/>
                <w:szCs w:val="20"/>
              </w:rPr>
            </w:pPr>
            <w:r w:rsidRPr="00A52AB8">
              <w:rPr>
                <w:color w:val="000000" w:themeColor="text1"/>
                <w:sz w:val="20"/>
                <w:szCs w:val="20"/>
              </w:rPr>
              <w:tab/>
            </w:r>
            <w:r w:rsidR="002A47BD" w:rsidRPr="00A52AB8">
              <w:rPr>
                <w:color w:val="000000" w:themeColor="text1"/>
                <w:sz w:val="20"/>
                <w:szCs w:val="20"/>
              </w:rPr>
              <w:t>Atdu</w:t>
            </w:r>
            <w:r w:rsidR="00D12C68" w:rsidRPr="00A52AB8">
              <w:rPr>
                <w:color w:val="000000" w:themeColor="text1"/>
                <w:sz w:val="20"/>
                <w:szCs w:val="20"/>
              </w:rPr>
              <w:t>TotalNum</w:t>
            </w:r>
            <w:r w:rsidR="008F396A" w:rsidRPr="00A52AB8">
              <w:rPr>
                <w:color w:val="000000" w:themeColor="text1"/>
                <w:sz w:val="20"/>
                <w:szCs w:val="20"/>
              </w:rPr>
              <w:t>Patches</w:t>
            </w:r>
            <w:r w:rsidR="00F002E4" w:rsidRPr="00A52AB8">
              <w:rPr>
                <w:color w:val="000000"/>
                <w:sz w:val="20"/>
                <w:szCs w:val="20"/>
              </w:rPr>
              <w:t>[ </w:t>
            </w:r>
            <w:r w:rsidR="00632FA7" w:rsidRPr="00A52AB8">
              <w:rPr>
                <w:color w:val="000000" w:themeColor="text1"/>
                <w:sz w:val="20"/>
                <w:szCs w:val="20"/>
              </w:rPr>
              <w:t>tileID</w:t>
            </w:r>
            <w:r w:rsidR="00F002E4" w:rsidRPr="00A52AB8">
              <w:rPr>
                <w:color w:val="000000"/>
                <w:sz w:val="20"/>
                <w:szCs w:val="20"/>
              </w:rPr>
              <w:t> ]</w:t>
            </w:r>
            <w:r w:rsidR="00D47707" w:rsidRPr="00A52AB8">
              <w:rPr>
                <w:color w:val="000000" w:themeColor="text1"/>
                <w:sz w:val="20"/>
                <w:szCs w:val="20"/>
              </w:rPr>
              <w:t> = </w:t>
            </w:r>
            <w:r w:rsidRPr="00A52AB8">
              <w:rPr>
                <w:color w:val="000000" w:themeColor="text1"/>
                <w:sz w:val="20"/>
                <w:szCs w:val="20"/>
              </w:rPr>
              <w:t>p</w:t>
            </w:r>
          </w:p>
        </w:tc>
        <w:tc>
          <w:tcPr>
            <w:tcW w:w="1253" w:type="dxa"/>
          </w:tcPr>
          <w:p w14:paraId="44AB615B" w14:textId="77777777" w:rsidR="008B4791" w:rsidRPr="00A52AB8" w:rsidRDefault="008B4791" w:rsidP="004A6049">
            <w:pPr>
              <w:tabs>
                <w:tab w:val="clear" w:pos="1210"/>
                <w:tab w:val="clear" w:pos="1613"/>
                <w:tab w:val="clear" w:pos="2016"/>
                <w:tab w:val="clear" w:pos="2419"/>
                <w:tab w:val="clear" w:pos="2822"/>
                <w:tab w:val="clear" w:pos="3226"/>
                <w:tab w:val="clear" w:pos="3629"/>
                <w:tab w:val="clear" w:pos="4032"/>
                <w:tab w:val="clear" w:pos="4435"/>
                <w:tab w:val="clear" w:pos="9677"/>
              </w:tabs>
              <w:spacing w:before="20" w:after="20"/>
              <w:jc w:val="center"/>
              <w:rPr>
                <w:color w:val="000000" w:themeColor="text1"/>
                <w:sz w:val="20"/>
                <w:szCs w:val="20"/>
              </w:rPr>
            </w:pPr>
          </w:p>
        </w:tc>
      </w:tr>
      <w:tr w:rsidR="008B4791" w:rsidRPr="00A52AB8" w14:paraId="53345BE9" w14:textId="77777777" w:rsidTr="004A6049">
        <w:tc>
          <w:tcPr>
            <w:tcW w:w="7921" w:type="dxa"/>
          </w:tcPr>
          <w:p w14:paraId="308DF34F" w14:textId="77777777" w:rsidR="008B4791" w:rsidRPr="00A52AB8" w:rsidRDefault="008B4791" w:rsidP="004A6049">
            <w:pPr>
              <w:tabs>
                <w:tab w:val="clear" w:pos="1210"/>
                <w:tab w:val="clear" w:pos="1613"/>
                <w:tab w:val="clear" w:pos="2016"/>
                <w:tab w:val="clear" w:pos="2419"/>
                <w:tab w:val="clear" w:pos="2822"/>
                <w:tab w:val="clear" w:pos="3226"/>
                <w:tab w:val="clear" w:pos="3629"/>
                <w:tab w:val="clear" w:pos="4032"/>
                <w:tab w:val="clear" w:pos="4435"/>
                <w:tab w:val="clear" w:pos="9677"/>
              </w:tabs>
              <w:spacing w:before="20" w:after="20"/>
              <w:rPr>
                <w:color w:val="000000" w:themeColor="text1"/>
                <w:sz w:val="20"/>
                <w:szCs w:val="20"/>
              </w:rPr>
            </w:pPr>
            <w:r w:rsidRPr="00A52AB8">
              <w:rPr>
                <w:color w:val="000000" w:themeColor="text1"/>
                <w:sz w:val="20"/>
                <w:szCs w:val="20"/>
              </w:rPr>
              <w:t>}</w:t>
            </w:r>
          </w:p>
        </w:tc>
        <w:tc>
          <w:tcPr>
            <w:tcW w:w="1253" w:type="dxa"/>
          </w:tcPr>
          <w:p w14:paraId="50BBE45B" w14:textId="77777777" w:rsidR="008B4791" w:rsidRPr="00A52AB8" w:rsidRDefault="008B4791" w:rsidP="004A6049">
            <w:pPr>
              <w:tabs>
                <w:tab w:val="clear" w:pos="1210"/>
                <w:tab w:val="clear" w:pos="1613"/>
                <w:tab w:val="clear" w:pos="2016"/>
                <w:tab w:val="clear" w:pos="2419"/>
                <w:tab w:val="clear" w:pos="2822"/>
                <w:tab w:val="clear" w:pos="3226"/>
                <w:tab w:val="clear" w:pos="3629"/>
                <w:tab w:val="clear" w:pos="4032"/>
                <w:tab w:val="clear" w:pos="4435"/>
                <w:tab w:val="clear" w:pos="9677"/>
              </w:tabs>
              <w:spacing w:before="20" w:after="20"/>
              <w:jc w:val="center"/>
              <w:rPr>
                <w:color w:val="000000" w:themeColor="text1"/>
                <w:sz w:val="20"/>
                <w:szCs w:val="20"/>
              </w:rPr>
            </w:pPr>
          </w:p>
        </w:tc>
      </w:tr>
    </w:tbl>
    <w:p w14:paraId="1AB6E638" w14:textId="77777777" w:rsidR="00BC1F24" w:rsidRPr="00A52AB8" w:rsidRDefault="00BC1F24" w:rsidP="00CB76AA">
      <w:pPr>
        <w:pStyle w:val="Heading4"/>
      </w:pPr>
      <w:r w:rsidRPr="00A52AB8">
        <w:t xml:space="preserve">Patch </w:t>
      </w:r>
      <w:r w:rsidR="005A3A06" w:rsidRPr="00A52AB8">
        <w:t xml:space="preserve">information </w:t>
      </w:r>
      <w:r w:rsidRPr="00A52AB8">
        <w:t>data syntax</w:t>
      </w:r>
    </w:p>
    <w:tbl>
      <w:tblPr>
        <w:tblStyle w:val="TableGrid"/>
        <w:tblW w:w="4986" w:type="pct"/>
        <w:jc w:val="center"/>
        <w:tblLayout w:type="fixed"/>
        <w:tblLook w:val="04A0" w:firstRow="1" w:lastRow="0" w:firstColumn="1" w:lastColumn="0" w:noHBand="0" w:noVBand="1"/>
      </w:tblPr>
      <w:tblGrid>
        <w:gridCol w:w="8382"/>
        <w:gridCol w:w="1333"/>
      </w:tblGrid>
      <w:tr w:rsidR="00BC1F24" w:rsidRPr="00A52AB8" w14:paraId="08B28FCB" w14:textId="77777777" w:rsidTr="00A252B5">
        <w:trPr>
          <w:jc w:val="center"/>
        </w:trPr>
        <w:tc>
          <w:tcPr>
            <w:tcW w:w="7921" w:type="dxa"/>
          </w:tcPr>
          <w:p w14:paraId="75AAAD62" w14:textId="4CC829B9" w:rsidR="00BC1F24" w:rsidRPr="00A52AB8" w:rsidRDefault="00BC1F24">
            <w:pPr>
              <w:spacing w:before="20" w:after="20"/>
              <w:rPr>
                <w:color w:val="000000" w:themeColor="text1"/>
                <w:sz w:val="20"/>
                <w:szCs w:val="20"/>
              </w:rPr>
            </w:pPr>
            <w:r w:rsidRPr="00A52AB8">
              <w:rPr>
                <w:color w:val="000000" w:themeColor="text1"/>
                <w:sz w:val="20"/>
                <w:szCs w:val="20"/>
              </w:rPr>
              <w:t>patch_information_data(</w:t>
            </w:r>
            <w:r w:rsidR="004A292F" w:rsidRPr="00A52AB8">
              <w:rPr>
                <w:color w:val="000000" w:themeColor="text1"/>
                <w:sz w:val="20"/>
                <w:szCs w:val="20"/>
              </w:rPr>
              <w:t> </w:t>
            </w:r>
            <w:r w:rsidR="00632FA7" w:rsidRPr="00A52AB8">
              <w:rPr>
                <w:color w:val="000000" w:themeColor="text1"/>
                <w:sz w:val="20"/>
                <w:szCs w:val="20"/>
              </w:rPr>
              <w:t>tileID</w:t>
            </w:r>
            <w:r w:rsidR="004A292F" w:rsidRPr="00A52AB8">
              <w:rPr>
                <w:color w:val="000000" w:themeColor="text1"/>
                <w:sz w:val="20"/>
                <w:szCs w:val="20"/>
              </w:rPr>
              <w:t>,</w:t>
            </w:r>
            <w:r w:rsidR="00D43707" w:rsidRPr="00A52AB8">
              <w:rPr>
                <w:color w:val="000000" w:themeColor="text1"/>
                <w:sz w:val="20"/>
                <w:szCs w:val="20"/>
              </w:rPr>
              <w:t> </w:t>
            </w:r>
            <w:r w:rsidR="00E13AB1" w:rsidRPr="00A52AB8">
              <w:rPr>
                <w:color w:val="000000" w:themeColor="text1"/>
                <w:sz w:val="20"/>
                <w:szCs w:val="20"/>
              </w:rPr>
              <w:t>patchIdx</w:t>
            </w:r>
            <w:r w:rsidRPr="00A52AB8">
              <w:rPr>
                <w:color w:val="000000" w:themeColor="text1"/>
                <w:sz w:val="20"/>
                <w:szCs w:val="20"/>
              </w:rPr>
              <w:t>,</w:t>
            </w:r>
            <w:r w:rsidR="004A292F" w:rsidRPr="00A52AB8">
              <w:rPr>
                <w:color w:val="000000" w:themeColor="text1"/>
                <w:sz w:val="20"/>
                <w:szCs w:val="20"/>
              </w:rPr>
              <w:t> </w:t>
            </w:r>
            <w:r w:rsidRPr="00A52AB8">
              <w:rPr>
                <w:color w:val="000000" w:themeColor="text1"/>
                <w:sz w:val="20"/>
                <w:szCs w:val="20"/>
              </w:rPr>
              <w:t>patch</w:t>
            </w:r>
            <w:r w:rsidR="00162963" w:rsidRPr="00A52AB8">
              <w:rPr>
                <w:color w:val="000000" w:themeColor="text1"/>
                <w:sz w:val="20"/>
                <w:szCs w:val="20"/>
              </w:rPr>
              <w:t>M</w:t>
            </w:r>
            <w:r w:rsidRPr="00A52AB8">
              <w:rPr>
                <w:color w:val="000000" w:themeColor="text1"/>
                <w:sz w:val="20"/>
                <w:szCs w:val="20"/>
              </w:rPr>
              <w:t>ode</w:t>
            </w:r>
            <w:r w:rsidR="00AF1B7F" w:rsidRPr="00A52AB8">
              <w:rPr>
                <w:color w:val="000000" w:themeColor="text1"/>
                <w:sz w:val="20"/>
                <w:szCs w:val="20"/>
              </w:rPr>
              <w:t> </w:t>
            </w:r>
            <w:r w:rsidR="008F1F82" w:rsidRPr="00A52AB8">
              <w:rPr>
                <w:color w:val="000000" w:themeColor="text1"/>
                <w:sz w:val="20"/>
                <w:szCs w:val="20"/>
              </w:rPr>
              <w:t>) {</w:t>
            </w:r>
          </w:p>
        </w:tc>
        <w:tc>
          <w:tcPr>
            <w:tcW w:w="1260" w:type="dxa"/>
          </w:tcPr>
          <w:p w14:paraId="2FCA8DE6" w14:textId="77777777" w:rsidR="00BC1F24" w:rsidRPr="00A52AB8" w:rsidRDefault="00BC1F24">
            <w:pPr>
              <w:spacing w:before="20" w:after="20"/>
              <w:jc w:val="center"/>
              <w:rPr>
                <w:b/>
                <w:color w:val="000000" w:themeColor="text1"/>
                <w:sz w:val="20"/>
                <w:szCs w:val="20"/>
              </w:rPr>
            </w:pPr>
            <w:r w:rsidRPr="00A52AB8">
              <w:rPr>
                <w:b/>
                <w:color w:val="000000" w:themeColor="text1"/>
                <w:sz w:val="20"/>
                <w:szCs w:val="20"/>
              </w:rPr>
              <w:t>Descriptor</w:t>
            </w:r>
          </w:p>
        </w:tc>
      </w:tr>
      <w:tr w:rsidR="003A64DB" w:rsidRPr="00A52AB8" w14:paraId="387E662C" w14:textId="77777777" w:rsidTr="00A252B5">
        <w:trPr>
          <w:jc w:val="center"/>
        </w:trPr>
        <w:tc>
          <w:tcPr>
            <w:tcW w:w="7921" w:type="dxa"/>
          </w:tcPr>
          <w:p w14:paraId="45430D0D" w14:textId="4BA00631" w:rsidR="003A64DB" w:rsidRPr="00A52AB8" w:rsidRDefault="003A64DB">
            <w:pPr>
              <w:spacing w:before="20" w:after="20"/>
              <w:rPr>
                <w:color w:val="000000" w:themeColor="text1"/>
                <w:sz w:val="20"/>
                <w:szCs w:val="20"/>
              </w:rPr>
            </w:pPr>
            <w:r w:rsidRPr="00A52AB8">
              <w:rPr>
                <w:color w:val="000000" w:themeColor="text1"/>
                <w:sz w:val="20"/>
                <w:szCs w:val="20"/>
              </w:rPr>
              <w:tab/>
              <w:t>if( </w:t>
            </w:r>
            <w:r w:rsidR="00A62CD5" w:rsidRPr="00A52AB8">
              <w:rPr>
                <w:sz w:val="20"/>
                <w:szCs w:val="20"/>
              </w:rPr>
              <w:t>ath_</w:t>
            </w:r>
            <w:r w:rsidRPr="00A52AB8">
              <w:rPr>
                <w:sz w:val="20"/>
                <w:szCs w:val="20"/>
              </w:rPr>
              <w:t>type</w:t>
            </w:r>
            <w:r w:rsidR="008768E9" w:rsidRPr="00A52AB8">
              <w:rPr>
                <w:color w:val="000000" w:themeColor="text1"/>
                <w:sz w:val="20"/>
                <w:szCs w:val="20"/>
              </w:rPr>
              <w:t> </w:t>
            </w:r>
            <w:r w:rsidR="00726AAE" w:rsidRPr="00A52AB8">
              <w:rPr>
                <w:color w:val="000000" w:themeColor="text1"/>
                <w:sz w:val="20"/>
                <w:szCs w:val="20"/>
              </w:rPr>
              <w:t>==</w:t>
            </w:r>
            <w:r w:rsidR="00D47707" w:rsidRPr="00A52AB8">
              <w:rPr>
                <w:color w:val="000000" w:themeColor="text1"/>
                <w:sz w:val="20"/>
                <w:szCs w:val="20"/>
              </w:rPr>
              <w:t> </w:t>
            </w:r>
            <w:r w:rsidRPr="00A52AB8">
              <w:rPr>
                <w:sz w:val="20"/>
                <w:szCs w:val="20"/>
              </w:rPr>
              <w:t>P_TILE </w:t>
            </w:r>
            <w:r w:rsidR="008F1F82" w:rsidRPr="00A52AB8">
              <w:rPr>
                <w:sz w:val="20"/>
                <w:szCs w:val="20"/>
              </w:rPr>
              <w:t>) {</w:t>
            </w:r>
          </w:p>
        </w:tc>
        <w:tc>
          <w:tcPr>
            <w:tcW w:w="1260" w:type="dxa"/>
          </w:tcPr>
          <w:p w14:paraId="38588F4E" w14:textId="77777777" w:rsidR="003A64DB" w:rsidRPr="00A52AB8" w:rsidRDefault="003A64DB">
            <w:pPr>
              <w:spacing w:before="20" w:after="20"/>
              <w:jc w:val="center"/>
              <w:rPr>
                <w:color w:val="000000" w:themeColor="text1"/>
                <w:sz w:val="20"/>
                <w:szCs w:val="20"/>
              </w:rPr>
            </w:pPr>
          </w:p>
        </w:tc>
      </w:tr>
      <w:tr w:rsidR="003A64DB" w:rsidRPr="00A52AB8" w14:paraId="1603A73C" w14:textId="77777777" w:rsidTr="00A252B5">
        <w:trPr>
          <w:jc w:val="center"/>
        </w:trPr>
        <w:tc>
          <w:tcPr>
            <w:tcW w:w="7921" w:type="dxa"/>
          </w:tcPr>
          <w:p w14:paraId="642280B8" w14:textId="6F94AB18" w:rsidR="003A64DB" w:rsidRPr="00A52AB8" w:rsidRDefault="003A64DB">
            <w:pPr>
              <w:spacing w:before="20" w:after="20"/>
              <w:rPr>
                <w:color w:val="000000" w:themeColor="text1"/>
                <w:sz w:val="20"/>
                <w:szCs w:val="20"/>
              </w:rPr>
            </w:pPr>
            <w:r w:rsidRPr="00A52AB8">
              <w:rPr>
                <w:color w:val="000000" w:themeColor="text1"/>
                <w:sz w:val="20"/>
                <w:szCs w:val="20"/>
              </w:rPr>
              <w:tab/>
            </w:r>
            <w:r w:rsidRPr="00A52AB8">
              <w:rPr>
                <w:color w:val="000000" w:themeColor="text1"/>
                <w:sz w:val="20"/>
                <w:szCs w:val="20"/>
              </w:rPr>
              <w:tab/>
              <w:t>if(</w:t>
            </w:r>
            <w:r w:rsidR="005276B8" w:rsidRPr="00A52AB8">
              <w:rPr>
                <w:color w:val="000000" w:themeColor="text1"/>
                <w:sz w:val="20"/>
                <w:szCs w:val="20"/>
              </w:rPr>
              <w:t> </w:t>
            </w:r>
            <w:r w:rsidRPr="00A52AB8">
              <w:rPr>
                <w:color w:val="000000" w:themeColor="text1"/>
                <w:sz w:val="20"/>
                <w:szCs w:val="20"/>
              </w:rPr>
              <w:t>patchMode</w:t>
            </w:r>
            <w:r w:rsidR="008768E9" w:rsidRPr="00A52AB8">
              <w:rPr>
                <w:color w:val="000000" w:themeColor="text1"/>
                <w:sz w:val="20"/>
                <w:szCs w:val="20"/>
              </w:rPr>
              <w:t> </w:t>
            </w:r>
            <w:r w:rsidR="00726AAE" w:rsidRPr="00A52AB8">
              <w:rPr>
                <w:color w:val="000000" w:themeColor="text1"/>
                <w:sz w:val="20"/>
                <w:szCs w:val="20"/>
              </w:rPr>
              <w:t>==</w:t>
            </w:r>
            <w:r w:rsidR="00D47707" w:rsidRPr="00A52AB8">
              <w:rPr>
                <w:color w:val="000000" w:themeColor="text1"/>
                <w:sz w:val="20"/>
                <w:szCs w:val="20"/>
              </w:rPr>
              <w:t> </w:t>
            </w:r>
            <w:r w:rsidRPr="00A52AB8">
              <w:rPr>
                <w:color w:val="000000" w:themeColor="text1"/>
                <w:sz w:val="20"/>
                <w:szCs w:val="20"/>
              </w:rPr>
              <w:t>P_SKIP</w:t>
            </w:r>
            <w:r w:rsidR="00066E18" w:rsidRPr="00A52AB8">
              <w:rPr>
                <w:color w:val="000000" w:themeColor="text1"/>
                <w:sz w:val="20"/>
                <w:szCs w:val="20"/>
              </w:rPr>
              <w:t> </w:t>
            </w:r>
            <w:r w:rsidRPr="00A52AB8">
              <w:rPr>
                <w:color w:val="000000" w:themeColor="text1"/>
                <w:sz w:val="20"/>
                <w:szCs w:val="20"/>
              </w:rPr>
              <w:t>)</w:t>
            </w:r>
          </w:p>
        </w:tc>
        <w:tc>
          <w:tcPr>
            <w:tcW w:w="1260" w:type="dxa"/>
          </w:tcPr>
          <w:p w14:paraId="1AB111C6" w14:textId="77777777" w:rsidR="003A64DB" w:rsidRPr="00A52AB8" w:rsidRDefault="003A64DB">
            <w:pPr>
              <w:spacing w:before="20" w:after="20"/>
              <w:jc w:val="center"/>
              <w:rPr>
                <w:color w:val="000000" w:themeColor="text1"/>
                <w:sz w:val="20"/>
                <w:szCs w:val="20"/>
              </w:rPr>
            </w:pPr>
          </w:p>
        </w:tc>
      </w:tr>
      <w:tr w:rsidR="003A64DB" w:rsidRPr="00A52AB8" w14:paraId="40606239" w14:textId="77777777" w:rsidTr="00A252B5">
        <w:trPr>
          <w:jc w:val="center"/>
        </w:trPr>
        <w:tc>
          <w:tcPr>
            <w:tcW w:w="7921" w:type="dxa"/>
          </w:tcPr>
          <w:p w14:paraId="25335528" w14:textId="77777777" w:rsidR="003A64DB" w:rsidRPr="00A52AB8" w:rsidRDefault="003A64DB">
            <w:pPr>
              <w:spacing w:before="20" w:after="20"/>
              <w:rPr>
                <w:color w:val="000000" w:themeColor="text1"/>
                <w:sz w:val="20"/>
                <w:szCs w:val="20"/>
              </w:rPr>
            </w:pPr>
            <w:r w:rsidRPr="00A52AB8">
              <w:rPr>
                <w:color w:val="000000" w:themeColor="text1"/>
                <w:sz w:val="20"/>
                <w:szCs w:val="20"/>
                <w:lang w:eastAsia="ja-JP"/>
              </w:rPr>
              <w:tab/>
            </w:r>
            <w:r w:rsidRPr="00A52AB8">
              <w:rPr>
                <w:color w:val="000000" w:themeColor="text1"/>
                <w:sz w:val="20"/>
                <w:szCs w:val="20"/>
                <w:lang w:eastAsia="ja-JP"/>
              </w:rPr>
              <w:tab/>
            </w:r>
            <w:r w:rsidRPr="00A52AB8">
              <w:rPr>
                <w:color w:val="000000" w:themeColor="text1"/>
                <w:sz w:val="20"/>
                <w:szCs w:val="20"/>
                <w:lang w:eastAsia="ja-JP"/>
              </w:rPr>
              <w:tab/>
              <w:t>skip_patch_data_unit(</w:t>
            </w:r>
            <w:r w:rsidR="004A292F" w:rsidRPr="00A52AB8">
              <w:rPr>
                <w:color w:val="000000" w:themeColor="text1"/>
                <w:sz w:val="20"/>
                <w:szCs w:val="20"/>
              </w:rPr>
              <w:t> </w:t>
            </w:r>
            <w:r w:rsidRPr="00A52AB8">
              <w:rPr>
                <w:color w:val="000000" w:themeColor="text1"/>
                <w:sz w:val="20"/>
                <w:szCs w:val="20"/>
                <w:lang w:eastAsia="ja-JP"/>
              </w:rPr>
              <w:t>)</w:t>
            </w:r>
          </w:p>
        </w:tc>
        <w:tc>
          <w:tcPr>
            <w:tcW w:w="1260" w:type="dxa"/>
          </w:tcPr>
          <w:p w14:paraId="3D56A763" w14:textId="77777777" w:rsidR="003A64DB" w:rsidRPr="00A52AB8" w:rsidRDefault="003A64DB">
            <w:pPr>
              <w:spacing w:before="20" w:after="20"/>
              <w:jc w:val="center"/>
              <w:rPr>
                <w:color w:val="000000" w:themeColor="text1"/>
                <w:sz w:val="20"/>
                <w:szCs w:val="20"/>
              </w:rPr>
            </w:pPr>
          </w:p>
        </w:tc>
      </w:tr>
      <w:tr w:rsidR="003A64DB" w:rsidRPr="00A52AB8" w14:paraId="254CF5B3" w14:textId="77777777" w:rsidTr="00A252B5">
        <w:trPr>
          <w:jc w:val="center"/>
        </w:trPr>
        <w:tc>
          <w:tcPr>
            <w:tcW w:w="7921" w:type="dxa"/>
          </w:tcPr>
          <w:p w14:paraId="4CA4F5B4" w14:textId="5606556B" w:rsidR="003A64DB" w:rsidRPr="00A52AB8" w:rsidRDefault="003A64DB">
            <w:pPr>
              <w:spacing w:before="20" w:after="20"/>
              <w:rPr>
                <w:color w:val="000000" w:themeColor="text1"/>
                <w:sz w:val="20"/>
                <w:szCs w:val="20"/>
              </w:rPr>
            </w:pPr>
            <w:r w:rsidRPr="00A52AB8">
              <w:rPr>
                <w:color w:val="000000" w:themeColor="text1"/>
                <w:sz w:val="20"/>
                <w:szCs w:val="20"/>
              </w:rPr>
              <w:tab/>
            </w:r>
            <w:r w:rsidRPr="00A52AB8">
              <w:rPr>
                <w:color w:val="000000" w:themeColor="text1"/>
                <w:sz w:val="20"/>
                <w:szCs w:val="20"/>
              </w:rPr>
              <w:tab/>
              <w:t>else if(</w:t>
            </w:r>
            <w:r w:rsidR="00AF1B7F" w:rsidRPr="00A52AB8">
              <w:rPr>
                <w:color w:val="000000" w:themeColor="text1"/>
                <w:sz w:val="20"/>
                <w:szCs w:val="20"/>
              </w:rPr>
              <w:t> </w:t>
            </w:r>
            <w:r w:rsidRPr="00A52AB8">
              <w:rPr>
                <w:color w:val="000000" w:themeColor="text1"/>
                <w:sz w:val="20"/>
                <w:szCs w:val="20"/>
              </w:rPr>
              <w:t>patchMode</w:t>
            </w:r>
            <w:r w:rsidR="008768E9" w:rsidRPr="00A52AB8">
              <w:rPr>
                <w:color w:val="000000" w:themeColor="text1"/>
                <w:sz w:val="20"/>
                <w:szCs w:val="20"/>
              </w:rPr>
              <w:t> </w:t>
            </w:r>
            <w:r w:rsidR="00726AAE" w:rsidRPr="00A52AB8">
              <w:rPr>
                <w:color w:val="000000" w:themeColor="text1"/>
                <w:sz w:val="20"/>
                <w:szCs w:val="20"/>
              </w:rPr>
              <w:t>==</w:t>
            </w:r>
            <w:r w:rsidR="00D47707" w:rsidRPr="00A52AB8">
              <w:rPr>
                <w:color w:val="000000" w:themeColor="text1"/>
                <w:sz w:val="20"/>
                <w:szCs w:val="20"/>
              </w:rPr>
              <w:t> </w:t>
            </w:r>
            <w:r w:rsidRPr="00A52AB8">
              <w:rPr>
                <w:color w:val="000000" w:themeColor="text1"/>
                <w:sz w:val="20"/>
                <w:szCs w:val="20"/>
              </w:rPr>
              <w:t>P_MERGE</w:t>
            </w:r>
            <w:r w:rsidR="00066E18" w:rsidRPr="00A52AB8">
              <w:rPr>
                <w:color w:val="000000" w:themeColor="text1"/>
                <w:sz w:val="20"/>
                <w:szCs w:val="20"/>
              </w:rPr>
              <w:t> </w:t>
            </w:r>
            <w:r w:rsidRPr="00A52AB8">
              <w:rPr>
                <w:color w:val="000000" w:themeColor="text1"/>
                <w:sz w:val="20"/>
                <w:szCs w:val="20"/>
              </w:rPr>
              <w:t>)</w:t>
            </w:r>
          </w:p>
        </w:tc>
        <w:tc>
          <w:tcPr>
            <w:tcW w:w="1260" w:type="dxa"/>
          </w:tcPr>
          <w:p w14:paraId="6F72E1CA" w14:textId="77777777" w:rsidR="003A64DB" w:rsidRPr="00A52AB8" w:rsidRDefault="003A64DB">
            <w:pPr>
              <w:spacing w:before="20" w:after="20"/>
              <w:jc w:val="center"/>
              <w:rPr>
                <w:color w:val="000000" w:themeColor="text1"/>
                <w:sz w:val="20"/>
                <w:szCs w:val="20"/>
              </w:rPr>
            </w:pPr>
          </w:p>
        </w:tc>
      </w:tr>
      <w:tr w:rsidR="003A64DB" w:rsidRPr="00A52AB8" w14:paraId="1B55FF8C" w14:textId="77777777" w:rsidTr="00A252B5">
        <w:trPr>
          <w:jc w:val="center"/>
        </w:trPr>
        <w:tc>
          <w:tcPr>
            <w:tcW w:w="7921" w:type="dxa"/>
          </w:tcPr>
          <w:p w14:paraId="147A9C7C" w14:textId="77777777" w:rsidR="003A64DB" w:rsidRPr="00A52AB8" w:rsidRDefault="003A64DB">
            <w:pPr>
              <w:spacing w:before="20" w:after="20"/>
              <w:rPr>
                <w:color w:val="000000" w:themeColor="text1"/>
                <w:sz w:val="20"/>
                <w:szCs w:val="20"/>
              </w:rPr>
            </w:pPr>
            <w:r w:rsidRPr="00A52AB8">
              <w:rPr>
                <w:color w:val="000000" w:themeColor="text1"/>
                <w:sz w:val="20"/>
                <w:szCs w:val="20"/>
                <w:lang w:eastAsia="ja-JP"/>
              </w:rPr>
              <w:tab/>
            </w:r>
            <w:r w:rsidRPr="00A52AB8">
              <w:rPr>
                <w:color w:val="000000" w:themeColor="text1"/>
                <w:sz w:val="20"/>
                <w:szCs w:val="20"/>
                <w:lang w:eastAsia="ja-JP"/>
              </w:rPr>
              <w:tab/>
            </w:r>
            <w:r w:rsidRPr="00A52AB8">
              <w:rPr>
                <w:color w:val="000000" w:themeColor="text1"/>
                <w:sz w:val="20"/>
                <w:szCs w:val="20"/>
                <w:lang w:eastAsia="ja-JP"/>
              </w:rPr>
              <w:tab/>
              <w:t>merge_patch_data_unit(</w:t>
            </w:r>
            <w:r w:rsidR="004A292F" w:rsidRPr="00A52AB8">
              <w:rPr>
                <w:color w:val="000000" w:themeColor="text1"/>
                <w:sz w:val="20"/>
                <w:szCs w:val="20"/>
              </w:rPr>
              <w:t> </w:t>
            </w:r>
            <w:r w:rsidR="00632FA7" w:rsidRPr="00A52AB8">
              <w:rPr>
                <w:color w:val="000000" w:themeColor="text1"/>
                <w:sz w:val="20"/>
                <w:szCs w:val="20"/>
              </w:rPr>
              <w:t>tileID</w:t>
            </w:r>
            <w:r w:rsidR="004A292F" w:rsidRPr="00A52AB8">
              <w:rPr>
                <w:color w:val="000000" w:themeColor="text1"/>
                <w:sz w:val="20"/>
                <w:szCs w:val="20"/>
              </w:rPr>
              <w:t>,</w:t>
            </w:r>
            <w:r w:rsidRPr="00A52AB8">
              <w:rPr>
                <w:color w:val="000000" w:themeColor="text1"/>
                <w:sz w:val="20"/>
                <w:szCs w:val="20"/>
                <w:lang w:eastAsia="ja-JP"/>
              </w:rPr>
              <w:t> patchIdx )</w:t>
            </w:r>
          </w:p>
        </w:tc>
        <w:tc>
          <w:tcPr>
            <w:tcW w:w="1260" w:type="dxa"/>
          </w:tcPr>
          <w:p w14:paraId="3ED20D53" w14:textId="77777777" w:rsidR="003A64DB" w:rsidRPr="00A52AB8" w:rsidRDefault="003A64DB">
            <w:pPr>
              <w:spacing w:before="20" w:after="20"/>
              <w:jc w:val="center"/>
              <w:rPr>
                <w:color w:val="000000" w:themeColor="text1"/>
                <w:sz w:val="20"/>
                <w:szCs w:val="20"/>
              </w:rPr>
            </w:pPr>
          </w:p>
        </w:tc>
      </w:tr>
      <w:tr w:rsidR="003A64DB" w:rsidRPr="00A52AB8" w14:paraId="58D5513C" w14:textId="77777777" w:rsidTr="00A252B5">
        <w:trPr>
          <w:jc w:val="center"/>
        </w:trPr>
        <w:tc>
          <w:tcPr>
            <w:tcW w:w="7921" w:type="dxa"/>
          </w:tcPr>
          <w:p w14:paraId="4D3961E5" w14:textId="5FF799C8" w:rsidR="003A64DB" w:rsidRPr="00A52AB8" w:rsidRDefault="003A64DB">
            <w:pPr>
              <w:spacing w:before="20" w:after="20"/>
              <w:rPr>
                <w:color w:val="000000" w:themeColor="text1"/>
                <w:sz w:val="20"/>
                <w:szCs w:val="20"/>
              </w:rPr>
            </w:pPr>
            <w:r w:rsidRPr="00A52AB8">
              <w:rPr>
                <w:color w:val="000000" w:themeColor="text1"/>
                <w:sz w:val="20"/>
                <w:szCs w:val="20"/>
              </w:rPr>
              <w:tab/>
            </w:r>
            <w:r w:rsidRPr="00A52AB8">
              <w:rPr>
                <w:color w:val="000000" w:themeColor="text1"/>
                <w:sz w:val="20"/>
                <w:szCs w:val="20"/>
              </w:rPr>
              <w:tab/>
              <w:t>else if( patchMode</w:t>
            </w:r>
            <w:r w:rsidR="008768E9" w:rsidRPr="00A52AB8">
              <w:rPr>
                <w:color w:val="000000" w:themeColor="text1"/>
                <w:sz w:val="20"/>
                <w:szCs w:val="20"/>
              </w:rPr>
              <w:t> </w:t>
            </w:r>
            <w:r w:rsidR="00726AAE" w:rsidRPr="00A52AB8">
              <w:rPr>
                <w:color w:val="000000" w:themeColor="text1"/>
                <w:sz w:val="20"/>
                <w:szCs w:val="20"/>
              </w:rPr>
              <w:t>==</w:t>
            </w:r>
            <w:r w:rsidR="00D47707" w:rsidRPr="00A52AB8">
              <w:rPr>
                <w:color w:val="000000" w:themeColor="text1"/>
                <w:sz w:val="20"/>
                <w:szCs w:val="20"/>
              </w:rPr>
              <w:t> </w:t>
            </w:r>
            <w:r w:rsidRPr="00A52AB8">
              <w:rPr>
                <w:color w:val="000000" w:themeColor="text1"/>
                <w:sz w:val="20"/>
                <w:szCs w:val="20"/>
              </w:rPr>
              <w:t>P_INTRA )</w:t>
            </w:r>
          </w:p>
        </w:tc>
        <w:tc>
          <w:tcPr>
            <w:tcW w:w="1260" w:type="dxa"/>
          </w:tcPr>
          <w:p w14:paraId="2D6D6556" w14:textId="77777777" w:rsidR="003A64DB" w:rsidRPr="00A52AB8" w:rsidRDefault="003A64DB">
            <w:pPr>
              <w:spacing w:before="20" w:after="20"/>
              <w:jc w:val="center"/>
              <w:rPr>
                <w:color w:val="000000" w:themeColor="text1"/>
                <w:sz w:val="20"/>
                <w:szCs w:val="20"/>
              </w:rPr>
            </w:pPr>
          </w:p>
        </w:tc>
      </w:tr>
      <w:tr w:rsidR="003A64DB" w:rsidRPr="00A52AB8" w14:paraId="11E32BF3" w14:textId="77777777" w:rsidTr="00A252B5">
        <w:trPr>
          <w:jc w:val="center"/>
        </w:trPr>
        <w:tc>
          <w:tcPr>
            <w:tcW w:w="7921" w:type="dxa"/>
          </w:tcPr>
          <w:p w14:paraId="0A9A3F18" w14:textId="77777777" w:rsidR="003A64DB" w:rsidRPr="00A52AB8" w:rsidRDefault="003A64DB">
            <w:pPr>
              <w:spacing w:before="20" w:after="20"/>
              <w:rPr>
                <w:color w:val="000000" w:themeColor="text1"/>
                <w:sz w:val="20"/>
                <w:szCs w:val="20"/>
              </w:rPr>
            </w:pPr>
            <w:r w:rsidRPr="00A52AB8">
              <w:rPr>
                <w:color w:val="000000" w:themeColor="text1"/>
                <w:sz w:val="20"/>
                <w:szCs w:val="20"/>
              </w:rPr>
              <w:tab/>
            </w:r>
            <w:r w:rsidRPr="00A52AB8">
              <w:rPr>
                <w:color w:val="000000" w:themeColor="text1"/>
                <w:sz w:val="20"/>
                <w:szCs w:val="20"/>
              </w:rPr>
              <w:tab/>
            </w:r>
            <w:r w:rsidRPr="00A52AB8">
              <w:rPr>
                <w:color w:val="000000" w:themeColor="text1"/>
                <w:sz w:val="20"/>
                <w:szCs w:val="20"/>
              </w:rPr>
              <w:tab/>
              <w:t>patch_data_unit(</w:t>
            </w:r>
            <w:r w:rsidR="004A292F" w:rsidRPr="00A52AB8">
              <w:rPr>
                <w:color w:val="000000" w:themeColor="text1"/>
                <w:sz w:val="20"/>
                <w:szCs w:val="20"/>
              </w:rPr>
              <w:t> </w:t>
            </w:r>
            <w:r w:rsidR="00632FA7" w:rsidRPr="00A52AB8">
              <w:rPr>
                <w:color w:val="000000" w:themeColor="text1"/>
                <w:sz w:val="20"/>
                <w:szCs w:val="20"/>
              </w:rPr>
              <w:t>tileID</w:t>
            </w:r>
            <w:r w:rsidR="004A292F" w:rsidRPr="00A52AB8">
              <w:rPr>
                <w:color w:val="000000" w:themeColor="text1"/>
                <w:sz w:val="20"/>
                <w:szCs w:val="20"/>
              </w:rPr>
              <w:t>,</w:t>
            </w:r>
            <w:r w:rsidRPr="00A52AB8">
              <w:rPr>
                <w:color w:val="000000" w:themeColor="text1"/>
                <w:sz w:val="20"/>
                <w:szCs w:val="20"/>
              </w:rPr>
              <w:t> patchIdx )</w:t>
            </w:r>
          </w:p>
        </w:tc>
        <w:tc>
          <w:tcPr>
            <w:tcW w:w="1260" w:type="dxa"/>
          </w:tcPr>
          <w:p w14:paraId="5A733C75" w14:textId="77777777" w:rsidR="003A64DB" w:rsidRPr="00A52AB8" w:rsidRDefault="003A64DB">
            <w:pPr>
              <w:spacing w:before="20" w:after="20"/>
              <w:jc w:val="center"/>
              <w:rPr>
                <w:color w:val="000000" w:themeColor="text1"/>
                <w:sz w:val="20"/>
                <w:szCs w:val="20"/>
              </w:rPr>
            </w:pPr>
          </w:p>
        </w:tc>
      </w:tr>
      <w:tr w:rsidR="003A64DB" w:rsidRPr="00A52AB8" w14:paraId="14CFDCD5" w14:textId="77777777" w:rsidTr="00A252B5">
        <w:trPr>
          <w:jc w:val="center"/>
        </w:trPr>
        <w:tc>
          <w:tcPr>
            <w:tcW w:w="7921" w:type="dxa"/>
          </w:tcPr>
          <w:p w14:paraId="5319BBC7" w14:textId="21E59CEC" w:rsidR="003A64DB" w:rsidRPr="00A52AB8" w:rsidRDefault="003A64DB">
            <w:pPr>
              <w:spacing w:before="20" w:after="20"/>
              <w:rPr>
                <w:b/>
                <w:color w:val="000000" w:themeColor="text1"/>
                <w:sz w:val="20"/>
                <w:szCs w:val="20"/>
              </w:rPr>
            </w:pPr>
            <w:r w:rsidRPr="00A52AB8">
              <w:rPr>
                <w:b/>
                <w:color w:val="000000" w:themeColor="text1"/>
                <w:sz w:val="20"/>
                <w:szCs w:val="20"/>
              </w:rPr>
              <w:tab/>
            </w:r>
            <w:r w:rsidRPr="00A52AB8">
              <w:rPr>
                <w:b/>
                <w:color w:val="000000" w:themeColor="text1"/>
                <w:sz w:val="20"/>
                <w:szCs w:val="20"/>
              </w:rPr>
              <w:tab/>
            </w:r>
            <w:r w:rsidRPr="00A52AB8">
              <w:rPr>
                <w:color w:val="000000" w:themeColor="text1"/>
                <w:sz w:val="20"/>
                <w:szCs w:val="20"/>
              </w:rPr>
              <w:t>else if( patchMode</w:t>
            </w:r>
            <w:r w:rsidR="008768E9" w:rsidRPr="00A52AB8">
              <w:rPr>
                <w:color w:val="000000" w:themeColor="text1"/>
                <w:sz w:val="20"/>
                <w:szCs w:val="20"/>
              </w:rPr>
              <w:t> </w:t>
            </w:r>
            <w:r w:rsidR="00726AAE" w:rsidRPr="00A52AB8">
              <w:rPr>
                <w:color w:val="000000" w:themeColor="text1"/>
                <w:sz w:val="20"/>
                <w:szCs w:val="20"/>
              </w:rPr>
              <w:t>==</w:t>
            </w:r>
            <w:r w:rsidR="00D47707" w:rsidRPr="00A52AB8">
              <w:rPr>
                <w:color w:val="000000" w:themeColor="text1"/>
                <w:sz w:val="20"/>
                <w:szCs w:val="20"/>
              </w:rPr>
              <w:t> </w:t>
            </w:r>
            <w:r w:rsidRPr="00A52AB8">
              <w:rPr>
                <w:color w:val="000000" w:themeColor="text1"/>
                <w:sz w:val="20"/>
                <w:szCs w:val="20"/>
              </w:rPr>
              <w:t>P_INTER</w:t>
            </w:r>
            <w:r w:rsidR="00066E18" w:rsidRPr="00A52AB8">
              <w:rPr>
                <w:color w:val="000000" w:themeColor="text1"/>
                <w:sz w:val="20"/>
                <w:szCs w:val="20"/>
              </w:rPr>
              <w:t> </w:t>
            </w:r>
            <w:r w:rsidRPr="00A52AB8">
              <w:rPr>
                <w:color w:val="000000" w:themeColor="text1"/>
                <w:sz w:val="20"/>
                <w:szCs w:val="20"/>
              </w:rPr>
              <w:t>)</w:t>
            </w:r>
          </w:p>
        </w:tc>
        <w:tc>
          <w:tcPr>
            <w:tcW w:w="1260" w:type="dxa"/>
          </w:tcPr>
          <w:p w14:paraId="1D45AB78" w14:textId="77777777" w:rsidR="003A64DB" w:rsidRPr="00A52AB8" w:rsidRDefault="003A64DB">
            <w:pPr>
              <w:spacing w:before="20" w:after="20"/>
              <w:jc w:val="center"/>
              <w:rPr>
                <w:color w:val="000000" w:themeColor="text1"/>
                <w:sz w:val="20"/>
                <w:szCs w:val="20"/>
              </w:rPr>
            </w:pPr>
          </w:p>
        </w:tc>
      </w:tr>
      <w:tr w:rsidR="003A64DB" w:rsidRPr="00A52AB8" w14:paraId="51CA09E5" w14:textId="77777777" w:rsidTr="00A252B5">
        <w:trPr>
          <w:jc w:val="center"/>
        </w:trPr>
        <w:tc>
          <w:tcPr>
            <w:tcW w:w="7921" w:type="dxa"/>
          </w:tcPr>
          <w:p w14:paraId="0557A0BD" w14:textId="77777777" w:rsidR="003A64DB" w:rsidRPr="00A52AB8" w:rsidRDefault="003A64DB">
            <w:pPr>
              <w:spacing w:before="20" w:after="20"/>
              <w:rPr>
                <w:sz w:val="20"/>
                <w:szCs w:val="20"/>
              </w:rPr>
            </w:pPr>
            <w:r w:rsidRPr="00A52AB8">
              <w:rPr>
                <w:color w:val="000000" w:themeColor="text1"/>
                <w:sz w:val="20"/>
                <w:szCs w:val="20"/>
              </w:rPr>
              <w:tab/>
            </w:r>
            <w:r w:rsidRPr="00A52AB8">
              <w:rPr>
                <w:color w:val="000000" w:themeColor="text1"/>
                <w:sz w:val="20"/>
                <w:szCs w:val="20"/>
              </w:rPr>
              <w:tab/>
            </w:r>
            <w:r w:rsidRPr="00A52AB8">
              <w:rPr>
                <w:color w:val="000000" w:themeColor="text1"/>
                <w:sz w:val="20"/>
                <w:szCs w:val="20"/>
              </w:rPr>
              <w:tab/>
              <w:t>inter_patch_data_unit(</w:t>
            </w:r>
            <w:r w:rsidR="004A292F" w:rsidRPr="00A52AB8">
              <w:rPr>
                <w:color w:val="000000" w:themeColor="text1"/>
                <w:sz w:val="20"/>
                <w:szCs w:val="20"/>
              </w:rPr>
              <w:t> </w:t>
            </w:r>
            <w:r w:rsidR="00632FA7" w:rsidRPr="00A52AB8">
              <w:rPr>
                <w:color w:val="000000" w:themeColor="text1"/>
                <w:sz w:val="20"/>
                <w:szCs w:val="20"/>
              </w:rPr>
              <w:t>tileID</w:t>
            </w:r>
            <w:r w:rsidR="004A292F" w:rsidRPr="00A52AB8">
              <w:rPr>
                <w:color w:val="000000" w:themeColor="text1"/>
                <w:sz w:val="20"/>
                <w:szCs w:val="20"/>
              </w:rPr>
              <w:t>,</w:t>
            </w:r>
            <w:r w:rsidRPr="00A52AB8">
              <w:rPr>
                <w:color w:val="000000" w:themeColor="text1"/>
                <w:sz w:val="20"/>
                <w:szCs w:val="20"/>
              </w:rPr>
              <w:t> patchIdx )</w:t>
            </w:r>
            <w:r w:rsidRPr="00A52AB8">
              <w:rPr>
                <w:sz w:val="20"/>
                <w:szCs w:val="20"/>
              </w:rPr>
              <w:t xml:space="preserve"> </w:t>
            </w:r>
          </w:p>
        </w:tc>
        <w:tc>
          <w:tcPr>
            <w:tcW w:w="1260" w:type="dxa"/>
          </w:tcPr>
          <w:p w14:paraId="0DBE1F78" w14:textId="77777777" w:rsidR="003A64DB" w:rsidRPr="00A52AB8" w:rsidRDefault="003A64DB">
            <w:pPr>
              <w:spacing w:before="20" w:after="20"/>
              <w:jc w:val="center"/>
              <w:rPr>
                <w:color w:val="000000" w:themeColor="text1"/>
                <w:sz w:val="20"/>
                <w:szCs w:val="20"/>
              </w:rPr>
            </w:pPr>
          </w:p>
        </w:tc>
      </w:tr>
      <w:tr w:rsidR="003A64DB" w:rsidRPr="00A52AB8" w14:paraId="29DEA66F" w14:textId="77777777" w:rsidTr="00A252B5">
        <w:trPr>
          <w:jc w:val="center"/>
        </w:trPr>
        <w:tc>
          <w:tcPr>
            <w:tcW w:w="7921" w:type="dxa"/>
          </w:tcPr>
          <w:p w14:paraId="4EEA8516" w14:textId="26059574" w:rsidR="003A64DB" w:rsidRPr="00A52AB8" w:rsidRDefault="003A64DB">
            <w:pPr>
              <w:spacing w:before="20" w:after="20"/>
              <w:rPr>
                <w:color w:val="000000" w:themeColor="text1"/>
                <w:sz w:val="20"/>
                <w:szCs w:val="20"/>
              </w:rPr>
            </w:pPr>
            <w:r w:rsidRPr="00A52AB8">
              <w:rPr>
                <w:color w:val="000000" w:themeColor="text1"/>
                <w:sz w:val="20"/>
                <w:szCs w:val="20"/>
              </w:rPr>
              <w:tab/>
            </w:r>
            <w:r w:rsidRPr="00A52AB8">
              <w:rPr>
                <w:color w:val="000000" w:themeColor="text1"/>
                <w:sz w:val="20"/>
                <w:szCs w:val="20"/>
              </w:rPr>
              <w:tab/>
              <w:t>else if( patchMode</w:t>
            </w:r>
            <w:r w:rsidR="008768E9" w:rsidRPr="00A52AB8">
              <w:rPr>
                <w:color w:val="000000" w:themeColor="text1"/>
                <w:sz w:val="20"/>
                <w:szCs w:val="20"/>
              </w:rPr>
              <w:t> </w:t>
            </w:r>
            <w:r w:rsidR="00726AAE" w:rsidRPr="00A52AB8">
              <w:rPr>
                <w:color w:val="000000" w:themeColor="text1"/>
                <w:sz w:val="20"/>
                <w:szCs w:val="20"/>
              </w:rPr>
              <w:t>==</w:t>
            </w:r>
            <w:r w:rsidR="00D47707" w:rsidRPr="00A52AB8">
              <w:rPr>
                <w:color w:val="000000" w:themeColor="text1"/>
                <w:sz w:val="20"/>
                <w:szCs w:val="20"/>
              </w:rPr>
              <w:t> </w:t>
            </w:r>
            <w:r w:rsidRPr="00A52AB8">
              <w:rPr>
                <w:color w:val="000000" w:themeColor="text1"/>
                <w:sz w:val="20"/>
                <w:szCs w:val="20"/>
              </w:rPr>
              <w:t>P_RAW )</w:t>
            </w:r>
          </w:p>
        </w:tc>
        <w:tc>
          <w:tcPr>
            <w:tcW w:w="1260" w:type="dxa"/>
          </w:tcPr>
          <w:p w14:paraId="1600703E" w14:textId="77777777" w:rsidR="003A64DB" w:rsidRPr="00A52AB8" w:rsidRDefault="003A64DB">
            <w:pPr>
              <w:spacing w:before="20" w:after="20"/>
              <w:jc w:val="center"/>
              <w:rPr>
                <w:color w:val="000000" w:themeColor="text1"/>
                <w:sz w:val="20"/>
                <w:szCs w:val="20"/>
              </w:rPr>
            </w:pPr>
          </w:p>
        </w:tc>
      </w:tr>
      <w:tr w:rsidR="003A64DB" w:rsidRPr="00A52AB8" w14:paraId="3C5AFD1F" w14:textId="77777777" w:rsidTr="00A252B5">
        <w:trPr>
          <w:jc w:val="center"/>
        </w:trPr>
        <w:tc>
          <w:tcPr>
            <w:tcW w:w="7921" w:type="dxa"/>
          </w:tcPr>
          <w:p w14:paraId="5DA3B4BB" w14:textId="77777777" w:rsidR="003A64DB" w:rsidRPr="00A52AB8" w:rsidRDefault="003A64DB">
            <w:pPr>
              <w:spacing w:before="20" w:after="20"/>
              <w:rPr>
                <w:color w:val="000000" w:themeColor="text1"/>
                <w:sz w:val="20"/>
                <w:szCs w:val="20"/>
              </w:rPr>
            </w:pPr>
            <w:r w:rsidRPr="00A52AB8">
              <w:rPr>
                <w:color w:val="000000" w:themeColor="text1"/>
                <w:sz w:val="20"/>
                <w:szCs w:val="20"/>
              </w:rPr>
              <w:tab/>
            </w:r>
            <w:r w:rsidRPr="00A52AB8">
              <w:rPr>
                <w:color w:val="000000" w:themeColor="text1"/>
                <w:sz w:val="20"/>
                <w:szCs w:val="20"/>
              </w:rPr>
              <w:tab/>
            </w:r>
            <w:r w:rsidRPr="00A52AB8">
              <w:rPr>
                <w:color w:val="000000" w:themeColor="text1"/>
                <w:sz w:val="20"/>
                <w:szCs w:val="20"/>
              </w:rPr>
              <w:tab/>
              <w:t>raw_patch_data_unit(</w:t>
            </w:r>
            <w:r w:rsidR="004A292F" w:rsidRPr="00A52AB8">
              <w:rPr>
                <w:color w:val="000000" w:themeColor="text1"/>
                <w:sz w:val="20"/>
                <w:szCs w:val="20"/>
              </w:rPr>
              <w:t> </w:t>
            </w:r>
            <w:r w:rsidR="00632FA7" w:rsidRPr="00A52AB8">
              <w:rPr>
                <w:color w:val="000000" w:themeColor="text1"/>
                <w:sz w:val="20"/>
                <w:szCs w:val="20"/>
              </w:rPr>
              <w:t>tileID</w:t>
            </w:r>
            <w:r w:rsidR="004A292F" w:rsidRPr="00A52AB8">
              <w:rPr>
                <w:color w:val="000000" w:themeColor="text1"/>
                <w:sz w:val="20"/>
                <w:szCs w:val="20"/>
              </w:rPr>
              <w:t>,</w:t>
            </w:r>
            <w:r w:rsidRPr="00A52AB8">
              <w:rPr>
                <w:color w:val="000000" w:themeColor="text1"/>
                <w:sz w:val="20"/>
                <w:szCs w:val="20"/>
              </w:rPr>
              <w:t> patchIdx )</w:t>
            </w:r>
          </w:p>
        </w:tc>
        <w:tc>
          <w:tcPr>
            <w:tcW w:w="1260" w:type="dxa"/>
          </w:tcPr>
          <w:p w14:paraId="6C5963EA" w14:textId="77777777" w:rsidR="003A64DB" w:rsidRPr="00A52AB8" w:rsidRDefault="003A64DB">
            <w:pPr>
              <w:spacing w:before="20" w:after="20"/>
              <w:jc w:val="center"/>
              <w:rPr>
                <w:color w:val="000000" w:themeColor="text1"/>
                <w:sz w:val="20"/>
                <w:szCs w:val="20"/>
              </w:rPr>
            </w:pPr>
          </w:p>
        </w:tc>
      </w:tr>
      <w:tr w:rsidR="003A64DB" w:rsidRPr="00A52AB8" w14:paraId="7508A088" w14:textId="77777777" w:rsidTr="00A252B5">
        <w:trPr>
          <w:jc w:val="center"/>
        </w:trPr>
        <w:tc>
          <w:tcPr>
            <w:tcW w:w="7921" w:type="dxa"/>
          </w:tcPr>
          <w:p w14:paraId="09AD6482" w14:textId="10C40660" w:rsidR="003A64DB" w:rsidRPr="00A52AB8" w:rsidRDefault="003A64DB">
            <w:pPr>
              <w:spacing w:before="20" w:after="20"/>
              <w:rPr>
                <w:color w:val="000000" w:themeColor="text1"/>
                <w:sz w:val="20"/>
                <w:szCs w:val="20"/>
              </w:rPr>
            </w:pPr>
            <w:r w:rsidRPr="00A52AB8">
              <w:rPr>
                <w:color w:val="000000" w:themeColor="text1"/>
                <w:sz w:val="20"/>
                <w:szCs w:val="20"/>
              </w:rPr>
              <w:tab/>
            </w:r>
            <w:r w:rsidRPr="00A52AB8">
              <w:rPr>
                <w:color w:val="000000" w:themeColor="text1"/>
                <w:sz w:val="20"/>
                <w:szCs w:val="20"/>
              </w:rPr>
              <w:tab/>
              <w:t>else if( patchMode</w:t>
            </w:r>
            <w:r w:rsidR="008768E9" w:rsidRPr="00A52AB8">
              <w:rPr>
                <w:color w:val="000000" w:themeColor="text1"/>
                <w:sz w:val="20"/>
                <w:szCs w:val="20"/>
              </w:rPr>
              <w:t> </w:t>
            </w:r>
            <w:r w:rsidR="00726AAE" w:rsidRPr="00A52AB8">
              <w:rPr>
                <w:color w:val="000000" w:themeColor="text1"/>
                <w:sz w:val="20"/>
                <w:szCs w:val="20"/>
              </w:rPr>
              <w:t>==</w:t>
            </w:r>
            <w:r w:rsidR="00D47707" w:rsidRPr="00A52AB8">
              <w:rPr>
                <w:color w:val="000000" w:themeColor="text1"/>
                <w:sz w:val="20"/>
                <w:szCs w:val="20"/>
              </w:rPr>
              <w:t> </w:t>
            </w:r>
            <w:r w:rsidRPr="00A52AB8">
              <w:rPr>
                <w:color w:val="000000" w:themeColor="text1"/>
                <w:sz w:val="20"/>
                <w:szCs w:val="20"/>
              </w:rPr>
              <w:t>P_EOM )</w:t>
            </w:r>
          </w:p>
        </w:tc>
        <w:tc>
          <w:tcPr>
            <w:tcW w:w="1260" w:type="dxa"/>
          </w:tcPr>
          <w:p w14:paraId="5BF58553" w14:textId="77777777" w:rsidR="003A64DB" w:rsidRPr="00A52AB8" w:rsidRDefault="003A64DB">
            <w:pPr>
              <w:spacing w:before="20" w:after="20"/>
              <w:jc w:val="center"/>
              <w:rPr>
                <w:color w:val="000000" w:themeColor="text1"/>
                <w:sz w:val="20"/>
                <w:szCs w:val="20"/>
              </w:rPr>
            </w:pPr>
          </w:p>
        </w:tc>
      </w:tr>
      <w:tr w:rsidR="003A64DB" w:rsidRPr="00A52AB8" w14:paraId="73D7E190" w14:textId="77777777" w:rsidTr="00A252B5">
        <w:trPr>
          <w:jc w:val="center"/>
        </w:trPr>
        <w:tc>
          <w:tcPr>
            <w:tcW w:w="7921" w:type="dxa"/>
          </w:tcPr>
          <w:p w14:paraId="67038A60" w14:textId="77777777" w:rsidR="003A64DB" w:rsidRPr="00A52AB8" w:rsidRDefault="003A64DB">
            <w:pPr>
              <w:spacing w:before="20" w:after="20"/>
              <w:rPr>
                <w:color w:val="000000" w:themeColor="text1"/>
                <w:sz w:val="20"/>
                <w:szCs w:val="20"/>
              </w:rPr>
            </w:pPr>
            <w:r w:rsidRPr="00A52AB8">
              <w:rPr>
                <w:color w:val="000000" w:themeColor="text1"/>
                <w:sz w:val="20"/>
                <w:szCs w:val="20"/>
              </w:rPr>
              <w:tab/>
            </w:r>
            <w:r w:rsidRPr="00A52AB8">
              <w:rPr>
                <w:color w:val="000000" w:themeColor="text1"/>
                <w:sz w:val="20"/>
                <w:szCs w:val="20"/>
              </w:rPr>
              <w:tab/>
            </w:r>
            <w:r w:rsidRPr="00A52AB8">
              <w:rPr>
                <w:color w:val="000000" w:themeColor="text1"/>
                <w:sz w:val="20"/>
                <w:szCs w:val="20"/>
              </w:rPr>
              <w:tab/>
              <w:t>eom_patch_data_unit(</w:t>
            </w:r>
            <w:r w:rsidR="004A292F" w:rsidRPr="00A52AB8">
              <w:rPr>
                <w:color w:val="000000" w:themeColor="text1"/>
                <w:sz w:val="20"/>
                <w:szCs w:val="20"/>
              </w:rPr>
              <w:t> </w:t>
            </w:r>
            <w:r w:rsidR="00632FA7" w:rsidRPr="00A52AB8">
              <w:rPr>
                <w:color w:val="000000" w:themeColor="text1"/>
                <w:sz w:val="20"/>
                <w:szCs w:val="20"/>
              </w:rPr>
              <w:t>tileID</w:t>
            </w:r>
            <w:r w:rsidR="004A292F" w:rsidRPr="00A52AB8">
              <w:rPr>
                <w:color w:val="000000" w:themeColor="text1"/>
                <w:sz w:val="20"/>
                <w:szCs w:val="20"/>
              </w:rPr>
              <w:t>,</w:t>
            </w:r>
            <w:r w:rsidRPr="00A52AB8">
              <w:rPr>
                <w:color w:val="000000" w:themeColor="text1"/>
                <w:sz w:val="20"/>
                <w:szCs w:val="20"/>
              </w:rPr>
              <w:t> patchIdx )</w:t>
            </w:r>
          </w:p>
        </w:tc>
        <w:tc>
          <w:tcPr>
            <w:tcW w:w="1260" w:type="dxa"/>
          </w:tcPr>
          <w:p w14:paraId="0DE06037" w14:textId="77777777" w:rsidR="003A64DB" w:rsidRPr="00A52AB8" w:rsidRDefault="003A64DB">
            <w:pPr>
              <w:spacing w:before="20" w:after="20"/>
              <w:jc w:val="center"/>
              <w:rPr>
                <w:color w:val="000000" w:themeColor="text1"/>
                <w:sz w:val="20"/>
                <w:szCs w:val="20"/>
              </w:rPr>
            </w:pPr>
          </w:p>
        </w:tc>
      </w:tr>
      <w:tr w:rsidR="003A64DB" w:rsidRPr="00A52AB8" w14:paraId="1990F65A" w14:textId="77777777" w:rsidTr="00A252B5">
        <w:trPr>
          <w:jc w:val="center"/>
        </w:trPr>
        <w:tc>
          <w:tcPr>
            <w:tcW w:w="7921" w:type="dxa"/>
          </w:tcPr>
          <w:p w14:paraId="3BF54B5F" w14:textId="77777777" w:rsidR="003A64DB" w:rsidRPr="00A52AB8" w:rsidRDefault="003A64DB">
            <w:pPr>
              <w:spacing w:before="20" w:after="20"/>
              <w:rPr>
                <w:color w:val="000000" w:themeColor="text1"/>
                <w:sz w:val="20"/>
                <w:szCs w:val="20"/>
              </w:rPr>
            </w:pPr>
            <w:r w:rsidRPr="00A52AB8">
              <w:rPr>
                <w:color w:val="000000" w:themeColor="text1"/>
                <w:sz w:val="20"/>
                <w:szCs w:val="20"/>
              </w:rPr>
              <w:tab/>
              <w:t>}</w:t>
            </w:r>
          </w:p>
        </w:tc>
        <w:tc>
          <w:tcPr>
            <w:tcW w:w="1260" w:type="dxa"/>
          </w:tcPr>
          <w:p w14:paraId="4C59514E" w14:textId="77777777" w:rsidR="003A64DB" w:rsidRPr="00A52AB8" w:rsidRDefault="003A64DB">
            <w:pPr>
              <w:spacing w:before="20" w:after="20"/>
              <w:jc w:val="center"/>
              <w:rPr>
                <w:color w:val="000000" w:themeColor="text1"/>
                <w:sz w:val="20"/>
                <w:szCs w:val="20"/>
              </w:rPr>
            </w:pPr>
          </w:p>
        </w:tc>
      </w:tr>
      <w:tr w:rsidR="00FB6C79" w:rsidRPr="00A52AB8" w14:paraId="48ECC540" w14:textId="77777777" w:rsidTr="00A252B5">
        <w:trPr>
          <w:jc w:val="center"/>
        </w:trPr>
        <w:tc>
          <w:tcPr>
            <w:tcW w:w="7921" w:type="dxa"/>
          </w:tcPr>
          <w:p w14:paraId="6947AC71" w14:textId="26011109" w:rsidR="003A64DB" w:rsidRPr="00A52AB8" w:rsidRDefault="003A64DB">
            <w:pPr>
              <w:spacing w:before="20" w:after="20"/>
              <w:rPr>
                <w:color w:val="000000" w:themeColor="text1"/>
                <w:sz w:val="20"/>
                <w:szCs w:val="20"/>
              </w:rPr>
            </w:pPr>
            <w:r w:rsidRPr="00A52AB8">
              <w:rPr>
                <w:color w:val="000000" w:themeColor="text1"/>
                <w:sz w:val="20"/>
                <w:szCs w:val="20"/>
              </w:rPr>
              <w:tab/>
              <w:t>else if( </w:t>
            </w:r>
            <w:r w:rsidR="00A62CD5" w:rsidRPr="00A52AB8">
              <w:rPr>
                <w:sz w:val="20"/>
                <w:szCs w:val="20"/>
              </w:rPr>
              <w:t>ath_</w:t>
            </w:r>
            <w:r w:rsidRPr="00A52AB8">
              <w:rPr>
                <w:sz w:val="20"/>
                <w:szCs w:val="20"/>
              </w:rPr>
              <w:t>type</w:t>
            </w:r>
            <w:r w:rsidR="008768E9" w:rsidRPr="00A52AB8">
              <w:rPr>
                <w:color w:val="000000" w:themeColor="text1"/>
                <w:sz w:val="20"/>
                <w:szCs w:val="20"/>
              </w:rPr>
              <w:t> </w:t>
            </w:r>
            <w:r w:rsidR="00726AAE" w:rsidRPr="00A52AB8">
              <w:rPr>
                <w:color w:val="000000" w:themeColor="text1"/>
                <w:sz w:val="20"/>
                <w:szCs w:val="20"/>
              </w:rPr>
              <w:t>==</w:t>
            </w:r>
            <w:r w:rsidR="00D47707" w:rsidRPr="00A52AB8">
              <w:rPr>
                <w:color w:val="000000" w:themeColor="text1"/>
                <w:sz w:val="20"/>
                <w:szCs w:val="20"/>
              </w:rPr>
              <w:t> </w:t>
            </w:r>
            <w:r w:rsidRPr="00A52AB8">
              <w:rPr>
                <w:sz w:val="20"/>
                <w:szCs w:val="20"/>
              </w:rPr>
              <w:t>I_TILE </w:t>
            </w:r>
            <w:r w:rsidR="008F1F82" w:rsidRPr="00A52AB8">
              <w:rPr>
                <w:sz w:val="20"/>
                <w:szCs w:val="20"/>
              </w:rPr>
              <w:t>) {</w:t>
            </w:r>
          </w:p>
        </w:tc>
        <w:tc>
          <w:tcPr>
            <w:tcW w:w="1260" w:type="dxa"/>
          </w:tcPr>
          <w:p w14:paraId="7DAF4B68" w14:textId="77777777" w:rsidR="003A64DB" w:rsidRPr="00A52AB8" w:rsidRDefault="003A64DB">
            <w:pPr>
              <w:spacing w:before="20" w:after="20"/>
              <w:jc w:val="center"/>
              <w:rPr>
                <w:color w:val="000000" w:themeColor="text1"/>
                <w:sz w:val="20"/>
                <w:szCs w:val="20"/>
              </w:rPr>
            </w:pPr>
          </w:p>
        </w:tc>
      </w:tr>
      <w:tr w:rsidR="00FB6C79" w:rsidRPr="00A52AB8" w14:paraId="5E92E3D5" w14:textId="77777777" w:rsidTr="00A252B5">
        <w:trPr>
          <w:jc w:val="center"/>
        </w:trPr>
        <w:tc>
          <w:tcPr>
            <w:tcW w:w="7921" w:type="dxa"/>
          </w:tcPr>
          <w:p w14:paraId="3E57F474" w14:textId="56DC0A20" w:rsidR="003A64DB" w:rsidRPr="00A52AB8" w:rsidRDefault="003A64DB">
            <w:pPr>
              <w:spacing w:before="20" w:after="20"/>
              <w:rPr>
                <w:color w:val="000000" w:themeColor="text1"/>
                <w:sz w:val="20"/>
                <w:szCs w:val="20"/>
              </w:rPr>
            </w:pPr>
            <w:r w:rsidRPr="00A52AB8">
              <w:rPr>
                <w:color w:val="000000" w:themeColor="text1"/>
                <w:sz w:val="20"/>
                <w:szCs w:val="20"/>
              </w:rPr>
              <w:tab/>
            </w:r>
            <w:r w:rsidRPr="00A52AB8">
              <w:rPr>
                <w:color w:val="000000" w:themeColor="text1"/>
                <w:sz w:val="20"/>
                <w:szCs w:val="20"/>
              </w:rPr>
              <w:tab/>
              <w:t>if( patchMode</w:t>
            </w:r>
            <w:r w:rsidR="008768E9" w:rsidRPr="00A52AB8">
              <w:rPr>
                <w:color w:val="000000" w:themeColor="text1"/>
                <w:sz w:val="20"/>
                <w:szCs w:val="20"/>
              </w:rPr>
              <w:t> </w:t>
            </w:r>
            <w:r w:rsidR="00726AAE" w:rsidRPr="00A52AB8">
              <w:rPr>
                <w:color w:val="000000" w:themeColor="text1"/>
                <w:sz w:val="20"/>
                <w:szCs w:val="20"/>
              </w:rPr>
              <w:t>==</w:t>
            </w:r>
            <w:r w:rsidR="00D47707" w:rsidRPr="00A52AB8">
              <w:rPr>
                <w:color w:val="000000" w:themeColor="text1"/>
                <w:sz w:val="20"/>
                <w:szCs w:val="20"/>
              </w:rPr>
              <w:t> </w:t>
            </w:r>
            <w:r w:rsidRPr="00A52AB8">
              <w:rPr>
                <w:color w:val="000000" w:themeColor="text1"/>
                <w:sz w:val="20"/>
                <w:szCs w:val="20"/>
              </w:rPr>
              <w:t>I_INTRA )</w:t>
            </w:r>
          </w:p>
        </w:tc>
        <w:tc>
          <w:tcPr>
            <w:tcW w:w="1260" w:type="dxa"/>
          </w:tcPr>
          <w:p w14:paraId="4F49D590" w14:textId="77777777" w:rsidR="003A64DB" w:rsidRPr="00A52AB8" w:rsidRDefault="003A64DB">
            <w:pPr>
              <w:spacing w:before="20" w:after="20"/>
              <w:jc w:val="center"/>
              <w:rPr>
                <w:color w:val="000000" w:themeColor="text1"/>
                <w:sz w:val="20"/>
                <w:szCs w:val="20"/>
              </w:rPr>
            </w:pPr>
          </w:p>
        </w:tc>
      </w:tr>
      <w:tr w:rsidR="00FB6C79" w:rsidRPr="00A52AB8" w14:paraId="004D3754" w14:textId="77777777" w:rsidTr="00A252B5">
        <w:trPr>
          <w:jc w:val="center"/>
        </w:trPr>
        <w:tc>
          <w:tcPr>
            <w:tcW w:w="7921" w:type="dxa"/>
          </w:tcPr>
          <w:p w14:paraId="443B3925" w14:textId="77777777" w:rsidR="003A64DB" w:rsidRPr="00A52AB8" w:rsidRDefault="003A64DB">
            <w:pPr>
              <w:spacing w:before="20" w:after="20"/>
              <w:rPr>
                <w:color w:val="000000" w:themeColor="text1"/>
                <w:sz w:val="20"/>
                <w:szCs w:val="20"/>
              </w:rPr>
            </w:pPr>
            <w:r w:rsidRPr="00A52AB8">
              <w:rPr>
                <w:color w:val="000000" w:themeColor="text1"/>
                <w:sz w:val="20"/>
                <w:szCs w:val="20"/>
              </w:rPr>
              <w:tab/>
            </w:r>
            <w:r w:rsidRPr="00A52AB8">
              <w:rPr>
                <w:color w:val="000000" w:themeColor="text1"/>
                <w:sz w:val="20"/>
                <w:szCs w:val="20"/>
              </w:rPr>
              <w:tab/>
            </w:r>
            <w:r w:rsidRPr="00A52AB8">
              <w:rPr>
                <w:color w:val="000000" w:themeColor="text1"/>
                <w:sz w:val="20"/>
                <w:szCs w:val="20"/>
              </w:rPr>
              <w:tab/>
              <w:t>patch_data_unit(</w:t>
            </w:r>
            <w:r w:rsidR="004A292F" w:rsidRPr="00A52AB8">
              <w:rPr>
                <w:color w:val="000000" w:themeColor="text1"/>
                <w:sz w:val="20"/>
                <w:szCs w:val="20"/>
              </w:rPr>
              <w:t> </w:t>
            </w:r>
            <w:r w:rsidR="00632FA7" w:rsidRPr="00A52AB8">
              <w:rPr>
                <w:color w:val="000000" w:themeColor="text1"/>
                <w:sz w:val="20"/>
                <w:szCs w:val="20"/>
              </w:rPr>
              <w:t>tileID</w:t>
            </w:r>
            <w:r w:rsidR="004A292F" w:rsidRPr="00A52AB8">
              <w:rPr>
                <w:color w:val="000000" w:themeColor="text1"/>
                <w:sz w:val="20"/>
                <w:szCs w:val="20"/>
              </w:rPr>
              <w:t>,</w:t>
            </w:r>
            <w:r w:rsidRPr="00A52AB8">
              <w:rPr>
                <w:color w:val="000000" w:themeColor="text1"/>
                <w:sz w:val="20"/>
                <w:szCs w:val="20"/>
              </w:rPr>
              <w:t> patchIdx )</w:t>
            </w:r>
          </w:p>
        </w:tc>
        <w:tc>
          <w:tcPr>
            <w:tcW w:w="1260" w:type="dxa"/>
          </w:tcPr>
          <w:p w14:paraId="2F0C2752" w14:textId="77777777" w:rsidR="003A64DB" w:rsidRPr="00A52AB8" w:rsidRDefault="003A64DB">
            <w:pPr>
              <w:spacing w:before="20" w:after="20"/>
              <w:jc w:val="center"/>
              <w:rPr>
                <w:color w:val="000000" w:themeColor="text1"/>
                <w:sz w:val="20"/>
                <w:szCs w:val="20"/>
              </w:rPr>
            </w:pPr>
          </w:p>
        </w:tc>
      </w:tr>
      <w:tr w:rsidR="00FB6C79" w:rsidRPr="00A52AB8" w14:paraId="161B2C13" w14:textId="77777777" w:rsidTr="00A252B5">
        <w:trPr>
          <w:jc w:val="center"/>
        </w:trPr>
        <w:tc>
          <w:tcPr>
            <w:tcW w:w="7921" w:type="dxa"/>
          </w:tcPr>
          <w:p w14:paraId="2D505062" w14:textId="29EF4021" w:rsidR="003A64DB" w:rsidRPr="00A52AB8" w:rsidRDefault="003A64DB">
            <w:pPr>
              <w:spacing w:before="20" w:after="20"/>
              <w:rPr>
                <w:color w:val="000000" w:themeColor="text1"/>
                <w:sz w:val="20"/>
                <w:szCs w:val="20"/>
              </w:rPr>
            </w:pPr>
            <w:r w:rsidRPr="00A52AB8">
              <w:rPr>
                <w:color w:val="000000" w:themeColor="text1"/>
                <w:sz w:val="20"/>
                <w:szCs w:val="20"/>
              </w:rPr>
              <w:tab/>
            </w:r>
            <w:r w:rsidRPr="00A52AB8">
              <w:rPr>
                <w:color w:val="000000" w:themeColor="text1"/>
                <w:sz w:val="20"/>
                <w:szCs w:val="20"/>
              </w:rPr>
              <w:tab/>
              <w:t>else if( patchMode</w:t>
            </w:r>
            <w:r w:rsidR="008768E9" w:rsidRPr="00A52AB8">
              <w:rPr>
                <w:color w:val="000000" w:themeColor="text1"/>
                <w:sz w:val="20"/>
                <w:szCs w:val="20"/>
              </w:rPr>
              <w:t> </w:t>
            </w:r>
            <w:r w:rsidR="00726AAE" w:rsidRPr="00A52AB8">
              <w:rPr>
                <w:color w:val="000000" w:themeColor="text1"/>
                <w:sz w:val="20"/>
                <w:szCs w:val="20"/>
              </w:rPr>
              <w:t>==</w:t>
            </w:r>
            <w:r w:rsidR="00D47707" w:rsidRPr="00A52AB8">
              <w:rPr>
                <w:color w:val="000000" w:themeColor="text1"/>
                <w:sz w:val="20"/>
                <w:szCs w:val="20"/>
              </w:rPr>
              <w:t> </w:t>
            </w:r>
            <w:r w:rsidRPr="00A52AB8">
              <w:rPr>
                <w:color w:val="000000" w:themeColor="text1"/>
                <w:sz w:val="20"/>
                <w:szCs w:val="20"/>
              </w:rPr>
              <w:t>I_RAW )</w:t>
            </w:r>
          </w:p>
        </w:tc>
        <w:tc>
          <w:tcPr>
            <w:tcW w:w="1260" w:type="dxa"/>
          </w:tcPr>
          <w:p w14:paraId="7D288249" w14:textId="77777777" w:rsidR="003A64DB" w:rsidRPr="00A52AB8" w:rsidRDefault="003A64DB">
            <w:pPr>
              <w:spacing w:before="20" w:after="20"/>
              <w:jc w:val="center"/>
              <w:rPr>
                <w:color w:val="000000" w:themeColor="text1"/>
                <w:sz w:val="20"/>
                <w:szCs w:val="20"/>
              </w:rPr>
            </w:pPr>
          </w:p>
        </w:tc>
      </w:tr>
      <w:tr w:rsidR="00FB6C79" w:rsidRPr="00A52AB8" w14:paraId="0A34A6C2" w14:textId="77777777" w:rsidTr="00A252B5">
        <w:trPr>
          <w:jc w:val="center"/>
        </w:trPr>
        <w:tc>
          <w:tcPr>
            <w:tcW w:w="7921" w:type="dxa"/>
          </w:tcPr>
          <w:p w14:paraId="2B768AA1" w14:textId="77777777" w:rsidR="003A64DB" w:rsidRPr="00A52AB8" w:rsidRDefault="003A64DB">
            <w:pPr>
              <w:spacing w:before="20" w:after="20"/>
              <w:rPr>
                <w:color w:val="000000" w:themeColor="text1"/>
                <w:sz w:val="20"/>
                <w:szCs w:val="20"/>
              </w:rPr>
            </w:pPr>
            <w:r w:rsidRPr="00A52AB8">
              <w:rPr>
                <w:color w:val="000000" w:themeColor="text1"/>
                <w:sz w:val="20"/>
                <w:szCs w:val="20"/>
              </w:rPr>
              <w:lastRenderedPageBreak/>
              <w:tab/>
            </w:r>
            <w:r w:rsidRPr="00A52AB8">
              <w:rPr>
                <w:color w:val="000000" w:themeColor="text1"/>
                <w:sz w:val="20"/>
                <w:szCs w:val="20"/>
              </w:rPr>
              <w:tab/>
            </w:r>
            <w:r w:rsidRPr="00A52AB8">
              <w:rPr>
                <w:color w:val="000000" w:themeColor="text1"/>
                <w:sz w:val="20"/>
                <w:szCs w:val="20"/>
              </w:rPr>
              <w:tab/>
              <w:t>raw_patch_data_unit(</w:t>
            </w:r>
            <w:r w:rsidR="004A292F" w:rsidRPr="00A52AB8">
              <w:rPr>
                <w:color w:val="000000" w:themeColor="text1"/>
                <w:sz w:val="20"/>
                <w:szCs w:val="20"/>
              </w:rPr>
              <w:t> </w:t>
            </w:r>
            <w:r w:rsidR="00632FA7" w:rsidRPr="00A52AB8">
              <w:rPr>
                <w:color w:val="000000" w:themeColor="text1"/>
                <w:sz w:val="20"/>
                <w:szCs w:val="20"/>
              </w:rPr>
              <w:t>tileID</w:t>
            </w:r>
            <w:r w:rsidR="004A292F" w:rsidRPr="00A52AB8">
              <w:rPr>
                <w:color w:val="000000" w:themeColor="text1"/>
                <w:sz w:val="20"/>
                <w:szCs w:val="20"/>
              </w:rPr>
              <w:t>,</w:t>
            </w:r>
            <w:r w:rsidRPr="00A52AB8">
              <w:rPr>
                <w:color w:val="000000" w:themeColor="text1"/>
                <w:sz w:val="20"/>
                <w:szCs w:val="20"/>
              </w:rPr>
              <w:t> patchIdx )</w:t>
            </w:r>
          </w:p>
        </w:tc>
        <w:tc>
          <w:tcPr>
            <w:tcW w:w="1260" w:type="dxa"/>
          </w:tcPr>
          <w:p w14:paraId="7DB0FF07" w14:textId="77777777" w:rsidR="003A64DB" w:rsidRPr="00A52AB8" w:rsidRDefault="003A64DB">
            <w:pPr>
              <w:spacing w:before="20" w:after="20"/>
              <w:jc w:val="center"/>
              <w:rPr>
                <w:color w:val="000000" w:themeColor="text1"/>
                <w:sz w:val="20"/>
                <w:szCs w:val="20"/>
              </w:rPr>
            </w:pPr>
          </w:p>
        </w:tc>
      </w:tr>
      <w:tr w:rsidR="00FB6C79" w:rsidRPr="00A52AB8" w14:paraId="636FB3E3" w14:textId="77777777" w:rsidTr="00A252B5">
        <w:trPr>
          <w:jc w:val="center"/>
        </w:trPr>
        <w:tc>
          <w:tcPr>
            <w:tcW w:w="7921" w:type="dxa"/>
          </w:tcPr>
          <w:p w14:paraId="20EE13A8" w14:textId="62BF229E" w:rsidR="003A64DB" w:rsidRPr="00A52AB8" w:rsidRDefault="003A64DB">
            <w:pPr>
              <w:spacing w:before="20" w:after="20"/>
              <w:rPr>
                <w:color w:val="000000" w:themeColor="text1"/>
                <w:sz w:val="20"/>
                <w:szCs w:val="20"/>
              </w:rPr>
            </w:pPr>
            <w:r w:rsidRPr="00A52AB8">
              <w:rPr>
                <w:color w:val="000000" w:themeColor="text1"/>
                <w:sz w:val="20"/>
                <w:szCs w:val="20"/>
              </w:rPr>
              <w:tab/>
            </w:r>
            <w:r w:rsidRPr="00A52AB8">
              <w:rPr>
                <w:color w:val="000000" w:themeColor="text1"/>
                <w:sz w:val="20"/>
                <w:szCs w:val="20"/>
              </w:rPr>
              <w:tab/>
              <w:t>else if( patchMode</w:t>
            </w:r>
            <w:r w:rsidR="008768E9" w:rsidRPr="00A52AB8">
              <w:rPr>
                <w:color w:val="000000" w:themeColor="text1"/>
                <w:sz w:val="20"/>
                <w:szCs w:val="20"/>
              </w:rPr>
              <w:t> </w:t>
            </w:r>
            <w:r w:rsidR="00726AAE" w:rsidRPr="00A52AB8">
              <w:rPr>
                <w:color w:val="000000" w:themeColor="text1"/>
                <w:sz w:val="20"/>
                <w:szCs w:val="20"/>
              </w:rPr>
              <w:t>==</w:t>
            </w:r>
            <w:r w:rsidR="00D47707" w:rsidRPr="00A52AB8">
              <w:rPr>
                <w:color w:val="000000" w:themeColor="text1"/>
                <w:sz w:val="20"/>
                <w:szCs w:val="20"/>
              </w:rPr>
              <w:t> </w:t>
            </w:r>
            <w:r w:rsidRPr="00A52AB8">
              <w:rPr>
                <w:color w:val="000000" w:themeColor="text1"/>
                <w:sz w:val="20"/>
                <w:szCs w:val="20"/>
              </w:rPr>
              <w:t>I_EOM )</w:t>
            </w:r>
          </w:p>
        </w:tc>
        <w:tc>
          <w:tcPr>
            <w:tcW w:w="1260" w:type="dxa"/>
          </w:tcPr>
          <w:p w14:paraId="6874C9D4" w14:textId="77777777" w:rsidR="003A64DB" w:rsidRPr="00A52AB8" w:rsidRDefault="003A64DB">
            <w:pPr>
              <w:spacing w:before="20" w:after="20"/>
              <w:jc w:val="center"/>
              <w:rPr>
                <w:color w:val="000000" w:themeColor="text1"/>
                <w:sz w:val="20"/>
                <w:szCs w:val="20"/>
              </w:rPr>
            </w:pPr>
          </w:p>
        </w:tc>
      </w:tr>
      <w:tr w:rsidR="00FB6C79" w:rsidRPr="00A52AB8" w14:paraId="12AA9246" w14:textId="77777777" w:rsidTr="00A252B5">
        <w:trPr>
          <w:jc w:val="center"/>
        </w:trPr>
        <w:tc>
          <w:tcPr>
            <w:tcW w:w="7921" w:type="dxa"/>
          </w:tcPr>
          <w:p w14:paraId="4F54FE8E" w14:textId="77777777" w:rsidR="003A64DB" w:rsidRPr="00A52AB8" w:rsidRDefault="003A64DB">
            <w:pPr>
              <w:spacing w:before="20" w:after="20"/>
              <w:rPr>
                <w:color w:val="000000" w:themeColor="text1"/>
                <w:sz w:val="20"/>
                <w:szCs w:val="20"/>
              </w:rPr>
            </w:pPr>
            <w:r w:rsidRPr="00A52AB8">
              <w:rPr>
                <w:color w:val="000000" w:themeColor="text1"/>
                <w:sz w:val="20"/>
                <w:szCs w:val="20"/>
              </w:rPr>
              <w:tab/>
            </w:r>
            <w:r w:rsidRPr="00A52AB8">
              <w:rPr>
                <w:color w:val="000000" w:themeColor="text1"/>
                <w:sz w:val="20"/>
                <w:szCs w:val="20"/>
              </w:rPr>
              <w:tab/>
            </w:r>
            <w:r w:rsidRPr="00A52AB8">
              <w:rPr>
                <w:color w:val="000000" w:themeColor="text1"/>
                <w:sz w:val="20"/>
                <w:szCs w:val="20"/>
              </w:rPr>
              <w:tab/>
              <w:t>eom_patch_data_unit(</w:t>
            </w:r>
            <w:r w:rsidR="004A292F" w:rsidRPr="00A52AB8">
              <w:rPr>
                <w:color w:val="000000" w:themeColor="text1"/>
                <w:sz w:val="20"/>
                <w:szCs w:val="20"/>
              </w:rPr>
              <w:t> </w:t>
            </w:r>
            <w:r w:rsidR="00632FA7" w:rsidRPr="00A52AB8">
              <w:rPr>
                <w:color w:val="000000" w:themeColor="text1"/>
                <w:sz w:val="20"/>
                <w:szCs w:val="20"/>
              </w:rPr>
              <w:t>tileID</w:t>
            </w:r>
            <w:r w:rsidR="004A292F" w:rsidRPr="00A52AB8">
              <w:rPr>
                <w:color w:val="000000" w:themeColor="text1"/>
                <w:sz w:val="20"/>
                <w:szCs w:val="20"/>
              </w:rPr>
              <w:t>,</w:t>
            </w:r>
            <w:r w:rsidRPr="00A52AB8">
              <w:rPr>
                <w:color w:val="000000" w:themeColor="text1"/>
                <w:sz w:val="20"/>
                <w:szCs w:val="20"/>
              </w:rPr>
              <w:t> patchIdx )</w:t>
            </w:r>
          </w:p>
        </w:tc>
        <w:tc>
          <w:tcPr>
            <w:tcW w:w="1260" w:type="dxa"/>
          </w:tcPr>
          <w:p w14:paraId="0AB6676E" w14:textId="77777777" w:rsidR="003A64DB" w:rsidRPr="00A52AB8" w:rsidRDefault="003A64DB">
            <w:pPr>
              <w:spacing w:before="20" w:after="20"/>
              <w:jc w:val="center"/>
              <w:rPr>
                <w:color w:val="000000" w:themeColor="text1"/>
                <w:sz w:val="20"/>
                <w:szCs w:val="20"/>
              </w:rPr>
            </w:pPr>
          </w:p>
        </w:tc>
      </w:tr>
      <w:tr w:rsidR="003A64DB" w:rsidRPr="00A52AB8" w14:paraId="1EFB99B0" w14:textId="77777777" w:rsidTr="00A252B5">
        <w:trPr>
          <w:jc w:val="center"/>
        </w:trPr>
        <w:tc>
          <w:tcPr>
            <w:tcW w:w="7921" w:type="dxa"/>
          </w:tcPr>
          <w:p w14:paraId="34BA3A75" w14:textId="77777777" w:rsidR="003A64DB" w:rsidRPr="00A52AB8" w:rsidRDefault="003A64DB">
            <w:pPr>
              <w:spacing w:before="20" w:after="20"/>
              <w:rPr>
                <w:color w:val="000000" w:themeColor="text1"/>
                <w:sz w:val="20"/>
                <w:szCs w:val="20"/>
              </w:rPr>
            </w:pPr>
            <w:r w:rsidRPr="00A52AB8">
              <w:rPr>
                <w:color w:val="000000" w:themeColor="text1"/>
                <w:sz w:val="20"/>
                <w:szCs w:val="20"/>
              </w:rPr>
              <w:tab/>
              <w:t>}</w:t>
            </w:r>
          </w:p>
        </w:tc>
        <w:tc>
          <w:tcPr>
            <w:tcW w:w="1260" w:type="dxa"/>
          </w:tcPr>
          <w:p w14:paraId="676168BA" w14:textId="77777777" w:rsidR="003A64DB" w:rsidRPr="00A52AB8" w:rsidRDefault="003A64DB">
            <w:pPr>
              <w:spacing w:before="20" w:after="20"/>
              <w:jc w:val="center"/>
              <w:rPr>
                <w:color w:val="000000" w:themeColor="text1"/>
                <w:sz w:val="20"/>
                <w:szCs w:val="20"/>
              </w:rPr>
            </w:pPr>
          </w:p>
        </w:tc>
      </w:tr>
      <w:tr w:rsidR="003A64DB" w:rsidRPr="00A52AB8" w14:paraId="30514C59" w14:textId="77777777" w:rsidTr="00A252B5">
        <w:trPr>
          <w:jc w:val="center"/>
        </w:trPr>
        <w:tc>
          <w:tcPr>
            <w:tcW w:w="7921" w:type="dxa"/>
          </w:tcPr>
          <w:p w14:paraId="3543C0EA" w14:textId="77777777" w:rsidR="003A64DB" w:rsidRPr="00A52AB8" w:rsidRDefault="003A64DB">
            <w:pPr>
              <w:spacing w:before="20" w:after="20"/>
              <w:rPr>
                <w:color w:val="000000" w:themeColor="text1"/>
                <w:sz w:val="20"/>
                <w:szCs w:val="20"/>
              </w:rPr>
            </w:pPr>
            <w:r w:rsidRPr="00A52AB8">
              <w:rPr>
                <w:color w:val="000000" w:themeColor="text1"/>
                <w:sz w:val="20"/>
                <w:szCs w:val="20"/>
              </w:rPr>
              <w:t>}</w:t>
            </w:r>
          </w:p>
        </w:tc>
        <w:tc>
          <w:tcPr>
            <w:tcW w:w="1260" w:type="dxa"/>
          </w:tcPr>
          <w:p w14:paraId="034CB1E5" w14:textId="77777777" w:rsidR="003A64DB" w:rsidRPr="00A52AB8" w:rsidRDefault="003A64DB">
            <w:pPr>
              <w:spacing w:before="20" w:after="20"/>
              <w:jc w:val="center"/>
              <w:rPr>
                <w:color w:val="000000" w:themeColor="text1"/>
                <w:sz w:val="20"/>
                <w:szCs w:val="20"/>
              </w:rPr>
            </w:pPr>
          </w:p>
        </w:tc>
      </w:tr>
    </w:tbl>
    <w:p w14:paraId="39EAC7FA" w14:textId="77777777" w:rsidR="002574ED" w:rsidRPr="00A52AB8" w:rsidRDefault="002574ED" w:rsidP="00CB76AA">
      <w:pPr>
        <w:pStyle w:val="Heading4"/>
      </w:pPr>
      <w:r w:rsidRPr="00A52AB8">
        <w:t xml:space="preserve">Patch </w:t>
      </w:r>
      <w:r w:rsidR="00973BC1" w:rsidRPr="00A52AB8">
        <w:t>data unit</w:t>
      </w:r>
      <w:r w:rsidRPr="00A52AB8">
        <w:t xml:space="preserve"> syntax</w:t>
      </w:r>
    </w:p>
    <w:tbl>
      <w:tblPr>
        <w:tblStyle w:val="TableGrid"/>
        <w:tblW w:w="5007" w:type="pct"/>
        <w:jc w:val="center"/>
        <w:tblLayout w:type="fixed"/>
        <w:tblLook w:val="04A0" w:firstRow="1" w:lastRow="0" w:firstColumn="1" w:lastColumn="0" w:noHBand="0" w:noVBand="1"/>
      </w:tblPr>
      <w:tblGrid>
        <w:gridCol w:w="8424"/>
        <w:gridCol w:w="1332"/>
      </w:tblGrid>
      <w:tr w:rsidR="002574ED" w:rsidRPr="00A52AB8" w14:paraId="4549098A" w14:textId="77777777" w:rsidTr="004A7026">
        <w:trPr>
          <w:jc w:val="center"/>
        </w:trPr>
        <w:tc>
          <w:tcPr>
            <w:tcW w:w="8424" w:type="dxa"/>
          </w:tcPr>
          <w:p w14:paraId="7F06A3E6" w14:textId="599FFD42" w:rsidR="002574ED" w:rsidRPr="00A52AB8" w:rsidRDefault="002574ED">
            <w:pPr>
              <w:spacing w:before="20" w:after="20"/>
              <w:rPr>
                <w:color w:val="000000" w:themeColor="text1"/>
                <w:sz w:val="20"/>
                <w:szCs w:val="20"/>
              </w:rPr>
            </w:pPr>
            <w:r w:rsidRPr="00A52AB8">
              <w:rPr>
                <w:color w:val="000000" w:themeColor="text1"/>
                <w:sz w:val="20"/>
                <w:szCs w:val="20"/>
              </w:rPr>
              <w:t>patch_data_unit(</w:t>
            </w:r>
            <w:r w:rsidR="004A292F" w:rsidRPr="00A52AB8">
              <w:rPr>
                <w:color w:val="000000" w:themeColor="text1"/>
                <w:sz w:val="20"/>
                <w:szCs w:val="20"/>
              </w:rPr>
              <w:t> </w:t>
            </w:r>
            <w:r w:rsidR="00632FA7" w:rsidRPr="00A52AB8">
              <w:rPr>
                <w:color w:val="000000" w:themeColor="text1"/>
                <w:sz w:val="20"/>
                <w:szCs w:val="20"/>
              </w:rPr>
              <w:t>tileID</w:t>
            </w:r>
            <w:r w:rsidR="004A292F" w:rsidRPr="00A52AB8">
              <w:rPr>
                <w:color w:val="000000" w:themeColor="text1"/>
                <w:sz w:val="20"/>
                <w:szCs w:val="20"/>
              </w:rPr>
              <w:t>,</w:t>
            </w:r>
            <w:r w:rsidRPr="00A52AB8">
              <w:rPr>
                <w:color w:val="000000" w:themeColor="text1"/>
                <w:sz w:val="20"/>
                <w:szCs w:val="20"/>
              </w:rPr>
              <w:t> </w:t>
            </w:r>
            <w:r w:rsidR="00E13AB1" w:rsidRPr="00A52AB8">
              <w:rPr>
                <w:color w:val="000000" w:themeColor="text1"/>
                <w:sz w:val="20"/>
                <w:szCs w:val="20"/>
              </w:rPr>
              <w:t>patchIdx</w:t>
            </w:r>
            <w:r w:rsidR="00CC1888" w:rsidRPr="00A52AB8">
              <w:rPr>
                <w:color w:val="000000" w:themeColor="text1"/>
                <w:sz w:val="20"/>
                <w:szCs w:val="20"/>
              </w:rPr>
              <w:t> </w:t>
            </w:r>
            <w:r w:rsidR="008F1F82" w:rsidRPr="00A52AB8">
              <w:rPr>
                <w:color w:val="000000" w:themeColor="text1"/>
                <w:sz w:val="20"/>
                <w:szCs w:val="20"/>
              </w:rPr>
              <w:t>) {</w:t>
            </w:r>
          </w:p>
        </w:tc>
        <w:tc>
          <w:tcPr>
            <w:tcW w:w="1332" w:type="dxa"/>
          </w:tcPr>
          <w:p w14:paraId="3CCAA5D7" w14:textId="77777777" w:rsidR="002574ED" w:rsidRPr="00A52AB8" w:rsidRDefault="002574ED">
            <w:pPr>
              <w:spacing w:before="20" w:after="20"/>
              <w:jc w:val="center"/>
              <w:rPr>
                <w:b/>
                <w:color w:val="000000" w:themeColor="text1"/>
                <w:sz w:val="20"/>
                <w:szCs w:val="20"/>
              </w:rPr>
            </w:pPr>
            <w:r w:rsidRPr="00A52AB8">
              <w:rPr>
                <w:b/>
                <w:color w:val="000000" w:themeColor="text1"/>
                <w:sz w:val="20"/>
                <w:szCs w:val="20"/>
              </w:rPr>
              <w:t>Descriptor</w:t>
            </w:r>
          </w:p>
        </w:tc>
      </w:tr>
      <w:tr w:rsidR="006A6E1F" w:rsidRPr="00A52AB8" w14:paraId="2298EC2C" w14:textId="77777777" w:rsidTr="004A7026">
        <w:trPr>
          <w:jc w:val="center"/>
        </w:trPr>
        <w:tc>
          <w:tcPr>
            <w:tcW w:w="8424" w:type="dxa"/>
          </w:tcPr>
          <w:p w14:paraId="1DFFC435" w14:textId="77777777" w:rsidR="006A6E1F" w:rsidRPr="00A52AB8" w:rsidRDefault="006A6E1F">
            <w:pPr>
              <w:spacing w:before="20" w:after="20"/>
              <w:rPr>
                <w:color w:val="000000" w:themeColor="text1"/>
                <w:sz w:val="20"/>
                <w:szCs w:val="20"/>
              </w:rPr>
            </w:pPr>
            <w:r w:rsidRPr="00A52AB8">
              <w:rPr>
                <w:color w:val="000000" w:themeColor="text1"/>
                <w:sz w:val="20"/>
                <w:szCs w:val="20"/>
              </w:rPr>
              <w:tab/>
            </w:r>
            <w:r w:rsidRPr="00A52AB8">
              <w:rPr>
                <w:b/>
                <w:color w:val="000000" w:themeColor="text1"/>
                <w:sz w:val="20"/>
                <w:szCs w:val="20"/>
              </w:rPr>
              <w:t>p</w:t>
            </w:r>
            <w:r w:rsidR="00C41D9B" w:rsidRPr="00A52AB8">
              <w:rPr>
                <w:b/>
                <w:color w:val="000000" w:themeColor="text1"/>
                <w:sz w:val="20"/>
                <w:szCs w:val="20"/>
              </w:rPr>
              <w:t>du</w:t>
            </w:r>
            <w:r w:rsidRPr="00A52AB8">
              <w:rPr>
                <w:b/>
                <w:color w:val="000000" w:themeColor="text1"/>
                <w:sz w:val="20"/>
                <w:szCs w:val="20"/>
              </w:rPr>
              <w:t>_</w:t>
            </w:r>
            <w:r w:rsidR="00070D8E" w:rsidRPr="00A52AB8">
              <w:rPr>
                <w:b/>
                <w:color w:val="000000" w:themeColor="text1"/>
                <w:sz w:val="20"/>
                <w:szCs w:val="20"/>
              </w:rPr>
              <w:t>2d_</w:t>
            </w:r>
            <w:r w:rsidR="00627BE0" w:rsidRPr="00A52AB8">
              <w:rPr>
                <w:b/>
                <w:color w:val="000000" w:themeColor="text1"/>
                <w:sz w:val="20"/>
                <w:szCs w:val="20"/>
              </w:rPr>
              <w:t>pos</w:t>
            </w:r>
            <w:r w:rsidR="00070D8E" w:rsidRPr="00A52AB8">
              <w:rPr>
                <w:b/>
                <w:color w:val="000000" w:themeColor="text1"/>
                <w:sz w:val="20"/>
                <w:szCs w:val="20"/>
              </w:rPr>
              <w:t>_x</w:t>
            </w:r>
            <w:r w:rsidR="00A846C2" w:rsidRPr="00A52AB8">
              <w:rPr>
                <w:color w:val="000000" w:themeColor="text1"/>
                <w:sz w:val="20"/>
                <w:szCs w:val="20"/>
              </w:rPr>
              <w:t>[ </w:t>
            </w:r>
            <w:r w:rsidR="00632FA7" w:rsidRPr="00A52AB8">
              <w:rPr>
                <w:color w:val="000000" w:themeColor="text1"/>
                <w:sz w:val="20"/>
                <w:szCs w:val="20"/>
              </w:rPr>
              <w:t>tileID</w:t>
            </w:r>
            <w:r w:rsidR="00A846C2" w:rsidRPr="00A52AB8">
              <w:rPr>
                <w:color w:val="000000" w:themeColor="text1"/>
                <w:sz w:val="20"/>
                <w:szCs w:val="20"/>
              </w:rPr>
              <w:t> ]</w:t>
            </w:r>
            <w:r w:rsidR="001F3C1E" w:rsidRPr="00A52AB8">
              <w:rPr>
                <w:color w:val="000000" w:themeColor="text1"/>
                <w:sz w:val="20"/>
                <w:szCs w:val="20"/>
              </w:rPr>
              <w:t>[ patchIdx ]</w:t>
            </w:r>
          </w:p>
        </w:tc>
        <w:tc>
          <w:tcPr>
            <w:tcW w:w="1332" w:type="dxa"/>
          </w:tcPr>
          <w:p w14:paraId="7816ED42" w14:textId="77777777" w:rsidR="006A6E1F" w:rsidRPr="00A52AB8" w:rsidRDefault="0047460F">
            <w:pPr>
              <w:spacing w:before="20" w:after="20"/>
              <w:jc w:val="center"/>
              <w:rPr>
                <w:color w:val="000000" w:themeColor="text1"/>
                <w:sz w:val="20"/>
                <w:szCs w:val="20"/>
              </w:rPr>
            </w:pPr>
            <w:r w:rsidRPr="00A52AB8">
              <w:rPr>
                <w:color w:val="000000" w:themeColor="text1"/>
                <w:sz w:val="20"/>
                <w:szCs w:val="20"/>
              </w:rPr>
              <w:t>u</w:t>
            </w:r>
            <w:r w:rsidR="00F72042" w:rsidRPr="00A52AB8">
              <w:rPr>
                <w:color w:val="000000" w:themeColor="text1"/>
                <w:sz w:val="20"/>
                <w:szCs w:val="20"/>
              </w:rPr>
              <w:t>e</w:t>
            </w:r>
            <w:r w:rsidR="006A6E1F" w:rsidRPr="00A52AB8">
              <w:rPr>
                <w:color w:val="000000" w:themeColor="text1"/>
                <w:sz w:val="20"/>
                <w:szCs w:val="20"/>
              </w:rPr>
              <w:t>(v)</w:t>
            </w:r>
          </w:p>
        </w:tc>
      </w:tr>
      <w:tr w:rsidR="006A6E1F" w:rsidRPr="00A52AB8" w14:paraId="7134FF78" w14:textId="77777777" w:rsidTr="004A7026">
        <w:trPr>
          <w:jc w:val="center"/>
        </w:trPr>
        <w:tc>
          <w:tcPr>
            <w:tcW w:w="8424" w:type="dxa"/>
          </w:tcPr>
          <w:p w14:paraId="5FA91CBD" w14:textId="77777777" w:rsidR="006A6E1F" w:rsidRPr="00A52AB8" w:rsidRDefault="006A6E1F">
            <w:pPr>
              <w:spacing w:before="20" w:after="20"/>
              <w:rPr>
                <w:color w:val="000000" w:themeColor="text1"/>
                <w:sz w:val="20"/>
                <w:szCs w:val="20"/>
                <w:lang w:eastAsia="ja-JP"/>
              </w:rPr>
            </w:pPr>
            <w:r w:rsidRPr="00A52AB8">
              <w:rPr>
                <w:color w:val="000000" w:themeColor="text1"/>
                <w:sz w:val="20"/>
                <w:szCs w:val="20"/>
              </w:rPr>
              <w:tab/>
            </w:r>
            <w:r w:rsidRPr="00A52AB8">
              <w:rPr>
                <w:b/>
                <w:color w:val="000000" w:themeColor="text1"/>
                <w:sz w:val="20"/>
                <w:szCs w:val="20"/>
              </w:rPr>
              <w:t>p</w:t>
            </w:r>
            <w:r w:rsidR="00C41D9B" w:rsidRPr="00A52AB8">
              <w:rPr>
                <w:b/>
                <w:color w:val="000000" w:themeColor="text1"/>
                <w:sz w:val="20"/>
                <w:szCs w:val="20"/>
              </w:rPr>
              <w:t>du</w:t>
            </w:r>
            <w:r w:rsidRPr="00A52AB8">
              <w:rPr>
                <w:b/>
                <w:color w:val="000000" w:themeColor="text1"/>
                <w:sz w:val="20"/>
                <w:szCs w:val="20"/>
              </w:rPr>
              <w:t>_</w:t>
            </w:r>
            <w:r w:rsidR="00070D8E" w:rsidRPr="00A52AB8">
              <w:rPr>
                <w:b/>
                <w:color w:val="000000" w:themeColor="text1"/>
                <w:sz w:val="20"/>
                <w:szCs w:val="20"/>
              </w:rPr>
              <w:t>2d_</w:t>
            </w:r>
            <w:r w:rsidR="00627BE0" w:rsidRPr="00A52AB8">
              <w:rPr>
                <w:b/>
                <w:color w:val="000000" w:themeColor="text1"/>
                <w:sz w:val="20"/>
                <w:szCs w:val="20"/>
              </w:rPr>
              <w:t>pos</w:t>
            </w:r>
            <w:r w:rsidR="00070D8E" w:rsidRPr="00A52AB8">
              <w:rPr>
                <w:b/>
                <w:color w:val="000000" w:themeColor="text1"/>
                <w:sz w:val="20"/>
                <w:szCs w:val="20"/>
              </w:rPr>
              <w:t>_y</w:t>
            </w:r>
            <w:r w:rsidR="00A846C2" w:rsidRPr="00A52AB8">
              <w:rPr>
                <w:color w:val="000000" w:themeColor="text1"/>
                <w:sz w:val="20"/>
                <w:szCs w:val="20"/>
              </w:rPr>
              <w:t>[ </w:t>
            </w:r>
            <w:r w:rsidR="00632FA7" w:rsidRPr="00A52AB8">
              <w:rPr>
                <w:color w:val="000000" w:themeColor="text1"/>
                <w:sz w:val="20"/>
                <w:szCs w:val="20"/>
              </w:rPr>
              <w:t>tileID</w:t>
            </w:r>
            <w:r w:rsidR="00A846C2" w:rsidRPr="00A52AB8">
              <w:rPr>
                <w:color w:val="000000" w:themeColor="text1"/>
                <w:sz w:val="20"/>
                <w:szCs w:val="20"/>
              </w:rPr>
              <w:t> ]</w:t>
            </w:r>
            <w:r w:rsidR="001F3C1E" w:rsidRPr="00A52AB8">
              <w:rPr>
                <w:color w:val="000000" w:themeColor="text1"/>
                <w:sz w:val="20"/>
                <w:szCs w:val="20"/>
              </w:rPr>
              <w:t>[ patchIdx ]</w:t>
            </w:r>
          </w:p>
        </w:tc>
        <w:tc>
          <w:tcPr>
            <w:tcW w:w="1332" w:type="dxa"/>
          </w:tcPr>
          <w:p w14:paraId="75C066CF" w14:textId="77777777" w:rsidR="006A6E1F" w:rsidRPr="00A52AB8" w:rsidRDefault="0047460F">
            <w:pPr>
              <w:spacing w:before="20" w:after="20"/>
              <w:jc w:val="center"/>
              <w:rPr>
                <w:color w:val="000000" w:themeColor="text1"/>
                <w:sz w:val="20"/>
                <w:szCs w:val="20"/>
              </w:rPr>
            </w:pPr>
            <w:r w:rsidRPr="00A52AB8">
              <w:rPr>
                <w:color w:val="000000" w:themeColor="text1"/>
                <w:sz w:val="20"/>
                <w:szCs w:val="20"/>
              </w:rPr>
              <w:t>u</w:t>
            </w:r>
            <w:r w:rsidR="00F72042" w:rsidRPr="00A52AB8">
              <w:rPr>
                <w:color w:val="000000" w:themeColor="text1"/>
                <w:sz w:val="20"/>
                <w:szCs w:val="20"/>
              </w:rPr>
              <w:t>e</w:t>
            </w:r>
            <w:r w:rsidR="006A6E1F" w:rsidRPr="00A52AB8">
              <w:rPr>
                <w:color w:val="000000" w:themeColor="text1"/>
                <w:sz w:val="20"/>
                <w:szCs w:val="20"/>
              </w:rPr>
              <w:t>(v)</w:t>
            </w:r>
          </w:p>
        </w:tc>
      </w:tr>
      <w:tr w:rsidR="004B0340" w:rsidRPr="00A52AB8" w14:paraId="56420870" w14:textId="77777777" w:rsidTr="004A7026">
        <w:trPr>
          <w:jc w:val="center"/>
        </w:trPr>
        <w:tc>
          <w:tcPr>
            <w:tcW w:w="8424" w:type="dxa"/>
          </w:tcPr>
          <w:p w14:paraId="19398A91" w14:textId="77777777" w:rsidR="004B0340" w:rsidRPr="00A52AB8" w:rsidRDefault="004B0340">
            <w:pPr>
              <w:spacing w:before="20" w:after="20"/>
              <w:rPr>
                <w:color w:val="000000" w:themeColor="text1"/>
                <w:sz w:val="20"/>
                <w:szCs w:val="20"/>
                <w:lang w:eastAsia="ja-JP"/>
              </w:rPr>
            </w:pPr>
            <w:r w:rsidRPr="00A52AB8">
              <w:rPr>
                <w:color w:val="000000" w:themeColor="text1"/>
                <w:sz w:val="20"/>
                <w:szCs w:val="20"/>
              </w:rPr>
              <w:tab/>
            </w:r>
            <w:r w:rsidRPr="00A52AB8">
              <w:rPr>
                <w:b/>
                <w:color w:val="000000" w:themeColor="text1"/>
                <w:sz w:val="20"/>
                <w:szCs w:val="20"/>
              </w:rPr>
              <w:t>pdu_2d_</w:t>
            </w:r>
            <w:r w:rsidR="008E0BEB" w:rsidRPr="00A52AB8">
              <w:rPr>
                <w:b/>
                <w:color w:val="000000" w:themeColor="text1"/>
                <w:sz w:val="20"/>
                <w:szCs w:val="20"/>
              </w:rPr>
              <w:t>size_x</w:t>
            </w:r>
            <w:r w:rsidR="00185461" w:rsidRPr="00A52AB8">
              <w:rPr>
                <w:b/>
                <w:color w:val="000000" w:themeColor="text1"/>
                <w:sz w:val="20"/>
                <w:szCs w:val="20"/>
              </w:rPr>
              <w:t>_minus1</w:t>
            </w:r>
            <w:r w:rsidR="00A846C2" w:rsidRPr="00A52AB8">
              <w:rPr>
                <w:color w:val="000000" w:themeColor="text1"/>
                <w:sz w:val="20"/>
                <w:szCs w:val="20"/>
              </w:rPr>
              <w:t>[ </w:t>
            </w:r>
            <w:r w:rsidR="00632FA7" w:rsidRPr="00A52AB8">
              <w:rPr>
                <w:color w:val="000000" w:themeColor="text1"/>
                <w:sz w:val="20"/>
                <w:szCs w:val="20"/>
              </w:rPr>
              <w:t>tileID</w:t>
            </w:r>
            <w:r w:rsidR="00A846C2" w:rsidRPr="00A52AB8">
              <w:rPr>
                <w:color w:val="000000" w:themeColor="text1"/>
                <w:sz w:val="20"/>
                <w:szCs w:val="20"/>
              </w:rPr>
              <w:t> ]</w:t>
            </w:r>
            <w:r w:rsidR="001F3C1E" w:rsidRPr="00A52AB8">
              <w:rPr>
                <w:color w:val="000000" w:themeColor="text1"/>
                <w:sz w:val="20"/>
                <w:szCs w:val="20"/>
              </w:rPr>
              <w:t>[ patchIdx ]</w:t>
            </w:r>
          </w:p>
        </w:tc>
        <w:tc>
          <w:tcPr>
            <w:tcW w:w="1332" w:type="dxa"/>
          </w:tcPr>
          <w:p w14:paraId="4F85ACC6" w14:textId="77777777" w:rsidR="004B0340" w:rsidRPr="00A52AB8" w:rsidRDefault="00185461">
            <w:pPr>
              <w:spacing w:before="20" w:after="20"/>
              <w:jc w:val="center"/>
              <w:rPr>
                <w:color w:val="000000" w:themeColor="text1"/>
                <w:sz w:val="20"/>
                <w:szCs w:val="20"/>
              </w:rPr>
            </w:pPr>
            <w:r w:rsidRPr="00A52AB8">
              <w:rPr>
                <w:color w:val="000000" w:themeColor="text1"/>
                <w:sz w:val="20"/>
                <w:szCs w:val="20"/>
              </w:rPr>
              <w:t>ue</w:t>
            </w:r>
            <w:r w:rsidR="004B0340" w:rsidRPr="00A52AB8">
              <w:rPr>
                <w:color w:val="000000" w:themeColor="text1"/>
                <w:sz w:val="20"/>
                <w:szCs w:val="20"/>
              </w:rPr>
              <w:t>(v)</w:t>
            </w:r>
          </w:p>
        </w:tc>
      </w:tr>
      <w:tr w:rsidR="004B0340" w:rsidRPr="00A52AB8" w14:paraId="6DC00E7E" w14:textId="77777777" w:rsidTr="004A7026">
        <w:trPr>
          <w:jc w:val="center"/>
        </w:trPr>
        <w:tc>
          <w:tcPr>
            <w:tcW w:w="8424" w:type="dxa"/>
          </w:tcPr>
          <w:p w14:paraId="3E4A88BB" w14:textId="77777777" w:rsidR="004B0340" w:rsidRPr="00A52AB8" w:rsidRDefault="004B0340">
            <w:pPr>
              <w:spacing w:before="20" w:after="20"/>
              <w:rPr>
                <w:color w:val="000000" w:themeColor="text1"/>
                <w:sz w:val="20"/>
                <w:szCs w:val="20"/>
                <w:lang w:eastAsia="ja-JP"/>
              </w:rPr>
            </w:pPr>
            <w:r w:rsidRPr="00A52AB8">
              <w:rPr>
                <w:color w:val="000000" w:themeColor="text1"/>
                <w:sz w:val="20"/>
                <w:szCs w:val="20"/>
              </w:rPr>
              <w:tab/>
            </w:r>
            <w:r w:rsidRPr="00A52AB8">
              <w:rPr>
                <w:b/>
                <w:color w:val="000000" w:themeColor="text1"/>
                <w:sz w:val="20"/>
                <w:szCs w:val="20"/>
              </w:rPr>
              <w:t>pdu_2d_</w:t>
            </w:r>
            <w:r w:rsidR="008E0BEB" w:rsidRPr="00A52AB8">
              <w:rPr>
                <w:b/>
                <w:color w:val="000000" w:themeColor="text1"/>
                <w:sz w:val="20"/>
                <w:szCs w:val="20"/>
              </w:rPr>
              <w:t>size_y</w:t>
            </w:r>
            <w:r w:rsidR="00185461" w:rsidRPr="00A52AB8">
              <w:rPr>
                <w:b/>
                <w:color w:val="000000" w:themeColor="text1"/>
                <w:sz w:val="20"/>
                <w:szCs w:val="20"/>
              </w:rPr>
              <w:t>_minus1</w:t>
            </w:r>
            <w:r w:rsidR="00A846C2" w:rsidRPr="00A52AB8">
              <w:rPr>
                <w:color w:val="000000" w:themeColor="text1"/>
                <w:sz w:val="20"/>
                <w:szCs w:val="20"/>
              </w:rPr>
              <w:t>[ </w:t>
            </w:r>
            <w:r w:rsidR="00632FA7" w:rsidRPr="00A52AB8">
              <w:rPr>
                <w:color w:val="000000" w:themeColor="text1"/>
                <w:sz w:val="20"/>
                <w:szCs w:val="20"/>
              </w:rPr>
              <w:t>tileID</w:t>
            </w:r>
            <w:r w:rsidR="00A846C2" w:rsidRPr="00A52AB8">
              <w:rPr>
                <w:color w:val="000000" w:themeColor="text1"/>
                <w:sz w:val="20"/>
                <w:szCs w:val="20"/>
              </w:rPr>
              <w:t> ]</w:t>
            </w:r>
            <w:r w:rsidR="001F3C1E" w:rsidRPr="00A52AB8">
              <w:rPr>
                <w:color w:val="000000" w:themeColor="text1"/>
                <w:sz w:val="20"/>
                <w:szCs w:val="20"/>
              </w:rPr>
              <w:t>[ patchIdx ]</w:t>
            </w:r>
          </w:p>
        </w:tc>
        <w:tc>
          <w:tcPr>
            <w:tcW w:w="1332" w:type="dxa"/>
          </w:tcPr>
          <w:p w14:paraId="4C6C31D1" w14:textId="77777777" w:rsidR="004B0340" w:rsidRPr="00A52AB8" w:rsidRDefault="00185461">
            <w:pPr>
              <w:spacing w:before="20" w:after="20"/>
              <w:jc w:val="center"/>
              <w:rPr>
                <w:color w:val="000000" w:themeColor="text1"/>
                <w:sz w:val="20"/>
                <w:szCs w:val="20"/>
              </w:rPr>
            </w:pPr>
            <w:r w:rsidRPr="00A52AB8">
              <w:rPr>
                <w:color w:val="000000" w:themeColor="text1"/>
                <w:sz w:val="20"/>
                <w:szCs w:val="20"/>
              </w:rPr>
              <w:t>u</w:t>
            </w:r>
            <w:r w:rsidR="004B0340" w:rsidRPr="00A52AB8">
              <w:rPr>
                <w:color w:val="000000" w:themeColor="text1"/>
                <w:sz w:val="20"/>
                <w:szCs w:val="20"/>
              </w:rPr>
              <w:t>e(v)</w:t>
            </w:r>
          </w:p>
        </w:tc>
      </w:tr>
      <w:tr w:rsidR="006A6E1F" w:rsidRPr="00A52AB8" w14:paraId="6B45124E" w14:textId="77777777" w:rsidTr="004A7026">
        <w:trPr>
          <w:jc w:val="center"/>
        </w:trPr>
        <w:tc>
          <w:tcPr>
            <w:tcW w:w="8424" w:type="dxa"/>
          </w:tcPr>
          <w:p w14:paraId="7BF8E35E" w14:textId="77777777" w:rsidR="006A6E1F" w:rsidRPr="00A52AB8" w:rsidRDefault="006A6E1F">
            <w:pPr>
              <w:spacing w:before="20" w:after="20"/>
              <w:rPr>
                <w:color w:val="000000" w:themeColor="text1"/>
                <w:sz w:val="20"/>
                <w:szCs w:val="20"/>
                <w:lang w:eastAsia="ja-JP"/>
              </w:rPr>
            </w:pPr>
            <w:r w:rsidRPr="00A52AB8">
              <w:rPr>
                <w:color w:val="000000" w:themeColor="text1"/>
                <w:sz w:val="20"/>
                <w:szCs w:val="20"/>
              </w:rPr>
              <w:tab/>
            </w:r>
            <w:r w:rsidR="007356C4" w:rsidRPr="00A52AB8">
              <w:rPr>
                <w:b/>
                <w:color w:val="000000" w:themeColor="text1"/>
                <w:sz w:val="20"/>
                <w:szCs w:val="20"/>
              </w:rPr>
              <w:t>pdu_3d_offset_u</w:t>
            </w:r>
            <w:r w:rsidR="00A846C2" w:rsidRPr="00A52AB8">
              <w:rPr>
                <w:color w:val="000000" w:themeColor="text1"/>
                <w:sz w:val="20"/>
                <w:szCs w:val="20"/>
              </w:rPr>
              <w:t>[ </w:t>
            </w:r>
            <w:r w:rsidR="00632FA7" w:rsidRPr="00A52AB8">
              <w:rPr>
                <w:color w:val="000000" w:themeColor="text1"/>
                <w:sz w:val="20"/>
                <w:szCs w:val="20"/>
              </w:rPr>
              <w:t>tileID</w:t>
            </w:r>
            <w:r w:rsidR="00A846C2" w:rsidRPr="00A52AB8">
              <w:rPr>
                <w:color w:val="000000" w:themeColor="text1"/>
                <w:sz w:val="20"/>
                <w:szCs w:val="20"/>
              </w:rPr>
              <w:t> ]</w:t>
            </w:r>
            <w:r w:rsidR="001F3C1E" w:rsidRPr="00A52AB8">
              <w:rPr>
                <w:color w:val="000000" w:themeColor="text1"/>
                <w:sz w:val="20"/>
                <w:szCs w:val="20"/>
              </w:rPr>
              <w:t>[ patchIdx ]</w:t>
            </w:r>
          </w:p>
        </w:tc>
        <w:tc>
          <w:tcPr>
            <w:tcW w:w="1332" w:type="dxa"/>
          </w:tcPr>
          <w:p w14:paraId="1637870F" w14:textId="77777777" w:rsidR="006A6E1F" w:rsidRPr="00A52AB8" w:rsidRDefault="0047460F">
            <w:pPr>
              <w:spacing w:before="20" w:after="20"/>
              <w:jc w:val="center"/>
              <w:rPr>
                <w:color w:val="000000" w:themeColor="text1"/>
                <w:sz w:val="20"/>
                <w:szCs w:val="20"/>
              </w:rPr>
            </w:pPr>
            <w:r w:rsidRPr="00A52AB8">
              <w:rPr>
                <w:color w:val="000000" w:themeColor="text1"/>
                <w:sz w:val="20"/>
                <w:szCs w:val="20"/>
              </w:rPr>
              <w:t>u</w:t>
            </w:r>
            <w:r w:rsidR="006A6E1F" w:rsidRPr="00A52AB8">
              <w:rPr>
                <w:color w:val="000000" w:themeColor="text1"/>
                <w:sz w:val="20"/>
                <w:szCs w:val="20"/>
              </w:rPr>
              <w:t>(v)</w:t>
            </w:r>
          </w:p>
        </w:tc>
      </w:tr>
      <w:tr w:rsidR="006A6E1F" w:rsidRPr="00A52AB8" w14:paraId="3C595020" w14:textId="77777777" w:rsidTr="004A7026">
        <w:trPr>
          <w:jc w:val="center"/>
        </w:trPr>
        <w:tc>
          <w:tcPr>
            <w:tcW w:w="8424" w:type="dxa"/>
          </w:tcPr>
          <w:p w14:paraId="53DC1B98" w14:textId="77777777" w:rsidR="006A6E1F" w:rsidRPr="00A52AB8" w:rsidRDefault="006A6E1F">
            <w:pPr>
              <w:spacing w:before="20" w:after="20"/>
              <w:rPr>
                <w:color w:val="000000" w:themeColor="text1"/>
                <w:sz w:val="20"/>
                <w:szCs w:val="20"/>
                <w:lang w:eastAsia="ja-JP"/>
              </w:rPr>
            </w:pPr>
            <w:r w:rsidRPr="00A52AB8">
              <w:rPr>
                <w:color w:val="000000" w:themeColor="text1"/>
                <w:sz w:val="20"/>
                <w:szCs w:val="20"/>
              </w:rPr>
              <w:tab/>
            </w:r>
            <w:r w:rsidR="007356C4" w:rsidRPr="00A52AB8">
              <w:rPr>
                <w:b/>
                <w:color w:val="000000" w:themeColor="text1"/>
                <w:sz w:val="20"/>
                <w:szCs w:val="20"/>
              </w:rPr>
              <w:t>pdu_3d_offset_v</w:t>
            </w:r>
            <w:r w:rsidR="00A846C2" w:rsidRPr="00A52AB8">
              <w:rPr>
                <w:color w:val="000000" w:themeColor="text1"/>
                <w:sz w:val="20"/>
                <w:szCs w:val="20"/>
              </w:rPr>
              <w:t>[ </w:t>
            </w:r>
            <w:r w:rsidR="00632FA7" w:rsidRPr="00A52AB8">
              <w:rPr>
                <w:color w:val="000000" w:themeColor="text1"/>
                <w:sz w:val="20"/>
                <w:szCs w:val="20"/>
              </w:rPr>
              <w:t>tileID</w:t>
            </w:r>
            <w:r w:rsidR="00A846C2" w:rsidRPr="00A52AB8">
              <w:rPr>
                <w:color w:val="000000" w:themeColor="text1"/>
                <w:sz w:val="20"/>
                <w:szCs w:val="20"/>
              </w:rPr>
              <w:t> ]</w:t>
            </w:r>
            <w:r w:rsidR="001F3C1E" w:rsidRPr="00A52AB8">
              <w:rPr>
                <w:color w:val="000000" w:themeColor="text1"/>
                <w:sz w:val="20"/>
                <w:szCs w:val="20"/>
              </w:rPr>
              <w:t>[ patchIdx ]</w:t>
            </w:r>
          </w:p>
        </w:tc>
        <w:tc>
          <w:tcPr>
            <w:tcW w:w="1332" w:type="dxa"/>
          </w:tcPr>
          <w:p w14:paraId="3E1B675E" w14:textId="77777777" w:rsidR="006A6E1F" w:rsidRPr="00A52AB8" w:rsidRDefault="0047460F">
            <w:pPr>
              <w:spacing w:before="20" w:after="20"/>
              <w:jc w:val="center"/>
              <w:rPr>
                <w:color w:val="000000" w:themeColor="text1"/>
                <w:sz w:val="20"/>
                <w:szCs w:val="20"/>
              </w:rPr>
            </w:pPr>
            <w:r w:rsidRPr="00A52AB8">
              <w:rPr>
                <w:color w:val="000000" w:themeColor="text1"/>
                <w:sz w:val="20"/>
                <w:szCs w:val="20"/>
              </w:rPr>
              <w:t>u</w:t>
            </w:r>
            <w:r w:rsidR="006A6E1F" w:rsidRPr="00A52AB8">
              <w:rPr>
                <w:color w:val="000000" w:themeColor="text1"/>
                <w:sz w:val="20"/>
                <w:szCs w:val="20"/>
              </w:rPr>
              <w:t>(v)</w:t>
            </w:r>
          </w:p>
        </w:tc>
      </w:tr>
      <w:tr w:rsidR="00624F82" w:rsidRPr="00A52AB8" w14:paraId="4F4F3D24" w14:textId="77777777" w:rsidTr="004A7026">
        <w:trPr>
          <w:jc w:val="center"/>
        </w:trPr>
        <w:tc>
          <w:tcPr>
            <w:tcW w:w="8424" w:type="dxa"/>
          </w:tcPr>
          <w:p w14:paraId="4963A056" w14:textId="77777777" w:rsidR="00624F82" w:rsidRPr="00A52AB8" w:rsidRDefault="00624F82">
            <w:pPr>
              <w:spacing w:before="20" w:after="20"/>
              <w:rPr>
                <w:color w:val="000000" w:themeColor="text1"/>
                <w:sz w:val="20"/>
                <w:szCs w:val="20"/>
              </w:rPr>
            </w:pPr>
            <w:r w:rsidRPr="00A52AB8">
              <w:rPr>
                <w:color w:val="000000" w:themeColor="text1"/>
                <w:sz w:val="20"/>
                <w:szCs w:val="20"/>
              </w:rPr>
              <w:tab/>
            </w:r>
            <w:r w:rsidR="007356C4" w:rsidRPr="00A52AB8">
              <w:rPr>
                <w:b/>
                <w:color w:val="000000" w:themeColor="text1"/>
                <w:sz w:val="20"/>
                <w:szCs w:val="20"/>
              </w:rPr>
              <w:t>pdu_3d_offset_d</w:t>
            </w:r>
            <w:r w:rsidR="00A846C2" w:rsidRPr="00A52AB8">
              <w:rPr>
                <w:color w:val="000000" w:themeColor="text1"/>
                <w:sz w:val="20"/>
                <w:szCs w:val="20"/>
              </w:rPr>
              <w:t>[ </w:t>
            </w:r>
            <w:r w:rsidR="00632FA7" w:rsidRPr="00A52AB8">
              <w:rPr>
                <w:color w:val="000000" w:themeColor="text1"/>
                <w:sz w:val="20"/>
                <w:szCs w:val="20"/>
              </w:rPr>
              <w:t>tileID</w:t>
            </w:r>
            <w:r w:rsidR="00A846C2" w:rsidRPr="00A52AB8">
              <w:rPr>
                <w:color w:val="000000" w:themeColor="text1"/>
                <w:sz w:val="20"/>
                <w:szCs w:val="20"/>
              </w:rPr>
              <w:t> ]</w:t>
            </w:r>
            <w:r w:rsidR="001F3C1E" w:rsidRPr="00A52AB8">
              <w:rPr>
                <w:color w:val="000000" w:themeColor="text1"/>
                <w:sz w:val="20"/>
                <w:szCs w:val="20"/>
              </w:rPr>
              <w:t>[ patchIdx ]</w:t>
            </w:r>
          </w:p>
        </w:tc>
        <w:tc>
          <w:tcPr>
            <w:tcW w:w="1332" w:type="dxa"/>
          </w:tcPr>
          <w:p w14:paraId="0E0ACC60" w14:textId="77777777" w:rsidR="00624F82" w:rsidRPr="00A52AB8" w:rsidRDefault="00624F82">
            <w:pPr>
              <w:spacing w:before="20" w:after="20"/>
              <w:jc w:val="center"/>
              <w:rPr>
                <w:color w:val="000000" w:themeColor="text1"/>
                <w:sz w:val="20"/>
                <w:szCs w:val="20"/>
              </w:rPr>
            </w:pPr>
            <w:r w:rsidRPr="00A52AB8">
              <w:rPr>
                <w:color w:val="000000" w:themeColor="text1"/>
                <w:sz w:val="20"/>
                <w:szCs w:val="20"/>
              </w:rPr>
              <w:t>u(v)</w:t>
            </w:r>
          </w:p>
        </w:tc>
      </w:tr>
      <w:tr w:rsidR="00624F82" w:rsidRPr="00A52AB8" w14:paraId="552AA48E" w14:textId="77777777" w:rsidTr="004A7026">
        <w:trPr>
          <w:jc w:val="center"/>
        </w:trPr>
        <w:tc>
          <w:tcPr>
            <w:tcW w:w="8424" w:type="dxa"/>
          </w:tcPr>
          <w:p w14:paraId="2DE965BF" w14:textId="77777777" w:rsidR="00624F82" w:rsidRPr="00A52AB8" w:rsidRDefault="00624F82">
            <w:pPr>
              <w:spacing w:before="20" w:after="20"/>
              <w:rPr>
                <w:color w:val="000000" w:themeColor="text1"/>
                <w:sz w:val="20"/>
                <w:szCs w:val="20"/>
              </w:rPr>
            </w:pPr>
            <w:r w:rsidRPr="00A52AB8">
              <w:rPr>
                <w:color w:val="000000" w:themeColor="text1"/>
                <w:sz w:val="20"/>
                <w:szCs w:val="20"/>
              </w:rPr>
              <w:tab/>
              <w:t>if( </w:t>
            </w:r>
            <w:r w:rsidR="00EB723C" w:rsidRPr="00A52AB8">
              <w:rPr>
                <w:color w:val="000000" w:themeColor="text1"/>
                <w:sz w:val="20"/>
                <w:szCs w:val="20"/>
              </w:rPr>
              <w:t>asps_</w:t>
            </w:r>
            <w:r w:rsidRPr="00A52AB8">
              <w:rPr>
                <w:color w:val="000000" w:themeColor="text1"/>
                <w:sz w:val="20"/>
                <w:szCs w:val="20"/>
              </w:rPr>
              <w:t>normal_axis_max_delta_value_</w:t>
            </w:r>
            <w:r w:rsidR="00016786" w:rsidRPr="00A52AB8">
              <w:rPr>
                <w:color w:val="000000" w:themeColor="text1"/>
                <w:sz w:val="20"/>
                <w:szCs w:val="20"/>
              </w:rPr>
              <w:t>enabled_flag</w:t>
            </w:r>
            <w:r w:rsidRPr="00A52AB8">
              <w:rPr>
                <w:color w:val="000000" w:themeColor="text1"/>
                <w:sz w:val="20"/>
                <w:szCs w:val="20"/>
              </w:rPr>
              <w:t> )</w:t>
            </w:r>
          </w:p>
        </w:tc>
        <w:tc>
          <w:tcPr>
            <w:tcW w:w="1332" w:type="dxa"/>
          </w:tcPr>
          <w:p w14:paraId="6DF117CA" w14:textId="77777777" w:rsidR="00624F82" w:rsidRPr="00A52AB8" w:rsidDel="0047460F" w:rsidRDefault="00624F82">
            <w:pPr>
              <w:spacing w:before="20" w:after="20"/>
              <w:jc w:val="center"/>
              <w:rPr>
                <w:color w:val="000000" w:themeColor="text1"/>
                <w:sz w:val="20"/>
                <w:szCs w:val="20"/>
              </w:rPr>
            </w:pPr>
          </w:p>
        </w:tc>
      </w:tr>
      <w:tr w:rsidR="006A6E1F" w:rsidRPr="00A52AB8" w14:paraId="5FE62946" w14:textId="77777777" w:rsidTr="004A7026">
        <w:trPr>
          <w:jc w:val="center"/>
        </w:trPr>
        <w:tc>
          <w:tcPr>
            <w:tcW w:w="8424" w:type="dxa"/>
          </w:tcPr>
          <w:p w14:paraId="5FF7C54F" w14:textId="77777777" w:rsidR="006A6E1F" w:rsidRPr="00A52AB8" w:rsidRDefault="006A6E1F">
            <w:pPr>
              <w:spacing w:before="20" w:after="20"/>
              <w:rPr>
                <w:color w:val="000000" w:themeColor="text1"/>
                <w:sz w:val="20"/>
                <w:szCs w:val="20"/>
              </w:rPr>
            </w:pPr>
            <w:r w:rsidRPr="00A52AB8">
              <w:rPr>
                <w:color w:val="000000" w:themeColor="text1"/>
                <w:sz w:val="20"/>
                <w:szCs w:val="20"/>
              </w:rPr>
              <w:tab/>
            </w:r>
            <w:r w:rsidR="00624F82" w:rsidRPr="00A52AB8">
              <w:rPr>
                <w:color w:val="000000" w:themeColor="text1"/>
                <w:sz w:val="20"/>
                <w:szCs w:val="20"/>
              </w:rPr>
              <w:tab/>
            </w:r>
            <w:r w:rsidR="007356C4" w:rsidRPr="00A52AB8">
              <w:rPr>
                <w:b/>
                <w:color w:val="000000" w:themeColor="text1"/>
                <w:sz w:val="20"/>
                <w:szCs w:val="20"/>
              </w:rPr>
              <w:t>pdu_3d_range_d</w:t>
            </w:r>
            <w:r w:rsidR="00A846C2" w:rsidRPr="00A52AB8">
              <w:rPr>
                <w:color w:val="000000" w:themeColor="text1"/>
                <w:sz w:val="20"/>
                <w:szCs w:val="20"/>
              </w:rPr>
              <w:t>[ </w:t>
            </w:r>
            <w:r w:rsidR="00632FA7" w:rsidRPr="00A52AB8">
              <w:rPr>
                <w:color w:val="000000" w:themeColor="text1"/>
                <w:sz w:val="20"/>
                <w:szCs w:val="20"/>
              </w:rPr>
              <w:t>tileID</w:t>
            </w:r>
            <w:r w:rsidR="00A846C2" w:rsidRPr="00A52AB8">
              <w:rPr>
                <w:color w:val="000000" w:themeColor="text1"/>
                <w:sz w:val="20"/>
                <w:szCs w:val="20"/>
              </w:rPr>
              <w:t> ]</w:t>
            </w:r>
            <w:r w:rsidR="001F3C1E" w:rsidRPr="00A52AB8">
              <w:rPr>
                <w:color w:val="000000" w:themeColor="text1"/>
                <w:sz w:val="20"/>
                <w:szCs w:val="20"/>
              </w:rPr>
              <w:t>[ patchIdx ]</w:t>
            </w:r>
          </w:p>
        </w:tc>
        <w:tc>
          <w:tcPr>
            <w:tcW w:w="1332" w:type="dxa"/>
          </w:tcPr>
          <w:p w14:paraId="3F594CDA" w14:textId="77777777" w:rsidR="006A6E1F" w:rsidRPr="00A52AB8" w:rsidRDefault="0047460F">
            <w:pPr>
              <w:spacing w:before="20" w:after="20"/>
              <w:jc w:val="center"/>
              <w:rPr>
                <w:color w:val="000000" w:themeColor="text1"/>
                <w:sz w:val="20"/>
                <w:szCs w:val="20"/>
              </w:rPr>
            </w:pPr>
            <w:r w:rsidRPr="00A52AB8">
              <w:rPr>
                <w:color w:val="000000" w:themeColor="text1"/>
                <w:sz w:val="20"/>
                <w:szCs w:val="20"/>
              </w:rPr>
              <w:t>u</w:t>
            </w:r>
            <w:r w:rsidR="006A6E1F" w:rsidRPr="00A52AB8">
              <w:rPr>
                <w:color w:val="000000" w:themeColor="text1"/>
                <w:sz w:val="20"/>
                <w:szCs w:val="20"/>
              </w:rPr>
              <w:t>(v)</w:t>
            </w:r>
          </w:p>
        </w:tc>
      </w:tr>
      <w:tr w:rsidR="004B0340" w:rsidRPr="00A52AB8" w14:paraId="10B05F15" w14:textId="77777777" w:rsidTr="004A7026">
        <w:trPr>
          <w:jc w:val="center"/>
        </w:trPr>
        <w:tc>
          <w:tcPr>
            <w:tcW w:w="8424" w:type="dxa"/>
          </w:tcPr>
          <w:p w14:paraId="1BCA59B8" w14:textId="77777777" w:rsidR="004B0340" w:rsidRPr="00A52AB8" w:rsidRDefault="004B0340">
            <w:pPr>
              <w:spacing w:before="20" w:after="20"/>
              <w:rPr>
                <w:color w:val="000000" w:themeColor="text1"/>
                <w:sz w:val="20"/>
                <w:szCs w:val="20"/>
                <w:lang w:eastAsia="ja-JP"/>
              </w:rPr>
            </w:pPr>
            <w:r w:rsidRPr="00A52AB8">
              <w:rPr>
                <w:color w:val="000000" w:themeColor="text1"/>
                <w:sz w:val="20"/>
                <w:szCs w:val="20"/>
              </w:rPr>
              <w:tab/>
            </w:r>
            <w:r w:rsidRPr="00A52AB8">
              <w:rPr>
                <w:b/>
                <w:color w:val="000000" w:themeColor="text1"/>
                <w:sz w:val="20"/>
                <w:szCs w:val="20"/>
              </w:rPr>
              <w:t>pdu_</w:t>
            </w:r>
            <w:r w:rsidR="00B63334" w:rsidRPr="00A52AB8">
              <w:rPr>
                <w:b/>
                <w:color w:val="000000" w:themeColor="text1"/>
                <w:sz w:val="20"/>
                <w:szCs w:val="20"/>
              </w:rPr>
              <w:t>projection_</w:t>
            </w:r>
            <w:r w:rsidR="00CF2514" w:rsidRPr="00A52AB8">
              <w:rPr>
                <w:b/>
                <w:color w:val="000000" w:themeColor="text1"/>
                <w:sz w:val="20"/>
                <w:szCs w:val="20"/>
              </w:rPr>
              <w:t>id</w:t>
            </w:r>
            <w:r w:rsidR="00A846C2" w:rsidRPr="00A52AB8">
              <w:rPr>
                <w:color w:val="000000" w:themeColor="text1"/>
                <w:sz w:val="20"/>
                <w:szCs w:val="20"/>
              </w:rPr>
              <w:t>[ </w:t>
            </w:r>
            <w:r w:rsidR="00632FA7" w:rsidRPr="00A52AB8">
              <w:rPr>
                <w:color w:val="000000" w:themeColor="text1"/>
                <w:sz w:val="20"/>
                <w:szCs w:val="20"/>
              </w:rPr>
              <w:t>tileID</w:t>
            </w:r>
            <w:r w:rsidR="00A846C2" w:rsidRPr="00A52AB8">
              <w:rPr>
                <w:color w:val="000000" w:themeColor="text1"/>
                <w:sz w:val="20"/>
                <w:szCs w:val="20"/>
              </w:rPr>
              <w:t> ]</w:t>
            </w:r>
            <w:r w:rsidR="001F3C1E" w:rsidRPr="00A52AB8">
              <w:rPr>
                <w:color w:val="000000" w:themeColor="text1"/>
                <w:sz w:val="20"/>
                <w:szCs w:val="20"/>
              </w:rPr>
              <w:t>[ patchIdx ]</w:t>
            </w:r>
          </w:p>
        </w:tc>
        <w:tc>
          <w:tcPr>
            <w:tcW w:w="1332" w:type="dxa"/>
          </w:tcPr>
          <w:p w14:paraId="3CE0A1EA" w14:textId="77777777" w:rsidR="004B0340" w:rsidRPr="00A52AB8" w:rsidRDefault="006E1127">
            <w:pPr>
              <w:spacing w:before="20" w:after="20"/>
              <w:jc w:val="center"/>
              <w:rPr>
                <w:color w:val="000000" w:themeColor="text1"/>
                <w:sz w:val="20"/>
                <w:szCs w:val="20"/>
              </w:rPr>
            </w:pPr>
            <w:r w:rsidRPr="00A52AB8">
              <w:rPr>
                <w:color w:val="000000" w:themeColor="text1"/>
                <w:sz w:val="20"/>
                <w:szCs w:val="20"/>
              </w:rPr>
              <w:t>u(v)</w:t>
            </w:r>
          </w:p>
        </w:tc>
      </w:tr>
      <w:tr w:rsidR="00453885" w:rsidRPr="00A52AB8" w14:paraId="3CBB231E" w14:textId="77777777" w:rsidTr="004A7026">
        <w:trPr>
          <w:jc w:val="center"/>
        </w:trPr>
        <w:tc>
          <w:tcPr>
            <w:tcW w:w="8424" w:type="dxa"/>
          </w:tcPr>
          <w:p w14:paraId="593C70A2" w14:textId="77777777" w:rsidR="00453885" w:rsidRPr="00A52AB8" w:rsidRDefault="00453885">
            <w:pPr>
              <w:spacing w:before="20" w:after="20"/>
              <w:rPr>
                <w:color w:val="000000" w:themeColor="text1"/>
                <w:sz w:val="20"/>
                <w:szCs w:val="20"/>
              </w:rPr>
            </w:pPr>
            <w:r w:rsidRPr="00A52AB8">
              <w:rPr>
                <w:color w:val="000000" w:themeColor="text1"/>
                <w:sz w:val="20"/>
                <w:szCs w:val="20"/>
              </w:rPr>
              <w:tab/>
            </w:r>
            <w:r w:rsidRPr="00A52AB8">
              <w:rPr>
                <w:b/>
                <w:color w:val="000000" w:themeColor="text1"/>
                <w:sz w:val="20"/>
                <w:szCs w:val="20"/>
              </w:rPr>
              <w:t>pdu_orientation_index</w:t>
            </w:r>
            <w:r w:rsidR="00A846C2" w:rsidRPr="00A52AB8">
              <w:rPr>
                <w:color w:val="000000" w:themeColor="text1"/>
                <w:sz w:val="20"/>
                <w:szCs w:val="20"/>
              </w:rPr>
              <w:t>[ </w:t>
            </w:r>
            <w:r w:rsidR="00632FA7" w:rsidRPr="00A52AB8">
              <w:rPr>
                <w:color w:val="000000" w:themeColor="text1"/>
                <w:sz w:val="20"/>
                <w:szCs w:val="20"/>
              </w:rPr>
              <w:t>tileID</w:t>
            </w:r>
            <w:r w:rsidR="00A846C2" w:rsidRPr="00A52AB8">
              <w:rPr>
                <w:color w:val="000000" w:themeColor="text1"/>
                <w:sz w:val="20"/>
                <w:szCs w:val="20"/>
              </w:rPr>
              <w:t> ]</w:t>
            </w:r>
            <w:r w:rsidR="001F3C1E" w:rsidRPr="00A52AB8">
              <w:rPr>
                <w:color w:val="000000" w:themeColor="text1"/>
                <w:sz w:val="20"/>
                <w:szCs w:val="20"/>
              </w:rPr>
              <w:t>[ patchIdx ]</w:t>
            </w:r>
          </w:p>
        </w:tc>
        <w:tc>
          <w:tcPr>
            <w:tcW w:w="1332" w:type="dxa"/>
          </w:tcPr>
          <w:p w14:paraId="7EB9E60B" w14:textId="77777777" w:rsidR="00453885" w:rsidRPr="00A52AB8" w:rsidDel="0047460F" w:rsidRDefault="00453885">
            <w:pPr>
              <w:spacing w:before="20" w:after="20"/>
              <w:jc w:val="center"/>
              <w:rPr>
                <w:color w:val="000000" w:themeColor="text1"/>
                <w:sz w:val="20"/>
                <w:szCs w:val="20"/>
              </w:rPr>
            </w:pPr>
            <w:r w:rsidRPr="00A52AB8">
              <w:rPr>
                <w:color w:val="000000" w:themeColor="text1"/>
                <w:sz w:val="20"/>
                <w:szCs w:val="20"/>
              </w:rPr>
              <w:t>u(</w:t>
            </w:r>
            <w:r w:rsidR="00CF2514" w:rsidRPr="00A52AB8">
              <w:rPr>
                <w:color w:val="000000" w:themeColor="text1"/>
                <w:sz w:val="20"/>
                <w:szCs w:val="20"/>
              </w:rPr>
              <w:t>v</w:t>
            </w:r>
            <w:r w:rsidRPr="00A52AB8">
              <w:rPr>
                <w:color w:val="000000" w:themeColor="text1"/>
                <w:sz w:val="20"/>
                <w:szCs w:val="20"/>
              </w:rPr>
              <w:t>)</w:t>
            </w:r>
          </w:p>
        </w:tc>
      </w:tr>
      <w:tr w:rsidR="00E3571F" w:rsidRPr="00A52AB8" w14:paraId="2EF51468" w14:textId="77777777" w:rsidTr="004A7026">
        <w:trPr>
          <w:jc w:val="center"/>
        </w:trPr>
        <w:tc>
          <w:tcPr>
            <w:tcW w:w="8424" w:type="dxa"/>
          </w:tcPr>
          <w:p w14:paraId="723EF7C2" w14:textId="160821E1" w:rsidR="00E3571F" w:rsidRPr="00A52AB8" w:rsidRDefault="00E3571F">
            <w:pPr>
              <w:spacing w:before="20" w:after="20"/>
              <w:rPr>
                <w:color w:val="000000" w:themeColor="text1"/>
                <w:sz w:val="20"/>
                <w:szCs w:val="20"/>
              </w:rPr>
            </w:pPr>
            <w:r w:rsidRPr="00A52AB8">
              <w:rPr>
                <w:color w:val="000000" w:themeColor="text1"/>
                <w:sz w:val="20"/>
                <w:szCs w:val="20"/>
              </w:rPr>
              <w:tab/>
              <w:t>if( afps_lod_mode_enabled_flag </w:t>
            </w:r>
            <w:r w:rsidR="008F1F82" w:rsidRPr="00A52AB8">
              <w:rPr>
                <w:color w:val="000000" w:themeColor="text1"/>
                <w:sz w:val="20"/>
                <w:szCs w:val="20"/>
              </w:rPr>
              <w:t>) {</w:t>
            </w:r>
          </w:p>
        </w:tc>
        <w:tc>
          <w:tcPr>
            <w:tcW w:w="1332" w:type="dxa"/>
          </w:tcPr>
          <w:p w14:paraId="74B3C0B7" w14:textId="77777777" w:rsidR="00E3571F" w:rsidRPr="00A52AB8" w:rsidRDefault="00E3571F">
            <w:pPr>
              <w:spacing w:before="20" w:after="20"/>
              <w:jc w:val="center"/>
              <w:rPr>
                <w:color w:val="000000" w:themeColor="text1"/>
                <w:sz w:val="20"/>
                <w:szCs w:val="20"/>
              </w:rPr>
            </w:pPr>
          </w:p>
        </w:tc>
      </w:tr>
      <w:tr w:rsidR="00E3571F" w:rsidRPr="00A52AB8" w14:paraId="15CDBB37" w14:textId="77777777" w:rsidTr="004A7026">
        <w:trPr>
          <w:jc w:val="center"/>
        </w:trPr>
        <w:tc>
          <w:tcPr>
            <w:tcW w:w="8424" w:type="dxa"/>
          </w:tcPr>
          <w:p w14:paraId="0B1CB13A" w14:textId="04B9365D" w:rsidR="00E3571F" w:rsidRPr="00A52AB8" w:rsidRDefault="00E3571F">
            <w:pPr>
              <w:spacing w:before="20" w:after="20"/>
              <w:rPr>
                <w:color w:val="000000" w:themeColor="text1"/>
                <w:sz w:val="20"/>
                <w:szCs w:val="20"/>
              </w:rPr>
            </w:pPr>
            <w:r w:rsidRPr="00A52AB8">
              <w:rPr>
                <w:color w:val="000000" w:themeColor="text1"/>
                <w:sz w:val="20"/>
                <w:szCs w:val="20"/>
              </w:rPr>
              <w:tab/>
            </w:r>
            <w:r w:rsidRPr="00A52AB8">
              <w:rPr>
                <w:color w:val="000000" w:themeColor="text1"/>
                <w:sz w:val="20"/>
                <w:szCs w:val="20"/>
              </w:rPr>
              <w:tab/>
            </w:r>
            <w:r w:rsidRPr="00A52AB8">
              <w:rPr>
                <w:b/>
                <w:bCs/>
                <w:sz w:val="20"/>
                <w:szCs w:val="20"/>
              </w:rPr>
              <w:t>pdu_lod_enabled_flag</w:t>
            </w:r>
            <w:r w:rsidR="00A846C2" w:rsidRPr="00A52AB8">
              <w:rPr>
                <w:color w:val="000000" w:themeColor="text1"/>
                <w:sz w:val="20"/>
                <w:szCs w:val="20"/>
              </w:rPr>
              <w:t>[ </w:t>
            </w:r>
            <w:r w:rsidR="00632FA7" w:rsidRPr="00A52AB8">
              <w:rPr>
                <w:color w:val="000000" w:themeColor="text1"/>
                <w:sz w:val="20"/>
                <w:szCs w:val="20"/>
              </w:rPr>
              <w:t>tileID</w:t>
            </w:r>
            <w:r w:rsidR="00A846C2" w:rsidRPr="00A52AB8">
              <w:rPr>
                <w:color w:val="000000" w:themeColor="text1"/>
                <w:sz w:val="20"/>
                <w:szCs w:val="20"/>
              </w:rPr>
              <w:t> ]</w:t>
            </w:r>
            <w:r w:rsidRPr="00A52AB8">
              <w:rPr>
                <w:sz w:val="20"/>
                <w:szCs w:val="20"/>
              </w:rPr>
              <w:t>[</w:t>
            </w:r>
            <w:r w:rsidR="00EC7343" w:rsidRPr="00A52AB8">
              <w:rPr>
                <w:color w:val="000000" w:themeColor="text1"/>
                <w:sz w:val="20"/>
                <w:szCs w:val="20"/>
              </w:rPr>
              <w:t> </w:t>
            </w:r>
            <w:r w:rsidRPr="00A52AB8">
              <w:rPr>
                <w:sz w:val="20"/>
                <w:szCs w:val="20"/>
              </w:rPr>
              <w:t>patchIdx</w:t>
            </w:r>
            <w:r w:rsidR="00EC7343" w:rsidRPr="00A52AB8">
              <w:rPr>
                <w:color w:val="000000" w:themeColor="text1"/>
                <w:sz w:val="20"/>
                <w:szCs w:val="20"/>
              </w:rPr>
              <w:t> </w:t>
            </w:r>
            <w:r w:rsidRPr="00A52AB8">
              <w:rPr>
                <w:sz w:val="20"/>
                <w:szCs w:val="20"/>
              </w:rPr>
              <w:t>]</w:t>
            </w:r>
          </w:p>
        </w:tc>
        <w:tc>
          <w:tcPr>
            <w:tcW w:w="1332" w:type="dxa"/>
          </w:tcPr>
          <w:p w14:paraId="66C7B092" w14:textId="77777777" w:rsidR="00E3571F" w:rsidRPr="00A52AB8" w:rsidRDefault="00E3571F">
            <w:pPr>
              <w:spacing w:before="20" w:after="20"/>
              <w:jc w:val="center"/>
              <w:rPr>
                <w:color w:val="000000" w:themeColor="text1"/>
                <w:sz w:val="20"/>
                <w:szCs w:val="20"/>
              </w:rPr>
            </w:pPr>
            <w:r w:rsidRPr="00A52AB8">
              <w:rPr>
                <w:color w:val="000000" w:themeColor="text1"/>
                <w:sz w:val="20"/>
                <w:szCs w:val="20"/>
              </w:rPr>
              <w:t>u(1)</w:t>
            </w:r>
          </w:p>
        </w:tc>
      </w:tr>
      <w:tr w:rsidR="00E3571F" w:rsidRPr="00A52AB8" w14:paraId="2320A633" w14:textId="77777777" w:rsidTr="004A7026">
        <w:trPr>
          <w:jc w:val="center"/>
        </w:trPr>
        <w:tc>
          <w:tcPr>
            <w:tcW w:w="8424" w:type="dxa"/>
          </w:tcPr>
          <w:p w14:paraId="1093EF38" w14:textId="25228ECC" w:rsidR="00E3571F" w:rsidRPr="00A52AB8" w:rsidRDefault="00E3571F">
            <w:pPr>
              <w:spacing w:before="20" w:after="20"/>
              <w:rPr>
                <w:color w:val="000000" w:themeColor="text1"/>
                <w:sz w:val="20"/>
                <w:szCs w:val="20"/>
              </w:rPr>
            </w:pPr>
            <w:r w:rsidRPr="00A52AB8">
              <w:rPr>
                <w:color w:val="000000" w:themeColor="text1"/>
                <w:sz w:val="20"/>
                <w:szCs w:val="20"/>
              </w:rPr>
              <w:tab/>
            </w:r>
            <w:r w:rsidRPr="00A52AB8">
              <w:rPr>
                <w:color w:val="000000" w:themeColor="text1"/>
                <w:sz w:val="20"/>
                <w:szCs w:val="20"/>
              </w:rPr>
              <w:tab/>
              <w:t>if( </w:t>
            </w:r>
            <w:r w:rsidRPr="00A52AB8">
              <w:rPr>
                <w:sz w:val="20"/>
                <w:szCs w:val="20"/>
              </w:rPr>
              <w:t>pdu_lod_enabled_flag</w:t>
            </w:r>
            <w:r w:rsidR="00A846C2" w:rsidRPr="00A52AB8">
              <w:rPr>
                <w:color w:val="000000" w:themeColor="text1"/>
                <w:sz w:val="20"/>
                <w:szCs w:val="20"/>
              </w:rPr>
              <w:t>[ </w:t>
            </w:r>
            <w:r w:rsidR="00632FA7" w:rsidRPr="00A52AB8">
              <w:rPr>
                <w:color w:val="000000" w:themeColor="text1"/>
                <w:sz w:val="20"/>
                <w:szCs w:val="20"/>
              </w:rPr>
              <w:t>tileID</w:t>
            </w:r>
            <w:r w:rsidR="00A846C2" w:rsidRPr="00A52AB8">
              <w:rPr>
                <w:color w:val="000000" w:themeColor="text1"/>
                <w:sz w:val="20"/>
                <w:szCs w:val="20"/>
              </w:rPr>
              <w:t> ]</w:t>
            </w:r>
            <w:r w:rsidRPr="00A52AB8">
              <w:rPr>
                <w:sz w:val="20"/>
                <w:szCs w:val="20"/>
              </w:rPr>
              <w:t>[ patchIdx ] </w:t>
            </w:r>
            <w:r w:rsidRPr="00A52AB8">
              <w:rPr>
                <w:color w:val="000000" w:themeColor="text1"/>
                <w:sz w:val="20"/>
                <w:szCs w:val="20"/>
              </w:rPr>
              <w:t>&gt; 0 </w:t>
            </w:r>
            <w:r w:rsidR="008F1F82" w:rsidRPr="00A52AB8">
              <w:rPr>
                <w:color w:val="000000" w:themeColor="text1"/>
                <w:sz w:val="20"/>
                <w:szCs w:val="20"/>
              </w:rPr>
              <w:t>) {</w:t>
            </w:r>
          </w:p>
        </w:tc>
        <w:tc>
          <w:tcPr>
            <w:tcW w:w="1332" w:type="dxa"/>
          </w:tcPr>
          <w:p w14:paraId="164D00B4" w14:textId="77777777" w:rsidR="00E3571F" w:rsidRPr="00A52AB8" w:rsidRDefault="00E3571F">
            <w:pPr>
              <w:spacing w:before="20" w:after="20"/>
              <w:jc w:val="center"/>
              <w:rPr>
                <w:color w:val="000000" w:themeColor="text1"/>
                <w:sz w:val="20"/>
                <w:szCs w:val="20"/>
              </w:rPr>
            </w:pPr>
          </w:p>
        </w:tc>
      </w:tr>
      <w:tr w:rsidR="00E3571F" w:rsidRPr="00A52AB8" w14:paraId="4A5029E4" w14:textId="77777777" w:rsidTr="004A7026">
        <w:trPr>
          <w:jc w:val="center"/>
        </w:trPr>
        <w:tc>
          <w:tcPr>
            <w:tcW w:w="8424" w:type="dxa"/>
          </w:tcPr>
          <w:p w14:paraId="3694BDD5" w14:textId="05F399EE" w:rsidR="00E3571F" w:rsidRPr="00A52AB8" w:rsidRDefault="00E3571F">
            <w:pPr>
              <w:spacing w:before="20" w:after="20"/>
              <w:rPr>
                <w:color w:val="000000" w:themeColor="text1"/>
                <w:sz w:val="20"/>
                <w:szCs w:val="20"/>
              </w:rPr>
            </w:pPr>
            <w:r w:rsidRPr="00A52AB8">
              <w:rPr>
                <w:color w:val="000000" w:themeColor="text1"/>
                <w:sz w:val="20"/>
                <w:szCs w:val="20"/>
              </w:rPr>
              <w:tab/>
            </w:r>
            <w:r w:rsidRPr="00A52AB8">
              <w:rPr>
                <w:color w:val="000000" w:themeColor="text1"/>
                <w:sz w:val="20"/>
                <w:szCs w:val="20"/>
              </w:rPr>
              <w:tab/>
            </w:r>
            <w:r w:rsidRPr="00A52AB8">
              <w:rPr>
                <w:color w:val="000000" w:themeColor="text1"/>
                <w:sz w:val="20"/>
                <w:szCs w:val="20"/>
              </w:rPr>
              <w:tab/>
            </w:r>
            <w:r w:rsidRPr="00A52AB8">
              <w:rPr>
                <w:b/>
                <w:color w:val="000000" w:themeColor="text1"/>
                <w:sz w:val="20"/>
                <w:szCs w:val="20"/>
              </w:rPr>
              <w:t>pdu_lod_scale_x_minus1</w:t>
            </w:r>
            <w:r w:rsidR="00A846C2" w:rsidRPr="00A52AB8">
              <w:rPr>
                <w:color w:val="000000" w:themeColor="text1"/>
                <w:sz w:val="20"/>
                <w:szCs w:val="20"/>
              </w:rPr>
              <w:t>[ </w:t>
            </w:r>
            <w:r w:rsidR="00632FA7" w:rsidRPr="00A52AB8">
              <w:rPr>
                <w:color w:val="000000" w:themeColor="text1"/>
                <w:sz w:val="20"/>
                <w:szCs w:val="20"/>
              </w:rPr>
              <w:t>tileID</w:t>
            </w:r>
            <w:r w:rsidR="00A846C2" w:rsidRPr="00A52AB8">
              <w:rPr>
                <w:color w:val="000000" w:themeColor="text1"/>
                <w:sz w:val="20"/>
                <w:szCs w:val="20"/>
              </w:rPr>
              <w:t> ]</w:t>
            </w:r>
            <w:r w:rsidRPr="00A52AB8">
              <w:rPr>
                <w:color w:val="000000" w:themeColor="text1"/>
                <w:sz w:val="20"/>
                <w:szCs w:val="20"/>
              </w:rPr>
              <w:t>[ patchIdx ]</w:t>
            </w:r>
          </w:p>
        </w:tc>
        <w:tc>
          <w:tcPr>
            <w:tcW w:w="1332" w:type="dxa"/>
          </w:tcPr>
          <w:p w14:paraId="03435CEA" w14:textId="77777777" w:rsidR="00E3571F" w:rsidRPr="00A52AB8" w:rsidRDefault="00E3571F">
            <w:pPr>
              <w:spacing w:before="20" w:after="20"/>
              <w:jc w:val="center"/>
              <w:rPr>
                <w:color w:val="000000" w:themeColor="text1"/>
                <w:sz w:val="20"/>
                <w:szCs w:val="20"/>
              </w:rPr>
            </w:pPr>
            <w:r w:rsidRPr="00A52AB8">
              <w:rPr>
                <w:color w:val="000000" w:themeColor="text1"/>
                <w:sz w:val="20"/>
                <w:szCs w:val="20"/>
              </w:rPr>
              <w:t>ue(v)</w:t>
            </w:r>
          </w:p>
        </w:tc>
      </w:tr>
      <w:tr w:rsidR="00E3571F" w:rsidRPr="00A52AB8" w14:paraId="1709F47B" w14:textId="77777777" w:rsidTr="004A7026">
        <w:trPr>
          <w:jc w:val="center"/>
        </w:trPr>
        <w:tc>
          <w:tcPr>
            <w:tcW w:w="8424" w:type="dxa"/>
          </w:tcPr>
          <w:p w14:paraId="0063E21B" w14:textId="56F939A4" w:rsidR="00E3571F" w:rsidRPr="00A52AB8" w:rsidRDefault="00E3571F">
            <w:pPr>
              <w:spacing w:before="20" w:after="20"/>
              <w:rPr>
                <w:color w:val="000000" w:themeColor="text1"/>
                <w:sz w:val="20"/>
                <w:szCs w:val="20"/>
              </w:rPr>
            </w:pPr>
            <w:r w:rsidRPr="00A52AB8">
              <w:rPr>
                <w:color w:val="000000" w:themeColor="text1"/>
                <w:sz w:val="20"/>
                <w:szCs w:val="20"/>
              </w:rPr>
              <w:tab/>
            </w:r>
            <w:r w:rsidRPr="00A52AB8">
              <w:rPr>
                <w:color w:val="000000" w:themeColor="text1"/>
                <w:sz w:val="20"/>
                <w:szCs w:val="20"/>
              </w:rPr>
              <w:tab/>
            </w:r>
            <w:r w:rsidRPr="00A52AB8">
              <w:rPr>
                <w:color w:val="000000" w:themeColor="text1"/>
                <w:sz w:val="20"/>
                <w:szCs w:val="20"/>
              </w:rPr>
              <w:tab/>
            </w:r>
            <w:r w:rsidRPr="00A52AB8">
              <w:rPr>
                <w:b/>
                <w:color w:val="000000" w:themeColor="text1"/>
                <w:sz w:val="20"/>
                <w:szCs w:val="20"/>
              </w:rPr>
              <w:t>pdu_lod_scale_y</w:t>
            </w:r>
            <w:r w:rsidR="00282B77" w:rsidRPr="00A52AB8">
              <w:rPr>
                <w:b/>
                <w:color w:val="000000" w:themeColor="text1"/>
                <w:sz w:val="20"/>
                <w:szCs w:val="20"/>
              </w:rPr>
              <w:t>_idc</w:t>
            </w:r>
            <w:r w:rsidR="00A846C2" w:rsidRPr="00A52AB8">
              <w:rPr>
                <w:color w:val="000000" w:themeColor="text1"/>
                <w:sz w:val="20"/>
                <w:szCs w:val="20"/>
              </w:rPr>
              <w:t>[ </w:t>
            </w:r>
            <w:r w:rsidR="00632FA7" w:rsidRPr="00A52AB8">
              <w:rPr>
                <w:color w:val="000000" w:themeColor="text1"/>
                <w:sz w:val="20"/>
                <w:szCs w:val="20"/>
              </w:rPr>
              <w:t>tileID</w:t>
            </w:r>
            <w:r w:rsidR="00A846C2" w:rsidRPr="00A52AB8">
              <w:rPr>
                <w:color w:val="000000" w:themeColor="text1"/>
                <w:sz w:val="20"/>
                <w:szCs w:val="20"/>
              </w:rPr>
              <w:t> ]</w:t>
            </w:r>
            <w:r w:rsidRPr="00A52AB8">
              <w:rPr>
                <w:color w:val="000000" w:themeColor="text1"/>
                <w:sz w:val="20"/>
                <w:szCs w:val="20"/>
              </w:rPr>
              <w:t>[ patchIdx ]</w:t>
            </w:r>
          </w:p>
        </w:tc>
        <w:tc>
          <w:tcPr>
            <w:tcW w:w="1332" w:type="dxa"/>
          </w:tcPr>
          <w:p w14:paraId="12E5DADC" w14:textId="77777777" w:rsidR="00E3571F" w:rsidRPr="00A52AB8" w:rsidRDefault="00E3571F">
            <w:pPr>
              <w:spacing w:before="20" w:after="20"/>
              <w:jc w:val="center"/>
              <w:rPr>
                <w:color w:val="000000" w:themeColor="text1"/>
                <w:sz w:val="20"/>
                <w:szCs w:val="20"/>
              </w:rPr>
            </w:pPr>
            <w:r w:rsidRPr="00A52AB8">
              <w:rPr>
                <w:color w:val="000000" w:themeColor="text1"/>
                <w:sz w:val="20"/>
                <w:szCs w:val="20"/>
              </w:rPr>
              <w:t>ue(v)</w:t>
            </w:r>
          </w:p>
        </w:tc>
      </w:tr>
      <w:tr w:rsidR="00E3571F" w:rsidRPr="00A52AB8" w14:paraId="52768DAC" w14:textId="77777777" w:rsidTr="004A7026">
        <w:trPr>
          <w:jc w:val="center"/>
        </w:trPr>
        <w:tc>
          <w:tcPr>
            <w:tcW w:w="8424" w:type="dxa"/>
          </w:tcPr>
          <w:p w14:paraId="73F4CA42" w14:textId="77777777" w:rsidR="00E3571F" w:rsidRPr="00A52AB8" w:rsidRDefault="00E3571F">
            <w:pPr>
              <w:spacing w:before="20" w:after="20"/>
              <w:rPr>
                <w:color w:val="000000" w:themeColor="text1"/>
                <w:sz w:val="20"/>
                <w:szCs w:val="20"/>
              </w:rPr>
            </w:pPr>
            <w:r w:rsidRPr="00A52AB8">
              <w:rPr>
                <w:color w:val="000000" w:themeColor="text1"/>
                <w:sz w:val="20"/>
                <w:szCs w:val="20"/>
              </w:rPr>
              <w:tab/>
            </w:r>
            <w:r w:rsidRPr="00A52AB8">
              <w:rPr>
                <w:color w:val="000000" w:themeColor="text1"/>
                <w:sz w:val="20"/>
                <w:szCs w:val="20"/>
              </w:rPr>
              <w:tab/>
              <w:t>}</w:t>
            </w:r>
          </w:p>
        </w:tc>
        <w:tc>
          <w:tcPr>
            <w:tcW w:w="1332" w:type="dxa"/>
          </w:tcPr>
          <w:p w14:paraId="1100457D" w14:textId="77777777" w:rsidR="00E3571F" w:rsidRPr="00A52AB8" w:rsidRDefault="00E3571F">
            <w:pPr>
              <w:spacing w:before="20" w:after="20"/>
              <w:jc w:val="center"/>
              <w:rPr>
                <w:color w:val="000000" w:themeColor="text1"/>
                <w:sz w:val="20"/>
                <w:szCs w:val="20"/>
              </w:rPr>
            </w:pPr>
          </w:p>
        </w:tc>
      </w:tr>
      <w:tr w:rsidR="00E3571F" w:rsidRPr="00A52AB8" w14:paraId="7159B857" w14:textId="77777777" w:rsidTr="004A7026">
        <w:trPr>
          <w:jc w:val="center"/>
        </w:trPr>
        <w:tc>
          <w:tcPr>
            <w:tcW w:w="8424" w:type="dxa"/>
          </w:tcPr>
          <w:p w14:paraId="2925E158" w14:textId="77777777" w:rsidR="00E3571F" w:rsidRPr="00A52AB8" w:rsidRDefault="00E3571F">
            <w:pPr>
              <w:spacing w:before="20" w:after="20"/>
              <w:rPr>
                <w:b/>
                <w:color w:val="000000" w:themeColor="text1"/>
                <w:sz w:val="20"/>
                <w:szCs w:val="20"/>
              </w:rPr>
            </w:pPr>
            <w:r w:rsidRPr="00A52AB8">
              <w:rPr>
                <w:color w:val="000000" w:themeColor="text1"/>
                <w:sz w:val="20"/>
                <w:szCs w:val="20"/>
              </w:rPr>
              <w:tab/>
              <w:t>}</w:t>
            </w:r>
          </w:p>
        </w:tc>
        <w:tc>
          <w:tcPr>
            <w:tcW w:w="1332" w:type="dxa"/>
          </w:tcPr>
          <w:p w14:paraId="2D42A8FD" w14:textId="77777777" w:rsidR="00E3571F" w:rsidRPr="00A52AB8" w:rsidRDefault="00E3571F">
            <w:pPr>
              <w:spacing w:before="20" w:after="20"/>
              <w:jc w:val="center"/>
              <w:rPr>
                <w:color w:val="000000" w:themeColor="text1"/>
                <w:sz w:val="20"/>
                <w:szCs w:val="20"/>
              </w:rPr>
            </w:pPr>
          </w:p>
        </w:tc>
      </w:tr>
      <w:tr w:rsidR="00E3571F" w:rsidRPr="00A52AB8" w14:paraId="4D29F1B4" w14:textId="77777777" w:rsidTr="004A7026">
        <w:trPr>
          <w:jc w:val="center"/>
        </w:trPr>
        <w:tc>
          <w:tcPr>
            <w:tcW w:w="8424" w:type="dxa"/>
          </w:tcPr>
          <w:p w14:paraId="1A01D7EB" w14:textId="49E2C111" w:rsidR="00E3571F" w:rsidRPr="00A52AB8" w:rsidRDefault="00E3571F">
            <w:pPr>
              <w:spacing w:before="20" w:after="20"/>
              <w:rPr>
                <w:color w:val="000000" w:themeColor="text1"/>
                <w:sz w:val="20"/>
                <w:szCs w:val="20"/>
              </w:rPr>
            </w:pPr>
            <w:r w:rsidRPr="00A52AB8">
              <w:rPr>
                <w:color w:val="000000" w:themeColor="text1"/>
                <w:sz w:val="20"/>
                <w:szCs w:val="20"/>
              </w:rPr>
              <w:tab/>
              <w:t>if</w:t>
            </w:r>
            <w:r w:rsidR="002A00E1" w:rsidRPr="00A52AB8">
              <w:rPr>
                <w:color w:val="000000" w:themeColor="text1"/>
                <w:sz w:val="20"/>
                <w:szCs w:val="20"/>
              </w:rPr>
              <w:t>( </w:t>
            </w:r>
            <w:r w:rsidRPr="00A52AB8">
              <w:rPr>
                <w:color w:val="000000" w:themeColor="text1"/>
                <w:sz w:val="20"/>
                <w:szCs w:val="20"/>
              </w:rPr>
              <w:t>asps_</w:t>
            </w:r>
            <w:r w:rsidR="00D375CC" w:rsidRPr="00A52AB8">
              <w:rPr>
                <w:color w:val="000000" w:themeColor="text1"/>
                <w:sz w:val="20"/>
                <w:szCs w:val="20"/>
              </w:rPr>
              <w:t>plr</w:t>
            </w:r>
            <w:r w:rsidRPr="00A52AB8">
              <w:rPr>
                <w:color w:val="000000" w:themeColor="text1"/>
                <w:sz w:val="20"/>
                <w:szCs w:val="20"/>
              </w:rPr>
              <w:t>_enabled_</w:t>
            </w:r>
            <w:r w:rsidR="002A00E1" w:rsidRPr="00A52AB8">
              <w:rPr>
                <w:color w:val="000000" w:themeColor="text1"/>
                <w:sz w:val="20"/>
                <w:szCs w:val="20"/>
              </w:rPr>
              <w:t>flag </w:t>
            </w:r>
            <w:r w:rsidRPr="00A52AB8">
              <w:rPr>
                <w:color w:val="000000" w:themeColor="text1"/>
                <w:sz w:val="20"/>
                <w:szCs w:val="20"/>
              </w:rPr>
              <w:t>)</w:t>
            </w:r>
          </w:p>
        </w:tc>
        <w:tc>
          <w:tcPr>
            <w:tcW w:w="1332" w:type="dxa"/>
          </w:tcPr>
          <w:p w14:paraId="53C52504" w14:textId="77777777" w:rsidR="00E3571F" w:rsidRPr="00A52AB8" w:rsidRDefault="00E3571F">
            <w:pPr>
              <w:spacing w:before="20" w:after="20"/>
              <w:jc w:val="center"/>
              <w:rPr>
                <w:color w:val="000000" w:themeColor="text1"/>
                <w:sz w:val="20"/>
                <w:szCs w:val="20"/>
              </w:rPr>
            </w:pPr>
          </w:p>
        </w:tc>
      </w:tr>
      <w:tr w:rsidR="00755D8E" w:rsidRPr="00A52AB8" w14:paraId="0E865D5D" w14:textId="77777777" w:rsidTr="004A7026">
        <w:trPr>
          <w:jc w:val="center"/>
        </w:trPr>
        <w:tc>
          <w:tcPr>
            <w:tcW w:w="8424" w:type="dxa"/>
          </w:tcPr>
          <w:p w14:paraId="5D2A6BC4" w14:textId="77777777" w:rsidR="00755D8E" w:rsidRPr="00A52AB8" w:rsidRDefault="00755D8E" w:rsidP="00755D8E">
            <w:pPr>
              <w:spacing w:before="20" w:after="20"/>
              <w:rPr>
                <w:color w:val="000000" w:themeColor="text1"/>
                <w:sz w:val="20"/>
                <w:szCs w:val="20"/>
              </w:rPr>
            </w:pPr>
            <w:r w:rsidRPr="00A52AB8">
              <w:rPr>
                <w:color w:val="000000" w:themeColor="text1"/>
                <w:sz w:val="20"/>
                <w:szCs w:val="20"/>
              </w:rPr>
              <w:tab/>
            </w:r>
            <w:r w:rsidRPr="00A52AB8">
              <w:rPr>
                <w:color w:val="000000" w:themeColor="text1"/>
                <w:sz w:val="20"/>
                <w:szCs w:val="20"/>
              </w:rPr>
              <w:tab/>
              <w:t>plr_data( tileID, patchIdx )</w:t>
            </w:r>
          </w:p>
        </w:tc>
        <w:tc>
          <w:tcPr>
            <w:tcW w:w="1332" w:type="dxa"/>
          </w:tcPr>
          <w:p w14:paraId="3F753531" w14:textId="77777777" w:rsidR="00755D8E" w:rsidRPr="00A52AB8" w:rsidRDefault="00755D8E" w:rsidP="00755D8E">
            <w:pPr>
              <w:spacing w:before="20" w:after="20"/>
              <w:jc w:val="center"/>
              <w:rPr>
                <w:color w:val="000000" w:themeColor="text1"/>
                <w:sz w:val="20"/>
                <w:szCs w:val="20"/>
              </w:rPr>
            </w:pPr>
          </w:p>
        </w:tc>
      </w:tr>
      <w:tr w:rsidR="002A00E1" w:rsidRPr="00A52AB8" w14:paraId="346B3A09" w14:textId="77777777" w:rsidTr="004A7026">
        <w:trPr>
          <w:jc w:val="center"/>
        </w:trPr>
        <w:tc>
          <w:tcPr>
            <w:tcW w:w="8424" w:type="dxa"/>
          </w:tcPr>
          <w:p w14:paraId="4E676896" w14:textId="3D16E111" w:rsidR="002A00E1" w:rsidRPr="00A52AB8" w:rsidRDefault="002A00E1" w:rsidP="00755D8E">
            <w:pPr>
              <w:spacing w:before="20" w:after="20"/>
              <w:rPr>
                <w:color w:val="000000" w:themeColor="text1"/>
                <w:sz w:val="20"/>
                <w:szCs w:val="20"/>
              </w:rPr>
            </w:pPr>
            <w:r w:rsidRPr="00A52AB8">
              <w:rPr>
                <w:color w:val="000000" w:themeColor="text1"/>
                <w:sz w:val="20"/>
                <w:szCs w:val="20"/>
              </w:rPr>
              <w:tab/>
              <w:t>if( asps_miv_extension_present_flag )</w:t>
            </w:r>
          </w:p>
        </w:tc>
        <w:tc>
          <w:tcPr>
            <w:tcW w:w="1332" w:type="dxa"/>
          </w:tcPr>
          <w:p w14:paraId="70241CA1" w14:textId="77777777" w:rsidR="002A00E1" w:rsidRPr="00A52AB8" w:rsidRDefault="002A00E1" w:rsidP="00755D8E">
            <w:pPr>
              <w:spacing w:before="20" w:after="20"/>
              <w:jc w:val="center"/>
              <w:rPr>
                <w:color w:val="000000" w:themeColor="text1"/>
                <w:sz w:val="20"/>
                <w:szCs w:val="20"/>
              </w:rPr>
            </w:pPr>
          </w:p>
        </w:tc>
      </w:tr>
      <w:tr w:rsidR="002A00E1" w:rsidRPr="00A52AB8" w14:paraId="7D6B7BF5" w14:textId="77777777" w:rsidTr="004A7026">
        <w:trPr>
          <w:jc w:val="center"/>
        </w:trPr>
        <w:tc>
          <w:tcPr>
            <w:tcW w:w="8424" w:type="dxa"/>
          </w:tcPr>
          <w:p w14:paraId="5633DC5B" w14:textId="6D79B0CE" w:rsidR="002A00E1" w:rsidRPr="00A52AB8" w:rsidRDefault="002A00E1" w:rsidP="00755D8E">
            <w:pPr>
              <w:spacing w:before="20" w:after="20"/>
              <w:rPr>
                <w:color w:val="000000" w:themeColor="text1"/>
                <w:sz w:val="20"/>
                <w:szCs w:val="20"/>
              </w:rPr>
            </w:pPr>
            <w:r w:rsidRPr="00A52AB8">
              <w:rPr>
                <w:color w:val="000000" w:themeColor="text1"/>
                <w:sz w:val="20"/>
                <w:szCs w:val="20"/>
              </w:rPr>
              <w:tab/>
            </w:r>
            <w:r w:rsidRPr="00A52AB8">
              <w:rPr>
                <w:color w:val="000000" w:themeColor="text1"/>
                <w:sz w:val="20"/>
                <w:szCs w:val="20"/>
              </w:rPr>
              <w:tab/>
              <w:t>pdu_miv_extension( tileID, patchIdx ) /* Specified in ISO/IEC 23090-12 */</w:t>
            </w:r>
          </w:p>
        </w:tc>
        <w:tc>
          <w:tcPr>
            <w:tcW w:w="1332" w:type="dxa"/>
          </w:tcPr>
          <w:p w14:paraId="1E9962AE" w14:textId="77777777" w:rsidR="002A00E1" w:rsidRPr="00A52AB8" w:rsidRDefault="002A00E1" w:rsidP="00755D8E">
            <w:pPr>
              <w:spacing w:before="20" w:after="20"/>
              <w:jc w:val="center"/>
              <w:rPr>
                <w:color w:val="000000" w:themeColor="text1"/>
                <w:sz w:val="20"/>
                <w:szCs w:val="20"/>
              </w:rPr>
            </w:pPr>
          </w:p>
        </w:tc>
      </w:tr>
      <w:tr w:rsidR="00755D8E" w:rsidRPr="00A52AB8" w14:paraId="3E0AD7BD" w14:textId="77777777" w:rsidTr="004A7026">
        <w:trPr>
          <w:jc w:val="center"/>
        </w:trPr>
        <w:tc>
          <w:tcPr>
            <w:tcW w:w="8424" w:type="dxa"/>
          </w:tcPr>
          <w:p w14:paraId="58F45AB2" w14:textId="77777777" w:rsidR="00755D8E" w:rsidRPr="00A52AB8" w:rsidRDefault="00755D8E" w:rsidP="00755D8E">
            <w:pPr>
              <w:spacing w:before="20" w:after="20"/>
              <w:rPr>
                <w:color w:val="000000" w:themeColor="text1"/>
                <w:sz w:val="20"/>
                <w:szCs w:val="20"/>
              </w:rPr>
            </w:pPr>
            <w:r w:rsidRPr="00A52AB8">
              <w:rPr>
                <w:color w:val="000000" w:themeColor="text1"/>
                <w:sz w:val="20"/>
                <w:szCs w:val="20"/>
              </w:rPr>
              <w:t>}</w:t>
            </w:r>
          </w:p>
        </w:tc>
        <w:tc>
          <w:tcPr>
            <w:tcW w:w="1332" w:type="dxa"/>
          </w:tcPr>
          <w:p w14:paraId="31484EFC" w14:textId="77777777" w:rsidR="00755D8E" w:rsidRPr="00A52AB8" w:rsidRDefault="00755D8E" w:rsidP="00755D8E">
            <w:pPr>
              <w:spacing w:before="20" w:after="20"/>
              <w:jc w:val="center"/>
              <w:rPr>
                <w:color w:val="000000" w:themeColor="text1"/>
                <w:sz w:val="20"/>
                <w:szCs w:val="20"/>
              </w:rPr>
            </w:pPr>
          </w:p>
        </w:tc>
      </w:tr>
    </w:tbl>
    <w:p w14:paraId="347C1AF3" w14:textId="28B10FF6" w:rsidR="00D75B34" w:rsidRPr="00A52AB8" w:rsidRDefault="000D414B" w:rsidP="004A7026">
      <w:pPr>
        <w:pStyle w:val="Heading4"/>
      </w:pPr>
      <w:r w:rsidRPr="00A52AB8">
        <w:t>Skip patch data unit syntax</w:t>
      </w:r>
    </w:p>
    <w:tbl>
      <w:tblPr>
        <w:tblStyle w:val="TableGrid"/>
        <w:tblW w:w="5000" w:type="pct"/>
        <w:jc w:val="center"/>
        <w:tblLayout w:type="fixed"/>
        <w:tblLook w:val="04A0" w:firstRow="1" w:lastRow="0" w:firstColumn="1" w:lastColumn="0" w:noHBand="0" w:noVBand="1"/>
      </w:tblPr>
      <w:tblGrid>
        <w:gridCol w:w="8411"/>
        <w:gridCol w:w="1331"/>
      </w:tblGrid>
      <w:tr w:rsidR="00D75B34" w:rsidRPr="00A52AB8" w14:paraId="0D1F8B2F" w14:textId="77777777" w:rsidTr="00A252B5">
        <w:trPr>
          <w:jc w:val="center"/>
        </w:trPr>
        <w:tc>
          <w:tcPr>
            <w:tcW w:w="7921" w:type="dxa"/>
          </w:tcPr>
          <w:p w14:paraId="1822B9B7" w14:textId="4C956081" w:rsidR="00D75B34" w:rsidRPr="00A52AB8" w:rsidRDefault="00D75B34">
            <w:pPr>
              <w:spacing w:after="0" w:line="276" w:lineRule="auto"/>
              <w:rPr>
                <w:color w:val="000000" w:themeColor="text1"/>
                <w:sz w:val="20"/>
                <w:szCs w:val="20"/>
              </w:rPr>
            </w:pPr>
            <w:r w:rsidRPr="00A52AB8">
              <w:rPr>
                <w:color w:val="000000" w:themeColor="text1"/>
                <w:sz w:val="20"/>
                <w:szCs w:val="20"/>
              </w:rPr>
              <w:t>skip_patch_data_unit(</w:t>
            </w:r>
            <w:r w:rsidR="004A292F" w:rsidRPr="00A52AB8">
              <w:rPr>
                <w:color w:val="000000" w:themeColor="text1"/>
                <w:sz w:val="20"/>
                <w:szCs w:val="20"/>
              </w:rPr>
              <w:t> </w:t>
            </w:r>
            <w:r w:rsidR="008F1F82" w:rsidRPr="00A52AB8">
              <w:rPr>
                <w:color w:val="000000" w:themeColor="text1"/>
                <w:sz w:val="20"/>
                <w:szCs w:val="20"/>
              </w:rPr>
              <w:t>) {</w:t>
            </w:r>
          </w:p>
        </w:tc>
        <w:tc>
          <w:tcPr>
            <w:tcW w:w="1253" w:type="dxa"/>
          </w:tcPr>
          <w:p w14:paraId="073B685E" w14:textId="77777777" w:rsidR="00D75B34" w:rsidRPr="00A52AB8" w:rsidRDefault="00D75B34">
            <w:pPr>
              <w:spacing w:after="0" w:line="276" w:lineRule="auto"/>
              <w:jc w:val="center"/>
              <w:rPr>
                <w:b/>
                <w:color w:val="000000" w:themeColor="text1"/>
                <w:sz w:val="20"/>
                <w:szCs w:val="20"/>
              </w:rPr>
            </w:pPr>
            <w:r w:rsidRPr="00A52AB8">
              <w:rPr>
                <w:b/>
                <w:color w:val="000000" w:themeColor="text1"/>
                <w:sz w:val="20"/>
                <w:szCs w:val="20"/>
              </w:rPr>
              <w:t>Descriptor</w:t>
            </w:r>
          </w:p>
        </w:tc>
      </w:tr>
      <w:tr w:rsidR="00D75B34" w:rsidRPr="00A52AB8" w14:paraId="2CCD224A" w14:textId="77777777" w:rsidTr="00A252B5">
        <w:trPr>
          <w:jc w:val="center"/>
        </w:trPr>
        <w:tc>
          <w:tcPr>
            <w:tcW w:w="7921" w:type="dxa"/>
          </w:tcPr>
          <w:p w14:paraId="0E2B43EC" w14:textId="77777777" w:rsidR="00D75B34" w:rsidRPr="00A52AB8" w:rsidRDefault="00D75B34">
            <w:pPr>
              <w:spacing w:after="0" w:line="276" w:lineRule="auto"/>
              <w:rPr>
                <w:color w:val="000000" w:themeColor="text1"/>
                <w:sz w:val="20"/>
                <w:szCs w:val="20"/>
              </w:rPr>
            </w:pPr>
            <w:r w:rsidRPr="00A52AB8">
              <w:rPr>
                <w:color w:val="000000" w:themeColor="text1"/>
                <w:sz w:val="20"/>
                <w:szCs w:val="20"/>
              </w:rPr>
              <w:t>}</w:t>
            </w:r>
          </w:p>
        </w:tc>
        <w:tc>
          <w:tcPr>
            <w:tcW w:w="1253" w:type="dxa"/>
          </w:tcPr>
          <w:p w14:paraId="2CD970E7" w14:textId="77777777" w:rsidR="00D75B34" w:rsidRPr="00A52AB8" w:rsidRDefault="00D75B34">
            <w:pPr>
              <w:spacing w:after="0" w:line="276" w:lineRule="auto"/>
              <w:jc w:val="center"/>
              <w:rPr>
                <w:b/>
                <w:color w:val="000000" w:themeColor="text1"/>
                <w:sz w:val="20"/>
                <w:szCs w:val="20"/>
              </w:rPr>
            </w:pPr>
          </w:p>
        </w:tc>
      </w:tr>
    </w:tbl>
    <w:p w14:paraId="54A93897" w14:textId="77777777" w:rsidR="00ED6B2D" w:rsidRPr="00A52AB8" w:rsidRDefault="00ED6B2D" w:rsidP="00CB76AA">
      <w:pPr>
        <w:pStyle w:val="Heading4"/>
      </w:pPr>
      <w:r w:rsidRPr="00A52AB8">
        <w:t>Merge</w:t>
      </w:r>
      <w:r w:rsidR="00F62BD1" w:rsidRPr="00A52AB8">
        <w:t xml:space="preserve"> patch data unit syntax</w:t>
      </w:r>
    </w:p>
    <w:tbl>
      <w:tblPr>
        <w:tblStyle w:val="TableGrid"/>
        <w:tblW w:w="5000" w:type="pct"/>
        <w:tblLook w:val="04A0" w:firstRow="1" w:lastRow="0" w:firstColumn="1" w:lastColumn="0" w:noHBand="0" w:noVBand="1"/>
      </w:tblPr>
      <w:tblGrid>
        <w:gridCol w:w="8411"/>
        <w:gridCol w:w="1331"/>
      </w:tblGrid>
      <w:tr w:rsidR="00F66E19" w:rsidRPr="00A52AB8" w14:paraId="64336838" w14:textId="77777777" w:rsidTr="004A7026">
        <w:tc>
          <w:tcPr>
            <w:tcW w:w="8411" w:type="dxa"/>
          </w:tcPr>
          <w:p w14:paraId="7AECCC2C" w14:textId="447350F8" w:rsidR="00ED6B2D" w:rsidRPr="00A52AB8" w:rsidRDefault="00ED6B2D">
            <w:pPr>
              <w:spacing w:after="0" w:line="276" w:lineRule="auto"/>
              <w:rPr>
                <w:color w:val="000000" w:themeColor="text1"/>
                <w:sz w:val="20"/>
                <w:szCs w:val="20"/>
              </w:rPr>
            </w:pPr>
            <w:r w:rsidRPr="00A52AB8">
              <w:rPr>
                <w:color w:val="000000" w:themeColor="text1"/>
                <w:sz w:val="20"/>
                <w:szCs w:val="20"/>
              </w:rPr>
              <w:t>merge_patch_data_unit(</w:t>
            </w:r>
            <w:r w:rsidR="004A292F" w:rsidRPr="00A52AB8">
              <w:rPr>
                <w:color w:val="000000" w:themeColor="text1"/>
                <w:sz w:val="20"/>
                <w:szCs w:val="20"/>
              </w:rPr>
              <w:t> </w:t>
            </w:r>
            <w:r w:rsidR="00632FA7" w:rsidRPr="00A52AB8">
              <w:rPr>
                <w:color w:val="000000" w:themeColor="text1"/>
                <w:sz w:val="20"/>
                <w:szCs w:val="20"/>
              </w:rPr>
              <w:t>tileID</w:t>
            </w:r>
            <w:r w:rsidR="004A292F" w:rsidRPr="00A52AB8">
              <w:rPr>
                <w:color w:val="000000" w:themeColor="text1"/>
                <w:sz w:val="20"/>
                <w:szCs w:val="20"/>
              </w:rPr>
              <w:t>,</w:t>
            </w:r>
            <w:r w:rsidRPr="00A52AB8">
              <w:rPr>
                <w:color w:val="000000" w:themeColor="text1"/>
                <w:sz w:val="20"/>
                <w:szCs w:val="20"/>
              </w:rPr>
              <w:t> </w:t>
            </w:r>
            <w:r w:rsidR="00E13AB1" w:rsidRPr="00A52AB8">
              <w:rPr>
                <w:color w:val="000000" w:themeColor="text1"/>
                <w:sz w:val="20"/>
                <w:szCs w:val="20"/>
              </w:rPr>
              <w:t>patchIdx</w:t>
            </w:r>
            <w:r w:rsidRPr="00A52AB8">
              <w:rPr>
                <w:color w:val="000000" w:themeColor="text1"/>
                <w:sz w:val="20"/>
                <w:szCs w:val="20"/>
              </w:rPr>
              <w:t> </w:t>
            </w:r>
            <w:r w:rsidR="008F1F82" w:rsidRPr="00A52AB8">
              <w:rPr>
                <w:color w:val="000000" w:themeColor="text1"/>
                <w:sz w:val="20"/>
                <w:szCs w:val="20"/>
              </w:rPr>
              <w:t>) {</w:t>
            </w:r>
          </w:p>
        </w:tc>
        <w:tc>
          <w:tcPr>
            <w:tcW w:w="1331" w:type="dxa"/>
          </w:tcPr>
          <w:p w14:paraId="6961B396" w14:textId="77777777" w:rsidR="00ED6B2D" w:rsidRPr="00A52AB8" w:rsidRDefault="00ED6B2D">
            <w:pPr>
              <w:spacing w:after="0" w:line="276" w:lineRule="auto"/>
              <w:jc w:val="center"/>
              <w:rPr>
                <w:b/>
                <w:color w:val="000000" w:themeColor="text1"/>
                <w:sz w:val="20"/>
                <w:szCs w:val="20"/>
              </w:rPr>
            </w:pPr>
            <w:r w:rsidRPr="00A52AB8">
              <w:rPr>
                <w:b/>
                <w:color w:val="000000" w:themeColor="text1"/>
                <w:sz w:val="20"/>
                <w:szCs w:val="20"/>
              </w:rPr>
              <w:t>Descriptor</w:t>
            </w:r>
          </w:p>
        </w:tc>
      </w:tr>
      <w:tr w:rsidR="00F66E19" w:rsidRPr="00A52AB8" w14:paraId="64DD4F22" w14:textId="77777777" w:rsidTr="004A7026">
        <w:tc>
          <w:tcPr>
            <w:tcW w:w="8411" w:type="dxa"/>
          </w:tcPr>
          <w:p w14:paraId="2332074F" w14:textId="340293FA" w:rsidR="00ED6B2D" w:rsidRPr="00A52AB8" w:rsidRDefault="00ED6B2D">
            <w:pPr>
              <w:spacing w:after="0" w:line="276" w:lineRule="auto"/>
              <w:rPr>
                <w:color w:val="000000" w:themeColor="text1"/>
                <w:sz w:val="20"/>
                <w:szCs w:val="20"/>
              </w:rPr>
            </w:pPr>
            <w:r w:rsidRPr="00A52AB8">
              <w:rPr>
                <w:b/>
                <w:color w:val="000000" w:themeColor="text1"/>
                <w:sz w:val="20"/>
                <w:szCs w:val="20"/>
              </w:rPr>
              <w:tab/>
            </w:r>
            <w:r w:rsidR="00640C51" w:rsidRPr="00A52AB8">
              <w:rPr>
                <w:color w:val="000000" w:themeColor="text1"/>
                <w:sz w:val="20"/>
                <w:szCs w:val="20"/>
              </w:rPr>
              <w:t>if( </w:t>
            </w:r>
            <w:r w:rsidR="00640C51" w:rsidRPr="00A52AB8">
              <w:rPr>
                <w:sz w:val="20"/>
                <w:szCs w:val="20"/>
              </w:rPr>
              <w:t>NumRefIdxActive</w:t>
            </w:r>
            <w:r w:rsidR="002F5F32" w:rsidRPr="00A52AB8">
              <w:rPr>
                <w:bCs/>
                <w:sz w:val="20"/>
                <w:szCs w:val="20"/>
              </w:rPr>
              <w:t> </w:t>
            </w:r>
            <w:r w:rsidR="00640C51" w:rsidRPr="00A52AB8">
              <w:rPr>
                <w:color w:val="000000" w:themeColor="text1"/>
                <w:sz w:val="20"/>
                <w:szCs w:val="20"/>
              </w:rPr>
              <w:t>&gt;</w:t>
            </w:r>
            <w:r w:rsidR="002F5F32" w:rsidRPr="00A52AB8">
              <w:rPr>
                <w:color w:val="000000" w:themeColor="text1"/>
                <w:sz w:val="20"/>
                <w:szCs w:val="20"/>
              </w:rPr>
              <w:t> </w:t>
            </w:r>
            <w:r w:rsidR="00640C51" w:rsidRPr="00A52AB8">
              <w:rPr>
                <w:color w:val="000000" w:themeColor="text1"/>
                <w:sz w:val="20"/>
                <w:szCs w:val="20"/>
              </w:rPr>
              <w:t>1 )</w:t>
            </w:r>
          </w:p>
        </w:tc>
        <w:tc>
          <w:tcPr>
            <w:tcW w:w="1331" w:type="dxa"/>
          </w:tcPr>
          <w:p w14:paraId="514F28CE" w14:textId="77777777" w:rsidR="00ED6B2D" w:rsidRPr="00A52AB8" w:rsidRDefault="00ED6B2D">
            <w:pPr>
              <w:spacing w:after="0" w:line="276" w:lineRule="auto"/>
              <w:jc w:val="center"/>
              <w:rPr>
                <w:b/>
                <w:color w:val="000000" w:themeColor="text1"/>
                <w:sz w:val="20"/>
                <w:szCs w:val="20"/>
              </w:rPr>
            </w:pPr>
          </w:p>
        </w:tc>
      </w:tr>
      <w:tr w:rsidR="00F66E19" w:rsidRPr="00A52AB8" w14:paraId="10261E1E" w14:textId="77777777" w:rsidTr="004A7026">
        <w:tc>
          <w:tcPr>
            <w:tcW w:w="8411" w:type="dxa"/>
          </w:tcPr>
          <w:p w14:paraId="1931C590" w14:textId="77777777" w:rsidR="00ED6B2D" w:rsidRPr="00A52AB8" w:rsidRDefault="00ED6B2D">
            <w:pPr>
              <w:spacing w:after="0" w:line="276" w:lineRule="auto"/>
              <w:rPr>
                <w:color w:val="000000" w:themeColor="text1"/>
                <w:sz w:val="20"/>
                <w:szCs w:val="20"/>
              </w:rPr>
            </w:pPr>
            <w:r w:rsidRPr="00A52AB8">
              <w:rPr>
                <w:b/>
                <w:color w:val="000000" w:themeColor="text1"/>
                <w:sz w:val="20"/>
                <w:szCs w:val="20"/>
              </w:rPr>
              <w:tab/>
            </w:r>
            <w:r w:rsidRPr="00A52AB8">
              <w:rPr>
                <w:b/>
                <w:color w:val="000000" w:themeColor="text1"/>
                <w:sz w:val="20"/>
                <w:szCs w:val="20"/>
              </w:rPr>
              <w:tab/>
              <w:t>mpdu_ref_index</w:t>
            </w:r>
            <w:r w:rsidR="004A292F" w:rsidRPr="00A52AB8">
              <w:rPr>
                <w:color w:val="000000" w:themeColor="text1"/>
                <w:sz w:val="20"/>
                <w:szCs w:val="20"/>
              </w:rPr>
              <w:t>[ </w:t>
            </w:r>
            <w:r w:rsidR="00632FA7" w:rsidRPr="00A52AB8">
              <w:rPr>
                <w:color w:val="000000" w:themeColor="text1"/>
                <w:sz w:val="20"/>
                <w:szCs w:val="20"/>
              </w:rPr>
              <w:t>tileID</w:t>
            </w:r>
            <w:r w:rsidR="004A292F" w:rsidRPr="00A52AB8">
              <w:rPr>
                <w:color w:val="000000" w:themeColor="text1"/>
                <w:sz w:val="20"/>
                <w:szCs w:val="20"/>
              </w:rPr>
              <w:t> ]</w:t>
            </w:r>
            <w:r w:rsidR="001F3C1E" w:rsidRPr="00A52AB8">
              <w:rPr>
                <w:color w:val="000000" w:themeColor="text1"/>
                <w:sz w:val="20"/>
                <w:szCs w:val="20"/>
              </w:rPr>
              <w:t>[ patchIdx ]</w:t>
            </w:r>
          </w:p>
        </w:tc>
        <w:tc>
          <w:tcPr>
            <w:tcW w:w="1331" w:type="dxa"/>
          </w:tcPr>
          <w:p w14:paraId="2574E29B" w14:textId="77777777" w:rsidR="00ED6B2D" w:rsidRPr="00A52AB8" w:rsidRDefault="00ED6B2D">
            <w:pPr>
              <w:spacing w:after="0" w:line="276" w:lineRule="auto"/>
              <w:jc w:val="center"/>
              <w:rPr>
                <w:color w:val="000000" w:themeColor="text1"/>
                <w:sz w:val="20"/>
                <w:szCs w:val="20"/>
              </w:rPr>
            </w:pPr>
            <w:r w:rsidRPr="00A52AB8">
              <w:rPr>
                <w:color w:val="000000" w:themeColor="text1"/>
                <w:sz w:val="20"/>
                <w:szCs w:val="20"/>
              </w:rPr>
              <w:t>ue(v)</w:t>
            </w:r>
          </w:p>
        </w:tc>
      </w:tr>
      <w:tr w:rsidR="00F66E19" w:rsidRPr="00A52AB8" w14:paraId="0A80C6F4" w14:textId="77777777" w:rsidTr="004A7026">
        <w:tc>
          <w:tcPr>
            <w:tcW w:w="8411" w:type="dxa"/>
          </w:tcPr>
          <w:p w14:paraId="215E1528" w14:textId="72674143" w:rsidR="00ED6B2D" w:rsidRPr="00A52AB8" w:rsidRDefault="00ED6B2D">
            <w:pPr>
              <w:spacing w:after="0" w:line="276" w:lineRule="auto"/>
              <w:rPr>
                <w:color w:val="000000" w:themeColor="text1"/>
                <w:sz w:val="20"/>
                <w:szCs w:val="20"/>
              </w:rPr>
            </w:pPr>
            <w:r w:rsidRPr="00A52AB8">
              <w:rPr>
                <w:color w:val="000000" w:themeColor="text1"/>
                <w:sz w:val="20"/>
                <w:szCs w:val="20"/>
              </w:rPr>
              <w:tab/>
            </w:r>
            <w:r w:rsidR="00490929" w:rsidRPr="00A52AB8">
              <w:rPr>
                <w:color w:val="000000" w:themeColor="text1"/>
                <w:sz w:val="20"/>
                <w:szCs w:val="20"/>
              </w:rPr>
              <w:t>OverridePlrFlag</w:t>
            </w:r>
            <w:r w:rsidR="00D47707" w:rsidRPr="00A52AB8">
              <w:rPr>
                <w:color w:val="000000" w:themeColor="text1"/>
                <w:sz w:val="20"/>
                <w:szCs w:val="20"/>
                <w:lang w:eastAsia="ja-JP"/>
              </w:rPr>
              <w:t> = </w:t>
            </w:r>
            <w:r w:rsidRPr="00A52AB8">
              <w:rPr>
                <w:color w:val="000000" w:themeColor="text1"/>
                <w:sz w:val="20"/>
                <w:szCs w:val="20"/>
                <w:lang w:eastAsia="ja-JP"/>
              </w:rPr>
              <w:t>0</w:t>
            </w:r>
          </w:p>
        </w:tc>
        <w:tc>
          <w:tcPr>
            <w:tcW w:w="1331" w:type="dxa"/>
          </w:tcPr>
          <w:p w14:paraId="315E521C" w14:textId="77777777" w:rsidR="00ED6B2D" w:rsidRPr="00A52AB8" w:rsidRDefault="00ED6B2D">
            <w:pPr>
              <w:spacing w:after="0" w:line="276" w:lineRule="auto"/>
              <w:jc w:val="center"/>
              <w:rPr>
                <w:color w:val="000000" w:themeColor="text1"/>
                <w:sz w:val="20"/>
                <w:szCs w:val="20"/>
              </w:rPr>
            </w:pPr>
          </w:p>
        </w:tc>
      </w:tr>
      <w:tr w:rsidR="00F66E19" w:rsidRPr="00A52AB8" w14:paraId="2371C8E8" w14:textId="77777777" w:rsidTr="004A7026">
        <w:tc>
          <w:tcPr>
            <w:tcW w:w="8411" w:type="dxa"/>
          </w:tcPr>
          <w:p w14:paraId="095D3CC3" w14:textId="77777777" w:rsidR="00ED6B2D" w:rsidRPr="00A52AB8" w:rsidRDefault="00ED6B2D">
            <w:pPr>
              <w:spacing w:after="0" w:line="276" w:lineRule="auto"/>
              <w:rPr>
                <w:color w:val="000000" w:themeColor="text1"/>
                <w:sz w:val="20"/>
                <w:szCs w:val="20"/>
              </w:rPr>
            </w:pPr>
            <w:r w:rsidRPr="00A52AB8">
              <w:rPr>
                <w:color w:val="000000" w:themeColor="text1"/>
                <w:sz w:val="20"/>
                <w:szCs w:val="20"/>
              </w:rPr>
              <w:tab/>
            </w:r>
            <w:r w:rsidRPr="00A52AB8">
              <w:rPr>
                <w:b/>
                <w:color w:val="000000" w:themeColor="text1"/>
                <w:sz w:val="20"/>
                <w:szCs w:val="20"/>
              </w:rPr>
              <w:t>mpdu_override_2d_</w:t>
            </w:r>
            <w:r w:rsidR="007D7AA4" w:rsidRPr="00A52AB8">
              <w:rPr>
                <w:b/>
                <w:color w:val="000000" w:themeColor="text1"/>
                <w:sz w:val="20"/>
                <w:szCs w:val="20"/>
              </w:rPr>
              <w:t>params</w:t>
            </w:r>
            <w:r w:rsidRPr="00A52AB8">
              <w:rPr>
                <w:b/>
                <w:color w:val="000000" w:themeColor="text1"/>
                <w:sz w:val="20"/>
                <w:szCs w:val="20"/>
              </w:rPr>
              <w:t>_flag</w:t>
            </w:r>
            <w:r w:rsidR="004A292F" w:rsidRPr="00A52AB8">
              <w:rPr>
                <w:color w:val="000000" w:themeColor="text1"/>
                <w:sz w:val="20"/>
                <w:szCs w:val="20"/>
              </w:rPr>
              <w:t>[ </w:t>
            </w:r>
            <w:r w:rsidR="00632FA7" w:rsidRPr="00A52AB8">
              <w:rPr>
                <w:color w:val="000000" w:themeColor="text1"/>
                <w:sz w:val="20"/>
                <w:szCs w:val="20"/>
              </w:rPr>
              <w:t>tileID</w:t>
            </w:r>
            <w:r w:rsidR="004A292F" w:rsidRPr="00A52AB8">
              <w:rPr>
                <w:color w:val="000000" w:themeColor="text1"/>
                <w:sz w:val="20"/>
                <w:szCs w:val="20"/>
              </w:rPr>
              <w:t> ]</w:t>
            </w:r>
            <w:r w:rsidR="001F3C1E" w:rsidRPr="00A52AB8">
              <w:rPr>
                <w:color w:val="000000" w:themeColor="text1"/>
                <w:sz w:val="20"/>
                <w:szCs w:val="20"/>
              </w:rPr>
              <w:t>[ patchIdx ]</w:t>
            </w:r>
          </w:p>
        </w:tc>
        <w:tc>
          <w:tcPr>
            <w:tcW w:w="1331" w:type="dxa"/>
          </w:tcPr>
          <w:p w14:paraId="58F0A834" w14:textId="77777777" w:rsidR="00ED6B2D" w:rsidRPr="00A52AB8" w:rsidRDefault="00ED6B2D">
            <w:pPr>
              <w:spacing w:after="0" w:line="276" w:lineRule="auto"/>
              <w:jc w:val="center"/>
              <w:rPr>
                <w:sz w:val="20"/>
                <w:szCs w:val="20"/>
              </w:rPr>
            </w:pPr>
            <w:r w:rsidRPr="00A52AB8">
              <w:rPr>
                <w:color w:val="000000" w:themeColor="text1"/>
                <w:sz w:val="20"/>
                <w:szCs w:val="20"/>
              </w:rPr>
              <w:t>u(1)</w:t>
            </w:r>
          </w:p>
        </w:tc>
      </w:tr>
      <w:tr w:rsidR="00F66E19" w:rsidRPr="00A52AB8" w14:paraId="508E7F7E" w14:textId="77777777" w:rsidTr="004A7026">
        <w:tc>
          <w:tcPr>
            <w:tcW w:w="8411" w:type="dxa"/>
          </w:tcPr>
          <w:p w14:paraId="5F3522FA" w14:textId="5E68A029" w:rsidR="00ED6B2D" w:rsidRPr="00A52AB8" w:rsidRDefault="00ED6B2D">
            <w:pPr>
              <w:spacing w:after="0" w:line="276" w:lineRule="auto"/>
              <w:rPr>
                <w:color w:val="000000" w:themeColor="text1"/>
                <w:sz w:val="20"/>
                <w:szCs w:val="20"/>
              </w:rPr>
            </w:pPr>
            <w:r w:rsidRPr="00A52AB8">
              <w:rPr>
                <w:color w:val="000000" w:themeColor="text1"/>
                <w:sz w:val="20"/>
                <w:szCs w:val="20"/>
              </w:rPr>
              <w:tab/>
              <w:t>if( mpdu_override_2d_</w:t>
            </w:r>
            <w:r w:rsidR="00433448" w:rsidRPr="00A52AB8">
              <w:rPr>
                <w:color w:val="000000" w:themeColor="text1"/>
                <w:sz w:val="20"/>
                <w:szCs w:val="20"/>
              </w:rPr>
              <w:t>params</w:t>
            </w:r>
            <w:r w:rsidRPr="00A52AB8">
              <w:rPr>
                <w:color w:val="000000" w:themeColor="text1"/>
                <w:sz w:val="20"/>
                <w:szCs w:val="20"/>
              </w:rPr>
              <w:t>_flag</w:t>
            </w:r>
            <w:r w:rsidR="004A292F" w:rsidRPr="00A52AB8">
              <w:rPr>
                <w:color w:val="000000" w:themeColor="text1"/>
                <w:sz w:val="20"/>
                <w:szCs w:val="20"/>
              </w:rPr>
              <w:t>[ </w:t>
            </w:r>
            <w:r w:rsidR="00632FA7" w:rsidRPr="00A52AB8">
              <w:rPr>
                <w:color w:val="000000" w:themeColor="text1"/>
                <w:sz w:val="20"/>
                <w:szCs w:val="20"/>
              </w:rPr>
              <w:t>tileID</w:t>
            </w:r>
            <w:r w:rsidR="004A292F" w:rsidRPr="00A52AB8">
              <w:rPr>
                <w:color w:val="000000" w:themeColor="text1"/>
                <w:sz w:val="20"/>
                <w:szCs w:val="20"/>
              </w:rPr>
              <w:t> ]</w:t>
            </w:r>
            <w:r w:rsidR="001F3C1E" w:rsidRPr="00A52AB8">
              <w:rPr>
                <w:color w:val="000000" w:themeColor="text1"/>
                <w:sz w:val="20"/>
                <w:szCs w:val="20"/>
              </w:rPr>
              <w:t>[ patchIdx ]</w:t>
            </w:r>
            <w:r w:rsidRPr="00A52AB8">
              <w:rPr>
                <w:color w:val="000000" w:themeColor="text1"/>
                <w:sz w:val="20"/>
                <w:szCs w:val="20"/>
              </w:rPr>
              <w:t> )</w:t>
            </w:r>
            <w:r w:rsidR="00900B12" w:rsidRPr="00A52AB8">
              <w:rPr>
                <w:color w:val="000000" w:themeColor="text1"/>
                <w:sz w:val="20"/>
                <w:szCs w:val="20"/>
              </w:rPr>
              <w:t> </w:t>
            </w:r>
            <w:r w:rsidRPr="00A52AB8">
              <w:rPr>
                <w:color w:val="000000" w:themeColor="text1"/>
                <w:sz w:val="20"/>
                <w:szCs w:val="20"/>
              </w:rPr>
              <w:t>{</w:t>
            </w:r>
          </w:p>
        </w:tc>
        <w:tc>
          <w:tcPr>
            <w:tcW w:w="1331" w:type="dxa"/>
          </w:tcPr>
          <w:p w14:paraId="148BC197" w14:textId="77777777" w:rsidR="00ED6B2D" w:rsidRPr="00A52AB8" w:rsidRDefault="00ED6B2D">
            <w:pPr>
              <w:spacing w:after="0" w:line="276" w:lineRule="auto"/>
              <w:jc w:val="center"/>
              <w:rPr>
                <w:sz w:val="20"/>
                <w:szCs w:val="20"/>
              </w:rPr>
            </w:pPr>
          </w:p>
        </w:tc>
      </w:tr>
      <w:tr w:rsidR="00F66E19" w:rsidRPr="00A52AB8" w14:paraId="05E61096" w14:textId="77777777" w:rsidTr="004A7026">
        <w:tc>
          <w:tcPr>
            <w:tcW w:w="8411" w:type="dxa"/>
          </w:tcPr>
          <w:p w14:paraId="05BDE31D" w14:textId="77777777" w:rsidR="00ED6B2D" w:rsidRPr="00A52AB8" w:rsidRDefault="00ED6B2D">
            <w:pPr>
              <w:spacing w:after="0" w:line="276" w:lineRule="auto"/>
              <w:rPr>
                <w:color w:val="000000" w:themeColor="text1"/>
                <w:sz w:val="20"/>
                <w:szCs w:val="20"/>
                <w:lang w:eastAsia="ja-JP"/>
              </w:rPr>
            </w:pPr>
            <w:r w:rsidRPr="00A52AB8">
              <w:rPr>
                <w:b/>
                <w:color w:val="000000" w:themeColor="text1"/>
                <w:sz w:val="20"/>
                <w:szCs w:val="20"/>
              </w:rPr>
              <w:tab/>
            </w:r>
            <w:r w:rsidRPr="00A52AB8">
              <w:rPr>
                <w:b/>
                <w:color w:val="000000" w:themeColor="text1"/>
                <w:sz w:val="20"/>
                <w:szCs w:val="20"/>
              </w:rPr>
              <w:tab/>
              <w:t>mpdu_2d_</w:t>
            </w:r>
            <w:r w:rsidR="00627BE0" w:rsidRPr="00A52AB8">
              <w:rPr>
                <w:b/>
                <w:color w:val="000000" w:themeColor="text1"/>
                <w:sz w:val="20"/>
                <w:szCs w:val="20"/>
              </w:rPr>
              <w:t>pos</w:t>
            </w:r>
            <w:r w:rsidRPr="00A52AB8">
              <w:rPr>
                <w:b/>
                <w:color w:val="000000" w:themeColor="text1"/>
                <w:sz w:val="20"/>
                <w:szCs w:val="20"/>
              </w:rPr>
              <w:t>_x</w:t>
            </w:r>
            <w:r w:rsidR="004A292F" w:rsidRPr="00A52AB8">
              <w:rPr>
                <w:color w:val="000000" w:themeColor="text1"/>
                <w:sz w:val="20"/>
                <w:szCs w:val="20"/>
              </w:rPr>
              <w:t>[ </w:t>
            </w:r>
            <w:r w:rsidR="00632FA7" w:rsidRPr="00A52AB8">
              <w:rPr>
                <w:color w:val="000000" w:themeColor="text1"/>
                <w:sz w:val="20"/>
                <w:szCs w:val="20"/>
              </w:rPr>
              <w:t>tileID</w:t>
            </w:r>
            <w:r w:rsidR="004A292F" w:rsidRPr="00A52AB8">
              <w:rPr>
                <w:color w:val="000000" w:themeColor="text1"/>
                <w:sz w:val="20"/>
                <w:szCs w:val="20"/>
              </w:rPr>
              <w:t> ]</w:t>
            </w:r>
            <w:r w:rsidR="001F3C1E" w:rsidRPr="00A52AB8">
              <w:rPr>
                <w:color w:val="000000" w:themeColor="text1"/>
                <w:sz w:val="20"/>
                <w:szCs w:val="20"/>
              </w:rPr>
              <w:t>[ patchIdx ]</w:t>
            </w:r>
          </w:p>
        </w:tc>
        <w:tc>
          <w:tcPr>
            <w:tcW w:w="1331" w:type="dxa"/>
          </w:tcPr>
          <w:p w14:paraId="60BE76F2" w14:textId="77777777" w:rsidR="00ED6B2D" w:rsidRPr="00A52AB8" w:rsidRDefault="00ED6B2D">
            <w:pPr>
              <w:spacing w:after="0" w:line="276" w:lineRule="auto"/>
              <w:jc w:val="center"/>
              <w:rPr>
                <w:sz w:val="20"/>
                <w:szCs w:val="20"/>
              </w:rPr>
            </w:pPr>
            <w:r w:rsidRPr="00A52AB8">
              <w:rPr>
                <w:color w:val="000000" w:themeColor="text1"/>
                <w:sz w:val="20"/>
                <w:szCs w:val="20"/>
              </w:rPr>
              <w:t>se(v)</w:t>
            </w:r>
          </w:p>
        </w:tc>
      </w:tr>
      <w:tr w:rsidR="00F66E19" w:rsidRPr="00A52AB8" w14:paraId="414C06BD" w14:textId="77777777" w:rsidTr="004A7026">
        <w:tc>
          <w:tcPr>
            <w:tcW w:w="8411" w:type="dxa"/>
          </w:tcPr>
          <w:p w14:paraId="661708D5" w14:textId="77777777" w:rsidR="00ED6B2D" w:rsidRPr="00A52AB8" w:rsidRDefault="00ED6B2D">
            <w:pPr>
              <w:spacing w:after="0" w:line="276" w:lineRule="auto"/>
              <w:rPr>
                <w:color w:val="000000" w:themeColor="text1"/>
                <w:sz w:val="20"/>
                <w:szCs w:val="20"/>
              </w:rPr>
            </w:pPr>
            <w:r w:rsidRPr="00A52AB8">
              <w:rPr>
                <w:b/>
                <w:color w:val="000000" w:themeColor="text1"/>
                <w:sz w:val="20"/>
                <w:szCs w:val="20"/>
              </w:rPr>
              <w:tab/>
            </w:r>
            <w:r w:rsidRPr="00A52AB8">
              <w:rPr>
                <w:b/>
                <w:color w:val="000000" w:themeColor="text1"/>
                <w:sz w:val="20"/>
                <w:szCs w:val="20"/>
              </w:rPr>
              <w:tab/>
              <w:t>mpdu_2d_</w:t>
            </w:r>
            <w:r w:rsidR="00627BE0" w:rsidRPr="00A52AB8">
              <w:rPr>
                <w:b/>
                <w:color w:val="000000" w:themeColor="text1"/>
                <w:sz w:val="20"/>
                <w:szCs w:val="20"/>
              </w:rPr>
              <w:t>pos</w:t>
            </w:r>
            <w:r w:rsidRPr="00A52AB8">
              <w:rPr>
                <w:b/>
                <w:color w:val="000000" w:themeColor="text1"/>
                <w:sz w:val="20"/>
                <w:szCs w:val="20"/>
              </w:rPr>
              <w:t>_y</w:t>
            </w:r>
            <w:r w:rsidR="004A292F" w:rsidRPr="00A52AB8">
              <w:rPr>
                <w:color w:val="000000" w:themeColor="text1"/>
                <w:sz w:val="20"/>
                <w:szCs w:val="20"/>
              </w:rPr>
              <w:t>[ </w:t>
            </w:r>
            <w:r w:rsidR="00632FA7" w:rsidRPr="00A52AB8">
              <w:rPr>
                <w:color w:val="000000" w:themeColor="text1"/>
                <w:sz w:val="20"/>
                <w:szCs w:val="20"/>
              </w:rPr>
              <w:t>tileID</w:t>
            </w:r>
            <w:r w:rsidR="004A292F" w:rsidRPr="00A52AB8">
              <w:rPr>
                <w:color w:val="000000" w:themeColor="text1"/>
                <w:sz w:val="20"/>
                <w:szCs w:val="20"/>
              </w:rPr>
              <w:t> ]</w:t>
            </w:r>
            <w:r w:rsidR="001F3C1E" w:rsidRPr="00A52AB8">
              <w:rPr>
                <w:color w:val="000000" w:themeColor="text1"/>
                <w:sz w:val="20"/>
                <w:szCs w:val="20"/>
              </w:rPr>
              <w:t>[ patchIdx ]</w:t>
            </w:r>
          </w:p>
        </w:tc>
        <w:tc>
          <w:tcPr>
            <w:tcW w:w="1331" w:type="dxa"/>
          </w:tcPr>
          <w:p w14:paraId="1CBAB204" w14:textId="77777777" w:rsidR="00ED6B2D" w:rsidRPr="00A52AB8" w:rsidRDefault="00ED6B2D">
            <w:pPr>
              <w:spacing w:after="0" w:line="276" w:lineRule="auto"/>
              <w:jc w:val="center"/>
              <w:rPr>
                <w:sz w:val="20"/>
                <w:szCs w:val="20"/>
              </w:rPr>
            </w:pPr>
            <w:r w:rsidRPr="00A52AB8">
              <w:rPr>
                <w:color w:val="000000" w:themeColor="text1"/>
                <w:sz w:val="20"/>
                <w:szCs w:val="20"/>
              </w:rPr>
              <w:t>se(v)</w:t>
            </w:r>
          </w:p>
        </w:tc>
      </w:tr>
      <w:tr w:rsidR="00F66E19" w:rsidRPr="00A52AB8" w14:paraId="5BA31908" w14:textId="77777777" w:rsidTr="004A7026">
        <w:tc>
          <w:tcPr>
            <w:tcW w:w="8411" w:type="dxa"/>
          </w:tcPr>
          <w:p w14:paraId="1CAB5ED9" w14:textId="77777777" w:rsidR="00ED6B2D" w:rsidRPr="00A52AB8" w:rsidRDefault="00ED6B2D">
            <w:pPr>
              <w:spacing w:after="0" w:line="276" w:lineRule="auto"/>
              <w:rPr>
                <w:color w:val="000000" w:themeColor="text1"/>
                <w:sz w:val="20"/>
                <w:szCs w:val="20"/>
              </w:rPr>
            </w:pPr>
            <w:r w:rsidRPr="00A52AB8">
              <w:rPr>
                <w:color w:val="000000" w:themeColor="text1"/>
                <w:sz w:val="20"/>
                <w:szCs w:val="20"/>
              </w:rPr>
              <w:tab/>
            </w:r>
            <w:r w:rsidRPr="00A52AB8">
              <w:rPr>
                <w:b/>
                <w:color w:val="000000" w:themeColor="text1"/>
                <w:sz w:val="20"/>
                <w:szCs w:val="20"/>
              </w:rPr>
              <w:tab/>
              <w:t>mpdu_2d_delta_size_x</w:t>
            </w:r>
            <w:r w:rsidR="004A292F" w:rsidRPr="00A52AB8">
              <w:rPr>
                <w:color w:val="000000" w:themeColor="text1"/>
                <w:sz w:val="20"/>
                <w:szCs w:val="20"/>
              </w:rPr>
              <w:t>[ </w:t>
            </w:r>
            <w:r w:rsidR="00632FA7" w:rsidRPr="00A52AB8">
              <w:rPr>
                <w:color w:val="000000" w:themeColor="text1"/>
                <w:sz w:val="20"/>
                <w:szCs w:val="20"/>
              </w:rPr>
              <w:t>tileID</w:t>
            </w:r>
            <w:r w:rsidR="004A292F" w:rsidRPr="00A52AB8">
              <w:rPr>
                <w:color w:val="000000" w:themeColor="text1"/>
                <w:sz w:val="20"/>
                <w:szCs w:val="20"/>
              </w:rPr>
              <w:t> ]</w:t>
            </w:r>
            <w:r w:rsidR="001F3C1E" w:rsidRPr="00A52AB8">
              <w:rPr>
                <w:color w:val="000000" w:themeColor="text1"/>
                <w:sz w:val="20"/>
                <w:szCs w:val="20"/>
              </w:rPr>
              <w:t>[ patchIdx ]</w:t>
            </w:r>
          </w:p>
        </w:tc>
        <w:tc>
          <w:tcPr>
            <w:tcW w:w="1331" w:type="dxa"/>
          </w:tcPr>
          <w:p w14:paraId="75626AAB" w14:textId="77777777" w:rsidR="00ED6B2D" w:rsidRPr="00A52AB8" w:rsidRDefault="00ED6B2D">
            <w:pPr>
              <w:spacing w:after="0" w:line="276" w:lineRule="auto"/>
              <w:jc w:val="center"/>
              <w:rPr>
                <w:sz w:val="20"/>
                <w:szCs w:val="20"/>
              </w:rPr>
            </w:pPr>
            <w:r w:rsidRPr="00A52AB8">
              <w:rPr>
                <w:color w:val="000000" w:themeColor="text1"/>
                <w:sz w:val="20"/>
                <w:szCs w:val="20"/>
              </w:rPr>
              <w:t>se(v)</w:t>
            </w:r>
          </w:p>
        </w:tc>
      </w:tr>
      <w:tr w:rsidR="00F66E19" w:rsidRPr="00A52AB8" w14:paraId="16E64FF9" w14:textId="77777777" w:rsidTr="004A7026">
        <w:tc>
          <w:tcPr>
            <w:tcW w:w="8411" w:type="dxa"/>
          </w:tcPr>
          <w:p w14:paraId="1B042BF0" w14:textId="77777777" w:rsidR="00ED6B2D" w:rsidRPr="00A52AB8" w:rsidRDefault="00ED6B2D">
            <w:pPr>
              <w:spacing w:after="0" w:line="276" w:lineRule="auto"/>
              <w:rPr>
                <w:color w:val="000000" w:themeColor="text1"/>
                <w:sz w:val="20"/>
                <w:szCs w:val="20"/>
                <w:lang w:eastAsia="ja-JP"/>
              </w:rPr>
            </w:pPr>
            <w:r w:rsidRPr="00A52AB8">
              <w:rPr>
                <w:b/>
                <w:color w:val="000000" w:themeColor="text1"/>
                <w:sz w:val="20"/>
                <w:szCs w:val="20"/>
              </w:rPr>
              <w:tab/>
            </w:r>
            <w:r w:rsidRPr="00A52AB8">
              <w:rPr>
                <w:color w:val="000000" w:themeColor="text1"/>
                <w:sz w:val="20"/>
                <w:szCs w:val="20"/>
              </w:rPr>
              <w:tab/>
            </w:r>
            <w:r w:rsidRPr="00A52AB8">
              <w:rPr>
                <w:b/>
                <w:color w:val="000000" w:themeColor="text1"/>
                <w:sz w:val="20"/>
                <w:szCs w:val="20"/>
              </w:rPr>
              <w:t>mpdu_2d_delta_size_y</w:t>
            </w:r>
            <w:r w:rsidR="004A292F" w:rsidRPr="00A52AB8">
              <w:rPr>
                <w:color w:val="000000" w:themeColor="text1"/>
                <w:sz w:val="20"/>
                <w:szCs w:val="20"/>
              </w:rPr>
              <w:t>[ </w:t>
            </w:r>
            <w:r w:rsidR="00632FA7" w:rsidRPr="00A52AB8">
              <w:rPr>
                <w:color w:val="000000" w:themeColor="text1"/>
                <w:sz w:val="20"/>
                <w:szCs w:val="20"/>
              </w:rPr>
              <w:t>tileID</w:t>
            </w:r>
            <w:r w:rsidR="004A292F" w:rsidRPr="00A52AB8">
              <w:rPr>
                <w:color w:val="000000" w:themeColor="text1"/>
                <w:sz w:val="20"/>
                <w:szCs w:val="20"/>
              </w:rPr>
              <w:t> ]</w:t>
            </w:r>
            <w:r w:rsidR="001F3C1E" w:rsidRPr="00A52AB8">
              <w:rPr>
                <w:color w:val="000000" w:themeColor="text1"/>
                <w:sz w:val="20"/>
                <w:szCs w:val="20"/>
              </w:rPr>
              <w:t>[ patchIdx ]</w:t>
            </w:r>
          </w:p>
        </w:tc>
        <w:tc>
          <w:tcPr>
            <w:tcW w:w="1331" w:type="dxa"/>
          </w:tcPr>
          <w:p w14:paraId="0A165C79" w14:textId="77777777" w:rsidR="00ED6B2D" w:rsidRPr="00A52AB8" w:rsidRDefault="00ED6B2D">
            <w:pPr>
              <w:spacing w:after="0" w:line="276" w:lineRule="auto"/>
              <w:jc w:val="center"/>
              <w:rPr>
                <w:sz w:val="20"/>
                <w:szCs w:val="20"/>
              </w:rPr>
            </w:pPr>
            <w:r w:rsidRPr="00A52AB8">
              <w:rPr>
                <w:color w:val="000000" w:themeColor="text1"/>
                <w:sz w:val="20"/>
                <w:szCs w:val="20"/>
              </w:rPr>
              <w:t>se(v)</w:t>
            </w:r>
          </w:p>
        </w:tc>
      </w:tr>
      <w:tr w:rsidR="00F66E19" w:rsidRPr="00A52AB8" w14:paraId="4E1D021B" w14:textId="77777777" w:rsidTr="004A7026">
        <w:tc>
          <w:tcPr>
            <w:tcW w:w="8411" w:type="dxa"/>
          </w:tcPr>
          <w:p w14:paraId="1C96B7E9" w14:textId="77777777" w:rsidR="00ED6B2D" w:rsidRPr="00A52AB8" w:rsidRDefault="00ED6B2D">
            <w:pPr>
              <w:spacing w:after="0" w:line="276" w:lineRule="auto"/>
              <w:rPr>
                <w:color w:val="000000" w:themeColor="text1"/>
                <w:sz w:val="20"/>
                <w:szCs w:val="20"/>
              </w:rPr>
            </w:pPr>
            <w:r w:rsidRPr="00A52AB8">
              <w:rPr>
                <w:color w:val="000000" w:themeColor="text1"/>
                <w:sz w:val="20"/>
                <w:szCs w:val="20"/>
              </w:rPr>
              <w:tab/>
            </w:r>
            <w:r w:rsidRPr="00A52AB8">
              <w:rPr>
                <w:color w:val="000000" w:themeColor="text1"/>
                <w:sz w:val="20"/>
                <w:szCs w:val="20"/>
              </w:rPr>
              <w:tab/>
              <w:t>if( </w:t>
            </w:r>
            <w:r w:rsidR="00A77E95" w:rsidRPr="00A52AB8">
              <w:rPr>
                <w:color w:val="000000" w:themeColor="text1"/>
                <w:sz w:val="20"/>
                <w:szCs w:val="20"/>
              </w:rPr>
              <w:t>a</w:t>
            </w:r>
            <w:r w:rsidRPr="00A52AB8">
              <w:rPr>
                <w:color w:val="000000" w:themeColor="text1"/>
                <w:sz w:val="20"/>
                <w:szCs w:val="20"/>
              </w:rPr>
              <w:t>sps_</w:t>
            </w:r>
            <w:r w:rsidR="00D375CC" w:rsidRPr="00A52AB8">
              <w:rPr>
                <w:color w:val="000000" w:themeColor="text1"/>
                <w:sz w:val="20"/>
                <w:szCs w:val="20"/>
              </w:rPr>
              <w:t>plr</w:t>
            </w:r>
            <w:r w:rsidRPr="00A52AB8">
              <w:rPr>
                <w:color w:val="000000" w:themeColor="text1"/>
                <w:sz w:val="20"/>
                <w:szCs w:val="20"/>
              </w:rPr>
              <w:t>_enabled_flag )</w:t>
            </w:r>
          </w:p>
        </w:tc>
        <w:tc>
          <w:tcPr>
            <w:tcW w:w="1331" w:type="dxa"/>
          </w:tcPr>
          <w:p w14:paraId="5D1A1ED0" w14:textId="77777777" w:rsidR="00ED6B2D" w:rsidRPr="00A52AB8" w:rsidRDefault="00ED6B2D">
            <w:pPr>
              <w:spacing w:after="0" w:line="276" w:lineRule="auto"/>
              <w:jc w:val="center"/>
              <w:rPr>
                <w:color w:val="000000" w:themeColor="text1"/>
                <w:sz w:val="20"/>
                <w:szCs w:val="20"/>
              </w:rPr>
            </w:pPr>
          </w:p>
        </w:tc>
      </w:tr>
      <w:tr w:rsidR="00F66E19" w:rsidRPr="00A52AB8" w14:paraId="35DE3A0D" w14:textId="77777777" w:rsidTr="004A7026">
        <w:tc>
          <w:tcPr>
            <w:tcW w:w="8411" w:type="dxa"/>
          </w:tcPr>
          <w:p w14:paraId="49E698E7" w14:textId="695664E6" w:rsidR="00ED6B2D" w:rsidRPr="00A52AB8" w:rsidRDefault="00ED6B2D">
            <w:pPr>
              <w:spacing w:after="0" w:line="276" w:lineRule="auto"/>
              <w:rPr>
                <w:color w:val="000000" w:themeColor="text1"/>
                <w:sz w:val="20"/>
                <w:szCs w:val="20"/>
              </w:rPr>
            </w:pPr>
            <w:r w:rsidRPr="00A52AB8">
              <w:rPr>
                <w:color w:val="000000" w:themeColor="text1"/>
                <w:sz w:val="20"/>
                <w:szCs w:val="20"/>
              </w:rPr>
              <w:lastRenderedPageBreak/>
              <w:tab/>
            </w:r>
            <w:r w:rsidRPr="00A52AB8">
              <w:rPr>
                <w:color w:val="000000" w:themeColor="text1"/>
                <w:sz w:val="20"/>
                <w:szCs w:val="20"/>
              </w:rPr>
              <w:tab/>
            </w:r>
            <w:r w:rsidRPr="00A52AB8">
              <w:rPr>
                <w:color w:val="000000" w:themeColor="text1"/>
                <w:sz w:val="20"/>
                <w:szCs w:val="20"/>
              </w:rPr>
              <w:tab/>
            </w:r>
            <w:r w:rsidR="00490929" w:rsidRPr="00A52AB8">
              <w:rPr>
                <w:color w:val="000000" w:themeColor="text1"/>
                <w:sz w:val="20"/>
                <w:szCs w:val="20"/>
              </w:rPr>
              <w:t>O</w:t>
            </w:r>
            <w:r w:rsidR="00914B09" w:rsidRPr="00A52AB8">
              <w:rPr>
                <w:color w:val="000000" w:themeColor="text1"/>
                <w:sz w:val="20"/>
                <w:szCs w:val="20"/>
              </w:rPr>
              <w:t>verridePlrFlag</w:t>
            </w:r>
            <w:r w:rsidR="0023721F" w:rsidRPr="00A52AB8">
              <w:rPr>
                <w:color w:val="000000" w:themeColor="text1"/>
                <w:sz w:val="20"/>
                <w:szCs w:val="20"/>
                <w:lang w:eastAsia="ja-JP"/>
              </w:rPr>
              <w:t> </w:t>
            </w:r>
            <w:r w:rsidR="00D47707" w:rsidRPr="00A52AB8">
              <w:rPr>
                <w:color w:val="000000" w:themeColor="text1"/>
                <w:sz w:val="20"/>
                <w:szCs w:val="20"/>
                <w:lang w:eastAsia="ja-JP"/>
              </w:rPr>
              <w:t>= </w:t>
            </w:r>
            <w:r w:rsidRPr="00A52AB8">
              <w:rPr>
                <w:color w:val="000000" w:themeColor="text1"/>
                <w:sz w:val="20"/>
                <w:szCs w:val="20"/>
                <w:lang w:eastAsia="ja-JP"/>
              </w:rPr>
              <w:t>1</w:t>
            </w:r>
          </w:p>
        </w:tc>
        <w:tc>
          <w:tcPr>
            <w:tcW w:w="1331" w:type="dxa"/>
          </w:tcPr>
          <w:p w14:paraId="2E84C09E" w14:textId="77777777" w:rsidR="00ED6B2D" w:rsidRPr="00A52AB8" w:rsidRDefault="00ED6B2D">
            <w:pPr>
              <w:spacing w:after="0" w:line="276" w:lineRule="auto"/>
              <w:jc w:val="center"/>
              <w:rPr>
                <w:color w:val="000000" w:themeColor="text1"/>
                <w:sz w:val="20"/>
                <w:szCs w:val="20"/>
              </w:rPr>
            </w:pPr>
          </w:p>
        </w:tc>
      </w:tr>
      <w:tr w:rsidR="00F66E19" w:rsidRPr="00A52AB8" w14:paraId="59FC241A" w14:textId="77777777" w:rsidTr="004A7026">
        <w:tc>
          <w:tcPr>
            <w:tcW w:w="8411" w:type="dxa"/>
          </w:tcPr>
          <w:p w14:paraId="2965D798" w14:textId="3269B894" w:rsidR="00ED6B2D" w:rsidRPr="00A52AB8" w:rsidRDefault="00ED6B2D">
            <w:pPr>
              <w:spacing w:after="0" w:line="276" w:lineRule="auto"/>
              <w:rPr>
                <w:color w:val="000000" w:themeColor="text1"/>
                <w:sz w:val="20"/>
                <w:szCs w:val="20"/>
              </w:rPr>
            </w:pPr>
            <w:r w:rsidRPr="00A52AB8">
              <w:rPr>
                <w:color w:val="000000" w:themeColor="text1"/>
                <w:sz w:val="20"/>
                <w:szCs w:val="20"/>
              </w:rPr>
              <w:tab/>
            </w:r>
            <w:r w:rsidR="0023721F" w:rsidRPr="00A52AB8">
              <w:rPr>
                <w:color w:val="000000" w:themeColor="text1"/>
                <w:sz w:val="20"/>
                <w:szCs w:val="20"/>
              </w:rPr>
              <w:t>} else {</w:t>
            </w:r>
          </w:p>
        </w:tc>
        <w:tc>
          <w:tcPr>
            <w:tcW w:w="1331" w:type="dxa"/>
          </w:tcPr>
          <w:p w14:paraId="430CB803" w14:textId="77777777" w:rsidR="00ED6B2D" w:rsidRPr="00A52AB8" w:rsidRDefault="00ED6B2D" w:rsidP="00A252B5">
            <w:pPr>
              <w:spacing w:after="0" w:line="276" w:lineRule="auto"/>
              <w:jc w:val="center"/>
              <w:rPr>
                <w:color w:val="000000" w:themeColor="text1"/>
                <w:sz w:val="20"/>
                <w:szCs w:val="20"/>
              </w:rPr>
            </w:pPr>
          </w:p>
        </w:tc>
      </w:tr>
      <w:tr w:rsidR="00F66E19" w:rsidRPr="00A52AB8" w14:paraId="08D67206" w14:textId="77777777" w:rsidTr="004A7026">
        <w:tc>
          <w:tcPr>
            <w:tcW w:w="8411" w:type="dxa"/>
          </w:tcPr>
          <w:p w14:paraId="3901F18E" w14:textId="77777777" w:rsidR="00ED6B2D" w:rsidRPr="00A52AB8" w:rsidRDefault="00ED6B2D">
            <w:pPr>
              <w:spacing w:after="0" w:line="276" w:lineRule="auto"/>
              <w:rPr>
                <w:color w:val="000000" w:themeColor="text1"/>
                <w:sz w:val="20"/>
                <w:szCs w:val="20"/>
              </w:rPr>
            </w:pPr>
            <w:r w:rsidRPr="00A52AB8">
              <w:rPr>
                <w:color w:val="000000" w:themeColor="text1"/>
                <w:sz w:val="20"/>
                <w:szCs w:val="20"/>
              </w:rPr>
              <w:tab/>
            </w:r>
            <w:r w:rsidRPr="00A52AB8">
              <w:rPr>
                <w:color w:val="000000" w:themeColor="text1"/>
                <w:sz w:val="20"/>
                <w:szCs w:val="20"/>
              </w:rPr>
              <w:tab/>
            </w:r>
            <w:r w:rsidRPr="00A52AB8">
              <w:rPr>
                <w:b/>
                <w:color w:val="000000" w:themeColor="text1"/>
                <w:sz w:val="20"/>
                <w:szCs w:val="20"/>
              </w:rPr>
              <w:t>mpdu_override_3d_</w:t>
            </w:r>
            <w:r w:rsidR="007D7AA4" w:rsidRPr="00A52AB8">
              <w:rPr>
                <w:b/>
                <w:color w:val="000000" w:themeColor="text1"/>
                <w:sz w:val="20"/>
                <w:szCs w:val="20"/>
              </w:rPr>
              <w:t>params</w:t>
            </w:r>
            <w:r w:rsidRPr="00A52AB8">
              <w:rPr>
                <w:b/>
                <w:color w:val="000000" w:themeColor="text1"/>
                <w:sz w:val="20"/>
                <w:szCs w:val="20"/>
              </w:rPr>
              <w:t>_flag</w:t>
            </w:r>
            <w:r w:rsidR="004A292F" w:rsidRPr="00A52AB8">
              <w:rPr>
                <w:color w:val="000000" w:themeColor="text1"/>
                <w:sz w:val="20"/>
                <w:szCs w:val="20"/>
              </w:rPr>
              <w:t>[ </w:t>
            </w:r>
            <w:r w:rsidR="00632FA7" w:rsidRPr="00A52AB8">
              <w:rPr>
                <w:color w:val="000000" w:themeColor="text1"/>
                <w:sz w:val="20"/>
                <w:szCs w:val="20"/>
              </w:rPr>
              <w:t>tileID</w:t>
            </w:r>
            <w:r w:rsidR="004A292F" w:rsidRPr="00A52AB8">
              <w:rPr>
                <w:color w:val="000000" w:themeColor="text1"/>
                <w:sz w:val="20"/>
                <w:szCs w:val="20"/>
              </w:rPr>
              <w:t> ]</w:t>
            </w:r>
            <w:r w:rsidR="001F3C1E" w:rsidRPr="00A52AB8">
              <w:rPr>
                <w:color w:val="000000" w:themeColor="text1"/>
                <w:sz w:val="20"/>
                <w:szCs w:val="20"/>
              </w:rPr>
              <w:t>[ patchIdx ]</w:t>
            </w:r>
          </w:p>
        </w:tc>
        <w:tc>
          <w:tcPr>
            <w:tcW w:w="1331" w:type="dxa"/>
          </w:tcPr>
          <w:p w14:paraId="1A9CB4F2" w14:textId="77777777" w:rsidR="00ED6B2D" w:rsidRPr="00A52AB8" w:rsidRDefault="00ED6B2D">
            <w:pPr>
              <w:spacing w:after="0" w:line="276" w:lineRule="auto"/>
              <w:jc w:val="center"/>
              <w:rPr>
                <w:sz w:val="20"/>
                <w:szCs w:val="20"/>
              </w:rPr>
            </w:pPr>
            <w:r w:rsidRPr="00A52AB8">
              <w:rPr>
                <w:color w:val="000000" w:themeColor="text1"/>
                <w:sz w:val="20"/>
                <w:szCs w:val="20"/>
              </w:rPr>
              <w:t>u(1)</w:t>
            </w:r>
          </w:p>
        </w:tc>
      </w:tr>
      <w:tr w:rsidR="00F66E19" w:rsidRPr="00A52AB8" w14:paraId="6135C1C9" w14:textId="77777777" w:rsidTr="004A7026">
        <w:tc>
          <w:tcPr>
            <w:tcW w:w="8411" w:type="dxa"/>
          </w:tcPr>
          <w:p w14:paraId="25E0F5F2" w14:textId="1CDAC442" w:rsidR="00ED6B2D" w:rsidRPr="00A52AB8" w:rsidRDefault="00ED6B2D">
            <w:pPr>
              <w:spacing w:after="0" w:line="276" w:lineRule="auto"/>
              <w:rPr>
                <w:color w:val="000000" w:themeColor="text1"/>
                <w:sz w:val="20"/>
                <w:szCs w:val="20"/>
              </w:rPr>
            </w:pPr>
            <w:r w:rsidRPr="00A52AB8">
              <w:rPr>
                <w:color w:val="000000" w:themeColor="text1"/>
                <w:sz w:val="20"/>
                <w:szCs w:val="20"/>
              </w:rPr>
              <w:tab/>
            </w:r>
            <w:r w:rsidRPr="00A52AB8">
              <w:rPr>
                <w:color w:val="000000" w:themeColor="text1"/>
                <w:sz w:val="20"/>
                <w:szCs w:val="20"/>
              </w:rPr>
              <w:tab/>
              <w:t>if(mpdu_override_3d_</w:t>
            </w:r>
            <w:r w:rsidR="00433448" w:rsidRPr="00A52AB8">
              <w:rPr>
                <w:color w:val="000000" w:themeColor="text1"/>
                <w:sz w:val="20"/>
                <w:szCs w:val="20"/>
              </w:rPr>
              <w:t>params</w:t>
            </w:r>
            <w:r w:rsidRPr="00A52AB8">
              <w:rPr>
                <w:color w:val="000000" w:themeColor="text1"/>
                <w:sz w:val="20"/>
                <w:szCs w:val="20"/>
              </w:rPr>
              <w:t>_flag</w:t>
            </w:r>
            <w:r w:rsidR="004A292F" w:rsidRPr="00A52AB8">
              <w:rPr>
                <w:color w:val="000000" w:themeColor="text1"/>
                <w:sz w:val="20"/>
                <w:szCs w:val="20"/>
              </w:rPr>
              <w:t>[ </w:t>
            </w:r>
            <w:r w:rsidR="00632FA7" w:rsidRPr="00A52AB8">
              <w:rPr>
                <w:color w:val="000000" w:themeColor="text1"/>
                <w:sz w:val="20"/>
                <w:szCs w:val="20"/>
              </w:rPr>
              <w:t>tileID</w:t>
            </w:r>
            <w:r w:rsidR="004A292F" w:rsidRPr="00A52AB8">
              <w:rPr>
                <w:color w:val="000000" w:themeColor="text1"/>
                <w:sz w:val="20"/>
                <w:szCs w:val="20"/>
              </w:rPr>
              <w:t> ]</w:t>
            </w:r>
            <w:r w:rsidR="001F3C1E" w:rsidRPr="00A52AB8">
              <w:rPr>
                <w:color w:val="000000" w:themeColor="text1"/>
                <w:sz w:val="20"/>
                <w:szCs w:val="20"/>
              </w:rPr>
              <w:t>[ patchIdx ]</w:t>
            </w:r>
            <w:r w:rsidRPr="00A52AB8">
              <w:rPr>
                <w:color w:val="000000" w:themeColor="text1"/>
                <w:sz w:val="20"/>
                <w:szCs w:val="20"/>
                <w:lang w:eastAsia="ja-JP"/>
              </w:rPr>
              <w:t> </w:t>
            </w:r>
            <w:r w:rsidR="008F1F82" w:rsidRPr="00A52AB8">
              <w:rPr>
                <w:color w:val="000000" w:themeColor="text1"/>
                <w:sz w:val="20"/>
                <w:szCs w:val="20"/>
                <w:lang w:eastAsia="ja-JP"/>
              </w:rPr>
              <w:t>) {</w:t>
            </w:r>
          </w:p>
        </w:tc>
        <w:tc>
          <w:tcPr>
            <w:tcW w:w="1331" w:type="dxa"/>
          </w:tcPr>
          <w:p w14:paraId="42480D5F" w14:textId="77777777" w:rsidR="00ED6B2D" w:rsidRPr="00A52AB8" w:rsidRDefault="00ED6B2D">
            <w:pPr>
              <w:spacing w:after="0" w:line="276" w:lineRule="auto"/>
              <w:jc w:val="center"/>
              <w:rPr>
                <w:sz w:val="20"/>
                <w:szCs w:val="20"/>
              </w:rPr>
            </w:pPr>
          </w:p>
        </w:tc>
      </w:tr>
      <w:tr w:rsidR="00F66E19" w:rsidRPr="00A52AB8" w14:paraId="1071E3A9" w14:textId="77777777" w:rsidTr="004A7026">
        <w:tc>
          <w:tcPr>
            <w:tcW w:w="8411" w:type="dxa"/>
          </w:tcPr>
          <w:p w14:paraId="665838C6" w14:textId="77777777" w:rsidR="00ED6B2D" w:rsidRPr="00A52AB8" w:rsidRDefault="00ED6B2D">
            <w:pPr>
              <w:spacing w:after="0" w:line="276" w:lineRule="auto"/>
              <w:rPr>
                <w:color w:val="000000" w:themeColor="text1"/>
                <w:sz w:val="20"/>
                <w:szCs w:val="20"/>
                <w:lang w:eastAsia="ja-JP"/>
              </w:rPr>
            </w:pPr>
            <w:r w:rsidRPr="00A52AB8">
              <w:rPr>
                <w:color w:val="000000" w:themeColor="text1"/>
                <w:sz w:val="20"/>
                <w:szCs w:val="20"/>
              </w:rPr>
              <w:tab/>
            </w:r>
            <w:r w:rsidRPr="00A52AB8">
              <w:rPr>
                <w:color w:val="000000" w:themeColor="text1"/>
                <w:sz w:val="20"/>
                <w:szCs w:val="20"/>
              </w:rPr>
              <w:tab/>
            </w:r>
            <w:r w:rsidRPr="00A52AB8">
              <w:rPr>
                <w:color w:val="000000" w:themeColor="text1"/>
                <w:sz w:val="20"/>
                <w:szCs w:val="20"/>
              </w:rPr>
              <w:tab/>
            </w:r>
            <w:r w:rsidRPr="00A52AB8">
              <w:rPr>
                <w:b/>
                <w:color w:val="000000" w:themeColor="text1"/>
                <w:sz w:val="20"/>
                <w:szCs w:val="20"/>
              </w:rPr>
              <w:t>m</w:t>
            </w:r>
            <w:r w:rsidR="007356C4" w:rsidRPr="00A52AB8">
              <w:rPr>
                <w:b/>
                <w:color w:val="000000" w:themeColor="text1"/>
                <w:sz w:val="20"/>
                <w:szCs w:val="20"/>
              </w:rPr>
              <w:t>pdu_3d_offset_u</w:t>
            </w:r>
            <w:r w:rsidR="004A292F" w:rsidRPr="00A52AB8">
              <w:rPr>
                <w:color w:val="000000" w:themeColor="text1"/>
                <w:sz w:val="20"/>
                <w:szCs w:val="20"/>
              </w:rPr>
              <w:t>[ </w:t>
            </w:r>
            <w:r w:rsidR="00632FA7" w:rsidRPr="00A52AB8">
              <w:rPr>
                <w:color w:val="000000" w:themeColor="text1"/>
                <w:sz w:val="20"/>
                <w:szCs w:val="20"/>
              </w:rPr>
              <w:t>tileID</w:t>
            </w:r>
            <w:r w:rsidR="004A292F" w:rsidRPr="00A52AB8">
              <w:rPr>
                <w:color w:val="000000" w:themeColor="text1"/>
                <w:sz w:val="20"/>
                <w:szCs w:val="20"/>
              </w:rPr>
              <w:t>]</w:t>
            </w:r>
            <w:r w:rsidR="001F3C1E" w:rsidRPr="00A52AB8">
              <w:rPr>
                <w:color w:val="000000" w:themeColor="text1"/>
                <w:sz w:val="20"/>
                <w:szCs w:val="20"/>
              </w:rPr>
              <w:t>[ patchIdx ]</w:t>
            </w:r>
          </w:p>
        </w:tc>
        <w:tc>
          <w:tcPr>
            <w:tcW w:w="1331" w:type="dxa"/>
          </w:tcPr>
          <w:p w14:paraId="6186EE53" w14:textId="77777777" w:rsidR="00ED6B2D" w:rsidRPr="00A52AB8" w:rsidRDefault="00ED6B2D">
            <w:pPr>
              <w:spacing w:after="0" w:line="276" w:lineRule="auto"/>
              <w:jc w:val="center"/>
              <w:rPr>
                <w:sz w:val="20"/>
                <w:szCs w:val="20"/>
              </w:rPr>
            </w:pPr>
            <w:r w:rsidRPr="00A52AB8">
              <w:rPr>
                <w:color w:val="000000" w:themeColor="text1"/>
                <w:sz w:val="20"/>
                <w:szCs w:val="20"/>
              </w:rPr>
              <w:t>se(v)</w:t>
            </w:r>
          </w:p>
        </w:tc>
      </w:tr>
      <w:tr w:rsidR="00F66E19" w:rsidRPr="00A52AB8" w14:paraId="4EA38C27" w14:textId="77777777" w:rsidTr="004A7026">
        <w:tc>
          <w:tcPr>
            <w:tcW w:w="8411" w:type="dxa"/>
          </w:tcPr>
          <w:p w14:paraId="7C378762" w14:textId="77777777" w:rsidR="00ED6B2D" w:rsidRPr="00A52AB8" w:rsidRDefault="00ED6B2D">
            <w:pPr>
              <w:spacing w:after="0" w:line="276" w:lineRule="auto"/>
              <w:rPr>
                <w:color w:val="000000" w:themeColor="text1"/>
                <w:sz w:val="20"/>
                <w:szCs w:val="20"/>
                <w:lang w:eastAsia="ja-JP"/>
              </w:rPr>
            </w:pPr>
            <w:r w:rsidRPr="00A52AB8">
              <w:rPr>
                <w:color w:val="000000" w:themeColor="text1"/>
                <w:sz w:val="20"/>
                <w:szCs w:val="20"/>
              </w:rPr>
              <w:tab/>
            </w:r>
            <w:r w:rsidRPr="00A52AB8">
              <w:rPr>
                <w:color w:val="000000" w:themeColor="text1"/>
                <w:sz w:val="20"/>
                <w:szCs w:val="20"/>
              </w:rPr>
              <w:tab/>
            </w:r>
            <w:r w:rsidRPr="00A52AB8">
              <w:rPr>
                <w:color w:val="000000" w:themeColor="text1"/>
                <w:sz w:val="20"/>
                <w:szCs w:val="20"/>
              </w:rPr>
              <w:tab/>
            </w:r>
            <w:r w:rsidRPr="00A52AB8">
              <w:rPr>
                <w:b/>
                <w:color w:val="000000" w:themeColor="text1"/>
                <w:sz w:val="20"/>
                <w:szCs w:val="20"/>
              </w:rPr>
              <w:t>m</w:t>
            </w:r>
            <w:r w:rsidR="007356C4" w:rsidRPr="00A52AB8">
              <w:rPr>
                <w:b/>
                <w:color w:val="000000" w:themeColor="text1"/>
                <w:sz w:val="20"/>
                <w:szCs w:val="20"/>
              </w:rPr>
              <w:t>pdu_3d_offset_v</w:t>
            </w:r>
            <w:r w:rsidR="004A292F" w:rsidRPr="00A52AB8">
              <w:rPr>
                <w:color w:val="000000" w:themeColor="text1"/>
                <w:sz w:val="20"/>
                <w:szCs w:val="20"/>
              </w:rPr>
              <w:t>[ </w:t>
            </w:r>
            <w:r w:rsidR="00632FA7" w:rsidRPr="00A52AB8">
              <w:rPr>
                <w:color w:val="000000" w:themeColor="text1"/>
                <w:sz w:val="20"/>
                <w:szCs w:val="20"/>
              </w:rPr>
              <w:t>tileID</w:t>
            </w:r>
            <w:r w:rsidR="004A292F" w:rsidRPr="00A52AB8">
              <w:rPr>
                <w:color w:val="000000" w:themeColor="text1"/>
                <w:sz w:val="20"/>
                <w:szCs w:val="20"/>
              </w:rPr>
              <w:t> ]</w:t>
            </w:r>
            <w:r w:rsidR="001F3C1E" w:rsidRPr="00A52AB8">
              <w:rPr>
                <w:color w:val="000000" w:themeColor="text1"/>
                <w:sz w:val="20"/>
                <w:szCs w:val="20"/>
              </w:rPr>
              <w:t>[ patchIdx ]</w:t>
            </w:r>
          </w:p>
        </w:tc>
        <w:tc>
          <w:tcPr>
            <w:tcW w:w="1331" w:type="dxa"/>
          </w:tcPr>
          <w:p w14:paraId="7951B542" w14:textId="77777777" w:rsidR="00ED6B2D" w:rsidRPr="00A52AB8" w:rsidRDefault="00ED6B2D">
            <w:pPr>
              <w:spacing w:after="0" w:line="276" w:lineRule="auto"/>
              <w:jc w:val="center"/>
              <w:rPr>
                <w:sz w:val="20"/>
                <w:szCs w:val="20"/>
              </w:rPr>
            </w:pPr>
            <w:r w:rsidRPr="00A52AB8">
              <w:rPr>
                <w:color w:val="000000" w:themeColor="text1"/>
                <w:sz w:val="20"/>
                <w:szCs w:val="20"/>
              </w:rPr>
              <w:t>se(v)</w:t>
            </w:r>
          </w:p>
        </w:tc>
      </w:tr>
      <w:tr w:rsidR="00F66E19" w:rsidRPr="00A52AB8" w14:paraId="260B2BAB" w14:textId="77777777" w:rsidTr="004A7026">
        <w:tc>
          <w:tcPr>
            <w:tcW w:w="8411" w:type="dxa"/>
          </w:tcPr>
          <w:p w14:paraId="734492A6" w14:textId="77777777" w:rsidR="00ED6B2D" w:rsidRPr="00A52AB8" w:rsidRDefault="00ED6B2D">
            <w:pPr>
              <w:spacing w:after="0" w:line="276" w:lineRule="auto"/>
              <w:rPr>
                <w:b/>
                <w:color w:val="000000" w:themeColor="text1"/>
                <w:sz w:val="20"/>
                <w:szCs w:val="20"/>
              </w:rPr>
            </w:pPr>
            <w:r w:rsidRPr="00A52AB8">
              <w:rPr>
                <w:color w:val="000000" w:themeColor="text1"/>
                <w:sz w:val="20"/>
                <w:szCs w:val="20"/>
              </w:rPr>
              <w:tab/>
            </w:r>
            <w:r w:rsidRPr="00A52AB8">
              <w:rPr>
                <w:color w:val="000000" w:themeColor="text1"/>
                <w:sz w:val="20"/>
                <w:szCs w:val="20"/>
              </w:rPr>
              <w:tab/>
            </w:r>
            <w:r w:rsidRPr="00A52AB8">
              <w:rPr>
                <w:color w:val="000000" w:themeColor="text1"/>
                <w:sz w:val="20"/>
                <w:szCs w:val="20"/>
              </w:rPr>
              <w:tab/>
            </w:r>
            <w:r w:rsidRPr="00A52AB8">
              <w:rPr>
                <w:b/>
                <w:color w:val="000000" w:themeColor="text1"/>
                <w:sz w:val="20"/>
                <w:szCs w:val="20"/>
              </w:rPr>
              <w:t>m</w:t>
            </w:r>
            <w:r w:rsidR="007356C4" w:rsidRPr="00A52AB8">
              <w:rPr>
                <w:b/>
                <w:color w:val="000000" w:themeColor="text1"/>
                <w:sz w:val="20"/>
                <w:szCs w:val="20"/>
              </w:rPr>
              <w:t>pdu_3d_offset_d</w:t>
            </w:r>
            <w:r w:rsidR="004A292F" w:rsidRPr="00A52AB8">
              <w:rPr>
                <w:color w:val="000000" w:themeColor="text1"/>
                <w:sz w:val="20"/>
                <w:szCs w:val="20"/>
              </w:rPr>
              <w:t>[ </w:t>
            </w:r>
            <w:r w:rsidR="00632FA7" w:rsidRPr="00A52AB8">
              <w:rPr>
                <w:color w:val="000000" w:themeColor="text1"/>
                <w:sz w:val="20"/>
                <w:szCs w:val="20"/>
              </w:rPr>
              <w:t>tileID</w:t>
            </w:r>
            <w:r w:rsidR="004A292F" w:rsidRPr="00A52AB8">
              <w:rPr>
                <w:color w:val="000000" w:themeColor="text1"/>
                <w:sz w:val="20"/>
                <w:szCs w:val="20"/>
              </w:rPr>
              <w:t> ]</w:t>
            </w:r>
            <w:r w:rsidR="001F3C1E" w:rsidRPr="00A52AB8">
              <w:rPr>
                <w:color w:val="000000" w:themeColor="text1"/>
                <w:sz w:val="20"/>
                <w:szCs w:val="20"/>
              </w:rPr>
              <w:t>[ patchIdx ]</w:t>
            </w:r>
          </w:p>
        </w:tc>
        <w:tc>
          <w:tcPr>
            <w:tcW w:w="1331" w:type="dxa"/>
          </w:tcPr>
          <w:p w14:paraId="28BAEC62" w14:textId="77777777" w:rsidR="00ED6B2D" w:rsidRPr="00A52AB8" w:rsidRDefault="00ED6B2D">
            <w:pPr>
              <w:spacing w:after="0" w:line="276" w:lineRule="auto"/>
              <w:jc w:val="center"/>
              <w:rPr>
                <w:sz w:val="20"/>
                <w:szCs w:val="20"/>
              </w:rPr>
            </w:pPr>
            <w:r w:rsidRPr="00A52AB8">
              <w:rPr>
                <w:color w:val="000000" w:themeColor="text1"/>
                <w:sz w:val="20"/>
                <w:szCs w:val="20"/>
              </w:rPr>
              <w:t>se(v)</w:t>
            </w:r>
          </w:p>
        </w:tc>
      </w:tr>
      <w:tr w:rsidR="00F66E19" w:rsidRPr="00A52AB8" w14:paraId="7C3D190D" w14:textId="77777777" w:rsidTr="004A7026">
        <w:trPr>
          <w:trHeight w:val="224"/>
        </w:trPr>
        <w:tc>
          <w:tcPr>
            <w:tcW w:w="8411" w:type="dxa"/>
          </w:tcPr>
          <w:p w14:paraId="1596FE37" w14:textId="77777777" w:rsidR="00ED6B2D" w:rsidRPr="00A52AB8" w:rsidRDefault="00ED6B2D">
            <w:pPr>
              <w:spacing w:after="0" w:line="276" w:lineRule="auto"/>
              <w:rPr>
                <w:color w:val="000000" w:themeColor="text1"/>
                <w:sz w:val="20"/>
                <w:szCs w:val="20"/>
              </w:rPr>
            </w:pPr>
            <w:r w:rsidRPr="00A52AB8">
              <w:rPr>
                <w:color w:val="000000" w:themeColor="text1"/>
                <w:sz w:val="20"/>
                <w:szCs w:val="20"/>
              </w:rPr>
              <w:tab/>
            </w:r>
            <w:r w:rsidRPr="00A52AB8">
              <w:rPr>
                <w:color w:val="000000" w:themeColor="text1"/>
                <w:sz w:val="20"/>
                <w:szCs w:val="20"/>
              </w:rPr>
              <w:tab/>
            </w:r>
            <w:r w:rsidRPr="00A52AB8">
              <w:rPr>
                <w:b/>
                <w:color w:val="000000" w:themeColor="text1"/>
                <w:sz w:val="20"/>
                <w:szCs w:val="20"/>
              </w:rPr>
              <w:tab/>
            </w:r>
            <w:r w:rsidRPr="00A52AB8">
              <w:rPr>
                <w:color w:val="000000" w:themeColor="text1"/>
                <w:sz w:val="20"/>
                <w:szCs w:val="20"/>
              </w:rPr>
              <w:t>if( </w:t>
            </w:r>
            <w:r w:rsidR="00EB723C" w:rsidRPr="00A52AB8">
              <w:rPr>
                <w:color w:val="000000" w:themeColor="text1"/>
                <w:sz w:val="20"/>
                <w:szCs w:val="20"/>
              </w:rPr>
              <w:t>asps_</w:t>
            </w:r>
            <w:r w:rsidRPr="00A52AB8">
              <w:rPr>
                <w:color w:val="000000" w:themeColor="text1"/>
                <w:sz w:val="20"/>
                <w:szCs w:val="20"/>
              </w:rPr>
              <w:t>normal_axis_max_delta_value_</w:t>
            </w:r>
            <w:r w:rsidR="00016786" w:rsidRPr="00A52AB8">
              <w:rPr>
                <w:color w:val="000000" w:themeColor="text1"/>
                <w:sz w:val="20"/>
                <w:szCs w:val="20"/>
              </w:rPr>
              <w:t>enabled_flag</w:t>
            </w:r>
            <w:r w:rsidRPr="00A52AB8">
              <w:rPr>
                <w:color w:val="000000" w:themeColor="text1"/>
                <w:sz w:val="20"/>
                <w:szCs w:val="20"/>
              </w:rPr>
              <w:t> )</w:t>
            </w:r>
          </w:p>
        </w:tc>
        <w:tc>
          <w:tcPr>
            <w:tcW w:w="1331" w:type="dxa"/>
          </w:tcPr>
          <w:p w14:paraId="5CA33535" w14:textId="77777777" w:rsidR="00ED6B2D" w:rsidRPr="00A52AB8" w:rsidRDefault="00ED6B2D">
            <w:pPr>
              <w:spacing w:after="0" w:line="276" w:lineRule="auto"/>
              <w:jc w:val="center"/>
              <w:rPr>
                <w:color w:val="000000" w:themeColor="text1"/>
                <w:sz w:val="20"/>
                <w:szCs w:val="20"/>
              </w:rPr>
            </w:pPr>
          </w:p>
        </w:tc>
      </w:tr>
      <w:tr w:rsidR="00F66E19" w:rsidRPr="00A52AB8" w14:paraId="472E4B05" w14:textId="77777777" w:rsidTr="004A7026">
        <w:trPr>
          <w:trHeight w:val="224"/>
        </w:trPr>
        <w:tc>
          <w:tcPr>
            <w:tcW w:w="8411" w:type="dxa"/>
          </w:tcPr>
          <w:p w14:paraId="4EF71004" w14:textId="77777777" w:rsidR="00ED6B2D" w:rsidRPr="00A52AB8" w:rsidRDefault="00ED6B2D">
            <w:pPr>
              <w:spacing w:after="0" w:line="276" w:lineRule="auto"/>
              <w:rPr>
                <w:color w:val="000000" w:themeColor="text1"/>
                <w:sz w:val="20"/>
                <w:szCs w:val="20"/>
              </w:rPr>
            </w:pPr>
            <w:r w:rsidRPr="00A52AB8">
              <w:rPr>
                <w:color w:val="000000" w:themeColor="text1"/>
                <w:sz w:val="20"/>
                <w:szCs w:val="20"/>
              </w:rPr>
              <w:tab/>
            </w:r>
            <w:r w:rsidRPr="00A52AB8">
              <w:rPr>
                <w:color w:val="000000" w:themeColor="text1"/>
                <w:sz w:val="20"/>
                <w:szCs w:val="20"/>
              </w:rPr>
              <w:tab/>
            </w:r>
            <w:r w:rsidRPr="00A52AB8">
              <w:rPr>
                <w:color w:val="000000" w:themeColor="text1"/>
                <w:sz w:val="20"/>
                <w:szCs w:val="20"/>
              </w:rPr>
              <w:tab/>
            </w:r>
            <w:r w:rsidRPr="00A52AB8">
              <w:rPr>
                <w:b/>
                <w:color w:val="000000" w:themeColor="text1"/>
                <w:sz w:val="20"/>
                <w:szCs w:val="20"/>
              </w:rPr>
              <w:tab/>
              <w:t>m</w:t>
            </w:r>
            <w:r w:rsidR="007356C4" w:rsidRPr="00A52AB8">
              <w:rPr>
                <w:b/>
                <w:color w:val="000000" w:themeColor="text1"/>
                <w:sz w:val="20"/>
                <w:szCs w:val="20"/>
              </w:rPr>
              <w:t>pdu_3d_range_d</w:t>
            </w:r>
            <w:r w:rsidR="004A292F" w:rsidRPr="00A52AB8">
              <w:rPr>
                <w:color w:val="000000" w:themeColor="text1"/>
                <w:sz w:val="20"/>
                <w:szCs w:val="20"/>
              </w:rPr>
              <w:t>[ </w:t>
            </w:r>
            <w:r w:rsidR="00632FA7" w:rsidRPr="00A52AB8">
              <w:rPr>
                <w:color w:val="000000" w:themeColor="text1"/>
                <w:sz w:val="20"/>
                <w:szCs w:val="20"/>
              </w:rPr>
              <w:t>tileID</w:t>
            </w:r>
            <w:r w:rsidR="004A292F" w:rsidRPr="00A52AB8">
              <w:rPr>
                <w:color w:val="000000" w:themeColor="text1"/>
                <w:sz w:val="20"/>
                <w:szCs w:val="20"/>
              </w:rPr>
              <w:t> ]</w:t>
            </w:r>
            <w:r w:rsidR="001F3C1E" w:rsidRPr="00A52AB8">
              <w:rPr>
                <w:color w:val="000000" w:themeColor="text1"/>
                <w:sz w:val="20"/>
                <w:szCs w:val="20"/>
              </w:rPr>
              <w:t>[ patchIdx ]</w:t>
            </w:r>
          </w:p>
        </w:tc>
        <w:tc>
          <w:tcPr>
            <w:tcW w:w="1331" w:type="dxa"/>
          </w:tcPr>
          <w:p w14:paraId="772E52E0" w14:textId="77777777" w:rsidR="00ED6B2D" w:rsidRPr="00A52AB8" w:rsidRDefault="00ED6B2D">
            <w:pPr>
              <w:spacing w:after="0" w:line="276" w:lineRule="auto"/>
              <w:jc w:val="center"/>
              <w:rPr>
                <w:color w:val="000000" w:themeColor="text1"/>
                <w:sz w:val="20"/>
                <w:szCs w:val="20"/>
              </w:rPr>
            </w:pPr>
            <w:r w:rsidRPr="00A52AB8">
              <w:rPr>
                <w:color w:val="000000" w:themeColor="text1"/>
                <w:sz w:val="20"/>
                <w:szCs w:val="20"/>
              </w:rPr>
              <w:t>se(v)</w:t>
            </w:r>
          </w:p>
        </w:tc>
      </w:tr>
      <w:tr w:rsidR="00F66E19" w:rsidRPr="00A52AB8" w14:paraId="60483C76" w14:textId="77777777" w:rsidTr="004A7026">
        <w:tc>
          <w:tcPr>
            <w:tcW w:w="8411" w:type="dxa"/>
          </w:tcPr>
          <w:p w14:paraId="5600CB2B" w14:textId="3603927B" w:rsidR="00ED6B2D" w:rsidRPr="00A52AB8" w:rsidRDefault="00ED6B2D">
            <w:pPr>
              <w:spacing w:after="0" w:line="276" w:lineRule="auto"/>
              <w:rPr>
                <w:color w:val="000000" w:themeColor="text1"/>
                <w:sz w:val="20"/>
                <w:szCs w:val="20"/>
              </w:rPr>
            </w:pPr>
            <w:r w:rsidRPr="00A52AB8">
              <w:rPr>
                <w:color w:val="000000" w:themeColor="text1"/>
                <w:sz w:val="20"/>
                <w:szCs w:val="20"/>
              </w:rPr>
              <w:tab/>
            </w:r>
            <w:r w:rsidRPr="00A52AB8">
              <w:rPr>
                <w:color w:val="000000" w:themeColor="text1"/>
                <w:sz w:val="20"/>
                <w:szCs w:val="20"/>
              </w:rPr>
              <w:tab/>
            </w:r>
            <w:r w:rsidRPr="00A52AB8">
              <w:rPr>
                <w:color w:val="000000" w:themeColor="text1"/>
                <w:sz w:val="20"/>
                <w:szCs w:val="20"/>
              </w:rPr>
              <w:tab/>
              <w:t>if( </w:t>
            </w:r>
            <w:r w:rsidR="00A77E95" w:rsidRPr="00A52AB8">
              <w:rPr>
                <w:color w:val="000000" w:themeColor="text1"/>
                <w:sz w:val="20"/>
                <w:szCs w:val="20"/>
              </w:rPr>
              <w:t>a</w:t>
            </w:r>
            <w:r w:rsidRPr="00A52AB8">
              <w:rPr>
                <w:color w:val="000000" w:themeColor="text1"/>
                <w:sz w:val="20"/>
                <w:szCs w:val="20"/>
              </w:rPr>
              <w:t>sps_</w:t>
            </w:r>
            <w:r w:rsidR="00D375CC" w:rsidRPr="00A52AB8">
              <w:rPr>
                <w:color w:val="000000" w:themeColor="text1"/>
                <w:sz w:val="20"/>
                <w:szCs w:val="20"/>
              </w:rPr>
              <w:t>plr</w:t>
            </w:r>
            <w:r w:rsidRPr="00A52AB8">
              <w:rPr>
                <w:color w:val="000000" w:themeColor="text1"/>
                <w:sz w:val="20"/>
                <w:szCs w:val="20"/>
              </w:rPr>
              <w:t>_enabled_flag </w:t>
            </w:r>
            <w:r w:rsidR="008F1F82" w:rsidRPr="00A52AB8">
              <w:rPr>
                <w:color w:val="000000" w:themeColor="text1"/>
                <w:sz w:val="20"/>
                <w:szCs w:val="20"/>
              </w:rPr>
              <w:t>) {</w:t>
            </w:r>
          </w:p>
        </w:tc>
        <w:tc>
          <w:tcPr>
            <w:tcW w:w="1331" w:type="dxa"/>
          </w:tcPr>
          <w:p w14:paraId="777F0DFB" w14:textId="77777777" w:rsidR="00ED6B2D" w:rsidRPr="00A52AB8" w:rsidRDefault="00ED6B2D">
            <w:pPr>
              <w:spacing w:after="0" w:line="276" w:lineRule="auto"/>
              <w:jc w:val="center"/>
              <w:rPr>
                <w:color w:val="000000" w:themeColor="text1"/>
                <w:sz w:val="20"/>
                <w:szCs w:val="20"/>
              </w:rPr>
            </w:pPr>
          </w:p>
        </w:tc>
      </w:tr>
      <w:tr w:rsidR="00F66E19" w:rsidRPr="00A52AB8" w14:paraId="0BCF4745" w14:textId="77777777" w:rsidTr="004A7026">
        <w:tc>
          <w:tcPr>
            <w:tcW w:w="8411" w:type="dxa"/>
          </w:tcPr>
          <w:p w14:paraId="4E445275" w14:textId="77777777" w:rsidR="00ED6B2D" w:rsidRPr="00A52AB8" w:rsidRDefault="00ED6B2D">
            <w:pPr>
              <w:spacing w:after="0" w:line="276" w:lineRule="auto"/>
              <w:rPr>
                <w:color w:val="000000" w:themeColor="text1"/>
                <w:sz w:val="20"/>
                <w:szCs w:val="20"/>
              </w:rPr>
            </w:pPr>
            <w:r w:rsidRPr="00A52AB8">
              <w:rPr>
                <w:color w:val="000000" w:themeColor="text1"/>
                <w:sz w:val="20"/>
                <w:szCs w:val="20"/>
              </w:rPr>
              <w:tab/>
            </w:r>
            <w:r w:rsidRPr="00A52AB8">
              <w:rPr>
                <w:color w:val="000000" w:themeColor="text1"/>
                <w:sz w:val="20"/>
                <w:szCs w:val="20"/>
              </w:rPr>
              <w:tab/>
            </w:r>
            <w:r w:rsidRPr="00A52AB8">
              <w:rPr>
                <w:color w:val="000000" w:themeColor="text1"/>
                <w:sz w:val="20"/>
                <w:szCs w:val="20"/>
              </w:rPr>
              <w:tab/>
            </w:r>
            <w:r w:rsidRPr="00A52AB8">
              <w:rPr>
                <w:color w:val="000000" w:themeColor="text1"/>
                <w:sz w:val="20"/>
                <w:szCs w:val="20"/>
              </w:rPr>
              <w:tab/>
            </w:r>
            <w:r w:rsidRPr="00A52AB8">
              <w:rPr>
                <w:b/>
                <w:color w:val="000000" w:themeColor="text1"/>
                <w:sz w:val="20"/>
                <w:szCs w:val="20"/>
              </w:rPr>
              <w:t>mpdu_override_plr_flag</w:t>
            </w:r>
            <w:r w:rsidR="004A292F" w:rsidRPr="00A52AB8">
              <w:rPr>
                <w:color w:val="000000" w:themeColor="text1"/>
                <w:sz w:val="20"/>
                <w:szCs w:val="20"/>
              </w:rPr>
              <w:t>[ </w:t>
            </w:r>
            <w:r w:rsidR="00632FA7" w:rsidRPr="00A52AB8">
              <w:rPr>
                <w:color w:val="000000" w:themeColor="text1"/>
                <w:sz w:val="20"/>
                <w:szCs w:val="20"/>
              </w:rPr>
              <w:t>tileID</w:t>
            </w:r>
            <w:r w:rsidR="004A292F" w:rsidRPr="00A52AB8">
              <w:rPr>
                <w:color w:val="000000" w:themeColor="text1"/>
                <w:sz w:val="20"/>
                <w:szCs w:val="20"/>
              </w:rPr>
              <w:t> ]</w:t>
            </w:r>
            <w:r w:rsidR="001F3C1E" w:rsidRPr="00A52AB8">
              <w:rPr>
                <w:color w:val="000000" w:themeColor="text1"/>
                <w:sz w:val="20"/>
                <w:szCs w:val="20"/>
              </w:rPr>
              <w:t>[ patchIdx ]</w:t>
            </w:r>
          </w:p>
        </w:tc>
        <w:tc>
          <w:tcPr>
            <w:tcW w:w="1331" w:type="dxa"/>
          </w:tcPr>
          <w:p w14:paraId="2E1C394F" w14:textId="77777777" w:rsidR="00ED6B2D" w:rsidRPr="00A52AB8" w:rsidRDefault="00ED6B2D">
            <w:pPr>
              <w:spacing w:after="0" w:line="276" w:lineRule="auto"/>
              <w:jc w:val="center"/>
              <w:rPr>
                <w:color w:val="000000" w:themeColor="text1"/>
                <w:sz w:val="20"/>
                <w:szCs w:val="20"/>
              </w:rPr>
            </w:pPr>
            <w:r w:rsidRPr="00A52AB8">
              <w:rPr>
                <w:color w:val="000000" w:themeColor="text1"/>
                <w:sz w:val="20"/>
                <w:szCs w:val="20"/>
              </w:rPr>
              <w:t>u(1)</w:t>
            </w:r>
          </w:p>
        </w:tc>
      </w:tr>
      <w:tr w:rsidR="00F66E19" w:rsidRPr="00A52AB8" w14:paraId="0CDD7562" w14:textId="77777777" w:rsidTr="004A7026">
        <w:tc>
          <w:tcPr>
            <w:tcW w:w="8411" w:type="dxa"/>
          </w:tcPr>
          <w:p w14:paraId="29EDE50E" w14:textId="1489278F" w:rsidR="00914B09" w:rsidRPr="00A52AB8" w:rsidRDefault="00914B09">
            <w:pPr>
              <w:spacing w:after="0" w:line="276" w:lineRule="auto"/>
              <w:rPr>
                <w:color w:val="000000" w:themeColor="text1"/>
                <w:sz w:val="20"/>
                <w:szCs w:val="20"/>
              </w:rPr>
            </w:pPr>
            <w:r w:rsidRPr="00A52AB8">
              <w:rPr>
                <w:color w:val="000000" w:themeColor="text1"/>
                <w:sz w:val="20"/>
                <w:szCs w:val="20"/>
              </w:rPr>
              <w:tab/>
            </w:r>
            <w:r w:rsidRPr="00A52AB8">
              <w:rPr>
                <w:color w:val="000000" w:themeColor="text1"/>
                <w:sz w:val="20"/>
                <w:szCs w:val="20"/>
              </w:rPr>
              <w:tab/>
            </w:r>
            <w:r w:rsidRPr="00A52AB8">
              <w:rPr>
                <w:color w:val="000000" w:themeColor="text1"/>
                <w:sz w:val="20"/>
                <w:szCs w:val="20"/>
              </w:rPr>
              <w:tab/>
            </w:r>
            <w:r w:rsidRPr="00A52AB8">
              <w:rPr>
                <w:color w:val="000000" w:themeColor="text1"/>
                <w:sz w:val="20"/>
                <w:szCs w:val="20"/>
              </w:rPr>
              <w:tab/>
            </w:r>
            <w:r w:rsidR="00490929" w:rsidRPr="00A52AB8">
              <w:rPr>
                <w:color w:val="000000" w:themeColor="text1"/>
                <w:sz w:val="20"/>
                <w:szCs w:val="20"/>
              </w:rPr>
              <w:t>OverridePlrFlag</w:t>
            </w:r>
            <w:r w:rsidR="0023721F" w:rsidRPr="00A52AB8">
              <w:rPr>
                <w:color w:val="000000" w:themeColor="text1"/>
                <w:sz w:val="20"/>
                <w:szCs w:val="20"/>
              </w:rPr>
              <w:t> </w:t>
            </w:r>
            <w:r w:rsidR="00D47707" w:rsidRPr="00A52AB8">
              <w:rPr>
                <w:color w:val="000000" w:themeColor="text1"/>
                <w:sz w:val="20"/>
                <w:szCs w:val="20"/>
              </w:rPr>
              <w:t>= </w:t>
            </w:r>
            <w:r w:rsidRPr="00A52AB8">
              <w:rPr>
                <w:bCs/>
                <w:color w:val="000000" w:themeColor="text1"/>
                <w:sz w:val="20"/>
                <w:szCs w:val="20"/>
              </w:rPr>
              <w:t>mpdu_override_plr_flag</w:t>
            </w:r>
            <w:r w:rsidR="004A292F" w:rsidRPr="00A52AB8">
              <w:rPr>
                <w:color w:val="000000" w:themeColor="text1"/>
                <w:sz w:val="20"/>
                <w:szCs w:val="20"/>
              </w:rPr>
              <w:t>[ </w:t>
            </w:r>
            <w:r w:rsidR="00632FA7" w:rsidRPr="00A52AB8">
              <w:rPr>
                <w:color w:val="000000" w:themeColor="text1"/>
                <w:sz w:val="20"/>
                <w:szCs w:val="20"/>
              </w:rPr>
              <w:t>tileID</w:t>
            </w:r>
            <w:r w:rsidR="004A292F" w:rsidRPr="00A52AB8">
              <w:rPr>
                <w:color w:val="000000" w:themeColor="text1"/>
                <w:sz w:val="20"/>
                <w:szCs w:val="20"/>
              </w:rPr>
              <w:t> ]</w:t>
            </w:r>
            <w:r w:rsidR="001F3C1E" w:rsidRPr="00A52AB8">
              <w:rPr>
                <w:color w:val="000000" w:themeColor="text1"/>
                <w:sz w:val="20"/>
                <w:szCs w:val="20"/>
              </w:rPr>
              <w:t>[ patchIdx ]</w:t>
            </w:r>
          </w:p>
        </w:tc>
        <w:tc>
          <w:tcPr>
            <w:tcW w:w="1331" w:type="dxa"/>
          </w:tcPr>
          <w:p w14:paraId="26790C66" w14:textId="77777777" w:rsidR="00914B09" w:rsidRPr="00A52AB8" w:rsidRDefault="00914B09">
            <w:pPr>
              <w:spacing w:after="0" w:line="276" w:lineRule="auto"/>
              <w:jc w:val="center"/>
              <w:rPr>
                <w:color w:val="000000" w:themeColor="text1"/>
                <w:sz w:val="20"/>
                <w:szCs w:val="20"/>
              </w:rPr>
            </w:pPr>
          </w:p>
        </w:tc>
      </w:tr>
      <w:tr w:rsidR="00F66E19" w:rsidRPr="00A52AB8" w14:paraId="5186D452" w14:textId="77777777" w:rsidTr="004A7026">
        <w:tc>
          <w:tcPr>
            <w:tcW w:w="8411" w:type="dxa"/>
          </w:tcPr>
          <w:p w14:paraId="26ECD94A" w14:textId="77777777" w:rsidR="00914B09" w:rsidRPr="00A52AB8" w:rsidRDefault="00914B09">
            <w:pPr>
              <w:spacing w:after="0" w:line="276" w:lineRule="auto"/>
              <w:rPr>
                <w:color w:val="000000" w:themeColor="text1"/>
                <w:sz w:val="20"/>
                <w:szCs w:val="20"/>
              </w:rPr>
            </w:pPr>
            <w:r w:rsidRPr="00A52AB8">
              <w:rPr>
                <w:color w:val="000000" w:themeColor="text1"/>
                <w:sz w:val="20"/>
                <w:szCs w:val="20"/>
              </w:rPr>
              <w:tab/>
            </w:r>
            <w:r w:rsidRPr="00A52AB8">
              <w:rPr>
                <w:color w:val="000000" w:themeColor="text1"/>
                <w:sz w:val="20"/>
                <w:szCs w:val="20"/>
              </w:rPr>
              <w:tab/>
            </w:r>
            <w:r w:rsidRPr="00A52AB8">
              <w:rPr>
                <w:color w:val="000000" w:themeColor="text1"/>
                <w:sz w:val="20"/>
                <w:szCs w:val="20"/>
              </w:rPr>
              <w:tab/>
              <w:t>}</w:t>
            </w:r>
          </w:p>
        </w:tc>
        <w:tc>
          <w:tcPr>
            <w:tcW w:w="1331" w:type="dxa"/>
          </w:tcPr>
          <w:p w14:paraId="6758B78F" w14:textId="77777777" w:rsidR="00914B09" w:rsidRPr="00A52AB8" w:rsidRDefault="00914B09">
            <w:pPr>
              <w:spacing w:after="0" w:line="276" w:lineRule="auto"/>
              <w:jc w:val="center"/>
              <w:rPr>
                <w:color w:val="000000" w:themeColor="text1"/>
                <w:sz w:val="20"/>
                <w:szCs w:val="20"/>
              </w:rPr>
            </w:pPr>
          </w:p>
        </w:tc>
      </w:tr>
      <w:tr w:rsidR="00F66E19" w:rsidRPr="00A52AB8" w14:paraId="3E3C28FE" w14:textId="77777777" w:rsidTr="004A7026">
        <w:tc>
          <w:tcPr>
            <w:tcW w:w="8411" w:type="dxa"/>
          </w:tcPr>
          <w:p w14:paraId="3C8C32CB" w14:textId="77777777" w:rsidR="00ED6B2D" w:rsidRPr="00A52AB8" w:rsidRDefault="00ED6B2D">
            <w:pPr>
              <w:spacing w:after="0" w:line="276" w:lineRule="auto"/>
              <w:rPr>
                <w:color w:val="000000" w:themeColor="text1"/>
                <w:sz w:val="20"/>
                <w:szCs w:val="20"/>
              </w:rPr>
            </w:pPr>
            <w:r w:rsidRPr="00A52AB8">
              <w:rPr>
                <w:color w:val="000000" w:themeColor="text1"/>
                <w:sz w:val="20"/>
                <w:szCs w:val="20"/>
              </w:rPr>
              <w:tab/>
            </w:r>
            <w:r w:rsidRPr="00A52AB8">
              <w:rPr>
                <w:color w:val="000000" w:themeColor="text1"/>
                <w:sz w:val="20"/>
                <w:szCs w:val="20"/>
              </w:rPr>
              <w:tab/>
              <w:t>}</w:t>
            </w:r>
          </w:p>
        </w:tc>
        <w:tc>
          <w:tcPr>
            <w:tcW w:w="1331" w:type="dxa"/>
          </w:tcPr>
          <w:p w14:paraId="698569E3" w14:textId="77777777" w:rsidR="00ED6B2D" w:rsidRPr="00A52AB8" w:rsidRDefault="00ED6B2D">
            <w:pPr>
              <w:spacing w:after="0" w:line="276" w:lineRule="auto"/>
              <w:jc w:val="center"/>
              <w:rPr>
                <w:color w:val="000000" w:themeColor="text1"/>
                <w:sz w:val="20"/>
                <w:szCs w:val="20"/>
              </w:rPr>
            </w:pPr>
          </w:p>
        </w:tc>
      </w:tr>
      <w:tr w:rsidR="00F66E19" w:rsidRPr="00A52AB8" w14:paraId="4C29D21D" w14:textId="77777777" w:rsidTr="004A7026">
        <w:tc>
          <w:tcPr>
            <w:tcW w:w="8411" w:type="dxa"/>
          </w:tcPr>
          <w:p w14:paraId="24FD77F5" w14:textId="77777777" w:rsidR="00ED6B2D" w:rsidRPr="00A52AB8" w:rsidRDefault="00ED6B2D">
            <w:pPr>
              <w:spacing w:after="0" w:line="276" w:lineRule="auto"/>
              <w:rPr>
                <w:color w:val="000000" w:themeColor="text1"/>
                <w:sz w:val="20"/>
                <w:szCs w:val="20"/>
              </w:rPr>
            </w:pPr>
            <w:r w:rsidRPr="00A52AB8">
              <w:rPr>
                <w:color w:val="000000" w:themeColor="text1"/>
                <w:sz w:val="20"/>
                <w:szCs w:val="20"/>
              </w:rPr>
              <w:tab/>
              <w:t>}</w:t>
            </w:r>
          </w:p>
        </w:tc>
        <w:tc>
          <w:tcPr>
            <w:tcW w:w="1331" w:type="dxa"/>
          </w:tcPr>
          <w:p w14:paraId="2AEFCA1F" w14:textId="77777777" w:rsidR="00ED6B2D" w:rsidRPr="00A52AB8" w:rsidRDefault="00ED6B2D">
            <w:pPr>
              <w:spacing w:after="0" w:line="276" w:lineRule="auto"/>
              <w:jc w:val="center"/>
              <w:rPr>
                <w:color w:val="000000" w:themeColor="text1"/>
                <w:sz w:val="20"/>
                <w:szCs w:val="20"/>
              </w:rPr>
            </w:pPr>
          </w:p>
        </w:tc>
      </w:tr>
      <w:tr w:rsidR="00F66E19" w:rsidRPr="00A52AB8" w14:paraId="37AA48A1" w14:textId="77777777" w:rsidTr="004A7026">
        <w:tc>
          <w:tcPr>
            <w:tcW w:w="8411" w:type="dxa"/>
          </w:tcPr>
          <w:p w14:paraId="7B6E8DFB" w14:textId="346E6845" w:rsidR="00ED6B2D" w:rsidRPr="00A52AB8" w:rsidRDefault="00ED6B2D">
            <w:pPr>
              <w:spacing w:after="0" w:line="276" w:lineRule="auto"/>
              <w:rPr>
                <w:color w:val="000000" w:themeColor="text1"/>
                <w:sz w:val="20"/>
                <w:szCs w:val="20"/>
              </w:rPr>
            </w:pPr>
            <w:r w:rsidRPr="00A52AB8">
              <w:rPr>
                <w:color w:val="000000" w:themeColor="text1"/>
                <w:sz w:val="20"/>
                <w:szCs w:val="20"/>
              </w:rPr>
              <w:tab/>
              <w:t>if(</w:t>
            </w:r>
            <w:r w:rsidR="00050AC8" w:rsidRPr="00A52AB8">
              <w:rPr>
                <w:color w:val="000000" w:themeColor="text1"/>
                <w:sz w:val="20"/>
                <w:szCs w:val="20"/>
              </w:rPr>
              <w:t> </w:t>
            </w:r>
            <w:r w:rsidR="00490929" w:rsidRPr="00A52AB8">
              <w:rPr>
                <w:color w:val="000000" w:themeColor="text1"/>
                <w:sz w:val="20"/>
                <w:szCs w:val="20"/>
              </w:rPr>
              <w:t>OverridePlrFlag</w:t>
            </w:r>
            <w:r w:rsidR="008768E9" w:rsidRPr="00A52AB8">
              <w:rPr>
                <w:color w:val="000000" w:themeColor="text1"/>
                <w:sz w:val="20"/>
                <w:szCs w:val="20"/>
              </w:rPr>
              <w:t> &amp;&amp; </w:t>
            </w:r>
            <w:r w:rsidR="00511DAC" w:rsidRPr="00A52AB8">
              <w:rPr>
                <w:color w:val="000000" w:themeColor="text1"/>
                <w:sz w:val="20"/>
                <w:szCs w:val="20"/>
              </w:rPr>
              <w:t>asps_</w:t>
            </w:r>
            <w:r w:rsidR="00D375CC" w:rsidRPr="00A52AB8">
              <w:rPr>
                <w:color w:val="000000" w:themeColor="text1"/>
                <w:sz w:val="20"/>
                <w:szCs w:val="20"/>
              </w:rPr>
              <w:t>plr</w:t>
            </w:r>
            <w:r w:rsidR="00511DAC" w:rsidRPr="00A52AB8">
              <w:rPr>
                <w:color w:val="000000" w:themeColor="text1"/>
                <w:sz w:val="20"/>
                <w:szCs w:val="20"/>
              </w:rPr>
              <w:t>_enabled_flag </w:t>
            </w:r>
            <w:r w:rsidRPr="00A52AB8">
              <w:rPr>
                <w:color w:val="000000" w:themeColor="text1"/>
                <w:sz w:val="20"/>
                <w:szCs w:val="20"/>
                <w:lang w:eastAsia="ja-JP"/>
              </w:rPr>
              <w:t>)</w:t>
            </w:r>
          </w:p>
        </w:tc>
        <w:tc>
          <w:tcPr>
            <w:tcW w:w="1331" w:type="dxa"/>
          </w:tcPr>
          <w:p w14:paraId="5B49C227" w14:textId="77777777" w:rsidR="00ED6B2D" w:rsidRPr="00A52AB8" w:rsidRDefault="00ED6B2D">
            <w:pPr>
              <w:spacing w:after="0" w:line="276" w:lineRule="auto"/>
              <w:jc w:val="center"/>
              <w:rPr>
                <w:color w:val="000000" w:themeColor="text1"/>
                <w:sz w:val="20"/>
                <w:szCs w:val="20"/>
              </w:rPr>
            </w:pPr>
          </w:p>
        </w:tc>
      </w:tr>
      <w:tr w:rsidR="00F66E19" w:rsidRPr="00A52AB8" w14:paraId="28675519" w14:textId="77777777" w:rsidTr="004A7026">
        <w:tc>
          <w:tcPr>
            <w:tcW w:w="8411" w:type="dxa"/>
          </w:tcPr>
          <w:p w14:paraId="1AB12900" w14:textId="77777777" w:rsidR="00052E8F" w:rsidRPr="00A52AB8" w:rsidRDefault="00052E8F">
            <w:pPr>
              <w:spacing w:after="0" w:line="276" w:lineRule="auto"/>
              <w:rPr>
                <w:color w:val="000000" w:themeColor="text1"/>
                <w:sz w:val="20"/>
                <w:szCs w:val="20"/>
              </w:rPr>
            </w:pPr>
            <w:r w:rsidRPr="00A52AB8">
              <w:rPr>
                <w:color w:val="000000" w:themeColor="text1"/>
                <w:sz w:val="20"/>
                <w:szCs w:val="20"/>
              </w:rPr>
              <w:tab/>
            </w:r>
            <w:r w:rsidRPr="00A52AB8">
              <w:rPr>
                <w:color w:val="000000" w:themeColor="text1"/>
                <w:sz w:val="20"/>
                <w:szCs w:val="20"/>
              </w:rPr>
              <w:tab/>
            </w:r>
            <w:r w:rsidR="00D375CC" w:rsidRPr="00A52AB8">
              <w:rPr>
                <w:color w:val="000000" w:themeColor="text1"/>
                <w:sz w:val="20"/>
                <w:szCs w:val="20"/>
              </w:rPr>
              <w:t>plr</w:t>
            </w:r>
            <w:r w:rsidRPr="00A52AB8">
              <w:rPr>
                <w:color w:val="000000" w:themeColor="text1"/>
                <w:sz w:val="20"/>
                <w:szCs w:val="20"/>
              </w:rPr>
              <w:t>_data( </w:t>
            </w:r>
            <w:r w:rsidR="00632FA7" w:rsidRPr="00A52AB8">
              <w:rPr>
                <w:color w:val="000000" w:themeColor="text1"/>
                <w:sz w:val="20"/>
                <w:szCs w:val="20"/>
              </w:rPr>
              <w:t>tileID</w:t>
            </w:r>
            <w:r w:rsidR="00CA1C0A" w:rsidRPr="00A52AB8">
              <w:rPr>
                <w:color w:val="000000" w:themeColor="text1"/>
                <w:sz w:val="20"/>
                <w:szCs w:val="20"/>
              </w:rPr>
              <w:t>, </w:t>
            </w:r>
            <w:r w:rsidR="00E13AB1" w:rsidRPr="00A52AB8">
              <w:rPr>
                <w:color w:val="000000" w:themeColor="text1"/>
                <w:sz w:val="20"/>
                <w:szCs w:val="20"/>
              </w:rPr>
              <w:t>patchIdx</w:t>
            </w:r>
            <w:r w:rsidR="00092AF8" w:rsidRPr="00A52AB8">
              <w:rPr>
                <w:color w:val="000000" w:themeColor="text1"/>
                <w:sz w:val="20"/>
                <w:szCs w:val="20"/>
              </w:rPr>
              <w:t> </w:t>
            </w:r>
            <w:r w:rsidRPr="00A52AB8">
              <w:rPr>
                <w:color w:val="000000" w:themeColor="text1"/>
                <w:sz w:val="20"/>
                <w:szCs w:val="20"/>
              </w:rPr>
              <w:t>)</w:t>
            </w:r>
          </w:p>
        </w:tc>
        <w:tc>
          <w:tcPr>
            <w:tcW w:w="1331" w:type="dxa"/>
          </w:tcPr>
          <w:p w14:paraId="197E96AE" w14:textId="77777777" w:rsidR="00052E8F" w:rsidRPr="00A52AB8" w:rsidRDefault="00052E8F">
            <w:pPr>
              <w:spacing w:after="0" w:line="276" w:lineRule="auto"/>
              <w:jc w:val="center"/>
              <w:rPr>
                <w:color w:val="000000" w:themeColor="text1"/>
                <w:sz w:val="20"/>
                <w:szCs w:val="20"/>
              </w:rPr>
            </w:pPr>
          </w:p>
        </w:tc>
      </w:tr>
      <w:tr w:rsidR="00F66E19" w:rsidRPr="00A52AB8" w14:paraId="1B2CF978" w14:textId="77777777" w:rsidTr="004A7026">
        <w:tc>
          <w:tcPr>
            <w:tcW w:w="8411" w:type="dxa"/>
          </w:tcPr>
          <w:p w14:paraId="2390E1C9" w14:textId="77777777" w:rsidR="00052E8F" w:rsidRPr="00A52AB8" w:rsidRDefault="00052E8F">
            <w:pPr>
              <w:spacing w:after="0" w:line="276" w:lineRule="auto"/>
              <w:rPr>
                <w:color w:val="000000" w:themeColor="text1"/>
                <w:sz w:val="20"/>
                <w:szCs w:val="20"/>
              </w:rPr>
            </w:pPr>
            <w:r w:rsidRPr="00A52AB8">
              <w:rPr>
                <w:color w:val="000000" w:themeColor="text1"/>
                <w:sz w:val="20"/>
                <w:szCs w:val="20"/>
              </w:rPr>
              <w:t>}</w:t>
            </w:r>
          </w:p>
        </w:tc>
        <w:tc>
          <w:tcPr>
            <w:tcW w:w="1331" w:type="dxa"/>
          </w:tcPr>
          <w:p w14:paraId="0832AD3F" w14:textId="77777777" w:rsidR="00052E8F" w:rsidRPr="00A52AB8" w:rsidRDefault="00052E8F">
            <w:pPr>
              <w:spacing w:after="0" w:line="276" w:lineRule="auto"/>
              <w:jc w:val="center"/>
              <w:rPr>
                <w:color w:val="000000" w:themeColor="text1"/>
                <w:sz w:val="20"/>
                <w:szCs w:val="20"/>
              </w:rPr>
            </w:pPr>
          </w:p>
        </w:tc>
      </w:tr>
    </w:tbl>
    <w:p w14:paraId="276B312F" w14:textId="77777777" w:rsidR="00C41D9B" w:rsidRPr="00A52AB8" w:rsidRDefault="008E0086" w:rsidP="005C26E9">
      <w:pPr>
        <w:pStyle w:val="Heading4"/>
      </w:pPr>
      <w:r w:rsidRPr="00A52AB8">
        <w:t>Inter p</w:t>
      </w:r>
      <w:r w:rsidR="00C41D9B" w:rsidRPr="00A52AB8">
        <w:t>atch data unit syntax</w:t>
      </w:r>
    </w:p>
    <w:tbl>
      <w:tblPr>
        <w:tblStyle w:val="TableGrid"/>
        <w:tblW w:w="5000" w:type="pct"/>
        <w:jc w:val="center"/>
        <w:tblLayout w:type="fixed"/>
        <w:tblLook w:val="04A0" w:firstRow="1" w:lastRow="0" w:firstColumn="1" w:lastColumn="0" w:noHBand="0" w:noVBand="1"/>
      </w:tblPr>
      <w:tblGrid>
        <w:gridCol w:w="8411"/>
        <w:gridCol w:w="1331"/>
      </w:tblGrid>
      <w:tr w:rsidR="00C41D9B" w:rsidRPr="00A52AB8" w14:paraId="2373D370" w14:textId="77777777" w:rsidTr="004A7026">
        <w:trPr>
          <w:jc w:val="center"/>
        </w:trPr>
        <w:tc>
          <w:tcPr>
            <w:tcW w:w="8411" w:type="dxa"/>
          </w:tcPr>
          <w:p w14:paraId="564AA194" w14:textId="05D1D602" w:rsidR="00C41D9B" w:rsidRPr="00A52AB8" w:rsidRDefault="008E0086">
            <w:pPr>
              <w:spacing w:before="20" w:after="20"/>
              <w:rPr>
                <w:color w:val="000000" w:themeColor="text1"/>
                <w:sz w:val="20"/>
                <w:szCs w:val="20"/>
              </w:rPr>
            </w:pPr>
            <w:r w:rsidRPr="00A52AB8">
              <w:rPr>
                <w:color w:val="000000" w:themeColor="text1"/>
                <w:sz w:val="20"/>
                <w:szCs w:val="20"/>
              </w:rPr>
              <w:t>inter</w:t>
            </w:r>
            <w:r w:rsidR="002258DC" w:rsidRPr="00A52AB8">
              <w:rPr>
                <w:color w:val="000000" w:themeColor="text1"/>
                <w:sz w:val="20"/>
                <w:szCs w:val="20"/>
              </w:rPr>
              <w:t>_</w:t>
            </w:r>
            <w:r w:rsidR="00C41D9B" w:rsidRPr="00A52AB8">
              <w:rPr>
                <w:color w:val="000000" w:themeColor="text1"/>
                <w:sz w:val="20"/>
                <w:szCs w:val="20"/>
              </w:rPr>
              <w:t>patch_data_unit(</w:t>
            </w:r>
            <w:r w:rsidR="004A292F" w:rsidRPr="00A52AB8">
              <w:rPr>
                <w:color w:val="000000" w:themeColor="text1"/>
                <w:sz w:val="20"/>
                <w:szCs w:val="20"/>
              </w:rPr>
              <w:t> </w:t>
            </w:r>
            <w:r w:rsidR="00632FA7" w:rsidRPr="00A52AB8">
              <w:rPr>
                <w:color w:val="000000" w:themeColor="text1"/>
                <w:sz w:val="20"/>
                <w:szCs w:val="20"/>
              </w:rPr>
              <w:t>tileID</w:t>
            </w:r>
            <w:r w:rsidR="004A292F" w:rsidRPr="00A52AB8">
              <w:rPr>
                <w:color w:val="000000" w:themeColor="text1"/>
                <w:sz w:val="20"/>
                <w:szCs w:val="20"/>
              </w:rPr>
              <w:t>,</w:t>
            </w:r>
            <w:r w:rsidR="00C41D9B" w:rsidRPr="00A52AB8">
              <w:rPr>
                <w:color w:val="000000" w:themeColor="text1"/>
                <w:sz w:val="20"/>
                <w:szCs w:val="20"/>
              </w:rPr>
              <w:t> </w:t>
            </w:r>
            <w:r w:rsidR="00E13AB1" w:rsidRPr="00A52AB8">
              <w:rPr>
                <w:color w:val="000000" w:themeColor="text1"/>
                <w:sz w:val="20"/>
                <w:szCs w:val="20"/>
              </w:rPr>
              <w:t>patchIdx</w:t>
            </w:r>
            <w:r w:rsidR="00CC1888" w:rsidRPr="00A52AB8">
              <w:rPr>
                <w:color w:val="000000" w:themeColor="text1"/>
                <w:sz w:val="20"/>
                <w:szCs w:val="20"/>
              </w:rPr>
              <w:t> </w:t>
            </w:r>
            <w:r w:rsidR="008F1F82" w:rsidRPr="00A52AB8">
              <w:rPr>
                <w:color w:val="000000" w:themeColor="text1"/>
                <w:sz w:val="20"/>
                <w:szCs w:val="20"/>
              </w:rPr>
              <w:t>) {</w:t>
            </w:r>
          </w:p>
        </w:tc>
        <w:tc>
          <w:tcPr>
            <w:tcW w:w="1331" w:type="dxa"/>
          </w:tcPr>
          <w:p w14:paraId="08258BE0" w14:textId="77777777" w:rsidR="00C41D9B" w:rsidRPr="00A52AB8" w:rsidRDefault="00C41D9B">
            <w:pPr>
              <w:spacing w:before="20" w:after="20"/>
              <w:jc w:val="center"/>
              <w:rPr>
                <w:b/>
                <w:color w:val="000000" w:themeColor="text1"/>
                <w:sz w:val="20"/>
                <w:szCs w:val="20"/>
              </w:rPr>
            </w:pPr>
            <w:r w:rsidRPr="00A52AB8">
              <w:rPr>
                <w:b/>
                <w:color w:val="000000" w:themeColor="text1"/>
                <w:sz w:val="20"/>
                <w:szCs w:val="20"/>
              </w:rPr>
              <w:t>Descriptor</w:t>
            </w:r>
          </w:p>
        </w:tc>
      </w:tr>
      <w:tr w:rsidR="008E0086" w:rsidRPr="00A52AB8" w14:paraId="4B218908" w14:textId="77777777" w:rsidTr="004A7026">
        <w:trPr>
          <w:jc w:val="center"/>
        </w:trPr>
        <w:tc>
          <w:tcPr>
            <w:tcW w:w="8411" w:type="dxa"/>
          </w:tcPr>
          <w:p w14:paraId="2D8338F8" w14:textId="4681204C" w:rsidR="008E0086" w:rsidRPr="00A52AB8" w:rsidRDefault="008E0086">
            <w:pPr>
              <w:spacing w:before="20" w:after="20"/>
              <w:rPr>
                <w:b/>
                <w:color w:val="000000" w:themeColor="text1"/>
                <w:sz w:val="20"/>
                <w:szCs w:val="20"/>
              </w:rPr>
            </w:pPr>
            <w:r w:rsidRPr="00A52AB8">
              <w:rPr>
                <w:b/>
                <w:color w:val="000000" w:themeColor="text1"/>
                <w:sz w:val="20"/>
                <w:szCs w:val="20"/>
              </w:rPr>
              <w:tab/>
            </w:r>
            <w:r w:rsidRPr="00A52AB8">
              <w:rPr>
                <w:color w:val="000000" w:themeColor="text1"/>
                <w:sz w:val="20"/>
                <w:szCs w:val="20"/>
              </w:rPr>
              <w:t>if(</w:t>
            </w:r>
            <w:r w:rsidR="00640C51" w:rsidRPr="00A52AB8">
              <w:rPr>
                <w:color w:val="000000" w:themeColor="text1"/>
                <w:sz w:val="20"/>
                <w:szCs w:val="20"/>
              </w:rPr>
              <w:t> </w:t>
            </w:r>
            <w:r w:rsidR="00640C51" w:rsidRPr="00A52AB8">
              <w:rPr>
                <w:sz w:val="20"/>
                <w:szCs w:val="20"/>
              </w:rPr>
              <w:t>NumRefIdxActive</w:t>
            </w:r>
            <w:r w:rsidR="002F5F32" w:rsidRPr="00A52AB8">
              <w:rPr>
                <w:bCs/>
                <w:sz w:val="20"/>
                <w:szCs w:val="20"/>
              </w:rPr>
              <w:t> </w:t>
            </w:r>
            <w:r w:rsidRPr="00A52AB8">
              <w:rPr>
                <w:color w:val="000000" w:themeColor="text1"/>
                <w:sz w:val="20"/>
                <w:szCs w:val="20"/>
              </w:rPr>
              <w:t>&gt;</w:t>
            </w:r>
            <w:r w:rsidR="002F5F32" w:rsidRPr="00A52AB8">
              <w:rPr>
                <w:color w:val="000000" w:themeColor="text1"/>
                <w:sz w:val="20"/>
                <w:szCs w:val="20"/>
              </w:rPr>
              <w:t> </w:t>
            </w:r>
            <w:r w:rsidR="00640C51" w:rsidRPr="00A52AB8">
              <w:rPr>
                <w:color w:val="000000" w:themeColor="text1"/>
                <w:sz w:val="20"/>
                <w:szCs w:val="20"/>
              </w:rPr>
              <w:t>1 </w:t>
            </w:r>
            <w:r w:rsidRPr="00A52AB8">
              <w:rPr>
                <w:color w:val="000000" w:themeColor="text1"/>
                <w:sz w:val="20"/>
                <w:szCs w:val="20"/>
              </w:rPr>
              <w:t>)</w:t>
            </w:r>
          </w:p>
        </w:tc>
        <w:tc>
          <w:tcPr>
            <w:tcW w:w="1331" w:type="dxa"/>
          </w:tcPr>
          <w:p w14:paraId="1E2D4E4C" w14:textId="77777777" w:rsidR="008E0086" w:rsidRPr="00A52AB8" w:rsidRDefault="008E0086">
            <w:pPr>
              <w:spacing w:before="20" w:after="20"/>
              <w:jc w:val="center"/>
              <w:rPr>
                <w:color w:val="000000" w:themeColor="text1"/>
                <w:sz w:val="20"/>
                <w:szCs w:val="20"/>
              </w:rPr>
            </w:pPr>
          </w:p>
        </w:tc>
      </w:tr>
      <w:tr w:rsidR="008E0086" w:rsidRPr="00A52AB8" w14:paraId="2A6068AA" w14:textId="77777777" w:rsidTr="004A7026">
        <w:trPr>
          <w:jc w:val="center"/>
        </w:trPr>
        <w:tc>
          <w:tcPr>
            <w:tcW w:w="8411" w:type="dxa"/>
          </w:tcPr>
          <w:p w14:paraId="6092E66C" w14:textId="77777777" w:rsidR="008E0086" w:rsidRPr="00A52AB8" w:rsidRDefault="008E0086">
            <w:pPr>
              <w:spacing w:before="20" w:after="20"/>
              <w:rPr>
                <w:b/>
                <w:color w:val="000000" w:themeColor="text1"/>
                <w:sz w:val="20"/>
                <w:szCs w:val="20"/>
              </w:rPr>
            </w:pPr>
            <w:r w:rsidRPr="00A52AB8">
              <w:rPr>
                <w:b/>
                <w:color w:val="000000" w:themeColor="text1"/>
                <w:sz w:val="20"/>
                <w:szCs w:val="20"/>
              </w:rPr>
              <w:tab/>
            </w:r>
            <w:r w:rsidRPr="00A52AB8">
              <w:rPr>
                <w:b/>
                <w:color w:val="000000" w:themeColor="text1"/>
                <w:sz w:val="20"/>
                <w:szCs w:val="20"/>
              </w:rPr>
              <w:tab/>
              <w:t>ipdu_ref_index</w:t>
            </w:r>
            <w:r w:rsidR="004A292F" w:rsidRPr="00A52AB8">
              <w:rPr>
                <w:color w:val="000000" w:themeColor="text1"/>
                <w:sz w:val="20"/>
                <w:szCs w:val="20"/>
              </w:rPr>
              <w:t>[ </w:t>
            </w:r>
            <w:r w:rsidR="00632FA7" w:rsidRPr="00A52AB8">
              <w:rPr>
                <w:color w:val="000000" w:themeColor="text1"/>
                <w:sz w:val="20"/>
                <w:szCs w:val="20"/>
              </w:rPr>
              <w:t>tileID</w:t>
            </w:r>
            <w:r w:rsidR="004A292F" w:rsidRPr="00A52AB8">
              <w:rPr>
                <w:color w:val="000000" w:themeColor="text1"/>
                <w:sz w:val="20"/>
                <w:szCs w:val="20"/>
              </w:rPr>
              <w:t> ]</w:t>
            </w:r>
            <w:r w:rsidR="001F3C1E" w:rsidRPr="00A52AB8">
              <w:rPr>
                <w:color w:val="000000" w:themeColor="text1"/>
                <w:sz w:val="20"/>
                <w:szCs w:val="20"/>
              </w:rPr>
              <w:t>[ patchIdx ]</w:t>
            </w:r>
          </w:p>
        </w:tc>
        <w:tc>
          <w:tcPr>
            <w:tcW w:w="1331" w:type="dxa"/>
          </w:tcPr>
          <w:p w14:paraId="7E9EBA5C" w14:textId="77777777" w:rsidR="008E0086" w:rsidRPr="00A52AB8" w:rsidRDefault="008E0086">
            <w:pPr>
              <w:spacing w:before="20" w:after="20"/>
              <w:jc w:val="center"/>
              <w:rPr>
                <w:color w:val="000000" w:themeColor="text1"/>
                <w:sz w:val="20"/>
                <w:szCs w:val="20"/>
              </w:rPr>
            </w:pPr>
            <w:r w:rsidRPr="00A52AB8">
              <w:rPr>
                <w:color w:val="000000" w:themeColor="text1"/>
                <w:sz w:val="20"/>
                <w:szCs w:val="20"/>
              </w:rPr>
              <w:t>ue(v)</w:t>
            </w:r>
          </w:p>
        </w:tc>
      </w:tr>
      <w:tr w:rsidR="008E0086" w:rsidRPr="00A52AB8" w14:paraId="22A8F2E6" w14:textId="77777777" w:rsidTr="004A7026">
        <w:trPr>
          <w:jc w:val="center"/>
        </w:trPr>
        <w:tc>
          <w:tcPr>
            <w:tcW w:w="8411" w:type="dxa"/>
          </w:tcPr>
          <w:p w14:paraId="4F9C045E" w14:textId="77777777" w:rsidR="008E0086" w:rsidRPr="00A52AB8" w:rsidRDefault="008E0086">
            <w:pPr>
              <w:spacing w:before="20" w:after="20"/>
              <w:rPr>
                <w:color w:val="000000" w:themeColor="text1"/>
                <w:sz w:val="20"/>
                <w:szCs w:val="20"/>
              </w:rPr>
            </w:pPr>
            <w:r w:rsidRPr="00A52AB8">
              <w:rPr>
                <w:b/>
                <w:color w:val="000000" w:themeColor="text1"/>
                <w:sz w:val="20"/>
                <w:szCs w:val="20"/>
              </w:rPr>
              <w:tab/>
              <w:t>ipdu_patch_index</w:t>
            </w:r>
            <w:r w:rsidR="004A292F" w:rsidRPr="00A52AB8">
              <w:rPr>
                <w:color w:val="000000" w:themeColor="text1"/>
                <w:sz w:val="20"/>
                <w:szCs w:val="20"/>
              </w:rPr>
              <w:t>[ </w:t>
            </w:r>
            <w:r w:rsidR="00632FA7" w:rsidRPr="00A52AB8">
              <w:rPr>
                <w:color w:val="000000" w:themeColor="text1"/>
                <w:sz w:val="20"/>
                <w:szCs w:val="20"/>
              </w:rPr>
              <w:t>tileID</w:t>
            </w:r>
            <w:r w:rsidR="004A292F" w:rsidRPr="00A52AB8">
              <w:rPr>
                <w:color w:val="000000" w:themeColor="text1"/>
                <w:sz w:val="20"/>
                <w:szCs w:val="20"/>
              </w:rPr>
              <w:t> ]</w:t>
            </w:r>
            <w:r w:rsidR="001F3C1E" w:rsidRPr="00A52AB8">
              <w:rPr>
                <w:color w:val="000000" w:themeColor="text1"/>
                <w:sz w:val="20"/>
                <w:szCs w:val="20"/>
              </w:rPr>
              <w:t>[ patchIdx ]</w:t>
            </w:r>
            <w:r w:rsidRPr="00A52AB8">
              <w:rPr>
                <w:color w:val="000000" w:themeColor="text1"/>
                <w:sz w:val="20"/>
                <w:szCs w:val="20"/>
              </w:rPr>
              <w:t xml:space="preserve"> </w:t>
            </w:r>
          </w:p>
        </w:tc>
        <w:tc>
          <w:tcPr>
            <w:tcW w:w="1331" w:type="dxa"/>
          </w:tcPr>
          <w:p w14:paraId="2F607659" w14:textId="77777777" w:rsidR="008E0086" w:rsidRPr="00A52AB8" w:rsidRDefault="008E0086">
            <w:pPr>
              <w:spacing w:before="20" w:after="20"/>
              <w:jc w:val="center"/>
              <w:rPr>
                <w:color w:val="000000" w:themeColor="text1"/>
                <w:sz w:val="20"/>
                <w:szCs w:val="20"/>
              </w:rPr>
            </w:pPr>
            <w:r w:rsidRPr="00A52AB8">
              <w:rPr>
                <w:color w:val="000000" w:themeColor="text1"/>
                <w:sz w:val="20"/>
                <w:szCs w:val="20"/>
              </w:rPr>
              <w:t>se(v)</w:t>
            </w:r>
          </w:p>
        </w:tc>
      </w:tr>
      <w:tr w:rsidR="008E0086" w:rsidRPr="00A52AB8" w14:paraId="244ED8A8" w14:textId="77777777" w:rsidTr="004A7026">
        <w:trPr>
          <w:jc w:val="center"/>
        </w:trPr>
        <w:tc>
          <w:tcPr>
            <w:tcW w:w="8411" w:type="dxa"/>
          </w:tcPr>
          <w:p w14:paraId="467B2EBB" w14:textId="47EAEA4B" w:rsidR="008E0086" w:rsidRPr="00A52AB8" w:rsidRDefault="008E0086">
            <w:pPr>
              <w:spacing w:before="20" w:after="20"/>
              <w:rPr>
                <w:color w:val="000000" w:themeColor="text1"/>
                <w:sz w:val="20"/>
                <w:szCs w:val="20"/>
                <w:lang w:eastAsia="ja-JP"/>
              </w:rPr>
            </w:pPr>
            <w:r w:rsidRPr="00A52AB8">
              <w:rPr>
                <w:b/>
                <w:color w:val="000000" w:themeColor="text1"/>
                <w:sz w:val="20"/>
                <w:szCs w:val="20"/>
              </w:rPr>
              <w:tab/>
              <w:t>ipdu_2d_</w:t>
            </w:r>
            <w:r w:rsidR="00627BE0" w:rsidRPr="00A52AB8">
              <w:rPr>
                <w:b/>
                <w:color w:val="000000" w:themeColor="text1"/>
                <w:sz w:val="20"/>
                <w:szCs w:val="20"/>
              </w:rPr>
              <w:t>pos</w:t>
            </w:r>
            <w:r w:rsidRPr="00A52AB8">
              <w:rPr>
                <w:b/>
                <w:color w:val="000000" w:themeColor="text1"/>
                <w:sz w:val="20"/>
                <w:szCs w:val="20"/>
              </w:rPr>
              <w:t>_x</w:t>
            </w:r>
            <w:r w:rsidR="004A292F" w:rsidRPr="00A52AB8">
              <w:rPr>
                <w:color w:val="000000" w:themeColor="text1"/>
                <w:sz w:val="20"/>
                <w:szCs w:val="20"/>
              </w:rPr>
              <w:t>[ </w:t>
            </w:r>
            <w:r w:rsidR="00632FA7" w:rsidRPr="00A52AB8">
              <w:rPr>
                <w:color w:val="000000" w:themeColor="text1"/>
                <w:sz w:val="20"/>
                <w:szCs w:val="20"/>
              </w:rPr>
              <w:t>tileID</w:t>
            </w:r>
            <w:r w:rsidR="004A292F" w:rsidRPr="00A52AB8">
              <w:rPr>
                <w:color w:val="000000" w:themeColor="text1"/>
                <w:sz w:val="20"/>
                <w:szCs w:val="20"/>
              </w:rPr>
              <w:t> ]</w:t>
            </w:r>
            <w:r w:rsidRPr="00A52AB8">
              <w:rPr>
                <w:color w:val="000000" w:themeColor="text1"/>
                <w:sz w:val="20"/>
                <w:szCs w:val="20"/>
              </w:rPr>
              <w:t>[ </w:t>
            </w:r>
            <w:r w:rsidR="00E13AB1" w:rsidRPr="00A52AB8">
              <w:rPr>
                <w:color w:val="000000" w:themeColor="text1"/>
                <w:sz w:val="20"/>
                <w:szCs w:val="20"/>
              </w:rPr>
              <w:t>patchIdx</w:t>
            </w:r>
            <w:r w:rsidRPr="00A52AB8">
              <w:rPr>
                <w:color w:val="000000" w:themeColor="text1"/>
                <w:sz w:val="20"/>
                <w:szCs w:val="20"/>
              </w:rPr>
              <w:t> ]</w:t>
            </w:r>
          </w:p>
        </w:tc>
        <w:tc>
          <w:tcPr>
            <w:tcW w:w="1331" w:type="dxa"/>
          </w:tcPr>
          <w:p w14:paraId="7EBC9937" w14:textId="77777777" w:rsidR="008E0086" w:rsidRPr="00A52AB8" w:rsidRDefault="008E0086">
            <w:pPr>
              <w:spacing w:before="20" w:after="20"/>
              <w:jc w:val="center"/>
              <w:rPr>
                <w:color w:val="000000" w:themeColor="text1"/>
                <w:sz w:val="20"/>
                <w:szCs w:val="20"/>
              </w:rPr>
            </w:pPr>
            <w:r w:rsidRPr="00A52AB8">
              <w:rPr>
                <w:color w:val="000000" w:themeColor="text1"/>
                <w:sz w:val="20"/>
                <w:szCs w:val="20"/>
              </w:rPr>
              <w:t>se(v)</w:t>
            </w:r>
          </w:p>
        </w:tc>
      </w:tr>
      <w:tr w:rsidR="008E0086" w:rsidRPr="00A52AB8" w14:paraId="5533F278" w14:textId="77777777" w:rsidTr="004A7026">
        <w:trPr>
          <w:jc w:val="center"/>
        </w:trPr>
        <w:tc>
          <w:tcPr>
            <w:tcW w:w="8411" w:type="dxa"/>
          </w:tcPr>
          <w:p w14:paraId="7FDA5A4D" w14:textId="77777777" w:rsidR="008E0086" w:rsidRPr="00A52AB8" w:rsidRDefault="008E0086">
            <w:pPr>
              <w:spacing w:before="20" w:after="20"/>
              <w:rPr>
                <w:color w:val="000000" w:themeColor="text1"/>
                <w:sz w:val="20"/>
                <w:szCs w:val="20"/>
              </w:rPr>
            </w:pPr>
            <w:r w:rsidRPr="00A52AB8">
              <w:rPr>
                <w:b/>
                <w:color w:val="000000" w:themeColor="text1"/>
                <w:sz w:val="20"/>
                <w:szCs w:val="20"/>
              </w:rPr>
              <w:tab/>
              <w:t>ipdu_2d_</w:t>
            </w:r>
            <w:r w:rsidR="00627BE0" w:rsidRPr="00A52AB8">
              <w:rPr>
                <w:b/>
                <w:color w:val="000000" w:themeColor="text1"/>
                <w:sz w:val="20"/>
                <w:szCs w:val="20"/>
              </w:rPr>
              <w:t>pos</w:t>
            </w:r>
            <w:r w:rsidRPr="00A52AB8">
              <w:rPr>
                <w:b/>
                <w:color w:val="000000" w:themeColor="text1"/>
                <w:sz w:val="20"/>
                <w:szCs w:val="20"/>
              </w:rPr>
              <w:t>_y</w:t>
            </w:r>
            <w:r w:rsidR="004A292F" w:rsidRPr="00A52AB8">
              <w:rPr>
                <w:color w:val="000000" w:themeColor="text1"/>
                <w:sz w:val="20"/>
                <w:szCs w:val="20"/>
              </w:rPr>
              <w:t>[ </w:t>
            </w:r>
            <w:r w:rsidR="00632FA7" w:rsidRPr="00A52AB8">
              <w:rPr>
                <w:color w:val="000000" w:themeColor="text1"/>
                <w:sz w:val="20"/>
                <w:szCs w:val="20"/>
              </w:rPr>
              <w:t>tileID</w:t>
            </w:r>
            <w:r w:rsidR="004A292F" w:rsidRPr="00A52AB8">
              <w:rPr>
                <w:color w:val="000000" w:themeColor="text1"/>
                <w:sz w:val="20"/>
                <w:szCs w:val="20"/>
              </w:rPr>
              <w:t> ]</w:t>
            </w:r>
            <w:r w:rsidR="001F3C1E" w:rsidRPr="00A52AB8">
              <w:rPr>
                <w:color w:val="000000" w:themeColor="text1"/>
                <w:sz w:val="20"/>
                <w:szCs w:val="20"/>
              </w:rPr>
              <w:t>[ patchIdx ]</w:t>
            </w:r>
          </w:p>
        </w:tc>
        <w:tc>
          <w:tcPr>
            <w:tcW w:w="1331" w:type="dxa"/>
          </w:tcPr>
          <w:p w14:paraId="76C741CB" w14:textId="77777777" w:rsidR="008E0086" w:rsidRPr="00A52AB8" w:rsidRDefault="008E0086">
            <w:pPr>
              <w:spacing w:before="20" w:after="20"/>
              <w:jc w:val="center"/>
              <w:rPr>
                <w:color w:val="000000" w:themeColor="text1"/>
                <w:sz w:val="20"/>
                <w:szCs w:val="20"/>
              </w:rPr>
            </w:pPr>
            <w:r w:rsidRPr="00A52AB8">
              <w:rPr>
                <w:color w:val="000000" w:themeColor="text1"/>
                <w:sz w:val="20"/>
                <w:szCs w:val="20"/>
              </w:rPr>
              <w:t>se(v)</w:t>
            </w:r>
          </w:p>
        </w:tc>
      </w:tr>
      <w:tr w:rsidR="008E0086" w:rsidRPr="00A52AB8" w14:paraId="7C50AD67" w14:textId="77777777" w:rsidTr="004A7026">
        <w:trPr>
          <w:jc w:val="center"/>
        </w:trPr>
        <w:tc>
          <w:tcPr>
            <w:tcW w:w="8411" w:type="dxa"/>
          </w:tcPr>
          <w:p w14:paraId="44E9CAD2" w14:textId="77777777" w:rsidR="008E0086" w:rsidRPr="00A52AB8" w:rsidRDefault="008E0086">
            <w:pPr>
              <w:spacing w:before="20" w:after="20"/>
              <w:rPr>
                <w:color w:val="000000" w:themeColor="text1"/>
                <w:sz w:val="20"/>
                <w:szCs w:val="20"/>
              </w:rPr>
            </w:pPr>
            <w:r w:rsidRPr="00A52AB8">
              <w:rPr>
                <w:color w:val="000000" w:themeColor="text1"/>
                <w:sz w:val="20"/>
                <w:szCs w:val="20"/>
              </w:rPr>
              <w:tab/>
            </w:r>
            <w:r w:rsidRPr="00A52AB8">
              <w:rPr>
                <w:b/>
                <w:color w:val="000000" w:themeColor="text1"/>
                <w:sz w:val="20"/>
                <w:szCs w:val="20"/>
              </w:rPr>
              <w:t>ipdu_2d_delta_size_x</w:t>
            </w:r>
            <w:r w:rsidR="004A292F" w:rsidRPr="00A52AB8">
              <w:rPr>
                <w:color w:val="000000" w:themeColor="text1"/>
                <w:sz w:val="20"/>
                <w:szCs w:val="20"/>
              </w:rPr>
              <w:t>[ </w:t>
            </w:r>
            <w:r w:rsidR="00632FA7" w:rsidRPr="00A52AB8">
              <w:rPr>
                <w:color w:val="000000" w:themeColor="text1"/>
                <w:sz w:val="20"/>
                <w:szCs w:val="20"/>
              </w:rPr>
              <w:t>tileID</w:t>
            </w:r>
            <w:r w:rsidR="004A292F" w:rsidRPr="00A52AB8">
              <w:rPr>
                <w:color w:val="000000" w:themeColor="text1"/>
                <w:sz w:val="20"/>
                <w:szCs w:val="20"/>
              </w:rPr>
              <w:t> ]</w:t>
            </w:r>
            <w:r w:rsidR="001F3C1E" w:rsidRPr="00A52AB8">
              <w:rPr>
                <w:color w:val="000000" w:themeColor="text1"/>
                <w:sz w:val="20"/>
                <w:szCs w:val="20"/>
              </w:rPr>
              <w:t>[ patchIdx ]</w:t>
            </w:r>
          </w:p>
        </w:tc>
        <w:tc>
          <w:tcPr>
            <w:tcW w:w="1331" w:type="dxa"/>
          </w:tcPr>
          <w:p w14:paraId="5816C356" w14:textId="77777777" w:rsidR="008E0086" w:rsidRPr="00A52AB8" w:rsidRDefault="008E0086">
            <w:pPr>
              <w:spacing w:before="20" w:after="20"/>
              <w:jc w:val="center"/>
              <w:rPr>
                <w:color w:val="000000" w:themeColor="text1"/>
                <w:sz w:val="20"/>
                <w:szCs w:val="20"/>
              </w:rPr>
            </w:pPr>
            <w:r w:rsidRPr="00A52AB8">
              <w:rPr>
                <w:color w:val="000000" w:themeColor="text1"/>
                <w:sz w:val="20"/>
                <w:szCs w:val="20"/>
              </w:rPr>
              <w:t>se(v)</w:t>
            </w:r>
          </w:p>
        </w:tc>
      </w:tr>
      <w:tr w:rsidR="008E0086" w:rsidRPr="00A52AB8" w14:paraId="1B816C8C" w14:textId="77777777" w:rsidTr="004A7026">
        <w:trPr>
          <w:jc w:val="center"/>
        </w:trPr>
        <w:tc>
          <w:tcPr>
            <w:tcW w:w="8411" w:type="dxa"/>
          </w:tcPr>
          <w:p w14:paraId="3E194F97" w14:textId="77777777" w:rsidR="008E0086" w:rsidRPr="00A52AB8" w:rsidRDefault="008E0086">
            <w:pPr>
              <w:spacing w:before="20" w:after="20"/>
              <w:rPr>
                <w:color w:val="000000" w:themeColor="text1"/>
                <w:sz w:val="20"/>
                <w:szCs w:val="20"/>
                <w:lang w:eastAsia="ja-JP"/>
              </w:rPr>
            </w:pPr>
            <w:r w:rsidRPr="00A52AB8">
              <w:rPr>
                <w:color w:val="000000" w:themeColor="text1"/>
                <w:sz w:val="20"/>
                <w:szCs w:val="20"/>
              </w:rPr>
              <w:tab/>
            </w:r>
            <w:r w:rsidRPr="00A52AB8">
              <w:rPr>
                <w:b/>
                <w:color w:val="000000" w:themeColor="text1"/>
                <w:sz w:val="20"/>
                <w:szCs w:val="20"/>
              </w:rPr>
              <w:t>ipdu_2d_delta_size_y</w:t>
            </w:r>
            <w:r w:rsidR="004A292F" w:rsidRPr="00A52AB8">
              <w:rPr>
                <w:color w:val="000000" w:themeColor="text1"/>
                <w:sz w:val="20"/>
                <w:szCs w:val="20"/>
              </w:rPr>
              <w:t>[ </w:t>
            </w:r>
            <w:r w:rsidR="00632FA7" w:rsidRPr="00A52AB8">
              <w:rPr>
                <w:color w:val="000000" w:themeColor="text1"/>
                <w:sz w:val="20"/>
                <w:szCs w:val="20"/>
              </w:rPr>
              <w:t>tileID</w:t>
            </w:r>
            <w:r w:rsidR="004A292F" w:rsidRPr="00A52AB8">
              <w:rPr>
                <w:color w:val="000000" w:themeColor="text1"/>
                <w:sz w:val="20"/>
                <w:szCs w:val="20"/>
              </w:rPr>
              <w:t> ]</w:t>
            </w:r>
            <w:r w:rsidR="001F3C1E" w:rsidRPr="00A52AB8">
              <w:rPr>
                <w:color w:val="000000" w:themeColor="text1"/>
                <w:sz w:val="20"/>
                <w:szCs w:val="20"/>
              </w:rPr>
              <w:t>[ patchIdx ]</w:t>
            </w:r>
          </w:p>
        </w:tc>
        <w:tc>
          <w:tcPr>
            <w:tcW w:w="1331" w:type="dxa"/>
          </w:tcPr>
          <w:p w14:paraId="6C0F2167" w14:textId="77777777" w:rsidR="008E0086" w:rsidRPr="00A52AB8" w:rsidRDefault="008E0086">
            <w:pPr>
              <w:spacing w:before="20" w:after="20"/>
              <w:jc w:val="center"/>
              <w:rPr>
                <w:color w:val="000000" w:themeColor="text1"/>
                <w:sz w:val="20"/>
                <w:szCs w:val="20"/>
              </w:rPr>
            </w:pPr>
            <w:r w:rsidRPr="00A52AB8">
              <w:rPr>
                <w:color w:val="000000" w:themeColor="text1"/>
                <w:sz w:val="20"/>
                <w:szCs w:val="20"/>
              </w:rPr>
              <w:t>se(v)</w:t>
            </w:r>
          </w:p>
        </w:tc>
      </w:tr>
      <w:tr w:rsidR="008E0086" w:rsidRPr="00A52AB8" w14:paraId="50DE1649" w14:textId="77777777" w:rsidTr="004A7026">
        <w:trPr>
          <w:jc w:val="center"/>
        </w:trPr>
        <w:tc>
          <w:tcPr>
            <w:tcW w:w="8411" w:type="dxa"/>
          </w:tcPr>
          <w:p w14:paraId="4F2E01B6" w14:textId="77777777" w:rsidR="008E0086" w:rsidRPr="00A52AB8" w:rsidRDefault="008E0086">
            <w:pPr>
              <w:spacing w:before="20" w:after="20"/>
              <w:rPr>
                <w:color w:val="000000" w:themeColor="text1"/>
                <w:sz w:val="20"/>
                <w:szCs w:val="20"/>
                <w:lang w:eastAsia="ja-JP"/>
              </w:rPr>
            </w:pPr>
            <w:r w:rsidRPr="00A52AB8">
              <w:rPr>
                <w:color w:val="000000" w:themeColor="text1"/>
                <w:sz w:val="20"/>
                <w:szCs w:val="20"/>
              </w:rPr>
              <w:tab/>
            </w:r>
            <w:r w:rsidRPr="00A52AB8">
              <w:rPr>
                <w:b/>
                <w:color w:val="000000" w:themeColor="text1"/>
                <w:sz w:val="20"/>
                <w:szCs w:val="20"/>
              </w:rPr>
              <w:t>i</w:t>
            </w:r>
            <w:r w:rsidR="007356C4" w:rsidRPr="00A52AB8">
              <w:rPr>
                <w:b/>
                <w:color w:val="000000" w:themeColor="text1"/>
                <w:sz w:val="20"/>
                <w:szCs w:val="20"/>
              </w:rPr>
              <w:t>pdu_3d_offset_u</w:t>
            </w:r>
            <w:r w:rsidR="004A292F" w:rsidRPr="00A52AB8">
              <w:rPr>
                <w:color w:val="000000" w:themeColor="text1"/>
                <w:sz w:val="20"/>
                <w:szCs w:val="20"/>
              </w:rPr>
              <w:t>[ </w:t>
            </w:r>
            <w:r w:rsidR="00632FA7" w:rsidRPr="00A52AB8">
              <w:rPr>
                <w:color w:val="000000" w:themeColor="text1"/>
                <w:sz w:val="20"/>
                <w:szCs w:val="20"/>
              </w:rPr>
              <w:t>tileID</w:t>
            </w:r>
            <w:r w:rsidR="004A292F" w:rsidRPr="00A52AB8">
              <w:rPr>
                <w:color w:val="000000" w:themeColor="text1"/>
                <w:sz w:val="20"/>
                <w:szCs w:val="20"/>
              </w:rPr>
              <w:t> ]</w:t>
            </w:r>
            <w:r w:rsidR="001F3C1E" w:rsidRPr="00A52AB8">
              <w:rPr>
                <w:color w:val="000000" w:themeColor="text1"/>
                <w:sz w:val="20"/>
                <w:szCs w:val="20"/>
              </w:rPr>
              <w:t>[ patchIdx ]</w:t>
            </w:r>
          </w:p>
        </w:tc>
        <w:tc>
          <w:tcPr>
            <w:tcW w:w="1331" w:type="dxa"/>
          </w:tcPr>
          <w:p w14:paraId="33048E91" w14:textId="77777777" w:rsidR="008E0086" w:rsidRPr="00A52AB8" w:rsidRDefault="008E0086">
            <w:pPr>
              <w:spacing w:before="20" w:after="20"/>
              <w:jc w:val="center"/>
              <w:rPr>
                <w:color w:val="000000" w:themeColor="text1"/>
                <w:sz w:val="20"/>
                <w:szCs w:val="20"/>
              </w:rPr>
            </w:pPr>
            <w:r w:rsidRPr="00A52AB8">
              <w:rPr>
                <w:color w:val="000000" w:themeColor="text1"/>
                <w:sz w:val="20"/>
                <w:szCs w:val="20"/>
              </w:rPr>
              <w:t>se(v)</w:t>
            </w:r>
          </w:p>
        </w:tc>
      </w:tr>
      <w:tr w:rsidR="008E0086" w:rsidRPr="00A52AB8" w14:paraId="3C0A9982" w14:textId="77777777" w:rsidTr="004A7026">
        <w:trPr>
          <w:jc w:val="center"/>
        </w:trPr>
        <w:tc>
          <w:tcPr>
            <w:tcW w:w="8411" w:type="dxa"/>
          </w:tcPr>
          <w:p w14:paraId="7309BE8A" w14:textId="77777777" w:rsidR="008E0086" w:rsidRPr="00A52AB8" w:rsidRDefault="008E0086">
            <w:pPr>
              <w:spacing w:before="20" w:after="20"/>
              <w:rPr>
                <w:color w:val="000000" w:themeColor="text1"/>
                <w:sz w:val="20"/>
                <w:szCs w:val="20"/>
                <w:lang w:eastAsia="ja-JP"/>
              </w:rPr>
            </w:pPr>
            <w:r w:rsidRPr="00A52AB8">
              <w:rPr>
                <w:color w:val="000000" w:themeColor="text1"/>
                <w:sz w:val="20"/>
                <w:szCs w:val="20"/>
              </w:rPr>
              <w:tab/>
            </w:r>
            <w:r w:rsidRPr="00A52AB8">
              <w:rPr>
                <w:b/>
                <w:color w:val="000000" w:themeColor="text1"/>
                <w:sz w:val="20"/>
                <w:szCs w:val="20"/>
              </w:rPr>
              <w:t>i</w:t>
            </w:r>
            <w:r w:rsidR="007356C4" w:rsidRPr="00A52AB8">
              <w:rPr>
                <w:b/>
                <w:color w:val="000000" w:themeColor="text1"/>
                <w:sz w:val="20"/>
                <w:szCs w:val="20"/>
              </w:rPr>
              <w:t>pdu_3d_offset_v</w:t>
            </w:r>
            <w:r w:rsidR="004A292F" w:rsidRPr="00A52AB8">
              <w:rPr>
                <w:color w:val="000000" w:themeColor="text1"/>
                <w:sz w:val="20"/>
                <w:szCs w:val="20"/>
              </w:rPr>
              <w:t>[ </w:t>
            </w:r>
            <w:r w:rsidR="00632FA7" w:rsidRPr="00A52AB8">
              <w:rPr>
                <w:color w:val="000000" w:themeColor="text1"/>
                <w:sz w:val="20"/>
                <w:szCs w:val="20"/>
              </w:rPr>
              <w:t>tileID</w:t>
            </w:r>
            <w:r w:rsidR="004A292F" w:rsidRPr="00A52AB8">
              <w:rPr>
                <w:color w:val="000000" w:themeColor="text1"/>
                <w:sz w:val="20"/>
                <w:szCs w:val="20"/>
              </w:rPr>
              <w:t> ]</w:t>
            </w:r>
            <w:r w:rsidR="001F3C1E" w:rsidRPr="00A52AB8">
              <w:rPr>
                <w:color w:val="000000" w:themeColor="text1"/>
                <w:sz w:val="20"/>
                <w:szCs w:val="20"/>
              </w:rPr>
              <w:t>[ patchIdx ]</w:t>
            </w:r>
          </w:p>
        </w:tc>
        <w:tc>
          <w:tcPr>
            <w:tcW w:w="1331" w:type="dxa"/>
          </w:tcPr>
          <w:p w14:paraId="57DFB409" w14:textId="77777777" w:rsidR="008E0086" w:rsidRPr="00A52AB8" w:rsidRDefault="008E0086">
            <w:pPr>
              <w:spacing w:before="20" w:after="20"/>
              <w:jc w:val="center"/>
              <w:rPr>
                <w:color w:val="000000" w:themeColor="text1"/>
                <w:sz w:val="20"/>
                <w:szCs w:val="20"/>
              </w:rPr>
            </w:pPr>
            <w:r w:rsidRPr="00A52AB8">
              <w:rPr>
                <w:color w:val="000000" w:themeColor="text1"/>
                <w:sz w:val="20"/>
                <w:szCs w:val="20"/>
              </w:rPr>
              <w:t>se(v)</w:t>
            </w:r>
          </w:p>
        </w:tc>
      </w:tr>
      <w:tr w:rsidR="008E0086" w:rsidRPr="00A52AB8" w14:paraId="0E0E15B7" w14:textId="77777777" w:rsidTr="004A7026">
        <w:trPr>
          <w:jc w:val="center"/>
        </w:trPr>
        <w:tc>
          <w:tcPr>
            <w:tcW w:w="8411" w:type="dxa"/>
          </w:tcPr>
          <w:p w14:paraId="7DAFDAB4" w14:textId="77777777" w:rsidR="008E0086" w:rsidRPr="00A52AB8" w:rsidRDefault="008E0086">
            <w:pPr>
              <w:spacing w:before="20" w:after="20"/>
              <w:rPr>
                <w:b/>
                <w:color w:val="000000" w:themeColor="text1"/>
                <w:sz w:val="20"/>
                <w:szCs w:val="20"/>
              </w:rPr>
            </w:pPr>
            <w:r w:rsidRPr="00A52AB8">
              <w:rPr>
                <w:color w:val="000000" w:themeColor="text1"/>
                <w:sz w:val="20"/>
                <w:szCs w:val="20"/>
              </w:rPr>
              <w:tab/>
            </w:r>
            <w:r w:rsidRPr="00A52AB8">
              <w:rPr>
                <w:b/>
                <w:color w:val="000000" w:themeColor="text1"/>
                <w:sz w:val="20"/>
                <w:szCs w:val="20"/>
              </w:rPr>
              <w:t>i</w:t>
            </w:r>
            <w:r w:rsidR="007356C4" w:rsidRPr="00A52AB8">
              <w:rPr>
                <w:b/>
                <w:color w:val="000000" w:themeColor="text1"/>
                <w:sz w:val="20"/>
                <w:szCs w:val="20"/>
              </w:rPr>
              <w:t>pdu_3d_offset_d</w:t>
            </w:r>
            <w:r w:rsidR="004A292F" w:rsidRPr="00A52AB8">
              <w:rPr>
                <w:color w:val="000000" w:themeColor="text1"/>
                <w:sz w:val="20"/>
                <w:szCs w:val="20"/>
              </w:rPr>
              <w:t>[ </w:t>
            </w:r>
            <w:r w:rsidR="00632FA7" w:rsidRPr="00A52AB8">
              <w:rPr>
                <w:color w:val="000000" w:themeColor="text1"/>
                <w:sz w:val="20"/>
                <w:szCs w:val="20"/>
              </w:rPr>
              <w:t>tileID</w:t>
            </w:r>
            <w:r w:rsidR="004A292F" w:rsidRPr="00A52AB8">
              <w:rPr>
                <w:color w:val="000000" w:themeColor="text1"/>
                <w:sz w:val="20"/>
                <w:szCs w:val="20"/>
              </w:rPr>
              <w:t> ]</w:t>
            </w:r>
            <w:r w:rsidR="001F3C1E" w:rsidRPr="00A52AB8">
              <w:rPr>
                <w:color w:val="000000" w:themeColor="text1"/>
                <w:sz w:val="20"/>
                <w:szCs w:val="20"/>
              </w:rPr>
              <w:t>[ patchIdx ]</w:t>
            </w:r>
          </w:p>
        </w:tc>
        <w:tc>
          <w:tcPr>
            <w:tcW w:w="1331" w:type="dxa"/>
          </w:tcPr>
          <w:p w14:paraId="5E661A5C" w14:textId="77777777" w:rsidR="008E0086" w:rsidRPr="00A52AB8" w:rsidRDefault="008E0086">
            <w:pPr>
              <w:spacing w:before="20" w:after="20"/>
              <w:jc w:val="center"/>
              <w:rPr>
                <w:color w:val="000000" w:themeColor="text1"/>
                <w:sz w:val="20"/>
                <w:szCs w:val="20"/>
              </w:rPr>
            </w:pPr>
            <w:r w:rsidRPr="00A52AB8">
              <w:rPr>
                <w:color w:val="000000" w:themeColor="text1"/>
                <w:sz w:val="20"/>
                <w:szCs w:val="20"/>
              </w:rPr>
              <w:t>se(v)</w:t>
            </w:r>
          </w:p>
        </w:tc>
      </w:tr>
      <w:tr w:rsidR="008E0086" w:rsidRPr="00A52AB8" w14:paraId="5B12DF20" w14:textId="77777777" w:rsidTr="004A7026">
        <w:trPr>
          <w:trHeight w:val="224"/>
          <w:jc w:val="center"/>
        </w:trPr>
        <w:tc>
          <w:tcPr>
            <w:tcW w:w="8411" w:type="dxa"/>
          </w:tcPr>
          <w:p w14:paraId="4D63BC3C" w14:textId="77777777" w:rsidR="008E0086" w:rsidRPr="00A52AB8" w:rsidRDefault="008E0086">
            <w:pPr>
              <w:spacing w:before="20" w:after="20"/>
              <w:rPr>
                <w:color w:val="000000" w:themeColor="text1"/>
                <w:sz w:val="20"/>
                <w:szCs w:val="20"/>
              </w:rPr>
            </w:pPr>
            <w:r w:rsidRPr="00A52AB8">
              <w:rPr>
                <w:color w:val="000000" w:themeColor="text1"/>
                <w:sz w:val="20"/>
                <w:szCs w:val="20"/>
              </w:rPr>
              <w:tab/>
              <w:t>if( </w:t>
            </w:r>
            <w:r w:rsidR="00EB723C" w:rsidRPr="00A52AB8">
              <w:rPr>
                <w:color w:val="000000" w:themeColor="text1"/>
                <w:sz w:val="20"/>
                <w:szCs w:val="20"/>
              </w:rPr>
              <w:t>asps_</w:t>
            </w:r>
            <w:r w:rsidRPr="00A52AB8">
              <w:rPr>
                <w:color w:val="000000" w:themeColor="text1"/>
                <w:sz w:val="20"/>
                <w:szCs w:val="20"/>
              </w:rPr>
              <w:t>normal_axis_max_delta_value_</w:t>
            </w:r>
            <w:r w:rsidR="00016786" w:rsidRPr="00A52AB8">
              <w:rPr>
                <w:color w:val="000000" w:themeColor="text1"/>
                <w:sz w:val="20"/>
                <w:szCs w:val="20"/>
              </w:rPr>
              <w:t>enabled_flag</w:t>
            </w:r>
            <w:r w:rsidRPr="00A52AB8">
              <w:rPr>
                <w:color w:val="000000" w:themeColor="text1"/>
                <w:sz w:val="20"/>
                <w:szCs w:val="20"/>
              </w:rPr>
              <w:t> )</w:t>
            </w:r>
          </w:p>
        </w:tc>
        <w:tc>
          <w:tcPr>
            <w:tcW w:w="1331" w:type="dxa"/>
          </w:tcPr>
          <w:p w14:paraId="063930D4" w14:textId="77777777" w:rsidR="008E0086" w:rsidRPr="00A52AB8" w:rsidDel="0047460F" w:rsidRDefault="008E0086">
            <w:pPr>
              <w:spacing w:before="20" w:after="20"/>
              <w:jc w:val="center"/>
              <w:rPr>
                <w:color w:val="000000" w:themeColor="text1"/>
                <w:sz w:val="20"/>
                <w:szCs w:val="20"/>
              </w:rPr>
            </w:pPr>
          </w:p>
        </w:tc>
      </w:tr>
      <w:tr w:rsidR="008E0086" w:rsidRPr="00A52AB8" w14:paraId="4EC50CB7" w14:textId="77777777" w:rsidTr="004A7026">
        <w:trPr>
          <w:trHeight w:val="224"/>
          <w:jc w:val="center"/>
        </w:trPr>
        <w:tc>
          <w:tcPr>
            <w:tcW w:w="8411" w:type="dxa"/>
          </w:tcPr>
          <w:p w14:paraId="7E06AB9C" w14:textId="77777777" w:rsidR="008E0086" w:rsidRPr="00A52AB8" w:rsidRDefault="008E0086">
            <w:pPr>
              <w:spacing w:before="20" w:after="20"/>
              <w:rPr>
                <w:color w:val="000000" w:themeColor="text1"/>
                <w:sz w:val="20"/>
                <w:szCs w:val="20"/>
              </w:rPr>
            </w:pPr>
            <w:r w:rsidRPr="00A52AB8">
              <w:rPr>
                <w:color w:val="000000" w:themeColor="text1"/>
                <w:sz w:val="20"/>
                <w:szCs w:val="20"/>
              </w:rPr>
              <w:tab/>
            </w:r>
            <w:r w:rsidRPr="00A52AB8">
              <w:rPr>
                <w:color w:val="000000" w:themeColor="text1"/>
                <w:sz w:val="20"/>
                <w:szCs w:val="20"/>
              </w:rPr>
              <w:tab/>
            </w:r>
            <w:r w:rsidRPr="00A52AB8">
              <w:rPr>
                <w:b/>
                <w:color w:val="000000" w:themeColor="text1"/>
                <w:sz w:val="20"/>
                <w:szCs w:val="20"/>
              </w:rPr>
              <w:t>i</w:t>
            </w:r>
            <w:r w:rsidR="007356C4" w:rsidRPr="00A52AB8">
              <w:rPr>
                <w:b/>
                <w:color w:val="000000" w:themeColor="text1"/>
                <w:sz w:val="20"/>
                <w:szCs w:val="20"/>
              </w:rPr>
              <w:t>pdu_3d_range_d</w:t>
            </w:r>
            <w:r w:rsidR="004A292F" w:rsidRPr="00A52AB8">
              <w:rPr>
                <w:color w:val="000000" w:themeColor="text1"/>
                <w:sz w:val="20"/>
                <w:szCs w:val="20"/>
              </w:rPr>
              <w:t>[ </w:t>
            </w:r>
            <w:r w:rsidR="00632FA7" w:rsidRPr="00A52AB8">
              <w:rPr>
                <w:color w:val="000000" w:themeColor="text1"/>
                <w:sz w:val="20"/>
                <w:szCs w:val="20"/>
              </w:rPr>
              <w:t>tileID</w:t>
            </w:r>
            <w:r w:rsidR="004A292F" w:rsidRPr="00A52AB8">
              <w:rPr>
                <w:color w:val="000000" w:themeColor="text1"/>
                <w:sz w:val="20"/>
                <w:szCs w:val="20"/>
              </w:rPr>
              <w:t> ]</w:t>
            </w:r>
            <w:r w:rsidR="001F3C1E" w:rsidRPr="00A52AB8">
              <w:rPr>
                <w:color w:val="000000" w:themeColor="text1"/>
                <w:sz w:val="20"/>
                <w:szCs w:val="20"/>
              </w:rPr>
              <w:t>[ patchIdx ]</w:t>
            </w:r>
          </w:p>
        </w:tc>
        <w:tc>
          <w:tcPr>
            <w:tcW w:w="1331" w:type="dxa"/>
          </w:tcPr>
          <w:p w14:paraId="60F26978" w14:textId="77777777" w:rsidR="008E0086" w:rsidRPr="00A52AB8" w:rsidRDefault="008E0086">
            <w:pPr>
              <w:spacing w:before="20" w:after="20"/>
              <w:jc w:val="center"/>
              <w:rPr>
                <w:color w:val="000000" w:themeColor="text1"/>
                <w:sz w:val="20"/>
                <w:szCs w:val="20"/>
              </w:rPr>
            </w:pPr>
            <w:r w:rsidRPr="00A52AB8">
              <w:rPr>
                <w:color w:val="000000" w:themeColor="text1"/>
                <w:sz w:val="20"/>
                <w:szCs w:val="20"/>
              </w:rPr>
              <w:t>se(v)</w:t>
            </w:r>
          </w:p>
        </w:tc>
      </w:tr>
      <w:tr w:rsidR="008E0086" w:rsidRPr="00A52AB8" w14:paraId="05E64952" w14:textId="77777777" w:rsidTr="004A7026">
        <w:trPr>
          <w:jc w:val="center"/>
        </w:trPr>
        <w:tc>
          <w:tcPr>
            <w:tcW w:w="8411" w:type="dxa"/>
          </w:tcPr>
          <w:p w14:paraId="7885A670" w14:textId="1BBA396D" w:rsidR="008E0086" w:rsidRPr="00A52AB8" w:rsidRDefault="008E0086">
            <w:pPr>
              <w:spacing w:before="20" w:after="20"/>
              <w:rPr>
                <w:color w:val="000000" w:themeColor="text1"/>
                <w:sz w:val="20"/>
                <w:szCs w:val="20"/>
              </w:rPr>
            </w:pPr>
            <w:r w:rsidRPr="00A52AB8">
              <w:rPr>
                <w:color w:val="000000" w:themeColor="text1"/>
                <w:sz w:val="20"/>
                <w:szCs w:val="20"/>
              </w:rPr>
              <w:tab/>
              <w:t>if(</w:t>
            </w:r>
            <w:r w:rsidR="002F5F32" w:rsidRPr="00A52AB8">
              <w:rPr>
                <w:color w:val="000000" w:themeColor="text1"/>
                <w:sz w:val="20"/>
                <w:szCs w:val="20"/>
              </w:rPr>
              <w:t> </w:t>
            </w:r>
            <w:r w:rsidR="00A77E95" w:rsidRPr="00A52AB8">
              <w:rPr>
                <w:color w:val="000000" w:themeColor="text1"/>
                <w:sz w:val="20"/>
                <w:szCs w:val="20"/>
              </w:rPr>
              <w:t>a</w:t>
            </w:r>
            <w:r w:rsidRPr="00A52AB8">
              <w:rPr>
                <w:color w:val="000000" w:themeColor="text1"/>
                <w:sz w:val="20"/>
                <w:szCs w:val="20"/>
              </w:rPr>
              <w:t>sps_</w:t>
            </w:r>
            <w:r w:rsidR="00D375CC" w:rsidRPr="00A52AB8">
              <w:rPr>
                <w:color w:val="000000" w:themeColor="text1"/>
                <w:sz w:val="20"/>
                <w:szCs w:val="20"/>
              </w:rPr>
              <w:t>plr</w:t>
            </w:r>
            <w:r w:rsidRPr="00A52AB8">
              <w:rPr>
                <w:color w:val="000000" w:themeColor="text1"/>
                <w:sz w:val="20"/>
                <w:szCs w:val="20"/>
              </w:rPr>
              <w:t>_enabled_flag</w:t>
            </w:r>
            <w:r w:rsidR="002F5F32" w:rsidRPr="00A52AB8">
              <w:rPr>
                <w:color w:val="000000" w:themeColor="text1"/>
                <w:sz w:val="20"/>
                <w:szCs w:val="20"/>
              </w:rPr>
              <w:t> </w:t>
            </w:r>
            <w:r w:rsidRPr="00A52AB8">
              <w:rPr>
                <w:color w:val="000000" w:themeColor="text1"/>
                <w:sz w:val="20"/>
                <w:szCs w:val="20"/>
              </w:rPr>
              <w:t>)</w:t>
            </w:r>
          </w:p>
        </w:tc>
        <w:tc>
          <w:tcPr>
            <w:tcW w:w="1331" w:type="dxa"/>
          </w:tcPr>
          <w:p w14:paraId="3A4F0E59" w14:textId="77777777" w:rsidR="008E0086" w:rsidRPr="00A52AB8" w:rsidRDefault="008E0086">
            <w:pPr>
              <w:spacing w:before="20" w:after="20"/>
              <w:jc w:val="center"/>
              <w:rPr>
                <w:color w:val="000000" w:themeColor="text1"/>
                <w:sz w:val="20"/>
                <w:szCs w:val="20"/>
              </w:rPr>
            </w:pPr>
          </w:p>
        </w:tc>
      </w:tr>
      <w:tr w:rsidR="00D07CD1" w:rsidRPr="00A52AB8" w14:paraId="4B48230D" w14:textId="77777777" w:rsidTr="004A7026">
        <w:trPr>
          <w:jc w:val="center"/>
        </w:trPr>
        <w:tc>
          <w:tcPr>
            <w:tcW w:w="8411" w:type="dxa"/>
          </w:tcPr>
          <w:p w14:paraId="6E979239" w14:textId="77777777" w:rsidR="00D07CD1" w:rsidRPr="00A52AB8" w:rsidRDefault="00D07CD1">
            <w:pPr>
              <w:spacing w:before="20" w:after="20"/>
              <w:rPr>
                <w:color w:val="000000" w:themeColor="text1"/>
                <w:sz w:val="20"/>
                <w:szCs w:val="20"/>
              </w:rPr>
            </w:pPr>
            <w:r w:rsidRPr="00A52AB8">
              <w:rPr>
                <w:color w:val="000000" w:themeColor="text1"/>
                <w:sz w:val="20"/>
                <w:szCs w:val="20"/>
              </w:rPr>
              <w:tab/>
            </w:r>
            <w:r w:rsidRPr="00A52AB8">
              <w:rPr>
                <w:color w:val="000000" w:themeColor="text1"/>
                <w:sz w:val="20"/>
                <w:szCs w:val="20"/>
              </w:rPr>
              <w:tab/>
            </w:r>
            <w:r w:rsidR="00D375CC" w:rsidRPr="00A52AB8">
              <w:rPr>
                <w:color w:val="000000" w:themeColor="text1"/>
                <w:sz w:val="20"/>
                <w:szCs w:val="20"/>
              </w:rPr>
              <w:t>plr</w:t>
            </w:r>
            <w:r w:rsidRPr="00A52AB8">
              <w:rPr>
                <w:color w:val="000000" w:themeColor="text1"/>
                <w:sz w:val="20"/>
                <w:szCs w:val="20"/>
              </w:rPr>
              <w:t>_data( </w:t>
            </w:r>
            <w:r w:rsidR="00632FA7" w:rsidRPr="00A52AB8">
              <w:rPr>
                <w:color w:val="000000" w:themeColor="text1"/>
                <w:sz w:val="20"/>
                <w:szCs w:val="20"/>
              </w:rPr>
              <w:t>tileID</w:t>
            </w:r>
            <w:r w:rsidR="00CA1C0A" w:rsidRPr="00A52AB8">
              <w:rPr>
                <w:color w:val="000000" w:themeColor="text1"/>
                <w:sz w:val="20"/>
                <w:szCs w:val="20"/>
              </w:rPr>
              <w:t>, </w:t>
            </w:r>
            <w:r w:rsidR="00E13AB1" w:rsidRPr="00A52AB8">
              <w:rPr>
                <w:color w:val="000000" w:themeColor="text1"/>
                <w:sz w:val="20"/>
                <w:szCs w:val="20"/>
              </w:rPr>
              <w:t>patchIdx</w:t>
            </w:r>
            <w:r w:rsidR="00092AF8" w:rsidRPr="00A52AB8">
              <w:rPr>
                <w:color w:val="000000" w:themeColor="text1"/>
                <w:sz w:val="20"/>
                <w:szCs w:val="20"/>
              </w:rPr>
              <w:t> </w:t>
            </w:r>
            <w:r w:rsidRPr="00A52AB8">
              <w:rPr>
                <w:color w:val="000000" w:themeColor="text1"/>
                <w:sz w:val="20"/>
                <w:szCs w:val="20"/>
              </w:rPr>
              <w:t>)</w:t>
            </w:r>
          </w:p>
        </w:tc>
        <w:tc>
          <w:tcPr>
            <w:tcW w:w="1331" w:type="dxa"/>
          </w:tcPr>
          <w:p w14:paraId="47D180D4" w14:textId="77777777" w:rsidR="00D07CD1" w:rsidRPr="00A52AB8" w:rsidRDefault="00D07CD1">
            <w:pPr>
              <w:spacing w:before="20" w:after="20"/>
              <w:jc w:val="center"/>
              <w:rPr>
                <w:color w:val="000000" w:themeColor="text1"/>
                <w:sz w:val="20"/>
                <w:szCs w:val="20"/>
              </w:rPr>
            </w:pPr>
          </w:p>
        </w:tc>
      </w:tr>
      <w:tr w:rsidR="00D07CD1" w:rsidRPr="00A52AB8" w14:paraId="43AB9220" w14:textId="77777777" w:rsidTr="004A7026">
        <w:trPr>
          <w:jc w:val="center"/>
        </w:trPr>
        <w:tc>
          <w:tcPr>
            <w:tcW w:w="8411" w:type="dxa"/>
          </w:tcPr>
          <w:p w14:paraId="344E1E24" w14:textId="77777777" w:rsidR="00D07CD1" w:rsidRPr="00A52AB8" w:rsidRDefault="00D07CD1">
            <w:pPr>
              <w:spacing w:before="20" w:after="20"/>
              <w:rPr>
                <w:color w:val="000000" w:themeColor="text1"/>
                <w:sz w:val="20"/>
                <w:szCs w:val="20"/>
              </w:rPr>
            </w:pPr>
            <w:r w:rsidRPr="00A52AB8">
              <w:rPr>
                <w:color w:val="000000" w:themeColor="text1"/>
                <w:sz w:val="20"/>
                <w:szCs w:val="20"/>
              </w:rPr>
              <w:t>}</w:t>
            </w:r>
          </w:p>
        </w:tc>
        <w:tc>
          <w:tcPr>
            <w:tcW w:w="1331" w:type="dxa"/>
          </w:tcPr>
          <w:p w14:paraId="33E718B4" w14:textId="77777777" w:rsidR="00D07CD1" w:rsidRPr="00A52AB8" w:rsidRDefault="00D07CD1">
            <w:pPr>
              <w:spacing w:before="20" w:after="20"/>
              <w:jc w:val="center"/>
              <w:rPr>
                <w:color w:val="000000" w:themeColor="text1"/>
                <w:sz w:val="20"/>
                <w:szCs w:val="20"/>
              </w:rPr>
            </w:pPr>
          </w:p>
        </w:tc>
      </w:tr>
    </w:tbl>
    <w:p w14:paraId="28119C36" w14:textId="77777777" w:rsidR="00144110" w:rsidRPr="00A52AB8" w:rsidRDefault="00D208FC" w:rsidP="005C26E9">
      <w:pPr>
        <w:pStyle w:val="Heading4"/>
      </w:pPr>
      <w:r w:rsidRPr="00A52AB8">
        <w:rPr>
          <w:color w:val="000000" w:themeColor="text1"/>
        </w:rPr>
        <w:t>RAW</w:t>
      </w:r>
      <w:r w:rsidRPr="00A52AB8">
        <w:t xml:space="preserve"> </w:t>
      </w:r>
      <w:r w:rsidR="00144110" w:rsidRPr="00A52AB8">
        <w:t>patch data unit syntax</w:t>
      </w:r>
    </w:p>
    <w:tbl>
      <w:tblPr>
        <w:tblStyle w:val="TableGrid"/>
        <w:tblW w:w="5000" w:type="pct"/>
        <w:jc w:val="center"/>
        <w:tblLayout w:type="fixed"/>
        <w:tblLook w:val="04A0" w:firstRow="1" w:lastRow="0" w:firstColumn="1" w:lastColumn="0" w:noHBand="0" w:noVBand="1"/>
      </w:tblPr>
      <w:tblGrid>
        <w:gridCol w:w="8411"/>
        <w:gridCol w:w="1331"/>
      </w:tblGrid>
      <w:tr w:rsidR="00144110" w:rsidRPr="00A52AB8" w14:paraId="53131CD0" w14:textId="77777777" w:rsidTr="00A252B5">
        <w:trPr>
          <w:jc w:val="center"/>
        </w:trPr>
        <w:tc>
          <w:tcPr>
            <w:tcW w:w="7921" w:type="dxa"/>
          </w:tcPr>
          <w:p w14:paraId="46A27B24" w14:textId="5E0BCD30" w:rsidR="00144110" w:rsidRPr="00A52AB8" w:rsidRDefault="00C31A85">
            <w:pPr>
              <w:spacing w:before="20" w:after="20"/>
              <w:rPr>
                <w:color w:val="000000" w:themeColor="text1"/>
                <w:sz w:val="20"/>
                <w:szCs w:val="20"/>
              </w:rPr>
            </w:pPr>
            <w:r w:rsidRPr="00A52AB8">
              <w:rPr>
                <w:color w:val="000000" w:themeColor="text1"/>
                <w:sz w:val="20"/>
                <w:szCs w:val="20"/>
              </w:rPr>
              <w:t>raw</w:t>
            </w:r>
            <w:r w:rsidR="00144110" w:rsidRPr="00A52AB8">
              <w:rPr>
                <w:color w:val="000000" w:themeColor="text1"/>
                <w:sz w:val="20"/>
                <w:szCs w:val="20"/>
              </w:rPr>
              <w:t>_patch_data_unit(</w:t>
            </w:r>
            <w:r w:rsidR="004A292F" w:rsidRPr="00A52AB8">
              <w:rPr>
                <w:color w:val="000000" w:themeColor="text1"/>
                <w:sz w:val="20"/>
                <w:szCs w:val="20"/>
              </w:rPr>
              <w:t> </w:t>
            </w:r>
            <w:r w:rsidR="00632FA7" w:rsidRPr="00A52AB8">
              <w:rPr>
                <w:color w:val="000000" w:themeColor="text1"/>
                <w:sz w:val="20"/>
                <w:szCs w:val="20"/>
              </w:rPr>
              <w:t>tileID</w:t>
            </w:r>
            <w:r w:rsidR="004A292F" w:rsidRPr="00A52AB8">
              <w:rPr>
                <w:color w:val="000000" w:themeColor="text1"/>
                <w:sz w:val="20"/>
                <w:szCs w:val="20"/>
              </w:rPr>
              <w:t>,</w:t>
            </w:r>
            <w:r w:rsidR="00144110" w:rsidRPr="00A52AB8">
              <w:rPr>
                <w:color w:val="000000" w:themeColor="text1"/>
                <w:sz w:val="20"/>
                <w:szCs w:val="20"/>
              </w:rPr>
              <w:t> </w:t>
            </w:r>
            <w:r w:rsidR="00E13AB1" w:rsidRPr="00A52AB8">
              <w:rPr>
                <w:color w:val="000000" w:themeColor="text1"/>
                <w:sz w:val="20"/>
                <w:szCs w:val="20"/>
              </w:rPr>
              <w:t>patchIdx</w:t>
            </w:r>
            <w:r w:rsidR="00144110" w:rsidRPr="00A52AB8">
              <w:rPr>
                <w:color w:val="000000" w:themeColor="text1"/>
                <w:sz w:val="20"/>
                <w:szCs w:val="20"/>
              </w:rPr>
              <w:t> </w:t>
            </w:r>
            <w:r w:rsidR="008F1F82" w:rsidRPr="00A52AB8">
              <w:rPr>
                <w:color w:val="000000" w:themeColor="text1"/>
                <w:sz w:val="20"/>
                <w:szCs w:val="20"/>
              </w:rPr>
              <w:t>) {</w:t>
            </w:r>
          </w:p>
        </w:tc>
        <w:tc>
          <w:tcPr>
            <w:tcW w:w="1253" w:type="dxa"/>
          </w:tcPr>
          <w:p w14:paraId="625ADE68" w14:textId="77777777" w:rsidR="00144110" w:rsidRPr="00A52AB8" w:rsidRDefault="00144110">
            <w:pPr>
              <w:spacing w:before="20" w:after="20"/>
              <w:jc w:val="center"/>
              <w:rPr>
                <w:b/>
                <w:color w:val="000000" w:themeColor="text1"/>
                <w:sz w:val="20"/>
                <w:szCs w:val="20"/>
              </w:rPr>
            </w:pPr>
            <w:r w:rsidRPr="00A52AB8">
              <w:rPr>
                <w:b/>
                <w:color w:val="000000" w:themeColor="text1"/>
                <w:sz w:val="20"/>
                <w:szCs w:val="20"/>
              </w:rPr>
              <w:t>Descriptor</w:t>
            </w:r>
          </w:p>
        </w:tc>
      </w:tr>
      <w:tr w:rsidR="00144110" w:rsidRPr="00A52AB8" w14:paraId="611BF32B" w14:textId="77777777" w:rsidTr="00A252B5">
        <w:trPr>
          <w:jc w:val="center"/>
        </w:trPr>
        <w:tc>
          <w:tcPr>
            <w:tcW w:w="7921" w:type="dxa"/>
          </w:tcPr>
          <w:p w14:paraId="1F453A05" w14:textId="6A2A7574" w:rsidR="00144110" w:rsidRPr="00A52AB8" w:rsidRDefault="00144110">
            <w:pPr>
              <w:spacing w:before="20" w:after="20"/>
              <w:rPr>
                <w:color w:val="000000" w:themeColor="text1"/>
                <w:sz w:val="20"/>
                <w:szCs w:val="20"/>
              </w:rPr>
            </w:pPr>
            <w:r w:rsidRPr="00A52AB8">
              <w:rPr>
                <w:color w:val="000000" w:themeColor="text1"/>
                <w:sz w:val="20"/>
                <w:szCs w:val="20"/>
              </w:rPr>
              <w:tab/>
            </w:r>
            <w:r w:rsidR="005347FC" w:rsidRPr="00A52AB8">
              <w:rPr>
                <w:color w:val="000000" w:themeColor="text1"/>
                <w:sz w:val="20"/>
                <w:szCs w:val="20"/>
              </w:rPr>
              <w:t>if( </w:t>
            </w:r>
            <w:r w:rsidR="005347FC" w:rsidRPr="00A52AB8">
              <w:rPr>
                <w:bCs/>
                <w:color w:val="000000" w:themeColor="text1"/>
                <w:sz w:val="20"/>
                <w:szCs w:val="20"/>
              </w:rPr>
              <w:t>AuxTileHeight[ </w:t>
            </w:r>
            <w:r w:rsidR="007812ED" w:rsidRPr="00A52AB8">
              <w:rPr>
                <w:bCs/>
                <w:color w:val="000000" w:themeColor="text1"/>
                <w:sz w:val="20"/>
                <w:szCs w:val="20"/>
              </w:rPr>
              <w:t>TileID</w:t>
            </w:r>
            <w:r w:rsidR="007512DA" w:rsidRPr="00A52AB8">
              <w:rPr>
                <w:bCs/>
                <w:color w:val="000000" w:themeColor="text1"/>
                <w:sz w:val="20"/>
                <w:szCs w:val="20"/>
              </w:rPr>
              <w:t>ToIndex</w:t>
            </w:r>
            <w:r w:rsidR="00A3110C" w:rsidRPr="00A52AB8">
              <w:rPr>
                <w:bCs/>
                <w:color w:val="000000" w:themeColor="text1"/>
                <w:sz w:val="20"/>
                <w:szCs w:val="20"/>
              </w:rPr>
              <w:t>[ </w:t>
            </w:r>
            <w:r w:rsidR="00632FA7" w:rsidRPr="00A52AB8">
              <w:rPr>
                <w:bCs/>
                <w:color w:val="000000" w:themeColor="text1"/>
                <w:sz w:val="20"/>
                <w:szCs w:val="20"/>
              </w:rPr>
              <w:t>tileID</w:t>
            </w:r>
            <w:r w:rsidR="00A3110C" w:rsidRPr="00A52AB8">
              <w:rPr>
                <w:bCs/>
                <w:color w:val="000000" w:themeColor="text1"/>
                <w:sz w:val="20"/>
                <w:szCs w:val="20"/>
              </w:rPr>
              <w:t> ]</w:t>
            </w:r>
            <w:r w:rsidR="005347FC" w:rsidRPr="00A52AB8">
              <w:rPr>
                <w:bCs/>
                <w:color w:val="000000" w:themeColor="text1"/>
                <w:sz w:val="20"/>
                <w:szCs w:val="20"/>
              </w:rPr>
              <w:t> ] &gt; 0</w:t>
            </w:r>
            <w:r w:rsidR="005347FC" w:rsidRPr="00A52AB8">
              <w:rPr>
                <w:color w:val="000000" w:themeColor="text1"/>
                <w:sz w:val="20"/>
                <w:szCs w:val="20"/>
              </w:rPr>
              <w:t>)</w:t>
            </w:r>
          </w:p>
        </w:tc>
        <w:tc>
          <w:tcPr>
            <w:tcW w:w="1253" w:type="dxa"/>
          </w:tcPr>
          <w:p w14:paraId="3DCF9F38" w14:textId="77777777" w:rsidR="00144110" w:rsidRPr="00A52AB8" w:rsidRDefault="00144110">
            <w:pPr>
              <w:spacing w:before="20" w:after="20"/>
              <w:jc w:val="center"/>
              <w:rPr>
                <w:color w:val="000000" w:themeColor="text1"/>
                <w:sz w:val="20"/>
                <w:szCs w:val="20"/>
              </w:rPr>
            </w:pPr>
          </w:p>
        </w:tc>
      </w:tr>
      <w:tr w:rsidR="00144110" w:rsidRPr="00A52AB8" w14:paraId="61A46399" w14:textId="77777777" w:rsidTr="00A252B5">
        <w:trPr>
          <w:jc w:val="center"/>
        </w:trPr>
        <w:tc>
          <w:tcPr>
            <w:tcW w:w="7921" w:type="dxa"/>
          </w:tcPr>
          <w:p w14:paraId="084CB1EF" w14:textId="77777777" w:rsidR="00144110" w:rsidRPr="00A52AB8" w:rsidRDefault="00144110">
            <w:pPr>
              <w:spacing w:before="20" w:after="20"/>
              <w:rPr>
                <w:color w:val="000000" w:themeColor="text1"/>
                <w:sz w:val="20"/>
                <w:szCs w:val="20"/>
                <w:lang w:eastAsia="ja-JP"/>
              </w:rPr>
            </w:pPr>
            <w:r w:rsidRPr="00A52AB8">
              <w:rPr>
                <w:b/>
                <w:color w:val="000000" w:themeColor="text1"/>
                <w:sz w:val="20"/>
                <w:szCs w:val="20"/>
              </w:rPr>
              <w:tab/>
            </w:r>
            <w:r w:rsidRPr="00A52AB8">
              <w:rPr>
                <w:b/>
                <w:color w:val="000000" w:themeColor="text1"/>
                <w:sz w:val="20"/>
                <w:szCs w:val="20"/>
              </w:rPr>
              <w:tab/>
            </w:r>
            <w:r w:rsidR="00C31A85" w:rsidRPr="00A52AB8">
              <w:rPr>
                <w:b/>
                <w:color w:val="000000" w:themeColor="text1"/>
                <w:sz w:val="20"/>
                <w:szCs w:val="20"/>
              </w:rPr>
              <w:t>rpdu</w:t>
            </w:r>
            <w:r w:rsidRPr="00A52AB8">
              <w:rPr>
                <w:b/>
                <w:color w:val="000000" w:themeColor="text1"/>
                <w:sz w:val="20"/>
                <w:szCs w:val="20"/>
              </w:rPr>
              <w:t>_patch_in_</w:t>
            </w:r>
            <w:r w:rsidR="001B7C80" w:rsidRPr="00A52AB8">
              <w:rPr>
                <w:b/>
                <w:color w:val="000000" w:themeColor="text1"/>
                <w:sz w:val="20"/>
                <w:szCs w:val="20"/>
              </w:rPr>
              <w:t>auxiliary</w:t>
            </w:r>
            <w:r w:rsidRPr="00A52AB8">
              <w:rPr>
                <w:b/>
                <w:color w:val="000000" w:themeColor="text1"/>
                <w:sz w:val="20"/>
                <w:szCs w:val="20"/>
              </w:rPr>
              <w:t>_video_flag</w:t>
            </w:r>
            <w:r w:rsidR="004A292F" w:rsidRPr="00A52AB8">
              <w:rPr>
                <w:color w:val="000000" w:themeColor="text1"/>
                <w:sz w:val="20"/>
                <w:szCs w:val="20"/>
              </w:rPr>
              <w:t>[ </w:t>
            </w:r>
            <w:r w:rsidR="00632FA7" w:rsidRPr="00A52AB8">
              <w:rPr>
                <w:color w:val="000000" w:themeColor="text1"/>
                <w:sz w:val="20"/>
                <w:szCs w:val="20"/>
              </w:rPr>
              <w:t>tileID</w:t>
            </w:r>
            <w:r w:rsidR="004A292F" w:rsidRPr="00A52AB8">
              <w:rPr>
                <w:color w:val="000000" w:themeColor="text1"/>
                <w:sz w:val="20"/>
                <w:szCs w:val="20"/>
              </w:rPr>
              <w:t> ]</w:t>
            </w:r>
            <w:r w:rsidR="001F3C1E" w:rsidRPr="00A52AB8">
              <w:rPr>
                <w:color w:val="000000" w:themeColor="text1"/>
                <w:sz w:val="20"/>
                <w:szCs w:val="20"/>
              </w:rPr>
              <w:t>[ patchIdx ]</w:t>
            </w:r>
          </w:p>
        </w:tc>
        <w:tc>
          <w:tcPr>
            <w:tcW w:w="1253" w:type="dxa"/>
          </w:tcPr>
          <w:p w14:paraId="0152D43A" w14:textId="77777777" w:rsidR="00144110" w:rsidRPr="00A52AB8" w:rsidRDefault="004552B7">
            <w:pPr>
              <w:spacing w:before="20" w:after="20"/>
              <w:jc w:val="center"/>
              <w:rPr>
                <w:color w:val="000000" w:themeColor="text1"/>
                <w:sz w:val="20"/>
                <w:szCs w:val="20"/>
              </w:rPr>
            </w:pPr>
            <w:r w:rsidRPr="00A52AB8">
              <w:rPr>
                <w:color w:val="000000" w:themeColor="text1"/>
                <w:sz w:val="20"/>
                <w:szCs w:val="20"/>
              </w:rPr>
              <w:t>u</w:t>
            </w:r>
            <w:r w:rsidR="00144110" w:rsidRPr="00A52AB8">
              <w:rPr>
                <w:color w:val="000000" w:themeColor="text1"/>
                <w:sz w:val="20"/>
                <w:szCs w:val="20"/>
              </w:rPr>
              <w:t>(</w:t>
            </w:r>
            <w:r w:rsidRPr="00A52AB8">
              <w:rPr>
                <w:color w:val="000000" w:themeColor="text1"/>
                <w:sz w:val="20"/>
                <w:szCs w:val="20"/>
              </w:rPr>
              <w:t>1</w:t>
            </w:r>
            <w:r w:rsidR="00144110" w:rsidRPr="00A52AB8">
              <w:rPr>
                <w:color w:val="000000" w:themeColor="text1"/>
                <w:sz w:val="20"/>
                <w:szCs w:val="20"/>
              </w:rPr>
              <w:t>)</w:t>
            </w:r>
          </w:p>
        </w:tc>
      </w:tr>
      <w:tr w:rsidR="00144110" w:rsidRPr="00A52AB8" w14:paraId="137FC52B" w14:textId="77777777" w:rsidTr="00A252B5">
        <w:trPr>
          <w:jc w:val="center"/>
        </w:trPr>
        <w:tc>
          <w:tcPr>
            <w:tcW w:w="7921" w:type="dxa"/>
          </w:tcPr>
          <w:p w14:paraId="7A8DDD11" w14:textId="77777777" w:rsidR="00144110" w:rsidRPr="00A52AB8" w:rsidRDefault="00144110">
            <w:pPr>
              <w:spacing w:before="20" w:after="20"/>
              <w:rPr>
                <w:color w:val="000000" w:themeColor="text1"/>
                <w:sz w:val="20"/>
                <w:szCs w:val="20"/>
              </w:rPr>
            </w:pPr>
            <w:r w:rsidRPr="00A52AB8">
              <w:rPr>
                <w:color w:val="000000" w:themeColor="text1"/>
                <w:sz w:val="20"/>
                <w:szCs w:val="20"/>
              </w:rPr>
              <w:tab/>
            </w:r>
            <w:r w:rsidR="00C31A85" w:rsidRPr="00A52AB8">
              <w:rPr>
                <w:b/>
                <w:color w:val="000000" w:themeColor="text1"/>
                <w:sz w:val="20"/>
                <w:szCs w:val="20"/>
              </w:rPr>
              <w:t>rpdu</w:t>
            </w:r>
            <w:r w:rsidRPr="00A52AB8">
              <w:rPr>
                <w:b/>
                <w:color w:val="000000" w:themeColor="text1"/>
                <w:sz w:val="20"/>
                <w:szCs w:val="20"/>
              </w:rPr>
              <w:t>_</w:t>
            </w:r>
            <w:r w:rsidR="00070D8E" w:rsidRPr="00A52AB8">
              <w:rPr>
                <w:b/>
                <w:color w:val="000000" w:themeColor="text1"/>
                <w:sz w:val="20"/>
                <w:szCs w:val="20"/>
              </w:rPr>
              <w:t>2d_</w:t>
            </w:r>
            <w:r w:rsidR="00627BE0" w:rsidRPr="00A52AB8">
              <w:rPr>
                <w:b/>
                <w:color w:val="000000" w:themeColor="text1"/>
                <w:sz w:val="20"/>
                <w:szCs w:val="20"/>
              </w:rPr>
              <w:t>pos</w:t>
            </w:r>
            <w:r w:rsidR="00070D8E" w:rsidRPr="00A52AB8">
              <w:rPr>
                <w:b/>
                <w:color w:val="000000" w:themeColor="text1"/>
                <w:sz w:val="20"/>
                <w:szCs w:val="20"/>
              </w:rPr>
              <w:t>_x</w:t>
            </w:r>
            <w:r w:rsidR="004A292F" w:rsidRPr="00A52AB8">
              <w:rPr>
                <w:color w:val="000000" w:themeColor="text1"/>
                <w:sz w:val="20"/>
                <w:szCs w:val="20"/>
              </w:rPr>
              <w:t>[ </w:t>
            </w:r>
            <w:r w:rsidR="00632FA7" w:rsidRPr="00A52AB8">
              <w:rPr>
                <w:color w:val="000000" w:themeColor="text1"/>
                <w:sz w:val="20"/>
                <w:szCs w:val="20"/>
              </w:rPr>
              <w:t>tileID</w:t>
            </w:r>
            <w:r w:rsidR="004A292F" w:rsidRPr="00A52AB8">
              <w:rPr>
                <w:color w:val="000000" w:themeColor="text1"/>
                <w:sz w:val="20"/>
                <w:szCs w:val="20"/>
              </w:rPr>
              <w:t> ]</w:t>
            </w:r>
            <w:r w:rsidR="00636D52" w:rsidRPr="00A52AB8">
              <w:rPr>
                <w:color w:val="000000" w:themeColor="text1"/>
                <w:sz w:val="20"/>
                <w:szCs w:val="20"/>
              </w:rPr>
              <w:t>[ </w:t>
            </w:r>
            <w:r w:rsidR="00E13AB1" w:rsidRPr="00A52AB8">
              <w:rPr>
                <w:color w:val="000000" w:themeColor="text1"/>
                <w:sz w:val="20"/>
                <w:szCs w:val="20"/>
              </w:rPr>
              <w:t>patchIdx</w:t>
            </w:r>
            <w:r w:rsidR="006A1251" w:rsidRPr="00A52AB8">
              <w:rPr>
                <w:color w:val="000000" w:themeColor="text1"/>
                <w:sz w:val="20"/>
                <w:szCs w:val="20"/>
              </w:rPr>
              <w:t> </w:t>
            </w:r>
            <w:r w:rsidR="00636D52" w:rsidRPr="00A52AB8">
              <w:rPr>
                <w:color w:val="000000" w:themeColor="text1"/>
                <w:sz w:val="20"/>
                <w:szCs w:val="20"/>
              </w:rPr>
              <w:t>]</w:t>
            </w:r>
          </w:p>
        </w:tc>
        <w:tc>
          <w:tcPr>
            <w:tcW w:w="1253" w:type="dxa"/>
          </w:tcPr>
          <w:p w14:paraId="2F66BD7A" w14:textId="77777777" w:rsidR="00144110" w:rsidRPr="00A52AB8" w:rsidRDefault="004552B7">
            <w:pPr>
              <w:spacing w:before="20" w:after="20"/>
              <w:jc w:val="center"/>
              <w:rPr>
                <w:color w:val="000000" w:themeColor="text1"/>
                <w:sz w:val="20"/>
                <w:szCs w:val="20"/>
              </w:rPr>
            </w:pPr>
            <w:r w:rsidRPr="00A52AB8">
              <w:rPr>
                <w:color w:val="000000" w:themeColor="text1"/>
                <w:sz w:val="20"/>
                <w:szCs w:val="20"/>
              </w:rPr>
              <w:t>u</w:t>
            </w:r>
            <w:r w:rsidR="00B96082" w:rsidRPr="00A52AB8">
              <w:rPr>
                <w:color w:val="000000" w:themeColor="text1"/>
                <w:sz w:val="20"/>
                <w:szCs w:val="20"/>
              </w:rPr>
              <w:t>e</w:t>
            </w:r>
            <w:r w:rsidR="00144110" w:rsidRPr="00A52AB8">
              <w:rPr>
                <w:color w:val="000000" w:themeColor="text1"/>
                <w:sz w:val="20"/>
                <w:szCs w:val="20"/>
              </w:rPr>
              <w:t>(v)</w:t>
            </w:r>
          </w:p>
        </w:tc>
      </w:tr>
      <w:tr w:rsidR="00144110" w:rsidRPr="00A52AB8" w14:paraId="65562B2D" w14:textId="77777777" w:rsidTr="00A252B5">
        <w:trPr>
          <w:jc w:val="center"/>
        </w:trPr>
        <w:tc>
          <w:tcPr>
            <w:tcW w:w="7921" w:type="dxa"/>
          </w:tcPr>
          <w:p w14:paraId="27BBBFEA" w14:textId="77777777" w:rsidR="00144110" w:rsidRPr="00A52AB8" w:rsidRDefault="00144110">
            <w:pPr>
              <w:spacing w:before="20" w:after="20"/>
              <w:rPr>
                <w:color w:val="000000" w:themeColor="text1"/>
                <w:sz w:val="20"/>
                <w:szCs w:val="20"/>
              </w:rPr>
            </w:pPr>
            <w:r w:rsidRPr="00A52AB8">
              <w:rPr>
                <w:color w:val="000000" w:themeColor="text1"/>
                <w:sz w:val="20"/>
                <w:szCs w:val="20"/>
              </w:rPr>
              <w:tab/>
            </w:r>
            <w:r w:rsidR="00C31A85" w:rsidRPr="00A52AB8">
              <w:rPr>
                <w:b/>
                <w:color w:val="000000" w:themeColor="text1"/>
                <w:sz w:val="20"/>
                <w:szCs w:val="20"/>
              </w:rPr>
              <w:t>rpdu</w:t>
            </w:r>
            <w:r w:rsidRPr="00A52AB8">
              <w:rPr>
                <w:b/>
                <w:color w:val="000000" w:themeColor="text1"/>
                <w:sz w:val="20"/>
                <w:szCs w:val="20"/>
              </w:rPr>
              <w:t>_</w:t>
            </w:r>
            <w:r w:rsidR="00CA4F41" w:rsidRPr="00A52AB8">
              <w:rPr>
                <w:b/>
                <w:color w:val="000000" w:themeColor="text1"/>
                <w:sz w:val="20"/>
                <w:szCs w:val="20"/>
              </w:rPr>
              <w:t>2d_</w:t>
            </w:r>
            <w:r w:rsidR="00627BE0" w:rsidRPr="00A52AB8">
              <w:rPr>
                <w:b/>
                <w:color w:val="000000" w:themeColor="text1"/>
                <w:sz w:val="20"/>
                <w:szCs w:val="20"/>
              </w:rPr>
              <w:t>pos</w:t>
            </w:r>
            <w:r w:rsidR="00CA4F41" w:rsidRPr="00A52AB8">
              <w:rPr>
                <w:b/>
                <w:color w:val="000000" w:themeColor="text1"/>
                <w:sz w:val="20"/>
                <w:szCs w:val="20"/>
              </w:rPr>
              <w:t>_y</w:t>
            </w:r>
            <w:r w:rsidR="004A292F" w:rsidRPr="00A52AB8">
              <w:rPr>
                <w:color w:val="000000" w:themeColor="text1"/>
                <w:sz w:val="20"/>
                <w:szCs w:val="20"/>
              </w:rPr>
              <w:t>[ </w:t>
            </w:r>
            <w:r w:rsidR="00632FA7" w:rsidRPr="00A52AB8">
              <w:rPr>
                <w:color w:val="000000" w:themeColor="text1"/>
                <w:sz w:val="20"/>
                <w:szCs w:val="20"/>
              </w:rPr>
              <w:t>tileID</w:t>
            </w:r>
            <w:r w:rsidR="004A292F" w:rsidRPr="00A52AB8">
              <w:rPr>
                <w:color w:val="000000" w:themeColor="text1"/>
                <w:sz w:val="20"/>
                <w:szCs w:val="20"/>
              </w:rPr>
              <w:t> ]</w:t>
            </w:r>
            <w:r w:rsidR="00636D52" w:rsidRPr="00A52AB8">
              <w:rPr>
                <w:color w:val="000000" w:themeColor="text1"/>
                <w:sz w:val="20"/>
                <w:szCs w:val="20"/>
              </w:rPr>
              <w:t>[ </w:t>
            </w:r>
            <w:r w:rsidR="00E13AB1" w:rsidRPr="00A52AB8">
              <w:rPr>
                <w:color w:val="000000" w:themeColor="text1"/>
                <w:sz w:val="20"/>
                <w:szCs w:val="20"/>
              </w:rPr>
              <w:t>patchIdx</w:t>
            </w:r>
            <w:r w:rsidR="006A1251" w:rsidRPr="00A52AB8">
              <w:rPr>
                <w:color w:val="000000" w:themeColor="text1"/>
                <w:sz w:val="20"/>
                <w:szCs w:val="20"/>
              </w:rPr>
              <w:t> </w:t>
            </w:r>
            <w:r w:rsidR="00636D52" w:rsidRPr="00A52AB8">
              <w:rPr>
                <w:color w:val="000000" w:themeColor="text1"/>
                <w:sz w:val="20"/>
                <w:szCs w:val="20"/>
              </w:rPr>
              <w:t>]</w:t>
            </w:r>
          </w:p>
        </w:tc>
        <w:tc>
          <w:tcPr>
            <w:tcW w:w="1253" w:type="dxa"/>
          </w:tcPr>
          <w:p w14:paraId="68BE3DCF" w14:textId="77777777" w:rsidR="00144110" w:rsidRPr="00A52AB8" w:rsidRDefault="004552B7">
            <w:pPr>
              <w:spacing w:before="20" w:after="20"/>
              <w:jc w:val="center"/>
              <w:rPr>
                <w:color w:val="000000" w:themeColor="text1"/>
                <w:sz w:val="20"/>
                <w:szCs w:val="20"/>
              </w:rPr>
            </w:pPr>
            <w:r w:rsidRPr="00A52AB8">
              <w:rPr>
                <w:color w:val="000000" w:themeColor="text1"/>
                <w:sz w:val="20"/>
                <w:szCs w:val="20"/>
              </w:rPr>
              <w:t>u</w:t>
            </w:r>
            <w:r w:rsidR="00B96082" w:rsidRPr="00A52AB8">
              <w:rPr>
                <w:color w:val="000000" w:themeColor="text1"/>
                <w:sz w:val="20"/>
                <w:szCs w:val="20"/>
              </w:rPr>
              <w:t>e</w:t>
            </w:r>
            <w:r w:rsidR="00144110" w:rsidRPr="00A52AB8">
              <w:rPr>
                <w:color w:val="000000" w:themeColor="text1"/>
                <w:sz w:val="20"/>
                <w:szCs w:val="20"/>
              </w:rPr>
              <w:t>(v)</w:t>
            </w:r>
          </w:p>
        </w:tc>
      </w:tr>
      <w:tr w:rsidR="00144110" w:rsidRPr="00A52AB8" w14:paraId="2A3022E5" w14:textId="77777777" w:rsidTr="00A252B5">
        <w:trPr>
          <w:jc w:val="center"/>
        </w:trPr>
        <w:tc>
          <w:tcPr>
            <w:tcW w:w="7921" w:type="dxa"/>
          </w:tcPr>
          <w:p w14:paraId="35C35CA7" w14:textId="77777777" w:rsidR="00144110" w:rsidRPr="00A52AB8" w:rsidRDefault="00144110">
            <w:pPr>
              <w:spacing w:before="20" w:after="20"/>
              <w:rPr>
                <w:color w:val="000000" w:themeColor="text1"/>
                <w:sz w:val="20"/>
                <w:szCs w:val="20"/>
                <w:lang w:eastAsia="ja-JP"/>
              </w:rPr>
            </w:pPr>
            <w:r w:rsidRPr="00A52AB8">
              <w:rPr>
                <w:color w:val="000000" w:themeColor="text1"/>
                <w:sz w:val="20"/>
                <w:szCs w:val="20"/>
              </w:rPr>
              <w:tab/>
            </w:r>
            <w:r w:rsidR="00C31A85" w:rsidRPr="00A52AB8">
              <w:rPr>
                <w:b/>
                <w:color w:val="000000" w:themeColor="text1"/>
                <w:sz w:val="20"/>
                <w:szCs w:val="20"/>
              </w:rPr>
              <w:t>rpdu</w:t>
            </w:r>
            <w:r w:rsidRPr="00A52AB8">
              <w:rPr>
                <w:b/>
                <w:color w:val="000000" w:themeColor="text1"/>
                <w:sz w:val="20"/>
                <w:szCs w:val="20"/>
              </w:rPr>
              <w:t>_2d</w:t>
            </w:r>
            <w:r w:rsidR="00E6438C" w:rsidRPr="00A52AB8">
              <w:rPr>
                <w:b/>
                <w:color w:val="000000" w:themeColor="text1"/>
                <w:sz w:val="20"/>
                <w:szCs w:val="20"/>
              </w:rPr>
              <w:t>_</w:t>
            </w:r>
            <w:r w:rsidR="008E0BEB" w:rsidRPr="00A52AB8">
              <w:rPr>
                <w:b/>
                <w:color w:val="000000" w:themeColor="text1"/>
                <w:sz w:val="20"/>
                <w:szCs w:val="20"/>
              </w:rPr>
              <w:t>size_x</w:t>
            </w:r>
            <w:r w:rsidR="00BF4D78" w:rsidRPr="00A52AB8">
              <w:rPr>
                <w:b/>
                <w:color w:val="000000" w:themeColor="text1"/>
                <w:sz w:val="20"/>
                <w:szCs w:val="20"/>
              </w:rPr>
              <w:t>_minus1</w:t>
            </w:r>
            <w:r w:rsidR="004A292F" w:rsidRPr="00A52AB8">
              <w:rPr>
                <w:color w:val="000000" w:themeColor="text1"/>
                <w:sz w:val="20"/>
                <w:szCs w:val="20"/>
              </w:rPr>
              <w:t>[ </w:t>
            </w:r>
            <w:r w:rsidR="00632FA7" w:rsidRPr="00A52AB8">
              <w:rPr>
                <w:color w:val="000000" w:themeColor="text1"/>
                <w:sz w:val="20"/>
                <w:szCs w:val="20"/>
              </w:rPr>
              <w:t>tileID</w:t>
            </w:r>
            <w:r w:rsidR="004A292F" w:rsidRPr="00A52AB8">
              <w:rPr>
                <w:color w:val="000000" w:themeColor="text1"/>
                <w:sz w:val="20"/>
                <w:szCs w:val="20"/>
              </w:rPr>
              <w:t> ]</w:t>
            </w:r>
            <w:r w:rsidR="00636D52" w:rsidRPr="00A52AB8">
              <w:rPr>
                <w:color w:val="000000" w:themeColor="text1"/>
                <w:sz w:val="20"/>
                <w:szCs w:val="20"/>
              </w:rPr>
              <w:t>[ </w:t>
            </w:r>
            <w:r w:rsidR="00E13AB1" w:rsidRPr="00A52AB8">
              <w:rPr>
                <w:color w:val="000000" w:themeColor="text1"/>
                <w:sz w:val="20"/>
                <w:szCs w:val="20"/>
              </w:rPr>
              <w:t>patchIdx</w:t>
            </w:r>
            <w:r w:rsidR="006A1251" w:rsidRPr="00A52AB8">
              <w:rPr>
                <w:color w:val="000000" w:themeColor="text1"/>
                <w:sz w:val="20"/>
                <w:szCs w:val="20"/>
              </w:rPr>
              <w:t> </w:t>
            </w:r>
            <w:r w:rsidR="00636D52" w:rsidRPr="00A52AB8">
              <w:rPr>
                <w:color w:val="000000" w:themeColor="text1"/>
                <w:sz w:val="20"/>
                <w:szCs w:val="20"/>
              </w:rPr>
              <w:t>]</w:t>
            </w:r>
          </w:p>
        </w:tc>
        <w:tc>
          <w:tcPr>
            <w:tcW w:w="1253" w:type="dxa"/>
          </w:tcPr>
          <w:p w14:paraId="22C63D73" w14:textId="77777777" w:rsidR="00144110" w:rsidRPr="00A52AB8" w:rsidRDefault="0051605A">
            <w:pPr>
              <w:spacing w:before="20" w:after="20"/>
              <w:jc w:val="center"/>
              <w:rPr>
                <w:color w:val="000000" w:themeColor="text1"/>
                <w:sz w:val="20"/>
                <w:szCs w:val="20"/>
              </w:rPr>
            </w:pPr>
            <w:r w:rsidRPr="00A52AB8">
              <w:rPr>
                <w:color w:val="000000" w:themeColor="text1"/>
                <w:sz w:val="20"/>
                <w:szCs w:val="20"/>
              </w:rPr>
              <w:t>u</w:t>
            </w:r>
            <w:r w:rsidR="000A5113" w:rsidRPr="00A52AB8">
              <w:rPr>
                <w:color w:val="000000" w:themeColor="text1"/>
                <w:sz w:val="20"/>
                <w:szCs w:val="20"/>
              </w:rPr>
              <w:t>e</w:t>
            </w:r>
            <w:r w:rsidR="00144110" w:rsidRPr="00A52AB8">
              <w:rPr>
                <w:color w:val="000000" w:themeColor="text1"/>
                <w:sz w:val="20"/>
                <w:szCs w:val="20"/>
              </w:rPr>
              <w:t>(v)</w:t>
            </w:r>
          </w:p>
        </w:tc>
      </w:tr>
      <w:tr w:rsidR="00144110" w:rsidRPr="00A52AB8" w14:paraId="19F7F9AA" w14:textId="77777777" w:rsidTr="00A252B5">
        <w:trPr>
          <w:jc w:val="center"/>
        </w:trPr>
        <w:tc>
          <w:tcPr>
            <w:tcW w:w="7921" w:type="dxa"/>
          </w:tcPr>
          <w:p w14:paraId="13B774ED" w14:textId="77777777" w:rsidR="00144110" w:rsidRPr="00A52AB8" w:rsidRDefault="00144110">
            <w:pPr>
              <w:spacing w:before="20" w:after="20"/>
              <w:rPr>
                <w:color w:val="000000" w:themeColor="text1"/>
                <w:sz w:val="20"/>
                <w:szCs w:val="20"/>
                <w:lang w:eastAsia="ja-JP"/>
              </w:rPr>
            </w:pPr>
            <w:r w:rsidRPr="00A52AB8">
              <w:rPr>
                <w:color w:val="000000" w:themeColor="text1"/>
                <w:sz w:val="20"/>
                <w:szCs w:val="20"/>
              </w:rPr>
              <w:tab/>
            </w:r>
            <w:r w:rsidR="00C31A85" w:rsidRPr="00A52AB8">
              <w:rPr>
                <w:b/>
                <w:color w:val="000000" w:themeColor="text1"/>
                <w:sz w:val="20"/>
                <w:szCs w:val="20"/>
              </w:rPr>
              <w:t>rpdu</w:t>
            </w:r>
            <w:r w:rsidRPr="00A52AB8">
              <w:rPr>
                <w:b/>
                <w:color w:val="000000" w:themeColor="text1"/>
                <w:sz w:val="20"/>
                <w:szCs w:val="20"/>
              </w:rPr>
              <w:t>_2d</w:t>
            </w:r>
            <w:r w:rsidR="00E6438C" w:rsidRPr="00A52AB8">
              <w:rPr>
                <w:b/>
                <w:color w:val="000000" w:themeColor="text1"/>
                <w:sz w:val="20"/>
                <w:szCs w:val="20"/>
              </w:rPr>
              <w:t>_</w:t>
            </w:r>
            <w:r w:rsidR="008E0BEB" w:rsidRPr="00A52AB8">
              <w:rPr>
                <w:b/>
                <w:color w:val="000000" w:themeColor="text1"/>
                <w:sz w:val="20"/>
                <w:szCs w:val="20"/>
              </w:rPr>
              <w:t>size_y</w:t>
            </w:r>
            <w:r w:rsidR="00BF4D78" w:rsidRPr="00A52AB8">
              <w:rPr>
                <w:b/>
                <w:color w:val="000000" w:themeColor="text1"/>
                <w:sz w:val="20"/>
                <w:szCs w:val="20"/>
              </w:rPr>
              <w:t>_minus1</w:t>
            </w:r>
            <w:r w:rsidR="004A292F" w:rsidRPr="00A52AB8">
              <w:rPr>
                <w:color w:val="000000" w:themeColor="text1"/>
                <w:sz w:val="20"/>
                <w:szCs w:val="20"/>
              </w:rPr>
              <w:t>[ </w:t>
            </w:r>
            <w:r w:rsidR="00632FA7" w:rsidRPr="00A52AB8">
              <w:rPr>
                <w:color w:val="000000" w:themeColor="text1"/>
                <w:sz w:val="20"/>
                <w:szCs w:val="20"/>
              </w:rPr>
              <w:t>tileID</w:t>
            </w:r>
            <w:r w:rsidR="004A292F" w:rsidRPr="00A52AB8">
              <w:rPr>
                <w:color w:val="000000" w:themeColor="text1"/>
                <w:sz w:val="20"/>
                <w:szCs w:val="20"/>
              </w:rPr>
              <w:t> ]</w:t>
            </w:r>
            <w:r w:rsidR="00636D52" w:rsidRPr="00A52AB8">
              <w:rPr>
                <w:color w:val="000000" w:themeColor="text1"/>
                <w:sz w:val="20"/>
                <w:szCs w:val="20"/>
              </w:rPr>
              <w:t>[ </w:t>
            </w:r>
            <w:r w:rsidR="00E13AB1" w:rsidRPr="00A52AB8">
              <w:rPr>
                <w:color w:val="000000" w:themeColor="text1"/>
                <w:sz w:val="20"/>
                <w:szCs w:val="20"/>
              </w:rPr>
              <w:t>patchIdx</w:t>
            </w:r>
            <w:r w:rsidR="006A1251" w:rsidRPr="00A52AB8">
              <w:rPr>
                <w:color w:val="000000" w:themeColor="text1"/>
                <w:sz w:val="20"/>
                <w:szCs w:val="20"/>
              </w:rPr>
              <w:t> </w:t>
            </w:r>
            <w:r w:rsidR="00636D52" w:rsidRPr="00A52AB8">
              <w:rPr>
                <w:color w:val="000000" w:themeColor="text1"/>
                <w:sz w:val="20"/>
                <w:szCs w:val="20"/>
              </w:rPr>
              <w:t>]</w:t>
            </w:r>
          </w:p>
        </w:tc>
        <w:tc>
          <w:tcPr>
            <w:tcW w:w="1253" w:type="dxa"/>
          </w:tcPr>
          <w:p w14:paraId="000D5163" w14:textId="77777777" w:rsidR="00144110" w:rsidRPr="00A52AB8" w:rsidRDefault="0051605A">
            <w:pPr>
              <w:spacing w:before="20" w:after="20"/>
              <w:jc w:val="center"/>
              <w:rPr>
                <w:color w:val="000000" w:themeColor="text1"/>
                <w:sz w:val="20"/>
                <w:szCs w:val="20"/>
              </w:rPr>
            </w:pPr>
            <w:r w:rsidRPr="00A52AB8">
              <w:rPr>
                <w:color w:val="000000" w:themeColor="text1"/>
                <w:sz w:val="20"/>
                <w:szCs w:val="20"/>
              </w:rPr>
              <w:t>u</w:t>
            </w:r>
            <w:r w:rsidR="000A5113" w:rsidRPr="00A52AB8">
              <w:rPr>
                <w:color w:val="000000" w:themeColor="text1"/>
                <w:sz w:val="20"/>
                <w:szCs w:val="20"/>
              </w:rPr>
              <w:t>e</w:t>
            </w:r>
            <w:r w:rsidR="00144110" w:rsidRPr="00A52AB8">
              <w:rPr>
                <w:color w:val="000000" w:themeColor="text1"/>
                <w:sz w:val="20"/>
                <w:szCs w:val="20"/>
              </w:rPr>
              <w:t>(v)</w:t>
            </w:r>
          </w:p>
        </w:tc>
      </w:tr>
      <w:tr w:rsidR="00FA649E" w:rsidRPr="00A52AB8" w14:paraId="0B8DACF1" w14:textId="77777777" w:rsidTr="00A252B5">
        <w:trPr>
          <w:jc w:val="center"/>
        </w:trPr>
        <w:tc>
          <w:tcPr>
            <w:tcW w:w="7921" w:type="dxa"/>
          </w:tcPr>
          <w:p w14:paraId="5931B929" w14:textId="77777777" w:rsidR="00FA649E" w:rsidRPr="00A52AB8" w:rsidRDefault="00FA649E">
            <w:pPr>
              <w:spacing w:before="20" w:after="20"/>
              <w:rPr>
                <w:color w:val="000000" w:themeColor="text1"/>
                <w:sz w:val="20"/>
                <w:szCs w:val="20"/>
              </w:rPr>
            </w:pPr>
            <w:r w:rsidRPr="00A52AB8">
              <w:rPr>
                <w:color w:val="000000" w:themeColor="text1"/>
                <w:sz w:val="20"/>
                <w:szCs w:val="20"/>
              </w:rPr>
              <w:tab/>
            </w:r>
            <w:r w:rsidR="00C31A85" w:rsidRPr="00A52AB8">
              <w:rPr>
                <w:b/>
                <w:color w:val="000000" w:themeColor="text1"/>
                <w:sz w:val="20"/>
                <w:szCs w:val="20"/>
              </w:rPr>
              <w:t>r</w:t>
            </w:r>
            <w:r w:rsidR="007356C4" w:rsidRPr="00A52AB8">
              <w:rPr>
                <w:b/>
                <w:color w:val="000000" w:themeColor="text1"/>
                <w:sz w:val="20"/>
                <w:szCs w:val="20"/>
              </w:rPr>
              <w:t>pdu_3d_offset_u</w:t>
            </w:r>
            <w:r w:rsidR="004A292F" w:rsidRPr="00A52AB8">
              <w:rPr>
                <w:color w:val="000000" w:themeColor="text1"/>
                <w:sz w:val="20"/>
                <w:szCs w:val="20"/>
              </w:rPr>
              <w:t>[ </w:t>
            </w:r>
            <w:r w:rsidR="00632FA7" w:rsidRPr="00A52AB8">
              <w:rPr>
                <w:color w:val="000000" w:themeColor="text1"/>
                <w:sz w:val="20"/>
                <w:szCs w:val="20"/>
              </w:rPr>
              <w:t>tileID</w:t>
            </w:r>
            <w:r w:rsidR="004A292F" w:rsidRPr="00A52AB8">
              <w:rPr>
                <w:color w:val="000000" w:themeColor="text1"/>
                <w:sz w:val="20"/>
                <w:szCs w:val="20"/>
              </w:rPr>
              <w:t> ]</w:t>
            </w:r>
            <w:r w:rsidR="001F3C1E" w:rsidRPr="00A52AB8">
              <w:rPr>
                <w:color w:val="000000" w:themeColor="text1"/>
                <w:sz w:val="20"/>
                <w:szCs w:val="20"/>
              </w:rPr>
              <w:t>[ patchIdx ]</w:t>
            </w:r>
          </w:p>
        </w:tc>
        <w:tc>
          <w:tcPr>
            <w:tcW w:w="1253" w:type="dxa"/>
          </w:tcPr>
          <w:p w14:paraId="63994F8D" w14:textId="77777777" w:rsidR="00FA649E" w:rsidRPr="00A52AB8" w:rsidDel="004552B7" w:rsidRDefault="00FA649E">
            <w:pPr>
              <w:spacing w:before="20" w:after="20"/>
              <w:jc w:val="center"/>
              <w:rPr>
                <w:color w:val="000000" w:themeColor="text1"/>
                <w:sz w:val="20"/>
                <w:szCs w:val="20"/>
              </w:rPr>
            </w:pPr>
            <w:r w:rsidRPr="00A52AB8">
              <w:rPr>
                <w:color w:val="000000" w:themeColor="text1"/>
                <w:sz w:val="20"/>
                <w:szCs w:val="20"/>
              </w:rPr>
              <w:t>u(v)</w:t>
            </w:r>
          </w:p>
        </w:tc>
      </w:tr>
      <w:tr w:rsidR="00FA649E" w:rsidRPr="00A52AB8" w14:paraId="45A56EDF" w14:textId="77777777" w:rsidTr="00A252B5">
        <w:trPr>
          <w:jc w:val="center"/>
        </w:trPr>
        <w:tc>
          <w:tcPr>
            <w:tcW w:w="7921" w:type="dxa"/>
          </w:tcPr>
          <w:p w14:paraId="55304F6C" w14:textId="77777777" w:rsidR="00FA649E" w:rsidRPr="00A52AB8" w:rsidRDefault="00FA649E">
            <w:pPr>
              <w:spacing w:before="20" w:after="20"/>
              <w:rPr>
                <w:color w:val="000000" w:themeColor="text1"/>
                <w:sz w:val="20"/>
                <w:szCs w:val="20"/>
              </w:rPr>
            </w:pPr>
            <w:r w:rsidRPr="00A52AB8">
              <w:rPr>
                <w:color w:val="000000" w:themeColor="text1"/>
                <w:sz w:val="20"/>
                <w:szCs w:val="20"/>
              </w:rPr>
              <w:tab/>
            </w:r>
            <w:r w:rsidR="00C31A85" w:rsidRPr="00A52AB8">
              <w:rPr>
                <w:b/>
                <w:color w:val="000000" w:themeColor="text1"/>
                <w:sz w:val="20"/>
                <w:szCs w:val="20"/>
              </w:rPr>
              <w:t>r</w:t>
            </w:r>
            <w:r w:rsidR="007356C4" w:rsidRPr="00A52AB8">
              <w:rPr>
                <w:b/>
                <w:color w:val="000000" w:themeColor="text1"/>
                <w:sz w:val="20"/>
                <w:szCs w:val="20"/>
              </w:rPr>
              <w:t>pdu_3d_offset_v</w:t>
            </w:r>
            <w:r w:rsidR="004A292F" w:rsidRPr="00A52AB8">
              <w:rPr>
                <w:color w:val="000000" w:themeColor="text1"/>
                <w:sz w:val="20"/>
                <w:szCs w:val="20"/>
              </w:rPr>
              <w:t>[ </w:t>
            </w:r>
            <w:r w:rsidR="00632FA7" w:rsidRPr="00A52AB8">
              <w:rPr>
                <w:color w:val="000000" w:themeColor="text1"/>
                <w:sz w:val="20"/>
                <w:szCs w:val="20"/>
              </w:rPr>
              <w:t>tileID</w:t>
            </w:r>
            <w:r w:rsidR="004A292F" w:rsidRPr="00A52AB8">
              <w:rPr>
                <w:color w:val="000000" w:themeColor="text1"/>
                <w:sz w:val="20"/>
                <w:szCs w:val="20"/>
              </w:rPr>
              <w:t> ]</w:t>
            </w:r>
            <w:r w:rsidR="001F3C1E" w:rsidRPr="00A52AB8">
              <w:rPr>
                <w:color w:val="000000" w:themeColor="text1"/>
                <w:sz w:val="20"/>
                <w:szCs w:val="20"/>
              </w:rPr>
              <w:t>[ patchIdx ]</w:t>
            </w:r>
          </w:p>
        </w:tc>
        <w:tc>
          <w:tcPr>
            <w:tcW w:w="1253" w:type="dxa"/>
          </w:tcPr>
          <w:p w14:paraId="3963D314" w14:textId="77777777" w:rsidR="00FA649E" w:rsidRPr="00A52AB8" w:rsidDel="004552B7" w:rsidRDefault="00FA649E">
            <w:pPr>
              <w:spacing w:before="20" w:after="20"/>
              <w:jc w:val="center"/>
              <w:rPr>
                <w:color w:val="000000" w:themeColor="text1"/>
                <w:sz w:val="20"/>
                <w:szCs w:val="20"/>
              </w:rPr>
            </w:pPr>
            <w:r w:rsidRPr="00A52AB8">
              <w:rPr>
                <w:color w:val="000000" w:themeColor="text1"/>
                <w:sz w:val="20"/>
                <w:szCs w:val="20"/>
              </w:rPr>
              <w:t>u(v)</w:t>
            </w:r>
          </w:p>
        </w:tc>
      </w:tr>
      <w:tr w:rsidR="00FA649E" w:rsidRPr="00A52AB8" w14:paraId="622EC590" w14:textId="77777777" w:rsidTr="00A252B5">
        <w:trPr>
          <w:jc w:val="center"/>
        </w:trPr>
        <w:tc>
          <w:tcPr>
            <w:tcW w:w="7921" w:type="dxa"/>
          </w:tcPr>
          <w:p w14:paraId="769B3B39" w14:textId="77777777" w:rsidR="00FA649E" w:rsidRPr="00A52AB8" w:rsidRDefault="00FA649E">
            <w:pPr>
              <w:spacing w:before="20" w:after="20"/>
              <w:rPr>
                <w:color w:val="000000" w:themeColor="text1"/>
                <w:sz w:val="20"/>
                <w:szCs w:val="20"/>
              </w:rPr>
            </w:pPr>
            <w:r w:rsidRPr="00A52AB8">
              <w:rPr>
                <w:color w:val="000000" w:themeColor="text1"/>
                <w:sz w:val="20"/>
                <w:szCs w:val="20"/>
              </w:rPr>
              <w:tab/>
            </w:r>
            <w:r w:rsidR="00C31A85" w:rsidRPr="00A52AB8">
              <w:rPr>
                <w:b/>
                <w:color w:val="000000" w:themeColor="text1"/>
                <w:sz w:val="20"/>
                <w:szCs w:val="20"/>
              </w:rPr>
              <w:t>r</w:t>
            </w:r>
            <w:r w:rsidR="007356C4" w:rsidRPr="00A52AB8">
              <w:rPr>
                <w:b/>
                <w:color w:val="000000" w:themeColor="text1"/>
                <w:sz w:val="20"/>
                <w:szCs w:val="20"/>
              </w:rPr>
              <w:t>pdu_3d_offset_d</w:t>
            </w:r>
            <w:r w:rsidR="004A292F" w:rsidRPr="00A52AB8">
              <w:rPr>
                <w:color w:val="000000" w:themeColor="text1"/>
                <w:sz w:val="20"/>
                <w:szCs w:val="20"/>
              </w:rPr>
              <w:t>[ </w:t>
            </w:r>
            <w:r w:rsidR="00632FA7" w:rsidRPr="00A52AB8">
              <w:rPr>
                <w:color w:val="000000" w:themeColor="text1"/>
                <w:sz w:val="20"/>
                <w:szCs w:val="20"/>
              </w:rPr>
              <w:t>tileID</w:t>
            </w:r>
            <w:r w:rsidR="004A292F" w:rsidRPr="00A52AB8">
              <w:rPr>
                <w:color w:val="000000" w:themeColor="text1"/>
                <w:sz w:val="20"/>
                <w:szCs w:val="20"/>
              </w:rPr>
              <w:t> ]</w:t>
            </w:r>
            <w:r w:rsidR="001F3C1E" w:rsidRPr="00A52AB8">
              <w:rPr>
                <w:color w:val="000000" w:themeColor="text1"/>
                <w:sz w:val="20"/>
                <w:szCs w:val="20"/>
              </w:rPr>
              <w:t>[ patchIdx ]</w:t>
            </w:r>
          </w:p>
        </w:tc>
        <w:tc>
          <w:tcPr>
            <w:tcW w:w="1253" w:type="dxa"/>
          </w:tcPr>
          <w:p w14:paraId="3C3BEE39" w14:textId="77777777" w:rsidR="00FA649E" w:rsidRPr="00A52AB8" w:rsidDel="004552B7" w:rsidRDefault="00FA649E">
            <w:pPr>
              <w:spacing w:before="20" w:after="20"/>
              <w:jc w:val="center"/>
              <w:rPr>
                <w:color w:val="000000" w:themeColor="text1"/>
                <w:sz w:val="20"/>
                <w:szCs w:val="20"/>
              </w:rPr>
            </w:pPr>
            <w:r w:rsidRPr="00A52AB8">
              <w:rPr>
                <w:color w:val="000000" w:themeColor="text1"/>
                <w:sz w:val="20"/>
                <w:szCs w:val="20"/>
              </w:rPr>
              <w:t>u(v)</w:t>
            </w:r>
          </w:p>
        </w:tc>
      </w:tr>
      <w:tr w:rsidR="00144110" w:rsidRPr="00A52AB8" w14:paraId="71C1278F" w14:textId="77777777" w:rsidTr="00A252B5">
        <w:trPr>
          <w:jc w:val="center"/>
        </w:trPr>
        <w:tc>
          <w:tcPr>
            <w:tcW w:w="7921" w:type="dxa"/>
          </w:tcPr>
          <w:p w14:paraId="375E22BE" w14:textId="77777777" w:rsidR="00144110" w:rsidRPr="00A52AB8" w:rsidRDefault="00144110">
            <w:pPr>
              <w:spacing w:before="20" w:after="20"/>
              <w:rPr>
                <w:color w:val="000000" w:themeColor="text1"/>
                <w:sz w:val="20"/>
                <w:szCs w:val="20"/>
                <w:lang w:eastAsia="ja-JP"/>
              </w:rPr>
            </w:pPr>
            <w:r w:rsidRPr="00A52AB8">
              <w:rPr>
                <w:color w:val="000000" w:themeColor="text1"/>
                <w:sz w:val="20"/>
                <w:szCs w:val="20"/>
              </w:rPr>
              <w:lastRenderedPageBreak/>
              <w:tab/>
            </w:r>
            <w:r w:rsidR="00C31A85" w:rsidRPr="00A52AB8">
              <w:rPr>
                <w:b/>
                <w:color w:val="000000" w:themeColor="text1"/>
                <w:sz w:val="20"/>
                <w:szCs w:val="20"/>
              </w:rPr>
              <w:t>rpdu</w:t>
            </w:r>
            <w:r w:rsidRPr="00A52AB8">
              <w:rPr>
                <w:b/>
                <w:color w:val="000000" w:themeColor="text1"/>
                <w:sz w:val="20"/>
                <w:szCs w:val="20"/>
              </w:rPr>
              <w:t>_points</w:t>
            </w:r>
            <w:r w:rsidR="00A07170" w:rsidRPr="00A52AB8">
              <w:rPr>
                <w:b/>
                <w:color w:val="000000" w:themeColor="text1"/>
                <w:sz w:val="20"/>
                <w:szCs w:val="20"/>
              </w:rPr>
              <w:t>_minus1</w:t>
            </w:r>
            <w:r w:rsidR="004A292F" w:rsidRPr="00A52AB8">
              <w:rPr>
                <w:color w:val="000000" w:themeColor="text1"/>
                <w:sz w:val="20"/>
                <w:szCs w:val="20"/>
              </w:rPr>
              <w:t>[ </w:t>
            </w:r>
            <w:r w:rsidR="00632FA7" w:rsidRPr="00A52AB8">
              <w:rPr>
                <w:color w:val="000000" w:themeColor="text1"/>
                <w:sz w:val="20"/>
                <w:szCs w:val="20"/>
              </w:rPr>
              <w:t>tileID</w:t>
            </w:r>
            <w:r w:rsidR="004A292F" w:rsidRPr="00A52AB8">
              <w:rPr>
                <w:color w:val="000000" w:themeColor="text1"/>
                <w:sz w:val="20"/>
                <w:szCs w:val="20"/>
              </w:rPr>
              <w:t> ]</w:t>
            </w:r>
            <w:r w:rsidR="001F3C1E" w:rsidRPr="00A52AB8">
              <w:rPr>
                <w:color w:val="000000" w:themeColor="text1"/>
                <w:sz w:val="20"/>
                <w:szCs w:val="20"/>
              </w:rPr>
              <w:t>[ patchIdx ]</w:t>
            </w:r>
          </w:p>
        </w:tc>
        <w:tc>
          <w:tcPr>
            <w:tcW w:w="1253" w:type="dxa"/>
          </w:tcPr>
          <w:p w14:paraId="3167AF69" w14:textId="77777777" w:rsidR="00144110" w:rsidRPr="00A52AB8" w:rsidRDefault="004552B7">
            <w:pPr>
              <w:spacing w:before="20" w:after="20"/>
              <w:jc w:val="center"/>
              <w:rPr>
                <w:color w:val="000000" w:themeColor="text1"/>
                <w:sz w:val="20"/>
                <w:szCs w:val="20"/>
              </w:rPr>
            </w:pPr>
            <w:r w:rsidRPr="00A52AB8">
              <w:rPr>
                <w:color w:val="000000" w:themeColor="text1"/>
                <w:sz w:val="20"/>
                <w:szCs w:val="20"/>
              </w:rPr>
              <w:t>u</w:t>
            </w:r>
            <w:r w:rsidR="00E81223" w:rsidRPr="00A52AB8">
              <w:rPr>
                <w:color w:val="000000" w:themeColor="text1"/>
                <w:sz w:val="20"/>
                <w:szCs w:val="20"/>
              </w:rPr>
              <w:t>e</w:t>
            </w:r>
            <w:r w:rsidR="00144110" w:rsidRPr="00A52AB8">
              <w:rPr>
                <w:color w:val="000000" w:themeColor="text1"/>
                <w:sz w:val="20"/>
                <w:szCs w:val="20"/>
              </w:rPr>
              <w:t>(v)</w:t>
            </w:r>
          </w:p>
        </w:tc>
      </w:tr>
      <w:tr w:rsidR="00144110" w:rsidRPr="00A52AB8" w14:paraId="5004D48A" w14:textId="77777777" w:rsidTr="00A252B5">
        <w:trPr>
          <w:jc w:val="center"/>
        </w:trPr>
        <w:tc>
          <w:tcPr>
            <w:tcW w:w="7921" w:type="dxa"/>
          </w:tcPr>
          <w:p w14:paraId="1A177FAE" w14:textId="77777777" w:rsidR="00144110" w:rsidRPr="00A52AB8" w:rsidRDefault="00144110">
            <w:pPr>
              <w:spacing w:before="20" w:after="20"/>
              <w:rPr>
                <w:color w:val="000000" w:themeColor="text1"/>
                <w:sz w:val="20"/>
                <w:szCs w:val="20"/>
              </w:rPr>
            </w:pPr>
            <w:r w:rsidRPr="00A52AB8">
              <w:rPr>
                <w:color w:val="000000" w:themeColor="text1"/>
                <w:sz w:val="20"/>
                <w:szCs w:val="20"/>
              </w:rPr>
              <w:t>}</w:t>
            </w:r>
          </w:p>
        </w:tc>
        <w:tc>
          <w:tcPr>
            <w:tcW w:w="1253" w:type="dxa"/>
          </w:tcPr>
          <w:p w14:paraId="1289EAE3" w14:textId="77777777" w:rsidR="00144110" w:rsidRPr="00A52AB8" w:rsidRDefault="00144110">
            <w:pPr>
              <w:spacing w:before="20" w:after="20"/>
              <w:jc w:val="center"/>
              <w:rPr>
                <w:color w:val="000000" w:themeColor="text1"/>
                <w:sz w:val="20"/>
                <w:szCs w:val="20"/>
              </w:rPr>
            </w:pPr>
          </w:p>
        </w:tc>
      </w:tr>
    </w:tbl>
    <w:p w14:paraId="645A964F" w14:textId="77777777" w:rsidR="00552355" w:rsidRPr="00A52AB8" w:rsidRDefault="00552355" w:rsidP="005C26E9">
      <w:pPr>
        <w:pStyle w:val="Heading4"/>
      </w:pPr>
      <w:bookmarkStart w:id="746" w:name="_Ref1641540"/>
      <w:r w:rsidRPr="00A52AB8">
        <w:rPr>
          <w:color w:val="000000" w:themeColor="text1"/>
        </w:rPr>
        <w:t>EOM</w:t>
      </w:r>
      <w:r w:rsidRPr="00A52AB8">
        <w:t xml:space="preserve"> patch data unit syntax</w:t>
      </w:r>
    </w:p>
    <w:tbl>
      <w:tblPr>
        <w:tblStyle w:val="TableGrid"/>
        <w:tblW w:w="5000" w:type="pct"/>
        <w:jc w:val="center"/>
        <w:tblLayout w:type="fixed"/>
        <w:tblLook w:val="04A0" w:firstRow="1" w:lastRow="0" w:firstColumn="1" w:lastColumn="0" w:noHBand="0" w:noVBand="1"/>
      </w:tblPr>
      <w:tblGrid>
        <w:gridCol w:w="8411"/>
        <w:gridCol w:w="1331"/>
      </w:tblGrid>
      <w:tr w:rsidR="00552355" w:rsidRPr="00A52AB8" w14:paraId="5AAABB72" w14:textId="77777777" w:rsidTr="00A252B5">
        <w:trPr>
          <w:jc w:val="center"/>
        </w:trPr>
        <w:tc>
          <w:tcPr>
            <w:tcW w:w="7921" w:type="dxa"/>
          </w:tcPr>
          <w:p w14:paraId="02454F49" w14:textId="05CB88B3" w:rsidR="00552355" w:rsidRPr="00A52AB8" w:rsidRDefault="00552355">
            <w:pPr>
              <w:spacing w:before="20" w:after="20"/>
              <w:rPr>
                <w:color w:val="000000" w:themeColor="text1"/>
                <w:sz w:val="20"/>
                <w:szCs w:val="20"/>
              </w:rPr>
            </w:pPr>
            <w:bookmarkStart w:id="747" w:name="_Hlk37837952"/>
            <w:r w:rsidRPr="00A52AB8">
              <w:rPr>
                <w:color w:val="000000" w:themeColor="text1"/>
                <w:sz w:val="20"/>
                <w:szCs w:val="20"/>
              </w:rPr>
              <w:t>eom_patch_data_unit(</w:t>
            </w:r>
            <w:r w:rsidR="004A292F" w:rsidRPr="00A52AB8">
              <w:rPr>
                <w:color w:val="000000" w:themeColor="text1"/>
                <w:sz w:val="20"/>
                <w:szCs w:val="20"/>
              </w:rPr>
              <w:t> </w:t>
            </w:r>
            <w:r w:rsidR="00632FA7" w:rsidRPr="00A52AB8">
              <w:rPr>
                <w:color w:val="000000" w:themeColor="text1"/>
                <w:sz w:val="20"/>
                <w:szCs w:val="20"/>
              </w:rPr>
              <w:t>tileID</w:t>
            </w:r>
            <w:r w:rsidR="004A292F" w:rsidRPr="00A52AB8">
              <w:rPr>
                <w:color w:val="000000" w:themeColor="text1"/>
                <w:sz w:val="20"/>
                <w:szCs w:val="20"/>
              </w:rPr>
              <w:t>,</w:t>
            </w:r>
            <w:r w:rsidRPr="00A52AB8">
              <w:rPr>
                <w:color w:val="000000" w:themeColor="text1"/>
                <w:sz w:val="20"/>
                <w:szCs w:val="20"/>
              </w:rPr>
              <w:t> patchIdx </w:t>
            </w:r>
            <w:r w:rsidR="008F1F82" w:rsidRPr="00A52AB8">
              <w:rPr>
                <w:color w:val="000000" w:themeColor="text1"/>
                <w:sz w:val="20"/>
                <w:szCs w:val="20"/>
              </w:rPr>
              <w:t>) {</w:t>
            </w:r>
          </w:p>
        </w:tc>
        <w:tc>
          <w:tcPr>
            <w:tcW w:w="1253" w:type="dxa"/>
          </w:tcPr>
          <w:p w14:paraId="37FF5D4A" w14:textId="77777777" w:rsidR="00552355" w:rsidRPr="00A52AB8" w:rsidRDefault="00552355">
            <w:pPr>
              <w:spacing w:before="20" w:after="20"/>
              <w:jc w:val="center"/>
              <w:rPr>
                <w:b/>
                <w:color w:val="000000" w:themeColor="text1"/>
                <w:sz w:val="20"/>
                <w:szCs w:val="20"/>
              </w:rPr>
            </w:pPr>
            <w:r w:rsidRPr="00A52AB8">
              <w:rPr>
                <w:b/>
                <w:color w:val="000000" w:themeColor="text1"/>
                <w:sz w:val="20"/>
                <w:szCs w:val="20"/>
              </w:rPr>
              <w:t>Descriptor</w:t>
            </w:r>
          </w:p>
        </w:tc>
      </w:tr>
      <w:tr w:rsidR="001B7C80" w:rsidRPr="00A52AB8" w14:paraId="46629550" w14:textId="77777777" w:rsidTr="00A252B5">
        <w:trPr>
          <w:jc w:val="center"/>
        </w:trPr>
        <w:tc>
          <w:tcPr>
            <w:tcW w:w="7921" w:type="dxa"/>
          </w:tcPr>
          <w:p w14:paraId="62E5F3E8" w14:textId="79E8E42A" w:rsidR="001B7C80" w:rsidRPr="00A52AB8" w:rsidRDefault="001B7C80">
            <w:pPr>
              <w:spacing w:before="20" w:after="20"/>
              <w:rPr>
                <w:color w:val="000000" w:themeColor="text1"/>
                <w:sz w:val="20"/>
                <w:szCs w:val="20"/>
              </w:rPr>
            </w:pPr>
            <w:r w:rsidRPr="00A52AB8">
              <w:rPr>
                <w:color w:val="000000" w:themeColor="text1"/>
                <w:sz w:val="20"/>
                <w:szCs w:val="20"/>
              </w:rPr>
              <w:tab/>
              <w:t>if( </w:t>
            </w:r>
            <w:r w:rsidR="005347FC" w:rsidRPr="00A52AB8">
              <w:rPr>
                <w:bCs/>
                <w:color w:val="000000" w:themeColor="text1"/>
                <w:sz w:val="20"/>
                <w:szCs w:val="20"/>
              </w:rPr>
              <w:t>AuxTileHeight[ </w:t>
            </w:r>
            <w:r w:rsidR="007812ED" w:rsidRPr="00A52AB8">
              <w:rPr>
                <w:bCs/>
                <w:color w:val="000000" w:themeColor="text1"/>
                <w:sz w:val="20"/>
                <w:szCs w:val="20"/>
              </w:rPr>
              <w:t>TileID</w:t>
            </w:r>
            <w:r w:rsidR="007512DA" w:rsidRPr="00A52AB8">
              <w:rPr>
                <w:bCs/>
                <w:color w:val="000000" w:themeColor="text1"/>
                <w:sz w:val="20"/>
                <w:szCs w:val="20"/>
              </w:rPr>
              <w:t>ToIndex</w:t>
            </w:r>
            <w:r w:rsidR="00A3110C" w:rsidRPr="00A52AB8">
              <w:rPr>
                <w:bCs/>
                <w:color w:val="000000" w:themeColor="text1"/>
                <w:sz w:val="20"/>
                <w:szCs w:val="20"/>
              </w:rPr>
              <w:t>[ </w:t>
            </w:r>
            <w:r w:rsidR="00632FA7" w:rsidRPr="00A52AB8">
              <w:rPr>
                <w:bCs/>
                <w:color w:val="000000" w:themeColor="text1"/>
                <w:sz w:val="20"/>
                <w:szCs w:val="20"/>
              </w:rPr>
              <w:t>tileID</w:t>
            </w:r>
            <w:r w:rsidR="00A3110C" w:rsidRPr="00A52AB8">
              <w:rPr>
                <w:bCs/>
                <w:color w:val="000000" w:themeColor="text1"/>
                <w:sz w:val="20"/>
                <w:szCs w:val="20"/>
              </w:rPr>
              <w:t> ]</w:t>
            </w:r>
            <w:r w:rsidR="005347FC" w:rsidRPr="00A52AB8">
              <w:rPr>
                <w:bCs/>
                <w:color w:val="000000" w:themeColor="text1"/>
                <w:sz w:val="20"/>
                <w:szCs w:val="20"/>
              </w:rPr>
              <w:t> ] &gt; 0</w:t>
            </w:r>
            <w:r w:rsidRPr="00A52AB8">
              <w:rPr>
                <w:color w:val="000000" w:themeColor="text1"/>
                <w:sz w:val="20"/>
                <w:szCs w:val="20"/>
              </w:rPr>
              <w:t>)</w:t>
            </w:r>
          </w:p>
        </w:tc>
        <w:tc>
          <w:tcPr>
            <w:tcW w:w="1253" w:type="dxa"/>
          </w:tcPr>
          <w:p w14:paraId="2ACAEFE9" w14:textId="77777777" w:rsidR="001B7C80" w:rsidRPr="00A52AB8" w:rsidRDefault="001B7C80">
            <w:pPr>
              <w:spacing w:before="20" w:after="20"/>
              <w:jc w:val="center"/>
              <w:rPr>
                <w:color w:val="000000" w:themeColor="text1"/>
                <w:sz w:val="20"/>
                <w:szCs w:val="20"/>
              </w:rPr>
            </w:pPr>
          </w:p>
        </w:tc>
      </w:tr>
      <w:tr w:rsidR="001B7C80" w:rsidRPr="00A52AB8" w14:paraId="0801FB25" w14:textId="77777777" w:rsidTr="00A252B5">
        <w:trPr>
          <w:jc w:val="center"/>
        </w:trPr>
        <w:tc>
          <w:tcPr>
            <w:tcW w:w="7921" w:type="dxa"/>
          </w:tcPr>
          <w:p w14:paraId="4F06E578" w14:textId="77777777" w:rsidR="001B7C80" w:rsidRPr="00A52AB8" w:rsidRDefault="001B7C80">
            <w:pPr>
              <w:spacing w:before="20" w:after="20"/>
              <w:rPr>
                <w:color w:val="000000" w:themeColor="text1"/>
                <w:sz w:val="20"/>
                <w:szCs w:val="20"/>
              </w:rPr>
            </w:pPr>
            <w:r w:rsidRPr="00A52AB8">
              <w:rPr>
                <w:b/>
                <w:color w:val="000000" w:themeColor="text1"/>
                <w:sz w:val="20"/>
                <w:szCs w:val="20"/>
              </w:rPr>
              <w:tab/>
            </w:r>
            <w:r w:rsidRPr="00A52AB8">
              <w:rPr>
                <w:b/>
                <w:color w:val="000000" w:themeColor="text1"/>
                <w:sz w:val="20"/>
                <w:szCs w:val="20"/>
              </w:rPr>
              <w:tab/>
              <w:t>epdu_patch_in_auxiliary_video_flag</w:t>
            </w:r>
            <w:r w:rsidR="004A292F" w:rsidRPr="00A52AB8">
              <w:rPr>
                <w:color w:val="000000" w:themeColor="text1"/>
                <w:sz w:val="20"/>
                <w:szCs w:val="20"/>
              </w:rPr>
              <w:t>[ </w:t>
            </w:r>
            <w:r w:rsidR="00632FA7" w:rsidRPr="00A52AB8">
              <w:rPr>
                <w:color w:val="000000" w:themeColor="text1"/>
                <w:sz w:val="20"/>
                <w:szCs w:val="20"/>
              </w:rPr>
              <w:t>tileID</w:t>
            </w:r>
            <w:r w:rsidR="004A292F" w:rsidRPr="00A52AB8">
              <w:rPr>
                <w:color w:val="000000" w:themeColor="text1"/>
                <w:sz w:val="20"/>
                <w:szCs w:val="20"/>
              </w:rPr>
              <w:t> ]</w:t>
            </w:r>
            <w:r w:rsidRPr="00A52AB8">
              <w:rPr>
                <w:color w:val="000000" w:themeColor="text1"/>
                <w:sz w:val="20"/>
                <w:szCs w:val="20"/>
              </w:rPr>
              <w:t>[ patchIdx ]</w:t>
            </w:r>
          </w:p>
        </w:tc>
        <w:tc>
          <w:tcPr>
            <w:tcW w:w="1253" w:type="dxa"/>
          </w:tcPr>
          <w:p w14:paraId="569E0A67" w14:textId="77777777" w:rsidR="001B7C80" w:rsidRPr="00A52AB8" w:rsidRDefault="001B7C80">
            <w:pPr>
              <w:spacing w:before="20" w:after="20"/>
              <w:jc w:val="center"/>
              <w:rPr>
                <w:color w:val="000000" w:themeColor="text1"/>
                <w:sz w:val="20"/>
                <w:szCs w:val="20"/>
              </w:rPr>
            </w:pPr>
            <w:r w:rsidRPr="00A52AB8">
              <w:rPr>
                <w:color w:val="000000" w:themeColor="text1"/>
                <w:sz w:val="20"/>
                <w:szCs w:val="20"/>
              </w:rPr>
              <w:t>u(1)</w:t>
            </w:r>
          </w:p>
        </w:tc>
      </w:tr>
      <w:tr w:rsidR="001B7C80" w:rsidRPr="00A52AB8" w14:paraId="389ACEE0" w14:textId="77777777" w:rsidTr="00A252B5">
        <w:trPr>
          <w:jc w:val="center"/>
        </w:trPr>
        <w:tc>
          <w:tcPr>
            <w:tcW w:w="7921" w:type="dxa"/>
          </w:tcPr>
          <w:p w14:paraId="4F0C793B" w14:textId="77777777" w:rsidR="001B7C80" w:rsidRPr="00A52AB8" w:rsidRDefault="001B7C80">
            <w:pPr>
              <w:spacing w:before="20" w:after="20"/>
              <w:rPr>
                <w:color w:val="000000" w:themeColor="text1"/>
                <w:sz w:val="20"/>
                <w:szCs w:val="20"/>
              </w:rPr>
            </w:pPr>
            <w:r w:rsidRPr="00A52AB8">
              <w:rPr>
                <w:color w:val="000000" w:themeColor="text1"/>
                <w:sz w:val="20"/>
                <w:szCs w:val="20"/>
              </w:rPr>
              <w:tab/>
            </w:r>
            <w:r w:rsidRPr="00A52AB8">
              <w:rPr>
                <w:b/>
                <w:color w:val="000000" w:themeColor="text1"/>
                <w:sz w:val="20"/>
                <w:szCs w:val="20"/>
              </w:rPr>
              <w:t>epdu_2d_pos_x</w:t>
            </w:r>
            <w:r w:rsidR="004A292F" w:rsidRPr="00A52AB8">
              <w:rPr>
                <w:color w:val="000000" w:themeColor="text1"/>
                <w:sz w:val="20"/>
                <w:szCs w:val="20"/>
              </w:rPr>
              <w:t>[ </w:t>
            </w:r>
            <w:r w:rsidR="00632FA7" w:rsidRPr="00A52AB8">
              <w:rPr>
                <w:color w:val="000000" w:themeColor="text1"/>
                <w:sz w:val="20"/>
                <w:szCs w:val="20"/>
              </w:rPr>
              <w:t>tileID</w:t>
            </w:r>
            <w:r w:rsidR="004A292F" w:rsidRPr="00A52AB8">
              <w:rPr>
                <w:color w:val="000000" w:themeColor="text1"/>
                <w:sz w:val="20"/>
                <w:szCs w:val="20"/>
              </w:rPr>
              <w:t> ]</w:t>
            </w:r>
            <w:r w:rsidRPr="00A52AB8">
              <w:rPr>
                <w:color w:val="000000" w:themeColor="text1"/>
                <w:sz w:val="20"/>
                <w:szCs w:val="20"/>
              </w:rPr>
              <w:t>[ patchIdx ]</w:t>
            </w:r>
          </w:p>
        </w:tc>
        <w:tc>
          <w:tcPr>
            <w:tcW w:w="1253" w:type="dxa"/>
          </w:tcPr>
          <w:p w14:paraId="2C93AE84" w14:textId="77777777" w:rsidR="001B7C80" w:rsidRPr="00A52AB8" w:rsidRDefault="001B7C80">
            <w:pPr>
              <w:spacing w:before="20" w:after="20"/>
              <w:jc w:val="center"/>
              <w:rPr>
                <w:color w:val="000000" w:themeColor="text1"/>
                <w:sz w:val="20"/>
                <w:szCs w:val="20"/>
              </w:rPr>
            </w:pPr>
            <w:r w:rsidRPr="00A52AB8">
              <w:rPr>
                <w:color w:val="000000" w:themeColor="text1"/>
                <w:sz w:val="20"/>
                <w:szCs w:val="20"/>
              </w:rPr>
              <w:t>u</w:t>
            </w:r>
            <w:r w:rsidR="00B96082" w:rsidRPr="00A52AB8">
              <w:rPr>
                <w:color w:val="000000" w:themeColor="text1"/>
                <w:sz w:val="20"/>
                <w:szCs w:val="20"/>
              </w:rPr>
              <w:t>e</w:t>
            </w:r>
            <w:r w:rsidRPr="00A52AB8">
              <w:rPr>
                <w:color w:val="000000" w:themeColor="text1"/>
                <w:sz w:val="20"/>
                <w:szCs w:val="20"/>
              </w:rPr>
              <w:t>(v)</w:t>
            </w:r>
          </w:p>
        </w:tc>
      </w:tr>
      <w:tr w:rsidR="001B7C80" w:rsidRPr="00A52AB8" w14:paraId="41A1C270" w14:textId="77777777" w:rsidTr="00A252B5">
        <w:trPr>
          <w:jc w:val="center"/>
        </w:trPr>
        <w:tc>
          <w:tcPr>
            <w:tcW w:w="7921" w:type="dxa"/>
          </w:tcPr>
          <w:p w14:paraId="25FF47CF" w14:textId="77777777" w:rsidR="001B7C80" w:rsidRPr="00A52AB8" w:rsidRDefault="001B7C80">
            <w:pPr>
              <w:spacing w:before="20" w:after="20"/>
              <w:rPr>
                <w:color w:val="000000" w:themeColor="text1"/>
                <w:sz w:val="20"/>
                <w:szCs w:val="20"/>
              </w:rPr>
            </w:pPr>
            <w:r w:rsidRPr="00A52AB8">
              <w:rPr>
                <w:color w:val="000000" w:themeColor="text1"/>
                <w:sz w:val="20"/>
                <w:szCs w:val="20"/>
              </w:rPr>
              <w:tab/>
            </w:r>
            <w:r w:rsidRPr="00A52AB8">
              <w:rPr>
                <w:b/>
                <w:color w:val="000000" w:themeColor="text1"/>
                <w:sz w:val="20"/>
                <w:szCs w:val="20"/>
              </w:rPr>
              <w:t>epdu_2d_pos_y</w:t>
            </w:r>
            <w:r w:rsidR="004A292F" w:rsidRPr="00A52AB8">
              <w:rPr>
                <w:color w:val="000000" w:themeColor="text1"/>
                <w:sz w:val="20"/>
                <w:szCs w:val="20"/>
              </w:rPr>
              <w:t>[ </w:t>
            </w:r>
            <w:r w:rsidR="00632FA7" w:rsidRPr="00A52AB8">
              <w:rPr>
                <w:color w:val="000000" w:themeColor="text1"/>
                <w:sz w:val="20"/>
                <w:szCs w:val="20"/>
              </w:rPr>
              <w:t>tileID</w:t>
            </w:r>
            <w:r w:rsidR="004A292F" w:rsidRPr="00A52AB8">
              <w:rPr>
                <w:color w:val="000000" w:themeColor="text1"/>
                <w:sz w:val="20"/>
                <w:szCs w:val="20"/>
              </w:rPr>
              <w:t> ]</w:t>
            </w:r>
            <w:r w:rsidRPr="00A52AB8">
              <w:rPr>
                <w:color w:val="000000" w:themeColor="text1"/>
                <w:sz w:val="20"/>
                <w:szCs w:val="20"/>
              </w:rPr>
              <w:t>[ patchIdx ]</w:t>
            </w:r>
          </w:p>
        </w:tc>
        <w:tc>
          <w:tcPr>
            <w:tcW w:w="1253" w:type="dxa"/>
          </w:tcPr>
          <w:p w14:paraId="4D72A145" w14:textId="77777777" w:rsidR="001B7C80" w:rsidRPr="00A52AB8" w:rsidRDefault="001B7C80">
            <w:pPr>
              <w:spacing w:before="20" w:after="20"/>
              <w:jc w:val="center"/>
              <w:rPr>
                <w:color w:val="000000" w:themeColor="text1"/>
                <w:sz w:val="20"/>
                <w:szCs w:val="20"/>
              </w:rPr>
            </w:pPr>
            <w:r w:rsidRPr="00A52AB8">
              <w:rPr>
                <w:color w:val="000000" w:themeColor="text1"/>
                <w:sz w:val="20"/>
                <w:szCs w:val="20"/>
              </w:rPr>
              <w:t>u</w:t>
            </w:r>
            <w:r w:rsidR="00B96082" w:rsidRPr="00A52AB8">
              <w:rPr>
                <w:color w:val="000000" w:themeColor="text1"/>
                <w:sz w:val="20"/>
                <w:szCs w:val="20"/>
              </w:rPr>
              <w:t>e</w:t>
            </w:r>
            <w:r w:rsidRPr="00A52AB8">
              <w:rPr>
                <w:color w:val="000000" w:themeColor="text1"/>
                <w:sz w:val="20"/>
                <w:szCs w:val="20"/>
              </w:rPr>
              <w:t>(v)</w:t>
            </w:r>
          </w:p>
        </w:tc>
      </w:tr>
      <w:tr w:rsidR="001B7C80" w:rsidRPr="00A52AB8" w14:paraId="2C18B8C4" w14:textId="77777777" w:rsidTr="00A252B5">
        <w:trPr>
          <w:jc w:val="center"/>
        </w:trPr>
        <w:tc>
          <w:tcPr>
            <w:tcW w:w="7921" w:type="dxa"/>
          </w:tcPr>
          <w:p w14:paraId="75AD0B84" w14:textId="77777777" w:rsidR="001B7C80" w:rsidRPr="00A52AB8" w:rsidRDefault="001B7C80">
            <w:pPr>
              <w:spacing w:before="20" w:after="20"/>
              <w:rPr>
                <w:color w:val="000000" w:themeColor="text1"/>
                <w:sz w:val="20"/>
                <w:szCs w:val="20"/>
                <w:lang w:eastAsia="ja-JP"/>
              </w:rPr>
            </w:pPr>
            <w:r w:rsidRPr="00A52AB8">
              <w:rPr>
                <w:color w:val="000000" w:themeColor="text1"/>
                <w:sz w:val="20"/>
                <w:szCs w:val="20"/>
              </w:rPr>
              <w:tab/>
            </w:r>
            <w:r w:rsidRPr="00A52AB8">
              <w:rPr>
                <w:b/>
                <w:color w:val="000000" w:themeColor="text1"/>
                <w:sz w:val="20"/>
                <w:szCs w:val="20"/>
              </w:rPr>
              <w:t>epdu_2d_size_x</w:t>
            </w:r>
            <w:r w:rsidR="00BF4D78" w:rsidRPr="00A52AB8">
              <w:rPr>
                <w:b/>
                <w:color w:val="000000" w:themeColor="text1"/>
                <w:sz w:val="20"/>
                <w:szCs w:val="20"/>
              </w:rPr>
              <w:t>_minus1</w:t>
            </w:r>
            <w:r w:rsidR="004A292F" w:rsidRPr="00A52AB8">
              <w:rPr>
                <w:color w:val="000000" w:themeColor="text1"/>
                <w:sz w:val="20"/>
                <w:szCs w:val="20"/>
              </w:rPr>
              <w:t>[ </w:t>
            </w:r>
            <w:r w:rsidR="00632FA7" w:rsidRPr="00A52AB8">
              <w:rPr>
                <w:color w:val="000000" w:themeColor="text1"/>
                <w:sz w:val="20"/>
                <w:szCs w:val="20"/>
              </w:rPr>
              <w:t>tileID</w:t>
            </w:r>
            <w:r w:rsidR="004A292F" w:rsidRPr="00A52AB8">
              <w:rPr>
                <w:color w:val="000000" w:themeColor="text1"/>
                <w:sz w:val="20"/>
                <w:szCs w:val="20"/>
              </w:rPr>
              <w:t> ]</w:t>
            </w:r>
            <w:r w:rsidRPr="00A52AB8">
              <w:rPr>
                <w:color w:val="000000" w:themeColor="text1"/>
                <w:sz w:val="20"/>
                <w:szCs w:val="20"/>
              </w:rPr>
              <w:t>[ patchIdx ]</w:t>
            </w:r>
          </w:p>
        </w:tc>
        <w:tc>
          <w:tcPr>
            <w:tcW w:w="1253" w:type="dxa"/>
          </w:tcPr>
          <w:p w14:paraId="0A9FB613" w14:textId="77777777" w:rsidR="001B7C80" w:rsidRPr="00A52AB8" w:rsidRDefault="0051605A">
            <w:pPr>
              <w:spacing w:before="20" w:after="20"/>
              <w:jc w:val="center"/>
              <w:rPr>
                <w:color w:val="000000" w:themeColor="text1"/>
                <w:sz w:val="20"/>
                <w:szCs w:val="20"/>
              </w:rPr>
            </w:pPr>
            <w:r w:rsidRPr="00A52AB8">
              <w:rPr>
                <w:color w:val="000000" w:themeColor="text1"/>
                <w:sz w:val="20"/>
                <w:szCs w:val="20"/>
              </w:rPr>
              <w:t>u</w:t>
            </w:r>
            <w:r w:rsidR="001B7C80" w:rsidRPr="00A52AB8">
              <w:rPr>
                <w:color w:val="000000" w:themeColor="text1"/>
                <w:sz w:val="20"/>
                <w:szCs w:val="20"/>
              </w:rPr>
              <w:t>e(v)</w:t>
            </w:r>
          </w:p>
        </w:tc>
      </w:tr>
      <w:tr w:rsidR="001B7C80" w:rsidRPr="00A52AB8" w14:paraId="6AF37E6C" w14:textId="77777777" w:rsidTr="00A252B5">
        <w:trPr>
          <w:jc w:val="center"/>
        </w:trPr>
        <w:tc>
          <w:tcPr>
            <w:tcW w:w="7921" w:type="dxa"/>
          </w:tcPr>
          <w:p w14:paraId="4B750414" w14:textId="77777777" w:rsidR="001B7C80" w:rsidRPr="00A52AB8" w:rsidRDefault="001B7C80">
            <w:pPr>
              <w:spacing w:before="20" w:after="20"/>
              <w:rPr>
                <w:color w:val="000000" w:themeColor="text1"/>
                <w:sz w:val="20"/>
                <w:szCs w:val="20"/>
                <w:lang w:eastAsia="ja-JP"/>
              </w:rPr>
            </w:pPr>
            <w:r w:rsidRPr="00A52AB8">
              <w:rPr>
                <w:color w:val="000000" w:themeColor="text1"/>
                <w:sz w:val="20"/>
                <w:szCs w:val="20"/>
              </w:rPr>
              <w:tab/>
            </w:r>
            <w:r w:rsidRPr="00A52AB8">
              <w:rPr>
                <w:b/>
                <w:color w:val="000000" w:themeColor="text1"/>
                <w:sz w:val="20"/>
                <w:szCs w:val="20"/>
              </w:rPr>
              <w:t>epdu_2d_size_y</w:t>
            </w:r>
            <w:r w:rsidR="00BF4D78" w:rsidRPr="00A52AB8">
              <w:rPr>
                <w:b/>
                <w:color w:val="000000" w:themeColor="text1"/>
                <w:sz w:val="20"/>
                <w:szCs w:val="20"/>
              </w:rPr>
              <w:t>_minus1</w:t>
            </w:r>
            <w:r w:rsidR="004A292F" w:rsidRPr="00A52AB8">
              <w:rPr>
                <w:color w:val="000000" w:themeColor="text1"/>
                <w:sz w:val="20"/>
                <w:szCs w:val="20"/>
              </w:rPr>
              <w:t>[ </w:t>
            </w:r>
            <w:r w:rsidR="00632FA7" w:rsidRPr="00A52AB8">
              <w:rPr>
                <w:color w:val="000000" w:themeColor="text1"/>
                <w:sz w:val="20"/>
                <w:szCs w:val="20"/>
              </w:rPr>
              <w:t>tileID</w:t>
            </w:r>
            <w:r w:rsidR="004A292F" w:rsidRPr="00A52AB8">
              <w:rPr>
                <w:color w:val="000000" w:themeColor="text1"/>
                <w:sz w:val="20"/>
                <w:szCs w:val="20"/>
              </w:rPr>
              <w:t> ]</w:t>
            </w:r>
            <w:r w:rsidRPr="00A52AB8">
              <w:rPr>
                <w:color w:val="000000" w:themeColor="text1"/>
                <w:sz w:val="20"/>
                <w:szCs w:val="20"/>
              </w:rPr>
              <w:t>[ patchIdx ]</w:t>
            </w:r>
          </w:p>
        </w:tc>
        <w:tc>
          <w:tcPr>
            <w:tcW w:w="1253" w:type="dxa"/>
          </w:tcPr>
          <w:p w14:paraId="632A5B0A" w14:textId="77777777" w:rsidR="001B7C80" w:rsidRPr="00A52AB8" w:rsidRDefault="0051605A">
            <w:pPr>
              <w:spacing w:before="20" w:after="20"/>
              <w:jc w:val="center"/>
              <w:rPr>
                <w:color w:val="000000" w:themeColor="text1"/>
                <w:sz w:val="20"/>
                <w:szCs w:val="20"/>
              </w:rPr>
            </w:pPr>
            <w:r w:rsidRPr="00A52AB8">
              <w:rPr>
                <w:color w:val="000000" w:themeColor="text1"/>
                <w:sz w:val="20"/>
                <w:szCs w:val="20"/>
              </w:rPr>
              <w:t>u</w:t>
            </w:r>
            <w:r w:rsidR="001B7C80" w:rsidRPr="00A52AB8">
              <w:rPr>
                <w:color w:val="000000" w:themeColor="text1"/>
                <w:sz w:val="20"/>
                <w:szCs w:val="20"/>
              </w:rPr>
              <w:t>e(v)</w:t>
            </w:r>
          </w:p>
        </w:tc>
      </w:tr>
      <w:tr w:rsidR="001B7C80" w:rsidRPr="00A52AB8" w14:paraId="24A2793F" w14:textId="77777777" w:rsidTr="00A252B5">
        <w:trPr>
          <w:jc w:val="center"/>
        </w:trPr>
        <w:tc>
          <w:tcPr>
            <w:tcW w:w="7921" w:type="dxa"/>
          </w:tcPr>
          <w:p w14:paraId="1A45F5BD" w14:textId="77777777" w:rsidR="001B7C80" w:rsidRPr="00A52AB8" w:rsidRDefault="001B7C80">
            <w:pPr>
              <w:spacing w:before="20" w:after="20"/>
              <w:rPr>
                <w:color w:val="000000" w:themeColor="text1"/>
                <w:sz w:val="20"/>
                <w:szCs w:val="20"/>
              </w:rPr>
            </w:pPr>
            <w:r w:rsidRPr="00A52AB8">
              <w:rPr>
                <w:color w:val="000000" w:themeColor="text1"/>
                <w:sz w:val="20"/>
                <w:szCs w:val="20"/>
              </w:rPr>
              <w:tab/>
            </w:r>
            <w:r w:rsidRPr="00A52AB8">
              <w:rPr>
                <w:b/>
                <w:color w:val="000000" w:themeColor="text1"/>
                <w:sz w:val="20"/>
              </w:rPr>
              <w:t>epdu_patch_count_minus1</w:t>
            </w:r>
            <w:r w:rsidR="004A292F" w:rsidRPr="00A52AB8">
              <w:rPr>
                <w:color w:val="000000" w:themeColor="text1"/>
                <w:sz w:val="20"/>
                <w:szCs w:val="20"/>
              </w:rPr>
              <w:t>[ </w:t>
            </w:r>
            <w:r w:rsidR="00632FA7" w:rsidRPr="00A52AB8">
              <w:rPr>
                <w:color w:val="000000" w:themeColor="text1"/>
                <w:sz w:val="20"/>
                <w:szCs w:val="20"/>
              </w:rPr>
              <w:t>tileID</w:t>
            </w:r>
            <w:r w:rsidR="004A292F" w:rsidRPr="00A52AB8">
              <w:rPr>
                <w:color w:val="000000" w:themeColor="text1"/>
                <w:sz w:val="20"/>
                <w:szCs w:val="20"/>
              </w:rPr>
              <w:t> ]</w:t>
            </w:r>
            <w:r w:rsidRPr="00A52AB8">
              <w:rPr>
                <w:color w:val="000000" w:themeColor="text1"/>
                <w:sz w:val="20"/>
                <w:szCs w:val="20"/>
              </w:rPr>
              <w:t>[ patchIdx ]</w:t>
            </w:r>
          </w:p>
        </w:tc>
        <w:tc>
          <w:tcPr>
            <w:tcW w:w="1253" w:type="dxa"/>
          </w:tcPr>
          <w:p w14:paraId="08F11AEC" w14:textId="77777777" w:rsidR="001B7C80" w:rsidRPr="00A52AB8" w:rsidDel="004552B7" w:rsidRDefault="001B7C80">
            <w:pPr>
              <w:spacing w:before="20" w:after="20"/>
              <w:jc w:val="center"/>
              <w:rPr>
                <w:color w:val="000000" w:themeColor="text1"/>
                <w:sz w:val="20"/>
                <w:szCs w:val="20"/>
              </w:rPr>
            </w:pPr>
            <w:r w:rsidRPr="00A52AB8">
              <w:rPr>
                <w:color w:val="000000" w:themeColor="text1"/>
                <w:sz w:val="20"/>
                <w:szCs w:val="20"/>
              </w:rPr>
              <w:t>u</w:t>
            </w:r>
            <w:r w:rsidR="00CC5CFE" w:rsidRPr="00A52AB8">
              <w:rPr>
                <w:color w:val="000000" w:themeColor="text1"/>
                <w:sz w:val="20"/>
                <w:szCs w:val="20"/>
              </w:rPr>
              <w:t>e</w:t>
            </w:r>
            <w:r w:rsidRPr="00A52AB8">
              <w:rPr>
                <w:color w:val="000000" w:themeColor="text1"/>
                <w:sz w:val="20"/>
                <w:szCs w:val="20"/>
              </w:rPr>
              <w:t>(v)</w:t>
            </w:r>
          </w:p>
        </w:tc>
      </w:tr>
      <w:tr w:rsidR="001B7C80" w:rsidRPr="00A52AB8" w14:paraId="7AB850AF" w14:textId="77777777" w:rsidTr="00A252B5">
        <w:trPr>
          <w:trHeight w:val="64"/>
          <w:jc w:val="center"/>
        </w:trPr>
        <w:tc>
          <w:tcPr>
            <w:tcW w:w="7921" w:type="dxa"/>
          </w:tcPr>
          <w:p w14:paraId="0812317E" w14:textId="0F99C4F4" w:rsidR="001B7C80" w:rsidRPr="00A52AB8" w:rsidRDefault="001B7C80">
            <w:pPr>
              <w:spacing w:before="20" w:after="20"/>
              <w:rPr>
                <w:color w:val="000000" w:themeColor="text1"/>
                <w:sz w:val="20"/>
                <w:szCs w:val="20"/>
              </w:rPr>
            </w:pPr>
            <w:r w:rsidRPr="00A52AB8">
              <w:rPr>
                <w:color w:val="000000" w:themeColor="text1"/>
                <w:sz w:val="20"/>
                <w:szCs w:val="20"/>
              </w:rPr>
              <w:tab/>
            </w:r>
            <w:r w:rsidRPr="00A52AB8">
              <w:rPr>
                <w:color w:val="000000" w:themeColor="text1"/>
                <w:sz w:val="20"/>
              </w:rPr>
              <w:t>for( i</w:t>
            </w:r>
            <w:r w:rsidR="00D47707" w:rsidRPr="00A52AB8">
              <w:rPr>
                <w:color w:val="000000" w:themeColor="text1"/>
                <w:sz w:val="20"/>
              </w:rPr>
              <w:t> = </w:t>
            </w:r>
            <w:r w:rsidRPr="00A52AB8">
              <w:rPr>
                <w:color w:val="000000" w:themeColor="text1"/>
                <w:sz w:val="20"/>
              </w:rPr>
              <w:t>0; i &lt; epdu_patch_count_minus1</w:t>
            </w:r>
            <w:r w:rsidR="004A292F" w:rsidRPr="00A52AB8">
              <w:rPr>
                <w:color w:val="000000" w:themeColor="text1"/>
                <w:sz w:val="20"/>
                <w:szCs w:val="20"/>
              </w:rPr>
              <w:t>[ </w:t>
            </w:r>
            <w:r w:rsidR="00632FA7" w:rsidRPr="00A52AB8">
              <w:rPr>
                <w:color w:val="000000" w:themeColor="text1"/>
                <w:sz w:val="20"/>
                <w:szCs w:val="20"/>
              </w:rPr>
              <w:t>tileID</w:t>
            </w:r>
            <w:r w:rsidR="004A292F" w:rsidRPr="00A52AB8">
              <w:rPr>
                <w:color w:val="000000" w:themeColor="text1"/>
                <w:sz w:val="20"/>
                <w:szCs w:val="20"/>
              </w:rPr>
              <w:t> ]</w:t>
            </w:r>
            <w:r w:rsidRPr="00A52AB8">
              <w:rPr>
                <w:color w:val="000000" w:themeColor="text1"/>
                <w:sz w:val="20"/>
                <w:szCs w:val="20"/>
              </w:rPr>
              <w:t>[ patchIdx ] + 1</w:t>
            </w:r>
            <w:r w:rsidRPr="00A52AB8">
              <w:rPr>
                <w:color w:val="000000" w:themeColor="text1"/>
                <w:sz w:val="20"/>
              </w:rPr>
              <w:t>; i</w:t>
            </w:r>
            <w:r w:rsidR="00006CCF" w:rsidRPr="00A52AB8">
              <w:rPr>
                <w:color w:val="000000" w:themeColor="text1"/>
                <w:sz w:val="20"/>
              </w:rPr>
              <w:t>++ </w:t>
            </w:r>
            <w:r w:rsidR="008F1F82" w:rsidRPr="00A52AB8">
              <w:rPr>
                <w:color w:val="000000" w:themeColor="text1"/>
                <w:sz w:val="20"/>
              </w:rPr>
              <w:t>) {</w:t>
            </w:r>
          </w:p>
        </w:tc>
        <w:tc>
          <w:tcPr>
            <w:tcW w:w="1253" w:type="dxa"/>
          </w:tcPr>
          <w:p w14:paraId="3D016CD1" w14:textId="77777777" w:rsidR="001B7C80" w:rsidRPr="00A52AB8" w:rsidDel="004552B7" w:rsidRDefault="001B7C80">
            <w:pPr>
              <w:spacing w:before="20" w:after="20"/>
              <w:jc w:val="center"/>
              <w:rPr>
                <w:color w:val="000000" w:themeColor="text1"/>
                <w:sz w:val="20"/>
                <w:szCs w:val="20"/>
              </w:rPr>
            </w:pPr>
          </w:p>
        </w:tc>
      </w:tr>
      <w:tr w:rsidR="00166BCE" w:rsidRPr="00A52AB8" w14:paraId="0B99A3B9" w14:textId="77777777" w:rsidTr="00A252B5">
        <w:trPr>
          <w:jc w:val="center"/>
        </w:trPr>
        <w:tc>
          <w:tcPr>
            <w:tcW w:w="7921" w:type="dxa"/>
          </w:tcPr>
          <w:p w14:paraId="0BFC43B6" w14:textId="77777777" w:rsidR="00166BCE" w:rsidRPr="00A52AB8" w:rsidRDefault="00166BCE">
            <w:pPr>
              <w:spacing w:before="20" w:after="20"/>
              <w:rPr>
                <w:color w:val="000000" w:themeColor="text1"/>
                <w:sz w:val="20"/>
                <w:szCs w:val="20"/>
              </w:rPr>
            </w:pPr>
            <w:r w:rsidRPr="00A52AB8">
              <w:rPr>
                <w:color w:val="000000" w:themeColor="text1"/>
                <w:sz w:val="20"/>
                <w:szCs w:val="20"/>
              </w:rPr>
              <w:tab/>
            </w:r>
            <w:r w:rsidRPr="00A52AB8">
              <w:rPr>
                <w:color w:val="000000" w:themeColor="text1"/>
                <w:sz w:val="20"/>
                <w:szCs w:val="20"/>
              </w:rPr>
              <w:tab/>
            </w:r>
            <w:r w:rsidRPr="00A52AB8">
              <w:rPr>
                <w:b/>
                <w:bCs/>
                <w:color w:val="000000" w:themeColor="text1"/>
                <w:sz w:val="20"/>
                <w:szCs w:val="20"/>
              </w:rPr>
              <w:t>epdu_associated_patch_idx</w:t>
            </w:r>
            <w:r w:rsidR="004A292F" w:rsidRPr="00A52AB8">
              <w:rPr>
                <w:color w:val="000000" w:themeColor="text1"/>
                <w:sz w:val="20"/>
                <w:szCs w:val="20"/>
              </w:rPr>
              <w:t>[ </w:t>
            </w:r>
            <w:r w:rsidR="00632FA7" w:rsidRPr="00A52AB8">
              <w:rPr>
                <w:color w:val="000000" w:themeColor="text1"/>
                <w:sz w:val="20"/>
                <w:szCs w:val="20"/>
              </w:rPr>
              <w:t>tileID</w:t>
            </w:r>
            <w:r w:rsidR="004A292F" w:rsidRPr="00A52AB8">
              <w:rPr>
                <w:color w:val="000000" w:themeColor="text1"/>
                <w:sz w:val="20"/>
                <w:szCs w:val="20"/>
              </w:rPr>
              <w:t> ]</w:t>
            </w:r>
            <w:r w:rsidRPr="00A52AB8">
              <w:rPr>
                <w:color w:val="000000" w:themeColor="text1"/>
                <w:sz w:val="20"/>
                <w:szCs w:val="20"/>
              </w:rPr>
              <w:t>[ patchIdx ]</w:t>
            </w:r>
            <w:r w:rsidR="001F4484" w:rsidRPr="00A52AB8">
              <w:rPr>
                <w:color w:val="000000" w:themeColor="text1"/>
                <w:sz w:val="20"/>
                <w:szCs w:val="20"/>
              </w:rPr>
              <w:t>[ i ]</w:t>
            </w:r>
          </w:p>
        </w:tc>
        <w:tc>
          <w:tcPr>
            <w:tcW w:w="1253" w:type="dxa"/>
          </w:tcPr>
          <w:p w14:paraId="67BE5397" w14:textId="77777777" w:rsidR="00166BCE" w:rsidRPr="00A52AB8" w:rsidRDefault="00166BCE">
            <w:pPr>
              <w:spacing w:before="20" w:after="20"/>
              <w:jc w:val="center"/>
              <w:rPr>
                <w:color w:val="000000" w:themeColor="text1"/>
                <w:sz w:val="20"/>
                <w:szCs w:val="20"/>
              </w:rPr>
            </w:pPr>
            <w:r w:rsidRPr="00A52AB8">
              <w:rPr>
                <w:color w:val="000000" w:themeColor="text1"/>
                <w:sz w:val="20"/>
                <w:szCs w:val="20"/>
              </w:rPr>
              <w:t>ue(v)</w:t>
            </w:r>
          </w:p>
        </w:tc>
      </w:tr>
      <w:tr w:rsidR="00A02E9D" w:rsidRPr="00A52AB8" w14:paraId="0D42E98E" w14:textId="77777777" w:rsidTr="00A252B5">
        <w:trPr>
          <w:jc w:val="center"/>
        </w:trPr>
        <w:tc>
          <w:tcPr>
            <w:tcW w:w="7921" w:type="dxa"/>
          </w:tcPr>
          <w:p w14:paraId="202A97D9" w14:textId="77777777" w:rsidR="00A02E9D" w:rsidRPr="00A52AB8" w:rsidRDefault="00A02E9D">
            <w:pPr>
              <w:spacing w:before="20" w:after="20"/>
              <w:rPr>
                <w:color w:val="000000" w:themeColor="text1"/>
                <w:sz w:val="20"/>
                <w:szCs w:val="20"/>
              </w:rPr>
            </w:pPr>
            <w:r w:rsidRPr="00A52AB8">
              <w:rPr>
                <w:color w:val="000000" w:themeColor="text1"/>
                <w:sz w:val="20"/>
                <w:szCs w:val="20"/>
              </w:rPr>
              <w:tab/>
            </w:r>
            <w:r w:rsidRPr="00A52AB8">
              <w:rPr>
                <w:color w:val="000000" w:themeColor="text1"/>
                <w:sz w:val="20"/>
                <w:szCs w:val="20"/>
              </w:rPr>
              <w:tab/>
            </w:r>
            <w:r w:rsidRPr="00A52AB8">
              <w:rPr>
                <w:b/>
                <w:color w:val="000000" w:themeColor="text1"/>
                <w:sz w:val="20"/>
              </w:rPr>
              <w:t>epdu_points</w:t>
            </w:r>
            <w:r w:rsidR="004A292F" w:rsidRPr="00A52AB8">
              <w:rPr>
                <w:color w:val="000000" w:themeColor="text1"/>
                <w:sz w:val="20"/>
                <w:szCs w:val="20"/>
              </w:rPr>
              <w:t>[ </w:t>
            </w:r>
            <w:r w:rsidR="00632FA7" w:rsidRPr="00A52AB8">
              <w:rPr>
                <w:color w:val="000000" w:themeColor="text1"/>
                <w:sz w:val="20"/>
                <w:szCs w:val="20"/>
              </w:rPr>
              <w:t>tileID</w:t>
            </w:r>
            <w:r w:rsidR="004A292F" w:rsidRPr="00A52AB8">
              <w:rPr>
                <w:color w:val="000000" w:themeColor="text1"/>
                <w:sz w:val="20"/>
                <w:szCs w:val="20"/>
              </w:rPr>
              <w:t> ]</w:t>
            </w:r>
            <w:r w:rsidR="0065215A" w:rsidRPr="00A52AB8">
              <w:rPr>
                <w:color w:val="000000" w:themeColor="text1"/>
                <w:sz w:val="20"/>
                <w:szCs w:val="20"/>
              </w:rPr>
              <w:t>[ patchIdx ]</w:t>
            </w:r>
            <w:r w:rsidR="001F4484" w:rsidRPr="00A52AB8">
              <w:rPr>
                <w:bCs/>
                <w:color w:val="000000" w:themeColor="text1"/>
                <w:sz w:val="20"/>
              </w:rPr>
              <w:t>[ i ]</w:t>
            </w:r>
          </w:p>
        </w:tc>
        <w:tc>
          <w:tcPr>
            <w:tcW w:w="1253" w:type="dxa"/>
          </w:tcPr>
          <w:p w14:paraId="1D1016AF" w14:textId="77777777" w:rsidR="00A02E9D" w:rsidRPr="00A52AB8" w:rsidDel="004552B7" w:rsidRDefault="00A02E9D">
            <w:pPr>
              <w:spacing w:before="20" w:after="20"/>
              <w:jc w:val="center"/>
              <w:rPr>
                <w:color w:val="000000" w:themeColor="text1"/>
                <w:sz w:val="20"/>
                <w:szCs w:val="20"/>
              </w:rPr>
            </w:pPr>
            <w:r w:rsidRPr="00A52AB8">
              <w:rPr>
                <w:color w:val="000000" w:themeColor="text1"/>
                <w:sz w:val="20"/>
                <w:szCs w:val="20"/>
              </w:rPr>
              <w:t>u</w:t>
            </w:r>
            <w:r w:rsidR="005843FD" w:rsidRPr="00A52AB8">
              <w:rPr>
                <w:color w:val="000000" w:themeColor="text1"/>
                <w:sz w:val="20"/>
                <w:szCs w:val="20"/>
              </w:rPr>
              <w:t>e</w:t>
            </w:r>
            <w:r w:rsidRPr="00A52AB8">
              <w:rPr>
                <w:color w:val="000000" w:themeColor="text1"/>
                <w:sz w:val="20"/>
                <w:szCs w:val="20"/>
              </w:rPr>
              <w:t>(v)</w:t>
            </w:r>
          </w:p>
        </w:tc>
      </w:tr>
      <w:tr w:rsidR="001B7C80" w:rsidRPr="00A52AB8" w14:paraId="75DEB6CC" w14:textId="77777777" w:rsidTr="00A252B5">
        <w:trPr>
          <w:jc w:val="center"/>
        </w:trPr>
        <w:tc>
          <w:tcPr>
            <w:tcW w:w="7921" w:type="dxa"/>
          </w:tcPr>
          <w:p w14:paraId="5B06A5FB" w14:textId="77777777" w:rsidR="001B7C80" w:rsidRPr="00A52AB8" w:rsidRDefault="00961484">
            <w:pPr>
              <w:spacing w:before="20" w:after="20"/>
              <w:rPr>
                <w:color w:val="000000" w:themeColor="text1"/>
                <w:sz w:val="20"/>
                <w:szCs w:val="20"/>
              </w:rPr>
            </w:pPr>
            <w:r w:rsidRPr="00A52AB8">
              <w:rPr>
                <w:color w:val="000000" w:themeColor="text1"/>
                <w:sz w:val="20"/>
                <w:szCs w:val="20"/>
              </w:rPr>
              <w:tab/>
            </w:r>
            <w:r w:rsidR="001B7C80" w:rsidRPr="00A52AB8">
              <w:rPr>
                <w:color w:val="000000" w:themeColor="text1"/>
                <w:sz w:val="20"/>
                <w:szCs w:val="20"/>
              </w:rPr>
              <w:t>}</w:t>
            </w:r>
          </w:p>
        </w:tc>
        <w:tc>
          <w:tcPr>
            <w:tcW w:w="1253" w:type="dxa"/>
          </w:tcPr>
          <w:p w14:paraId="291A6D45" w14:textId="77777777" w:rsidR="001B7C80" w:rsidRPr="00A52AB8" w:rsidRDefault="001B7C80">
            <w:pPr>
              <w:spacing w:before="20" w:after="20"/>
              <w:jc w:val="center"/>
              <w:rPr>
                <w:color w:val="000000" w:themeColor="text1"/>
                <w:sz w:val="20"/>
                <w:szCs w:val="20"/>
              </w:rPr>
            </w:pPr>
          </w:p>
        </w:tc>
      </w:tr>
      <w:tr w:rsidR="00961484" w:rsidRPr="00A52AB8" w14:paraId="327B695F" w14:textId="77777777" w:rsidTr="00A252B5">
        <w:trPr>
          <w:jc w:val="center"/>
        </w:trPr>
        <w:tc>
          <w:tcPr>
            <w:tcW w:w="7921" w:type="dxa"/>
          </w:tcPr>
          <w:p w14:paraId="7C179BEE" w14:textId="77777777" w:rsidR="00961484" w:rsidRPr="00A52AB8" w:rsidRDefault="00961484">
            <w:pPr>
              <w:spacing w:before="20" w:after="20"/>
              <w:rPr>
                <w:color w:val="000000" w:themeColor="text1"/>
                <w:sz w:val="20"/>
                <w:szCs w:val="20"/>
              </w:rPr>
            </w:pPr>
            <w:r w:rsidRPr="00A52AB8">
              <w:rPr>
                <w:color w:val="000000" w:themeColor="text1"/>
                <w:sz w:val="20"/>
                <w:szCs w:val="20"/>
              </w:rPr>
              <w:t>}</w:t>
            </w:r>
          </w:p>
        </w:tc>
        <w:tc>
          <w:tcPr>
            <w:tcW w:w="1253" w:type="dxa"/>
          </w:tcPr>
          <w:p w14:paraId="30C5E1FD" w14:textId="77777777" w:rsidR="00961484" w:rsidRPr="00A52AB8" w:rsidRDefault="00961484">
            <w:pPr>
              <w:spacing w:before="20" w:after="20"/>
              <w:jc w:val="center"/>
              <w:rPr>
                <w:color w:val="000000" w:themeColor="text1"/>
                <w:sz w:val="20"/>
                <w:szCs w:val="20"/>
              </w:rPr>
            </w:pPr>
          </w:p>
        </w:tc>
      </w:tr>
    </w:tbl>
    <w:bookmarkEnd w:id="747"/>
    <w:p w14:paraId="43863FC6" w14:textId="77777777" w:rsidR="007760EE" w:rsidRPr="00A52AB8" w:rsidRDefault="007760EE" w:rsidP="005C26E9">
      <w:pPr>
        <w:pStyle w:val="Heading4"/>
      </w:pPr>
      <w:r w:rsidRPr="00A52AB8">
        <w:t xml:space="preserve">Point local reconstruction </w:t>
      </w:r>
      <w:r w:rsidR="00E81223" w:rsidRPr="00A52AB8">
        <w:t xml:space="preserve">data </w:t>
      </w:r>
      <w:r w:rsidRPr="00A52AB8">
        <w:t>syntax</w:t>
      </w:r>
      <w:bookmarkEnd w:id="746"/>
    </w:p>
    <w:tbl>
      <w:tblPr>
        <w:tblStyle w:val="TableGrid"/>
        <w:tblW w:w="5000" w:type="pct"/>
        <w:tblLayout w:type="fixed"/>
        <w:tblLook w:val="04A0" w:firstRow="1" w:lastRow="0" w:firstColumn="1" w:lastColumn="0" w:noHBand="0" w:noVBand="1"/>
      </w:tblPr>
      <w:tblGrid>
        <w:gridCol w:w="8411"/>
        <w:gridCol w:w="1331"/>
      </w:tblGrid>
      <w:tr w:rsidR="00E81223" w:rsidRPr="00A52AB8" w14:paraId="6BEF3052" w14:textId="77777777" w:rsidTr="00A252B5">
        <w:tc>
          <w:tcPr>
            <w:tcW w:w="7921" w:type="dxa"/>
          </w:tcPr>
          <w:p w14:paraId="104955BD" w14:textId="52B91A07" w:rsidR="00E81223" w:rsidRPr="00A52AB8" w:rsidRDefault="00D375CC">
            <w:pPr>
              <w:spacing w:before="20" w:after="20"/>
              <w:rPr>
                <w:color w:val="000000" w:themeColor="text1"/>
                <w:sz w:val="20"/>
                <w:szCs w:val="20"/>
              </w:rPr>
            </w:pPr>
            <w:r w:rsidRPr="00A52AB8">
              <w:rPr>
                <w:color w:val="000000" w:themeColor="text1"/>
                <w:sz w:val="20"/>
                <w:szCs w:val="20"/>
              </w:rPr>
              <w:t>plr</w:t>
            </w:r>
            <w:r w:rsidR="00E81223" w:rsidRPr="00A52AB8">
              <w:rPr>
                <w:color w:val="000000" w:themeColor="text1"/>
                <w:sz w:val="20"/>
                <w:szCs w:val="20"/>
              </w:rPr>
              <w:t>_data( </w:t>
            </w:r>
            <w:r w:rsidR="00632FA7" w:rsidRPr="00A52AB8">
              <w:rPr>
                <w:color w:val="000000" w:themeColor="text1"/>
                <w:sz w:val="20"/>
                <w:szCs w:val="20"/>
              </w:rPr>
              <w:t>tileID</w:t>
            </w:r>
            <w:r w:rsidR="00800C8C" w:rsidRPr="00A52AB8">
              <w:rPr>
                <w:color w:val="000000" w:themeColor="text1"/>
                <w:sz w:val="20"/>
                <w:szCs w:val="20"/>
              </w:rPr>
              <w:t>, </w:t>
            </w:r>
            <w:r w:rsidR="00E13AB1" w:rsidRPr="00A52AB8">
              <w:rPr>
                <w:color w:val="000000" w:themeColor="text1"/>
                <w:sz w:val="20"/>
                <w:szCs w:val="20"/>
              </w:rPr>
              <w:t>patchIdx</w:t>
            </w:r>
            <w:r w:rsidR="00A84352" w:rsidRPr="00A52AB8">
              <w:rPr>
                <w:color w:val="000000" w:themeColor="text1"/>
                <w:sz w:val="20"/>
                <w:szCs w:val="20"/>
              </w:rPr>
              <w:t> </w:t>
            </w:r>
            <w:r w:rsidR="008F1F82" w:rsidRPr="00A52AB8">
              <w:rPr>
                <w:color w:val="000000" w:themeColor="text1"/>
                <w:sz w:val="20"/>
                <w:szCs w:val="20"/>
              </w:rPr>
              <w:t>) {</w:t>
            </w:r>
          </w:p>
        </w:tc>
        <w:tc>
          <w:tcPr>
            <w:tcW w:w="1253" w:type="dxa"/>
          </w:tcPr>
          <w:p w14:paraId="686B0016" w14:textId="77777777" w:rsidR="00E81223" w:rsidRPr="00A52AB8" w:rsidRDefault="00E81223">
            <w:pPr>
              <w:spacing w:before="20" w:after="20"/>
              <w:jc w:val="center"/>
              <w:rPr>
                <w:b/>
                <w:color w:val="000000" w:themeColor="text1"/>
                <w:sz w:val="20"/>
                <w:szCs w:val="20"/>
              </w:rPr>
            </w:pPr>
            <w:r w:rsidRPr="00A52AB8">
              <w:rPr>
                <w:b/>
                <w:color w:val="000000" w:themeColor="text1"/>
                <w:sz w:val="20"/>
                <w:szCs w:val="20"/>
              </w:rPr>
              <w:t>Descriptor</w:t>
            </w:r>
          </w:p>
        </w:tc>
      </w:tr>
      <w:tr w:rsidR="005B28E4" w:rsidRPr="00A52AB8" w14:paraId="3FB7FCE4" w14:textId="77777777" w:rsidTr="00A252B5">
        <w:tc>
          <w:tcPr>
            <w:tcW w:w="7921" w:type="dxa"/>
          </w:tcPr>
          <w:p w14:paraId="521D9BF2" w14:textId="22284E32" w:rsidR="005B28E4" w:rsidRPr="00A52AB8" w:rsidRDefault="005B28E4">
            <w:pPr>
              <w:spacing w:before="20" w:after="20"/>
              <w:rPr>
                <w:color w:val="000000" w:themeColor="text1"/>
                <w:sz w:val="20"/>
                <w:szCs w:val="20"/>
              </w:rPr>
            </w:pPr>
            <w:r w:rsidRPr="00A52AB8">
              <w:tab/>
            </w:r>
            <w:r w:rsidRPr="00A52AB8">
              <w:rPr>
                <w:sz w:val="20"/>
                <w:szCs w:val="20"/>
              </w:rPr>
              <w:t>blockCnt</w:t>
            </w:r>
            <w:r w:rsidR="00D47707" w:rsidRPr="00A52AB8">
              <w:rPr>
                <w:sz w:val="20"/>
                <w:szCs w:val="20"/>
              </w:rPr>
              <w:t> = </w:t>
            </w:r>
            <w:r w:rsidRPr="00A52AB8">
              <w:rPr>
                <w:sz w:val="20"/>
                <w:szCs w:val="20"/>
              </w:rPr>
              <w:t>BlockCnt( TilePatch2dSizeX[ tileID ][ p ], TilePatch2dSizeY[ tileID ][ p ] )</w:t>
            </w:r>
          </w:p>
        </w:tc>
        <w:tc>
          <w:tcPr>
            <w:tcW w:w="1253" w:type="dxa"/>
          </w:tcPr>
          <w:p w14:paraId="54F46AF4" w14:textId="77777777" w:rsidR="005B28E4" w:rsidRPr="00A52AB8" w:rsidRDefault="005B28E4">
            <w:pPr>
              <w:spacing w:before="20" w:after="20"/>
              <w:jc w:val="center"/>
              <w:rPr>
                <w:b/>
                <w:color w:val="000000" w:themeColor="text1"/>
                <w:sz w:val="20"/>
                <w:szCs w:val="20"/>
              </w:rPr>
            </w:pPr>
          </w:p>
        </w:tc>
      </w:tr>
      <w:tr w:rsidR="00A84352" w:rsidRPr="00A52AB8" w14:paraId="452E8E69" w14:textId="77777777" w:rsidTr="00A252B5">
        <w:tc>
          <w:tcPr>
            <w:tcW w:w="7921" w:type="dxa"/>
          </w:tcPr>
          <w:p w14:paraId="106D8009" w14:textId="363EEA04" w:rsidR="00A84352" w:rsidRPr="00A52AB8" w:rsidRDefault="00A84352">
            <w:pPr>
              <w:spacing w:before="20" w:after="20"/>
              <w:rPr>
                <w:color w:val="000000" w:themeColor="text1"/>
                <w:sz w:val="20"/>
                <w:szCs w:val="20"/>
              </w:rPr>
            </w:pPr>
            <w:r w:rsidRPr="00A52AB8">
              <w:rPr>
                <w:color w:val="000000" w:themeColor="text1"/>
                <w:sz w:val="20"/>
                <w:szCs w:val="20"/>
              </w:rPr>
              <w:tab/>
              <w:t>for( i</w:t>
            </w:r>
            <w:r w:rsidR="00D47707" w:rsidRPr="00A52AB8">
              <w:rPr>
                <w:color w:val="000000" w:themeColor="text1"/>
                <w:sz w:val="20"/>
                <w:szCs w:val="20"/>
              </w:rPr>
              <w:t> = </w:t>
            </w:r>
            <w:r w:rsidRPr="00A52AB8">
              <w:rPr>
                <w:color w:val="000000" w:themeColor="text1"/>
                <w:sz w:val="20"/>
                <w:szCs w:val="20"/>
              </w:rPr>
              <w:t>0; i &lt;</w:t>
            </w:r>
            <w:r w:rsidR="001E0236" w:rsidRPr="00A52AB8">
              <w:rPr>
                <w:color w:val="000000" w:themeColor="text1"/>
                <w:sz w:val="20"/>
                <w:szCs w:val="20"/>
              </w:rPr>
              <w:t> </w:t>
            </w:r>
            <w:r w:rsidR="001E0236" w:rsidRPr="00A52AB8">
              <w:rPr>
                <w:bCs/>
                <w:color w:val="000000" w:themeColor="text1"/>
                <w:sz w:val="20"/>
                <w:szCs w:val="20"/>
              </w:rPr>
              <w:t>asps_map_count_minus1 </w:t>
            </w:r>
            <w:r w:rsidRPr="00A52AB8">
              <w:rPr>
                <w:color w:val="000000" w:themeColor="text1"/>
                <w:sz w:val="20"/>
                <w:szCs w:val="20"/>
              </w:rPr>
              <w:t>+ 1; i</w:t>
            </w:r>
            <w:r w:rsidR="00006CCF" w:rsidRPr="00A52AB8">
              <w:rPr>
                <w:color w:val="000000" w:themeColor="text1"/>
                <w:sz w:val="20"/>
                <w:szCs w:val="20"/>
              </w:rPr>
              <w:t>++ </w:t>
            </w:r>
            <w:r w:rsidR="008F1F82" w:rsidRPr="00A52AB8">
              <w:rPr>
                <w:color w:val="000000" w:themeColor="text1"/>
                <w:sz w:val="20"/>
                <w:szCs w:val="20"/>
              </w:rPr>
              <w:t>) {</w:t>
            </w:r>
          </w:p>
        </w:tc>
        <w:tc>
          <w:tcPr>
            <w:tcW w:w="1253" w:type="dxa"/>
          </w:tcPr>
          <w:p w14:paraId="53D59E81" w14:textId="77777777" w:rsidR="00A84352" w:rsidRPr="00A52AB8" w:rsidRDefault="00A84352">
            <w:pPr>
              <w:spacing w:before="20" w:after="20"/>
              <w:jc w:val="center"/>
              <w:rPr>
                <w:b/>
                <w:color w:val="000000" w:themeColor="text1"/>
                <w:sz w:val="20"/>
                <w:szCs w:val="20"/>
              </w:rPr>
            </w:pPr>
          </w:p>
        </w:tc>
      </w:tr>
      <w:tr w:rsidR="00A84352" w:rsidRPr="00A52AB8" w14:paraId="7F947214" w14:textId="77777777" w:rsidTr="00A252B5">
        <w:tc>
          <w:tcPr>
            <w:tcW w:w="7921" w:type="dxa"/>
          </w:tcPr>
          <w:p w14:paraId="261A19EE" w14:textId="23D2A546" w:rsidR="00A84352" w:rsidRPr="00A52AB8" w:rsidRDefault="00A84352">
            <w:pPr>
              <w:spacing w:before="20" w:after="20"/>
              <w:rPr>
                <w:color w:val="000000" w:themeColor="text1"/>
                <w:sz w:val="20"/>
                <w:szCs w:val="20"/>
              </w:rPr>
            </w:pPr>
            <w:r w:rsidRPr="00A52AB8">
              <w:rPr>
                <w:color w:val="000000" w:themeColor="text1"/>
                <w:sz w:val="20"/>
                <w:szCs w:val="20"/>
              </w:rPr>
              <w:tab/>
            </w:r>
            <w:r w:rsidRPr="00A52AB8">
              <w:rPr>
                <w:color w:val="000000" w:themeColor="text1"/>
                <w:sz w:val="20"/>
                <w:szCs w:val="20"/>
              </w:rPr>
              <w:tab/>
              <w:t>if(</w:t>
            </w:r>
            <w:r w:rsidR="00900B12" w:rsidRPr="00A52AB8">
              <w:rPr>
                <w:color w:val="000000" w:themeColor="text1"/>
                <w:sz w:val="20"/>
                <w:szCs w:val="20"/>
              </w:rPr>
              <w:t> </w:t>
            </w:r>
            <w:r w:rsidRPr="00A52AB8">
              <w:rPr>
                <w:color w:val="000000" w:themeColor="text1"/>
                <w:sz w:val="20"/>
                <w:szCs w:val="20"/>
              </w:rPr>
              <w:t>plri_map</w:t>
            </w:r>
            <w:r w:rsidR="00D375CC" w:rsidRPr="00A52AB8">
              <w:rPr>
                <w:color w:val="000000" w:themeColor="text1"/>
                <w:sz w:val="20"/>
                <w:szCs w:val="20"/>
              </w:rPr>
              <w:t>_present</w:t>
            </w:r>
            <w:r w:rsidRPr="00A52AB8">
              <w:rPr>
                <w:color w:val="000000" w:themeColor="text1"/>
                <w:sz w:val="20"/>
                <w:szCs w:val="20"/>
              </w:rPr>
              <w:t>_flag</w:t>
            </w:r>
            <w:r w:rsidR="001F4484" w:rsidRPr="00A52AB8">
              <w:rPr>
                <w:color w:val="000000" w:themeColor="text1"/>
                <w:sz w:val="20"/>
                <w:szCs w:val="20"/>
              </w:rPr>
              <w:t>[ i ]</w:t>
            </w:r>
            <w:r w:rsidR="00900B12" w:rsidRPr="00A52AB8">
              <w:rPr>
                <w:color w:val="000000" w:themeColor="text1"/>
                <w:sz w:val="20"/>
                <w:szCs w:val="20"/>
              </w:rPr>
              <w:t> </w:t>
            </w:r>
            <w:r w:rsidR="008F1F82" w:rsidRPr="00A52AB8">
              <w:rPr>
                <w:color w:val="000000" w:themeColor="text1"/>
                <w:sz w:val="20"/>
                <w:szCs w:val="20"/>
              </w:rPr>
              <w:t>) {</w:t>
            </w:r>
          </w:p>
        </w:tc>
        <w:tc>
          <w:tcPr>
            <w:tcW w:w="1253" w:type="dxa"/>
          </w:tcPr>
          <w:p w14:paraId="52617363" w14:textId="77777777" w:rsidR="00A84352" w:rsidRPr="00A52AB8" w:rsidRDefault="00A84352">
            <w:pPr>
              <w:spacing w:before="20" w:after="20"/>
              <w:jc w:val="center"/>
              <w:rPr>
                <w:b/>
                <w:color w:val="000000" w:themeColor="text1"/>
                <w:sz w:val="20"/>
                <w:szCs w:val="20"/>
              </w:rPr>
            </w:pPr>
          </w:p>
        </w:tc>
      </w:tr>
      <w:tr w:rsidR="00E81223" w:rsidRPr="00A52AB8" w14:paraId="14E9A0CC" w14:textId="77777777" w:rsidTr="00A252B5">
        <w:tc>
          <w:tcPr>
            <w:tcW w:w="7921" w:type="dxa"/>
          </w:tcPr>
          <w:p w14:paraId="7CE976A7" w14:textId="63D677B8" w:rsidR="00E81223" w:rsidRPr="00A52AB8" w:rsidRDefault="00A84352">
            <w:pPr>
              <w:spacing w:before="20" w:after="20"/>
              <w:rPr>
                <w:b/>
                <w:color w:val="000000" w:themeColor="text1"/>
                <w:sz w:val="20"/>
                <w:szCs w:val="20"/>
              </w:rPr>
            </w:pPr>
            <w:r w:rsidRPr="00A52AB8">
              <w:rPr>
                <w:color w:val="000000" w:themeColor="text1"/>
                <w:sz w:val="20"/>
                <w:szCs w:val="20"/>
              </w:rPr>
              <w:tab/>
            </w:r>
            <w:r w:rsidRPr="00A52AB8">
              <w:rPr>
                <w:color w:val="000000" w:themeColor="text1"/>
                <w:sz w:val="20"/>
                <w:szCs w:val="20"/>
              </w:rPr>
              <w:tab/>
            </w:r>
            <w:r w:rsidR="00E81223" w:rsidRPr="00A52AB8">
              <w:rPr>
                <w:color w:val="000000" w:themeColor="text1"/>
                <w:sz w:val="20"/>
                <w:szCs w:val="20"/>
              </w:rPr>
              <w:tab/>
              <w:t>if( </w:t>
            </w:r>
            <w:r w:rsidR="005B28E4" w:rsidRPr="00A52AB8">
              <w:rPr>
                <w:color w:val="000000" w:themeColor="text1"/>
                <w:sz w:val="20"/>
                <w:szCs w:val="20"/>
              </w:rPr>
              <w:t>blockCnt</w:t>
            </w:r>
            <w:r w:rsidR="00314925" w:rsidRPr="00A52AB8">
              <w:rPr>
                <w:color w:val="000000" w:themeColor="text1"/>
                <w:sz w:val="20"/>
                <w:szCs w:val="20"/>
              </w:rPr>
              <w:t> </w:t>
            </w:r>
            <w:r w:rsidR="00E81223" w:rsidRPr="00A52AB8">
              <w:rPr>
                <w:color w:val="000000" w:themeColor="text1"/>
                <w:sz w:val="20"/>
                <w:szCs w:val="20"/>
              </w:rPr>
              <w:t>&gt; plr</w:t>
            </w:r>
            <w:r w:rsidR="00AC4CC1" w:rsidRPr="00A52AB8">
              <w:rPr>
                <w:color w:val="000000" w:themeColor="text1"/>
                <w:sz w:val="20"/>
                <w:szCs w:val="20"/>
              </w:rPr>
              <w:t>i</w:t>
            </w:r>
            <w:r w:rsidR="00E81223" w:rsidRPr="00A52AB8">
              <w:rPr>
                <w:color w:val="000000" w:themeColor="text1"/>
                <w:sz w:val="20"/>
                <w:szCs w:val="20"/>
              </w:rPr>
              <w:t>_block_threshold_per_patch_minus1</w:t>
            </w:r>
            <w:r w:rsidR="001F4484" w:rsidRPr="00A52AB8">
              <w:rPr>
                <w:color w:val="000000" w:themeColor="text1"/>
                <w:sz w:val="20"/>
                <w:szCs w:val="20"/>
              </w:rPr>
              <w:t>[ i ]</w:t>
            </w:r>
            <w:r w:rsidR="00E81223" w:rsidRPr="00A52AB8">
              <w:rPr>
                <w:color w:val="000000" w:themeColor="text1"/>
                <w:sz w:val="20"/>
                <w:szCs w:val="20"/>
              </w:rPr>
              <w:t> + 1 )</w:t>
            </w:r>
          </w:p>
        </w:tc>
        <w:tc>
          <w:tcPr>
            <w:tcW w:w="1253" w:type="dxa"/>
          </w:tcPr>
          <w:p w14:paraId="2379DB95" w14:textId="77777777" w:rsidR="00E81223" w:rsidRPr="00A52AB8" w:rsidRDefault="00E81223">
            <w:pPr>
              <w:spacing w:before="20" w:after="20"/>
              <w:jc w:val="center"/>
              <w:rPr>
                <w:color w:val="000000" w:themeColor="text1"/>
                <w:sz w:val="20"/>
                <w:szCs w:val="20"/>
              </w:rPr>
            </w:pPr>
          </w:p>
        </w:tc>
      </w:tr>
      <w:tr w:rsidR="00E81223" w:rsidRPr="00A52AB8" w14:paraId="62B1E034" w14:textId="77777777" w:rsidTr="00A252B5">
        <w:tc>
          <w:tcPr>
            <w:tcW w:w="7921" w:type="dxa"/>
          </w:tcPr>
          <w:p w14:paraId="61CA7864" w14:textId="1238EB7D" w:rsidR="00E81223" w:rsidRPr="00A52AB8" w:rsidRDefault="00E81223">
            <w:pPr>
              <w:spacing w:before="20" w:after="20"/>
              <w:rPr>
                <w:color w:val="000000" w:themeColor="text1"/>
                <w:sz w:val="20"/>
                <w:szCs w:val="20"/>
              </w:rPr>
            </w:pPr>
            <w:r w:rsidRPr="00A52AB8">
              <w:rPr>
                <w:color w:val="000000" w:themeColor="text1"/>
                <w:sz w:val="20"/>
                <w:szCs w:val="20"/>
              </w:rPr>
              <w:tab/>
            </w:r>
            <w:r w:rsidRPr="00A52AB8">
              <w:rPr>
                <w:color w:val="000000" w:themeColor="text1"/>
                <w:sz w:val="20"/>
                <w:szCs w:val="20"/>
              </w:rPr>
              <w:tab/>
            </w:r>
            <w:r w:rsidR="00A84352" w:rsidRPr="00A52AB8">
              <w:rPr>
                <w:color w:val="000000" w:themeColor="text1"/>
                <w:sz w:val="20"/>
                <w:szCs w:val="20"/>
              </w:rPr>
              <w:tab/>
            </w:r>
            <w:r w:rsidR="00A84352" w:rsidRPr="00A52AB8">
              <w:rPr>
                <w:color w:val="000000" w:themeColor="text1"/>
                <w:sz w:val="20"/>
                <w:szCs w:val="20"/>
              </w:rPr>
              <w:tab/>
            </w:r>
            <w:r w:rsidRPr="00A52AB8">
              <w:rPr>
                <w:b/>
                <w:color w:val="000000" w:themeColor="text1"/>
                <w:sz w:val="20"/>
                <w:szCs w:val="20"/>
              </w:rPr>
              <w:t>plrd_level</w:t>
            </w:r>
            <w:r w:rsidR="008744B1" w:rsidRPr="00A52AB8">
              <w:rPr>
                <w:sz w:val="20"/>
                <w:szCs w:val="20"/>
                <w:lang w:eastAsia="ja-JP"/>
              </w:rPr>
              <w:t>[ tileID ]</w:t>
            </w:r>
            <w:r w:rsidR="008744B1" w:rsidRPr="00A52AB8">
              <w:rPr>
                <w:color w:val="000000" w:themeColor="text1"/>
                <w:sz w:val="20"/>
                <w:szCs w:val="20"/>
              </w:rPr>
              <w:t>[</w:t>
            </w:r>
            <w:r w:rsidR="00900B12" w:rsidRPr="00A52AB8">
              <w:rPr>
                <w:color w:val="000000" w:themeColor="text1"/>
                <w:sz w:val="20"/>
                <w:szCs w:val="20"/>
              </w:rPr>
              <w:t> </w:t>
            </w:r>
            <w:r w:rsidR="001F3C1E" w:rsidRPr="00A52AB8">
              <w:rPr>
                <w:color w:val="000000" w:themeColor="text1"/>
                <w:sz w:val="20"/>
                <w:szCs w:val="20"/>
              </w:rPr>
              <w:t>patchIdx ]</w:t>
            </w:r>
            <w:r w:rsidR="009B356D" w:rsidRPr="00A52AB8">
              <w:rPr>
                <w:color w:val="000000" w:themeColor="text1"/>
                <w:sz w:val="20"/>
                <w:szCs w:val="20"/>
              </w:rPr>
              <w:t>[ i ]</w:t>
            </w:r>
          </w:p>
        </w:tc>
        <w:tc>
          <w:tcPr>
            <w:tcW w:w="1253" w:type="dxa"/>
          </w:tcPr>
          <w:p w14:paraId="2F797CB4" w14:textId="77777777" w:rsidR="00E81223" w:rsidRPr="00A52AB8" w:rsidRDefault="00E81223">
            <w:pPr>
              <w:spacing w:before="20" w:after="20"/>
              <w:jc w:val="center"/>
              <w:rPr>
                <w:color w:val="000000" w:themeColor="text1"/>
                <w:sz w:val="20"/>
                <w:szCs w:val="20"/>
              </w:rPr>
            </w:pPr>
            <w:r w:rsidRPr="00A52AB8">
              <w:rPr>
                <w:color w:val="000000" w:themeColor="text1"/>
                <w:sz w:val="20"/>
                <w:szCs w:val="20"/>
              </w:rPr>
              <w:t>u(1)</w:t>
            </w:r>
          </w:p>
        </w:tc>
      </w:tr>
      <w:tr w:rsidR="001235DD" w:rsidRPr="00A52AB8" w14:paraId="268DC264" w14:textId="77777777" w:rsidTr="00A252B5">
        <w:tc>
          <w:tcPr>
            <w:tcW w:w="7921" w:type="dxa"/>
          </w:tcPr>
          <w:p w14:paraId="5CF30A6C" w14:textId="524285AA" w:rsidR="001235DD" w:rsidRPr="00A52AB8" w:rsidRDefault="001235DD">
            <w:pPr>
              <w:spacing w:before="20" w:after="20"/>
              <w:rPr>
                <w:bCs/>
                <w:color w:val="000000" w:themeColor="text1"/>
                <w:sz w:val="20"/>
                <w:szCs w:val="20"/>
              </w:rPr>
            </w:pPr>
            <w:r w:rsidRPr="00A52AB8">
              <w:rPr>
                <w:b/>
                <w:color w:val="000000" w:themeColor="text1"/>
                <w:sz w:val="20"/>
                <w:szCs w:val="20"/>
              </w:rPr>
              <w:tab/>
            </w:r>
            <w:r w:rsidRPr="00A52AB8">
              <w:rPr>
                <w:b/>
                <w:color w:val="000000" w:themeColor="text1"/>
                <w:sz w:val="20"/>
                <w:szCs w:val="20"/>
              </w:rPr>
              <w:tab/>
            </w:r>
            <w:r w:rsidRPr="00A52AB8">
              <w:rPr>
                <w:b/>
                <w:color w:val="000000" w:themeColor="text1"/>
                <w:sz w:val="20"/>
                <w:szCs w:val="20"/>
              </w:rPr>
              <w:tab/>
            </w:r>
            <w:r w:rsidR="005B28E4" w:rsidRPr="00A52AB8">
              <w:rPr>
                <w:bCs/>
                <w:color w:val="000000" w:themeColor="text1"/>
                <w:sz w:val="20"/>
                <w:szCs w:val="20"/>
              </w:rPr>
              <w:t>e</w:t>
            </w:r>
            <w:r w:rsidRPr="00A52AB8">
              <w:rPr>
                <w:bCs/>
                <w:color w:val="000000" w:themeColor="text1"/>
                <w:sz w:val="20"/>
                <w:szCs w:val="20"/>
              </w:rPr>
              <w:t>lse</w:t>
            </w:r>
          </w:p>
        </w:tc>
        <w:tc>
          <w:tcPr>
            <w:tcW w:w="1253" w:type="dxa"/>
          </w:tcPr>
          <w:p w14:paraId="72E3C1C6" w14:textId="77777777" w:rsidR="001235DD" w:rsidRPr="00A52AB8" w:rsidRDefault="001235DD">
            <w:pPr>
              <w:spacing w:before="20" w:after="20"/>
              <w:jc w:val="center"/>
              <w:rPr>
                <w:color w:val="000000" w:themeColor="text1"/>
                <w:sz w:val="20"/>
                <w:szCs w:val="20"/>
              </w:rPr>
            </w:pPr>
          </w:p>
        </w:tc>
      </w:tr>
      <w:tr w:rsidR="001235DD" w:rsidRPr="00A52AB8" w14:paraId="008CF0E9" w14:textId="77777777" w:rsidTr="00A252B5">
        <w:tc>
          <w:tcPr>
            <w:tcW w:w="7921" w:type="dxa"/>
          </w:tcPr>
          <w:p w14:paraId="27673ABD" w14:textId="2654ABE6" w:rsidR="001235DD" w:rsidRPr="00A52AB8" w:rsidRDefault="001235DD">
            <w:pPr>
              <w:spacing w:before="20" w:after="20"/>
              <w:rPr>
                <w:color w:val="000000" w:themeColor="text1"/>
                <w:sz w:val="20"/>
                <w:szCs w:val="20"/>
              </w:rPr>
            </w:pPr>
            <w:r w:rsidRPr="00A52AB8">
              <w:rPr>
                <w:b/>
                <w:color w:val="000000" w:themeColor="text1"/>
                <w:sz w:val="20"/>
                <w:szCs w:val="20"/>
              </w:rPr>
              <w:tab/>
            </w:r>
            <w:r w:rsidRPr="00A52AB8">
              <w:rPr>
                <w:b/>
                <w:color w:val="000000" w:themeColor="text1"/>
                <w:sz w:val="20"/>
                <w:szCs w:val="20"/>
              </w:rPr>
              <w:tab/>
            </w:r>
            <w:r w:rsidRPr="00A52AB8">
              <w:rPr>
                <w:b/>
                <w:color w:val="000000" w:themeColor="text1"/>
                <w:sz w:val="20"/>
                <w:szCs w:val="20"/>
              </w:rPr>
              <w:tab/>
            </w:r>
            <w:r w:rsidRPr="00A52AB8">
              <w:rPr>
                <w:b/>
                <w:color w:val="000000" w:themeColor="text1"/>
                <w:sz w:val="20"/>
                <w:szCs w:val="20"/>
              </w:rPr>
              <w:tab/>
            </w:r>
            <w:r w:rsidRPr="00A52AB8">
              <w:rPr>
                <w:bCs/>
                <w:color w:val="000000" w:themeColor="text1"/>
                <w:sz w:val="20"/>
                <w:szCs w:val="20"/>
              </w:rPr>
              <w:t>plrd_level</w:t>
            </w:r>
            <w:r w:rsidR="009450F8" w:rsidRPr="00A52AB8">
              <w:rPr>
                <w:color w:val="000000" w:themeColor="text1"/>
                <w:sz w:val="20"/>
                <w:szCs w:val="20"/>
              </w:rPr>
              <w:t>[ tileID ][ patchIdx ][ i ]</w:t>
            </w:r>
            <w:r w:rsidR="0023721F" w:rsidRPr="00A52AB8">
              <w:rPr>
                <w:color w:val="000000" w:themeColor="text1"/>
                <w:sz w:val="20"/>
                <w:szCs w:val="20"/>
              </w:rPr>
              <w:t> </w:t>
            </w:r>
            <w:r w:rsidR="00D47707" w:rsidRPr="00A52AB8">
              <w:rPr>
                <w:color w:val="000000" w:themeColor="text1"/>
                <w:sz w:val="20"/>
                <w:szCs w:val="20"/>
              </w:rPr>
              <w:t>= </w:t>
            </w:r>
            <w:r w:rsidRPr="00A52AB8">
              <w:rPr>
                <w:color w:val="000000" w:themeColor="text1"/>
                <w:sz w:val="20"/>
                <w:szCs w:val="20"/>
              </w:rPr>
              <w:t>1</w:t>
            </w:r>
          </w:p>
        </w:tc>
        <w:tc>
          <w:tcPr>
            <w:tcW w:w="1253" w:type="dxa"/>
          </w:tcPr>
          <w:p w14:paraId="3E453848" w14:textId="77777777" w:rsidR="001235DD" w:rsidRPr="00A52AB8" w:rsidRDefault="001235DD">
            <w:pPr>
              <w:spacing w:before="20" w:after="20"/>
              <w:jc w:val="center"/>
              <w:rPr>
                <w:color w:val="000000" w:themeColor="text1"/>
                <w:sz w:val="20"/>
                <w:szCs w:val="20"/>
              </w:rPr>
            </w:pPr>
          </w:p>
        </w:tc>
      </w:tr>
      <w:tr w:rsidR="00E81223" w:rsidRPr="00A52AB8" w14:paraId="3CDC0D09" w14:textId="77777777" w:rsidTr="00A252B5">
        <w:tc>
          <w:tcPr>
            <w:tcW w:w="7921" w:type="dxa"/>
          </w:tcPr>
          <w:p w14:paraId="3A02CA73" w14:textId="36DD668B" w:rsidR="00E81223" w:rsidRPr="00A52AB8" w:rsidRDefault="00E81223">
            <w:pPr>
              <w:spacing w:before="20" w:after="20"/>
              <w:rPr>
                <w:color w:val="000000" w:themeColor="text1"/>
                <w:sz w:val="20"/>
                <w:szCs w:val="20"/>
              </w:rPr>
            </w:pPr>
            <w:r w:rsidRPr="00A52AB8">
              <w:rPr>
                <w:color w:val="000000" w:themeColor="text1"/>
                <w:sz w:val="20"/>
                <w:szCs w:val="20"/>
              </w:rPr>
              <w:tab/>
            </w:r>
            <w:r w:rsidR="00A84352" w:rsidRPr="00A52AB8">
              <w:rPr>
                <w:color w:val="000000" w:themeColor="text1"/>
                <w:sz w:val="20"/>
                <w:szCs w:val="20"/>
              </w:rPr>
              <w:tab/>
            </w:r>
            <w:r w:rsidR="00A84352" w:rsidRPr="00A52AB8">
              <w:rPr>
                <w:color w:val="000000" w:themeColor="text1"/>
                <w:sz w:val="20"/>
                <w:szCs w:val="20"/>
              </w:rPr>
              <w:tab/>
            </w:r>
            <w:r w:rsidRPr="00A52AB8">
              <w:rPr>
                <w:color w:val="000000" w:themeColor="text1"/>
                <w:sz w:val="20"/>
                <w:szCs w:val="20"/>
              </w:rPr>
              <w:t>if(</w:t>
            </w:r>
            <w:r w:rsidR="00B946F5" w:rsidRPr="00A52AB8">
              <w:rPr>
                <w:color w:val="000000" w:themeColor="text1"/>
                <w:sz w:val="20"/>
                <w:szCs w:val="20"/>
              </w:rPr>
              <w:t> </w:t>
            </w:r>
            <w:r w:rsidR="001235DD" w:rsidRPr="00A52AB8">
              <w:rPr>
                <w:bCs/>
                <w:color w:val="000000" w:themeColor="text1"/>
                <w:sz w:val="20"/>
                <w:szCs w:val="20"/>
              </w:rPr>
              <w:t>plrd_level</w:t>
            </w:r>
            <w:r w:rsidR="009450F8" w:rsidRPr="00A52AB8">
              <w:rPr>
                <w:color w:val="000000" w:themeColor="text1"/>
                <w:sz w:val="20"/>
                <w:szCs w:val="20"/>
              </w:rPr>
              <w:t>[ tileID ][ patchIdx ][ i ]</w:t>
            </w:r>
            <w:r w:rsidR="008768E9" w:rsidRPr="00A52AB8">
              <w:rPr>
                <w:color w:val="000000" w:themeColor="text1"/>
                <w:sz w:val="20"/>
                <w:szCs w:val="20"/>
              </w:rPr>
              <w:t> </w:t>
            </w:r>
            <w:r w:rsidR="00726AAE" w:rsidRPr="00A52AB8">
              <w:rPr>
                <w:color w:val="000000" w:themeColor="text1"/>
                <w:sz w:val="20"/>
                <w:szCs w:val="20"/>
              </w:rPr>
              <w:t>==</w:t>
            </w:r>
            <w:r w:rsidR="00D47707" w:rsidRPr="00A52AB8">
              <w:rPr>
                <w:color w:val="000000" w:themeColor="text1"/>
                <w:sz w:val="20"/>
                <w:szCs w:val="20"/>
              </w:rPr>
              <w:t> </w:t>
            </w:r>
            <w:r w:rsidRPr="00A52AB8">
              <w:rPr>
                <w:color w:val="000000" w:themeColor="text1"/>
                <w:sz w:val="20"/>
                <w:szCs w:val="20"/>
              </w:rPr>
              <w:t>0</w:t>
            </w:r>
            <w:r w:rsidR="00B946F5" w:rsidRPr="00A52AB8">
              <w:rPr>
                <w:color w:val="000000" w:themeColor="text1"/>
                <w:sz w:val="20"/>
                <w:szCs w:val="20"/>
              </w:rPr>
              <w:t> </w:t>
            </w:r>
            <w:r w:rsidR="008F1F82" w:rsidRPr="00A52AB8">
              <w:rPr>
                <w:color w:val="000000" w:themeColor="text1"/>
                <w:sz w:val="20"/>
                <w:szCs w:val="20"/>
              </w:rPr>
              <w:t>) {</w:t>
            </w:r>
          </w:p>
        </w:tc>
        <w:tc>
          <w:tcPr>
            <w:tcW w:w="1253" w:type="dxa"/>
          </w:tcPr>
          <w:p w14:paraId="181D7346" w14:textId="77777777" w:rsidR="00E81223" w:rsidRPr="00A52AB8" w:rsidRDefault="00E81223">
            <w:pPr>
              <w:spacing w:before="20" w:after="20"/>
              <w:jc w:val="center"/>
              <w:rPr>
                <w:color w:val="000000" w:themeColor="text1"/>
                <w:sz w:val="20"/>
                <w:szCs w:val="20"/>
              </w:rPr>
            </w:pPr>
          </w:p>
        </w:tc>
      </w:tr>
      <w:tr w:rsidR="00E81223" w:rsidRPr="00A52AB8" w14:paraId="366EAC50" w14:textId="77777777" w:rsidTr="00A252B5">
        <w:tc>
          <w:tcPr>
            <w:tcW w:w="7921" w:type="dxa"/>
          </w:tcPr>
          <w:p w14:paraId="60ECEC7B" w14:textId="06C2DA8A" w:rsidR="00E81223" w:rsidRPr="00A52AB8" w:rsidRDefault="00E81223">
            <w:pPr>
              <w:spacing w:before="20" w:after="20"/>
              <w:rPr>
                <w:color w:val="000000" w:themeColor="text1"/>
                <w:sz w:val="20"/>
                <w:szCs w:val="20"/>
              </w:rPr>
            </w:pPr>
            <w:r w:rsidRPr="00A52AB8">
              <w:rPr>
                <w:color w:val="000000" w:themeColor="text1"/>
                <w:sz w:val="20"/>
                <w:szCs w:val="20"/>
              </w:rPr>
              <w:tab/>
            </w:r>
            <w:r w:rsidRPr="00A52AB8">
              <w:rPr>
                <w:color w:val="000000" w:themeColor="text1"/>
                <w:sz w:val="20"/>
                <w:szCs w:val="20"/>
              </w:rPr>
              <w:tab/>
            </w:r>
            <w:r w:rsidR="00A84352" w:rsidRPr="00A52AB8">
              <w:rPr>
                <w:color w:val="000000" w:themeColor="text1"/>
                <w:sz w:val="20"/>
                <w:szCs w:val="20"/>
              </w:rPr>
              <w:tab/>
            </w:r>
            <w:r w:rsidR="00A84352" w:rsidRPr="00A52AB8">
              <w:rPr>
                <w:color w:val="000000" w:themeColor="text1"/>
                <w:sz w:val="20"/>
                <w:szCs w:val="20"/>
              </w:rPr>
              <w:tab/>
            </w:r>
            <w:r w:rsidRPr="00A52AB8">
              <w:rPr>
                <w:color w:val="000000" w:themeColor="text1"/>
                <w:sz w:val="20"/>
                <w:szCs w:val="20"/>
              </w:rPr>
              <w:t>for(</w:t>
            </w:r>
            <w:r w:rsidR="00B946F5" w:rsidRPr="00A52AB8">
              <w:rPr>
                <w:color w:val="000000" w:themeColor="text1"/>
                <w:sz w:val="20"/>
                <w:szCs w:val="20"/>
              </w:rPr>
              <w:t> </w:t>
            </w:r>
            <w:r w:rsidR="00A84352" w:rsidRPr="00A52AB8">
              <w:rPr>
                <w:color w:val="000000" w:themeColor="text1"/>
                <w:sz w:val="20"/>
                <w:szCs w:val="20"/>
              </w:rPr>
              <w:t>j</w:t>
            </w:r>
            <w:r w:rsidR="00D47707" w:rsidRPr="00A52AB8">
              <w:rPr>
                <w:color w:val="000000" w:themeColor="text1"/>
                <w:sz w:val="20"/>
                <w:szCs w:val="20"/>
              </w:rPr>
              <w:t> = </w:t>
            </w:r>
            <w:r w:rsidRPr="00A52AB8">
              <w:rPr>
                <w:color w:val="000000" w:themeColor="text1"/>
                <w:sz w:val="20"/>
                <w:szCs w:val="20"/>
              </w:rPr>
              <w:t>0;</w:t>
            </w:r>
            <w:r w:rsidR="00B946F5" w:rsidRPr="00A52AB8">
              <w:rPr>
                <w:color w:val="000000" w:themeColor="text1"/>
                <w:sz w:val="20"/>
                <w:szCs w:val="20"/>
              </w:rPr>
              <w:t> </w:t>
            </w:r>
            <w:r w:rsidR="00A84352" w:rsidRPr="00A52AB8">
              <w:rPr>
                <w:color w:val="000000" w:themeColor="text1"/>
                <w:sz w:val="20"/>
                <w:szCs w:val="20"/>
              </w:rPr>
              <w:t>j </w:t>
            </w:r>
            <w:r w:rsidRPr="00A52AB8">
              <w:rPr>
                <w:color w:val="000000" w:themeColor="text1"/>
                <w:sz w:val="20"/>
                <w:szCs w:val="20"/>
              </w:rPr>
              <w:t>&lt;</w:t>
            </w:r>
            <w:r w:rsidR="00B946F5" w:rsidRPr="00A52AB8">
              <w:rPr>
                <w:color w:val="000000" w:themeColor="text1"/>
                <w:sz w:val="20"/>
                <w:szCs w:val="20"/>
              </w:rPr>
              <w:t> </w:t>
            </w:r>
            <w:r w:rsidR="005B28E4" w:rsidRPr="00A52AB8">
              <w:rPr>
                <w:color w:val="000000" w:themeColor="text1"/>
                <w:sz w:val="20"/>
                <w:szCs w:val="20"/>
              </w:rPr>
              <w:t>blockCnt</w:t>
            </w:r>
            <w:r w:rsidRPr="00A52AB8">
              <w:rPr>
                <w:color w:val="000000" w:themeColor="text1"/>
                <w:sz w:val="20"/>
                <w:szCs w:val="20"/>
              </w:rPr>
              <w:t>;</w:t>
            </w:r>
            <w:r w:rsidR="00B946F5" w:rsidRPr="00A52AB8">
              <w:rPr>
                <w:color w:val="000000" w:themeColor="text1"/>
                <w:sz w:val="20"/>
                <w:szCs w:val="20"/>
              </w:rPr>
              <w:t> </w:t>
            </w:r>
            <w:r w:rsidR="00A84352" w:rsidRPr="00A52AB8">
              <w:rPr>
                <w:color w:val="000000" w:themeColor="text1"/>
                <w:sz w:val="20"/>
                <w:szCs w:val="20"/>
              </w:rPr>
              <w:t>j</w:t>
            </w:r>
            <w:r w:rsidR="00006CCF" w:rsidRPr="00A52AB8">
              <w:rPr>
                <w:color w:val="000000" w:themeColor="text1"/>
                <w:sz w:val="20"/>
                <w:szCs w:val="20"/>
              </w:rPr>
              <w:t>++ </w:t>
            </w:r>
            <w:r w:rsidR="008F1F82" w:rsidRPr="00A52AB8">
              <w:rPr>
                <w:color w:val="000000" w:themeColor="text1"/>
                <w:sz w:val="20"/>
                <w:szCs w:val="20"/>
              </w:rPr>
              <w:t>) {</w:t>
            </w:r>
          </w:p>
        </w:tc>
        <w:tc>
          <w:tcPr>
            <w:tcW w:w="1253" w:type="dxa"/>
          </w:tcPr>
          <w:p w14:paraId="7C391F32" w14:textId="77777777" w:rsidR="00E81223" w:rsidRPr="00A52AB8" w:rsidRDefault="00E81223">
            <w:pPr>
              <w:spacing w:before="20" w:after="20"/>
              <w:jc w:val="center"/>
              <w:rPr>
                <w:color w:val="000000" w:themeColor="text1"/>
                <w:sz w:val="20"/>
                <w:szCs w:val="20"/>
              </w:rPr>
            </w:pPr>
          </w:p>
        </w:tc>
      </w:tr>
      <w:tr w:rsidR="00E81223" w:rsidRPr="00A52AB8" w14:paraId="73AB3D3D" w14:textId="77777777" w:rsidTr="00A252B5">
        <w:tc>
          <w:tcPr>
            <w:tcW w:w="7921" w:type="dxa"/>
          </w:tcPr>
          <w:p w14:paraId="4ED5494F" w14:textId="460CBEAC" w:rsidR="00E81223" w:rsidRPr="00A52AB8" w:rsidRDefault="00E81223">
            <w:pPr>
              <w:spacing w:before="20" w:after="20"/>
              <w:rPr>
                <w:color w:val="000000" w:themeColor="text1"/>
                <w:sz w:val="20"/>
                <w:szCs w:val="20"/>
                <w:lang w:eastAsia="ja-JP"/>
              </w:rPr>
            </w:pPr>
            <w:r w:rsidRPr="00A52AB8">
              <w:rPr>
                <w:color w:val="000000" w:themeColor="text1"/>
                <w:sz w:val="20"/>
                <w:szCs w:val="20"/>
              </w:rPr>
              <w:tab/>
            </w:r>
            <w:r w:rsidRPr="00A52AB8">
              <w:rPr>
                <w:color w:val="000000" w:themeColor="text1"/>
                <w:sz w:val="20"/>
                <w:szCs w:val="20"/>
              </w:rPr>
              <w:tab/>
            </w:r>
            <w:r w:rsidRPr="00A52AB8">
              <w:rPr>
                <w:color w:val="000000" w:themeColor="text1"/>
                <w:sz w:val="20"/>
                <w:szCs w:val="20"/>
              </w:rPr>
              <w:tab/>
            </w:r>
            <w:r w:rsidR="00A84352" w:rsidRPr="00A52AB8">
              <w:rPr>
                <w:color w:val="000000" w:themeColor="text1"/>
                <w:sz w:val="20"/>
                <w:szCs w:val="20"/>
              </w:rPr>
              <w:tab/>
            </w:r>
            <w:r w:rsidR="00A84352" w:rsidRPr="00A52AB8">
              <w:rPr>
                <w:color w:val="000000" w:themeColor="text1"/>
                <w:sz w:val="20"/>
                <w:szCs w:val="20"/>
              </w:rPr>
              <w:tab/>
            </w:r>
            <w:r w:rsidRPr="00A52AB8">
              <w:rPr>
                <w:b/>
                <w:color w:val="000000" w:themeColor="text1"/>
                <w:sz w:val="20"/>
                <w:szCs w:val="20"/>
              </w:rPr>
              <w:t>plrd_present_block_flag</w:t>
            </w:r>
            <w:r w:rsidR="009450F8" w:rsidRPr="00A52AB8">
              <w:rPr>
                <w:color w:val="000000" w:themeColor="text1"/>
                <w:sz w:val="20"/>
                <w:szCs w:val="20"/>
              </w:rPr>
              <w:t>[ tileID ][ patchIdx ][ i ]</w:t>
            </w:r>
            <w:r w:rsidR="001F4484" w:rsidRPr="00A52AB8">
              <w:rPr>
                <w:color w:val="000000" w:themeColor="text1"/>
                <w:sz w:val="20"/>
                <w:szCs w:val="20"/>
              </w:rPr>
              <w:t>[ j ]</w:t>
            </w:r>
          </w:p>
        </w:tc>
        <w:tc>
          <w:tcPr>
            <w:tcW w:w="1253" w:type="dxa"/>
          </w:tcPr>
          <w:p w14:paraId="676A4A24" w14:textId="77777777" w:rsidR="00E81223" w:rsidRPr="00A52AB8" w:rsidRDefault="00E81223">
            <w:pPr>
              <w:spacing w:before="20" w:after="20"/>
              <w:jc w:val="center"/>
              <w:rPr>
                <w:color w:val="000000" w:themeColor="text1"/>
                <w:sz w:val="20"/>
                <w:szCs w:val="20"/>
              </w:rPr>
            </w:pPr>
            <w:r w:rsidRPr="00A52AB8">
              <w:rPr>
                <w:color w:val="000000" w:themeColor="text1"/>
                <w:sz w:val="20"/>
                <w:szCs w:val="20"/>
              </w:rPr>
              <w:t>u(1)</w:t>
            </w:r>
          </w:p>
        </w:tc>
      </w:tr>
      <w:tr w:rsidR="00E81223" w:rsidRPr="00A52AB8" w14:paraId="4E9BE4D6" w14:textId="77777777" w:rsidTr="00A252B5">
        <w:tc>
          <w:tcPr>
            <w:tcW w:w="7921" w:type="dxa"/>
          </w:tcPr>
          <w:p w14:paraId="0B593829" w14:textId="7C4681D9" w:rsidR="00E81223" w:rsidRPr="00A52AB8" w:rsidRDefault="00E81223">
            <w:pPr>
              <w:spacing w:before="20" w:after="20"/>
              <w:rPr>
                <w:color w:val="000000" w:themeColor="text1"/>
                <w:sz w:val="20"/>
                <w:szCs w:val="20"/>
                <w:lang w:eastAsia="ja-JP"/>
              </w:rPr>
            </w:pPr>
            <w:r w:rsidRPr="00A52AB8">
              <w:rPr>
                <w:color w:val="000000" w:themeColor="text1"/>
                <w:sz w:val="20"/>
                <w:szCs w:val="20"/>
              </w:rPr>
              <w:tab/>
            </w:r>
            <w:r w:rsidRPr="00A52AB8">
              <w:rPr>
                <w:color w:val="000000" w:themeColor="text1"/>
                <w:sz w:val="20"/>
                <w:szCs w:val="20"/>
              </w:rPr>
              <w:tab/>
            </w:r>
            <w:r w:rsidRPr="00A52AB8">
              <w:rPr>
                <w:color w:val="000000" w:themeColor="text1"/>
                <w:sz w:val="20"/>
                <w:szCs w:val="20"/>
              </w:rPr>
              <w:tab/>
            </w:r>
            <w:r w:rsidR="00A84352" w:rsidRPr="00A52AB8">
              <w:rPr>
                <w:color w:val="000000" w:themeColor="text1"/>
                <w:sz w:val="20"/>
                <w:szCs w:val="20"/>
              </w:rPr>
              <w:tab/>
            </w:r>
            <w:r w:rsidR="00A84352" w:rsidRPr="00A52AB8">
              <w:rPr>
                <w:color w:val="000000" w:themeColor="text1"/>
                <w:sz w:val="20"/>
                <w:szCs w:val="20"/>
              </w:rPr>
              <w:tab/>
            </w:r>
            <w:r w:rsidRPr="00A52AB8">
              <w:rPr>
                <w:color w:val="000000" w:themeColor="text1"/>
                <w:sz w:val="20"/>
                <w:szCs w:val="20"/>
              </w:rPr>
              <w:t>if(</w:t>
            </w:r>
            <w:r w:rsidR="00B946F5" w:rsidRPr="00A52AB8">
              <w:rPr>
                <w:color w:val="000000" w:themeColor="text1"/>
                <w:sz w:val="20"/>
                <w:szCs w:val="20"/>
              </w:rPr>
              <w:t> </w:t>
            </w:r>
            <w:r w:rsidRPr="00A52AB8">
              <w:rPr>
                <w:color w:val="000000" w:themeColor="text1"/>
                <w:sz w:val="20"/>
                <w:szCs w:val="20"/>
              </w:rPr>
              <w:t>plrd_present_block_flag</w:t>
            </w:r>
            <w:r w:rsidR="009450F8" w:rsidRPr="00A52AB8">
              <w:rPr>
                <w:color w:val="000000" w:themeColor="text1"/>
                <w:sz w:val="20"/>
                <w:szCs w:val="20"/>
              </w:rPr>
              <w:t>[ tileID ][ patchIdx ][ i ]</w:t>
            </w:r>
            <w:r w:rsidR="001F4484" w:rsidRPr="00A52AB8">
              <w:rPr>
                <w:color w:val="000000" w:themeColor="text1"/>
                <w:sz w:val="20"/>
                <w:szCs w:val="20"/>
              </w:rPr>
              <w:t>[ j ]</w:t>
            </w:r>
            <w:r w:rsidR="00B946F5" w:rsidRPr="00A52AB8">
              <w:rPr>
                <w:color w:val="000000" w:themeColor="text1"/>
                <w:sz w:val="20"/>
                <w:szCs w:val="20"/>
              </w:rPr>
              <w:t> </w:t>
            </w:r>
            <w:r w:rsidRPr="00A52AB8">
              <w:rPr>
                <w:color w:val="000000" w:themeColor="text1"/>
                <w:sz w:val="20"/>
                <w:szCs w:val="20"/>
              </w:rPr>
              <w:t>)</w:t>
            </w:r>
          </w:p>
        </w:tc>
        <w:tc>
          <w:tcPr>
            <w:tcW w:w="1253" w:type="dxa"/>
          </w:tcPr>
          <w:p w14:paraId="78CC3F0E" w14:textId="77777777" w:rsidR="00E81223" w:rsidRPr="00A52AB8" w:rsidRDefault="00E81223">
            <w:pPr>
              <w:spacing w:before="20" w:after="20"/>
              <w:jc w:val="center"/>
              <w:rPr>
                <w:color w:val="000000" w:themeColor="text1"/>
                <w:sz w:val="20"/>
                <w:szCs w:val="20"/>
              </w:rPr>
            </w:pPr>
          </w:p>
        </w:tc>
      </w:tr>
      <w:tr w:rsidR="00E81223" w:rsidRPr="00A52AB8" w14:paraId="798FBD5C" w14:textId="77777777" w:rsidTr="00A252B5">
        <w:tc>
          <w:tcPr>
            <w:tcW w:w="7921" w:type="dxa"/>
          </w:tcPr>
          <w:p w14:paraId="4DA6BD2F" w14:textId="37F057FF" w:rsidR="00E81223" w:rsidRPr="00A52AB8" w:rsidRDefault="00E81223">
            <w:pPr>
              <w:spacing w:before="20" w:after="20"/>
              <w:rPr>
                <w:b/>
                <w:color w:val="000000" w:themeColor="text1"/>
                <w:sz w:val="20"/>
                <w:szCs w:val="20"/>
              </w:rPr>
            </w:pPr>
            <w:r w:rsidRPr="00A52AB8">
              <w:rPr>
                <w:sz w:val="20"/>
                <w:szCs w:val="20"/>
              </w:rPr>
              <w:tab/>
            </w:r>
            <w:r w:rsidRPr="00A52AB8">
              <w:rPr>
                <w:color w:val="000000" w:themeColor="text1"/>
                <w:sz w:val="20"/>
                <w:szCs w:val="20"/>
              </w:rPr>
              <w:tab/>
            </w:r>
            <w:r w:rsidRPr="00A52AB8">
              <w:rPr>
                <w:sz w:val="20"/>
                <w:szCs w:val="20"/>
              </w:rPr>
              <w:tab/>
            </w:r>
            <w:r w:rsidRPr="00A52AB8">
              <w:rPr>
                <w:sz w:val="20"/>
                <w:szCs w:val="20"/>
              </w:rPr>
              <w:tab/>
            </w:r>
            <w:r w:rsidR="00A84352" w:rsidRPr="00A52AB8">
              <w:rPr>
                <w:sz w:val="20"/>
                <w:szCs w:val="20"/>
              </w:rPr>
              <w:tab/>
            </w:r>
            <w:r w:rsidR="00A84352" w:rsidRPr="00A52AB8">
              <w:rPr>
                <w:sz w:val="20"/>
                <w:szCs w:val="20"/>
              </w:rPr>
              <w:tab/>
            </w:r>
            <w:r w:rsidRPr="00A52AB8">
              <w:rPr>
                <w:b/>
                <w:color w:val="000000" w:themeColor="text1"/>
                <w:sz w:val="20"/>
                <w:szCs w:val="20"/>
              </w:rPr>
              <w:t>plrd_block_mode_minus1</w:t>
            </w:r>
            <w:r w:rsidR="009450F8" w:rsidRPr="00A52AB8">
              <w:rPr>
                <w:color w:val="000000" w:themeColor="text1"/>
                <w:sz w:val="20"/>
                <w:szCs w:val="20"/>
              </w:rPr>
              <w:t>[ tileID ][ patchIdx ][ i ]</w:t>
            </w:r>
            <w:r w:rsidR="001F4484" w:rsidRPr="00A52AB8">
              <w:rPr>
                <w:sz w:val="20"/>
                <w:szCs w:val="20"/>
              </w:rPr>
              <w:t>[ j ]</w:t>
            </w:r>
          </w:p>
        </w:tc>
        <w:tc>
          <w:tcPr>
            <w:tcW w:w="1253" w:type="dxa"/>
          </w:tcPr>
          <w:p w14:paraId="10B48CF1" w14:textId="77777777" w:rsidR="00E81223" w:rsidRPr="00A52AB8" w:rsidRDefault="00E81223">
            <w:pPr>
              <w:spacing w:before="20" w:after="20"/>
              <w:jc w:val="center"/>
              <w:rPr>
                <w:color w:val="000000" w:themeColor="text1"/>
                <w:sz w:val="20"/>
                <w:szCs w:val="20"/>
              </w:rPr>
            </w:pPr>
            <w:r w:rsidRPr="00A52AB8">
              <w:rPr>
                <w:sz w:val="20"/>
                <w:szCs w:val="20"/>
              </w:rPr>
              <w:t>u(v)</w:t>
            </w:r>
          </w:p>
        </w:tc>
      </w:tr>
      <w:tr w:rsidR="00E81223" w:rsidRPr="00A52AB8" w14:paraId="34EA60F1" w14:textId="77777777" w:rsidTr="00A252B5">
        <w:tc>
          <w:tcPr>
            <w:tcW w:w="7921" w:type="dxa"/>
          </w:tcPr>
          <w:p w14:paraId="1A605B06" w14:textId="77777777" w:rsidR="00E81223" w:rsidRPr="00A52AB8" w:rsidRDefault="00E81223">
            <w:pPr>
              <w:spacing w:before="20" w:after="20"/>
              <w:rPr>
                <w:color w:val="000000" w:themeColor="text1"/>
                <w:sz w:val="20"/>
                <w:szCs w:val="20"/>
              </w:rPr>
            </w:pPr>
            <w:r w:rsidRPr="00A52AB8">
              <w:rPr>
                <w:color w:val="000000" w:themeColor="text1"/>
                <w:sz w:val="20"/>
                <w:szCs w:val="20"/>
              </w:rPr>
              <w:tab/>
            </w:r>
            <w:r w:rsidRPr="00A52AB8">
              <w:rPr>
                <w:color w:val="000000" w:themeColor="text1"/>
                <w:sz w:val="20"/>
                <w:szCs w:val="20"/>
              </w:rPr>
              <w:tab/>
            </w:r>
            <w:r w:rsidR="00A84352" w:rsidRPr="00A52AB8">
              <w:rPr>
                <w:color w:val="000000" w:themeColor="text1"/>
                <w:sz w:val="20"/>
                <w:szCs w:val="20"/>
              </w:rPr>
              <w:tab/>
            </w:r>
            <w:r w:rsidR="00A84352" w:rsidRPr="00A52AB8">
              <w:rPr>
                <w:color w:val="000000" w:themeColor="text1"/>
                <w:sz w:val="20"/>
                <w:szCs w:val="20"/>
              </w:rPr>
              <w:tab/>
            </w:r>
            <w:r w:rsidRPr="00A52AB8">
              <w:rPr>
                <w:color w:val="000000" w:themeColor="text1"/>
                <w:sz w:val="20"/>
                <w:szCs w:val="20"/>
              </w:rPr>
              <w:t>}</w:t>
            </w:r>
            <w:r w:rsidRPr="00A52AB8">
              <w:rPr>
                <w:color w:val="000000" w:themeColor="text1"/>
                <w:sz w:val="20"/>
                <w:szCs w:val="20"/>
              </w:rPr>
              <w:tab/>
            </w:r>
          </w:p>
        </w:tc>
        <w:tc>
          <w:tcPr>
            <w:tcW w:w="1253" w:type="dxa"/>
          </w:tcPr>
          <w:p w14:paraId="7D90BE88" w14:textId="77777777" w:rsidR="00E81223" w:rsidRPr="00A52AB8" w:rsidRDefault="00E81223">
            <w:pPr>
              <w:spacing w:before="20" w:after="20"/>
              <w:jc w:val="center"/>
              <w:rPr>
                <w:color w:val="000000" w:themeColor="text1"/>
                <w:sz w:val="20"/>
                <w:szCs w:val="20"/>
              </w:rPr>
            </w:pPr>
          </w:p>
        </w:tc>
      </w:tr>
      <w:tr w:rsidR="00E81223" w:rsidRPr="00A52AB8" w14:paraId="6C4C1361" w14:textId="77777777" w:rsidTr="00A252B5">
        <w:tc>
          <w:tcPr>
            <w:tcW w:w="7921" w:type="dxa"/>
          </w:tcPr>
          <w:p w14:paraId="1E95C902" w14:textId="52D09D76" w:rsidR="00E81223" w:rsidRPr="00A52AB8" w:rsidRDefault="00E81223">
            <w:pPr>
              <w:spacing w:before="20" w:after="20"/>
              <w:rPr>
                <w:color w:val="000000" w:themeColor="text1"/>
                <w:sz w:val="20"/>
                <w:szCs w:val="20"/>
              </w:rPr>
            </w:pPr>
            <w:r w:rsidRPr="00A52AB8">
              <w:rPr>
                <w:color w:val="000000" w:themeColor="text1"/>
                <w:sz w:val="20"/>
                <w:szCs w:val="20"/>
              </w:rPr>
              <w:tab/>
            </w:r>
            <w:r w:rsidR="00A84352" w:rsidRPr="00A52AB8">
              <w:rPr>
                <w:color w:val="000000" w:themeColor="text1"/>
                <w:sz w:val="20"/>
                <w:szCs w:val="20"/>
              </w:rPr>
              <w:tab/>
            </w:r>
            <w:r w:rsidR="00A84352" w:rsidRPr="00A52AB8">
              <w:rPr>
                <w:color w:val="000000" w:themeColor="text1"/>
                <w:sz w:val="20"/>
                <w:szCs w:val="20"/>
              </w:rPr>
              <w:tab/>
            </w:r>
            <w:r w:rsidR="0023721F" w:rsidRPr="00A52AB8">
              <w:rPr>
                <w:color w:val="000000" w:themeColor="text1"/>
                <w:sz w:val="20"/>
                <w:szCs w:val="20"/>
              </w:rPr>
              <w:t>} else {</w:t>
            </w:r>
          </w:p>
        </w:tc>
        <w:tc>
          <w:tcPr>
            <w:tcW w:w="1253" w:type="dxa"/>
          </w:tcPr>
          <w:p w14:paraId="734D01D4" w14:textId="77777777" w:rsidR="00E81223" w:rsidRPr="00A52AB8" w:rsidRDefault="00E81223">
            <w:pPr>
              <w:spacing w:before="20" w:after="20"/>
              <w:jc w:val="center"/>
              <w:rPr>
                <w:color w:val="000000" w:themeColor="text1"/>
                <w:sz w:val="20"/>
                <w:szCs w:val="20"/>
              </w:rPr>
            </w:pPr>
          </w:p>
        </w:tc>
      </w:tr>
      <w:tr w:rsidR="00E81223" w:rsidRPr="00A52AB8" w14:paraId="23D0E84F" w14:textId="77777777" w:rsidTr="00A252B5">
        <w:tc>
          <w:tcPr>
            <w:tcW w:w="7921" w:type="dxa"/>
          </w:tcPr>
          <w:p w14:paraId="3D9069B3" w14:textId="1FDFB77E" w:rsidR="00E81223" w:rsidRPr="00A52AB8" w:rsidRDefault="00E81223">
            <w:pPr>
              <w:spacing w:before="20" w:after="20"/>
              <w:rPr>
                <w:color w:val="000000" w:themeColor="text1"/>
                <w:sz w:val="20"/>
                <w:szCs w:val="20"/>
              </w:rPr>
            </w:pPr>
            <w:r w:rsidRPr="00A52AB8">
              <w:rPr>
                <w:color w:val="000000" w:themeColor="text1"/>
                <w:sz w:val="20"/>
                <w:szCs w:val="20"/>
              </w:rPr>
              <w:tab/>
            </w:r>
            <w:r w:rsidRPr="00A52AB8">
              <w:rPr>
                <w:color w:val="000000" w:themeColor="text1"/>
                <w:sz w:val="20"/>
                <w:szCs w:val="20"/>
              </w:rPr>
              <w:tab/>
            </w:r>
            <w:r w:rsidR="00A84352" w:rsidRPr="00A52AB8">
              <w:rPr>
                <w:color w:val="000000" w:themeColor="text1"/>
                <w:sz w:val="20"/>
                <w:szCs w:val="20"/>
              </w:rPr>
              <w:tab/>
            </w:r>
            <w:r w:rsidR="00A84352" w:rsidRPr="00A52AB8">
              <w:rPr>
                <w:color w:val="000000" w:themeColor="text1"/>
                <w:sz w:val="20"/>
                <w:szCs w:val="20"/>
              </w:rPr>
              <w:tab/>
            </w:r>
            <w:r w:rsidR="003F3C9F" w:rsidRPr="00A52AB8">
              <w:rPr>
                <w:b/>
                <w:color w:val="000000" w:themeColor="text1"/>
                <w:sz w:val="20"/>
                <w:szCs w:val="20"/>
              </w:rPr>
              <w:t>plrd_present_flag</w:t>
            </w:r>
            <w:r w:rsidR="009450F8" w:rsidRPr="00A52AB8">
              <w:rPr>
                <w:color w:val="000000" w:themeColor="text1"/>
                <w:sz w:val="20"/>
                <w:szCs w:val="20"/>
              </w:rPr>
              <w:t>[ tileID ][ patchIdx ][ i ]</w:t>
            </w:r>
          </w:p>
        </w:tc>
        <w:tc>
          <w:tcPr>
            <w:tcW w:w="1253" w:type="dxa"/>
          </w:tcPr>
          <w:p w14:paraId="6833BC6F" w14:textId="77777777" w:rsidR="00E81223" w:rsidRPr="00A52AB8" w:rsidRDefault="00E81223">
            <w:pPr>
              <w:spacing w:before="20" w:after="20"/>
              <w:jc w:val="center"/>
              <w:rPr>
                <w:color w:val="000000" w:themeColor="text1"/>
                <w:sz w:val="20"/>
                <w:szCs w:val="20"/>
              </w:rPr>
            </w:pPr>
            <w:r w:rsidRPr="00A52AB8">
              <w:rPr>
                <w:color w:val="000000" w:themeColor="text1"/>
                <w:sz w:val="20"/>
                <w:szCs w:val="20"/>
              </w:rPr>
              <w:t>u(1)</w:t>
            </w:r>
          </w:p>
        </w:tc>
      </w:tr>
      <w:tr w:rsidR="00E81223" w:rsidRPr="00A52AB8" w14:paraId="1F225B69" w14:textId="77777777" w:rsidTr="00A252B5">
        <w:tc>
          <w:tcPr>
            <w:tcW w:w="7921" w:type="dxa"/>
          </w:tcPr>
          <w:p w14:paraId="206CED73" w14:textId="32F2BCA4" w:rsidR="00E81223" w:rsidRPr="00A52AB8" w:rsidRDefault="00A84352">
            <w:pPr>
              <w:spacing w:before="20" w:after="20"/>
              <w:rPr>
                <w:color w:val="000000" w:themeColor="text1"/>
                <w:sz w:val="20"/>
                <w:szCs w:val="20"/>
              </w:rPr>
            </w:pPr>
            <w:r w:rsidRPr="00A52AB8">
              <w:rPr>
                <w:sz w:val="20"/>
                <w:szCs w:val="20"/>
              </w:rPr>
              <w:tab/>
            </w:r>
            <w:r w:rsidRPr="00A52AB8">
              <w:rPr>
                <w:sz w:val="20"/>
                <w:szCs w:val="20"/>
              </w:rPr>
              <w:tab/>
            </w:r>
            <w:r w:rsidR="00E81223" w:rsidRPr="00A52AB8">
              <w:rPr>
                <w:sz w:val="20"/>
                <w:szCs w:val="20"/>
              </w:rPr>
              <w:tab/>
            </w:r>
            <w:r w:rsidR="00E81223" w:rsidRPr="00A52AB8">
              <w:rPr>
                <w:color w:val="000000" w:themeColor="text1"/>
                <w:sz w:val="20"/>
                <w:szCs w:val="20"/>
              </w:rPr>
              <w:tab/>
              <w:t>if(</w:t>
            </w:r>
            <w:r w:rsidR="004F78E9" w:rsidRPr="00A52AB8">
              <w:rPr>
                <w:color w:val="000000" w:themeColor="text1"/>
                <w:sz w:val="20"/>
                <w:szCs w:val="20"/>
              </w:rPr>
              <w:t> </w:t>
            </w:r>
            <w:r w:rsidR="00F52A36" w:rsidRPr="00A52AB8">
              <w:rPr>
                <w:color w:val="000000" w:themeColor="text1"/>
                <w:sz w:val="20"/>
                <w:szCs w:val="20"/>
              </w:rPr>
              <w:t>plrd_present_flag</w:t>
            </w:r>
            <w:r w:rsidR="009450F8" w:rsidRPr="00A52AB8">
              <w:rPr>
                <w:color w:val="000000" w:themeColor="text1"/>
                <w:sz w:val="20"/>
                <w:szCs w:val="20"/>
              </w:rPr>
              <w:t>[ tileID ][ patchIdx ][ i ]</w:t>
            </w:r>
            <w:r w:rsidR="004F78E9" w:rsidRPr="00A52AB8">
              <w:rPr>
                <w:color w:val="000000" w:themeColor="text1"/>
                <w:sz w:val="20"/>
                <w:szCs w:val="20"/>
              </w:rPr>
              <w:t> </w:t>
            </w:r>
            <w:r w:rsidR="00E81223" w:rsidRPr="00A52AB8">
              <w:rPr>
                <w:color w:val="000000" w:themeColor="text1"/>
                <w:sz w:val="20"/>
                <w:szCs w:val="20"/>
              </w:rPr>
              <w:t>)</w:t>
            </w:r>
          </w:p>
        </w:tc>
        <w:tc>
          <w:tcPr>
            <w:tcW w:w="1253" w:type="dxa"/>
          </w:tcPr>
          <w:p w14:paraId="0DDE2AF3" w14:textId="77777777" w:rsidR="00E81223" w:rsidRPr="00A52AB8" w:rsidRDefault="00E81223">
            <w:pPr>
              <w:spacing w:before="20" w:after="20"/>
              <w:jc w:val="center"/>
              <w:rPr>
                <w:color w:val="000000" w:themeColor="text1"/>
                <w:sz w:val="20"/>
                <w:szCs w:val="20"/>
              </w:rPr>
            </w:pPr>
          </w:p>
        </w:tc>
      </w:tr>
      <w:tr w:rsidR="00FF7E3B" w:rsidRPr="00A52AB8" w14:paraId="0570B69D" w14:textId="77777777" w:rsidTr="00A252B5">
        <w:tc>
          <w:tcPr>
            <w:tcW w:w="7921" w:type="dxa"/>
          </w:tcPr>
          <w:p w14:paraId="0419884A" w14:textId="42FB006C" w:rsidR="00FF7E3B" w:rsidRPr="00A52AB8" w:rsidRDefault="00A84352">
            <w:pPr>
              <w:spacing w:before="20" w:after="20"/>
              <w:rPr>
                <w:sz w:val="20"/>
                <w:szCs w:val="20"/>
              </w:rPr>
            </w:pPr>
            <w:r w:rsidRPr="00A52AB8">
              <w:rPr>
                <w:sz w:val="20"/>
                <w:szCs w:val="20"/>
              </w:rPr>
              <w:tab/>
            </w:r>
            <w:r w:rsidRPr="00A52AB8">
              <w:rPr>
                <w:sz w:val="20"/>
                <w:szCs w:val="20"/>
              </w:rPr>
              <w:tab/>
            </w:r>
            <w:r w:rsidR="00FF7E3B" w:rsidRPr="00A52AB8">
              <w:rPr>
                <w:sz w:val="20"/>
                <w:szCs w:val="20"/>
              </w:rPr>
              <w:tab/>
            </w:r>
            <w:r w:rsidR="00FF7E3B" w:rsidRPr="00A52AB8">
              <w:rPr>
                <w:color w:val="000000" w:themeColor="text1"/>
                <w:sz w:val="20"/>
                <w:szCs w:val="20"/>
              </w:rPr>
              <w:tab/>
            </w:r>
            <w:r w:rsidR="00FF7E3B" w:rsidRPr="00A52AB8">
              <w:rPr>
                <w:sz w:val="20"/>
                <w:szCs w:val="20"/>
              </w:rPr>
              <w:tab/>
            </w:r>
            <w:bookmarkStart w:id="748" w:name="_Hlk7463410"/>
            <w:r w:rsidR="00FF7E3B" w:rsidRPr="00A52AB8">
              <w:rPr>
                <w:b/>
                <w:color w:val="000000" w:themeColor="text1"/>
                <w:sz w:val="20"/>
                <w:szCs w:val="20"/>
              </w:rPr>
              <w:t>plrd_mode_minus1</w:t>
            </w:r>
            <w:bookmarkEnd w:id="748"/>
            <w:r w:rsidR="009450F8" w:rsidRPr="00A52AB8">
              <w:rPr>
                <w:color w:val="000000" w:themeColor="text1"/>
                <w:sz w:val="20"/>
                <w:szCs w:val="20"/>
              </w:rPr>
              <w:t>[ tileID ][ patchIdx ][ i ]</w:t>
            </w:r>
          </w:p>
        </w:tc>
        <w:tc>
          <w:tcPr>
            <w:tcW w:w="1253" w:type="dxa"/>
          </w:tcPr>
          <w:p w14:paraId="628E3AC0" w14:textId="77777777" w:rsidR="00FF7E3B" w:rsidRPr="00A52AB8" w:rsidRDefault="00FF7E3B">
            <w:pPr>
              <w:spacing w:before="20" w:after="20"/>
              <w:jc w:val="center"/>
              <w:rPr>
                <w:color w:val="000000" w:themeColor="text1"/>
                <w:sz w:val="20"/>
                <w:szCs w:val="20"/>
              </w:rPr>
            </w:pPr>
            <w:r w:rsidRPr="00A52AB8">
              <w:rPr>
                <w:sz w:val="20"/>
                <w:szCs w:val="20"/>
              </w:rPr>
              <w:t>u(v)</w:t>
            </w:r>
          </w:p>
        </w:tc>
      </w:tr>
      <w:tr w:rsidR="00A84352" w:rsidRPr="00A52AB8" w14:paraId="4C8CA922" w14:textId="77777777" w:rsidTr="00A252B5">
        <w:tc>
          <w:tcPr>
            <w:tcW w:w="7921" w:type="dxa"/>
          </w:tcPr>
          <w:p w14:paraId="501A56DD" w14:textId="77777777" w:rsidR="00A84352" w:rsidRPr="00A52AB8" w:rsidRDefault="00A84352">
            <w:pPr>
              <w:spacing w:before="20" w:after="20"/>
              <w:rPr>
                <w:sz w:val="20"/>
                <w:szCs w:val="20"/>
              </w:rPr>
            </w:pPr>
            <w:r w:rsidRPr="00A52AB8">
              <w:rPr>
                <w:sz w:val="20"/>
                <w:szCs w:val="20"/>
              </w:rPr>
              <w:tab/>
            </w:r>
            <w:r w:rsidRPr="00A52AB8">
              <w:rPr>
                <w:sz w:val="20"/>
                <w:szCs w:val="20"/>
              </w:rPr>
              <w:tab/>
            </w:r>
            <w:r w:rsidRPr="00A52AB8">
              <w:rPr>
                <w:sz w:val="20"/>
                <w:szCs w:val="20"/>
              </w:rPr>
              <w:tab/>
              <w:t>}</w:t>
            </w:r>
          </w:p>
        </w:tc>
        <w:tc>
          <w:tcPr>
            <w:tcW w:w="1253" w:type="dxa"/>
          </w:tcPr>
          <w:p w14:paraId="1D832E1C" w14:textId="77777777" w:rsidR="00A84352" w:rsidRPr="00A52AB8" w:rsidRDefault="00A84352">
            <w:pPr>
              <w:spacing w:before="20" w:after="20"/>
              <w:jc w:val="center"/>
              <w:rPr>
                <w:sz w:val="20"/>
                <w:szCs w:val="20"/>
              </w:rPr>
            </w:pPr>
          </w:p>
        </w:tc>
      </w:tr>
      <w:tr w:rsidR="00A84352" w:rsidRPr="00A52AB8" w14:paraId="12005A58" w14:textId="77777777" w:rsidTr="00A252B5">
        <w:tc>
          <w:tcPr>
            <w:tcW w:w="7921" w:type="dxa"/>
          </w:tcPr>
          <w:p w14:paraId="4B4169B3" w14:textId="77777777" w:rsidR="00A84352" w:rsidRPr="00A52AB8" w:rsidRDefault="00A84352">
            <w:pPr>
              <w:spacing w:before="20" w:after="20"/>
              <w:rPr>
                <w:sz w:val="20"/>
                <w:szCs w:val="20"/>
              </w:rPr>
            </w:pPr>
            <w:r w:rsidRPr="00A52AB8">
              <w:rPr>
                <w:sz w:val="20"/>
                <w:szCs w:val="20"/>
              </w:rPr>
              <w:tab/>
            </w:r>
            <w:r w:rsidRPr="00A52AB8">
              <w:rPr>
                <w:sz w:val="20"/>
                <w:szCs w:val="20"/>
              </w:rPr>
              <w:tab/>
              <w:t>}</w:t>
            </w:r>
          </w:p>
        </w:tc>
        <w:tc>
          <w:tcPr>
            <w:tcW w:w="1253" w:type="dxa"/>
          </w:tcPr>
          <w:p w14:paraId="2780C488" w14:textId="77777777" w:rsidR="00A84352" w:rsidRPr="00A52AB8" w:rsidRDefault="00A84352">
            <w:pPr>
              <w:spacing w:before="20" w:after="20"/>
              <w:jc w:val="center"/>
              <w:rPr>
                <w:sz w:val="20"/>
                <w:szCs w:val="20"/>
              </w:rPr>
            </w:pPr>
          </w:p>
        </w:tc>
      </w:tr>
      <w:tr w:rsidR="00FF7E3B" w:rsidRPr="00A52AB8" w14:paraId="13DA3743" w14:textId="77777777" w:rsidTr="00A252B5">
        <w:tc>
          <w:tcPr>
            <w:tcW w:w="7921" w:type="dxa"/>
          </w:tcPr>
          <w:p w14:paraId="329699A4" w14:textId="77777777" w:rsidR="00FF7E3B" w:rsidRPr="00A52AB8" w:rsidRDefault="00FF7E3B">
            <w:pPr>
              <w:spacing w:before="20" w:after="20"/>
              <w:rPr>
                <w:sz w:val="20"/>
                <w:szCs w:val="20"/>
              </w:rPr>
            </w:pPr>
            <w:r w:rsidRPr="00A52AB8">
              <w:rPr>
                <w:color w:val="000000" w:themeColor="text1"/>
                <w:sz w:val="20"/>
                <w:szCs w:val="20"/>
              </w:rPr>
              <w:tab/>
              <w:t>}</w:t>
            </w:r>
          </w:p>
        </w:tc>
        <w:tc>
          <w:tcPr>
            <w:tcW w:w="1253" w:type="dxa"/>
          </w:tcPr>
          <w:p w14:paraId="569100D8" w14:textId="77777777" w:rsidR="00FF7E3B" w:rsidRPr="00A52AB8" w:rsidRDefault="00FF7E3B">
            <w:pPr>
              <w:spacing w:before="20" w:after="20"/>
              <w:jc w:val="center"/>
              <w:rPr>
                <w:sz w:val="20"/>
                <w:szCs w:val="20"/>
              </w:rPr>
            </w:pPr>
          </w:p>
        </w:tc>
      </w:tr>
      <w:tr w:rsidR="00FF7E3B" w:rsidRPr="00A52AB8" w14:paraId="245EAA4E" w14:textId="77777777" w:rsidTr="00A252B5">
        <w:tc>
          <w:tcPr>
            <w:tcW w:w="7921" w:type="dxa"/>
          </w:tcPr>
          <w:p w14:paraId="3586C22F" w14:textId="77777777" w:rsidR="00FF7E3B" w:rsidRPr="00A52AB8" w:rsidRDefault="00FF7E3B">
            <w:pPr>
              <w:spacing w:before="20" w:after="20"/>
              <w:rPr>
                <w:color w:val="000000" w:themeColor="text1"/>
                <w:sz w:val="20"/>
                <w:szCs w:val="20"/>
              </w:rPr>
            </w:pPr>
            <w:r w:rsidRPr="00A52AB8">
              <w:rPr>
                <w:color w:val="000000" w:themeColor="text1"/>
                <w:sz w:val="20"/>
                <w:szCs w:val="20"/>
              </w:rPr>
              <w:t>}</w:t>
            </w:r>
          </w:p>
        </w:tc>
        <w:tc>
          <w:tcPr>
            <w:tcW w:w="1253" w:type="dxa"/>
          </w:tcPr>
          <w:p w14:paraId="0DD44B6F" w14:textId="77777777" w:rsidR="00FF7E3B" w:rsidRPr="00A52AB8" w:rsidRDefault="00FF7E3B">
            <w:pPr>
              <w:spacing w:before="20" w:after="20"/>
              <w:jc w:val="center"/>
              <w:rPr>
                <w:sz w:val="20"/>
                <w:szCs w:val="20"/>
              </w:rPr>
            </w:pPr>
          </w:p>
        </w:tc>
      </w:tr>
    </w:tbl>
    <w:p w14:paraId="5EB84907" w14:textId="2940FC51" w:rsidR="00D70F89" w:rsidRPr="00A52AB8" w:rsidRDefault="00D70F89">
      <w:pPr>
        <w:pStyle w:val="Heading3"/>
      </w:pPr>
      <w:bookmarkStart w:id="749" w:name="_Ref5888159"/>
      <w:bookmarkStart w:id="750" w:name="_Toc52181610"/>
      <w:r w:rsidRPr="00A52AB8">
        <w:t>Supplemental enhancement information message syntax</w:t>
      </w:r>
      <w:bookmarkEnd w:id="749"/>
      <w:bookmarkEnd w:id="750"/>
    </w:p>
    <w:tbl>
      <w:tblPr>
        <w:tblStyle w:val="TableGrid"/>
        <w:tblW w:w="5000" w:type="pct"/>
        <w:tblLook w:val="0000" w:firstRow="0" w:lastRow="0" w:firstColumn="0" w:lastColumn="0" w:noHBand="0" w:noVBand="0"/>
      </w:tblPr>
      <w:tblGrid>
        <w:gridCol w:w="8411"/>
        <w:gridCol w:w="1331"/>
      </w:tblGrid>
      <w:tr w:rsidR="00D70F89" w:rsidRPr="00A52AB8" w14:paraId="05DBB7F7" w14:textId="77777777" w:rsidTr="00A252B5">
        <w:trPr>
          <w:trHeight w:val="92"/>
        </w:trPr>
        <w:tc>
          <w:tcPr>
            <w:tcW w:w="7921" w:type="dxa"/>
          </w:tcPr>
          <w:p w14:paraId="5ED67173" w14:textId="3B1D253E" w:rsidR="00D70F89" w:rsidRPr="00A52AB8" w:rsidRDefault="00D70F89">
            <w:pPr>
              <w:pStyle w:val="Default"/>
              <w:spacing w:before="20" w:after="20"/>
              <w:rPr>
                <w:rFonts w:ascii="Cambria" w:hAnsi="Cambria"/>
                <w:sz w:val="20"/>
                <w:szCs w:val="20"/>
                <w:lang w:val="en-CA"/>
              </w:rPr>
            </w:pPr>
            <w:r w:rsidRPr="00A52AB8">
              <w:rPr>
                <w:rFonts w:ascii="Cambria" w:hAnsi="Cambria"/>
                <w:sz w:val="20"/>
                <w:szCs w:val="20"/>
                <w:lang w:val="en-CA"/>
              </w:rPr>
              <w:t>sei_message(</w:t>
            </w:r>
            <w:r w:rsidR="00043A17" w:rsidRPr="00A52AB8">
              <w:rPr>
                <w:rFonts w:ascii="Cambria" w:hAnsi="Cambria"/>
                <w:color w:val="000000" w:themeColor="text1"/>
                <w:sz w:val="20"/>
                <w:szCs w:val="20"/>
                <w:lang w:val="en-CA"/>
              </w:rPr>
              <w:t> </w:t>
            </w:r>
            <w:r w:rsidR="008F1F82" w:rsidRPr="00A52AB8">
              <w:rPr>
                <w:rFonts w:ascii="Cambria" w:hAnsi="Cambria"/>
                <w:sz w:val="20"/>
                <w:szCs w:val="20"/>
                <w:lang w:val="en-CA"/>
              </w:rPr>
              <w:t>) {</w:t>
            </w:r>
            <w:r w:rsidRPr="00A52AB8">
              <w:rPr>
                <w:rFonts w:ascii="Cambria" w:hAnsi="Cambria"/>
                <w:sz w:val="20"/>
                <w:szCs w:val="20"/>
                <w:lang w:val="en-CA"/>
              </w:rPr>
              <w:t xml:space="preserve"> </w:t>
            </w:r>
          </w:p>
        </w:tc>
        <w:tc>
          <w:tcPr>
            <w:tcW w:w="1253" w:type="dxa"/>
          </w:tcPr>
          <w:p w14:paraId="63CB35CC" w14:textId="77777777" w:rsidR="00D70F89" w:rsidRPr="00A52AB8" w:rsidRDefault="00D70F89">
            <w:pPr>
              <w:pStyle w:val="Default"/>
              <w:spacing w:before="20" w:after="20"/>
              <w:jc w:val="center"/>
              <w:rPr>
                <w:rFonts w:ascii="Cambria" w:hAnsi="Cambria"/>
                <w:b/>
                <w:bCs/>
                <w:sz w:val="20"/>
                <w:szCs w:val="20"/>
                <w:lang w:val="en-CA"/>
              </w:rPr>
            </w:pPr>
            <w:r w:rsidRPr="00A52AB8">
              <w:rPr>
                <w:rFonts w:ascii="Cambria" w:hAnsi="Cambria"/>
                <w:b/>
                <w:bCs/>
                <w:sz w:val="20"/>
                <w:szCs w:val="20"/>
                <w:lang w:val="en-CA"/>
              </w:rPr>
              <w:t>Descriptor</w:t>
            </w:r>
          </w:p>
        </w:tc>
      </w:tr>
      <w:tr w:rsidR="00D70F89" w:rsidRPr="00A52AB8" w14:paraId="67B08227" w14:textId="77777777" w:rsidTr="00A252B5">
        <w:trPr>
          <w:trHeight w:val="90"/>
        </w:trPr>
        <w:tc>
          <w:tcPr>
            <w:tcW w:w="7921" w:type="dxa"/>
          </w:tcPr>
          <w:p w14:paraId="592D44F0" w14:textId="2580681A" w:rsidR="00D70F89" w:rsidRPr="00A52AB8" w:rsidRDefault="00D70F89">
            <w:pPr>
              <w:pStyle w:val="Default"/>
              <w:spacing w:before="20" w:after="20"/>
              <w:rPr>
                <w:rFonts w:ascii="Cambria" w:hAnsi="Cambria"/>
                <w:sz w:val="20"/>
                <w:szCs w:val="20"/>
                <w:lang w:val="en-CA"/>
              </w:rPr>
            </w:pPr>
            <w:r w:rsidRPr="00A52AB8">
              <w:rPr>
                <w:rFonts w:ascii="Cambria" w:hAnsi="Cambria"/>
                <w:sz w:val="20"/>
                <w:szCs w:val="20"/>
                <w:lang w:val="en-CA"/>
              </w:rPr>
              <w:tab/>
              <w:t>payloadType</w:t>
            </w:r>
            <w:r w:rsidR="00D47707" w:rsidRPr="00A52AB8">
              <w:rPr>
                <w:rFonts w:ascii="Cambria" w:hAnsi="Cambria"/>
                <w:sz w:val="20"/>
                <w:szCs w:val="20"/>
                <w:lang w:val="en-CA"/>
              </w:rPr>
              <w:t> = </w:t>
            </w:r>
            <w:r w:rsidRPr="00A52AB8">
              <w:rPr>
                <w:rFonts w:ascii="Cambria" w:hAnsi="Cambria"/>
                <w:sz w:val="20"/>
                <w:szCs w:val="20"/>
                <w:lang w:val="en-CA"/>
              </w:rPr>
              <w:t xml:space="preserve">0 </w:t>
            </w:r>
          </w:p>
        </w:tc>
        <w:tc>
          <w:tcPr>
            <w:tcW w:w="1253" w:type="dxa"/>
          </w:tcPr>
          <w:p w14:paraId="38BA8C98" w14:textId="77777777" w:rsidR="00D70F89" w:rsidRPr="00A52AB8" w:rsidRDefault="00D70F89">
            <w:pPr>
              <w:pStyle w:val="Default"/>
              <w:spacing w:before="20" w:after="20"/>
              <w:jc w:val="center"/>
              <w:rPr>
                <w:rFonts w:ascii="Cambria" w:hAnsi="Cambria"/>
                <w:sz w:val="20"/>
                <w:szCs w:val="20"/>
                <w:lang w:val="en-CA"/>
              </w:rPr>
            </w:pPr>
          </w:p>
        </w:tc>
      </w:tr>
      <w:tr w:rsidR="00D70F89" w:rsidRPr="00A52AB8" w14:paraId="65F5B2C1" w14:textId="77777777" w:rsidTr="00A252B5">
        <w:trPr>
          <w:trHeight w:val="90"/>
        </w:trPr>
        <w:tc>
          <w:tcPr>
            <w:tcW w:w="7921" w:type="dxa"/>
          </w:tcPr>
          <w:p w14:paraId="797DF153" w14:textId="3E9D412E" w:rsidR="00D70F89" w:rsidRPr="00A52AB8" w:rsidRDefault="00D70F89">
            <w:pPr>
              <w:pStyle w:val="Default"/>
              <w:spacing w:before="20" w:after="20"/>
              <w:rPr>
                <w:rFonts w:ascii="Cambria" w:hAnsi="Cambria"/>
                <w:sz w:val="20"/>
                <w:szCs w:val="20"/>
                <w:lang w:val="en-CA"/>
              </w:rPr>
            </w:pPr>
            <w:r w:rsidRPr="00A52AB8">
              <w:rPr>
                <w:rFonts w:ascii="Cambria" w:hAnsi="Cambria"/>
                <w:sz w:val="20"/>
                <w:szCs w:val="20"/>
                <w:lang w:val="en-CA"/>
              </w:rPr>
              <w:tab/>
              <w:t>do</w:t>
            </w:r>
            <w:r w:rsidR="00900B12" w:rsidRPr="00A52AB8">
              <w:rPr>
                <w:rFonts w:ascii="Cambria" w:hAnsi="Cambria"/>
                <w:sz w:val="20"/>
                <w:szCs w:val="20"/>
                <w:lang w:val="en-CA"/>
              </w:rPr>
              <w:t> </w:t>
            </w:r>
            <w:r w:rsidRPr="00A52AB8">
              <w:rPr>
                <w:rFonts w:ascii="Cambria" w:hAnsi="Cambria"/>
                <w:sz w:val="20"/>
                <w:szCs w:val="20"/>
                <w:lang w:val="en-CA"/>
              </w:rPr>
              <w:t>{</w:t>
            </w:r>
          </w:p>
        </w:tc>
        <w:tc>
          <w:tcPr>
            <w:tcW w:w="1253" w:type="dxa"/>
          </w:tcPr>
          <w:p w14:paraId="6F9FF137" w14:textId="77777777" w:rsidR="00D70F89" w:rsidRPr="00A52AB8" w:rsidRDefault="00D70F89">
            <w:pPr>
              <w:pStyle w:val="Default"/>
              <w:spacing w:before="20" w:after="20"/>
              <w:jc w:val="center"/>
              <w:rPr>
                <w:rFonts w:ascii="Cambria" w:hAnsi="Cambria"/>
                <w:sz w:val="20"/>
                <w:szCs w:val="20"/>
                <w:lang w:val="en-CA"/>
              </w:rPr>
            </w:pPr>
          </w:p>
        </w:tc>
      </w:tr>
      <w:tr w:rsidR="00D70F89" w:rsidRPr="00A52AB8" w14:paraId="418C334F" w14:textId="77777777" w:rsidTr="00A252B5">
        <w:trPr>
          <w:trHeight w:val="92"/>
        </w:trPr>
        <w:tc>
          <w:tcPr>
            <w:tcW w:w="7921" w:type="dxa"/>
          </w:tcPr>
          <w:p w14:paraId="1DD785FC" w14:textId="31DA6225" w:rsidR="00D70F89" w:rsidRPr="00A52AB8" w:rsidRDefault="00D70F89">
            <w:pPr>
              <w:pStyle w:val="Default"/>
              <w:spacing w:before="20" w:after="20"/>
              <w:rPr>
                <w:rFonts w:ascii="Cambria" w:hAnsi="Cambria"/>
                <w:b/>
                <w:sz w:val="20"/>
                <w:szCs w:val="20"/>
                <w:lang w:val="en-CA"/>
              </w:rPr>
            </w:pPr>
            <w:r w:rsidRPr="00A52AB8">
              <w:rPr>
                <w:rFonts w:ascii="Cambria" w:hAnsi="Cambria"/>
                <w:sz w:val="20"/>
                <w:szCs w:val="20"/>
                <w:lang w:val="en-CA"/>
              </w:rPr>
              <w:tab/>
            </w:r>
            <w:r w:rsidRPr="00A52AB8">
              <w:rPr>
                <w:rFonts w:ascii="Cambria" w:hAnsi="Cambria"/>
                <w:sz w:val="20"/>
                <w:szCs w:val="20"/>
                <w:lang w:val="en-CA"/>
              </w:rPr>
              <w:tab/>
            </w:r>
            <w:r w:rsidRPr="00A52AB8">
              <w:rPr>
                <w:rFonts w:ascii="Cambria" w:hAnsi="Cambria"/>
                <w:b/>
                <w:sz w:val="20"/>
                <w:szCs w:val="20"/>
                <w:lang w:val="en-CA"/>
              </w:rPr>
              <w:t>sm_payload_type_byte</w:t>
            </w:r>
          </w:p>
        </w:tc>
        <w:tc>
          <w:tcPr>
            <w:tcW w:w="1253" w:type="dxa"/>
          </w:tcPr>
          <w:p w14:paraId="703BCF4A" w14:textId="77777777" w:rsidR="00D70F89" w:rsidRPr="00A52AB8" w:rsidRDefault="00D70F89">
            <w:pPr>
              <w:pStyle w:val="Default"/>
              <w:spacing w:before="20" w:after="20"/>
              <w:jc w:val="center"/>
              <w:rPr>
                <w:rFonts w:ascii="Cambria" w:hAnsi="Cambria"/>
                <w:sz w:val="20"/>
                <w:szCs w:val="20"/>
                <w:lang w:val="en-CA"/>
              </w:rPr>
            </w:pPr>
            <w:r w:rsidRPr="00A52AB8">
              <w:rPr>
                <w:rFonts w:ascii="Cambria" w:hAnsi="Cambria"/>
                <w:sz w:val="20"/>
                <w:szCs w:val="20"/>
                <w:lang w:val="en-CA"/>
              </w:rPr>
              <w:t>u(8)</w:t>
            </w:r>
          </w:p>
        </w:tc>
      </w:tr>
      <w:tr w:rsidR="00D70F89" w:rsidRPr="00A52AB8" w14:paraId="53950A47" w14:textId="77777777" w:rsidTr="00A252B5">
        <w:trPr>
          <w:trHeight w:val="90"/>
        </w:trPr>
        <w:tc>
          <w:tcPr>
            <w:tcW w:w="7921" w:type="dxa"/>
          </w:tcPr>
          <w:p w14:paraId="3A99270E" w14:textId="65D8D048" w:rsidR="00D70F89" w:rsidRPr="00A52AB8" w:rsidRDefault="00D70F89">
            <w:pPr>
              <w:pStyle w:val="Default"/>
              <w:spacing w:before="20" w:after="20"/>
              <w:rPr>
                <w:rFonts w:ascii="Cambria" w:hAnsi="Cambria"/>
                <w:sz w:val="20"/>
                <w:szCs w:val="20"/>
                <w:lang w:val="en-CA"/>
              </w:rPr>
            </w:pPr>
            <w:r w:rsidRPr="00A52AB8">
              <w:rPr>
                <w:rFonts w:ascii="Cambria" w:hAnsi="Cambria"/>
                <w:sz w:val="20"/>
                <w:szCs w:val="20"/>
                <w:lang w:val="en-CA"/>
              </w:rPr>
              <w:lastRenderedPageBreak/>
              <w:tab/>
            </w:r>
            <w:r w:rsidRPr="00A52AB8">
              <w:rPr>
                <w:rFonts w:ascii="Cambria" w:hAnsi="Cambria"/>
                <w:sz w:val="20"/>
                <w:szCs w:val="20"/>
                <w:lang w:val="en-CA"/>
              </w:rPr>
              <w:tab/>
              <w:t>payloadType</w:t>
            </w:r>
            <w:r w:rsidR="00A907B5" w:rsidRPr="00A52AB8">
              <w:rPr>
                <w:rFonts w:ascii="Cambria" w:hAnsi="Cambria"/>
                <w:sz w:val="20"/>
                <w:szCs w:val="20"/>
                <w:lang w:val="en-CA"/>
              </w:rPr>
              <w:t> </w:t>
            </w:r>
            <w:r w:rsidR="00A234FD" w:rsidRPr="00A52AB8">
              <w:rPr>
                <w:rFonts w:ascii="Cambria" w:hAnsi="Cambria"/>
                <w:sz w:val="20"/>
                <w:szCs w:val="20"/>
                <w:lang w:val="en-CA"/>
              </w:rPr>
              <w:t>+=</w:t>
            </w:r>
            <w:r w:rsidR="00D47707" w:rsidRPr="00A52AB8">
              <w:rPr>
                <w:rFonts w:ascii="Cambria" w:hAnsi="Cambria"/>
                <w:sz w:val="20"/>
                <w:szCs w:val="20"/>
                <w:lang w:val="en-CA"/>
              </w:rPr>
              <w:t> </w:t>
            </w:r>
            <w:r w:rsidRPr="00A52AB8">
              <w:rPr>
                <w:rFonts w:ascii="Cambria" w:hAnsi="Cambria"/>
                <w:sz w:val="20"/>
                <w:szCs w:val="20"/>
                <w:lang w:val="en-CA"/>
              </w:rPr>
              <w:t>sm_payload_type_byte</w:t>
            </w:r>
          </w:p>
        </w:tc>
        <w:tc>
          <w:tcPr>
            <w:tcW w:w="1253" w:type="dxa"/>
          </w:tcPr>
          <w:p w14:paraId="207C1742" w14:textId="77777777" w:rsidR="00D70F89" w:rsidRPr="00A52AB8" w:rsidRDefault="00D70F89">
            <w:pPr>
              <w:pStyle w:val="Default"/>
              <w:spacing w:before="20" w:after="20"/>
              <w:jc w:val="center"/>
              <w:rPr>
                <w:rFonts w:ascii="Cambria" w:hAnsi="Cambria"/>
                <w:sz w:val="20"/>
                <w:szCs w:val="20"/>
                <w:lang w:val="en-CA"/>
              </w:rPr>
            </w:pPr>
          </w:p>
        </w:tc>
      </w:tr>
      <w:tr w:rsidR="00D70F89" w:rsidRPr="00A52AB8" w14:paraId="33E83859" w14:textId="77777777" w:rsidTr="00A252B5">
        <w:trPr>
          <w:trHeight w:val="90"/>
        </w:trPr>
        <w:tc>
          <w:tcPr>
            <w:tcW w:w="7921" w:type="dxa"/>
          </w:tcPr>
          <w:p w14:paraId="17B834B1" w14:textId="7BFDA434" w:rsidR="00D70F89" w:rsidRPr="00A52AB8" w:rsidRDefault="00D70F89">
            <w:pPr>
              <w:pStyle w:val="Default"/>
              <w:spacing w:before="20" w:after="20"/>
              <w:rPr>
                <w:rFonts w:ascii="Cambria" w:hAnsi="Cambria"/>
                <w:sz w:val="20"/>
                <w:szCs w:val="20"/>
                <w:lang w:val="en-CA"/>
              </w:rPr>
            </w:pPr>
            <w:r w:rsidRPr="00A52AB8">
              <w:rPr>
                <w:rFonts w:ascii="Cambria" w:hAnsi="Cambria"/>
                <w:sz w:val="20"/>
                <w:szCs w:val="20"/>
                <w:lang w:val="en-CA"/>
              </w:rPr>
              <w:tab/>
              <w:t>}</w:t>
            </w:r>
            <w:r w:rsidR="00900B12" w:rsidRPr="00A52AB8">
              <w:rPr>
                <w:rFonts w:ascii="Cambria" w:hAnsi="Cambria"/>
                <w:sz w:val="20"/>
                <w:szCs w:val="20"/>
                <w:lang w:val="en-CA"/>
              </w:rPr>
              <w:t> </w:t>
            </w:r>
            <w:r w:rsidRPr="00A52AB8">
              <w:rPr>
                <w:rFonts w:ascii="Cambria" w:hAnsi="Cambria"/>
                <w:sz w:val="20"/>
                <w:szCs w:val="20"/>
                <w:lang w:val="en-CA"/>
              </w:rPr>
              <w:t>while( sm_payload_type_byte</w:t>
            </w:r>
            <w:r w:rsidR="008768E9" w:rsidRPr="00A52AB8">
              <w:rPr>
                <w:rFonts w:ascii="Cambria" w:hAnsi="Cambria"/>
                <w:color w:val="000000" w:themeColor="text1"/>
                <w:sz w:val="20"/>
                <w:szCs w:val="20"/>
                <w:lang w:val="en-CA"/>
              </w:rPr>
              <w:t> </w:t>
            </w:r>
            <w:r w:rsidR="00726AAE" w:rsidRPr="00A52AB8">
              <w:rPr>
                <w:rFonts w:ascii="Cambria" w:hAnsi="Cambria"/>
                <w:color w:val="000000" w:themeColor="text1"/>
                <w:sz w:val="20"/>
                <w:szCs w:val="20"/>
                <w:lang w:val="en-CA"/>
              </w:rPr>
              <w:t>==</w:t>
            </w:r>
            <w:r w:rsidR="00D47707" w:rsidRPr="00A52AB8">
              <w:rPr>
                <w:rFonts w:ascii="Cambria" w:hAnsi="Cambria"/>
                <w:color w:val="000000" w:themeColor="text1"/>
                <w:sz w:val="20"/>
                <w:szCs w:val="20"/>
                <w:lang w:val="en-CA"/>
              </w:rPr>
              <w:t> </w:t>
            </w:r>
            <w:r w:rsidRPr="00A52AB8">
              <w:rPr>
                <w:rFonts w:ascii="Cambria" w:hAnsi="Cambria"/>
                <w:sz w:val="20"/>
                <w:szCs w:val="20"/>
                <w:lang w:val="en-CA"/>
              </w:rPr>
              <w:t>0xFF</w:t>
            </w:r>
            <w:r w:rsidR="00085689" w:rsidRPr="00A52AB8">
              <w:rPr>
                <w:rFonts w:ascii="Cambria" w:hAnsi="Cambria"/>
                <w:color w:val="000000" w:themeColor="text1"/>
                <w:sz w:val="20"/>
                <w:szCs w:val="20"/>
                <w:lang w:val="en-CA"/>
              </w:rPr>
              <w:t> </w:t>
            </w:r>
            <w:r w:rsidRPr="00A52AB8">
              <w:rPr>
                <w:rFonts w:ascii="Cambria" w:hAnsi="Cambria"/>
                <w:sz w:val="20"/>
                <w:szCs w:val="20"/>
                <w:lang w:val="en-CA"/>
              </w:rPr>
              <w:t>)</w:t>
            </w:r>
          </w:p>
        </w:tc>
        <w:tc>
          <w:tcPr>
            <w:tcW w:w="1253" w:type="dxa"/>
          </w:tcPr>
          <w:p w14:paraId="10CA1730" w14:textId="77777777" w:rsidR="00D70F89" w:rsidRPr="00A52AB8" w:rsidRDefault="00D70F89">
            <w:pPr>
              <w:pStyle w:val="Default"/>
              <w:spacing w:before="20" w:after="20"/>
              <w:jc w:val="center"/>
              <w:rPr>
                <w:rFonts w:ascii="Cambria" w:hAnsi="Cambria"/>
                <w:sz w:val="20"/>
                <w:szCs w:val="20"/>
                <w:lang w:val="en-CA"/>
              </w:rPr>
            </w:pPr>
          </w:p>
        </w:tc>
      </w:tr>
      <w:tr w:rsidR="00D70F89" w:rsidRPr="00A52AB8" w14:paraId="2467A6B1" w14:textId="77777777" w:rsidTr="00A252B5">
        <w:trPr>
          <w:trHeight w:val="90"/>
        </w:trPr>
        <w:tc>
          <w:tcPr>
            <w:tcW w:w="7921" w:type="dxa"/>
          </w:tcPr>
          <w:p w14:paraId="6EC672BD" w14:textId="347B2715" w:rsidR="00D70F89" w:rsidRPr="00A52AB8" w:rsidRDefault="00D70F89">
            <w:pPr>
              <w:pStyle w:val="Default"/>
              <w:spacing w:before="20" w:after="20"/>
              <w:rPr>
                <w:rFonts w:ascii="Cambria" w:hAnsi="Cambria"/>
                <w:sz w:val="20"/>
                <w:szCs w:val="20"/>
                <w:lang w:val="en-CA"/>
              </w:rPr>
            </w:pPr>
            <w:r w:rsidRPr="00A52AB8">
              <w:rPr>
                <w:rFonts w:ascii="Cambria" w:hAnsi="Cambria"/>
                <w:sz w:val="20"/>
                <w:szCs w:val="20"/>
                <w:lang w:val="en-CA"/>
              </w:rPr>
              <w:tab/>
              <w:t>payloadSize</w:t>
            </w:r>
            <w:r w:rsidR="0023721F" w:rsidRPr="00A52AB8">
              <w:rPr>
                <w:rFonts w:ascii="Cambria" w:hAnsi="Cambria"/>
                <w:sz w:val="20"/>
                <w:szCs w:val="20"/>
                <w:lang w:val="en-CA"/>
              </w:rPr>
              <w:t> </w:t>
            </w:r>
            <w:r w:rsidR="00D47707" w:rsidRPr="00A52AB8">
              <w:rPr>
                <w:rFonts w:ascii="Cambria" w:hAnsi="Cambria"/>
                <w:sz w:val="20"/>
                <w:szCs w:val="20"/>
                <w:lang w:val="en-CA"/>
              </w:rPr>
              <w:t>= </w:t>
            </w:r>
            <w:r w:rsidRPr="00A52AB8">
              <w:rPr>
                <w:rFonts w:ascii="Cambria" w:hAnsi="Cambria"/>
                <w:sz w:val="20"/>
                <w:szCs w:val="20"/>
                <w:lang w:val="en-CA"/>
              </w:rPr>
              <w:t>0</w:t>
            </w:r>
          </w:p>
        </w:tc>
        <w:tc>
          <w:tcPr>
            <w:tcW w:w="1253" w:type="dxa"/>
          </w:tcPr>
          <w:p w14:paraId="4E2CB6A5" w14:textId="77777777" w:rsidR="00D70F89" w:rsidRPr="00A52AB8" w:rsidRDefault="00D70F89">
            <w:pPr>
              <w:pStyle w:val="Default"/>
              <w:spacing w:before="20" w:after="20"/>
              <w:jc w:val="center"/>
              <w:rPr>
                <w:rFonts w:ascii="Cambria" w:hAnsi="Cambria"/>
                <w:sz w:val="20"/>
                <w:szCs w:val="20"/>
                <w:lang w:val="en-CA"/>
              </w:rPr>
            </w:pPr>
          </w:p>
        </w:tc>
      </w:tr>
      <w:tr w:rsidR="00D70F89" w:rsidRPr="00A52AB8" w14:paraId="0ED19680" w14:textId="77777777" w:rsidTr="00A252B5">
        <w:trPr>
          <w:trHeight w:val="90"/>
        </w:trPr>
        <w:tc>
          <w:tcPr>
            <w:tcW w:w="7921" w:type="dxa"/>
          </w:tcPr>
          <w:p w14:paraId="3772AA78" w14:textId="739713B0" w:rsidR="00D70F89" w:rsidRPr="00A52AB8" w:rsidRDefault="00D70F89">
            <w:pPr>
              <w:pStyle w:val="Default"/>
              <w:spacing w:before="20" w:after="20"/>
              <w:rPr>
                <w:rFonts w:ascii="Cambria" w:hAnsi="Cambria"/>
                <w:sz w:val="20"/>
                <w:szCs w:val="20"/>
                <w:lang w:val="en-CA"/>
              </w:rPr>
            </w:pPr>
            <w:r w:rsidRPr="00A52AB8">
              <w:rPr>
                <w:rFonts w:ascii="Cambria" w:hAnsi="Cambria"/>
                <w:sz w:val="20"/>
                <w:szCs w:val="20"/>
                <w:lang w:val="en-CA"/>
              </w:rPr>
              <w:tab/>
              <w:t>do{</w:t>
            </w:r>
          </w:p>
        </w:tc>
        <w:tc>
          <w:tcPr>
            <w:tcW w:w="1253" w:type="dxa"/>
          </w:tcPr>
          <w:p w14:paraId="45029316" w14:textId="77777777" w:rsidR="00D70F89" w:rsidRPr="00A52AB8" w:rsidRDefault="00D70F89">
            <w:pPr>
              <w:pStyle w:val="Default"/>
              <w:spacing w:before="20" w:after="20"/>
              <w:jc w:val="center"/>
              <w:rPr>
                <w:rFonts w:ascii="Cambria" w:hAnsi="Cambria"/>
                <w:sz w:val="20"/>
                <w:szCs w:val="20"/>
                <w:lang w:val="en-CA"/>
              </w:rPr>
            </w:pPr>
          </w:p>
        </w:tc>
      </w:tr>
      <w:tr w:rsidR="00D70F89" w:rsidRPr="00A52AB8" w14:paraId="0F4ECDEC" w14:textId="77777777" w:rsidTr="00A252B5">
        <w:trPr>
          <w:trHeight w:val="92"/>
        </w:trPr>
        <w:tc>
          <w:tcPr>
            <w:tcW w:w="7921" w:type="dxa"/>
          </w:tcPr>
          <w:p w14:paraId="1987685F" w14:textId="05DB3696" w:rsidR="00D70F89" w:rsidRPr="00A52AB8" w:rsidRDefault="00D70F89">
            <w:pPr>
              <w:pStyle w:val="Default"/>
              <w:spacing w:before="20" w:after="20"/>
              <w:rPr>
                <w:rFonts w:ascii="Cambria" w:hAnsi="Cambria"/>
                <w:b/>
                <w:sz w:val="20"/>
                <w:szCs w:val="20"/>
                <w:lang w:val="en-CA"/>
              </w:rPr>
            </w:pPr>
            <w:r w:rsidRPr="00A52AB8">
              <w:rPr>
                <w:rFonts w:ascii="Cambria" w:hAnsi="Cambria"/>
                <w:sz w:val="20"/>
                <w:szCs w:val="20"/>
                <w:lang w:val="en-CA"/>
              </w:rPr>
              <w:tab/>
            </w:r>
            <w:r w:rsidRPr="00A52AB8">
              <w:rPr>
                <w:rFonts w:ascii="Cambria" w:hAnsi="Cambria"/>
                <w:sz w:val="20"/>
                <w:szCs w:val="20"/>
                <w:lang w:val="en-CA"/>
              </w:rPr>
              <w:tab/>
            </w:r>
            <w:r w:rsidRPr="00A52AB8">
              <w:rPr>
                <w:rFonts w:ascii="Cambria" w:hAnsi="Cambria"/>
                <w:b/>
                <w:sz w:val="20"/>
                <w:szCs w:val="20"/>
                <w:lang w:val="en-CA"/>
              </w:rPr>
              <w:t>sm_payload_size_byte</w:t>
            </w:r>
          </w:p>
        </w:tc>
        <w:tc>
          <w:tcPr>
            <w:tcW w:w="1253" w:type="dxa"/>
          </w:tcPr>
          <w:p w14:paraId="7ABBBD01" w14:textId="77777777" w:rsidR="00D70F89" w:rsidRPr="00A52AB8" w:rsidRDefault="00D70F89">
            <w:pPr>
              <w:pStyle w:val="Default"/>
              <w:spacing w:before="20" w:after="20"/>
              <w:jc w:val="center"/>
              <w:rPr>
                <w:rFonts w:ascii="Cambria" w:hAnsi="Cambria"/>
                <w:sz w:val="20"/>
                <w:szCs w:val="20"/>
                <w:lang w:val="en-CA"/>
              </w:rPr>
            </w:pPr>
            <w:r w:rsidRPr="00A52AB8">
              <w:rPr>
                <w:rFonts w:ascii="Cambria" w:hAnsi="Cambria"/>
                <w:sz w:val="20"/>
                <w:szCs w:val="20"/>
                <w:lang w:val="en-CA"/>
              </w:rPr>
              <w:t>u(8)</w:t>
            </w:r>
          </w:p>
        </w:tc>
      </w:tr>
      <w:tr w:rsidR="00D70F89" w:rsidRPr="00A52AB8" w14:paraId="3B1B16DD" w14:textId="77777777" w:rsidTr="00A252B5">
        <w:trPr>
          <w:trHeight w:val="90"/>
        </w:trPr>
        <w:tc>
          <w:tcPr>
            <w:tcW w:w="7921" w:type="dxa"/>
          </w:tcPr>
          <w:p w14:paraId="5D3E8244" w14:textId="463792F2" w:rsidR="00D70F89" w:rsidRPr="00A52AB8" w:rsidRDefault="00D70F89">
            <w:pPr>
              <w:pStyle w:val="Default"/>
              <w:spacing w:before="20" w:after="20"/>
              <w:rPr>
                <w:rFonts w:ascii="Cambria" w:hAnsi="Cambria"/>
                <w:sz w:val="20"/>
                <w:szCs w:val="20"/>
                <w:lang w:val="en-CA"/>
              </w:rPr>
            </w:pPr>
            <w:r w:rsidRPr="00A52AB8">
              <w:rPr>
                <w:rFonts w:ascii="Cambria" w:hAnsi="Cambria"/>
                <w:sz w:val="20"/>
                <w:szCs w:val="20"/>
                <w:lang w:val="en-CA"/>
              </w:rPr>
              <w:tab/>
            </w:r>
            <w:r w:rsidRPr="00A52AB8">
              <w:rPr>
                <w:rFonts w:ascii="Cambria" w:hAnsi="Cambria"/>
                <w:sz w:val="20"/>
                <w:szCs w:val="20"/>
                <w:lang w:val="en-CA"/>
              </w:rPr>
              <w:tab/>
              <w:t>payloadSize</w:t>
            </w:r>
            <w:r w:rsidR="00A234FD" w:rsidRPr="00A52AB8">
              <w:rPr>
                <w:rFonts w:ascii="Cambria" w:hAnsi="Cambria"/>
                <w:sz w:val="20"/>
                <w:szCs w:val="20"/>
                <w:lang w:val="en-CA"/>
              </w:rPr>
              <w:t> +=</w:t>
            </w:r>
            <w:r w:rsidR="00D47707" w:rsidRPr="00A52AB8">
              <w:rPr>
                <w:rFonts w:ascii="Cambria" w:hAnsi="Cambria"/>
                <w:sz w:val="20"/>
                <w:szCs w:val="20"/>
                <w:lang w:val="en-CA"/>
              </w:rPr>
              <w:t> </w:t>
            </w:r>
            <w:r w:rsidRPr="00A52AB8">
              <w:rPr>
                <w:rFonts w:ascii="Cambria" w:hAnsi="Cambria"/>
                <w:sz w:val="20"/>
                <w:szCs w:val="20"/>
                <w:lang w:val="en-CA"/>
              </w:rPr>
              <w:t>sm_payload_size_byte</w:t>
            </w:r>
          </w:p>
        </w:tc>
        <w:tc>
          <w:tcPr>
            <w:tcW w:w="1253" w:type="dxa"/>
          </w:tcPr>
          <w:p w14:paraId="421858FF" w14:textId="77777777" w:rsidR="00D70F89" w:rsidRPr="00A52AB8" w:rsidRDefault="00D70F89">
            <w:pPr>
              <w:pStyle w:val="Default"/>
              <w:spacing w:before="20" w:after="20"/>
              <w:jc w:val="center"/>
              <w:rPr>
                <w:rFonts w:ascii="Cambria" w:hAnsi="Cambria"/>
                <w:sz w:val="20"/>
                <w:szCs w:val="20"/>
                <w:lang w:val="en-CA"/>
              </w:rPr>
            </w:pPr>
          </w:p>
        </w:tc>
      </w:tr>
      <w:tr w:rsidR="00D70F89" w:rsidRPr="00A52AB8" w14:paraId="4A1DDCEA" w14:textId="77777777" w:rsidTr="00A252B5">
        <w:trPr>
          <w:trHeight w:val="90"/>
        </w:trPr>
        <w:tc>
          <w:tcPr>
            <w:tcW w:w="7921" w:type="dxa"/>
          </w:tcPr>
          <w:p w14:paraId="1948E92A" w14:textId="5DA0DE70" w:rsidR="00D70F89" w:rsidRPr="00A52AB8" w:rsidRDefault="00D70F89">
            <w:pPr>
              <w:pStyle w:val="Default"/>
              <w:spacing w:before="20" w:after="20"/>
              <w:rPr>
                <w:rFonts w:ascii="Cambria" w:hAnsi="Cambria"/>
                <w:sz w:val="20"/>
                <w:szCs w:val="20"/>
                <w:lang w:val="en-CA"/>
              </w:rPr>
            </w:pPr>
            <w:r w:rsidRPr="00A52AB8">
              <w:rPr>
                <w:rFonts w:ascii="Cambria" w:hAnsi="Cambria"/>
                <w:sz w:val="20"/>
                <w:szCs w:val="20"/>
                <w:lang w:val="en-CA"/>
              </w:rPr>
              <w:tab/>
              <w:t>} while( sm_payload_size_byte</w:t>
            </w:r>
            <w:r w:rsidR="008768E9" w:rsidRPr="00A52AB8">
              <w:rPr>
                <w:rFonts w:ascii="Cambria" w:hAnsi="Cambria"/>
                <w:color w:val="000000" w:themeColor="text1"/>
                <w:sz w:val="20"/>
                <w:szCs w:val="20"/>
                <w:lang w:val="en-CA"/>
              </w:rPr>
              <w:t> </w:t>
            </w:r>
            <w:r w:rsidR="00726AAE" w:rsidRPr="00A52AB8">
              <w:rPr>
                <w:rFonts w:ascii="Cambria" w:hAnsi="Cambria"/>
                <w:color w:val="000000" w:themeColor="text1"/>
                <w:sz w:val="20"/>
                <w:szCs w:val="20"/>
                <w:lang w:val="en-CA"/>
              </w:rPr>
              <w:t>==</w:t>
            </w:r>
            <w:r w:rsidR="00D47707" w:rsidRPr="00A52AB8">
              <w:rPr>
                <w:rFonts w:ascii="Cambria" w:hAnsi="Cambria"/>
                <w:color w:val="000000" w:themeColor="text1"/>
                <w:sz w:val="20"/>
                <w:szCs w:val="20"/>
                <w:lang w:val="en-CA"/>
              </w:rPr>
              <w:t> </w:t>
            </w:r>
            <w:r w:rsidRPr="00A52AB8">
              <w:rPr>
                <w:rFonts w:ascii="Cambria" w:hAnsi="Cambria"/>
                <w:sz w:val="20"/>
                <w:szCs w:val="20"/>
                <w:lang w:val="en-CA"/>
              </w:rPr>
              <w:t>0xFF</w:t>
            </w:r>
            <w:r w:rsidR="00085689" w:rsidRPr="00A52AB8">
              <w:rPr>
                <w:rFonts w:ascii="Cambria" w:hAnsi="Cambria"/>
                <w:color w:val="000000" w:themeColor="text1"/>
                <w:sz w:val="20"/>
                <w:szCs w:val="20"/>
                <w:lang w:val="en-CA"/>
              </w:rPr>
              <w:t> </w:t>
            </w:r>
            <w:r w:rsidRPr="00A52AB8">
              <w:rPr>
                <w:rFonts w:ascii="Cambria" w:hAnsi="Cambria"/>
                <w:sz w:val="20"/>
                <w:szCs w:val="20"/>
                <w:lang w:val="en-CA"/>
              </w:rPr>
              <w:t>)</w:t>
            </w:r>
          </w:p>
        </w:tc>
        <w:tc>
          <w:tcPr>
            <w:tcW w:w="1253" w:type="dxa"/>
          </w:tcPr>
          <w:p w14:paraId="1D25B1AC" w14:textId="77777777" w:rsidR="00D70F89" w:rsidRPr="00A52AB8" w:rsidRDefault="00D70F89">
            <w:pPr>
              <w:pStyle w:val="Default"/>
              <w:spacing w:before="20" w:after="20"/>
              <w:jc w:val="center"/>
              <w:rPr>
                <w:rFonts w:ascii="Cambria" w:hAnsi="Cambria"/>
                <w:sz w:val="20"/>
                <w:szCs w:val="20"/>
                <w:lang w:val="en-CA"/>
              </w:rPr>
            </w:pPr>
          </w:p>
        </w:tc>
      </w:tr>
      <w:tr w:rsidR="00D70F89" w:rsidRPr="00A52AB8" w14:paraId="574C19F7" w14:textId="77777777" w:rsidTr="00A252B5">
        <w:trPr>
          <w:trHeight w:val="90"/>
        </w:trPr>
        <w:tc>
          <w:tcPr>
            <w:tcW w:w="7921" w:type="dxa"/>
          </w:tcPr>
          <w:p w14:paraId="76B0D725" w14:textId="2677D500" w:rsidR="00D70F89" w:rsidRPr="00A52AB8" w:rsidRDefault="00D70F89">
            <w:pPr>
              <w:pStyle w:val="Default"/>
              <w:spacing w:before="20" w:after="20"/>
              <w:rPr>
                <w:rFonts w:ascii="Cambria" w:hAnsi="Cambria"/>
                <w:sz w:val="20"/>
                <w:szCs w:val="20"/>
                <w:lang w:val="en-CA"/>
              </w:rPr>
            </w:pPr>
            <w:r w:rsidRPr="00A52AB8">
              <w:rPr>
                <w:rFonts w:ascii="Cambria" w:hAnsi="Cambria"/>
                <w:sz w:val="20"/>
                <w:szCs w:val="20"/>
                <w:lang w:val="en-CA"/>
              </w:rPr>
              <w:tab/>
              <w:t>sei_payload(</w:t>
            </w:r>
            <w:r w:rsidR="00A907B5" w:rsidRPr="00A52AB8">
              <w:rPr>
                <w:rFonts w:ascii="Cambria" w:hAnsi="Cambria"/>
                <w:sz w:val="20"/>
                <w:szCs w:val="20"/>
                <w:lang w:val="en-CA"/>
              </w:rPr>
              <w:t> </w:t>
            </w:r>
            <w:r w:rsidRPr="00A52AB8">
              <w:rPr>
                <w:rFonts w:ascii="Cambria" w:hAnsi="Cambria"/>
                <w:sz w:val="20"/>
                <w:szCs w:val="20"/>
                <w:lang w:val="en-CA"/>
              </w:rPr>
              <w:t>payloadType,</w:t>
            </w:r>
            <w:r w:rsidR="00A907B5" w:rsidRPr="00A52AB8">
              <w:rPr>
                <w:rFonts w:ascii="Cambria" w:hAnsi="Cambria"/>
                <w:sz w:val="20"/>
                <w:szCs w:val="20"/>
                <w:lang w:val="en-CA"/>
              </w:rPr>
              <w:t> </w:t>
            </w:r>
            <w:r w:rsidRPr="00A52AB8">
              <w:rPr>
                <w:rFonts w:ascii="Cambria" w:hAnsi="Cambria"/>
                <w:sz w:val="20"/>
                <w:szCs w:val="20"/>
                <w:lang w:val="en-CA"/>
              </w:rPr>
              <w:t>payloadSize</w:t>
            </w:r>
            <w:r w:rsidR="00A907B5" w:rsidRPr="00A52AB8">
              <w:rPr>
                <w:rFonts w:ascii="Cambria" w:hAnsi="Cambria"/>
                <w:sz w:val="20"/>
                <w:szCs w:val="20"/>
                <w:lang w:val="en-CA"/>
              </w:rPr>
              <w:t> </w:t>
            </w:r>
            <w:r w:rsidRPr="00A52AB8">
              <w:rPr>
                <w:rFonts w:ascii="Cambria" w:hAnsi="Cambria"/>
                <w:sz w:val="20"/>
                <w:szCs w:val="20"/>
                <w:lang w:val="en-CA"/>
              </w:rPr>
              <w:t>)</w:t>
            </w:r>
          </w:p>
        </w:tc>
        <w:tc>
          <w:tcPr>
            <w:tcW w:w="1253" w:type="dxa"/>
          </w:tcPr>
          <w:p w14:paraId="793A93FC" w14:textId="77777777" w:rsidR="00D70F89" w:rsidRPr="00A52AB8" w:rsidRDefault="00D70F89">
            <w:pPr>
              <w:pStyle w:val="Default"/>
              <w:spacing w:before="20" w:after="20"/>
              <w:jc w:val="center"/>
              <w:rPr>
                <w:rFonts w:ascii="Cambria" w:hAnsi="Cambria"/>
                <w:sz w:val="20"/>
                <w:szCs w:val="20"/>
                <w:lang w:val="en-CA"/>
              </w:rPr>
            </w:pPr>
          </w:p>
        </w:tc>
      </w:tr>
      <w:tr w:rsidR="00D70F89" w:rsidRPr="00A52AB8" w14:paraId="53D04DD2" w14:textId="77777777" w:rsidTr="00A252B5">
        <w:trPr>
          <w:trHeight w:val="90"/>
        </w:trPr>
        <w:tc>
          <w:tcPr>
            <w:tcW w:w="7921" w:type="dxa"/>
          </w:tcPr>
          <w:p w14:paraId="1D8CF678" w14:textId="77777777" w:rsidR="00D70F89" w:rsidRPr="00A52AB8" w:rsidRDefault="00D70F89">
            <w:pPr>
              <w:pStyle w:val="Default"/>
              <w:spacing w:before="20" w:after="20"/>
              <w:rPr>
                <w:rFonts w:ascii="Cambria" w:hAnsi="Cambria"/>
                <w:sz w:val="20"/>
                <w:szCs w:val="20"/>
                <w:lang w:val="en-CA"/>
              </w:rPr>
            </w:pPr>
            <w:r w:rsidRPr="00A52AB8">
              <w:rPr>
                <w:rFonts w:ascii="Cambria" w:hAnsi="Cambria"/>
                <w:sz w:val="20"/>
                <w:szCs w:val="20"/>
                <w:lang w:val="en-CA"/>
              </w:rPr>
              <w:t>}</w:t>
            </w:r>
          </w:p>
        </w:tc>
        <w:tc>
          <w:tcPr>
            <w:tcW w:w="1253" w:type="dxa"/>
          </w:tcPr>
          <w:p w14:paraId="43D815FC" w14:textId="77777777" w:rsidR="00D70F89" w:rsidRPr="00A52AB8" w:rsidRDefault="00D70F89">
            <w:pPr>
              <w:pStyle w:val="Default"/>
              <w:spacing w:before="20" w:after="20"/>
              <w:jc w:val="center"/>
              <w:rPr>
                <w:rFonts w:ascii="Cambria" w:hAnsi="Cambria"/>
                <w:sz w:val="20"/>
                <w:szCs w:val="20"/>
                <w:lang w:val="en-CA"/>
              </w:rPr>
            </w:pPr>
          </w:p>
        </w:tc>
      </w:tr>
    </w:tbl>
    <w:p w14:paraId="794652FE" w14:textId="237F8F67" w:rsidR="004F063A" w:rsidRPr="00A52AB8" w:rsidRDefault="004F063A">
      <w:pPr>
        <w:pStyle w:val="Heading2"/>
      </w:pPr>
      <w:bookmarkStart w:id="751" w:name="_Toc7681759"/>
      <w:bookmarkStart w:id="752" w:name="_Toc7702503"/>
      <w:bookmarkStart w:id="753" w:name="_Ref389779807"/>
      <w:bookmarkStart w:id="754" w:name="_Toc390728069"/>
      <w:bookmarkStart w:id="755" w:name="_Toc511952633"/>
      <w:bookmarkStart w:id="756" w:name="_Toc529871405"/>
      <w:bookmarkStart w:id="757" w:name="_Toc52181611"/>
      <w:bookmarkEnd w:id="751"/>
      <w:bookmarkEnd w:id="752"/>
      <w:r w:rsidRPr="00A52AB8">
        <w:t>Semantics</w:t>
      </w:r>
      <w:bookmarkEnd w:id="753"/>
      <w:bookmarkEnd w:id="754"/>
      <w:bookmarkEnd w:id="755"/>
      <w:bookmarkEnd w:id="756"/>
      <w:bookmarkEnd w:id="757"/>
    </w:p>
    <w:p w14:paraId="19EAD515" w14:textId="4D48A139" w:rsidR="004F063A" w:rsidRPr="00A52AB8" w:rsidRDefault="004F063A">
      <w:pPr>
        <w:pStyle w:val="Heading3"/>
      </w:pPr>
      <w:bookmarkStart w:id="758" w:name="_Toc390728070"/>
      <w:bookmarkStart w:id="759" w:name="_Toc511952634"/>
      <w:bookmarkStart w:id="760" w:name="_Toc529871406"/>
      <w:bookmarkStart w:id="761" w:name="_Ref38315343"/>
      <w:bookmarkStart w:id="762" w:name="_Toc52181612"/>
      <w:r w:rsidRPr="00A52AB8">
        <w:t>General</w:t>
      </w:r>
      <w:bookmarkEnd w:id="758"/>
      <w:bookmarkEnd w:id="759"/>
      <w:bookmarkEnd w:id="760"/>
      <w:bookmarkEnd w:id="761"/>
      <w:bookmarkEnd w:id="762"/>
    </w:p>
    <w:p w14:paraId="60FD5560" w14:textId="19AE6D30" w:rsidR="004F063A" w:rsidRPr="00A52AB8" w:rsidRDefault="004F063A">
      <w:pPr>
        <w:keepNext/>
        <w:keepLines/>
        <w:rPr>
          <w:color w:val="000000" w:themeColor="text1"/>
        </w:rPr>
      </w:pPr>
      <w:r w:rsidRPr="00A52AB8">
        <w:rPr>
          <w:color w:val="000000" w:themeColor="text1"/>
        </w:rPr>
        <w:t xml:space="preserve">Semantics associated with the syntax structures and with the syntax elements within these structures are specified in this subclause. When the semantics of a syntax element are specified using a table or a set of tables, any values that are not specified in the table(s) shall not be present in the bitstream unless otherwise specified in </w:t>
      </w:r>
      <w:r w:rsidR="001905CC" w:rsidRPr="00A52AB8">
        <w:rPr>
          <w:color w:val="000000" w:themeColor="text1"/>
        </w:rPr>
        <w:t>this document</w:t>
      </w:r>
      <w:r w:rsidRPr="00A52AB8">
        <w:rPr>
          <w:color w:val="000000" w:themeColor="text1"/>
        </w:rPr>
        <w:t>.</w:t>
      </w:r>
    </w:p>
    <w:p w14:paraId="539F85A1" w14:textId="1FDEC25D" w:rsidR="00917F7F" w:rsidRPr="00A52AB8" w:rsidRDefault="00917F7F">
      <w:pPr>
        <w:keepNext/>
        <w:keepLines/>
        <w:rPr>
          <w:color w:val="000000" w:themeColor="text1"/>
        </w:rPr>
      </w:pPr>
      <w:r w:rsidRPr="00A52AB8">
        <w:rPr>
          <w:color w:val="000000" w:themeColor="text1"/>
        </w:rPr>
        <w:t xml:space="preserve">For some applications, different encapsulation of a V3C bitstream may be used that may not utilize the V3C unit structure. As an example, in ISO/IEC </w:t>
      </w:r>
      <w:r w:rsidR="009D016E" w:rsidRPr="00A52AB8">
        <w:rPr>
          <w:color w:val="000000" w:themeColor="text1"/>
        </w:rPr>
        <w:t xml:space="preserve">DIS </w:t>
      </w:r>
      <w:r w:rsidRPr="00A52AB8">
        <w:rPr>
          <w:color w:val="000000" w:themeColor="text1"/>
        </w:rPr>
        <w:t>23090-10</w:t>
      </w:r>
      <w:r w:rsidR="00C669C9" w:rsidRPr="00A52AB8">
        <w:rPr>
          <w:rStyle w:val="FootnoteReference"/>
          <w:color w:val="000000" w:themeColor="text1"/>
        </w:rPr>
        <w:footnoteReference w:id="4"/>
      </w:r>
      <w:r w:rsidRPr="00A52AB8">
        <w:rPr>
          <w:color w:val="000000" w:themeColor="text1"/>
        </w:rPr>
        <w:t>, the information provided by the V3C unit and V3C parameter sets may be provided through equivalent structures and the V3C unit structure may not be</w:t>
      </w:r>
      <w:r w:rsidR="00EC7ABA" w:rsidRPr="00A52AB8">
        <w:rPr>
          <w:color w:val="000000" w:themeColor="text1"/>
        </w:rPr>
        <w:t xml:space="preserve"> directly</w:t>
      </w:r>
      <w:r w:rsidRPr="00A52AB8">
        <w:rPr>
          <w:color w:val="000000" w:themeColor="text1"/>
        </w:rPr>
        <w:t xml:space="preserve"> present. In such applications, all the syntax elements specified in subclauses </w:t>
      </w:r>
      <w:r w:rsidRPr="00496A4D">
        <w:rPr>
          <w:color w:val="000000" w:themeColor="text1"/>
        </w:rPr>
        <w:fldChar w:fldCharType="begin"/>
      </w:r>
      <w:r w:rsidRPr="00A52AB8">
        <w:rPr>
          <w:color w:val="000000" w:themeColor="text1"/>
        </w:rPr>
        <w:instrText xml:space="preserve"> REF _Ref49974081 \r \h </w:instrText>
      </w:r>
      <w:r w:rsidR="00007BE2"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8.3.2</w:t>
      </w:r>
      <w:r w:rsidRPr="00496A4D">
        <w:rPr>
          <w:color w:val="000000" w:themeColor="text1"/>
        </w:rPr>
        <w:fldChar w:fldCharType="end"/>
      </w:r>
      <w:r w:rsidRPr="00A52AB8">
        <w:rPr>
          <w:color w:val="000000" w:themeColor="text1"/>
        </w:rPr>
        <w:t xml:space="preserve"> and </w:t>
      </w:r>
      <w:r w:rsidRPr="00496A4D">
        <w:rPr>
          <w:color w:val="000000" w:themeColor="text1"/>
        </w:rPr>
        <w:fldChar w:fldCharType="begin"/>
      </w:r>
      <w:r w:rsidRPr="00A52AB8">
        <w:rPr>
          <w:color w:val="000000" w:themeColor="text1"/>
        </w:rPr>
        <w:instrText xml:space="preserve"> REF _Ref38314099 \r \h </w:instrText>
      </w:r>
      <w:r w:rsidR="00007BE2"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8.3.4</w:t>
      </w:r>
      <w:r w:rsidRPr="00496A4D">
        <w:rPr>
          <w:color w:val="000000" w:themeColor="text1"/>
        </w:rPr>
        <w:fldChar w:fldCharType="end"/>
      </w:r>
      <w:r w:rsidRPr="00A52AB8">
        <w:rPr>
          <w:color w:val="000000" w:themeColor="text1"/>
        </w:rPr>
        <w:t>, such as vuh_unit_type, vuh_atlas_id, vuh_map_index, vps_atlas_count_minus1, etc., may be obtained through external means.</w:t>
      </w:r>
    </w:p>
    <w:p w14:paraId="71C14067" w14:textId="6F99D035" w:rsidR="004F063A" w:rsidRPr="00A52AB8" w:rsidRDefault="004B6ABD">
      <w:pPr>
        <w:pStyle w:val="Heading3"/>
      </w:pPr>
      <w:bookmarkStart w:id="763" w:name="_Toc511952636"/>
      <w:bookmarkStart w:id="764" w:name="_Toc529871407"/>
      <w:bookmarkStart w:id="765" w:name="_Ref38315352"/>
      <w:bookmarkStart w:id="766" w:name="_Toc52181613"/>
      <w:r w:rsidRPr="00A52AB8">
        <w:t>V3C</w:t>
      </w:r>
      <w:r w:rsidR="004F063A" w:rsidRPr="00A52AB8">
        <w:t xml:space="preserve"> unit semantics</w:t>
      </w:r>
      <w:bookmarkEnd w:id="763"/>
      <w:bookmarkEnd w:id="764"/>
      <w:bookmarkEnd w:id="765"/>
      <w:bookmarkEnd w:id="766"/>
    </w:p>
    <w:p w14:paraId="1DD0AB47" w14:textId="77777777" w:rsidR="001D5576" w:rsidRPr="00A52AB8" w:rsidRDefault="001D5576" w:rsidP="00CB76AA">
      <w:pPr>
        <w:pStyle w:val="Heading4"/>
      </w:pPr>
      <w:r w:rsidRPr="00A52AB8">
        <w:t xml:space="preserve">General </w:t>
      </w:r>
      <w:r w:rsidR="004B6ABD" w:rsidRPr="00A52AB8">
        <w:t>V3C</w:t>
      </w:r>
      <w:r w:rsidRPr="00A52AB8">
        <w:t xml:space="preserve"> unit semantics</w:t>
      </w:r>
    </w:p>
    <w:p w14:paraId="69478002" w14:textId="77777777" w:rsidR="00B010D7" w:rsidRPr="00A52AB8" w:rsidRDefault="00B010D7">
      <w:r w:rsidRPr="00A52AB8">
        <w:rPr>
          <w:b/>
          <w:lang w:eastAsia="ja-JP"/>
        </w:rPr>
        <w:t>trailing_zero_8bits</w:t>
      </w:r>
      <w:r w:rsidRPr="00A52AB8">
        <w:rPr>
          <w:lang w:eastAsia="ja-JP"/>
        </w:rPr>
        <w:t xml:space="preserve"> is a byte equal to 0x00.</w:t>
      </w:r>
    </w:p>
    <w:p w14:paraId="7706B5EC" w14:textId="77777777" w:rsidR="004F063A" w:rsidRPr="00A52AB8" w:rsidRDefault="004B6ABD" w:rsidP="00CB76AA">
      <w:pPr>
        <w:pStyle w:val="Heading4"/>
      </w:pPr>
      <w:bookmarkStart w:id="767" w:name="_Toc529871408"/>
      <w:r w:rsidRPr="00A52AB8">
        <w:t>V3C</w:t>
      </w:r>
      <w:r w:rsidR="004F063A" w:rsidRPr="00A52AB8">
        <w:t xml:space="preserve"> unit header semantics</w:t>
      </w:r>
      <w:bookmarkEnd w:id="767"/>
    </w:p>
    <w:p w14:paraId="577E1FD6" w14:textId="76B33116" w:rsidR="00D627F5" w:rsidRPr="00A52AB8" w:rsidRDefault="00D627F5">
      <w:pPr>
        <w:pStyle w:val="Caption"/>
        <w:rPr>
          <w:rFonts w:ascii="Cambria" w:eastAsiaTheme="minorEastAsia" w:hAnsi="Cambria"/>
          <w:color w:val="000000" w:themeColor="text1"/>
          <w:lang w:eastAsia="ja-JP"/>
        </w:rPr>
      </w:pPr>
      <w:bookmarkStart w:id="768" w:name="_Ref1760030"/>
      <w:r w:rsidRPr="00A52AB8">
        <w:rPr>
          <w:rFonts w:ascii="Cambria" w:hAnsi="Cambria"/>
          <w:color w:val="000000" w:themeColor="text1"/>
        </w:rPr>
        <w:t xml:space="preserve">Table </w:t>
      </w:r>
      <w:r w:rsidR="00E75DB1" w:rsidRPr="00496A4D">
        <w:rPr>
          <w:rFonts w:ascii="Cambria" w:hAnsi="Cambria"/>
          <w:color w:val="000000" w:themeColor="text1"/>
        </w:rPr>
        <w:fldChar w:fldCharType="begin"/>
      </w:r>
      <w:r w:rsidR="00E75DB1" w:rsidRPr="00A52AB8">
        <w:rPr>
          <w:rFonts w:ascii="Cambria" w:hAnsi="Cambria"/>
          <w:color w:val="000000" w:themeColor="text1"/>
        </w:rPr>
        <w:instrText xml:space="preserve"> SEQ Table \* ARABIC </w:instrText>
      </w:r>
      <w:r w:rsidR="00E75DB1" w:rsidRPr="00496A4D">
        <w:rPr>
          <w:rFonts w:ascii="Cambria" w:hAnsi="Cambria"/>
          <w:color w:val="000000" w:themeColor="text1"/>
        </w:rPr>
        <w:fldChar w:fldCharType="separate"/>
      </w:r>
      <w:r w:rsidR="00507A67">
        <w:rPr>
          <w:rFonts w:ascii="Cambria" w:hAnsi="Cambria"/>
          <w:noProof/>
          <w:color w:val="000000" w:themeColor="text1"/>
        </w:rPr>
        <w:t>2</w:t>
      </w:r>
      <w:r w:rsidR="00E75DB1" w:rsidRPr="00496A4D">
        <w:rPr>
          <w:rFonts w:ascii="Cambria" w:hAnsi="Cambria"/>
          <w:color w:val="000000" w:themeColor="text1"/>
        </w:rPr>
        <w:fldChar w:fldCharType="end"/>
      </w:r>
      <w:bookmarkEnd w:id="768"/>
      <w:r w:rsidR="001604C8" w:rsidRPr="00A52AB8">
        <w:rPr>
          <w:rFonts w:ascii="Cambria" w:hAnsi="Cambria" w:cs="Calibri"/>
          <w:bCs w:val="0"/>
        </w:rPr>
        <w:t> </w:t>
      </w:r>
      <w:r w:rsidR="001604C8" w:rsidRPr="00A52AB8">
        <w:rPr>
          <w:rFonts w:ascii="Cambria" w:hAnsi="Cambria"/>
        </w:rPr>
        <w:t>– </w:t>
      </w:r>
      <w:r w:rsidR="004B6ABD" w:rsidRPr="00A52AB8">
        <w:rPr>
          <w:rFonts w:ascii="Cambria" w:hAnsi="Cambria"/>
          <w:color w:val="000000" w:themeColor="text1"/>
        </w:rPr>
        <w:t>V3C</w:t>
      </w:r>
      <w:r w:rsidRPr="00A52AB8">
        <w:rPr>
          <w:rFonts w:ascii="Cambria" w:hAnsi="Cambria"/>
          <w:color w:val="000000" w:themeColor="text1"/>
        </w:rPr>
        <w:t xml:space="preserve"> </w:t>
      </w:r>
      <w:r w:rsidR="00AE11CC" w:rsidRPr="00A52AB8">
        <w:rPr>
          <w:rFonts w:ascii="Cambria" w:hAnsi="Cambria"/>
          <w:color w:val="000000" w:themeColor="text1"/>
        </w:rPr>
        <w:t>u</w:t>
      </w:r>
      <w:r w:rsidRPr="00A52AB8">
        <w:rPr>
          <w:rFonts w:ascii="Cambria" w:hAnsi="Cambria"/>
          <w:color w:val="000000" w:themeColor="text1"/>
        </w:rPr>
        <w:t xml:space="preserve">nit </w:t>
      </w:r>
      <w:r w:rsidR="00AE11CC" w:rsidRPr="00A52AB8">
        <w:rPr>
          <w:rFonts w:ascii="Cambria" w:hAnsi="Cambria"/>
          <w:color w:val="000000" w:themeColor="text1"/>
        </w:rPr>
        <w:t>t</w:t>
      </w:r>
      <w:r w:rsidRPr="00A52AB8">
        <w:rPr>
          <w:rFonts w:ascii="Cambria" w:hAnsi="Cambria"/>
          <w:color w:val="000000" w:themeColor="text1"/>
        </w:rPr>
        <w:t>ypes</w:t>
      </w:r>
    </w:p>
    <w:tbl>
      <w:tblPr>
        <w:tblStyle w:val="TableGrid"/>
        <w:tblW w:w="0" w:type="auto"/>
        <w:jc w:val="center"/>
        <w:tblLook w:val="04A0" w:firstRow="1" w:lastRow="0" w:firstColumn="1" w:lastColumn="0" w:noHBand="0" w:noVBand="1"/>
      </w:tblPr>
      <w:tblGrid>
        <w:gridCol w:w="1618"/>
        <w:gridCol w:w="1200"/>
        <w:gridCol w:w="2667"/>
        <w:gridCol w:w="2520"/>
      </w:tblGrid>
      <w:tr w:rsidR="00D627F5" w:rsidRPr="00A52AB8" w14:paraId="5E62D370" w14:textId="77777777" w:rsidTr="00D451D4">
        <w:trPr>
          <w:jc w:val="center"/>
        </w:trPr>
        <w:tc>
          <w:tcPr>
            <w:tcW w:w="0" w:type="auto"/>
          </w:tcPr>
          <w:p w14:paraId="1C982D63" w14:textId="77777777" w:rsidR="00D627F5" w:rsidRPr="00A52AB8" w:rsidRDefault="00707920">
            <w:pPr>
              <w:spacing w:before="120" w:after="120"/>
              <w:jc w:val="center"/>
              <w:rPr>
                <w:color w:val="000000" w:themeColor="text1"/>
              </w:rPr>
            </w:pPr>
            <w:r w:rsidRPr="00A52AB8">
              <w:rPr>
                <w:b/>
                <w:color w:val="000000" w:themeColor="text1"/>
              </w:rPr>
              <w:t>vuh_unit_type</w:t>
            </w:r>
          </w:p>
        </w:tc>
        <w:tc>
          <w:tcPr>
            <w:tcW w:w="0" w:type="auto"/>
          </w:tcPr>
          <w:p w14:paraId="1511DDDF" w14:textId="77777777" w:rsidR="00D627F5" w:rsidRPr="00A52AB8" w:rsidRDefault="00D627F5" w:rsidP="00D451D4">
            <w:pPr>
              <w:spacing w:before="120" w:after="120"/>
              <w:jc w:val="center"/>
              <w:rPr>
                <w:b/>
                <w:color w:val="000000" w:themeColor="text1"/>
              </w:rPr>
            </w:pPr>
            <w:r w:rsidRPr="00A52AB8">
              <w:rPr>
                <w:b/>
                <w:color w:val="000000" w:themeColor="text1"/>
              </w:rPr>
              <w:t>Identifier</w:t>
            </w:r>
          </w:p>
        </w:tc>
        <w:tc>
          <w:tcPr>
            <w:tcW w:w="2667" w:type="dxa"/>
          </w:tcPr>
          <w:p w14:paraId="6979829C" w14:textId="77777777" w:rsidR="00D627F5" w:rsidRPr="00A52AB8" w:rsidRDefault="004B6ABD" w:rsidP="00D451D4">
            <w:pPr>
              <w:spacing w:before="120" w:after="120"/>
              <w:jc w:val="center"/>
              <w:rPr>
                <w:b/>
                <w:color w:val="000000" w:themeColor="text1"/>
              </w:rPr>
            </w:pPr>
            <w:r w:rsidRPr="00A52AB8">
              <w:rPr>
                <w:b/>
                <w:color w:val="000000" w:themeColor="text1"/>
              </w:rPr>
              <w:t>V3C</w:t>
            </w:r>
            <w:r w:rsidR="00D627F5" w:rsidRPr="00A52AB8">
              <w:rPr>
                <w:b/>
                <w:color w:val="000000" w:themeColor="text1"/>
              </w:rPr>
              <w:t xml:space="preserve"> </w:t>
            </w:r>
            <w:r w:rsidR="007D2129" w:rsidRPr="00A52AB8">
              <w:rPr>
                <w:b/>
                <w:color w:val="000000" w:themeColor="text1"/>
              </w:rPr>
              <w:t>u</w:t>
            </w:r>
            <w:r w:rsidR="00D627F5" w:rsidRPr="00A52AB8">
              <w:rPr>
                <w:b/>
                <w:color w:val="000000" w:themeColor="text1"/>
              </w:rPr>
              <w:t xml:space="preserve">nit </w:t>
            </w:r>
            <w:r w:rsidR="007D2129" w:rsidRPr="00A52AB8">
              <w:rPr>
                <w:b/>
                <w:color w:val="000000" w:themeColor="text1"/>
              </w:rPr>
              <w:t>t</w:t>
            </w:r>
            <w:r w:rsidR="00D627F5" w:rsidRPr="00A52AB8">
              <w:rPr>
                <w:b/>
                <w:color w:val="000000" w:themeColor="text1"/>
              </w:rPr>
              <w:t>ype</w:t>
            </w:r>
          </w:p>
        </w:tc>
        <w:tc>
          <w:tcPr>
            <w:tcW w:w="2520" w:type="dxa"/>
          </w:tcPr>
          <w:p w14:paraId="75948943" w14:textId="77777777" w:rsidR="00D627F5" w:rsidRPr="00A52AB8" w:rsidRDefault="00D627F5" w:rsidP="00D451D4">
            <w:pPr>
              <w:spacing w:before="120" w:after="120"/>
              <w:jc w:val="center"/>
              <w:rPr>
                <w:b/>
                <w:color w:val="000000" w:themeColor="text1"/>
              </w:rPr>
            </w:pPr>
            <w:r w:rsidRPr="00A52AB8">
              <w:rPr>
                <w:b/>
                <w:color w:val="000000" w:themeColor="text1"/>
              </w:rPr>
              <w:t>Description</w:t>
            </w:r>
          </w:p>
        </w:tc>
      </w:tr>
      <w:tr w:rsidR="00D627F5" w:rsidRPr="00A52AB8" w14:paraId="66209B31" w14:textId="77777777" w:rsidTr="00D451D4">
        <w:trPr>
          <w:jc w:val="center"/>
        </w:trPr>
        <w:tc>
          <w:tcPr>
            <w:tcW w:w="0" w:type="auto"/>
          </w:tcPr>
          <w:p w14:paraId="10565285" w14:textId="77777777" w:rsidR="00D627F5" w:rsidRPr="00A52AB8" w:rsidRDefault="00D627F5">
            <w:pPr>
              <w:spacing w:before="120" w:after="120"/>
              <w:jc w:val="center"/>
              <w:rPr>
                <w:color w:val="000000" w:themeColor="text1"/>
              </w:rPr>
            </w:pPr>
            <w:r w:rsidRPr="00A52AB8">
              <w:rPr>
                <w:color w:val="000000" w:themeColor="text1"/>
              </w:rPr>
              <w:t>0</w:t>
            </w:r>
          </w:p>
        </w:tc>
        <w:tc>
          <w:tcPr>
            <w:tcW w:w="0" w:type="auto"/>
          </w:tcPr>
          <w:p w14:paraId="5AA88232" w14:textId="77777777" w:rsidR="00D627F5" w:rsidRPr="00A52AB8" w:rsidRDefault="00F03B52" w:rsidP="00D451D4">
            <w:pPr>
              <w:spacing w:before="120" w:after="120"/>
              <w:jc w:val="center"/>
              <w:rPr>
                <w:color w:val="000000" w:themeColor="text1"/>
                <w:lang w:eastAsia="ko-KR"/>
              </w:rPr>
            </w:pPr>
            <w:r w:rsidRPr="00A52AB8">
              <w:rPr>
                <w:color w:val="000000" w:themeColor="text1"/>
                <w:lang w:eastAsia="ko-KR"/>
              </w:rPr>
              <w:t>V3C_</w:t>
            </w:r>
            <w:r w:rsidR="00B20F5B" w:rsidRPr="00A52AB8">
              <w:rPr>
                <w:color w:val="000000" w:themeColor="text1"/>
                <w:lang w:eastAsia="ko-KR"/>
              </w:rPr>
              <w:t>VPS</w:t>
            </w:r>
          </w:p>
        </w:tc>
        <w:tc>
          <w:tcPr>
            <w:tcW w:w="2667" w:type="dxa"/>
          </w:tcPr>
          <w:p w14:paraId="0D9795C1" w14:textId="77777777" w:rsidR="00D627F5" w:rsidRPr="00A52AB8" w:rsidRDefault="004B6ABD" w:rsidP="00D451D4">
            <w:pPr>
              <w:spacing w:before="120" w:after="120"/>
              <w:jc w:val="center"/>
              <w:rPr>
                <w:color w:val="000000" w:themeColor="text1"/>
              </w:rPr>
            </w:pPr>
            <w:r w:rsidRPr="00A52AB8">
              <w:rPr>
                <w:color w:val="000000" w:themeColor="text1"/>
                <w:lang w:eastAsia="ko-KR"/>
              </w:rPr>
              <w:t>V3C</w:t>
            </w:r>
            <w:r w:rsidR="00707920" w:rsidRPr="00A52AB8">
              <w:rPr>
                <w:color w:val="000000" w:themeColor="text1"/>
                <w:lang w:eastAsia="ko-KR"/>
              </w:rPr>
              <w:t xml:space="preserve"> </w:t>
            </w:r>
            <w:r w:rsidR="00D627F5" w:rsidRPr="00A52AB8">
              <w:rPr>
                <w:color w:val="000000" w:themeColor="text1"/>
                <w:lang w:eastAsia="ko-KR"/>
              </w:rPr>
              <w:t>parameter set</w:t>
            </w:r>
          </w:p>
        </w:tc>
        <w:tc>
          <w:tcPr>
            <w:tcW w:w="2520" w:type="dxa"/>
          </w:tcPr>
          <w:p w14:paraId="0B58BB93" w14:textId="77777777" w:rsidR="00D627F5" w:rsidRPr="00A52AB8" w:rsidRDefault="004B6ABD" w:rsidP="00D451D4">
            <w:pPr>
              <w:spacing w:before="120" w:after="120"/>
              <w:jc w:val="center"/>
              <w:rPr>
                <w:color w:val="000000" w:themeColor="text1"/>
                <w:lang w:eastAsia="ko-KR"/>
              </w:rPr>
            </w:pPr>
            <w:r w:rsidRPr="00A52AB8">
              <w:rPr>
                <w:color w:val="000000" w:themeColor="text1"/>
                <w:lang w:eastAsia="ko-KR"/>
              </w:rPr>
              <w:t>V3C</w:t>
            </w:r>
            <w:r w:rsidR="00707920" w:rsidRPr="00A52AB8">
              <w:rPr>
                <w:color w:val="000000" w:themeColor="text1"/>
                <w:lang w:eastAsia="ko-KR"/>
              </w:rPr>
              <w:t xml:space="preserve"> </w:t>
            </w:r>
            <w:r w:rsidR="00D627F5" w:rsidRPr="00A52AB8">
              <w:rPr>
                <w:color w:val="000000" w:themeColor="text1"/>
                <w:lang w:eastAsia="ko-KR"/>
              </w:rPr>
              <w:t>level parameters</w:t>
            </w:r>
          </w:p>
        </w:tc>
      </w:tr>
      <w:tr w:rsidR="00D627F5" w:rsidRPr="00A52AB8" w14:paraId="0FFD3CA5" w14:textId="77777777" w:rsidTr="00D451D4">
        <w:trPr>
          <w:jc w:val="center"/>
        </w:trPr>
        <w:tc>
          <w:tcPr>
            <w:tcW w:w="0" w:type="auto"/>
          </w:tcPr>
          <w:p w14:paraId="0BEE87C3" w14:textId="77777777" w:rsidR="00D627F5" w:rsidRPr="00A52AB8" w:rsidRDefault="00D627F5">
            <w:pPr>
              <w:spacing w:before="120" w:after="120"/>
              <w:jc w:val="center"/>
              <w:rPr>
                <w:color w:val="000000" w:themeColor="text1"/>
              </w:rPr>
            </w:pPr>
            <w:r w:rsidRPr="00A52AB8">
              <w:rPr>
                <w:color w:val="000000" w:themeColor="text1"/>
              </w:rPr>
              <w:t>1</w:t>
            </w:r>
          </w:p>
        </w:tc>
        <w:tc>
          <w:tcPr>
            <w:tcW w:w="0" w:type="auto"/>
          </w:tcPr>
          <w:p w14:paraId="58DAF8F6" w14:textId="77777777" w:rsidR="00D627F5" w:rsidRPr="00A52AB8" w:rsidRDefault="00F03B52" w:rsidP="00D451D4">
            <w:pPr>
              <w:spacing w:before="120" w:after="120"/>
              <w:jc w:val="center"/>
              <w:rPr>
                <w:color w:val="000000" w:themeColor="text1"/>
                <w:lang w:eastAsia="ko-KR"/>
              </w:rPr>
            </w:pPr>
            <w:r w:rsidRPr="00A52AB8">
              <w:rPr>
                <w:color w:val="000000" w:themeColor="text1"/>
                <w:lang w:eastAsia="ko-KR"/>
              </w:rPr>
              <w:t>V3C_</w:t>
            </w:r>
            <w:r w:rsidR="00A52C3F" w:rsidRPr="00A52AB8">
              <w:rPr>
                <w:color w:val="000000" w:themeColor="text1"/>
                <w:lang w:eastAsia="ko-KR"/>
              </w:rPr>
              <w:t>AD</w:t>
            </w:r>
          </w:p>
        </w:tc>
        <w:tc>
          <w:tcPr>
            <w:tcW w:w="2667" w:type="dxa"/>
          </w:tcPr>
          <w:p w14:paraId="638DED40" w14:textId="7B380CB2" w:rsidR="00D627F5" w:rsidRPr="00A52AB8" w:rsidRDefault="0056015E" w:rsidP="00D451D4">
            <w:pPr>
              <w:spacing w:before="120" w:after="120"/>
              <w:jc w:val="center"/>
              <w:rPr>
                <w:color w:val="000000" w:themeColor="text1"/>
                <w:lang w:eastAsia="ko-KR"/>
              </w:rPr>
            </w:pPr>
            <w:r w:rsidRPr="00A52AB8">
              <w:rPr>
                <w:color w:val="000000" w:themeColor="text1"/>
                <w:lang w:eastAsia="ko-KR"/>
              </w:rPr>
              <w:t>Atlas data</w:t>
            </w:r>
          </w:p>
        </w:tc>
        <w:tc>
          <w:tcPr>
            <w:tcW w:w="2520" w:type="dxa"/>
          </w:tcPr>
          <w:p w14:paraId="56D3A211" w14:textId="77777777" w:rsidR="00D627F5" w:rsidRPr="00A52AB8" w:rsidRDefault="00A52C3F" w:rsidP="00D451D4">
            <w:pPr>
              <w:spacing w:before="120" w:after="120"/>
              <w:jc w:val="center"/>
              <w:rPr>
                <w:color w:val="000000" w:themeColor="text1"/>
                <w:lang w:eastAsia="ko-KR"/>
              </w:rPr>
            </w:pPr>
            <w:r w:rsidRPr="00A52AB8">
              <w:rPr>
                <w:color w:val="000000" w:themeColor="text1"/>
                <w:lang w:eastAsia="ko-KR"/>
              </w:rPr>
              <w:t>Atlas</w:t>
            </w:r>
            <w:r w:rsidR="0058155C" w:rsidRPr="00A52AB8">
              <w:rPr>
                <w:color w:val="000000" w:themeColor="text1"/>
                <w:lang w:eastAsia="ko-KR"/>
              </w:rPr>
              <w:t xml:space="preserve"> </w:t>
            </w:r>
            <w:r w:rsidR="00D627F5" w:rsidRPr="00A52AB8">
              <w:rPr>
                <w:color w:val="000000" w:themeColor="text1"/>
                <w:lang w:eastAsia="ko-KR"/>
              </w:rPr>
              <w:t>information</w:t>
            </w:r>
          </w:p>
        </w:tc>
      </w:tr>
      <w:tr w:rsidR="00D627F5" w:rsidRPr="00A52AB8" w14:paraId="74493221" w14:textId="77777777" w:rsidTr="00D451D4">
        <w:trPr>
          <w:jc w:val="center"/>
        </w:trPr>
        <w:tc>
          <w:tcPr>
            <w:tcW w:w="0" w:type="auto"/>
          </w:tcPr>
          <w:p w14:paraId="010C50F3" w14:textId="77777777" w:rsidR="00D627F5" w:rsidRPr="00A52AB8" w:rsidRDefault="00D627F5">
            <w:pPr>
              <w:spacing w:before="120" w:after="120"/>
              <w:jc w:val="center"/>
              <w:rPr>
                <w:color w:val="000000" w:themeColor="text1"/>
              </w:rPr>
            </w:pPr>
            <w:r w:rsidRPr="00A52AB8">
              <w:rPr>
                <w:color w:val="000000" w:themeColor="text1"/>
              </w:rPr>
              <w:t>2</w:t>
            </w:r>
          </w:p>
        </w:tc>
        <w:tc>
          <w:tcPr>
            <w:tcW w:w="0" w:type="auto"/>
          </w:tcPr>
          <w:p w14:paraId="508A26EF" w14:textId="77777777" w:rsidR="00D627F5" w:rsidRPr="00A52AB8" w:rsidRDefault="00F03B52" w:rsidP="00D451D4">
            <w:pPr>
              <w:spacing w:before="120" w:after="120"/>
              <w:jc w:val="center"/>
              <w:rPr>
                <w:color w:val="000000" w:themeColor="text1"/>
                <w:lang w:eastAsia="ko-KR"/>
              </w:rPr>
            </w:pPr>
            <w:r w:rsidRPr="00A52AB8">
              <w:rPr>
                <w:color w:val="000000" w:themeColor="text1"/>
                <w:lang w:eastAsia="ko-KR"/>
              </w:rPr>
              <w:t>V3C_</w:t>
            </w:r>
            <w:r w:rsidR="00D627F5" w:rsidRPr="00A52AB8">
              <w:rPr>
                <w:color w:val="000000" w:themeColor="text1"/>
                <w:lang w:eastAsia="ko-KR"/>
              </w:rPr>
              <w:t>OVD</w:t>
            </w:r>
          </w:p>
        </w:tc>
        <w:tc>
          <w:tcPr>
            <w:tcW w:w="2667" w:type="dxa"/>
          </w:tcPr>
          <w:p w14:paraId="5F04828E" w14:textId="77777777" w:rsidR="00D627F5" w:rsidRPr="00A52AB8" w:rsidRDefault="00D627F5" w:rsidP="00D451D4">
            <w:pPr>
              <w:spacing w:before="120" w:after="120"/>
              <w:jc w:val="center"/>
              <w:rPr>
                <w:color w:val="000000" w:themeColor="text1"/>
                <w:lang w:eastAsia="ko-KR"/>
              </w:rPr>
            </w:pPr>
            <w:r w:rsidRPr="00A52AB8">
              <w:rPr>
                <w:color w:val="000000" w:themeColor="text1"/>
                <w:lang w:eastAsia="ko-KR"/>
              </w:rPr>
              <w:t xml:space="preserve">Occupancy </w:t>
            </w:r>
            <w:r w:rsidR="000E2477" w:rsidRPr="00A52AB8">
              <w:rPr>
                <w:color w:val="000000" w:themeColor="text1"/>
                <w:lang w:eastAsia="ko-KR"/>
              </w:rPr>
              <w:t>v</w:t>
            </w:r>
            <w:r w:rsidRPr="00A52AB8">
              <w:rPr>
                <w:color w:val="000000" w:themeColor="text1"/>
                <w:lang w:eastAsia="ko-KR"/>
              </w:rPr>
              <w:t xml:space="preserve">ideo </w:t>
            </w:r>
            <w:r w:rsidR="000E2477" w:rsidRPr="00A52AB8">
              <w:rPr>
                <w:color w:val="000000" w:themeColor="text1"/>
                <w:lang w:eastAsia="ko-KR"/>
              </w:rPr>
              <w:t>d</w:t>
            </w:r>
            <w:r w:rsidRPr="00A52AB8">
              <w:rPr>
                <w:color w:val="000000" w:themeColor="text1"/>
                <w:lang w:eastAsia="ko-KR"/>
              </w:rPr>
              <w:t>ata</w:t>
            </w:r>
          </w:p>
        </w:tc>
        <w:tc>
          <w:tcPr>
            <w:tcW w:w="2520" w:type="dxa"/>
          </w:tcPr>
          <w:p w14:paraId="4B115DD3" w14:textId="77777777" w:rsidR="00D627F5" w:rsidRPr="00A52AB8" w:rsidRDefault="00D627F5" w:rsidP="00D451D4">
            <w:pPr>
              <w:spacing w:before="120" w:after="120"/>
              <w:jc w:val="center"/>
              <w:rPr>
                <w:color w:val="000000" w:themeColor="text1"/>
                <w:lang w:eastAsia="ko-KR"/>
              </w:rPr>
            </w:pPr>
            <w:r w:rsidRPr="00A52AB8">
              <w:rPr>
                <w:color w:val="000000" w:themeColor="text1"/>
                <w:lang w:eastAsia="ko-KR"/>
              </w:rPr>
              <w:t>Occupancy information</w:t>
            </w:r>
          </w:p>
        </w:tc>
      </w:tr>
      <w:tr w:rsidR="00D627F5" w:rsidRPr="00A52AB8" w14:paraId="5C52DB09" w14:textId="77777777" w:rsidTr="00D451D4">
        <w:trPr>
          <w:jc w:val="center"/>
        </w:trPr>
        <w:tc>
          <w:tcPr>
            <w:tcW w:w="0" w:type="auto"/>
          </w:tcPr>
          <w:p w14:paraId="37150AF5" w14:textId="77777777" w:rsidR="00D627F5" w:rsidRPr="00A52AB8" w:rsidRDefault="00D627F5">
            <w:pPr>
              <w:spacing w:before="120" w:after="120"/>
              <w:jc w:val="center"/>
              <w:rPr>
                <w:color w:val="000000" w:themeColor="text1"/>
              </w:rPr>
            </w:pPr>
            <w:r w:rsidRPr="00A52AB8">
              <w:rPr>
                <w:color w:val="000000" w:themeColor="text1"/>
              </w:rPr>
              <w:t>3</w:t>
            </w:r>
          </w:p>
        </w:tc>
        <w:tc>
          <w:tcPr>
            <w:tcW w:w="0" w:type="auto"/>
          </w:tcPr>
          <w:p w14:paraId="3D52334B" w14:textId="77777777" w:rsidR="00D627F5" w:rsidRPr="00A52AB8" w:rsidRDefault="00F03B52" w:rsidP="00D451D4">
            <w:pPr>
              <w:spacing w:before="120" w:after="120"/>
              <w:jc w:val="center"/>
              <w:rPr>
                <w:color w:val="000000" w:themeColor="text1"/>
                <w:lang w:eastAsia="ko-KR"/>
              </w:rPr>
            </w:pPr>
            <w:r w:rsidRPr="00A52AB8">
              <w:rPr>
                <w:color w:val="000000" w:themeColor="text1"/>
                <w:lang w:eastAsia="ko-KR"/>
              </w:rPr>
              <w:t>V3C_</w:t>
            </w:r>
            <w:r w:rsidR="00D627F5" w:rsidRPr="00A52AB8">
              <w:rPr>
                <w:color w:val="000000" w:themeColor="text1"/>
                <w:lang w:eastAsia="ko-KR"/>
              </w:rPr>
              <w:t>GVD</w:t>
            </w:r>
          </w:p>
        </w:tc>
        <w:tc>
          <w:tcPr>
            <w:tcW w:w="2667" w:type="dxa"/>
          </w:tcPr>
          <w:p w14:paraId="1586995E" w14:textId="77777777" w:rsidR="00D627F5" w:rsidRPr="00A52AB8" w:rsidRDefault="00D627F5" w:rsidP="00D451D4">
            <w:pPr>
              <w:spacing w:before="120" w:after="120"/>
              <w:jc w:val="center"/>
              <w:rPr>
                <w:color w:val="000000" w:themeColor="text1"/>
                <w:lang w:eastAsia="ko-KR"/>
              </w:rPr>
            </w:pPr>
            <w:r w:rsidRPr="00A52AB8">
              <w:rPr>
                <w:color w:val="000000" w:themeColor="text1"/>
                <w:lang w:eastAsia="ko-KR"/>
              </w:rPr>
              <w:t xml:space="preserve">Geometry </w:t>
            </w:r>
            <w:r w:rsidR="000E2477" w:rsidRPr="00A52AB8">
              <w:rPr>
                <w:color w:val="000000" w:themeColor="text1"/>
                <w:lang w:eastAsia="ko-KR"/>
              </w:rPr>
              <w:t>v</w:t>
            </w:r>
            <w:r w:rsidRPr="00A52AB8">
              <w:rPr>
                <w:color w:val="000000" w:themeColor="text1"/>
                <w:lang w:eastAsia="ko-KR"/>
              </w:rPr>
              <w:t xml:space="preserve">ideo </w:t>
            </w:r>
            <w:r w:rsidR="000E2477" w:rsidRPr="00A52AB8">
              <w:rPr>
                <w:color w:val="000000" w:themeColor="text1"/>
                <w:lang w:eastAsia="ko-KR"/>
              </w:rPr>
              <w:t>d</w:t>
            </w:r>
            <w:r w:rsidRPr="00A52AB8">
              <w:rPr>
                <w:color w:val="000000" w:themeColor="text1"/>
                <w:lang w:eastAsia="ko-KR"/>
              </w:rPr>
              <w:t>ata</w:t>
            </w:r>
          </w:p>
        </w:tc>
        <w:tc>
          <w:tcPr>
            <w:tcW w:w="2520" w:type="dxa"/>
          </w:tcPr>
          <w:p w14:paraId="67B66BCF" w14:textId="77777777" w:rsidR="00D627F5" w:rsidRPr="00A52AB8" w:rsidRDefault="00D627F5" w:rsidP="00D451D4">
            <w:pPr>
              <w:spacing w:before="120" w:after="120"/>
              <w:jc w:val="center"/>
              <w:rPr>
                <w:color w:val="000000" w:themeColor="text1"/>
                <w:lang w:eastAsia="ko-KR"/>
              </w:rPr>
            </w:pPr>
            <w:r w:rsidRPr="00A52AB8">
              <w:rPr>
                <w:color w:val="000000" w:themeColor="text1"/>
                <w:lang w:eastAsia="ko-KR"/>
              </w:rPr>
              <w:t>Geometry information</w:t>
            </w:r>
          </w:p>
        </w:tc>
      </w:tr>
      <w:tr w:rsidR="00D627F5" w:rsidRPr="00A52AB8" w14:paraId="40E8610E" w14:textId="77777777" w:rsidTr="00D451D4">
        <w:trPr>
          <w:jc w:val="center"/>
        </w:trPr>
        <w:tc>
          <w:tcPr>
            <w:tcW w:w="0" w:type="auto"/>
          </w:tcPr>
          <w:p w14:paraId="71A9C541" w14:textId="77777777" w:rsidR="00D627F5" w:rsidRPr="00A52AB8" w:rsidRDefault="00D627F5">
            <w:pPr>
              <w:spacing w:before="120" w:after="120"/>
              <w:jc w:val="center"/>
              <w:rPr>
                <w:color w:val="000000" w:themeColor="text1"/>
              </w:rPr>
            </w:pPr>
            <w:r w:rsidRPr="00A52AB8">
              <w:rPr>
                <w:color w:val="000000" w:themeColor="text1"/>
              </w:rPr>
              <w:t>4</w:t>
            </w:r>
          </w:p>
        </w:tc>
        <w:tc>
          <w:tcPr>
            <w:tcW w:w="0" w:type="auto"/>
          </w:tcPr>
          <w:p w14:paraId="1901386A" w14:textId="77777777" w:rsidR="00D627F5" w:rsidRPr="00A52AB8" w:rsidRDefault="00F03B52" w:rsidP="00D451D4">
            <w:pPr>
              <w:spacing w:before="120" w:after="120"/>
              <w:jc w:val="center"/>
              <w:rPr>
                <w:color w:val="000000" w:themeColor="text1"/>
                <w:lang w:eastAsia="ko-KR"/>
              </w:rPr>
            </w:pPr>
            <w:r w:rsidRPr="00A52AB8">
              <w:rPr>
                <w:color w:val="000000" w:themeColor="text1"/>
                <w:lang w:eastAsia="ko-KR"/>
              </w:rPr>
              <w:t>V3C_</w:t>
            </w:r>
            <w:r w:rsidR="00D627F5" w:rsidRPr="00A52AB8">
              <w:rPr>
                <w:color w:val="000000" w:themeColor="text1"/>
                <w:lang w:eastAsia="ko-KR"/>
              </w:rPr>
              <w:t>AVD</w:t>
            </w:r>
          </w:p>
        </w:tc>
        <w:tc>
          <w:tcPr>
            <w:tcW w:w="2667" w:type="dxa"/>
          </w:tcPr>
          <w:p w14:paraId="5EDE0044" w14:textId="77777777" w:rsidR="00D627F5" w:rsidRPr="00A52AB8" w:rsidRDefault="00D627F5" w:rsidP="00D451D4">
            <w:pPr>
              <w:spacing w:before="120" w:after="120"/>
              <w:jc w:val="center"/>
              <w:rPr>
                <w:color w:val="000000" w:themeColor="text1"/>
                <w:lang w:eastAsia="ko-KR"/>
              </w:rPr>
            </w:pPr>
            <w:r w:rsidRPr="00A52AB8">
              <w:rPr>
                <w:color w:val="000000" w:themeColor="text1"/>
                <w:lang w:eastAsia="ko-KR"/>
              </w:rPr>
              <w:t xml:space="preserve">Attribute </w:t>
            </w:r>
            <w:r w:rsidR="000E2477" w:rsidRPr="00A52AB8">
              <w:rPr>
                <w:color w:val="000000" w:themeColor="text1"/>
                <w:lang w:eastAsia="ko-KR"/>
              </w:rPr>
              <w:t>v</w:t>
            </w:r>
            <w:r w:rsidRPr="00A52AB8">
              <w:rPr>
                <w:color w:val="000000" w:themeColor="text1"/>
                <w:lang w:eastAsia="ko-KR"/>
              </w:rPr>
              <w:t xml:space="preserve">ideo </w:t>
            </w:r>
            <w:r w:rsidR="000E2477" w:rsidRPr="00A52AB8">
              <w:rPr>
                <w:color w:val="000000" w:themeColor="text1"/>
                <w:lang w:eastAsia="ko-KR"/>
              </w:rPr>
              <w:t>d</w:t>
            </w:r>
            <w:r w:rsidRPr="00A52AB8">
              <w:rPr>
                <w:color w:val="000000" w:themeColor="text1"/>
                <w:lang w:eastAsia="ko-KR"/>
              </w:rPr>
              <w:t>ata</w:t>
            </w:r>
          </w:p>
        </w:tc>
        <w:tc>
          <w:tcPr>
            <w:tcW w:w="2520" w:type="dxa"/>
          </w:tcPr>
          <w:p w14:paraId="05BD0EAB" w14:textId="77777777" w:rsidR="00D627F5" w:rsidRPr="00A52AB8" w:rsidRDefault="00D627F5" w:rsidP="00D451D4">
            <w:pPr>
              <w:spacing w:before="120" w:after="120"/>
              <w:jc w:val="center"/>
              <w:rPr>
                <w:color w:val="000000" w:themeColor="text1"/>
                <w:lang w:eastAsia="ko-KR"/>
              </w:rPr>
            </w:pPr>
            <w:r w:rsidRPr="00A52AB8">
              <w:rPr>
                <w:color w:val="000000" w:themeColor="text1"/>
                <w:lang w:eastAsia="ko-KR"/>
              </w:rPr>
              <w:t>Attribute information</w:t>
            </w:r>
          </w:p>
        </w:tc>
      </w:tr>
      <w:tr w:rsidR="00C2716D" w:rsidRPr="00A52AB8" w14:paraId="49788702" w14:textId="77777777" w:rsidTr="00D451D4">
        <w:trPr>
          <w:jc w:val="center"/>
        </w:trPr>
        <w:tc>
          <w:tcPr>
            <w:tcW w:w="0" w:type="auto"/>
          </w:tcPr>
          <w:p w14:paraId="2084650E" w14:textId="77DFB5EB" w:rsidR="00C2716D" w:rsidRPr="00A52AB8" w:rsidRDefault="00C2716D">
            <w:pPr>
              <w:spacing w:before="120" w:after="120"/>
              <w:jc w:val="center"/>
              <w:rPr>
                <w:color w:val="000000" w:themeColor="text1"/>
              </w:rPr>
            </w:pPr>
            <w:r w:rsidRPr="00A52AB8">
              <w:rPr>
                <w:color w:val="000000" w:themeColor="text1"/>
              </w:rPr>
              <w:t>5</w:t>
            </w:r>
          </w:p>
        </w:tc>
        <w:tc>
          <w:tcPr>
            <w:tcW w:w="0" w:type="auto"/>
          </w:tcPr>
          <w:p w14:paraId="12259DEF" w14:textId="777261A2" w:rsidR="00C2716D" w:rsidRPr="00A52AB8" w:rsidRDefault="00C2716D" w:rsidP="00D451D4">
            <w:pPr>
              <w:spacing w:before="120" w:after="120"/>
              <w:jc w:val="center"/>
              <w:rPr>
                <w:color w:val="000000" w:themeColor="text1"/>
                <w:lang w:eastAsia="ko-KR"/>
              </w:rPr>
            </w:pPr>
            <w:r w:rsidRPr="00A52AB8">
              <w:rPr>
                <w:color w:val="000000" w:themeColor="text1"/>
                <w:lang w:eastAsia="ko-KR"/>
              </w:rPr>
              <w:t>V3C_PVD</w:t>
            </w:r>
          </w:p>
        </w:tc>
        <w:tc>
          <w:tcPr>
            <w:tcW w:w="2667" w:type="dxa"/>
          </w:tcPr>
          <w:p w14:paraId="4828971E" w14:textId="63882ABE" w:rsidR="00C2716D" w:rsidRPr="00A52AB8" w:rsidRDefault="00C2716D" w:rsidP="00D451D4">
            <w:pPr>
              <w:spacing w:before="120" w:after="120"/>
              <w:jc w:val="center"/>
              <w:rPr>
                <w:color w:val="000000" w:themeColor="text1"/>
                <w:lang w:eastAsia="ko-KR"/>
              </w:rPr>
            </w:pPr>
            <w:r w:rsidRPr="00A52AB8">
              <w:rPr>
                <w:color w:val="000000" w:themeColor="text1"/>
                <w:lang w:eastAsia="ko-KR"/>
              </w:rPr>
              <w:t>Packed video data</w:t>
            </w:r>
          </w:p>
        </w:tc>
        <w:tc>
          <w:tcPr>
            <w:tcW w:w="2520" w:type="dxa"/>
          </w:tcPr>
          <w:p w14:paraId="583A23B4" w14:textId="75B2292A" w:rsidR="00C2716D" w:rsidRPr="00A52AB8" w:rsidRDefault="00C2716D" w:rsidP="00D451D4">
            <w:pPr>
              <w:spacing w:before="120" w:after="120"/>
              <w:jc w:val="center"/>
              <w:rPr>
                <w:color w:val="000000" w:themeColor="text1"/>
                <w:lang w:eastAsia="ko-KR"/>
              </w:rPr>
            </w:pPr>
            <w:r w:rsidRPr="00A52AB8">
              <w:rPr>
                <w:color w:val="000000" w:themeColor="text1"/>
                <w:lang w:eastAsia="ko-KR"/>
              </w:rPr>
              <w:t>Packing information</w:t>
            </w:r>
          </w:p>
        </w:tc>
      </w:tr>
      <w:tr w:rsidR="00C2716D" w:rsidRPr="00A52AB8" w14:paraId="7A6A6763" w14:textId="77777777" w:rsidTr="00D451D4">
        <w:trPr>
          <w:jc w:val="center"/>
        </w:trPr>
        <w:tc>
          <w:tcPr>
            <w:tcW w:w="0" w:type="auto"/>
          </w:tcPr>
          <w:p w14:paraId="2393D2FD" w14:textId="5C52F98C" w:rsidR="00C2716D" w:rsidRPr="00A52AB8" w:rsidRDefault="00C2716D">
            <w:pPr>
              <w:spacing w:before="120" w:after="120"/>
              <w:jc w:val="center"/>
              <w:rPr>
                <w:color w:val="000000" w:themeColor="text1"/>
              </w:rPr>
            </w:pPr>
            <w:r w:rsidRPr="00A52AB8">
              <w:rPr>
                <w:color w:val="000000" w:themeColor="text1"/>
              </w:rPr>
              <w:t>6</w:t>
            </w:r>
          </w:p>
        </w:tc>
        <w:tc>
          <w:tcPr>
            <w:tcW w:w="0" w:type="auto"/>
          </w:tcPr>
          <w:p w14:paraId="7911E702" w14:textId="0BC2E02B" w:rsidR="00C2716D" w:rsidRPr="00A52AB8" w:rsidRDefault="00C2716D" w:rsidP="00D451D4">
            <w:pPr>
              <w:spacing w:before="120" w:after="120"/>
              <w:jc w:val="center"/>
              <w:rPr>
                <w:color w:val="000000" w:themeColor="text1"/>
                <w:lang w:eastAsia="ko-KR"/>
              </w:rPr>
            </w:pPr>
            <w:r w:rsidRPr="00A52AB8">
              <w:rPr>
                <w:color w:val="000000" w:themeColor="text1"/>
                <w:lang w:eastAsia="ko-KR"/>
              </w:rPr>
              <w:t>V3C_CAD</w:t>
            </w:r>
          </w:p>
        </w:tc>
        <w:tc>
          <w:tcPr>
            <w:tcW w:w="2667" w:type="dxa"/>
          </w:tcPr>
          <w:p w14:paraId="3ED83349" w14:textId="2A63E2FF" w:rsidR="00C2716D" w:rsidRPr="00A52AB8" w:rsidRDefault="00C2716D" w:rsidP="00D451D4">
            <w:pPr>
              <w:spacing w:before="120" w:after="120"/>
              <w:jc w:val="center"/>
              <w:rPr>
                <w:color w:val="000000" w:themeColor="text1"/>
                <w:lang w:eastAsia="ko-KR"/>
              </w:rPr>
            </w:pPr>
            <w:r w:rsidRPr="00A52AB8">
              <w:rPr>
                <w:color w:val="000000" w:themeColor="text1"/>
                <w:lang w:eastAsia="ko-KR"/>
              </w:rPr>
              <w:t>Common atlas data</w:t>
            </w:r>
          </w:p>
        </w:tc>
        <w:tc>
          <w:tcPr>
            <w:tcW w:w="2520" w:type="dxa"/>
          </w:tcPr>
          <w:p w14:paraId="07343F3B" w14:textId="74175F56" w:rsidR="00C2716D" w:rsidRPr="00A52AB8" w:rsidRDefault="00C2716D" w:rsidP="00D451D4">
            <w:pPr>
              <w:spacing w:before="120" w:after="120"/>
              <w:jc w:val="center"/>
              <w:rPr>
                <w:color w:val="000000" w:themeColor="text1"/>
                <w:lang w:eastAsia="ko-KR"/>
              </w:rPr>
            </w:pPr>
            <w:r w:rsidRPr="00A52AB8">
              <w:rPr>
                <w:color w:val="000000" w:themeColor="text1"/>
                <w:lang w:eastAsia="ko-KR"/>
              </w:rPr>
              <w:t xml:space="preserve">Information that is common for atlases in a </w:t>
            </w:r>
            <w:r w:rsidRPr="00A52AB8">
              <w:rPr>
                <w:color w:val="000000" w:themeColor="text1"/>
                <w:lang w:eastAsia="ko-KR"/>
              </w:rPr>
              <w:lastRenderedPageBreak/>
              <w:t>CVS. Specified in ISO/IEC 23090-12</w:t>
            </w:r>
          </w:p>
        </w:tc>
      </w:tr>
      <w:tr w:rsidR="00D627F5" w:rsidRPr="00A52AB8" w14:paraId="03864852" w14:textId="77777777" w:rsidTr="00D451D4">
        <w:trPr>
          <w:jc w:val="center"/>
        </w:trPr>
        <w:tc>
          <w:tcPr>
            <w:tcW w:w="0" w:type="auto"/>
          </w:tcPr>
          <w:p w14:paraId="2DE03300" w14:textId="1B15924E" w:rsidR="00D627F5" w:rsidRPr="00A52AB8" w:rsidRDefault="00C2716D">
            <w:pPr>
              <w:spacing w:before="120" w:after="120"/>
              <w:jc w:val="center"/>
              <w:rPr>
                <w:color w:val="000000" w:themeColor="text1"/>
              </w:rPr>
            </w:pPr>
            <w:r w:rsidRPr="00A52AB8">
              <w:rPr>
                <w:color w:val="000000" w:themeColor="text1"/>
              </w:rPr>
              <w:lastRenderedPageBreak/>
              <w:t>7</w:t>
            </w:r>
            <w:r w:rsidR="00D627F5" w:rsidRPr="00A52AB8">
              <w:rPr>
                <w:color w:val="000000" w:themeColor="text1"/>
              </w:rPr>
              <w:t>…31</w:t>
            </w:r>
          </w:p>
        </w:tc>
        <w:tc>
          <w:tcPr>
            <w:tcW w:w="0" w:type="auto"/>
          </w:tcPr>
          <w:p w14:paraId="0D114378" w14:textId="77777777" w:rsidR="00D627F5" w:rsidRPr="00A52AB8" w:rsidRDefault="00F03B52" w:rsidP="00D451D4">
            <w:pPr>
              <w:spacing w:before="120" w:after="120"/>
              <w:jc w:val="center"/>
              <w:rPr>
                <w:color w:val="000000" w:themeColor="text1"/>
                <w:lang w:eastAsia="ko-KR"/>
              </w:rPr>
            </w:pPr>
            <w:r w:rsidRPr="00A52AB8">
              <w:rPr>
                <w:color w:val="000000" w:themeColor="text1"/>
                <w:lang w:eastAsia="ko-KR"/>
              </w:rPr>
              <w:t>V3C_</w:t>
            </w:r>
            <w:r w:rsidR="00D627F5" w:rsidRPr="00A52AB8">
              <w:rPr>
                <w:color w:val="000000" w:themeColor="text1"/>
                <w:lang w:eastAsia="ko-KR"/>
              </w:rPr>
              <w:t>RSVD</w:t>
            </w:r>
          </w:p>
        </w:tc>
        <w:tc>
          <w:tcPr>
            <w:tcW w:w="2667" w:type="dxa"/>
          </w:tcPr>
          <w:p w14:paraId="6A561C79" w14:textId="77777777" w:rsidR="00D627F5" w:rsidRPr="00A52AB8" w:rsidRDefault="00D627F5" w:rsidP="00D451D4">
            <w:pPr>
              <w:spacing w:before="120" w:after="120"/>
              <w:jc w:val="center"/>
              <w:rPr>
                <w:color w:val="000000" w:themeColor="text1"/>
                <w:lang w:eastAsia="ko-KR"/>
              </w:rPr>
            </w:pPr>
            <w:r w:rsidRPr="00A52AB8">
              <w:rPr>
                <w:color w:val="000000" w:themeColor="text1"/>
                <w:lang w:eastAsia="ko-KR"/>
              </w:rPr>
              <w:t>Reserved</w:t>
            </w:r>
          </w:p>
        </w:tc>
        <w:tc>
          <w:tcPr>
            <w:tcW w:w="2520" w:type="dxa"/>
          </w:tcPr>
          <w:p w14:paraId="048F2B8C" w14:textId="77777777" w:rsidR="00D627F5" w:rsidRPr="00A52AB8" w:rsidRDefault="00D627F5" w:rsidP="00D451D4">
            <w:pPr>
              <w:spacing w:before="120" w:after="120"/>
              <w:jc w:val="center"/>
              <w:rPr>
                <w:color w:val="000000" w:themeColor="text1"/>
                <w:lang w:eastAsia="ko-KR"/>
              </w:rPr>
            </w:pPr>
            <w:r w:rsidRPr="00A52AB8">
              <w:rPr>
                <w:color w:val="000000" w:themeColor="text1"/>
                <w:lang w:eastAsia="ko-KR"/>
              </w:rPr>
              <w:t>-</w:t>
            </w:r>
          </w:p>
        </w:tc>
      </w:tr>
    </w:tbl>
    <w:p w14:paraId="461C0CB9" w14:textId="67654893" w:rsidR="004F063A" w:rsidRPr="00A52AB8" w:rsidRDefault="00707920" w:rsidP="00D451D4">
      <w:pPr>
        <w:spacing w:before="240"/>
        <w:rPr>
          <w:color w:val="000000" w:themeColor="text1"/>
        </w:rPr>
      </w:pPr>
      <w:r w:rsidRPr="00A52AB8">
        <w:rPr>
          <w:b/>
          <w:color w:val="000000" w:themeColor="text1"/>
        </w:rPr>
        <w:t>vuh_unit_type</w:t>
      </w:r>
      <w:r w:rsidR="004F063A" w:rsidRPr="00A52AB8">
        <w:rPr>
          <w:color w:val="000000" w:themeColor="text1"/>
        </w:rPr>
        <w:t xml:space="preserve"> indicates the </w:t>
      </w:r>
      <w:r w:rsidR="004B6ABD" w:rsidRPr="00A52AB8">
        <w:rPr>
          <w:color w:val="000000" w:themeColor="text1"/>
        </w:rPr>
        <w:t>V3C</w:t>
      </w:r>
      <w:r w:rsidR="004F063A" w:rsidRPr="00A52AB8">
        <w:rPr>
          <w:color w:val="000000" w:themeColor="text1"/>
        </w:rPr>
        <w:t xml:space="preserve"> unit type as </w:t>
      </w:r>
      <w:r w:rsidR="008A1B14" w:rsidRPr="00A52AB8">
        <w:rPr>
          <w:color w:val="000000" w:themeColor="text1"/>
        </w:rPr>
        <w:t xml:space="preserve">specified </w:t>
      </w:r>
      <w:r w:rsidR="004F063A" w:rsidRPr="00A52AB8">
        <w:rPr>
          <w:color w:val="000000" w:themeColor="text1"/>
        </w:rPr>
        <w:t>in</w:t>
      </w:r>
      <w:r w:rsidR="00AF2CEB" w:rsidRPr="00A52AB8">
        <w:rPr>
          <w:color w:val="000000" w:themeColor="text1"/>
          <w:lang w:eastAsia="ja-JP"/>
        </w:rPr>
        <w:t xml:space="preserve"> </w:t>
      </w:r>
      <w:r w:rsidR="00AF2CEB" w:rsidRPr="00496A4D">
        <w:rPr>
          <w:color w:val="000000" w:themeColor="text1"/>
          <w:lang w:eastAsia="ja-JP"/>
        </w:rPr>
        <w:fldChar w:fldCharType="begin"/>
      </w:r>
      <w:r w:rsidR="00AF2CEB" w:rsidRPr="00A52AB8">
        <w:rPr>
          <w:color w:val="000000" w:themeColor="text1"/>
          <w:lang w:eastAsia="ja-JP"/>
        </w:rPr>
        <w:instrText xml:space="preserve"> REF _Ref1760030 \h </w:instrText>
      </w:r>
      <w:r w:rsidR="003F01AC" w:rsidRPr="00A52AB8">
        <w:rPr>
          <w:color w:val="000000" w:themeColor="text1"/>
          <w:lang w:eastAsia="ja-JP"/>
        </w:rPr>
        <w:instrText xml:space="preserve"> \* MERGEFORMAT </w:instrText>
      </w:r>
      <w:r w:rsidR="00AF2CEB" w:rsidRPr="00496A4D">
        <w:rPr>
          <w:color w:val="000000" w:themeColor="text1"/>
          <w:lang w:eastAsia="ja-JP"/>
        </w:rPr>
      </w:r>
      <w:r w:rsidR="00AF2CEB" w:rsidRPr="00496A4D">
        <w:rPr>
          <w:color w:val="000000" w:themeColor="text1"/>
          <w:lang w:eastAsia="ja-JP"/>
        </w:rPr>
        <w:fldChar w:fldCharType="separate"/>
      </w:r>
      <w:r w:rsidR="00507A67" w:rsidRPr="00A52AB8">
        <w:rPr>
          <w:color w:val="000000" w:themeColor="text1"/>
        </w:rPr>
        <w:t xml:space="preserve">Table </w:t>
      </w:r>
      <w:r w:rsidR="00507A67">
        <w:rPr>
          <w:color w:val="000000" w:themeColor="text1"/>
        </w:rPr>
        <w:t>2</w:t>
      </w:r>
      <w:r w:rsidR="00AF2CEB" w:rsidRPr="00496A4D">
        <w:rPr>
          <w:color w:val="000000" w:themeColor="text1"/>
          <w:lang w:eastAsia="ja-JP"/>
        </w:rPr>
        <w:fldChar w:fldCharType="end"/>
      </w:r>
      <w:r w:rsidR="005F463A" w:rsidRPr="00A52AB8">
        <w:rPr>
          <w:color w:val="000000" w:themeColor="text1"/>
          <w:lang w:eastAsia="ja-JP"/>
        </w:rPr>
        <w:t>.</w:t>
      </w:r>
      <w:r w:rsidR="008F5065" w:rsidRPr="00A52AB8">
        <w:rPr>
          <w:color w:val="000000" w:themeColor="text1"/>
          <w:lang w:eastAsia="ja-JP"/>
        </w:rPr>
        <w:t xml:space="preserve"> Values indicated as </w:t>
      </w:r>
      <w:r w:rsidR="008F5065" w:rsidRPr="00A52AB8">
        <w:rPr>
          <w:color w:val="000000" w:themeColor="text1"/>
        </w:rPr>
        <w:t>reserved are reserved for future use by ISO/IEC</w:t>
      </w:r>
      <w:r w:rsidR="00D612C5" w:rsidRPr="00A52AB8">
        <w:rPr>
          <w:color w:val="000000" w:themeColor="text1"/>
        </w:rPr>
        <w:t xml:space="preserve"> and shall not be present in bitstreams conforming to this version of this document</w:t>
      </w:r>
      <w:r w:rsidR="008F5065" w:rsidRPr="00A52AB8">
        <w:rPr>
          <w:color w:val="000000" w:themeColor="text1"/>
        </w:rPr>
        <w:t>. Decoders conforming to this version of this document should ignore such reserved unit types.</w:t>
      </w:r>
    </w:p>
    <w:p w14:paraId="3D20F0B2" w14:textId="77777777" w:rsidR="00E15CA4" w:rsidRPr="00A52AB8" w:rsidRDefault="00707920">
      <w:pPr>
        <w:rPr>
          <w:color w:val="000000" w:themeColor="text1"/>
        </w:rPr>
      </w:pPr>
      <w:r w:rsidRPr="00A52AB8">
        <w:rPr>
          <w:b/>
          <w:bCs/>
          <w:color w:val="000000" w:themeColor="text1"/>
        </w:rPr>
        <w:t>vuh_</w:t>
      </w:r>
      <w:r w:rsidR="00307947" w:rsidRPr="00A52AB8">
        <w:rPr>
          <w:b/>
          <w:bCs/>
          <w:color w:val="000000" w:themeColor="text1"/>
        </w:rPr>
        <w:t>v3c_</w:t>
      </w:r>
      <w:r w:rsidR="00E15CA4" w:rsidRPr="00A52AB8">
        <w:rPr>
          <w:b/>
          <w:color w:val="000000" w:themeColor="text1"/>
        </w:rPr>
        <w:t xml:space="preserve">parameter_set_id </w:t>
      </w:r>
      <w:r w:rsidR="00E15CA4" w:rsidRPr="00A52AB8">
        <w:rPr>
          <w:color w:val="000000" w:themeColor="text1"/>
        </w:rPr>
        <w:t xml:space="preserve">specifies the value of </w:t>
      </w:r>
      <w:r w:rsidRPr="00A52AB8">
        <w:rPr>
          <w:color w:val="000000" w:themeColor="text1"/>
        </w:rPr>
        <w:t>vps_</w:t>
      </w:r>
      <w:r w:rsidR="003D4B2D" w:rsidRPr="00A52AB8">
        <w:rPr>
          <w:color w:val="000000" w:themeColor="text1"/>
        </w:rPr>
        <w:t>v3c_</w:t>
      </w:r>
      <w:r w:rsidR="00E15CA4" w:rsidRPr="00A52AB8">
        <w:rPr>
          <w:color w:val="000000" w:themeColor="text1"/>
        </w:rPr>
        <w:t xml:space="preserve">parameter_set_id for the active </w:t>
      </w:r>
      <w:r w:rsidR="004B6ABD" w:rsidRPr="00A52AB8">
        <w:rPr>
          <w:color w:val="000000" w:themeColor="text1"/>
        </w:rPr>
        <w:t>V3C</w:t>
      </w:r>
      <w:r w:rsidR="00CA6619" w:rsidRPr="00A52AB8">
        <w:rPr>
          <w:color w:val="000000" w:themeColor="text1"/>
        </w:rPr>
        <w:t xml:space="preserve"> </w:t>
      </w:r>
      <w:r w:rsidR="00B20F5B" w:rsidRPr="00A52AB8">
        <w:rPr>
          <w:color w:val="000000" w:themeColor="text1"/>
        </w:rPr>
        <w:t>VPS</w:t>
      </w:r>
      <w:r w:rsidR="00E15CA4" w:rsidRPr="00A52AB8">
        <w:rPr>
          <w:color w:val="000000" w:themeColor="text1"/>
        </w:rPr>
        <w:t xml:space="preserve">. The value of </w:t>
      </w:r>
      <w:r w:rsidRPr="00A52AB8">
        <w:rPr>
          <w:color w:val="000000" w:themeColor="text1"/>
        </w:rPr>
        <w:t>vuh_</w:t>
      </w:r>
      <w:r w:rsidR="003D4B2D" w:rsidRPr="00A52AB8">
        <w:rPr>
          <w:color w:val="000000" w:themeColor="text1"/>
        </w:rPr>
        <w:t>v3c_</w:t>
      </w:r>
      <w:r w:rsidR="00E15CA4" w:rsidRPr="00A52AB8">
        <w:rPr>
          <w:color w:val="000000" w:themeColor="text1"/>
        </w:rPr>
        <w:t>parameter_set_id shall be in the range of 0 to 15, inclusive.</w:t>
      </w:r>
    </w:p>
    <w:p w14:paraId="33BEAE30" w14:textId="77777777" w:rsidR="00A52C3F" w:rsidRPr="00A52AB8" w:rsidRDefault="00707920">
      <w:pPr>
        <w:rPr>
          <w:color w:val="000000" w:themeColor="text1"/>
        </w:rPr>
      </w:pPr>
      <w:r w:rsidRPr="00A52AB8">
        <w:rPr>
          <w:b/>
          <w:bCs/>
          <w:color w:val="000000" w:themeColor="text1"/>
        </w:rPr>
        <w:t>vuh_atlas_id</w:t>
      </w:r>
      <w:r w:rsidR="00A52C3F" w:rsidRPr="00A52AB8">
        <w:rPr>
          <w:b/>
          <w:color w:val="000000" w:themeColor="text1"/>
        </w:rPr>
        <w:t xml:space="preserve"> </w:t>
      </w:r>
      <w:r w:rsidR="00A52C3F" w:rsidRPr="00A52AB8">
        <w:rPr>
          <w:color w:val="000000" w:themeColor="text1"/>
        </w:rPr>
        <w:t xml:space="preserve">specifies the </w:t>
      </w:r>
      <w:r w:rsidR="007C3463" w:rsidRPr="00A52AB8">
        <w:rPr>
          <w:color w:val="000000" w:themeColor="text1"/>
        </w:rPr>
        <w:t>ID</w:t>
      </w:r>
      <w:r w:rsidR="008E7F13" w:rsidRPr="00A52AB8">
        <w:rPr>
          <w:color w:val="000000" w:themeColor="text1"/>
        </w:rPr>
        <w:t xml:space="preserve"> </w:t>
      </w:r>
      <w:r w:rsidR="00A52C3F" w:rsidRPr="00A52AB8">
        <w:rPr>
          <w:color w:val="000000" w:themeColor="text1"/>
        </w:rPr>
        <w:t xml:space="preserve">of the atlas that corresponds to the current </w:t>
      </w:r>
      <w:r w:rsidR="004B6ABD" w:rsidRPr="00A52AB8">
        <w:rPr>
          <w:color w:val="000000" w:themeColor="text1"/>
        </w:rPr>
        <w:t>V3C</w:t>
      </w:r>
      <w:r w:rsidR="00A52C3F" w:rsidRPr="00A52AB8">
        <w:rPr>
          <w:color w:val="000000" w:themeColor="text1"/>
        </w:rPr>
        <w:t xml:space="preserve"> unit. The value of </w:t>
      </w:r>
      <w:r w:rsidRPr="00A52AB8">
        <w:rPr>
          <w:color w:val="000000" w:themeColor="text1"/>
        </w:rPr>
        <w:t>vuh_atlas_id</w:t>
      </w:r>
      <w:r w:rsidR="00A52C3F" w:rsidRPr="00A52AB8">
        <w:rPr>
          <w:color w:val="000000" w:themeColor="text1"/>
        </w:rPr>
        <w:t xml:space="preserve"> shall be in the range of 0 to 63, inclusive.</w:t>
      </w:r>
    </w:p>
    <w:p w14:paraId="352D32E4" w14:textId="1FD32E27" w:rsidR="004F063A" w:rsidRPr="00A52AB8" w:rsidRDefault="00707920">
      <w:pPr>
        <w:rPr>
          <w:color w:val="000000" w:themeColor="text1"/>
        </w:rPr>
      </w:pPr>
      <w:r w:rsidRPr="00A52AB8">
        <w:rPr>
          <w:b/>
          <w:color w:val="000000" w:themeColor="text1"/>
        </w:rPr>
        <w:t>vuh_attribute_index</w:t>
      </w:r>
      <w:r w:rsidR="004F063A" w:rsidRPr="00A52AB8">
        <w:rPr>
          <w:color w:val="000000" w:themeColor="text1"/>
        </w:rPr>
        <w:t xml:space="preserve"> indicates the index of the attribute </w:t>
      </w:r>
      <w:r w:rsidR="004B642C" w:rsidRPr="00A52AB8">
        <w:rPr>
          <w:color w:val="000000" w:themeColor="text1"/>
        </w:rPr>
        <w:t xml:space="preserve">data carried in </w:t>
      </w:r>
      <w:r w:rsidR="004F063A" w:rsidRPr="00A52AB8">
        <w:rPr>
          <w:color w:val="000000" w:themeColor="text1"/>
        </w:rPr>
        <w:t>the Attribute Video Data unit.</w:t>
      </w:r>
      <w:r w:rsidR="004B642C" w:rsidRPr="00A52AB8">
        <w:rPr>
          <w:color w:val="000000" w:themeColor="text1"/>
        </w:rPr>
        <w:t xml:space="preserve"> The value of </w:t>
      </w:r>
      <w:r w:rsidRPr="00A52AB8">
        <w:rPr>
          <w:color w:val="000000" w:themeColor="text1"/>
        </w:rPr>
        <w:t>vuh_attribute_index</w:t>
      </w:r>
      <w:r w:rsidR="004B642C" w:rsidRPr="00A52AB8">
        <w:rPr>
          <w:color w:val="000000" w:themeColor="text1"/>
        </w:rPr>
        <w:t xml:space="preserve"> shall be in the range of 0 to </w:t>
      </w:r>
      <w:r w:rsidR="0006134A" w:rsidRPr="00A52AB8">
        <w:rPr>
          <w:color w:val="000000" w:themeColor="text1"/>
        </w:rPr>
        <w:t>(</w:t>
      </w:r>
      <w:r w:rsidR="008F5065" w:rsidRPr="00A52AB8">
        <w:rPr>
          <w:color w:val="000000" w:themeColor="text1"/>
        </w:rPr>
        <w:t> </w:t>
      </w:r>
      <w:r w:rsidR="000F532C" w:rsidRPr="00A52AB8">
        <w:rPr>
          <w:color w:val="000000" w:themeColor="text1"/>
        </w:rPr>
        <w:t>ai_</w:t>
      </w:r>
      <w:r w:rsidR="0006134A" w:rsidRPr="00A52AB8">
        <w:rPr>
          <w:color w:val="000000" w:themeColor="text1"/>
        </w:rPr>
        <w:t>attribute_count</w:t>
      </w:r>
      <w:r w:rsidR="00496B95" w:rsidRPr="00A52AB8">
        <w:rPr>
          <w:bCs/>
          <w:color w:val="000000" w:themeColor="text1"/>
        </w:rPr>
        <w:t>[</w:t>
      </w:r>
      <w:r w:rsidR="00496B95" w:rsidRPr="00A52AB8">
        <w:rPr>
          <w:color w:val="000000" w:themeColor="text1"/>
        </w:rPr>
        <w:t> </w:t>
      </w:r>
      <w:r w:rsidRPr="00A52AB8">
        <w:rPr>
          <w:color w:val="000000" w:themeColor="text1"/>
        </w:rPr>
        <w:t>vuh_atlas_id</w:t>
      </w:r>
      <w:r w:rsidR="00496B95" w:rsidRPr="00A52AB8">
        <w:rPr>
          <w:color w:val="000000" w:themeColor="text1"/>
        </w:rPr>
        <w:t> </w:t>
      </w:r>
      <w:r w:rsidR="00496B95" w:rsidRPr="00A52AB8">
        <w:rPr>
          <w:bCs/>
          <w:color w:val="000000" w:themeColor="text1"/>
        </w:rPr>
        <w:t>] </w:t>
      </w:r>
      <w:r w:rsidR="0006134A" w:rsidRPr="00A52AB8">
        <w:rPr>
          <w:color w:val="000000" w:themeColor="text1"/>
        </w:rPr>
        <w:t>–</w:t>
      </w:r>
      <w:r w:rsidR="00496B95" w:rsidRPr="00A52AB8">
        <w:rPr>
          <w:color w:val="000000" w:themeColor="text1"/>
        </w:rPr>
        <w:t> </w:t>
      </w:r>
      <w:r w:rsidR="0006134A" w:rsidRPr="00A52AB8">
        <w:rPr>
          <w:color w:val="000000" w:themeColor="text1"/>
        </w:rPr>
        <w:t>1</w:t>
      </w:r>
      <w:r w:rsidR="008F5065" w:rsidRPr="00A52AB8">
        <w:rPr>
          <w:color w:val="000000" w:themeColor="text1"/>
        </w:rPr>
        <w:t> </w:t>
      </w:r>
      <w:r w:rsidR="0006134A" w:rsidRPr="00A52AB8">
        <w:rPr>
          <w:color w:val="000000" w:themeColor="text1"/>
        </w:rPr>
        <w:t>)</w:t>
      </w:r>
      <w:r w:rsidR="004B642C" w:rsidRPr="00A52AB8">
        <w:rPr>
          <w:color w:val="000000" w:themeColor="text1"/>
        </w:rPr>
        <w:t>, inclusive.</w:t>
      </w:r>
    </w:p>
    <w:p w14:paraId="22062B4C" w14:textId="3F544C5C" w:rsidR="006C1462" w:rsidRPr="00A52AB8" w:rsidRDefault="00707920">
      <w:pPr>
        <w:rPr>
          <w:color w:val="000000" w:themeColor="text1"/>
        </w:rPr>
      </w:pPr>
      <w:r w:rsidRPr="00A52AB8">
        <w:rPr>
          <w:b/>
          <w:color w:val="000000" w:themeColor="text1"/>
        </w:rPr>
        <w:t>vuh_attribute_</w:t>
      </w:r>
      <w:r w:rsidR="001816CA" w:rsidRPr="00A52AB8">
        <w:rPr>
          <w:b/>
          <w:color w:val="000000" w:themeColor="text1"/>
        </w:rPr>
        <w:t>partition</w:t>
      </w:r>
      <w:r w:rsidRPr="00A52AB8">
        <w:rPr>
          <w:b/>
          <w:color w:val="000000" w:themeColor="text1"/>
        </w:rPr>
        <w:t>_index</w:t>
      </w:r>
      <w:r w:rsidR="006C1462" w:rsidRPr="00A52AB8">
        <w:rPr>
          <w:color w:val="000000" w:themeColor="text1"/>
        </w:rPr>
        <w:t xml:space="preserve"> indicates the index of the attribute dimension group carried in the </w:t>
      </w:r>
      <w:r w:rsidR="008F5065" w:rsidRPr="00A52AB8">
        <w:rPr>
          <w:color w:val="000000" w:themeColor="text1"/>
        </w:rPr>
        <w:t>a</w:t>
      </w:r>
      <w:r w:rsidR="006C1462" w:rsidRPr="00A52AB8">
        <w:rPr>
          <w:color w:val="000000" w:themeColor="text1"/>
        </w:rPr>
        <w:t xml:space="preserve">ttribute </w:t>
      </w:r>
      <w:r w:rsidR="008F5065" w:rsidRPr="00A52AB8">
        <w:rPr>
          <w:color w:val="000000" w:themeColor="text1"/>
        </w:rPr>
        <w:t>v</w:t>
      </w:r>
      <w:r w:rsidR="006C1462" w:rsidRPr="00A52AB8">
        <w:rPr>
          <w:color w:val="000000" w:themeColor="text1"/>
        </w:rPr>
        <w:t xml:space="preserve">ideo </w:t>
      </w:r>
      <w:r w:rsidR="008F5065" w:rsidRPr="00A52AB8">
        <w:rPr>
          <w:color w:val="000000" w:themeColor="text1"/>
        </w:rPr>
        <w:t>d</w:t>
      </w:r>
      <w:r w:rsidR="006C1462" w:rsidRPr="00A52AB8">
        <w:rPr>
          <w:color w:val="000000" w:themeColor="text1"/>
        </w:rPr>
        <w:t xml:space="preserve">ata unit. The value of </w:t>
      </w:r>
      <w:r w:rsidRPr="00A52AB8">
        <w:rPr>
          <w:color w:val="000000" w:themeColor="text1"/>
        </w:rPr>
        <w:t>vuh_attribute_</w:t>
      </w:r>
      <w:r w:rsidR="001816CA" w:rsidRPr="00A52AB8">
        <w:rPr>
          <w:color w:val="000000" w:themeColor="text1"/>
        </w:rPr>
        <w:t>partition</w:t>
      </w:r>
      <w:r w:rsidRPr="00A52AB8">
        <w:rPr>
          <w:color w:val="000000" w:themeColor="text1"/>
        </w:rPr>
        <w:t>_index</w:t>
      </w:r>
      <w:r w:rsidR="006C1462" w:rsidRPr="00A52AB8">
        <w:rPr>
          <w:color w:val="000000" w:themeColor="text1"/>
        </w:rPr>
        <w:t xml:space="preserve"> shall be in the range of 0 to </w:t>
      </w:r>
      <w:r w:rsidR="00121DE1" w:rsidRPr="00A52AB8">
        <w:rPr>
          <w:color w:val="000000" w:themeColor="text1"/>
        </w:rPr>
        <w:t>ai_</w:t>
      </w:r>
      <w:r w:rsidR="00121DE1" w:rsidRPr="00A52AB8">
        <w:rPr>
          <w:bCs/>
          <w:color w:val="000000" w:themeColor="text1"/>
        </w:rPr>
        <w:t>attribute_dimension_partitions_minus1[</w:t>
      </w:r>
      <w:r w:rsidR="00496B95" w:rsidRPr="00A52AB8">
        <w:rPr>
          <w:color w:val="000000" w:themeColor="text1"/>
        </w:rPr>
        <w:t> </w:t>
      </w:r>
      <w:r w:rsidRPr="00A52AB8">
        <w:rPr>
          <w:color w:val="000000" w:themeColor="text1"/>
        </w:rPr>
        <w:t>vuh_atlas_id</w:t>
      </w:r>
      <w:r w:rsidR="008F5065" w:rsidRPr="00A52AB8">
        <w:rPr>
          <w:color w:val="000000" w:themeColor="text1"/>
        </w:rPr>
        <w:t> </w:t>
      </w:r>
      <w:r w:rsidR="00496B95" w:rsidRPr="00A52AB8">
        <w:rPr>
          <w:bCs/>
          <w:color w:val="000000" w:themeColor="text1"/>
        </w:rPr>
        <w:t>][ </w:t>
      </w:r>
      <w:r w:rsidRPr="00A52AB8">
        <w:rPr>
          <w:color w:val="000000" w:themeColor="text1"/>
        </w:rPr>
        <w:t>vuh_attribute_index</w:t>
      </w:r>
      <w:r w:rsidR="00496B95" w:rsidRPr="00A52AB8">
        <w:rPr>
          <w:color w:val="000000" w:themeColor="text1"/>
        </w:rPr>
        <w:t> </w:t>
      </w:r>
      <w:r w:rsidR="00496B95" w:rsidRPr="00A52AB8">
        <w:rPr>
          <w:bCs/>
          <w:color w:val="000000" w:themeColor="text1"/>
        </w:rPr>
        <w:t>]</w:t>
      </w:r>
      <w:r w:rsidR="006C1462" w:rsidRPr="00A52AB8">
        <w:rPr>
          <w:color w:val="000000" w:themeColor="text1"/>
        </w:rPr>
        <w:t>, inclusive.</w:t>
      </w:r>
    </w:p>
    <w:p w14:paraId="324A8C50" w14:textId="7AF28331" w:rsidR="0050235C" w:rsidRPr="00A52AB8" w:rsidRDefault="00707920">
      <w:pPr>
        <w:rPr>
          <w:color w:val="000000" w:themeColor="text1"/>
        </w:rPr>
      </w:pPr>
      <w:r w:rsidRPr="00A52AB8">
        <w:rPr>
          <w:b/>
          <w:color w:val="000000" w:themeColor="text1"/>
        </w:rPr>
        <w:t>vuh_map_index</w:t>
      </w:r>
      <w:r w:rsidR="004B642C" w:rsidRPr="00A52AB8">
        <w:rPr>
          <w:color w:val="000000" w:themeColor="text1"/>
        </w:rPr>
        <w:t xml:space="preserve"> </w:t>
      </w:r>
      <w:r w:rsidR="005B785A" w:rsidRPr="00A52AB8">
        <w:rPr>
          <w:color w:val="000000" w:themeColor="text1"/>
        </w:rPr>
        <w:t xml:space="preserve">when present, indicates the </w:t>
      </w:r>
      <w:r w:rsidR="00151346" w:rsidRPr="00A52AB8">
        <w:rPr>
          <w:color w:val="000000" w:themeColor="text1"/>
        </w:rPr>
        <w:t xml:space="preserve">map </w:t>
      </w:r>
      <w:r w:rsidR="005B785A" w:rsidRPr="00A52AB8">
        <w:rPr>
          <w:color w:val="000000" w:themeColor="text1"/>
        </w:rPr>
        <w:t xml:space="preserve">index of the current geometry or attribute stream. When not present, the </w:t>
      </w:r>
      <w:r w:rsidR="00151346" w:rsidRPr="00A52AB8">
        <w:rPr>
          <w:color w:val="000000" w:themeColor="text1"/>
        </w:rPr>
        <w:t xml:space="preserve">map </w:t>
      </w:r>
      <w:r w:rsidR="005B785A" w:rsidRPr="00A52AB8">
        <w:rPr>
          <w:color w:val="000000" w:themeColor="text1"/>
        </w:rPr>
        <w:t xml:space="preserve">index of the current geometry or attribute </w:t>
      </w:r>
      <w:r w:rsidR="008F5065" w:rsidRPr="00A52AB8">
        <w:rPr>
          <w:color w:val="000000" w:themeColor="text1"/>
        </w:rPr>
        <w:t>sub-bit</w:t>
      </w:r>
      <w:r w:rsidR="005B785A" w:rsidRPr="00A52AB8">
        <w:rPr>
          <w:color w:val="000000" w:themeColor="text1"/>
        </w:rPr>
        <w:t xml:space="preserve">stream is derived based on the type of the </w:t>
      </w:r>
      <w:r w:rsidR="008F5065" w:rsidRPr="00A52AB8">
        <w:rPr>
          <w:color w:val="000000" w:themeColor="text1"/>
        </w:rPr>
        <w:t xml:space="preserve">sub-bitstream </w:t>
      </w:r>
      <w:r w:rsidR="005B785A" w:rsidRPr="00A52AB8">
        <w:rPr>
          <w:color w:val="000000" w:themeColor="text1"/>
        </w:rPr>
        <w:t xml:space="preserve">and the operations described in </w:t>
      </w:r>
      <w:r w:rsidR="0098609C" w:rsidRPr="00A52AB8">
        <w:rPr>
          <w:color w:val="000000" w:themeColor="text1"/>
        </w:rPr>
        <w:t>sub</w:t>
      </w:r>
      <w:r w:rsidR="002114FE" w:rsidRPr="00A52AB8">
        <w:rPr>
          <w:color w:val="000000" w:themeColor="text1"/>
        </w:rPr>
        <w:t>clause</w:t>
      </w:r>
      <w:r w:rsidR="005B785A" w:rsidRPr="00A52AB8">
        <w:rPr>
          <w:color w:val="000000" w:themeColor="text1"/>
        </w:rPr>
        <w:t xml:space="preserve">s </w:t>
      </w:r>
      <w:r w:rsidR="00D46D9D" w:rsidRPr="00496A4D">
        <w:rPr>
          <w:color w:val="000000" w:themeColor="text1"/>
        </w:rPr>
        <w:fldChar w:fldCharType="begin"/>
      </w:r>
      <w:r w:rsidR="00D46D9D" w:rsidRPr="00A52AB8">
        <w:rPr>
          <w:color w:val="000000" w:themeColor="text1"/>
        </w:rPr>
        <w:instrText xml:space="preserve"> REF _Ref38443293 \r \h </w:instrText>
      </w:r>
      <w:r w:rsidR="00CA5401" w:rsidRPr="00A52AB8">
        <w:rPr>
          <w:color w:val="000000" w:themeColor="text1"/>
        </w:rPr>
        <w:instrText xml:space="preserve"> \* MERGEFORMAT </w:instrText>
      </w:r>
      <w:r w:rsidR="00D46D9D" w:rsidRPr="00496A4D">
        <w:rPr>
          <w:color w:val="000000" w:themeColor="text1"/>
        </w:rPr>
      </w:r>
      <w:r w:rsidR="00D46D9D" w:rsidRPr="00496A4D">
        <w:rPr>
          <w:color w:val="000000" w:themeColor="text1"/>
        </w:rPr>
        <w:fldChar w:fldCharType="separate"/>
      </w:r>
      <w:r w:rsidR="00507A67">
        <w:rPr>
          <w:color w:val="000000" w:themeColor="text1"/>
        </w:rPr>
        <w:t>9.4</w:t>
      </w:r>
      <w:r w:rsidR="00D46D9D" w:rsidRPr="00496A4D">
        <w:rPr>
          <w:color w:val="000000" w:themeColor="text1"/>
        </w:rPr>
        <w:fldChar w:fldCharType="end"/>
      </w:r>
      <w:r w:rsidR="005B785A" w:rsidRPr="00A52AB8">
        <w:rPr>
          <w:color w:val="000000" w:themeColor="text1"/>
        </w:rPr>
        <w:t xml:space="preserve"> and </w:t>
      </w:r>
      <w:r w:rsidR="00D46D9D" w:rsidRPr="00496A4D">
        <w:rPr>
          <w:color w:val="000000" w:themeColor="text1"/>
        </w:rPr>
        <w:fldChar w:fldCharType="begin"/>
      </w:r>
      <w:r w:rsidR="00D46D9D" w:rsidRPr="00A52AB8">
        <w:rPr>
          <w:color w:val="000000" w:themeColor="text1"/>
        </w:rPr>
        <w:instrText xml:space="preserve"> REF _Ref38443294 \r \h </w:instrText>
      </w:r>
      <w:r w:rsidR="00CA5401" w:rsidRPr="00A52AB8">
        <w:rPr>
          <w:color w:val="000000" w:themeColor="text1"/>
        </w:rPr>
        <w:instrText xml:space="preserve"> \* MERGEFORMAT </w:instrText>
      </w:r>
      <w:r w:rsidR="00D46D9D" w:rsidRPr="00496A4D">
        <w:rPr>
          <w:color w:val="000000" w:themeColor="text1"/>
        </w:rPr>
      </w:r>
      <w:r w:rsidR="00D46D9D" w:rsidRPr="00496A4D">
        <w:rPr>
          <w:color w:val="000000" w:themeColor="text1"/>
        </w:rPr>
        <w:fldChar w:fldCharType="separate"/>
      </w:r>
      <w:r w:rsidR="00507A67">
        <w:rPr>
          <w:color w:val="000000" w:themeColor="text1"/>
        </w:rPr>
        <w:t>9.5</w:t>
      </w:r>
      <w:r w:rsidR="00D46D9D" w:rsidRPr="00496A4D">
        <w:rPr>
          <w:color w:val="000000" w:themeColor="text1"/>
        </w:rPr>
        <w:fldChar w:fldCharType="end"/>
      </w:r>
      <w:r w:rsidR="005B785A" w:rsidRPr="00A52AB8">
        <w:rPr>
          <w:color w:val="000000" w:themeColor="text1"/>
        </w:rPr>
        <w:t xml:space="preserve"> for geometry and attribute video </w:t>
      </w:r>
      <w:r w:rsidR="00D612C5" w:rsidRPr="00A52AB8">
        <w:rPr>
          <w:color w:val="000000" w:themeColor="text1"/>
        </w:rPr>
        <w:t>sub-bit</w:t>
      </w:r>
      <w:r w:rsidR="005B785A" w:rsidRPr="00A52AB8">
        <w:rPr>
          <w:color w:val="000000" w:themeColor="text1"/>
        </w:rPr>
        <w:t xml:space="preserve">streams respectively. The value of </w:t>
      </w:r>
      <w:r w:rsidRPr="00A52AB8">
        <w:rPr>
          <w:color w:val="000000" w:themeColor="text1"/>
        </w:rPr>
        <w:t>vuh_map_index</w:t>
      </w:r>
      <w:r w:rsidR="005B785A" w:rsidRPr="00A52AB8">
        <w:rPr>
          <w:color w:val="000000" w:themeColor="text1"/>
        </w:rPr>
        <w:t xml:space="preserve">, when present, shall be in the range of 0 to </w:t>
      </w:r>
      <w:r w:rsidR="00A13222" w:rsidRPr="00A52AB8">
        <w:rPr>
          <w:color w:val="000000" w:themeColor="text1"/>
        </w:rPr>
        <w:t>vps_map_count_minus1</w:t>
      </w:r>
      <w:r w:rsidR="00496B95" w:rsidRPr="00A52AB8">
        <w:rPr>
          <w:color w:val="000000" w:themeColor="text1"/>
        </w:rPr>
        <w:t>[ </w:t>
      </w:r>
      <w:r w:rsidRPr="00A52AB8">
        <w:rPr>
          <w:color w:val="000000" w:themeColor="text1"/>
        </w:rPr>
        <w:t>vuh_atlas_id</w:t>
      </w:r>
      <w:r w:rsidR="00F70614" w:rsidRPr="00A52AB8">
        <w:rPr>
          <w:color w:val="000000" w:themeColor="text1"/>
        </w:rPr>
        <w:t> </w:t>
      </w:r>
      <w:r w:rsidR="00496B95" w:rsidRPr="00A52AB8">
        <w:rPr>
          <w:color w:val="000000" w:themeColor="text1"/>
        </w:rPr>
        <w:t>]</w:t>
      </w:r>
      <w:r w:rsidR="005B785A" w:rsidRPr="00A52AB8">
        <w:rPr>
          <w:color w:val="000000" w:themeColor="text1"/>
        </w:rPr>
        <w:t>, inclusive.</w:t>
      </w:r>
    </w:p>
    <w:p w14:paraId="1AC0B1E8" w14:textId="11B5D678" w:rsidR="0050235C" w:rsidRPr="00A52AB8" w:rsidRDefault="00707920">
      <w:pPr>
        <w:rPr>
          <w:color w:val="000000" w:themeColor="text1"/>
        </w:rPr>
      </w:pPr>
      <w:r w:rsidRPr="00A52AB8">
        <w:rPr>
          <w:b/>
          <w:color w:val="000000" w:themeColor="text1"/>
        </w:rPr>
        <w:t>vuh_</w:t>
      </w:r>
      <w:r w:rsidR="004A5D0A" w:rsidRPr="00A52AB8">
        <w:rPr>
          <w:b/>
          <w:color w:val="000000" w:themeColor="text1"/>
        </w:rPr>
        <w:t>auxiliary</w:t>
      </w:r>
      <w:r w:rsidRPr="00A52AB8">
        <w:rPr>
          <w:b/>
          <w:color w:val="000000" w:themeColor="text1"/>
        </w:rPr>
        <w:t>_video_flag</w:t>
      </w:r>
      <w:r w:rsidR="00A52C3F" w:rsidRPr="00A52AB8">
        <w:rPr>
          <w:color w:val="000000" w:themeColor="text1"/>
        </w:rPr>
        <w:t xml:space="preserve"> equal to 1 indicates that the associated geometry or attribute video data unit is a RAW </w:t>
      </w:r>
      <w:r w:rsidR="004A5D0A" w:rsidRPr="00A52AB8">
        <w:rPr>
          <w:color w:val="000000" w:themeColor="text1"/>
        </w:rPr>
        <w:t xml:space="preserve">and/or EOM </w:t>
      </w:r>
      <w:r w:rsidR="00A52C3F" w:rsidRPr="00A52AB8">
        <w:rPr>
          <w:color w:val="000000" w:themeColor="text1"/>
        </w:rPr>
        <w:t>coded points video only</w:t>
      </w:r>
      <w:r w:rsidR="00D612C5" w:rsidRPr="00A52AB8">
        <w:rPr>
          <w:color w:val="000000" w:themeColor="text1"/>
        </w:rPr>
        <w:t xml:space="preserve"> sub-bitstream</w:t>
      </w:r>
      <w:r w:rsidR="00A52C3F" w:rsidRPr="00A52AB8">
        <w:rPr>
          <w:color w:val="000000" w:themeColor="text1"/>
        </w:rPr>
        <w:t xml:space="preserve">. </w:t>
      </w:r>
      <w:r w:rsidRPr="00A52AB8">
        <w:rPr>
          <w:color w:val="000000" w:themeColor="text1"/>
        </w:rPr>
        <w:t>vuh_</w:t>
      </w:r>
      <w:r w:rsidR="004A5D0A" w:rsidRPr="00A52AB8">
        <w:rPr>
          <w:color w:val="000000" w:themeColor="text1"/>
        </w:rPr>
        <w:t>auxiliary</w:t>
      </w:r>
      <w:r w:rsidRPr="00A52AB8">
        <w:rPr>
          <w:color w:val="000000" w:themeColor="text1"/>
        </w:rPr>
        <w:t>_video_flag</w:t>
      </w:r>
      <w:r w:rsidR="00A52C3F" w:rsidRPr="00A52AB8">
        <w:rPr>
          <w:color w:val="000000" w:themeColor="text1"/>
        </w:rPr>
        <w:t xml:space="preserve"> equal to 0 indicates that the associated geometry or attribute video data unit may contain RAW</w:t>
      </w:r>
      <w:r w:rsidR="004A5D0A" w:rsidRPr="00A52AB8">
        <w:rPr>
          <w:color w:val="000000" w:themeColor="text1"/>
        </w:rPr>
        <w:t xml:space="preserve"> and/or</w:t>
      </w:r>
      <w:r w:rsidR="00A52C3F" w:rsidRPr="00A52AB8">
        <w:rPr>
          <w:color w:val="000000" w:themeColor="text1"/>
        </w:rPr>
        <w:t xml:space="preserve"> </w:t>
      </w:r>
      <w:r w:rsidR="004A5D0A" w:rsidRPr="00A52AB8">
        <w:rPr>
          <w:color w:val="000000" w:themeColor="text1"/>
        </w:rPr>
        <w:t xml:space="preserve">EOM </w:t>
      </w:r>
      <w:r w:rsidR="00A52C3F" w:rsidRPr="00A52AB8">
        <w:rPr>
          <w:color w:val="000000" w:themeColor="text1"/>
        </w:rPr>
        <w:t xml:space="preserve">coded points. When </w:t>
      </w:r>
      <w:r w:rsidRPr="00A52AB8">
        <w:rPr>
          <w:color w:val="000000" w:themeColor="text1"/>
        </w:rPr>
        <w:t>vuh_</w:t>
      </w:r>
      <w:r w:rsidR="004A5D0A" w:rsidRPr="00A52AB8">
        <w:rPr>
          <w:color w:val="000000" w:themeColor="text1"/>
        </w:rPr>
        <w:t>auxiliary</w:t>
      </w:r>
      <w:r w:rsidRPr="00A52AB8">
        <w:rPr>
          <w:color w:val="000000" w:themeColor="text1"/>
        </w:rPr>
        <w:t>_video_flag</w:t>
      </w:r>
      <w:r w:rsidR="00A52C3F" w:rsidRPr="00A52AB8">
        <w:rPr>
          <w:color w:val="000000" w:themeColor="text1"/>
        </w:rPr>
        <w:t xml:space="preserve"> is not present, its value shall be inferred to be equal to 0.</w:t>
      </w:r>
    </w:p>
    <w:p w14:paraId="3B48A3D1" w14:textId="70F5A4D0" w:rsidR="001D6ADF" w:rsidRPr="00A52AB8" w:rsidRDefault="00707920">
      <w:pPr>
        <w:rPr>
          <w:color w:val="000000" w:themeColor="text1"/>
        </w:rPr>
      </w:pPr>
      <w:r w:rsidRPr="00A52AB8">
        <w:rPr>
          <w:b/>
          <w:color w:val="000000" w:themeColor="text1"/>
        </w:rPr>
        <w:t>vuh_reserved_zero_12bits</w:t>
      </w:r>
      <w:r w:rsidR="001D6ADF" w:rsidRPr="00A52AB8">
        <w:rPr>
          <w:color w:val="000000" w:themeColor="text1"/>
        </w:rPr>
        <w:t xml:space="preserve">, when present, shall be equal to 0 in bitstreams conforming to this version of </w:t>
      </w:r>
      <w:r w:rsidR="001905CC" w:rsidRPr="00A52AB8">
        <w:rPr>
          <w:color w:val="000000" w:themeColor="text1"/>
        </w:rPr>
        <w:t>this document</w:t>
      </w:r>
      <w:r w:rsidR="001D6ADF" w:rsidRPr="00A52AB8">
        <w:rPr>
          <w:color w:val="000000" w:themeColor="text1"/>
        </w:rPr>
        <w:t xml:space="preserve">. Other values for </w:t>
      </w:r>
      <w:r w:rsidRPr="00A52AB8">
        <w:rPr>
          <w:color w:val="000000" w:themeColor="text1"/>
        </w:rPr>
        <w:t>vuh_reserved_zero_12bits</w:t>
      </w:r>
      <w:r w:rsidR="001D6ADF" w:rsidRPr="00A52AB8">
        <w:rPr>
          <w:color w:val="000000" w:themeColor="text1"/>
        </w:rPr>
        <w:t xml:space="preserve"> are reserved for future use by ISO/IEC. Decoders shall ignore the value of </w:t>
      </w:r>
      <w:r w:rsidRPr="00A52AB8">
        <w:rPr>
          <w:color w:val="000000" w:themeColor="text1"/>
        </w:rPr>
        <w:t>vuh_reserved_zero_12bits</w:t>
      </w:r>
      <w:r w:rsidR="001D6ADF" w:rsidRPr="00A52AB8">
        <w:rPr>
          <w:color w:val="000000" w:themeColor="text1"/>
        </w:rPr>
        <w:t>.</w:t>
      </w:r>
    </w:p>
    <w:p w14:paraId="6CC159B2" w14:textId="77777777" w:rsidR="00853346" w:rsidRPr="00A52AB8" w:rsidRDefault="00707920">
      <w:pPr>
        <w:rPr>
          <w:color w:val="000000" w:themeColor="text1"/>
        </w:rPr>
      </w:pPr>
      <w:r w:rsidRPr="00A52AB8">
        <w:rPr>
          <w:b/>
          <w:color w:val="000000" w:themeColor="text1"/>
        </w:rPr>
        <w:t>vuh_reserved_zero_17bits</w:t>
      </w:r>
      <w:r w:rsidR="004B642C" w:rsidRPr="00A52AB8">
        <w:rPr>
          <w:color w:val="000000" w:themeColor="text1"/>
        </w:rPr>
        <w:t xml:space="preserve">, when present, shall be equal to 0 in bitstreams conforming to this version of </w:t>
      </w:r>
      <w:r w:rsidR="001905CC" w:rsidRPr="00A52AB8">
        <w:rPr>
          <w:color w:val="000000" w:themeColor="text1"/>
        </w:rPr>
        <w:t>this document</w:t>
      </w:r>
      <w:r w:rsidR="004B642C" w:rsidRPr="00A52AB8">
        <w:rPr>
          <w:color w:val="000000" w:themeColor="text1"/>
        </w:rPr>
        <w:t xml:space="preserve">. Other values for </w:t>
      </w:r>
      <w:r w:rsidRPr="00A52AB8">
        <w:rPr>
          <w:color w:val="000000" w:themeColor="text1"/>
        </w:rPr>
        <w:t>vuh_reserved_zero_17bits</w:t>
      </w:r>
      <w:r w:rsidR="004B642C" w:rsidRPr="00A52AB8">
        <w:rPr>
          <w:color w:val="000000" w:themeColor="text1"/>
        </w:rPr>
        <w:t xml:space="preserve"> are reserved for future use by ISO/IEC. Decoders shall ignore the value of </w:t>
      </w:r>
      <w:r w:rsidRPr="00A52AB8">
        <w:rPr>
          <w:color w:val="000000" w:themeColor="text1"/>
        </w:rPr>
        <w:t>vuh_reserved_zero_17bits</w:t>
      </w:r>
      <w:r w:rsidR="004B642C" w:rsidRPr="00A52AB8">
        <w:rPr>
          <w:color w:val="000000" w:themeColor="text1"/>
        </w:rPr>
        <w:t>.</w:t>
      </w:r>
    </w:p>
    <w:p w14:paraId="3010D047" w14:textId="15E20EB7" w:rsidR="00251532" w:rsidRPr="00A52AB8" w:rsidRDefault="00251532" w:rsidP="00251532">
      <w:pPr>
        <w:rPr>
          <w:color w:val="000000" w:themeColor="text1"/>
        </w:rPr>
      </w:pPr>
      <w:r w:rsidRPr="00A52AB8">
        <w:rPr>
          <w:b/>
          <w:color w:val="000000" w:themeColor="text1"/>
        </w:rPr>
        <w:t>vuh_reserved_zero_23bits</w:t>
      </w:r>
      <w:r w:rsidRPr="00A52AB8">
        <w:rPr>
          <w:color w:val="000000" w:themeColor="text1"/>
        </w:rPr>
        <w:t>, when present, shall be equal to 0 in bitstreams conforming to this version of this document. Other values for vuh_reserved_zero_23bits are reserved for future use by ISO/IEC. Decoders shall ignore the value of vuh_reserved_zero_23bits.</w:t>
      </w:r>
    </w:p>
    <w:p w14:paraId="509AFA86" w14:textId="77777777" w:rsidR="004B642C" w:rsidRPr="00A52AB8" w:rsidRDefault="00707920">
      <w:pPr>
        <w:rPr>
          <w:color w:val="000000" w:themeColor="text1"/>
        </w:rPr>
      </w:pPr>
      <w:r w:rsidRPr="00A52AB8">
        <w:rPr>
          <w:b/>
          <w:color w:val="000000" w:themeColor="text1"/>
        </w:rPr>
        <w:t>vuh_reserved_zero_27bits</w:t>
      </w:r>
      <w:r w:rsidR="004B642C" w:rsidRPr="00A52AB8">
        <w:rPr>
          <w:color w:val="000000" w:themeColor="text1"/>
        </w:rPr>
        <w:t xml:space="preserve">, when present, shall be equal to 0 in bitstreams conforming to this version of </w:t>
      </w:r>
      <w:r w:rsidR="001905CC" w:rsidRPr="00A52AB8">
        <w:rPr>
          <w:color w:val="000000" w:themeColor="text1"/>
        </w:rPr>
        <w:t>this document</w:t>
      </w:r>
      <w:r w:rsidR="004B642C" w:rsidRPr="00A52AB8">
        <w:rPr>
          <w:color w:val="000000" w:themeColor="text1"/>
        </w:rPr>
        <w:t xml:space="preserve">. Other values for </w:t>
      </w:r>
      <w:r w:rsidRPr="00A52AB8">
        <w:rPr>
          <w:color w:val="000000" w:themeColor="text1"/>
        </w:rPr>
        <w:t>vuh_reserved_zero_27bits</w:t>
      </w:r>
      <w:r w:rsidR="004B642C" w:rsidRPr="00A52AB8">
        <w:rPr>
          <w:color w:val="000000" w:themeColor="text1"/>
        </w:rPr>
        <w:t xml:space="preserve"> are reserved for future use by ISO/IEC. Decoders shall ignore the value of </w:t>
      </w:r>
      <w:r w:rsidRPr="00A52AB8">
        <w:rPr>
          <w:color w:val="000000" w:themeColor="text1"/>
        </w:rPr>
        <w:t>vuh_reserved_zero_27bits</w:t>
      </w:r>
      <w:r w:rsidR="004B642C" w:rsidRPr="00A52AB8">
        <w:rPr>
          <w:color w:val="000000" w:themeColor="text1"/>
        </w:rPr>
        <w:t>.</w:t>
      </w:r>
    </w:p>
    <w:p w14:paraId="6489C011" w14:textId="77777777" w:rsidR="00894899" w:rsidRPr="00A52AB8" w:rsidRDefault="0073288B" w:rsidP="005C26E9">
      <w:pPr>
        <w:pStyle w:val="Heading4"/>
      </w:pPr>
      <w:bookmarkStart w:id="769" w:name="_Toc986605"/>
      <w:bookmarkStart w:id="770" w:name="_Toc1001146"/>
      <w:bookmarkStart w:id="771" w:name="_Toc1001683"/>
      <w:bookmarkStart w:id="772" w:name="_Toc1002497"/>
      <w:bookmarkStart w:id="773" w:name="_Toc1195734"/>
      <w:bookmarkStart w:id="774" w:name="_Toc1198754"/>
      <w:bookmarkStart w:id="775" w:name="_Toc1380411"/>
      <w:bookmarkStart w:id="776" w:name="_Toc1466777"/>
      <w:bookmarkStart w:id="777" w:name="_Toc1476750"/>
      <w:bookmarkStart w:id="778" w:name="_Toc1743150"/>
      <w:bookmarkStart w:id="779" w:name="_Toc1743695"/>
      <w:bookmarkEnd w:id="769"/>
      <w:bookmarkEnd w:id="770"/>
      <w:bookmarkEnd w:id="771"/>
      <w:bookmarkEnd w:id="772"/>
      <w:bookmarkEnd w:id="773"/>
      <w:bookmarkEnd w:id="774"/>
      <w:bookmarkEnd w:id="775"/>
      <w:bookmarkEnd w:id="776"/>
      <w:bookmarkEnd w:id="777"/>
      <w:bookmarkEnd w:id="778"/>
      <w:bookmarkEnd w:id="779"/>
      <w:r w:rsidRPr="00A52AB8">
        <w:t>V3C</w:t>
      </w:r>
      <w:r w:rsidR="00894899" w:rsidRPr="00A52AB8">
        <w:t xml:space="preserve"> unit payload semantics</w:t>
      </w:r>
    </w:p>
    <w:p w14:paraId="5B1E0BBB" w14:textId="77777777" w:rsidR="0050235C" w:rsidRPr="00A52AB8" w:rsidRDefault="00DC0BBB">
      <w:pPr>
        <w:rPr>
          <w:rFonts w:eastAsia="Times New Roman" w:cs="Calibri"/>
          <w:color w:val="000000"/>
          <w:lang w:eastAsia="en-GB"/>
        </w:rPr>
      </w:pPr>
      <w:r w:rsidRPr="00A52AB8">
        <w:rPr>
          <w:rFonts w:eastAsia="Times New Roman" w:cs="Calibri"/>
          <w:color w:val="000000"/>
          <w:lang w:eastAsia="en-GB"/>
        </w:rPr>
        <w:t>video_sub_bitstream(</w:t>
      </w:r>
      <w:r w:rsidR="0013278E" w:rsidRPr="00A52AB8">
        <w:rPr>
          <w:rFonts w:eastAsia="Times New Roman" w:cs="Calibri"/>
          <w:color w:val="000000"/>
          <w:lang w:eastAsia="en-GB"/>
        </w:rPr>
        <w:t> </w:t>
      </w:r>
      <w:r w:rsidR="00C065FF" w:rsidRPr="00A52AB8">
        <w:rPr>
          <w:color w:val="000000" w:themeColor="text1"/>
          <w:szCs w:val="28"/>
        </w:rPr>
        <w:t>numBytes </w:t>
      </w:r>
      <w:r w:rsidRPr="00A52AB8">
        <w:rPr>
          <w:rFonts w:eastAsia="Times New Roman" w:cs="Calibri"/>
          <w:color w:val="000000"/>
          <w:lang w:eastAsia="en-GB"/>
        </w:rPr>
        <w:t xml:space="preserve">) contains a </w:t>
      </w:r>
      <w:r w:rsidRPr="00A52AB8">
        <w:rPr>
          <w:rFonts w:eastAsia="Times New Roman" w:cs="Calibri"/>
          <w:lang w:eastAsia="en-GB"/>
        </w:rPr>
        <w:t>portion of</w:t>
      </w:r>
      <w:r w:rsidR="004A4C49" w:rsidRPr="00A52AB8">
        <w:rPr>
          <w:rFonts w:eastAsia="Times New Roman" w:cs="Calibri"/>
          <w:lang w:eastAsia="en-GB"/>
        </w:rPr>
        <w:t xml:space="preserve"> </w:t>
      </w:r>
      <w:r w:rsidRPr="00A52AB8">
        <w:rPr>
          <w:rFonts w:eastAsia="Times New Roman" w:cs="Calibri"/>
          <w:lang w:eastAsia="en-GB"/>
        </w:rPr>
        <w:t>a</w:t>
      </w:r>
      <w:r w:rsidR="004A4C49" w:rsidRPr="00A52AB8">
        <w:rPr>
          <w:rFonts w:eastAsia="Times New Roman" w:cs="Calibri"/>
          <w:lang w:eastAsia="en-GB"/>
        </w:rPr>
        <w:t xml:space="preserve"> </w:t>
      </w:r>
      <w:r w:rsidRPr="00A52AB8">
        <w:rPr>
          <w:rFonts w:eastAsia="Times New Roman" w:cs="Calibri"/>
          <w:lang w:eastAsia="en-GB"/>
        </w:rPr>
        <w:t xml:space="preserve">video </w:t>
      </w:r>
      <w:r w:rsidRPr="00A52AB8">
        <w:rPr>
          <w:rFonts w:eastAsia="Times New Roman" w:cs="Calibri"/>
          <w:color w:val="000000"/>
          <w:lang w:eastAsia="en-GB"/>
        </w:rPr>
        <w:t xml:space="preserve">unit stream </w:t>
      </w:r>
      <w:r w:rsidR="00FF3E49" w:rsidRPr="00A52AB8">
        <w:rPr>
          <w:rFonts w:eastAsia="Times New Roman" w:cs="Calibri"/>
          <w:color w:val="000000"/>
          <w:lang w:eastAsia="en-GB"/>
        </w:rPr>
        <w:t xml:space="preserve">of size numBytes </w:t>
      </w:r>
      <w:r w:rsidRPr="00A52AB8">
        <w:rPr>
          <w:rFonts w:eastAsia="Times New Roman" w:cs="Calibri"/>
          <w:color w:val="000000"/>
          <w:lang w:eastAsia="en-GB"/>
        </w:rPr>
        <w:t xml:space="preserve">as an ordered stream of bytes or bits within which the locations of unit boundaries are identifiable from </w:t>
      </w:r>
      <w:r w:rsidRPr="00A52AB8">
        <w:rPr>
          <w:rFonts w:eastAsia="Times New Roman" w:cs="Calibri"/>
          <w:color w:val="000000"/>
          <w:lang w:eastAsia="en-GB"/>
        </w:rPr>
        <w:lastRenderedPageBreak/>
        <w:t xml:space="preserve">patterns in the data. The format of such video unit stream is identified </w:t>
      </w:r>
      <w:r w:rsidRPr="00A52AB8">
        <w:rPr>
          <w:rFonts w:eastAsia="Times New Roman" w:cs="Calibri"/>
          <w:color w:val="000000" w:themeColor="text1"/>
          <w:lang w:eastAsia="en-GB"/>
        </w:rPr>
        <w:t xml:space="preserve">by a </w:t>
      </w:r>
      <w:r w:rsidRPr="00A52AB8">
        <w:rPr>
          <w:rFonts w:eastAsia="Times New Roman" w:cs="Calibri"/>
          <w:color w:val="000000"/>
          <w:lang w:eastAsia="en-GB"/>
        </w:rPr>
        <w:t>4CC code as defined by ptl_</w:t>
      </w:r>
      <w:r w:rsidR="002B1F33" w:rsidRPr="00A52AB8">
        <w:rPr>
          <w:rFonts w:eastAsia="Times New Roman" w:cs="Calibri"/>
          <w:color w:val="000000"/>
          <w:lang w:eastAsia="en-GB"/>
        </w:rPr>
        <w:t>profile_</w:t>
      </w:r>
      <w:r w:rsidRPr="00A52AB8">
        <w:rPr>
          <w:rFonts w:eastAsia="Times New Roman" w:cs="Calibri"/>
          <w:color w:val="000000"/>
          <w:lang w:eastAsia="en-GB"/>
        </w:rPr>
        <w:t>codec_group_idc or by a component codec mapping SEI message.</w:t>
      </w:r>
    </w:p>
    <w:p w14:paraId="1CE358C9" w14:textId="5328F86F" w:rsidR="00FF3E49" w:rsidRPr="00A52AB8" w:rsidRDefault="00FF3E49" w:rsidP="00FF3E49">
      <w:pPr>
        <w:pStyle w:val="Heading4"/>
      </w:pPr>
      <w:r w:rsidRPr="00A52AB8">
        <w:t>Atlas sub-bi</w:t>
      </w:r>
      <w:r w:rsidR="00F52217" w:rsidRPr="00A52AB8">
        <w:t>t</w:t>
      </w:r>
      <w:r w:rsidRPr="00A52AB8">
        <w:t>stream semantics</w:t>
      </w:r>
    </w:p>
    <w:p w14:paraId="7BBB7698" w14:textId="44A40213" w:rsidR="0050235C" w:rsidRPr="00A52AB8" w:rsidRDefault="00FF3E49" w:rsidP="00007BE2">
      <w:pPr>
        <w:rPr>
          <w:rFonts w:eastAsia="Times New Roman" w:cs="Calibri"/>
          <w:color w:val="000000"/>
          <w:lang w:eastAsia="en-GB"/>
        </w:rPr>
      </w:pPr>
      <w:r w:rsidRPr="00A52AB8">
        <w:rPr>
          <w:rFonts w:eastAsia="Times New Roman" w:cs="Calibri"/>
          <w:color w:val="000000"/>
          <w:lang w:eastAsia="en-GB"/>
        </w:rPr>
        <w:t>atlas_sub_bitstream( </w:t>
      </w:r>
      <w:r w:rsidRPr="00A52AB8">
        <w:rPr>
          <w:color w:val="000000" w:themeColor="text1"/>
          <w:szCs w:val="28"/>
        </w:rPr>
        <w:t>numBytes</w:t>
      </w:r>
      <w:r w:rsidRPr="00A52AB8">
        <w:rPr>
          <w:color w:val="000000" w:themeColor="text1"/>
          <w:sz w:val="20"/>
        </w:rPr>
        <w:t> </w:t>
      </w:r>
      <w:r w:rsidRPr="00A52AB8">
        <w:rPr>
          <w:rFonts w:eastAsia="Times New Roman" w:cs="Calibri"/>
          <w:color w:val="000000"/>
          <w:lang w:eastAsia="en-GB"/>
        </w:rPr>
        <w:t xml:space="preserve">) contains a portion of an atlas NAL unit stream of size numBytes as an ordered stream of bytes or bits within which the locations of atlas NAL unit boundaries are identifiable from patterns in the data. The format of such atlas NAL unit stream is defined in </w:t>
      </w:r>
      <w:r w:rsidRPr="00496A4D">
        <w:rPr>
          <w:rFonts w:eastAsia="Times New Roman" w:cs="Calibri"/>
          <w:color w:val="000000"/>
          <w:lang w:eastAsia="en-GB"/>
        </w:rPr>
        <w:fldChar w:fldCharType="begin"/>
      </w:r>
      <w:r w:rsidRPr="00A52AB8">
        <w:rPr>
          <w:rFonts w:eastAsia="Times New Roman" w:cs="Calibri"/>
          <w:color w:val="000000"/>
          <w:lang w:eastAsia="en-GB"/>
        </w:rPr>
        <w:instrText xml:space="preserve"> REF _Ref38894988 \r \h  \* MERGEFORMAT </w:instrText>
      </w:r>
      <w:r w:rsidRPr="00496A4D">
        <w:rPr>
          <w:rFonts w:eastAsia="Times New Roman" w:cs="Calibri"/>
          <w:color w:val="000000"/>
          <w:lang w:eastAsia="en-GB"/>
        </w:rPr>
      </w:r>
      <w:r w:rsidRPr="00496A4D">
        <w:rPr>
          <w:rFonts w:eastAsia="Times New Roman" w:cs="Calibri"/>
          <w:color w:val="000000"/>
          <w:lang w:eastAsia="en-GB"/>
        </w:rPr>
        <w:fldChar w:fldCharType="separate"/>
      </w:r>
      <w:r w:rsidR="00507A67">
        <w:rPr>
          <w:rFonts w:eastAsia="Times New Roman" w:cs="Calibri"/>
          <w:color w:val="000000"/>
          <w:lang w:eastAsia="en-GB"/>
        </w:rPr>
        <w:t>Annex D</w:t>
      </w:r>
      <w:r w:rsidRPr="00496A4D">
        <w:rPr>
          <w:rFonts w:eastAsia="Times New Roman" w:cs="Calibri"/>
          <w:color w:val="000000"/>
          <w:lang w:eastAsia="en-GB"/>
        </w:rPr>
        <w:fldChar w:fldCharType="end"/>
      </w:r>
      <w:r w:rsidRPr="00A52AB8">
        <w:rPr>
          <w:rFonts w:eastAsia="Times New Roman" w:cs="Calibri"/>
          <w:color w:val="000000"/>
          <w:lang w:eastAsia="en-GB"/>
        </w:rPr>
        <w:t>.</w:t>
      </w:r>
    </w:p>
    <w:p w14:paraId="411B04FB" w14:textId="2AB4F8D9" w:rsidR="00EE4E04" w:rsidRPr="00A52AB8" w:rsidRDefault="00EE4E04" w:rsidP="005C26E9">
      <w:pPr>
        <w:pStyle w:val="Heading4"/>
      </w:pPr>
      <w:r w:rsidRPr="00A52AB8">
        <w:t xml:space="preserve">Order of </w:t>
      </w:r>
      <w:r w:rsidR="0073288B" w:rsidRPr="00A52AB8">
        <w:t>V3C</w:t>
      </w:r>
      <w:r w:rsidRPr="00A52AB8">
        <w:t xml:space="preserve"> units and association to coded information</w:t>
      </w:r>
    </w:p>
    <w:p w14:paraId="449AF211" w14:textId="77777777" w:rsidR="00063754" w:rsidRPr="00A52AB8" w:rsidRDefault="00063754" w:rsidP="00792CFF">
      <w:pPr>
        <w:pStyle w:val="Heading5"/>
      </w:pPr>
      <w:r w:rsidRPr="00A52AB8">
        <w:t>General</w:t>
      </w:r>
    </w:p>
    <w:p w14:paraId="07454AB3" w14:textId="77777777" w:rsidR="00EB44BF" w:rsidRPr="00A52AB8" w:rsidRDefault="00EB44BF">
      <w:r w:rsidRPr="00A52AB8">
        <w:t>This subclause specifies constraints on the order of V3C units in the bitstream.</w:t>
      </w:r>
    </w:p>
    <w:p w14:paraId="084F6450" w14:textId="77777777" w:rsidR="00E449D5" w:rsidRPr="00A52AB8" w:rsidRDefault="00E449D5" w:rsidP="00E449D5">
      <w:pPr>
        <w:pStyle w:val="Heading5"/>
      </w:pPr>
      <w:r w:rsidRPr="00A52AB8">
        <w:t>Order of VPSs and their activation</w:t>
      </w:r>
    </w:p>
    <w:p w14:paraId="68C7F5C6" w14:textId="77777777" w:rsidR="00FB20E7" w:rsidRPr="00A52AB8" w:rsidRDefault="00FB20E7" w:rsidP="00FB20E7">
      <w:r w:rsidRPr="00A52AB8">
        <w:t>This subclause specifies the activation process of V3C parameter sets (VPSs)</w:t>
      </w:r>
    </w:p>
    <w:p w14:paraId="5A2CAD48" w14:textId="77777777" w:rsidR="00FB20E7" w:rsidRPr="00A52AB8" w:rsidRDefault="00FB20E7" w:rsidP="00FB20E7">
      <w:pPr>
        <w:pStyle w:val="Note1"/>
        <w:rPr>
          <w:rFonts w:ascii="Cambria" w:hAnsi="Cambria"/>
        </w:rPr>
      </w:pPr>
      <w:r w:rsidRPr="00A52AB8">
        <w:rPr>
          <w:rFonts w:ascii="Cambria" w:hAnsi="Cambria"/>
        </w:rPr>
        <w:t>NOTE – The VPS mechanism decouples the transmission of infrequently changing information from the transmission of V3C units. VPSs can, in some applications, be conveyed "out-of-band".</w:t>
      </w:r>
    </w:p>
    <w:p w14:paraId="7F0082C3" w14:textId="77777777" w:rsidR="00FB20E7" w:rsidRPr="00A52AB8" w:rsidRDefault="00FB20E7" w:rsidP="00FB20E7">
      <w:pPr>
        <w:numPr>
          <w:ilvl w:val="12"/>
          <w:numId w:val="0"/>
        </w:numPr>
      </w:pPr>
      <w:r w:rsidRPr="00A52AB8">
        <w:t>A VPS includes parameters that can be referred to by one or more V3C units and their associated vuh_v3c_parameter_set_id. Each VPS is initially considered not active at the start of the operation of the decoding process. At most, one VPS is considered active at any given moment during the operation of the decoding process and the activation of any particular VPS results in the deactivation of the previously</w:t>
      </w:r>
      <w:r w:rsidR="00F37FD9" w:rsidRPr="00A52AB8">
        <w:t xml:space="preserve"> </w:t>
      </w:r>
      <w:r w:rsidRPr="00A52AB8">
        <w:t>active VPS.</w:t>
      </w:r>
    </w:p>
    <w:p w14:paraId="51A56A5A" w14:textId="77777777" w:rsidR="00FB20E7" w:rsidRPr="00A52AB8" w:rsidRDefault="00FB20E7" w:rsidP="00FB20E7">
      <w:pPr>
        <w:numPr>
          <w:ilvl w:val="12"/>
          <w:numId w:val="0"/>
        </w:numPr>
      </w:pPr>
      <w:r w:rsidRPr="00A52AB8">
        <w:t xml:space="preserve">When a VPS (with a particular value of vps_v3c_parameter_set_id) is not already active for a particular V3C unit and it is referred to by a V3C unit (in which the associated vuh_v3c_parameter_set_id is equal to vps_v3c_parameter_set_id), it is activated for the particular V3C unit. This VPS is called the active VPS for the particular V3C unit until it is deactivated by the activation of another VPS. A VPS, with that particular value of vps_v3c_parameter_set_id, shall be available to the decoding process prior to its activation, included in at least one V3C unit or provided through external means. An activated VPS shall remain active for the entire </w:t>
      </w:r>
      <w:r w:rsidRPr="00A52AB8">
        <w:rPr>
          <w:bCs/>
        </w:rPr>
        <w:t>coded V3C sequence</w:t>
      </w:r>
      <w:r w:rsidRPr="00A52AB8">
        <w:t xml:space="preserve"> (CVS). The activation of a new VPS starts a new CVS.</w:t>
      </w:r>
    </w:p>
    <w:p w14:paraId="51EDCDBE" w14:textId="77777777" w:rsidR="00FB20E7" w:rsidRPr="00A52AB8" w:rsidRDefault="00FB20E7" w:rsidP="00FB20E7">
      <w:r w:rsidRPr="00A52AB8">
        <w:t>All constraints that are expressed on the relationship between the values of the syntax elements and the values of variables derived from those syntax elements in VPSs and other syntax elements are expressions of constraints that apply only to the active VPS. If any VPS is present that is never activated in the bitstream, its syntax elements shall have values that would conform to the specified constraints if it was activated by reference in an otherwise conforming bitstream.</w:t>
      </w:r>
    </w:p>
    <w:p w14:paraId="5AAF4C1B" w14:textId="3EA20E83" w:rsidR="0050235C" w:rsidRPr="00A52AB8" w:rsidRDefault="00FB20E7" w:rsidP="00792CFF">
      <w:r w:rsidRPr="00A52AB8">
        <w:t xml:space="preserve">During operation of the decoding process (see </w:t>
      </w:r>
      <w:r w:rsidR="0087316C" w:rsidRPr="00A52AB8">
        <w:t>C</w:t>
      </w:r>
      <w:r w:rsidRPr="00A52AB8">
        <w:t>lause </w:t>
      </w:r>
      <w:r w:rsidRPr="00496A4D">
        <w:fldChar w:fldCharType="begin"/>
      </w:r>
      <w:r w:rsidRPr="00A52AB8">
        <w:instrText xml:space="preserve"> REF _Ref389779808 \n \h  \* MERGEFORMAT </w:instrText>
      </w:r>
      <w:r w:rsidRPr="00496A4D">
        <w:fldChar w:fldCharType="separate"/>
      </w:r>
      <w:r w:rsidR="00507A67">
        <w:t>9</w:t>
      </w:r>
      <w:r w:rsidRPr="00496A4D">
        <w:fldChar w:fldCharType="end"/>
      </w:r>
      <w:r w:rsidRPr="00A52AB8">
        <w:t>), the values of parameters of the active VPS are considered in effect.</w:t>
      </w:r>
    </w:p>
    <w:p w14:paraId="760C252F" w14:textId="61C19649" w:rsidR="002B1B50" w:rsidRPr="00A52AB8" w:rsidRDefault="001B5F70" w:rsidP="001B5F70">
      <w:pPr>
        <w:pStyle w:val="Heading5"/>
      </w:pPr>
      <w:bookmarkStart w:id="780" w:name="_Ref41393257"/>
      <w:r w:rsidRPr="00A52AB8">
        <w:t>Order of V3C units and association to CVSs</w:t>
      </w:r>
      <w:bookmarkEnd w:id="780"/>
    </w:p>
    <w:p w14:paraId="7937B489" w14:textId="7D854CFB" w:rsidR="00DC2610" w:rsidRPr="00A52AB8" w:rsidRDefault="003341EF" w:rsidP="003341EF">
      <w:r w:rsidRPr="00A52AB8">
        <w:t>A V3C bitstream conforming to this document consists of one or more CVSs.</w:t>
      </w:r>
      <w:r w:rsidR="001C70F6" w:rsidRPr="00A52AB8">
        <w:rPr>
          <w:lang w:eastAsia="ja-JP"/>
        </w:rPr>
        <w:t xml:space="preserve"> </w:t>
      </w:r>
      <w:r w:rsidR="00F27359" w:rsidRPr="00A52AB8">
        <w:t xml:space="preserve">A CVS starts </w:t>
      </w:r>
      <w:r w:rsidR="006C4112" w:rsidRPr="00A52AB8">
        <w:rPr>
          <w:rFonts w:eastAsia="Times New Roman"/>
        </w:rPr>
        <w:t xml:space="preserve">with a VPS, </w:t>
      </w:r>
      <w:r w:rsidR="006C4112" w:rsidRPr="00A52AB8">
        <w:t>included in at least one V3C unit or provided through external means</w:t>
      </w:r>
      <w:r w:rsidR="006C4112" w:rsidRPr="00A52AB8">
        <w:rPr>
          <w:lang w:eastAsia="ja-JP"/>
        </w:rPr>
        <w:t>, and contains</w:t>
      </w:r>
      <w:r w:rsidR="006C4112" w:rsidRPr="00A52AB8">
        <w:t xml:space="preserve"> one or more V3C units that can be factored into V3C composition units. The</w:t>
      </w:r>
      <w:r w:rsidR="006C4112" w:rsidRPr="00A52AB8">
        <w:rPr>
          <w:rFonts w:eastAsia="Times New Roman"/>
        </w:rPr>
        <w:t xml:space="preserve"> first V3C composition unit in a CVS shall be an IRAP composition unit.</w:t>
      </w:r>
    </w:p>
    <w:p w14:paraId="5C5735DD" w14:textId="215BF980" w:rsidR="009E2EC4" w:rsidRPr="00A52AB8" w:rsidRDefault="009E2EC4" w:rsidP="003341EF">
      <w:r w:rsidRPr="00A52AB8">
        <w:t xml:space="preserve">A </w:t>
      </w:r>
      <w:r w:rsidR="00907D65" w:rsidRPr="00A52AB8">
        <w:t>CVS</w:t>
      </w:r>
      <w:r w:rsidRPr="00A52AB8">
        <w:t xml:space="preserve"> consists of multiple V3C sub-bitstreams, with each V3C sub-bitstream </w:t>
      </w:r>
      <w:r w:rsidR="00907D65" w:rsidRPr="00A52AB8">
        <w:t>associated with</w:t>
      </w:r>
      <w:r w:rsidRPr="00A52AB8">
        <w:t xml:space="preserve"> a V3C component. </w:t>
      </w:r>
      <w:r w:rsidR="00907D65" w:rsidRPr="00A52AB8">
        <w:t xml:space="preserve">For each component, its first corresponding V3C sub-bitstream </w:t>
      </w:r>
      <w:r w:rsidRPr="00A52AB8">
        <w:t>shall start with a corresponding IRAP sub-bitstream unit.</w:t>
      </w:r>
    </w:p>
    <w:p w14:paraId="674E998E" w14:textId="63ED6A84" w:rsidR="0050235C" w:rsidRPr="00A52AB8" w:rsidRDefault="00BF32E6" w:rsidP="003341EF">
      <w:r w:rsidRPr="00A52AB8">
        <w:lastRenderedPageBreak/>
        <w:t>For atlas sub-bitstreams the IRAP sub-bitstream unit cor</w:t>
      </w:r>
      <w:r w:rsidR="00C175F4" w:rsidRPr="00A52AB8">
        <w:t>r</w:t>
      </w:r>
      <w:r w:rsidRPr="00A52AB8">
        <w:t xml:space="preserve">esponds to </w:t>
      </w:r>
      <w:r w:rsidR="00DD7AC8" w:rsidRPr="00A52AB8">
        <w:t xml:space="preserve">a </w:t>
      </w:r>
      <w:r w:rsidRPr="00A52AB8">
        <w:t>coded atlas access unit for which each ACL NAL has nal_unit_type in the range of NAL_GBLA_W_LP to NAL_GBLA_N_LP, or is in the range of NAL_GIDR_W_RADL to NAL_GIDR_N_LP, or is equal to NAL_GCRA, inclusive.</w:t>
      </w:r>
    </w:p>
    <w:p w14:paraId="28C81069" w14:textId="261C35B4" w:rsidR="00BF32E6" w:rsidRPr="00A52AB8" w:rsidRDefault="00BF32E6" w:rsidP="003341EF">
      <w:r w:rsidRPr="00A52AB8">
        <w:t>For video sub-bitstreams</w:t>
      </w:r>
      <w:r w:rsidR="00DD7AC8" w:rsidRPr="00A52AB8">
        <w:t>,</w:t>
      </w:r>
      <w:r w:rsidRPr="00A52AB8">
        <w:t xml:space="preserve"> the IRAP sub-bitstream unit is defined by the respective video specification and it is outside the scope of this document. </w:t>
      </w:r>
      <w:r w:rsidR="00F43FDC" w:rsidRPr="00A52AB8">
        <w:t>For example, for ISO/IEC 14496-10 an IRAP sub-bitstream unit can be an IDR or a CRA access unit as defined in that document.</w:t>
      </w:r>
    </w:p>
    <w:p w14:paraId="1E2A6550" w14:textId="77777777" w:rsidR="001C70F6" w:rsidRPr="00A52AB8" w:rsidRDefault="001C70F6" w:rsidP="001C70F6">
      <w:pPr>
        <w:rPr>
          <w:lang w:eastAsia="ja-JP"/>
        </w:rPr>
      </w:pPr>
      <w:r w:rsidRPr="00A52AB8">
        <w:rPr>
          <w:lang w:eastAsia="ja-JP"/>
        </w:rPr>
        <w:t xml:space="preserve">V3C units with </w:t>
      </w:r>
      <w:r w:rsidRPr="00A52AB8">
        <w:rPr>
          <w:color w:val="000000" w:themeColor="text1"/>
          <w:lang w:eastAsia="ja-JP"/>
        </w:rPr>
        <w:t>different V3C unit headers may be decoded in parallel. V3C units with the same V3C unit headers can be decoded as if the associated sub-bitstreams are concatenated in the order received.</w:t>
      </w:r>
    </w:p>
    <w:p w14:paraId="5B7D6762" w14:textId="77777777" w:rsidR="002B1B50" w:rsidRPr="00A52AB8" w:rsidRDefault="001C70F6">
      <w:pPr>
        <w:rPr>
          <w:lang w:eastAsia="ja-JP"/>
        </w:rPr>
      </w:pPr>
      <w:r w:rsidRPr="00A52AB8">
        <w:rPr>
          <w:lang w:eastAsia="ja-JP"/>
        </w:rPr>
        <w:t>A V3C bitstream in general contains multiple sub</w:t>
      </w:r>
      <w:r w:rsidR="00EF0F1C" w:rsidRPr="00A52AB8">
        <w:rPr>
          <w:lang w:eastAsia="ja-JP"/>
        </w:rPr>
        <w:t>-</w:t>
      </w:r>
      <w:r w:rsidRPr="00A52AB8">
        <w:rPr>
          <w:lang w:eastAsia="ja-JP"/>
        </w:rPr>
        <w:t>bitstreams. Each sub</w:t>
      </w:r>
      <w:r w:rsidR="00EF0F1C" w:rsidRPr="00A52AB8">
        <w:rPr>
          <w:lang w:eastAsia="ja-JP"/>
        </w:rPr>
        <w:t>-</w:t>
      </w:r>
      <w:r w:rsidRPr="00A52AB8">
        <w:rPr>
          <w:lang w:eastAsia="ja-JP"/>
        </w:rPr>
        <w:t xml:space="preserve">bitstream is partitioned into sub-bitstream </w:t>
      </w:r>
      <w:r w:rsidR="002C54A6" w:rsidRPr="00A52AB8">
        <w:rPr>
          <w:lang w:eastAsia="ja-JP"/>
        </w:rPr>
        <w:t>composition</w:t>
      </w:r>
      <w:r w:rsidRPr="00A52AB8">
        <w:rPr>
          <w:lang w:eastAsia="ja-JP"/>
        </w:rPr>
        <w:t xml:space="preserve"> units.</w:t>
      </w:r>
    </w:p>
    <w:p w14:paraId="74F3F2B7" w14:textId="03C960FE" w:rsidR="00F05994" w:rsidRPr="00A52AB8" w:rsidRDefault="00F05994">
      <w:pPr>
        <w:pStyle w:val="Heading3"/>
      </w:pPr>
      <w:bookmarkStart w:id="781" w:name="_Toc986667"/>
      <w:bookmarkStart w:id="782" w:name="_Toc1001208"/>
      <w:bookmarkStart w:id="783" w:name="_Toc1001745"/>
      <w:bookmarkStart w:id="784" w:name="_Toc1002559"/>
      <w:bookmarkStart w:id="785" w:name="_Toc1195796"/>
      <w:bookmarkStart w:id="786" w:name="_Toc1198816"/>
      <w:bookmarkStart w:id="787" w:name="_Toc1380473"/>
      <w:bookmarkStart w:id="788" w:name="_Toc1466839"/>
      <w:bookmarkStart w:id="789" w:name="_Toc1476812"/>
      <w:bookmarkStart w:id="790" w:name="_Toc1743212"/>
      <w:bookmarkStart w:id="791" w:name="_Toc1743757"/>
      <w:bookmarkStart w:id="792" w:name="_Ref38315363"/>
      <w:bookmarkStart w:id="793" w:name="_Toc52181614"/>
      <w:bookmarkEnd w:id="781"/>
      <w:bookmarkEnd w:id="782"/>
      <w:bookmarkEnd w:id="783"/>
      <w:bookmarkEnd w:id="784"/>
      <w:bookmarkEnd w:id="785"/>
      <w:bookmarkEnd w:id="786"/>
      <w:bookmarkEnd w:id="787"/>
      <w:bookmarkEnd w:id="788"/>
      <w:bookmarkEnd w:id="789"/>
      <w:bookmarkEnd w:id="790"/>
      <w:bookmarkEnd w:id="791"/>
      <w:r w:rsidRPr="00A52AB8">
        <w:t>Byte alignment semantics</w:t>
      </w:r>
      <w:bookmarkStart w:id="794" w:name="_Toc529871410"/>
      <w:bookmarkEnd w:id="792"/>
      <w:bookmarkEnd w:id="793"/>
    </w:p>
    <w:p w14:paraId="4DB347B2" w14:textId="77777777" w:rsidR="00F05994" w:rsidRPr="00A52AB8" w:rsidRDefault="00F05994">
      <w:r w:rsidRPr="00A52AB8">
        <w:rPr>
          <w:b/>
        </w:rPr>
        <w:t>alignment_bit_equal_to_one</w:t>
      </w:r>
      <w:r w:rsidRPr="00A52AB8">
        <w:t xml:space="preserve"> shall be equal to 1.</w:t>
      </w:r>
    </w:p>
    <w:p w14:paraId="71D2632F" w14:textId="77777777" w:rsidR="00F05994" w:rsidRPr="00A52AB8" w:rsidRDefault="00F05994">
      <w:r w:rsidRPr="00A52AB8">
        <w:rPr>
          <w:b/>
        </w:rPr>
        <w:t xml:space="preserve">alignment_bit_equal_to_zero </w:t>
      </w:r>
      <w:r w:rsidRPr="00A52AB8">
        <w:rPr>
          <w:bCs/>
        </w:rPr>
        <w:t>shall be equal to 0.</w:t>
      </w:r>
    </w:p>
    <w:p w14:paraId="2F33F504" w14:textId="0974E905" w:rsidR="004F063A" w:rsidRPr="00A52AB8" w:rsidRDefault="0073288B">
      <w:pPr>
        <w:pStyle w:val="Heading3"/>
      </w:pPr>
      <w:bookmarkStart w:id="795" w:name="_Ref38315371"/>
      <w:bookmarkStart w:id="796" w:name="_Ref38315625"/>
      <w:bookmarkStart w:id="797" w:name="_Toc52181615"/>
      <w:r w:rsidRPr="00A52AB8">
        <w:t>V3C</w:t>
      </w:r>
      <w:r w:rsidR="00D175BE" w:rsidRPr="00A52AB8">
        <w:t xml:space="preserve"> </w:t>
      </w:r>
      <w:r w:rsidR="004F063A" w:rsidRPr="00A52AB8">
        <w:t>parameter set semantics</w:t>
      </w:r>
      <w:bookmarkEnd w:id="794"/>
      <w:bookmarkEnd w:id="795"/>
      <w:bookmarkEnd w:id="796"/>
      <w:bookmarkEnd w:id="797"/>
    </w:p>
    <w:p w14:paraId="774B6681" w14:textId="77777777" w:rsidR="00F05994" w:rsidRPr="00A52AB8" w:rsidRDefault="00F05994" w:rsidP="005C26E9">
      <w:pPr>
        <w:pStyle w:val="Heading4"/>
      </w:pPr>
      <w:r w:rsidRPr="00A52AB8">
        <w:t xml:space="preserve">General </w:t>
      </w:r>
      <w:r w:rsidR="0073288B" w:rsidRPr="00A52AB8">
        <w:t>V3C</w:t>
      </w:r>
      <w:r w:rsidR="00D175BE" w:rsidRPr="00A52AB8">
        <w:t xml:space="preserve"> </w:t>
      </w:r>
      <w:r w:rsidRPr="00A52AB8">
        <w:t>parameter set semantics</w:t>
      </w:r>
    </w:p>
    <w:p w14:paraId="22A84AB7" w14:textId="77777777" w:rsidR="00894899" w:rsidRPr="00A52AB8" w:rsidRDefault="00707920">
      <w:pPr>
        <w:rPr>
          <w:color w:val="000000" w:themeColor="text1"/>
        </w:rPr>
      </w:pPr>
      <w:r w:rsidRPr="00A52AB8">
        <w:rPr>
          <w:b/>
          <w:color w:val="000000" w:themeColor="text1"/>
        </w:rPr>
        <w:t>vps_</w:t>
      </w:r>
      <w:r w:rsidR="003D4B2D" w:rsidRPr="00A52AB8">
        <w:rPr>
          <w:b/>
          <w:color w:val="000000" w:themeColor="text1"/>
        </w:rPr>
        <w:t>v3c_</w:t>
      </w:r>
      <w:r w:rsidR="00894899" w:rsidRPr="00A52AB8">
        <w:rPr>
          <w:b/>
          <w:color w:val="000000" w:themeColor="text1"/>
        </w:rPr>
        <w:t>parameter_set_id</w:t>
      </w:r>
      <w:r w:rsidR="00894899" w:rsidRPr="00A52AB8">
        <w:rPr>
          <w:color w:val="000000" w:themeColor="text1"/>
        </w:rPr>
        <w:t xml:space="preserve"> provides an identifier for the </w:t>
      </w:r>
      <w:r w:rsidR="00875EC6" w:rsidRPr="00A52AB8">
        <w:rPr>
          <w:color w:val="000000" w:themeColor="text1"/>
        </w:rPr>
        <w:t>V3C</w:t>
      </w:r>
      <w:r w:rsidR="00CA6619" w:rsidRPr="00A52AB8">
        <w:rPr>
          <w:color w:val="000000" w:themeColor="text1"/>
        </w:rPr>
        <w:t xml:space="preserve"> </w:t>
      </w:r>
      <w:r w:rsidR="00B20F5B" w:rsidRPr="00A52AB8">
        <w:rPr>
          <w:color w:val="000000" w:themeColor="text1"/>
        </w:rPr>
        <w:t>VPS</w:t>
      </w:r>
      <w:r w:rsidR="00894899" w:rsidRPr="00A52AB8">
        <w:rPr>
          <w:color w:val="000000" w:themeColor="text1"/>
        </w:rPr>
        <w:t xml:space="preserve"> for reference by other syntax elements. The value of </w:t>
      </w:r>
      <w:r w:rsidRPr="00A52AB8">
        <w:rPr>
          <w:color w:val="000000" w:themeColor="text1"/>
        </w:rPr>
        <w:t>vps_</w:t>
      </w:r>
      <w:r w:rsidR="003D4B2D" w:rsidRPr="00A52AB8">
        <w:rPr>
          <w:color w:val="000000" w:themeColor="text1"/>
        </w:rPr>
        <w:t>v3c_</w:t>
      </w:r>
      <w:r w:rsidRPr="00A52AB8">
        <w:rPr>
          <w:color w:val="000000" w:themeColor="text1"/>
        </w:rPr>
        <w:t xml:space="preserve">parameter_set_id </w:t>
      </w:r>
      <w:r w:rsidR="00894899" w:rsidRPr="00A52AB8">
        <w:rPr>
          <w:color w:val="000000" w:themeColor="text1"/>
        </w:rPr>
        <w:t>shall be in the range of 0 to 15, inclusive.</w:t>
      </w:r>
    </w:p>
    <w:p w14:paraId="2D471F08" w14:textId="77777777" w:rsidR="00AB10A9" w:rsidRPr="00A52AB8" w:rsidRDefault="00BA5463">
      <w:pPr>
        <w:rPr>
          <w:color w:val="000000" w:themeColor="text1"/>
        </w:rPr>
      </w:pPr>
      <w:r w:rsidRPr="00A52AB8">
        <w:rPr>
          <w:b/>
          <w:bCs/>
          <w:color w:val="000000" w:themeColor="text1"/>
        </w:rPr>
        <w:t>vps_reserved_zero_8bits</w:t>
      </w:r>
      <w:r w:rsidRPr="00A52AB8">
        <w:rPr>
          <w:color w:val="000000" w:themeColor="text1"/>
        </w:rPr>
        <w:t>, when present, shall be equal to 0 in bitstreams conforming to this version of this document. Other values for vps_reserved_zero_8bits are reserved for future use ISO/IEC. Decoders shall ignore the value of vps_reserved_zero_8bits.</w:t>
      </w:r>
    </w:p>
    <w:p w14:paraId="57AEA4BC" w14:textId="77777777" w:rsidR="0050235C" w:rsidRPr="00A52AB8" w:rsidRDefault="00707920">
      <w:pPr>
        <w:rPr>
          <w:color w:val="000000" w:themeColor="text1"/>
        </w:rPr>
      </w:pPr>
      <w:r w:rsidRPr="00A52AB8">
        <w:rPr>
          <w:b/>
          <w:color w:val="000000" w:themeColor="text1"/>
        </w:rPr>
        <w:t xml:space="preserve">vps_atlas_count_minus1 </w:t>
      </w:r>
      <w:r w:rsidR="00584FAD" w:rsidRPr="00A52AB8">
        <w:rPr>
          <w:color w:val="000000" w:themeColor="text1"/>
        </w:rPr>
        <w:t xml:space="preserve">plus 1 indicates the total number of supported atlases in the current bitstream. The value of </w:t>
      </w:r>
      <w:r w:rsidRPr="00A52AB8">
        <w:rPr>
          <w:color w:val="000000" w:themeColor="text1"/>
        </w:rPr>
        <w:t xml:space="preserve">vps_atlas_count_minus1 </w:t>
      </w:r>
      <w:r w:rsidR="00584FAD" w:rsidRPr="00A52AB8">
        <w:rPr>
          <w:color w:val="000000" w:themeColor="text1"/>
        </w:rPr>
        <w:t>shall be in the range of 0 to 63, inclusive.</w:t>
      </w:r>
    </w:p>
    <w:p w14:paraId="308A74D1" w14:textId="23DBA90E" w:rsidR="0031415E" w:rsidRPr="00A52AB8" w:rsidRDefault="00443B19">
      <w:pPr>
        <w:rPr>
          <w:b/>
          <w:color w:val="000000" w:themeColor="text1"/>
        </w:rPr>
      </w:pPr>
      <w:r w:rsidRPr="00A52AB8">
        <w:rPr>
          <w:b/>
          <w:color w:val="000000" w:themeColor="text1"/>
        </w:rPr>
        <w:t>vps_atlas_id</w:t>
      </w:r>
      <w:r w:rsidR="004B7314" w:rsidRPr="00A52AB8">
        <w:rPr>
          <w:color w:val="000000" w:themeColor="text1"/>
        </w:rPr>
        <w:t>[ k ]</w:t>
      </w:r>
      <w:r w:rsidRPr="00A52AB8">
        <w:rPr>
          <w:color w:val="000000" w:themeColor="text1"/>
        </w:rPr>
        <w:t xml:space="preserve"> specifies the</w:t>
      </w:r>
      <w:r w:rsidR="0004721A" w:rsidRPr="00A52AB8">
        <w:rPr>
          <w:color w:val="000000" w:themeColor="text1"/>
        </w:rPr>
        <w:t xml:space="preserve"> ID </w:t>
      </w:r>
      <w:r w:rsidRPr="00A52AB8">
        <w:rPr>
          <w:color w:val="000000" w:themeColor="text1"/>
        </w:rPr>
        <w:t>of the atlas</w:t>
      </w:r>
      <w:r w:rsidR="0010767E" w:rsidRPr="00A52AB8">
        <w:rPr>
          <w:color w:val="000000" w:themeColor="text1"/>
        </w:rPr>
        <w:t xml:space="preserve"> with index </w:t>
      </w:r>
      <w:r w:rsidR="00A82F3A" w:rsidRPr="00A52AB8">
        <w:rPr>
          <w:color w:val="000000" w:themeColor="text1"/>
        </w:rPr>
        <w:t>k</w:t>
      </w:r>
      <w:r w:rsidRPr="00A52AB8">
        <w:rPr>
          <w:color w:val="000000" w:themeColor="text1"/>
        </w:rPr>
        <w:t xml:space="preserve">. </w:t>
      </w:r>
      <w:r w:rsidR="00FE0750" w:rsidRPr="00A52AB8">
        <w:rPr>
          <w:color w:val="000000" w:themeColor="text1"/>
        </w:rPr>
        <w:t>The value of vps_atlas_id</w:t>
      </w:r>
      <w:r w:rsidR="004B7314" w:rsidRPr="00A52AB8">
        <w:rPr>
          <w:color w:val="000000" w:themeColor="text1"/>
        </w:rPr>
        <w:t>[ k ]</w:t>
      </w:r>
      <w:r w:rsidR="00FE0750" w:rsidRPr="00A52AB8">
        <w:rPr>
          <w:color w:val="000000" w:themeColor="text1"/>
        </w:rPr>
        <w:t xml:space="preserve"> shall be in the range of 0 to 63, inclusive.</w:t>
      </w:r>
      <w:r w:rsidR="00CB1904" w:rsidRPr="00A52AB8">
        <w:t xml:space="preserve"> It is a requirement </w:t>
      </w:r>
      <w:r w:rsidR="001F2A28" w:rsidRPr="00A52AB8">
        <w:t xml:space="preserve">of </w:t>
      </w:r>
      <w:r w:rsidR="00CB1904" w:rsidRPr="00A52AB8">
        <w:t xml:space="preserve">bitstream conformance to this version of this document that </w:t>
      </w:r>
      <w:r w:rsidR="000974BF" w:rsidRPr="00A52AB8">
        <w:t xml:space="preserve">the value of </w:t>
      </w:r>
      <w:r w:rsidR="00CB1904" w:rsidRPr="00A52AB8">
        <w:t xml:space="preserve">vps_atlas_id[ k ] </w:t>
      </w:r>
      <w:r w:rsidR="000974BF" w:rsidRPr="00A52AB8">
        <w:t xml:space="preserve">shall not be equal to </w:t>
      </w:r>
      <w:r w:rsidR="00DD7AC8" w:rsidRPr="00A52AB8">
        <w:rPr>
          <w:color w:val="000000" w:themeColor="text1"/>
        </w:rPr>
        <w:t>vps_atlas_id[ </w:t>
      </w:r>
      <w:r w:rsidR="00DD7AC8" w:rsidRPr="00A52AB8">
        <w:t xml:space="preserve">j ] </w:t>
      </w:r>
      <w:r w:rsidR="002113F4" w:rsidRPr="00A52AB8">
        <w:t>for all</w:t>
      </w:r>
      <w:r w:rsidR="00DD7AC8" w:rsidRPr="00A52AB8">
        <w:t xml:space="preserve"> j != k</w:t>
      </w:r>
      <w:r w:rsidR="00CB1904" w:rsidRPr="00A52AB8">
        <w:t>.</w:t>
      </w:r>
    </w:p>
    <w:p w14:paraId="354648E9" w14:textId="77777777" w:rsidR="0050235C" w:rsidRPr="00A52AB8" w:rsidRDefault="0026338A">
      <w:pPr>
        <w:rPr>
          <w:color w:val="000000" w:themeColor="text1"/>
        </w:rPr>
      </w:pPr>
      <w:r w:rsidRPr="00A52AB8">
        <w:rPr>
          <w:b/>
          <w:color w:val="000000" w:themeColor="text1"/>
          <w:lang w:eastAsia="ja-JP"/>
        </w:rPr>
        <w:t>vps_frame_width</w:t>
      </w:r>
      <w:r w:rsidR="001F4484" w:rsidRPr="00A52AB8">
        <w:rPr>
          <w:color w:val="000000" w:themeColor="text1"/>
        </w:rPr>
        <w:t>[ j ]</w:t>
      </w:r>
      <w:r w:rsidR="004F063A" w:rsidRPr="00A52AB8">
        <w:rPr>
          <w:color w:val="000000" w:themeColor="text1"/>
        </w:rPr>
        <w:t xml:space="preserve"> indicates the </w:t>
      </w:r>
      <w:r w:rsidR="00875EC6" w:rsidRPr="00A52AB8">
        <w:rPr>
          <w:color w:val="000000" w:themeColor="text1"/>
        </w:rPr>
        <w:t>V3C</w:t>
      </w:r>
      <w:r w:rsidR="0012183B" w:rsidRPr="00A52AB8">
        <w:rPr>
          <w:color w:val="000000" w:themeColor="text1"/>
        </w:rPr>
        <w:t xml:space="preserve"> frame width </w:t>
      </w:r>
      <w:r w:rsidR="004F063A" w:rsidRPr="00A52AB8">
        <w:rPr>
          <w:color w:val="000000" w:themeColor="text1"/>
        </w:rPr>
        <w:t xml:space="preserve">in </w:t>
      </w:r>
      <w:r w:rsidR="009D5C21" w:rsidRPr="00A52AB8">
        <w:rPr>
          <w:color w:val="000000" w:themeColor="text1"/>
        </w:rPr>
        <w:t xml:space="preserve">terms of integer luma </w:t>
      </w:r>
      <w:r w:rsidR="004F063A" w:rsidRPr="00A52AB8">
        <w:rPr>
          <w:color w:val="000000" w:themeColor="text1"/>
        </w:rPr>
        <w:t>samples</w:t>
      </w:r>
      <w:r w:rsidR="00C20E2C" w:rsidRPr="00A52AB8">
        <w:rPr>
          <w:color w:val="000000" w:themeColor="text1"/>
        </w:rPr>
        <w:t xml:space="preserve"> for the atlas with</w:t>
      </w:r>
      <w:r w:rsidR="00FE3A2F" w:rsidRPr="00A52AB8">
        <w:rPr>
          <w:color w:val="000000" w:themeColor="text1"/>
        </w:rPr>
        <w:t xml:space="preserve"> </w:t>
      </w:r>
      <w:r w:rsidR="00CA4039" w:rsidRPr="00A52AB8">
        <w:rPr>
          <w:color w:val="000000" w:themeColor="text1"/>
        </w:rPr>
        <w:t xml:space="preserve">atlas </w:t>
      </w:r>
      <w:r w:rsidR="00FE3A2F" w:rsidRPr="00A52AB8">
        <w:rPr>
          <w:color w:val="000000" w:themeColor="text1"/>
        </w:rPr>
        <w:t xml:space="preserve">ID </w:t>
      </w:r>
      <w:r w:rsidR="00C20E2C" w:rsidRPr="00A52AB8">
        <w:rPr>
          <w:color w:val="000000" w:themeColor="text1"/>
        </w:rPr>
        <w:t>j</w:t>
      </w:r>
      <w:r w:rsidR="009D5C21" w:rsidRPr="00A52AB8">
        <w:rPr>
          <w:color w:val="000000" w:themeColor="text1"/>
        </w:rPr>
        <w:t xml:space="preserve">. </w:t>
      </w:r>
      <w:r w:rsidR="0012183B" w:rsidRPr="00A52AB8">
        <w:rPr>
          <w:color w:val="000000" w:themeColor="text1"/>
        </w:rPr>
        <w:t xml:space="preserve">This frame width is the nominal width that is associated with all </w:t>
      </w:r>
      <w:r w:rsidR="00875EC6" w:rsidRPr="00A52AB8">
        <w:rPr>
          <w:color w:val="000000" w:themeColor="text1"/>
        </w:rPr>
        <w:t>V3C</w:t>
      </w:r>
      <w:r w:rsidR="0012183B" w:rsidRPr="00A52AB8">
        <w:rPr>
          <w:color w:val="000000" w:themeColor="text1"/>
        </w:rPr>
        <w:t xml:space="preserve"> component</w:t>
      </w:r>
      <w:r w:rsidR="00F623C0" w:rsidRPr="00A52AB8">
        <w:rPr>
          <w:color w:val="000000" w:themeColor="text1"/>
        </w:rPr>
        <w:t>s</w:t>
      </w:r>
      <w:r w:rsidR="0044429E" w:rsidRPr="00A52AB8">
        <w:rPr>
          <w:color w:val="000000" w:themeColor="text1"/>
        </w:rPr>
        <w:t xml:space="preserve"> for the atlas with</w:t>
      </w:r>
      <w:r w:rsidR="006B22F6" w:rsidRPr="00A52AB8">
        <w:rPr>
          <w:color w:val="000000" w:themeColor="text1"/>
        </w:rPr>
        <w:t xml:space="preserve"> </w:t>
      </w:r>
      <w:r w:rsidR="00CA4039" w:rsidRPr="00A52AB8">
        <w:rPr>
          <w:color w:val="000000" w:themeColor="text1"/>
        </w:rPr>
        <w:t>atlas</w:t>
      </w:r>
      <w:r w:rsidR="00FE3A2F" w:rsidRPr="00A52AB8">
        <w:rPr>
          <w:color w:val="000000" w:themeColor="text1"/>
        </w:rPr>
        <w:t xml:space="preserve"> ID </w:t>
      </w:r>
      <w:r w:rsidR="0044429E" w:rsidRPr="00A52AB8">
        <w:rPr>
          <w:color w:val="000000" w:themeColor="text1"/>
        </w:rPr>
        <w:t>j</w:t>
      </w:r>
      <w:r w:rsidR="00F623C0" w:rsidRPr="00A52AB8">
        <w:rPr>
          <w:color w:val="000000" w:themeColor="text1"/>
        </w:rPr>
        <w:t>.</w:t>
      </w:r>
    </w:p>
    <w:p w14:paraId="00E84E3C" w14:textId="77777777" w:rsidR="0050235C" w:rsidRPr="00A52AB8" w:rsidRDefault="0026338A">
      <w:pPr>
        <w:rPr>
          <w:color w:val="000000" w:themeColor="text1"/>
        </w:rPr>
      </w:pPr>
      <w:r w:rsidRPr="00A52AB8">
        <w:rPr>
          <w:b/>
          <w:color w:val="000000" w:themeColor="text1"/>
        </w:rPr>
        <w:t>vps_frame_height</w:t>
      </w:r>
      <w:r w:rsidR="001F4484" w:rsidRPr="00A52AB8">
        <w:rPr>
          <w:color w:val="000000" w:themeColor="text1"/>
        </w:rPr>
        <w:t>[ j ]</w:t>
      </w:r>
      <w:r w:rsidR="004F063A" w:rsidRPr="00A52AB8">
        <w:rPr>
          <w:color w:val="000000" w:themeColor="text1"/>
        </w:rPr>
        <w:t xml:space="preserve"> </w:t>
      </w:r>
      <w:r w:rsidR="00F623C0" w:rsidRPr="00A52AB8">
        <w:rPr>
          <w:color w:val="000000" w:themeColor="text1"/>
        </w:rPr>
        <w:t xml:space="preserve">indicates the </w:t>
      </w:r>
      <w:r w:rsidR="00875EC6" w:rsidRPr="00A52AB8">
        <w:rPr>
          <w:color w:val="000000" w:themeColor="text1"/>
        </w:rPr>
        <w:t>V3C</w:t>
      </w:r>
      <w:r w:rsidR="00F623C0" w:rsidRPr="00A52AB8">
        <w:rPr>
          <w:color w:val="000000" w:themeColor="text1"/>
        </w:rPr>
        <w:t xml:space="preserve"> frame height in terms of integer luma samples for the atlas with</w:t>
      </w:r>
      <w:r w:rsidR="00FE3A2F" w:rsidRPr="00A52AB8">
        <w:rPr>
          <w:color w:val="000000" w:themeColor="text1"/>
        </w:rPr>
        <w:t xml:space="preserve"> </w:t>
      </w:r>
      <w:r w:rsidR="00CA4039" w:rsidRPr="00A52AB8">
        <w:rPr>
          <w:color w:val="000000" w:themeColor="text1"/>
        </w:rPr>
        <w:t xml:space="preserve">atlas </w:t>
      </w:r>
      <w:r w:rsidR="00FE3A2F" w:rsidRPr="00A52AB8">
        <w:rPr>
          <w:color w:val="000000" w:themeColor="text1"/>
        </w:rPr>
        <w:t xml:space="preserve">ID </w:t>
      </w:r>
      <w:r w:rsidR="00F623C0" w:rsidRPr="00A52AB8">
        <w:rPr>
          <w:color w:val="000000" w:themeColor="text1"/>
        </w:rPr>
        <w:t xml:space="preserve">j. This frame height is the nominal height that is associated with all </w:t>
      </w:r>
      <w:r w:rsidR="00875EC6" w:rsidRPr="00A52AB8">
        <w:rPr>
          <w:color w:val="000000" w:themeColor="text1"/>
        </w:rPr>
        <w:t>V3C</w:t>
      </w:r>
      <w:r w:rsidR="00F623C0" w:rsidRPr="00A52AB8">
        <w:rPr>
          <w:color w:val="000000" w:themeColor="text1"/>
        </w:rPr>
        <w:t xml:space="preserve"> components</w:t>
      </w:r>
      <w:r w:rsidR="0044429E" w:rsidRPr="00A52AB8">
        <w:rPr>
          <w:color w:val="000000" w:themeColor="text1"/>
        </w:rPr>
        <w:t xml:space="preserve"> for the atlas with</w:t>
      </w:r>
      <w:r w:rsidR="00CA4039" w:rsidRPr="00A52AB8">
        <w:rPr>
          <w:color w:val="000000" w:themeColor="text1"/>
        </w:rPr>
        <w:t xml:space="preserve"> atlas</w:t>
      </w:r>
      <w:r w:rsidR="00FE3A2F" w:rsidRPr="00A52AB8">
        <w:rPr>
          <w:color w:val="000000" w:themeColor="text1"/>
        </w:rPr>
        <w:t xml:space="preserve"> ID </w:t>
      </w:r>
      <w:r w:rsidR="0044429E" w:rsidRPr="00A52AB8">
        <w:rPr>
          <w:color w:val="000000" w:themeColor="text1"/>
        </w:rPr>
        <w:t>j</w:t>
      </w:r>
      <w:r w:rsidR="00F623C0" w:rsidRPr="00A52AB8">
        <w:rPr>
          <w:color w:val="000000" w:themeColor="text1"/>
        </w:rPr>
        <w:t>.</w:t>
      </w:r>
    </w:p>
    <w:p w14:paraId="320C1885" w14:textId="6467E5D0" w:rsidR="00537E43" w:rsidRPr="00A52AB8" w:rsidRDefault="00A13222">
      <w:pPr>
        <w:rPr>
          <w:color w:val="000000" w:themeColor="text1"/>
        </w:rPr>
      </w:pPr>
      <w:r w:rsidRPr="00A52AB8">
        <w:rPr>
          <w:b/>
          <w:color w:val="000000" w:themeColor="text1"/>
        </w:rPr>
        <w:t>vps_map_count_minus1</w:t>
      </w:r>
      <w:r w:rsidR="001F4484" w:rsidRPr="00A52AB8">
        <w:rPr>
          <w:color w:val="000000" w:themeColor="text1"/>
        </w:rPr>
        <w:t>[ j ]</w:t>
      </w:r>
      <w:r w:rsidR="00537E43" w:rsidRPr="00A52AB8">
        <w:rPr>
          <w:color w:val="000000" w:themeColor="text1"/>
        </w:rPr>
        <w:t xml:space="preserve"> plus 1 indicates the number of </w:t>
      </w:r>
      <w:r w:rsidR="006F36F6" w:rsidRPr="00A52AB8">
        <w:rPr>
          <w:color w:val="000000" w:themeColor="text1"/>
        </w:rPr>
        <w:t>map</w:t>
      </w:r>
      <w:r w:rsidR="00537E43" w:rsidRPr="00A52AB8">
        <w:rPr>
          <w:color w:val="000000" w:themeColor="text1"/>
        </w:rPr>
        <w:t>s used for encoding the geometry and attribute data</w:t>
      </w:r>
      <w:r w:rsidR="00C20E2C" w:rsidRPr="00A52AB8">
        <w:rPr>
          <w:color w:val="000000" w:themeColor="text1"/>
        </w:rPr>
        <w:t xml:space="preserve"> for the atlas with</w:t>
      </w:r>
      <w:r w:rsidR="00CA4039" w:rsidRPr="00A52AB8">
        <w:rPr>
          <w:color w:val="000000" w:themeColor="text1"/>
        </w:rPr>
        <w:t xml:space="preserve"> atlas</w:t>
      </w:r>
      <w:r w:rsidR="00FE3A2F" w:rsidRPr="00A52AB8">
        <w:rPr>
          <w:color w:val="000000" w:themeColor="text1"/>
        </w:rPr>
        <w:t xml:space="preserve"> ID </w:t>
      </w:r>
      <w:r w:rsidR="00C20E2C" w:rsidRPr="00A52AB8">
        <w:rPr>
          <w:color w:val="000000" w:themeColor="text1"/>
        </w:rPr>
        <w:t>j</w:t>
      </w:r>
      <w:r w:rsidR="00537E43" w:rsidRPr="00A52AB8">
        <w:rPr>
          <w:color w:val="000000" w:themeColor="text1"/>
        </w:rPr>
        <w:t xml:space="preserve">. </w:t>
      </w:r>
      <w:r w:rsidRPr="00A52AB8">
        <w:rPr>
          <w:color w:val="000000" w:themeColor="text1"/>
        </w:rPr>
        <w:t>vps_map_count_minus1</w:t>
      </w:r>
      <w:r w:rsidR="001F4484" w:rsidRPr="00A52AB8">
        <w:rPr>
          <w:color w:val="000000" w:themeColor="text1"/>
        </w:rPr>
        <w:t>[ j ]</w:t>
      </w:r>
      <w:r w:rsidR="00537E43" w:rsidRPr="00A52AB8">
        <w:rPr>
          <w:color w:val="000000" w:themeColor="text1"/>
        </w:rPr>
        <w:t xml:space="preserve"> shall be in the range of 0 to 1</w:t>
      </w:r>
      <w:r w:rsidR="00885028" w:rsidRPr="00A52AB8">
        <w:rPr>
          <w:color w:val="000000" w:themeColor="text1"/>
        </w:rPr>
        <w:t>5</w:t>
      </w:r>
      <w:r w:rsidR="00537E43" w:rsidRPr="00A52AB8">
        <w:rPr>
          <w:color w:val="000000" w:themeColor="text1"/>
        </w:rPr>
        <w:t>, inclusive.</w:t>
      </w:r>
    </w:p>
    <w:p w14:paraId="11A1D7FB" w14:textId="77777777" w:rsidR="0050235C" w:rsidRPr="00A52AB8" w:rsidRDefault="00A13222">
      <w:pPr>
        <w:rPr>
          <w:color w:val="000000" w:themeColor="text1"/>
        </w:rPr>
      </w:pPr>
      <w:r w:rsidRPr="00A52AB8">
        <w:rPr>
          <w:b/>
          <w:color w:val="000000" w:themeColor="text1"/>
        </w:rPr>
        <w:t>vps_multiple_map_streams_present_flag</w:t>
      </w:r>
      <w:r w:rsidR="001F4484" w:rsidRPr="00A52AB8">
        <w:rPr>
          <w:color w:val="000000" w:themeColor="text1"/>
        </w:rPr>
        <w:t>[ j ]</w:t>
      </w:r>
      <w:r w:rsidR="00537E43" w:rsidRPr="00A52AB8">
        <w:rPr>
          <w:color w:val="000000" w:themeColor="text1"/>
        </w:rPr>
        <w:t xml:space="preserve"> equal to 0 indicates that all geometry or attribute </w:t>
      </w:r>
      <w:r w:rsidR="006F36F6" w:rsidRPr="00A52AB8">
        <w:rPr>
          <w:color w:val="000000" w:themeColor="text1"/>
        </w:rPr>
        <w:t>map</w:t>
      </w:r>
      <w:r w:rsidR="00537E43" w:rsidRPr="00A52AB8">
        <w:rPr>
          <w:color w:val="000000" w:themeColor="text1"/>
        </w:rPr>
        <w:t xml:space="preserve">s </w:t>
      </w:r>
      <w:r w:rsidR="00C20E2C" w:rsidRPr="00A52AB8">
        <w:rPr>
          <w:color w:val="000000" w:themeColor="text1"/>
        </w:rPr>
        <w:t>for the atlas with</w:t>
      </w:r>
      <w:r w:rsidR="00FE3A2F" w:rsidRPr="00A52AB8">
        <w:rPr>
          <w:color w:val="000000" w:themeColor="text1"/>
        </w:rPr>
        <w:t xml:space="preserve"> </w:t>
      </w:r>
      <w:r w:rsidR="00CA4039" w:rsidRPr="00A52AB8">
        <w:rPr>
          <w:color w:val="000000" w:themeColor="text1"/>
        </w:rPr>
        <w:t xml:space="preserve">atlas </w:t>
      </w:r>
      <w:r w:rsidR="00FE3A2F" w:rsidRPr="00A52AB8">
        <w:rPr>
          <w:color w:val="000000" w:themeColor="text1"/>
        </w:rPr>
        <w:t xml:space="preserve">ID </w:t>
      </w:r>
      <w:r w:rsidR="00C20E2C" w:rsidRPr="00A52AB8">
        <w:rPr>
          <w:color w:val="000000" w:themeColor="text1"/>
        </w:rPr>
        <w:t xml:space="preserve">j </w:t>
      </w:r>
      <w:r w:rsidR="00537E43" w:rsidRPr="00A52AB8">
        <w:rPr>
          <w:color w:val="000000" w:themeColor="text1"/>
        </w:rPr>
        <w:t xml:space="preserve">are placed in a single geometry or attribute video stream, respectively. </w:t>
      </w:r>
      <w:r w:rsidRPr="00A52AB8">
        <w:rPr>
          <w:color w:val="000000" w:themeColor="text1"/>
        </w:rPr>
        <w:t>vps_multiple_map_streams_present_flag</w:t>
      </w:r>
      <w:r w:rsidR="001F4484" w:rsidRPr="00A52AB8">
        <w:rPr>
          <w:color w:val="000000" w:themeColor="text1"/>
        </w:rPr>
        <w:t>[ j ]</w:t>
      </w:r>
      <w:r w:rsidR="00537E43" w:rsidRPr="00A52AB8">
        <w:rPr>
          <w:color w:val="000000" w:themeColor="text1"/>
        </w:rPr>
        <w:t xml:space="preserve"> equal to 1 indicates that all geometry or attribute </w:t>
      </w:r>
      <w:r w:rsidR="006F36F6" w:rsidRPr="00A52AB8">
        <w:rPr>
          <w:color w:val="000000" w:themeColor="text1"/>
        </w:rPr>
        <w:t>map</w:t>
      </w:r>
      <w:r w:rsidR="00537E43" w:rsidRPr="00A52AB8">
        <w:rPr>
          <w:color w:val="000000" w:themeColor="text1"/>
        </w:rPr>
        <w:t xml:space="preserve">s </w:t>
      </w:r>
      <w:r w:rsidR="00C20E2C" w:rsidRPr="00A52AB8">
        <w:rPr>
          <w:color w:val="000000" w:themeColor="text1"/>
        </w:rPr>
        <w:t>for the atlas with</w:t>
      </w:r>
      <w:r w:rsidR="00CA4039" w:rsidRPr="00A52AB8">
        <w:rPr>
          <w:color w:val="000000" w:themeColor="text1"/>
        </w:rPr>
        <w:t xml:space="preserve"> atlas</w:t>
      </w:r>
      <w:r w:rsidR="00FE3A2F" w:rsidRPr="00A52AB8">
        <w:rPr>
          <w:color w:val="000000" w:themeColor="text1"/>
        </w:rPr>
        <w:t xml:space="preserve"> ID </w:t>
      </w:r>
      <w:r w:rsidR="00C20E2C" w:rsidRPr="00A52AB8">
        <w:rPr>
          <w:color w:val="000000" w:themeColor="text1"/>
        </w:rPr>
        <w:t xml:space="preserve">j </w:t>
      </w:r>
      <w:r w:rsidR="00537E43" w:rsidRPr="00A52AB8">
        <w:rPr>
          <w:color w:val="000000" w:themeColor="text1"/>
        </w:rPr>
        <w:t>are placed in separate video</w:t>
      </w:r>
      <w:r w:rsidR="00E06724" w:rsidRPr="00A52AB8">
        <w:rPr>
          <w:color w:val="000000" w:themeColor="text1"/>
        </w:rPr>
        <w:t xml:space="preserve"> streams</w:t>
      </w:r>
      <w:r w:rsidR="00537E43" w:rsidRPr="00A52AB8">
        <w:rPr>
          <w:color w:val="000000" w:themeColor="text1"/>
        </w:rPr>
        <w:t xml:space="preserve">. When </w:t>
      </w:r>
      <w:r w:rsidRPr="00A52AB8">
        <w:rPr>
          <w:color w:val="000000" w:themeColor="text1"/>
        </w:rPr>
        <w:t>vps_multiple_map_streams_present_flag</w:t>
      </w:r>
      <w:r w:rsidR="001F4484" w:rsidRPr="00A52AB8">
        <w:rPr>
          <w:color w:val="000000" w:themeColor="text1"/>
        </w:rPr>
        <w:t>[ j ]</w:t>
      </w:r>
      <w:r w:rsidR="00537E43" w:rsidRPr="00A52AB8">
        <w:rPr>
          <w:color w:val="000000" w:themeColor="text1"/>
        </w:rPr>
        <w:t xml:space="preserve"> is not present, its value shall be inferred to be equal to 0.</w:t>
      </w:r>
    </w:p>
    <w:p w14:paraId="75A007AA" w14:textId="3CF14F1F" w:rsidR="00537E43" w:rsidRPr="00A52AB8" w:rsidRDefault="00A13222">
      <w:pPr>
        <w:rPr>
          <w:color w:val="000000" w:themeColor="text1"/>
        </w:rPr>
      </w:pPr>
      <w:r w:rsidRPr="00A52AB8">
        <w:rPr>
          <w:b/>
          <w:color w:val="000000" w:themeColor="text1"/>
        </w:rPr>
        <w:lastRenderedPageBreak/>
        <w:t>vps_map_absolute_coding_enabled_flag</w:t>
      </w:r>
      <w:r w:rsidR="001F4484" w:rsidRPr="00A52AB8">
        <w:rPr>
          <w:color w:val="000000" w:themeColor="text1"/>
        </w:rPr>
        <w:t>[ j ][ i ]</w:t>
      </w:r>
      <w:r w:rsidR="00E06724" w:rsidRPr="00A52AB8">
        <w:rPr>
          <w:color w:val="000000" w:themeColor="text1"/>
        </w:rPr>
        <w:t xml:space="preserve"> equal to </w:t>
      </w:r>
      <w:r w:rsidR="007026BF" w:rsidRPr="00A52AB8">
        <w:rPr>
          <w:color w:val="000000" w:themeColor="text1"/>
        </w:rPr>
        <w:t xml:space="preserve">1 </w:t>
      </w:r>
      <w:r w:rsidR="00E06724" w:rsidRPr="00A52AB8">
        <w:rPr>
          <w:color w:val="000000" w:themeColor="text1"/>
        </w:rPr>
        <w:t xml:space="preserve">indicates that the </w:t>
      </w:r>
      <w:r w:rsidR="00861813" w:rsidRPr="00A52AB8">
        <w:rPr>
          <w:color w:val="000000" w:themeColor="text1"/>
        </w:rPr>
        <w:t xml:space="preserve">geometry </w:t>
      </w:r>
      <w:r w:rsidR="006F36F6" w:rsidRPr="00A52AB8">
        <w:rPr>
          <w:color w:val="000000" w:themeColor="text1"/>
        </w:rPr>
        <w:t>map</w:t>
      </w:r>
      <w:r w:rsidR="00E06724" w:rsidRPr="00A52AB8">
        <w:rPr>
          <w:color w:val="000000" w:themeColor="text1"/>
        </w:rPr>
        <w:t xml:space="preserve"> with</w:t>
      </w:r>
      <w:r w:rsidR="00FE3A2F" w:rsidRPr="00A52AB8">
        <w:rPr>
          <w:color w:val="000000" w:themeColor="text1"/>
        </w:rPr>
        <w:t xml:space="preserve"> </w:t>
      </w:r>
      <w:r w:rsidR="00E6730E" w:rsidRPr="00A52AB8">
        <w:rPr>
          <w:color w:val="000000" w:themeColor="text1"/>
        </w:rPr>
        <w:t xml:space="preserve">index </w:t>
      </w:r>
      <w:r w:rsidR="00E06724" w:rsidRPr="00A52AB8">
        <w:rPr>
          <w:color w:val="000000" w:themeColor="text1"/>
        </w:rPr>
        <w:t xml:space="preserve">i </w:t>
      </w:r>
      <w:r w:rsidR="00C20E2C" w:rsidRPr="00A52AB8">
        <w:rPr>
          <w:color w:val="000000" w:themeColor="text1"/>
        </w:rPr>
        <w:t>for the atlas with</w:t>
      </w:r>
      <w:r w:rsidR="00FE3A2F" w:rsidRPr="00A52AB8">
        <w:rPr>
          <w:color w:val="000000" w:themeColor="text1"/>
        </w:rPr>
        <w:t xml:space="preserve"> </w:t>
      </w:r>
      <w:r w:rsidR="00E6730E" w:rsidRPr="00A52AB8">
        <w:rPr>
          <w:color w:val="000000" w:themeColor="text1"/>
        </w:rPr>
        <w:t xml:space="preserve">atlas </w:t>
      </w:r>
      <w:r w:rsidR="00FE3A2F" w:rsidRPr="00A52AB8">
        <w:rPr>
          <w:color w:val="000000" w:themeColor="text1"/>
        </w:rPr>
        <w:t xml:space="preserve">ID </w:t>
      </w:r>
      <w:r w:rsidR="00C20E2C" w:rsidRPr="00A52AB8">
        <w:rPr>
          <w:color w:val="000000" w:themeColor="text1"/>
        </w:rPr>
        <w:t xml:space="preserve">j </w:t>
      </w:r>
      <w:r w:rsidR="00861813" w:rsidRPr="00A52AB8">
        <w:rPr>
          <w:color w:val="000000" w:themeColor="text1"/>
        </w:rPr>
        <w:t xml:space="preserve">is coded without any form of </w:t>
      </w:r>
      <w:r w:rsidR="006F36F6" w:rsidRPr="00A52AB8">
        <w:rPr>
          <w:color w:val="000000" w:themeColor="text1"/>
        </w:rPr>
        <w:t>map</w:t>
      </w:r>
      <w:r w:rsidR="00861813" w:rsidRPr="00A52AB8">
        <w:rPr>
          <w:color w:val="000000" w:themeColor="text1"/>
        </w:rPr>
        <w:t xml:space="preserve"> prediction. </w:t>
      </w:r>
      <w:r w:rsidRPr="00A52AB8">
        <w:rPr>
          <w:color w:val="000000" w:themeColor="text1"/>
        </w:rPr>
        <w:t>vps_map_absolute_coding_enabled_flag</w:t>
      </w:r>
      <w:r w:rsidR="001F4484" w:rsidRPr="00A52AB8">
        <w:rPr>
          <w:color w:val="000000" w:themeColor="text1"/>
        </w:rPr>
        <w:t>[ j ][ i ]</w:t>
      </w:r>
      <w:r w:rsidR="00861813" w:rsidRPr="00A52AB8">
        <w:rPr>
          <w:color w:val="000000" w:themeColor="text1"/>
        </w:rPr>
        <w:t xml:space="preserve">equal to 0 </w:t>
      </w:r>
      <w:r w:rsidR="00E06724" w:rsidRPr="00A52AB8">
        <w:rPr>
          <w:color w:val="000000" w:themeColor="text1"/>
        </w:rPr>
        <w:t xml:space="preserve">indicates that </w:t>
      </w:r>
      <w:r w:rsidR="00861813" w:rsidRPr="00A52AB8">
        <w:rPr>
          <w:color w:val="000000" w:themeColor="text1"/>
        </w:rPr>
        <w:t xml:space="preserve">the geometry </w:t>
      </w:r>
      <w:r w:rsidR="006F36F6" w:rsidRPr="00A52AB8">
        <w:rPr>
          <w:color w:val="000000" w:themeColor="text1"/>
        </w:rPr>
        <w:t>map</w:t>
      </w:r>
      <w:r w:rsidR="00861813" w:rsidRPr="00A52AB8">
        <w:rPr>
          <w:color w:val="000000" w:themeColor="text1"/>
        </w:rPr>
        <w:t xml:space="preserve"> with index i </w:t>
      </w:r>
      <w:r w:rsidR="00C20E2C" w:rsidRPr="00A52AB8">
        <w:rPr>
          <w:color w:val="000000" w:themeColor="text1"/>
        </w:rPr>
        <w:t>for the atlas with</w:t>
      </w:r>
      <w:r w:rsidR="00BF3416" w:rsidRPr="00A52AB8">
        <w:rPr>
          <w:color w:val="000000" w:themeColor="text1"/>
        </w:rPr>
        <w:t xml:space="preserve"> </w:t>
      </w:r>
      <w:r w:rsidR="00E6730E" w:rsidRPr="00A52AB8">
        <w:rPr>
          <w:color w:val="000000" w:themeColor="text1"/>
        </w:rPr>
        <w:t xml:space="preserve">atlas </w:t>
      </w:r>
      <w:r w:rsidR="00BF3416" w:rsidRPr="00A52AB8">
        <w:rPr>
          <w:color w:val="000000" w:themeColor="text1"/>
        </w:rPr>
        <w:t xml:space="preserve">ID </w:t>
      </w:r>
      <w:r w:rsidR="00C20E2C" w:rsidRPr="00A52AB8">
        <w:rPr>
          <w:color w:val="000000" w:themeColor="text1"/>
        </w:rPr>
        <w:t xml:space="preserve">j </w:t>
      </w:r>
      <w:r w:rsidR="00861813" w:rsidRPr="00A52AB8">
        <w:rPr>
          <w:color w:val="000000" w:themeColor="text1"/>
        </w:rPr>
        <w:t>is first predicted from another, earlier coded</w:t>
      </w:r>
      <w:r w:rsidR="002113F4" w:rsidRPr="00A52AB8">
        <w:rPr>
          <w:color w:val="000000" w:themeColor="text1"/>
        </w:rPr>
        <w:t>,</w:t>
      </w:r>
      <w:r w:rsidR="00861813" w:rsidRPr="00A52AB8">
        <w:rPr>
          <w:color w:val="000000" w:themeColor="text1"/>
        </w:rPr>
        <w:t xml:space="preserve"> </w:t>
      </w:r>
      <w:r w:rsidR="006F36F6" w:rsidRPr="00A52AB8">
        <w:rPr>
          <w:color w:val="000000" w:themeColor="text1"/>
        </w:rPr>
        <w:t>map</w:t>
      </w:r>
      <w:r w:rsidR="00861813" w:rsidRPr="00A52AB8">
        <w:rPr>
          <w:color w:val="000000" w:themeColor="text1"/>
        </w:rPr>
        <w:t xml:space="preserve"> prior to coding. If </w:t>
      </w:r>
      <w:r w:rsidRPr="00A52AB8">
        <w:rPr>
          <w:color w:val="000000" w:themeColor="text1"/>
        </w:rPr>
        <w:t>vps_map_absolute_coding_enabled_flag</w:t>
      </w:r>
      <w:r w:rsidR="001F4484" w:rsidRPr="00A52AB8">
        <w:rPr>
          <w:color w:val="000000" w:themeColor="text1"/>
        </w:rPr>
        <w:t>[ j ][ i ]</w:t>
      </w:r>
      <w:r w:rsidR="00861813" w:rsidRPr="00A52AB8">
        <w:rPr>
          <w:color w:val="000000" w:themeColor="text1"/>
        </w:rPr>
        <w:t xml:space="preserve"> is not present, </w:t>
      </w:r>
      <w:r w:rsidR="00575E9A" w:rsidRPr="00A52AB8">
        <w:rPr>
          <w:color w:val="000000" w:themeColor="text1"/>
        </w:rPr>
        <w:t>its</w:t>
      </w:r>
      <w:r w:rsidR="00861813" w:rsidRPr="00A52AB8">
        <w:rPr>
          <w:color w:val="000000" w:themeColor="text1"/>
        </w:rPr>
        <w:t xml:space="preserve"> value shall be inferred to be equal to 1.</w:t>
      </w:r>
    </w:p>
    <w:p w14:paraId="17530111" w14:textId="10752FF8" w:rsidR="00B36498" w:rsidRPr="00A52AB8" w:rsidRDefault="00A13222">
      <w:pPr>
        <w:rPr>
          <w:color w:val="000000" w:themeColor="text1"/>
        </w:rPr>
      </w:pPr>
      <w:r w:rsidRPr="00A52AB8">
        <w:rPr>
          <w:b/>
          <w:color w:val="000000" w:themeColor="text1"/>
        </w:rPr>
        <w:t>vps_map_predictor_index_diff</w:t>
      </w:r>
      <w:r w:rsidR="001F4484" w:rsidRPr="00A52AB8">
        <w:rPr>
          <w:color w:val="000000" w:themeColor="text1"/>
        </w:rPr>
        <w:t>[ j ][ i ]</w:t>
      </w:r>
      <w:r w:rsidR="00861813" w:rsidRPr="00A52AB8">
        <w:rPr>
          <w:color w:val="000000" w:themeColor="text1"/>
        </w:rPr>
        <w:t xml:space="preserve"> is used to compute the predictor of the geometry </w:t>
      </w:r>
      <w:r w:rsidR="006F36F6" w:rsidRPr="00A52AB8">
        <w:rPr>
          <w:color w:val="000000" w:themeColor="text1"/>
        </w:rPr>
        <w:t>map</w:t>
      </w:r>
      <w:r w:rsidR="00861813" w:rsidRPr="00A52AB8">
        <w:rPr>
          <w:color w:val="000000" w:themeColor="text1"/>
        </w:rPr>
        <w:t xml:space="preserve"> with index i </w:t>
      </w:r>
      <w:r w:rsidR="00C20E2C" w:rsidRPr="00A52AB8">
        <w:rPr>
          <w:color w:val="000000" w:themeColor="text1"/>
        </w:rPr>
        <w:t>for the atlas with</w:t>
      </w:r>
      <w:r w:rsidR="00BF3416" w:rsidRPr="00A52AB8">
        <w:rPr>
          <w:color w:val="000000" w:themeColor="text1"/>
        </w:rPr>
        <w:t xml:space="preserve"> </w:t>
      </w:r>
      <w:r w:rsidR="00E6730E" w:rsidRPr="00A52AB8">
        <w:rPr>
          <w:color w:val="000000" w:themeColor="text1"/>
        </w:rPr>
        <w:t xml:space="preserve">atlas </w:t>
      </w:r>
      <w:r w:rsidR="00BF3416" w:rsidRPr="00A52AB8">
        <w:rPr>
          <w:color w:val="000000" w:themeColor="text1"/>
        </w:rPr>
        <w:t xml:space="preserve">ID </w:t>
      </w:r>
      <w:r w:rsidR="00C20E2C" w:rsidRPr="00A52AB8">
        <w:rPr>
          <w:color w:val="000000" w:themeColor="text1"/>
        </w:rPr>
        <w:t xml:space="preserve">j </w:t>
      </w:r>
      <w:r w:rsidR="00861813" w:rsidRPr="00A52AB8">
        <w:rPr>
          <w:color w:val="000000" w:themeColor="text1"/>
        </w:rPr>
        <w:t xml:space="preserve">when </w:t>
      </w:r>
      <w:r w:rsidRPr="00A52AB8">
        <w:rPr>
          <w:color w:val="000000" w:themeColor="text1"/>
        </w:rPr>
        <w:t>vps_map_absolute_coding_enabled_flag</w:t>
      </w:r>
      <w:r w:rsidR="001F4484" w:rsidRPr="00A52AB8">
        <w:rPr>
          <w:color w:val="000000" w:themeColor="text1"/>
        </w:rPr>
        <w:t>[ j ][ i ]</w:t>
      </w:r>
      <w:r w:rsidR="00861813" w:rsidRPr="00A52AB8">
        <w:rPr>
          <w:color w:val="000000" w:themeColor="text1"/>
        </w:rPr>
        <w:t xml:space="preserve"> is equal to </w:t>
      </w:r>
      <w:r w:rsidR="00B36498" w:rsidRPr="00A52AB8">
        <w:rPr>
          <w:color w:val="000000" w:themeColor="text1"/>
        </w:rPr>
        <w:t>0</w:t>
      </w:r>
      <w:r w:rsidR="00861813" w:rsidRPr="00A52AB8">
        <w:rPr>
          <w:color w:val="000000" w:themeColor="text1"/>
        </w:rPr>
        <w:t>.</w:t>
      </w:r>
      <w:r w:rsidR="00B36498" w:rsidRPr="00A52AB8">
        <w:rPr>
          <w:color w:val="000000" w:themeColor="text1"/>
        </w:rPr>
        <w:t xml:space="preserve"> More specifically, the </w:t>
      </w:r>
      <w:r w:rsidR="006F36F6" w:rsidRPr="00A52AB8">
        <w:rPr>
          <w:color w:val="000000" w:themeColor="text1"/>
        </w:rPr>
        <w:t xml:space="preserve">map </w:t>
      </w:r>
      <w:r w:rsidR="00B36498" w:rsidRPr="00A52AB8">
        <w:rPr>
          <w:color w:val="000000" w:themeColor="text1"/>
        </w:rPr>
        <w:t>predictor index</w:t>
      </w:r>
      <w:r w:rsidR="002113F4" w:rsidRPr="00A52AB8">
        <w:rPr>
          <w:color w:val="000000" w:themeColor="text1"/>
        </w:rPr>
        <w:t xml:space="preserve"> </w:t>
      </w:r>
      <w:r w:rsidR="00B36498" w:rsidRPr="00A52AB8">
        <w:rPr>
          <w:color w:val="000000" w:themeColor="text1"/>
        </w:rPr>
        <w:t xml:space="preserve">for </w:t>
      </w:r>
      <w:r w:rsidR="006F36F6" w:rsidRPr="00A52AB8">
        <w:rPr>
          <w:color w:val="000000" w:themeColor="text1"/>
        </w:rPr>
        <w:t>map</w:t>
      </w:r>
      <w:r w:rsidR="00B36498" w:rsidRPr="00A52AB8">
        <w:rPr>
          <w:color w:val="000000" w:themeColor="text1"/>
        </w:rPr>
        <w:t xml:space="preserve"> i</w:t>
      </w:r>
      <w:r w:rsidR="002113F4" w:rsidRPr="00A52AB8">
        <w:rPr>
          <w:color w:val="000000" w:themeColor="text1"/>
        </w:rPr>
        <w:t xml:space="preserve">, </w:t>
      </w:r>
      <w:r w:rsidR="002113F4" w:rsidRPr="00A52AB8">
        <w:rPr>
          <w:lang w:eastAsia="ja-JP"/>
        </w:rPr>
        <w:t>MapPredictorIndex[ i ],</w:t>
      </w:r>
      <w:r w:rsidR="00B36498" w:rsidRPr="00A52AB8">
        <w:rPr>
          <w:color w:val="000000" w:themeColor="text1"/>
        </w:rPr>
        <w:t xml:space="preserve"> shall be computed as:</w:t>
      </w:r>
    </w:p>
    <w:p w14:paraId="665CA9D6" w14:textId="0FA30869" w:rsidR="00B36498" w:rsidRPr="00A52AB8" w:rsidRDefault="00917EAB" w:rsidP="00A252B5">
      <w:pPr>
        <w:rPr>
          <w:lang w:eastAsia="ja-JP"/>
        </w:rPr>
      </w:pPr>
      <w:r w:rsidRPr="00A52AB8">
        <w:rPr>
          <w:lang w:eastAsia="ja-JP"/>
        </w:rPr>
        <w:tab/>
      </w:r>
      <w:r w:rsidR="006F36F6" w:rsidRPr="00A52AB8">
        <w:rPr>
          <w:lang w:eastAsia="ja-JP"/>
        </w:rPr>
        <w:t>Map</w:t>
      </w:r>
      <w:r w:rsidR="00B36498" w:rsidRPr="00A52AB8">
        <w:rPr>
          <w:lang w:eastAsia="ja-JP"/>
        </w:rPr>
        <w:t>PredictorIndex</w:t>
      </w:r>
      <w:r w:rsidR="00557A16" w:rsidRPr="00A52AB8">
        <w:rPr>
          <w:lang w:eastAsia="ja-JP"/>
        </w:rPr>
        <w:t>[</w:t>
      </w:r>
      <w:r w:rsidR="00956B41" w:rsidRPr="00A52AB8">
        <w:rPr>
          <w:lang w:eastAsia="ja-JP"/>
        </w:rPr>
        <w:t> i </w:t>
      </w:r>
      <w:r w:rsidR="00557A16" w:rsidRPr="00A52AB8">
        <w:rPr>
          <w:lang w:eastAsia="ja-JP"/>
        </w:rPr>
        <w:t>]</w:t>
      </w:r>
      <w:r w:rsidR="00D47707" w:rsidRPr="00A52AB8">
        <w:rPr>
          <w:lang w:eastAsia="ja-JP"/>
        </w:rPr>
        <w:t> = </w:t>
      </w:r>
      <w:r w:rsidR="00B36498" w:rsidRPr="00A52AB8">
        <w:rPr>
          <w:lang w:eastAsia="ja-JP"/>
        </w:rPr>
        <w:t>(i</w:t>
      </w:r>
      <w:r w:rsidR="008566C5" w:rsidRPr="00A52AB8">
        <w:rPr>
          <w:lang w:eastAsia="ja-JP"/>
        </w:rPr>
        <w:t> </w:t>
      </w:r>
      <w:r w:rsidR="00B36498" w:rsidRPr="00A52AB8">
        <w:rPr>
          <w:lang w:eastAsia="ja-JP"/>
        </w:rPr>
        <w:t>–</w:t>
      </w:r>
      <w:r w:rsidR="008566C5" w:rsidRPr="00A52AB8">
        <w:rPr>
          <w:lang w:eastAsia="ja-JP"/>
        </w:rPr>
        <w:t> </w:t>
      </w:r>
      <w:r w:rsidR="00B36498" w:rsidRPr="00A52AB8">
        <w:rPr>
          <w:lang w:eastAsia="ja-JP"/>
        </w:rPr>
        <w:t>1)</w:t>
      </w:r>
      <w:r w:rsidR="008566C5" w:rsidRPr="00A52AB8">
        <w:rPr>
          <w:lang w:eastAsia="ja-JP"/>
        </w:rPr>
        <w:t> </w:t>
      </w:r>
      <w:r w:rsidRPr="00A52AB8">
        <w:rPr>
          <w:lang w:eastAsia="ja-JP"/>
        </w:rPr>
        <w:t>–</w:t>
      </w:r>
      <w:r w:rsidR="008566C5" w:rsidRPr="00A52AB8">
        <w:rPr>
          <w:lang w:eastAsia="ja-JP"/>
        </w:rPr>
        <w:t> </w:t>
      </w:r>
      <w:r w:rsidR="00A13222" w:rsidRPr="00A52AB8">
        <w:rPr>
          <w:lang w:eastAsia="ja-JP"/>
        </w:rPr>
        <w:t>vps_map_predictor_index_diff</w:t>
      </w:r>
      <w:r w:rsidR="001F4484" w:rsidRPr="00A52AB8">
        <w:rPr>
          <w:lang w:eastAsia="ja-JP"/>
        </w:rPr>
        <w:t>[ j ][ i ]</w:t>
      </w:r>
      <w:r w:rsidRPr="00A52AB8">
        <w:rPr>
          <w:lang w:eastAsia="ja-JP"/>
        </w:rPr>
        <w:tab/>
        <w:t>(</w:t>
      </w:r>
      <w:r w:rsidRPr="00496A4D">
        <w:rPr>
          <w:lang w:eastAsia="ja-JP"/>
        </w:rPr>
        <w:fldChar w:fldCharType="begin"/>
      </w:r>
      <w:r w:rsidRPr="00A52AB8">
        <w:rPr>
          <w:lang w:eastAsia="ja-JP"/>
        </w:rPr>
        <w:instrText xml:space="preserve"> SEQ Equation \* ARABIC \</w:instrText>
      </w:r>
      <w:r w:rsidR="00646520" w:rsidRPr="00A52AB8">
        <w:rPr>
          <w:lang w:eastAsia="ja-JP"/>
        </w:rPr>
        <w:instrText>n</w:instrText>
      </w:r>
      <w:r w:rsidRPr="00A52AB8">
        <w:rPr>
          <w:lang w:eastAsia="ja-JP"/>
        </w:rPr>
        <w:instrText xml:space="preserve"> </w:instrText>
      </w:r>
      <w:r w:rsidRPr="00496A4D">
        <w:rPr>
          <w:lang w:eastAsia="ja-JP"/>
        </w:rPr>
        <w:fldChar w:fldCharType="separate"/>
      </w:r>
      <w:r w:rsidR="00507A67">
        <w:rPr>
          <w:noProof/>
          <w:lang w:eastAsia="ja-JP"/>
        </w:rPr>
        <w:t>15</w:t>
      </w:r>
      <w:r w:rsidRPr="00496A4D">
        <w:rPr>
          <w:lang w:eastAsia="ja-JP"/>
        </w:rPr>
        <w:fldChar w:fldCharType="end"/>
      </w:r>
      <w:r w:rsidRPr="00A52AB8">
        <w:rPr>
          <w:lang w:eastAsia="ja-JP"/>
        </w:rPr>
        <w:t>)</w:t>
      </w:r>
    </w:p>
    <w:p w14:paraId="31B53D15" w14:textId="77777777" w:rsidR="0050235C" w:rsidRPr="00A52AB8" w:rsidRDefault="00B36498">
      <w:pPr>
        <w:rPr>
          <w:color w:val="000000" w:themeColor="text1"/>
        </w:rPr>
      </w:pPr>
      <w:r w:rsidRPr="00A52AB8">
        <w:rPr>
          <w:color w:val="000000" w:themeColor="text1"/>
        </w:rPr>
        <w:t xml:space="preserve">The value of </w:t>
      </w:r>
      <w:r w:rsidR="00A13222" w:rsidRPr="00A52AB8">
        <w:rPr>
          <w:color w:val="000000" w:themeColor="text1"/>
        </w:rPr>
        <w:t>vps_map_predictor_index_diff</w:t>
      </w:r>
      <w:r w:rsidR="001F4484" w:rsidRPr="00A52AB8">
        <w:rPr>
          <w:color w:val="000000" w:themeColor="text1"/>
        </w:rPr>
        <w:t>[ j ][ i ]</w:t>
      </w:r>
      <w:r w:rsidRPr="00A52AB8">
        <w:rPr>
          <w:color w:val="000000" w:themeColor="text1"/>
        </w:rPr>
        <w:t xml:space="preserve"> shall be </w:t>
      </w:r>
      <w:r w:rsidR="00861813" w:rsidRPr="00A52AB8">
        <w:rPr>
          <w:color w:val="000000" w:themeColor="text1"/>
        </w:rPr>
        <w:t>i</w:t>
      </w:r>
      <w:r w:rsidRPr="00A52AB8">
        <w:rPr>
          <w:color w:val="000000" w:themeColor="text1"/>
        </w:rPr>
        <w:t xml:space="preserve">n the range from 0 to </w:t>
      </w:r>
      <w:r w:rsidR="007C098C" w:rsidRPr="00A52AB8">
        <w:rPr>
          <w:color w:val="000000" w:themeColor="text1"/>
        </w:rPr>
        <w:t xml:space="preserve">i </w:t>
      </w:r>
      <w:r w:rsidR="00E6730E" w:rsidRPr="00A52AB8">
        <w:rPr>
          <w:color w:val="000000" w:themeColor="text1"/>
        </w:rPr>
        <w:t xml:space="preserve">– </w:t>
      </w:r>
      <w:r w:rsidR="007C098C" w:rsidRPr="00A52AB8">
        <w:rPr>
          <w:color w:val="000000" w:themeColor="text1"/>
        </w:rPr>
        <w:t>1</w:t>
      </w:r>
      <w:r w:rsidRPr="00A52AB8">
        <w:rPr>
          <w:color w:val="000000" w:themeColor="text1"/>
        </w:rPr>
        <w:t xml:space="preserve">, inclusive. When </w:t>
      </w:r>
      <w:r w:rsidR="00A13222" w:rsidRPr="00A52AB8">
        <w:rPr>
          <w:color w:val="000000" w:themeColor="text1"/>
        </w:rPr>
        <w:t>vps_map_predictor_index_diff</w:t>
      </w:r>
      <w:r w:rsidR="001F4484" w:rsidRPr="00A52AB8">
        <w:rPr>
          <w:color w:val="000000" w:themeColor="text1"/>
        </w:rPr>
        <w:t>[ j ][ i ]</w:t>
      </w:r>
      <w:r w:rsidRPr="00A52AB8">
        <w:rPr>
          <w:color w:val="000000" w:themeColor="text1"/>
        </w:rPr>
        <w:t xml:space="preserve"> is not present, </w:t>
      </w:r>
      <w:r w:rsidR="00575E9A" w:rsidRPr="00A52AB8">
        <w:rPr>
          <w:color w:val="000000" w:themeColor="text1"/>
        </w:rPr>
        <w:t>its</w:t>
      </w:r>
      <w:r w:rsidRPr="00A52AB8">
        <w:rPr>
          <w:color w:val="000000" w:themeColor="text1"/>
        </w:rPr>
        <w:t xml:space="preserve"> value shall be inferred to be equal to 0.</w:t>
      </w:r>
    </w:p>
    <w:p w14:paraId="0834A3C1" w14:textId="354510D0" w:rsidR="00ED2CA9" w:rsidRPr="00A52AB8" w:rsidRDefault="00A13222">
      <w:pPr>
        <w:rPr>
          <w:color w:val="000000" w:themeColor="text1"/>
        </w:rPr>
      </w:pPr>
      <w:bookmarkStart w:id="798" w:name="_Hlk19694667"/>
      <w:r w:rsidRPr="00A52AB8">
        <w:rPr>
          <w:b/>
          <w:color w:val="000000" w:themeColor="text1"/>
        </w:rPr>
        <w:t>vps_</w:t>
      </w:r>
      <w:r w:rsidR="004A5D0A" w:rsidRPr="00A52AB8">
        <w:rPr>
          <w:b/>
          <w:color w:val="000000" w:themeColor="text1"/>
        </w:rPr>
        <w:t>auxiliary</w:t>
      </w:r>
      <w:r w:rsidRPr="00A52AB8">
        <w:rPr>
          <w:b/>
          <w:color w:val="000000" w:themeColor="text1"/>
        </w:rPr>
        <w:t>_video_present_flag</w:t>
      </w:r>
      <w:r w:rsidR="001F4484" w:rsidRPr="00A52AB8">
        <w:rPr>
          <w:color w:val="000000" w:themeColor="text1"/>
        </w:rPr>
        <w:t>[ j ]</w:t>
      </w:r>
      <w:r w:rsidR="00885028" w:rsidRPr="00A52AB8" w:rsidDel="00885028">
        <w:rPr>
          <w:b/>
          <w:color w:val="000000" w:themeColor="text1"/>
        </w:rPr>
        <w:t xml:space="preserve"> </w:t>
      </w:r>
      <w:r w:rsidR="00FD5A7E" w:rsidRPr="00A52AB8">
        <w:rPr>
          <w:color w:val="000000" w:themeColor="text1"/>
        </w:rPr>
        <w:t xml:space="preserve">equal to 1 indicates that </w:t>
      </w:r>
      <w:r w:rsidR="00F26836" w:rsidRPr="00A52AB8">
        <w:rPr>
          <w:color w:val="000000" w:themeColor="text1"/>
        </w:rPr>
        <w:t xml:space="preserve">additional </w:t>
      </w:r>
      <w:r w:rsidR="00FD5A7E" w:rsidRPr="00A52AB8">
        <w:rPr>
          <w:color w:val="000000" w:themeColor="text1"/>
        </w:rPr>
        <w:t>information</w:t>
      </w:r>
      <w:r w:rsidR="00F26836" w:rsidRPr="00A52AB8">
        <w:rPr>
          <w:color w:val="000000" w:themeColor="text1"/>
        </w:rPr>
        <w:t>, i.e. information associated with RAW or EOM patch types, for a patch</w:t>
      </w:r>
      <w:r w:rsidR="00FD5A7E" w:rsidRPr="00A52AB8">
        <w:rPr>
          <w:color w:val="000000" w:themeColor="text1"/>
        </w:rPr>
        <w:t xml:space="preserve"> </w:t>
      </w:r>
      <w:r w:rsidR="00F26836" w:rsidRPr="00A52AB8">
        <w:rPr>
          <w:color w:val="000000" w:themeColor="text1"/>
        </w:rPr>
        <w:t xml:space="preserve">in </w:t>
      </w:r>
      <w:r w:rsidR="00C20E2C" w:rsidRPr="00A52AB8">
        <w:rPr>
          <w:color w:val="000000" w:themeColor="text1"/>
        </w:rPr>
        <w:t>the atlas with</w:t>
      </w:r>
      <w:r w:rsidR="00BF3416" w:rsidRPr="00A52AB8">
        <w:rPr>
          <w:color w:val="000000" w:themeColor="text1"/>
        </w:rPr>
        <w:t xml:space="preserve"> </w:t>
      </w:r>
      <w:r w:rsidR="00F26836" w:rsidRPr="00A52AB8">
        <w:rPr>
          <w:color w:val="000000" w:themeColor="text1"/>
        </w:rPr>
        <w:t xml:space="preserve">atlas </w:t>
      </w:r>
      <w:r w:rsidR="00BF3416" w:rsidRPr="00A52AB8">
        <w:rPr>
          <w:color w:val="000000" w:themeColor="text1"/>
        </w:rPr>
        <w:t xml:space="preserve">ID </w:t>
      </w:r>
      <w:r w:rsidR="00C20E2C" w:rsidRPr="00A52AB8">
        <w:rPr>
          <w:color w:val="000000" w:themeColor="text1"/>
        </w:rPr>
        <w:t>j</w:t>
      </w:r>
      <w:r w:rsidR="00F26836" w:rsidRPr="00A52AB8">
        <w:rPr>
          <w:color w:val="000000" w:themeColor="text1"/>
        </w:rPr>
        <w:t xml:space="preserve"> </w:t>
      </w:r>
      <w:r w:rsidR="00885028" w:rsidRPr="00A52AB8">
        <w:rPr>
          <w:color w:val="000000" w:themeColor="text1"/>
        </w:rPr>
        <w:t xml:space="preserve">may be </w:t>
      </w:r>
      <w:r w:rsidR="00FD5A7E" w:rsidRPr="00A52AB8">
        <w:rPr>
          <w:color w:val="000000" w:themeColor="text1"/>
        </w:rPr>
        <w:t xml:space="preserve">stored </w:t>
      </w:r>
      <w:r w:rsidR="00885028" w:rsidRPr="00A52AB8">
        <w:rPr>
          <w:color w:val="000000" w:themeColor="text1"/>
        </w:rPr>
        <w:t xml:space="preserve">in </w:t>
      </w:r>
      <w:r w:rsidR="00FD5A7E" w:rsidRPr="00A52AB8">
        <w:rPr>
          <w:color w:val="000000" w:themeColor="text1"/>
        </w:rPr>
        <w:t>a separate video</w:t>
      </w:r>
      <w:r w:rsidR="00885028" w:rsidRPr="00A52AB8">
        <w:rPr>
          <w:color w:val="000000" w:themeColor="text1"/>
        </w:rPr>
        <w:t xml:space="preserve"> stream</w:t>
      </w:r>
      <w:r w:rsidR="004A5D0A" w:rsidRPr="00A52AB8">
        <w:rPr>
          <w:color w:val="000000" w:themeColor="text1"/>
        </w:rPr>
        <w:t>, refer</w:t>
      </w:r>
      <w:r w:rsidR="002113F4" w:rsidRPr="00A52AB8">
        <w:rPr>
          <w:color w:val="000000" w:themeColor="text1"/>
        </w:rPr>
        <w:t>r</w:t>
      </w:r>
      <w:r w:rsidR="004A5D0A" w:rsidRPr="00A52AB8">
        <w:rPr>
          <w:color w:val="000000" w:themeColor="text1"/>
        </w:rPr>
        <w:t>ed to as the auxiliary video stream</w:t>
      </w:r>
      <w:r w:rsidR="00FD5A7E" w:rsidRPr="00A52AB8">
        <w:rPr>
          <w:color w:val="000000" w:themeColor="text1"/>
        </w:rPr>
        <w:t xml:space="preserve">. </w:t>
      </w:r>
      <w:r w:rsidRPr="00A52AB8">
        <w:rPr>
          <w:color w:val="000000" w:themeColor="text1"/>
        </w:rPr>
        <w:t>vps_</w:t>
      </w:r>
      <w:r w:rsidR="004A5D0A" w:rsidRPr="00A52AB8">
        <w:rPr>
          <w:color w:val="000000" w:themeColor="text1"/>
        </w:rPr>
        <w:t>auxiliary</w:t>
      </w:r>
      <w:r w:rsidRPr="00A52AB8">
        <w:rPr>
          <w:color w:val="000000" w:themeColor="text1"/>
        </w:rPr>
        <w:t>_video_present_flag</w:t>
      </w:r>
      <w:r w:rsidR="001F4484" w:rsidRPr="00A52AB8">
        <w:rPr>
          <w:color w:val="000000" w:themeColor="text1"/>
        </w:rPr>
        <w:t>[ j ]</w:t>
      </w:r>
      <w:r w:rsidR="00885028" w:rsidRPr="00A52AB8" w:rsidDel="00885028">
        <w:rPr>
          <w:color w:val="000000" w:themeColor="text1"/>
        </w:rPr>
        <w:t xml:space="preserve"> </w:t>
      </w:r>
      <w:r w:rsidR="00FD5A7E" w:rsidRPr="00A52AB8">
        <w:rPr>
          <w:color w:val="000000" w:themeColor="text1"/>
        </w:rPr>
        <w:t xml:space="preserve">equal to 0 </w:t>
      </w:r>
      <w:r w:rsidR="004F063A" w:rsidRPr="00A52AB8">
        <w:rPr>
          <w:color w:val="000000" w:themeColor="text1"/>
        </w:rPr>
        <w:t xml:space="preserve">indicates </w:t>
      </w:r>
      <w:r w:rsidR="00FD5A7E" w:rsidRPr="00A52AB8">
        <w:rPr>
          <w:color w:val="000000" w:themeColor="text1"/>
        </w:rPr>
        <w:t xml:space="preserve">that </w:t>
      </w:r>
      <w:r w:rsidR="00F26836" w:rsidRPr="00A52AB8">
        <w:rPr>
          <w:color w:val="000000" w:themeColor="text1"/>
        </w:rPr>
        <w:t xml:space="preserve">additional </w:t>
      </w:r>
      <w:r w:rsidR="004F063A" w:rsidRPr="00A52AB8">
        <w:rPr>
          <w:color w:val="000000" w:themeColor="text1"/>
        </w:rPr>
        <w:t>information</w:t>
      </w:r>
      <w:r w:rsidR="00F26836" w:rsidRPr="00A52AB8">
        <w:rPr>
          <w:color w:val="000000" w:themeColor="text1"/>
        </w:rPr>
        <w:t>, i.e. information associated with RAW or EOM patch types, for a patch in</w:t>
      </w:r>
      <w:r w:rsidR="008D7C68" w:rsidRPr="00A52AB8">
        <w:rPr>
          <w:color w:val="000000" w:themeColor="text1"/>
        </w:rPr>
        <w:t xml:space="preserve"> the </w:t>
      </w:r>
      <w:r w:rsidR="00C175F4" w:rsidRPr="00A52AB8">
        <w:rPr>
          <w:color w:val="000000" w:themeColor="text1"/>
        </w:rPr>
        <w:t xml:space="preserve">atlas with atlas ID </w:t>
      </w:r>
      <w:r w:rsidR="008D7C68" w:rsidRPr="00A52AB8">
        <w:rPr>
          <w:color w:val="000000" w:themeColor="text1"/>
        </w:rPr>
        <w:t xml:space="preserve">j </w:t>
      </w:r>
      <w:r w:rsidR="00885028" w:rsidRPr="00A52AB8">
        <w:rPr>
          <w:color w:val="000000" w:themeColor="text1"/>
        </w:rPr>
        <w:t>shall</w:t>
      </w:r>
      <w:r w:rsidR="004F063A" w:rsidRPr="00A52AB8">
        <w:rPr>
          <w:color w:val="000000" w:themeColor="text1"/>
        </w:rPr>
        <w:t xml:space="preserve"> </w:t>
      </w:r>
      <w:r w:rsidR="00FD5A7E" w:rsidRPr="00A52AB8">
        <w:rPr>
          <w:color w:val="000000" w:themeColor="text1"/>
        </w:rPr>
        <w:t xml:space="preserve">not </w:t>
      </w:r>
      <w:r w:rsidR="00885028" w:rsidRPr="00A52AB8">
        <w:rPr>
          <w:color w:val="000000" w:themeColor="text1"/>
        </w:rPr>
        <w:t xml:space="preserve">be </w:t>
      </w:r>
      <w:r w:rsidR="004F063A" w:rsidRPr="00A52AB8">
        <w:rPr>
          <w:color w:val="000000" w:themeColor="text1"/>
        </w:rPr>
        <w:t xml:space="preserve">stored </w:t>
      </w:r>
      <w:r w:rsidR="00885028" w:rsidRPr="00A52AB8">
        <w:rPr>
          <w:color w:val="000000" w:themeColor="text1"/>
        </w:rPr>
        <w:t xml:space="preserve">in </w:t>
      </w:r>
      <w:r w:rsidR="00F26836" w:rsidRPr="00A52AB8">
        <w:rPr>
          <w:color w:val="000000" w:themeColor="text1"/>
        </w:rPr>
        <w:t xml:space="preserve">the auxiliary </w:t>
      </w:r>
      <w:r w:rsidR="004F063A" w:rsidRPr="00A52AB8">
        <w:rPr>
          <w:color w:val="000000" w:themeColor="text1"/>
        </w:rPr>
        <w:t>video</w:t>
      </w:r>
      <w:r w:rsidR="00885028" w:rsidRPr="00A52AB8">
        <w:rPr>
          <w:color w:val="000000" w:themeColor="text1"/>
        </w:rPr>
        <w:t xml:space="preserve"> stream</w:t>
      </w:r>
      <w:r w:rsidR="004F063A" w:rsidRPr="00A52AB8">
        <w:rPr>
          <w:color w:val="000000" w:themeColor="text1"/>
        </w:rPr>
        <w:t>.</w:t>
      </w:r>
      <w:r w:rsidR="00FD5A7E" w:rsidRPr="00A52AB8">
        <w:rPr>
          <w:color w:val="000000" w:themeColor="text1"/>
        </w:rPr>
        <w:t xml:space="preserve"> When </w:t>
      </w:r>
      <w:r w:rsidRPr="00A52AB8">
        <w:rPr>
          <w:color w:val="000000" w:themeColor="text1"/>
        </w:rPr>
        <w:t>vps_</w:t>
      </w:r>
      <w:r w:rsidR="004A5D0A" w:rsidRPr="00A52AB8">
        <w:rPr>
          <w:color w:val="000000" w:themeColor="text1"/>
        </w:rPr>
        <w:t>auxiliary</w:t>
      </w:r>
      <w:r w:rsidRPr="00A52AB8">
        <w:rPr>
          <w:color w:val="000000" w:themeColor="text1"/>
        </w:rPr>
        <w:t>_video_present_flag</w:t>
      </w:r>
      <w:r w:rsidR="001F4484" w:rsidRPr="00A52AB8">
        <w:rPr>
          <w:color w:val="000000" w:themeColor="text1"/>
        </w:rPr>
        <w:t>[ j ]</w:t>
      </w:r>
      <w:r w:rsidR="00885028" w:rsidRPr="00A52AB8" w:rsidDel="00885028">
        <w:rPr>
          <w:color w:val="000000" w:themeColor="text1"/>
        </w:rPr>
        <w:t xml:space="preserve"> </w:t>
      </w:r>
      <w:r w:rsidR="00FD5A7E" w:rsidRPr="00A52AB8">
        <w:rPr>
          <w:color w:val="000000" w:themeColor="text1"/>
        </w:rPr>
        <w:t>is not present, it is inferred to be equal to 0.</w:t>
      </w:r>
      <w:bookmarkEnd w:id="798"/>
    </w:p>
    <w:p w14:paraId="667AE68C" w14:textId="5B5B1E27" w:rsidR="00C046CB" w:rsidRPr="00A52AB8" w:rsidRDefault="00C046CB" w:rsidP="00C046CB">
      <w:pPr>
        <w:rPr>
          <w:color w:val="000000" w:themeColor="text1"/>
        </w:rPr>
      </w:pPr>
      <w:r w:rsidRPr="00A52AB8">
        <w:rPr>
          <w:b/>
          <w:bCs/>
          <w:color w:val="000000" w:themeColor="text1"/>
        </w:rPr>
        <w:t>vps_occupancy_</w:t>
      </w:r>
      <w:r w:rsidR="003356F2" w:rsidRPr="00A52AB8">
        <w:rPr>
          <w:b/>
          <w:bCs/>
          <w:color w:val="000000" w:themeColor="text1"/>
        </w:rPr>
        <w:t>video_</w:t>
      </w:r>
      <w:r w:rsidRPr="00A52AB8">
        <w:rPr>
          <w:b/>
          <w:bCs/>
          <w:color w:val="000000" w:themeColor="text1"/>
        </w:rPr>
        <w:t>present_flag</w:t>
      </w:r>
      <w:r w:rsidRPr="00A52AB8">
        <w:rPr>
          <w:color w:val="000000" w:themeColor="text1"/>
        </w:rPr>
        <w:t>[ j ]</w:t>
      </w:r>
      <w:r w:rsidRPr="00A52AB8" w:rsidDel="00885028">
        <w:rPr>
          <w:b/>
          <w:color w:val="000000" w:themeColor="text1"/>
        </w:rPr>
        <w:t xml:space="preserve"> </w:t>
      </w:r>
      <w:r w:rsidRPr="00A52AB8">
        <w:rPr>
          <w:color w:val="000000" w:themeColor="text1"/>
        </w:rPr>
        <w:t>equal to 0 indicates that the atlas with</w:t>
      </w:r>
      <w:r w:rsidR="00BF3416" w:rsidRPr="00A52AB8">
        <w:rPr>
          <w:color w:val="000000" w:themeColor="text1"/>
        </w:rPr>
        <w:t xml:space="preserve"> </w:t>
      </w:r>
      <w:r w:rsidR="00E6730E" w:rsidRPr="00A52AB8">
        <w:rPr>
          <w:color w:val="000000" w:themeColor="text1"/>
        </w:rPr>
        <w:t xml:space="preserve">atlas </w:t>
      </w:r>
      <w:r w:rsidR="00BF3416" w:rsidRPr="00A52AB8">
        <w:rPr>
          <w:color w:val="000000" w:themeColor="text1"/>
        </w:rPr>
        <w:t xml:space="preserve">ID </w:t>
      </w:r>
      <w:r w:rsidRPr="00A52AB8">
        <w:rPr>
          <w:color w:val="000000" w:themeColor="text1"/>
        </w:rPr>
        <w:t xml:space="preserve">j does not have occupancy </w:t>
      </w:r>
      <w:r w:rsidR="00785051" w:rsidRPr="00A52AB8">
        <w:rPr>
          <w:color w:val="000000" w:themeColor="text1"/>
        </w:rPr>
        <w:t xml:space="preserve">video </w:t>
      </w:r>
      <w:r w:rsidRPr="00A52AB8">
        <w:rPr>
          <w:color w:val="000000" w:themeColor="text1"/>
        </w:rPr>
        <w:t>data</w:t>
      </w:r>
      <w:r w:rsidR="00785051" w:rsidRPr="00A52AB8">
        <w:rPr>
          <w:color w:val="000000" w:themeColor="text1"/>
        </w:rPr>
        <w:t xml:space="preserve"> associated with it</w:t>
      </w:r>
      <w:r w:rsidRPr="00A52AB8">
        <w:rPr>
          <w:color w:val="000000" w:themeColor="text1"/>
        </w:rPr>
        <w:t>. vps_occupancy</w:t>
      </w:r>
      <w:r w:rsidR="003356F2" w:rsidRPr="00A52AB8">
        <w:rPr>
          <w:b/>
          <w:bCs/>
          <w:color w:val="000000" w:themeColor="text1"/>
        </w:rPr>
        <w:t>_</w:t>
      </w:r>
      <w:r w:rsidR="003356F2" w:rsidRPr="00A52AB8">
        <w:rPr>
          <w:color w:val="000000" w:themeColor="text1"/>
        </w:rPr>
        <w:t>video_</w:t>
      </w:r>
      <w:r w:rsidRPr="00A52AB8">
        <w:rPr>
          <w:color w:val="000000" w:themeColor="text1"/>
        </w:rPr>
        <w:t>present_flag[</w:t>
      </w:r>
      <w:r w:rsidR="00F00BE1" w:rsidRPr="00A52AB8">
        <w:rPr>
          <w:color w:val="000000" w:themeColor="text1"/>
        </w:rPr>
        <w:t> </w:t>
      </w:r>
      <w:r w:rsidRPr="00A52AB8">
        <w:rPr>
          <w:color w:val="000000" w:themeColor="text1"/>
        </w:rPr>
        <w:t>j</w:t>
      </w:r>
      <w:r w:rsidR="00F00BE1" w:rsidRPr="00A52AB8">
        <w:rPr>
          <w:color w:val="000000" w:themeColor="text1"/>
        </w:rPr>
        <w:t> </w:t>
      </w:r>
      <w:r w:rsidRPr="00A52AB8">
        <w:rPr>
          <w:color w:val="000000" w:themeColor="text1"/>
        </w:rPr>
        <w:t>] equal to 1 indicates that the atlas with</w:t>
      </w:r>
      <w:r w:rsidR="00BF3416" w:rsidRPr="00A52AB8">
        <w:rPr>
          <w:color w:val="000000" w:themeColor="text1"/>
        </w:rPr>
        <w:t xml:space="preserve"> </w:t>
      </w:r>
      <w:r w:rsidR="00E6730E" w:rsidRPr="00A52AB8">
        <w:rPr>
          <w:color w:val="000000" w:themeColor="text1"/>
        </w:rPr>
        <w:t xml:space="preserve">atlas </w:t>
      </w:r>
      <w:r w:rsidR="00BF3416" w:rsidRPr="00A52AB8">
        <w:rPr>
          <w:color w:val="000000" w:themeColor="text1"/>
        </w:rPr>
        <w:t xml:space="preserve">ID </w:t>
      </w:r>
      <w:r w:rsidRPr="00A52AB8">
        <w:rPr>
          <w:color w:val="000000" w:themeColor="text1"/>
        </w:rPr>
        <w:t xml:space="preserve">j shall have occupancy </w:t>
      </w:r>
      <w:r w:rsidR="00785051" w:rsidRPr="00A52AB8">
        <w:rPr>
          <w:color w:val="000000" w:themeColor="text1"/>
        </w:rPr>
        <w:t xml:space="preserve">video </w:t>
      </w:r>
      <w:r w:rsidRPr="00A52AB8">
        <w:rPr>
          <w:color w:val="000000" w:themeColor="text1"/>
        </w:rPr>
        <w:t>data</w:t>
      </w:r>
      <w:r w:rsidR="00785051" w:rsidRPr="00A52AB8">
        <w:rPr>
          <w:color w:val="000000" w:themeColor="text1"/>
        </w:rPr>
        <w:t xml:space="preserve"> associated with it</w:t>
      </w:r>
      <w:r w:rsidR="00A82F3A" w:rsidRPr="00A52AB8">
        <w:rPr>
          <w:color w:val="000000" w:themeColor="text1"/>
        </w:rPr>
        <w:t>.</w:t>
      </w:r>
      <w:r w:rsidRPr="00A52AB8">
        <w:rPr>
          <w:color w:val="000000" w:themeColor="text1"/>
        </w:rPr>
        <w:t xml:space="preserve"> When vps_occupancy_</w:t>
      </w:r>
      <w:r w:rsidR="003356F2" w:rsidRPr="00A52AB8">
        <w:rPr>
          <w:color w:val="000000" w:themeColor="text1"/>
        </w:rPr>
        <w:t>video_</w:t>
      </w:r>
      <w:r w:rsidRPr="00A52AB8">
        <w:rPr>
          <w:color w:val="000000" w:themeColor="text1"/>
        </w:rPr>
        <w:t>present_flag[ j ]</w:t>
      </w:r>
      <w:r w:rsidRPr="00A52AB8" w:rsidDel="00885028">
        <w:rPr>
          <w:b/>
          <w:color w:val="000000" w:themeColor="text1"/>
        </w:rPr>
        <w:t xml:space="preserve"> </w:t>
      </w:r>
      <w:r w:rsidRPr="00A52AB8">
        <w:rPr>
          <w:color w:val="000000" w:themeColor="text1"/>
        </w:rPr>
        <w:t>is not present, it is inferred to be equal to 1.</w:t>
      </w:r>
    </w:p>
    <w:p w14:paraId="13EB74FC" w14:textId="3B743761" w:rsidR="00C046CB" w:rsidRPr="00A52AB8" w:rsidRDefault="00C046CB" w:rsidP="00C046CB">
      <w:pPr>
        <w:rPr>
          <w:color w:val="000000" w:themeColor="text1"/>
        </w:rPr>
      </w:pPr>
      <w:r w:rsidRPr="00A52AB8">
        <w:rPr>
          <w:b/>
          <w:bCs/>
          <w:color w:val="000000" w:themeColor="text1"/>
        </w:rPr>
        <w:t>vps_geometry_</w:t>
      </w:r>
      <w:r w:rsidR="003356F2" w:rsidRPr="00A52AB8">
        <w:rPr>
          <w:b/>
          <w:bCs/>
          <w:color w:val="000000" w:themeColor="text1"/>
        </w:rPr>
        <w:t>video_</w:t>
      </w:r>
      <w:r w:rsidRPr="00A52AB8">
        <w:rPr>
          <w:b/>
          <w:bCs/>
          <w:color w:val="000000" w:themeColor="text1"/>
        </w:rPr>
        <w:t>present_flag</w:t>
      </w:r>
      <w:r w:rsidRPr="00A52AB8">
        <w:rPr>
          <w:color w:val="000000" w:themeColor="text1"/>
        </w:rPr>
        <w:t>[ j ]</w:t>
      </w:r>
      <w:r w:rsidRPr="00A52AB8" w:rsidDel="00885028">
        <w:rPr>
          <w:b/>
          <w:color w:val="000000" w:themeColor="text1"/>
        </w:rPr>
        <w:t xml:space="preserve"> </w:t>
      </w:r>
      <w:r w:rsidRPr="00A52AB8">
        <w:rPr>
          <w:color w:val="000000" w:themeColor="text1"/>
        </w:rPr>
        <w:t>equal to 0 indicates that the atlas with</w:t>
      </w:r>
      <w:r w:rsidR="00BF3416" w:rsidRPr="00A52AB8">
        <w:rPr>
          <w:color w:val="000000" w:themeColor="text1"/>
        </w:rPr>
        <w:t xml:space="preserve"> </w:t>
      </w:r>
      <w:r w:rsidR="00E6730E" w:rsidRPr="00A52AB8">
        <w:rPr>
          <w:color w:val="000000" w:themeColor="text1"/>
        </w:rPr>
        <w:t xml:space="preserve">atlas </w:t>
      </w:r>
      <w:r w:rsidR="00BF3416" w:rsidRPr="00A52AB8">
        <w:rPr>
          <w:color w:val="000000" w:themeColor="text1"/>
        </w:rPr>
        <w:t xml:space="preserve">ID </w:t>
      </w:r>
      <w:r w:rsidRPr="00A52AB8">
        <w:rPr>
          <w:color w:val="000000" w:themeColor="text1"/>
        </w:rPr>
        <w:t xml:space="preserve">j does not have geometry </w:t>
      </w:r>
      <w:r w:rsidR="00D650E8" w:rsidRPr="00A52AB8">
        <w:rPr>
          <w:color w:val="000000" w:themeColor="text1"/>
        </w:rPr>
        <w:t xml:space="preserve">video </w:t>
      </w:r>
      <w:r w:rsidRPr="00A52AB8">
        <w:rPr>
          <w:color w:val="000000" w:themeColor="text1"/>
        </w:rPr>
        <w:t>data</w:t>
      </w:r>
      <w:r w:rsidR="00F00BE1" w:rsidRPr="00A52AB8">
        <w:rPr>
          <w:color w:val="000000" w:themeColor="text1"/>
        </w:rPr>
        <w:t xml:space="preserve"> associated with it</w:t>
      </w:r>
      <w:r w:rsidRPr="00A52AB8">
        <w:rPr>
          <w:color w:val="000000" w:themeColor="text1"/>
        </w:rPr>
        <w:t>. vps_geometry_</w:t>
      </w:r>
      <w:r w:rsidR="003356F2" w:rsidRPr="00A52AB8">
        <w:rPr>
          <w:color w:val="000000" w:themeColor="text1"/>
        </w:rPr>
        <w:t>video_</w:t>
      </w:r>
      <w:r w:rsidRPr="00A52AB8">
        <w:rPr>
          <w:color w:val="000000" w:themeColor="text1"/>
        </w:rPr>
        <w:t>present_flag[ j ]</w:t>
      </w:r>
      <w:r w:rsidRPr="00A52AB8" w:rsidDel="00885028">
        <w:rPr>
          <w:b/>
          <w:color w:val="000000" w:themeColor="text1"/>
        </w:rPr>
        <w:t xml:space="preserve"> </w:t>
      </w:r>
      <w:r w:rsidRPr="00A52AB8">
        <w:rPr>
          <w:color w:val="000000" w:themeColor="text1"/>
        </w:rPr>
        <w:t>equal to 1 indicates that the atlas with</w:t>
      </w:r>
      <w:r w:rsidR="00BF3416" w:rsidRPr="00A52AB8">
        <w:rPr>
          <w:color w:val="000000" w:themeColor="text1"/>
        </w:rPr>
        <w:t xml:space="preserve"> </w:t>
      </w:r>
      <w:r w:rsidR="00E6730E" w:rsidRPr="00A52AB8">
        <w:rPr>
          <w:color w:val="000000" w:themeColor="text1"/>
        </w:rPr>
        <w:t xml:space="preserve">atlas </w:t>
      </w:r>
      <w:r w:rsidR="00BF3416" w:rsidRPr="00A52AB8">
        <w:rPr>
          <w:color w:val="000000" w:themeColor="text1"/>
        </w:rPr>
        <w:t xml:space="preserve">ID </w:t>
      </w:r>
      <w:r w:rsidRPr="00A52AB8">
        <w:rPr>
          <w:color w:val="000000" w:themeColor="text1"/>
        </w:rPr>
        <w:t xml:space="preserve">j shall have geometry </w:t>
      </w:r>
      <w:r w:rsidR="00785051" w:rsidRPr="00A52AB8">
        <w:rPr>
          <w:color w:val="000000" w:themeColor="text1"/>
        </w:rPr>
        <w:t xml:space="preserve">video </w:t>
      </w:r>
      <w:r w:rsidRPr="00A52AB8">
        <w:rPr>
          <w:color w:val="000000" w:themeColor="text1"/>
        </w:rPr>
        <w:t>data</w:t>
      </w:r>
      <w:r w:rsidR="00F00BE1" w:rsidRPr="00A52AB8">
        <w:rPr>
          <w:color w:val="000000" w:themeColor="text1"/>
        </w:rPr>
        <w:t xml:space="preserve"> associated with it</w:t>
      </w:r>
      <w:r w:rsidR="00A82F3A" w:rsidRPr="00A52AB8">
        <w:rPr>
          <w:color w:val="000000" w:themeColor="text1"/>
        </w:rPr>
        <w:t>.</w:t>
      </w:r>
      <w:r w:rsidRPr="00A52AB8">
        <w:rPr>
          <w:color w:val="000000" w:themeColor="text1"/>
        </w:rPr>
        <w:t xml:space="preserve"> When vps_geometry_</w:t>
      </w:r>
      <w:r w:rsidR="003356F2" w:rsidRPr="00A52AB8">
        <w:rPr>
          <w:color w:val="000000" w:themeColor="text1"/>
        </w:rPr>
        <w:t>video_</w:t>
      </w:r>
      <w:r w:rsidRPr="00A52AB8">
        <w:rPr>
          <w:color w:val="000000" w:themeColor="text1"/>
        </w:rPr>
        <w:t>present_flag[ j ]</w:t>
      </w:r>
      <w:r w:rsidRPr="00A52AB8" w:rsidDel="00885028">
        <w:rPr>
          <w:b/>
          <w:color w:val="000000" w:themeColor="text1"/>
        </w:rPr>
        <w:t xml:space="preserve"> </w:t>
      </w:r>
      <w:r w:rsidRPr="00A52AB8">
        <w:rPr>
          <w:color w:val="000000" w:themeColor="text1"/>
        </w:rPr>
        <w:t>is not present, it is inferred to be equal to 1.</w:t>
      </w:r>
    </w:p>
    <w:p w14:paraId="4AF39F25" w14:textId="478A07FB" w:rsidR="00C046CB" w:rsidRPr="00A52AB8" w:rsidRDefault="00C046CB" w:rsidP="00C046CB">
      <w:pPr>
        <w:rPr>
          <w:color w:val="000000" w:themeColor="text1"/>
        </w:rPr>
      </w:pPr>
      <w:r w:rsidRPr="00A52AB8">
        <w:rPr>
          <w:b/>
          <w:bCs/>
          <w:color w:val="000000" w:themeColor="text1"/>
        </w:rPr>
        <w:t>vps_attribute_</w:t>
      </w:r>
      <w:r w:rsidR="003356F2" w:rsidRPr="00A52AB8">
        <w:rPr>
          <w:b/>
          <w:bCs/>
          <w:color w:val="000000" w:themeColor="text1"/>
        </w:rPr>
        <w:t>video_</w:t>
      </w:r>
      <w:r w:rsidRPr="00A52AB8">
        <w:rPr>
          <w:b/>
          <w:bCs/>
          <w:color w:val="000000" w:themeColor="text1"/>
        </w:rPr>
        <w:t>present_flag</w:t>
      </w:r>
      <w:r w:rsidRPr="00A52AB8">
        <w:rPr>
          <w:color w:val="000000" w:themeColor="text1"/>
        </w:rPr>
        <w:t>[ j ]</w:t>
      </w:r>
      <w:r w:rsidRPr="00A52AB8" w:rsidDel="00885028">
        <w:rPr>
          <w:b/>
          <w:color w:val="000000" w:themeColor="text1"/>
        </w:rPr>
        <w:t xml:space="preserve"> </w:t>
      </w:r>
      <w:r w:rsidRPr="00A52AB8">
        <w:rPr>
          <w:color w:val="000000" w:themeColor="text1"/>
        </w:rPr>
        <w:t>equal to 0 indicates that the atlas with</w:t>
      </w:r>
      <w:r w:rsidR="00E6730E" w:rsidRPr="00A52AB8">
        <w:rPr>
          <w:color w:val="000000" w:themeColor="text1"/>
        </w:rPr>
        <w:t xml:space="preserve"> atlas</w:t>
      </w:r>
      <w:r w:rsidR="00BF3416" w:rsidRPr="00A52AB8">
        <w:rPr>
          <w:color w:val="000000" w:themeColor="text1"/>
        </w:rPr>
        <w:t xml:space="preserve"> ID </w:t>
      </w:r>
      <w:r w:rsidRPr="00A52AB8">
        <w:rPr>
          <w:color w:val="000000" w:themeColor="text1"/>
        </w:rPr>
        <w:t xml:space="preserve">j does not have attribute </w:t>
      </w:r>
      <w:r w:rsidR="00785051" w:rsidRPr="00A52AB8">
        <w:rPr>
          <w:color w:val="000000" w:themeColor="text1"/>
        </w:rPr>
        <w:t xml:space="preserve">video </w:t>
      </w:r>
      <w:r w:rsidRPr="00A52AB8">
        <w:rPr>
          <w:color w:val="000000" w:themeColor="text1"/>
        </w:rPr>
        <w:t>data</w:t>
      </w:r>
      <w:r w:rsidR="00785051" w:rsidRPr="00A52AB8">
        <w:rPr>
          <w:color w:val="000000" w:themeColor="text1"/>
        </w:rPr>
        <w:t xml:space="preserve"> associated with it</w:t>
      </w:r>
      <w:r w:rsidRPr="00A52AB8">
        <w:rPr>
          <w:color w:val="000000" w:themeColor="text1"/>
        </w:rPr>
        <w:t>. vps_attribute_video_present_flag[ j ]</w:t>
      </w:r>
      <w:r w:rsidRPr="00A52AB8" w:rsidDel="00885028">
        <w:rPr>
          <w:b/>
          <w:color w:val="000000" w:themeColor="text1"/>
        </w:rPr>
        <w:t xml:space="preserve"> </w:t>
      </w:r>
      <w:r w:rsidRPr="00A52AB8">
        <w:rPr>
          <w:color w:val="000000" w:themeColor="text1"/>
        </w:rPr>
        <w:t>equal to 1 indicates that the atlas with</w:t>
      </w:r>
      <w:r w:rsidR="00E6730E" w:rsidRPr="00A52AB8">
        <w:rPr>
          <w:color w:val="000000" w:themeColor="text1"/>
        </w:rPr>
        <w:t xml:space="preserve"> atlas</w:t>
      </w:r>
      <w:r w:rsidR="00BF3416" w:rsidRPr="00A52AB8">
        <w:rPr>
          <w:color w:val="000000" w:themeColor="text1"/>
        </w:rPr>
        <w:t xml:space="preserve"> ID </w:t>
      </w:r>
      <w:r w:rsidRPr="00A52AB8">
        <w:rPr>
          <w:color w:val="000000" w:themeColor="text1"/>
        </w:rPr>
        <w:t xml:space="preserve">j shall have at least one or more attribute </w:t>
      </w:r>
      <w:r w:rsidR="00785051" w:rsidRPr="00A52AB8">
        <w:rPr>
          <w:color w:val="000000" w:themeColor="text1"/>
        </w:rPr>
        <w:t xml:space="preserve">video </w:t>
      </w:r>
      <w:r w:rsidRPr="00A52AB8">
        <w:rPr>
          <w:color w:val="000000" w:themeColor="text1"/>
        </w:rPr>
        <w:t>data</w:t>
      </w:r>
      <w:r w:rsidR="00785051" w:rsidRPr="00A52AB8">
        <w:rPr>
          <w:color w:val="000000" w:themeColor="text1"/>
        </w:rPr>
        <w:t xml:space="preserve"> associated with it</w:t>
      </w:r>
      <w:r w:rsidR="00A82F3A" w:rsidRPr="00A52AB8">
        <w:rPr>
          <w:color w:val="000000" w:themeColor="text1"/>
        </w:rPr>
        <w:t>.</w:t>
      </w:r>
      <w:r w:rsidRPr="00A52AB8">
        <w:rPr>
          <w:color w:val="000000" w:themeColor="text1"/>
        </w:rPr>
        <w:t xml:space="preserve"> When vps_attribute_video_present_flag[ j ]</w:t>
      </w:r>
      <w:r w:rsidRPr="00A52AB8" w:rsidDel="00885028">
        <w:rPr>
          <w:b/>
          <w:color w:val="000000" w:themeColor="text1"/>
        </w:rPr>
        <w:t xml:space="preserve"> </w:t>
      </w:r>
      <w:r w:rsidRPr="00A52AB8">
        <w:rPr>
          <w:color w:val="000000" w:themeColor="text1"/>
        </w:rPr>
        <w:t>is not present, it is inferred to be equal to 1.</w:t>
      </w:r>
    </w:p>
    <w:p w14:paraId="7F2D1FBC" w14:textId="3C06CCD4" w:rsidR="00410043" w:rsidRPr="00A52AB8" w:rsidRDefault="00097FF4" w:rsidP="00410043">
      <w:pPr>
        <w:rPr>
          <w:bCs/>
          <w:color w:val="000000" w:themeColor="text1"/>
        </w:rPr>
      </w:pPr>
      <w:r w:rsidRPr="00A52AB8">
        <w:rPr>
          <w:b/>
          <w:color w:val="000000" w:themeColor="text1"/>
        </w:rPr>
        <w:t xml:space="preserve">vps_extension_present_flag </w:t>
      </w:r>
      <w:r w:rsidR="00410043" w:rsidRPr="00A52AB8">
        <w:rPr>
          <w:bCs/>
          <w:color w:val="000000" w:themeColor="text1"/>
        </w:rPr>
        <w:t>equal to 1 specifies that the syntax element</w:t>
      </w:r>
      <w:r w:rsidR="00F232F7">
        <w:rPr>
          <w:bCs/>
          <w:color w:val="000000" w:themeColor="text1"/>
        </w:rPr>
        <w:t>s</w:t>
      </w:r>
      <w:r w:rsidR="00410043" w:rsidRPr="00A52AB8">
        <w:rPr>
          <w:bCs/>
          <w:color w:val="000000" w:themeColor="text1"/>
        </w:rPr>
        <w:t xml:space="preserve"> </w:t>
      </w:r>
      <w:r w:rsidR="00F232F7">
        <w:rPr>
          <w:bCs/>
          <w:color w:val="000000" w:themeColor="text1"/>
        </w:rPr>
        <w:t xml:space="preserve">vps_packing_information_present_flag, vps_miv_extension_present_flag, and </w:t>
      </w:r>
      <w:r w:rsidR="00410043" w:rsidRPr="00A52AB8">
        <w:rPr>
          <w:bCs/>
          <w:color w:val="000000" w:themeColor="text1"/>
        </w:rPr>
        <w:t>vps_extension_</w:t>
      </w:r>
      <w:r w:rsidR="00F232F7">
        <w:rPr>
          <w:bCs/>
          <w:color w:val="000000" w:themeColor="text1"/>
        </w:rPr>
        <w:t>6</w:t>
      </w:r>
      <w:r w:rsidR="00604DE8" w:rsidRPr="00A52AB8">
        <w:rPr>
          <w:bCs/>
          <w:color w:val="000000" w:themeColor="text1"/>
        </w:rPr>
        <w:t xml:space="preserve">bits </w:t>
      </w:r>
      <w:r w:rsidR="00F232F7">
        <w:rPr>
          <w:bCs/>
          <w:color w:val="000000" w:themeColor="text1"/>
        </w:rPr>
        <w:t>are</w:t>
      </w:r>
      <w:r w:rsidR="00F232F7" w:rsidRPr="00A52AB8">
        <w:rPr>
          <w:bCs/>
          <w:color w:val="000000" w:themeColor="text1"/>
        </w:rPr>
        <w:t xml:space="preserve"> </w:t>
      </w:r>
      <w:r w:rsidR="00410043" w:rsidRPr="00A52AB8">
        <w:rPr>
          <w:bCs/>
          <w:color w:val="000000" w:themeColor="text1"/>
        </w:rPr>
        <w:t xml:space="preserve">present in </w:t>
      </w:r>
      <w:r w:rsidR="00C175F4" w:rsidRPr="00A52AB8">
        <w:rPr>
          <w:bCs/>
          <w:color w:val="000000" w:themeColor="text1"/>
        </w:rPr>
        <w:t xml:space="preserve">the </w:t>
      </w:r>
      <w:r w:rsidR="00410043" w:rsidRPr="00A52AB8">
        <w:rPr>
          <w:bCs/>
          <w:color w:val="000000" w:themeColor="text1"/>
        </w:rPr>
        <w:t>v3c_parameter_set</w:t>
      </w:r>
      <w:r w:rsidR="004D52BE" w:rsidRPr="00A52AB8">
        <w:rPr>
          <w:bCs/>
          <w:color w:val="000000" w:themeColor="text1"/>
        </w:rPr>
        <w:t>( )</w:t>
      </w:r>
      <w:r w:rsidR="00410043" w:rsidRPr="00A52AB8">
        <w:rPr>
          <w:bCs/>
          <w:color w:val="000000" w:themeColor="text1"/>
        </w:rPr>
        <w:t xml:space="preserve"> syntax structure. vps_extension_present_flag equal to 0 specifies that </w:t>
      </w:r>
      <w:r w:rsidR="00F00BE1" w:rsidRPr="00A52AB8">
        <w:rPr>
          <w:bCs/>
          <w:color w:val="000000" w:themeColor="text1"/>
        </w:rPr>
        <w:t>the</w:t>
      </w:r>
      <w:r w:rsidR="00F232F7">
        <w:rPr>
          <w:bCs/>
          <w:color w:val="000000" w:themeColor="text1"/>
        </w:rPr>
        <w:t>se</w:t>
      </w:r>
      <w:r w:rsidR="00F00BE1" w:rsidRPr="00A52AB8">
        <w:rPr>
          <w:bCs/>
          <w:color w:val="000000" w:themeColor="text1"/>
        </w:rPr>
        <w:t xml:space="preserve"> </w:t>
      </w:r>
      <w:r w:rsidR="00410043" w:rsidRPr="00A52AB8">
        <w:rPr>
          <w:bCs/>
          <w:color w:val="000000" w:themeColor="text1"/>
        </w:rPr>
        <w:t>syntax element</w:t>
      </w:r>
      <w:r w:rsidR="00F232F7">
        <w:rPr>
          <w:bCs/>
          <w:color w:val="000000" w:themeColor="text1"/>
        </w:rPr>
        <w:t>s</w:t>
      </w:r>
      <w:r w:rsidR="00410043" w:rsidRPr="00A52AB8">
        <w:rPr>
          <w:bCs/>
          <w:color w:val="000000" w:themeColor="text1"/>
        </w:rPr>
        <w:t xml:space="preserve"> </w:t>
      </w:r>
      <w:r w:rsidR="00F232F7">
        <w:rPr>
          <w:bCs/>
          <w:color w:val="000000" w:themeColor="text1"/>
        </w:rPr>
        <w:t xml:space="preserve">are </w:t>
      </w:r>
      <w:r w:rsidR="00410043" w:rsidRPr="00A52AB8">
        <w:rPr>
          <w:bCs/>
          <w:color w:val="000000" w:themeColor="text1"/>
        </w:rPr>
        <w:t>not present.</w:t>
      </w:r>
    </w:p>
    <w:p w14:paraId="4644D96D" w14:textId="1F439034" w:rsidR="00F232F7" w:rsidRPr="00A52AB8" w:rsidRDefault="00F232F7" w:rsidP="00F232F7">
      <w:pPr>
        <w:rPr>
          <w:bCs/>
          <w:color w:val="000000" w:themeColor="text1"/>
        </w:rPr>
      </w:pPr>
      <w:r w:rsidRPr="00A52AB8">
        <w:rPr>
          <w:b/>
          <w:color w:val="000000" w:themeColor="text1"/>
        </w:rPr>
        <w:t>vps_</w:t>
      </w:r>
      <w:r>
        <w:rPr>
          <w:b/>
          <w:color w:val="000000" w:themeColor="text1"/>
        </w:rPr>
        <w:t>packing_information</w:t>
      </w:r>
      <w:r w:rsidRPr="00A52AB8">
        <w:rPr>
          <w:b/>
          <w:color w:val="000000" w:themeColor="text1"/>
        </w:rPr>
        <w:t>_present_flag</w:t>
      </w:r>
      <w:r w:rsidRPr="00A52AB8">
        <w:rPr>
          <w:bCs/>
          <w:color w:val="000000" w:themeColor="text1"/>
        </w:rPr>
        <w:t xml:space="preserve"> equal to 1 specifies that </w:t>
      </w:r>
      <w:r>
        <w:rPr>
          <w:bCs/>
          <w:color w:val="000000" w:themeColor="text1"/>
        </w:rPr>
        <w:t>one or more instances of the packing_information</w:t>
      </w:r>
      <w:r w:rsidRPr="00A52AB8">
        <w:rPr>
          <w:bCs/>
          <w:color w:val="000000" w:themeColor="text1"/>
        </w:rPr>
        <w:t>( </w:t>
      </w:r>
      <w:r>
        <w:rPr>
          <w:bCs/>
          <w:color w:val="000000" w:themeColor="text1"/>
        </w:rPr>
        <w:t>j </w:t>
      </w:r>
      <w:r w:rsidRPr="00A52AB8">
        <w:rPr>
          <w:bCs/>
          <w:color w:val="000000" w:themeColor="text1"/>
        </w:rPr>
        <w:t xml:space="preserve">) syntax structure </w:t>
      </w:r>
      <w:r>
        <w:rPr>
          <w:bCs/>
          <w:color w:val="000000" w:themeColor="text1"/>
        </w:rPr>
        <w:t>are</w:t>
      </w:r>
      <w:r w:rsidRPr="00A52AB8">
        <w:rPr>
          <w:bCs/>
          <w:color w:val="000000" w:themeColor="text1"/>
        </w:rPr>
        <w:t xml:space="preserve"> present in the v3c_parameter_set( ) syntax structure. vps_</w:t>
      </w:r>
      <w:r>
        <w:rPr>
          <w:bCs/>
          <w:color w:val="000000" w:themeColor="text1"/>
        </w:rPr>
        <w:t>packing_information</w:t>
      </w:r>
      <w:r w:rsidRPr="00A52AB8">
        <w:rPr>
          <w:bCs/>
          <w:color w:val="000000" w:themeColor="text1"/>
        </w:rPr>
        <w:t>_present_flag equal to 0 specifies that this syntax structure is not present. When not present, the value of vps_</w:t>
      </w:r>
      <w:r>
        <w:rPr>
          <w:bCs/>
          <w:color w:val="000000" w:themeColor="text1"/>
        </w:rPr>
        <w:t>packing_information_</w:t>
      </w:r>
      <w:r w:rsidRPr="00A52AB8">
        <w:rPr>
          <w:bCs/>
          <w:color w:val="000000" w:themeColor="text1"/>
        </w:rPr>
        <w:t>present_flag is inferred to be equal to 0.</w:t>
      </w:r>
    </w:p>
    <w:p w14:paraId="3D95D711" w14:textId="03FDF457" w:rsidR="00604DE8" w:rsidRPr="00A52AB8" w:rsidRDefault="00604DE8" w:rsidP="00604DE8">
      <w:pPr>
        <w:rPr>
          <w:bCs/>
          <w:color w:val="000000" w:themeColor="text1"/>
        </w:rPr>
      </w:pPr>
      <w:r w:rsidRPr="00A52AB8">
        <w:rPr>
          <w:b/>
          <w:color w:val="000000" w:themeColor="text1"/>
        </w:rPr>
        <w:t>vps_miv_extension_present_flag</w:t>
      </w:r>
      <w:r w:rsidRPr="00A52AB8">
        <w:rPr>
          <w:bCs/>
          <w:color w:val="000000" w:themeColor="text1"/>
        </w:rPr>
        <w:t xml:space="preserve"> equal to 1 specifies that the vps_miv_extension</w:t>
      </w:r>
      <w:r w:rsidR="004D52BE" w:rsidRPr="00A52AB8">
        <w:rPr>
          <w:bCs/>
          <w:color w:val="000000" w:themeColor="text1"/>
        </w:rPr>
        <w:t>( )</w:t>
      </w:r>
      <w:r w:rsidRPr="00A52AB8">
        <w:rPr>
          <w:bCs/>
          <w:color w:val="000000" w:themeColor="text1"/>
        </w:rPr>
        <w:t xml:space="preserve"> syntax structure is present in the v3c_parameter_set</w:t>
      </w:r>
      <w:r w:rsidR="004D52BE" w:rsidRPr="00A52AB8">
        <w:rPr>
          <w:bCs/>
          <w:color w:val="000000" w:themeColor="text1"/>
        </w:rPr>
        <w:t>( )</w:t>
      </w:r>
      <w:r w:rsidRPr="00A52AB8">
        <w:rPr>
          <w:bCs/>
          <w:color w:val="000000" w:themeColor="text1"/>
        </w:rPr>
        <w:t xml:space="preserve"> syntax structure. vps_miv_extension_present_flag equal to 0 specifies that this syntax structure is not present. When not present, the value of vps_miv_extension_present_flag is inferred to be equal to 0.</w:t>
      </w:r>
    </w:p>
    <w:p w14:paraId="34E38DE5" w14:textId="6FD7AD42" w:rsidR="00097FF4" w:rsidRPr="00A52AB8" w:rsidRDefault="00410043" w:rsidP="00410043">
      <w:pPr>
        <w:rPr>
          <w:color w:val="000000" w:themeColor="text1"/>
        </w:rPr>
      </w:pPr>
      <w:r w:rsidRPr="00A52AB8">
        <w:rPr>
          <w:b/>
          <w:color w:val="000000" w:themeColor="text1"/>
        </w:rPr>
        <w:t>vps_extension_</w:t>
      </w:r>
      <w:r w:rsidR="00F232F7">
        <w:rPr>
          <w:b/>
          <w:color w:val="000000" w:themeColor="text1"/>
        </w:rPr>
        <w:t>6</w:t>
      </w:r>
      <w:r w:rsidR="00604DE8" w:rsidRPr="00A52AB8">
        <w:rPr>
          <w:b/>
          <w:color w:val="000000" w:themeColor="text1"/>
        </w:rPr>
        <w:t>bits</w:t>
      </w:r>
      <w:r w:rsidR="00604DE8" w:rsidRPr="00A52AB8">
        <w:rPr>
          <w:bCs/>
          <w:color w:val="000000" w:themeColor="text1"/>
        </w:rPr>
        <w:t xml:space="preserve"> </w:t>
      </w:r>
      <w:r w:rsidRPr="00A52AB8">
        <w:rPr>
          <w:bCs/>
          <w:color w:val="000000" w:themeColor="text1"/>
        </w:rPr>
        <w:t xml:space="preserve">not equal to </w:t>
      </w:r>
      <w:r w:rsidR="00236042" w:rsidRPr="00A52AB8">
        <w:rPr>
          <w:bCs/>
          <w:color w:val="000000" w:themeColor="text1"/>
        </w:rPr>
        <w:t>0</w:t>
      </w:r>
      <w:r w:rsidRPr="00A52AB8">
        <w:rPr>
          <w:bCs/>
          <w:color w:val="000000" w:themeColor="text1"/>
        </w:rPr>
        <w:t xml:space="preserve"> specifies that the syntax element vps_extension_length is present in </w:t>
      </w:r>
      <w:r w:rsidR="00604DE8" w:rsidRPr="00A52AB8">
        <w:rPr>
          <w:bCs/>
          <w:color w:val="000000" w:themeColor="text1"/>
        </w:rPr>
        <w:t xml:space="preserve">the </w:t>
      </w:r>
      <w:r w:rsidRPr="00A52AB8">
        <w:rPr>
          <w:bCs/>
          <w:color w:val="000000" w:themeColor="text1"/>
        </w:rPr>
        <w:t>v3c_parameter_set</w:t>
      </w:r>
      <w:r w:rsidR="004D52BE" w:rsidRPr="00A52AB8">
        <w:rPr>
          <w:bCs/>
          <w:color w:val="000000" w:themeColor="text1"/>
        </w:rPr>
        <w:t>( )</w:t>
      </w:r>
      <w:r w:rsidRPr="00A52AB8">
        <w:rPr>
          <w:bCs/>
          <w:color w:val="000000" w:themeColor="text1"/>
        </w:rPr>
        <w:t xml:space="preserve"> syntax structure. vps_extension_</w:t>
      </w:r>
      <w:r w:rsidR="00F232F7">
        <w:rPr>
          <w:bCs/>
          <w:color w:val="000000" w:themeColor="text1"/>
        </w:rPr>
        <w:t>6</w:t>
      </w:r>
      <w:r w:rsidR="00604DE8" w:rsidRPr="00A52AB8">
        <w:rPr>
          <w:bCs/>
          <w:color w:val="000000" w:themeColor="text1"/>
        </w:rPr>
        <w:t xml:space="preserve">bits </w:t>
      </w:r>
      <w:r w:rsidRPr="00A52AB8">
        <w:rPr>
          <w:bCs/>
          <w:color w:val="000000" w:themeColor="text1"/>
        </w:rPr>
        <w:t xml:space="preserve">equal to 0 specifies that </w:t>
      </w:r>
      <w:r w:rsidR="00830315" w:rsidRPr="00A52AB8">
        <w:rPr>
          <w:bCs/>
          <w:color w:val="000000" w:themeColor="text1"/>
        </w:rPr>
        <w:t xml:space="preserve">the </w:t>
      </w:r>
      <w:r w:rsidRPr="00A52AB8">
        <w:rPr>
          <w:bCs/>
          <w:color w:val="000000" w:themeColor="text1"/>
        </w:rPr>
        <w:t>syntax element vps_extension_length</w:t>
      </w:r>
      <w:r w:rsidR="00C175F4" w:rsidRPr="00A52AB8">
        <w:rPr>
          <w:bCs/>
          <w:color w:val="000000" w:themeColor="text1"/>
        </w:rPr>
        <w:t>_minus1</w:t>
      </w:r>
      <w:r w:rsidRPr="00A52AB8">
        <w:rPr>
          <w:bCs/>
          <w:color w:val="000000" w:themeColor="text1"/>
        </w:rPr>
        <w:t xml:space="preserve"> is not present. </w:t>
      </w:r>
      <w:r w:rsidR="00B244CB" w:rsidRPr="00A52AB8">
        <w:rPr>
          <w:bCs/>
          <w:color w:val="000000" w:themeColor="text1"/>
        </w:rPr>
        <w:t>vps_extension_</w:t>
      </w:r>
      <w:r w:rsidR="00F232F7">
        <w:rPr>
          <w:bCs/>
          <w:color w:val="000000" w:themeColor="text1"/>
        </w:rPr>
        <w:t>6</w:t>
      </w:r>
      <w:r w:rsidR="00604DE8" w:rsidRPr="00A52AB8">
        <w:rPr>
          <w:bCs/>
          <w:color w:val="000000" w:themeColor="text1"/>
        </w:rPr>
        <w:t xml:space="preserve">bits </w:t>
      </w:r>
      <w:r w:rsidR="00B244CB" w:rsidRPr="00A52AB8">
        <w:rPr>
          <w:color w:val="000000" w:themeColor="text1"/>
        </w:rPr>
        <w:t xml:space="preserve">shall be equal to 0 in </w:t>
      </w:r>
      <w:r w:rsidR="00B244CB" w:rsidRPr="00A52AB8">
        <w:rPr>
          <w:color w:val="000000" w:themeColor="text1"/>
        </w:rPr>
        <w:lastRenderedPageBreak/>
        <w:t xml:space="preserve">bitstreams conforming to this version of this document. </w:t>
      </w:r>
      <w:r w:rsidR="00B244CB" w:rsidRPr="00A52AB8">
        <w:rPr>
          <w:bCs/>
          <w:color w:val="000000" w:themeColor="text1"/>
        </w:rPr>
        <w:t>Other</w:t>
      </w:r>
      <w:r w:rsidR="00830315" w:rsidRPr="00A52AB8">
        <w:rPr>
          <w:color w:val="000000" w:themeColor="text1"/>
        </w:rPr>
        <w:t xml:space="preserve"> values of </w:t>
      </w:r>
      <w:r w:rsidR="00830315" w:rsidRPr="00A52AB8">
        <w:rPr>
          <w:bCs/>
          <w:color w:val="000000" w:themeColor="text1"/>
        </w:rPr>
        <w:t>vps_extension_</w:t>
      </w:r>
      <w:r w:rsidR="00F232F7">
        <w:rPr>
          <w:bCs/>
          <w:color w:val="000000" w:themeColor="text1"/>
        </w:rPr>
        <w:t>6</w:t>
      </w:r>
      <w:r w:rsidR="00604DE8" w:rsidRPr="00A52AB8">
        <w:rPr>
          <w:bCs/>
          <w:color w:val="000000" w:themeColor="text1"/>
        </w:rPr>
        <w:t xml:space="preserve">bits </w:t>
      </w:r>
      <w:r w:rsidR="00830315" w:rsidRPr="00A52AB8">
        <w:rPr>
          <w:color w:val="000000" w:themeColor="text1"/>
        </w:rPr>
        <w:t>are reserved for future use by ISO/IEC.</w:t>
      </w:r>
    </w:p>
    <w:p w14:paraId="461324CD" w14:textId="77777777" w:rsidR="0050235C" w:rsidRPr="00A52AB8" w:rsidRDefault="00097FF4">
      <w:pPr>
        <w:rPr>
          <w:color w:val="000000" w:themeColor="text1"/>
        </w:rPr>
      </w:pPr>
      <w:r w:rsidRPr="00A52AB8">
        <w:rPr>
          <w:b/>
          <w:color w:val="000000" w:themeColor="text1"/>
        </w:rPr>
        <w:t>vps_extension_length</w:t>
      </w:r>
      <w:r w:rsidR="008F5A9B" w:rsidRPr="00A52AB8">
        <w:rPr>
          <w:b/>
          <w:color w:val="000000" w:themeColor="text1"/>
        </w:rPr>
        <w:t>_minus1</w:t>
      </w:r>
      <w:r w:rsidR="008F5A9B" w:rsidRPr="00A52AB8">
        <w:rPr>
          <w:bCs/>
          <w:color w:val="000000" w:themeColor="text1"/>
        </w:rPr>
        <w:t xml:space="preserve"> plus 1</w:t>
      </w:r>
      <w:r w:rsidRPr="00A52AB8">
        <w:rPr>
          <w:color w:val="000000" w:themeColor="text1"/>
        </w:rPr>
        <w:t xml:space="preserve"> </w:t>
      </w:r>
      <w:r w:rsidR="00841328" w:rsidRPr="00A52AB8">
        <w:rPr>
          <w:color w:val="000000" w:themeColor="text1"/>
        </w:rPr>
        <w:t xml:space="preserve">specifies the </w:t>
      </w:r>
      <w:r w:rsidR="008F5A9B" w:rsidRPr="00A52AB8">
        <w:rPr>
          <w:color w:val="000000" w:themeColor="text1"/>
        </w:rPr>
        <w:t>number of vps_extension_data_byte elements that follow this syntax element</w:t>
      </w:r>
      <w:r w:rsidR="00841328" w:rsidRPr="00A52AB8">
        <w:rPr>
          <w:color w:val="000000" w:themeColor="text1"/>
        </w:rPr>
        <w:t>.</w:t>
      </w:r>
    </w:p>
    <w:p w14:paraId="30DD208B" w14:textId="6E68D07C" w:rsidR="00EE578F" w:rsidRPr="00A52AB8" w:rsidRDefault="00097FF4">
      <w:pPr>
        <w:rPr>
          <w:color w:val="000000" w:themeColor="text1"/>
        </w:rPr>
      </w:pPr>
      <w:r w:rsidRPr="00A52AB8">
        <w:rPr>
          <w:b/>
          <w:color w:val="000000" w:themeColor="text1"/>
        </w:rPr>
        <w:t>vps_extension_data_byte</w:t>
      </w:r>
      <w:r w:rsidRPr="00A52AB8">
        <w:rPr>
          <w:color w:val="000000" w:themeColor="text1"/>
        </w:rPr>
        <w:t xml:space="preserve"> may have any value.</w:t>
      </w:r>
    </w:p>
    <w:p w14:paraId="2E362EF1" w14:textId="77777777" w:rsidR="00A93B35" w:rsidRPr="00A52AB8" w:rsidRDefault="00A93B35" w:rsidP="005C26E9">
      <w:pPr>
        <w:pStyle w:val="Heading4"/>
      </w:pPr>
      <w:r w:rsidRPr="00A52AB8">
        <w:t>Profile, tier, and level semantics</w:t>
      </w:r>
    </w:p>
    <w:p w14:paraId="6FB3A119" w14:textId="4AAB0B9D" w:rsidR="00894899" w:rsidRPr="00A52AB8" w:rsidRDefault="008843B7">
      <w:pPr>
        <w:rPr>
          <w:color w:val="000000" w:themeColor="text1"/>
        </w:rPr>
      </w:pPr>
      <w:r w:rsidRPr="00A52AB8">
        <w:rPr>
          <w:b/>
          <w:color w:val="000000" w:themeColor="text1"/>
          <w:lang w:eastAsia="ja-JP"/>
        </w:rPr>
        <w:t>ptl_</w:t>
      </w:r>
      <w:r w:rsidR="00A93B35" w:rsidRPr="00A52AB8">
        <w:rPr>
          <w:b/>
          <w:color w:val="000000" w:themeColor="text1"/>
          <w:lang w:eastAsia="ja-JP"/>
        </w:rPr>
        <w:t>tier_flag</w:t>
      </w:r>
      <w:r w:rsidR="00A93B35" w:rsidRPr="00A52AB8">
        <w:rPr>
          <w:b/>
          <w:color w:val="000000" w:themeColor="text1"/>
        </w:rPr>
        <w:t xml:space="preserve"> </w:t>
      </w:r>
      <w:r w:rsidR="00A93B35" w:rsidRPr="00A52AB8">
        <w:rPr>
          <w:color w:val="000000" w:themeColor="text1"/>
        </w:rPr>
        <w:t xml:space="preserve">specifies the tier context for the interpretation of </w:t>
      </w:r>
      <w:r w:rsidRPr="00A52AB8">
        <w:rPr>
          <w:color w:val="000000" w:themeColor="text1"/>
        </w:rPr>
        <w:t>ptl_</w:t>
      </w:r>
      <w:r w:rsidR="00A93B35" w:rsidRPr="00A52AB8">
        <w:rPr>
          <w:color w:val="000000" w:themeColor="text1"/>
        </w:rPr>
        <w:t xml:space="preserve">level_idc as specified in </w:t>
      </w:r>
      <w:r w:rsidR="001B77F6" w:rsidRPr="00496A4D">
        <w:rPr>
          <w:color w:val="000000" w:themeColor="text1"/>
        </w:rPr>
        <w:fldChar w:fldCharType="begin"/>
      </w:r>
      <w:r w:rsidR="001B77F6" w:rsidRPr="00A52AB8">
        <w:rPr>
          <w:color w:val="000000" w:themeColor="text1"/>
        </w:rPr>
        <w:instrText xml:space="preserve"> REF _Ref21509350 \r \h </w:instrText>
      </w:r>
      <w:r w:rsidR="00025423" w:rsidRPr="00A52AB8">
        <w:rPr>
          <w:color w:val="000000" w:themeColor="text1"/>
        </w:rPr>
        <w:instrText xml:space="preserve"> \* MERGEFORMAT </w:instrText>
      </w:r>
      <w:r w:rsidR="001B77F6" w:rsidRPr="00496A4D">
        <w:rPr>
          <w:color w:val="000000" w:themeColor="text1"/>
        </w:rPr>
      </w:r>
      <w:r w:rsidR="001B77F6" w:rsidRPr="00496A4D">
        <w:rPr>
          <w:color w:val="000000" w:themeColor="text1"/>
        </w:rPr>
        <w:fldChar w:fldCharType="separate"/>
      </w:r>
      <w:r w:rsidR="00507A67">
        <w:rPr>
          <w:color w:val="000000" w:themeColor="text1"/>
        </w:rPr>
        <w:t>Annex A</w:t>
      </w:r>
      <w:r w:rsidR="001B77F6" w:rsidRPr="00496A4D">
        <w:rPr>
          <w:color w:val="000000" w:themeColor="text1"/>
        </w:rPr>
        <w:fldChar w:fldCharType="end"/>
      </w:r>
      <w:r w:rsidR="00A93B35" w:rsidRPr="00A52AB8">
        <w:rPr>
          <w:color w:val="000000" w:themeColor="text1"/>
          <w:lang w:eastAsia="ja-JP"/>
        </w:rPr>
        <w:t>.</w:t>
      </w:r>
    </w:p>
    <w:p w14:paraId="59383C35" w14:textId="46C23B6B" w:rsidR="00894899" w:rsidRPr="00A52AB8" w:rsidRDefault="008843B7">
      <w:pPr>
        <w:rPr>
          <w:color w:val="000000" w:themeColor="text1"/>
          <w:lang w:eastAsia="ja-JP"/>
        </w:rPr>
      </w:pPr>
      <w:r w:rsidRPr="00A52AB8">
        <w:rPr>
          <w:b/>
          <w:color w:val="000000" w:themeColor="text1"/>
          <w:lang w:eastAsia="ja-JP"/>
        </w:rPr>
        <w:t>ptl_</w:t>
      </w:r>
      <w:r w:rsidR="00894899" w:rsidRPr="00A52AB8">
        <w:rPr>
          <w:b/>
          <w:color w:val="000000" w:themeColor="text1"/>
          <w:lang w:eastAsia="ja-JP"/>
        </w:rPr>
        <w:t>p</w:t>
      </w:r>
      <w:r w:rsidR="00894899" w:rsidRPr="00A52AB8">
        <w:rPr>
          <w:b/>
          <w:color w:val="000000" w:themeColor="text1"/>
        </w:rPr>
        <w:t>rofile</w:t>
      </w:r>
      <w:r w:rsidR="00894899" w:rsidRPr="00A52AB8">
        <w:rPr>
          <w:b/>
          <w:color w:val="000000" w:themeColor="text1"/>
          <w:lang w:eastAsia="ja-JP"/>
        </w:rPr>
        <w:t>_</w:t>
      </w:r>
      <w:r w:rsidR="0068623B" w:rsidRPr="00A52AB8">
        <w:rPr>
          <w:b/>
          <w:color w:val="000000" w:themeColor="text1"/>
          <w:lang w:eastAsia="ja-JP"/>
        </w:rPr>
        <w:t>codec_group_</w:t>
      </w:r>
      <w:r w:rsidR="00894899" w:rsidRPr="00A52AB8">
        <w:rPr>
          <w:b/>
          <w:color w:val="000000" w:themeColor="text1"/>
          <w:lang w:eastAsia="ja-JP"/>
        </w:rPr>
        <w:t>idc</w:t>
      </w:r>
      <w:r w:rsidR="00894899" w:rsidRPr="00A52AB8">
        <w:rPr>
          <w:b/>
          <w:color w:val="000000" w:themeColor="text1"/>
        </w:rPr>
        <w:t xml:space="preserve"> </w:t>
      </w:r>
      <w:r w:rsidR="00894899" w:rsidRPr="00A52AB8">
        <w:rPr>
          <w:color w:val="000000" w:themeColor="text1"/>
        </w:rPr>
        <w:t xml:space="preserve">indicates </w:t>
      </w:r>
      <w:r w:rsidR="0068623B" w:rsidRPr="00A52AB8">
        <w:rPr>
          <w:color w:val="000000" w:themeColor="text1"/>
        </w:rPr>
        <w:t>the codec group</w:t>
      </w:r>
      <w:r w:rsidR="00894899" w:rsidRPr="00A52AB8">
        <w:rPr>
          <w:color w:val="000000" w:themeColor="text1"/>
        </w:rPr>
        <w:t xml:space="preserve"> profile </w:t>
      </w:r>
      <w:r w:rsidR="00551447" w:rsidRPr="00A52AB8">
        <w:rPr>
          <w:color w:val="000000" w:themeColor="text1"/>
        </w:rPr>
        <w:t xml:space="preserve">component </w:t>
      </w:r>
      <w:r w:rsidR="00894899" w:rsidRPr="00A52AB8">
        <w:rPr>
          <w:color w:val="000000" w:themeColor="text1"/>
        </w:rPr>
        <w:t xml:space="preserve">to which the </w:t>
      </w:r>
      <w:r w:rsidR="000D609E" w:rsidRPr="00A52AB8">
        <w:rPr>
          <w:color w:val="000000" w:themeColor="text1"/>
        </w:rPr>
        <w:t>CVS</w:t>
      </w:r>
      <w:r w:rsidR="00894899" w:rsidRPr="00A52AB8">
        <w:rPr>
          <w:color w:val="000000" w:themeColor="text1"/>
        </w:rPr>
        <w:t xml:space="preserve"> conforms as specified in </w:t>
      </w:r>
      <w:r w:rsidR="001B77F6" w:rsidRPr="00496A4D">
        <w:rPr>
          <w:color w:val="000000" w:themeColor="text1"/>
        </w:rPr>
        <w:fldChar w:fldCharType="begin"/>
      </w:r>
      <w:r w:rsidR="001B77F6" w:rsidRPr="00A52AB8">
        <w:rPr>
          <w:color w:val="000000" w:themeColor="text1"/>
        </w:rPr>
        <w:instrText xml:space="preserve"> REF _Ref21509350 \r \h </w:instrText>
      </w:r>
      <w:r w:rsidR="00025423" w:rsidRPr="00A52AB8">
        <w:rPr>
          <w:color w:val="000000" w:themeColor="text1"/>
        </w:rPr>
        <w:instrText xml:space="preserve"> \* MERGEFORMAT </w:instrText>
      </w:r>
      <w:r w:rsidR="001B77F6" w:rsidRPr="00496A4D">
        <w:rPr>
          <w:color w:val="000000" w:themeColor="text1"/>
        </w:rPr>
      </w:r>
      <w:r w:rsidR="001B77F6" w:rsidRPr="00496A4D">
        <w:rPr>
          <w:color w:val="000000" w:themeColor="text1"/>
        </w:rPr>
        <w:fldChar w:fldCharType="separate"/>
      </w:r>
      <w:r w:rsidR="00507A67">
        <w:rPr>
          <w:color w:val="000000" w:themeColor="text1"/>
        </w:rPr>
        <w:t>Annex A</w:t>
      </w:r>
      <w:r w:rsidR="001B77F6" w:rsidRPr="00496A4D">
        <w:rPr>
          <w:color w:val="000000" w:themeColor="text1"/>
        </w:rPr>
        <w:fldChar w:fldCharType="end"/>
      </w:r>
      <w:r w:rsidR="001B77F6" w:rsidRPr="00A52AB8">
        <w:rPr>
          <w:color w:val="000000" w:themeColor="text1"/>
        </w:rPr>
        <w:t xml:space="preserve">. </w:t>
      </w:r>
      <w:r w:rsidR="00894899" w:rsidRPr="00A52AB8">
        <w:rPr>
          <w:color w:val="000000" w:themeColor="text1"/>
          <w:lang w:eastAsia="ja-JP"/>
        </w:rPr>
        <w:t xml:space="preserve">Bitstreams shall not contain values </w:t>
      </w:r>
      <w:r w:rsidR="0068623B" w:rsidRPr="00A52AB8">
        <w:rPr>
          <w:color w:val="000000" w:themeColor="text1"/>
          <w:lang w:eastAsia="ja-JP"/>
        </w:rPr>
        <w:t xml:space="preserve">of ptl_profile_codec_group_idc </w:t>
      </w:r>
      <w:r w:rsidR="00894899" w:rsidRPr="00A52AB8">
        <w:rPr>
          <w:color w:val="000000" w:themeColor="text1"/>
          <w:lang w:eastAsia="ja-JP"/>
        </w:rPr>
        <w:t xml:space="preserve">other than those specified in </w:t>
      </w:r>
      <w:r w:rsidR="001B77F6" w:rsidRPr="00496A4D">
        <w:rPr>
          <w:color w:val="000000" w:themeColor="text1"/>
        </w:rPr>
        <w:fldChar w:fldCharType="begin"/>
      </w:r>
      <w:r w:rsidR="001B77F6" w:rsidRPr="00A52AB8">
        <w:rPr>
          <w:color w:val="000000" w:themeColor="text1"/>
        </w:rPr>
        <w:instrText xml:space="preserve"> REF _Ref21509350 \r \h </w:instrText>
      </w:r>
      <w:r w:rsidR="00025423" w:rsidRPr="00A52AB8">
        <w:rPr>
          <w:color w:val="000000" w:themeColor="text1"/>
        </w:rPr>
        <w:instrText xml:space="preserve"> \* MERGEFORMAT </w:instrText>
      </w:r>
      <w:r w:rsidR="001B77F6" w:rsidRPr="00496A4D">
        <w:rPr>
          <w:color w:val="000000" w:themeColor="text1"/>
        </w:rPr>
      </w:r>
      <w:r w:rsidR="001B77F6" w:rsidRPr="00496A4D">
        <w:rPr>
          <w:color w:val="000000" w:themeColor="text1"/>
        </w:rPr>
        <w:fldChar w:fldCharType="separate"/>
      </w:r>
      <w:r w:rsidR="00507A67">
        <w:rPr>
          <w:color w:val="000000" w:themeColor="text1"/>
        </w:rPr>
        <w:t>Annex A</w:t>
      </w:r>
      <w:r w:rsidR="001B77F6" w:rsidRPr="00496A4D">
        <w:rPr>
          <w:color w:val="000000" w:themeColor="text1"/>
        </w:rPr>
        <w:fldChar w:fldCharType="end"/>
      </w:r>
      <w:r w:rsidR="00894899" w:rsidRPr="00A52AB8">
        <w:rPr>
          <w:color w:val="000000" w:themeColor="text1"/>
          <w:lang w:eastAsia="ja-JP"/>
        </w:rPr>
        <w:t xml:space="preserve">. Other values of </w:t>
      </w:r>
      <w:r w:rsidRPr="00A52AB8">
        <w:rPr>
          <w:color w:val="000000" w:themeColor="text1"/>
          <w:lang w:eastAsia="ja-JP"/>
        </w:rPr>
        <w:t>ptl_</w:t>
      </w:r>
      <w:r w:rsidR="00894899" w:rsidRPr="00A52AB8">
        <w:rPr>
          <w:color w:val="000000" w:themeColor="text1"/>
          <w:lang w:eastAsia="ja-JP"/>
        </w:rPr>
        <w:t>profile_</w:t>
      </w:r>
      <w:r w:rsidR="0068623B" w:rsidRPr="00A52AB8">
        <w:rPr>
          <w:color w:val="000000" w:themeColor="text1"/>
          <w:lang w:eastAsia="ja-JP"/>
        </w:rPr>
        <w:t>codec_group_</w:t>
      </w:r>
      <w:r w:rsidR="00894899" w:rsidRPr="00A52AB8">
        <w:rPr>
          <w:color w:val="000000" w:themeColor="text1"/>
          <w:lang w:eastAsia="ja-JP"/>
        </w:rPr>
        <w:t>idc are reserved for future use by ISO/IEC.</w:t>
      </w:r>
    </w:p>
    <w:p w14:paraId="5D6AAE78" w14:textId="00BEA226" w:rsidR="0068623B" w:rsidRPr="00A52AB8" w:rsidRDefault="0068623B">
      <w:pPr>
        <w:rPr>
          <w:color w:val="000000" w:themeColor="text1"/>
          <w:lang w:eastAsia="ja-JP"/>
        </w:rPr>
      </w:pPr>
      <w:r w:rsidRPr="00A52AB8">
        <w:rPr>
          <w:b/>
          <w:color w:val="000000" w:themeColor="text1"/>
          <w:lang w:eastAsia="ja-JP"/>
        </w:rPr>
        <w:t>ptl_p</w:t>
      </w:r>
      <w:r w:rsidRPr="00A52AB8">
        <w:rPr>
          <w:b/>
          <w:color w:val="000000" w:themeColor="text1"/>
        </w:rPr>
        <w:t>rofile</w:t>
      </w:r>
      <w:r w:rsidR="00BB702B" w:rsidRPr="00A52AB8">
        <w:rPr>
          <w:b/>
          <w:color w:val="000000" w:themeColor="text1"/>
          <w:lang w:eastAsia="ja-JP"/>
        </w:rPr>
        <w:t>_</w:t>
      </w:r>
      <w:r w:rsidRPr="00A52AB8">
        <w:rPr>
          <w:b/>
          <w:color w:val="000000" w:themeColor="text1"/>
          <w:lang w:eastAsia="ja-JP"/>
        </w:rPr>
        <w:t>toolset_idc</w:t>
      </w:r>
      <w:r w:rsidRPr="00A52AB8">
        <w:rPr>
          <w:b/>
          <w:color w:val="000000" w:themeColor="text1"/>
        </w:rPr>
        <w:t xml:space="preserve"> </w:t>
      </w:r>
      <w:r w:rsidRPr="00A52AB8">
        <w:rPr>
          <w:color w:val="000000" w:themeColor="text1"/>
        </w:rPr>
        <w:t xml:space="preserve">indicates the </w:t>
      </w:r>
      <w:r w:rsidR="00EA543F" w:rsidRPr="00A52AB8">
        <w:rPr>
          <w:color w:val="000000" w:themeColor="text1"/>
        </w:rPr>
        <w:t xml:space="preserve">toolset combination </w:t>
      </w:r>
      <w:r w:rsidRPr="00A52AB8">
        <w:rPr>
          <w:color w:val="000000" w:themeColor="text1"/>
        </w:rPr>
        <w:t xml:space="preserve">profile </w:t>
      </w:r>
      <w:r w:rsidR="00551447" w:rsidRPr="00A52AB8">
        <w:rPr>
          <w:color w:val="000000" w:themeColor="text1"/>
        </w:rPr>
        <w:t xml:space="preserve">component </w:t>
      </w:r>
      <w:r w:rsidRPr="00A52AB8">
        <w:rPr>
          <w:color w:val="000000" w:themeColor="text1"/>
        </w:rPr>
        <w:t xml:space="preserve">to which the </w:t>
      </w:r>
      <w:r w:rsidR="000D609E" w:rsidRPr="00A52AB8">
        <w:rPr>
          <w:color w:val="000000" w:themeColor="text1"/>
        </w:rPr>
        <w:t>CVS</w:t>
      </w:r>
      <w:r w:rsidRPr="00A52AB8">
        <w:rPr>
          <w:color w:val="000000" w:themeColor="text1"/>
        </w:rPr>
        <w:t xml:space="preserve"> conforms as specified in </w:t>
      </w:r>
      <w:r w:rsidR="001B77F6" w:rsidRPr="00496A4D">
        <w:rPr>
          <w:color w:val="000000" w:themeColor="text1"/>
        </w:rPr>
        <w:fldChar w:fldCharType="begin"/>
      </w:r>
      <w:r w:rsidR="001B77F6" w:rsidRPr="00A52AB8">
        <w:rPr>
          <w:color w:val="000000" w:themeColor="text1"/>
        </w:rPr>
        <w:instrText xml:space="preserve"> REF _Ref21509350 \r \h </w:instrText>
      </w:r>
      <w:r w:rsidR="00025423" w:rsidRPr="00A52AB8">
        <w:rPr>
          <w:color w:val="000000" w:themeColor="text1"/>
        </w:rPr>
        <w:instrText xml:space="preserve"> \* MERGEFORMAT </w:instrText>
      </w:r>
      <w:r w:rsidR="001B77F6" w:rsidRPr="00496A4D">
        <w:rPr>
          <w:color w:val="000000" w:themeColor="text1"/>
        </w:rPr>
      </w:r>
      <w:r w:rsidR="001B77F6" w:rsidRPr="00496A4D">
        <w:rPr>
          <w:color w:val="000000" w:themeColor="text1"/>
        </w:rPr>
        <w:fldChar w:fldCharType="separate"/>
      </w:r>
      <w:r w:rsidR="00507A67">
        <w:rPr>
          <w:color w:val="000000" w:themeColor="text1"/>
        </w:rPr>
        <w:t>Annex A</w:t>
      </w:r>
      <w:r w:rsidR="001B77F6" w:rsidRPr="00496A4D">
        <w:rPr>
          <w:color w:val="000000" w:themeColor="text1"/>
        </w:rPr>
        <w:fldChar w:fldCharType="end"/>
      </w:r>
      <w:r w:rsidRPr="00A52AB8">
        <w:rPr>
          <w:color w:val="000000" w:themeColor="text1"/>
          <w:lang w:eastAsia="ja-JP"/>
        </w:rPr>
        <w:t>. Bitstreams shall not contain values of ptl_profile</w:t>
      </w:r>
      <w:r w:rsidR="00EA543F" w:rsidRPr="00A52AB8">
        <w:rPr>
          <w:color w:val="000000" w:themeColor="text1"/>
          <w:lang w:eastAsia="ja-JP"/>
        </w:rPr>
        <w:t>_toolset</w:t>
      </w:r>
      <w:r w:rsidRPr="00A52AB8">
        <w:rPr>
          <w:color w:val="000000" w:themeColor="text1"/>
          <w:lang w:eastAsia="ja-JP"/>
        </w:rPr>
        <w:t xml:space="preserve">_idc other than those specified in </w:t>
      </w:r>
      <w:r w:rsidR="001B77F6" w:rsidRPr="00496A4D">
        <w:rPr>
          <w:color w:val="000000" w:themeColor="text1"/>
        </w:rPr>
        <w:fldChar w:fldCharType="begin"/>
      </w:r>
      <w:r w:rsidR="001B77F6" w:rsidRPr="00A52AB8">
        <w:rPr>
          <w:color w:val="000000" w:themeColor="text1"/>
        </w:rPr>
        <w:instrText xml:space="preserve"> REF _Ref21509350 \r \h </w:instrText>
      </w:r>
      <w:r w:rsidR="00025423" w:rsidRPr="00A52AB8">
        <w:rPr>
          <w:color w:val="000000" w:themeColor="text1"/>
        </w:rPr>
        <w:instrText xml:space="preserve"> \* MERGEFORMAT </w:instrText>
      </w:r>
      <w:r w:rsidR="001B77F6" w:rsidRPr="00496A4D">
        <w:rPr>
          <w:color w:val="000000" w:themeColor="text1"/>
        </w:rPr>
      </w:r>
      <w:r w:rsidR="001B77F6" w:rsidRPr="00496A4D">
        <w:rPr>
          <w:color w:val="000000" w:themeColor="text1"/>
        </w:rPr>
        <w:fldChar w:fldCharType="separate"/>
      </w:r>
      <w:r w:rsidR="00507A67">
        <w:rPr>
          <w:color w:val="000000" w:themeColor="text1"/>
        </w:rPr>
        <w:t>Annex A</w:t>
      </w:r>
      <w:r w:rsidR="001B77F6" w:rsidRPr="00496A4D">
        <w:rPr>
          <w:color w:val="000000" w:themeColor="text1"/>
        </w:rPr>
        <w:fldChar w:fldCharType="end"/>
      </w:r>
      <w:r w:rsidR="001B77F6" w:rsidRPr="00A52AB8">
        <w:rPr>
          <w:color w:val="000000" w:themeColor="text1"/>
        </w:rPr>
        <w:t xml:space="preserve">. </w:t>
      </w:r>
      <w:r w:rsidRPr="00A52AB8">
        <w:rPr>
          <w:color w:val="000000" w:themeColor="text1"/>
          <w:lang w:eastAsia="ja-JP"/>
        </w:rPr>
        <w:t>Other values of ptl_profile</w:t>
      </w:r>
      <w:r w:rsidR="00EA543F" w:rsidRPr="00A52AB8">
        <w:rPr>
          <w:color w:val="000000" w:themeColor="text1"/>
          <w:lang w:eastAsia="ja-JP"/>
        </w:rPr>
        <w:t>_toolset</w:t>
      </w:r>
      <w:r w:rsidRPr="00A52AB8">
        <w:rPr>
          <w:color w:val="000000" w:themeColor="text1"/>
          <w:lang w:eastAsia="ja-JP"/>
        </w:rPr>
        <w:t>_idc are reserved for future use by ISO/IEC.</w:t>
      </w:r>
    </w:p>
    <w:p w14:paraId="60B41D0A" w14:textId="2026E325" w:rsidR="00EA543F" w:rsidRPr="00A52AB8" w:rsidRDefault="0068623B">
      <w:pPr>
        <w:rPr>
          <w:color w:val="000000" w:themeColor="text1"/>
          <w:lang w:eastAsia="ja-JP"/>
        </w:rPr>
      </w:pPr>
      <w:r w:rsidRPr="00A52AB8">
        <w:rPr>
          <w:b/>
          <w:color w:val="000000" w:themeColor="text1"/>
          <w:lang w:eastAsia="ja-JP"/>
        </w:rPr>
        <w:t>ptl_p</w:t>
      </w:r>
      <w:r w:rsidRPr="00A52AB8">
        <w:rPr>
          <w:b/>
          <w:color w:val="000000" w:themeColor="text1"/>
        </w:rPr>
        <w:t>rofile</w:t>
      </w:r>
      <w:r w:rsidRPr="00A52AB8">
        <w:rPr>
          <w:b/>
          <w:color w:val="000000" w:themeColor="text1"/>
          <w:lang w:eastAsia="ja-JP"/>
        </w:rPr>
        <w:t>_</w:t>
      </w:r>
      <w:r w:rsidR="00EA543F" w:rsidRPr="00A52AB8">
        <w:rPr>
          <w:b/>
          <w:color w:val="000000" w:themeColor="text1"/>
          <w:lang w:eastAsia="ja-JP"/>
        </w:rPr>
        <w:t>reconstruction</w:t>
      </w:r>
      <w:r w:rsidRPr="00A52AB8">
        <w:rPr>
          <w:b/>
          <w:color w:val="000000" w:themeColor="text1"/>
          <w:lang w:eastAsia="ja-JP"/>
        </w:rPr>
        <w:t>_idc</w:t>
      </w:r>
      <w:r w:rsidRPr="00A52AB8">
        <w:rPr>
          <w:b/>
          <w:color w:val="000000" w:themeColor="text1"/>
        </w:rPr>
        <w:t xml:space="preserve"> </w:t>
      </w:r>
      <w:r w:rsidRPr="00A52AB8">
        <w:rPr>
          <w:color w:val="000000" w:themeColor="text1"/>
        </w:rPr>
        <w:t xml:space="preserve">indicates the </w:t>
      </w:r>
      <w:r w:rsidR="00EA543F" w:rsidRPr="00A52AB8">
        <w:rPr>
          <w:color w:val="000000" w:themeColor="text1"/>
        </w:rPr>
        <w:t>reconstruction</w:t>
      </w:r>
      <w:r w:rsidRPr="00A52AB8">
        <w:rPr>
          <w:color w:val="000000" w:themeColor="text1"/>
        </w:rPr>
        <w:t xml:space="preserve"> profile </w:t>
      </w:r>
      <w:r w:rsidR="00551447" w:rsidRPr="00A52AB8">
        <w:rPr>
          <w:color w:val="000000" w:themeColor="text1"/>
        </w:rPr>
        <w:t xml:space="preserve">component </w:t>
      </w:r>
      <w:r w:rsidRPr="00A52AB8">
        <w:rPr>
          <w:color w:val="000000" w:themeColor="text1"/>
        </w:rPr>
        <w:t xml:space="preserve">to which the </w:t>
      </w:r>
      <w:r w:rsidR="000D609E" w:rsidRPr="00A52AB8">
        <w:rPr>
          <w:color w:val="000000" w:themeColor="text1"/>
        </w:rPr>
        <w:t>CVS</w:t>
      </w:r>
      <w:r w:rsidRPr="00A52AB8">
        <w:rPr>
          <w:color w:val="000000" w:themeColor="text1"/>
        </w:rPr>
        <w:t xml:space="preserve"> </w:t>
      </w:r>
      <w:r w:rsidR="00EA543F" w:rsidRPr="00A52AB8">
        <w:rPr>
          <w:color w:val="000000" w:themeColor="text1"/>
        </w:rPr>
        <w:t xml:space="preserve">is </w:t>
      </w:r>
      <w:r w:rsidR="00551447" w:rsidRPr="00A52AB8">
        <w:rPr>
          <w:color w:val="000000" w:themeColor="text1"/>
        </w:rPr>
        <w:t xml:space="preserve">recommended </w:t>
      </w:r>
      <w:r w:rsidR="00EA543F" w:rsidRPr="00A52AB8">
        <w:rPr>
          <w:color w:val="000000" w:themeColor="text1"/>
        </w:rPr>
        <w:t xml:space="preserve">to </w:t>
      </w:r>
      <w:r w:rsidRPr="00A52AB8">
        <w:rPr>
          <w:color w:val="000000" w:themeColor="text1"/>
        </w:rPr>
        <w:t xml:space="preserve">conform </w:t>
      </w:r>
      <w:r w:rsidR="00551447" w:rsidRPr="00A52AB8">
        <w:rPr>
          <w:color w:val="000000" w:themeColor="text1"/>
        </w:rPr>
        <w:t xml:space="preserve">to </w:t>
      </w:r>
      <w:r w:rsidRPr="00A52AB8">
        <w:rPr>
          <w:color w:val="000000" w:themeColor="text1"/>
        </w:rPr>
        <w:t xml:space="preserve">as specified in </w:t>
      </w:r>
      <w:r w:rsidR="001B77F6" w:rsidRPr="00496A4D">
        <w:rPr>
          <w:color w:val="000000" w:themeColor="text1"/>
        </w:rPr>
        <w:fldChar w:fldCharType="begin"/>
      </w:r>
      <w:r w:rsidR="001B77F6" w:rsidRPr="00A52AB8">
        <w:rPr>
          <w:color w:val="000000" w:themeColor="text1"/>
        </w:rPr>
        <w:instrText xml:space="preserve"> REF _Ref21509350 \r \h </w:instrText>
      </w:r>
      <w:r w:rsidR="00025423" w:rsidRPr="00A52AB8">
        <w:rPr>
          <w:color w:val="000000" w:themeColor="text1"/>
        </w:rPr>
        <w:instrText xml:space="preserve"> \* MERGEFORMAT </w:instrText>
      </w:r>
      <w:r w:rsidR="001B77F6" w:rsidRPr="00496A4D">
        <w:rPr>
          <w:color w:val="000000" w:themeColor="text1"/>
        </w:rPr>
      </w:r>
      <w:r w:rsidR="001B77F6" w:rsidRPr="00496A4D">
        <w:rPr>
          <w:color w:val="000000" w:themeColor="text1"/>
        </w:rPr>
        <w:fldChar w:fldCharType="separate"/>
      </w:r>
      <w:r w:rsidR="00507A67">
        <w:rPr>
          <w:color w:val="000000" w:themeColor="text1"/>
        </w:rPr>
        <w:t>Annex A</w:t>
      </w:r>
      <w:r w:rsidR="001B77F6" w:rsidRPr="00496A4D">
        <w:rPr>
          <w:color w:val="000000" w:themeColor="text1"/>
        </w:rPr>
        <w:fldChar w:fldCharType="end"/>
      </w:r>
      <w:r w:rsidR="001B77F6" w:rsidRPr="00A52AB8">
        <w:rPr>
          <w:color w:val="000000" w:themeColor="text1"/>
        </w:rPr>
        <w:t xml:space="preserve">. </w:t>
      </w:r>
      <w:r w:rsidR="003A143A" w:rsidRPr="00A52AB8">
        <w:rPr>
          <w:color w:val="000000" w:themeColor="text1"/>
          <w:lang w:eastAsia="ja-JP"/>
        </w:rPr>
        <w:t>D</w:t>
      </w:r>
      <w:r w:rsidR="00551447" w:rsidRPr="00A52AB8">
        <w:rPr>
          <w:color w:val="000000" w:themeColor="text1"/>
          <w:lang w:eastAsia="ja-JP"/>
        </w:rPr>
        <w:t xml:space="preserve">ecoders may select to use a different reconstruction profile than the one indicated in the bitstream. </w:t>
      </w:r>
      <w:r w:rsidRPr="00A52AB8">
        <w:rPr>
          <w:color w:val="000000" w:themeColor="text1"/>
          <w:lang w:eastAsia="ja-JP"/>
        </w:rPr>
        <w:t>Bitstreams shall not contain values of ptl_profile_</w:t>
      </w:r>
      <w:r w:rsidR="00EA543F" w:rsidRPr="00A52AB8">
        <w:rPr>
          <w:color w:val="000000" w:themeColor="text1"/>
          <w:lang w:eastAsia="ja-JP"/>
        </w:rPr>
        <w:t>reconstruction</w:t>
      </w:r>
      <w:r w:rsidRPr="00A52AB8">
        <w:rPr>
          <w:color w:val="000000" w:themeColor="text1"/>
          <w:lang w:eastAsia="ja-JP"/>
        </w:rPr>
        <w:t xml:space="preserve">_idc other than those specified in </w:t>
      </w:r>
      <w:r w:rsidR="001B77F6" w:rsidRPr="00496A4D">
        <w:rPr>
          <w:color w:val="000000" w:themeColor="text1"/>
        </w:rPr>
        <w:fldChar w:fldCharType="begin"/>
      </w:r>
      <w:r w:rsidR="001B77F6" w:rsidRPr="00A52AB8">
        <w:rPr>
          <w:color w:val="000000" w:themeColor="text1"/>
        </w:rPr>
        <w:instrText xml:space="preserve"> REF _Ref21509350 \r \h </w:instrText>
      </w:r>
      <w:r w:rsidR="00025423" w:rsidRPr="00A52AB8">
        <w:rPr>
          <w:color w:val="000000" w:themeColor="text1"/>
        </w:rPr>
        <w:instrText xml:space="preserve"> \* MERGEFORMAT </w:instrText>
      </w:r>
      <w:r w:rsidR="001B77F6" w:rsidRPr="00496A4D">
        <w:rPr>
          <w:color w:val="000000" w:themeColor="text1"/>
        </w:rPr>
      </w:r>
      <w:r w:rsidR="001B77F6" w:rsidRPr="00496A4D">
        <w:rPr>
          <w:color w:val="000000" w:themeColor="text1"/>
        </w:rPr>
        <w:fldChar w:fldCharType="separate"/>
      </w:r>
      <w:r w:rsidR="00507A67">
        <w:rPr>
          <w:color w:val="000000" w:themeColor="text1"/>
        </w:rPr>
        <w:t>Annex A</w:t>
      </w:r>
      <w:r w:rsidR="001B77F6" w:rsidRPr="00496A4D">
        <w:rPr>
          <w:color w:val="000000" w:themeColor="text1"/>
        </w:rPr>
        <w:fldChar w:fldCharType="end"/>
      </w:r>
      <w:r w:rsidRPr="00A52AB8">
        <w:rPr>
          <w:color w:val="000000" w:themeColor="text1"/>
          <w:lang w:eastAsia="ja-JP"/>
        </w:rPr>
        <w:t>. Other values of ptl_profile_</w:t>
      </w:r>
      <w:r w:rsidR="00EA543F" w:rsidRPr="00A52AB8">
        <w:rPr>
          <w:color w:val="000000" w:themeColor="text1"/>
          <w:lang w:eastAsia="ja-JP"/>
        </w:rPr>
        <w:t>reconstruction</w:t>
      </w:r>
      <w:r w:rsidRPr="00A52AB8">
        <w:rPr>
          <w:color w:val="000000" w:themeColor="text1"/>
          <w:lang w:eastAsia="ja-JP"/>
        </w:rPr>
        <w:t>_idc are reserved for future use by ISO/IEC.</w:t>
      </w:r>
    </w:p>
    <w:p w14:paraId="78CAF49A" w14:textId="77777777" w:rsidR="008843B7" w:rsidRPr="00A52AB8" w:rsidRDefault="008843B7">
      <w:pPr>
        <w:rPr>
          <w:color w:val="000000" w:themeColor="text1"/>
        </w:rPr>
      </w:pPr>
      <w:r w:rsidRPr="00A52AB8">
        <w:rPr>
          <w:b/>
          <w:color w:val="000000" w:themeColor="text1"/>
        </w:rPr>
        <w:t>ptl</w:t>
      </w:r>
      <w:r w:rsidRPr="00A52AB8">
        <w:rPr>
          <w:color w:val="000000" w:themeColor="text1"/>
        </w:rPr>
        <w:t>_</w:t>
      </w:r>
      <w:r w:rsidRPr="00A52AB8">
        <w:rPr>
          <w:b/>
          <w:color w:val="000000" w:themeColor="text1"/>
        </w:rPr>
        <w:t>reserved_zero_</w:t>
      </w:r>
      <w:r w:rsidR="00971CB6" w:rsidRPr="00A52AB8">
        <w:rPr>
          <w:b/>
          <w:color w:val="000000" w:themeColor="text1"/>
        </w:rPr>
        <w:t>16bits</w:t>
      </w:r>
      <w:r w:rsidRPr="00A52AB8">
        <w:rPr>
          <w:color w:val="000000" w:themeColor="text1"/>
        </w:rPr>
        <w:t xml:space="preserve">, when present, shall be equal to 0 in bitstreams conforming to this version of </w:t>
      </w:r>
      <w:r w:rsidR="001905CC" w:rsidRPr="00A52AB8">
        <w:rPr>
          <w:color w:val="000000" w:themeColor="text1"/>
        </w:rPr>
        <w:t>this document</w:t>
      </w:r>
      <w:r w:rsidRPr="00A52AB8">
        <w:rPr>
          <w:color w:val="000000" w:themeColor="text1"/>
        </w:rPr>
        <w:t>. Other values for ptl_reserved_zero_</w:t>
      </w:r>
      <w:r w:rsidR="00971CB6" w:rsidRPr="00A52AB8">
        <w:rPr>
          <w:color w:val="000000" w:themeColor="text1"/>
        </w:rPr>
        <w:t xml:space="preserve">16bits </w:t>
      </w:r>
      <w:r w:rsidRPr="00A52AB8">
        <w:rPr>
          <w:color w:val="000000" w:themeColor="text1"/>
        </w:rPr>
        <w:t>are reserved for future use by ISO/IEC. Decoders shall ignore the value of ptl_reserved_zero_</w:t>
      </w:r>
      <w:r w:rsidR="00971CB6" w:rsidRPr="00A52AB8">
        <w:rPr>
          <w:color w:val="000000" w:themeColor="text1"/>
        </w:rPr>
        <w:t>16bits</w:t>
      </w:r>
      <w:r w:rsidRPr="00A52AB8">
        <w:rPr>
          <w:color w:val="000000" w:themeColor="text1"/>
        </w:rPr>
        <w:t>.</w:t>
      </w:r>
    </w:p>
    <w:p w14:paraId="490090F6" w14:textId="50A6A213" w:rsidR="00CA2168" w:rsidRPr="0068485C" w:rsidRDefault="00CA2168" w:rsidP="00CA2168">
      <w:pPr>
        <w:rPr>
          <w:rFonts w:cs="Calibri"/>
        </w:rPr>
      </w:pPr>
      <w:r w:rsidRPr="005C26E9">
        <w:rPr>
          <w:b/>
          <w:noProof/>
          <w:color w:val="000000" w:themeColor="text1"/>
          <w:lang w:eastAsia="ja-JP"/>
        </w:rPr>
        <w:t>ptl_</w:t>
      </w:r>
      <w:r>
        <w:rPr>
          <w:b/>
          <w:noProof/>
          <w:color w:val="000000" w:themeColor="text1"/>
          <w:lang w:eastAsia="ja-JP"/>
        </w:rPr>
        <w:t>max_decodes</w:t>
      </w:r>
      <w:r w:rsidRPr="005C26E9">
        <w:rPr>
          <w:b/>
          <w:noProof/>
          <w:color w:val="000000" w:themeColor="text1"/>
          <w:lang w:eastAsia="ja-JP"/>
        </w:rPr>
        <w:t>_id</w:t>
      </w:r>
      <w:r w:rsidRPr="006E08B6">
        <w:rPr>
          <w:b/>
          <w:noProof/>
          <w:color w:val="000000" w:themeColor="text1"/>
          <w:lang w:eastAsia="ja-JP"/>
        </w:rPr>
        <w:t>c</w:t>
      </w:r>
      <w:r w:rsidRPr="005C26E9">
        <w:rPr>
          <w:b/>
          <w:noProof/>
          <w:color w:val="000000" w:themeColor="text1"/>
        </w:rPr>
        <w:t xml:space="preserve"> </w:t>
      </w:r>
      <w:r w:rsidRPr="005C26E9">
        <w:rPr>
          <w:noProof/>
          <w:color w:val="000000" w:themeColor="text1"/>
        </w:rPr>
        <w:t xml:space="preserve">indicates </w:t>
      </w:r>
      <w:r>
        <w:rPr>
          <w:noProof/>
          <w:color w:val="000000" w:themeColor="text1"/>
        </w:rPr>
        <w:t>on the number of sub-bitstreams requiring a video  decoder instantiation</w:t>
      </w:r>
      <w:r w:rsidRPr="005C26E9">
        <w:rPr>
          <w:noProof/>
          <w:color w:val="000000" w:themeColor="text1"/>
        </w:rPr>
        <w:t xml:space="preserve"> to which the CVS conforms as specified in </w:t>
      </w:r>
      <w:r w:rsidRPr="005C26E9">
        <w:rPr>
          <w:noProof/>
          <w:color w:val="000000" w:themeColor="text1"/>
        </w:rPr>
        <w:fldChar w:fldCharType="begin"/>
      </w:r>
      <w:r w:rsidRPr="005C26E9">
        <w:rPr>
          <w:noProof/>
          <w:color w:val="000000" w:themeColor="text1"/>
        </w:rPr>
        <w:instrText xml:space="preserve"> REF _Ref21509350 \r \h  \* MERGEFORMAT </w:instrText>
      </w:r>
      <w:r w:rsidRPr="005C26E9">
        <w:rPr>
          <w:noProof/>
          <w:color w:val="000000" w:themeColor="text1"/>
        </w:rPr>
      </w:r>
      <w:r w:rsidRPr="005C26E9">
        <w:rPr>
          <w:noProof/>
          <w:color w:val="000000" w:themeColor="text1"/>
        </w:rPr>
        <w:fldChar w:fldCharType="separate"/>
      </w:r>
      <w:r w:rsidR="00507A67">
        <w:rPr>
          <w:noProof/>
          <w:color w:val="000000" w:themeColor="text1"/>
        </w:rPr>
        <w:t>Annex A</w:t>
      </w:r>
      <w:r w:rsidRPr="005C26E9">
        <w:rPr>
          <w:noProof/>
          <w:color w:val="000000" w:themeColor="text1"/>
        </w:rPr>
        <w:fldChar w:fldCharType="end"/>
      </w:r>
      <w:r>
        <w:rPr>
          <w:noProof/>
          <w:color w:val="000000" w:themeColor="text1"/>
        </w:rPr>
        <w:t>.</w:t>
      </w:r>
      <w:r w:rsidRPr="005C26E9">
        <w:rPr>
          <w:noProof/>
          <w:color w:val="000000" w:themeColor="text1"/>
        </w:rPr>
        <w:t xml:space="preserve"> Bitstreams shall not contain values of ptl_</w:t>
      </w:r>
      <w:r>
        <w:rPr>
          <w:noProof/>
          <w:color w:val="000000" w:themeColor="text1"/>
        </w:rPr>
        <w:t>max_decodes</w:t>
      </w:r>
      <w:r w:rsidRPr="005C26E9">
        <w:rPr>
          <w:noProof/>
          <w:color w:val="000000" w:themeColor="text1"/>
        </w:rPr>
        <w:t xml:space="preserve">_idc other than those specified in </w:t>
      </w:r>
      <w:r w:rsidRPr="005C26E9">
        <w:rPr>
          <w:noProof/>
          <w:color w:val="000000" w:themeColor="text1"/>
        </w:rPr>
        <w:fldChar w:fldCharType="begin"/>
      </w:r>
      <w:r w:rsidRPr="005C26E9">
        <w:rPr>
          <w:noProof/>
          <w:color w:val="000000" w:themeColor="text1"/>
        </w:rPr>
        <w:instrText xml:space="preserve"> REF _Ref21509350 \r \h  \* MERGEFORMAT </w:instrText>
      </w:r>
      <w:r w:rsidRPr="005C26E9">
        <w:rPr>
          <w:noProof/>
          <w:color w:val="000000" w:themeColor="text1"/>
        </w:rPr>
      </w:r>
      <w:r w:rsidRPr="005C26E9">
        <w:rPr>
          <w:noProof/>
          <w:color w:val="000000" w:themeColor="text1"/>
        </w:rPr>
        <w:fldChar w:fldCharType="separate"/>
      </w:r>
      <w:r w:rsidR="00507A67">
        <w:rPr>
          <w:noProof/>
          <w:color w:val="000000" w:themeColor="text1"/>
        </w:rPr>
        <w:t>Annex A</w:t>
      </w:r>
      <w:r w:rsidRPr="005C26E9">
        <w:rPr>
          <w:noProof/>
          <w:color w:val="000000" w:themeColor="text1"/>
        </w:rPr>
        <w:fldChar w:fldCharType="end"/>
      </w:r>
      <w:r w:rsidRPr="005C26E9">
        <w:rPr>
          <w:noProof/>
          <w:color w:val="000000" w:themeColor="text1"/>
        </w:rPr>
        <w:t>. Other values of ptl_</w:t>
      </w:r>
      <w:r>
        <w:rPr>
          <w:noProof/>
          <w:color w:val="000000" w:themeColor="text1"/>
        </w:rPr>
        <w:t>max_decodes</w:t>
      </w:r>
      <w:r w:rsidRPr="005C26E9">
        <w:rPr>
          <w:noProof/>
          <w:color w:val="000000" w:themeColor="text1"/>
        </w:rPr>
        <w:t>_idc are reserved for future use by ISO/IEC.</w:t>
      </w:r>
    </w:p>
    <w:p w14:paraId="1D16AE56" w14:textId="659F7A52" w:rsidR="00E14743" w:rsidRPr="00A52AB8" w:rsidRDefault="00E14743">
      <w:pPr>
        <w:rPr>
          <w:bCs/>
          <w:color w:val="000000" w:themeColor="text1"/>
          <w:lang w:eastAsia="ja-JP"/>
        </w:rPr>
      </w:pPr>
      <w:r w:rsidRPr="00A52AB8">
        <w:rPr>
          <w:b/>
          <w:color w:val="000000" w:themeColor="text1"/>
          <w:lang w:eastAsia="ja-JP"/>
        </w:rPr>
        <w:t>ptl_reserved_0xfff_1</w:t>
      </w:r>
      <w:r w:rsidR="00CA2168">
        <w:rPr>
          <w:b/>
          <w:color w:val="000000" w:themeColor="text1"/>
          <w:lang w:eastAsia="ja-JP"/>
        </w:rPr>
        <w:t>2</w:t>
      </w:r>
      <w:r w:rsidRPr="00A52AB8">
        <w:rPr>
          <w:b/>
          <w:color w:val="000000" w:themeColor="text1"/>
          <w:lang w:eastAsia="ja-JP"/>
        </w:rPr>
        <w:t>bits</w:t>
      </w:r>
      <w:r w:rsidRPr="00A52AB8">
        <w:rPr>
          <w:bCs/>
          <w:color w:val="000000" w:themeColor="text1"/>
          <w:lang w:eastAsia="ja-JP"/>
        </w:rPr>
        <w:t>, when present, shall be equal to 0xFFF in bitstreams conforming to this version of this document. Other values for ptl_reserved_0xfff_1</w:t>
      </w:r>
      <w:r w:rsidR="00CA2168">
        <w:rPr>
          <w:bCs/>
          <w:color w:val="000000" w:themeColor="text1"/>
          <w:lang w:eastAsia="ja-JP"/>
        </w:rPr>
        <w:t>2</w:t>
      </w:r>
      <w:r w:rsidRPr="00A52AB8">
        <w:rPr>
          <w:bCs/>
          <w:color w:val="000000" w:themeColor="text1"/>
          <w:lang w:eastAsia="ja-JP"/>
        </w:rPr>
        <w:t>bits are reserved for future use by ISO/IEC. Decoders shall ignore the value of ptl_reserved_0xfff_1</w:t>
      </w:r>
      <w:r w:rsidR="00CA2168">
        <w:rPr>
          <w:bCs/>
          <w:color w:val="000000" w:themeColor="text1"/>
          <w:lang w:eastAsia="ja-JP"/>
        </w:rPr>
        <w:t>2</w:t>
      </w:r>
      <w:r w:rsidRPr="00A52AB8">
        <w:rPr>
          <w:bCs/>
          <w:color w:val="000000" w:themeColor="text1"/>
          <w:lang w:eastAsia="ja-JP"/>
        </w:rPr>
        <w:t>bits.</w:t>
      </w:r>
    </w:p>
    <w:p w14:paraId="727970A6" w14:textId="75827A05" w:rsidR="0050235C" w:rsidRPr="00A52AB8" w:rsidRDefault="008843B7">
      <w:pPr>
        <w:rPr>
          <w:color w:val="000000" w:themeColor="text1"/>
        </w:rPr>
      </w:pPr>
      <w:r w:rsidRPr="00A52AB8">
        <w:rPr>
          <w:b/>
          <w:color w:val="000000" w:themeColor="text1"/>
          <w:lang w:eastAsia="ja-JP"/>
        </w:rPr>
        <w:t>ptl_</w:t>
      </w:r>
      <w:r w:rsidR="00894899" w:rsidRPr="00A52AB8">
        <w:rPr>
          <w:b/>
          <w:color w:val="000000" w:themeColor="text1"/>
          <w:lang w:eastAsia="ja-JP"/>
        </w:rPr>
        <w:t>l</w:t>
      </w:r>
      <w:r w:rsidR="00894899" w:rsidRPr="00A52AB8">
        <w:rPr>
          <w:b/>
          <w:color w:val="000000" w:themeColor="text1"/>
        </w:rPr>
        <w:t>evel</w:t>
      </w:r>
      <w:r w:rsidR="00894899" w:rsidRPr="00A52AB8">
        <w:rPr>
          <w:b/>
          <w:color w:val="000000" w:themeColor="text1"/>
          <w:lang w:eastAsia="ja-JP"/>
        </w:rPr>
        <w:t>_idc</w:t>
      </w:r>
      <w:r w:rsidR="00894899" w:rsidRPr="00A52AB8">
        <w:rPr>
          <w:b/>
          <w:color w:val="000000" w:themeColor="text1"/>
        </w:rPr>
        <w:t xml:space="preserve"> </w:t>
      </w:r>
      <w:r w:rsidR="00894899" w:rsidRPr="00A52AB8">
        <w:rPr>
          <w:color w:val="000000" w:themeColor="text1"/>
        </w:rPr>
        <w:t xml:space="preserve">indicates a level to which the </w:t>
      </w:r>
      <w:r w:rsidR="000D609E" w:rsidRPr="00A52AB8">
        <w:rPr>
          <w:color w:val="000000" w:themeColor="text1"/>
        </w:rPr>
        <w:t>CVS</w:t>
      </w:r>
      <w:r w:rsidR="00894899" w:rsidRPr="00A52AB8">
        <w:rPr>
          <w:color w:val="000000" w:themeColor="text1"/>
        </w:rPr>
        <w:t xml:space="preserve"> conforms as specified in </w:t>
      </w:r>
      <w:r w:rsidR="001B77F6" w:rsidRPr="00496A4D">
        <w:rPr>
          <w:color w:val="000000" w:themeColor="text1"/>
        </w:rPr>
        <w:fldChar w:fldCharType="begin"/>
      </w:r>
      <w:r w:rsidR="001B77F6" w:rsidRPr="00A52AB8">
        <w:rPr>
          <w:color w:val="000000" w:themeColor="text1"/>
        </w:rPr>
        <w:instrText xml:space="preserve"> REF _Ref21509350 \r \h </w:instrText>
      </w:r>
      <w:r w:rsidR="00025423" w:rsidRPr="00A52AB8">
        <w:rPr>
          <w:color w:val="000000" w:themeColor="text1"/>
        </w:rPr>
        <w:instrText xml:space="preserve"> \* MERGEFORMAT </w:instrText>
      </w:r>
      <w:r w:rsidR="001B77F6" w:rsidRPr="00496A4D">
        <w:rPr>
          <w:color w:val="000000" w:themeColor="text1"/>
        </w:rPr>
      </w:r>
      <w:r w:rsidR="001B77F6" w:rsidRPr="00496A4D">
        <w:rPr>
          <w:color w:val="000000" w:themeColor="text1"/>
        </w:rPr>
        <w:fldChar w:fldCharType="separate"/>
      </w:r>
      <w:r w:rsidR="00507A67">
        <w:rPr>
          <w:color w:val="000000" w:themeColor="text1"/>
        </w:rPr>
        <w:t>Annex A</w:t>
      </w:r>
      <w:r w:rsidR="001B77F6" w:rsidRPr="00496A4D">
        <w:rPr>
          <w:color w:val="000000" w:themeColor="text1"/>
        </w:rPr>
        <w:fldChar w:fldCharType="end"/>
      </w:r>
      <w:r w:rsidR="00DA01F3" w:rsidRPr="00A52AB8">
        <w:rPr>
          <w:color w:val="000000" w:themeColor="text1"/>
        </w:rPr>
        <w:t>.</w:t>
      </w:r>
      <w:r w:rsidR="00894899" w:rsidRPr="00A52AB8">
        <w:rPr>
          <w:color w:val="000000" w:themeColor="text1"/>
        </w:rPr>
        <w:t xml:space="preserve"> Bitstreams shall not contain values of </w:t>
      </w:r>
      <w:r w:rsidRPr="00A52AB8">
        <w:rPr>
          <w:color w:val="000000" w:themeColor="text1"/>
        </w:rPr>
        <w:t>ptl_</w:t>
      </w:r>
      <w:r w:rsidR="00894899" w:rsidRPr="00A52AB8">
        <w:rPr>
          <w:color w:val="000000" w:themeColor="text1"/>
        </w:rPr>
        <w:t xml:space="preserve">level_idc other than those specified in </w:t>
      </w:r>
      <w:r w:rsidR="001B77F6" w:rsidRPr="00496A4D">
        <w:rPr>
          <w:color w:val="000000" w:themeColor="text1"/>
        </w:rPr>
        <w:fldChar w:fldCharType="begin"/>
      </w:r>
      <w:r w:rsidR="001B77F6" w:rsidRPr="00A52AB8">
        <w:rPr>
          <w:color w:val="000000" w:themeColor="text1"/>
        </w:rPr>
        <w:instrText xml:space="preserve"> REF _Ref21509350 \r \h </w:instrText>
      </w:r>
      <w:r w:rsidR="00025423" w:rsidRPr="00A52AB8">
        <w:rPr>
          <w:color w:val="000000" w:themeColor="text1"/>
        </w:rPr>
        <w:instrText xml:space="preserve"> \* MERGEFORMAT </w:instrText>
      </w:r>
      <w:r w:rsidR="001B77F6" w:rsidRPr="00496A4D">
        <w:rPr>
          <w:color w:val="000000" w:themeColor="text1"/>
        </w:rPr>
      </w:r>
      <w:r w:rsidR="001B77F6" w:rsidRPr="00496A4D">
        <w:rPr>
          <w:color w:val="000000" w:themeColor="text1"/>
        </w:rPr>
        <w:fldChar w:fldCharType="separate"/>
      </w:r>
      <w:r w:rsidR="00507A67">
        <w:rPr>
          <w:color w:val="000000" w:themeColor="text1"/>
        </w:rPr>
        <w:t>Annex A</w:t>
      </w:r>
      <w:r w:rsidR="001B77F6" w:rsidRPr="00496A4D">
        <w:rPr>
          <w:color w:val="000000" w:themeColor="text1"/>
        </w:rPr>
        <w:fldChar w:fldCharType="end"/>
      </w:r>
      <w:r w:rsidR="00894899" w:rsidRPr="00A52AB8">
        <w:rPr>
          <w:color w:val="000000" w:themeColor="text1"/>
        </w:rPr>
        <w:t xml:space="preserve">. Other values of </w:t>
      </w:r>
      <w:r w:rsidRPr="00A52AB8">
        <w:rPr>
          <w:color w:val="000000" w:themeColor="text1"/>
        </w:rPr>
        <w:t>ptl_</w:t>
      </w:r>
      <w:r w:rsidR="00894899" w:rsidRPr="00A52AB8">
        <w:rPr>
          <w:color w:val="000000" w:themeColor="text1"/>
        </w:rPr>
        <w:t>level_idc are reserved for future use by ISO/IEC.</w:t>
      </w:r>
    </w:p>
    <w:p w14:paraId="26F10109" w14:textId="36844BD1" w:rsidR="002A70D2" w:rsidRPr="00A52AB8" w:rsidRDefault="002A70D2" w:rsidP="002A70D2">
      <w:pPr>
        <w:rPr>
          <w:color w:val="000000" w:themeColor="text1"/>
        </w:rPr>
      </w:pPr>
      <w:r w:rsidRPr="00A52AB8">
        <w:rPr>
          <w:b/>
          <w:bCs/>
          <w:color w:val="000000" w:themeColor="text1"/>
        </w:rPr>
        <w:t>ptl_num_sub_profiles</w:t>
      </w:r>
      <w:r w:rsidRPr="00A52AB8">
        <w:rPr>
          <w:color w:val="000000" w:themeColor="text1"/>
        </w:rPr>
        <w:t xml:space="preserve"> </w:t>
      </w:r>
      <w:r w:rsidR="00F52217" w:rsidRPr="00A52AB8">
        <w:rPr>
          <w:color w:val="000000" w:themeColor="text1"/>
        </w:rPr>
        <w:t xml:space="preserve">indicates </w:t>
      </w:r>
      <w:r w:rsidRPr="00A52AB8">
        <w:rPr>
          <w:color w:val="000000" w:themeColor="text1"/>
        </w:rPr>
        <w:t>the number of the ptl_sub_profile_idc[</w:t>
      </w:r>
      <w:r w:rsidR="00247A21" w:rsidRPr="00A52AB8">
        <w:rPr>
          <w:color w:val="000000" w:themeColor="text1"/>
        </w:rPr>
        <w:t> i </w:t>
      </w:r>
      <w:r w:rsidRPr="00A52AB8">
        <w:rPr>
          <w:color w:val="000000" w:themeColor="text1"/>
        </w:rPr>
        <w:t>] syntax elements.</w:t>
      </w:r>
    </w:p>
    <w:p w14:paraId="06C179C9" w14:textId="789A3FAE" w:rsidR="002A70D2" w:rsidRPr="00A52AB8" w:rsidRDefault="002A70D2" w:rsidP="002A70D2">
      <w:pPr>
        <w:rPr>
          <w:color w:val="000000" w:themeColor="text1"/>
        </w:rPr>
      </w:pPr>
      <w:r w:rsidRPr="00A52AB8">
        <w:rPr>
          <w:b/>
          <w:bCs/>
          <w:color w:val="000000" w:themeColor="text1"/>
        </w:rPr>
        <w:t>ptl_extended_sub_profile_flag</w:t>
      </w:r>
      <w:r w:rsidRPr="00A52AB8">
        <w:rPr>
          <w:color w:val="000000" w:themeColor="text1"/>
        </w:rPr>
        <w:t xml:space="preserve"> equal to 1 specifies that the ptl_sub_profile_idc[</w:t>
      </w:r>
      <w:r w:rsidR="00E655CD" w:rsidRPr="00A52AB8">
        <w:rPr>
          <w:color w:val="000000" w:themeColor="text1"/>
        </w:rPr>
        <w:t> i </w:t>
      </w:r>
      <w:r w:rsidRPr="00A52AB8">
        <w:rPr>
          <w:color w:val="000000" w:themeColor="text1"/>
        </w:rPr>
        <w:t>] syntax elements, if present, should be represented using 64 bits. ptl_extended_sub_profile_flag equal to 0 specifies that the ptl_sub_profile_idc[</w:t>
      </w:r>
      <w:r w:rsidR="00E655CD" w:rsidRPr="00A52AB8">
        <w:rPr>
          <w:color w:val="000000" w:themeColor="text1"/>
        </w:rPr>
        <w:t> i </w:t>
      </w:r>
      <w:r w:rsidRPr="00A52AB8">
        <w:rPr>
          <w:color w:val="000000" w:themeColor="text1"/>
        </w:rPr>
        <w:t>] syntax elements, if present, should be represented using 32 bits.</w:t>
      </w:r>
    </w:p>
    <w:p w14:paraId="4769BA62" w14:textId="23E93EB6" w:rsidR="002A70D2" w:rsidRPr="00A52AB8" w:rsidRDefault="002A70D2" w:rsidP="002A70D2">
      <w:pPr>
        <w:rPr>
          <w:color w:val="000000" w:themeColor="text1"/>
        </w:rPr>
      </w:pPr>
      <w:r w:rsidRPr="00A52AB8">
        <w:rPr>
          <w:b/>
          <w:bCs/>
          <w:color w:val="000000" w:themeColor="text1"/>
        </w:rPr>
        <w:t>ptl_sub_profile_idc</w:t>
      </w:r>
      <w:r w:rsidRPr="00A52AB8">
        <w:rPr>
          <w:color w:val="000000" w:themeColor="text1"/>
        </w:rPr>
        <w:t>[</w:t>
      </w:r>
      <w:r w:rsidR="00E655CD" w:rsidRPr="00A52AB8">
        <w:rPr>
          <w:color w:val="000000" w:themeColor="text1"/>
        </w:rPr>
        <w:t> i </w:t>
      </w:r>
      <w:r w:rsidRPr="00A52AB8">
        <w:rPr>
          <w:color w:val="000000" w:themeColor="text1"/>
        </w:rPr>
        <w:t xml:space="preserve">] indicates the i-th interoperability metadata registered as specified by Rec. ITU-T T.35, the content of which is not specified in this </w:t>
      </w:r>
      <w:r w:rsidR="0059179E" w:rsidRPr="00A52AB8">
        <w:rPr>
          <w:color w:val="000000" w:themeColor="text1"/>
        </w:rPr>
        <w:t>document</w:t>
      </w:r>
      <w:r w:rsidRPr="00A52AB8">
        <w:rPr>
          <w:color w:val="000000" w:themeColor="text1"/>
        </w:rPr>
        <w:t xml:space="preserve">. The number of bits used to represent </w:t>
      </w:r>
      <w:r w:rsidR="00DA01F3" w:rsidRPr="00A52AB8">
        <w:rPr>
          <w:color w:val="000000" w:themeColor="text1"/>
        </w:rPr>
        <w:t>ptl</w:t>
      </w:r>
      <w:r w:rsidRPr="00A52AB8">
        <w:rPr>
          <w:color w:val="000000" w:themeColor="text1"/>
        </w:rPr>
        <w:t>_sub_profile_idc[</w:t>
      </w:r>
      <w:r w:rsidR="00E655CD" w:rsidRPr="00A52AB8">
        <w:rPr>
          <w:color w:val="000000" w:themeColor="text1"/>
        </w:rPr>
        <w:t> i </w:t>
      </w:r>
      <w:r w:rsidRPr="00A52AB8">
        <w:rPr>
          <w:color w:val="000000" w:themeColor="text1"/>
        </w:rPr>
        <w:t>] is equal to (ptl_extended_sub_profile_flag</w:t>
      </w:r>
      <w:r w:rsidR="008768E9" w:rsidRPr="00A52AB8">
        <w:rPr>
          <w:color w:val="000000" w:themeColor="text1"/>
        </w:rPr>
        <w:t> </w:t>
      </w:r>
      <w:r w:rsidR="00726AAE" w:rsidRPr="00A52AB8">
        <w:rPr>
          <w:color w:val="000000" w:themeColor="text1"/>
        </w:rPr>
        <w:t>==</w:t>
      </w:r>
      <w:r w:rsidR="00D47707" w:rsidRPr="00A52AB8">
        <w:rPr>
          <w:color w:val="000000" w:themeColor="text1"/>
        </w:rPr>
        <w:t> </w:t>
      </w:r>
      <w:r w:rsidRPr="00A52AB8">
        <w:rPr>
          <w:color w:val="000000" w:themeColor="text1"/>
        </w:rPr>
        <w:t>0</w:t>
      </w:r>
      <w:r w:rsidR="00E655CD" w:rsidRPr="00A52AB8">
        <w:rPr>
          <w:color w:val="000000" w:themeColor="text1"/>
        </w:rPr>
        <w:t> </w:t>
      </w:r>
      <w:r w:rsidRPr="00A52AB8">
        <w:rPr>
          <w:color w:val="000000" w:themeColor="text1"/>
        </w:rPr>
        <w:t>?</w:t>
      </w:r>
      <w:r w:rsidR="00E655CD" w:rsidRPr="00A52AB8">
        <w:rPr>
          <w:color w:val="000000" w:themeColor="text1"/>
        </w:rPr>
        <w:t> </w:t>
      </w:r>
      <w:r w:rsidRPr="00A52AB8">
        <w:rPr>
          <w:color w:val="000000" w:themeColor="text1"/>
        </w:rPr>
        <w:t>32</w:t>
      </w:r>
      <w:r w:rsidR="00E655CD" w:rsidRPr="00A52AB8">
        <w:rPr>
          <w:color w:val="000000" w:themeColor="text1"/>
        </w:rPr>
        <w:t> </w:t>
      </w:r>
      <w:r w:rsidRPr="00A52AB8">
        <w:rPr>
          <w:color w:val="000000" w:themeColor="text1"/>
        </w:rPr>
        <w:t>:</w:t>
      </w:r>
      <w:r w:rsidR="00E655CD" w:rsidRPr="00A52AB8">
        <w:rPr>
          <w:color w:val="000000" w:themeColor="text1"/>
        </w:rPr>
        <w:t> </w:t>
      </w:r>
      <w:r w:rsidRPr="00A52AB8">
        <w:rPr>
          <w:color w:val="000000" w:themeColor="text1"/>
        </w:rPr>
        <w:t>64).</w:t>
      </w:r>
    </w:p>
    <w:p w14:paraId="3E201B71" w14:textId="77777777" w:rsidR="00F714BB" w:rsidRPr="00A52AB8" w:rsidRDefault="002A70D2" w:rsidP="002A70D2">
      <w:pPr>
        <w:rPr>
          <w:color w:val="000000" w:themeColor="text1"/>
        </w:rPr>
      </w:pPr>
      <w:r w:rsidRPr="00A52AB8">
        <w:rPr>
          <w:b/>
          <w:bCs/>
          <w:color w:val="000000" w:themeColor="text1"/>
        </w:rPr>
        <w:t>ptl_toolset_constraints_present_flag</w:t>
      </w:r>
      <w:r w:rsidRPr="00A52AB8">
        <w:rPr>
          <w:color w:val="000000" w:themeColor="text1"/>
        </w:rPr>
        <w:t xml:space="preserve"> equal to 1 specifies that an additional structure, profile_toolset_constraints_information(</w:t>
      </w:r>
      <w:r w:rsidR="00A05A58" w:rsidRPr="00A52AB8">
        <w:rPr>
          <w:color w:val="000000" w:themeColor="text1"/>
        </w:rPr>
        <w:t> </w:t>
      </w:r>
      <w:r w:rsidRPr="00A52AB8">
        <w:rPr>
          <w:color w:val="000000" w:themeColor="text1"/>
        </w:rPr>
        <w:t xml:space="preserve">), is present in the bitstream. </w:t>
      </w:r>
      <w:r w:rsidRPr="00A52AB8">
        <w:rPr>
          <w:color w:val="000000" w:themeColor="text1"/>
        </w:rPr>
        <w:lastRenderedPageBreak/>
        <w:t>ptl_toolset_constraints_present_flag equal to 0 specifies that the structure profile_toolset_constraints_info</w:t>
      </w:r>
      <w:r w:rsidR="00A05A58" w:rsidRPr="00A52AB8">
        <w:rPr>
          <w:color w:val="000000" w:themeColor="text1"/>
        </w:rPr>
        <w:t>rmation</w:t>
      </w:r>
      <w:r w:rsidRPr="00A52AB8">
        <w:rPr>
          <w:color w:val="000000" w:themeColor="text1"/>
        </w:rPr>
        <w:t>(</w:t>
      </w:r>
      <w:r w:rsidR="00A05A58" w:rsidRPr="00A52AB8">
        <w:rPr>
          <w:color w:val="000000" w:themeColor="text1"/>
        </w:rPr>
        <w:t> </w:t>
      </w:r>
      <w:r w:rsidRPr="00A52AB8">
        <w:rPr>
          <w:color w:val="000000" w:themeColor="text1"/>
        </w:rPr>
        <w:t>) is not present.</w:t>
      </w:r>
    </w:p>
    <w:p w14:paraId="70C98FB8" w14:textId="77777777" w:rsidR="00BC5D39" w:rsidRPr="00A52AB8" w:rsidRDefault="00BC5D39" w:rsidP="00CE495E">
      <w:pPr>
        <w:pStyle w:val="Heading4"/>
      </w:pPr>
      <w:r w:rsidRPr="00A52AB8">
        <w:t xml:space="preserve">Occupancy </w:t>
      </w:r>
      <w:r w:rsidR="00DA3C5F" w:rsidRPr="00A52AB8">
        <w:t xml:space="preserve">information </w:t>
      </w:r>
      <w:r w:rsidRPr="00A52AB8">
        <w:t>semantics</w:t>
      </w:r>
    </w:p>
    <w:p w14:paraId="7F9B8598" w14:textId="15584F6E" w:rsidR="00004871" w:rsidRPr="00A52AB8" w:rsidRDefault="000F532C">
      <w:pPr>
        <w:rPr>
          <w:color w:val="000000" w:themeColor="text1"/>
        </w:rPr>
      </w:pPr>
      <w:r w:rsidRPr="00A52AB8">
        <w:rPr>
          <w:b/>
          <w:color w:val="000000" w:themeColor="text1"/>
        </w:rPr>
        <w:t>oi_</w:t>
      </w:r>
      <w:r w:rsidR="00BC5D39" w:rsidRPr="00A52AB8">
        <w:rPr>
          <w:b/>
          <w:color w:val="000000" w:themeColor="text1"/>
        </w:rPr>
        <w:t>occupancy_codec_id</w:t>
      </w:r>
      <w:r w:rsidR="001F4484" w:rsidRPr="00A52AB8">
        <w:rPr>
          <w:color w:val="000000" w:themeColor="text1"/>
        </w:rPr>
        <w:t>[ j ]</w:t>
      </w:r>
      <w:r w:rsidR="00BC5D39" w:rsidRPr="00A52AB8">
        <w:rPr>
          <w:b/>
          <w:color w:val="000000" w:themeColor="text1"/>
        </w:rPr>
        <w:t xml:space="preserve"> </w:t>
      </w:r>
      <w:r w:rsidR="00BC5D39" w:rsidRPr="00A52AB8">
        <w:rPr>
          <w:color w:val="000000" w:themeColor="text1"/>
        </w:rPr>
        <w:t xml:space="preserve">indicates the identifier of the codec used to compress the </w:t>
      </w:r>
      <w:r w:rsidR="0003372C" w:rsidRPr="00A52AB8">
        <w:rPr>
          <w:color w:val="000000" w:themeColor="text1"/>
        </w:rPr>
        <w:t>occupancy</w:t>
      </w:r>
      <w:r w:rsidR="00BC5D39" w:rsidRPr="00A52AB8">
        <w:rPr>
          <w:color w:val="000000" w:themeColor="text1"/>
        </w:rPr>
        <w:t xml:space="preserve"> information</w:t>
      </w:r>
      <w:r w:rsidR="00DB4D06" w:rsidRPr="00A52AB8">
        <w:rPr>
          <w:color w:val="000000" w:themeColor="text1"/>
        </w:rPr>
        <w:t xml:space="preserve"> for the </w:t>
      </w:r>
      <w:r w:rsidR="00C175F4" w:rsidRPr="00A52AB8">
        <w:rPr>
          <w:color w:val="000000" w:themeColor="text1"/>
        </w:rPr>
        <w:t xml:space="preserve">atlas with atlas ID </w:t>
      </w:r>
      <w:r w:rsidR="00DB4D06" w:rsidRPr="00A52AB8">
        <w:rPr>
          <w:color w:val="000000" w:themeColor="text1"/>
        </w:rPr>
        <w:t>j</w:t>
      </w:r>
      <w:r w:rsidR="00BC5D39" w:rsidRPr="00A52AB8">
        <w:rPr>
          <w:color w:val="000000" w:themeColor="text1"/>
        </w:rPr>
        <w:t>. occupancy_codec_id</w:t>
      </w:r>
      <w:r w:rsidR="00C175F4" w:rsidRPr="00A52AB8">
        <w:rPr>
          <w:color w:val="000000" w:themeColor="text1"/>
        </w:rPr>
        <w:t>[ j ]</w:t>
      </w:r>
      <w:r w:rsidR="00BC5D39" w:rsidRPr="00A52AB8">
        <w:rPr>
          <w:color w:val="000000" w:themeColor="text1"/>
        </w:rPr>
        <w:t xml:space="preserve"> shall be in the range of 0 to 255, inclusive.</w:t>
      </w:r>
      <w:r w:rsidR="00DB4D06" w:rsidRPr="00A52AB8">
        <w:rPr>
          <w:color w:val="000000" w:themeColor="text1"/>
        </w:rPr>
        <w:t xml:space="preserve"> This codec may be identified through </w:t>
      </w:r>
      <w:r w:rsidR="00DA01F3" w:rsidRPr="00A52AB8">
        <w:rPr>
          <w:color w:val="000000" w:themeColor="text1"/>
          <w:lang w:eastAsia="ko-KR"/>
        </w:rPr>
        <w:t xml:space="preserve">the profiles defined in </w:t>
      </w:r>
      <w:r w:rsidR="00DA01F3" w:rsidRPr="00496A4D">
        <w:rPr>
          <w:color w:val="000000" w:themeColor="text1"/>
          <w:lang w:eastAsia="ko-KR"/>
        </w:rPr>
        <w:fldChar w:fldCharType="begin"/>
      </w:r>
      <w:r w:rsidR="00DA01F3" w:rsidRPr="00A52AB8">
        <w:rPr>
          <w:color w:val="000000" w:themeColor="text1"/>
          <w:lang w:eastAsia="ko-KR"/>
        </w:rPr>
        <w:instrText xml:space="preserve"> REF _Ref38898728 \</w:instrText>
      </w:r>
      <w:r w:rsidR="00975862" w:rsidRPr="00A52AB8">
        <w:rPr>
          <w:color w:val="000000" w:themeColor="text1"/>
          <w:lang w:eastAsia="ko-KR"/>
        </w:rPr>
        <w:instrText>r</w:instrText>
      </w:r>
      <w:r w:rsidR="00DA01F3" w:rsidRPr="00A52AB8">
        <w:rPr>
          <w:color w:val="000000" w:themeColor="text1"/>
          <w:lang w:eastAsia="ko-KR"/>
        </w:rPr>
        <w:instrText xml:space="preserve"> \h  \* MERGEFORMAT </w:instrText>
      </w:r>
      <w:r w:rsidR="00DA01F3" w:rsidRPr="00496A4D">
        <w:rPr>
          <w:color w:val="000000" w:themeColor="text1"/>
          <w:lang w:eastAsia="ko-KR"/>
        </w:rPr>
      </w:r>
      <w:r w:rsidR="00DA01F3" w:rsidRPr="00496A4D">
        <w:rPr>
          <w:color w:val="000000" w:themeColor="text1"/>
          <w:lang w:eastAsia="ko-KR"/>
        </w:rPr>
        <w:fldChar w:fldCharType="separate"/>
      </w:r>
      <w:r w:rsidR="00507A67">
        <w:rPr>
          <w:color w:val="000000" w:themeColor="text1"/>
          <w:lang w:eastAsia="ko-KR"/>
        </w:rPr>
        <w:t>Annex A</w:t>
      </w:r>
      <w:r w:rsidR="00DA01F3" w:rsidRPr="00496A4D">
        <w:rPr>
          <w:color w:val="000000" w:themeColor="text1"/>
          <w:lang w:eastAsia="ko-KR"/>
        </w:rPr>
        <w:fldChar w:fldCharType="end"/>
      </w:r>
      <w:r w:rsidR="00DA01F3" w:rsidRPr="00A52AB8">
        <w:rPr>
          <w:color w:val="000000" w:themeColor="text1"/>
          <w:lang w:eastAsia="ko-KR"/>
        </w:rPr>
        <w:t xml:space="preserve">, </w:t>
      </w:r>
      <w:r w:rsidR="00DB4D06" w:rsidRPr="00A52AB8">
        <w:rPr>
          <w:color w:val="000000" w:themeColor="text1"/>
        </w:rPr>
        <w:t xml:space="preserve">a </w:t>
      </w:r>
      <w:r w:rsidR="00551447" w:rsidRPr="00A52AB8">
        <w:rPr>
          <w:color w:val="000000" w:themeColor="text1"/>
        </w:rPr>
        <w:t>c</w:t>
      </w:r>
      <w:r w:rsidR="00DB4D06" w:rsidRPr="00A52AB8">
        <w:rPr>
          <w:color w:val="000000" w:themeColor="text1"/>
        </w:rPr>
        <w:t>omponent codec mapping SEI message</w:t>
      </w:r>
      <w:r w:rsidR="00DA01F3" w:rsidRPr="00A52AB8">
        <w:rPr>
          <w:color w:val="000000" w:themeColor="text1"/>
        </w:rPr>
        <w:t>,</w:t>
      </w:r>
      <w:r w:rsidR="00DB4D06" w:rsidRPr="00A52AB8">
        <w:rPr>
          <w:color w:val="000000" w:themeColor="text1"/>
        </w:rPr>
        <w:t xml:space="preserve"> or through means outside </w:t>
      </w:r>
      <w:r w:rsidR="001905CC" w:rsidRPr="00A52AB8">
        <w:rPr>
          <w:color w:val="000000" w:themeColor="text1"/>
        </w:rPr>
        <w:t>this document</w:t>
      </w:r>
      <w:r w:rsidR="00DB4D06" w:rsidRPr="00A52AB8">
        <w:rPr>
          <w:color w:val="000000" w:themeColor="text1"/>
        </w:rPr>
        <w:t>.</w:t>
      </w:r>
    </w:p>
    <w:p w14:paraId="0C610CE3" w14:textId="7507FC52" w:rsidR="0090046D" w:rsidRPr="00A52AB8" w:rsidRDefault="000F532C">
      <w:pPr>
        <w:rPr>
          <w:color w:val="000000" w:themeColor="text1"/>
        </w:rPr>
      </w:pPr>
      <w:bookmarkStart w:id="799" w:name="_Hlk45648865"/>
      <w:r w:rsidRPr="00A52AB8">
        <w:rPr>
          <w:b/>
          <w:color w:val="000000" w:themeColor="text1"/>
        </w:rPr>
        <w:t>oi_</w:t>
      </w:r>
      <w:r w:rsidR="00004871" w:rsidRPr="00A52AB8">
        <w:rPr>
          <w:b/>
          <w:color w:val="000000" w:themeColor="text1"/>
        </w:rPr>
        <w:t>lossy_</w:t>
      </w:r>
      <w:r w:rsidR="00523804" w:rsidRPr="00A52AB8">
        <w:rPr>
          <w:b/>
          <w:color w:val="000000" w:themeColor="text1"/>
        </w:rPr>
        <w:t>occupancy</w:t>
      </w:r>
      <w:r w:rsidR="00004871" w:rsidRPr="00A52AB8">
        <w:rPr>
          <w:b/>
          <w:color w:val="000000" w:themeColor="text1"/>
        </w:rPr>
        <w:t>_compression_threshold</w:t>
      </w:r>
      <w:r w:rsidR="001F4484" w:rsidRPr="00A52AB8">
        <w:rPr>
          <w:color w:val="000000" w:themeColor="text1"/>
        </w:rPr>
        <w:t>[ j ]</w:t>
      </w:r>
      <w:r w:rsidR="00004871" w:rsidRPr="00A52AB8">
        <w:rPr>
          <w:color w:val="000000" w:themeColor="text1"/>
        </w:rPr>
        <w:t xml:space="preserve"> </w:t>
      </w:r>
      <w:bookmarkEnd w:id="799"/>
      <w:r w:rsidR="00004871" w:rsidRPr="00A52AB8">
        <w:rPr>
          <w:color w:val="000000" w:themeColor="text1"/>
        </w:rPr>
        <w:t xml:space="preserve">indicates the threshold to be used to derive the binary </w:t>
      </w:r>
      <w:r w:rsidR="0003372C" w:rsidRPr="00A52AB8">
        <w:rPr>
          <w:color w:val="000000" w:themeColor="text1"/>
        </w:rPr>
        <w:t>occupancy</w:t>
      </w:r>
      <w:r w:rsidR="00004871" w:rsidRPr="00A52AB8">
        <w:rPr>
          <w:color w:val="000000" w:themeColor="text1"/>
        </w:rPr>
        <w:t xml:space="preserve"> from the decoded </w:t>
      </w:r>
      <w:r w:rsidR="0003372C" w:rsidRPr="00A52AB8">
        <w:rPr>
          <w:color w:val="000000" w:themeColor="text1"/>
        </w:rPr>
        <w:t>occupancy</w:t>
      </w:r>
      <w:r w:rsidR="00004871" w:rsidRPr="00A52AB8">
        <w:rPr>
          <w:color w:val="000000" w:themeColor="text1"/>
        </w:rPr>
        <w:t xml:space="preserve"> video</w:t>
      </w:r>
      <w:r w:rsidR="00DB4D06" w:rsidRPr="00A52AB8">
        <w:rPr>
          <w:color w:val="000000" w:themeColor="text1"/>
        </w:rPr>
        <w:t xml:space="preserve"> for the </w:t>
      </w:r>
      <w:r w:rsidR="00C175F4" w:rsidRPr="00A52AB8">
        <w:rPr>
          <w:color w:val="000000" w:themeColor="text1"/>
        </w:rPr>
        <w:t xml:space="preserve">atlas with atlas ID </w:t>
      </w:r>
      <w:r w:rsidR="00DB4D06" w:rsidRPr="00A52AB8">
        <w:rPr>
          <w:color w:val="000000" w:themeColor="text1"/>
        </w:rPr>
        <w:t>j</w:t>
      </w:r>
      <w:r w:rsidR="00004871" w:rsidRPr="00A52AB8">
        <w:rPr>
          <w:color w:val="000000" w:themeColor="text1"/>
        </w:rPr>
        <w:t xml:space="preserve">. </w:t>
      </w:r>
      <w:r w:rsidRPr="00A52AB8">
        <w:rPr>
          <w:color w:val="000000" w:themeColor="text1"/>
        </w:rPr>
        <w:t>oi_</w:t>
      </w:r>
      <w:r w:rsidR="00004871" w:rsidRPr="00A52AB8">
        <w:rPr>
          <w:color w:val="000000" w:themeColor="text1"/>
        </w:rPr>
        <w:t>lossy_</w:t>
      </w:r>
      <w:r w:rsidR="00523804" w:rsidRPr="00A52AB8">
        <w:rPr>
          <w:color w:val="000000" w:themeColor="text1"/>
        </w:rPr>
        <w:t>occupancy</w:t>
      </w:r>
      <w:r w:rsidR="00004871" w:rsidRPr="00A52AB8">
        <w:rPr>
          <w:color w:val="000000" w:themeColor="text1"/>
        </w:rPr>
        <w:t>_compression_threshold</w:t>
      </w:r>
      <w:r w:rsidR="001F4484" w:rsidRPr="00A52AB8">
        <w:rPr>
          <w:color w:val="000000" w:themeColor="text1"/>
        </w:rPr>
        <w:t>[ j ]</w:t>
      </w:r>
      <w:r w:rsidR="00004871" w:rsidRPr="00A52AB8">
        <w:rPr>
          <w:color w:val="000000" w:themeColor="text1"/>
        </w:rPr>
        <w:t xml:space="preserve"> shall be in the range of 0 to 255, inclusive.</w:t>
      </w:r>
    </w:p>
    <w:p w14:paraId="02380CE7" w14:textId="7DCBE293" w:rsidR="002F62C5" w:rsidRPr="00A52AB8" w:rsidRDefault="002F62C5">
      <w:pPr>
        <w:rPr>
          <w:color w:val="000000" w:themeColor="text1"/>
        </w:rPr>
      </w:pPr>
      <w:r w:rsidRPr="00A52AB8">
        <w:rPr>
          <w:b/>
          <w:color w:val="000000" w:themeColor="text1"/>
        </w:rPr>
        <w:t>oi_occupancy</w:t>
      </w:r>
      <w:r w:rsidR="00E17778" w:rsidRPr="00A52AB8">
        <w:rPr>
          <w:b/>
          <w:color w:val="000000" w:themeColor="text1"/>
        </w:rPr>
        <w:t>_</w:t>
      </w:r>
      <w:r w:rsidRPr="00A52AB8">
        <w:rPr>
          <w:b/>
          <w:color w:val="000000" w:themeColor="text1"/>
        </w:rPr>
        <w:t>2d_bit</w:t>
      </w:r>
      <w:r w:rsidR="00C514C6" w:rsidRPr="00A52AB8">
        <w:rPr>
          <w:b/>
          <w:color w:val="000000" w:themeColor="text1"/>
        </w:rPr>
        <w:t>_</w:t>
      </w:r>
      <w:r w:rsidRPr="00A52AB8">
        <w:rPr>
          <w:b/>
          <w:color w:val="000000" w:themeColor="text1"/>
        </w:rPr>
        <w:t>depth_minus1</w:t>
      </w:r>
      <w:r w:rsidR="001F4484" w:rsidRPr="00A52AB8">
        <w:rPr>
          <w:color w:val="000000" w:themeColor="text1"/>
        </w:rPr>
        <w:t>[ j ]</w:t>
      </w:r>
      <w:r w:rsidRPr="00A52AB8">
        <w:rPr>
          <w:color w:val="000000" w:themeColor="text1"/>
        </w:rPr>
        <w:t xml:space="preserve"> plus 1 indicates the nominal 2D bit depth to which the occupancy video for the </w:t>
      </w:r>
      <w:r w:rsidR="00C175F4" w:rsidRPr="00A52AB8">
        <w:rPr>
          <w:color w:val="000000" w:themeColor="text1"/>
        </w:rPr>
        <w:t xml:space="preserve">atlas with atlas ID </w:t>
      </w:r>
      <w:r w:rsidRPr="00A52AB8">
        <w:rPr>
          <w:color w:val="000000" w:themeColor="text1"/>
        </w:rPr>
        <w:t>j shall be converted to. oi_occupancy</w:t>
      </w:r>
      <w:r w:rsidR="00E17778" w:rsidRPr="00A52AB8">
        <w:rPr>
          <w:color w:val="000000" w:themeColor="text1"/>
        </w:rPr>
        <w:t>_</w:t>
      </w:r>
      <w:r w:rsidRPr="00A52AB8">
        <w:rPr>
          <w:color w:val="000000" w:themeColor="text1"/>
        </w:rPr>
        <w:t>2d_bit</w:t>
      </w:r>
      <w:r w:rsidR="00C514C6" w:rsidRPr="00A52AB8">
        <w:rPr>
          <w:color w:val="000000" w:themeColor="text1"/>
        </w:rPr>
        <w:t>_</w:t>
      </w:r>
      <w:r w:rsidRPr="00A52AB8">
        <w:rPr>
          <w:color w:val="000000" w:themeColor="text1"/>
        </w:rPr>
        <w:t>depth_minus1</w:t>
      </w:r>
      <w:r w:rsidR="001F4484" w:rsidRPr="00A52AB8">
        <w:rPr>
          <w:color w:val="000000" w:themeColor="text1"/>
        </w:rPr>
        <w:t>[ j ]</w:t>
      </w:r>
      <w:r w:rsidRPr="00A52AB8">
        <w:rPr>
          <w:color w:val="000000" w:themeColor="text1"/>
        </w:rPr>
        <w:t xml:space="preserve"> shall be in the range of 0 to 31, inclusive.</w:t>
      </w:r>
    </w:p>
    <w:p w14:paraId="3B53A261" w14:textId="2E216275" w:rsidR="007F4909" w:rsidRPr="00A52AB8" w:rsidRDefault="002F62C5" w:rsidP="001000BF">
      <w:r w:rsidRPr="00A52AB8">
        <w:rPr>
          <w:b/>
        </w:rPr>
        <w:t>oi_occupancy_MSB_align_flag</w:t>
      </w:r>
      <w:r w:rsidR="001F4484" w:rsidRPr="00A52AB8">
        <w:rPr>
          <w:color w:val="000000" w:themeColor="text1"/>
        </w:rPr>
        <w:t>[ j ]</w:t>
      </w:r>
      <w:r w:rsidRPr="00A52AB8">
        <w:t xml:space="preserve"> indicates how the decoded occupancy video samples associated with an </w:t>
      </w:r>
      <w:r w:rsidR="00C175F4" w:rsidRPr="00A52AB8">
        <w:t xml:space="preserve">atlas with atlas ID </w:t>
      </w:r>
      <w:r w:rsidRPr="00A52AB8">
        <w:t>j are converted to samples at the nominal occupancy bit</w:t>
      </w:r>
      <w:r w:rsidR="00C514C6" w:rsidRPr="00A52AB8">
        <w:t xml:space="preserve"> </w:t>
      </w:r>
      <w:r w:rsidRPr="00A52AB8">
        <w:t>depth</w:t>
      </w:r>
      <w:r w:rsidR="00442FB2" w:rsidRPr="00A52AB8">
        <w:t xml:space="preserve">, as specified in </w:t>
      </w:r>
      <w:r w:rsidR="00A94CBC" w:rsidRPr="00496A4D">
        <w:fldChar w:fldCharType="begin"/>
      </w:r>
      <w:r w:rsidR="00A94CBC" w:rsidRPr="00A52AB8">
        <w:instrText xml:space="preserve"> REF _Ref38561253 \r \h </w:instrText>
      </w:r>
      <w:r w:rsidR="006371AA" w:rsidRPr="00A52AB8">
        <w:instrText xml:space="preserve"> \* MERGEFORMAT </w:instrText>
      </w:r>
      <w:r w:rsidR="00A94CBC" w:rsidRPr="00496A4D">
        <w:fldChar w:fldCharType="separate"/>
      </w:r>
      <w:r w:rsidR="00507A67">
        <w:t>Annex B</w:t>
      </w:r>
      <w:r w:rsidR="00A94CBC" w:rsidRPr="00496A4D">
        <w:fldChar w:fldCharType="end"/>
      </w:r>
      <w:r w:rsidR="00A94CBC" w:rsidRPr="00A52AB8">
        <w:t>.</w:t>
      </w:r>
    </w:p>
    <w:p w14:paraId="12894061" w14:textId="77777777" w:rsidR="004F063A" w:rsidRPr="00A52AB8" w:rsidRDefault="00AB066F" w:rsidP="005C26E9">
      <w:pPr>
        <w:pStyle w:val="Heading4"/>
      </w:pPr>
      <w:bookmarkStart w:id="800" w:name="_Toc986674"/>
      <w:bookmarkStart w:id="801" w:name="_Toc1001215"/>
      <w:bookmarkStart w:id="802" w:name="_Toc1001752"/>
      <w:bookmarkStart w:id="803" w:name="_Toc1002566"/>
      <w:bookmarkStart w:id="804" w:name="_Toc1195803"/>
      <w:bookmarkStart w:id="805" w:name="_Toc1198823"/>
      <w:bookmarkStart w:id="806" w:name="_Toc1380480"/>
      <w:bookmarkStart w:id="807" w:name="_Toc1466846"/>
      <w:bookmarkStart w:id="808" w:name="_Toc1476817"/>
      <w:bookmarkStart w:id="809" w:name="_Toc1743217"/>
      <w:bookmarkStart w:id="810" w:name="_Toc1743762"/>
      <w:bookmarkStart w:id="811" w:name="_Toc986675"/>
      <w:bookmarkStart w:id="812" w:name="_Toc1001216"/>
      <w:bookmarkStart w:id="813" w:name="_Toc1001753"/>
      <w:bookmarkStart w:id="814" w:name="_Toc1002567"/>
      <w:bookmarkStart w:id="815" w:name="_Toc1195804"/>
      <w:bookmarkStart w:id="816" w:name="_Toc1198824"/>
      <w:bookmarkStart w:id="817" w:name="_Toc1380481"/>
      <w:bookmarkStart w:id="818" w:name="_Toc1466847"/>
      <w:bookmarkStart w:id="819" w:name="_Toc1476818"/>
      <w:bookmarkStart w:id="820" w:name="_Toc1743218"/>
      <w:bookmarkStart w:id="821" w:name="_Toc1743763"/>
      <w:bookmarkStart w:id="822" w:name="_Toc986676"/>
      <w:bookmarkStart w:id="823" w:name="_Toc1001217"/>
      <w:bookmarkStart w:id="824" w:name="_Toc1001754"/>
      <w:bookmarkStart w:id="825" w:name="_Toc1002568"/>
      <w:bookmarkStart w:id="826" w:name="_Toc1195805"/>
      <w:bookmarkStart w:id="827" w:name="_Toc1198825"/>
      <w:bookmarkStart w:id="828" w:name="_Toc1380482"/>
      <w:bookmarkStart w:id="829" w:name="_Toc1466848"/>
      <w:bookmarkStart w:id="830" w:name="_Toc1476819"/>
      <w:bookmarkStart w:id="831" w:name="_Toc1743219"/>
      <w:bookmarkStart w:id="832" w:name="_Toc1743764"/>
      <w:bookmarkStart w:id="833" w:name="_Toc986677"/>
      <w:bookmarkStart w:id="834" w:name="_Toc1001218"/>
      <w:bookmarkStart w:id="835" w:name="_Toc1001755"/>
      <w:bookmarkStart w:id="836" w:name="_Toc1002569"/>
      <w:bookmarkStart w:id="837" w:name="_Toc1195806"/>
      <w:bookmarkStart w:id="838" w:name="_Toc1198826"/>
      <w:bookmarkStart w:id="839" w:name="_Toc1380483"/>
      <w:bookmarkStart w:id="840" w:name="_Toc1466849"/>
      <w:bookmarkStart w:id="841" w:name="_Toc1476820"/>
      <w:bookmarkStart w:id="842" w:name="_Toc1743220"/>
      <w:bookmarkStart w:id="843" w:name="_Toc1743765"/>
      <w:bookmarkStart w:id="844" w:name="_Toc986678"/>
      <w:bookmarkStart w:id="845" w:name="_Toc1001219"/>
      <w:bookmarkStart w:id="846" w:name="_Toc1001756"/>
      <w:bookmarkStart w:id="847" w:name="_Toc1002570"/>
      <w:bookmarkStart w:id="848" w:name="_Toc1195807"/>
      <w:bookmarkStart w:id="849" w:name="_Toc1198827"/>
      <w:bookmarkStart w:id="850" w:name="_Toc1380484"/>
      <w:bookmarkStart w:id="851" w:name="_Toc1466850"/>
      <w:bookmarkStart w:id="852" w:name="_Toc1476821"/>
      <w:bookmarkStart w:id="853" w:name="_Toc1743221"/>
      <w:bookmarkStart w:id="854" w:name="_Toc1743766"/>
      <w:bookmarkStart w:id="855" w:name="_Toc986679"/>
      <w:bookmarkStart w:id="856" w:name="_Toc1001220"/>
      <w:bookmarkStart w:id="857" w:name="_Toc1001757"/>
      <w:bookmarkStart w:id="858" w:name="_Toc1002571"/>
      <w:bookmarkStart w:id="859" w:name="_Toc1195808"/>
      <w:bookmarkStart w:id="860" w:name="_Toc1198828"/>
      <w:bookmarkStart w:id="861" w:name="_Toc1380485"/>
      <w:bookmarkStart w:id="862" w:name="_Toc1466851"/>
      <w:bookmarkStart w:id="863" w:name="_Toc1476822"/>
      <w:bookmarkStart w:id="864" w:name="_Toc1743222"/>
      <w:bookmarkStart w:id="865" w:name="_Toc1743767"/>
      <w:bookmarkStart w:id="866" w:name="_Toc986680"/>
      <w:bookmarkStart w:id="867" w:name="_Toc1001221"/>
      <w:bookmarkStart w:id="868" w:name="_Toc1001758"/>
      <w:bookmarkStart w:id="869" w:name="_Toc1002572"/>
      <w:bookmarkStart w:id="870" w:name="_Toc1195809"/>
      <w:bookmarkStart w:id="871" w:name="_Toc1198829"/>
      <w:bookmarkStart w:id="872" w:name="_Toc1380486"/>
      <w:bookmarkStart w:id="873" w:name="_Toc1466852"/>
      <w:bookmarkStart w:id="874" w:name="_Toc1476823"/>
      <w:bookmarkStart w:id="875" w:name="_Toc1743223"/>
      <w:bookmarkStart w:id="876" w:name="_Toc1743768"/>
      <w:bookmarkStart w:id="877" w:name="_Toc986681"/>
      <w:bookmarkStart w:id="878" w:name="_Toc1001222"/>
      <w:bookmarkStart w:id="879" w:name="_Toc1001759"/>
      <w:bookmarkStart w:id="880" w:name="_Toc1002573"/>
      <w:bookmarkStart w:id="881" w:name="_Toc1195810"/>
      <w:bookmarkStart w:id="882" w:name="_Toc1198830"/>
      <w:bookmarkStart w:id="883" w:name="_Toc1380487"/>
      <w:bookmarkStart w:id="884" w:name="_Toc1466853"/>
      <w:bookmarkStart w:id="885" w:name="_Toc1476824"/>
      <w:bookmarkStart w:id="886" w:name="_Toc1743224"/>
      <w:bookmarkStart w:id="887" w:name="_Toc1743769"/>
      <w:bookmarkStart w:id="888" w:name="_Toc986683"/>
      <w:bookmarkStart w:id="889" w:name="_Toc1001224"/>
      <w:bookmarkStart w:id="890" w:name="_Toc1001761"/>
      <w:bookmarkStart w:id="891" w:name="_Toc1002575"/>
      <w:bookmarkStart w:id="892" w:name="_Toc1195812"/>
      <w:bookmarkStart w:id="893" w:name="_Toc1198832"/>
      <w:bookmarkStart w:id="894" w:name="_Toc1380489"/>
      <w:bookmarkStart w:id="895" w:name="_Toc1466855"/>
      <w:bookmarkStart w:id="896" w:name="_Toc1476826"/>
      <w:bookmarkStart w:id="897" w:name="_Toc1743226"/>
      <w:bookmarkStart w:id="898" w:name="_Toc1743771"/>
      <w:bookmarkStart w:id="899" w:name="_Toc986684"/>
      <w:bookmarkStart w:id="900" w:name="_Toc1001225"/>
      <w:bookmarkStart w:id="901" w:name="_Toc1001762"/>
      <w:bookmarkStart w:id="902" w:name="_Toc1002576"/>
      <w:bookmarkStart w:id="903" w:name="_Toc1195813"/>
      <w:bookmarkStart w:id="904" w:name="_Toc1198833"/>
      <w:bookmarkStart w:id="905" w:name="_Toc1380490"/>
      <w:bookmarkStart w:id="906" w:name="_Toc1466856"/>
      <w:bookmarkStart w:id="907" w:name="_Toc1476827"/>
      <w:bookmarkStart w:id="908" w:name="_Toc1743227"/>
      <w:bookmarkStart w:id="909" w:name="_Toc1743772"/>
      <w:bookmarkStart w:id="910" w:name="_Toc986685"/>
      <w:bookmarkStart w:id="911" w:name="_Toc1001226"/>
      <w:bookmarkStart w:id="912" w:name="_Toc1001763"/>
      <w:bookmarkStart w:id="913" w:name="_Toc1002577"/>
      <w:bookmarkStart w:id="914" w:name="_Toc1195814"/>
      <w:bookmarkStart w:id="915" w:name="_Toc1198834"/>
      <w:bookmarkStart w:id="916" w:name="_Toc1380491"/>
      <w:bookmarkStart w:id="917" w:name="_Toc1466857"/>
      <w:bookmarkStart w:id="918" w:name="_Toc1476828"/>
      <w:bookmarkStart w:id="919" w:name="_Toc1743228"/>
      <w:bookmarkStart w:id="920" w:name="_Toc1743773"/>
      <w:bookmarkStart w:id="921" w:name="_Toc986686"/>
      <w:bookmarkStart w:id="922" w:name="_Toc1001227"/>
      <w:bookmarkStart w:id="923" w:name="_Toc1001764"/>
      <w:bookmarkStart w:id="924" w:name="_Toc1002578"/>
      <w:bookmarkStart w:id="925" w:name="_Toc1195815"/>
      <w:bookmarkStart w:id="926" w:name="_Toc1198835"/>
      <w:bookmarkStart w:id="927" w:name="_Toc1380492"/>
      <w:bookmarkStart w:id="928" w:name="_Toc1466858"/>
      <w:bookmarkStart w:id="929" w:name="_Toc1476829"/>
      <w:bookmarkStart w:id="930" w:name="_Toc1743229"/>
      <w:bookmarkStart w:id="931" w:name="_Toc1743774"/>
      <w:bookmarkStart w:id="932" w:name="_Toc986687"/>
      <w:bookmarkStart w:id="933" w:name="_Toc1001228"/>
      <w:bookmarkStart w:id="934" w:name="_Toc1001765"/>
      <w:bookmarkStart w:id="935" w:name="_Toc1002579"/>
      <w:bookmarkStart w:id="936" w:name="_Toc1195816"/>
      <w:bookmarkStart w:id="937" w:name="_Toc1198836"/>
      <w:bookmarkStart w:id="938" w:name="_Toc1380493"/>
      <w:bookmarkStart w:id="939" w:name="_Toc1466859"/>
      <w:bookmarkStart w:id="940" w:name="_Toc1476830"/>
      <w:bookmarkStart w:id="941" w:name="_Toc1743230"/>
      <w:bookmarkStart w:id="942" w:name="_Toc1743775"/>
      <w:bookmarkStart w:id="943" w:name="_Toc986688"/>
      <w:bookmarkStart w:id="944" w:name="_Toc1001229"/>
      <w:bookmarkStart w:id="945" w:name="_Toc1001766"/>
      <w:bookmarkStart w:id="946" w:name="_Toc1002580"/>
      <w:bookmarkStart w:id="947" w:name="_Toc1195817"/>
      <w:bookmarkStart w:id="948" w:name="_Toc1198837"/>
      <w:bookmarkStart w:id="949" w:name="_Toc1380494"/>
      <w:bookmarkStart w:id="950" w:name="_Toc1466860"/>
      <w:bookmarkStart w:id="951" w:name="_Toc1476831"/>
      <w:bookmarkStart w:id="952" w:name="_Toc1743231"/>
      <w:bookmarkStart w:id="953" w:name="_Toc1743776"/>
      <w:bookmarkStart w:id="954" w:name="_Toc986689"/>
      <w:bookmarkStart w:id="955" w:name="_Toc1001230"/>
      <w:bookmarkStart w:id="956" w:name="_Toc1001767"/>
      <w:bookmarkStart w:id="957" w:name="_Toc1002581"/>
      <w:bookmarkStart w:id="958" w:name="_Toc1195818"/>
      <w:bookmarkStart w:id="959" w:name="_Toc1198838"/>
      <w:bookmarkStart w:id="960" w:name="_Toc1380495"/>
      <w:bookmarkStart w:id="961" w:name="_Toc1466861"/>
      <w:bookmarkStart w:id="962" w:name="_Toc1476832"/>
      <w:bookmarkStart w:id="963" w:name="_Toc1743232"/>
      <w:bookmarkStart w:id="964" w:name="_Toc1743777"/>
      <w:bookmarkStart w:id="965" w:name="_Toc529871413"/>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r w:rsidRPr="00A52AB8">
        <w:t>G</w:t>
      </w:r>
      <w:r w:rsidR="004F063A" w:rsidRPr="00A52AB8">
        <w:t xml:space="preserve">eometry </w:t>
      </w:r>
      <w:r w:rsidR="00DA3C5F" w:rsidRPr="00A52AB8">
        <w:t xml:space="preserve">information </w:t>
      </w:r>
      <w:r w:rsidR="004F063A" w:rsidRPr="00A52AB8">
        <w:t>semantics</w:t>
      </w:r>
      <w:bookmarkEnd w:id="965"/>
    </w:p>
    <w:p w14:paraId="36778B40" w14:textId="7184E18E" w:rsidR="0090046D" w:rsidRPr="00A52AB8" w:rsidRDefault="000F532C">
      <w:pPr>
        <w:rPr>
          <w:color w:val="000000" w:themeColor="text1"/>
        </w:rPr>
      </w:pPr>
      <w:r w:rsidRPr="00A52AB8">
        <w:rPr>
          <w:b/>
          <w:color w:val="000000" w:themeColor="text1"/>
        </w:rPr>
        <w:t>gi_</w:t>
      </w:r>
      <w:r w:rsidR="00201B02" w:rsidRPr="00A52AB8">
        <w:rPr>
          <w:b/>
          <w:color w:val="000000" w:themeColor="text1"/>
        </w:rPr>
        <w:t>geometry_</w:t>
      </w:r>
      <w:r w:rsidR="004F063A" w:rsidRPr="00A52AB8">
        <w:rPr>
          <w:b/>
          <w:color w:val="000000" w:themeColor="text1"/>
        </w:rPr>
        <w:t>codec_id</w:t>
      </w:r>
      <w:r w:rsidR="001F4484" w:rsidRPr="00A52AB8">
        <w:rPr>
          <w:color w:val="000000" w:themeColor="text1"/>
        </w:rPr>
        <w:t>[ j ]</w:t>
      </w:r>
      <w:r w:rsidR="004F063A" w:rsidRPr="00A52AB8">
        <w:rPr>
          <w:b/>
          <w:color w:val="000000" w:themeColor="text1"/>
        </w:rPr>
        <w:t xml:space="preserve"> </w:t>
      </w:r>
      <w:r w:rsidR="004F063A" w:rsidRPr="00A52AB8">
        <w:rPr>
          <w:color w:val="000000" w:themeColor="text1"/>
        </w:rPr>
        <w:t xml:space="preserve">indicates the identifier of the codec used to compress the geometry </w:t>
      </w:r>
      <w:r w:rsidR="004B6EC5" w:rsidRPr="00A52AB8">
        <w:rPr>
          <w:color w:val="000000" w:themeColor="text1"/>
        </w:rPr>
        <w:t>video data</w:t>
      </w:r>
      <w:r w:rsidR="00DB4D06" w:rsidRPr="00A52AB8">
        <w:rPr>
          <w:color w:val="000000" w:themeColor="text1"/>
        </w:rPr>
        <w:t xml:space="preserve"> for the </w:t>
      </w:r>
      <w:r w:rsidR="00C175F4" w:rsidRPr="00A52AB8">
        <w:rPr>
          <w:color w:val="000000" w:themeColor="text1"/>
        </w:rPr>
        <w:t xml:space="preserve">atlas with atlas ID </w:t>
      </w:r>
      <w:r w:rsidR="00DB4D06" w:rsidRPr="00A52AB8">
        <w:rPr>
          <w:color w:val="000000" w:themeColor="text1"/>
        </w:rPr>
        <w:t>j</w:t>
      </w:r>
      <w:r w:rsidR="004F063A" w:rsidRPr="00A52AB8">
        <w:rPr>
          <w:color w:val="000000" w:themeColor="text1"/>
        </w:rPr>
        <w:t>.</w:t>
      </w:r>
      <w:r w:rsidR="00AB066F" w:rsidRPr="00A52AB8">
        <w:rPr>
          <w:color w:val="000000" w:themeColor="text1"/>
        </w:rPr>
        <w:t xml:space="preserve"> geometry_codec_id</w:t>
      </w:r>
      <w:r w:rsidR="00C175F4" w:rsidRPr="00A52AB8">
        <w:rPr>
          <w:color w:val="000000" w:themeColor="text1"/>
        </w:rPr>
        <w:t>[ j ]</w:t>
      </w:r>
      <w:r w:rsidR="00AB066F" w:rsidRPr="00A52AB8">
        <w:rPr>
          <w:color w:val="000000" w:themeColor="text1"/>
        </w:rPr>
        <w:t xml:space="preserve"> shall be in the range of 0 to 255, inclusive. </w:t>
      </w:r>
      <w:r w:rsidR="00DB4D06" w:rsidRPr="00A52AB8">
        <w:rPr>
          <w:color w:val="000000" w:themeColor="text1"/>
        </w:rPr>
        <w:t xml:space="preserve">This codec may be identified through </w:t>
      </w:r>
      <w:r w:rsidR="00975862" w:rsidRPr="00A52AB8">
        <w:rPr>
          <w:color w:val="000000" w:themeColor="text1"/>
          <w:lang w:eastAsia="ko-KR"/>
        </w:rPr>
        <w:t xml:space="preserve">the profiles defined in </w:t>
      </w:r>
      <w:r w:rsidR="00975862" w:rsidRPr="00496A4D">
        <w:rPr>
          <w:color w:val="000000" w:themeColor="text1"/>
          <w:lang w:eastAsia="ko-KR"/>
        </w:rPr>
        <w:fldChar w:fldCharType="begin"/>
      </w:r>
      <w:r w:rsidR="00975862" w:rsidRPr="00A52AB8">
        <w:rPr>
          <w:color w:val="000000" w:themeColor="text1"/>
          <w:lang w:eastAsia="ko-KR"/>
        </w:rPr>
        <w:instrText xml:space="preserve"> REF _Ref38898728 \r \h  \* MERGEFORMAT </w:instrText>
      </w:r>
      <w:r w:rsidR="00975862" w:rsidRPr="00496A4D">
        <w:rPr>
          <w:color w:val="000000" w:themeColor="text1"/>
          <w:lang w:eastAsia="ko-KR"/>
        </w:rPr>
      </w:r>
      <w:r w:rsidR="00975862" w:rsidRPr="00496A4D">
        <w:rPr>
          <w:color w:val="000000" w:themeColor="text1"/>
          <w:lang w:eastAsia="ko-KR"/>
        </w:rPr>
        <w:fldChar w:fldCharType="separate"/>
      </w:r>
      <w:r w:rsidR="00507A67">
        <w:rPr>
          <w:color w:val="000000" w:themeColor="text1"/>
          <w:lang w:eastAsia="ko-KR"/>
        </w:rPr>
        <w:t>Annex A</w:t>
      </w:r>
      <w:r w:rsidR="00975862" w:rsidRPr="00496A4D">
        <w:rPr>
          <w:color w:val="000000" w:themeColor="text1"/>
          <w:lang w:eastAsia="ko-KR"/>
        </w:rPr>
        <w:fldChar w:fldCharType="end"/>
      </w:r>
      <w:r w:rsidR="00975862" w:rsidRPr="00A52AB8">
        <w:rPr>
          <w:color w:val="000000" w:themeColor="text1"/>
          <w:lang w:eastAsia="ko-KR"/>
        </w:rPr>
        <w:t xml:space="preserve">, </w:t>
      </w:r>
      <w:r w:rsidR="00DB4D06" w:rsidRPr="00A52AB8">
        <w:rPr>
          <w:color w:val="000000" w:themeColor="text1"/>
        </w:rPr>
        <w:t xml:space="preserve">a </w:t>
      </w:r>
      <w:r w:rsidR="00551447" w:rsidRPr="00A52AB8">
        <w:rPr>
          <w:color w:val="000000" w:themeColor="text1"/>
        </w:rPr>
        <w:t>c</w:t>
      </w:r>
      <w:r w:rsidR="00DB4D06" w:rsidRPr="00A52AB8">
        <w:rPr>
          <w:color w:val="000000" w:themeColor="text1"/>
        </w:rPr>
        <w:t>omponent codec mapping SEI message</w:t>
      </w:r>
      <w:r w:rsidR="00975862" w:rsidRPr="00A52AB8">
        <w:rPr>
          <w:color w:val="000000" w:themeColor="text1"/>
        </w:rPr>
        <w:t>,</w:t>
      </w:r>
      <w:r w:rsidR="00DB4D06" w:rsidRPr="00A52AB8">
        <w:rPr>
          <w:color w:val="000000" w:themeColor="text1"/>
        </w:rPr>
        <w:t xml:space="preserve"> or through means outside </w:t>
      </w:r>
      <w:r w:rsidR="001905CC" w:rsidRPr="00A52AB8">
        <w:rPr>
          <w:color w:val="000000" w:themeColor="text1"/>
        </w:rPr>
        <w:t>this document</w:t>
      </w:r>
      <w:r w:rsidR="00DB4D06" w:rsidRPr="00A52AB8">
        <w:rPr>
          <w:color w:val="000000" w:themeColor="text1"/>
        </w:rPr>
        <w:t>.</w:t>
      </w:r>
    </w:p>
    <w:p w14:paraId="2325F111" w14:textId="7DE3BAE5" w:rsidR="003F0083" w:rsidRPr="00A52AB8" w:rsidRDefault="000F532C">
      <w:pPr>
        <w:rPr>
          <w:color w:val="000000" w:themeColor="text1"/>
        </w:rPr>
      </w:pPr>
      <w:r w:rsidRPr="00A52AB8">
        <w:rPr>
          <w:b/>
          <w:color w:val="000000" w:themeColor="text1"/>
        </w:rPr>
        <w:t>gi_</w:t>
      </w:r>
      <w:r w:rsidR="003F0083" w:rsidRPr="00A52AB8">
        <w:rPr>
          <w:b/>
          <w:color w:val="000000" w:themeColor="text1"/>
        </w:rPr>
        <w:t>geometry</w:t>
      </w:r>
      <w:r w:rsidR="00E17778" w:rsidRPr="00A52AB8">
        <w:rPr>
          <w:b/>
          <w:color w:val="000000" w:themeColor="text1"/>
        </w:rPr>
        <w:t>_</w:t>
      </w:r>
      <w:r w:rsidR="003F0083" w:rsidRPr="00A52AB8">
        <w:rPr>
          <w:b/>
          <w:color w:val="000000" w:themeColor="text1"/>
        </w:rPr>
        <w:t>2d_bit</w:t>
      </w:r>
      <w:r w:rsidR="00C514C6" w:rsidRPr="00A52AB8">
        <w:rPr>
          <w:b/>
          <w:color w:val="000000" w:themeColor="text1"/>
        </w:rPr>
        <w:t>_</w:t>
      </w:r>
      <w:r w:rsidR="003F0083" w:rsidRPr="00A52AB8">
        <w:rPr>
          <w:b/>
          <w:color w:val="000000" w:themeColor="text1"/>
        </w:rPr>
        <w:t>depth_minus1</w:t>
      </w:r>
      <w:r w:rsidR="001F4484" w:rsidRPr="00A52AB8">
        <w:rPr>
          <w:color w:val="000000" w:themeColor="text1"/>
        </w:rPr>
        <w:t>[ j ]</w:t>
      </w:r>
      <w:r w:rsidR="003F0083" w:rsidRPr="00A52AB8">
        <w:rPr>
          <w:color w:val="000000" w:themeColor="text1"/>
        </w:rPr>
        <w:t xml:space="preserve"> </w:t>
      </w:r>
      <w:r w:rsidR="000851E2" w:rsidRPr="00A52AB8">
        <w:rPr>
          <w:color w:val="000000" w:themeColor="text1"/>
        </w:rPr>
        <w:t xml:space="preserve">plus 1 </w:t>
      </w:r>
      <w:r w:rsidR="003F0083" w:rsidRPr="00A52AB8">
        <w:rPr>
          <w:color w:val="000000" w:themeColor="text1"/>
        </w:rPr>
        <w:t xml:space="preserve">indicates the nominal 2D bit depth to which all geometry videos </w:t>
      </w:r>
      <w:r w:rsidR="005972FA" w:rsidRPr="00A52AB8">
        <w:rPr>
          <w:color w:val="000000" w:themeColor="text1"/>
        </w:rPr>
        <w:t xml:space="preserve">for the </w:t>
      </w:r>
      <w:r w:rsidR="00C175F4" w:rsidRPr="00A52AB8">
        <w:rPr>
          <w:color w:val="000000" w:themeColor="text1"/>
        </w:rPr>
        <w:t xml:space="preserve">atlas with atlas ID </w:t>
      </w:r>
      <w:r w:rsidR="005972FA" w:rsidRPr="00A52AB8">
        <w:rPr>
          <w:color w:val="000000" w:themeColor="text1"/>
        </w:rPr>
        <w:t xml:space="preserve">j </w:t>
      </w:r>
      <w:r w:rsidR="003F0083" w:rsidRPr="00A52AB8">
        <w:rPr>
          <w:color w:val="000000" w:themeColor="text1"/>
        </w:rPr>
        <w:t xml:space="preserve">shall be converted to. </w:t>
      </w:r>
      <w:r w:rsidRPr="00A52AB8">
        <w:rPr>
          <w:color w:val="000000" w:themeColor="text1"/>
        </w:rPr>
        <w:t>gi_</w:t>
      </w:r>
      <w:r w:rsidR="003F0083" w:rsidRPr="00A52AB8">
        <w:rPr>
          <w:color w:val="000000" w:themeColor="text1"/>
        </w:rPr>
        <w:t>geometry</w:t>
      </w:r>
      <w:r w:rsidR="00E17778" w:rsidRPr="00A52AB8">
        <w:rPr>
          <w:color w:val="000000" w:themeColor="text1"/>
        </w:rPr>
        <w:t>_</w:t>
      </w:r>
      <w:r w:rsidR="003F0083" w:rsidRPr="00A52AB8">
        <w:rPr>
          <w:color w:val="000000" w:themeColor="text1"/>
        </w:rPr>
        <w:t>2d_bit</w:t>
      </w:r>
      <w:r w:rsidR="00C514C6" w:rsidRPr="00A52AB8">
        <w:rPr>
          <w:color w:val="000000" w:themeColor="text1"/>
        </w:rPr>
        <w:t>_</w:t>
      </w:r>
      <w:r w:rsidR="003F0083" w:rsidRPr="00A52AB8">
        <w:rPr>
          <w:color w:val="000000" w:themeColor="text1"/>
        </w:rPr>
        <w:t>depth_minus1</w:t>
      </w:r>
      <w:r w:rsidR="001F4484" w:rsidRPr="00A52AB8">
        <w:rPr>
          <w:color w:val="000000" w:themeColor="text1"/>
        </w:rPr>
        <w:t>[ j ]</w:t>
      </w:r>
      <w:r w:rsidR="003F0083" w:rsidRPr="00A52AB8">
        <w:rPr>
          <w:color w:val="000000" w:themeColor="text1"/>
        </w:rPr>
        <w:t xml:space="preserve"> shall be in the range of 0 to 31, inclusive.</w:t>
      </w:r>
    </w:p>
    <w:p w14:paraId="019DD25A" w14:textId="24E8AA2B" w:rsidR="002F62C5" w:rsidRPr="00A52AB8" w:rsidRDefault="002F62C5">
      <w:r w:rsidRPr="00A52AB8">
        <w:rPr>
          <w:b/>
        </w:rPr>
        <w:t>gi_geometry_MSB_align_flag</w:t>
      </w:r>
      <w:r w:rsidR="001F4484" w:rsidRPr="00A52AB8">
        <w:rPr>
          <w:color w:val="000000" w:themeColor="text1"/>
        </w:rPr>
        <w:t>[ j ]</w:t>
      </w:r>
      <w:r w:rsidRPr="00A52AB8">
        <w:t xml:space="preserve"> indicates how the decoded geometry video samples associated with an </w:t>
      </w:r>
      <w:r w:rsidR="00C175F4" w:rsidRPr="00A52AB8">
        <w:t xml:space="preserve">atlas with atlas ID </w:t>
      </w:r>
      <w:r w:rsidRPr="00A52AB8">
        <w:t>j are converted to samples at the nominal geometry bit</w:t>
      </w:r>
      <w:r w:rsidR="00C514C6" w:rsidRPr="00A52AB8">
        <w:t xml:space="preserve"> </w:t>
      </w:r>
      <w:r w:rsidRPr="00A52AB8">
        <w:t>depth</w:t>
      </w:r>
      <w:r w:rsidR="00442FB2" w:rsidRPr="00A52AB8">
        <w:t xml:space="preserve">, as specified in </w:t>
      </w:r>
      <w:r w:rsidR="00A94CBC" w:rsidRPr="00496A4D">
        <w:fldChar w:fldCharType="begin"/>
      </w:r>
      <w:r w:rsidR="00A94CBC" w:rsidRPr="00A52AB8">
        <w:instrText xml:space="preserve"> REF _Ref38561253 \r \h </w:instrText>
      </w:r>
      <w:r w:rsidR="006371AA" w:rsidRPr="00A52AB8">
        <w:instrText xml:space="preserve"> \* MERGEFORMAT </w:instrText>
      </w:r>
      <w:r w:rsidR="00A94CBC" w:rsidRPr="00496A4D">
        <w:fldChar w:fldCharType="separate"/>
      </w:r>
      <w:r w:rsidR="00507A67">
        <w:t>Annex B</w:t>
      </w:r>
      <w:r w:rsidR="00A94CBC" w:rsidRPr="00496A4D">
        <w:fldChar w:fldCharType="end"/>
      </w:r>
      <w:r w:rsidR="00A94CBC" w:rsidRPr="00A52AB8">
        <w:t>.</w:t>
      </w:r>
    </w:p>
    <w:p w14:paraId="1E9B6A83" w14:textId="3BE63208" w:rsidR="002F62C5" w:rsidRPr="00A52AB8" w:rsidRDefault="000F532C">
      <w:pPr>
        <w:rPr>
          <w:color w:val="000000" w:themeColor="text1"/>
        </w:rPr>
      </w:pPr>
      <w:r w:rsidRPr="00A52AB8">
        <w:rPr>
          <w:b/>
          <w:color w:val="000000" w:themeColor="text1"/>
        </w:rPr>
        <w:t>gi_</w:t>
      </w:r>
      <w:r w:rsidR="00D04008" w:rsidRPr="00A52AB8">
        <w:rPr>
          <w:b/>
          <w:color w:val="000000" w:themeColor="text1"/>
        </w:rPr>
        <w:t>geometry_</w:t>
      </w:r>
      <w:r w:rsidR="00A106F6" w:rsidRPr="00A52AB8">
        <w:rPr>
          <w:b/>
          <w:color w:val="000000" w:themeColor="text1"/>
        </w:rPr>
        <w:t>3d_</w:t>
      </w:r>
      <w:r w:rsidR="00F75473" w:rsidRPr="00A52AB8">
        <w:rPr>
          <w:b/>
          <w:color w:val="000000" w:themeColor="text1"/>
        </w:rPr>
        <w:t>coordinates</w:t>
      </w:r>
      <w:r w:rsidR="00D977D5" w:rsidRPr="00A52AB8">
        <w:rPr>
          <w:b/>
          <w:color w:val="000000" w:themeColor="text1"/>
        </w:rPr>
        <w:t>_</w:t>
      </w:r>
      <w:r w:rsidR="00D04008" w:rsidRPr="00A52AB8">
        <w:rPr>
          <w:b/>
          <w:color w:val="000000" w:themeColor="text1"/>
        </w:rPr>
        <w:t>bit</w:t>
      </w:r>
      <w:r w:rsidR="00C514C6" w:rsidRPr="00A52AB8">
        <w:rPr>
          <w:b/>
          <w:color w:val="000000" w:themeColor="text1"/>
        </w:rPr>
        <w:t>_</w:t>
      </w:r>
      <w:r w:rsidR="00D04008" w:rsidRPr="00A52AB8">
        <w:rPr>
          <w:b/>
          <w:color w:val="000000" w:themeColor="text1"/>
        </w:rPr>
        <w:t>depth_minus1</w:t>
      </w:r>
      <w:r w:rsidR="001F4484" w:rsidRPr="00A52AB8">
        <w:rPr>
          <w:color w:val="000000" w:themeColor="text1"/>
        </w:rPr>
        <w:t>[ j ]</w:t>
      </w:r>
      <w:r w:rsidR="00D04008" w:rsidRPr="00A52AB8">
        <w:rPr>
          <w:color w:val="000000" w:themeColor="text1"/>
        </w:rPr>
        <w:t xml:space="preserve"> </w:t>
      </w:r>
      <w:r w:rsidR="000851E2" w:rsidRPr="00A52AB8">
        <w:rPr>
          <w:color w:val="000000" w:themeColor="text1"/>
        </w:rPr>
        <w:t xml:space="preserve">plus 1 </w:t>
      </w:r>
      <w:r w:rsidR="00D04008" w:rsidRPr="00A52AB8">
        <w:rPr>
          <w:color w:val="000000" w:themeColor="text1"/>
        </w:rPr>
        <w:t xml:space="preserve">indicates the bit depth of the geometry </w:t>
      </w:r>
      <w:r w:rsidR="00760283" w:rsidRPr="00A52AB8">
        <w:rPr>
          <w:color w:val="000000" w:themeColor="text1"/>
        </w:rPr>
        <w:t xml:space="preserve">coordinates </w:t>
      </w:r>
      <w:r w:rsidR="00D04008" w:rsidRPr="00A52AB8">
        <w:rPr>
          <w:color w:val="000000" w:themeColor="text1"/>
        </w:rPr>
        <w:t xml:space="preserve">of the reconstructed </w:t>
      </w:r>
      <w:r w:rsidR="007545B9" w:rsidRPr="00A52AB8">
        <w:rPr>
          <w:color w:val="000000" w:themeColor="text1"/>
        </w:rPr>
        <w:t>volumetric content</w:t>
      </w:r>
      <w:r w:rsidR="005972FA" w:rsidRPr="00A52AB8">
        <w:rPr>
          <w:color w:val="000000" w:themeColor="text1"/>
        </w:rPr>
        <w:t xml:space="preserve"> for the </w:t>
      </w:r>
      <w:r w:rsidR="00C175F4" w:rsidRPr="00A52AB8">
        <w:rPr>
          <w:color w:val="000000" w:themeColor="text1"/>
        </w:rPr>
        <w:t xml:space="preserve">atlas with atlas ID </w:t>
      </w:r>
      <w:r w:rsidR="005972FA" w:rsidRPr="00A52AB8">
        <w:rPr>
          <w:color w:val="000000" w:themeColor="text1"/>
        </w:rPr>
        <w:t>j</w:t>
      </w:r>
      <w:r w:rsidR="00D04008" w:rsidRPr="00A52AB8">
        <w:rPr>
          <w:color w:val="000000" w:themeColor="text1"/>
        </w:rPr>
        <w:t xml:space="preserve">. </w:t>
      </w:r>
      <w:r w:rsidRPr="00A52AB8">
        <w:rPr>
          <w:color w:val="000000" w:themeColor="text1"/>
        </w:rPr>
        <w:t>gi_</w:t>
      </w:r>
      <w:r w:rsidR="00041874" w:rsidRPr="00A52AB8">
        <w:rPr>
          <w:color w:val="000000" w:themeColor="text1"/>
        </w:rPr>
        <w:t>geometry_3d_coordinates_bit</w:t>
      </w:r>
      <w:r w:rsidR="00C514C6" w:rsidRPr="00A52AB8">
        <w:rPr>
          <w:color w:val="000000" w:themeColor="text1"/>
        </w:rPr>
        <w:t>_</w:t>
      </w:r>
      <w:r w:rsidR="00041874" w:rsidRPr="00A52AB8">
        <w:rPr>
          <w:color w:val="000000" w:themeColor="text1"/>
        </w:rPr>
        <w:t>depth_minus1</w:t>
      </w:r>
      <w:r w:rsidR="001F4484" w:rsidRPr="00A52AB8">
        <w:rPr>
          <w:color w:val="000000" w:themeColor="text1"/>
        </w:rPr>
        <w:t>[ j ]</w:t>
      </w:r>
      <w:r w:rsidR="00D04008" w:rsidRPr="00A52AB8">
        <w:rPr>
          <w:b/>
          <w:color w:val="000000" w:themeColor="text1"/>
        </w:rPr>
        <w:t xml:space="preserve"> </w:t>
      </w:r>
      <w:r w:rsidR="00D04008" w:rsidRPr="00A52AB8">
        <w:rPr>
          <w:color w:val="000000" w:themeColor="text1"/>
        </w:rPr>
        <w:t xml:space="preserve">shall be in the range of 0 to </w:t>
      </w:r>
      <w:r w:rsidR="0077422D" w:rsidRPr="00A52AB8">
        <w:rPr>
          <w:color w:val="000000" w:themeColor="text1"/>
        </w:rPr>
        <w:t>31</w:t>
      </w:r>
      <w:r w:rsidR="00D04008" w:rsidRPr="00A52AB8">
        <w:rPr>
          <w:color w:val="000000" w:themeColor="text1"/>
        </w:rPr>
        <w:t>, inclusive.</w:t>
      </w:r>
    </w:p>
    <w:p w14:paraId="4B51F6B0" w14:textId="642A5CC5" w:rsidR="00656903" w:rsidRPr="00A52AB8" w:rsidRDefault="000F532C">
      <w:pPr>
        <w:rPr>
          <w:color w:val="000000" w:themeColor="text1"/>
        </w:rPr>
      </w:pPr>
      <w:r w:rsidRPr="00A52AB8">
        <w:rPr>
          <w:b/>
          <w:color w:val="000000" w:themeColor="text1"/>
        </w:rPr>
        <w:t>gi_</w:t>
      </w:r>
      <w:r w:rsidR="004A5D0A" w:rsidRPr="00A52AB8">
        <w:rPr>
          <w:b/>
          <w:color w:val="000000" w:themeColor="text1"/>
        </w:rPr>
        <w:t>auxiliary</w:t>
      </w:r>
      <w:r w:rsidR="0089495D" w:rsidRPr="00A52AB8">
        <w:rPr>
          <w:b/>
          <w:color w:val="000000" w:themeColor="text1"/>
        </w:rPr>
        <w:t>_geometry_codec_id</w:t>
      </w:r>
      <w:r w:rsidR="001F4484" w:rsidRPr="00A52AB8">
        <w:rPr>
          <w:color w:val="000000" w:themeColor="text1"/>
        </w:rPr>
        <w:t>[ j ]</w:t>
      </w:r>
      <w:r w:rsidR="0089495D" w:rsidRPr="00A52AB8">
        <w:rPr>
          <w:color w:val="000000" w:themeColor="text1"/>
        </w:rPr>
        <w:t>, when present,</w:t>
      </w:r>
      <w:r w:rsidR="0089495D" w:rsidRPr="00A52AB8">
        <w:rPr>
          <w:b/>
          <w:color w:val="000000" w:themeColor="text1"/>
        </w:rPr>
        <w:t xml:space="preserve"> </w:t>
      </w:r>
      <w:r w:rsidR="0089495D" w:rsidRPr="00A52AB8">
        <w:rPr>
          <w:color w:val="000000" w:themeColor="text1"/>
        </w:rPr>
        <w:t xml:space="preserve">indicates the identifier of the codec used to compress the </w:t>
      </w:r>
      <w:r w:rsidR="004A5D0A" w:rsidRPr="00A52AB8">
        <w:rPr>
          <w:color w:val="000000" w:themeColor="text1"/>
        </w:rPr>
        <w:t xml:space="preserve">geometry </w:t>
      </w:r>
      <w:r w:rsidR="004B6EC5" w:rsidRPr="00A52AB8">
        <w:rPr>
          <w:color w:val="000000" w:themeColor="text1"/>
        </w:rPr>
        <w:t>video data</w:t>
      </w:r>
      <w:r w:rsidR="004A5D0A" w:rsidRPr="00A52AB8">
        <w:rPr>
          <w:color w:val="000000" w:themeColor="text1"/>
        </w:rPr>
        <w:t xml:space="preserve"> sub-bitstreams</w:t>
      </w:r>
      <w:r w:rsidR="0089495D" w:rsidRPr="00A52AB8">
        <w:rPr>
          <w:color w:val="000000" w:themeColor="text1"/>
        </w:rPr>
        <w:t xml:space="preserve">, when </w:t>
      </w:r>
      <w:r w:rsidR="00C31A85" w:rsidRPr="00A52AB8">
        <w:rPr>
          <w:color w:val="000000" w:themeColor="text1"/>
        </w:rPr>
        <w:t>RAW</w:t>
      </w:r>
      <w:r w:rsidR="009B7DF4" w:rsidRPr="00A52AB8">
        <w:rPr>
          <w:color w:val="000000" w:themeColor="text1"/>
        </w:rPr>
        <w:t xml:space="preserve"> coded</w:t>
      </w:r>
      <w:r w:rsidR="0089495D" w:rsidRPr="00A52AB8">
        <w:rPr>
          <w:color w:val="000000" w:themeColor="text1"/>
        </w:rPr>
        <w:t xml:space="preserve"> points are encoded in a</w:t>
      </w:r>
      <w:r w:rsidR="004A5D0A" w:rsidRPr="00A52AB8">
        <w:rPr>
          <w:color w:val="000000" w:themeColor="text1"/>
        </w:rPr>
        <w:t xml:space="preserve">n auxiliary </w:t>
      </w:r>
      <w:r w:rsidR="0089495D" w:rsidRPr="00A52AB8">
        <w:rPr>
          <w:color w:val="000000" w:themeColor="text1"/>
        </w:rPr>
        <w:t>video stream</w:t>
      </w:r>
      <w:r w:rsidR="005972FA" w:rsidRPr="00A52AB8">
        <w:rPr>
          <w:color w:val="000000" w:themeColor="text1"/>
        </w:rPr>
        <w:t xml:space="preserve"> for the </w:t>
      </w:r>
      <w:r w:rsidR="00C175F4" w:rsidRPr="00A52AB8">
        <w:rPr>
          <w:color w:val="000000" w:themeColor="text1"/>
        </w:rPr>
        <w:t xml:space="preserve">atlas with atlas ID </w:t>
      </w:r>
      <w:r w:rsidR="005972FA" w:rsidRPr="00A52AB8">
        <w:rPr>
          <w:color w:val="000000" w:themeColor="text1"/>
        </w:rPr>
        <w:t>j</w:t>
      </w:r>
      <w:r w:rsidR="0089495D" w:rsidRPr="00A52AB8">
        <w:rPr>
          <w:color w:val="000000" w:themeColor="text1"/>
        </w:rPr>
        <w:t xml:space="preserve">. </w:t>
      </w:r>
      <w:r w:rsidRPr="00A52AB8">
        <w:rPr>
          <w:color w:val="000000" w:themeColor="text1"/>
        </w:rPr>
        <w:t>gi_</w:t>
      </w:r>
      <w:r w:rsidR="004A5D0A" w:rsidRPr="00A52AB8">
        <w:rPr>
          <w:color w:val="000000" w:themeColor="text1"/>
        </w:rPr>
        <w:t>auxiliary</w:t>
      </w:r>
      <w:r w:rsidR="0089495D" w:rsidRPr="00A52AB8">
        <w:rPr>
          <w:color w:val="000000" w:themeColor="text1"/>
        </w:rPr>
        <w:t>_geometry_codec_id</w:t>
      </w:r>
      <w:r w:rsidR="001F4484" w:rsidRPr="00A52AB8">
        <w:rPr>
          <w:color w:val="000000" w:themeColor="text1"/>
        </w:rPr>
        <w:t>[ j ]</w:t>
      </w:r>
      <w:r w:rsidR="0089495D" w:rsidRPr="00A52AB8">
        <w:rPr>
          <w:color w:val="000000" w:themeColor="text1"/>
        </w:rPr>
        <w:t xml:space="preserve"> shall be in the range of 0 to 255, inclusive. </w:t>
      </w:r>
      <w:r w:rsidR="00DB4D06" w:rsidRPr="00A52AB8">
        <w:rPr>
          <w:color w:val="000000" w:themeColor="text1"/>
        </w:rPr>
        <w:t xml:space="preserve">This codec may be identified through </w:t>
      </w:r>
      <w:r w:rsidR="00975862" w:rsidRPr="00A52AB8">
        <w:rPr>
          <w:color w:val="000000" w:themeColor="text1"/>
          <w:lang w:eastAsia="ko-KR"/>
        </w:rPr>
        <w:t xml:space="preserve">the profiles defined in </w:t>
      </w:r>
      <w:r w:rsidR="00975862" w:rsidRPr="00496A4D">
        <w:rPr>
          <w:color w:val="000000" w:themeColor="text1"/>
          <w:lang w:eastAsia="ko-KR"/>
        </w:rPr>
        <w:fldChar w:fldCharType="begin"/>
      </w:r>
      <w:r w:rsidR="00975862" w:rsidRPr="00A52AB8">
        <w:rPr>
          <w:color w:val="000000" w:themeColor="text1"/>
          <w:lang w:eastAsia="ko-KR"/>
        </w:rPr>
        <w:instrText xml:space="preserve"> REF _Ref38898728 \r \h  \* MERGEFORMAT </w:instrText>
      </w:r>
      <w:r w:rsidR="00975862" w:rsidRPr="00496A4D">
        <w:rPr>
          <w:color w:val="000000" w:themeColor="text1"/>
          <w:lang w:eastAsia="ko-KR"/>
        </w:rPr>
      </w:r>
      <w:r w:rsidR="00975862" w:rsidRPr="00496A4D">
        <w:rPr>
          <w:color w:val="000000" w:themeColor="text1"/>
          <w:lang w:eastAsia="ko-KR"/>
        </w:rPr>
        <w:fldChar w:fldCharType="separate"/>
      </w:r>
      <w:r w:rsidR="00507A67">
        <w:rPr>
          <w:color w:val="000000" w:themeColor="text1"/>
          <w:lang w:eastAsia="ko-KR"/>
        </w:rPr>
        <w:t>Annex A</w:t>
      </w:r>
      <w:r w:rsidR="00975862" w:rsidRPr="00496A4D">
        <w:rPr>
          <w:color w:val="000000" w:themeColor="text1"/>
          <w:lang w:eastAsia="ko-KR"/>
        </w:rPr>
        <w:fldChar w:fldCharType="end"/>
      </w:r>
      <w:r w:rsidR="00975862" w:rsidRPr="00A52AB8">
        <w:rPr>
          <w:color w:val="000000" w:themeColor="text1"/>
          <w:lang w:eastAsia="ko-KR"/>
        </w:rPr>
        <w:t xml:space="preserve">, </w:t>
      </w:r>
      <w:r w:rsidR="00DB4D06" w:rsidRPr="00A52AB8">
        <w:rPr>
          <w:color w:val="000000" w:themeColor="text1"/>
        </w:rPr>
        <w:t xml:space="preserve">a </w:t>
      </w:r>
      <w:r w:rsidR="007E3313" w:rsidRPr="00A52AB8">
        <w:rPr>
          <w:color w:val="000000" w:themeColor="text1"/>
        </w:rPr>
        <w:t>c</w:t>
      </w:r>
      <w:r w:rsidR="00DB4D06" w:rsidRPr="00A52AB8">
        <w:rPr>
          <w:color w:val="000000" w:themeColor="text1"/>
        </w:rPr>
        <w:t>omponent codec mapping SEI message</w:t>
      </w:r>
      <w:r w:rsidR="00975862" w:rsidRPr="00A52AB8">
        <w:rPr>
          <w:color w:val="000000" w:themeColor="text1"/>
        </w:rPr>
        <w:t>,</w:t>
      </w:r>
      <w:r w:rsidR="00DB4D06" w:rsidRPr="00A52AB8">
        <w:rPr>
          <w:color w:val="000000" w:themeColor="text1"/>
        </w:rPr>
        <w:t xml:space="preserve"> or through means outside </w:t>
      </w:r>
      <w:r w:rsidR="001905CC" w:rsidRPr="00A52AB8">
        <w:rPr>
          <w:color w:val="000000" w:themeColor="text1"/>
        </w:rPr>
        <w:t>this document</w:t>
      </w:r>
      <w:r w:rsidR="00DB4D06" w:rsidRPr="00A52AB8">
        <w:rPr>
          <w:color w:val="000000" w:themeColor="text1"/>
        </w:rPr>
        <w:t>.</w:t>
      </w:r>
      <w:r w:rsidR="007E3313" w:rsidRPr="00A52AB8">
        <w:rPr>
          <w:color w:val="000000" w:themeColor="text1"/>
        </w:rPr>
        <w:t xml:space="preserve"> When not present the value of gi_</w:t>
      </w:r>
      <w:r w:rsidR="004A5D0A" w:rsidRPr="00A52AB8">
        <w:rPr>
          <w:color w:val="000000" w:themeColor="text1"/>
        </w:rPr>
        <w:t>auxiliary</w:t>
      </w:r>
      <w:r w:rsidR="007E3313" w:rsidRPr="00A52AB8">
        <w:rPr>
          <w:color w:val="000000" w:themeColor="text1"/>
        </w:rPr>
        <w:t>_geometry_codec_id</w:t>
      </w:r>
      <w:r w:rsidR="001F4484" w:rsidRPr="00A52AB8">
        <w:rPr>
          <w:color w:val="000000" w:themeColor="text1"/>
        </w:rPr>
        <w:t>[ j ]</w:t>
      </w:r>
      <w:r w:rsidR="007E3313" w:rsidRPr="00A52AB8">
        <w:rPr>
          <w:color w:val="000000" w:themeColor="text1"/>
        </w:rPr>
        <w:t xml:space="preserve"> </w:t>
      </w:r>
      <w:r w:rsidR="008C22E4" w:rsidRPr="00A52AB8">
        <w:rPr>
          <w:bCs/>
          <w:color w:val="000000" w:themeColor="text1"/>
        </w:rPr>
        <w:t>is inferred to be</w:t>
      </w:r>
      <w:r w:rsidR="007E3313" w:rsidRPr="00A52AB8">
        <w:rPr>
          <w:color w:val="000000" w:themeColor="text1"/>
        </w:rPr>
        <w:t xml:space="preserve"> equal to gi_geometry_codec_id</w:t>
      </w:r>
      <w:r w:rsidR="001F4484" w:rsidRPr="00A52AB8">
        <w:rPr>
          <w:color w:val="000000" w:themeColor="text1"/>
        </w:rPr>
        <w:t>[ j ]</w:t>
      </w:r>
      <w:r w:rsidR="007E3313" w:rsidRPr="00A52AB8">
        <w:rPr>
          <w:color w:val="000000" w:themeColor="text1"/>
        </w:rPr>
        <w:t>.</w:t>
      </w:r>
    </w:p>
    <w:p w14:paraId="22718DC7" w14:textId="77777777" w:rsidR="00CE4633" w:rsidRPr="00A52AB8" w:rsidRDefault="00CE4633" w:rsidP="005C26E9">
      <w:pPr>
        <w:pStyle w:val="Heading4"/>
      </w:pPr>
      <w:bookmarkStart w:id="966" w:name="_Toc986700"/>
      <w:bookmarkStart w:id="967" w:name="_Toc1001241"/>
      <w:bookmarkStart w:id="968" w:name="_Toc1001778"/>
      <w:bookmarkStart w:id="969" w:name="_Toc1002592"/>
      <w:bookmarkStart w:id="970" w:name="_Toc1195829"/>
      <w:bookmarkStart w:id="971" w:name="_Toc1198849"/>
      <w:bookmarkStart w:id="972" w:name="_Toc1380506"/>
      <w:bookmarkStart w:id="973" w:name="_Toc1466872"/>
      <w:bookmarkStart w:id="974" w:name="_Toc1476843"/>
      <w:bookmarkStart w:id="975" w:name="_Toc1743243"/>
      <w:bookmarkStart w:id="976" w:name="_Toc1743788"/>
      <w:bookmarkEnd w:id="966"/>
      <w:bookmarkEnd w:id="967"/>
      <w:bookmarkEnd w:id="968"/>
      <w:bookmarkEnd w:id="969"/>
      <w:bookmarkEnd w:id="970"/>
      <w:bookmarkEnd w:id="971"/>
      <w:bookmarkEnd w:id="972"/>
      <w:bookmarkEnd w:id="973"/>
      <w:bookmarkEnd w:id="974"/>
      <w:bookmarkEnd w:id="975"/>
      <w:bookmarkEnd w:id="976"/>
      <w:r w:rsidRPr="00A52AB8">
        <w:t xml:space="preserve">Attribute </w:t>
      </w:r>
      <w:r w:rsidR="00DA3C5F" w:rsidRPr="00A52AB8">
        <w:t xml:space="preserve">information </w:t>
      </w:r>
      <w:r w:rsidRPr="00A52AB8">
        <w:t>semantics</w:t>
      </w:r>
    </w:p>
    <w:p w14:paraId="2D79BC03" w14:textId="77777777" w:rsidR="0050235C" w:rsidRPr="00A52AB8" w:rsidRDefault="000F532C">
      <w:pPr>
        <w:rPr>
          <w:color w:val="000000" w:themeColor="text1"/>
        </w:rPr>
      </w:pPr>
      <w:r w:rsidRPr="00A52AB8">
        <w:rPr>
          <w:b/>
          <w:color w:val="000000" w:themeColor="text1"/>
        </w:rPr>
        <w:t>ai_</w:t>
      </w:r>
      <w:r w:rsidR="004D1E3B" w:rsidRPr="00A52AB8">
        <w:rPr>
          <w:b/>
          <w:color w:val="000000" w:themeColor="text1"/>
        </w:rPr>
        <w:t>attribute_count</w:t>
      </w:r>
      <w:r w:rsidR="001F4484" w:rsidRPr="00A52AB8">
        <w:rPr>
          <w:color w:val="000000" w:themeColor="text1"/>
        </w:rPr>
        <w:t>[ j ]</w:t>
      </w:r>
      <w:r w:rsidR="004D1E3B" w:rsidRPr="00A52AB8">
        <w:rPr>
          <w:b/>
          <w:color w:val="000000" w:themeColor="text1"/>
        </w:rPr>
        <w:t xml:space="preserve"> </w:t>
      </w:r>
      <w:r w:rsidR="004D1E3B" w:rsidRPr="00A52AB8">
        <w:rPr>
          <w:color w:val="000000" w:themeColor="text1"/>
        </w:rPr>
        <w:t xml:space="preserve">indicates the number of attributes associated with </w:t>
      </w:r>
      <w:r w:rsidR="005972FA" w:rsidRPr="00A52AB8">
        <w:rPr>
          <w:color w:val="000000" w:themeColor="text1"/>
        </w:rPr>
        <w:t xml:space="preserve">the </w:t>
      </w:r>
      <w:r w:rsidR="00C175F4" w:rsidRPr="00A52AB8">
        <w:rPr>
          <w:color w:val="000000" w:themeColor="text1"/>
        </w:rPr>
        <w:t xml:space="preserve">atlas with atlas ID </w:t>
      </w:r>
      <w:r w:rsidR="005972FA" w:rsidRPr="00A52AB8">
        <w:rPr>
          <w:color w:val="000000" w:themeColor="text1"/>
        </w:rPr>
        <w:t>j</w:t>
      </w:r>
      <w:r w:rsidR="004D1E3B" w:rsidRPr="00A52AB8">
        <w:rPr>
          <w:color w:val="000000" w:themeColor="text1"/>
        </w:rPr>
        <w:t xml:space="preserve">. </w:t>
      </w:r>
      <w:r w:rsidR="00D646AF" w:rsidRPr="00A52AB8">
        <w:rPr>
          <w:color w:val="000000" w:themeColor="text1"/>
        </w:rPr>
        <w:t>ai</w:t>
      </w:r>
      <w:r w:rsidR="004D1E3B" w:rsidRPr="00A52AB8">
        <w:rPr>
          <w:color w:val="000000" w:themeColor="text1"/>
        </w:rPr>
        <w:t>_attribute_count</w:t>
      </w:r>
      <w:r w:rsidR="001F4484" w:rsidRPr="00A52AB8">
        <w:rPr>
          <w:color w:val="000000" w:themeColor="text1"/>
        </w:rPr>
        <w:t>[ j ]</w:t>
      </w:r>
      <w:r w:rsidR="004D1E3B" w:rsidRPr="00A52AB8">
        <w:rPr>
          <w:color w:val="000000" w:themeColor="text1"/>
        </w:rPr>
        <w:t xml:space="preserve"> shall be in the range of 0 to 127, inclusive.</w:t>
      </w:r>
    </w:p>
    <w:p w14:paraId="5CD1FAC8" w14:textId="0463CA42" w:rsidR="00397AAE" w:rsidRPr="00A52AB8" w:rsidRDefault="000F532C">
      <w:pPr>
        <w:rPr>
          <w:color w:val="000000" w:themeColor="text1"/>
        </w:rPr>
      </w:pPr>
      <w:r w:rsidRPr="00A52AB8">
        <w:rPr>
          <w:b/>
          <w:color w:val="000000" w:themeColor="text1"/>
        </w:rPr>
        <w:t>ai_</w:t>
      </w:r>
      <w:r w:rsidR="00397AAE" w:rsidRPr="00A52AB8">
        <w:rPr>
          <w:b/>
          <w:color w:val="000000" w:themeColor="text1"/>
        </w:rPr>
        <w:t>attribute_type_id</w:t>
      </w:r>
      <w:r w:rsidR="001F4484" w:rsidRPr="00A52AB8">
        <w:rPr>
          <w:color w:val="000000" w:themeColor="text1"/>
        </w:rPr>
        <w:t>[ j ][ i ]</w:t>
      </w:r>
      <w:r w:rsidR="00397AAE" w:rsidRPr="00A52AB8">
        <w:rPr>
          <w:color w:val="000000" w:themeColor="text1"/>
        </w:rPr>
        <w:t xml:space="preserve"> indicates the attribute type of the Attribute Video Data unit with index i</w:t>
      </w:r>
      <w:r w:rsidR="005972FA" w:rsidRPr="00A52AB8">
        <w:rPr>
          <w:color w:val="000000" w:themeColor="text1"/>
        </w:rPr>
        <w:t xml:space="preserve"> for the </w:t>
      </w:r>
      <w:r w:rsidR="00C175F4" w:rsidRPr="00A52AB8">
        <w:rPr>
          <w:color w:val="000000" w:themeColor="text1"/>
        </w:rPr>
        <w:t xml:space="preserve">atlas with atlas ID </w:t>
      </w:r>
      <w:r w:rsidR="005972FA" w:rsidRPr="00A52AB8">
        <w:rPr>
          <w:color w:val="000000" w:themeColor="text1"/>
        </w:rPr>
        <w:t>j</w:t>
      </w:r>
      <w:r w:rsidR="00397AAE" w:rsidRPr="00A52AB8">
        <w:rPr>
          <w:color w:val="000000" w:themeColor="text1"/>
        </w:rPr>
        <w:t xml:space="preserve">. </w:t>
      </w:r>
      <w:r w:rsidR="00937B95" w:rsidRPr="00496A4D">
        <w:rPr>
          <w:color w:val="000000" w:themeColor="text1"/>
        </w:rPr>
        <w:fldChar w:fldCharType="begin"/>
      </w:r>
      <w:r w:rsidR="00937B95" w:rsidRPr="00A52AB8">
        <w:rPr>
          <w:color w:val="000000" w:themeColor="text1"/>
        </w:rPr>
        <w:instrText xml:space="preserve"> REF _Ref1759450 \h </w:instrText>
      </w:r>
      <w:r w:rsidR="003F01AC" w:rsidRPr="00A52AB8">
        <w:rPr>
          <w:color w:val="000000" w:themeColor="text1"/>
        </w:rPr>
        <w:instrText xml:space="preserve"> \* MERGEFORMAT </w:instrText>
      </w:r>
      <w:r w:rsidR="00937B95" w:rsidRPr="00496A4D">
        <w:rPr>
          <w:color w:val="000000" w:themeColor="text1"/>
        </w:rPr>
      </w:r>
      <w:r w:rsidR="00937B95" w:rsidRPr="00496A4D">
        <w:rPr>
          <w:color w:val="000000" w:themeColor="text1"/>
        </w:rPr>
        <w:fldChar w:fldCharType="separate"/>
      </w:r>
      <w:r w:rsidR="00507A67" w:rsidRPr="00A52AB8">
        <w:rPr>
          <w:color w:val="000000" w:themeColor="text1"/>
        </w:rPr>
        <w:t xml:space="preserve">Table </w:t>
      </w:r>
      <w:r w:rsidR="00507A67">
        <w:rPr>
          <w:color w:val="000000" w:themeColor="text1"/>
        </w:rPr>
        <w:t>3</w:t>
      </w:r>
      <w:r w:rsidR="00937B95" w:rsidRPr="00496A4D">
        <w:rPr>
          <w:color w:val="000000" w:themeColor="text1"/>
        </w:rPr>
        <w:fldChar w:fldCharType="end"/>
      </w:r>
      <w:r w:rsidR="00937B95" w:rsidRPr="00A52AB8">
        <w:rPr>
          <w:color w:val="000000" w:themeColor="text1"/>
        </w:rPr>
        <w:t xml:space="preserve"> </w:t>
      </w:r>
      <w:r w:rsidR="00397AAE" w:rsidRPr="00A52AB8">
        <w:rPr>
          <w:color w:val="000000" w:themeColor="text1"/>
        </w:rPr>
        <w:t>describes the list of supported attributes</w:t>
      </w:r>
      <w:r w:rsidR="00937B95" w:rsidRPr="00A52AB8">
        <w:rPr>
          <w:color w:val="000000" w:themeColor="text1"/>
        </w:rPr>
        <w:t xml:space="preserve"> and their relationship with </w:t>
      </w:r>
      <w:r w:rsidRPr="00A52AB8">
        <w:rPr>
          <w:color w:val="000000" w:themeColor="text1"/>
        </w:rPr>
        <w:t>ai_</w:t>
      </w:r>
      <w:r w:rsidR="00937B95" w:rsidRPr="00A52AB8">
        <w:rPr>
          <w:color w:val="000000" w:themeColor="text1"/>
        </w:rPr>
        <w:t>attribute_type_id</w:t>
      </w:r>
      <w:r w:rsidR="00C175F4" w:rsidRPr="00A52AB8">
        <w:rPr>
          <w:color w:val="000000" w:themeColor="text1"/>
        </w:rPr>
        <w:t>[ j ][ i ]</w:t>
      </w:r>
      <w:r w:rsidR="00397AAE" w:rsidRPr="00A52AB8">
        <w:rPr>
          <w:color w:val="000000" w:themeColor="text1"/>
        </w:rPr>
        <w:t>.</w:t>
      </w:r>
      <w:r w:rsidR="00975862" w:rsidRPr="00A52AB8">
        <w:rPr>
          <w:color w:val="000000" w:themeColor="text1"/>
        </w:rPr>
        <w:t xml:space="preserve"> </w:t>
      </w:r>
    </w:p>
    <w:p w14:paraId="7E8EA28B" w14:textId="3EB38A96" w:rsidR="00397AAE" w:rsidRPr="00A52AB8" w:rsidRDefault="00397AAE" w:rsidP="00E75DB1">
      <w:pPr>
        <w:pStyle w:val="Caption"/>
        <w:rPr>
          <w:rFonts w:ascii="Cambria" w:hAnsi="Cambria"/>
          <w:color w:val="000000" w:themeColor="text1"/>
        </w:rPr>
      </w:pPr>
      <w:bookmarkStart w:id="977" w:name="_Ref21526765"/>
      <w:bookmarkStart w:id="978" w:name="_Ref1759450"/>
      <w:r w:rsidRPr="00A52AB8">
        <w:rPr>
          <w:rFonts w:ascii="Cambria" w:hAnsi="Cambria"/>
          <w:color w:val="000000" w:themeColor="text1"/>
        </w:rPr>
        <w:lastRenderedPageBreak/>
        <w:t xml:space="preserve">Table </w:t>
      </w:r>
      <w:r w:rsidR="0053363C" w:rsidRPr="00496A4D">
        <w:rPr>
          <w:rFonts w:ascii="Cambria" w:hAnsi="Cambria"/>
          <w:color w:val="000000" w:themeColor="text1"/>
        </w:rPr>
        <w:fldChar w:fldCharType="begin"/>
      </w:r>
      <w:r w:rsidR="0053363C" w:rsidRPr="00A52AB8">
        <w:rPr>
          <w:rFonts w:ascii="Cambria" w:hAnsi="Cambria"/>
          <w:color w:val="000000" w:themeColor="text1"/>
        </w:rPr>
        <w:instrText xml:space="preserve"> SEQ Table \* ARABIC \</w:instrText>
      </w:r>
      <w:r w:rsidR="00E75DB1" w:rsidRPr="00A52AB8">
        <w:rPr>
          <w:rFonts w:ascii="Cambria" w:hAnsi="Cambria"/>
          <w:color w:val="000000" w:themeColor="text1"/>
        </w:rPr>
        <w:instrText>n</w:instrText>
      </w:r>
      <w:r w:rsidR="0053363C" w:rsidRPr="00A52AB8">
        <w:rPr>
          <w:rFonts w:ascii="Cambria" w:hAnsi="Cambria"/>
          <w:color w:val="000000" w:themeColor="text1"/>
        </w:rPr>
        <w:instrText xml:space="preserve"> </w:instrText>
      </w:r>
      <w:r w:rsidR="0053363C" w:rsidRPr="00496A4D">
        <w:rPr>
          <w:rFonts w:ascii="Cambria" w:hAnsi="Cambria"/>
          <w:color w:val="000000" w:themeColor="text1"/>
        </w:rPr>
        <w:fldChar w:fldCharType="separate"/>
      </w:r>
      <w:r w:rsidR="00507A67">
        <w:rPr>
          <w:rFonts w:ascii="Cambria" w:hAnsi="Cambria"/>
          <w:noProof/>
          <w:color w:val="000000" w:themeColor="text1"/>
        </w:rPr>
        <w:t>3</w:t>
      </w:r>
      <w:r w:rsidR="0053363C" w:rsidRPr="00496A4D">
        <w:rPr>
          <w:rFonts w:ascii="Cambria" w:hAnsi="Cambria"/>
          <w:color w:val="000000" w:themeColor="text1"/>
        </w:rPr>
        <w:fldChar w:fldCharType="end"/>
      </w:r>
      <w:bookmarkEnd w:id="977"/>
      <w:bookmarkEnd w:id="978"/>
      <w:r w:rsidR="001604C8" w:rsidRPr="00A52AB8">
        <w:rPr>
          <w:rFonts w:ascii="Cambria" w:hAnsi="Cambria" w:cs="Calibri"/>
          <w:bCs w:val="0"/>
        </w:rPr>
        <w:t> </w:t>
      </w:r>
      <w:r w:rsidR="001604C8" w:rsidRPr="00A52AB8">
        <w:rPr>
          <w:rFonts w:ascii="Cambria" w:hAnsi="Cambria"/>
        </w:rPr>
        <w:t>– </w:t>
      </w:r>
      <w:r w:rsidR="00875EC6" w:rsidRPr="00A52AB8">
        <w:rPr>
          <w:rFonts w:ascii="Cambria" w:hAnsi="Cambria"/>
          <w:color w:val="000000" w:themeColor="text1"/>
        </w:rPr>
        <w:t>V3C</w:t>
      </w:r>
      <w:r w:rsidRPr="00A52AB8">
        <w:rPr>
          <w:rFonts w:ascii="Cambria" w:hAnsi="Cambria"/>
          <w:color w:val="000000" w:themeColor="text1"/>
        </w:rPr>
        <w:t xml:space="preserve"> attribute types</w:t>
      </w:r>
    </w:p>
    <w:tbl>
      <w:tblPr>
        <w:tblStyle w:val="TableGrid"/>
        <w:tblW w:w="0" w:type="auto"/>
        <w:jc w:val="center"/>
        <w:tblLook w:val="04A0" w:firstRow="1" w:lastRow="0" w:firstColumn="1" w:lastColumn="0" w:noHBand="0" w:noVBand="1"/>
      </w:tblPr>
      <w:tblGrid>
        <w:gridCol w:w="2991"/>
        <w:gridCol w:w="2539"/>
        <w:gridCol w:w="1773"/>
      </w:tblGrid>
      <w:tr w:rsidR="00397AAE" w:rsidRPr="00A52AB8" w14:paraId="6201D3C9" w14:textId="77777777" w:rsidTr="00EA2AC6">
        <w:trPr>
          <w:jc w:val="center"/>
        </w:trPr>
        <w:tc>
          <w:tcPr>
            <w:tcW w:w="2991" w:type="dxa"/>
          </w:tcPr>
          <w:p w14:paraId="40FEB12C" w14:textId="77777777" w:rsidR="00397AAE" w:rsidRPr="00A52AB8" w:rsidRDefault="000F532C">
            <w:pPr>
              <w:spacing w:before="120" w:after="120"/>
              <w:jc w:val="center"/>
              <w:rPr>
                <w:b/>
                <w:color w:val="000000" w:themeColor="text1"/>
              </w:rPr>
            </w:pPr>
            <w:r w:rsidRPr="00A52AB8">
              <w:rPr>
                <w:b/>
                <w:color w:val="000000" w:themeColor="text1"/>
              </w:rPr>
              <w:t>ai_</w:t>
            </w:r>
            <w:r w:rsidR="00397AAE" w:rsidRPr="00A52AB8">
              <w:rPr>
                <w:b/>
                <w:color w:val="000000" w:themeColor="text1"/>
              </w:rPr>
              <w:t>attribute_type_id</w:t>
            </w:r>
            <w:r w:rsidR="001F4484" w:rsidRPr="00A52AB8">
              <w:rPr>
                <w:b/>
                <w:color w:val="000000" w:themeColor="text1"/>
              </w:rPr>
              <w:t>[ j ][ i ]</w:t>
            </w:r>
          </w:p>
        </w:tc>
        <w:tc>
          <w:tcPr>
            <w:tcW w:w="2539" w:type="dxa"/>
          </w:tcPr>
          <w:p w14:paraId="05DFB66F" w14:textId="77777777" w:rsidR="00397AAE" w:rsidRPr="00A52AB8" w:rsidRDefault="00397AAE" w:rsidP="004A6049">
            <w:pPr>
              <w:spacing w:before="120" w:after="120"/>
              <w:jc w:val="center"/>
              <w:rPr>
                <w:b/>
                <w:color w:val="000000" w:themeColor="text1"/>
              </w:rPr>
            </w:pPr>
            <w:r w:rsidRPr="00A52AB8">
              <w:rPr>
                <w:b/>
                <w:color w:val="000000" w:themeColor="text1"/>
              </w:rPr>
              <w:t>Identifier</w:t>
            </w:r>
          </w:p>
        </w:tc>
        <w:tc>
          <w:tcPr>
            <w:tcW w:w="1773" w:type="dxa"/>
          </w:tcPr>
          <w:p w14:paraId="726684CE" w14:textId="77777777" w:rsidR="00397AAE" w:rsidRPr="00A52AB8" w:rsidRDefault="00397AAE" w:rsidP="004A6049">
            <w:pPr>
              <w:spacing w:before="120" w:after="120"/>
              <w:jc w:val="center"/>
              <w:rPr>
                <w:b/>
                <w:color w:val="000000" w:themeColor="text1"/>
              </w:rPr>
            </w:pPr>
            <w:r w:rsidRPr="00A52AB8">
              <w:rPr>
                <w:b/>
                <w:color w:val="000000" w:themeColor="text1"/>
              </w:rPr>
              <w:t>Attribute type</w:t>
            </w:r>
          </w:p>
        </w:tc>
      </w:tr>
      <w:tr w:rsidR="00397AAE" w:rsidRPr="00A52AB8" w14:paraId="7B8F59C0" w14:textId="77777777" w:rsidTr="00EA2AC6">
        <w:trPr>
          <w:jc w:val="center"/>
        </w:trPr>
        <w:tc>
          <w:tcPr>
            <w:tcW w:w="2991" w:type="dxa"/>
          </w:tcPr>
          <w:p w14:paraId="7B26B715" w14:textId="77777777" w:rsidR="00397AAE" w:rsidRPr="00A52AB8" w:rsidRDefault="00397AAE">
            <w:pPr>
              <w:spacing w:before="120" w:after="120"/>
              <w:jc w:val="center"/>
              <w:rPr>
                <w:color w:val="000000" w:themeColor="text1"/>
              </w:rPr>
            </w:pPr>
            <w:r w:rsidRPr="00A52AB8">
              <w:rPr>
                <w:color w:val="000000" w:themeColor="text1"/>
              </w:rPr>
              <w:t>0</w:t>
            </w:r>
          </w:p>
        </w:tc>
        <w:tc>
          <w:tcPr>
            <w:tcW w:w="2539" w:type="dxa"/>
          </w:tcPr>
          <w:p w14:paraId="174AA481" w14:textId="77777777" w:rsidR="00397AAE" w:rsidRPr="00A52AB8" w:rsidRDefault="00397AAE" w:rsidP="004A6049">
            <w:pPr>
              <w:spacing w:before="120" w:after="120"/>
              <w:jc w:val="center"/>
              <w:rPr>
                <w:color w:val="000000" w:themeColor="text1"/>
                <w:lang w:eastAsia="ko-KR"/>
              </w:rPr>
            </w:pPr>
            <w:r w:rsidRPr="00A52AB8">
              <w:rPr>
                <w:color w:val="000000" w:themeColor="text1"/>
                <w:lang w:eastAsia="ko-KR"/>
              </w:rPr>
              <w:t>ATTR_TEXTURE</w:t>
            </w:r>
          </w:p>
        </w:tc>
        <w:tc>
          <w:tcPr>
            <w:tcW w:w="1773" w:type="dxa"/>
          </w:tcPr>
          <w:p w14:paraId="2595B6B7" w14:textId="77777777" w:rsidR="00397AAE" w:rsidRPr="00A52AB8" w:rsidRDefault="00397AAE" w:rsidP="004A6049">
            <w:pPr>
              <w:spacing w:before="120" w:after="120"/>
              <w:jc w:val="center"/>
              <w:rPr>
                <w:color w:val="000000" w:themeColor="text1"/>
              </w:rPr>
            </w:pPr>
            <w:r w:rsidRPr="00A52AB8">
              <w:rPr>
                <w:color w:val="000000" w:themeColor="text1"/>
                <w:lang w:eastAsia="ko-KR"/>
              </w:rPr>
              <w:t>Texture</w:t>
            </w:r>
          </w:p>
        </w:tc>
      </w:tr>
      <w:tr w:rsidR="00397AAE" w:rsidRPr="00A52AB8" w14:paraId="5CB1FE81" w14:textId="77777777" w:rsidTr="00EA2AC6">
        <w:trPr>
          <w:jc w:val="center"/>
        </w:trPr>
        <w:tc>
          <w:tcPr>
            <w:tcW w:w="2991" w:type="dxa"/>
          </w:tcPr>
          <w:p w14:paraId="457321B2" w14:textId="77777777" w:rsidR="00397AAE" w:rsidRPr="00A52AB8" w:rsidRDefault="00397AAE">
            <w:pPr>
              <w:spacing w:before="120" w:after="120"/>
              <w:jc w:val="center"/>
              <w:rPr>
                <w:color w:val="000000" w:themeColor="text1"/>
              </w:rPr>
            </w:pPr>
            <w:r w:rsidRPr="00A52AB8">
              <w:rPr>
                <w:color w:val="000000" w:themeColor="text1"/>
              </w:rPr>
              <w:t>1</w:t>
            </w:r>
          </w:p>
        </w:tc>
        <w:tc>
          <w:tcPr>
            <w:tcW w:w="2539" w:type="dxa"/>
          </w:tcPr>
          <w:p w14:paraId="6CE088BF" w14:textId="77777777" w:rsidR="00397AAE" w:rsidRPr="00A52AB8" w:rsidRDefault="00397AAE" w:rsidP="004A6049">
            <w:pPr>
              <w:spacing w:before="120" w:after="120"/>
              <w:jc w:val="center"/>
              <w:rPr>
                <w:color w:val="000000" w:themeColor="text1"/>
                <w:lang w:eastAsia="ko-KR"/>
              </w:rPr>
            </w:pPr>
            <w:r w:rsidRPr="00A52AB8">
              <w:rPr>
                <w:color w:val="000000" w:themeColor="text1"/>
                <w:lang w:eastAsia="ko-KR"/>
              </w:rPr>
              <w:t>ATTR_MATERIAL_ID</w:t>
            </w:r>
          </w:p>
        </w:tc>
        <w:tc>
          <w:tcPr>
            <w:tcW w:w="1773" w:type="dxa"/>
          </w:tcPr>
          <w:p w14:paraId="7CEAF47B" w14:textId="77777777" w:rsidR="00397AAE" w:rsidRPr="00A52AB8" w:rsidRDefault="00397AAE" w:rsidP="004A6049">
            <w:pPr>
              <w:spacing w:before="120" w:after="120"/>
              <w:jc w:val="center"/>
              <w:rPr>
                <w:color w:val="000000" w:themeColor="text1"/>
                <w:lang w:eastAsia="ko-KR"/>
              </w:rPr>
            </w:pPr>
            <w:r w:rsidRPr="00A52AB8">
              <w:rPr>
                <w:color w:val="000000" w:themeColor="text1"/>
                <w:lang w:eastAsia="ko-KR"/>
              </w:rPr>
              <w:t>Material ID</w:t>
            </w:r>
          </w:p>
        </w:tc>
      </w:tr>
      <w:tr w:rsidR="00397AAE" w:rsidRPr="00A52AB8" w14:paraId="01968AF0" w14:textId="77777777" w:rsidTr="00EA2AC6">
        <w:trPr>
          <w:jc w:val="center"/>
        </w:trPr>
        <w:tc>
          <w:tcPr>
            <w:tcW w:w="2991" w:type="dxa"/>
          </w:tcPr>
          <w:p w14:paraId="337D8364" w14:textId="77777777" w:rsidR="00397AAE" w:rsidRPr="00A52AB8" w:rsidRDefault="00397AAE">
            <w:pPr>
              <w:spacing w:before="120" w:after="120"/>
              <w:jc w:val="center"/>
              <w:rPr>
                <w:color w:val="000000" w:themeColor="text1"/>
              </w:rPr>
            </w:pPr>
            <w:r w:rsidRPr="00A52AB8">
              <w:rPr>
                <w:color w:val="000000" w:themeColor="text1"/>
              </w:rPr>
              <w:t>2</w:t>
            </w:r>
          </w:p>
        </w:tc>
        <w:tc>
          <w:tcPr>
            <w:tcW w:w="2539" w:type="dxa"/>
          </w:tcPr>
          <w:p w14:paraId="712655B6" w14:textId="77777777" w:rsidR="00397AAE" w:rsidRPr="00A52AB8" w:rsidRDefault="00397AAE" w:rsidP="004A6049">
            <w:pPr>
              <w:spacing w:before="120" w:after="120"/>
              <w:jc w:val="center"/>
              <w:rPr>
                <w:color w:val="000000" w:themeColor="text1"/>
                <w:lang w:eastAsia="ko-KR"/>
              </w:rPr>
            </w:pPr>
            <w:r w:rsidRPr="00A52AB8">
              <w:rPr>
                <w:color w:val="000000" w:themeColor="text1"/>
                <w:lang w:eastAsia="ko-KR"/>
              </w:rPr>
              <w:t>ATTR_TRANSPARENCY</w:t>
            </w:r>
          </w:p>
        </w:tc>
        <w:tc>
          <w:tcPr>
            <w:tcW w:w="1773" w:type="dxa"/>
          </w:tcPr>
          <w:p w14:paraId="66B324C5" w14:textId="77777777" w:rsidR="00397AAE" w:rsidRPr="00A52AB8" w:rsidRDefault="00397AAE" w:rsidP="004A6049">
            <w:pPr>
              <w:spacing w:before="120" w:after="120"/>
              <w:jc w:val="center"/>
              <w:rPr>
                <w:color w:val="000000" w:themeColor="text1"/>
                <w:lang w:eastAsia="ko-KR"/>
              </w:rPr>
            </w:pPr>
            <w:r w:rsidRPr="00A52AB8">
              <w:rPr>
                <w:color w:val="000000" w:themeColor="text1"/>
                <w:lang w:eastAsia="ko-KR"/>
              </w:rPr>
              <w:t>Transparency</w:t>
            </w:r>
          </w:p>
        </w:tc>
      </w:tr>
      <w:tr w:rsidR="00397AAE" w:rsidRPr="00A52AB8" w14:paraId="7898C49D" w14:textId="77777777" w:rsidTr="00EA2AC6">
        <w:trPr>
          <w:jc w:val="center"/>
        </w:trPr>
        <w:tc>
          <w:tcPr>
            <w:tcW w:w="2991" w:type="dxa"/>
          </w:tcPr>
          <w:p w14:paraId="075CC5D9" w14:textId="77777777" w:rsidR="00397AAE" w:rsidRPr="00A52AB8" w:rsidRDefault="00397AAE">
            <w:pPr>
              <w:spacing w:before="120" w:after="120"/>
              <w:jc w:val="center"/>
              <w:rPr>
                <w:color w:val="000000" w:themeColor="text1"/>
              </w:rPr>
            </w:pPr>
            <w:r w:rsidRPr="00A52AB8">
              <w:rPr>
                <w:color w:val="000000" w:themeColor="text1"/>
              </w:rPr>
              <w:t>3</w:t>
            </w:r>
          </w:p>
        </w:tc>
        <w:tc>
          <w:tcPr>
            <w:tcW w:w="2539" w:type="dxa"/>
          </w:tcPr>
          <w:p w14:paraId="0D1ED334" w14:textId="6D1967E0" w:rsidR="00397AAE" w:rsidRPr="00A52AB8" w:rsidRDefault="00397AAE" w:rsidP="004A6049">
            <w:pPr>
              <w:spacing w:before="120" w:after="120"/>
              <w:jc w:val="center"/>
              <w:rPr>
                <w:color w:val="000000" w:themeColor="text1"/>
                <w:lang w:eastAsia="ko-KR"/>
              </w:rPr>
            </w:pPr>
            <w:r w:rsidRPr="00A52AB8">
              <w:rPr>
                <w:color w:val="000000" w:themeColor="text1"/>
                <w:lang w:eastAsia="ko-KR"/>
              </w:rPr>
              <w:t>ATTR_REFLECTANCE</w:t>
            </w:r>
          </w:p>
        </w:tc>
        <w:tc>
          <w:tcPr>
            <w:tcW w:w="1773" w:type="dxa"/>
          </w:tcPr>
          <w:p w14:paraId="729927CC" w14:textId="77777777" w:rsidR="00397AAE" w:rsidRPr="00A52AB8" w:rsidRDefault="00397AAE" w:rsidP="004A6049">
            <w:pPr>
              <w:spacing w:before="120" w:after="120"/>
              <w:jc w:val="center"/>
              <w:rPr>
                <w:color w:val="000000" w:themeColor="text1"/>
                <w:lang w:eastAsia="ko-KR"/>
              </w:rPr>
            </w:pPr>
            <w:r w:rsidRPr="00A52AB8">
              <w:rPr>
                <w:color w:val="000000" w:themeColor="text1"/>
                <w:lang w:eastAsia="ko-KR"/>
              </w:rPr>
              <w:t>Reflectance</w:t>
            </w:r>
          </w:p>
        </w:tc>
      </w:tr>
      <w:tr w:rsidR="00397AAE" w:rsidRPr="00A52AB8" w14:paraId="14ACF5AF" w14:textId="77777777" w:rsidTr="00EA2AC6">
        <w:trPr>
          <w:jc w:val="center"/>
        </w:trPr>
        <w:tc>
          <w:tcPr>
            <w:tcW w:w="2991" w:type="dxa"/>
          </w:tcPr>
          <w:p w14:paraId="17BBBB3E" w14:textId="77777777" w:rsidR="00397AAE" w:rsidRPr="00A52AB8" w:rsidRDefault="00397AAE">
            <w:pPr>
              <w:spacing w:before="120" w:after="120"/>
              <w:jc w:val="center"/>
              <w:rPr>
                <w:color w:val="000000" w:themeColor="text1"/>
              </w:rPr>
            </w:pPr>
            <w:r w:rsidRPr="00A52AB8">
              <w:rPr>
                <w:color w:val="000000" w:themeColor="text1"/>
              </w:rPr>
              <w:t>4</w:t>
            </w:r>
          </w:p>
        </w:tc>
        <w:tc>
          <w:tcPr>
            <w:tcW w:w="2539" w:type="dxa"/>
          </w:tcPr>
          <w:p w14:paraId="180AE4E9" w14:textId="77777777" w:rsidR="00397AAE" w:rsidRPr="00A52AB8" w:rsidRDefault="00397AAE" w:rsidP="004A6049">
            <w:pPr>
              <w:spacing w:before="120" w:after="120"/>
              <w:jc w:val="center"/>
              <w:rPr>
                <w:color w:val="000000" w:themeColor="text1"/>
                <w:lang w:eastAsia="ko-KR"/>
              </w:rPr>
            </w:pPr>
            <w:r w:rsidRPr="00A52AB8">
              <w:rPr>
                <w:color w:val="000000" w:themeColor="text1"/>
                <w:lang w:eastAsia="ko-KR"/>
              </w:rPr>
              <w:t>ATTR_NORMAL</w:t>
            </w:r>
          </w:p>
        </w:tc>
        <w:tc>
          <w:tcPr>
            <w:tcW w:w="1773" w:type="dxa"/>
          </w:tcPr>
          <w:p w14:paraId="74FC78A3" w14:textId="77777777" w:rsidR="00397AAE" w:rsidRPr="00A52AB8" w:rsidRDefault="00397AAE" w:rsidP="004A6049">
            <w:pPr>
              <w:spacing w:before="120" w:after="120"/>
              <w:jc w:val="center"/>
              <w:rPr>
                <w:color w:val="000000" w:themeColor="text1"/>
                <w:lang w:eastAsia="ko-KR"/>
              </w:rPr>
            </w:pPr>
            <w:r w:rsidRPr="00A52AB8">
              <w:rPr>
                <w:color w:val="000000" w:themeColor="text1"/>
                <w:lang w:eastAsia="ko-KR"/>
              </w:rPr>
              <w:t>Normals</w:t>
            </w:r>
          </w:p>
        </w:tc>
      </w:tr>
      <w:tr w:rsidR="00397AAE" w:rsidRPr="00A52AB8" w14:paraId="1CFF6CD8" w14:textId="77777777" w:rsidTr="00EA2AC6">
        <w:trPr>
          <w:jc w:val="center"/>
        </w:trPr>
        <w:tc>
          <w:tcPr>
            <w:tcW w:w="2991" w:type="dxa"/>
          </w:tcPr>
          <w:p w14:paraId="4A5A06C7" w14:textId="5D2B563A" w:rsidR="00397AAE" w:rsidRPr="00A52AB8" w:rsidRDefault="00397AAE">
            <w:pPr>
              <w:spacing w:before="120" w:after="120"/>
              <w:jc w:val="center"/>
              <w:rPr>
                <w:color w:val="000000" w:themeColor="text1"/>
              </w:rPr>
            </w:pPr>
            <w:r w:rsidRPr="00A52AB8">
              <w:rPr>
                <w:color w:val="000000" w:themeColor="text1"/>
              </w:rPr>
              <w:t>5</w:t>
            </w:r>
            <w:r w:rsidR="007436B6" w:rsidRPr="00A52AB8">
              <w:rPr>
                <w:color w:val="000000" w:themeColor="text1"/>
              </w:rPr>
              <w:t>..</w:t>
            </w:r>
            <w:r w:rsidRPr="00A52AB8">
              <w:rPr>
                <w:color w:val="000000" w:themeColor="text1"/>
              </w:rPr>
              <w:t>14</w:t>
            </w:r>
          </w:p>
        </w:tc>
        <w:tc>
          <w:tcPr>
            <w:tcW w:w="2539" w:type="dxa"/>
          </w:tcPr>
          <w:p w14:paraId="7AC2CFB7" w14:textId="77777777" w:rsidR="00397AAE" w:rsidRPr="00A52AB8" w:rsidRDefault="00397AAE" w:rsidP="004A6049">
            <w:pPr>
              <w:spacing w:before="120" w:after="120"/>
              <w:jc w:val="center"/>
              <w:rPr>
                <w:color w:val="000000" w:themeColor="text1"/>
                <w:lang w:eastAsia="ko-KR"/>
              </w:rPr>
            </w:pPr>
            <w:r w:rsidRPr="00A52AB8">
              <w:rPr>
                <w:color w:val="000000" w:themeColor="text1"/>
                <w:lang w:eastAsia="ko-KR"/>
              </w:rPr>
              <w:t>ATTR_RESERVED</w:t>
            </w:r>
          </w:p>
        </w:tc>
        <w:tc>
          <w:tcPr>
            <w:tcW w:w="1773" w:type="dxa"/>
          </w:tcPr>
          <w:p w14:paraId="1EA78E01" w14:textId="77777777" w:rsidR="00397AAE" w:rsidRPr="00A52AB8" w:rsidRDefault="00397AAE" w:rsidP="004A6049">
            <w:pPr>
              <w:spacing w:before="120" w:after="120"/>
              <w:jc w:val="center"/>
              <w:rPr>
                <w:color w:val="000000" w:themeColor="text1"/>
                <w:lang w:eastAsia="ko-KR"/>
              </w:rPr>
            </w:pPr>
            <w:r w:rsidRPr="00A52AB8">
              <w:rPr>
                <w:color w:val="000000" w:themeColor="text1"/>
                <w:lang w:eastAsia="ko-KR"/>
              </w:rPr>
              <w:t>Reserved</w:t>
            </w:r>
          </w:p>
        </w:tc>
      </w:tr>
      <w:tr w:rsidR="00397AAE" w:rsidRPr="00A52AB8" w14:paraId="181C7778" w14:textId="77777777" w:rsidTr="00EA2AC6">
        <w:trPr>
          <w:jc w:val="center"/>
        </w:trPr>
        <w:tc>
          <w:tcPr>
            <w:tcW w:w="2991" w:type="dxa"/>
          </w:tcPr>
          <w:p w14:paraId="0DFF61F4" w14:textId="77777777" w:rsidR="00397AAE" w:rsidRPr="00A52AB8" w:rsidRDefault="00397AAE">
            <w:pPr>
              <w:spacing w:before="120" w:after="120"/>
              <w:jc w:val="center"/>
              <w:rPr>
                <w:color w:val="000000" w:themeColor="text1"/>
              </w:rPr>
            </w:pPr>
            <w:r w:rsidRPr="00A52AB8">
              <w:rPr>
                <w:color w:val="000000" w:themeColor="text1"/>
              </w:rPr>
              <w:t>15</w:t>
            </w:r>
          </w:p>
        </w:tc>
        <w:tc>
          <w:tcPr>
            <w:tcW w:w="2539" w:type="dxa"/>
          </w:tcPr>
          <w:p w14:paraId="195D8C0F" w14:textId="77777777" w:rsidR="00397AAE" w:rsidRPr="00A52AB8" w:rsidRDefault="00397AAE" w:rsidP="004A6049">
            <w:pPr>
              <w:spacing w:before="120" w:after="120"/>
              <w:jc w:val="center"/>
              <w:rPr>
                <w:color w:val="000000" w:themeColor="text1"/>
                <w:lang w:eastAsia="ko-KR"/>
              </w:rPr>
            </w:pPr>
            <w:r w:rsidRPr="00A52AB8">
              <w:rPr>
                <w:color w:val="000000" w:themeColor="text1"/>
                <w:lang w:eastAsia="ko-KR"/>
              </w:rPr>
              <w:t>ATTR_UNSPECIFIED</w:t>
            </w:r>
          </w:p>
        </w:tc>
        <w:tc>
          <w:tcPr>
            <w:tcW w:w="1773" w:type="dxa"/>
          </w:tcPr>
          <w:p w14:paraId="34D2DAB1" w14:textId="77777777" w:rsidR="00397AAE" w:rsidRPr="00A52AB8" w:rsidRDefault="00397AAE" w:rsidP="004A6049">
            <w:pPr>
              <w:spacing w:before="120" w:after="120"/>
              <w:jc w:val="center"/>
              <w:rPr>
                <w:color w:val="000000" w:themeColor="text1"/>
                <w:lang w:eastAsia="ko-KR"/>
              </w:rPr>
            </w:pPr>
            <w:r w:rsidRPr="00A52AB8">
              <w:rPr>
                <w:color w:val="000000" w:themeColor="text1"/>
                <w:lang w:eastAsia="ko-KR"/>
              </w:rPr>
              <w:t>Unspecified</w:t>
            </w:r>
          </w:p>
        </w:tc>
      </w:tr>
    </w:tbl>
    <w:p w14:paraId="4065D75E" w14:textId="77777777" w:rsidR="0050235C" w:rsidRPr="00A52AB8" w:rsidRDefault="00B23650" w:rsidP="00CD7999">
      <w:pPr>
        <w:spacing w:before="120"/>
        <w:rPr>
          <w:rFonts w:eastAsia="Times New Roman" w:cs="Arial"/>
          <w:color w:val="000000" w:themeColor="text1"/>
          <w:shd w:val="clear" w:color="auto" w:fill="FFFFFF"/>
        </w:rPr>
      </w:pPr>
      <w:r w:rsidRPr="00A52AB8">
        <w:rPr>
          <w:color w:val="000000" w:themeColor="text1"/>
          <w:lang w:eastAsia="ko-KR"/>
        </w:rPr>
        <w:t xml:space="preserve">ATTR_TEXTURE indicates an </w:t>
      </w:r>
      <w:r w:rsidRPr="00A52AB8">
        <w:rPr>
          <w:rFonts w:eastAsia="Times New Roman" w:cs="Arial"/>
          <w:color w:val="000000" w:themeColor="text1"/>
          <w:shd w:val="clear" w:color="auto" w:fill="FFFFFF"/>
        </w:rPr>
        <w:t xml:space="preserve">attribute that contains texture information of a </w:t>
      </w:r>
      <w:r w:rsidR="00C37AFE" w:rsidRPr="00A52AB8">
        <w:rPr>
          <w:rFonts w:eastAsia="Times New Roman" w:cs="Arial"/>
          <w:color w:val="000000" w:themeColor="text1"/>
          <w:shd w:val="clear" w:color="auto" w:fill="FFFFFF"/>
        </w:rPr>
        <w:t>volumetric frame</w:t>
      </w:r>
      <w:r w:rsidRPr="00A52AB8">
        <w:rPr>
          <w:rFonts w:eastAsia="Times New Roman" w:cs="Arial"/>
          <w:color w:val="000000" w:themeColor="text1"/>
          <w:shd w:val="clear" w:color="auto" w:fill="FFFFFF"/>
        </w:rPr>
        <w:t>. For example, this may indicate an attribute that contains RGB (Red, Green, Blue) colo</w:t>
      </w:r>
      <w:r w:rsidR="00E51DC6" w:rsidRPr="00A52AB8">
        <w:rPr>
          <w:rFonts w:eastAsia="Times New Roman" w:cs="Arial"/>
          <w:color w:val="000000" w:themeColor="text1"/>
          <w:shd w:val="clear" w:color="auto" w:fill="FFFFFF"/>
        </w:rPr>
        <w:t>u</w:t>
      </w:r>
      <w:r w:rsidRPr="00A52AB8">
        <w:rPr>
          <w:rFonts w:eastAsia="Times New Roman" w:cs="Arial"/>
          <w:color w:val="000000" w:themeColor="text1"/>
          <w:shd w:val="clear" w:color="auto" w:fill="FFFFFF"/>
        </w:rPr>
        <w:t>r information.</w:t>
      </w:r>
    </w:p>
    <w:p w14:paraId="3F189E10" w14:textId="242C2275" w:rsidR="00B23650" w:rsidRPr="00A52AB8" w:rsidRDefault="00B23650">
      <w:pPr>
        <w:rPr>
          <w:color w:val="000000" w:themeColor="text1"/>
          <w:lang w:eastAsia="ko-KR"/>
        </w:rPr>
      </w:pPr>
      <w:r w:rsidRPr="00A52AB8">
        <w:rPr>
          <w:color w:val="000000" w:themeColor="text1"/>
          <w:lang w:eastAsia="ko-KR"/>
        </w:rPr>
        <w:t xml:space="preserve">ATTR_MATERIAL_ID indicates an attribute that contains supplemental information that </w:t>
      </w:r>
      <w:r w:rsidR="00975862" w:rsidRPr="00A52AB8">
        <w:rPr>
          <w:color w:val="000000" w:themeColor="text1"/>
          <w:lang w:eastAsia="ko-KR"/>
        </w:rPr>
        <w:t xml:space="preserve">identifies </w:t>
      </w:r>
      <w:r w:rsidRPr="00A52AB8">
        <w:rPr>
          <w:color w:val="000000" w:themeColor="text1"/>
          <w:lang w:eastAsia="ko-KR"/>
        </w:rPr>
        <w:t xml:space="preserve">the material type of a point in a </w:t>
      </w:r>
      <w:r w:rsidR="00C37AFE" w:rsidRPr="00A52AB8">
        <w:rPr>
          <w:rFonts w:eastAsia="Times New Roman" w:cs="Arial"/>
          <w:color w:val="000000" w:themeColor="text1"/>
          <w:shd w:val="clear" w:color="auto" w:fill="FFFFFF"/>
        </w:rPr>
        <w:t>volumetric frame</w:t>
      </w:r>
      <w:r w:rsidRPr="00A52AB8">
        <w:rPr>
          <w:color w:val="000000" w:themeColor="text1"/>
          <w:lang w:eastAsia="ko-KR"/>
        </w:rPr>
        <w:t>. For example, the material type could be used as a</w:t>
      </w:r>
      <w:r w:rsidR="00C1590A" w:rsidRPr="00A52AB8">
        <w:rPr>
          <w:color w:val="000000" w:themeColor="text1"/>
          <w:lang w:eastAsia="ko-KR"/>
        </w:rPr>
        <w:t>n</w:t>
      </w:r>
      <w:r w:rsidRPr="00A52AB8">
        <w:rPr>
          <w:color w:val="000000" w:themeColor="text1"/>
          <w:lang w:eastAsia="ko-KR"/>
        </w:rPr>
        <w:t xml:space="preserve"> indicator for identifying an object or the characteristic of a point within a </w:t>
      </w:r>
      <w:r w:rsidR="00C37AFE" w:rsidRPr="00A52AB8">
        <w:rPr>
          <w:rFonts w:eastAsia="Times New Roman" w:cs="Arial"/>
          <w:color w:val="000000" w:themeColor="text1"/>
          <w:shd w:val="clear" w:color="auto" w:fill="FFFFFF"/>
        </w:rPr>
        <w:t>volumetric frame</w:t>
      </w:r>
      <w:r w:rsidRPr="00A52AB8">
        <w:rPr>
          <w:color w:val="000000" w:themeColor="text1"/>
          <w:lang w:eastAsia="ko-KR"/>
        </w:rPr>
        <w:t xml:space="preserve">. The interpretation of the values of such attribute frame type </w:t>
      </w:r>
      <w:r w:rsidR="009131E5" w:rsidRPr="00A52AB8">
        <w:rPr>
          <w:color w:val="000000" w:themeColor="text1"/>
          <w:lang w:eastAsia="ko-KR"/>
        </w:rPr>
        <w:t>is</w:t>
      </w:r>
      <w:r w:rsidRPr="00A52AB8">
        <w:rPr>
          <w:color w:val="000000" w:themeColor="text1"/>
          <w:lang w:eastAsia="ko-KR"/>
        </w:rPr>
        <w:t xml:space="preserve"> outside the scope of </w:t>
      </w:r>
      <w:r w:rsidR="001905CC" w:rsidRPr="00A52AB8">
        <w:rPr>
          <w:color w:val="000000" w:themeColor="text1"/>
          <w:lang w:eastAsia="ko-KR"/>
        </w:rPr>
        <w:t>this document</w:t>
      </w:r>
      <w:r w:rsidRPr="00A52AB8">
        <w:rPr>
          <w:color w:val="000000" w:themeColor="text1"/>
          <w:lang w:eastAsia="ko-KR"/>
        </w:rPr>
        <w:t>.</w:t>
      </w:r>
    </w:p>
    <w:p w14:paraId="1A46532F" w14:textId="77777777" w:rsidR="0050235C" w:rsidRPr="00A52AB8" w:rsidRDefault="00B23650">
      <w:pPr>
        <w:rPr>
          <w:color w:val="000000" w:themeColor="text1"/>
          <w:lang w:eastAsia="ko-KR"/>
        </w:rPr>
      </w:pPr>
      <w:r w:rsidRPr="00A52AB8">
        <w:rPr>
          <w:color w:val="000000" w:themeColor="text1"/>
          <w:lang w:eastAsia="ko-KR"/>
        </w:rPr>
        <w:t xml:space="preserve">ATTR_TRANSPARENCY indicates an attribute that contains transparency information that is associated with each point in a </w:t>
      </w:r>
      <w:r w:rsidR="00C37AFE" w:rsidRPr="00A52AB8">
        <w:rPr>
          <w:rFonts w:eastAsia="Times New Roman" w:cs="Arial"/>
          <w:color w:val="000000" w:themeColor="text1"/>
          <w:shd w:val="clear" w:color="auto" w:fill="FFFFFF"/>
        </w:rPr>
        <w:t>volumetric frame</w:t>
      </w:r>
      <w:r w:rsidRPr="00A52AB8">
        <w:rPr>
          <w:color w:val="000000" w:themeColor="text1"/>
          <w:lang w:eastAsia="ko-KR"/>
        </w:rPr>
        <w:t>.</w:t>
      </w:r>
    </w:p>
    <w:p w14:paraId="5895C8AE" w14:textId="77777777" w:rsidR="0050235C" w:rsidRPr="00A52AB8" w:rsidRDefault="00B23650">
      <w:pPr>
        <w:rPr>
          <w:color w:val="000000" w:themeColor="text1"/>
          <w:lang w:eastAsia="ko-KR"/>
        </w:rPr>
      </w:pPr>
      <w:r w:rsidRPr="00A52AB8">
        <w:rPr>
          <w:color w:val="000000" w:themeColor="text1"/>
          <w:lang w:eastAsia="ko-KR"/>
        </w:rPr>
        <w:t xml:space="preserve">ATTR_REFLECTANCE indicates an attribute that contains reflectance information that is associated with each point in a </w:t>
      </w:r>
      <w:r w:rsidR="00C37AFE" w:rsidRPr="00A52AB8">
        <w:rPr>
          <w:rFonts w:eastAsia="Times New Roman" w:cs="Arial"/>
          <w:color w:val="000000" w:themeColor="text1"/>
          <w:shd w:val="clear" w:color="auto" w:fill="FFFFFF"/>
        </w:rPr>
        <w:t>volumetric frame</w:t>
      </w:r>
      <w:r w:rsidRPr="00A52AB8">
        <w:rPr>
          <w:color w:val="000000" w:themeColor="text1"/>
          <w:lang w:eastAsia="ko-KR"/>
        </w:rPr>
        <w:t>.</w:t>
      </w:r>
    </w:p>
    <w:p w14:paraId="7564A5A3" w14:textId="16F1E2C8" w:rsidR="00B23650" w:rsidRPr="00A52AB8" w:rsidRDefault="00B23650">
      <w:pPr>
        <w:rPr>
          <w:rFonts w:eastAsia="Times New Roman" w:cs="Arial"/>
          <w:color w:val="000000" w:themeColor="text1"/>
          <w:shd w:val="clear" w:color="auto" w:fill="FFFFFF"/>
        </w:rPr>
      </w:pPr>
      <w:r w:rsidRPr="00A52AB8">
        <w:rPr>
          <w:color w:val="000000" w:themeColor="text1"/>
          <w:lang w:eastAsia="ko-KR"/>
        </w:rPr>
        <w:t xml:space="preserve">ATTR_NORMAL indicates an </w:t>
      </w:r>
      <w:r w:rsidRPr="00A52AB8">
        <w:rPr>
          <w:rFonts w:eastAsia="Times New Roman" w:cs="Arial"/>
          <w:color w:val="000000" w:themeColor="text1"/>
          <w:shd w:val="clear" w:color="auto" w:fill="FFFFFF"/>
        </w:rPr>
        <w:t xml:space="preserve">attribute that contains a unit vector information associated with each point in a </w:t>
      </w:r>
      <w:r w:rsidR="00C37AFE" w:rsidRPr="00A52AB8">
        <w:rPr>
          <w:rFonts w:eastAsia="Times New Roman" w:cs="Arial"/>
          <w:color w:val="000000" w:themeColor="text1"/>
          <w:shd w:val="clear" w:color="auto" w:fill="FFFFFF"/>
        </w:rPr>
        <w:t>volumetric frame</w:t>
      </w:r>
      <w:r w:rsidRPr="00A52AB8">
        <w:rPr>
          <w:rFonts w:eastAsia="Times New Roman" w:cs="Arial"/>
          <w:color w:val="000000" w:themeColor="text1"/>
          <w:shd w:val="clear" w:color="auto" w:fill="FFFFFF"/>
        </w:rPr>
        <w:t>. The unit vector specifies the perpendicular direction to a surface at a point (i.e. direction a point is facing). An attribute frame with this attribute type shall have ai_attribute_dimension_minus1 equal to 2. Each channel of an attribute frame with this attribute type shall contain one component of the unit vector (x, y, z), where the first component contains the x coordinate, the second component contains the y coordinate, and the third component contains the z coordinate.</w:t>
      </w:r>
    </w:p>
    <w:p w14:paraId="1994CDD0" w14:textId="77777777" w:rsidR="00397AAE" w:rsidRPr="00A52AB8" w:rsidRDefault="00B23650">
      <w:pPr>
        <w:rPr>
          <w:rFonts w:eastAsia="Times New Roman"/>
          <w:color w:val="000000" w:themeColor="text1"/>
        </w:rPr>
      </w:pPr>
      <w:r w:rsidRPr="00A52AB8">
        <w:rPr>
          <w:color w:val="000000" w:themeColor="text1"/>
          <w:lang w:eastAsia="ko-KR"/>
        </w:rPr>
        <w:t>ATTR_UNSPECIFIED</w:t>
      </w:r>
      <w:r w:rsidRPr="00A52AB8">
        <w:rPr>
          <w:rFonts w:eastAsia="Times New Roman"/>
          <w:color w:val="000000" w:themeColor="text1"/>
        </w:rPr>
        <w:t xml:space="preserve"> indicates an </w:t>
      </w:r>
      <w:r w:rsidRPr="00A52AB8">
        <w:rPr>
          <w:rFonts w:eastAsia="Times New Roman" w:cs="Arial"/>
          <w:color w:val="000000" w:themeColor="text1"/>
          <w:shd w:val="clear" w:color="auto" w:fill="FFFFFF"/>
        </w:rPr>
        <w:t>attribute that</w:t>
      </w:r>
      <w:r w:rsidRPr="00A52AB8">
        <w:rPr>
          <w:rFonts w:eastAsia="Times New Roman"/>
          <w:color w:val="000000" w:themeColor="text1"/>
        </w:rPr>
        <w:t xml:space="preserve"> contains values that have no specified meaning in this </w:t>
      </w:r>
      <w:r w:rsidR="002C38D0" w:rsidRPr="00A52AB8">
        <w:rPr>
          <w:rFonts w:eastAsia="Times New Roman"/>
          <w:color w:val="000000" w:themeColor="text1"/>
        </w:rPr>
        <w:t>document</w:t>
      </w:r>
      <w:r w:rsidRPr="00A52AB8">
        <w:rPr>
          <w:rFonts w:eastAsia="Times New Roman"/>
          <w:color w:val="000000" w:themeColor="text1"/>
        </w:rPr>
        <w:t xml:space="preserve"> and will not have a specified meaning in the future as an integral part of this </w:t>
      </w:r>
      <w:r w:rsidR="002C38D0" w:rsidRPr="00A52AB8">
        <w:rPr>
          <w:rFonts w:eastAsia="Times New Roman"/>
          <w:color w:val="000000" w:themeColor="text1"/>
        </w:rPr>
        <w:t>document.</w:t>
      </w:r>
    </w:p>
    <w:p w14:paraId="7CA85CE8" w14:textId="7C95478B" w:rsidR="00C175F4" w:rsidRPr="00A52AB8" w:rsidRDefault="00C175F4">
      <w:pPr>
        <w:rPr>
          <w:bCs/>
          <w:color w:val="000000" w:themeColor="text1"/>
        </w:rPr>
      </w:pPr>
      <w:r w:rsidRPr="00A52AB8">
        <w:rPr>
          <w:color w:val="000000" w:themeColor="text1"/>
          <w:lang w:eastAsia="ko-KR"/>
        </w:rPr>
        <w:t>Values indicated as ATTR_RESERVED</w:t>
      </w:r>
      <w:r w:rsidRPr="00A52AB8">
        <w:rPr>
          <w:rFonts w:eastAsia="Times New Roman"/>
          <w:color w:val="000000" w:themeColor="text1"/>
        </w:rPr>
        <w:t xml:space="preserve"> are reserved for future use by ISO/IEC and shall not be present in bitstreams conforming to this version of this document.</w:t>
      </w:r>
      <w:r w:rsidR="00975862" w:rsidRPr="00A52AB8">
        <w:rPr>
          <w:rFonts w:eastAsia="Times New Roman"/>
          <w:color w:val="000000" w:themeColor="text1"/>
        </w:rPr>
        <w:t xml:space="preserve"> Decoders conforming to this version of this document should ignore attribute sub-bitstreams with an </w:t>
      </w:r>
      <w:r w:rsidR="00975862" w:rsidRPr="00A52AB8">
        <w:rPr>
          <w:color w:val="000000" w:themeColor="text1"/>
        </w:rPr>
        <w:t xml:space="preserve">attribute type a value </w:t>
      </w:r>
      <w:r w:rsidR="00975862" w:rsidRPr="00A52AB8">
        <w:rPr>
          <w:bCs/>
          <w:color w:val="000000" w:themeColor="text1"/>
        </w:rPr>
        <w:t>ai_attribute_type_id[ j ][ i ]</w:t>
      </w:r>
      <w:r w:rsidR="00975862" w:rsidRPr="00A52AB8">
        <w:rPr>
          <w:color w:val="000000" w:themeColor="text1"/>
        </w:rPr>
        <w:t xml:space="preserve"> equal to </w:t>
      </w:r>
      <w:r w:rsidR="00975862" w:rsidRPr="00A52AB8">
        <w:rPr>
          <w:color w:val="000000" w:themeColor="text1"/>
          <w:lang w:eastAsia="ko-KR"/>
        </w:rPr>
        <w:t>ATTR_RESERVED.</w:t>
      </w:r>
    </w:p>
    <w:p w14:paraId="620120E6" w14:textId="22CDF694" w:rsidR="00937B95" w:rsidRPr="00A52AB8" w:rsidRDefault="000F532C">
      <w:pPr>
        <w:rPr>
          <w:color w:val="000000" w:themeColor="text1"/>
        </w:rPr>
      </w:pPr>
      <w:r w:rsidRPr="00A52AB8">
        <w:rPr>
          <w:b/>
          <w:color w:val="000000" w:themeColor="text1"/>
        </w:rPr>
        <w:t>ai_</w:t>
      </w:r>
      <w:r w:rsidR="00937B95" w:rsidRPr="00A52AB8">
        <w:rPr>
          <w:b/>
          <w:color w:val="000000" w:themeColor="text1"/>
        </w:rPr>
        <w:t>attribute_codec_id</w:t>
      </w:r>
      <w:r w:rsidR="001F4484" w:rsidRPr="00A52AB8">
        <w:rPr>
          <w:color w:val="000000" w:themeColor="text1"/>
        </w:rPr>
        <w:t>[ j ][ i ]</w:t>
      </w:r>
      <w:r w:rsidR="00937B95" w:rsidRPr="00A52AB8">
        <w:rPr>
          <w:b/>
          <w:color w:val="000000" w:themeColor="text1"/>
        </w:rPr>
        <w:t xml:space="preserve"> </w:t>
      </w:r>
      <w:r w:rsidR="00937B95" w:rsidRPr="00A52AB8">
        <w:rPr>
          <w:color w:val="000000" w:themeColor="text1"/>
        </w:rPr>
        <w:t>indicates the identifier of the codec used to compress the attribute video data with index i</w:t>
      </w:r>
      <w:r w:rsidR="005972FA" w:rsidRPr="00A52AB8">
        <w:rPr>
          <w:color w:val="000000" w:themeColor="text1"/>
        </w:rPr>
        <w:t xml:space="preserve"> for the </w:t>
      </w:r>
      <w:r w:rsidR="00C175F4" w:rsidRPr="00A52AB8">
        <w:rPr>
          <w:color w:val="000000" w:themeColor="text1"/>
        </w:rPr>
        <w:t xml:space="preserve">atlas with atlas ID </w:t>
      </w:r>
      <w:r w:rsidR="005972FA" w:rsidRPr="00A52AB8">
        <w:rPr>
          <w:color w:val="000000" w:themeColor="text1"/>
        </w:rPr>
        <w:t>j</w:t>
      </w:r>
      <w:r w:rsidR="00937B95" w:rsidRPr="00A52AB8">
        <w:rPr>
          <w:color w:val="000000" w:themeColor="text1"/>
        </w:rPr>
        <w:t>.</w:t>
      </w:r>
      <w:r w:rsidR="00937B95" w:rsidRPr="00A52AB8">
        <w:t xml:space="preserve"> </w:t>
      </w:r>
      <w:r w:rsidRPr="00A52AB8">
        <w:t>ai_</w:t>
      </w:r>
      <w:r w:rsidR="00937B95" w:rsidRPr="00A52AB8">
        <w:rPr>
          <w:color w:val="000000" w:themeColor="text1"/>
        </w:rPr>
        <w:t>attribute_codec_id</w:t>
      </w:r>
      <w:r w:rsidR="001F4484" w:rsidRPr="00A52AB8">
        <w:rPr>
          <w:color w:val="000000" w:themeColor="text1"/>
        </w:rPr>
        <w:t>[ j ][ i ]</w:t>
      </w:r>
      <w:r w:rsidR="00937B95" w:rsidRPr="00A52AB8">
        <w:rPr>
          <w:color w:val="000000" w:themeColor="text1"/>
        </w:rPr>
        <w:t xml:space="preserve"> shall be in the range of 0 to 255, inclusive. </w:t>
      </w:r>
      <w:r w:rsidR="00DB4D06" w:rsidRPr="00A52AB8">
        <w:rPr>
          <w:color w:val="000000" w:themeColor="text1"/>
        </w:rPr>
        <w:t xml:space="preserve">This codec may be identified through </w:t>
      </w:r>
      <w:r w:rsidR="00975862" w:rsidRPr="00A52AB8">
        <w:rPr>
          <w:color w:val="000000" w:themeColor="text1"/>
          <w:lang w:eastAsia="ko-KR"/>
        </w:rPr>
        <w:t xml:space="preserve">the profiles defined in </w:t>
      </w:r>
      <w:r w:rsidR="00975862" w:rsidRPr="00496A4D">
        <w:rPr>
          <w:color w:val="000000" w:themeColor="text1"/>
          <w:lang w:eastAsia="ko-KR"/>
        </w:rPr>
        <w:fldChar w:fldCharType="begin"/>
      </w:r>
      <w:r w:rsidR="00975862" w:rsidRPr="00A52AB8">
        <w:rPr>
          <w:color w:val="000000" w:themeColor="text1"/>
          <w:lang w:eastAsia="ko-KR"/>
        </w:rPr>
        <w:instrText xml:space="preserve"> REF _Ref38898728 \r \h </w:instrText>
      </w:r>
      <w:r w:rsidR="00975862" w:rsidRPr="00496A4D">
        <w:rPr>
          <w:color w:val="000000" w:themeColor="text1"/>
          <w:lang w:eastAsia="ko-KR"/>
        </w:rPr>
      </w:r>
      <w:r w:rsidR="00975862" w:rsidRPr="00496A4D">
        <w:rPr>
          <w:color w:val="000000" w:themeColor="text1"/>
          <w:lang w:eastAsia="ko-KR"/>
        </w:rPr>
        <w:fldChar w:fldCharType="separate"/>
      </w:r>
      <w:r w:rsidR="00507A67">
        <w:rPr>
          <w:color w:val="000000" w:themeColor="text1"/>
          <w:lang w:eastAsia="ko-KR"/>
        </w:rPr>
        <w:t>Annex A</w:t>
      </w:r>
      <w:r w:rsidR="00975862" w:rsidRPr="00496A4D">
        <w:rPr>
          <w:color w:val="000000" w:themeColor="text1"/>
          <w:lang w:eastAsia="ko-KR"/>
        </w:rPr>
        <w:fldChar w:fldCharType="end"/>
      </w:r>
      <w:r w:rsidR="00975862" w:rsidRPr="00A52AB8">
        <w:rPr>
          <w:color w:val="000000" w:themeColor="text1"/>
          <w:lang w:eastAsia="ko-KR"/>
        </w:rPr>
        <w:t xml:space="preserve">, </w:t>
      </w:r>
      <w:r w:rsidR="00DB4D06" w:rsidRPr="00A52AB8">
        <w:rPr>
          <w:color w:val="000000" w:themeColor="text1"/>
        </w:rPr>
        <w:t xml:space="preserve">a </w:t>
      </w:r>
      <w:r w:rsidR="007E3313" w:rsidRPr="00A52AB8">
        <w:rPr>
          <w:color w:val="000000" w:themeColor="text1"/>
        </w:rPr>
        <w:t>c</w:t>
      </w:r>
      <w:r w:rsidR="00DB4D06" w:rsidRPr="00A52AB8">
        <w:rPr>
          <w:color w:val="000000" w:themeColor="text1"/>
        </w:rPr>
        <w:t>omponent codec mapping SEI message</w:t>
      </w:r>
      <w:r w:rsidR="00975862" w:rsidRPr="00A52AB8">
        <w:rPr>
          <w:color w:val="000000" w:themeColor="text1"/>
        </w:rPr>
        <w:t>,</w:t>
      </w:r>
      <w:r w:rsidR="00DB4D06" w:rsidRPr="00A52AB8">
        <w:rPr>
          <w:color w:val="000000" w:themeColor="text1"/>
        </w:rPr>
        <w:t xml:space="preserve"> or through means outside </w:t>
      </w:r>
      <w:r w:rsidR="001905CC" w:rsidRPr="00A52AB8">
        <w:rPr>
          <w:color w:val="000000" w:themeColor="text1"/>
        </w:rPr>
        <w:t>this document</w:t>
      </w:r>
      <w:r w:rsidR="00DB4D06" w:rsidRPr="00A52AB8">
        <w:rPr>
          <w:color w:val="000000" w:themeColor="text1"/>
        </w:rPr>
        <w:t>.</w:t>
      </w:r>
    </w:p>
    <w:p w14:paraId="6057F1B1" w14:textId="1552FE76" w:rsidR="00937B95" w:rsidRPr="00A52AB8" w:rsidRDefault="000F532C">
      <w:pPr>
        <w:rPr>
          <w:color w:val="000000" w:themeColor="text1"/>
        </w:rPr>
      </w:pPr>
      <w:r w:rsidRPr="00A52AB8">
        <w:rPr>
          <w:b/>
          <w:color w:val="000000" w:themeColor="text1"/>
        </w:rPr>
        <w:t>ai_</w:t>
      </w:r>
      <w:r w:rsidR="004A5D0A" w:rsidRPr="00A52AB8">
        <w:rPr>
          <w:b/>
          <w:color w:val="000000" w:themeColor="text1"/>
        </w:rPr>
        <w:t>auxiliary</w:t>
      </w:r>
      <w:r w:rsidR="00937B95" w:rsidRPr="00A52AB8">
        <w:rPr>
          <w:b/>
          <w:color w:val="000000" w:themeColor="text1"/>
        </w:rPr>
        <w:t>_attribute_codec_id</w:t>
      </w:r>
      <w:r w:rsidR="001F4484" w:rsidRPr="00A52AB8">
        <w:rPr>
          <w:color w:val="000000" w:themeColor="text1"/>
        </w:rPr>
        <w:t>[ j ][ i ]</w:t>
      </w:r>
      <w:r w:rsidR="00937B95" w:rsidRPr="00A52AB8">
        <w:rPr>
          <w:color w:val="000000" w:themeColor="text1"/>
        </w:rPr>
        <w:t>, when present,</w:t>
      </w:r>
      <w:r w:rsidR="00937B95" w:rsidRPr="00A52AB8">
        <w:rPr>
          <w:b/>
          <w:color w:val="000000" w:themeColor="text1"/>
        </w:rPr>
        <w:t xml:space="preserve"> </w:t>
      </w:r>
      <w:r w:rsidR="00937B95" w:rsidRPr="00A52AB8">
        <w:rPr>
          <w:color w:val="000000" w:themeColor="text1"/>
        </w:rPr>
        <w:t xml:space="preserve">indicates the identifier of the codec used to compress the attribute video data for </w:t>
      </w:r>
      <w:r w:rsidR="00C31A85" w:rsidRPr="00A52AB8">
        <w:rPr>
          <w:color w:val="000000" w:themeColor="text1"/>
        </w:rPr>
        <w:t>RAW</w:t>
      </w:r>
      <w:r w:rsidR="00937B95" w:rsidRPr="00A52AB8">
        <w:rPr>
          <w:color w:val="000000" w:themeColor="text1"/>
        </w:rPr>
        <w:t xml:space="preserve"> </w:t>
      </w:r>
      <w:r w:rsidR="004A5D0A" w:rsidRPr="00A52AB8">
        <w:rPr>
          <w:color w:val="000000" w:themeColor="text1"/>
        </w:rPr>
        <w:t xml:space="preserve">and/or EOM </w:t>
      </w:r>
      <w:r w:rsidR="00937B95" w:rsidRPr="00A52AB8">
        <w:rPr>
          <w:color w:val="000000" w:themeColor="text1"/>
        </w:rPr>
        <w:t xml:space="preserve">coded points of attribute i, when </w:t>
      </w:r>
      <w:r w:rsidR="00C31A85" w:rsidRPr="00A52AB8">
        <w:rPr>
          <w:color w:val="000000" w:themeColor="text1"/>
        </w:rPr>
        <w:t>RAW</w:t>
      </w:r>
      <w:r w:rsidR="00937B95" w:rsidRPr="00A52AB8">
        <w:rPr>
          <w:color w:val="000000" w:themeColor="text1"/>
        </w:rPr>
        <w:t xml:space="preserve"> </w:t>
      </w:r>
      <w:r w:rsidR="004A5D0A" w:rsidRPr="00A52AB8">
        <w:rPr>
          <w:color w:val="000000" w:themeColor="text1"/>
        </w:rPr>
        <w:t xml:space="preserve">and/or EOM </w:t>
      </w:r>
      <w:r w:rsidR="00937B95" w:rsidRPr="00A52AB8">
        <w:rPr>
          <w:color w:val="000000" w:themeColor="text1"/>
        </w:rPr>
        <w:t>coded points are encoded in a</w:t>
      </w:r>
      <w:r w:rsidR="004A5D0A" w:rsidRPr="00A52AB8">
        <w:rPr>
          <w:color w:val="000000" w:themeColor="text1"/>
        </w:rPr>
        <w:t xml:space="preserve">n auxiliary </w:t>
      </w:r>
      <w:r w:rsidR="00937B95" w:rsidRPr="00A52AB8">
        <w:rPr>
          <w:color w:val="000000" w:themeColor="text1"/>
        </w:rPr>
        <w:t>video stream</w:t>
      </w:r>
      <w:r w:rsidR="005972FA" w:rsidRPr="00A52AB8">
        <w:rPr>
          <w:color w:val="000000" w:themeColor="text1"/>
        </w:rPr>
        <w:t xml:space="preserve"> for the </w:t>
      </w:r>
      <w:r w:rsidR="00C175F4" w:rsidRPr="00A52AB8">
        <w:rPr>
          <w:color w:val="000000" w:themeColor="text1"/>
        </w:rPr>
        <w:t xml:space="preserve">atlas with atlas ID </w:t>
      </w:r>
      <w:r w:rsidR="005972FA" w:rsidRPr="00A52AB8">
        <w:rPr>
          <w:color w:val="000000" w:themeColor="text1"/>
        </w:rPr>
        <w:t>j</w:t>
      </w:r>
      <w:r w:rsidR="00937B95" w:rsidRPr="00A52AB8">
        <w:rPr>
          <w:color w:val="000000" w:themeColor="text1"/>
        </w:rPr>
        <w:t xml:space="preserve">. </w:t>
      </w:r>
      <w:r w:rsidRPr="00A52AB8">
        <w:rPr>
          <w:color w:val="000000" w:themeColor="text1"/>
        </w:rPr>
        <w:lastRenderedPageBreak/>
        <w:t>ai_</w:t>
      </w:r>
      <w:r w:rsidR="004A5D0A" w:rsidRPr="00A52AB8">
        <w:rPr>
          <w:color w:val="000000" w:themeColor="text1"/>
        </w:rPr>
        <w:t>auxiliary</w:t>
      </w:r>
      <w:r w:rsidR="00937B95" w:rsidRPr="00A52AB8">
        <w:rPr>
          <w:color w:val="000000" w:themeColor="text1"/>
        </w:rPr>
        <w:t>_attribute_codec_id</w:t>
      </w:r>
      <w:r w:rsidR="001F4484" w:rsidRPr="00A52AB8">
        <w:rPr>
          <w:color w:val="000000" w:themeColor="text1"/>
        </w:rPr>
        <w:t>[ j ][ i ]</w:t>
      </w:r>
      <w:r w:rsidR="00937B95" w:rsidRPr="00A52AB8">
        <w:rPr>
          <w:color w:val="000000" w:themeColor="text1"/>
        </w:rPr>
        <w:t xml:space="preserve"> shall be in the range of 0 to 255, inclusive. </w:t>
      </w:r>
      <w:r w:rsidR="005972FA" w:rsidRPr="00A52AB8">
        <w:rPr>
          <w:color w:val="000000" w:themeColor="text1"/>
        </w:rPr>
        <w:t xml:space="preserve">This codec may be identified through </w:t>
      </w:r>
      <w:r w:rsidR="00975862" w:rsidRPr="00A52AB8">
        <w:rPr>
          <w:color w:val="000000" w:themeColor="text1"/>
          <w:lang w:eastAsia="ko-KR"/>
        </w:rPr>
        <w:t xml:space="preserve">the profiles defined in </w:t>
      </w:r>
      <w:r w:rsidR="00CC1144" w:rsidRPr="00496A4D">
        <w:rPr>
          <w:color w:val="000000" w:themeColor="text1"/>
          <w:lang w:eastAsia="ko-KR"/>
        </w:rPr>
        <w:fldChar w:fldCharType="begin"/>
      </w:r>
      <w:r w:rsidR="00CC1144" w:rsidRPr="00A52AB8">
        <w:rPr>
          <w:color w:val="000000" w:themeColor="text1"/>
          <w:lang w:eastAsia="ko-KR"/>
        </w:rPr>
        <w:instrText xml:space="preserve"> REF  _Ref38898728 \h \r </w:instrText>
      </w:r>
      <w:r w:rsidR="00CC1144" w:rsidRPr="00496A4D">
        <w:rPr>
          <w:color w:val="000000" w:themeColor="text1"/>
          <w:lang w:eastAsia="ko-KR"/>
        </w:rPr>
      </w:r>
      <w:r w:rsidR="00CC1144" w:rsidRPr="00496A4D">
        <w:rPr>
          <w:color w:val="000000" w:themeColor="text1"/>
          <w:lang w:eastAsia="ko-KR"/>
        </w:rPr>
        <w:fldChar w:fldCharType="separate"/>
      </w:r>
      <w:r w:rsidR="00507A67">
        <w:rPr>
          <w:color w:val="000000" w:themeColor="text1"/>
          <w:lang w:eastAsia="ko-KR"/>
        </w:rPr>
        <w:t>Annex A</w:t>
      </w:r>
      <w:r w:rsidR="00CC1144" w:rsidRPr="00496A4D">
        <w:rPr>
          <w:color w:val="000000" w:themeColor="text1"/>
          <w:lang w:eastAsia="ko-KR"/>
        </w:rPr>
        <w:fldChar w:fldCharType="end"/>
      </w:r>
      <w:r w:rsidR="00975862" w:rsidRPr="00A52AB8">
        <w:rPr>
          <w:color w:val="000000" w:themeColor="text1"/>
          <w:lang w:eastAsia="ko-KR"/>
        </w:rPr>
        <w:t xml:space="preserve">, </w:t>
      </w:r>
      <w:r w:rsidR="005972FA" w:rsidRPr="00A52AB8">
        <w:rPr>
          <w:color w:val="000000" w:themeColor="text1"/>
        </w:rPr>
        <w:t xml:space="preserve">a </w:t>
      </w:r>
      <w:r w:rsidR="007E3313" w:rsidRPr="00A52AB8">
        <w:rPr>
          <w:color w:val="000000" w:themeColor="text1"/>
        </w:rPr>
        <w:t>c</w:t>
      </w:r>
      <w:r w:rsidR="005972FA" w:rsidRPr="00A52AB8">
        <w:rPr>
          <w:color w:val="000000" w:themeColor="text1"/>
        </w:rPr>
        <w:t>omponent codec mapping SEI message</w:t>
      </w:r>
      <w:r w:rsidR="00975862" w:rsidRPr="00A52AB8">
        <w:rPr>
          <w:color w:val="000000" w:themeColor="text1"/>
        </w:rPr>
        <w:t>,</w:t>
      </w:r>
      <w:r w:rsidR="005972FA" w:rsidRPr="00A52AB8">
        <w:rPr>
          <w:color w:val="000000" w:themeColor="text1"/>
        </w:rPr>
        <w:t xml:space="preserve"> or through means outside </w:t>
      </w:r>
      <w:r w:rsidR="001905CC" w:rsidRPr="00A52AB8">
        <w:rPr>
          <w:color w:val="000000" w:themeColor="text1"/>
        </w:rPr>
        <w:t>this document</w:t>
      </w:r>
      <w:r w:rsidR="005972FA" w:rsidRPr="00A52AB8">
        <w:rPr>
          <w:color w:val="000000" w:themeColor="text1"/>
        </w:rPr>
        <w:t>.</w:t>
      </w:r>
      <w:r w:rsidR="007E3313" w:rsidRPr="00A52AB8">
        <w:rPr>
          <w:color w:val="000000" w:themeColor="text1"/>
        </w:rPr>
        <w:t xml:space="preserve"> When not present the value of ai_</w:t>
      </w:r>
      <w:r w:rsidR="004A5D0A" w:rsidRPr="00A52AB8">
        <w:rPr>
          <w:color w:val="000000" w:themeColor="text1"/>
        </w:rPr>
        <w:t>auxiliary</w:t>
      </w:r>
      <w:r w:rsidR="007E3313" w:rsidRPr="00A52AB8">
        <w:rPr>
          <w:color w:val="000000" w:themeColor="text1"/>
        </w:rPr>
        <w:t>_attribute_codec_id</w:t>
      </w:r>
      <w:r w:rsidR="001F4484" w:rsidRPr="00A52AB8">
        <w:rPr>
          <w:color w:val="000000" w:themeColor="text1"/>
        </w:rPr>
        <w:t>[ j ][ i ]</w:t>
      </w:r>
      <w:r w:rsidR="007E3313" w:rsidRPr="00A52AB8">
        <w:rPr>
          <w:color w:val="000000" w:themeColor="text1"/>
        </w:rPr>
        <w:t xml:space="preserve"> </w:t>
      </w:r>
      <w:r w:rsidR="005746E6" w:rsidRPr="00A52AB8">
        <w:rPr>
          <w:bCs/>
          <w:color w:val="000000" w:themeColor="text1"/>
        </w:rPr>
        <w:t xml:space="preserve">is inferred to be </w:t>
      </w:r>
      <w:r w:rsidR="007E3313" w:rsidRPr="00A52AB8">
        <w:rPr>
          <w:color w:val="000000" w:themeColor="text1"/>
        </w:rPr>
        <w:t>equal to ai_attribute_codec_id</w:t>
      </w:r>
      <w:r w:rsidR="001F4484" w:rsidRPr="00A52AB8">
        <w:rPr>
          <w:color w:val="000000" w:themeColor="text1"/>
        </w:rPr>
        <w:t>[ j ][ i ]</w:t>
      </w:r>
      <w:r w:rsidR="007E3313" w:rsidRPr="00A52AB8">
        <w:rPr>
          <w:color w:val="000000" w:themeColor="text1"/>
        </w:rPr>
        <w:t>.</w:t>
      </w:r>
    </w:p>
    <w:p w14:paraId="28E000D9" w14:textId="1561398A" w:rsidR="00127D2A" w:rsidRPr="00A52AB8" w:rsidRDefault="00127D2A" w:rsidP="004F7C57">
      <w:pPr>
        <w:rPr>
          <w:color w:val="000000" w:themeColor="text1"/>
        </w:rPr>
      </w:pPr>
      <w:r w:rsidRPr="00A52AB8">
        <w:rPr>
          <w:b/>
          <w:color w:val="000000" w:themeColor="text1"/>
        </w:rPr>
        <w:t>ai_attribute_map_absolute_coding_</w:t>
      </w:r>
      <w:r w:rsidR="004F7C57" w:rsidRPr="00A52AB8">
        <w:rPr>
          <w:b/>
          <w:color w:val="000000" w:themeColor="text1"/>
        </w:rPr>
        <w:t>persistence</w:t>
      </w:r>
      <w:r w:rsidRPr="00A52AB8">
        <w:rPr>
          <w:b/>
          <w:color w:val="000000" w:themeColor="text1"/>
        </w:rPr>
        <w:t>_flag</w:t>
      </w:r>
      <w:r w:rsidRPr="00A52AB8">
        <w:rPr>
          <w:bCs/>
          <w:color w:val="000000" w:themeColor="text1"/>
        </w:rPr>
        <w:t>[ </w:t>
      </w:r>
      <w:r w:rsidR="0057161E" w:rsidRPr="00A52AB8">
        <w:rPr>
          <w:bCs/>
          <w:color w:val="000000" w:themeColor="text1"/>
        </w:rPr>
        <w:t>j</w:t>
      </w:r>
      <w:r w:rsidRPr="00A52AB8">
        <w:rPr>
          <w:bCs/>
          <w:color w:val="000000" w:themeColor="text1"/>
        </w:rPr>
        <w:t> ]</w:t>
      </w:r>
      <w:r w:rsidR="001F4484" w:rsidRPr="00A52AB8">
        <w:rPr>
          <w:color w:val="000000" w:themeColor="text1"/>
        </w:rPr>
        <w:t>[ </w:t>
      </w:r>
      <w:r w:rsidR="0057161E" w:rsidRPr="00A52AB8">
        <w:rPr>
          <w:color w:val="000000" w:themeColor="text1"/>
        </w:rPr>
        <w:t>i</w:t>
      </w:r>
      <w:r w:rsidR="001F4484" w:rsidRPr="00A52AB8">
        <w:rPr>
          <w:color w:val="000000" w:themeColor="text1"/>
        </w:rPr>
        <w:t> ]</w:t>
      </w:r>
      <w:r w:rsidRPr="00A52AB8">
        <w:rPr>
          <w:bCs/>
          <w:color w:val="000000" w:themeColor="text1"/>
        </w:rPr>
        <w:t xml:space="preserve"> </w:t>
      </w:r>
      <w:r w:rsidRPr="00A52AB8">
        <w:rPr>
          <w:color w:val="000000" w:themeColor="text1"/>
        </w:rPr>
        <w:t xml:space="preserve">equal to 1 indicates that </w:t>
      </w:r>
      <w:r w:rsidR="00522DC3" w:rsidRPr="00A52AB8">
        <w:rPr>
          <w:color w:val="000000" w:themeColor="text1"/>
        </w:rPr>
        <w:t>all attribute maps</w:t>
      </w:r>
      <w:r w:rsidRPr="00A52AB8">
        <w:rPr>
          <w:color w:val="000000" w:themeColor="text1"/>
        </w:rPr>
        <w:t xml:space="preserve">, for the attribute with index </w:t>
      </w:r>
      <w:r w:rsidR="00C83340" w:rsidRPr="00A52AB8">
        <w:rPr>
          <w:color w:val="000000" w:themeColor="text1"/>
        </w:rPr>
        <w:t>i</w:t>
      </w:r>
      <w:r w:rsidRPr="00A52AB8">
        <w:rPr>
          <w:color w:val="000000" w:themeColor="text1"/>
        </w:rPr>
        <w:t xml:space="preserve">, that correspond to the </w:t>
      </w:r>
      <w:r w:rsidR="00C175F4" w:rsidRPr="00A52AB8">
        <w:rPr>
          <w:color w:val="000000" w:themeColor="text1"/>
        </w:rPr>
        <w:t xml:space="preserve">atlas with atlas ID </w:t>
      </w:r>
      <w:r w:rsidR="00C83340" w:rsidRPr="00A52AB8">
        <w:rPr>
          <w:color w:val="000000" w:themeColor="text1"/>
        </w:rPr>
        <w:t>j</w:t>
      </w:r>
      <w:r w:rsidR="00E3145D" w:rsidRPr="00A52AB8">
        <w:rPr>
          <w:color w:val="000000" w:themeColor="text1"/>
        </w:rPr>
        <w:t>,</w:t>
      </w:r>
      <w:r w:rsidRPr="00A52AB8">
        <w:rPr>
          <w:color w:val="000000" w:themeColor="text1"/>
        </w:rPr>
        <w:t xml:space="preserve"> </w:t>
      </w:r>
      <w:r w:rsidR="00522DC3" w:rsidRPr="00A52AB8">
        <w:rPr>
          <w:color w:val="000000" w:themeColor="text1"/>
        </w:rPr>
        <w:t xml:space="preserve">are </w:t>
      </w:r>
      <w:r w:rsidRPr="00A52AB8">
        <w:rPr>
          <w:color w:val="000000" w:themeColor="text1"/>
        </w:rPr>
        <w:t xml:space="preserve">coded without any form of map prediction. </w:t>
      </w:r>
      <w:r w:rsidR="00522DC3" w:rsidRPr="00A52AB8">
        <w:rPr>
          <w:rFonts w:cs="Calibri"/>
          <w:bCs/>
        </w:rPr>
        <w:t>ai_attribute_map_absolute_coding_</w:t>
      </w:r>
      <w:r w:rsidR="00522DC3" w:rsidRPr="00A52AB8">
        <w:rPr>
          <w:rFonts w:cs="Calibri"/>
        </w:rPr>
        <w:t>persistence</w:t>
      </w:r>
      <w:r w:rsidR="00522DC3" w:rsidRPr="00A52AB8">
        <w:rPr>
          <w:rFonts w:cs="Calibri"/>
          <w:bCs/>
        </w:rPr>
        <w:t>_flag[ </w:t>
      </w:r>
      <w:r w:rsidR="00C83340" w:rsidRPr="00A52AB8">
        <w:rPr>
          <w:rFonts w:cs="Calibri"/>
          <w:bCs/>
        </w:rPr>
        <w:t>j</w:t>
      </w:r>
      <w:r w:rsidR="00522DC3" w:rsidRPr="00A52AB8">
        <w:rPr>
          <w:rFonts w:cs="Calibri"/>
          <w:bCs/>
        </w:rPr>
        <w:t> ]</w:t>
      </w:r>
      <w:r w:rsidR="001F4484" w:rsidRPr="00A52AB8">
        <w:rPr>
          <w:rFonts w:cs="Calibri"/>
          <w:bCs/>
        </w:rPr>
        <w:t>[ </w:t>
      </w:r>
      <w:r w:rsidR="00C83340" w:rsidRPr="00A52AB8">
        <w:rPr>
          <w:rFonts w:cs="Calibri"/>
          <w:bCs/>
        </w:rPr>
        <w:t>i</w:t>
      </w:r>
      <w:r w:rsidR="001F4484" w:rsidRPr="00A52AB8">
        <w:rPr>
          <w:rFonts w:cs="Calibri"/>
          <w:bCs/>
        </w:rPr>
        <w:t> ]</w:t>
      </w:r>
      <w:r w:rsidR="00522DC3" w:rsidRPr="00A52AB8">
        <w:rPr>
          <w:rFonts w:cs="Calibri"/>
          <w:bCs/>
        </w:rPr>
        <w:t xml:space="preserve"> </w:t>
      </w:r>
      <w:r w:rsidR="00522DC3" w:rsidRPr="00A52AB8">
        <w:rPr>
          <w:rFonts w:cs="Calibri"/>
        </w:rPr>
        <w:t xml:space="preserve">equal to 0 indicates that the attribute maps of the attribute with index </w:t>
      </w:r>
      <w:r w:rsidR="00C83340" w:rsidRPr="00A52AB8">
        <w:rPr>
          <w:rFonts w:cs="Calibri"/>
        </w:rPr>
        <w:t>i</w:t>
      </w:r>
      <w:r w:rsidR="00522DC3" w:rsidRPr="00A52AB8">
        <w:rPr>
          <w:rFonts w:cs="Calibri"/>
        </w:rPr>
        <w:t xml:space="preserve">, that correspond to the </w:t>
      </w:r>
      <w:r w:rsidR="00C175F4" w:rsidRPr="00A52AB8">
        <w:rPr>
          <w:rFonts w:cs="Calibri"/>
        </w:rPr>
        <w:t xml:space="preserve">atlas with atlas ID </w:t>
      </w:r>
      <w:r w:rsidR="00C83340" w:rsidRPr="00A52AB8">
        <w:rPr>
          <w:rFonts w:cs="Calibri"/>
        </w:rPr>
        <w:t>j</w:t>
      </w:r>
      <w:r w:rsidR="00522DC3" w:rsidRPr="00A52AB8">
        <w:rPr>
          <w:rFonts w:cs="Calibri"/>
        </w:rPr>
        <w:t xml:space="preserve">, </w:t>
      </w:r>
      <w:r w:rsidR="00BB41F3" w:rsidRPr="00A52AB8">
        <w:rPr>
          <w:rFonts w:cs="Calibri"/>
        </w:rPr>
        <w:t xml:space="preserve">shall </w:t>
      </w:r>
      <w:r w:rsidR="00522DC3" w:rsidRPr="00A52AB8">
        <w:rPr>
          <w:rFonts w:cs="Calibri"/>
        </w:rPr>
        <w:t xml:space="preserve">use the same map prediction method as used for the geometry </w:t>
      </w:r>
      <w:r w:rsidR="00C175F4" w:rsidRPr="00A52AB8">
        <w:rPr>
          <w:rFonts w:cs="Calibri"/>
        </w:rPr>
        <w:t xml:space="preserve">component </w:t>
      </w:r>
      <w:r w:rsidR="00522DC3" w:rsidRPr="00A52AB8">
        <w:rPr>
          <w:rFonts w:cs="Calibri"/>
        </w:rPr>
        <w:t xml:space="preserve">of </w:t>
      </w:r>
      <w:r w:rsidR="00C175F4" w:rsidRPr="00A52AB8">
        <w:rPr>
          <w:rFonts w:cs="Calibri"/>
        </w:rPr>
        <w:t xml:space="preserve">the atlas with atlas ID </w:t>
      </w:r>
      <w:r w:rsidR="00CC46CB" w:rsidRPr="00A52AB8">
        <w:rPr>
          <w:rFonts w:cs="Calibri"/>
        </w:rPr>
        <w:t>j</w:t>
      </w:r>
      <w:r w:rsidR="00522DC3" w:rsidRPr="00A52AB8">
        <w:rPr>
          <w:rFonts w:cs="Calibri"/>
        </w:rPr>
        <w:t>. If ai_</w:t>
      </w:r>
      <w:r w:rsidR="00522DC3" w:rsidRPr="00A52AB8">
        <w:rPr>
          <w:rFonts w:cs="Calibri"/>
          <w:bCs/>
        </w:rPr>
        <w:t>attribute_map_absolute_coding_</w:t>
      </w:r>
      <w:r w:rsidR="00522DC3" w:rsidRPr="00A52AB8">
        <w:rPr>
          <w:rFonts w:cs="Calibri"/>
        </w:rPr>
        <w:t>persistence</w:t>
      </w:r>
      <w:r w:rsidR="00522DC3" w:rsidRPr="00A52AB8">
        <w:rPr>
          <w:rFonts w:cs="Calibri"/>
          <w:bCs/>
        </w:rPr>
        <w:t>_flag[ </w:t>
      </w:r>
      <w:r w:rsidR="00CC46CB" w:rsidRPr="00A52AB8">
        <w:rPr>
          <w:rFonts w:cs="Calibri"/>
          <w:bCs/>
        </w:rPr>
        <w:t>j</w:t>
      </w:r>
      <w:r w:rsidR="00522DC3" w:rsidRPr="00A52AB8">
        <w:rPr>
          <w:rFonts w:cs="Calibri"/>
          <w:bCs/>
        </w:rPr>
        <w:t> ]</w:t>
      </w:r>
      <w:r w:rsidR="001F4484" w:rsidRPr="00A52AB8">
        <w:rPr>
          <w:rFonts w:cs="Calibri"/>
          <w:bCs/>
        </w:rPr>
        <w:t>[ </w:t>
      </w:r>
      <w:r w:rsidR="00CC46CB" w:rsidRPr="00A52AB8">
        <w:rPr>
          <w:rFonts w:cs="Calibri"/>
          <w:bCs/>
        </w:rPr>
        <w:t>i</w:t>
      </w:r>
      <w:r w:rsidR="001F4484" w:rsidRPr="00A52AB8">
        <w:rPr>
          <w:rFonts w:cs="Calibri"/>
          <w:bCs/>
        </w:rPr>
        <w:t> ]</w:t>
      </w:r>
      <w:r w:rsidR="00522DC3" w:rsidRPr="00A52AB8">
        <w:rPr>
          <w:rFonts w:cs="Calibri"/>
        </w:rPr>
        <w:t xml:space="preserve"> is not present, its value shall be inferred to be equal to 1</w:t>
      </w:r>
      <w:r w:rsidRPr="00A52AB8">
        <w:rPr>
          <w:color w:val="000000" w:themeColor="text1"/>
        </w:rPr>
        <w:t>.</w:t>
      </w:r>
    </w:p>
    <w:p w14:paraId="348D4DBD" w14:textId="01FE3162" w:rsidR="00522DC3" w:rsidRPr="00A52AB8" w:rsidRDefault="00C05CC3" w:rsidP="00522DC3">
      <w:pPr>
        <w:rPr>
          <w:rFonts w:eastAsia="MS PGothic" w:cs="Calibri"/>
          <w:lang w:eastAsia="ja-JP"/>
        </w:rPr>
      </w:pPr>
      <w:r w:rsidRPr="00A52AB8">
        <w:rPr>
          <w:rFonts w:cs="Calibri"/>
        </w:rPr>
        <w:t>T</w:t>
      </w:r>
      <w:r w:rsidR="00522DC3" w:rsidRPr="00A52AB8">
        <w:rPr>
          <w:rFonts w:cs="Calibri"/>
        </w:rPr>
        <w:t xml:space="preserve">he </w:t>
      </w:r>
      <w:r w:rsidRPr="00A52AB8">
        <w:rPr>
          <w:rFonts w:cs="Calibri"/>
        </w:rPr>
        <w:t>3D array</w:t>
      </w:r>
      <w:r w:rsidR="00522DC3" w:rsidRPr="00A52AB8">
        <w:rPr>
          <w:rFonts w:cs="Calibri"/>
        </w:rPr>
        <w:t xml:space="preserve"> AttributeMapAbsoluteCodingEnabledFlag</w:t>
      </w:r>
      <w:r w:rsidRPr="00A52AB8">
        <w:rPr>
          <w:rFonts w:cs="Calibri"/>
        </w:rPr>
        <w:t>,</w:t>
      </w:r>
      <w:r w:rsidR="00522DC3" w:rsidRPr="00A52AB8">
        <w:rPr>
          <w:rFonts w:cs="Calibri"/>
        </w:rPr>
        <w:t xml:space="preserve"> </w:t>
      </w:r>
      <w:r w:rsidRPr="00A52AB8">
        <w:rPr>
          <w:rFonts w:cs="Calibri"/>
        </w:rPr>
        <w:t xml:space="preserve">which </w:t>
      </w:r>
      <w:r w:rsidR="00522DC3" w:rsidRPr="00A52AB8">
        <w:rPr>
          <w:rFonts w:cs="Calibri"/>
        </w:rPr>
        <w:t xml:space="preserve">indicates if a particular map of </w:t>
      </w:r>
      <w:r w:rsidRPr="00A52AB8">
        <w:rPr>
          <w:rFonts w:cs="Calibri"/>
        </w:rPr>
        <w:t>an</w:t>
      </w:r>
      <w:r w:rsidR="00522DC3" w:rsidRPr="00A52AB8">
        <w:rPr>
          <w:rFonts w:cs="Calibri"/>
        </w:rPr>
        <w:t xml:space="preserve"> attribute is to be coded </w:t>
      </w:r>
      <w:r w:rsidRPr="00A52AB8">
        <w:rPr>
          <w:rFonts w:cs="Calibri"/>
        </w:rPr>
        <w:t>with or without</w:t>
      </w:r>
      <w:r w:rsidR="00522DC3" w:rsidRPr="00A52AB8">
        <w:rPr>
          <w:rFonts w:cs="Calibri"/>
        </w:rPr>
        <w:t xml:space="preserve"> prediction</w:t>
      </w:r>
      <w:r w:rsidRPr="00A52AB8">
        <w:rPr>
          <w:rFonts w:cs="Calibri"/>
        </w:rPr>
        <w:t xml:space="preserve">, </w:t>
      </w:r>
      <w:r w:rsidR="00522DC3" w:rsidRPr="00A52AB8">
        <w:rPr>
          <w:rFonts w:cs="Calibri"/>
        </w:rPr>
        <w:t xml:space="preserve">is obtained </w:t>
      </w:r>
      <w:r w:rsidRPr="00A52AB8">
        <w:rPr>
          <w:rFonts w:cs="Calibri"/>
        </w:rPr>
        <w:t>as follows</w:t>
      </w:r>
      <w:r w:rsidR="00522DC3" w:rsidRPr="00A52AB8">
        <w:rPr>
          <w:rFonts w:cs="Calibri"/>
        </w:rPr>
        <w:t>:</w:t>
      </w:r>
    </w:p>
    <w:p w14:paraId="32345BAC" w14:textId="629B4C30" w:rsidR="005A7363" w:rsidRPr="00A52AB8" w:rsidRDefault="005A7363" w:rsidP="00007BE2">
      <w:pPr>
        <w:spacing w:line="240" w:lineRule="auto"/>
      </w:pPr>
      <w:r w:rsidRPr="00A52AB8">
        <w:rPr>
          <w:rFonts w:cs="Calibri"/>
        </w:rPr>
        <w:tab/>
      </w:r>
      <w:r w:rsidR="00522DC3" w:rsidRPr="00A52AB8">
        <w:rPr>
          <w:rFonts w:cs="Calibri"/>
        </w:rPr>
        <w:t>if( ai_attribute_map_absolute_coding_persistance_flag[ </w:t>
      </w:r>
      <w:r w:rsidR="00CC46CB" w:rsidRPr="00A52AB8">
        <w:rPr>
          <w:rFonts w:cs="Calibri"/>
        </w:rPr>
        <w:t>j </w:t>
      </w:r>
      <w:r w:rsidR="00522DC3" w:rsidRPr="00A52AB8">
        <w:rPr>
          <w:rFonts w:cs="Calibri"/>
        </w:rPr>
        <w:t>]</w:t>
      </w:r>
      <w:r w:rsidR="001F4484" w:rsidRPr="00A52AB8">
        <w:rPr>
          <w:rFonts w:cs="Calibri"/>
        </w:rPr>
        <w:t>[ i ]</w:t>
      </w:r>
      <w:r w:rsidR="008768E9" w:rsidRPr="00A52AB8">
        <w:rPr>
          <w:rFonts w:cs="Calibri"/>
        </w:rPr>
        <w:t> </w:t>
      </w:r>
      <w:r w:rsidR="00726AAE" w:rsidRPr="00A52AB8">
        <w:rPr>
          <w:rFonts w:cs="Calibri"/>
        </w:rPr>
        <w:t>==</w:t>
      </w:r>
      <w:r w:rsidR="00D47707" w:rsidRPr="00A52AB8">
        <w:rPr>
          <w:rFonts w:cs="Calibri"/>
        </w:rPr>
        <w:t> </w:t>
      </w:r>
      <w:r w:rsidR="00522DC3" w:rsidRPr="00A52AB8">
        <w:rPr>
          <w:rFonts w:cs="Calibri"/>
        </w:rPr>
        <w:t>1</w:t>
      </w:r>
      <w:r w:rsidR="008F1F82" w:rsidRPr="00A52AB8">
        <w:rPr>
          <w:rFonts w:cs="Calibri"/>
        </w:rPr>
        <w:t>) {</w:t>
      </w:r>
      <w:r w:rsidR="00F03B63" w:rsidRPr="00A52AB8">
        <w:rPr>
          <w:rFonts w:cs="Calibri"/>
        </w:rPr>
        <w:br/>
      </w:r>
      <w:r w:rsidR="00522DC3" w:rsidRPr="00A52AB8">
        <w:rPr>
          <w:rStyle w:val="apple-tab-span"/>
          <w:rFonts w:cs="Calibri"/>
        </w:rPr>
        <w:tab/>
      </w:r>
      <w:r w:rsidRPr="00A52AB8">
        <w:rPr>
          <w:rStyle w:val="apple-tab-span"/>
          <w:rFonts w:cs="Calibri"/>
        </w:rPr>
        <w:tab/>
      </w:r>
      <w:r w:rsidR="00522DC3" w:rsidRPr="00A52AB8">
        <w:rPr>
          <w:rFonts w:cs="Calibri"/>
        </w:rPr>
        <w:t>for( </w:t>
      </w:r>
      <w:r w:rsidR="00CC46CB" w:rsidRPr="00A52AB8">
        <w:rPr>
          <w:rFonts w:cs="Calibri"/>
        </w:rPr>
        <w:t>k</w:t>
      </w:r>
      <w:r w:rsidR="00D47707" w:rsidRPr="00A52AB8">
        <w:rPr>
          <w:rFonts w:cs="Calibri"/>
        </w:rPr>
        <w:t> = </w:t>
      </w:r>
      <w:r w:rsidR="00522DC3" w:rsidRPr="00A52AB8">
        <w:rPr>
          <w:rFonts w:cs="Calibri"/>
        </w:rPr>
        <w:t>0; </w:t>
      </w:r>
      <w:r w:rsidR="00CC46CB" w:rsidRPr="00A52AB8">
        <w:rPr>
          <w:rFonts w:cs="Calibri"/>
        </w:rPr>
        <w:t>k</w:t>
      </w:r>
      <w:r w:rsidR="00522DC3" w:rsidRPr="00A52AB8">
        <w:rPr>
          <w:rFonts w:cs="Calibri"/>
        </w:rPr>
        <w:t> &lt; vps_map_count_minus1[ </w:t>
      </w:r>
      <w:r w:rsidR="00CC46CB" w:rsidRPr="00A52AB8">
        <w:rPr>
          <w:rFonts w:cs="Calibri"/>
        </w:rPr>
        <w:t>j </w:t>
      </w:r>
      <w:r w:rsidR="00522DC3" w:rsidRPr="00A52AB8">
        <w:rPr>
          <w:rFonts w:cs="Calibri"/>
        </w:rPr>
        <w:t>]; </w:t>
      </w:r>
      <w:r w:rsidR="00CC46CB" w:rsidRPr="00A52AB8">
        <w:rPr>
          <w:rFonts w:cs="Calibri"/>
        </w:rPr>
        <w:t>k</w:t>
      </w:r>
      <w:r w:rsidR="00006CCF" w:rsidRPr="00A52AB8">
        <w:rPr>
          <w:rFonts w:cs="Calibri"/>
        </w:rPr>
        <w:t>++ )</w:t>
      </w:r>
      <w:r w:rsidR="00F03B63" w:rsidRPr="00A52AB8">
        <w:rPr>
          <w:rFonts w:cs="Calibri"/>
        </w:rPr>
        <w:br/>
      </w:r>
      <w:r w:rsidR="00522DC3" w:rsidRPr="00A52AB8">
        <w:rPr>
          <w:rStyle w:val="apple-tab-span"/>
          <w:rFonts w:cs="Calibri"/>
        </w:rPr>
        <w:tab/>
      </w:r>
      <w:r w:rsidRPr="00A52AB8">
        <w:rPr>
          <w:rStyle w:val="apple-tab-span"/>
          <w:rFonts w:cs="Calibri"/>
        </w:rPr>
        <w:tab/>
      </w:r>
      <w:r w:rsidR="00522DC3" w:rsidRPr="00A52AB8">
        <w:rPr>
          <w:rStyle w:val="apple-tab-span"/>
          <w:rFonts w:cs="Calibri"/>
        </w:rPr>
        <w:tab/>
      </w:r>
      <w:r w:rsidR="00522DC3" w:rsidRPr="00A52AB8">
        <w:rPr>
          <w:rFonts w:cs="Calibri"/>
        </w:rPr>
        <w:t>AttributeMapAbsoluteCodingEnabledFlag[</w:t>
      </w:r>
      <w:r w:rsidR="00C05CC3" w:rsidRPr="00A52AB8">
        <w:rPr>
          <w:rFonts w:cs="Calibri"/>
        </w:rPr>
        <w:t> </w:t>
      </w:r>
      <w:r w:rsidR="00CC46CB" w:rsidRPr="00A52AB8">
        <w:rPr>
          <w:rFonts w:cs="Calibri"/>
        </w:rPr>
        <w:t>j </w:t>
      </w:r>
      <w:r w:rsidR="00522DC3" w:rsidRPr="00A52AB8">
        <w:rPr>
          <w:rFonts w:cs="Calibri"/>
        </w:rPr>
        <w:t>]</w:t>
      </w:r>
      <w:r w:rsidR="001F4484" w:rsidRPr="00A52AB8">
        <w:rPr>
          <w:rFonts w:cs="Calibri"/>
        </w:rPr>
        <w:t>[ i ]</w:t>
      </w:r>
      <w:r w:rsidR="004B7314" w:rsidRPr="00A52AB8">
        <w:rPr>
          <w:rFonts w:cs="Calibri"/>
        </w:rPr>
        <w:t>[ k ]</w:t>
      </w:r>
      <w:r w:rsidR="00D47707" w:rsidRPr="00A52AB8">
        <w:rPr>
          <w:rFonts w:cs="Calibri"/>
        </w:rPr>
        <w:t> = </w:t>
      </w:r>
      <w:r w:rsidR="00522DC3" w:rsidRPr="00A52AB8">
        <w:rPr>
          <w:rFonts w:cs="Calibri"/>
        </w:rPr>
        <w:t>1</w:t>
      </w:r>
      <w:r w:rsidR="00F03B63" w:rsidRPr="00A52AB8">
        <w:rPr>
          <w:rFonts w:cs="Calibri"/>
        </w:rPr>
        <w:br/>
      </w:r>
      <w:r w:rsidRPr="00A52AB8">
        <w:tab/>
      </w:r>
      <w:r w:rsidR="00522DC3" w:rsidRPr="00A52AB8">
        <w:t>}</w:t>
      </w:r>
      <w:r w:rsidR="00F03B63" w:rsidRPr="00A52AB8">
        <w:br/>
      </w:r>
      <w:r w:rsidRPr="00A52AB8">
        <w:tab/>
      </w:r>
      <w:r w:rsidR="00522DC3" w:rsidRPr="00A52AB8">
        <w:t>else{</w:t>
      </w:r>
      <w:r w:rsidR="00F03B63" w:rsidRPr="00A52AB8">
        <w:br/>
      </w:r>
      <w:r w:rsidRPr="00A52AB8">
        <w:rPr>
          <w:rStyle w:val="apple-tab-span"/>
        </w:rPr>
        <w:tab/>
      </w:r>
      <w:r w:rsidR="00522DC3" w:rsidRPr="00A52AB8">
        <w:rPr>
          <w:rStyle w:val="apple-tab-span"/>
        </w:rPr>
        <w:tab/>
      </w:r>
      <w:r w:rsidR="00522DC3" w:rsidRPr="00A52AB8">
        <w:t>for(</w:t>
      </w:r>
      <w:r w:rsidR="00C05CC3" w:rsidRPr="00A52AB8">
        <w:rPr>
          <w:rFonts w:cs="Calibri"/>
        </w:rPr>
        <w:t> </w:t>
      </w:r>
      <w:r w:rsidR="00245BAD" w:rsidRPr="00A52AB8">
        <w:t>k</w:t>
      </w:r>
      <w:r w:rsidR="00D47707" w:rsidRPr="00A52AB8">
        <w:t> = </w:t>
      </w:r>
      <w:r w:rsidR="00522DC3" w:rsidRPr="00A52AB8">
        <w:t>0;</w:t>
      </w:r>
      <w:r w:rsidR="00C05CC3" w:rsidRPr="00A52AB8">
        <w:rPr>
          <w:rFonts w:cs="Calibri"/>
        </w:rPr>
        <w:t> </w:t>
      </w:r>
      <w:r w:rsidR="00245BAD" w:rsidRPr="00A52AB8">
        <w:t>k</w:t>
      </w:r>
      <w:r w:rsidR="00C05CC3" w:rsidRPr="00A52AB8">
        <w:rPr>
          <w:rFonts w:cs="Calibri"/>
        </w:rPr>
        <w:t> </w:t>
      </w:r>
      <w:r w:rsidR="00522DC3" w:rsidRPr="00A52AB8">
        <w:t>&lt;</w:t>
      </w:r>
      <w:r w:rsidR="00C05CC3" w:rsidRPr="00A52AB8">
        <w:rPr>
          <w:rFonts w:cs="Calibri"/>
        </w:rPr>
        <w:t> </w:t>
      </w:r>
      <w:r w:rsidR="00522DC3" w:rsidRPr="00A52AB8">
        <w:t>vps_map_count_minus1[</w:t>
      </w:r>
      <w:r w:rsidR="00C05CC3" w:rsidRPr="00A52AB8">
        <w:rPr>
          <w:rFonts w:cs="Calibri"/>
        </w:rPr>
        <w:t> </w:t>
      </w:r>
      <w:r w:rsidR="00EB19B1" w:rsidRPr="00A52AB8">
        <w:t>j</w:t>
      </w:r>
      <w:r w:rsidR="00EB19B1" w:rsidRPr="00A52AB8">
        <w:rPr>
          <w:rFonts w:cs="Calibri"/>
        </w:rPr>
        <w:t> </w:t>
      </w:r>
      <w:r w:rsidR="00522DC3" w:rsidRPr="00A52AB8">
        <w:t>];</w:t>
      </w:r>
      <w:r w:rsidR="00C05CC3" w:rsidRPr="00A52AB8">
        <w:rPr>
          <w:rFonts w:cs="Calibri"/>
        </w:rPr>
        <w:t> </w:t>
      </w:r>
      <w:r w:rsidR="00245BAD" w:rsidRPr="00A52AB8">
        <w:t>k</w:t>
      </w:r>
      <w:r w:rsidR="00006CCF" w:rsidRPr="00A52AB8">
        <w:t>++ )</w:t>
      </w:r>
      <w:r w:rsidR="00F03B63" w:rsidRPr="00A52AB8">
        <w:br/>
      </w:r>
      <w:r w:rsidRPr="00A52AB8">
        <w:rPr>
          <w:rStyle w:val="apple-tab-span"/>
        </w:rPr>
        <w:tab/>
      </w:r>
      <w:r w:rsidR="00522DC3" w:rsidRPr="00A52AB8">
        <w:rPr>
          <w:rStyle w:val="apple-tab-span"/>
        </w:rPr>
        <w:tab/>
      </w:r>
      <w:r w:rsidR="00C05CC3" w:rsidRPr="00A52AB8">
        <w:rPr>
          <w:rStyle w:val="apple-tab-span"/>
        </w:rPr>
        <w:tab/>
      </w:r>
      <w:r w:rsidR="00522DC3" w:rsidRPr="00A52AB8">
        <w:t>AttributeMapAbsoluteCodingEnabledFlag[</w:t>
      </w:r>
      <w:r w:rsidR="00C05CC3" w:rsidRPr="00A52AB8">
        <w:rPr>
          <w:rFonts w:cs="Calibri"/>
        </w:rPr>
        <w:t> </w:t>
      </w:r>
      <w:r w:rsidR="00EB19B1" w:rsidRPr="00A52AB8">
        <w:t>j</w:t>
      </w:r>
      <w:r w:rsidR="00EB19B1" w:rsidRPr="00A52AB8">
        <w:rPr>
          <w:rFonts w:cs="Calibri"/>
        </w:rPr>
        <w:t> </w:t>
      </w:r>
      <w:r w:rsidR="00522DC3" w:rsidRPr="00A52AB8">
        <w:t>]</w:t>
      </w:r>
      <w:r w:rsidR="001F4484" w:rsidRPr="00A52AB8">
        <w:t>[ i ]</w:t>
      </w:r>
      <w:r w:rsidR="004B7314" w:rsidRPr="00A52AB8">
        <w:t>[ k ]</w:t>
      </w:r>
      <w:r w:rsidR="00C05CC3" w:rsidRPr="00A52AB8">
        <w:rPr>
          <w:rFonts w:cs="Calibri"/>
        </w:rPr>
        <w:t> </w:t>
      </w:r>
      <w:r w:rsidR="00522DC3" w:rsidRPr="00A52AB8">
        <w:t>=</w:t>
      </w:r>
      <w:r w:rsidR="00C61E38" w:rsidRPr="00A52AB8">
        <w:rPr>
          <w:rFonts w:cs="Calibri"/>
        </w:rPr>
        <w:br/>
      </w:r>
      <w:r w:rsidRPr="00A52AB8">
        <w:rPr>
          <w:rFonts w:cs="Calibri"/>
        </w:rPr>
        <w:tab/>
      </w:r>
      <w:r w:rsidR="00C05CC3" w:rsidRPr="00A52AB8">
        <w:rPr>
          <w:rFonts w:cs="Calibri"/>
        </w:rPr>
        <w:tab/>
      </w:r>
      <w:r w:rsidR="00C05CC3" w:rsidRPr="00A52AB8">
        <w:rPr>
          <w:rFonts w:cs="Calibri"/>
        </w:rPr>
        <w:tab/>
      </w:r>
      <w:r w:rsidR="00C05CC3" w:rsidRPr="00A52AB8">
        <w:rPr>
          <w:rFonts w:cs="Calibri"/>
        </w:rPr>
        <w:tab/>
      </w:r>
      <w:r w:rsidR="00C05CC3" w:rsidRPr="00A52AB8">
        <w:rPr>
          <w:rFonts w:cs="Calibri"/>
        </w:rPr>
        <w:tab/>
      </w:r>
      <w:r w:rsidR="00C05CC3" w:rsidRPr="00A52AB8">
        <w:rPr>
          <w:rFonts w:cs="Calibri"/>
        </w:rPr>
        <w:tab/>
      </w:r>
      <w:r w:rsidR="00C05CC3" w:rsidRPr="00A52AB8">
        <w:rPr>
          <w:rFonts w:cs="Calibri"/>
        </w:rPr>
        <w:tab/>
      </w:r>
      <w:r w:rsidR="00C05CC3" w:rsidRPr="00A52AB8">
        <w:rPr>
          <w:rFonts w:cs="Calibri"/>
        </w:rPr>
        <w:tab/>
      </w:r>
      <w:r w:rsidR="00522DC3" w:rsidRPr="00A52AB8">
        <w:t>vps_map_absolute_coding_enabled_flag[</w:t>
      </w:r>
      <w:r w:rsidR="00C05CC3" w:rsidRPr="00A52AB8">
        <w:rPr>
          <w:rFonts w:cs="Calibri"/>
        </w:rPr>
        <w:t> </w:t>
      </w:r>
      <w:r w:rsidR="00EB19B1" w:rsidRPr="00A52AB8">
        <w:t>j</w:t>
      </w:r>
      <w:r w:rsidR="00EB19B1" w:rsidRPr="00A52AB8">
        <w:rPr>
          <w:rFonts w:cs="Calibri"/>
        </w:rPr>
        <w:t> </w:t>
      </w:r>
      <w:r w:rsidR="00522DC3" w:rsidRPr="00A52AB8">
        <w:t>]</w:t>
      </w:r>
      <w:r w:rsidR="001F4484" w:rsidRPr="00A52AB8">
        <w:t>[ </w:t>
      </w:r>
      <w:r w:rsidR="00EB19B1" w:rsidRPr="00A52AB8">
        <w:t>i</w:t>
      </w:r>
      <w:r w:rsidR="001F4484" w:rsidRPr="00A52AB8">
        <w:t> ]</w:t>
      </w:r>
      <w:r w:rsidR="00F03B63" w:rsidRPr="00A52AB8">
        <w:br/>
      </w:r>
      <w:r w:rsidRPr="00A52AB8">
        <w:tab/>
      </w:r>
      <w:r w:rsidR="00522DC3" w:rsidRPr="00A52AB8">
        <w:t>}</w:t>
      </w:r>
    </w:p>
    <w:p w14:paraId="1BE362A2" w14:textId="69BD0D5F" w:rsidR="00397AAE" w:rsidRPr="00A52AB8" w:rsidRDefault="000F532C" w:rsidP="007656E5">
      <w:pPr>
        <w:rPr>
          <w:color w:val="000000" w:themeColor="text1"/>
        </w:rPr>
      </w:pPr>
      <w:r w:rsidRPr="00A52AB8">
        <w:rPr>
          <w:b/>
          <w:bCs/>
          <w:color w:val="000000" w:themeColor="text1"/>
        </w:rPr>
        <w:t>ai_</w:t>
      </w:r>
      <w:r w:rsidR="00397AAE" w:rsidRPr="00A52AB8">
        <w:rPr>
          <w:b/>
          <w:bCs/>
          <w:color w:val="000000" w:themeColor="text1"/>
        </w:rPr>
        <w:t>attribute_dimension_minus1</w:t>
      </w:r>
      <w:r w:rsidR="001F4484" w:rsidRPr="00A52AB8">
        <w:rPr>
          <w:color w:val="000000" w:themeColor="text1"/>
        </w:rPr>
        <w:t>[ j ]</w:t>
      </w:r>
      <w:r w:rsidR="001F4484" w:rsidRPr="00A52AB8">
        <w:rPr>
          <w:bCs/>
          <w:color w:val="000000" w:themeColor="text1"/>
        </w:rPr>
        <w:t>[ i ]</w:t>
      </w:r>
      <w:r w:rsidR="00397AAE" w:rsidRPr="00A52AB8">
        <w:rPr>
          <w:bCs/>
          <w:color w:val="000000" w:themeColor="text1"/>
        </w:rPr>
        <w:t xml:space="preserve"> plus 1 indicates the </w:t>
      </w:r>
      <w:r w:rsidR="004A71BD" w:rsidRPr="00A52AB8">
        <w:rPr>
          <w:bCs/>
          <w:color w:val="000000" w:themeColor="text1"/>
        </w:rPr>
        <w:t xml:space="preserve">total number of </w:t>
      </w:r>
      <w:r w:rsidR="00397AAE" w:rsidRPr="00A52AB8">
        <w:rPr>
          <w:bCs/>
          <w:color w:val="000000" w:themeColor="text1"/>
        </w:rPr>
        <w:t>dimension</w:t>
      </w:r>
      <w:r w:rsidR="004A71BD" w:rsidRPr="00A52AB8">
        <w:rPr>
          <w:bCs/>
          <w:color w:val="000000" w:themeColor="text1"/>
        </w:rPr>
        <w:t>s</w:t>
      </w:r>
      <w:r w:rsidR="00397AAE" w:rsidRPr="00A52AB8">
        <w:rPr>
          <w:bCs/>
          <w:color w:val="000000" w:themeColor="text1"/>
        </w:rPr>
        <w:t xml:space="preserve"> (i.e., number of channels) of the attribute with index i</w:t>
      </w:r>
      <w:r w:rsidR="00BC3C3F" w:rsidRPr="00A52AB8">
        <w:rPr>
          <w:bCs/>
          <w:color w:val="000000" w:themeColor="text1"/>
        </w:rPr>
        <w:t>,</w:t>
      </w:r>
      <w:r w:rsidR="005972FA" w:rsidRPr="00A52AB8">
        <w:rPr>
          <w:bCs/>
          <w:color w:val="000000" w:themeColor="text1"/>
        </w:rPr>
        <w:t xml:space="preserve"> for the </w:t>
      </w:r>
      <w:r w:rsidR="00C175F4" w:rsidRPr="00A52AB8">
        <w:rPr>
          <w:bCs/>
          <w:color w:val="000000" w:themeColor="text1"/>
        </w:rPr>
        <w:t xml:space="preserve">atlas with atlas ID </w:t>
      </w:r>
      <w:r w:rsidR="005972FA" w:rsidRPr="00A52AB8">
        <w:rPr>
          <w:bCs/>
          <w:color w:val="000000" w:themeColor="text1"/>
        </w:rPr>
        <w:t>j</w:t>
      </w:r>
      <w:r w:rsidR="00397AAE" w:rsidRPr="00A52AB8">
        <w:rPr>
          <w:bCs/>
          <w:color w:val="000000" w:themeColor="text1"/>
        </w:rPr>
        <w:t xml:space="preserve">. </w:t>
      </w:r>
      <w:r w:rsidRPr="00A52AB8">
        <w:rPr>
          <w:bCs/>
          <w:color w:val="000000" w:themeColor="text1"/>
        </w:rPr>
        <w:t>ai_</w:t>
      </w:r>
      <w:r w:rsidR="00397AAE" w:rsidRPr="00A52AB8">
        <w:rPr>
          <w:bCs/>
          <w:color w:val="000000" w:themeColor="text1"/>
        </w:rPr>
        <w:t>attribute_dimension_minus1</w:t>
      </w:r>
      <w:r w:rsidR="001F4484" w:rsidRPr="00A52AB8">
        <w:rPr>
          <w:bCs/>
          <w:color w:val="000000" w:themeColor="text1"/>
        </w:rPr>
        <w:t>[ j ][ i ]</w:t>
      </w:r>
      <w:r w:rsidR="00397AAE" w:rsidRPr="00A52AB8">
        <w:rPr>
          <w:b/>
          <w:bCs/>
          <w:color w:val="000000" w:themeColor="text1"/>
        </w:rPr>
        <w:t xml:space="preserve"> </w:t>
      </w:r>
      <w:r w:rsidR="00397AAE" w:rsidRPr="00A52AB8">
        <w:rPr>
          <w:bCs/>
          <w:color w:val="000000" w:themeColor="text1"/>
        </w:rPr>
        <w:t xml:space="preserve">shall be in the range of 0 to </w:t>
      </w:r>
      <w:r w:rsidR="005972FA" w:rsidRPr="00A52AB8">
        <w:rPr>
          <w:bCs/>
          <w:color w:val="000000" w:themeColor="text1"/>
        </w:rPr>
        <w:t>63</w:t>
      </w:r>
      <w:r w:rsidR="00397AAE" w:rsidRPr="00A52AB8">
        <w:rPr>
          <w:bCs/>
          <w:color w:val="000000" w:themeColor="text1"/>
        </w:rPr>
        <w:t>, inclusive.</w:t>
      </w:r>
    </w:p>
    <w:p w14:paraId="196C47DB" w14:textId="35DD747F" w:rsidR="0050235C" w:rsidRPr="00A52AB8" w:rsidRDefault="000F532C" w:rsidP="00456507">
      <w:pPr>
        <w:rPr>
          <w:color w:val="000000" w:themeColor="text1"/>
        </w:rPr>
      </w:pPr>
      <w:r w:rsidRPr="00A52AB8">
        <w:rPr>
          <w:b/>
          <w:bCs/>
          <w:color w:val="000000" w:themeColor="text1"/>
        </w:rPr>
        <w:t>ai_</w:t>
      </w:r>
      <w:r w:rsidR="00937B95" w:rsidRPr="00A52AB8">
        <w:rPr>
          <w:b/>
          <w:bCs/>
          <w:color w:val="000000" w:themeColor="text1"/>
        </w:rPr>
        <w:t>attribute_dimension_partitions_minus1</w:t>
      </w:r>
      <w:r w:rsidR="001F4484" w:rsidRPr="00A52AB8">
        <w:rPr>
          <w:color w:val="000000" w:themeColor="text1"/>
        </w:rPr>
        <w:t>[ j ]</w:t>
      </w:r>
      <w:r w:rsidR="001F4484" w:rsidRPr="00A52AB8">
        <w:rPr>
          <w:bCs/>
          <w:color w:val="000000" w:themeColor="text1"/>
        </w:rPr>
        <w:t>[ i ]</w:t>
      </w:r>
      <w:r w:rsidR="00937B95" w:rsidRPr="00A52AB8">
        <w:rPr>
          <w:bCs/>
          <w:color w:val="000000" w:themeColor="text1"/>
        </w:rPr>
        <w:t xml:space="preserve"> plus 1 indicates the number of partition</w:t>
      </w:r>
      <w:r w:rsidR="00F8734E" w:rsidRPr="00A52AB8">
        <w:rPr>
          <w:bCs/>
          <w:color w:val="000000" w:themeColor="text1"/>
        </w:rPr>
        <w:t xml:space="preserve"> group</w:t>
      </w:r>
      <w:r w:rsidR="00937B95" w:rsidRPr="00A52AB8">
        <w:rPr>
          <w:bCs/>
          <w:color w:val="000000" w:themeColor="text1"/>
        </w:rPr>
        <w:t>s in which the attribute channels</w:t>
      </w:r>
      <w:r w:rsidR="00F8734E" w:rsidRPr="00A52AB8">
        <w:rPr>
          <w:bCs/>
          <w:color w:val="000000" w:themeColor="text1"/>
        </w:rPr>
        <w:t xml:space="preserve"> </w:t>
      </w:r>
      <w:r w:rsidR="00BC3C3F" w:rsidRPr="00A52AB8">
        <w:rPr>
          <w:bCs/>
          <w:color w:val="000000" w:themeColor="text1"/>
        </w:rPr>
        <w:t xml:space="preserve">of the </w:t>
      </w:r>
      <w:r w:rsidR="004A71BD" w:rsidRPr="00A52AB8">
        <w:rPr>
          <w:bCs/>
          <w:color w:val="000000" w:themeColor="text1"/>
        </w:rPr>
        <w:t>attribute with index i</w:t>
      </w:r>
      <w:r w:rsidR="00BC3C3F" w:rsidRPr="00A52AB8">
        <w:rPr>
          <w:bCs/>
          <w:color w:val="000000" w:themeColor="text1"/>
        </w:rPr>
        <w:t xml:space="preserve">, </w:t>
      </w:r>
      <w:r w:rsidR="005972FA" w:rsidRPr="00A52AB8">
        <w:rPr>
          <w:bCs/>
          <w:color w:val="000000" w:themeColor="text1"/>
        </w:rPr>
        <w:t xml:space="preserve">for the </w:t>
      </w:r>
      <w:r w:rsidR="00C175F4" w:rsidRPr="00A52AB8">
        <w:rPr>
          <w:bCs/>
          <w:color w:val="000000" w:themeColor="text1"/>
        </w:rPr>
        <w:t xml:space="preserve">atlas with atlas ID </w:t>
      </w:r>
      <w:r w:rsidR="005972FA" w:rsidRPr="00A52AB8">
        <w:rPr>
          <w:bCs/>
          <w:color w:val="000000" w:themeColor="text1"/>
        </w:rPr>
        <w:t>j</w:t>
      </w:r>
      <w:r w:rsidR="00BC3C3F" w:rsidRPr="00A52AB8">
        <w:rPr>
          <w:bCs/>
          <w:color w:val="000000" w:themeColor="text1"/>
        </w:rPr>
        <w:t>,</w:t>
      </w:r>
      <w:r w:rsidR="005972FA" w:rsidRPr="00A52AB8">
        <w:rPr>
          <w:bCs/>
          <w:color w:val="000000" w:themeColor="text1"/>
        </w:rPr>
        <w:t xml:space="preserve"> </w:t>
      </w:r>
      <w:r w:rsidR="00F8734E" w:rsidRPr="00A52AB8">
        <w:rPr>
          <w:bCs/>
          <w:color w:val="000000" w:themeColor="text1"/>
        </w:rPr>
        <w:t xml:space="preserve">should be grouped in. </w:t>
      </w:r>
      <w:r w:rsidRPr="00A52AB8">
        <w:rPr>
          <w:bCs/>
          <w:color w:val="000000" w:themeColor="text1"/>
        </w:rPr>
        <w:t>ai_</w:t>
      </w:r>
      <w:r w:rsidR="00937B95" w:rsidRPr="00A52AB8">
        <w:rPr>
          <w:bCs/>
          <w:color w:val="000000" w:themeColor="text1"/>
        </w:rPr>
        <w:t>attribute_dimension_</w:t>
      </w:r>
      <w:r w:rsidR="00F8734E" w:rsidRPr="00A52AB8">
        <w:rPr>
          <w:bCs/>
          <w:color w:val="000000" w:themeColor="text1"/>
        </w:rPr>
        <w:t>partitions_</w:t>
      </w:r>
      <w:r w:rsidR="00937B95" w:rsidRPr="00A52AB8">
        <w:rPr>
          <w:bCs/>
          <w:color w:val="000000" w:themeColor="text1"/>
        </w:rPr>
        <w:t>minus1</w:t>
      </w:r>
      <w:r w:rsidR="001F4484" w:rsidRPr="00A52AB8">
        <w:rPr>
          <w:color w:val="000000" w:themeColor="text1"/>
        </w:rPr>
        <w:t>[ j ]</w:t>
      </w:r>
      <w:r w:rsidR="001F4484" w:rsidRPr="00A52AB8">
        <w:rPr>
          <w:bCs/>
          <w:color w:val="000000" w:themeColor="text1"/>
        </w:rPr>
        <w:t>[ i ]</w:t>
      </w:r>
      <w:r w:rsidR="00937B95" w:rsidRPr="00A52AB8">
        <w:rPr>
          <w:b/>
          <w:bCs/>
          <w:color w:val="000000" w:themeColor="text1"/>
        </w:rPr>
        <w:t xml:space="preserve"> </w:t>
      </w:r>
      <w:r w:rsidR="00937B95" w:rsidRPr="00A52AB8">
        <w:rPr>
          <w:bCs/>
          <w:color w:val="000000" w:themeColor="text1"/>
        </w:rPr>
        <w:t xml:space="preserve">shall be in the range of 0 to </w:t>
      </w:r>
      <w:r w:rsidR="001952CE" w:rsidRPr="00A52AB8">
        <w:rPr>
          <w:bCs/>
          <w:color w:val="000000" w:themeColor="text1"/>
        </w:rPr>
        <w:t>63</w:t>
      </w:r>
      <w:r w:rsidR="00937B95" w:rsidRPr="00A52AB8">
        <w:rPr>
          <w:bCs/>
          <w:color w:val="000000" w:themeColor="text1"/>
        </w:rPr>
        <w:t>, inclusive.</w:t>
      </w:r>
    </w:p>
    <w:p w14:paraId="5A57ABBA" w14:textId="1CA815A2" w:rsidR="00937B95" w:rsidRPr="00A52AB8" w:rsidRDefault="000F532C">
      <w:pPr>
        <w:rPr>
          <w:bCs/>
          <w:color w:val="000000" w:themeColor="text1"/>
        </w:rPr>
      </w:pPr>
      <w:r w:rsidRPr="00A52AB8">
        <w:rPr>
          <w:b/>
          <w:bCs/>
          <w:color w:val="000000" w:themeColor="text1"/>
        </w:rPr>
        <w:t>ai_</w:t>
      </w:r>
      <w:r w:rsidR="00F8734E" w:rsidRPr="00A52AB8">
        <w:rPr>
          <w:b/>
          <w:bCs/>
          <w:color w:val="000000" w:themeColor="text1"/>
        </w:rPr>
        <w:t>attribute_partition_</w:t>
      </w:r>
      <w:r w:rsidR="000A75B1" w:rsidRPr="00A52AB8">
        <w:rPr>
          <w:b/>
          <w:bCs/>
          <w:color w:val="000000" w:themeColor="text1"/>
        </w:rPr>
        <w:t>channels</w:t>
      </w:r>
      <w:r w:rsidR="004A71BD" w:rsidRPr="00A52AB8">
        <w:rPr>
          <w:b/>
          <w:bCs/>
          <w:color w:val="000000" w:themeColor="text1"/>
        </w:rPr>
        <w:t>_minus1</w:t>
      </w:r>
      <w:r w:rsidR="004B7314" w:rsidRPr="00A52AB8">
        <w:rPr>
          <w:color w:val="000000" w:themeColor="text1"/>
        </w:rPr>
        <w:t>[ k ]</w:t>
      </w:r>
      <w:r w:rsidR="001F4484" w:rsidRPr="00A52AB8">
        <w:rPr>
          <w:bCs/>
          <w:color w:val="000000" w:themeColor="text1"/>
        </w:rPr>
        <w:t>[ i ][ j ]</w:t>
      </w:r>
      <w:r w:rsidR="00F8734E" w:rsidRPr="00A52AB8">
        <w:rPr>
          <w:bCs/>
          <w:color w:val="000000" w:themeColor="text1"/>
        </w:rPr>
        <w:t xml:space="preserve"> plus 1 indicates the number of </w:t>
      </w:r>
      <w:r w:rsidR="004A71BD" w:rsidRPr="00A52AB8">
        <w:rPr>
          <w:bCs/>
          <w:color w:val="000000" w:themeColor="text1"/>
        </w:rPr>
        <w:t>channels</w:t>
      </w:r>
      <w:r w:rsidR="00F8734E" w:rsidRPr="00A52AB8">
        <w:rPr>
          <w:bCs/>
          <w:color w:val="000000" w:themeColor="text1"/>
        </w:rPr>
        <w:t xml:space="preserve"> </w:t>
      </w:r>
      <w:r w:rsidR="004A71BD" w:rsidRPr="00A52AB8">
        <w:rPr>
          <w:bCs/>
          <w:color w:val="000000" w:themeColor="text1"/>
        </w:rPr>
        <w:t>assigned to the dimension partition group with index j</w:t>
      </w:r>
      <w:r w:rsidR="00BC3C3F" w:rsidRPr="00A52AB8">
        <w:rPr>
          <w:bCs/>
          <w:color w:val="000000" w:themeColor="text1"/>
        </w:rPr>
        <w:t>,</w:t>
      </w:r>
      <w:r w:rsidR="004A71BD" w:rsidRPr="00A52AB8">
        <w:rPr>
          <w:bCs/>
          <w:color w:val="000000" w:themeColor="text1"/>
        </w:rPr>
        <w:t xml:space="preserve"> of </w:t>
      </w:r>
      <w:r w:rsidR="00BC3C3F" w:rsidRPr="00A52AB8">
        <w:rPr>
          <w:bCs/>
          <w:color w:val="000000" w:themeColor="text1"/>
        </w:rPr>
        <w:t xml:space="preserve">the </w:t>
      </w:r>
      <w:r w:rsidR="004A71BD" w:rsidRPr="00A52AB8">
        <w:rPr>
          <w:bCs/>
          <w:color w:val="000000" w:themeColor="text1"/>
        </w:rPr>
        <w:t xml:space="preserve">attribute with </w:t>
      </w:r>
      <w:r w:rsidR="00BC3C3F" w:rsidRPr="00A52AB8">
        <w:rPr>
          <w:bCs/>
          <w:color w:val="000000" w:themeColor="text1"/>
        </w:rPr>
        <w:t xml:space="preserve">index </w:t>
      </w:r>
      <w:r w:rsidR="004A71BD" w:rsidRPr="00A52AB8">
        <w:rPr>
          <w:bCs/>
          <w:color w:val="000000" w:themeColor="text1"/>
        </w:rPr>
        <w:t>i</w:t>
      </w:r>
      <w:r w:rsidR="00BC3C3F" w:rsidRPr="00A52AB8">
        <w:rPr>
          <w:bCs/>
          <w:color w:val="000000" w:themeColor="text1"/>
        </w:rPr>
        <w:t>,</w:t>
      </w:r>
      <w:r w:rsidR="001952CE" w:rsidRPr="00A52AB8">
        <w:rPr>
          <w:bCs/>
          <w:color w:val="000000" w:themeColor="text1"/>
        </w:rPr>
        <w:t xml:space="preserve"> for </w:t>
      </w:r>
      <w:r w:rsidR="00BC3C3F" w:rsidRPr="00A52AB8">
        <w:rPr>
          <w:bCs/>
          <w:color w:val="000000" w:themeColor="text1"/>
        </w:rPr>
        <w:t xml:space="preserve">the </w:t>
      </w:r>
      <w:r w:rsidR="00C175F4" w:rsidRPr="00A52AB8">
        <w:rPr>
          <w:bCs/>
          <w:color w:val="000000" w:themeColor="text1"/>
        </w:rPr>
        <w:t xml:space="preserve">atlas with atlas ID </w:t>
      </w:r>
      <w:r w:rsidR="001952CE" w:rsidRPr="00A52AB8">
        <w:rPr>
          <w:bCs/>
          <w:color w:val="000000" w:themeColor="text1"/>
        </w:rPr>
        <w:t>k</w:t>
      </w:r>
      <w:r w:rsidR="00F8734E" w:rsidRPr="00A52AB8">
        <w:rPr>
          <w:bCs/>
          <w:color w:val="000000" w:themeColor="text1"/>
        </w:rPr>
        <w:t>.</w:t>
      </w:r>
      <w:r w:rsidR="000A75B1" w:rsidRPr="00A52AB8">
        <w:rPr>
          <w:bCs/>
          <w:color w:val="000000" w:themeColor="text1"/>
        </w:rPr>
        <w:t xml:space="preserve"> </w:t>
      </w:r>
      <w:r w:rsidRPr="00A52AB8">
        <w:rPr>
          <w:bCs/>
          <w:color w:val="000000" w:themeColor="text1"/>
        </w:rPr>
        <w:t>ai_</w:t>
      </w:r>
      <w:r w:rsidR="00F8734E" w:rsidRPr="00A52AB8">
        <w:rPr>
          <w:bCs/>
          <w:color w:val="000000" w:themeColor="text1"/>
        </w:rPr>
        <w:t>attribute_partition</w:t>
      </w:r>
      <w:r w:rsidR="000A75B1" w:rsidRPr="00A52AB8">
        <w:rPr>
          <w:bCs/>
          <w:color w:val="000000" w:themeColor="text1"/>
        </w:rPr>
        <w:t>_channel</w:t>
      </w:r>
      <w:r w:rsidR="00F8734E" w:rsidRPr="00A52AB8">
        <w:rPr>
          <w:bCs/>
          <w:color w:val="000000" w:themeColor="text1"/>
        </w:rPr>
        <w:t>s_minus1</w:t>
      </w:r>
      <w:r w:rsidR="004B7314" w:rsidRPr="00A52AB8">
        <w:rPr>
          <w:color w:val="000000" w:themeColor="text1"/>
        </w:rPr>
        <w:t>[ k ]</w:t>
      </w:r>
      <w:r w:rsidR="001F4484" w:rsidRPr="00A52AB8">
        <w:rPr>
          <w:bCs/>
          <w:color w:val="000000" w:themeColor="text1"/>
        </w:rPr>
        <w:t>[ i ][ j ]</w:t>
      </w:r>
      <w:r w:rsidR="00F8734E" w:rsidRPr="00A52AB8">
        <w:rPr>
          <w:b/>
          <w:bCs/>
          <w:color w:val="000000" w:themeColor="text1"/>
        </w:rPr>
        <w:t xml:space="preserve"> </w:t>
      </w:r>
      <w:r w:rsidR="00F8734E" w:rsidRPr="00A52AB8">
        <w:rPr>
          <w:bCs/>
          <w:color w:val="000000" w:themeColor="text1"/>
        </w:rPr>
        <w:t xml:space="preserve">shall be in the range of 0 to </w:t>
      </w:r>
      <w:r w:rsidRPr="00A52AB8">
        <w:rPr>
          <w:color w:val="000000" w:themeColor="text1"/>
        </w:rPr>
        <w:t>ai_</w:t>
      </w:r>
      <w:r w:rsidR="0039084B" w:rsidRPr="00A52AB8">
        <w:rPr>
          <w:color w:val="000000" w:themeColor="text1"/>
        </w:rPr>
        <w:t>attribute_dimension_minus1</w:t>
      </w:r>
      <w:r w:rsidR="004B7314" w:rsidRPr="00A52AB8">
        <w:rPr>
          <w:color w:val="000000" w:themeColor="text1"/>
        </w:rPr>
        <w:t>[ k ]</w:t>
      </w:r>
      <w:r w:rsidR="001F4484" w:rsidRPr="00A52AB8">
        <w:rPr>
          <w:color w:val="000000" w:themeColor="text1"/>
        </w:rPr>
        <w:t>[ i ]</w:t>
      </w:r>
      <w:r w:rsidR="0039084B" w:rsidRPr="00A52AB8">
        <w:rPr>
          <w:color w:val="000000" w:themeColor="text1"/>
        </w:rPr>
        <w:t>, inclusive, for all dimension partition groups</w:t>
      </w:r>
      <w:r w:rsidR="00B40509" w:rsidRPr="00A52AB8">
        <w:rPr>
          <w:bCs/>
          <w:color w:val="000000" w:themeColor="text1"/>
        </w:rPr>
        <w:t>.</w:t>
      </w:r>
    </w:p>
    <w:p w14:paraId="7063D975" w14:textId="57F93E41" w:rsidR="000851E2" w:rsidRPr="00A52AB8" w:rsidRDefault="000F532C">
      <w:pPr>
        <w:rPr>
          <w:color w:val="000000" w:themeColor="text1"/>
          <w:sz w:val="24"/>
          <w:szCs w:val="24"/>
        </w:rPr>
      </w:pPr>
      <w:r w:rsidRPr="00A52AB8">
        <w:rPr>
          <w:b/>
          <w:bCs/>
          <w:color w:val="000000" w:themeColor="text1"/>
        </w:rPr>
        <w:t>ai_</w:t>
      </w:r>
      <w:r w:rsidR="000851E2" w:rsidRPr="00A52AB8">
        <w:rPr>
          <w:b/>
          <w:bCs/>
          <w:color w:val="000000" w:themeColor="text1"/>
        </w:rPr>
        <w:t>attribute</w:t>
      </w:r>
      <w:r w:rsidR="00E17778" w:rsidRPr="00A52AB8">
        <w:rPr>
          <w:b/>
          <w:bCs/>
          <w:color w:val="000000" w:themeColor="text1"/>
        </w:rPr>
        <w:t>_</w:t>
      </w:r>
      <w:r w:rsidR="000851E2" w:rsidRPr="00A52AB8">
        <w:rPr>
          <w:b/>
          <w:bCs/>
          <w:color w:val="000000" w:themeColor="text1"/>
        </w:rPr>
        <w:t>2d_bit</w:t>
      </w:r>
      <w:r w:rsidR="00C514C6" w:rsidRPr="00A52AB8">
        <w:rPr>
          <w:b/>
          <w:bCs/>
          <w:color w:val="000000" w:themeColor="text1"/>
        </w:rPr>
        <w:t>_</w:t>
      </w:r>
      <w:r w:rsidR="000851E2" w:rsidRPr="00A52AB8">
        <w:rPr>
          <w:b/>
          <w:bCs/>
          <w:color w:val="000000" w:themeColor="text1"/>
        </w:rPr>
        <w:t>depth_minus1</w:t>
      </w:r>
      <w:r w:rsidR="001F4484" w:rsidRPr="00A52AB8">
        <w:rPr>
          <w:color w:val="000000" w:themeColor="text1"/>
        </w:rPr>
        <w:t>[ j ]</w:t>
      </w:r>
      <w:r w:rsidR="001F4484" w:rsidRPr="00A52AB8">
        <w:rPr>
          <w:bCs/>
          <w:color w:val="000000" w:themeColor="text1"/>
        </w:rPr>
        <w:t>[ i ]</w:t>
      </w:r>
      <w:r w:rsidR="000851E2" w:rsidRPr="00A52AB8">
        <w:rPr>
          <w:bCs/>
          <w:color w:val="000000" w:themeColor="text1"/>
        </w:rPr>
        <w:t xml:space="preserve"> </w:t>
      </w:r>
      <w:r w:rsidR="000851E2" w:rsidRPr="00A52AB8">
        <w:rPr>
          <w:color w:val="000000" w:themeColor="text1"/>
        </w:rPr>
        <w:t>plus 1 indicates the nominal 2D bit depth to which all the attribute videos with attribute index i</w:t>
      </w:r>
      <w:r w:rsidR="00BC3C3F" w:rsidRPr="00A52AB8">
        <w:rPr>
          <w:color w:val="000000" w:themeColor="text1"/>
        </w:rPr>
        <w:t>,</w:t>
      </w:r>
      <w:r w:rsidR="000851E2" w:rsidRPr="00A52AB8">
        <w:rPr>
          <w:color w:val="000000" w:themeColor="text1"/>
        </w:rPr>
        <w:t xml:space="preserve"> </w:t>
      </w:r>
      <w:r w:rsidR="001952CE" w:rsidRPr="00A52AB8">
        <w:rPr>
          <w:color w:val="000000" w:themeColor="text1"/>
        </w:rPr>
        <w:t xml:space="preserve">for </w:t>
      </w:r>
      <w:r w:rsidR="00BC3C3F" w:rsidRPr="00A52AB8">
        <w:rPr>
          <w:color w:val="000000" w:themeColor="text1"/>
        </w:rPr>
        <w:t xml:space="preserve">the </w:t>
      </w:r>
      <w:r w:rsidR="00C175F4" w:rsidRPr="00A52AB8">
        <w:rPr>
          <w:color w:val="000000" w:themeColor="text1"/>
        </w:rPr>
        <w:t xml:space="preserve">atlas with atlas ID </w:t>
      </w:r>
      <w:r w:rsidR="001952CE" w:rsidRPr="00A52AB8">
        <w:rPr>
          <w:color w:val="000000" w:themeColor="text1"/>
        </w:rPr>
        <w:t>j</w:t>
      </w:r>
      <w:r w:rsidR="00BC3C3F" w:rsidRPr="00A52AB8">
        <w:rPr>
          <w:color w:val="000000" w:themeColor="text1"/>
        </w:rPr>
        <w:t>,</w:t>
      </w:r>
      <w:r w:rsidR="001952CE" w:rsidRPr="00A52AB8">
        <w:rPr>
          <w:color w:val="000000" w:themeColor="text1"/>
        </w:rPr>
        <w:t xml:space="preserve"> </w:t>
      </w:r>
      <w:r w:rsidR="000851E2" w:rsidRPr="00A52AB8">
        <w:rPr>
          <w:color w:val="000000" w:themeColor="text1"/>
        </w:rPr>
        <w:t xml:space="preserve">shall be converted to. </w:t>
      </w:r>
      <w:r w:rsidRPr="00A52AB8">
        <w:rPr>
          <w:color w:val="000000" w:themeColor="text1"/>
        </w:rPr>
        <w:t>ai_</w:t>
      </w:r>
      <w:r w:rsidR="000851E2" w:rsidRPr="00A52AB8">
        <w:rPr>
          <w:color w:val="000000" w:themeColor="text1"/>
        </w:rPr>
        <w:t>attribute</w:t>
      </w:r>
      <w:r w:rsidR="00E17778" w:rsidRPr="00A52AB8">
        <w:rPr>
          <w:color w:val="000000" w:themeColor="text1"/>
        </w:rPr>
        <w:t>_</w:t>
      </w:r>
      <w:r w:rsidR="000851E2" w:rsidRPr="00A52AB8">
        <w:rPr>
          <w:color w:val="000000" w:themeColor="text1"/>
        </w:rPr>
        <w:t>2d_bit</w:t>
      </w:r>
      <w:r w:rsidR="00C514C6" w:rsidRPr="00A52AB8">
        <w:rPr>
          <w:color w:val="000000" w:themeColor="text1"/>
        </w:rPr>
        <w:t>_</w:t>
      </w:r>
      <w:r w:rsidR="000851E2" w:rsidRPr="00A52AB8">
        <w:rPr>
          <w:color w:val="000000" w:themeColor="text1"/>
        </w:rPr>
        <w:t>depth_minus1</w:t>
      </w:r>
      <w:r w:rsidR="001F4484" w:rsidRPr="00A52AB8">
        <w:rPr>
          <w:color w:val="000000" w:themeColor="text1"/>
        </w:rPr>
        <w:t>[ j ][ i ]</w:t>
      </w:r>
      <w:r w:rsidR="000851E2" w:rsidRPr="00A52AB8">
        <w:rPr>
          <w:color w:val="000000" w:themeColor="text1"/>
        </w:rPr>
        <w:t xml:space="preserve"> shall be in the range of 0 to 31, inclusive.</w:t>
      </w:r>
    </w:p>
    <w:p w14:paraId="419A4402" w14:textId="7FF9EBA2" w:rsidR="007F4909" w:rsidRPr="00A52AB8" w:rsidRDefault="000F532C">
      <w:r w:rsidRPr="00A52AB8">
        <w:rPr>
          <w:b/>
        </w:rPr>
        <w:t>ai_</w:t>
      </w:r>
      <w:r w:rsidR="00184267" w:rsidRPr="00A52AB8">
        <w:rPr>
          <w:b/>
        </w:rPr>
        <w:t>attribute_MSB_align_flag</w:t>
      </w:r>
      <w:r w:rsidR="001F4484" w:rsidRPr="00A52AB8">
        <w:rPr>
          <w:color w:val="000000" w:themeColor="text1"/>
        </w:rPr>
        <w:t>[ j ][ i ]</w:t>
      </w:r>
      <w:r w:rsidR="00184267" w:rsidRPr="00A52AB8">
        <w:t xml:space="preserve"> indicates how the decoded attribute video samples</w:t>
      </w:r>
      <w:r w:rsidR="00BC3C3F" w:rsidRPr="00A52AB8">
        <w:t xml:space="preserve"> with attribute index i</w:t>
      </w:r>
      <w:r w:rsidR="00C05CC3" w:rsidRPr="00A52AB8">
        <w:t>,</w:t>
      </w:r>
      <w:r w:rsidR="00184267" w:rsidRPr="00A52AB8">
        <w:t xml:space="preserve"> </w:t>
      </w:r>
      <w:r w:rsidR="00BC3C3F" w:rsidRPr="00A52AB8">
        <w:t>for the</w:t>
      </w:r>
      <w:r w:rsidR="001952CE" w:rsidRPr="00A52AB8">
        <w:t xml:space="preserve"> </w:t>
      </w:r>
      <w:r w:rsidR="00C175F4" w:rsidRPr="00A52AB8">
        <w:t xml:space="preserve">atlas with atlas ID </w:t>
      </w:r>
      <w:r w:rsidR="001952CE" w:rsidRPr="00A52AB8">
        <w:t>j</w:t>
      </w:r>
      <w:r w:rsidR="00BC3C3F" w:rsidRPr="00A52AB8">
        <w:t xml:space="preserve">, </w:t>
      </w:r>
      <w:r w:rsidR="00184267" w:rsidRPr="00A52AB8">
        <w:t xml:space="preserve">are converted to samples at </w:t>
      </w:r>
      <w:r w:rsidR="00C05CC3" w:rsidRPr="00A52AB8">
        <w:t xml:space="preserve">the </w:t>
      </w:r>
      <w:r w:rsidR="00184267" w:rsidRPr="00A52AB8">
        <w:t>nominal attribute bit</w:t>
      </w:r>
      <w:r w:rsidR="00C514C6" w:rsidRPr="00A52AB8">
        <w:t xml:space="preserve"> </w:t>
      </w:r>
      <w:r w:rsidR="00184267" w:rsidRPr="00A52AB8">
        <w:t>depth</w:t>
      </w:r>
      <w:r w:rsidR="00442FB2" w:rsidRPr="00A52AB8">
        <w:t xml:space="preserve">, as specified in </w:t>
      </w:r>
      <w:r w:rsidR="00501AC2" w:rsidRPr="00496A4D">
        <w:fldChar w:fldCharType="begin"/>
      </w:r>
      <w:r w:rsidR="00501AC2" w:rsidRPr="00A52AB8">
        <w:instrText xml:space="preserve"> REF _Ref38561253 \r \h </w:instrText>
      </w:r>
      <w:r w:rsidR="006371AA" w:rsidRPr="00A52AB8">
        <w:instrText xml:space="preserve"> \* MERGEFORMAT </w:instrText>
      </w:r>
      <w:r w:rsidR="00501AC2" w:rsidRPr="00496A4D">
        <w:fldChar w:fldCharType="separate"/>
      </w:r>
      <w:r w:rsidR="00507A67">
        <w:t>Annex B</w:t>
      </w:r>
      <w:r w:rsidR="00501AC2" w:rsidRPr="00496A4D">
        <w:fldChar w:fldCharType="end"/>
      </w:r>
      <w:r w:rsidR="00501AC2" w:rsidRPr="00A52AB8">
        <w:t>.</w:t>
      </w:r>
    </w:p>
    <w:p w14:paraId="562FC6C9" w14:textId="77777777" w:rsidR="00D51FCC" w:rsidRPr="00A52AB8" w:rsidRDefault="003915AE" w:rsidP="00D51FCC">
      <w:pPr>
        <w:pStyle w:val="Heading4"/>
      </w:pPr>
      <w:r w:rsidRPr="00A52AB8">
        <w:t xml:space="preserve">Profile toolset constraints information </w:t>
      </w:r>
      <w:r w:rsidR="00D51FCC" w:rsidRPr="00A52AB8">
        <w:t>semantics</w:t>
      </w:r>
    </w:p>
    <w:p w14:paraId="01E9E07E" w14:textId="7CF37AA8" w:rsidR="00612C6C" w:rsidRPr="00A52AB8" w:rsidRDefault="004933EB" w:rsidP="00612C6C">
      <w:pPr>
        <w:rPr>
          <w:bCs/>
          <w:color w:val="000000" w:themeColor="text1"/>
        </w:rPr>
      </w:pPr>
      <w:r w:rsidRPr="00A52AB8">
        <w:rPr>
          <w:b/>
          <w:bCs/>
          <w:color w:val="000000" w:themeColor="text1"/>
        </w:rPr>
        <w:t>ptc_one_v3c_frame_only_flag</w:t>
      </w:r>
      <w:r w:rsidR="006F3AB6" w:rsidRPr="00A52AB8">
        <w:rPr>
          <w:b/>
          <w:bCs/>
          <w:color w:val="000000" w:themeColor="text1"/>
        </w:rPr>
        <w:t>,</w:t>
      </w:r>
      <w:r w:rsidR="00612C6C" w:rsidRPr="00A52AB8">
        <w:rPr>
          <w:bCs/>
          <w:color w:val="000000" w:themeColor="text1"/>
        </w:rPr>
        <w:t xml:space="preserve"> when present, has semantics specified </w:t>
      </w:r>
      <w:r w:rsidR="00CF73BE" w:rsidRPr="00A52AB8">
        <w:rPr>
          <w:bCs/>
          <w:color w:val="000000" w:themeColor="text1"/>
        </w:rPr>
        <w:t xml:space="preserve">in </w:t>
      </w:r>
      <w:r w:rsidR="00F714BB" w:rsidRPr="00496A4D">
        <w:rPr>
          <w:bCs/>
          <w:color w:val="000000" w:themeColor="text1"/>
        </w:rPr>
        <w:fldChar w:fldCharType="begin"/>
      </w:r>
      <w:r w:rsidR="00F714BB" w:rsidRPr="00A52AB8">
        <w:rPr>
          <w:bCs/>
          <w:color w:val="000000" w:themeColor="text1"/>
        </w:rPr>
        <w:instrText xml:space="preserve"> REF _Ref38898728 \n \h </w:instrText>
      </w:r>
      <w:r w:rsidR="00CA5401" w:rsidRPr="00A52AB8">
        <w:rPr>
          <w:bCs/>
          <w:color w:val="000000" w:themeColor="text1"/>
        </w:rPr>
        <w:instrText xml:space="preserve"> \* MERGEFORMAT </w:instrText>
      </w:r>
      <w:r w:rsidR="00F714BB" w:rsidRPr="00496A4D">
        <w:rPr>
          <w:bCs/>
          <w:color w:val="000000" w:themeColor="text1"/>
        </w:rPr>
      </w:r>
      <w:r w:rsidR="00F714BB" w:rsidRPr="00496A4D">
        <w:rPr>
          <w:bCs/>
          <w:color w:val="000000" w:themeColor="text1"/>
        </w:rPr>
        <w:fldChar w:fldCharType="separate"/>
      </w:r>
      <w:r w:rsidR="00507A67">
        <w:rPr>
          <w:bCs/>
          <w:color w:val="000000" w:themeColor="text1"/>
        </w:rPr>
        <w:t>Annex A</w:t>
      </w:r>
      <w:r w:rsidR="00F714BB" w:rsidRPr="00496A4D">
        <w:rPr>
          <w:bCs/>
          <w:color w:val="000000" w:themeColor="text1"/>
        </w:rPr>
        <w:fldChar w:fldCharType="end"/>
      </w:r>
      <w:r w:rsidR="006F3AB6" w:rsidRPr="00A52AB8">
        <w:rPr>
          <w:bCs/>
          <w:color w:val="000000" w:themeColor="text1"/>
        </w:rPr>
        <w:t>,</w:t>
      </w:r>
      <w:r w:rsidR="00F714BB" w:rsidRPr="00A52AB8">
        <w:rPr>
          <w:bCs/>
          <w:color w:val="000000" w:themeColor="text1"/>
        </w:rPr>
        <w:t xml:space="preserve"> </w:t>
      </w:r>
      <w:r w:rsidR="00612C6C" w:rsidRPr="00A52AB8">
        <w:rPr>
          <w:bCs/>
          <w:color w:val="000000" w:themeColor="text1"/>
        </w:rPr>
        <w:t>whe</w:t>
      </w:r>
      <w:r w:rsidR="006F3AB6" w:rsidRPr="00A52AB8">
        <w:rPr>
          <w:bCs/>
          <w:color w:val="000000" w:themeColor="text1"/>
        </w:rPr>
        <w:t>re</w:t>
      </w:r>
      <w:r w:rsidR="00612C6C" w:rsidRPr="00A52AB8">
        <w:rPr>
          <w:bCs/>
          <w:color w:val="000000" w:themeColor="text1"/>
        </w:rPr>
        <w:t xml:space="preserve"> the profile indicated by ptl_profile_pcc_toolset_idc is a profile specified in </w:t>
      </w:r>
      <w:r w:rsidR="00F714BB" w:rsidRPr="00496A4D">
        <w:rPr>
          <w:bCs/>
          <w:color w:val="000000" w:themeColor="text1"/>
        </w:rPr>
        <w:fldChar w:fldCharType="begin"/>
      </w:r>
      <w:r w:rsidR="00F714BB" w:rsidRPr="00A52AB8">
        <w:rPr>
          <w:bCs/>
          <w:color w:val="000000" w:themeColor="text1"/>
        </w:rPr>
        <w:instrText xml:space="preserve"> REF _Ref38898728 \n \h </w:instrText>
      </w:r>
      <w:r w:rsidR="00CA5401" w:rsidRPr="00A52AB8">
        <w:rPr>
          <w:bCs/>
          <w:color w:val="000000" w:themeColor="text1"/>
        </w:rPr>
        <w:instrText xml:space="preserve"> \* MERGEFORMAT </w:instrText>
      </w:r>
      <w:r w:rsidR="00F714BB" w:rsidRPr="00496A4D">
        <w:rPr>
          <w:bCs/>
          <w:color w:val="000000" w:themeColor="text1"/>
        </w:rPr>
      </w:r>
      <w:r w:rsidR="00F714BB" w:rsidRPr="00496A4D">
        <w:rPr>
          <w:bCs/>
          <w:color w:val="000000" w:themeColor="text1"/>
        </w:rPr>
        <w:fldChar w:fldCharType="separate"/>
      </w:r>
      <w:r w:rsidR="00507A67">
        <w:rPr>
          <w:bCs/>
          <w:color w:val="000000" w:themeColor="text1"/>
        </w:rPr>
        <w:t>Annex A</w:t>
      </w:r>
      <w:r w:rsidR="00F714BB" w:rsidRPr="00496A4D">
        <w:rPr>
          <w:bCs/>
          <w:color w:val="000000" w:themeColor="text1"/>
        </w:rPr>
        <w:fldChar w:fldCharType="end"/>
      </w:r>
      <w:r w:rsidR="00612C6C" w:rsidRPr="00A52AB8">
        <w:rPr>
          <w:bCs/>
          <w:color w:val="000000" w:themeColor="text1"/>
        </w:rPr>
        <w:t xml:space="preserve">. When not present, </w:t>
      </w:r>
      <w:r w:rsidRPr="00A52AB8">
        <w:rPr>
          <w:bCs/>
          <w:color w:val="000000" w:themeColor="text1"/>
        </w:rPr>
        <w:t>ptc_one_v3c_frame_only_flag</w:t>
      </w:r>
      <w:r w:rsidR="00612C6C" w:rsidRPr="00A52AB8">
        <w:rPr>
          <w:bCs/>
          <w:color w:val="000000" w:themeColor="text1"/>
        </w:rPr>
        <w:t xml:space="preserve"> is </w:t>
      </w:r>
      <w:r w:rsidR="004A130A" w:rsidRPr="00A52AB8">
        <w:rPr>
          <w:bCs/>
          <w:color w:val="000000" w:themeColor="text1"/>
        </w:rPr>
        <w:t xml:space="preserve">inferred </w:t>
      </w:r>
      <w:r w:rsidR="00612C6C" w:rsidRPr="00A52AB8">
        <w:rPr>
          <w:bCs/>
          <w:color w:val="000000" w:themeColor="text1"/>
        </w:rPr>
        <w:t>to be equal to 0.</w:t>
      </w:r>
    </w:p>
    <w:p w14:paraId="04560297" w14:textId="77777777" w:rsidR="00612C6C" w:rsidRPr="00A52AB8" w:rsidRDefault="00612C6C" w:rsidP="00612C6C">
      <w:pPr>
        <w:rPr>
          <w:bCs/>
          <w:color w:val="000000" w:themeColor="text1"/>
        </w:rPr>
      </w:pPr>
      <w:r w:rsidRPr="00A52AB8">
        <w:rPr>
          <w:b/>
          <w:color w:val="000000" w:themeColor="text1"/>
        </w:rPr>
        <w:t>ptc_</w:t>
      </w:r>
      <w:r w:rsidR="00D375CC" w:rsidRPr="00A52AB8">
        <w:rPr>
          <w:b/>
          <w:color w:val="000000" w:themeColor="text1"/>
        </w:rPr>
        <w:t>eom_constraint</w:t>
      </w:r>
      <w:r w:rsidRPr="00A52AB8">
        <w:rPr>
          <w:b/>
          <w:color w:val="000000" w:themeColor="text1"/>
        </w:rPr>
        <w:t>_flag</w:t>
      </w:r>
      <w:r w:rsidRPr="00A52AB8">
        <w:rPr>
          <w:bCs/>
          <w:color w:val="000000" w:themeColor="text1"/>
        </w:rPr>
        <w:t xml:space="preserve"> equal to 1 specifies that the parameter asps_</w:t>
      </w:r>
      <w:r w:rsidR="005A5F27" w:rsidRPr="00A52AB8">
        <w:rPr>
          <w:bCs/>
          <w:color w:val="000000" w:themeColor="text1"/>
        </w:rPr>
        <w:t>eom_patch_enabled</w:t>
      </w:r>
      <w:r w:rsidRPr="00A52AB8">
        <w:rPr>
          <w:bCs/>
          <w:color w:val="000000" w:themeColor="text1"/>
        </w:rPr>
        <w:t>_flag shall be equal to 0. ptc_</w:t>
      </w:r>
      <w:r w:rsidR="00D375CC" w:rsidRPr="00A52AB8">
        <w:rPr>
          <w:bCs/>
          <w:color w:val="000000" w:themeColor="text1"/>
        </w:rPr>
        <w:t>eom_constraint</w:t>
      </w:r>
      <w:r w:rsidRPr="00A52AB8">
        <w:rPr>
          <w:bCs/>
          <w:color w:val="000000" w:themeColor="text1"/>
        </w:rPr>
        <w:t>_flag equal to 0 does not impose a constraint. When not present, ptc_</w:t>
      </w:r>
      <w:r w:rsidR="00D375CC" w:rsidRPr="00A52AB8">
        <w:rPr>
          <w:bCs/>
          <w:color w:val="000000" w:themeColor="text1"/>
        </w:rPr>
        <w:t>eom_constraint</w:t>
      </w:r>
      <w:r w:rsidRPr="00A52AB8">
        <w:rPr>
          <w:bCs/>
          <w:color w:val="000000" w:themeColor="text1"/>
        </w:rPr>
        <w:t xml:space="preserve">_flag is </w:t>
      </w:r>
      <w:r w:rsidR="004A130A" w:rsidRPr="00A52AB8">
        <w:rPr>
          <w:bCs/>
          <w:color w:val="000000" w:themeColor="text1"/>
        </w:rPr>
        <w:t xml:space="preserve">inferred </w:t>
      </w:r>
      <w:r w:rsidRPr="00A52AB8">
        <w:rPr>
          <w:bCs/>
          <w:color w:val="000000" w:themeColor="text1"/>
        </w:rPr>
        <w:t>to be equal to 0.</w:t>
      </w:r>
    </w:p>
    <w:p w14:paraId="72AE12E7" w14:textId="77777777" w:rsidR="00612C6C" w:rsidRPr="00A52AB8" w:rsidRDefault="00612C6C" w:rsidP="00612C6C">
      <w:pPr>
        <w:rPr>
          <w:bCs/>
          <w:color w:val="000000" w:themeColor="text1"/>
        </w:rPr>
      </w:pPr>
      <w:r w:rsidRPr="00A52AB8">
        <w:rPr>
          <w:b/>
          <w:color w:val="000000" w:themeColor="text1"/>
        </w:rPr>
        <w:lastRenderedPageBreak/>
        <w:t>ptc_max_map_count_minus1</w:t>
      </w:r>
      <w:r w:rsidRPr="00A52AB8">
        <w:rPr>
          <w:bCs/>
          <w:color w:val="000000" w:themeColor="text1"/>
        </w:rPr>
        <w:t xml:space="preserve"> specifies that vp</w:t>
      </w:r>
      <w:r w:rsidR="00E92512" w:rsidRPr="00A52AB8">
        <w:rPr>
          <w:bCs/>
          <w:color w:val="000000" w:themeColor="text1"/>
        </w:rPr>
        <w:t>s</w:t>
      </w:r>
      <w:r w:rsidRPr="00A52AB8">
        <w:rPr>
          <w:bCs/>
          <w:color w:val="000000" w:themeColor="text1"/>
        </w:rPr>
        <w:t xml:space="preserve">_map_count_minus1 shall be less than or equal to ptc_max_map_count_minus1. When not present, ptc_max_map_count_minus1 is </w:t>
      </w:r>
      <w:r w:rsidR="004A130A" w:rsidRPr="00A52AB8">
        <w:rPr>
          <w:bCs/>
          <w:color w:val="000000" w:themeColor="text1"/>
        </w:rPr>
        <w:t xml:space="preserve">inferred </w:t>
      </w:r>
      <w:r w:rsidRPr="00A52AB8">
        <w:rPr>
          <w:bCs/>
          <w:color w:val="000000" w:themeColor="text1"/>
        </w:rPr>
        <w:t>to be equal to 15.</w:t>
      </w:r>
    </w:p>
    <w:p w14:paraId="1B1813A8" w14:textId="23B2990B" w:rsidR="00612C6C" w:rsidRPr="00A52AB8" w:rsidRDefault="00612C6C" w:rsidP="00612C6C">
      <w:pPr>
        <w:rPr>
          <w:bCs/>
          <w:color w:val="000000" w:themeColor="text1"/>
        </w:rPr>
      </w:pPr>
      <w:r w:rsidRPr="00A52AB8">
        <w:rPr>
          <w:b/>
          <w:color w:val="000000" w:themeColor="text1"/>
        </w:rPr>
        <w:t>ptc_max_atlas_count_minus1</w:t>
      </w:r>
      <w:r w:rsidRPr="00A52AB8">
        <w:rPr>
          <w:bCs/>
          <w:color w:val="000000" w:themeColor="text1"/>
        </w:rPr>
        <w:t xml:space="preserve"> specifies that vp</w:t>
      </w:r>
      <w:r w:rsidR="00E92512" w:rsidRPr="00A52AB8">
        <w:rPr>
          <w:bCs/>
          <w:color w:val="000000" w:themeColor="text1"/>
        </w:rPr>
        <w:t>s</w:t>
      </w:r>
      <w:r w:rsidRPr="00A52AB8">
        <w:rPr>
          <w:bCs/>
          <w:color w:val="000000" w:themeColor="text1"/>
        </w:rPr>
        <w:t xml:space="preserve">_atlas_count_minus1 shall be less than or equal to ptc_max_atlas_count_minus1. When not present, ptc_max_atlas_count_minus1 is </w:t>
      </w:r>
      <w:r w:rsidR="004A130A" w:rsidRPr="00A52AB8">
        <w:rPr>
          <w:bCs/>
          <w:color w:val="000000" w:themeColor="text1"/>
        </w:rPr>
        <w:t xml:space="preserve">inferred </w:t>
      </w:r>
      <w:r w:rsidRPr="00A52AB8">
        <w:rPr>
          <w:bCs/>
          <w:color w:val="000000" w:themeColor="text1"/>
        </w:rPr>
        <w:t xml:space="preserve">to be equal to </w:t>
      </w:r>
      <w:r w:rsidR="00042108" w:rsidRPr="00A52AB8">
        <w:rPr>
          <w:bCs/>
          <w:color w:val="000000" w:themeColor="text1"/>
        </w:rPr>
        <w:t>63</w:t>
      </w:r>
      <w:r w:rsidRPr="00A52AB8">
        <w:rPr>
          <w:bCs/>
          <w:color w:val="000000" w:themeColor="text1"/>
        </w:rPr>
        <w:t>.</w:t>
      </w:r>
    </w:p>
    <w:p w14:paraId="05B6E662" w14:textId="77777777" w:rsidR="00612C6C" w:rsidRPr="00A52AB8" w:rsidRDefault="00612C6C" w:rsidP="00612C6C">
      <w:pPr>
        <w:rPr>
          <w:bCs/>
          <w:color w:val="000000" w:themeColor="text1"/>
        </w:rPr>
      </w:pPr>
      <w:r w:rsidRPr="00A52AB8">
        <w:rPr>
          <w:b/>
          <w:color w:val="000000" w:themeColor="text1"/>
        </w:rPr>
        <w:t>ptc_multiple_map_streams_constraint_flag</w:t>
      </w:r>
      <w:r w:rsidRPr="00A52AB8">
        <w:rPr>
          <w:bCs/>
          <w:color w:val="000000" w:themeColor="text1"/>
        </w:rPr>
        <w:t xml:space="preserve"> equal to 1 specifies that vp</w:t>
      </w:r>
      <w:r w:rsidR="00EC233D" w:rsidRPr="00A52AB8">
        <w:rPr>
          <w:bCs/>
          <w:color w:val="000000" w:themeColor="text1"/>
        </w:rPr>
        <w:t>s</w:t>
      </w:r>
      <w:r w:rsidRPr="00A52AB8">
        <w:rPr>
          <w:bCs/>
          <w:color w:val="000000" w:themeColor="text1"/>
        </w:rPr>
        <w:t xml:space="preserve">_multiple_map_streams_present_flag shall be equal to 0. ptc_multiple_map_streams_constraint_flag equal to 0 does not impose a constraint. When not present, ptc_multiple_map_streams_constraint_flag is </w:t>
      </w:r>
      <w:r w:rsidR="004A130A" w:rsidRPr="00A52AB8">
        <w:rPr>
          <w:bCs/>
          <w:color w:val="000000" w:themeColor="text1"/>
        </w:rPr>
        <w:t xml:space="preserve">inferred </w:t>
      </w:r>
      <w:r w:rsidRPr="00A52AB8">
        <w:rPr>
          <w:bCs/>
          <w:color w:val="000000" w:themeColor="text1"/>
        </w:rPr>
        <w:t>to be equal to 0.</w:t>
      </w:r>
    </w:p>
    <w:p w14:paraId="54B0E29D" w14:textId="77777777" w:rsidR="00612C6C" w:rsidRPr="00A52AB8" w:rsidRDefault="00612C6C" w:rsidP="00612C6C">
      <w:pPr>
        <w:rPr>
          <w:bCs/>
          <w:color w:val="000000" w:themeColor="text1"/>
        </w:rPr>
      </w:pPr>
      <w:r w:rsidRPr="00A52AB8">
        <w:rPr>
          <w:b/>
          <w:color w:val="000000" w:themeColor="text1"/>
        </w:rPr>
        <w:t>ptc_</w:t>
      </w:r>
      <w:r w:rsidR="00D375CC" w:rsidRPr="00A52AB8">
        <w:rPr>
          <w:b/>
          <w:color w:val="000000" w:themeColor="text1"/>
        </w:rPr>
        <w:t>plr</w:t>
      </w:r>
      <w:r w:rsidRPr="00A52AB8">
        <w:rPr>
          <w:b/>
          <w:color w:val="000000" w:themeColor="text1"/>
        </w:rPr>
        <w:t>_constraint_flag</w:t>
      </w:r>
      <w:r w:rsidRPr="00A52AB8">
        <w:rPr>
          <w:bCs/>
          <w:color w:val="000000" w:themeColor="text1"/>
        </w:rPr>
        <w:t xml:space="preserve"> equal to 1 specifies that asps_</w:t>
      </w:r>
      <w:r w:rsidR="00D375CC" w:rsidRPr="00A52AB8">
        <w:rPr>
          <w:bCs/>
          <w:color w:val="000000" w:themeColor="text1"/>
        </w:rPr>
        <w:t>plr</w:t>
      </w:r>
      <w:r w:rsidRPr="00A52AB8">
        <w:rPr>
          <w:bCs/>
          <w:color w:val="000000" w:themeColor="text1"/>
        </w:rPr>
        <w:t>_enabled_flag shall be equal to 0. ptc_</w:t>
      </w:r>
      <w:r w:rsidR="00D375CC" w:rsidRPr="00A52AB8">
        <w:rPr>
          <w:bCs/>
          <w:color w:val="000000" w:themeColor="text1"/>
        </w:rPr>
        <w:t>plr</w:t>
      </w:r>
      <w:r w:rsidRPr="00A52AB8">
        <w:rPr>
          <w:bCs/>
          <w:color w:val="000000" w:themeColor="text1"/>
        </w:rPr>
        <w:t>_constraint_flag equal to 0 does not impose a constraint. When not present, ptc_</w:t>
      </w:r>
      <w:r w:rsidR="00D375CC" w:rsidRPr="00A52AB8">
        <w:rPr>
          <w:bCs/>
          <w:color w:val="000000" w:themeColor="text1"/>
        </w:rPr>
        <w:t>plr</w:t>
      </w:r>
      <w:r w:rsidRPr="00A52AB8">
        <w:rPr>
          <w:bCs/>
          <w:color w:val="000000" w:themeColor="text1"/>
        </w:rPr>
        <w:t xml:space="preserve">_constraint_flag is </w:t>
      </w:r>
      <w:r w:rsidR="004A130A" w:rsidRPr="00A52AB8">
        <w:rPr>
          <w:bCs/>
          <w:color w:val="000000" w:themeColor="text1"/>
        </w:rPr>
        <w:t xml:space="preserve">inferred </w:t>
      </w:r>
      <w:r w:rsidRPr="00A52AB8">
        <w:rPr>
          <w:bCs/>
          <w:color w:val="000000" w:themeColor="text1"/>
        </w:rPr>
        <w:t>to be equal to 0.</w:t>
      </w:r>
    </w:p>
    <w:p w14:paraId="20F296E6" w14:textId="77777777" w:rsidR="00612C6C" w:rsidRPr="00A52AB8" w:rsidRDefault="00612C6C" w:rsidP="00612C6C">
      <w:pPr>
        <w:rPr>
          <w:bCs/>
          <w:color w:val="000000" w:themeColor="text1"/>
        </w:rPr>
      </w:pPr>
      <w:r w:rsidRPr="00A52AB8">
        <w:rPr>
          <w:b/>
          <w:color w:val="000000" w:themeColor="text1"/>
        </w:rPr>
        <w:t>ptc_attribute_max_dimension_minus1</w:t>
      </w:r>
      <w:r w:rsidRPr="00A52AB8">
        <w:rPr>
          <w:bCs/>
          <w:color w:val="000000" w:themeColor="text1"/>
        </w:rPr>
        <w:t xml:space="preserve"> specifies that ai_attribute_dimension_minus1 shall be less than or equal to ptc_attribute_max_dimension_minus1. When not present, ptc_attribute_max_dimension_minus1 is </w:t>
      </w:r>
      <w:r w:rsidR="004A130A" w:rsidRPr="00A52AB8">
        <w:rPr>
          <w:bCs/>
          <w:color w:val="000000" w:themeColor="text1"/>
        </w:rPr>
        <w:t xml:space="preserve">inferred </w:t>
      </w:r>
      <w:r w:rsidRPr="00A52AB8">
        <w:rPr>
          <w:bCs/>
          <w:color w:val="000000" w:themeColor="text1"/>
        </w:rPr>
        <w:t>to be equal to 63.</w:t>
      </w:r>
    </w:p>
    <w:p w14:paraId="1593C4AF" w14:textId="77777777" w:rsidR="00612C6C" w:rsidRPr="00A52AB8" w:rsidRDefault="00612C6C" w:rsidP="00612C6C">
      <w:pPr>
        <w:rPr>
          <w:bCs/>
          <w:color w:val="000000" w:themeColor="text1"/>
        </w:rPr>
      </w:pPr>
      <w:r w:rsidRPr="00A52AB8">
        <w:rPr>
          <w:b/>
          <w:color w:val="000000" w:themeColor="text1"/>
        </w:rPr>
        <w:t>ptc_attribute_max_dimension_partitions_minus1</w:t>
      </w:r>
      <w:r w:rsidRPr="00A52AB8">
        <w:rPr>
          <w:bCs/>
          <w:color w:val="000000" w:themeColor="text1"/>
        </w:rPr>
        <w:t xml:space="preserve"> specifies that ai_attribute_dimension_partitions_minus1 shall be less than or equal to ptc_attribute_max_dimension_partitions_minus1. When not present, ptc_attribute_max_dimension_partitions_minus1</w:t>
      </w:r>
      <w:r w:rsidR="00DF7AB8" w:rsidRPr="00A52AB8">
        <w:rPr>
          <w:bCs/>
          <w:color w:val="000000" w:themeColor="text1"/>
        </w:rPr>
        <w:t xml:space="preserve"> </w:t>
      </w:r>
      <w:r w:rsidRPr="00A52AB8">
        <w:rPr>
          <w:bCs/>
          <w:color w:val="000000" w:themeColor="text1"/>
        </w:rPr>
        <w:t xml:space="preserve">is </w:t>
      </w:r>
      <w:r w:rsidR="004A130A" w:rsidRPr="00A52AB8">
        <w:rPr>
          <w:bCs/>
          <w:color w:val="000000" w:themeColor="text1"/>
        </w:rPr>
        <w:t xml:space="preserve">inferred </w:t>
      </w:r>
      <w:r w:rsidRPr="00A52AB8">
        <w:rPr>
          <w:bCs/>
          <w:color w:val="000000" w:themeColor="text1"/>
        </w:rPr>
        <w:t>to be equal to 63.</w:t>
      </w:r>
    </w:p>
    <w:p w14:paraId="60ED19DB" w14:textId="77777777" w:rsidR="00612C6C" w:rsidRPr="00A52AB8" w:rsidRDefault="00612C6C" w:rsidP="00612C6C">
      <w:pPr>
        <w:rPr>
          <w:bCs/>
          <w:color w:val="000000" w:themeColor="text1"/>
        </w:rPr>
      </w:pPr>
      <w:r w:rsidRPr="00A52AB8">
        <w:rPr>
          <w:b/>
          <w:color w:val="000000" w:themeColor="text1"/>
        </w:rPr>
        <w:t>ptc_no_eight_orientations_constraint_flag</w:t>
      </w:r>
      <w:r w:rsidRPr="00A52AB8">
        <w:rPr>
          <w:bCs/>
          <w:color w:val="000000" w:themeColor="text1"/>
        </w:rPr>
        <w:t xml:space="preserve"> equal to 1 specifies that asps_use_eight_orientations_flag shall be equal to 0. ptc_no_eight_orientations_constraint_flag equal to 0 does not impose a constraint. When not present, ptc_no_eight_orientations_constraint_flag is </w:t>
      </w:r>
      <w:r w:rsidR="004A130A" w:rsidRPr="00A52AB8">
        <w:rPr>
          <w:bCs/>
          <w:color w:val="000000" w:themeColor="text1"/>
        </w:rPr>
        <w:t xml:space="preserve">inferred </w:t>
      </w:r>
      <w:r w:rsidRPr="00A52AB8">
        <w:rPr>
          <w:bCs/>
          <w:color w:val="000000" w:themeColor="text1"/>
        </w:rPr>
        <w:t>to be equal to 0.</w:t>
      </w:r>
    </w:p>
    <w:p w14:paraId="1BEF5901" w14:textId="77777777" w:rsidR="0050235C" w:rsidRPr="00A52AB8" w:rsidRDefault="00612C6C" w:rsidP="00612C6C">
      <w:pPr>
        <w:rPr>
          <w:bCs/>
          <w:color w:val="000000" w:themeColor="text1"/>
        </w:rPr>
      </w:pPr>
      <w:r w:rsidRPr="00A52AB8">
        <w:rPr>
          <w:b/>
          <w:color w:val="000000" w:themeColor="text1"/>
        </w:rPr>
        <w:t>ptc_45degree_no_projection_patch_constraint_flag</w:t>
      </w:r>
      <w:r w:rsidRPr="00A52AB8">
        <w:rPr>
          <w:bCs/>
          <w:color w:val="000000" w:themeColor="text1"/>
        </w:rPr>
        <w:t xml:space="preserve"> equal to 1 specifies that </w:t>
      </w:r>
      <w:r w:rsidR="000F76EF" w:rsidRPr="00A52AB8">
        <w:rPr>
          <w:bCs/>
          <w:color w:val="000000" w:themeColor="text1"/>
        </w:rPr>
        <w:t>asps_extended_projection_enabled_flag</w:t>
      </w:r>
      <w:r w:rsidRPr="00A52AB8">
        <w:rPr>
          <w:bCs/>
          <w:color w:val="000000" w:themeColor="text1"/>
        </w:rPr>
        <w:t xml:space="preserve"> shall be equal to 0.</w:t>
      </w:r>
    </w:p>
    <w:p w14:paraId="0305CDD0" w14:textId="6A0D5128" w:rsidR="00612C6C" w:rsidRPr="00A52AB8" w:rsidRDefault="00612C6C" w:rsidP="00612C6C">
      <w:pPr>
        <w:rPr>
          <w:bCs/>
          <w:color w:val="000000" w:themeColor="text1"/>
        </w:rPr>
      </w:pPr>
      <w:r w:rsidRPr="00A52AB8">
        <w:rPr>
          <w:bCs/>
          <w:color w:val="000000" w:themeColor="text1"/>
        </w:rPr>
        <w:t xml:space="preserve">ptc_45degree_no_projection_patch_constraint_flag equal to 0 does not impose a constraint. When not present, ptc_45degree_no_projection_patch_constraint_flag is </w:t>
      </w:r>
      <w:r w:rsidR="004A130A" w:rsidRPr="00A52AB8">
        <w:rPr>
          <w:bCs/>
          <w:color w:val="000000" w:themeColor="text1"/>
        </w:rPr>
        <w:t xml:space="preserve">inferred </w:t>
      </w:r>
      <w:r w:rsidRPr="00A52AB8">
        <w:rPr>
          <w:bCs/>
          <w:color w:val="000000" w:themeColor="text1"/>
        </w:rPr>
        <w:t>to be equal to 0.</w:t>
      </w:r>
    </w:p>
    <w:p w14:paraId="10B56395" w14:textId="5B695303" w:rsidR="00612C6C" w:rsidRPr="00A52AB8" w:rsidRDefault="00612C6C" w:rsidP="00612C6C">
      <w:pPr>
        <w:rPr>
          <w:bCs/>
          <w:color w:val="000000" w:themeColor="text1"/>
        </w:rPr>
      </w:pPr>
      <w:r w:rsidRPr="00A52AB8">
        <w:rPr>
          <w:b/>
          <w:color w:val="000000" w:themeColor="text1"/>
        </w:rPr>
        <w:t xml:space="preserve">ptc_reserved_zero_6bits </w:t>
      </w:r>
      <w:r w:rsidRPr="00A52AB8">
        <w:rPr>
          <w:bCs/>
          <w:color w:val="000000" w:themeColor="text1"/>
        </w:rPr>
        <w:t>shall be equal to 0 in bitstreams conforming to this version of this document. Other values of ptc_reserved_zero_6bits are reserved for future use by ISO/IEC and shall not be present in bitstreams conforming to this version of this document.</w:t>
      </w:r>
      <w:r w:rsidR="00257AD4" w:rsidRPr="00A52AB8">
        <w:rPr>
          <w:bCs/>
          <w:color w:val="000000" w:themeColor="text1"/>
        </w:rPr>
        <w:t xml:space="preserve"> Decoders conforming to this version of this document shall ignore values of ptc_reserved_zero_6bits</w:t>
      </w:r>
      <w:r w:rsidR="00257AD4" w:rsidRPr="00A52AB8">
        <w:rPr>
          <w:b/>
          <w:color w:val="000000" w:themeColor="text1"/>
        </w:rPr>
        <w:t xml:space="preserve"> </w:t>
      </w:r>
      <w:r w:rsidR="00257AD4" w:rsidRPr="00A52AB8">
        <w:rPr>
          <w:bCs/>
          <w:color w:val="000000" w:themeColor="text1"/>
        </w:rPr>
        <w:t>other than 0.</w:t>
      </w:r>
    </w:p>
    <w:p w14:paraId="19B9F565" w14:textId="58DC7D83" w:rsidR="00612C6C" w:rsidRPr="00A52AB8" w:rsidRDefault="00612C6C" w:rsidP="00612C6C">
      <w:pPr>
        <w:rPr>
          <w:bCs/>
          <w:color w:val="000000" w:themeColor="text1"/>
        </w:rPr>
      </w:pPr>
      <w:r w:rsidRPr="00A52AB8">
        <w:rPr>
          <w:b/>
          <w:color w:val="000000" w:themeColor="text1"/>
        </w:rPr>
        <w:t>ptc_num_reserved_constraint_bytes</w:t>
      </w:r>
      <w:r w:rsidRPr="00A52AB8">
        <w:rPr>
          <w:bCs/>
          <w:color w:val="000000" w:themeColor="text1"/>
        </w:rPr>
        <w:t xml:space="preserve"> specifies the number of the reserved constraint bytes. The value of ptc_num_reserved_constraint_bytes shall be 0 in bitstreams conforming to this version of this document. Other values of ptc_num_reserved_constraint_bytes are reserved for future use by ISO/IEC and shall not be present in bitstreams conforming to this version of this document.</w:t>
      </w:r>
      <w:r w:rsidR="00257AD4" w:rsidRPr="00A52AB8">
        <w:rPr>
          <w:bCs/>
          <w:color w:val="000000" w:themeColor="text1"/>
        </w:rPr>
        <w:t xml:space="preserve"> Decoders conforming to this version of this document shall ignore values of ptc_num_reserved_constraint_bytes other than 0.</w:t>
      </w:r>
    </w:p>
    <w:p w14:paraId="0E07D8E5" w14:textId="77777777" w:rsidR="00D51FCC" w:rsidRPr="00A52AB8" w:rsidRDefault="00612C6C" w:rsidP="00612C6C">
      <w:pPr>
        <w:rPr>
          <w:bCs/>
          <w:color w:val="000000" w:themeColor="text1"/>
        </w:rPr>
      </w:pPr>
      <w:r w:rsidRPr="00A52AB8">
        <w:rPr>
          <w:b/>
          <w:color w:val="000000" w:themeColor="text1"/>
        </w:rPr>
        <w:t>ptc_reserved_constraint_byte</w:t>
      </w:r>
      <w:r w:rsidRPr="00A52AB8">
        <w:rPr>
          <w:bCs/>
          <w:color w:val="000000" w:themeColor="text1"/>
        </w:rPr>
        <w:t>[ i ] may have any value. Its presence and value do not affect decoder conformance to profiles specified in this version of this document. Decoders conforming to this version of this document shall ignore the values of all the ptc_reserved_constraint_byte[ i ] syntax elements.</w:t>
      </w:r>
    </w:p>
    <w:p w14:paraId="3566D198" w14:textId="77777777" w:rsidR="00056233" w:rsidRDefault="00056233" w:rsidP="00056233">
      <w:pPr>
        <w:pStyle w:val="Heading4"/>
        <w:tabs>
          <w:tab w:val="num" w:pos="1080"/>
        </w:tabs>
        <w:rPr>
          <w:lang w:val="en-US"/>
        </w:rPr>
      </w:pPr>
      <w:bookmarkStart w:id="979" w:name="_Toc21428389"/>
      <w:bookmarkStart w:id="980" w:name="_Toc21447895"/>
      <w:bookmarkStart w:id="981" w:name="_Toc21505831"/>
      <w:bookmarkStart w:id="982" w:name="_Toc21509977"/>
      <w:bookmarkStart w:id="983" w:name="_Toc21531921"/>
      <w:bookmarkStart w:id="984" w:name="_Toc21535167"/>
      <w:bookmarkStart w:id="985" w:name="_Toc21520181"/>
      <w:bookmarkStart w:id="986" w:name="_Toc21521317"/>
      <w:bookmarkStart w:id="987" w:name="_Toc5629244"/>
      <w:bookmarkStart w:id="988" w:name="_Toc6411780"/>
      <w:bookmarkStart w:id="989" w:name="_Toc7093900"/>
      <w:bookmarkStart w:id="990" w:name="_Toc7458588"/>
      <w:bookmarkStart w:id="991" w:name="_Toc7459301"/>
      <w:bookmarkStart w:id="992" w:name="_Toc7681766"/>
      <w:bookmarkStart w:id="993" w:name="_Toc7702510"/>
      <w:bookmarkStart w:id="994" w:name="_Toc986704"/>
      <w:bookmarkStart w:id="995" w:name="_Toc1001245"/>
      <w:bookmarkStart w:id="996" w:name="_Toc1001782"/>
      <w:bookmarkStart w:id="997" w:name="_Toc1002596"/>
      <w:bookmarkStart w:id="998" w:name="_Toc1195833"/>
      <w:bookmarkStart w:id="999" w:name="_Toc1198853"/>
      <w:bookmarkStart w:id="1000" w:name="_Toc1380510"/>
      <w:bookmarkStart w:id="1001" w:name="_Toc1466876"/>
      <w:bookmarkStart w:id="1002" w:name="_Toc1476847"/>
      <w:bookmarkStart w:id="1003" w:name="_Toc1743247"/>
      <w:bookmarkStart w:id="1004" w:name="_Toc1743792"/>
      <w:bookmarkStart w:id="1005" w:name="_Toc986705"/>
      <w:bookmarkStart w:id="1006" w:name="_Toc1001246"/>
      <w:bookmarkStart w:id="1007" w:name="_Toc1001783"/>
      <w:bookmarkStart w:id="1008" w:name="_Toc1002597"/>
      <w:bookmarkStart w:id="1009" w:name="_Toc1195834"/>
      <w:bookmarkStart w:id="1010" w:name="_Toc1198854"/>
      <w:bookmarkStart w:id="1011" w:name="_Toc1380511"/>
      <w:bookmarkStart w:id="1012" w:name="_Toc1466877"/>
      <w:bookmarkStart w:id="1013" w:name="_Toc1476848"/>
      <w:bookmarkStart w:id="1014" w:name="_Toc1743248"/>
      <w:bookmarkStart w:id="1015" w:name="_Toc1743793"/>
      <w:bookmarkStart w:id="1016" w:name="_Toc986706"/>
      <w:bookmarkStart w:id="1017" w:name="_Toc1001247"/>
      <w:bookmarkStart w:id="1018" w:name="_Toc1001784"/>
      <w:bookmarkStart w:id="1019" w:name="_Toc1002598"/>
      <w:bookmarkStart w:id="1020" w:name="_Toc1195835"/>
      <w:bookmarkStart w:id="1021" w:name="_Toc1198855"/>
      <w:bookmarkStart w:id="1022" w:name="_Toc1380512"/>
      <w:bookmarkStart w:id="1023" w:name="_Toc1466878"/>
      <w:bookmarkStart w:id="1024" w:name="_Toc1476849"/>
      <w:bookmarkStart w:id="1025" w:name="_Toc1743249"/>
      <w:bookmarkStart w:id="1026" w:name="_Toc1743794"/>
      <w:bookmarkStart w:id="1027" w:name="_Toc986707"/>
      <w:bookmarkStart w:id="1028" w:name="_Toc1001248"/>
      <w:bookmarkStart w:id="1029" w:name="_Toc1001785"/>
      <w:bookmarkStart w:id="1030" w:name="_Toc1002599"/>
      <w:bookmarkStart w:id="1031" w:name="_Toc1195836"/>
      <w:bookmarkStart w:id="1032" w:name="_Toc1198856"/>
      <w:bookmarkStart w:id="1033" w:name="_Toc1380513"/>
      <w:bookmarkStart w:id="1034" w:name="_Toc1466879"/>
      <w:bookmarkStart w:id="1035" w:name="_Toc1476850"/>
      <w:bookmarkStart w:id="1036" w:name="_Toc1743250"/>
      <w:bookmarkStart w:id="1037" w:name="_Toc1743795"/>
      <w:bookmarkStart w:id="1038" w:name="_Toc986708"/>
      <w:bookmarkStart w:id="1039" w:name="_Toc1001249"/>
      <w:bookmarkStart w:id="1040" w:name="_Toc1001786"/>
      <w:bookmarkStart w:id="1041" w:name="_Toc1002600"/>
      <w:bookmarkStart w:id="1042" w:name="_Toc1195837"/>
      <w:bookmarkStart w:id="1043" w:name="_Toc1198857"/>
      <w:bookmarkStart w:id="1044" w:name="_Toc1380514"/>
      <w:bookmarkStart w:id="1045" w:name="_Toc1466880"/>
      <w:bookmarkStart w:id="1046" w:name="_Toc1476851"/>
      <w:bookmarkStart w:id="1047" w:name="_Toc1743251"/>
      <w:bookmarkStart w:id="1048" w:name="_Toc1743796"/>
      <w:bookmarkStart w:id="1049" w:name="_Toc986709"/>
      <w:bookmarkStart w:id="1050" w:name="_Toc1001250"/>
      <w:bookmarkStart w:id="1051" w:name="_Toc1001787"/>
      <w:bookmarkStart w:id="1052" w:name="_Toc1002601"/>
      <w:bookmarkStart w:id="1053" w:name="_Toc1195838"/>
      <w:bookmarkStart w:id="1054" w:name="_Toc1198858"/>
      <w:bookmarkStart w:id="1055" w:name="_Toc1380515"/>
      <w:bookmarkStart w:id="1056" w:name="_Toc1466881"/>
      <w:bookmarkStart w:id="1057" w:name="_Toc1476852"/>
      <w:bookmarkStart w:id="1058" w:name="_Toc1743252"/>
      <w:bookmarkStart w:id="1059" w:name="_Toc1743797"/>
      <w:bookmarkStart w:id="1060" w:name="_Toc5629245"/>
      <w:bookmarkStart w:id="1061" w:name="_Toc6411781"/>
      <w:bookmarkStart w:id="1062" w:name="_Toc7093901"/>
      <w:bookmarkStart w:id="1063" w:name="_Toc7458589"/>
      <w:bookmarkStart w:id="1064" w:name="_Toc7459302"/>
      <w:bookmarkStart w:id="1065" w:name="_Toc7681767"/>
      <w:bookmarkStart w:id="1066" w:name="_Toc7702511"/>
      <w:bookmarkStart w:id="1067" w:name="_Toc5629246"/>
      <w:bookmarkStart w:id="1068" w:name="_Toc6411782"/>
      <w:bookmarkStart w:id="1069" w:name="_Toc7093902"/>
      <w:bookmarkStart w:id="1070" w:name="_Toc7458590"/>
      <w:bookmarkStart w:id="1071" w:name="_Toc7459303"/>
      <w:bookmarkStart w:id="1072" w:name="_Toc7681768"/>
      <w:bookmarkStart w:id="1073" w:name="_Toc7702512"/>
      <w:bookmarkStart w:id="1074" w:name="_Toc5629247"/>
      <w:bookmarkStart w:id="1075" w:name="_Toc6411783"/>
      <w:bookmarkStart w:id="1076" w:name="_Toc7093903"/>
      <w:bookmarkStart w:id="1077" w:name="_Toc7458591"/>
      <w:bookmarkStart w:id="1078" w:name="_Toc7459304"/>
      <w:bookmarkStart w:id="1079" w:name="_Toc7681769"/>
      <w:bookmarkStart w:id="1080" w:name="_Toc7702513"/>
      <w:bookmarkStart w:id="1081" w:name="_Toc5629251"/>
      <w:bookmarkStart w:id="1082" w:name="_Toc6411787"/>
      <w:bookmarkStart w:id="1083" w:name="_Toc7093907"/>
      <w:bookmarkStart w:id="1084" w:name="_Toc7458595"/>
      <w:bookmarkStart w:id="1085" w:name="_Toc7459308"/>
      <w:bookmarkStart w:id="1086" w:name="_Toc7681773"/>
      <w:bookmarkStart w:id="1087" w:name="_Toc7702517"/>
      <w:bookmarkStart w:id="1088" w:name="_Toc5629252"/>
      <w:bookmarkStart w:id="1089" w:name="_Toc6411788"/>
      <w:bookmarkStart w:id="1090" w:name="_Toc7093908"/>
      <w:bookmarkStart w:id="1091" w:name="_Toc7458596"/>
      <w:bookmarkStart w:id="1092" w:name="_Toc7459309"/>
      <w:bookmarkStart w:id="1093" w:name="_Toc7681774"/>
      <w:bookmarkStart w:id="1094" w:name="_Toc7702518"/>
      <w:bookmarkStart w:id="1095" w:name="_Toc5629253"/>
      <w:bookmarkStart w:id="1096" w:name="_Toc6411789"/>
      <w:bookmarkStart w:id="1097" w:name="_Toc7093909"/>
      <w:bookmarkStart w:id="1098" w:name="_Toc7458597"/>
      <w:bookmarkStart w:id="1099" w:name="_Toc7459310"/>
      <w:bookmarkStart w:id="1100" w:name="_Toc7681775"/>
      <w:bookmarkStart w:id="1101" w:name="_Toc7702519"/>
      <w:bookmarkStart w:id="1102" w:name="_Toc5629259"/>
      <w:bookmarkStart w:id="1103" w:name="_Toc6411795"/>
      <w:bookmarkStart w:id="1104" w:name="_Toc7093915"/>
      <w:bookmarkStart w:id="1105" w:name="_Toc7458603"/>
      <w:bookmarkStart w:id="1106" w:name="_Toc7459316"/>
      <w:bookmarkStart w:id="1107" w:name="_Toc7681781"/>
      <w:bookmarkStart w:id="1108" w:name="_Toc7702525"/>
      <w:bookmarkStart w:id="1109" w:name="_Ref38315389"/>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r w:rsidRPr="1D081C78">
        <w:t>Pack</w:t>
      </w:r>
      <w:r>
        <w:t>ing</w:t>
      </w:r>
      <w:r w:rsidRPr="1D081C78">
        <w:t xml:space="preserve"> information</w:t>
      </w:r>
      <w:r w:rsidRPr="0068485C">
        <w:rPr>
          <w:lang w:val="en-US"/>
        </w:rPr>
        <w:t xml:space="preserve"> semantics</w:t>
      </w:r>
    </w:p>
    <w:p w14:paraId="44837601" w14:textId="77777777" w:rsidR="00056233" w:rsidRDefault="00056233" w:rsidP="00056233">
      <w:pPr>
        <w:rPr>
          <w:noProof/>
        </w:rPr>
      </w:pPr>
      <w:r>
        <w:rPr>
          <w:noProof/>
        </w:rPr>
        <w:t>Packed video</w:t>
      </w:r>
      <w:r w:rsidRPr="005C26E9">
        <w:rPr>
          <w:noProof/>
        </w:rPr>
        <w:t xml:space="preserve"> frame can be divided into one or more rectangular </w:t>
      </w:r>
      <w:r>
        <w:rPr>
          <w:noProof/>
        </w:rPr>
        <w:t>regions. One region shall be mapped to exactly one atlas tile</w:t>
      </w:r>
      <w:r w:rsidRPr="005C26E9">
        <w:rPr>
          <w:noProof/>
        </w:rPr>
        <w:t xml:space="preserve">. </w:t>
      </w:r>
      <w:r>
        <w:rPr>
          <w:noProof/>
        </w:rPr>
        <w:t>Rectangular regions of packed video frame</w:t>
      </w:r>
      <w:r w:rsidRPr="005C26E9">
        <w:rPr>
          <w:noProof/>
        </w:rPr>
        <w:t xml:space="preserve"> are not allowed to overlap. </w:t>
      </w:r>
    </w:p>
    <w:p w14:paraId="0252F0A4" w14:textId="07613994" w:rsidR="00056233" w:rsidRDefault="00056233" w:rsidP="00056233">
      <w:pPr>
        <w:rPr>
          <w:noProof/>
          <w:color w:val="000000" w:themeColor="text1"/>
        </w:rPr>
      </w:pPr>
      <w:r w:rsidRPr="000C07CE">
        <w:rPr>
          <w:b/>
          <w:bCs/>
          <w:color w:val="000000" w:themeColor="text1"/>
        </w:rPr>
        <w:lastRenderedPageBreak/>
        <w:t>pi</w:t>
      </w:r>
      <w:r w:rsidR="00312142">
        <w:rPr>
          <w:b/>
          <w:bCs/>
          <w:color w:val="000000" w:themeColor="text1"/>
        </w:rPr>
        <w:t>n</w:t>
      </w:r>
      <w:r w:rsidRPr="000C07CE">
        <w:rPr>
          <w:b/>
          <w:bCs/>
          <w:color w:val="000000" w:themeColor="text1"/>
        </w:rPr>
        <w:t>_codec_id</w:t>
      </w:r>
      <w:r w:rsidRPr="000C07CE">
        <w:rPr>
          <w:noProof/>
          <w:color w:val="000000" w:themeColor="text1"/>
        </w:rPr>
        <w:t>[ j ] indicates the identifier of the codec used to compress the packed video data for the atlas with ID j. pi</w:t>
      </w:r>
      <w:r w:rsidR="0040677A">
        <w:rPr>
          <w:noProof/>
          <w:color w:val="000000" w:themeColor="text1"/>
        </w:rPr>
        <w:t>n</w:t>
      </w:r>
      <w:r w:rsidRPr="000C07CE">
        <w:rPr>
          <w:noProof/>
          <w:color w:val="000000" w:themeColor="text1"/>
        </w:rPr>
        <w:t>_codec_id shall be in the range of 0 to 255, inclusive. This codec may be identified through a component codec mapping SEI message or through means outside this document.</w:t>
      </w:r>
    </w:p>
    <w:p w14:paraId="42E662C0" w14:textId="3D12700B" w:rsidR="00056233" w:rsidRPr="000C07CE" w:rsidRDefault="00056233" w:rsidP="00056233">
      <w:pPr>
        <w:rPr>
          <w:noProof/>
        </w:rPr>
      </w:pPr>
      <w:r w:rsidRPr="000C07CE">
        <w:rPr>
          <w:b/>
        </w:rPr>
        <w:t>pi</w:t>
      </w:r>
      <w:r w:rsidR="00312142">
        <w:rPr>
          <w:b/>
        </w:rPr>
        <w:t>n</w:t>
      </w:r>
      <w:r w:rsidRPr="000C07CE">
        <w:rPr>
          <w:b/>
        </w:rPr>
        <w:t>_regions_count_minus1</w:t>
      </w:r>
      <w:r w:rsidRPr="000C07CE">
        <w:rPr>
          <w:noProof/>
          <w:color w:val="000000" w:themeColor="text1"/>
        </w:rPr>
        <w:t>[ j ]</w:t>
      </w:r>
      <w:r w:rsidRPr="000C07CE">
        <w:rPr>
          <w:b/>
        </w:rPr>
        <w:t xml:space="preserve"> </w:t>
      </w:r>
      <w:r w:rsidRPr="000C07CE">
        <w:rPr>
          <w:noProof/>
          <w:color w:val="000000" w:themeColor="text1"/>
        </w:rPr>
        <w:t>plus 1 indicates the number of regions packed in one video frame for the atlas with ID j. pi</w:t>
      </w:r>
      <w:r w:rsidR="0040677A">
        <w:rPr>
          <w:noProof/>
          <w:color w:val="000000" w:themeColor="text1"/>
        </w:rPr>
        <w:t>n</w:t>
      </w:r>
      <w:r w:rsidRPr="000C07CE">
        <w:rPr>
          <w:noProof/>
          <w:color w:val="000000" w:themeColor="text1"/>
        </w:rPr>
        <w:t xml:space="preserve">_regions_count_minus1 shall be in the range of 0 to 7, inclusive. </w:t>
      </w:r>
      <w:r w:rsidRPr="000C07CE">
        <w:rPr>
          <w:noProof/>
        </w:rPr>
        <w:t xml:space="preserve">When not present, the value of </w:t>
      </w:r>
      <w:r w:rsidRPr="000C07CE">
        <w:rPr>
          <w:bCs/>
        </w:rPr>
        <w:t>pi</w:t>
      </w:r>
      <w:r w:rsidR="00312142">
        <w:rPr>
          <w:bCs/>
        </w:rPr>
        <w:t>n</w:t>
      </w:r>
      <w:r w:rsidRPr="000C07CE">
        <w:rPr>
          <w:bCs/>
        </w:rPr>
        <w:t>_regions_count_minus1</w:t>
      </w:r>
      <w:r w:rsidRPr="000C07CE">
        <w:rPr>
          <w:noProof/>
        </w:rPr>
        <w:t xml:space="preserve"> is inferred to be equal to 0.</w:t>
      </w:r>
    </w:p>
    <w:p w14:paraId="1B6728CF" w14:textId="54BF39A2" w:rsidR="00056233" w:rsidRPr="000C07CE" w:rsidRDefault="00056233" w:rsidP="00056233">
      <w:pPr>
        <w:rPr>
          <w:noProof/>
          <w:color w:val="000000" w:themeColor="text1"/>
        </w:rPr>
      </w:pPr>
      <w:r w:rsidRPr="000C07CE">
        <w:rPr>
          <w:b/>
          <w:bCs/>
          <w:color w:val="000000" w:themeColor="text1"/>
        </w:rPr>
        <w:t>pi</w:t>
      </w:r>
      <w:r w:rsidR="00312142">
        <w:rPr>
          <w:b/>
          <w:bCs/>
          <w:color w:val="000000" w:themeColor="text1"/>
        </w:rPr>
        <w:t>n</w:t>
      </w:r>
      <w:r w:rsidRPr="000C07CE">
        <w:rPr>
          <w:b/>
          <w:bCs/>
          <w:color w:val="000000" w:themeColor="text1"/>
        </w:rPr>
        <w:t>_region_tile_id</w:t>
      </w:r>
      <w:r w:rsidRPr="000C07CE">
        <w:rPr>
          <w:noProof/>
          <w:color w:val="000000" w:themeColor="text1"/>
        </w:rPr>
        <w:t>[ j ][ i ]</w:t>
      </w:r>
      <w:r w:rsidRPr="000C07CE" w:rsidDel="00885028">
        <w:rPr>
          <w:b/>
          <w:noProof/>
          <w:color w:val="000000" w:themeColor="text1"/>
        </w:rPr>
        <w:t xml:space="preserve"> </w:t>
      </w:r>
      <w:r w:rsidRPr="000C07CE">
        <w:rPr>
          <w:noProof/>
          <w:color w:val="000000" w:themeColor="text1"/>
        </w:rPr>
        <w:t xml:space="preserve">indicates the atlas tile ID, of the atlas with ID j, corresponding to the region with index i. </w:t>
      </w:r>
    </w:p>
    <w:p w14:paraId="5F955B7F" w14:textId="3ACEACE3" w:rsidR="00056233" w:rsidRPr="00DC7A6A" w:rsidRDefault="00056233" w:rsidP="00056233">
      <w:pPr>
        <w:rPr>
          <w:noProof/>
          <w:color w:val="000000" w:themeColor="text1"/>
        </w:rPr>
      </w:pPr>
      <w:r w:rsidRPr="000C07CE">
        <w:rPr>
          <w:b/>
        </w:rPr>
        <w:t>pi</w:t>
      </w:r>
      <w:r w:rsidR="00312142">
        <w:rPr>
          <w:b/>
        </w:rPr>
        <w:t>n</w:t>
      </w:r>
      <w:r w:rsidRPr="000C07CE">
        <w:rPr>
          <w:b/>
        </w:rPr>
        <w:t>_region_type_id_minus2</w:t>
      </w:r>
      <w:r w:rsidRPr="000C07CE">
        <w:rPr>
          <w:noProof/>
          <w:color w:val="000000" w:themeColor="text1"/>
        </w:rPr>
        <w:t>[ j ][ i ]</w:t>
      </w:r>
      <w:r w:rsidRPr="000C07CE" w:rsidDel="00885028">
        <w:rPr>
          <w:b/>
          <w:noProof/>
          <w:color w:val="000000" w:themeColor="text1"/>
        </w:rPr>
        <w:t xml:space="preserve"> </w:t>
      </w:r>
      <w:r w:rsidRPr="000C07CE">
        <w:rPr>
          <w:bCs/>
          <w:noProof/>
          <w:color w:val="000000" w:themeColor="text1"/>
        </w:rPr>
        <w:t>plus 2</w:t>
      </w:r>
      <w:r w:rsidRPr="000C07CE">
        <w:rPr>
          <w:b/>
          <w:noProof/>
          <w:color w:val="000000" w:themeColor="text1"/>
        </w:rPr>
        <w:t xml:space="preserve"> </w:t>
      </w:r>
      <w:r w:rsidRPr="000C07CE">
        <w:rPr>
          <w:noProof/>
          <w:color w:val="000000" w:themeColor="text1"/>
        </w:rPr>
        <w:t xml:space="preserve">indicates the ID of the region with index i for the atlas with ID j. The value of </w:t>
      </w:r>
      <w:r w:rsidRPr="000C07CE">
        <w:rPr>
          <w:bCs/>
        </w:rPr>
        <w:t>pi</w:t>
      </w:r>
      <w:r w:rsidR="00312142">
        <w:rPr>
          <w:bCs/>
        </w:rPr>
        <w:t>n</w:t>
      </w:r>
      <w:r w:rsidRPr="000C07CE">
        <w:rPr>
          <w:bCs/>
        </w:rPr>
        <w:t>_region_type_id_minus2</w:t>
      </w:r>
      <w:r w:rsidRPr="000C07CE">
        <w:rPr>
          <w:noProof/>
          <w:color w:val="000000" w:themeColor="text1"/>
        </w:rPr>
        <w:t>[ j ][ i ]</w:t>
      </w:r>
      <w:r w:rsidRPr="000C07CE" w:rsidDel="00885028">
        <w:rPr>
          <w:b/>
          <w:noProof/>
          <w:color w:val="000000" w:themeColor="text1"/>
        </w:rPr>
        <w:t xml:space="preserve"> </w:t>
      </w:r>
      <w:r w:rsidRPr="000C07CE">
        <w:rPr>
          <w:noProof/>
          <w:color w:val="000000" w:themeColor="text1"/>
        </w:rPr>
        <w:t>shall be in the range of 0 to 2, inclusive.</w:t>
      </w:r>
    </w:p>
    <w:p w14:paraId="7FE41038" w14:textId="378FE4DE" w:rsidR="00056233" w:rsidRPr="000C07CE" w:rsidRDefault="00056233" w:rsidP="00056233">
      <w:pPr>
        <w:rPr>
          <w:b/>
          <w:bCs/>
          <w:color w:val="000000" w:themeColor="text1"/>
        </w:rPr>
      </w:pPr>
      <w:r w:rsidRPr="000C07CE">
        <w:rPr>
          <w:b/>
        </w:rPr>
        <w:t>pi</w:t>
      </w:r>
      <w:r w:rsidR="00312142">
        <w:rPr>
          <w:b/>
        </w:rPr>
        <w:t>n</w:t>
      </w:r>
      <w:r w:rsidRPr="000C07CE">
        <w:rPr>
          <w:b/>
        </w:rPr>
        <w:t>_region_top_left_x</w:t>
      </w:r>
      <w:r w:rsidRPr="000C07CE">
        <w:rPr>
          <w:noProof/>
          <w:color w:val="000000" w:themeColor="text1"/>
        </w:rPr>
        <w:t>[ j ][ i ]</w:t>
      </w:r>
      <w:r w:rsidRPr="000C07CE" w:rsidDel="00885028">
        <w:rPr>
          <w:b/>
          <w:noProof/>
          <w:color w:val="000000" w:themeColor="text1"/>
        </w:rPr>
        <w:t xml:space="preserve"> </w:t>
      </w:r>
      <w:r w:rsidRPr="000C07CE">
        <w:rPr>
          <w:noProof/>
        </w:rPr>
        <w:t xml:space="preserve">specifies horizontal position of top left sample of </w:t>
      </w:r>
      <w:r w:rsidRPr="000C07CE">
        <w:rPr>
          <w:noProof/>
          <w:color w:val="000000" w:themeColor="text1"/>
        </w:rPr>
        <w:t>the region with index i for the atlas with ID j</w:t>
      </w:r>
      <w:r w:rsidRPr="000C07CE">
        <w:rPr>
          <w:noProof/>
        </w:rPr>
        <w:t xml:space="preserve"> in unit of luma samples in the packed video component frame. When not present, the value of </w:t>
      </w:r>
      <w:r w:rsidRPr="000C07CE">
        <w:rPr>
          <w:bCs/>
        </w:rPr>
        <w:t>pi</w:t>
      </w:r>
      <w:r w:rsidR="00312142">
        <w:rPr>
          <w:bCs/>
        </w:rPr>
        <w:t>n</w:t>
      </w:r>
      <w:r w:rsidRPr="000C07CE">
        <w:rPr>
          <w:bCs/>
        </w:rPr>
        <w:t>_region_top_left_x[ j ]</w:t>
      </w:r>
      <w:r w:rsidRPr="000C07CE">
        <w:rPr>
          <w:bCs/>
          <w:noProof/>
        </w:rPr>
        <w:t>[ i ]</w:t>
      </w:r>
      <w:r w:rsidRPr="000C07CE">
        <w:rPr>
          <w:noProof/>
        </w:rPr>
        <w:t xml:space="preserve"> is inferred to be equal to 0.</w:t>
      </w:r>
    </w:p>
    <w:p w14:paraId="6B4F2290" w14:textId="4B96CC17" w:rsidR="00056233" w:rsidRPr="000C07CE" w:rsidRDefault="00056233" w:rsidP="00056233">
      <w:pPr>
        <w:rPr>
          <w:b/>
          <w:bCs/>
          <w:color w:val="000000" w:themeColor="text1"/>
        </w:rPr>
      </w:pPr>
      <w:r w:rsidRPr="000C07CE">
        <w:rPr>
          <w:b/>
        </w:rPr>
        <w:t>pi</w:t>
      </w:r>
      <w:r w:rsidR="00312142">
        <w:rPr>
          <w:b/>
        </w:rPr>
        <w:t>n</w:t>
      </w:r>
      <w:r w:rsidRPr="000C07CE">
        <w:rPr>
          <w:b/>
        </w:rPr>
        <w:t>_region_top_left_y</w:t>
      </w:r>
      <w:r w:rsidRPr="000C07CE">
        <w:rPr>
          <w:noProof/>
          <w:color w:val="000000" w:themeColor="text1"/>
        </w:rPr>
        <w:t>[ j ][ i ]</w:t>
      </w:r>
      <w:r w:rsidRPr="000C07CE" w:rsidDel="00885028">
        <w:rPr>
          <w:b/>
          <w:noProof/>
          <w:color w:val="000000" w:themeColor="text1"/>
        </w:rPr>
        <w:t xml:space="preserve"> </w:t>
      </w:r>
      <w:r w:rsidRPr="000C07CE">
        <w:rPr>
          <w:noProof/>
        </w:rPr>
        <w:t xml:space="preserve">specifies vertical position of top left sample of </w:t>
      </w:r>
      <w:r w:rsidRPr="000C07CE">
        <w:rPr>
          <w:noProof/>
          <w:color w:val="000000" w:themeColor="text1"/>
        </w:rPr>
        <w:t>the region with index i for the atlas with ID j in</w:t>
      </w:r>
      <w:r w:rsidRPr="000C07CE">
        <w:rPr>
          <w:noProof/>
        </w:rPr>
        <w:t xml:space="preserve"> unit of luma samples in in the packed video component frame. When not present, the value of </w:t>
      </w:r>
      <w:r w:rsidRPr="000C07CE">
        <w:rPr>
          <w:bCs/>
        </w:rPr>
        <w:t>pi</w:t>
      </w:r>
      <w:r w:rsidR="00312142">
        <w:rPr>
          <w:bCs/>
        </w:rPr>
        <w:t>n</w:t>
      </w:r>
      <w:r w:rsidRPr="000C07CE">
        <w:rPr>
          <w:bCs/>
        </w:rPr>
        <w:t>_region_top_left_y[ j ]</w:t>
      </w:r>
      <w:r w:rsidRPr="000C07CE">
        <w:rPr>
          <w:bCs/>
          <w:noProof/>
        </w:rPr>
        <w:t>[ i ]</w:t>
      </w:r>
      <w:r w:rsidRPr="000C07CE">
        <w:rPr>
          <w:noProof/>
        </w:rPr>
        <w:t xml:space="preserve"> is inferred to be equal to 0.</w:t>
      </w:r>
    </w:p>
    <w:p w14:paraId="55EDCFA5" w14:textId="732062B9" w:rsidR="00056233" w:rsidRPr="00DC7A6A" w:rsidRDefault="00056233" w:rsidP="00056233">
      <w:pPr>
        <w:rPr>
          <w:noProof/>
        </w:rPr>
      </w:pPr>
      <w:r w:rsidRPr="000C07CE">
        <w:rPr>
          <w:b/>
        </w:rPr>
        <w:t>pi</w:t>
      </w:r>
      <w:r w:rsidR="00312142">
        <w:rPr>
          <w:b/>
        </w:rPr>
        <w:t>n</w:t>
      </w:r>
      <w:r w:rsidRPr="000C07CE">
        <w:rPr>
          <w:b/>
        </w:rPr>
        <w:t>_region_width_minus1</w:t>
      </w:r>
      <w:r w:rsidRPr="000C07CE">
        <w:rPr>
          <w:noProof/>
          <w:color w:val="000000" w:themeColor="text1"/>
        </w:rPr>
        <w:t>[ j ][ i ]</w:t>
      </w:r>
      <w:r w:rsidRPr="000C07CE">
        <w:rPr>
          <w:noProof/>
        </w:rPr>
        <w:t xml:space="preserve"> plus 1 specifies the width of the </w:t>
      </w:r>
      <w:r w:rsidRPr="000C07CE">
        <w:rPr>
          <w:noProof/>
          <w:color w:val="000000" w:themeColor="text1"/>
        </w:rPr>
        <w:t>the region with index i for the atlas with ID j</w:t>
      </w:r>
      <w:r w:rsidRPr="000C07CE">
        <w:rPr>
          <w:noProof/>
        </w:rPr>
        <w:t xml:space="preserve"> in units luma samples</w:t>
      </w:r>
      <w:r w:rsidRPr="00DC7A6A">
        <w:rPr>
          <w:noProof/>
        </w:rPr>
        <w:t>.</w:t>
      </w:r>
    </w:p>
    <w:p w14:paraId="1F43C4FC" w14:textId="3C784147" w:rsidR="00056233" w:rsidRPr="000C07CE" w:rsidRDefault="00056233" w:rsidP="00056233">
      <w:pPr>
        <w:rPr>
          <w:b/>
        </w:rPr>
      </w:pPr>
      <w:r w:rsidRPr="000C07CE">
        <w:rPr>
          <w:b/>
        </w:rPr>
        <w:t>pi</w:t>
      </w:r>
      <w:r w:rsidR="00312142">
        <w:rPr>
          <w:b/>
        </w:rPr>
        <w:t>n</w:t>
      </w:r>
      <w:r w:rsidRPr="000C07CE">
        <w:rPr>
          <w:b/>
        </w:rPr>
        <w:t>_region_height_minus1</w:t>
      </w:r>
      <w:r w:rsidRPr="000C07CE">
        <w:rPr>
          <w:bCs/>
        </w:rPr>
        <w:t xml:space="preserve">[ j ][ i ] plus 1 specifies the height of the </w:t>
      </w:r>
      <w:r w:rsidRPr="000C07CE">
        <w:rPr>
          <w:noProof/>
          <w:color w:val="000000" w:themeColor="text1"/>
        </w:rPr>
        <w:t>the region with index i for the atlas with ID j</w:t>
      </w:r>
      <w:r w:rsidRPr="000C07CE">
        <w:rPr>
          <w:bCs/>
        </w:rPr>
        <w:t xml:space="preserve"> in units of luma samples.</w:t>
      </w:r>
      <w:r w:rsidRPr="000C07CE">
        <w:rPr>
          <w:b/>
        </w:rPr>
        <w:t xml:space="preserve"> </w:t>
      </w:r>
    </w:p>
    <w:p w14:paraId="05E8BB70" w14:textId="6C6D1430" w:rsidR="00056233" w:rsidRPr="000C07CE" w:rsidRDefault="00056233" w:rsidP="00056233">
      <w:pPr>
        <w:rPr>
          <w:rFonts w:eastAsia="Malgun Gothic"/>
        </w:rPr>
      </w:pPr>
      <w:r w:rsidRPr="000C07CE">
        <w:rPr>
          <w:rFonts w:eastAsia="Malgun Gothic"/>
          <w:b/>
          <w:bCs/>
        </w:rPr>
        <w:t>pi</w:t>
      </w:r>
      <w:r w:rsidR="00312142">
        <w:rPr>
          <w:rFonts w:eastAsia="Malgun Gothic"/>
          <w:b/>
          <w:bCs/>
        </w:rPr>
        <w:t>n</w:t>
      </w:r>
      <w:r w:rsidRPr="000C07CE">
        <w:rPr>
          <w:rFonts w:eastAsia="Malgun Gothic"/>
          <w:b/>
          <w:bCs/>
        </w:rPr>
        <w:t>_</w:t>
      </w:r>
      <w:r w:rsidRPr="000C07CE">
        <w:rPr>
          <w:b/>
        </w:rPr>
        <w:t>region</w:t>
      </w:r>
      <w:r w:rsidRPr="000C07CE">
        <w:rPr>
          <w:b/>
          <w:noProof/>
          <w:color w:val="000000" w:themeColor="text1"/>
        </w:rPr>
        <w:t>_</w:t>
      </w:r>
      <w:r w:rsidRPr="000C07CE">
        <w:rPr>
          <w:rFonts w:eastAsia="Malgun Gothic"/>
          <w:b/>
          <w:bCs/>
        </w:rPr>
        <w:t>map_index</w:t>
      </w:r>
      <w:r w:rsidRPr="000C07CE">
        <w:rPr>
          <w:bCs/>
          <w:noProof/>
          <w:color w:val="000000" w:themeColor="text1"/>
        </w:rPr>
        <w:t>[ j ]</w:t>
      </w:r>
      <w:r w:rsidRPr="000C07CE">
        <w:rPr>
          <w:rFonts w:eastAsia="Malgun Gothic"/>
        </w:rPr>
        <w:t xml:space="preserve">[ i ] specifies the map index of the region </w:t>
      </w:r>
      <w:r>
        <w:rPr>
          <w:rFonts w:eastAsia="Malgun Gothic"/>
        </w:rPr>
        <w:t xml:space="preserve">with index i </w:t>
      </w:r>
      <w:r w:rsidRPr="000C07CE">
        <w:rPr>
          <w:rFonts w:eastAsia="Malgun Gothic"/>
        </w:rPr>
        <w:t xml:space="preserve">of the atlas with ID </w:t>
      </w:r>
      <w:r>
        <w:rPr>
          <w:rFonts w:eastAsia="Malgun Gothic"/>
        </w:rPr>
        <w:t>j</w:t>
      </w:r>
      <w:r w:rsidRPr="000C07CE">
        <w:rPr>
          <w:rFonts w:eastAsia="Malgun Gothic"/>
        </w:rPr>
        <w:t>.</w:t>
      </w:r>
    </w:p>
    <w:p w14:paraId="4C6B5A87" w14:textId="015E7D7A" w:rsidR="00056233" w:rsidRPr="000C07CE" w:rsidRDefault="00056233" w:rsidP="00056233">
      <w:pPr>
        <w:rPr>
          <w:rFonts w:eastAsia="Malgun Gothic"/>
        </w:rPr>
      </w:pPr>
      <w:r w:rsidRPr="000C07CE">
        <w:rPr>
          <w:b/>
          <w:noProof/>
          <w:color w:val="000000" w:themeColor="text1"/>
        </w:rPr>
        <w:t>pi</w:t>
      </w:r>
      <w:r w:rsidR="00312142">
        <w:rPr>
          <w:b/>
          <w:noProof/>
          <w:color w:val="000000" w:themeColor="text1"/>
        </w:rPr>
        <w:t>n</w:t>
      </w:r>
      <w:r w:rsidRPr="000C07CE">
        <w:rPr>
          <w:b/>
          <w:noProof/>
          <w:color w:val="000000" w:themeColor="text1"/>
        </w:rPr>
        <w:t>_region_rotation_flag</w:t>
      </w:r>
      <w:r w:rsidRPr="000C07CE">
        <w:rPr>
          <w:bCs/>
          <w:noProof/>
          <w:color w:val="000000" w:themeColor="text1"/>
        </w:rPr>
        <w:t xml:space="preserve">[ j ][ i ] </w:t>
      </w:r>
      <w:r w:rsidRPr="000C07CE">
        <w:rPr>
          <w:noProof/>
          <w:color w:val="000000" w:themeColor="text1"/>
        </w:rPr>
        <w:t xml:space="preserve">equal to 0 indicates that no rotation on the region with index i for the atlas with ID j is performed. </w:t>
      </w:r>
      <w:r w:rsidRPr="000C07CE">
        <w:rPr>
          <w:bCs/>
          <w:noProof/>
          <w:color w:val="000000" w:themeColor="text1"/>
        </w:rPr>
        <w:t>pi</w:t>
      </w:r>
      <w:r w:rsidR="00312142">
        <w:rPr>
          <w:bCs/>
          <w:noProof/>
          <w:color w:val="000000" w:themeColor="text1"/>
        </w:rPr>
        <w:t>n</w:t>
      </w:r>
      <w:r w:rsidRPr="000C07CE">
        <w:rPr>
          <w:bCs/>
          <w:noProof/>
          <w:color w:val="000000" w:themeColor="text1"/>
        </w:rPr>
        <w:t xml:space="preserve">_region_rotation_flag[ j ][ i ] </w:t>
      </w:r>
      <w:r w:rsidRPr="000C07CE">
        <w:rPr>
          <w:noProof/>
          <w:color w:val="000000" w:themeColor="text1"/>
        </w:rPr>
        <w:t>equal to 1 indicates that the region with index i for the atlas with ID j is rotated 90 degre</w:t>
      </w:r>
      <w:r>
        <w:rPr>
          <w:noProof/>
          <w:color w:val="000000" w:themeColor="text1"/>
        </w:rPr>
        <w:t>e</w:t>
      </w:r>
      <w:r w:rsidRPr="000C07CE">
        <w:rPr>
          <w:noProof/>
          <w:color w:val="000000" w:themeColor="text1"/>
        </w:rPr>
        <w:t>s.</w:t>
      </w:r>
    </w:p>
    <w:p w14:paraId="4D7CD8A4" w14:textId="37EAA59A" w:rsidR="00056233" w:rsidRPr="000C07CE" w:rsidRDefault="00056233" w:rsidP="00056233">
      <w:pPr>
        <w:rPr>
          <w:rFonts w:eastAsia="Malgun Gothic"/>
        </w:rPr>
      </w:pPr>
      <w:r w:rsidRPr="000C07CE">
        <w:rPr>
          <w:b/>
          <w:noProof/>
          <w:color w:val="000000" w:themeColor="text1"/>
        </w:rPr>
        <w:t>pi</w:t>
      </w:r>
      <w:r w:rsidR="00312142">
        <w:rPr>
          <w:b/>
          <w:noProof/>
          <w:color w:val="000000" w:themeColor="text1"/>
        </w:rPr>
        <w:t>n</w:t>
      </w:r>
      <w:r w:rsidRPr="000C07CE">
        <w:rPr>
          <w:b/>
          <w:noProof/>
          <w:color w:val="000000" w:themeColor="text1"/>
        </w:rPr>
        <w:t>_</w:t>
      </w:r>
      <w:r w:rsidRPr="000C07CE">
        <w:rPr>
          <w:b/>
        </w:rPr>
        <w:t>region</w:t>
      </w:r>
      <w:r w:rsidRPr="000C07CE">
        <w:rPr>
          <w:b/>
          <w:noProof/>
          <w:color w:val="000000" w:themeColor="text1"/>
        </w:rPr>
        <w:t>_auxiliary_data_flag</w:t>
      </w:r>
      <w:r w:rsidRPr="000C07CE">
        <w:rPr>
          <w:bCs/>
          <w:noProof/>
          <w:color w:val="000000" w:themeColor="text1"/>
        </w:rPr>
        <w:t xml:space="preserve">[ j ][ i ] </w:t>
      </w:r>
      <w:r w:rsidRPr="000C07CE">
        <w:rPr>
          <w:noProof/>
          <w:color w:val="000000" w:themeColor="text1"/>
        </w:rPr>
        <w:t xml:space="preserve">equal to 1 indicates that the region </w:t>
      </w:r>
      <w:r>
        <w:rPr>
          <w:noProof/>
          <w:color w:val="000000" w:themeColor="text1"/>
        </w:rPr>
        <w:t xml:space="preserve">with index i </w:t>
      </w:r>
      <w:r w:rsidRPr="000C07CE">
        <w:rPr>
          <w:noProof/>
          <w:color w:val="000000" w:themeColor="text1"/>
        </w:rPr>
        <w:t>of the atlas with ID j contains RAW and/or EOM coded points only. pi</w:t>
      </w:r>
      <w:r w:rsidR="0040677A">
        <w:rPr>
          <w:noProof/>
          <w:color w:val="000000" w:themeColor="text1"/>
        </w:rPr>
        <w:t>n</w:t>
      </w:r>
      <w:r w:rsidRPr="000C07CE">
        <w:rPr>
          <w:noProof/>
          <w:color w:val="000000" w:themeColor="text1"/>
        </w:rPr>
        <w:t>_</w:t>
      </w:r>
      <w:r w:rsidRPr="000C07CE">
        <w:rPr>
          <w:bCs/>
        </w:rPr>
        <w:t>region</w:t>
      </w:r>
      <w:r w:rsidRPr="000C07CE">
        <w:rPr>
          <w:noProof/>
          <w:color w:val="000000" w:themeColor="text1"/>
        </w:rPr>
        <w:t xml:space="preserve">_auxiliary_data_flag equal to 0 indicates that the region </w:t>
      </w:r>
      <w:r>
        <w:rPr>
          <w:noProof/>
          <w:color w:val="000000" w:themeColor="text1"/>
        </w:rPr>
        <w:t xml:space="preserve">with index i </w:t>
      </w:r>
      <w:r w:rsidRPr="000C07CE">
        <w:rPr>
          <w:noProof/>
          <w:color w:val="000000" w:themeColor="text1"/>
        </w:rPr>
        <w:t>of the atlas with ID j may contains RAW and/or EOM coded points.</w:t>
      </w:r>
    </w:p>
    <w:p w14:paraId="498FDF1F" w14:textId="7F08F0ED" w:rsidR="00056233" w:rsidRPr="000C07CE" w:rsidRDefault="00056233" w:rsidP="00056233">
      <w:r w:rsidRPr="000C07CE">
        <w:rPr>
          <w:b/>
          <w:noProof/>
          <w:color w:val="000000" w:themeColor="text1"/>
        </w:rPr>
        <w:t>pi</w:t>
      </w:r>
      <w:r w:rsidR="00312142">
        <w:rPr>
          <w:b/>
          <w:noProof/>
          <w:color w:val="000000" w:themeColor="text1"/>
        </w:rPr>
        <w:t>n</w:t>
      </w:r>
      <w:r w:rsidRPr="000C07CE">
        <w:rPr>
          <w:b/>
          <w:noProof/>
          <w:color w:val="000000" w:themeColor="text1"/>
        </w:rPr>
        <w:t>_</w:t>
      </w:r>
      <w:r w:rsidRPr="000C07CE">
        <w:rPr>
          <w:b/>
        </w:rPr>
        <w:t>region</w:t>
      </w:r>
      <w:r w:rsidRPr="000C07CE">
        <w:rPr>
          <w:b/>
          <w:noProof/>
          <w:color w:val="000000" w:themeColor="text1"/>
        </w:rPr>
        <w:t>_attr_type_id</w:t>
      </w:r>
      <w:r w:rsidRPr="000C07CE">
        <w:rPr>
          <w:bCs/>
          <w:noProof/>
          <w:color w:val="000000" w:themeColor="text1"/>
        </w:rPr>
        <w:t>[ j ][ i ]</w:t>
      </w:r>
      <w:r w:rsidRPr="000C07CE">
        <w:rPr>
          <w:noProof/>
          <w:color w:val="000000" w:themeColor="text1"/>
        </w:rPr>
        <w:t xml:space="preserve"> indicates the attribute type of </w:t>
      </w:r>
      <w:r w:rsidRPr="000C07CE">
        <w:rPr>
          <w:rFonts w:eastAsia="Malgun Gothic"/>
        </w:rPr>
        <w:t xml:space="preserve">the region </w:t>
      </w:r>
      <w:r>
        <w:rPr>
          <w:rFonts w:eastAsia="Malgun Gothic"/>
        </w:rPr>
        <w:t xml:space="preserve">with index i </w:t>
      </w:r>
      <w:r w:rsidRPr="000C07CE">
        <w:rPr>
          <w:rFonts w:eastAsia="Malgun Gothic"/>
        </w:rPr>
        <w:t>of the atlas with ID j</w:t>
      </w:r>
      <w:r w:rsidRPr="000C07CE">
        <w:rPr>
          <w:noProof/>
          <w:color w:val="000000" w:themeColor="text1"/>
        </w:rPr>
        <w:t xml:space="preserve">. Table 7.2 </w:t>
      </w:r>
      <w:r>
        <w:rPr>
          <w:noProof/>
          <w:color w:val="000000" w:themeColor="text1"/>
        </w:rPr>
        <w:t xml:space="preserve">of [V3C] </w:t>
      </w:r>
      <w:r w:rsidRPr="000C07CE">
        <w:rPr>
          <w:noProof/>
          <w:color w:val="000000" w:themeColor="text1"/>
        </w:rPr>
        <w:t>describes the list of supported attributes.</w:t>
      </w:r>
    </w:p>
    <w:p w14:paraId="2F6F9668" w14:textId="03925CFF" w:rsidR="00056233" w:rsidRPr="000C07CE" w:rsidRDefault="00056233" w:rsidP="00056233">
      <w:pPr>
        <w:rPr>
          <w:b/>
          <w:noProof/>
          <w:color w:val="000000" w:themeColor="text1"/>
        </w:rPr>
      </w:pPr>
      <w:r w:rsidRPr="000C07CE">
        <w:rPr>
          <w:b/>
          <w:noProof/>
          <w:color w:val="000000" w:themeColor="text1"/>
        </w:rPr>
        <w:t>pi</w:t>
      </w:r>
      <w:r w:rsidR="00312142">
        <w:rPr>
          <w:b/>
          <w:noProof/>
          <w:color w:val="000000" w:themeColor="text1"/>
        </w:rPr>
        <w:t>n</w:t>
      </w:r>
      <w:r w:rsidRPr="000C07CE">
        <w:rPr>
          <w:b/>
          <w:noProof/>
          <w:color w:val="000000" w:themeColor="text1"/>
        </w:rPr>
        <w:t>_</w:t>
      </w:r>
      <w:r w:rsidRPr="000C07CE">
        <w:rPr>
          <w:b/>
        </w:rPr>
        <w:t>region</w:t>
      </w:r>
      <w:r w:rsidRPr="000C07CE">
        <w:rPr>
          <w:b/>
          <w:noProof/>
          <w:color w:val="000000" w:themeColor="text1"/>
        </w:rPr>
        <w:t>_attr_partitions_flag</w:t>
      </w:r>
      <w:r w:rsidRPr="000C07CE">
        <w:rPr>
          <w:bCs/>
          <w:noProof/>
          <w:color w:val="000000" w:themeColor="text1"/>
        </w:rPr>
        <w:t>[ j ][ i ] equal to 1 indicates that the attribute with type pi</w:t>
      </w:r>
      <w:r w:rsidR="00312142">
        <w:rPr>
          <w:bCs/>
          <w:noProof/>
          <w:color w:val="000000" w:themeColor="text1"/>
        </w:rPr>
        <w:t>n</w:t>
      </w:r>
      <w:r w:rsidRPr="000C07CE">
        <w:rPr>
          <w:bCs/>
          <w:noProof/>
          <w:color w:val="000000" w:themeColor="text1"/>
        </w:rPr>
        <w:t>_</w:t>
      </w:r>
      <w:r w:rsidRPr="000C07CE">
        <w:rPr>
          <w:bCs/>
        </w:rPr>
        <w:t>region</w:t>
      </w:r>
      <w:r w:rsidRPr="000C07CE">
        <w:rPr>
          <w:bCs/>
          <w:noProof/>
          <w:color w:val="000000" w:themeColor="text1"/>
        </w:rPr>
        <w:t>_attr_type_id[ j ][ i ] contained in</w:t>
      </w:r>
      <w:r w:rsidRPr="000C07CE">
        <w:rPr>
          <w:noProof/>
          <w:color w:val="000000" w:themeColor="text1"/>
        </w:rPr>
        <w:t xml:space="preserve"> </w:t>
      </w:r>
      <w:r w:rsidRPr="000C07CE">
        <w:rPr>
          <w:rFonts w:eastAsia="Malgun Gothic"/>
        </w:rPr>
        <w:t xml:space="preserve">the region </w:t>
      </w:r>
      <w:r>
        <w:rPr>
          <w:rFonts w:eastAsia="Malgun Gothic"/>
        </w:rPr>
        <w:t xml:space="preserve">with index i </w:t>
      </w:r>
      <w:r w:rsidRPr="000C07CE">
        <w:rPr>
          <w:rFonts w:eastAsia="Malgun Gothic"/>
        </w:rPr>
        <w:t xml:space="preserve">of the atlas with ID j is part of an attribute with more than one partition. </w:t>
      </w:r>
      <w:r w:rsidRPr="000C07CE">
        <w:rPr>
          <w:bCs/>
          <w:noProof/>
          <w:color w:val="000000" w:themeColor="text1"/>
        </w:rPr>
        <w:t>pi</w:t>
      </w:r>
      <w:r w:rsidR="00312142">
        <w:rPr>
          <w:bCs/>
          <w:noProof/>
          <w:color w:val="000000" w:themeColor="text1"/>
        </w:rPr>
        <w:t>n</w:t>
      </w:r>
      <w:r w:rsidRPr="000C07CE">
        <w:rPr>
          <w:bCs/>
          <w:noProof/>
          <w:color w:val="000000" w:themeColor="text1"/>
        </w:rPr>
        <w:t>_region_attr_partitions_flag[ j ][ i ] equal to 0 indicates that the attribute with type pi</w:t>
      </w:r>
      <w:r w:rsidR="00312142">
        <w:rPr>
          <w:bCs/>
          <w:noProof/>
          <w:color w:val="000000" w:themeColor="text1"/>
        </w:rPr>
        <w:t>n</w:t>
      </w:r>
      <w:r w:rsidRPr="000C07CE">
        <w:rPr>
          <w:bCs/>
          <w:noProof/>
          <w:color w:val="000000" w:themeColor="text1"/>
        </w:rPr>
        <w:t>_region_attr_type_id[ j ][ i ] has only one partition.</w:t>
      </w:r>
    </w:p>
    <w:p w14:paraId="66E9EE11" w14:textId="0D58AEBC" w:rsidR="00056233" w:rsidRPr="000C07CE" w:rsidRDefault="00056233" w:rsidP="00056233">
      <w:pPr>
        <w:rPr>
          <w:bCs/>
          <w:noProof/>
          <w:color w:val="000000" w:themeColor="text1"/>
        </w:rPr>
      </w:pPr>
      <w:r w:rsidRPr="000C07CE">
        <w:rPr>
          <w:b/>
          <w:noProof/>
          <w:color w:val="000000" w:themeColor="text1"/>
        </w:rPr>
        <w:t>pi</w:t>
      </w:r>
      <w:r w:rsidR="00312142">
        <w:rPr>
          <w:b/>
          <w:noProof/>
          <w:color w:val="000000" w:themeColor="text1"/>
        </w:rPr>
        <w:t>n</w:t>
      </w:r>
      <w:r w:rsidRPr="000C07CE">
        <w:rPr>
          <w:b/>
          <w:noProof/>
          <w:color w:val="000000" w:themeColor="text1"/>
        </w:rPr>
        <w:t>_</w:t>
      </w:r>
      <w:r w:rsidRPr="000C07CE">
        <w:rPr>
          <w:b/>
        </w:rPr>
        <w:t>region</w:t>
      </w:r>
      <w:r w:rsidRPr="000C07CE">
        <w:rPr>
          <w:b/>
          <w:noProof/>
          <w:color w:val="000000" w:themeColor="text1"/>
        </w:rPr>
        <w:t>_attr_partition_index</w:t>
      </w:r>
      <w:r w:rsidRPr="000C07CE">
        <w:rPr>
          <w:bCs/>
          <w:noProof/>
          <w:color w:val="000000" w:themeColor="text1"/>
        </w:rPr>
        <w:t>[ j ][ i ]</w:t>
      </w:r>
      <w:r w:rsidRPr="000C07CE">
        <w:rPr>
          <w:noProof/>
          <w:color w:val="000000" w:themeColor="text1"/>
        </w:rPr>
        <w:t xml:space="preserve"> indicates the attribute partition index of </w:t>
      </w:r>
      <w:r w:rsidRPr="000C07CE">
        <w:rPr>
          <w:rFonts w:eastAsia="Malgun Gothic"/>
        </w:rPr>
        <w:t xml:space="preserve">the region </w:t>
      </w:r>
      <w:r>
        <w:rPr>
          <w:rFonts w:eastAsia="Malgun Gothic"/>
        </w:rPr>
        <w:t xml:space="preserve">with index i </w:t>
      </w:r>
      <w:r w:rsidRPr="000C07CE">
        <w:rPr>
          <w:rFonts w:eastAsia="Malgun Gothic"/>
        </w:rPr>
        <w:t>of the atlas with ID j</w:t>
      </w:r>
      <w:r w:rsidRPr="000C07CE">
        <w:t xml:space="preserve">. When not present, the value of </w:t>
      </w:r>
      <w:r w:rsidRPr="000C07CE">
        <w:rPr>
          <w:bCs/>
          <w:noProof/>
          <w:color w:val="000000" w:themeColor="text1"/>
        </w:rPr>
        <w:t>pi</w:t>
      </w:r>
      <w:r w:rsidR="00312142">
        <w:rPr>
          <w:bCs/>
          <w:noProof/>
          <w:color w:val="000000" w:themeColor="text1"/>
        </w:rPr>
        <w:t>n</w:t>
      </w:r>
      <w:r w:rsidRPr="000C07CE">
        <w:rPr>
          <w:bCs/>
          <w:noProof/>
          <w:color w:val="000000" w:themeColor="text1"/>
        </w:rPr>
        <w:t>_region_attr_partition_index[ j ][ i ] is inferred to be equal to 0.</w:t>
      </w:r>
    </w:p>
    <w:p w14:paraId="375EFDA9" w14:textId="41A1F3F7" w:rsidR="00056233" w:rsidRPr="00794F38" w:rsidRDefault="00056233" w:rsidP="00056233">
      <w:pPr>
        <w:rPr>
          <w:bCs/>
          <w:noProof/>
          <w:color w:val="000000" w:themeColor="text1"/>
        </w:rPr>
      </w:pPr>
      <w:r w:rsidRPr="000C07CE">
        <w:rPr>
          <w:b/>
          <w:noProof/>
          <w:color w:val="000000" w:themeColor="text1"/>
        </w:rPr>
        <w:t>pi</w:t>
      </w:r>
      <w:r w:rsidR="00312142">
        <w:rPr>
          <w:b/>
          <w:noProof/>
          <w:color w:val="000000" w:themeColor="text1"/>
        </w:rPr>
        <w:t>n</w:t>
      </w:r>
      <w:r w:rsidRPr="000C07CE">
        <w:rPr>
          <w:b/>
          <w:noProof/>
          <w:color w:val="000000" w:themeColor="text1"/>
        </w:rPr>
        <w:t>_attr</w:t>
      </w:r>
      <w:r w:rsidRPr="000C07CE">
        <w:rPr>
          <w:b/>
          <w:bCs/>
          <w:noProof/>
          <w:color w:val="000000" w:themeColor="text1"/>
        </w:rPr>
        <w:t>_partitions_minus1</w:t>
      </w:r>
      <w:r w:rsidRPr="000C07CE">
        <w:rPr>
          <w:bCs/>
          <w:noProof/>
          <w:color w:val="000000" w:themeColor="text1"/>
        </w:rPr>
        <w:t>[ j ][ i ] plus 1 indicates the number of partitions for the attribute with type ID pi</w:t>
      </w:r>
      <w:r w:rsidR="0040677A">
        <w:rPr>
          <w:bCs/>
          <w:noProof/>
          <w:color w:val="000000" w:themeColor="text1"/>
        </w:rPr>
        <w:t>n</w:t>
      </w:r>
      <w:r w:rsidRPr="000C07CE">
        <w:rPr>
          <w:bCs/>
          <w:noProof/>
          <w:color w:val="000000" w:themeColor="text1"/>
        </w:rPr>
        <w:t>_region_attr_type_id[ j ][ i ] for the atlas with ID j. pi</w:t>
      </w:r>
      <w:r w:rsidR="00312142">
        <w:rPr>
          <w:bCs/>
          <w:noProof/>
          <w:color w:val="000000" w:themeColor="text1"/>
        </w:rPr>
        <w:t>n</w:t>
      </w:r>
      <w:r w:rsidRPr="000C07CE">
        <w:rPr>
          <w:bCs/>
          <w:noProof/>
          <w:color w:val="000000" w:themeColor="text1"/>
        </w:rPr>
        <w:t>_attr_partitions_minus1</w:t>
      </w:r>
      <w:r w:rsidRPr="000C07CE">
        <w:rPr>
          <w:noProof/>
          <w:color w:val="000000" w:themeColor="text1"/>
        </w:rPr>
        <w:t>[ j ]</w:t>
      </w:r>
      <w:r w:rsidRPr="000C07CE">
        <w:rPr>
          <w:bCs/>
          <w:noProof/>
          <w:color w:val="000000" w:themeColor="text1"/>
        </w:rPr>
        <w:t>[ i ]</w:t>
      </w:r>
      <w:r w:rsidRPr="000C07CE">
        <w:rPr>
          <w:b/>
          <w:bCs/>
          <w:noProof/>
          <w:color w:val="000000" w:themeColor="text1"/>
        </w:rPr>
        <w:t xml:space="preserve"> </w:t>
      </w:r>
      <w:r w:rsidRPr="000C07CE">
        <w:rPr>
          <w:bCs/>
          <w:noProof/>
          <w:color w:val="000000" w:themeColor="text1"/>
        </w:rPr>
        <w:t>shall be in the range of 0 to 63, inclusive.</w:t>
      </w:r>
    </w:p>
    <w:p w14:paraId="5E187B51" w14:textId="5A9A6DCB" w:rsidR="0058019E" w:rsidRPr="00A52AB8" w:rsidRDefault="00AE5B5A">
      <w:pPr>
        <w:pStyle w:val="Heading3"/>
      </w:pPr>
      <w:bookmarkStart w:id="1110" w:name="_Toc52181616"/>
      <w:r w:rsidRPr="00A52AB8">
        <w:lastRenderedPageBreak/>
        <w:t>NAL</w:t>
      </w:r>
      <w:r w:rsidR="0058019E" w:rsidRPr="00A52AB8">
        <w:t xml:space="preserve"> unit semantics</w:t>
      </w:r>
      <w:bookmarkEnd w:id="1109"/>
      <w:bookmarkEnd w:id="1110"/>
    </w:p>
    <w:p w14:paraId="6C3FC01E" w14:textId="77777777" w:rsidR="0058019E" w:rsidRPr="00A52AB8" w:rsidRDefault="0058019E" w:rsidP="005C26E9">
      <w:pPr>
        <w:pStyle w:val="Heading4"/>
      </w:pPr>
      <w:r w:rsidRPr="00A52AB8">
        <w:t xml:space="preserve">General </w:t>
      </w:r>
      <w:r w:rsidR="00AE5B5A" w:rsidRPr="00A52AB8">
        <w:t>NAL</w:t>
      </w:r>
      <w:r w:rsidRPr="00A52AB8">
        <w:t xml:space="preserve"> unit semantics</w:t>
      </w:r>
    </w:p>
    <w:p w14:paraId="64BA3C1A" w14:textId="021EB24F" w:rsidR="002B2F38" w:rsidRPr="00A52AB8" w:rsidDel="00112A5D" w:rsidRDefault="002B2F38">
      <w:r w:rsidRPr="00A52AB8" w:rsidDel="00112A5D">
        <w:t>NumBytesIn</w:t>
      </w:r>
      <w:r w:rsidR="00AE5B5A" w:rsidRPr="00A52AB8">
        <w:t>Nal</w:t>
      </w:r>
      <w:r w:rsidRPr="00A52AB8" w:rsidDel="00112A5D">
        <w:t xml:space="preserve">Unit specifies the size of the </w:t>
      </w:r>
      <w:r w:rsidR="00AE5B5A" w:rsidRPr="00A52AB8">
        <w:t>NAL</w:t>
      </w:r>
      <w:r w:rsidRPr="00A52AB8" w:rsidDel="00112A5D">
        <w:t xml:space="preserve"> unit in bytes. This value is required for decoding of the </w:t>
      </w:r>
      <w:r w:rsidR="00AE5B5A" w:rsidRPr="00A52AB8">
        <w:t>NAL</w:t>
      </w:r>
      <w:r w:rsidRPr="00A52AB8" w:rsidDel="00112A5D">
        <w:t xml:space="preserve"> unit. Some form of demarcation of </w:t>
      </w:r>
      <w:r w:rsidR="00AE5B5A" w:rsidRPr="00A52AB8">
        <w:t>NAL</w:t>
      </w:r>
      <w:r w:rsidRPr="00A52AB8" w:rsidDel="00112A5D">
        <w:t xml:space="preserve"> unit boundaries is necessary to enable inference of NumBytesIn</w:t>
      </w:r>
      <w:r w:rsidR="00AE5B5A" w:rsidRPr="00A52AB8">
        <w:t>Nal</w:t>
      </w:r>
      <w:r w:rsidRPr="00A52AB8" w:rsidDel="00112A5D">
        <w:t>Unit. One such demarcation method is specified in</w:t>
      </w:r>
      <w:r w:rsidR="00115169" w:rsidRPr="00A52AB8">
        <w:t xml:space="preserve"> </w:t>
      </w:r>
      <w:r w:rsidR="00115169" w:rsidRPr="00496A4D">
        <w:fldChar w:fldCharType="begin"/>
      </w:r>
      <w:r w:rsidR="00115169" w:rsidRPr="00A52AB8">
        <w:instrText xml:space="preserve"> REF _Ref19022738 \r \h </w:instrText>
      </w:r>
      <w:r w:rsidR="00025423" w:rsidRPr="00A52AB8">
        <w:instrText xml:space="preserve"> \* MERGEFORMAT </w:instrText>
      </w:r>
      <w:r w:rsidR="00115169" w:rsidRPr="00496A4D">
        <w:fldChar w:fldCharType="separate"/>
      </w:r>
      <w:r w:rsidR="00507A67">
        <w:t>Annex D</w:t>
      </w:r>
      <w:r w:rsidR="00115169" w:rsidRPr="00496A4D">
        <w:fldChar w:fldCharType="end"/>
      </w:r>
      <w:r w:rsidRPr="00A52AB8" w:rsidDel="00112A5D">
        <w:t xml:space="preserve"> for the </w:t>
      </w:r>
      <w:r w:rsidRPr="00A52AB8">
        <w:t>sample</w:t>
      </w:r>
      <w:r w:rsidRPr="00A52AB8" w:rsidDel="00112A5D">
        <w:t xml:space="preserve"> stream format. Other methods of demarcation </w:t>
      </w:r>
      <w:r w:rsidR="004B61E4" w:rsidRPr="00A52AB8">
        <w:t>can</w:t>
      </w:r>
      <w:r w:rsidR="004B61E4" w:rsidRPr="00A52AB8" w:rsidDel="00112A5D">
        <w:t xml:space="preserve"> </w:t>
      </w:r>
      <w:r w:rsidRPr="00A52AB8" w:rsidDel="00112A5D">
        <w:t xml:space="preserve">be specified outside </w:t>
      </w:r>
      <w:r w:rsidR="001905CC" w:rsidRPr="00A52AB8">
        <w:t>this document</w:t>
      </w:r>
      <w:r w:rsidRPr="00A52AB8" w:rsidDel="00112A5D">
        <w:t>.</w:t>
      </w:r>
    </w:p>
    <w:p w14:paraId="57A09F5D" w14:textId="3370EE82" w:rsidR="002B2F38" w:rsidRPr="00A52AB8" w:rsidDel="00112A5D" w:rsidRDefault="002B2F38">
      <w:pPr>
        <w:pStyle w:val="Note1"/>
        <w:rPr>
          <w:rFonts w:ascii="Cambria" w:hAnsi="Cambria"/>
        </w:rPr>
      </w:pPr>
      <w:bookmarkStart w:id="1111" w:name="_Hlk41248160"/>
      <w:r w:rsidRPr="00A52AB8" w:rsidDel="00112A5D">
        <w:rPr>
          <w:rFonts w:ascii="Cambria" w:hAnsi="Cambria"/>
        </w:rPr>
        <w:t>NOTE</w:t>
      </w:r>
      <w:r w:rsidRPr="00A52AB8">
        <w:rPr>
          <w:rFonts w:ascii="Cambria" w:hAnsi="Cambria"/>
        </w:rPr>
        <w:t> </w:t>
      </w:r>
      <w:r w:rsidRPr="00496A4D">
        <w:rPr>
          <w:rFonts w:ascii="Cambria" w:hAnsi="Cambria"/>
        </w:rPr>
        <w:fldChar w:fldCharType="begin"/>
      </w:r>
      <w:r w:rsidRPr="00A52AB8">
        <w:rPr>
          <w:rFonts w:ascii="Cambria" w:hAnsi="Cambria"/>
        </w:rPr>
        <w:instrText xml:space="preserve"> SEQ NoteCounter \s 9 \* MERGEFORMAT </w:instrText>
      </w:r>
      <w:r w:rsidRPr="00496A4D">
        <w:rPr>
          <w:rFonts w:ascii="Cambria" w:hAnsi="Cambria"/>
        </w:rPr>
        <w:fldChar w:fldCharType="separate"/>
      </w:r>
      <w:r w:rsidR="00507A67">
        <w:rPr>
          <w:rFonts w:ascii="Cambria" w:hAnsi="Cambria"/>
          <w:noProof/>
        </w:rPr>
        <w:t>1</w:t>
      </w:r>
      <w:r w:rsidRPr="00496A4D">
        <w:rPr>
          <w:rFonts w:ascii="Cambria" w:hAnsi="Cambria"/>
        </w:rPr>
        <w:fldChar w:fldCharType="end"/>
      </w:r>
      <w:r w:rsidRPr="00A52AB8" w:rsidDel="00112A5D">
        <w:rPr>
          <w:rFonts w:ascii="Cambria" w:hAnsi="Cambria"/>
        </w:rPr>
        <w:t xml:space="preserve"> – The </w:t>
      </w:r>
      <w:r w:rsidR="00AE5B5A" w:rsidRPr="00A52AB8">
        <w:rPr>
          <w:rFonts w:ascii="Cambria" w:hAnsi="Cambria"/>
        </w:rPr>
        <w:t>atlas</w:t>
      </w:r>
      <w:r w:rsidRPr="00A52AB8" w:rsidDel="00112A5D">
        <w:rPr>
          <w:rFonts w:ascii="Cambria" w:hAnsi="Cambria"/>
        </w:rPr>
        <w:t xml:space="preserve"> coding layer (</w:t>
      </w:r>
      <w:r w:rsidR="002752B1" w:rsidRPr="00A52AB8">
        <w:rPr>
          <w:rFonts w:ascii="Cambria" w:hAnsi="Cambria"/>
        </w:rPr>
        <w:t>ACL</w:t>
      </w:r>
      <w:r w:rsidRPr="00A52AB8" w:rsidDel="00112A5D">
        <w:rPr>
          <w:rFonts w:ascii="Cambria" w:hAnsi="Cambria"/>
        </w:rPr>
        <w:t xml:space="preserve">) is specified to efficiently represent the content of the </w:t>
      </w:r>
      <w:r w:rsidR="001C4426" w:rsidRPr="00A52AB8">
        <w:rPr>
          <w:rFonts w:ascii="Cambria" w:hAnsi="Cambria"/>
        </w:rPr>
        <w:t>patch</w:t>
      </w:r>
      <w:r w:rsidRPr="00A52AB8" w:rsidDel="00112A5D">
        <w:rPr>
          <w:rFonts w:ascii="Cambria" w:hAnsi="Cambria"/>
        </w:rPr>
        <w:t xml:space="preserve"> data. The </w:t>
      </w:r>
      <w:r w:rsidR="00AE5B5A" w:rsidRPr="00A52AB8">
        <w:rPr>
          <w:rFonts w:ascii="Cambria" w:hAnsi="Cambria"/>
        </w:rPr>
        <w:t>NAL</w:t>
      </w:r>
      <w:r w:rsidRPr="00A52AB8" w:rsidDel="00112A5D">
        <w:rPr>
          <w:rFonts w:ascii="Cambria" w:hAnsi="Cambria"/>
        </w:rPr>
        <w:t xml:space="preserve"> is specified to format that data and provide header information in a manner appropriate for conveyance on a variety of communication channels or storage media. All data are contained in </w:t>
      </w:r>
      <w:r w:rsidR="00AE5B5A" w:rsidRPr="00A52AB8">
        <w:rPr>
          <w:rFonts w:ascii="Cambria" w:hAnsi="Cambria"/>
        </w:rPr>
        <w:t>NAL</w:t>
      </w:r>
      <w:r w:rsidRPr="00A52AB8" w:rsidDel="00112A5D">
        <w:rPr>
          <w:rFonts w:ascii="Cambria" w:hAnsi="Cambria"/>
        </w:rPr>
        <w:t xml:space="preserve"> units, each of which contains an integer number of bytes. A </w:t>
      </w:r>
      <w:r w:rsidR="00AE5B5A" w:rsidRPr="00A52AB8">
        <w:rPr>
          <w:rFonts w:ascii="Cambria" w:hAnsi="Cambria"/>
        </w:rPr>
        <w:t>NAL</w:t>
      </w:r>
      <w:r w:rsidRPr="00A52AB8" w:rsidDel="00112A5D">
        <w:rPr>
          <w:rFonts w:ascii="Cambria" w:hAnsi="Cambria"/>
        </w:rPr>
        <w:t xml:space="preserve"> unit specifies a generic format for use in both packet-oriented and bitstream systems. The format of </w:t>
      </w:r>
      <w:r w:rsidR="00AE5B5A" w:rsidRPr="00A52AB8">
        <w:rPr>
          <w:rFonts w:ascii="Cambria" w:hAnsi="Cambria"/>
        </w:rPr>
        <w:t>NAL</w:t>
      </w:r>
      <w:r w:rsidRPr="00A52AB8" w:rsidDel="00112A5D">
        <w:rPr>
          <w:rFonts w:ascii="Cambria" w:hAnsi="Cambria"/>
        </w:rPr>
        <w:t xml:space="preserve"> units for both packet-oriented transport and </w:t>
      </w:r>
      <w:r w:rsidR="000C0E11" w:rsidRPr="00A52AB8">
        <w:rPr>
          <w:rFonts w:ascii="Cambria" w:hAnsi="Cambria"/>
        </w:rPr>
        <w:t>sample</w:t>
      </w:r>
      <w:r w:rsidRPr="00A52AB8" w:rsidDel="00112A5D">
        <w:rPr>
          <w:rFonts w:ascii="Cambria" w:hAnsi="Cambria"/>
        </w:rPr>
        <w:t xml:space="preserve"> stream</w:t>
      </w:r>
      <w:r w:rsidR="000C0E11" w:rsidRPr="00A52AB8">
        <w:rPr>
          <w:rFonts w:ascii="Cambria" w:hAnsi="Cambria"/>
        </w:rPr>
        <w:t>s</w:t>
      </w:r>
      <w:r w:rsidRPr="00A52AB8" w:rsidDel="00112A5D">
        <w:rPr>
          <w:rFonts w:ascii="Cambria" w:hAnsi="Cambria"/>
        </w:rPr>
        <w:t xml:space="preserve"> is identical except that </w:t>
      </w:r>
      <w:r w:rsidR="000C0E11" w:rsidRPr="00A52AB8" w:rsidDel="00112A5D">
        <w:rPr>
          <w:rFonts w:ascii="Cambria" w:hAnsi="Cambria"/>
        </w:rPr>
        <w:t xml:space="preserve">in the </w:t>
      </w:r>
      <w:r w:rsidR="000C0E11" w:rsidRPr="00A52AB8">
        <w:rPr>
          <w:rFonts w:ascii="Cambria" w:hAnsi="Cambria"/>
        </w:rPr>
        <w:t>sample</w:t>
      </w:r>
      <w:r w:rsidR="000C0E11" w:rsidRPr="00A52AB8" w:rsidDel="00112A5D">
        <w:rPr>
          <w:rFonts w:ascii="Cambria" w:hAnsi="Cambria"/>
        </w:rPr>
        <w:t xml:space="preserve"> stream format specified </w:t>
      </w:r>
      <w:r w:rsidR="000C0E11" w:rsidRPr="00A52AB8">
        <w:rPr>
          <w:rFonts w:ascii="Cambria" w:hAnsi="Cambria"/>
        </w:rPr>
        <w:t xml:space="preserve">in </w:t>
      </w:r>
      <w:r w:rsidR="00115169" w:rsidRPr="00496A4D">
        <w:rPr>
          <w:rFonts w:ascii="Cambria" w:hAnsi="Cambria"/>
        </w:rPr>
        <w:fldChar w:fldCharType="begin"/>
      </w:r>
      <w:r w:rsidR="00115169" w:rsidRPr="00A52AB8">
        <w:rPr>
          <w:rFonts w:ascii="Cambria" w:hAnsi="Cambria"/>
        </w:rPr>
        <w:instrText xml:space="preserve"> REF _Ref19022738 \r \h </w:instrText>
      </w:r>
      <w:r w:rsidR="00025423" w:rsidRPr="00A52AB8">
        <w:rPr>
          <w:rFonts w:ascii="Cambria" w:hAnsi="Cambria"/>
        </w:rPr>
        <w:instrText xml:space="preserve"> \* MERGEFORMAT </w:instrText>
      </w:r>
      <w:r w:rsidR="00115169" w:rsidRPr="00496A4D">
        <w:rPr>
          <w:rFonts w:ascii="Cambria" w:hAnsi="Cambria"/>
        </w:rPr>
      </w:r>
      <w:r w:rsidR="00115169" w:rsidRPr="00496A4D">
        <w:rPr>
          <w:rFonts w:ascii="Cambria" w:hAnsi="Cambria"/>
        </w:rPr>
        <w:fldChar w:fldCharType="separate"/>
      </w:r>
      <w:r w:rsidR="00507A67">
        <w:rPr>
          <w:rFonts w:ascii="Cambria" w:hAnsi="Cambria"/>
        </w:rPr>
        <w:t>Annex D</w:t>
      </w:r>
      <w:r w:rsidR="00115169" w:rsidRPr="00496A4D">
        <w:rPr>
          <w:rFonts w:ascii="Cambria" w:hAnsi="Cambria"/>
        </w:rPr>
        <w:fldChar w:fldCharType="end"/>
      </w:r>
      <w:r w:rsidR="000C0E11" w:rsidRPr="00A52AB8">
        <w:rPr>
          <w:rFonts w:ascii="Cambria" w:hAnsi="Cambria"/>
        </w:rPr>
        <w:t xml:space="preserve"> </w:t>
      </w:r>
      <w:r w:rsidRPr="00A52AB8" w:rsidDel="00112A5D">
        <w:rPr>
          <w:rFonts w:ascii="Cambria" w:hAnsi="Cambria"/>
        </w:rPr>
        <w:t xml:space="preserve">each </w:t>
      </w:r>
      <w:r w:rsidR="00AE5B5A" w:rsidRPr="00A52AB8">
        <w:rPr>
          <w:rFonts w:ascii="Cambria" w:hAnsi="Cambria"/>
        </w:rPr>
        <w:t>NAL</w:t>
      </w:r>
      <w:r w:rsidRPr="00A52AB8" w:rsidDel="00112A5D">
        <w:rPr>
          <w:rFonts w:ascii="Cambria" w:hAnsi="Cambria"/>
        </w:rPr>
        <w:t xml:space="preserve"> unit can be preceded by a</w:t>
      </w:r>
      <w:r w:rsidR="000C0E11" w:rsidRPr="00A52AB8">
        <w:rPr>
          <w:rFonts w:ascii="Cambria" w:hAnsi="Cambria"/>
        </w:rPr>
        <w:t>n additional element that specifies the size of the</w:t>
      </w:r>
      <w:r w:rsidRPr="00A52AB8" w:rsidDel="00112A5D">
        <w:rPr>
          <w:rFonts w:ascii="Cambria" w:hAnsi="Cambria"/>
        </w:rPr>
        <w:t xml:space="preserve"> </w:t>
      </w:r>
      <w:r w:rsidR="00AE5B5A" w:rsidRPr="00A52AB8">
        <w:rPr>
          <w:rFonts w:ascii="Cambria" w:hAnsi="Cambria"/>
        </w:rPr>
        <w:t>NAL</w:t>
      </w:r>
      <w:r w:rsidR="000C0E11" w:rsidRPr="00A52AB8" w:rsidDel="00112A5D">
        <w:rPr>
          <w:rFonts w:ascii="Cambria" w:hAnsi="Cambria"/>
        </w:rPr>
        <w:t xml:space="preserve"> unit</w:t>
      </w:r>
      <w:r w:rsidRPr="00A52AB8" w:rsidDel="00112A5D">
        <w:rPr>
          <w:rFonts w:ascii="Cambria" w:hAnsi="Cambria"/>
        </w:rPr>
        <w:t>.</w:t>
      </w:r>
    </w:p>
    <w:bookmarkEnd w:id="1111"/>
    <w:p w14:paraId="480E9E88" w14:textId="77777777" w:rsidR="002B2F38" w:rsidRPr="00A52AB8" w:rsidDel="00112A5D" w:rsidRDefault="002B2F38">
      <w:r w:rsidRPr="00A52AB8" w:rsidDel="00112A5D">
        <w:rPr>
          <w:b/>
          <w:bCs/>
        </w:rPr>
        <w:t>rbsp_byte</w:t>
      </w:r>
      <w:r w:rsidR="001F4484" w:rsidRPr="00A52AB8">
        <w:rPr>
          <w:bCs/>
        </w:rPr>
        <w:t>[ i ]</w:t>
      </w:r>
      <w:r w:rsidRPr="00A52AB8" w:rsidDel="00112A5D">
        <w:t xml:space="preserve"> is the i-th byte of an RBSP. An RBSP is specified as an ordered sequence of bytes as follows:</w:t>
      </w:r>
    </w:p>
    <w:p w14:paraId="73E4A8E3" w14:textId="77777777" w:rsidR="002B2F38" w:rsidRPr="00A52AB8" w:rsidDel="00112A5D" w:rsidRDefault="002B2F38">
      <w:r w:rsidRPr="00A52AB8" w:rsidDel="00112A5D">
        <w:t xml:space="preserve">The RBSP contains a </w:t>
      </w:r>
      <w:r w:rsidRPr="00A52AB8" w:rsidDel="00112A5D">
        <w:rPr>
          <w:bCs/>
        </w:rPr>
        <w:t>string of data bits</w:t>
      </w:r>
      <w:r w:rsidRPr="00A52AB8" w:rsidDel="00112A5D">
        <w:rPr>
          <w:b/>
          <w:bCs/>
        </w:rPr>
        <w:t xml:space="preserve"> </w:t>
      </w:r>
      <w:r w:rsidRPr="00A52AB8" w:rsidDel="00112A5D">
        <w:rPr>
          <w:bCs/>
        </w:rPr>
        <w:t>(</w:t>
      </w:r>
      <w:r w:rsidRPr="00A52AB8" w:rsidDel="00112A5D">
        <w:t>SODB) as follows:</w:t>
      </w:r>
    </w:p>
    <w:p w14:paraId="262FF25F" w14:textId="38254852" w:rsidR="002B2F38" w:rsidRPr="00A52AB8" w:rsidDel="00112A5D" w:rsidRDefault="002B2F3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sidDel="00112A5D">
        <w:rPr>
          <w:color w:val="000000" w:themeColor="text1"/>
        </w:rPr>
        <w:t>If the SODB is empty (i.e., zero bits in length), the RBSP is also empty.</w:t>
      </w:r>
    </w:p>
    <w:p w14:paraId="1871DB30" w14:textId="09543886" w:rsidR="002B2F38" w:rsidRPr="00A52AB8" w:rsidDel="00112A5D" w:rsidRDefault="002B2F3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sidDel="00112A5D">
        <w:rPr>
          <w:color w:val="000000" w:themeColor="text1"/>
        </w:rPr>
        <w:t>Otherwise, the RBSP contains the SODB as follows:</w:t>
      </w:r>
    </w:p>
    <w:p w14:paraId="62F28E83" w14:textId="77777777" w:rsidR="002B2F38" w:rsidRPr="00A52AB8" w:rsidDel="00112A5D" w:rsidRDefault="002B2F38" w:rsidP="00007BE2">
      <w:pPr>
        <w:pStyle w:val="enumlev2"/>
        <w:ind w:left="1208"/>
        <w:rPr>
          <w:rFonts w:ascii="Cambria" w:hAnsi="Cambria"/>
          <w:sz w:val="22"/>
          <w:szCs w:val="22"/>
        </w:rPr>
      </w:pPr>
      <w:r w:rsidRPr="00A52AB8" w:rsidDel="00112A5D">
        <w:rPr>
          <w:rFonts w:ascii="Cambria" w:hAnsi="Cambria"/>
          <w:sz w:val="22"/>
          <w:szCs w:val="22"/>
        </w:rPr>
        <w:t>1)</w:t>
      </w:r>
      <w:r w:rsidRPr="00A52AB8" w:rsidDel="00112A5D">
        <w:rPr>
          <w:rFonts w:ascii="Cambria" w:hAnsi="Cambria"/>
          <w:sz w:val="22"/>
          <w:szCs w:val="22"/>
        </w:rPr>
        <w:tab/>
        <w:t xml:space="preserve">The first byte of the RBSP contains the </w:t>
      </w:r>
      <w:r w:rsidR="00870EC3" w:rsidRPr="00A52AB8">
        <w:rPr>
          <w:rFonts w:ascii="Cambria" w:hAnsi="Cambria"/>
          <w:sz w:val="22"/>
          <w:szCs w:val="22"/>
        </w:rPr>
        <w:t xml:space="preserve">first </w:t>
      </w:r>
      <w:r w:rsidRPr="00A52AB8" w:rsidDel="00112A5D">
        <w:rPr>
          <w:rFonts w:ascii="Cambria" w:hAnsi="Cambria"/>
          <w:sz w:val="22"/>
          <w:szCs w:val="22"/>
        </w:rPr>
        <w:t>(most significant, left-most) eight bits of the SODB; the next byte of the RBSP contains the next eight bits of the SODB, etc., until fewer than eight bits of the SODB remain.</w:t>
      </w:r>
    </w:p>
    <w:p w14:paraId="0E521BC6" w14:textId="77777777" w:rsidR="002B2F38" w:rsidRPr="00A52AB8" w:rsidDel="00112A5D" w:rsidRDefault="002B2F38" w:rsidP="00007BE2">
      <w:pPr>
        <w:pStyle w:val="enumlev2"/>
        <w:ind w:left="1208"/>
        <w:rPr>
          <w:rFonts w:ascii="Cambria" w:hAnsi="Cambria"/>
          <w:sz w:val="22"/>
          <w:szCs w:val="22"/>
        </w:rPr>
      </w:pPr>
      <w:r w:rsidRPr="00A52AB8" w:rsidDel="00112A5D">
        <w:rPr>
          <w:rFonts w:ascii="Cambria" w:hAnsi="Cambria"/>
          <w:sz w:val="22"/>
          <w:szCs w:val="22"/>
        </w:rPr>
        <w:t>2)</w:t>
      </w:r>
      <w:r w:rsidRPr="00A52AB8" w:rsidDel="00112A5D">
        <w:rPr>
          <w:rFonts w:ascii="Cambria" w:hAnsi="Cambria"/>
          <w:sz w:val="22"/>
          <w:szCs w:val="22"/>
        </w:rPr>
        <w:tab/>
      </w:r>
      <w:r w:rsidR="00870EC3" w:rsidRPr="00A52AB8">
        <w:rPr>
          <w:rFonts w:ascii="Cambria" w:hAnsi="Cambria"/>
          <w:sz w:val="22"/>
          <w:szCs w:val="22"/>
        </w:rPr>
        <w:t xml:space="preserve">The </w:t>
      </w:r>
      <w:r w:rsidRPr="00A52AB8" w:rsidDel="00112A5D">
        <w:rPr>
          <w:rFonts w:ascii="Cambria" w:hAnsi="Cambria"/>
          <w:sz w:val="22"/>
          <w:szCs w:val="22"/>
        </w:rPr>
        <w:t xml:space="preserve">rbsp_trailing_bits( ) </w:t>
      </w:r>
      <w:r w:rsidR="00870EC3" w:rsidRPr="00A52AB8">
        <w:rPr>
          <w:rFonts w:ascii="Cambria" w:hAnsi="Cambria"/>
          <w:sz w:val="22"/>
          <w:szCs w:val="22"/>
        </w:rPr>
        <w:t>syntax structure is</w:t>
      </w:r>
      <w:r w:rsidRPr="00A52AB8" w:rsidDel="00112A5D">
        <w:rPr>
          <w:rFonts w:ascii="Cambria" w:hAnsi="Cambria"/>
          <w:sz w:val="22"/>
          <w:szCs w:val="22"/>
        </w:rPr>
        <w:t xml:space="preserve"> present after the SODB as follows:</w:t>
      </w:r>
    </w:p>
    <w:p w14:paraId="7F0028C8" w14:textId="77777777" w:rsidR="002B2F38" w:rsidRPr="00A52AB8" w:rsidDel="00112A5D" w:rsidRDefault="002B2F38" w:rsidP="00007BE2">
      <w:pPr>
        <w:pStyle w:val="enumlev3"/>
        <w:ind w:left="1605"/>
        <w:rPr>
          <w:rFonts w:ascii="Cambria" w:hAnsi="Cambria"/>
          <w:sz w:val="22"/>
          <w:szCs w:val="22"/>
        </w:rPr>
      </w:pPr>
      <w:r w:rsidRPr="00A52AB8" w:rsidDel="00112A5D">
        <w:rPr>
          <w:rFonts w:ascii="Cambria" w:hAnsi="Cambria"/>
          <w:sz w:val="22"/>
          <w:szCs w:val="22"/>
        </w:rPr>
        <w:t>i)</w:t>
      </w:r>
      <w:r w:rsidRPr="00A52AB8" w:rsidDel="00112A5D">
        <w:rPr>
          <w:rFonts w:ascii="Cambria" w:hAnsi="Cambria"/>
          <w:sz w:val="22"/>
          <w:szCs w:val="22"/>
        </w:rPr>
        <w:tab/>
        <w:t>The first (most significant, left-most) bits of the final RBSP byte contain the remaining bits of the SODB (if any).</w:t>
      </w:r>
    </w:p>
    <w:p w14:paraId="44298727" w14:textId="77777777" w:rsidR="002B2F38" w:rsidRPr="00A52AB8" w:rsidDel="00112A5D" w:rsidRDefault="002B2F38" w:rsidP="00007BE2">
      <w:pPr>
        <w:pStyle w:val="enumlev3"/>
        <w:ind w:left="1605"/>
        <w:rPr>
          <w:rFonts w:ascii="Cambria" w:hAnsi="Cambria"/>
          <w:sz w:val="22"/>
          <w:szCs w:val="22"/>
        </w:rPr>
      </w:pPr>
      <w:r w:rsidRPr="00A52AB8" w:rsidDel="00112A5D">
        <w:rPr>
          <w:rFonts w:ascii="Cambria" w:hAnsi="Cambria"/>
          <w:sz w:val="22"/>
          <w:szCs w:val="22"/>
        </w:rPr>
        <w:t>ii)</w:t>
      </w:r>
      <w:r w:rsidRPr="00A52AB8" w:rsidDel="00112A5D">
        <w:rPr>
          <w:rFonts w:ascii="Cambria" w:hAnsi="Cambria"/>
          <w:sz w:val="22"/>
          <w:szCs w:val="22"/>
        </w:rPr>
        <w:tab/>
        <w:t xml:space="preserve">The next bit consists of a single </w:t>
      </w:r>
      <w:r w:rsidR="00870EC3" w:rsidRPr="00A52AB8">
        <w:rPr>
          <w:rFonts w:ascii="Cambria" w:hAnsi="Cambria"/>
          <w:sz w:val="22"/>
          <w:szCs w:val="22"/>
        </w:rPr>
        <w:t xml:space="preserve">bit equal to 1 (i.e., </w:t>
      </w:r>
      <w:r w:rsidRPr="00A52AB8" w:rsidDel="00112A5D">
        <w:rPr>
          <w:rFonts w:ascii="Cambria" w:hAnsi="Cambria"/>
          <w:sz w:val="22"/>
          <w:szCs w:val="22"/>
        </w:rPr>
        <w:t>rbsp_stop_one_bit</w:t>
      </w:r>
      <w:r w:rsidR="00870EC3" w:rsidRPr="00A52AB8">
        <w:rPr>
          <w:rFonts w:ascii="Cambria" w:hAnsi="Cambria"/>
          <w:sz w:val="22"/>
          <w:szCs w:val="22"/>
        </w:rPr>
        <w:t>)</w:t>
      </w:r>
      <w:r w:rsidRPr="00A52AB8" w:rsidDel="00112A5D">
        <w:rPr>
          <w:rFonts w:ascii="Cambria" w:hAnsi="Cambria"/>
          <w:sz w:val="22"/>
          <w:szCs w:val="22"/>
        </w:rPr>
        <w:t>.</w:t>
      </w:r>
    </w:p>
    <w:p w14:paraId="1DCEC44C" w14:textId="1A5AF632" w:rsidR="002B2F38" w:rsidRPr="00A52AB8" w:rsidDel="00112A5D" w:rsidRDefault="002B2F38" w:rsidP="00366915">
      <w:pPr>
        <w:pStyle w:val="enumlev3"/>
        <w:ind w:left="1605"/>
        <w:rPr>
          <w:rFonts w:ascii="Cambria" w:hAnsi="Cambria"/>
        </w:rPr>
      </w:pPr>
      <w:r w:rsidRPr="00A52AB8" w:rsidDel="00112A5D">
        <w:rPr>
          <w:rFonts w:ascii="Cambria" w:hAnsi="Cambria"/>
          <w:sz w:val="22"/>
          <w:szCs w:val="22"/>
        </w:rPr>
        <w:t>iii)</w:t>
      </w:r>
      <w:r w:rsidRPr="00A52AB8" w:rsidDel="00112A5D">
        <w:rPr>
          <w:rFonts w:ascii="Cambria" w:hAnsi="Cambria"/>
          <w:sz w:val="22"/>
          <w:szCs w:val="22"/>
        </w:rPr>
        <w:tab/>
        <w:t xml:space="preserve">When the rbsp_stop_one_bit is not the last bit of a byte-aligned byte, one or more </w:t>
      </w:r>
      <w:r w:rsidR="00870EC3" w:rsidRPr="00A52AB8">
        <w:rPr>
          <w:rFonts w:ascii="Cambria" w:hAnsi="Cambria"/>
          <w:sz w:val="22"/>
          <w:szCs w:val="22"/>
        </w:rPr>
        <w:t xml:space="preserve">bits equal to 0 (i.e. instances of </w:t>
      </w:r>
      <w:r w:rsidRPr="00A52AB8" w:rsidDel="00112A5D">
        <w:rPr>
          <w:rFonts w:ascii="Cambria" w:hAnsi="Cambria"/>
          <w:sz w:val="22"/>
          <w:szCs w:val="22"/>
        </w:rPr>
        <w:t>rbsp_alignment_zero_bit</w:t>
      </w:r>
      <w:r w:rsidR="00870EC3" w:rsidRPr="00A52AB8">
        <w:rPr>
          <w:rFonts w:ascii="Cambria" w:hAnsi="Cambria"/>
          <w:sz w:val="22"/>
          <w:szCs w:val="22"/>
        </w:rPr>
        <w:t>)</w:t>
      </w:r>
      <w:r w:rsidRPr="00A52AB8" w:rsidDel="00112A5D">
        <w:rPr>
          <w:rFonts w:ascii="Cambria" w:hAnsi="Cambria"/>
          <w:sz w:val="22"/>
          <w:szCs w:val="22"/>
        </w:rPr>
        <w:t xml:space="preserve"> </w:t>
      </w:r>
      <w:r w:rsidR="00870EC3" w:rsidRPr="00A52AB8">
        <w:rPr>
          <w:rFonts w:ascii="Cambria" w:hAnsi="Cambria"/>
          <w:sz w:val="22"/>
          <w:szCs w:val="22"/>
        </w:rPr>
        <w:t>are</w:t>
      </w:r>
      <w:r w:rsidRPr="00A52AB8" w:rsidDel="00112A5D">
        <w:rPr>
          <w:rFonts w:ascii="Cambria" w:hAnsi="Cambria"/>
          <w:sz w:val="22"/>
          <w:szCs w:val="22"/>
        </w:rPr>
        <w:t xml:space="preserve"> present to result in byte alignment.</w:t>
      </w:r>
    </w:p>
    <w:p w14:paraId="204D5AD3" w14:textId="03F744DE" w:rsidR="002B2F38" w:rsidRPr="00A52AB8" w:rsidDel="00112A5D" w:rsidRDefault="002B2F38">
      <w:r w:rsidRPr="00A52AB8" w:rsidDel="00112A5D">
        <w:t xml:space="preserve">Syntax structures having these RBSP properties are denoted in the syntax tables using an "_rbsp" suffix. These structures are carried within </w:t>
      </w:r>
      <w:r w:rsidR="00AE5B5A" w:rsidRPr="00A52AB8">
        <w:t>NAL</w:t>
      </w:r>
      <w:r w:rsidRPr="00A52AB8" w:rsidDel="00112A5D">
        <w:t xml:space="preserve"> units as the content of the rbsp_byte</w:t>
      </w:r>
      <w:r w:rsidR="001F4484" w:rsidRPr="00A52AB8">
        <w:t>[ i ]</w:t>
      </w:r>
      <w:r w:rsidRPr="00A52AB8" w:rsidDel="00112A5D">
        <w:t xml:space="preserve"> data bytes. The association of the RBSP syntax structures to the </w:t>
      </w:r>
      <w:r w:rsidR="00AE5B5A" w:rsidRPr="00A52AB8">
        <w:t>NAL</w:t>
      </w:r>
      <w:r w:rsidRPr="00A52AB8" w:rsidDel="00112A5D">
        <w:t xml:space="preserve"> units is as specified in</w:t>
      </w:r>
      <w:r w:rsidRPr="00A52AB8">
        <w:t xml:space="preserve"> </w:t>
      </w:r>
      <w:r w:rsidRPr="00496A4D">
        <w:fldChar w:fldCharType="begin"/>
      </w:r>
      <w:r w:rsidRPr="00A52AB8">
        <w:instrText xml:space="preserve"> REF _Ref2347708 \h </w:instrText>
      </w:r>
      <w:r w:rsidR="00025423" w:rsidRPr="00A52AB8">
        <w:instrText xml:space="preserve"> \* MERGEFORMAT </w:instrText>
      </w:r>
      <w:r w:rsidRPr="00496A4D">
        <w:fldChar w:fldCharType="separate"/>
      </w:r>
      <w:r w:rsidR="00507A67" w:rsidRPr="00A52AB8">
        <w:t>Table </w:t>
      </w:r>
      <w:r w:rsidR="00507A67">
        <w:t>4</w:t>
      </w:r>
      <w:r w:rsidRPr="00496A4D">
        <w:fldChar w:fldCharType="end"/>
      </w:r>
      <w:r w:rsidRPr="00A52AB8" w:rsidDel="00112A5D">
        <w:t>.</w:t>
      </w:r>
    </w:p>
    <w:p w14:paraId="52A20181" w14:textId="31DC3118" w:rsidR="002B2F38" w:rsidRPr="00A52AB8" w:rsidDel="00112A5D" w:rsidRDefault="002B2F38">
      <w:pPr>
        <w:pStyle w:val="Note1"/>
        <w:rPr>
          <w:rFonts w:ascii="Cambria" w:hAnsi="Cambria"/>
        </w:rPr>
      </w:pPr>
      <w:r w:rsidRPr="00A52AB8" w:rsidDel="00112A5D">
        <w:rPr>
          <w:rFonts w:ascii="Cambria" w:hAnsi="Cambria"/>
        </w:rPr>
        <w:t>NOTE</w:t>
      </w:r>
      <w:r w:rsidRPr="00A52AB8">
        <w:rPr>
          <w:rFonts w:ascii="Cambria" w:hAnsi="Cambria"/>
        </w:rPr>
        <w:t> </w:t>
      </w:r>
      <w:r w:rsidRPr="00496A4D">
        <w:rPr>
          <w:rFonts w:ascii="Cambria" w:hAnsi="Cambria"/>
        </w:rPr>
        <w:fldChar w:fldCharType="begin"/>
      </w:r>
      <w:r w:rsidRPr="00A52AB8">
        <w:rPr>
          <w:rFonts w:ascii="Cambria" w:hAnsi="Cambria"/>
        </w:rPr>
        <w:instrText xml:space="preserve"> SEQ NoteCounter \s 9 \* MERGEFORMAT </w:instrText>
      </w:r>
      <w:r w:rsidRPr="00496A4D">
        <w:rPr>
          <w:rFonts w:ascii="Cambria" w:hAnsi="Cambria"/>
        </w:rPr>
        <w:fldChar w:fldCharType="separate"/>
      </w:r>
      <w:r w:rsidR="00507A67">
        <w:rPr>
          <w:rFonts w:ascii="Cambria" w:hAnsi="Cambria"/>
          <w:noProof/>
        </w:rPr>
        <w:t>2</w:t>
      </w:r>
      <w:r w:rsidRPr="00496A4D">
        <w:rPr>
          <w:rFonts w:ascii="Cambria" w:hAnsi="Cambria"/>
        </w:rPr>
        <w:fldChar w:fldCharType="end"/>
      </w:r>
      <w:r w:rsidRPr="00A52AB8" w:rsidDel="00112A5D">
        <w:rPr>
          <w:rFonts w:ascii="Cambria" w:hAnsi="Cambria"/>
        </w:rPr>
        <w:t> – When the boundaries of the RBSP are known, the decoder can extract the SODB from the RBSP by concatenating the bits of the bytes of the RBSP and discarding the rbsp_stop_one_bit, which is the last (least significant, right-most) bit equal to 1, and discarding any following (less significant, farther to the right) bits that follow it, which are equal to 0. The data necessary for the decoding process is contained in the SODB part of the RBSP.</w:t>
      </w:r>
    </w:p>
    <w:p w14:paraId="2C209C30" w14:textId="77777777" w:rsidR="0058019E" w:rsidRPr="00A52AB8" w:rsidRDefault="00AE5B5A" w:rsidP="005C26E9">
      <w:pPr>
        <w:pStyle w:val="Heading4"/>
      </w:pPr>
      <w:r w:rsidRPr="00A52AB8">
        <w:t>NAL</w:t>
      </w:r>
      <w:r w:rsidR="0058019E" w:rsidRPr="00A52AB8">
        <w:t xml:space="preserve"> unit header s</w:t>
      </w:r>
      <w:r w:rsidR="00B239FD" w:rsidRPr="00A52AB8">
        <w:t>emantics</w:t>
      </w:r>
    </w:p>
    <w:p w14:paraId="63DA86D1" w14:textId="77777777" w:rsidR="0050235C" w:rsidRPr="00496A4D" w:rsidRDefault="00BA2E90">
      <w:pPr>
        <w:rPr>
          <w:rStyle w:val="fontstyle01"/>
          <w:rFonts w:ascii="Cambria" w:hAnsi="Cambria"/>
          <w:color w:val="000000" w:themeColor="text1"/>
          <w:sz w:val="22"/>
          <w:szCs w:val="22"/>
        </w:rPr>
      </w:pPr>
      <w:r w:rsidRPr="00A52AB8">
        <w:rPr>
          <w:rStyle w:val="fontstyle01"/>
          <w:rFonts w:ascii="Cambria" w:hAnsi="Cambria"/>
          <w:b/>
          <w:color w:val="000000" w:themeColor="text1"/>
          <w:sz w:val="22"/>
          <w:szCs w:val="22"/>
        </w:rPr>
        <w:t>nal</w:t>
      </w:r>
      <w:r w:rsidR="00B239FD" w:rsidRPr="00A52AB8">
        <w:rPr>
          <w:rStyle w:val="fontstyle01"/>
          <w:rFonts w:ascii="Cambria" w:hAnsi="Cambria"/>
          <w:b/>
          <w:color w:val="000000" w:themeColor="text1"/>
          <w:sz w:val="22"/>
          <w:szCs w:val="22"/>
        </w:rPr>
        <w:t>_forbidden_zero_bit</w:t>
      </w:r>
      <w:r w:rsidR="00B239FD" w:rsidRPr="00A52AB8">
        <w:rPr>
          <w:rStyle w:val="fontstyle01"/>
          <w:rFonts w:ascii="Cambria" w:hAnsi="Cambria"/>
          <w:color w:val="000000" w:themeColor="text1"/>
          <w:sz w:val="22"/>
          <w:szCs w:val="22"/>
        </w:rPr>
        <w:t xml:space="preserve"> </w:t>
      </w:r>
      <w:r w:rsidR="00B239FD" w:rsidRPr="00A52AB8">
        <w:rPr>
          <w:rStyle w:val="fontstyle01"/>
          <w:rFonts w:ascii="Cambria" w:hAnsi="Cambria"/>
          <w:bCs/>
          <w:color w:val="000000" w:themeColor="text1"/>
          <w:sz w:val="22"/>
          <w:szCs w:val="22"/>
        </w:rPr>
        <w:t>shall</w:t>
      </w:r>
      <w:r w:rsidR="00B239FD" w:rsidRPr="00A52AB8">
        <w:rPr>
          <w:rStyle w:val="fontstyle01"/>
          <w:rFonts w:ascii="Cambria" w:hAnsi="Cambria"/>
          <w:color w:val="000000" w:themeColor="text1"/>
          <w:sz w:val="22"/>
          <w:szCs w:val="22"/>
        </w:rPr>
        <w:t xml:space="preserve"> be equal to 0.</w:t>
      </w:r>
    </w:p>
    <w:p w14:paraId="3F9194EF" w14:textId="44E4E22E" w:rsidR="0050235C" w:rsidRPr="00A52AB8" w:rsidRDefault="00BA2E90">
      <w:pPr>
        <w:rPr>
          <w:rStyle w:val="fontstyle01"/>
          <w:rFonts w:ascii="Cambria" w:hAnsi="Cambria"/>
          <w:color w:val="000000" w:themeColor="text1"/>
          <w:sz w:val="22"/>
          <w:szCs w:val="22"/>
        </w:rPr>
      </w:pPr>
      <w:r w:rsidRPr="00A52AB8">
        <w:rPr>
          <w:rStyle w:val="fontstyle01"/>
          <w:rFonts w:ascii="Cambria" w:hAnsi="Cambria"/>
          <w:b/>
          <w:color w:val="000000" w:themeColor="text1"/>
          <w:sz w:val="22"/>
          <w:szCs w:val="22"/>
        </w:rPr>
        <w:t>nal</w:t>
      </w:r>
      <w:r w:rsidR="00B239FD" w:rsidRPr="00A52AB8">
        <w:rPr>
          <w:rStyle w:val="fontstyle01"/>
          <w:rFonts w:ascii="Cambria" w:hAnsi="Cambria"/>
          <w:b/>
          <w:color w:val="000000" w:themeColor="text1"/>
          <w:sz w:val="22"/>
          <w:szCs w:val="22"/>
        </w:rPr>
        <w:t>_unit_type</w:t>
      </w:r>
      <w:r w:rsidR="00B239FD" w:rsidRPr="00A52AB8">
        <w:rPr>
          <w:rStyle w:val="fontstyle01"/>
          <w:rFonts w:ascii="Cambria" w:hAnsi="Cambria"/>
          <w:color w:val="000000" w:themeColor="text1"/>
          <w:sz w:val="22"/>
          <w:szCs w:val="22"/>
        </w:rPr>
        <w:t xml:space="preserve"> specifies the type of </w:t>
      </w:r>
      <w:r w:rsidR="009131E5" w:rsidRPr="00A52AB8">
        <w:rPr>
          <w:rStyle w:val="fontstyle01"/>
          <w:rFonts w:ascii="Cambria" w:hAnsi="Cambria"/>
          <w:color w:val="000000" w:themeColor="text1"/>
          <w:sz w:val="22"/>
          <w:szCs w:val="22"/>
        </w:rPr>
        <w:t xml:space="preserve">the </w:t>
      </w:r>
      <w:r w:rsidR="00B239FD" w:rsidRPr="00A52AB8">
        <w:rPr>
          <w:rStyle w:val="fontstyle01"/>
          <w:rFonts w:ascii="Cambria" w:hAnsi="Cambria"/>
          <w:color w:val="000000" w:themeColor="text1"/>
          <w:sz w:val="22"/>
          <w:szCs w:val="22"/>
        </w:rPr>
        <w:t xml:space="preserve">RBSP data structure contained in the </w:t>
      </w:r>
      <w:r w:rsidR="00AE5B5A" w:rsidRPr="00A52AB8">
        <w:rPr>
          <w:rStyle w:val="fontstyle01"/>
          <w:rFonts w:ascii="Cambria" w:hAnsi="Cambria"/>
          <w:color w:val="000000" w:themeColor="text1"/>
          <w:sz w:val="22"/>
          <w:szCs w:val="22"/>
        </w:rPr>
        <w:t>NAL</w:t>
      </w:r>
      <w:r w:rsidR="00B239FD" w:rsidRPr="00A52AB8">
        <w:rPr>
          <w:rStyle w:val="fontstyle01"/>
          <w:rFonts w:ascii="Cambria" w:hAnsi="Cambria"/>
          <w:color w:val="000000" w:themeColor="text1"/>
          <w:sz w:val="22"/>
          <w:szCs w:val="22"/>
        </w:rPr>
        <w:t xml:space="preserve"> unit as specified in </w:t>
      </w:r>
      <w:r w:rsidR="004A5D0A" w:rsidRPr="00496A4D">
        <w:rPr>
          <w:rStyle w:val="fontstyle01"/>
          <w:rFonts w:ascii="Cambria" w:hAnsi="Cambria"/>
          <w:color w:val="000000" w:themeColor="text1"/>
          <w:sz w:val="22"/>
          <w:szCs w:val="22"/>
        </w:rPr>
        <w:fldChar w:fldCharType="begin"/>
      </w:r>
      <w:r w:rsidR="004A5D0A" w:rsidRPr="00A52AB8">
        <w:rPr>
          <w:rStyle w:val="fontstyle01"/>
          <w:rFonts w:ascii="Cambria" w:hAnsi="Cambria"/>
          <w:color w:val="000000" w:themeColor="text1"/>
          <w:sz w:val="22"/>
          <w:szCs w:val="22"/>
        </w:rPr>
        <w:instrText xml:space="preserve"> REF _Ref2347708 \h </w:instrText>
      </w:r>
      <w:r w:rsidR="00CA5401" w:rsidRPr="00A52AB8">
        <w:rPr>
          <w:rStyle w:val="fontstyle01"/>
          <w:rFonts w:ascii="Cambria" w:hAnsi="Cambria"/>
          <w:color w:val="000000" w:themeColor="text1"/>
          <w:sz w:val="22"/>
          <w:szCs w:val="22"/>
        </w:rPr>
        <w:instrText xml:space="preserve"> \* MERGEFORMAT </w:instrText>
      </w:r>
      <w:r w:rsidR="004A5D0A" w:rsidRPr="00496A4D">
        <w:rPr>
          <w:rStyle w:val="fontstyle01"/>
          <w:rFonts w:ascii="Cambria" w:hAnsi="Cambria"/>
          <w:color w:val="000000" w:themeColor="text1"/>
          <w:sz w:val="22"/>
          <w:szCs w:val="22"/>
        </w:rPr>
      </w:r>
      <w:r w:rsidR="004A5D0A" w:rsidRPr="00496A4D">
        <w:rPr>
          <w:rStyle w:val="fontstyle01"/>
          <w:rFonts w:ascii="Cambria" w:hAnsi="Cambria"/>
          <w:color w:val="000000" w:themeColor="text1"/>
          <w:sz w:val="22"/>
          <w:szCs w:val="22"/>
        </w:rPr>
        <w:fldChar w:fldCharType="separate"/>
      </w:r>
      <w:r w:rsidR="00507A67" w:rsidRPr="00A52AB8">
        <w:t>Table </w:t>
      </w:r>
      <w:r w:rsidR="00507A67">
        <w:t>4</w:t>
      </w:r>
      <w:r w:rsidR="004A5D0A" w:rsidRPr="00496A4D">
        <w:rPr>
          <w:rStyle w:val="fontstyle01"/>
          <w:rFonts w:ascii="Cambria" w:hAnsi="Cambria"/>
          <w:color w:val="000000" w:themeColor="text1"/>
          <w:sz w:val="22"/>
          <w:szCs w:val="22"/>
        </w:rPr>
        <w:fldChar w:fldCharType="end"/>
      </w:r>
      <w:r w:rsidR="00B239FD" w:rsidRPr="00A52AB8">
        <w:rPr>
          <w:rStyle w:val="fontstyle01"/>
          <w:rFonts w:ascii="Cambria" w:hAnsi="Cambria"/>
          <w:color w:val="000000" w:themeColor="text1"/>
          <w:sz w:val="22"/>
          <w:szCs w:val="22"/>
        </w:rPr>
        <w:t>.</w:t>
      </w:r>
    </w:p>
    <w:p w14:paraId="0425A6FF" w14:textId="77777777" w:rsidR="0050235C" w:rsidRPr="00A52AB8" w:rsidRDefault="00AE5B5A">
      <w:pPr>
        <w:rPr>
          <w:rStyle w:val="fontstyle01"/>
          <w:rFonts w:ascii="Cambria" w:hAnsi="Cambria"/>
          <w:color w:val="000000" w:themeColor="text1"/>
          <w:sz w:val="22"/>
          <w:szCs w:val="22"/>
        </w:rPr>
      </w:pPr>
      <w:r w:rsidRPr="00A52AB8">
        <w:rPr>
          <w:rStyle w:val="fontstyle01"/>
          <w:rFonts w:ascii="Cambria" w:hAnsi="Cambria"/>
          <w:color w:val="000000" w:themeColor="text1"/>
          <w:sz w:val="22"/>
          <w:szCs w:val="22"/>
        </w:rPr>
        <w:t>NAL</w:t>
      </w:r>
      <w:r w:rsidR="00B239FD" w:rsidRPr="00A52AB8">
        <w:rPr>
          <w:rStyle w:val="fontstyle01"/>
          <w:rFonts w:ascii="Cambria" w:hAnsi="Cambria"/>
          <w:color w:val="000000" w:themeColor="text1"/>
          <w:sz w:val="22"/>
          <w:szCs w:val="22"/>
        </w:rPr>
        <w:t xml:space="preserve"> units that have </w:t>
      </w:r>
      <w:r w:rsidR="00BA2E90" w:rsidRPr="00A52AB8">
        <w:rPr>
          <w:rStyle w:val="fontstyle01"/>
          <w:rFonts w:ascii="Cambria" w:hAnsi="Cambria"/>
          <w:color w:val="000000" w:themeColor="text1"/>
          <w:sz w:val="22"/>
          <w:szCs w:val="22"/>
        </w:rPr>
        <w:t>nal</w:t>
      </w:r>
      <w:r w:rsidR="00B239FD" w:rsidRPr="00A52AB8">
        <w:rPr>
          <w:rStyle w:val="fontstyle01"/>
          <w:rFonts w:ascii="Cambria" w:hAnsi="Cambria"/>
          <w:color w:val="000000" w:themeColor="text1"/>
          <w:sz w:val="22"/>
          <w:szCs w:val="22"/>
        </w:rPr>
        <w:t xml:space="preserve">_unit_type in the range of </w:t>
      </w:r>
      <w:r w:rsidR="00BA2E90" w:rsidRPr="00A52AB8">
        <w:rPr>
          <w:rStyle w:val="fontstyle01"/>
          <w:rFonts w:ascii="Cambria" w:hAnsi="Cambria"/>
          <w:color w:val="000000" w:themeColor="text1"/>
          <w:sz w:val="22"/>
          <w:szCs w:val="22"/>
        </w:rPr>
        <w:t>NAL</w:t>
      </w:r>
      <w:r w:rsidR="005C6797" w:rsidRPr="00A52AB8">
        <w:rPr>
          <w:rStyle w:val="fontstyle01"/>
          <w:rFonts w:ascii="Cambria" w:hAnsi="Cambria"/>
          <w:color w:val="000000" w:themeColor="text1"/>
          <w:sz w:val="22"/>
          <w:szCs w:val="22"/>
        </w:rPr>
        <w:t>_</w:t>
      </w:r>
      <w:r w:rsidR="00B239FD" w:rsidRPr="00A52AB8">
        <w:rPr>
          <w:rStyle w:val="fontstyle01"/>
          <w:rFonts w:ascii="Cambria" w:hAnsi="Cambria"/>
          <w:color w:val="000000" w:themeColor="text1"/>
          <w:sz w:val="22"/>
          <w:szCs w:val="22"/>
        </w:rPr>
        <w:t>UNSPEC</w:t>
      </w:r>
      <w:r w:rsidR="005C6797" w:rsidRPr="00A52AB8">
        <w:rPr>
          <w:rStyle w:val="fontstyle01"/>
          <w:rFonts w:ascii="Cambria" w:hAnsi="Cambria"/>
          <w:color w:val="000000" w:themeColor="text1"/>
          <w:sz w:val="22"/>
          <w:szCs w:val="22"/>
        </w:rPr>
        <w:t>_</w:t>
      </w:r>
      <w:r w:rsidR="00A342B8" w:rsidRPr="00A52AB8">
        <w:rPr>
          <w:rStyle w:val="fontstyle01"/>
          <w:rFonts w:ascii="Cambria" w:hAnsi="Cambria"/>
          <w:color w:val="000000" w:themeColor="text1"/>
          <w:sz w:val="22"/>
          <w:szCs w:val="22"/>
        </w:rPr>
        <w:t>53</w:t>
      </w:r>
      <w:r w:rsidR="00B239FD" w:rsidRPr="00A52AB8">
        <w:rPr>
          <w:rStyle w:val="fontstyle01"/>
          <w:rFonts w:ascii="Cambria" w:hAnsi="Cambria"/>
          <w:color w:val="000000" w:themeColor="text1"/>
          <w:sz w:val="22"/>
          <w:szCs w:val="22"/>
        </w:rPr>
        <w:t>..</w:t>
      </w:r>
      <w:r w:rsidR="00BA2E90" w:rsidRPr="00A52AB8">
        <w:rPr>
          <w:rStyle w:val="fontstyle01"/>
          <w:rFonts w:ascii="Cambria" w:hAnsi="Cambria"/>
          <w:color w:val="000000" w:themeColor="text1"/>
          <w:sz w:val="22"/>
          <w:szCs w:val="22"/>
        </w:rPr>
        <w:t>NAL</w:t>
      </w:r>
      <w:r w:rsidR="005C6797" w:rsidRPr="00A52AB8">
        <w:rPr>
          <w:rStyle w:val="fontstyle01"/>
          <w:rFonts w:ascii="Cambria" w:hAnsi="Cambria"/>
          <w:color w:val="000000" w:themeColor="text1"/>
          <w:sz w:val="22"/>
          <w:szCs w:val="22"/>
        </w:rPr>
        <w:t>_</w:t>
      </w:r>
      <w:r w:rsidR="00B239FD" w:rsidRPr="00A52AB8">
        <w:rPr>
          <w:rStyle w:val="fontstyle01"/>
          <w:rFonts w:ascii="Cambria" w:hAnsi="Cambria"/>
          <w:color w:val="000000" w:themeColor="text1"/>
          <w:sz w:val="22"/>
          <w:szCs w:val="22"/>
        </w:rPr>
        <w:t>UNSPEC</w:t>
      </w:r>
      <w:r w:rsidR="005C6797" w:rsidRPr="00A52AB8">
        <w:rPr>
          <w:rStyle w:val="fontstyle01"/>
          <w:rFonts w:ascii="Cambria" w:hAnsi="Cambria"/>
          <w:color w:val="000000" w:themeColor="text1"/>
          <w:sz w:val="22"/>
          <w:szCs w:val="22"/>
        </w:rPr>
        <w:t>_</w:t>
      </w:r>
      <w:r w:rsidR="00B239FD" w:rsidRPr="00A52AB8">
        <w:rPr>
          <w:rStyle w:val="fontstyle01"/>
          <w:rFonts w:ascii="Cambria" w:hAnsi="Cambria"/>
          <w:color w:val="000000" w:themeColor="text1"/>
          <w:sz w:val="22"/>
          <w:szCs w:val="22"/>
        </w:rPr>
        <w:t xml:space="preserve">63, inclusive, for which semantics are not specified, shall not affect the decoding process specified in </w:t>
      </w:r>
      <w:r w:rsidR="001905CC" w:rsidRPr="00A52AB8">
        <w:rPr>
          <w:rStyle w:val="fontstyle01"/>
          <w:rFonts w:ascii="Cambria" w:hAnsi="Cambria"/>
          <w:color w:val="000000" w:themeColor="text1"/>
          <w:sz w:val="22"/>
          <w:szCs w:val="22"/>
        </w:rPr>
        <w:t>this document</w:t>
      </w:r>
      <w:r w:rsidR="00B239FD" w:rsidRPr="00A52AB8">
        <w:rPr>
          <w:rStyle w:val="fontstyle01"/>
          <w:rFonts w:ascii="Cambria" w:hAnsi="Cambria"/>
          <w:color w:val="000000" w:themeColor="text1"/>
          <w:sz w:val="22"/>
          <w:szCs w:val="22"/>
        </w:rPr>
        <w:t>.</w:t>
      </w:r>
    </w:p>
    <w:p w14:paraId="7027BC33" w14:textId="103F68D4" w:rsidR="0050235C" w:rsidRPr="00496A4D" w:rsidRDefault="00B239FD">
      <w:pPr>
        <w:pStyle w:val="Note1"/>
        <w:rPr>
          <w:rStyle w:val="fontstyle01"/>
          <w:rFonts w:ascii="Cambria" w:hAnsi="Cambria"/>
          <w:color w:val="000000" w:themeColor="text1"/>
          <w:sz w:val="18"/>
          <w:szCs w:val="18"/>
        </w:rPr>
      </w:pPr>
      <w:r w:rsidRPr="00496A4D">
        <w:rPr>
          <w:rFonts w:ascii="Cambria" w:hAnsi="Cambria"/>
        </w:rPr>
        <w:t>NOTE </w:t>
      </w:r>
      <w:r w:rsidRPr="00496A4D">
        <w:rPr>
          <w:rFonts w:ascii="Cambria" w:hAnsi="Cambria"/>
        </w:rPr>
        <w:fldChar w:fldCharType="begin"/>
      </w:r>
      <w:r w:rsidRPr="00A52AB8">
        <w:rPr>
          <w:rFonts w:ascii="Cambria" w:hAnsi="Cambria"/>
        </w:rPr>
        <w:instrText xml:space="preserve"> SEQ NoteCounter \s 9 \* MERGEFORMAT </w:instrText>
      </w:r>
      <w:r w:rsidRPr="00496A4D">
        <w:rPr>
          <w:rFonts w:ascii="Cambria" w:hAnsi="Cambria"/>
        </w:rPr>
        <w:fldChar w:fldCharType="separate"/>
      </w:r>
      <w:r w:rsidR="00507A67">
        <w:rPr>
          <w:rFonts w:ascii="Cambria" w:hAnsi="Cambria"/>
          <w:noProof/>
        </w:rPr>
        <w:t>1</w:t>
      </w:r>
      <w:r w:rsidRPr="00496A4D">
        <w:rPr>
          <w:rFonts w:ascii="Cambria" w:hAnsi="Cambria"/>
        </w:rPr>
        <w:fldChar w:fldCharType="end"/>
      </w:r>
      <w:r w:rsidRPr="00A52AB8">
        <w:rPr>
          <w:rFonts w:ascii="Cambria" w:hAnsi="Cambria"/>
        </w:rPr>
        <w:t> – </w:t>
      </w:r>
      <w:r w:rsidRPr="00A52AB8">
        <w:rPr>
          <w:rStyle w:val="fontstyle01"/>
          <w:rFonts w:ascii="Cambria" w:hAnsi="Cambria"/>
          <w:color w:val="000000" w:themeColor="text1"/>
          <w:sz w:val="18"/>
          <w:szCs w:val="18"/>
        </w:rPr>
        <w:t xml:space="preserve">NAL unit types in the range of </w:t>
      </w:r>
      <w:r w:rsidR="00BA2E90" w:rsidRPr="00A52AB8">
        <w:rPr>
          <w:rStyle w:val="fontstyle01"/>
          <w:rFonts w:ascii="Cambria" w:hAnsi="Cambria"/>
          <w:color w:val="000000" w:themeColor="text1"/>
          <w:sz w:val="18"/>
          <w:szCs w:val="18"/>
        </w:rPr>
        <w:t>NAL</w:t>
      </w:r>
      <w:r w:rsidR="005C6797" w:rsidRPr="00A52AB8">
        <w:rPr>
          <w:rStyle w:val="fontstyle01"/>
          <w:rFonts w:ascii="Cambria" w:hAnsi="Cambria"/>
          <w:color w:val="000000" w:themeColor="text1"/>
          <w:sz w:val="18"/>
          <w:szCs w:val="18"/>
        </w:rPr>
        <w:t>_UNSPEC_</w:t>
      </w:r>
      <w:r w:rsidR="001F5D05" w:rsidRPr="00A52AB8">
        <w:rPr>
          <w:rStyle w:val="fontstyle01"/>
          <w:rFonts w:ascii="Cambria" w:hAnsi="Cambria"/>
          <w:color w:val="000000" w:themeColor="text1"/>
          <w:sz w:val="18"/>
          <w:szCs w:val="18"/>
        </w:rPr>
        <w:t>53</w:t>
      </w:r>
      <w:r w:rsidR="005C6797" w:rsidRPr="00A52AB8">
        <w:rPr>
          <w:rStyle w:val="fontstyle01"/>
          <w:rFonts w:ascii="Cambria" w:hAnsi="Cambria"/>
          <w:color w:val="000000" w:themeColor="text1"/>
          <w:sz w:val="18"/>
          <w:szCs w:val="18"/>
        </w:rPr>
        <w:t>..</w:t>
      </w:r>
      <w:r w:rsidR="00BA2E90" w:rsidRPr="00A52AB8">
        <w:rPr>
          <w:rStyle w:val="fontstyle01"/>
          <w:rFonts w:ascii="Cambria" w:hAnsi="Cambria"/>
          <w:color w:val="000000" w:themeColor="text1"/>
          <w:sz w:val="18"/>
          <w:szCs w:val="18"/>
        </w:rPr>
        <w:t>NAL</w:t>
      </w:r>
      <w:r w:rsidR="005C6797" w:rsidRPr="00A52AB8">
        <w:rPr>
          <w:rStyle w:val="fontstyle01"/>
          <w:rFonts w:ascii="Cambria" w:hAnsi="Cambria"/>
          <w:color w:val="000000" w:themeColor="text1"/>
          <w:sz w:val="18"/>
          <w:szCs w:val="18"/>
        </w:rPr>
        <w:t xml:space="preserve">_UNSPEC_63 </w:t>
      </w:r>
      <w:r w:rsidR="009529FC" w:rsidRPr="00A52AB8">
        <w:rPr>
          <w:rStyle w:val="fontstyle01"/>
          <w:rFonts w:ascii="Cambria" w:hAnsi="Cambria"/>
          <w:color w:val="000000" w:themeColor="text1"/>
          <w:sz w:val="18"/>
          <w:szCs w:val="18"/>
        </w:rPr>
        <w:t xml:space="preserve">can </w:t>
      </w:r>
      <w:r w:rsidRPr="00A52AB8">
        <w:rPr>
          <w:rStyle w:val="fontstyle01"/>
          <w:rFonts w:ascii="Cambria" w:hAnsi="Cambria"/>
          <w:color w:val="000000" w:themeColor="text1"/>
          <w:sz w:val="18"/>
          <w:szCs w:val="18"/>
        </w:rPr>
        <w:t xml:space="preserve">be used as determined by the application. No decoding process for these values of </w:t>
      </w:r>
      <w:r w:rsidR="00BA2E90" w:rsidRPr="00A52AB8">
        <w:rPr>
          <w:rStyle w:val="fontstyle01"/>
          <w:rFonts w:ascii="Cambria" w:hAnsi="Cambria"/>
          <w:color w:val="000000" w:themeColor="text1"/>
          <w:sz w:val="18"/>
          <w:szCs w:val="18"/>
        </w:rPr>
        <w:t>nal</w:t>
      </w:r>
      <w:r w:rsidR="009208A6" w:rsidRPr="00A52AB8">
        <w:rPr>
          <w:rStyle w:val="fontstyle01"/>
          <w:rFonts w:ascii="Cambria" w:hAnsi="Cambria"/>
          <w:color w:val="000000" w:themeColor="text1"/>
          <w:sz w:val="18"/>
          <w:szCs w:val="18"/>
        </w:rPr>
        <w:t>_unit_type</w:t>
      </w:r>
      <w:r w:rsidRPr="00A52AB8">
        <w:rPr>
          <w:rStyle w:val="fontstyle01"/>
          <w:rFonts w:ascii="Cambria" w:hAnsi="Cambria"/>
          <w:color w:val="000000" w:themeColor="text1"/>
          <w:sz w:val="18"/>
          <w:szCs w:val="18"/>
        </w:rPr>
        <w:t xml:space="preserve"> is specified in </w:t>
      </w:r>
      <w:r w:rsidR="001905CC" w:rsidRPr="00A52AB8">
        <w:rPr>
          <w:rStyle w:val="fontstyle01"/>
          <w:rFonts w:ascii="Cambria" w:hAnsi="Cambria"/>
          <w:color w:val="000000" w:themeColor="text1"/>
          <w:sz w:val="18"/>
          <w:szCs w:val="18"/>
        </w:rPr>
        <w:t>this document</w:t>
      </w:r>
      <w:r w:rsidRPr="00A52AB8">
        <w:rPr>
          <w:rStyle w:val="fontstyle01"/>
          <w:rFonts w:ascii="Cambria" w:hAnsi="Cambria"/>
          <w:color w:val="000000" w:themeColor="text1"/>
          <w:sz w:val="18"/>
          <w:szCs w:val="18"/>
        </w:rPr>
        <w:t xml:space="preserve">. Since different applications </w:t>
      </w:r>
      <w:r w:rsidR="009529FC" w:rsidRPr="00A52AB8">
        <w:rPr>
          <w:rStyle w:val="fontstyle01"/>
          <w:rFonts w:ascii="Cambria" w:hAnsi="Cambria"/>
          <w:color w:val="000000" w:themeColor="text1"/>
          <w:sz w:val="18"/>
          <w:szCs w:val="18"/>
        </w:rPr>
        <w:t xml:space="preserve">can </w:t>
      </w:r>
      <w:r w:rsidRPr="00A52AB8">
        <w:rPr>
          <w:rStyle w:val="fontstyle01"/>
          <w:rFonts w:ascii="Cambria" w:hAnsi="Cambria"/>
          <w:color w:val="000000" w:themeColor="text1"/>
          <w:sz w:val="18"/>
          <w:szCs w:val="18"/>
        </w:rPr>
        <w:t xml:space="preserve">use these NAL unit types for different purposes, particular care </w:t>
      </w:r>
      <w:r w:rsidR="00F82321" w:rsidRPr="00A52AB8">
        <w:rPr>
          <w:rStyle w:val="fontstyle01"/>
          <w:rFonts w:ascii="Cambria" w:hAnsi="Cambria"/>
          <w:color w:val="000000" w:themeColor="text1"/>
          <w:sz w:val="18"/>
          <w:szCs w:val="18"/>
        </w:rPr>
        <w:t xml:space="preserve">should </w:t>
      </w:r>
      <w:r w:rsidRPr="00A52AB8">
        <w:rPr>
          <w:rStyle w:val="fontstyle01"/>
          <w:rFonts w:ascii="Cambria" w:hAnsi="Cambria"/>
          <w:color w:val="000000" w:themeColor="text1"/>
          <w:sz w:val="18"/>
          <w:szCs w:val="18"/>
        </w:rPr>
        <w:t xml:space="preserve">be exercised in the design of encoders that generate NAL units with these </w:t>
      </w:r>
      <w:r w:rsidR="00BA2E90" w:rsidRPr="00A52AB8">
        <w:rPr>
          <w:rStyle w:val="fontstyle01"/>
          <w:rFonts w:ascii="Cambria" w:hAnsi="Cambria"/>
          <w:color w:val="000000" w:themeColor="text1"/>
          <w:sz w:val="18"/>
          <w:szCs w:val="18"/>
        </w:rPr>
        <w:t>nal</w:t>
      </w:r>
      <w:r w:rsidR="009208A6" w:rsidRPr="00A52AB8">
        <w:rPr>
          <w:rStyle w:val="fontstyle01"/>
          <w:rFonts w:ascii="Cambria" w:hAnsi="Cambria"/>
          <w:color w:val="000000" w:themeColor="text1"/>
          <w:sz w:val="18"/>
          <w:szCs w:val="18"/>
        </w:rPr>
        <w:t>_unit_type</w:t>
      </w:r>
      <w:r w:rsidRPr="00A52AB8">
        <w:rPr>
          <w:rStyle w:val="fontstyle01"/>
          <w:rFonts w:ascii="Cambria" w:hAnsi="Cambria"/>
          <w:color w:val="000000" w:themeColor="text1"/>
          <w:sz w:val="18"/>
          <w:szCs w:val="18"/>
        </w:rPr>
        <w:t xml:space="preserve"> values, and in the design of decoders that interpret the content of NAL units with these </w:t>
      </w:r>
      <w:r w:rsidR="00BA2E90" w:rsidRPr="00A52AB8">
        <w:rPr>
          <w:rStyle w:val="fontstyle01"/>
          <w:rFonts w:ascii="Cambria" w:hAnsi="Cambria"/>
          <w:color w:val="000000" w:themeColor="text1"/>
          <w:sz w:val="18"/>
          <w:szCs w:val="18"/>
        </w:rPr>
        <w:t>nal</w:t>
      </w:r>
      <w:r w:rsidR="009208A6" w:rsidRPr="00A52AB8">
        <w:rPr>
          <w:rStyle w:val="fontstyle01"/>
          <w:rFonts w:ascii="Cambria" w:hAnsi="Cambria"/>
          <w:color w:val="000000" w:themeColor="text1"/>
          <w:sz w:val="18"/>
          <w:szCs w:val="18"/>
        </w:rPr>
        <w:t>_unit_type</w:t>
      </w:r>
      <w:r w:rsidRPr="00A52AB8">
        <w:rPr>
          <w:rStyle w:val="fontstyle01"/>
          <w:rFonts w:ascii="Cambria" w:hAnsi="Cambria"/>
          <w:color w:val="000000" w:themeColor="text1"/>
          <w:sz w:val="18"/>
          <w:szCs w:val="18"/>
        </w:rPr>
        <w:t xml:space="preserve"> values. </w:t>
      </w:r>
      <w:r w:rsidR="001905CC" w:rsidRPr="00A52AB8">
        <w:rPr>
          <w:rStyle w:val="fontstyle01"/>
          <w:rFonts w:ascii="Cambria" w:hAnsi="Cambria"/>
          <w:color w:val="000000" w:themeColor="text1"/>
          <w:sz w:val="18"/>
          <w:szCs w:val="18"/>
        </w:rPr>
        <w:t>This document</w:t>
      </w:r>
      <w:r w:rsidRPr="00A52AB8">
        <w:rPr>
          <w:rStyle w:val="fontstyle01"/>
          <w:rFonts w:ascii="Cambria" w:hAnsi="Cambria"/>
          <w:color w:val="000000" w:themeColor="text1"/>
          <w:sz w:val="18"/>
          <w:szCs w:val="18"/>
        </w:rPr>
        <w:t xml:space="preserve"> does not define any management for these values. These </w:t>
      </w:r>
      <w:r w:rsidR="00BA2E90" w:rsidRPr="00A52AB8">
        <w:rPr>
          <w:rStyle w:val="fontstyle01"/>
          <w:rFonts w:ascii="Cambria" w:hAnsi="Cambria"/>
          <w:color w:val="000000" w:themeColor="text1"/>
          <w:sz w:val="18"/>
          <w:szCs w:val="18"/>
        </w:rPr>
        <w:t>nal</w:t>
      </w:r>
      <w:r w:rsidR="009208A6" w:rsidRPr="00A52AB8">
        <w:rPr>
          <w:rStyle w:val="fontstyle01"/>
          <w:rFonts w:ascii="Cambria" w:hAnsi="Cambria"/>
          <w:color w:val="000000" w:themeColor="text1"/>
          <w:sz w:val="18"/>
          <w:szCs w:val="18"/>
        </w:rPr>
        <w:t>_unit_type</w:t>
      </w:r>
      <w:r w:rsidRPr="00A52AB8">
        <w:rPr>
          <w:rStyle w:val="fontstyle01"/>
          <w:rFonts w:ascii="Cambria" w:hAnsi="Cambria"/>
          <w:color w:val="000000" w:themeColor="text1"/>
          <w:sz w:val="18"/>
          <w:szCs w:val="18"/>
        </w:rPr>
        <w:t xml:space="preserve"> values </w:t>
      </w:r>
      <w:r w:rsidR="00B80487" w:rsidRPr="00A52AB8">
        <w:rPr>
          <w:rStyle w:val="fontstyle01"/>
          <w:rFonts w:ascii="Cambria" w:hAnsi="Cambria"/>
          <w:color w:val="000000" w:themeColor="text1"/>
          <w:sz w:val="18"/>
          <w:szCs w:val="18"/>
        </w:rPr>
        <w:t xml:space="preserve">could </w:t>
      </w:r>
      <w:r w:rsidRPr="00A52AB8">
        <w:rPr>
          <w:rStyle w:val="fontstyle01"/>
          <w:rFonts w:ascii="Cambria" w:hAnsi="Cambria"/>
          <w:color w:val="000000" w:themeColor="text1"/>
          <w:sz w:val="18"/>
          <w:szCs w:val="18"/>
        </w:rPr>
        <w:t xml:space="preserve">only be suitable for use in contexts in which "collisions" of usage (i.e., different definitions of the meaning of the NAL unit content for the same </w:t>
      </w:r>
      <w:r w:rsidR="00BA2E90" w:rsidRPr="00A52AB8">
        <w:rPr>
          <w:rStyle w:val="fontstyle01"/>
          <w:rFonts w:ascii="Cambria" w:hAnsi="Cambria"/>
          <w:color w:val="000000" w:themeColor="text1"/>
          <w:sz w:val="18"/>
          <w:szCs w:val="18"/>
        </w:rPr>
        <w:lastRenderedPageBreak/>
        <w:t>nal</w:t>
      </w:r>
      <w:r w:rsidR="009208A6" w:rsidRPr="00A52AB8">
        <w:rPr>
          <w:rStyle w:val="fontstyle01"/>
          <w:rFonts w:ascii="Cambria" w:hAnsi="Cambria"/>
          <w:color w:val="000000" w:themeColor="text1"/>
          <w:sz w:val="18"/>
          <w:szCs w:val="18"/>
        </w:rPr>
        <w:t>_unit_type</w:t>
      </w:r>
      <w:r w:rsidRPr="00A52AB8">
        <w:rPr>
          <w:rStyle w:val="fontstyle01"/>
          <w:rFonts w:ascii="Cambria" w:hAnsi="Cambria"/>
          <w:color w:val="000000" w:themeColor="text1"/>
          <w:sz w:val="18"/>
          <w:szCs w:val="18"/>
        </w:rPr>
        <w:t xml:space="preserve"> value) are unimportant, or not possible, or are managed – e.g., defined or managed in the controlling application or transport specification, or by controlling the environment in which bitstreams are distributed.</w:t>
      </w:r>
    </w:p>
    <w:p w14:paraId="2895036A" w14:textId="3F34A199" w:rsidR="0050235C" w:rsidRPr="00496A4D" w:rsidRDefault="00B239FD">
      <w:pPr>
        <w:rPr>
          <w:rStyle w:val="fontstyle01"/>
          <w:rFonts w:ascii="Cambria" w:hAnsi="Cambria"/>
          <w:color w:val="000000" w:themeColor="text1"/>
          <w:sz w:val="22"/>
          <w:szCs w:val="22"/>
        </w:rPr>
      </w:pPr>
      <w:r w:rsidRPr="00A52AB8">
        <w:rPr>
          <w:rStyle w:val="fontstyle01"/>
          <w:rFonts w:ascii="Cambria" w:hAnsi="Cambria"/>
          <w:color w:val="000000" w:themeColor="text1"/>
          <w:sz w:val="22"/>
          <w:szCs w:val="22"/>
        </w:rPr>
        <w:t>For purposes other than determining the amount of data in the decoding units of the bitstream (as specified in</w:t>
      </w:r>
      <w:r w:rsidR="001C303B" w:rsidRPr="00A52AB8">
        <w:rPr>
          <w:rStyle w:val="fontstyle01"/>
          <w:rFonts w:ascii="Cambria" w:hAnsi="Cambria"/>
          <w:color w:val="000000" w:themeColor="text1"/>
          <w:sz w:val="22"/>
          <w:szCs w:val="22"/>
        </w:rPr>
        <w:t xml:space="preserve"> </w:t>
      </w:r>
      <w:r w:rsidR="00C83792" w:rsidRPr="00496A4D">
        <w:rPr>
          <w:rStyle w:val="fontstyle01"/>
          <w:rFonts w:ascii="Cambria" w:hAnsi="Cambria"/>
          <w:color w:val="000000" w:themeColor="text1"/>
          <w:sz w:val="22"/>
          <w:szCs w:val="22"/>
        </w:rPr>
        <w:fldChar w:fldCharType="begin"/>
      </w:r>
      <w:r w:rsidR="00C83792" w:rsidRPr="00A52AB8">
        <w:rPr>
          <w:rStyle w:val="fontstyle01"/>
          <w:rFonts w:ascii="Cambria" w:hAnsi="Cambria"/>
          <w:color w:val="000000" w:themeColor="text1"/>
          <w:sz w:val="22"/>
          <w:szCs w:val="22"/>
        </w:rPr>
        <w:instrText xml:space="preserve"> REF _Ref38894988 \n \h </w:instrText>
      </w:r>
      <w:r w:rsidR="00CA5401" w:rsidRPr="00A52AB8">
        <w:rPr>
          <w:rStyle w:val="fontstyle01"/>
          <w:rFonts w:ascii="Cambria" w:hAnsi="Cambria"/>
          <w:color w:val="000000" w:themeColor="text1"/>
          <w:sz w:val="22"/>
          <w:szCs w:val="22"/>
        </w:rPr>
        <w:instrText xml:space="preserve"> \* MERGEFORMAT </w:instrText>
      </w:r>
      <w:r w:rsidR="00C83792" w:rsidRPr="00496A4D">
        <w:rPr>
          <w:rStyle w:val="fontstyle01"/>
          <w:rFonts w:ascii="Cambria" w:hAnsi="Cambria"/>
          <w:color w:val="000000" w:themeColor="text1"/>
          <w:sz w:val="22"/>
          <w:szCs w:val="22"/>
        </w:rPr>
      </w:r>
      <w:r w:rsidR="00C83792" w:rsidRPr="00496A4D">
        <w:rPr>
          <w:rStyle w:val="fontstyle01"/>
          <w:rFonts w:ascii="Cambria" w:hAnsi="Cambria"/>
          <w:color w:val="000000" w:themeColor="text1"/>
          <w:sz w:val="22"/>
          <w:szCs w:val="22"/>
        </w:rPr>
        <w:fldChar w:fldCharType="separate"/>
      </w:r>
      <w:r w:rsidR="00507A67">
        <w:rPr>
          <w:rStyle w:val="fontstyle01"/>
          <w:rFonts w:ascii="Cambria" w:hAnsi="Cambria"/>
          <w:color w:val="000000" w:themeColor="text1"/>
          <w:sz w:val="22"/>
          <w:szCs w:val="22"/>
        </w:rPr>
        <w:t>Annex D</w:t>
      </w:r>
      <w:r w:rsidR="00C83792" w:rsidRPr="00496A4D">
        <w:rPr>
          <w:rStyle w:val="fontstyle01"/>
          <w:rFonts w:ascii="Cambria" w:hAnsi="Cambria"/>
          <w:color w:val="000000" w:themeColor="text1"/>
          <w:sz w:val="22"/>
          <w:szCs w:val="22"/>
        </w:rPr>
        <w:fldChar w:fldCharType="end"/>
      </w:r>
      <w:r w:rsidRPr="00A52AB8">
        <w:rPr>
          <w:rStyle w:val="fontstyle01"/>
          <w:rFonts w:ascii="Cambria" w:hAnsi="Cambria"/>
          <w:color w:val="000000" w:themeColor="text1"/>
          <w:sz w:val="22"/>
          <w:szCs w:val="22"/>
        </w:rPr>
        <w:t>), decoders shall ignore (</w:t>
      </w:r>
      <w:r w:rsidR="009131E5" w:rsidRPr="00A52AB8">
        <w:rPr>
          <w:rStyle w:val="fontstyle01"/>
          <w:rFonts w:ascii="Cambria" w:hAnsi="Cambria"/>
          <w:color w:val="000000" w:themeColor="text1"/>
          <w:sz w:val="22"/>
          <w:szCs w:val="22"/>
        </w:rPr>
        <w:t xml:space="preserve">i.e. </w:t>
      </w:r>
      <w:r w:rsidRPr="00A52AB8">
        <w:rPr>
          <w:rStyle w:val="fontstyle01"/>
          <w:rFonts w:ascii="Cambria" w:hAnsi="Cambria"/>
          <w:color w:val="000000" w:themeColor="text1"/>
          <w:sz w:val="22"/>
          <w:szCs w:val="22"/>
        </w:rPr>
        <w:t xml:space="preserve">remove from the bitstream and discard) the contents of all </w:t>
      </w:r>
      <w:r w:rsidR="00AE5B5A" w:rsidRPr="00A52AB8">
        <w:rPr>
          <w:rStyle w:val="fontstyle01"/>
          <w:rFonts w:ascii="Cambria" w:hAnsi="Cambria"/>
          <w:color w:val="000000" w:themeColor="text1"/>
          <w:sz w:val="22"/>
          <w:szCs w:val="22"/>
        </w:rPr>
        <w:t>NAL</w:t>
      </w:r>
      <w:r w:rsidRPr="00A52AB8">
        <w:rPr>
          <w:rStyle w:val="fontstyle01"/>
          <w:rFonts w:ascii="Cambria" w:hAnsi="Cambria"/>
          <w:color w:val="000000" w:themeColor="text1"/>
          <w:sz w:val="22"/>
          <w:szCs w:val="22"/>
        </w:rPr>
        <w:t xml:space="preserve"> units that use reserved values of </w:t>
      </w:r>
      <w:r w:rsidR="00BA2E90" w:rsidRPr="00A52AB8">
        <w:rPr>
          <w:rStyle w:val="fontstyle01"/>
          <w:rFonts w:ascii="Cambria" w:hAnsi="Cambria"/>
          <w:color w:val="000000" w:themeColor="text1"/>
          <w:sz w:val="22"/>
          <w:szCs w:val="22"/>
        </w:rPr>
        <w:t>nal</w:t>
      </w:r>
      <w:r w:rsidR="009208A6" w:rsidRPr="00A52AB8">
        <w:rPr>
          <w:rStyle w:val="fontstyle01"/>
          <w:rFonts w:ascii="Cambria" w:hAnsi="Cambria"/>
          <w:color w:val="000000" w:themeColor="text1"/>
          <w:sz w:val="22"/>
          <w:szCs w:val="22"/>
        </w:rPr>
        <w:t>_unit_type</w:t>
      </w:r>
      <w:r w:rsidRPr="00A52AB8">
        <w:rPr>
          <w:rStyle w:val="fontstyle01"/>
          <w:rFonts w:ascii="Cambria" w:hAnsi="Cambria"/>
          <w:color w:val="000000" w:themeColor="text1"/>
          <w:sz w:val="22"/>
          <w:szCs w:val="22"/>
        </w:rPr>
        <w:t>.</w:t>
      </w:r>
    </w:p>
    <w:p w14:paraId="3A285F02" w14:textId="61C72A0B" w:rsidR="00B239FD" w:rsidRPr="00A52AB8" w:rsidRDefault="00B239FD">
      <w:pPr>
        <w:pStyle w:val="Note1"/>
        <w:rPr>
          <w:rStyle w:val="fontstyle01"/>
          <w:rFonts w:ascii="Cambria" w:eastAsiaTheme="minorEastAsia" w:hAnsi="Cambria"/>
          <w:color w:val="000000" w:themeColor="text1"/>
          <w:sz w:val="18"/>
          <w:szCs w:val="18"/>
        </w:rPr>
      </w:pPr>
      <w:r w:rsidRPr="00496A4D">
        <w:rPr>
          <w:rFonts w:ascii="Cambria" w:hAnsi="Cambria"/>
        </w:rPr>
        <w:t>NOTE </w:t>
      </w:r>
      <w:r w:rsidRPr="00496A4D">
        <w:rPr>
          <w:rFonts w:ascii="Cambria" w:hAnsi="Cambria"/>
        </w:rPr>
        <w:fldChar w:fldCharType="begin"/>
      </w:r>
      <w:r w:rsidRPr="00A52AB8">
        <w:rPr>
          <w:rFonts w:ascii="Cambria" w:hAnsi="Cambria"/>
        </w:rPr>
        <w:instrText xml:space="preserve"> SEQ NoteCounter \s 9 \* MERGEFORMAT </w:instrText>
      </w:r>
      <w:r w:rsidRPr="00496A4D">
        <w:rPr>
          <w:rFonts w:ascii="Cambria" w:hAnsi="Cambria"/>
        </w:rPr>
        <w:fldChar w:fldCharType="separate"/>
      </w:r>
      <w:r w:rsidR="00507A67">
        <w:rPr>
          <w:rFonts w:ascii="Cambria" w:hAnsi="Cambria"/>
          <w:noProof/>
        </w:rPr>
        <w:t>2</w:t>
      </w:r>
      <w:r w:rsidRPr="00496A4D">
        <w:rPr>
          <w:rFonts w:ascii="Cambria" w:hAnsi="Cambria"/>
        </w:rPr>
        <w:fldChar w:fldCharType="end"/>
      </w:r>
      <w:r w:rsidRPr="00A52AB8">
        <w:rPr>
          <w:rFonts w:ascii="Cambria" w:hAnsi="Cambria"/>
        </w:rPr>
        <w:t> – </w:t>
      </w:r>
      <w:r w:rsidRPr="00A52AB8">
        <w:rPr>
          <w:rStyle w:val="fontstyle01"/>
          <w:rFonts w:ascii="Cambria" w:hAnsi="Cambria"/>
          <w:color w:val="000000" w:themeColor="text1"/>
          <w:sz w:val="18"/>
          <w:szCs w:val="18"/>
        </w:rPr>
        <w:t xml:space="preserve">This requirement allows future definition of compatible extensions to </w:t>
      </w:r>
      <w:r w:rsidR="001905CC" w:rsidRPr="00A52AB8">
        <w:rPr>
          <w:rStyle w:val="fontstyle01"/>
          <w:rFonts w:ascii="Cambria" w:hAnsi="Cambria"/>
          <w:color w:val="000000" w:themeColor="text1"/>
          <w:sz w:val="18"/>
          <w:szCs w:val="18"/>
        </w:rPr>
        <w:t>this document</w:t>
      </w:r>
      <w:r w:rsidRPr="00A52AB8">
        <w:rPr>
          <w:rStyle w:val="fontstyle01"/>
          <w:rFonts w:ascii="Cambria" w:hAnsi="Cambria"/>
          <w:color w:val="000000" w:themeColor="text1"/>
          <w:sz w:val="18"/>
          <w:szCs w:val="18"/>
        </w:rPr>
        <w:t>.</w:t>
      </w:r>
    </w:p>
    <w:p w14:paraId="39D1A1C6" w14:textId="53DE6C5F" w:rsidR="00B239FD" w:rsidRPr="00A52AB8" w:rsidRDefault="00B239FD">
      <w:pPr>
        <w:pStyle w:val="Caption"/>
        <w:keepLines/>
        <w:rPr>
          <w:rFonts w:ascii="Cambria" w:hAnsi="Cambria"/>
        </w:rPr>
      </w:pPr>
      <w:bookmarkStart w:id="1112" w:name="_Ref2347708"/>
      <w:r w:rsidRPr="00A52AB8">
        <w:rPr>
          <w:rFonts w:ascii="Cambria" w:hAnsi="Cambria"/>
        </w:rPr>
        <w:t>Table </w:t>
      </w:r>
      <w:r w:rsidR="0053363C" w:rsidRPr="00496A4D">
        <w:rPr>
          <w:rFonts w:ascii="Cambria" w:hAnsi="Cambria"/>
        </w:rPr>
        <w:fldChar w:fldCharType="begin"/>
      </w:r>
      <w:r w:rsidR="0053363C" w:rsidRPr="00A52AB8">
        <w:rPr>
          <w:rFonts w:ascii="Cambria" w:hAnsi="Cambria"/>
        </w:rPr>
        <w:instrText xml:space="preserve"> SEQ Table \* ARABIC \</w:instrText>
      </w:r>
      <w:r w:rsidR="00E75DB1" w:rsidRPr="00A52AB8">
        <w:rPr>
          <w:rFonts w:ascii="Cambria" w:hAnsi="Cambria"/>
        </w:rPr>
        <w:instrText>n</w:instrText>
      </w:r>
      <w:r w:rsidR="0053363C" w:rsidRPr="00A52AB8">
        <w:rPr>
          <w:rFonts w:ascii="Cambria" w:hAnsi="Cambria"/>
        </w:rPr>
        <w:instrText xml:space="preserve"> </w:instrText>
      </w:r>
      <w:r w:rsidR="0053363C" w:rsidRPr="00496A4D">
        <w:rPr>
          <w:rFonts w:ascii="Cambria" w:hAnsi="Cambria"/>
        </w:rPr>
        <w:fldChar w:fldCharType="separate"/>
      </w:r>
      <w:r w:rsidR="00507A67">
        <w:rPr>
          <w:rFonts w:ascii="Cambria" w:hAnsi="Cambria"/>
          <w:noProof/>
        </w:rPr>
        <w:t>4</w:t>
      </w:r>
      <w:r w:rsidR="0053363C" w:rsidRPr="00496A4D">
        <w:rPr>
          <w:rFonts w:ascii="Cambria" w:hAnsi="Cambria"/>
        </w:rPr>
        <w:fldChar w:fldCharType="end"/>
      </w:r>
      <w:bookmarkEnd w:id="1112"/>
      <w:r w:rsidR="001604C8" w:rsidRPr="00A52AB8">
        <w:rPr>
          <w:rFonts w:ascii="Cambria" w:hAnsi="Cambria" w:cs="Calibri"/>
          <w:bCs w:val="0"/>
        </w:rPr>
        <w:t> </w:t>
      </w:r>
      <w:r w:rsidR="001604C8" w:rsidRPr="00A52AB8">
        <w:rPr>
          <w:rFonts w:ascii="Cambria" w:hAnsi="Cambria"/>
        </w:rPr>
        <w:t>– </w:t>
      </w:r>
      <w:r w:rsidR="00AE5B5A" w:rsidRPr="00A52AB8">
        <w:rPr>
          <w:rFonts w:ascii="Cambria" w:hAnsi="Cambria"/>
        </w:rPr>
        <w:t>NAL</w:t>
      </w:r>
      <w:r w:rsidRPr="00A52AB8">
        <w:rPr>
          <w:rFonts w:ascii="Cambria" w:hAnsi="Cambria"/>
        </w:rPr>
        <w:t xml:space="preserve"> unit type codes and </w:t>
      </w:r>
      <w:r w:rsidR="00AE5B5A" w:rsidRPr="00A52AB8">
        <w:rPr>
          <w:rFonts w:ascii="Cambria" w:hAnsi="Cambria"/>
        </w:rPr>
        <w:t>NAL</w:t>
      </w:r>
      <w:r w:rsidRPr="00A52AB8">
        <w:rPr>
          <w:rFonts w:ascii="Cambria" w:hAnsi="Cambria"/>
        </w:rPr>
        <w:t xml:space="preserve"> unit type classes</w:t>
      </w:r>
    </w:p>
    <w:tbl>
      <w:tblPr>
        <w:tblW w:w="98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25"/>
        <w:gridCol w:w="2439"/>
        <w:gridCol w:w="4580"/>
        <w:gridCol w:w="1337"/>
      </w:tblGrid>
      <w:tr w:rsidR="00B239FD" w:rsidRPr="00A52AB8" w14:paraId="04FF3E0D" w14:textId="77777777" w:rsidTr="00792CFF">
        <w:trPr>
          <w:jc w:val="center"/>
        </w:trPr>
        <w:tc>
          <w:tcPr>
            <w:tcW w:w="1525" w:type="dxa"/>
            <w:hideMark/>
          </w:tcPr>
          <w:p w14:paraId="3A37FECC" w14:textId="77777777" w:rsidR="00B239FD" w:rsidRPr="00A52AB8" w:rsidRDefault="00BA2E90">
            <w:pPr>
              <w:keepNext/>
              <w:keepLines/>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b/>
                <w:bCs/>
                <w:sz w:val="20"/>
                <w:szCs w:val="20"/>
              </w:rPr>
            </w:pPr>
            <w:r w:rsidRPr="00A52AB8">
              <w:rPr>
                <w:b/>
                <w:bCs/>
                <w:sz w:val="20"/>
                <w:szCs w:val="20"/>
              </w:rPr>
              <w:t>nal</w:t>
            </w:r>
            <w:r w:rsidR="00B239FD" w:rsidRPr="00A52AB8">
              <w:rPr>
                <w:b/>
                <w:bCs/>
                <w:sz w:val="20"/>
                <w:szCs w:val="20"/>
              </w:rPr>
              <w:t>_unit_type</w:t>
            </w:r>
          </w:p>
        </w:tc>
        <w:tc>
          <w:tcPr>
            <w:tcW w:w="2439" w:type="dxa"/>
            <w:hideMark/>
          </w:tcPr>
          <w:p w14:paraId="1136B818" w14:textId="77777777" w:rsidR="00B239FD" w:rsidRPr="00A52AB8" w:rsidRDefault="00B239FD">
            <w:pPr>
              <w:keepNext/>
              <w:keepLines/>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b/>
                <w:bCs/>
                <w:sz w:val="20"/>
                <w:szCs w:val="20"/>
              </w:rPr>
            </w:pPr>
            <w:r w:rsidRPr="00A52AB8">
              <w:rPr>
                <w:b/>
                <w:bCs/>
                <w:sz w:val="20"/>
                <w:szCs w:val="20"/>
              </w:rPr>
              <w:t xml:space="preserve">Name of </w:t>
            </w:r>
            <w:r w:rsidR="00BA2E90" w:rsidRPr="00A52AB8">
              <w:rPr>
                <w:b/>
                <w:bCs/>
                <w:sz w:val="20"/>
                <w:szCs w:val="20"/>
              </w:rPr>
              <w:t>nal</w:t>
            </w:r>
            <w:r w:rsidRPr="00A52AB8">
              <w:rPr>
                <w:b/>
                <w:bCs/>
                <w:sz w:val="20"/>
                <w:szCs w:val="20"/>
              </w:rPr>
              <w:t>_unit_type</w:t>
            </w:r>
          </w:p>
        </w:tc>
        <w:tc>
          <w:tcPr>
            <w:tcW w:w="4580" w:type="dxa"/>
            <w:hideMark/>
          </w:tcPr>
          <w:p w14:paraId="7B413E57" w14:textId="77777777" w:rsidR="00B239FD" w:rsidRPr="00A52AB8" w:rsidRDefault="00B239FD" w:rsidP="001000BF">
            <w:pPr>
              <w:keepNext/>
              <w:keepLines/>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b/>
                <w:bCs/>
                <w:sz w:val="20"/>
                <w:szCs w:val="20"/>
              </w:rPr>
            </w:pPr>
            <w:r w:rsidRPr="00A52AB8">
              <w:rPr>
                <w:b/>
                <w:bCs/>
                <w:sz w:val="20"/>
                <w:szCs w:val="20"/>
              </w:rPr>
              <w:t xml:space="preserve">Content of </w:t>
            </w:r>
            <w:r w:rsidR="00AE5B5A" w:rsidRPr="00A52AB8">
              <w:rPr>
                <w:b/>
                <w:bCs/>
                <w:sz w:val="20"/>
                <w:szCs w:val="20"/>
              </w:rPr>
              <w:t>NAL</w:t>
            </w:r>
            <w:r w:rsidRPr="00A52AB8">
              <w:rPr>
                <w:b/>
                <w:bCs/>
                <w:sz w:val="20"/>
                <w:szCs w:val="20"/>
              </w:rPr>
              <w:t xml:space="preserve"> unit and RBSP syntax structure</w:t>
            </w:r>
          </w:p>
        </w:tc>
        <w:tc>
          <w:tcPr>
            <w:tcW w:w="1337" w:type="dxa"/>
            <w:hideMark/>
          </w:tcPr>
          <w:p w14:paraId="110196B4" w14:textId="77777777" w:rsidR="00B239FD" w:rsidRPr="00A52AB8" w:rsidRDefault="00AE5B5A">
            <w:pPr>
              <w:keepNext/>
              <w:keepLines/>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b/>
                <w:bCs/>
                <w:sz w:val="20"/>
                <w:szCs w:val="20"/>
              </w:rPr>
            </w:pPr>
            <w:r w:rsidRPr="00A52AB8">
              <w:rPr>
                <w:b/>
                <w:bCs/>
                <w:sz w:val="20"/>
                <w:szCs w:val="20"/>
              </w:rPr>
              <w:t>NAL</w:t>
            </w:r>
            <w:r w:rsidR="00B239FD" w:rsidRPr="00A52AB8">
              <w:rPr>
                <w:b/>
                <w:bCs/>
                <w:sz w:val="20"/>
                <w:szCs w:val="20"/>
              </w:rPr>
              <w:t xml:space="preserve"> unit</w:t>
            </w:r>
            <w:r w:rsidR="00B239FD" w:rsidRPr="00A52AB8">
              <w:rPr>
                <w:b/>
                <w:bCs/>
                <w:sz w:val="20"/>
                <w:szCs w:val="20"/>
              </w:rPr>
              <w:br/>
              <w:t>type class</w:t>
            </w:r>
          </w:p>
        </w:tc>
      </w:tr>
      <w:tr w:rsidR="009B0AA5" w:rsidRPr="00A52AB8" w14:paraId="04C3D64A" w14:textId="77777777" w:rsidTr="00792CFF">
        <w:trPr>
          <w:jc w:val="center"/>
        </w:trPr>
        <w:tc>
          <w:tcPr>
            <w:tcW w:w="1525" w:type="dxa"/>
          </w:tcPr>
          <w:p w14:paraId="4EFC3736" w14:textId="77777777" w:rsidR="009B0AA5" w:rsidRPr="00A52AB8" w:rsidRDefault="009B0AA5">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A52AB8">
              <w:rPr>
                <w:sz w:val="20"/>
                <w:szCs w:val="20"/>
              </w:rPr>
              <w:t>0</w:t>
            </w:r>
          </w:p>
          <w:p w14:paraId="3CDEFF30" w14:textId="77777777" w:rsidR="0099676C" w:rsidRPr="00A52AB8" w:rsidRDefault="0099676C">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A52AB8">
              <w:rPr>
                <w:sz w:val="20"/>
                <w:szCs w:val="20"/>
              </w:rPr>
              <w:t>1</w:t>
            </w:r>
          </w:p>
        </w:tc>
        <w:tc>
          <w:tcPr>
            <w:tcW w:w="2439" w:type="dxa"/>
          </w:tcPr>
          <w:p w14:paraId="51F0B5D8" w14:textId="77777777" w:rsidR="00C66AE8" w:rsidRPr="00A52AB8" w:rsidRDefault="00C66AE8" w:rsidP="00C66AE8">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color w:val="000000" w:themeColor="text1"/>
                <w:sz w:val="20"/>
                <w:szCs w:val="20"/>
              </w:rPr>
            </w:pPr>
            <w:r w:rsidRPr="00A52AB8">
              <w:rPr>
                <w:color w:val="000000" w:themeColor="text1"/>
                <w:sz w:val="20"/>
                <w:szCs w:val="20"/>
              </w:rPr>
              <w:t>NAL_TRAIL_N</w:t>
            </w:r>
          </w:p>
          <w:p w14:paraId="1A7CFE68" w14:textId="77777777" w:rsidR="009B0AA5" w:rsidRPr="00A52AB8" w:rsidRDefault="00C66AE8" w:rsidP="00C66AE8">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A52AB8">
              <w:rPr>
                <w:color w:val="000000" w:themeColor="text1"/>
                <w:sz w:val="20"/>
                <w:szCs w:val="20"/>
              </w:rPr>
              <w:t>NAL_TRAIL_R</w:t>
            </w:r>
          </w:p>
        </w:tc>
        <w:tc>
          <w:tcPr>
            <w:tcW w:w="4580" w:type="dxa"/>
          </w:tcPr>
          <w:p w14:paraId="48389494" w14:textId="77777777" w:rsidR="009B0AA5" w:rsidRPr="00A52AB8" w:rsidRDefault="009B0AA5">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sz w:val="20"/>
                <w:szCs w:val="20"/>
              </w:rPr>
            </w:pPr>
            <w:r w:rsidRPr="00A52AB8">
              <w:rPr>
                <w:sz w:val="20"/>
                <w:szCs w:val="20"/>
              </w:rPr>
              <w:t xml:space="preserve">Coded </w:t>
            </w:r>
            <w:r w:rsidR="00B8075E" w:rsidRPr="00A52AB8">
              <w:rPr>
                <w:sz w:val="20"/>
                <w:szCs w:val="20"/>
              </w:rPr>
              <w:t>tile</w:t>
            </w:r>
            <w:r w:rsidRPr="00A52AB8">
              <w:rPr>
                <w:sz w:val="20"/>
                <w:szCs w:val="20"/>
              </w:rPr>
              <w:t xml:space="preserve"> of a non</w:t>
            </w:r>
            <w:r w:rsidR="00A8441F" w:rsidRPr="00A52AB8">
              <w:rPr>
                <w:sz w:val="20"/>
                <w:szCs w:val="20"/>
              </w:rPr>
              <w:t>-TSA</w:t>
            </w:r>
            <w:r w:rsidR="003B75E9" w:rsidRPr="00A52AB8">
              <w:rPr>
                <w:sz w:val="20"/>
                <w:szCs w:val="20"/>
              </w:rPr>
              <w:t>, non STSA</w:t>
            </w:r>
            <w:r w:rsidR="00A8441F" w:rsidRPr="00A52AB8">
              <w:rPr>
                <w:sz w:val="20"/>
                <w:szCs w:val="20"/>
              </w:rPr>
              <w:t xml:space="preserve"> trailing </w:t>
            </w:r>
            <w:r w:rsidRPr="00A52AB8">
              <w:rPr>
                <w:sz w:val="20"/>
                <w:szCs w:val="20"/>
              </w:rPr>
              <w:t>atlas frame</w:t>
            </w:r>
          </w:p>
          <w:p w14:paraId="3DA8BF77" w14:textId="77777777" w:rsidR="009B0AA5" w:rsidRPr="00A52AB8" w:rsidRDefault="009B0AA5">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sz w:val="20"/>
                <w:szCs w:val="20"/>
              </w:rPr>
            </w:pPr>
            <w:r w:rsidRPr="00A52AB8">
              <w:rPr>
                <w:color w:val="000000" w:themeColor="text1"/>
                <w:sz w:val="20"/>
                <w:szCs w:val="20"/>
              </w:rPr>
              <w:t>atlas_</w:t>
            </w:r>
            <w:r w:rsidR="00B8075E" w:rsidRPr="00A52AB8">
              <w:rPr>
                <w:color w:val="000000" w:themeColor="text1"/>
                <w:sz w:val="20"/>
                <w:szCs w:val="20"/>
              </w:rPr>
              <w:t>tile</w:t>
            </w:r>
            <w:r w:rsidRPr="00A52AB8">
              <w:rPr>
                <w:color w:val="000000" w:themeColor="text1"/>
                <w:sz w:val="20"/>
                <w:szCs w:val="20"/>
              </w:rPr>
              <w:t>_layer_rbsp</w:t>
            </w:r>
            <w:r w:rsidRPr="00A52AB8">
              <w:rPr>
                <w:sz w:val="20"/>
                <w:szCs w:val="20"/>
              </w:rPr>
              <w:t>( )</w:t>
            </w:r>
          </w:p>
        </w:tc>
        <w:tc>
          <w:tcPr>
            <w:tcW w:w="1337" w:type="dxa"/>
          </w:tcPr>
          <w:p w14:paraId="0DC61FEF" w14:textId="77777777" w:rsidR="009B0AA5" w:rsidRPr="00A52AB8" w:rsidRDefault="009B0AA5">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A52AB8">
              <w:rPr>
                <w:sz w:val="20"/>
                <w:szCs w:val="20"/>
              </w:rPr>
              <w:t>ACL</w:t>
            </w:r>
          </w:p>
        </w:tc>
      </w:tr>
      <w:tr w:rsidR="00A8441F" w:rsidRPr="00A52AB8" w14:paraId="42AC9B6A" w14:textId="77777777" w:rsidTr="00792CFF">
        <w:trPr>
          <w:jc w:val="center"/>
        </w:trPr>
        <w:tc>
          <w:tcPr>
            <w:tcW w:w="1525" w:type="dxa"/>
          </w:tcPr>
          <w:p w14:paraId="68008CC7" w14:textId="77777777" w:rsidR="00A8441F" w:rsidRPr="00A52AB8" w:rsidRDefault="0099676C">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A52AB8">
              <w:rPr>
                <w:sz w:val="20"/>
                <w:szCs w:val="20"/>
              </w:rPr>
              <w:t>2</w:t>
            </w:r>
          </w:p>
          <w:p w14:paraId="78259B76" w14:textId="77777777" w:rsidR="0099676C" w:rsidRPr="00A52AB8" w:rsidRDefault="0099676C">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A52AB8">
              <w:rPr>
                <w:sz w:val="20"/>
                <w:szCs w:val="20"/>
              </w:rPr>
              <w:t>3</w:t>
            </w:r>
          </w:p>
        </w:tc>
        <w:tc>
          <w:tcPr>
            <w:tcW w:w="2439" w:type="dxa"/>
          </w:tcPr>
          <w:p w14:paraId="55C9F0A8" w14:textId="77777777" w:rsidR="006A7192" w:rsidRPr="00A52AB8" w:rsidRDefault="006A7192" w:rsidP="006A7192">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color w:val="000000" w:themeColor="text1"/>
                <w:sz w:val="20"/>
                <w:szCs w:val="20"/>
              </w:rPr>
            </w:pPr>
            <w:r w:rsidRPr="00A52AB8">
              <w:rPr>
                <w:color w:val="000000" w:themeColor="text1"/>
                <w:sz w:val="20"/>
                <w:szCs w:val="20"/>
              </w:rPr>
              <w:t>NAL_TSA_N</w:t>
            </w:r>
          </w:p>
          <w:p w14:paraId="3F22415C" w14:textId="77777777" w:rsidR="00A8441F" w:rsidRPr="00A52AB8" w:rsidRDefault="006A7192" w:rsidP="006A7192">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A52AB8">
              <w:rPr>
                <w:color w:val="000000" w:themeColor="text1"/>
                <w:sz w:val="20"/>
                <w:szCs w:val="20"/>
              </w:rPr>
              <w:t>NAL_TSA_R</w:t>
            </w:r>
          </w:p>
        </w:tc>
        <w:tc>
          <w:tcPr>
            <w:tcW w:w="4580" w:type="dxa"/>
          </w:tcPr>
          <w:p w14:paraId="20324895" w14:textId="77777777" w:rsidR="00A8441F" w:rsidRPr="00A52AB8" w:rsidRDefault="00A8441F">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sz w:val="20"/>
                <w:szCs w:val="20"/>
              </w:rPr>
            </w:pPr>
            <w:r w:rsidRPr="00A52AB8">
              <w:rPr>
                <w:sz w:val="20"/>
                <w:szCs w:val="20"/>
              </w:rPr>
              <w:t xml:space="preserve">Coded </w:t>
            </w:r>
            <w:r w:rsidR="00B8075E" w:rsidRPr="00A52AB8">
              <w:rPr>
                <w:sz w:val="20"/>
                <w:szCs w:val="20"/>
              </w:rPr>
              <w:t>tile</w:t>
            </w:r>
            <w:r w:rsidRPr="00A52AB8">
              <w:rPr>
                <w:sz w:val="20"/>
                <w:szCs w:val="20"/>
              </w:rPr>
              <w:t xml:space="preserve"> of a TSA atlas frame</w:t>
            </w:r>
          </w:p>
          <w:p w14:paraId="44172DA8" w14:textId="77777777" w:rsidR="00A8441F" w:rsidRPr="00A52AB8" w:rsidRDefault="00A8441F">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sz w:val="20"/>
                <w:szCs w:val="20"/>
              </w:rPr>
            </w:pPr>
            <w:r w:rsidRPr="00A52AB8">
              <w:rPr>
                <w:color w:val="000000" w:themeColor="text1"/>
                <w:sz w:val="20"/>
                <w:szCs w:val="20"/>
              </w:rPr>
              <w:t>atlas_</w:t>
            </w:r>
            <w:r w:rsidR="00B8075E" w:rsidRPr="00A52AB8">
              <w:rPr>
                <w:color w:val="000000" w:themeColor="text1"/>
                <w:sz w:val="20"/>
                <w:szCs w:val="20"/>
              </w:rPr>
              <w:t>tile</w:t>
            </w:r>
            <w:r w:rsidRPr="00A52AB8">
              <w:rPr>
                <w:color w:val="000000" w:themeColor="text1"/>
                <w:sz w:val="20"/>
                <w:szCs w:val="20"/>
              </w:rPr>
              <w:t>_layer_rbsp</w:t>
            </w:r>
            <w:r w:rsidRPr="00A52AB8">
              <w:rPr>
                <w:sz w:val="20"/>
                <w:szCs w:val="20"/>
              </w:rPr>
              <w:t>( )</w:t>
            </w:r>
          </w:p>
        </w:tc>
        <w:tc>
          <w:tcPr>
            <w:tcW w:w="1337" w:type="dxa"/>
          </w:tcPr>
          <w:p w14:paraId="483F6258" w14:textId="77777777" w:rsidR="00A8441F" w:rsidRPr="00A52AB8" w:rsidRDefault="00A8441F">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A52AB8">
              <w:rPr>
                <w:sz w:val="20"/>
                <w:szCs w:val="20"/>
              </w:rPr>
              <w:t>ACL</w:t>
            </w:r>
          </w:p>
        </w:tc>
      </w:tr>
      <w:tr w:rsidR="003B75E9" w:rsidRPr="00A52AB8" w14:paraId="2A8D2B29" w14:textId="77777777" w:rsidTr="00792CFF">
        <w:trPr>
          <w:jc w:val="center"/>
        </w:trPr>
        <w:tc>
          <w:tcPr>
            <w:tcW w:w="1525" w:type="dxa"/>
          </w:tcPr>
          <w:p w14:paraId="72D31C5A" w14:textId="77777777" w:rsidR="003B75E9" w:rsidRPr="00A52AB8" w:rsidRDefault="0099676C">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A52AB8">
              <w:rPr>
                <w:sz w:val="20"/>
                <w:szCs w:val="20"/>
              </w:rPr>
              <w:t>4</w:t>
            </w:r>
          </w:p>
          <w:p w14:paraId="27F3A9A6" w14:textId="77777777" w:rsidR="0099676C" w:rsidRPr="00A52AB8" w:rsidRDefault="0099676C">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A52AB8">
              <w:rPr>
                <w:sz w:val="20"/>
                <w:szCs w:val="20"/>
              </w:rPr>
              <w:t>5</w:t>
            </w:r>
          </w:p>
        </w:tc>
        <w:tc>
          <w:tcPr>
            <w:tcW w:w="2439" w:type="dxa"/>
          </w:tcPr>
          <w:p w14:paraId="49C01002" w14:textId="77777777" w:rsidR="001F210E" w:rsidRPr="00A52AB8" w:rsidRDefault="001F210E" w:rsidP="001F210E">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color w:val="000000" w:themeColor="text1"/>
                <w:sz w:val="20"/>
                <w:szCs w:val="20"/>
              </w:rPr>
            </w:pPr>
            <w:r w:rsidRPr="00A52AB8">
              <w:rPr>
                <w:color w:val="000000" w:themeColor="text1"/>
                <w:sz w:val="20"/>
                <w:szCs w:val="20"/>
              </w:rPr>
              <w:t>NAL_STSA_N</w:t>
            </w:r>
          </w:p>
          <w:p w14:paraId="6832FA3C" w14:textId="77777777" w:rsidR="003B75E9" w:rsidRPr="00A52AB8" w:rsidRDefault="001F210E" w:rsidP="001F210E">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A52AB8">
              <w:rPr>
                <w:color w:val="000000" w:themeColor="text1"/>
                <w:sz w:val="20"/>
                <w:szCs w:val="20"/>
              </w:rPr>
              <w:t>NAL_STSA_R</w:t>
            </w:r>
          </w:p>
        </w:tc>
        <w:tc>
          <w:tcPr>
            <w:tcW w:w="4580" w:type="dxa"/>
          </w:tcPr>
          <w:p w14:paraId="06B6C404" w14:textId="77777777" w:rsidR="003B75E9" w:rsidRPr="00A52AB8" w:rsidRDefault="003B75E9">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sz w:val="20"/>
                <w:szCs w:val="20"/>
              </w:rPr>
            </w:pPr>
            <w:r w:rsidRPr="00A52AB8">
              <w:rPr>
                <w:sz w:val="20"/>
                <w:szCs w:val="20"/>
              </w:rPr>
              <w:t xml:space="preserve">Coded </w:t>
            </w:r>
            <w:r w:rsidR="00B8075E" w:rsidRPr="00A52AB8">
              <w:rPr>
                <w:sz w:val="20"/>
                <w:szCs w:val="20"/>
              </w:rPr>
              <w:t>tile</w:t>
            </w:r>
            <w:r w:rsidRPr="00A52AB8">
              <w:rPr>
                <w:sz w:val="20"/>
                <w:szCs w:val="20"/>
              </w:rPr>
              <w:t xml:space="preserve"> of a STSA atlas frame</w:t>
            </w:r>
          </w:p>
          <w:p w14:paraId="2C8A765E" w14:textId="77777777" w:rsidR="003B75E9" w:rsidRPr="00A52AB8" w:rsidRDefault="003B75E9">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sz w:val="20"/>
                <w:szCs w:val="20"/>
              </w:rPr>
            </w:pPr>
            <w:r w:rsidRPr="00A52AB8">
              <w:rPr>
                <w:color w:val="000000" w:themeColor="text1"/>
                <w:sz w:val="20"/>
                <w:szCs w:val="20"/>
              </w:rPr>
              <w:t>atlas_</w:t>
            </w:r>
            <w:r w:rsidR="00B8075E" w:rsidRPr="00A52AB8">
              <w:rPr>
                <w:color w:val="000000" w:themeColor="text1"/>
                <w:sz w:val="20"/>
                <w:szCs w:val="20"/>
              </w:rPr>
              <w:t>tile</w:t>
            </w:r>
            <w:r w:rsidRPr="00A52AB8">
              <w:rPr>
                <w:color w:val="000000" w:themeColor="text1"/>
                <w:sz w:val="20"/>
                <w:szCs w:val="20"/>
              </w:rPr>
              <w:t>_layer_rbsp</w:t>
            </w:r>
            <w:r w:rsidRPr="00A52AB8">
              <w:rPr>
                <w:sz w:val="20"/>
                <w:szCs w:val="20"/>
              </w:rPr>
              <w:t>( )</w:t>
            </w:r>
          </w:p>
        </w:tc>
        <w:tc>
          <w:tcPr>
            <w:tcW w:w="1337" w:type="dxa"/>
          </w:tcPr>
          <w:p w14:paraId="56EBAE5E" w14:textId="77777777" w:rsidR="003B75E9" w:rsidRPr="00A52AB8" w:rsidRDefault="003B75E9">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A52AB8">
              <w:rPr>
                <w:sz w:val="20"/>
                <w:szCs w:val="20"/>
              </w:rPr>
              <w:t>ACL</w:t>
            </w:r>
          </w:p>
        </w:tc>
      </w:tr>
      <w:tr w:rsidR="00A8441F" w:rsidRPr="00A52AB8" w14:paraId="3BC9383C" w14:textId="77777777" w:rsidTr="00792CFF">
        <w:trPr>
          <w:jc w:val="center"/>
        </w:trPr>
        <w:tc>
          <w:tcPr>
            <w:tcW w:w="1525" w:type="dxa"/>
          </w:tcPr>
          <w:p w14:paraId="04BD83AA" w14:textId="77777777" w:rsidR="00A8441F" w:rsidRPr="00A52AB8" w:rsidRDefault="0099676C">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A52AB8">
              <w:rPr>
                <w:sz w:val="20"/>
                <w:szCs w:val="20"/>
              </w:rPr>
              <w:t>6</w:t>
            </w:r>
          </w:p>
          <w:p w14:paraId="7570B3F9" w14:textId="77777777" w:rsidR="0099676C" w:rsidRPr="00A52AB8" w:rsidRDefault="0099676C">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A52AB8">
              <w:rPr>
                <w:sz w:val="20"/>
                <w:szCs w:val="20"/>
              </w:rPr>
              <w:t>7</w:t>
            </w:r>
          </w:p>
        </w:tc>
        <w:tc>
          <w:tcPr>
            <w:tcW w:w="2439" w:type="dxa"/>
          </w:tcPr>
          <w:p w14:paraId="7FB53F87" w14:textId="77777777" w:rsidR="000A1240" w:rsidRPr="00A52AB8" w:rsidRDefault="000A1240" w:rsidP="000A1240">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color w:val="000000" w:themeColor="text1"/>
                <w:sz w:val="20"/>
                <w:szCs w:val="20"/>
              </w:rPr>
            </w:pPr>
            <w:r w:rsidRPr="00A52AB8">
              <w:rPr>
                <w:color w:val="000000" w:themeColor="text1"/>
                <w:sz w:val="20"/>
                <w:szCs w:val="20"/>
              </w:rPr>
              <w:t>NAL_RADL_N</w:t>
            </w:r>
          </w:p>
          <w:p w14:paraId="675329C8" w14:textId="77777777" w:rsidR="00A8441F" w:rsidRPr="00A52AB8" w:rsidRDefault="000A1240" w:rsidP="000A1240">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A52AB8">
              <w:rPr>
                <w:color w:val="000000" w:themeColor="text1"/>
                <w:sz w:val="20"/>
                <w:szCs w:val="20"/>
              </w:rPr>
              <w:t>NAL_RADL_R</w:t>
            </w:r>
          </w:p>
        </w:tc>
        <w:tc>
          <w:tcPr>
            <w:tcW w:w="4580" w:type="dxa"/>
          </w:tcPr>
          <w:p w14:paraId="7C76D4B7" w14:textId="77777777" w:rsidR="00A8441F" w:rsidRPr="00A52AB8" w:rsidRDefault="00A8441F">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sz w:val="20"/>
                <w:szCs w:val="20"/>
              </w:rPr>
            </w:pPr>
            <w:r w:rsidRPr="00A52AB8">
              <w:rPr>
                <w:sz w:val="20"/>
                <w:szCs w:val="20"/>
              </w:rPr>
              <w:t xml:space="preserve">Coded </w:t>
            </w:r>
            <w:r w:rsidR="00B8075E" w:rsidRPr="00A52AB8">
              <w:rPr>
                <w:sz w:val="20"/>
                <w:szCs w:val="20"/>
              </w:rPr>
              <w:t>tile</w:t>
            </w:r>
            <w:r w:rsidRPr="00A52AB8">
              <w:rPr>
                <w:sz w:val="20"/>
                <w:szCs w:val="20"/>
              </w:rPr>
              <w:t xml:space="preserve"> of a RADL atlas frame</w:t>
            </w:r>
          </w:p>
          <w:p w14:paraId="75CB625E" w14:textId="77777777" w:rsidR="00A8441F" w:rsidRPr="00A52AB8" w:rsidRDefault="00A8441F">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sz w:val="20"/>
                <w:szCs w:val="20"/>
              </w:rPr>
            </w:pPr>
            <w:r w:rsidRPr="00A52AB8">
              <w:rPr>
                <w:color w:val="000000" w:themeColor="text1"/>
                <w:sz w:val="20"/>
                <w:szCs w:val="20"/>
              </w:rPr>
              <w:t>atlas_</w:t>
            </w:r>
            <w:r w:rsidR="00B8075E" w:rsidRPr="00A52AB8">
              <w:rPr>
                <w:color w:val="000000" w:themeColor="text1"/>
                <w:sz w:val="20"/>
                <w:szCs w:val="20"/>
              </w:rPr>
              <w:t>tile</w:t>
            </w:r>
            <w:r w:rsidRPr="00A52AB8">
              <w:rPr>
                <w:color w:val="000000" w:themeColor="text1"/>
                <w:sz w:val="20"/>
                <w:szCs w:val="20"/>
              </w:rPr>
              <w:t>_layer_rbsp</w:t>
            </w:r>
            <w:r w:rsidRPr="00A52AB8">
              <w:rPr>
                <w:sz w:val="20"/>
                <w:szCs w:val="20"/>
              </w:rPr>
              <w:t>( )</w:t>
            </w:r>
          </w:p>
        </w:tc>
        <w:tc>
          <w:tcPr>
            <w:tcW w:w="1337" w:type="dxa"/>
          </w:tcPr>
          <w:p w14:paraId="1689B3F3" w14:textId="77777777" w:rsidR="00A8441F" w:rsidRPr="00A52AB8" w:rsidRDefault="00A8441F">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A52AB8">
              <w:rPr>
                <w:sz w:val="20"/>
                <w:szCs w:val="20"/>
              </w:rPr>
              <w:t>ACL</w:t>
            </w:r>
          </w:p>
        </w:tc>
      </w:tr>
      <w:tr w:rsidR="00B239FD" w:rsidRPr="00A52AB8" w14:paraId="2302FD1D" w14:textId="77777777" w:rsidTr="00792CFF">
        <w:trPr>
          <w:jc w:val="center"/>
        </w:trPr>
        <w:tc>
          <w:tcPr>
            <w:tcW w:w="1525" w:type="dxa"/>
          </w:tcPr>
          <w:p w14:paraId="317F3029" w14:textId="77777777" w:rsidR="00B239FD" w:rsidRPr="00A52AB8" w:rsidRDefault="0099676C">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A52AB8">
              <w:rPr>
                <w:sz w:val="20"/>
                <w:szCs w:val="20"/>
              </w:rPr>
              <w:t>8</w:t>
            </w:r>
          </w:p>
          <w:p w14:paraId="776770FA" w14:textId="77777777" w:rsidR="0099676C" w:rsidRPr="00A52AB8" w:rsidRDefault="0099676C">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A52AB8">
              <w:rPr>
                <w:sz w:val="20"/>
                <w:szCs w:val="20"/>
              </w:rPr>
              <w:t>9</w:t>
            </w:r>
          </w:p>
        </w:tc>
        <w:tc>
          <w:tcPr>
            <w:tcW w:w="2439" w:type="dxa"/>
          </w:tcPr>
          <w:p w14:paraId="56663017" w14:textId="77777777" w:rsidR="003020F4" w:rsidRPr="00A52AB8" w:rsidRDefault="003020F4" w:rsidP="003020F4">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color w:val="000000" w:themeColor="text1"/>
                <w:sz w:val="20"/>
                <w:szCs w:val="20"/>
              </w:rPr>
            </w:pPr>
            <w:r w:rsidRPr="00A52AB8">
              <w:rPr>
                <w:color w:val="000000" w:themeColor="text1"/>
                <w:sz w:val="20"/>
                <w:szCs w:val="20"/>
              </w:rPr>
              <w:t>NAL_RASL_N</w:t>
            </w:r>
          </w:p>
          <w:p w14:paraId="294FB334" w14:textId="77777777" w:rsidR="00B239FD" w:rsidRPr="00A52AB8" w:rsidRDefault="003020F4" w:rsidP="003020F4">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A52AB8">
              <w:rPr>
                <w:color w:val="000000" w:themeColor="text1"/>
                <w:sz w:val="20"/>
                <w:szCs w:val="20"/>
              </w:rPr>
              <w:t>NAL_RASL_R</w:t>
            </w:r>
          </w:p>
        </w:tc>
        <w:tc>
          <w:tcPr>
            <w:tcW w:w="4580" w:type="dxa"/>
          </w:tcPr>
          <w:p w14:paraId="719AAB5A" w14:textId="77777777" w:rsidR="00B239FD" w:rsidRPr="00A52AB8" w:rsidRDefault="00B239FD">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sz w:val="20"/>
                <w:szCs w:val="20"/>
              </w:rPr>
            </w:pPr>
            <w:r w:rsidRPr="00A52AB8">
              <w:rPr>
                <w:sz w:val="20"/>
                <w:szCs w:val="20"/>
              </w:rPr>
              <w:t xml:space="preserve">Coded </w:t>
            </w:r>
            <w:r w:rsidR="00B8075E" w:rsidRPr="00A52AB8">
              <w:rPr>
                <w:sz w:val="20"/>
                <w:szCs w:val="20"/>
              </w:rPr>
              <w:t>tile</w:t>
            </w:r>
            <w:r w:rsidRPr="00A52AB8">
              <w:rPr>
                <w:sz w:val="20"/>
                <w:szCs w:val="20"/>
              </w:rPr>
              <w:t xml:space="preserve"> of a </w:t>
            </w:r>
            <w:r w:rsidR="00A8441F" w:rsidRPr="00A52AB8">
              <w:rPr>
                <w:sz w:val="20"/>
                <w:szCs w:val="20"/>
              </w:rPr>
              <w:t>RASL</w:t>
            </w:r>
            <w:r w:rsidRPr="00A52AB8">
              <w:rPr>
                <w:sz w:val="20"/>
                <w:szCs w:val="20"/>
              </w:rPr>
              <w:t xml:space="preserve"> </w:t>
            </w:r>
            <w:r w:rsidR="002A47BD" w:rsidRPr="00A52AB8">
              <w:rPr>
                <w:sz w:val="20"/>
                <w:szCs w:val="20"/>
              </w:rPr>
              <w:t>atlas</w:t>
            </w:r>
            <w:r w:rsidR="00FA36D6" w:rsidRPr="00A52AB8">
              <w:rPr>
                <w:sz w:val="20"/>
                <w:szCs w:val="20"/>
              </w:rPr>
              <w:t xml:space="preserve"> frame</w:t>
            </w:r>
          </w:p>
          <w:p w14:paraId="55AC9740" w14:textId="77777777" w:rsidR="00B239FD" w:rsidRPr="00A52AB8" w:rsidRDefault="00EB723C">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sz w:val="20"/>
                <w:szCs w:val="20"/>
              </w:rPr>
            </w:pPr>
            <w:r w:rsidRPr="00A52AB8">
              <w:rPr>
                <w:color w:val="000000" w:themeColor="text1"/>
                <w:sz w:val="20"/>
                <w:szCs w:val="20"/>
              </w:rPr>
              <w:t>atlas_</w:t>
            </w:r>
            <w:r w:rsidR="00B8075E" w:rsidRPr="00A52AB8">
              <w:rPr>
                <w:color w:val="000000" w:themeColor="text1"/>
                <w:sz w:val="20"/>
                <w:szCs w:val="20"/>
              </w:rPr>
              <w:t>tile</w:t>
            </w:r>
            <w:r w:rsidR="00B239FD" w:rsidRPr="00A52AB8">
              <w:rPr>
                <w:color w:val="000000" w:themeColor="text1"/>
                <w:sz w:val="20"/>
                <w:szCs w:val="20"/>
              </w:rPr>
              <w:t>_layer_rbsp</w:t>
            </w:r>
            <w:r w:rsidR="00B239FD" w:rsidRPr="00A52AB8">
              <w:rPr>
                <w:sz w:val="20"/>
                <w:szCs w:val="20"/>
              </w:rPr>
              <w:t>( )</w:t>
            </w:r>
          </w:p>
        </w:tc>
        <w:tc>
          <w:tcPr>
            <w:tcW w:w="1337" w:type="dxa"/>
          </w:tcPr>
          <w:p w14:paraId="59336052" w14:textId="77777777" w:rsidR="00B239FD" w:rsidRPr="00A52AB8" w:rsidRDefault="002752B1">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A52AB8">
              <w:rPr>
                <w:sz w:val="20"/>
                <w:szCs w:val="20"/>
              </w:rPr>
              <w:t>ACL</w:t>
            </w:r>
          </w:p>
        </w:tc>
      </w:tr>
      <w:tr w:rsidR="00ED4E4A" w:rsidRPr="00A52AB8" w14:paraId="7F07A3A2" w14:textId="77777777" w:rsidTr="00792CFF">
        <w:trPr>
          <w:jc w:val="center"/>
        </w:trPr>
        <w:tc>
          <w:tcPr>
            <w:tcW w:w="1525" w:type="dxa"/>
          </w:tcPr>
          <w:p w14:paraId="44B4F469" w14:textId="77777777" w:rsidR="00ED4E4A" w:rsidRPr="00A52AB8" w:rsidRDefault="0099676C">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A52AB8">
              <w:rPr>
                <w:sz w:val="20"/>
                <w:szCs w:val="20"/>
              </w:rPr>
              <w:t>10</w:t>
            </w:r>
          </w:p>
          <w:p w14:paraId="6D1146CB" w14:textId="77777777" w:rsidR="0099676C" w:rsidRPr="00A52AB8" w:rsidRDefault="0099676C">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A52AB8">
              <w:rPr>
                <w:sz w:val="20"/>
                <w:szCs w:val="20"/>
              </w:rPr>
              <w:t>11</w:t>
            </w:r>
          </w:p>
        </w:tc>
        <w:tc>
          <w:tcPr>
            <w:tcW w:w="2439" w:type="dxa"/>
          </w:tcPr>
          <w:p w14:paraId="4AD5D41B" w14:textId="77777777" w:rsidR="00221554" w:rsidRPr="00A52AB8" w:rsidRDefault="00221554" w:rsidP="00221554">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color w:val="000000" w:themeColor="text1"/>
                <w:sz w:val="20"/>
                <w:szCs w:val="20"/>
              </w:rPr>
            </w:pPr>
            <w:r w:rsidRPr="00A52AB8">
              <w:rPr>
                <w:color w:val="000000" w:themeColor="text1"/>
                <w:sz w:val="20"/>
                <w:szCs w:val="20"/>
              </w:rPr>
              <w:t>NAL_SKIP_N</w:t>
            </w:r>
          </w:p>
          <w:p w14:paraId="0836DB1E" w14:textId="77777777" w:rsidR="00ED4E4A" w:rsidRPr="00A52AB8" w:rsidRDefault="00221554" w:rsidP="00221554">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A52AB8">
              <w:rPr>
                <w:color w:val="000000" w:themeColor="text1"/>
                <w:sz w:val="20"/>
                <w:szCs w:val="20"/>
              </w:rPr>
              <w:t>NAL_SKIP_R</w:t>
            </w:r>
          </w:p>
        </w:tc>
        <w:tc>
          <w:tcPr>
            <w:tcW w:w="4580" w:type="dxa"/>
          </w:tcPr>
          <w:p w14:paraId="3B80B011" w14:textId="77777777" w:rsidR="00ED4E4A" w:rsidRPr="00A52AB8" w:rsidRDefault="00ED4E4A">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sz w:val="20"/>
                <w:szCs w:val="20"/>
              </w:rPr>
            </w:pPr>
            <w:r w:rsidRPr="00A52AB8">
              <w:rPr>
                <w:sz w:val="20"/>
                <w:szCs w:val="20"/>
              </w:rPr>
              <w:t xml:space="preserve">Coded </w:t>
            </w:r>
            <w:r w:rsidR="00B8075E" w:rsidRPr="00A52AB8">
              <w:rPr>
                <w:sz w:val="20"/>
                <w:szCs w:val="20"/>
              </w:rPr>
              <w:t>tile</w:t>
            </w:r>
            <w:r w:rsidRPr="00A52AB8">
              <w:rPr>
                <w:sz w:val="20"/>
                <w:szCs w:val="20"/>
              </w:rPr>
              <w:t xml:space="preserve"> of a skipped atlas frame</w:t>
            </w:r>
          </w:p>
          <w:p w14:paraId="52EF4F6C" w14:textId="77777777" w:rsidR="00ED4E4A" w:rsidRPr="00A52AB8" w:rsidRDefault="00ED4E4A">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sz w:val="20"/>
                <w:szCs w:val="20"/>
              </w:rPr>
            </w:pPr>
            <w:r w:rsidRPr="00A52AB8">
              <w:rPr>
                <w:color w:val="000000" w:themeColor="text1"/>
                <w:sz w:val="20"/>
                <w:szCs w:val="20"/>
              </w:rPr>
              <w:t>atlas_</w:t>
            </w:r>
            <w:r w:rsidR="00B8075E" w:rsidRPr="00A52AB8">
              <w:rPr>
                <w:color w:val="000000" w:themeColor="text1"/>
                <w:sz w:val="20"/>
                <w:szCs w:val="20"/>
              </w:rPr>
              <w:t>tile</w:t>
            </w:r>
            <w:r w:rsidRPr="00A52AB8">
              <w:rPr>
                <w:color w:val="000000" w:themeColor="text1"/>
                <w:sz w:val="20"/>
                <w:szCs w:val="20"/>
              </w:rPr>
              <w:t>_layer_rbsp</w:t>
            </w:r>
            <w:r w:rsidRPr="00A52AB8">
              <w:rPr>
                <w:sz w:val="20"/>
                <w:szCs w:val="20"/>
              </w:rPr>
              <w:t>( )</w:t>
            </w:r>
          </w:p>
        </w:tc>
        <w:tc>
          <w:tcPr>
            <w:tcW w:w="1337" w:type="dxa"/>
          </w:tcPr>
          <w:p w14:paraId="41C6B481" w14:textId="77777777" w:rsidR="00ED4E4A" w:rsidRPr="00A52AB8" w:rsidRDefault="002752B1">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A52AB8">
              <w:rPr>
                <w:sz w:val="20"/>
                <w:szCs w:val="20"/>
              </w:rPr>
              <w:t>ACL</w:t>
            </w:r>
          </w:p>
        </w:tc>
      </w:tr>
      <w:tr w:rsidR="00B239FD" w:rsidRPr="00A52AB8" w14:paraId="6727F262" w14:textId="77777777" w:rsidTr="00792CFF">
        <w:trPr>
          <w:jc w:val="center"/>
        </w:trPr>
        <w:tc>
          <w:tcPr>
            <w:tcW w:w="1525" w:type="dxa"/>
            <w:hideMark/>
          </w:tcPr>
          <w:p w14:paraId="631D77D5" w14:textId="77777777" w:rsidR="00B239FD" w:rsidRPr="00A52AB8" w:rsidRDefault="00CC4CB7">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A52AB8">
              <w:rPr>
                <w:sz w:val="20"/>
                <w:szCs w:val="20"/>
              </w:rPr>
              <w:t>12</w:t>
            </w:r>
          </w:p>
          <w:p w14:paraId="7C8B1B7D" w14:textId="77777777" w:rsidR="00BB1B18" w:rsidRPr="00A52AB8" w:rsidRDefault="00BB1B18">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A52AB8">
              <w:rPr>
                <w:sz w:val="20"/>
                <w:szCs w:val="20"/>
              </w:rPr>
              <w:t>14</w:t>
            </w:r>
          </w:p>
        </w:tc>
        <w:tc>
          <w:tcPr>
            <w:tcW w:w="2439" w:type="dxa"/>
            <w:hideMark/>
          </w:tcPr>
          <w:p w14:paraId="7FAA86F0" w14:textId="77777777" w:rsidR="00B239FD" w:rsidRPr="00A52AB8" w:rsidRDefault="00BA2E90">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lang w:eastAsia="ko-KR"/>
              </w:rPr>
            </w:pPr>
            <w:r w:rsidRPr="00A52AB8">
              <w:rPr>
                <w:sz w:val="20"/>
                <w:szCs w:val="20"/>
                <w:lang w:eastAsia="ko-KR"/>
              </w:rPr>
              <w:t>NAL</w:t>
            </w:r>
            <w:r w:rsidR="007E4842" w:rsidRPr="00A52AB8">
              <w:rPr>
                <w:sz w:val="20"/>
                <w:szCs w:val="20"/>
                <w:lang w:eastAsia="ko-KR"/>
              </w:rPr>
              <w:t>_RSV_</w:t>
            </w:r>
            <w:r w:rsidR="002752B1" w:rsidRPr="00A52AB8">
              <w:rPr>
                <w:sz w:val="20"/>
                <w:szCs w:val="20"/>
                <w:lang w:eastAsia="ko-KR"/>
              </w:rPr>
              <w:t>ACL</w:t>
            </w:r>
            <w:r w:rsidR="00681E24" w:rsidRPr="00A52AB8">
              <w:rPr>
                <w:sz w:val="20"/>
                <w:szCs w:val="20"/>
                <w:lang w:eastAsia="ko-KR"/>
              </w:rPr>
              <w:t>_</w:t>
            </w:r>
            <w:r w:rsidR="00575A9A" w:rsidRPr="00A52AB8">
              <w:rPr>
                <w:sz w:val="20"/>
                <w:szCs w:val="20"/>
                <w:lang w:eastAsia="ko-KR"/>
              </w:rPr>
              <w:t>N</w:t>
            </w:r>
            <w:r w:rsidR="00755241" w:rsidRPr="00A52AB8">
              <w:rPr>
                <w:sz w:val="20"/>
                <w:szCs w:val="20"/>
                <w:lang w:eastAsia="ko-KR"/>
              </w:rPr>
              <w:t>12</w:t>
            </w:r>
            <w:r w:rsidR="00B239FD" w:rsidRPr="00A52AB8">
              <w:rPr>
                <w:sz w:val="20"/>
                <w:szCs w:val="20"/>
              </w:rPr>
              <w:br/>
            </w:r>
            <w:r w:rsidRPr="00A52AB8">
              <w:rPr>
                <w:sz w:val="20"/>
                <w:szCs w:val="20"/>
                <w:lang w:eastAsia="ko-KR"/>
              </w:rPr>
              <w:t>NAL</w:t>
            </w:r>
            <w:r w:rsidR="007E4842" w:rsidRPr="00A52AB8">
              <w:rPr>
                <w:sz w:val="20"/>
                <w:szCs w:val="20"/>
                <w:lang w:eastAsia="ko-KR"/>
              </w:rPr>
              <w:t>_RSV_</w:t>
            </w:r>
            <w:r w:rsidR="002752B1" w:rsidRPr="00A52AB8">
              <w:rPr>
                <w:sz w:val="20"/>
                <w:szCs w:val="20"/>
                <w:lang w:eastAsia="ko-KR"/>
              </w:rPr>
              <w:t>ACL</w:t>
            </w:r>
            <w:r w:rsidR="00681E24" w:rsidRPr="00A52AB8">
              <w:rPr>
                <w:sz w:val="20"/>
                <w:szCs w:val="20"/>
                <w:lang w:eastAsia="ko-KR"/>
              </w:rPr>
              <w:t>_</w:t>
            </w:r>
            <w:r w:rsidR="00575A9A" w:rsidRPr="00A52AB8">
              <w:rPr>
                <w:sz w:val="20"/>
                <w:szCs w:val="20"/>
                <w:lang w:eastAsia="ko-KR"/>
              </w:rPr>
              <w:t>N</w:t>
            </w:r>
            <w:r w:rsidR="00755241" w:rsidRPr="00A52AB8">
              <w:rPr>
                <w:sz w:val="20"/>
                <w:szCs w:val="20"/>
                <w:lang w:eastAsia="ko-KR"/>
              </w:rPr>
              <w:t>14</w:t>
            </w:r>
          </w:p>
        </w:tc>
        <w:tc>
          <w:tcPr>
            <w:tcW w:w="4580" w:type="dxa"/>
            <w:hideMark/>
          </w:tcPr>
          <w:p w14:paraId="4C07A132" w14:textId="77777777" w:rsidR="00B239FD" w:rsidRPr="00A52AB8" w:rsidRDefault="00E149D1">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sz w:val="20"/>
                <w:szCs w:val="20"/>
                <w:lang w:eastAsia="ko-KR"/>
              </w:rPr>
            </w:pPr>
            <w:r w:rsidRPr="00A52AB8">
              <w:rPr>
                <w:sz w:val="20"/>
                <w:szCs w:val="20"/>
              </w:rPr>
              <w:t>Reserved non-IRAP sub-layer non-reference ACL NAL unit types</w:t>
            </w:r>
          </w:p>
        </w:tc>
        <w:tc>
          <w:tcPr>
            <w:tcW w:w="1337" w:type="dxa"/>
            <w:hideMark/>
          </w:tcPr>
          <w:p w14:paraId="5BBFC651" w14:textId="77777777" w:rsidR="00B239FD" w:rsidRPr="00A52AB8" w:rsidRDefault="002752B1">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A52AB8">
              <w:rPr>
                <w:sz w:val="20"/>
                <w:szCs w:val="20"/>
              </w:rPr>
              <w:t>ACL</w:t>
            </w:r>
          </w:p>
        </w:tc>
      </w:tr>
      <w:tr w:rsidR="009E0A7D" w:rsidRPr="00A52AB8" w14:paraId="03588CFF" w14:textId="77777777" w:rsidTr="00792CFF">
        <w:trPr>
          <w:jc w:val="center"/>
        </w:trPr>
        <w:tc>
          <w:tcPr>
            <w:tcW w:w="1525" w:type="dxa"/>
          </w:tcPr>
          <w:p w14:paraId="028A7518" w14:textId="77777777" w:rsidR="008C68E3" w:rsidRPr="00A52AB8" w:rsidRDefault="008C68E3" w:rsidP="008C68E3">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A52AB8">
              <w:rPr>
                <w:sz w:val="20"/>
                <w:szCs w:val="20"/>
              </w:rPr>
              <w:t>13</w:t>
            </w:r>
          </w:p>
          <w:p w14:paraId="14BAC4E1" w14:textId="77777777" w:rsidR="009E0A7D" w:rsidRPr="00A52AB8" w:rsidDel="00CC4CB7" w:rsidRDefault="008C68E3" w:rsidP="008C68E3">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A52AB8">
              <w:rPr>
                <w:sz w:val="20"/>
                <w:szCs w:val="20"/>
              </w:rPr>
              <w:t>15</w:t>
            </w:r>
          </w:p>
        </w:tc>
        <w:tc>
          <w:tcPr>
            <w:tcW w:w="2439" w:type="dxa"/>
          </w:tcPr>
          <w:p w14:paraId="5C1FB731" w14:textId="77777777" w:rsidR="009E0A7D" w:rsidRPr="00A52AB8" w:rsidRDefault="00755241">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lang w:eastAsia="ko-KR"/>
              </w:rPr>
            </w:pPr>
            <w:r w:rsidRPr="00A52AB8">
              <w:rPr>
                <w:sz w:val="20"/>
                <w:szCs w:val="20"/>
                <w:lang w:eastAsia="ko-KR"/>
              </w:rPr>
              <w:t>NAL_RSV_ACL_R13</w:t>
            </w:r>
            <w:r w:rsidRPr="00A52AB8">
              <w:rPr>
                <w:sz w:val="20"/>
                <w:szCs w:val="20"/>
              </w:rPr>
              <w:br/>
            </w:r>
            <w:r w:rsidRPr="00A52AB8">
              <w:rPr>
                <w:sz w:val="20"/>
                <w:szCs w:val="20"/>
                <w:lang w:eastAsia="ko-KR"/>
              </w:rPr>
              <w:t>NAL_RSV_ACL_R15</w:t>
            </w:r>
          </w:p>
        </w:tc>
        <w:tc>
          <w:tcPr>
            <w:tcW w:w="4580" w:type="dxa"/>
          </w:tcPr>
          <w:p w14:paraId="47C3C045" w14:textId="77777777" w:rsidR="009E0A7D" w:rsidRPr="00A52AB8" w:rsidRDefault="007B2F0A">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sz w:val="20"/>
                <w:szCs w:val="20"/>
              </w:rPr>
            </w:pPr>
            <w:r w:rsidRPr="00A52AB8">
              <w:rPr>
                <w:sz w:val="20"/>
                <w:szCs w:val="20"/>
              </w:rPr>
              <w:t>Reserved non-IRAP sub-layer reference ACL NAL unit types</w:t>
            </w:r>
          </w:p>
        </w:tc>
        <w:tc>
          <w:tcPr>
            <w:tcW w:w="1337" w:type="dxa"/>
          </w:tcPr>
          <w:p w14:paraId="3BB3FF5E" w14:textId="77777777" w:rsidR="009E0A7D" w:rsidRPr="00A52AB8" w:rsidRDefault="003351AF">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A52AB8">
              <w:rPr>
                <w:sz w:val="20"/>
                <w:szCs w:val="20"/>
              </w:rPr>
              <w:t>ACL</w:t>
            </w:r>
          </w:p>
        </w:tc>
      </w:tr>
      <w:tr w:rsidR="00094ED9" w:rsidRPr="00A52AB8" w14:paraId="7595621A" w14:textId="77777777" w:rsidTr="00792CFF">
        <w:trPr>
          <w:jc w:val="center"/>
        </w:trPr>
        <w:tc>
          <w:tcPr>
            <w:tcW w:w="1525" w:type="dxa"/>
          </w:tcPr>
          <w:p w14:paraId="7725CFED" w14:textId="77777777" w:rsidR="00094ED9" w:rsidRPr="00A52AB8" w:rsidRDefault="003351AF">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A52AB8">
              <w:rPr>
                <w:sz w:val="20"/>
                <w:szCs w:val="20"/>
              </w:rPr>
              <w:t>16</w:t>
            </w:r>
            <w:r w:rsidR="00094ED9" w:rsidRPr="00A52AB8">
              <w:rPr>
                <w:sz w:val="20"/>
                <w:szCs w:val="20"/>
              </w:rPr>
              <w:br/>
              <w:t>1</w:t>
            </w:r>
            <w:r w:rsidRPr="00A52AB8">
              <w:rPr>
                <w:sz w:val="20"/>
                <w:szCs w:val="20"/>
              </w:rPr>
              <w:t>7</w:t>
            </w:r>
            <w:r w:rsidR="00094ED9" w:rsidRPr="00A52AB8">
              <w:rPr>
                <w:sz w:val="20"/>
                <w:szCs w:val="20"/>
              </w:rPr>
              <w:br/>
              <w:t>1</w:t>
            </w:r>
            <w:r w:rsidRPr="00A52AB8">
              <w:rPr>
                <w:sz w:val="20"/>
                <w:szCs w:val="20"/>
              </w:rPr>
              <w:t>8</w:t>
            </w:r>
          </w:p>
        </w:tc>
        <w:tc>
          <w:tcPr>
            <w:tcW w:w="2439" w:type="dxa"/>
          </w:tcPr>
          <w:p w14:paraId="00A6A745" w14:textId="77777777" w:rsidR="00094ED9" w:rsidRPr="00A52AB8" w:rsidRDefault="00BA2E90">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lang w:eastAsia="ko-KR"/>
              </w:rPr>
            </w:pPr>
            <w:r w:rsidRPr="00A52AB8">
              <w:rPr>
                <w:sz w:val="20"/>
                <w:szCs w:val="20"/>
                <w:lang w:eastAsia="ko-KR"/>
              </w:rPr>
              <w:t>NAL</w:t>
            </w:r>
            <w:r w:rsidR="00094ED9" w:rsidRPr="00A52AB8">
              <w:rPr>
                <w:sz w:val="20"/>
                <w:szCs w:val="20"/>
                <w:lang w:eastAsia="ko-KR"/>
              </w:rPr>
              <w:t>_BLA_W_LP</w:t>
            </w:r>
            <w:r w:rsidR="00094ED9" w:rsidRPr="00A52AB8">
              <w:rPr>
                <w:sz w:val="20"/>
                <w:szCs w:val="20"/>
                <w:lang w:eastAsia="ko-KR"/>
              </w:rPr>
              <w:br/>
            </w:r>
            <w:r w:rsidRPr="00A52AB8">
              <w:rPr>
                <w:sz w:val="20"/>
                <w:szCs w:val="20"/>
                <w:lang w:eastAsia="ko-KR"/>
              </w:rPr>
              <w:t>NAL</w:t>
            </w:r>
            <w:r w:rsidR="00094ED9" w:rsidRPr="00A52AB8">
              <w:rPr>
                <w:sz w:val="20"/>
                <w:szCs w:val="20"/>
                <w:lang w:eastAsia="ko-KR"/>
              </w:rPr>
              <w:t>_BLA_W_RADL</w:t>
            </w:r>
            <w:r w:rsidR="00094ED9" w:rsidRPr="00A52AB8">
              <w:rPr>
                <w:sz w:val="20"/>
                <w:szCs w:val="20"/>
                <w:lang w:eastAsia="ko-KR"/>
              </w:rPr>
              <w:br/>
            </w:r>
            <w:r w:rsidRPr="00A52AB8">
              <w:rPr>
                <w:sz w:val="20"/>
                <w:szCs w:val="20"/>
                <w:lang w:eastAsia="ko-KR"/>
              </w:rPr>
              <w:t>NAL</w:t>
            </w:r>
            <w:r w:rsidR="00094ED9" w:rsidRPr="00A52AB8">
              <w:rPr>
                <w:sz w:val="20"/>
                <w:szCs w:val="20"/>
                <w:lang w:eastAsia="ko-KR"/>
              </w:rPr>
              <w:t>_BLA_N_LP</w:t>
            </w:r>
          </w:p>
        </w:tc>
        <w:tc>
          <w:tcPr>
            <w:tcW w:w="4580" w:type="dxa"/>
          </w:tcPr>
          <w:p w14:paraId="146BB266" w14:textId="0DBDF23F" w:rsidR="00094ED9" w:rsidRPr="00A52AB8" w:rsidRDefault="00094ED9">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sz w:val="20"/>
                <w:szCs w:val="20"/>
              </w:rPr>
            </w:pPr>
            <w:r w:rsidRPr="00A52AB8">
              <w:rPr>
                <w:sz w:val="20"/>
                <w:szCs w:val="20"/>
                <w:lang w:eastAsia="ko-KR"/>
              </w:rPr>
              <w:t xml:space="preserve">Coded </w:t>
            </w:r>
            <w:r w:rsidR="00B8075E" w:rsidRPr="00A52AB8">
              <w:rPr>
                <w:sz w:val="20"/>
                <w:szCs w:val="20"/>
                <w:lang w:eastAsia="ko-KR"/>
              </w:rPr>
              <w:t>tile</w:t>
            </w:r>
            <w:r w:rsidRPr="00A52AB8">
              <w:rPr>
                <w:sz w:val="20"/>
                <w:szCs w:val="20"/>
              </w:rPr>
              <w:t xml:space="preserve"> </w:t>
            </w:r>
            <w:r w:rsidRPr="00A52AB8">
              <w:rPr>
                <w:sz w:val="20"/>
                <w:szCs w:val="20"/>
                <w:lang w:eastAsia="ko-KR"/>
              </w:rPr>
              <w:t>of a BLA atlas frame</w:t>
            </w:r>
            <w:r w:rsidR="000C1ACB" w:rsidRPr="00A52AB8">
              <w:rPr>
                <w:sz w:val="20"/>
                <w:szCs w:val="20"/>
                <w:lang w:eastAsia="ko-KR"/>
              </w:rPr>
              <w:t xml:space="preserve"> that is not a GBLA</w:t>
            </w:r>
            <w:r w:rsidRPr="00A52AB8">
              <w:rPr>
                <w:sz w:val="20"/>
                <w:szCs w:val="20"/>
                <w:lang w:eastAsia="ko-KR"/>
              </w:rPr>
              <w:br/>
            </w:r>
            <w:r w:rsidRPr="00A52AB8">
              <w:rPr>
                <w:color w:val="000000" w:themeColor="text1"/>
                <w:sz w:val="20"/>
                <w:szCs w:val="20"/>
              </w:rPr>
              <w:t>atlas_</w:t>
            </w:r>
            <w:r w:rsidR="00B8075E" w:rsidRPr="00A52AB8">
              <w:rPr>
                <w:color w:val="000000" w:themeColor="text1"/>
                <w:sz w:val="20"/>
                <w:szCs w:val="20"/>
              </w:rPr>
              <w:t>tile</w:t>
            </w:r>
            <w:r w:rsidRPr="00A52AB8">
              <w:rPr>
                <w:color w:val="000000" w:themeColor="text1"/>
                <w:sz w:val="20"/>
                <w:szCs w:val="20"/>
              </w:rPr>
              <w:t>_layer_rbsp</w:t>
            </w:r>
            <w:r w:rsidRPr="00A52AB8">
              <w:rPr>
                <w:sz w:val="20"/>
                <w:szCs w:val="20"/>
              </w:rPr>
              <w:t>( )</w:t>
            </w:r>
          </w:p>
        </w:tc>
        <w:tc>
          <w:tcPr>
            <w:tcW w:w="1337" w:type="dxa"/>
          </w:tcPr>
          <w:p w14:paraId="02A7AC9B" w14:textId="77777777" w:rsidR="00094ED9" w:rsidRPr="00A52AB8" w:rsidRDefault="00094ED9">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A52AB8">
              <w:rPr>
                <w:sz w:val="20"/>
                <w:szCs w:val="20"/>
              </w:rPr>
              <w:t>ACL</w:t>
            </w:r>
          </w:p>
        </w:tc>
      </w:tr>
      <w:tr w:rsidR="007015C6" w:rsidRPr="00A52AB8" w14:paraId="0CC7C6C6" w14:textId="77777777" w:rsidTr="00792CFF">
        <w:trPr>
          <w:jc w:val="center"/>
        </w:trPr>
        <w:tc>
          <w:tcPr>
            <w:tcW w:w="1525" w:type="dxa"/>
          </w:tcPr>
          <w:p w14:paraId="7EE172F2" w14:textId="77777777" w:rsidR="007015C6" w:rsidRPr="00A52AB8" w:rsidRDefault="007015C6">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A52AB8">
              <w:rPr>
                <w:sz w:val="20"/>
                <w:szCs w:val="20"/>
              </w:rPr>
              <w:t>1</w:t>
            </w:r>
            <w:r w:rsidR="003F3CA5" w:rsidRPr="00A52AB8">
              <w:rPr>
                <w:sz w:val="20"/>
                <w:szCs w:val="20"/>
              </w:rPr>
              <w:t>9</w:t>
            </w:r>
            <w:r w:rsidRPr="00A52AB8">
              <w:rPr>
                <w:sz w:val="20"/>
                <w:szCs w:val="20"/>
              </w:rPr>
              <w:br/>
            </w:r>
            <w:r w:rsidR="003F3CA5" w:rsidRPr="00A52AB8">
              <w:rPr>
                <w:sz w:val="20"/>
                <w:szCs w:val="20"/>
              </w:rPr>
              <w:t>20</w:t>
            </w:r>
            <w:r w:rsidR="00094ED9" w:rsidRPr="00A52AB8">
              <w:rPr>
                <w:sz w:val="20"/>
                <w:szCs w:val="20"/>
              </w:rPr>
              <w:br/>
            </w:r>
            <w:r w:rsidR="003F3CA5" w:rsidRPr="00A52AB8">
              <w:rPr>
                <w:sz w:val="20"/>
                <w:szCs w:val="20"/>
              </w:rPr>
              <w:t>21</w:t>
            </w:r>
          </w:p>
        </w:tc>
        <w:tc>
          <w:tcPr>
            <w:tcW w:w="2439" w:type="dxa"/>
          </w:tcPr>
          <w:p w14:paraId="2A03B204" w14:textId="77777777" w:rsidR="007015C6" w:rsidRPr="00A52AB8" w:rsidRDefault="00BA2E90">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lang w:eastAsia="ko-KR"/>
              </w:rPr>
            </w:pPr>
            <w:r w:rsidRPr="00A52AB8">
              <w:rPr>
                <w:sz w:val="20"/>
                <w:szCs w:val="20"/>
                <w:lang w:eastAsia="ko-KR"/>
              </w:rPr>
              <w:t>NAL</w:t>
            </w:r>
            <w:r w:rsidR="007015C6" w:rsidRPr="00A52AB8">
              <w:rPr>
                <w:sz w:val="20"/>
                <w:szCs w:val="20"/>
                <w:lang w:eastAsia="ko-KR"/>
              </w:rPr>
              <w:t>_</w:t>
            </w:r>
            <w:r w:rsidR="00094ED9" w:rsidRPr="00A52AB8">
              <w:rPr>
                <w:sz w:val="20"/>
                <w:szCs w:val="20"/>
                <w:lang w:eastAsia="ko-KR"/>
              </w:rPr>
              <w:t>G</w:t>
            </w:r>
            <w:r w:rsidR="007015C6" w:rsidRPr="00A52AB8">
              <w:rPr>
                <w:sz w:val="20"/>
                <w:szCs w:val="20"/>
                <w:lang w:eastAsia="ko-KR"/>
              </w:rPr>
              <w:t>BLA</w:t>
            </w:r>
            <w:r w:rsidR="00A8441F" w:rsidRPr="00A52AB8">
              <w:rPr>
                <w:sz w:val="20"/>
                <w:szCs w:val="20"/>
                <w:lang w:eastAsia="ko-KR"/>
              </w:rPr>
              <w:t>_W</w:t>
            </w:r>
            <w:r w:rsidR="00094ED9" w:rsidRPr="00A52AB8">
              <w:rPr>
                <w:sz w:val="20"/>
                <w:szCs w:val="20"/>
                <w:lang w:eastAsia="ko-KR"/>
              </w:rPr>
              <w:t>_LP</w:t>
            </w:r>
            <w:r w:rsidR="00094ED9" w:rsidRPr="00A52AB8">
              <w:rPr>
                <w:sz w:val="20"/>
                <w:szCs w:val="20"/>
                <w:lang w:eastAsia="ko-KR"/>
              </w:rPr>
              <w:br/>
            </w:r>
            <w:r w:rsidRPr="00A52AB8">
              <w:rPr>
                <w:sz w:val="20"/>
                <w:szCs w:val="20"/>
                <w:lang w:eastAsia="ko-KR"/>
              </w:rPr>
              <w:t>NAL</w:t>
            </w:r>
            <w:r w:rsidR="00094ED9" w:rsidRPr="00A52AB8">
              <w:rPr>
                <w:sz w:val="20"/>
                <w:szCs w:val="20"/>
                <w:lang w:eastAsia="ko-KR"/>
              </w:rPr>
              <w:t>_GBLA_W_RADL</w:t>
            </w:r>
            <w:r w:rsidR="00094ED9" w:rsidRPr="00A52AB8">
              <w:rPr>
                <w:sz w:val="20"/>
                <w:szCs w:val="20"/>
                <w:lang w:eastAsia="ko-KR"/>
              </w:rPr>
              <w:br/>
            </w:r>
            <w:r w:rsidRPr="00A52AB8">
              <w:rPr>
                <w:sz w:val="20"/>
                <w:szCs w:val="20"/>
                <w:lang w:eastAsia="ko-KR"/>
              </w:rPr>
              <w:t>NAL</w:t>
            </w:r>
            <w:r w:rsidR="00094ED9" w:rsidRPr="00A52AB8">
              <w:rPr>
                <w:sz w:val="20"/>
                <w:szCs w:val="20"/>
                <w:lang w:eastAsia="ko-KR"/>
              </w:rPr>
              <w:t>_GBLA_N_LP</w:t>
            </w:r>
          </w:p>
        </w:tc>
        <w:tc>
          <w:tcPr>
            <w:tcW w:w="4580" w:type="dxa"/>
          </w:tcPr>
          <w:p w14:paraId="6AD0FFEB" w14:textId="77777777" w:rsidR="007015C6" w:rsidRPr="00A52AB8" w:rsidRDefault="007015C6">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sz w:val="20"/>
                <w:szCs w:val="20"/>
              </w:rPr>
            </w:pPr>
            <w:r w:rsidRPr="00A52AB8">
              <w:rPr>
                <w:sz w:val="20"/>
                <w:szCs w:val="20"/>
                <w:lang w:eastAsia="ko-KR"/>
              </w:rPr>
              <w:t xml:space="preserve">Coded </w:t>
            </w:r>
            <w:r w:rsidR="00B8075E" w:rsidRPr="00A52AB8">
              <w:rPr>
                <w:sz w:val="20"/>
                <w:szCs w:val="20"/>
                <w:lang w:eastAsia="ko-KR"/>
              </w:rPr>
              <w:t>tile</w:t>
            </w:r>
            <w:r w:rsidRPr="00A52AB8">
              <w:rPr>
                <w:sz w:val="20"/>
                <w:szCs w:val="20"/>
              </w:rPr>
              <w:t xml:space="preserve"> </w:t>
            </w:r>
            <w:r w:rsidRPr="00A52AB8">
              <w:rPr>
                <w:sz w:val="20"/>
                <w:szCs w:val="20"/>
                <w:lang w:eastAsia="ko-KR"/>
              </w:rPr>
              <w:t xml:space="preserve">of a </w:t>
            </w:r>
            <w:r w:rsidR="00094ED9" w:rsidRPr="00A52AB8">
              <w:rPr>
                <w:sz w:val="20"/>
                <w:szCs w:val="20"/>
                <w:lang w:eastAsia="ko-KR"/>
              </w:rPr>
              <w:t>G</w:t>
            </w:r>
            <w:r w:rsidRPr="00A52AB8">
              <w:rPr>
                <w:sz w:val="20"/>
                <w:szCs w:val="20"/>
                <w:lang w:eastAsia="ko-KR"/>
              </w:rPr>
              <w:t>BLA atlas frame</w:t>
            </w:r>
            <w:r w:rsidRPr="00A52AB8">
              <w:rPr>
                <w:sz w:val="20"/>
                <w:szCs w:val="20"/>
                <w:lang w:eastAsia="ko-KR"/>
              </w:rPr>
              <w:br/>
            </w:r>
            <w:r w:rsidRPr="00A52AB8">
              <w:rPr>
                <w:color w:val="000000" w:themeColor="text1"/>
                <w:sz w:val="20"/>
                <w:szCs w:val="20"/>
              </w:rPr>
              <w:t>atlas_</w:t>
            </w:r>
            <w:r w:rsidR="00B8075E" w:rsidRPr="00A52AB8">
              <w:rPr>
                <w:color w:val="000000" w:themeColor="text1"/>
                <w:sz w:val="20"/>
                <w:szCs w:val="20"/>
              </w:rPr>
              <w:t>tile</w:t>
            </w:r>
            <w:r w:rsidRPr="00A52AB8">
              <w:rPr>
                <w:color w:val="000000" w:themeColor="text1"/>
                <w:sz w:val="20"/>
                <w:szCs w:val="20"/>
              </w:rPr>
              <w:t>_layer_rbsp</w:t>
            </w:r>
            <w:r w:rsidRPr="00A52AB8">
              <w:rPr>
                <w:sz w:val="20"/>
                <w:szCs w:val="20"/>
              </w:rPr>
              <w:t>( )</w:t>
            </w:r>
          </w:p>
        </w:tc>
        <w:tc>
          <w:tcPr>
            <w:tcW w:w="1337" w:type="dxa"/>
          </w:tcPr>
          <w:p w14:paraId="6EF6CA9C" w14:textId="77777777" w:rsidR="007015C6" w:rsidRPr="00A52AB8" w:rsidRDefault="002752B1">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A52AB8">
              <w:rPr>
                <w:sz w:val="20"/>
                <w:szCs w:val="20"/>
              </w:rPr>
              <w:t>ACL</w:t>
            </w:r>
          </w:p>
        </w:tc>
      </w:tr>
      <w:tr w:rsidR="00094ED9" w:rsidRPr="00A52AB8" w14:paraId="40A85B0F" w14:textId="77777777" w:rsidTr="00792CFF">
        <w:trPr>
          <w:jc w:val="center"/>
        </w:trPr>
        <w:tc>
          <w:tcPr>
            <w:tcW w:w="1525" w:type="dxa"/>
          </w:tcPr>
          <w:p w14:paraId="67215665" w14:textId="77777777" w:rsidR="00094ED9" w:rsidRPr="00A52AB8" w:rsidRDefault="003F3CA5">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A52AB8">
              <w:rPr>
                <w:sz w:val="20"/>
                <w:szCs w:val="20"/>
                <w:lang w:eastAsia="ko-KR"/>
              </w:rPr>
              <w:t>22</w:t>
            </w:r>
            <w:r w:rsidR="00094ED9" w:rsidRPr="00A52AB8">
              <w:rPr>
                <w:sz w:val="20"/>
                <w:szCs w:val="20"/>
                <w:lang w:eastAsia="ko-KR"/>
              </w:rPr>
              <w:br/>
            </w:r>
            <w:r w:rsidRPr="00A52AB8">
              <w:rPr>
                <w:sz w:val="20"/>
                <w:szCs w:val="20"/>
                <w:lang w:eastAsia="ko-KR"/>
              </w:rPr>
              <w:t>23</w:t>
            </w:r>
          </w:p>
        </w:tc>
        <w:tc>
          <w:tcPr>
            <w:tcW w:w="2439" w:type="dxa"/>
          </w:tcPr>
          <w:p w14:paraId="04FC50F0" w14:textId="77777777" w:rsidR="00094ED9" w:rsidRPr="00A52AB8" w:rsidRDefault="00BA2E90">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A52AB8">
              <w:rPr>
                <w:sz w:val="20"/>
                <w:szCs w:val="20"/>
                <w:lang w:eastAsia="ko-KR"/>
              </w:rPr>
              <w:t>NAL</w:t>
            </w:r>
            <w:r w:rsidR="00094ED9" w:rsidRPr="00A52AB8">
              <w:rPr>
                <w:sz w:val="20"/>
                <w:szCs w:val="20"/>
                <w:lang w:eastAsia="ko-KR"/>
              </w:rPr>
              <w:t>_IDR_W_RADL</w:t>
            </w:r>
            <w:r w:rsidR="00094ED9" w:rsidRPr="00A52AB8">
              <w:rPr>
                <w:sz w:val="20"/>
                <w:szCs w:val="20"/>
                <w:lang w:eastAsia="ko-KR"/>
              </w:rPr>
              <w:br/>
            </w:r>
            <w:r w:rsidRPr="00A52AB8">
              <w:rPr>
                <w:color w:val="000000" w:themeColor="text1"/>
                <w:sz w:val="20"/>
                <w:szCs w:val="20"/>
              </w:rPr>
              <w:t>NAL</w:t>
            </w:r>
            <w:r w:rsidR="00094ED9" w:rsidRPr="00A52AB8">
              <w:rPr>
                <w:color w:val="000000" w:themeColor="text1"/>
                <w:sz w:val="20"/>
                <w:szCs w:val="20"/>
              </w:rPr>
              <w:t>_IDR_N_LP</w:t>
            </w:r>
          </w:p>
        </w:tc>
        <w:tc>
          <w:tcPr>
            <w:tcW w:w="4580" w:type="dxa"/>
          </w:tcPr>
          <w:p w14:paraId="5EB9BE68" w14:textId="11549341" w:rsidR="00094ED9" w:rsidRPr="00A52AB8" w:rsidRDefault="00094ED9">
            <w:pPr>
              <w:keepNext/>
              <w:keepLines/>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sz w:val="20"/>
                <w:szCs w:val="20"/>
                <w:lang w:eastAsia="ko-KR"/>
              </w:rPr>
            </w:pPr>
            <w:r w:rsidRPr="00A52AB8">
              <w:rPr>
                <w:sz w:val="20"/>
                <w:szCs w:val="20"/>
                <w:lang w:eastAsia="ko-KR"/>
              </w:rPr>
              <w:t xml:space="preserve">Coded </w:t>
            </w:r>
            <w:r w:rsidR="00B8075E" w:rsidRPr="00A52AB8">
              <w:rPr>
                <w:sz w:val="20"/>
                <w:szCs w:val="20"/>
                <w:lang w:eastAsia="ko-KR"/>
              </w:rPr>
              <w:t>tile</w:t>
            </w:r>
            <w:r w:rsidRPr="00A52AB8">
              <w:rPr>
                <w:sz w:val="20"/>
                <w:szCs w:val="20"/>
                <w:lang w:eastAsia="ko-KR"/>
              </w:rPr>
              <w:t xml:space="preserve"> of an IDR atlas frame</w:t>
            </w:r>
            <w:r w:rsidR="000C1ACB" w:rsidRPr="00A52AB8">
              <w:rPr>
                <w:sz w:val="20"/>
                <w:szCs w:val="20"/>
                <w:lang w:eastAsia="ko-KR"/>
              </w:rPr>
              <w:t xml:space="preserve"> that is not a GIDR</w:t>
            </w:r>
          </w:p>
          <w:p w14:paraId="16CA96F7" w14:textId="77777777" w:rsidR="00094ED9" w:rsidRPr="00A52AB8" w:rsidRDefault="00094ED9">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sz w:val="20"/>
                <w:szCs w:val="20"/>
              </w:rPr>
            </w:pPr>
            <w:r w:rsidRPr="00A52AB8">
              <w:rPr>
                <w:color w:val="000000" w:themeColor="text1"/>
                <w:sz w:val="20"/>
                <w:szCs w:val="20"/>
              </w:rPr>
              <w:t>atlas_</w:t>
            </w:r>
            <w:r w:rsidR="00B8075E" w:rsidRPr="00A52AB8">
              <w:rPr>
                <w:color w:val="000000" w:themeColor="text1"/>
                <w:sz w:val="20"/>
                <w:szCs w:val="20"/>
              </w:rPr>
              <w:t>tile</w:t>
            </w:r>
            <w:r w:rsidRPr="00A52AB8">
              <w:rPr>
                <w:color w:val="000000" w:themeColor="text1"/>
                <w:sz w:val="20"/>
                <w:szCs w:val="20"/>
              </w:rPr>
              <w:t>_layer_rbsp</w:t>
            </w:r>
            <w:r w:rsidRPr="00A52AB8">
              <w:rPr>
                <w:sz w:val="20"/>
                <w:szCs w:val="20"/>
              </w:rPr>
              <w:t>( )</w:t>
            </w:r>
          </w:p>
        </w:tc>
        <w:tc>
          <w:tcPr>
            <w:tcW w:w="1337" w:type="dxa"/>
          </w:tcPr>
          <w:p w14:paraId="750E4CE1" w14:textId="77777777" w:rsidR="00094ED9" w:rsidRPr="00A52AB8" w:rsidRDefault="00094ED9">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A52AB8">
              <w:rPr>
                <w:sz w:val="20"/>
                <w:szCs w:val="20"/>
                <w:lang w:eastAsia="ko-KR"/>
              </w:rPr>
              <w:t>ACL</w:t>
            </w:r>
          </w:p>
        </w:tc>
      </w:tr>
      <w:tr w:rsidR="00B239FD" w:rsidRPr="00A52AB8" w14:paraId="262BDF45" w14:textId="77777777" w:rsidTr="00792CFF">
        <w:trPr>
          <w:jc w:val="center"/>
        </w:trPr>
        <w:tc>
          <w:tcPr>
            <w:tcW w:w="1525" w:type="dxa"/>
          </w:tcPr>
          <w:p w14:paraId="15BA2A17" w14:textId="77777777" w:rsidR="00B239FD" w:rsidRPr="00A52AB8" w:rsidRDefault="009D41E1">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A52AB8">
              <w:rPr>
                <w:sz w:val="20"/>
                <w:szCs w:val="20"/>
                <w:lang w:eastAsia="ko-KR"/>
              </w:rPr>
              <w:t>24</w:t>
            </w:r>
            <w:r w:rsidR="00B239FD" w:rsidRPr="00A52AB8">
              <w:rPr>
                <w:sz w:val="20"/>
                <w:szCs w:val="20"/>
                <w:lang w:eastAsia="ko-KR"/>
              </w:rPr>
              <w:br/>
            </w:r>
            <w:r w:rsidRPr="00A52AB8">
              <w:rPr>
                <w:sz w:val="20"/>
                <w:szCs w:val="20"/>
                <w:lang w:eastAsia="ko-KR"/>
              </w:rPr>
              <w:t>25</w:t>
            </w:r>
          </w:p>
        </w:tc>
        <w:tc>
          <w:tcPr>
            <w:tcW w:w="2439" w:type="dxa"/>
          </w:tcPr>
          <w:p w14:paraId="21ED6D74" w14:textId="77777777" w:rsidR="00B239FD" w:rsidRPr="00A52AB8" w:rsidRDefault="00BA2E90">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A52AB8">
              <w:rPr>
                <w:sz w:val="20"/>
                <w:szCs w:val="20"/>
                <w:lang w:eastAsia="ko-KR"/>
              </w:rPr>
              <w:t>NAL</w:t>
            </w:r>
            <w:r w:rsidR="004A2DCF" w:rsidRPr="00A52AB8">
              <w:rPr>
                <w:sz w:val="20"/>
                <w:szCs w:val="20"/>
                <w:lang w:eastAsia="ko-KR"/>
              </w:rPr>
              <w:t>_</w:t>
            </w:r>
            <w:r w:rsidR="00094ED9" w:rsidRPr="00A52AB8">
              <w:rPr>
                <w:sz w:val="20"/>
                <w:szCs w:val="20"/>
                <w:lang w:eastAsia="ko-KR"/>
              </w:rPr>
              <w:t>G</w:t>
            </w:r>
            <w:r w:rsidR="004A2DCF" w:rsidRPr="00A52AB8">
              <w:rPr>
                <w:sz w:val="20"/>
                <w:szCs w:val="20"/>
                <w:lang w:eastAsia="ko-KR"/>
              </w:rPr>
              <w:t>IDR</w:t>
            </w:r>
            <w:r w:rsidR="00094ED9" w:rsidRPr="00A52AB8">
              <w:rPr>
                <w:sz w:val="20"/>
                <w:szCs w:val="20"/>
                <w:lang w:eastAsia="ko-KR"/>
              </w:rPr>
              <w:t>_W_RADL</w:t>
            </w:r>
            <w:r w:rsidR="00B239FD" w:rsidRPr="00A52AB8">
              <w:rPr>
                <w:sz w:val="20"/>
                <w:szCs w:val="20"/>
                <w:lang w:eastAsia="ko-KR"/>
              </w:rPr>
              <w:br/>
            </w:r>
            <w:r w:rsidRPr="00A52AB8">
              <w:rPr>
                <w:color w:val="000000" w:themeColor="text1"/>
                <w:sz w:val="20"/>
                <w:szCs w:val="20"/>
              </w:rPr>
              <w:t>NAL</w:t>
            </w:r>
            <w:r w:rsidR="004A2DCF" w:rsidRPr="00A52AB8">
              <w:rPr>
                <w:color w:val="000000" w:themeColor="text1"/>
                <w:sz w:val="20"/>
                <w:szCs w:val="20"/>
              </w:rPr>
              <w:t>_</w:t>
            </w:r>
            <w:r w:rsidR="00094ED9" w:rsidRPr="00A52AB8">
              <w:rPr>
                <w:color w:val="000000" w:themeColor="text1"/>
                <w:sz w:val="20"/>
                <w:szCs w:val="20"/>
              </w:rPr>
              <w:t>G</w:t>
            </w:r>
            <w:r w:rsidR="004A2DCF" w:rsidRPr="00A52AB8">
              <w:rPr>
                <w:color w:val="000000" w:themeColor="text1"/>
                <w:sz w:val="20"/>
                <w:szCs w:val="20"/>
              </w:rPr>
              <w:t>IDR</w:t>
            </w:r>
            <w:r w:rsidR="00094ED9" w:rsidRPr="00A52AB8">
              <w:rPr>
                <w:color w:val="000000" w:themeColor="text1"/>
                <w:sz w:val="20"/>
                <w:szCs w:val="20"/>
              </w:rPr>
              <w:t>_N_LP</w:t>
            </w:r>
          </w:p>
        </w:tc>
        <w:tc>
          <w:tcPr>
            <w:tcW w:w="4580" w:type="dxa"/>
          </w:tcPr>
          <w:p w14:paraId="2C8CBE5A" w14:textId="77777777" w:rsidR="00B239FD" w:rsidRPr="00A52AB8" w:rsidRDefault="00B239FD">
            <w:pPr>
              <w:keepNext/>
              <w:keepLines/>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sz w:val="20"/>
                <w:szCs w:val="20"/>
                <w:lang w:eastAsia="ko-KR"/>
              </w:rPr>
            </w:pPr>
            <w:r w:rsidRPr="00A52AB8">
              <w:rPr>
                <w:sz w:val="20"/>
                <w:szCs w:val="20"/>
                <w:lang w:eastAsia="ko-KR"/>
              </w:rPr>
              <w:t xml:space="preserve">Coded </w:t>
            </w:r>
            <w:r w:rsidR="00B8075E" w:rsidRPr="00A52AB8">
              <w:rPr>
                <w:sz w:val="20"/>
                <w:szCs w:val="20"/>
                <w:lang w:eastAsia="ko-KR"/>
              </w:rPr>
              <w:t>tile</w:t>
            </w:r>
            <w:r w:rsidRPr="00A52AB8">
              <w:rPr>
                <w:sz w:val="20"/>
                <w:szCs w:val="20"/>
                <w:lang w:eastAsia="ko-KR"/>
              </w:rPr>
              <w:t xml:space="preserve"> of a </w:t>
            </w:r>
            <w:r w:rsidR="00094ED9" w:rsidRPr="00A52AB8">
              <w:rPr>
                <w:sz w:val="20"/>
                <w:szCs w:val="20"/>
                <w:lang w:eastAsia="ko-KR"/>
              </w:rPr>
              <w:t>G</w:t>
            </w:r>
            <w:r w:rsidRPr="00A52AB8">
              <w:rPr>
                <w:sz w:val="20"/>
                <w:szCs w:val="20"/>
                <w:lang w:eastAsia="ko-KR"/>
              </w:rPr>
              <w:t xml:space="preserve">IDR </w:t>
            </w:r>
            <w:r w:rsidR="002A47BD" w:rsidRPr="00A52AB8">
              <w:rPr>
                <w:sz w:val="20"/>
                <w:szCs w:val="20"/>
                <w:lang w:eastAsia="ko-KR"/>
              </w:rPr>
              <w:t>atlas</w:t>
            </w:r>
            <w:r w:rsidRPr="00A52AB8">
              <w:rPr>
                <w:sz w:val="20"/>
                <w:szCs w:val="20"/>
                <w:lang w:eastAsia="ko-KR"/>
              </w:rPr>
              <w:t xml:space="preserve"> frame</w:t>
            </w:r>
          </w:p>
          <w:p w14:paraId="2E6F59EA" w14:textId="77777777" w:rsidR="00B239FD" w:rsidRPr="00A52AB8" w:rsidRDefault="004A2DCF">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sz w:val="20"/>
                <w:szCs w:val="20"/>
              </w:rPr>
            </w:pPr>
            <w:r w:rsidRPr="00A52AB8">
              <w:rPr>
                <w:color w:val="000000" w:themeColor="text1"/>
                <w:sz w:val="20"/>
                <w:szCs w:val="20"/>
              </w:rPr>
              <w:t>atlas_</w:t>
            </w:r>
            <w:r w:rsidR="00B8075E" w:rsidRPr="00A52AB8">
              <w:rPr>
                <w:color w:val="000000" w:themeColor="text1"/>
                <w:sz w:val="20"/>
                <w:szCs w:val="20"/>
              </w:rPr>
              <w:t>tile</w:t>
            </w:r>
            <w:r w:rsidRPr="00A52AB8">
              <w:rPr>
                <w:color w:val="000000" w:themeColor="text1"/>
                <w:sz w:val="20"/>
                <w:szCs w:val="20"/>
              </w:rPr>
              <w:t>_layer_rbsp</w:t>
            </w:r>
            <w:r w:rsidR="00B239FD" w:rsidRPr="00A52AB8">
              <w:rPr>
                <w:sz w:val="20"/>
                <w:szCs w:val="20"/>
              </w:rPr>
              <w:t>( )</w:t>
            </w:r>
          </w:p>
        </w:tc>
        <w:tc>
          <w:tcPr>
            <w:tcW w:w="1337" w:type="dxa"/>
          </w:tcPr>
          <w:p w14:paraId="00D929F9" w14:textId="77777777" w:rsidR="00B239FD" w:rsidRPr="00A52AB8" w:rsidRDefault="002752B1">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A52AB8">
              <w:rPr>
                <w:sz w:val="20"/>
                <w:szCs w:val="20"/>
                <w:lang w:eastAsia="ko-KR"/>
              </w:rPr>
              <w:t>ACL</w:t>
            </w:r>
          </w:p>
        </w:tc>
      </w:tr>
      <w:tr w:rsidR="00362F8E" w:rsidRPr="00A52AB8" w14:paraId="6A61B38E" w14:textId="77777777" w:rsidTr="00792CFF">
        <w:trPr>
          <w:jc w:val="center"/>
        </w:trPr>
        <w:tc>
          <w:tcPr>
            <w:tcW w:w="1525" w:type="dxa"/>
          </w:tcPr>
          <w:p w14:paraId="7C211B2D" w14:textId="77777777" w:rsidR="00362F8E" w:rsidRPr="00A52AB8" w:rsidRDefault="009D41E1">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A52AB8">
              <w:rPr>
                <w:sz w:val="20"/>
                <w:szCs w:val="20"/>
              </w:rPr>
              <w:t>26</w:t>
            </w:r>
          </w:p>
        </w:tc>
        <w:tc>
          <w:tcPr>
            <w:tcW w:w="2439" w:type="dxa"/>
          </w:tcPr>
          <w:p w14:paraId="1D1C9322" w14:textId="77777777" w:rsidR="00362F8E" w:rsidRPr="00A52AB8" w:rsidRDefault="00BA2E90">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lang w:eastAsia="ko-KR"/>
              </w:rPr>
            </w:pPr>
            <w:r w:rsidRPr="00A52AB8">
              <w:rPr>
                <w:sz w:val="20"/>
                <w:szCs w:val="20"/>
                <w:lang w:eastAsia="ko-KR"/>
              </w:rPr>
              <w:t>NAL</w:t>
            </w:r>
            <w:r w:rsidR="00362F8E" w:rsidRPr="00A52AB8">
              <w:rPr>
                <w:sz w:val="20"/>
                <w:szCs w:val="20"/>
                <w:lang w:eastAsia="ko-KR"/>
              </w:rPr>
              <w:t>_CRA</w:t>
            </w:r>
          </w:p>
        </w:tc>
        <w:tc>
          <w:tcPr>
            <w:tcW w:w="4580" w:type="dxa"/>
          </w:tcPr>
          <w:p w14:paraId="6C45524B" w14:textId="640F074F" w:rsidR="00362F8E" w:rsidRPr="00A52AB8" w:rsidRDefault="00362F8E">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sz w:val="20"/>
                <w:szCs w:val="20"/>
              </w:rPr>
            </w:pPr>
            <w:r w:rsidRPr="00A52AB8">
              <w:rPr>
                <w:sz w:val="20"/>
                <w:szCs w:val="20"/>
                <w:lang w:eastAsia="ko-KR"/>
              </w:rPr>
              <w:t xml:space="preserve">Coded </w:t>
            </w:r>
            <w:r w:rsidR="00B8075E" w:rsidRPr="00A52AB8">
              <w:rPr>
                <w:sz w:val="20"/>
                <w:szCs w:val="20"/>
                <w:lang w:eastAsia="ko-KR"/>
              </w:rPr>
              <w:t>tile</w:t>
            </w:r>
            <w:r w:rsidRPr="00A52AB8">
              <w:rPr>
                <w:sz w:val="20"/>
                <w:szCs w:val="20"/>
              </w:rPr>
              <w:t xml:space="preserve"> </w:t>
            </w:r>
            <w:r w:rsidRPr="00A52AB8">
              <w:rPr>
                <w:sz w:val="20"/>
                <w:szCs w:val="20"/>
                <w:lang w:eastAsia="ko-KR"/>
              </w:rPr>
              <w:t>of a CRA atlas frame</w:t>
            </w:r>
            <w:r w:rsidR="000C1ACB" w:rsidRPr="00A52AB8">
              <w:rPr>
                <w:sz w:val="20"/>
                <w:szCs w:val="20"/>
                <w:lang w:eastAsia="ko-KR"/>
              </w:rPr>
              <w:t xml:space="preserve"> that is not a GCRA</w:t>
            </w:r>
            <w:r w:rsidRPr="00A52AB8">
              <w:rPr>
                <w:sz w:val="20"/>
                <w:szCs w:val="20"/>
                <w:lang w:eastAsia="ko-KR"/>
              </w:rPr>
              <w:br/>
            </w:r>
            <w:r w:rsidRPr="00A52AB8">
              <w:rPr>
                <w:color w:val="000000" w:themeColor="text1"/>
                <w:sz w:val="20"/>
                <w:szCs w:val="20"/>
              </w:rPr>
              <w:t>atlas_</w:t>
            </w:r>
            <w:r w:rsidR="00B8075E" w:rsidRPr="00A52AB8">
              <w:rPr>
                <w:color w:val="000000" w:themeColor="text1"/>
                <w:sz w:val="20"/>
                <w:szCs w:val="20"/>
              </w:rPr>
              <w:t>tile</w:t>
            </w:r>
            <w:r w:rsidRPr="00A52AB8">
              <w:rPr>
                <w:color w:val="000000" w:themeColor="text1"/>
                <w:sz w:val="20"/>
                <w:szCs w:val="20"/>
              </w:rPr>
              <w:t>_layer_rbsp</w:t>
            </w:r>
            <w:r w:rsidRPr="00A52AB8">
              <w:rPr>
                <w:sz w:val="20"/>
                <w:szCs w:val="20"/>
              </w:rPr>
              <w:t>( )</w:t>
            </w:r>
          </w:p>
        </w:tc>
        <w:tc>
          <w:tcPr>
            <w:tcW w:w="1337" w:type="dxa"/>
          </w:tcPr>
          <w:p w14:paraId="3A730A5F" w14:textId="77777777" w:rsidR="00362F8E" w:rsidRPr="00A52AB8" w:rsidRDefault="00362F8E">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A52AB8">
              <w:rPr>
                <w:sz w:val="20"/>
                <w:szCs w:val="20"/>
              </w:rPr>
              <w:t>ACL</w:t>
            </w:r>
          </w:p>
        </w:tc>
      </w:tr>
      <w:tr w:rsidR="004A2DCF" w:rsidRPr="00A52AB8" w14:paraId="2AD0FE50" w14:textId="77777777" w:rsidTr="00792CFF">
        <w:trPr>
          <w:jc w:val="center"/>
        </w:trPr>
        <w:tc>
          <w:tcPr>
            <w:tcW w:w="1525" w:type="dxa"/>
          </w:tcPr>
          <w:p w14:paraId="41322EA5" w14:textId="77777777" w:rsidR="004A2DCF" w:rsidRPr="00A52AB8" w:rsidRDefault="007015C6">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A52AB8">
              <w:rPr>
                <w:sz w:val="20"/>
                <w:szCs w:val="20"/>
              </w:rPr>
              <w:t>2</w:t>
            </w:r>
            <w:r w:rsidR="005B1AE6" w:rsidRPr="00A52AB8">
              <w:rPr>
                <w:sz w:val="20"/>
                <w:szCs w:val="20"/>
              </w:rPr>
              <w:t>7</w:t>
            </w:r>
          </w:p>
        </w:tc>
        <w:tc>
          <w:tcPr>
            <w:tcW w:w="2439" w:type="dxa"/>
          </w:tcPr>
          <w:p w14:paraId="3D344489" w14:textId="77777777" w:rsidR="004A2DCF" w:rsidRPr="00A52AB8" w:rsidRDefault="00BA2E90">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lang w:eastAsia="ko-KR"/>
              </w:rPr>
            </w:pPr>
            <w:r w:rsidRPr="00A52AB8">
              <w:rPr>
                <w:color w:val="000000" w:themeColor="text1"/>
                <w:sz w:val="20"/>
                <w:szCs w:val="20"/>
              </w:rPr>
              <w:t>NAL</w:t>
            </w:r>
            <w:r w:rsidR="004A2DCF" w:rsidRPr="00A52AB8">
              <w:rPr>
                <w:color w:val="000000" w:themeColor="text1"/>
                <w:sz w:val="20"/>
                <w:szCs w:val="20"/>
              </w:rPr>
              <w:t>_GCRA</w:t>
            </w:r>
          </w:p>
        </w:tc>
        <w:tc>
          <w:tcPr>
            <w:tcW w:w="4580" w:type="dxa"/>
          </w:tcPr>
          <w:p w14:paraId="19361862" w14:textId="77777777" w:rsidR="004A2DCF" w:rsidRPr="00A52AB8" w:rsidRDefault="004A2DCF">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sz w:val="20"/>
                <w:szCs w:val="20"/>
              </w:rPr>
            </w:pPr>
            <w:r w:rsidRPr="00A52AB8">
              <w:rPr>
                <w:sz w:val="20"/>
                <w:szCs w:val="20"/>
                <w:lang w:eastAsia="ko-KR"/>
              </w:rPr>
              <w:t xml:space="preserve">Coded </w:t>
            </w:r>
            <w:r w:rsidR="00B8075E" w:rsidRPr="00A52AB8">
              <w:rPr>
                <w:sz w:val="20"/>
                <w:szCs w:val="20"/>
                <w:lang w:eastAsia="ko-KR"/>
              </w:rPr>
              <w:t>tile</w:t>
            </w:r>
            <w:r w:rsidRPr="00A52AB8">
              <w:rPr>
                <w:sz w:val="20"/>
                <w:szCs w:val="20"/>
              </w:rPr>
              <w:t xml:space="preserve"> </w:t>
            </w:r>
            <w:r w:rsidRPr="00A52AB8">
              <w:rPr>
                <w:sz w:val="20"/>
                <w:szCs w:val="20"/>
                <w:lang w:eastAsia="ko-KR"/>
              </w:rPr>
              <w:t xml:space="preserve">of a </w:t>
            </w:r>
            <w:r w:rsidR="00362F8E" w:rsidRPr="00A52AB8">
              <w:rPr>
                <w:sz w:val="20"/>
                <w:szCs w:val="20"/>
                <w:lang w:eastAsia="ko-KR"/>
              </w:rPr>
              <w:t>G</w:t>
            </w:r>
            <w:r w:rsidRPr="00A52AB8">
              <w:rPr>
                <w:sz w:val="20"/>
                <w:szCs w:val="20"/>
                <w:lang w:eastAsia="ko-KR"/>
              </w:rPr>
              <w:t>CRA atlas frame</w:t>
            </w:r>
            <w:r w:rsidRPr="00A52AB8">
              <w:rPr>
                <w:sz w:val="20"/>
                <w:szCs w:val="20"/>
                <w:lang w:eastAsia="ko-KR"/>
              </w:rPr>
              <w:br/>
            </w:r>
            <w:r w:rsidRPr="00A52AB8">
              <w:rPr>
                <w:color w:val="000000" w:themeColor="text1"/>
                <w:sz w:val="20"/>
                <w:szCs w:val="20"/>
              </w:rPr>
              <w:t>atlas_</w:t>
            </w:r>
            <w:r w:rsidR="00B8075E" w:rsidRPr="00A52AB8">
              <w:rPr>
                <w:color w:val="000000" w:themeColor="text1"/>
                <w:sz w:val="20"/>
                <w:szCs w:val="20"/>
              </w:rPr>
              <w:t>tile</w:t>
            </w:r>
            <w:r w:rsidRPr="00A52AB8">
              <w:rPr>
                <w:color w:val="000000" w:themeColor="text1"/>
                <w:sz w:val="20"/>
                <w:szCs w:val="20"/>
              </w:rPr>
              <w:t>_layer_rbsp</w:t>
            </w:r>
            <w:r w:rsidRPr="00A52AB8">
              <w:rPr>
                <w:sz w:val="20"/>
                <w:szCs w:val="20"/>
              </w:rPr>
              <w:t>( )</w:t>
            </w:r>
          </w:p>
        </w:tc>
        <w:tc>
          <w:tcPr>
            <w:tcW w:w="1337" w:type="dxa"/>
          </w:tcPr>
          <w:p w14:paraId="4B522E8F" w14:textId="77777777" w:rsidR="004A2DCF" w:rsidRPr="00A52AB8" w:rsidRDefault="002752B1">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A52AB8">
              <w:rPr>
                <w:sz w:val="20"/>
                <w:szCs w:val="20"/>
              </w:rPr>
              <w:t>ACL</w:t>
            </w:r>
          </w:p>
        </w:tc>
      </w:tr>
      <w:tr w:rsidR="00362F8E" w:rsidRPr="00A52AB8" w14:paraId="3F4F155C" w14:textId="77777777" w:rsidTr="00792CFF">
        <w:trPr>
          <w:jc w:val="center"/>
        </w:trPr>
        <w:tc>
          <w:tcPr>
            <w:tcW w:w="1525" w:type="dxa"/>
          </w:tcPr>
          <w:p w14:paraId="2EB91F27" w14:textId="77777777" w:rsidR="00362F8E" w:rsidRPr="00A52AB8" w:rsidRDefault="00362F8E">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A52AB8">
              <w:rPr>
                <w:sz w:val="20"/>
                <w:szCs w:val="20"/>
                <w:lang w:eastAsia="ko-KR"/>
              </w:rPr>
              <w:t>2</w:t>
            </w:r>
            <w:r w:rsidR="005B1AE6" w:rsidRPr="00A52AB8">
              <w:rPr>
                <w:sz w:val="20"/>
                <w:szCs w:val="20"/>
                <w:lang w:eastAsia="ko-KR"/>
              </w:rPr>
              <w:t>8</w:t>
            </w:r>
            <w:r w:rsidRPr="00A52AB8">
              <w:rPr>
                <w:sz w:val="20"/>
                <w:szCs w:val="20"/>
                <w:lang w:eastAsia="ko-KR"/>
              </w:rPr>
              <w:br/>
              <w:t>2</w:t>
            </w:r>
            <w:r w:rsidR="005B1AE6" w:rsidRPr="00A52AB8">
              <w:rPr>
                <w:sz w:val="20"/>
                <w:szCs w:val="20"/>
                <w:lang w:eastAsia="ko-KR"/>
              </w:rPr>
              <w:t>9</w:t>
            </w:r>
          </w:p>
        </w:tc>
        <w:tc>
          <w:tcPr>
            <w:tcW w:w="2439" w:type="dxa"/>
          </w:tcPr>
          <w:p w14:paraId="0EECD7B7" w14:textId="77777777" w:rsidR="00362F8E" w:rsidRPr="00A52AB8" w:rsidRDefault="00BA2E90">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A52AB8">
              <w:rPr>
                <w:sz w:val="20"/>
                <w:szCs w:val="20"/>
                <w:lang w:eastAsia="ko-KR"/>
              </w:rPr>
              <w:t>NAL</w:t>
            </w:r>
            <w:r w:rsidR="00362F8E" w:rsidRPr="00A52AB8">
              <w:rPr>
                <w:sz w:val="20"/>
                <w:szCs w:val="20"/>
                <w:lang w:eastAsia="ko-KR"/>
              </w:rPr>
              <w:t>_</w:t>
            </w:r>
            <w:r w:rsidR="007774A5" w:rsidRPr="00A52AB8">
              <w:rPr>
                <w:sz w:val="20"/>
                <w:szCs w:val="20"/>
                <w:lang w:eastAsia="ko-KR"/>
              </w:rPr>
              <w:t>RSV_</w:t>
            </w:r>
            <w:r w:rsidR="00362F8E" w:rsidRPr="00A52AB8">
              <w:rPr>
                <w:sz w:val="20"/>
                <w:szCs w:val="20"/>
                <w:lang w:eastAsia="ko-KR"/>
              </w:rPr>
              <w:t>IRAP_ACL_2</w:t>
            </w:r>
            <w:r w:rsidR="005B1AE6" w:rsidRPr="00A52AB8">
              <w:rPr>
                <w:sz w:val="20"/>
                <w:szCs w:val="20"/>
                <w:lang w:eastAsia="ko-KR"/>
              </w:rPr>
              <w:t>8</w:t>
            </w:r>
            <w:r w:rsidR="00362F8E" w:rsidRPr="00A52AB8">
              <w:rPr>
                <w:sz w:val="20"/>
                <w:szCs w:val="20"/>
                <w:lang w:eastAsia="ko-KR"/>
              </w:rPr>
              <w:br/>
            </w:r>
            <w:r w:rsidRPr="00A52AB8">
              <w:rPr>
                <w:sz w:val="20"/>
                <w:szCs w:val="20"/>
                <w:lang w:eastAsia="ko-KR"/>
              </w:rPr>
              <w:t>NAL</w:t>
            </w:r>
            <w:r w:rsidR="00362F8E" w:rsidRPr="00A52AB8">
              <w:rPr>
                <w:sz w:val="20"/>
                <w:szCs w:val="20"/>
                <w:lang w:eastAsia="ko-KR"/>
              </w:rPr>
              <w:t>_</w:t>
            </w:r>
            <w:r w:rsidR="007774A5" w:rsidRPr="00A52AB8">
              <w:rPr>
                <w:sz w:val="20"/>
                <w:szCs w:val="20"/>
                <w:lang w:eastAsia="ko-KR"/>
              </w:rPr>
              <w:t>RSV_</w:t>
            </w:r>
            <w:r w:rsidR="00362F8E" w:rsidRPr="00A52AB8">
              <w:rPr>
                <w:sz w:val="20"/>
                <w:szCs w:val="20"/>
                <w:lang w:eastAsia="ko-KR"/>
              </w:rPr>
              <w:t>IRAP_ACL_2</w:t>
            </w:r>
            <w:r w:rsidR="005B1AE6" w:rsidRPr="00A52AB8">
              <w:rPr>
                <w:sz w:val="20"/>
                <w:szCs w:val="20"/>
                <w:lang w:eastAsia="ko-KR"/>
              </w:rPr>
              <w:t>9</w:t>
            </w:r>
          </w:p>
        </w:tc>
        <w:tc>
          <w:tcPr>
            <w:tcW w:w="4580" w:type="dxa"/>
          </w:tcPr>
          <w:p w14:paraId="2F1C31F7" w14:textId="77777777" w:rsidR="00362F8E" w:rsidRPr="00A52AB8" w:rsidRDefault="00362F8E">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sz w:val="20"/>
                <w:szCs w:val="20"/>
              </w:rPr>
            </w:pPr>
            <w:r w:rsidRPr="00A52AB8">
              <w:rPr>
                <w:sz w:val="20"/>
                <w:szCs w:val="20"/>
                <w:lang w:eastAsia="ko-KR"/>
              </w:rPr>
              <w:t xml:space="preserve">Reserved </w:t>
            </w:r>
            <w:r w:rsidRPr="00A52AB8">
              <w:rPr>
                <w:sz w:val="20"/>
                <w:szCs w:val="20"/>
              </w:rPr>
              <w:t>IRAP</w:t>
            </w:r>
            <w:r w:rsidRPr="00A52AB8">
              <w:rPr>
                <w:sz w:val="20"/>
                <w:szCs w:val="20"/>
                <w:lang w:eastAsia="ko-KR"/>
              </w:rPr>
              <w:t xml:space="preserve"> ACL NAL unit types</w:t>
            </w:r>
          </w:p>
        </w:tc>
        <w:tc>
          <w:tcPr>
            <w:tcW w:w="1337" w:type="dxa"/>
          </w:tcPr>
          <w:p w14:paraId="67B5AA31" w14:textId="77777777" w:rsidR="00362F8E" w:rsidRPr="00A52AB8" w:rsidRDefault="00362F8E">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A52AB8">
              <w:rPr>
                <w:sz w:val="20"/>
                <w:szCs w:val="20"/>
                <w:lang w:eastAsia="ko-KR"/>
              </w:rPr>
              <w:t>ACL</w:t>
            </w:r>
          </w:p>
        </w:tc>
      </w:tr>
      <w:tr w:rsidR="00B239FD" w:rsidRPr="00A52AB8" w14:paraId="75998FBA" w14:textId="77777777" w:rsidTr="00792CFF">
        <w:trPr>
          <w:jc w:val="center"/>
        </w:trPr>
        <w:tc>
          <w:tcPr>
            <w:tcW w:w="1525" w:type="dxa"/>
          </w:tcPr>
          <w:p w14:paraId="57F3320D" w14:textId="77777777" w:rsidR="00B239FD" w:rsidRPr="00A52AB8" w:rsidRDefault="007434D8">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A52AB8">
              <w:rPr>
                <w:sz w:val="20"/>
                <w:szCs w:val="20"/>
                <w:lang w:eastAsia="ko-KR"/>
              </w:rPr>
              <w:t>30</w:t>
            </w:r>
            <w:r w:rsidR="00B239FD" w:rsidRPr="00A52AB8">
              <w:rPr>
                <w:sz w:val="20"/>
                <w:szCs w:val="20"/>
                <w:lang w:eastAsia="ko-KR"/>
              </w:rPr>
              <w:t>..</w:t>
            </w:r>
            <w:r w:rsidR="007015C6" w:rsidRPr="00A52AB8">
              <w:rPr>
                <w:sz w:val="20"/>
                <w:szCs w:val="20"/>
                <w:lang w:eastAsia="ko-KR"/>
              </w:rPr>
              <w:t>3</w:t>
            </w:r>
            <w:r w:rsidRPr="00A52AB8">
              <w:rPr>
                <w:sz w:val="20"/>
                <w:szCs w:val="20"/>
                <w:lang w:eastAsia="ko-KR"/>
              </w:rPr>
              <w:t>5</w:t>
            </w:r>
          </w:p>
        </w:tc>
        <w:tc>
          <w:tcPr>
            <w:tcW w:w="2439" w:type="dxa"/>
          </w:tcPr>
          <w:p w14:paraId="27D40F71" w14:textId="77777777" w:rsidR="00B239FD" w:rsidRPr="00A52AB8" w:rsidRDefault="00BA2E90">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A52AB8">
              <w:rPr>
                <w:sz w:val="20"/>
                <w:szCs w:val="20"/>
                <w:lang w:eastAsia="ko-KR"/>
              </w:rPr>
              <w:t>NAL</w:t>
            </w:r>
            <w:r w:rsidR="007E4842" w:rsidRPr="00A52AB8">
              <w:rPr>
                <w:sz w:val="20"/>
                <w:szCs w:val="20"/>
                <w:lang w:eastAsia="ko-KR"/>
              </w:rPr>
              <w:t>_</w:t>
            </w:r>
            <w:r w:rsidR="00B239FD" w:rsidRPr="00A52AB8">
              <w:rPr>
                <w:sz w:val="20"/>
                <w:szCs w:val="20"/>
                <w:lang w:eastAsia="ko-KR"/>
              </w:rPr>
              <w:t>RSV_</w:t>
            </w:r>
            <w:r w:rsidR="002752B1" w:rsidRPr="00A52AB8">
              <w:rPr>
                <w:sz w:val="20"/>
                <w:szCs w:val="20"/>
                <w:lang w:eastAsia="ko-KR"/>
              </w:rPr>
              <w:t>ACL</w:t>
            </w:r>
            <w:r w:rsidR="00681E24" w:rsidRPr="00A52AB8">
              <w:rPr>
                <w:sz w:val="20"/>
                <w:szCs w:val="20"/>
                <w:lang w:eastAsia="ko-KR"/>
              </w:rPr>
              <w:t>_</w:t>
            </w:r>
            <w:r w:rsidR="006B5521" w:rsidRPr="00A52AB8">
              <w:rPr>
                <w:sz w:val="20"/>
                <w:szCs w:val="20"/>
                <w:lang w:eastAsia="ko-KR"/>
              </w:rPr>
              <w:t>30</w:t>
            </w:r>
            <w:r w:rsidR="00B239FD" w:rsidRPr="00A52AB8">
              <w:rPr>
                <w:sz w:val="20"/>
                <w:szCs w:val="20"/>
                <w:lang w:eastAsia="ko-KR"/>
              </w:rPr>
              <w:t>..</w:t>
            </w:r>
            <w:r w:rsidR="00B239FD" w:rsidRPr="00A52AB8">
              <w:rPr>
                <w:sz w:val="20"/>
                <w:szCs w:val="20"/>
                <w:lang w:eastAsia="ko-KR"/>
              </w:rPr>
              <w:br/>
            </w:r>
            <w:r w:rsidRPr="00A52AB8">
              <w:rPr>
                <w:sz w:val="20"/>
                <w:szCs w:val="20"/>
                <w:lang w:eastAsia="ko-KR"/>
              </w:rPr>
              <w:t>NAL</w:t>
            </w:r>
            <w:r w:rsidR="007E4842" w:rsidRPr="00A52AB8">
              <w:rPr>
                <w:sz w:val="20"/>
                <w:szCs w:val="20"/>
                <w:lang w:eastAsia="ko-KR"/>
              </w:rPr>
              <w:t>_</w:t>
            </w:r>
            <w:r w:rsidR="00B239FD" w:rsidRPr="00A52AB8">
              <w:rPr>
                <w:sz w:val="20"/>
                <w:szCs w:val="20"/>
                <w:lang w:eastAsia="ko-KR"/>
              </w:rPr>
              <w:t>RSV_</w:t>
            </w:r>
            <w:r w:rsidR="002752B1" w:rsidRPr="00A52AB8">
              <w:rPr>
                <w:sz w:val="20"/>
                <w:szCs w:val="20"/>
                <w:lang w:eastAsia="ko-KR"/>
              </w:rPr>
              <w:t>ACL</w:t>
            </w:r>
            <w:r w:rsidR="00681E24" w:rsidRPr="00A52AB8">
              <w:rPr>
                <w:sz w:val="20"/>
                <w:szCs w:val="20"/>
                <w:lang w:eastAsia="ko-KR"/>
              </w:rPr>
              <w:t>_</w:t>
            </w:r>
            <w:r w:rsidR="007015C6" w:rsidRPr="00A52AB8">
              <w:rPr>
                <w:sz w:val="20"/>
                <w:szCs w:val="20"/>
                <w:lang w:eastAsia="ko-KR"/>
              </w:rPr>
              <w:t>3</w:t>
            </w:r>
            <w:r w:rsidR="006B5521" w:rsidRPr="00A52AB8">
              <w:rPr>
                <w:sz w:val="20"/>
                <w:szCs w:val="20"/>
                <w:lang w:eastAsia="ko-KR"/>
              </w:rPr>
              <w:t>5</w:t>
            </w:r>
          </w:p>
        </w:tc>
        <w:tc>
          <w:tcPr>
            <w:tcW w:w="4580" w:type="dxa"/>
          </w:tcPr>
          <w:p w14:paraId="0D61190D" w14:textId="77777777" w:rsidR="00B239FD" w:rsidRPr="00A52AB8" w:rsidRDefault="00B239FD">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sz w:val="20"/>
                <w:szCs w:val="20"/>
              </w:rPr>
            </w:pPr>
            <w:r w:rsidRPr="00A52AB8">
              <w:rPr>
                <w:sz w:val="20"/>
                <w:szCs w:val="20"/>
                <w:lang w:eastAsia="ko-KR"/>
              </w:rPr>
              <w:t xml:space="preserve">Reserved </w:t>
            </w:r>
            <w:r w:rsidRPr="00A52AB8">
              <w:rPr>
                <w:sz w:val="20"/>
                <w:szCs w:val="20"/>
              </w:rPr>
              <w:t>non-IRAP</w:t>
            </w:r>
            <w:r w:rsidRPr="00A52AB8">
              <w:rPr>
                <w:sz w:val="20"/>
                <w:szCs w:val="20"/>
                <w:lang w:eastAsia="ko-KR"/>
              </w:rPr>
              <w:t xml:space="preserve"> </w:t>
            </w:r>
            <w:r w:rsidR="002752B1" w:rsidRPr="00A52AB8">
              <w:rPr>
                <w:sz w:val="20"/>
                <w:szCs w:val="20"/>
                <w:lang w:eastAsia="ko-KR"/>
              </w:rPr>
              <w:t>ACL</w:t>
            </w:r>
            <w:r w:rsidRPr="00A52AB8">
              <w:rPr>
                <w:sz w:val="20"/>
                <w:szCs w:val="20"/>
                <w:lang w:eastAsia="ko-KR"/>
              </w:rPr>
              <w:t xml:space="preserve"> </w:t>
            </w:r>
            <w:r w:rsidR="00AE5B5A" w:rsidRPr="00A52AB8">
              <w:rPr>
                <w:sz w:val="20"/>
                <w:szCs w:val="20"/>
                <w:lang w:eastAsia="ko-KR"/>
              </w:rPr>
              <w:t>NAL</w:t>
            </w:r>
            <w:r w:rsidRPr="00A52AB8">
              <w:rPr>
                <w:sz w:val="20"/>
                <w:szCs w:val="20"/>
                <w:lang w:eastAsia="ko-KR"/>
              </w:rPr>
              <w:t xml:space="preserve"> unit types</w:t>
            </w:r>
          </w:p>
        </w:tc>
        <w:tc>
          <w:tcPr>
            <w:tcW w:w="1337" w:type="dxa"/>
          </w:tcPr>
          <w:p w14:paraId="610AC7A3" w14:textId="77777777" w:rsidR="00B239FD" w:rsidRPr="00A52AB8" w:rsidRDefault="002752B1">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A52AB8">
              <w:rPr>
                <w:sz w:val="20"/>
                <w:szCs w:val="20"/>
                <w:lang w:eastAsia="ko-KR"/>
              </w:rPr>
              <w:t>ACL</w:t>
            </w:r>
          </w:p>
        </w:tc>
      </w:tr>
      <w:tr w:rsidR="00B239FD" w:rsidRPr="00A52AB8" w14:paraId="163E69D0" w14:textId="77777777" w:rsidTr="00792CFF">
        <w:trPr>
          <w:jc w:val="center"/>
        </w:trPr>
        <w:tc>
          <w:tcPr>
            <w:tcW w:w="1525" w:type="dxa"/>
          </w:tcPr>
          <w:p w14:paraId="1F2BD8C5" w14:textId="77777777" w:rsidR="00B239FD" w:rsidRPr="00A52AB8" w:rsidRDefault="007015C6">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A52AB8">
              <w:rPr>
                <w:sz w:val="20"/>
                <w:szCs w:val="20"/>
              </w:rPr>
              <w:lastRenderedPageBreak/>
              <w:t>3</w:t>
            </w:r>
            <w:r w:rsidR="00CB1E87" w:rsidRPr="00A52AB8">
              <w:rPr>
                <w:sz w:val="20"/>
                <w:szCs w:val="20"/>
              </w:rPr>
              <w:t>6</w:t>
            </w:r>
          </w:p>
        </w:tc>
        <w:tc>
          <w:tcPr>
            <w:tcW w:w="2439" w:type="dxa"/>
          </w:tcPr>
          <w:p w14:paraId="7027BD54" w14:textId="77777777" w:rsidR="00B239FD" w:rsidRPr="00A52AB8" w:rsidRDefault="00BA2E90">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A52AB8">
              <w:rPr>
                <w:sz w:val="20"/>
                <w:szCs w:val="20"/>
              </w:rPr>
              <w:t>NAL</w:t>
            </w:r>
            <w:r w:rsidR="007E4842" w:rsidRPr="00A52AB8">
              <w:rPr>
                <w:sz w:val="20"/>
                <w:szCs w:val="20"/>
              </w:rPr>
              <w:t>_</w:t>
            </w:r>
            <w:r w:rsidR="004A2DCF" w:rsidRPr="00A52AB8">
              <w:rPr>
                <w:sz w:val="20"/>
                <w:szCs w:val="20"/>
              </w:rPr>
              <w:t>ASPS</w:t>
            </w:r>
          </w:p>
        </w:tc>
        <w:tc>
          <w:tcPr>
            <w:tcW w:w="4580" w:type="dxa"/>
          </w:tcPr>
          <w:p w14:paraId="3F972F75" w14:textId="77777777" w:rsidR="00B239FD" w:rsidRPr="00A52AB8" w:rsidRDefault="004A2DCF">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sz w:val="20"/>
                <w:szCs w:val="20"/>
              </w:rPr>
            </w:pPr>
            <w:r w:rsidRPr="00A52AB8">
              <w:rPr>
                <w:sz w:val="20"/>
                <w:szCs w:val="20"/>
              </w:rPr>
              <w:t>Atlas s</w:t>
            </w:r>
            <w:r w:rsidR="00B239FD" w:rsidRPr="00A52AB8">
              <w:rPr>
                <w:sz w:val="20"/>
                <w:szCs w:val="20"/>
              </w:rPr>
              <w:t>equence parameter set</w:t>
            </w:r>
            <w:r w:rsidR="00B239FD" w:rsidRPr="00A52AB8">
              <w:rPr>
                <w:sz w:val="20"/>
                <w:szCs w:val="20"/>
              </w:rPr>
              <w:br/>
            </w:r>
            <w:r w:rsidRPr="00A52AB8">
              <w:rPr>
                <w:color w:val="000000" w:themeColor="text1"/>
                <w:sz w:val="20"/>
                <w:szCs w:val="20"/>
                <w:lang w:eastAsia="ja-JP"/>
              </w:rPr>
              <w:t>atlas_sequence_</w:t>
            </w:r>
            <w:r w:rsidRPr="00A52AB8">
              <w:rPr>
                <w:bCs/>
                <w:color w:val="000000" w:themeColor="text1"/>
                <w:sz w:val="20"/>
                <w:szCs w:val="20"/>
              </w:rPr>
              <w:t>parameter_set_rbsp</w:t>
            </w:r>
            <w:r w:rsidR="00B239FD" w:rsidRPr="00A52AB8">
              <w:rPr>
                <w:sz w:val="20"/>
                <w:szCs w:val="20"/>
              </w:rPr>
              <w:t>( )</w:t>
            </w:r>
          </w:p>
        </w:tc>
        <w:tc>
          <w:tcPr>
            <w:tcW w:w="1337" w:type="dxa"/>
          </w:tcPr>
          <w:p w14:paraId="260483BB" w14:textId="77777777" w:rsidR="00B239FD" w:rsidRPr="00A52AB8" w:rsidRDefault="00B239FD">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A52AB8">
              <w:rPr>
                <w:sz w:val="20"/>
                <w:szCs w:val="20"/>
              </w:rPr>
              <w:t>non-</w:t>
            </w:r>
            <w:r w:rsidR="002752B1" w:rsidRPr="00A52AB8">
              <w:rPr>
                <w:sz w:val="20"/>
                <w:szCs w:val="20"/>
              </w:rPr>
              <w:t>ACL</w:t>
            </w:r>
          </w:p>
        </w:tc>
      </w:tr>
      <w:tr w:rsidR="00B239FD" w:rsidRPr="00A52AB8" w14:paraId="67E21B7E" w14:textId="77777777" w:rsidTr="00792CFF">
        <w:trPr>
          <w:jc w:val="center"/>
        </w:trPr>
        <w:tc>
          <w:tcPr>
            <w:tcW w:w="1525" w:type="dxa"/>
          </w:tcPr>
          <w:p w14:paraId="736E11F9" w14:textId="77777777" w:rsidR="00B239FD" w:rsidRPr="00A52AB8" w:rsidRDefault="007015C6">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A52AB8">
              <w:rPr>
                <w:sz w:val="20"/>
                <w:szCs w:val="20"/>
              </w:rPr>
              <w:t>3</w:t>
            </w:r>
            <w:r w:rsidR="00CB1E87" w:rsidRPr="00A52AB8">
              <w:rPr>
                <w:sz w:val="20"/>
                <w:szCs w:val="20"/>
              </w:rPr>
              <w:t>7</w:t>
            </w:r>
          </w:p>
        </w:tc>
        <w:tc>
          <w:tcPr>
            <w:tcW w:w="2439" w:type="dxa"/>
          </w:tcPr>
          <w:p w14:paraId="60B46D40" w14:textId="77777777" w:rsidR="00B239FD" w:rsidRPr="00A52AB8" w:rsidRDefault="00BA2E90">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A52AB8">
              <w:rPr>
                <w:sz w:val="20"/>
                <w:szCs w:val="20"/>
              </w:rPr>
              <w:t>NAL</w:t>
            </w:r>
            <w:r w:rsidR="007E4842" w:rsidRPr="00A52AB8">
              <w:rPr>
                <w:sz w:val="20"/>
                <w:szCs w:val="20"/>
              </w:rPr>
              <w:t>_AF</w:t>
            </w:r>
            <w:r w:rsidR="00B239FD" w:rsidRPr="00A52AB8">
              <w:rPr>
                <w:sz w:val="20"/>
                <w:szCs w:val="20"/>
              </w:rPr>
              <w:t>PS</w:t>
            </w:r>
          </w:p>
        </w:tc>
        <w:tc>
          <w:tcPr>
            <w:tcW w:w="4580" w:type="dxa"/>
          </w:tcPr>
          <w:p w14:paraId="04D00A65" w14:textId="77777777" w:rsidR="00B239FD" w:rsidRPr="00A52AB8" w:rsidRDefault="004A2DCF">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sz w:val="20"/>
                <w:szCs w:val="20"/>
              </w:rPr>
            </w:pPr>
            <w:r w:rsidRPr="00A52AB8">
              <w:rPr>
                <w:sz w:val="20"/>
                <w:szCs w:val="20"/>
              </w:rPr>
              <w:t>Atlas frame</w:t>
            </w:r>
            <w:r w:rsidR="00B239FD" w:rsidRPr="00A52AB8">
              <w:rPr>
                <w:sz w:val="20"/>
                <w:szCs w:val="20"/>
              </w:rPr>
              <w:t xml:space="preserve"> parameter set</w:t>
            </w:r>
            <w:r w:rsidR="00B239FD" w:rsidRPr="00A52AB8">
              <w:rPr>
                <w:sz w:val="20"/>
                <w:szCs w:val="20"/>
              </w:rPr>
              <w:br/>
            </w:r>
            <w:r w:rsidRPr="00A52AB8">
              <w:rPr>
                <w:sz w:val="20"/>
                <w:szCs w:val="20"/>
              </w:rPr>
              <w:t>atlas_frame</w:t>
            </w:r>
            <w:r w:rsidR="00B239FD" w:rsidRPr="00A52AB8">
              <w:rPr>
                <w:sz w:val="20"/>
                <w:szCs w:val="20"/>
              </w:rPr>
              <w:t>_parameter_set_rbsp( )</w:t>
            </w:r>
          </w:p>
        </w:tc>
        <w:tc>
          <w:tcPr>
            <w:tcW w:w="1337" w:type="dxa"/>
          </w:tcPr>
          <w:p w14:paraId="3C2B6583" w14:textId="77777777" w:rsidR="00B239FD" w:rsidRPr="00A52AB8" w:rsidRDefault="00B239FD">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A52AB8">
              <w:rPr>
                <w:sz w:val="20"/>
                <w:szCs w:val="20"/>
              </w:rPr>
              <w:t>non-</w:t>
            </w:r>
            <w:r w:rsidR="002752B1" w:rsidRPr="00A52AB8">
              <w:rPr>
                <w:sz w:val="20"/>
                <w:szCs w:val="20"/>
              </w:rPr>
              <w:t>ACL</w:t>
            </w:r>
          </w:p>
        </w:tc>
      </w:tr>
      <w:tr w:rsidR="00362F8E" w:rsidRPr="00A52AB8" w14:paraId="58DCCE0F" w14:textId="77777777" w:rsidTr="00792CFF">
        <w:trPr>
          <w:jc w:val="center"/>
        </w:trPr>
        <w:tc>
          <w:tcPr>
            <w:tcW w:w="1525" w:type="dxa"/>
          </w:tcPr>
          <w:p w14:paraId="6845A6DC" w14:textId="77777777" w:rsidR="00362F8E" w:rsidRPr="00A52AB8" w:rsidRDefault="00362F8E">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A52AB8">
              <w:rPr>
                <w:sz w:val="20"/>
                <w:szCs w:val="20"/>
              </w:rPr>
              <w:t>3</w:t>
            </w:r>
            <w:r w:rsidR="00CB1E87" w:rsidRPr="00A52AB8">
              <w:rPr>
                <w:sz w:val="20"/>
                <w:szCs w:val="20"/>
              </w:rPr>
              <w:t>8</w:t>
            </w:r>
          </w:p>
        </w:tc>
        <w:tc>
          <w:tcPr>
            <w:tcW w:w="2439" w:type="dxa"/>
          </w:tcPr>
          <w:p w14:paraId="531F29F3" w14:textId="77777777" w:rsidR="00362F8E" w:rsidRPr="00A52AB8" w:rsidRDefault="00BA2E90">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A52AB8">
              <w:rPr>
                <w:sz w:val="20"/>
                <w:szCs w:val="20"/>
              </w:rPr>
              <w:t>NAL</w:t>
            </w:r>
            <w:r w:rsidR="00362F8E" w:rsidRPr="00A52AB8">
              <w:rPr>
                <w:sz w:val="20"/>
                <w:szCs w:val="20"/>
              </w:rPr>
              <w:t>_AUD</w:t>
            </w:r>
          </w:p>
        </w:tc>
        <w:tc>
          <w:tcPr>
            <w:tcW w:w="4580" w:type="dxa"/>
          </w:tcPr>
          <w:p w14:paraId="6D993BEC" w14:textId="77777777" w:rsidR="00362F8E" w:rsidRPr="00A52AB8" w:rsidRDefault="00362F8E">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sz w:val="20"/>
                <w:szCs w:val="20"/>
              </w:rPr>
            </w:pPr>
            <w:r w:rsidRPr="00A52AB8">
              <w:rPr>
                <w:sz w:val="20"/>
                <w:szCs w:val="20"/>
              </w:rPr>
              <w:t>Access unit delimiter</w:t>
            </w:r>
            <w:r w:rsidRPr="00A52AB8">
              <w:rPr>
                <w:sz w:val="20"/>
                <w:szCs w:val="20"/>
              </w:rPr>
              <w:br/>
              <w:t>access_unit_delimiter_rbsp( )</w:t>
            </w:r>
          </w:p>
        </w:tc>
        <w:tc>
          <w:tcPr>
            <w:tcW w:w="1337" w:type="dxa"/>
          </w:tcPr>
          <w:p w14:paraId="2A9CB51C" w14:textId="77777777" w:rsidR="00362F8E" w:rsidRPr="00A52AB8" w:rsidRDefault="00362F8E">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A52AB8">
              <w:rPr>
                <w:sz w:val="20"/>
                <w:szCs w:val="20"/>
              </w:rPr>
              <w:t>non-ACL</w:t>
            </w:r>
          </w:p>
        </w:tc>
      </w:tr>
      <w:tr w:rsidR="00B239FD" w:rsidRPr="00A52AB8" w14:paraId="58F59D79" w14:textId="77777777" w:rsidTr="00792CFF">
        <w:trPr>
          <w:jc w:val="center"/>
        </w:trPr>
        <w:tc>
          <w:tcPr>
            <w:tcW w:w="1525" w:type="dxa"/>
          </w:tcPr>
          <w:p w14:paraId="29D9FBF4" w14:textId="77777777" w:rsidR="004A2DCF" w:rsidRPr="00A52AB8" w:rsidRDefault="007015C6">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A52AB8">
              <w:rPr>
                <w:sz w:val="20"/>
                <w:szCs w:val="20"/>
              </w:rPr>
              <w:t>3</w:t>
            </w:r>
            <w:r w:rsidR="00CB1E87" w:rsidRPr="00A52AB8">
              <w:rPr>
                <w:sz w:val="20"/>
                <w:szCs w:val="20"/>
              </w:rPr>
              <w:t>9</w:t>
            </w:r>
          </w:p>
        </w:tc>
        <w:tc>
          <w:tcPr>
            <w:tcW w:w="2439" w:type="dxa"/>
          </w:tcPr>
          <w:p w14:paraId="2AA385B3" w14:textId="77777777" w:rsidR="00B239FD" w:rsidRPr="00A52AB8" w:rsidRDefault="00A46EAC">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A52AB8">
              <w:rPr>
                <w:sz w:val="20"/>
                <w:szCs w:val="20"/>
              </w:rPr>
              <w:t>NAL_</w:t>
            </w:r>
            <w:r w:rsidR="00FD2C5E" w:rsidRPr="00A52AB8">
              <w:rPr>
                <w:sz w:val="20"/>
                <w:szCs w:val="20"/>
              </w:rPr>
              <w:t>V3C_</w:t>
            </w:r>
            <w:r w:rsidRPr="00A52AB8">
              <w:rPr>
                <w:sz w:val="20"/>
                <w:szCs w:val="20"/>
              </w:rPr>
              <w:t>AUD</w:t>
            </w:r>
          </w:p>
        </w:tc>
        <w:tc>
          <w:tcPr>
            <w:tcW w:w="4580" w:type="dxa"/>
          </w:tcPr>
          <w:p w14:paraId="5E4CF77F" w14:textId="77777777" w:rsidR="00B239FD" w:rsidRPr="00A52AB8" w:rsidRDefault="00875EC6">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sz w:val="20"/>
                <w:szCs w:val="20"/>
              </w:rPr>
            </w:pPr>
            <w:r w:rsidRPr="00A52AB8">
              <w:rPr>
                <w:sz w:val="20"/>
                <w:szCs w:val="20"/>
              </w:rPr>
              <w:t>V3C</w:t>
            </w:r>
            <w:r w:rsidR="00362F8E" w:rsidRPr="00A52AB8">
              <w:rPr>
                <w:sz w:val="20"/>
                <w:szCs w:val="20"/>
              </w:rPr>
              <w:t xml:space="preserve"> a</w:t>
            </w:r>
            <w:r w:rsidR="00B239FD" w:rsidRPr="00A52AB8">
              <w:rPr>
                <w:sz w:val="20"/>
                <w:szCs w:val="20"/>
              </w:rPr>
              <w:t>ccess unit delimiter</w:t>
            </w:r>
            <w:r w:rsidR="00B239FD" w:rsidRPr="00A52AB8">
              <w:rPr>
                <w:sz w:val="20"/>
                <w:szCs w:val="20"/>
              </w:rPr>
              <w:br/>
              <w:t>access_unit_delimiter_rbsp( )</w:t>
            </w:r>
          </w:p>
        </w:tc>
        <w:tc>
          <w:tcPr>
            <w:tcW w:w="1337" w:type="dxa"/>
          </w:tcPr>
          <w:p w14:paraId="49BFAA50" w14:textId="77777777" w:rsidR="00B239FD" w:rsidRPr="00A52AB8" w:rsidRDefault="00B239FD">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A52AB8">
              <w:rPr>
                <w:sz w:val="20"/>
                <w:szCs w:val="20"/>
              </w:rPr>
              <w:t>non-</w:t>
            </w:r>
            <w:r w:rsidR="002752B1" w:rsidRPr="00A52AB8">
              <w:rPr>
                <w:sz w:val="20"/>
                <w:szCs w:val="20"/>
              </w:rPr>
              <w:t>ACL</w:t>
            </w:r>
          </w:p>
        </w:tc>
      </w:tr>
      <w:tr w:rsidR="00B239FD" w:rsidRPr="00A52AB8" w14:paraId="69641827" w14:textId="77777777" w:rsidTr="00792CFF">
        <w:trPr>
          <w:jc w:val="center"/>
        </w:trPr>
        <w:tc>
          <w:tcPr>
            <w:tcW w:w="1525" w:type="dxa"/>
          </w:tcPr>
          <w:p w14:paraId="61A6FFB3" w14:textId="77777777" w:rsidR="00B239FD" w:rsidRPr="00A52AB8" w:rsidRDefault="008F4A61">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A52AB8">
              <w:rPr>
                <w:sz w:val="20"/>
                <w:szCs w:val="20"/>
              </w:rPr>
              <w:t>40</w:t>
            </w:r>
          </w:p>
        </w:tc>
        <w:tc>
          <w:tcPr>
            <w:tcW w:w="2439" w:type="dxa"/>
          </w:tcPr>
          <w:p w14:paraId="5EAC6093" w14:textId="77777777" w:rsidR="00B239FD" w:rsidRPr="00A52AB8" w:rsidRDefault="00BA2E90">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A52AB8">
              <w:rPr>
                <w:sz w:val="20"/>
                <w:szCs w:val="20"/>
              </w:rPr>
              <w:t>NAL</w:t>
            </w:r>
            <w:r w:rsidR="007E4842" w:rsidRPr="00A52AB8">
              <w:rPr>
                <w:sz w:val="20"/>
                <w:szCs w:val="20"/>
              </w:rPr>
              <w:t>_</w:t>
            </w:r>
            <w:r w:rsidR="00B239FD" w:rsidRPr="00A52AB8">
              <w:rPr>
                <w:sz w:val="20"/>
                <w:szCs w:val="20"/>
              </w:rPr>
              <w:t>EOS</w:t>
            </w:r>
          </w:p>
        </w:tc>
        <w:tc>
          <w:tcPr>
            <w:tcW w:w="4580" w:type="dxa"/>
          </w:tcPr>
          <w:p w14:paraId="1601CC7C" w14:textId="77777777" w:rsidR="00B239FD" w:rsidRPr="00A52AB8" w:rsidRDefault="00B239FD">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sz w:val="20"/>
                <w:szCs w:val="20"/>
              </w:rPr>
            </w:pPr>
            <w:r w:rsidRPr="00A52AB8">
              <w:rPr>
                <w:sz w:val="20"/>
                <w:szCs w:val="20"/>
              </w:rPr>
              <w:t>End of sequence</w:t>
            </w:r>
            <w:r w:rsidRPr="00A52AB8">
              <w:rPr>
                <w:sz w:val="20"/>
                <w:szCs w:val="20"/>
              </w:rPr>
              <w:br/>
              <w:t>end_of_seq_rbsp( )</w:t>
            </w:r>
          </w:p>
        </w:tc>
        <w:tc>
          <w:tcPr>
            <w:tcW w:w="1337" w:type="dxa"/>
          </w:tcPr>
          <w:p w14:paraId="5E0E65CB" w14:textId="77777777" w:rsidR="00B239FD" w:rsidRPr="00A52AB8" w:rsidRDefault="00B239FD">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A52AB8">
              <w:rPr>
                <w:sz w:val="20"/>
                <w:szCs w:val="20"/>
              </w:rPr>
              <w:t>non-</w:t>
            </w:r>
            <w:r w:rsidR="002752B1" w:rsidRPr="00A52AB8">
              <w:rPr>
                <w:sz w:val="20"/>
                <w:szCs w:val="20"/>
              </w:rPr>
              <w:t>ACL</w:t>
            </w:r>
          </w:p>
        </w:tc>
      </w:tr>
      <w:tr w:rsidR="007015C6" w:rsidRPr="00A52AB8" w14:paraId="3AE67BF5" w14:textId="77777777" w:rsidTr="00792CFF">
        <w:trPr>
          <w:jc w:val="center"/>
        </w:trPr>
        <w:tc>
          <w:tcPr>
            <w:tcW w:w="1525" w:type="dxa"/>
          </w:tcPr>
          <w:p w14:paraId="3FFF703A" w14:textId="77777777" w:rsidR="007015C6" w:rsidRPr="00A52AB8" w:rsidRDefault="008F4A61">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A52AB8">
              <w:rPr>
                <w:sz w:val="20"/>
                <w:szCs w:val="20"/>
              </w:rPr>
              <w:t>41</w:t>
            </w:r>
          </w:p>
        </w:tc>
        <w:tc>
          <w:tcPr>
            <w:tcW w:w="2439" w:type="dxa"/>
          </w:tcPr>
          <w:p w14:paraId="458135AA" w14:textId="77777777" w:rsidR="007015C6" w:rsidRPr="00A52AB8" w:rsidRDefault="00BA2E90">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A52AB8">
              <w:rPr>
                <w:sz w:val="20"/>
                <w:szCs w:val="20"/>
              </w:rPr>
              <w:t>NAL</w:t>
            </w:r>
            <w:r w:rsidR="007015C6" w:rsidRPr="00A52AB8">
              <w:rPr>
                <w:sz w:val="20"/>
                <w:szCs w:val="20"/>
              </w:rPr>
              <w:t>_EOB</w:t>
            </w:r>
          </w:p>
        </w:tc>
        <w:tc>
          <w:tcPr>
            <w:tcW w:w="4580" w:type="dxa"/>
          </w:tcPr>
          <w:p w14:paraId="08F4975F" w14:textId="77777777" w:rsidR="007015C6" w:rsidRPr="00A52AB8" w:rsidRDefault="007015C6">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sz w:val="20"/>
                <w:szCs w:val="20"/>
              </w:rPr>
            </w:pPr>
            <w:r w:rsidRPr="00A52AB8">
              <w:rPr>
                <w:sz w:val="20"/>
                <w:szCs w:val="20"/>
              </w:rPr>
              <w:t xml:space="preserve">End of </w:t>
            </w:r>
            <w:r w:rsidR="005E1532" w:rsidRPr="00A52AB8">
              <w:rPr>
                <w:sz w:val="20"/>
                <w:szCs w:val="20"/>
              </w:rPr>
              <w:t>bitstream</w:t>
            </w:r>
            <w:r w:rsidRPr="00A52AB8">
              <w:rPr>
                <w:sz w:val="20"/>
                <w:szCs w:val="20"/>
              </w:rPr>
              <w:br/>
              <w:t>end_of_</w:t>
            </w:r>
            <w:r w:rsidR="005E1532" w:rsidRPr="00A52AB8">
              <w:rPr>
                <w:sz w:val="20"/>
                <w:szCs w:val="20"/>
              </w:rPr>
              <w:t>atlas_sub</w:t>
            </w:r>
            <w:r w:rsidR="00011283" w:rsidRPr="00A52AB8">
              <w:rPr>
                <w:sz w:val="20"/>
                <w:szCs w:val="20"/>
              </w:rPr>
              <w:t>_bit</w:t>
            </w:r>
            <w:r w:rsidR="005E1532" w:rsidRPr="00A52AB8">
              <w:rPr>
                <w:sz w:val="20"/>
                <w:szCs w:val="20"/>
              </w:rPr>
              <w:t>stream</w:t>
            </w:r>
            <w:r w:rsidRPr="00A52AB8">
              <w:rPr>
                <w:sz w:val="20"/>
                <w:szCs w:val="20"/>
              </w:rPr>
              <w:t>_rbsp( )</w:t>
            </w:r>
          </w:p>
        </w:tc>
        <w:tc>
          <w:tcPr>
            <w:tcW w:w="1337" w:type="dxa"/>
          </w:tcPr>
          <w:p w14:paraId="2A5FDE78" w14:textId="77777777" w:rsidR="007015C6" w:rsidRPr="00A52AB8" w:rsidRDefault="007015C6">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A52AB8">
              <w:rPr>
                <w:sz w:val="20"/>
                <w:szCs w:val="20"/>
              </w:rPr>
              <w:t>non-</w:t>
            </w:r>
            <w:r w:rsidR="002752B1" w:rsidRPr="00A52AB8">
              <w:rPr>
                <w:sz w:val="20"/>
                <w:szCs w:val="20"/>
              </w:rPr>
              <w:t>ACL</w:t>
            </w:r>
          </w:p>
        </w:tc>
      </w:tr>
      <w:tr w:rsidR="00B239FD" w:rsidRPr="00A52AB8" w14:paraId="369F931D" w14:textId="77777777" w:rsidTr="00792CFF">
        <w:trPr>
          <w:jc w:val="center"/>
        </w:trPr>
        <w:tc>
          <w:tcPr>
            <w:tcW w:w="1525" w:type="dxa"/>
          </w:tcPr>
          <w:p w14:paraId="372E4217" w14:textId="77777777" w:rsidR="00B239FD" w:rsidRPr="00A52AB8" w:rsidRDefault="008F4A61">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A52AB8">
              <w:rPr>
                <w:sz w:val="20"/>
                <w:szCs w:val="20"/>
              </w:rPr>
              <w:t>42</w:t>
            </w:r>
          </w:p>
        </w:tc>
        <w:tc>
          <w:tcPr>
            <w:tcW w:w="2439" w:type="dxa"/>
          </w:tcPr>
          <w:p w14:paraId="04AA4F44" w14:textId="77777777" w:rsidR="00B239FD" w:rsidRPr="00A52AB8" w:rsidRDefault="00BA2E90">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A52AB8">
              <w:rPr>
                <w:sz w:val="20"/>
                <w:szCs w:val="20"/>
              </w:rPr>
              <w:t>NAL</w:t>
            </w:r>
            <w:r w:rsidR="007E4842" w:rsidRPr="00A52AB8">
              <w:rPr>
                <w:sz w:val="20"/>
                <w:szCs w:val="20"/>
              </w:rPr>
              <w:t>_</w:t>
            </w:r>
            <w:r w:rsidR="007015C6" w:rsidRPr="00A52AB8">
              <w:rPr>
                <w:sz w:val="20"/>
                <w:szCs w:val="20"/>
              </w:rPr>
              <w:t>FD</w:t>
            </w:r>
          </w:p>
        </w:tc>
        <w:tc>
          <w:tcPr>
            <w:tcW w:w="4580" w:type="dxa"/>
          </w:tcPr>
          <w:p w14:paraId="14AF8E31" w14:textId="77777777" w:rsidR="00B239FD" w:rsidRPr="00A52AB8" w:rsidRDefault="007015C6">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sz w:val="20"/>
                <w:szCs w:val="20"/>
              </w:rPr>
            </w:pPr>
            <w:r w:rsidRPr="00A52AB8">
              <w:rPr>
                <w:sz w:val="20"/>
                <w:szCs w:val="20"/>
              </w:rPr>
              <w:t>Filler</w:t>
            </w:r>
            <w:r w:rsidR="00B239FD" w:rsidRPr="00A52AB8">
              <w:rPr>
                <w:sz w:val="20"/>
                <w:szCs w:val="20"/>
              </w:rPr>
              <w:br/>
            </w:r>
            <w:r w:rsidRPr="00A52AB8">
              <w:rPr>
                <w:sz w:val="20"/>
                <w:szCs w:val="20"/>
              </w:rPr>
              <w:t>filler_data</w:t>
            </w:r>
            <w:r w:rsidR="00B239FD" w:rsidRPr="00A52AB8">
              <w:rPr>
                <w:sz w:val="20"/>
                <w:szCs w:val="20"/>
              </w:rPr>
              <w:t>_rbsp( )</w:t>
            </w:r>
          </w:p>
        </w:tc>
        <w:tc>
          <w:tcPr>
            <w:tcW w:w="1337" w:type="dxa"/>
          </w:tcPr>
          <w:p w14:paraId="2DEEA0E7" w14:textId="77777777" w:rsidR="00B239FD" w:rsidRPr="00A52AB8" w:rsidRDefault="00B239FD">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A52AB8">
              <w:rPr>
                <w:sz w:val="20"/>
                <w:szCs w:val="20"/>
              </w:rPr>
              <w:t>non-</w:t>
            </w:r>
            <w:r w:rsidR="002752B1" w:rsidRPr="00A52AB8">
              <w:rPr>
                <w:sz w:val="20"/>
                <w:szCs w:val="20"/>
              </w:rPr>
              <w:t>ACL</w:t>
            </w:r>
          </w:p>
        </w:tc>
      </w:tr>
      <w:tr w:rsidR="00B239FD" w:rsidRPr="00A52AB8" w14:paraId="01A5B77C" w14:textId="77777777" w:rsidTr="00792CFF">
        <w:trPr>
          <w:jc w:val="center"/>
        </w:trPr>
        <w:tc>
          <w:tcPr>
            <w:tcW w:w="1525" w:type="dxa"/>
          </w:tcPr>
          <w:p w14:paraId="22DB872B" w14:textId="77777777" w:rsidR="00B239FD" w:rsidRPr="00A52AB8" w:rsidRDefault="008F4A61">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A52AB8">
              <w:rPr>
                <w:sz w:val="20"/>
                <w:szCs w:val="20"/>
              </w:rPr>
              <w:t>43</w:t>
            </w:r>
            <w:r w:rsidR="007015C6" w:rsidRPr="00A52AB8">
              <w:rPr>
                <w:sz w:val="20"/>
                <w:szCs w:val="20"/>
              </w:rPr>
              <w:br/>
            </w:r>
            <w:r w:rsidRPr="00A52AB8">
              <w:rPr>
                <w:sz w:val="20"/>
                <w:szCs w:val="20"/>
              </w:rPr>
              <w:t>44</w:t>
            </w:r>
          </w:p>
        </w:tc>
        <w:tc>
          <w:tcPr>
            <w:tcW w:w="2439" w:type="dxa"/>
          </w:tcPr>
          <w:p w14:paraId="5ADD48F9" w14:textId="77777777" w:rsidR="00B239FD" w:rsidRPr="00A52AB8" w:rsidRDefault="00BA2E90">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A52AB8">
              <w:rPr>
                <w:sz w:val="20"/>
                <w:szCs w:val="20"/>
              </w:rPr>
              <w:t>NAL</w:t>
            </w:r>
            <w:r w:rsidR="007E4842" w:rsidRPr="00A52AB8">
              <w:rPr>
                <w:sz w:val="20"/>
                <w:szCs w:val="20"/>
              </w:rPr>
              <w:t>_</w:t>
            </w:r>
            <w:r w:rsidR="00B239FD" w:rsidRPr="00A52AB8">
              <w:rPr>
                <w:sz w:val="20"/>
                <w:szCs w:val="20"/>
              </w:rPr>
              <w:t>PREFIX_</w:t>
            </w:r>
            <w:r w:rsidR="00E55C92" w:rsidRPr="00A52AB8">
              <w:rPr>
                <w:sz w:val="20"/>
                <w:szCs w:val="20"/>
              </w:rPr>
              <w:t>N</w:t>
            </w:r>
            <w:r w:rsidR="00B239FD" w:rsidRPr="00A52AB8">
              <w:rPr>
                <w:sz w:val="20"/>
                <w:szCs w:val="20"/>
              </w:rPr>
              <w:t>SEI</w:t>
            </w:r>
            <w:r w:rsidR="004A2DCF" w:rsidRPr="00A52AB8">
              <w:rPr>
                <w:sz w:val="20"/>
                <w:szCs w:val="20"/>
              </w:rPr>
              <w:t xml:space="preserve"> </w:t>
            </w:r>
            <w:r w:rsidR="00B239FD" w:rsidRPr="00A52AB8">
              <w:rPr>
                <w:sz w:val="20"/>
                <w:szCs w:val="20"/>
              </w:rPr>
              <w:br/>
            </w:r>
            <w:r w:rsidRPr="00A52AB8">
              <w:rPr>
                <w:sz w:val="20"/>
                <w:szCs w:val="20"/>
              </w:rPr>
              <w:t>NAL</w:t>
            </w:r>
            <w:r w:rsidR="007E4842" w:rsidRPr="00A52AB8">
              <w:rPr>
                <w:sz w:val="20"/>
                <w:szCs w:val="20"/>
              </w:rPr>
              <w:t>_</w:t>
            </w:r>
            <w:r w:rsidR="00B239FD" w:rsidRPr="00A52AB8">
              <w:rPr>
                <w:sz w:val="20"/>
                <w:szCs w:val="20"/>
              </w:rPr>
              <w:t>SUFFIX_</w:t>
            </w:r>
            <w:r w:rsidR="00E55C92" w:rsidRPr="00A52AB8">
              <w:rPr>
                <w:sz w:val="20"/>
                <w:szCs w:val="20"/>
              </w:rPr>
              <w:t>N</w:t>
            </w:r>
            <w:r w:rsidR="00B239FD" w:rsidRPr="00A52AB8">
              <w:rPr>
                <w:sz w:val="20"/>
                <w:szCs w:val="20"/>
              </w:rPr>
              <w:t>SE</w:t>
            </w:r>
            <w:r w:rsidR="004A2DCF" w:rsidRPr="00A52AB8">
              <w:rPr>
                <w:sz w:val="20"/>
                <w:szCs w:val="20"/>
              </w:rPr>
              <w:t>I</w:t>
            </w:r>
          </w:p>
        </w:tc>
        <w:tc>
          <w:tcPr>
            <w:tcW w:w="4580" w:type="dxa"/>
          </w:tcPr>
          <w:p w14:paraId="764555D1" w14:textId="77777777" w:rsidR="00B239FD" w:rsidRPr="00A52AB8" w:rsidRDefault="005E2C79">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sz w:val="20"/>
                <w:szCs w:val="20"/>
              </w:rPr>
            </w:pPr>
            <w:r w:rsidRPr="00A52AB8">
              <w:rPr>
                <w:sz w:val="20"/>
                <w:szCs w:val="20"/>
              </w:rPr>
              <w:t>Non-essential s</w:t>
            </w:r>
            <w:r w:rsidR="00B239FD" w:rsidRPr="00A52AB8">
              <w:rPr>
                <w:sz w:val="20"/>
                <w:szCs w:val="20"/>
              </w:rPr>
              <w:t>upplemental enhancement information</w:t>
            </w:r>
            <w:r w:rsidR="00B239FD" w:rsidRPr="00A52AB8">
              <w:rPr>
                <w:sz w:val="20"/>
                <w:szCs w:val="20"/>
              </w:rPr>
              <w:br/>
              <w:t>sei_rbsp( )</w:t>
            </w:r>
          </w:p>
        </w:tc>
        <w:tc>
          <w:tcPr>
            <w:tcW w:w="1337" w:type="dxa"/>
          </w:tcPr>
          <w:p w14:paraId="5CFA1934" w14:textId="77777777" w:rsidR="00B239FD" w:rsidRPr="00A52AB8" w:rsidRDefault="00B239FD">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A52AB8">
              <w:rPr>
                <w:sz w:val="20"/>
                <w:szCs w:val="20"/>
              </w:rPr>
              <w:t>non-</w:t>
            </w:r>
            <w:r w:rsidR="002752B1" w:rsidRPr="00A52AB8">
              <w:rPr>
                <w:sz w:val="20"/>
                <w:szCs w:val="20"/>
              </w:rPr>
              <w:t>ACL</w:t>
            </w:r>
          </w:p>
        </w:tc>
      </w:tr>
      <w:tr w:rsidR="005E2C79" w:rsidRPr="00A52AB8" w14:paraId="3C61AD34" w14:textId="77777777" w:rsidTr="00792CFF">
        <w:trPr>
          <w:jc w:val="center"/>
        </w:trPr>
        <w:tc>
          <w:tcPr>
            <w:tcW w:w="1525" w:type="dxa"/>
          </w:tcPr>
          <w:p w14:paraId="4D7CD07C" w14:textId="77777777" w:rsidR="005E2C79" w:rsidRPr="00A52AB8" w:rsidRDefault="003A1FC0">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A52AB8">
              <w:rPr>
                <w:sz w:val="20"/>
                <w:szCs w:val="20"/>
              </w:rPr>
              <w:t>4</w:t>
            </w:r>
            <w:r w:rsidR="008F4A61" w:rsidRPr="00A52AB8">
              <w:rPr>
                <w:sz w:val="20"/>
                <w:szCs w:val="20"/>
              </w:rPr>
              <w:t>5</w:t>
            </w:r>
            <w:r w:rsidR="005E2C79" w:rsidRPr="00A52AB8">
              <w:rPr>
                <w:sz w:val="20"/>
                <w:szCs w:val="20"/>
              </w:rPr>
              <w:br/>
              <w:t>4</w:t>
            </w:r>
            <w:r w:rsidR="008F4A61" w:rsidRPr="00A52AB8">
              <w:rPr>
                <w:sz w:val="20"/>
                <w:szCs w:val="20"/>
              </w:rPr>
              <w:t>6</w:t>
            </w:r>
          </w:p>
        </w:tc>
        <w:tc>
          <w:tcPr>
            <w:tcW w:w="2439" w:type="dxa"/>
          </w:tcPr>
          <w:p w14:paraId="485706FB" w14:textId="77777777" w:rsidR="005E2C79" w:rsidRPr="00A52AB8" w:rsidRDefault="005E2C79">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A52AB8">
              <w:rPr>
                <w:sz w:val="20"/>
                <w:szCs w:val="20"/>
              </w:rPr>
              <w:t>NAL_PREFIX_ESEI</w:t>
            </w:r>
            <w:r w:rsidRPr="00A52AB8">
              <w:rPr>
                <w:sz w:val="20"/>
                <w:szCs w:val="20"/>
              </w:rPr>
              <w:br/>
              <w:t>NAL_SUFFIX_ESEI</w:t>
            </w:r>
          </w:p>
        </w:tc>
        <w:tc>
          <w:tcPr>
            <w:tcW w:w="4580" w:type="dxa"/>
          </w:tcPr>
          <w:p w14:paraId="4DB399A2" w14:textId="77777777" w:rsidR="005E2C79" w:rsidRPr="00A52AB8" w:rsidRDefault="005E2C79">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sz w:val="20"/>
                <w:szCs w:val="20"/>
              </w:rPr>
            </w:pPr>
            <w:r w:rsidRPr="00A52AB8">
              <w:rPr>
                <w:sz w:val="20"/>
                <w:szCs w:val="20"/>
              </w:rPr>
              <w:t>Essential supplemental enhancement information</w:t>
            </w:r>
            <w:r w:rsidRPr="00A52AB8">
              <w:rPr>
                <w:sz w:val="20"/>
                <w:szCs w:val="20"/>
              </w:rPr>
              <w:br/>
              <w:t>sei_rbsp( )</w:t>
            </w:r>
          </w:p>
        </w:tc>
        <w:tc>
          <w:tcPr>
            <w:tcW w:w="1337" w:type="dxa"/>
          </w:tcPr>
          <w:p w14:paraId="7E19BC81" w14:textId="77777777" w:rsidR="005E2C79" w:rsidRPr="00A52AB8" w:rsidRDefault="005E2C79">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A52AB8">
              <w:rPr>
                <w:sz w:val="20"/>
                <w:szCs w:val="20"/>
              </w:rPr>
              <w:t>non-ACL</w:t>
            </w:r>
          </w:p>
        </w:tc>
      </w:tr>
      <w:tr w:rsidR="00F73EB8" w:rsidRPr="00A52AB8" w14:paraId="17EBBBF5" w14:textId="77777777" w:rsidTr="00792CFF">
        <w:trPr>
          <w:jc w:val="center"/>
        </w:trPr>
        <w:tc>
          <w:tcPr>
            <w:tcW w:w="1525" w:type="dxa"/>
          </w:tcPr>
          <w:p w14:paraId="0A3E85FA" w14:textId="77777777" w:rsidR="00F73EB8" w:rsidRPr="00A52AB8" w:rsidRDefault="00F73EB8">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A52AB8">
              <w:rPr>
                <w:sz w:val="20"/>
                <w:szCs w:val="20"/>
              </w:rPr>
              <w:t>4</w:t>
            </w:r>
            <w:r w:rsidR="003A1FC0" w:rsidRPr="00A52AB8">
              <w:rPr>
                <w:sz w:val="20"/>
                <w:szCs w:val="20"/>
              </w:rPr>
              <w:t>7</w:t>
            </w:r>
          </w:p>
        </w:tc>
        <w:tc>
          <w:tcPr>
            <w:tcW w:w="2439" w:type="dxa"/>
          </w:tcPr>
          <w:p w14:paraId="1BA67262" w14:textId="77777777" w:rsidR="00F73EB8" w:rsidRPr="00A52AB8" w:rsidRDefault="00F73EB8">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A52AB8">
              <w:rPr>
                <w:sz w:val="20"/>
                <w:szCs w:val="20"/>
              </w:rPr>
              <w:t>NAL_A</w:t>
            </w:r>
            <w:r w:rsidR="00C667DD" w:rsidRPr="00A52AB8">
              <w:rPr>
                <w:sz w:val="20"/>
                <w:szCs w:val="20"/>
              </w:rPr>
              <w:t>A</w:t>
            </w:r>
            <w:r w:rsidRPr="00A52AB8">
              <w:rPr>
                <w:sz w:val="20"/>
                <w:szCs w:val="20"/>
              </w:rPr>
              <w:t>PS</w:t>
            </w:r>
          </w:p>
        </w:tc>
        <w:tc>
          <w:tcPr>
            <w:tcW w:w="4580" w:type="dxa"/>
          </w:tcPr>
          <w:p w14:paraId="5B7ED3AB" w14:textId="77777777" w:rsidR="00F73EB8" w:rsidRPr="00A52AB8" w:rsidRDefault="00F73EB8">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sz w:val="20"/>
                <w:szCs w:val="20"/>
              </w:rPr>
            </w:pPr>
            <w:r w:rsidRPr="00A52AB8">
              <w:rPr>
                <w:sz w:val="20"/>
                <w:szCs w:val="20"/>
              </w:rPr>
              <w:t xml:space="preserve">Atlas </w:t>
            </w:r>
            <w:r w:rsidR="00C667DD" w:rsidRPr="00A52AB8">
              <w:rPr>
                <w:sz w:val="20"/>
                <w:szCs w:val="20"/>
              </w:rPr>
              <w:t>adaptation</w:t>
            </w:r>
            <w:r w:rsidRPr="00A52AB8">
              <w:rPr>
                <w:sz w:val="20"/>
                <w:szCs w:val="20"/>
              </w:rPr>
              <w:t xml:space="preserve"> parameter set</w:t>
            </w:r>
            <w:r w:rsidRPr="00A52AB8">
              <w:rPr>
                <w:sz w:val="20"/>
                <w:szCs w:val="20"/>
              </w:rPr>
              <w:br/>
              <w:t>atlas_</w:t>
            </w:r>
            <w:r w:rsidR="00C667DD" w:rsidRPr="00A52AB8">
              <w:rPr>
                <w:sz w:val="20"/>
                <w:szCs w:val="20"/>
              </w:rPr>
              <w:t>adaptation</w:t>
            </w:r>
            <w:r w:rsidRPr="00A52AB8">
              <w:rPr>
                <w:sz w:val="20"/>
                <w:szCs w:val="20"/>
              </w:rPr>
              <w:t>_parameter_set_rbsp( )</w:t>
            </w:r>
          </w:p>
        </w:tc>
        <w:tc>
          <w:tcPr>
            <w:tcW w:w="1337" w:type="dxa"/>
          </w:tcPr>
          <w:p w14:paraId="2B8B3E8F" w14:textId="77777777" w:rsidR="00F73EB8" w:rsidRPr="00A52AB8" w:rsidRDefault="00F73EB8">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A52AB8">
              <w:rPr>
                <w:sz w:val="20"/>
                <w:szCs w:val="20"/>
              </w:rPr>
              <w:t>non-ACL</w:t>
            </w:r>
          </w:p>
        </w:tc>
      </w:tr>
      <w:tr w:rsidR="000F78E9" w:rsidRPr="00A52AB8" w14:paraId="347D91B8" w14:textId="77777777" w:rsidTr="00792CFF">
        <w:trPr>
          <w:jc w:val="center"/>
        </w:trPr>
        <w:tc>
          <w:tcPr>
            <w:tcW w:w="1525" w:type="dxa"/>
          </w:tcPr>
          <w:p w14:paraId="1F6939F0" w14:textId="11D887E1" w:rsidR="000F78E9" w:rsidRPr="00A52AB8" w:rsidDel="000F78E9" w:rsidRDefault="000F78E9">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A52AB8">
              <w:rPr>
                <w:sz w:val="20"/>
                <w:szCs w:val="20"/>
              </w:rPr>
              <w:t>48</w:t>
            </w:r>
          </w:p>
        </w:tc>
        <w:tc>
          <w:tcPr>
            <w:tcW w:w="2439" w:type="dxa"/>
          </w:tcPr>
          <w:p w14:paraId="22E0801C" w14:textId="25009D6A" w:rsidR="000F78E9" w:rsidRPr="00A52AB8" w:rsidRDefault="000F78E9">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A52AB8">
              <w:rPr>
                <w:sz w:val="20"/>
                <w:szCs w:val="20"/>
              </w:rPr>
              <w:t>NAL_CAF</w:t>
            </w:r>
          </w:p>
        </w:tc>
        <w:tc>
          <w:tcPr>
            <w:tcW w:w="4580" w:type="dxa"/>
          </w:tcPr>
          <w:p w14:paraId="199F766F" w14:textId="72B5A1F0" w:rsidR="000F78E9" w:rsidRPr="00A52AB8" w:rsidRDefault="000F78E9">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sz w:val="20"/>
                <w:szCs w:val="20"/>
              </w:rPr>
            </w:pPr>
            <w:r w:rsidRPr="00A52AB8">
              <w:rPr>
                <w:sz w:val="20"/>
                <w:szCs w:val="20"/>
              </w:rPr>
              <w:t>Common atlas frame</w:t>
            </w:r>
            <w:r w:rsidRPr="00A52AB8">
              <w:rPr>
                <w:sz w:val="20"/>
                <w:szCs w:val="20"/>
              </w:rPr>
              <w:br/>
              <w:t>common_atlas_frame_rbsp( )</w:t>
            </w:r>
          </w:p>
        </w:tc>
        <w:tc>
          <w:tcPr>
            <w:tcW w:w="1337" w:type="dxa"/>
          </w:tcPr>
          <w:p w14:paraId="158F4603" w14:textId="6286E250" w:rsidR="000F78E9" w:rsidRPr="00A52AB8" w:rsidRDefault="000F78E9">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A52AB8">
              <w:rPr>
                <w:sz w:val="20"/>
                <w:szCs w:val="20"/>
              </w:rPr>
              <w:t>non-ACL</w:t>
            </w:r>
          </w:p>
        </w:tc>
      </w:tr>
      <w:tr w:rsidR="005E2C79" w:rsidRPr="00A52AB8" w14:paraId="08039D49" w14:textId="77777777" w:rsidTr="00792CFF">
        <w:trPr>
          <w:jc w:val="center"/>
        </w:trPr>
        <w:tc>
          <w:tcPr>
            <w:tcW w:w="1525" w:type="dxa"/>
          </w:tcPr>
          <w:p w14:paraId="49966ED5" w14:textId="50357CAD" w:rsidR="005E2C79" w:rsidRPr="00A52AB8" w:rsidRDefault="000F78E9">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A52AB8">
              <w:rPr>
                <w:sz w:val="20"/>
                <w:szCs w:val="20"/>
              </w:rPr>
              <w:t>49</w:t>
            </w:r>
            <w:r w:rsidR="005E2C79" w:rsidRPr="00A52AB8">
              <w:rPr>
                <w:sz w:val="20"/>
                <w:szCs w:val="20"/>
              </w:rPr>
              <w:t>..</w:t>
            </w:r>
            <w:r w:rsidR="004E639E" w:rsidRPr="00A52AB8">
              <w:rPr>
                <w:sz w:val="20"/>
                <w:szCs w:val="20"/>
              </w:rPr>
              <w:t>52</w:t>
            </w:r>
          </w:p>
        </w:tc>
        <w:tc>
          <w:tcPr>
            <w:tcW w:w="2439" w:type="dxa"/>
          </w:tcPr>
          <w:p w14:paraId="2B26D080" w14:textId="77777777" w:rsidR="005E2C79" w:rsidRPr="00A52AB8" w:rsidRDefault="005E2C79">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A52AB8">
              <w:rPr>
                <w:sz w:val="20"/>
                <w:szCs w:val="20"/>
              </w:rPr>
              <w:t>NAL_RSV_NACL_4</w:t>
            </w:r>
            <w:r w:rsidR="00B2320C" w:rsidRPr="00A52AB8">
              <w:rPr>
                <w:sz w:val="20"/>
                <w:szCs w:val="20"/>
              </w:rPr>
              <w:t>8</w:t>
            </w:r>
            <w:r w:rsidRPr="00A52AB8">
              <w:rPr>
                <w:sz w:val="20"/>
                <w:szCs w:val="20"/>
              </w:rPr>
              <w:br/>
              <w:t>NAL_RSV_NACL_</w:t>
            </w:r>
            <w:r w:rsidR="004E639E" w:rsidRPr="00A52AB8">
              <w:rPr>
                <w:sz w:val="20"/>
                <w:szCs w:val="20"/>
              </w:rPr>
              <w:t>52</w:t>
            </w:r>
          </w:p>
        </w:tc>
        <w:tc>
          <w:tcPr>
            <w:tcW w:w="4580" w:type="dxa"/>
          </w:tcPr>
          <w:p w14:paraId="0B19804A" w14:textId="77777777" w:rsidR="005E2C79" w:rsidRPr="00A52AB8" w:rsidRDefault="005E2C79">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sz w:val="20"/>
                <w:szCs w:val="20"/>
              </w:rPr>
            </w:pPr>
            <w:r w:rsidRPr="00A52AB8">
              <w:rPr>
                <w:sz w:val="20"/>
                <w:szCs w:val="20"/>
              </w:rPr>
              <w:t>Reserved non-ACL NAL unit types</w:t>
            </w:r>
          </w:p>
        </w:tc>
        <w:tc>
          <w:tcPr>
            <w:tcW w:w="1337" w:type="dxa"/>
          </w:tcPr>
          <w:p w14:paraId="6C5B5CCA" w14:textId="77777777" w:rsidR="005E2C79" w:rsidRPr="00A52AB8" w:rsidRDefault="005E2C79">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A52AB8">
              <w:rPr>
                <w:sz w:val="20"/>
                <w:szCs w:val="20"/>
              </w:rPr>
              <w:t>non-ACL</w:t>
            </w:r>
          </w:p>
        </w:tc>
      </w:tr>
      <w:tr w:rsidR="005E2C79" w:rsidRPr="00A52AB8" w14:paraId="24E4B13A" w14:textId="77777777" w:rsidTr="00792CFF">
        <w:trPr>
          <w:jc w:val="center"/>
        </w:trPr>
        <w:tc>
          <w:tcPr>
            <w:tcW w:w="1525" w:type="dxa"/>
          </w:tcPr>
          <w:p w14:paraId="0DB59C37" w14:textId="77777777" w:rsidR="005E2C79" w:rsidRPr="00A52AB8" w:rsidRDefault="004E639E">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A52AB8">
              <w:rPr>
                <w:sz w:val="20"/>
                <w:szCs w:val="20"/>
              </w:rPr>
              <w:t>53</w:t>
            </w:r>
            <w:r w:rsidR="005E2C79" w:rsidRPr="00A52AB8">
              <w:rPr>
                <w:sz w:val="20"/>
                <w:szCs w:val="20"/>
              </w:rPr>
              <w:t>..63</w:t>
            </w:r>
          </w:p>
        </w:tc>
        <w:tc>
          <w:tcPr>
            <w:tcW w:w="2439" w:type="dxa"/>
          </w:tcPr>
          <w:p w14:paraId="0B36A148" w14:textId="77777777" w:rsidR="005E2C79" w:rsidRPr="00A52AB8" w:rsidRDefault="005E2C79">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A52AB8">
              <w:rPr>
                <w:sz w:val="20"/>
                <w:szCs w:val="20"/>
              </w:rPr>
              <w:t>NAL_UNSPEC</w:t>
            </w:r>
            <w:r w:rsidR="004E639E" w:rsidRPr="00A52AB8">
              <w:rPr>
                <w:sz w:val="20"/>
                <w:szCs w:val="20"/>
              </w:rPr>
              <w:t>_53</w:t>
            </w:r>
            <w:r w:rsidRPr="00A52AB8">
              <w:rPr>
                <w:sz w:val="20"/>
                <w:szCs w:val="20"/>
              </w:rPr>
              <w:br/>
              <w:t>NAL_UNSPEC_63</w:t>
            </w:r>
          </w:p>
        </w:tc>
        <w:tc>
          <w:tcPr>
            <w:tcW w:w="4580" w:type="dxa"/>
          </w:tcPr>
          <w:p w14:paraId="49D5FC94" w14:textId="77777777" w:rsidR="005E2C79" w:rsidRPr="00A52AB8" w:rsidRDefault="005E2C79">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sz w:val="20"/>
                <w:szCs w:val="20"/>
              </w:rPr>
            </w:pPr>
            <w:r w:rsidRPr="00A52AB8">
              <w:rPr>
                <w:sz w:val="20"/>
                <w:szCs w:val="20"/>
              </w:rPr>
              <w:t>Unspecified non-ACL NAL unit types</w:t>
            </w:r>
          </w:p>
        </w:tc>
        <w:tc>
          <w:tcPr>
            <w:tcW w:w="1337" w:type="dxa"/>
          </w:tcPr>
          <w:p w14:paraId="3147A72A" w14:textId="77777777" w:rsidR="005E2C79" w:rsidRPr="00A52AB8" w:rsidRDefault="005E2C79">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A52AB8">
              <w:rPr>
                <w:sz w:val="20"/>
                <w:szCs w:val="20"/>
              </w:rPr>
              <w:t>non-ACL</w:t>
            </w:r>
          </w:p>
        </w:tc>
      </w:tr>
    </w:tbl>
    <w:p w14:paraId="746FD609" w14:textId="77777777" w:rsidR="00B239FD" w:rsidRPr="00A52AB8" w:rsidRDefault="00B239FD">
      <w:pPr>
        <w:spacing w:after="57" w:line="12" w:lineRule="exact"/>
        <w:jc w:val="center"/>
        <w:rPr>
          <w:rFonts w:eastAsia="Times New Roman"/>
        </w:rPr>
      </w:pPr>
    </w:p>
    <w:p w14:paraId="0172FA8E" w14:textId="3B7942BE" w:rsidR="00BA2E90" w:rsidRPr="00A52AB8" w:rsidRDefault="00BA2E90">
      <w:pPr>
        <w:pStyle w:val="Note1"/>
        <w:rPr>
          <w:rFonts w:ascii="Cambria" w:hAnsi="Cambria"/>
          <w:bCs/>
        </w:rPr>
      </w:pPr>
      <w:r w:rsidRPr="00A52AB8">
        <w:rPr>
          <w:rFonts w:ascii="Cambria" w:hAnsi="Cambria"/>
        </w:rPr>
        <w:t>NOTE </w:t>
      </w:r>
      <w:r w:rsidR="00640C51" w:rsidRPr="00496A4D">
        <w:rPr>
          <w:rFonts w:ascii="Cambria" w:hAnsi="Cambria"/>
        </w:rPr>
        <w:fldChar w:fldCharType="begin"/>
      </w:r>
      <w:r w:rsidR="00640C51" w:rsidRPr="00A52AB8">
        <w:rPr>
          <w:rFonts w:ascii="Cambria" w:hAnsi="Cambria"/>
        </w:rPr>
        <w:instrText xml:space="preserve"> SEQ NoteCounter \s 9 \* MERGEFORMAT </w:instrText>
      </w:r>
      <w:r w:rsidR="00640C51" w:rsidRPr="00496A4D">
        <w:rPr>
          <w:rFonts w:ascii="Cambria" w:hAnsi="Cambria"/>
        </w:rPr>
        <w:fldChar w:fldCharType="separate"/>
      </w:r>
      <w:r w:rsidR="00507A67">
        <w:rPr>
          <w:rFonts w:ascii="Cambria" w:hAnsi="Cambria"/>
          <w:noProof/>
        </w:rPr>
        <w:t>3</w:t>
      </w:r>
      <w:r w:rsidR="00640C51" w:rsidRPr="00496A4D">
        <w:rPr>
          <w:rFonts w:ascii="Cambria" w:hAnsi="Cambria"/>
        </w:rPr>
        <w:fldChar w:fldCharType="end"/>
      </w:r>
      <w:r w:rsidRPr="00A52AB8">
        <w:rPr>
          <w:rFonts w:ascii="Cambria" w:hAnsi="Cambria"/>
        </w:rPr>
        <w:t> – A c</w:t>
      </w:r>
      <w:r w:rsidRPr="00A52AB8">
        <w:rPr>
          <w:rFonts w:ascii="Cambria" w:hAnsi="Cambria"/>
          <w:lang w:eastAsia="ko-KR"/>
        </w:rPr>
        <w:t>lean random access</w:t>
      </w:r>
      <w:r w:rsidRPr="00A52AB8">
        <w:rPr>
          <w:rFonts w:ascii="Cambria" w:hAnsi="Cambria"/>
        </w:rPr>
        <w:t xml:space="preserve"> (CRA)</w:t>
      </w:r>
      <w:r w:rsidR="000C7494" w:rsidRPr="00A52AB8">
        <w:rPr>
          <w:rFonts w:ascii="Cambria" w:hAnsi="Cambria"/>
        </w:rPr>
        <w:t xml:space="preserve"> </w:t>
      </w:r>
      <w:r w:rsidR="00790518" w:rsidRPr="00A52AB8">
        <w:rPr>
          <w:rFonts w:ascii="Cambria" w:hAnsi="Cambria"/>
        </w:rPr>
        <w:t>atlas frame</w:t>
      </w:r>
      <w:r w:rsidRPr="00A52AB8">
        <w:rPr>
          <w:rFonts w:ascii="Cambria" w:hAnsi="Cambria"/>
        </w:rPr>
        <w:t xml:space="preserve"> </w:t>
      </w:r>
      <w:r w:rsidR="00EE1520" w:rsidRPr="00A52AB8">
        <w:rPr>
          <w:rFonts w:ascii="Cambria" w:hAnsi="Cambria"/>
        </w:rPr>
        <w:t xml:space="preserve">can </w:t>
      </w:r>
      <w:r w:rsidRPr="00A52AB8">
        <w:rPr>
          <w:rFonts w:ascii="Cambria" w:hAnsi="Cambria"/>
        </w:rPr>
        <w:t xml:space="preserve">have associated random access skipped leading (RASL) or </w:t>
      </w:r>
      <w:r w:rsidRPr="00A52AB8">
        <w:rPr>
          <w:rFonts w:ascii="Cambria" w:hAnsi="Cambria"/>
          <w:bCs/>
        </w:rPr>
        <w:t>random access decodable leading (</w:t>
      </w:r>
      <w:r w:rsidRPr="00A52AB8">
        <w:rPr>
          <w:rFonts w:ascii="Cambria" w:hAnsi="Cambria"/>
        </w:rPr>
        <w:t xml:space="preserve">RADL) </w:t>
      </w:r>
      <w:r w:rsidR="00790518" w:rsidRPr="00A52AB8">
        <w:rPr>
          <w:rFonts w:ascii="Cambria" w:hAnsi="Cambria"/>
        </w:rPr>
        <w:t>atlas frames</w:t>
      </w:r>
      <w:r w:rsidRPr="00A52AB8">
        <w:rPr>
          <w:rFonts w:ascii="Cambria" w:hAnsi="Cambria"/>
        </w:rPr>
        <w:t xml:space="preserve"> present in the bitstream.</w:t>
      </w:r>
    </w:p>
    <w:p w14:paraId="3302C0A0" w14:textId="10D89122" w:rsidR="00BA2E90" w:rsidRPr="00A52AB8" w:rsidRDefault="00BA2E90">
      <w:pPr>
        <w:pStyle w:val="Note1"/>
        <w:rPr>
          <w:rFonts w:ascii="Cambria" w:hAnsi="Cambria"/>
        </w:rPr>
      </w:pPr>
      <w:r w:rsidRPr="00A52AB8">
        <w:rPr>
          <w:rFonts w:ascii="Cambria" w:hAnsi="Cambria"/>
        </w:rPr>
        <w:t>NOTE </w:t>
      </w:r>
      <w:r w:rsidR="00640C51" w:rsidRPr="00496A4D">
        <w:rPr>
          <w:rFonts w:ascii="Cambria" w:hAnsi="Cambria"/>
        </w:rPr>
        <w:fldChar w:fldCharType="begin"/>
      </w:r>
      <w:r w:rsidR="00640C51" w:rsidRPr="00A52AB8">
        <w:rPr>
          <w:rFonts w:ascii="Cambria" w:hAnsi="Cambria"/>
        </w:rPr>
        <w:instrText xml:space="preserve"> SEQ NoteCounter \s 9 \* MERGEFORMAT </w:instrText>
      </w:r>
      <w:r w:rsidR="00640C51" w:rsidRPr="00496A4D">
        <w:rPr>
          <w:rFonts w:ascii="Cambria" w:hAnsi="Cambria"/>
        </w:rPr>
        <w:fldChar w:fldCharType="separate"/>
      </w:r>
      <w:r w:rsidR="00507A67">
        <w:rPr>
          <w:rFonts w:ascii="Cambria" w:hAnsi="Cambria"/>
          <w:noProof/>
        </w:rPr>
        <w:t>4</w:t>
      </w:r>
      <w:r w:rsidR="00640C51" w:rsidRPr="00496A4D">
        <w:rPr>
          <w:rFonts w:ascii="Cambria" w:hAnsi="Cambria"/>
        </w:rPr>
        <w:fldChar w:fldCharType="end"/>
      </w:r>
      <w:r w:rsidRPr="00A52AB8">
        <w:rPr>
          <w:rFonts w:ascii="Cambria" w:hAnsi="Cambria"/>
        </w:rPr>
        <w:t> – A broken link access (BLA)</w:t>
      </w:r>
      <w:r w:rsidR="00814813" w:rsidRPr="00A52AB8">
        <w:rPr>
          <w:rFonts w:ascii="Cambria" w:hAnsi="Cambria"/>
        </w:rPr>
        <w:t xml:space="preserve"> </w:t>
      </w:r>
      <w:r w:rsidR="00790518" w:rsidRPr="00A52AB8">
        <w:rPr>
          <w:rFonts w:ascii="Cambria" w:hAnsi="Cambria"/>
        </w:rPr>
        <w:t xml:space="preserve">atlas frame </w:t>
      </w:r>
      <w:r w:rsidRPr="00A52AB8">
        <w:rPr>
          <w:rFonts w:ascii="Cambria" w:hAnsi="Cambria"/>
        </w:rPr>
        <w:t xml:space="preserve">having nal_unit_type equal to </w:t>
      </w:r>
      <w:r w:rsidR="00814813" w:rsidRPr="00A52AB8">
        <w:rPr>
          <w:rFonts w:ascii="Cambria" w:hAnsi="Cambria"/>
        </w:rPr>
        <w:t xml:space="preserve">NAL_BLA_W_LP </w:t>
      </w:r>
      <w:r w:rsidR="000C1ACB" w:rsidRPr="00A52AB8">
        <w:rPr>
          <w:rFonts w:ascii="Cambria" w:hAnsi="Cambria"/>
        </w:rPr>
        <w:t xml:space="preserve">or </w:t>
      </w:r>
      <w:r w:rsidR="00814813" w:rsidRPr="00A52AB8">
        <w:rPr>
          <w:rFonts w:ascii="Cambria" w:hAnsi="Cambria"/>
        </w:rPr>
        <w:t xml:space="preserve">NAL_GBLA_W_LP, </w:t>
      </w:r>
      <w:r w:rsidR="00EE1520" w:rsidRPr="00A52AB8">
        <w:rPr>
          <w:rFonts w:ascii="Cambria" w:hAnsi="Cambria"/>
        </w:rPr>
        <w:t xml:space="preserve">can </w:t>
      </w:r>
      <w:r w:rsidRPr="00A52AB8">
        <w:rPr>
          <w:rFonts w:ascii="Cambria" w:hAnsi="Cambria"/>
        </w:rPr>
        <w:t xml:space="preserve">have associated RASL or RADL </w:t>
      </w:r>
      <w:r w:rsidR="00790518" w:rsidRPr="00A52AB8">
        <w:rPr>
          <w:rFonts w:ascii="Cambria" w:hAnsi="Cambria"/>
        </w:rPr>
        <w:t xml:space="preserve">atlas frames </w:t>
      </w:r>
      <w:r w:rsidRPr="00A52AB8">
        <w:rPr>
          <w:rFonts w:ascii="Cambria" w:hAnsi="Cambria"/>
        </w:rPr>
        <w:t xml:space="preserve">present in the bitstream. A BLA </w:t>
      </w:r>
      <w:r w:rsidR="00790518" w:rsidRPr="00A52AB8">
        <w:rPr>
          <w:rFonts w:ascii="Cambria" w:hAnsi="Cambria"/>
        </w:rPr>
        <w:t>atlas frame</w:t>
      </w:r>
      <w:r w:rsidRPr="00A52AB8">
        <w:rPr>
          <w:rFonts w:ascii="Cambria" w:hAnsi="Cambria"/>
        </w:rPr>
        <w:t xml:space="preserve"> having nal_unit_type equal to </w:t>
      </w:r>
      <w:r w:rsidR="00814813" w:rsidRPr="00A52AB8">
        <w:rPr>
          <w:rFonts w:ascii="Cambria" w:hAnsi="Cambria"/>
        </w:rPr>
        <w:t>NAL_BLA</w:t>
      </w:r>
      <w:r w:rsidRPr="00A52AB8">
        <w:rPr>
          <w:rFonts w:ascii="Cambria" w:hAnsi="Cambria"/>
        </w:rPr>
        <w:t xml:space="preserve">_W_RADL </w:t>
      </w:r>
      <w:r w:rsidR="000C1ACB" w:rsidRPr="00A52AB8">
        <w:rPr>
          <w:rFonts w:ascii="Cambria" w:hAnsi="Cambria"/>
        </w:rPr>
        <w:t xml:space="preserve">or </w:t>
      </w:r>
      <w:r w:rsidR="00814813" w:rsidRPr="00A52AB8">
        <w:rPr>
          <w:rFonts w:ascii="Cambria" w:hAnsi="Cambria"/>
        </w:rPr>
        <w:t xml:space="preserve">NAL_GBLA_W_RADL, </w:t>
      </w:r>
      <w:r w:rsidRPr="00A52AB8">
        <w:rPr>
          <w:rFonts w:ascii="Cambria" w:hAnsi="Cambria"/>
        </w:rPr>
        <w:t xml:space="preserve">does not have associated RASL </w:t>
      </w:r>
      <w:r w:rsidR="00790518" w:rsidRPr="00A52AB8">
        <w:rPr>
          <w:rFonts w:ascii="Cambria" w:hAnsi="Cambria"/>
        </w:rPr>
        <w:t>atlas frame</w:t>
      </w:r>
      <w:r w:rsidRPr="00A52AB8">
        <w:rPr>
          <w:rFonts w:ascii="Cambria" w:hAnsi="Cambria"/>
        </w:rPr>
        <w:t xml:space="preserve">s present in the bitstream, but </w:t>
      </w:r>
      <w:r w:rsidR="00EE1520" w:rsidRPr="00A52AB8">
        <w:rPr>
          <w:rFonts w:ascii="Cambria" w:hAnsi="Cambria"/>
        </w:rPr>
        <w:t xml:space="preserve">can </w:t>
      </w:r>
      <w:r w:rsidRPr="00A52AB8">
        <w:rPr>
          <w:rFonts w:ascii="Cambria" w:hAnsi="Cambria"/>
        </w:rPr>
        <w:t xml:space="preserve">have associated RADL </w:t>
      </w:r>
      <w:r w:rsidR="00790518" w:rsidRPr="00A52AB8">
        <w:rPr>
          <w:rFonts w:ascii="Cambria" w:hAnsi="Cambria"/>
        </w:rPr>
        <w:t>atlas frame</w:t>
      </w:r>
      <w:r w:rsidRPr="00A52AB8">
        <w:rPr>
          <w:rFonts w:ascii="Cambria" w:hAnsi="Cambria"/>
        </w:rPr>
        <w:t xml:space="preserve">s in the bitstream. A BLA </w:t>
      </w:r>
      <w:r w:rsidR="00790518" w:rsidRPr="00A52AB8">
        <w:rPr>
          <w:rFonts w:ascii="Cambria" w:hAnsi="Cambria"/>
        </w:rPr>
        <w:t>atlas frame</w:t>
      </w:r>
      <w:r w:rsidRPr="00A52AB8">
        <w:rPr>
          <w:rFonts w:ascii="Cambria" w:hAnsi="Cambria"/>
        </w:rPr>
        <w:t xml:space="preserve"> having nal_unit_type equal to </w:t>
      </w:r>
      <w:r w:rsidR="00C32ECB" w:rsidRPr="00A52AB8">
        <w:rPr>
          <w:rFonts w:ascii="Cambria" w:hAnsi="Cambria"/>
        </w:rPr>
        <w:t>NAL_</w:t>
      </w:r>
      <w:r w:rsidRPr="00A52AB8">
        <w:rPr>
          <w:rFonts w:ascii="Cambria" w:hAnsi="Cambria"/>
        </w:rPr>
        <w:t xml:space="preserve">BLA_N_LP </w:t>
      </w:r>
      <w:r w:rsidR="000C1ACB" w:rsidRPr="00A52AB8">
        <w:rPr>
          <w:rFonts w:ascii="Cambria" w:hAnsi="Cambria"/>
        </w:rPr>
        <w:t xml:space="preserve">or </w:t>
      </w:r>
      <w:r w:rsidR="00C32ECB" w:rsidRPr="00A52AB8">
        <w:rPr>
          <w:rFonts w:ascii="Cambria" w:hAnsi="Cambria"/>
        </w:rPr>
        <w:t xml:space="preserve">NAL_GBLA_N_LP, </w:t>
      </w:r>
      <w:r w:rsidRPr="00A52AB8">
        <w:rPr>
          <w:rFonts w:ascii="Cambria" w:hAnsi="Cambria"/>
        </w:rPr>
        <w:t xml:space="preserve">does not have associated leading </w:t>
      </w:r>
      <w:r w:rsidR="00790518" w:rsidRPr="00A52AB8">
        <w:rPr>
          <w:rFonts w:ascii="Cambria" w:hAnsi="Cambria"/>
        </w:rPr>
        <w:t>atlas frame</w:t>
      </w:r>
      <w:r w:rsidRPr="00A52AB8">
        <w:rPr>
          <w:rFonts w:ascii="Cambria" w:hAnsi="Cambria"/>
        </w:rPr>
        <w:t>s present in the bitstream.</w:t>
      </w:r>
    </w:p>
    <w:p w14:paraId="0BA485F5" w14:textId="627FDBCE" w:rsidR="00BA2E90" w:rsidRPr="00A52AB8" w:rsidRDefault="00BA2E90">
      <w:pPr>
        <w:pStyle w:val="Note1"/>
        <w:rPr>
          <w:rFonts w:ascii="Cambria" w:hAnsi="Cambria"/>
        </w:rPr>
      </w:pPr>
      <w:r w:rsidRPr="00A52AB8">
        <w:rPr>
          <w:rFonts w:ascii="Cambria" w:hAnsi="Cambria"/>
        </w:rPr>
        <w:t>NOTE </w:t>
      </w:r>
      <w:r w:rsidR="00640C51" w:rsidRPr="00496A4D">
        <w:rPr>
          <w:rFonts w:ascii="Cambria" w:hAnsi="Cambria"/>
        </w:rPr>
        <w:fldChar w:fldCharType="begin"/>
      </w:r>
      <w:r w:rsidR="00640C51" w:rsidRPr="00A52AB8">
        <w:rPr>
          <w:rFonts w:ascii="Cambria" w:hAnsi="Cambria"/>
        </w:rPr>
        <w:instrText xml:space="preserve"> SEQ NoteCounter \s 9 \* MERGEFORMAT </w:instrText>
      </w:r>
      <w:r w:rsidR="00640C51" w:rsidRPr="00496A4D">
        <w:rPr>
          <w:rFonts w:ascii="Cambria" w:hAnsi="Cambria"/>
        </w:rPr>
        <w:fldChar w:fldCharType="separate"/>
      </w:r>
      <w:r w:rsidR="00507A67">
        <w:rPr>
          <w:rFonts w:ascii="Cambria" w:hAnsi="Cambria"/>
          <w:noProof/>
        </w:rPr>
        <w:t>5</w:t>
      </w:r>
      <w:r w:rsidR="00640C51" w:rsidRPr="00496A4D">
        <w:rPr>
          <w:rFonts w:ascii="Cambria" w:hAnsi="Cambria"/>
        </w:rPr>
        <w:fldChar w:fldCharType="end"/>
      </w:r>
      <w:r w:rsidRPr="00A52AB8">
        <w:rPr>
          <w:rFonts w:ascii="Cambria" w:hAnsi="Cambria"/>
        </w:rPr>
        <w:t xml:space="preserve"> – An instantaneous decoding refresh (IDR) </w:t>
      </w:r>
      <w:r w:rsidR="00790518" w:rsidRPr="00A52AB8">
        <w:rPr>
          <w:rFonts w:ascii="Cambria" w:hAnsi="Cambria"/>
        </w:rPr>
        <w:t>atlas frame</w:t>
      </w:r>
      <w:r w:rsidRPr="00A52AB8">
        <w:rPr>
          <w:rFonts w:ascii="Cambria" w:hAnsi="Cambria"/>
        </w:rPr>
        <w:t xml:space="preserve"> having nal_unit_type equal to </w:t>
      </w:r>
      <w:r w:rsidR="00C32ECB" w:rsidRPr="00A52AB8">
        <w:rPr>
          <w:rFonts w:ascii="Cambria" w:hAnsi="Cambria"/>
        </w:rPr>
        <w:t>NAL_</w:t>
      </w:r>
      <w:r w:rsidRPr="00A52AB8">
        <w:rPr>
          <w:rFonts w:ascii="Cambria" w:hAnsi="Cambria"/>
        </w:rPr>
        <w:t xml:space="preserve">IDR_N_LP </w:t>
      </w:r>
      <w:r w:rsidR="000C1ACB" w:rsidRPr="00A52AB8">
        <w:rPr>
          <w:rFonts w:ascii="Cambria" w:hAnsi="Cambria"/>
        </w:rPr>
        <w:t xml:space="preserve">or </w:t>
      </w:r>
      <w:r w:rsidR="00C32ECB" w:rsidRPr="00A52AB8">
        <w:rPr>
          <w:rFonts w:ascii="Cambria" w:hAnsi="Cambria"/>
        </w:rPr>
        <w:t xml:space="preserve">NAL_GIDR_N_LP, </w:t>
      </w:r>
      <w:r w:rsidRPr="00A52AB8">
        <w:rPr>
          <w:rFonts w:ascii="Cambria" w:hAnsi="Cambria"/>
        </w:rPr>
        <w:t xml:space="preserve">does not have associated leading </w:t>
      </w:r>
      <w:r w:rsidR="00790518" w:rsidRPr="00A52AB8">
        <w:rPr>
          <w:rFonts w:ascii="Cambria" w:hAnsi="Cambria"/>
        </w:rPr>
        <w:t>atlas frame</w:t>
      </w:r>
      <w:r w:rsidRPr="00A52AB8">
        <w:rPr>
          <w:rFonts w:ascii="Cambria" w:hAnsi="Cambria"/>
        </w:rPr>
        <w:t xml:space="preserve">s present in the bitstream. An IDR </w:t>
      </w:r>
      <w:r w:rsidR="00790518" w:rsidRPr="00A52AB8">
        <w:rPr>
          <w:rFonts w:ascii="Cambria" w:hAnsi="Cambria"/>
        </w:rPr>
        <w:t>atlas frame</w:t>
      </w:r>
      <w:r w:rsidRPr="00A52AB8">
        <w:rPr>
          <w:rFonts w:ascii="Cambria" w:hAnsi="Cambria"/>
        </w:rPr>
        <w:t xml:space="preserve"> having nal_unit_type equal to </w:t>
      </w:r>
      <w:r w:rsidR="00C32ECB" w:rsidRPr="00A52AB8">
        <w:rPr>
          <w:rFonts w:ascii="Cambria" w:hAnsi="Cambria"/>
        </w:rPr>
        <w:t>NAL_</w:t>
      </w:r>
      <w:r w:rsidRPr="00A52AB8">
        <w:rPr>
          <w:rFonts w:ascii="Cambria" w:hAnsi="Cambria"/>
        </w:rPr>
        <w:t xml:space="preserve">IDR_W_RADL </w:t>
      </w:r>
      <w:r w:rsidR="000C1ACB" w:rsidRPr="00A52AB8">
        <w:rPr>
          <w:rFonts w:ascii="Cambria" w:hAnsi="Cambria"/>
        </w:rPr>
        <w:t xml:space="preserve">or </w:t>
      </w:r>
      <w:r w:rsidR="00C32ECB" w:rsidRPr="00A52AB8">
        <w:rPr>
          <w:rFonts w:ascii="Cambria" w:hAnsi="Cambria"/>
        </w:rPr>
        <w:t xml:space="preserve">NAL_GIDR_W_RADL, </w:t>
      </w:r>
      <w:r w:rsidRPr="00A52AB8">
        <w:rPr>
          <w:rFonts w:ascii="Cambria" w:hAnsi="Cambria"/>
        </w:rPr>
        <w:t xml:space="preserve">does not have associated RASL </w:t>
      </w:r>
      <w:r w:rsidR="00790518" w:rsidRPr="00A52AB8">
        <w:rPr>
          <w:rFonts w:ascii="Cambria" w:hAnsi="Cambria"/>
        </w:rPr>
        <w:t>atlas frame</w:t>
      </w:r>
      <w:r w:rsidRPr="00A52AB8">
        <w:rPr>
          <w:rFonts w:ascii="Cambria" w:hAnsi="Cambria"/>
        </w:rPr>
        <w:t xml:space="preserve">s present in the bitstream, but </w:t>
      </w:r>
      <w:r w:rsidR="00EE1520" w:rsidRPr="00A52AB8">
        <w:rPr>
          <w:rFonts w:ascii="Cambria" w:hAnsi="Cambria"/>
        </w:rPr>
        <w:t xml:space="preserve">can </w:t>
      </w:r>
      <w:r w:rsidRPr="00A52AB8">
        <w:rPr>
          <w:rFonts w:ascii="Cambria" w:hAnsi="Cambria"/>
        </w:rPr>
        <w:t xml:space="preserve">have associated RADL </w:t>
      </w:r>
      <w:r w:rsidR="00790518" w:rsidRPr="00A52AB8">
        <w:rPr>
          <w:rFonts w:ascii="Cambria" w:hAnsi="Cambria"/>
        </w:rPr>
        <w:t>atlas frame</w:t>
      </w:r>
      <w:r w:rsidRPr="00A52AB8">
        <w:rPr>
          <w:rFonts w:ascii="Cambria" w:hAnsi="Cambria"/>
        </w:rPr>
        <w:t>s in the bitstream.</w:t>
      </w:r>
    </w:p>
    <w:p w14:paraId="41B3C017" w14:textId="77777777" w:rsidR="00BA2E90" w:rsidRPr="00A52AB8" w:rsidRDefault="00BA2E90">
      <w:r w:rsidRPr="00A52AB8">
        <w:t xml:space="preserve">All coded </w:t>
      </w:r>
      <w:r w:rsidR="00B8075E" w:rsidRPr="00A52AB8">
        <w:t>tile</w:t>
      </w:r>
      <w:r w:rsidRPr="00A52AB8">
        <w:rPr>
          <w:lang w:eastAsia="ja-JP"/>
        </w:rPr>
        <w:t xml:space="preserve"> </w:t>
      </w:r>
      <w:r w:rsidRPr="00A52AB8">
        <w:t>NAL units of an access unit shall have the same value of nal_unit_type.</w:t>
      </w:r>
      <w:r w:rsidR="00814813" w:rsidRPr="00A52AB8">
        <w:t xml:space="preserve"> </w:t>
      </w:r>
      <w:r w:rsidR="00F95705" w:rsidRPr="00A52AB8">
        <w:t>A</w:t>
      </w:r>
      <w:r w:rsidR="00814813" w:rsidRPr="00A52AB8">
        <w:t>n atlas</w:t>
      </w:r>
      <w:r w:rsidR="00790518" w:rsidRPr="00A52AB8">
        <w:t xml:space="preserve"> frame</w:t>
      </w:r>
      <w:r w:rsidRPr="00A52AB8">
        <w:t xml:space="preserve"> or an access unit is also referred to as having a nal_unit_type equal to the nal_unit_type of the coded </w:t>
      </w:r>
      <w:r w:rsidR="00B8075E" w:rsidRPr="00A52AB8">
        <w:t>tile</w:t>
      </w:r>
      <w:r w:rsidRPr="00A52AB8">
        <w:t xml:space="preserve"> NAL units of the </w:t>
      </w:r>
      <w:r w:rsidR="00790518" w:rsidRPr="00A52AB8">
        <w:t>atlas frame</w:t>
      </w:r>
      <w:r w:rsidRPr="00A52AB8">
        <w:t xml:space="preserve"> or the access unit.</w:t>
      </w:r>
    </w:p>
    <w:p w14:paraId="27DCF767" w14:textId="78C1FF40" w:rsidR="00BA2E90" w:rsidRPr="00A52AB8" w:rsidRDefault="00BA2E90">
      <w:r w:rsidRPr="00A52AB8">
        <w:t>If</w:t>
      </w:r>
      <w:r w:rsidR="00814813" w:rsidRPr="00A52AB8">
        <w:t xml:space="preserve"> an atlas</w:t>
      </w:r>
      <w:r w:rsidR="00790518" w:rsidRPr="00A52AB8">
        <w:t xml:space="preserve"> frame</w:t>
      </w:r>
      <w:r w:rsidRPr="00A52AB8">
        <w:t xml:space="preserve"> has nal_unit_type equal to </w:t>
      </w:r>
      <w:r w:rsidR="00782C03" w:rsidRPr="00A52AB8">
        <w:t>NAL_TRAIL_N, NAL_TSA_N, NAL_STSA_N, NAL_RADL_N, NAL_RASL_N, NAL_RSV_ACL_N12, or NAL_RSV_ACL_N1</w:t>
      </w:r>
      <w:r w:rsidR="00ED1110" w:rsidRPr="00A52AB8">
        <w:t>4</w:t>
      </w:r>
      <w:r w:rsidRPr="00A52AB8">
        <w:rPr>
          <w:lang w:eastAsia="ko-KR"/>
        </w:rPr>
        <w:t xml:space="preserve">, </w:t>
      </w:r>
      <w:r w:rsidRPr="00A52AB8">
        <w:t xml:space="preserve">the </w:t>
      </w:r>
      <w:r w:rsidR="00790518" w:rsidRPr="00A52AB8">
        <w:t>atlas frame</w:t>
      </w:r>
      <w:r w:rsidRPr="00A52AB8">
        <w:t xml:space="preserve"> is an SLNR </w:t>
      </w:r>
      <w:r w:rsidR="00790518" w:rsidRPr="00A52AB8">
        <w:t>atlas frame</w:t>
      </w:r>
      <w:r w:rsidRPr="00A52AB8">
        <w:t xml:space="preserve">. Otherwise, the </w:t>
      </w:r>
      <w:r w:rsidR="00790518" w:rsidRPr="00A52AB8">
        <w:t>atlas frame</w:t>
      </w:r>
      <w:r w:rsidRPr="00A52AB8">
        <w:t xml:space="preserve"> is a sub-layer reference </w:t>
      </w:r>
      <w:r w:rsidR="00790518" w:rsidRPr="00A52AB8">
        <w:t>atlas frame</w:t>
      </w:r>
      <w:r w:rsidRPr="00A52AB8">
        <w:t>.</w:t>
      </w:r>
    </w:p>
    <w:p w14:paraId="5064ABA8" w14:textId="77777777" w:rsidR="0050235C" w:rsidRPr="00A52AB8" w:rsidRDefault="0043160F">
      <w:r w:rsidRPr="00A52AB8">
        <w:t>If an atlas frame has nal_unit_type equal to NAL_GIDR_W_RADL, NAL_GBLA_N_LP, or NAL_GCRA, or in the range of NAL_GBLA_W_LP to NAL_GBLA_N_LP, inclusive, it specifies a random access association between the current coded atlas and the corresponding coded video frames at the same composition time.</w:t>
      </w:r>
    </w:p>
    <w:p w14:paraId="630BFFAF" w14:textId="77B0B034" w:rsidR="00BA2E90" w:rsidRPr="00A52AB8" w:rsidRDefault="00BA2E90">
      <w:r w:rsidRPr="00A52AB8">
        <w:lastRenderedPageBreak/>
        <w:t xml:space="preserve">Each </w:t>
      </w:r>
      <w:r w:rsidR="00790518" w:rsidRPr="00A52AB8">
        <w:t>atlas frame</w:t>
      </w:r>
      <w:r w:rsidRPr="00A52AB8">
        <w:t xml:space="preserve">, other than the first </w:t>
      </w:r>
      <w:r w:rsidR="00790518" w:rsidRPr="00A52AB8">
        <w:t>atlas frame</w:t>
      </w:r>
      <w:r w:rsidRPr="00A52AB8">
        <w:t xml:space="preserve"> in the bitstream in decoding order, is considered to be associated with the previous intra random access point (IRAP) </w:t>
      </w:r>
      <w:r w:rsidR="00790518" w:rsidRPr="00A52AB8">
        <w:t>atlas frame</w:t>
      </w:r>
      <w:r w:rsidRPr="00A52AB8">
        <w:t xml:space="preserve"> in decoding order.</w:t>
      </w:r>
    </w:p>
    <w:p w14:paraId="5E5CD189" w14:textId="77777777" w:rsidR="00BA2E90" w:rsidRPr="00A52AB8" w:rsidRDefault="00BA2E90">
      <w:r w:rsidRPr="00A52AB8">
        <w:t>When</w:t>
      </w:r>
      <w:r w:rsidR="00814813" w:rsidRPr="00A52AB8">
        <w:t xml:space="preserve"> an atlas</w:t>
      </w:r>
      <w:r w:rsidR="00790518" w:rsidRPr="00A52AB8">
        <w:t xml:space="preserve"> frame</w:t>
      </w:r>
      <w:r w:rsidRPr="00A52AB8">
        <w:t xml:space="preserve"> is a leading </w:t>
      </w:r>
      <w:r w:rsidR="00790518" w:rsidRPr="00A52AB8">
        <w:t>atlas frame</w:t>
      </w:r>
      <w:r w:rsidRPr="00A52AB8">
        <w:t xml:space="preserve">, it shall be a RADL or RASL </w:t>
      </w:r>
      <w:r w:rsidR="00790518" w:rsidRPr="00A52AB8">
        <w:t>atlas frame</w:t>
      </w:r>
      <w:r w:rsidRPr="00A52AB8">
        <w:t>.</w:t>
      </w:r>
    </w:p>
    <w:p w14:paraId="29DF635E" w14:textId="77777777" w:rsidR="00BA2E90" w:rsidRPr="00A52AB8" w:rsidRDefault="00BA2E90">
      <w:r w:rsidRPr="00A52AB8">
        <w:t>When</w:t>
      </w:r>
      <w:r w:rsidR="00814813" w:rsidRPr="00A52AB8">
        <w:t xml:space="preserve"> an atlas</w:t>
      </w:r>
      <w:r w:rsidR="00790518" w:rsidRPr="00A52AB8">
        <w:t xml:space="preserve"> frame</w:t>
      </w:r>
      <w:r w:rsidRPr="00A52AB8">
        <w:t xml:space="preserve"> is a trailing </w:t>
      </w:r>
      <w:r w:rsidR="00790518" w:rsidRPr="00A52AB8">
        <w:t>atlas frame</w:t>
      </w:r>
      <w:r w:rsidRPr="00A52AB8">
        <w:t xml:space="preserve">, it shall not be a RADL or RASL </w:t>
      </w:r>
      <w:r w:rsidR="00790518" w:rsidRPr="00A52AB8">
        <w:t>atlas frame</w:t>
      </w:r>
      <w:r w:rsidRPr="00A52AB8">
        <w:t>.</w:t>
      </w:r>
    </w:p>
    <w:p w14:paraId="79F3C484" w14:textId="371009C9" w:rsidR="00BA2E90" w:rsidRPr="00A52AB8" w:rsidRDefault="00BA2E90">
      <w:r w:rsidRPr="00A52AB8">
        <w:t>When</w:t>
      </w:r>
      <w:r w:rsidR="00814813" w:rsidRPr="00A52AB8">
        <w:t xml:space="preserve"> an atlas</w:t>
      </w:r>
      <w:r w:rsidR="00790518" w:rsidRPr="00A52AB8">
        <w:t xml:space="preserve"> frame</w:t>
      </w:r>
      <w:r w:rsidRPr="00A52AB8">
        <w:t xml:space="preserve"> is a leading </w:t>
      </w:r>
      <w:r w:rsidR="00790518" w:rsidRPr="00A52AB8">
        <w:t>atlas frame</w:t>
      </w:r>
      <w:r w:rsidRPr="00A52AB8">
        <w:t xml:space="preserve">, it shall precede, in decoding order, all trailing </w:t>
      </w:r>
      <w:r w:rsidR="00790518" w:rsidRPr="00A52AB8">
        <w:t>atlas frame</w:t>
      </w:r>
      <w:r w:rsidRPr="00A52AB8">
        <w:t xml:space="preserve">s that are associated with the same IRAP </w:t>
      </w:r>
      <w:r w:rsidR="003D47FD" w:rsidRPr="00A52AB8">
        <w:t xml:space="preserve">coded </w:t>
      </w:r>
      <w:r w:rsidR="00790518" w:rsidRPr="00A52AB8">
        <w:t>atlas frame</w:t>
      </w:r>
      <w:r w:rsidRPr="00A52AB8">
        <w:t>.</w:t>
      </w:r>
    </w:p>
    <w:p w14:paraId="17C70513" w14:textId="77777777" w:rsidR="00BA2E90" w:rsidRPr="00A52AB8" w:rsidRDefault="00BA2E90">
      <w:r w:rsidRPr="00A52AB8">
        <w:t xml:space="preserve">No RASL </w:t>
      </w:r>
      <w:r w:rsidR="00790518" w:rsidRPr="00A52AB8">
        <w:t>atlas frame</w:t>
      </w:r>
      <w:r w:rsidRPr="00A52AB8">
        <w:t xml:space="preserve">s shall be present in the bitstream that are associated with a BLA </w:t>
      </w:r>
      <w:r w:rsidR="00790518" w:rsidRPr="00A52AB8">
        <w:t>atlas frame</w:t>
      </w:r>
      <w:r w:rsidRPr="00A52AB8">
        <w:t xml:space="preserve"> having nal_unit_type equal to </w:t>
      </w:r>
      <w:r w:rsidR="00EE1270" w:rsidRPr="00A52AB8">
        <w:t>NAL_</w:t>
      </w:r>
      <w:r w:rsidRPr="00A52AB8">
        <w:t xml:space="preserve">BLA_W_RADL or </w:t>
      </w:r>
      <w:r w:rsidR="00EE1270" w:rsidRPr="00A52AB8">
        <w:t>NAL_</w:t>
      </w:r>
      <w:r w:rsidRPr="00A52AB8">
        <w:t>BLA_N_LP.</w:t>
      </w:r>
    </w:p>
    <w:p w14:paraId="491A6CF7" w14:textId="77777777" w:rsidR="00EE1270" w:rsidRPr="00A52AB8" w:rsidRDefault="00EE1270">
      <w:r w:rsidRPr="00A52AB8">
        <w:t>No RASL atlas frames shall be present in the bitstream that are associated with a GBLA atlas frame having nal_unit_type equal to NAL_GBLA_W_RADL or NAL_GBLA_N_LP.</w:t>
      </w:r>
    </w:p>
    <w:p w14:paraId="15D30903" w14:textId="40B5191D" w:rsidR="00BA2E90" w:rsidRPr="00A52AB8" w:rsidRDefault="00BA2E90">
      <w:r w:rsidRPr="00A52AB8">
        <w:t xml:space="preserve">No RASL </w:t>
      </w:r>
      <w:r w:rsidR="00790518" w:rsidRPr="00A52AB8">
        <w:t>atlas frame</w:t>
      </w:r>
      <w:r w:rsidRPr="00A52AB8">
        <w:t xml:space="preserve">s shall be present in the bitstream that are associated with an IDR </w:t>
      </w:r>
      <w:r w:rsidR="00790518" w:rsidRPr="00A52AB8">
        <w:t>atlas frame</w:t>
      </w:r>
      <w:r w:rsidRPr="00A52AB8">
        <w:t>.</w:t>
      </w:r>
    </w:p>
    <w:p w14:paraId="5C0D844A" w14:textId="5B187DC0" w:rsidR="00BA2E90" w:rsidRPr="00A52AB8" w:rsidRDefault="00BA2E90">
      <w:r w:rsidRPr="00A52AB8">
        <w:t xml:space="preserve">No RADL </w:t>
      </w:r>
      <w:r w:rsidR="00790518" w:rsidRPr="00A52AB8">
        <w:t>atlas frame</w:t>
      </w:r>
      <w:r w:rsidRPr="00A52AB8">
        <w:t xml:space="preserve">s shall be present in the bitstream that are associated with a BLA </w:t>
      </w:r>
      <w:r w:rsidR="00790518" w:rsidRPr="00A52AB8">
        <w:t>atlas frame</w:t>
      </w:r>
      <w:r w:rsidRPr="00A52AB8">
        <w:t xml:space="preserve"> having nal_unit_type equal to </w:t>
      </w:r>
      <w:r w:rsidR="00EE1270" w:rsidRPr="00A52AB8">
        <w:t>NAL_</w:t>
      </w:r>
      <w:r w:rsidRPr="00A52AB8">
        <w:t>BLA_N_LP</w:t>
      </w:r>
      <w:r w:rsidR="000C1ACB" w:rsidRPr="00A52AB8">
        <w:t xml:space="preserve"> or</w:t>
      </w:r>
      <w:r w:rsidR="00EE1270" w:rsidRPr="00A52AB8">
        <w:t xml:space="preserve"> NAL_GBLA_N_LP, an IDR atlas frame having nal_unit_type equal to NAL_IDR_N_LP or</w:t>
      </w:r>
      <w:r w:rsidRPr="00A52AB8">
        <w:t xml:space="preserve"> </w:t>
      </w:r>
      <w:r w:rsidR="00EE1270" w:rsidRPr="00A52AB8">
        <w:t>NAL_G</w:t>
      </w:r>
      <w:r w:rsidRPr="00A52AB8">
        <w:t>IDR_N_LP.</w:t>
      </w:r>
    </w:p>
    <w:p w14:paraId="0D9900AC" w14:textId="192AF559" w:rsidR="00BA2E90" w:rsidRPr="00A52AB8" w:rsidRDefault="00BA2E90">
      <w:pPr>
        <w:pStyle w:val="Note1"/>
        <w:numPr>
          <w:ilvl w:val="12"/>
          <w:numId w:val="0"/>
        </w:numPr>
        <w:ind w:left="284"/>
        <w:rPr>
          <w:rFonts w:ascii="Cambria" w:hAnsi="Cambria"/>
        </w:rPr>
      </w:pPr>
      <w:r w:rsidRPr="00A52AB8">
        <w:rPr>
          <w:rFonts w:ascii="Cambria" w:hAnsi="Cambria"/>
        </w:rPr>
        <w:t>NOTE </w:t>
      </w:r>
      <w:r w:rsidR="00640C51" w:rsidRPr="00496A4D">
        <w:rPr>
          <w:rFonts w:ascii="Cambria" w:hAnsi="Cambria"/>
        </w:rPr>
        <w:fldChar w:fldCharType="begin"/>
      </w:r>
      <w:r w:rsidR="00640C51" w:rsidRPr="00A52AB8">
        <w:rPr>
          <w:rFonts w:ascii="Cambria" w:hAnsi="Cambria"/>
        </w:rPr>
        <w:instrText xml:space="preserve"> SEQ NoteCounter \s 9 \* MERGEFORMAT </w:instrText>
      </w:r>
      <w:r w:rsidR="00640C51" w:rsidRPr="00496A4D">
        <w:rPr>
          <w:rFonts w:ascii="Cambria" w:hAnsi="Cambria"/>
        </w:rPr>
        <w:fldChar w:fldCharType="separate"/>
      </w:r>
      <w:r w:rsidR="00507A67">
        <w:rPr>
          <w:rFonts w:ascii="Cambria" w:hAnsi="Cambria"/>
          <w:noProof/>
        </w:rPr>
        <w:t>6</w:t>
      </w:r>
      <w:r w:rsidR="00640C51" w:rsidRPr="00496A4D">
        <w:rPr>
          <w:rFonts w:ascii="Cambria" w:hAnsi="Cambria"/>
        </w:rPr>
        <w:fldChar w:fldCharType="end"/>
      </w:r>
      <w:r w:rsidRPr="00A52AB8">
        <w:rPr>
          <w:rFonts w:ascii="Cambria" w:hAnsi="Cambria"/>
        </w:rPr>
        <w:t xml:space="preserve"> – It is possible to perform random access at the position of an </w:t>
      </w:r>
      <w:r w:rsidR="00F560F8" w:rsidRPr="00A52AB8">
        <w:rPr>
          <w:rFonts w:ascii="Cambria" w:hAnsi="Cambria"/>
        </w:rPr>
        <w:t>IRAP coded atlas access unit</w:t>
      </w:r>
      <w:r w:rsidRPr="00A52AB8">
        <w:rPr>
          <w:rFonts w:ascii="Cambria" w:hAnsi="Cambria"/>
        </w:rPr>
        <w:t xml:space="preserve"> by discarding all access units before the </w:t>
      </w:r>
      <w:r w:rsidR="00F560F8" w:rsidRPr="00A52AB8">
        <w:rPr>
          <w:rFonts w:ascii="Cambria" w:hAnsi="Cambria"/>
        </w:rPr>
        <w:t>IRAP coded atlas access unit</w:t>
      </w:r>
      <w:r w:rsidRPr="00A52AB8">
        <w:rPr>
          <w:rFonts w:ascii="Cambria" w:hAnsi="Cambria"/>
        </w:rPr>
        <w:t xml:space="preserve"> (and to correctly decode the IRAP </w:t>
      </w:r>
      <w:r w:rsidR="003D47FD" w:rsidRPr="00A52AB8">
        <w:rPr>
          <w:rFonts w:ascii="Cambria" w:hAnsi="Cambria"/>
        </w:rPr>
        <w:t xml:space="preserve">coded </w:t>
      </w:r>
      <w:r w:rsidR="00790518" w:rsidRPr="00A52AB8">
        <w:rPr>
          <w:rFonts w:ascii="Cambria" w:hAnsi="Cambria"/>
        </w:rPr>
        <w:t>atlas frame</w:t>
      </w:r>
      <w:r w:rsidRPr="00A52AB8">
        <w:rPr>
          <w:rFonts w:ascii="Cambria" w:hAnsi="Cambria"/>
        </w:rPr>
        <w:t xml:space="preserve"> and all the subsequent non-RASL </w:t>
      </w:r>
      <w:r w:rsidR="00790518" w:rsidRPr="00A52AB8">
        <w:rPr>
          <w:rFonts w:ascii="Cambria" w:hAnsi="Cambria"/>
        </w:rPr>
        <w:t>atlas frame</w:t>
      </w:r>
      <w:r w:rsidRPr="00A52AB8">
        <w:rPr>
          <w:rFonts w:ascii="Cambria" w:hAnsi="Cambria"/>
        </w:rPr>
        <w:t xml:space="preserve">s in decoding order), provided each parameter set is available (either in the bitstream or by external means not specified in </w:t>
      </w:r>
      <w:r w:rsidR="001905CC" w:rsidRPr="00A52AB8">
        <w:rPr>
          <w:rFonts w:ascii="Cambria" w:hAnsi="Cambria"/>
        </w:rPr>
        <w:t>this document</w:t>
      </w:r>
      <w:r w:rsidRPr="00A52AB8">
        <w:rPr>
          <w:rFonts w:ascii="Cambria" w:hAnsi="Cambria"/>
        </w:rPr>
        <w:t>) when it needs to be activated.</w:t>
      </w:r>
    </w:p>
    <w:p w14:paraId="41BB8EA4" w14:textId="09ECA5EF" w:rsidR="00BA2E90" w:rsidRPr="00A52AB8" w:rsidRDefault="00BA2E90">
      <w:r w:rsidRPr="00A52AB8">
        <w:t xml:space="preserve">Any RASL </w:t>
      </w:r>
      <w:r w:rsidR="00790518" w:rsidRPr="00A52AB8">
        <w:t>atlas frame</w:t>
      </w:r>
      <w:r w:rsidRPr="00A52AB8">
        <w:t xml:space="preserve"> associated with a CRA</w:t>
      </w:r>
      <w:r w:rsidR="000C1ACB" w:rsidRPr="00A52AB8">
        <w:t xml:space="preserve"> or</w:t>
      </w:r>
      <w:r w:rsidR="000C1ACB" w:rsidRPr="00A52AB8" w:rsidDel="000C1ACB">
        <w:t xml:space="preserve"> </w:t>
      </w:r>
      <w:r w:rsidRPr="00A52AB8">
        <w:t>BLA</w:t>
      </w:r>
      <w:r w:rsidR="000C1ACB" w:rsidRPr="00A52AB8">
        <w:t xml:space="preserve"> </w:t>
      </w:r>
      <w:r w:rsidR="00790518" w:rsidRPr="00A52AB8">
        <w:t>atlas frame</w:t>
      </w:r>
      <w:r w:rsidRPr="00A52AB8">
        <w:t xml:space="preserve"> shall precede any RADL </w:t>
      </w:r>
      <w:r w:rsidR="00790518" w:rsidRPr="00A52AB8">
        <w:t>atlas frame</w:t>
      </w:r>
      <w:r w:rsidRPr="00A52AB8">
        <w:t xml:space="preserve"> associated with the </w:t>
      </w:r>
      <w:r w:rsidR="001A2581" w:rsidRPr="00A52AB8">
        <w:t>CRA</w:t>
      </w:r>
      <w:r w:rsidR="000C1ACB" w:rsidRPr="00A52AB8">
        <w:t xml:space="preserve"> or </w:t>
      </w:r>
      <w:r w:rsidR="001A2581" w:rsidRPr="00A52AB8">
        <w:t xml:space="preserve">BLA </w:t>
      </w:r>
      <w:r w:rsidR="00790518" w:rsidRPr="00A52AB8">
        <w:t>atlas frame</w:t>
      </w:r>
      <w:r w:rsidRPr="00A52AB8">
        <w:t xml:space="preserve"> in output order.</w:t>
      </w:r>
    </w:p>
    <w:p w14:paraId="535C0058" w14:textId="267FB08E" w:rsidR="00BA2E90" w:rsidRPr="00A52AB8" w:rsidRDefault="00BA2E90">
      <w:r w:rsidRPr="00A52AB8">
        <w:t xml:space="preserve">Any RASL </w:t>
      </w:r>
      <w:r w:rsidR="00790518" w:rsidRPr="00A52AB8">
        <w:t>atlas frame</w:t>
      </w:r>
      <w:r w:rsidRPr="00A52AB8">
        <w:t xml:space="preserve"> associated with a CRA </w:t>
      </w:r>
      <w:r w:rsidR="00790518" w:rsidRPr="00A52AB8">
        <w:t>atlas frame</w:t>
      </w:r>
      <w:r w:rsidRPr="00A52AB8">
        <w:t xml:space="preserve"> shall follow, in output order, any IRAP </w:t>
      </w:r>
      <w:r w:rsidR="003D47FD" w:rsidRPr="00A52AB8">
        <w:t xml:space="preserve">coded </w:t>
      </w:r>
      <w:r w:rsidR="00790518" w:rsidRPr="00A52AB8">
        <w:t>atlas frame</w:t>
      </w:r>
      <w:r w:rsidRPr="00A52AB8">
        <w:t xml:space="preserve"> that precedes the CRA </w:t>
      </w:r>
      <w:r w:rsidR="00790518" w:rsidRPr="00A52AB8">
        <w:t>atlas frame</w:t>
      </w:r>
      <w:r w:rsidRPr="00A52AB8">
        <w:t xml:space="preserve"> in decoding order.</w:t>
      </w:r>
    </w:p>
    <w:p w14:paraId="0B8616D9" w14:textId="6284373A" w:rsidR="00423C13" w:rsidRPr="00A52AB8" w:rsidRDefault="00423C13">
      <w:r w:rsidRPr="00A52AB8">
        <w:t>A nal_unit_type equal to NAL_</w:t>
      </w:r>
      <w:r w:rsidR="00FD2C5E" w:rsidRPr="00A52AB8">
        <w:t>V3C_</w:t>
      </w:r>
      <w:r w:rsidRPr="00A52AB8">
        <w:t xml:space="preserve">AUD </w:t>
      </w:r>
      <w:r w:rsidR="005C2CC3" w:rsidRPr="00A52AB8">
        <w:t xml:space="preserve">that is associated with a particular atlas frame j means that all </w:t>
      </w:r>
      <w:r w:rsidR="00691553" w:rsidRPr="00A52AB8">
        <w:t xml:space="preserve">output </w:t>
      </w:r>
      <w:r w:rsidR="00875EC6" w:rsidRPr="00A52AB8">
        <w:t>V3C</w:t>
      </w:r>
      <w:r w:rsidR="005C2CC3" w:rsidRPr="00A52AB8">
        <w:t xml:space="preserve"> component</w:t>
      </w:r>
      <w:r w:rsidR="0067565F" w:rsidRPr="00A52AB8">
        <w:t xml:space="preserve"> frames</w:t>
      </w:r>
      <w:r w:rsidR="00295D2A" w:rsidRPr="00A52AB8">
        <w:t>, if present in their corresponding sub-bitstreams,</w:t>
      </w:r>
      <w:r w:rsidR="0067565F" w:rsidRPr="00A52AB8">
        <w:t xml:space="preserve"> </w:t>
      </w:r>
      <w:r w:rsidR="00295D2A" w:rsidRPr="00A52AB8">
        <w:t xml:space="preserve">and that </w:t>
      </w:r>
      <w:r w:rsidR="005C2CC3" w:rsidRPr="00A52AB8">
        <w:t>have the same output time order as the atlas frame j</w:t>
      </w:r>
      <w:r w:rsidR="00295D2A" w:rsidRPr="00A52AB8">
        <w:t>,</w:t>
      </w:r>
      <w:r w:rsidR="005C2CC3" w:rsidRPr="00A52AB8">
        <w:t xml:space="preserve"> shall have</w:t>
      </w:r>
      <w:r w:rsidRPr="00A52AB8">
        <w:t xml:space="preserve"> the same decoding order</w:t>
      </w:r>
      <w:r w:rsidR="001B386F" w:rsidRPr="00A52AB8">
        <w:t>, while accounting for missing frames in each sub-bitstream,</w:t>
      </w:r>
      <w:r w:rsidR="0067565F" w:rsidRPr="00A52AB8">
        <w:t xml:space="preserve"> as that of the atlas frame</w:t>
      </w:r>
      <w:r w:rsidRPr="00A52AB8">
        <w:t>.</w:t>
      </w:r>
    </w:p>
    <w:p w14:paraId="3227455F" w14:textId="16E5A99D" w:rsidR="00851898" w:rsidRPr="00A52AB8" w:rsidRDefault="00851898">
      <w:pPr>
        <w:pStyle w:val="Note1"/>
        <w:numPr>
          <w:ilvl w:val="12"/>
          <w:numId w:val="0"/>
        </w:numPr>
        <w:ind w:left="284"/>
        <w:rPr>
          <w:rFonts w:ascii="Cambria" w:hAnsi="Cambria"/>
        </w:rPr>
      </w:pPr>
      <w:r w:rsidRPr="00A52AB8">
        <w:rPr>
          <w:rFonts w:ascii="Cambria" w:hAnsi="Cambria"/>
        </w:rPr>
        <w:t>NOTE </w:t>
      </w:r>
      <w:r w:rsidR="00640C51" w:rsidRPr="00496A4D">
        <w:rPr>
          <w:rFonts w:ascii="Cambria" w:hAnsi="Cambria"/>
        </w:rPr>
        <w:fldChar w:fldCharType="begin"/>
      </w:r>
      <w:r w:rsidR="00640C51" w:rsidRPr="00A52AB8">
        <w:rPr>
          <w:rFonts w:ascii="Cambria" w:hAnsi="Cambria"/>
        </w:rPr>
        <w:instrText xml:space="preserve"> SEQ NoteCounter \s 9 \* MERGEFORMAT </w:instrText>
      </w:r>
      <w:r w:rsidR="00640C51" w:rsidRPr="00496A4D">
        <w:rPr>
          <w:rFonts w:ascii="Cambria" w:hAnsi="Cambria"/>
        </w:rPr>
        <w:fldChar w:fldCharType="separate"/>
      </w:r>
      <w:r w:rsidR="00507A67">
        <w:rPr>
          <w:rFonts w:ascii="Cambria" w:hAnsi="Cambria"/>
          <w:noProof/>
        </w:rPr>
        <w:t>7</w:t>
      </w:r>
      <w:r w:rsidR="00640C51" w:rsidRPr="00496A4D">
        <w:rPr>
          <w:rFonts w:ascii="Cambria" w:hAnsi="Cambria"/>
        </w:rPr>
        <w:fldChar w:fldCharType="end"/>
      </w:r>
      <w:r w:rsidRPr="00A52AB8">
        <w:rPr>
          <w:rFonts w:ascii="Cambria" w:hAnsi="Cambria"/>
        </w:rPr>
        <w:t xml:space="preserve"> – An application </w:t>
      </w:r>
      <w:r w:rsidR="00125EEC" w:rsidRPr="00A52AB8">
        <w:rPr>
          <w:rFonts w:ascii="Cambria" w:hAnsi="Cambria"/>
        </w:rPr>
        <w:t xml:space="preserve">can </w:t>
      </w:r>
      <w:r w:rsidRPr="00A52AB8">
        <w:rPr>
          <w:rFonts w:ascii="Cambria" w:hAnsi="Cambria"/>
        </w:rPr>
        <w:t xml:space="preserve">specify that all </w:t>
      </w:r>
      <w:r w:rsidR="0002283B" w:rsidRPr="00A52AB8">
        <w:rPr>
          <w:rFonts w:ascii="Cambria" w:hAnsi="Cambria"/>
        </w:rPr>
        <w:t xml:space="preserve">atlas </w:t>
      </w:r>
      <w:r w:rsidRPr="00A52AB8">
        <w:rPr>
          <w:rFonts w:ascii="Cambria" w:hAnsi="Cambria"/>
        </w:rPr>
        <w:t xml:space="preserve">frames in a </w:t>
      </w:r>
      <w:r w:rsidR="00875EC6" w:rsidRPr="00A52AB8">
        <w:rPr>
          <w:rFonts w:ascii="Cambria" w:hAnsi="Cambria"/>
        </w:rPr>
        <w:t>V3C</w:t>
      </w:r>
      <w:r w:rsidRPr="00A52AB8">
        <w:rPr>
          <w:rFonts w:ascii="Cambria" w:hAnsi="Cambria"/>
        </w:rPr>
        <w:t xml:space="preserve"> sequence are delimited using a nal_unit_type equal to NAL_</w:t>
      </w:r>
      <w:r w:rsidR="00FD2C5E" w:rsidRPr="00A52AB8">
        <w:rPr>
          <w:rFonts w:ascii="Cambria" w:hAnsi="Cambria"/>
        </w:rPr>
        <w:t>V3C_</w:t>
      </w:r>
      <w:r w:rsidRPr="00A52AB8">
        <w:rPr>
          <w:rFonts w:ascii="Cambria" w:hAnsi="Cambria"/>
        </w:rPr>
        <w:t xml:space="preserve">AUD, in which case all </w:t>
      </w:r>
      <w:r w:rsidR="00875EC6" w:rsidRPr="00A52AB8">
        <w:rPr>
          <w:rFonts w:ascii="Cambria" w:hAnsi="Cambria"/>
        </w:rPr>
        <w:t>V3C</w:t>
      </w:r>
      <w:r w:rsidRPr="00A52AB8">
        <w:rPr>
          <w:rFonts w:ascii="Cambria" w:hAnsi="Cambria"/>
        </w:rPr>
        <w:t xml:space="preserve"> sub-bitstreams </w:t>
      </w:r>
      <w:r w:rsidR="00691553" w:rsidRPr="00A52AB8">
        <w:rPr>
          <w:rFonts w:ascii="Cambria" w:hAnsi="Cambria"/>
        </w:rPr>
        <w:t xml:space="preserve">including sub-bitstreams that correspond to different maps </w:t>
      </w:r>
      <w:r w:rsidRPr="00A52AB8">
        <w:rPr>
          <w:rFonts w:ascii="Cambria" w:hAnsi="Cambria"/>
        </w:rPr>
        <w:t xml:space="preserve">will be </w:t>
      </w:r>
      <w:r w:rsidR="00691553" w:rsidRPr="00A52AB8">
        <w:rPr>
          <w:rFonts w:ascii="Cambria" w:hAnsi="Cambria"/>
        </w:rPr>
        <w:t xml:space="preserve">aligned in </w:t>
      </w:r>
      <w:r w:rsidRPr="00A52AB8">
        <w:rPr>
          <w:rFonts w:ascii="Cambria" w:hAnsi="Cambria"/>
        </w:rPr>
        <w:t>both decoding order</w:t>
      </w:r>
      <w:r w:rsidR="00295D2A" w:rsidRPr="00A52AB8">
        <w:rPr>
          <w:rFonts w:ascii="Cambria" w:hAnsi="Cambria"/>
        </w:rPr>
        <w:t xml:space="preserve"> </w:t>
      </w:r>
      <w:r w:rsidRPr="00A52AB8">
        <w:rPr>
          <w:rFonts w:ascii="Cambria" w:hAnsi="Cambria"/>
        </w:rPr>
        <w:t>and output time.</w:t>
      </w:r>
    </w:p>
    <w:p w14:paraId="48AB567A" w14:textId="51C1D1AD" w:rsidR="001B386F" w:rsidRPr="00A52AB8" w:rsidRDefault="001B386F" w:rsidP="001B386F">
      <w:pPr>
        <w:pStyle w:val="Note1"/>
        <w:numPr>
          <w:ilvl w:val="12"/>
          <w:numId w:val="0"/>
        </w:numPr>
        <w:ind w:left="284"/>
        <w:rPr>
          <w:rFonts w:ascii="Cambria" w:hAnsi="Cambria"/>
        </w:rPr>
      </w:pPr>
      <w:r w:rsidRPr="00A52AB8">
        <w:rPr>
          <w:rFonts w:ascii="Cambria" w:hAnsi="Cambria"/>
        </w:rPr>
        <w:t>NOTE </w:t>
      </w:r>
      <w:r w:rsidRPr="00496A4D">
        <w:rPr>
          <w:rFonts w:ascii="Cambria" w:hAnsi="Cambria"/>
        </w:rPr>
        <w:fldChar w:fldCharType="begin"/>
      </w:r>
      <w:r w:rsidRPr="00A52AB8">
        <w:rPr>
          <w:rFonts w:ascii="Cambria" w:hAnsi="Cambria"/>
        </w:rPr>
        <w:instrText xml:space="preserve"> SEQ NoteCounter \s 9 \* MERGEFORMAT </w:instrText>
      </w:r>
      <w:r w:rsidRPr="00496A4D">
        <w:rPr>
          <w:rFonts w:ascii="Cambria" w:hAnsi="Cambria"/>
        </w:rPr>
        <w:fldChar w:fldCharType="separate"/>
      </w:r>
      <w:r w:rsidR="00507A67">
        <w:rPr>
          <w:rFonts w:ascii="Cambria" w:hAnsi="Cambria"/>
          <w:noProof/>
        </w:rPr>
        <w:t>8</w:t>
      </w:r>
      <w:r w:rsidRPr="00496A4D">
        <w:rPr>
          <w:rFonts w:ascii="Cambria" w:hAnsi="Cambria"/>
        </w:rPr>
        <w:fldChar w:fldCharType="end"/>
      </w:r>
      <w:r w:rsidRPr="00A52AB8">
        <w:rPr>
          <w:rFonts w:ascii="Cambria" w:hAnsi="Cambria"/>
        </w:rPr>
        <w:t xml:space="preserve"> – If a frame in a sub-bitstream is missing, and a NAL_V3C_AUD is encountered it can be assumed that this missing frame is virtually present in its sub-bitstream and has the same decoding order as all other corresponding frames in the other sub-bitstreams. This frame can then be generated using such methods as described in </w:t>
      </w:r>
      <w:r w:rsidRPr="00496A4D">
        <w:rPr>
          <w:rFonts w:ascii="Cambria" w:hAnsi="Cambria"/>
        </w:rPr>
        <w:fldChar w:fldCharType="begin"/>
      </w:r>
      <w:r w:rsidRPr="00A52AB8">
        <w:rPr>
          <w:rFonts w:ascii="Cambria" w:hAnsi="Cambria"/>
        </w:rPr>
        <w:instrText xml:space="preserve"> REF _Ref38561253 \n \h </w:instrText>
      </w:r>
      <w:r w:rsidR="007478BA" w:rsidRPr="00A52AB8">
        <w:rPr>
          <w:rFonts w:ascii="Cambria" w:hAnsi="Cambria"/>
        </w:rPr>
        <w:instrText xml:space="preserve"> \* MERGEFORMAT </w:instrText>
      </w:r>
      <w:r w:rsidRPr="00496A4D">
        <w:rPr>
          <w:rFonts w:ascii="Cambria" w:hAnsi="Cambria"/>
        </w:rPr>
      </w:r>
      <w:r w:rsidRPr="00496A4D">
        <w:rPr>
          <w:rFonts w:ascii="Cambria" w:hAnsi="Cambria"/>
        </w:rPr>
        <w:fldChar w:fldCharType="separate"/>
      </w:r>
      <w:r w:rsidR="00507A67">
        <w:rPr>
          <w:rFonts w:ascii="Cambria" w:hAnsi="Cambria"/>
        </w:rPr>
        <w:t>Annex B</w:t>
      </w:r>
      <w:r w:rsidRPr="00496A4D">
        <w:rPr>
          <w:rFonts w:ascii="Cambria" w:hAnsi="Cambria"/>
        </w:rPr>
        <w:fldChar w:fldCharType="end"/>
      </w:r>
      <w:r w:rsidRPr="00A52AB8">
        <w:rPr>
          <w:rFonts w:ascii="Cambria" w:hAnsi="Cambria"/>
        </w:rPr>
        <w:t>.</w:t>
      </w:r>
    </w:p>
    <w:p w14:paraId="279D0C61" w14:textId="7A216485" w:rsidR="00BA2DC9" w:rsidRPr="00A52AB8" w:rsidRDefault="00BA2DC9" w:rsidP="00BA2DC9">
      <w:r w:rsidRPr="00A52AB8">
        <w:t>When an ACL NAL unit of an atlas with atlas ID equal to atlasID, with decoding time equal to decodingTime</w:t>
      </w:r>
      <w:r w:rsidR="0002283B" w:rsidRPr="00A52AB8">
        <w:t>,</w:t>
      </w:r>
      <w:r w:rsidRPr="00A52AB8">
        <w:t xml:space="preserve"> and composition time equal to compTime, is of nal_unit_type equal to NAL_GBLA_W_LP, NAL_GBLA_W_RADL, NAL_GBLA_N_LP, NAL_GIDR_W_RADL, or NAL_GIDR_N_LP, there is at least one associated video frame unit in each video sub-bitstream that has decoding time and composition time equal to decodingTime and compTime, respectively. Such video frame units shall also be coded using appropriate intra random access point types as specified by their respective video coding specification. Such intra random access point types are outside the scope of this </w:t>
      </w:r>
      <w:r w:rsidR="000D4078" w:rsidRPr="00A52AB8">
        <w:t>document</w:t>
      </w:r>
      <w:r w:rsidRPr="00A52AB8">
        <w:t xml:space="preserve">. These ACL NAL units can be used with their associated video frame units, after decoding, to reconstruct a </w:t>
      </w:r>
      <w:r w:rsidR="000703BB" w:rsidRPr="00A52AB8">
        <w:t>volumetric</w:t>
      </w:r>
      <w:r w:rsidRPr="00A52AB8">
        <w:t xml:space="preserve"> frame with composition time equal to compTime. Assignment of decoding time decodingTime to atlas NAL units and to data of a video sub-bitstream is outside the scope of this document.</w:t>
      </w:r>
    </w:p>
    <w:p w14:paraId="4EF0A7ED" w14:textId="71D61033" w:rsidR="00BA2DC9" w:rsidRPr="00A52AB8" w:rsidRDefault="0034708C" w:rsidP="0034708C">
      <w:pPr>
        <w:pStyle w:val="Note1"/>
        <w:numPr>
          <w:ilvl w:val="12"/>
          <w:numId w:val="0"/>
        </w:numPr>
        <w:ind w:left="284"/>
        <w:rPr>
          <w:rFonts w:ascii="Cambria" w:hAnsi="Cambria"/>
        </w:rPr>
      </w:pPr>
      <w:r w:rsidRPr="00A52AB8">
        <w:rPr>
          <w:rFonts w:ascii="Cambria" w:hAnsi="Cambria"/>
        </w:rPr>
        <w:t>NOTE </w:t>
      </w:r>
      <w:r w:rsidRPr="00496A4D">
        <w:rPr>
          <w:rFonts w:ascii="Cambria" w:hAnsi="Cambria"/>
        </w:rPr>
        <w:fldChar w:fldCharType="begin"/>
      </w:r>
      <w:r w:rsidRPr="00A52AB8">
        <w:rPr>
          <w:rFonts w:ascii="Cambria" w:hAnsi="Cambria"/>
        </w:rPr>
        <w:instrText xml:space="preserve"> SEQ NoteCounter \s 9 \* MERGEFORMAT </w:instrText>
      </w:r>
      <w:r w:rsidRPr="00496A4D">
        <w:rPr>
          <w:rFonts w:ascii="Cambria" w:hAnsi="Cambria"/>
        </w:rPr>
        <w:fldChar w:fldCharType="separate"/>
      </w:r>
      <w:r w:rsidR="00507A67">
        <w:rPr>
          <w:rFonts w:ascii="Cambria" w:hAnsi="Cambria"/>
          <w:noProof/>
        </w:rPr>
        <w:t>9</w:t>
      </w:r>
      <w:r w:rsidRPr="00496A4D">
        <w:rPr>
          <w:rFonts w:ascii="Cambria" w:hAnsi="Cambria"/>
        </w:rPr>
        <w:fldChar w:fldCharType="end"/>
      </w:r>
      <w:r w:rsidRPr="00A52AB8">
        <w:rPr>
          <w:rFonts w:ascii="Cambria" w:hAnsi="Cambria"/>
        </w:rPr>
        <w:t> </w:t>
      </w:r>
      <w:r w:rsidR="00BA2DC9" w:rsidRPr="00A52AB8">
        <w:rPr>
          <w:rFonts w:ascii="Cambria" w:hAnsi="Cambria"/>
        </w:rPr>
        <w:t>– Decoding time can be provided by the ISO base media file format for a V3C bitstream defined in ISO/IEC</w:t>
      </w:r>
      <w:r w:rsidR="009D016E" w:rsidRPr="00A52AB8">
        <w:rPr>
          <w:rFonts w:ascii="Cambria" w:hAnsi="Cambria"/>
        </w:rPr>
        <w:t xml:space="preserve"> DIS</w:t>
      </w:r>
      <w:r w:rsidR="00BA2DC9" w:rsidRPr="00A52AB8">
        <w:rPr>
          <w:rFonts w:ascii="Cambria" w:hAnsi="Cambria"/>
        </w:rPr>
        <w:t xml:space="preserve"> 23090-10.</w:t>
      </w:r>
    </w:p>
    <w:p w14:paraId="0166FBE7" w14:textId="5CEB9B5E" w:rsidR="00BA2E90" w:rsidRPr="00A52AB8" w:rsidRDefault="00BA2E90">
      <w:r w:rsidRPr="00A52AB8">
        <w:rPr>
          <w:b/>
        </w:rPr>
        <w:lastRenderedPageBreak/>
        <w:t>nal_layer_id</w:t>
      </w:r>
      <w:r w:rsidRPr="00A52AB8">
        <w:t xml:space="preserve"> </w:t>
      </w:r>
      <w:r w:rsidRPr="00A52AB8">
        <w:rPr>
          <w:bCs/>
        </w:rPr>
        <w:t>specifies the identifier of the layer to which a</w:t>
      </w:r>
      <w:r w:rsidR="001978DD" w:rsidRPr="00A52AB8">
        <w:rPr>
          <w:bCs/>
        </w:rPr>
        <w:t>n</w:t>
      </w:r>
      <w:r w:rsidRPr="00A52AB8">
        <w:rPr>
          <w:bCs/>
        </w:rPr>
        <w:t xml:space="preserve"> </w:t>
      </w:r>
      <w:r w:rsidR="001A2581" w:rsidRPr="00A52AB8">
        <w:rPr>
          <w:bCs/>
        </w:rPr>
        <w:t>ACL</w:t>
      </w:r>
      <w:r w:rsidRPr="00A52AB8">
        <w:rPr>
          <w:bCs/>
        </w:rPr>
        <w:t xml:space="preserve"> NAL unit belongs or the identifier of a layer to which a non-</w:t>
      </w:r>
      <w:r w:rsidR="001A2581" w:rsidRPr="00A52AB8">
        <w:rPr>
          <w:bCs/>
        </w:rPr>
        <w:t>ACL</w:t>
      </w:r>
      <w:r w:rsidRPr="00A52AB8">
        <w:rPr>
          <w:bCs/>
        </w:rPr>
        <w:t xml:space="preserve"> NAL unit applies</w:t>
      </w:r>
      <w:r w:rsidRPr="00A52AB8">
        <w:t xml:space="preserve">. The value of nal_layer_id shall be in the range of 0 to 62, inclusive. The value of 63 may be specified in the future by ISO/IEC. For purposes other than determining the amount of data in the decoding units of the bitstream, decoders shall ignore all data that follow the value 63 for nal_layer_id in a NAL unit, and decoders conforming to a profile specified in </w:t>
      </w:r>
      <w:r w:rsidR="001B77F6" w:rsidRPr="00496A4D">
        <w:rPr>
          <w:color w:val="000000" w:themeColor="text1"/>
        </w:rPr>
        <w:fldChar w:fldCharType="begin"/>
      </w:r>
      <w:r w:rsidR="001B77F6" w:rsidRPr="00A52AB8">
        <w:rPr>
          <w:color w:val="000000" w:themeColor="text1"/>
        </w:rPr>
        <w:instrText xml:space="preserve"> REF _Ref21509350 \r \h </w:instrText>
      </w:r>
      <w:r w:rsidR="00025423" w:rsidRPr="00A52AB8">
        <w:rPr>
          <w:color w:val="000000" w:themeColor="text1"/>
        </w:rPr>
        <w:instrText xml:space="preserve"> \* MERGEFORMAT </w:instrText>
      </w:r>
      <w:r w:rsidR="001B77F6" w:rsidRPr="00496A4D">
        <w:rPr>
          <w:color w:val="000000" w:themeColor="text1"/>
        </w:rPr>
      </w:r>
      <w:r w:rsidR="001B77F6" w:rsidRPr="00496A4D">
        <w:rPr>
          <w:color w:val="000000" w:themeColor="text1"/>
        </w:rPr>
        <w:fldChar w:fldCharType="separate"/>
      </w:r>
      <w:r w:rsidR="00507A67">
        <w:rPr>
          <w:color w:val="000000" w:themeColor="text1"/>
        </w:rPr>
        <w:t>Annex A</w:t>
      </w:r>
      <w:r w:rsidR="001B77F6" w:rsidRPr="00496A4D">
        <w:rPr>
          <w:color w:val="000000" w:themeColor="text1"/>
        </w:rPr>
        <w:fldChar w:fldCharType="end"/>
      </w:r>
      <w:r w:rsidR="001B77F6" w:rsidRPr="00A52AB8">
        <w:rPr>
          <w:color w:val="000000" w:themeColor="text1"/>
        </w:rPr>
        <w:t xml:space="preserve"> </w:t>
      </w:r>
      <w:r w:rsidRPr="00A52AB8">
        <w:t>shall ignore (i.e., remove from the bitstream and discard) all NAL units with values of nal_layer_id not equal to 0.</w:t>
      </w:r>
    </w:p>
    <w:p w14:paraId="66DA875C" w14:textId="7F0C5FA3" w:rsidR="00BA2E90" w:rsidRPr="00A52AB8" w:rsidRDefault="00BA2E90">
      <w:pPr>
        <w:pStyle w:val="Note1"/>
        <w:numPr>
          <w:ilvl w:val="12"/>
          <w:numId w:val="0"/>
        </w:numPr>
        <w:ind w:left="284"/>
        <w:rPr>
          <w:rFonts w:ascii="Cambria" w:hAnsi="Cambria"/>
        </w:rPr>
      </w:pPr>
      <w:r w:rsidRPr="00A52AB8">
        <w:rPr>
          <w:rFonts w:ascii="Cambria" w:hAnsi="Cambria"/>
        </w:rPr>
        <w:t>NOTE </w:t>
      </w:r>
      <w:r w:rsidR="00640C51" w:rsidRPr="00496A4D">
        <w:rPr>
          <w:rFonts w:ascii="Cambria" w:hAnsi="Cambria"/>
        </w:rPr>
        <w:fldChar w:fldCharType="begin"/>
      </w:r>
      <w:r w:rsidR="00640C51" w:rsidRPr="00A52AB8">
        <w:rPr>
          <w:rFonts w:ascii="Cambria" w:hAnsi="Cambria"/>
        </w:rPr>
        <w:instrText xml:space="preserve"> SEQ NoteCounter \s 9 \* MERGEFORMAT </w:instrText>
      </w:r>
      <w:r w:rsidR="00640C51" w:rsidRPr="00496A4D">
        <w:rPr>
          <w:rFonts w:ascii="Cambria" w:hAnsi="Cambria"/>
        </w:rPr>
        <w:fldChar w:fldCharType="separate"/>
      </w:r>
      <w:r w:rsidR="00507A67">
        <w:rPr>
          <w:rFonts w:ascii="Cambria" w:hAnsi="Cambria"/>
          <w:noProof/>
        </w:rPr>
        <w:t>10</w:t>
      </w:r>
      <w:r w:rsidR="00640C51" w:rsidRPr="00496A4D">
        <w:rPr>
          <w:rFonts w:ascii="Cambria" w:hAnsi="Cambria"/>
        </w:rPr>
        <w:fldChar w:fldCharType="end"/>
      </w:r>
      <w:r w:rsidRPr="00A52AB8">
        <w:rPr>
          <w:rFonts w:ascii="Cambria" w:hAnsi="Cambria"/>
        </w:rPr>
        <w:t xml:space="preserve"> – The value of 63 for nal_layer_id </w:t>
      </w:r>
      <w:r w:rsidR="00125EEC" w:rsidRPr="00A52AB8">
        <w:rPr>
          <w:rFonts w:ascii="Cambria" w:hAnsi="Cambria"/>
        </w:rPr>
        <w:t xml:space="preserve">can </w:t>
      </w:r>
      <w:r w:rsidRPr="00A52AB8">
        <w:rPr>
          <w:rFonts w:ascii="Cambria" w:hAnsi="Cambria"/>
        </w:rPr>
        <w:t xml:space="preserve">be used to indicate an extended layer identifier in a future extension of </w:t>
      </w:r>
      <w:r w:rsidR="001905CC" w:rsidRPr="00A52AB8">
        <w:rPr>
          <w:rFonts w:ascii="Cambria" w:hAnsi="Cambria"/>
        </w:rPr>
        <w:t>this document</w:t>
      </w:r>
      <w:r w:rsidRPr="00A52AB8">
        <w:rPr>
          <w:rFonts w:ascii="Cambria" w:hAnsi="Cambria"/>
        </w:rPr>
        <w:t>.</w:t>
      </w:r>
    </w:p>
    <w:p w14:paraId="6887C856" w14:textId="77777777" w:rsidR="00BA2E90" w:rsidRPr="00A52AB8" w:rsidRDefault="00BA2E90">
      <w:r w:rsidRPr="00A52AB8">
        <w:t xml:space="preserve">The value of nal_layer_id shall be the same for all </w:t>
      </w:r>
      <w:r w:rsidR="001A2581" w:rsidRPr="00A52AB8">
        <w:t>ACL</w:t>
      </w:r>
      <w:r w:rsidRPr="00A52AB8">
        <w:t xml:space="preserve"> NAL units of a coded </w:t>
      </w:r>
      <w:r w:rsidR="00790518" w:rsidRPr="00A52AB8">
        <w:t>atlas frame</w:t>
      </w:r>
      <w:r w:rsidRPr="00A52AB8">
        <w:t xml:space="preserve">. The value of nal_layer_id of a coded </w:t>
      </w:r>
      <w:r w:rsidR="00790518" w:rsidRPr="00A52AB8">
        <w:t>atlas frame</w:t>
      </w:r>
      <w:r w:rsidRPr="00A52AB8">
        <w:t xml:space="preserve"> is the value of the nal_layer_id of the </w:t>
      </w:r>
      <w:r w:rsidR="001A2581" w:rsidRPr="00A52AB8">
        <w:t>ACL</w:t>
      </w:r>
      <w:r w:rsidRPr="00A52AB8">
        <w:t xml:space="preserve"> NAL units of the coded </w:t>
      </w:r>
      <w:r w:rsidR="00790518" w:rsidRPr="00A52AB8">
        <w:t>atlas frame</w:t>
      </w:r>
      <w:r w:rsidRPr="00A52AB8">
        <w:t>.</w:t>
      </w:r>
    </w:p>
    <w:p w14:paraId="3C1D7079" w14:textId="77777777" w:rsidR="00BA2E90" w:rsidRPr="00A52AB8" w:rsidRDefault="00BA2E90">
      <w:r w:rsidRPr="00A52AB8">
        <w:t xml:space="preserve">When nal_unit_type is equal to </w:t>
      </w:r>
      <w:r w:rsidR="001A2581" w:rsidRPr="00A52AB8">
        <w:t>NAL_</w:t>
      </w:r>
      <w:r w:rsidRPr="00A52AB8">
        <w:t>EOB, the value of nal_layer_id shall be equal to 0.</w:t>
      </w:r>
    </w:p>
    <w:p w14:paraId="507094A4" w14:textId="77777777" w:rsidR="00BA2E90" w:rsidRPr="00A52AB8" w:rsidRDefault="00BA2E90">
      <w:r w:rsidRPr="00A52AB8">
        <w:rPr>
          <w:b/>
        </w:rPr>
        <w:t>nal_temporal_id_plus1</w:t>
      </w:r>
      <w:r w:rsidRPr="00A52AB8">
        <w:t xml:space="preserve"> minus 1 specifies a temporal identifier for the NAL unit. The value of nal_temporal_id_plus1 shall not be equal to 0.</w:t>
      </w:r>
    </w:p>
    <w:p w14:paraId="0A034ABF" w14:textId="15A60088" w:rsidR="00BA2E90" w:rsidRPr="00A52AB8" w:rsidRDefault="00BA2E90">
      <w:pPr>
        <w:keepNext/>
      </w:pPr>
      <w:r w:rsidRPr="00A52AB8">
        <w:t xml:space="preserve">The variable </w:t>
      </w:r>
      <w:r w:rsidR="007812ED" w:rsidRPr="00A52AB8">
        <w:t>TemporalID</w:t>
      </w:r>
      <w:r w:rsidRPr="00A52AB8">
        <w:t xml:space="preserve"> is specified as follows:</w:t>
      </w:r>
    </w:p>
    <w:p w14:paraId="3B573BD5" w14:textId="5E6FFCD3" w:rsidR="00BA2E90" w:rsidRPr="00A52AB8" w:rsidRDefault="007B37EE" w:rsidP="00A252B5">
      <w:pPr>
        <w:rPr>
          <w:lang w:eastAsia="ja-JP"/>
        </w:rPr>
      </w:pPr>
      <w:r w:rsidRPr="00A52AB8">
        <w:rPr>
          <w:lang w:eastAsia="ja-JP"/>
        </w:rPr>
        <w:tab/>
      </w:r>
      <w:r w:rsidR="007812ED" w:rsidRPr="00A52AB8">
        <w:rPr>
          <w:lang w:eastAsia="ja-JP"/>
        </w:rPr>
        <w:t>TemporalID</w:t>
      </w:r>
      <w:r w:rsidR="0023721F" w:rsidRPr="00A52AB8">
        <w:rPr>
          <w:lang w:eastAsia="ja-JP"/>
        </w:rPr>
        <w:t> </w:t>
      </w:r>
      <w:r w:rsidR="00D47707" w:rsidRPr="00A52AB8">
        <w:rPr>
          <w:lang w:eastAsia="ja-JP"/>
        </w:rPr>
        <w:t>= </w:t>
      </w:r>
      <w:r w:rsidR="00BA2E90" w:rsidRPr="00A52AB8">
        <w:rPr>
          <w:lang w:eastAsia="ja-JP"/>
        </w:rPr>
        <w:t>nal_temporal_id_plus1 </w:t>
      </w:r>
      <w:r w:rsidR="0067452A" w:rsidRPr="00A52AB8">
        <w:rPr>
          <w:lang w:eastAsia="ja-JP"/>
        </w:rPr>
        <w:t>–</w:t>
      </w:r>
      <w:r w:rsidR="00BA2E90" w:rsidRPr="00A52AB8">
        <w:rPr>
          <w:lang w:eastAsia="ja-JP"/>
        </w:rPr>
        <w:t> 1</w:t>
      </w:r>
      <w:r w:rsidR="00BA2E90" w:rsidRPr="00A52AB8">
        <w:rPr>
          <w:lang w:eastAsia="ja-JP"/>
        </w:rPr>
        <w:tab/>
      </w:r>
      <w:r w:rsidR="00652A4D" w:rsidRPr="00A52AB8">
        <w:rPr>
          <w:lang w:eastAsia="ja-JP"/>
        </w:rPr>
        <w:tab/>
      </w:r>
      <w:r w:rsidR="00BA2E90" w:rsidRPr="00A52AB8">
        <w:rPr>
          <w:lang w:eastAsia="ja-JP"/>
        </w:rPr>
        <w:t>(</w:t>
      </w:r>
      <w:r w:rsidR="00BA2E90" w:rsidRPr="00496A4D">
        <w:rPr>
          <w:lang w:eastAsia="ja-JP"/>
        </w:rPr>
        <w:fldChar w:fldCharType="begin"/>
      </w:r>
      <w:r w:rsidR="00BA2E90" w:rsidRPr="00A52AB8">
        <w:rPr>
          <w:lang w:eastAsia="ja-JP"/>
        </w:rPr>
        <w:instrText xml:space="preserve"> SEQ Equation \* ARABIC </w:instrText>
      </w:r>
      <w:r w:rsidR="00646520" w:rsidRPr="00A52AB8">
        <w:rPr>
          <w:lang w:eastAsia="ja-JP"/>
        </w:rPr>
        <w:instrText>\n</w:instrText>
      </w:r>
      <w:r w:rsidR="00BA2E90" w:rsidRPr="00A52AB8">
        <w:rPr>
          <w:lang w:eastAsia="ja-JP"/>
        </w:rPr>
        <w:instrText xml:space="preserve"> </w:instrText>
      </w:r>
      <w:r w:rsidR="00BA2E90" w:rsidRPr="00496A4D">
        <w:rPr>
          <w:lang w:eastAsia="ja-JP"/>
        </w:rPr>
        <w:fldChar w:fldCharType="separate"/>
      </w:r>
      <w:r w:rsidR="00507A67">
        <w:rPr>
          <w:noProof/>
          <w:lang w:eastAsia="ja-JP"/>
        </w:rPr>
        <w:t>16</w:t>
      </w:r>
      <w:r w:rsidR="00BA2E90" w:rsidRPr="00496A4D">
        <w:rPr>
          <w:lang w:eastAsia="ja-JP"/>
        </w:rPr>
        <w:fldChar w:fldCharType="end"/>
      </w:r>
      <w:r w:rsidR="00BA2E90" w:rsidRPr="00A52AB8">
        <w:rPr>
          <w:lang w:eastAsia="ja-JP"/>
        </w:rPr>
        <w:t>)</w:t>
      </w:r>
    </w:p>
    <w:p w14:paraId="1C9F27EF" w14:textId="44769B30" w:rsidR="00BA2E90" w:rsidRPr="00A52AB8" w:rsidRDefault="00BA2E90">
      <w:r w:rsidRPr="00A52AB8">
        <w:t xml:space="preserve">When nal_unit_type is in the range of </w:t>
      </w:r>
      <w:r w:rsidR="001A2581" w:rsidRPr="00A52AB8">
        <w:t>NAL_</w:t>
      </w:r>
      <w:r w:rsidRPr="00A52AB8">
        <w:rPr>
          <w:lang w:eastAsia="ko-KR"/>
        </w:rPr>
        <w:t>BLA_W_LP</w:t>
      </w:r>
      <w:r w:rsidRPr="00A52AB8">
        <w:t xml:space="preserve"> to </w:t>
      </w:r>
      <w:r w:rsidR="001A2581" w:rsidRPr="00A52AB8">
        <w:t>NAL_</w:t>
      </w:r>
      <w:r w:rsidRPr="00A52AB8">
        <w:t>RSV_IRAP_</w:t>
      </w:r>
      <w:r w:rsidR="001A2581" w:rsidRPr="00A52AB8">
        <w:t>ACL</w:t>
      </w:r>
      <w:r w:rsidRPr="00A52AB8">
        <w:t>2</w:t>
      </w:r>
      <w:r w:rsidR="007774A5" w:rsidRPr="00A52AB8">
        <w:t>9</w:t>
      </w:r>
      <w:r w:rsidRPr="00A52AB8">
        <w:t>, inclusive, i.e., the</w:t>
      </w:r>
      <w:r w:rsidRPr="00A52AB8" w:rsidDel="00C44E71">
        <w:t xml:space="preserve"> </w:t>
      </w:r>
      <w:r w:rsidRPr="00A52AB8">
        <w:t xml:space="preserve">coded </w:t>
      </w:r>
      <w:r w:rsidR="00B8075E" w:rsidRPr="00A52AB8">
        <w:t>tile</w:t>
      </w:r>
      <w:r w:rsidRPr="00A52AB8">
        <w:t xml:space="preserve"> belongs to an IRAP </w:t>
      </w:r>
      <w:r w:rsidR="003D47FD" w:rsidRPr="00A52AB8">
        <w:t xml:space="preserve">coded </w:t>
      </w:r>
      <w:r w:rsidR="00790518" w:rsidRPr="00A52AB8">
        <w:t>atlas frame</w:t>
      </w:r>
      <w:r w:rsidRPr="00A52AB8">
        <w:t xml:space="preserve">, </w:t>
      </w:r>
      <w:r w:rsidR="007812ED" w:rsidRPr="00A52AB8">
        <w:t>TemporalID</w:t>
      </w:r>
      <w:r w:rsidRPr="00A52AB8">
        <w:t xml:space="preserve"> shall be equal to 0.</w:t>
      </w:r>
    </w:p>
    <w:p w14:paraId="20CBAF3A" w14:textId="394BECD5" w:rsidR="00BA2E90" w:rsidRPr="00A52AB8" w:rsidRDefault="00BA2E90">
      <w:r w:rsidRPr="00A52AB8">
        <w:t xml:space="preserve">When nal_unit_type is equal to </w:t>
      </w:r>
      <w:r w:rsidR="001A2581" w:rsidRPr="00A52AB8">
        <w:t>NAL_</w:t>
      </w:r>
      <w:r w:rsidRPr="00A52AB8">
        <w:t>TSA</w:t>
      </w:r>
      <w:r w:rsidR="005776FB" w:rsidRPr="00A52AB8">
        <w:t>_</w:t>
      </w:r>
      <w:r w:rsidR="00027399" w:rsidRPr="00A52AB8">
        <w:t>R or NAL_TSA_N</w:t>
      </w:r>
      <w:r w:rsidRPr="00A52AB8">
        <w:t xml:space="preserve">, </w:t>
      </w:r>
      <w:r w:rsidR="007812ED" w:rsidRPr="00A52AB8">
        <w:t>TemporalID</w:t>
      </w:r>
      <w:r w:rsidRPr="00A52AB8">
        <w:t xml:space="preserve"> shall not be equal to 0.</w:t>
      </w:r>
    </w:p>
    <w:p w14:paraId="410E0EC6" w14:textId="30C96E7D" w:rsidR="00BA2E90" w:rsidRPr="00A52AB8" w:rsidRDefault="00BA2E90">
      <w:r w:rsidRPr="00A52AB8">
        <w:t xml:space="preserve">When nal_layer_id is equal to 0 and nal_unit_type is equal to </w:t>
      </w:r>
      <w:r w:rsidR="001A2581" w:rsidRPr="00A52AB8">
        <w:t>NAL_</w:t>
      </w:r>
      <w:r w:rsidRPr="00A52AB8">
        <w:t>STSA</w:t>
      </w:r>
      <w:r w:rsidR="00027399" w:rsidRPr="00A52AB8">
        <w:t>_R or NAL_STSA_N</w:t>
      </w:r>
      <w:r w:rsidRPr="00A52AB8">
        <w:t xml:space="preserve">, </w:t>
      </w:r>
      <w:r w:rsidR="007812ED" w:rsidRPr="00A52AB8">
        <w:t>TemporalID</w:t>
      </w:r>
      <w:r w:rsidRPr="00A52AB8">
        <w:t xml:space="preserve"> shall not be equal to 0.</w:t>
      </w:r>
    </w:p>
    <w:p w14:paraId="53599F70" w14:textId="5B005F3D" w:rsidR="00BA2E90" w:rsidRPr="00A52AB8" w:rsidRDefault="00BA2E90">
      <w:r w:rsidRPr="00A52AB8">
        <w:t xml:space="preserve">The value of </w:t>
      </w:r>
      <w:r w:rsidR="007812ED" w:rsidRPr="00A52AB8">
        <w:t>TemporalID</w:t>
      </w:r>
      <w:r w:rsidRPr="00A52AB8">
        <w:t xml:space="preserve"> shall be the same for all </w:t>
      </w:r>
      <w:r w:rsidR="001A2581" w:rsidRPr="00A52AB8">
        <w:t>ACL</w:t>
      </w:r>
      <w:r w:rsidRPr="00A52AB8">
        <w:t xml:space="preserve"> NAL units of an access unit. The value of </w:t>
      </w:r>
      <w:r w:rsidR="007812ED" w:rsidRPr="00A52AB8">
        <w:t>TemporalID</w:t>
      </w:r>
      <w:r w:rsidRPr="00A52AB8">
        <w:t xml:space="preserve"> of a coded </w:t>
      </w:r>
      <w:r w:rsidR="00790518" w:rsidRPr="00A52AB8">
        <w:t>atlas frame</w:t>
      </w:r>
      <w:r w:rsidRPr="00A52AB8">
        <w:t xml:space="preserve"> or an access unit is the value of the </w:t>
      </w:r>
      <w:r w:rsidR="007812ED" w:rsidRPr="00A52AB8">
        <w:t>TemporalID</w:t>
      </w:r>
      <w:r w:rsidRPr="00A52AB8">
        <w:t xml:space="preserve"> of the </w:t>
      </w:r>
      <w:r w:rsidR="001A2581" w:rsidRPr="00A52AB8">
        <w:t>ACL</w:t>
      </w:r>
      <w:r w:rsidRPr="00A52AB8">
        <w:t xml:space="preserve"> NAL units of the coded </w:t>
      </w:r>
      <w:r w:rsidR="00790518" w:rsidRPr="00A52AB8">
        <w:t>atlas frame</w:t>
      </w:r>
      <w:r w:rsidRPr="00A52AB8">
        <w:t xml:space="preserve"> or the access unit. The value of </w:t>
      </w:r>
      <w:r w:rsidR="007812ED" w:rsidRPr="00A52AB8">
        <w:t>TemporalID</w:t>
      </w:r>
      <w:r w:rsidRPr="00A52AB8">
        <w:t xml:space="preserve"> of a sub-layer representation is the greatest value of </w:t>
      </w:r>
      <w:r w:rsidR="007812ED" w:rsidRPr="00A52AB8">
        <w:t>TemporalID</w:t>
      </w:r>
      <w:r w:rsidRPr="00A52AB8">
        <w:t xml:space="preserve"> of all </w:t>
      </w:r>
      <w:r w:rsidR="001A2581" w:rsidRPr="00A52AB8">
        <w:t>ACL</w:t>
      </w:r>
      <w:r w:rsidRPr="00A52AB8">
        <w:t xml:space="preserve"> NAL units in the sub-layer representation.</w:t>
      </w:r>
    </w:p>
    <w:p w14:paraId="30467FE7" w14:textId="3852801A" w:rsidR="00BA2E90" w:rsidRPr="00A52AB8" w:rsidRDefault="00BA2E90">
      <w:r w:rsidRPr="00A52AB8">
        <w:t xml:space="preserve">The value of </w:t>
      </w:r>
      <w:r w:rsidR="007812ED" w:rsidRPr="00A52AB8">
        <w:t>TemporalID</w:t>
      </w:r>
      <w:r w:rsidRPr="00A52AB8">
        <w:t xml:space="preserve"> for non-</w:t>
      </w:r>
      <w:r w:rsidR="001A2581" w:rsidRPr="00A52AB8">
        <w:t>ACL</w:t>
      </w:r>
      <w:r w:rsidRPr="00A52AB8">
        <w:t xml:space="preserve"> NAL units is constrained as follows:</w:t>
      </w:r>
    </w:p>
    <w:p w14:paraId="1BA59032" w14:textId="0B8BDF30" w:rsidR="00BA2E90" w:rsidRPr="00A52AB8" w:rsidRDefault="00BA2E90" w:rsidP="00007BE2">
      <w:pPr>
        <w:tabs>
          <w:tab w:val="clear" w:pos="403"/>
          <w:tab w:val="left" w:pos="400"/>
        </w:tabs>
        <w:ind w:left="806" w:hanging="403"/>
      </w:pPr>
      <w:r w:rsidRPr="00A52AB8">
        <w:t>–</w:t>
      </w:r>
      <w:r w:rsidRPr="00A52AB8">
        <w:tab/>
        <w:t xml:space="preserve">If nal_unit_type is equal to </w:t>
      </w:r>
      <w:r w:rsidR="003B75E9" w:rsidRPr="00A52AB8">
        <w:t>NAL_A</w:t>
      </w:r>
      <w:r w:rsidRPr="00A52AB8">
        <w:t xml:space="preserve">SPS, </w:t>
      </w:r>
      <w:r w:rsidR="007812ED" w:rsidRPr="00A52AB8">
        <w:t>TemporalID</w:t>
      </w:r>
      <w:r w:rsidRPr="00A52AB8">
        <w:t xml:space="preserve"> shall be equal to 0 and the </w:t>
      </w:r>
      <w:r w:rsidR="007812ED" w:rsidRPr="00A52AB8">
        <w:t>TemporalID</w:t>
      </w:r>
      <w:r w:rsidRPr="00A52AB8">
        <w:t xml:space="preserve"> of the access unit containing the NAL unit shall be equal to 0.</w:t>
      </w:r>
    </w:p>
    <w:p w14:paraId="39998862" w14:textId="303FEE0D" w:rsidR="00BA2E90" w:rsidRPr="00A52AB8" w:rsidRDefault="00BA2E90" w:rsidP="00007BE2">
      <w:pPr>
        <w:tabs>
          <w:tab w:val="clear" w:pos="403"/>
          <w:tab w:val="left" w:pos="400"/>
        </w:tabs>
        <w:ind w:left="806" w:hanging="403"/>
      </w:pPr>
      <w:r w:rsidRPr="00A52AB8">
        <w:t>–</w:t>
      </w:r>
      <w:r w:rsidRPr="00A52AB8">
        <w:tab/>
        <w:t>Otherwise</w:t>
      </w:r>
      <w:r w:rsidR="0067452A" w:rsidRPr="00A52AB8">
        <w:t>,</w:t>
      </w:r>
      <w:r w:rsidRPr="00A52AB8">
        <w:t xml:space="preserve"> if nal_unit_type is equal to </w:t>
      </w:r>
      <w:r w:rsidR="003B75E9" w:rsidRPr="00A52AB8">
        <w:t>NAL_</w:t>
      </w:r>
      <w:r w:rsidRPr="00A52AB8">
        <w:t xml:space="preserve">EOS or </w:t>
      </w:r>
      <w:r w:rsidR="003B75E9" w:rsidRPr="00A52AB8">
        <w:t>NAL_</w:t>
      </w:r>
      <w:r w:rsidRPr="00A52AB8">
        <w:t xml:space="preserve">EOB, </w:t>
      </w:r>
      <w:r w:rsidR="007812ED" w:rsidRPr="00A52AB8">
        <w:t>TemporalID</w:t>
      </w:r>
      <w:r w:rsidRPr="00A52AB8">
        <w:t xml:space="preserve"> shall be equal to 0.</w:t>
      </w:r>
    </w:p>
    <w:p w14:paraId="5211F69C" w14:textId="61AE3F20" w:rsidR="00BA2E90" w:rsidRPr="00A52AB8" w:rsidRDefault="00BA2E90" w:rsidP="00007BE2">
      <w:pPr>
        <w:tabs>
          <w:tab w:val="clear" w:pos="403"/>
          <w:tab w:val="left" w:pos="400"/>
        </w:tabs>
        <w:ind w:left="806" w:hanging="403"/>
      </w:pPr>
      <w:r w:rsidRPr="00A52AB8">
        <w:t>–</w:t>
      </w:r>
      <w:r w:rsidRPr="00A52AB8">
        <w:tab/>
        <w:t xml:space="preserve">Otherwise, if nal_unit_type is equal to </w:t>
      </w:r>
      <w:r w:rsidR="003B75E9" w:rsidRPr="00A52AB8">
        <w:t>NAL_</w:t>
      </w:r>
      <w:r w:rsidRPr="00A52AB8">
        <w:t>AUD</w:t>
      </w:r>
      <w:r w:rsidR="003B75E9" w:rsidRPr="00A52AB8">
        <w:t xml:space="preserve">, </w:t>
      </w:r>
      <w:r w:rsidR="00A46EAC" w:rsidRPr="00A52AB8">
        <w:t>NAL_</w:t>
      </w:r>
      <w:r w:rsidR="00FD2C5E" w:rsidRPr="00A52AB8">
        <w:t>V3C_</w:t>
      </w:r>
      <w:r w:rsidR="00A46EAC" w:rsidRPr="00A52AB8">
        <w:t>AUD</w:t>
      </w:r>
      <w:r w:rsidR="003B75E9" w:rsidRPr="00A52AB8">
        <w:t>,</w:t>
      </w:r>
      <w:r w:rsidRPr="00A52AB8">
        <w:t xml:space="preserve"> or </w:t>
      </w:r>
      <w:r w:rsidR="003B75E9" w:rsidRPr="00A52AB8">
        <w:t>NAL_</w:t>
      </w:r>
      <w:r w:rsidRPr="00A52AB8">
        <w:t xml:space="preserve">FD, </w:t>
      </w:r>
      <w:r w:rsidR="007812ED" w:rsidRPr="00A52AB8">
        <w:t>TemporalID</w:t>
      </w:r>
      <w:r w:rsidRPr="00A52AB8">
        <w:t xml:space="preserve"> shall be equal to the </w:t>
      </w:r>
      <w:r w:rsidR="007812ED" w:rsidRPr="00A52AB8">
        <w:t>TemporalID</w:t>
      </w:r>
      <w:r w:rsidRPr="00A52AB8">
        <w:t xml:space="preserve"> of the access unit containing the NAL unit.</w:t>
      </w:r>
    </w:p>
    <w:p w14:paraId="162EA4CD" w14:textId="69C7A754" w:rsidR="00BA2E90" w:rsidRPr="00A52AB8" w:rsidRDefault="00BA2E90" w:rsidP="00007BE2">
      <w:pPr>
        <w:tabs>
          <w:tab w:val="clear" w:pos="403"/>
          <w:tab w:val="left" w:pos="400"/>
        </w:tabs>
        <w:ind w:left="806" w:hanging="403"/>
      </w:pPr>
      <w:r w:rsidRPr="00A52AB8">
        <w:t>–</w:t>
      </w:r>
      <w:r w:rsidRPr="00A52AB8">
        <w:tab/>
        <w:t xml:space="preserve">Otherwise, </w:t>
      </w:r>
      <w:r w:rsidR="007812ED" w:rsidRPr="00A52AB8">
        <w:t>TemporalID</w:t>
      </w:r>
      <w:r w:rsidRPr="00A52AB8">
        <w:t xml:space="preserve"> shall be greater than or equal to the </w:t>
      </w:r>
      <w:r w:rsidR="007812ED" w:rsidRPr="00A52AB8">
        <w:t>TemporalID</w:t>
      </w:r>
      <w:r w:rsidRPr="00A52AB8">
        <w:t xml:space="preserve"> of the access unit containing the NAL unit.</w:t>
      </w:r>
    </w:p>
    <w:p w14:paraId="1675160E" w14:textId="6A948D01" w:rsidR="00BA2E90" w:rsidRPr="00A52AB8" w:rsidRDefault="00BA2E90">
      <w:pPr>
        <w:pStyle w:val="Note1"/>
        <w:numPr>
          <w:ilvl w:val="12"/>
          <w:numId w:val="0"/>
        </w:numPr>
        <w:ind w:left="284"/>
        <w:rPr>
          <w:rFonts w:ascii="Cambria" w:hAnsi="Cambria"/>
        </w:rPr>
      </w:pPr>
      <w:r w:rsidRPr="00A52AB8">
        <w:rPr>
          <w:rFonts w:ascii="Cambria" w:hAnsi="Cambria"/>
        </w:rPr>
        <w:t>NOTE </w:t>
      </w:r>
      <w:r w:rsidR="00640C51" w:rsidRPr="00496A4D">
        <w:rPr>
          <w:rFonts w:ascii="Cambria" w:hAnsi="Cambria"/>
        </w:rPr>
        <w:fldChar w:fldCharType="begin"/>
      </w:r>
      <w:r w:rsidR="00640C51" w:rsidRPr="00A52AB8">
        <w:rPr>
          <w:rFonts w:ascii="Cambria" w:hAnsi="Cambria"/>
        </w:rPr>
        <w:instrText xml:space="preserve"> SEQ NoteCounter \s 9 \* MERGEFORMAT </w:instrText>
      </w:r>
      <w:r w:rsidR="00640C51" w:rsidRPr="00496A4D">
        <w:rPr>
          <w:rFonts w:ascii="Cambria" w:hAnsi="Cambria"/>
        </w:rPr>
        <w:fldChar w:fldCharType="separate"/>
      </w:r>
      <w:r w:rsidR="00507A67">
        <w:rPr>
          <w:rFonts w:ascii="Cambria" w:hAnsi="Cambria"/>
          <w:noProof/>
        </w:rPr>
        <w:t>11</w:t>
      </w:r>
      <w:r w:rsidR="00640C51" w:rsidRPr="00496A4D">
        <w:rPr>
          <w:rFonts w:ascii="Cambria" w:hAnsi="Cambria"/>
        </w:rPr>
        <w:fldChar w:fldCharType="end"/>
      </w:r>
      <w:r w:rsidRPr="00A52AB8">
        <w:rPr>
          <w:rFonts w:ascii="Cambria" w:hAnsi="Cambria"/>
        </w:rPr>
        <w:t> – When the NAL unit is a non-</w:t>
      </w:r>
      <w:r w:rsidR="001A2581" w:rsidRPr="00A52AB8">
        <w:rPr>
          <w:rFonts w:ascii="Cambria" w:hAnsi="Cambria"/>
        </w:rPr>
        <w:t>ACL</w:t>
      </w:r>
      <w:r w:rsidRPr="00A52AB8">
        <w:rPr>
          <w:rFonts w:ascii="Cambria" w:hAnsi="Cambria"/>
        </w:rPr>
        <w:t xml:space="preserve"> NAL unit, the value of </w:t>
      </w:r>
      <w:r w:rsidR="007812ED" w:rsidRPr="00A52AB8">
        <w:rPr>
          <w:rFonts w:ascii="Cambria" w:hAnsi="Cambria"/>
        </w:rPr>
        <w:t>TemporalID</w:t>
      </w:r>
      <w:r w:rsidRPr="00A52AB8">
        <w:rPr>
          <w:rFonts w:ascii="Cambria" w:hAnsi="Cambria"/>
        </w:rPr>
        <w:t xml:space="preserve"> is equal to the minimum value of the </w:t>
      </w:r>
      <w:r w:rsidR="007812ED" w:rsidRPr="00A52AB8">
        <w:rPr>
          <w:rFonts w:ascii="Cambria" w:hAnsi="Cambria"/>
        </w:rPr>
        <w:t>TemporalID</w:t>
      </w:r>
      <w:r w:rsidRPr="00A52AB8">
        <w:rPr>
          <w:rFonts w:ascii="Cambria" w:hAnsi="Cambria"/>
        </w:rPr>
        <w:t xml:space="preserve"> values of all access units to which the non-</w:t>
      </w:r>
      <w:r w:rsidR="001A2581" w:rsidRPr="00A52AB8">
        <w:rPr>
          <w:rFonts w:ascii="Cambria" w:hAnsi="Cambria"/>
        </w:rPr>
        <w:t>ACL</w:t>
      </w:r>
      <w:r w:rsidRPr="00A52AB8">
        <w:rPr>
          <w:rFonts w:ascii="Cambria" w:hAnsi="Cambria"/>
        </w:rPr>
        <w:t xml:space="preserve"> NAL unit applies. When nal_unit_type is equal to </w:t>
      </w:r>
      <w:r w:rsidR="003B75E9" w:rsidRPr="00A52AB8">
        <w:rPr>
          <w:rFonts w:ascii="Cambria" w:hAnsi="Cambria"/>
        </w:rPr>
        <w:t>NAL_AF</w:t>
      </w:r>
      <w:r w:rsidRPr="00A52AB8">
        <w:rPr>
          <w:rFonts w:ascii="Cambria" w:hAnsi="Cambria"/>
        </w:rPr>
        <w:t xml:space="preserve">PS, </w:t>
      </w:r>
      <w:r w:rsidR="007812ED" w:rsidRPr="00A52AB8">
        <w:rPr>
          <w:rFonts w:ascii="Cambria" w:hAnsi="Cambria"/>
        </w:rPr>
        <w:t>TemporalID</w:t>
      </w:r>
      <w:r w:rsidRPr="00A52AB8">
        <w:rPr>
          <w:rFonts w:ascii="Cambria" w:hAnsi="Cambria"/>
        </w:rPr>
        <w:t xml:space="preserve"> </w:t>
      </w:r>
      <w:r w:rsidR="007A3DCD" w:rsidRPr="00A52AB8">
        <w:rPr>
          <w:rFonts w:ascii="Cambria" w:hAnsi="Cambria"/>
        </w:rPr>
        <w:t xml:space="preserve">can </w:t>
      </w:r>
      <w:r w:rsidRPr="00A52AB8">
        <w:rPr>
          <w:rFonts w:ascii="Cambria" w:hAnsi="Cambria"/>
        </w:rPr>
        <w:t xml:space="preserve">be greater than or equal to the </w:t>
      </w:r>
      <w:r w:rsidR="007812ED" w:rsidRPr="00A52AB8">
        <w:rPr>
          <w:rFonts w:ascii="Cambria" w:hAnsi="Cambria"/>
        </w:rPr>
        <w:t>TemporalID</w:t>
      </w:r>
      <w:r w:rsidRPr="00A52AB8">
        <w:rPr>
          <w:rFonts w:ascii="Cambria" w:hAnsi="Cambria"/>
        </w:rPr>
        <w:t xml:space="preserve"> of the containing access unit, as all </w:t>
      </w:r>
      <w:r w:rsidR="00790518" w:rsidRPr="00A52AB8">
        <w:rPr>
          <w:rFonts w:ascii="Cambria" w:hAnsi="Cambria"/>
          <w:bCs/>
        </w:rPr>
        <w:t>atlas frame</w:t>
      </w:r>
      <w:r w:rsidRPr="00A52AB8">
        <w:rPr>
          <w:rFonts w:ascii="Cambria" w:hAnsi="Cambria"/>
          <w:bCs/>
        </w:rPr>
        <w:t xml:space="preserve"> parameter sets</w:t>
      </w:r>
      <w:r w:rsidRPr="00A52AB8">
        <w:rPr>
          <w:rFonts w:ascii="Cambria" w:hAnsi="Cambria"/>
        </w:rPr>
        <w:t xml:space="preserve"> (</w:t>
      </w:r>
      <w:r w:rsidR="003B75E9" w:rsidRPr="00A52AB8">
        <w:rPr>
          <w:rFonts w:ascii="Cambria" w:hAnsi="Cambria"/>
        </w:rPr>
        <w:t>AF</w:t>
      </w:r>
      <w:r w:rsidRPr="00A52AB8">
        <w:rPr>
          <w:rFonts w:ascii="Cambria" w:hAnsi="Cambria"/>
        </w:rPr>
        <w:t xml:space="preserve">PSs) </w:t>
      </w:r>
      <w:r w:rsidR="007A3DCD" w:rsidRPr="00A52AB8">
        <w:rPr>
          <w:rFonts w:ascii="Cambria" w:hAnsi="Cambria"/>
        </w:rPr>
        <w:t xml:space="preserve">can </w:t>
      </w:r>
      <w:r w:rsidRPr="00A52AB8">
        <w:rPr>
          <w:rFonts w:ascii="Cambria" w:hAnsi="Cambria"/>
        </w:rPr>
        <w:t xml:space="preserve">be included in the beginning of a bitstream, wherein the first coded </w:t>
      </w:r>
      <w:r w:rsidR="00790518" w:rsidRPr="00A52AB8">
        <w:rPr>
          <w:rFonts w:ascii="Cambria" w:hAnsi="Cambria"/>
        </w:rPr>
        <w:t>atlas frame</w:t>
      </w:r>
      <w:r w:rsidRPr="00A52AB8">
        <w:rPr>
          <w:rFonts w:ascii="Cambria" w:hAnsi="Cambria"/>
        </w:rPr>
        <w:t xml:space="preserve"> has </w:t>
      </w:r>
      <w:r w:rsidR="007812ED" w:rsidRPr="00A52AB8">
        <w:rPr>
          <w:rFonts w:ascii="Cambria" w:hAnsi="Cambria"/>
        </w:rPr>
        <w:t>TemporalID</w:t>
      </w:r>
      <w:r w:rsidRPr="00A52AB8">
        <w:rPr>
          <w:rFonts w:ascii="Cambria" w:hAnsi="Cambria"/>
        </w:rPr>
        <w:t xml:space="preserve"> equal to 0. When nal_unit_type is equal to </w:t>
      </w:r>
      <w:r w:rsidR="003B75E9" w:rsidRPr="00A52AB8">
        <w:rPr>
          <w:rFonts w:ascii="Cambria" w:hAnsi="Cambria"/>
        </w:rPr>
        <w:t>NAL_</w:t>
      </w:r>
      <w:r w:rsidRPr="00A52AB8">
        <w:rPr>
          <w:rFonts w:ascii="Cambria" w:hAnsi="Cambria"/>
        </w:rPr>
        <w:t>PREFIX_</w:t>
      </w:r>
      <w:r w:rsidR="00E55C92" w:rsidRPr="00A52AB8">
        <w:rPr>
          <w:rFonts w:ascii="Cambria" w:hAnsi="Cambria"/>
        </w:rPr>
        <w:t>N</w:t>
      </w:r>
      <w:r w:rsidRPr="00A52AB8">
        <w:rPr>
          <w:rFonts w:ascii="Cambria" w:hAnsi="Cambria"/>
        </w:rPr>
        <w:t>SEI</w:t>
      </w:r>
      <w:r w:rsidR="00E55C92" w:rsidRPr="00A52AB8">
        <w:rPr>
          <w:rFonts w:ascii="Cambria" w:hAnsi="Cambria"/>
        </w:rPr>
        <w:t>, NAL_PREFIX_ESEI,</w:t>
      </w:r>
      <w:r w:rsidRPr="00A52AB8">
        <w:rPr>
          <w:rFonts w:ascii="Cambria" w:hAnsi="Cambria"/>
        </w:rPr>
        <w:t xml:space="preserve"> </w:t>
      </w:r>
      <w:r w:rsidR="00E55C92" w:rsidRPr="00A52AB8">
        <w:rPr>
          <w:rFonts w:ascii="Cambria" w:hAnsi="Cambria"/>
        </w:rPr>
        <w:t xml:space="preserve">NAL_SUFFIX_NSEI, </w:t>
      </w:r>
      <w:r w:rsidRPr="00A52AB8">
        <w:rPr>
          <w:rFonts w:ascii="Cambria" w:hAnsi="Cambria"/>
        </w:rPr>
        <w:t xml:space="preserve">or </w:t>
      </w:r>
      <w:r w:rsidR="003B75E9" w:rsidRPr="00A52AB8">
        <w:rPr>
          <w:rFonts w:ascii="Cambria" w:hAnsi="Cambria"/>
        </w:rPr>
        <w:t>NAL_</w:t>
      </w:r>
      <w:r w:rsidRPr="00A52AB8">
        <w:rPr>
          <w:rFonts w:ascii="Cambria" w:hAnsi="Cambria"/>
        </w:rPr>
        <w:t>SUFFIX_</w:t>
      </w:r>
      <w:r w:rsidR="00E55C92" w:rsidRPr="00A52AB8">
        <w:rPr>
          <w:rFonts w:ascii="Cambria" w:hAnsi="Cambria"/>
        </w:rPr>
        <w:t>E</w:t>
      </w:r>
      <w:r w:rsidRPr="00A52AB8">
        <w:rPr>
          <w:rFonts w:ascii="Cambria" w:hAnsi="Cambria"/>
        </w:rPr>
        <w:t xml:space="preserve">SEI, </w:t>
      </w:r>
      <w:r w:rsidR="007812ED" w:rsidRPr="00A52AB8">
        <w:rPr>
          <w:rFonts w:ascii="Cambria" w:hAnsi="Cambria"/>
        </w:rPr>
        <w:t>TemporalID</w:t>
      </w:r>
      <w:r w:rsidRPr="00A52AB8">
        <w:rPr>
          <w:rFonts w:ascii="Cambria" w:hAnsi="Cambria"/>
        </w:rPr>
        <w:t xml:space="preserve"> </w:t>
      </w:r>
      <w:r w:rsidR="00500721" w:rsidRPr="00A52AB8">
        <w:rPr>
          <w:rFonts w:ascii="Cambria" w:hAnsi="Cambria"/>
        </w:rPr>
        <w:t xml:space="preserve">can </w:t>
      </w:r>
      <w:r w:rsidRPr="00A52AB8">
        <w:rPr>
          <w:rFonts w:ascii="Cambria" w:hAnsi="Cambria"/>
        </w:rPr>
        <w:t xml:space="preserve">be greater than or equal to the </w:t>
      </w:r>
      <w:r w:rsidR="007812ED" w:rsidRPr="00A52AB8">
        <w:rPr>
          <w:rFonts w:ascii="Cambria" w:hAnsi="Cambria"/>
        </w:rPr>
        <w:t>TemporalID</w:t>
      </w:r>
      <w:r w:rsidRPr="00A52AB8">
        <w:rPr>
          <w:rFonts w:ascii="Cambria" w:hAnsi="Cambria"/>
        </w:rPr>
        <w:t xml:space="preserve"> of the containing access unit, as an SEI NAL unit </w:t>
      </w:r>
      <w:r w:rsidR="007A3DCD" w:rsidRPr="00A52AB8">
        <w:rPr>
          <w:rFonts w:ascii="Cambria" w:hAnsi="Cambria"/>
        </w:rPr>
        <w:t xml:space="preserve">can </w:t>
      </w:r>
      <w:r w:rsidRPr="00A52AB8">
        <w:rPr>
          <w:rFonts w:ascii="Cambria" w:hAnsi="Cambria"/>
        </w:rPr>
        <w:t>contain information, e.g., in a buffering period SEI message or</w:t>
      </w:r>
      <w:r w:rsidR="00814813" w:rsidRPr="00A52AB8">
        <w:rPr>
          <w:rFonts w:ascii="Cambria" w:hAnsi="Cambria"/>
        </w:rPr>
        <w:t xml:space="preserve"> an atlas</w:t>
      </w:r>
      <w:r w:rsidR="00790518" w:rsidRPr="00A52AB8">
        <w:rPr>
          <w:rFonts w:ascii="Cambria" w:hAnsi="Cambria"/>
        </w:rPr>
        <w:t xml:space="preserve"> frame</w:t>
      </w:r>
      <w:r w:rsidRPr="00A52AB8">
        <w:rPr>
          <w:rFonts w:ascii="Cambria" w:hAnsi="Cambria"/>
        </w:rPr>
        <w:t xml:space="preserve"> timing SEI message, that applies to a bitstream subset that includes access units for which the </w:t>
      </w:r>
      <w:r w:rsidR="007812ED" w:rsidRPr="00A52AB8">
        <w:rPr>
          <w:rFonts w:ascii="Cambria" w:hAnsi="Cambria"/>
        </w:rPr>
        <w:t>TemporalID</w:t>
      </w:r>
      <w:r w:rsidRPr="00A52AB8">
        <w:rPr>
          <w:rFonts w:ascii="Cambria" w:hAnsi="Cambria"/>
        </w:rPr>
        <w:t xml:space="preserve"> values are greater than the </w:t>
      </w:r>
      <w:r w:rsidR="007812ED" w:rsidRPr="00A52AB8">
        <w:rPr>
          <w:rFonts w:ascii="Cambria" w:hAnsi="Cambria"/>
        </w:rPr>
        <w:t>TemporalID</w:t>
      </w:r>
      <w:r w:rsidRPr="00A52AB8">
        <w:rPr>
          <w:rFonts w:ascii="Cambria" w:hAnsi="Cambria"/>
        </w:rPr>
        <w:t xml:space="preserve"> of the access unit containing the SEI NAL unit.</w:t>
      </w:r>
    </w:p>
    <w:p w14:paraId="24DBD8CD" w14:textId="77777777" w:rsidR="000B42EC" w:rsidRPr="00A52AB8" w:rsidRDefault="000B42EC" w:rsidP="005C26E9">
      <w:pPr>
        <w:pStyle w:val="Heading4"/>
      </w:pPr>
      <w:bookmarkStart w:id="1113" w:name="_Ref36022522"/>
      <w:bookmarkStart w:id="1114" w:name="_Toc77680402"/>
      <w:bookmarkStart w:id="1115" w:name="_Toc226456556"/>
      <w:bookmarkStart w:id="1116" w:name="_Toc248045248"/>
      <w:bookmarkStart w:id="1117" w:name="_Toc287363775"/>
      <w:bookmarkStart w:id="1118" w:name="_Toc311216922"/>
      <w:bookmarkStart w:id="1119" w:name="_Toc317198743"/>
      <w:bookmarkStart w:id="1120" w:name="_Toc415475857"/>
      <w:bookmarkStart w:id="1121" w:name="_Toc423599132"/>
      <w:bookmarkStart w:id="1122" w:name="_Toc423601636"/>
      <w:r w:rsidRPr="00A52AB8">
        <w:lastRenderedPageBreak/>
        <w:t xml:space="preserve">Order of NAL units </w:t>
      </w:r>
      <w:r w:rsidR="00C152E2" w:rsidRPr="00A52AB8">
        <w:t xml:space="preserve">and atlas frames, </w:t>
      </w:r>
      <w:r w:rsidRPr="00A52AB8">
        <w:t>and association to coded atlas frames, access units</w:t>
      </w:r>
      <w:r w:rsidR="0053494A" w:rsidRPr="00A52AB8">
        <w:t>,</w:t>
      </w:r>
      <w:r w:rsidRPr="00A52AB8">
        <w:t xml:space="preserve"> and coded atlas sequences</w:t>
      </w:r>
      <w:bookmarkStart w:id="1123" w:name="_Ref398986512"/>
      <w:bookmarkEnd w:id="1113"/>
      <w:bookmarkEnd w:id="1114"/>
      <w:bookmarkEnd w:id="1115"/>
      <w:bookmarkEnd w:id="1116"/>
      <w:bookmarkEnd w:id="1117"/>
      <w:bookmarkEnd w:id="1118"/>
      <w:bookmarkEnd w:id="1119"/>
      <w:bookmarkEnd w:id="1120"/>
      <w:bookmarkEnd w:id="1121"/>
      <w:bookmarkEnd w:id="1122"/>
    </w:p>
    <w:p w14:paraId="2118EF6A" w14:textId="77777777" w:rsidR="000B42EC" w:rsidRPr="00A52AB8" w:rsidRDefault="000B42EC">
      <w:pPr>
        <w:pStyle w:val="Heading5"/>
      </w:pPr>
      <w:r w:rsidRPr="00A52AB8">
        <w:t>General</w:t>
      </w:r>
      <w:bookmarkEnd w:id="1123"/>
    </w:p>
    <w:p w14:paraId="54A57F29" w14:textId="77777777" w:rsidR="000B42EC" w:rsidRPr="00A52AB8" w:rsidRDefault="000B42EC">
      <w:r w:rsidRPr="00A52AB8">
        <w:t xml:space="preserve">This </w:t>
      </w:r>
      <w:r w:rsidR="00406A86" w:rsidRPr="00A52AB8">
        <w:t>subclause</w:t>
      </w:r>
      <w:r w:rsidRPr="00A52AB8">
        <w:t xml:space="preserve"> specifies constraints on the order of NAL units </w:t>
      </w:r>
      <w:r w:rsidR="006F31CC" w:rsidRPr="00A52AB8">
        <w:t xml:space="preserve">and atlas frames </w:t>
      </w:r>
      <w:r w:rsidRPr="00A52AB8">
        <w:t xml:space="preserve">in the </w:t>
      </w:r>
      <w:r w:rsidR="006F31CC" w:rsidRPr="00A52AB8">
        <w:t>atlas sub-</w:t>
      </w:r>
      <w:r w:rsidRPr="00A52AB8">
        <w:t>bitstream.</w:t>
      </w:r>
    </w:p>
    <w:p w14:paraId="6C0C36F0" w14:textId="6E074957" w:rsidR="000B42EC" w:rsidRPr="00A52AB8" w:rsidRDefault="000B42EC">
      <w:r w:rsidRPr="00A52AB8">
        <w:t xml:space="preserve">Any order of NAL units in the </w:t>
      </w:r>
      <w:r w:rsidR="006F31CC" w:rsidRPr="00A52AB8">
        <w:t>atlas sub-</w:t>
      </w:r>
      <w:r w:rsidRPr="00A52AB8">
        <w:t xml:space="preserve">bitstream obeying these constraints is referred to in the text as the decoding order of NAL units. Within a NAL unit, the syntax in </w:t>
      </w:r>
      <w:r w:rsidR="0087316C" w:rsidRPr="00A52AB8">
        <w:t>sub</w:t>
      </w:r>
      <w:r w:rsidRPr="00A52AB8">
        <w:t>clause </w:t>
      </w:r>
      <w:r w:rsidRPr="00496A4D">
        <w:fldChar w:fldCharType="begin"/>
      </w:r>
      <w:r w:rsidRPr="00A52AB8">
        <w:instrText xml:space="preserve"> REF _Ref35660929 \r \h  \* MERGEFORMAT </w:instrText>
      </w:r>
      <w:r w:rsidRPr="00496A4D">
        <w:fldChar w:fldCharType="separate"/>
      </w:r>
      <w:r w:rsidR="00507A67">
        <w:t>8.3</w:t>
      </w:r>
      <w:r w:rsidRPr="00496A4D">
        <w:fldChar w:fldCharType="end"/>
      </w:r>
      <w:r w:rsidRPr="00A52AB8">
        <w:t>, specifies the decoding order of syntax elements. Decoders shall be capable of receiving NAL units and their syntax elements in decoding order.</w:t>
      </w:r>
    </w:p>
    <w:p w14:paraId="2BA4765F" w14:textId="77777777" w:rsidR="000B42EC" w:rsidRPr="00A52AB8" w:rsidRDefault="000B42EC">
      <w:pPr>
        <w:pStyle w:val="Heading5"/>
      </w:pPr>
      <w:bookmarkStart w:id="1124" w:name="_Ref57461487"/>
      <w:bookmarkStart w:id="1125" w:name="_Toc77680403"/>
      <w:bookmarkStart w:id="1126" w:name="_Toc226456557"/>
      <w:r w:rsidRPr="00A52AB8">
        <w:t xml:space="preserve">Order of </w:t>
      </w:r>
      <w:r w:rsidR="0053494A" w:rsidRPr="00A52AB8">
        <w:t xml:space="preserve">AAPS, </w:t>
      </w:r>
      <w:r w:rsidRPr="00A52AB8">
        <w:t>ASPS</w:t>
      </w:r>
      <w:r w:rsidR="0053494A" w:rsidRPr="00A52AB8">
        <w:t>,</w:t>
      </w:r>
      <w:r w:rsidRPr="00A52AB8">
        <w:t xml:space="preserve"> and AFPS RBSPs and their activation</w:t>
      </w:r>
      <w:bookmarkEnd w:id="1124"/>
      <w:bookmarkEnd w:id="1125"/>
      <w:bookmarkEnd w:id="1126"/>
    </w:p>
    <w:p w14:paraId="5F5DE49D" w14:textId="77777777" w:rsidR="000B42EC" w:rsidRPr="00A52AB8" w:rsidRDefault="000B42EC">
      <w:r w:rsidRPr="00A52AB8">
        <w:t xml:space="preserve">This </w:t>
      </w:r>
      <w:r w:rsidR="00406A86" w:rsidRPr="00A52AB8">
        <w:t>subclause</w:t>
      </w:r>
      <w:r w:rsidRPr="00A52AB8">
        <w:t xml:space="preserve"> specifies the activation process of </w:t>
      </w:r>
      <w:r w:rsidR="0053494A" w:rsidRPr="00A52AB8">
        <w:t xml:space="preserve">atlas adaptation parameter sets (AAPSs), </w:t>
      </w:r>
      <w:r w:rsidRPr="00A52AB8">
        <w:t>atlas sequence parameter sets (ASPSs)</w:t>
      </w:r>
      <w:r w:rsidR="0053494A" w:rsidRPr="00A52AB8">
        <w:t>,</w:t>
      </w:r>
      <w:r w:rsidRPr="00A52AB8">
        <w:t xml:space="preserve"> and atlas frame parameter sets (AFPSs).</w:t>
      </w:r>
    </w:p>
    <w:p w14:paraId="30184D87" w14:textId="77777777" w:rsidR="000B42EC" w:rsidRPr="00A52AB8" w:rsidRDefault="000B42EC">
      <w:pPr>
        <w:pStyle w:val="Note1"/>
        <w:rPr>
          <w:rFonts w:ascii="Cambria" w:hAnsi="Cambria"/>
        </w:rPr>
      </w:pPr>
      <w:r w:rsidRPr="00A52AB8">
        <w:rPr>
          <w:rFonts w:ascii="Cambria" w:hAnsi="Cambria"/>
        </w:rPr>
        <w:t xml:space="preserve">NOTE – The </w:t>
      </w:r>
      <w:r w:rsidR="0053494A" w:rsidRPr="00A52AB8">
        <w:rPr>
          <w:rFonts w:ascii="Cambria" w:hAnsi="Cambria"/>
        </w:rPr>
        <w:t xml:space="preserve">AAPS, </w:t>
      </w:r>
      <w:r w:rsidRPr="00A52AB8">
        <w:rPr>
          <w:rFonts w:ascii="Cambria" w:hAnsi="Cambria"/>
        </w:rPr>
        <w:t>ASPS</w:t>
      </w:r>
      <w:r w:rsidR="0053494A" w:rsidRPr="00A52AB8">
        <w:rPr>
          <w:rFonts w:ascii="Cambria" w:hAnsi="Cambria"/>
        </w:rPr>
        <w:t>,</w:t>
      </w:r>
      <w:r w:rsidRPr="00A52AB8">
        <w:rPr>
          <w:rFonts w:ascii="Cambria" w:hAnsi="Cambria"/>
        </w:rPr>
        <w:t xml:space="preserve"> and AFPS mechanism decouples the transmission of infrequently changing information from the transmission of coded </w:t>
      </w:r>
      <w:r w:rsidR="00567C5F" w:rsidRPr="00A52AB8">
        <w:rPr>
          <w:rFonts w:ascii="Cambria" w:hAnsi="Cambria"/>
        </w:rPr>
        <w:t>atlas</w:t>
      </w:r>
      <w:r w:rsidRPr="00A52AB8">
        <w:rPr>
          <w:rFonts w:ascii="Cambria" w:hAnsi="Cambria"/>
        </w:rPr>
        <w:t xml:space="preserve"> data. </w:t>
      </w:r>
      <w:r w:rsidR="0053494A" w:rsidRPr="00A52AB8">
        <w:rPr>
          <w:rFonts w:ascii="Cambria" w:hAnsi="Cambria"/>
        </w:rPr>
        <w:t xml:space="preserve">AAPSs, </w:t>
      </w:r>
      <w:r w:rsidRPr="00A52AB8">
        <w:rPr>
          <w:rFonts w:ascii="Cambria" w:hAnsi="Cambria"/>
        </w:rPr>
        <w:t>ASPSs</w:t>
      </w:r>
      <w:r w:rsidR="0053494A" w:rsidRPr="00A52AB8">
        <w:rPr>
          <w:rFonts w:ascii="Cambria" w:hAnsi="Cambria"/>
        </w:rPr>
        <w:t>,</w:t>
      </w:r>
      <w:r w:rsidRPr="00A52AB8">
        <w:rPr>
          <w:rFonts w:ascii="Cambria" w:hAnsi="Cambria"/>
        </w:rPr>
        <w:t xml:space="preserve"> and AFPSs </w:t>
      </w:r>
      <w:r w:rsidR="007517B1" w:rsidRPr="00A52AB8">
        <w:rPr>
          <w:rFonts w:ascii="Cambria" w:hAnsi="Cambria"/>
        </w:rPr>
        <w:t>can</w:t>
      </w:r>
      <w:r w:rsidRPr="00A52AB8">
        <w:rPr>
          <w:rFonts w:ascii="Cambria" w:hAnsi="Cambria"/>
        </w:rPr>
        <w:t>, in some applications, be conveyed "out-of-band".</w:t>
      </w:r>
    </w:p>
    <w:p w14:paraId="2F62FC80" w14:textId="77777777" w:rsidR="00007773" w:rsidRPr="00A52AB8" w:rsidRDefault="00007773" w:rsidP="00007773">
      <w:pPr>
        <w:numPr>
          <w:ilvl w:val="12"/>
          <w:numId w:val="0"/>
        </w:numPr>
      </w:pPr>
      <w:r w:rsidRPr="00A52AB8">
        <w:t xml:space="preserve">An AAPS RBSP includes parameters that can be referred to by the coded </w:t>
      </w:r>
      <w:r w:rsidR="00B8075E" w:rsidRPr="00A52AB8">
        <w:t>tile</w:t>
      </w:r>
      <w:r w:rsidRPr="00A52AB8">
        <w:t xml:space="preserve"> NAL units of one or more coded atlas frames. Each AAPS RBSP is initially considered not active </w:t>
      </w:r>
      <w:r w:rsidR="00C818B8" w:rsidRPr="00A52AB8">
        <w:t xml:space="preserve">for </w:t>
      </w:r>
      <w:r w:rsidR="007C4831" w:rsidRPr="00A52AB8">
        <w:t xml:space="preserve">any atlas </w:t>
      </w:r>
      <w:r w:rsidRPr="00A52AB8">
        <w:t xml:space="preserve">at the start of the operation of the decoding process. At most one AAPS RBSP is considered active </w:t>
      </w:r>
      <w:r w:rsidR="007C4831" w:rsidRPr="00A52AB8">
        <w:t xml:space="preserve">for each atlas </w:t>
      </w:r>
      <w:r w:rsidRPr="00A52AB8">
        <w:t xml:space="preserve">at any given moment during the operation of the decoding process, and the activation of any particular AAPS RBSP </w:t>
      </w:r>
      <w:r w:rsidR="007C4831" w:rsidRPr="00A52AB8">
        <w:t xml:space="preserve">for a particular atlas </w:t>
      </w:r>
      <w:r w:rsidRPr="00A52AB8">
        <w:t>results in the deactivation of the previously</w:t>
      </w:r>
      <w:r w:rsidR="00F37FD9" w:rsidRPr="00A52AB8">
        <w:t xml:space="preserve"> </w:t>
      </w:r>
      <w:r w:rsidRPr="00A52AB8">
        <w:t>active AAPS RBSP</w:t>
      </w:r>
      <w:r w:rsidR="007C4831" w:rsidRPr="00A52AB8">
        <w:t xml:space="preserve"> for the particular atlas</w:t>
      </w:r>
      <w:r w:rsidRPr="00A52AB8">
        <w:t>.</w:t>
      </w:r>
    </w:p>
    <w:p w14:paraId="042B81ED" w14:textId="75A74F97" w:rsidR="00966853" w:rsidRPr="00A52AB8" w:rsidRDefault="00007773" w:rsidP="00007773">
      <w:pPr>
        <w:numPr>
          <w:ilvl w:val="12"/>
          <w:numId w:val="0"/>
        </w:numPr>
      </w:pPr>
      <w:r w:rsidRPr="00A52AB8">
        <w:t xml:space="preserve">When an AAPS RBSP (with a particular value of aaps_atlas_adaptation_parameter_set_id) is not active </w:t>
      </w:r>
      <w:r w:rsidR="00F40BA5" w:rsidRPr="00A52AB8">
        <w:t xml:space="preserve">for a particular atlas </w:t>
      </w:r>
      <w:r w:rsidRPr="00A52AB8">
        <w:t xml:space="preserve">and is referred to by a coded </w:t>
      </w:r>
      <w:r w:rsidR="00B8075E" w:rsidRPr="00A52AB8">
        <w:t>tile</w:t>
      </w:r>
      <w:r w:rsidRPr="00A52AB8">
        <w:rPr>
          <w:lang w:eastAsia="ja-JP"/>
        </w:rPr>
        <w:t xml:space="preserve"> </w:t>
      </w:r>
      <w:r w:rsidRPr="00A52AB8">
        <w:t xml:space="preserve">NAL unit with nal_layer_id equal to 0 (using a value of </w:t>
      </w:r>
      <w:r w:rsidR="00A62CD5" w:rsidRPr="00A52AB8">
        <w:t>ath_</w:t>
      </w:r>
      <w:r w:rsidRPr="00A52AB8">
        <w:t>atlas_adaptation_parameter_set_id equal to the aaps_atlas_</w:t>
      </w:r>
      <w:r w:rsidR="00F1150E" w:rsidRPr="00A52AB8">
        <w:t>adaptation</w:t>
      </w:r>
      <w:r w:rsidRPr="00A52AB8">
        <w:t xml:space="preserve">_parameter_set_id value), it is then activated. This AAPS RBSP is called the active AAPS RBSP until it is deactivated by the activation of another AAPS RBSP. </w:t>
      </w:r>
      <w:r w:rsidR="00F40BA5" w:rsidRPr="00A52AB8">
        <w:t>Let the variable aapsAtlas</w:t>
      </w:r>
      <w:r w:rsidR="007812ED" w:rsidRPr="00A52AB8">
        <w:t xml:space="preserve">ID </w:t>
      </w:r>
      <w:r w:rsidR="00F40BA5" w:rsidRPr="00A52AB8">
        <w:t>be either set equal to vuh_atlas_id of the AAPS RBSP</w:t>
      </w:r>
      <w:r w:rsidR="009B1E6E" w:rsidRPr="00A52AB8">
        <w:t xml:space="preserve">, be set equal to -1 when the AAPS is </w:t>
      </w:r>
      <w:r w:rsidR="008238EA" w:rsidRPr="00A52AB8">
        <w:t xml:space="preserve">part of a </w:t>
      </w:r>
      <w:r w:rsidR="009B1E6E" w:rsidRPr="00A52AB8">
        <w:t xml:space="preserve">common atlas </w:t>
      </w:r>
      <w:r w:rsidR="008238EA" w:rsidRPr="00A52AB8">
        <w:t>frame</w:t>
      </w:r>
      <w:r w:rsidR="009B1E6E" w:rsidRPr="00A52AB8">
        <w:t>,</w:t>
      </w:r>
      <w:r w:rsidR="00F40BA5" w:rsidRPr="00A52AB8">
        <w:t xml:space="preserve"> or determined through external means if the </w:t>
      </w:r>
      <w:r w:rsidR="00875EC6" w:rsidRPr="00A52AB8">
        <w:t>V3C</w:t>
      </w:r>
      <w:r w:rsidR="00F40BA5" w:rsidRPr="00A52AB8">
        <w:t xml:space="preserve"> unit header is unavailable. Let the variable activatingAtlas</w:t>
      </w:r>
      <w:r w:rsidR="007812ED" w:rsidRPr="00A52AB8">
        <w:t xml:space="preserve">ID </w:t>
      </w:r>
      <w:r w:rsidR="00F40BA5" w:rsidRPr="00A52AB8">
        <w:t xml:space="preserve">be either set equal to vuh_atlas_id of the coded </w:t>
      </w:r>
      <w:r w:rsidR="00B8075E" w:rsidRPr="00A52AB8">
        <w:t>tile</w:t>
      </w:r>
      <w:r w:rsidR="00F40BA5" w:rsidRPr="00A52AB8">
        <w:t xml:space="preserve"> NAL unit</w:t>
      </w:r>
      <w:r w:rsidR="009B1E6E" w:rsidRPr="00A52AB8">
        <w:t>, be set equal to -1 when the NAL unit has nal_unit_type equal to NAL_CAF,</w:t>
      </w:r>
      <w:r w:rsidR="00F40BA5" w:rsidRPr="00A52AB8">
        <w:t xml:space="preserve"> or determined through external means if the </w:t>
      </w:r>
      <w:r w:rsidR="00875EC6" w:rsidRPr="00A52AB8">
        <w:t>V3C</w:t>
      </w:r>
      <w:r w:rsidR="00F40BA5" w:rsidRPr="00A52AB8">
        <w:t xml:space="preserve"> unit header is unavailable. </w:t>
      </w:r>
      <w:r w:rsidRPr="00A52AB8">
        <w:t>An AAPS RBSP, with that particular value of aaps_atlas_</w:t>
      </w:r>
      <w:r w:rsidR="00F1150E" w:rsidRPr="00A52AB8">
        <w:t>adaptation</w:t>
      </w:r>
      <w:r w:rsidRPr="00A52AB8">
        <w:t xml:space="preserve">_parameter_set_id, shall be available to the decoding process prior to its activation, included in at least one </w:t>
      </w:r>
      <w:r w:rsidR="00D67C10" w:rsidRPr="00A52AB8">
        <w:t xml:space="preserve">coded </w:t>
      </w:r>
      <w:r w:rsidR="003F441F" w:rsidRPr="00A52AB8">
        <w:t xml:space="preserve">atlas </w:t>
      </w:r>
      <w:r w:rsidRPr="00A52AB8">
        <w:t xml:space="preserve">access unit with </w:t>
      </w:r>
      <w:r w:rsidR="007812ED" w:rsidRPr="00A52AB8">
        <w:t>TemporalID</w:t>
      </w:r>
      <w:r w:rsidRPr="00A52AB8">
        <w:t xml:space="preserve"> less than or equal to the </w:t>
      </w:r>
      <w:r w:rsidR="007812ED" w:rsidRPr="00A52AB8">
        <w:t>TemporalID</w:t>
      </w:r>
      <w:r w:rsidRPr="00A52AB8">
        <w:t xml:space="preserve"> of the A</w:t>
      </w:r>
      <w:r w:rsidR="00AE644C" w:rsidRPr="00A52AB8">
        <w:t>A</w:t>
      </w:r>
      <w:r w:rsidRPr="00A52AB8">
        <w:t xml:space="preserve">PS NAL unit or provided through external means, </w:t>
      </w:r>
      <w:r w:rsidR="003F441F" w:rsidRPr="00A52AB8">
        <w:t>a</w:t>
      </w:r>
      <w:r w:rsidR="00517CE6" w:rsidRPr="00A52AB8">
        <w:t>a</w:t>
      </w:r>
      <w:r w:rsidR="003F441F" w:rsidRPr="00A52AB8">
        <w:t>psAtlas</w:t>
      </w:r>
      <w:r w:rsidR="007812ED" w:rsidRPr="00A52AB8">
        <w:t xml:space="preserve">ID </w:t>
      </w:r>
      <w:r w:rsidR="003F441F" w:rsidRPr="00A52AB8">
        <w:t>shall be equal to activatingAtlas</w:t>
      </w:r>
      <w:r w:rsidR="000C0B8D" w:rsidRPr="00A52AB8">
        <w:t>ID,</w:t>
      </w:r>
      <w:r w:rsidR="003F441F" w:rsidRPr="00A52AB8">
        <w:t xml:space="preserve"> </w:t>
      </w:r>
      <w:r w:rsidRPr="00A52AB8">
        <w:t>and the A</w:t>
      </w:r>
      <w:r w:rsidR="00AE644C" w:rsidRPr="00A52AB8">
        <w:t>A</w:t>
      </w:r>
      <w:r w:rsidRPr="00A52AB8">
        <w:t>PS NAL unit containing the A</w:t>
      </w:r>
      <w:r w:rsidR="00AE644C" w:rsidRPr="00A52AB8">
        <w:t>A</w:t>
      </w:r>
      <w:r w:rsidRPr="00A52AB8">
        <w:t>PS RBSP shall have nal_layer_id equal to 0.</w:t>
      </w:r>
    </w:p>
    <w:p w14:paraId="38364414" w14:textId="2EA53B7C" w:rsidR="009B1E6E" w:rsidRPr="00A52AB8" w:rsidRDefault="009B1E6E" w:rsidP="00007773">
      <w:pPr>
        <w:numPr>
          <w:ilvl w:val="12"/>
          <w:numId w:val="0"/>
        </w:numPr>
      </w:pPr>
      <w:r w:rsidRPr="00A52AB8">
        <w:rPr>
          <w:highlight w:val="yellow"/>
        </w:rPr>
        <w:t>[Ed.(BK): Above references to common atlas data and NAL_CAF can be removed again when MIV would avoid using the AAPS RBSP in common atlas data.</w:t>
      </w:r>
      <w:r w:rsidR="008238EA" w:rsidRPr="00A52AB8">
        <w:rPr>
          <w:highlight w:val="yellow"/>
        </w:rPr>
        <w:t>]</w:t>
      </w:r>
    </w:p>
    <w:p w14:paraId="01A856B0" w14:textId="77777777" w:rsidR="00007773" w:rsidRPr="00A52AB8" w:rsidRDefault="00007773" w:rsidP="00007773">
      <w:pPr>
        <w:numPr>
          <w:ilvl w:val="12"/>
          <w:numId w:val="0"/>
        </w:numPr>
      </w:pPr>
      <w:r w:rsidRPr="00A52AB8">
        <w:t>Any A</w:t>
      </w:r>
      <w:r w:rsidR="00AE644C" w:rsidRPr="00A52AB8">
        <w:t>A</w:t>
      </w:r>
      <w:r w:rsidRPr="00A52AB8">
        <w:t>PS NAL unit containing the value of a</w:t>
      </w:r>
      <w:r w:rsidR="00AE644C" w:rsidRPr="00A52AB8">
        <w:t>a</w:t>
      </w:r>
      <w:r w:rsidRPr="00A52AB8">
        <w:t>ps_atlas_</w:t>
      </w:r>
      <w:r w:rsidR="00AE644C" w:rsidRPr="00A52AB8">
        <w:t>adaptation</w:t>
      </w:r>
      <w:r w:rsidRPr="00A52AB8">
        <w:t>_parameter_set_id for the active A</w:t>
      </w:r>
      <w:r w:rsidR="00AE644C" w:rsidRPr="00A52AB8">
        <w:t>A</w:t>
      </w:r>
      <w:r w:rsidRPr="00A52AB8">
        <w:t>PS RBSP for a coded atlas frame shall have the same content as that of the active A</w:t>
      </w:r>
      <w:r w:rsidR="00AE644C" w:rsidRPr="00A52AB8">
        <w:t>A</w:t>
      </w:r>
      <w:r w:rsidRPr="00A52AB8">
        <w:t>PS RBSP for the coded atlas frame, unless it follows the last ACL NAL unit of the coded atlas frame and precedes the first ACL NAL unit of another coded atlas frame.</w:t>
      </w:r>
    </w:p>
    <w:p w14:paraId="321261F9" w14:textId="77777777" w:rsidR="000B42EC" w:rsidRPr="00A52AB8" w:rsidRDefault="000B42EC">
      <w:pPr>
        <w:numPr>
          <w:ilvl w:val="12"/>
          <w:numId w:val="0"/>
        </w:numPr>
      </w:pPr>
      <w:r w:rsidRPr="00A52AB8">
        <w:t xml:space="preserve">An AFPS RBSP includes parameters that can be referred to by the coded </w:t>
      </w:r>
      <w:r w:rsidR="00B8075E" w:rsidRPr="00A52AB8">
        <w:t>tile</w:t>
      </w:r>
      <w:r w:rsidRPr="00A52AB8">
        <w:t xml:space="preserve"> NAL units of one or more coded </w:t>
      </w:r>
      <w:r w:rsidR="0093555C" w:rsidRPr="00A52AB8">
        <w:t>atlas frames</w:t>
      </w:r>
      <w:r w:rsidRPr="00A52AB8">
        <w:t xml:space="preserve">. Each AFPS RBSP is initially considered not active </w:t>
      </w:r>
      <w:r w:rsidR="00517CE6" w:rsidRPr="00A52AB8">
        <w:t xml:space="preserve">for any atlas </w:t>
      </w:r>
      <w:r w:rsidRPr="00A52AB8">
        <w:t xml:space="preserve">at the start of the operation of the decoding process. At most one AFPS RBSP is considered active </w:t>
      </w:r>
      <w:r w:rsidR="00517CE6" w:rsidRPr="00A52AB8">
        <w:t xml:space="preserve">for each atlas </w:t>
      </w:r>
      <w:r w:rsidRPr="00A52AB8">
        <w:t>at any given moment during the operation of the decoding process, and the activation of any particular AFPS RBSP</w:t>
      </w:r>
      <w:r w:rsidR="00517CE6" w:rsidRPr="00A52AB8">
        <w:t xml:space="preserve"> for a particular atlas</w:t>
      </w:r>
      <w:r w:rsidRPr="00A52AB8">
        <w:t xml:space="preserve"> results in the deactivation of the previously</w:t>
      </w:r>
      <w:r w:rsidR="00F37FD9" w:rsidRPr="00A52AB8">
        <w:t xml:space="preserve"> </w:t>
      </w:r>
      <w:r w:rsidRPr="00A52AB8">
        <w:t>active AFPS RBSP</w:t>
      </w:r>
      <w:r w:rsidR="00517CE6" w:rsidRPr="00A52AB8">
        <w:t xml:space="preserve"> for the particular atlas</w:t>
      </w:r>
      <w:r w:rsidRPr="00A52AB8">
        <w:t>.</w:t>
      </w:r>
    </w:p>
    <w:p w14:paraId="0645649B" w14:textId="77B1DD51" w:rsidR="000B42EC" w:rsidRPr="00A52AB8" w:rsidRDefault="000B42EC">
      <w:pPr>
        <w:numPr>
          <w:ilvl w:val="12"/>
          <w:numId w:val="0"/>
        </w:numPr>
      </w:pPr>
      <w:r w:rsidRPr="00A52AB8">
        <w:t>When a</w:t>
      </w:r>
      <w:r w:rsidR="0093555C" w:rsidRPr="00A52AB8">
        <w:t>n</w:t>
      </w:r>
      <w:r w:rsidRPr="00A52AB8">
        <w:t xml:space="preserve"> AFPS RBSP (with a particular value of </w:t>
      </w:r>
      <w:r w:rsidR="00C32EFE" w:rsidRPr="00A52AB8">
        <w:t>afps_atlas_frame_parameter_set_id</w:t>
      </w:r>
      <w:r w:rsidRPr="00A52AB8">
        <w:t xml:space="preserve">) is not active </w:t>
      </w:r>
      <w:r w:rsidR="00517CE6" w:rsidRPr="00A52AB8">
        <w:t xml:space="preserve">for a particular atlas </w:t>
      </w:r>
      <w:r w:rsidRPr="00A52AB8">
        <w:t xml:space="preserve">and is referred to by a coded </w:t>
      </w:r>
      <w:r w:rsidR="00B8075E" w:rsidRPr="00A52AB8">
        <w:t>tile</w:t>
      </w:r>
      <w:r w:rsidRPr="00A52AB8">
        <w:rPr>
          <w:lang w:eastAsia="ja-JP"/>
        </w:rPr>
        <w:t xml:space="preserve"> </w:t>
      </w:r>
      <w:r w:rsidRPr="00A52AB8">
        <w:t xml:space="preserve">NAL unit with </w:t>
      </w:r>
      <w:r w:rsidR="00C32EFE" w:rsidRPr="00A52AB8">
        <w:t>nal</w:t>
      </w:r>
      <w:r w:rsidRPr="00A52AB8">
        <w:t xml:space="preserve">_layer_id equal to 0 (using a value of </w:t>
      </w:r>
      <w:r w:rsidR="00A62CD5" w:rsidRPr="00A52AB8">
        <w:t>ath_</w:t>
      </w:r>
      <w:r w:rsidR="0093555C" w:rsidRPr="00A52AB8">
        <w:t>atlas_frame_parameter_set_id</w:t>
      </w:r>
      <w:r w:rsidRPr="00A52AB8">
        <w:t xml:space="preserve"> equal to the </w:t>
      </w:r>
      <w:r w:rsidR="00C32EFE" w:rsidRPr="00A52AB8">
        <w:t>afps_atlas_frame_parameter_set_id</w:t>
      </w:r>
      <w:r w:rsidRPr="00A52AB8">
        <w:t xml:space="preserve"> value), it is </w:t>
      </w:r>
      <w:r w:rsidR="00611D9C" w:rsidRPr="00A52AB8">
        <w:t xml:space="preserve">then </w:t>
      </w:r>
      <w:r w:rsidRPr="00A52AB8">
        <w:t>activate</w:t>
      </w:r>
      <w:r w:rsidR="00611D9C" w:rsidRPr="00A52AB8">
        <w:t>d</w:t>
      </w:r>
      <w:r w:rsidRPr="00A52AB8">
        <w:t xml:space="preserve">. This AFPS RBSP is called the active AFPS RBSP until it is deactivated by the activation of another AFPS RBSP. </w:t>
      </w:r>
      <w:r w:rsidR="00517CE6" w:rsidRPr="00A52AB8">
        <w:t>Let the variable afpsAtlas</w:t>
      </w:r>
      <w:r w:rsidR="007812ED" w:rsidRPr="00A52AB8">
        <w:t xml:space="preserve">ID </w:t>
      </w:r>
      <w:r w:rsidR="00517CE6" w:rsidRPr="00A52AB8">
        <w:t xml:space="preserve">be either set equal to vuh_atlas_id of the AFPS RBSP or determined through external means if the </w:t>
      </w:r>
      <w:r w:rsidR="00875EC6" w:rsidRPr="00A52AB8">
        <w:t>V3C</w:t>
      </w:r>
      <w:r w:rsidR="00517CE6" w:rsidRPr="00A52AB8">
        <w:t xml:space="preserve"> unit header is unavailable. Let the variable activatingAtlas</w:t>
      </w:r>
      <w:r w:rsidR="007812ED" w:rsidRPr="00A52AB8">
        <w:t xml:space="preserve">ID </w:t>
      </w:r>
      <w:r w:rsidR="00517CE6" w:rsidRPr="00A52AB8">
        <w:t xml:space="preserve">be either set equal to vuh_atlas_id of the coded </w:t>
      </w:r>
      <w:r w:rsidR="00B8075E" w:rsidRPr="00A52AB8">
        <w:t>tile</w:t>
      </w:r>
      <w:r w:rsidR="00517CE6" w:rsidRPr="00A52AB8">
        <w:t xml:space="preserve"> NAL unit or determined through external means if the </w:t>
      </w:r>
      <w:r w:rsidR="00875EC6" w:rsidRPr="00A52AB8">
        <w:t>V3C</w:t>
      </w:r>
      <w:r w:rsidR="00517CE6" w:rsidRPr="00A52AB8">
        <w:t xml:space="preserve"> unit header is unavailable. </w:t>
      </w:r>
      <w:r w:rsidRPr="00A52AB8">
        <w:t>A</w:t>
      </w:r>
      <w:r w:rsidR="00611D9C" w:rsidRPr="00A52AB8">
        <w:t>n</w:t>
      </w:r>
      <w:r w:rsidRPr="00A52AB8">
        <w:t xml:space="preserve"> AFPS RBSP, with that particular value of </w:t>
      </w:r>
      <w:r w:rsidR="00C32EFE" w:rsidRPr="00A52AB8">
        <w:t>afps_atlas_frame_parameter_set_id</w:t>
      </w:r>
      <w:r w:rsidRPr="00A52AB8">
        <w:t xml:space="preserve">, shall be available to the decoding process prior to its activation, included in at least one </w:t>
      </w:r>
      <w:r w:rsidR="00D67C10" w:rsidRPr="00A52AB8">
        <w:t xml:space="preserve">coded </w:t>
      </w:r>
      <w:r w:rsidR="00517CE6" w:rsidRPr="00A52AB8">
        <w:t xml:space="preserve">atlas </w:t>
      </w:r>
      <w:r w:rsidRPr="00A52AB8">
        <w:t xml:space="preserve">access unit with </w:t>
      </w:r>
      <w:r w:rsidR="007812ED" w:rsidRPr="00A52AB8">
        <w:t>TemporalID</w:t>
      </w:r>
      <w:r w:rsidRPr="00A52AB8">
        <w:t xml:space="preserve"> less than or equal to the </w:t>
      </w:r>
      <w:r w:rsidR="007812ED" w:rsidRPr="00A52AB8">
        <w:t>TemporalID</w:t>
      </w:r>
      <w:r w:rsidRPr="00A52AB8">
        <w:t xml:space="preserve"> of the AFPS NAL unit or provided through external means, </w:t>
      </w:r>
      <w:r w:rsidR="00517CE6" w:rsidRPr="00A52AB8">
        <w:t>afpsAtlas</w:t>
      </w:r>
      <w:r w:rsidR="007812ED" w:rsidRPr="00A52AB8">
        <w:t xml:space="preserve">ID </w:t>
      </w:r>
      <w:r w:rsidR="00517CE6" w:rsidRPr="00A52AB8">
        <w:t>shall be equal to activatingAtlas</w:t>
      </w:r>
      <w:r w:rsidR="000C0B8D" w:rsidRPr="00A52AB8">
        <w:t>ID,</w:t>
      </w:r>
      <w:r w:rsidR="00517CE6" w:rsidRPr="00A52AB8">
        <w:t xml:space="preserve"> </w:t>
      </w:r>
      <w:r w:rsidRPr="00A52AB8">
        <w:t xml:space="preserve">and the AFPS NAL unit containing the AFPS RBSP shall have </w:t>
      </w:r>
      <w:r w:rsidR="00C32EFE" w:rsidRPr="00A52AB8">
        <w:t>nal</w:t>
      </w:r>
      <w:r w:rsidRPr="00A52AB8">
        <w:t>_layer_id equal to 0.</w:t>
      </w:r>
    </w:p>
    <w:p w14:paraId="2F313071" w14:textId="77777777" w:rsidR="000B42EC" w:rsidRPr="00A52AB8" w:rsidRDefault="000B42EC">
      <w:pPr>
        <w:numPr>
          <w:ilvl w:val="12"/>
          <w:numId w:val="0"/>
        </w:numPr>
      </w:pPr>
      <w:r w:rsidRPr="00A52AB8">
        <w:t xml:space="preserve">Any AFPS NAL unit containing the value of </w:t>
      </w:r>
      <w:r w:rsidR="00C32EFE" w:rsidRPr="00A52AB8">
        <w:t>afps_atlas_frame_parameter_set_id</w:t>
      </w:r>
      <w:r w:rsidRPr="00A52AB8">
        <w:t xml:space="preserve"> for the active AFPS RBSP for a coded </w:t>
      </w:r>
      <w:r w:rsidR="00611D9C" w:rsidRPr="00A52AB8">
        <w:t xml:space="preserve">atlas frame </w:t>
      </w:r>
      <w:r w:rsidRPr="00A52AB8">
        <w:t xml:space="preserve">shall have the same content as that of the active AFPS RBSP for the coded </w:t>
      </w:r>
      <w:r w:rsidR="00611D9C" w:rsidRPr="00A52AB8">
        <w:t>atlas frame</w:t>
      </w:r>
      <w:r w:rsidRPr="00A52AB8">
        <w:t xml:space="preserve">, unless it follows the last </w:t>
      </w:r>
      <w:r w:rsidR="009A3115" w:rsidRPr="00A52AB8">
        <w:t>ACL</w:t>
      </w:r>
      <w:r w:rsidRPr="00A52AB8">
        <w:t xml:space="preserve"> NAL unit of the coded </w:t>
      </w:r>
      <w:r w:rsidR="00611D9C" w:rsidRPr="00A52AB8">
        <w:t>atlas frame</w:t>
      </w:r>
      <w:r w:rsidRPr="00A52AB8">
        <w:t xml:space="preserve"> and precedes the first </w:t>
      </w:r>
      <w:r w:rsidR="00611D9C" w:rsidRPr="00A52AB8">
        <w:t>A</w:t>
      </w:r>
      <w:r w:rsidRPr="00A52AB8">
        <w:t xml:space="preserve">CL NAL unit of another coded </w:t>
      </w:r>
      <w:r w:rsidR="00611D9C" w:rsidRPr="00A52AB8">
        <w:t>atlas frame</w:t>
      </w:r>
      <w:r w:rsidRPr="00A52AB8">
        <w:t>.</w:t>
      </w:r>
    </w:p>
    <w:p w14:paraId="0D1C1BA2" w14:textId="77777777" w:rsidR="000B42EC" w:rsidRPr="00A52AB8" w:rsidRDefault="000B42EC">
      <w:pPr>
        <w:numPr>
          <w:ilvl w:val="12"/>
          <w:numId w:val="0"/>
        </w:numPr>
      </w:pPr>
      <w:r w:rsidRPr="00A52AB8">
        <w:t xml:space="preserve">An </w:t>
      </w:r>
      <w:r w:rsidR="00611D9C" w:rsidRPr="00A52AB8">
        <w:t>A</w:t>
      </w:r>
      <w:r w:rsidRPr="00A52AB8">
        <w:t xml:space="preserve">SPS RBSP includes parameters that can be referred to by one or more AFPS RBSPs. Each </w:t>
      </w:r>
      <w:r w:rsidR="00611D9C" w:rsidRPr="00A52AB8">
        <w:t>A</w:t>
      </w:r>
      <w:r w:rsidRPr="00A52AB8">
        <w:t>SPS RBSP is initially considered not active at the start of the operation of the decoding process. At most one</w:t>
      </w:r>
      <w:r w:rsidR="00611D9C" w:rsidRPr="00A52AB8">
        <w:t xml:space="preserve"> ASPS RBSP</w:t>
      </w:r>
      <w:r w:rsidRPr="00A52AB8">
        <w:t xml:space="preserve"> is considered active at any given moment during the operation of the decoding process, and the activation of any particular</w:t>
      </w:r>
      <w:r w:rsidR="00611D9C" w:rsidRPr="00A52AB8">
        <w:t xml:space="preserve"> ASPS RBSP</w:t>
      </w:r>
      <w:r w:rsidRPr="00A52AB8">
        <w:t xml:space="preserve"> results in the deactivation of the previously</w:t>
      </w:r>
      <w:r w:rsidR="00F37FD9" w:rsidRPr="00A52AB8">
        <w:t xml:space="preserve"> </w:t>
      </w:r>
      <w:r w:rsidRPr="00A52AB8">
        <w:t>active</w:t>
      </w:r>
      <w:r w:rsidR="00611D9C" w:rsidRPr="00A52AB8">
        <w:t xml:space="preserve"> ASPS RBSP</w:t>
      </w:r>
      <w:r w:rsidRPr="00A52AB8">
        <w:t>.</w:t>
      </w:r>
    </w:p>
    <w:p w14:paraId="0A5CD701" w14:textId="2545BED5" w:rsidR="000B42EC" w:rsidRPr="00A52AB8" w:rsidRDefault="000B42EC">
      <w:pPr>
        <w:numPr>
          <w:ilvl w:val="12"/>
          <w:numId w:val="0"/>
        </w:numPr>
      </w:pPr>
      <w:r w:rsidRPr="00A52AB8">
        <w:t xml:space="preserve">When an </w:t>
      </w:r>
      <w:r w:rsidR="00611D9C" w:rsidRPr="00A52AB8">
        <w:t>A</w:t>
      </w:r>
      <w:r w:rsidRPr="00A52AB8">
        <w:t xml:space="preserve">SPS RBSP (with a particular value of </w:t>
      </w:r>
      <w:r w:rsidR="00611D9C" w:rsidRPr="00A52AB8">
        <w:t>asps_atlas_sequence_parameter_set_id</w:t>
      </w:r>
      <w:r w:rsidRPr="00A52AB8">
        <w:t xml:space="preserve">) is not already active </w:t>
      </w:r>
      <w:r w:rsidR="00517CE6" w:rsidRPr="00A52AB8">
        <w:t xml:space="preserve">for a particular atlas </w:t>
      </w:r>
      <w:r w:rsidRPr="00A52AB8">
        <w:t>and it is referred to by activation of a</w:t>
      </w:r>
      <w:r w:rsidR="00517CE6" w:rsidRPr="00A52AB8">
        <w:t>n</w:t>
      </w:r>
      <w:r w:rsidRPr="00A52AB8">
        <w:t xml:space="preserve"> AFPS RBSP (in which afps_</w:t>
      </w:r>
      <w:r w:rsidR="00F620C5" w:rsidRPr="00A52AB8">
        <w:t>atlas_</w:t>
      </w:r>
      <w:r w:rsidRPr="00A52AB8">
        <w:t>seq</w:t>
      </w:r>
      <w:r w:rsidR="00F620C5" w:rsidRPr="00A52AB8">
        <w:t>uence</w:t>
      </w:r>
      <w:r w:rsidRPr="00A52AB8">
        <w:t xml:space="preserve">_parameter_set_id is equal to the </w:t>
      </w:r>
      <w:r w:rsidR="00611D9C" w:rsidRPr="00A52AB8">
        <w:t>asps_atlas_sequence_parameter_set_id</w:t>
      </w:r>
      <w:r w:rsidRPr="00A52AB8">
        <w:t xml:space="preserve"> value</w:t>
      </w:r>
      <w:r w:rsidR="00517CE6" w:rsidRPr="00A52AB8">
        <w:t xml:space="preserve"> with afpsAtlas</w:t>
      </w:r>
      <w:r w:rsidR="007812ED" w:rsidRPr="00A52AB8">
        <w:t xml:space="preserve">ID </w:t>
      </w:r>
      <w:r w:rsidR="00517CE6" w:rsidRPr="00A52AB8">
        <w:t>set equal to vuh_atlas_id or determined through external means</w:t>
      </w:r>
      <w:r w:rsidRPr="00A52AB8">
        <w:t>)</w:t>
      </w:r>
      <w:r w:rsidR="00611D9C" w:rsidRPr="00A52AB8">
        <w:t>,</w:t>
      </w:r>
      <w:r w:rsidRPr="00A52AB8">
        <w:t xml:space="preserve"> it is activated</w:t>
      </w:r>
      <w:r w:rsidR="00F620C5" w:rsidRPr="00A52AB8">
        <w:t xml:space="preserve"> for the particular atlas</w:t>
      </w:r>
      <w:r w:rsidRPr="00A52AB8">
        <w:t>. This</w:t>
      </w:r>
      <w:r w:rsidR="00611D9C" w:rsidRPr="00A52AB8">
        <w:t xml:space="preserve"> ASPS RBSP</w:t>
      </w:r>
      <w:r w:rsidRPr="00A52AB8">
        <w:t xml:space="preserve"> is called the active</w:t>
      </w:r>
      <w:r w:rsidR="00611D9C" w:rsidRPr="00A52AB8">
        <w:t xml:space="preserve"> ASPS RBSP</w:t>
      </w:r>
      <w:r w:rsidRPr="00A52AB8">
        <w:t xml:space="preserve"> </w:t>
      </w:r>
      <w:r w:rsidR="00F620C5" w:rsidRPr="00A52AB8">
        <w:t xml:space="preserve">for the particular atlas </w:t>
      </w:r>
      <w:r w:rsidRPr="00A52AB8">
        <w:t>until it is deactivated by the activation of another</w:t>
      </w:r>
      <w:r w:rsidR="00611D9C" w:rsidRPr="00A52AB8">
        <w:t xml:space="preserve"> ASPS RBSP</w:t>
      </w:r>
      <w:r w:rsidR="00F620C5" w:rsidRPr="00A52AB8">
        <w:t xml:space="preserve"> for the particular atlas</w:t>
      </w:r>
      <w:r w:rsidRPr="00A52AB8">
        <w:t xml:space="preserve">. </w:t>
      </w:r>
      <w:r w:rsidR="00F620C5" w:rsidRPr="00A52AB8">
        <w:t>Let the variable aspsAtlas</w:t>
      </w:r>
      <w:r w:rsidR="007812ED" w:rsidRPr="00A52AB8">
        <w:t xml:space="preserve">ID </w:t>
      </w:r>
      <w:r w:rsidR="00F620C5" w:rsidRPr="00A52AB8">
        <w:t xml:space="preserve">be either set equal to vuh_atlas_id or determined through external means if the </w:t>
      </w:r>
      <w:r w:rsidR="00875EC6" w:rsidRPr="00A52AB8">
        <w:t>V3C</w:t>
      </w:r>
      <w:r w:rsidR="00F620C5" w:rsidRPr="00A52AB8">
        <w:t xml:space="preserve"> unit header is unavailable. Let the variable activatingAtlas</w:t>
      </w:r>
      <w:r w:rsidR="007812ED" w:rsidRPr="00A52AB8">
        <w:t xml:space="preserve">ID </w:t>
      </w:r>
      <w:r w:rsidR="00F620C5" w:rsidRPr="00A52AB8">
        <w:t xml:space="preserve">either be set equal to vuh_atlas_id of the coded </w:t>
      </w:r>
      <w:r w:rsidR="00B8075E" w:rsidRPr="00A52AB8">
        <w:t>tile</w:t>
      </w:r>
      <w:r w:rsidR="00F620C5" w:rsidRPr="00A52AB8">
        <w:t xml:space="preserve"> or determined through external means if the </w:t>
      </w:r>
      <w:r w:rsidR="00875EC6" w:rsidRPr="00A52AB8">
        <w:t>V3C</w:t>
      </w:r>
      <w:r w:rsidR="00F620C5" w:rsidRPr="00A52AB8">
        <w:t xml:space="preserve"> unit header is unavailable</w:t>
      </w:r>
      <w:r w:rsidR="00E2112E" w:rsidRPr="00A52AB8">
        <w:t xml:space="preserve">. </w:t>
      </w:r>
      <w:r w:rsidRPr="00A52AB8">
        <w:t>An</w:t>
      </w:r>
      <w:r w:rsidR="00611D9C" w:rsidRPr="00A52AB8">
        <w:t xml:space="preserve"> ASPS RBSP</w:t>
      </w:r>
      <w:r w:rsidRPr="00A52AB8">
        <w:t xml:space="preserve">, with that particular value of </w:t>
      </w:r>
      <w:r w:rsidR="00611D9C" w:rsidRPr="00A52AB8">
        <w:t>asps_atlas_sequence_parameter_set_id</w:t>
      </w:r>
      <w:r w:rsidRPr="00A52AB8">
        <w:t xml:space="preserve">, shall be available to the decoding process prior to its activation, included in at least one access unit with </w:t>
      </w:r>
      <w:r w:rsidR="007812ED" w:rsidRPr="00A52AB8">
        <w:t>TemporalID</w:t>
      </w:r>
      <w:r w:rsidRPr="00A52AB8">
        <w:t xml:space="preserve"> equal to 0 or provided through external means, </w:t>
      </w:r>
      <w:r w:rsidR="00F620C5" w:rsidRPr="00A52AB8">
        <w:t>aspsAtlas</w:t>
      </w:r>
      <w:r w:rsidR="007812ED" w:rsidRPr="00A52AB8">
        <w:t xml:space="preserve">ID </w:t>
      </w:r>
      <w:r w:rsidR="00F620C5" w:rsidRPr="00A52AB8">
        <w:t>equal to activatingAtlas</w:t>
      </w:r>
      <w:r w:rsidR="000C0B8D" w:rsidRPr="00A52AB8">
        <w:t>ID,</w:t>
      </w:r>
      <w:r w:rsidR="00F620C5" w:rsidRPr="00A52AB8">
        <w:t xml:space="preserve"> </w:t>
      </w:r>
      <w:r w:rsidRPr="00A52AB8">
        <w:t>and the NAL unit containing the</w:t>
      </w:r>
      <w:r w:rsidR="00611D9C" w:rsidRPr="00A52AB8">
        <w:t xml:space="preserve"> ASPS RBSP</w:t>
      </w:r>
      <w:r w:rsidRPr="00A52AB8">
        <w:t xml:space="preserve"> shall have </w:t>
      </w:r>
      <w:r w:rsidR="00C32EFE" w:rsidRPr="00A52AB8">
        <w:t>nal</w:t>
      </w:r>
      <w:r w:rsidRPr="00A52AB8">
        <w:t>_layer_id equal to 0. An activated</w:t>
      </w:r>
      <w:r w:rsidR="00611D9C" w:rsidRPr="00A52AB8">
        <w:t xml:space="preserve"> ASPS RBSP</w:t>
      </w:r>
      <w:r w:rsidRPr="00A52AB8">
        <w:t xml:space="preserve"> shall remain active for the entire </w:t>
      </w:r>
      <w:r w:rsidRPr="00A52AB8">
        <w:rPr>
          <w:bCs/>
        </w:rPr>
        <w:t xml:space="preserve">coded </w:t>
      </w:r>
      <w:r w:rsidR="00700119" w:rsidRPr="00A52AB8">
        <w:rPr>
          <w:bCs/>
        </w:rPr>
        <w:t>atlas</w:t>
      </w:r>
      <w:r w:rsidRPr="00A52AB8">
        <w:rPr>
          <w:bCs/>
        </w:rPr>
        <w:t xml:space="preserve"> sequence</w:t>
      </w:r>
      <w:r w:rsidRPr="00A52AB8">
        <w:t xml:space="preserve"> (</w:t>
      </w:r>
      <w:r w:rsidR="00260BE4" w:rsidRPr="00A52AB8">
        <w:t>C</w:t>
      </w:r>
      <w:r w:rsidR="00700119" w:rsidRPr="00A52AB8">
        <w:t>A</w:t>
      </w:r>
      <w:r w:rsidR="00260BE4" w:rsidRPr="00A52AB8">
        <w:t>S</w:t>
      </w:r>
      <w:r w:rsidRPr="00A52AB8">
        <w:t>).</w:t>
      </w:r>
    </w:p>
    <w:p w14:paraId="26B10596" w14:textId="713B2027" w:rsidR="000B42EC" w:rsidRPr="00A52AB8" w:rsidRDefault="000B42EC">
      <w:pPr>
        <w:numPr>
          <w:ilvl w:val="12"/>
          <w:numId w:val="0"/>
        </w:numPr>
      </w:pPr>
      <w:r w:rsidRPr="00A52AB8">
        <w:t xml:space="preserve">Any </w:t>
      </w:r>
      <w:r w:rsidR="00611D9C" w:rsidRPr="00A52AB8">
        <w:t>A</w:t>
      </w:r>
      <w:r w:rsidRPr="00A52AB8">
        <w:t xml:space="preserve">SPS NAL unit with </w:t>
      </w:r>
      <w:r w:rsidR="00E2112E" w:rsidRPr="00A52AB8">
        <w:t>any aspsAtlas</w:t>
      </w:r>
      <w:r w:rsidR="007812ED" w:rsidRPr="00A52AB8">
        <w:t xml:space="preserve">ID </w:t>
      </w:r>
      <w:r w:rsidR="00E2112E" w:rsidRPr="00A52AB8">
        <w:t xml:space="preserve">value and </w:t>
      </w:r>
      <w:r w:rsidR="00C32EFE" w:rsidRPr="00A52AB8">
        <w:t>nal</w:t>
      </w:r>
      <w:r w:rsidRPr="00A52AB8">
        <w:t xml:space="preserve">_layer_id equal to 0 containing the value of </w:t>
      </w:r>
      <w:r w:rsidR="00611D9C" w:rsidRPr="00A52AB8">
        <w:t>asps_atlas_sequence_parameter_set_id</w:t>
      </w:r>
      <w:r w:rsidRPr="00A52AB8">
        <w:t xml:space="preserve"> for the active</w:t>
      </w:r>
      <w:r w:rsidR="00611D9C" w:rsidRPr="00A52AB8">
        <w:t xml:space="preserve"> ASPS RBSP</w:t>
      </w:r>
      <w:r w:rsidRPr="00A52AB8">
        <w:t xml:space="preserve"> for a </w:t>
      </w:r>
      <w:r w:rsidR="00260BE4" w:rsidRPr="00A52AB8">
        <w:t>C</w:t>
      </w:r>
      <w:r w:rsidR="00700119" w:rsidRPr="00A52AB8">
        <w:t>A</w:t>
      </w:r>
      <w:r w:rsidR="00260BE4" w:rsidRPr="00A52AB8">
        <w:t>S</w:t>
      </w:r>
      <w:r w:rsidRPr="00A52AB8">
        <w:t xml:space="preserve"> shall have the same content as that of the active</w:t>
      </w:r>
      <w:r w:rsidR="00611D9C" w:rsidRPr="00A52AB8">
        <w:t xml:space="preserve"> ASPS RBSP</w:t>
      </w:r>
      <w:r w:rsidRPr="00A52AB8">
        <w:t xml:space="preserve"> for the </w:t>
      </w:r>
      <w:r w:rsidR="00260BE4" w:rsidRPr="00A52AB8">
        <w:t>C</w:t>
      </w:r>
      <w:r w:rsidR="00700119" w:rsidRPr="00A52AB8">
        <w:t>A</w:t>
      </w:r>
      <w:r w:rsidR="00260BE4" w:rsidRPr="00A52AB8">
        <w:t>S</w:t>
      </w:r>
      <w:r w:rsidRPr="00A52AB8">
        <w:t xml:space="preserve">, unless it follows the last access unit of the </w:t>
      </w:r>
      <w:r w:rsidR="00260BE4" w:rsidRPr="00A52AB8">
        <w:t>C</w:t>
      </w:r>
      <w:r w:rsidR="00700119" w:rsidRPr="00A52AB8">
        <w:t>A</w:t>
      </w:r>
      <w:r w:rsidR="00260BE4" w:rsidRPr="00A52AB8">
        <w:t>S</w:t>
      </w:r>
      <w:r w:rsidRPr="00A52AB8">
        <w:t xml:space="preserve"> and precedes the first </w:t>
      </w:r>
      <w:r w:rsidR="00611D9C" w:rsidRPr="00A52AB8">
        <w:t>A</w:t>
      </w:r>
      <w:r w:rsidRPr="00A52AB8">
        <w:t xml:space="preserve">CL NAL unit of another </w:t>
      </w:r>
      <w:r w:rsidR="00260BE4" w:rsidRPr="00A52AB8">
        <w:t>C</w:t>
      </w:r>
      <w:r w:rsidR="00700119" w:rsidRPr="00A52AB8">
        <w:t>A</w:t>
      </w:r>
      <w:r w:rsidR="00260BE4" w:rsidRPr="00A52AB8">
        <w:t>S</w:t>
      </w:r>
      <w:r w:rsidRPr="00A52AB8">
        <w:t>.</w:t>
      </w:r>
    </w:p>
    <w:p w14:paraId="703020DF" w14:textId="286D22A6" w:rsidR="000B42EC" w:rsidRPr="00A52AB8" w:rsidRDefault="000B42EC">
      <w:r w:rsidRPr="00A52AB8">
        <w:t xml:space="preserve">All constraints that are expressed on the relationship between the values of the syntax elements and the values of variables derived from those syntax elements in </w:t>
      </w:r>
      <w:r w:rsidR="00812521" w:rsidRPr="00A52AB8">
        <w:t xml:space="preserve">AAPSs, </w:t>
      </w:r>
      <w:r w:rsidR="00611D9C" w:rsidRPr="00A52AB8">
        <w:t>A</w:t>
      </w:r>
      <w:r w:rsidRPr="00A52AB8">
        <w:t>SPSs</w:t>
      </w:r>
      <w:r w:rsidR="00812521" w:rsidRPr="00A52AB8">
        <w:t>,</w:t>
      </w:r>
      <w:r w:rsidRPr="00A52AB8">
        <w:t xml:space="preserve"> AFPSs</w:t>
      </w:r>
      <w:r w:rsidR="00B46E16" w:rsidRPr="00A52AB8">
        <w:t>,</w:t>
      </w:r>
      <w:r w:rsidRPr="00A52AB8">
        <w:t xml:space="preserve"> and other syntax elements</w:t>
      </w:r>
      <w:r w:rsidR="00B46E16" w:rsidRPr="00A52AB8">
        <w:t>,</w:t>
      </w:r>
      <w:r w:rsidRPr="00A52AB8">
        <w:t xml:space="preserve"> are expressions of constraints that apply only to the active</w:t>
      </w:r>
      <w:r w:rsidR="00611D9C" w:rsidRPr="00A52AB8">
        <w:t xml:space="preserve"> </w:t>
      </w:r>
      <w:r w:rsidR="00812521" w:rsidRPr="00A52AB8">
        <w:t xml:space="preserve">AAPS RBSP, the active </w:t>
      </w:r>
      <w:r w:rsidR="00611D9C" w:rsidRPr="00A52AB8">
        <w:t>ASPS RBSP</w:t>
      </w:r>
      <w:r w:rsidR="00812521" w:rsidRPr="00A52AB8">
        <w:t>,</w:t>
      </w:r>
      <w:r w:rsidRPr="00A52AB8">
        <w:t xml:space="preserve"> and the active AFPS RBSP. If any</w:t>
      </w:r>
      <w:r w:rsidR="00611D9C" w:rsidRPr="00A52AB8">
        <w:t xml:space="preserve"> </w:t>
      </w:r>
      <w:r w:rsidR="00812521" w:rsidRPr="00A52AB8">
        <w:t xml:space="preserve">AAPS RBSP, </w:t>
      </w:r>
      <w:r w:rsidR="00611D9C" w:rsidRPr="00A52AB8">
        <w:t>ASPS RBSP</w:t>
      </w:r>
      <w:r w:rsidR="00812521" w:rsidRPr="00A52AB8">
        <w:t>,</w:t>
      </w:r>
      <w:r w:rsidRPr="00A52AB8">
        <w:t xml:space="preserve"> and AFPS RBSP is present that is never activated in the </w:t>
      </w:r>
      <w:r w:rsidR="005E1532" w:rsidRPr="00A52AB8">
        <w:t>bitstream</w:t>
      </w:r>
      <w:r w:rsidRPr="00A52AB8">
        <w:t xml:space="preserve">, its syntax elements shall have values that would conform to the specified constraints if it was activated by reference in an otherwise conforming </w:t>
      </w:r>
      <w:r w:rsidR="005E1532" w:rsidRPr="00A52AB8">
        <w:t>bitstream</w:t>
      </w:r>
      <w:r w:rsidRPr="00A52AB8">
        <w:t>.</w:t>
      </w:r>
    </w:p>
    <w:p w14:paraId="254DD51D" w14:textId="0A2A68AE" w:rsidR="0050235C" w:rsidRPr="00A52AB8" w:rsidRDefault="000B42EC">
      <w:r w:rsidRPr="00A52AB8">
        <w:t xml:space="preserve">During operation of the decoding process (see </w:t>
      </w:r>
      <w:r w:rsidR="0086472B" w:rsidRPr="00A52AB8">
        <w:t>Clause</w:t>
      </w:r>
      <w:r w:rsidRPr="00A52AB8">
        <w:t> </w:t>
      </w:r>
      <w:r w:rsidR="009A3115" w:rsidRPr="00496A4D">
        <w:fldChar w:fldCharType="begin"/>
      </w:r>
      <w:r w:rsidR="009A3115" w:rsidRPr="00A52AB8">
        <w:instrText xml:space="preserve"> REF _Ref389779808 \n \h </w:instrText>
      </w:r>
      <w:r w:rsidR="00025423" w:rsidRPr="00A52AB8">
        <w:instrText xml:space="preserve"> \* MERGEFORMAT </w:instrText>
      </w:r>
      <w:r w:rsidR="009A3115" w:rsidRPr="00496A4D">
        <w:fldChar w:fldCharType="separate"/>
      </w:r>
      <w:r w:rsidR="00507A67">
        <w:t>9</w:t>
      </w:r>
      <w:r w:rsidR="009A3115" w:rsidRPr="00496A4D">
        <w:fldChar w:fldCharType="end"/>
      </w:r>
      <w:r w:rsidRPr="00A52AB8">
        <w:t xml:space="preserve">), the values of parameters of </w:t>
      </w:r>
      <w:r w:rsidR="00CA2164" w:rsidRPr="00A52AB8">
        <w:t xml:space="preserve">the active AAPS RBSP, </w:t>
      </w:r>
      <w:r w:rsidRPr="00A52AB8">
        <w:t>the active</w:t>
      </w:r>
      <w:r w:rsidR="00611D9C" w:rsidRPr="00A52AB8">
        <w:t xml:space="preserve"> ASPS RBSP</w:t>
      </w:r>
      <w:r w:rsidR="00CA2164" w:rsidRPr="00A52AB8">
        <w:t>,</w:t>
      </w:r>
      <w:r w:rsidRPr="00A52AB8">
        <w:t xml:space="preserve"> and the active AFPS RBSP are considered in effect. For interpretation of SEI messages, the values of </w:t>
      </w:r>
      <w:r w:rsidR="00CA2164" w:rsidRPr="00A52AB8">
        <w:t xml:space="preserve">the active AAPS RBSP, </w:t>
      </w:r>
      <w:r w:rsidRPr="00A52AB8">
        <w:t>the active</w:t>
      </w:r>
      <w:r w:rsidR="00611D9C" w:rsidRPr="00A52AB8">
        <w:t xml:space="preserve"> ASPS RBSP</w:t>
      </w:r>
      <w:r w:rsidR="00CA2164" w:rsidRPr="00A52AB8">
        <w:t>,</w:t>
      </w:r>
      <w:r w:rsidRPr="00A52AB8">
        <w:t xml:space="preserve"> and the active AFPS RBSP for the operation of the decoding process for the </w:t>
      </w:r>
      <w:r w:rsidR="00611D9C" w:rsidRPr="00A52AB8">
        <w:t>A</w:t>
      </w:r>
      <w:r w:rsidRPr="00A52AB8">
        <w:t xml:space="preserve">CL NAL units of the coded </w:t>
      </w:r>
      <w:r w:rsidR="00611D9C" w:rsidRPr="00A52AB8">
        <w:t>atlas frame</w:t>
      </w:r>
      <w:r w:rsidRPr="00A52AB8">
        <w:t xml:space="preserve"> with </w:t>
      </w:r>
      <w:r w:rsidR="00C32EFE" w:rsidRPr="00A52AB8">
        <w:t>nal</w:t>
      </w:r>
      <w:r w:rsidRPr="00A52AB8">
        <w:t>_layer_id equal to 0 in the same access unit are considered in effect unless otherwise specified in the SEI message semantics.</w:t>
      </w:r>
    </w:p>
    <w:p w14:paraId="593F013B" w14:textId="411A341B" w:rsidR="000B42EC" w:rsidRPr="00A52AB8" w:rsidRDefault="000B42EC">
      <w:pPr>
        <w:pStyle w:val="Heading5"/>
      </w:pPr>
      <w:bookmarkStart w:id="1127" w:name="_Toc77680404"/>
      <w:bookmarkStart w:id="1128" w:name="_Ref168820413"/>
      <w:bookmarkStart w:id="1129" w:name="_Ref220341760"/>
      <w:bookmarkStart w:id="1130" w:name="_Toc226456558"/>
      <w:r w:rsidRPr="00A52AB8">
        <w:t xml:space="preserve">Order of access units </w:t>
      </w:r>
      <w:r w:rsidR="007F3903" w:rsidRPr="00A52AB8">
        <w:t xml:space="preserve">(AUs) </w:t>
      </w:r>
      <w:r w:rsidRPr="00A52AB8">
        <w:t xml:space="preserve">and association to </w:t>
      </w:r>
      <w:r w:rsidR="00260BE4" w:rsidRPr="00A52AB8">
        <w:t>C</w:t>
      </w:r>
      <w:r w:rsidR="00567C5F" w:rsidRPr="00A52AB8">
        <w:t>A</w:t>
      </w:r>
      <w:r w:rsidR="00260BE4" w:rsidRPr="00A52AB8">
        <w:t>S</w:t>
      </w:r>
      <w:r w:rsidRPr="00A52AB8">
        <w:t>s</w:t>
      </w:r>
      <w:bookmarkEnd w:id="1127"/>
      <w:bookmarkEnd w:id="1128"/>
      <w:bookmarkEnd w:id="1129"/>
      <w:bookmarkEnd w:id="1130"/>
    </w:p>
    <w:p w14:paraId="48D20E2A" w14:textId="03E8929B" w:rsidR="00FC1B16" w:rsidRDefault="000B42EC" w:rsidP="00FC1B16">
      <w:r w:rsidRPr="00A52AB8">
        <w:t xml:space="preserve">A </w:t>
      </w:r>
      <w:r w:rsidR="005E1532" w:rsidRPr="00A52AB8">
        <w:t>bitstream</w:t>
      </w:r>
      <w:r w:rsidRPr="00A52AB8">
        <w:t xml:space="preserve"> conforming to </w:t>
      </w:r>
      <w:r w:rsidR="001905CC" w:rsidRPr="00A52AB8">
        <w:t>this document</w:t>
      </w:r>
      <w:r w:rsidRPr="00A52AB8">
        <w:t xml:space="preserve"> consists of one or more </w:t>
      </w:r>
      <w:r w:rsidR="00260BE4" w:rsidRPr="00A52AB8">
        <w:t>C</w:t>
      </w:r>
      <w:r w:rsidR="00567C5F" w:rsidRPr="00A52AB8">
        <w:t>AS</w:t>
      </w:r>
      <w:r w:rsidRPr="00A52AB8">
        <w:t>s.</w:t>
      </w:r>
    </w:p>
    <w:p w14:paraId="2100F448" w14:textId="1C30620D" w:rsidR="00FC1B16" w:rsidRPr="00A52AB8" w:rsidRDefault="000B42EC" w:rsidP="00FC1B16">
      <w:r w:rsidRPr="00A52AB8">
        <w:t xml:space="preserve">A </w:t>
      </w:r>
      <w:r w:rsidR="00260BE4" w:rsidRPr="00A52AB8">
        <w:t>C</w:t>
      </w:r>
      <w:r w:rsidR="00567C5F" w:rsidRPr="00A52AB8">
        <w:t>A</w:t>
      </w:r>
      <w:r w:rsidR="00260BE4" w:rsidRPr="00A52AB8">
        <w:t>S</w:t>
      </w:r>
      <w:r w:rsidRPr="00A52AB8">
        <w:t xml:space="preserve"> consists of one or more access units. The order of NAL units and coded </w:t>
      </w:r>
      <w:r w:rsidR="00567C5F" w:rsidRPr="00A52AB8">
        <w:t>atlas</w:t>
      </w:r>
      <w:r w:rsidR="009A3115" w:rsidRPr="00A52AB8">
        <w:t xml:space="preserve"> frames</w:t>
      </w:r>
      <w:r w:rsidR="00B46E16" w:rsidRPr="00A52AB8">
        <w:t>,</w:t>
      </w:r>
      <w:r w:rsidRPr="00A52AB8">
        <w:t xml:space="preserve"> and their association to access units </w:t>
      </w:r>
      <w:r w:rsidR="00B46E16" w:rsidRPr="00A52AB8">
        <w:t xml:space="preserve">are </w:t>
      </w:r>
      <w:r w:rsidRPr="00A52AB8">
        <w:t xml:space="preserve">described in </w:t>
      </w:r>
      <w:r w:rsidR="00406A86" w:rsidRPr="00A52AB8">
        <w:t>subclause</w:t>
      </w:r>
      <w:r w:rsidRPr="00A52AB8">
        <w:t> </w:t>
      </w:r>
      <w:r w:rsidRPr="00496A4D">
        <w:fldChar w:fldCharType="begin"/>
      </w:r>
      <w:r w:rsidRPr="00A52AB8">
        <w:instrText xml:space="preserve"> REF _Ref35694632 \r \h  \* MERGEFORMAT </w:instrText>
      </w:r>
      <w:r w:rsidRPr="00496A4D">
        <w:fldChar w:fldCharType="separate"/>
      </w:r>
      <w:r w:rsidR="00507A67">
        <w:t>8.4.5.3.4</w:t>
      </w:r>
      <w:r w:rsidRPr="00496A4D">
        <w:fldChar w:fldCharType="end"/>
      </w:r>
      <w:r w:rsidRPr="00A52AB8">
        <w:t>.</w:t>
      </w:r>
    </w:p>
    <w:p w14:paraId="7D04A847" w14:textId="3A508B3F" w:rsidR="000B42EC" w:rsidRPr="00A52AB8" w:rsidRDefault="000B42EC">
      <w:r w:rsidRPr="00A52AB8">
        <w:t xml:space="preserve">The first access unit of a </w:t>
      </w:r>
      <w:r w:rsidR="00260BE4" w:rsidRPr="00A52AB8">
        <w:t>C</w:t>
      </w:r>
      <w:r w:rsidR="00567C5F" w:rsidRPr="00A52AB8">
        <w:t>A</w:t>
      </w:r>
      <w:r w:rsidR="00260BE4" w:rsidRPr="00A52AB8">
        <w:t>S</w:t>
      </w:r>
      <w:r w:rsidRPr="00A52AB8">
        <w:t xml:space="preserve"> is an </w:t>
      </w:r>
      <w:r w:rsidR="00F560F8" w:rsidRPr="00A52AB8">
        <w:t>IRAP coded atlas access unit</w:t>
      </w:r>
      <w:r w:rsidRPr="00A52AB8">
        <w:t xml:space="preserve"> with </w:t>
      </w:r>
      <w:r w:rsidR="00BB6D1E" w:rsidRPr="00A52AB8">
        <w:t xml:space="preserve">NoOutputBeforeRecoveryFlag </w:t>
      </w:r>
      <w:r w:rsidRPr="00A52AB8">
        <w:t>equal to 1.</w:t>
      </w:r>
    </w:p>
    <w:p w14:paraId="00B55023" w14:textId="4E7C0CB6" w:rsidR="005335E0" w:rsidRPr="00A52AB8" w:rsidRDefault="000B42EC" w:rsidP="00AD76AB">
      <w:r w:rsidRPr="00A52AB8">
        <w:t xml:space="preserve">It is a requirement of bitstream conformance that, when present, the next access unit after an access unit that contains an end of sequence NAL unit or an end of </w:t>
      </w:r>
      <w:r w:rsidR="00260BE4" w:rsidRPr="00A52AB8">
        <w:t xml:space="preserve">a </w:t>
      </w:r>
      <w:r w:rsidR="005E1532" w:rsidRPr="00A52AB8">
        <w:t>bitstream</w:t>
      </w:r>
      <w:r w:rsidRPr="00A52AB8">
        <w:t xml:space="preserve"> NAL unit shall be an </w:t>
      </w:r>
      <w:r w:rsidR="00F560F8" w:rsidRPr="00A52AB8">
        <w:t>IRAP coded atlas access unit</w:t>
      </w:r>
      <w:r w:rsidRPr="00A52AB8">
        <w:t>, which may be an IDR access unit,</w:t>
      </w:r>
      <w:r w:rsidR="009A3115" w:rsidRPr="00A52AB8">
        <w:t xml:space="preserve"> </w:t>
      </w:r>
      <w:r w:rsidRPr="00A52AB8">
        <w:t>a BLA access unit, or a CRA access unit.</w:t>
      </w:r>
    </w:p>
    <w:p w14:paraId="63FBFAC8" w14:textId="7682C445" w:rsidR="00717EB6" w:rsidRPr="00A52AB8" w:rsidRDefault="009A3115" w:rsidP="002B2941">
      <w:pPr>
        <w:pStyle w:val="Heading5"/>
      </w:pPr>
      <w:bookmarkStart w:id="1131" w:name="_Ref35694632"/>
      <w:bookmarkStart w:id="1132" w:name="_Toc77680405"/>
      <w:bookmarkStart w:id="1133" w:name="_Toc226456559"/>
      <w:r w:rsidRPr="00A52AB8">
        <w:t xml:space="preserve">Order </w:t>
      </w:r>
      <w:r w:rsidR="000B42EC" w:rsidRPr="00A52AB8">
        <w:t xml:space="preserve">of NAL units and coded </w:t>
      </w:r>
      <w:r w:rsidRPr="00A52AB8">
        <w:t>atlas frames</w:t>
      </w:r>
      <w:r w:rsidR="00B46E16" w:rsidRPr="00A52AB8">
        <w:t>,</w:t>
      </w:r>
      <w:r w:rsidR="000B42EC" w:rsidRPr="00A52AB8">
        <w:t xml:space="preserve"> and their association to access units</w:t>
      </w:r>
      <w:bookmarkEnd w:id="1131"/>
      <w:bookmarkEnd w:id="1132"/>
      <w:bookmarkEnd w:id="1133"/>
    </w:p>
    <w:p w14:paraId="54D0AF5C" w14:textId="037F1D69" w:rsidR="000B42EC" w:rsidRPr="00A52AB8" w:rsidRDefault="000B42EC">
      <w:r w:rsidRPr="00A52AB8">
        <w:t xml:space="preserve">This </w:t>
      </w:r>
      <w:r w:rsidR="00406A86" w:rsidRPr="00A52AB8">
        <w:t>subclause</w:t>
      </w:r>
      <w:r w:rsidRPr="00A52AB8">
        <w:t xml:space="preserve"> specifies the order of NAL units and coded </w:t>
      </w:r>
      <w:r w:rsidR="009A3115" w:rsidRPr="00A52AB8">
        <w:t>atlas frames</w:t>
      </w:r>
      <w:r w:rsidR="00B46E16" w:rsidRPr="00A52AB8">
        <w:t>,</w:t>
      </w:r>
      <w:r w:rsidRPr="00A52AB8">
        <w:t xml:space="preserve"> and their association to access units for </w:t>
      </w:r>
      <w:r w:rsidR="00D43743" w:rsidRPr="00A52AB8">
        <w:t xml:space="preserve">CASs that belong to a </w:t>
      </w:r>
      <w:r w:rsidR="000D609E" w:rsidRPr="00A52AB8">
        <w:t>CVS</w:t>
      </w:r>
      <w:r w:rsidRPr="00A52AB8">
        <w:t xml:space="preserve">s that conform to one or more of the profiles specified in </w:t>
      </w:r>
      <w:r w:rsidR="001B77F6" w:rsidRPr="00496A4D">
        <w:rPr>
          <w:color w:val="000000" w:themeColor="text1"/>
        </w:rPr>
        <w:fldChar w:fldCharType="begin"/>
      </w:r>
      <w:r w:rsidR="001B77F6" w:rsidRPr="00A52AB8">
        <w:rPr>
          <w:color w:val="000000" w:themeColor="text1"/>
        </w:rPr>
        <w:instrText xml:space="preserve"> REF _Ref21509350 \r \h </w:instrText>
      </w:r>
      <w:r w:rsidR="00025423" w:rsidRPr="00A52AB8">
        <w:rPr>
          <w:color w:val="000000" w:themeColor="text1"/>
        </w:rPr>
        <w:instrText xml:space="preserve"> \* MERGEFORMAT </w:instrText>
      </w:r>
      <w:r w:rsidR="001B77F6" w:rsidRPr="00496A4D">
        <w:rPr>
          <w:color w:val="000000" w:themeColor="text1"/>
        </w:rPr>
      </w:r>
      <w:r w:rsidR="001B77F6" w:rsidRPr="00496A4D">
        <w:rPr>
          <w:color w:val="000000" w:themeColor="text1"/>
        </w:rPr>
        <w:fldChar w:fldCharType="separate"/>
      </w:r>
      <w:r w:rsidR="00507A67">
        <w:rPr>
          <w:color w:val="000000" w:themeColor="text1"/>
        </w:rPr>
        <w:t>Annex A</w:t>
      </w:r>
      <w:r w:rsidR="001B77F6" w:rsidRPr="00496A4D">
        <w:rPr>
          <w:color w:val="000000" w:themeColor="text1"/>
        </w:rPr>
        <w:fldChar w:fldCharType="end"/>
      </w:r>
      <w:r w:rsidR="001B77F6" w:rsidRPr="00A52AB8">
        <w:rPr>
          <w:color w:val="000000" w:themeColor="text1"/>
        </w:rPr>
        <w:t xml:space="preserve"> </w:t>
      </w:r>
      <w:r w:rsidRPr="00A52AB8">
        <w:t xml:space="preserve">and that are decoded using the decoding process specified in </w:t>
      </w:r>
      <w:r w:rsidR="007F7806" w:rsidRPr="00A52AB8">
        <w:t>c</w:t>
      </w:r>
      <w:r w:rsidRPr="00A52AB8">
        <w:t>lauses </w:t>
      </w:r>
      <w:r w:rsidR="009A3115" w:rsidRPr="00496A4D">
        <w:fldChar w:fldCharType="begin"/>
      </w:r>
      <w:r w:rsidR="009A3115" w:rsidRPr="00A52AB8">
        <w:instrText xml:space="preserve"> REF _Ref18670923 \n \h </w:instrText>
      </w:r>
      <w:r w:rsidR="00025423" w:rsidRPr="00A52AB8">
        <w:instrText xml:space="preserve"> \* MERGEFORMAT </w:instrText>
      </w:r>
      <w:r w:rsidR="009A3115" w:rsidRPr="00496A4D">
        <w:fldChar w:fldCharType="separate"/>
      </w:r>
      <w:r w:rsidR="00507A67">
        <w:t>2</w:t>
      </w:r>
      <w:r w:rsidR="009A3115" w:rsidRPr="00496A4D">
        <w:fldChar w:fldCharType="end"/>
      </w:r>
      <w:r w:rsidR="009A3115" w:rsidRPr="00A52AB8">
        <w:t xml:space="preserve"> </w:t>
      </w:r>
      <w:r w:rsidRPr="00A52AB8">
        <w:t>through</w:t>
      </w:r>
      <w:r w:rsidR="00FC3EE3" w:rsidRPr="00A52AB8">
        <w:t xml:space="preserve"> </w:t>
      </w:r>
      <w:r w:rsidR="004E6567" w:rsidRPr="00496A4D">
        <w:fldChar w:fldCharType="begin"/>
      </w:r>
      <w:r w:rsidR="004E6567" w:rsidRPr="00A52AB8">
        <w:instrText xml:space="preserve"> REF _Ref389779808 \r \h </w:instrText>
      </w:r>
      <w:r w:rsidR="00007BE2" w:rsidRPr="00A52AB8">
        <w:instrText xml:space="preserve"> \* MERGEFORMAT </w:instrText>
      </w:r>
      <w:r w:rsidR="004E6567" w:rsidRPr="00496A4D">
        <w:fldChar w:fldCharType="separate"/>
      </w:r>
      <w:r w:rsidR="00507A67">
        <w:t>9</w:t>
      </w:r>
      <w:r w:rsidR="004E6567" w:rsidRPr="00496A4D">
        <w:fldChar w:fldCharType="end"/>
      </w:r>
      <w:r w:rsidRPr="00A52AB8">
        <w:t>.</w:t>
      </w:r>
    </w:p>
    <w:p w14:paraId="64E43B0E" w14:textId="68EA2942" w:rsidR="000B42EC" w:rsidRPr="00A52AB8" w:rsidRDefault="000B42EC">
      <w:r w:rsidRPr="00A52AB8">
        <w:t xml:space="preserve">An access unit consists of one coded </w:t>
      </w:r>
      <w:r w:rsidR="00356C02" w:rsidRPr="00A52AB8">
        <w:t xml:space="preserve">atlas </w:t>
      </w:r>
      <w:r w:rsidRPr="00A52AB8">
        <w:t xml:space="preserve">with </w:t>
      </w:r>
      <w:r w:rsidR="00C32EFE" w:rsidRPr="00A52AB8">
        <w:t>nal</w:t>
      </w:r>
      <w:r w:rsidRPr="00A52AB8">
        <w:t xml:space="preserve">_layer_id equal to 0, zero or more </w:t>
      </w:r>
      <w:r w:rsidR="009A3115" w:rsidRPr="00A52AB8">
        <w:t>ACL</w:t>
      </w:r>
      <w:r w:rsidRPr="00A52AB8">
        <w:t xml:space="preserve"> NAL units with </w:t>
      </w:r>
      <w:r w:rsidR="00C32EFE" w:rsidRPr="00A52AB8">
        <w:t>nal</w:t>
      </w:r>
      <w:r w:rsidRPr="00A52AB8">
        <w:t>_layer_id greater than 0</w:t>
      </w:r>
      <w:r w:rsidR="00B46E16" w:rsidRPr="00A52AB8">
        <w:t>,</w:t>
      </w:r>
      <w:r w:rsidRPr="00A52AB8">
        <w:t xml:space="preserve"> and zero or more non-</w:t>
      </w:r>
      <w:r w:rsidR="009A3115" w:rsidRPr="00A52AB8">
        <w:t>ACL</w:t>
      </w:r>
      <w:r w:rsidRPr="00A52AB8">
        <w:t xml:space="preserve"> NAL units. The association of </w:t>
      </w:r>
      <w:r w:rsidR="009A3115" w:rsidRPr="00A52AB8">
        <w:t>ACL</w:t>
      </w:r>
      <w:r w:rsidRPr="00A52AB8">
        <w:t xml:space="preserve"> NAL units to coded </w:t>
      </w:r>
      <w:r w:rsidR="00356C02" w:rsidRPr="00A52AB8">
        <w:t xml:space="preserve">atlases </w:t>
      </w:r>
      <w:r w:rsidRPr="00A52AB8">
        <w:t xml:space="preserve">is described in </w:t>
      </w:r>
      <w:r w:rsidR="00406A86" w:rsidRPr="00A52AB8">
        <w:t>subclause</w:t>
      </w:r>
      <w:r w:rsidRPr="00A52AB8">
        <w:t> </w:t>
      </w:r>
      <w:r w:rsidRPr="00496A4D">
        <w:fldChar w:fldCharType="begin"/>
      </w:r>
      <w:r w:rsidRPr="00A52AB8">
        <w:instrText xml:space="preserve"> REF _Ref350087917 \r \h </w:instrText>
      </w:r>
      <w:r w:rsidR="00025423" w:rsidRPr="00A52AB8">
        <w:instrText xml:space="preserve"> \* MERGEFORMAT </w:instrText>
      </w:r>
      <w:r w:rsidRPr="00496A4D">
        <w:fldChar w:fldCharType="separate"/>
      </w:r>
      <w:r w:rsidR="00507A67">
        <w:t>8.4.5.3.5</w:t>
      </w:r>
      <w:r w:rsidRPr="00496A4D">
        <w:fldChar w:fldCharType="end"/>
      </w:r>
      <w:r w:rsidRPr="00A52AB8">
        <w:t>.</w:t>
      </w:r>
    </w:p>
    <w:p w14:paraId="22BA71BD" w14:textId="77777777" w:rsidR="000B42EC" w:rsidRPr="00A52AB8" w:rsidRDefault="000B42EC">
      <w:pPr>
        <w:tabs>
          <w:tab w:val="left" w:pos="-720"/>
        </w:tabs>
      </w:pPr>
      <w:r w:rsidRPr="00A52AB8">
        <w:t xml:space="preserve">The first access unit in the </w:t>
      </w:r>
      <w:r w:rsidR="005E1532" w:rsidRPr="00A52AB8">
        <w:t>bitstream</w:t>
      </w:r>
      <w:r w:rsidRPr="00A52AB8">
        <w:t xml:space="preserve"> starts with the first NAL unit of the </w:t>
      </w:r>
      <w:r w:rsidR="005E1532" w:rsidRPr="00A52AB8">
        <w:t>bitstream</w:t>
      </w:r>
      <w:r w:rsidRPr="00A52AB8">
        <w:t>.</w:t>
      </w:r>
    </w:p>
    <w:p w14:paraId="65AA177B" w14:textId="77777777" w:rsidR="000B42EC" w:rsidRPr="00A52AB8" w:rsidRDefault="000B42EC">
      <w:r w:rsidRPr="00A52AB8">
        <w:t>Let firstBl</w:t>
      </w:r>
      <w:r w:rsidR="009A3115" w:rsidRPr="00A52AB8">
        <w:t>AFrm</w:t>
      </w:r>
      <w:r w:rsidRPr="00A52AB8">
        <w:t xml:space="preserve">NalUnit be the first </w:t>
      </w:r>
      <w:r w:rsidR="009A3115" w:rsidRPr="00A52AB8">
        <w:t>ACL</w:t>
      </w:r>
      <w:r w:rsidRPr="00A52AB8">
        <w:t xml:space="preserve"> NAL unit of a coded </w:t>
      </w:r>
      <w:r w:rsidR="009A3115" w:rsidRPr="00A52AB8">
        <w:t>atlas frame</w:t>
      </w:r>
      <w:r w:rsidRPr="00A52AB8">
        <w:t xml:space="preserve"> with </w:t>
      </w:r>
      <w:r w:rsidR="00C32EFE" w:rsidRPr="00A52AB8">
        <w:t>nal</w:t>
      </w:r>
      <w:r w:rsidRPr="00A52AB8">
        <w:t>_layer_id equal to 0. The first of any of the following NAL units preceding first</w:t>
      </w:r>
      <w:r w:rsidR="009A3115" w:rsidRPr="00A52AB8">
        <w:t>BlAFrm</w:t>
      </w:r>
      <w:r w:rsidRPr="00A52AB8">
        <w:t xml:space="preserve">NalUnit and succeeding the last </w:t>
      </w:r>
      <w:r w:rsidR="009A3115" w:rsidRPr="00A52AB8">
        <w:t>ACL</w:t>
      </w:r>
      <w:r w:rsidRPr="00A52AB8">
        <w:t xml:space="preserve"> NAL unit preceding first</w:t>
      </w:r>
      <w:r w:rsidR="009A3115" w:rsidRPr="00A52AB8">
        <w:t>BlAFrm</w:t>
      </w:r>
      <w:r w:rsidRPr="00A52AB8">
        <w:t>NalUnit, if any, specifies the start of a new access unit:</w:t>
      </w:r>
    </w:p>
    <w:p w14:paraId="4953AFE3" w14:textId="2AEF2E57" w:rsidR="000B42EC" w:rsidRPr="00A52AB8" w:rsidRDefault="000B42EC">
      <w:pPr>
        <w:ind w:left="403"/>
      </w:pPr>
      <w:r w:rsidRPr="00A52AB8">
        <w:rPr>
          <w:sz w:val="18"/>
        </w:rPr>
        <w:t>NOTE </w:t>
      </w:r>
      <w:r w:rsidR="00ED42A3" w:rsidRPr="00496A4D">
        <w:fldChar w:fldCharType="begin"/>
      </w:r>
      <w:r w:rsidR="00ED42A3" w:rsidRPr="00A52AB8">
        <w:instrText xml:space="preserve"> SEQ NoteCounter \r 1 \s 9 \* MERGEFORMAT  \* MERGEFORMAT  \* MERGEFORMAT </w:instrText>
      </w:r>
      <w:r w:rsidR="00ED42A3" w:rsidRPr="00496A4D">
        <w:fldChar w:fldCharType="separate"/>
      </w:r>
      <w:r w:rsidR="00507A67" w:rsidRPr="00507A67">
        <w:rPr>
          <w:noProof/>
          <w:sz w:val="18"/>
        </w:rPr>
        <w:t>1</w:t>
      </w:r>
      <w:r w:rsidR="00ED42A3" w:rsidRPr="00496A4D">
        <w:rPr>
          <w:sz w:val="18"/>
        </w:rPr>
        <w:fldChar w:fldCharType="end"/>
      </w:r>
      <w:r w:rsidRPr="00A52AB8">
        <w:rPr>
          <w:sz w:val="18"/>
        </w:rPr>
        <w:t xml:space="preserve"> – The last </w:t>
      </w:r>
      <w:r w:rsidR="009A3115" w:rsidRPr="00A52AB8">
        <w:rPr>
          <w:sz w:val="18"/>
        </w:rPr>
        <w:t>ACL</w:t>
      </w:r>
      <w:r w:rsidRPr="00A52AB8">
        <w:rPr>
          <w:sz w:val="18"/>
        </w:rPr>
        <w:t xml:space="preserve"> NAL unit preceding first</w:t>
      </w:r>
      <w:r w:rsidR="009A3115" w:rsidRPr="00A52AB8">
        <w:rPr>
          <w:sz w:val="18"/>
        </w:rPr>
        <w:t>BlAFrm</w:t>
      </w:r>
      <w:r w:rsidRPr="00A52AB8">
        <w:rPr>
          <w:sz w:val="18"/>
        </w:rPr>
        <w:t xml:space="preserve">NalUnit in decoding order </w:t>
      </w:r>
      <w:r w:rsidR="00B64248" w:rsidRPr="00A52AB8">
        <w:rPr>
          <w:sz w:val="18"/>
        </w:rPr>
        <w:t xml:space="preserve">can </w:t>
      </w:r>
      <w:r w:rsidRPr="00A52AB8">
        <w:rPr>
          <w:sz w:val="18"/>
        </w:rPr>
        <w:t xml:space="preserve">have </w:t>
      </w:r>
      <w:r w:rsidR="00C32EFE" w:rsidRPr="00A52AB8">
        <w:rPr>
          <w:sz w:val="18"/>
        </w:rPr>
        <w:t>nal</w:t>
      </w:r>
      <w:r w:rsidRPr="00A52AB8">
        <w:rPr>
          <w:sz w:val="18"/>
        </w:rPr>
        <w:t>_layer_id greater than 0.</w:t>
      </w:r>
    </w:p>
    <w:p w14:paraId="2A8F6804" w14:textId="24F9D7D2" w:rsidR="000B42EC" w:rsidRPr="00A52AB8" w:rsidRDefault="000B42E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access </w:t>
      </w:r>
      <w:r w:rsidR="00AF5082" w:rsidRPr="00A52AB8">
        <w:rPr>
          <w:color w:val="000000" w:themeColor="text1"/>
        </w:rPr>
        <w:t xml:space="preserve">unit delimiter </w:t>
      </w:r>
      <w:r w:rsidR="009A3115" w:rsidRPr="00A52AB8">
        <w:rPr>
          <w:color w:val="000000" w:themeColor="text1"/>
        </w:rPr>
        <w:t xml:space="preserve">or </w:t>
      </w:r>
      <w:r w:rsidR="00463CF8" w:rsidRPr="00A52AB8">
        <w:rPr>
          <w:color w:val="000000" w:themeColor="text1"/>
        </w:rPr>
        <w:t>V3C</w:t>
      </w:r>
      <w:r w:rsidR="001F009C" w:rsidRPr="00A52AB8">
        <w:rPr>
          <w:color w:val="000000" w:themeColor="text1"/>
        </w:rPr>
        <w:t xml:space="preserve"> a</w:t>
      </w:r>
      <w:r w:rsidR="009A3115" w:rsidRPr="00A52AB8">
        <w:rPr>
          <w:color w:val="000000" w:themeColor="text1"/>
        </w:rPr>
        <w:t xml:space="preserve">ccess </w:t>
      </w:r>
      <w:r w:rsidRPr="00A52AB8">
        <w:rPr>
          <w:color w:val="000000" w:themeColor="text1"/>
        </w:rPr>
        <w:t xml:space="preserve">unit delimiter NAL unit with </w:t>
      </w:r>
      <w:r w:rsidR="00C32EFE" w:rsidRPr="00A52AB8">
        <w:rPr>
          <w:color w:val="000000" w:themeColor="text1"/>
        </w:rPr>
        <w:t>nal</w:t>
      </w:r>
      <w:r w:rsidRPr="00A52AB8">
        <w:rPr>
          <w:color w:val="000000" w:themeColor="text1"/>
        </w:rPr>
        <w:t>_layer_id equal to 0 (when present),</w:t>
      </w:r>
    </w:p>
    <w:p w14:paraId="5A961F0B" w14:textId="1ED5512B" w:rsidR="006A00A2" w:rsidRPr="00A52AB8" w:rsidRDefault="006A00A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AAPS NAL unit with nal_layer_id equal to 0 (when present),</w:t>
      </w:r>
    </w:p>
    <w:p w14:paraId="4C31CEAC" w14:textId="6B030CC9" w:rsidR="000B42EC" w:rsidRPr="00A52AB8" w:rsidRDefault="009A311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w:t>
      </w:r>
      <w:r w:rsidR="000B42EC" w:rsidRPr="00A52AB8">
        <w:rPr>
          <w:color w:val="000000" w:themeColor="text1"/>
        </w:rPr>
        <w:t xml:space="preserve">SPS NAL unit with </w:t>
      </w:r>
      <w:r w:rsidR="00C32EFE" w:rsidRPr="00A52AB8">
        <w:rPr>
          <w:color w:val="000000" w:themeColor="text1"/>
        </w:rPr>
        <w:t>nal</w:t>
      </w:r>
      <w:r w:rsidR="000B42EC" w:rsidRPr="00A52AB8">
        <w:rPr>
          <w:color w:val="000000" w:themeColor="text1"/>
        </w:rPr>
        <w:t>_layer_id equal to 0 (when present),</w:t>
      </w:r>
    </w:p>
    <w:p w14:paraId="2DD288FB" w14:textId="6F0E63D7" w:rsidR="000B42EC" w:rsidRPr="00A52AB8" w:rsidRDefault="000B42E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AFPS NAL unit with </w:t>
      </w:r>
      <w:r w:rsidR="00C32EFE" w:rsidRPr="00A52AB8">
        <w:rPr>
          <w:color w:val="000000" w:themeColor="text1"/>
        </w:rPr>
        <w:t>nal</w:t>
      </w:r>
      <w:r w:rsidRPr="00A52AB8">
        <w:rPr>
          <w:color w:val="000000" w:themeColor="text1"/>
        </w:rPr>
        <w:t>_layer_id equal to 0 (when present),</w:t>
      </w:r>
    </w:p>
    <w:p w14:paraId="00DDDFA0" w14:textId="161933CE" w:rsidR="00E25BE1" w:rsidRPr="00A52AB8" w:rsidRDefault="000B42E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Prefix SEI NAL unit with </w:t>
      </w:r>
      <w:r w:rsidR="00C32EFE" w:rsidRPr="00A52AB8">
        <w:rPr>
          <w:color w:val="000000" w:themeColor="text1"/>
        </w:rPr>
        <w:t>nal</w:t>
      </w:r>
      <w:r w:rsidRPr="00A52AB8">
        <w:rPr>
          <w:color w:val="000000" w:themeColor="text1"/>
        </w:rPr>
        <w:t>_layer_id equal to 0 (when present),</w:t>
      </w:r>
    </w:p>
    <w:p w14:paraId="5AD8B9D1" w14:textId="5FE533AF" w:rsidR="000B42EC" w:rsidRPr="00A52AB8" w:rsidRDefault="000B42E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NAL units with nal_unit_type in the range of </w:t>
      </w:r>
      <w:r w:rsidR="00F453BB" w:rsidRPr="00A52AB8">
        <w:rPr>
          <w:color w:val="000000" w:themeColor="text1"/>
        </w:rPr>
        <w:t>NAL_</w:t>
      </w:r>
      <w:r w:rsidRPr="00A52AB8">
        <w:rPr>
          <w:color w:val="000000" w:themeColor="text1"/>
        </w:rPr>
        <w:t>RSV_N</w:t>
      </w:r>
      <w:r w:rsidR="009A3115" w:rsidRPr="00A52AB8">
        <w:rPr>
          <w:color w:val="000000" w:themeColor="text1"/>
        </w:rPr>
        <w:t>ACL</w:t>
      </w:r>
      <w:r w:rsidR="00B108F2" w:rsidRPr="00A52AB8">
        <w:rPr>
          <w:color w:val="000000" w:themeColor="text1"/>
        </w:rPr>
        <w:t>_4</w:t>
      </w:r>
      <w:r w:rsidR="008C7746" w:rsidRPr="00A52AB8">
        <w:rPr>
          <w:color w:val="000000" w:themeColor="text1"/>
        </w:rPr>
        <w:t>8</w:t>
      </w:r>
      <w:r w:rsidRPr="00A52AB8">
        <w:rPr>
          <w:color w:val="000000" w:themeColor="text1"/>
        </w:rPr>
        <w:t>..</w:t>
      </w:r>
      <w:r w:rsidR="00F453BB" w:rsidRPr="00A52AB8">
        <w:rPr>
          <w:color w:val="000000" w:themeColor="text1"/>
        </w:rPr>
        <w:t>NAL_</w:t>
      </w:r>
      <w:r w:rsidRPr="00A52AB8">
        <w:rPr>
          <w:color w:val="000000" w:themeColor="text1"/>
        </w:rPr>
        <w:t>RSV_N</w:t>
      </w:r>
      <w:r w:rsidR="009A3115" w:rsidRPr="00A52AB8">
        <w:rPr>
          <w:color w:val="000000" w:themeColor="text1"/>
        </w:rPr>
        <w:t>ACL</w:t>
      </w:r>
      <w:r w:rsidR="00B108F2" w:rsidRPr="00A52AB8">
        <w:rPr>
          <w:color w:val="000000" w:themeColor="text1"/>
        </w:rPr>
        <w:t>_52</w:t>
      </w:r>
      <w:r w:rsidRPr="00A52AB8">
        <w:rPr>
          <w:color w:val="000000" w:themeColor="text1"/>
        </w:rPr>
        <w:t xml:space="preserve"> with </w:t>
      </w:r>
      <w:r w:rsidR="00C32EFE" w:rsidRPr="00A52AB8">
        <w:rPr>
          <w:color w:val="000000" w:themeColor="text1"/>
        </w:rPr>
        <w:t>nal</w:t>
      </w:r>
      <w:r w:rsidRPr="00A52AB8">
        <w:rPr>
          <w:color w:val="000000" w:themeColor="text1"/>
        </w:rPr>
        <w:t>_layer_id equal to 0 (when present),</w:t>
      </w:r>
    </w:p>
    <w:p w14:paraId="475D65B6" w14:textId="57E71633" w:rsidR="000B42EC" w:rsidRPr="00A52AB8" w:rsidRDefault="000B42E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NAL units with nal_unit_type in the range of </w:t>
      </w:r>
      <w:r w:rsidR="00F453BB" w:rsidRPr="00A52AB8">
        <w:rPr>
          <w:color w:val="000000" w:themeColor="text1"/>
        </w:rPr>
        <w:t>NAL_</w:t>
      </w:r>
      <w:r w:rsidRPr="00A52AB8">
        <w:rPr>
          <w:color w:val="000000" w:themeColor="text1"/>
        </w:rPr>
        <w:t>UNSPEC</w:t>
      </w:r>
      <w:r w:rsidR="00F453BB" w:rsidRPr="00A52AB8">
        <w:rPr>
          <w:color w:val="000000" w:themeColor="text1"/>
        </w:rPr>
        <w:t>_</w:t>
      </w:r>
      <w:r w:rsidR="00B108F2" w:rsidRPr="00A52AB8">
        <w:rPr>
          <w:color w:val="000000" w:themeColor="text1"/>
        </w:rPr>
        <w:t>53</w:t>
      </w:r>
      <w:r w:rsidRPr="00A52AB8">
        <w:rPr>
          <w:color w:val="000000" w:themeColor="text1"/>
        </w:rPr>
        <w:t>..</w:t>
      </w:r>
      <w:r w:rsidR="00F453BB" w:rsidRPr="00A52AB8">
        <w:rPr>
          <w:color w:val="000000" w:themeColor="text1"/>
        </w:rPr>
        <w:t>NAL_</w:t>
      </w:r>
      <w:r w:rsidRPr="00A52AB8">
        <w:rPr>
          <w:color w:val="000000" w:themeColor="text1"/>
        </w:rPr>
        <w:t>UNSPEC</w:t>
      </w:r>
      <w:r w:rsidR="00F453BB" w:rsidRPr="00A52AB8">
        <w:rPr>
          <w:color w:val="000000" w:themeColor="text1"/>
        </w:rPr>
        <w:t>_</w:t>
      </w:r>
      <w:r w:rsidR="00B108F2" w:rsidRPr="00A52AB8">
        <w:rPr>
          <w:color w:val="000000" w:themeColor="text1"/>
        </w:rPr>
        <w:t>63</w:t>
      </w:r>
      <w:r w:rsidRPr="00A52AB8">
        <w:rPr>
          <w:color w:val="000000" w:themeColor="text1"/>
        </w:rPr>
        <w:t xml:space="preserve"> with </w:t>
      </w:r>
      <w:r w:rsidR="00C32EFE" w:rsidRPr="00A52AB8">
        <w:rPr>
          <w:color w:val="000000" w:themeColor="text1"/>
        </w:rPr>
        <w:t>nal</w:t>
      </w:r>
      <w:r w:rsidRPr="00A52AB8">
        <w:rPr>
          <w:color w:val="000000" w:themeColor="text1"/>
        </w:rPr>
        <w:t>_layer_id equal to 0 (when present).</w:t>
      </w:r>
    </w:p>
    <w:p w14:paraId="6513D3CD" w14:textId="6404A99B" w:rsidR="000B42EC" w:rsidRPr="00A52AB8" w:rsidRDefault="000B42EC">
      <w:pPr>
        <w:tabs>
          <w:tab w:val="clear" w:pos="403"/>
          <w:tab w:val="left" w:pos="400"/>
        </w:tabs>
        <w:ind w:left="400"/>
      </w:pPr>
      <w:r w:rsidRPr="00A52AB8">
        <w:rPr>
          <w:sz w:val="18"/>
          <w:szCs w:val="18"/>
        </w:rPr>
        <w:t>NOTE </w:t>
      </w:r>
      <w:r w:rsidR="00ED42A3" w:rsidRPr="00496A4D">
        <w:fldChar w:fldCharType="begin"/>
      </w:r>
      <w:r w:rsidR="00ED42A3" w:rsidRPr="00A52AB8">
        <w:instrText xml:space="preserve"> SEQ NoteCounter \s 9 \* MERGEFORMAT  \* MERGEFORMAT </w:instrText>
      </w:r>
      <w:r w:rsidR="00ED42A3" w:rsidRPr="00496A4D">
        <w:fldChar w:fldCharType="separate"/>
      </w:r>
      <w:r w:rsidR="00507A67" w:rsidRPr="00507A67">
        <w:rPr>
          <w:noProof/>
          <w:sz w:val="18"/>
          <w:szCs w:val="18"/>
        </w:rPr>
        <w:t>2</w:t>
      </w:r>
      <w:r w:rsidR="00ED42A3" w:rsidRPr="00496A4D">
        <w:rPr>
          <w:sz w:val="18"/>
          <w:szCs w:val="18"/>
        </w:rPr>
        <w:fldChar w:fldCharType="end"/>
      </w:r>
      <w:r w:rsidRPr="00A52AB8">
        <w:rPr>
          <w:sz w:val="18"/>
          <w:szCs w:val="18"/>
        </w:rPr>
        <w:t> – The first</w:t>
      </w:r>
      <w:r w:rsidRPr="00A52AB8">
        <w:rPr>
          <w:sz w:val="18"/>
        </w:rPr>
        <w:t xml:space="preserve"> NAL unit preceding first</w:t>
      </w:r>
      <w:r w:rsidR="009A3115" w:rsidRPr="00A52AB8">
        <w:rPr>
          <w:sz w:val="18"/>
        </w:rPr>
        <w:t>BlAFrm</w:t>
      </w:r>
      <w:r w:rsidRPr="00A52AB8">
        <w:rPr>
          <w:sz w:val="18"/>
        </w:rPr>
        <w:t xml:space="preserve">NalUnit and succeeding the last </w:t>
      </w:r>
      <w:r w:rsidR="009A3115" w:rsidRPr="00A52AB8">
        <w:rPr>
          <w:sz w:val="18"/>
        </w:rPr>
        <w:t>ACL</w:t>
      </w:r>
      <w:r w:rsidRPr="00A52AB8">
        <w:rPr>
          <w:sz w:val="18"/>
        </w:rPr>
        <w:t xml:space="preserve"> NAL unit preceding first</w:t>
      </w:r>
      <w:r w:rsidR="009A3115" w:rsidRPr="00A52AB8">
        <w:rPr>
          <w:sz w:val="18"/>
        </w:rPr>
        <w:t>BlAFrm</w:t>
      </w:r>
      <w:r w:rsidRPr="00A52AB8">
        <w:rPr>
          <w:sz w:val="18"/>
        </w:rPr>
        <w:t>NalUnit, if any, can only be one of the above-listed NAL units.</w:t>
      </w:r>
    </w:p>
    <w:p w14:paraId="44B153C3" w14:textId="77777777" w:rsidR="000B42EC" w:rsidRPr="00A52AB8" w:rsidRDefault="000B42EC">
      <w:r w:rsidRPr="00A52AB8">
        <w:t>When there is none of the above NAL units preceding first</w:t>
      </w:r>
      <w:r w:rsidR="009A3115" w:rsidRPr="00A52AB8">
        <w:t>BlAFrm</w:t>
      </w:r>
      <w:r w:rsidRPr="00A52AB8">
        <w:t xml:space="preserve">NalUnit and succeeding the last </w:t>
      </w:r>
      <w:r w:rsidR="009A3115" w:rsidRPr="00A52AB8">
        <w:t>ACL</w:t>
      </w:r>
      <w:r w:rsidRPr="00A52AB8">
        <w:t xml:space="preserve"> NAL preceding first</w:t>
      </w:r>
      <w:r w:rsidR="009A3115" w:rsidRPr="00A52AB8">
        <w:t>BlAFrm</w:t>
      </w:r>
      <w:r w:rsidRPr="00A52AB8">
        <w:t>NalUnit, if any, first</w:t>
      </w:r>
      <w:r w:rsidR="009A3115" w:rsidRPr="00A52AB8">
        <w:t>BlAFrm</w:t>
      </w:r>
      <w:r w:rsidRPr="00A52AB8">
        <w:t>NalUnit starts a new access unit.</w:t>
      </w:r>
    </w:p>
    <w:p w14:paraId="61E73615" w14:textId="77777777" w:rsidR="000B42EC" w:rsidRPr="00A52AB8" w:rsidRDefault="000B42EC">
      <w:r w:rsidRPr="00A52AB8">
        <w:t xml:space="preserve">The order of the coded </w:t>
      </w:r>
      <w:r w:rsidR="00F453BB" w:rsidRPr="00A52AB8">
        <w:t>atlas frames</w:t>
      </w:r>
      <w:r w:rsidRPr="00A52AB8">
        <w:t xml:space="preserve"> and non-</w:t>
      </w:r>
      <w:r w:rsidR="009A3115" w:rsidRPr="00A52AB8">
        <w:t>ACL</w:t>
      </w:r>
      <w:r w:rsidRPr="00A52AB8">
        <w:t xml:space="preserve"> NAL units within an access unit shall obey the following constraints:</w:t>
      </w:r>
    </w:p>
    <w:p w14:paraId="7E12A016" w14:textId="574B819C" w:rsidR="000B42EC" w:rsidRPr="00A52AB8" w:rsidRDefault="000B42E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When an access </w:t>
      </w:r>
      <w:r w:rsidR="005C2CC3" w:rsidRPr="00A52AB8">
        <w:rPr>
          <w:color w:val="000000" w:themeColor="text1"/>
        </w:rPr>
        <w:t xml:space="preserve">unit delimiter </w:t>
      </w:r>
      <w:r w:rsidR="00F453BB" w:rsidRPr="00A52AB8">
        <w:rPr>
          <w:color w:val="000000" w:themeColor="text1"/>
        </w:rPr>
        <w:t xml:space="preserve">or a </w:t>
      </w:r>
      <w:r w:rsidR="00463CF8" w:rsidRPr="00A52AB8">
        <w:rPr>
          <w:color w:val="000000" w:themeColor="text1"/>
        </w:rPr>
        <w:t>V3C</w:t>
      </w:r>
      <w:r w:rsidR="00F453BB" w:rsidRPr="00A52AB8">
        <w:rPr>
          <w:color w:val="000000" w:themeColor="text1"/>
        </w:rPr>
        <w:t xml:space="preserve"> access </w:t>
      </w:r>
      <w:r w:rsidRPr="00A52AB8">
        <w:rPr>
          <w:color w:val="000000" w:themeColor="text1"/>
        </w:rPr>
        <w:t xml:space="preserve">unit delimiter NAL unit with </w:t>
      </w:r>
      <w:r w:rsidR="00C32EFE" w:rsidRPr="00A52AB8">
        <w:rPr>
          <w:color w:val="000000" w:themeColor="text1"/>
        </w:rPr>
        <w:t>nal</w:t>
      </w:r>
      <w:r w:rsidRPr="00A52AB8">
        <w:rPr>
          <w:color w:val="000000" w:themeColor="text1"/>
        </w:rPr>
        <w:t xml:space="preserve">_layer_id equal to 0 is present, it shall be the first NAL unit. There shall be at most one access </w:t>
      </w:r>
      <w:r w:rsidR="005C2CC3" w:rsidRPr="00A52AB8">
        <w:rPr>
          <w:color w:val="000000" w:themeColor="text1"/>
        </w:rPr>
        <w:t xml:space="preserve">unit delimiter </w:t>
      </w:r>
      <w:r w:rsidR="00F453BB" w:rsidRPr="00A52AB8">
        <w:rPr>
          <w:color w:val="000000" w:themeColor="text1"/>
        </w:rPr>
        <w:t xml:space="preserve">or </w:t>
      </w:r>
      <w:r w:rsidR="00463CF8" w:rsidRPr="00A52AB8">
        <w:rPr>
          <w:color w:val="000000" w:themeColor="text1"/>
        </w:rPr>
        <w:t>V3C</w:t>
      </w:r>
      <w:r w:rsidR="00F453BB" w:rsidRPr="00A52AB8">
        <w:rPr>
          <w:color w:val="000000" w:themeColor="text1"/>
        </w:rPr>
        <w:t xml:space="preserve"> access </w:t>
      </w:r>
      <w:r w:rsidRPr="00A52AB8">
        <w:rPr>
          <w:color w:val="000000" w:themeColor="text1"/>
        </w:rPr>
        <w:t xml:space="preserve">unit delimiter NAL unit with </w:t>
      </w:r>
      <w:r w:rsidR="00C32EFE" w:rsidRPr="00A52AB8">
        <w:rPr>
          <w:color w:val="000000" w:themeColor="text1"/>
        </w:rPr>
        <w:t>nal</w:t>
      </w:r>
      <w:r w:rsidRPr="00A52AB8">
        <w:rPr>
          <w:color w:val="000000" w:themeColor="text1"/>
        </w:rPr>
        <w:t>_layer_id equal to 0 in any access unit.</w:t>
      </w:r>
    </w:p>
    <w:p w14:paraId="2B9471BE" w14:textId="06B82AC5" w:rsidR="000B42EC" w:rsidRPr="00A52AB8" w:rsidRDefault="000B42E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When any </w:t>
      </w:r>
      <w:r w:rsidR="00F453BB" w:rsidRPr="00A52AB8">
        <w:rPr>
          <w:color w:val="000000" w:themeColor="text1"/>
        </w:rPr>
        <w:t>A</w:t>
      </w:r>
      <w:r w:rsidRPr="00A52AB8">
        <w:rPr>
          <w:color w:val="000000" w:themeColor="text1"/>
        </w:rPr>
        <w:t xml:space="preserve">SPS NAL units, </w:t>
      </w:r>
      <w:r w:rsidR="00A13CD1" w:rsidRPr="00A52AB8">
        <w:rPr>
          <w:color w:val="000000" w:themeColor="text1"/>
        </w:rPr>
        <w:t xml:space="preserve">AAPS NAL units, </w:t>
      </w:r>
      <w:r w:rsidRPr="00A52AB8">
        <w:rPr>
          <w:color w:val="000000" w:themeColor="text1"/>
        </w:rPr>
        <w:t xml:space="preserve">AFPS NAL units, prefix SEI NAL units, NAL units with nal_unit_type in the range of </w:t>
      </w:r>
      <w:r w:rsidR="00F453BB" w:rsidRPr="00A52AB8">
        <w:rPr>
          <w:color w:val="000000" w:themeColor="text1"/>
        </w:rPr>
        <w:t>NAL_</w:t>
      </w:r>
      <w:r w:rsidRPr="00A52AB8">
        <w:rPr>
          <w:color w:val="000000" w:themeColor="text1"/>
        </w:rPr>
        <w:t>RSV_N</w:t>
      </w:r>
      <w:r w:rsidR="009A3115" w:rsidRPr="00A52AB8">
        <w:rPr>
          <w:color w:val="000000" w:themeColor="text1"/>
        </w:rPr>
        <w:t>ACL</w:t>
      </w:r>
      <w:r w:rsidR="00F453BB" w:rsidRPr="00A52AB8">
        <w:rPr>
          <w:color w:val="000000" w:themeColor="text1"/>
        </w:rPr>
        <w:t>_</w:t>
      </w:r>
      <w:r w:rsidRPr="00A52AB8">
        <w:rPr>
          <w:color w:val="000000" w:themeColor="text1"/>
        </w:rPr>
        <w:t>4</w:t>
      </w:r>
      <w:r w:rsidR="008C7746" w:rsidRPr="00A52AB8">
        <w:rPr>
          <w:color w:val="000000" w:themeColor="text1"/>
        </w:rPr>
        <w:t>8</w:t>
      </w:r>
      <w:r w:rsidRPr="00A52AB8">
        <w:rPr>
          <w:color w:val="000000" w:themeColor="text1"/>
        </w:rPr>
        <w:t>..</w:t>
      </w:r>
      <w:r w:rsidR="00F453BB" w:rsidRPr="00A52AB8">
        <w:rPr>
          <w:color w:val="000000" w:themeColor="text1"/>
        </w:rPr>
        <w:t>NAL_</w:t>
      </w:r>
      <w:r w:rsidRPr="00A52AB8">
        <w:rPr>
          <w:color w:val="000000" w:themeColor="text1"/>
        </w:rPr>
        <w:t>RSV_N</w:t>
      </w:r>
      <w:r w:rsidR="009A3115" w:rsidRPr="00A52AB8">
        <w:rPr>
          <w:color w:val="000000" w:themeColor="text1"/>
        </w:rPr>
        <w:t>ACL</w:t>
      </w:r>
      <w:r w:rsidR="00F453BB" w:rsidRPr="00A52AB8">
        <w:rPr>
          <w:color w:val="000000" w:themeColor="text1"/>
        </w:rPr>
        <w:t>_</w:t>
      </w:r>
      <w:r w:rsidR="00773825" w:rsidRPr="00A52AB8">
        <w:rPr>
          <w:color w:val="000000" w:themeColor="text1"/>
        </w:rPr>
        <w:t>50</w:t>
      </w:r>
      <w:r w:rsidRPr="00A52AB8">
        <w:rPr>
          <w:color w:val="000000" w:themeColor="text1"/>
        </w:rPr>
        <w:t xml:space="preserve">, or NAL units with nal_unit_type in the range of </w:t>
      </w:r>
      <w:r w:rsidR="00F453BB" w:rsidRPr="00A52AB8">
        <w:rPr>
          <w:color w:val="000000" w:themeColor="text1"/>
        </w:rPr>
        <w:t>NAL_</w:t>
      </w:r>
      <w:r w:rsidRPr="00A52AB8">
        <w:rPr>
          <w:color w:val="000000" w:themeColor="text1"/>
        </w:rPr>
        <w:t>UNSPEC</w:t>
      </w:r>
      <w:r w:rsidR="00F453BB" w:rsidRPr="00A52AB8">
        <w:rPr>
          <w:color w:val="000000" w:themeColor="text1"/>
        </w:rPr>
        <w:t>_</w:t>
      </w:r>
      <w:r w:rsidR="00773825" w:rsidRPr="00A52AB8">
        <w:rPr>
          <w:color w:val="000000" w:themeColor="text1"/>
        </w:rPr>
        <w:t>53</w:t>
      </w:r>
      <w:r w:rsidRPr="00A52AB8">
        <w:rPr>
          <w:color w:val="000000" w:themeColor="text1"/>
        </w:rPr>
        <w:t>..</w:t>
      </w:r>
      <w:r w:rsidR="00F453BB" w:rsidRPr="00A52AB8">
        <w:rPr>
          <w:color w:val="000000" w:themeColor="text1"/>
        </w:rPr>
        <w:t>NAL_</w:t>
      </w:r>
      <w:r w:rsidRPr="00A52AB8">
        <w:rPr>
          <w:color w:val="000000" w:themeColor="text1"/>
        </w:rPr>
        <w:t>UNSPEC</w:t>
      </w:r>
      <w:r w:rsidR="00F453BB" w:rsidRPr="00A52AB8">
        <w:rPr>
          <w:color w:val="000000" w:themeColor="text1"/>
        </w:rPr>
        <w:t>_</w:t>
      </w:r>
      <w:r w:rsidRPr="00A52AB8">
        <w:rPr>
          <w:color w:val="000000" w:themeColor="text1"/>
        </w:rPr>
        <w:t>5</w:t>
      </w:r>
      <w:r w:rsidR="009D3279" w:rsidRPr="00A52AB8">
        <w:rPr>
          <w:color w:val="000000" w:themeColor="text1"/>
        </w:rPr>
        <w:t>7</w:t>
      </w:r>
      <w:r w:rsidRPr="00A52AB8">
        <w:rPr>
          <w:color w:val="000000" w:themeColor="text1"/>
        </w:rPr>
        <w:t xml:space="preserve"> are present, they shall not follow the last </w:t>
      </w:r>
      <w:r w:rsidR="009A3115" w:rsidRPr="00A52AB8">
        <w:rPr>
          <w:color w:val="000000" w:themeColor="text1"/>
        </w:rPr>
        <w:t>ACL</w:t>
      </w:r>
      <w:r w:rsidRPr="00A52AB8">
        <w:rPr>
          <w:color w:val="000000" w:themeColor="text1"/>
        </w:rPr>
        <w:t xml:space="preserve"> NAL unit of the access unit.</w:t>
      </w:r>
    </w:p>
    <w:p w14:paraId="78DC4256" w14:textId="5DA31FC3" w:rsidR="000B42EC" w:rsidRPr="00A52AB8" w:rsidRDefault="000B42E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NAL units having nal_unit_type equal to </w:t>
      </w:r>
      <w:r w:rsidR="00F453BB" w:rsidRPr="00A52AB8">
        <w:rPr>
          <w:color w:val="000000" w:themeColor="text1"/>
        </w:rPr>
        <w:t>NAL_</w:t>
      </w:r>
      <w:r w:rsidRPr="00A52AB8">
        <w:rPr>
          <w:color w:val="000000" w:themeColor="text1"/>
        </w:rPr>
        <w:t>FD</w:t>
      </w:r>
      <w:r w:rsidR="00E55C92" w:rsidRPr="00A52AB8">
        <w:rPr>
          <w:color w:val="000000" w:themeColor="text1"/>
        </w:rPr>
        <w:t xml:space="preserve">, </w:t>
      </w:r>
      <w:r w:rsidR="00F453BB" w:rsidRPr="00A52AB8">
        <w:rPr>
          <w:color w:val="000000" w:themeColor="text1"/>
        </w:rPr>
        <w:t>NAL_</w:t>
      </w:r>
      <w:r w:rsidRPr="00A52AB8">
        <w:rPr>
          <w:color w:val="000000" w:themeColor="text1"/>
        </w:rPr>
        <w:t>SUFFIX_</w:t>
      </w:r>
      <w:r w:rsidR="00E55C92" w:rsidRPr="00A52AB8">
        <w:rPr>
          <w:color w:val="000000" w:themeColor="text1"/>
        </w:rPr>
        <w:t>N</w:t>
      </w:r>
      <w:r w:rsidRPr="00A52AB8">
        <w:rPr>
          <w:color w:val="000000" w:themeColor="text1"/>
        </w:rPr>
        <w:t>SEI</w:t>
      </w:r>
      <w:r w:rsidR="00E55C92" w:rsidRPr="00A52AB8">
        <w:rPr>
          <w:color w:val="000000" w:themeColor="text1"/>
        </w:rPr>
        <w:t>, NAL_SUFFIX_ESEI</w:t>
      </w:r>
      <w:r w:rsidRPr="00A52AB8">
        <w:rPr>
          <w:color w:val="000000" w:themeColor="text1"/>
        </w:rPr>
        <w:t xml:space="preserve"> or in the range of </w:t>
      </w:r>
      <w:r w:rsidR="00F453BB" w:rsidRPr="00A52AB8">
        <w:rPr>
          <w:color w:val="000000" w:themeColor="text1"/>
        </w:rPr>
        <w:t>NAL_</w:t>
      </w:r>
      <w:r w:rsidRPr="00A52AB8">
        <w:rPr>
          <w:color w:val="000000" w:themeColor="text1"/>
        </w:rPr>
        <w:t>RSV_N</w:t>
      </w:r>
      <w:r w:rsidR="009A3115" w:rsidRPr="00A52AB8">
        <w:rPr>
          <w:color w:val="000000" w:themeColor="text1"/>
        </w:rPr>
        <w:t>ACL</w:t>
      </w:r>
      <w:r w:rsidR="00F453BB" w:rsidRPr="00A52AB8">
        <w:rPr>
          <w:color w:val="000000" w:themeColor="text1"/>
        </w:rPr>
        <w:t>_</w:t>
      </w:r>
      <w:r w:rsidR="00773825" w:rsidRPr="00A52AB8">
        <w:rPr>
          <w:color w:val="000000" w:themeColor="text1"/>
        </w:rPr>
        <w:t>51</w:t>
      </w:r>
      <w:r w:rsidRPr="00A52AB8">
        <w:rPr>
          <w:color w:val="000000" w:themeColor="text1"/>
        </w:rPr>
        <w:t>..</w:t>
      </w:r>
      <w:r w:rsidR="00F453BB" w:rsidRPr="00A52AB8">
        <w:rPr>
          <w:color w:val="000000" w:themeColor="text1"/>
        </w:rPr>
        <w:t>NAL_</w:t>
      </w:r>
      <w:r w:rsidRPr="00A52AB8">
        <w:rPr>
          <w:color w:val="000000" w:themeColor="text1"/>
        </w:rPr>
        <w:t>RSV_N</w:t>
      </w:r>
      <w:r w:rsidR="009A3115" w:rsidRPr="00A52AB8">
        <w:rPr>
          <w:color w:val="000000" w:themeColor="text1"/>
        </w:rPr>
        <w:t>ACL</w:t>
      </w:r>
      <w:r w:rsidR="00F453BB" w:rsidRPr="00A52AB8">
        <w:rPr>
          <w:color w:val="000000" w:themeColor="text1"/>
        </w:rPr>
        <w:t>_</w:t>
      </w:r>
      <w:r w:rsidR="00773825" w:rsidRPr="00A52AB8">
        <w:rPr>
          <w:color w:val="000000" w:themeColor="text1"/>
        </w:rPr>
        <w:t>52</w:t>
      </w:r>
      <w:r w:rsidRPr="00A52AB8">
        <w:rPr>
          <w:color w:val="000000" w:themeColor="text1"/>
        </w:rPr>
        <w:t xml:space="preserve"> or </w:t>
      </w:r>
      <w:r w:rsidR="00F453BB" w:rsidRPr="00A52AB8">
        <w:rPr>
          <w:color w:val="000000" w:themeColor="text1"/>
        </w:rPr>
        <w:t>NAL_</w:t>
      </w:r>
      <w:r w:rsidRPr="00A52AB8">
        <w:rPr>
          <w:color w:val="000000" w:themeColor="text1"/>
        </w:rPr>
        <w:t>UNSPEC</w:t>
      </w:r>
      <w:r w:rsidR="00F453BB" w:rsidRPr="00A52AB8">
        <w:rPr>
          <w:color w:val="000000" w:themeColor="text1"/>
        </w:rPr>
        <w:t>_</w:t>
      </w:r>
      <w:r w:rsidRPr="00A52AB8">
        <w:rPr>
          <w:color w:val="000000" w:themeColor="text1"/>
        </w:rPr>
        <w:t>5</w:t>
      </w:r>
      <w:r w:rsidR="009D3279" w:rsidRPr="00A52AB8">
        <w:rPr>
          <w:color w:val="000000" w:themeColor="text1"/>
        </w:rPr>
        <w:t>8</w:t>
      </w:r>
      <w:r w:rsidRPr="00A52AB8">
        <w:rPr>
          <w:color w:val="000000" w:themeColor="text1"/>
        </w:rPr>
        <w:t>..</w:t>
      </w:r>
      <w:r w:rsidR="00F453BB" w:rsidRPr="00A52AB8">
        <w:rPr>
          <w:color w:val="000000" w:themeColor="text1"/>
        </w:rPr>
        <w:t>NAL_</w:t>
      </w:r>
      <w:r w:rsidRPr="00A52AB8">
        <w:rPr>
          <w:color w:val="000000" w:themeColor="text1"/>
        </w:rPr>
        <w:t>UNSPEC</w:t>
      </w:r>
      <w:r w:rsidR="00F453BB" w:rsidRPr="00A52AB8">
        <w:rPr>
          <w:color w:val="000000" w:themeColor="text1"/>
        </w:rPr>
        <w:t>_</w:t>
      </w:r>
      <w:r w:rsidRPr="00A52AB8">
        <w:rPr>
          <w:color w:val="000000" w:themeColor="text1"/>
        </w:rPr>
        <w:t xml:space="preserve">63 shall not precede the first </w:t>
      </w:r>
      <w:r w:rsidR="009A3115" w:rsidRPr="00A52AB8">
        <w:rPr>
          <w:color w:val="000000" w:themeColor="text1"/>
        </w:rPr>
        <w:t>ACL</w:t>
      </w:r>
      <w:r w:rsidRPr="00A52AB8">
        <w:rPr>
          <w:color w:val="000000" w:themeColor="text1"/>
        </w:rPr>
        <w:t xml:space="preserve"> NAL unit of the access unit.</w:t>
      </w:r>
    </w:p>
    <w:p w14:paraId="34E9E5EA" w14:textId="542807A1" w:rsidR="000B42EC" w:rsidRPr="00A52AB8" w:rsidRDefault="000B42E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When an end of sequence NAL unit with </w:t>
      </w:r>
      <w:r w:rsidR="00C32EFE" w:rsidRPr="00A52AB8">
        <w:rPr>
          <w:color w:val="000000" w:themeColor="text1"/>
        </w:rPr>
        <w:t>nal</w:t>
      </w:r>
      <w:r w:rsidRPr="00A52AB8">
        <w:rPr>
          <w:color w:val="000000" w:themeColor="text1"/>
        </w:rPr>
        <w:t xml:space="preserve">_layer_id equal to 0 is present, it shall be the last NAL unit among all NAL units with </w:t>
      </w:r>
      <w:r w:rsidR="00C32EFE" w:rsidRPr="00A52AB8">
        <w:rPr>
          <w:color w:val="000000" w:themeColor="text1"/>
        </w:rPr>
        <w:t>nal</w:t>
      </w:r>
      <w:r w:rsidRPr="00A52AB8">
        <w:rPr>
          <w:color w:val="000000" w:themeColor="text1"/>
        </w:rPr>
        <w:t xml:space="preserve">_layer_id equal to 0 in the access unit other than an end of </w:t>
      </w:r>
      <w:r w:rsidR="00601E8C" w:rsidRPr="00A52AB8">
        <w:rPr>
          <w:color w:val="000000" w:themeColor="text1"/>
        </w:rPr>
        <w:t xml:space="preserve">a </w:t>
      </w:r>
      <w:r w:rsidR="005E1532" w:rsidRPr="00A52AB8">
        <w:rPr>
          <w:color w:val="000000" w:themeColor="text1"/>
        </w:rPr>
        <w:t>bitstream</w:t>
      </w:r>
      <w:r w:rsidRPr="00A52AB8">
        <w:rPr>
          <w:color w:val="000000" w:themeColor="text1"/>
        </w:rPr>
        <w:t xml:space="preserve"> NAL unit (when present).</w:t>
      </w:r>
    </w:p>
    <w:p w14:paraId="0C26017A" w14:textId="1EB98D46" w:rsidR="000B42EC" w:rsidRPr="00A52AB8" w:rsidRDefault="000B42E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When an end of </w:t>
      </w:r>
      <w:r w:rsidR="00601E8C" w:rsidRPr="00A52AB8">
        <w:rPr>
          <w:color w:val="000000" w:themeColor="text1"/>
        </w:rPr>
        <w:t xml:space="preserve">a </w:t>
      </w:r>
      <w:r w:rsidR="00B231D7" w:rsidRPr="00A52AB8">
        <w:rPr>
          <w:color w:val="000000" w:themeColor="text1"/>
        </w:rPr>
        <w:t>bitstream</w:t>
      </w:r>
      <w:r w:rsidRPr="00A52AB8">
        <w:rPr>
          <w:color w:val="000000" w:themeColor="text1"/>
        </w:rPr>
        <w:t xml:space="preserve"> NAL unit is present, it shall be the last NAL unit in the access unit.</w:t>
      </w:r>
    </w:p>
    <w:p w14:paraId="29135307" w14:textId="60F6BC7A" w:rsidR="000B42EC" w:rsidRPr="00A52AB8" w:rsidRDefault="000B42EC">
      <w:pPr>
        <w:pStyle w:val="Note1"/>
        <w:rPr>
          <w:rFonts w:ascii="Cambria" w:hAnsi="Cambria"/>
        </w:rPr>
      </w:pPr>
      <w:r w:rsidRPr="00A52AB8">
        <w:rPr>
          <w:rFonts w:ascii="Cambria" w:hAnsi="Cambria"/>
        </w:rPr>
        <w:t>NOTE </w:t>
      </w:r>
      <w:r w:rsidR="00640C51" w:rsidRPr="00496A4D">
        <w:rPr>
          <w:rFonts w:ascii="Cambria" w:hAnsi="Cambria"/>
        </w:rPr>
        <w:fldChar w:fldCharType="begin"/>
      </w:r>
      <w:r w:rsidR="00640C51" w:rsidRPr="00A52AB8">
        <w:rPr>
          <w:rFonts w:ascii="Cambria" w:hAnsi="Cambria"/>
        </w:rPr>
        <w:instrText xml:space="preserve"> SEQ NoteCounter \s 9 \* MERGEFORMAT </w:instrText>
      </w:r>
      <w:r w:rsidR="00640C51" w:rsidRPr="00496A4D">
        <w:rPr>
          <w:rFonts w:ascii="Cambria" w:hAnsi="Cambria"/>
        </w:rPr>
        <w:fldChar w:fldCharType="separate"/>
      </w:r>
      <w:r w:rsidR="00507A67">
        <w:rPr>
          <w:rFonts w:ascii="Cambria" w:hAnsi="Cambria"/>
          <w:noProof/>
        </w:rPr>
        <w:t>3</w:t>
      </w:r>
      <w:r w:rsidR="00640C51" w:rsidRPr="00496A4D">
        <w:rPr>
          <w:rFonts w:ascii="Cambria" w:hAnsi="Cambria"/>
        </w:rPr>
        <w:fldChar w:fldCharType="end"/>
      </w:r>
      <w:r w:rsidRPr="00A52AB8">
        <w:rPr>
          <w:rFonts w:ascii="Cambria" w:hAnsi="Cambria"/>
        </w:rPr>
        <w:t xml:space="preserve"> – Decoders conforming to profiles specified in </w:t>
      </w:r>
      <w:r w:rsidR="001B77F6" w:rsidRPr="00496A4D">
        <w:rPr>
          <w:rFonts w:ascii="Cambria" w:hAnsi="Cambria"/>
          <w:color w:val="000000" w:themeColor="text1"/>
        </w:rPr>
        <w:fldChar w:fldCharType="begin"/>
      </w:r>
      <w:r w:rsidR="001B77F6" w:rsidRPr="00A52AB8">
        <w:rPr>
          <w:rFonts w:ascii="Cambria" w:hAnsi="Cambria"/>
          <w:color w:val="000000" w:themeColor="text1"/>
        </w:rPr>
        <w:instrText xml:space="preserve"> REF _Ref21509350 \r \h </w:instrText>
      </w:r>
      <w:r w:rsidR="00025423" w:rsidRPr="00A52AB8">
        <w:rPr>
          <w:rFonts w:ascii="Cambria" w:hAnsi="Cambria"/>
          <w:color w:val="000000" w:themeColor="text1"/>
        </w:rPr>
        <w:instrText xml:space="preserve"> \* MERGEFORMAT </w:instrText>
      </w:r>
      <w:r w:rsidR="001B77F6" w:rsidRPr="00496A4D">
        <w:rPr>
          <w:rFonts w:ascii="Cambria" w:hAnsi="Cambria"/>
          <w:color w:val="000000" w:themeColor="text1"/>
        </w:rPr>
      </w:r>
      <w:r w:rsidR="001B77F6" w:rsidRPr="00496A4D">
        <w:rPr>
          <w:rFonts w:ascii="Cambria" w:hAnsi="Cambria"/>
          <w:color w:val="000000" w:themeColor="text1"/>
        </w:rPr>
        <w:fldChar w:fldCharType="separate"/>
      </w:r>
      <w:r w:rsidR="00507A67">
        <w:rPr>
          <w:rFonts w:ascii="Cambria" w:hAnsi="Cambria"/>
          <w:color w:val="000000" w:themeColor="text1"/>
        </w:rPr>
        <w:t>Annex A</w:t>
      </w:r>
      <w:r w:rsidR="001B77F6" w:rsidRPr="00496A4D">
        <w:rPr>
          <w:rFonts w:ascii="Cambria" w:hAnsi="Cambria"/>
          <w:color w:val="000000" w:themeColor="text1"/>
        </w:rPr>
        <w:fldChar w:fldCharType="end"/>
      </w:r>
      <w:r w:rsidR="00F453BB" w:rsidRPr="00A52AB8">
        <w:rPr>
          <w:rFonts w:ascii="Cambria" w:hAnsi="Cambria"/>
        </w:rPr>
        <w:t xml:space="preserve"> </w:t>
      </w:r>
      <w:r w:rsidRPr="00A52AB8">
        <w:rPr>
          <w:rFonts w:ascii="Cambria" w:hAnsi="Cambria"/>
        </w:rPr>
        <w:t xml:space="preserve">do not use NAL units with </w:t>
      </w:r>
      <w:r w:rsidR="00C32EFE" w:rsidRPr="00A52AB8">
        <w:rPr>
          <w:rFonts w:ascii="Cambria" w:hAnsi="Cambria"/>
        </w:rPr>
        <w:t>nal</w:t>
      </w:r>
      <w:r w:rsidRPr="00A52AB8">
        <w:rPr>
          <w:rFonts w:ascii="Cambria" w:hAnsi="Cambria"/>
        </w:rPr>
        <w:t xml:space="preserve">_layer_id greater than 0, e.g., access </w:t>
      </w:r>
      <w:r w:rsidR="00F453BB" w:rsidRPr="00A52AB8">
        <w:rPr>
          <w:rFonts w:ascii="Cambria" w:hAnsi="Cambria"/>
        </w:rPr>
        <w:t xml:space="preserve">or </w:t>
      </w:r>
      <w:r w:rsidR="00463CF8" w:rsidRPr="00A52AB8">
        <w:rPr>
          <w:rFonts w:ascii="Cambria" w:hAnsi="Cambria"/>
        </w:rPr>
        <w:t>V3C</w:t>
      </w:r>
      <w:r w:rsidR="00F453BB" w:rsidRPr="00A52AB8">
        <w:rPr>
          <w:rFonts w:ascii="Cambria" w:hAnsi="Cambria"/>
        </w:rPr>
        <w:t xml:space="preserve"> access </w:t>
      </w:r>
      <w:r w:rsidRPr="00A52AB8">
        <w:rPr>
          <w:rFonts w:ascii="Cambria" w:hAnsi="Cambria"/>
        </w:rPr>
        <w:t xml:space="preserve">unit delimiter NAL units with </w:t>
      </w:r>
      <w:r w:rsidR="00C32EFE" w:rsidRPr="00A52AB8">
        <w:rPr>
          <w:rFonts w:ascii="Cambria" w:hAnsi="Cambria"/>
        </w:rPr>
        <w:t>nal</w:t>
      </w:r>
      <w:r w:rsidRPr="00A52AB8">
        <w:rPr>
          <w:rFonts w:ascii="Cambria" w:hAnsi="Cambria"/>
        </w:rPr>
        <w:t>_layer_id greater than 0, for access unit boundary detection, except for identification of a NAL unit as a</w:t>
      </w:r>
      <w:r w:rsidR="001978DD" w:rsidRPr="00A52AB8">
        <w:rPr>
          <w:rFonts w:ascii="Cambria" w:hAnsi="Cambria"/>
        </w:rPr>
        <w:t>n</w:t>
      </w:r>
      <w:r w:rsidRPr="00A52AB8">
        <w:rPr>
          <w:rFonts w:ascii="Cambria" w:hAnsi="Cambria"/>
        </w:rPr>
        <w:t xml:space="preserve"> </w:t>
      </w:r>
      <w:r w:rsidR="009A3115" w:rsidRPr="00A52AB8">
        <w:rPr>
          <w:rFonts w:ascii="Cambria" w:hAnsi="Cambria"/>
        </w:rPr>
        <w:t>ACL</w:t>
      </w:r>
      <w:r w:rsidRPr="00A52AB8">
        <w:rPr>
          <w:rFonts w:ascii="Cambria" w:hAnsi="Cambria"/>
        </w:rPr>
        <w:t xml:space="preserve"> or non-</w:t>
      </w:r>
      <w:r w:rsidR="009A3115" w:rsidRPr="00A52AB8">
        <w:rPr>
          <w:rFonts w:ascii="Cambria" w:hAnsi="Cambria"/>
        </w:rPr>
        <w:t>ACL</w:t>
      </w:r>
      <w:r w:rsidRPr="00A52AB8">
        <w:rPr>
          <w:rFonts w:ascii="Cambria" w:hAnsi="Cambria"/>
        </w:rPr>
        <w:t xml:space="preserve"> NAL unit.</w:t>
      </w:r>
    </w:p>
    <w:p w14:paraId="656505BD" w14:textId="77777777" w:rsidR="000B42EC" w:rsidRPr="00A52AB8" w:rsidRDefault="009A3115">
      <w:pPr>
        <w:pStyle w:val="Heading5"/>
      </w:pPr>
      <w:bookmarkStart w:id="1134" w:name="_Ref35618161"/>
      <w:bookmarkStart w:id="1135" w:name="_Ref81363603"/>
      <w:bookmarkStart w:id="1136" w:name="_Toc77680407"/>
      <w:bookmarkStart w:id="1137" w:name="_Toc226456561"/>
      <w:bookmarkStart w:id="1138" w:name="_Ref350087917"/>
      <w:r w:rsidRPr="00A52AB8">
        <w:t>Order</w:t>
      </w:r>
      <w:r w:rsidR="000B42EC" w:rsidRPr="00A52AB8">
        <w:t xml:space="preserve"> of </w:t>
      </w:r>
      <w:r w:rsidRPr="00A52AB8">
        <w:t>A</w:t>
      </w:r>
      <w:r w:rsidR="000B42EC" w:rsidRPr="00A52AB8">
        <w:t xml:space="preserve">CL NAL units and association to coded </w:t>
      </w:r>
      <w:bookmarkEnd w:id="1134"/>
      <w:bookmarkEnd w:id="1135"/>
      <w:bookmarkEnd w:id="1136"/>
      <w:bookmarkEnd w:id="1137"/>
      <w:bookmarkEnd w:id="1138"/>
      <w:r w:rsidR="00F453BB" w:rsidRPr="00A52AB8">
        <w:t>atlas frames</w:t>
      </w:r>
    </w:p>
    <w:p w14:paraId="6F9A0776" w14:textId="77777777" w:rsidR="000B42EC" w:rsidRPr="00A52AB8" w:rsidRDefault="000B42EC">
      <w:r w:rsidRPr="00A52AB8">
        <w:t xml:space="preserve">This </w:t>
      </w:r>
      <w:r w:rsidR="00406A86" w:rsidRPr="00A52AB8">
        <w:t>subclause</w:t>
      </w:r>
      <w:r w:rsidRPr="00A52AB8">
        <w:t xml:space="preserve"> specifies the order of </w:t>
      </w:r>
      <w:r w:rsidR="009A3115" w:rsidRPr="00A52AB8">
        <w:t>ACL</w:t>
      </w:r>
      <w:r w:rsidRPr="00A52AB8">
        <w:t xml:space="preserve"> NAL units and association to coded </w:t>
      </w:r>
      <w:r w:rsidR="00F453BB" w:rsidRPr="00A52AB8">
        <w:t>atlas frames</w:t>
      </w:r>
      <w:r w:rsidRPr="00A52AB8">
        <w:t>.</w:t>
      </w:r>
    </w:p>
    <w:p w14:paraId="031D37FA" w14:textId="77777777" w:rsidR="000B42EC" w:rsidRPr="00A52AB8" w:rsidRDefault="000B42EC">
      <w:r w:rsidRPr="00A52AB8">
        <w:t xml:space="preserve">Each </w:t>
      </w:r>
      <w:r w:rsidR="009A3115" w:rsidRPr="00A52AB8">
        <w:t>ACL</w:t>
      </w:r>
      <w:r w:rsidRPr="00A52AB8">
        <w:t xml:space="preserve"> NAL unit is part of a coded </w:t>
      </w:r>
      <w:r w:rsidR="00F453BB" w:rsidRPr="00A52AB8">
        <w:t>atlas frame</w:t>
      </w:r>
      <w:r w:rsidRPr="00A52AB8">
        <w:t>.</w:t>
      </w:r>
    </w:p>
    <w:p w14:paraId="12F919E9" w14:textId="77777777" w:rsidR="000B42EC" w:rsidRPr="00A52AB8" w:rsidRDefault="000B42EC">
      <w:r w:rsidRPr="00A52AB8">
        <w:t xml:space="preserve">The order of the </w:t>
      </w:r>
      <w:r w:rsidR="009A3115" w:rsidRPr="00A52AB8">
        <w:t>ACL</w:t>
      </w:r>
      <w:r w:rsidRPr="00A52AB8">
        <w:t xml:space="preserve"> NAL units within a coded </w:t>
      </w:r>
      <w:r w:rsidR="00F453BB" w:rsidRPr="00A52AB8">
        <w:t>atlas frame</w:t>
      </w:r>
      <w:r w:rsidRPr="00A52AB8">
        <w:t xml:space="preserve"> is constrained as follows:</w:t>
      </w:r>
    </w:p>
    <w:p w14:paraId="7963B9F0" w14:textId="4F6D6B7A" w:rsidR="00E6520F" w:rsidRPr="00A52AB8" w:rsidRDefault="000B42E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The first </w:t>
      </w:r>
      <w:r w:rsidR="009A3115" w:rsidRPr="00A52AB8">
        <w:rPr>
          <w:color w:val="000000" w:themeColor="text1"/>
        </w:rPr>
        <w:t>ACL</w:t>
      </w:r>
      <w:r w:rsidRPr="00A52AB8">
        <w:rPr>
          <w:color w:val="000000" w:themeColor="text1"/>
        </w:rPr>
        <w:t xml:space="preserve"> NAL unit of the coded </w:t>
      </w:r>
      <w:r w:rsidR="00F453BB" w:rsidRPr="00A52AB8">
        <w:rPr>
          <w:color w:val="000000" w:themeColor="text1"/>
        </w:rPr>
        <w:t>atlas frame</w:t>
      </w:r>
      <w:r w:rsidRPr="00A52AB8">
        <w:rPr>
          <w:color w:val="000000" w:themeColor="text1"/>
        </w:rPr>
        <w:t xml:space="preserve"> shall have </w:t>
      </w:r>
      <w:r w:rsidR="004A199F" w:rsidRPr="00A52AB8">
        <w:rPr>
          <w:color w:val="000000" w:themeColor="text1"/>
        </w:rPr>
        <w:t>ath_id</w:t>
      </w:r>
      <w:r w:rsidRPr="00A52AB8">
        <w:rPr>
          <w:color w:val="000000" w:themeColor="text1"/>
        </w:rPr>
        <w:t xml:space="preserve"> equal to </w:t>
      </w:r>
      <w:r w:rsidR="00A3110C" w:rsidRPr="00A52AB8">
        <w:rPr>
          <w:color w:val="000000" w:themeColor="text1"/>
        </w:rPr>
        <w:t>FirstTileID</w:t>
      </w:r>
      <w:r w:rsidRPr="00A52AB8">
        <w:rPr>
          <w:color w:val="000000" w:themeColor="text1"/>
        </w:rPr>
        <w:t>.</w:t>
      </w:r>
    </w:p>
    <w:p w14:paraId="01E1292C" w14:textId="33C1183D" w:rsidR="00327C1D" w:rsidRPr="00A52AB8" w:rsidRDefault="00E6520F"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The tiles of an atlas frame shall be in increasing order of their ath_id values.</w:t>
      </w:r>
    </w:p>
    <w:p w14:paraId="611B025A" w14:textId="3D664B92" w:rsidR="00CB1436" w:rsidRPr="00A52AB8" w:rsidRDefault="00CB1436" w:rsidP="00CB1436">
      <w:pPr>
        <w:pStyle w:val="Heading5"/>
      </w:pPr>
      <w:bookmarkStart w:id="1139" w:name="_Ref51762458"/>
      <w:r w:rsidRPr="00A52AB8">
        <w:t>Order of access units (AUs) and association to C</w:t>
      </w:r>
      <w:r>
        <w:t>C</w:t>
      </w:r>
      <w:r w:rsidRPr="00A52AB8">
        <w:t>AS</w:t>
      </w:r>
      <w:r>
        <w:t>s</w:t>
      </w:r>
    </w:p>
    <w:p w14:paraId="094D67A2" w14:textId="22EE2CD4" w:rsidR="00CB1436" w:rsidRPr="00A52AB8" w:rsidRDefault="00CB1436" w:rsidP="00CB1436">
      <w:r w:rsidRPr="00A52AB8">
        <w:t>A C</w:t>
      </w:r>
      <w:r>
        <w:t>C</w:t>
      </w:r>
      <w:r w:rsidRPr="00A52AB8">
        <w:t xml:space="preserve">AS consists of one or more </w:t>
      </w:r>
      <w:r>
        <w:t xml:space="preserve">non-ACL </w:t>
      </w:r>
      <w:r w:rsidRPr="00A52AB8">
        <w:t xml:space="preserve">access units. The order of NAL units and coded </w:t>
      </w:r>
      <w:r>
        <w:t xml:space="preserve">common </w:t>
      </w:r>
      <w:r w:rsidRPr="00A52AB8">
        <w:t>atlas frames, and their association to access units are described in subclause </w:t>
      </w:r>
      <w:r>
        <w:fldChar w:fldCharType="begin"/>
      </w:r>
      <w:r>
        <w:instrText xml:space="preserve"> REF _Ref51922977 \r \h </w:instrText>
      </w:r>
      <w:r>
        <w:fldChar w:fldCharType="separate"/>
      </w:r>
      <w:r w:rsidR="00507A67">
        <w:t>8.4.5.3.7</w:t>
      </w:r>
      <w:r>
        <w:fldChar w:fldCharType="end"/>
      </w:r>
      <w:r w:rsidRPr="00A52AB8">
        <w:t>.</w:t>
      </w:r>
    </w:p>
    <w:p w14:paraId="798D77E8" w14:textId="68570D9E" w:rsidR="00CB1436" w:rsidRPr="00A52AB8" w:rsidRDefault="00CB1436" w:rsidP="00CB1436">
      <w:r w:rsidRPr="00A52AB8">
        <w:t>The first access unit of a C</w:t>
      </w:r>
      <w:r>
        <w:t>C</w:t>
      </w:r>
      <w:r w:rsidRPr="00A52AB8">
        <w:t xml:space="preserve">AS is an IRAP coded </w:t>
      </w:r>
      <w:r>
        <w:t xml:space="preserve">common </w:t>
      </w:r>
      <w:r w:rsidRPr="00A52AB8">
        <w:t>atlas access unit.</w:t>
      </w:r>
    </w:p>
    <w:p w14:paraId="433DF91D" w14:textId="44092169" w:rsidR="00CB1436" w:rsidRPr="00A52AB8" w:rsidRDefault="00CB1436" w:rsidP="00CB1436">
      <w:r w:rsidRPr="00A52AB8">
        <w:t xml:space="preserve">It is a requirement of bitstream conformance that, when present, the next access unit after an access unit that contains an end of sequence NAL unit or an end of a bitstream NAL unit shall be an IRAP coded </w:t>
      </w:r>
      <w:r>
        <w:t xml:space="preserve">common </w:t>
      </w:r>
      <w:r w:rsidRPr="00A52AB8">
        <w:t>atlas access unit.</w:t>
      </w:r>
    </w:p>
    <w:p w14:paraId="513718D3" w14:textId="6CFC160B" w:rsidR="009B1E6E" w:rsidRPr="00A52AB8" w:rsidRDefault="009B1E6E" w:rsidP="009B1E6E">
      <w:pPr>
        <w:pStyle w:val="Heading5"/>
      </w:pPr>
      <w:bookmarkStart w:id="1140" w:name="_Ref51922977"/>
      <w:r w:rsidRPr="00A52AB8">
        <w:t xml:space="preserve">Order of NAL units </w:t>
      </w:r>
      <w:bookmarkEnd w:id="1139"/>
      <w:r w:rsidR="00FC1B16" w:rsidRPr="00A52AB8">
        <w:t xml:space="preserve">in common atlas data </w:t>
      </w:r>
      <w:r w:rsidR="00983491" w:rsidRPr="00A52AB8">
        <w:t>and their association with access units</w:t>
      </w:r>
      <w:bookmarkEnd w:id="1140"/>
    </w:p>
    <w:p w14:paraId="10A5151F" w14:textId="1CD8C95E" w:rsidR="009A408D" w:rsidRPr="00A52AB8" w:rsidRDefault="009A408D" w:rsidP="00983491">
      <w:bookmarkStart w:id="1141" w:name="_Hlk51761258"/>
      <w:r w:rsidRPr="00A52AB8">
        <w:t xml:space="preserve">An access unit in a common atlas sub-bitstream consists of one non-ACL NAL unit with nal_unit_type NAL_CAF with nal_layer_id equal to 0, and zero or more non-ACL NAL units with nal_layer_id equal or greater than 0. </w:t>
      </w:r>
    </w:p>
    <w:p w14:paraId="28280FD8" w14:textId="61987E8D" w:rsidR="009A408D" w:rsidRPr="00A52AB8" w:rsidRDefault="009A408D" w:rsidP="00983491">
      <w:r w:rsidRPr="00A52AB8">
        <w:t>The first access unit in a common atlas sub-bitstream starts with the first NAL unit of the sub-bitstream.</w:t>
      </w:r>
    </w:p>
    <w:p w14:paraId="23F4932F" w14:textId="323BE122" w:rsidR="009A408D" w:rsidRPr="00A52AB8" w:rsidRDefault="009A408D" w:rsidP="00983491">
      <w:r w:rsidRPr="00A52AB8">
        <w:t>The order of non-ACL NAL units within an access unit in a common atlas bitstream shall obey the following constraints:</w:t>
      </w:r>
    </w:p>
    <w:p w14:paraId="78BF3103" w14:textId="3E389D22" w:rsidR="009A408D" w:rsidRPr="00A52AB8" w:rsidRDefault="009A408D" w:rsidP="00983491">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There shall be at most one </w:t>
      </w:r>
      <w:r w:rsidR="000B141E" w:rsidRPr="00A52AB8">
        <w:rPr>
          <w:color w:val="000000" w:themeColor="text1"/>
        </w:rPr>
        <w:t>CAF</w:t>
      </w:r>
      <w:r w:rsidRPr="00A52AB8">
        <w:rPr>
          <w:color w:val="000000" w:themeColor="text1"/>
        </w:rPr>
        <w:t xml:space="preserve"> NAL unit in any access unit in the common atlas sub-bitstream. If the </w:t>
      </w:r>
      <w:r w:rsidR="000B141E" w:rsidRPr="00A52AB8">
        <w:rPr>
          <w:color w:val="000000" w:themeColor="text1"/>
        </w:rPr>
        <w:t>CAF</w:t>
      </w:r>
      <w:r w:rsidRPr="00A52AB8">
        <w:rPr>
          <w:color w:val="000000" w:themeColor="text1"/>
        </w:rPr>
        <w:t xml:space="preserve"> NAL unit is not the first NAL unit, then it shall be preceeded by an AAPS NAL unit.</w:t>
      </w:r>
    </w:p>
    <w:p w14:paraId="59C8301B" w14:textId="1CF0FBA5" w:rsidR="009A408D" w:rsidRPr="00A52AB8" w:rsidRDefault="00C8172B" w:rsidP="00983491">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In a common atlas sub-bitstream</w:t>
      </w:r>
      <w:r w:rsidR="009A408D" w:rsidRPr="00A52AB8">
        <w:rPr>
          <w:color w:val="000000" w:themeColor="text1"/>
        </w:rPr>
        <w:t>, when any AAPS NAL units, prefix SEI NAL units, NAL units with nal_unit_type in the range of NAL_RSV_NACL_49..NAL_RSV_NACL_50, or NAL units with nal_unit_type in the range of NAL_UNSPEC_53..NAL_UNSPEC_57, nal_unit_type equal to NAL_FDT, or in the range of NAL_RSV_NACL_51..NAL_RSV_NACL_52 or NAL_UNSPEC_58..NAL_UNSPEC_63 are present, they shall precede the first CAF NAL unit of the access unit.</w:t>
      </w:r>
    </w:p>
    <w:p w14:paraId="6FEA6AED" w14:textId="63F297B2" w:rsidR="009A408D" w:rsidRPr="00A52AB8" w:rsidRDefault="009A408D" w:rsidP="00983491">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When any NAL units with nal_unit_type equal to NAL_SUFFIX_NSEI or NAL_SUFFIX_ESEI are are present in </w:t>
      </w:r>
      <w:r w:rsidR="00983491" w:rsidRPr="00A52AB8">
        <w:rPr>
          <w:color w:val="000000" w:themeColor="text1"/>
        </w:rPr>
        <w:t>a common atlas sub-bitstream</w:t>
      </w:r>
      <w:r w:rsidRPr="00A52AB8">
        <w:rPr>
          <w:color w:val="000000" w:themeColor="text1"/>
        </w:rPr>
        <w:t>, they shall follow the last CAF NAL unit of the access unit.</w:t>
      </w:r>
    </w:p>
    <w:p w14:paraId="0F14EE40" w14:textId="6CB26EB0" w:rsidR="009A408D" w:rsidRPr="00A52AB8" w:rsidRDefault="009A408D" w:rsidP="00983491">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When an end of sequence NAL unit with nal_layer_id equal to 0 is present in a common atlas sub-bitstream, it shall be the last NAL unit among all NAL units with nal_layer_id equal to 0 in the access unit other than an end of an bitstream NAL unit (when present).</w:t>
      </w:r>
    </w:p>
    <w:p w14:paraId="3104D34F" w14:textId="144D4CC7" w:rsidR="009A408D" w:rsidRPr="00A52AB8" w:rsidRDefault="009A408D" w:rsidP="00983491">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When an end of an bitstream NAL unit is present in a common atlas sub-bitstream, it shall be the last NAL unit in the access unit.</w:t>
      </w:r>
    </w:p>
    <w:p w14:paraId="35F52F90" w14:textId="3406E087" w:rsidR="005835A2" w:rsidRPr="00A52AB8" w:rsidRDefault="00973ED7">
      <w:pPr>
        <w:pStyle w:val="Heading3"/>
      </w:pPr>
      <w:bookmarkStart w:id="1142" w:name="_Toc52181617"/>
      <w:bookmarkEnd w:id="1141"/>
      <w:r w:rsidRPr="00A52AB8">
        <w:t>Raw byte sequence payloads, trailing bits, and byte alignment semantics</w:t>
      </w:r>
      <w:bookmarkEnd w:id="1142"/>
    </w:p>
    <w:p w14:paraId="1A2E7219" w14:textId="77777777" w:rsidR="001713A6" w:rsidRPr="00A52AB8" w:rsidRDefault="00EB723C" w:rsidP="005C26E9">
      <w:pPr>
        <w:pStyle w:val="Heading4"/>
        <w:spacing w:before="0"/>
      </w:pPr>
      <w:bookmarkStart w:id="1143" w:name="_Ref38315438"/>
      <w:r w:rsidRPr="00A52AB8">
        <w:t>Atlas sequence</w:t>
      </w:r>
      <w:r w:rsidR="001713A6" w:rsidRPr="00A52AB8">
        <w:t xml:space="preserve"> parameter set </w:t>
      </w:r>
      <w:r w:rsidR="005C2989" w:rsidRPr="00A52AB8">
        <w:t xml:space="preserve">RBSP </w:t>
      </w:r>
      <w:r w:rsidR="001713A6" w:rsidRPr="00A52AB8">
        <w:t>semantics</w:t>
      </w:r>
      <w:bookmarkEnd w:id="1143"/>
    </w:p>
    <w:p w14:paraId="02DBD7D7" w14:textId="77777777" w:rsidR="00BF1A6C" w:rsidRPr="00A52AB8" w:rsidRDefault="00BF1A6C" w:rsidP="001000BF">
      <w:pPr>
        <w:pStyle w:val="Heading5"/>
      </w:pPr>
      <w:bookmarkStart w:id="1144" w:name="_Ref49198420"/>
      <w:r w:rsidRPr="00A52AB8">
        <w:t>General atlas sequence parameter set RBSP semantics</w:t>
      </w:r>
      <w:bookmarkEnd w:id="1144"/>
    </w:p>
    <w:p w14:paraId="46F413C5" w14:textId="6297E29C" w:rsidR="001713A6" w:rsidRPr="00A52AB8" w:rsidRDefault="00EB723C">
      <w:pPr>
        <w:rPr>
          <w:rStyle w:val="fontstyle01"/>
          <w:rFonts w:ascii="Cambria" w:eastAsia="MS Mincho" w:hAnsi="Cambria"/>
          <w:b/>
          <w:color w:val="000000" w:themeColor="text1"/>
          <w:sz w:val="22"/>
          <w:szCs w:val="22"/>
          <w:lang w:eastAsia="ja-JP"/>
        </w:rPr>
      </w:pPr>
      <w:r w:rsidRPr="00A52AB8">
        <w:rPr>
          <w:rStyle w:val="fontstyle01"/>
          <w:rFonts w:ascii="Cambria" w:hAnsi="Cambria"/>
          <w:b/>
          <w:color w:val="000000" w:themeColor="text1"/>
          <w:sz w:val="22"/>
          <w:szCs w:val="22"/>
        </w:rPr>
        <w:t>asps_</w:t>
      </w:r>
      <w:r w:rsidR="00175BB0" w:rsidRPr="00A52AB8">
        <w:rPr>
          <w:rStyle w:val="fontstyle01"/>
          <w:rFonts w:ascii="Cambria" w:hAnsi="Cambria"/>
          <w:b/>
          <w:color w:val="000000" w:themeColor="text1"/>
          <w:sz w:val="22"/>
          <w:szCs w:val="22"/>
        </w:rPr>
        <w:t>atlas_sequence</w:t>
      </w:r>
      <w:r w:rsidR="001713A6" w:rsidRPr="00A52AB8">
        <w:rPr>
          <w:rStyle w:val="fontstyle01"/>
          <w:rFonts w:ascii="Cambria" w:hAnsi="Cambria"/>
          <w:b/>
          <w:color w:val="000000" w:themeColor="text1"/>
          <w:sz w:val="22"/>
          <w:szCs w:val="22"/>
        </w:rPr>
        <w:t>_parameter_set_id</w:t>
      </w:r>
      <w:r w:rsidR="00107AA5" w:rsidRPr="00A52AB8">
        <w:rPr>
          <w:rStyle w:val="fontstyle01"/>
          <w:rFonts w:ascii="Cambria" w:hAnsi="Cambria"/>
          <w:b/>
          <w:color w:val="000000" w:themeColor="text1"/>
          <w:sz w:val="22"/>
          <w:szCs w:val="22"/>
        </w:rPr>
        <w:t xml:space="preserve"> </w:t>
      </w:r>
      <w:r w:rsidR="00107AA5" w:rsidRPr="00A52AB8">
        <w:rPr>
          <w:rStyle w:val="fontstyle01"/>
          <w:rFonts w:ascii="Cambria" w:hAnsi="Cambria"/>
          <w:color w:val="000000" w:themeColor="text1"/>
          <w:sz w:val="22"/>
          <w:szCs w:val="22"/>
        </w:rPr>
        <w:t xml:space="preserve">provides an identifier for the </w:t>
      </w:r>
      <w:r w:rsidRPr="00A52AB8">
        <w:rPr>
          <w:rStyle w:val="fontstyle01"/>
          <w:rFonts w:ascii="Cambria" w:hAnsi="Cambria"/>
          <w:color w:val="000000" w:themeColor="text1"/>
          <w:sz w:val="22"/>
          <w:szCs w:val="22"/>
        </w:rPr>
        <w:t>atlas sequence</w:t>
      </w:r>
      <w:r w:rsidR="00107AA5" w:rsidRPr="00A52AB8">
        <w:rPr>
          <w:rStyle w:val="fontstyle01"/>
          <w:rFonts w:ascii="Cambria" w:hAnsi="Cambria"/>
          <w:color w:val="000000" w:themeColor="text1"/>
          <w:sz w:val="22"/>
          <w:szCs w:val="22"/>
        </w:rPr>
        <w:t xml:space="preserve"> parameter set for reference by other syntax elements.</w:t>
      </w:r>
    </w:p>
    <w:p w14:paraId="1CA73D0B" w14:textId="77DD57F4" w:rsidR="00164043" w:rsidRPr="00A52AB8" w:rsidRDefault="00164043">
      <w:pPr>
        <w:rPr>
          <w:color w:val="000000" w:themeColor="text1"/>
        </w:rPr>
      </w:pPr>
      <w:r w:rsidRPr="00A52AB8">
        <w:rPr>
          <w:b/>
          <w:color w:val="000000" w:themeColor="text1"/>
          <w:lang w:eastAsia="ja-JP"/>
        </w:rPr>
        <w:t>asps_</w:t>
      </w:r>
      <w:r w:rsidRPr="00A52AB8">
        <w:rPr>
          <w:b/>
          <w:color w:val="000000" w:themeColor="text1"/>
        </w:rPr>
        <w:t>frame_width</w:t>
      </w:r>
      <w:r w:rsidRPr="00A52AB8">
        <w:rPr>
          <w:color w:val="000000" w:themeColor="text1"/>
        </w:rPr>
        <w:t xml:space="preserve"> indicates the atlas frame width in terms of integer </w:t>
      </w:r>
      <w:r w:rsidR="00E43DBA" w:rsidRPr="00A52AB8">
        <w:rPr>
          <w:color w:val="000000" w:themeColor="text1"/>
        </w:rPr>
        <w:t xml:space="preserve">number of </w:t>
      </w:r>
      <w:r w:rsidRPr="00A52AB8">
        <w:rPr>
          <w:color w:val="000000" w:themeColor="text1"/>
        </w:rPr>
        <w:t>samples</w:t>
      </w:r>
      <w:r w:rsidR="00FE25AA" w:rsidRPr="00A52AB8">
        <w:rPr>
          <w:color w:val="000000" w:themeColor="text1"/>
        </w:rPr>
        <w:t xml:space="preserve">, where </w:t>
      </w:r>
      <w:r w:rsidR="00FE25AA" w:rsidRPr="00A52AB8">
        <w:rPr>
          <w:rFonts w:eastAsia="Times New Roman"/>
          <w:color w:val="000000"/>
        </w:rPr>
        <w:t>a sample corresponds to a luma sample of a video component.</w:t>
      </w:r>
      <w:r w:rsidR="00FE25AA" w:rsidRPr="00A52AB8" w:rsidDel="0018494F">
        <w:rPr>
          <w:color w:val="000000" w:themeColor="text1"/>
        </w:rPr>
        <w:t xml:space="preserve"> </w:t>
      </w:r>
      <w:r w:rsidRPr="00A52AB8">
        <w:rPr>
          <w:color w:val="000000" w:themeColor="text1"/>
        </w:rPr>
        <w:t xml:space="preserve">It is a requirement of </w:t>
      </w:r>
      <w:r w:rsidR="00463CF8" w:rsidRPr="00A52AB8">
        <w:rPr>
          <w:color w:val="000000" w:themeColor="text1"/>
        </w:rPr>
        <w:t>V3C</w:t>
      </w:r>
      <w:r w:rsidRPr="00A52AB8">
        <w:rPr>
          <w:color w:val="000000" w:themeColor="text1"/>
        </w:rPr>
        <w:t xml:space="preserve"> bitstream conformance that the value of </w:t>
      </w:r>
      <w:r w:rsidRPr="00A52AB8">
        <w:rPr>
          <w:color w:val="000000" w:themeColor="text1"/>
          <w:lang w:eastAsia="ja-JP"/>
        </w:rPr>
        <w:t>asps_</w:t>
      </w:r>
      <w:r w:rsidRPr="00A52AB8">
        <w:rPr>
          <w:color w:val="000000" w:themeColor="text1"/>
        </w:rPr>
        <w:t xml:space="preserve">frame_width shall be equal to the value of </w:t>
      </w:r>
      <w:r w:rsidR="0026338A" w:rsidRPr="00A52AB8">
        <w:rPr>
          <w:color w:val="000000" w:themeColor="text1"/>
        </w:rPr>
        <w:t>vps_frame_width</w:t>
      </w:r>
      <w:r w:rsidR="001F4484" w:rsidRPr="00A52AB8">
        <w:rPr>
          <w:color w:val="000000" w:themeColor="text1"/>
        </w:rPr>
        <w:t>[ j ]</w:t>
      </w:r>
      <w:r w:rsidRPr="00A52AB8">
        <w:rPr>
          <w:color w:val="000000" w:themeColor="text1"/>
        </w:rPr>
        <w:t xml:space="preserve">, where j is the </w:t>
      </w:r>
      <w:r w:rsidR="00453238" w:rsidRPr="00A52AB8">
        <w:rPr>
          <w:color w:val="000000" w:themeColor="text1"/>
        </w:rPr>
        <w:t xml:space="preserve">ID </w:t>
      </w:r>
      <w:r w:rsidRPr="00A52AB8">
        <w:rPr>
          <w:color w:val="000000" w:themeColor="text1"/>
        </w:rPr>
        <w:t>of the current atlas.</w:t>
      </w:r>
    </w:p>
    <w:p w14:paraId="56DD9C9F" w14:textId="0C917B3D" w:rsidR="00164043" w:rsidRPr="00A52AB8" w:rsidRDefault="00164043">
      <w:pPr>
        <w:rPr>
          <w:color w:val="000000" w:themeColor="text1"/>
        </w:rPr>
      </w:pPr>
      <w:r w:rsidRPr="00A52AB8">
        <w:rPr>
          <w:b/>
          <w:color w:val="000000" w:themeColor="text1"/>
          <w:lang w:eastAsia="ja-JP"/>
        </w:rPr>
        <w:t>asps_</w:t>
      </w:r>
      <w:r w:rsidRPr="00A52AB8">
        <w:rPr>
          <w:b/>
          <w:color w:val="000000" w:themeColor="text1"/>
        </w:rPr>
        <w:t>frame_height</w:t>
      </w:r>
      <w:r w:rsidRPr="00A52AB8">
        <w:rPr>
          <w:color w:val="000000" w:themeColor="text1"/>
        </w:rPr>
        <w:t xml:space="preserve"> indicates the atlas frame height in terms of integer </w:t>
      </w:r>
      <w:r w:rsidR="00165B88" w:rsidRPr="00A52AB8">
        <w:rPr>
          <w:color w:val="000000" w:themeColor="text1"/>
        </w:rPr>
        <w:t xml:space="preserve">number of </w:t>
      </w:r>
      <w:r w:rsidRPr="00A52AB8">
        <w:rPr>
          <w:color w:val="000000" w:themeColor="text1"/>
        </w:rPr>
        <w:t>samples</w:t>
      </w:r>
      <w:r w:rsidR="00165B88" w:rsidRPr="00A52AB8">
        <w:rPr>
          <w:color w:val="000000" w:themeColor="text1"/>
        </w:rPr>
        <w:t>,</w:t>
      </w:r>
      <w:r w:rsidRPr="00A52AB8">
        <w:rPr>
          <w:color w:val="000000" w:themeColor="text1"/>
        </w:rPr>
        <w:t xml:space="preserve"> </w:t>
      </w:r>
      <w:r w:rsidR="00165B88" w:rsidRPr="00A52AB8">
        <w:rPr>
          <w:color w:val="000000" w:themeColor="text1"/>
        </w:rPr>
        <w:t xml:space="preserve">where </w:t>
      </w:r>
      <w:r w:rsidR="00165B88" w:rsidRPr="00A52AB8">
        <w:rPr>
          <w:rFonts w:eastAsia="Times New Roman"/>
          <w:color w:val="000000"/>
        </w:rPr>
        <w:t>a sample corresponds to a luma sample of a video component</w:t>
      </w:r>
      <w:r w:rsidRPr="00A52AB8">
        <w:rPr>
          <w:color w:val="000000" w:themeColor="text1"/>
        </w:rPr>
        <w:t xml:space="preserve">. It is a requirement of </w:t>
      </w:r>
      <w:r w:rsidR="00463CF8" w:rsidRPr="00A52AB8">
        <w:rPr>
          <w:color w:val="000000" w:themeColor="text1"/>
        </w:rPr>
        <w:t>V3C</w:t>
      </w:r>
      <w:r w:rsidRPr="00A52AB8">
        <w:rPr>
          <w:color w:val="000000" w:themeColor="text1"/>
        </w:rPr>
        <w:t xml:space="preserve"> bitstream conformance that the value of </w:t>
      </w:r>
      <w:r w:rsidRPr="00A52AB8">
        <w:rPr>
          <w:color w:val="000000" w:themeColor="text1"/>
          <w:lang w:eastAsia="ja-JP"/>
        </w:rPr>
        <w:t>asps_</w:t>
      </w:r>
      <w:r w:rsidRPr="00A52AB8">
        <w:rPr>
          <w:color w:val="000000" w:themeColor="text1"/>
        </w:rPr>
        <w:t xml:space="preserve">frame_height shall be equal to the value of </w:t>
      </w:r>
      <w:r w:rsidR="0026338A" w:rsidRPr="00A52AB8">
        <w:rPr>
          <w:color w:val="000000" w:themeColor="text1"/>
        </w:rPr>
        <w:t>vps_frame_height</w:t>
      </w:r>
      <w:r w:rsidR="001F4484" w:rsidRPr="00A52AB8">
        <w:rPr>
          <w:color w:val="000000" w:themeColor="text1"/>
        </w:rPr>
        <w:t>[ j ]</w:t>
      </w:r>
      <w:r w:rsidRPr="00A52AB8">
        <w:rPr>
          <w:color w:val="000000" w:themeColor="text1"/>
        </w:rPr>
        <w:t xml:space="preserve">, where j is the </w:t>
      </w:r>
      <w:r w:rsidR="00453238" w:rsidRPr="00A52AB8">
        <w:rPr>
          <w:color w:val="000000" w:themeColor="text1"/>
        </w:rPr>
        <w:t xml:space="preserve">ID </w:t>
      </w:r>
      <w:r w:rsidRPr="00A52AB8">
        <w:rPr>
          <w:color w:val="000000" w:themeColor="text1"/>
        </w:rPr>
        <w:t>of the current atlas.</w:t>
      </w:r>
    </w:p>
    <w:p w14:paraId="443184B0" w14:textId="3ECA2C7E" w:rsidR="00333323" w:rsidRPr="00A52AB8" w:rsidRDefault="00333323">
      <w:pPr>
        <w:rPr>
          <w:color w:val="000000" w:themeColor="text1"/>
        </w:rPr>
      </w:pPr>
      <w:r w:rsidRPr="00A52AB8">
        <w:rPr>
          <w:color w:val="000000" w:themeColor="text1"/>
        </w:rPr>
        <w:t xml:space="preserve">The variable AspsFrameSize is set equal to </w:t>
      </w:r>
      <w:r w:rsidRPr="00A52AB8">
        <w:rPr>
          <w:color w:val="000000" w:themeColor="text1"/>
          <w:lang w:eastAsia="ja-JP"/>
        </w:rPr>
        <w:t>asps_</w:t>
      </w:r>
      <w:r w:rsidRPr="00A52AB8">
        <w:rPr>
          <w:color w:val="000000" w:themeColor="text1"/>
        </w:rPr>
        <w:t>frame_</w:t>
      </w:r>
      <w:r w:rsidR="0083791F" w:rsidRPr="00A52AB8">
        <w:rPr>
          <w:color w:val="000000" w:themeColor="text1"/>
        </w:rPr>
        <w:t>height</w:t>
      </w:r>
      <w:r w:rsidRPr="00A52AB8">
        <w:rPr>
          <w:color w:val="000000" w:themeColor="text1"/>
        </w:rPr>
        <w:t> * </w:t>
      </w:r>
      <w:r w:rsidRPr="00A52AB8">
        <w:rPr>
          <w:color w:val="000000" w:themeColor="text1"/>
          <w:lang w:eastAsia="ja-JP"/>
        </w:rPr>
        <w:t>asps_</w:t>
      </w:r>
      <w:r w:rsidRPr="00A52AB8">
        <w:rPr>
          <w:color w:val="000000" w:themeColor="text1"/>
        </w:rPr>
        <w:t>frame_</w:t>
      </w:r>
      <w:r w:rsidR="0083791F" w:rsidRPr="00A52AB8">
        <w:rPr>
          <w:color w:val="000000" w:themeColor="text1"/>
        </w:rPr>
        <w:t>width</w:t>
      </w:r>
      <w:r w:rsidRPr="00A52AB8">
        <w:rPr>
          <w:color w:val="000000" w:themeColor="text1"/>
        </w:rPr>
        <w:t>.</w:t>
      </w:r>
    </w:p>
    <w:p w14:paraId="0ECE607F" w14:textId="032E8727" w:rsidR="008F28C6" w:rsidRPr="00A52AB8" w:rsidRDefault="00B06848" w:rsidP="00F05A66">
      <w:pPr>
        <w:pStyle w:val="Note1"/>
        <w:rPr>
          <w:rFonts w:ascii="Cambria" w:hAnsi="Cambria"/>
        </w:rPr>
      </w:pPr>
      <w:r w:rsidRPr="00A52AB8">
        <w:rPr>
          <w:rFonts w:ascii="Cambria" w:hAnsi="Cambria"/>
        </w:rPr>
        <w:t>NOTE </w:t>
      </w:r>
      <w:r w:rsidR="00534D1F" w:rsidRPr="00496A4D">
        <w:rPr>
          <w:rFonts w:ascii="Cambria" w:hAnsi="Cambria"/>
        </w:rPr>
        <w:fldChar w:fldCharType="begin"/>
      </w:r>
      <w:r w:rsidR="00534D1F" w:rsidRPr="00A52AB8">
        <w:rPr>
          <w:rFonts w:ascii="Cambria" w:hAnsi="Cambria"/>
        </w:rPr>
        <w:instrText xml:space="preserve"> SEQ NoteCounter \r 1 \s 9 \* MERGEFORMAT  \* MERGEFORMAT  \* MERGEFORMAT </w:instrText>
      </w:r>
      <w:r w:rsidR="00534D1F" w:rsidRPr="00496A4D">
        <w:rPr>
          <w:rFonts w:ascii="Cambria" w:hAnsi="Cambria"/>
        </w:rPr>
        <w:fldChar w:fldCharType="separate"/>
      </w:r>
      <w:r w:rsidR="00507A67">
        <w:rPr>
          <w:rFonts w:ascii="Cambria" w:hAnsi="Cambria"/>
          <w:noProof/>
        </w:rPr>
        <w:t>1</w:t>
      </w:r>
      <w:r w:rsidR="00534D1F" w:rsidRPr="00496A4D">
        <w:rPr>
          <w:rFonts w:ascii="Cambria" w:hAnsi="Cambria"/>
        </w:rPr>
        <w:fldChar w:fldCharType="end"/>
      </w:r>
      <w:r w:rsidRPr="00A52AB8">
        <w:rPr>
          <w:rFonts w:ascii="Cambria" w:hAnsi="Cambria"/>
        </w:rPr>
        <w:t> – </w:t>
      </w:r>
      <w:r w:rsidR="008F28C6" w:rsidRPr="00A52AB8">
        <w:rPr>
          <w:rFonts w:ascii="Cambria" w:hAnsi="Cambria"/>
        </w:rPr>
        <w:t xml:space="preserve">During the reconstruction phase the decoded occupancy, geometry, and attribute videos </w:t>
      </w:r>
      <w:r w:rsidRPr="00A52AB8">
        <w:rPr>
          <w:rFonts w:ascii="Cambria" w:hAnsi="Cambria"/>
        </w:rPr>
        <w:t xml:space="preserve">should </w:t>
      </w:r>
      <w:r w:rsidR="008F28C6" w:rsidRPr="00A52AB8">
        <w:rPr>
          <w:rFonts w:ascii="Cambria" w:hAnsi="Cambria"/>
        </w:rPr>
        <w:t xml:space="preserve">be converted to the nominal format of the current atlas </w:t>
      </w:r>
      <w:r w:rsidR="00B76637" w:rsidRPr="00A52AB8">
        <w:rPr>
          <w:rFonts w:ascii="Cambria" w:hAnsi="Cambria"/>
        </w:rPr>
        <w:t xml:space="preserve">as specified in </w:t>
      </w:r>
      <w:r w:rsidR="00E64F65" w:rsidRPr="00496A4D">
        <w:rPr>
          <w:rFonts w:ascii="Cambria" w:hAnsi="Cambria"/>
        </w:rPr>
        <w:fldChar w:fldCharType="begin"/>
      </w:r>
      <w:r w:rsidR="00E64F65" w:rsidRPr="00A52AB8">
        <w:rPr>
          <w:rFonts w:ascii="Cambria" w:hAnsi="Cambria"/>
        </w:rPr>
        <w:instrText xml:space="preserve"> REF _Ref38561253 \n \h </w:instrText>
      </w:r>
      <w:r w:rsidR="006371AA" w:rsidRPr="00A52AB8">
        <w:rPr>
          <w:rFonts w:ascii="Cambria" w:hAnsi="Cambria"/>
        </w:rPr>
        <w:instrText xml:space="preserve"> \* MERGEFORMAT </w:instrText>
      </w:r>
      <w:r w:rsidR="00E64F65" w:rsidRPr="00496A4D">
        <w:rPr>
          <w:rFonts w:ascii="Cambria" w:hAnsi="Cambria"/>
        </w:rPr>
      </w:r>
      <w:r w:rsidR="00E64F65" w:rsidRPr="00496A4D">
        <w:rPr>
          <w:rFonts w:ascii="Cambria" w:hAnsi="Cambria"/>
        </w:rPr>
        <w:fldChar w:fldCharType="separate"/>
      </w:r>
      <w:r w:rsidR="00507A67">
        <w:rPr>
          <w:rFonts w:ascii="Cambria" w:hAnsi="Cambria"/>
        </w:rPr>
        <w:t>Annex B</w:t>
      </w:r>
      <w:r w:rsidR="00E64F65" w:rsidRPr="00496A4D">
        <w:rPr>
          <w:rFonts w:ascii="Cambria" w:hAnsi="Cambria"/>
        </w:rPr>
        <w:fldChar w:fldCharType="end"/>
      </w:r>
      <w:r w:rsidR="008F28C6" w:rsidRPr="00A52AB8">
        <w:rPr>
          <w:rFonts w:ascii="Cambria" w:hAnsi="Cambria"/>
        </w:rPr>
        <w:t>.</w:t>
      </w:r>
    </w:p>
    <w:p w14:paraId="1E58AEB9" w14:textId="3085F9C1" w:rsidR="00571712" w:rsidRPr="00A52AB8" w:rsidRDefault="00571712" w:rsidP="00571712">
      <w:pPr>
        <w:rPr>
          <w:color w:val="000000" w:themeColor="text1"/>
        </w:rPr>
      </w:pPr>
      <w:r w:rsidRPr="00A52AB8">
        <w:rPr>
          <w:b/>
          <w:color w:val="000000" w:themeColor="text1"/>
        </w:rPr>
        <w:t>asps_geometry_3d_bit</w:t>
      </w:r>
      <w:r w:rsidR="00C514C6" w:rsidRPr="00A52AB8">
        <w:rPr>
          <w:b/>
          <w:color w:val="000000" w:themeColor="text1"/>
        </w:rPr>
        <w:t>_</w:t>
      </w:r>
      <w:r w:rsidRPr="00A52AB8">
        <w:rPr>
          <w:b/>
          <w:color w:val="000000" w:themeColor="text1"/>
        </w:rPr>
        <w:t>depth_minus1</w:t>
      </w:r>
      <w:r w:rsidRPr="00A52AB8">
        <w:rPr>
          <w:color w:val="000000" w:themeColor="text1"/>
        </w:rPr>
        <w:t xml:space="preserve"> plus 1 indicates the bit depth of </w:t>
      </w:r>
      <w:r w:rsidR="002E6956" w:rsidRPr="00A52AB8">
        <w:rPr>
          <w:color w:val="000000" w:themeColor="text1"/>
        </w:rPr>
        <w:t xml:space="preserve">the </w:t>
      </w:r>
      <w:r w:rsidRPr="00A52AB8">
        <w:rPr>
          <w:color w:val="000000" w:themeColor="text1"/>
        </w:rPr>
        <w:t>geometry coordinates of the reconstructed volumetric content. asps_geometry_3d_bit</w:t>
      </w:r>
      <w:r w:rsidR="00C514C6" w:rsidRPr="00A52AB8">
        <w:rPr>
          <w:color w:val="000000" w:themeColor="text1"/>
        </w:rPr>
        <w:t>_</w:t>
      </w:r>
      <w:r w:rsidRPr="00A52AB8">
        <w:rPr>
          <w:color w:val="000000" w:themeColor="text1"/>
        </w:rPr>
        <w:t>depth_minus1 shall be in the range of 0 to 31, inclusive.</w:t>
      </w:r>
    </w:p>
    <w:p w14:paraId="4B33A6BB" w14:textId="4B9BEB2F" w:rsidR="00571712" w:rsidRPr="00A52AB8" w:rsidRDefault="00571712">
      <w:pPr>
        <w:rPr>
          <w:color w:val="000000" w:themeColor="text1"/>
        </w:rPr>
      </w:pPr>
      <w:r w:rsidRPr="00A52AB8">
        <w:rPr>
          <w:b/>
          <w:color w:val="000000" w:themeColor="text1"/>
        </w:rPr>
        <w:t>asps_geometry_2d_bit</w:t>
      </w:r>
      <w:r w:rsidR="00C514C6" w:rsidRPr="00A52AB8">
        <w:rPr>
          <w:b/>
          <w:color w:val="000000" w:themeColor="text1"/>
        </w:rPr>
        <w:t>_</w:t>
      </w:r>
      <w:r w:rsidRPr="00A52AB8">
        <w:rPr>
          <w:b/>
          <w:color w:val="000000" w:themeColor="text1"/>
        </w:rPr>
        <w:t>depth_minus1</w:t>
      </w:r>
      <w:r w:rsidRPr="00A52AB8">
        <w:rPr>
          <w:color w:val="000000" w:themeColor="text1"/>
        </w:rPr>
        <w:t xml:space="preserve"> plus 1 indicates the bit depth of </w:t>
      </w:r>
      <w:r w:rsidR="002E6956" w:rsidRPr="00A52AB8">
        <w:rPr>
          <w:color w:val="000000" w:themeColor="text1"/>
        </w:rPr>
        <w:t xml:space="preserve">the </w:t>
      </w:r>
      <w:r w:rsidRPr="00A52AB8">
        <w:rPr>
          <w:color w:val="000000" w:themeColor="text1"/>
        </w:rPr>
        <w:t xml:space="preserve">geometry when projected </w:t>
      </w:r>
      <w:r w:rsidR="002E6956" w:rsidRPr="00A52AB8">
        <w:rPr>
          <w:color w:val="000000" w:themeColor="text1"/>
        </w:rPr>
        <w:t>o</w:t>
      </w:r>
      <w:r w:rsidRPr="00A52AB8">
        <w:rPr>
          <w:color w:val="000000" w:themeColor="text1"/>
        </w:rPr>
        <w:t>nto 2</w:t>
      </w:r>
      <w:r w:rsidR="002E6956" w:rsidRPr="00A52AB8">
        <w:rPr>
          <w:color w:val="000000" w:themeColor="text1"/>
        </w:rPr>
        <w:t>D</w:t>
      </w:r>
      <w:r w:rsidRPr="00A52AB8">
        <w:rPr>
          <w:color w:val="000000" w:themeColor="text1"/>
        </w:rPr>
        <w:t xml:space="preserve"> images. asps_geometry_2d_bit</w:t>
      </w:r>
      <w:r w:rsidR="00C514C6" w:rsidRPr="00A52AB8">
        <w:rPr>
          <w:color w:val="000000" w:themeColor="text1"/>
        </w:rPr>
        <w:t>_</w:t>
      </w:r>
      <w:r w:rsidRPr="00A52AB8">
        <w:rPr>
          <w:color w:val="000000" w:themeColor="text1"/>
        </w:rPr>
        <w:t>depth_minus1 shall be in the range of 0 to 31, inclusive.</w:t>
      </w:r>
    </w:p>
    <w:p w14:paraId="17901E44" w14:textId="757F560A" w:rsidR="00B57DC6" w:rsidRPr="00A52AB8" w:rsidRDefault="00614F6F" w:rsidP="00F05A66">
      <w:pPr>
        <w:pStyle w:val="Note1"/>
        <w:rPr>
          <w:rFonts w:ascii="Cambria" w:hAnsi="Cambria"/>
          <w:color w:val="000000" w:themeColor="text1"/>
        </w:rPr>
      </w:pPr>
      <w:r w:rsidRPr="00A52AB8">
        <w:rPr>
          <w:rFonts w:ascii="Cambria" w:hAnsi="Cambria"/>
        </w:rPr>
        <w:t>NOTE </w:t>
      </w:r>
      <w:r w:rsidR="00534D1F" w:rsidRPr="00496A4D">
        <w:rPr>
          <w:rFonts w:ascii="Cambria" w:hAnsi="Cambria"/>
        </w:rPr>
        <w:fldChar w:fldCharType="begin"/>
      </w:r>
      <w:r w:rsidR="00534D1F" w:rsidRPr="00A52AB8">
        <w:rPr>
          <w:rFonts w:ascii="Cambria" w:hAnsi="Cambria"/>
        </w:rPr>
        <w:instrText xml:space="preserve"> SEQ NoteCounter \s 9 \* MERGEFORMAT  \* MERGEFORMAT  \* MERGEFORMAT </w:instrText>
      </w:r>
      <w:r w:rsidR="00534D1F" w:rsidRPr="00496A4D">
        <w:rPr>
          <w:rFonts w:ascii="Cambria" w:hAnsi="Cambria"/>
        </w:rPr>
        <w:fldChar w:fldCharType="separate"/>
      </w:r>
      <w:r w:rsidR="00507A67">
        <w:rPr>
          <w:rFonts w:ascii="Cambria" w:hAnsi="Cambria"/>
          <w:noProof/>
        </w:rPr>
        <w:t>2</w:t>
      </w:r>
      <w:r w:rsidR="00534D1F" w:rsidRPr="00496A4D">
        <w:rPr>
          <w:rFonts w:ascii="Cambria" w:hAnsi="Cambria"/>
        </w:rPr>
        <w:fldChar w:fldCharType="end"/>
      </w:r>
      <w:r w:rsidRPr="00A52AB8">
        <w:rPr>
          <w:rFonts w:ascii="Cambria" w:hAnsi="Cambria"/>
        </w:rPr>
        <w:t> – </w:t>
      </w:r>
      <w:r w:rsidR="0033400D" w:rsidRPr="00A52AB8">
        <w:rPr>
          <w:rFonts w:ascii="Cambria" w:hAnsi="Cambria"/>
        </w:rPr>
        <w:t xml:space="preserve">For some applications, such as the application defined in </w:t>
      </w:r>
      <w:r w:rsidR="0033400D" w:rsidRPr="00496A4D">
        <w:rPr>
          <w:rFonts w:ascii="Cambria" w:hAnsi="Cambria"/>
        </w:rPr>
        <w:fldChar w:fldCharType="begin"/>
      </w:r>
      <w:r w:rsidR="0033400D" w:rsidRPr="00A52AB8">
        <w:rPr>
          <w:rFonts w:ascii="Cambria" w:hAnsi="Cambria"/>
        </w:rPr>
        <w:instrText xml:space="preserve"> REF _Ref44323689 \n \h </w:instrText>
      </w:r>
      <w:r w:rsidR="00007BE2" w:rsidRPr="00A52AB8">
        <w:rPr>
          <w:rFonts w:ascii="Cambria" w:hAnsi="Cambria"/>
        </w:rPr>
        <w:instrText xml:space="preserve"> \* MERGEFORMAT </w:instrText>
      </w:r>
      <w:r w:rsidR="0033400D" w:rsidRPr="00496A4D">
        <w:rPr>
          <w:rFonts w:ascii="Cambria" w:hAnsi="Cambria"/>
        </w:rPr>
      </w:r>
      <w:r w:rsidR="0033400D" w:rsidRPr="00496A4D">
        <w:rPr>
          <w:rFonts w:ascii="Cambria" w:hAnsi="Cambria"/>
        </w:rPr>
        <w:fldChar w:fldCharType="separate"/>
      </w:r>
      <w:r w:rsidR="00507A67">
        <w:rPr>
          <w:rFonts w:ascii="Cambria" w:hAnsi="Cambria"/>
        </w:rPr>
        <w:t>Annex H</w:t>
      </w:r>
      <w:r w:rsidR="0033400D" w:rsidRPr="00496A4D">
        <w:rPr>
          <w:rFonts w:ascii="Cambria" w:hAnsi="Cambria"/>
        </w:rPr>
        <w:fldChar w:fldCharType="end"/>
      </w:r>
      <w:r w:rsidR="0033400D" w:rsidRPr="00A52AB8">
        <w:rPr>
          <w:rFonts w:ascii="Cambria" w:hAnsi="Cambria"/>
        </w:rPr>
        <w:t>, the syntax elements asps_geometry_3d_bit_depth_minus1 and asps_geometry_2d_bit_depth_minus1 may differ from their corresponding elements in the VPS, gi_geometry_3d_coordinates_bit_depth_minus1 and gi_geometry_2d_bit_depth_minus1, respectively. This can be due to the fact that the elements asps_geometry_3d_bit_depth_minus1 and asps_geometry_2d_bit_depth_minus1 may potentially represent an intermediate space that may require different precision for coding purposes than the target representation space, which the elements gi_geometry_3d_coordinates_bit_depth_minus1 and gi_geometry_2d_bit_depth_minus1 indicate.</w:t>
      </w:r>
    </w:p>
    <w:p w14:paraId="0EE5D160" w14:textId="379A52FA" w:rsidR="00330107" w:rsidRPr="00496A4D" w:rsidRDefault="00EB723C">
      <w:pPr>
        <w:rPr>
          <w:rStyle w:val="fontstyle01"/>
          <w:rFonts w:ascii="Cambria" w:hAnsi="Cambria"/>
          <w:color w:val="000000" w:themeColor="text1"/>
          <w:sz w:val="22"/>
          <w:szCs w:val="22"/>
        </w:rPr>
      </w:pPr>
      <w:r w:rsidRPr="00A52AB8">
        <w:rPr>
          <w:rStyle w:val="fontstyle01"/>
          <w:rFonts w:ascii="Cambria" w:hAnsi="Cambria"/>
          <w:b/>
          <w:color w:val="000000" w:themeColor="text1"/>
          <w:sz w:val="22"/>
          <w:szCs w:val="22"/>
        </w:rPr>
        <w:t>asps_</w:t>
      </w:r>
      <w:r w:rsidR="001713A6" w:rsidRPr="00A52AB8">
        <w:rPr>
          <w:rStyle w:val="fontstyle01"/>
          <w:rFonts w:ascii="Cambria" w:hAnsi="Cambria"/>
          <w:b/>
          <w:color w:val="000000" w:themeColor="text1"/>
          <w:sz w:val="22"/>
          <w:szCs w:val="22"/>
        </w:rPr>
        <w:t>log2</w:t>
      </w:r>
      <w:r w:rsidR="00CF3E6E" w:rsidRPr="00A52AB8">
        <w:rPr>
          <w:rStyle w:val="fontstyle01"/>
          <w:rFonts w:ascii="Cambria" w:hAnsi="Cambria"/>
          <w:b/>
          <w:color w:val="000000" w:themeColor="text1"/>
          <w:sz w:val="22"/>
          <w:szCs w:val="22"/>
        </w:rPr>
        <w:t>_max_</w:t>
      </w:r>
      <w:r w:rsidR="00DD23CD" w:rsidRPr="00A52AB8">
        <w:rPr>
          <w:rStyle w:val="fontstyle01"/>
          <w:rFonts w:ascii="Cambria" w:hAnsi="Cambria"/>
          <w:b/>
          <w:color w:val="000000" w:themeColor="text1"/>
          <w:sz w:val="22"/>
          <w:szCs w:val="22"/>
        </w:rPr>
        <w:t>atlas_frame</w:t>
      </w:r>
      <w:r w:rsidR="00CF3E6E" w:rsidRPr="00A52AB8">
        <w:rPr>
          <w:rStyle w:val="fontstyle01"/>
          <w:rFonts w:ascii="Cambria" w:hAnsi="Cambria"/>
          <w:b/>
          <w:color w:val="000000" w:themeColor="text1"/>
          <w:sz w:val="22"/>
          <w:szCs w:val="22"/>
        </w:rPr>
        <w:t>_order</w:t>
      </w:r>
      <w:r w:rsidR="001713A6" w:rsidRPr="00A52AB8">
        <w:rPr>
          <w:rStyle w:val="fontstyle01"/>
          <w:rFonts w:ascii="Cambria" w:hAnsi="Cambria"/>
          <w:b/>
          <w:color w:val="000000" w:themeColor="text1"/>
          <w:sz w:val="22"/>
          <w:szCs w:val="22"/>
        </w:rPr>
        <w:t>_cnt_lsb_minus4</w:t>
      </w:r>
      <w:r w:rsidR="00330107" w:rsidRPr="00A52AB8">
        <w:rPr>
          <w:rStyle w:val="fontstyle01"/>
          <w:rFonts w:ascii="Cambria" w:hAnsi="Cambria"/>
          <w:bCs/>
          <w:color w:val="000000" w:themeColor="text1"/>
          <w:sz w:val="22"/>
          <w:szCs w:val="22"/>
        </w:rPr>
        <w:t xml:space="preserve"> </w:t>
      </w:r>
      <w:r w:rsidR="002E6956" w:rsidRPr="00A52AB8">
        <w:rPr>
          <w:rStyle w:val="fontstyle01"/>
          <w:rFonts w:ascii="Cambria" w:hAnsi="Cambria"/>
          <w:bCs/>
          <w:color w:val="000000" w:themeColor="text1"/>
          <w:sz w:val="22"/>
          <w:szCs w:val="22"/>
        </w:rPr>
        <w:t xml:space="preserve">plus 4 </w:t>
      </w:r>
      <w:r w:rsidR="00330107" w:rsidRPr="00A52AB8">
        <w:rPr>
          <w:rStyle w:val="fontstyle01"/>
          <w:rFonts w:ascii="Cambria" w:hAnsi="Cambria"/>
          <w:color w:val="000000" w:themeColor="text1"/>
          <w:sz w:val="22"/>
          <w:szCs w:val="22"/>
        </w:rPr>
        <w:t>specifies the value</w:t>
      </w:r>
      <w:r w:rsidR="00905202" w:rsidRPr="00A52AB8">
        <w:rPr>
          <w:rStyle w:val="fontstyle01"/>
          <w:rFonts w:ascii="Cambria" w:hAnsi="Cambria"/>
          <w:color w:val="000000" w:themeColor="text1"/>
          <w:sz w:val="22"/>
          <w:szCs w:val="22"/>
        </w:rPr>
        <w:t>s</w:t>
      </w:r>
      <w:r w:rsidR="00330107" w:rsidRPr="00A52AB8">
        <w:rPr>
          <w:rStyle w:val="fontstyle01"/>
          <w:rFonts w:ascii="Cambria" w:hAnsi="Cambria"/>
          <w:color w:val="000000" w:themeColor="text1"/>
          <w:sz w:val="22"/>
          <w:szCs w:val="22"/>
        </w:rPr>
        <w:t xml:space="preserve"> of the variable</w:t>
      </w:r>
      <w:r w:rsidR="00905202" w:rsidRPr="00A52AB8">
        <w:rPr>
          <w:rStyle w:val="fontstyle01"/>
          <w:rFonts w:ascii="Cambria" w:hAnsi="Cambria"/>
          <w:color w:val="000000" w:themeColor="text1"/>
          <w:sz w:val="22"/>
          <w:szCs w:val="22"/>
        </w:rPr>
        <w:t>s Log2MaxAtlasFrmOrderCntLsb and</w:t>
      </w:r>
      <w:r w:rsidR="00330107" w:rsidRPr="00A52AB8">
        <w:rPr>
          <w:rStyle w:val="fontstyle01"/>
          <w:rFonts w:ascii="Cambria" w:hAnsi="Cambria"/>
          <w:color w:val="000000" w:themeColor="text1"/>
          <w:sz w:val="22"/>
          <w:szCs w:val="22"/>
        </w:rPr>
        <w:t xml:space="preserve"> Max</w:t>
      </w:r>
      <w:r w:rsidRPr="00A52AB8">
        <w:rPr>
          <w:rStyle w:val="fontstyle01"/>
          <w:rFonts w:ascii="Cambria" w:hAnsi="Cambria"/>
          <w:color w:val="000000" w:themeColor="text1"/>
          <w:sz w:val="22"/>
          <w:szCs w:val="22"/>
        </w:rPr>
        <w:t>AtlasFrm</w:t>
      </w:r>
      <w:r w:rsidR="00330107" w:rsidRPr="00A52AB8">
        <w:rPr>
          <w:rStyle w:val="fontstyle01"/>
          <w:rFonts w:ascii="Cambria" w:hAnsi="Cambria"/>
          <w:color w:val="000000" w:themeColor="text1"/>
          <w:sz w:val="22"/>
          <w:szCs w:val="22"/>
        </w:rPr>
        <w:t xml:space="preserve">OrderCntLsb that </w:t>
      </w:r>
      <w:r w:rsidR="00905202" w:rsidRPr="00A52AB8">
        <w:rPr>
          <w:rStyle w:val="fontstyle01"/>
          <w:rFonts w:ascii="Cambria" w:hAnsi="Cambria"/>
          <w:color w:val="000000" w:themeColor="text1"/>
          <w:sz w:val="22"/>
          <w:szCs w:val="22"/>
        </w:rPr>
        <w:t>are</w:t>
      </w:r>
      <w:r w:rsidR="00330107" w:rsidRPr="00A52AB8">
        <w:rPr>
          <w:rStyle w:val="fontstyle01"/>
          <w:rFonts w:ascii="Cambria" w:hAnsi="Cambria"/>
          <w:color w:val="000000" w:themeColor="text1"/>
          <w:sz w:val="22"/>
          <w:szCs w:val="22"/>
        </w:rPr>
        <w:t xml:space="preserve"> used in the decoding process for </w:t>
      </w:r>
      <w:r w:rsidR="00956B41" w:rsidRPr="00A52AB8">
        <w:rPr>
          <w:rStyle w:val="fontstyle01"/>
          <w:rFonts w:ascii="Cambria" w:hAnsi="Cambria"/>
          <w:color w:val="000000" w:themeColor="text1"/>
          <w:sz w:val="22"/>
          <w:szCs w:val="22"/>
        </w:rPr>
        <w:t xml:space="preserve">the </w:t>
      </w:r>
      <w:r w:rsidR="008F0D00" w:rsidRPr="00A52AB8">
        <w:rPr>
          <w:rStyle w:val="fontstyle01"/>
          <w:rFonts w:ascii="Cambria" w:hAnsi="Cambria"/>
          <w:color w:val="000000" w:themeColor="text1"/>
          <w:sz w:val="22"/>
          <w:szCs w:val="22"/>
        </w:rPr>
        <w:t>atlas frame</w:t>
      </w:r>
      <w:r w:rsidR="00330107" w:rsidRPr="00A52AB8">
        <w:rPr>
          <w:rStyle w:val="fontstyle01"/>
          <w:rFonts w:ascii="Cambria" w:hAnsi="Cambria"/>
          <w:color w:val="000000" w:themeColor="text1"/>
          <w:sz w:val="22"/>
          <w:szCs w:val="22"/>
        </w:rPr>
        <w:t xml:space="preserve"> order count as follows:</w:t>
      </w:r>
    </w:p>
    <w:p w14:paraId="6A0A5E05" w14:textId="52193C9E" w:rsidR="00905202" w:rsidRPr="00A52AB8" w:rsidRDefault="00905202" w:rsidP="00905202">
      <w:pPr>
        <w:rPr>
          <w:lang w:eastAsia="ja-JP"/>
        </w:rPr>
      </w:pPr>
      <w:r w:rsidRPr="00A52AB8">
        <w:rPr>
          <w:lang w:eastAsia="ja-JP"/>
        </w:rPr>
        <w:tab/>
        <w:t>Log2MaxAtlasFrmOrderCntLsb = asps_log2_max_atlas_frame_order_cnt_lsb_minus4 + 4</w:t>
      </w:r>
      <w:r w:rsidRPr="00A52AB8">
        <w:rPr>
          <w:vertAlign w:val="superscript"/>
          <w:lang w:eastAsia="ja-JP"/>
        </w:rPr>
        <w:t> </w:t>
      </w:r>
      <w:r w:rsidRPr="00A52AB8">
        <w:rPr>
          <w:lang w:eastAsia="ja-JP"/>
        </w:rPr>
        <w:tab/>
        <w:t>(</w:t>
      </w:r>
      <w:r w:rsidRPr="00496A4D">
        <w:rPr>
          <w:lang w:eastAsia="ja-JP"/>
        </w:rPr>
        <w:fldChar w:fldCharType="begin"/>
      </w:r>
      <w:r w:rsidRPr="00A52AB8">
        <w:rPr>
          <w:lang w:eastAsia="ja-JP"/>
        </w:rPr>
        <w:instrText xml:space="preserve"> SEQ Equation \* ARABIC \n </w:instrText>
      </w:r>
      <w:r w:rsidRPr="00496A4D">
        <w:rPr>
          <w:lang w:eastAsia="ja-JP"/>
        </w:rPr>
        <w:fldChar w:fldCharType="separate"/>
      </w:r>
      <w:r w:rsidR="00507A67">
        <w:rPr>
          <w:noProof/>
          <w:lang w:eastAsia="ja-JP"/>
        </w:rPr>
        <w:t>17</w:t>
      </w:r>
      <w:r w:rsidRPr="00496A4D">
        <w:rPr>
          <w:lang w:eastAsia="ja-JP"/>
        </w:rPr>
        <w:fldChar w:fldCharType="end"/>
      </w:r>
      <w:r w:rsidRPr="00A52AB8">
        <w:rPr>
          <w:lang w:eastAsia="ja-JP"/>
        </w:rPr>
        <w:t>)</w:t>
      </w:r>
    </w:p>
    <w:p w14:paraId="219E0BF8" w14:textId="2E711A99" w:rsidR="00956B41" w:rsidRPr="00A52AB8" w:rsidRDefault="00956B41" w:rsidP="00A252B5">
      <w:pPr>
        <w:rPr>
          <w:lang w:eastAsia="ja-JP"/>
        </w:rPr>
      </w:pPr>
      <w:r w:rsidRPr="00A52AB8">
        <w:rPr>
          <w:lang w:eastAsia="ja-JP"/>
        </w:rPr>
        <w:tab/>
        <w:t>Max</w:t>
      </w:r>
      <w:r w:rsidR="00EB723C" w:rsidRPr="00A52AB8">
        <w:rPr>
          <w:lang w:eastAsia="ja-JP"/>
        </w:rPr>
        <w:t>AtlasFrm</w:t>
      </w:r>
      <w:r w:rsidRPr="00A52AB8">
        <w:rPr>
          <w:lang w:eastAsia="ja-JP"/>
        </w:rPr>
        <w:t>OrderCntLsb</w:t>
      </w:r>
      <w:r w:rsidR="00D47707" w:rsidRPr="00A52AB8">
        <w:rPr>
          <w:lang w:eastAsia="ja-JP"/>
        </w:rPr>
        <w:t> = </w:t>
      </w:r>
      <w:r w:rsidR="00330107" w:rsidRPr="00A52AB8">
        <w:rPr>
          <w:lang w:eastAsia="ja-JP"/>
        </w:rPr>
        <w:t>2</w:t>
      </w:r>
      <w:r w:rsidR="00905202" w:rsidRPr="00A52AB8">
        <w:rPr>
          <w:position w:val="6"/>
          <w:vertAlign w:val="superscript"/>
          <w:lang w:eastAsia="ja-JP"/>
        </w:rPr>
        <w:t>Log2MaxAtlasFrmOrderCntLsb</w:t>
      </w:r>
      <w:r w:rsidR="00330107" w:rsidRPr="00A52AB8">
        <w:rPr>
          <w:lang w:eastAsia="ja-JP"/>
        </w:rPr>
        <w:tab/>
      </w:r>
      <w:r w:rsidRPr="00A52AB8">
        <w:rPr>
          <w:lang w:eastAsia="ja-JP"/>
        </w:rPr>
        <w:t>(</w:t>
      </w:r>
      <w:r w:rsidRPr="00496A4D">
        <w:rPr>
          <w:lang w:eastAsia="ja-JP"/>
        </w:rPr>
        <w:fldChar w:fldCharType="begin"/>
      </w:r>
      <w:r w:rsidRPr="00A52AB8">
        <w:rPr>
          <w:lang w:eastAsia="ja-JP"/>
        </w:rPr>
        <w:instrText xml:space="preserve"> SEQ Equation \* ARABIC \</w:instrText>
      </w:r>
      <w:r w:rsidR="00646520" w:rsidRPr="00A52AB8">
        <w:rPr>
          <w:lang w:eastAsia="ja-JP"/>
        </w:rPr>
        <w:instrText>n</w:instrText>
      </w:r>
      <w:r w:rsidRPr="00A52AB8">
        <w:rPr>
          <w:lang w:eastAsia="ja-JP"/>
        </w:rPr>
        <w:instrText xml:space="preserve"> </w:instrText>
      </w:r>
      <w:r w:rsidRPr="00496A4D">
        <w:rPr>
          <w:lang w:eastAsia="ja-JP"/>
        </w:rPr>
        <w:fldChar w:fldCharType="separate"/>
      </w:r>
      <w:r w:rsidR="00507A67">
        <w:rPr>
          <w:noProof/>
          <w:lang w:eastAsia="ja-JP"/>
        </w:rPr>
        <w:t>18</w:t>
      </w:r>
      <w:r w:rsidRPr="00496A4D">
        <w:rPr>
          <w:lang w:eastAsia="ja-JP"/>
        </w:rPr>
        <w:fldChar w:fldCharType="end"/>
      </w:r>
      <w:r w:rsidRPr="00A52AB8">
        <w:rPr>
          <w:lang w:eastAsia="ja-JP"/>
        </w:rPr>
        <w:t>)</w:t>
      </w:r>
    </w:p>
    <w:p w14:paraId="473DF67F" w14:textId="77777777" w:rsidR="00330107" w:rsidRPr="00A52AB8" w:rsidRDefault="00330107">
      <w:pPr>
        <w:rPr>
          <w:rStyle w:val="fontstyle01"/>
          <w:rFonts w:ascii="Cambria" w:hAnsi="Cambria"/>
          <w:color w:val="000000" w:themeColor="text1"/>
          <w:sz w:val="22"/>
          <w:szCs w:val="22"/>
        </w:rPr>
      </w:pPr>
      <w:r w:rsidRPr="00A52AB8">
        <w:rPr>
          <w:rStyle w:val="fontstyle01"/>
          <w:rFonts w:ascii="Cambria" w:hAnsi="Cambria"/>
          <w:color w:val="000000" w:themeColor="text1"/>
          <w:sz w:val="22"/>
          <w:szCs w:val="22"/>
        </w:rPr>
        <w:t xml:space="preserve">The value of </w:t>
      </w:r>
      <w:r w:rsidR="00EB723C" w:rsidRPr="00A52AB8">
        <w:rPr>
          <w:color w:val="000000" w:themeColor="text1"/>
        </w:rPr>
        <w:t>asps_</w:t>
      </w:r>
      <w:r w:rsidR="00956B41" w:rsidRPr="00A52AB8">
        <w:rPr>
          <w:color w:val="000000" w:themeColor="text1"/>
        </w:rPr>
        <w:t>log2_max_</w:t>
      </w:r>
      <w:r w:rsidR="00DD23CD" w:rsidRPr="00A52AB8">
        <w:rPr>
          <w:color w:val="000000" w:themeColor="text1"/>
        </w:rPr>
        <w:t>atlas_frame</w:t>
      </w:r>
      <w:r w:rsidR="00956B41" w:rsidRPr="00A52AB8">
        <w:rPr>
          <w:color w:val="000000" w:themeColor="text1"/>
        </w:rPr>
        <w:t xml:space="preserve">_order_cnt_lsb_minus4 </w:t>
      </w:r>
      <w:r w:rsidRPr="00A52AB8">
        <w:rPr>
          <w:rStyle w:val="fontstyle01"/>
          <w:rFonts w:ascii="Cambria" w:hAnsi="Cambria"/>
          <w:color w:val="000000" w:themeColor="text1"/>
          <w:sz w:val="22"/>
          <w:szCs w:val="22"/>
        </w:rPr>
        <w:t>shall be in the range of 0 to 12, inclusive.</w:t>
      </w:r>
    </w:p>
    <w:p w14:paraId="2F2631F7" w14:textId="53CDC116" w:rsidR="00852C5E" w:rsidRPr="00A52AB8" w:rsidRDefault="00EB723C">
      <w:pPr>
        <w:rPr>
          <w:rStyle w:val="fontstyle01"/>
          <w:rFonts w:ascii="Cambria" w:hAnsi="Cambria"/>
          <w:color w:val="000000" w:themeColor="text1"/>
          <w:sz w:val="22"/>
          <w:szCs w:val="22"/>
        </w:rPr>
      </w:pPr>
      <w:r w:rsidRPr="00A52AB8">
        <w:rPr>
          <w:rStyle w:val="fontstyle01"/>
          <w:rFonts w:ascii="Cambria" w:hAnsi="Cambria"/>
          <w:b/>
          <w:color w:val="000000" w:themeColor="text1"/>
          <w:sz w:val="22"/>
          <w:szCs w:val="22"/>
        </w:rPr>
        <w:t>asps_</w:t>
      </w:r>
      <w:r w:rsidR="00330107" w:rsidRPr="00A52AB8">
        <w:rPr>
          <w:rStyle w:val="fontstyle01"/>
          <w:rFonts w:ascii="Cambria" w:hAnsi="Cambria"/>
          <w:b/>
          <w:color w:val="000000" w:themeColor="text1"/>
          <w:sz w:val="22"/>
          <w:szCs w:val="22"/>
        </w:rPr>
        <w:t>max_dec_</w:t>
      </w:r>
      <w:r w:rsidR="00DD23CD" w:rsidRPr="00A52AB8">
        <w:rPr>
          <w:rStyle w:val="fontstyle01"/>
          <w:rFonts w:ascii="Cambria" w:hAnsi="Cambria"/>
          <w:b/>
          <w:color w:val="000000" w:themeColor="text1"/>
          <w:sz w:val="22"/>
          <w:szCs w:val="22"/>
        </w:rPr>
        <w:t>atlas_frame</w:t>
      </w:r>
      <w:r w:rsidR="00330107" w:rsidRPr="00A52AB8">
        <w:rPr>
          <w:rStyle w:val="fontstyle01"/>
          <w:rFonts w:ascii="Cambria" w:hAnsi="Cambria"/>
          <w:b/>
          <w:color w:val="000000" w:themeColor="text1"/>
          <w:sz w:val="22"/>
          <w:szCs w:val="22"/>
        </w:rPr>
        <w:t xml:space="preserve">_buffering_minus1 </w:t>
      </w:r>
      <w:r w:rsidR="00330107" w:rsidRPr="00A52AB8">
        <w:rPr>
          <w:rStyle w:val="fontstyle01"/>
          <w:rFonts w:ascii="Cambria" w:hAnsi="Cambria"/>
          <w:color w:val="000000" w:themeColor="text1"/>
          <w:sz w:val="22"/>
          <w:szCs w:val="22"/>
        </w:rPr>
        <w:t xml:space="preserve">plus 1 specifies the maximum required size of the decoded </w:t>
      </w:r>
      <w:r w:rsidR="008F0D00" w:rsidRPr="00A52AB8">
        <w:rPr>
          <w:rStyle w:val="fontstyle01"/>
          <w:rFonts w:ascii="Cambria" w:hAnsi="Cambria"/>
          <w:color w:val="000000" w:themeColor="text1"/>
          <w:sz w:val="22"/>
          <w:szCs w:val="22"/>
        </w:rPr>
        <w:t>atlas frame</w:t>
      </w:r>
      <w:r w:rsidR="00330107" w:rsidRPr="00A52AB8">
        <w:rPr>
          <w:rStyle w:val="fontstyle01"/>
          <w:rFonts w:ascii="Cambria" w:hAnsi="Cambria"/>
          <w:color w:val="000000" w:themeColor="text1"/>
          <w:sz w:val="22"/>
          <w:szCs w:val="22"/>
        </w:rPr>
        <w:t xml:space="preserve"> buffer for the C</w:t>
      </w:r>
      <w:r w:rsidR="00700119" w:rsidRPr="00A52AB8">
        <w:rPr>
          <w:rStyle w:val="fontstyle01"/>
          <w:rFonts w:ascii="Cambria" w:hAnsi="Cambria"/>
          <w:color w:val="000000" w:themeColor="text1"/>
          <w:sz w:val="22"/>
          <w:szCs w:val="22"/>
        </w:rPr>
        <w:t>A</w:t>
      </w:r>
      <w:r w:rsidR="00330107" w:rsidRPr="00A52AB8">
        <w:rPr>
          <w:rStyle w:val="fontstyle01"/>
          <w:rFonts w:ascii="Cambria" w:hAnsi="Cambria"/>
          <w:color w:val="000000" w:themeColor="text1"/>
          <w:sz w:val="22"/>
          <w:szCs w:val="22"/>
        </w:rPr>
        <w:t xml:space="preserve">S in units of </w:t>
      </w:r>
      <w:r w:rsidR="008F0D00" w:rsidRPr="00A52AB8">
        <w:rPr>
          <w:rStyle w:val="fontstyle01"/>
          <w:rFonts w:ascii="Cambria" w:hAnsi="Cambria"/>
          <w:color w:val="000000" w:themeColor="text1"/>
          <w:sz w:val="22"/>
          <w:szCs w:val="22"/>
        </w:rPr>
        <w:t>atlas frame</w:t>
      </w:r>
      <w:r w:rsidR="00330107" w:rsidRPr="00A52AB8">
        <w:rPr>
          <w:rStyle w:val="fontstyle01"/>
          <w:rFonts w:ascii="Cambria" w:hAnsi="Cambria"/>
          <w:color w:val="000000" w:themeColor="text1"/>
          <w:sz w:val="22"/>
          <w:szCs w:val="22"/>
        </w:rPr>
        <w:t xml:space="preserve"> storage buffers. The value of </w:t>
      </w:r>
      <w:r w:rsidRPr="00A52AB8">
        <w:rPr>
          <w:rStyle w:val="fontstyle01"/>
          <w:rFonts w:ascii="Cambria" w:hAnsi="Cambria"/>
          <w:color w:val="000000" w:themeColor="text1"/>
          <w:sz w:val="22"/>
          <w:szCs w:val="22"/>
        </w:rPr>
        <w:t>asps_</w:t>
      </w:r>
      <w:r w:rsidR="00330107" w:rsidRPr="00A52AB8">
        <w:rPr>
          <w:rStyle w:val="fontstyle01"/>
          <w:rFonts w:ascii="Cambria" w:hAnsi="Cambria"/>
          <w:color w:val="000000" w:themeColor="text1"/>
          <w:sz w:val="22"/>
          <w:szCs w:val="22"/>
        </w:rPr>
        <w:t>max_dec_</w:t>
      </w:r>
      <w:r w:rsidR="00DD23CD" w:rsidRPr="00A52AB8">
        <w:rPr>
          <w:rStyle w:val="fontstyle01"/>
          <w:rFonts w:ascii="Cambria" w:hAnsi="Cambria"/>
          <w:color w:val="000000" w:themeColor="text1"/>
          <w:sz w:val="22"/>
          <w:szCs w:val="22"/>
        </w:rPr>
        <w:t>atlas_frame</w:t>
      </w:r>
      <w:r w:rsidR="00330107" w:rsidRPr="00A52AB8">
        <w:rPr>
          <w:rStyle w:val="fontstyle01"/>
          <w:rFonts w:ascii="Cambria" w:hAnsi="Cambria"/>
          <w:color w:val="000000" w:themeColor="text1"/>
          <w:sz w:val="22"/>
          <w:szCs w:val="22"/>
        </w:rPr>
        <w:t xml:space="preserve">_buffering_minus1 shall be in the range of 0 to </w:t>
      </w:r>
      <w:r w:rsidR="00CE5F76" w:rsidRPr="00A52AB8">
        <w:rPr>
          <w:rStyle w:val="fontstyle01"/>
          <w:rFonts w:ascii="Cambria" w:hAnsi="Cambria"/>
          <w:color w:val="000000" w:themeColor="text1"/>
          <w:sz w:val="22"/>
          <w:szCs w:val="22"/>
        </w:rPr>
        <w:t>15</w:t>
      </w:r>
      <w:r w:rsidR="00330107" w:rsidRPr="00A52AB8">
        <w:rPr>
          <w:rStyle w:val="fontstyle01"/>
          <w:rFonts w:ascii="Cambria" w:hAnsi="Cambria"/>
          <w:color w:val="000000" w:themeColor="text1"/>
          <w:sz w:val="22"/>
          <w:szCs w:val="22"/>
        </w:rPr>
        <w:t>, inclusive.</w:t>
      </w:r>
    </w:p>
    <w:p w14:paraId="6757A3AD" w14:textId="77777777" w:rsidR="00A63D79" w:rsidRPr="00A52AB8" w:rsidRDefault="00EB723C">
      <w:r w:rsidRPr="00A52AB8">
        <w:rPr>
          <w:rStyle w:val="fontstyle01"/>
          <w:rFonts w:ascii="Cambria" w:hAnsi="Cambria"/>
          <w:b/>
          <w:color w:val="000000" w:themeColor="text1"/>
          <w:sz w:val="22"/>
          <w:szCs w:val="22"/>
        </w:rPr>
        <w:t>asps_</w:t>
      </w:r>
      <w:r w:rsidR="001713A6" w:rsidRPr="00A52AB8">
        <w:rPr>
          <w:rStyle w:val="fontstyle01"/>
          <w:rFonts w:ascii="Cambria" w:hAnsi="Cambria"/>
          <w:b/>
          <w:color w:val="000000" w:themeColor="text1"/>
          <w:sz w:val="22"/>
          <w:szCs w:val="22"/>
        </w:rPr>
        <w:t>long_term_ref_</w:t>
      </w:r>
      <w:r w:rsidR="00DD23CD" w:rsidRPr="00A52AB8">
        <w:rPr>
          <w:rStyle w:val="fontstyle01"/>
          <w:rFonts w:ascii="Cambria" w:hAnsi="Cambria"/>
          <w:b/>
          <w:color w:val="000000" w:themeColor="text1"/>
          <w:sz w:val="22"/>
          <w:szCs w:val="22"/>
        </w:rPr>
        <w:t>atlas_frame</w:t>
      </w:r>
      <w:r w:rsidR="004076BA" w:rsidRPr="00A52AB8">
        <w:rPr>
          <w:rStyle w:val="fontstyle01"/>
          <w:rFonts w:ascii="Cambria" w:hAnsi="Cambria"/>
          <w:b/>
          <w:color w:val="000000" w:themeColor="text1"/>
          <w:sz w:val="22"/>
          <w:szCs w:val="22"/>
        </w:rPr>
        <w:t>s</w:t>
      </w:r>
      <w:r w:rsidR="001713A6" w:rsidRPr="00A52AB8">
        <w:rPr>
          <w:rStyle w:val="fontstyle01"/>
          <w:rFonts w:ascii="Cambria" w:hAnsi="Cambria"/>
          <w:b/>
          <w:color w:val="000000" w:themeColor="text1"/>
          <w:sz w:val="22"/>
          <w:szCs w:val="22"/>
        </w:rPr>
        <w:t>_flag</w:t>
      </w:r>
      <w:r w:rsidR="00A63D79" w:rsidRPr="00A52AB8">
        <w:rPr>
          <w:rStyle w:val="fontstyle01"/>
          <w:rFonts w:ascii="Cambria" w:hAnsi="Cambria"/>
          <w:b/>
          <w:color w:val="000000" w:themeColor="text1"/>
          <w:sz w:val="22"/>
          <w:szCs w:val="22"/>
        </w:rPr>
        <w:t xml:space="preserve"> </w:t>
      </w:r>
      <w:r w:rsidR="00A63D79" w:rsidRPr="00A52AB8">
        <w:t xml:space="preserve">equal to 0 specifies that no </w:t>
      </w:r>
      <w:r w:rsidR="00D7523F" w:rsidRPr="00A52AB8">
        <w:t>long-</w:t>
      </w:r>
      <w:r w:rsidR="00A63D79" w:rsidRPr="00A52AB8">
        <w:t xml:space="preserve">term reference </w:t>
      </w:r>
      <w:r w:rsidR="008F0D00" w:rsidRPr="00A52AB8">
        <w:t>atlas frame</w:t>
      </w:r>
      <w:r w:rsidR="00A63D79" w:rsidRPr="00A52AB8">
        <w:t xml:space="preserve"> is used for inter prediction of any coded </w:t>
      </w:r>
      <w:r w:rsidR="008F0D00" w:rsidRPr="00A52AB8">
        <w:t>atlas frame</w:t>
      </w:r>
      <w:r w:rsidR="00A63D79" w:rsidRPr="00A52AB8">
        <w:t xml:space="preserve"> in the C</w:t>
      </w:r>
      <w:r w:rsidR="00700119" w:rsidRPr="00A52AB8">
        <w:t>A</w:t>
      </w:r>
      <w:r w:rsidR="00A63D79" w:rsidRPr="00A52AB8">
        <w:t xml:space="preserve">S. </w:t>
      </w:r>
      <w:r w:rsidRPr="00A52AB8">
        <w:rPr>
          <w:rStyle w:val="fontstyle01"/>
          <w:rFonts w:ascii="Cambria" w:hAnsi="Cambria"/>
          <w:color w:val="000000" w:themeColor="text1"/>
          <w:sz w:val="22"/>
          <w:szCs w:val="22"/>
        </w:rPr>
        <w:t>asps_</w:t>
      </w:r>
      <w:r w:rsidR="00A63D79" w:rsidRPr="00A52AB8">
        <w:rPr>
          <w:rStyle w:val="fontstyle01"/>
          <w:rFonts w:ascii="Cambria" w:hAnsi="Cambria"/>
          <w:color w:val="000000" w:themeColor="text1"/>
          <w:sz w:val="22"/>
          <w:szCs w:val="22"/>
        </w:rPr>
        <w:t>long_term_ref_</w:t>
      </w:r>
      <w:r w:rsidR="00DD23CD" w:rsidRPr="00A52AB8">
        <w:rPr>
          <w:rStyle w:val="fontstyle01"/>
          <w:rFonts w:ascii="Cambria" w:hAnsi="Cambria"/>
          <w:color w:val="000000" w:themeColor="text1"/>
          <w:sz w:val="22"/>
          <w:szCs w:val="22"/>
        </w:rPr>
        <w:t>atlas_frame</w:t>
      </w:r>
      <w:r w:rsidR="004076BA" w:rsidRPr="00A52AB8">
        <w:rPr>
          <w:rStyle w:val="fontstyle01"/>
          <w:rFonts w:ascii="Cambria" w:hAnsi="Cambria"/>
          <w:color w:val="000000" w:themeColor="text1"/>
          <w:sz w:val="22"/>
          <w:szCs w:val="22"/>
        </w:rPr>
        <w:t>s</w:t>
      </w:r>
      <w:r w:rsidR="00A63D79" w:rsidRPr="00A52AB8">
        <w:rPr>
          <w:rStyle w:val="fontstyle01"/>
          <w:rFonts w:ascii="Cambria" w:hAnsi="Cambria"/>
          <w:color w:val="000000" w:themeColor="text1"/>
          <w:sz w:val="22"/>
          <w:szCs w:val="22"/>
        </w:rPr>
        <w:t>_flag</w:t>
      </w:r>
      <w:r w:rsidR="00A63D79" w:rsidRPr="00A52AB8">
        <w:rPr>
          <w:rStyle w:val="fontstyle01"/>
          <w:rFonts w:ascii="Cambria" w:hAnsi="Cambria"/>
          <w:b/>
          <w:color w:val="000000" w:themeColor="text1"/>
          <w:sz w:val="22"/>
          <w:szCs w:val="22"/>
        </w:rPr>
        <w:t xml:space="preserve"> </w:t>
      </w:r>
      <w:r w:rsidR="00A63D79" w:rsidRPr="00A52AB8">
        <w:t xml:space="preserve">equal to 1 specifies that long term reference </w:t>
      </w:r>
      <w:r w:rsidR="008F0D00" w:rsidRPr="00A52AB8">
        <w:t>atlas frame</w:t>
      </w:r>
      <w:r w:rsidR="00A63D79" w:rsidRPr="00A52AB8">
        <w:t xml:space="preserve">s may be used for inter prediction of one or more coded </w:t>
      </w:r>
      <w:r w:rsidR="008F0D00" w:rsidRPr="00A52AB8">
        <w:t>atlas frame</w:t>
      </w:r>
      <w:r w:rsidR="00A63D79" w:rsidRPr="00A52AB8">
        <w:t>s in the C</w:t>
      </w:r>
      <w:r w:rsidR="00700119" w:rsidRPr="00A52AB8">
        <w:t>A</w:t>
      </w:r>
      <w:r w:rsidR="00A63D79" w:rsidRPr="00A52AB8">
        <w:t>S.</w:t>
      </w:r>
    </w:p>
    <w:p w14:paraId="282F009C" w14:textId="77777777" w:rsidR="00A63D79" w:rsidRPr="00A52AB8" w:rsidRDefault="00EB723C">
      <w:pPr>
        <w:rPr>
          <w:rStyle w:val="fontstyle01"/>
          <w:rFonts w:ascii="Cambria" w:hAnsi="Cambria"/>
          <w:color w:val="000000" w:themeColor="text1"/>
          <w:sz w:val="22"/>
          <w:szCs w:val="22"/>
        </w:rPr>
      </w:pPr>
      <w:r w:rsidRPr="00A52AB8">
        <w:rPr>
          <w:rStyle w:val="fontstyle01"/>
          <w:rFonts w:ascii="Cambria" w:hAnsi="Cambria"/>
          <w:b/>
          <w:color w:val="000000" w:themeColor="text1"/>
          <w:sz w:val="22"/>
          <w:szCs w:val="22"/>
        </w:rPr>
        <w:t>asps_</w:t>
      </w:r>
      <w:r w:rsidR="00116038" w:rsidRPr="00A52AB8">
        <w:rPr>
          <w:rStyle w:val="fontstyle01"/>
          <w:rFonts w:ascii="Cambria" w:hAnsi="Cambria"/>
          <w:b/>
          <w:color w:val="000000" w:themeColor="text1"/>
          <w:sz w:val="22"/>
          <w:szCs w:val="22"/>
        </w:rPr>
        <w:t>num_ref_</w:t>
      </w:r>
      <w:r w:rsidR="00DD23CD" w:rsidRPr="00A52AB8">
        <w:rPr>
          <w:rStyle w:val="fontstyle01"/>
          <w:rFonts w:ascii="Cambria" w:hAnsi="Cambria"/>
          <w:b/>
          <w:color w:val="000000" w:themeColor="text1"/>
          <w:sz w:val="22"/>
          <w:szCs w:val="22"/>
        </w:rPr>
        <w:t>atlas_frame</w:t>
      </w:r>
      <w:r w:rsidR="00116038" w:rsidRPr="00A52AB8">
        <w:rPr>
          <w:rStyle w:val="fontstyle01"/>
          <w:rFonts w:ascii="Cambria" w:hAnsi="Cambria"/>
          <w:b/>
          <w:color w:val="000000" w:themeColor="text1"/>
          <w:sz w:val="22"/>
          <w:szCs w:val="22"/>
        </w:rPr>
        <w:t>_lists_in_</w:t>
      </w:r>
      <w:r w:rsidR="00FB7E1A" w:rsidRPr="00A52AB8">
        <w:rPr>
          <w:rStyle w:val="fontstyle01"/>
          <w:rFonts w:ascii="Cambria" w:hAnsi="Cambria"/>
          <w:b/>
          <w:color w:val="000000" w:themeColor="text1"/>
          <w:sz w:val="22"/>
          <w:szCs w:val="22"/>
        </w:rPr>
        <w:t>asps</w:t>
      </w:r>
      <w:r w:rsidR="00A63D79" w:rsidRPr="00A52AB8">
        <w:rPr>
          <w:rStyle w:val="fontstyle01"/>
          <w:rFonts w:ascii="Cambria" w:hAnsi="Cambria"/>
          <w:b/>
          <w:color w:val="000000" w:themeColor="text1"/>
          <w:sz w:val="22"/>
          <w:szCs w:val="22"/>
        </w:rPr>
        <w:t xml:space="preserve"> </w:t>
      </w:r>
      <w:r w:rsidR="00A63D79" w:rsidRPr="00A52AB8">
        <w:rPr>
          <w:rStyle w:val="fontstyle01"/>
          <w:rFonts w:ascii="Cambria" w:hAnsi="Cambria"/>
          <w:color w:val="000000" w:themeColor="text1"/>
          <w:sz w:val="22"/>
          <w:szCs w:val="22"/>
        </w:rPr>
        <w:t>specifies the number of the ref_list_struct(</w:t>
      </w:r>
      <w:r w:rsidR="001B4426" w:rsidRPr="00A52AB8">
        <w:rPr>
          <w:rStyle w:val="fontstyle01"/>
          <w:rFonts w:ascii="Cambria" w:hAnsi="Cambria"/>
          <w:color w:val="000000" w:themeColor="text1"/>
          <w:sz w:val="22"/>
          <w:szCs w:val="22"/>
        </w:rPr>
        <w:t> </w:t>
      </w:r>
      <w:r w:rsidR="00D37AC4" w:rsidRPr="00A52AB8">
        <w:rPr>
          <w:rStyle w:val="fontstyle01"/>
          <w:rFonts w:ascii="Cambria" w:hAnsi="Cambria"/>
          <w:color w:val="000000" w:themeColor="text1"/>
          <w:sz w:val="22"/>
          <w:szCs w:val="22"/>
        </w:rPr>
        <w:t>rlsIdx</w:t>
      </w:r>
      <w:r w:rsidR="00B87DC8" w:rsidRPr="00A52AB8">
        <w:rPr>
          <w:rStyle w:val="fontstyle01"/>
          <w:rFonts w:ascii="Cambria" w:hAnsi="Cambria"/>
          <w:color w:val="000000" w:themeColor="text1"/>
          <w:sz w:val="22"/>
          <w:szCs w:val="22"/>
        </w:rPr>
        <w:t> </w:t>
      </w:r>
      <w:r w:rsidR="00A63D79" w:rsidRPr="00A52AB8">
        <w:rPr>
          <w:rStyle w:val="fontstyle01"/>
          <w:rFonts w:ascii="Cambria" w:hAnsi="Cambria"/>
          <w:color w:val="000000" w:themeColor="text1"/>
          <w:sz w:val="22"/>
          <w:szCs w:val="22"/>
        </w:rPr>
        <w:t xml:space="preserve">) syntax structures included in the </w:t>
      </w:r>
      <w:r w:rsidRPr="00A52AB8">
        <w:rPr>
          <w:rStyle w:val="fontstyle01"/>
          <w:rFonts w:ascii="Cambria" w:hAnsi="Cambria"/>
          <w:color w:val="000000" w:themeColor="text1"/>
          <w:sz w:val="22"/>
          <w:szCs w:val="22"/>
        </w:rPr>
        <w:t>atlas sequence</w:t>
      </w:r>
      <w:r w:rsidR="001B4426" w:rsidRPr="00A52AB8">
        <w:rPr>
          <w:rStyle w:val="fontstyle01"/>
          <w:rFonts w:ascii="Cambria" w:hAnsi="Cambria"/>
          <w:color w:val="000000" w:themeColor="text1"/>
          <w:sz w:val="22"/>
          <w:szCs w:val="22"/>
        </w:rPr>
        <w:t xml:space="preserve"> parameter set</w:t>
      </w:r>
      <w:r w:rsidR="00A63D79" w:rsidRPr="00A52AB8">
        <w:rPr>
          <w:rStyle w:val="fontstyle01"/>
          <w:rFonts w:ascii="Cambria" w:hAnsi="Cambria"/>
          <w:color w:val="000000" w:themeColor="text1"/>
          <w:sz w:val="22"/>
          <w:szCs w:val="22"/>
        </w:rPr>
        <w:t xml:space="preserve">. The value of </w:t>
      </w:r>
      <w:r w:rsidRPr="00A52AB8">
        <w:rPr>
          <w:rStyle w:val="fontstyle01"/>
          <w:rFonts w:ascii="Cambria" w:hAnsi="Cambria"/>
          <w:color w:val="000000" w:themeColor="text1"/>
          <w:sz w:val="22"/>
          <w:szCs w:val="22"/>
        </w:rPr>
        <w:t>asps_</w:t>
      </w:r>
      <w:r w:rsidR="00116038" w:rsidRPr="00A52AB8">
        <w:rPr>
          <w:rStyle w:val="fontstyle01"/>
          <w:rFonts w:ascii="Cambria" w:hAnsi="Cambria"/>
          <w:color w:val="000000" w:themeColor="text1"/>
          <w:sz w:val="22"/>
          <w:szCs w:val="22"/>
        </w:rPr>
        <w:t>num_ref_</w:t>
      </w:r>
      <w:r w:rsidR="00DD23CD" w:rsidRPr="00A52AB8">
        <w:rPr>
          <w:rStyle w:val="fontstyle01"/>
          <w:rFonts w:ascii="Cambria" w:hAnsi="Cambria"/>
          <w:color w:val="000000" w:themeColor="text1"/>
          <w:sz w:val="22"/>
          <w:szCs w:val="22"/>
        </w:rPr>
        <w:t>atlas_frame</w:t>
      </w:r>
      <w:r w:rsidR="00116038" w:rsidRPr="00A52AB8">
        <w:rPr>
          <w:rStyle w:val="fontstyle01"/>
          <w:rFonts w:ascii="Cambria" w:hAnsi="Cambria"/>
          <w:color w:val="000000" w:themeColor="text1"/>
          <w:sz w:val="22"/>
          <w:szCs w:val="22"/>
        </w:rPr>
        <w:t>_lists_in_</w:t>
      </w:r>
      <w:r w:rsidR="00FB7E1A" w:rsidRPr="00A52AB8">
        <w:rPr>
          <w:rStyle w:val="fontstyle01"/>
          <w:rFonts w:ascii="Cambria" w:hAnsi="Cambria"/>
          <w:color w:val="000000" w:themeColor="text1"/>
          <w:sz w:val="22"/>
          <w:szCs w:val="22"/>
        </w:rPr>
        <w:t>asps</w:t>
      </w:r>
      <w:r w:rsidR="00A63D79" w:rsidRPr="00A52AB8">
        <w:rPr>
          <w:rStyle w:val="fontstyle01"/>
          <w:rFonts w:ascii="Cambria" w:hAnsi="Cambria"/>
          <w:color w:val="000000" w:themeColor="text1"/>
          <w:sz w:val="22"/>
          <w:szCs w:val="22"/>
        </w:rPr>
        <w:t xml:space="preserve"> shall be in the range of 0 to 64, inclusive.</w:t>
      </w:r>
    </w:p>
    <w:p w14:paraId="2E373591" w14:textId="233E3A90" w:rsidR="00A63D79" w:rsidRPr="00A52AB8" w:rsidRDefault="00A63D79">
      <w:pPr>
        <w:pStyle w:val="Note1"/>
        <w:rPr>
          <w:rFonts w:ascii="Cambria" w:hAnsi="Cambria"/>
        </w:rPr>
      </w:pPr>
      <w:r w:rsidRPr="00A52AB8">
        <w:rPr>
          <w:rFonts w:ascii="Cambria" w:hAnsi="Cambria"/>
        </w:rPr>
        <w:t>NOTE </w:t>
      </w:r>
      <w:r w:rsidR="00534D1F" w:rsidRPr="00496A4D">
        <w:rPr>
          <w:rFonts w:ascii="Cambria" w:hAnsi="Cambria"/>
        </w:rPr>
        <w:fldChar w:fldCharType="begin"/>
      </w:r>
      <w:r w:rsidR="00534D1F" w:rsidRPr="00A52AB8">
        <w:rPr>
          <w:rFonts w:ascii="Cambria" w:hAnsi="Cambria"/>
        </w:rPr>
        <w:instrText xml:space="preserve"> SEQ NoteCounter \s 9 \* MERGEFORMAT  \* MERGEFORMAT  \* MERGEFORMAT </w:instrText>
      </w:r>
      <w:r w:rsidR="00534D1F" w:rsidRPr="00496A4D">
        <w:rPr>
          <w:rFonts w:ascii="Cambria" w:hAnsi="Cambria"/>
        </w:rPr>
        <w:fldChar w:fldCharType="separate"/>
      </w:r>
      <w:r w:rsidR="00507A67">
        <w:rPr>
          <w:rFonts w:ascii="Cambria" w:hAnsi="Cambria"/>
          <w:noProof/>
        </w:rPr>
        <w:t>3</w:t>
      </w:r>
      <w:r w:rsidR="00534D1F" w:rsidRPr="00496A4D">
        <w:rPr>
          <w:rFonts w:ascii="Cambria" w:hAnsi="Cambria"/>
        </w:rPr>
        <w:fldChar w:fldCharType="end"/>
      </w:r>
      <w:r w:rsidR="00B06848" w:rsidRPr="00A52AB8">
        <w:rPr>
          <w:rFonts w:ascii="Cambria" w:hAnsi="Cambria"/>
        </w:rPr>
        <w:t> </w:t>
      </w:r>
      <w:r w:rsidRPr="00A52AB8">
        <w:rPr>
          <w:rFonts w:ascii="Cambria" w:hAnsi="Cambria"/>
        </w:rPr>
        <w:t>– A decoder</w:t>
      </w:r>
      <w:r w:rsidR="00D7523F" w:rsidRPr="00A52AB8">
        <w:rPr>
          <w:rFonts w:ascii="Cambria" w:hAnsi="Cambria"/>
        </w:rPr>
        <w:t xml:space="preserve"> </w:t>
      </w:r>
      <w:r w:rsidRPr="00A52AB8">
        <w:rPr>
          <w:rFonts w:ascii="Cambria" w:hAnsi="Cambria"/>
        </w:rPr>
        <w:t>allocate</w:t>
      </w:r>
      <w:r w:rsidR="00D7523F" w:rsidRPr="00A52AB8">
        <w:rPr>
          <w:rFonts w:ascii="Cambria" w:hAnsi="Cambria"/>
        </w:rPr>
        <w:t>s</w:t>
      </w:r>
      <w:r w:rsidRPr="00A52AB8">
        <w:rPr>
          <w:rFonts w:ascii="Cambria" w:hAnsi="Cambria"/>
        </w:rPr>
        <w:t xml:space="preserve"> memory for a total number of </w:t>
      </w:r>
      <w:r w:rsidRPr="00A52AB8">
        <w:rPr>
          <w:rFonts w:ascii="Cambria" w:hAnsi="Cambria"/>
          <w:lang w:eastAsia="ko-KR"/>
        </w:rPr>
        <w:t>ref_list_struct( </w:t>
      </w:r>
      <w:r w:rsidR="00D37AC4" w:rsidRPr="00A52AB8">
        <w:rPr>
          <w:rFonts w:ascii="Cambria" w:hAnsi="Cambria"/>
          <w:lang w:eastAsia="ko-KR"/>
        </w:rPr>
        <w:t>rlsIdx</w:t>
      </w:r>
      <w:r w:rsidRPr="00A52AB8">
        <w:rPr>
          <w:rFonts w:ascii="Cambria" w:hAnsi="Cambria"/>
          <w:bCs/>
        </w:rPr>
        <w:t> </w:t>
      </w:r>
      <w:r w:rsidRPr="00A52AB8">
        <w:rPr>
          <w:rFonts w:ascii="Cambria" w:hAnsi="Cambria"/>
          <w:lang w:eastAsia="ko-KR"/>
        </w:rPr>
        <w:t>)</w:t>
      </w:r>
      <w:r w:rsidRPr="00A52AB8">
        <w:rPr>
          <w:rFonts w:ascii="Cambria" w:hAnsi="Cambria"/>
          <w:bCs/>
        </w:rPr>
        <w:t xml:space="preserve"> syntax structures</w:t>
      </w:r>
      <w:r w:rsidRPr="00A52AB8">
        <w:rPr>
          <w:rFonts w:ascii="Cambria" w:hAnsi="Cambria"/>
        </w:rPr>
        <w:t xml:space="preserve"> </w:t>
      </w:r>
      <w:r w:rsidR="001B4426" w:rsidRPr="00A52AB8">
        <w:rPr>
          <w:rFonts w:ascii="Cambria" w:hAnsi="Cambria"/>
        </w:rPr>
        <w:t>equal to (</w:t>
      </w:r>
      <w:r w:rsidR="000F06CD" w:rsidRPr="00A52AB8">
        <w:rPr>
          <w:rFonts w:ascii="Cambria" w:hAnsi="Cambria"/>
        </w:rPr>
        <w:t>asps_</w:t>
      </w:r>
      <w:r w:rsidR="001B4426" w:rsidRPr="00A52AB8">
        <w:rPr>
          <w:rFonts w:ascii="Cambria" w:hAnsi="Cambria"/>
          <w:bCs/>
        </w:rPr>
        <w:t>num_ref_</w:t>
      </w:r>
      <w:r w:rsidR="00DD23CD" w:rsidRPr="00A52AB8">
        <w:rPr>
          <w:rFonts w:ascii="Cambria" w:hAnsi="Cambria"/>
          <w:bCs/>
        </w:rPr>
        <w:t>atlas_frame</w:t>
      </w:r>
      <w:r w:rsidR="001B4426" w:rsidRPr="00A52AB8">
        <w:rPr>
          <w:rFonts w:ascii="Cambria" w:hAnsi="Cambria"/>
          <w:bCs/>
        </w:rPr>
        <w:t>_lists_in_</w:t>
      </w:r>
      <w:r w:rsidR="00642B04" w:rsidRPr="00A52AB8">
        <w:rPr>
          <w:rFonts w:ascii="Cambria" w:hAnsi="Cambria"/>
          <w:bCs/>
        </w:rPr>
        <w:t>a</w:t>
      </w:r>
      <w:r w:rsidR="001B4426" w:rsidRPr="00A52AB8">
        <w:rPr>
          <w:rFonts w:ascii="Cambria" w:hAnsi="Cambria"/>
          <w:bCs/>
        </w:rPr>
        <w:t>sps</w:t>
      </w:r>
      <w:r w:rsidR="00935236" w:rsidRPr="00A52AB8">
        <w:rPr>
          <w:rFonts w:ascii="Cambria" w:hAnsi="Cambria"/>
          <w:bCs/>
        </w:rPr>
        <w:t> + </w:t>
      </w:r>
      <w:r w:rsidR="001B4426" w:rsidRPr="00A52AB8">
        <w:rPr>
          <w:rFonts w:ascii="Cambria" w:hAnsi="Cambria"/>
        </w:rPr>
        <w:t xml:space="preserve">1) </w:t>
      </w:r>
      <w:r w:rsidRPr="00A52AB8">
        <w:rPr>
          <w:rFonts w:ascii="Cambria" w:hAnsi="Cambria"/>
        </w:rPr>
        <w:t xml:space="preserve">since there </w:t>
      </w:r>
      <w:r w:rsidR="00D7523F" w:rsidRPr="00A52AB8">
        <w:rPr>
          <w:rFonts w:ascii="Cambria" w:hAnsi="Cambria"/>
        </w:rPr>
        <w:t xml:space="preserve">can </w:t>
      </w:r>
      <w:r w:rsidRPr="00A52AB8">
        <w:rPr>
          <w:rFonts w:ascii="Cambria" w:hAnsi="Cambria"/>
        </w:rPr>
        <w:t xml:space="preserve">be one </w:t>
      </w:r>
      <w:r w:rsidRPr="00A52AB8">
        <w:rPr>
          <w:rFonts w:ascii="Cambria" w:hAnsi="Cambria"/>
          <w:lang w:eastAsia="ko-KR"/>
        </w:rPr>
        <w:t>ref_list_struct( </w:t>
      </w:r>
      <w:r w:rsidR="00D37AC4" w:rsidRPr="00A52AB8">
        <w:rPr>
          <w:rFonts w:ascii="Cambria" w:hAnsi="Cambria"/>
          <w:lang w:eastAsia="ko-KR"/>
        </w:rPr>
        <w:t>rlsIdx</w:t>
      </w:r>
      <w:r w:rsidRPr="00A52AB8">
        <w:rPr>
          <w:rFonts w:ascii="Cambria" w:hAnsi="Cambria"/>
          <w:bCs/>
        </w:rPr>
        <w:t> </w:t>
      </w:r>
      <w:r w:rsidRPr="00A52AB8">
        <w:rPr>
          <w:rFonts w:ascii="Cambria" w:hAnsi="Cambria"/>
          <w:lang w:eastAsia="ko-KR"/>
        </w:rPr>
        <w:t>)</w:t>
      </w:r>
      <w:r w:rsidRPr="00A52AB8">
        <w:rPr>
          <w:rFonts w:ascii="Cambria" w:hAnsi="Cambria"/>
          <w:bCs/>
        </w:rPr>
        <w:t xml:space="preserve"> syntax structure </w:t>
      </w:r>
      <w:r w:rsidRPr="00A52AB8">
        <w:rPr>
          <w:rFonts w:ascii="Cambria" w:hAnsi="Cambria"/>
        </w:rPr>
        <w:t xml:space="preserve">directly signalled in the </w:t>
      </w:r>
      <w:r w:rsidR="002A47BD" w:rsidRPr="00A52AB8">
        <w:rPr>
          <w:rFonts w:ascii="Cambria" w:hAnsi="Cambria"/>
        </w:rPr>
        <w:t xml:space="preserve">atlas </w:t>
      </w:r>
      <w:r w:rsidR="00B8075E" w:rsidRPr="00A52AB8">
        <w:rPr>
          <w:rFonts w:ascii="Cambria" w:hAnsi="Cambria"/>
        </w:rPr>
        <w:t>tile</w:t>
      </w:r>
      <w:r w:rsidR="00EC6ACC" w:rsidRPr="00A52AB8">
        <w:rPr>
          <w:rFonts w:ascii="Cambria" w:hAnsi="Cambria"/>
        </w:rPr>
        <w:t xml:space="preserve"> </w:t>
      </w:r>
      <w:r w:rsidRPr="00A52AB8">
        <w:rPr>
          <w:rFonts w:ascii="Cambria" w:hAnsi="Cambria"/>
        </w:rPr>
        <w:t xml:space="preserve">headers of </w:t>
      </w:r>
      <w:r w:rsidR="001B4426" w:rsidRPr="00A52AB8">
        <w:rPr>
          <w:rFonts w:ascii="Cambria" w:hAnsi="Cambria"/>
        </w:rPr>
        <w:t>the</w:t>
      </w:r>
      <w:r w:rsidRPr="00A52AB8">
        <w:rPr>
          <w:rFonts w:ascii="Cambria" w:hAnsi="Cambria"/>
        </w:rPr>
        <w:t xml:space="preserve"> current </w:t>
      </w:r>
      <w:r w:rsidR="002A47BD" w:rsidRPr="00A52AB8">
        <w:rPr>
          <w:rFonts w:ascii="Cambria" w:hAnsi="Cambria"/>
        </w:rPr>
        <w:t xml:space="preserve">atlas </w:t>
      </w:r>
      <w:r w:rsidR="00B8075E" w:rsidRPr="00A52AB8">
        <w:rPr>
          <w:rFonts w:ascii="Cambria" w:hAnsi="Cambria"/>
        </w:rPr>
        <w:t>tile</w:t>
      </w:r>
      <w:r w:rsidRPr="00A52AB8">
        <w:rPr>
          <w:rFonts w:ascii="Cambria" w:hAnsi="Cambria"/>
        </w:rPr>
        <w:t>.</w:t>
      </w:r>
    </w:p>
    <w:p w14:paraId="170ECDCD" w14:textId="4BE7521E" w:rsidR="001D1920" w:rsidRPr="00A52AB8" w:rsidRDefault="00EB723C">
      <w:r w:rsidRPr="00A52AB8">
        <w:rPr>
          <w:rStyle w:val="fontstyle01"/>
          <w:rFonts w:ascii="Cambria" w:hAnsi="Cambria"/>
          <w:b/>
          <w:color w:val="000000" w:themeColor="text1"/>
          <w:sz w:val="22"/>
          <w:szCs w:val="22"/>
        </w:rPr>
        <w:t>asps_</w:t>
      </w:r>
      <w:r w:rsidR="001D1920" w:rsidRPr="00A52AB8">
        <w:rPr>
          <w:rStyle w:val="fontstyle01"/>
          <w:rFonts w:ascii="Cambria" w:hAnsi="Cambria"/>
          <w:b/>
          <w:color w:val="000000" w:themeColor="text1"/>
          <w:sz w:val="22"/>
          <w:szCs w:val="22"/>
        </w:rPr>
        <w:t>use_eig</w:t>
      </w:r>
      <w:r w:rsidR="00624F82" w:rsidRPr="00A52AB8">
        <w:rPr>
          <w:rStyle w:val="fontstyle01"/>
          <w:rFonts w:ascii="Cambria" w:hAnsi="Cambria"/>
          <w:b/>
          <w:color w:val="000000" w:themeColor="text1"/>
          <w:sz w:val="22"/>
          <w:szCs w:val="22"/>
        </w:rPr>
        <w:t>h</w:t>
      </w:r>
      <w:r w:rsidR="001D1920" w:rsidRPr="00A52AB8">
        <w:rPr>
          <w:rStyle w:val="fontstyle01"/>
          <w:rFonts w:ascii="Cambria" w:hAnsi="Cambria"/>
          <w:b/>
          <w:color w:val="000000" w:themeColor="text1"/>
          <w:sz w:val="22"/>
          <w:szCs w:val="22"/>
        </w:rPr>
        <w:t xml:space="preserve">t_orientations_flag </w:t>
      </w:r>
      <w:r w:rsidR="001D1920" w:rsidRPr="00A52AB8">
        <w:t xml:space="preserve">equal to 0 specifies </w:t>
      </w:r>
      <w:r w:rsidR="00274F3B" w:rsidRPr="00A52AB8">
        <w:t xml:space="preserve">that </w:t>
      </w:r>
      <w:r w:rsidR="00B81F80" w:rsidRPr="00A52AB8">
        <w:t xml:space="preserve">the </w:t>
      </w:r>
      <w:r w:rsidR="0092535F" w:rsidRPr="00A52AB8">
        <w:t xml:space="preserve">patch </w:t>
      </w:r>
      <w:r w:rsidR="00B81F80" w:rsidRPr="00A52AB8">
        <w:t>orientation index</w:t>
      </w:r>
      <w:r w:rsidR="0092535F" w:rsidRPr="00A52AB8">
        <w:t xml:space="preserve"> for a patch with index j in a </w:t>
      </w:r>
      <w:r w:rsidR="00C175F4" w:rsidRPr="00A52AB8">
        <w:t xml:space="preserve">tile </w:t>
      </w:r>
      <w:r w:rsidR="0092535F" w:rsidRPr="00A52AB8">
        <w:t xml:space="preserve">with </w:t>
      </w:r>
      <w:r w:rsidR="00C175F4" w:rsidRPr="00A52AB8">
        <w:t xml:space="preserve">tile ID equal to </w:t>
      </w:r>
      <w:r w:rsidR="0092535F" w:rsidRPr="00A52AB8">
        <w:t>i, pdu_orientation_index</w:t>
      </w:r>
      <w:r w:rsidR="001F4484" w:rsidRPr="00A52AB8">
        <w:t>[ i ][ j ]</w:t>
      </w:r>
      <w:r w:rsidR="0092535F" w:rsidRPr="00A52AB8">
        <w:t xml:space="preserve">, </w:t>
      </w:r>
      <w:r w:rsidR="00B81F80" w:rsidRPr="00A52AB8">
        <w:t xml:space="preserve">is </w:t>
      </w:r>
      <w:r w:rsidR="00BE657F" w:rsidRPr="00A52AB8">
        <w:t>in the range</w:t>
      </w:r>
      <w:r w:rsidR="00B81F80" w:rsidRPr="00A52AB8">
        <w:t xml:space="preserve"> </w:t>
      </w:r>
      <w:r w:rsidR="00624F82" w:rsidRPr="00A52AB8">
        <w:t xml:space="preserve">of </w:t>
      </w:r>
      <w:r w:rsidR="00BE657F" w:rsidRPr="00A52AB8">
        <w:t xml:space="preserve">0 </w:t>
      </w:r>
      <w:r w:rsidR="000B656F" w:rsidRPr="00A52AB8">
        <w:t>to</w:t>
      </w:r>
      <w:r w:rsidR="00BE657F" w:rsidRPr="00A52AB8">
        <w:t xml:space="preserve"> 1</w:t>
      </w:r>
      <w:r w:rsidR="000B656F" w:rsidRPr="00A52AB8">
        <w:t>, inclusive</w:t>
      </w:r>
      <w:r w:rsidR="00274F3B" w:rsidRPr="00A52AB8">
        <w:t xml:space="preserve">. </w:t>
      </w:r>
      <w:r w:rsidRPr="00A52AB8">
        <w:rPr>
          <w:rStyle w:val="fontstyle01"/>
          <w:rFonts w:ascii="Cambria" w:hAnsi="Cambria"/>
          <w:color w:val="000000" w:themeColor="text1"/>
          <w:sz w:val="22"/>
          <w:szCs w:val="22"/>
        </w:rPr>
        <w:t>asps_</w:t>
      </w:r>
      <w:r w:rsidR="001D1920" w:rsidRPr="00A52AB8">
        <w:rPr>
          <w:rStyle w:val="fontstyle01"/>
          <w:rFonts w:ascii="Cambria" w:hAnsi="Cambria"/>
          <w:color w:val="000000" w:themeColor="text1"/>
          <w:sz w:val="22"/>
          <w:szCs w:val="22"/>
        </w:rPr>
        <w:t>use_eight_orientations_flag</w:t>
      </w:r>
      <w:r w:rsidR="001D1920" w:rsidRPr="00A52AB8">
        <w:rPr>
          <w:rStyle w:val="fontstyle01"/>
          <w:rFonts w:ascii="Cambria" w:hAnsi="Cambria"/>
          <w:b/>
          <w:color w:val="000000" w:themeColor="text1"/>
          <w:sz w:val="22"/>
          <w:szCs w:val="22"/>
        </w:rPr>
        <w:t xml:space="preserve"> </w:t>
      </w:r>
      <w:r w:rsidR="001D1920" w:rsidRPr="00A52AB8">
        <w:t>equal to 1 specifies that</w:t>
      </w:r>
      <w:r w:rsidR="0092535F" w:rsidRPr="00A52AB8">
        <w:t xml:space="preserve"> pdu_orientation_index</w:t>
      </w:r>
      <w:r w:rsidR="001F4484" w:rsidRPr="00A52AB8">
        <w:t>[ i ][ j ]</w:t>
      </w:r>
      <w:r w:rsidR="00BE657F" w:rsidRPr="00A52AB8">
        <w:t xml:space="preserve"> is in the range </w:t>
      </w:r>
      <w:r w:rsidR="00624F82" w:rsidRPr="00A52AB8">
        <w:t xml:space="preserve">of </w:t>
      </w:r>
      <w:r w:rsidR="00BE657F" w:rsidRPr="00A52AB8">
        <w:t xml:space="preserve">0 </w:t>
      </w:r>
      <w:r w:rsidR="00624F82" w:rsidRPr="00A52AB8">
        <w:t>to</w:t>
      </w:r>
      <w:r w:rsidR="00BE657F" w:rsidRPr="00A52AB8">
        <w:t xml:space="preserve"> 7</w:t>
      </w:r>
      <w:r w:rsidR="00624F82" w:rsidRPr="00A52AB8">
        <w:t>, inclusive</w:t>
      </w:r>
      <w:r w:rsidR="001D1920" w:rsidRPr="00A52AB8">
        <w:t>.</w:t>
      </w:r>
    </w:p>
    <w:p w14:paraId="2DF9E7F2" w14:textId="77777777" w:rsidR="00723863" w:rsidRPr="00A52AB8" w:rsidRDefault="00D27D2B">
      <w:r w:rsidRPr="00A52AB8">
        <w:rPr>
          <w:b/>
        </w:rPr>
        <w:t>asps_extended_projection_enabled_flag</w:t>
      </w:r>
      <w:r w:rsidR="00723863" w:rsidRPr="00A52AB8">
        <w:t xml:space="preserve"> equal to 0 specifies that the patch projection information is not signalled for the current atlas </w:t>
      </w:r>
      <w:r w:rsidR="00B8075E" w:rsidRPr="00A52AB8">
        <w:t>tile</w:t>
      </w:r>
      <w:r w:rsidR="00723863" w:rsidRPr="00A52AB8">
        <w:t xml:space="preserve">. </w:t>
      </w:r>
      <w:r w:rsidRPr="00A52AB8">
        <w:t>asps_extended_projection_enabled_flag</w:t>
      </w:r>
      <w:r w:rsidR="00723863" w:rsidRPr="00A52AB8">
        <w:t xml:space="preserve"> equal to 1 specifies that the patch projection information is signalled for the current atlas </w:t>
      </w:r>
      <w:r w:rsidR="00B8075E" w:rsidRPr="00A52AB8">
        <w:t>tile</w:t>
      </w:r>
      <w:r w:rsidR="00723863" w:rsidRPr="00A52AB8">
        <w:t xml:space="preserve">. When </w:t>
      </w:r>
      <w:r w:rsidRPr="00A52AB8">
        <w:t>asps_extended_projection_enabled_flag</w:t>
      </w:r>
      <w:r w:rsidR="00723863" w:rsidRPr="00A52AB8">
        <w:t xml:space="preserve"> is not present, its value is inferred to be equal to 0.</w:t>
      </w:r>
    </w:p>
    <w:p w14:paraId="67440AC6" w14:textId="7FB6AF0B" w:rsidR="00D30495" w:rsidRPr="00A52AB8" w:rsidRDefault="00D30495">
      <w:pPr>
        <w:rPr>
          <w:b/>
        </w:rPr>
      </w:pPr>
      <w:r w:rsidRPr="00A52AB8">
        <w:rPr>
          <w:b/>
        </w:rPr>
        <w:t xml:space="preserve">asps_max_number_projections_minus1 </w:t>
      </w:r>
      <w:r w:rsidRPr="00A52AB8">
        <w:rPr>
          <w:rStyle w:val="fontstyle01"/>
          <w:rFonts w:ascii="Cambria" w:hAnsi="Cambria"/>
          <w:color w:val="000000" w:themeColor="text1"/>
          <w:sz w:val="22"/>
          <w:szCs w:val="22"/>
        </w:rPr>
        <w:t>plus 1 specifies the maximum</w:t>
      </w:r>
      <w:r w:rsidR="00572C97" w:rsidRPr="00A52AB8">
        <w:rPr>
          <w:rStyle w:val="fontstyle01"/>
          <w:rFonts w:ascii="Cambria" w:hAnsi="Cambria"/>
          <w:color w:val="000000" w:themeColor="text1"/>
          <w:sz w:val="22"/>
          <w:szCs w:val="22"/>
        </w:rPr>
        <w:t xml:space="preserve"> value </w:t>
      </w:r>
      <w:r w:rsidR="00C175F4" w:rsidRPr="00A52AB8">
        <w:rPr>
          <w:rFonts w:eastAsia="Times New Roman"/>
        </w:rPr>
        <w:t xml:space="preserve">that can be indicated for the patch projection ID syntax element, </w:t>
      </w:r>
      <w:r w:rsidR="001D1603" w:rsidRPr="00A52AB8">
        <w:rPr>
          <w:rFonts w:eastAsia="Times New Roman"/>
        </w:rPr>
        <w:t>pdu_</w:t>
      </w:r>
      <w:r w:rsidR="001D1603" w:rsidRPr="00A52AB8">
        <w:t>projection_id</w:t>
      </w:r>
      <w:r w:rsidR="00C175F4" w:rsidRPr="00A52AB8">
        <w:t>[ i ][ j ],</w:t>
      </w:r>
      <w:r w:rsidR="001D1603" w:rsidRPr="00A52AB8">
        <w:t xml:space="preserve"> </w:t>
      </w:r>
      <w:r w:rsidR="00C175F4" w:rsidRPr="00A52AB8">
        <w:rPr>
          <w:rFonts w:eastAsia="Times New Roman"/>
        </w:rPr>
        <w:t>for a patch with index j in a tile with tile ID equal to i</w:t>
      </w:r>
      <w:r w:rsidR="001D1603" w:rsidRPr="00A52AB8">
        <w:rPr>
          <w:rStyle w:val="normaltextrun1"/>
        </w:rPr>
        <w:t>.</w:t>
      </w:r>
      <w:r w:rsidR="005A28F0" w:rsidRPr="00A52AB8">
        <w:rPr>
          <w:rStyle w:val="fontstyle01"/>
          <w:rFonts w:ascii="Cambria" w:hAnsi="Cambria"/>
          <w:color w:val="000000" w:themeColor="text1"/>
          <w:sz w:val="22"/>
          <w:szCs w:val="22"/>
        </w:rPr>
        <w:t xml:space="preserve"> </w:t>
      </w:r>
      <w:r w:rsidR="005A28F0" w:rsidRPr="00A52AB8">
        <w:rPr>
          <w:color w:val="000000" w:themeColor="text1"/>
        </w:rPr>
        <w:t xml:space="preserve">When </w:t>
      </w:r>
      <w:r w:rsidR="005A28F0" w:rsidRPr="00A52AB8">
        <w:rPr>
          <w:rStyle w:val="fontstyle01"/>
          <w:rFonts w:ascii="Cambria" w:hAnsi="Cambria"/>
          <w:color w:val="000000" w:themeColor="text1"/>
          <w:sz w:val="22"/>
          <w:szCs w:val="22"/>
        </w:rPr>
        <w:t>asps_max_number_projections_minus1</w:t>
      </w:r>
      <w:r w:rsidR="005A28F0" w:rsidRPr="00A52AB8">
        <w:rPr>
          <w:color w:val="000000" w:themeColor="text1"/>
        </w:rPr>
        <w:t xml:space="preserve"> is not present, it</w:t>
      </w:r>
      <w:r w:rsidR="00C175F4" w:rsidRPr="00A52AB8">
        <w:rPr>
          <w:color w:val="000000" w:themeColor="text1"/>
        </w:rPr>
        <w:t>s value is</w:t>
      </w:r>
      <w:r w:rsidR="005A28F0" w:rsidRPr="00A52AB8">
        <w:rPr>
          <w:color w:val="000000" w:themeColor="text1"/>
        </w:rPr>
        <w:t xml:space="preserve"> inferred to be equal to </w:t>
      </w:r>
      <w:r w:rsidR="005A28F0" w:rsidRPr="00A52AB8">
        <w:rPr>
          <w:rStyle w:val="fontstyle01"/>
          <w:rFonts w:ascii="Cambria" w:hAnsi="Cambria"/>
          <w:color w:val="000000" w:themeColor="text1"/>
          <w:sz w:val="22"/>
          <w:szCs w:val="22"/>
        </w:rPr>
        <w:t>5</w:t>
      </w:r>
      <w:r w:rsidR="005A28F0" w:rsidRPr="00A52AB8">
        <w:rPr>
          <w:color w:val="000000" w:themeColor="text1"/>
        </w:rPr>
        <w:t>.</w:t>
      </w:r>
    </w:p>
    <w:p w14:paraId="385E424B" w14:textId="77777777" w:rsidR="00624F82" w:rsidRPr="00A52AB8" w:rsidRDefault="00EB723C">
      <w:r w:rsidRPr="00A52AB8">
        <w:rPr>
          <w:rStyle w:val="fontstyle01"/>
          <w:rFonts w:ascii="Cambria" w:hAnsi="Cambria"/>
          <w:b/>
          <w:color w:val="000000" w:themeColor="text1"/>
          <w:sz w:val="22"/>
          <w:szCs w:val="22"/>
        </w:rPr>
        <w:t>asps_</w:t>
      </w:r>
      <w:r w:rsidR="00624F82" w:rsidRPr="00A52AB8">
        <w:rPr>
          <w:rStyle w:val="fontstyle01"/>
          <w:rFonts w:ascii="Cambria" w:hAnsi="Cambria"/>
          <w:b/>
          <w:color w:val="000000" w:themeColor="text1"/>
          <w:sz w:val="22"/>
          <w:szCs w:val="22"/>
        </w:rPr>
        <w:t>normal_axis_limits_quantization_</w:t>
      </w:r>
      <w:r w:rsidR="00016786" w:rsidRPr="00A52AB8">
        <w:rPr>
          <w:rStyle w:val="fontstyle01"/>
          <w:rFonts w:ascii="Cambria" w:hAnsi="Cambria"/>
          <w:b/>
          <w:color w:val="000000" w:themeColor="text1"/>
          <w:sz w:val="22"/>
          <w:szCs w:val="22"/>
        </w:rPr>
        <w:t>enabled_flag</w:t>
      </w:r>
      <w:r w:rsidR="00624F82" w:rsidRPr="00A52AB8">
        <w:rPr>
          <w:rStyle w:val="fontstyle01"/>
          <w:rFonts w:ascii="Cambria" w:hAnsi="Cambria"/>
          <w:b/>
          <w:color w:val="000000" w:themeColor="text1"/>
          <w:sz w:val="22"/>
          <w:szCs w:val="22"/>
        </w:rPr>
        <w:t xml:space="preserve"> </w:t>
      </w:r>
      <w:r w:rsidR="00624F82" w:rsidRPr="00A52AB8">
        <w:t xml:space="preserve">equal to 1 specifies that quantization parameters shall be signalled and used for quantizing the normal axis related elements of a </w:t>
      </w:r>
      <w:r w:rsidR="0092535F" w:rsidRPr="00A52AB8">
        <w:t>patch data unit</w:t>
      </w:r>
      <w:r w:rsidR="00393F29" w:rsidRPr="00A52AB8">
        <w:t>, a merge patch data unit,</w:t>
      </w:r>
      <w:r w:rsidR="0092535F" w:rsidRPr="00A52AB8">
        <w:t xml:space="preserve"> or a</w:t>
      </w:r>
      <w:r w:rsidR="00393F29" w:rsidRPr="00A52AB8">
        <w:t xml:space="preserve">n inter </w:t>
      </w:r>
      <w:r w:rsidR="0092535F" w:rsidRPr="00A52AB8">
        <w:t>patch data unit</w:t>
      </w:r>
      <w:r w:rsidR="00624F82" w:rsidRPr="00A52AB8">
        <w:t xml:space="preserve">. If </w:t>
      </w:r>
      <w:r w:rsidRPr="00A52AB8">
        <w:rPr>
          <w:rStyle w:val="fontstyle01"/>
          <w:rFonts w:ascii="Cambria" w:hAnsi="Cambria"/>
          <w:color w:val="000000" w:themeColor="text1"/>
          <w:sz w:val="22"/>
          <w:szCs w:val="22"/>
        </w:rPr>
        <w:t>asps_</w:t>
      </w:r>
      <w:r w:rsidR="00624F82" w:rsidRPr="00A52AB8">
        <w:rPr>
          <w:rStyle w:val="fontstyle01"/>
          <w:rFonts w:ascii="Cambria" w:hAnsi="Cambria"/>
          <w:color w:val="000000" w:themeColor="text1"/>
          <w:sz w:val="22"/>
          <w:szCs w:val="22"/>
        </w:rPr>
        <w:t>normal_axis_limits_quantization_</w:t>
      </w:r>
      <w:r w:rsidR="00016786" w:rsidRPr="00A52AB8">
        <w:rPr>
          <w:rStyle w:val="fontstyle01"/>
          <w:rFonts w:ascii="Cambria" w:hAnsi="Cambria"/>
          <w:color w:val="000000" w:themeColor="text1"/>
          <w:sz w:val="22"/>
          <w:szCs w:val="22"/>
        </w:rPr>
        <w:t>enabled_flag</w:t>
      </w:r>
      <w:r w:rsidR="00624F82" w:rsidRPr="00A52AB8">
        <w:rPr>
          <w:rStyle w:val="fontstyle01"/>
          <w:rFonts w:ascii="Cambria" w:hAnsi="Cambria"/>
          <w:color w:val="000000" w:themeColor="text1"/>
          <w:sz w:val="22"/>
          <w:szCs w:val="22"/>
        </w:rPr>
        <w:t xml:space="preserve"> is equal to 0, then no quantization is applied on any normal axis related elements </w:t>
      </w:r>
      <w:r w:rsidR="00624F82" w:rsidRPr="00A52AB8">
        <w:t>of a patch data unit</w:t>
      </w:r>
      <w:r w:rsidR="00393F29" w:rsidRPr="00A52AB8">
        <w:t>, a merge patch data unit,</w:t>
      </w:r>
      <w:r w:rsidR="00624F82" w:rsidRPr="00A52AB8">
        <w:t xml:space="preserve"> or a</w:t>
      </w:r>
      <w:r w:rsidR="00393F29" w:rsidRPr="00A52AB8">
        <w:t>n</w:t>
      </w:r>
      <w:r w:rsidR="00624F82" w:rsidRPr="00A52AB8">
        <w:t xml:space="preserve"> </w:t>
      </w:r>
      <w:r w:rsidR="00393F29" w:rsidRPr="00A52AB8">
        <w:t xml:space="preserve">inter </w:t>
      </w:r>
      <w:r w:rsidR="00624F82" w:rsidRPr="00A52AB8">
        <w:t>patch data unit.</w:t>
      </w:r>
    </w:p>
    <w:p w14:paraId="13221476" w14:textId="0C5D508B" w:rsidR="001D1920" w:rsidRPr="00A52AB8" w:rsidRDefault="00EB723C">
      <w:r w:rsidRPr="00A52AB8">
        <w:rPr>
          <w:rStyle w:val="fontstyle01"/>
          <w:rFonts w:ascii="Cambria" w:hAnsi="Cambria"/>
          <w:b/>
          <w:color w:val="000000" w:themeColor="text1"/>
          <w:sz w:val="22"/>
          <w:szCs w:val="22"/>
        </w:rPr>
        <w:t>asps_</w:t>
      </w:r>
      <w:r w:rsidR="00624F82" w:rsidRPr="00A52AB8">
        <w:rPr>
          <w:rStyle w:val="fontstyle01"/>
          <w:rFonts w:ascii="Cambria" w:hAnsi="Cambria"/>
          <w:b/>
          <w:color w:val="000000" w:themeColor="text1"/>
          <w:sz w:val="22"/>
          <w:szCs w:val="22"/>
        </w:rPr>
        <w:t>normal_axis_max_delta_value_</w:t>
      </w:r>
      <w:r w:rsidR="00016786" w:rsidRPr="00A52AB8">
        <w:rPr>
          <w:rStyle w:val="fontstyle01"/>
          <w:rFonts w:ascii="Cambria" w:hAnsi="Cambria"/>
          <w:b/>
          <w:color w:val="000000" w:themeColor="text1"/>
          <w:sz w:val="22"/>
          <w:szCs w:val="22"/>
        </w:rPr>
        <w:t>enabled_flag</w:t>
      </w:r>
      <w:r w:rsidR="00624F82" w:rsidRPr="00A52AB8">
        <w:rPr>
          <w:rStyle w:val="fontstyle01"/>
          <w:rFonts w:ascii="Cambria" w:hAnsi="Cambria"/>
          <w:b/>
          <w:color w:val="000000" w:themeColor="text1"/>
          <w:sz w:val="22"/>
          <w:szCs w:val="22"/>
        </w:rPr>
        <w:t xml:space="preserve"> </w:t>
      </w:r>
      <w:r w:rsidR="00624F82" w:rsidRPr="00A52AB8">
        <w:t xml:space="preserve">equal to </w:t>
      </w:r>
      <w:r w:rsidR="00C54EBB" w:rsidRPr="00A52AB8">
        <w:t>1</w:t>
      </w:r>
      <w:r w:rsidR="00624F82" w:rsidRPr="00A52AB8">
        <w:t xml:space="preserve"> specifies that </w:t>
      </w:r>
      <w:r w:rsidR="00C54EBB" w:rsidRPr="00A52AB8">
        <w:t xml:space="preserve">the maximum nominal </w:t>
      </w:r>
      <w:r w:rsidR="000F06CD" w:rsidRPr="00A52AB8">
        <w:t xml:space="preserve">delta </w:t>
      </w:r>
      <w:r w:rsidR="00C54EBB" w:rsidRPr="00A52AB8">
        <w:t>value of the normal axis that may be present in the geometry information of a patch with index i in a frame with index j will be indicated in the bitstream for each patch data unit</w:t>
      </w:r>
      <w:r w:rsidR="00393F29" w:rsidRPr="00A52AB8">
        <w:t>, a merge patch data unit,</w:t>
      </w:r>
      <w:r w:rsidR="00C54EBB" w:rsidRPr="00A52AB8">
        <w:t xml:space="preserve"> or a</w:t>
      </w:r>
      <w:r w:rsidR="00393F29" w:rsidRPr="00A52AB8">
        <w:t>n</w:t>
      </w:r>
      <w:r w:rsidR="00C54EBB" w:rsidRPr="00A52AB8">
        <w:t xml:space="preserve"> </w:t>
      </w:r>
      <w:r w:rsidR="00393F29" w:rsidRPr="00A52AB8">
        <w:t xml:space="preserve">inter </w:t>
      </w:r>
      <w:r w:rsidR="00C54EBB" w:rsidRPr="00A52AB8">
        <w:t xml:space="preserve">patch data unit. If </w:t>
      </w:r>
      <w:r w:rsidRPr="00A52AB8">
        <w:rPr>
          <w:rStyle w:val="fontstyle01"/>
          <w:rFonts w:ascii="Cambria" w:hAnsi="Cambria"/>
          <w:color w:val="000000" w:themeColor="text1"/>
          <w:sz w:val="22"/>
          <w:szCs w:val="22"/>
        </w:rPr>
        <w:t>asps_</w:t>
      </w:r>
      <w:r w:rsidR="00C54EBB" w:rsidRPr="00A52AB8">
        <w:rPr>
          <w:rStyle w:val="fontstyle01"/>
          <w:rFonts w:ascii="Cambria" w:hAnsi="Cambria"/>
          <w:color w:val="000000" w:themeColor="text1"/>
          <w:sz w:val="22"/>
          <w:szCs w:val="22"/>
        </w:rPr>
        <w:t>normal_axis_max_delta_value_</w:t>
      </w:r>
      <w:r w:rsidR="00016786" w:rsidRPr="00A52AB8">
        <w:rPr>
          <w:rStyle w:val="fontstyle01"/>
          <w:rFonts w:ascii="Cambria" w:hAnsi="Cambria"/>
          <w:color w:val="000000" w:themeColor="text1"/>
          <w:sz w:val="22"/>
          <w:szCs w:val="22"/>
        </w:rPr>
        <w:t>enabled_flag</w:t>
      </w:r>
      <w:r w:rsidR="00C54EBB" w:rsidRPr="00A52AB8">
        <w:rPr>
          <w:rStyle w:val="fontstyle01"/>
          <w:rFonts w:ascii="Cambria" w:hAnsi="Cambria"/>
          <w:b/>
          <w:color w:val="000000" w:themeColor="text1"/>
          <w:sz w:val="22"/>
          <w:szCs w:val="22"/>
        </w:rPr>
        <w:t xml:space="preserve"> </w:t>
      </w:r>
      <w:r w:rsidR="00C54EBB" w:rsidRPr="00A52AB8">
        <w:t xml:space="preserve">is equal to 0 then the maximum nominal </w:t>
      </w:r>
      <w:r w:rsidR="000F06CD" w:rsidRPr="00A52AB8">
        <w:t xml:space="preserve">delta </w:t>
      </w:r>
      <w:r w:rsidR="00C54EBB" w:rsidRPr="00A52AB8">
        <w:t>value of the normal axis that may be present in the geometry information of a patch with index i in a frame with index j shall not be indicated in the bitstream for each patch data unit</w:t>
      </w:r>
      <w:r w:rsidR="00393F29" w:rsidRPr="00A52AB8">
        <w:t>, a merge patch data unit, or an inter</w:t>
      </w:r>
      <w:r w:rsidR="00393F29" w:rsidRPr="00A52AB8" w:rsidDel="00393F29">
        <w:t xml:space="preserve"> </w:t>
      </w:r>
      <w:r w:rsidR="00C54EBB" w:rsidRPr="00A52AB8">
        <w:t>patch data unit.</w:t>
      </w:r>
    </w:p>
    <w:p w14:paraId="1D77A4D9" w14:textId="74C17368" w:rsidR="0027560D" w:rsidRPr="00A52AB8" w:rsidRDefault="00167A5B">
      <w:pPr>
        <w:rPr>
          <w:color w:val="000000" w:themeColor="text1"/>
        </w:rPr>
      </w:pPr>
      <w:r w:rsidRPr="00A52AB8">
        <w:rPr>
          <w:b/>
          <w:color w:val="000000" w:themeColor="text1"/>
        </w:rPr>
        <w:t>asps_patch_precedence_order_flag</w:t>
      </w:r>
      <w:r w:rsidRPr="00A52AB8">
        <w:rPr>
          <w:color w:val="000000" w:themeColor="text1"/>
        </w:rPr>
        <w:t xml:space="preserve"> </w:t>
      </w:r>
      <w:r w:rsidR="00EE3CDE" w:rsidRPr="00A52AB8">
        <w:rPr>
          <w:color w:val="000000" w:themeColor="text1"/>
        </w:rPr>
        <w:t>specifies</w:t>
      </w:r>
      <w:r w:rsidR="004B63CA" w:rsidRPr="00A52AB8">
        <w:rPr>
          <w:color w:val="000000" w:themeColor="text1"/>
        </w:rPr>
        <w:t xml:space="preserve"> </w:t>
      </w:r>
      <w:r w:rsidR="00843911" w:rsidRPr="00A52AB8">
        <w:rPr>
          <w:color w:val="000000" w:themeColor="text1"/>
        </w:rPr>
        <w:t xml:space="preserve">the </w:t>
      </w:r>
      <w:r w:rsidR="00A57C12" w:rsidRPr="00A52AB8">
        <w:rPr>
          <w:color w:val="000000" w:themeColor="text1"/>
        </w:rPr>
        <w:t xml:space="preserve">patch precedence </w:t>
      </w:r>
      <w:r w:rsidR="00843911" w:rsidRPr="00A52AB8">
        <w:rPr>
          <w:color w:val="000000" w:themeColor="text1"/>
        </w:rPr>
        <w:t>that</w:t>
      </w:r>
      <w:r w:rsidR="00A57C12" w:rsidRPr="00A52AB8">
        <w:rPr>
          <w:color w:val="000000" w:themeColor="text1"/>
        </w:rPr>
        <w:t xml:space="preserve"> is utilized for </w:t>
      </w:r>
      <w:r w:rsidR="00870BAC" w:rsidRPr="00A52AB8">
        <w:rPr>
          <w:color w:val="000000" w:themeColor="text1"/>
        </w:rPr>
        <w:t>assigning atlas samples to patches</w:t>
      </w:r>
      <w:r w:rsidR="00A57C12" w:rsidRPr="00A52AB8">
        <w:rPr>
          <w:color w:val="000000" w:themeColor="text1"/>
        </w:rPr>
        <w:t xml:space="preserve"> as specified in subclause </w:t>
      </w:r>
      <w:r w:rsidR="00A57C12" w:rsidRPr="00496A4D">
        <w:rPr>
          <w:color w:val="000000" w:themeColor="text1"/>
        </w:rPr>
        <w:fldChar w:fldCharType="begin"/>
      </w:r>
      <w:r w:rsidR="00A57C12" w:rsidRPr="00A52AB8">
        <w:rPr>
          <w:color w:val="000000" w:themeColor="text1"/>
        </w:rPr>
        <w:instrText xml:space="preserve"> REF _Ref1592626 \r \h  \* MERGEFORMAT </w:instrText>
      </w:r>
      <w:r w:rsidR="00A57C12" w:rsidRPr="00496A4D">
        <w:rPr>
          <w:color w:val="000000" w:themeColor="text1"/>
        </w:rPr>
      </w:r>
      <w:r w:rsidR="00A57C12" w:rsidRPr="00496A4D">
        <w:rPr>
          <w:color w:val="000000" w:themeColor="text1"/>
        </w:rPr>
        <w:fldChar w:fldCharType="separate"/>
      </w:r>
      <w:r w:rsidR="00507A67">
        <w:rPr>
          <w:color w:val="000000" w:themeColor="text1"/>
        </w:rPr>
        <w:t>9.2.6</w:t>
      </w:r>
      <w:r w:rsidR="00A57C12" w:rsidRPr="00496A4D">
        <w:rPr>
          <w:color w:val="000000" w:themeColor="text1"/>
        </w:rPr>
        <w:fldChar w:fldCharType="end"/>
      </w:r>
      <w:r w:rsidR="00EE3CDE" w:rsidRPr="00A52AB8">
        <w:rPr>
          <w:color w:val="000000" w:themeColor="text1"/>
        </w:rPr>
        <w:t>.</w:t>
      </w:r>
      <w:r w:rsidR="00A57C12" w:rsidRPr="00A52AB8">
        <w:rPr>
          <w:color w:val="000000" w:themeColor="text1"/>
        </w:rPr>
        <w:t xml:space="preserve"> </w:t>
      </w:r>
      <w:r w:rsidR="00325C18" w:rsidRPr="00A52AB8">
        <w:rPr>
          <w:color w:val="000000" w:themeColor="text1"/>
        </w:rPr>
        <w:t>asps_patch_precedence_order_flag equal to 1 specifies that patch precedence</w:t>
      </w:r>
      <w:r w:rsidR="00C442D5" w:rsidRPr="00A52AB8">
        <w:rPr>
          <w:color w:val="000000" w:themeColor="text1"/>
        </w:rPr>
        <w:t xml:space="preserve"> for the current atlas</w:t>
      </w:r>
      <w:r w:rsidR="00E45069" w:rsidRPr="00A52AB8">
        <w:rPr>
          <w:color w:val="000000" w:themeColor="text1"/>
        </w:rPr>
        <w:t xml:space="preserve"> </w:t>
      </w:r>
      <w:r w:rsidR="00A57C12" w:rsidRPr="00A52AB8">
        <w:rPr>
          <w:color w:val="000000" w:themeColor="text1"/>
        </w:rPr>
        <w:t>is the same as the decoding order</w:t>
      </w:r>
      <w:r w:rsidR="0091243E" w:rsidRPr="00A52AB8">
        <w:rPr>
          <w:color w:val="000000" w:themeColor="text1"/>
        </w:rPr>
        <w:t xml:space="preserve"> of </w:t>
      </w:r>
      <w:r w:rsidR="00E45069" w:rsidRPr="00A52AB8">
        <w:rPr>
          <w:color w:val="000000" w:themeColor="text1"/>
        </w:rPr>
        <w:t xml:space="preserve">the </w:t>
      </w:r>
      <w:r w:rsidR="0091243E" w:rsidRPr="00A52AB8">
        <w:rPr>
          <w:color w:val="000000" w:themeColor="text1"/>
        </w:rPr>
        <w:t>patches</w:t>
      </w:r>
      <w:r w:rsidR="00A57C12" w:rsidRPr="00A52AB8">
        <w:rPr>
          <w:color w:val="000000" w:themeColor="text1"/>
        </w:rPr>
        <w:t xml:space="preserve">. asps_patch_precedence_order_flag equal to 0 </w:t>
      </w:r>
      <w:r w:rsidR="00C442D5" w:rsidRPr="00A52AB8">
        <w:rPr>
          <w:color w:val="000000" w:themeColor="text1"/>
        </w:rPr>
        <w:t xml:space="preserve">specifies </w:t>
      </w:r>
      <w:r w:rsidR="00A57C12" w:rsidRPr="00A52AB8">
        <w:rPr>
          <w:color w:val="000000" w:themeColor="text1"/>
        </w:rPr>
        <w:t>that patch precedence for the current atlas is the reverse of the decoding order</w:t>
      </w:r>
      <w:r w:rsidR="0091243E" w:rsidRPr="00A52AB8">
        <w:rPr>
          <w:color w:val="000000" w:themeColor="text1"/>
        </w:rPr>
        <w:t xml:space="preserve"> of </w:t>
      </w:r>
      <w:r w:rsidR="009305AD" w:rsidRPr="00A52AB8">
        <w:rPr>
          <w:color w:val="000000" w:themeColor="text1"/>
        </w:rPr>
        <w:t xml:space="preserve">the </w:t>
      </w:r>
      <w:r w:rsidR="0091243E" w:rsidRPr="00A52AB8">
        <w:rPr>
          <w:color w:val="000000" w:themeColor="text1"/>
        </w:rPr>
        <w:t>patches</w:t>
      </w:r>
      <w:r w:rsidR="00A57C12" w:rsidRPr="00A52AB8">
        <w:rPr>
          <w:color w:val="000000" w:themeColor="text1"/>
        </w:rPr>
        <w:t>.</w:t>
      </w:r>
    </w:p>
    <w:p w14:paraId="04BCDA29" w14:textId="77777777" w:rsidR="00EE6561" w:rsidRPr="00A52AB8" w:rsidRDefault="00EE6561" w:rsidP="00EE6561">
      <w:pPr>
        <w:rPr>
          <w:color w:val="000000" w:themeColor="text1"/>
        </w:rPr>
      </w:pPr>
      <w:r w:rsidRPr="00A52AB8">
        <w:rPr>
          <w:b/>
          <w:color w:val="000000" w:themeColor="text1"/>
        </w:rPr>
        <w:t>asps_log2_patch_packing_block_size</w:t>
      </w:r>
      <w:r w:rsidRPr="00A52AB8">
        <w:rPr>
          <w:color w:val="000000" w:themeColor="text1"/>
        </w:rPr>
        <w:t xml:space="preserve"> specifies the value of the variable PatchPackingBlockSize, that is used for the horizontal and vertical placement of the patches within the atlas, as follows:</w:t>
      </w:r>
    </w:p>
    <w:p w14:paraId="5C09F743" w14:textId="2D8D5013" w:rsidR="00EE6561" w:rsidRPr="00A52AB8" w:rsidRDefault="00EE6561" w:rsidP="00A252B5">
      <w:pPr>
        <w:rPr>
          <w:lang w:eastAsia="ja-JP"/>
        </w:rPr>
      </w:pPr>
      <w:r w:rsidRPr="00A52AB8">
        <w:rPr>
          <w:lang w:eastAsia="ja-JP"/>
        </w:rPr>
        <w:tab/>
        <w:t>PatchPackingBlockSize</w:t>
      </w:r>
      <w:r w:rsidR="00D47707" w:rsidRPr="00A52AB8">
        <w:rPr>
          <w:lang w:eastAsia="ja-JP"/>
        </w:rPr>
        <w:t> = </w:t>
      </w:r>
      <w:r w:rsidRPr="00A52AB8">
        <w:rPr>
          <w:lang w:eastAsia="ja-JP"/>
        </w:rPr>
        <w:t>2</w:t>
      </w:r>
      <w:r w:rsidRPr="00A52AB8">
        <w:rPr>
          <w:position w:val="6"/>
          <w:vertAlign w:val="superscript"/>
          <w:lang w:eastAsia="ja-JP"/>
        </w:rPr>
        <w:t>asps_log2_patch_packing_block_size</w:t>
      </w:r>
      <w:r w:rsidRPr="00A52AB8">
        <w:rPr>
          <w:lang w:eastAsia="ja-JP"/>
        </w:rPr>
        <w:tab/>
        <w:t>(</w:t>
      </w:r>
      <w:r w:rsidRPr="00496A4D">
        <w:rPr>
          <w:lang w:eastAsia="ja-JP"/>
        </w:rPr>
        <w:fldChar w:fldCharType="begin"/>
      </w:r>
      <w:r w:rsidRPr="00A52AB8">
        <w:rPr>
          <w:lang w:eastAsia="ja-JP"/>
        </w:rPr>
        <w:instrText xml:space="preserve"> SEQ Equation \* ARABIC \</w:instrText>
      </w:r>
      <w:r w:rsidR="00646520" w:rsidRPr="00A52AB8">
        <w:rPr>
          <w:lang w:eastAsia="ja-JP"/>
        </w:rPr>
        <w:instrText>n</w:instrText>
      </w:r>
      <w:r w:rsidRPr="00496A4D">
        <w:rPr>
          <w:lang w:eastAsia="ja-JP"/>
        </w:rPr>
        <w:fldChar w:fldCharType="separate"/>
      </w:r>
      <w:r w:rsidR="00507A67">
        <w:rPr>
          <w:noProof/>
          <w:lang w:eastAsia="ja-JP"/>
        </w:rPr>
        <w:t>19</w:t>
      </w:r>
      <w:r w:rsidRPr="00496A4D">
        <w:rPr>
          <w:lang w:eastAsia="ja-JP"/>
        </w:rPr>
        <w:fldChar w:fldCharType="end"/>
      </w:r>
      <w:r w:rsidRPr="00A52AB8">
        <w:rPr>
          <w:lang w:eastAsia="ja-JP"/>
        </w:rPr>
        <w:t>)</w:t>
      </w:r>
    </w:p>
    <w:p w14:paraId="055FB12A" w14:textId="77777777" w:rsidR="00EE6561" w:rsidRPr="00A52AB8" w:rsidRDefault="00EE6561">
      <w:pPr>
        <w:rPr>
          <w:color w:val="000000" w:themeColor="text1"/>
        </w:rPr>
      </w:pPr>
      <w:r w:rsidRPr="00A52AB8">
        <w:rPr>
          <w:rStyle w:val="fontstyle01"/>
          <w:rFonts w:ascii="Cambria" w:hAnsi="Cambria"/>
          <w:color w:val="000000" w:themeColor="text1"/>
          <w:sz w:val="22"/>
          <w:szCs w:val="22"/>
        </w:rPr>
        <w:t xml:space="preserve">The value of </w:t>
      </w:r>
      <w:r w:rsidRPr="00A52AB8">
        <w:rPr>
          <w:color w:val="000000" w:themeColor="text1"/>
        </w:rPr>
        <w:t xml:space="preserve">asps_log2_patch_packing_block_size </w:t>
      </w:r>
      <w:r w:rsidRPr="00A52AB8">
        <w:rPr>
          <w:rStyle w:val="fontstyle01"/>
          <w:rFonts w:ascii="Cambria" w:hAnsi="Cambria"/>
          <w:color w:val="000000" w:themeColor="text1"/>
          <w:sz w:val="22"/>
          <w:szCs w:val="22"/>
        </w:rPr>
        <w:t xml:space="preserve">shall be in the range of 0 to </w:t>
      </w:r>
      <w:r w:rsidR="00211ABD" w:rsidRPr="00A52AB8">
        <w:rPr>
          <w:rStyle w:val="fontstyle01"/>
          <w:rFonts w:ascii="Cambria" w:hAnsi="Cambria"/>
          <w:color w:val="000000" w:themeColor="text1"/>
          <w:sz w:val="22"/>
          <w:szCs w:val="22"/>
        </w:rPr>
        <w:t>7</w:t>
      </w:r>
      <w:r w:rsidRPr="00A52AB8">
        <w:rPr>
          <w:rStyle w:val="fontstyle01"/>
          <w:rFonts w:ascii="Cambria" w:hAnsi="Cambria"/>
          <w:color w:val="000000" w:themeColor="text1"/>
          <w:sz w:val="22"/>
          <w:szCs w:val="22"/>
        </w:rPr>
        <w:t>, inclusive.</w:t>
      </w:r>
    </w:p>
    <w:p w14:paraId="431C5A58" w14:textId="77777777" w:rsidR="00BB3AAB" w:rsidRPr="00A52AB8" w:rsidRDefault="005036E4">
      <w:pPr>
        <w:rPr>
          <w:lang w:eastAsia="ko-KR"/>
        </w:rPr>
      </w:pPr>
      <w:r w:rsidRPr="00A52AB8">
        <w:rPr>
          <w:b/>
          <w:bCs/>
          <w:lang w:eastAsia="ko-KR"/>
        </w:rPr>
        <w:t>asps_patch_size_quantizer_present_flag</w:t>
      </w:r>
      <w:r w:rsidRPr="00A52AB8">
        <w:rPr>
          <w:lang w:eastAsia="ko-KR"/>
        </w:rPr>
        <w:t xml:space="preserve"> equal to 1 indicates that the patch size quantization parameters are present in an atlas </w:t>
      </w:r>
      <w:r w:rsidR="00B8075E" w:rsidRPr="00A52AB8">
        <w:rPr>
          <w:lang w:eastAsia="ko-KR"/>
        </w:rPr>
        <w:t>tile</w:t>
      </w:r>
      <w:r w:rsidRPr="00A52AB8">
        <w:rPr>
          <w:lang w:eastAsia="ko-KR"/>
        </w:rPr>
        <w:t xml:space="preserve"> header. If asps_patch_size_quantizer_present_flag is equal to 0, then the patch size quantization parameters are not present.</w:t>
      </w:r>
    </w:p>
    <w:p w14:paraId="31C2C3C0" w14:textId="77777777" w:rsidR="007843A3" w:rsidRPr="00A52AB8" w:rsidRDefault="007843A3">
      <w:pPr>
        <w:rPr>
          <w:bCs/>
          <w:color w:val="000000" w:themeColor="text1"/>
        </w:rPr>
      </w:pPr>
      <w:r w:rsidRPr="00A52AB8">
        <w:rPr>
          <w:b/>
          <w:color w:val="000000" w:themeColor="text1"/>
        </w:rPr>
        <w:t>asps_map_count_minus1</w:t>
      </w:r>
      <w:r w:rsidRPr="00A52AB8">
        <w:rPr>
          <w:color w:val="000000" w:themeColor="text1"/>
        </w:rPr>
        <w:t xml:space="preserve"> plus 1 indicates the number of maps that may be used for encoding the geometry and attribute data for the current atlas. asps_map_count_minus1 shall be in the range of 0 to 15, inclusive.</w:t>
      </w:r>
      <w:r w:rsidR="002D7880" w:rsidRPr="00A52AB8">
        <w:rPr>
          <w:color w:val="000000" w:themeColor="text1"/>
        </w:rPr>
        <w:t xml:space="preserve"> It is a requirement of bitstream conformance </w:t>
      </w:r>
      <w:r w:rsidR="007E00A9" w:rsidRPr="00A52AB8">
        <w:rPr>
          <w:color w:val="000000" w:themeColor="text1"/>
        </w:rPr>
        <w:t xml:space="preserve">to </w:t>
      </w:r>
      <w:r w:rsidR="001905CC" w:rsidRPr="00A52AB8">
        <w:rPr>
          <w:color w:val="000000" w:themeColor="text1"/>
        </w:rPr>
        <w:t>this document</w:t>
      </w:r>
      <w:r w:rsidR="007E00A9" w:rsidRPr="00A52AB8">
        <w:rPr>
          <w:color w:val="000000" w:themeColor="text1"/>
        </w:rPr>
        <w:t xml:space="preserve"> </w:t>
      </w:r>
      <w:r w:rsidR="002D7880" w:rsidRPr="00A52AB8">
        <w:rPr>
          <w:color w:val="000000" w:themeColor="text1"/>
        </w:rPr>
        <w:t xml:space="preserve">that </w:t>
      </w:r>
      <w:r w:rsidR="002D7880" w:rsidRPr="00A52AB8">
        <w:rPr>
          <w:bCs/>
          <w:color w:val="000000" w:themeColor="text1"/>
        </w:rPr>
        <w:t>asps_map_count_minus1 is equal to vps_map_count_minus1[ </w:t>
      </w:r>
      <w:r w:rsidR="00E6730E" w:rsidRPr="00A52AB8">
        <w:rPr>
          <w:bCs/>
          <w:color w:val="000000" w:themeColor="text1"/>
        </w:rPr>
        <w:t>atlasID </w:t>
      </w:r>
      <w:r w:rsidR="002D7880" w:rsidRPr="00A52AB8">
        <w:rPr>
          <w:bCs/>
          <w:color w:val="000000" w:themeColor="text1"/>
        </w:rPr>
        <w:t>]</w:t>
      </w:r>
      <w:r w:rsidR="007E00A9" w:rsidRPr="00A52AB8">
        <w:rPr>
          <w:bCs/>
          <w:color w:val="000000" w:themeColor="text1"/>
        </w:rPr>
        <w:t xml:space="preserve">, where </w:t>
      </w:r>
      <w:r w:rsidR="00E6730E" w:rsidRPr="00A52AB8">
        <w:rPr>
          <w:bCs/>
          <w:color w:val="000000" w:themeColor="text1"/>
        </w:rPr>
        <w:t xml:space="preserve">atlasID </w:t>
      </w:r>
      <w:r w:rsidR="007E00A9" w:rsidRPr="00A52AB8">
        <w:rPr>
          <w:bCs/>
          <w:color w:val="000000" w:themeColor="text1"/>
        </w:rPr>
        <w:t>is the</w:t>
      </w:r>
      <w:r w:rsidR="0052466F" w:rsidRPr="00A52AB8">
        <w:rPr>
          <w:bCs/>
          <w:color w:val="000000" w:themeColor="text1"/>
        </w:rPr>
        <w:t xml:space="preserve"> atlas</w:t>
      </w:r>
      <w:r w:rsidR="007E00A9" w:rsidRPr="00A52AB8">
        <w:rPr>
          <w:bCs/>
          <w:color w:val="000000" w:themeColor="text1"/>
        </w:rPr>
        <w:t xml:space="preserve"> </w:t>
      </w:r>
      <w:r w:rsidR="00E6730E" w:rsidRPr="00A52AB8">
        <w:rPr>
          <w:bCs/>
          <w:color w:val="000000" w:themeColor="text1"/>
        </w:rPr>
        <w:t xml:space="preserve">ID </w:t>
      </w:r>
      <w:r w:rsidR="007E00A9" w:rsidRPr="00A52AB8">
        <w:rPr>
          <w:bCs/>
          <w:color w:val="000000" w:themeColor="text1"/>
        </w:rPr>
        <w:t>of the current atlas.</w:t>
      </w:r>
    </w:p>
    <w:p w14:paraId="17DC782A" w14:textId="532F574D" w:rsidR="00AD19E8" w:rsidRPr="00A52AB8" w:rsidRDefault="00AD19E8">
      <w:pPr>
        <w:rPr>
          <w:color w:val="000000" w:themeColor="text1"/>
        </w:rPr>
      </w:pPr>
      <w:r w:rsidRPr="00A52AB8">
        <w:rPr>
          <w:b/>
          <w:color w:val="000000" w:themeColor="text1"/>
        </w:rPr>
        <w:t>asps_pixel_deinterleaving_enabled_flag</w:t>
      </w:r>
      <w:r w:rsidRPr="00A52AB8">
        <w:rPr>
          <w:color w:val="000000" w:themeColor="text1"/>
        </w:rPr>
        <w:t xml:space="preserve"> equal to 1 indicates that the decoded geometry and attribute </w:t>
      </w:r>
      <w:r w:rsidR="004B4155" w:rsidRPr="00A52AB8">
        <w:rPr>
          <w:color w:val="000000" w:themeColor="text1"/>
        </w:rPr>
        <w:t>data</w:t>
      </w:r>
      <w:r w:rsidR="00DF2F62" w:rsidRPr="00A52AB8">
        <w:rPr>
          <w:color w:val="000000" w:themeColor="text1"/>
        </w:rPr>
        <w:t xml:space="preserve"> </w:t>
      </w:r>
      <w:r w:rsidR="00792273" w:rsidRPr="00A52AB8">
        <w:rPr>
          <w:color w:val="000000" w:themeColor="text1"/>
        </w:rPr>
        <w:t xml:space="preserve">may </w:t>
      </w:r>
      <w:r w:rsidR="00DF2F62" w:rsidRPr="00A52AB8">
        <w:rPr>
          <w:color w:val="000000" w:themeColor="text1"/>
        </w:rPr>
        <w:t xml:space="preserve">require </w:t>
      </w:r>
      <w:r w:rsidR="00DF2F62" w:rsidRPr="00A52AB8">
        <w:rPr>
          <w:rFonts w:cs="Arial"/>
        </w:rPr>
        <w:t>an additional spatial interpolation process</w:t>
      </w:r>
      <w:r w:rsidR="00C175F4" w:rsidRPr="00A52AB8">
        <w:rPr>
          <w:rFonts w:cs="Arial"/>
        </w:rPr>
        <w:t xml:space="preserve"> during reconstruction</w:t>
      </w:r>
      <w:r w:rsidRPr="00A52AB8">
        <w:rPr>
          <w:color w:val="000000" w:themeColor="text1"/>
        </w:rPr>
        <w:t>.</w:t>
      </w:r>
      <w:r w:rsidR="004B4155" w:rsidRPr="00A52AB8">
        <w:rPr>
          <w:color w:val="000000" w:themeColor="text1"/>
        </w:rPr>
        <w:t xml:space="preserve"> asps_pixel_deinterleaving_enabled_flag equal to 0 indicates that the decoded geometry and attribute data do not </w:t>
      </w:r>
      <w:r w:rsidR="00D70E3B" w:rsidRPr="00A52AB8">
        <w:rPr>
          <w:color w:val="000000" w:themeColor="text1"/>
        </w:rPr>
        <w:t xml:space="preserve">require </w:t>
      </w:r>
      <w:r w:rsidR="00D70E3B" w:rsidRPr="00A52AB8">
        <w:rPr>
          <w:rFonts w:cs="Arial"/>
        </w:rPr>
        <w:t>an</w:t>
      </w:r>
      <w:r w:rsidR="00D02CBB" w:rsidRPr="00A52AB8">
        <w:rPr>
          <w:rFonts w:cs="Arial"/>
        </w:rPr>
        <w:t>y</w:t>
      </w:r>
      <w:r w:rsidR="00D70E3B" w:rsidRPr="00A52AB8">
        <w:rPr>
          <w:rFonts w:cs="Arial"/>
        </w:rPr>
        <w:t xml:space="preserve"> additional spatial interpolation process</w:t>
      </w:r>
      <w:r w:rsidRPr="00A52AB8">
        <w:rPr>
          <w:color w:val="000000" w:themeColor="text1"/>
        </w:rPr>
        <w:t>.</w:t>
      </w:r>
    </w:p>
    <w:p w14:paraId="7FFAADCF" w14:textId="327B6CFC" w:rsidR="00370C87" w:rsidRPr="00A52AB8" w:rsidRDefault="005B7C24">
      <w:pPr>
        <w:rPr>
          <w:rFonts w:cs="Arial"/>
        </w:rPr>
      </w:pPr>
      <w:r w:rsidRPr="00A52AB8">
        <w:rPr>
          <w:rFonts w:cs="Arial"/>
          <w:b/>
          <w:bCs/>
        </w:rPr>
        <w:t>asps_</w:t>
      </w:r>
      <w:r w:rsidR="003D78A6" w:rsidRPr="00A52AB8">
        <w:rPr>
          <w:rFonts w:cs="Arial"/>
          <w:b/>
          <w:bCs/>
        </w:rPr>
        <w:t>map_</w:t>
      </w:r>
      <w:r w:rsidRPr="00A52AB8">
        <w:rPr>
          <w:rFonts w:cs="Arial"/>
          <w:b/>
          <w:bCs/>
        </w:rPr>
        <w:t>pixel_deinterleaving_flag</w:t>
      </w:r>
      <w:r w:rsidR="001F4484" w:rsidRPr="00A52AB8">
        <w:rPr>
          <w:rFonts w:cs="Arial"/>
        </w:rPr>
        <w:t>[ i ]</w:t>
      </w:r>
      <w:r w:rsidRPr="00A52AB8">
        <w:rPr>
          <w:rFonts w:cs="Arial"/>
        </w:rPr>
        <w:t xml:space="preserve"> </w:t>
      </w:r>
      <w:r w:rsidR="00370C87" w:rsidRPr="00A52AB8">
        <w:rPr>
          <w:rFonts w:cs="Arial"/>
        </w:rPr>
        <w:t>equal to 1 indicates that an additional spatial interpolation process</w:t>
      </w:r>
      <w:r w:rsidR="00235E7C" w:rsidRPr="00A52AB8">
        <w:rPr>
          <w:rFonts w:cs="Arial"/>
        </w:rPr>
        <w:t xml:space="preserve"> </w:t>
      </w:r>
      <w:r w:rsidR="00370C87" w:rsidRPr="00A52AB8">
        <w:rPr>
          <w:rFonts w:cs="Arial"/>
        </w:rPr>
        <w:t>needs to be performed on the associated geometry and attribute data of a projected patch in a map with index i in the current atlas</w:t>
      </w:r>
      <w:r w:rsidR="00D04492" w:rsidRPr="00A52AB8">
        <w:rPr>
          <w:rFonts w:cs="Arial"/>
        </w:rPr>
        <w:t xml:space="preserve">. </w:t>
      </w:r>
      <w:r w:rsidR="00C52DCE" w:rsidRPr="00A52AB8">
        <w:rPr>
          <w:rFonts w:cs="Arial"/>
          <w:bCs/>
        </w:rPr>
        <w:t>asps_map_pixel_deinterleaving_flag</w:t>
      </w:r>
      <w:r w:rsidR="00C52DCE" w:rsidRPr="00A52AB8">
        <w:rPr>
          <w:rFonts w:cs="Arial"/>
        </w:rPr>
        <w:t xml:space="preserve">[ i ] equal to </w:t>
      </w:r>
      <w:r w:rsidR="00C52DCE" w:rsidRPr="00A52AB8">
        <w:rPr>
          <w:color w:val="000000" w:themeColor="text1"/>
        </w:rPr>
        <w:t xml:space="preserve">0 indicates that no </w:t>
      </w:r>
      <w:r w:rsidR="00C52DCE" w:rsidRPr="00A52AB8">
        <w:rPr>
          <w:rFonts w:cs="Arial"/>
        </w:rPr>
        <w:t xml:space="preserve">additional spatial interpolation process is performed. </w:t>
      </w:r>
      <w:r w:rsidR="00D04492" w:rsidRPr="00A52AB8">
        <w:rPr>
          <w:rFonts w:cs="Arial"/>
        </w:rPr>
        <w:t xml:space="preserve">When not present, the value of </w:t>
      </w:r>
      <w:r w:rsidR="00D04492" w:rsidRPr="00A52AB8">
        <w:rPr>
          <w:rFonts w:cs="Arial"/>
          <w:bCs/>
        </w:rPr>
        <w:t>asps_map_pixel_deinterleaving_flag</w:t>
      </w:r>
      <w:r w:rsidR="00D04492" w:rsidRPr="00A52AB8">
        <w:rPr>
          <w:rFonts w:cs="Arial"/>
        </w:rPr>
        <w:t>[ i ] is inferred to be 0.</w:t>
      </w:r>
    </w:p>
    <w:p w14:paraId="4EEAD423" w14:textId="0AEFB3A3" w:rsidR="00C52DCE" w:rsidRPr="00A52AB8" w:rsidRDefault="00C52DCE" w:rsidP="00E37C7D">
      <w:pPr>
        <w:pStyle w:val="Note1"/>
        <w:rPr>
          <w:rFonts w:ascii="Cambria" w:hAnsi="Cambria"/>
        </w:rPr>
      </w:pPr>
      <w:r w:rsidRPr="00A52AB8">
        <w:rPr>
          <w:rFonts w:ascii="Cambria" w:hAnsi="Cambria"/>
        </w:rPr>
        <w:t>NOTE </w:t>
      </w:r>
      <w:r w:rsidR="00E37C7D" w:rsidRPr="00496A4D">
        <w:rPr>
          <w:rFonts w:ascii="Cambria" w:hAnsi="Cambria"/>
        </w:rPr>
        <w:fldChar w:fldCharType="begin"/>
      </w:r>
      <w:r w:rsidR="00E37C7D" w:rsidRPr="00A52AB8">
        <w:rPr>
          <w:rFonts w:ascii="Cambria" w:hAnsi="Cambria"/>
        </w:rPr>
        <w:instrText xml:space="preserve"> SEQ NoteCounter \s 9 \* MERGEFORMAT  \* MERGEFORMAT  \* MERGEFORMAT </w:instrText>
      </w:r>
      <w:r w:rsidR="00E37C7D" w:rsidRPr="00496A4D">
        <w:rPr>
          <w:rFonts w:ascii="Cambria" w:hAnsi="Cambria"/>
        </w:rPr>
        <w:fldChar w:fldCharType="separate"/>
      </w:r>
      <w:r w:rsidR="00507A67">
        <w:rPr>
          <w:rFonts w:ascii="Cambria" w:hAnsi="Cambria"/>
          <w:noProof/>
        </w:rPr>
        <w:t>4</w:t>
      </w:r>
      <w:r w:rsidR="00E37C7D" w:rsidRPr="00496A4D">
        <w:rPr>
          <w:rFonts w:ascii="Cambria" w:hAnsi="Cambria"/>
        </w:rPr>
        <w:fldChar w:fldCharType="end"/>
      </w:r>
      <w:r w:rsidR="00E37C7D" w:rsidRPr="00A52AB8">
        <w:rPr>
          <w:rFonts w:ascii="Cambria" w:hAnsi="Cambria"/>
        </w:rPr>
        <w:t> </w:t>
      </w:r>
      <w:r w:rsidRPr="00A52AB8">
        <w:rPr>
          <w:rFonts w:ascii="Cambria" w:hAnsi="Cambria"/>
        </w:rPr>
        <w:t>– </w:t>
      </w:r>
      <w:r w:rsidR="00DB7039" w:rsidRPr="00A52AB8">
        <w:rPr>
          <w:rFonts w:ascii="Cambria" w:hAnsi="Cambria"/>
        </w:rPr>
        <w:t xml:space="preserve">In the context of Reconstruction profiles </w:t>
      </w:r>
      <w:r w:rsidR="00EC5345" w:rsidRPr="00A52AB8">
        <w:rPr>
          <w:rFonts w:ascii="Cambria" w:hAnsi="Cambria"/>
        </w:rPr>
        <w:t xml:space="preserve">for V-PCC, </w:t>
      </w:r>
      <w:r w:rsidR="000A1091" w:rsidRPr="00A52AB8">
        <w:rPr>
          <w:rFonts w:ascii="Cambria" w:hAnsi="Cambria"/>
        </w:rPr>
        <w:t>an</w:t>
      </w:r>
      <w:r w:rsidR="00DB7039" w:rsidRPr="00A52AB8">
        <w:rPr>
          <w:rFonts w:ascii="Cambria" w:hAnsi="Cambria"/>
        </w:rPr>
        <w:t xml:space="preserve"> example usage is</w:t>
      </w:r>
      <w:r w:rsidRPr="00A52AB8">
        <w:rPr>
          <w:rFonts w:ascii="Cambria" w:hAnsi="Cambria"/>
        </w:rPr>
        <w:t xml:space="preserve"> specified in subclause </w:t>
      </w:r>
      <w:r w:rsidRPr="00496A4D">
        <w:rPr>
          <w:rFonts w:ascii="Cambria" w:hAnsi="Cambria"/>
        </w:rPr>
        <w:fldChar w:fldCharType="begin"/>
      </w:r>
      <w:r w:rsidRPr="00A52AB8">
        <w:rPr>
          <w:rFonts w:ascii="Cambria" w:hAnsi="Cambria"/>
        </w:rPr>
        <w:instrText xml:space="preserve"> REF _Ref38890489 \r \h </w:instrText>
      </w:r>
      <w:r w:rsidR="001A652C" w:rsidRPr="00A52AB8">
        <w:rPr>
          <w:rFonts w:ascii="Cambria" w:hAnsi="Cambria"/>
        </w:rPr>
        <w:instrText xml:space="preserve"> \* MERGEFORMAT </w:instrText>
      </w:r>
      <w:r w:rsidRPr="00496A4D">
        <w:rPr>
          <w:rFonts w:ascii="Cambria" w:hAnsi="Cambria"/>
        </w:rPr>
      </w:r>
      <w:r w:rsidRPr="00496A4D">
        <w:rPr>
          <w:rFonts w:ascii="Cambria" w:hAnsi="Cambria"/>
        </w:rPr>
        <w:fldChar w:fldCharType="separate"/>
      </w:r>
      <w:r w:rsidR="00507A67">
        <w:rPr>
          <w:rFonts w:ascii="Cambria" w:hAnsi="Cambria"/>
        </w:rPr>
        <w:t>H.11.2.3</w:t>
      </w:r>
      <w:r w:rsidRPr="00496A4D">
        <w:rPr>
          <w:rFonts w:ascii="Cambria" w:hAnsi="Cambria"/>
        </w:rPr>
        <w:fldChar w:fldCharType="end"/>
      </w:r>
      <w:r w:rsidRPr="00A52AB8">
        <w:rPr>
          <w:rFonts w:ascii="Cambria" w:hAnsi="Cambria"/>
        </w:rPr>
        <w:t>.</w:t>
      </w:r>
    </w:p>
    <w:p w14:paraId="21D918F6" w14:textId="5A350208" w:rsidR="004A4E22" w:rsidRPr="00A52AB8" w:rsidRDefault="004A4E22" w:rsidP="004A4E22">
      <w:pPr>
        <w:rPr>
          <w:color w:val="000000" w:themeColor="text1"/>
        </w:rPr>
      </w:pPr>
      <w:r w:rsidRPr="00A52AB8">
        <w:rPr>
          <w:b/>
          <w:color w:val="000000" w:themeColor="text1"/>
        </w:rPr>
        <w:t>asps_raw_patch_enabled_flag</w:t>
      </w:r>
      <w:r w:rsidRPr="00A52AB8">
        <w:rPr>
          <w:color w:val="000000" w:themeColor="text1"/>
        </w:rPr>
        <w:t xml:space="preserve"> equal to 1 indicates that the decoded geometry and attribute videos for the current atlas contain information related to RAW coded points. asps_raw_patch_enabled_flag equal to 0 indicates that the decoded geometry and attribute videos do not contain information related to RAW coded points.</w:t>
      </w:r>
    </w:p>
    <w:p w14:paraId="209F4B78" w14:textId="06FF4929" w:rsidR="00F15CEE" w:rsidRPr="00A52AB8" w:rsidRDefault="00F15CEE" w:rsidP="00F15CEE">
      <w:pPr>
        <w:rPr>
          <w:color w:val="000000" w:themeColor="text1"/>
        </w:rPr>
      </w:pPr>
      <w:r w:rsidRPr="00A52AB8">
        <w:rPr>
          <w:b/>
          <w:color w:val="000000" w:themeColor="text1"/>
        </w:rPr>
        <w:t xml:space="preserve">asps_eom_patch_enabled_flag </w:t>
      </w:r>
      <w:r w:rsidRPr="00A52AB8">
        <w:rPr>
          <w:color w:val="000000" w:themeColor="text1"/>
        </w:rPr>
        <w:t xml:space="preserve">equal to 1 indicates that the decoded </w:t>
      </w:r>
      <w:r w:rsidR="0003372C" w:rsidRPr="00A52AB8">
        <w:rPr>
          <w:color w:val="000000" w:themeColor="text1"/>
        </w:rPr>
        <w:t>occupancy</w:t>
      </w:r>
      <w:r w:rsidRPr="00A52AB8">
        <w:rPr>
          <w:color w:val="000000" w:themeColor="text1"/>
        </w:rPr>
        <w:t xml:space="preserve"> video for the current atlas contains information related to whether intermediate depth positions between two depth maps are occupied. asps_eom_patch_enabled_flag equal to 0 indicates that the decoded </w:t>
      </w:r>
      <w:r w:rsidR="0003372C" w:rsidRPr="00A52AB8">
        <w:rPr>
          <w:color w:val="000000" w:themeColor="text1"/>
        </w:rPr>
        <w:t>occupancy</w:t>
      </w:r>
      <w:r w:rsidRPr="00A52AB8">
        <w:rPr>
          <w:color w:val="000000" w:themeColor="text1"/>
        </w:rPr>
        <w:t xml:space="preserve"> video does not contain information related to whether intermediate depth positions between two depth maps are occupied.</w:t>
      </w:r>
    </w:p>
    <w:p w14:paraId="1A1EF39E" w14:textId="66542DD4" w:rsidR="00F15CEE" w:rsidRPr="00A52AB8" w:rsidRDefault="00F15CEE">
      <w:pPr>
        <w:rPr>
          <w:rFonts w:cs="Arial"/>
        </w:rPr>
      </w:pPr>
      <w:r w:rsidRPr="00A52AB8">
        <w:rPr>
          <w:color w:val="000000" w:themeColor="text1"/>
        </w:rPr>
        <w:t>It is a requirement of bitstream conformance that if asps_eom_patch_enabled_flag is equal to 1, oi_lossy_</w:t>
      </w:r>
      <w:r w:rsidR="00523804" w:rsidRPr="00A52AB8">
        <w:rPr>
          <w:color w:val="000000" w:themeColor="text1"/>
        </w:rPr>
        <w:t>occupancy</w:t>
      </w:r>
      <w:r w:rsidRPr="00A52AB8">
        <w:rPr>
          <w:color w:val="000000" w:themeColor="text1"/>
        </w:rPr>
        <w:t>_compression_threshold</w:t>
      </w:r>
      <w:r w:rsidR="0007107D" w:rsidRPr="00A52AB8">
        <w:rPr>
          <w:bCs/>
          <w:color w:val="000000" w:themeColor="text1"/>
        </w:rPr>
        <w:t>[ atlasID ]</w:t>
      </w:r>
      <w:r w:rsidRPr="00A52AB8">
        <w:rPr>
          <w:color w:val="000000" w:themeColor="text1"/>
        </w:rPr>
        <w:t xml:space="preserve"> shall be equal to 0.</w:t>
      </w:r>
    </w:p>
    <w:p w14:paraId="3074B0A4" w14:textId="2B811560" w:rsidR="00020C0C" w:rsidRPr="00A52AB8" w:rsidRDefault="006B54CB">
      <w:pPr>
        <w:rPr>
          <w:bCs/>
          <w:color w:val="000000" w:themeColor="text1"/>
        </w:rPr>
      </w:pPr>
      <w:r w:rsidRPr="00A52AB8">
        <w:rPr>
          <w:b/>
          <w:color w:val="000000" w:themeColor="text1"/>
        </w:rPr>
        <w:t>asps_eom_fix_bit_count_minus1</w:t>
      </w:r>
      <w:r w:rsidR="00020C0C" w:rsidRPr="00A52AB8">
        <w:rPr>
          <w:color w:val="000000" w:themeColor="text1"/>
        </w:rPr>
        <w:t xml:space="preserve"> plus 1 indicates the size in bits of the EOM codeword. </w:t>
      </w:r>
      <w:r w:rsidR="00020C0C" w:rsidRPr="00A52AB8">
        <w:rPr>
          <w:bCs/>
          <w:color w:val="000000" w:themeColor="text1"/>
        </w:rPr>
        <w:t>asps_eom_fix_bit_count</w:t>
      </w:r>
      <w:r w:rsidR="004A0CD4" w:rsidRPr="00A52AB8">
        <w:rPr>
          <w:bCs/>
          <w:color w:val="000000" w:themeColor="text1"/>
        </w:rPr>
        <w:t>_minus1</w:t>
      </w:r>
      <w:r w:rsidR="00020C0C" w:rsidRPr="00A52AB8">
        <w:rPr>
          <w:bCs/>
          <w:color w:val="000000" w:themeColor="text1"/>
        </w:rPr>
        <w:t xml:space="preserve"> shall be in the range of 0 to </w:t>
      </w:r>
      <w:r w:rsidR="00A07170" w:rsidRPr="00A52AB8">
        <w:rPr>
          <w:bCs/>
          <w:color w:val="000000" w:themeColor="text1"/>
        </w:rPr>
        <w:t>Min(15,</w:t>
      </w:r>
      <w:r w:rsidR="00AB1D73" w:rsidRPr="00A52AB8">
        <w:rPr>
          <w:bCs/>
          <w:color w:val="000000" w:themeColor="text1"/>
        </w:rPr>
        <w:t> </w:t>
      </w:r>
      <w:r w:rsidR="00020C0C" w:rsidRPr="00A52AB8">
        <w:rPr>
          <w:color w:val="000000" w:themeColor="text1"/>
        </w:rPr>
        <w:t>oi_occupancy</w:t>
      </w:r>
      <w:r w:rsidR="00E17778" w:rsidRPr="00A52AB8">
        <w:rPr>
          <w:color w:val="000000" w:themeColor="text1"/>
        </w:rPr>
        <w:t>_</w:t>
      </w:r>
      <w:r w:rsidR="00020C0C" w:rsidRPr="00A52AB8">
        <w:rPr>
          <w:color w:val="000000" w:themeColor="text1"/>
        </w:rPr>
        <w:t>2d_bit</w:t>
      </w:r>
      <w:r w:rsidR="00C514C6" w:rsidRPr="00A52AB8">
        <w:rPr>
          <w:color w:val="000000" w:themeColor="text1"/>
        </w:rPr>
        <w:t>_</w:t>
      </w:r>
      <w:r w:rsidR="00020C0C" w:rsidRPr="00A52AB8">
        <w:rPr>
          <w:color w:val="000000" w:themeColor="text1"/>
        </w:rPr>
        <w:t>depth_minus1</w:t>
      </w:r>
      <w:r w:rsidR="00020C0C" w:rsidRPr="00A52AB8">
        <w:rPr>
          <w:bCs/>
          <w:color w:val="000000" w:themeColor="text1"/>
        </w:rPr>
        <w:t>[ atlasI</w:t>
      </w:r>
      <w:r w:rsidR="00C24F58" w:rsidRPr="00A52AB8">
        <w:rPr>
          <w:bCs/>
          <w:color w:val="000000" w:themeColor="text1"/>
        </w:rPr>
        <w:t>D</w:t>
      </w:r>
      <w:r w:rsidR="00020C0C" w:rsidRPr="00A52AB8">
        <w:rPr>
          <w:bCs/>
          <w:color w:val="000000" w:themeColor="text1"/>
        </w:rPr>
        <w:t> ] − 1</w:t>
      </w:r>
      <w:r w:rsidR="00A07170" w:rsidRPr="00A52AB8">
        <w:rPr>
          <w:bCs/>
          <w:color w:val="000000" w:themeColor="text1"/>
        </w:rPr>
        <w:t>)</w:t>
      </w:r>
      <w:r w:rsidR="00020C0C" w:rsidRPr="00A52AB8">
        <w:rPr>
          <w:bCs/>
          <w:color w:val="000000" w:themeColor="text1"/>
        </w:rPr>
        <w:t xml:space="preserve">, inclusive, where </w:t>
      </w:r>
      <w:r w:rsidR="00C24F58" w:rsidRPr="00A52AB8">
        <w:rPr>
          <w:bCs/>
          <w:color w:val="000000" w:themeColor="text1"/>
        </w:rPr>
        <w:t xml:space="preserve">atlasID </w:t>
      </w:r>
      <w:r w:rsidR="00020C0C" w:rsidRPr="00A52AB8">
        <w:rPr>
          <w:bCs/>
          <w:color w:val="000000" w:themeColor="text1"/>
        </w:rPr>
        <w:t xml:space="preserve">is the </w:t>
      </w:r>
      <w:r w:rsidR="00122DBB" w:rsidRPr="00A52AB8">
        <w:rPr>
          <w:bCs/>
          <w:color w:val="000000" w:themeColor="text1"/>
        </w:rPr>
        <w:t xml:space="preserve">atlas </w:t>
      </w:r>
      <w:r w:rsidR="00C24F58" w:rsidRPr="00A52AB8">
        <w:rPr>
          <w:bCs/>
          <w:color w:val="000000" w:themeColor="text1"/>
        </w:rPr>
        <w:t xml:space="preserve">ID </w:t>
      </w:r>
      <w:r w:rsidR="00020C0C" w:rsidRPr="00A52AB8">
        <w:rPr>
          <w:bCs/>
          <w:color w:val="000000" w:themeColor="text1"/>
        </w:rPr>
        <w:t>of the current atlas.</w:t>
      </w:r>
    </w:p>
    <w:p w14:paraId="53860432" w14:textId="7C93F77B" w:rsidR="0050235C" w:rsidRPr="00A52AB8" w:rsidRDefault="00BB3AAB" w:rsidP="00BB3AAB">
      <w:pPr>
        <w:rPr>
          <w:color w:val="000000" w:themeColor="text1"/>
        </w:rPr>
      </w:pPr>
      <w:r w:rsidRPr="00A52AB8">
        <w:rPr>
          <w:b/>
          <w:color w:val="000000" w:themeColor="text1"/>
        </w:rPr>
        <w:t>asps_auxiliary_video_enabled_flag</w:t>
      </w:r>
      <w:r w:rsidRPr="00A52AB8">
        <w:rPr>
          <w:color w:val="000000" w:themeColor="text1"/>
        </w:rPr>
        <w:t xml:space="preserve"> equal to 1 indicates that </w:t>
      </w:r>
      <w:r w:rsidR="00EB397B" w:rsidRPr="00A52AB8">
        <w:rPr>
          <w:color w:val="000000" w:themeColor="text1"/>
        </w:rPr>
        <w:t xml:space="preserve">information associated with </w:t>
      </w:r>
      <w:r w:rsidRPr="00A52AB8">
        <w:rPr>
          <w:color w:val="000000" w:themeColor="text1"/>
        </w:rPr>
        <w:t xml:space="preserve">RAW and EOM patch </w:t>
      </w:r>
      <w:r w:rsidR="00EB397B" w:rsidRPr="00A52AB8">
        <w:rPr>
          <w:color w:val="000000" w:themeColor="text1"/>
        </w:rPr>
        <w:t xml:space="preserve">types </w:t>
      </w:r>
      <w:r w:rsidRPr="00A52AB8">
        <w:rPr>
          <w:color w:val="000000" w:themeColor="text1"/>
        </w:rPr>
        <w:t xml:space="preserve">could be placed in auxiliary video sub-bitstreams. </w:t>
      </w:r>
      <w:r w:rsidRPr="00A52AB8">
        <w:rPr>
          <w:bCs/>
          <w:color w:val="000000" w:themeColor="text1"/>
        </w:rPr>
        <w:t>asps_auxiliary_video_enabled_flag</w:t>
      </w:r>
      <w:r w:rsidRPr="00A52AB8">
        <w:rPr>
          <w:color w:val="000000" w:themeColor="text1"/>
        </w:rPr>
        <w:t xml:space="preserve"> equal to 0 indicates that </w:t>
      </w:r>
      <w:r w:rsidR="00EB397B" w:rsidRPr="00A52AB8">
        <w:rPr>
          <w:color w:val="000000" w:themeColor="text1"/>
        </w:rPr>
        <w:t xml:space="preserve">information associated with </w:t>
      </w:r>
      <w:r w:rsidRPr="00A52AB8">
        <w:rPr>
          <w:color w:val="000000" w:themeColor="text1"/>
        </w:rPr>
        <w:t xml:space="preserve">RAW and EOM patch </w:t>
      </w:r>
      <w:r w:rsidR="00EB397B" w:rsidRPr="00A52AB8">
        <w:rPr>
          <w:color w:val="000000" w:themeColor="text1"/>
        </w:rPr>
        <w:t xml:space="preserve">types </w:t>
      </w:r>
      <w:r w:rsidRPr="00A52AB8">
        <w:rPr>
          <w:color w:val="000000" w:themeColor="text1"/>
        </w:rPr>
        <w:t xml:space="preserve">can only be placed in </w:t>
      </w:r>
      <w:r w:rsidR="00D02CBB" w:rsidRPr="00A52AB8">
        <w:rPr>
          <w:color w:val="000000" w:themeColor="text1"/>
        </w:rPr>
        <w:t>non</w:t>
      </w:r>
      <w:r w:rsidR="00D02CBB" w:rsidRPr="00A52AB8">
        <w:rPr>
          <w:color w:val="000000" w:themeColor="text1"/>
        </w:rPr>
        <w:noBreakHyphen/>
        <w:t xml:space="preserve">auxiliary </w:t>
      </w:r>
      <w:r w:rsidRPr="00A52AB8">
        <w:rPr>
          <w:color w:val="000000" w:themeColor="text1"/>
        </w:rPr>
        <w:t>video sub-bitstreams.</w:t>
      </w:r>
    </w:p>
    <w:p w14:paraId="4B1C2AB3" w14:textId="2D9BF801" w:rsidR="003A35D1" w:rsidRPr="00A52AB8" w:rsidRDefault="003A35D1" w:rsidP="00BB3AAB">
      <w:pPr>
        <w:rPr>
          <w:color w:val="000000" w:themeColor="text1"/>
        </w:rPr>
      </w:pPr>
      <w:r w:rsidRPr="00A52AB8">
        <w:t>It is a requirement of bitstream conformance that if vps_</w:t>
      </w:r>
      <w:r w:rsidRPr="00A52AB8">
        <w:rPr>
          <w:color w:val="000000" w:themeColor="text1"/>
        </w:rPr>
        <w:t>auxiliary_video_present_flag</w:t>
      </w:r>
      <w:r w:rsidRPr="00A52AB8">
        <w:rPr>
          <w:bCs/>
          <w:color w:val="000000" w:themeColor="text1"/>
        </w:rPr>
        <w:t>[ atlasID ] , where atlasID is the atlas ID of the current atlas, is equal to 0 then asps_auxiliary_video_enabled_flag is equal to 0.</w:t>
      </w:r>
    </w:p>
    <w:p w14:paraId="129EEAC0" w14:textId="77777777" w:rsidR="00BB3AAB" w:rsidRPr="00A52AB8" w:rsidRDefault="00BB3AAB" w:rsidP="00BB3AAB">
      <w:pPr>
        <w:rPr>
          <w:color w:val="000000" w:themeColor="text1"/>
        </w:rPr>
      </w:pPr>
      <w:r w:rsidRPr="00A52AB8">
        <w:rPr>
          <w:b/>
          <w:color w:val="000000" w:themeColor="text1"/>
        </w:rPr>
        <w:t>asps_</w:t>
      </w:r>
      <w:r w:rsidR="00D375CC" w:rsidRPr="00A52AB8">
        <w:rPr>
          <w:b/>
          <w:color w:val="000000" w:themeColor="text1"/>
        </w:rPr>
        <w:t>plr</w:t>
      </w:r>
      <w:r w:rsidRPr="00A52AB8">
        <w:rPr>
          <w:b/>
          <w:color w:val="000000" w:themeColor="text1"/>
        </w:rPr>
        <w:t>_enabled_flag</w:t>
      </w:r>
      <w:r w:rsidRPr="00A52AB8">
        <w:rPr>
          <w:color w:val="000000" w:themeColor="text1"/>
        </w:rPr>
        <w:t xml:space="preserve"> equal to 1 indicates that point local reconstruction mode information may be present in the bitstream for the current atlas. asps_</w:t>
      </w:r>
      <w:r w:rsidR="00D375CC" w:rsidRPr="00A52AB8">
        <w:rPr>
          <w:color w:val="000000" w:themeColor="text1"/>
        </w:rPr>
        <w:t>plr</w:t>
      </w:r>
      <w:r w:rsidRPr="00A52AB8">
        <w:rPr>
          <w:color w:val="000000" w:themeColor="text1"/>
        </w:rPr>
        <w:t>_enabled_flag equal to 0 indicates that no information related to the point local reconstruction mode is present in the bitstream for the current atlas.</w:t>
      </w:r>
    </w:p>
    <w:p w14:paraId="75A0736E" w14:textId="57896FB6" w:rsidR="00BB3AAB" w:rsidRPr="00A52AB8" w:rsidRDefault="00BB3AAB">
      <w:pPr>
        <w:rPr>
          <w:bCs/>
          <w:color w:val="000000" w:themeColor="text1"/>
        </w:rPr>
      </w:pPr>
      <w:r w:rsidRPr="00A52AB8">
        <w:t xml:space="preserve">It is a requirement of bitstream conformance that </w:t>
      </w:r>
      <w:r w:rsidR="00C175F4" w:rsidRPr="00A52AB8">
        <w:t xml:space="preserve">when </w:t>
      </w:r>
      <w:r w:rsidRPr="00A52AB8">
        <w:t>asps_pixel_deinterleaving_</w:t>
      </w:r>
      <w:r w:rsidR="00FA2552" w:rsidRPr="00A52AB8">
        <w:t>enabled_</w:t>
      </w:r>
      <w:r w:rsidRPr="00A52AB8">
        <w:t xml:space="preserve">flag </w:t>
      </w:r>
      <w:r w:rsidR="00C175F4" w:rsidRPr="00A52AB8">
        <w:t xml:space="preserve">is equal to 1, </w:t>
      </w:r>
      <w:r w:rsidRPr="00A52AB8">
        <w:t>asps_</w:t>
      </w:r>
      <w:r w:rsidR="00D375CC" w:rsidRPr="00A52AB8">
        <w:t>plr</w:t>
      </w:r>
      <w:r w:rsidRPr="00A52AB8">
        <w:t xml:space="preserve">_enabled_flag shall be </w:t>
      </w:r>
      <w:r w:rsidR="00C175F4" w:rsidRPr="00A52AB8">
        <w:t>equal to 0</w:t>
      </w:r>
      <w:r w:rsidRPr="00A52AB8">
        <w:t>.</w:t>
      </w:r>
    </w:p>
    <w:p w14:paraId="27793F32" w14:textId="330ADF25" w:rsidR="004E4A0E" w:rsidRPr="00A52AB8" w:rsidRDefault="004E4A0E">
      <w:pPr>
        <w:rPr>
          <w:color w:val="000000" w:themeColor="text1"/>
        </w:rPr>
      </w:pPr>
      <w:r w:rsidRPr="00A52AB8">
        <w:rPr>
          <w:b/>
          <w:bCs/>
          <w:color w:val="000000" w:themeColor="text1"/>
        </w:rPr>
        <w:t>asps_vui_parameters_present_flag</w:t>
      </w:r>
      <w:r w:rsidRPr="00A52AB8">
        <w:rPr>
          <w:color w:val="000000" w:themeColor="text1"/>
        </w:rPr>
        <w:t xml:space="preserve"> equal to 1 specifies that the vui_parameters(</w:t>
      </w:r>
      <w:r w:rsidR="00BC563F" w:rsidRPr="00A52AB8">
        <w:rPr>
          <w:color w:val="000000" w:themeColor="text1"/>
        </w:rPr>
        <w:t> </w:t>
      </w:r>
      <w:r w:rsidRPr="00A52AB8">
        <w:rPr>
          <w:color w:val="000000" w:themeColor="text1"/>
        </w:rPr>
        <w:t>) syntax structure</w:t>
      </w:r>
      <w:r w:rsidR="008B3599" w:rsidRPr="00A52AB8">
        <w:rPr>
          <w:color w:val="000000" w:themeColor="text1"/>
        </w:rPr>
        <w:t>,</w:t>
      </w:r>
      <w:r w:rsidRPr="00A52AB8">
        <w:rPr>
          <w:color w:val="000000" w:themeColor="text1"/>
        </w:rPr>
        <w:t xml:space="preserve"> as specified in </w:t>
      </w:r>
      <w:r w:rsidR="0006708B" w:rsidRPr="00496A4D">
        <w:rPr>
          <w:color w:val="000000" w:themeColor="text1"/>
        </w:rPr>
        <w:fldChar w:fldCharType="begin"/>
      </w:r>
      <w:r w:rsidR="0006708B" w:rsidRPr="00A52AB8">
        <w:rPr>
          <w:color w:val="000000" w:themeColor="text1"/>
        </w:rPr>
        <w:instrText xml:space="preserve"> REF _Ref21527679 \r \h </w:instrText>
      </w:r>
      <w:r w:rsidR="00CA5401" w:rsidRPr="00A52AB8">
        <w:rPr>
          <w:color w:val="000000" w:themeColor="text1"/>
        </w:rPr>
        <w:instrText xml:space="preserve"> \* MERGEFORMAT </w:instrText>
      </w:r>
      <w:r w:rsidR="0006708B" w:rsidRPr="00496A4D">
        <w:rPr>
          <w:color w:val="000000" w:themeColor="text1"/>
        </w:rPr>
      </w:r>
      <w:r w:rsidR="0006708B" w:rsidRPr="00496A4D">
        <w:rPr>
          <w:color w:val="000000" w:themeColor="text1"/>
        </w:rPr>
        <w:fldChar w:fldCharType="separate"/>
      </w:r>
      <w:r w:rsidR="00507A67">
        <w:rPr>
          <w:color w:val="000000" w:themeColor="text1"/>
        </w:rPr>
        <w:t>Annex G</w:t>
      </w:r>
      <w:r w:rsidR="0006708B" w:rsidRPr="00496A4D">
        <w:rPr>
          <w:color w:val="000000" w:themeColor="text1"/>
        </w:rPr>
        <w:fldChar w:fldCharType="end"/>
      </w:r>
      <w:r w:rsidR="008B3599" w:rsidRPr="00A52AB8">
        <w:rPr>
          <w:color w:val="000000" w:themeColor="text1"/>
        </w:rPr>
        <w:t>,</w:t>
      </w:r>
      <w:r w:rsidRPr="00A52AB8">
        <w:rPr>
          <w:color w:val="000000" w:themeColor="text1"/>
        </w:rPr>
        <w:t xml:space="preserve"> is present. asps_vui_parameters_present_flag equal to 0 specifies that the vui_parameters(</w:t>
      </w:r>
      <w:r w:rsidR="00BC563F" w:rsidRPr="00A52AB8">
        <w:rPr>
          <w:color w:val="000000" w:themeColor="text1"/>
        </w:rPr>
        <w:t> </w:t>
      </w:r>
      <w:r w:rsidRPr="00A52AB8">
        <w:rPr>
          <w:color w:val="000000" w:themeColor="text1"/>
        </w:rPr>
        <w:t>) syntax structure</w:t>
      </w:r>
      <w:r w:rsidR="008B3599" w:rsidRPr="00A52AB8">
        <w:rPr>
          <w:color w:val="000000" w:themeColor="text1"/>
        </w:rPr>
        <w:t>,</w:t>
      </w:r>
      <w:r w:rsidRPr="00A52AB8">
        <w:rPr>
          <w:color w:val="000000" w:themeColor="text1"/>
        </w:rPr>
        <w:t xml:space="preserve"> as specified in </w:t>
      </w:r>
      <w:r w:rsidR="006215A9" w:rsidRPr="00496A4D">
        <w:rPr>
          <w:color w:val="000000" w:themeColor="text1"/>
        </w:rPr>
        <w:fldChar w:fldCharType="begin"/>
      </w:r>
      <w:r w:rsidR="006215A9" w:rsidRPr="00A52AB8">
        <w:rPr>
          <w:color w:val="000000" w:themeColor="text1"/>
        </w:rPr>
        <w:instrText xml:space="preserve"> REF _Ref21527679 \r \h  \* MERGEFORMAT </w:instrText>
      </w:r>
      <w:r w:rsidR="006215A9" w:rsidRPr="00496A4D">
        <w:rPr>
          <w:color w:val="000000" w:themeColor="text1"/>
        </w:rPr>
      </w:r>
      <w:r w:rsidR="006215A9" w:rsidRPr="00496A4D">
        <w:rPr>
          <w:color w:val="000000" w:themeColor="text1"/>
        </w:rPr>
        <w:fldChar w:fldCharType="separate"/>
      </w:r>
      <w:r w:rsidR="00507A67">
        <w:rPr>
          <w:color w:val="000000" w:themeColor="text1"/>
        </w:rPr>
        <w:t>Annex G</w:t>
      </w:r>
      <w:r w:rsidR="006215A9" w:rsidRPr="00496A4D">
        <w:rPr>
          <w:color w:val="000000" w:themeColor="text1"/>
        </w:rPr>
        <w:fldChar w:fldCharType="end"/>
      </w:r>
      <w:r w:rsidR="008B3599" w:rsidRPr="00A52AB8">
        <w:rPr>
          <w:color w:val="000000" w:themeColor="text1"/>
        </w:rPr>
        <w:t>,</w:t>
      </w:r>
      <w:r w:rsidR="006215A9" w:rsidRPr="00A52AB8">
        <w:rPr>
          <w:color w:val="000000" w:themeColor="text1"/>
        </w:rPr>
        <w:t xml:space="preserve"> </w:t>
      </w:r>
      <w:r w:rsidRPr="00A52AB8">
        <w:rPr>
          <w:color w:val="000000" w:themeColor="text1"/>
        </w:rPr>
        <w:t>is not present.</w:t>
      </w:r>
    </w:p>
    <w:p w14:paraId="717A1AEE" w14:textId="7FB5AAAE" w:rsidR="00A9633C" w:rsidRPr="00A52AB8" w:rsidRDefault="00D20949" w:rsidP="00A9633C">
      <w:pPr>
        <w:rPr>
          <w:color w:val="000000" w:themeColor="text1"/>
        </w:rPr>
      </w:pPr>
      <w:r w:rsidRPr="00A52AB8">
        <w:rPr>
          <w:b/>
          <w:bCs/>
          <w:color w:val="000000" w:themeColor="text1"/>
        </w:rPr>
        <w:t>a</w:t>
      </w:r>
      <w:r w:rsidR="00065641" w:rsidRPr="00A52AB8">
        <w:rPr>
          <w:b/>
        </w:rPr>
        <w:t>sps_</w:t>
      </w:r>
      <w:r w:rsidR="00374BB6" w:rsidRPr="00A52AB8">
        <w:rPr>
          <w:b/>
        </w:rPr>
        <w:t>extension_</w:t>
      </w:r>
      <w:r w:rsidR="00F431FA" w:rsidRPr="00A52AB8">
        <w:rPr>
          <w:b/>
        </w:rPr>
        <w:t>present_</w:t>
      </w:r>
      <w:r w:rsidR="00374BB6" w:rsidRPr="00A52AB8">
        <w:rPr>
          <w:b/>
        </w:rPr>
        <w:t>flag</w:t>
      </w:r>
      <w:r w:rsidR="00065641" w:rsidRPr="00A52AB8">
        <w:rPr>
          <w:color w:val="000000" w:themeColor="text1"/>
        </w:rPr>
        <w:t xml:space="preserve"> </w:t>
      </w:r>
      <w:r w:rsidR="00A9633C" w:rsidRPr="00A52AB8">
        <w:rPr>
          <w:color w:val="000000" w:themeColor="text1"/>
        </w:rPr>
        <w:t>equal to 1 specifies that the syntax element</w:t>
      </w:r>
      <w:r w:rsidR="00C175F4" w:rsidRPr="00A52AB8">
        <w:rPr>
          <w:color w:val="000000" w:themeColor="text1"/>
        </w:rPr>
        <w:t>s</w:t>
      </w:r>
      <w:r w:rsidR="00A9633C" w:rsidRPr="00A52AB8">
        <w:rPr>
          <w:color w:val="000000" w:themeColor="text1"/>
        </w:rPr>
        <w:t xml:space="preserve"> </w:t>
      </w:r>
      <w:r w:rsidR="00D719CF" w:rsidRPr="00A52AB8">
        <w:rPr>
          <w:color w:val="000000" w:themeColor="text1"/>
        </w:rPr>
        <w:t>asps_vpcc_extension_present_flag</w:t>
      </w:r>
      <w:r w:rsidR="004B7172" w:rsidRPr="00A52AB8">
        <w:rPr>
          <w:color w:val="000000" w:themeColor="text1"/>
        </w:rPr>
        <w:t xml:space="preserve"> </w:t>
      </w:r>
      <w:r w:rsidR="00F431FA" w:rsidRPr="00A52AB8">
        <w:rPr>
          <w:color w:val="000000" w:themeColor="text1"/>
        </w:rPr>
        <w:t xml:space="preserve">and </w:t>
      </w:r>
      <w:r w:rsidR="00A9633C" w:rsidRPr="00A52AB8">
        <w:rPr>
          <w:color w:val="000000" w:themeColor="text1"/>
        </w:rPr>
        <w:t>asps_extension_</w:t>
      </w:r>
      <w:r w:rsidR="00A90D0E" w:rsidRPr="00A52AB8">
        <w:rPr>
          <w:color w:val="000000" w:themeColor="text1"/>
        </w:rPr>
        <w:t xml:space="preserve">6bits </w:t>
      </w:r>
      <w:r w:rsidR="00A9633C" w:rsidRPr="00A52AB8">
        <w:rPr>
          <w:color w:val="000000" w:themeColor="text1"/>
        </w:rPr>
        <w:t xml:space="preserve">are present in </w:t>
      </w:r>
      <w:r w:rsidR="00C175F4" w:rsidRPr="00A52AB8">
        <w:rPr>
          <w:color w:val="000000" w:themeColor="text1"/>
        </w:rPr>
        <w:t xml:space="preserve">the </w:t>
      </w:r>
      <w:r w:rsidR="00A9633C" w:rsidRPr="00A52AB8">
        <w:rPr>
          <w:color w:val="000000" w:themeColor="text1"/>
        </w:rPr>
        <w:t xml:space="preserve">atlas_sequence_parameter_set_rbsp syntax structure. asps_extension_present_flag equal to 0 specifies that </w:t>
      </w:r>
      <w:r w:rsidR="00C175F4" w:rsidRPr="00A52AB8">
        <w:rPr>
          <w:color w:val="000000" w:themeColor="text1"/>
        </w:rPr>
        <w:t xml:space="preserve">the </w:t>
      </w:r>
      <w:r w:rsidR="00A9633C" w:rsidRPr="00A52AB8">
        <w:rPr>
          <w:color w:val="000000" w:themeColor="text1"/>
        </w:rPr>
        <w:t xml:space="preserve">syntax elements </w:t>
      </w:r>
      <w:r w:rsidR="00D719CF" w:rsidRPr="00A52AB8">
        <w:rPr>
          <w:color w:val="000000" w:themeColor="text1"/>
        </w:rPr>
        <w:t>asps_vpcc_extension_present_flag</w:t>
      </w:r>
      <w:r w:rsidR="004B7172" w:rsidRPr="00A52AB8">
        <w:rPr>
          <w:color w:val="000000" w:themeColor="text1"/>
        </w:rPr>
        <w:t xml:space="preserve"> </w:t>
      </w:r>
      <w:r w:rsidR="00F431FA" w:rsidRPr="00A52AB8">
        <w:rPr>
          <w:color w:val="000000" w:themeColor="text1"/>
        </w:rPr>
        <w:t xml:space="preserve">and </w:t>
      </w:r>
      <w:r w:rsidR="00A9633C" w:rsidRPr="00A52AB8">
        <w:rPr>
          <w:color w:val="000000" w:themeColor="text1"/>
        </w:rPr>
        <w:t>asps_extension_</w:t>
      </w:r>
      <w:r w:rsidR="00A90D0E" w:rsidRPr="00A52AB8">
        <w:rPr>
          <w:color w:val="000000" w:themeColor="text1"/>
        </w:rPr>
        <w:t xml:space="preserve">6bits </w:t>
      </w:r>
      <w:r w:rsidR="00A9633C" w:rsidRPr="00A52AB8">
        <w:rPr>
          <w:color w:val="000000" w:themeColor="text1"/>
        </w:rPr>
        <w:t>are not present.</w:t>
      </w:r>
    </w:p>
    <w:p w14:paraId="74681E62" w14:textId="61E3896C" w:rsidR="00A9633C" w:rsidRPr="00A52AB8" w:rsidRDefault="00D719CF" w:rsidP="00A9633C">
      <w:pPr>
        <w:rPr>
          <w:color w:val="000000" w:themeColor="text1"/>
        </w:rPr>
      </w:pPr>
      <w:r w:rsidRPr="00A52AB8">
        <w:rPr>
          <w:b/>
          <w:bCs/>
          <w:color w:val="000000" w:themeColor="text1"/>
        </w:rPr>
        <w:t>asps_vpcc_extension_present_flag</w:t>
      </w:r>
      <w:r w:rsidR="00A9633C" w:rsidRPr="00A52AB8">
        <w:rPr>
          <w:color w:val="000000" w:themeColor="text1"/>
        </w:rPr>
        <w:t xml:space="preserve"> equal to 1 specifies that the asps_vpcc_extension(</w:t>
      </w:r>
      <w:r w:rsidR="00BC563F" w:rsidRPr="00A52AB8">
        <w:rPr>
          <w:color w:val="000000" w:themeColor="text1"/>
        </w:rPr>
        <w:t> </w:t>
      </w:r>
      <w:r w:rsidR="00A9633C" w:rsidRPr="00A52AB8">
        <w:rPr>
          <w:color w:val="000000" w:themeColor="text1"/>
        </w:rPr>
        <w:t xml:space="preserve">) syntax structure is present in the atlas_sequence_parameter_set_rbsp syntax structure. </w:t>
      </w:r>
      <w:r w:rsidR="00C175F4" w:rsidRPr="00A52AB8">
        <w:rPr>
          <w:color w:val="000000" w:themeColor="text1"/>
        </w:rPr>
        <w:t>asp</w:t>
      </w:r>
      <w:r w:rsidR="00A308D1" w:rsidRPr="00A52AB8">
        <w:rPr>
          <w:color w:val="000000" w:themeColor="text1"/>
        </w:rPr>
        <w:t>s_vpcc_extension_present_flag</w:t>
      </w:r>
      <w:r w:rsidR="00A9633C" w:rsidRPr="00A52AB8">
        <w:rPr>
          <w:color w:val="000000" w:themeColor="text1"/>
        </w:rPr>
        <w:t xml:space="preserve"> equal to 0 specifies that this syntax structure is not present. When not present, the value of </w:t>
      </w:r>
      <w:r w:rsidRPr="00A52AB8">
        <w:rPr>
          <w:color w:val="000000" w:themeColor="text1"/>
        </w:rPr>
        <w:t>asps_vpcc_extension_present_flag</w:t>
      </w:r>
      <w:r w:rsidR="00A9633C" w:rsidRPr="00A52AB8">
        <w:rPr>
          <w:color w:val="000000" w:themeColor="text1"/>
        </w:rPr>
        <w:t xml:space="preserve"> is inferred to be equal to 0.</w:t>
      </w:r>
    </w:p>
    <w:p w14:paraId="70BD6794" w14:textId="4EEC87BF" w:rsidR="004D52BE" w:rsidRPr="00A52AB8" w:rsidRDefault="004D52BE" w:rsidP="004D52BE">
      <w:pPr>
        <w:rPr>
          <w:color w:val="000000" w:themeColor="text1"/>
        </w:rPr>
      </w:pPr>
      <w:r w:rsidRPr="00A52AB8">
        <w:rPr>
          <w:b/>
          <w:bCs/>
          <w:color w:val="000000" w:themeColor="text1"/>
        </w:rPr>
        <w:t>asps_miv_extension_present_flag</w:t>
      </w:r>
      <w:r w:rsidRPr="00A52AB8">
        <w:rPr>
          <w:color w:val="000000" w:themeColor="text1"/>
        </w:rPr>
        <w:t xml:space="preserve"> equal to 1 specifies that the asps_miv_extension( ) syntax structure is present in the atlas_sequence_parameter_set_rbsp syntax structure. asps_miv_extension_present_flag equal to 0 specifies that this syntax structure is not present. When not present, the value of asps_miv_extension_present_flag is inferred to be equal to 0.</w:t>
      </w:r>
    </w:p>
    <w:p w14:paraId="2358F892" w14:textId="061E806D" w:rsidR="00A20A04" w:rsidRPr="00A52AB8" w:rsidRDefault="00A20A04" w:rsidP="00A9633C">
      <w:pPr>
        <w:rPr>
          <w:color w:val="000000" w:themeColor="text1"/>
        </w:rPr>
      </w:pPr>
      <w:r w:rsidRPr="00A52AB8">
        <w:rPr>
          <w:b/>
          <w:bCs/>
          <w:color w:val="000000" w:themeColor="text1"/>
        </w:rPr>
        <w:t>asps_extension_</w:t>
      </w:r>
      <w:r w:rsidR="00A90D0E" w:rsidRPr="00A52AB8">
        <w:rPr>
          <w:b/>
          <w:bCs/>
          <w:color w:val="000000" w:themeColor="text1"/>
        </w:rPr>
        <w:t xml:space="preserve">6bits </w:t>
      </w:r>
      <w:r w:rsidRPr="00A52AB8">
        <w:rPr>
          <w:color w:val="000000" w:themeColor="text1"/>
        </w:rPr>
        <w:t>equal to 0 specifies that no asps_extension_data_flag syntax elements are present in the ASPS RBSP syntax structure. When present, asps_extension_</w:t>
      </w:r>
      <w:r w:rsidR="00A90D0E" w:rsidRPr="00A52AB8">
        <w:rPr>
          <w:color w:val="000000" w:themeColor="text1"/>
        </w:rPr>
        <w:t xml:space="preserve">6bits </w:t>
      </w:r>
      <w:r w:rsidRPr="00A52AB8">
        <w:rPr>
          <w:color w:val="000000" w:themeColor="text1"/>
        </w:rPr>
        <w:t>shall be equal to 0 in bitstreams conforming to this version of this document. Values of asps_extension_</w:t>
      </w:r>
      <w:r w:rsidR="00A90D0E" w:rsidRPr="00A52AB8">
        <w:rPr>
          <w:color w:val="000000" w:themeColor="text1"/>
        </w:rPr>
        <w:t xml:space="preserve">6bits </w:t>
      </w:r>
      <w:r w:rsidRPr="00A52AB8">
        <w:rPr>
          <w:color w:val="000000" w:themeColor="text1"/>
        </w:rPr>
        <w:t>not equal to 0 are reserved for future use by ISO/IEC. Decoders shall allow the value of asps_extension_</w:t>
      </w:r>
      <w:r w:rsidR="00A90D0E" w:rsidRPr="00A52AB8">
        <w:rPr>
          <w:color w:val="000000" w:themeColor="text1"/>
        </w:rPr>
        <w:t xml:space="preserve">6bits </w:t>
      </w:r>
      <w:r w:rsidRPr="00A52AB8">
        <w:rPr>
          <w:color w:val="000000" w:themeColor="text1"/>
        </w:rPr>
        <w:t xml:space="preserve">to </w:t>
      </w:r>
      <w:r w:rsidR="003C1362" w:rsidRPr="00A52AB8">
        <w:rPr>
          <w:color w:val="000000" w:themeColor="text1"/>
        </w:rPr>
        <w:t xml:space="preserve">be </w:t>
      </w:r>
      <w:r w:rsidR="008B3599" w:rsidRPr="00A52AB8">
        <w:rPr>
          <w:color w:val="000000" w:themeColor="text1"/>
        </w:rPr>
        <w:t xml:space="preserve">not equal to </w:t>
      </w:r>
      <w:r w:rsidRPr="00A52AB8">
        <w:rPr>
          <w:color w:val="000000" w:themeColor="text1"/>
        </w:rPr>
        <w:t>0 and shall ignore all asps_extension_data_flag syntax elements in an ASPS NAL unit. When not present, the value of asps_extension_</w:t>
      </w:r>
      <w:r w:rsidR="00A90D0E" w:rsidRPr="00A52AB8">
        <w:rPr>
          <w:color w:val="000000" w:themeColor="text1"/>
        </w:rPr>
        <w:t xml:space="preserve">6bits </w:t>
      </w:r>
      <w:r w:rsidRPr="00A52AB8">
        <w:rPr>
          <w:color w:val="000000" w:themeColor="text1"/>
        </w:rPr>
        <w:t>is inferred to be equal to 0.</w:t>
      </w:r>
    </w:p>
    <w:p w14:paraId="795780E4" w14:textId="77777777" w:rsidR="0050235C" w:rsidRPr="00A52AB8" w:rsidRDefault="00065641">
      <w:pPr>
        <w:rPr>
          <w:color w:val="000000" w:themeColor="text1"/>
        </w:rPr>
      </w:pPr>
      <w:r w:rsidRPr="00A52AB8">
        <w:rPr>
          <w:b/>
        </w:rPr>
        <w:t>asps_extension_data_flag</w:t>
      </w:r>
      <w:r w:rsidRPr="00A52AB8">
        <w:rPr>
          <w:color w:val="000000" w:themeColor="text1"/>
        </w:rPr>
        <w:t xml:space="preserve"> may have any value. Its presence and value do not affect decoder conformance to profiles specified in this version of this document. Decoders conforming to this version of this document shall ignore all asps_extension_data_flag syntax elements.</w:t>
      </w:r>
    </w:p>
    <w:p w14:paraId="746E7F44" w14:textId="575BD717" w:rsidR="00841807" w:rsidRPr="00A52AB8" w:rsidRDefault="00841807" w:rsidP="001000BF">
      <w:pPr>
        <w:pStyle w:val="Heading5"/>
      </w:pPr>
      <w:bookmarkStart w:id="1145" w:name="_Ref49199500"/>
      <w:r w:rsidRPr="00A52AB8">
        <w:t>Point local reconstruction information semantics</w:t>
      </w:r>
      <w:bookmarkEnd w:id="1145"/>
    </w:p>
    <w:p w14:paraId="4E15582D" w14:textId="77777777" w:rsidR="00CF3759" w:rsidRPr="00A52AB8" w:rsidRDefault="00CF3759">
      <w:pPr>
        <w:rPr>
          <w:rFonts w:cs="Arial"/>
        </w:rPr>
      </w:pPr>
      <w:r w:rsidRPr="00A52AB8">
        <w:rPr>
          <w:rFonts w:cs="Arial"/>
          <w:b/>
          <w:bCs/>
        </w:rPr>
        <w:t>plri_map</w:t>
      </w:r>
      <w:r w:rsidR="00D375CC" w:rsidRPr="00A52AB8">
        <w:rPr>
          <w:rFonts w:cs="Arial"/>
          <w:b/>
          <w:bCs/>
        </w:rPr>
        <w:t>_present</w:t>
      </w:r>
      <w:r w:rsidRPr="00A52AB8">
        <w:rPr>
          <w:rFonts w:cs="Arial"/>
          <w:b/>
          <w:bCs/>
        </w:rPr>
        <w:t>_flag</w:t>
      </w:r>
      <w:r w:rsidR="001F4484" w:rsidRPr="00A52AB8">
        <w:rPr>
          <w:rFonts w:cs="Arial"/>
        </w:rPr>
        <w:t>[ i ]</w:t>
      </w:r>
      <w:r w:rsidRPr="00A52AB8">
        <w:rPr>
          <w:rFonts w:cs="Arial"/>
        </w:rPr>
        <w:t xml:space="preserve"> equal to </w:t>
      </w:r>
      <w:r w:rsidRPr="00A52AB8">
        <w:rPr>
          <w:color w:val="000000" w:themeColor="text1"/>
        </w:rPr>
        <w:t>1 indicates that point local reconstruction mode information is present in the bitstream for the map of index i of the current atlas. plri_map</w:t>
      </w:r>
      <w:r w:rsidR="00D375CC" w:rsidRPr="00A52AB8">
        <w:rPr>
          <w:color w:val="000000" w:themeColor="text1"/>
        </w:rPr>
        <w:t>_present</w:t>
      </w:r>
      <w:r w:rsidRPr="00A52AB8">
        <w:rPr>
          <w:color w:val="000000" w:themeColor="text1"/>
        </w:rPr>
        <w:t>_flag</w:t>
      </w:r>
      <w:r w:rsidR="004F4DB9" w:rsidRPr="00A52AB8">
        <w:rPr>
          <w:color w:val="000000" w:themeColor="text1"/>
        </w:rPr>
        <w:t>[ i ]</w:t>
      </w:r>
      <w:r w:rsidRPr="00A52AB8">
        <w:rPr>
          <w:color w:val="000000" w:themeColor="text1"/>
        </w:rPr>
        <w:t xml:space="preserve"> equal to 0 indicates that no information related to the point local reconstruction mode is present in the bitstream for the map of index i of the current atlas</w:t>
      </w:r>
      <w:r w:rsidRPr="00A52AB8">
        <w:rPr>
          <w:rFonts w:cs="Arial"/>
        </w:rPr>
        <w:t>.</w:t>
      </w:r>
    </w:p>
    <w:p w14:paraId="23E49595" w14:textId="77777777" w:rsidR="00841807" w:rsidRPr="00A52AB8" w:rsidRDefault="00841807">
      <w:pPr>
        <w:rPr>
          <w:color w:val="000000" w:themeColor="text1"/>
        </w:rPr>
      </w:pPr>
      <w:r w:rsidRPr="00A52AB8">
        <w:rPr>
          <w:b/>
          <w:color w:val="000000" w:themeColor="text1"/>
        </w:rPr>
        <w:t>plri_number_of_modes_minus1</w:t>
      </w:r>
      <w:r w:rsidR="00984B80" w:rsidRPr="00A52AB8">
        <w:rPr>
          <w:bCs/>
          <w:color w:val="000000" w:themeColor="text1"/>
        </w:rPr>
        <w:t>[ </w:t>
      </w:r>
      <w:r w:rsidR="00A5463A" w:rsidRPr="00A52AB8">
        <w:rPr>
          <w:bCs/>
          <w:color w:val="000000" w:themeColor="text1"/>
        </w:rPr>
        <w:t>i </w:t>
      </w:r>
      <w:r w:rsidR="00984B80" w:rsidRPr="00A52AB8">
        <w:rPr>
          <w:bCs/>
          <w:color w:val="000000" w:themeColor="text1"/>
        </w:rPr>
        <w:t>]</w:t>
      </w:r>
      <w:r w:rsidRPr="00A52AB8">
        <w:rPr>
          <w:color w:val="000000" w:themeColor="text1"/>
        </w:rPr>
        <w:t xml:space="preserve"> plus 1 indicates the number of reconstruction modes </w:t>
      </w:r>
      <w:r w:rsidR="000B5A60" w:rsidRPr="00A52AB8">
        <w:rPr>
          <w:color w:val="000000" w:themeColor="text1"/>
        </w:rPr>
        <w:t xml:space="preserve">specified for the point local reconstruction process associated with </w:t>
      </w:r>
      <w:r w:rsidR="00984B80" w:rsidRPr="00A52AB8">
        <w:rPr>
          <w:color w:val="000000" w:themeColor="text1"/>
        </w:rPr>
        <w:t xml:space="preserve">the map of index </w:t>
      </w:r>
      <w:r w:rsidR="00A5463A" w:rsidRPr="00A52AB8">
        <w:rPr>
          <w:color w:val="000000" w:themeColor="text1"/>
        </w:rPr>
        <w:t xml:space="preserve">i </w:t>
      </w:r>
      <w:r w:rsidR="00984B80" w:rsidRPr="00A52AB8">
        <w:rPr>
          <w:color w:val="000000" w:themeColor="text1"/>
        </w:rPr>
        <w:t>of the current atlas</w:t>
      </w:r>
      <w:r w:rsidRPr="00A52AB8">
        <w:rPr>
          <w:color w:val="000000" w:themeColor="text1"/>
        </w:rPr>
        <w:t xml:space="preserve">. The </w:t>
      </w:r>
      <w:r w:rsidR="00984B80" w:rsidRPr="00A52AB8">
        <w:rPr>
          <w:color w:val="000000" w:themeColor="text1"/>
        </w:rPr>
        <w:t>value of plri_number_of_modes_minus1[ </w:t>
      </w:r>
      <w:r w:rsidR="00A5463A" w:rsidRPr="00A52AB8">
        <w:rPr>
          <w:color w:val="000000" w:themeColor="text1"/>
        </w:rPr>
        <w:t>i </w:t>
      </w:r>
      <w:r w:rsidR="00984B80" w:rsidRPr="00A52AB8">
        <w:rPr>
          <w:color w:val="000000" w:themeColor="text1"/>
        </w:rPr>
        <w:t>]</w:t>
      </w:r>
      <w:r w:rsidR="0061363A" w:rsidRPr="00A52AB8">
        <w:rPr>
          <w:color w:val="000000" w:themeColor="text1"/>
        </w:rPr>
        <w:t xml:space="preserve"> </w:t>
      </w:r>
      <w:r w:rsidRPr="00A52AB8">
        <w:rPr>
          <w:color w:val="000000" w:themeColor="text1"/>
        </w:rPr>
        <w:t xml:space="preserve">shall be in the range of </w:t>
      </w:r>
      <w:r w:rsidR="008C12D7" w:rsidRPr="00A52AB8">
        <w:rPr>
          <w:color w:val="000000" w:themeColor="text1"/>
        </w:rPr>
        <w:t>0</w:t>
      </w:r>
      <w:r w:rsidRPr="00A52AB8">
        <w:rPr>
          <w:color w:val="000000" w:themeColor="text1"/>
        </w:rPr>
        <w:t xml:space="preserve"> to 1</w:t>
      </w:r>
      <w:r w:rsidR="008C12D7" w:rsidRPr="00A52AB8">
        <w:rPr>
          <w:color w:val="000000" w:themeColor="text1"/>
        </w:rPr>
        <w:t>5</w:t>
      </w:r>
      <w:r w:rsidRPr="00A52AB8">
        <w:rPr>
          <w:color w:val="000000" w:themeColor="text1"/>
        </w:rPr>
        <w:t>, inclusive.</w:t>
      </w:r>
    </w:p>
    <w:p w14:paraId="134B49CD" w14:textId="77777777" w:rsidR="00841807" w:rsidRPr="00A52AB8" w:rsidRDefault="00841807">
      <w:pPr>
        <w:rPr>
          <w:color w:val="000000" w:themeColor="text1"/>
          <w:lang w:eastAsia="ja-JP"/>
        </w:rPr>
      </w:pPr>
      <w:r w:rsidRPr="00A52AB8">
        <w:rPr>
          <w:b/>
          <w:color w:val="000000" w:themeColor="text1"/>
          <w:lang w:eastAsia="ja-JP"/>
        </w:rPr>
        <w:t>plri_interpolate_flag</w:t>
      </w:r>
      <w:r w:rsidR="00984B80" w:rsidRPr="00A52AB8">
        <w:rPr>
          <w:bCs/>
          <w:color w:val="000000" w:themeColor="text1"/>
        </w:rPr>
        <w:t>[ </w:t>
      </w:r>
      <w:r w:rsidR="00A5463A" w:rsidRPr="00A52AB8">
        <w:rPr>
          <w:bCs/>
          <w:color w:val="000000" w:themeColor="text1"/>
        </w:rPr>
        <w:t>i </w:t>
      </w:r>
      <w:r w:rsidR="00984B80" w:rsidRPr="00A52AB8">
        <w:rPr>
          <w:bCs/>
          <w:color w:val="000000" w:themeColor="text1"/>
        </w:rPr>
        <w:t>]</w:t>
      </w:r>
      <w:r w:rsidR="001F4484" w:rsidRPr="00A52AB8">
        <w:rPr>
          <w:bCs/>
          <w:color w:val="000000" w:themeColor="text1"/>
        </w:rPr>
        <w:t>[ j ]</w:t>
      </w:r>
      <w:r w:rsidRPr="00A52AB8">
        <w:rPr>
          <w:b/>
          <w:color w:val="000000" w:themeColor="text1"/>
          <w:lang w:eastAsia="ja-JP"/>
        </w:rPr>
        <w:t xml:space="preserve"> </w:t>
      </w:r>
      <w:r w:rsidRPr="00A52AB8">
        <w:rPr>
          <w:color w:val="000000" w:themeColor="text1"/>
          <w:lang w:eastAsia="ja-JP"/>
        </w:rPr>
        <w:t xml:space="preserve">equal to 1 indicates that point interpolation for the </w:t>
      </w:r>
      <w:r w:rsidR="00984B80" w:rsidRPr="00A52AB8">
        <w:rPr>
          <w:color w:val="000000" w:themeColor="text1"/>
          <w:lang w:eastAsia="ja-JP"/>
        </w:rPr>
        <w:t xml:space="preserve">map of index </w:t>
      </w:r>
      <w:r w:rsidR="00A5463A" w:rsidRPr="00A52AB8">
        <w:rPr>
          <w:color w:val="000000" w:themeColor="text1"/>
          <w:lang w:eastAsia="ja-JP"/>
        </w:rPr>
        <w:t xml:space="preserve">i </w:t>
      </w:r>
      <w:r w:rsidR="00984B80" w:rsidRPr="00A52AB8">
        <w:rPr>
          <w:color w:val="000000" w:themeColor="text1"/>
          <w:lang w:eastAsia="ja-JP"/>
        </w:rPr>
        <w:t xml:space="preserve">of the </w:t>
      </w:r>
      <w:r w:rsidRPr="00A52AB8">
        <w:rPr>
          <w:color w:val="000000" w:themeColor="text1"/>
          <w:lang w:eastAsia="ja-JP"/>
        </w:rPr>
        <w:t xml:space="preserve">current atlas may be used for point local reconstruction mode </w:t>
      </w:r>
      <w:r w:rsidR="00984B80" w:rsidRPr="00A52AB8">
        <w:rPr>
          <w:color w:val="000000" w:themeColor="text1"/>
          <w:lang w:eastAsia="ja-JP"/>
        </w:rPr>
        <w:t>j</w:t>
      </w:r>
      <w:r w:rsidRPr="00A52AB8">
        <w:rPr>
          <w:color w:val="000000" w:themeColor="text1"/>
          <w:lang w:eastAsia="ja-JP"/>
        </w:rPr>
        <w:t>. plri_interpolate_flag</w:t>
      </w:r>
      <w:r w:rsidR="00984B80" w:rsidRPr="00A52AB8">
        <w:rPr>
          <w:bCs/>
          <w:color w:val="000000" w:themeColor="text1"/>
        </w:rPr>
        <w:t>[ </w:t>
      </w:r>
      <w:r w:rsidR="00A5463A" w:rsidRPr="00A52AB8">
        <w:rPr>
          <w:bCs/>
          <w:color w:val="000000" w:themeColor="text1"/>
        </w:rPr>
        <w:t>i </w:t>
      </w:r>
      <w:r w:rsidR="00984B80" w:rsidRPr="00A52AB8">
        <w:rPr>
          <w:bCs/>
          <w:color w:val="000000" w:themeColor="text1"/>
        </w:rPr>
        <w:t>]</w:t>
      </w:r>
      <w:r w:rsidR="001F4484" w:rsidRPr="00A52AB8">
        <w:rPr>
          <w:bCs/>
          <w:color w:val="000000" w:themeColor="text1"/>
        </w:rPr>
        <w:t>[ j ]</w:t>
      </w:r>
      <w:r w:rsidR="00984B80" w:rsidRPr="00A52AB8">
        <w:rPr>
          <w:b/>
          <w:color w:val="000000" w:themeColor="text1"/>
          <w:lang w:eastAsia="ja-JP"/>
        </w:rPr>
        <w:t xml:space="preserve"> </w:t>
      </w:r>
      <w:r w:rsidRPr="00A52AB8">
        <w:rPr>
          <w:color w:val="000000" w:themeColor="text1"/>
          <w:lang w:eastAsia="ja-JP"/>
        </w:rPr>
        <w:t xml:space="preserve">equal to 0 indicates that no point interpolation for the </w:t>
      </w:r>
      <w:r w:rsidR="00984B80" w:rsidRPr="00A52AB8">
        <w:rPr>
          <w:color w:val="000000" w:themeColor="text1"/>
          <w:lang w:eastAsia="ja-JP"/>
        </w:rPr>
        <w:t xml:space="preserve">map of index </w:t>
      </w:r>
      <w:r w:rsidR="00A5463A" w:rsidRPr="00A52AB8">
        <w:rPr>
          <w:color w:val="000000" w:themeColor="text1"/>
          <w:lang w:eastAsia="ja-JP"/>
        </w:rPr>
        <w:t xml:space="preserve">i </w:t>
      </w:r>
      <w:r w:rsidR="00984B80" w:rsidRPr="00A52AB8">
        <w:rPr>
          <w:color w:val="000000" w:themeColor="text1"/>
          <w:lang w:eastAsia="ja-JP"/>
        </w:rPr>
        <w:t xml:space="preserve">of the </w:t>
      </w:r>
      <w:r w:rsidRPr="00A52AB8">
        <w:rPr>
          <w:color w:val="000000" w:themeColor="text1"/>
          <w:lang w:eastAsia="ja-JP"/>
        </w:rPr>
        <w:t xml:space="preserve">current atlas </w:t>
      </w:r>
      <w:r w:rsidR="00984B80" w:rsidRPr="00A52AB8">
        <w:rPr>
          <w:color w:val="000000" w:themeColor="text1"/>
          <w:lang w:eastAsia="ja-JP"/>
        </w:rPr>
        <w:t>is</w:t>
      </w:r>
      <w:r w:rsidRPr="00A52AB8">
        <w:rPr>
          <w:color w:val="000000" w:themeColor="text1"/>
          <w:lang w:eastAsia="ja-JP"/>
        </w:rPr>
        <w:t xml:space="preserve"> used for point local reconstruction mode </w:t>
      </w:r>
      <w:r w:rsidR="00984B80" w:rsidRPr="00A52AB8">
        <w:rPr>
          <w:color w:val="000000" w:themeColor="text1"/>
          <w:lang w:eastAsia="ja-JP"/>
        </w:rPr>
        <w:t>j</w:t>
      </w:r>
      <w:r w:rsidRPr="00A52AB8">
        <w:rPr>
          <w:color w:val="000000" w:themeColor="text1"/>
          <w:lang w:eastAsia="ja-JP"/>
        </w:rPr>
        <w:t>.</w:t>
      </w:r>
    </w:p>
    <w:p w14:paraId="4A5AFAB0" w14:textId="77777777" w:rsidR="00841807" w:rsidRPr="00A52AB8" w:rsidRDefault="00841807">
      <w:pPr>
        <w:rPr>
          <w:color w:val="000000" w:themeColor="text1"/>
          <w:lang w:eastAsia="ja-JP"/>
        </w:rPr>
      </w:pPr>
      <w:r w:rsidRPr="00A52AB8">
        <w:rPr>
          <w:b/>
          <w:color w:val="000000" w:themeColor="text1"/>
          <w:lang w:eastAsia="ja-JP"/>
        </w:rPr>
        <w:t>plri_filling_flag</w:t>
      </w:r>
      <w:r w:rsidR="00984B80" w:rsidRPr="00A52AB8">
        <w:rPr>
          <w:bCs/>
          <w:color w:val="000000" w:themeColor="text1"/>
        </w:rPr>
        <w:t>[ </w:t>
      </w:r>
      <w:r w:rsidR="00A5463A" w:rsidRPr="00A52AB8">
        <w:rPr>
          <w:bCs/>
          <w:color w:val="000000" w:themeColor="text1"/>
        </w:rPr>
        <w:t>i </w:t>
      </w:r>
      <w:r w:rsidR="00984B80" w:rsidRPr="00A52AB8">
        <w:rPr>
          <w:bCs/>
          <w:color w:val="000000" w:themeColor="text1"/>
        </w:rPr>
        <w:t>]</w:t>
      </w:r>
      <w:r w:rsidR="001F4484" w:rsidRPr="00A52AB8">
        <w:rPr>
          <w:bCs/>
          <w:color w:val="000000" w:themeColor="text1"/>
        </w:rPr>
        <w:t>[ j ]</w:t>
      </w:r>
      <w:r w:rsidR="00984B80" w:rsidRPr="00A52AB8">
        <w:rPr>
          <w:bCs/>
          <w:color w:val="000000" w:themeColor="text1"/>
        </w:rPr>
        <w:t xml:space="preserve"> </w:t>
      </w:r>
      <w:r w:rsidRPr="00A52AB8">
        <w:rPr>
          <w:color w:val="000000" w:themeColor="text1"/>
          <w:lang w:eastAsia="ja-JP"/>
        </w:rPr>
        <w:t xml:space="preserve">equal to 1 indicates that filling for </w:t>
      </w:r>
      <w:r w:rsidR="00252572" w:rsidRPr="00A52AB8">
        <w:rPr>
          <w:color w:val="000000" w:themeColor="text1"/>
          <w:lang w:eastAsia="ja-JP"/>
        </w:rPr>
        <w:t xml:space="preserve">the map of index </w:t>
      </w:r>
      <w:r w:rsidR="00A5463A" w:rsidRPr="00A52AB8">
        <w:rPr>
          <w:color w:val="000000" w:themeColor="text1"/>
          <w:lang w:eastAsia="ja-JP"/>
        </w:rPr>
        <w:t xml:space="preserve">i </w:t>
      </w:r>
      <w:r w:rsidR="00252572" w:rsidRPr="00A52AB8">
        <w:rPr>
          <w:color w:val="000000" w:themeColor="text1"/>
          <w:lang w:eastAsia="ja-JP"/>
        </w:rPr>
        <w:t xml:space="preserve">of </w:t>
      </w:r>
      <w:r w:rsidRPr="00A52AB8">
        <w:rPr>
          <w:color w:val="000000" w:themeColor="text1"/>
          <w:lang w:eastAsia="ja-JP"/>
        </w:rPr>
        <w:t xml:space="preserve">the current atlas may be used for </w:t>
      </w:r>
      <w:r w:rsidRPr="00A52AB8">
        <w:rPr>
          <w:color w:val="000000" w:themeColor="text1"/>
        </w:rPr>
        <w:t xml:space="preserve">point local </w:t>
      </w:r>
      <w:r w:rsidRPr="00A52AB8">
        <w:rPr>
          <w:color w:val="000000" w:themeColor="text1"/>
          <w:lang w:eastAsia="ja-JP"/>
        </w:rPr>
        <w:t xml:space="preserve">reconstruction mode </w:t>
      </w:r>
      <w:r w:rsidR="00252572" w:rsidRPr="00A52AB8">
        <w:rPr>
          <w:color w:val="000000" w:themeColor="text1"/>
          <w:lang w:eastAsia="ja-JP"/>
        </w:rPr>
        <w:t>j</w:t>
      </w:r>
      <w:r w:rsidRPr="00A52AB8">
        <w:rPr>
          <w:color w:val="000000" w:themeColor="text1"/>
          <w:lang w:eastAsia="ja-JP"/>
        </w:rPr>
        <w:t>. plri_filling_flag</w:t>
      </w:r>
      <w:r w:rsidR="00252572" w:rsidRPr="00A52AB8">
        <w:rPr>
          <w:bCs/>
          <w:color w:val="000000" w:themeColor="text1"/>
        </w:rPr>
        <w:t>[ </w:t>
      </w:r>
      <w:r w:rsidR="00A5463A" w:rsidRPr="00A52AB8">
        <w:rPr>
          <w:bCs/>
          <w:color w:val="000000" w:themeColor="text1"/>
        </w:rPr>
        <w:t>i </w:t>
      </w:r>
      <w:r w:rsidR="00252572" w:rsidRPr="00A52AB8">
        <w:rPr>
          <w:bCs/>
          <w:color w:val="000000" w:themeColor="text1"/>
        </w:rPr>
        <w:t>]</w:t>
      </w:r>
      <w:r w:rsidR="001F4484" w:rsidRPr="00A52AB8">
        <w:rPr>
          <w:color w:val="000000" w:themeColor="text1"/>
          <w:lang w:eastAsia="ja-JP"/>
        </w:rPr>
        <w:t>[ j ]</w:t>
      </w:r>
      <w:r w:rsidRPr="00A52AB8">
        <w:rPr>
          <w:color w:val="000000" w:themeColor="text1"/>
          <w:lang w:eastAsia="ja-JP"/>
        </w:rPr>
        <w:t xml:space="preserve"> equal to 0 indicates that no filling for </w:t>
      </w:r>
      <w:r w:rsidR="00252572" w:rsidRPr="00A52AB8">
        <w:rPr>
          <w:color w:val="000000" w:themeColor="text1"/>
          <w:lang w:eastAsia="ja-JP"/>
        </w:rPr>
        <w:t xml:space="preserve">the map of index </w:t>
      </w:r>
      <w:r w:rsidR="00A5463A" w:rsidRPr="00A52AB8">
        <w:rPr>
          <w:color w:val="000000" w:themeColor="text1"/>
          <w:lang w:eastAsia="ja-JP"/>
        </w:rPr>
        <w:t xml:space="preserve">i </w:t>
      </w:r>
      <w:r w:rsidR="00252572" w:rsidRPr="00A52AB8">
        <w:rPr>
          <w:color w:val="000000" w:themeColor="text1"/>
          <w:lang w:eastAsia="ja-JP"/>
        </w:rPr>
        <w:t xml:space="preserve">of </w:t>
      </w:r>
      <w:r w:rsidRPr="00A52AB8">
        <w:rPr>
          <w:color w:val="000000" w:themeColor="text1"/>
          <w:lang w:eastAsia="ja-JP"/>
        </w:rPr>
        <w:t xml:space="preserve">the current atlas </w:t>
      </w:r>
      <w:r w:rsidR="00252572" w:rsidRPr="00A52AB8">
        <w:rPr>
          <w:color w:val="000000" w:themeColor="text1"/>
          <w:lang w:eastAsia="ja-JP"/>
        </w:rPr>
        <w:t>is</w:t>
      </w:r>
      <w:r w:rsidRPr="00A52AB8">
        <w:rPr>
          <w:color w:val="000000" w:themeColor="text1"/>
          <w:lang w:eastAsia="ja-JP"/>
        </w:rPr>
        <w:t xml:space="preserve"> used for </w:t>
      </w:r>
      <w:r w:rsidRPr="00A52AB8">
        <w:rPr>
          <w:color w:val="000000" w:themeColor="text1"/>
        </w:rPr>
        <w:t xml:space="preserve">point local </w:t>
      </w:r>
      <w:r w:rsidRPr="00A52AB8">
        <w:rPr>
          <w:color w:val="000000" w:themeColor="text1"/>
          <w:lang w:eastAsia="ja-JP"/>
        </w:rPr>
        <w:t xml:space="preserve">reconstruction mode </w:t>
      </w:r>
      <w:r w:rsidR="00252572" w:rsidRPr="00A52AB8">
        <w:rPr>
          <w:color w:val="000000" w:themeColor="text1"/>
          <w:lang w:eastAsia="ja-JP"/>
        </w:rPr>
        <w:t>j</w:t>
      </w:r>
      <w:r w:rsidRPr="00A52AB8">
        <w:rPr>
          <w:color w:val="000000" w:themeColor="text1"/>
          <w:lang w:eastAsia="ja-JP"/>
        </w:rPr>
        <w:t>.</w:t>
      </w:r>
    </w:p>
    <w:p w14:paraId="1F501B24" w14:textId="77777777" w:rsidR="00841807" w:rsidRPr="00A52AB8" w:rsidRDefault="00841807">
      <w:pPr>
        <w:rPr>
          <w:color w:val="000000" w:themeColor="text1"/>
        </w:rPr>
      </w:pPr>
      <w:r w:rsidRPr="00A52AB8">
        <w:rPr>
          <w:b/>
          <w:color w:val="000000" w:themeColor="text1"/>
        </w:rPr>
        <w:t>plri_minimum_depth</w:t>
      </w:r>
      <w:r w:rsidR="00984B80" w:rsidRPr="00A52AB8">
        <w:rPr>
          <w:bCs/>
          <w:color w:val="000000" w:themeColor="text1"/>
        </w:rPr>
        <w:t>[ </w:t>
      </w:r>
      <w:r w:rsidR="00A5463A" w:rsidRPr="00A52AB8">
        <w:rPr>
          <w:bCs/>
          <w:color w:val="000000" w:themeColor="text1"/>
        </w:rPr>
        <w:t>i </w:t>
      </w:r>
      <w:r w:rsidR="00984B80" w:rsidRPr="00A52AB8">
        <w:rPr>
          <w:bCs/>
          <w:color w:val="000000" w:themeColor="text1"/>
        </w:rPr>
        <w:t>]</w:t>
      </w:r>
      <w:r w:rsidR="001F4484" w:rsidRPr="00A52AB8">
        <w:rPr>
          <w:bCs/>
          <w:color w:val="000000" w:themeColor="text1"/>
        </w:rPr>
        <w:t>[ j ]</w:t>
      </w:r>
      <w:r w:rsidRPr="00A52AB8">
        <w:rPr>
          <w:color w:val="000000" w:themeColor="text1"/>
        </w:rPr>
        <w:t xml:space="preserve"> spe</w:t>
      </w:r>
      <w:r w:rsidR="00252572" w:rsidRPr="00A52AB8">
        <w:rPr>
          <w:color w:val="000000" w:themeColor="text1"/>
        </w:rPr>
        <w:t>cif</w:t>
      </w:r>
      <w:r w:rsidRPr="00A52AB8">
        <w:rPr>
          <w:color w:val="000000" w:themeColor="text1"/>
        </w:rPr>
        <w:t xml:space="preserve">ies the value of the minimum depth parameter of the point local reconstruction mode </w:t>
      </w:r>
      <w:r w:rsidR="00252572" w:rsidRPr="00A52AB8">
        <w:rPr>
          <w:color w:val="000000" w:themeColor="text1"/>
        </w:rPr>
        <w:t>j</w:t>
      </w:r>
      <w:r w:rsidRPr="00A52AB8">
        <w:rPr>
          <w:color w:val="000000" w:themeColor="text1"/>
          <w:lang w:eastAsia="ja-JP"/>
        </w:rPr>
        <w:t xml:space="preserve"> for </w:t>
      </w:r>
      <w:r w:rsidR="00252572" w:rsidRPr="00A52AB8">
        <w:rPr>
          <w:color w:val="000000" w:themeColor="text1"/>
          <w:lang w:eastAsia="ja-JP"/>
        </w:rPr>
        <w:t xml:space="preserve">the map of index </w:t>
      </w:r>
      <w:r w:rsidR="00A5463A" w:rsidRPr="00A52AB8">
        <w:rPr>
          <w:color w:val="000000" w:themeColor="text1"/>
          <w:lang w:eastAsia="ja-JP"/>
        </w:rPr>
        <w:t xml:space="preserve">i </w:t>
      </w:r>
      <w:r w:rsidR="00252572" w:rsidRPr="00A52AB8">
        <w:rPr>
          <w:color w:val="000000" w:themeColor="text1"/>
          <w:lang w:eastAsia="ja-JP"/>
        </w:rPr>
        <w:t xml:space="preserve">of </w:t>
      </w:r>
      <w:r w:rsidRPr="00A52AB8">
        <w:rPr>
          <w:color w:val="000000" w:themeColor="text1"/>
          <w:lang w:eastAsia="ja-JP"/>
        </w:rPr>
        <w:t>the current atlas</w:t>
      </w:r>
      <w:r w:rsidRPr="00A52AB8">
        <w:rPr>
          <w:color w:val="000000" w:themeColor="text1"/>
        </w:rPr>
        <w:t>. plri_minimum_depth</w:t>
      </w:r>
      <w:r w:rsidR="00252572" w:rsidRPr="00A52AB8">
        <w:rPr>
          <w:bCs/>
          <w:color w:val="000000" w:themeColor="text1"/>
        </w:rPr>
        <w:t>[ </w:t>
      </w:r>
      <w:r w:rsidR="00A5463A" w:rsidRPr="00A52AB8">
        <w:rPr>
          <w:bCs/>
          <w:color w:val="000000" w:themeColor="text1"/>
        </w:rPr>
        <w:t>i </w:t>
      </w:r>
      <w:r w:rsidR="00252572" w:rsidRPr="00A52AB8">
        <w:rPr>
          <w:bCs/>
          <w:color w:val="000000" w:themeColor="text1"/>
        </w:rPr>
        <w:t>]</w:t>
      </w:r>
      <w:r w:rsidR="001F4484" w:rsidRPr="00A52AB8">
        <w:rPr>
          <w:bCs/>
          <w:color w:val="000000" w:themeColor="text1"/>
        </w:rPr>
        <w:t>[ j ]</w:t>
      </w:r>
      <w:r w:rsidRPr="00A52AB8">
        <w:rPr>
          <w:color w:val="000000" w:themeColor="text1"/>
        </w:rPr>
        <w:t xml:space="preserve"> shall be in the range of 0 to 3, inclusive.</w:t>
      </w:r>
    </w:p>
    <w:p w14:paraId="5F2DE874" w14:textId="4A11D2CE" w:rsidR="00984B80" w:rsidRPr="00A52AB8" w:rsidRDefault="00841807">
      <w:pPr>
        <w:rPr>
          <w:color w:val="000000" w:themeColor="text1"/>
        </w:rPr>
      </w:pPr>
      <w:r w:rsidRPr="00A52AB8">
        <w:rPr>
          <w:b/>
          <w:color w:val="000000" w:themeColor="text1"/>
          <w:lang w:eastAsia="ja-JP"/>
        </w:rPr>
        <w:t>plri_neighbour_minus1</w:t>
      </w:r>
      <w:r w:rsidR="00984B80" w:rsidRPr="00A52AB8">
        <w:rPr>
          <w:bCs/>
          <w:color w:val="000000" w:themeColor="text1"/>
        </w:rPr>
        <w:t>[ </w:t>
      </w:r>
      <w:r w:rsidR="00A5463A" w:rsidRPr="00A52AB8">
        <w:rPr>
          <w:bCs/>
          <w:color w:val="000000" w:themeColor="text1"/>
        </w:rPr>
        <w:t>i </w:t>
      </w:r>
      <w:r w:rsidR="00984B80" w:rsidRPr="00A52AB8">
        <w:rPr>
          <w:bCs/>
          <w:color w:val="000000" w:themeColor="text1"/>
        </w:rPr>
        <w:t>]</w:t>
      </w:r>
      <w:r w:rsidR="001F4484" w:rsidRPr="00A52AB8">
        <w:rPr>
          <w:bCs/>
          <w:color w:val="000000" w:themeColor="text1"/>
        </w:rPr>
        <w:t>[ j ]</w:t>
      </w:r>
      <w:r w:rsidRPr="00A52AB8">
        <w:rPr>
          <w:color w:val="000000" w:themeColor="text1"/>
          <w:lang w:eastAsia="ja-JP"/>
        </w:rPr>
        <w:t xml:space="preserve"> plus 1 spe</w:t>
      </w:r>
      <w:r w:rsidR="00252572" w:rsidRPr="00A52AB8">
        <w:rPr>
          <w:color w:val="000000" w:themeColor="text1"/>
          <w:lang w:eastAsia="ja-JP"/>
        </w:rPr>
        <w:t>c</w:t>
      </w:r>
      <w:r w:rsidRPr="00A52AB8">
        <w:rPr>
          <w:color w:val="000000" w:themeColor="text1"/>
          <w:lang w:eastAsia="ja-JP"/>
        </w:rPr>
        <w:t>i</w:t>
      </w:r>
      <w:r w:rsidR="00252572" w:rsidRPr="00A52AB8">
        <w:rPr>
          <w:color w:val="000000" w:themeColor="text1"/>
          <w:lang w:eastAsia="ja-JP"/>
        </w:rPr>
        <w:t>f</w:t>
      </w:r>
      <w:r w:rsidRPr="00A52AB8">
        <w:rPr>
          <w:color w:val="000000" w:themeColor="text1"/>
          <w:lang w:eastAsia="ja-JP"/>
        </w:rPr>
        <w:t xml:space="preserve">ies the size of the 2D neighbourhood for point local </w:t>
      </w:r>
      <w:r w:rsidR="008B3599" w:rsidRPr="00A52AB8">
        <w:rPr>
          <w:color w:val="000000" w:themeColor="text1"/>
          <w:lang w:eastAsia="ja-JP"/>
        </w:rPr>
        <w:t>re</w:t>
      </w:r>
      <w:r w:rsidRPr="00A52AB8">
        <w:rPr>
          <w:color w:val="000000" w:themeColor="text1"/>
          <w:lang w:eastAsia="ja-JP"/>
        </w:rPr>
        <w:t xml:space="preserve">construction mode </w:t>
      </w:r>
      <w:r w:rsidR="00252572" w:rsidRPr="00A52AB8">
        <w:rPr>
          <w:color w:val="000000" w:themeColor="text1"/>
          <w:lang w:eastAsia="ja-JP"/>
        </w:rPr>
        <w:t>j</w:t>
      </w:r>
      <w:r w:rsidRPr="00A52AB8">
        <w:rPr>
          <w:color w:val="000000" w:themeColor="text1"/>
          <w:lang w:eastAsia="ja-JP"/>
        </w:rPr>
        <w:t xml:space="preserve"> for </w:t>
      </w:r>
      <w:r w:rsidR="00252572" w:rsidRPr="00A52AB8">
        <w:rPr>
          <w:color w:val="000000" w:themeColor="text1"/>
          <w:lang w:eastAsia="ja-JP"/>
        </w:rPr>
        <w:t xml:space="preserve">the map of index </w:t>
      </w:r>
      <w:r w:rsidR="00A5463A" w:rsidRPr="00A52AB8">
        <w:rPr>
          <w:color w:val="000000" w:themeColor="text1"/>
          <w:lang w:eastAsia="ja-JP"/>
        </w:rPr>
        <w:t xml:space="preserve">i </w:t>
      </w:r>
      <w:r w:rsidR="00252572" w:rsidRPr="00A52AB8">
        <w:rPr>
          <w:color w:val="000000" w:themeColor="text1"/>
          <w:lang w:eastAsia="ja-JP"/>
        </w:rPr>
        <w:t xml:space="preserve">of </w:t>
      </w:r>
      <w:r w:rsidRPr="00A52AB8">
        <w:rPr>
          <w:color w:val="000000" w:themeColor="text1"/>
          <w:lang w:eastAsia="ja-JP"/>
        </w:rPr>
        <w:t>the current atlas.</w:t>
      </w:r>
      <w:r w:rsidR="000B5A60" w:rsidRPr="00A52AB8">
        <w:rPr>
          <w:color w:val="000000" w:themeColor="text1"/>
          <w:lang w:eastAsia="ja-JP"/>
        </w:rPr>
        <w:t xml:space="preserve"> </w:t>
      </w:r>
      <w:r w:rsidRPr="00A52AB8">
        <w:rPr>
          <w:color w:val="000000" w:themeColor="text1"/>
          <w:lang w:eastAsia="ja-JP"/>
        </w:rPr>
        <w:t>plri_neighbour_minus1</w:t>
      </w:r>
      <w:r w:rsidR="00252572" w:rsidRPr="00A52AB8">
        <w:rPr>
          <w:bCs/>
          <w:color w:val="000000" w:themeColor="text1"/>
        </w:rPr>
        <w:t>[ </w:t>
      </w:r>
      <w:r w:rsidR="00A5463A" w:rsidRPr="00A52AB8">
        <w:rPr>
          <w:bCs/>
          <w:color w:val="000000" w:themeColor="text1"/>
        </w:rPr>
        <w:t>i </w:t>
      </w:r>
      <w:r w:rsidR="00252572" w:rsidRPr="00A52AB8">
        <w:rPr>
          <w:bCs/>
          <w:color w:val="000000" w:themeColor="text1"/>
        </w:rPr>
        <w:t>]</w:t>
      </w:r>
      <w:r w:rsidR="001F4484" w:rsidRPr="00A52AB8">
        <w:rPr>
          <w:bCs/>
          <w:color w:val="000000" w:themeColor="text1"/>
        </w:rPr>
        <w:t>[ j ]</w:t>
      </w:r>
      <w:r w:rsidR="00252572" w:rsidRPr="00A52AB8">
        <w:rPr>
          <w:color w:val="000000" w:themeColor="text1"/>
          <w:lang w:eastAsia="ja-JP"/>
        </w:rPr>
        <w:t xml:space="preserve"> </w:t>
      </w:r>
      <w:r w:rsidRPr="00A52AB8">
        <w:rPr>
          <w:color w:val="000000" w:themeColor="text1"/>
        </w:rPr>
        <w:t>shall be in the range of 0 to 3, inclusive.</w:t>
      </w:r>
    </w:p>
    <w:p w14:paraId="7F3B82B4" w14:textId="77777777" w:rsidR="00984B80" w:rsidRPr="00A52AB8" w:rsidRDefault="00984B80">
      <w:pPr>
        <w:rPr>
          <w:color w:val="000000" w:themeColor="text1"/>
        </w:rPr>
      </w:pPr>
      <w:r w:rsidRPr="00A52AB8">
        <w:rPr>
          <w:b/>
          <w:color w:val="000000" w:themeColor="text1"/>
          <w:lang w:eastAsia="ja-JP"/>
        </w:rPr>
        <w:t>plri_block_threshold_per_patch_minus1</w:t>
      </w:r>
      <w:r w:rsidRPr="00A52AB8">
        <w:rPr>
          <w:bCs/>
          <w:color w:val="000000" w:themeColor="text1"/>
          <w:lang w:eastAsia="ja-JP"/>
        </w:rPr>
        <w:t>[ </w:t>
      </w:r>
      <w:r w:rsidR="00A5463A" w:rsidRPr="00A52AB8">
        <w:rPr>
          <w:bCs/>
          <w:color w:val="000000" w:themeColor="text1"/>
          <w:lang w:eastAsia="ja-JP"/>
        </w:rPr>
        <w:t>i </w:t>
      </w:r>
      <w:r w:rsidRPr="00A52AB8">
        <w:rPr>
          <w:bCs/>
          <w:color w:val="000000" w:themeColor="text1"/>
          <w:lang w:eastAsia="ja-JP"/>
        </w:rPr>
        <w:t>]</w:t>
      </w:r>
      <w:r w:rsidR="0061363A" w:rsidRPr="00A52AB8">
        <w:rPr>
          <w:bCs/>
          <w:color w:val="000000" w:themeColor="text1"/>
          <w:lang w:eastAsia="ja-JP"/>
        </w:rPr>
        <w:t xml:space="preserve"> plus 1</w:t>
      </w:r>
      <w:r w:rsidR="00F77517" w:rsidRPr="00A52AB8">
        <w:rPr>
          <w:bCs/>
          <w:color w:val="000000" w:themeColor="text1"/>
          <w:lang w:eastAsia="ja-JP"/>
        </w:rPr>
        <w:t xml:space="preserve"> specifies the value representative of the threshold </w:t>
      </w:r>
      <w:r w:rsidR="00E6345D" w:rsidRPr="00A52AB8">
        <w:rPr>
          <w:bCs/>
          <w:color w:val="000000" w:themeColor="text1"/>
          <w:lang w:eastAsia="ja-JP"/>
        </w:rPr>
        <w:t xml:space="preserve">used to </w:t>
      </w:r>
      <w:r w:rsidR="00F77517" w:rsidRPr="00A52AB8">
        <w:rPr>
          <w:bCs/>
          <w:color w:val="000000" w:themeColor="text1"/>
          <w:lang w:eastAsia="ja-JP"/>
        </w:rPr>
        <w:t>defin</w:t>
      </w:r>
      <w:r w:rsidR="00E6345D" w:rsidRPr="00A52AB8">
        <w:rPr>
          <w:bCs/>
          <w:color w:val="000000" w:themeColor="text1"/>
          <w:lang w:eastAsia="ja-JP"/>
        </w:rPr>
        <w:t>e</w:t>
      </w:r>
      <w:r w:rsidR="00F77517" w:rsidRPr="00A52AB8">
        <w:rPr>
          <w:bCs/>
          <w:color w:val="000000" w:themeColor="text1"/>
          <w:lang w:eastAsia="ja-JP"/>
        </w:rPr>
        <w:t xml:space="preserve"> the value</w:t>
      </w:r>
      <w:r w:rsidR="00433EB2" w:rsidRPr="00A52AB8">
        <w:rPr>
          <w:bCs/>
          <w:color w:val="000000" w:themeColor="text1"/>
          <w:lang w:eastAsia="ja-JP"/>
        </w:rPr>
        <w:t>s</w:t>
      </w:r>
      <w:r w:rsidR="00F77517" w:rsidRPr="00A52AB8">
        <w:rPr>
          <w:bCs/>
          <w:color w:val="000000" w:themeColor="text1"/>
          <w:lang w:eastAsia="ja-JP"/>
        </w:rPr>
        <w:t xml:space="preserve"> </w:t>
      </w:r>
      <w:r w:rsidR="00433EB2" w:rsidRPr="00A52AB8">
        <w:rPr>
          <w:bCs/>
          <w:color w:val="000000" w:themeColor="text1"/>
          <w:lang w:eastAsia="ja-JP"/>
        </w:rPr>
        <w:t>contained in the array plrd_level</w:t>
      </w:r>
      <w:r w:rsidR="00F77517" w:rsidRPr="00A52AB8">
        <w:rPr>
          <w:bCs/>
          <w:color w:val="000000" w:themeColor="text1"/>
          <w:lang w:eastAsia="ja-JP"/>
        </w:rPr>
        <w:t>. plri_block_threshold_per_patch_minus1[ </w:t>
      </w:r>
      <w:r w:rsidR="00A5463A" w:rsidRPr="00A52AB8">
        <w:rPr>
          <w:bCs/>
          <w:color w:val="000000" w:themeColor="text1"/>
          <w:lang w:eastAsia="ja-JP"/>
        </w:rPr>
        <w:t>i </w:t>
      </w:r>
      <w:r w:rsidR="00F77517" w:rsidRPr="00A52AB8">
        <w:rPr>
          <w:bCs/>
          <w:color w:val="000000" w:themeColor="text1"/>
          <w:lang w:eastAsia="ja-JP"/>
        </w:rPr>
        <w:t>] shall be in the range of 0 to 63, inclusive.</w:t>
      </w:r>
    </w:p>
    <w:p w14:paraId="2912280E" w14:textId="77777777" w:rsidR="00BE14E1" w:rsidRPr="00A52AB8" w:rsidRDefault="008F0D00" w:rsidP="005C26E9">
      <w:pPr>
        <w:pStyle w:val="Heading4"/>
      </w:pPr>
      <w:bookmarkStart w:id="1146" w:name="_Toc986714"/>
      <w:bookmarkStart w:id="1147" w:name="_Toc1001255"/>
      <w:bookmarkStart w:id="1148" w:name="_Toc1001792"/>
      <w:bookmarkStart w:id="1149" w:name="_Toc1002606"/>
      <w:bookmarkStart w:id="1150" w:name="_Toc1195843"/>
      <w:bookmarkStart w:id="1151" w:name="_Toc1198863"/>
      <w:bookmarkStart w:id="1152" w:name="_Toc1380520"/>
      <w:bookmarkStart w:id="1153" w:name="_Toc1466886"/>
      <w:bookmarkStart w:id="1154" w:name="_Toc1476857"/>
      <w:bookmarkStart w:id="1155" w:name="_Toc1743257"/>
      <w:bookmarkStart w:id="1156" w:name="_Toc1743802"/>
      <w:bookmarkStart w:id="1157" w:name="_Toc986721"/>
      <w:bookmarkStart w:id="1158" w:name="_Toc1001262"/>
      <w:bookmarkStart w:id="1159" w:name="_Toc1001799"/>
      <w:bookmarkStart w:id="1160" w:name="_Toc1002613"/>
      <w:bookmarkStart w:id="1161" w:name="_Toc1195850"/>
      <w:bookmarkStart w:id="1162" w:name="_Toc1198870"/>
      <w:bookmarkStart w:id="1163" w:name="_Toc1380527"/>
      <w:bookmarkStart w:id="1164" w:name="_Toc1466893"/>
      <w:bookmarkStart w:id="1165" w:name="_Toc1476864"/>
      <w:bookmarkStart w:id="1166" w:name="_Toc1743264"/>
      <w:bookmarkStart w:id="1167" w:name="_Toc1743809"/>
      <w:bookmarkStart w:id="1168" w:name="_Toc986723"/>
      <w:bookmarkStart w:id="1169" w:name="_Toc1001264"/>
      <w:bookmarkStart w:id="1170" w:name="_Toc1001801"/>
      <w:bookmarkStart w:id="1171" w:name="_Toc1002615"/>
      <w:bookmarkStart w:id="1172" w:name="_Toc1195852"/>
      <w:bookmarkStart w:id="1173" w:name="_Toc1198872"/>
      <w:bookmarkStart w:id="1174" w:name="_Toc1380529"/>
      <w:bookmarkStart w:id="1175" w:name="_Toc1466895"/>
      <w:bookmarkStart w:id="1176" w:name="_Toc1476866"/>
      <w:bookmarkStart w:id="1177" w:name="_Toc1743266"/>
      <w:bookmarkStart w:id="1178" w:name="_Toc1743811"/>
      <w:bookmarkStart w:id="1179" w:name="_Ref38315450"/>
      <w:bookmarkStart w:id="1180" w:name="_Toc529871417"/>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r w:rsidRPr="00A52AB8">
        <w:t>Atlas frame</w:t>
      </w:r>
      <w:r w:rsidR="00BE14E1" w:rsidRPr="00A52AB8">
        <w:t xml:space="preserve"> parameter set </w:t>
      </w:r>
      <w:r w:rsidR="005C2989" w:rsidRPr="00A52AB8">
        <w:t xml:space="preserve">RBSP </w:t>
      </w:r>
      <w:r w:rsidR="00BE14E1" w:rsidRPr="00A52AB8">
        <w:t>semantics</w:t>
      </w:r>
      <w:bookmarkEnd w:id="1179"/>
    </w:p>
    <w:p w14:paraId="389773E2" w14:textId="77777777" w:rsidR="00BF1A6C" w:rsidRPr="00A52AB8" w:rsidRDefault="00BF1A6C" w:rsidP="001000BF">
      <w:pPr>
        <w:pStyle w:val="Heading5"/>
      </w:pPr>
      <w:r w:rsidRPr="00A52AB8">
        <w:t>General atlas frame parameter set RBSP semantics</w:t>
      </w:r>
    </w:p>
    <w:p w14:paraId="0FD99591" w14:textId="77777777" w:rsidR="0050235C" w:rsidRPr="00A52AB8" w:rsidRDefault="008F0D00">
      <w:pPr>
        <w:rPr>
          <w:bCs/>
          <w:color w:val="000000" w:themeColor="text1"/>
        </w:rPr>
      </w:pPr>
      <w:r w:rsidRPr="00A52AB8">
        <w:rPr>
          <w:b/>
          <w:lang w:eastAsia="ja-JP"/>
        </w:rPr>
        <w:t>afps_</w:t>
      </w:r>
      <w:r w:rsidR="00DD23CD" w:rsidRPr="00A52AB8">
        <w:rPr>
          <w:b/>
          <w:lang w:eastAsia="ja-JP"/>
        </w:rPr>
        <w:t>atlas_frame</w:t>
      </w:r>
      <w:r w:rsidR="00F2713E" w:rsidRPr="00A52AB8">
        <w:rPr>
          <w:b/>
          <w:lang w:eastAsia="ja-JP"/>
        </w:rPr>
        <w:t>_parameter_set_id</w:t>
      </w:r>
      <w:r w:rsidR="00F2713E" w:rsidRPr="00A52AB8">
        <w:rPr>
          <w:b/>
          <w:bCs/>
          <w:color w:val="000000" w:themeColor="text1"/>
        </w:rPr>
        <w:t xml:space="preserve"> </w:t>
      </w:r>
      <w:r w:rsidR="00F2713E" w:rsidRPr="00A52AB8">
        <w:rPr>
          <w:bCs/>
          <w:color w:val="000000" w:themeColor="text1"/>
        </w:rPr>
        <w:t xml:space="preserve">identifies the </w:t>
      </w:r>
      <w:r w:rsidRPr="00A52AB8">
        <w:rPr>
          <w:bCs/>
          <w:color w:val="000000" w:themeColor="text1"/>
        </w:rPr>
        <w:t>atlas frame</w:t>
      </w:r>
      <w:r w:rsidR="00F2713E" w:rsidRPr="00A52AB8">
        <w:rPr>
          <w:bCs/>
          <w:color w:val="000000" w:themeColor="text1"/>
        </w:rPr>
        <w:t xml:space="preserve"> parameter set for reference by other syntax elements.</w:t>
      </w:r>
    </w:p>
    <w:p w14:paraId="52E21B49" w14:textId="77777777" w:rsidR="0050235C" w:rsidRPr="00A52AB8" w:rsidRDefault="008F0D00">
      <w:pPr>
        <w:rPr>
          <w:color w:val="000000" w:themeColor="text1"/>
        </w:rPr>
      </w:pPr>
      <w:r w:rsidRPr="00A52AB8">
        <w:rPr>
          <w:b/>
          <w:bCs/>
          <w:color w:val="000000" w:themeColor="text1"/>
        </w:rPr>
        <w:t>afps_</w:t>
      </w:r>
      <w:r w:rsidR="00175BB0" w:rsidRPr="00A52AB8">
        <w:rPr>
          <w:b/>
          <w:bCs/>
          <w:color w:val="000000" w:themeColor="text1"/>
        </w:rPr>
        <w:t>atlas_sequence</w:t>
      </w:r>
      <w:r w:rsidR="00F2713E" w:rsidRPr="00A52AB8">
        <w:rPr>
          <w:b/>
          <w:bCs/>
          <w:color w:val="000000" w:themeColor="text1"/>
        </w:rPr>
        <w:t>_parameter_set_id</w:t>
      </w:r>
      <w:r w:rsidR="00F2713E" w:rsidRPr="00A52AB8">
        <w:rPr>
          <w:bCs/>
          <w:color w:val="000000" w:themeColor="text1"/>
        </w:rPr>
        <w:t xml:space="preserve"> </w:t>
      </w:r>
      <w:r w:rsidR="00F2713E" w:rsidRPr="00A52AB8">
        <w:rPr>
          <w:color w:val="000000" w:themeColor="text1"/>
        </w:rPr>
        <w:t xml:space="preserve">specifies the value of </w:t>
      </w:r>
      <w:r w:rsidR="00EB723C" w:rsidRPr="00A52AB8">
        <w:rPr>
          <w:color w:val="000000" w:themeColor="text1"/>
        </w:rPr>
        <w:t>asps_</w:t>
      </w:r>
      <w:r w:rsidR="00175BB0" w:rsidRPr="00A52AB8">
        <w:rPr>
          <w:color w:val="000000" w:themeColor="text1"/>
        </w:rPr>
        <w:t>atlas_sequence</w:t>
      </w:r>
      <w:r w:rsidR="00F2713E" w:rsidRPr="00A52AB8">
        <w:rPr>
          <w:color w:val="000000" w:themeColor="text1"/>
        </w:rPr>
        <w:t xml:space="preserve">_parameter_set_id for the active </w:t>
      </w:r>
      <w:r w:rsidR="00EB723C" w:rsidRPr="00A52AB8">
        <w:rPr>
          <w:color w:val="000000" w:themeColor="text1"/>
        </w:rPr>
        <w:t>atlas sequence</w:t>
      </w:r>
      <w:r w:rsidR="00F2713E" w:rsidRPr="00A52AB8">
        <w:rPr>
          <w:color w:val="000000" w:themeColor="text1"/>
        </w:rPr>
        <w:t xml:space="preserve"> parameter set.</w:t>
      </w:r>
    </w:p>
    <w:p w14:paraId="007D572C" w14:textId="294B900D" w:rsidR="008B4166" w:rsidRPr="00A52AB8" w:rsidRDefault="008B4166">
      <w:r w:rsidRPr="00A52AB8">
        <w:rPr>
          <w:b/>
          <w:bCs/>
        </w:rPr>
        <w:t xml:space="preserve">afps_output_flag_present_flag </w:t>
      </w:r>
      <w:r w:rsidRPr="00A52AB8">
        <w:t xml:space="preserve">equal to 1 indicates that the </w:t>
      </w:r>
      <w:r w:rsidR="00A62CD5" w:rsidRPr="00A52AB8">
        <w:t>ath_</w:t>
      </w:r>
      <w:r w:rsidR="00534D1F" w:rsidRPr="00A52AB8">
        <w:t>atlas</w:t>
      </w:r>
      <w:r w:rsidRPr="00A52AB8">
        <w:t xml:space="preserve">_output_flag syntax element is present in the associated </w:t>
      </w:r>
      <w:r w:rsidR="00B8075E" w:rsidRPr="00A52AB8">
        <w:t>tile</w:t>
      </w:r>
      <w:r w:rsidRPr="00A52AB8">
        <w:t xml:space="preserve"> headers. afps_output_flag_present_flag equal to 0 indicates that the </w:t>
      </w:r>
      <w:r w:rsidR="00A62CD5" w:rsidRPr="00A52AB8">
        <w:t>ath_</w:t>
      </w:r>
      <w:r w:rsidR="00534D1F" w:rsidRPr="00A52AB8">
        <w:t>atlas</w:t>
      </w:r>
      <w:r w:rsidRPr="00A52AB8">
        <w:t xml:space="preserve">_output_flag syntax element is not present in the associated </w:t>
      </w:r>
      <w:r w:rsidR="00B8075E" w:rsidRPr="00A52AB8">
        <w:t>tile</w:t>
      </w:r>
      <w:r w:rsidRPr="00A52AB8">
        <w:t xml:space="preserve"> headers.</w:t>
      </w:r>
    </w:p>
    <w:p w14:paraId="6385F0A6" w14:textId="77777777" w:rsidR="007C38B4" w:rsidRPr="00A52AB8" w:rsidRDefault="007C38B4">
      <w:r w:rsidRPr="00A52AB8">
        <w:rPr>
          <w:b/>
          <w:bCs/>
        </w:rPr>
        <w:t>afps_num_ref_idx_default_active_minus1</w:t>
      </w:r>
      <w:r w:rsidRPr="00A52AB8">
        <w:rPr>
          <w:bCs/>
        </w:rPr>
        <w:t xml:space="preserve"> plus 1 </w:t>
      </w:r>
      <w:r w:rsidRPr="00A52AB8">
        <w:t xml:space="preserve">specifies the inferred value of the variable NumRefIdxActive for the </w:t>
      </w:r>
      <w:r w:rsidR="00B8075E" w:rsidRPr="00A52AB8">
        <w:t>tile</w:t>
      </w:r>
      <w:r w:rsidRPr="00A52AB8">
        <w:t xml:space="preserve"> with </w:t>
      </w:r>
      <w:r w:rsidR="00A62CD5" w:rsidRPr="00A52AB8">
        <w:t>ath_</w:t>
      </w:r>
      <w:r w:rsidRPr="00A52AB8">
        <w:t xml:space="preserve">num_ref_idx_active_override_flag equal to 0. The value of afps_num_ref_idx_default_active_minus1 shall be in the range of 0 to </w:t>
      </w:r>
      <w:r w:rsidRPr="00A52AB8">
        <w:rPr>
          <w:lang w:eastAsia="ko-KR"/>
        </w:rPr>
        <w:t>14</w:t>
      </w:r>
      <w:r w:rsidRPr="00A52AB8">
        <w:t>, inclusive.</w:t>
      </w:r>
    </w:p>
    <w:p w14:paraId="246DFCF4" w14:textId="77777777" w:rsidR="00652F06" w:rsidRPr="00A52AB8" w:rsidRDefault="008F0D00">
      <w:r w:rsidRPr="00A52AB8">
        <w:rPr>
          <w:b/>
          <w:lang w:eastAsia="ja-JP"/>
        </w:rPr>
        <w:t>afps_</w:t>
      </w:r>
      <w:r w:rsidR="00BE14E1" w:rsidRPr="00A52AB8">
        <w:rPr>
          <w:b/>
          <w:lang w:eastAsia="ja-JP"/>
        </w:rPr>
        <w:t>additional_lt_</w:t>
      </w:r>
      <w:r w:rsidR="00DD23CD" w:rsidRPr="00A52AB8">
        <w:rPr>
          <w:b/>
          <w:lang w:eastAsia="ja-JP"/>
        </w:rPr>
        <w:t>afoc</w:t>
      </w:r>
      <w:r w:rsidR="00BE14E1" w:rsidRPr="00A52AB8">
        <w:rPr>
          <w:b/>
          <w:lang w:eastAsia="ja-JP"/>
        </w:rPr>
        <w:t>_lsb_len</w:t>
      </w:r>
      <w:r w:rsidR="00652F06" w:rsidRPr="00A52AB8">
        <w:t xml:space="preserve"> specifies the value of the variable MaxLt</w:t>
      </w:r>
      <w:r w:rsidR="00EB723C" w:rsidRPr="00A52AB8">
        <w:t>AtlasFrm</w:t>
      </w:r>
      <w:r w:rsidR="00652F06" w:rsidRPr="00A52AB8">
        <w:t xml:space="preserve">OrderCntLsb that is used in the decoding process for reference </w:t>
      </w:r>
      <w:r w:rsidRPr="00A52AB8">
        <w:t>atlas frame</w:t>
      </w:r>
      <w:r w:rsidR="00652F06" w:rsidRPr="00A52AB8">
        <w:t xml:space="preserve"> lists as follows:</w:t>
      </w:r>
    </w:p>
    <w:p w14:paraId="2A8DEA1E" w14:textId="13B84DEE" w:rsidR="00652F06" w:rsidRPr="00A52AB8" w:rsidRDefault="00652F06" w:rsidP="00A252B5">
      <w:r w:rsidRPr="00A52AB8">
        <w:tab/>
        <w:t>MaxLt</w:t>
      </w:r>
      <w:r w:rsidR="00EB723C" w:rsidRPr="00A52AB8">
        <w:t>AtlasFrm</w:t>
      </w:r>
      <w:r w:rsidRPr="00A52AB8">
        <w:t>OrderCntLsb =</w:t>
      </w:r>
      <w:r w:rsidR="00995875" w:rsidRPr="00A52AB8">
        <w:br/>
      </w:r>
      <w:r w:rsidR="00995875" w:rsidRPr="00A52AB8">
        <w:tab/>
      </w:r>
      <w:r w:rsidR="00995875" w:rsidRPr="00A52AB8">
        <w:tab/>
      </w:r>
      <w:r w:rsidR="00084C78" w:rsidRPr="00A52AB8">
        <w:tab/>
      </w:r>
      <w:r w:rsidR="00084C78" w:rsidRPr="00A52AB8">
        <w:tab/>
      </w:r>
      <w:r w:rsidRPr="00A52AB8">
        <w:t>2</w:t>
      </w:r>
      <w:r w:rsidR="004F4DB9" w:rsidRPr="00A52AB8">
        <w:t> * </w:t>
      </w:r>
      <w:r w:rsidRPr="00A52AB8">
        <w:t>( </w:t>
      </w:r>
      <w:r w:rsidR="00905202" w:rsidRPr="00A52AB8">
        <w:t>Log2MaxAtlasFrmOrderCntLsb</w:t>
      </w:r>
      <w:r w:rsidRPr="00A52AB8">
        <w:t> + </w:t>
      </w:r>
      <w:r w:rsidR="008F0D00" w:rsidRPr="00A52AB8">
        <w:t>afps_</w:t>
      </w:r>
      <w:r w:rsidRPr="00A52AB8">
        <w:t>additional_lt_</w:t>
      </w:r>
      <w:r w:rsidR="00DD23CD" w:rsidRPr="00A52AB8">
        <w:t>afoc</w:t>
      </w:r>
      <w:r w:rsidRPr="00A52AB8">
        <w:t>_lsb_len)</w:t>
      </w:r>
      <w:r w:rsidR="00F65604" w:rsidRPr="00A52AB8">
        <w:tab/>
      </w:r>
      <w:r w:rsidRPr="00A52AB8">
        <w:t>(</w:t>
      </w:r>
      <w:r w:rsidRPr="00496A4D">
        <w:fldChar w:fldCharType="begin"/>
      </w:r>
      <w:r w:rsidRPr="00A52AB8">
        <w:instrText xml:space="preserve"> SEQ Equation \* ARABIC \</w:instrText>
      </w:r>
      <w:r w:rsidR="00646520" w:rsidRPr="00A52AB8">
        <w:instrText>n</w:instrText>
      </w:r>
      <w:r w:rsidRPr="00A52AB8">
        <w:instrText xml:space="preserve"> </w:instrText>
      </w:r>
      <w:r w:rsidRPr="00496A4D">
        <w:fldChar w:fldCharType="separate"/>
      </w:r>
      <w:r w:rsidR="00507A67">
        <w:rPr>
          <w:noProof/>
        </w:rPr>
        <w:t>20</w:t>
      </w:r>
      <w:r w:rsidRPr="00496A4D">
        <w:fldChar w:fldCharType="end"/>
      </w:r>
      <w:r w:rsidRPr="00A52AB8">
        <w:t>)</w:t>
      </w:r>
    </w:p>
    <w:p w14:paraId="253641CC" w14:textId="29985804" w:rsidR="0050235C" w:rsidRPr="00A52AB8" w:rsidRDefault="00652F06">
      <w:r w:rsidRPr="00A52AB8">
        <w:t xml:space="preserve">The value of </w:t>
      </w:r>
      <w:r w:rsidR="008F0D00" w:rsidRPr="00A52AB8">
        <w:rPr>
          <w:lang w:eastAsia="ja-JP"/>
        </w:rPr>
        <w:t>afps_</w:t>
      </w:r>
      <w:r w:rsidR="004076BA" w:rsidRPr="00A52AB8">
        <w:rPr>
          <w:lang w:eastAsia="ja-JP"/>
        </w:rPr>
        <w:t>additional_lt_</w:t>
      </w:r>
      <w:r w:rsidR="00DD23CD" w:rsidRPr="00A52AB8">
        <w:rPr>
          <w:lang w:eastAsia="ja-JP"/>
        </w:rPr>
        <w:t>afoc</w:t>
      </w:r>
      <w:r w:rsidR="004076BA" w:rsidRPr="00A52AB8">
        <w:rPr>
          <w:lang w:eastAsia="ja-JP"/>
        </w:rPr>
        <w:t>_lsb_len</w:t>
      </w:r>
      <w:r w:rsidR="004076BA" w:rsidRPr="00A52AB8">
        <w:t xml:space="preserve"> </w:t>
      </w:r>
      <w:r w:rsidRPr="00A52AB8">
        <w:t xml:space="preserve">shall be in the range of 0 to </w:t>
      </w:r>
      <w:r w:rsidR="00905202" w:rsidRPr="00A52AB8">
        <w:t>32</w:t>
      </w:r>
      <w:r w:rsidR="004F4DB9" w:rsidRPr="00A52AB8">
        <w:t> </w:t>
      </w:r>
      <w:r w:rsidR="004076BA" w:rsidRPr="00A52AB8">
        <w:t>–</w:t>
      </w:r>
      <w:r w:rsidRPr="00A52AB8">
        <w:t> </w:t>
      </w:r>
      <w:r w:rsidR="00905202" w:rsidRPr="00A52AB8">
        <w:t>Log2MaxAtlasFrmOrderCntLsb</w:t>
      </w:r>
      <w:r w:rsidRPr="00A52AB8">
        <w:t>, inclusive.</w:t>
      </w:r>
    </w:p>
    <w:p w14:paraId="2DBD42FD" w14:textId="77777777" w:rsidR="0050235C" w:rsidRPr="00A52AB8" w:rsidRDefault="00652F06">
      <w:r w:rsidRPr="00A52AB8">
        <w:t xml:space="preserve">When </w:t>
      </w:r>
      <w:r w:rsidR="00EB723C" w:rsidRPr="00A52AB8">
        <w:t>asps_</w:t>
      </w:r>
      <w:r w:rsidRPr="00A52AB8">
        <w:t>long_term_ref_</w:t>
      </w:r>
      <w:r w:rsidR="00DD23CD" w:rsidRPr="00A52AB8">
        <w:t>atlas_frame</w:t>
      </w:r>
      <w:r w:rsidR="004076BA" w:rsidRPr="00A52AB8">
        <w:t>s</w:t>
      </w:r>
      <w:r w:rsidRPr="00A52AB8">
        <w:t xml:space="preserve">_flag is equal to 0, the value of </w:t>
      </w:r>
      <w:r w:rsidR="008F0D00" w:rsidRPr="00A52AB8">
        <w:rPr>
          <w:lang w:eastAsia="ja-JP"/>
        </w:rPr>
        <w:t>afps_</w:t>
      </w:r>
      <w:r w:rsidR="004076BA" w:rsidRPr="00A52AB8">
        <w:rPr>
          <w:lang w:eastAsia="ja-JP"/>
        </w:rPr>
        <w:t>additional_lt_</w:t>
      </w:r>
      <w:r w:rsidR="00DD23CD" w:rsidRPr="00A52AB8">
        <w:rPr>
          <w:lang w:eastAsia="ja-JP"/>
        </w:rPr>
        <w:t>afoc</w:t>
      </w:r>
      <w:r w:rsidR="004076BA" w:rsidRPr="00A52AB8">
        <w:rPr>
          <w:lang w:eastAsia="ja-JP"/>
        </w:rPr>
        <w:t>_lsb_len</w:t>
      </w:r>
      <w:r w:rsidR="004076BA" w:rsidRPr="00A52AB8">
        <w:t xml:space="preserve"> </w:t>
      </w:r>
      <w:r w:rsidRPr="00A52AB8">
        <w:t>shall be equal to 0.</w:t>
      </w:r>
    </w:p>
    <w:p w14:paraId="5EB4728B" w14:textId="2D86F6F8" w:rsidR="007C38B4" w:rsidRPr="00A52AB8" w:rsidRDefault="00E3571F">
      <w:pPr>
        <w:rPr>
          <w:color w:val="000000" w:themeColor="text1"/>
        </w:rPr>
      </w:pPr>
      <w:r w:rsidRPr="00A52AB8">
        <w:rPr>
          <w:b/>
        </w:rPr>
        <w:t xml:space="preserve">afps_lod_mode_enabled_flag </w:t>
      </w:r>
      <w:r w:rsidRPr="00A52AB8">
        <w:rPr>
          <w:bCs/>
        </w:rPr>
        <w:t>equal to 1 indicates that the LOD parameters may be present in a patch. afps_lod_mode_enabled_flag equal to 0 indicates that the LOD parameters shall not be present in a patch.</w:t>
      </w:r>
    </w:p>
    <w:p w14:paraId="4B9B363B" w14:textId="5B0C1922" w:rsidR="007C38B4" w:rsidRPr="00A52AB8" w:rsidRDefault="00A37102">
      <w:pPr>
        <w:rPr>
          <w:color w:val="000000" w:themeColor="text1"/>
        </w:rPr>
      </w:pPr>
      <w:r w:rsidRPr="00A52AB8">
        <w:rPr>
          <w:b/>
        </w:rPr>
        <w:t>afps_raw_</w:t>
      </w:r>
      <w:r w:rsidR="00424FD2" w:rsidRPr="00A52AB8">
        <w:rPr>
          <w:b/>
        </w:rPr>
        <w:t>3d_offset_</w:t>
      </w:r>
      <w:r w:rsidRPr="00A52AB8">
        <w:rPr>
          <w:b/>
        </w:rPr>
        <w:t>bit_count_explicit_mode_flag</w:t>
      </w:r>
      <w:r w:rsidRPr="00A52AB8" w:rsidDel="00A37102">
        <w:rPr>
          <w:b/>
        </w:rPr>
        <w:t xml:space="preserve"> </w:t>
      </w:r>
      <w:r w:rsidR="007C38B4" w:rsidRPr="00A52AB8">
        <w:rPr>
          <w:color w:val="000000" w:themeColor="text1"/>
        </w:rPr>
        <w:t xml:space="preserve">equal to 1 indicates that the </w:t>
      </w:r>
      <w:r w:rsidR="00C27CBA" w:rsidRPr="00A52AB8">
        <w:rPr>
          <w:color w:val="000000" w:themeColor="text1"/>
        </w:rPr>
        <w:t xml:space="preserve">number of bits in the fixed-length representation of </w:t>
      </w:r>
      <w:r w:rsidR="007C38B4" w:rsidRPr="00A52AB8">
        <w:rPr>
          <w:color w:val="000000" w:themeColor="text1"/>
        </w:rPr>
        <w:t>r</w:t>
      </w:r>
      <w:r w:rsidR="007356C4" w:rsidRPr="00A52AB8">
        <w:rPr>
          <w:color w:val="000000" w:themeColor="text1"/>
        </w:rPr>
        <w:t>pdu_3d_offset_u</w:t>
      </w:r>
      <w:r w:rsidR="004F4DB9" w:rsidRPr="00A52AB8">
        <w:rPr>
          <w:lang w:eastAsia="ja-JP"/>
        </w:rPr>
        <w:t>[ tileID ]</w:t>
      </w:r>
      <w:r w:rsidR="004F4DB9" w:rsidRPr="00A52AB8">
        <w:rPr>
          <w:bCs/>
          <w:color w:val="000000" w:themeColor="text1"/>
        </w:rPr>
        <w:t>[ p ]</w:t>
      </w:r>
      <w:r w:rsidR="007C38B4" w:rsidRPr="00A52AB8">
        <w:rPr>
          <w:color w:val="000000" w:themeColor="text1"/>
        </w:rPr>
        <w:t>, r</w:t>
      </w:r>
      <w:r w:rsidR="007356C4" w:rsidRPr="00A52AB8">
        <w:rPr>
          <w:color w:val="000000" w:themeColor="text1"/>
        </w:rPr>
        <w:t>pdu_3d_offset_v</w:t>
      </w:r>
      <w:r w:rsidR="004F4DB9" w:rsidRPr="00A52AB8">
        <w:rPr>
          <w:lang w:eastAsia="ja-JP"/>
        </w:rPr>
        <w:t>[ tileID ]</w:t>
      </w:r>
      <w:r w:rsidR="004F4DB9" w:rsidRPr="00A52AB8">
        <w:rPr>
          <w:bCs/>
          <w:color w:val="000000" w:themeColor="text1"/>
        </w:rPr>
        <w:t>[ p ]</w:t>
      </w:r>
      <w:r w:rsidR="007C38B4" w:rsidRPr="00A52AB8">
        <w:rPr>
          <w:color w:val="000000" w:themeColor="text1"/>
        </w:rPr>
        <w:t>, and r</w:t>
      </w:r>
      <w:r w:rsidR="007356C4" w:rsidRPr="00A52AB8">
        <w:rPr>
          <w:color w:val="000000" w:themeColor="text1"/>
        </w:rPr>
        <w:t>pdu_3d_offset_d</w:t>
      </w:r>
      <w:r w:rsidR="004F4DB9" w:rsidRPr="00A52AB8">
        <w:rPr>
          <w:lang w:eastAsia="ja-JP"/>
        </w:rPr>
        <w:t>[ tileID ]</w:t>
      </w:r>
      <w:r w:rsidR="004F4DB9" w:rsidRPr="00A52AB8">
        <w:rPr>
          <w:bCs/>
          <w:color w:val="000000" w:themeColor="text1"/>
        </w:rPr>
        <w:t>[ p ]</w:t>
      </w:r>
      <w:r w:rsidR="007C38B4" w:rsidRPr="00A52AB8">
        <w:rPr>
          <w:color w:val="000000" w:themeColor="text1"/>
        </w:rPr>
        <w:t xml:space="preserve"> </w:t>
      </w:r>
      <w:r w:rsidR="004F4DB9" w:rsidRPr="00A52AB8">
        <w:rPr>
          <w:bCs/>
          <w:color w:val="000000" w:themeColor="text1"/>
        </w:rPr>
        <w:t>for a patch with index p in a tile with tile ID equal to tileID,</w:t>
      </w:r>
      <w:r w:rsidR="004F4DB9" w:rsidRPr="00A52AB8">
        <w:rPr>
          <w:color w:val="000000" w:themeColor="text1"/>
        </w:rPr>
        <w:t xml:space="preserve"> </w:t>
      </w:r>
      <w:r w:rsidR="007C38B4" w:rsidRPr="00A52AB8">
        <w:rPr>
          <w:color w:val="000000" w:themeColor="text1"/>
        </w:rPr>
        <w:t>is explicitly coded</w:t>
      </w:r>
      <w:r w:rsidR="00C27CBA" w:rsidRPr="00A52AB8">
        <w:rPr>
          <w:color w:val="000000" w:themeColor="text1"/>
        </w:rPr>
        <w:t xml:space="preserve"> by </w:t>
      </w:r>
      <w:r w:rsidR="00A62CD5" w:rsidRPr="00A52AB8">
        <w:rPr>
          <w:color w:val="000000" w:themeColor="text1"/>
        </w:rPr>
        <w:t>ath_</w:t>
      </w:r>
      <w:r w:rsidR="00C27CBA" w:rsidRPr="00A52AB8">
        <w:rPr>
          <w:color w:val="000000" w:themeColor="text1"/>
        </w:rPr>
        <w:t>raw_</w:t>
      </w:r>
      <w:r w:rsidR="00424FD2" w:rsidRPr="00A52AB8">
        <w:rPr>
          <w:color w:val="000000" w:themeColor="text1"/>
        </w:rPr>
        <w:t>3d_offset_</w:t>
      </w:r>
      <w:r w:rsidR="00C27CBA" w:rsidRPr="00A52AB8">
        <w:rPr>
          <w:color w:val="000000" w:themeColor="text1"/>
        </w:rPr>
        <w:t>axis_bit_count_minus1 in</w:t>
      </w:r>
      <w:r w:rsidR="007C38B4" w:rsidRPr="00A52AB8">
        <w:rPr>
          <w:color w:val="000000" w:themeColor="text1"/>
        </w:rPr>
        <w:t xml:space="preserve"> </w:t>
      </w:r>
      <w:r w:rsidR="00C27CBA" w:rsidRPr="00A52AB8">
        <w:rPr>
          <w:color w:val="000000" w:themeColor="text1"/>
        </w:rPr>
        <w:t>the</w:t>
      </w:r>
      <w:r w:rsidR="007C38B4" w:rsidRPr="00A52AB8">
        <w:rPr>
          <w:color w:val="000000" w:themeColor="text1"/>
        </w:rPr>
        <w:t xml:space="preserve"> atlas </w:t>
      </w:r>
      <w:r w:rsidR="00B8075E" w:rsidRPr="00A52AB8">
        <w:rPr>
          <w:color w:val="000000" w:themeColor="text1"/>
        </w:rPr>
        <w:t>tile</w:t>
      </w:r>
      <w:r w:rsidR="007C38B4" w:rsidRPr="00A52AB8">
        <w:rPr>
          <w:color w:val="000000" w:themeColor="text1"/>
        </w:rPr>
        <w:t xml:space="preserve"> header that refers to afps_atlas_frame_parameter_set_id. </w:t>
      </w:r>
      <w:r w:rsidRPr="00A52AB8">
        <w:rPr>
          <w:color w:val="000000" w:themeColor="text1"/>
        </w:rPr>
        <w:t>afps_raw_</w:t>
      </w:r>
      <w:r w:rsidR="00424FD2" w:rsidRPr="00A52AB8">
        <w:rPr>
          <w:color w:val="000000" w:themeColor="text1"/>
        </w:rPr>
        <w:t>3d_offset_</w:t>
      </w:r>
      <w:r w:rsidRPr="00A52AB8">
        <w:rPr>
          <w:color w:val="000000" w:themeColor="text1"/>
        </w:rPr>
        <w:t>bit_count_explicit_mode_flag</w:t>
      </w:r>
      <w:r w:rsidRPr="00A52AB8" w:rsidDel="00A37102">
        <w:rPr>
          <w:color w:val="000000" w:themeColor="text1"/>
        </w:rPr>
        <w:t xml:space="preserve"> </w:t>
      </w:r>
      <w:r w:rsidR="007C38B4" w:rsidRPr="00A52AB8">
        <w:rPr>
          <w:color w:val="000000" w:themeColor="text1"/>
        </w:rPr>
        <w:t xml:space="preserve">equal to 0 indicates </w:t>
      </w:r>
      <w:r w:rsidR="003C1362" w:rsidRPr="00A52AB8">
        <w:rPr>
          <w:color w:val="000000" w:themeColor="text1"/>
        </w:rPr>
        <w:t xml:space="preserve">that </w:t>
      </w:r>
      <w:r w:rsidR="00C27CBA" w:rsidRPr="00A52AB8">
        <w:rPr>
          <w:color w:val="000000" w:themeColor="text1"/>
        </w:rPr>
        <w:t xml:space="preserve">the value of </w:t>
      </w:r>
      <w:r w:rsidR="00A62CD5" w:rsidRPr="00A52AB8">
        <w:rPr>
          <w:bCs/>
        </w:rPr>
        <w:t>ath_</w:t>
      </w:r>
      <w:r w:rsidR="00C27CBA" w:rsidRPr="00A52AB8">
        <w:rPr>
          <w:bCs/>
        </w:rPr>
        <w:t>raw_</w:t>
      </w:r>
      <w:r w:rsidR="00424FD2" w:rsidRPr="00A52AB8">
        <w:rPr>
          <w:bCs/>
        </w:rPr>
        <w:t>3d_offset_</w:t>
      </w:r>
      <w:r w:rsidR="00C27CBA" w:rsidRPr="00A52AB8">
        <w:rPr>
          <w:bCs/>
        </w:rPr>
        <w:t>axis_bit_count_minus1</w:t>
      </w:r>
      <w:r w:rsidR="00C27CBA" w:rsidRPr="00A52AB8">
        <w:rPr>
          <w:color w:val="000000" w:themeColor="text1"/>
        </w:rPr>
        <w:t xml:space="preserve"> is implicitly derived.</w:t>
      </w:r>
    </w:p>
    <w:p w14:paraId="658C0FAE" w14:textId="77777777" w:rsidR="0050235C" w:rsidRPr="00A52AB8" w:rsidRDefault="00F346A4" w:rsidP="003A27FF">
      <w:pPr>
        <w:rPr>
          <w:color w:val="000000" w:themeColor="text1"/>
        </w:rPr>
      </w:pPr>
      <w:r w:rsidRPr="00A52AB8">
        <w:rPr>
          <w:b/>
        </w:rPr>
        <w:t>afps_</w:t>
      </w:r>
      <w:r w:rsidR="00374BB6" w:rsidRPr="00A52AB8">
        <w:rPr>
          <w:b/>
        </w:rPr>
        <w:t>extension_</w:t>
      </w:r>
      <w:r w:rsidR="00F431FA" w:rsidRPr="00A52AB8">
        <w:rPr>
          <w:b/>
        </w:rPr>
        <w:t>present_</w:t>
      </w:r>
      <w:r w:rsidR="00374BB6" w:rsidRPr="00A52AB8">
        <w:rPr>
          <w:b/>
        </w:rPr>
        <w:t>flag</w:t>
      </w:r>
      <w:r w:rsidR="007617B3" w:rsidRPr="00A52AB8">
        <w:rPr>
          <w:color w:val="000000" w:themeColor="text1"/>
        </w:rPr>
        <w:t xml:space="preserve"> </w:t>
      </w:r>
      <w:r w:rsidR="003A27FF" w:rsidRPr="00A52AB8">
        <w:rPr>
          <w:color w:val="000000" w:themeColor="text1"/>
        </w:rPr>
        <w:t>equal to 1 specifies that the syntax element afps_extension_</w:t>
      </w:r>
      <w:r w:rsidR="004B7172" w:rsidRPr="00A52AB8">
        <w:rPr>
          <w:color w:val="000000" w:themeColor="text1"/>
        </w:rPr>
        <w:t>8</w:t>
      </w:r>
      <w:r w:rsidR="003A27FF" w:rsidRPr="00A52AB8">
        <w:rPr>
          <w:color w:val="000000" w:themeColor="text1"/>
        </w:rPr>
        <w:t xml:space="preserve">bits </w:t>
      </w:r>
      <w:r w:rsidR="004B7172" w:rsidRPr="00A52AB8">
        <w:rPr>
          <w:color w:val="000000" w:themeColor="text1"/>
        </w:rPr>
        <w:t xml:space="preserve">is </w:t>
      </w:r>
      <w:r w:rsidR="003A27FF" w:rsidRPr="00A52AB8">
        <w:rPr>
          <w:color w:val="000000" w:themeColor="text1"/>
        </w:rPr>
        <w:t xml:space="preserve">present in </w:t>
      </w:r>
      <w:r w:rsidR="00181DA5" w:rsidRPr="00A52AB8">
        <w:rPr>
          <w:color w:val="000000" w:themeColor="text1"/>
        </w:rPr>
        <w:t xml:space="preserve">the </w:t>
      </w:r>
      <w:r w:rsidR="003A27FF" w:rsidRPr="00A52AB8">
        <w:rPr>
          <w:color w:val="000000" w:themeColor="text1"/>
        </w:rPr>
        <w:t xml:space="preserve">atlas_frame_parameter_set_rbsp syntax structure. afps_extension_present_flag equal to 0 specifies that </w:t>
      </w:r>
      <w:r w:rsidR="004F4DB9" w:rsidRPr="00A52AB8">
        <w:rPr>
          <w:color w:val="000000" w:themeColor="text1"/>
        </w:rPr>
        <w:t xml:space="preserve">the </w:t>
      </w:r>
      <w:r w:rsidR="003A27FF" w:rsidRPr="00A52AB8">
        <w:rPr>
          <w:color w:val="000000" w:themeColor="text1"/>
        </w:rPr>
        <w:t>syntax element afps_extension_</w:t>
      </w:r>
      <w:r w:rsidR="004B7172" w:rsidRPr="00A52AB8">
        <w:rPr>
          <w:color w:val="000000" w:themeColor="text1"/>
        </w:rPr>
        <w:t xml:space="preserve">8bits is </w:t>
      </w:r>
      <w:r w:rsidR="003A27FF" w:rsidRPr="00A52AB8">
        <w:rPr>
          <w:color w:val="000000" w:themeColor="text1"/>
        </w:rPr>
        <w:t>not present.</w:t>
      </w:r>
      <w:r w:rsidR="004B7172" w:rsidRPr="00A52AB8">
        <w:rPr>
          <w:color w:val="000000" w:themeColor="text1"/>
        </w:rPr>
        <w:t xml:space="preserve"> </w:t>
      </w:r>
      <w:r w:rsidR="001B28B8" w:rsidRPr="00A52AB8">
        <w:rPr>
          <w:color w:val="000000" w:themeColor="text1"/>
        </w:rPr>
        <w:t>The value of afps_extension_present_flag shall be 0 i</w:t>
      </w:r>
      <w:r w:rsidR="004B7172" w:rsidRPr="00A52AB8">
        <w:rPr>
          <w:color w:val="000000" w:themeColor="text1"/>
        </w:rPr>
        <w:t>n this version of this document</w:t>
      </w:r>
    </w:p>
    <w:p w14:paraId="414D90D2" w14:textId="328BC881" w:rsidR="00A20A04" w:rsidRPr="00A52AB8" w:rsidRDefault="00A20A04" w:rsidP="00A20A04">
      <w:pPr>
        <w:rPr>
          <w:color w:val="000000" w:themeColor="text1"/>
        </w:rPr>
      </w:pPr>
      <w:r w:rsidRPr="00A52AB8">
        <w:rPr>
          <w:b/>
          <w:bCs/>
          <w:color w:val="000000" w:themeColor="text1"/>
        </w:rPr>
        <w:t xml:space="preserve">afps_extension_8bits </w:t>
      </w:r>
      <w:r w:rsidRPr="00A52AB8">
        <w:rPr>
          <w:color w:val="000000" w:themeColor="text1"/>
        </w:rPr>
        <w:t xml:space="preserve">equal to 0 specifies that no afps_extension_data_flag syntax elements are present in the AFPS RBSP syntax structure. When present, afps_extension_8bits shall be equal to 0 in bitstreams conforming to this version of this document. Values of afps_extension_8bits not equal to 0 are reserved for future use by ISO/IEC. Decoders shall allow the value of afps_extension_8bits to </w:t>
      </w:r>
      <w:r w:rsidR="003C1362" w:rsidRPr="00A52AB8">
        <w:rPr>
          <w:color w:val="000000" w:themeColor="text1"/>
        </w:rPr>
        <w:t>be not equal to</w:t>
      </w:r>
      <w:r w:rsidRPr="00A52AB8">
        <w:rPr>
          <w:color w:val="000000" w:themeColor="text1"/>
        </w:rPr>
        <w:t xml:space="preserve"> 0 and shall ignore all afps_extension_data_flag syntax elements in an AFPS NAL unit. When not present, the value of afps_extension_8bits is inferred to be equal to 0.</w:t>
      </w:r>
    </w:p>
    <w:p w14:paraId="163CF86D" w14:textId="77777777" w:rsidR="0050235C" w:rsidRPr="00A52AB8" w:rsidRDefault="00F346A4">
      <w:pPr>
        <w:rPr>
          <w:color w:val="000000" w:themeColor="text1"/>
        </w:rPr>
      </w:pPr>
      <w:r w:rsidRPr="00A52AB8">
        <w:rPr>
          <w:b/>
        </w:rPr>
        <w:t>afps_extension_data_flag</w:t>
      </w:r>
      <w:r w:rsidRPr="00A52AB8">
        <w:rPr>
          <w:color w:val="000000" w:themeColor="text1"/>
        </w:rPr>
        <w:t xml:space="preserve"> </w:t>
      </w:r>
      <w:r w:rsidR="00563977" w:rsidRPr="00A52AB8">
        <w:rPr>
          <w:color w:val="000000" w:themeColor="text1"/>
        </w:rPr>
        <w:t xml:space="preserve">may have any value. </w:t>
      </w:r>
      <w:r w:rsidR="00065641" w:rsidRPr="00A52AB8">
        <w:rPr>
          <w:color w:val="000000" w:themeColor="text1"/>
        </w:rPr>
        <w:t>Its presence and value do not affect decoder conformance to profiles specified in this version of this document. Decoders conforming to this version of this document shall ignore all afps_extension_data_flag syntax elements.</w:t>
      </w:r>
    </w:p>
    <w:p w14:paraId="13C3C647" w14:textId="49427986" w:rsidR="00257D77" w:rsidRPr="00A52AB8" w:rsidRDefault="008F0D00" w:rsidP="001000BF">
      <w:pPr>
        <w:pStyle w:val="Heading5"/>
      </w:pPr>
      <w:r w:rsidRPr="00A52AB8">
        <w:t>Atlas frame</w:t>
      </w:r>
      <w:r w:rsidR="00257D77" w:rsidRPr="00A52AB8">
        <w:t xml:space="preserve"> tile information syntax</w:t>
      </w:r>
    </w:p>
    <w:p w14:paraId="589A3AC7" w14:textId="7B71486A" w:rsidR="00257D77" w:rsidRPr="00A52AB8" w:rsidRDefault="008F0D00">
      <w:pPr>
        <w:rPr>
          <w:lang w:eastAsia="ja-JP"/>
        </w:rPr>
      </w:pPr>
      <w:r w:rsidRPr="00A52AB8">
        <w:rPr>
          <w:b/>
          <w:lang w:eastAsia="ja-JP"/>
        </w:rPr>
        <w:t>afti_</w:t>
      </w:r>
      <w:r w:rsidR="00257D77" w:rsidRPr="00A52AB8">
        <w:rPr>
          <w:b/>
          <w:lang w:eastAsia="ja-JP"/>
        </w:rPr>
        <w:t>single_tile_in_</w:t>
      </w:r>
      <w:r w:rsidR="00DD23CD" w:rsidRPr="00A52AB8">
        <w:rPr>
          <w:b/>
          <w:lang w:eastAsia="ja-JP"/>
        </w:rPr>
        <w:t>atlas_frame</w:t>
      </w:r>
      <w:r w:rsidR="00257D77" w:rsidRPr="00A52AB8">
        <w:rPr>
          <w:b/>
          <w:lang w:eastAsia="ja-JP"/>
        </w:rPr>
        <w:t xml:space="preserve">_flag </w:t>
      </w:r>
      <w:r w:rsidR="00257D77" w:rsidRPr="00A52AB8">
        <w:rPr>
          <w:lang w:eastAsia="ja-JP"/>
        </w:rPr>
        <w:t xml:space="preserve">equal to 1 specifies that there is only one tile in each </w:t>
      </w:r>
      <w:r w:rsidRPr="00A52AB8">
        <w:rPr>
          <w:lang w:eastAsia="ja-JP"/>
        </w:rPr>
        <w:t>atlas frame</w:t>
      </w:r>
      <w:r w:rsidR="00257D77" w:rsidRPr="00A52AB8">
        <w:rPr>
          <w:lang w:eastAsia="ja-JP"/>
        </w:rPr>
        <w:t xml:space="preserve"> referring to the </w:t>
      </w:r>
      <w:r w:rsidR="00A24F43" w:rsidRPr="00A52AB8">
        <w:rPr>
          <w:lang w:eastAsia="ja-JP"/>
        </w:rPr>
        <w:t>AFPS</w:t>
      </w:r>
      <w:r w:rsidR="00257D77" w:rsidRPr="00A52AB8">
        <w:rPr>
          <w:lang w:eastAsia="ja-JP"/>
        </w:rPr>
        <w:t xml:space="preserve">. </w:t>
      </w:r>
      <w:r w:rsidR="00A24F43" w:rsidRPr="00A52AB8">
        <w:rPr>
          <w:lang w:eastAsia="ja-JP"/>
        </w:rPr>
        <w:t>afti_</w:t>
      </w:r>
      <w:r w:rsidR="00257D77" w:rsidRPr="00A52AB8">
        <w:rPr>
          <w:lang w:eastAsia="ja-JP"/>
        </w:rPr>
        <w:t>single_tile_in_</w:t>
      </w:r>
      <w:r w:rsidR="00A24F43" w:rsidRPr="00A52AB8">
        <w:rPr>
          <w:lang w:eastAsia="ja-JP"/>
        </w:rPr>
        <w:t>atlas_frame</w:t>
      </w:r>
      <w:r w:rsidR="00257D77" w:rsidRPr="00A52AB8">
        <w:rPr>
          <w:lang w:eastAsia="ja-JP"/>
        </w:rPr>
        <w:t xml:space="preserve">_flag equal to 0 specifies that there </w:t>
      </w:r>
      <w:r w:rsidR="00042108" w:rsidRPr="00A52AB8">
        <w:rPr>
          <w:lang w:eastAsia="ja-JP"/>
        </w:rPr>
        <w:t xml:space="preserve">may be more than </w:t>
      </w:r>
      <w:r w:rsidR="00257D77" w:rsidRPr="00A52AB8">
        <w:rPr>
          <w:lang w:eastAsia="ja-JP"/>
        </w:rPr>
        <w:t xml:space="preserve">one tile in each </w:t>
      </w:r>
      <w:r w:rsidRPr="00A52AB8">
        <w:rPr>
          <w:lang w:eastAsia="ja-JP"/>
        </w:rPr>
        <w:t>atlas frame</w:t>
      </w:r>
      <w:r w:rsidR="00257D77" w:rsidRPr="00A52AB8">
        <w:rPr>
          <w:lang w:eastAsia="ja-JP"/>
        </w:rPr>
        <w:t xml:space="preserve"> referring to the </w:t>
      </w:r>
      <w:r w:rsidR="00AD0A5F" w:rsidRPr="00A52AB8">
        <w:rPr>
          <w:lang w:eastAsia="ja-JP"/>
        </w:rPr>
        <w:t>AFPS</w:t>
      </w:r>
      <w:r w:rsidR="00257D77" w:rsidRPr="00A52AB8">
        <w:rPr>
          <w:lang w:eastAsia="ja-JP"/>
        </w:rPr>
        <w:t>.</w:t>
      </w:r>
    </w:p>
    <w:p w14:paraId="2FCDCBD8" w14:textId="77777777" w:rsidR="003B3A67" w:rsidRPr="00A52AB8" w:rsidRDefault="00D90693">
      <w:pPr>
        <w:rPr>
          <w:b/>
          <w:lang w:eastAsia="ja-JP"/>
        </w:rPr>
      </w:pPr>
      <w:r w:rsidRPr="00A52AB8">
        <w:rPr>
          <w:b/>
          <w:lang w:eastAsia="ja-JP"/>
        </w:rPr>
        <w:t>afti_uniform_partition_spacing_flag</w:t>
      </w:r>
      <w:r w:rsidR="003B3A67" w:rsidRPr="00A52AB8">
        <w:rPr>
          <w:lang w:eastAsia="ja-JP"/>
        </w:rPr>
        <w:t xml:space="preserve"> equal to 1 specifies that </w:t>
      </w:r>
      <w:r w:rsidR="006D7C1D" w:rsidRPr="00A52AB8">
        <w:rPr>
          <w:lang w:eastAsia="ja-JP"/>
        </w:rPr>
        <w:t xml:space="preserve">the </w:t>
      </w:r>
      <w:r w:rsidR="003B3A67" w:rsidRPr="00A52AB8">
        <w:rPr>
          <w:lang w:eastAsia="ja-JP"/>
        </w:rPr>
        <w:t xml:space="preserve">tile </w:t>
      </w:r>
      <w:r w:rsidR="006D7C1D" w:rsidRPr="00A52AB8">
        <w:rPr>
          <w:lang w:eastAsia="ja-JP"/>
        </w:rPr>
        <w:t xml:space="preserve">partitioning of an atlas uses a method that </w:t>
      </w:r>
      <w:r w:rsidR="003B3A67" w:rsidRPr="00A52AB8">
        <w:rPr>
          <w:lang w:eastAsia="ja-JP"/>
        </w:rPr>
        <w:t>distribute</w:t>
      </w:r>
      <w:r w:rsidR="006D7C1D" w:rsidRPr="00A52AB8">
        <w:rPr>
          <w:lang w:eastAsia="ja-JP"/>
        </w:rPr>
        <w:t xml:space="preserve">s column and row partition boundaries </w:t>
      </w:r>
      <w:r w:rsidR="003B3A67" w:rsidRPr="00A52AB8">
        <w:rPr>
          <w:lang w:eastAsia="ja-JP"/>
        </w:rPr>
        <w:t xml:space="preserve">uniformly across the </w:t>
      </w:r>
      <w:r w:rsidR="00814813" w:rsidRPr="00A52AB8">
        <w:rPr>
          <w:lang w:eastAsia="ja-JP"/>
        </w:rPr>
        <w:t>atlas frame</w:t>
      </w:r>
      <w:r w:rsidR="006D7C1D" w:rsidRPr="00A52AB8">
        <w:rPr>
          <w:lang w:eastAsia="ja-JP"/>
        </w:rPr>
        <w:t>. The information corresponding to these boundaries</w:t>
      </w:r>
      <w:r w:rsidR="003B3A67" w:rsidRPr="00A52AB8">
        <w:rPr>
          <w:lang w:eastAsia="ja-JP"/>
        </w:rPr>
        <w:t xml:space="preserve"> </w:t>
      </w:r>
      <w:r w:rsidR="006D7C1D" w:rsidRPr="00A52AB8">
        <w:rPr>
          <w:lang w:eastAsia="ja-JP"/>
        </w:rPr>
        <w:t xml:space="preserve">is </w:t>
      </w:r>
      <w:r w:rsidR="003B3A67" w:rsidRPr="00A52AB8">
        <w:rPr>
          <w:lang w:eastAsia="ja-JP"/>
        </w:rPr>
        <w:t xml:space="preserve">signalled using the syntax elements </w:t>
      </w:r>
      <w:r w:rsidR="00C608C9" w:rsidRPr="00A52AB8">
        <w:rPr>
          <w:lang w:eastAsia="ja-JP"/>
        </w:rPr>
        <w:t>afti_partition_cols_width_minus1</w:t>
      </w:r>
      <w:r w:rsidR="003B3A67" w:rsidRPr="00A52AB8">
        <w:rPr>
          <w:lang w:eastAsia="ja-JP"/>
        </w:rPr>
        <w:t xml:space="preserve"> and </w:t>
      </w:r>
      <w:r w:rsidR="00C608C9" w:rsidRPr="00A52AB8">
        <w:rPr>
          <w:lang w:eastAsia="ja-JP"/>
        </w:rPr>
        <w:t>afti_partition_rows_height_minus1</w:t>
      </w:r>
      <w:r w:rsidR="003B3A67" w:rsidRPr="00A52AB8">
        <w:rPr>
          <w:lang w:eastAsia="ja-JP"/>
        </w:rPr>
        <w:t xml:space="preserve">, respectively. </w:t>
      </w:r>
      <w:r w:rsidRPr="00A52AB8">
        <w:rPr>
          <w:lang w:eastAsia="ja-JP"/>
        </w:rPr>
        <w:t>afti_uniform_partition_spacing_flag</w:t>
      </w:r>
      <w:r w:rsidR="003B3A67" w:rsidRPr="00A52AB8">
        <w:rPr>
          <w:lang w:eastAsia="ja-JP"/>
        </w:rPr>
        <w:t xml:space="preserve"> equal to 0 specifies that </w:t>
      </w:r>
      <w:r w:rsidR="006D7C1D" w:rsidRPr="00A52AB8">
        <w:rPr>
          <w:lang w:eastAsia="ja-JP"/>
        </w:rPr>
        <w:t xml:space="preserve">the tile partitioning of an atlas uses a method that may result in </w:t>
      </w:r>
      <w:r w:rsidR="003B3A67" w:rsidRPr="00A52AB8">
        <w:rPr>
          <w:lang w:eastAsia="ja-JP"/>
        </w:rPr>
        <w:t xml:space="preserve">column and row </w:t>
      </w:r>
      <w:r w:rsidR="006D7C1D" w:rsidRPr="00A52AB8">
        <w:rPr>
          <w:lang w:eastAsia="ja-JP"/>
        </w:rPr>
        <w:t xml:space="preserve">partition </w:t>
      </w:r>
      <w:r w:rsidR="003B3A67" w:rsidRPr="00A52AB8">
        <w:rPr>
          <w:lang w:eastAsia="ja-JP"/>
        </w:rPr>
        <w:t xml:space="preserve">boundaries </w:t>
      </w:r>
      <w:r w:rsidR="006D7C1D" w:rsidRPr="00A52AB8">
        <w:rPr>
          <w:lang w:eastAsia="ja-JP"/>
        </w:rPr>
        <w:t xml:space="preserve">that </w:t>
      </w:r>
      <w:r w:rsidR="003B3A67" w:rsidRPr="00A52AB8">
        <w:rPr>
          <w:lang w:eastAsia="ja-JP"/>
        </w:rPr>
        <w:t xml:space="preserve">may or may not be distributed uniformly across the </w:t>
      </w:r>
      <w:r w:rsidR="00814813" w:rsidRPr="00A52AB8">
        <w:rPr>
          <w:lang w:eastAsia="ja-JP"/>
        </w:rPr>
        <w:t>atlas frame</w:t>
      </w:r>
      <w:r w:rsidR="006D7C1D" w:rsidRPr="00A52AB8">
        <w:rPr>
          <w:lang w:eastAsia="ja-JP"/>
        </w:rPr>
        <w:t xml:space="preserve">. In this case, these boundaries </w:t>
      </w:r>
      <w:r w:rsidR="003B3A67" w:rsidRPr="00A52AB8">
        <w:rPr>
          <w:lang w:eastAsia="ja-JP"/>
        </w:rPr>
        <w:t xml:space="preserve">are signalled using the syntax elements </w:t>
      </w:r>
      <w:r w:rsidRPr="00A52AB8">
        <w:rPr>
          <w:lang w:eastAsia="ja-JP"/>
        </w:rPr>
        <w:t>afti_num_partition_columns_minus1</w:t>
      </w:r>
      <w:r w:rsidR="003B3A67" w:rsidRPr="00A52AB8">
        <w:rPr>
          <w:lang w:eastAsia="ja-JP"/>
        </w:rPr>
        <w:t xml:space="preserve"> and </w:t>
      </w:r>
      <w:r w:rsidRPr="00A52AB8">
        <w:rPr>
          <w:lang w:eastAsia="ja-JP"/>
        </w:rPr>
        <w:t>afti_num_partition_rows_minus1</w:t>
      </w:r>
      <w:r w:rsidR="003B3A67" w:rsidRPr="00A52AB8">
        <w:rPr>
          <w:lang w:eastAsia="ja-JP"/>
        </w:rPr>
        <w:t xml:space="preserve"> and a list of syntax element pairs </w:t>
      </w:r>
      <w:r w:rsidR="00C608C9" w:rsidRPr="00A52AB8">
        <w:rPr>
          <w:lang w:eastAsia="ja-JP"/>
        </w:rPr>
        <w:t>afti_partition_column_width_minus1</w:t>
      </w:r>
      <w:r w:rsidR="001F4484" w:rsidRPr="00A52AB8">
        <w:rPr>
          <w:lang w:eastAsia="ja-JP"/>
        </w:rPr>
        <w:t>[ i ]</w:t>
      </w:r>
      <w:r w:rsidR="003B3A67" w:rsidRPr="00A52AB8">
        <w:rPr>
          <w:lang w:eastAsia="ja-JP"/>
        </w:rPr>
        <w:t xml:space="preserve"> and </w:t>
      </w:r>
      <w:r w:rsidR="00C608C9" w:rsidRPr="00A52AB8">
        <w:rPr>
          <w:lang w:eastAsia="ja-JP"/>
        </w:rPr>
        <w:t>afti_partition_row_height_minus1</w:t>
      </w:r>
      <w:r w:rsidR="001F4484" w:rsidRPr="00A52AB8">
        <w:rPr>
          <w:lang w:eastAsia="ja-JP"/>
        </w:rPr>
        <w:t>[ i ]</w:t>
      </w:r>
      <w:r w:rsidR="003B3A67" w:rsidRPr="00A52AB8">
        <w:rPr>
          <w:lang w:eastAsia="ja-JP"/>
        </w:rPr>
        <w:t xml:space="preserve">. When not present, the value of </w:t>
      </w:r>
      <w:r w:rsidRPr="00A52AB8">
        <w:rPr>
          <w:lang w:eastAsia="ja-JP"/>
        </w:rPr>
        <w:t>afti_uniform_partition_spacing_flag</w:t>
      </w:r>
      <w:r w:rsidR="003B3A67" w:rsidRPr="00A52AB8">
        <w:rPr>
          <w:lang w:eastAsia="ja-JP"/>
        </w:rPr>
        <w:t xml:space="preserve"> is inferred to be equal to 1.</w:t>
      </w:r>
    </w:p>
    <w:p w14:paraId="0511F85C" w14:textId="77777777" w:rsidR="003B3A67" w:rsidRPr="00A52AB8" w:rsidRDefault="00C608C9">
      <w:pPr>
        <w:rPr>
          <w:b/>
          <w:lang w:eastAsia="ja-JP"/>
        </w:rPr>
      </w:pPr>
      <w:r w:rsidRPr="00A52AB8">
        <w:rPr>
          <w:b/>
          <w:lang w:eastAsia="ja-JP"/>
        </w:rPr>
        <w:t>afti_partition_cols_width_minus1</w:t>
      </w:r>
      <w:r w:rsidR="003B3A67" w:rsidRPr="00A52AB8">
        <w:rPr>
          <w:b/>
          <w:lang w:eastAsia="ja-JP"/>
        </w:rPr>
        <w:t xml:space="preserve"> </w:t>
      </w:r>
      <w:r w:rsidR="003B3A67" w:rsidRPr="00A52AB8">
        <w:rPr>
          <w:lang w:eastAsia="ja-JP"/>
        </w:rPr>
        <w:t xml:space="preserve">plus 1 specifies the width of the </w:t>
      </w:r>
      <w:r w:rsidR="00AB7AAB" w:rsidRPr="00A52AB8">
        <w:rPr>
          <w:lang w:eastAsia="ja-JP"/>
        </w:rPr>
        <w:t xml:space="preserve">tile </w:t>
      </w:r>
      <w:r w:rsidR="006D7C1D" w:rsidRPr="00A52AB8">
        <w:rPr>
          <w:lang w:eastAsia="ja-JP"/>
        </w:rPr>
        <w:t xml:space="preserve">partition </w:t>
      </w:r>
      <w:r w:rsidR="003B3A67" w:rsidRPr="00A52AB8">
        <w:rPr>
          <w:lang w:eastAsia="ja-JP"/>
        </w:rPr>
        <w:t xml:space="preserve">columns excluding the right-most </w:t>
      </w:r>
      <w:r w:rsidR="00AB7AAB" w:rsidRPr="00A52AB8">
        <w:rPr>
          <w:lang w:eastAsia="ja-JP"/>
        </w:rPr>
        <w:t xml:space="preserve">tile </w:t>
      </w:r>
      <w:r w:rsidR="006D7C1D" w:rsidRPr="00A52AB8">
        <w:rPr>
          <w:lang w:eastAsia="ja-JP"/>
        </w:rPr>
        <w:t xml:space="preserve">partition </w:t>
      </w:r>
      <w:r w:rsidR="003B3A67" w:rsidRPr="00A52AB8">
        <w:rPr>
          <w:lang w:eastAsia="ja-JP"/>
        </w:rPr>
        <w:t xml:space="preserve">column of the </w:t>
      </w:r>
      <w:r w:rsidR="008F0D00" w:rsidRPr="00A52AB8">
        <w:rPr>
          <w:lang w:eastAsia="ja-JP"/>
        </w:rPr>
        <w:t>atlas frame</w:t>
      </w:r>
      <w:r w:rsidR="003B3A67" w:rsidRPr="00A52AB8">
        <w:rPr>
          <w:lang w:eastAsia="ja-JP"/>
        </w:rPr>
        <w:t xml:space="preserve"> in units of 64 samples when </w:t>
      </w:r>
      <w:r w:rsidR="00D90693" w:rsidRPr="00A52AB8">
        <w:rPr>
          <w:lang w:eastAsia="ja-JP"/>
        </w:rPr>
        <w:t>afti_uniform_partition_spacing_flag</w:t>
      </w:r>
      <w:r w:rsidR="003B3A67" w:rsidRPr="00A52AB8">
        <w:rPr>
          <w:lang w:eastAsia="ja-JP"/>
        </w:rPr>
        <w:t xml:space="preserve"> is equal to 1. The value of </w:t>
      </w:r>
      <w:r w:rsidRPr="00A52AB8">
        <w:rPr>
          <w:lang w:eastAsia="ja-JP"/>
        </w:rPr>
        <w:t>afti_partition_cols_width_minus1</w:t>
      </w:r>
      <w:r w:rsidR="003B3A67" w:rsidRPr="00A52AB8">
        <w:rPr>
          <w:lang w:eastAsia="ja-JP"/>
        </w:rPr>
        <w:t xml:space="preserve"> shall be in the range of 0 to </w:t>
      </w:r>
      <w:r w:rsidR="006A25C5" w:rsidRPr="00A52AB8">
        <w:rPr>
          <w:lang w:eastAsia="ja-JP"/>
        </w:rPr>
        <w:t>asps</w:t>
      </w:r>
      <w:r w:rsidR="003B3A67" w:rsidRPr="00A52AB8">
        <w:rPr>
          <w:lang w:eastAsia="ja-JP"/>
        </w:rPr>
        <w:t xml:space="preserve">_frame_width / 64 − 1, inclusive. When not present, the value of </w:t>
      </w:r>
      <w:r w:rsidRPr="00A52AB8">
        <w:rPr>
          <w:lang w:eastAsia="ja-JP"/>
        </w:rPr>
        <w:t>afti_partition_cols_width_minus1</w:t>
      </w:r>
      <w:r w:rsidR="003B3A67" w:rsidRPr="00A52AB8">
        <w:rPr>
          <w:lang w:eastAsia="ja-JP"/>
        </w:rPr>
        <w:t xml:space="preserve"> is inferred to be equal to </w:t>
      </w:r>
      <w:r w:rsidR="006A25C5" w:rsidRPr="00A52AB8">
        <w:rPr>
          <w:lang w:eastAsia="ja-JP"/>
        </w:rPr>
        <w:t>asps</w:t>
      </w:r>
      <w:r w:rsidR="00AB751A" w:rsidRPr="00A52AB8">
        <w:rPr>
          <w:lang w:eastAsia="ja-JP"/>
        </w:rPr>
        <w:t>_frame_width / 64 </w:t>
      </w:r>
      <w:r w:rsidR="003B3A67" w:rsidRPr="00A52AB8">
        <w:rPr>
          <w:lang w:eastAsia="ja-JP"/>
        </w:rPr>
        <w:t>–</w:t>
      </w:r>
      <w:r w:rsidR="00AB751A" w:rsidRPr="00A52AB8">
        <w:rPr>
          <w:lang w:eastAsia="ja-JP"/>
        </w:rPr>
        <w:t> </w:t>
      </w:r>
      <w:r w:rsidR="003B3A67" w:rsidRPr="00A52AB8">
        <w:rPr>
          <w:lang w:eastAsia="ja-JP"/>
        </w:rPr>
        <w:t>1</w:t>
      </w:r>
      <w:r w:rsidR="003B3A67" w:rsidRPr="00A52AB8">
        <w:rPr>
          <w:b/>
          <w:lang w:eastAsia="ja-JP"/>
        </w:rPr>
        <w:t>.</w:t>
      </w:r>
    </w:p>
    <w:p w14:paraId="1D71A190" w14:textId="77777777" w:rsidR="003B3A67" w:rsidRPr="00A52AB8" w:rsidRDefault="00C608C9">
      <w:pPr>
        <w:rPr>
          <w:lang w:eastAsia="ja-JP"/>
        </w:rPr>
      </w:pPr>
      <w:r w:rsidRPr="00A52AB8">
        <w:rPr>
          <w:b/>
          <w:lang w:eastAsia="ja-JP"/>
        </w:rPr>
        <w:t>afti_partition_rows_height_minus1</w:t>
      </w:r>
      <w:r w:rsidR="003B3A67" w:rsidRPr="00A52AB8">
        <w:rPr>
          <w:b/>
          <w:lang w:eastAsia="ja-JP"/>
        </w:rPr>
        <w:t xml:space="preserve"> </w:t>
      </w:r>
      <w:r w:rsidR="003B3A67" w:rsidRPr="00A52AB8">
        <w:rPr>
          <w:lang w:eastAsia="ja-JP"/>
        </w:rPr>
        <w:t xml:space="preserve">plus 1 specifies the height of the </w:t>
      </w:r>
      <w:r w:rsidR="00AB7AAB" w:rsidRPr="00A52AB8">
        <w:rPr>
          <w:lang w:eastAsia="ja-JP"/>
        </w:rPr>
        <w:t xml:space="preserve">tile </w:t>
      </w:r>
      <w:r w:rsidR="006D7C1D" w:rsidRPr="00A52AB8">
        <w:rPr>
          <w:lang w:eastAsia="ja-JP"/>
        </w:rPr>
        <w:t xml:space="preserve">partition </w:t>
      </w:r>
      <w:r w:rsidR="003B3A67" w:rsidRPr="00A52AB8">
        <w:rPr>
          <w:lang w:eastAsia="ja-JP"/>
        </w:rPr>
        <w:t xml:space="preserve">rows excluding the bottom tile </w:t>
      </w:r>
      <w:r w:rsidR="00AB7AAB" w:rsidRPr="00A52AB8">
        <w:rPr>
          <w:lang w:eastAsia="ja-JP"/>
        </w:rPr>
        <w:t xml:space="preserve">partition </w:t>
      </w:r>
      <w:r w:rsidR="003B3A67" w:rsidRPr="00A52AB8">
        <w:rPr>
          <w:lang w:eastAsia="ja-JP"/>
        </w:rPr>
        <w:t xml:space="preserve">row of the </w:t>
      </w:r>
      <w:r w:rsidR="008F0D00" w:rsidRPr="00A52AB8">
        <w:rPr>
          <w:lang w:eastAsia="ja-JP"/>
        </w:rPr>
        <w:t>atlas frame</w:t>
      </w:r>
      <w:r w:rsidR="003B3A67" w:rsidRPr="00A52AB8">
        <w:rPr>
          <w:lang w:eastAsia="ja-JP"/>
        </w:rPr>
        <w:t xml:space="preserve"> in units of </w:t>
      </w:r>
      <w:r w:rsidR="00AB751A" w:rsidRPr="00A52AB8">
        <w:rPr>
          <w:lang w:eastAsia="ja-JP"/>
        </w:rPr>
        <w:t>64 samples</w:t>
      </w:r>
      <w:r w:rsidR="003B3A67" w:rsidRPr="00A52AB8">
        <w:rPr>
          <w:lang w:eastAsia="ja-JP"/>
        </w:rPr>
        <w:t xml:space="preserve"> when </w:t>
      </w:r>
      <w:r w:rsidR="00D90693" w:rsidRPr="00A52AB8">
        <w:rPr>
          <w:lang w:eastAsia="ja-JP"/>
        </w:rPr>
        <w:t>afti_uniform_partition_spacing_flag</w:t>
      </w:r>
      <w:r w:rsidR="003B3A67" w:rsidRPr="00A52AB8">
        <w:rPr>
          <w:lang w:eastAsia="ja-JP"/>
        </w:rPr>
        <w:t xml:space="preserve"> is equal to 1. The value of </w:t>
      </w:r>
      <w:r w:rsidRPr="00A52AB8">
        <w:rPr>
          <w:lang w:eastAsia="ja-JP"/>
        </w:rPr>
        <w:t>afti_partition_rows_height_minus1</w:t>
      </w:r>
      <w:r w:rsidR="003B3A67" w:rsidRPr="00A52AB8">
        <w:rPr>
          <w:lang w:eastAsia="ja-JP"/>
        </w:rPr>
        <w:t xml:space="preserve"> shall be in the range of 0 to </w:t>
      </w:r>
      <w:r w:rsidR="006A25C5" w:rsidRPr="00A52AB8">
        <w:rPr>
          <w:lang w:eastAsia="ja-JP"/>
        </w:rPr>
        <w:t>asps</w:t>
      </w:r>
      <w:r w:rsidR="00AB751A" w:rsidRPr="00A52AB8">
        <w:rPr>
          <w:lang w:eastAsia="ja-JP"/>
        </w:rPr>
        <w:t>_frame_height / 64 </w:t>
      </w:r>
      <w:r w:rsidR="003B3A67" w:rsidRPr="00A52AB8">
        <w:rPr>
          <w:lang w:eastAsia="ja-JP"/>
        </w:rPr>
        <w:t>−</w:t>
      </w:r>
      <w:r w:rsidR="00AB751A" w:rsidRPr="00A52AB8">
        <w:rPr>
          <w:lang w:eastAsia="ja-JP"/>
        </w:rPr>
        <w:t> </w:t>
      </w:r>
      <w:r w:rsidR="003B3A67" w:rsidRPr="00A52AB8">
        <w:rPr>
          <w:lang w:eastAsia="ja-JP"/>
        </w:rPr>
        <w:t xml:space="preserve">1, inclusive. When not present, the value of </w:t>
      </w:r>
      <w:r w:rsidRPr="00A52AB8">
        <w:rPr>
          <w:lang w:eastAsia="ja-JP"/>
        </w:rPr>
        <w:t>afti_partition_rows_height_minus1</w:t>
      </w:r>
      <w:r w:rsidR="003B3A67" w:rsidRPr="00A52AB8">
        <w:rPr>
          <w:lang w:eastAsia="ja-JP"/>
        </w:rPr>
        <w:t xml:space="preserve"> is inferred to be equal to </w:t>
      </w:r>
      <w:r w:rsidR="006A25C5" w:rsidRPr="00A52AB8">
        <w:rPr>
          <w:lang w:eastAsia="ja-JP"/>
        </w:rPr>
        <w:t>asps</w:t>
      </w:r>
      <w:r w:rsidR="00AB751A" w:rsidRPr="00A52AB8">
        <w:rPr>
          <w:lang w:eastAsia="ja-JP"/>
        </w:rPr>
        <w:t>_frame_height / 64 </w:t>
      </w:r>
      <w:r w:rsidR="003B3A67" w:rsidRPr="00A52AB8">
        <w:rPr>
          <w:lang w:eastAsia="ja-JP"/>
        </w:rPr>
        <w:t>–</w:t>
      </w:r>
      <w:r w:rsidR="00AB751A" w:rsidRPr="00A52AB8">
        <w:rPr>
          <w:lang w:eastAsia="ja-JP"/>
        </w:rPr>
        <w:t> </w:t>
      </w:r>
      <w:r w:rsidR="003B3A67" w:rsidRPr="00A52AB8">
        <w:rPr>
          <w:lang w:eastAsia="ja-JP"/>
        </w:rPr>
        <w:t>1.</w:t>
      </w:r>
    </w:p>
    <w:p w14:paraId="2B4FD75F" w14:textId="2C87DF8C" w:rsidR="003B3A67" w:rsidRPr="00A52AB8" w:rsidRDefault="00D90693">
      <w:r w:rsidRPr="00A52AB8">
        <w:rPr>
          <w:b/>
          <w:lang w:eastAsia="ja-JP"/>
        </w:rPr>
        <w:t>afti_num_partition_columns_minus1</w:t>
      </w:r>
      <w:r w:rsidR="00F95561" w:rsidRPr="00A52AB8">
        <w:t xml:space="preserve"> </w:t>
      </w:r>
      <w:r w:rsidR="00AB751A" w:rsidRPr="00A52AB8">
        <w:t xml:space="preserve">plus 1 specifies the number of tile </w:t>
      </w:r>
      <w:r w:rsidR="00AB7AAB" w:rsidRPr="00A52AB8">
        <w:t xml:space="preserve">partition </w:t>
      </w:r>
      <w:r w:rsidR="00AB751A" w:rsidRPr="00A52AB8">
        <w:t xml:space="preserve">columns </w:t>
      </w:r>
      <w:r w:rsidR="00152DEE" w:rsidRPr="00A52AB8">
        <w:t xml:space="preserve">used to </w:t>
      </w:r>
      <w:r w:rsidR="00AB751A" w:rsidRPr="00A52AB8">
        <w:t xml:space="preserve">partition the </w:t>
      </w:r>
      <w:r w:rsidR="008F0D00" w:rsidRPr="00A52AB8">
        <w:t>atlas frame</w:t>
      </w:r>
      <w:r w:rsidR="00AB751A" w:rsidRPr="00A52AB8">
        <w:rPr>
          <w:rFonts w:eastAsia="MS Mincho"/>
          <w:lang w:eastAsia="zh-CN"/>
        </w:rPr>
        <w:t xml:space="preserve"> when </w:t>
      </w:r>
      <w:r w:rsidRPr="00A52AB8">
        <w:rPr>
          <w:rFonts w:eastAsia="MS Mincho"/>
          <w:lang w:eastAsia="zh-CN"/>
        </w:rPr>
        <w:t>afti_uniform_partition_spacing_flag</w:t>
      </w:r>
      <w:r w:rsidR="00AB751A" w:rsidRPr="00A52AB8">
        <w:rPr>
          <w:rFonts w:eastAsia="MS Mincho"/>
          <w:lang w:eastAsia="zh-CN"/>
        </w:rPr>
        <w:t xml:space="preserve"> is equal to 0</w:t>
      </w:r>
      <w:r w:rsidR="00AB751A" w:rsidRPr="00A52AB8">
        <w:t xml:space="preserve">. The value of </w:t>
      </w:r>
      <w:r w:rsidRPr="00A52AB8">
        <w:t>afti_num_partition_columns_minus1</w:t>
      </w:r>
      <w:r w:rsidR="00AB751A" w:rsidRPr="00A52AB8">
        <w:t xml:space="preserve"> shall be in the range of 0 to </w:t>
      </w:r>
      <w:r w:rsidR="006A25C5" w:rsidRPr="00A52AB8">
        <w:rPr>
          <w:lang w:eastAsia="ja-JP"/>
        </w:rPr>
        <w:t>asps</w:t>
      </w:r>
      <w:r w:rsidR="00AB751A" w:rsidRPr="00A52AB8">
        <w:rPr>
          <w:lang w:eastAsia="ja-JP"/>
        </w:rPr>
        <w:t>_frame_width / 64 − </w:t>
      </w:r>
      <w:r w:rsidR="00AB751A" w:rsidRPr="00A52AB8">
        <w:t xml:space="preserve">1, inclusive. </w:t>
      </w:r>
      <w:r w:rsidR="00AB751A" w:rsidRPr="00A52AB8">
        <w:rPr>
          <w:rFonts w:eastAsia="MS Mincho"/>
          <w:lang w:eastAsia="zh-CN"/>
        </w:rPr>
        <w:t xml:space="preserve">If </w:t>
      </w:r>
      <w:r w:rsidR="008F0D00" w:rsidRPr="00A52AB8">
        <w:rPr>
          <w:rFonts w:eastAsia="MS Mincho"/>
          <w:lang w:eastAsia="zh-CN"/>
        </w:rPr>
        <w:t>afti_</w:t>
      </w:r>
      <w:r w:rsidR="00AB751A" w:rsidRPr="00A52AB8">
        <w:rPr>
          <w:rFonts w:eastAsia="MS Mincho"/>
          <w:lang w:eastAsia="zh-CN"/>
        </w:rPr>
        <w:t>single_tile_in_</w:t>
      </w:r>
      <w:r w:rsidR="00DD23CD" w:rsidRPr="00A52AB8">
        <w:rPr>
          <w:rFonts w:eastAsia="MS Mincho"/>
          <w:lang w:eastAsia="zh-CN"/>
        </w:rPr>
        <w:t>atlas_frame</w:t>
      </w:r>
      <w:r w:rsidR="00AB751A" w:rsidRPr="00A52AB8">
        <w:rPr>
          <w:rFonts w:eastAsia="MS Mincho"/>
          <w:lang w:eastAsia="zh-CN"/>
        </w:rPr>
        <w:t xml:space="preserve">_flag is equal to 1, the value of </w:t>
      </w:r>
      <w:r w:rsidRPr="00A52AB8">
        <w:rPr>
          <w:rFonts w:eastAsia="MS Mincho"/>
          <w:lang w:eastAsia="zh-CN"/>
        </w:rPr>
        <w:t>afti_num_partition_columns_minus1</w:t>
      </w:r>
      <w:r w:rsidR="00AB751A" w:rsidRPr="00A52AB8">
        <w:rPr>
          <w:rFonts w:eastAsia="MS Mincho"/>
          <w:lang w:eastAsia="zh-CN"/>
        </w:rPr>
        <w:t xml:space="preserve"> is inferred to be equal to 0. Otherwise, when </w:t>
      </w:r>
      <w:r w:rsidRPr="00A52AB8">
        <w:rPr>
          <w:rFonts w:eastAsia="MS Mincho"/>
          <w:lang w:eastAsia="zh-CN"/>
        </w:rPr>
        <w:t>afti_uniform_partition_spacing_flag</w:t>
      </w:r>
      <w:r w:rsidR="00AB751A" w:rsidRPr="00A52AB8">
        <w:rPr>
          <w:rFonts w:eastAsia="MS Mincho"/>
          <w:lang w:eastAsia="zh-CN"/>
        </w:rPr>
        <w:t xml:space="preserve"> is equal to 1, the value of </w:t>
      </w:r>
      <w:r w:rsidRPr="00A52AB8">
        <w:rPr>
          <w:rFonts w:eastAsia="MS Mincho"/>
          <w:lang w:eastAsia="zh-CN"/>
        </w:rPr>
        <w:t>afti_num_partition_columns_minus1</w:t>
      </w:r>
      <w:r w:rsidR="00AB751A" w:rsidRPr="00A52AB8">
        <w:rPr>
          <w:rFonts w:eastAsia="MS Mincho"/>
          <w:lang w:eastAsia="zh-CN"/>
        </w:rPr>
        <w:t xml:space="preserve"> is inferred as specified in </w:t>
      </w:r>
      <w:r w:rsidR="00406A86" w:rsidRPr="00A52AB8">
        <w:rPr>
          <w:rFonts w:eastAsia="MS Mincho"/>
          <w:lang w:eastAsia="zh-CN"/>
        </w:rPr>
        <w:t>subclause</w:t>
      </w:r>
      <w:r w:rsidR="00D46D9D" w:rsidRPr="00A52AB8">
        <w:rPr>
          <w:rFonts w:eastAsia="MS Mincho"/>
          <w:lang w:eastAsia="zh-CN"/>
        </w:rPr>
        <w:t xml:space="preserve"> </w:t>
      </w:r>
      <w:r w:rsidR="00D46D9D" w:rsidRPr="00496A4D">
        <w:rPr>
          <w:rFonts w:eastAsia="MS Mincho"/>
          <w:lang w:eastAsia="zh-CN"/>
        </w:rPr>
        <w:fldChar w:fldCharType="begin"/>
      </w:r>
      <w:r w:rsidR="00D46D9D" w:rsidRPr="00A52AB8">
        <w:rPr>
          <w:rFonts w:eastAsia="MS Mincho"/>
          <w:lang w:eastAsia="zh-CN"/>
        </w:rPr>
        <w:instrText xml:space="preserve"> REF _Ref39812198 \r \h </w:instrText>
      </w:r>
      <w:r w:rsidR="00CA5401" w:rsidRPr="00A52AB8">
        <w:rPr>
          <w:rFonts w:eastAsia="MS Mincho"/>
          <w:lang w:eastAsia="zh-CN"/>
        </w:rPr>
        <w:instrText xml:space="preserve"> \* MERGEFORMAT </w:instrText>
      </w:r>
      <w:r w:rsidR="00D46D9D" w:rsidRPr="00496A4D">
        <w:rPr>
          <w:rFonts w:eastAsia="MS Mincho"/>
          <w:lang w:eastAsia="zh-CN"/>
        </w:rPr>
      </w:r>
      <w:r w:rsidR="00D46D9D" w:rsidRPr="00496A4D">
        <w:rPr>
          <w:rFonts w:eastAsia="MS Mincho"/>
          <w:lang w:eastAsia="zh-CN"/>
        </w:rPr>
        <w:fldChar w:fldCharType="separate"/>
      </w:r>
      <w:r w:rsidR="00507A67">
        <w:rPr>
          <w:rFonts w:eastAsia="MS Mincho"/>
          <w:lang w:eastAsia="zh-CN"/>
        </w:rPr>
        <w:t>7.5</w:t>
      </w:r>
      <w:r w:rsidR="00D46D9D" w:rsidRPr="00496A4D">
        <w:rPr>
          <w:rFonts w:eastAsia="MS Mincho"/>
          <w:lang w:eastAsia="zh-CN"/>
        </w:rPr>
        <w:fldChar w:fldCharType="end"/>
      </w:r>
      <w:r w:rsidR="00AB751A" w:rsidRPr="00A52AB8">
        <w:rPr>
          <w:rFonts w:eastAsia="MS Mincho"/>
          <w:lang w:eastAsia="zh-CN"/>
        </w:rPr>
        <w:t>.</w:t>
      </w:r>
    </w:p>
    <w:p w14:paraId="31062AFC" w14:textId="1F63ABEE" w:rsidR="00B858D3" w:rsidRPr="00A52AB8" w:rsidRDefault="00D90693">
      <w:pPr>
        <w:rPr>
          <w:lang w:eastAsia="ja-JP"/>
        </w:rPr>
      </w:pPr>
      <w:r w:rsidRPr="00A52AB8">
        <w:rPr>
          <w:b/>
          <w:lang w:eastAsia="ja-JP"/>
        </w:rPr>
        <w:t>afti_num_partition_rows_minus1</w:t>
      </w:r>
      <w:r w:rsidR="00283DEA" w:rsidRPr="00A52AB8">
        <w:rPr>
          <w:b/>
          <w:lang w:eastAsia="ja-JP"/>
        </w:rPr>
        <w:t xml:space="preserve"> </w:t>
      </w:r>
      <w:r w:rsidR="00B858D3" w:rsidRPr="00A52AB8">
        <w:rPr>
          <w:lang w:eastAsia="ja-JP"/>
        </w:rPr>
        <w:t xml:space="preserve">plus 1 specifies the number of tile </w:t>
      </w:r>
      <w:r w:rsidR="00AB7AAB" w:rsidRPr="00A52AB8">
        <w:rPr>
          <w:lang w:eastAsia="ja-JP"/>
        </w:rPr>
        <w:t xml:space="preserve">partition </w:t>
      </w:r>
      <w:r w:rsidR="00B858D3" w:rsidRPr="00A52AB8">
        <w:rPr>
          <w:lang w:eastAsia="ja-JP"/>
        </w:rPr>
        <w:t xml:space="preserve">rows </w:t>
      </w:r>
      <w:r w:rsidR="00152DEE" w:rsidRPr="00A52AB8">
        <w:rPr>
          <w:lang w:eastAsia="ja-JP"/>
        </w:rPr>
        <w:t xml:space="preserve">used to </w:t>
      </w:r>
      <w:r w:rsidR="00B858D3" w:rsidRPr="00A52AB8">
        <w:rPr>
          <w:lang w:eastAsia="ja-JP"/>
        </w:rPr>
        <w:t xml:space="preserve">partition the </w:t>
      </w:r>
      <w:r w:rsidR="008F0D00" w:rsidRPr="00A52AB8">
        <w:rPr>
          <w:lang w:eastAsia="ja-JP"/>
        </w:rPr>
        <w:t>atlas frame</w:t>
      </w:r>
      <w:r w:rsidR="00B858D3" w:rsidRPr="00A52AB8">
        <w:rPr>
          <w:lang w:eastAsia="ja-JP"/>
        </w:rPr>
        <w:t xml:space="preserve"> when </w:t>
      </w:r>
      <w:r w:rsidR="00152DEE" w:rsidRPr="00A52AB8">
        <w:rPr>
          <w:lang w:eastAsia="ja-JP"/>
        </w:rPr>
        <w:t>af</w:t>
      </w:r>
      <w:r w:rsidR="00B858D3" w:rsidRPr="00A52AB8">
        <w:rPr>
          <w:lang w:eastAsia="ja-JP"/>
        </w:rPr>
        <w:t>ti_uniform_</w:t>
      </w:r>
      <w:r w:rsidR="00152DEE" w:rsidRPr="00A52AB8">
        <w:rPr>
          <w:lang w:eastAsia="ja-JP"/>
        </w:rPr>
        <w:t>partition</w:t>
      </w:r>
      <w:r w:rsidR="00B858D3" w:rsidRPr="00A52AB8">
        <w:rPr>
          <w:lang w:eastAsia="ja-JP"/>
        </w:rPr>
        <w:t xml:space="preserve">_spacing_flag is equal to 0. The value of </w:t>
      </w:r>
      <w:r w:rsidR="00152DEE" w:rsidRPr="00A52AB8">
        <w:rPr>
          <w:lang w:eastAsia="ja-JP"/>
        </w:rPr>
        <w:t>af</w:t>
      </w:r>
      <w:r w:rsidR="00B858D3" w:rsidRPr="00A52AB8">
        <w:rPr>
          <w:lang w:eastAsia="ja-JP"/>
        </w:rPr>
        <w:t>ti_num_</w:t>
      </w:r>
      <w:r w:rsidR="00152DEE" w:rsidRPr="00A52AB8">
        <w:rPr>
          <w:lang w:eastAsia="ja-JP"/>
        </w:rPr>
        <w:t>partition</w:t>
      </w:r>
      <w:r w:rsidR="00B858D3" w:rsidRPr="00A52AB8">
        <w:rPr>
          <w:lang w:eastAsia="ja-JP"/>
        </w:rPr>
        <w:t xml:space="preserve">_rows_minus1 shall be in the range of 0 to </w:t>
      </w:r>
      <w:r w:rsidR="006A25C5" w:rsidRPr="00A52AB8">
        <w:rPr>
          <w:lang w:eastAsia="ja-JP"/>
        </w:rPr>
        <w:t>asps</w:t>
      </w:r>
      <w:r w:rsidR="00B858D3" w:rsidRPr="00A52AB8">
        <w:rPr>
          <w:lang w:eastAsia="ja-JP"/>
        </w:rPr>
        <w:t>_frame_height / 64 − </w:t>
      </w:r>
      <w:r w:rsidR="00B858D3" w:rsidRPr="00A52AB8">
        <w:t>1</w:t>
      </w:r>
      <w:r w:rsidR="00B858D3" w:rsidRPr="00A52AB8">
        <w:rPr>
          <w:lang w:eastAsia="ja-JP"/>
        </w:rPr>
        <w:t xml:space="preserve">, inclusive. If </w:t>
      </w:r>
      <w:r w:rsidR="008F0D00" w:rsidRPr="00A52AB8">
        <w:rPr>
          <w:lang w:eastAsia="ja-JP"/>
        </w:rPr>
        <w:t>afti_</w:t>
      </w:r>
      <w:r w:rsidR="00B858D3" w:rsidRPr="00A52AB8">
        <w:rPr>
          <w:lang w:eastAsia="ja-JP"/>
        </w:rPr>
        <w:t>single_tile_in_</w:t>
      </w:r>
      <w:r w:rsidR="00152DEE" w:rsidRPr="00A52AB8">
        <w:rPr>
          <w:lang w:eastAsia="ja-JP"/>
        </w:rPr>
        <w:t>atlas_frame</w:t>
      </w:r>
      <w:r w:rsidR="00B858D3" w:rsidRPr="00A52AB8">
        <w:rPr>
          <w:lang w:eastAsia="ja-JP"/>
        </w:rPr>
        <w:t xml:space="preserve">_flag is equal to 1, the value of </w:t>
      </w:r>
      <w:r w:rsidRPr="00A52AB8">
        <w:rPr>
          <w:lang w:eastAsia="ja-JP"/>
        </w:rPr>
        <w:t>afti_num_partition_rows_minus1</w:t>
      </w:r>
      <w:r w:rsidR="00B858D3" w:rsidRPr="00A52AB8">
        <w:rPr>
          <w:lang w:eastAsia="ja-JP"/>
        </w:rPr>
        <w:t xml:space="preserve"> is inferred to be equal to 0. Otherwise, when </w:t>
      </w:r>
      <w:r w:rsidRPr="00A52AB8">
        <w:rPr>
          <w:lang w:eastAsia="ja-JP"/>
        </w:rPr>
        <w:t>afti_uniform_partition_spacing_flag</w:t>
      </w:r>
      <w:r w:rsidR="00B858D3" w:rsidRPr="00A52AB8">
        <w:rPr>
          <w:lang w:eastAsia="ja-JP"/>
        </w:rPr>
        <w:t xml:space="preserve"> is equal to 1, the value of </w:t>
      </w:r>
      <w:r w:rsidRPr="00A52AB8">
        <w:rPr>
          <w:lang w:eastAsia="ja-JP"/>
        </w:rPr>
        <w:t>afti_num_partition_rows_minus1</w:t>
      </w:r>
      <w:r w:rsidR="00B858D3" w:rsidRPr="00A52AB8">
        <w:rPr>
          <w:lang w:eastAsia="ja-JP"/>
        </w:rPr>
        <w:t xml:space="preserve"> is inferred as specified in </w:t>
      </w:r>
      <w:r w:rsidR="00406A86" w:rsidRPr="00A52AB8">
        <w:rPr>
          <w:lang w:eastAsia="ja-JP"/>
        </w:rPr>
        <w:t>subclause</w:t>
      </w:r>
      <w:r w:rsidR="00D46D9D" w:rsidRPr="00A52AB8">
        <w:rPr>
          <w:lang w:eastAsia="ja-JP"/>
        </w:rPr>
        <w:t xml:space="preserve"> </w:t>
      </w:r>
      <w:r w:rsidR="00D46D9D" w:rsidRPr="00496A4D">
        <w:rPr>
          <w:lang w:eastAsia="ja-JP"/>
        </w:rPr>
        <w:fldChar w:fldCharType="begin"/>
      </w:r>
      <w:r w:rsidR="00D46D9D" w:rsidRPr="00A52AB8">
        <w:rPr>
          <w:lang w:eastAsia="ja-JP"/>
        </w:rPr>
        <w:instrText xml:space="preserve"> REF _Ref39812211 \r \h </w:instrText>
      </w:r>
      <w:r w:rsidR="007478BA" w:rsidRPr="00A52AB8">
        <w:rPr>
          <w:lang w:eastAsia="ja-JP"/>
        </w:rPr>
        <w:instrText xml:space="preserve"> \* MERGEFORMAT </w:instrText>
      </w:r>
      <w:r w:rsidR="00D46D9D" w:rsidRPr="00496A4D">
        <w:rPr>
          <w:lang w:eastAsia="ja-JP"/>
        </w:rPr>
      </w:r>
      <w:r w:rsidR="00D46D9D" w:rsidRPr="00496A4D">
        <w:rPr>
          <w:lang w:eastAsia="ja-JP"/>
        </w:rPr>
        <w:fldChar w:fldCharType="separate"/>
      </w:r>
      <w:r w:rsidR="00507A67">
        <w:rPr>
          <w:lang w:eastAsia="ja-JP"/>
        </w:rPr>
        <w:t>7.5</w:t>
      </w:r>
      <w:r w:rsidR="00D46D9D" w:rsidRPr="00496A4D">
        <w:rPr>
          <w:lang w:eastAsia="ja-JP"/>
        </w:rPr>
        <w:fldChar w:fldCharType="end"/>
      </w:r>
      <w:r w:rsidR="00B858D3" w:rsidRPr="00A52AB8">
        <w:rPr>
          <w:lang w:eastAsia="ja-JP"/>
        </w:rPr>
        <w:t>.</w:t>
      </w:r>
    </w:p>
    <w:p w14:paraId="54ABC65C" w14:textId="7D3E24BF" w:rsidR="00B858D3" w:rsidRPr="00A52AB8" w:rsidRDefault="00B858D3">
      <w:pPr>
        <w:rPr>
          <w:lang w:eastAsia="ja-JP"/>
        </w:rPr>
      </w:pPr>
      <w:r w:rsidRPr="00A52AB8">
        <w:rPr>
          <w:lang w:eastAsia="ja-JP"/>
        </w:rPr>
        <w:t xml:space="preserve">The variable </w:t>
      </w:r>
      <w:r w:rsidR="00AB7AAB" w:rsidRPr="00A52AB8">
        <w:rPr>
          <w:lang w:eastAsia="ja-JP"/>
        </w:rPr>
        <w:t>NumPartitionsInAtlasFrame</w:t>
      </w:r>
      <w:r w:rsidRPr="00A52AB8">
        <w:rPr>
          <w:lang w:eastAsia="ja-JP"/>
        </w:rPr>
        <w:t xml:space="preserve"> is set equal to </w:t>
      </w:r>
      <w:r w:rsidR="00B95097" w:rsidRPr="00A52AB8">
        <w:rPr>
          <w:lang w:eastAsia="ja-JP"/>
        </w:rPr>
        <w:t>NumPartitionColumns * NumPartitionRows</w:t>
      </w:r>
      <w:r w:rsidR="003C1362" w:rsidRPr="00A52AB8">
        <w:rPr>
          <w:lang w:eastAsia="ja-JP"/>
        </w:rPr>
        <w:t xml:space="preserve">, where NumPartitionColumns and NumPartitionRows are derived in subclause </w:t>
      </w:r>
      <w:r w:rsidR="003C1362" w:rsidRPr="00496A4D">
        <w:rPr>
          <w:lang w:eastAsia="ja-JP"/>
        </w:rPr>
        <w:fldChar w:fldCharType="begin"/>
      </w:r>
      <w:r w:rsidR="003C1362" w:rsidRPr="00A52AB8">
        <w:rPr>
          <w:lang w:eastAsia="ja-JP"/>
        </w:rPr>
        <w:instrText xml:space="preserve"> REF _Ref39419709 \n \h </w:instrText>
      </w:r>
      <w:r w:rsidR="007478BA" w:rsidRPr="00A52AB8">
        <w:rPr>
          <w:lang w:eastAsia="ja-JP"/>
        </w:rPr>
        <w:instrText xml:space="preserve"> \* MERGEFORMAT </w:instrText>
      </w:r>
      <w:r w:rsidR="003C1362" w:rsidRPr="00496A4D">
        <w:rPr>
          <w:lang w:eastAsia="ja-JP"/>
        </w:rPr>
      </w:r>
      <w:r w:rsidR="003C1362" w:rsidRPr="00496A4D">
        <w:rPr>
          <w:lang w:eastAsia="ja-JP"/>
        </w:rPr>
        <w:fldChar w:fldCharType="separate"/>
      </w:r>
      <w:r w:rsidR="00507A67">
        <w:rPr>
          <w:lang w:eastAsia="ja-JP"/>
        </w:rPr>
        <w:t>7.5</w:t>
      </w:r>
      <w:r w:rsidR="003C1362" w:rsidRPr="00496A4D">
        <w:rPr>
          <w:lang w:eastAsia="ja-JP"/>
        </w:rPr>
        <w:fldChar w:fldCharType="end"/>
      </w:r>
      <w:r w:rsidR="003C1362" w:rsidRPr="00A52AB8">
        <w:rPr>
          <w:lang w:eastAsia="ja-JP"/>
        </w:rPr>
        <w:t>.</w:t>
      </w:r>
    </w:p>
    <w:p w14:paraId="5CE595D5" w14:textId="77777777" w:rsidR="00B858D3" w:rsidRPr="00A52AB8" w:rsidRDefault="00B858D3">
      <w:pPr>
        <w:rPr>
          <w:lang w:eastAsia="ja-JP"/>
        </w:rPr>
      </w:pPr>
      <w:r w:rsidRPr="00A52AB8">
        <w:rPr>
          <w:lang w:eastAsia="ja-JP"/>
        </w:rPr>
        <w:t xml:space="preserve">When </w:t>
      </w:r>
      <w:r w:rsidR="008F0D00" w:rsidRPr="00A52AB8">
        <w:rPr>
          <w:lang w:eastAsia="ja-JP"/>
        </w:rPr>
        <w:t>afti_</w:t>
      </w:r>
      <w:r w:rsidRPr="00A52AB8">
        <w:rPr>
          <w:lang w:eastAsia="ja-JP"/>
        </w:rPr>
        <w:t>single_tile_in_</w:t>
      </w:r>
      <w:r w:rsidR="00DD23CD" w:rsidRPr="00A52AB8">
        <w:rPr>
          <w:lang w:eastAsia="ja-JP"/>
        </w:rPr>
        <w:t>atlas_frame</w:t>
      </w:r>
      <w:r w:rsidRPr="00A52AB8">
        <w:rPr>
          <w:lang w:eastAsia="ja-JP"/>
        </w:rPr>
        <w:t xml:space="preserve">_flag is equal to 0, </w:t>
      </w:r>
      <w:r w:rsidR="00AB7AAB" w:rsidRPr="00A52AB8">
        <w:rPr>
          <w:lang w:eastAsia="ja-JP"/>
        </w:rPr>
        <w:t>NumPartitionsInAtlasFrame</w:t>
      </w:r>
      <w:r w:rsidRPr="00A52AB8">
        <w:rPr>
          <w:lang w:eastAsia="ja-JP"/>
        </w:rPr>
        <w:t xml:space="preserve"> shall be greater than 1.</w:t>
      </w:r>
    </w:p>
    <w:p w14:paraId="6EB1E11F" w14:textId="77777777" w:rsidR="00257D77" w:rsidRPr="00A52AB8" w:rsidRDefault="00C608C9">
      <w:pPr>
        <w:rPr>
          <w:b/>
          <w:lang w:eastAsia="ja-JP"/>
        </w:rPr>
      </w:pPr>
      <w:r w:rsidRPr="00A52AB8">
        <w:rPr>
          <w:b/>
          <w:lang w:eastAsia="ja-JP"/>
        </w:rPr>
        <w:t>afti_partition_column_width_minus1</w:t>
      </w:r>
      <w:r w:rsidR="001F4484" w:rsidRPr="00A52AB8">
        <w:rPr>
          <w:lang w:eastAsia="ja-JP"/>
        </w:rPr>
        <w:t>[ i ]</w:t>
      </w:r>
      <w:r w:rsidR="00E57525" w:rsidRPr="00A52AB8">
        <w:rPr>
          <w:lang w:eastAsia="ja-JP"/>
        </w:rPr>
        <w:t xml:space="preserve"> </w:t>
      </w:r>
      <w:r w:rsidR="00E57525" w:rsidRPr="00A52AB8">
        <w:t xml:space="preserve">plus 1 specifies the width of the i-th tile </w:t>
      </w:r>
      <w:r w:rsidR="00AB7AAB" w:rsidRPr="00A52AB8">
        <w:t xml:space="preserve">partition </w:t>
      </w:r>
      <w:r w:rsidR="00E57525" w:rsidRPr="00A52AB8">
        <w:t>column in units of 64 samples.</w:t>
      </w:r>
    </w:p>
    <w:p w14:paraId="39164CCF" w14:textId="77777777" w:rsidR="00257D77" w:rsidRPr="00A52AB8" w:rsidRDefault="00C608C9">
      <w:pPr>
        <w:rPr>
          <w:b/>
          <w:lang w:eastAsia="ja-JP"/>
        </w:rPr>
      </w:pPr>
      <w:r w:rsidRPr="00A52AB8">
        <w:rPr>
          <w:b/>
          <w:lang w:eastAsia="ja-JP"/>
        </w:rPr>
        <w:t>afti_partition_row_height_minus1</w:t>
      </w:r>
      <w:r w:rsidR="001F4484" w:rsidRPr="00A52AB8">
        <w:rPr>
          <w:lang w:eastAsia="ja-JP"/>
        </w:rPr>
        <w:t>[ i ]</w:t>
      </w:r>
      <w:r w:rsidR="00E57525" w:rsidRPr="00A52AB8">
        <w:t xml:space="preserve"> plus 1 specifies the height of the i-th tile </w:t>
      </w:r>
      <w:r w:rsidR="00AB7AAB" w:rsidRPr="00A52AB8">
        <w:t xml:space="preserve">partition </w:t>
      </w:r>
      <w:r w:rsidR="00E57525" w:rsidRPr="00A52AB8">
        <w:t>row in units of 64 samples.</w:t>
      </w:r>
    </w:p>
    <w:p w14:paraId="278D866E" w14:textId="77777777" w:rsidR="00257D77" w:rsidRPr="00A52AB8" w:rsidRDefault="00C608C9">
      <w:pPr>
        <w:rPr>
          <w:b/>
          <w:lang w:eastAsia="ja-JP"/>
        </w:rPr>
      </w:pPr>
      <w:r w:rsidRPr="00A52AB8">
        <w:rPr>
          <w:b/>
          <w:lang w:eastAsia="ja-JP"/>
        </w:rPr>
        <w:t>afti_single_partition_per_tile_flag</w:t>
      </w:r>
      <w:r w:rsidR="00E57525" w:rsidRPr="00A52AB8">
        <w:t xml:space="preserve"> equal to 1 specifies that each tile that refers to this </w:t>
      </w:r>
      <w:r w:rsidR="00A24F43" w:rsidRPr="00A52AB8">
        <w:t>AFPS</w:t>
      </w:r>
      <w:r w:rsidR="00E57525" w:rsidRPr="00A52AB8">
        <w:t xml:space="preserve"> includes one tile</w:t>
      </w:r>
      <w:r w:rsidR="00AB7AAB" w:rsidRPr="00A52AB8">
        <w:t xml:space="preserve"> partition</w:t>
      </w:r>
      <w:r w:rsidR="00E57525" w:rsidRPr="00A52AB8">
        <w:t xml:space="preserve">. </w:t>
      </w:r>
      <w:r w:rsidRPr="00A52AB8">
        <w:t>afti_single_partition_per_tile_flag</w:t>
      </w:r>
      <w:r w:rsidR="00E57525" w:rsidRPr="00A52AB8">
        <w:t xml:space="preserve"> equal to 0 specifies that a tile that refers to this </w:t>
      </w:r>
      <w:r w:rsidR="00A24F43" w:rsidRPr="00A52AB8">
        <w:t>AFPS</w:t>
      </w:r>
      <w:r w:rsidR="00E57525" w:rsidRPr="00A52AB8">
        <w:t xml:space="preserve"> may include more than one tile</w:t>
      </w:r>
      <w:r w:rsidR="00AB7AAB" w:rsidRPr="00A52AB8">
        <w:t xml:space="preserve"> partition</w:t>
      </w:r>
      <w:r w:rsidR="00E57525" w:rsidRPr="00A52AB8">
        <w:t xml:space="preserve">. When not present, the value of </w:t>
      </w:r>
      <w:r w:rsidRPr="00A52AB8">
        <w:t>afti_single_partition_per_tile_flag</w:t>
      </w:r>
      <w:r w:rsidR="00E57525" w:rsidRPr="00A52AB8">
        <w:t xml:space="preserve"> is inferred to be equal to 1.</w:t>
      </w:r>
    </w:p>
    <w:p w14:paraId="7B6AECA5" w14:textId="77777777" w:rsidR="00E57525" w:rsidRPr="00A52AB8" w:rsidRDefault="00C608C9">
      <w:pPr>
        <w:spacing w:line="240" w:lineRule="exact"/>
        <w:rPr>
          <w:rFonts w:eastAsia="Batang"/>
          <w:bCs/>
          <w:lang w:eastAsia="ko-KR"/>
        </w:rPr>
      </w:pPr>
      <w:r w:rsidRPr="00A52AB8">
        <w:rPr>
          <w:b/>
          <w:lang w:eastAsia="ja-JP"/>
        </w:rPr>
        <w:t>afti_num_tiles_in_atlas_frame_minus1</w:t>
      </w:r>
      <w:r w:rsidR="00E57525" w:rsidRPr="00A52AB8">
        <w:rPr>
          <w:b/>
          <w:lang w:eastAsia="ja-JP"/>
        </w:rPr>
        <w:t xml:space="preserve"> </w:t>
      </w:r>
      <w:r w:rsidR="00E57525" w:rsidRPr="00A52AB8">
        <w:rPr>
          <w:color w:val="000000"/>
        </w:rPr>
        <w:t>plus 1 specifies the number of tile</w:t>
      </w:r>
      <w:r w:rsidR="00AB7AAB" w:rsidRPr="00A52AB8">
        <w:rPr>
          <w:color w:val="000000"/>
        </w:rPr>
        <w:t xml:space="preserve">s </w:t>
      </w:r>
      <w:r w:rsidR="00E57525" w:rsidRPr="00A52AB8">
        <w:rPr>
          <w:color w:val="000000"/>
        </w:rPr>
        <w:t xml:space="preserve">in each </w:t>
      </w:r>
      <w:r w:rsidR="008F0D00" w:rsidRPr="00A52AB8">
        <w:rPr>
          <w:color w:val="000000"/>
        </w:rPr>
        <w:t>atlas frame</w:t>
      </w:r>
      <w:r w:rsidR="00E57525" w:rsidRPr="00A52AB8">
        <w:rPr>
          <w:color w:val="000000"/>
        </w:rPr>
        <w:t xml:space="preserve"> referring to the </w:t>
      </w:r>
      <w:r w:rsidR="00A24F43" w:rsidRPr="00A52AB8">
        <w:rPr>
          <w:color w:val="000000"/>
        </w:rPr>
        <w:t>AFPS</w:t>
      </w:r>
      <w:r w:rsidR="00E57525" w:rsidRPr="00A52AB8">
        <w:rPr>
          <w:color w:val="000000"/>
        </w:rPr>
        <w:t>.</w:t>
      </w:r>
      <w:r w:rsidR="00E57525" w:rsidRPr="00A52AB8">
        <w:rPr>
          <w:rFonts w:eastAsia="MS Mincho"/>
          <w:lang w:eastAsia="zh-CN"/>
        </w:rPr>
        <w:t xml:space="preserve"> The value of </w:t>
      </w:r>
      <w:r w:rsidRPr="00A52AB8">
        <w:rPr>
          <w:lang w:eastAsia="ja-JP"/>
        </w:rPr>
        <w:t>afti_num_tiles_in_atlas_frame_minus1</w:t>
      </w:r>
      <w:r w:rsidR="00E57525" w:rsidRPr="00A52AB8">
        <w:rPr>
          <w:b/>
          <w:lang w:eastAsia="ja-JP"/>
        </w:rPr>
        <w:t xml:space="preserve"> </w:t>
      </w:r>
      <w:r w:rsidR="00E57525" w:rsidRPr="00A52AB8">
        <w:rPr>
          <w:rFonts w:eastAsia="MS Mincho"/>
          <w:lang w:eastAsia="zh-CN"/>
        </w:rPr>
        <w:t xml:space="preserve">shall be in the range of 0 to </w:t>
      </w:r>
      <w:r w:rsidR="00AB7AAB" w:rsidRPr="00A52AB8">
        <w:t>NumPartitionsInAtlasFrame</w:t>
      </w:r>
      <w:r w:rsidR="00E57525" w:rsidRPr="00A52AB8">
        <w:t> − 1</w:t>
      </w:r>
      <w:r w:rsidR="00E57525" w:rsidRPr="00A52AB8">
        <w:rPr>
          <w:rFonts w:eastAsia="MS Mincho"/>
          <w:lang w:eastAsia="zh-CN"/>
        </w:rPr>
        <w:t xml:space="preserve">, inclusive. When not present and </w:t>
      </w:r>
      <w:r w:rsidRPr="00A52AB8">
        <w:rPr>
          <w:lang w:eastAsia="ja-JP"/>
        </w:rPr>
        <w:t>afti_single_partition_per_tile_flag</w:t>
      </w:r>
      <w:r w:rsidR="00E57525" w:rsidRPr="00A52AB8">
        <w:t xml:space="preserve"> </w:t>
      </w:r>
      <w:r w:rsidR="00E57525" w:rsidRPr="00A52AB8">
        <w:rPr>
          <w:bCs/>
        </w:rPr>
        <w:t>is equal to 1</w:t>
      </w:r>
      <w:r w:rsidR="00E57525" w:rsidRPr="00A52AB8">
        <w:rPr>
          <w:rFonts w:eastAsia="MS Mincho"/>
          <w:lang w:eastAsia="zh-CN"/>
        </w:rPr>
        <w:t xml:space="preserve">, the value of </w:t>
      </w:r>
      <w:r w:rsidRPr="00A52AB8">
        <w:rPr>
          <w:lang w:eastAsia="ja-JP"/>
        </w:rPr>
        <w:t>afti_num_tiles_in_atlas_frame_minus1</w:t>
      </w:r>
      <w:r w:rsidR="00E57525" w:rsidRPr="00A52AB8">
        <w:rPr>
          <w:b/>
          <w:lang w:eastAsia="ja-JP"/>
        </w:rPr>
        <w:t xml:space="preserve"> </w:t>
      </w:r>
      <w:r w:rsidR="00E57525" w:rsidRPr="00A52AB8">
        <w:rPr>
          <w:bCs/>
          <w:color w:val="000000"/>
        </w:rPr>
        <w:t xml:space="preserve">is inferred to be equal to </w:t>
      </w:r>
      <w:r w:rsidR="00AB7AAB" w:rsidRPr="00A52AB8">
        <w:t>NumPartitionsInAtlasFrame</w:t>
      </w:r>
      <w:r w:rsidR="00E57525" w:rsidRPr="00A52AB8">
        <w:t> − 1</w:t>
      </w:r>
      <w:r w:rsidR="00E57525" w:rsidRPr="00A52AB8">
        <w:rPr>
          <w:rFonts w:eastAsia="Batang"/>
          <w:bCs/>
          <w:lang w:eastAsia="ko-KR"/>
        </w:rPr>
        <w:t>.</w:t>
      </w:r>
    </w:p>
    <w:p w14:paraId="4794C8CB" w14:textId="1E4EAD40" w:rsidR="0050235C" w:rsidRPr="00A52AB8" w:rsidRDefault="00185709">
      <w:pPr>
        <w:spacing w:line="240" w:lineRule="exact"/>
        <w:rPr>
          <w:lang w:eastAsia="ja-JP"/>
        </w:rPr>
      </w:pPr>
      <w:r w:rsidRPr="00A52AB8">
        <w:rPr>
          <w:b/>
          <w:lang w:eastAsia="ja-JP"/>
        </w:rPr>
        <w:t>afti_top_left_partition_idx</w:t>
      </w:r>
      <w:r w:rsidR="001F4484" w:rsidRPr="00A52AB8">
        <w:rPr>
          <w:lang w:eastAsia="ja-JP"/>
        </w:rPr>
        <w:t>[ i ]</w:t>
      </w:r>
      <w:r w:rsidR="00E57525" w:rsidRPr="00A52AB8">
        <w:rPr>
          <w:lang w:eastAsia="ja-JP"/>
        </w:rPr>
        <w:t xml:space="preserve"> specifies the </w:t>
      </w:r>
      <w:r w:rsidR="00DE09A0" w:rsidRPr="00A52AB8">
        <w:rPr>
          <w:lang w:eastAsia="ja-JP"/>
        </w:rPr>
        <w:t xml:space="preserve">partition </w:t>
      </w:r>
      <w:r w:rsidR="00E57525" w:rsidRPr="00A52AB8">
        <w:rPr>
          <w:lang w:eastAsia="ja-JP"/>
        </w:rPr>
        <w:t xml:space="preserve">index of the tile </w:t>
      </w:r>
      <w:r w:rsidR="00DE09A0" w:rsidRPr="00A52AB8">
        <w:rPr>
          <w:lang w:eastAsia="ja-JP"/>
        </w:rPr>
        <w:t xml:space="preserve">partition </w:t>
      </w:r>
      <w:r w:rsidR="00E57525" w:rsidRPr="00A52AB8">
        <w:rPr>
          <w:lang w:eastAsia="ja-JP"/>
        </w:rPr>
        <w:t xml:space="preserve">located at the top-left corner of the i-th tile. </w:t>
      </w:r>
      <w:r w:rsidR="0049264C" w:rsidRPr="00A52AB8">
        <w:rPr>
          <w:lang w:eastAsia="ja-JP"/>
        </w:rPr>
        <w:t xml:space="preserve">The value of </w:t>
      </w:r>
      <w:r w:rsidR="0049264C" w:rsidRPr="00A52AB8">
        <w:rPr>
          <w:lang w:eastAsia="ko-KR"/>
        </w:rPr>
        <w:t>afti_top_left_partition_idx[ i ] shall be in the range of 0 to NumPartitionsInAtlasFrame</w:t>
      </w:r>
      <w:r w:rsidR="007E2FEA" w:rsidRPr="00A52AB8">
        <w:rPr>
          <w:lang w:eastAsia="ko-KR"/>
        </w:rPr>
        <w:t> </w:t>
      </w:r>
      <w:r w:rsidR="0049264C" w:rsidRPr="00A52AB8">
        <w:rPr>
          <w:lang w:eastAsia="ko-KR"/>
        </w:rPr>
        <w:t>–</w:t>
      </w:r>
      <w:r w:rsidR="007E2FEA" w:rsidRPr="00A52AB8">
        <w:rPr>
          <w:lang w:eastAsia="ko-KR"/>
        </w:rPr>
        <w:t> </w:t>
      </w:r>
      <w:r w:rsidR="0049264C" w:rsidRPr="00A52AB8">
        <w:rPr>
          <w:lang w:eastAsia="ko-KR"/>
        </w:rPr>
        <w:t>1</w:t>
      </w:r>
      <w:r w:rsidR="00944F99" w:rsidRPr="00A52AB8">
        <w:rPr>
          <w:lang w:eastAsia="ko-KR"/>
        </w:rPr>
        <w:t>, inclusive</w:t>
      </w:r>
      <w:r w:rsidR="0049264C" w:rsidRPr="00A52AB8">
        <w:rPr>
          <w:lang w:eastAsia="ko-KR"/>
        </w:rPr>
        <w:t xml:space="preserve">. </w:t>
      </w:r>
      <w:r w:rsidR="00DE09A0" w:rsidRPr="00A52AB8">
        <w:rPr>
          <w:lang w:eastAsia="ko-KR"/>
        </w:rPr>
        <w:t>When not present, the value of afti_top_left_partition_idx[ i ] is inferred to be equal to i</w:t>
      </w:r>
      <w:r w:rsidR="00DE09A0" w:rsidRPr="00A52AB8">
        <w:rPr>
          <w:rFonts w:eastAsia="Batang"/>
          <w:bCs/>
          <w:lang w:eastAsia="ko-KR"/>
        </w:rPr>
        <w:t xml:space="preserve">. The length of the </w:t>
      </w:r>
      <w:r w:rsidR="00DE09A0" w:rsidRPr="00A52AB8">
        <w:rPr>
          <w:lang w:eastAsia="ko-KR"/>
        </w:rPr>
        <w:t>afti_top_left_partition_idx</w:t>
      </w:r>
      <w:r w:rsidR="00DE09A0" w:rsidRPr="00A52AB8">
        <w:rPr>
          <w:lang w:eastAsia="ja-JP"/>
        </w:rPr>
        <w:t>[ i ] syntax element is Ceil( Log2( </w:t>
      </w:r>
      <w:r w:rsidR="00DE09A0" w:rsidRPr="00A52AB8">
        <w:t>NumPartitionsInAtlasFrame </w:t>
      </w:r>
      <w:r w:rsidR="00DE09A0" w:rsidRPr="00A52AB8">
        <w:rPr>
          <w:lang w:eastAsia="ja-JP"/>
        </w:rPr>
        <w:t>)</w:t>
      </w:r>
      <w:r w:rsidR="00B63285" w:rsidRPr="00A52AB8">
        <w:rPr>
          <w:lang w:eastAsia="ja-JP"/>
        </w:rPr>
        <w:t> )</w:t>
      </w:r>
      <w:r w:rsidR="00DE09A0" w:rsidRPr="00A52AB8">
        <w:rPr>
          <w:lang w:eastAsia="ja-JP"/>
        </w:rPr>
        <w:t xml:space="preserve"> bits.</w:t>
      </w:r>
    </w:p>
    <w:p w14:paraId="2BFF493B" w14:textId="77777777" w:rsidR="0050235C" w:rsidRPr="00A52AB8" w:rsidRDefault="00DE09A0">
      <w:pPr>
        <w:spacing w:line="240" w:lineRule="exact"/>
        <w:ind w:left="3"/>
        <w:rPr>
          <w:lang w:eastAsia="ja-JP"/>
        </w:rPr>
      </w:pPr>
      <w:r w:rsidRPr="00A52AB8">
        <w:rPr>
          <w:b/>
          <w:lang w:eastAsia="ja-JP"/>
        </w:rPr>
        <w:t>afti_bottom_right_partition_column_offset</w:t>
      </w:r>
      <w:r w:rsidRPr="00A52AB8">
        <w:rPr>
          <w:bCs/>
          <w:lang w:eastAsia="ja-JP"/>
        </w:rPr>
        <w:t>[</w:t>
      </w:r>
      <w:r w:rsidR="001F4484" w:rsidRPr="00A52AB8">
        <w:rPr>
          <w:lang w:eastAsia="ja-JP"/>
        </w:rPr>
        <w:t> i ]</w:t>
      </w:r>
      <w:r w:rsidR="002D0DC0" w:rsidRPr="00A52AB8">
        <w:rPr>
          <w:lang w:eastAsia="ja-JP"/>
        </w:rPr>
        <w:t xml:space="preserve"> specifies the </w:t>
      </w:r>
      <w:r w:rsidRPr="00A52AB8">
        <w:rPr>
          <w:lang w:eastAsia="ja-JP"/>
        </w:rPr>
        <w:t xml:space="preserve">offset </w:t>
      </w:r>
      <w:r w:rsidR="002D0DC0" w:rsidRPr="00A52AB8">
        <w:rPr>
          <w:lang w:eastAsia="ja-JP"/>
        </w:rPr>
        <w:t xml:space="preserve">between the </w:t>
      </w:r>
      <w:r w:rsidRPr="00A52AB8">
        <w:rPr>
          <w:lang w:eastAsia="ja-JP"/>
        </w:rPr>
        <w:t xml:space="preserve">column position of the </w:t>
      </w:r>
      <w:r w:rsidR="002D0DC0" w:rsidRPr="00A52AB8">
        <w:rPr>
          <w:lang w:eastAsia="ja-JP"/>
        </w:rPr>
        <w:t xml:space="preserve">tile </w:t>
      </w:r>
      <w:r w:rsidRPr="00A52AB8">
        <w:rPr>
          <w:lang w:eastAsia="ja-JP"/>
        </w:rPr>
        <w:t xml:space="preserve">partition </w:t>
      </w:r>
      <w:r w:rsidR="002D0DC0" w:rsidRPr="00A52AB8">
        <w:rPr>
          <w:lang w:eastAsia="ja-JP"/>
        </w:rPr>
        <w:t xml:space="preserve">located at the bottom-right corner of the i-th </w:t>
      </w:r>
      <w:r w:rsidR="00B8075E" w:rsidRPr="00A52AB8">
        <w:rPr>
          <w:lang w:eastAsia="ja-JP"/>
        </w:rPr>
        <w:t>tile</w:t>
      </w:r>
      <w:r w:rsidR="002D0DC0" w:rsidRPr="00A52AB8">
        <w:rPr>
          <w:lang w:eastAsia="ja-JP"/>
        </w:rPr>
        <w:t xml:space="preserve"> and </w:t>
      </w:r>
      <w:r w:rsidRPr="00A52AB8">
        <w:rPr>
          <w:lang w:eastAsia="ja-JP"/>
        </w:rPr>
        <w:t xml:space="preserve">the column position of the tile partition with partition index equal to </w:t>
      </w:r>
      <w:r w:rsidR="00185709" w:rsidRPr="00A52AB8">
        <w:rPr>
          <w:lang w:eastAsia="ko-KR"/>
        </w:rPr>
        <w:t>afti_top_left_partition_idx</w:t>
      </w:r>
      <w:r w:rsidR="001F4484" w:rsidRPr="00A52AB8">
        <w:rPr>
          <w:lang w:eastAsia="ja-JP"/>
        </w:rPr>
        <w:t>[ i ]</w:t>
      </w:r>
      <w:r w:rsidR="002D0DC0" w:rsidRPr="00A52AB8">
        <w:rPr>
          <w:lang w:eastAsia="ja-JP"/>
        </w:rPr>
        <w:t xml:space="preserve">. When </w:t>
      </w:r>
      <w:r w:rsidR="00C608C9" w:rsidRPr="00A52AB8">
        <w:rPr>
          <w:lang w:eastAsia="ja-JP"/>
        </w:rPr>
        <w:t>afti_single_partition_per_tile_flag</w:t>
      </w:r>
      <w:r w:rsidR="002D0DC0" w:rsidRPr="00A52AB8">
        <w:t xml:space="preserve"> </w:t>
      </w:r>
      <w:r w:rsidR="002D0DC0" w:rsidRPr="00A52AB8">
        <w:rPr>
          <w:lang w:eastAsia="ja-JP"/>
        </w:rPr>
        <w:t xml:space="preserve">is equal to 1, the value of </w:t>
      </w:r>
      <w:r w:rsidRPr="00A52AB8">
        <w:rPr>
          <w:lang w:eastAsia="ja-JP"/>
        </w:rPr>
        <w:t>afti_bottom_right_partition_column_offset</w:t>
      </w:r>
      <w:r w:rsidR="001F4484" w:rsidRPr="00A52AB8">
        <w:rPr>
          <w:lang w:eastAsia="ja-JP"/>
        </w:rPr>
        <w:t>[ i ]</w:t>
      </w:r>
      <w:r w:rsidR="002D0DC0" w:rsidRPr="00A52AB8">
        <w:rPr>
          <w:lang w:eastAsia="ja-JP"/>
        </w:rPr>
        <w:t xml:space="preserve"> is inferred to be equal to 0.</w:t>
      </w:r>
    </w:p>
    <w:p w14:paraId="1D1987D3" w14:textId="31E7FDC5" w:rsidR="00141FD8" w:rsidRPr="00A52AB8" w:rsidRDefault="00141FD8">
      <w:pPr>
        <w:spacing w:line="240" w:lineRule="exact"/>
        <w:ind w:left="3"/>
        <w:rPr>
          <w:rFonts w:eastAsia="MS Mincho"/>
          <w:color w:val="000000"/>
          <w:lang w:eastAsia="zh-CN"/>
        </w:rPr>
      </w:pPr>
      <w:r w:rsidRPr="00A52AB8">
        <w:rPr>
          <w:b/>
          <w:lang w:eastAsia="ja-JP"/>
        </w:rPr>
        <w:t>afti_bottom_right_partition_row_offset</w:t>
      </w:r>
      <w:r w:rsidRPr="00A52AB8">
        <w:rPr>
          <w:bCs/>
          <w:lang w:eastAsia="ja-JP"/>
        </w:rPr>
        <w:t>[</w:t>
      </w:r>
      <w:r w:rsidRPr="00A52AB8">
        <w:rPr>
          <w:lang w:eastAsia="ja-JP"/>
        </w:rPr>
        <w:t xml:space="preserve"> i ] specifies the offset between the row position of the tile partition located at the bottom-right corner of the i-th </w:t>
      </w:r>
      <w:r w:rsidR="00B8075E" w:rsidRPr="00A52AB8">
        <w:rPr>
          <w:lang w:eastAsia="ja-JP"/>
        </w:rPr>
        <w:t>tile</w:t>
      </w:r>
      <w:r w:rsidRPr="00A52AB8">
        <w:rPr>
          <w:lang w:eastAsia="ja-JP"/>
        </w:rPr>
        <w:t xml:space="preserve"> and the row position of the tile partition with partition index equal to </w:t>
      </w:r>
      <w:r w:rsidRPr="00A52AB8">
        <w:rPr>
          <w:lang w:eastAsia="ko-KR"/>
        </w:rPr>
        <w:t>afti_top_left_partition_idx</w:t>
      </w:r>
      <w:r w:rsidRPr="00A52AB8">
        <w:rPr>
          <w:lang w:eastAsia="ja-JP"/>
        </w:rPr>
        <w:t>[ i ]. When afti_single_partition_per_tile_flag</w:t>
      </w:r>
      <w:r w:rsidRPr="00A52AB8">
        <w:t xml:space="preserve"> </w:t>
      </w:r>
      <w:r w:rsidRPr="00A52AB8">
        <w:rPr>
          <w:lang w:eastAsia="ja-JP"/>
        </w:rPr>
        <w:t>is equal to 1, the value of afti_bottom_right_partition_row_offset[ i ] is inferred to be equal to 0.</w:t>
      </w:r>
    </w:p>
    <w:p w14:paraId="777C58EE" w14:textId="77777777" w:rsidR="00141FD8" w:rsidRPr="00A52AB8" w:rsidRDefault="00141FD8" w:rsidP="00141FD8">
      <w:pPr>
        <w:spacing w:line="240" w:lineRule="exact"/>
        <w:rPr>
          <w:lang w:eastAsia="ja-JP"/>
        </w:rPr>
      </w:pPr>
      <w:r w:rsidRPr="00A52AB8">
        <w:rPr>
          <w:lang w:eastAsia="ja-JP"/>
        </w:rPr>
        <w:t xml:space="preserve">The variables </w:t>
      </w:r>
      <w:r w:rsidR="003A60A5" w:rsidRPr="00A52AB8">
        <w:rPr>
          <w:lang w:eastAsia="ja-JP"/>
        </w:rPr>
        <w:t>topLeftColumn</w:t>
      </w:r>
      <w:r w:rsidRPr="00A52AB8">
        <w:rPr>
          <w:lang w:eastAsia="ja-JP"/>
        </w:rPr>
        <w:t xml:space="preserve">[ i ], </w:t>
      </w:r>
      <w:r w:rsidR="003A60A5" w:rsidRPr="00A52AB8">
        <w:rPr>
          <w:lang w:eastAsia="ja-JP"/>
        </w:rPr>
        <w:t>topLeftRow</w:t>
      </w:r>
      <w:r w:rsidRPr="00A52AB8">
        <w:rPr>
          <w:lang w:eastAsia="ja-JP"/>
        </w:rPr>
        <w:t xml:space="preserve">[ i ], </w:t>
      </w:r>
      <w:r w:rsidR="003A60A5" w:rsidRPr="00A52AB8">
        <w:rPr>
          <w:lang w:eastAsia="ja-JP"/>
        </w:rPr>
        <w:t>bottomRightColumn</w:t>
      </w:r>
      <w:r w:rsidRPr="00A52AB8">
        <w:rPr>
          <w:lang w:eastAsia="ja-JP"/>
        </w:rPr>
        <w:t xml:space="preserve">[ i ], and </w:t>
      </w:r>
      <w:r w:rsidR="003A60A5" w:rsidRPr="00A52AB8">
        <w:rPr>
          <w:lang w:eastAsia="ja-JP"/>
        </w:rPr>
        <w:t>bottomRightRow</w:t>
      </w:r>
      <w:r w:rsidRPr="00A52AB8">
        <w:rPr>
          <w:lang w:eastAsia="ja-JP"/>
        </w:rPr>
        <w:t>[ i ], which specify the corresponding tile column and row positions for the top left an</w:t>
      </w:r>
      <w:r w:rsidR="002E3193" w:rsidRPr="00A52AB8">
        <w:rPr>
          <w:lang w:eastAsia="ja-JP"/>
        </w:rPr>
        <w:t>d</w:t>
      </w:r>
      <w:r w:rsidRPr="00A52AB8">
        <w:rPr>
          <w:lang w:eastAsia="ja-JP"/>
        </w:rPr>
        <w:t xml:space="preserve"> bottom right tiles in a </w:t>
      </w:r>
      <w:r w:rsidR="00B8075E" w:rsidRPr="00A52AB8">
        <w:rPr>
          <w:lang w:eastAsia="ja-JP"/>
        </w:rPr>
        <w:t>tile</w:t>
      </w:r>
      <w:r w:rsidRPr="00A52AB8">
        <w:rPr>
          <w:lang w:eastAsia="ja-JP"/>
        </w:rPr>
        <w:t xml:space="preserve"> are computed as follows:</w:t>
      </w:r>
    </w:p>
    <w:p w14:paraId="786C93E6" w14:textId="76B06CEF" w:rsidR="00141FD8" w:rsidRPr="00A52AB8" w:rsidRDefault="00141FD8" w:rsidP="005C26E9">
      <w:pPr>
        <w:spacing w:line="240" w:lineRule="exact"/>
        <w:rPr>
          <w:lang w:eastAsia="ja-JP"/>
        </w:rPr>
      </w:pPr>
      <w:r w:rsidRPr="00A52AB8">
        <w:rPr>
          <w:lang w:eastAsia="ja-JP"/>
        </w:rPr>
        <w:tab/>
      </w:r>
      <w:r w:rsidR="003A60A5" w:rsidRPr="00A52AB8">
        <w:rPr>
          <w:lang w:eastAsia="ja-JP"/>
        </w:rPr>
        <w:t>topLeftColumn</w:t>
      </w:r>
      <w:r w:rsidRPr="00A52AB8">
        <w:rPr>
          <w:lang w:eastAsia="ja-JP"/>
        </w:rPr>
        <w:t>[ i ]</w:t>
      </w:r>
      <w:r w:rsidR="00D47707" w:rsidRPr="00A52AB8">
        <w:rPr>
          <w:lang w:eastAsia="ja-JP"/>
        </w:rPr>
        <w:t> = </w:t>
      </w:r>
      <w:r w:rsidRPr="00A52AB8">
        <w:rPr>
          <w:lang w:eastAsia="ja-JP"/>
        </w:rPr>
        <w:t>afti_top_left_partition_idx[ i ] % </w:t>
      </w:r>
      <w:r w:rsidR="00741CA2" w:rsidRPr="00A52AB8">
        <w:rPr>
          <w:lang w:eastAsia="ja-JP"/>
        </w:rPr>
        <w:t>NumPartitionColumns</w:t>
      </w:r>
      <w:r w:rsidRPr="00A52AB8">
        <w:rPr>
          <w:lang w:eastAsia="ja-JP"/>
        </w:rPr>
        <w:br/>
      </w:r>
      <w:r w:rsidRPr="00A52AB8">
        <w:rPr>
          <w:lang w:eastAsia="ja-JP"/>
        </w:rPr>
        <w:tab/>
      </w:r>
      <w:r w:rsidR="003A60A5" w:rsidRPr="00A52AB8">
        <w:rPr>
          <w:lang w:eastAsia="ja-JP"/>
        </w:rPr>
        <w:t>topLeftRow</w:t>
      </w:r>
      <w:r w:rsidRPr="00A52AB8">
        <w:rPr>
          <w:lang w:eastAsia="ja-JP"/>
        </w:rPr>
        <w:t>[ i ]</w:t>
      </w:r>
      <w:r w:rsidR="00D47707" w:rsidRPr="00A52AB8">
        <w:rPr>
          <w:lang w:eastAsia="ja-JP"/>
        </w:rPr>
        <w:t> = </w:t>
      </w:r>
      <w:r w:rsidRPr="00A52AB8">
        <w:rPr>
          <w:lang w:eastAsia="ja-JP"/>
        </w:rPr>
        <w:t>afti_top_left_partition_idx[ i ] / </w:t>
      </w:r>
      <w:r w:rsidR="0044424D" w:rsidRPr="00A52AB8">
        <w:rPr>
          <w:lang w:eastAsia="ja-JP"/>
        </w:rPr>
        <w:t>NumPartitionColumns</w:t>
      </w:r>
      <w:r w:rsidRPr="00A52AB8">
        <w:rPr>
          <w:lang w:eastAsia="ja-JP"/>
        </w:rPr>
        <w:br/>
      </w:r>
      <w:r w:rsidRPr="00A52AB8">
        <w:rPr>
          <w:lang w:eastAsia="ja-JP"/>
        </w:rPr>
        <w:tab/>
      </w:r>
      <w:r w:rsidR="003A60A5" w:rsidRPr="00A52AB8">
        <w:rPr>
          <w:lang w:eastAsia="ja-JP"/>
        </w:rPr>
        <w:t>bottomRightColumn</w:t>
      </w:r>
      <w:r w:rsidRPr="00A52AB8">
        <w:rPr>
          <w:lang w:eastAsia="ja-JP"/>
        </w:rPr>
        <w:t>[ i ]</w:t>
      </w:r>
      <w:r w:rsidR="00D47707" w:rsidRPr="00A52AB8">
        <w:rPr>
          <w:lang w:eastAsia="ja-JP"/>
        </w:rPr>
        <w:t> = </w:t>
      </w:r>
      <w:r w:rsidR="003A60A5" w:rsidRPr="00A52AB8">
        <w:rPr>
          <w:lang w:eastAsia="ja-JP"/>
        </w:rPr>
        <w:t>topLeftColumn</w:t>
      </w:r>
      <w:r w:rsidRPr="00A52AB8">
        <w:rPr>
          <w:lang w:eastAsia="ja-JP"/>
        </w:rPr>
        <w:t>[ i ] + </w:t>
      </w:r>
      <w:r w:rsidRPr="00A52AB8">
        <w:rPr>
          <w:bCs/>
          <w:lang w:eastAsia="ja-JP"/>
        </w:rPr>
        <w:t>afti_bottom_right_partition_column_offset[ i ]</w:t>
      </w:r>
      <w:r w:rsidRPr="00A52AB8">
        <w:rPr>
          <w:bCs/>
          <w:lang w:eastAsia="ja-JP"/>
        </w:rPr>
        <w:br/>
      </w:r>
      <w:r w:rsidRPr="00A52AB8">
        <w:rPr>
          <w:lang w:eastAsia="ja-JP"/>
        </w:rPr>
        <w:tab/>
      </w:r>
      <w:r w:rsidR="003A60A5" w:rsidRPr="00A52AB8">
        <w:rPr>
          <w:lang w:eastAsia="ja-JP"/>
        </w:rPr>
        <w:t>bottomRightRow</w:t>
      </w:r>
      <w:r w:rsidRPr="00A52AB8">
        <w:rPr>
          <w:lang w:eastAsia="ja-JP"/>
        </w:rPr>
        <w:t>[ i ]</w:t>
      </w:r>
      <w:r w:rsidR="00D47707" w:rsidRPr="00A52AB8">
        <w:rPr>
          <w:lang w:eastAsia="ja-JP"/>
        </w:rPr>
        <w:t> = </w:t>
      </w:r>
      <w:r w:rsidR="003A60A5" w:rsidRPr="00A52AB8">
        <w:rPr>
          <w:lang w:eastAsia="ja-JP"/>
        </w:rPr>
        <w:t>topLeftRow</w:t>
      </w:r>
      <w:r w:rsidRPr="00A52AB8">
        <w:rPr>
          <w:lang w:eastAsia="ja-JP"/>
        </w:rPr>
        <w:t>[ i ] + </w:t>
      </w:r>
      <w:r w:rsidR="003A60A5" w:rsidRPr="00A52AB8">
        <w:rPr>
          <w:bCs/>
          <w:lang w:eastAsia="ja-JP"/>
        </w:rPr>
        <w:t>afti_bottom_right_partition_row_offset[ i ]</w:t>
      </w:r>
    </w:p>
    <w:p w14:paraId="7872DF0E" w14:textId="77777777" w:rsidR="0049264C" w:rsidRPr="00A52AB8" w:rsidRDefault="0049264C" w:rsidP="005C26E9">
      <w:pPr>
        <w:spacing w:line="240" w:lineRule="exact"/>
      </w:pPr>
      <w:r w:rsidRPr="00A52AB8">
        <w:rPr>
          <w:lang w:eastAsia="ja-JP"/>
        </w:rPr>
        <w:t xml:space="preserve">It is a requirement of bitstream conformance that the values of bottomRightColumn[ i ] and bottomRightRow[ i ] shall be </w:t>
      </w:r>
      <w:r w:rsidR="009A1005" w:rsidRPr="00A52AB8">
        <w:rPr>
          <w:lang w:eastAsia="ja-JP"/>
        </w:rPr>
        <w:t>smaller or equal to</w:t>
      </w:r>
      <w:r w:rsidRPr="00A52AB8">
        <w:rPr>
          <w:lang w:eastAsia="ja-JP"/>
        </w:rPr>
        <w:t xml:space="preserve"> </w:t>
      </w:r>
      <w:r w:rsidR="009A1005" w:rsidRPr="00A52AB8">
        <w:rPr>
          <w:lang w:eastAsia="ja-JP"/>
        </w:rPr>
        <w:t>( asps_frame_width + 63 ) / 64 – 1 and ( asps_frame_height + 63 ) / 64 – 1, respectively.</w:t>
      </w:r>
    </w:p>
    <w:p w14:paraId="69E409B4" w14:textId="08AFFA92" w:rsidR="00141FD8" w:rsidRPr="00A52AB8" w:rsidRDefault="00141FD8" w:rsidP="00141FD8">
      <w:pPr>
        <w:rPr>
          <w:lang w:eastAsia="ja-JP"/>
        </w:rPr>
      </w:pPr>
      <w:r w:rsidRPr="00A52AB8">
        <w:rPr>
          <w:lang w:eastAsia="ja-JP"/>
        </w:rPr>
        <w:t xml:space="preserve">It is </w:t>
      </w:r>
      <w:r w:rsidR="009A1005" w:rsidRPr="00A52AB8">
        <w:rPr>
          <w:lang w:eastAsia="ja-JP"/>
        </w:rPr>
        <w:t xml:space="preserve">also </w:t>
      </w:r>
      <w:r w:rsidRPr="00A52AB8">
        <w:rPr>
          <w:lang w:eastAsia="ja-JP"/>
        </w:rPr>
        <w:t>a requirement of bitstream conformance that there shall not be a value of j, where j</w:t>
      </w:r>
      <w:r w:rsidR="006D233C" w:rsidRPr="00A52AB8">
        <w:rPr>
          <w:lang w:eastAsia="ja-JP"/>
        </w:rPr>
        <w:t> </w:t>
      </w:r>
      <w:r w:rsidR="00E963F3" w:rsidRPr="00A52AB8">
        <w:rPr>
          <w:color w:val="000000" w:themeColor="text1"/>
        </w:rPr>
        <w:t>!=</w:t>
      </w:r>
      <w:r w:rsidR="00D47707" w:rsidRPr="00A52AB8">
        <w:rPr>
          <w:color w:val="000000" w:themeColor="text1"/>
        </w:rPr>
        <w:t> </w:t>
      </w:r>
      <w:r w:rsidRPr="00A52AB8">
        <w:rPr>
          <w:lang w:eastAsia="ja-JP"/>
        </w:rPr>
        <w:t>i,</w:t>
      </w:r>
      <w:r w:rsidRPr="00A52AB8">
        <w:t xml:space="preserve"> that satisfies either one of these properties:</w:t>
      </w:r>
    </w:p>
    <w:p w14:paraId="35343065" w14:textId="4325A4DE" w:rsidR="008D06CA" w:rsidRPr="00A52AB8" w:rsidRDefault="003A60A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topLeftColumn</w:t>
      </w:r>
      <w:r w:rsidR="00141FD8" w:rsidRPr="00A52AB8">
        <w:rPr>
          <w:color w:val="000000" w:themeColor="text1"/>
        </w:rPr>
        <w:t>[ i ]</w:t>
      </w:r>
      <w:r w:rsidR="009A1005" w:rsidRPr="00A52AB8">
        <w:rPr>
          <w:color w:val="000000" w:themeColor="text1"/>
        </w:rPr>
        <w:t> </w:t>
      </w:r>
      <w:r w:rsidR="00A234FD" w:rsidRPr="00A52AB8">
        <w:rPr>
          <w:color w:val="000000" w:themeColor="text1"/>
        </w:rPr>
        <w:t>&lt;=</w:t>
      </w:r>
      <w:r w:rsidR="00D47707" w:rsidRPr="00A52AB8">
        <w:rPr>
          <w:color w:val="000000" w:themeColor="text1"/>
        </w:rPr>
        <w:t> </w:t>
      </w:r>
      <w:r w:rsidRPr="00A52AB8">
        <w:rPr>
          <w:color w:val="000000" w:themeColor="text1"/>
        </w:rPr>
        <w:t>topLeftColumn</w:t>
      </w:r>
      <w:r w:rsidR="00141FD8" w:rsidRPr="00A52AB8">
        <w:rPr>
          <w:color w:val="000000" w:themeColor="text1"/>
        </w:rPr>
        <w:t>[ j ]</w:t>
      </w:r>
      <w:r w:rsidR="009A1005" w:rsidRPr="00A52AB8">
        <w:rPr>
          <w:color w:val="000000" w:themeColor="text1"/>
        </w:rPr>
        <w:t> </w:t>
      </w:r>
      <w:r w:rsidR="00A234FD" w:rsidRPr="00A52AB8">
        <w:rPr>
          <w:color w:val="000000" w:themeColor="text1"/>
        </w:rPr>
        <w:t>&lt;=</w:t>
      </w:r>
      <w:r w:rsidR="00D47707" w:rsidRPr="00A52AB8">
        <w:rPr>
          <w:color w:val="000000" w:themeColor="text1"/>
        </w:rPr>
        <w:t> </w:t>
      </w:r>
      <w:r w:rsidRPr="00A52AB8">
        <w:rPr>
          <w:color w:val="000000" w:themeColor="text1"/>
        </w:rPr>
        <w:t>bottomRightColumn</w:t>
      </w:r>
      <w:r w:rsidR="00141FD8" w:rsidRPr="00A52AB8">
        <w:rPr>
          <w:color w:val="000000" w:themeColor="text1"/>
        </w:rPr>
        <w:t>[ i ]</w:t>
      </w:r>
    </w:p>
    <w:p w14:paraId="6C5534B3" w14:textId="1E84501C" w:rsidR="00141FD8" w:rsidRPr="00A52AB8" w:rsidRDefault="003A60A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topLeftRow</w:t>
      </w:r>
      <w:r w:rsidR="00141FD8" w:rsidRPr="00A52AB8">
        <w:rPr>
          <w:color w:val="000000" w:themeColor="text1"/>
        </w:rPr>
        <w:t>[ i ]</w:t>
      </w:r>
      <w:r w:rsidR="009A1005" w:rsidRPr="00A52AB8">
        <w:rPr>
          <w:color w:val="000000" w:themeColor="text1"/>
        </w:rPr>
        <w:t> </w:t>
      </w:r>
      <w:r w:rsidR="00A234FD" w:rsidRPr="00A52AB8">
        <w:rPr>
          <w:color w:val="000000" w:themeColor="text1"/>
        </w:rPr>
        <w:t>&lt;=</w:t>
      </w:r>
      <w:r w:rsidR="00D47707" w:rsidRPr="00A52AB8">
        <w:rPr>
          <w:color w:val="000000" w:themeColor="text1"/>
        </w:rPr>
        <w:t> </w:t>
      </w:r>
      <w:r w:rsidRPr="00A52AB8">
        <w:rPr>
          <w:color w:val="000000" w:themeColor="text1"/>
        </w:rPr>
        <w:t>topLeftRow</w:t>
      </w:r>
      <w:r w:rsidR="00141FD8" w:rsidRPr="00A52AB8">
        <w:rPr>
          <w:color w:val="000000" w:themeColor="text1"/>
        </w:rPr>
        <w:t>[ j ]</w:t>
      </w:r>
      <w:r w:rsidR="009A1005" w:rsidRPr="00A52AB8">
        <w:rPr>
          <w:color w:val="000000" w:themeColor="text1"/>
        </w:rPr>
        <w:t> </w:t>
      </w:r>
      <w:r w:rsidR="00A234FD" w:rsidRPr="00A52AB8">
        <w:rPr>
          <w:color w:val="000000" w:themeColor="text1"/>
        </w:rPr>
        <w:t>&lt;=</w:t>
      </w:r>
      <w:r w:rsidR="00D47707" w:rsidRPr="00A52AB8">
        <w:rPr>
          <w:color w:val="000000" w:themeColor="text1"/>
        </w:rPr>
        <w:t> </w:t>
      </w:r>
      <w:r w:rsidRPr="00A52AB8">
        <w:rPr>
          <w:color w:val="000000" w:themeColor="text1"/>
        </w:rPr>
        <w:t>bottomRightRow</w:t>
      </w:r>
      <w:r w:rsidR="00141FD8" w:rsidRPr="00A52AB8">
        <w:rPr>
          <w:color w:val="000000" w:themeColor="text1"/>
        </w:rPr>
        <w:t>[ i ]</w:t>
      </w:r>
    </w:p>
    <w:p w14:paraId="1BD3AFF7" w14:textId="3962B7CB" w:rsidR="00C36C1E" w:rsidRPr="00A52AB8" w:rsidRDefault="00B6614C" w:rsidP="00792CFF">
      <w:pPr>
        <w:pStyle w:val="Equation"/>
        <w:tabs>
          <w:tab w:val="left" w:pos="403"/>
        </w:tabs>
        <w:jc w:val="both"/>
      </w:pPr>
      <w:r w:rsidRPr="00A52AB8">
        <w:rPr>
          <w:lang w:eastAsia="ko-KR"/>
        </w:rPr>
        <w:t xml:space="preserve">The variables </w:t>
      </w:r>
      <w:r w:rsidR="006A2183" w:rsidRPr="00A52AB8">
        <w:rPr>
          <w:lang w:eastAsia="ko-KR"/>
        </w:rPr>
        <w:t xml:space="preserve">TileOffsetX[ i ], TileOffsetY[ i ], </w:t>
      </w:r>
      <w:r w:rsidR="00141FD8" w:rsidRPr="00A52AB8">
        <w:t>TileWidth</w:t>
      </w:r>
      <w:r w:rsidR="001F4484" w:rsidRPr="00A52AB8">
        <w:t>[ i ]</w:t>
      </w:r>
      <w:r w:rsidR="006A2183" w:rsidRPr="00A52AB8">
        <w:t>,</w:t>
      </w:r>
      <w:r w:rsidR="00956957" w:rsidRPr="00A52AB8">
        <w:t xml:space="preserve"> </w:t>
      </w:r>
      <w:r w:rsidRPr="00A52AB8">
        <w:t xml:space="preserve">and </w:t>
      </w:r>
      <w:r w:rsidR="00141FD8" w:rsidRPr="00A52AB8">
        <w:t>TileHeight</w:t>
      </w:r>
      <w:r w:rsidR="001F4484" w:rsidRPr="00A52AB8">
        <w:t>[ i ]</w:t>
      </w:r>
      <w:r w:rsidRPr="00A52AB8">
        <w:t xml:space="preserve">, which specify the </w:t>
      </w:r>
      <w:r w:rsidR="006A2183" w:rsidRPr="00A52AB8">
        <w:t xml:space="preserve">horizontal position, vertical position, </w:t>
      </w:r>
      <w:r w:rsidRPr="00A52AB8">
        <w:t>width</w:t>
      </w:r>
      <w:r w:rsidR="006A2183" w:rsidRPr="00A52AB8">
        <w:t>,</w:t>
      </w:r>
      <w:r w:rsidRPr="00A52AB8">
        <w:t xml:space="preserve"> and height of </w:t>
      </w:r>
      <w:r w:rsidR="0060567C" w:rsidRPr="00A52AB8">
        <w:t>a tile respectively, are then computed</w:t>
      </w:r>
      <w:r w:rsidR="001E4707" w:rsidRPr="00A52AB8">
        <w:t xml:space="preserve">, using the lists </w:t>
      </w:r>
      <w:r w:rsidR="001D16F5" w:rsidRPr="00A52AB8">
        <w:rPr>
          <w:color w:val="000000" w:themeColor="text1"/>
        </w:rPr>
        <w:t>P</w:t>
      </w:r>
      <w:r w:rsidR="0085113C" w:rsidRPr="00A52AB8">
        <w:rPr>
          <w:color w:val="000000" w:themeColor="text1"/>
        </w:rPr>
        <w:t>artitionWidth</w:t>
      </w:r>
      <w:r w:rsidR="001E4707" w:rsidRPr="00A52AB8">
        <w:t>[</w:t>
      </w:r>
      <w:r w:rsidR="006D233C" w:rsidRPr="00A52AB8">
        <w:t> i </w:t>
      </w:r>
      <w:r w:rsidR="001E4707" w:rsidRPr="00A52AB8">
        <w:t xml:space="preserve">] and </w:t>
      </w:r>
      <w:r w:rsidR="001D16F5" w:rsidRPr="00A52AB8">
        <w:t>PartitionH</w:t>
      </w:r>
      <w:r w:rsidR="001E4707" w:rsidRPr="00A52AB8">
        <w:t>eight[</w:t>
      </w:r>
      <w:r w:rsidR="006D233C" w:rsidRPr="00A52AB8">
        <w:t> </w:t>
      </w:r>
      <w:r w:rsidR="001E4707" w:rsidRPr="00A52AB8">
        <w:t>j</w:t>
      </w:r>
      <w:r w:rsidR="006D233C" w:rsidRPr="00A52AB8">
        <w:t> </w:t>
      </w:r>
      <w:r w:rsidR="001E4707" w:rsidRPr="00A52AB8">
        <w:t>]</w:t>
      </w:r>
      <w:r w:rsidR="0060567C" w:rsidRPr="00A52AB8">
        <w:t xml:space="preserve"> </w:t>
      </w:r>
      <w:r w:rsidR="001E4707" w:rsidRPr="00A52AB8">
        <w:t xml:space="preserve">that are computed as specified in </w:t>
      </w:r>
      <w:r w:rsidR="001E4707" w:rsidRPr="00A52AB8">
        <w:rPr>
          <w:lang w:eastAsia="ja-JP"/>
        </w:rPr>
        <w:t>subclause</w:t>
      </w:r>
      <w:r w:rsidR="00BE4EE2" w:rsidRPr="00A52AB8">
        <w:rPr>
          <w:lang w:eastAsia="ja-JP"/>
        </w:rPr>
        <w:t xml:space="preserve"> </w:t>
      </w:r>
      <w:r w:rsidR="00193BEB" w:rsidRPr="00496A4D">
        <w:rPr>
          <w:lang w:eastAsia="ja-JP"/>
        </w:rPr>
        <w:fldChar w:fldCharType="begin"/>
      </w:r>
      <w:r w:rsidR="00193BEB" w:rsidRPr="00A52AB8">
        <w:rPr>
          <w:lang w:eastAsia="ja-JP"/>
        </w:rPr>
        <w:instrText xml:space="preserve"> REF _Ref39419709 \r \h </w:instrText>
      </w:r>
      <w:r w:rsidR="00CA5401" w:rsidRPr="00A52AB8">
        <w:rPr>
          <w:lang w:eastAsia="ja-JP"/>
        </w:rPr>
        <w:instrText xml:space="preserve"> \* MERGEFORMAT </w:instrText>
      </w:r>
      <w:r w:rsidR="00193BEB" w:rsidRPr="00496A4D">
        <w:rPr>
          <w:lang w:eastAsia="ja-JP"/>
        </w:rPr>
      </w:r>
      <w:r w:rsidR="00193BEB" w:rsidRPr="00496A4D">
        <w:rPr>
          <w:lang w:eastAsia="ja-JP"/>
        </w:rPr>
        <w:fldChar w:fldCharType="separate"/>
      </w:r>
      <w:r w:rsidR="00507A67">
        <w:rPr>
          <w:lang w:eastAsia="ja-JP"/>
        </w:rPr>
        <w:t>7.5</w:t>
      </w:r>
      <w:r w:rsidR="00193BEB" w:rsidRPr="00496A4D">
        <w:rPr>
          <w:lang w:eastAsia="ja-JP"/>
        </w:rPr>
        <w:fldChar w:fldCharType="end"/>
      </w:r>
      <w:r w:rsidR="001E4707" w:rsidRPr="00A52AB8">
        <w:rPr>
          <w:rFonts w:eastAsia="MS Mincho"/>
          <w:lang w:eastAsia="zh-CN"/>
        </w:rPr>
        <w:t xml:space="preserve">, </w:t>
      </w:r>
      <w:r w:rsidR="0060567C" w:rsidRPr="00A52AB8">
        <w:t>as follows:</w:t>
      </w:r>
    </w:p>
    <w:p w14:paraId="231250CD" w14:textId="01CE77BE" w:rsidR="006A5534" w:rsidRPr="00A52AB8" w:rsidRDefault="00420454" w:rsidP="00AB7AAB">
      <w:pPr>
        <w:pStyle w:val="Equation"/>
        <w:tabs>
          <w:tab w:val="left" w:pos="403"/>
        </w:tabs>
      </w:pPr>
      <w:r w:rsidRPr="00A52AB8">
        <w:rPr>
          <w:lang w:eastAsia="ko-KR"/>
        </w:rPr>
        <w:tab/>
        <w:t>TileOffsetX</w:t>
      </w:r>
      <w:r w:rsidRPr="00A52AB8">
        <w:t>[ i ]</w:t>
      </w:r>
      <w:r w:rsidR="00D47707" w:rsidRPr="00A52AB8">
        <w:t> = </w:t>
      </w:r>
      <w:r w:rsidRPr="00A52AB8">
        <w:t>PartitionPosX[ topLeftColumn[ i ] ]</w:t>
      </w:r>
      <w:r w:rsidRPr="00A52AB8">
        <w:br/>
      </w:r>
      <w:r w:rsidRPr="00A52AB8">
        <w:rPr>
          <w:lang w:eastAsia="ja-JP"/>
        </w:rPr>
        <w:tab/>
      </w:r>
      <w:r w:rsidRPr="00A52AB8">
        <w:rPr>
          <w:lang w:eastAsia="ko-KR"/>
        </w:rPr>
        <w:t>TileOffsetY[ i ]</w:t>
      </w:r>
      <w:r w:rsidR="00D47707" w:rsidRPr="00A52AB8">
        <w:rPr>
          <w:lang w:eastAsia="ko-KR"/>
        </w:rPr>
        <w:t> = </w:t>
      </w:r>
      <w:r w:rsidRPr="00A52AB8">
        <w:t>PartitionPosY[ topLeftColumn[ i ] ]</w:t>
      </w:r>
      <w:r w:rsidRPr="00A52AB8">
        <w:rPr>
          <w:lang w:eastAsia="ja-JP"/>
        </w:rPr>
        <w:br/>
      </w:r>
      <w:r w:rsidRPr="00A52AB8">
        <w:tab/>
        <w:t>TileWidth[ i ]</w:t>
      </w:r>
      <w:r w:rsidR="0023721F" w:rsidRPr="00A52AB8">
        <w:t> </w:t>
      </w:r>
      <w:r w:rsidR="00D47707" w:rsidRPr="00A52AB8">
        <w:t>= </w:t>
      </w:r>
      <w:r w:rsidRPr="00A52AB8">
        <w:t xml:space="preserve">0 </w:t>
      </w:r>
      <w:r w:rsidRPr="00A52AB8">
        <w:br/>
      </w:r>
      <w:r w:rsidRPr="00A52AB8">
        <w:tab/>
        <w:t>TileHeight[ i ]</w:t>
      </w:r>
      <w:r w:rsidR="0023721F" w:rsidRPr="00A52AB8">
        <w:t> </w:t>
      </w:r>
      <w:r w:rsidR="00D47707" w:rsidRPr="00A52AB8">
        <w:t>= </w:t>
      </w:r>
      <w:r w:rsidRPr="00A52AB8">
        <w:t>0</w:t>
      </w:r>
      <w:r w:rsidRPr="00A52AB8">
        <w:br/>
      </w:r>
      <w:r w:rsidRPr="00A52AB8">
        <w:tab/>
        <w:t>for(</w:t>
      </w:r>
      <w:r w:rsidR="00956957" w:rsidRPr="00A52AB8">
        <w:t> </w:t>
      </w:r>
      <w:r w:rsidRPr="00A52AB8">
        <w:t>j</w:t>
      </w:r>
      <w:r w:rsidR="00D47707" w:rsidRPr="00A52AB8">
        <w:t> = </w:t>
      </w:r>
      <w:r w:rsidRPr="00A52AB8">
        <w:rPr>
          <w:lang w:eastAsia="ja-JP"/>
        </w:rPr>
        <w:t>topLeftColumn[ i ]</w:t>
      </w:r>
      <w:r w:rsidRPr="00A52AB8">
        <w:t>;</w:t>
      </w:r>
      <w:r w:rsidR="00956957" w:rsidRPr="00A52AB8">
        <w:t> </w:t>
      </w:r>
      <w:r w:rsidRPr="00A52AB8">
        <w:t>j</w:t>
      </w:r>
      <w:r w:rsidR="00956957" w:rsidRPr="00A52AB8">
        <w:t> </w:t>
      </w:r>
      <w:r w:rsidR="00A234FD" w:rsidRPr="00A52AB8">
        <w:t>&lt;=</w:t>
      </w:r>
      <w:r w:rsidR="00D47707" w:rsidRPr="00A52AB8">
        <w:t> </w:t>
      </w:r>
      <w:r w:rsidRPr="00A52AB8">
        <w:rPr>
          <w:lang w:eastAsia="ja-JP"/>
        </w:rPr>
        <w:t>bottomRightColumn[ i ]</w:t>
      </w:r>
      <w:r w:rsidRPr="00A52AB8">
        <w:t>;</w:t>
      </w:r>
      <w:r w:rsidR="00956957" w:rsidRPr="00A52AB8">
        <w:t> </w:t>
      </w:r>
      <w:r w:rsidRPr="00A52AB8">
        <w:t>j++</w:t>
      </w:r>
      <w:r w:rsidR="008F1F82" w:rsidRPr="00A52AB8">
        <w:t>) {</w:t>
      </w:r>
      <w:r w:rsidRPr="00A52AB8">
        <w:br/>
      </w:r>
      <w:r w:rsidRPr="00A52AB8">
        <w:tab/>
      </w:r>
      <w:r w:rsidRPr="00A52AB8">
        <w:tab/>
        <w:t>TileWidth[ i ] </w:t>
      </w:r>
      <w:r w:rsidR="00A234FD" w:rsidRPr="00A52AB8">
        <w:t>+=</w:t>
      </w:r>
      <w:r w:rsidR="00D47707" w:rsidRPr="00A52AB8">
        <w:t> </w:t>
      </w:r>
      <w:r w:rsidRPr="00A52AB8">
        <w:t>PartitionWidth[ j ]</w:t>
      </w:r>
      <w:r w:rsidRPr="00A52AB8">
        <w:br/>
      </w:r>
      <w:r w:rsidRPr="00A52AB8">
        <w:tab/>
        <w:t>}</w:t>
      </w:r>
      <w:r w:rsidRPr="00A52AB8">
        <w:br/>
      </w:r>
      <w:r w:rsidRPr="00A52AB8">
        <w:tab/>
        <w:t>for(</w:t>
      </w:r>
      <w:r w:rsidR="00956957" w:rsidRPr="00A52AB8">
        <w:t> </w:t>
      </w:r>
      <w:r w:rsidRPr="00A52AB8">
        <w:t>j</w:t>
      </w:r>
      <w:r w:rsidR="00D47707" w:rsidRPr="00A52AB8">
        <w:t> = </w:t>
      </w:r>
      <w:r w:rsidRPr="00A52AB8">
        <w:rPr>
          <w:lang w:eastAsia="ja-JP"/>
        </w:rPr>
        <w:t>topLeftRow[ i ]</w:t>
      </w:r>
      <w:r w:rsidRPr="00A52AB8">
        <w:t>;</w:t>
      </w:r>
      <w:r w:rsidR="00956957" w:rsidRPr="00A52AB8">
        <w:t> </w:t>
      </w:r>
      <w:r w:rsidRPr="00A52AB8">
        <w:t>j</w:t>
      </w:r>
      <w:r w:rsidR="00956957" w:rsidRPr="00A52AB8">
        <w:t> </w:t>
      </w:r>
      <w:r w:rsidR="00A234FD" w:rsidRPr="00A52AB8">
        <w:t>&lt;=</w:t>
      </w:r>
      <w:r w:rsidR="00D47707" w:rsidRPr="00A52AB8">
        <w:t> </w:t>
      </w:r>
      <w:r w:rsidRPr="00A52AB8">
        <w:rPr>
          <w:lang w:eastAsia="ja-JP"/>
        </w:rPr>
        <w:t>bottomRightRow[ i ]</w:t>
      </w:r>
      <w:r w:rsidRPr="00A52AB8">
        <w:t>;</w:t>
      </w:r>
      <w:r w:rsidR="00956957" w:rsidRPr="00A52AB8">
        <w:t> </w:t>
      </w:r>
      <w:r w:rsidRPr="00A52AB8">
        <w:t>j++</w:t>
      </w:r>
      <w:r w:rsidR="008F1F82" w:rsidRPr="00A52AB8">
        <w:t>) {</w:t>
      </w:r>
      <w:r w:rsidRPr="00A52AB8">
        <w:br/>
      </w:r>
      <w:r w:rsidRPr="00A52AB8">
        <w:tab/>
      </w:r>
      <w:r w:rsidRPr="00A52AB8">
        <w:tab/>
        <w:t>TileHeight[ i ] </w:t>
      </w:r>
      <w:r w:rsidR="00A234FD" w:rsidRPr="00A52AB8">
        <w:t>+=</w:t>
      </w:r>
      <w:r w:rsidR="00D47707" w:rsidRPr="00A52AB8">
        <w:t> </w:t>
      </w:r>
      <w:r w:rsidRPr="00A52AB8">
        <w:t>PartitionHeight[ j ]</w:t>
      </w:r>
      <w:r w:rsidRPr="00A52AB8">
        <w:br/>
      </w:r>
      <w:r w:rsidRPr="00A52AB8">
        <w:tab/>
        <w:t>}</w:t>
      </w:r>
    </w:p>
    <w:p w14:paraId="10B2998C" w14:textId="77777777" w:rsidR="006A5534" w:rsidRPr="00A52AB8" w:rsidRDefault="006A5534" w:rsidP="006A5534">
      <w:pPr>
        <w:rPr>
          <w:color w:val="000000" w:themeColor="text1"/>
        </w:rPr>
      </w:pPr>
      <w:r w:rsidRPr="00A52AB8">
        <w:rPr>
          <w:b/>
          <w:color w:val="000000" w:themeColor="text1"/>
        </w:rPr>
        <w:t>afti_auxiliary_video_tile_row_width_minus1</w:t>
      </w:r>
      <w:r w:rsidRPr="00A52AB8">
        <w:rPr>
          <w:color w:val="000000" w:themeColor="text1"/>
        </w:rPr>
        <w:t xml:space="preserve"> plus 1 indicates the nominal width of all auxiliary video sub-bitstreams in units of 64 integer samples</w:t>
      </w:r>
      <w:r w:rsidRPr="00A52AB8">
        <w:rPr>
          <w:rFonts w:eastAsia="Times New Roman"/>
          <w:color w:val="000000"/>
        </w:rPr>
        <w:t>.</w:t>
      </w:r>
      <w:r w:rsidRPr="00A52AB8">
        <w:rPr>
          <w:color w:val="000000" w:themeColor="text1"/>
        </w:rPr>
        <w:t xml:space="preserve"> When afti_auxiliary_video_tile_row_width_minus1 is not present, its value shall be inferred to be equal to –1.</w:t>
      </w:r>
    </w:p>
    <w:p w14:paraId="2457BB54" w14:textId="77777777" w:rsidR="0050235C" w:rsidRPr="00A52AB8" w:rsidRDefault="006A5534" w:rsidP="002F7A4D">
      <w:pPr>
        <w:rPr>
          <w:color w:val="000000" w:themeColor="text1"/>
        </w:rPr>
      </w:pPr>
      <w:r w:rsidRPr="00A52AB8">
        <w:rPr>
          <w:b/>
          <w:color w:val="000000" w:themeColor="text1"/>
        </w:rPr>
        <w:t>afti_auxiliary_video_tile_row_height</w:t>
      </w:r>
      <w:r w:rsidRPr="00A52AB8">
        <w:rPr>
          <w:bCs/>
          <w:color w:val="000000" w:themeColor="text1"/>
        </w:rPr>
        <w:t>[</w:t>
      </w:r>
      <w:r w:rsidR="0073714E" w:rsidRPr="00A52AB8">
        <w:rPr>
          <w:bCs/>
          <w:color w:val="000000" w:themeColor="text1"/>
        </w:rPr>
        <w:t> </w:t>
      </w:r>
      <w:r w:rsidR="004F4DB9" w:rsidRPr="00A52AB8">
        <w:rPr>
          <w:bCs/>
          <w:color w:val="000000" w:themeColor="text1"/>
        </w:rPr>
        <w:t>i</w:t>
      </w:r>
      <w:r w:rsidR="0073714E" w:rsidRPr="00A52AB8">
        <w:rPr>
          <w:bCs/>
          <w:color w:val="000000" w:themeColor="text1"/>
        </w:rPr>
        <w:t> </w:t>
      </w:r>
      <w:r w:rsidRPr="00A52AB8">
        <w:rPr>
          <w:bCs/>
          <w:color w:val="000000" w:themeColor="text1"/>
        </w:rPr>
        <w:t>]</w:t>
      </w:r>
      <w:r w:rsidRPr="00A52AB8">
        <w:rPr>
          <w:color w:val="000000" w:themeColor="text1"/>
        </w:rPr>
        <w:t xml:space="preserve"> indicates the nominal height </w:t>
      </w:r>
      <w:r w:rsidR="002F7A4D" w:rsidRPr="00A52AB8">
        <w:rPr>
          <w:color w:val="000000" w:themeColor="text1"/>
        </w:rPr>
        <w:t>in units of 64 integer samples of the i-th vertical sub-region in each auxiliary video sub-bitstream that is associated with the i-th tile of the atlas</w:t>
      </w:r>
      <w:r w:rsidR="002F7A4D" w:rsidRPr="00A52AB8">
        <w:rPr>
          <w:rFonts w:eastAsia="Times New Roman"/>
          <w:color w:val="000000"/>
        </w:rPr>
        <w:t>.</w:t>
      </w:r>
      <w:r w:rsidR="002F7A4D" w:rsidRPr="00A52AB8">
        <w:rPr>
          <w:color w:val="000000" w:themeColor="text1"/>
        </w:rPr>
        <w:t xml:space="preserve"> When </w:t>
      </w:r>
      <w:r w:rsidR="002F7A4D" w:rsidRPr="00A52AB8">
        <w:rPr>
          <w:bCs/>
          <w:color w:val="000000" w:themeColor="text1"/>
        </w:rPr>
        <w:t>afti_auxiliary_video_tile_row_height[</w:t>
      </w:r>
      <w:r w:rsidR="003300B4" w:rsidRPr="00A52AB8">
        <w:rPr>
          <w:bCs/>
          <w:color w:val="000000" w:themeColor="text1"/>
        </w:rPr>
        <w:t> </w:t>
      </w:r>
      <w:r w:rsidR="004F4DB9" w:rsidRPr="00A52AB8">
        <w:rPr>
          <w:bCs/>
          <w:color w:val="000000" w:themeColor="text1"/>
        </w:rPr>
        <w:t>i</w:t>
      </w:r>
      <w:r w:rsidR="003300B4" w:rsidRPr="00A52AB8">
        <w:rPr>
          <w:bCs/>
          <w:color w:val="000000" w:themeColor="text1"/>
        </w:rPr>
        <w:t> </w:t>
      </w:r>
      <w:r w:rsidR="002F7A4D" w:rsidRPr="00A52AB8">
        <w:rPr>
          <w:bCs/>
          <w:color w:val="000000" w:themeColor="text1"/>
        </w:rPr>
        <w:t>]</w:t>
      </w:r>
      <w:r w:rsidR="002F7A4D" w:rsidRPr="00A52AB8">
        <w:rPr>
          <w:color w:val="000000" w:themeColor="text1"/>
        </w:rPr>
        <w:t xml:space="preserve"> is not present, its value shall be inferred to be equal to 0.</w:t>
      </w:r>
    </w:p>
    <w:p w14:paraId="176CA87B" w14:textId="7BA92E07" w:rsidR="002F7A4D" w:rsidRPr="00A52AB8" w:rsidRDefault="00FD5BC6" w:rsidP="002F7A4D">
      <w:pPr>
        <w:rPr>
          <w:color w:val="000000" w:themeColor="text1"/>
        </w:rPr>
      </w:pPr>
      <w:r w:rsidRPr="00A52AB8">
        <w:rPr>
          <w:color w:val="000000" w:themeColor="text1"/>
        </w:rPr>
        <w:t>The height</w:t>
      </w:r>
      <w:r w:rsidR="00A528FA" w:rsidRPr="00A52AB8">
        <w:rPr>
          <w:color w:val="000000" w:themeColor="text1"/>
        </w:rPr>
        <w:t>, AuxTileHeight[ i ]</w:t>
      </w:r>
      <w:r w:rsidRPr="00A52AB8">
        <w:rPr>
          <w:color w:val="000000" w:themeColor="text1"/>
        </w:rPr>
        <w:t xml:space="preserve"> of each </w:t>
      </w:r>
      <w:r w:rsidR="00A528FA" w:rsidRPr="00A52AB8">
        <w:rPr>
          <w:color w:val="000000" w:themeColor="text1"/>
        </w:rPr>
        <w:t>auxiliary sub-region associated with the i-th tile of the atlas is computed as:</w:t>
      </w:r>
    </w:p>
    <w:p w14:paraId="3E883F70" w14:textId="68D45AAF" w:rsidR="00A528FA" w:rsidRPr="00A52AB8" w:rsidRDefault="00A528FA" w:rsidP="002F7A4D">
      <w:pPr>
        <w:rPr>
          <w:bCs/>
          <w:color w:val="000000" w:themeColor="text1"/>
        </w:rPr>
      </w:pPr>
      <w:r w:rsidRPr="00A52AB8">
        <w:rPr>
          <w:color w:val="000000" w:themeColor="text1"/>
        </w:rPr>
        <w:tab/>
        <w:t>AuxTileHeight[ i ]</w:t>
      </w:r>
      <w:r w:rsidR="00D47707" w:rsidRPr="00A52AB8">
        <w:rPr>
          <w:color w:val="000000" w:themeColor="text1"/>
        </w:rPr>
        <w:t> = </w:t>
      </w:r>
      <w:r w:rsidRPr="00A52AB8">
        <w:rPr>
          <w:bCs/>
          <w:color w:val="000000" w:themeColor="text1"/>
        </w:rPr>
        <w:t>afti_auxiliary_video_tile_row_height[ i ] * 64</w:t>
      </w:r>
    </w:p>
    <w:p w14:paraId="0BF693D7" w14:textId="77777777" w:rsidR="00F02BD7" w:rsidRPr="00A52AB8" w:rsidRDefault="00F02BD7" w:rsidP="00F02BD7">
      <w:pPr>
        <w:rPr>
          <w:color w:val="000000" w:themeColor="text1"/>
        </w:rPr>
      </w:pPr>
      <w:r w:rsidRPr="00A52AB8">
        <w:rPr>
          <w:color w:val="000000" w:themeColor="text1"/>
        </w:rPr>
        <w:t>The vertical position, AuxTileOffset[ i ] of each auxiliary sub-region associated with the i-th tile of the atlas is computed as:</w:t>
      </w:r>
    </w:p>
    <w:p w14:paraId="0D926504" w14:textId="712826B9" w:rsidR="00F02BD7" w:rsidRPr="00A52AB8" w:rsidRDefault="00F02BD7" w:rsidP="00F02BD7">
      <w:pPr>
        <w:rPr>
          <w:color w:val="000000" w:themeColor="text1"/>
        </w:rPr>
      </w:pPr>
      <w:r w:rsidRPr="00A52AB8">
        <w:rPr>
          <w:color w:val="000000" w:themeColor="text1"/>
        </w:rPr>
        <w:tab/>
        <w:t>AuxTileOffset</w:t>
      </w:r>
      <w:r w:rsidR="00D770D3" w:rsidRPr="00A52AB8">
        <w:rPr>
          <w:color w:val="000000" w:themeColor="text1"/>
        </w:rPr>
        <w:t>[ 0 ]</w:t>
      </w:r>
      <w:r w:rsidR="00D47707" w:rsidRPr="00A52AB8">
        <w:rPr>
          <w:color w:val="000000" w:themeColor="text1"/>
        </w:rPr>
        <w:t> = </w:t>
      </w:r>
      <w:r w:rsidRPr="00A52AB8">
        <w:rPr>
          <w:color w:val="000000" w:themeColor="text1"/>
        </w:rPr>
        <w:t>0</w:t>
      </w:r>
    </w:p>
    <w:p w14:paraId="443A0FFD" w14:textId="2C626E89" w:rsidR="00F02BD7" w:rsidRPr="00A52AB8" w:rsidRDefault="00F02BD7" w:rsidP="002F7A4D">
      <w:pPr>
        <w:rPr>
          <w:color w:val="000000" w:themeColor="text1"/>
        </w:rPr>
      </w:pPr>
      <w:r w:rsidRPr="00A52AB8">
        <w:rPr>
          <w:color w:val="000000" w:themeColor="text1"/>
        </w:rPr>
        <w:tab/>
      </w:r>
      <w:r w:rsidR="00D1358C" w:rsidRPr="00A52AB8">
        <w:rPr>
          <w:color w:val="000000" w:themeColor="text1"/>
        </w:rPr>
        <w:t>AuxTileOffset[ </w:t>
      </w:r>
      <w:r w:rsidR="003300B4" w:rsidRPr="00A52AB8">
        <w:rPr>
          <w:color w:val="000000" w:themeColor="text1"/>
        </w:rPr>
        <w:t>i</w:t>
      </w:r>
      <w:r w:rsidR="00D1358C" w:rsidRPr="00A52AB8">
        <w:rPr>
          <w:color w:val="000000" w:themeColor="text1"/>
        </w:rPr>
        <w:t> ]</w:t>
      </w:r>
      <w:r w:rsidR="00D47707" w:rsidRPr="00A52AB8">
        <w:rPr>
          <w:color w:val="000000" w:themeColor="text1"/>
        </w:rPr>
        <w:t> = </w:t>
      </w:r>
      <w:r w:rsidR="00D1358C" w:rsidRPr="00A52AB8">
        <w:rPr>
          <w:color w:val="000000" w:themeColor="text1"/>
        </w:rPr>
        <w:t>AuxTileOffset[ </w:t>
      </w:r>
      <w:r w:rsidR="00185D89" w:rsidRPr="00A52AB8">
        <w:rPr>
          <w:color w:val="000000" w:themeColor="text1"/>
        </w:rPr>
        <w:t>i</w:t>
      </w:r>
      <w:r w:rsidR="00D1358C" w:rsidRPr="00A52AB8">
        <w:rPr>
          <w:color w:val="000000" w:themeColor="text1"/>
        </w:rPr>
        <w:t> </w:t>
      </w:r>
      <w:r w:rsidR="00B5158F" w:rsidRPr="00A52AB8">
        <w:rPr>
          <w:color w:val="000000" w:themeColor="text1"/>
        </w:rPr>
        <w:t>– 1 </w:t>
      </w:r>
      <w:r w:rsidR="00D1358C" w:rsidRPr="00A52AB8">
        <w:rPr>
          <w:color w:val="000000" w:themeColor="text1"/>
        </w:rPr>
        <w:t>]</w:t>
      </w:r>
      <w:r w:rsidR="00B5158F" w:rsidRPr="00A52AB8">
        <w:rPr>
          <w:color w:val="000000" w:themeColor="text1"/>
        </w:rPr>
        <w:t> + </w:t>
      </w:r>
      <w:r w:rsidRPr="00A52AB8">
        <w:rPr>
          <w:color w:val="000000" w:themeColor="text1"/>
        </w:rPr>
        <w:t>AuxTileHeight[ </w:t>
      </w:r>
      <w:r w:rsidR="00CB6129" w:rsidRPr="00A52AB8">
        <w:rPr>
          <w:color w:val="000000" w:themeColor="text1"/>
        </w:rPr>
        <w:t>i </w:t>
      </w:r>
      <w:r w:rsidR="00062F6A" w:rsidRPr="00A52AB8">
        <w:rPr>
          <w:color w:val="000000" w:themeColor="text1"/>
        </w:rPr>
        <w:t>– </w:t>
      </w:r>
      <w:r w:rsidR="00CB6129" w:rsidRPr="00A52AB8">
        <w:rPr>
          <w:color w:val="000000" w:themeColor="text1"/>
        </w:rPr>
        <w:t>1</w:t>
      </w:r>
      <w:r w:rsidRPr="00A52AB8">
        <w:rPr>
          <w:color w:val="000000" w:themeColor="text1"/>
        </w:rPr>
        <w:t xml:space="preserve"> ], for all </w:t>
      </w:r>
      <w:r w:rsidR="003657D7" w:rsidRPr="00A52AB8">
        <w:rPr>
          <w:color w:val="000000" w:themeColor="text1"/>
        </w:rPr>
        <w:t>i </w:t>
      </w:r>
      <w:r w:rsidRPr="00A52AB8">
        <w:rPr>
          <w:color w:val="000000" w:themeColor="text1"/>
        </w:rPr>
        <w:t>&gt;</w:t>
      </w:r>
      <w:r w:rsidR="003657D7" w:rsidRPr="00A52AB8">
        <w:rPr>
          <w:color w:val="000000" w:themeColor="text1"/>
        </w:rPr>
        <w:t> </w:t>
      </w:r>
      <w:r w:rsidRPr="00A52AB8">
        <w:rPr>
          <w:color w:val="000000" w:themeColor="text1"/>
        </w:rPr>
        <w:t>0.</w:t>
      </w:r>
    </w:p>
    <w:p w14:paraId="028425F8" w14:textId="11C19C33" w:rsidR="002F7A4D" w:rsidRPr="00A52AB8" w:rsidRDefault="002F7A4D" w:rsidP="002F7A4D">
      <w:pPr>
        <w:rPr>
          <w:color w:val="000000" w:themeColor="text1"/>
        </w:rPr>
      </w:pPr>
      <w:r w:rsidRPr="00A52AB8">
        <w:rPr>
          <w:color w:val="000000" w:themeColor="text1"/>
        </w:rPr>
        <w:t xml:space="preserve">The nominal </w:t>
      </w:r>
      <w:r w:rsidR="004F42B4" w:rsidRPr="00A52AB8">
        <w:rPr>
          <w:color w:val="000000" w:themeColor="text1"/>
        </w:rPr>
        <w:t xml:space="preserve">width, </w:t>
      </w:r>
      <w:r w:rsidR="007D654F" w:rsidRPr="00A52AB8">
        <w:rPr>
          <w:color w:val="000000" w:themeColor="text1"/>
        </w:rPr>
        <w:t>AuxVideoWidth</w:t>
      </w:r>
      <w:r w:rsidR="00734798" w:rsidRPr="00A52AB8">
        <w:rPr>
          <w:color w:val="000000" w:themeColor="text1"/>
        </w:rPr>
        <w:t>NF</w:t>
      </w:r>
      <w:r w:rsidR="004F42B4" w:rsidRPr="00A52AB8">
        <w:rPr>
          <w:color w:val="000000" w:themeColor="text1"/>
        </w:rPr>
        <w:t xml:space="preserve">, and </w:t>
      </w:r>
      <w:r w:rsidRPr="00A52AB8">
        <w:rPr>
          <w:color w:val="000000" w:themeColor="text1"/>
        </w:rPr>
        <w:t>height</w:t>
      </w:r>
      <w:r w:rsidR="004F42B4" w:rsidRPr="00A52AB8">
        <w:rPr>
          <w:color w:val="000000" w:themeColor="text1"/>
        </w:rPr>
        <w:t xml:space="preserve">, </w:t>
      </w:r>
      <w:r w:rsidR="007D654F" w:rsidRPr="00A52AB8">
        <w:rPr>
          <w:color w:val="000000" w:themeColor="text1"/>
        </w:rPr>
        <w:t>AuxVideoHeight</w:t>
      </w:r>
      <w:r w:rsidR="00734798" w:rsidRPr="00A52AB8">
        <w:rPr>
          <w:color w:val="000000" w:themeColor="text1"/>
        </w:rPr>
        <w:t>NF</w:t>
      </w:r>
      <w:r w:rsidR="004F42B4" w:rsidRPr="00A52AB8">
        <w:rPr>
          <w:color w:val="000000" w:themeColor="text1"/>
        </w:rPr>
        <w:t>,</w:t>
      </w:r>
      <w:r w:rsidRPr="00A52AB8">
        <w:rPr>
          <w:color w:val="000000" w:themeColor="text1"/>
        </w:rPr>
        <w:t xml:space="preserve"> of all auxiliary video sub-bitstreams</w:t>
      </w:r>
      <w:r w:rsidR="004F42B4" w:rsidRPr="00A52AB8">
        <w:rPr>
          <w:color w:val="000000" w:themeColor="text1"/>
        </w:rPr>
        <w:t xml:space="preserve"> associated with an atlas shall be computed</w:t>
      </w:r>
      <w:r w:rsidR="00953946" w:rsidRPr="00A52AB8">
        <w:rPr>
          <w:color w:val="000000" w:themeColor="text1"/>
        </w:rPr>
        <w:t xml:space="preserve"> as</w:t>
      </w:r>
      <w:r w:rsidR="004F42B4" w:rsidRPr="00A52AB8">
        <w:rPr>
          <w:color w:val="000000" w:themeColor="text1"/>
        </w:rPr>
        <w:t>:</w:t>
      </w:r>
    </w:p>
    <w:p w14:paraId="22B15265" w14:textId="573743D4" w:rsidR="00652A4D" w:rsidRPr="00A52AB8" w:rsidRDefault="000C2ACD" w:rsidP="000C2ACD">
      <w:pPr>
        <w:rPr>
          <w:color w:val="000000" w:themeColor="text1"/>
        </w:rPr>
      </w:pPr>
      <w:r w:rsidRPr="00A52AB8">
        <w:rPr>
          <w:color w:val="000000" w:themeColor="text1"/>
        </w:rPr>
        <w:tab/>
      </w:r>
      <w:r w:rsidR="007D654F" w:rsidRPr="00A52AB8">
        <w:rPr>
          <w:color w:val="000000" w:themeColor="text1"/>
        </w:rPr>
        <w:t>AuxVideoWidth</w:t>
      </w:r>
      <w:r w:rsidR="00734798" w:rsidRPr="00A52AB8">
        <w:rPr>
          <w:color w:val="000000" w:themeColor="text1"/>
        </w:rPr>
        <w:t>NF</w:t>
      </w:r>
      <w:r w:rsidR="00D47707" w:rsidRPr="00A52AB8">
        <w:rPr>
          <w:color w:val="000000" w:themeColor="text1"/>
        </w:rPr>
        <w:t> = </w:t>
      </w:r>
      <w:r w:rsidR="004F42B4" w:rsidRPr="00A52AB8">
        <w:rPr>
          <w:color w:val="000000" w:themeColor="text1"/>
        </w:rPr>
        <w:t>( afti_auxiliary_video_tile_row_width_minus1 + 1 ) * 64</w:t>
      </w:r>
    </w:p>
    <w:p w14:paraId="07B2A21F" w14:textId="3E6AEC9C" w:rsidR="0032694A" w:rsidRPr="00A52AB8" w:rsidRDefault="004F42B4" w:rsidP="004A6049">
      <w:pPr>
        <w:tabs>
          <w:tab w:val="clear" w:pos="403"/>
          <w:tab w:val="left" w:pos="450"/>
        </w:tabs>
        <w:ind w:left="450" w:hanging="450"/>
        <w:rPr>
          <w:color w:val="000000" w:themeColor="text1"/>
        </w:rPr>
      </w:pPr>
      <m:oMathPara>
        <m:oMathParaPr>
          <m:jc m:val="left"/>
        </m:oMathParaPr>
        <m:oMath>
          <m:r>
            <m:rPr>
              <m:sty m:val="p"/>
            </m:rPr>
            <w:rPr>
              <w:rFonts w:ascii="Cambria Math" w:hAnsi="Cambria Math"/>
              <w:color w:val="000000" w:themeColor="text1"/>
            </w:rPr>
            <m:t>AuxVideoHeightNF=</m:t>
          </m:r>
          <m:nary>
            <m:naryPr>
              <m:chr m:val="∑"/>
              <m:limLoc m:val="undOvr"/>
              <m:ctrlPr>
                <w:rPr>
                  <w:rFonts w:ascii="Cambria Math" w:hAnsi="Cambria Math"/>
                  <w:color w:val="000000" w:themeColor="text1"/>
                </w:rPr>
              </m:ctrlPr>
            </m:naryPr>
            <m:sub>
              <m:r>
                <m:rPr>
                  <m:sty m:val="p"/>
                </m:rPr>
                <w:rPr>
                  <w:rFonts w:ascii="Cambria Math" w:hAnsi="Cambria Math"/>
                  <w:color w:val="000000" w:themeColor="text1"/>
                </w:rPr>
                <m:t>n=0</m:t>
              </m:r>
            </m:sub>
            <m:sup>
              <m:r>
                <m:rPr>
                  <m:sty m:val="p"/>
                </m:rPr>
                <w:rPr>
                  <w:rFonts w:ascii="Cambria Math" w:hAnsi="Cambria Math"/>
                  <w:color w:val="000000" w:themeColor="text1"/>
                </w:rPr>
                <m:t>N</m:t>
              </m:r>
            </m:sup>
            <m:e>
              <m:r>
                <m:rPr>
                  <m:sty m:val="p"/>
                </m:rPr>
                <w:rPr>
                  <w:rFonts w:ascii="Cambria Math" w:hAnsi="Cambria Math"/>
                  <w:color w:val="000000" w:themeColor="text1"/>
                </w:rPr>
                <m:t>AuxTileHeight</m:t>
              </m:r>
              <m:r>
                <m:rPr>
                  <m:sty m:val="p"/>
                </m:rPr>
                <w:rPr>
                  <w:rFonts w:ascii="Cambria Math" w:hAnsi="Cambria Math"/>
                </w:rPr>
                <m:t>[ n ]</m:t>
              </m:r>
            </m:e>
          </m:nary>
        </m:oMath>
      </m:oMathPara>
    </w:p>
    <w:p w14:paraId="6B0236EE" w14:textId="77777777" w:rsidR="00953946" w:rsidRPr="00A52AB8" w:rsidRDefault="00550F31" w:rsidP="005C26E9">
      <w:pPr>
        <w:rPr>
          <w:color w:val="000000" w:themeColor="text1"/>
        </w:rPr>
      </w:pPr>
      <w:r w:rsidRPr="00A52AB8">
        <w:rPr>
          <w:color w:val="000000" w:themeColor="text1"/>
        </w:rPr>
        <w:t>w</w:t>
      </w:r>
      <w:r w:rsidR="00953946" w:rsidRPr="00A52AB8">
        <w:rPr>
          <w:color w:val="000000" w:themeColor="text1"/>
        </w:rPr>
        <w:t>here N is equal to afti_num_tiles_in_atlas_frame_m</w:t>
      </w:r>
      <w:r w:rsidR="00E40586" w:rsidRPr="00A52AB8">
        <w:rPr>
          <w:color w:val="000000" w:themeColor="text1"/>
        </w:rPr>
        <w:t>i</w:t>
      </w:r>
      <w:r w:rsidR="00953946" w:rsidRPr="00A52AB8">
        <w:rPr>
          <w:color w:val="000000" w:themeColor="text1"/>
        </w:rPr>
        <w:t>nus1</w:t>
      </w:r>
    </w:p>
    <w:p w14:paraId="0BC984AB" w14:textId="77777777" w:rsidR="0050235C" w:rsidRPr="00A52AB8" w:rsidRDefault="008F0D00" w:rsidP="005C26E9">
      <w:r w:rsidRPr="00A52AB8">
        <w:rPr>
          <w:b/>
          <w:lang w:eastAsia="ja-JP"/>
        </w:rPr>
        <w:t>afti_</w:t>
      </w:r>
      <w:r w:rsidR="00257D77" w:rsidRPr="00A52AB8">
        <w:rPr>
          <w:b/>
          <w:lang w:eastAsia="ja-JP"/>
        </w:rPr>
        <w:t>signalled_tile_id_flag</w:t>
      </w:r>
      <w:r w:rsidR="000F6C37" w:rsidRPr="00A52AB8">
        <w:t xml:space="preserve"> equal to 1 specifies that the tile ID for each tile is signalled. </w:t>
      </w:r>
      <w:r w:rsidRPr="00A52AB8">
        <w:rPr>
          <w:lang w:eastAsia="ja-JP"/>
        </w:rPr>
        <w:t>afti_</w:t>
      </w:r>
      <w:r w:rsidR="000F6C37" w:rsidRPr="00A52AB8">
        <w:rPr>
          <w:lang w:eastAsia="ja-JP"/>
        </w:rPr>
        <w:t>signalled_tile_id_flag</w:t>
      </w:r>
      <w:r w:rsidR="000F6C37" w:rsidRPr="00A52AB8">
        <w:t xml:space="preserve"> equal to 0 specifies that tile IDs are not signalled.</w:t>
      </w:r>
    </w:p>
    <w:p w14:paraId="256E164C" w14:textId="54BA57DC" w:rsidR="000F6C37" w:rsidRPr="00A52AB8" w:rsidRDefault="008F0D00" w:rsidP="005C26E9">
      <w:pPr>
        <w:rPr>
          <w:color w:val="000000"/>
        </w:rPr>
      </w:pPr>
      <w:r w:rsidRPr="00A52AB8">
        <w:rPr>
          <w:b/>
          <w:lang w:eastAsia="ja-JP"/>
        </w:rPr>
        <w:t>afti_</w:t>
      </w:r>
      <w:r w:rsidR="00257D77" w:rsidRPr="00A52AB8">
        <w:rPr>
          <w:b/>
          <w:lang w:eastAsia="ja-JP"/>
        </w:rPr>
        <w:t>signalled_tile_id_length_minus1</w:t>
      </w:r>
      <w:r w:rsidR="000F6C37" w:rsidRPr="00A52AB8">
        <w:rPr>
          <w:color w:val="000000"/>
        </w:rPr>
        <w:t xml:space="preserve"> plus 1 specifies the number of bits used to represent the syntax element </w:t>
      </w:r>
      <w:r w:rsidRPr="00A52AB8">
        <w:rPr>
          <w:lang w:eastAsia="ja-JP"/>
        </w:rPr>
        <w:t>afti_</w:t>
      </w:r>
      <w:r w:rsidR="000F6C37" w:rsidRPr="00A52AB8">
        <w:rPr>
          <w:lang w:eastAsia="ja-JP"/>
        </w:rPr>
        <w:t>tile_id</w:t>
      </w:r>
      <w:r w:rsidR="001F4484" w:rsidRPr="00A52AB8">
        <w:rPr>
          <w:color w:val="000000"/>
        </w:rPr>
        <w:t>[ i ]</w:t>
      </w:r>
      <w:r w:rsidR="000F6C37" w:rsidRPr="00A52AB8">
        <w:rPr>
          <w:color w:val="000000"/>
        </w:rPr>
        <w:t xml:space="preserve"> when present, and the syntax element </w:t>
      </w:r>
      <w:r w:rsidR="004A199F" w:rsidRPr="00A52AB8">
        <w:rPr>
          <w:color w:val="000000"/>
        </w:rPr>
        <w:t>ath_id</w:t>
      </w:r>
      <w:r w:rsidR="000F6C37" w:rsidRPr="00A52AB8">
        <w:rPr>
          <w:color w:val="000000"/>
        </w:rPr>
        <w:t xml:space="preserve"> in </w:t>
      </w:r>
      <w:r w:rsidR="0032694A" w:rsidRPr="00A52AB8">
        <w:rPr>
          <w:color w:val="000000"/>
        </w:rPr>
        <w:t xml:space="preserve">a </w:t>
      </w:r>
      <w:r w:rsidR="000F6C37" w:rsidRPr="00A52AB8">
        <w:rPr>
          <w:color w:val="000000"/>
        </w:rPr>
        <w:t>tile header</w:t>
      </w:r>
      <w:r w:rsidR="000F6C37" w:rsidRPr="00A52AB8">
        <w:rPr>
          <w:rFonts w:eastAsia="MS Mincho"/>
          <w:color w:val="000000"/>
          <w:lang w:eastAsia="zh-CN"/>
        </w:rPr>
        <w:t xml:space="preserve">. The value of </w:t>
      </w:r>
      <w:r w:rsidRPr="00A52AB8">
        <w:rPr>
          <w:lang w:eastAsia="ja-JP"/>
        </w:rPr>
        <w:t>afti_</w:t>
      </w:r>
      <w:r w:rsidR="000F6C37" w:rsidRPr="00A52AB8">
        <w:rPr>
          <w:lang w:eastAsia="ja-JP"/>
        </w:rPr>
        <w:t>signalled_tile_id_length_minus1</w:t>
      </w:r>
      <w:r w:rsidR="000F6C37" w:rsidRPr="00A52AB8">
        <w:rPr>
          <w:color w:val="000000"/>
        </w:rPr>
        <w:t xml:space="preserve"> </w:t>
      </w:r>
      <w:r w:rsidR="000F6C37" w:rsidRPr="00A52AB8">
        <w:rPr>
          <w:rFonts w:eastAsia="MS Mincho"/>
          <w:color w:val="000000"/>
          <w:lang w:eastAsia="zh-CN"/>
        </w:rPr>
        <w:t xml:space="preserve">shall be in the range of </w:t>
      </w:r>
      <w:r w:rsidR="000F6C37" w:rsidRPr="00A52AB8">
        <w:rPr>
          <w:bCs/>
          <w:color w:val="000000"/>
        </w:rPr>
        <w:t>0</w:t>
      </w:r>
      <w:r w:rsidR="000F6C37" w:rsidRPr="00A52AB8">
        <w:rPr>
          <w:rFonts w:eastAsia="Batang"/>
          <w:bCs/>
          <w:color w:val="000000"/>
          <w:lang w:eastAsia="ko-KR"/>
        </w:rPr>
        <w:t xml:space="preserve"> </w:t>
      </w:r>
      <w:r w:rsidR="000F6C37" w:rsidRPr="00A52AB8">
        <w:rPr>
          <w:rFonts w:eastAsia="MS Mincho"/>
          <w:color w:val="000000"/>
          <w:lang w:eastAsia="zh-CN"/>
        </w:rPr>
        <w:t xml:space="preserve">to 15, inclusive. When not present, the value of </w:t>
      </w:r>
      <w:r w:rsidRPr="00A52AB8">
        <w:rPr>
          <w:lang w:eastAsia="ja-JP"/>
        </w:rPr>
        <w:t>afti_</w:t>
      </w:r>
      <w:r w:rsidR="00775D41" w:rsidRPr="00A52AB8">
        <w:rPr>
          <w:lang w:eastAsia="ja-JP"/>
        </w:rPr>
        <w:t>signalled_tile_id_length_minus1</w:t>
      </w:r>
      <w:r w:rsidR="00775D41" w:rsidRPr="00A52AB8">
        <w:rPr>
          <w:color w:val="000000"/>
        </w:rPr>
        <w:t xml:space="preserve"> </w:t>
      </w:r>
      <w:r w:rsidR="000F6C37" w:rsidRPr="00A52AB8">
        <w:rPr>
          <w:color w:val="000000"/>
        </w:rPr>
        <w:t>is inferred to be equal to Ceil( Log2( </w:t>
      </w:r>
      <w:r w:rsidRPr="00A52AB8">
        <w:rPr>
          <w:bCs/>
        </w:rPr>
        <w:t>afti_</w:t>
      </w:r>
      <w:r w:rsidR="00775D41" w:rsidRPr="00A52AB8">
        <w:rPr>
          <w:bCs/>
        </w:rPr>
        <w:t>num_tile</w:t>
      </w:r>
      <w:r w:rsidR="002320E5" w:rsidRPr="00A52AB8">
        <w:rPr>
          <w:bCs/>
        </w:rPr>
        <w:t>s</w:t>
      </w:r>
      <w:r w:rsidR="00775D41" w:rsidRPr="00A52AB8">
        <w:rPr>
          <w:bCs/>
        </w:rPr>
        <w:t>_in_</w:t>
      </w:r>
      <w:r w:rsidR="00DD23CD" w:rsidRPr="00A52AB8">
        <w:rPr>
          <w:bCs/>
        </w:rPr>
        <w:t>atlas_frame</w:t>
      </w:r>
      <w:r w:rsidR="00775D41" w:rsidRPr="00A52AB8">
        <w:rPr>
          <w:bCs/>
        </w:rPr>
        <w:t>_minus1</w:t>
      </w:r>
      <w:r w:rsidR="000F6C37" w:rsidRPr="00A52AB8">
        <w:rPr>
          <w:bCs/>
        </w:rPr>
        <w:t> + 1</w:t>
      </w:r>
      <w:r w:rsidR="000F6C37" w:rsidRPr="00A52AB8">
        <w:t> ) ) − 1</w:t>
      </w:r>
      <w:r w:rsidR="000F6C37" w:rsidRPr="00A52AB8">
        <w:rPr>
          <w:rFonts w:eastAsia="MS Mincho"/>
          <w:color w:val="000000"/>
          <w:lang w:eastAsia="zh-CN"/>
        </w:rPr>
        <w:t>.</w:t>
      </w:r>
    </w:p>
    <w:p w14:paraId="0B5A2C64" w14:textId="5CBD4F39" w:rsidR="00775D41" w:rsidRPr="00A52AB8" w:rsidRDefault="008F0D00" w:rsidP="005C26E9">
      <w:pPr>
        <w:rPr>
          <w:color w:val="000000"/>
        </w:rPr>
      </w:pPr>
      <w:r w:rsidRPr="00A52AB8">
        <w:rPr>
          <w:b/>
          <w:lang w:eastAsia="ja-JP"/>
        </w:rPr>
        <w:t>afti_</w:t>
      </w:r>
      <w:r w:rsidR="00257D77" w:rsidRPr="00A52AB8">
        <w:rPr>
          <w:b/>
          <w:lang w:eastAsia="ja-JP"/>
        </w:rPr>
        <w:t>tile_id</w:t>
      </w:r>
      <w:r w:rsidR="001F4484" w:rsidRPr="00A52AB8">
        <w:rPr>
          <w:lang w:eastAsia="ja-JP"/>
        </w:rPr>
        <w:t>[ i ]</w:t>
      </w:r>
      <w:r w:rsidR="00775D41" w:rsidRPr="00A52AB8">
        <w:rPr>
          <w:lang w:eastAsia="ja-JP"/>
        </w:rPr>
        <w:t xml:space="preserve"> </w:t>
      </w:r>
      <w:r w:rsidR="00775D41" w:rsidRPr="00A52AB8">
        <w:t xml:space="preserve">specifies the tile ID of the i-th tile. </w:t>
      </w:r>
      <w:r w:rsidR="00775D41" w:rsidRPr="00A52AB8">
        <w:rPr>
          <w:color w:val="000000"/>
        </w:rPr>
        <w:t xml:space="preserve">The length of the </w:t>
      </w:r>
      <w:r w:rsidRPr="00A52AB8">
        <w:rPr>
          <w:lang w:eastAsia="ja-JP"/>
        </w:rPr>
        <w:t>afti_</w:t>
      </w:r>
      <w:r w:rsidR="00775D41" w:rsidRPr="00A52AB8">
        <w:rPr>
          <w:lang w:eastAsia="ja-JP"/>
        </w:rPr>
        <w:t>tile_id</w:t>
      </w:r>
      <w:r w:rsidR="001F4484" w:rsidRPr="00A52AB8">
        <w:rPr>
          <w:color w:val="000000"/>
        </w:rPr>
        <w:t>[ i ]</w:t>
      </w:r>
      <w:r w:rsidR="00775D41" w:rsidRPr="00A52AB8">
        <w:rPr>
          <w:bCs/>
          <w:color w:val="000000"/>
        </w:rPr>
        <w:t xml:space="preserve"> syntax element is </w:t>
      </w:r>
      <w:r w:rsidRPr="00A52AB8">
        <w:rPr>
          <w:lang w:eastAsia="ja-JP"/>
        </w:rPr>
        <w:t>afti_</w:t>
      </w:r>
      <w:r w:rsidR="00775D41" w:rsidRPr="00A52AB8">
        <w:rPr>
          <w:lang w:eastAsia="ja-JP"/>
        </w:rPr>
        <w:t>signalled_tile_id_length_minus1</w:t>
      </w:r>
      <w:r w:rsidR="004F4DB9" w:rsidRPr="00A52AB8">
        <w:rPr>
          <w:color w:val="000000"/>
        </w:rPr>
        <w:t> </w:t>
      </w:r>
      <w:r w:rsidR="00775D41" w:rsidRPr="00A52AB8">
        <w:rPr>
          <w:color w:val="000000"/>
        </w:rPr>
        <w:t xml:space="preserve">+ 1 bits. When not present, the value of </w:t>
      </w:r>
      <w:r w:rsidRPr="00A52AB8">
        <w:rPr>
          <w:lang w:eastAsia="ja-JP"/>
        </w:rPr>
        <w:t>afti_</w:t>
      </w:r>
      <w:r w:rsidR="00775D41" w:rsidRPr="00A52AB8">
        <w:rPr>
          <w:lang w:eastAsia="ja-JP"/>
        </w:rPr>
        <w:t>tile_id</w:t>
      </w:r>
      <w:r w:rsidR="001F4484" w:rsidRPr="00A52AB8">
        <w:rPr>
          <w:color w:val="000000"/>
        </w:rPr>
        <w:t>[ i ]</w:t>
      </w:r>
      <w:r w:rsidR="00775D41" w:rsidRPr="00A52AB8">
        <w:rPr>
          <w:color w:val="000000"/>
        </w:rPr>
        <w:t xml:space="preserve"> is inferred to be equal to i, for each i in the range of 0 to </w:t>
      </w:r>
      <w:r w:rsidRPr="00A52AB8">
        <w:rPr>
          <w:bCs/>
        </w:rPr>
        <w:t>afti_</w:t>
      </w:r>
      <w:r w:rsidR="00775D41" w:rsidRPr="00A52AB8">
        <w:rPr>
          <w:bCs/>
        </w:rPr>
        <w:t>num_tile</w:t>
      </w:r>
      <w:r w:rsidR="008B7732" w:rsidRPr="00A52AB8">
        <w:rPr>
          <w:bCs/>
        </w:rPr>
        <w:t>s</w:t>
      </w:r>
      <w:r w:rsidR="00775D41" w:rsidRPr="00A52AB8">
        <w:rPr>
          <w:bCs/>
        </w:rPr>
        <w:t>_in_</w:t>
      </w:r>
      <w:r w:rsidR="00DD23CD" w:rsidRPr="00A52AB8">
        <w:rPr>
          <w:bCs/>
        </w:rPr>
        <w:t>atlas_frame</w:t>
      </w:r>
      <w:r w:rsidR="00775D41" w:rsidRPr="00A52AB8">
        <w:rPr>
          <w:bCs/>
        </w:rPr>
        <w:t>_minus1</w:t>
      </w:r>
      <w:r w:rsidR="00775D41" w:rsidRPr="00A52AB8">
        <w:rPr>
          <w:bCs/>
          <w:color w:val="000000"/>
        </w:rPr>
        <w:t>, inclusive</w:t>
      </w:r>
      <w:r w:rsidR="00775D41" w:rsidRPr="00A52AB8">
        <w:rPr>
          <w:color w:val="000000"/>
        </w:rPr>
        <w:t>.</w:t>
      </w:r>
      <w:r w:rsidR="003A6C46" w:rsidRPr="00A52AB8">
        <w:rPr>
          <w:color w:val="000000"/>
        </w:rPr>
        <w:t xml:space="preserve"> It is a requirement of bitstream conformance that </w:t>
      </w:r>
      <w:r w:rsidR="003A6C46" w:rsidRPr="00A52AB8">
        <w:rPr>
          <w:bCs/>
          <w:lang w:eastAsia="ja-JP"/>
        </w:rPr>
        <w:t>afti_tile_id[ i ] shall not be equal to afti_tile_id[ j ] for all i </w:t>
      </w:r>
      <w:r w:rsidR="00E963F3" w:rsidRPr="00A52AB8">
        <w:rPr>
          <w:bCs/>
          <w:lang w:eastAsia="ja-JP"/>
        </w:rPr>
        <w:t>!=</w:t>
      </w:r>
      <w:r w:rsidR="00D47707" w:rsidRPr="00A52AB8">
        <w:rPr>
          <w:bCs/>
          <w:lang w:eastAsia="ja-JP"/>
        </w:rPr>
        <w:t> </w:t>
      </w:r>
      <w:r w:rsidR="003A6C46" w:rsidRPr="00A52AB8">
        <w:rPr>
          <w:bCs/>
          <w:lang w:eastAsia="ja-JP"/>
        </w:rPr>
        <w:t xml:space="preserve">j. </w:t>
      </w:r>
      <w:r w:rsidR="003A6C46" w:rsidRPr="00A52AB8">
        <w:rPr>
          <w:rFonts w:eastAsia="Batang"/>
          <w:bCs/>
          <w:lang w:eastAsia="ko-KR"/>
        </w:rPr>
        <w:t xml:space="preserve">The length of the </w:t>
      </w:r>
      <w:r w:rsidR="003A6C46" w:rsidRPr="00A52AB8">
        <w:rPr>
          <w:lang w:eastAsia="ko-KR"/>
        </w:rPr>
        <w:t>afti_tile_id</w:t>
      </w:r>
      <w:r w:rsidR="0006494C" w:rsidRPr="00A52AB8">
        <w:rPr>
          <w:lang w:eastAsia="ja-JP"/>
        </w:rPr>
        <w:t>[ </w:t>
      </w:r>
      <w:r w:rsidR="003A6C46" w:rsidRPr="00A52AB8">
        <w:rPr>
          <w:lang w:eastAsia="ja-JP"/>
        </w:rPr>
        <w:t>i ] syntax element is afti_signalled_tile_id_length_minus1</w:t>
      </w:r>
      <w:r w:rsidR="004F4DB9" w:rsidRPr="00A52AB8">
        <w:rPr>
          <w:color w:val="000000"/>
        </w:rPr>
        <w:t> </w:t>
      </w:r>
      <w:r w:rsidR="003A6C46" w:rsidRPr="00A52AB8">
        <w:rPr>
          <w:color w:val="000000"/>
        </w:rPr>
        <w:t>+</w:t>
      </w:r>
      <w:r w:rsidR="004F4DB9" w:rsidRPr="00A52AB8">
        <w:rPr>
          <w:color w:val="000000"/>
        </w:rPr>
        <w:t> </w:t>
      </w:r>
      <w:r w:rsidR="003A6C46" w:rsidRPr="00A52AB8">
        <w:rPr>
          <w:color w:val="000000"/>
        </w:rPr>
        <w:t xml:space="preserve">1 </w:t>
      </w:r>
      <w:r w:rsidR="003A6C46" w:rsidRPr="00A52AB8">
        <w:rPr>
          <w:lang w:eastAsia="ja-JP"/>
        </w:rPr>
        <w:t>bits.</w:t>
      </w:r>
    </w:p>
    <w:p w14:paraId="1D65B672" w14:textId="77777777" w:rsidR="008B7732" w:rsidRPr="00A52AB8" w:rsidRDefault="008B7732" w:rsidP="005C26E9">
      <w:pPr>
        <w:rPr>
          <w:color w:val="000000"/>
        </w:rPr>
      </w:pPr>
      <w:r w:rsidRPr="00A52AB8">
        <w:rPr>
          <w:color w:val="000000"/>
        </w:rPr>
        <w:t>The variable FirstTileID is computed as follows:</w:t>
      </w:r>
    </w:p>
    <w:p w14:paraId="6214FD24" w14:textId="2CC80B05" w:rsidR="003A6C46" w:rsidRPr="00A52AB8" w:rsidRDefault="008B7732" w:rsidP="005C26E9">
      <w:pPr>
        <w:rPr>
          <w:bCs/>
          <w:lang w:eastAsia="ja-JP"/>
        </w:rPr>
      </w:pPr>
      <w:r w:rsidRPr="00A52AB8">
        <w:rPr>
          <w:color w:val="000000"/>
        </w:rPr>
        <w:tab/>
        <w:t>FirstTileID</w:t>
      </w:r>
      <w:r w:rsidR="00D47707" w:rsidRPr="00A52AB8">
        <w:rPr>
          <w:color w:val="000000"/>
        </w:rPr>
        <w:t> = </w:t>
      </w:r>
      <w:r w:rsidRPr="00A52AB8">
        <w:rPr>
          <w:bCs/>
          <w:lang w:eastAsia="ja-JP"/>
        </w:rPr>
        <w:t>afti_tile_id</w:t>
      </w:r>
      <w:r w:rsidR="00D770D3" w:rsidRPr="00A52AB8">
        <w:rPr>
          <w:bCs/>
          <w:lang w:eastAsia="ja-JP"/>
        </w:rPr>
        <w:t>[ 0 ]</w:t>
      </w:r>
      <w:r w:rsidRPr="00A52AB8">
        <w:rPr>
          <w:bCs/>
          <w:lang w:eastAsia="ja-JP"/>
        </w:rPr>
        <w:br/>
      </w:r>
      <w:r w:rsidRPr="00A52AB8">
        <w:rPr>
          <w:bCs/>
          <w:lang w:eastAsia="ja-JP"/>
        </w:rPr>
        <w:tab/>
        <w:t>for ( i</w:t>
      </w:r>
      <w:r w:rsidR="00D47707" w:rsidRPr="00A52AB8">
        <w:rPr>
          <w:bCs/>
          <w:lang w:eastAsia="ja-JP"/>
        </w:rPr>
        <w:t> = </w:t>
      </w:r>
      <w:r w:rsidRPr="00A52AB8">
        <w:rPr>
          <w:bCs/>
          <w:lang w:eastAsia="ja-JP"/>
        </w:rPr>
        <w:t>1; i &lt; </w:t>
      </w:r>
      <w:r w:rsidRPr="00A52AB8">
        <w:t>afti_num_tiles_in_atlas_frame_minus1 + 1; i</w:t>
      </w:r>
      <w:r w:rsidR="00006CCF" w:rsidRPr="00A52AB8">
        <w:t>++ )</w:t>
      </w:r>
      <w:r w:rsidRPr="00A52AB8">
        <w:br/>
      </w:r>
      <w:r w:rsidRPr="00A52AB8">
        <w:tab/>
      </w:r>
      <w:r w:rsidRPr="00A52AB8">
        <w:tab/>
      </w:r>
      <w:r w:rsidRPr="00A52AB8">
        <w:rPr>
          <w:color w:val="000000"/>
        </w:rPr>
        <w:t>FirstTileID</w:t>
      </w:r>
      <w:r w:rsidR="00D47707" w:rsidRPr="00A52AB8">
        <w:rPr>
          <w:color w:val="000000"/>
        </w:rPr>
        <w:t> = </w:t>
      </w:r>
      <w:r w:rsidRPr="00A52AB8">
        <w:rPr>
          <w:color w:val="000000"/>
        </w:rPr>
        <w:t>Min(FirstTileID, </w:t>
      </w:r>
      <w:r w:rsidRPr="00A52AB8">
        <w:rPr>
          <w:bCs/>
          <w:lang w:eastAsia="ja-JP"/>
        </w:rPr>
        <w:t>afti_tile_id[ i ])</w:t>
      </w:r>
    </w:p>
    <w:p w14:paraId="5A404417" w14:textId="021A0E9B" w:rsidR="00651874" w:rsidRPr="00A52AB8" w:rsidRDefault="00651874" w:rsidP="005C26E9">
      <w:pPr>
        <w:rPr>
          <w:bCs/>
          <w:lang w:eastAsia="ja-JP"/>
        </w:rPr>
      </w:pPr>
      <w:r w:rsidRPr="00A52AB8">
        <w:rPr>
          <w:bCs/>
          <w:lang w:eastAsia="ja-JP"/>
        </w:rPr>
        <w:t xml:space="preserve">The arrays </w:t>
      </w:r>
      <w:r w:rsidR="007812ED" w:rsidRPr="00A52AB8">
        <w:rPr>
          <w:bCs/>
          <w:lang w:eastAsia="ja-JP"/>
        </w:rPr>
        <w:t>TileID</w:t>
      </w:r>
      <w:r w:rsidRPr="00A52AB8">
        <w:rPr>
          <w:bCs/>
          <w:lang w:eastAsia="ja-JP"/>
        </w:rPr>
        <w:t>ToIndex and TileIndexTo</w:t>
      </w:r>
      <w:r w:rsidR="007812ED" w:rsidRPr="00A52AB8">
        <w:rPr>
          <w:bCs/>
          <w:lang w:eastAsia="ja-JP"/>
        </w:rPr>
        <w:t xml:space="preserve">ID </w:t>
      </w:r>
      <w:r w:rsidR="00B611DA" w:rsidRPr="00A52AB8">
        <w:rPr>
          <w:bCs/>
          <w:lang w:eastAsia="ja-JP"/>
        </w:rPr>
        <w:t>provide a forward and inverse mapping, respectively, of the ID associated with each tile and the order index of how each tile was specified in the atlas frame tile information syntax.</w:t>
      </w:r>
    </w:p>
    <w:p w14:paraId="666CEA46" w14:textId="1E2BA598" w:rsidR="00B11688" w:rsidRPr="00A52AB8" w:rsidRDefault="003C7F79" w:rsidP="00EE3D19">
      <w:pPr>
        <w:pStyle w:val="Heading4"/>
      </w:pPr>
      <w:bookmarkStart w:id="1181" w:name="_Ref38315825"/>
      <w:r w:rsidRPr="00A52AB8">
        <w:t xml:space="preserve">Atlas </w:t>
      </w:r>
      <w:r w:rsidR="00C667DD" w:rsidRPr="00A52AB8">
        <w:t>adaptation</w:t>
      </w:r>
      <w:r w:rsidRPr="00A52AB8">
        <w:t xml:space="preserve"> parameter set RBSP semantics</w:t>
      </w:r>
      <w:bookmarkEnd w:id="1181"/>
    </w:p>
    <w:p w14:paraId="2A81DC1A" w14:textId="77777777" w:rsidR="0050235C" w:rsidRPr="00A52AB8" w:rsidRDefault="003C7F79">
      <w:pPr>
        <w:rPr>
          <w:bCs/>
          <w:color w:val="000000" w:themeColor="text1"/>
        </w:rPr>
      </w:pPr>
      <w:r w:rsidRPr="00A52AB8">
        <w:rPr>
          <w:b/>
          <w:lang w:eastAsia="ja-JP"/>
        </w:rPr>
        <w:t>a</w:t>
      </w:r>
      <w:r w:rsidR="00B11688" w:rsidRPr="00A52AB8">
        <w:rPr>
          <w:b/>
          <w:lang w:eastAsia="ja-JP"/>
        </w:rPr>
        <w:t>a</w:t>
      </w:r>
      <w:r w:rsidRPr="00A52AB8">
        <w:rPr>
          <w:b/>
          <w:lang w:eastAsia="ja-JP"/>
        </w:rPr>
        <w:t>ps_atlas_</w:t>
      </w:r>
      <w:r w:rsidR="00C667DD" w:rsidRPr="00A52AB8">
        <w:rPr>
          <w:b/>
          <w:lang w:eastAsia="ja-JP"/>
        </w:rPr>
        <w:t>adaptation</w:t>
      </w:r>
      <w:r w:rsidRPr="00A52AB8">
        <w:rPr>
          <w:b/>
          <w:lang w:eastAsia="ja-JP"/>
        </w:rPr>
        <w:t>_parameter_set_id</w:t>
      </w:r>
      <w:r w:rsidRPr="00A52AB8">
        <w:rPr>
          <w:b/>
          <w:bCs/>
          <w:color w:val="000000" w:themeColor="text1"/>
        </w:rPr>
        <w:t xml:space="preserve"> </w:t>
      </w:r>
      <w:r w:rsidRPr="00A52AB8">
        <w:rPr>
          <w:bCs/>
          <w:color w:val="000000" w:themeColor="text1"/>
        </w:rPr>
        <w:t xml:space="preserve">identifies the atlas </w:t>
      </w:r>
      <w:r w:rsidR="00AC2225" w:rsidRPr="00A52AB8">
        <w:rPr>
          <w:bCs/>
          <w:color w:val="000000" w:themeColor="text1"/>
        </w:rPr>
        <w:t>adaptation</w:t>
      </w:r>
      <w:r w:rsidRPr="00A52AB8">
        <w:rPr>
          <w:bCs/>
          <w:color w:val="000000" w:themeColor="text1"/>
        </w:rPr>
        <w:t xml:space="preserve"> parameter set for reference by other syntax elements.</w:t>
      </w:r>
    </w:p>
    <w:p w14:paraId="389CEE1C" w14:textId="3A3EB0D3" w:rsidR="009A5349" w:rsidRPr="00A52AB8" w:rsidRDefault="00B11688" w:rsidP="009A5349">
      <w:pPr>
        <w:rPr>
          <w:color w:val="000000" w:themeColor="text1"/>
        </w:rPr>
      </w:pPr>
      <w:r w:rsidRPr="00A52AB8">
        <w:rPr>
          <w:b/>
        </w:rPr>
        <w:t>aaps_extension_</w:t>
      </w:r>
      <w:r w:rsidR="00F431FA" w:rsidRPr="00A52AB8">
        <w:rPr>
          <w:b/>
        </w:rPr>
        <w:t>present_</w:t>
      </w:r>
      <w:r w:rsidRPr="00A52AB8">
        <w:rPr>
          <w:b/>
        </w:rPr>
        <w:t>flag</w:t>
      </w:r>
      <w:r w:rsidRPr="00A52AB8">
        <w:rPr>
          <w:color w:val="000000" w:themeColor="text1"/>
        </w:rPr>
        <w:t xml:space="preserve"> </w:t>
      </w:r>
      <w:r w:rsidR="009A5349" w:rsidRPr="00A52AB8">
        <w:rPr>
          <w:color w:val="000000" w:themeColor="text1"/>
        </w:rPr>
        <w:t>equal to 1 specifies that the syntax element</w:t>
      </w:r>
      <w:r w:rsidR="004F4DB9" w:rsidRPr="00A52AB8">
        <w:rPr>
          <w:color w:val="000000" w:themeColor="text1"/>
        </w:rPr>
        <w:t>s</w:t>
      </w:r>
      <w:r w:rsidR="009A5349" w:rsidRPr="00A52AB8">
        <w:rPr>
          <w:color w:val="000000" w:themeColor="text1"/>
        </w:rPr>
        <w:t xml:space="preserve"> </w:t>
      </w:r>
      <w:r w:rsidR="00D719CF" w:rsidRPr="00A52AB8">
        <w:rPr>
          <w:color w:val="000000" w:themeColor="text1"/>
        </w:rPr>
        <w:t>aaps_vpcc_extension_present_flag</w:t>
      </w:r>
      <w:r w:rsidR="00D4417E">
        <w:rPr>
          <w:color w:val="000000" w:themeColor="text1"/>
        </w:rPr>
        <w:t>, aaps_miv_extension_present_flag</w:t>
      </w:r>
      <w:r w:rsidR="001B28B8" w:rsidRPr="00A52AB8">
        <w:rPr>
          <w:color w:val="000000" w:themeColor="text1"/>
        </w:rPr>
        <w:t xml:space="preserve"> </w:t>
      </w:r>
      <w:r w:rsidR="00F431FA" w:rsidRPr="00A52AB8">
        <w:rPr>
          <w:color w:val="000000" w:themeColor="text1"/>
        </w:rPr>
        <w:t xml:space="preserve">and </w:t>
      </w:r>
      <w:r w:rsidR="009A5349" w:rsidRPr="00A52AB8">
        <w:rPr>
          <w:color w:val="000000" w:themeColor="text1"/>
        </w:rPr>
        <w:t>aaps_extension_</w:t>
      </w:r>
      <w:r w:rsidR="002A00E1" w:rsidRPr="00A52AB8">
        <w:rPr>
          <w:color w:val="000000" w:themeColor="text1"/>
        </w:rPr>
        <w:t xml:space="preserve">6bits </w:t>
      </w:r>
      <w:r w:rsidR="009A5349" w:rsidRPr="00A52AB8">
        <w:rPr>
          <w:color w:val="000000" w:themeColor="text1"/>
        </w:rPr>
        <w:t xml:space="preserve">are present in </w:t>
      </w:r>
      <w:r w:rsidR="004F4DB9" w:rsidRPr="00A52AB8">
        <w:rPr>
          <w:color w:val="000000" w:themeColor="text1"/>
        </w:rPr>
        <w:t xml:space="preserve">the </w:t>
      </w:r>
      <w:r w:rsidR="009A5349" w:rsidRPr="00A52AB8">
        <w:rPr>
          <w:color w:val="000000" w:themeColor="text1"/>
        </w:rPr>
        <w:t>atlas_adaptation_parameter_set_rbsp</w:t>
      </w:r>
      <w:r w:rsidR="00D4417E" w:rsidRPr="00A52AB8">
        <w:rPr>
          <w:color w:val="000000" w:themeColor="text1"/>
        </w:rPr>
        <w:t>( )</w:t>
      </w:r>
      <w:r w:rsidR="009A5349" w:rsidRPr="00A52AB8">
        <w:rPr>
          <w:color w:val="000000" w:themeColor="text1"/>
        </w:rPr>
        <w:t xml:space="preserve"> syntax structure. aaps_extension_present_flag equal to 0 specifies that </w:t>
      </w:r>
      <w:r w:rsidR="004F4DB9" w:rsidRPr="00A52AB8">
        <w:rPr>
          <w:color w:val="000000" w:themeColor="text1"/>
        </w:rPr>
        <w:t xml:space="preserve">the </w:t>
      </w:r>
      <w:r w:rsidR="009A5349" w:rsidRPr="00A52AB8">
        <w:rPr>
          <w:color w:val="000000" w:themeColor="text1"/>
        </w:rPr>
        <w:t xml:space="preserve">syntax elements </w:t>
      </w:r>
      <w:r w:rsidR="00D719CF" w:rsidRPr="00A52AB8">
        <w:rPr>
          <w:color w:val="000000" w:themeColor="text1"/>
        </w:rPr>
        <w:t>aaps_vpcc_extension_present_flag</w:t>
      </w:r>
      <w:r w:rsidR="009A5349" w:rsidRPr="00A52AB8">
        <w:rPr>
          <w:color w:val="000000" w:themeColor="text1"/>
        </w:rPr>
        <w:t xml:space="preserve"> </w:t>
      </w:r>
      <w:r w:rsidR="00F431FA" w:rsidRPr="00A52AB8">
        <w:rPr>
          <w:color w:val="000000" w:themeColor="text1"/>
        </w:rPr>
        <w:t xml:space="preserve">and </w:t>
      </w:r>
      <w:r w:rsidR="009A5349" w:rsidRPr="00A52AB8">
        <w:rPr>
          <w:color w:val="000000" w:themeColor="text1"/>
        </w:rPr>
        <w:t>aaps_extension_</w:t>
      </w:r>
      <w:r w:rsidR="002A00E1" w:rsidRPr="00A52AB8">
        <w:rPr>
          <w:color w:val="000000" w:themeColor="text1"/>
        </w:rPr>
        <w:t xml:space="preserve">6bits </w:t>
      </w:r>
      <w:r w:rsidR="009A5349" w:rsidRPr="00A52AB8">
        <w:rPr>
          <w:color w:val="000000" w:themeColor="text1"/>
        </w:rPr>
        <w:t>are not present.</w:t>
      </w:r>
    </w:p>
    <w:p w14:paraId="77676D54" w14:textId="7FA08C2A" w:rsidR="009A5349" w:rsidRPr="00A52AB8" w:rsidRDefault="00D719CF" w:rsidP="009A5349">
      <w:pPr>
        <w:rPr>
          <w:color w:val="000000" w:themeColor="text1"/>
        </w:rPr>
      </w:pPr>
      <w:r w:rsidRPr="00A52AB8">
        <w:rPr>
          <w:b/>
          <w:bCs/>
          <w:color w:val="000000" w:themeColor="text1"/>
        </w:rPr>
        <w:t>aaps_vpcc_extension_present_flag</w:t>
      </w:r>
      <w:r w:rsidR="009A5349" w:rsidRPr="00A52AB8">
        <w:rPr>
          <w:color w:val="000000" w:themeColor="text1"/>
        </w:rPr>
        <w:t xml:space="preserve"> equal to 1 specifies that the aaps_vpcc_extension(</w:t>
      </w:r>
      <w:r w:rsidR="00A90FBA" w:rsidRPr="00A52AB8">
        <w:rPr>
          <w:color w:val="000000" w:themeColor="text1"/>
        </w:rPr>
        <w:t> </w:t>
      </w:r>
      <w:r w:rsidR="009A5349" w:rsidRPr="00A52AB8">
        <w:rPr>
          <w:color w:val="000000" w:themeColor="text1"/>
        </w:rPr>
        <w:t>) syntax structure is present in the atlas_adaptation_parameter_set_rbsp</w:t>
      </w:r>
      <w:r w:rsidR="004967A0" w:rsidRPr="00A52AB8">
        <w:rPr>
          <w:color w:val="000000" w:themeColor="text1"/>
        </w:rPr>
        <w:t>( )</w:t>
      </w:r>
      <w:r w:rsidR="009A5349" w:rsidRPr="00A52AB8">
        <w:rPr>
          <w:color w:val="000000" w:themeColor="text1"/>
        </w:rPr>
        <w:t xml:space="preserve"> syntax structure. </w:t>
      </w:r>
      <w:r w:rsidRPr="00A52AB8">
        <w:rPr>
          <w:color w:val="000000" w:themeColor="text1"/>
        </w:rPr>
        <w:t>aaps_vpcc_extension_present_flag</w:t>
      </w:r>
      <w:r w:rsidR="009A5349" w:rsidRPr="00A52AB8">
        <w:rPr>
          <w:color w:val="000000" w:themeColor="text1"/>
        </w:rPr>
        <w:t xml:space="preserve"> equal to 0 specifies that this syntax structure is not present. When not present, the value of </w:t>
      </w:r>
      <w:r w:rsidRPr="00A52AB8">
        <w:rPr>
          <w:color w:val="000000" w:themeColor="text1"/>
        </w:rPr>
        <w:t>aaps_vpcc_extension_present_flag</w:t>
      </w:r>
      <w:r w:rsidR="009A5349" w:rsidRPr="00A52AB8">
        <w:rPr>
          <w:color w:val="000000" w:themeColor="text1"/>
        </w:rPr>
        <w:t xml:space="preserve"> is inferred to be equal to 0.</w:t>
      </w:r>
    </w:p>
    <w:p w14:paraId="577F11F7" w14:textId="4409F19E" w:rsidR="004967A0" w:rsidRPr="00A52AB8" w:rsidRDefault="004967A0" w:rsidP="004967A0">
      <w:pPr>
        <w:rPr>
          <w:color w:val="000000" w:themeColor="text1"/>
        </w:rPr>
      </w:pPr>
      <w:r w:rsidRPr="00A52AB8">
        <w:rPr>
          <w:b/>
          <w:bCs/>
          <w:color w:val="000000" w:themeColor="text1"/>
        </w:rPr>
        <w:t>aaps_miv_extension_present_flag</w:t>
      </w:r>
      <w:r w:rsidRPr="00A52AB8">
        <w:rPr>
          <w:color w:val="000000" w:themeColor="text1"/>
        </w:rPr>
        <w:t xml:space="preserve"> equal to 1 specifies that the aaps_miv_extension( ) syntax structure is present in the atlas_adaptation_parameter_set_rbsp( ) syntax structure. aaps_vpcc_extension_present_flag equal to 0 specifies that this syntax structure is not present. When not present, the value of aaps_miv_extension_present_flag is inferred to be equal to 0.</w:t>
      </w:r>
    </w:p>
    <w:p w14:paraId="7D719EEA" w14:textId="7E18D9A8" w:rsidR="00A20A04" w:rsidRPr="00A52AB8" w:rsidRDefault="00A20A04" w:rsidP="009A5349">
      <w:pPr>
        <w:rPr>
          <w:color w:val="000000" w:themeColor="text1"/>
        </w:rPr>
      </w:pPr>
      <w:r w:rsidRPr="00A52AB8">
        <w:rPr>
          <w:b/>
          <w:bCs/>
          <w:color w:val="000000" w:themeColor="text1"/>
        </w:rPr>
        <w:t>a</w:t>
      </w:r>
      <w:r w:rsidR="00A545F5" w:rsidRPr="00A52AB8">
        <w:rPr>
          <w:b/>
          <w:bCs/>
          <w:color w:val="000000" w:themeColor="text1"/>
        </w:rPr>
        <w:t>a</w:t>
      </w:r>
      <w:r w:rsidRPr="00A52AB8">
        <w:rPr>
          <w:b/>
          <w:bCs/>
          <w:color w:val="000000" w:themeColor="text1"/>
        </w:rPr>
        <w:t>ps_extension_</w:t>
      </w:r>
      <w:r w:rsidR="002A00E1" w:rsidRPr="00A52AB8">
        <w:rPr>
          <w:b/>
          <w:bCs/>
          <w:color w:val="000000" w:themeColor="text1"/>
        </w:rPr>
        <w:t xml:space="preserve">6bits </w:t>
      </w:r>
      <w:r w:rsidRPr="00A52AB8">
        <w:rPr>
          <w:color w:val="000000" w:themeColor="text1"/>
        </w:rPr>
        <w:t>equal to 0 specifies that no a</w:t>
      </w:r>
      <w:r w:rsidR="00A545F5" w:rsidRPr="00A52AB8">
        <w:rPr>
          <w:color w:val="000000" w:themeColor="text1"/>
        </w:rPr>
        <w:t>a</w:t>
      </w:r>
      <w:r w:rsidRPr="00A52AB8">
        <w:rPr>
          <w:color w:val="000000" w:themeColor="text1"/>
        </w:rPr>
        <w:t>ps_extension_data_flag syntax elements are present in the A</w:t>
      </w:r>
      <w:r w:rsidR="00A545F5" w:rsidRPr="00A52AB8">
        <w:rPr>
          <w:color w:val="000000" w:themeColor="text1"/>
        </w:rPr>
        <w:t>A</w:t>
      </w:r>
      <w:r w:rsidRPr="00A52AB8">
        <w:rPr>
          <w:color w:val="000000" w:themeColor="text1"/>
        </w:rPr>
        <w:t>PS RBSP syntax structure. When present, a</w:t>
      </w:r>
      <w:r w:rsidR="00A545F5" w:rsidRPr="00A52AB8">
        <w:rPr>
          <w:color w:val="000000" w:themeColor="text1"/>
        </w:rPr>
        <w:t>a</w:t>
      </w:r>
      <w:r w:rsidRPr="00A52AB8">
        <w:rPr>
          <w:color w:val="000000" w:themeColor="text1"/>
        </w:rPr>
        <w:t>ps_extension_</w:t>
      </w:r>
      <w:r w:rsidR="002A00E1" w:rsidRPr="00A52AB8">
        <w:rPr>
          <w:color w:val="000000" w:themeColor="text1"/>
        </w:rPr>
        <w:t xml:space="preserve">6bits </w:t>
      </w:r>
      <w:r w:rsidRPr="00A52AB8">
        <w:rPr>
          <w:color w:val="000000" w:themeColor="text1"/>
        </w:rPr>
        <w:t>shall be equal to 0 in bitstreams conforming to this version of this document. Values of a</w:t>
      </w:r>
      <w:r w:rsidR="00A545F5" w:rsidRPr="00A52AB8">
        <w:rPr>
          <w:color w:val="000000" w:themeColor="text1"/>
        </w:rPr>
        <w:t>a</w:t>
      </w:r>
      <w:r w:rsidRPr="00A52AB8">
        <w:rPr>
          <w:color w:val="000000" w:themeColor="text1"/>
        </w:rPr>
        <w:t>ps_extension_</w:t>
      </w:r>
      <w:r w:rsidR="002A00E1" w:rsidRPr="00A52AB8">
        <w:rPr>
          <w:color w:val="000000" w:themeColor="text1"/>
        </w:rPr>
        <w:t xml:space="preserve">6bits </w:t>
      </w:r>
      <w:r w:rsidRPr="00A52AB8">
        <w:rPr>
          <w:color w:val="000000" w:themeColor="text1"/>
        </w:rPr>
        <w:t>not equal to 0 are reserved for future use by ISO/IEC. Decoders shall allow the value of a</w:t>
      </w:r>
      <w:r w:rsidR="00A545F5" w:rsidRPr="00A52AB8">
        <w:rPr>
          <w:color w:val="000000" w:themeColor="text1"/>
        </w:rPr>
        <w:t>a</w:t>
      </w:r>
      <w:r w:rsidRPr="00A52AB8">
        <w:rPr>
          <w:color w:val="000000" w:themeColor="text1"/>
        </w:rPr>
        <w:t>ps_extension_</w:t>
      </w:r>
      <w:r w:rsidR="002A00E1" w:rsidRPr="00A52AB8">
        <w:rPr>
          <w:color w:val="000000" w:themeColor="text1"/>
        </w:rPr>
        <w:t xml:space="preserve">6bits </w:t>
      </w:r>
      <w:r w:rsidRPr="00A52AB8">
        <w:rPr>
          <w:color w:val="000000" w:themeColor="text1"/>
        </w:rPr>
        <w:t xml:space="preserve">to </w:t>
      </w:r>
      <w:r w:rsidR="00A90FBA" w:rsidRPr="00A52AB8">
        <w:rPr>
          <w:color w:val="000000" w:themeColor="text1"/>
        </w:rPr>
        <w:t>be not equal to</w:t>
      </w:r>
      <w:r w:rsidRPr="00A52AB8">
        <w:rPr>
          <w:color w:val="000000" w:themeColor="text1"/>
        </w:rPr>
        <w:t xml:space="preserve"> 0 and shall ignore all a</w:t>
      </w:r>
      <w:r w:rsidR="00A545F5" w:rsidRPr="00A52AB8">
        <w:rPr>
          <w:color w:val="000000" w:themeColor="text1"/>
        </w:rPr>
        <w:t>a</w:t>
      </w:r>
      <w:r w:rsidRPr="00A52AB8">
        <w:rPr>
          <w:color w:val="000000" w:themeColor="text1"/>
        </w:rPr>
        <w:t>ps_extension_data_flag syntax elements in an A</w:t>
      </w:r>
      <w:r w:rsidR="00A545F5" w:rsidRPr="00A52AB8">
        <w:rPr>
          <w:color w:val="000000" w:themeColor="text1"/>
        </w:rPr>
        <w:t>A</w:t>
      </w:r>
      <w:r w:rsidRPr="00A52AB8">
        <w:rPr>
          <w:color w:val="000000" w:themeColor="text1"/>
        </w:rPr>
        <w:t>PS NAL unit. When not present, the value of a</w:t>
      </w:r>
      <w:r w:rsidR="00A545F5" w:rsidRPr="00A52AB8">
        <w:rPr>
          <w:color w:val="000000" w:themeColor="text1"/>
        </w:rPr>
        <w:t>a</w:t>
      </w:r>
      <w:r w:rsidRPr="00A52AB8">
        <w:rPr>
          <w:color w:val="000000" w:themeColor="text1"/>
        </w:rPr>
        <w:t>ps_extension_</w:t>
      </w:r>
      <w:r w:rsidR="002A00E1" w:rsidRPr="00A52AB8">
        <w:rPr>
          <w:color w:val="000000" w:themeColor="text1"/>
        </w:rPr>
        <w:t xml:space="preserve">6bits </w:t>
      </w:r>
      <w:r w:rsidRPr="00A52AB8">
        <w:rPr>
          <w:color w:val="000000" w:themeColor="text1"/>
        </w:rPr>
        <w:t>is inferred to be equal to 0.</w:t>
      </w:r>
    </w:p>
    <w:p w14:paraId="4ED4ED9B" w14:textId="77777777" w:rsidR="0050235C" w:rsidRPr="00A52AB8" w:rsidRDefault="00B11688" w:rsidP="00B11688">
      <w:pPr>
        <w:rPr>
          <w:color w:val="000000" w:themeColor="text1"/>
        </w:rPr>
      </w:pPr>
      <w:r w:rsidRPr="00A52AB8">
        <w:rPr>
          <w:b/>
        </w:rPr>
        <w:t>aaps_extension_data_flag</w:t>
      </w:r>
      <w:r w:rsidRPr="00A52AB8">
        <w:rPr>
          <w:color w:val="000000" w:themeColor="text1"/>
        </w:rPr>
        <w:t xml:space="preserve"> may have any value. Its presence and value do not affect decoder conformance to profiles specified in this version of this document. Decoders conforming to this version of this document shall ignore all aaps_extension_data_flag syntax elements.</w:t>
      </w:r>
    </w:p>
    <w:p w14:paraId="02294A17" w14:textId="52E5A417" w:rsidR="0079186F" w:rsidRPr="00A52AB8" w:rsidRDefault="0079186F" w:rsidP="003A27FF">
      <w:pPr>
        <w:pStyle w:val="Heading4"/>
      </w:pPr>
      <w:bookmarkStart w:id="1182" w:name="_Ref38315838"/>
      <w:r w:rsidRPr="00A52AB8">
        <w:t>Supplemental enhancement information RBSP semantics</w:t>
      </w:r>
      <w:bookmarkEnd w:id="1182"/>
    </w:p>
    <w:p w14:paraId="050C0404" w14:textId="65ECE1A3" w:rsidR="0079186F" w:rsidRPr="00A52AB8" w:rsidRDefault="0079186F">
      <w:r w:rsidRPr="00A52AB8">
        <w:t xml:space="preserve">Supplemental enhancement information (SEI) contains information that is not necessary to decode the coded atlas frames </w:t>
      </w:r>
      <w:r w:rsidR="00A90FBA" w:rsidRPr="00A52AB8">
        <w:t xml:space="preserve">and their associated information </w:t>
      </w:r>
      <w:r w:rsidRPr="00A52AB8">
        <w:t>from ACL NAL units. An SEI RBSP contains one or more SEI messages.</w:t>
      </w:r>
    </w:p>
    <w:p w14:paraId="3902AEA6" w14:textId="77777777" w:rsidR="008F1F42" w:rsidRPr="00A52AB8" w:rsidRDefault="008F1F42" w:rsidP="003A27FF">
      <w:pPr>
        <w:pStyle w:val="Heading4"/>
      </w:pPr>
      <w:bookmarkStart w:id="1183" w:name="_Ref38315846"/>
      <w:r w:rsidRPr="00A52AB8">
        <w:t>Access unit delimiter RBSP semantics</w:t>
      </w:r>
      <w:bookmarkEnd w:id="1183"/>
    </w:p>
    <w:p w14:paraId="36F2F2AF" w14:textId="29A9720A" w:rsidR="008F1F42" w:rsidRPr="00A52AB8" w:rsidRDefault="008F1F42">
      <w:r w:rsidRPr="00A52AB8">
        <w:t xml:space="preserve">The access unit delimiter may be used to indicate the type of </w:t>
      </w:r>
      <w:r w:rsidR="00B8075E" w:rsidRPr="00A52AB8">
        <w:t>tile</w:t>
      </w:r>
      <w:r w:rsidRPr="00A52AB8">
        <w:t xml:space="preserve">s present in the coded atlas frames in the access unit containing the access </w:t>
      </w:r>
      <w:r w:rsidR="00A90FBA" w:rsidRPr="00A52AB8">
        <w:t xml:space="preserve">unit delimiter </w:t>
      </w:r>
      <w:r w:rsidRPr="00A52AB8">
        <w:t xml:space="preserve">or </w:t>
      </w:r>
      <w:r w:rsidR="00463CF8" w:rsidRPr="00A52AB8">
        <w:t>V3C</w:t>
      </w:r>
      <w:r w:rsidRPr="00A52AB8">
        <w:t xml:space="preserve"> access unit delimiter NAL unit and to simplify the detection of the boundary between access units. There is no normative decoding process associated with the access unit delimiter</w:t>
      </w:r>
      <w:r w:rsidR="001C3461" w:rsidRPr="00A52AB8">
        <w:t xml:space="preserve"> or V3C access unit delimiter</w:t>
      </w:r>
      <w:r w:rsidRPr="00A52AB8">
        <w:t>.</w:t>
      </w:r>
    </w:p>
    <w:p w14:paraId="2154ECB5" w14:textId="28E2D8A0" w:rsidR="008F1F42" w:rsidRPr="00A52AB8" w:rsidRDefault="008F1F42">
      <w:pPr>
        <w:spacing w:line="240" w:lineRule="exact"/>
      </w:pPr>
      <w:r w:rsidRPr="00A52AB8">
        <w:rPr>
          <w:b/>
          <w:bCs/>
        </w:rPr>
        <w:t>aframe_type</w:t>
      </w:r>
      <w:r w:rsidRPr="00A52AB8">
        <w:rPr>
          <w:bCs/>
        </w:rPr>
        <w:t xml:space="preserve"> </w:t>
      </w:r>
      <w:r w:rsidRPr="00A52AB8">
        <w:t xml:space="preserve">indicates that the </w:t>
      </w:r>
      <w:r w:rsidR="00A62CD5" w:rsidRPr="00A52AB8">
        <w:t>ath_</w:t>
      </w:r>
      <w:r w:rsidRPr="00A52AB8">
        <w:t xml:space="preserve">type values for all </w:t>
      </w:r>
      <w:r w:rsidR="00B8075E" w:rsidRPr="00A52AB8">
        <w:t>tile</w:t>
      </w:r>
      <w:r w:rsidRPr="00A52AB8">
        <w:t xml:space="preserve">s of the coded atlas frame in the access unit containing the access </w:t>
      </w:r>
      <w:r w:rsidR="000B7693" w:rsidRPr="00A52AB8">
        <w:t xml:space="preserve">unit delimiter </w:t>
      </w:r>
      <w:r w:rsidRPr="00A52AB8">
        <w:t xml:space="preserve">or </w:t>
      </w:r>
      <w:r w:rsidR="00463CF8" w:rsidRPr="00A52AB8">
        <w:t>V3C</w:t>
      </w:r>
      <w:r w:rsidRPr="00A52AB8">
        <w:t xml:space="preserve"> access unit delimiter NAL unit are members of the set listed in </w:t>
      </w:r>
      <w:r w:rsidRPr="00496A4D">
        <w:fldChar w:fldCharType="begin"/>
      </w:r>
      <w:r w:rsidRPr="00A52AB8">
        <w:instrText xml:space="preserve"> REF _Ref19417281 \h  \* MERGEFORMAT </w:instrText>
      </w:r>
      <w:r w:rsidRPr="00496A4D">
        <w:fldChar w:fldCharType="separate"/>
      </w:r>
      <w:r w:rsidR="00507A67" w:rsidRPr="00A52AB8">
        <w:t>Table </w:t>
      </w:r>
      <w:r w:rsidR="00507A67">
        <w:t>5</w:t>
      </w:r>
      <w:r w:rsidRPr="00496A4D">
        <w:fldChar w:fldCharType="end"/>
      </w:r>
      <w:r w:rsidRPr="00A52AB8">
        <w:t xml:space="preserve"> for the given value of aframe_type. The value of aframe_type shall be equal to 0</w:t>
      </w:r>
      <w:r w:rsidR="00F708B3" w:rsidRPr="00A52AB8">
        <w:t>, 1,</w:t>
      </w:r>
      <w:r w:rsidRPr="00A52AB8">
        <w:t xml:space="preserve"> </w:t>
      </w:r>
      <w:r w:rsidR="00F708B3" w:rsidRPr="00A52AB8">
        <w:t xml:space="preserve">2, </w:t>
      </w:r>
      <w:r w:rsidRPr="00A52AB8">
        <w:t xml:space="preserve">or </w:t>
      </w:r>
      <w:r w:rsidR="00F708B3" w:rsidRPr="00A52AB8">
        <w:t>3</w:t>
      </w:r>
      <w:r w:rsidRPr="00A52AB8">
        <w:t xml:space="preserve"> in bitstreams conforming to this version of </w:t>
      </w:r>
      <w:r w:rsidR="001905CC" w:rsidRPr="00A52AB8">
        <w:t>this document</w:t>
      </w:r>
      <w:r w:rsidRPr="00A52AB8">
        <w:t xml:space="preserve">. Other values of aframe_type are reserved for future use by </w:t>
      </w:r>
      <w:r w:rsidRPr="00A52AB8">
        <w:rPr>
          <w:rFonts w:eastAsia="MS Mincho"/>
        </w:rPr>
        <w:t>ISO/IEC</w:t>
      </w:r>
      <w:r w:rsidRPr="00A52AB8">
        <w:t xml:space="preserve">. Decoders conforming to this version of </w:t>
      </w:r>
      <w:r w:rsidR="001905CC" w:rsidRPr="00A52AB8">
        <w:t>this document</w:t>
      </w:r>
      <w:r w:rsidRPr="00A52AB8">
        <w:t xml:space="preserve"> shall ignore reserved values of aframe_type.</w:t>
      </w:r>
    </w:p>
    <w:p w14:paraId="52099A05" w14:textId="4C439BDB" w:rsidR="008F1F42" w:rsidRPr="00A52AB8" w:rsidRDefault="008F1F42">
      <w:pPr>
        <w:pStyle w:val="Caption"/>
        <w:rPr>
          <w:rFonts w:ascii="Cambria" w:hAnsi="Cambria"/>
        </w:rPr>
      </w:pPr>
      <w:bookmarkStart w:id="1184" w:name="_Ref19417281"/>
      <w:bookmarkStart w:id="1185" w:name="_Toc17563167"/>
      <w:bookmarkStart w:id="1186" w:name="_Toc77680754"/>
      <w:bookmarkStart w:id="1187" w:name="_Toc118289057"/>
      <w:bookmarkStart w:id="1188" w:name="_Toc246350686"/>
      <w:bookmarkStart w:id="1189" w:name="_Toc287363919"/>
      <w:bookmarkStart w:id="1190" w:name="_Toc415476434"/>
      <w:bookmarkStart w:id="1191" w:name="_Toc423602475"/>
      <w:bookmarkStart w:id="1192" w:name="_Toc423602649"/>
      <w:bookmarkStart w:id="1193" w:name="_Toc501130554"/>
      <w:bookmarkStart w:id="1194" w:name="_Toc503770562"/>
      <w:bookmarkStart w:id="1195" w:name="_Ref11445620"/>
      <w:r w:rsidRPr="00A52AB8">
        <w:rPr>
          <w:rFonts w:ascii="Cambria" w:hAnsi="Cambria"/>
        </w:rPr>
        <w:t>Table </w:t>
      </w:r>
      <w:r w:rsidR="0053363C" w:rsidRPr="00496A4D">
        <w:rPr>
          <w:rFonts w:ascii="Cambria" w:hAnsi="Cambria"/>
        </w:rPr>
        <w:fldChar w:fldCharType="begin"/>
      </w:r>
      <w:r w:rsidR="0053363C" w:rsidRPr="00A52AB8">
        <w:rPr>
          <w:rFonts w:ascii="Cambria" w:hAnsi="Cambria"/>
        </w:rPr>
        <w:instrText xml:space="preserve"> SEQ Table \* ARABIC \</w:instrText>
      </w:r>
      <w:r w:rsidR="00E75DB1" w:rsidRPr="00A52AB8">
        <w:rPr>
          <w:rFonts w:ascii="Cambria" w:hAnsi="Cambria"/>
        </w:rPr>
        <w:instrText>n</w:instrText>
      </w:r>
      <w:r w:rsidR="0053363C" w:rsidRPr="00A52AB8">
        <w:rPr>
          <w:rFonts w:ascii="Cambria" w:hAnsi="Cambria"/>
        </w:rPr>
        <w:instrText xml:space="preserve"> </w:instrText>
      </w:r>
      <w:r w:rsidR="0053363C" w:rsidRPr="00496A4D">
        <w:rPr>
          <w:rFonts w:ascii="Cambria" w:hAnsi="Cambria"/>
        </w:rPr>
        <w:fldChar w:fldCharType="separate"/>
      </w:r>
      <w:r w:rsidR="00507A67">
        <w:rPr>
          <w:rFonts w:ascii="Cambria" w:hAnsi="Cambria"/>
          <w:noProof/>
        </w:rPr>
        <w:t>5</w:t>
      </w:r>
      <w:r w:rsidR="0053363C" w:rsidRPr="00496A4D">
        <w:rPr>
          <w:rFonts w:ascii="Cambria" w:hAnsi="Cambria"/>
        </w:rPr>
        <w:fldChar w:fldCharType="end"/>
      </w:r>
      <w:bookmarkEnd w:id="1184"/>
      <w:r w:rsidR="001604C8" w:rsidRPr="00A52AB8">
        <w:rPr>
          <w:rFonts w:ascii="Cambria" w:hAnsi="Cambria" w:cs="Calibri"/>
          <w:bCs w:val="0"/>
        </w:rPr>
        <w:t> </w:t>
      </w:r>
      <w:r w:rsidR="001604C8" w:rsidRPr="00A52AB8">
        <w:rPr>
          <w:rFonts w:ascii="Cambria" w:hAnsi="Cambria"/>
        </w:rPr>
        <w:t>– </w:t>
      </w:r>
      <w:r w:rsidRPr="00A52AB8">
        <w:rPr>
          <w:rFonts w:ascii="Cambria" w:hAnsi="Cambria"/>
        </w:rPr>
        <w:t xml:space="preserve">Interpretation of </w:t>
      </w:r>
      <w:bookmarkEnd w:id="1185"/>
      <w:r w:rsidRPr="00A52AB8">
        <w:rPr>
          <w:rFonts w:ascii="Cambria" w:hAnsi="Cambria"/>
        </w:rPr>
        <w:t>aframe_typ</w:t>
      </w:r>
      <w:bookmarkEnd w:id="1186"/>
      <w:bookmarkEnd w:id="1187"/>
      <w:bookmarkEnd w:id="1188"/>
      <w:r w:rsidRPr="00A52AB8">
        <w:rPr>
          <w:rFonts w:ascii="Cambria" w:hAnsi="Cambria"/>
        </w:rPr>
        <w:t>e</w:t>
      </w:r>
      <w:bookmarkEnd w:id="1189"/>
      <w:bookmarkEnd w:id="1190"/>
      <w:bookmarkEnd w:id="1191"/>
      <w:bookmarkEnd w:id="1192"/>
      <w:bookmarkEnd w:id="1193"/>
      <w:bookmarkEnd w:id="1194"/>
      <w:bookmarkEnd w:id="1195"/>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351"/>
        <w:gridCol w:w="5767"/>
      </w:tblGrid>
      <w:tr w:rsidR="008F1F42" w:rsidRPr="00A52AB8" w14:paraId="14D13CF4" w14:textId="77777777" w:rsidTr="00792CFF">
        <w:trPr>
          <w:jc w:val="center"/>
        </w:trPr>
        <w:tc>
          <w:tcPr>
            <w:tcW w:w="1338" w:type="dxa"/>
          </w:tcPr>
          <w:p w14:paraId="5566897B" w14:textId="77777777" w:rsidR="008F1F42" w:rsidRPr="00A52AB8" w:rsidRDefault="008F1F42">
            <w:pPr>
              <w:pStyle w:val="TableText"/>
              <w:keepNext/>
              <w:spacing w:before="80" w:after="80"/>
              <w:jc w:val="center"/>
              <w:rPr>
                <w:rFonts w:ascii="Cambria" w:hAnsi="Cambria"/>
                <w:b/>
                <w:bCs/>
                <w:sz w:val="20"/>
              </w:rPr>
            </w:pPr>
            <w:r w:rsidRPr="00A52AB8">
              <w:rPr>
                <w:rFonts w:ascii="Cambria" w:hAnsi="Cambria"/>
                <w:b/>
                <w:bCs/>
                <w:sz w:val="20"/>
              </w:rPr>
              <w:t>aframe_type</w:t>
            </w:r>
          </w:p>
        </w:tc>
        <w:tc>
          <w:tcPr>
            <w:tcW w:w="5767" w:type="dxa"/>
          </w:tcPr>
          <w:p w14:paraId="59B52174" w14:textId="77777777" w:rsidR="008F1F42" w:rsidRPr="00A52AB8" w:rsidRDefault="00A62CD5">
            <w:pPr>
              <w:pStyle w:val="TableText"/>
              <w:keepNext/>
              <w:spacing w:before="80" w:after="80"/>
              <w:jc w:val="left"/>
              <w:rPr>
                <w:rFonts w:ascii="Cambria" w:hAnsi="Cambria"/>
                <w:b/>
                <w:bCs/>
                <w:sz w:val="20"/>
              </w:rPr>
            </w:pPr>
            <w:r w:rsidRPr="00A52AB8">
              <w:rPr>
                <w:rFonts w:ascii="Cambria" w:hAnsi="Cambria"/>
                <w:b/>
                <w:bCs/>
                <w:sz w:val="20"/>
              </w:rPr>
              <w:t>ath_</w:t>
            </w:r>
            <w:r w:rsidR="008F1F42" w:rsidRPr="00A52AB8">
              <w:rPr>
                <w:rFonts w:ascii="Cambria" w:hAnsi="Cambria"/>
                <w:b/>
                <w:bCs/>
                <w:sz w:val="20"/>
              </w:rPr>
              <w:t>type values that may be present in the coded atlas frame</w:t>
            </w:r>
          </w:p>
        </w:tc>
      </w:tr>
      <w:tr w:rsidR="008F1F42" w:rsidRPr="00A52AB8" w14:paraId="1C750B40" w14:textId="77777777" w:rsidTr="00792CFF">
        <w:trPr>
          <w:jc w:val="center"/>
        </w:trPr>
        <w:tc>
          <w:tcPr>
            <w:tcW w:w="1338" w:type="dxa"/>
          </w:tcPr>
          <w:p w14:paraId="3A1C2000" w14:textId="77777777" w:rsidR="008F1F42" w:rsidRPr="00A52AB8" w:rsidRDefault="008F1F42">
            <w:pPr>
              <w:pStyle w:val="TableText"/>
              <w:jc w:val="center"/>
              <w:rPr>
                <w:rFonts w:ascii="Cambria" w:hAnsi="Cambria"/>
              </w:rPr>
            </w:pPr>
            <w:r w:rsidRPr="00A52AB8">
              <w:rPr>
                <w:rFonts w:ascii="Cambria" w:hAnsi="Cambria"/>
              </w:rPr>
              <w:t>0</w:t>
            </w:r>
          </w:p>
        </w:tc>
        <w:tc>
          <w:tcPr>
            <w:tcW w:w="5767" w:type="dxa"/>
          </w:tcPr>
          <w:p w14:paraId="64048527" w14:textId="77777777" w:rsidR="008F1F42" w:rsidRPr="00A52AB8" w:rsidRDefault="008F1F42">
            <w:pPr>
              <w:pStyle w:val="TableText"/>
              <w:rPr>
                <w:rFonts w:ascii="Cambria" w:hAnsi="Cambria"/>
              </w:rPr>
            </w:pPr>
            <w:r w:rsidRPr="00A52AB8">
              <w:rPr>
                <w:rFonts w:ascii="Cambria" w:hAnsi="Cambria"/>
              </w:rPr>
              <w:t>I</w:t>
            </w:r>
            <w:r w:rsidR="00220660" w:rsidRPr="00A52AB8">
              <w:rPr>
                <w:rFonts w:ascii="Cambria" w:hAnsi="Cambria"/>
              </w:rPr>
              <w:t>_TILE</w:t>
            </w:r>
          </w:p>
        </w:tc>
      </w:tr>
      <w:tr w:rsidR="008F1F42" w:rsidRPr="00A52AB8" w14:paraId="4C4050F1" w14:textId="77777777" w:rsidTr="00792CFF">
        <w:trPr>
          <w:jc w:val="center"/>
        </w:trPr>
        <w:tc>
          <w:tcPr>
            <w:tcW w:w="1338" w:type="dxa"/>
          </w:tcPr>
          <w:p w14:paraId="513D672C" w14:textId="77777777" w:rsidR="008F1F42" w:rsidRPr="00A52AB8" w:rsidRDefault="008F1F42">
            <w:pPr>
              <w:pStyle w:val="TableText"/>
              <w:jc w:val="center"/>
              <w:rPr>
                <w:rFonts w:ascii="Cambria" w:hAnsi="Cambria"/>
              </w:rPr>
            </w:pPr>
            <w:r w:rsidRPr="00A52AB8">
              <w:rPr>
                <w:rFonts w:ascii="Cambria" w:hAnsi="Cambria"/>
              </w:rPr>
              <w:t>1</w:t>
            </w:r>
          </w:p>
        </w:tc>
        <w:tc>
          <w:tcPr>
            <w:tcW w:w="5767" w:type="dxa"/>
          </w:tcPr>
          <w:p w14:paraId="3BABE36B" w14:textId="77777777" w:rsidR="008F1F42" w:rsidRPr="00A52AB8" w:rsidRDefault="008F1F42">
            <w:pPr>
              <w:pStyle w:val="TableText"/>
              <w:rPr>
                <w:rFonts w:ascii="Cambria" w:hAnsi="Cambria"/>
              </w:rPr>
            </w:pPr>
            <w:r w:rsidRPr="00A52AB8">
              <w:rPr>
                <w:rFonts w:ascii="Cambria" w:hAnsi="Cambria"/>
              </w:rPr>
              <w:t>P</w:t>
            </w:r>
            <w:r w:rsidR="00220660" w:rsidRPr="00A52AB8">
              <w:rPr>
                <w:rFonts w:ascii="Cambria" w:hAnsi="Cambria"/>
              </w:rPr>
              <w:t>_TILE</w:t>
            </w:r>
            <w:r w:rsidRPr="00A52AB8">
              <w:rPr>
                <w:rFonts w:ascii="Cambria" w:hAnsi="Cambria"/>
              </w:rPr>
              <w:t>, I</w:t>
            </w:r>
            <w:r w:rsidR="00220660" w:rsidRPr="00A52AB8">
              <w:rPr>
                <w:rFonts w:ascii="Cambria" w:hAnsi="Cambria"/>
              </w:rPr>
              <w:t>_TILE</w:t>
            </w:r>
          </w:p>
        </w:tc>
      </w:tr>
      <w:tr w:rsidR="00F708B3" w:rsidRPr="00A52AB8" w14:paraId="10A6846F" w14:textId="77777777" w:rsidTr="00792CFF">
        <w:trPr>
          <w:jc w:val="center"/>
        </w:trPr>
        <w:tc>
          <w:tcPr>
            <w:tcW w:w="1338" w:type="dxa"/>
          </w:tcPr>
          <w:p w14:paraId="5A6E1BEB" w14:textId="77777777" w:rsidR="00F708B3" w:rsidRPr="00A52AB8" w:rsidRDefault="00F708B3">
            <w:pPr>
              <w:pStyle w:val="TableText"/>
              <w:jc w:val="center"/>
              <w:rPr>
                <w:rFonts w:ascii="Cambria" w:hAnsi="Cambria"/>
              </w:rPr>
            </w:pPr>
            <w:r w:rsidRPr="00A52AB8">
              <w:rPr>
                <w:rFonts w:ascii="Cambria" w:hAnsi="Cambria"/>
              </w:rPr>
              <w:t>2</w:t>
            </w:r>
          </w:p>
        </w:tc>
        <w:tc>
          <w:tcPr>
            <w:tcW w:w="5767" w:type="dxa"/>
          </w:tcPr>
          <w:p w14:paraId="4D31F590" w14:textId="77777777" w:rsidR="00F708B3" w:rsidRPr="00A52AB8" w:rsidRDefault="00F708B3">
            <w:pPr>
              <w:pStyle w:val="TableText"/>
              <w:rPr>
                <w:rFonts w:ascii="Cambria" w:hAnsi="Cambria"/>
              </w:rPr>
            </w:pPr>
            <w:r w:rsidRPr="00A52AB8">
              <w:rPr>
                <w:rFonts w:ascii="Cambria" w:hAnsi="Cambria"/>
              </w:rPr>
              <w:t>SKIP</w:t>
            </w:r>
            <w:r w:rsidR="00220660" w:rsidRPr="00A52AB8">
              <w:rPr>
                <w:rFonts w:ascii="Cambria" w:hAnsi="Cambria"/>
              </w:rPr>
              <w:t>_TILE</w:t>
            </w:r>
            <w:r w:rsidRPr="00A52AB8">
              <w:rPr>
                <w:rFonts w:ascii="Cambria" w:hAnsi="Cambria"/>
              </w:rPr>
              <w:t>, P</w:t>
            </w:r>
            <w:r w:rsidR="00220660" w:rsidRPr="00A52AB8">
              <w:rPr>
                <w:rFonts w:ascii="Cambria" w:hAnsi="Cambria"/>
              </w:rPr>
              <w:t>_TILE</w:t>
            </w:r>
            <w:r w:rsidRPr="00A52AB8">
              <w:rPr>
                <w:rFonts w:ascii="Cambria" w:hAnsi="Cambria"/>
              </w:rPr>
              <w:t>, I</w:t>
            </w:r>
            <w:r w:rsidR="00220660" w:rsidRPr="00A52AB8">
              <w:rPr>
                <w:rFonts w:ascii="Cambria" w:hAnsi="Cambria"/>
              </w:rPr>
              <w:t>_TILE</w:t>
            </w:r>
          </w:p>
        </w:tc>
      </w:tr>
      <w:tr w:rsidR="00F708B3" w:rsidRPr="00A52AB8" w14:paraId="4A11D8F2" w14:textId="77777777" w:rsidTr="00792CFF">
        <w:trPr>
          <w:jc w:val="center"/>
        </w:trPr>
        <w:tc>
          <w:tcPr>
            <w:tcW w:w="1338" w:type="dxa"/>
          </w:tcPr>
          <w:p w14:paraId="5F33581C" w14:textId="77777777" w:rsidR="00F708B3" w:rsidRPr="00A52AB8" w:rsidRDefault="00F708B3">
            <w:pPr>
              <w:pStyle w:val="TableText"/>
              <w:jc w:val="center"/>
              <w:rPr>
                <w:rFonts w:ascii="Cambria" w:hAnsi="Cambria"/>
              </w:rPr>
            </w:pPr>
            <w:r w:rsidRPr="00A52AB8">
              <w:rPr>
                <w:rFonts w:ascii="Cambria" w:hAnsi="Cambria"/>
              </w:rPr>
              <w:t>3</w:t>
            </w:r>
          </w:p>
        </w:tc>
        <w:tc>
          <w:tcPr>
            <w:tcW w:w="5767" w:type="dxa"/>
          </w:tcPr>
          <w:p w14:paraId="4FC81671" w14:textId="77777777" w:rsidR="00F708B3" w:rsidRPr="00A52AB8" w:rsidRDefault="00F708B3">
            <w:pPr>
              <w:pStyle w:val="TableText"/>
              <w:rPr>
                <w:rFonts w:ascii="Cambria" w:hAnsi="Cambria"/>
              </w:rPr>
            </w:pPr>
            <w:r w:rsidRPr="00A52AB8">
              <w:rPr>
                <w:rFonts w:ascii="Cambria" w:hAnsi="Cambria"/>
              </w:rPr>
              <w:t>SKIP</w:t>
            </w:r>
            <w:r w:rsidR="00220660" w:rsidRPr="00A52AB8">
              <w:rPr>
                <w:rFonts w:ascii="Cambria" w:hAnsi="Cambria"/>
              </w:rPr>
              <w:t>_TILE</w:t>
            </w:r>
          </w:p>
        </w:tc>
      </w:tr>
      <w:tr w:rsidR="00A065CC" w:rsidRPr="00A52AB8" w14:paraId="64ABBEEB" w14:textId="77777777" w:rsidTr="00792CFF">
        <w:trPr>
          <w:jc w:val="center"/>
        </w:trPr>
        <w:tc>
          <w:tcPr>
            <w:tcW w:w="1338" w:type="dxa"/>
          </w:tcPr>
          <w:p w14:paraId="29BCAB56" w14:textId="4D4524D2" w:rsidR="00A065CC" w:rsidRPr="00A52AB8" w:rsidRDefault="002B31EA">
            <w:pPr>
              <w:pStyle w:val="TableText"/>
              <w:jc w:val="center"/>
              <w:rPr>
                <w:rFonts w:ascii="Cambria" w:hAnsi="Cambria"/>
              </w:rPr>
            </w:pPr>
            <w:r w:rsidRPr="00A52AB8">
              <w:rPr>
                <w:rFonts w:ascii="Cambria" w:hAnsi="Cambria"/>
              </w:rPr>
              <w:t xml:space="preserve">4 </w:t>
            </w:r>
            <w:r w:rsidR="001C3461" w:rsidRPr="00A52AB8">
              <w:rPr>
                <w:rFonts w:ascii="Cambria" w:hAnsi="Cambria"/>
              </w:rPr>
              <w:t>–</w:t>
            </w:r>
            <w:r w:rsidR="00E7378D" w:rsidRPr="00A52AB8">
              <w:rPr>
                <w:rFonts w:ascii="Cambria" w:hAnsi="Cambria"/>
              </w:rPr>
              <w:t xml:space="preserve"> </w:t>
            </w:r>
            <w:r w:rsidRPr="00A52AB8">
              <w:rPr>
                <w:rFonts w:ascii="Cambria" w:hAnsi="Cambria"/>
              </w:rPr>
              <w:t>7</w:t>
            </w:r>
          </w:p>
        </w:tc>
        <w:tc>
          <w:tcPr>
            <w:tcW w:w="5767" w:type="dxa"/>
          </w:tcPr>
          <w:p w14:paraId="4605B98A" w14:textId="77777777" w:rsidR="00A065CC" w:rsidRPr="00A52AB8" w:rsidRDefault="002B31EA">
            <w:pPr>
              <w:pStyle w:val="TableText"/>
              <w:rPr>
                <w:rFonts w:ascii="Cambria" w:hAnsi="Cambria"/>
              </w:rPr>
            </w:pPr>
            <w:r w:rsidRPr="00A52AB8">
              <w:rPr>
                <w:rFonts w:ascii="Cambria" w:hAnsi="Cambria"/>
              </w:rPr>
              <w:t>RESERVED</w:t>
            </w:r>
          </w:p>
        </w:tc>
      </w:tr>
    </w:tbl>
    <w:p w14:paraId="2BC82AC5" w14:textId="77777777" w:rsidR="005E1532" w:rsidRPr="00A52AB8" w:rsidRDefault="005E1532" w:rsidP="003A27FF">
      <w:pPr>
        <w:pStyle w:val="Heading4"/>
      </w:pPr>
      <w:bookmarkStart w:id="1196" w:name="_Ref398989280"/>
      <w:bookmarkStart w:id="1197" w:name="_Toc415475864"/>
      <w:bookmarkStart w:id="1198" w:name="_Toc423599139"/>
      <w:bookmarkStart w:id="1199" w:name="_Toc423601643"/>
      <w:bookmarkStart w:id="1200" w:name="_Toc20134275"/>
      <w:r w:rsidRPr="00A52AB8">
        <w:t>End of sequence RBSP semantics</w:t>
      </w:r>
      <w:bookmarkEnd w:id="1196"/>
      <w:bookmarkEnd w:id="1197"/>
      <w:bookmarkEnd w:id="1198"/>
      <w:bookmarkEnd w:id="1199"/>
    </w:p>
    <w:p w14:paraId="391D8289" w14:textId="11346B56" w:rsidR="005E1532" w:rsidRPr="00A52AB8" w:rsidRDefault="005E1532">
      <w:r w:rsidRPr="00A52AB8">
        <w:t xml:space="preserve">When </w:t>
      </w:r>
      <w:r w:rsidR="007406D0" w:rsidRPr="00A52AB8">
        <w:t>included in a NAL unit with nal_layer_id equal to 0</w:t>
      </w:r>
      <w:r w:rsidRPr="00A52AB8">
        <w:t xml:space="preserve">, the end of sequence RBSP specifies that the current access unit is the last access unit in the coded atlas sequence in decoding order and the next subsequent access unit in the </w:t>
      </w:r>
      <w:r w:rsidR="001C3461" w:rsidRPr="00A52AB8">
        <w:t>atlas sub-</w:t>
      </w:r>
      <w:r w:rsidRPr="00A52AB8">
        <w:t xml:space="preserve">bitstream in decoding order (if any) is an </w:t>
      </w:r>
      <w:r w:rsidR="00F560F8" w:rsidRPr="00A52AB8">
        <w:t>IRAP coded atlas access unit</w:t>
      </w:r>
      <w:r w:rsidR="007406D0" w:rsidRPr="00A52AB8">
        <w:t xml:space="preserve"> with </w:t>
      </w:r>
      <w:r w:rsidR="00415026" w:rsidRPr="00A52AB8">
        <w:t xml:space="preserve">NoOutputBeforeRecoveryFlag </w:t>
      </w:r>
      <w:r w:rsidR="007406D0" w:rsidRPr="00A52AB8">
        <w:t>equal to 1</w:t>
      </w:r>
      <w:r w:rsidRPr="00A52AB8">
        <w:t>. The syntax content of the SODB and RBSP for the end of sequence RBSP are empty.</w:t>
      </w:r>
    </w:p>
    <w:p w14:paraId="3C2599BC" w14:textId="77777777" w:rsidR="005E1532" w:rsidRPr="00A52AB8" w:rsidRDefault="005E1532" w:rsidP="003A27FF">
      <w:pPr>
        <w:pStyle w:val="Heading4"/>
      </w:pPr>
      <w:bookmarkStart w:id="1201" w:name="_Ref38315884"/>
      <w:bookmarkStart w:id="1202" w:name="_Ref398989293"/>
      <w:bookmarkStart w:id="1203" w:name="_Toc415475865"/>
      <w:bookmarkStart w:id="1204" w:name="_Toc423599140"/>
      <w:bookmarkStart w:id="1205" w:name="_Toc423601644"/>
      <w:r w:rsidRPr="00A52AB8">
        <w:t>End of bitstream RBSP semantics</w:t>
      </w:r>
      <w:bookmarkEnd w:id="1201"/>
    </w:p>
    <w:bookmarkEnd w:id="1202"/>
    <w:bookmarkEnd w:id="1203"/>
    <w:bookmarkEnd w:id="1204"/>
    <w:bookmarkEnd w:id="1205"/>
    <w:p w14:paraId="0987A495" w14:textId="106C73D5" w:rsidR="005E1532" w:rsidRPr="00A52AB8" w:rsidRDefault="005E1532">
      <w:r w:rsidRPr="00A52AB8">
        <w:t xml:space="preserve">The end of bitstream RBSP indicates that no additional NAL units are present in the </w:t>
      </w:r>
      <w:r w:rsidR="001C3461" w:rsidRPr="00A52AB8">
        <w:t>atlas sub-</w:t>
      </w:r>
      <w:r w:rsidRPr="00A52AB8">
        <w:t>bitstream that are subsequent to the end of bitstream RBSP in decoding order. The syntax content of the SODB and RBSP for the end of bitstream RBSP are empty.</w:t>
      </w:r>
    </w:p>
    <w:p w14:paraId="33C18F18" w14:textId="77777777" w:rsidR="00B231D7" w:rsidRPr="00A52AB8" w:rsidRDefault="00B231D7" w:rsidP="005C26E9">
      <w:pPr>
        <w:pStyle w:val="Heading4"/>
      </w:pPr>
      <w:bookmarkStart w:id="1206" w:name="_Toc77680416"/>
      <w:bookmarkStart w:id="1207" w:name="_Ref168820895"/>
      <w:bookmarkStart w:id="1208" w:name="_Ref205323030"/>
      <w:bookmarkStart w:id="1209" w:name="_Toc226456574"/>
      <w:bookmarkStart w:id="1210" w:name="_Toc248045256"/>
      <w:bookmarkStart w:id="1211" w:name="_Toc287363781"/>
      <w:bookmarkStart w:id="1212" w:name="_Toc311216929"/>
      <w:bookmarkStart w:id="1213" w:name="_Toc317198755"/>
      <w:bookmarkStart w:id="1214" w:name="_Ref398989307"/>
      <w:bookmarkStart w:id="1215" w:name="_Toc415475866"/>
      <w:bookmarkStart w:id="1216" w:name="_Toc423599141"/>
      <w:bookmarkStart w:id="1217" w:name="_Toc423601645"/>
      <w:bookmarkStart w:id="1218" w:name="_Ref38315871"/>
      <w:r w:rsidRPr="00A52AB8">
        <w:t>Filler data RBSP semantics</w:t>
      </w:r>
      <w:bookmarkEnd w:id="1206"/>
      <w:bookmarkEnd w:id="1207"/>
      <w:bookmarkEnd w:id="1208"/>
      <w:bookmarkEnd w:id="1209"/>
      <w:bookmarkEnd w:id="1210"/>
      <w:bookmarkEnd w:id="1211"/>
      <w:bookmarkEnd w:id="1212"/>
      <w:bookmarkEnd w:id="1213"/>
      <w:bookmarkEnd w:id="1214"/>
      <w:bookmarkEnd w:id="1215"/>
      <w:bookmarkEnd w:id="1216"/>
      <w:bookmarkEnd w:id="1217"/>
      <w:bookmarkEnd w:id="1218"/>
    </w:p>
    <w:p w14:paraId="239B5094" w14:textId="77777777" w:rsidR="00B231D7" w:rsidRPr="00A52AB8" w:rsidRDefault="00B231D7">
      <w:r w:rsidRPr="00A52AB8">
        <w:t>The filler data RBSP contains bytes whose value shall be equal to 0xFF. No normative decoding process is specified for a filler data RBSP.</w:t>
      </w:r>
    </w:p>
    <w:p w14:paraId="186F14D6" w14:textId="77777777" w:rsidR="00B231D7" w:rsidRPr="00A52AB8" w:rsidRDefault="00B231D7">
      <w:r w:rsidRPr="00A52AB8">
        <w:rPr>
          <w:b/>
          <w:bCs/>
        </w:rPr>
        <w:t xml:space="preserve">ff_byte </w:t>
      </w:r>
      <w:r w:rsidRPr="00A52AB8">
        <w:t>is a byte equal to 0xFF.</w:t>
      </w:r>
    </w:p>
    <w:p w14:paraId="787F0BC3" w14:textId="77777777" w:rsidR="00BE14E1" w:rsidRPr="00A52AB8" w:rsidRDefault="00AF74D1" w:rsidP="005C26E9">
      <w:pPr>
        <w:pStyle w:val="Heading4"/>
      </w:pPr>
      <w:bookmarkStart w:id="1219" w:name="_Ref38315893"/>
      <w:bookmarkEnd w:id="1200"/>
      <w:r w:rsidRPr="00A52AB8">
        <w:tab/>
      </w:r>
      <w:r w:rsidR="002A47BD" w:rsidRPr="00A52AB8">
        <w:t xml:space="preserve">Atlas </w:t>
      </w:r>
      <w:r w:rsidR="00B8075E" w:rsidRPr="00A52AB8">
        <w:t>tile</w:t>
      </w:r>
      <w:r w:rsidR="00BC1197" w:rsidRPr="00A52AB8">
        <w:t xml:space="preserve"> </w:t>
      </w:r>
      <w:r w:rsidR="00BE14E1" w:rsidRPr="00A52AB8">
        <w:t xml:space="preserve">layer </w:t>
      </w:r>
      <w:r w:rsidR="008326D5" w:rsidRPr="00A52AB8">
        <w:t xml:space="preserve">RBSP </w:t>
      </w:r>
      <w:r w:rsidR="00BE14E1" w:rsidRPr="00A52AB8">
        <w:t>semantics</w:t>
      </w:r>
      <w:bookmarkEnd w:id="1219"/>
    </w:p>
    <w:p w14:paraId="3CF3369E" w14:textId="77777777" w:rsidR="00BE14E1" w:rsidRPr="00A52AB8" w:rsidRDefault="00BE14E1">
      <w:pPr>
        <w:rPr>
          <w:lang w:eastAsia="ja-JP"/>
        </w:rPr>
      </w:pPr>
      <w:r w:rsidRPr="00A52AB8">
        <w:rPr>
          <w:lang w:eastAsia="ja-JP"/>
        </w:rPr>
        <w:t>None.</w:t>
      </w:r>
    </w:p>
    <w:p w14:paraId="59833220" w14:textId="77777777" w:rsidR="00761859" w:rsidRPr="00A52AB8" w:rsidRDefault="00761859" w:rsidP="005C26E9">
      <w:pPr>
        <w:pStyle w:val="Heading4"/>
      </w:pPr>
      <w:bookmarkStart w:id="1220" w:name="_Ref38315906"/>
      <w:r w:rsidRPr="00A52AB8">
        <w:t>RBSP trailing bit semantics</w:t>
      </w:r>
      <w:bookmarkEnd w:id="1220"/>
    </w:p>
    <w:p w14:paraId="1926D097" w14:textId="77777777" w:rsidR="00261C51" w:rsidRPr="00A52AB8" w:rsidRDefault="00261C51" w:rsidP="00261C51">
      <w:r w:rsidRPr="00A52AB8">
        <w:rPr>
          <w:b/>
          <w:bCs/>
        </w:rPr>
        <w:t>rbsp_stop_one_bit</w:t>
      </w:r>
      <w:r w:rsidRPr="00A52AB8">
        <w:t xml:space="preserve"> shall be equal to 1.</w:t>
      </w:r>
    </w:p>
    <w:p w14:paraId="011CF7F7" w14:textId="77777777" w:rsidR="00761859" w:rsidRPr="00A52AB8" w:rsidRDefault="00261C51" w:rsidP="00261C51">
      <w:r w:rsidRPr="00A52AB8">
        <w:rPr>
          <w:b/>
          <w:bCs/>
        </w:rPr>
        <w:t>rbsp_alignment_zero_bit</w:t>
      </w:r>
      <w:r w:rsidRPr="00A52AB8">
        <w:t xml:space="preserve"> shall be equal to 0.</w:t>
      </w:r>
    </w:p>
    <w:p w14:paraId="4F6180AB" w14:textId="77777777" w:rsidR="00BE14E1" w:rsidRPr="00A52AB8" w:rsidRDefault="002A47BD" w:rsidP="005C26E9">
      <w:pPr>
        <w:pStyle w:val="Heading4"/>
      </w:pPr>
      <w:bookmarkStart w:id="1221" w:name="_Ref38315913"/>
      <w:r w:rsidRPr="00A52AB8">
        <w:t xml:space="preserve">Atlas </w:t>
      </w:r>
      <w:r w:rsidR="00B8075E" w:rsidRPr="00A52AB8">
        <w:t>tile</w:t>
      </w:r>
      <w:r w:rsidR="00BC1197" w:rsidRPr="00A52AB8">
        <w:t xml:space="preserve"> </w:t>
      </w:r>
      <w:r w:rsidR="00BE14E1" w:rsidRPr="00A52AB8">
        <w:t>header semantics</w:t>
      </w:r>
      <w:bookmarkEnd w:id="1221"/>
    </w:p>
    <w:p w14:paraId="3F078890" w14:textId="77777777" w:rsidR="0050235C" w:rsidRPr="00A52AB8" w:rsidRDefault="00534D1F" w:rsidP="00534D1F">
      <w:r w:rsidRPr="00A52AB8">
        <w:t xml:space="preserve">When present, the value of the atlas tile header syntax elements </w:t>
      </w:r>
      <w:r w:rsidRPr="00A52AB8">
        <w:rPr>
          <w:color w:val="000000" w:themeColor="text1"/>
        </w:rPr>
        <w:t>ath_atlas_frame_parameter_set_id,</w:t>
      </w:r>
      <w:r w:rsidRPr="00A52AB8">
        <w:t xml:space="preserve"> </w:t>
      </w:r>
      <w:r w:rsidRPr="00A52AB8">
        <w:rPr>
          <w:lang w:eastAsia="ja-JP"/>
        </w:rPr>
        <w:t>ath_atlas_adaptation_parameter_set_id,</w:t>
      </w:r>
      <w:r w:rsidRPr="00A52AB8">
        <w:rPr>
          <w:color w:val="000000" w:themeColor="text1"/>
        </w:rPr>
        <w:t xml:space="preserve"> </w:t>
      </w:r>
      <w:r w:rsidRPr="00A52AB8">
        <w:t xml:space="preserve">ath_atlas_output_flag, </w:t>
      </w:r>
      <w:r w:rsidR="00696C20" w:rsidRPr="00A52AB8">
        <w:rPr>
          <w:bCs/>
        </w:rPr>
        <w:t>ath_no_output_of_prior_atlas_frames_flag</w:t>
      </w:r>
      <w:r w:rsidRPr="00A52AB8">
        <w:t xml:space="preserve">, </w:t>
      </w:r>
      <w:r w:rsidR="00E445B1" w:rsidRPr="00A52AB8">
        <w:t xml:space="preserve">and </w:t>
      </w:r>
      <w:r w:rsidRPr="00A52AB8">
        <w:t xml:space="preserve">ath_atlas_frm_order_cnt_lsb, shall be the same in all </w:t>
      </w:r>
      <w:r w:rsidR="00692317" w:rsidRPr="00A52AB8">
        <w:t>atlas tile</w:t>
      </w:r>
      <w:r w:rsidRPr="00A52AB8">
        <w:t xml:space="preserve"> headers of a coded </w:t>
      </w:r>
      <w:r w:rsidR="00692317" w:rsidRPr="00A52AB8">
        <w:t>atlas frame</w:t>
      </w:r>
      <w:r w:rsidRPr="00A52AB8">
        <w:t>.</w:t>
      </w:r>
    </w:p>
    <w:p w14:paraId="7C4939D9" w14:textId="273959C8" w:rsidR="00696C20" w:rsidRPr="00A52AB8" w:rsidRDefault="00696C20" w:rsidP="00696C20">
      <w:r w:rsidRPr="00A52AB8">
        <w:rPr>
          <w:b/>
        </w:rPr>
        <w:t>ath_no_output_of_prior_atlas_frames_flag</w:t>
      </w:r>
      <w:r w:rsidRPr="00A52AB8">
        <w:t xml:space="preserve"> affects the output of previously-decoded atlas frames in the DAB after the decoding of an atlas in a CAS AU that is not the first AU in the bitstream as specified in </w:t>
      </w:r>
      <w:r w:rsidRPr="00496A4D">
        <w:fldChar w:fldCharType="begin"/>
      </w:r>
      <w:r w:rsidRPr="00A52AB8">
        <w:instrText xml:space="preserve"> REF _Ref47861695 \r \h </w:instrText>
      </w:r>
      <w:r w:rsidR="006371AA" w:rsidRPr="00A52AB8">
        <w:instrText xml:space="preserve"> \* MERGEFORMAT </w:instrText>
      </w:r>
      <w:r w:rsidRPr="00496A4D">
        <w:fldChar w:fldCharType="separate"/>
      </w:r>
      <w:r w:rsidR="00507A67">
        <w:t>Annex E</w:t>
      </w:r>
      <w:r w:rsidRPr="00496A4D">
        <w:fldChar w:fldCharType="end"/>
      </w:r>
      <w:r w:rsidRPr="00A52AB8">
        <w:t xml:space="preserve">. When </w:t>
      </w:r>
      <w:r w:rsidRPr="00A52AB8">
        <w:rPr>
          <w:bCs/>
        </w:rPr>
        <w:t>ath_no_output_of_prior_atlas_frames_flag is not present, its value is inferred to be equal to 0.</w:t>
      </w:r>
    </w:p>
    <w:p w14:paraId="203D21FC" w14:textId="77777777" w:rsidR="00696C20" w:rsidRPr="00A52AB8" w:rsidRDefault="00696C20" w:rsidP="00696C20">
      <w:r w:rsidRPr="00A52AB8">
        <w:t xml:space="preserve">It is a requirement of bitstream conformance that the value of </w:t>
      </w:r>
      <w:r w:rsidRPr="00A52AB8">
        <w:rPr>
          <w:bCs/>
        </w:rPr>
        <w:t>ath_no_output_of_prior_atlas_frames_flag</w:t>
      </w:r>
      <w:r w:rsidRPr="00A52AB8">
        <w:t xml:space="preserve"> shall be the same for all atlas frames in an AU.</w:t>
      </w:r>
    </w:p>
    <w:p w14:paraId="644D869A" w14:textId="77777777" w:rsidR="00696C20" w:rsidRPr="00A52AB8" w:rsidRDefault="00696C20" w:rsidP="0038670C">
      <w:r w:rsidRPr="00A52AB8">
        <w:t xml:space="preserve">The value of </w:t>
      </w:r>
      <w:r w:rsidRPr="00A52AB8">
        <w:rPr>
          <w:bCs/>
        </w:rPr>
        <w:t>ath_no_output_of_prior_atlas_frames_flag</w:t>
      </w:r>
      <w:r w:rsidRPr="00A52AB8">
        <w:t xml:space="preserve"> in the atlas tile headers is also referred to as the </w:t>
      </w:r>
      <w:r w:rsidRPr="00A52AB8">
        <w:rPr>
          <w:bCs/>
        </w:rPr>
        <w:t>output_of_prior_atlas_frames_flag</w:t>
      </w:r>
      <w:r w:rsidRPr="00A52AB8">
        <w:t xml:space="preserve"> value of the AU.</w:t>
      </w:r>
    </w:p>
    <w:p w14:paraId="140A0C92" w14:textId="77777777" w:rsidR="0050235C" w:rsidRPr="00A52AB8" w:rsidRDefault="00A62CD5">
      <w:pPr>
        <w:rPr>
          <w:color w:val="000000" w:themeColor="text1"/>
        </w:rPr>
      </w:pPr>
      <w:r w:rsidRPr="00A52AB8">
        <w:rPr>
          <w:b/>
          <w:bCs/>
          <w:color w:val="000000" w:themeColor="text1"/>
        </w:rPr>
        <w:t>ath_</w:t>
      </w:r>
      <w:r w:rsidR="00DD23CD" w:rsidRPr="00A52AB8">
        <w:rPr>
          <w:b/>
          <w:bCs/>
          <w:color w:val="000000" w:themeColor="text1"/>
        </w:rPr>
        <w:t>atlas_frame</w:t>
      </w:r>
      <w:r w:rsidR="009B1AB2" w:rsidRPr="00A52AB8">
        <w:rPr>
          <w:b/>
          <w:bCs/>
          <w:color w:val="000000" w:themeColor="text1"/>
        </w:rPr>
        <w:t>_parameter_set_id</w:t>
      </w:r>
      <w:r w:rsidR="009B1AB2" w:rsidRPr="00A52AB8">
        <w:rPr>
          <w:bCs/>
          <w:color w:val="000000" w:themeColor="text1"/>
        </w:rPr>
        <w:t xml:space="preserve"> </w:t>
      </w:r>
      <w:r w:rsidR="009B1AB2" w:rsidRPr="00A52AB8">
        <w:rPr>
          <w:color w:val="000000" w:themeColor="text1"/>
        </w:rPr>
        <w:t xml:space="preserve">specifies the value of </w:t>
      </w:r>
      <w:r w:rsidR="008F0D00" w:rsidRPr="00A52AB8">
        <w:rPr>
          <w:color w:val="000000" w:themeColor="text1"/>
        </w:rPr>
        <w:t>afps_</w:t>
      </w:r>
      <w:r w:rsidR="00DD23CD" w:rsidRPr="00A52AB8">
        <w:rPr>
          <w:color w:val="000000" w:themeColor="text1"/>
        </w:rPr>
        <w:t>atlas_frame</w:t>
      </w:r>
      <w:r w:rsidR="009B1AB2" w:rsidRPr="00A52AB8">
        <w:rPr>
          <w:color w:val="000000" w:themeColor="text1"/>
        </w:rPr>
        <w:t xml:space="preserve">_parameter_set_id for the active </w:t>
      </w:r>
      <w:r w:rsidR="008F0D00" w:rsidRPr="00A52AB8">
        <w:rPr>
          <w:color w:val="000000" w:themeColor="text1"/>
        </w:rPr>
        <w:t>atlas frame</w:t>
      </w:r>
      <w:r w:rsidR="009B1AB2" w:rsidRPr="00A52AB8">
        <w:rPr>
          <w:color w:val="000000" w:themeColor="text1"/>
        </w:rPr>
        <w:t xml:space="preserve"> parameter set</w:t>
      </w:r>
      <w:r w:rsidR="00BF7FBC" w:rsidRPr="00A52AB8">
        <w:rPr>
          <w:color w:val="000000" w:themeColor="text1"/>
        </w:rPr>
        <w:t xml:space="preserve"> for </w:t>
      </w:r>
      <w:r w:rsidR="00DE6865" w:rsidRPr="00A52AB8">
        <w:rPr>
          <w:color w:val="000000" w:themeColor="text1"/>
        </w:rPr>
        <w:t xml:space="preserve">the current </w:t>
      </w:r>
      <w:r w:rsidR="002A47BD" w:rsidRPr="00A52AB8">
        <w:rPr>
          <w:color w:val="000000" w:themeColor="text1"/>
        </w:rPr>
        <w:t xml:space="preserve">atlas </w:t>
      </w:r>
      <w:r w:rsidR="00B8075E" w:rsidRPr="00A52AB8">
        <w:rPr>
          <w:color w:val="000000" w:themeColor="text1"/>
        </w:rPr>
        <w:t>tile</w:t>
      </w:r>
      <w:r w:rsidR="009B1AB2" w:rsidRPr="00A52AB8">
        <w:rPr>
          <w:color w:val="000000" w:themeColor="text1"/>
        </w:rPr>
        <w:t>.</w:t>
      </w:r>
    </w:p>
    <w:p w14:paraId="47FDA878" w14:textId="1F0EC0E0" w:rsidR="00423671" w:rsidRPr="00A52AB8" w:rsidRDefault="00A62CD5">
      <w:r w:rsidRPr="00A52AB8">
        <w:rPr>
          <w:b/>
          <w:lang w:eastAsia="ja-JP"/>
        </w:rPr>
        <w:t>ath_</w:t>
      </w:r>
      <w:r w:rsidR="00423671" w:rsidRPr="00A52AB8">
        <w:rPr>
          <w:b/>
          <w:lang w:eastAsia="ja-JP"/>
        </w:rPr>
        <w:t>atlas_adaptation_parameter_set_id</w:t>
      </w:r>
      <w:r w:rsidR="00423671" w:rsidRPr="00A52AB8">
        <w:rPr>
          <w:b/>
          <w:bCs/>
          <w:color w:val="000000" w:themeColor="text1"/>
        </w:rPr>
        <w:t xml:space="preserve"> </w:t>
      </w:r>
      <w:r w:rsidR="00423671" w:rsidRPr="00A52AB8">
        <w:rPr>
          <w:bCs/>
          <w:color w:val="000000" w:themeColor="text1"/>
        </w:rPr>
        <w:t xml:space="preserve">specifies the value of </w:t>
      </w:r>
      <w:r w:rsidR="007773CA" w:rsidRPr="00A52AB8">
        <w:rPr>
          <w:bCs/>
          <w:lang w:eastAsia="ja-JP"/>
        </w:rPr>
        <w:t>aaps_atlas_adaptation_parameter_set_id</w:t>
      </w:r>
      <w:r w:rsidR="007773CA" w:rsidRPr="00A52AB8">
        <w:rPr>
          <w:bCs/>
          <w:color w:val="000000" w:themeColor="text1"/>
        </w:rPr>
        <w:t xml:space="preserve"> for the active atlas </w:t>
      </w:r>
      <w:r w:rsidR="00423671" w:rsidRPr="00A52AB8">
        <w:rPr>
          <w:bCs/>
          <w:color w:val="000000" w:themeColor="text1"/>
        </w:rPr>
        <w:t xml:space="preserve">adaptation parameter set for </w:t>
      </w:r>
      <w:r w:rsidR="007773CA" w:rsidRPr="00A52AB8">
        <w:rPr>
          <w:bCs/>
          <w:color w:val="000000" w:themeColor="text1"/>
        </w:rPr>
        <w:t xml:space="preserve">the current atlas </w:t>
      </w:r>
      <w:r w:rsidR="00B8075E" w:rsidRPr="00A52AB8">
        <w:rPr>
          <w:bCs/>
          <w:color w:val="000000" w:themeColor="text1"/>
        </w:rPr>
        <w:t>tile</w:t>
      </w:r>
      <w:r w:rsidR="00423671" w:rsidRPr="00A52AB8">
        <w:rPr>
          <w:bCs/>
          <w:color w:val="000000" w:themeColor="text1"/>
        </w:rPr>
        <w:t xml:space="preserve">. </w:t>
      </w:r>
      <w:r w:rsidR="007773CA" w:rsidRPr="00A52AB8">
        <w:t xml:space="preserve">It is a requirement of bitstream conformance that all </w:t>
      </w:r>
      <w:r w:rsidR="00B8075E" w:rsidRPr="00A52AB8">
        <w:t>tile</w:t>
      </w:r>
      <w:r w:rsidR="007773CA" w:rsidRPr="00A52AB8">
        <w:t xml:space="preserve">s of an atlas frame shall have the same </w:t>
      </w:r>
      <w:r w:rsidRPr="00A52AB8">
        <w:t>ath_</w:t>
      </w:r>
      <w:r w:rsidR="007773CA" w:rsidRPr="00A52AB8">
        <w:t>atlas_adaptation_parameter_set_id.</w:t>
      </w:r>
    </w:p>
    <w:p w14:paraId="6934E200" w14:textId="77777777" w:rsidR="00686637" w:rsidRPr="00A52AB8" w:rsidRDefault="004A199F">
      <w:pPr>
        <w:rPr>
          <w:lang w:eastAsia="ja-JP"/>
        </w:rPr>
      </w:pPr>
      <w:r w:rsidRPr="00A52AB8">
        <w:rPr>
          <w:b/>
          <w:lang w:eastAsia="ja-JP"/>
        </w:rPr>
        <w:t>ath_id</w:t>
      </w:r>
      <w:r w:rsidR="00F47A7A" w:rsidRPr="00A52AB8">
        <w:rPr>
          <w:b/>
          <w:lang w:eastAsia="ja-JP"/>
        </w:rPr>
        <w:t xml:space="preserve"> </w:t>
      </w:r>
      <w:r w:rsidR="00686637" w:rsidRPr="00A52AB8">
        <w:rPr>
          <w:lang w:eastAsia="ja-JP"/>
        </w:rPr>
        <w:t xml:space="preserve">specifies the </w:t>
      </w:r>
      <w:r w:rsidR="00B8075E" w:rsidRPr="00A52AB8">
        <w:rPr>
          <w:lang w:eastAsia="ja-JP"/>
        </w:rPr>
        <w:t>tile</w:t>
      </w:r>
      <w:r w:rsidR="00686637" w:rsidRPr="00A52AB8">
        <w:rPr>
          <w:lang w:eastAsia="ja-JP"/>
        </w:rPr>
        <w:t xml:space="preserve"> </w:t>
      </w:r>
      <w:r w:rsidRPr="00A52AB8">
        <w:rPr>
          <w:lang w:eastAsia="ja-JP"/>
        </w:rPr>
        <w:t xml:space="preserve">ID associated with </w:t>
      </w:r>
      <w:r w:rsidR="00686637" w:rsidRPr="00A52AB8">
        <w:rPr>
          <w:lang w:eastAsia="ja-JP"/>
        </w:rPr>
        <w:t xml:space="preserve">the </w:t>
      </w:r>
      <w:r w:rsidRPr="00A52AB8">
        <w:rPr>
          <w:lang w:eastAsia="ja-JP"/>
        </w:rPr>
        <w:t xml:space="preserve">current </w:t>
      </w:r>
      <w:r w:rsidR="00B8075E" w:rsidRPr="00A52AB8">
        <w:rPr>
          <w:lang w:eastAsia="ja-JP"/>
        </w:rPr>
        <w:t>tile</w:t>
      </w:r>
      <w:r w:rsidR="00686637" w:rsidRPr="00A52AB8">
        <w:rPr>
          <w:lang w:eastAsia="ja-JP"/>
        </w:rPr>
        <w:t xml:space="preserve">. When not present, the value of </w:t>
      </w:r>
      <w:r w:rsidRPr="00A52AB8">
        <w:rPr>
          <w:lang w:eastAsia="ja-JP"/>
        </w:rPr>
        <w:t>ath_id</w:t>
      </w:r>
      <w:r w:rsidR="00BC1197" w:rsidRPr="00A52AB8">
        <w:rPr>
          <w:b/>
          <w:lang w:eastAsia="ja-JP"/>
        </w:rPr>
        <w:t xml:space="preserve"> </w:t>
      </w:r>
      <w:r w:rsidR="00686637" w:rsidRPr="00A52AB8">
        <w:rPr>
          <w:lang w:eastAsia="ja-JP"/>
        </w:rPr>
        <w:t>is inferred to be equal to 0.</w:t>
      </w:r>
    </w:p>
    <w:p w14:paraId="2CCF151C" w14:textId="77777777" w:rsidR="00686637" w:rsidRPr="00A52AB8" w:rsidRDefault="00BC1197">
      <w:pPr>
        <w:rPr>
          <w:lang w:eastAsia="ja-JP"/>
        </w:rPr>
      </w:pPr>
      <w:r w:rsidRPr="00A52AB8">
        <w:rPr>
          <w:lang w:eastAsia="ja-JP"/>
        </w:rPr>
        <w:t>T</w:t>
      </w:r>
      <w:r w:rsidR="00686637" w:rsidRPr="00A52AB8">
        <w:rPr>
          <w:lang w:eastAsia="ja-JP"/>
        </w:rPr>
        <w:t>he following applies:</w:t>
      </w:r>
    </w:p>
    <w:p w14:paraId="1F69975C" w14:textId="1E650B8E" w:rsidR="00686637" w:rsidRPr="00A52AB8" w:rsidRDefault="0068663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The length of </w:t>
      </w:r>
      <w:r w:rsidR="004A199F" w:rsidRPr="00A52AB8">
        <w:rPr>
          <w:color w:val="000000" w:themeColor="text1"/>
        </w:rPr>
        <w:t>ath_id</w:t>
      </w:r>
      <w:r w:rsidR="00106F4E" w:rsidRPr="00A52AB8">
        <w:rPr>
          <w:color w:val="000000" w:themeColor="text1"/>
        </w:rPr>
        <w:t xml:space="preserve"> </w:t>
      </w:r>
      <w:r w:rsidRPr="00A52AB8">
        <w:rPr>
          <w:color w:val="000000" w:themeColor="text1"/>
        </w:rPr>
        <w:t xml:space="preserve">is </w:t>
      </w:r>
      <w:r w:rsidR="00AA677B" w:rsidRPr="00A52AB8">
        <w:rPr>
          <w:color w:val="000000" w:themeColor="text1"/>
        </w:rPr>
        <w:t>afti_signalled_tile_id_length_minus1 </w:t>
      </w:r>
      <w:r w:rsidRPr="00A52AB8">
        <w:rPr>
          <w:color w:val="000000" w:themeColor="text1"/>
        </w:rPr>
        <w:t>+ 1 bits.</w:t>
      </w:r>
    </w:p>
    <w:p w14:paraId="3641E8C7" w14:textId="77777777" w:rsidR="0050235C" w:rsidRPr="00A52AB8" w:rsidRDefault="000955F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The</w:t>
      </w:r>
      <w:r w:rsidR="00686637" w:rsidRPr="00A52AB8">
        <w:rPr>
          <w:color w:val="000000" w:themeColor="text1"/>
        </w:rPr>
        <w:t xml:space="preserve"> value of </w:t>
      </w:r>
      <w:r w:rsidR="004A199F" w:rsidRPr="00A52AB8">
        <w:rPr>
          <w:color w:val="000000" w:themeColor="text1"/>
        </w:rPr>
        <w:t>ath_id</w:t>
      </w:r>
      <w:r w:rsidR="00106F4E" w:rsidRPr="00A52AB8">
        <w:rPr>
          <w:color w:val="000000" w:themeColor="text1"/>
        </w:rPr>
        <w:t xml:space="preserve"> </w:t>
      </w:r>
      <w:r w:rsidR="00686637" w:rsidRPr="00A52AB8">
        <w:rPr>
          <w:color w:val="000000" w:themeColor="text1"/>
        </w:rPr>
        <w:t xml:space="preserve">shall be in the range of </w:t>
      </w:r>
      <w:r w:rsidR="007512DA" w:rsidRPr="00A52AB8">
        <w:rPr>
          <w:color w:val="000000" w:themeColor="text1"/>
        </w:rPr>
        <w:t xml:space="preserve">values specified by the array </w:t>
      </w:r>
      <w:r w:rsidR="007812ED" w:rsidRPr="00A52AB8">
        <w:rPr>
          <w:color w:val="000000" w:themeColor="text1"/>
        </w:rPr>
        <w:t>TileIndexToID</w:t>
      </w:r>
      <w:r w:rsidR="007512DA" w:rsidRPr="00A52AB8">
        <w:rPr>
          <w:color w:val="000000" w:themeColor="text1"/>
        </w:rPr>
        <w:t>[</w:t>
      </w:r>
      <w:r w:rsidR="00031457" w:rsidRPr="00A52AB8">
        <w:rPr>
          <w:color w:val="000000" w:themeColor="text1"/>
        </w:rPr>
        <w:t> </w:t>
      </w:r>
      <w:r w:rsidR="00BF3AED" w:rsidRPr="00A52AB8">
        <w:rPr>
          <w:color w:val="000000" w:themeColor="text1"/>
        </w:rPr>
        <w:t>i</w:t>
      </w:r>
      <w:r w:rsidR="00031457" w:rsidRPr="00A52AB8">
        <w:rPr>
          <w:color w:val="000000" w:themeColor="text1"/>
        </w:rPr>
        <w:t> </w:t>
      </w:r>
      <w:r w:rsidR="007512DA" w:rsidRPr="00A52AB8">
        <w:rPr>
          <w:color w:val="000000" w:themeColor="text1"/>
        </w:rPr>
        <w:t xml:space="preserve">], for i </w:t>
      </w:r>
      <w:r w:rsidR="00F64B85" w:rsidRPr="00A52AB8">
        <w:rPr>
          <w:color w:val="000000" w:themeColor="text1"/>
        </w:rPr>
        <w:t>in the range from</w:t>
      </w:r>
      <w:r w:rsidR="00F64B85" w:rsidRPr="00A52AB8" w:rsidDel="00F64B85">
        <w:rPr>
          <w:color w:val="000000" w:themeColor="text1"/>
        </w:rPr>
        <w:t xml:space="preserve"> </w:t>
      </w:r>
      <w:r w:rsidR="00686637" w:rsidRPr="00A52AB8">
        <w:rPr>
          <w:color w:val="000000" w:themeColor="text1"/>
        </w:rPr>
        <w:t xml:space="preserve">0 to </w:t>
      </w:r>
      <w:r w:rsidR="00C608C9" w:rsidRPr="00A52AB8">
        <w:rPr>
          <w:color w:val="000000" w:themeColor="text1"/>
        </w:rPr>
        <w:t>afti_num_tiles_in_atlas_frame_minus1</w:t>
      </w:r>
      <w:r w:rsidR="00686637" w:rsidRPr="00A52AB8">
        <w:rPr>
          <w:color w:val="000000" w:themeColor="text1"/>
        </w:rPr>
        <w:t>, inclusive.</w:t>
      </w:r>
    </w:p>
    <w:p w14:paraId="2B4810D4" w14:textId="6091038C" w:rsidR="00686637" w:rsidRPr="00A52AB8" w:rsidRDefault="00686637">
      <w:r w:rsidRPr="00A52AB8">
        <w:t>It is a requirement of bitstream conformance that the following constraints apply:</w:t>
      </w:r>
    </w:p>
    <w:p w14:paraId="06BA6A10" w14:textId="77777777" w:rsidR="00686637" w:rsidRPr="00A52AB8" w:rsidRDefault="0068663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The value of </w:t>
      </w:r>
      <w:r w:rsidR="004A199F" w:rsidRPr="00A52AB8">
        <w:rPr>
          <w:color w:val="000000" w:themeColor="text1"/>
        </w:rPr>
        <w:t>ath_id</w:t>
      </w:r>
      <w:r w:rsidR="00106F4E" w:rsidRPr="00A52AB8">
        <w:rPr>
          <w:color w:val="000000" w:themeColor="text1"/>
        </w:rPr>
        <w:t xml:space="preserve"> </w:t>
      </w:r>
      <w:r w:rsidRPr="00A52AB8">
        <w:rPr>
          <w:color w:val="000000" w:themeColor="text1"/>
        </w:rPr>
        <w:t xml:space="preserve">shall not be equal to the value of </w:t>
      </w:r>
      <w:r w:rsidR="004A199F" w:rsidRPr="00A52AB8">
        <w:rPr>
          <w:color w:val="000000" w:themeColor="text1"/>
        </w:rPr>
        <w:t>ath_id</w:t>
      </w:r>
      <w:r w:rsidR="00106F4E" w:rsidRPr="00A52AB8">
        <w:rPr>
          <w:color w:val="000000" w:themeColor="text1"/>
        </w:rPr>
        <w:t xml:space="preserve"> </w:t>
      </w:r>
      <w:r w:rsidRPr="00A52AB8">
        <w:rPr>
          <w:color w:val="000000" w:themeColor="text1"/>
        </w:rPr>
        <w:t xml:space="preserve">of any other coded </w:t>
      </w:r>
      <w:r w:rsidR="002A47BD" w:rsidRPr="00A52AB8">
        <w:rPr>
          <w:color w:val="000000" w:themeColor="text1"/>
        </w:rPr>
        <w:t xml:space="preserve">atlas </w:t>
      </w:r>
      <w:r w:rsidR="00B8075E" w:rsidRPr="00A52AB8">
        <w:rPr>
          <w:color w:val="000000" w:themeColor="text1"/>
        </w:rPr>
        <w:t>tile</w:t>
      </w:r>
      <w:r w:rsidRPr="00A52AB8">
        <w:rPr>
          <w:color w:val="000000" w:themeColor="text1"/>
        </w:rPr>
        <w:t xml:space="preserve"> unit of the same coded </w:t>
      </w:r>
      <w:r w:rsidR="008F0D00" w:rsidRPr="00A52AB8">
        <w:rPr>
          <w:color w:val="000000" w:themeColor="text1"/>
        </w:rPr>
        <w:t>atlas frame</w:t>
      </w:r>
      <w:r w:rsidRPr="00A52AB8">
        <w:rPr>
          <w:color w:val="000000" w:themeColor="text1"/>
        </w:rPr>
        <w:t>.</w:t>
      </w:r>
    </w:p>
    <w:p w14:paraId="3883A182" w14:textId="77777777" w:rsidR="00E27BF3" w:rsidRPr="00A52AB8" w:rsidRDefault="0068663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The </w:t>
      </w:r>
      <w:r w:rsidR="00B8075E" w:rsidRPr="00A52AB8">
        <w:rPr>
          <w:color w:val="000000" w:themeColor="text1"/>
        </w:rPr>
        <w:t>tile</w:t>
      </w:r>
      <w:r w:rsidR="00E27BF3" w:rsidRPr="00A52AB8">
        <w:rPr>
          <w:color w:val="000000" w:themeColor="text1"/>
        </w:rPr>
        <w:t>s</w:t>
      </w:r>
      <w:r w:rsidRPr="00A52AB8">
        <w:rPr>
          <w:color w:val="000000" w:themeColor="text1"/>
        </w:rPr>
        <w:t xml:space="preserve"> of</w:t>
      </w:r>
      <w:r w:rsidR="00814813" w:rsidRPr="00A52AB8">
        <w:rPr>
          <w:color w:val="000000" w:themeColor="text1"/>
        </w:rPr>
        <w:t xml:space="preserve"> an atlas</w:t>
      </w:r>
      <w:r w:rsidR="008F0D00" w:rsidRPr="00A52AB8">
        <w:rPr>
          <w:color w:val="000000" w:themeColor="text1"/>
        </w:rPr>
        <w:t xml:space="preserve"> frame</w:t>
      </w:r>
      <w:r w:rsidRPr="00A52AB8">
        <w:rPr>
          <w:color w:val="000000" w:themeColor="text1"/>
        </w:rPr>
        <w:t xml:space="preserve"> shall be in increasing order of their </w:t>
      </w:r>
      <w:r w:rsidR="004A199F" w:rsidRPr="00A52AB8">
        <w:rPr>
          <w:color w:val="000000" w:themeColor="text1"/>
        </w:rPr>
        <w:t>ath_id</w:t>
      </w:r>
      <w:r w:rsidR="00106F4E" w:rsidRPr="00A52AB8">
        <w:rPr>
          <w:color w:val="000000" w:themeColor="text1"/>
        </w:rPr>
        <w:t xml:space="preserve"> </w:t>
      </w:r>
      <w:r w:rsidRPr="00A52AB8">
        <w:rPr>
          <w:color w:val="000000" w:themeColor="text1"/>
        </w:rPr>
        <w:t>values.</w:t>
      </w:r>
    </w:p>
    <w:p w14:paraId="2CD7CCD2" w14:textId="79E05687" w:rsidR="00F47A7A" w:rsidRPr="00A52AB8" w:rsidRDefault="00A62CD5">
      <w:r w:rsidRPr="00A52AB8">
        <w:rPr>
          <w:b/>
        </w:rPr>
        <w:t>ath_</w:t>
      </w:r>
      <w:r w:rsidR="00F47A7A" w:rsidRPr="00A52AB8">
        <w:rPr>
          <w:b/>
        </w:rPr>
        <w:t>type</w:t>
      </w:r>
      <w:r w:rsidR="00F47A7A" w:rsidRPr="00A52AB8">
        <w:t xml:space="preserve"> specifies the coding type of the </w:t>
      </w:r>
      <w:r w:rsidR="00DE6865" w:rsidRPr="00A52AB8">
        <w:t xml:space="preserve">current </w:t>
      </w:r>
      <w:r w:rsidR="002A47BD" w:rsidRPr="00A52AB8">
        <w:t>atlas tile</w:t>
      </w:r>
      <w:r w:rsidR="00E27BF3" w:rsidRPr="00A52AB8">
        <w:t xml:space="preserve"> g</w:t>
      </w:r>
      <w:r w:rsidR="00C1590A" w:rsidRPr="00A52AB8">
        <w:t>r</w:t>
      </w:r>
      <w:r w:rsidR="00E27BF3" w:rsidRPr="00A52AB8">
        <w:t xml:space="preserve">oup </w:t>
      </w:r>
      <w:r w:rsidR="00F47A7A" w:rsidRPr="00A52AB8">
        <w:t xml:space="preserve">according to </w:t>
      </w:r>
      <w:r w:rsidR="00F47A7A" w:rsidRPr="00496A4D">
        <w:fldChar w:fldCharType="begin"/>
      </w:r>
      <w:r w:rsidR="00F47A7A" w:rsidRPr="00A52AB8">
        <w:instrText xml:space="preserve"> REF _Ref317098952 \h  </w:instrText>
      </w:r>
      <w:r w:rsidR="007478BA" w:rsidRPr="00A52AB8">
        <w:instrText xml:space="preserve"> \* MERGEFORMAT </w:instrText>
      </w:r>
      <w:r w:rsidR="00F47A7A" w:rsidRPr="00496A4D">
        <w:fldChar w:fldCharType="separate"/>
      </w:r>
      <w:r w:rsidR="00507A67" w:rsidRPr="00A52AB8">
        <w:t>Table </w:t>
      </w:r>
      <w:r w:rsidR="00507A67">
        <w:t>6</w:t>
      </w:r>
      <w:r w:rsidR="00F47A7A" w:rsidRPr="00496A4D">
        <w:fldChar w:fldCharType="end"/>
      </w:r>
      <w:r w:rsidR="00F47A7A" w:rsidRPr="00A52AB8">
        <w:t>.</w:t>
      </w:r>
      <w:r w:rsidR="00443C9E" w:rsidRPr="00A52AB8">
        <w:t xml:space="preserve"> The value of </w:t>
      </w:r>
      <w:r w:rsidRPr="00A52AB8">
        <w:t>ath_</w:t>
      </w:r>
      <w:r w:rsidR="00443C9E" w:rsidRPr="00A52AB8">
        <w:t xml:space="preserve">type shall be equal to 0, 1, or 2 in bitstreams conforming to this version of this document. Other values of </w:t>
      </w:r>
      <w:r w:rsidRPr="00A52AB8">
        <w:t>ath_</w:t>
      </w:r>
      <w:r w:rsidR="00443C9E" w:rsidRPr="00A52AB8">
        <w:t xml:space="preserve">type are reserved for future use by </w:t>
      </w:r>
      <w:r w:rsidR="00443C9E" w:rsidRPr="00A52AB8">
        <w:rPr>
          <w:rFonts w:eastAsia="MS Mincho"/>
        </w:rPr>
        <w:t>ISO/IEC</w:t>
      </w:r>
      <w:r w:rsidR="00443C9E" w:rsidRPr="00A52AB8">
        <w:t xml:space="preserve">. Decoders conforming to this version of this document shall ignore reserved values of </w:t>
      </w:r>
      <w:r w:rsidRPr="00A52AB8">
        <w:t>ath_</w:t>
      </w:r>
      <w:r w:rsidR="00443C9E" w:rsidRPr="00A52AB8">
        <w:t>type.</w:t>
      </w:r>
    </w:p>
    <w:p w14:paraId="6DD970E6" w14:textId="1D3524B7" w:rsidR="00F47A7A" w:rsidRPr="00A52AB8" w:rsidRDefault="00F47A7A">
      <w:pPr>
        <w:pStyle w:val="Caption"/>
        <w:rPr>
          <w:rFonts w:ascii="Cambria" w:hAnsi="Cambria"/>
        </w:rPr>
      </w:pPr>
      <w:bookmarkStart w:id="1222" w:name="_Ref317098952"/>
      <w:bookmarkStart w:id="1223" w:name="_Toc415476439"/>
      <w:bookmarkStart w:id="1224" w:name="_Toc423602480"/>
      <w:bookmarkStart w:id="1225" w:name="_Toc423602654"/>
      <w:bookmarkStart w:id="1226" w:name="_Toc501130559"/>
      <w:bookmarkStart w:id="1227" w:name="_Toc510795484"/>
      <w:r w:rsidRPr="00A52AB8">
        <w:rPr>
          <w:rFonts w:ascii="Cambria" w:hAnsi="Cambria"/>
        </w:rPr>
        <w:t>Table </w:t>
      </w:r>
      <w:r w:rsidR="0053363C" w:rsidRPr="00496A4D">
        <w:rPr>
          <w:rFonts w:ascii="Cambria" w:hAnsi="Cambria"/>
        </w:rPr>
        <w:fldChar w:fldCharType="begin"/>
      </w:r>
      <w:r w:rsidR="0053363C" w:rsidRPr="00A52AB8">
        <w:rPr>
          <w:rFonts w:ascii="Cambria" w:hAnsi="Cambria"/>
        </w:rPr>
        <w:instrText xml:space="preserve"> SEQ Table \* ARABIC \</w:instrText>
      </w:r>
      <w:r w:rsidR="00E75DB1" w:rsidRPr="00A52AB8">
        <w:rPr>
          <w:rFonts w:ascii="Cambria" w:hAnsi="Cambria"/>
        </w:rPr>
        <w:instrText>n</w:instrText>
      </w:r>
      <w:r w:rsidR="0053363C" w:rsidRPr="00A52AB8">
        <w:rPr>
          <w:rFonts w:ascii="Cambria" w:hAnsi="Cambria"/>
        </w:rPr>
        <w:instrText xml:space="preserve"> </w:instrText>
      </w:r>
      <w:r w:rsidR="0053363C" w:rsidRPr="00496A4D">
        <w:rPr>
          <w:rFonts w:ascii="Cambria" w:hAnsi="Cambria"/>
        </w:rPr>
        <w:fldChar w:fldCharType="separate"/>
      </w:r>
      <w:r w:rsidR="00507A67">
        <w:rPr>
          <w:rFonts w:ascii="Cambria" w:hAnsi="Cambria"/>
          <w:noProof/>
        </w:rPr>
        <w:t>6</w:t>
      </w:r>
      <w:r w:rsidR="0053363C" w:rsidRPr="00496A4D">
        <w:rPr>
          <w:rFonts w:ascii="Cambria" w:hAnsi="Cambria"/>
        </w:rPr>
        <w:fldChar w:fldCharType="end"/>
      </w:r>
      <w:bookmarkEnd w:id="1222"/>
      <w:r w:rsidR="001604C8" w:rsidRPr="00A52AB8">
        <w:rPr>
          <w:rFonts w:ascii="Cambria" w:hAnsi="Cambria" w:cs="Calibri"/>
          <w:bCs w:val="0"/>
        </w:rPr>
        <w:t> </w:t>
      </w:r>
      <w:r w:rsidR="001604C8" w:rsidRPr="00A52AB8">
        <w:rPr>
          <w:rFonts w:ascii="Cambria" w:hAnsi="Cambria"/>
        </w:rPr>
        <w:t>– </w:t>
      </w:r>
      <w:r w:rsidRPr="00A52AB8">
        <w:rPr>
          <w:rFonts w:ascii="Cambria" w:hAnsi="Cambria"/>
        </w:rPr>
        <w:t xml:space="preserve">Name association to </w:t>
      </w:r>
      <w:r w:rsidR="00A62CD5" w:rsidRPr="00A52AB8">
        <w:rPr>
          <w:rFonts w:ascii="Cambria" w:hAnsi="Cambria"/>
        </w:rPr>
        <w:t>ath_</w:t>
      </w:r>
      <w:r w:rsidRPr="00A52AB8">
        <w:rPr>
          <w:rFonts w:ascii="Cambria" w:hAnsi="Cambria"/>
        </w:rPr>
        <w:t>type</w:t>
      </w:r>
      <w:bookmarkEnd w:id="1223"/>
      <w:bookmarkEnd w:id="1224"/>
      <w:bookmarkEnd w:id="1225"/>
      <w:bookmarkEnd w:id="1226"/>
      <w:bookmarkEnd w:id="1227"/>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80" w:type="dxa"/>
          <w:right w:w="80" w:type="dxa"/>
        </w:tblCellMar>
        <w:tblLook w:val="0000" w:firstRow="0" w:lastRow="0" w:firstColumn="0" w:lastColumn="0" w:noHBand="0" w:noVBand="0"/>
      </w:tblPr>
      <w:tblGrid>
        <w:gridCol w:w="1533"/>
        <w:gridCol w:w="3142"/>
      </w:tblGrid>
      <w:tr w:rsidR="00F47A7A" w:rsidRPr="00A52AB8" w14:paraId="24B3A19F" w14:textId="77777777" w:rsidTr="00E3707E">
        <w:trPr>
          <w:cantSplit/>
          <w:jc w:val="center"/>
        </w:trPr>
        <w:tc>
          <w:tcPr>
            <w:tcW w:w="1533" w:type="dxa"/>
          </w:tcPr>
          <w:p w14:paraId="49CD14E0" w14:textId="77777777" w:rsidR="00F47A7A" w:rsidRPr="00A52AB8" w:rsidRDefault="00A62CD5">
            <w:pPr>
              <w:pStyle w:val="tableheading"/>
              <w:numPr>
                <w:ilvl w:val="12"/>
                <w:numId w:val="0"/>
              </w:numPr>
              <w:spacing w:before="72" w:after="72"/>
              <w:jc w:val="center"/>
              <w:rPr>
                <w:rFonts w:ascii="Cambria" w:hAnsi="Cambria"/>
              </w:rPr>
            </w:pPr>
            <w:r w:rsidRPr="00A52AB8">
              <w:rPr>
                <w:rFonts w:ascii="Cambria" w:hAnsi="Cambria"/>
              </w:rPr>
              <w:t>ath_</w:t>
            </w:r>
            <w:r w:rsidR="00F47A7A" w:rsidRPr="00A52AB8">
              <w:rPr>
                <w:rFonts w:ascii="Cambria" w:hAnsi="Cambria"/>
              </w:rPr>
              <w:t>type</w:t>
            </w:r>
          </w:p>
        </w:tc>
        <w:tc>
          <w:tcPr>
            <w:tcW w:w="3142" w:type="dxa"/>
          </w:tcPr>
          <w:p w14:paraId="5BA6AFD0" w14:textId="77777777" w:rsidR="00F47A7A" w:rsidRPr="00A52AB8" w:rsidRDefault="00F47A7A">
            <w:pPr>
              <w:pStyle w:val="tableheading"/>
              <w:numPr>
                <w:ilvl w:val="12"/>
                <w:numId w:val="0"/>
              </w:numPr>
              <w:spacing w:before="72" w:after="72"/>
              <w:jc w:val="center"/>
              <w:rPr>
                <w:rFonts w:ascii="Cambria" w:hAnsi="Cambria"/>
              </w:rPr>
            </w:pPr>
            <w:r w:rsidRPr="00A52AB8">
              <w:rPr>
                <w:rFonts w:ascii="Cambria" w:hAnsi="Cambria"/>
              </w:rPr>
              <w:t xml:space="preserve">Name of </w:t>
            </w:r>
            <w:r w:rsidR="00A62CD5" w:rsidRPr="00A52AB8">
              <w:rPr>
                <w:rFonts w:ascii="Cambria" w:hAnsi="Cambria"/>
              </w:rPr>
              <w:t>ath_</w:t>
            </w:r>
            <w:r w:rsidRPr="00A52AB8">
              <w:rPr>
                <w:rFonts w:ascii="Cambria" w:hAnsi="Cambria"/>
              </w:rPr>
              <w:t>type</w:t>
            </w:r>
          </w:p>
        </w:tc>
      </w:tr>
      <w:tr w:rsidR="00F47A7A" w:rsidRPr="00A52AB8" w14:paraId="634F368D" w14:textId="77777777" w:rsidTr="00E3707E">
        <w:trPr>
          <w:cantSplit/>
          <w:jc w:val="center"/>
        </w:trPr>
        <w:tc>
          <w:tcPr>
            <w:tcW w:w="1533" w:type="dxa"/>
          </w:tcPr>
          <w:p w14:paraId="1A4C092F" w14:textId="77777777" w:rsidR="00F47A7A" w:rsidRPr="00A52AB8" w:rsidRDefault="00F47A7A">
            <w:pPr>
              <w:pStyle w:val="tablecell"/>
              <w:numPr>
                <w:ilvl w:val="12"/>
                <w:numId w:val="0"/>
              </w:numPr>
              <w:spacing w:before="20" w:after="20"/>
              <w:jc w:val="center"/>
              <w:rPr>
                <w:rFonts w:ascii="Cambria" w:hAnsi="Cambria"/>
              </w:rPr>
            </w:pPr>
            <w:r w:rsidRPr="00A52AB8">
              <w:rPr>
                <w:rFonts w:ascii="Cambria" w:hAnsi="Cambria"/>
              </w:rPr>
              <w:t>0</w:t>
            </w:r>
          </w:p>
        </w:tc>
        <w:tc>
          <w:tcPr>
            <w:tcW w:w="3142" w:type="dxa"/>
          </w:tcPr>
          <w:p w14:paraId="7209214B" w14:textId="77777777" w:rsidR="00F47A7A" w:rsidRPr="00A52AB8" w:rsidRDefault="00F47A7A">
            <w:pPr>
              <w:pStyle w:val="tablecell"/>
              <w:numPr>
                <w:ilvl w:val="12"/>
                <w:numId w:val="0"/>
              </w:numPr>
              <w:spacing w:before="20" w:after="20"/>
              <w:jc w:val="center"/>
              <w:rPr>
                <w:rFonts w:ascii="Cambria" w:hAnsi="Cambria"/>
              </w:rPr>
            </w:pPr>
            <w:r w:rsidRPr="00A52AB8">
              <w:rPr>
                <w:rFonts w:ascii="Cambria" w:hAnsi="Cambria"/>
              </w:rPr>
              <w:t>P</w:t>
            </w:r>
            <w:r w:rsidR="00220660" w:rsidRPr="00A52AB8">
              <w:rPr>
                <w:rFonts w:ascii="Cambria" w:hAnsi="Cambria"/>
              </w:rPr>
              <w:t>_TILE</w:t>
            </w:r>
            <w:r w:rsidRPr="00A52AB8">
              <w:rPr>
                <w:rFonts w:ascii="Cambria" w:hAnsi="Cambria"/>
              </w:rPr>
              <w:t xml:space="preserve"> (</w:t>
            </w:r>
            <w:r w:rsidR="00C82834" w:rsidRPr="00A52AB8">
              <w:rPr>
                <w:rFonts w:ascii="Cambria" w:hAnsi="Cambria"/>
              </w:rPr>
              <w:t>Inter</w:t>
            </w:r>
            <w:r w:rsidRPr="00A52AB8">
              <w:rPr>
                <w:rFonts w:ascii="Cambria" w:hAnsi="Cambria"/>
              </w:rPr>
              <w:t xml:space="preserve"> </w:t>
            </w:r>
            <w:r w:rsidR="002A47BD" w:rsidRPr="00A52AB8">
              <w:rPr>
                <w:rFonts w:ascii="Cambria" w:hAnsi="Cambria"/>
              </w:rPr>
              <w:t xml:space="preserve">atlas </w:t>
            </w:r>
            <w:r w:rsidR="00B8075E" w:rsidRPr="00A52AB8">
              <w:rPr>
                <w:rFonts w:ascii="Cambria" w:hAnsi="Cambria"/>
              </w:rPr>
              <w:t>tile</w:t>
            </w:r>
            <w:r w:rsidRPr="00A52AB8">
              <w:rPr>
                <w:rFonts w:ascii="Cambria" w:hAnsi="Cambria"/>
              </w:rPr>
              <w:t>)</w:t>
            </w:r>
          </w:p>
        </w:tc>
      </w:tr>
      <w:tr w:rsidR="00F47A7A" w:rsidRPr="00A52AB8" w14:paraId="7FF25757" w14:textId="77777777" w:rsidTr="00E3707E">
        <w:trPr>
          <w:cantSplit/>
          <w:jc w:val="center"/>
        </w:trPr>
        <w:tc>
          <w:tcPr>
            <w:tcW w:w="1533" w:type="dxa"/>
          </w:tcPr>
          <w:p w14:paraId="70ECA63F" w14:textId="77777777" w:rsidR="00F47A7A" w:rsidRPr="00A52AB8" w:rsidRDefault="00F47A7A">
            <w:pPr>
              <w:pStyle w:val="tablecell"/>
              <w:numPr>
                <w:ilvl w:val="12"/>
                <w:numId w:val="0"/>
              </w:numPr>
              <w:spacing w:before="20" w:after="20"/>
              <w:jc w:val="center"/>
              <w:rPr>
                <w:rFonts w:ascii="Cambria" w:hAnsi="Cambria"/>
              </w:rPr>
            </w:pPr>
            <w:r w:rsidRPr="00A52AB8">
              <w:rPr>
                <w:rFonts w:ascii="Cambria" w:hAnsi="Cambria"/>
              </w:rPr>
              <w:t>1</w:t>
            </w:r>
          </w:p>
        </w:tc>
        <w:tc>
          <w:tcPr>
            <w:tcW w:w="3142" w:type="dxa"/>
          </w:tcPr>
          <w:p w14:paraId="41B2B5B9" w14:textId="77777777" w:rsidR="00F47A7A" w:rsidRPr="00A52AB8" w:rsidRDefault="00F47A7A">
            <w:pPr>
              <w:pStyle w:val="tablecell"/>
              <w:numPr>
                <w:ilvl w:val="12"/>
                <w:numId w:val="0"/>
              </w:numPr>
              <w:spacing w:before="20" w:after="20"/>
              <w:jc w:val="center"/>
              <w:rPr>
                <w:rFonts w:ascii="Cambria" w:hAnsi="Cambria"/>
              </w:rPr>
            </w:pPr>
            <w:r w:rsidRPr="00A52AB8">
              <w:rPr>
                <w:rFonts w:ascii="Cambria" w:hAnsi="Cambria"/>
              </w:rPr>
              <w:t>I</w:t>
            </w:r>
            <w:r w:rsidR="00220660" w:rsidRPr="00A52AB8">
              <w:rPr>
                <w:rFonts w:ascii="Cambria" w:hAnsi="Cambria"/>
              </w:rPr>
              <w:t>_TILE</w:t>
            </w:r>
            <w:r w:rsidRPr="00A52AB8">
              <w:rPr>
                <w:rFonts w:ascii="Cambria" w:hAnsi="Cambria"/>
              </w:rPr>
              <w:t xml:space="preserve"> (I</w:t>
            </w:r>
            <w:r w:rsidR="00C82834" w:rsidRPr="00A52AB8">
              <w:rPr>
                <w:rFonts w:ascii="Cambria" w:hAnsi="Cambria"/>
              </w:rPr>
              <w:t>ntra</w:t>
            </w:r>
            <w:r w:rsidRPr="00A52AB8">
              <w:rPr>
                <w:rFonts w:ascii="Cambria" w:hAnsi="Cambria"/>
              </w:rPr>
              <w:t xml:space="preserve"> </w:t>
            </w:r>
            <w:r w:rsidR="002A47BD" w:rsidRPr="00A52AB8">
              <w:rPr>
                <w:rFonts w:ascii="Cambria" w:hAnsi="Cambria"/>
              </w:rPr>
              <w:t xml:space="preserve">atlas </w:t>
            </w:r>
            <w:r w:rsidR="00B8075E" w:rsidRPr="00A52AB8">
              <w:rPr>
                <w:rFonts w:ascii="Cambria" w:hAnsi="Cambria"/>
              </w:rPr>
              <w:t>tile</w:t>
            </w:r>
            <w:r w:rsidRPr="00A52AB8">
              <w:rPr>
                <w:rFonts w:ascii="Cambria" w:hAnsi="Cambria"/>
              </w:rPr>
              <w:t>)</w:t>
            </w:r>
          </w:p>
        </w:tc>
      </w:tr>
      <w:tr w:rsidR="00F708B3" w:rsidRPr="00A52AB8" w14:paraId="0E99C880" w14:textId="77777777" w:rsidTr="00E3707E">
        <w:trPr>
          <w:cantSplit/>
          <w:jc w:val="center"/>
        </w:trPr>
        <w:tc>
          <w:tcPr>
            <w:tcW w:w="1533" w:type="dxa"/>
          </w:tcPr>
          <w:p w14:paraId="0F0D9C58" w14:textId="77777777" w:rsidR="00F708B3" w:rsidRPr="00A52AB8" w:rsidRDefault="00F708B3">
            <w:pPr>
              <w:pStyle w:val="tablecell"/>
              <w:numPr>
                <w:ilvl w:val="12"/>
                <w:numId w:val="0"/>
              </w:numPr>
              <w:spacing w:before="20" w:after="20"/>
              <w:jc w:val="center"/>
              <w:rPr>
                <w:rFonts w:ascii="Cambria" w:hAnsi="Cambria"/>
              </w:rPr>
            </w:pPr>
            <w:r w:rsidRPr="00A52AB8">
              <w:rPr>
                <w:rFonts w:ascii="Cambria" w:hAnsi="Cambria"/>
              </w:rPr>
              <w:t>2</w:t>
            </w:r>
          </w:p>
        </w:tc>
        <w:tc>
          <w:tcPr>
            <w:tcW w:w="3142" w:type="dxa"/>
          </w:tcPr>
          <w:p w14:paraId="183399A3" w14:textId="77777777" w:rsidR="00F708B3" w:rsidRPr="00A52AB8" w:rsidRDefault="00F708B3">
            <w:pPr>
              <w:pStyle w:val="tablecell"/>
              <w:numPr>
                <w:ilvl w:val="12"/>
                <w:numId w:val="0"/>
              </w:numPr>
              <w:spacing w:before="20" w:after="20"/>
              <w:jc w:val="center"/>
              <w:rPr>
                <w:rFonts w:ascii="Cambria" w:hAnsi="Cambria"/>
              </w:rPr>
            </w:pPr>
            <w:r w:rsidRPr="00A52AB8">
              <w:rPr>
                <w:rFonts w:ascii="Cambria" w:hAnsi="Cambria"/>
              </w:rPr>
              <w:t>SKIP</w:t>
            </w:r>
            <w:r w:rsidR="00220660" w:rsidRPr="00A52AB8">
              <w:rPr>
                <w:rFonts w:ascii="Cambria" w:hAnsi="Cambria"/>
              </w:rPr>
              <w:t>_TILE</w:t>
            </w:r>
            <w:r w:rsidRPr="00A52AB8">
              <w:rPr>
                <w:rFonts w:ascii="Cambria" w:hAnsi="Cambria"/>
              </w:rPr>
              <w:t xml:space="preserve"> (SKIP atlas </w:t>
            </w:r>
            <w:r w:rsidR="00B8075E" w:rsidRPr="00A52AB8">
              <w:rPr>
                <w:rFonts w:ascii="Cambria" w:hAnsi="Cambria"/>
              </w:rPr>
              <w:t>tile</w:t>
            </w:r>
            <w:r w:rsidRPr="00A52AB8">
              <w:rPr>
                <w:rFonts w:ascii="Cambria" w:hAnsi="Cambria"/>
              </w:rPr>
              <w:t>)</w:t>
            </w:r>
          </w:p>
        </w:tc>
      </w:tr>
      <w:tr w:rsidR="00544466" w:rsidRPr="00A52AB8" w14:paraId="7DD5B2F3" w14:textId="77777777" w:rsidTr="00E3707E">
        <w:trPr>
          <w:cantSplit/>
          <w:jc w:val="center"/>
        </w:trPr>
        <w:tc>
          <w:tcPr>
            <w:tcW w:w="1533" w:type="dxa"/>
          </w:tcPr>
          <w:p w14:paraId="3CAD9883" w14:textId="77777777" w:rsidR="00544466" w:rsidRPr="00A52AB8" w:rsidRDefault="000D08AE">
            <w:pPr>
              <w:pStyle w:val="tablecell"/>
              <w:numPr>
                <w:ilvl w:val="12"/>
                <w:numId w:val="0"/>
              </w:numPr>
              <w:spacing w:before="20" w:after="20"/>
              <w:jc w:val="center"/>
              <w:rPr>
                <w:rFonts w:ascii="Cambria" w:hAnsi="Cambria"/>
              </w:rPr>
            </w:pPr>
            <w:r w:rsidRPr="00A52AB8">
              <w:rPr>
                <w:rFonts w:ascii="Cambria" w:hAnsi="Cambria"/>
              </w:rPr>
              <w:t>3 - …</w:t>
            </w:r>
          </w:p>
        </w:tc>
        <w:tc>
          <w:tcPr>
            <w:tcW w:w="3142" w:type="dxa"/>
          </w:tcPr>
          <w:p w14:paraId="6AC0B467" w14:textId="77777777" w:rsidR="00544466" w:rsidRPr="00A52AB8" w:rsidRDefault="000D08AE">
            <w:pPr>
              <w:pStyle w:val="tablecell"/>
              <w:numPr>
                <w:ilvl w:val="12"/>
                <w:numId w:val="0"/>
              </w:numPr>
              <w:spacing w:before="20" w:after="20"/>
              <w:jc w:val="center"/>
              <w:rPr>
                <w:rFonts w:ascii="Cambria" w:hAnsi="Cambria"/>
              </w:rPr>
            </w:pPr>
            <w:r w:rsidRPr="00A52AB8">
              <w:rPr>
                <w:rFonts w:ascii="Cambria" w:hAnsi="Cambria"/>
              </w:rPr>
              <w:t>RESERVED</w:t>
            </w:r>
          </w:p>
        </w:tc>
      </w:tr>
    </w:tbl>
    <w:p w14:paraId="0A3F04D3" w14:textId="602A5098" w:rsidR="008B4166" w:rsidRPr="00A52AB8" w:rsidRDefault="00A62CD5" w:rsidP="007656E5">
      <w:pPr>
        <w:spacing w:before="120"/>
        <w:rPr>
          <w:lang w:eastAsia="ja-JP"/>
        </w:rPr>
      </w:pPr>
      <w:r w:rsidRPr="00A52AB8">
        <w:rPr>
          <w:b/>
          <w:bCs/>
        </w:rPr>
        <w:t>ath_</w:t>
      </w:r>
      <w:r w:rsidR="008B4166" w:rsidRPr="00A52AB8">
        <w:rPr>
          <w:b/>
          <w:bCs/>
        </w:rPr>
        <w:t xml:space="preserve">atlas_output_flag </w:t>
      </w:r>
      <w:r w:rsidR="008B4166" w:rsidRPr="00A52AB8">
        <w:t xml:space="preserve">affects the decoded atlas output and removal processes as specified in </w:t>
      </w:r>
      <w:r w:rsidR="008B4166" w:rsidRPr="00496A4D">
        <w:fldChar w:fldCharType="begin"/>
      </w:r>
      <w:r w:rsidR="008B4166" w:rsidRPr="00A52AB8">
        <w:instrText xml:space="preserve"> REF _Ref21527634 \r \h </w:instrText>
      </w:r>
      <w:r w:rsidR="00CA5401" w:rsidRPr="00A52AB8">
        <w:instrText xml:space="preserve"> \* MERGEFORMAT </w:instrText>
      </w:r>
      <w:r w:rsidR="008B4166" w:rsidRPr="00496A4D">
        <w:fldChar w:fldCharType="separate"/>
      </w:r>
      <w:r w:rsidR="00507A67">
        <w:t>Annex E</w:t>
      </w:r>
      <w:r w:rsidR="008B4166" w:rsidRPr="00496A4D">
        <w:fldChar w:fldCharType="end"/>
      </w:r>
      <w:r w:rsidR="008B4166" w:rsidRPr="00A52AB8">
        <w:t xml:space="preserve">. When </w:t>
      </w:r>
      <w:r w:rsidRPr="00A52AB8">
        <w:t>ath_</w:t>
      </w:r>
      <w:r w:rsidR="008B4166" w:rsidRPr="00A52AB8">
        <w:t>atlas_output_flag is not present, it is inferred to be equal to 1.</w:t>
      </w:r>
    </w:p>
    <w:p w14:paraId="2EA8BF89" w14:textId="07FD7480" w:rsidR="00CE2084" w:rsidRPr="00A52AB8" w:rsidRDefault="00A62CD5">
      <w:r w:rsidRPr="00A52AB8">
        <w:rPr>
          <w:b/>
          <w:bCs/>
        </w:rPr>
        <w:t>ath_</w:t>
      </w:r>
      <w:r w:rsidR="008D47CD" w:rsidRPr="00A52AB8">
        <w:rPr>
          <w:b/>
          <w:bCs/>
        </w:rPr>
        <w:t>atlas_frm_order_cnt_lsb</w:t>
      </w:r>
      <w:r w:rsidR="00CE2084" w:rsidRPr="00A52AB8">
        <w:rPr>
          <w:b/>
          <w:bCs/>
        </w:rPr>
        <w:t xml:space="preserve"> </w:t>
      </w:r>
      <w:r w:rsidR="00CE2084" w:rsidRPr="00A52AB8">
        <w:t xml:space="preserve">specifies the </w:t>
      </w:r>
      <w:r w:rsidR="008F0D00" w:rsidRPr="00A52AB8">
        <w:t>atlas frame</w:t>
      </w:r>
      <w:r w:rsidR="00CE2084" w:rsidRPr="00A52AB8">
        <w:t xml:space="preserve"> order count modulo Max</w:t>
      </w:r>
      <w:r w:rsidR="00EB723C" w:rsidRPr="00A52AB8">
        <w:t>AtlasFrm</w:t>
      </w:r>
      <w:r w:rsidR="00CE2084" w:rsidRPr="00A52AB8">
        <w:t xml:space="preserve">OrderCntLsb for the </w:t>
      </w:r>
      <w:r w:rsidR="00EC6ACC" w:rsidRPr="00A52AB8">
        <w:t xml:space="preserve">current </w:t>
      </w:r>
      <w:r w:rsidR="002A47BD" w:rsidRPr="00A52AB8">
        <w:t xml:space="preserve">atlas </w:t>
      </w:r>
      <w:r w:rsidR="00B8075E" w:rsidRPr="00A52AB8">
        <w:t>tile</w:t>
      </w:r>
      <w:r w:rsidR="00CE2084" w:rsidRPr="00A52AB8">
        <w:t xml:space="preserve">. The length of the </w:t>
      </w:r>
      <w:r w:rsidRPr="00A52AB8">
        <w:t>ath_</w:t>
      </w:r>
      <w:r w:rsidR="008D47CD" w:rsidRPr="00A52AB8">
        <w:t>atlas_frm_order_cnt_lsb</w:t>
      </w:r>
      <w:r w:rsidR="00CE2084" w:rsidRPr="00A52AB8">
        <w:t xml:space="preserve"> syntax element is </w:t>
      </w:r>
      <w:r w:rsidR="00BF7FBC" w:rsidRPr="00A52AB8">
        <w:t xml:space="preserve">equal to </w:t>
      </w:r>
      <w:r w:rsidR="00905202" w:rsidRPr="00A52AB8">
        <w:t xml:space="preserve">Log2MaxAtlasFrmOrderCntLsb </w:t>
      </w:r>
      <w:r w:rsidR="00CE2084" w:rsidRPr="00A52AB8">
        <w:t xml:space="preserve">bits. The value of the </w:t>
      </w:r>
      <w:r w:rsidRPr="00A52AB8">
        <w:t>ath_</w:t>
      </w:r>
      <w:r w:rsidR="008D47CD" w:rsidRPr="00A52AB8">
        <w:t>atlas_frm_order_cnt_lsb</w:t>
      </w:r>
      <w:r w:rsidR="00CE2084" w:rsidRPr="00A52AB8">
        <w:t xml:space="preserve"> shall be in the range of 0 to Max</w:t>
      </w:r>
      <w:r w:rsidR="00EB723C" w:rsidRPr="00A52AB8">
        <w:t>AtlasFrm</w:t>
      </w:r>
      <w:r w:rsidR="00CE2084" w:rsidRPr="00A52AB8">
        <w:t>OrderCntLsb − 1, inclusive.</w:t>
      </w:r>
    </w:p>
    <w:p w14:paraId="276CA1AF" w14:textId="77777777" w:rsidR="0050235C" w:rsidRPr="00A52AB8" w:rsidRDefault="00A62CD5">
      <w:pPr>
        <w:rPr>
          <w:bCs/>
        </w:rPr>
      </w:pPr>
      <w:r w:rsidRPr="00A52AB8">
        <w:rPr>
          <w:b/>
          <w:lang w:eastAsia="ja-JP"/>
        </w:rPr>
        <w:t>ath_</w:t>
      </w:r>
      <w:r w:rsidR="00196651" w:rsidRPr="00A52AB8">
        <w:rPr>
          <w:b/>
          <w:lang w:eastAsia="ja-JP"/>
        </w:rPr>
        <w:t>ref_</w:t>
      </w:r>
      <w:r w:rsidR="00DD23CD" w:rsidRPr="00A52AB8">
        <w:rPr>
          <w:b/>
          <w:lang w:eastAsia="ja-JP"/>
        </w:rPr>
        <w:t>atlas_frame</w:t>
      </w:r>
      <w:r w:rsidR="00CE2084" w:rsidRPr="00A52AB8">
        <w:rPr>
          <w:b/>
          <w:bCs/>
        </w:rPr>
        <w:t>_list_</w:t>
      </w:r>
      <w:r w:rsidR="00181DA5" w:rsidRPr="00A52AB8">
        <w:rPr>
          <w:b/>
          <w:bCs/>
        </w:rPr>
        <w:t>a</w:t>
      </w:r>
      <w:r w:rsidR="00CE2084" w:rsidRPr="00A52AB8">
        <w:rPr>
          <w:b/>
          <w:bCs/>
        </w:rPr>
        <w:t>sps_flag</w:t>
      </w:r>
      <w:r w:rsidR="00CE2084" w:rsidRPr="00A52AB8">
        <w:rPr>
          <w:bCs/>
        </w:rPr>
        <w:t xml:space="preserve"> equal to 1 specifies that </w:t>
      </w:r>
      <w:r w:rsidR="00196651" w:rsidRPr="00A52AB8">
        <w:rPr>
          <w:bCs/>
        </w:rPr>
        <w:t xml:space="preserve">the </w:t>
      </w:r>
      <w:r w:rsidR="00CE2084" w:rsidRPr="00A52AB8">
        <w:rPr>
          <w:bCs/>
        </w:rPr>
        <w:t xml:space="preserve">reference </w:t>
      </w:r>
      <w:r w:rsidR="008F0D00" w:rsidRPr="00A52AB8">
        <w:rPr>
          <w:bCs/>
        </w:rPr>
        <w:t>atlas frame</w:t>
      </w:r>
      <w:r w:rsidR="00CE2084" w:rsidRPr="00A52AB8">
        <w:rPr>
          <w:bCs/>
        </w:rPr>
        <w:t xml:space="preserve"> list</w:t>
      </w:r>
      <w:r w:rsidR="00196651" w:rsidRPr="00A52AB8">
        <w:rPr>
          <w:bCs/>
        </w:rPr>
        <w:t xml:space="preserve"> </w:t>
      </w:r>
      <w:r w:rsidR="00CE2084" w:rsidRPr="00A52AB8">
        <w:rPr>
          <w:bCs/>
        </w:rPr>
        <w:t xml:space="preserve">of the </w:t>
      </w:r>
      <w:r w:rsidR="00363218" w:rsidRPr="00A52AB8">
        <w:rPr>
          <w:bCs/>
        </w:rPr>
        <w:t xml:space="preserve">current </w:t>
      </w:r>
      <w:r w:rsidR="002A47BD" w:rsidRPr="00A52AB8">
        <w:rPr>
          <w:bCs/>
        </w:rPr>
        <w:t xml:space="preserve">atlas </w:t>
      </w:r>
      <w:r w:rsidR="00B8075E" w:rsidRPr="00A52AB8">
        <w:rPr>
          <w:bCs/>
        </w:rPr>
        <w:t>tile</w:t>
      </w:r>
      <w:r w:rsidR="00EC6ACC" w:rsidRPr="00A52AB8">
        <w:rPr>
          <w:bCs/>
        </w:rPr>
        <w:t xml:space="preserve"> </w:t>
      </w:r>
      <w:r w:rsidR="00CE2084" w:rsidRPr="00A52AB8">
        <w:rPr>
          <w:bCs/>
        </w:rPr>
        <w:t xml:space="preserve">is derived based on one of the </w:t>
      </w:r>
      <w:r w:rsidR="00CE2084" w:rsidRPr="00A52AB8">
        <w:rPr>
          <w:lang w:eastAsia="ko-KR"/>
        </w:rPr>
        <w:t>ref_list_struct( </w:t>
      </w:r>
      <w:r w:rsidR="00D37AC4" w:rsidRPr="00A52AB8">
        <w:rPr>
          <w:lang w:eastAsia="ko-KR"/>
        </w:rPr>
        <w:t>rlsIdx</w:t>
      </w:r>
      <w:r w:rsidR="00CE2084" w:rsidRPr="00A52AB8">
        <w:rPr>
          <w:bCs/>
        </w:rPr>
        <w:t> </w:t>
      </w:r>
      <w:r w:rsidR="00CE2084" w:rsidRPr="00A52AB8">
        <w:rPr>
          <w:lang w:eastAsia="ko-KR"/>
        </w:rPr>
        <w:t>)</w:t>
      </w:r>
      <w:r w:rsidR="00CE2084" w:rsidRPr="00A52AB8">
        <w:rPr>
          <w:bCs/>
        </w:rPr>
        <w:t xml:space="preserve"> syntax structures</w:t>
      </w:r>
      <w:r w:rsidR="00D078B9" w:rsidRPr="00A52AB8">
        <w:rPr>
          <w:bCs/>
        </w:rPr>
        <w:t xml:space="preserve"> </w:t>
      </w:r>
      <w:r w:rsidR="00CE2084" w:rsidRPr="00A52AB8">
        <w:rPr>
          <w:bCs/>
        </w:rPr>
        <w:t xml:space="preserve">in the active </w:t>
      </w:r>
      <w:r w:rsidR="00FB7E1A" w:rsidRPr="00A52AB8">
        <w:rPr>
          <w:bCs/>
        </w:rPr>
        <w:t>ASPS</w:t>
      </w:r>
      <w:r w:rsidR="00CE2084" w:rsidRPr="00A52AB8">
        <w:rPr>
          <w:bCs/>
        </w:rPr>
        <w:t xml:space="preserve">. </w:t>
      </w:r>
      <w:r w:rsidRPr="00A52AB8">
        <w:rPr>
          <w:lang w:eastAsia="ja-JP"/>
        </w:rPr>
        <w:t>ath_</w:t>
      </w:r>
      <w:r w:rsidR="00D078B9" w:rsidRPr="00A52AB8">
        <w:rPr>
          <w:lang w:eastAsia="ja-JP"/>
        </w:rPr>
        <w:t>ref_</w:t>
      </w:r>
      <w:r w:rsidR="00DD23CD" w:rsidRPr="00A52AB8">
        <w:rPr>
          <w:lang w:eastAsia="ja-JP"/>
        </w:rPr>
        <w:t>atlas_frame</w:t>
      </w:r>
      <w:r w:rsidR="00D078B9" w:rsidRPr="00A52AB8">
        <w:rPr>
          <w:bCs/>
        </w:rPr>
        <w:t>_list_</w:t>
      </w:r>
      <w:r w:rsidR="00181DA5" w:rsidRPr="00A52AB8">
        <w:rPr>
          <w:bCs/>
        </w:rPr>
        <w:t>a</w:t>
      </w:r>
      <w:r w:rsidR="00D078B9" w:rsidRPr="00A52AB8">
        <w:rPr>
          <w:bCs/>
        </w:rPr>
        <w:t xml:space="preserve">sps_flag </w:t>
      </w:r>
      <w:r w:rsidR="00CE2084" w:rsidRPr="00A52AB8">
        <w:rPr>
          <w:bCs/>
        </w:rPr>
        <w:t xml:space="preserve">equal to 0 specifies that </w:t>
      </w:r>
      <w:r w:rsidR="00B87DC8" w:rsidRPr="00A52AB8">
        <w:rPr>
          <w:bCs/>
        </w:rPr>
        <w:t xml:space="preserve">the </w:t>
      </w:r>
      <w:r w:rsidR="00CE2084" w:rsidRPr="00A52AB8">
        <w:rPr>
          <w:bCs/>
        </w:rPr>
        <w:t xml:space="preserve">reference </w:t>
      </w:r>
      <w:r w:rsidR="008F0D00" w:rsidRPr="00A52AB8">
        <w:rPr>
          <w:bCs/>
        </w:rPr>
        <w:t>atlas frame</w:t>
      </w:r>
      <w:r w:rsidR="00CE2084" w:rsidRPr="00A52AB8">
        <w:rPr>
          <w:bCs/>
        </w:rPr>
        <w:t xml:space="preserve"> list of the </w:t>
      </w:r>
      <w:r w:rsidR="00B87DC8" w:rsidRPr="00A52AB8">
        <w:rPr>
          <w:bCs/>
        </w:rPr>
        <w:t xml:space="preserve">current </w:t>
      </w:r>
      <w:r w:rsidR="002A47BD" w:rsidRPr="00A52AB8">
        <w:rPr>
          <w:bCs/>
        </w:rPr>
        <w:t>atlas tile</w:t>
      </w:r>
      <w:r w:rsidR="00EC6ACC" w:rsidRPr="00A52AB8">
        <w:rPr>
          <w:bCs/>
        </w:rPr>
        <w:t xml:space="preserve"> list </w:t>
      </w:r>
      <w:r w:rsidR="00CE2084" w:rsidRPr="00A52AB8">
        <w:rPr>
          <w:bCs/>
        </w:rPr>
        <w:t xml:space="preserve">is derived based on the </w:t>
      </w:r>
      <w:r w:rsidR="00CE2084" w:rsidRPr="00A52AB8">
        <w:rPr>
          <w:lang w:eastAsia="ko-KR"/>
        </w:rPr>
        <w:t>ref_list_struct( </w:t>
      </w:r>
      <w:r w:rsidR="00D37AC4" w:rsidRPr="00A52AB8">
        <w:rPr>
          <w:lang w:eastAsia="ko-KR"/>
        </w:rPr>
        <w:t>rlsIdx</w:t>
      </w:r>
      <w:r w:rsidR="00CE2084" w:rsidRPr="00A52AB8">
        <w:rPr>
          <w:bCs/>
        </w:rPr>
        <w:t> </w:t>
      </w:r>
      <w:r w:rsidR="00CE2084" w:rsidRPr="00A52AB8">
        <w:rPr>
          <w:lang w:eastAsia="ko-KR"/>
        </w:rPr>
        <w:t>)</w:t>
      </w:r>
      <w:r w:rsidR="00CE2084" w:rsidRPr="00A52AB8">
        <w:rPr>
          <w:bCs/>
        </w:rPr>
        <w:t xml:space="preserve"> syntax structure that is directly included in the </w:t>
      </w:r>
      <w:r w:rsidR="00B8075E" w:rsidRPr="00A52AB8">
        <w:rPr>
          <w:bCs/>
        </w:rPr>
        <w:t>tile</w:t>
      </w:r>
      <w:r w:rsidR="00E27BF3" w:rsidRPr="00A52AB8">
        <w:rPr>
          <w:bCs/>
        </w:rPr>
        <w:t xml:space="preserve"> </w:t>
      </w:r>
      <w:r w:rsidR="00CE2084" w:rsidRPr="00A52AB8">
        <w:rPr>
          <w:bCs/>
        </w:rPr>
        <w:t xml:space="preserve">header of the </w:t>
      </w:r>
      <w:r w:rsidR="00B87DC8" w:rsidRPr="00A52AB8">
        <w:rPr>
          <w:bCs/>
        </w:rPr>
        <w:t xml:space="preserve">current </w:t>
      </w:r>
      <w:r w:rsidR="002A47BD" w:rsidRPr="00A52AB8">
        <w:rPr>
          <w:bCs/>
        </w:rPr>
        <w:t xml:space="preserve">atlas </w:t>
      </w:r>
      <w:r w:rsidR="00B8075E" w:rsidRPr="00A52AB8">
        <w:rPr>
          <w:bCs/>
        </w:rPr>
        <w:t>tile</w:t>
      </w:r>
      <w:r w:rsidR="00CE2084" w:rsidRPr="00A52AB8">
        <w:rPr>
          <w:bCs/>
        </w:rPr>
        <w:t xml:space="preserve">. When </w:t>
      </w:r>
      <w:r w:rsidR="00EB723C" w:rsidRPr="00A52AB8">
        <w:rPr>
          <w:rStyle w:val="fontstyle01"/>
          <w:rFonts w:ascii="Cambria" w:hAnsi="Cambria"/>
          <w:color w:val="000000" w:themeColor="text1"/>
          <w:sz w:val="22"/>
          <w:szCs w:val="22"/>
        </w:rPr>
        <w:t>asps_</w:t>
      </w:r>
      <w:r w:rsidR="00116038" w:rsidRPr="00A52AB8">
        <w:rPr>
          <w:rStyle w:val="fontstyle01"/>
          <w:rFonts w:ascii="Cambria" w:hAnsi="Cambria"/>
          <w:color w:val="000000" w:themeColor="text1"/>
          <w:sz w:val="22"/>
          <w:szCs w:val="22"/>
        </w:rPr>
        <w:t>num_ref_</w:t>
      </w:r>
      <w:r w:rsidR="00DD23CD" w:rsidRPr="00A52AB8">
        <w:rPr>
          <w:rStyle w:val="fontstyle01"/>
          <w:rFonts w:ascii="Cambria" w:hAnsi="Cambria"/>
          <w:color w:val="000000" w:themeColor="text1"/>
          <w:sz w:val="22"/>
          <w:szCs w:val="22"/>
        </w:rPr>
        <w:t>atlas_frame</w:t>
      </w:r>
      <w:r w:rsidR="00116038" w:rsidRPr="00A52AB8">
        <w:rPr>
          <w:rStyle w:val="fontstyle01"/>
          <w:rFonts w:ascii="Cambria" w:hAnsi="Cambria"/>
          <w:color w:val="000000" w:themeColor="text1"/>
          <w:sz w:val="22"/>
          <w:szCs w:val="22"/>
        </w:rPr>
        <w:t>_lists_in_</w:t>
      </w:r>
      <w:r w:rsidR="00FB7E1A" w:rsidRPr="00A52AB8">
        <w:rPr>
          <w:rStyle w:val="fontstyle01"/>
          <w:rFonts w:ascii="Cambria" w:hAnsi="Cambria"/>
          <w:color w:val="000000" w:themeColor="text1"/>
          <w:sz w:val="22"/>
          <w:szCs w:val="22"/>
        </w:rPr>
        <w:t>asps</w:t>
      </w:r>
      <w:r w:rsidR="00D078B9" w:rsidRPr="00A52AB8">
        <w:rPr>
          <w:rStyle w:val="fontstyle01"/>
          <w:rFonts w:ascii="Cambria" w:hAnsi="Cambria"/>
          <w:b/>
          <w:color w:val="000000" w:themeColor="text1"/>
          <w:sz w:val="22"/>
          <w:szCs w:val="22"/>
        </w:rPr>
        <w:t xml:space="preserve"> </w:t>
      </w:r>
      <w:r w:rsidR="00CE2084" w:rsidRPr="00A52AB8">
        <w:rPr>
          <w:bCs/>
        </w:rPr>
        <w:t xml:space="preserve">is equal to 0, the value of </w:t>
      </w:r>
      <w:r w:rsidRPr="00A52AB8">
        <w:rPr>
          <w:lang w:eastAsia="ja-JP"/>
        </w:rPr>
        <w:t>ath_</w:t>
      </w:r>
      <w:r w:rsidR="00D078B9" w:rsidRPr="00A52AB8">
        <w:rPr>
          <w:lang w:eastAsia="ja-JP"/>
        </w:rPr>
        <w:t>ref_</w:t>
      </w:r>
      <w:r w:rsidR="00DD23CD" w:rsidRPr="00A52AB8">
        <w:rPr>
          <w:lang w:eastAsia="ja-JP"/>
        </w:rPr>
        <w:t>atlas_frame</w:t>
      </w:r>
      <w:r w:rsidR="00D078B9" w:rsidRPr="00A52AB8">
        <w:rPr>
          <w:bCs/>
        </w:rPr>
        <w:t>_list_</w:t>
      </w:r>
      <w:r w:rsidR="00181DA5" w:rsidRPr="00A52AB8">
        <w:rPr>
          <w:bCs/>
        </w:rPr>
        <w:t>a</w:t>
      </w:r>
      <w:r w:rsidR="00D078B9" w:rsidRPr="00A52AB8">
        <w:rPr>
          <w:bCs/>
        </w:rPr>
        <w:t>sps_flag</w:t>
      </w:r>
      <w:r w:rsidR="00CE2084" w:rsidRPr="00A52AB8">
        <w:rPr>
          <w:bCs/>
        </w:rPr>
        <w:t xml:space="preserve"> is inferred to be equal to 0.</w:t>
      </w:r>
    </w:p>
    <w:p w14:paraId="0759F173" w14:textId="77777777" w:rsidR="0050235C" w:rsidRPr="00A52AB8" w:rsidRDefault="00A62CD5">
      <w:pPr>
        <w:rPr>
          <w:bCs/>
        </w:rPr>
      </w:pPr>
      <w:r w:rsidRPr="00A52AB8">
        <w:rPr>
          <w:b/>
          <w:lang w:eastAsia="ja-JP"/>
        </w:rPr>
        <w:t>ath_</w:t>
      </w:r>
      <w:r w:rsidR="00030E06" w:rsidRPr="00A52AB8">
        <w:rPr>
          <w:b/>
          <w:lang w:eastAsia="ja-JP"/>
        </w:rPr>
        <w:t>ref_</w:t>
      </w:r>
      <w:r w:rsidR="00DD23CD" w:rsidRPr="00A52AB8">
        <w:rPr>
          <w:b/>
          <w:lang w:eastAsia="ja-JP"/>
        </w:rPr>
        <w:t>atlas_frame</w:t>
      </w:r>
      <w:r w:rsidR="00030E06" w:rsidRPr="00A52AB8">
        <w:rPr>
          <w:b/>
          <w:lang w:eastAsia="ja-JP"/>
        </w:rPr>
        <w:t>_list_idx</w:t>
      </w:r>
      <w:r w:rsidR="00CE2084" w:rsidRPr="00A52AB8">
        <w:rPr>
          <w:bCs/>
        </w:rPr>
        <w:t xml:space="preserve"> specifies the index, into the list of the </w:t>
      </w:r>
      <w:r w:rsidR="00CE2084" w:rsidRPr="00A52AB8">
        <w:rPr>
          <w:lang w:eastAsia="ko-KR"/>
        </w:rPr>
        <w:t>ref_list_struct( </w:t>
      </w:r>
      <w:r w:rsidR="00D37AC4" w:rsidRPr="00A52AB8">
        <w:rPr>
          <w:lang w:eastAsia="ko-KR"/>
        </w:rPr>
        <w:t>rlsIdx</w:t>
      </w:r>
      <w:r w:rsidR="00CE2084" w:rsidRPr="00A52AB8">
        <w:rPr>
          <w:bCs/>
        </w:rPr>
        <w:t> </w:t>
      </w:r>
      <w:r w:rsidR="00CE2084" w:rsidRPr="00A52AB8">
        <w:rPr>
          <w:lang w:eastAsia="ko-KR"/>
        </w:rPr>
        <w:t>)</w:t>
      </w:r>
      <w:r w:rsidR="00CE2084" w:rsidRPr="00A52AB8">
        <w:rPr>
          <w:bCs/>
        </w:rPr>
        <w:t xml:space="preserve"> syntax structures included in the active </w:t>
      </w:r>
      <w:r w:rsidR="00FB7E1A" w:rsidRPr="00A52AB8">
        <w:rPr>
          <w:bCs/>
        </w:rPr>
        <w:t>ASPS</w:t>
      </w:r>
      <w:r w:rsidR="00CE2084" w:rsidRPr="00A52AB8">
        <w:rPr>
          <w:bCs/>
        </w:rPr>
        <w:t xml:space="preserve">, of the </w:t>
      </w:r>
      <w:r w:rsidR="00CE2084" w:rsidRPr="00A52AB8">
        <w:rPr>
          <w:lang w:eastAsia="ko-KR"/>
        </w:rPr>
        <w:t>ref_list_struct( </w:t>
      </w:r>
      <w:r w:rsidR="00D37AC4" w:rsidRPr="00A52AB8">
        <w:rPr>
          <w:lang w:eastAsia="ko-KR"/>
        </w:rPr>
        <w:t>rlsIdx</w:t>
      </w:r>
      <w:r w:rsidR="00CE2084" w:rsidRPr="00A52AB8">
        <w:rPr>
          <w:bCs/>
        </w:rPr>
        <w:t> </w:t>
      </w:r>
      <w:r w:rsidR="00CE2084" w:rsidRPr="00A52AB8">
        <w:rPr>
          <w:lang w:eastAsia="ko-KR"/>
        </w:rPr>
        <w:t>)</w:t>
      </w:r>
      <w:r w:rsidR="00CE2084" w:rsidRPr="00A52AB8">
        <w:rPr>
          <w:bCs/>
        </w:rPr>
        <w:t xml:space="preserve"> syntax structure that is used for derivation of </w:t>
      </w:r>
      <w:r w:rsidR="00A16056" w:rsidRPr="00A52AB8">
        <w:rPr>
          <w:bCs/>
        </w:rPr>
        <w:t xml:space="preserve">the </w:t>
      </w:r>
      <w:r w:rsidR="00CE2084" w:rsidRPr="00A52AB8">
        <w:rPr>
          <w:bCs/>
        </w:rPr>
        <w:t xml:space="preserve">reference </w:t>
      </w:r>
      <w:r w:rsidR="008F0D00" w:rsidRPr="00A52AB8">
        <w:rPr>
          <w:bCs/>
        </w:rPr>
        <w:t>atlas frame</w:t>
      </w:r>
      <w:r w:rsidR="00CE2084" w:rsidRPr="00A52AB8">
        <w:rPr>
          <w:bCs/>
        </w:rPr>
        <w:t xml:space="preserve"> list </w:t>
      </w:r>
      <w:r w:rsidR="00B87DC8" w:rsidRPr="00A52AB8">
        <w:rPr>
          <w:bCs/>
        </w:rPr>
        <w:t>f</w:t>
      </w:r>
      <w:r w:rsidR="00CE2084" w:rsidRPr="00A52AB8">
        <w:rPr>
          <w:bCs/>
        </w:rPr>
        <w:t>o</w:t>
      </w:r>
      <w:r w:rsidR="00B87DC8" w:rsidRPr="00A52AB8">
        <w:rPr>
          <w:bCs/>
        </w:rPr>
        <w:t>r</w:t>
      </w:r>
      <w:r w:rsidR="00CE2084" w:rsidRPr="00A52AB8">
        <w:rPr>
          <w:bCs/>
        </w:rPr>
        <w:t xml:space="preserve"> the </w:t>
      </w:r>
      <w:r w:rsidR="00EC6ACC" w:rsidRPr="00A52AB8">
        <w:rPr>
          <w:bCs/>
        </w:rPr>
        <w:t xml:space="preserve">current </w:t>
      </w:r>
      <w:r w:rsidR="002A47BD" w:rsidRPr="00A52AB8">
        <w:rPr>
          <w:bCs/>
        </w:rPr>
        <w:t xml:space="preserve">atlas </w:t>
      </w:r>
      <w:r w:rsidR="00B8075E" w:rsidRPr="00A52AB8">
        <w:rPr>
          <w:bCs/>
        </w:rPr>
        <w:t>tile</w:t>
      </w:r>
      <w:r w:rsidR="00CE2084" w:rsidRPr="00A52AB8">
        <w:rPr>
          <w:bCs/>
        </w:rPr>
        <w:t xml:space="preserve">. The syntax element </w:t>
      </w:r>
      <w:r w:rsidRPr="00A52AB8">
        <w:rPr>
          <w:lang w:eastAsia="ja-JP"/>
        </w:rPr>
        <w:t>ath_</w:t>
      </w:r>
      <w:r w:rsidR="00030E06" w:rsidRPr="00A52AB8">
        <w:rPr>
          <w:lang w:eastAsia="ja-JP"/>
        </w:rPr>
        <w:t>ref_</w:t>
      </w:r>
      <w:r w:rsidR="00DD23CD" w:rsidRPr="00A52AB8">
        <w:rPr>
          <w:lang w:eastAsia="ja-JP"/>
        </w:rPr>
        <w:t>atlas_frame</w:t>
      </w:r>
      <w:r w:rsidR="00030E06" w:rsidRPr="00A52AB8">
        <w:rPr>
          <w:lang w:eastAsia="ja-JP"/>
        </w:rPr>
        <w:t>_list_idx</w:t>
      </w:r>
      <w:r w:rsidR="00CE2084" w:rsidRPr="00A52AB8">
        <w:rPr>
          <w:bCs/>
        </w:rPr>
        <w:t xml:space="preserve"> is represented by </w:t>
      </w:r>
      <w:r w:rsidR="00CE2084" w:rsidRPr="00A52AB8">
        <w:rPr>
          <w:lang w:eastAsia="ko-KR"/>
        </w:rPr>
        <w:t>Ceil( Log2(</w:t>
      </w:r>
      <w:r w:rsidR="00A16056" w:rsidRPr="00A52AB8">
        <w:rPr>
          <w:lang w:eastAsia="ko-KR"/>
        </w:rPr>
        <w:t> </w:t>
      </w:r>
      <w:r w:rsidR="00EB723C" w:rsidRPr="00A52AB8">
        <w:rPr>
          <w:rStyle w:val="fontstyle01"/>
          <w:rFonts w:ascii="Cambria" w:hAnsi="Cambria"/>
          <w:color w:val="000000" w:themeColor="text1"/>
          <w:sz w:val="22"/>
          <w:szCs w:val="22"/>
        </w:rPr>
        <w:t>asps_</w:t>
      </w:r>
      <w:r w:rsidR="00116038" w:rsidRPr="00A52AB8">
        <w:rPr>
          <w:rStyle w:val="fontstyle01"/>
          <w:rFonts w:ascii="Cambria" w:hAnsi="Cambria"/>
          <w:color w:val="000000" w:themeColor="text1"/>
          <w:sz w:val="22"/>
          <w:szCs w:val="22"/>
        </w:rPr>
        <w:t>num_ref_</w:t>
      </w:r>
      <w:r w:rsidR="00DD23CD" w:rsidRPr="00A52AB8">
        <w:rPr>
          <w:rStyle w:val="fontstyle01"/>
          <w:rFonts w:ascii="Cambria" w:hAnsi="Cambria"/>
          <w:color w:val="000000" w:themeColor="text1"/>
          <w:sz w:val="22"/>
          <w:szCs w:val="22"/>
        </w:rPr>
        <w:t>atlas_frame</w:t>
      </w:r>
      <w:r w:rsidR="00116038" w:rsidRPr="00A52AB8">
        <w:rPr>
          <w:rStyle w:val="fontstyle01"/>
          <w:rFonts w:ascii="Cambria" w:hAnsi="Cambria"/>
          <w:color w:val="000000" w:themeColor="text1"/>
          <w:sz w:val="22"/>
          <w:szCs w:val="22"/>
        </w:rPr>
        <w:t>_lists_in_</w:t>
      </w:r>
      <w:r w:rsidR="00FB7E1A" w:rsidRPr="00A52AB8">
        <w:rPr>
          <w:rStyle w:val="fontstyle01"/>
          <w:rFonts w:ascii="Cambria" w:hAnsi="Cambria"/>
          <w:color w:val="000000" w:themeColor="text1"/>
          <w:sz w:val="22"/>
          <w:szCs w:val="22"/>
        </w:rPr>
        <w:t>asps</w:t>
      </w:r>
      <w:r w:rsidR="00030E06" w:rsidRPr="00A52AB8">
        <w:rPr>
          <w:rStyle w:val="fontstyle01"/>
          <w:rFonts w:ascii="Cambria" w:hAnsi="Cambria"/>
          <w:color w:val="000000" w:themeColor="text1"/>
          <w:sz w:val="22"/>
          <w:szCs w:val="22"/>
        </w:rPr>
        <w:t> </w:t>
      </w:r>
      <w:r w:rsidR="00CE2084" w:rsidRPr="00A52AB8">
        <w:rPr>
          <w:lang w:eastAsia="ko-KR"/>
        </w:rPr>
        <w:t xml:space="preserve">) ) bits. When not present, the value of </w:t>
      </w:r>
      <w:r w:rsidRPr="00A52AB8">
        <w:rPr>
          <w:lang w:eastAsia="ja-JP"/>
        </w:rPr>
        <w:t>ath_</w:t>
      </w:r>
      <w:r w:rsidR="00030E06" w:rsidRPr="00A52AB8">
        <w:rPr>
          <w:lang w:eastAsia="ja-JP"/>
        </w:rPr>
        <w:t>ref_</w:t>
      </w:r>
      <w:r w:rsidR="00DD23CD" w:rsidRPr="00A52AB8">
        <w:rPr>
          <w:lang w:eastAsia="ja-JP"/>
        </w:rPr>
        <w:t>atlas_frame</w:t>
      </w:r>
      <w:r w:rsidR="00030E06" w:rsidRPr="00A52AB8">
        <w:rPr>
          <w:lang w:eastAsia="ja-JP"/>
        </w:rPr>
        <w:t>_list_idx</w:t>
      </w:r>
      <w:r w:rsidR="00CE2084" w:rsidRPr="00A52AB8">
        <w:rPr>
          <w:bCs/>
        </w:rPr>
        <w:t xml:space="preserve"> is inferred to be equal to 0</w:t>
      </w:r>
      <w:r w:rsidR="00CE2084" w:rsidRPr="00A52AB8">
        <w:rPr>
          <w:lang w:eastAsia="ko-KR"/>
        </w:rPr>
        <w:t>. T</w:t>
      </w:r>
      <w:r w:rsidR="00CE2084" w:rsidRPr="00A52AB8">
        <w:rPr>
          <w:bCs/>
        </w:rPr>
        <w:t xml:space="preserve">he value of </w:t>
      </w:r>
      <w:r w:rsidRPr="00A52AB8">
        <w:rPr>
          <w:lang w:eastAsia="ja-JP"/>
        </w:rPr>
        <w:t>ath_</w:t>
      </w:r>
      <w:r w:rsidR="00030E06" w:rsidRPr="00A52AB8">
        <w:rPr>
          <w:lang w:eastAsia="ja-JP"/>
        </w:rPr>
        <w:t>ref_</w:t>
      </w:r>
      <w:r w:rsidR="00DD23CD" w:rsidRPr="00A52AB8">
        <w:rPr>
          <w:lang w:eastAsia="ja-JP"/>
        </w:rPr>
        <w:t>atlas_frame</w:t>
      </w:r>
      <w:r w:rsidR="00030E06" w:rsidRPr="00A52AB8">
        <w:rPr>
          <w:lang w:eastAsia="ja-JP"/>
        </w:rPr>
        <w:t>_list_idx</w:t>
      </w:r>
      <w:r w:rsidR="00030E06" w:rsidRPr="00A52AB8">
        <w:rPr>
          <w:bCs/>
        </w:rPr>
        <w:t xml:space="preserve"> </w:t>
      </w:r>
      <w:r w:rsidR="00CE2084" w:rsidRPr="00A52AB8">
        <w:rPr>
          <w:bCs/>
        </w:rPr>
        <w:t xml:space="preserve">shall be in the range of 0 to </w:t>
      </w:r>
      <w:r w:rsidR="00EB723C" w:rsidRPr="00A52AB8">
        <w:rPr>
          <w:rStyle w:val="fontstyle01"/>
          <w:rFonts w:ascii="Cambria" w:hAnsi="Cambria"/>
          <w:color w:val="000000" w:themeColor="text1"/>
          <w:sz w:val="22"/>
          <w:szCs w:val="22"/>
        </w:rPr>
        <w:t>asps_</w:t>
      </w:r>
      <w:r w:rsidR="00116038" w:rsidRPr="00A52AB8">
        <w:rPr>
          <w:rStyle w:val="fontstyle01"/>
          <w:rFonts w:ascii="Cambria" w:hAnsi="Cambria"/>
          <w:color w:val="000000" w:themeColor="text1"/>
          <w:sz w:val="22"/>
          <w:szCs w:val="22"/>
        </w:rPr>
        <w:t>num_ref_</w:t>
      </w:r>
      <w:r w:rsidR="00DD23CD" w:rsidRPr="00A52AB8">
        <w:rPr>
          <w:rStyle w:val="fontstyle01"/>
          <w:rFonts w:ascii="Cambria" w:hAnsi="Cambria"/>
          <w:color w:val="000000" w:themeColor="text1"/>
          <w:sz w:val="22"/>
          <w:szCs w:val="22"/>
        </w:rPr>
        <w:t>atlas_frame</w:t>
      </w:r>
      <w:r w:rsidR="00116038" w:rsidRPr="00A52AB8">
        <w:rPr>
          <w:rStyle w:val="fontstyle01"/>
          <w:rFonts w:ascii="Cambria" w:hAnsi="Cambria"/>
          <w:color w:val="000000" w:themeColor="text1"/>
          <w:sz w:val="22"/>
          <w:szCs w:val="22"/>
        </w:rPr>
        <w:t>_lists_in_</w:t>
      </w:r>
      <w:r w:rsidR="00FB7E1A" w:rsidRPr="00A52AB8">
        <w:rPr>
          <w:rStyle w:val="fontstyle01"/>
          <w:rFonts w:ascii="Cambria" w:hAnsi="Cambria"/>
          <w:color w:val="000000" w:themeColor="text1"/>
          <w:sz w:val="22"/>
          <w:szCs w:val="22"/>
        </w:rPr>
        <w:t>asps</w:t>
      </w:r>
      <w:r w:rsidR="00CE2084" w:rsidRPr="00A52AB8">
        <w:t> </w:t>
      </w:r>
      <w:r w:rsidR="00CE2084" w:rsidRPr="00A52AB8">
        <w:rPr>
          <w:bCs/>
        </w:rPr>
        <w:t xml:space="preserve">− 1, inclusive. When </w:t>
      </w:r>
      <w:r w:rsidRPr="00A52AB8">
        <w:rPr>
          <w:lang w:eastAsia="ja-JP"/>
        </w:rPr>
        <w:t>ath_</w:t>
      </w:r>
      <w:r w:rsidR="00BF4EAD" w:rsidRPr="00A52AB8">
        <w:rPr>
          <w:lang w:eastAsia="ja-JP"/>
        </w:rPr>
        <w:t>ref_</w:t>
      </w:r>
      <w:r w:rsidR="00DD23CD" w:rsidRPr="00A52AB8">
        <w:rPr>
          <w:lang w:eastAsia="ja-JP"/>
        </w:rPr>
        <w:t>atlas_frame</w:t>
      </w:r>
      <w:r w:rsidR="00BF4EAD" w:rsidRPr="00A52AB8">
        <w:rPr>
          <w:bCs/>
        </w:rPr>
        <w:t>_list_</w:t>
      </w:r>
      <w:r w:rsidR="00181DA5" w:rsidRPr="00A52AB8">
        <w:rPr>
          <w:bCs/>
        </w:rPr>
        <w:t>a</w:t>
      </w:r>
      <w:r w:rsidR="00BF4EAD" w:rsidRPr="00A52AB8">
        <w:rPr>
          <w:bCs/>
        </w:rPr>
        <w:t xml:space="preserve">sps_flag </w:t>
      </w:r>
      <w:r w:rsidR="00CE2084" w:rsidRPr="00A52AB8">
        <w:rPr>
          <w:bCs/>
        </w:rPr>
        <w:t xml:space="preserve">is equal to 1 and </w:t>
      </w:r>
      <w:r w:rsidR="00EB723C" w:rsidRPr="00A52AB8">
        <w:rPr>
          <w:rStyle w:val="fontstyle01"/>
          <w:rFonts w:ascii="Cambria" w:hAnsi="Cambria"/>
          <w:color w:val="000000" w:themeColor="text1"/>
          <w:sz w:val="22"/>
          <w:szCs w:val="22"/>
        </w:rPr>
        <w:t>asps_</w:t>
      </w:r>
      <w:r w:rsidR="00116038" w:rsidRPr="00A52AB8">
        <w:rPr>
          <w:rStyle w:val="fontstyle01"/>
          <w:rFonts w:ascii="Cambria" w:hAnsi="Cambria"/>
          <w:color w:val="000000" w:themeColor="text1"/>
          <w:sz w:val="22"/>
          <w:szCs w:val="22"/>
        </w:rPr>
        <w:t>num_ref_</w:t>
      </w:r>
      <w:r w:rsidR="00DD23CD" w:rsidRPr="00A52AB8">
        <w:rPr>
          <w:rStyle w:val="fontstyle01"/>
          <w:rFonts w:ascii="Cambria" w:hAnsi="Cambria"/>
          <w:color w:val="000000" w:themeColor="text1"/>
          <w:sz w:val="22"/>
          <w:szCs w:val="22"/>
        </w:rPr>
        <w:t>atlas_frame</w:t>
      </w:r>
      <w:r w:rsidR="00116038" w:rsidRPr="00A52AB8">
        <w:rPr>
          <w:rStyle w:val="fontstyle01"/>
          <w:rFonts w:ascii="Cambria" w:hAnsi="Cambria"/>
          <w:color w:val="000000" w:themeColor="text1"/>
          <w:sz w:val="22"/>
          <w:szCs w:val="22"/>
        </w:rPr>
        <w:t>_lists_in_</w:t>
      </w:r>
      <w:r w:rsidR="00FB7E1A" w:rsidRPr="00A52AB8">
        <w:rPr>
          <w:rStyle w:val="fontstyle01"/>
          <w:rFonts w:ascii="Cambria" w:hAnsi="Cambria"/>
          <w:color w:val="000000" w:themeColor="text1"/>
          <w:sz w:val="22"/>
          <w:szCs w:val="22"/>
        </w:rPr>
        <w:t>asps</w:t>
      </w:r>
      <w:r w:rsidR="00CE2084" w:rsidRPr="00A52AB8">
        <w:rPr>
          <w:bCs/>
        </w:rPr>
        <w:t xml:space="preserve"> is equal to 1, the value of </w:t>
      </w:r>
      <w:r w:rsidRPr="00A52AB8">
        <w:rPr>
          <w:lang w:eastAsia="ja-JP"/>
        </w:rPr>
        <w:t>ath_</w:t>
      </w:r>
      <w:r w:rsidR="00BF4EAD" w:rsidRPr="00A52AB8">
        <w:rPr>
          <w:lang w:eastAsia="ja-JP"/>
        </w:rPr>
        <w:t>ref_</w:t>
      </w:r>
      <w:r w:rsidR="00DD23CD" w:rsidRPr="00A52AB8">
        <w:rPr>
          <w:lang w:eastAsia="ja-JP"/>
        </w:rPr>
        <w:t>atlas_frame</w:t>
      </w:r>
      <w:r w:rsidR="00BF4EAD" w:rsidRPr="00A52AB8">
        <w:rPr>
          <w:lang w:eastAsia="ja-JP"/>
        </w:rPr>
        <w:t>_list_idx</w:t>
      </w:r>
      <w:r w:rsidR="00CE2084" w:rsidRPr="00A52AB8">
        <w:rPr>
          <w:bCs/>
        </w:rPr>
        <w:t xml:space="preserve"> is inferred to be equal to 0.</w:t>
      </w:r>
    </w:p>
    <w:p w14:paraId="513A5067" w14:textId="0D837631" w:rsidR="00BF4EAD" w:rsidRPr="00A52AB8" w:rsidRDefault="00CE2084">
      <w:pPr>
        <w:rPr>
          <w:lang w:eastAsia="ko-KR"/>
        </w:rPr>
      </w:pPr>
      <w:r w:rsidRPr="00A52AB8">
        <w:rPr>
          <w:lang w:eastAsia="ko-KR"/>
        </w:rPr>
        <w:t xml:space="preserve">The variable </w:t>
      </w:r>
      <w:r w:rsidR="00E724CB" w:rsidRPr="00A52AB8">
        <w:rPr>
          <w:lang w:eastAsia="ko-KR"/>
        </w:rPr>
        <w:t>RlsIdx</w:t>
      </w:r>
      <w:r w:rsidR="00A16056" w:rsidRPr="00A52AB8">
        <w:rPr>
          <w:bCs/>
          <w:color w:val="000000" w:themeColor="text1"/>
        </w:rPr>
        <w:t xml:space="preserve"> for the </w:t>
      </w:r>
      <w:r w:rsidR="00EC6ACC" w:rsidRPr="00A52AB8">
        <w:rPr>
          <w:bCs/>
          <w:color w:val="000000" w:themeColor="text1"/>
        </w:rPr>
        <w:t xml:space="preserve">current </w:t>
      </w:r>
      <w:r w:rsidR="002A47BD" w:rsidRPr="00A52AB8">
        <w:rPr>
          <w:bCs/>
          <w:color w:val="000000" w:themeColor="text1"/>
        </w:rPr>
        <w:t xml:space="preserve">atlas </w:t>
      </w:r>
      <w:r w:rsidR="00B8075E" w:rsidRPr="00A52AB8">
        <w:rPr>
          <w:bCs/>
          <w:color w:val="000000" w:themeColor="text1"/>
        </w:rPr>
        <w:t>tile</w:t>
      </w:r>
      <w:r w:rsidR="00A16056" w:rsidRPr="00A52AB8">
        <w:rPr>
          <w:bCs/>
          <w:color w:val="000000" w:themeColor="text1"/>
        </w:rPr>
        <w:t xml:space="preserve"> </w:t>
      </w:r>
      <w:r w:rsidRPr="00A52AB8">
        <w:rPr>
          <w:lang w:eastAsia="ko-KR"/>
        </w:rPr>
        <w:t>is derived as follows:</w:t>
      </w:r>
    </w:p>
    <w:p w14:paraId="452B4E2B" w14:textId="1C7686EC" w:rsidR="00CE2084" w:rsidRPr="00A52AB8" w:rsidRDefault="00BF4EAD">
      <w:r w:rsidRPr="00A52AB8">
        <w:tab/>
      </w:r>
      <w:r w:rsidR="00E724CB" w:rsidRPr="00A52AB8">
        <w:t>RlsIdx</w:t>
      </w:r>
      <w:r w:rsidR="00D47707" w:rsidRPr="00A52AB8">
        <w:t> = </w:t>
      </w:r>
      <w:r w:rsidR="00D250E9" w:rsidRPr="00A52AB8">
        <w:rPr>
          <w:lang w:eastAsia="ja-JP"/>
        </w:rPr>
        <w:t>ath_ref_atlas_frame</w:t>
      </w:r>
      <w:r w:rsidR="00D250E9" w:rsidRPr="00A52AB8">
        <w:rPr>
          <w:bCs/>
        </w:rPr>
        <w:t>_list_</w:t>
      </w:r>
      <w:r w:rsidR="00181DA5" w:rsidRPr="00A52AB8">
        <w:rPr>
          <w:bCs/>
        </w:rPr>
        <w:t>a</w:t>
      </w:r>
      <w:r w:rsidR="00D250E9" w:rsidRPr="00A52AB8">
        <w:rPr>
          <w:bCs/>
        </w:rPr>
        <w:t>sps_flag</w:t>
      </w:r>
      <w:r w:rsidRPr="00A52AB8">
        <w:t> </w:t>
      </w:r>
      <w:r w:rsidR="00CE2084" w:rsidRPr="00A52AB8">
        <w:t>?</w:t>
      </w:r>
      <w:r w:rsidR="00C61E38" w:rsidRPr="00A52AB8">
        <w:br/>
      </w:r>
      <w:r w:rsidRPr="00A52AB8">
        <w:tab/>
      </w:r>
      <w:r w:rsidRPr="00A52AB8">
        <w:tab/>
      </w:r>
      <w:r w:rsidR="00A62CD5" w:rsidRPr="00A52AB8">
        <w:t>ath_</w:t>
      </w:r>
      <w:r w:rsidRPr="00A52AB8">
        <w:t>ref_</w:t>
      </w:r>
      <w:r w:rsidR="00DD23CD" w:rsidRPr="00A52AB8">
        <w:t>atlas_frame</w:t>
      </w:r>
      <w:r w:rsidRPr="00A52AB8">
        <w:t>_list_idx </w:t>
      </w:r>
      <w:r w:rsidR="00CE2084" w:rsidRPr="00A52AB8">
        <w:t>:</w:t>
      </w:r>
      <w:r w:rsidR="00EA29CE" w:rsidRPr="00A52AB8">
        <w:t> </w:t>
      </w:r>
      <w:r w:rsidR="00EB723C" w:rsidRPr="00A52AB8">
        <w:t>asps_</w:t>
      </w:r>
      <w:r w:rsidR="00116038" w:rsidRPr="00A52AB8">
        <w:t>num_ref_</w:t>
      </w:r>
      <w:r w:rsidR="00DD23CD" w:rsidRPr="00A52AB8">
        <w:t>atlas_frame</w:t>
      </w:r>
      <w:r w:rsidR="00116038" w:rsidRPr="00A52AB8">
        <w:t>_lists_in_</w:t>
      </w:r>
      <w:r w:rsidR="00FB7E1A" w:rsidRPr="00A52AB8">
        <w:t>asps</w:t>
      </w:r>
      <w:r w:rsidRPr="00A52AB8">
        <w:tab/>
      </w:r>
      <w:r w:rsidR="00CE2084" w:rsidRPr="00A52AB8">
        <w:t>(</w:t>
      </w:r>
      <w:r w:rsidR="00CE2084" w:rsidRPr="00496A4D">
        <w:fldChar w:fldCharType="begin"/>
      </w:r>
      <w:r w:rsidR="00CE2084" w:rsidRPr="00A52AB8">
        <w:instrText xml:space="preserve"> </w:instrText>
      </w:r>
      <w:r w:rsidR="00646520" w:rsidRPr="00A52AB8">
        <w:instrText>SEQ Equation \* ARABIC \n</w:instrText>
      </w:r>
      <w:r w:rsidR="00CE2084" w:rsidRPr="00A52AB8">
        <w:instrText xml:space="preserve"> </w:instrText>
      </w:r>
      <w:r w:rsidR="00CE2084" w:rsidRPr="00496A4D">
        <w:fldChar w:fldCharType="separate"/>
      </w:r>
      <w:r w:rsidR="00507A67">
        <w:rPr>
          <w:noProof/>
        </w:rPr>
        <w:t>21</w:t>
      </w:r>
      <w:r w:rsidR="00CE2084" w:rsidRPr="00496A4D">
        <w:fldChar w:fldCharType="end"/>
      </w:r>
      <w:r w:rsidR="00CE2084" w:rsidRPr="00A52AB8">
        <w:t>)</w:t>
      </w:r>
    </w:p>
    <w:p w14:paraId="29629DCA" w14:textId="77777777" w:rsidR="004914EC" w:rsidRPr="00A52AB8" w:rsidRDefault="00A62CD5">
      <w:pPr>
        <w:rPr>
          <w:lang w:eastAsia="ko-KR"/>
        </w:rPr>
      </w:pPr>
      <w:r w:rsidRPr="00A52AB8">
        <w:rPr>
          <w:b/>
          <w:lang w:eastAsia="ko-KR"/>
        </w:rPr>
        <w:t>ath_</w:t>
      </w:r>
      <w:r w:rsidR="004914EC" w:rsidRPr="00A52AB8">
        <w:rPr>
          <w:b/>
          <w:lang w:eastAsia="ko-KR"/>
        </w:rPr>
        <w:t>additional_</w:t>
      </w:r>
      <w:r w:rsidR="00DD23CD" w:rsidRPr="00A52AB8">
        <w:rPr>
          <w:b/>
          <w:lang w:eastAsia="ko-KR"/>
        </w:rPr>
        <w:t>afoc</w:t>
      </w:r>
      <w:r w:rsidR="004914EC" w:rsidRPr="00A52AB8">
        <w:rPr>
          <w:b/>
          <w:lang w:eastAsia="ko-KR"/>
        </w:rPr>
        <w:t>_lsb_present_flag</w:t>
      </w:r>
      <w:r w:rsidR="001F4484" w:rsidRPr="00A52AB8">
        <w:rPr>
          <w:bCs/>
          <w:color w:val="000000" w:themeColor="text1"/>
        </w:rPr>
        <w:t>[ j ]</w:t>
      </w:r>
      <w:r w:rsidR="00CE2084" w:rsidRPr="00A52AB8">
        <w:rPr>
          <w:lang w:eastAsia="ko-KR"/>
        </w:rPr>
        <w:t xml:space="preserve"> equal to 1 specifies that </w:t>
      </w:r>
      <w:r w:rsidRPr="00A52AB8">
        <w:rPr>
          <w:lang w:eastAsia="ko-KR"/>
        </w:rPr>
        <w:t>ath_</w:t>
      </w:r>
      <w:r w:rsidR="004914EC" w:rsidRPr="00A52AB8">
        <w:rPr>
          <w:lang w:eastAsia="ko-KR"/>
        </w:rPr>
        <w:t>additional_</w:t>
      </w:r>
      <w:r w:rsidR="00DD23CD" w:rsidRPr="00A52AB8">
        <w:rPr>
          <w:lang w:eastAsia="ko-KR"/>
        </w:rPr>
        <w:t>afoc</w:t>
      </w:r>
      <w:r w:rsidR="004914EC" w:rsidRPr="00A52AB8">
        <w:rPr>
          <w:lang w:eastAsia="ko-KR"/>
        </w:rPr>
        <w:t>_lsb_val</w:t>
      </w:r>
      <w:r w:rsidR="001F4484" w:rsidRPr="00A52AB8">
        <w:rPr>
          <w:bCs/>
          <w:color w:val="000000" w:themeColor="text1"/>
        </w:rPr>
        <w:t>[ j ]</w:t>
      </w:r>
      <w:r w:rsidR="00CE2084" w:rsidRPr="00A52AB8">
        <w:rPr>
          <w:lang w:eastAsia="ko-KR"/>
        </w:rPr>
        <w:t xml:space="preserve"> is present</w:t>
      </w:r>
      <w:r w:rsidR="00A16056" w:rsidRPr="00A52AB8">
        <w:rPr>
          <w:lang w:eastAsia="ko-KR"/>
        </w:rPr>
        <w:t xml:space="preserve"> for the </w:t>
      </w:r>
      <w:r w:rsidR="00EC6ACC" w:rsidRPr="00A52AB8">
        <w:rPr>
          <w:lang w:eastAsia="ko-KR"/>
        </w:rPr>
        <w:t xml:space="preserve">current </w:t>
      </w:r>
      <w:r w:rsidR="002A47BD" w:rsidRPr="00A52AB8">
        <w:rPr>
          <w:lang w:eastAsia="ko-KR"/>
        </w:rPr>
        <w:t xml:space="preserve">atlas </w:t>
      </w:r>
      <w:r w:rsidR="00B8075E" w:rsidRPr="00A52AB8">
        <w:rPr>
          <w:lang w:eastAsia="ko-KR"/>
        </w:rPr>
        <w:t>tile</w:t>
      </w:r>
      <w:r w:rsidR="00CE2084" w:rsidRPr="00A52AB8">
        <w:rPr>
          <w:lang w:eastAsia="ko-KR"/>
        </w:rPr>
        <w:t xml:space="preserve">. </w:t>
      </w:r>
      <w:r w:rsidRPr="00A52AB8">
        <w:rPr>
          <w:lang w:eastAsia="ko-KR"/>
        </w:rPr>
        <w:t>ath_</w:t>
      </w:r>
      <w:r w:rsidR="004914EC" w:rsidRPr="00A52AB8">
        <w:rPr>
          <w:lang w:eastAsia="ko-KR"/>
        </w:rPr>
        <w:t>additional_</w:t>
      </w:r>
      <w:r w:rsidR="00DD23CD" w:rsidRPr="00A52AB8">
        <w:rPr>
          <w:lang w:eastAsia="ko-KR"/>
        </w:rPr>
        <w:t>afoc</w:t>
      </w:r>
      <w:r w:rsidR="004914EC" w:rsidRPr="00A52AB8">
        <w:rPr>
          <w:lang w:eastAsia="ko-KR"/>
        </w:rPr>
        <w:t>_lsb_present_flag</w:t>
      </w:r>
      <w:r w:rsidR="001F4484" w:rsidRPr="00A52AB8">
        <w:rPr>
          <w:bCs/>
          <w:color w:val="000000" w:themeColor="text1"/>
        </w:rPr>
        <w:t>[ j ]</w:t>
      </w:r>
      <w:r w:rsidR="00CE2084" w:rsidRPr="00A52AB8">
        <w:rPr>
          <w:lang w:eastAsia="ko-KR"/>
        </w:rPr>
        <w:t xml:space="preserve"> equal to 0 specifies that </w:t>
      </w:r>
      <w:r w:rsidRPr="00A52AB8">
        <w:rPr>
          <w:lang w:eastAsia="ko-KR"/>
        </w:rPr>
        <w:t>ath_</w:t>
      </w:r>
      <w:r w:rsidR="004914EC" w:rsidRPr="00A52AB8">
        <w:rPr>
          <w:lang w:eastAsia="ko-KR"/>
        </w:rPr>
        <w:t>additional_</w:t>
      </w:r>
      <w:r w:rsidR="00DD23CD" w:rsidRPr="00A52AB8">
        <w:rPr>
          <w:lang w:eastAsia="ko-KR"/>
        </w:rPr>
        <w:t>afoc</w:t>
      </w:r>
      <w:r w:rsidR="004914EC" w:rsidRPr="00A52AB8">
        <w:rPr>
          <w:lang w:eastAsia="ko-KR"/>
        </w:rPr>
        <w:t>_lsb_val</w:t>
      </w:r>
      <w:r w:rsidR="001F4484" w:rsidRPr="00A52AB8">
        <w:rPr>
          <w:lang w:eastAsia="ko-KR"/>
        </w:rPr>
        <w:t>[ j ]</w:t>
      </w:r>
      <w:r w:rsidR="00CE2084" w:rsidRPr="00A52AB8">
        <w:rPr>
          <w:lang w:eastAsia="ko-KR"/>
        </w:rPr>
        <w:t xml:space="preserve"> is not present.</w:t>
      </w:r>
    </w:p>
    <w:p w14:paraId="474C23E0" w14:textId="77777777" w:rsidR="003850C5" w:rsidRPr="00A52AB8" w:rsidRDefault="00A62CD5">
      <w:pPr>
        <w:rPr>
          <w:lang w:eastAsia="ko-KR"/>
        </w:rPr>
      </w:pPr>
      <w:r w:rsidRPr="00A52AB8">
        <w:rPr>
          <w:b/>
          <w:lang w:eastAsia="ko-KR"/>
        </w:rPr>
        <w:t>ath_</w:t>
      </w:r>
      <w:r w:rsidR="004914EC" w:rsidRPr="00A52AB8">
        <w:rPr>
          <w:b/>
          <w:lang w:eastAsia="ko-KR"/>
        </w:rPr>
        <w:t>additional_</w:t>
      </w:r>
      <w:r w:rsidR="00DD23CD" w:rsidRPr="00A52AB8">
        <w:rPr>
          <w:b/>
          <w:lang w:eastAsia="ko-KR"/>
        </w:rPr>
        <w:t>afoc</w:t>
      </w:r>
      <w:r w:rsidR="004914EC" w:rsidRPr="00A52AB8">
        <w:rPr>
          <w:b/>
          <w:lang w:eastAsia="ko-KR"/>
        </w:rPr>
        <w:t>_lsb_val</w:t>
      </w:r>
      <w:r w:rsidR="001F4484" w:rsidRPr="00A52AB8">
        <w:rPr>
          <w:bCs/>
          <w:color w:val="000000" w:themeColor="text1"/>
        </w:rPr>
        <w:t>[ j ]</w:t>
      </w:r>
      <w:r w:rsidR="00CE2084" w:rsidRPr="00A52AB8">
        <w:rPr>
          <w:lang w:eastAsia="ko-KR"/>
        </w:rPr>
        <w:t xml:space="preserve"> specifies the value of </w:t>
      </w:r>
      <w:r w:rsidR="00D477ED" w:rsidRPr="00A52AB8">
        <w:rPr>
          <w:lang w:eastAsia="ko-KR"/>
        </w:rPr>
        <w:t>Full</w:t>
      </w:r>
      <w:r w:rsidR="00EB723C" w:rsidRPr="00A52AB8">
        <w:rPr>
          <w:lang w:eastAsia="ko-KR"/>
        </w:rPr>
        <w:t>AtlasFrm</w:t>
      </w:r>
      <w:r w:rsidR="00D477ED" w:rsidRPr="00A52AB8">
        <w:rPr>
          <w:lang w:eastAsia="ko-KR"/>
        </w:rPr>
        <w:t>OrderCntLsbLt</w:t>
      </w:r>
      <w:r w:rsidR="003850C5" w:rsidRPr="00A52AB8">
        <w:rPr>
          <w:bCs/>
        </w:rPr>
        <w:t>[ </w:t>
      </w:r>
      <w:r w:rsidR="003850C5" w:rsidRPr="00A52AB8">
        <w:rPr>
          <w:lang w:eastAsia="ko-KR"/>
        </w:rPr>
        <w:t>RlsIdx</w:t>
      </w:r>
      <w:r w:rsidR="003850C5" w:rsidRPr="00A52AB8">
        <w:rPr>
          <w:bCs/>
        </w:rPr>
        <w:t> ]</w:t>
      </w:r>
      <w:r w:rsidR="001F4484" w:rsidRPr="00A52AB8">
        <w:rPr>
          <w:lang w:eastAsia="ko-KR"/>
        </w:rPr>
        <w:t>[ j ]</w:t>
      </w:r>
      <w:r w:rsidR="00CE2084" w:rsidRPr="00A52AB8">
        <w:rPr>
          <w:lang w:eastAsia="ko-KR"/>
        </w:rPr>
        <w:t xml:space="preserve"> </w:t>
      </w:r>
      <w:r w:rsidR="00A16056" w:rsidRPr="00A52AB8">
        <w:rPr>
          <w:lang w:eastAsia="ko-KR"/>
        </w:rPr>
        <w:t xml:space="preserve">for the </w:t>
      </w:r>
      <w:r w:rsidR="00EC6ACC" w:rsidRPr="00A52AB8">
        <w:rPr>
          <w:lang w:eastAsia="ko-KR"/>
        </w:rPr>
        <w:t xml:space="preserve">current </w:t>
      </w:r>
      <w:r w:rsidR="002A47BD" w:rsidRPr="00A52AB8">
        <w:rPr>
          <w:lang w:eastAsia="ko-KR"/>
        </w:rPr>
        <w:t xml:space="preserve">atlas </w:t>
      </w:r>
      <w:r w:rsidR="00B8075E" w:rsidRPr="00A52AB8">
        <w:rPr>
          <w:lang w:eastAsia="ko-KR"/>
        </w:rPr>
        <w:t>tile</w:t>
      </w:r>
      <w:r w:rsidR="00A16056" w:rsidRPr="00A52AB8">
        <w:rPr>
          <w:lang w:eastAsia="ko-KR"/>
        </w:rPr>
        <w:t xml:space="preserve"> </w:t>
      </w:r>
      <w:r w:rsidR="00CE2084" w:rsidRPr="00A52AB8">
        <w:rPr>
          <w:lang w:eastAsia="ko-KR"/>
        </w:rPr>
        <w:t>as follows:</w:t>
      </w:r>
    </w:p>
    <w:p w14:paraId="4F092BE1" w14:textId="0E12AA2F" w:rsidR="00CE2084" w:rsidRPr="00A52AB8" w:rsidRDefault="003850C5">
      <w:r w:rsidRPr="00A52AB8">
        <w:tab/>
      </w:r>
      <w:r w:rsidR="00D477ED" w:rsidRPr="00A52AB8">
        <w:t>Full</w:t>
      </w:r>
      <w:r w:rsidR="00EB723C" w:rsidRPr="00A52AB8">
        <w:t>AtlasFrm</w:t>
      </w:r>
      <w:r w:rsidR="00D477ED" w:rsidRPr="00A52AB8">
        <w:t>OrderCntLsbLt</w:t>
      </w:r>
      <w:r w:rsidR="00CE2084" w:rsidRPr="00A52AB8">
        <w:t>[ RlsIdx ]</w:t>
      </w:r>
      <w:r w:rsidR="001F4484" w:rsidRPr="00A52AB8">
        <w:t>[ j ]</w:t>
      </w:r>
      <w:r w:rsidR="00935236" w:rsidRPr="00A52AB8">
        <w:t> =</w:t>
      </w:r>
      <w:r w:rsidR="00C61E38" w:rsidRPr="00A52AB8">
        <w:br/>
      </w:r>
      <w:r w:rsidRPr="00A52AB8">
        <w:rPr>
          <w:lang w:eastAsia="ko-KR"/>
        </w:rPr>
        <w:tab/>
      </w:r>
      <w:r w:rsidRPr="00A52AB8">
        <w:rPr>
          <w:lang w:eastAsia="ko-KR"/>
        </w:rPr>
        <w:tab/>
      </w:r>
      <w:r w:rsidR="00A62CD5" w:rsidRPr="00A52AB8">
        <w:rPr>
          <w:lang w:eastAsia="ko-KR"/>
        </w:rPr>
        <w:t>ath_</w:t>
      </w:r>
      <w:r w:rsidR="004914EC" w:rsidRPr="00A52AB8">
        <w:rPr>
          <w:lang w:eastAsia="ko-KR"/>
        </w:rPr>
        <w:t>additional_</w:t>
      </w:r>
      <w:r w:rsidR="00DD23CD" w:rsidRPr="00A52AB8">
        <w:rPr>
          <w:lang w:eastAsia="ko-KR"/>
        </w:rPr>
        <w:t>afoc</w:t>
      </w:r>
      <w:r w:rsidR="004914EC" w:rsidRPr="00A52AB8">
        <w:rPr>
          <w:lang w:eastAsia="ko-KR"/>
        </w:rPr>
        <w:t>_lsb_val</w:t>
      </w:r>
      <w:r w:rsidR="001F4484" w:rsidRPr="00A52AB8">
        <w:rPr>
          <w:bCs/>
          <w:color w:val="000000" w:themeColor="text1"/>
        </w:rPr>
        <w:t>[ j ]</w:t>
      </w:r>
      <w:r w:rsidR="003C6583" w:rsidRPr="00A52AB8">
        <w:rPr>
          <w:bCs/>
          <w:color w:val="000000" w:themeColor="text1"/>
        </w:rPr>
        <w:t> * </w:t>
      </w:r>
      <w:r w:rsidR="00CE2084" w:rsidRPr="00A52AB8">
        <w:t>Max</w:t>
      </w:r>
      <w:r w:rsidR="00EB723C" w:rsidRPr="00A52AB8">
        <w:t>AtlasFrm</w:t>
      </w:r>
      <w:r w:rsidR="00CE2084" w:rsidRPr="00A52AB8">
        <w:t>OrderCntLsb</w:t>
      </w:r>
      <w:r w:rsidRPr="00A52AB8">
        <w:t> </w:t>
      </w:r>
      <w:r w:rsidR="00CE2084" w:rsidRPr="00A52AB8">
        <w:t>+</w:t>
      </w:r>
      <w:r w:rsidR="00DD23CD" w:rsidRPr="00A52AB8">
        <w:rPr>
          <w:lang w:eastAsia="ko-KR"/>
        </w:rPr>
        <w:t>afoc</w:t>
      </w:r>
      <w:r w:rsidR="00CE2084" w:rsidRPr="00A52AB8">
        <w:rPr>
          <w:lang w:eastAsia="ko-KR"/>
        </w:rPr>
        <w:t>_lsb_lt</w:t>
      </w:r>
      <w:r w:rsidR="00CE2084" w:rsidRPr="00A52AB8">
        <w:rPr>
          <w:bCs/>
        </w:rPr>
        <w:t>[ </w:t>
      </w:r>
      <w:r w:rsidR="00CE2084" w:rsidRPr="00A52AB8">
        <w:rPr>
          <w:lang w:eastAsia="ko-KR"/>
        </w:rPr>
        <w:t>RlsIdx</w:t>
      </w:r>
      <w:r w:rsidR="00CE2084" w:rsidRPr="00A52AB8">
        <w:rPr>
          <w:bCs/>
        </w:rPr>
        <w:t> ]</w:t>
      </w:r>
      <w:r w:rsidR="001F4484" w:rsidRPr="00A52AB8">
        <w:rPr>
          <w:lang w:eastAsia="ko-KR"/>
        </w:rPr>
        <w:t>[ j ]</w:t>
      </w:r>
      <w:r w:rsidR="00EE3390" w:rsidRPr="00A52AB8">
        <w:tab/>
      </w:r>
      <w:r w:rsidR="00CE2084" w:rsidRPr="00A52AB8">
        <w:t>(</w:t>
      </w:r>
      <w:r w:rsidR="00CE2084" w:rsidRPr="00496A4D">
        <w:fldChar w:fldCharType="begin"/>
      </w:r>
      <w:r w:rsidR="00CE2084" w:rsidRPr="00A52AB8">
        <w:instrText xml:space="preserve"> </w:instrText>
      </w:r>
      <w:r w:rsidR="00646520" w:rsidRPr="00A52AB8">
        <w:instrText>SEQ Equation \* ARABIC \n</w:instrText>
      </w:r>
      <w:r w:rsidR="00CE2084" w:rsidRPr="00A52AB8">
        <w:instrText xml:space="preserve"> </w:instrText>
      </w:r>
      <w:r w:rsidR="00CE2084" w:rsidRPr="00496A4D">
        <w:fldChar w:fldCharType="separate"/>
      </w:r>
      <w:r w:rsidR="00507A67">
        <w:rPr>
          <w:noProof/>
        </w:rPr>
        <w:t>22</w:t>
      </w:r>
      <w:r w:rsidR="00CE2084" w:rsidRPr="00496A4D">
        <w:fldChar w:fldCharType="end"/>
      </w:r>
      <w:r w:rsidR="00CE2084" w:rsidRPr="00A52AB8">
        <w:t>)</w:t>
      </w:r>
    </w:p>
    <w:p w14:paraId="2DE538F8" w14:textId="77777777" w:rsidR="00CE2084" w:rsidRPr="00A52AB8" w:rsidRDefault="00CE2084">
      <w:pPr>
        <w:rPr>
          <w:bCs/>
        </w:rPr>
      </w:pPr>
      <w:r w:rsidRPr="00A52AB8">
        <w:t xml:space="preserve">The </w:t>
      </w:r>
      <w:r w:rsidRPr="00A52AB8">
        <w:rPr>
          <w:bCs/>
        </w:rPr>
        <w:t xml:space="preserve">syntax element </w:t>
      </w:r>
      <w:r w:rsidR="00A62CD5" w:rsidRPr="00A52AB8">
        <w:rPr>
          <w:lang w:eastAsia="ko-KR"/>
        </w:rPr>
        <w:t>ath_</w:t>
      </w:r>
      <w:r w:rsidR="00EE3390" w:rsidRPr="00A52AB8">
        <w:rPr>
          <w:lang w:eastAsia="ko-KR"/>
        </w:rPr>
        <w:t>additional_</w:t>
      </w:r>
      <w:r w:rsidR="00DD23CD" w:rsidRPr="00A52AB8">
        <w:rPr>
          <w:lang w:eastAsia="ko-KR"/>
        </w:rPr>
        <w:t>afoc</w:t>
      </w:r>
      <w:r w:rsidR="00EE3390" w:rsidRPr="00A52AB8">
        <w:rPr>
          <w:lang w:eastAsia="ko-KR"/>
        </w:rPr>
        <w:t>_lsb_val</w:t>
      </w:r>
      <w:r w:rsidR="001F4484" w:rsidRPr="00A52AB8">
        <w:rPr>
          <w:bCs/>
          <w:color w:val="000000" w:themeColor="text1"/>
        </w:rPr>
        <w:t>[ j ]</w:t>
      </w:r>
      <w:r w:rsidRPr="00A52AB8">
        <w:rPr>
          <w:lang w:eastAsia="ko-KR"/>
        </w:rPr>
        <w:t xml:space="preserve"> </w:t>
      </w:r>
      <w:r w:rsidRPr="00A52AB8">
        <w:t xml:space="preserve">is represented by </w:t>
      </w:r>
      <w:r w:rsidR="008F0D00" w:rsidRPr="00A52AB8">
        <w:rPr>
          <w:bCs/>
        </w:rPr>
        <w:t>afps_</w:t>
      </w:r>
      <w:r w:rsidR="00EE3390" w:rsidRPr="00A52AB8">
        <w:rPr>
          <w:bCs/>
        </w:rPr>
        <w:t>additional_lt_</w:t>
      </w:r>
      <w:r w:rsidR="00DD23CD" w:rsidRPr="00A52AB8">
        <w:rPr>
          <w:bCs/>
        </w:rPr>
        <w:t>afoc</w:t>
      </w:r>
      <w:r w:rsidR="00EE3390" w:rsidRPr="00A52AB8">
        <w:rPr>
          <w:bCs/>
        </w:rPr>
        <w:t>_lsb_len</w:t>
      </w:r>
      <w:r w:rsidR="00EE3390" w:rsidRPr="00A52AB8">
        <w:t xml:space="preserve"> </w:t>
      </w:r>
      <w:r w:rsidRPr="00A52AB8">
        <w:t>bits.</w:t>
      </w:r>
      <w:r w:rsidRPr="00A52AB8">
        <w:rPr>
          <w:bCs/>
        </w:rPr>
        <w:t xml:space="preserve"> When not present, the value of </w:t>
      </w:r>
      <w:r w:rsidR="00A62CD5" w:rsidRPr="00A52AB8">
        <w:rPr>
          <w:lang w:eastAsia="ko-KR"/>
        </w:rPr>
        <w:t>ath_</w:t>
      </w:r>
      <w:r w:rsidR="00EE3390" w:rsidRPr="00A52AB8">
        <w:rPr>
          <w:lang w:eastAsia="ko-KR"/>
        </w:rPr>
        <w:t>additional_</w:t>
      </w:r>
      <w:r w:rsidR="00DD23CD" w:rsidRPr="00A52AB8">
        <w:rPr>
          <w:lang w:eastAsia="ko-KR"/>
        </w:rPr>
        <w:t>afoc</w:t>
      </w:r>
      <w:r w:rsidR="00EE3390" w:rsidRPr="00A52AB8">
        <w:rPr>
          <w:lang w:eastAsia="ko-KR"/>
        </w:rPr>
        <w:t>_lsb_val</w:t>
      </w:r>
      <w:r w:rsidR="001F4484" w:rsidRPr="00A52AB8">
        <w:rPr>
          <w:bCs/>
          <w:color w:val="000000" w:themeColor="text1"/>
        </w:rPr>
        <w:t>[ j ]</w:t>
      </w:r>
      <w:r w:rsidRPr="00A52AB8">
        <w:rPr>
          <w:lang w:eastAsia="ko-KR"/>
        </w:rPr>
        <w:t xml:space="preserve"> is inferred to be equal to 0</w:t>
      </w:r>
      <w:r w:rsidRPr="00A52AB8">
        <w:rPr>
          <w:bCs/>
        </w:rPr>
        <w:t>.</w:t>
      </w:r>
    </w:p>
    <w:p w14:paraId="4DC760F4" w14:textId="1F82777C" w:rsidR="00C235E3" w:rsidRPr="00A52AB8" w:rsidRDefault="00A62CD5">
      <w:pPr>
        <w:rPr>
          <w:lang w:eastAsia="ja-JP"/>
        </w:rPr>
      </w:pPr>
      <w:r w:rsidRPr="00A52AB8">
        <w:rPr>
          <w:b/>
          <w:lang w:eastAsia="ja-JP"/>
        </w:rPr>
        <w:t>ath_</w:t>
      </w:r>
      <w:r w:rsidR="00627BE0" w:rsidRPr="00A52AB8">
        <w:rPr>
          <w:b/>
          <w:lang w:eastAsia="ja-JP"/>
        </w:rPr>
        <w:t>pos</w:t>
      </w:r>
      <w:r w:rsidR="00766CC9" w:rsidRPr="00A52AB8">
        <w:rPr>
          <w:b/>
          <w:lang w:eastAsia="ja-JP"/>
        </w:rPr>
        <w:t>_min_d</w:t>
      </w:r>
      <w:r w:rsidR="00C235E3" w:rsidRPr="00A52AB8">
        <w:rPr>
          <w:b/>
          <w:lang w:eastAsia="ja-JP"/>
        </w:rPr>
        <w:t xml:space="preserve">_quantizer </w:t>
      </w:r>
      <w:r w:rsidR="00C235E3" w:rsidRPr="00A52AB8">
        <w:rPr>
          <w:lang w:eastAsia="ja-JP"/>
        </w:rPr>
        <w:t xml:space="preserve">specifies the quantizer that is to be applied to the </w:t>
      </w:r>
      <w:r w:rsidR="007356C4" w:rsidRPr="00A52AB8">
        <w:rPr>
          <w:lang w:eastAsia="ja-JP"/>
        </w:rPr>
        <w:t>pdu_3d_offset_d</w:t>
      </w:r>
      <w:r w:rsidR="00F03B62" w:rsidRPr="00A52AB8">
        <w:rPr>
          <w:lang w:eastAsia="ja-JP"/>
        </w:rPr>
        <w:t>[ tileID ]</w:t>
      </w:r>
      <w:r w:rsidR="00C235E3" w:rsidRPr="00A52AB8">
        <w:rPr>
          <w:lang w:eastAsia="ja-JP"/>
        </w:rPr>
        <w:t>[</w:t>
      </w:r>
      <w:r w:rsidR="00766CC9" w:rsidRPr="00A52AB8">
        <w:rPr>
          <w:lang w:eastAsia="ja-JP"/>
        </w:rPr>
        <w:t> </w:t>
      </w:r>
      <w:r w:rsidR="00C235E3" w:rsidRPr="00A52AB8">
        <w:rPr>
          <w:lang w:eastAsia="ja-JP"/>
        </w:rPr>
        <w:t>p</w:t>
      </w:r>
      <w:r w:rsidR="00766CC9" w:rsidRPr="00A52AB8">
        <w:rPr>
          <w:lang w:eastAsia="ja-JP"/>
        </w:rPr>
        <w:t> </w:t>
      </w:r>
      <w:r w:rsidR="00C235E3" w:rsidRPr="00A52AB8">
        <w:rPr>
          <w:lang w:eastAsia="ja-JP"/>
        </w:rPr>
        <w:t xml:space="preserve">] value of the patch </w:t>
      </w:r>
      <w:r w:rsidR="00F03B62" w:rsidRPr="00A52AB8">
        <w:rPr>
          <w:lang w:eastAsia="ja-JP"/>
        </w:rPr>
        <w:t>with index p in the tile with tile ID equal to tileID</w:t>
      </w:r>
      <w:r w:rsidR="00C235E3" w:rsidRPr="00A52AB8">
        <w:rPr>
          <w:lang w:eastAsia="ja-JP"/>
        </w:rPr>
        <w:t xml:space="preserve">. If </w:t>
      </w:r>
      <w:r w:rsidRPr="00A52AB8">
        <w:rPr>
          <w:lang w:eastAsia="ja-JP"/>
        </w:rPr>
        <w:t>ath_</w:t>
      </w:r>
      <w:r w:rsidR="00627BE0" w:rsidRPr="00A52AB8">
        <w:rPr>
          <w:lang w:eastAsia="ja-JP"/>
        </w:rPr>
        <w:t>pos</w:t>
      </w:r>
      <w:r w:rsidR="00766CC9" w:rsidRPr="00A52AB8">
        <w:rPr>
          <w:lang w:eastAsia="ja-JP"/>
        </w:rPr>
        <w:t>_min_d</w:t>
      </w:r>
      <w:r w:rsidR="00C235E3" w:rsidRPr="00A52AB8">
        <w:rPr>
          <w:lang w:eastAsia="ja-JP"/>
        </w:rPr>
        <w:t>_quantizer is not present, its value shall be inferred to be equal to 0.</w:t>
      </w:r>
    </w:p>
    <w:p w14:paraId="74DF48D4" w14:textId="38BE2AF1" w:rsidR="00C235E3" w:rsidRPr="00A52AB8" w:rsidRDefault="007356C4">
      <w:pPr>
        <w:rPr>
          <w:lang w:eastAsia="ja-JP"/>
        </w:rPr>
      </w:pPr>
      <w:r w:rsidRPr="00A52AB8">
        <w:rPr>
          <w:b/>
          <w:lang w:eastAsia="ja-JP"/>
        </w:rPr>
        <w:t>ath_pos_delta_max_d_quantizer</w:t>
      </w:r>
      <w:r w:rsidR="00C235E3" w:rsidRPr="00A52AB8">
        <w:rPr>
          <w:b/>
          <w:lang w:eastAsia="ja-JP"/>
        </w:rPr>
        <w:t xml:space="preserve"> </w:t>
      </w:r>
      <w:r w:rsidR="00C235E3" w:rsidRPr="00A52AB8">
        <w:rPr>
          <w:lang w:eastAsia="ja-JP"/>
        </w:rPr>
        <w:t xml:space="preserve">specifies the quantizer that is to be applied to the </w:t>
      </w:r>
      <w:r w:rsidRPr="00A52AB8">
        <w:rPr>
          <w:color w:val="000000" w:themeColor="text1"/>
        </w:rPr>
        <w:t>pdu_3d_range_d</w:t>
      </w:r>
      <w:r w:rsidR="00F03B62" w:rsidRPr="00A52AB8">
        <w:rPr>
          <w:lang w:eastAsia="ja-JP"/>
        </w:rPr>
        <w:t>[ tileID ]</w:t>
      </w:r>
      <w:r w:rsidR="00C235E3" w:rsidRPr="00A52AB8">
        <w:rPr>
          <w:lang w:eastAsia="ja-JP"/>
        </w:rPr>
        <w:t>[</w:t>
      </w:r>
      <w:r w:rsidR="00885FEF" w:rsidRPr="00A52AB8">
        <w:rPr>
          <w:lang w:eastAsia="ja-JP"/>
        </w:rPr>
        <w:t> </w:t>
      </w:r>
      <w:r w:rsidR="00C235E3" w:rsidRPr="00A52AB8">
        <w:rPr>
          <w:lang w:eastAsia="ja-JP"/>
        </w:rPr>
        <w:t>p</w:t>
      </w:r>
      <w:r w:rsidR="00885FEF" w:rsidRPr="00A52AB8">
        <w:rPr>
          <w:lang w:eastAsia="ja-JP"/>
        </w:rPr>
        <w:t> </w:t>
      </w:r>
      <w:r w:rsidR="00C235E3" w:rsidRPr="00A52AB8">
        <w:rPr>
          <w:lang w:eastAsia="ja-JP"/>
        </w:rPr>
        <w:t xml:space="preserve">] value of the patch </w:t>
      </w:r>
      <w:r w:rsidR="00AF0563" w:rsidRPr="00A52AB8">
        <w:rPr>
          <w:lang w:eastAsia="ja-JP"/>
        </w:rPr>
        <w:t xml:space="preserve">with index </w:t>
      </w:r>
      <w:r w:rsidR="00C235E3" w:rsidRPr="00A52AB8">
        <w:rPr>
          <w:lang w:eastAsia="ja-JP"/>
        </w:rPr>
        <w:t>p</w:t>
      </w:r>
      <w:r w:rsidR="00F03B62" w:rsidRPr="00A52AB8">
        <w:rPr>
          <w:lang w:eastAsia="ja-JP"/>
        </w:rPr>
        <w:t xml:space="preserve"> in the tile with tile ID equal to tileID</w:t>
      </w:r>
      <w:r w:rsidR="00C235E3" w:rsidRPr="00A52AB8">
        <w:rPr>
          <w:lang w:eastAsia="ja-JP"/>
        </w:rPr>
        <w:t xml:space="preserve">. If </w:t>
      </w:r>
      <w:r w:rsidRPr="00A52AB8">
        <w:rPr>
          <w:lang w:eastAsia="ja-JP"/>
        </w:rPr>
        <w:t>ath_pos_delta_max_d_quantizer</w:t>
      </w:r>
      <w:r w:rsidR="00EF3ECD" w:rsidRPr="00A52AB8">
        <w:rPr>
          <w:lang w:eastAsia="ja-JP"/>
        </w:rPr>
        <w:t xml:space="preserve"> </w:t>
      </w:r>
      <w:r w:rsidR="00C235E3" w:rsidRPr="00A52AB8">
        <w:rPr>
          <w:lang w:eastAsia="ja-JP"/>
        </w:rPr>
        <w:t>is not present, its value shall be inferred to be equal to 0.</w:t>
      </w:r>
    </w:p>
    <w:p w14:paraId="34F9E534" w14:textId="6A9AE731" w:rsidR="005036E4" w:rsidRPr="00A52AB8" w:rsidRDefault="00A62CD5">
      <w:pPr>
        <w:rPr>
          <w:lang w:eastAsia="ja-JP"/>
        </w:rPr>
      </w:pPr>
      <w:r w:rsidRPr="00A52AB8">
        <w:rPr>
          <w:b/>
          <w:bCs/>
          <w:color w:val="000000" w:themeColor="text1"/>
        </w:rPr>
        <w:t>ath_</w:t>
      </w:r>
      <w:r w:rsidR="005036E4" w:rsidRPr="00A52AB8">
        <w:rPr>
          <w:b/>
          <w:bCs/>
          <w:color w:val="000000" w:themeColor="text1"/>
        </w:rPr>
        <w:t>patch_size_x_info_quantizer</w:t>
      </w:r>
      <w:r w:rsidR="005036E4" w:rsidRPr="00A52AB8">
        <w:rPr>
          <w:lang w:eastAsia="ja-JP"/>
        </w:rPr>
        <w:t xml:space="preserve"> </w:t>
      </w:r>
      <w:r w:rsidR="005036E4" w:rsidRPr="00A52AB8">
        <w:rPr>
          <w:color w:val="000000" w:themeColor="text1"/>
        </w:rPr>
        <w:t>specifies the value of the quantizer PatchSizeXQuantizer</w:t>
      </w:r>
      <w:r w:rsidR="005036E4" w:rsidRPr="00A52AB8">
        <w:rPr>
          <w:lang w:eastAsia="ja-JP"/>
        </w:rPr>
        <w:t xml:space="preserve"> that is to be applied to the </w:t>
      </w:r>
      <w:r w:rsidR="00F03B62" w:rsidRPr="00A52AB8">
        <w:rPr>
          <w:lang w:eastAsia="ja-JP"/>
        </w:rPr>
        <w:t xml:space="preserve">syntax elements </w:t>
      </w:r>
      <w:r w:rsidR="005036E4" w:rsidRPr="00A52AB8">
        <w:rPr>
          <w:bCs/>
          <w:color w:val="000000" w:themeColor="text1"/>
        </w:rPr>
        <w:t>pdu_2d_size_x</w:t>
      </w:r>
      <w:r w:rsidR="00185461" w:rsidRPr="00A52AB8">
        <w:rPr>
          <w:bCs/>
          <w:color w:val="000000" w:themeColor="text1"/>
        </w:rPr>
        <w:t>_minus1</w:t>
      </w:r>
      <w:r w:rsidR="00F03B62" w:rsidRPr="00A52AB8">
        <w:t>[ </w:t>
      </w:r>
      <w:r w:rsidR="00F03B62" w:rsidRPr="00A52AB8">
        <w:rPr>
          <w:lang w:eastAsia="ja-JP"/>
        </w:rPr>
        <w:t>tileID ]</w:t>
      </w:r>
      <w:r w:rsidR="00AF0563" w:rsidRPr="00A52AB8">
        <w:rPr>
          <w:bCs/>
          <w:color w:val="000000" w:themeColor="text1"/>
        </w:rPr>
        <w:t>[ p ], mpdu_2d_</w:t>
      </w:r>
      <w:r w:rsidR="00BF4D78" w:rsidRPr="00A52AB8">
        <w:rPr>
          <w:bCs/>
          <w:color w:val="000000" w:themeColor="text1"/>
        </w:rPr>
        <w:t>delta_</w:t>
      </w:r>
      <w:r w:rsidR="00AF0563" w:rsidRPr="00A52AB8">
        <w:rPr>
          <w:bCs/>
          <w:color w:val="000000" w:themeColor="text1"/>
        </w:rPr>
        <w:t>size_x</w:t>
      </w:r>
      <w:r w:rsidR="00F03B62" w:rsidRPr="00A52AB8">
        <w:t>[ </w:t>
      </w:r>
      <w:r w:rsidR="00F03B62" w:rsidRPr="00A52AB8">
        <w:rPr>
          <w:lang w:eastAsia="ja-JP"/>
        </w:rPr>
        <w:t>tileID ]</w:t>
      </w:r>
      <w:r w:rsidR="00AF0563" w:rsidRPr="00A52AB8">
        <w:rPr>
          <w:bCs/>
          <w:color w:val="000000" w:themeColor="text1"/>
        </w:rPr>
        <w:t xml:space="preserve">[ p ], </w:t>
      </w:r>
      <w:r w:rsidR="00AF0563" w:rsidRPr="00A52AB8">
        <w:rPr>
          <w:lang w:eastAsia="ja-JP"/>
        </w:rPr>
        <w:t>i</w:t>
      </w:r>
      <w:r w:rsidR="00AF0563" w:rsidRPr="00A52AB8">
        <w:rPr>
          <w:bCs/>
          <w:color w:val="000000" w:themeColor="text1"/>
        </w:rPr>
        <w:t>pdu_2d_</w:t>
      </w:r>
      <w:r w:rsidR="00BF4D78" w:rsidRPr="00A52AB8">
        <w:rPr>
          <w:bCs/>
          <w:color w:val="000000" w:themeColor="text1"/>
        </w:rPr>
        <w:t>delta_</w:t>
      </w:r>
      <w:r w:rsidR="00AF0563" w:rsidRPr="00A52AB8">
        <w:rPr>
          <w:bCs/>
          <w:color w:val="000000" w:themeColor="text1"/>
        </w:rPr>
        <w:t>size_x</w:t>
      </w:r>
      <w:r w:rsidR="00F03B62" w:rsidRPr="00A52AB8">
        <w:t>[ </w:t>
      </w:r>
      <w:r w:rsidR="00F03B62" w:rsidRPr="00A52AB8">
        <w:rPr>
          <w:lang w:eastAsia="ja-JP"/>
        </w:rPr>
        <w:t>tileID ]</w:t>
      </w:r>
      <w:r w:rsidR="00AF0563" w:rsidRPr="00A52AB8">
        <w:rPr>
          <w:bCs/>
          <w:color w:val="000000" w:themeColor="text1"/>
        </w:rPr>
        <w:t>[ p ], rpdu_2d_size_x_minus1</w:t>
      </w:r>
      <w:r w:rsidR="00F03B62" w:rsidRPr="00A52AB8">
        <w:t>[ </w:t>
      </w:r>
      <w:r w:rsidR="00F03B62" w:rsidRPr="00A52AB8">
        <w:rPr>
          <w:lang w:eastAsia="ja-JP"/>
        </w:rPr>
        <w:t>tileID ]</w:t>
      </w:r>
      <w:r w:rsidR="00AF0563" w:rsidRPr="00A52AB8">
        <w:rPr>
          <w:bCs/>
          <w:color w:val="000000" w:themeColor="text1"/>
        </w:rPr>
        <w:t xml:space="preserve">[ p ], </w:t>
      </w:r>
      <w:r w:rsidR="00BF4D78" w:rsidRPr="00A52AB8">
        <w:rPr>
          <w:bCs/>
          <w:color w:val="000000" w:themeColor="text1"/>
        </w:rPr>
        <w:t>and epdu_2d_size_x_minus1</w:t>
      </w:r>
      <w:r w:rsidR="00F03B62" w:rsidRPr="00A52AB8">
        <w:t>[ </w:t>
      </w:r>
      <w:r w:rsidR="00F03B62" w:rsidRPr="00A52AB8">
        <w:rPr>
          <w:lang w:eastAsia="ja-JP"/>
        </w:rPr>
        <w:t>tileID ]</w:t>
      </w:r>
      <w:r w:rsidR="00BF4D78" w:rsidRPr="00A52AB8">
        <w:rPr>
          <w:bCs/>
          <w:color w:val="000000" w:themeColor="text1"/>
        </w:rPr>
        <w:t>[ p ]</w:t>
      </w:r>
      <w:r w:rsidR="00BF4D78" w:rsidRPr="00A52AB8">
        <w:rPr>
          <w:lang w:eastAsia="ja-JP"/>
        </w:rPr>
        <w:t xml:space="preserve"> </w:t>
      </w:r>
      <w:r w:rsidR="005036E4" w:rsidRPr="00A52AB8">
        <w:rPr>
          <w:lang w:eastAsia="ja-JP"/>
        </w:rPr>
        <w:t xml:space="preserve">of </w:t>
      </w:r>
      <w:r w:rsidR="00AF0563" w:rsidRPr="00A52AB8">
        <w:rPr>
          <w:lang w:eastAsia="ja-JP"/>
        </w:rPr>
        <w:t xml:space="preserve">a </w:t>
      </w:r>
      <w:r w:rsidR="005036E4" w:rsidRPr="00A52AB8">
        <w:rPr>
          <w:lang w:eastAsia="ja-JP"/>
        </w:rPr>
        <w:t xml:space="preserve">patch </w:t>
      </w:r>
      <w:r w:rsidR="00AF0563" w:rsidRPr="00A52AB8">
        <w:rPr>
          <w:lang w:eastAsia="ja-JP"/>
        </w:rPr>
        <w:t xml:space="preserve">with index </w:t>
      </w:r>
      <w:r w:rsidR="005036E4" w:rsidRPr="00A52AB8">
        <w:rPr>
          <w:lang w:eastAsia="ja-JP"/>
        </w:rPr>
        <w:t>p</w:t>
      </w:r>
      <w:r w:rsidR="00F03B62" w:rsidRPr="00A52AB8">
        <w:rPr>
          <w:lang w:eastAsia="ja-JP"/>
        </w:rPr>
        <w:t xml:space="preserve"> in a tile with tile ID equal to tileID</w:t>
      </w:r>
      <w:r w:rsidR="005036E4" w:rsidRPr="00A52AB8">
        <w:rPr>
          <w:lang w:eastAsia="ja-JP"/>
        </w:rPr>
        <w:t xml:space="preserve">. If </w:t>
      </w:r>
      <w:r w:rsidRPr="00A52AB8">
        <w:rPr>
          <w:color w:val="000000" w:themeColor="text1"/>
        </w:rPr>
        <w:t>ath_</w:t>
      </w:r>
      <w:r w:rsidR="005036E4" w:rsidRPr="00A52AB8">
        <w:rPr>
          <w:color w:val="000000" w:themeColor="text1"/>
        </w:rPr>
        <w:t>patch_size_x_info_quantizer</w:t>
      </w:r>
      <w:r w:rsidR="005036E4" w:rsidRPr="00A52AB8">
        <w:rPr>
          <w:lang w:eastAsia="ja-JP"/>
        </w:rPr>
        <w:t xml:space="preserve"> is not present, its value shall be inferred to be equal to </w:t>
      </w:r>
      <w:r w:rsidR="005036E4" w:rsidRPr="00A52AB8">
        <w:rPr>
          <w:bCs/>
        </w:rPr>
        <w:t>asps_log2_patch_packing_block_size</w:t>
      </w:r>
      <w:r w:rsidR="005036E4" w:rsidRPr="00A52AB8">
        <w:rPr>
          <w:lang w:eastAsia="ja-JP"/>
        </w:rPr>
        <w:t xml:space="preserve">. The value of </w:t>
      </w:r>
      <w:r w:rsidR="005036E4" w:rsidRPr="00A52AB8">
        <w:rPr>
          <w:color w:val="000000" w:themeColor="text1"/>
        </w:rPr>
        <w:t>PatchSizeXQuantizer is computed as follows:</w:t>
      </w:r>
    </w:p>
    <w:p w14:paraId="71DABCDA" w14:textId="0209827D" w:rsidR="005036E4" w:rsidRPr="00A52AB8" w:rsidRDefault="005036E4" w:rsidP="00A252B5">
      <w:r w:rsidRPr="00A52AB8">
        <w:tab/>
        <w:t>PatchSizeXQuantizer</w:t>
      </w:r>
      <w:r w:rsidR="00D47707" w:rsidRPr="00A52AB8">
        <w:t> = </w:t>
      </w:r>
      <w:r w:rsidRPr="00A52AB8">
        <w:t>1</w:t>
      </w:r>
      <w:r w:rsidR="00CD7EDE" w:rsidRPr="00A52AB8">
        <w:t> </w:t>
      </w:r>
      <w:r w:rsidRPr="00A52AB8">
        <w:t>&lt;&lt;</w:t>
      </w:r>
      <w:r w:rsidR="00CD7EDE" w:rsidRPr="00A52AB8">
        <w:t> </w:t>
      </w:r>
      <w:r w:rsidR="00A62CD5" w:rsidRPr="00A52AB8">
        <w:t>ath_</w:t>
      </w:r>
      <w:r w:rsidRPr="00A52AB8">
        <w:t>patch_size_x_info_quantizer</w:t>
      </w:r>
      <w:r w:rsidRPr="00A52AB8">
        <w:tab/>
        <w:t>(</w:t>
      </w:r>
      <w:r w:rsidRPr="00496A4D">
        <w:fldChar w:fldCharType="begin"/>
      </w:r>
      <w:r w:rsidRPr="00A52AB8">
        <w:instrText xml:space="preserve"> </w:instrText>
      </w:r>
      <w:r w:rsidR="00646520" w:rsidRPr="00A52AB8">
        <w:instrText>SEQ Equation \* ARABIC \n</w:instrText>
      </w:r>
      <w:r w:rsidRPr="00A52AB8">
        <w:instrText xml:space="preserve"> </w:instrText>
      </w:r>
      <w:r w:rsidRPr="00496A4D">
        <w:fldChar w:fldCharType="separate"/>
      </w:r>
      <w:r w:rsidR="00507A67">
        <w:rPr>
          <w:noProof/>
        </w:rPr>
        <w:t>23</w:t>
      </w:r>
      <w:r w:rsidRPr="00496A4D">
        <w:fldChar w:fldCharType="end"/>
      </w:r>
      <w:r w:rsidRPr="00A52AB8">
        <w:t>)</w:t>
      </w:r>
    </w:p>
    <w:p w14:paraId="6F8BE38A" w14:textId="77777777" w:rsidR="00C80224" w:rsidRPr="00A52AB8" w:rsidRDefault="00C80224">
      <w:pPr>
        <w:rPr>
          <w:color w:val="000000" w:themeColor="text1"/>
        </w:rPr>
      </w:pPr>
      <w:r w:rsidRPr="00A52AB8">
        <w:rPr>
          <w:rStyle w:val="fontstyle01"/>
          <w:rFonts w:ascii="Cambria" w:hAnsi="Cambria"/>
          <w:color w:val="000000" w:themeColor="text1"/>
          <w:sz w:val="22"/>
          <w:szCs w:val="22"/>
        </w:rPr>
        <w:t xml:space="preserve">The value of </w:t>
      </w:r>
      <w:r w:rsidR="00A62CD5" w:rsidRPr="00A52AB8">
        <w:rPr>
          <w:color w:val="000000" w:themeColor="text1"/>
        </w:rPr>
        <w:t>ath_</w:t>
      </w:r>
      <w:r w:rsidRPr="00A52AB8">
        <w:rPr>
          <w:color w:val="000000" w:themeColor="text1"/>
        </w:rPr>
        <w:t>patch_size_x_info_quantizer</w:t>
      </w:r>
      <w:r w:rsidRPr="00A52AB8">
        <w:rPr>
          <w:lang w:eastAsia="ja-JP"/>
        </w:rPr>
        <w:t xml:space="preserve"> </w:t>
      </w:r>
      <w:r w:rsidRPr="00A52AB8">
        <w:rPr>
          <w:rStyle w:val="fontstyle01"/>
          <w:rFonts w:ascii="Cambria" w:hAnsi="Cambria"/>
          <w:color w:val="000000" w:themeColor="text1"/>
          <w:sz w:val="22"/>
          <w:szCs w:val="22"/>
        </w:rPr>
        <w:t xml:space="preserve">shall be in the range of 0 to </w:t>
      </w:r>
      <w:r w:rsidRPr="00A52AB8">
        <w:rPr>
          <w:bCs/>
        </w:rPr>
        <w:t>asps_log2_patch_packing_block_size</w:t>
      </w:r>
      <w:r w:rsidRPr="00A52AB8">
        <w:rPr>
          <w:rStyle w:val="fontstyle01"/>
          <w:rFonts w:ascii="Cambria" w:hAnsi="Cambria"/>
          <w:color w:val="000000" w:themeColor="text1"/>
          <w:sz w:val="22"/>
          <w:szCs w:val="22"/>
        </w:rPr>
        <w:t>, inclusive.</w:t>
      </w:r>
    </w:p>
    <w:p w14:paraId="64A51825" w14:textId="76E7EA44" w:rsidR="005036E4" w:rsidRPr="00A52AB8" w:rsidRDefault="00A62CD5">
      <w:pPr>
        <w:rPr>
          <w:color w:val="000000" w:themeColor="text1"/>
        </w:rPr>
      </w:pPr>
      <w:r w:rsidRPr="00A52AB8">
        <w:rPr>
          <w:b/>
          <w:bCs/>
          <w:color w:val="000000" w:themeColor="text1"/>
        </w:rPr>
        <w:t>ath_</w:t>
      </w:r>
      <w:r w:rsidR="005036E4" w:rsidRPr="00A52AB8">
        <w:rPr>
          <w:b/>
          <w:bCs/>
          <w:color w:val="000000" w:themeColor="text1"/>
        </w:rPr>
        <w:t>patch_size_y_info_quantizer</w:t>
      </w:r>
      <w:r w:rsidR="005036E4" w:rsidRPr="00A52AB8">
        <w:rPr>
          <w:lang w:eastAsia="ja-JP"/>
        </w:rPr>
        <w:t xml:space="preserve"> </w:t>
      </w:r>
      <w:r w:rsidR="005036E4" w:rsidRPr="00A52AB8">
        <w:rPr>
          <w:color w:val="000000" w:themeColor="text1"/>
        </w:rPr>
        <w:t>specifies the value of the quantizer PatchSizeYQuantizer</w:t>
      </w:r>
      <w:r w:rsidR="005036E4" w:rsidRPr="00A52AB8">
        <w:rPr>
          <w:lang w:eastAsia="ja-JP"/>
        </w:rPr>
        <w:t xml:space="preserve"> that is to be applied to the </w:t>
      </w:r>
      <w:r w:rsidR="00F03B62" w:rsidRPr="00A52AB8">
        <w:rPr>
          <w:lang w:eastAsia="ja-JP"/>
        </w:rPr>
        <w:t xml:space="preserve">syntax elements </w:t>
      </w:r>
      <w:r w:rsidR="00BF4D78" w:rsidRPr="00A52AB8">
        <w:rPr>
          <w:bCs/>
          <w:color w:val="000000" w:themeColor="text1"/>
        </w:rPr>
        <w:t>pdu_2d_size_y_minus1</w:t>
      </w:r>
      <w:r w:rsidR="00F03B62" w:rsidRPr="00A52AB8">
        <w:t>[ </w:t>
      </w:r>
      <w:r w:rsidR="00F03B62" w:rsidRPr="00A52AB8">
        <w:rPr>
          <w:lang w:eastAsia="ja-JP"/>
        </w:rPr>
        <w:t>tileID ]</w:t>
      </w:r>
      <w:r w:rsidR="00BF4D78" w:rsidRPr="00A52AB8">
        <w:rPr>
          <w:bCs/>
          <w:color w:val="000000" w:themeColor="text1"/>
        </w:rPr>
        <w:t>[ p ], mpdu_2d_delta_size_y</w:t>
      </w:r>
      <w:r w:rsidR="00F03B62" w:rsidRPr="00A52AB8">
        <w:t>[ </w:t>
      </w:r>
      <w:r w:rsidR="00F03B62" w:rsidRPr="00A52AB8">
        <w:rPr>
          <w:lang w:eastAsia="ja-JP"/>
        </w:rPr>
        <w:t>tileID ]</w:t>
      </w:r>
      <w:r w:rsidR="00BF4D78" w:rsidRPr="00A52AB8">
        <w:rPr>
          <w:bCs/>
          <w:color w:val="000000" w:themeColor="text1"/>
        </w:rPr>
        <w:t xml:space="preserve">[ p ], </w:t>
      </w:r>
      <w:r w:rsidR="00BF4D78" w:rsidRPr="00A52AB8">
        <w:rPr>
          <w:lang w:eastAsia="ja-JP"/>
        </w:rPr>
        <w:t>i</w:t>
      </w:r>
      <w:r w:rsidR="00BF4D78" w:rsidRPr="00A52AB8">
        <w:rPr>
          <w:bCs/>
          <w:color w:val="000000" w:themeColor="text1"/>
        </w:rPr>
        <w:t>pdu_2d_delta_size_y</w:t>
      </w:r>
      <w:r w:rsidR="00F03B62" w:rsidRPr="00A52AB8">
        <w:t>[ </w:t>
      </w:r>
      <w:r w:rsidR="00F03B62" w:rsidRPr="00A52AB8">
        <w:rPr>
          <w:lang w:eastAsia="ja-JP"/>
        </w:rPr>
        <w:t>tileID ]</w:t>
      </w:r>
      <w:r w:rsidR="00BF4D78" w:rsidRPr="00A52AB8">
        <w:rPr>
          <w:bCs/>
          <w:color w:val="000000" w:themeColor="text1"/>
        </w:rPr>
        <w:t>[ p ], rpdu_2d_size_y_minus1</w:t>
      </w:r>
      <w:r w:rsidR="00F03B62" w:rsidRPr="00A52AB8">
        <w:t>[ </w:t>
      </w:r>
      <w:r w:rsidR="00F03B62" w:rsidRPr="00A52AB8">
        <w:rPr>
          <w:lang w:eastAsia="ja-JP"/>
        </w:rPr>
        <w:t>tileID ]</w:t>
      </w:r>
      <w:r w:rsidR="00BF4D78" w:rsidRPr="00A52AB8">
        <w:rPr>
          <w:bCs/>
          <w:color w:val="000000" w:themeColor="text1"/>
        </w:rPr>
        <w:t>[ p ], and epdu_2d_size_y_minus1</w:t>
      </w:r>
      <w:r w:rsidR="00F03B62" w:rsidRPr="00A52AB8">
        <w:t>[ </w:t>
      </w:r>
      <w:r w:rsidR="00F03B62" w:rsidRPr="00A52AB8">
        <w:rPr>
          <w:lang w:eastAsia="ja-JP"/>
        </w:rPr>
        <w:t>tileID ]</w:t>
      </w:r>
      <w:r w:rsidR="00BF4D78" w:rsidRPr="00A52AB8">
        <w:rPr>
          <w:bCs/>
          <w:color w:val="000000" w:themeColor="text1"/>
        </w:rPr>
        <w:t>[ p ]</w:t>
      </w:r>
      <w:r w:rsidR="00BF4D78" w:rsidRPr="00A52AB8">
        <w:rPr>
          <w:lang w:eastAsia="ja-JP"/>
        </w:rPr>
        <w:t xml:space="preserve"> of a patch with index p</w:t>
      </w:r>
      <w:r w:rsidR="00F03B62" w:rsidRPr="00A52AB8">
        <w:rPr>
          <w:lang w:eastAsia="ja-JP"/>
        </w:rPr>
        <w:t xml:space="preserve"> in a tile with tile ID equal to tileID</w:t>
      </w:r>
      <w:r w:rsidR="005036E4" w:rsidRPr="00A52AB8">
        <w:rPr>
          <w:lang w:eastAsia="ja-JP"/>
        </w:rPr>
        <w:t xml:space="preserve">. If </w:t>
      </w:r>
      <w:r w:rsidRPr="00A52AB8">
        <w:rPr>
          <w:color w:val="000000" w:themeColor="text1"/>
        </w:rPr>
        <w:t>ath_</w:t>
      </w:r>
      <w:r w:rsidR="005036E4" w:rsidRPr="00A52AB8">
        <w:rPr>
          <w:color w:val="000000" w:themeColor="text1"/>
        </w:rPr>
        <w:t>patch_size_y_info_quantizer</w:t>
      </w:r>
      <w:r w:rsidR="005036E4" w:rsidRPr="00A52AB8">
        <w:rPr>
          <w:lang w:eastAsia="ja-JP"/>
        </w:rPr>
        <w:t xml:space="preserve"> is not present, its value shall be inferred to be equal to </w:t>
      </w:r>
      <w:r w:rsidR="005036E4" w:rsidRPr="00A52AB8">
        <w:rPr>
          <w:bCs/>
        </w:rPr>
        <w:t>asps_log2_patch_packing_block_size</w:t>
      </w:r>
      <w:r w:rsidR="005036E4" w:rsidRPr="00A52AB8">
        <w:rPr>
          <w:lang w:eastAsia="ja-JP"/>
        </w:rPr>
        <w:t xml:space="preserve">. The value of </w:t>
      </w:r>
      <w:r w:rsidR="005036E4" w:rsidRPr="00A52AB8">
        <w:rPr>
          <w:color w:val="000000" w:themeColor="text1"/>
        </w:rPr>
        <w:t>PatchSizeYQuantizer is computed as follows:</w:t>
      </w:r>
    </w:p>
    <w:p w14:paraId="2C9C3CC0" w14:textId="59DACB51" w:rsidR="005036E4" w:rsidRPr="00A52AB8" w:rsidRDefault="005036E4" w:rsidP="00A252B5">
      <w:r w:rsidRPr="00A52AB8">
        <w:tab/>
        <w:t>PatchSizeYQuantizer</w:t>
      </w:r>
      <w:r w:rsidR="00D47707" w:rsidRPr="00A52AB8">
        <w:t> = </w:t>
      </w:r>
      <w:r w:rsidRPr="00A52AB8">
        <w:t>1</w:t>
      </w:r>
      <w:r w:rsidR="00CD7EDE" w:rsidRPr="00A52AB8">
        <w:t> </w:t>
      </w:r>
      <w:r w:rsidRPr="00A52AB8">
        <w:t>&lt;&lt;</w:t>
      </w:r>
      <w:r w:rsidR="00766CC9" w:rsidRPr="00A52AB8">
        <w:t> </w:t>
      </w:r>
      <w:r w:rsidR="00A62CD5" w:rsidRPr="00A52AB8">
        <w:t>ath_</w:t>
      </w:r>
      <w:r w:rsidRPr="00A52AB8">
        <w:t>patch_size_y_info_quantizer</w:t>
      </w:r>
      <w:r w:rsidRPr="00A52AB8">
        <w:tab/>
        <w:t>(</w:t>
      </w:r>
      <w:r w:rsidRPr="00496A4D">
        <w:fldChar w:fldCharType="begin"/>
      </w:r>
      <w:r w:rsidRPr="00A52AB8">
        <w:instrText xml:space="preserve"> </w:instrText>
      </w:r>
      <w:r w:rsidR="00646520" w:rsidRPr="00A52AB8">
        <w:instrText>SEQ Equation \* ARABIC \n</w:instrText>
      </w:r>
      <w:r w:rsidRPr="00A52AB8">
        <w:instrText xml:space="preserve"> </w:instrText>
      </w:r>
      <w:r w:rsidRPr="00496A4D">
        <w:fldChar w:fldCharType="separate"/>
      </w:r>
      <w:r w:rsidR="00507A67">
        <w:rPr>
          <w:noProof/>
        </w:rPr>
        <w:t>24</w:t>
      </w:r>
      <w:r w:rsidRPr="00496A4D">
        <w:fldChar w:fldCharType="end"/>
      </w:r>
      <w:r w:rsidRPr="00A52AB8">
        <w:t>)</w:t>
      </w:r>
    </w:p>
    <w:p w14:paraId="00D36E84" w14:textId="77777777" w:rsidR="00C80224" w:rsidRPr="00A52AB8" w:rsidRDefault="00C80224">
      <w:pPr>
        <w:rPr>
          <w:color w:val="000000" w:themeColor="text1"/>
        </w:rPr>
      </w:pPr>
      <w:r w:rsidRPr="00A52AB8">
        <w:rPr>
          <w:rStyle w:val="fontstyle01"/>
          <w:rFonts w:ascii="Cambria" w:hAnsi="Cambria"/>
          <w:color w:val="000000" w:themeColor="text1"/>
          <w:sz w:val="22"/>
          <w:szCs w:val="22"/>
        </w:rPr>
        <w:t xml:space="preserve">The value of </w:t>
      </w:r>
      <w:r w:rsidR="00A62CD5" w:rsidRPr="00A52AB8">
        <w:rPr>
          <w:color w:val="000000" w:themeColor="text1"/>
        </w:rPr>
        <w:t>ath_</w:t>
      </w:r>
      <w:r w:rsidRPr="00A52AB8">
        <w:rPr>
          <w:color w:val="000000" w:themeColor="text1"/>
        </w:rPr>
        <w:t>patch_size_y_info_quantizer</w:t>
      </w:r>
      <w:r w:rsidRPr="00A52AB8">
        <w:rPr>
          <w:lang w:eastAsia="ja-JP"/>
        </w:rPr>
        <w:t xml:space="preserve"> </w:t>
      </w:r>
      <w:r w:rsidRPr="00A52AB8">
        <w:rPr>
          <w:rStyle w:val="fontstyle01"/>
          <w:rFonts w:ascii="Cambria" w:hAnsi="Cambria"/>
          <w:color w:val="000000" w:themeColor="text1"/>
          <w:sz w:val="22"/>
          <w:szCs w:val="22"/>
        </w:rPr>
        <w:t xml:space="preserve">shall be in the range of 0 to </w:t>
      </w:r>
      <w:r w:rsidRPr="00A52AB8">
        <w:rPr>
          <w:bCs/>
        </w:rPr>
        <w:t>asps_log2_patch_packing_block_size</w:t>
      </w:r>
      <w:r w:rsidRPr="00A52AB8">
        <w:rPr>
          <w:rStyle w:val="fontstyle01"/>
          <w:rFonts w:ascii="Cambria" w:hAnsi="Cambria"/>
          <w:color w:val="000000" w:themeColor="text1"/>
          <w:sz w:val="22"/>
          <w:szCs w:val="22"/>
        </w:rPr>
        <w:t>, inclusive.</w:t>
      </w:r>
    </w:p>
    <w:p w14:paraId="4A436C7C" w14:textId="607F6356" w:rsidR="004755C3" w:rsidRPr="00A52AB8" w:rsidRDefault="00A62CD5">
      <w:pPr>
        <w:rPr>
          <w:color w:val="000000" w:themeColor="text1"/>
        </w:rPr>
      </w:pPr>
      <w:r w:rsidRPr="00A52AB8">
        <w:rPr>
          <w:b/>
        </w:rPr>
        <w:t>ath_</w:t>
      </w:r>
      <w:r w:rsidR="007039BF" w:rsidRPr="00A52AB8">
        <w:rPr>
          <w:b/>
        </w:rPr>
        <w:t>raw_</w:t>
      </w:r>
      <w:r w:rsidR="00F22D81" w:rsidRPr="00A52AB8">
        <w:rPr>
          <w:b/>
        </w:rPr>
        <w:t>3d_offset_</w:t>
      </w:r>
      <w:r w:rsidR="007039BF" w:rsidRPr="00A52AB8">
        <w:rPr>
          <w:b/>
        </w:rPr>
        <w:t>axis_bit_count</w:t>
      </w:r>
      <w:r w:rsidR="00E26A9A" w:rsidRPr="00A52AB8">
        <w:rPr>
          <w:b/>
        </w:rPr>
        <w:t>_minus1</w:t>
      </w:r>
      <w:r w:rsidR="00E26A9A" w:rsidRPr="00A52AB8">
        <w:rPr>
          <w:color w:val="000000" w:themeColor="text1"/>
        </w:rPr>
        <w:t xml:space="preserve"> plus 1 specifies </w:t>
      </w:r>
      <w:r w:rsidR="00C27CBA" w:rsidRPr="00A52AB8">
        <w:rPr>
          <w:color w:val="000000" w:themeColor="text1"/>
        </w:rPr>
        <w:t xml:space="preserve">the number of bits in the fixed-length representation of </w:t>
      </w:r>
      <w:r w:rsidR="00F03B62" w:rsidRPr="00A52AB8">
        <w:rPr>
          <w:color w:val="000000" w:themeColor="text1"/>
        </w:rPr>
        <w:t xml:space="preserve">the syntax elements </w:t>
      </w:r>
      <w:r w:rsidR="00C27CBA" w:rsidRPr="00A52AB8">
        <w:rPr>
          <w:color w:val="000000" w:themeColor="text1"/>
        </w:rPr>
        <w:t>r</w:t>
      </w:r>
      <w:r w:rsidR="007356C4" w:rsidRPr="00A52AB8">
        <w:rPr>
          <w:color w:val="000000" w:themeColor="text1"/>
        </w:rPr>
        <w:t>pdu_3d_offset_u</w:t>
      </w:r>
      <w:r w:rsidR="00F03B62" w:rsidRPr="00A52AB8">
        <w:t>[ </w:t>
      </w:r>
      <w:r w:rsidR="00F03B62" w:rsidRPr="00A52AB8">
        <w:rPr>
          <w:lang w:eastAsia="ja-JP"/>
        </w:rPr>
        <w:t>tileID ]</w:t>
      </w:r>
      <w:r w:rsidR="00F03B62" w:rsidRPr="00A52AB8">
        <w:rPr>
          <w:bCs/>
          <w:color w:val="000000" w:themeColor="text1"/>
        </w:rPr>
        <w:t>[ p ]</w:t>
      </w:r>
      <w:r w:rsidR="00C27CBA" w:rsidRPr="00A52AB8">
        <w:rPr>
          <w:color w:val="000000" w:themeColor="text1"/>
        </w:rPr>
        <w:t>, r</w:t>
      </w:r>
      <w:r w:rsidR="007356C4" w:rsidRPr="00A52AB8">
        <w:rPr>
          <w:color w:val="000000" w:themeColor="text1"/>
        </w:rPr>
        <w:t>pdu_3d_offset_v</w:t>
      </w:r>
      <w:r w:rsidR="00F03B62" w:rsidRPr="00A52AB8">
        <w:t>[ </w:t>
      </w:r>
      <w:r w:rsidR="00F03B62" w:rsidRPr="00A52AB8">
        <w:rPr>
          <w:lang w:eastAsia="ja-JP"/>
        </w:rPr>
        <w:t>tileID ]</w:t>
      </w:r>
      <w:r w:rsidR="00F03B62" w:rsidRPr="00A52AB8">
        <w:rPr>
          <w:bCs/>
          <w:color w:val="000000" w:themeColor="text1"/>
        </w:rPr>
        <w:t>[ p ]</w:t>
      </w:r>
      <w:r w:rsidR="00C27CBA" w:rsidRPr="00A52AB8">
        <w:rPr>
          <w:color w:val="000000" w:themeColor="text1"/>
        </w:rPr>
        <w:t>, and r</w:t>
      </w:r>
      <w:r w:rsidR="007356C4" w:rsidRPr="00A52AB8">
        <w:rPr>
          <w:color w:val="000000" w:themeColor="text1"/>
        </w:rPr>
        <w:t>pdu_3d_offset_d</w:t>
      </w:r>
      <w:r w:rsidR="00F03B62" w:rsidRPr="00A52AB8">
        <w:t>[ </w:t>
      </w:r>
      <w:r w:rsidR="00F03B62" w:rsidRPr="00A52AB8">
        <w:rPr>
          <w:lang w:eastAsia="ja-JP"/>
        </w:rPr>
        <w:t>tileID ]</w:t>
      </w:r>
      <w:r w:rsidR="00F03B62" w:rsidRPr="00A52AB8">
        <w:rPr>
          <w:bCs/>
          <w:color w:val="000000" w:themeColor="text1"/>
        </w:rPr>
        <w:t>[ p ]</w:t>
      </w:r>
      <w:r w:rsidR="00F03B62" w:rsidRPr="00A52AB8">
        <w:rPr>
          <w:lang w:eastAsia="ja-JP"/>
        </w:rPr>
        <w:t xml:space="preserve"> of a patch with index p in a tile with tile ID equal to tileID</w:t>
      </w:r>
      <w:r w:rsidR="00C27CBA" w:rsidRPr="00A52AB8">
        <w:rPr>
          <w:color w:val="000000" w:themeColor="text1"/>
        </w:rPr>
        <w:t xml:space="preserve">. </w:t>
      </w:r>
      <w:r w:rsidR="00F03B62" w:rsidRPr="00A52AB8">
        <w:rPr>
          <w:color w:val="000000" w:themeColor="text1"/>
        </w:rPr>
        <w:t>When present, t</w:t>
      </w:r>
      <w:r w:rsidR="00C27CBA" w:rsidRPr="00A52AB8">
        <w:rPr>
          <w:color w:val="000000" w:themeColor="text1"/>
        </w:rPr>
        <w:t xml:space="preserve">he </w:t>
      </w:r>
      <w:r w:rsidR="00B91FFE" w:rsidRPr="00A52AB8">
        <w:rPr>
          <w:color w:val="000000" w:themeColor="text1"/>
        </w:rPr>
        <w:t>length of the syntax element</w:t>
      </w:r>
      <w:r w:rsidR="00C27CBA" w:rsidRPr="00A52AB8">
        <w:rPr>
          <w:color w:val="000000" w:themeColor="text1"/>
        </w:rPr>
        <w:t xml:space="preserve"> used to represent </w:t>
      </w:r>
      <w:r w:rsidRPr="00A52AB8">
        <w:t>ath_</w:t>
      </w:r>
      <w:r w:rsidR="00C27CBA" w:rsidRPr="00A52AB8">
        <w:t>raw_</w:t>
      </w:r>
      <w:r w:rsidR="00F22D81" w:rsidRPr="00A52AB8">
        <w:t>3d_offset_</w:t>
      </w:r>
      <w:r w:rsidR="00C27CBA" w:rsidRPr="00A52AB8">
        <w:t>axis_bit_count_minus1</w:t>
      </w:r>
      <w:r w:rsidR="00C27CBA" w:rsidRPr="00A52AB8">
        <w:rPr>
          <w:color w:val="000000" w:themeColor="text1"/>
        </w:rPr>
        <w:t xml:space="preserve"> is</w:t>
      </w:r>
      <w:r w:rsidR="00F03B62" w:rsidRPr="00A52AB8">
        <w:rPr>
          <w:color w:val="000000" w:themeColor="text1"/>
        </w:rPr>
        <w:t xml:space="preserve"> equal to</w:t>
      </w:r>
      <w:r w:rsidR="00C27CBA" w:rsidRPr="00A52AB8">
        <w:rPr>
          <w:color w:val="000000" w:themeColor="text1"/>
        </w:rPr>
        <w:t xml:space="preserve"> Floor( Log2( </w:t>
      </w:r>
      <w:r w:rsidR="00F806AA" w:rsidRPr="00A52AB8">
        <w:rPr>
          <w:color w:val="000000" w:themeColor="text1"/>
        </w:rPr>
        <w:t>asps_geometry_3d_bit</w:t>
      </w:r>
      <w:r w:rsidR="00C514C6" w:rsidRPr="00A52AB8">
        <w:rPr>
          <w:color w:val="000000" w:themeColor="text1"/>
        </w:rPr>
        <w:t>_</w:t>
      </w:r>
      <w:r w:rsidR="00F806AA" w:rsidRPr="00A52AB8">
        <w:rPr>
          <w:color w:val="000000" w:themeColor="text1"/>
        </w:rPr>
        <w:t>depth_minus1</w:t>
      </w:r>
      <w:r w:rsidR="007356C4" w:rsidRPr="00A52AB8">
        <w:rPr>
          <w:color w:val="000000" w:themeColor="text1"/>
        </w:rPr>
        <w:t> + 1 ) ).</w:t>
      </w:r>
    </w:p>
    <w:p w14:paraId="487190EC" w14:textId="39EF065F" w:rsidR="00E26A9A" w:rsidRPr="00A52AB8" w:rsidRDefault="002E5343">
      <w:pPr>
        <w:rPr>
          <w:color w:val="000000" w:themeColor="text1"/>
        </w:rPr>
      </w:pPr>
      <w:r w:rsidRPr="00A52AB8">
        <w:rPr>
          <w:color w:val="000000" w:themeColor="text1"/>
        </w:rPr>
        <w:t xml:space="preserve">When </w:t>
      </w:r>
      <w:r w:rsidR="00A62CD5" w:rsidRPr="00A52AB8">
        <w:t>ath_</w:t>
      </w:r>
      <w:r w:rsidR="00C27CBA" w:rsidRPr="00A52AB8">
        <w:t>raw_</w:t>
      </w:r>
      <w:r w:rsidR="00F22D81" w:rsidRPr="00A52AB8">
        <w:t>3d_offset_</w:t>
      </w:r>
      <w:r w:rsidR="00C27CBA" w:rsidRPr="00A52AB8">
        <w:t xml:space="preserve">axis_bit_count_minus1 is </w:t>
      </w:r>
      <w:r w:rsidR="00C27CBA" w:rsidRPr="00A52AB8">
        <w:rPr>
          <w:color w:val="000000" w:themeColor="text1"/>
        </w:rPr>
        <w:t xml:space="preserve">not present, </w:t>
      </w:r>
      <w:r w:rsidRPr="00A52AB8">
        <w:t>its value shall be inferred to be</w:t>
      </w:r>
      <w:r w:rsidR="00F03B62" w:rsidRPr="00A52AB8">
        <w:rPr>
          <w:color w:val="000000" w:themeColor="text1"/>
        </w:rPr>
        <w:t xml:space="preserve"> equal to</w:t>
      </w:r>
      <w:r w:rsidR="007356C4" w:rsidRPr="00A52AB8">
        <w:rPr>
          <w:color w:val="000000" w:themeColor="text1"/>
        </w:rPr>
        <w:br/>
      </w:r>
      <w:r w:rsidR="00C27CBA" w:rsidRPr="00A52AB8">
        <w:rPr>
          <w:rStyle w:val="fontstyle01"/>
          <w:rFonts w:ascii="Cambria" w:hAnsi="Cambria"/>
          <w:color w:val="000000" w:themeColor="text1"/>
          <w:sz w:val="22"/>
          <w:szCs w:val="22"/>
        </w:rPr>
        <w:t>Max( 0, </w:t>
      </w:r>
      <w:r w:rsidR="00F806AA" w:rsidRPr="00A52AB8">
        <w:rPr>
          <w:rStyle w:val="fontstyle01"/>
          <w:rFonts w:ascii="Cambria" w:hAnsi="Cambria"/>
          <w:color w:val="000000" w:themeColor="text1"/>
          <w:sz w:val="22"/>
          <w:szCs w:val="22"/>
        </w:rPr>
        <w:t>asps_geometry_3d_bit</w:t>
      </w:r>
      <w:r w:rsidR="00C514C6" w:rsidRPr="00A52AB8">
        <w:rPr>
          <w:rStyle w:val="fontstyle01"/>
          <w:rFonts w:ascii="Cambria" w:hAnsi="Cambria"/>
          <w:color w:val="000000" w:themeColor="text1"/>
          <w:sz w:val="22"/>
          <w:szCs w:val="22"/>
        </w:rPr>
        <w:t>_</w:t>
      </w:r>
      <w:r w:rsidR="00F806AA" w:rsidRPr="00A52AB8">
        <w:rPr>
          <w:rStyle w:val="fontstyle01"/>
          <w:rFonts w:ascii="Cambria" w:hAnsi="Cambria"/>
          <w:color w:val="000000" w:themeColor="text1"/>
          <w:sz w:val="22"/>
          <w:szCs w:val="22"/>
        </w:rPr>
        <w:t>depth_minus1</w:t>
      </w:r>
      <w:r w:rsidR="007356C4" w:rsidRPr="00A52AB8">
        <w:rPr>
          <w:rStyle w:val="fontstyle01"/>
          <w:rFonts w:ascii="Cambria" w:hAnsi="Cambria"/>
          <w:color w:val="000000" w:themeColor="text1"/>
          <w:sz w:val="22"/>
          <w:szCs w:val="22"/>
        </w:rPr>
        <w:t> </w:t>
      </w:r>
      <w:r w:rsidR="00C27CBA" w:rsidRPr="00A52AB8">
        <w:rPr>
          <w:color w:val="000000" w:themeColor="text1"/>
        </w:rPr>
        <w:t>− </w:t>
      </w:r>
      <w:r w:rsidR="00F806AA" w:rsidRPr="00A52AB8">
        <w:rPr>
          <w:color w:val="000000" w:themeColor="text1"/>
        </w:rPr>
        <w:t>asps_geometry_2d_bit</w:t>
      </w:r>
      <w:r w:rsidR="00C514C6" w:rsidRPr="00A52AB8">
        <w:rPr>
          <w:color w:val="000000" w:themeColor="text1"/>
        </w:rPr>
        <w:t>_</w:t>
      </w:r>
      <w:r w:rsidR="00F806AA" w:rsidRPr="00A52AB8">
        <w:rPr>
          <w:color w:val="000000" w:themeColor="text1"/>
        </w:rPr>
        <w:t>depth_minus1</w:t>
      </w:r>
      <w:r w:rsidR="00C27CBA" w:rsidRPr="00A52AB8">
        <w:rPr>
          <w:color w:val="000000" w:themeColor="text1"/>
        </w:rPr>
        <w:t> ) − 1.</w:t>
      </w:r>
    </w:p>
    <w:p w14:paraId="21D43C7C" w14:textId="5A9E5283" w:rsidR="00B91FFE" w:rsidRPr="00A52AB8" w:rsidRDefault="00B91FFE">
      <w:pPr>
        <w:rPr>
          <w:color w:val="000000" w:themeColor="text1"/>
        </w:rPr>
      </w:pPr>
      <w:r w:rsidRPr="00A52AB8">
        <w:rPr>
          <w:color w:val="000000" w:themeColor="text1"/>
        </w:rPr>
        <w:t>A variable RawShift is defined as follows:</w:t>
      </w:r>
    </w:p>
    <w:p w14:paraId="5F9A36B3" w14:textId="6FDD1CB4" w:rsidR="0050235C" w:rsidRPr="00A52AB8" w:rsidRDefault="00D52926" w:rsidP="00B91FFE">
      <w:pPr>
        <w:rPr>
          <w:lang w:eastAsia="ja-JP"/>
        </w:rPr>
      </w:pPr>
      <w:r w:rsidRPr="00A52AB8">
        <w:rPr>
          <w:lang w:eastAsia="ja-JP"/>
        </w:rPr>
        <w:tab/>
      </w:r>
      <w:r w:rsidR="00B91FFE" w:rsidRPr="00A52AB8">
        <w:rPr>
          <w:lang w:eastAsia="ja-JP"/>
        </w:rPr>
        <w:t>If afps_raw_3d_offset_bit_count_explicit_mode_flag is equal to 1,</w:t>
      </w:r>
    </w:p>
    <w:p w14:paraId="39354CF7" w14:textId="513DAC94" w:rsidR="00B91FFE" w:rsidRPr="00A52AB8" w:rsidRDefault="00B91FFE" w:rsidP="00B91FFE">
      <w:pPr>
        <w:rPr>
          <w:lang w:eastAsia="ja-JP"/>
        </w:rPr>
      </w:pPr>
      <w:r w:rsidRPr="00A52AB8">
        <w:rPr>
          <w:lang w:eastAsia="ja-JP"/>
        </w:rPr>
        <w:tab/>
      </w:r>
      <w:r w:rsidR="00D52926" w:rsidRPr="00A52AB8">
        <w:rPr>
          <w:lang w:eastAsia="ja-JP"/>
        </w:rPr>
        <w:tab/>
      </w:r>
      <w:r w:rsidRPr="00A52AB8">
        <w:rPr>
          <w:color w:val="000000" w:themeColor="text1"/>
        </w:rPr>
        <w:t>RawShift</w:t>
      </w:r>
      <w:r w:rsidR="00D47707" w:rsidRPr="00A52AB8">
        <w:rPr>
          <w:lang w:eastAsia="ja-JP"/>
        </w:rPr>
        <w:t> = </w:t>
      </w:r>
      <w:r w:rsidR="00D52926" w:rsidRPr="00A52AB8">
        <w:rPr>
          <w:lang w:eastAsia="ja-JP"/>
        </w:rPr>
        <w:br/>
      </w:r>
      <w:r w:rsidR="00D52926" w:rsidRPr="00A52AB8">
        <w:rPr>
          <w:lang w:eastAsia="ja-JP"/>
        </w:rPr>
        <w:tab/>
      </w:r>
      <w:r w:rsidR="00D52926" w:rsidRPr="00A52AB8">
        <w:rPr>
          <w:lang w:eastAsia="ja-JP"/>
        </w:rPr>
        <w:tab/>
      </w:r>
      <w:r w:rsidR="00D52926" w:rsidRPr="00A52AB8">
        <w:rPr>
          <w:lang w:eastAsia="ja-JP"/>
        </w:rPr>
        <w:tab/>
      </w:r>
      <w:r w:rsidRPr="00A52AB8">
        <w:rPr>
          <w:lang w:eastAsia="ja-JP"/>
        </w:rPr>
        <w:t>asps_geometry_3d_bit_depth_minus1 − ath_raw_3d_offset_axis_bit_count_minus1</w:t>
      </w:r>
      <w:r w:rsidRPr="00A52AB8">
        <w:rPr>
          <w:lang w:eastAsia="ja-JP"/>
        </w:rPr>
        <w:tab/>
        <w:t>(</w:t>
      </w:r>
      <w:r w:rsidRPr="00496A4D">
        <w:fldChar w:fldCharType="begin"/>
      </w:r>
      <w:r w:rsidRPr="00A52AB8">
        <w:instrText xml:space="preserve"> SEQ Equation \* ARABIC \n </w:instrText>
      </w:r>
      <w:r w:rsidRPr="00496A4D">
        <w:fldChar w:fldCharType="separate"/>
      </w:r>
      <w:r w:rsidR="00507A67">
        <w:rPr>
          <w:noProof/>
        </w:rPr>
        <w:t>25</w:t>
      </w:r>
      <w:r w:rsidRPr="00496A4D">
        <w:fldChar w:fldCharType="end"/>
      </w:r>
      <w:r w:rsidRPr="00A52AB8">
        <w:rPr>
          <w:lang w:eastAsia="ja-JP"/>
        </w:rPr>
        <w:t>)</w:t>
      </w:r>
    </w:p>
    <w:p w14:paraId="4CD67F30" w14:textId="6E4F321F" w:rsidR="00B91FFE" w:rsidRPr="00A52AB8" w:rsidRDefault="00D52926" w:rsidP="00B91FFE">
      <w:pPr>
        <w:rPr>
          <w:lang w:eastAsia="ja-JP"/>
        </w:rPr>
      </w:pPr>
      <w:r w:rsidRPr="00A52AB8">
        <w:rPr>
          <w:lang w:eastAsia="ja-JP"/>
        </w:rPr>
        <w:tab/>
      </w:r>
      <w:r w:rsidR="00B91FFE" w:rsidRPr="00A52AB8">
        <w:rPr>
          <w:lang w:eastAsia="ja-JP"/>
        </w:rPr>
        <w:t>Otherwise</w:t>
      </w:r>
    </w:p>
    <w:p w14:paraId="5BDA3E03" w14:textId="4720C39A" w:rsidR="00B91FFE" w:rsidRPr="00A52AB8" w:rsidRDefault="00B91FFE" w:rsidP="00B91FFE">
      <w:pPr>
        <w:rPr>
          <w:lang w:eastAsia="ja-JP"/>
        </w:rPr>
      </w:pPr>
      <w:r w:rsidRPr="00A52AB8">
        <w:rPr>
          <w:lang w:eastAsia="ja-JP"/>
        </w:rPr>
        <w:tab/>
      </w:r>
      <w:r w:rsidR="00D52926" w:rsidRPr="00A52AB8">
        <w:rPr>
          <w:lang w:eastAsia="ja-JP"/>
        </w:rPr>
        <w:tab/>
      </w:r>
      <w:r w:rsidRPr="00A52AB8">
        <w:rPr>
          <w:color w:val="000000" w:themeColor="text1"/>
        </w:rPr>
        <w:t>RawShift</w:t>
      </w:r>
      <w:r w:rsidR="00D47707" w:rsidRPr="00A52AB8">
        <w:rPr>
          <w:lang w:eastAsia="ja-JP"/>
        </w:rPr>
        <w:t> = </w:t>
      </w:r>
      <w:r w:rsidRPr="00A52AB8">
        <w:rPr>
          <w:lang w:eastAsia="ja-JP"/>
        </w:rPr>
        <w:t>asps_geometry_2d_bit_depth_minus1 + 1</w:t>
      </w:r>
      <w:r w:rsidRPr="00A52AB8">
        <w:rPr>
          <w:lang w:eastAsia="ja-JP"/>
        </w:rPr>
        <w:tab/>
        <w:t>(</w:t>
      </w:r>
      <w:r w:rsidRPr="00496A4D">
        <w:fldChar w:fldCharType="begin"/>
      </w:r>
      <w:r w:rsidRPr="00A52AB8">
        <w:instrText xml:space="preserve"> SEQ Equation \* ARABIC \n </w:instrText>
      </w:r>
      <w:r w:rsidRPr="00496A4D">
        <w:fldChar w:fldCharType="separate"/>
      </w:r>
      <w:r w:rsidR="00507A67">
        <w:rPr>
          <w:noProof/>
        </w:rPr>
        <w:t>26</w:t>
      </w:r>
      <w:r w:rsidRPr="00496A4D">
        <w:fldChar w:fldCharType="end"/>
      </w:r>
      <w:r w:rsidRPr="00A52AB8">
        <w:rPr>
          <w:lang w:eastAsia="ja-JP"/>
        </w:rPr>
        <w:t>)</w:t>
      </w:r>
    </w:p>
    <w:p w14:paraId="4B64EE6B" w14:textId="77777777" w:rsidR="00CE2084" w:rsidRPr="00A52AB8" w:rsidRDefault="00A62CD5">
      <w:r w:rsidRPr="00A52AB8">
        <w:rPr>
          <w:b/>
          <w:lang w:eastAsia="ja-JP"/>
        </w:rPr>
        <w:t>ath_</w:t>
      </w:r>
      <w:r w:rsidR="007B49D2" w:rsidRPr="00A52AB8">
        <w:rPr>
          <w:b/>
          <w:lang w:eastAsia="ja-JP"/>
        </w:rPr>
        <w:t>num_ref_idx_active_override_flag</w:t>
      </w:r>
      <w:r w:rsidR="007B49D2" w:rsidRPr="00A52AB8">
        <w:t xml:space="preserve"> </w:t>
      </w:r>
      <w:r w:rsidR="00CE2084" w:rsidRPr="00A52AB8">
        <w:t xml:space="preserve">equal to 1 specifies that the syntax element </w:t>
      </w:r>
      <w:r w:rsidRPr="00A52AB8">
        <w:rPr>
          <w:lang w:eastAsia="ja-JP"/>
        </w:rPr>
        <w:t>ath_</w:t>
      </w:r>
      <w:r w:rsidR="007B49D2" w:rsidRPr="00A52AB8">
        <w:rPr>
          <w:lang w:eastAsia="ja-JP"/>
        </w:rPr>
        <w:t>num_ref_idx_active_minus1</w:t>
      </w:r>
      <w:r w:rsidR="007B49D2" w:rsidRPr="00A52AB8">
        <w:t xml:space="preserve"> is</w:t>
      </w:r>
      <w:r w:rsidR="00CE2084" w:rsidRPr="00A52AB8">
        <w:t xml:space="preserve"> present for </w:t>
      </w:r>
      <w:r w:rsidR="008A19BB" w:rsidRPr="00A52AB8">
        <w:t xml:space="preserve">the </w:t>
      </w:r>
      <w:r w:rsidR="00EC6ACC" w:rsidRPr="00A52AB8">
        <w:t xml:space="preserve">current </w:t>
      </w:r>
      <w:r w:rsidR="002A47BD" w:rsidRPr="00A52AB8">
        <w:t xml:space="preserve">atlas </w:t>
      </w:r>
      <w:r w:rsidR="00B8075E" w:rsidRPr="00A52AB8">
        <w:t>tile</w:t>
      </w:r>
      <w:r w:rsidR="00CE2084" w:rsidRPr="00A52AB8">
        <w:t xml:space="preserve">. </w:t>
      </w:r>
      <w:r w:rsidRPr="00A52AB8">
        <w:rPr>
          <w:lang w:eastAsia="ja-JP"/>
        </w:rPr>
        <w:t>ath_</w:t>
      </w:r>
      <w:r w:rsidR="007B49D2" w:rsidRPr="00A52AB8">
        <w:rPr>
          <w:lang w:eastAsia="ja-JP"/>
        </w:rPr>
        <w:t>num_ref_idx_active_override_flag</w:t>
      </w:r>
      <w:r w:rsidR="007B49D2" w:rsidRPr="00A52AB8">
        <w:t xml:space="preserve"> </w:t>
      </w:r>
      <w:r w:rsidR="00CE2084" w:rsidRPr="00A52AB8">
        <w:t xml:space="preserve">equal to 0 specifies that the syntax element </w:t>
      </w:r>
      <w:r w:rsidRPr="00A52AB8">
        <w:rPr>
          <w:lang w:eastAsia="ja-JP"/>
        </w:rPr>
        <w:t>ath_</w:t>
      </w:r>
      <w:r w:rsidR="007B49D2" w:rsidRPr="00A52AB8">
        <w:rPr>
          <w:lang w:eastAsia="ja-JP"/>
        </w:rPr>
        <w:t>num_ref_idx_active_minus1</w:t>
      </w:r>
      <w:r w:rsidR="00CE2084" w:rsidRPr="00A52AB8">
        <w:t xml:space="preserve"> </w:t>
      </w:r>
      <w:r w:rsidR="007B49D2" w:rsidRPr="00A52AB8">
        <w:t>is</w:t>
      </w:r>
      <w:r w:rsidR="00CE2084" w:rsidRPr="00A52AB8">
        <w:t xml:space="preserve"> not present.</w:t>
      </w:r>
      <w:r w:rsidR="008A19BB" w:rsidRPr="00A52AB8">
        <w:t xml:space="preserve"> If </w:t>
      </w:r>
      <w:r w:rsidRPr="00A52AB8">
        <w:rPr>
          <w:lang w:eastAsia="ja-JP"/>
        </w:rPr>
        <w:t>ath_</w:t>
      </w:r>
      <w:r w:rsidR="008A19BB" w:rsidRPr="00A52AB8">
        <w:rPr>
          <w:lang w:eastAsia="ja-JP"/>
        </w:rPr>
        <w:t>num_ref_idx_active_override_flag</w:t>
      </w:r>
      <w:r w:rsidR="008A19BB" w:rsidRPr="00A52AB8">
        <w:rPr>
          <w:bCs/>
          <w:color w:val="000000" w:themeColor="text1"/>
        </w:rPr>
        <w:t xml:space="preserve"> is not present, </w:t>
      </w:r>
      <w:r w:rsidR="00575E9A" w:rsidRPr="00A52AB8">
        <w:rPr>
          <w:bCs/>
          <w:color w:val="000000" w:themeColor="text1"/>
        </w:rPr>
        <w:t>its</w:t>
      </w:r>
      <w:r w:rsidR="008A19BB" w:rsidRPr="00A52AB8">
        <w:rPr>
          <w:bCs/>
          <w:color w:val="000000" w:themeColor="text1"/>
        </w:rPr>
        <w:t xml:space="preserve"> value shall be inferred to be equal to 0.</w:t>
      </w:r>
    </w:p>
    <w:p w14:paraId="7A1B6F09" w14:textId="1F491052" w:rsidR="00CE2084" w:rsidRPr="00A52AB8" w:rsidRDefault="00A62CD5">
      <w:r w:rsidRPr="00A52AB8">
        <w:rPr>
          <w:b/>
          <w:lang w:eastAsia="ja-JP"/>
        </w:rPr>
        <w:t>ath_</w:t>
      </w:r>
      <w:r w:rsidR="007B49D2" w:rsidRPr="00A52AB8">
        <w:rPr>
          <w:b/>
          <w:lang w:eastAsia="ja-JP"/>
        </w:rPr>
        <w:t>num_ref_idx_active_minus1</w:t>
      </w:r>
      <w:r w:rsidR="007B49D2" w:rsidRPr="00A52AB8">
        <w:t xml:space="preserve"> </w:t>
      </w:r>
      <w:r w:rsidR="00CE2084" w:rsidRPr="00A52AB8">
        <w:rPr>
          <w:bCs/>
        </w:rPr>
        <w:t xml:space="preserve">is used for the derivation of </w:t>
      </w:r>
      <w:r w:rsidR="00CE2084" w:rsidRPr="00A52AB8">
        <w:t xml:space="preserve">the variable NumRefIdxActive as specified by Equation </w:t>
      </w:r>
      <w:r w:rsidR="00CE2084" w:rsidRPr="00496A4D">
        <w:fldChar w:fldCharType="begin"/>
      </w:r>
      <w:r w:rsidR="00CE2084" w:rsidRPr="00A52AB8">
        <w:instrText xml:space="preserve"> REF Eqn_NumRefIdxActive \h  \* MERGEFORMAT </w:instrText>
      </w:r>
      <w:r w:rsidR="00CE2084" w:rsidRPr="00496A4D">
        <w:fldChar w:fldCharType="separate"/>
      </w:r>
      <w:r w:rsidR="00507A67">
        <w:t>27</w:t>
      </w:r>
      <w:r w:rsidR="00CE2084" w:rsidRPr="00496A4D">
        <w:fldChar w:fldCharType="end"/>
      </w:r>
      <w:r w:rsidR="008A19BB" w:rsidRPr="00A52AB8">
        <w:t xml:space="preserve"> for the </w:t>
      </w:r>
      <w:r w:rsidR="00EC6ACC" w:rsidRPr="00A52AB8">
        <w:t xml:space="preserve">current </w:t>
      </w:r>
      <w:r w:rsidR="002A47BD" w:rsidRPr="00A52AB8">
        <w:t xml:space="preserve">atlas </w:t>
      </w:r>
      <w:r w:rsidR="00B8075E" w:rsidRPr="00A52AB8">
        <w:t>tile</w:t>
      </w:r>
      <w:r w:rsidR="00CE2084" w:rsidRPr="00A52AB8">
        <w:t xml:space="preserve">. The value of </w:t>
      </w:r>
      <w:r w:rsidRPr="00A52AB8">
        <w:rPr>
          <w:lang w:eastAsia="ja-JP"/>
        </w:rPr>
        <w:t>ath_</w:t>
      </w:r>
      <w:r w:rsidR="007B49D2" w:rsidRPr="00A52AB8">
        <w:rPr>
          <w:lang w:eastAsia="ja-JP"/>
        </w:rPr>
        <w:t>num_ref_idx_active_minus1</w:t>
      </w:r>
      <w:r w:rsidR="007B49D2" w:rsidRPr="00A52AB8">
        <w:t xml:space="preserve"> </w:t>
      </w:r>
      <w:r w:rsidR="00CE2084" w:rsidRPr="00A52AB8">
        <w:t>shall be in the range of 0 to 14, inclusive.</w:t>
      </w:r>
    </w:p>
    <w:p w14:paraId="097FA941" w14:textId="77777777" w:rsidR="00CE2084" w:rsidRPr="00A52AB8" w:rsidRDefault="00CE2084">
      <w:r w:rsidRPr="00A52AB8">
        <w:t xml:space="preserve">When the </w:t>
      </w:r>
      <w:r w:rsidR="00EC6ACC" w:rsidRPr="00A52AB8">
        <w:t xml:space="preserve">current </w:t>
      </w:r>
      <w:r w:rsidR="002A47BD" w:rsidRPr="00A52AB8">
        <w:t xml:space="preserve">atlas </w:t>
      </w:r>
      <w:r w:rsidR="00B8075E" w:rsidRPr="00A52AB8">
        <w:t>tile</w:t>
      </w:r>
      <w:r w:rsidRPr="00A52AB8">
        <w:t xml:space="preserve"> is a P</w:t>
      </w:r>
      <w:r w:rsidR="00890F7A" w:rsidRPr="00A52AB8">
        <w:t>_TILE</w:t>
      </w:r>
      <w:r w:rsidRPr="00A52AB8">
        <w:t xml:space="preserve"> </w:t>
      </w:r>
      <w:r w:rsidR="008F0D00" w:rsidRPr="00A52AB8">
        <w:t xml:space="preserve">atlas </w:t>
      </w:r>
      <w:r w:rsidR="00B8075E" w:rsidRPr="00A52AB8">
        <w:t>tile</w:t>
      </w:r>
      <w:r w:rsidRPr="00A52AB8">
        <w:t xml:space="preserve">, </w:t>
      </w:r>
      <w:r w:rsidR="00A62CD5" w:rsidRPr="00A52AB8">
        <w:rPr>
          <w:lang w:eastAsia="ja-JP"/>
        </w:rPr>
        <w:t>ath_</w:t>
      </w:r>
      <w:r w:rsidR="007B49D2" w:rsidRPr="00A52AB8">
        <w:rPr>
          <w:lang w:eastAsia="ja-JP"/>
        </w:rPr>
        <w:t>num_ref_idx_active_override_flag</w:t>
      </w:r>
      <w:r w:rsidR="007B49D2" w:rsidRPr="00A52AB8">
        <w:t xml:space="preserve"> </w:t>
      </w:r>
      <w:r w:rsidRPr="00A52AB8">
        <w:t xml:space="preserve">is equal to 1, and </w:t>
      </w:r>
      <w:r w:rsidR="00A62CD5" w:rsidRPr="00A52AB8">
        <w:rPr>
          <w:lang w:eastAsia="ja-JP"/>
        </w:rPr>
        <w:t>ath_</w:t>
      </w:r>
      <w:r w:rsidR="007B49D2" w:rsidRPr="00A52AB8">
        <w:rPr>
          <w:lang w:eastAsia="ja-JP"/>
        </w:rPr>
        <w:t>num_ref_idx_active_minus1</w:t>
      </w:r>
      <w:r w:rsidR="007B49D2" w:rsidRPr="00A52AB8">
        <w:t xml:space="preserve"> </w:t>
      </w:r>
      <w:r w:rsidRPr="00A52AB8">
        <w:t xml:space="preserve">is not present, </w:t>
      </w:r>
      <w:r w:rsidR="00A62CD5" w:rsidRPr="00A52AB8">
        <w:rPr>
          <w:lang w:eastAsia="ja-JP"/>
        </w:rPr>
        <w:t>ath_</w:t>
      </w:r>
      <w:r w:rsidR="007B49D2" w:rsidRPr="00A52AB8">
        <w:rPr>
          <w:lang w:eastAsia="ja-JP"/>
        </w:rPr>
        <w:t>num_ref_idx_active_minus1</w:t>
      </w:r>
      <w:r w:rsidR="007B49D2" w:rsidRPr="00A52AB8">
        <w:t xml:space="preserve"> </w:t>
      </w:r>
      <w:r w:rsidRPr="00A52AB8">
        <w:t>is inferred to be equal to 0.</w:t>
      </w:r>
    </w:p>
    <w:p w14:paraId="018CD532" w14:textId="77777777" w:rsidR="00CE2084" w:rsidRPr="00A52AB8" w:rsidRDefault="00CE2084">
      <w:r w:rsidRPr="00A52AB8">
        <w:t>The variable NumRefIdxActive</w:t>
      </w:r>
      <w:r w:rsidRPr="00A52AB8">
        <w:rPr>
          <w:bCs/>
        </w:rPr>
        <w:t xml:space="preserve"> is derived as follows:</w:t>
      </w:r>
    </w:p>
    <w:p w14:paraId="12DB8395" w14:textId="088DAD4D" w:rsidR="00CE2084" w:rsidRPr="00A52AB8" w:rsidRDefault="00FA0CC1">
      <w:r w:rsidRPr="00A52AB8">
        <w:tab/>
      </w:r>
      <w:r w:rsidR="00CE2084" w:rsidRPr="00A52AB8">
        <w:t>if(</w:t>
      </w:r>
      <w:r w:rsidR="00525050" w:rsidRPr="00A52AB8">
        <w:t> </w:t>
      </w:r>
      <w:r w:rsidR="00A62CD5" w:rsidRPr="00A52AB8">
        <w:t>ath_</w:t>
      </w:r>
      <w:r w:rsidR="00CE2084" w:rsidRPr="00A52AB8">
        <w:t>type</w:t>
      </w:r>
      <w:r w:rsidR="008768E9" w:rsidRPr="00A52AB8">
        <w:t> </w:t>
      </w:r>
      <w:r w:rsidR="00726AAE" w:rsidRPr="00A52AB8">
        <w:t>==</w:t>
      </w:r>
      <w:r w:rsidR="00D47707" w:rsidRPr="00A52AB8">
        <w:t> </w:t>
      </w:r>
      <w:r w:rsidR="00CE2084" w:rsidRPr="00A52AB8">
        <w:t>P</w:t>
      </w:r>
      <w:r w:rsidR="00E470E7" w:rsidRPr="00A52AB8">
        <w:t>_TILE</w:t>
      </w:r>
      <w:r w:rsidR="00525050" w:rsidRPr="00A52AB8">
        <w:t> </w:t>
      </w:r>
      <w:r w:rsidR="008768E9" w:rsidRPr="00A52AB8">
        <w:t>||</w:t>
      </w:r>
      <w:r w:rsidR="000B7693" w:rsidRPr="00A52AB8">
        <w:t> </w:t>
      </w:r>
      <w:r w:rsidR="00A62CD5" w:rsidRPr="00A52AB8">
        <w:t>ath_</w:t>
      </w:r>
      <w:r w:rsidR="000B7693" w:rsidRPr="00A52AB8">
        <w:t>type</w:t>
      </w:r>
      <w:r w:rsidR="008768E9" w:rsidRPr="00A52AB8">
        <w:t> </w:t>
      </w:r>
      <w:r w:rsidR="00726AAE" w:rsidRPr="00A52AB8">
        <w:t>==</w:t>
      </w:r>
      <w:r w:rsidR="00D47707" w:rsidRPr="00A52AB8">
        <w:t> </w:t>
      </w:r>
      <w:r w:rsidR="000B7693" w:rsidRPr="00A52AB8">
        <w:t>SKIP</w:t>
      </w:r>
      <w:r w:rsidR="00E470E7" w:rsidRPr="00A52AB8">
        <w:t>_TILE</w:t>
      </w:r>
      <w:r w:rsidR="000B7693" w:rsidRPr="00A52AB8">
        <w:t> </w:t>
      </w:r>
      <w:r w:rsidR="008F1F82" w:rsidRPr="00A52AB8">
        <w:t>) {</w:t>
      </w:r>
      <w:r w:rsidR="00CE2084" w:rsidRPr="00A52AB8">
        <w:br/>
      </w:r>
      <w:r w:rsidR="00CE2084" w:rsidRPr="00A52AB8">
        <w:tab/>
      </w:r>
      <w:r w:rsidRPr="00A52AB8">
        <w:tab/>
      </w:r>
      <w:r w:rsidR="00CE2084" w:rsidRPr="00A52AB8">
        <w:t>if(</w:t>
      </w:r>
      <w:r w:rsidRPr="00A52AB8">
        <w:t> </w:t>
      </w:r>
      <w:r w:rsidR="00A62CD5" w:rsidRPr="00A52AB8">
        <w:t>ath_</w:t>
      </w:r>
      <w:r w:rsidR="007B49D2" w:rsidRPr="00A52AB8">
        <w:t>num_ref_idx_active_override_flag</w:t>
      </w:r>
      <w:r w:rsidR="008768E9" w:rsidRPr="00A52AB8">
        <w:t> </w:t>
      </w:r>
      <w:r w:rsidR="00726AAE" w:rsidRPr="00A52AB8">
        <w:t>==</w:t>
      </w:r>
      <w:r w:rsidR="00D47707" w:rsidRPr="00A52AB8">
        <w:t> </w:t>
      </w:r>
      <w:r w:rsidR="00CE2084" w:rsidRPr="00A52AB8">
        <w:t>1</w:t>
      </w:r>
      <w:r w:rsidRPr="00A52AB8">
        <w:t> </w:t>
      </w:r>
      <w:r w:rsidR="00CE2084" w:rsidRPr="00A52AB8">
        <w:t>)</w:t>
      </w:r>
      <w:r w:rsidR="00CE2084" w:rsidRPr="00A52AB8">
        <w:br/>
      </w:r>
      <w:r w:rsidR="00CE2084" w:rsidRPr="00A52AB8">
        <w:tab/>
      </w:r>
      <w:r w:rsidR="00CE2084" w:rsidRPr="00A52AB8">
        <w:tab/>
      </w:r>
      <w:r w:rsidRPr="00A52AB8">
        <w:tab/>
      </w:r>
      <w:r w:rsidR="00CE2084" w:rsidRPr="00A52AB8">
        <w:t>NumRefIdxActive</w:t>
      </w:r>
      <w:r w:rsidR="00D47707" w:rsidRPr="00A52AB8">
        <w:t> = </w:t>
      </w:r>
      <w:r w:rsidR="00A62CD5" w:rsidRPr="00A52AB8">
        <w:t>ath_</w:t>
      </w:r>
      <w:r w:rsidR="00364633" w:rsidRPr="00A52AB8">
        <w:t>num_ref_idx_active_minus1</w:t>
      </w:r>
      <w:r w:rsidR="00935236" w:rsidRPr="00A52AB8">
        <w:t> + </w:t>
      </w:r>
      <w:r w:rsidR="00CE2084" w:rsidRPr="00A52AB8">
        <w:t>1</w:t>
      </w:r>
      <w:r w:rsidR="00A809E7" w:rsidRPr="00A52AB8">
        <w:tab/>
      </w:r>
      <w:r w:rsidR="00CE2084" w:rsidRPr="00A52AB8">
        <w:t>(</w:t>
      </w:r>
      <w:bookmarkStart w:id="1228" w:name="Eqn_NumRefIdxActive"/>
      <w:r w:rsidR="00CE2084" w:rsidRPr="00496A4D">
        <w:fldChar w:fldCharType="begin"/>
      </w:r>
      <w:r w:rsidR="00CE2084" w:rsidRPr="00A52AB8">
        <w:instrText xml:space="preserve"> </w:instrText>
      </w:r>
      <w:r w:rsidR="00646520" w:rsidRPr="00A52AB8">
        <w:instrText>SEQ Equation \* ARABIC \n</w:instrText>
      </w:r>
      <w:r w:rsidR="00CE2084" w:rsidRPr="00A52AB8">
        <w:instrText xml:space="preserve"> </w:instrText>
      </w:r>
      <w:r w:rsidR="00CE2084" w:rsidRPr="00496A4D">
        <w:fldChar w:fldCharType="separate"/>
      </w:r>
      <w:r w:rsidR="00507A67">
        <w:rPr>
          <w:noProof/>
        </w:rPr>
        <w:t>27</w:t>
      </w:r>
      <w:r w:rsidR="00CE2084" w:rsidRPr="00496A4D">
        <w:fldChar w:fldCharType="end"/>
      </w:r>
      <w:bookmarkEnd w:id="1228"/>
      <w:r w:rsidR="00CE2084" w:rsidRPr="00A52AB8">
        <w:t>)</w:t>
      </w:r>
      <w:r w:rsidR="00CE2084" w:rsidRPr="00A52AB8">
        <w:br/>
      </w:r>
      <w:r w:rsidR="00CE2084" w:rsidRPr="00A52AB8">
        <w:tab/>
      </w:r>
      <w:r w:rsidRPr="00A52AB8">
        <w:tab/>
      </w:r>
      <w:r w:rsidR="00CE2084" w:rsidRPr="00A52AB8">
        <w:t>else</w:t>
      </w:r>
      <w:r w:rsidRPr="00A52AB8">
        <w:t> </w:t>
      </w:r>
      <w:r w:rsidR="00CE2084" w:rsidRPr="00A52AB8">
        <w:t>{</w:t>
      </w:r>
      <w:r w:rsidR="00CE2084" w:rsidRPr="00A52AB8">
        <w:br/>
      </w:r>
      <w:r w:rsidR="00CE2084" w:rsidRPr="00A52AB8">
        <w:tab/>
      </w:r>
      <w:r w:rsidRPr="00A52AB8">
        <w:tab/>
      </w:r>
      <w:r w:rsidR="00CE2084" w:rsidRPr="00A52AB8">
        <w:tab/>
        <w:t>if(</w:t>
      </w:r>
      <w:r w:rsidRPr="00A52AB8">
        <w:t> </w:t>
      </w:r>
      <w:r w:rsidR="00CE2084" w:rsidRPr="00A52AB8">
        <w:t>num_ref_entries[ RlsIdx ]</w:t>
      </w:r>
      <w:r w:rsidRPr="00A52AB8">
        <w:t> </w:t>
      </w:r>
      <w:r w:rsidR="00A234FD" w:rsidRPr="00A52AB8">
        <w:t>&gt;=</w:t>
      </w:r>
      <w:r w:rsidR="00D47707" w:rsidRPr="00A52AB8">
        <w:t> </w:t>
      </w:r>
      <w:r w:rsidR="008F0D00" w:rsidRPr="00A52AB8">
        <w:t>afps_</w:t>
      </w:r>
      <w:r w:rsidR="00195C5E" w:rsidRPr="00A52AB8">
        <w:t>num_ref_idx_default_active_minus1</w:t>
      </w:r>
      <w:r w:rsidR="00A234FD" w:rsidRPr="00A52AB8">
        <w:t> </w:t>
      </w:r>
      <w:r w:rsidR="00CE2084" w:rsidRPr="00A52AB8">
        <w:t>+ 1</w:t>
      </w:r>
      <w:r w:rsidRPr="00A52AB8">
        <w:t> </w:t>
      </w:r>
      <w:r w:rsidR="00CE2084" w:rsidRPr="00A52AB8">
        <w:t>)</w:t>
      </w:r>
      <w:r w:rsidR="00CE2084" w:rsidRPr="00A52AB8">
        <w:br/>
      </w:r>
      <w:r w:rsidR="00CE2084" w:rsidRPr="00A52AB8">
        <w:tab/>
      </w:r>
      <w:r w:rsidRPr="00A52AB8">
        <w:tab/>
      </w:r>
      <w:r w:rsidR="00CE2084" w:rsidRPr="00A52AB8">
        <w:tab/>
      </w:r>
      <w:r w:rsidR="00CE2084" w:rsidRPr="00A52AB8">
        <w:tab/>
        <w:t>NumRefIdxActive</w:t>
      </w:r>
      <w:r w:rsidR="00D47707" w:rsidRPr="00A52AB8">
        <w:t> = </w:t>
      </w:r>
      <w:r w:rsidR="008F0D00" w:rsidRPr="00A52AB8">
        <w:t>afps_</w:t>
      </w:r>
      <w:r w:rsidR="00195C5E" w:rsidRPr="00A52AB8">
        <w:t>num_ref_idx_default_active_minus1</w:t>
      </w:r>
      <w:r w:rsidR="00A234FD" w:rsidRPr="00A52AB8">
        <w:t> </w:t>
      </w:r>
      <w:r w:rsidR="00CE2084" w:rsidRPr="00A52AB8">
        <w:t>+ 1</w:t>
      </w:r>
      <w:r w:rsidR="00CE2084" w:rsidRPr="00A52AB8">
        <w:br/>
      </w:r>
      <w:r w:rsidR="00CE2084" w:rsidRPr="00A52AB8">
        <w:tab/>
      </w:r>
      <w:r w:rsidRPr="00A52AB8">
        <w:tab/>
      </w:r>
      <w:r w:rsidR="00CE2084" w:rsidRPr="00A52AB8">
        <w:tab/>
        <w:t>else</w:t>
      </w:r>
      <w:r w:rsidR="00CE2084" w:rsidRPr="00A52AB8">
        <w:br/>
      </w:r>
      <w:r w:rsidR="00CE2084" w:rsidRPr="00A52AB8">
        <w:tab/>
      </w:r>
      <w:r w:rsidRPr="00A52AB8">
        <w:tab/>
      </w:r>
      <w:r w:rsidR="00CE2084" w:rsidRPr="00A52AB8">
        <w:tab/>
      </w:r>
      <w:r w:rsidR="00CE2084" w:rsidRPr="00A52AB8">
        <w:tab/>
        <w:t>NumRefIdxActive</w:t>
      </w:r>
      <w:r w:rsidR="00D47707" w:rsidRPr="00A52AB8">
        <w:t> = </w:t>
      </w:r>
      <w:r w:rsidR="00CE2084" w:rsidRPr="00A52AB8">
        <w:t>num_ref_entries[ RlsIdx ]</w:t>
      </w:r>
      <w:r w:rsidR="00CE2084" w:rsidRPr="00A52AB8">
        <w:br/>
      </w:r>
      <w:r w:rsidRPr="00A52AB8">
        <w:tab/>
      </w:r>
      <w:r w:rsidR="00CE2084" w:rsidRPr="00A52AB8">
        <w:tab/>
        <w:t>}</w:t>
      </w:r>
      <w:r w:rsidR="00CE2084" w:rsidRPr="00A52AB8">
        <w:br/>
      </w:r>
      <w:r w:rsidRPr="00A52AB8">
        <w:tab/>
      </w:r>
      <w:r w:rsidR="00CE2084" w:rsidRPr="00A52AB8">
        <w:t>}</w:t>
      </w:r>
      <w:r w:rsidR="00C61E38" w:rsidRPr="00A52AB8">
        <w:br/>
      </w:r>
      <w:r w:rsidR="00EA43D2" w:rsidRPr="00A52AB8">
        <w:tab/>
      </w:r>
      <w:r w:rsidR="00CE2084" w:rsidRPr="00A52AB8">
        <w:t xml:space="preserve">else </w:t>
      </w:r>
      <w:r w:rsidR="00CE2084" w:rsidRPr="00A52AB8">
        <w:br/>
      </w:r>
      <w:r w:rsidRPr="00A52AB8">
        <w:tab/>
      </w:r>
      <w:r w:rsidR="00CE2084" w:rsidRPr="00A52AB8">
        <w:tab/>
        <w:t>NumRefIdxActive</w:t>
      </w:r>
      <w:r w:rsidR="00D47707" w:rsidRPr="00A52AB8">
        <w:t> = </w:t>
      </w:r>
      <w:r w:rsidR="00CE2084" w:rsidRPr="00A52AB8">
        <w:t>0</w:t>
      </w:r>
    </w:p>
    <w:p w14:paraId="147305E3" w14:textId="77777777" w:rsidR="0050235C" w:rsidRPr="00A52AB8" w:rsidRDefault="00CE2084">
      <w:r w:rsidRPr="00A52AB8">
        <w:t>NumRefIdxActive</w:t>
      </w:r>
      <w:r w:rsidR="00285DBF" w:rsidRPr="00A52AB8">
        <w:t xml:space="preserve"> minus 1</w:t>
      </w:r>
      <w:r w:rsidRPr="00A52AB8">
        <w:t xml:space="preserve"> specifies </w:t>
      </w:r>
      <w:r w:rsidR="00015B82" w:rsidRPr="00A52AB8">
        <w:t>the maximum value of the atlas reference frame index that may be used to decode the current atlas tile.</w:t>
      </w:r>
    </w:p>
    <w:p w14:paraId="4690AB1E" w14:textId="3A316817" w:rsidR="00454B79" w:rsidRPr="00A52AB8" w:rsidRDefault="00454B79" w:rsidP="005C26E9">
      <w:pPr>
        <w:pStyle w:val="Heading4"/>
      </w:pPr>
      <w:bookmarkStart w:id="1229" w:name="_Ref38315920"/>
      <w:r w:rsidRPr="00A52AB8">
        <w:t>Reference list structure semantics</w:t>
      </w:r>
      <w:bookmarkEnd w:id="1229"/>
    </w:p>
    <w:p w14:paraId="1EDD5104" w14:textId="77777777" w:rsidR="0050235C" w:rsidRPr="00A52AB8" w:rsidRDefault="002B1233">
      <w:pPr>
        <w:rPr>
          <w:bCs/>
        </w:rPr>
      </w:pPr>
      <w:r w:rsidRPr="00A52AB8">
        <w:rPr>
          <w:b/>
        </w:rPr>
        <w:t>num_ref_entries</w:t>
      </w:r>
      <w:r w:rsidRPr="00A52AB8">
        <w:rPr>
          <w:bCs/>
        </w:rPr>
        <w:t>[ </w:t>
      </w:r>
      <w:r w:rsidR="00053B0E" w:rsidRPr="00A52AB8">
        <w:rPr>
          <w:bCs/>
        </w:rPr>
        <w:t>rlsIdx</w:t>
      </w:r>
      <w:r w:rsidRPr="00A52AB8">
        <w:rPr>
          <w:bCs/>
        </w:rPr>
        <w:t xml:space="preserve"> ] specifies the number of entries in the </w:t>
      </w:r>
      <w:r w:rsidRPr="00A52AB8">
        <w:rPr>
          <w:lang w:eastAsia="ko-KR"/>
        </w:rPr>
        <w:t>ref_list_struct( </w:t>
      </w:r>
      <w:r w:rsidR="00053B0E" w:rsidRPr="00A52AB8">
        <w:rPr>
          <w:bCs/>
        </w:rPr>
        <w:t>rlsIdx</w:t>
      </w:r>
      <w:r w:rsidRPr="00A52AB8">
        <w:rPr>
          <w:bCs/>
        </w:rPr>
        <w:t> </w:t>
      </w:r>
      <w:r w:rsidRPr="00A52AB8">
        <w:rPr>
          <w:lang w:eastAsia="ko-KR"/>
        </w:rPr>
        <w:t>)</w:t>
      </w:r>
      <w:r w:rsidRPr="00A52AB8">
        <w:rPr>
          <w:bCs/>
        </w:rPr>
        <w:t xml:space="preserve"> syntax structure</w:t>
      </w:r>
      <w:r w:rsidR="000C7D17" w:rsidRPr="00A52AB8">
        <w:rPr>
          <w:bCs/>
        </w:rPr>
        <w:t>, where rlsIdx is the index of a</w:t>
      </w:r>
      <w:r w:rsidR="00B91D40" w:rsidRPr="00A52AB8">
        <w:rPr>
          <w:bCs/>
        </w:rPr>
        <w:t xml:space="preserve">n atlas frame </w:t>
      </w:r>
      <w:r w:rsidR="000C7D17" w:rsidRPr="00A52AB8">
        <w:rPr>
          <w:bCs/>
        </w:rPr>
        <w:t>reference list</w:t>
      </w:r>
      <w:r w:rsidRPr="00A52AB8">
        <w:rPr>
          <w:bCs/>
        </w:rPr>
        <w:t xml:space="preserve">. </w:t>
      </w:r>
      <w:r w:rsidR="00015B82" w:rsidRPr="00A52AB8">
        <w:rPr>
          <w:bCs/>
        </w:rPr>
        <w:t>For P_TILE and SKIP_TILE, the value of num_ref_entries[</w:t>
      </w:r>
      <w:r w:rsidR="00A41AF4" w:rsidRPr="00A52AB8">
        <w:rPr>
          <w:bCs/>
        </w:rPr>
        <w:t> </w:t>
      </w:r>
      <w:r w:rsidR="00015B82" w:rsidRPr="00A52AB8">
        <w:rPr>
          <w:bCs/>
        </w:rPr>
        <w:t>rlsIdx</w:t>
      </w:r>
      <w:r w:rsidR="00A41AF4" w:rsidRPr="00A52AB8">
        <w:rPr>
          <w:bCs/>
        </w:rPr>
        <w:t> </w:t>
      </w:r>
      <w:r w:rsidR="00015B82" w:rsidRPr="00A52AB8">
        <w:rPr>
          <w:bCs/>
        </w:rPr>
        <w:t>] shall be in the range of 1 to asps_max_dec_atlas_frame_buffering_minus1</w:t>
      </w:r>
      <w:r w:rsidR="006B176A" w:rsidRPr="00A52AB8">
        <w:rPr>
          <w:bCs/>
        </w:rPr>
        <w:t> </w:t>
      </w:r>
      <w:r w:rsidR="00015B82" w:rsidRPr="00A52AB8">
        <w:rPr>
          <w:bCs/>
        </w:rPr>
        <w:t>+</w:t>
      </w:r>
      <w:r w:rsidR="006B176A" w:rsidRPr="00A52AB8">
        <w:rPr>
          <w:bCs/>
        </w:rPr>
        <w:t> </w:t>
      </w:r>
      <w:r w:rsidR="00015B82" w:rsidRPr="00A52AB8">
        <w:rPr>
          <w:bCs/>
        </w:rPr>
        <w:t>1. Otherwise, the value of num_ref_entries[</w:t>
      </w:r>
      <w:r w:rsidR="002625F9" w:rsidRPr="00A52AB8">
        <w:rPr>
          <w:bCs/>
        </w:rPr>
        <w:t> </w:t>
      </w:r>
      <w:r w:rsidR="00015B82" w:rsidRPr="00A52AB8">
        <w:rPr>
          <w:bCs/>
        </w:rPr>
        <w:t>rlsIdx</w:t>
      </w:r>
      <w:r w:rsidR="002625F9" w:rsidRPr="00A52AB8">
        <w:rPr>
          <w:bCs/>
        </w:rPr>
        <w:t> </w:t>
      </w:r>
      <w:r w:rsidR="00015B82" w:rsidRPr="00A52AB8">
        <w:rPr>
          <w:bCs/>
        </w:rPr>
        <w:t>] shall be in the range of 0 to asps_max_dec_atlas_frame_buffering_minus1</w:t>
      </w:r>
      <w:r w:rsidR="00AB48DA" w:rsidRPr="00A52AB8">
        <w:rPr>
          <w:bCs/>
        </w:rPr>
        <w:t> </w:t>
      </w:r>
      <w:r w:rsidR="00015B82" w:rsidRPr="00A52AB8">
        <w:rPr>
          <w:bCs/>
        </w:rPr>
        <w:t>+</w:t>
      </w:r>
      <w:r w:rsidR="00AB48DA" w:rsidRPr="00A52AB8">
        <w:rPr>
          <w:bCs/>
        </w:rPr>
        <w:t> </w:t>
      </w:r>
      <w:r w:rsidR="00015B82" w:rsidRPr="00A52AB8">
        <w:rPr>
          <w:bCs/>
        </w:rPr>
        <w:t>1.</w:t>
      </w:r>
    </w:p>
    <w:p w14:paraId="4F0667AD" w14:textId="1BB58C8A" w:rsidR="002B1233" w:rsidRPr="00A52AB8" w:rsidRDefault="002B1233">
      <w:pPr>
        <w:rPr>
          <w:bCs/>
        </w:rPr>
      </w:pPr>
      <w:r w:rsidRPr="00A52AB8">
        <w:rPr>
          <w:b/>
          <w:bCs/>
        </w:rPr>
        <w:t>st_ref_</w:t>
      </w:r>
      <w:r w:rsidR="00DD23CD" w:rsidRPr="00A52AB8">
        <w:rPr>
          <w:b/>
          <w:bCs/>
        </w:rPr>
        <w:t>atlas_frame</w:t>
      </w:r>
      <w:r w:rsidRPr="00A52AB8">
        <w:rPr>
          <w:b/>
          <w:bCs/>
        </w:rPr>
        <w:t>_flag</w:t>
      </w:r>
      <w:r w:rsidR="00C630EC" w:rsidRPr="00A52AB8">
        <w:rPr>
          <w:bCs/>
        </w:rPr>
        <w:t>[ rlsIdx ]</w:t>
      </w:r>
      <w:r w:rsidR="001F4484" w:rsidRPr="00A52AB8">
        <w:rPr>
          <w:bCs/>
        </w:rPr>
        <w:t>[ i ]</w:t>
      </w:r>
      <w:r w:rsidR="00C630EC" w:rsidRPr="00A52AB8">
        <w:rPr>
          <w:bCs/>
        </w:rPr>
        <w:t xml:space="preserve"> </w:t>
      </w:r>
      <w:r w:rsidRPr="00A52AB8">
        <w:rPr>
          <w:bCs/>
        </w:rPr>
        <w:t xml:space="preserve">equal to 1 specifies that the i-th entry in the </w:t>
      </w:r>
      <w:r w:rsidRPr="00A52AB8">
        <w:rPr>
          <w:lang w:eastAsia="ko-KR"/>
        </w:rPr>
        <w:t>ref_list_struct( </w:t>
      </w:r>
      <w:r w:rsidR="00053B0E" w:rsidRPr="00A52AB8">
        <w:rPr>
          <w:bCs/>
        </w:rPr>
        <w:t>rlsIdx</w:t>
      </w:r>
      <w:r w:rsidR="003E753C" w:rsidRPr="00A52AB8">
        <w:rPr>
          <w:bCs/>
        </w:rPr>
        <w:t> </w:t>
      </w:r>
      <w:r w:rsidRPr="00A52AB8">
        <w:rPr>
          <w:lang w:eastAsia="ko-KR"/>
        </w:rPr>
        <w:t>)</w:t>
      </w:r>
      <w:r w:rsidRPr="00A52AB8">
        <w:rPr>
          <w:bCs/>
        </w:rPr>
        <w:t xml:space="preserve"> syntax structure is a</w:t>
      </w:r>
      <w:r w:rsidR="00053B0E" w:rsidRPr="00A52AB8">
        <w:rPr>
          <w:bCs/>
        </w:rPr>
        <w:t xml:space="preserve"> s</w:t>
      </w:r>
      <w:r w:rsidR="00897E6E" w:rsidRPr="00A52AB8">
        <w:rPr>
          <w:bCs/>
        </w:rPr>
        <w:t>h</w:t>
      </w:r>
      <w:r w:rsidR="00053B0E" w:rsidRPr="00A52AB8">
        <w:rPr>
          <w:bCs/>
        </w:rPr>
        <w:t xml:space="preserve">ort term reference </w:t>
      </w:r>
      <w:r w:rsidR="008F0D00" w:rsidRPr="00A52AB8">
        <w:rPr>
          <w:bCs/>
        </w:rPr>
        <w:t>atlas frame</w:t>
      </w:r>
      <w:r w:rsidRPr="00A52AB8">
        <w:rPr>
          <w:bCs/>
        </w:rPr>
        <w:t xml:space="preserve"> entry. st_ref_</w:t>
      </w:r>
      <w:r w:rsidR="00DD23CD" w:rsidRPr="00A52AB8">
        <w:rPr>
          <w:bCs/>
        </w:rPr>
        <w:t>atlas_frame</w:t>
      </w:r>
      <w:r w:rsidRPr="00A52AB8">
        <w:rPr>
          <w:bCs/>
        </w:rPr>
        <w:t>_flag</w:t>
      </w:r>
      <w:r w:rsidR="00C630EC" w:rsidRPr="00A52AB8">
        <w:rPr>
          <w:bCs/>
        </w:rPr>
        <w:t>[ rlsIdx ]</w:t>
      </w:r>
      <w:r w:rsidR="001F4484" w:rsidRPr="00A52AB8">
        <w:rPr>
          <w:bCs/>
        </w:rPr>
        <w:t>[ i ]</w:t>
      </w:r>
      <w:r w:rsidR="00C630EC" w:rsidRPr="00A52AB8">
        <w:rPr>
          <w:bCs/>
        </w:rPr>
        <w:t xml:space="preserve"> </w:t>
      </w:r>
      <w:r w:rsidRPr="00A52AB8">
        <w:rPr>
          <w:bCs/>
        </w:rPr>
        <w:t xml:space="preserve">equal to 0 specifies that the i-th entry in the </w:t>
      </w:r>
      <w:r w:rsidRPr="00A52AB8">
        <w:rPr>
          <w:lang w:eastAsia="ko-KR"/>
        </w:rPr>
        <w:t>ref_list_struct( rlsIdx</w:t>
      </w:r>
      <w:r w:rsidRPr="00A52AB8">
        <w:rPr>
          <w:bCs/>
        </w:rPr>
        <w:t> </w:t>
      </w:r>
      <w:r w:rsidRPr="00A52AB8">
        <w:rPr>
          <w:lang w:eastAsia="ko-KR"/>
        </w:rPr>
        <w:t>)</w:t>
      </w:r>
      <w:r w:rsidRPr="00A52AB8">
        <w:rPr>
          <w:bCs/>
        </w:rPr>
        <w:t xml:space="preserve"> syntax structure is a </w:t>
      </w:r>
      <w:r w:rsidR="00897E6E" w:rsidRPr="00A52AB8">
        <w:rPr>
          <w:bCs/>
        </w:rPr>
        <w:t xml:space="preserve">long term reference </w:t>
      </w:r>
      <w:r w:rsidR="008F0D00" w:rsidRPr="00A52AB8">
        <w:rPr>
          <w:bCs/>
        </w:rPr>
        <w:t>atlas frame</w:t>
      </w:r>
      <w:r w:rsidR="00897E6E" w:rsidRPr="00A52AB8">
        <w:rPr>
          <w:bCs/>
        </w:rPr>
        <w:t xml:space="preserve"> </w:t>
      </w:r>
      <w:r w:rsidRPr="00A52AB8">
        <w:rPr>
          <w:bCs/>
        </w:rPr>
        <w:t>entry. When not present, the value of st_ref_</w:t>
      </w:r>
      <w:r w:rsidR="00DD23CD" w:rsidRPr="00A52AB8">
        <w:rPr>
          <w:bCs/>
        </w:rPr>
        <w:t>atlas_frame</w:t>
      </w:r>
      <w:r w:rsidRPr="00A52AB8">
        <w:rPr>
          <w:bCs/>
        </w:rPr>
        <w:t>_flag</w:t>
      </w:r>
      <w:r w:rsidR="00C630EC" w:rsidRPr="00A52AB8">
        <w:rPr>
          <w:bCs/>
        </w:rPr>
        <w:t>[ rlsIdx ]</w:t>
      </w:r>
      <w:r w:rsidR="001F4484" w:rsidRPr="00A52AB8">
        <w:rPr>
          <w:bCs/>
        </w:rPr>
        <w:t>[ i ]</w:t>
      </w:r>
      <w:r w:rsidR="00C630EC" w:rsidRPr="00A52AB8">
        <w:rPr>
          <w:bCs/>
        </w:rPr>
        <w:t xml:space="preserve"> </w:t>
      </w:r>
      <w:r w:rsidRPr="00A52AB8">
        <w:rPr>
          <w:bCs/>
        </w:rPr>
        <w:t>is inferred to be equal to 1.</w:t>
      </w:r>
    </w:p>
    <w:p w14:paraId="43C425B3" w14:textId="77777777" w:rsidR="00897E6E" w:rsidRPr="00A52AB8" w:rsidRDefault="002B1233">
      <w:pPr>
        <w:rPr>
          <w:bCs/>
        </w:rPr>
      </w:pPr>
      <w:r w:rsidRPr="00A52AB8">
        <w:rPr>
          <w:bCs/>
        </w:rPr>
        <w:t>The variable NumLtr</w:t>
      </w:r>
      <w:r w:rsidR="00EB723C" w:rsidRPr="00A52AB8">
        <w:rPr>
          <w:bCs/>
        </w:rPr>
        <w:t>AtlasFrm</w:t>
      </w:r>
      <w:r w:rsidRPr="00A52AB8">
        <w:rPr>
          <w:bCs/>
        </w:rPr>
        <w:t>Entries[ rlsIdx ] is derived as follows:</w:t>
      </w:r>
    </w:p>
    <w:p w14:paraId="56E7134D" w14:textId="7602B8B1" w:rsidR="002B1233" w:rsidRPr="00A52AB8" w:rsidRDefault="00897E6E">
      <w:pPr>
        <w:ind w:left="403"/>
      </w:pPr>
      <w:r w:rsidRPr="00A52AB8">
        <w:t>NumLtr</w:t>
      </w:r>
      <w:r w:rsidR="005B06C6" w:rsidRPr="00A52AB8">
        <w:t>AtlasFrm</w:t>
      </w:r>
      <w:r w:rsidRPr="00A52AB8">
        <w:t>Entries[ rlsIdx </w:t>
      </w:r>
      <w:r w:rsidR="00935236" w:rsidRPr="00A52AB8">
        <w:t>]</w:t>
      </w:r>
      <w:r w:rsidR="00D47707" w:rsidRPr="00A52AB8">
        <w:t> = </w:t>
      </w:r>
      <w:r w:rsidRPr="00A52AB8">
        <w:t>0</w:t>
      </w:r>
      <w:r w:rsidRPr="00A52AB8">
        <w:br/>
      </w:r>
      <w:r w:rsidR="002B1233" w:rsidRPr="00A52AB8">
        <w:t>for(</w:t>
      </w:r>
      <w:r w:rsidRPr="00A52AB8">
        <w:t> </w:t>
      </w:r>
      <w:r w:rsidR="002B1233" w:rsidRPr="00A52AB8">
        <w:t>i</w:t>
      </w:r>
      <w:r w:rsidR="00D47707" w:rsidRPr="00A52AB8">
        <w:t> = </w:t>
      </w:r>
      <w:r w:rsidR="002B1233" w:rsidRPr="00A52AB8">
        <w:t>0;</w:t>
      </w:r>
      <w:r w:rsidRPr="00A52AB8">
        <w:t> </w:t>
      </w:r>
      <w:r w:rsidR="002B1233" w:rsidRPr="00A52AB8">
        <w:t>i</w:t>
      </w:r>
      <w:r w:rsidRPr="00A52AB8">
        <w:t> </w:t>
      </w:r>
      <w:r w:rsidR="002B1233" w:rsidRPr="00A52AB8">
        <w:t>&lt;</w:t>
      </w:r>
      <w:r w:rsidRPr="00A52AB8">
        <w:t> </w:t>
      </w:r>
      <w:r w:rsidR="002B1233" w:rsidRPr="00A52AB8">
        <w:t>num_ref_entries[ rlsIdx ];</w:t>
      </w:r>
      <w:r w:rsidRPr="00A52AB8">
        <w:t> </w:t>
      </w:r>
      <w:r w:rsidR="002B1233" w:rsidRPr="00A52AB8">
        <w:t>i</w:t>
      </w:r>
      <w:r w:rsidR="00006CCF" w:rsidRPr="00A52AB8">
        <w:t>++ )</w:t>
      </w:r>
      <w:r w:rsidR="002B1233" w:rsidRPr="00A52AB8">
        <w:br/>
      </w:r>
      <w:r w:rsidR="002B1233" w:rsidRPr="00A52AB8">
        <w:tab/>
        <w:t>if(</w:t>
      </w:r>
      <w:r w:rsidR="00423FAD" w:rsidRPr="00A52AB8">
        <w:t> </w:t>
      </w:r>
      <w:r w:rsidR="002B1233" w:rsidRPr="00A52AB8">
        <w:t>!st_ref_</w:t>
      </w:r>
      <w:r w:rsidR="00DD23CD" w:rsidRPr="00A52AB8">
        <w:t>atlas_frame</w:t>
      </w:r>
      <w:r w:rsidR="002B1233" w:rsidRPr="00A52AB8">
        <w:t>_flag</w:t>
      </w:r>
      <w:r w:rsidR="00C630EC" w:rsidRPr="00A52AB8">
        <w:t>[ rlsIdx ]</w:t>
      </w:r>
      <w:r w:rsidR="001F4484" w:rsidRPr="00A52AB8">
        <w:t>[ i ]</w:t>
      </w:r>
      <w:r w:rsidR="00573B96" w:rsidRPr="00A52AB8">
        <w:t> </w:t>
      </w:r>
      <w:r w:rsidR="002B1233" w:rsidRPr="00A52AB8">
        <w:t>)</w:t>
      </w:r>
      <w:r w:rsidRPr="00A52AB8">
        <w:tab/>
      </w:r>
      <w:r w:rsidR="002B1233" w:rsidRPr="00A52AB8">
        <w:t>(</w:t>
      </w:r>
      <w:r w:rsidR="002B1233" w:rsidRPr="00496A4D">
        <w:fldChar w:fldCharType="begin"/>
      </w:r>
      <w:r w:rsidR="002B1233" w:rsidRPr="00A52AB8">
        <w:instrText xml:space="preserve"> </w:instrText>
      </w:r>
      <w:r w:rsidR="00646520" w:rsidRPr="00A52AB8">
        <w:instrText>SEQ Equation \* ARABIC \n</w:instrText>
      </w:r>
      <w:r w:rsidR="002B1233" w:rsidRPr="00A52AB8">
        <w:instrText xml:space="preserve"> </w:instrText>
      </w:r>
      <w:r w:rsidR="002B1233" w:rsidRPr="00496A4D">
        <w:fldChar w:fldCharType="separate"/>
      </w:r>
      <w:r w:rsidR="00507A67">
        <w:rPr>
          <w:noProof/>
        </w:rPr>
        <w:t>28</w:t>
      </w:r>
      <w:r w:rsidR="002B1233" w:rsidRPr="00496A4D">
        <w:fldChar w:fldCharType="end"/>
      </w:r>
      <w:r w:rsidR="002B1233" w:rsidRPr="00A52AB8">
        <w:t>)</w:t>
      </w:r>
      <w:r w:rsidR="002B1233" w:rsidRPr="00A52AB8">
        <w:br/>
      </w:r>
      <w:r w:rsidR="002B1233" w:rsidRPr="00A52AB8">
        <w:tab/>
      </w:r>
      <w:r w:rsidR="002B1233" w:rsidRPr="00A52AB8">
        <w:tab/>
      </w:r>
      <w:r w:rsidR="00D8719D" w:rsidRPr="00A52AB8">
        <w:t>NumLtr</w:t>
      </w:r>
      <w:r w:rsidR="00EB723C" w:rsidRPr="00A52AB8">
        <w:t>AtlasFrm</w:t>
      </w:r>
      <w:r w:rsidR="00D8719D" w:rsidRPr="00A52AB8">
        <w:t>Entries</w:t>
      </w:r>
      <w:r w:rsidR="002B1233" w:rsidRPr="00A52AB8">
        <w:t>[ rlsIdx ]++</w:t>
      </w:r>
    </w:p>
    <w:p w14:paraId="79DC518D" w14:textId="77777777" w:rsidR="002B1233" w:rsidRPr="00A52AB8" w:rsidRDefault="002B1233">
      <w:pPr>
        <w:rPr>
          <w:bCs/>
        </w:rPr>
      </w:pPr>
      <w:r w:rsidRPr="00A52AB8">
        <w:rPr>
          <w:b/>
        </w:rPr>
        <w:t>abs_delta_</w:t>
      </w:r>
      <w:r w:rsidR="00DD23CD" w:rsidRPr="00A52AB8">
        <w:rPr>
          <w:b/>
        </w:rPr>
        <w:t>afoc</w:t>
      </w:r>
      <w:r w:rsidRPr="00A52AB8">
        <w:rPr>
          <w:b/>
        </w:rPr>
        <w:t>_st</w:t>
      </w:r>
      <w:r w:rsidRPr="00A52AB8">
        <w:rPr>
          <w:bCs/>
        </w:rPr>
        <w:t>[ rlsIdx ]</w:t>
      </w:r>
      <w:r w:rsidR="001F4484" w:rsidRPr="00A52AB8">
        <w:rPr>
          <w:bCs/>
        </w:rPr>
        <w:t>[ i ]</w:t>
      </w:r>
      <w:r w:rsidRPr="00A52AB8">
        <w:rPr>
          <w:bCs/>
        </w:rPr>
        <w:t xml:space="preserve">, when the i-th entry is the first </w:t>
      </w:r>
      <w:r w:rsidR="00897E6E" w:rsidRPr="00A52AB8">
        <w:rPr>
          <w:bCs/>
        </w:rPr>
        <w:t xml:space="preserve">short term reference </w:t>
      </w:r>
      <w:r w:rsidR="008F0D00" w:rsidRPr="00A52AB8">
        <w:rPr>
          <w:bCs/>
        </w:rPr>
        <w:t>atlas frame</w:t>
      </w:r>
      <w:r w:rsidRPr="00A52AB8">
        <w:rPr>
          <w:bCs/>
        </w:rPr>
        <w:t xml:space="preserve"> entry in </w:t>
      </w:r>
      <w:r w:rsidRPr="00A52AB8">
        <w:rPr>
          <w:lang w:eastAsia="ko-KR"/>
        </w:rPr>
        <w:t>ref_list_struct( rlsIdx</w:t>
      </w:r>
      <w:r w:rsidR="003E753C" w:rsidRPr="00A52AB8">
        <w:rPr>
          <w:bCs/>
        </w:rPr>
        <w:t> </w:t>
      </w:r>
      <w:r w:rsidRPr="00A52AB8">
        <w:rPr>
          <w:lang w:eastAsia="ko-KR"/>
        </w:rPr>
        <w:t>)</w:t>
      </w:r>
      <w:r w:rsidRPr="00A52AB8">
        <w:rPr>
          <w:bCs/>
        </w:rPr>
        <w:t xml:space="preserve"> syntax structure, specifies</w:t>
      </w:r>
      <w:r w:rsidRPr="00A52AB8">
        <w:t xml:space="preserve"> the absolute difference between the </w:t>
      </w:r>
      <w:r w:rsidR="008F0D00" w:rsidRPr="00A52AB8">
        <w:t>atlas frame</w:t>
      </w:r>
      <w:r w:rsidRPr="00A52AB8">
        <w:t xml:space="preserve"> order count values of the </w:t>
      </w:r>
      <w:r w:rsidR="00A63EEB" w:rsidRPr="00A52AB8">
        <w:t xml:space="preserve">current </w:t>
      </w:r>
      <w:r w:rsidR="002A47BD" w:rsidRPr="00A52AB8">
        <w:t xml:space="preserve">atlas </w:t>
      </w:r>
      <w:r w:rsidR="00B8075E" w:rsidRPr="00A52AB8">
        <w:t>tile</w:t>
      </w:r>
      <w:r w:rsidRPr="00A52AB8">
        <w:t xml:space="preserve"> and the </w:t>
      </w:r>
      <w:r w:rsidR="008F0D00" w:rsidRPr="00A52AB8">
        <w:t>atlas frame</w:t>
      </w:r>
      <w:r w:rsidRPr="00A52AB8">
        <w:t xml:space="preserve"> referred to by the i-th entry</w:t>
      </w:r>
      <w:r w:rsidRPr="00A52AB8">
        <w:rPr>
          <w:bCs/>
        </w:rPr>
        <w:t xml:space="preserve">, or, when the i-th entry is a </w:t>
      </w:r>
      <w:r w:rsidR="00897E6E" w:rsidRPr="00A52AB8">
        <w:rPr>
          <w:bCs/>
        </w:rPr>
        <w:t xml:space="preserve">short term reference </w:t>
      </w:r>
      <w:r w:rsidR="008F0D00" w:rsidRPr="00A52AB8">
        <w:rPr>
          <w:bCs/>
        </w:rPr>
        <w:t>atlas frame</w:t>
      </w:r>
      <w:r w:rsidR="00897E6E" w:rsidRPr="00A52AB8">
        <w:rPr>
          <w:bCs/>
        </w:rPr>
        <w:t xml:space="preserve"> </w:t>
      </w:r>
      <w:r w:rsidRPr="00A52AB8">
        <w:rPr>
          <w:bCs/>
        </w:rPr>
        <w:t xml:space="preserve">entry but not the first </w:t>
      </w:r>
      <w:r w:rsidR="00897E6E" w:rsidRPr="00A52AB8">
        <w:rPr>
          <w:bCs/>
        </w:rPr>
        <w:t xml:space="preserve">short term reference </w:t>
      </w:r>
      <w:r w:rsidR="008F0D00" w:rsidRPr="00A52AB8">
        <w:rPr>
          <w:bCs/>
        </w:rPr>
        <w:t>atlas frame</w:t>
      </w:r>
      <w:r w:rsidR="00897E6E" w:rsidRPr="00A52AB8">
        <w:rPr>
          <w:bCs/>
        </w:rPr>
        <w:t xml:space="preserve"> entry </w:t>
      </w:r>
      <w:r w:rsidRPr="00A52AB8">
        <w:rPr>
          <w:bCs/>
        </w:rPr>
        <w:t xml:space="preserve">in the </w:t>
      </w:r>
      <w:r w:rsidRPr="00A52AB8">
        <w:rPr>
          <w:lang w:eastAsia="ko-KR"/>
        </w:rPr>
        <w:t>ref_list_struct( rlsIdx</w:t>
      </w:r>
      <w:r w:rsidRPr="00A52AB8">
        <w:rPr>
          <w:bCs/>
        </w:rPr>
        <w:t> </w:t>
      </w:r>
      <w:r w:rsidRPr="00A52AB8">
        <w:rPr>
          <w:lang w:eastAsia="ko-KR"/>
        </w:rPr>
        <w:t>)</w:t>
      </w:r>
      <w:r w:rsidRPr="00A52AB8">
        <w:rPr>
          <w:bCs/>
        </w:rPr>
        <w:t xml:space="preserve"> syntax structure, specifies the absolute difference between the </w:t>
      </w:r>
      <w:r w:rsidR="008F0D00" w:rsidRPr="00A52AB8">
        <w:rPr>
          <w:bCs/>
        </w:rPr>
        <w:t>atlas frame</w:t>
      </w:r>
      <w:r w:rsidRPr="00A52AB8">
        <w:rPr>
          <w:bCs/>
        </w:rPr>
        <w:t xml:space="preserve"> order count values of the </w:t>
      </w:r>
      <w:r w:rsidR="008F0D00" w:rsidRPr="00A52AB8">
        <w:t>atlas frame</w:t>
      </w:r>
      <w:r w:rsidR="00897E6E" w:rsidRPr="00A52AB8">
        <w:t>s</w:t>
      </w:r>
      <w:r w:rsidRPr="00A52AB8">
        <w:t xml:space="preserve"> referred to by the i</w:t>
      </w:r>
      <w:r w:rsidRPr="00A52AB8">
        <w:rPr>
          <w:bCs/>
        </w:rPr>
        <w:t xml:space="preserve">-th entry and by the previous </w:t>
      </w:r>
      <w:r w:rsidR="00897E6E" w:rsidRPr="00A52AB8">
        <w:rPr>
          <w:bCs/>
        </w:rPr>
        <w:t xml:space="preserve">short term reference </w:t>
      </w:r>
      <w:r w:rsidR="008F0D00" w:rsidRPr="00A52AB8">
        <w:rPr>
          <w:bCs/>
        </w:rPr>
        <w:t>atlas frame</w:t>
      </w:r>
      <w:r w:rsidR="00897E6E" w:rsidRPr="00A52AB8">
        <w:rPr>
          <w:bCs/>
        </w:rPr>
        <w:t xml:space="preserve"> entry </w:t>
      </w:r>
      <w:r w:rsidRPr="00A52AB8">
        <w:rPr>
          <w:bCs/>
        </w:rPr>
        <w:t xml:space="preserve">in the </w:t>
      </w:r>
      <w:r w:rsidRPr="00A52AB8">
        <w:rPr>
          <w:lang w:eastAsia="ko-KR"/>
        </w:rPr>
        <w:t>ref_list_struct( </w:t>
      </w:r>
      <w:r w:rsidR="00D37AC4" w:rsidRPr="00A52AB8">
        <w:rPr>
          <w:lang w:eastAsia="ko-KR"/>
        </w:rPr>
        <w:t>rlsIdx</w:t>
      </w:r>
      <w:r w:rsidRPr="00A52AB8">
        <w:rPr>
          <w:bCs/>
        </w:rPr>
        <w:t> </w:t>
      </w:r>
      <w:r w:rsidRPr="00A52AB8">
        <w:rPr>
          <w:lang w:eastAsia="ko-KR"/>
        </w:rPr>
        <w:t>)</w:t>
      </w:r>
      <w:r w:rsidRPr="00A52AB8">
        <w:rPr>
          <w:bCs/>
        </w:rPr>
        <w:t xml:space="preserve"> syntax structure.</w:t>
      </w:r>
    </w:p>
    <w:p w14:paraId="14319399" w14:textId="77777777" w:rsidR="002B1233" w:rsidRPr="00A52AB8" w:rsidRDefault="002B1233">
      <w:pPr>
        <w:rPr>
          <w:bCs/>
        </w:rPr>
      </w:pPr>
      <w:r w:rsidRPr="00A52AB8">
        <w:rPr>
          <w:bCs/>
        </w:rPr>
        <w:t>The value of abs_</w:t>
      </w:r>
      <w:r w:rsidRPr="00A52AB8">
        <w:t>delta_</w:t>
      </w:r>
      <w:r w:rsidR="00DD23CD" w:rsidRPr="00A52AB8">
        <w:t>afoc</w:t>
      </w:r>
      <w:r w:rsidRPr="00A52AB8">
        <w:t>_st</w:t>
      </w:r>
      <w:r w:rsidR="00C630EC" w:rsidRPr="00A52AB8">
        <w:rPr>
          <w:bCs/>
        </w:rPr>
        <w:t>[ rlsIdx ]</w:t>
      </w:r>
      <w:r w:rsidR="001F4484" w:rsidRPr="00A52AB8">
        <w:rPr>
          <w:bCs/>
        </w:rPr>
        <w:t>[ i ]</w:t>
      </w:r>
      <w:r w:rsidR="00C630EC" w:rsidRPr="00A52AB8">
        <w:rPr>
          <w:bCs/>
        </w:rPr>
        <w:t xml:space="preserve"> </w:t>
      </w:r>
      <w:r w:rsidRPr="00A52AB8">
        <w:rPr>
          <w:bCs/>
        </w:rPr>
        <w:t xml:space="preserve">shall be in the range of 0 to </w:t>
      </w:r>
      <w:r w:rsidRPr="00A52AB8">
        <w:t>2</w:t>
      </w:r>
      <w:r w:rsidRPr="00A52AB8">
        <w:rPr>
          <w:vertAlign w:val="superscript"/>
        </w:rPr>
        <w:t>15</w:t>
      </w:r>
      <w:r w:rsidRPr="00A52AB8">
        <w:t> − 1</w:t>
      </w:r>
      <w:r w:rsidRPr="00A52AB8">
        <w:rPr>
          <w:bCs/>
        </w:rPr>
        <w:t>, inclusive.</w:t>
      </w:r>
    </w:p>
    <w:p w14:paraId="4CF81458" w14:textId="63F778EF" w:rsidR="002B1233" w:rsidRPr="00A52AB8" w:rsidRDefault="002B1233">
      <w:r w:rsidRPr="00A52AB8">
        <w:rPr>
          <w:b/>
        </w:rPr>
        <w:t>str</w:t>
      </w:r>
      <w:r w:rsidR="00DE3D1A" w:rsidRPr="00A52AB8">
        <w:rPr>
          <w:b/>
        </w:rPr>
        <w:t>a</w:t>
      </w:r>
      <w:r w:rsidR="00897E6E" w:rsidRPr="00A52AB8">
        <w:rPr>
          <w:b/>
        </w:rPr>
        <w:t>f</w:t>
      </w:r>
      <w:r w:rsidRPr="00A52AB8">
        <w:rPr>
          <w:b/>
        </w:rPr>
        <w:t>_entry_sign_flag</w:t>
      </w:r>
      <w:r w:rsidR="00C630EC" w:rsidRPr="00A52AB8">
        <w:t>[ rlsIdx ]</w:t>
      </w:r>
      <w:r w:rsidR="001F4484" w:rsidRPr="00A52AB8">
        <w:t>[ i ]</w:t>
      </w:r>
      <w:r w:rsidR="00C630EC" w:rsidRPr="00A52AB8">
        <w:t xml:space="preserve"> </w:t>
      </w:r>
      <w:r w:rsidRPr="00A52AB8">
        <w:t xml:space="preserve">equal to 1 specifies that </w:t>
      </w:r>
      <w:r w:rsidR="00F826F5" w:rsidRPr="00A52AB8">
        <w:t xml:space="preserve">the </w:t>
      </w:r>
      <w:r w:rsidRPr="00A52AB8">
        <w:t>i-th entry in the syntax structure ref_list_struct( rlsIdx ) has a value greater than or equal to 0. str</w:t>
      </w:r>
      <w:r w:rsidR="00DE3D1A" w:rsidRPr="00A52AB8">
        <w:t>a</w:t>
      </w:r>
      <w:r w:rsidR="00897E6E" w:rsidRPr="00A52AB8">
        <w:t>f</w:t>
      </w:r>
      <w:r w:rsidRPr="00A52AB8">
        <w:t>_entry_sign_flag</w:t>
      </w:r>
      <w:r w:rsidR="00C630EC" w:rsidRPr="00A52AB8">
        <w:t>[ rlsIdx ]</w:t>
      </w:r>
      <w:r w:rsidR="001F4484" w:rsidRPr="00A52AB8">
        <w:t>[ i ]</w:t>
      </w:r>
      <w:r w:rsidR="00C630EC" w:rsidRPr="00A52AB8">
        <w:t xml:space="preserve"> </w:t>
      </w:r>
      <w:r w:rsidRPr="00A52AB8">
        <w:t>equal to 0 specifies that the i-th entry in the syntax structure ref_list_struct( rlsIdx ) has a value less than 0. When not present, the value of str</w:t>
      </w:r>
      <w:r w:rsidR="00DE3D1A" w:rsidRPr="00A52AB8">
        <w:t>a</w:t>
      </w:r>
      <w:r w:rsidR="00897E6E" w:rsidRPr="00A52AB8">
        <w:t>f</w:t>
      </w:r>
      <w:r w:rsidRPr="00A52AB8">
        <w:t>_entry_sign</w:t>
      </w:r>
      <w:r w:rsidRPr="00A52AB8">
        <w:rPr>
          <w:bCs/>
        </w:rPr>
        <w:t>_flag</w:t>
      </w:r>
      <w:r w:rsidR="00C630EC" w:rsidRPr="00A52AB8">
        <w:rPr>
          <w:bCs/>
        </w:rPr>
        <w:t>[ rlsIdx ]</w:t>
      </w:r>
      <w:r w:rsidR="001F4484" w:rsidRPr="00A52AB8">
        <w:rPr>
          <w:bCs/>
        </w:rPr>
        <w:t>[ i ]</w:t>
      </w:r>
      <w:r w:rsidR="00C630EC" w:rsidRPr="00A52AB8">
        <w:rPr>
          <w:bCs/>
        </w:rPr>
        <w:t xml:space="preserve"> </w:t>
      </w:r>
      <w:r w:rsidRPr="00A52AB8">
        <w:rPr>
          <w:bCs/>
        </w:rPr>
        <w:t>is inferred to be equal to 1.</w:t>
      </w:r>
    </w:p>
    <w:p w14:paraId="643163E9" w14:textId="77777777" w:rsidR="00E8073E" w:rsidRPr="00A52AB8" w:rsidRDefault="002B1233">
      <w:pPr>
        <w:rPr>
          <w:bCs/>
        </w:rPr>
      </w:pPr>
      <w:r w:rsidRPr="00A52AB8">
        <w:rPr>
          <w:bCs/>
        </w:rPr>
        <w:t>The list Delta</w:t>
      </w:r>
      <w:r w:rsidR="00DD23CD" w:rsidRPr="00A52AB8">
        <w:rPr>
          <w:bCs/>
        </w:rPr>
        <w:t>Afoc</w:t>
      </w:r>
      <w:r w:rsidRPr="00A52AB8">
        <w:rPr>
          <w:bCs/>
        </w:rPr>
        <w:t>St</w:t>
      </w:r>
      <w:r w:rsidR="00C630EC" w:rsidRPr="00A52AB8">
        <w:rPr>
          <w:bCs/>
        </w:rPr>
        <w:t>[ rlsIdx ]</w:t>
      </w:r>
      <w:r w:rsidR="001F4484" w:rsidRPr="00A52AB8">
        <w:rPr>
          <w:bCs/>
        </w:rPr>
        <w:t>[ i ]</w:t>
      </w:r>
      <w:r w:rsidR="00C630EC" w:rsidRPr="00A52AB8">
        <w:rPr>
          <w:bCs/>
        </w:rPr>
        <w:t xml:space="preserve"> </w:t>
      </w:r>
      <w:r w:rsidRPr="00A52AB8">
        <w:rPr>
          <w:bCs/>
        </w:rPr>
        <w:t>is derived as follows:</w:t>
      </w:r>
    </w:p>
    <w:p w14:paraId="55D2C9B8" w14:textId="53F393B9" w:rsidR="00811543" w:rsidRPr="00A52AB8" w:rsidRDefault="00811543">
      <w:r w:rsidRPr="00A52AB8">
        <w:tab/>
      </w:r>
      <w:r w:rsidR="002B1233" w:rsidRPr="00A52AB8">
        <w:t>for(</w:t>
      </w:r>
      <w:r w:rsidR="00E8073E" w:rsidRPr="00A52AB8">
        <w:t> </w:t>
      </w:r>
      <w:r w:rsidR="002B1233" w:rsidRPr="00A52AB8">
        <w:t>i</w:t>
      </w:r>
      <w:r w:rsidR="00D47707" w:rsidRPr="00A52AB8">
        <w:t> = </w:t>
      </w:r>
      <w:r w:rsidR="002B1233" w:rsidRPr="00A52AB8">
        <w:t>0;</w:t>
      </w:r>
      <w:r w:rsidR="00E8073E" w:rsidRPr="00A52AB8">
        <w:t> </w:t>
      </w:r>
      <w:r w:rsidR="002B1233" w:rsidRPr="00A52AB8">
        <w:t>i</w:t>
      </w:r>
      <w:r w:rsidR="00E8073E" w:rsidRPr="00A52AB8">
        <w:t> </w:t>
      </w:r>
      <w:r w:rsidR="002B1233" w:rsidRPr="00A52AB8">
        <w:t>&lt;</w:t>
      </w:r>
      <w:r w:rsidR="00E8073E" w:rsidRPr="00A52AB8">
        <w:t> </w:t>
      </w:r>
      <w:r w:rsidR="002B1233" w:rsidRPr="00A52AB8">
        <w:rPr>
          <w:bCs/>
        </w:rPr>
        <w:t>num_ref_entries[ rlsIdx ]</w:t>
      </w:r>
      <w:r w:rsidR="002B1233" w:rsidRPr="00A52AB8">
        <w:t>;</w:t>
      </w:r>
      <w:r w:rsidR="00E8073E" w:rsidRPr="00A52AB8">
        <w:t> </w:t>
      </w:r>
      <w:r w:rsidR="002B1233" w:rsidRPr="00A52AB8">
        <w:t>i</w:t>
      </w:r>
      <w:r w:rsidR="00006CCF" w:rsidRPr="00A52AB8">
        <w:t>++ )</w:t>
      </w:r>
      <w:r w:rsidR="00C61E38" w:rsidRPr="00A52AB8">
        <w:br/>
      </w:r>
      <w:r w:rsidR="002B1233" w:rsidRPr="00A52AB8">
        <w:tab/>
      </w:r>
      <w:r w:rsidRPr="00A52AB8">
        <w:tab/>
      </w:r>
      <w:r w:rsidR="002B1233" w:rsidRPr="00A52AB8">
        <w:t>if(</w:t>
      </w:r>
      <w:r w:rsidR="00696744" w:rsidRPr="00A52AB8">
        <w:t> </w:t>
      </w:r>
      <w:r w:rsidR="002B1233" w:rsidRPr="00A52AB8">
        <w:rPr>
          <w:bCs/>
        </w:rPr>
        <w:t>st_ref_</w:t>
      </w:r>
      <w:r w:rsidR="00DD23CD" w:rsidRPr="00A52AB8">
        <w:rPr>
          <w:bCs/>
        </w:rPr>
        <w:t>atlas_frame</w:t>
      </w:r>
      <w:r w:rsidR="002B1233" w:rsidRPr="00A52AB8">
        <w:rPr>
          <w:bCs/>
        </w:rPr>
        <w:t>_flag</w:t>
      </w:r>
      <w:r w:rsidR="00C630EC" w:rsidRPr="00A52AB8">
        <w:rPr>
          <w:bCs/>
        </w:rPr>
        <w:t>[ rlsIdx ]</w:t>
      </w:r>
      <w:r w:rsidR="001F4484" w:rsidRPr="00A52AB8">
        <w:rPr>
          <w:bCs/>
        </w:rPr>
        <w:t>[ i ]</w:t>
      </w:r>
      <w:r w:rsidR="00696744" w:rsidRPr="00A52AB8">
        <w:rPr>
          <w:bCs/>
        </w:rPr>
        <w:t> </w:t>
      </w:r>
      <w:r w:rsidR="002B1233" w:rsidRPr="00A52AB8">
        <w:t>)</w:t>
      </w:r>
      <w:r w:rsidR="00E8073E" w:rsidRPr="00A52AB8">
        <w:tab/>
      </w:r>
      <w:r w:rsidR="002B1233" w:rsidRPr="00A52AB8">
        <w:br/>
      </w:r>
      <w:r w:rsidR="002B1233" w:rsidRPr="00A52AB8">
        <w:tab/>
      </w:r>
      <w:r w:rsidR="002B1233" w:rsidRPr="00A52AB8">
        <w:tab/>
      </w:r>
      <w:r w:rsidRPr="00A52AB8">
        <w:tab/>
      </w:r>
      <w:r w:rsidR="002B1233" w:rsidRPr="00A52AB8">
        <w:t>Delta</w:t>
      </w:r>
      <w:r w:rsidR="00DD23CD" w:rsidRPr="00A52AB8">
        <w:t>Afoc</w:t>
      </w:r>
      <w:r w:rsidR="002B1233" w:rsidRPr="00A52AB8">
        <w:t>St</w:t>
      </w:r>
      <w:r w:rsidR="00C630EC" w:rsidRPr="00A52AB8">
        <w:rPr>
          <w:bCs/>
        </w:rPr>
        <w:t>[ rlsIdx ]</w:t>
      </w:r>
      <w:r w:rsidR="001F4484" w:rsidRPr="00A52AB8">
        <w:rPr>
          <w:bCs/>
        </w:rPr>
        <w:t>[ i ]</w:t>
      </w:r>
      <w:r w:rsidR="00935236" w:rsidRPr="00A52AB8">
        <w:rPr>
          <w:bCs/>
        </w:rPr>
        <w:t> =</w:t>
      </w:r>
      <w:r w:rsidR="00C61E38" w:rsidRPr="00A52AB8">
        <w:rPr>
          <w:bCs/>
        </w:rPr>
        <w:br/>
      </w:r>
      <w:r w:rsidRPr="00A52AB8">
        <w:tab/>
      </w:r>
      <w:r w:rsidRPr="00A52AB8">
        <w:tab/>
      </w:r>
      <w:r w:rsidRPr="00A52AB8">
        <w:tab/>
      </w:r>
      <w:r w:rsidRPr="00A52AB8">
        <w:tab/>
      </w:r>
      <w:r w:rsidR="002B1233" w:rsidRPr="00A52AB8">
        <w:t>(</w:t>
      </w:r>
      <w:r w:rsidR="00F826F5" w:rsidRPr="00A52AB8">
        <w:t> </w:t>
      </w:r>
      <w:r w:rsidRPr="00A52AB8">
        <w:t>2 *</w:t>
      </w:r>
      <w:r w:rsidR="00E8073E" w:rsidRPr="00A52AB8">
        <w:t> </w:t>
      </w:r>
      <w:r w:rsidR="002B1233" w:rsidRPr="00A52AB8">
        <w:t>str</w:t>
      </w:r>
      <w:r w:rsidR="00DE3D1A" w:rsidRPr="00A52AB8">
        <w:t>a</w:t>
      </w:r>
      <w:r w:rsidR="00E8073E" w:rsidRPr="00A52AB8">
        <w:t>f</w:t>
      </w:r>
      <w:r w:rsidR="002B1233" w:rsidRPr="00A52AB8">
        <w:t>_entry_sign_flag</w:t>
      </w:r>
      <w:r w:rsidR="00C630EC" w:rsidRPr="00A52AB8">
        <w:t>[ rlsIdx ]</w:t>
      </w:r>
      <w:r w:rsidR="001F4484" w:rsidRPr="00A52AB8">
        <w:t>[ i ]</w:t>
      </w:r>
      <w:r w:rsidR="00675185" w:rsidRPr="00A52AB8">
        <w:t> </w:t>
      </w:r>
      <w:r w:rsidR="00F826F5" w:rsidRPr="00A52AB8">
        <w:t>–</w:t>
      </w:r>
      <w:r w:rsidRPr="00A52AB8">
        <w:t> 1</w:t>
      </w:r>
      <w:r w:rsidR="00F826F5" w:rsidRPr="00A52AB8">
        <w:t> </w:t>
      </w:r>
      <w:r w:rsidR="002B1233" w:rsidRPr="00A52AB8">
        <w:t>)</w:t>
      </w:r>
      <w:r w:rsidRPr="00A52AB8">
        <w:t> * </w:t>
      </w:r>
      <w:r w:rsidR="002B1233" w:rsidRPr="00A52AB8">
        <w:t>abs_delta_</w:t>
      </w:r>
      <w:r w:rsidR="00DD23CD" w:rsidRPr="00A52AB8">
        <w:t>afoc</w:t>
      </w:r>
      <w:r w:rsidR="002B1233" w:rsidRPr="00A52AB8">
        <w:t>_st[ </w:t>
      </w:r>
      <w:r w:rsidR="00D37AC4" w:rsidRPr="00A52AB8">
        <w:t>rlsIdx</w:t>
      </w:r>
      <w:r w:rsidR="002B1233" w:rsidRPr="00A52AB8">
        <w:t> ]</w:t>
      </w:r>
      <w:r w:rsidR="001F4484" w:rsidRPr="00A52AB8">
        <w:t>[ i ]</w:t>
      </w:r>
      <w:r w:rsidRPr="00A52AB8">
        <w:t xml:space="preserve"> (</w:t>
      </w:r>
      <w:r w:rsidRPr="00496A4D">
        <w:fldChar w:fldCharType="begin"/>
      </w:r>
      <w:r w:rsidRPr="00A52AB8">
        <w:instrText xml:space="preserve"> </w:instrText>
      </w:r>
      <w:r w:rsidR="00646520" w:rsidRPr="00A52AB8">
        <w:instrText>SEQ Equation \* ARABIC \n</w:instrText>
      </w:r>
      <w:r w:rsidRPr="00A52AB8">
        <w:instrText xml:space="preserve"> </w:instrText>
      </w:r>
      <w:r w:rsidRPr="00496A4D">
        <w:fldChar w:fldCharType="separate"/>
      </w:r>
      <w:r w:rsidR="00507A67">
        <w:rPr>
          <w:noProof/>
        </w:rPr>
        <w:t>29</w:t>
      </w:r>
      <w:r w:rsidRPr="00496A4D">
        <w:fldChar w:fldCharType="end"/>
      </w:r>
      <w:r w:rsidRPr="00A52AB8">
        <w:t>)</w:t>
      </w:r>
      <w:r w:rsidRPr="00A52AB8">
        <w:br/>
      </w:r>
      <w:r w:rsidRPr="00A52AB8">
        <w:tab/>
      </w:r>
      <w:r w:rsidRPr="00A52AB8">
        <w:tab/>
        <w:t>else</w:t>
      </w:r>
      <w:r w:rsidRPr="00A52AB8">
        <w:br/>
      </w:r>
      <w:r w:rsidRPr="00A52AB8">
        <w:tab/>
      </w:r>
      <w:r w:rsidRPr="00A52AB8">
        <w:tab/>
      </w:r>
      <w:r w:rsidRPr="00A52AB8">
        <w:tab/>
        <w:t>Delta</w:t>
      </w:r>
      <w:r w:rsidR="00DD23CD" w:rsidRPr="00A52AB8">
        <w:t>Afoc</w:t>
      </w:r>
      <w:r w:rsidRPr="00A52AB8">
        <w:t>St</w:t>
      </w:r>
      <w:r w:rsidR="00C630EC" w:rsidRPr="00A52AB8">
        <w:rPr>
          <w:bCs/>
        </w:rPr>
        <w:t>[ rlsIdx ]</w:t>
      </w:r>
      <w:r w:rsidR="001F4484" w:rsidRPr="00A52AB8">
        <w:rPr>
          <w:bCs/>
        </w:rPr>
        <w:t>[ i ]</w:t>
      </w:r>
      <w:r w:rsidR="00D47707" w:rsidRPr="00A52AB8">
        <w:rPr>
          <w:bCs/>
        </w:rPr>
        <w:t> = </w:t>
      </w:r>
      <w:r w:rsidRPr="00A52AB8">
        <w:t>0</w:t>
      </w:r>
    </w:p>
    <w:p w14:paraId="12917D26" w14:textId="708525AA" w:rsidR="002B1233" w:rsidRPr="00A52AB8" w:rsidRDefault="00DD23CD">
      <w:r w:rsidRPr="00A52AB8">
        <w:rPr>
          <w:b/>
          <w:lang w:eastAsia="ko-KR"/>
        </w:rPr>
        <w:t>afoc</w:t>
      </w:r>
      <w:r w:rsidR="002B1233" w:rsidRPr="00A52AB8">
        <w:rPr>
          <w:b/>
          <w:lang w:eastAsia="ko-KR"/>
        </w:rPr>
        <w:t>_lsb_lt</w:t>
      </w:r>
      <w:r w:rsidR="00C630EC" w:rsidRPr="00A52AB8">
        <w:rPr>
          <w:bCs/>
        </w:rPr>
        <w:t>[ rlsIdx ]</w:t>
      </w:r>
      <w:r w:rsidR="001F4484" w:rsidRPr="00A52AB8">
        <w:rPr>
          <w:bCs/>
        </w:rPr>
        <w:t>[ i ]</w:t>
      </w:r>
      <w:r w:rsidR="00C630EC" w:rsidRPr="00A52AB8">
        <w:rPr>
          <w:bCs/>
        </w:rPr>
        <w:t xml:space="preserve"> </w:t>
      </w:r>
      <w:r w:rsidR="002B1233" w:rsidRPr="00A52AB8">
        <w:t xml:space="preserve">specifies the value of the </w:t>
      </w:r>
      <w:r w:rsidR="008F0D00" w:rsidRPr="00A52AB8">
        <w:t>atlas frame</w:t>
      </w:r>
      <w:r w:rsidR="002B1233" w:rsidRPr="00A52AB8">
        <w:t xml:space="preserve"> order count modulo Max</w:t>
      </w:r>
      <w:r w:rsidR="00EB723C" w:rsidRPr="00A52AB8">
        <w:t>AtlasFrm</w:t>
      </w:r>
      <w:r w:rsidR="002B1233" w:rsidRPr="00A52AB8">
        <w:t xml:space="preserve">OrderCntLsb of the </w:t>
      </w:r>
      <w:r w:rsidR="008F0D00" w:rsidRPr="00A52AB8">
        <w:t>atlas frame</w:t>
      </w:r>
      <w:r w:rsidR="00811543" w:rsidRPr="00A52AB8">
        <w:t xml:space="preserve"> </w:t>
      </w:r>
      <w:r w:rsidR="002B1233" w:rsidRPr="00A52AB8">
        <w:t>referred to by the i-th entry in</w:t>
      </w:r>
      <w:r w:rsidR="002B1233" w:rsidRPr="00A52AB8">
        <w:rPr>
          <w:bCs/>
        </w:rPr>
        <w:t xml:space="preserve"> the </w:t>
      </w:r>
      <w:r w:rsidR="002B1233" w:rsidRPr="00A52AB8">
        <w:rPr>
          <w:lang w:eastAsia="ko-KR"/>
        </w:rPr>
        <w:t>ref_list_struct( rlsIdx</w:t>
      </w:r>
      <w:r w:rsidR="002B1233" w:rsidRPr="00A52AB8">
        <w:rPr>
          <w:bCs/>
        </w:rPr>
        <w:t> </w:t>
      </w:r>
      <w:r w:rsidR="002B1233" w:rsidRPr="00A52AB8">
        <w:rPr>
          <w:lang w:eastAsia="ko-KR"/>
        </w:rPr>
        <w:t>)</w:t>
      </w:r>
      <w:r w:rsidR="002B1233" w:rsidRPr="00A52AB8">
        <w:rPr>
          <w:bCs/>
        </w:rPr>
        <w:t xml:space="preserve"> syntax structure</w:t>
      </w:r>
      <w:r w:rsidR="002B1233" w:rsidRPr="00A52AB8">
        <w:t xml:space="preserve">. The length of the </w:t>
      </w:r>
      <w:r w:rsidRPr="00A52AB8">
        <w:rPr>
          <w:bCs/>
        </w:rPr>
        <w:t>afoc</w:t>
      </w:r>
      <w:r w:rsidR="002B1233" w:rsidRPr="00A52AB8">
        <w:rPr>
          <w:bCs/>
        </w:rPr>
        <w:t>_lsb_lt[ </w:t>
      </w:r>
      <w:r w:rsidR="00D37AC4" w:rsidRPr="00A52AB8">
        <w:rPr>
          <w:bCs/>
        </w:rPr>
        <w:t>rlsIdx</w:t>
      </w:r>
      <w:r w:rsidR="002B1233" w:rsidRPr="00A52AB8">
        <w:rPr>
          <w:bCs/>
        </w:rPr>
        <w:t> ]</w:t>
      </w:r>
      <w:r w:rsidR="001F4484" w:rsidRPr="00A52AB8">
        <w:rPr>
          <w:bCs/>
        </w:rPr>
        <w:t>[ i ]</w:t>
      </w:r>
      <w:r w:rsidR="002B1233" w:rsidRPr="00A52AB8">
        <w:rPr>
          <w:bCs/>
        </w:rPr>
        <w:t xml:space="preserve"> </w:t>
      </w:r>
      <w:r w:rsidR="002B1233" w:rsidRPr="00A52AB8">
        <w:t xml:space="preserve">syntax element is </w:t>
      </w:r>
      <w:r w:rsidR="00905202" w:rsidRPr="00A52AB8">
        <w:rPr>
          <w:lang w:eastAsia="ja-JP"/>
        </w:rPr>
        <w:t>Log2MaxAtlasFrmOrderCntLsb</w:t>
      </w:r>
      <w:r w:rsidR="002B1233" w:rsidRPr="00A52AB8">
        <w:t xml:space="preserve"> bits.</w:t>
      </w:r>
    </w:p>
    <w:p w14:paraId="66A3868F" w14:textId="00E5BBCB" w:rsidR="00D4417E" w:rsidRDefault="00D4417E" w:rsidP="00D4417E">
      <w:pPr>
        <w:pStyle w:val="Heading4"/>
      </w:pPr>
      <w:bookmarkStart w:id="1230" w:name="_Ref48219443"/>
      <w:r>
        <w:t>Common atlas frame RBSP semantics</w:t>
      </w:r>
    </w:p>
    <w:p w14:paraId="7B500B1A" w14:textId="3D14BEF3" w:rsidR="00D4417E" w:rsidRPr="00A52AB8" w:rsidRDefault="00D4417E" w:rsidP="00D4417E">
      <w:pPr>
        <w:rPr>
          <w:color w:val="000000" w:themeColor="text1"/>
        </w:rPr>
      </w:pPr>
      <w:r>
        <w:rPr>
          <w:b/>
        </w:rPr>
        <w:t>caf_</w:t>
      </w:r>
      <w:r w:rsidRPr="00A52AB8">
        <w:rPr>
          <w:b/>
        </w:rPr>
        <w:t>extension_present_flag</w:t>
      </w:r>
      <w:r w:rsidRPr="00A52AB8">
        <w:rPr>
          <w:color w:val="000000" w:themeColor="text1"/>
        </w:rPr>
        <w:t xml:space="preserve"> equal to 1 specifies that the syntax elements </w:t>
      </w:r>
      <w:r>
        <w:rPr>
          <w:color w:val="000000" w:themeColor="text1"/>
        </w:rPr>
        <w:t>caf_miv</w:t>
      </w:r>
      <w:r w:rsidRPr="00A52AB8">
        <w:rPr>
          <w:color w:val="000000" w:themeColor="text1"/>
        </w:rPr>
        <w:t xml:space="preserve">_extension_present_flag and </w:t>
      </w:r>
      <w:r>
        <w:rPr>
          <w:color w:val="000000" w:themeColor="text1"/>
        </w:rPr>
        <w:t>caf_</w:t>
      </w:r>
      <w:r w:rsidRPr="00A52AB8">
        <w:rPr>
          <w:color w:val="000000" w:themeColor="text1"/>
        </w:rPr>
        <w:t>extension</w:t>
      </w:r>
      <w:r>
        <w:rPr>
          <w:color w:val="000000" w:themeColor="text1"/>
        </w:rPr>
        <w:t>_7bits</w:t>
      </w:r>
      <w:r w:rsidRPr="00A52AB8">
        <w:rPr>
          <w:color w:val="000000" w:themeColor="text1"/>
        </w:rPr>
        <w:t xml:space="preserve"> are present in the </w:t>
      </w:r>
      <w:r>
        <w:rPr>
          <w:color w:val="000000" w:themeColor="text1"/>
        </w:rPr>
        <w:t>common_atlas_frame_rbsp( )</w:t>
      </w:r>
      <w:r w:rsidRPr="00A52AB8">
        <w:rPr>
          <w:color w:val="000000" w:themeColor="text1"/>
        </w:rPr>
        <w:t xml:space="preserve"> syntax structure. </w:t>
      </w:r>
      <w:r>
        <w:rPr>
          <w:color w:val="000000" w:themeColor="text1"/>
        </w:rPr>
        <w:t>caf_</w:t>
      </w:r>
      <w:r w:rsidRPr="00A52AB8">
        <w:rPr>
          <w:color w:val="000000" w:themeColor="text1"/>
        </w:rPr>
        <w:t xml:space="preserve">extension_present_flag equal to 0 specifies that the syntax elements </w:t>
      </w:r>
      <w:r>
        <w:rPr>
          <w:color w:val="000000" w:themeColor="text1"/>
        </w:rPr>
        <w:t>caf_miv</w:t>
      </w:r>
      <w:r w:rsidRPr="00A52AB8">
        <w:rPr>
          <w:color w:val="000000" w:themeColor="text1"/>
        </w:rPr>
        <w:t xml:space="preserve">_extension_present_flag and </w:t>
      </w:r>
      <w:r>
        <w:rPr>
          <w:color w:val="000000" w:themeColor="text1"/>
        </w:rPr>
        <w:t>caf_</w:t>
      </w:r>
      <w:r w:rsidRPr="00A52AB8">
        <w:rPr>
          <w:color w:val="000000" w:themeColor="text1"/>
        </w:rPr>
        <w:t>extension</w:t>
      </w:r>
      <w:r>
        <w:rPr>
          <w:color w:val="000000" w:themeColor="text1"/>
        </w:rPr>
        <w:t>_7bits</w:t>
      </w:r>
      <w:r w:rsidRPr="00A52AB8">
        <w:rPr>
          <w:color w:val="000000" w:themeColor="text1"/>
        </w:rPr>
        <w:t xml:space="preserve"> are not present.</w:t>
      </w:r>
    </w:p>
    <w:p w14:paraId="0D9B2FF5" w14:textId="53257800" w:rsidR="00D4417E" w:rsidRPr="00A52AB8" w:rsidRDefault="00D4417E" w:rsidP="00D4417E">
      <w:pPr>
        <w:rPr>
          <w:color w:val="000000" w:themeColor="text1"/>
        </w:rPr>
      </w:pPr>
      <w:r>
        <w:rPr>
          <w:b/>
          <w:bCs/>
          <w:color w:val="000000" w:themeColor="text1"/>
        </w:rPr>
        <w:t>caf_</w:t>
      </w:r>
      <w:r w:rsidRPr="00A52AB8">
        <w:rPr>
          <w:b/>
          <w:bCs/>
          <w:color w:val="000000" w:themeColor="text1"/>
        </w:rPr>
        <w:t>miv_extension_present_flag</w:t>
      </w:r>
      <w:r w:rsidRPr="00A52AB8">
        <w:rPr>
          <w:color w:val="000000" w:themeColor="text1"/>
        </w:rPr>
        <w:t xml:space="preserve"> equal to 1 specifies that the </w:t>
      </w:r>
      <w:r>
        <w:rPr>
          <w:color w:val="000000" w:themeColor="text1"/>
        </w:rPr>
        <w:t>caf_</w:t>
      </w:r>
      <w:r w:rsidRPr="00A52AB8">
        <w:rPr>
          <w:color w:val="000000" w:themeColor="text1"/>
        </w:rPr>
        <w:t xml:space="preserve">miv_extension( ) syntax structure is present in the </w:t>
      </w:r>
      <w:r>
        <w:rPr>
          <w:color w:val="000000" w:themeColor="text1"/>
        </w:rPr>
        <w:t>common_atlas_frame_rbsp</w:t>
      </w:r>
      <w:r w:rsidRPr="00A52AB8">
        <w:rPr>
          <w:color w:val="000000" w:themeColor="text1"/>
        </w:rPr>
        <w:t xml:space="preserve">( ) syntax structure. </w:t>
      </w:r>
      <w:r>
        <w:rPr>
          <w:color w:val="000000" w:themeColor="text1"/>
        </w:rPr>
        <w:t>caf_miv</w:t>
      </w:r>
      <w:r w:rsidRPr="00A52AB8">
        <w:rPr>
          <w:color w:val="000000" w:themeColor="text1"/>
        </w:rPr>
        <w:t xml:space="preserve">_extension_present_flag equal to 0 specifies that this syntax structure is not present. When not present, the value of </w:t>
      </w:r>
      <w:r>
        <w:rPr>
          <w:color w:val="000000" w:themeColor="text1"/>
        </w:rPr>
        <w:t>caf_</w:t>
      </w:r>
      <w:r w:rsidRPr="00A52AB8">
        <w:rPr>
          <w:color w:val="000000" w:themeColor="text1"/>
        </w:rPr>
        <w:t>miv_extension_present_flag is inferred to be equal to 0.</w:t>
      </w:r>
    </w:p>
    <w:p w14:paraId="158B7C82" w14:textId="28F456EB" w:rsidR="00D4417E" w:rsidRPr="00A52AB8" w:rsidRDefault="00D4417E" w:rsidP="00D4417E">
      <w:pPr>
        <w:rPr>
          <w:color w:val="000000" w:themeColor="text1"/>
        </w:rPr>
      </w:pPr>
      <w:r>
        <w:rPr>
          <w:b/>
          <w:bCs/>
          <w:color w:val="000000" w:themeColor="text1"/>
        </w:rPr>
        <w:t>caf_</w:t>
      </w:r>
      <w:r w:rsidRPr="00A52AB8">
        <w:rPr>
          <w:b/>
          <w:bCs/>
          <w:color w:val="000000" w:themeColor="text1"/>
        </w:rPr>
        <w:t>extension</w:t>
      </w:r>
      <w:r>
        <w:rPr>
          <w:b/>
          <w:bCs/>
          <w:color w:val="000000" w:themeColor="text1"/>
        </w:rPr>
        <w:t>_7bits</w:t>
      </w:r>
      <w:r w:rsidRPr="00A52AB8">
        <w:rPr>
          <w:b/>
          <w:bCs/>
          <w:color w:val="000000" w:themeColor="text1"/>
        </w:rPr>
        <w:t xml:space="preserve"> </w:t>
      </w:r>
      <w:r w:rsidRPr="00A52AB8">
        <w:rPr>
          <w:color w:val="000000" w:themeColor="text1"/>
        </w:rPr>
        <w:t xml:space="preserve">equal to 0 specifies that no </w:t>
      </w:r>
      <w:r>
        <w:rPr>
          <w:color w:val="000000" w:themeColor="text1"/>
        </w:rPr>
        <w:t>caf_</w:t>
      </w:r>
      <w:r w:rsidRPr="00A52AB8">
        <w:rPr>
          <w:color w:val="000000" w:themeColor="text1"/>
        </w:rPr>
        <w:t xml:space="preserve">extension_data_flag syntax elements are present in the </w:t>
      </w:r>
      <w:r>
        <w:rPr>
          <w:color w:val="000000" w:themeColor="text1"/>
        </w:rPr>
        <w:t>CAF</w:t>
      </w:r>
      <w:r w:rsidRPr="00A52AB8">
        <w:rPr>
          <w:color w:val="000000" w:themeColor="text1"/>
        </w:rPr>
        <w:t xml:space="preserve"> RBSP syntax structure. When present, </w:t>
      </w:r>
      <w:r>
        <w:rPr>
          <w:color w:val="000000" w:themeColor="text1"/>
        </w:rPr>
        <w:t>caf_</w:t>
      </w:r>
      <w:r w:rsidRPr="00A52AB8">
        <w:rPr>
          <w:color w:val="000000" w:themeColor="text1"/>
        </w:rPr>
        <w:t>extension</w:t>
      </w:r>
      <w:r>
        <w:rPr>
          <w:color w:val="000000" w:themeColor="text1"/>
        </w:rPr>
        <w:t>_7bits</w:t>
      </w:r>
      <w:r w:rsidRPr="00A52AB8">
        <w:rPr>
          <w:color w:val="000000" w:themeColor="text1"/>
        </w:rPr>
        <w:t xml:space="preserve"> shall be equal to 0 in bitstreams conforming to this version of this document. Values of </w:t>
      </w:r>
      <w:r>
        <w:rPr>
          <w:color w:val="000000" w:themeColor="text1"/>
        </w:rPr>
        <w:t>caf_</w:t>
      </w:r>
      <w:r w:rsidRPr="00A52AB8">
        <w:rPr>
          <w:color w:val="000000" w:themeColor="text1"/>
        </w:rPr>
        <w:t>extension</w:t>
      </w:r>
      <w:r>
        <w:rPr>
          <w:color w:val="000000" w:themeColor="text1"/>
        </w:rPr>
        <w:t>_7bits</w:t>
      </w:r>
      <w:r w:rsidRPr="00A52AB8">
        <w:rPr>
          <w:color w:val="000000" w:themeColor="text1"/>
        </w:rPr>
        <w:t xml:space="preserve"> not equal to 0 are reserved for future use by ISO/IEC. Decoders shall allow the value of </w:t>
      </w:r>
      <w:r>
        <w:rPr>
          <w:color w:val="000000" w:themeColor="text1"/>
        </w:rPr>
        <w:t>caf_</w:t>
      </w:r>
      <w:r w:rsidRPr="00A52AB8">
        <w:rPr>
          <w:color w:val="000000" w:themeColor="text1"/>
        </w:rPr>
        <w:t>extension</w:t>
      </w:r>
      <w:r>
        <w:rPr>
          <w:color w:val="000000" w:themeColor="text1"/>
        </w:rPr>
        <w:t>_7bits</w:t>
      </w:r>
      <w:r w:rsidRPr="00A52AB8">
        <w:rPr>
          <w:color w:val="000000" w:themeColor="text1"/>
        </w:rPr>
        <w:t xml:space="preserve"> to be not equal to 0 and shall ignore all </w:t>
      </w:r>
      <w:r>
        <w:rPr>
          <w:color w:val="000000" w:themeColor="text1"/>
        </w:rPr>
        <w:t>caf_</w:t>
      </w:r>
      <w:r w:rsidRPr="00A52AB8">
        <w:rPr>
          <w:color w:val="000000" w:themeColor="text1"/>
        </w:rPr>
        <w:t xml:space="preserve">extension_data_flag syntax elements in a </w:t>
      </w:r>
      <w:r>
        <w:rPr>
          <w:color w:val="000000" w:themeColor="text1"/>
        </w:rPr>
        <w:t>CAF</w:t>
      </w:r>
      <w:r w:rsidRPr="00A52AB8">
        <w:rPr>
          <w:color w:val="000000" w:themeColor="text1"/>
        </w:rPr>
        <w:t xml:space="preserve"> NAL unit. When not present, the value of </w:t>
      </w:r>
      <w:r>
        <w:rPr>
          <w:color w:val="000000" w:themeColor="text1"/>
        </w:rPr>
        <w:t>caf_</w:t>
      </w:r>
      <w:r w:rsidRPr="00A52AB8">
        <w:rPr>
          <w:color w:val="000000" w:themeColor="text1"/>
        </w:rPr>
        <w:t>extension</w:t>
      </w:r>
      <w:r>
        <w:rPr>
          <w:color w:val="000000" w:themeColor="text1"/>
        </w:rPr>
        <w:t>_7bits</w:t>
      </w:r>
      <w:r w:rsidRPr="00A52AB8">
        <w:rPr>
          <w:color w:val="000000" w:themeColor="text1"/>
        </w:rPr>
        <w:t xml:space="preserve"> is inferred to be equal to 0.</w:t>
      </w:r>
    </w:p>
    <w:p w14:paraId="23344B0A" w14:textId="30FF7B4A" w:rsidR="00D4417E" w:rsidRPr="00A52AB8" w:rsidRDefault="00D4417E" w:rsidP="00D4417E">
      <w:pPr>
        <w:rPr>
          <w:color w:val="000000" w:themeColor="text1"/>
        </w:rPr>
      </w:pPr>
      <w:r>
        <w:rPr>
          <w:b/>
        </w:rPr>
        <w:t>caf_</w:t>
      </w:r>
      <w:r w:rsidRPr="00A52AB8">
        <w:rPr>
          <w:b/>
        </w:rPr>
        <w:t>extension_data_flag</w:t>
      </w:r>
      <w:r w:rsidRPr="00A52AB8">
        <w:rPr>
          <w:color w:val="000000" w:themeColor="text1"/>
        </w:rPr>
        <w:t xml:space="preserve"> may have any value. Its presence and value do not affect decoder conformance to profiles specified in this version of this document. Decoders conforming to this version of this document shall ignore all </w:t>
      </w:r>
      <w:r>
        <w:rPr>
          <w:color w:val="000000" w:themeColor="text1"/>
        </w:rPr>
        <w:t>caf_</w:t>
      </w:r>
      <w:r w:rsidRPr="00A52AB8">
        <w:rPr>
          <w:color w:val="000000" w:themeColor="text1"/>
        </w:rPr>
        <w:t>extension_data_flag syntax elements.</w:t>
      </w:r>
    </w:p>
    <w:p w14:paraId="727AE475" w14:textId="2EE067AC" w:rsidR="0004338C" w:rsidRPr="00A52AB8" w:rsidRDefault="008F0D00">
      <w:pPr>
        <w:pStyle w:val="Heading3"/>
      </w:pPr>
      <w:bookmarkStart w:id="1231" w:name="_Toc52181618"/>
      <w:r w:rsidRPr="00A52AB8">
        <w:t xml:space="preserve">Atlas </w:t>
      </w:r>
      <w:r w:rsidR="00B8075E" w:rsidRPr="00A52AB8">
        <w:t>tile</w:t>
      </w:r>
      <w:r w:rsidR="0004338C" w:rsidRPr="00A52AB8">
        <w:t xml:space="preserve"> data unit</w:t>
      </w:r>
      <w:bookmarkEnd w:id="1180"/>
      <w:r w:rsidR="00546C02" w:rsidRPr="00A52AB8">
        <w:t xml:space="preserve"> semantics</w:t>
      </w:r>
      <w:bookmarkEnd w:id="1230"/>
      <w:bookmarkEnd w:id="1231"/>
    </w:p>
    <w:p w14:paraId="6F9B4B8C" w14:textId="77777777" w:rsidR="009E7A90" w:rsidRPr="00A52AB8" w:rsidRDefault="009E7A90" w:rsidP="005C26E9">
      <w:pPr>
        <w:pStyle w:val="Heading4"/>
      </w:pPr>
      <w:r w:rsidRPr="00A52AB8">
        <w:t xml:space="preserve">General </w:t>
      </w:r>
      <w:r w:rsidR="00EF3ECD" w:rsidRPr="00A52AB8">
        <w:t>a</w:t>
      </w:r>
      <w:r w:rsidR="008F0D00" w:rsidRPr="00A52AB8">
        <w:t xml:space="preserve">tlas </w:t>
      </w:r>
      <w:r w:rsidR="00B8075E" w:rsidRPr="00A52AB8">
        <w:t>tile</w:t>
      </w:r>
      <w:r w:rsidRPr="00A52AB8">
        <w:t xml:space="preserve"> data unit semantics</w:t>
      </w:r>
    </w:p>
    <w:p w14:paraId="33AE1B31" w14:textId="582E4821" w:rsidR="00F411C6" w:rsidRPr="00A52AB8" w:rsidRDefault="00A62CD5" w:rsidP="00F411C6">
      <w:r w:rsidRPr="00A52AB8">
        <w:rPr>
          <w:b/>
          <w:lang w:eastAsia="ja-JP"/>
        </w:rPr>
        <w:t>atdu_</w:t>
      </w:r>
      <w:r w:rsidR="00016995" w:rsidRPr="00A52AB8">
        <w:rPr>
          <w:b/>
          <w:lang w:eastAsia="ja-JP"/>
        </w:rPr>
        <w:t>patch_mode</w:t>
      </w:r>
      <w:r w:rsidR="00A846C2" w:rsidRPr="00A52AB8">
        <w:rPr>
          <w:lang w:eastAsia="ja-JP"/>
        </w:rPr>
        <w:t>[ </w:t>
      </w:r>
      <w:r w:rsidR="00632FA7" w:rsidRPr="00A52AB8">
        <w:rPr>
          <w:lang w:eastAsia="ja-JP"/>
        </w:rPr>
        <w:t>tileID</w:t>
      </w:r>
      <w:r w:rsidR="00A846C2" w:rsidRPr="00A52AB8">
        <w:rPr>
          <w:lang w:eastAsia="ja-JP"/>
        </w:rPr>
        <w:t> ]</w:t>
      </w:r>
      <w:r w:rsidR="00016995" w:rsidRPr="00A52AB8">
        <w:rPr>
          <w:lang w:eastAsia="ja-JP"/>
        </w:rPr>
        <w:t xml:space="preserve">[ p ] indicates the patch mode for </w:t>
      </w:r>
      <w:r w:rsidR="00D4223F" w:rsidRPr="00A52AB8">
        <w:rPr>
          <w:lang w:eastAsia="ja-JP"/>
        </w:rPr>
        <w:t xml:space="preserve">the </w:t>
      </w:r>
      <w:r w:rsidR="00016995" w:rsidRPr="00A52AB8">
        <w:rPr>
          <w:lang w:eastAsia="ja-JP"/>
        </w:rPr>
        <w:t xml:space="preserve">patch with index p in </w:t>
      </w:r>
      <w:r w:rsidR="00DE6865" w:rsidRPr="00A52AB8">
        <w:rPr>
          <w:lang w:eastAsia="ja-JP"/>
        </w:rPr>
        <w:t xml:space="preserve">the </w:t>
      </w:r>
      <w:r w:rsidR="00A63EEB" w:rsidRPr="00A52AB8">
        <w:rPr>
          <w:lang w:eastAsia="ja-JP"/>
        </w:rPr>
        <w:t xml:space="preserve">current </w:t>
      </w:r>
      <w:r w:rsidR="002A47BD" w:rsidRPr="00A52AB8">
        <w:rPr>
          <w:lang w:eastAsia="ja-JP"/>
        </w:rPr>
        <w:t xml:space="preserve">atlas </w:t>
      </w:r>
      <w:r w:rsidR="00B8075E" w:rsidRPr="00A52AB8">
        <w:rPr>
          <w:lang w:eastAsia="ja-JP"/>
        </w:rPr>
        <w:t>tile</w:t>
      </w:r>
      <w:r w:rsidR="00A846C2" w:rsidRPr="00A52AB8">
        <w:rPr>
          <w:lang w:eastAsia="ja-JP"/>
        </w:rPr>
        <w:t xml:space="preserve"> </w:t>
      </w:r>
      <w:r w:rsidR="00A41AF4" w:rsidRPr="00A52AB8">
        <w:rPr>
          <w:lang w:eastAsia="ja-JP"/>
        </w:rPr>
        <w:t>with tile ID equal to tileID</w:t>
      </w:r>
      <w:r w:rsidR="00016995" w:rsidRPr="00A52AB8">
        <w:rPr>
          <w:lang w:eastAsia="ja-JP"/>
        </w:rPr>
        <w:t xml:space="preserve">. The permitted values for </w:t>
      </w:r>
      <w:r w:rsidRPr="00A52AB8">
        <w:rPr>
          <w:lang w:eastAsia="ja-JP"/>
        </w:rPr>
        <w:t>atdu_</w:t>
      </w:r>
      <w:r w:rsidR="00016995" w:rsidRPr="00A52AB8">
        <w:rPr>
          <w:lang w:eastAsia="ja-JP"/>
        </w:rPr>
        <w:t>patch_mode</w:t>
      </w:r>
      <w:r w:rsidR="00F64F36" w:rsidRPr="00A52AB8">
        <w:rPr>
          <w:lang w:eastAsia="ja-JP"/>
        </w:rPr>
        <w:t>[ </w:t>
      </w:r>
      <w:r w:rsidR="00632FA7" w:rsidRPr="00A52AB8">
        <w:rPr>
          <w:lang w:eastAsia="ja-JP"/>
        </w:rPr>
        <w:t>tileID</w:t>
      </w:r>
      <w:r w:rsidR="00F64F36" w:rsidRPr="00A52AB8">
        <w:rPr>
          <w:lang w:eastAsia="ja-JP"/>
        </w:rPr>
        <w:t> ]</w:t>
      </w:r>
      <w:r w:rsidR="00016995" w:rsidRPr="00A52AB8">
        <w:rPr>
          <w:lang w:eastAsia="ja-JP"/>
        </w:rPr>
        <w:t xml:space="preserve">[ p ] are specified in </w:t>
      </w:r>
      <w:r w:rsidR="00016995" w:rsidRPr="00496A4D">
        <w:rPr>
          <w:lang w:eastAsia="ja-JP"/>
        </w:rPr>
        <w:fldChar w:fldCharType="begin"/>
      </w:r>
      <w:r w:rsidR="00016995" w:rsidRPr="00A52AB8">
        <w:rPr>
          <w:lang w:eastAsia="ja-JP"/>
        </w:rPr>
        <w:instrText xml:space="preserve"> REF _Ref882694 \h  \* MERGEFORMAT </w:instrText>
      </w:r>
      <w:r w:rsidR="00016995" w:rsidRPr="00496A4D">
        <w:rPr>
          <w:lang w:eastAsia="ja-JP"/>
        </w:rPr>
      </w:r>
      <w:r w:rsidR="00016995" w:rsidRPr="00496A4D">
        <w:rPr>
          <w:lang w:eastAsia="ja-JP"/>
        </w:rPr>
        <w:fldChar w:fldCharType="separate"/>
      </w:r>
      <w:r w:rsidR="00507A67" w:rsidRPr="00A52AB8">
        <w:rPr>
          <w:color w:val="000000" w:themeColor="text1"/>
        </w:rPr>
        <w:t xml:space="preserve">Table </w:t>
      </w:r>
      <w:r w:rsidR="00507A67">
        <w:rPr>
          <w:color w:val="000000" w:themeColor="text1"/>
        </w:rPr>
        <w:t>7</w:t>
      </w:r>
      <w:r w:rsidR="00016995" w:rsidRPr="00496A4D">
        <w:rPr>
          <w:lang w:eastAsia="ja-JP"/>
        </w:rPr>
        <w:fldChar w:fldCharType="end"/>
      </w:r>
      <w:r w:rsidR="00016995" w:rsidRPr="00A52AB8">
        <w:rPr>
          <w:lang w:eastAsia="ja-JP"/>
        </w:rPr>
        <w:t xml:space="preserve"> for </w:t>
      </w:r>
      <w:r w:rsidR="002A47BD" w:rsidRPr="00A52AB8">
        <w:rPr>
          <w:lang w:eastAsia="ja-JP"/>
        </w:rPr>
        <w:t xml:space="preserve">atlas </w:t>
      </w:r>
      <w:r w:rsidR="00B8075E" w:rsidRPr="00A52AB8">
        <w:rPr>
          <w:lang w:eastAsia="ja-JP"/>
        </w:rPr>
        <w:t>tile</w:t>
      </w:r>
      <w:r w:rsidR="004A314E" w:rsidRPr="00A52AB8">
        <w:rPr>
          <w:lang w:eastAsia="ja-JP"/>
        </w:rPr>
        <w:t>s</w:t>
      </w:r>
      <w:r w:rsidR="00016995" w:rsidRPr="00A52AB8">
        <w:rPr>
          <w:lang w:eastAsia="ja-JP"/>
        </w:rPr>
        <w:t xml:space="preserve"> with </w:t>
      </w:r>
      <w:r w:rsidRPr="00A52AB8">
        <w:rPr>
          <w:lang w:eastAsia="ja-JP"/>
        </w:rPr>
        <w:t>ath_</w:t>
      </w:r>
      <w:r w:rsidR="00016995" w:rsidRPr="00A52AB8">
        <w:rPr>
          <w:lang w:eastAsia="ja-JP"/>
        </w:rPr>
        <w:t>type</w:t>
      </w:r>
      <w:r w:rsidR="00F826F5" w:rsidRPr="00A52AB8">
        <w:rPr>
          <w:lang w:eastAsia="ja-JP"/>
        </w:rPr>
        <w:t xml:space="preserve"> equal to </w:t>
      </w:r>
      <w:r w:rsidR="00016995" w:rsidRPr="00A52AB8">
        <w:rPr>
          <w:lang w:eastAsia="ja-JP"/>
        </w:rPr>
        <w:t>I</w:t>
      </w:r>
      <w:r w:rsidR="00E470E7" w:rsidRPr="00A52AB8">
        <w:t>_TILE</w:t>
      </w:r>
      <w:r w:rsidR="000B7693" w:rsidRPr="00A52AB8">
        <w:rPr>
          <w:lang w:eastAsia="ja-JP"/>
        </w:rPr>
        <w:t xml:space="preserve">, </w:t>
      </w:r>
      <w:r w:rsidR="00016995" w:rsidRPr="00496A4D">
        <w:rPr>
          <w:lang w:eastAsia="ja-JP"/>
        </w:rPr>
        <w:fldChar w:fldCharType="begin"/>
      </w:r>
      <w:r w:rsidR="00016995" w:rsidRPr="00A52AB8">
        <w:rPr>
          <w:lang w:eastAsia="ja-JP"/>
        </w:rPr>
        <w:instrText xml:space="preserve"> REF _Ref882696 \h  \* MERGEFORMAT </w:instrText>
      </w:r>
      <w:r w:rsidR="00016995" w:rsidRPr="00496A4D">
        <w:rPr>
          <w:lang w:eastAsia="ja-JP"/>
        </w:rPr>
      </w:r>
      <w:r w:rsidR="00016995" w:rsidRPr="00496A4D">
        <w:rPr>
          <w:lang w:eastAsia="ja-JP"/>
        </w:rPr>
        <w:fldChar w:fldCharType="separate"/>
      </w:r>
      <w:r w:rsidR="00507A67" w:rsidRPr="00A52AB8">
        <w:rPr>
          <w:color w:val="000000" w:themeColor="text1"/>
        </w:rPr>
        <w:t xml:space="preserve">Table </w:t>
      </w:r>
      <w:r w:rsidR="00507A67">
        <w:rPr>
          <w:color w:val="000000" w:themeColor="text1"/>
        </w:rPr>
        <w:t>8</w:t>
      </w:r>
      <w:r w:rsidR="00016995" w:rsidRPr="00496A4D">
        <w:rPr>
          <w:lang w:eastAsia="ja-JP"/>
        </w:rPr>
        <w:fldChar w:fldCharType="end"/>
      </w:r>
      <w:r w:rsidR="00016995" w:rsidRPr="00A52AB8">
        <w:rPr>
          <w:lang w:eastAsia="ja-JP"/>
        </w:rPr>
        <w:t xml:space="preserve"> for </w:t>
      </w:r>
      <w:r w:rsidR="002A47BD" w:rsidRPr="00A52AB8">
        <w:rPr>
          <w:lang w:eastAsia="ja-JP"/>
        </w:rPr>
        <w:t xml:space="preserve">atlas </w:t>
      </w:r>
      <w:r w:rsidR="00B8075E" w:rsidRPr="00A52AB8">
        <w:rPr>
          <w:lang w:eastAsia="ja-JP"/>
        </w:rPr>
        <w:t>tile</w:t>
      </w:r>
      <w:r w:rsidR="004A314E" w:rsidRPr="00A52AB8">
        <w:rPr>
          <w:lang w:eastAsia="ja-JP"/>
        </w:rPr>
        <w:t>s</w:t>
      </w:r>
      <w:r w:rsidR="00016995" w:rsidRPr="00A52AB8">
        <w:rPr>
          <w:lang w:eastAsia="ja-JP"/>
        </w:rPr>
        <w:t xml:space="preserve"> with </w:t>
      </w:r>
      <w:r w:rsidRPr="00A52AB8">
        <w:rPr>
          <w:lang w:eastAsia="ja-JP"/>
        </w:rPr>
        <w:t>ath_</w:t>
      </w:r>
      <w:r w:rsidR="00016995" w:rsidRPr="00A52AB8">
        <w:rPr>
          <w:lang w:eastAsia="ja-JP"/>
        </w:rPr>
        <w:t>type</w:t>
      </w:r>
      <w:r w:rsidR="00F826F5" w:rsidRPr="00A52AB8">
        <w:rPr>
          <w:lang w:eastAsia="ja-JP"/>
        </w:rPr>
        <w:t xml:space="preserve"> equal to </w:t>
      </w:r>
      <w:r w:rsidR="00016995" w:rsidRPr="00A52AB8">
        <w:rPr>
          <w:lang w:eastAsia="ja-JP"/>
        </w:rPr>
        <w:t>P</w:t>
      </w:r>
      <w:r w:rsidR="00E470E7" w:rsidRPr="00A52AB8">
        <w:t>_TILE</w:t>
      </w:r>
      <w:r w:rsidR="000B7693" w:rsidRPr="00A52AB8">
        <w:rPr>
          <w:lang w:eastAsia="ja-JP"/>
        </w:rPr>
        <w:t xml:space="preserve">, and </w:t>
      </w:r>
      <w:r w:rsidR="000B7693" w:rsidRPr="00496A4D">
        <w:rPr>
          <w:lang w:eastAsia="ja-JP"/>
        </w:rPr>
        <w:fldChar w:fldCharType="begin"/>
      </w:r>
      <w:r w:rsidR="000B7693" w:rsidRPr="00A52AB8">
        <w:rPr>
          <w:lang w:eastAsia="ja-JP"/>
        </w:rPr>
        <w:instrText xml:space="preserve"> REF _Ref19123796 \h </w:instrText>
      </w:r>
      <w:r w:rsidR="00E470E7" w:rsidRPr="00A52AB8">
        <w:rPr>
          <w:lang w:eastAsia="ja-JP"/>
        </w:rPr>
        <w:instrText xml:space="preserve"> \* MERGEFORMAT </w:instrText>
      </w:r>
      <w:r w:rsidR="000B7693" w:rsidRPr="00496A4D">
        <w:rPr>
          <w:lang w:eastAsia="ja-JP"/>
        </w:rPr>
      </w:r>
      <w:r w:rsidR="000B7693" w:rsidRPr="00496A4D">
        <w:rPr>
          <w:lang w:eastAsia="ja-JP"/>
        </w:rPr>
        <w:fldChar w:fldCharType="separate"/>
      </w:r>
      <w:r w:rsidR="00507A67" w:rsidRPr="00A52AB8">
        <w:rPr>
          <w:color w:val="000000" w:themeColor="text1"/>
        </w:rPr>
        <w:t xml:space="preserve">Table </w:t>
      </w:r>
      <w:r w:rsidR="00507A67">
        <w:rPr>
          <w:color w:val="000000" w:themeColor="text1"/>
        </w:rPr>
        <w:t>9</w:t>
      </w:r>
      <w:r w:rsidR="000B7693" w:rsidRPr="00496A4D">
        <w:rPr>
          <w:lang w:eastAsia="ja-JP"/>
        </w:rPr>
        <w:fldChar w:fldCharType="end"/>
      </w:r>
      <w:r w:rsidR="000B7693" w:rsidRPr="00A52AB8">
        <w:rPr>
          <w:lang w:eastAsia="ja-JP"/>
        </w:rPr>
        <w:t xml:space="preserve"> for atlas </w:t>
      </w:r>
      <w:r w:rsidR="00B8075E" w:rsidRPr="00A52AB8">
        <w:rPr>
          <w:lang w:eastAsia="ja-JP"/>
        </w:rPr>
        <w:t>tile</w:t>
      </w:r>
      <w:r w:rsidR="000B7693" w:rsidRPr="00A52AB8">
        <w:rPr>
          <w:lang w:eastAsia="ja-JP"/>
        </w:rPr>
        <w:t xml:space="preserve">s with </w:t>
      </w:r>
      <w:r w:rsidRPr="00A52AB8">
        <w:rPr>
          <w:lang w:eastAsia="ja-JP"/>
        </w:rPr>
        <w:t>ath_</w:t>
      </w:r>
      <w:r w:rsidR="000B7693" w:rsidRPr="00A52AB8">
        <w:rPr>
          <w:lang w:eastAsia="ja-JP"/>
        </w:rPr>
        <w:t>type</w:t>
      </w:r>
      <w:r w:rsidR="00F826F5" w:rsidRPr="00A52AB8">
        <w:rPr>
          <w:lang w:eastAsia="ja-JP"/>
        </w:rPr>
        <w:t xml:space="preserve"> equal to </w:t>
      </w:r>
      <w:r w:rsidR="000B7693" w:rsidRPr="00A52AB8">
        <w:rPr>
          <w:lang w:eastAsia="ja-JP"/>
        </w:rPr>
        <w:t>SKIP</w:t>
      </w:r>
      <w:r w:rsidR="00E470E7" w:rsidRPr="00A52AB8">
        <w:t>_TILE</w:t>
      </w:r>
      <w:r w:rsidR="00016995" w:rsidRPr="00A52AB8">
        <w:rPr>
          <w:lang w:eastAsia="ja-JP"/>
        </w:rPr>
        <w:t>.</w:t>
      </w:r>
      <w:r w:rsidR="000B7693" w:rsidRPr="00A52AB8">
        <w:rPr>
          <w:lang w:eastAsia="ja-JP"/>
        </w:rPr>
        <w:t xml:space="preserve"> </w:t>
      </w:r>
      <w:r w:rsidR="00F411C6" w:rsidRPr="00A52AB8">
        <w:rPr>
          <w:bCs/>
        </w:rPr>
        <w:t xml:space="preserve">When not present, the value of </w:t>
      </w:r>
      <w:r w:rsidR="00F411C6" w:rsidRPr="00A52AB8">
        <w:rPr>
          <w:bCs/>
          <w:lang w:eastAsia="ja-JP"/>
        </w:rPr>
        <w:t>atdu_patch_mode</w:t>
      </w:r>
      <w:r w:rsidR="00F64F36" w:rsidRPr="00A52AB8">
        <w:rPr>
          <w:lang w:eastAsia="ja-JP"/>
        </w:rPr>
        <w:t>[ </w:t>
      </w:r>
      <w:r w:rsidR="00632FA7" w:rsidRPr="00A52AB8">
        <w:rPr>
          <w:lang w:eastAsia="ja-JP"/>
        </w:rPr>
        <w:t>tileID</w:t>
      </w:r>
      <w:r w:rsidR="00F64F36" w:rsidRPr="00A52AB8">
        <w:rPr>
          <w:lang w:eastAsia="ja-JP"/>
        </w:rPr>
        <w:t> ]</w:t>
      </w:r>
      <w:r w:rsidR="00F411C6" w:rsidRPr="00A52AB8">
        <w:rPr>
          <w:bCs/>
        </w:rPr>
        <w:t>[ p ] is inferred to be equal to P_SKIP.</w:t>
      </w:r>
      <w:r w:rsidR="00F03B62" w:rsidRPr="00A52AB8">
        <w:rPr>
          <w:bCs/>
        </w:rPr>
        <w:t xml:space="preserve"> Modes indicated as reserved shall not be present in bitstreams conforming to this version of this document.</w:t>
      </w:r>
    </w:p>
    <w:p w14:paraId="3955FED8" w14:textId="150C8B97" w:rsidR="005953FF" w:rsidRPr="00A52AB8" w:rsidRDefault="00D82334" w:rsidP="009F42AE">
      <w:pPr>
        <w:pStyle w:val="Note"/>
        <w:ind w:left="794" w:firstLine="0"/>
        <w:rPr>
          <w:rFonts w:eastAsia="Malgun Gothic"/>
          <w:color w:val="000000" w:themeColor="text1"/>
          <w:szCs w:val="18"/>
        </w:rPr>
      </w:pPr>
      <w:r w:rsidRPr="00A52AB8">
        <w:rPr>
          <w:rFonts w:eastAsia="Malgun Gothic"/>
          <w:color w:val="000000" w:themeColor="text1"/>
          <w:szCs w:val="18"/>
        </w:rPr>
        <w:t>N</w:t>
      </w:r>
      <w:r w:rsidR="003F2F94" w:rsidRPr="00A52AB8">
        <w:rPr>
          <w:rFonts w:eastAsia="Malgun Gothic"/>
          <w:color w:val="000000" w:themeColor="text1"/>
          <w:szCs w:val="18"/>
        </w:rPr>
        <w:t>OTE</w:t>
      </w:r>
      <w:r w:rsidR="0074574B" w:rsidRPr="00A52AB8">
        <w:rPr>
          <w:rFonts w:eastAsia="Malgun Gothic"/>
          <w:color w:val="000000" w:themeColor="text1"/>
          <w:szCs w:val="18"/>
        </w:rPr>
        <w:t> </w:t>
      </w:r>
      <w:r w:rsidR="005617E5" w:rsidRPr="00A52AB8">
        <w:rPr>
          <w:rFonts w:eastAsia="Malgun Gothic"/>
          <w:color w:val="000000" w:themeColor="text1"/>
          <w:szCs w:val="18"/>
        </w:rPr>
        <w:t>– </w:t>
      </w:r>
      <w:r w:rsidR="000B7693" w:rsidRPr="00A52AB8">
        <w:rPr>
          <w:rFonts w:eastAsia="Malgun Gothic"/>
          <w:color w:val="000000" w:themeColor="text1"/>
          <w:szCs w:val="18"/>
        </w:rPr>
        <w:t xml:space="preserve">A </w:t>
      </w:r>
      <w:r w:rsidR="00B8075E" w:rsidRPr="00A52AB8">
        <w:rPr>
          <w:rFonts w:eastAsia="Malgun Gothic"/>
          <w:color w:val="000000" w:themeColor="text1"/>
          <w:szCs w:val="18"/>
        </w:rPr>
        <w:t>tile</w:t>
      </w:r>
      <w:r w:rsidR="000B7693" w:rsidRPr="00A52AB8">
        <w:rPr>
          <w:rFonts w:eastAsia="Malgun Gothic"/>
          <w:color w:val="000000" w:themeColor="text1"/>
          <w:szCs w:val="18"/>
        </w:rPr>
        <w:t xml:space="preserve"> with </w:t>
      </w:r>
      <w:r w:rsidR="00A62CD5" w:rsidRPr="00A52AB8">
        <w:rPr>
          <w:rFonts w:eastAsia="Malgun Gothic"/>
          <w:color w:val="000000" w:themeColor="text1"/>
          <w:szCs w:val="18"/>
        </w:rPr>
        <w:t>ath_</w:t>
      </w:r>
      <w:r w:rsidR="000B7693" w:rsidRPr="00A52AB8">
        <w:rPr>
          <w:rFonts w:eastAsia="Malgun Gothic"/>
          <w:color w:val="000000" w:themeColor="text1"/>
          <w:szCs w:val="18"/>
        </w:rPr>
        <w:t>type</w:t>
      </w:r>
      <w:r w:rsidR="00F826F5" w:rsidRPr="00A52AB8">
        <w:rPr>
          <w:rFonts w:eastAsia="Malgun Gothic"/>
          <w:color w:val="000000" w:themeColor="text1"/>
          <w:szCs w:val="18"/>
        </w:rPr>
        <w:t xml:space="preserve"> equal to </w:t>
      </w:r>
      <w:r w:rsidR="000B7693" w:rsidRPr="00A52AB8">
        <w:rPr>
          <w:rFonts w:eastAsia="Malgun Gothic"/>
          <w:color w:val="000000" w:themeColor="text1"/>
          <w:szCs w:val="18"/>
        </w:rPr>
        <w:t>SKIP</w:t>
      </w:r>
      <w:r w:rsidR="00E470E7" w:rsidRPr="00A52AB8">
        <w:rPr>
          <w:rFonts w:eastAsia="Malgun Gothic"/>
          <w:color w:val="000000" w:themeColor="text1"/>
          <w:szCs w:val="18"/>
        </w:rPr>
        <w:t>_TILE</w:t>
      </w:r>
      <w:r w:rsidR="000B7693" w:rsidRPr="00A52AB8">
        <w:rPr>
          <w:rFonts w:eastAsia="Malgun Gothic"/>
          <w:color w:val="000000" w:themeColor="text1"/>
          <w:szCs w:val="18"/>
        </w:rPr>
        <w:t xml:space="preserve"> implies that the entire </w:t>
      </w:r>
      <w:r w:rsidR="00B8075E" w:rsidRPr="00A52AB8">
        <w:rPr>
          <w:rFonts w:eastAsia="Malgun Gothic"/>
          <w:color w:val="000000" w:themeColor="text1"/>
          <w:szCs w:val="18"/>
        </w:rPr>
        <w:t>tile</w:t>
      </w:r>
      <w:r w:rsidR="000B7693" w:rsidRPr="00A52AB8">
        <w:rPr>
          <w:rFonts w:eastAsia="Malgun Gothic"/>
          <w:color w:val="000000" w:themeColor="text1"/>
          <w:szCs w:val="18"/>
        </w:rPr>
        <w:t xml:space="preserve"> information is copied directly from the </w:t>
      </w:r>
      <w:r w:rsidR="00B8075E" w:rsidRPr="00A52AB8">
        <w:rPr>
          <w:rFonts w:eastAsia="Malgun Gothic"/>
          <w:color w:val="000000" w:themeColor="text1"/>
          <w:szCs w:val="18"/>
        </w:rPr>
        <w:t>tile</w:t>
      </w:r>
      <w:r w:rsidR="000B7693" w:rsidRPr="00A52AB8">
        <w:rPr>
          <w:rFonts w:eastAsia="Malgun Gothic"/>
          <w:color w:val="000000" w:themeColor="text1"/>
          <w:szCs w:val="18"/>
        </w:rPr>
        <w:t xml:space="preserve"> with the same </w:t>
      </w:r>
      <w:r w:rsidR="00F64F36" w:rsidRPr="00A52AB8">
        <w:rPr>
          <w:rFonts w:eastAsia="Malgun Gothic"/>
          <w:color w:val="000000" w:themeColor="text1"/>
          <w:szCs w:val="18"/>
        </w:rPr>
        <w:t>id</w:t>
      </w:r>
      <w:r w:rsidR="000B7693" w:rsidRPr="00A52AB8">
        <w:rPr>
          <w:rFonts w:eastAsia="Malgun Gothic"/>
          <w:color w:val="000000" w:themeColor="text1"/>
          <w:szCs w:val="18"/>
        </w:rPr>
        <w:t xml:space="preserve"> as that of the current </w:t>
      </w:r>
      <w:r w:rsidR="00B8075E" w:rsidRPr="00A52AB8">
        <w:rPr>
          <w:rFonts w:eastAsia="Malgun Gothic"/>
          <w:color w:val="000000" w:themeColor="text1"/>
          <w:szCs w:val="18"/>
        </w:rPr>
        <w:t>tile</w:t>
      </w:r>
      <w:r w:rsidR="000B7693" w:rsidRPr="00A52AB8">
        <w:rPr>
          <w:rFonts w:eastAsia="Malgun Gothic"/>
          <w:color w:val="000000" w:themeColor="text1"/>
          <w:szCs w:val="18"/>
        </w:rPr>
        <w:t xml:space="preserve"> that corresponds to the first reference atlas frame in the RefAtlasFrmList.</w:t>
      </w:r>
    </w:p>
    <w:p w14:paraId="331E685B" w14:textId="7257487D" w:rsidR="00D25453" w:rsidRPr="00A52AB8" w:rsidRDefault="00D25453">
      <w:pPr>
        <w:pStyle w:val="Caption"/>
        <w:rPr>
          <w:rFonts w:ascii="Cambria" w:eastAsiaTheme="minorEastAsia" w:hAnsi="Cambria"/>
          <w:color w:val="000000" w:themeColor="text1"/>
          <w:lang w:eastAsia="ja-JP"/>
        </w:rPr>
      </w:pPr>
      <w:bookmarkStart w:id="1232" w:name="_Ref882694"/>
      <w:bookmarkStart w:id="1233" w:name="_Ref882688"/>
      <w:r w:rsidRPr="00A52AB8">
        <w:rPr>
          <w:rFonts w:ascii="Cambria" w:hAnsi="Cambria"/>
          <w:color w:val="000000" w:themeColor="text1"/>
        </w:rPr>
        <w:t xml:space="preserve">Table </w:t>
      </w:r>
      <w:r w:rsidR="0053363C" w:rsidRPr="00496A4D">
        <w:rPr>
          <w:rFonts w:ascii="Cambria" w:hAnsi="Cambria"/>
          <w:color w:val="000000" w:themeColor="text1"/>
        </w:rPr>
        <w:fldChar w:fldCharType="begin"/>
      </w:r>
      <w:r w:rsidR="0053363C" w:rsidRPr="00A52AB8">
        <w:rPr>
          <w:rFonts w:ascii="Cambria" w:hAnsi="Cambria"/>
          <w:color w:val="000000" w:themeColor="text1"/>
        </w:rPr>
        <w:instrText xml:space="preserve"> SEQ Table \* ARABIC \</w:instrText>
      </w:r>
      <w:r w:rsidR="00E75DB1" w:rsidRPr="00A52AB8">
        <w:rPr>
          <w:rFonts w:ascii="Cambria" w:hAnsi="Cambria"/>
          <w:color w:val="000000" w:themeColor="text1"/>
        </w:rPr>
        <w:instrText>n</w:instrText>
      </w:r>
      <w:r w:rsidR="0053363C" w:rsidRPr="00A52AB8">
        <w:rPr>
          <w:rFonts w:ascii="Cambria" w:hAnsi="Cambria"/>
          <w:color w:val="000000" w:themeColor="text1"/>
        </w:rPr>
        <w:instrText xml:space="preserve"> </w:instrText>
      </w:r>
      <w:r w:rsidR="0053363C" w:rsidRPr="00496A4D">
        <w:rPr>
          <w:rFonts w:ascii="Cambria" w:hAnsi="Cambria"/>
          <w:color w:val="000000" w:themeColor="text1"/>
        </w:rPr>
        <w:fldChar w:fldCharType="separate"/>
      </w:r>
      <w:r w:rsidR="00507A67">
        <w:rPr>
          <w:rFonts w:ascii="Cambria" w:hAnsi="Cambria"/>
          <w:noProof/>
          <w:color w:val="000000" w:themeColor="text1"/>
        </w:rPr>
        <w:t>7</w:t>
      </w:r>
      <w:r w:rsidR="0053363C" w:rsidRPr="00496A4D">
        <w:rPr>
          <w:rFonts w:ascii="Cambria" w:hAnsi="Cambria"/>
          <w:color w:val="000000" w:themeColor="text1"/>
        </w:rPr>
        <w:fldChar w:fldCharType="end"/>
      </w:r>
      <w:bookmarkEnd w:id="1232"/>
      <w:r w:rsidR="001604C8" w:rsidRPr="00A52AB8">
        <w:rPr>
          <w:rFonts w:ascii="Cambria" w:hAnsi="Cambria" w:cs="Calibri"/>
          <w:bCs w:val="0"/>
        </w:rPr>
        <w:t> </w:t>
      </w:r>
      <w:r w:rsidR="001604C8" w:rsidRPr="00A52AB8">
        <w:rPr>
          <w:rFonts w:ascii="Cambria" w:hAnsi="Cambria"/>
        </w:rPr>
        <w:t>– </w:t>
      </w:r>
      <w:r w:rsidRPr="00A52AB8">
        <w:rPr>
          <w:rFonts w:ascii="Cambria" w:hAnsi="Cambria"/>
          <w:color w:val="000000" w:themeColor="text1"/>
        </w:rPr>
        <w:t>Patch mode</w:t>
      </w:r>
      <w:r w:rsidR="00D82334" w:rsidRPr="00A52AB8">
        <w:rPr>
          <w:rFonts w:ascii="Cambria" w:hAnsi="Cambria"/>
          <w:color w:val="000000" w:themeColor="text1"/>
        </w:rPr>
        <w:t>s</w:t>
      </w:r>
      <w:r w:rsidRPr="00A52AB8">
        <w:rPr>
          <w:rFonts w:ascii="Cambria" w:hAnsi="Cambria"/>
          <w:color w:val="000000" w:themeColor="text1"/>
        </w:rPr>
        <w:t xml:space="preserve"> for I</w:t>
      </w:r>
      <w:r w:rsidR="00E470E7" w:rsidRPr="00A52AB8">
        <w:rPr>
          <w:rFonts w:ascii="Cambria" w:hAnsi="Cambria"/>
        </w:rPr>
        <w:t>_TILE</w:t>
      </w:r>
      <w:r w:rsidR="00E748E9" w:rsidRPr="00A52AB8">
        <w:rPr>
          <w:rFonts w:ascii="Cambria" w:hAnsi="Cambria"/>
          <w:color w:val="000000" w:themeColor="text1"/>
        </w:rPr>
        <w:t xml:space="preserve"> </w:t>
      </w:r>
      <w:bookmarkEnd w:id="1233"/>
      <w:r w:rsidR="000C3DC4" w:rsidRPr="00A52AB8">
        <w:rPr>
          <w:rFonts w:ascii="Cambria" w:hAnsi="Cambria"/>
          <w:color w:val="000000" w:themeColor="text1"/>
        </w:rPr>
        <w:t xml:space="preserve">type </w:t>
      </w:r>
      <w:r w:rsidR="002A47BD" w:rsidRPr="00A52AB8">
        <w:rPr>
          <w:rFonts w:ascii="Cambria" w:hAnsi="Cambria"/>
          <w:color w:val="000000" w:themeColor="text1"/>
        </w:rPr>
        <w:t xml:space="preserve">atlas </w:t>
      </w:r>
      <w:r w:rsidR="00B8075E" w:rsidRPr="00A52AB8">
        <w:rPr>
          <w:rFonts w:ascii="Cambria" w:hAnsi="Cambria"/>
          <w:color w:val="000000" w:themeColor="text1"/>
        </w:rPr>
        <w:t>tile</w:t>
      </w:r>
      <w:r w:rsidR="004A314E" w:rsidRPr="00A52AB8">
        <w:rPr>
          <w:rFonts w:ascii="Cambria" w:hAnsi="Cambria"/>
          <w:color w:val="000000" w:themeColor="text1"/>
        </w:rPr>
        <w:t>s</w:t>
      </w:r>
    </w:p>
    <w:tbl>
      <w:tblPr>
        <w:tblStyle w:val="TableGrid"/>
        <w:tblW w:w="5000" w:type="pct"/>
        <w:jc w:val="center"/>
        <w:tblLook w:val="04A0" w:firstRow="1" w:lastRow="0" w:firstColumn="1" w:lastColumn="0" w:noHBand="0" w:noVBand="1"/>
      </w:tblPr>
      <w:tblGrid>
        <w:gridCol w:w="3540"/>
        <w:gridCol w:w="1567"/>
        <w:gridCol w:w="4635"/>
      </w:tblGrid>
      <w:tr w:rsidR="00D25453" w:rsidRPr="00A52AB8" w14:paraId="6454B714" w14:textId="77777777" w:rsidTr="004A6049">
        <w:trPr>
          <w:jc w:val="center"/>
        </w:trPr>
        <w:tc>
          <w:tcPr>
            <w:tcW w:w="1817" w:type="pct"/>
          </w:tcPr>
          <w:p w14:paraId="30963444" w14:textId="77777777" w:rsidR="00730A31" w:rsidRPr="00A52AB8" w:rsidRDefault="00A62CD5" w:rsidP="00956957">
            <w:pPr>
              <w:spacing w:before="120" w:after="120"/>
              <w:jc w:val="center"/>
              <w:rPr>
                <w:b/>
                <w:color w:val="000000"/>
              </w:rPr>
            </w:pPr>
            <w:r w:rsidRPr="00A52AB8">
              <w:rPr>
                <w:b/>
                <w:color w:val="000000" w:themeColor="text1"/>
              </w:rPr>
              <w:t>atdu_</w:t>
            </w:r>
            <w:r w:rsidR="00D25453" w:rsidRPr="00A52AB8">
              <w:rPr>
                <w:b/>
                <w:color w:val="000000" w:themeColor="text1"/>
              </w:rPr>
              <w:t>patch_mode</w:t>
            </w:r>
            <w:r w:rsidR="004B63D6" w:rsidRPr="00A52AB8">
              <w:rPr>
                <w:b/>
                <w:color w:val="000000"/>
              </w:rPr>
              <w:t>[ </w:t>
            </w:r>
            <w:r w:rsidR="00632FA7" w:rsidRPr="00A52AB8">
              <w:rPr>
                <w:b/>
                <w:color w:val="000000" w:themeColor="text1"/>
              </w:rPr>
              <w:t>tileID</w:t>
            </w:r>
            <w:r w:rsidR="004B63D6" w:rsidRPr="00A52AB8">
              <w:rPr>
                <w:b/>
                <w:color w:val="000000"/>
              </w:rPr>
              <w:t> ][ p ]</w:t>
            </w:r>
          </w:p>
        </w:tc>
        <w:tc>
          <w:tcPr>
            <w:tcW w:w="804" w:type="pct"/>
          </w:tcPr>
          <w:p w14:paraId="0D5FD9F1" w14:textId="77777777" w:rsidR="00D25453" w:rsidRPr="00A52AB8" w:rsidRDefault="00D25453">
            <w:pPr>
              <w:spacing w:before="120" w:after="120"/>
              <w:jc w:val="center"/>
              <w:rPr>
                <w:b/>
                <w:color w:val="000000" w:themeColor="text1"/>
              </w:rPr>
            </w:pPr>
            <w:r w:rsidRPr="00A52AB8">
              <w:rPr>
                <w:b/>
                <w:color w:val="000000" w:themeColor="text1"/>
              </w:rPr>
              <w:t>Identifier</w:t>
            </w:r>
          </w:p>
        </w:tc>
        <w:tc>
          <w:tcPr>
            <w:tcW w:w="2379" w:type="pct"/>
          </w:tcPr>
          <w:p w14:paraId="31389FBC" w14:textId="77777777" w:rsidR="00D25453" w:rsidRPr="00A52AB8" w:rsidRDefault="00D25453">
            <w:pPr>
              <w:spacing w:before="120" w:after="120"/>
              <w:rPr>
                <w:b/>
                <w:color w:val="000000" w:themeColor="text1"/>
              </w:rPr>
            </w:pPr>
            <w:r w:rsidRPr="00A52AB8">
              <w:rPr>
                <w:b/>
                <w:color w:val="000000" w:themeColor="text1"/>
              </w:rPr>
              <w:t>Description</w:t>
            </w:r>
          </w:p>
        </w:tc>
      </w:tr>
      <w:tr w:rsidR="00D25453" w:rsidRPr="00A52AB8" w14:paraId="66EED958" w14:textId="77777777" w:rsidTr="004A6049">
        <w:trPr>
          <w:jc w:val="center"/>
        </w:trPr>
        <w:tc>
          <w:tcPr>
            <w:tcW w:w="1817" w:type="pct"/>
          </w:tcPr>
          <w:p w14:paraId="2100548E" w14:textId="77777777" w:rsidR="00D25453" w:rsidRPr="00A52AB8" w:rsidRDefault="00E748E9">
            <w:pPr>
              <w:spacing w:before="120" w:after="120"/>
              <w:jc w:val="center"/>
              <w:rPr>
                <w:color w:val="000000" w:themeColor="text1"/>
              </w:rPr>
            </w:pPr>
            <w:r w:rsidRPr="00A52AB8">
              <w:rPr>
                <w:color w:val="000000" w:themeColor="text1"/>
              </w:rPr>
              <w:t>0</w:t>
            </w:r>
          </w:p>
        </w:tc>
        <w:tc>
          <w:tcPr>
            <w:tcW w:w="804" w:type="pct"/>
          </w:tcPr>
          <w:p w14:paraId="24B8A0B5" w14:textId="77777777" w:rsidR="00D25453" w:rsidRPr="00A52AB8" w:rsidRDefault="00E748E9">
            <w:pPr>
              <w:spacing w:before="120" w:after="120"/>
              <w:jc w:val="center"/>
              <w:rPr>
                <w:color w:val="000000" w:themeColor="text1"/>
                <w:lang w:eastAsia="ko-KR"/>
              </w:rPr>
            </w:pPr>
            <w:r w:rsidRPr="00A52AB8">
              <w:rPr>
                <w:color w:val="000000" w:themeColor="text1"/>
                <w:lang w:eastAsia="ko-KR"/>
              </w:rPr>
              <w:t>I</w:t>
            </w:r>
            <w:r w:rsidR="00D25453" w:rsidRPr="00A52AB8">
              <w:rPr>
                <w:color w:val="000000" w:themeColor="text1"/>
                <w:lang w:eastAsia="ko-KR"/>
              </w:rPr>
              <w:t>_INTRA</w:t>
            </w:r>
          </w:p>
        </w:tc>
        <w:tc>
          <w:tcPr>
            <w:tcW w:w="2379" w:type="pct"/>
          </w:tcPr>
          <w:p w14:paraId="59FA006A" w14:textId="77777777" w:rsidR="00D25453" w:rsidRPr="00A52AB8" w:rsidRDefault="00D25453">
            <w:pPr>
              <w:spacing w:before="120" w:after="120"/>
              <w:rPr>
                <w:color w:val="000000" w:themeColor="text1"/>
                <w:lang w:eastAsia="ko-KR"/>
              </w:rPr>
            </w:pPr>
            <w:r w:rsidRPr="00A52AB8">
              <w:rPr>
                <w:color w:val="000000" w:themeColor="text1"/>
                <w:lang w:eastAsia="ko-KR"/>
              </w:rPr>
              <w:t xml:space="preserve">Non-predicted </w:t>
            </w:r>
            <w:r w:rsidR="009079D0" w:rsidRPr="00A52AB8">
              <w:rPr>
                <w:color w:val="000000" w:themeColor="text1"/>
                <w:lang w:eastAsia="ko-KR"/>
              </w:rPr>
              <w:t>p</w:t>
            </w:r>
            <w:r w:rsidRPr="00A52AB8">
              <w:rPr>
                <w:color w:val="000000" w:themeColor="text1"/>
                <w:lang w:eastAsia="ko-KR"/>
              </w:rPr>
              <w:t>atch mode</w:t>
            </w:r>
          </w:p>
        </w:tc>
      </w:tr>
      <w:tr w:rsidR="00ED6B2D" w:rsidRPr="00A52AB8" w14:paraId="4BC97629" w14:textId="77777777" w:rsidTr="004A6049">
        <w:trPr>
          <w:jc w:val="center"/>
        </w:trPr>
        <w:tc>
          <w:tcPr>
            <w:tcW w:w="1817" w:type="pct"/>
          </w:tcPr>
          <w:p w14:paraId="7414E1F4" w14:textId="77777777" w:rsidR="00ED6B2D" w:rsidRPr="00A52AB8" w:rsidRDefault="00ED6B2D">
            <w:pPr>
              <w:spacing w:before="120" w:after="120"/>
              <w:jc w:val="center"/>
              <w:rPr>
                <w:color w:val="000000" w:themeColor="text1"/>
              </w:rPr>
            </w:pPr>
            <w:r w:rsidRPr="00A52AB8">
              <w:rPr>
                <w:color w:val="000000" w:themeColor="text1"/>
              </w:rPr>
              <w:t>1</w:t>
            </w:r>
          </w:p>
        </w:tc>
        <w:tc>
          <w:tcPr>
            <w:tcW w:w="804" w:type="pct"/>
          </w:tcPr>
          <w:p w14:paraId="602D3770" w14:textId="77777777" w:rsidR="00ED6B2D" w:rsidRPr="00A52AB8" w:rsidRDefault="00ED6B2D">
            <w:pPr>
              <w:spacing w:before="120" w:after="120"/>
              <w:jc w:val="center"/>
              <w:rPr>
                <w:color w:val="000000" w:themeColor="text1"/>
                <w:lang w:eastAsia="ko-KR"/>
              </w:rPr>
            </w:pPr>
            <w:r w:rsidRPr="00A52AB8">
              <w:rPr>
                <w:color w:val="000000" w:themeColor="text1"/>
                <w:lang w:eastAsia="ko-KR"/>
              </w:rPr>
              <w:t>I_RAW</w:t>
            </w:r>
          </w:p>
        </w:tc>
        <w:tc>
          <w:tcPr>
            <w:tcW w:w="2379" w:type="pct"/>
          </w:tcPr>
          <w:p w14:paraId="41B4AFCF" w14:textId="77777777" w:rsidR="00ED6B2D" w:rsidRPr="00A52AB8" w:rsidRDefault="00ED6B2D">
            <w:pPr>
              <w:spacing w:before="120" w:after="120"/>
              <w:rPr>
                <w:color w:val="000000" w:themeColor="text1"/>
                <w:lang w:eastAsia="ko-KR"/>
              </w:rPr>
            </w:pPr>
            <w:r w:rsidRPr="00A52AB8">
              <w:rPr>
                <w:color w:val="000000" w:themeColor="text1"/>
                <w:lang w:eastAsia="ko-KR"/>
              </w:rPr>
              <w:t>RAW Point Patch mode</w:t>
            </w:r>
          </w:p>
        </w:tc>
      </w:tr>
      <w:tr w:rsidR="00D25453" w:rsidRPr="00A52AB8" w14:paraId="2F7AB428" w14:textId="77777777" w:rsidTr="004A6049">
        <w:trPr>
          <w:jc w:val="center"/>
        </w:trPr>
        <w:tc>
          <w:tcPr>
            <w:tcW w:w="1817" w:type="pct"/>
          </w:tcPr>
          <w:p w14:paraId="0AC6D432" w14:textId="77777777" w:rsidR="00D25453" w:rsidRPr="00A52AB8" w:rsidRDefault="00ED6B2D">
            <w:pPr>
              <w:spacing w:before="120" w:after="120"/>
              <w:jc w:val="center"/>
              <w:rPr>
                <w:color w:val="000000" w:themeColor="text1"/>
              </w:rPr>
            </w:pPr>
            <w:r w:rsidRPr="00A52AB8">
              <w:rPr>
                <w:color w:val="000000" w:themeColor="text1"/>
              </w:rPr>
              <w:t>2</w:t>
            </w:r>
          </w:p>
        </w:tc>
        <w:tc>
          <w:tcPr>
            <w:tcW w:w="804" w:type="pct"/>
          </w:tcPr>
          <w:p w14:paraId="08C738B7" w14:textId="77777777" w:rsidR="00D25453" w:rsidRPr="00A52AB8" w:rsidRDefault="00E748E9">
            <w:pPr>
              <w:spacing w:before="120" w:after="120"/>
              <w:jc w:val="center"/>
              <w:rPr>
                <w:color w:val="000000" w:themeColor="text1"/>
                <w:lang w:eastAsia="ko-KR"/>
              </w:rPr>
            </w:pPr>
            <w:r w:rsidRPr="00A52AB8">
              <w:rPr>
                <w:color w:val="000000" w:themeColor="text1"/>
                <w:lang w:eastAsia="ko-KR"/>
              </w:rPr>
              <w:t>I</w:t>
            </w:r>
            <w:r w:rsidR="00D25453" w:rsidRPr="00A52AB8">
              <w:rPr>
                <w:color w:val="000000" w:themeColor="text1"/>
                <w:lang w:eastAsia="ko-KR"/>
              </w:rPr>
              <w:t>_</w:t>
            </w:r>
            <w:r w:rsidR="006632AA" w:rsidRPr="00A52AB8">
              <w:rPr>
                <w:color w:val="000000" w:themeColor="text1"/>
                <w:lang w:eastAsia="ko-KR"/>
              </w:rPr>
              <w:t>EOM</w:t>
            </w:r>
          </w:p>
        </w:tc>
        <w:tc>
          <w:tcPr>
            <w:tcW w:w="2379" w:type="pct"/>
          </w:tcPr>
          <w:p w14:paraId="5DD780F2" w14:textId="77777777" w:rsidR="00D25453" w:rsidRPr="00A52AB8" w:rsidRDefault="006632AA">
            <w:pPr>
              <w:spacing w:before="120" w:after="120"/>
              <w:rPr>
                <w:color w:val="000000" w:themeColor="text1"/>
                <w:lang w:eastAsia="ko-KR"/>
              </w:rPr>
            </w:pPr>
            <w:r w:rsidRPr="00A52AB8">
              <w:rPr>
                <w:color w:val="000000" w:themeColor="text1"/>
                <w:lang w:eastAsia="ko-KR"/>
              </w:rPr>
              <w:t>EOM</w:t>
            </w:r>
            <w:r w:rsidR="00D25453" w:rsidRPr="00A52AB8">
              <w:rPr>
                <w:color w:val="000000" w:themeColor="text1"/>
                <w:lang w:eastAsia="ko-KR"/>
              </w:rPr>
              <w:t xml:space="preserve"> Point Patch mode</w:t>
            </w:r>
          </w:p>
        </w:tc>
      </w:tr>
      <w:tr w:rsidR="00016995" w:rsidRPr="00A52AB8" w14:paraId="27634B99" w14:textId="77777777" w:rsidTr="004A6049">
        <w:trPr>
          <w:jc w:val="center"/>
        </w:trPr>
        <w:tc>
          <w:tcPr>
            <w:tcW w:w="1817" w:type="pct"/>
          </w:tcPr>
          <w:p w14:paraId="115E401F" w14:textId="77777777" w:rsidR="00016995" w:rsidRPr="00A52AB8" w:rsidRDefault="00ED6B2D">
            <w:pPr>
              <w:spacing w:before="120" w:after="120"/>
              <w:jc w:val="center"/>
              <w:rPr>
                <w:color w:val="000000" w:themeColor="text1"/>
              </w:rPr>
            </w:pPr>
            <w:r w:rsidRPr="00A52AB8">
              <w:rPr>
                <w:color w:val="000000" w:themeColor="text1"/>
              </w:rPr>
              <w:t>3</w:t>
            </w:r>
            <w:r w:rsidR="00016995" w:rsidRPr="00A52AB8">
              <w:rPr>
                <w:color w:val="000000" w:themeColor="text1"/>
              </w:rPr>
              <w:t>-13</w:t>
            </w:r>
          </w:p>
        </w:tc>
        <w:tc>
          <w:tcPr>
            <w:tcW w:w="804" w:type="pct"/>
          </w:tcPr>
          <w:p w14:paraId="67CE93B7" w14:textId="77777777" w:rsidR="00016995" w:rsidRPr="00A52AB8" w:rsidRDefault="00144683">
            <w:pPr>
              <w:spacing w:before="120" w:after="120"/>
              <w:jc w:val="center"/>
              <w:rPr>
                <w:color w:val="000000" w:themeColor="text1"/>
                <w:lang w:eastAsia="ko-KR"/>
              </w:rPr>
            </w:pPr>
            <w:r w:rsidRPr="00A52AB8">
              <w:rPr>
                <w:color w:val="000000" w:themeColor="text1"/>
                <w:lang w:eastAsia="ko-KR"/>
              </w:rPr>
              <w:t>I_RESERVED</w:t>
            </w:r>
          </w:p>
        </w:tc>
        <w:tc>
          <w:tcPr>
            <w:tcW w:w="2379" w:type="pct"/>
          </w:tcPr>
          <w:p w14:paraId="7B05C4FE" w14:textId="77777777" w:rsidR="00016995" w:rsidRPr="00A52AB8" w:rsidRDefault="00144683">
            <w:pPr>
              <w:spacing w:before="120" w:after="120"/>
              <w:rPr>
                <w:color w:val="000000" w:themeColor="text1"/>
                <w:lang w:eastAsia="ko-KR"/>
              </w:rPr>
            </w:pPr>
            <w:r w:rsidRPr="00A52AB8">
              <w:rPr>
                <w:color w:val="000000" w:themeColor="text1"/>
                <w:lang w:eastAsia="ko-KR"/>
              </w:rPr>
              <w:t>Reserved modes</w:t>
            </w:r>
            <w:r w:rsidR="00F03B62" w:rsidRPr="00A52AB8">
              <w:rPr>
                <w:color w:val="000000" w:themeColor="text1"/>
                <w:lang w:eastAsia="ko-KR"/>
              </w:rPr>
              <w:t xml:space="preserve"> for future use by ISO/IEC</w:t>
            </w:r>
          </w:p>
        </w:tc>
      </w:tr>
      <w:tr w:rsidR="00016995" w:rsidRPr="00A52AB8" w14:paraId="7174D8D5" w14:textId="77777777" w:rsidTr="004A6049">
        <w:trPr>
          <w:jc w:val="center"/>
        </w:trPr>
        <w:tc>
          <w:tcPr>
            <w:tcW w:w="1817" w:type="pct"/>
          </w:tcPr>
          <w:p w14:paraId="2757E1DC" w14:textId="77777777" w:rsidR="00016995" w:rsidRPr="00A52AB8" w:rsidRDefault="00016995">
            <w:pPr>
              <w:spacing w:before="120" w:after="120"/>
              <w:jc w:val="center"/>
              <w:rPr>
                <w:color w:val="000000" w:themeColor="text1"/>
              </w:rPr>
            </w:pPr>
            <w:r w:rsidRPr="00A52AB8">
              <w:rPr>
                <w:color w:val="000000" w:themeColor="text1"/>
              </w:rPr>
              <w:t>14</w:t>
            </w:r>
          </w:p>
        </w:tc>
        <w:tc>
          <w:tcPr>
            <w:tcW w:w="804" w:type="pct"/>
          </w:tcPr>
          <w:p w14:paraId="71806E04" w14:textId="77777777" w:rsidR="00016995" w:rsidRPr="00A52AB8" w:rsidRDefault="00016995">
            <w:pPr>
              <w:spacing w:before="120" w:after="120"/>
              <w:jc w:val="center"/>
              <w:rPr>
                <w:color w:val="000000" w:themeColor="text1"/>
                <w:lang w:eastAsia="ko-KR"/>
              </w:rPr>
            </w:pPr>
            <w:r w:rsidRPr="00A52AB8">
              <w:rPr>
                <w:color w:val="000000" w:themeColor="text1"/>
                <w:lang w:eastAsia="ko-KR"/>
              </w:rPr>
              <w:t>I_END</w:t>
            </w:r>
          </w:p>
        </w:tc>
        <w:tc>
          <w:tcPr>
            <w:tcW w:w="2379" w:type="pct"/>
          </w:tcPr>
          <w:p w14:paraId="67097906" w14:textId="77777777" w:rsidR="00016995" w:rsidRPr="00A52AB8" w:rsidRDefault="00016995">
            <w:pPr>
              <w:spacing w:before="120" w:after="120"/>
              <w:rPr>
                <w:color w:val="000000" w:themeColor="text1"/>
                <w:lang w:eastAsia="ko-KR"/>
              </w:rPr>
            </w:pPr>
            <w:r w:rsidRPr="00A52AB8">
              <w:rPr>
                <w:color w:val="000000" w:themeColor="text1"/>
                <w:lang w:eastAsia="ko-KR"/>
              </w:rPr>
              <w:t>Patch termination mode</w:t>
            </w:r>
          </w:p>
        </w:tc>
      </w:tr>
    </w:tbl>
    <w:p w14:paraId="2AAF54AC" w14:textId="7BE32F42" w:rsidR="00E748E9" w:rsidRPr="00A52AB8" w:rsidRDefault="00E748E9">
      <w:pPr>
        <w:pStyle w:val="Caption"/>
        <w:rPr>
          <w:rFonts w:ascii="Cambria" w:eastAsiaTheme="minorEastAsia" w:hAnsi="Cambria"/>
          <w:color w:val="000000" w:themeColor="text1"/>
          <w:lang w:eastAsia="ja-JP"/>
        </w:rPr>
      </w:pPr>
      <w:bookmarkStart w:id="1234" w:name="_Ref882696"/>
      <w:r w:rsidRPr="00A52AB8">
        <w:rPr>
          <w:rFonts w:ascii="Cambria" w:hAnsi="Cambria"/>
          <w:color w:val="000000" w:themeColor="text1"/>
        </w:rPr>
        <w:t xml:space="preserve">Table </w:t>
      </w:r>
      <w:r w:rsidR="0053363C" w:rsidRPr="00496A4D">
        <w:rPr>
          <w:rFonts w:ascii="Cambria" w:hAnsi="Cambria"/>
          <w:color w:val="000000" w:themeColor="text1"/>
        </w:rPr>
        <w:fldChar w:fldCharType="begin"/>
      </w:r>
      <w:r w:rsidR="0053363C" w:rsidRPr="00A52AB8">
        <w:rPr>
          <w:rFonts w:ascii="Cambria" w:hAnsi="Cambria"/>
          <w:color w:val="000000" w:themeColor="text1"/>
        </w:rPr>
        <w:instrText xml:space="preserve"> SEQ Table \* ARABIC \</w:instrText>
      </w:r>
      <w:r w:rsidR="00E75DB1" w:rsidRPr="00A52AB8">
        <w:rPr>
          <w:rFonts w:ascii="Cambria" w:hAnsi="Cambria"/>
          <w:color w:val="000000" w:themeColor="text1"/>
        </w:rPr>
        <w:instrText>n</w:instrText>
      </w:r>
      <w:r w:rsidR="0053363C" w:rsidRPr="00A52AB8">
        <w:rPr>
          <w:rFonts w:ascii="Cambria" w:hAnsi="Cambria"/>
          <w:color w:val="000000" w:themeColor="text1"/>
        </w:rPr>
        <w:instrText xml:space="preserve"> </w:instrText>
      </w:r>
      <w:r w:rsidR="0053363C" w:rsidRPr="00496A4D">
        <w:rPr>
          <w:rFonts w:ascii="Cambria" w:hAnsi="Cambria"/>
          <w:color w:val="000000" w:themeColor="text1"/>
        </w:rPr>
        <w:fldChar w:fldCharType="separate"/>
      </w:r>
      <w:r w:rsidR="00507A67">
        <w:rPr>
          <w:rFonts w:ascii="Cambria" w:hAnsi="Cambria"/>
          <w:noProof/>
          <w:color w:val="000000" w:themeColor="text1"/>
        </w:rPr>
        <w:t>8</w:t>
      </w:r>
      <w:r w:rsidR="0053363C" w:rsidRPr="00496A4D">
        <w:rPr>
          <w:rFonts w:ascii="Cambria" w:hAnsi="Cambria"/>
          <w:color w:val="000000" w:themeColor="text1"/>
        </w:rPr>
        <w:fldChar w:fldCharType="end"/>
      </w:r>
      <w:bookmarkEnd w:id="1234"/>
      <w:r w:rsidR="001604C8" w:rsidRPr="00A52AB8">
        <w:rPr>
          <w:rFonts w:ascii="Cambria" w:hAnsi="Cambria" w:cs="Calibri"/>
          <w:bCs w:val="0"/>
        </w:rPr>
        <w:t> </w:t>
      </w:r>
      <w:r w:rsidR="001604C8" w:rsidRPr="00A52AB8">
        <w:rPr>
          <w:rFonts w:ascii="Cambria" w:hAnsi="Cambria"/>
        </w:rPr>
        <w:t>– </w:t>
      </w:r>
      <w:r w:rsidRPr="00A52AB8">
        <w:rPr>
          <w:rFonts w:ascii="Cambria" w:hAnsi="Cambria"/>
          <w:color w:val="000000" w:themeColor="text1"/>
        </w:rPr>
        <w:t>Patch mode</w:t>
      </w:r>
      <w:r w:rsidR="00D82334" w:rsidRPr="00A52AB8">
        <w:rPr>
          <w:rFonts w:ascii="Cambria" w:hAnsi="Cambria"/>
          <w:color w:val="000000" w:themeColor="text1"/>
        </w:rPr>
        <w:t xml:space="preserve">s </w:t>
      </w:r>
      <w:r w:rsidRPr="00A52AB8">
        <w:rPr>
          <w:rFonts w:ascii="Cambria" w:hAnsi="Cambria"/>
          <w:color w:val="000000" w:themeColor="text1"/>
        </w:rPr>
        <w:t>for P</w:t>
      </w:r>
      <w:r w:rsidR="00E470E7" w:rsidRPr="00A52AB8">
        <w:rPr>
          <w:rFonts w:ascii="Cambria" w:hAnsi="Cambria"/>
        </w:rPr>
        <w:t>_TILE</w:t>
      </w:r>
      <w:r w:rsidRPr="00A52AB8">
        <w:rPr>
          <w:rFonts w:ascii="Cambria" w:hAnsi="Cambria"/>
          <w:color w:val="000000" w:themeColor="text1"/>
        </w:rPr>
        <w:t xml:space="preserve"> </w:t>
      </w:r>
      <w:r w:rsidR="000C3DC4" w:rsidRPr="00A52AB8">
        <w:rPr>
          <w:rFonts w:ascii="Cambria" w:hAnsi="Cambria"/>
          <w:color w:val="000000" w:themeColor="text1"/>
        </w:rPr>
        <w:t xml:space="preserve">type </w:t>
      </w:r>
      <w:r w:rsidR="002A47BD" w:rsidRPr="00A52AB8">
        <w:rPr>
          <w:rFonts w:ascii="Cambria" w:hAnsi="Cambria"/>
          <w:color w:val="000000" w:themeColor="text1"/>
        </w:rPr>
        <w:t xml:space="preserve">atlas </w:t>
      </w:r>
      <w:r w:rsidR="00B8075E" w:rsidRPr="00A52AB8">
        <w:rPr>
          <w:rFonts w:ascii="Cambria" w:hAnsi="Cambria"/>
          <w:color w:val="000000" w:themeColor="text1"/>
        </w:rPr>
        <w:t>tile</w:t>
      </w:r>
      <w:r w:rsidR="004A314E" w:rsidRPr="00A52AB8">
        <w:rPr>
          <w:rFonts w:ascii="Cambria" w:hAnsi="Cambria"/>
          <w:color w:val="000000" w:themeColor="text1"/>
        </w:rPr>
        <w:t>s</w:t>
      </w:r>
    </w:p>
    <w:tbl>
      <w:tblPr>
        <w:tblStyle w:val="TableGrid"/>
        <w:tblW w:w="0" w:type="auto"/>
        <w:jc w:val="center"/>
        <w:tblLook w:val="04A0" w:firstRow="1" w:lastRow="0" w:firstColumn="1" w:lastColumn="0" w:noHBand="0" w:noVBand="1"/>
      </w:tblPr>
      <w:tblGrid>
        <w:gridCol w:w="3188"/>
        <w:gridCol w:w="1463"/>
        <w:gridCol w:w="4173"/>
      </w:tblGrid>
      <w:tr w:rsidR="00E748E9" w:rsidRPr="00A52AB8" w14:paraId="18AE23EA" w14:textId="77777777" w:rsidTr="0021699E">
        <w:trPr>
          <w:jc w:val="center"/>
        </w:trPr>
        <w:tc>
          <w:tcPr>
            <w:tcW w:w="0" w:type="auto"/>
          </w:tcPr>
          <w:p w14:paraId="2350168A" w14:textId="77777777" w:rsidR="00E748E9" w:rsidRPr="00A52AB8" w:rsidRDefault="00A62CD5">
            <w:pPr>
              <w:spacing w:before="120" w:after="120"/>
              <w:jc w:val="center"/>
              <w:rPr>
                <w:b/>
                <w:color w:val="000000" w:themeColor="text1"/>
              </w:rPr>
            </w:pPr>
            <w:r w:rsidRPr="00A52AB8">
              <w:rPr>
                <w:b/>
                <w:color w:val="000000" w:themeColor="text1"/>
              </w:rPr>
              <w:t>atdu_</w:t>
            </w:r>
            <w:r w:rsidR="00E748E9" w:rsidRPr="00A52AB8">
              <w:rPr>
                <w:b/>
                <w:color w:val="000000" w:themeColor="text1"/>
              </w:rPr>
              <w:t>patch_mode</w:t>
            </w:r>
            <w:r w:rsidR="004B63D6" w:rsidRPr="00A52AB8">
              <w:rPr>
                <w:b/>
                <w:color w:val="000000"/>
              </w:rPr>
              <w:t>[ </w:t>
            </w:r>
            <w:r w:rsidR="00632FA7" w:rsidRPr="00A52AB8">
              <w:rPr>
                <w:b/>
                <w:color w:val="000000" w:themeColor="text1"/>
              </w:rPr>
              <w:t>tileID</w:t>
            </w:r>
            <w:r w:rsidR="004B63D6" w:rsidRPr="00A52AB8">
              <w:rPr>
                <w:b/>
                <w:color w:val="000000"/>
              </w:rPr>
              <w:t> ][ p ]</w:t>
            </w:r>
          </w:p>
        </w:tc>
        <w:tc>
          <w:tcPr>
            <w:tcW w:w="0" w:type="auto"/>
          </w:tcPr>
          <w:p w14:paraId="527D6D9F" w14:textId="77777777" w:rsidR="00E748E9" w:rsidRPr="00A52AB8" w:rsidRDefault="00E748E9">
            <w:pPr>
              <w:spacing w:before="120" w:after="120"/>
              <w:jc w:val="center"/>
              <w:rPr>
                <w:b/>
                <w:color w:val="000000" w:themeColor="text1"/>
              </w:rPr>
            </w:pPr>
            <w:r w:rsidRPr="00A52AB8">
              <w:rPr>
                <w:b/>
                <w:color w:val="000000" w:themeColor="text1"/>
              </w:rPr>
              <w:t>Identifier</w:t>
            </w:r>
          </w:p>
        </w:tc>
        <w:tc>
          <w:tcPr>
            <w:tcW w:w="0" w:type="auto"/>
          </w:tcPr>
          <w:p w14:paraId="30E33D29" w14:textId="77777777" w:rsidR="00E748E9" w:rsidRPr="00A52AB8" w:rsidRDefault="00E748E9">
            <w:pPr>
              <w:spacing w:before="120" w:after="120"/>
              <w:rPr>
                <w:b/>
                <w:color w:val="000000" w:themeColor="text1"/>
              </w:rPr>
            </w:pPr>
            <w:r w:rsidRPr="00A52AB8">
              <w:rPr>
                <w:b/>
                <w:color w:val="000000" w:themeColor="text1"/>
              </w:rPr>
              <w:t>Description</w:t>
            </w:r>
          </w:p>
        </w:tc>
      </w:tr>
      <w:tr w:rsidR="00E748E9" w:rsidRPr="00A52AB8" w14:paraId="7BFA3B1A" w14:textId="77777777" w:rsidTr="0021699E">
        <w:trPr>
          <w:jc w:val="center"/>
        </w:trPr>
        <w:tc>
          <w:tcPr>
            <w:tcW w:w="0" w:type="auto"/>
          </w:tcPr>
          <w:p w14:paraId="6BA48F90" w14:textId="77777777" w:rsidR="00E748E9" w:rsidRPr="00A52AB8" w:rsidRDefault="00E748E9">
            <w:pPr>
              <w:spacing w:before="120" w:after="120"/>
              <w:jc w:val="center"/>
              <w:rPr>
                <w:color w:val="000000" w:themeColor="text1"/>
              </w:rPr>
            </w:pPr>
            <w:r w:rsidRPr="00A52AB8">
              <w:rPr>
                <w:color w:val="000000" w:themeColor="text1"/>
              </w:rPr>
              <w:t>0</w:t>
            </w:r>
          </w:p>
        </w:tc>
        <w:tc>
          <w:tcPr>
            <w:tcW w:w="0" w:type="auto"/>
          </w:tcPr>
          <w:p w14:paraId="23247310" w14:textId="77777777" w:rsidR="00E748E9" w:rsidRPr="00A52AB8" w:rsidRDefault="00E748E9">
            <w:pPr>
              <w:spacing w:before="120" w:after="120"/>
              <w:jc w:val="center"/>
              <w:rPr>
                <w:color w:val="000000" w:themeColor="text1"/>
                <w:lang w:eastAsia="ko-KR"/>
              </w:rPr>
            </w:pPr>
            <w:r w:rsidRPr="00A52AB8">
              <w:rPr>
                <w:color w:val="000000" w:themeColor="text1"/>
                <w:lang w:eastAsia="ko-KR"/>
              </w:rPr>
              <w:t>P_SKIP</w:t>
            </w:r>
          </w:p>
        </w:tc>
        <w:tc>
          <w:tcPr>
            <w:tcW w:w="0" w:type="auto"/>
          </w:tcPr>
          <w:p w14:paraId="485EE815" w14:textId="77777777" w:rsidR="00E748E9" w:rsidRPr="00A52AB8" w:rsidRDefault="00E748E9">
            <w:pPr>
              <w:spacing w:before="120" w:after="120"/>
              <w:rPr>
                <w:color w:val="000000" w:themeColor="text1"/>
                <w:lang w:eastAsia="ko-KR"/>
              </w:rPr>
            </w:pPr>
            <w:r w:rsidRPr="00A52AB8">
              <w:rPr>
                <w:color w:val="000000" w:themeColor="text1"/>
                <w:lang w:eastAsia="ko-KR"/>
              </w:rPr>
              <w:t>Patch Skip mode</w:t>
            </w:r>
          </w:p>
        </w:tc>
      </w:tr>
      <w:tr w:rsidR="00ED6B2D" w:rsidRPr="00A52AB8" w14:paraId="1E0589AD" w14:textId="77777777" w:rsidTr="0021699E">
        <w:trPr>
          <w:jc w:val="center"/>
        </w:trPr>
        <w:tc>
          <w:tcPr>
            <w:tcW w:w="0" w:type="auto"/>
          </w:tcPr>
          <w:p w14:paraId="49BA4D9B" w14:textId="77777777" w:rsidR="00ED6B2D" w:rsidRPr="00A52AB8" w:rsidRDefault="00ED6B2D">
            <w:pPr>
              <w:spacing w:before="120" w:after="120"/>
              <w:jc w:val="center"/>
              <w:rPr>
                <w:color w:val="000000" w:themeColor="text1"/>
              </w:rPr>
            </w:pPr>
            <w:r w:rsidRPr="00A52AB8">
              <w:rPr>
                <w:color w:val="000000" w:themeColor="text1"/>
              </w:rPr>
              <w:t>1</w:t>
            </w:r>
          </w:p>
        </w:tc>
        <w:tc>
          <w:tcPr>
            <w:tcW w:w="0" w:type="auto"/>
          </w:tcPr>
          <w:p w14:paraId="0B400236" w14:textId="77777777" w:rsidR="00ED6B2D" w:rsidRPr="00A52AB8" w:rsidRDefault="00ED6B2D">
            <w:pPr>
              <w:spacing w:before="120" w:after="120"/>
              <w:jc w:val="center"/>
              <w:rPr>
                <w:color w:val="000000" w:themeColor="text1"/>
                <w:lang w:eastAsia="ko-KR"/>
              </w:rPr>
            </w:pPr>
            <w:r w:rsidRPr="00A52AB8">
              <w:rPr>
                <w:color w:val="000000" w:themeColor="text1"/>
                <w:lang w:eastAsia="ko-KR"/>
              </w:rPr>
              <w:t>P_MERGE</w:t>
            </w:r>
          </w:p>
        </w:tc>
        <w:tc>
          <w:tcPr>
            <w:tcW w:w="0" w:type="auto"/>
          </w:tcPr>
          <w:p w14:paraId="31A18F5C" w14:textId="77777777" w:rsidR="00ED6B2D" w:rsidRPr="00A52AB8" w:rsidRDefault="00ED6B2D">
            <w:pPr>
              <w:spacing w:before="120" w:after="120"/>
              <w:rPr>
                <w:color w:val="000000" w:themeColor="text1"/>
                <w:lang w:eastAsia="ko-KR"/>
              </w:rPr>
            </w:pPr>
            <w:r w:rsidRPr="00A52AB8">
              <w:rPr>
                <w:color w:val="000000" w:themeColor="text1"/>
                <w:lang w:eastAsia="ko-KR"/>
              </w:rPr>
              <w:t>Patch Merge mode</w:t>
            </w:r>
          </w:p>
        </w:tc>
      </w:tr>
      <w:tr w:rsidR="00ED6B2D" w:rsidRPr="00A52AB8" w14:paraId="3AAB9A68" w14:textId="77777777" w:rsidTr="0021699E">
        <w:trPr>
          <w:jc w:val="center"/>
        </w:trPr>
        <w:tc>
          <w:tcPr>
            <w:tcW w:w="0" w:type="auto"/>
          </w:tcPr>
          <w:p w14:paraId="557F6FBD" w14:textId="77777777" w:rsidR="00ED6B2D" w:rsidRPr="00A52AB8" w:rsidRDefault="00ED6B2D">
            <w:pPr>
              <w:spacing w:before="120" w:after="120"/>
              <w:jc w:val="center"/>
              <w:rPr>
                <w:color w:val="000000" w:themeColor="text1"/>
              </w:rPr>
            </w:pPr>
            <w:r w:rsidRPr="00A52AB8">
              <w:rPr>
                <w:color w:val="000000" w:themeColor="text1"/>
              </w:rPr>
              <w:t>2</w:t>
            </w:r>
          </w:p>
        </w:tc>
        <w:tc>
          <w:tcPr>
            <w:tcW w:w="0" w:type="auto"/>
          </w:tcPr>
          <w:p w14:paraId="14EE80DA" w14:textId="77777777" w:rsidR="00ED6B2D" w:rsidRPr="00A52AB8" w:rsidRDefault="00ED6B2D">
            <w:pPr>
              <w:spacing w:before="120" w:after="120"/>
              <w:jc w:val="center"/>
              <w:rPr>
                <w:color w:val="000000" w:themeColor="text1"/>
                <w:lang w:eastAsia="ko-KR"/>
              </w:rPr>
            </w:pPr>
            <w:r w:rsidRPr="00A52AB8">
              <w:rPr>
                <w:color w:val="000000" w:themeColor="text1"/>
                <w:lang w:eastAsia="ko-KR"/>
              </w:rPr>
              <w:t>P_INTER</w:t>
            </w:r>
          </w:p>
        </w:tc>
        <w:tc>
          <w:tcPr>
            <w:tcW w:w="0" w:type="auto"/>
          </w:tcPr>
          <w:p w14:paraId="1CD1E0D9" w14:textId="77777777" w:rsidR="00ED6B2D" w:rsidRPr="00A52AB8" w:rsidRDefault="00ED6B2D">
            <w:pPr>
              <w:spacing w:before="120" w:after="120"/>
              <w:rPr>
                <w:color w:val="000000" w:themeColor="text1"/>
                <w:lang w:eastAsia="ko-KR"/>
              </w:rPr>
            </w:pPr>
            <w:r w:rsidRPr="00A52AB8">
              <w:rPr>
                <w:color w:val="000000" w:themeColor="text1"/>
                <w:lang w:eastAsia="ko-KR"/>
              </w:rPr>
              <w:t>Inter predicted Patch mode</w:t>
            </w:r>
          </w:p>
        </w:tc>
      </w:tr>
      <w:tr w:rsidR="00E748E9" w:rsidRPr="00A52AB8" w14:paraId="63AAFE86" w14:textId="77777777" w:rsidTr="0021699E">
        <w:trPr>
          <w:jc w:val="center"/>
        </w:trPr>
        <w:tc>
          <w:tcPr>
            <w:tcW w:w="0" w:type="auto"/>
          </w:tcPr>
          <w:p w14:paraId="644F5CBF" w14:textId="77777777" w:rsidR="00E748E9" w:rsidRPr="00A52AB8" w:rsidRDefault="00ED6B2D">
            <w:pPr>
              <w:spacing w:before="120" w:after="120"/>
              <w:jc w:val="center"/>
              <w:rPr>
                <w:color w:val="000000" w:themeColor="text1"/>
              </w:rPr>
            </w:pPr>
            <w:r w:rsidRPr="00A52AB8">
              <w:rPr>
                <w:color w:val="000000" w:themeColor="text1"/>
              </w:rPr>
              <w:t>3</w:t>
            </w:r>
          </w:p>
        </w:tc>
        <w:tc>
          <w:tcPr>
            <w:tcW w:w="0" w:type="auto"/>
          </w:tcPr>
          <w:p w14:paraId="53A60AD7" w14:textId="77777777" w:rsidR="00E748E9" w:rsidRPr="00A52AB8" w:rsidRDefault="00E748E9">
            <w:pPr>
              <w:spacing w:before="120" w:after="120"/>
              <w:jc w:val="center"/>
              <w:rPr>
                <w:color w:val="000000" w:themeColor="text1"/>
                <w:lang w:eastAsia="ko-KR"/>
              </w:rPr>
            </w:pPr>
            <w:r w:rsidRPr="00A52AB8">
              <w:rPr>
                <w:color w:val="000000" w:themeColor="text1"/>
                <w:lang w:eastAsia="ko-KR"/>
              </w:rPr>
              <w:t>P_INTRA</w:t>
            </w:r>
          </w:p>
        </w:tc>
        <w:tc>
          <w:tcPr>
            <w:tcW w:w="0" w:type="auto"/>
          </w:tcPr>
          <w:p w14:paraId="23FAB2D3" w14:textId="77777777" w:rsidR="00E748E9" w:rsidRPr="00A52AB8" w:rsidRDefault="00E748E9">
            <w:pPr>
              <w:spacing w:before="120" w:after="120"/>
              <w:rPr>
                <w:color w:val="000000" w:themeColor="text1"/>
                <w:lang w:eastAsia="ko-KR"/>
              </w:rPr>
            </w:pPr>
            <w:r w:rsidRPr="00A52AB8">
              <w:rPr>
                <w:color w:val="000000" w:themeColor="text1"/>
                <w:lang w:eastAsia="ko-KR"/>
              </w:rPr>
              <w:t>Non-predicted Patch mode</w:t>
            </w:r>
          </w:p>
        </w:tc>
      </w:tr>
      <w:tr w:rsidR="00E748E9" w:rsidRPr="00A52AB8" w14:paraId="4B185872" w14:textId="77777777" w:rsidTr="0021699E">
        <w:trPr>
          <w:jc w:val="center"/>
        </w:trPr>
        <w:tc>
          <w:tcPr>
            <w:tcW w:w="0" w:type="auto"/>
          </w:tcPr>
          <w:p w14:paraId="31F34B86" w14:textId="77777777" w:rsidR="00E748E9" w:rsidRPr="00A52AB8" w:rsidRDefault="00ED6B2D">
            <w:pPr>
              <w:spacing w:before="120" w:after="120"/>
              <w:jc w:val="center"/>
              <w:rPr>
                <w:color w:val="000000" w:themeColor="text1"/>
              </w:rPr>
            </w:pPr>
            <w:r w:rsidRPr="00A52AB8">
              <w:rPr>
                <w:color w:val="000000" w:themeColor="text1"/>
              </w:rPr>
              <w:t>4</w:t>
            </w:r>
          </w:p>
        </w:tc>
        <w:tc>
          <w:tcPr>
            <w:tcW w:w="0" w:type="auto"/>
          </w:tcPr>
          <w:p w14:paraId="5DA51C49" w14:textId="77777777" w:rsidR="00E748E9" w:rsidRPr="00A52AB8" w:rsidRDefault="00E748E9">
            <w:pPr>
              <w:spacing w:before="120" w:after="120"/>
              <w:jc w:val="center"/>
              <w:rPr>
                <w:color w:val="000000" w:themeColor="text1"/>
                <w:lang w:eastAsia="ko-KR"/>
              </w:rPr>
            </w:pPr>
            <w:r w:rsidRPr="00A52AB8">
              <w:rPr>
                <w:color w:val="000000" w:themeColor="text1"/>
                <w:lang w:eastAsia="ko-KR"/>
              </w:rPr>
              <w:t>P_</w:t>
            </w:r>
            <w:r w:rsidR="00C31A85" w:rsidRPr="00A52AB8">
              <w:rPr>
                <w:color w:val="000000" w:themeColor="text1"/>
                <w:lang w:eastAsia="ko-KR"/>
              </w:rPr>
              <w:t>RAW</w:t>
            </w:r>
          </w:p>
        </w:tc>
        <w:tc>
          <w:tcPr>
            <w:tcW w:w="0" w:type="auto"/>
          </w:tcPr>
          <w:p w14:paraId="223AF6BC" w14:textId="77777777" w:rsidR="00E748E9" w:rsidRPr="00A52AB8" w:rsidRDefault="00C31A85">
            <w:pPr>
              <w:spacing w:before="120" w:after="120"/>
              <w:rPr>
                <w:color w:val="000000" w:themeColor="text1"/>
                <w:lang w:eastAsia="ko-KR"/>
              </w:rPr>
            </w:pPr>
            <w:r w:rsidRPr="00A52AB8">
              <w:rPr>
                <w:color w:val="000000" w:themeColor="text1"/>
                <w:lang w:eastAsia="ko-KR"/>
              </w:rPr>
              <w:t>RAW</w:t>
            </w:r>
            <w:r w:rsidR="00E748E9" w:rsidRPr="00A52AB8">
              <w:rPr>
                <w:color w:val="000000" w:themeColor="text1"/>
                <w:lang w:eastAsia="ko-KR"/>
              </w:rPr>
              <w:t xml:space="preserve"> Point Patch mode</w:t>
            </w:r>
          </w:p>
        </w:tc>
      </w:tr>
      <w:tr w:rsidR="00ED6B2D" w:rsidRPr="00A52AB8" w14:paraId="1364F45E" w14:textId="77777777" w:rsidTr="0021699E">
        <w:trPr>
          <w:jc w:val="center"/>
        </w:trPr>
        <w:tc>
          <w:tcPr>
            <w:tcW w:w="0" w:type="auto"/>
          </w:tcPr>
          <w:p w14:paraId="0005F891" w14:textId="77777777" w:rsidR="00ED6B2D" w:rsidRPr="00A52AB8" w:rsidRDefault="00ED6B2D">
            <w:pPr>
              <w:spacing w:before="120" w:after="120"/>
              <w:jc w:val="center"/>
              <w:rPr>
                <w:color w:val="000000" w:themeColor="text1"/>
              </w:rPr>
            </w:pPr>
            <w:r w:rsidRPr="00A52AB8">
              <w:rPr>
                <w:color w:val="000000" w:themeColor="text1"/>
              </w:rPr>
              <w:t>5</w:t>
            </w:r>
          </w:p>
        </w:tc>
        <w:tc>
          <w:tcPr>
            <w:tcW w:w="0" w:type="auto"/>
          </w:tcPr>
          <w:p w14:paraId="001D7C6A" w14:textId="77777777" w:rsidR="00ED6B2D" w:rsidRPr="00A52AB8" w:rsidRDefault="00ED6B2D">
            <w:pPr>
              <w:spacing w:before="120" w:after="120"/>
              <w:jc w:val="center"/>
              <w:rPr>
                <w:color w:val="000000" w:themeColor="text1"/>
                <w:lang w:eastAsia="ko-KR"/>
              </w:rPr>
            </w:pPr>
            <w:r w:rsidRPr="00A52AB8">
              <w:rPr>
                <w:color w:val="000000" w:themeColor="text1"/>
                <w:lang w:eastAsia="ko-KR"/>
              </w:rPr>
              <w:t>P_</w:t>
            </w:r>
            <w:r w:rsidR="006632AA" w:rsidRPr="00A52AB8">
              <w:rPr>
                <w:color w:val="000000" w:themeColor="text1"/>
                <w:lang w:eastAsia="ko-KR"/>
              </w:rPr>
              <w:t>EOM</w:t>
            </w:r>
          </w:p>
        </w:tc>
        <w:tc>
          <w:tcPr>
            <w:tcW w:w="0" w:type="auto"/>
          </w:tcPr>
          <w:p w14:paraId="063AA8A8" w14:textId="77777777" w:rsidR="00ED6B2D" w:rsidRPr="00A52AB8" w:rsidRDefault="006632AA">
            <w:pPr>
              <w:spacing w:before="120" w:after="120"/>
              <w:rPr>
                <w:color w:val="000000" w:themeColor="text1"/>
                <w:lang w:eastAsia="ko-KR"/>
              </w:rPr>
            </w:pPr>
            <w:r w:rsidRPr="00A52AB8">
              <w:rPr>
                <w:color w:val="000000" w:themeColor="text1"/>
                <w:lang w:eastAsia="ko-KR"/>
              </w:rPr>
              <w:t>EOM</w:t>
            </w:r>
            <w:r w:rsidR="00ED6B2D" w:rsidRPr="00A52AB8">
              <w:rPr>
                <w:color w:val="000000" w:themeColor="text1"/>
                <w:lang w:eastAsia="ko-KR"/>
              </w:rPr>
              <w:t xml:space="preserve"> Point Patch mode</w:t>
            </w:r>
          </w:p>
        </w:tc>
      </w:tr>
      <w:tr w:rsidR="00016995" w:rsidRPr="00A52AB8" w14:paraId="08A7D865" w14:textId="77777777" w:rsidTr="0021699E">
        <w:trPr>
          <w:jc w:val="center"/>
        </w:trPr>
        <w:tc>
          <w:tcPr>
            <w:tcW w:w="0" w:type="auto"/>
          </w:tcPr>
          <w:p w14:paraId="22FF758F" w14:textId="77777777" w:rsidR="00016995" w:rsidRPr="00A52AB8" w:rsidRDefault="00ED6B2D">
            <w:pPr>
              <w:spacing w:before="120" w:after="120"/>
              <w:jc w:val="center"/>
              <w:rPr>
                <w:color w:val="000000" w:themeColor="text1"/>
              </w:rPr>
            </w:pPr>
            <w:r w:rsidRPr="00A52AB8">
              <w:rPr>
                <w:color w:val="000000" w:themeColor="text1"/>
              </w:rPr>
              <w:t>6</w:t>
            </w:r>
            <w:r w:rsidR="00016995" w:rsidRPr="00A52AB8">
              <w:rPr>
                <w:color w:val="000000" w:themeColor="text1"/>
              </w:rPr>
              <w:t>-13</w:t>
            </w:r>
          </w:p>
        </w:tc>
        <w:tc>
          <w:tcPr>
            <w:tcW w:w="0" w:type="auto"/>
          </w:tcPr>
          <w:p w14:paraId="3D4DBB1D" w14:textId="77777777" w:rsidR="00016995" w:rsidRPr="00A52AB8" w:rsidRDefault="00144683">
            <w:pPr>
              <w:spacing w:before="120" w:after="120"/>
              <w:jc w:val="center"/>
              <w:rPr>
                <w:color w:val="000000" w:themeColor="text1"/>
                <w:lang w:eastAsia="ko-KR"/>
              </w:rPr>
            </w:pPr>
            <w:r w:rsidRPr="00A52AB8">
              <w:rPr>
                <w:color w:val="000000" w:themeColor="text1"/>
                <w:lang w:eastAsia="ko-KR"/>
              </w:rPr>
              <w:t>P_RESERVED</w:t>
            </w:r>
          </w:p>
        </w:tc>
        <w:tc>
          <w:tcPr>
            <w:tcW w:w="0" w:type="auto"/>
          </w:tcPr>
          <w:p w14:paraId="6A1026A8" w14:textId="77777777" w:rsidR="00016995" w:rsidRPr="00A52AB8" w:rsidRDefault="00144683">
            <w:pPr>
              <w:spacing w:before="120" w:after="120"/>
              <w:rPr>
                <w:color w:val="000000" w:themeColor="text1"/>
                <w:lang w:eastAsia="ko-KR"/>
              </w:rPr>
            </w:pPr>
            <w:r w:rsidRPr="00A52AB8">
              <w:rPr>
                <w:color w:val="000000" w:themeColor="text1"/>
                <w:lang w:eastAsia="ko-KR"/>
              </w:rPr>
              <w:t>Reserved modes</w:t>
            </w:r>
            <w:r w:rsidR="00730A31" w:rsidRPr="00A52AB8">
              <w:rPr>
                <w:color w:val="000000" w:themeColor="text1"/>
                <w:lang w:eastAsia="ko-KR"/>
              </w:rPr>
              <w:t xml:space="preserve"> for future use by ISO/IEC</w:t>
            </w:r>
          </w:p>
        </w:tc>
      </w:tr>
      <w:tr w:rsidR="00016995" w:rsidRPr="00A52AB8" w14:paraId="62E65C2C" w14:textId="77777777" w:rsidTr="0021699E">
        <w:trPr>
          <w:jc w:val="center"/>
        </w:trPr>
        <w:tc>
          <w:tcPr>
            <w:tcW w:w="0" w:type="auto"/>
          </w:tcPr>
          <w:p w14:paraId="2A255A9B" w14:textId="77777777" w:rsidR="00016995" w:rsidRPr="00A52AB8" w:rsidRDefault="00016995">
            <w:pPr>
              <w:spacing w:before="120" w:after="120"/>
              <w:jc w:val="center"/>
              <w:rPr>
                <w:color w:val="000000" w:themeColor="text1"/>
              </w:rPr>
            </w:pPr>
            <w:r w:rsidRPr="00A52AB8">
              <w:rPr>
                <w:color w:val="000000" w:themeColor="text1"/>
              </w:rPr>
              <w:t>14</w:t>
            </w:r>
          </w:p>
        </w:tc>
        <w:tc>
          <w:tcPr>
            <w:tcW w:w="0" w:type="auto"/>
          </w:tcPr>
          <w:p w14:paraId="7611C3D2" w14:textId="77777777" w:rsidR="00016995" w:rsidRPr="00A52AB8" w:rsidRDefault="00016995">
            <w:pPr>
              <w:spacing w:before="120" w:after="120"/>
              <w:jc w:val="center"/>
              <w:rPr>
                <w:color w:val="000000" w:themeColor="text1"/>
                <w:lang w:eastAsia="ko-KR"/>
              </w:rPr>
            </w:pPr>
            <w:r w:rsidRPr="00A52AB8">
              <w:rPr>
                <w:color w:val="000000" w:themeColor="text1"/>
                <w:lang w:eastAsia="ko-KR"/>
              </w:rPr>
              <w:t>P_END</w:t>
            </w:r>
          </w:p>
        </w:tc>
        <w:tc>
          <w:tcPr>
            <w:tcW w:w="0" w:type="auto"/>
          </w:tcPr>
          <w:p w14:paraId="2292557D" w14:textId="77777777" w:rsidR="00016995" w:rsidRPr="00A52AB8" w:rsidRDefault="00016995">
            <w:pPr>
              <w:spacing w:before="120" w:after="120"/>
              <w:rPr>
                <w:color w:val="000000" w:themeColor="text1"/>
                <w:lang w:eastAsia="ko-KR"/>
              </w:rPr>
            </w:pPr>
            <w:r w:rsidRPr="00A52AB8">
              <w:rPr>
                <w:color w:val="000000" w:themeColor="text1"/>
                <w:lang w:eastAsia="ko-KR"/>
              </w:rPr>
              <w:t>Patch termination mode</w:t>
            </w:r>
          </w:p>
        </w:tc>
      </w:tr>
    </w:tbl>
    <w:p w14:paraId="3A6AF3EE" w14:textId="2D6F63D6" w:rsidR="00272FDC" w:rsidRPr="00A52AB8" w:rsidRDefault="00272FDC">
      <w:pPr>
        <w:pStyle w:val="Caption"/>
        <w:rPr>
          <w:rFonts w:ascii="Cambria" w:eastAsiaTheme="minorEastAsia" w:hAnsi="Cambria"/>
          <w:color w:val="000000" w:themeColor="text1"/>
          <w:lang w:eastAsia="ja-JP"/>
        </w:rPr>
      </w:pPr>
      <w:bookmarkStart w:id="1235" w:name="_Ref19123796"/>
      <w:r w:rsidRPr="00A52AB8">
        <w:rPr>
          <w:rFonts w:ascii="Cambria" w:hAnsi="Cambria"/>
          <w:color w:val="000000" w:themeColor="text1"/>
        </w:rPr>
        <w:t xml:space="preserve">Table </w:t>
      </w:r>
      <w:r w:rsidR="0053363C" w:rsidRPr="00496A4D">
        <w:rPr>
          <w:rFonts w:ascii="Cambria" w:hAnsi="Cambria"/>
          <w:color w:val="000000" w:themeColor="text1"/>
        </w:rPr>
        <w:fldChar w:fldCharType="begin"/>
      </w:r>
      <w:r w:rsidR="0053363C" w:rsidRPr="00A52AB8">
        <w:rPr>
          <w:rFonts w:ascii="Cambria" w:hAnsi="Cambria"/>
          <w:color w:val="000000" w:themeColor="text1"/>
        </w:rPr>
        <w:instrText xml:space="preserve"> SEQ Table \* ARABIC \</w:instrText>
      </w:r>
      <w:r w:rsidR="00221F10" w:rsidRPr="00A52AB8">
        <w:rPr>
          <w:rFonts w:ascii="Cambria" w:hAnsi="Cambria"/>
          <w:color w:val="000000" w:themeColor="text1"/>
        </w:rPr>
        <w:instrText>n</w:instrText>
      </w:r>
      <w:r w:rsidR="0053363C" w:rsidRPr="00A52AB8">
        <w:rPr>
          <w:rFonts w:ascii="Cambria" w:hAnsi="Cambria"/>
          <w:color w:val="000000" w:themeColor="text1"/>
        </w:rPr>
        <w:instrText xml:space="preserve"> </w:instrText>
      </w:r>
      <w:r w:rsidR="0053363C" w:rsidRPr="00496A4D">
        <w:rPr>
          <w:rFonts w:ascii="Cambria" w:hAnsi="Cambria"/>
          <w:color w:val="000000" w:themeColor="text1"/>
        </w:rPr>
        <w:fldChar w:fldCharType="separate"/>
      </w:r>
      <w:r w:rsidR="00507A67">
        <w:rPr>
          <w:rFonts w:ascii="Cambria" w:hAnsi="Cambria"/>
          <w:noProof/>
          <w:color w:val="000000" w:themeColor="text1"/>
        </w:rPr>
        <w:t>9</w:t>
      </w:r>
      <w:r w:rsidR="0053363C" w:rsidRPr="00496A4D">
        <w:rPr>
          <w:rFonts w:ascii="Cambria" w:hAnsi="Cambria"/>
          <w:color w:val="000000" w:themeColor="text1"/>
        </w:rPr>
        <w:fldChar w:fldCharType="end"/>
      </w:r>
      <w:bookmarkEnd w:id="1235"/>
      <w:r w:rsidR="001604C8" w:rsidRPr="00A52AB8">
        <w:rPr>
          <w:rFonts w:ascii="Cambria" w:hAnsi="Cambria" w:cs="Calibri"/>
          <w:bCs w:val="0"/>
        </w:rPr>
        <w:t> </w:t>
      </w:r>
      <w:r w:rsidR="001604C8" w:rsidRPr="00A52AB8">
        <w:rPr>
          <w:rFonts w:ascii="Cambria" w:hAnsi="Cambria"/>
        </w:rPr>
        <w:t>– </w:t>
      </w:r>
      <w:r w:rsidRPr="00A52AB8">
        <w:rPr>
          <w:rFonts w:ascii="Cambria" w:hAnsi="Cambria"/>
          <w:color w:val="000000" w:themeColor="text1"/>
        </w:rPr>
        <w:t>Patch mode</w:t>
      </w:r>
      <w:r w:rsidR="00D82334" w:rsidRPr="00A52AB8">
        <w:rPr>
          <w:rFonts w:ascii="Cambria" w:hAnsi="Cambria"/>
          <w:color w:val="000000" w:themeColor="text1"/>
        </w:rPr>
        <w:t xml:space="preserve">s </w:t>
      </w:r>
      <w:r w:rsidRPr="00A52AB8">
        <w:rPr>
          <w:rFonts w:ascii="Cambria" w:hAnsi="Cambria"/>
          <w:color w:val="000000" w:themeColor="text1"/>
        </w:rPr>
        <w:t>for SKIP</w:t>
      </w:r>
      <w:r w:rsidR="00642B04" w:rsidRPr="00A52AB8">
        <w:rPr>
          <w:rFonts w:ascii="Cambria" w:hAnsi="Cambria"/>
          <w:color w:val="000000" w:themeColor="text1"/>
        </w:rPr>
        <w:t>_TILE</w:t>
      </w:r>
      <w:r w:rsidRPr="00A52AB8">
        <w:rPr>
          <w:rFonts w:ascii="Cambria" w:hAnsi="Cambria"/>
          <w:color w:val="000000" w:themeColor="text1"/>
        </w:rPr>
        <w:t xml:space="preserve"> </w:t>
      </w:r>
      <w:r w:rsidR="000C3DC4" w:rsidRPr="00A52AB8">
        <w:rPr>
          <w:rFonts w:ascii="Cambria" w:hAnsi="Cambria"/>
          <w:color w:val="000000" w:themeColor="text1"/>
        </w:rPr>
        <w:t xml:space="preserve">type </w:t>
      </w:r>
      <w:r w:rsidRPr="00A52AB8">
        <w:rPr>
          <w:rFonts w:ascii="Cambria" w:hAnsi="Cambria"/>
          <w:color w:val="000000" w:themeColor="text1"/>
        </w:rPr>
        <w:t xml:space="preserve">atlas </w:t>
      </w:r>
      <w:r w:rsidR="00B8075E" w:rsidRPr="00A52AB8">
        <w:rPr>
          <w:rFonts w:ascii="Cambria" w:hAnsi="Cambria"/>
          <w:color w:val="000000" w:themeColor="text1"/>
        </w:rPr>
        <w:t>tile</w:t>
      </w:r>
      <w:r w:rsidRPr="00A52AB8">
        <w:rPr>
          <w:rFonts w:ascii="Cambria" w:hAnsi="Cambria"/>
          <w:color w:val="000000" w:themeColor="text1"/>
        </w:rPr>
        <w:t>s</w:t>
      </w:r>
    </w:p>
    <w:tbl>
      <w:tblPr>
        <w:tblStyle w:val="TableGrid"/>
        <w:tblW w:w="0" w:type="auto"/>
        <w:jc w:val="center"/>
        <w:tblLook w:val="04A0" w:firstRow="1" w:lastRow="0" w:firstColumn="1" w:lastColumn="0" w:noHBand="0" w:noVBand="1"/>
      </w:tblPr>
      <w:tblGrid>
        <w:gridCol w:w="3188"/>
        <w:gridCol w:w="1558"/>
        <w:gridCol w:w="2610"/>
      </w:tblGrid>
      <w:tr w:rsidR="00272FDC" w:rsidRPr="00A52AB8" w14:paraId="600B7AD0" w14:textId="77777777" w:rsidTr="00F01345">
        <w:trPr>
          <w:jc w:val="center"/>
        </w:trPr>
        <w:tc>
          <w:tcPr>
            <w:tcW w:w="0" w:type="auto"/>
          </w:tcPr>
          <w:p w14:paraId="341CB32D" w14:textId="77777777" w:rsidR="00272FDC" w:rsidRPr="00A52AB8" w:rsidRDefault="00A62CD5">
            <w:pPr>
              <w:spacing w:before="120" w:after="120"/>
              <w:jc w:val="center"/>
              <w:rPr>
                <w:b/>
                <w:color w:val="000000" w:themeColor="text1"/>
              </w:rPr>
            </w:pPr>
            <w:r w:rsidRPr="00A52AB8">
              <w:rPr>
                <w:b/>
                <w:color w:val="000000" w:themeColor="text1"/>
              </w:rPr>
              <w:t>atdu_</w:t>
            </w:r>
            <w:r w:rsidR="00272FDC" w:rsidRPr="00A52AB8">
              <w:rPr>
                <w:b/>
                <w:color w:val="000000" w:themeColor="text1"/>
              </w:rPr>
              <w:t>patch_mode</w:t>
            </w:r>
            <w:r w:rsidR="004B63D6" w:rsidRPr="00A52AB8">
              <w:rPr>
                <w:b/>
                <w:color w:val="000000"/>
              </w:rPr>
              <w:t>[ </w:t>
            </w:r>
            <w:r w:rsidR="00632FA7" w:rsidRPr="00A52AB8">
              <w:rPr>
                <w:b/>
                <w:color w:val="000000" w:themeColor="text1"/>
              </w:rPr>
              <w:t>tileID</w:t>
            </w:r>
            <w:r w:rsidR="004B63D6" w:rsidRPr="00A52AB8">
              <w:rPr>
                <w:b/>
                <w:color w:val="000000"/>
              </w:rPr>
              <w:t> ][ p ]</w:t>
            </w:r>
          </w:p>
        </w:tc>
        <w:tc>
          <w:tcPr>
            <w:tcW w:w="1558" w:type="dxa"/>
          </w:tcPr>
          <w:p w14:paraId="4C128449" w14:textId="77777777" w:rsidR="00272FDC" w:rsidRPr="00A52AB8" w:rsidRDefault="00272FDC">
            <w:pPr>
              <w:spacing w:before="120" w:after="120"/>
              <w:jc w:val="center"/>
              <w:rPr>
                <w:b/>
                <w:color w:val="000000" w:themeColor="text1"/>
              </w:rPr>
            </w:pPr>
            <w:r w:rsidRPr="00A52AB8">
              <w:rPr>
                <w:b/>
                <w:color w:val="000000" w:themeColor="text1"/>
              </w:rPr>
              <w:t>Identifier</w:t>
            </w:r>
          </w:p>
        </w:tc>
        <w:tc>
          <w:tcPr>
            <w:tcW w:w="2610" w:type="dxa"/>
          </w:tcPr>
          <w:p w14:paraId="7D69D489" w14:textId="77777777" w:rsidR="00272FDC" w:rsidRPr="00A52AB8" w:rsidRDefault="00272FDC">
            <w:pPr>
              <w:spacing w:before="120" w:after="120"/>
              <w:rPr>
                <w:b/>
                <w:color w:val="000000" w:themeColor="text1"/>
              </w:rPr>
            </w:pPr>
            <w:r w:rsidRPr="00A52AB8">
              <w:rPr>
                <w:b/>
                <w:color w:val="000000" w:themeColor="text1"/>
              </w:rPr>
              <w:t>Description</w:t>
            </w:r>
          </w:p>
        </w:tc>
      </w:tr>
      <w:tr w:rsidR="00272FDC" w:rsidRPr="00A52AB8" w14:paraId="1B6ABCF7" w14:textId="77777777" w:rsidTr="00F01345">
        <w:trPr>
          <w:jc w:val="center"/>
        </w:trPr>
        <w:tc>
          <w:tcPr>
            <w:tcW w:w="0" w:type="auto"/>
          </w:tcPr>
          <w:p w14:paraId="33735EE5" w14:textId="77777777" w:rsidR="00272FDC" w:rsidRPr="00A52AB8" w:rsidRDefault="00272FDC">
            <w:pPr>
              <w:spacing w:before="120" w:after="120"/>
              <w:jc w:val="center"/>
              <w:rPr>
                <w:color w:val="000000" w:themeColor="text1"/>
              </w:rPr>
            </w:pPr>
            <w:r w:rsidRPr="00A52AB8">
              <w:rPr>
                <w:color w:val="000000" w:themeColor="text1"/>
              </w:rPr>
              <w:t>0</w:t>
            </w:r>
          </w:p>
        </w:tc>
        <w:tc>
          <w:tcPr>
            <w:tcW w:w="1558" w:type="dxa"/>
          </w:tcPr>
          <w:p w14:paraId="6C0C4F28" w14:textId="77777777" w:rsidR="00272FDC" w:rsidRPr="00A52AB8" w:rsidRDefault="00272FDC">
            <w:pPr>
              <w:spacing w:before="120" w:after="120"/>
              <w:jc w:val="center"/>
              <w:rPr>
                <w:color w:val="000000" w:themeColor="text1"/>
                <w:lang w:eastAsia="ko-KR"/>
              </w:rPr>
            </w:pPr>
            <w:r w:rsidRPr="00A52AB8">
              <w:rPr>
                <w:color w:val="000000" w:themeColor="text1"/>
                <w:lang w:eastAsia="ko-KR"/>
              </w:rPr>
              <w:t>P_SKIP</w:t>
            </w:r>
          </w:p>
        </w:tc>
        <w:tc>
          <w:tcPr>
            <w:tcW w:w="2610" w:type="dxa"/>
          </w:tcPr>
          <w:p w14:paraId="2F4594D0" w14:textId="77777777" w:rsidR="00272FDC" w:rsidRPr="00A52AB8" w:rsidRDefault="00272FDC">
            <w:pPr>
              <w:spacing w:before="120" w:after="120"/>
              <w:rPr>
                <w:color w:val="000000" w:themeColor="text1"/>
                <w:lang w:eastAsia="ko-KR"/>
              </w:rPr>
            </w:pPr>
            <w:r w:rsidRPr="00A52AB8">
              <w:rPr>
                <w:color w:val="000000" w:themeColor="text1"/>
                <w:lang w:eastAsia="ko-KR"/>
              </w:rPr>
              <w:t>Patch Skip mode</w:t>
            </w:r>
          </w:p>
        </w:tc>
      </w:tr>
    </w:tbl>
    <w:p w14:paraId="68E01B8E" w14:textId="221DA9AC" w:rsidR="000954C9" w:rsidRPr="00A52AB8" w:rsidRDefault="000954C9" w:rsidP="000954C9">
      <w:pPr>
        <w:pStyle w:val="Caption"/>
        <w:rPr>
          <w:rFonts w:ascii="Cambria" w:eastAsiaTheme="minorEastAsia" w:hAnsi="Cambria"/>
          <w:color w:val="000000" w:themeColor="text1"/>
          <w:lang w:eastAsia="ja-JP"/>
        </w:rPr>
      </w:pPr>
      <w:bookmarkStart w:id="1236" w:name="_Toc6411800"/>
      <w:bookmarkStart w:id="1237" w:name="_Toc7093920"/>
      <w:bookmarkStart w:id="1238" w:name="_Toc7458608"/>
      <w:bookmarkStart w:id="1239" w:name="_Toc7459321"/>
      <w:bookmarkStart w:id="1240" w:name="_Toc7681786"/>
      <w:bookmarkStart w:id="1241" w:name="_Toc7702530"/>
      <w:bookmarkStart w:id="1242" w:name="_Toc6411801"/>
      <w:bookmarkStart w:id="1243" w:name="_Toc7093921"/>
      <w:bookmarkStart w:id="1244" w:name="_Toc7458609"/>
      <w:bookmarkStart w:id="1245" w:name="_Toc7459322"/>
      <w:bookmarkStart w:id="1246" w:name="_Toc7681787"/>
      <w:bookmarkStart w:id="1247" w:name="_Toc7702531"/>
      <w:bookmarkStart w:id="1248" w:name="_Toc6411802"/>
      <w:bookmarkStart w:id="1249" w:name="_Toc7093922"/>
      <w:bookmarkStart w:id="1250" w:name="_Toc7458610"/>
      <w:bookmarkStart w:id="1251" w:name="_Toc7459323"/>
      <w:bookmarkStart w:id="1252" w:name="_Toc7681788"/>
      <w:bookmarkStart w:id="1253" w:name="_Toc7702532"/>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r w:rsidRPr="00A52AB8">
        <w:rPr>
          <w:rFonts w:ascii="Cambria" w:hAnsi="Cambria"/>
          <w:color w:val="000000" w:themeColor="text1"/>
        </w:rPr>
        <w:t>Table</w:t>
      </w:r>
      <w:r w:rsidR="001604C8" w:rsidRPr="00A52AB8">
        <w:rPr>
          <w:rFonts w:ascii="Cambria" w:hAnsi="Cambria" w:cs="Calibri"/>
          <w:bCs w:val="0"/>
        </w:rPr>
        <w:t> </w:t>
      </w:r>
      <w:r w:rsidR="001604C8" w:rsidRPr="00A52AB8">
        <w:rPr>
          <w:rFonts w:ascii="Cambria" w:hAnsi="Cambria"/>
        </w:rPr>
        <w:t>– </w:t>
      </w:r>
      <w:r w:rsidRPr="00496A4D">
        <w:rPr>
          <w:rFonts w:ascii="Cambria" w:hAnsi="Cambria"/>
          <w:color w:val="000000" w:themeColor="text1"/>
        </w:rPr>
        <w:fldChar w:fldCharType="begin"/>
      </w:r>
      <w:r w:rsidRPr="00A52AB8">
        <w:rPr>
          <w:rFonts w:ascii="Cambria" w:hAnsi="Cambria"/>
          <w:color w:val="000000" w:themeColor="text1"/>
        </w:rPr>
        <w:instrText xml:space="preserve"> SEQ Table \* ARABIC \n </w:instrText>
      </w:r>
      <w:r w:rsidRPr="00496A4D">
        <w:rPr>
          <w:rFonts w:ascii="Cambria" w:hAnsi="Cambria"/>
          <w:color w:val="000000" w:themeColor="text1"/>
        </w:rPr>
        <w:fldChar w:fldCharType="separate"/>
      </w:r>
      <w:r w:rsidR="00507A67">
        <w:rPr>
          <w:rFonts w:ascii="Cambria" w:hAnsi="Cambria"/>
          <w:noProof/>
          <w:color w:val="000000" w:themeColor="text1"/>
        </w:rPr>
        <w:t>10</w:t>
      </w:r>
      <w:r w:rsidRPr="00496A4D">
        <w:rPr>
          <w:rFonts w:ascii="Cambria" w:hAnsi="Cambria"/>
          <w:color w:val="000000" w:themeColor="text1"/>
        </w:rPr>
        <w:fldChar w:fldCharType="end"/>
      </w:r>
      <w:r w:rsidRPr="00A52AB8">
        <w:rPr>
          <w:rFonts w:ascii="Cambria" w:hAnsi="Cambria"/>
          <w:color w:val="000000" w:themeColor="text1"/>
        </w:rPr>
        <w:t xml:space="preserve"> Patch types</w:t>
      </w:r>
    </w:p>
    <w:tbl>
      <w:tblPr>
        <w:tblStyle w:val="TableGrid"/>
        <w:tblW w:w="0" w:type="auto"/>
        <w:jc w:val="center"/>
        <w:tblLook w:val="04A0" w:firstRow="1" w:lastRow="0" w:firstColumn="1" w:lastColumn="0" w:noHBand="0" w:noVBand="1"/>
      </w:tblPr>
      <w:tblGrid>
        <w:gridCol w:w="790"/>
        <w:gridCol w:w="1558"/>
        <w:gridCol w:w="7313"/>
      </w:tblGrid>
      <w:tr w:rsidR="000954C9" w:rsidRPr="00A52AB8" w14:paraId="43D86AB5" w14:textId="77777777" w:rsidTr="00C86722">
        <w:trPr>
          <w:jc w:val="center"/>
        </w:trPr>
        <w:tc>
          <w:tcPr>
            <w:tcW w:w="0" w:type="auto"/>
          </w:tcPr>
          <w:p w14:paraId="788E0FE4" w14:textId="77777777" w:rsidR="000954C9" w:rsidRPr="00A52AB8" w:rsidRDefault="00730876" w:rsidP="00DA0A55">
            <w:pPr>
              <w:spacing w:before="120" w:after="120"/>
              <w:jc w:val="center"/>
              <w:rPr>
                <w:b/>
                <w:color w:val="000000" w:themeColor="text1"/>
              </w:rPr>
            </w:pPr>
            <w:r w:rsidRPr="00A52AB8">
              <w:rPr>
                <w:b/>
                <w:color w:val="000000" w:themeColor="text1"/>
              </w:rPr>
              <w:t>Value</w:t>
            </w:r>
          </w:p>
        </w:tc>
        <w:tc>
          <w:tcPr>
            <w:tcW w:w="1558" w:type="dxa"/>
          </w:tcPr>
          <w:p w14:paraId="7D04A0F3" w14:textId="77777777" w:rsidR="000954C9" w:rsidRPr="00A52AB8" w:rsidRDefault="000954C9" w:rsidP="00DA0A55">
            <w:pPr>
              <w:spacing w:before="120" w:after="120"/>
              <w:jc w:val="center"/>
              <w:rPr>
                <w:b/>
                <w:color w:val="000000" w:themeColor="text1"/>
              </w:rPr>
            </w:pPr>
            <w:r w:rsidRPr="00A52AB8">
              <w:rPr>
                <w:b/>
                <w:color w:val="000000" w:themeColor="text1"/>
              </w:rPr>
              <w:t>Identifier</w:t>
            </w:r>
          </w:p>
        </w:tc>
        <w:tc>
          <w:tcPr>
            <w:tcW w:w="7313" w:type="dxa"/>
          </w:tcPr>
          <w:p w14:paraId="359F85AF" w14:textId="77777777" w:rsidR="000954C9" w:rsidRPr="00A52AB8" w:rsidRDefault="000954C9" w:rsidP="00DA0A55">
            <w:pPr>
              <w:spacing w:before="120" w:after="120"/>
              <w:rPr>
                <w:b/>
                <w:color w:val="000000" w:themeColor="text1"/>
              </w:rPr>
            </w:pPr>
            <w:r w:rsidRPr="00A52AB8">
              <w:rPr>
                <w:b/>
                <w:color w:val="000000" w:themeColor="text1"/>
              </w:rPr>
              <w:t>Description</w:t>
            </w:r>
          </w:p>
        </w:tc>
      </w:tr>
      <w:tr w:rsidR="000954C9" w:rsidRPr="00A52AB8" w14:paraId="736B9A3B" w14:textId="77777777" w:rsidTr="00C86722">
        <w:trPr>
          <w:jc w:val="center"/>
        </w:trPr>
        <w:tc>
          <w:tcPr>
            <w:tcW w:w="0" w:type="auto"/>
          </w:tcPr>
          <w:p w14:paraId="60827D51" w14:textId="77777777" w:rsidR="000954C9" w:rsidRPr="00A52AB8" w:rsidRDefault="000954C9" w:rsidP="00DA0A55">
            <w:pPr>
              <w:spacing w:before="120" w:after="120"/>
              <w:jc w:val="center"/>
              <w:rPr>
                <w:color w:val="000000" w:themeColor="text1"/>
              </w:rPr>
            </w:pPr>
            <w:r w:rsidRPr="00A52AB8">
              <w:rPr>
                <w:color w:val="000000" w:themeColor="text1"/>
              </w:rPr>
              <w:t>0</w:t>
            </w:r>
          </w:p>
        </w:tc>
        <w:tc>
          <w:tcPr>
            <w:tcW w:w="1558" w:type="dxa"/>
          </w:tcPr>
          <w:p w14:paraId="090E64EB" w14:textId="77777777" w:rsidR="000954C9" w:rsidRPr="00A52AB8" w:rsidRDefault="000954C9" w:rsidP="00DA0A55">
            <w:pPr>
              <w:spacing w:before="120" w:after="120"/>
              <w:jc w:val="center"/>
              <w:rPr>
                <w:color w:val="000000" w:themeColor="text1"/>
                <w:lang w:eastAsia="ko-KR"/>
              </w:rPr>
            </w:pPr>
            <w:r w:rsidRPr="00A52AB8">
              <w:rPr>
                <w:color w:val="000000" w:themeColor="text1"/>
                <w:lang w:eastAsia="ko-KR"/>
              </w:rPr>
              <w:t>PROJECTED</w:t>
            </w:r>
          </w:p>
        </w:tc>
        <w:tc>
          <w:tcPr>
            <w:tcW w:w="7313" w:type="dxa"/>
          </w:tcPr>
          <w:p w14:paraId="084252B5" w14:textId="77777777" w:rsidR="000954C9" w:rsidRPr="00A52AB8" w:rsidRDefault="00730876" w:rsidP="00DA0A55">
            <w:pPr>
              <w:spacing w:before="120" w:after="120"/>
              <w:rPr>
                <w:color w:val="000000" w:themeColor="text1"/>
                <w:lang w:eastAsia="ko-KR"/>
              </w:rPr>
            </w:pPr>
            <w:r w:rsidRPr="00A52AB8">
              <w:rPr>
                <w:color w:val="000000" w:themeColor="text1"/>
                <w:lang w:eastAsia="ko-KR"/>
              </w:rPr>
              <w:t>patch with patch mode equal to I_INTRA, P_INTRA, P_INTER, P_MERGE, or P_SKIP that is associated with projected information onto a 2D image</w:t>
            </w:r>
          </w:p>
        </w:tc>
      </w:tr>
      <w:tr w:rsidR="000954C9" w:rsidRPr="00A52AB8" w14:paraId="47BDACE4" w14:textId="77777777" w:rsidTr="00C86722">
        <w:trPr>
          <w:jc w:val="center"/>
        </w:trPr>
        <w:tc>
          <w:tcPr>
            <w:tcW w:w="0" w:type="auto"/>
          </w:tcPr>
          <w:p w14:paraId="0208B748" w14:textId="77777777" w:rsidR="000954C9" w:rsidRPr="00A52AB8" w:rsidRDefault="000954C9" w:rsidP="00DA0A55">
            <w:pPr>
              <w:spacing w:before="120" w:after="120"/>
              <w:jc w:val="center"/>
              <w:rPr>
                <w:color w:val="000000" w:themeColor="text1"/>
              </w:rPr>
            </w:pPr>
            <w:r w:rsidRPr="00A52AB8">
              <w:rPr>
                <w:color w:val="000000" w:themeColor="text1"/>
              </w:rPr>
              <w:t>1</w:t>
            </w:r>
          </w:p>
        </w:tc>
        <w:tc>
          <w:tcPr>
            <w:tcW w:w="1558" w:type="dxa"/>
          </w:tcPr>
          <w:p w14:paraId="236C03B9" w14:textId="77777777" w:rsidR="000954C9" w:rsidRPr="00A52AB8" w:rsidRDefault="000954C9" w:rsidP="00DA0A55">
            <w:pPr>
              <w:spacing w:before="120" w:after="120"/>
              <w:jc w:val="center"/>
              <w:rPr>
                <w:color w:val="000000" w:themeColor="text1"/>
                <w:lang w:eastAsia="ko-KR"/>
              </w:rPr>
            </w:pPr>
            <w:r w:rsidRPr="00A52AB8">
              <w:rPr>
                <w:color w:val="000000" w:themeColor="text1"/>
                <w:lang w:eastAsia="ko-KR"/>
              </w:rPr>
              <w:t>EOM</w:t>
            </w:r>
          </w:p>
        </w:tc>
        <w:tc>
          <w:tcPr>
            <w:tcW w:w="7313" w:type="dxa"/>
          </w:tcPr>
          <w:p w14:paraId="01D79D64" w14:textId="77777777" w:rsidR="000954C9" w:rsidRPr="00A52AB8" w:rsidRDefault="000954C9" w:rsidP="00C86722">
            <w:pPr>
              <w:pStyle w:val="Definition"/>
              <w:rPr>
                <w:color w:val="000000" w:themeColor="text1"/>
                <w:lang w:eastAsia="ko-KR"/>
              </w:rPr>
            </w:pPr>
            <w:r w:rsidRPr="00A52AB8">
              <w:t xml:space="preserve">patch with patch mode equal to I_EOM, P_EOM, or </w:t>
            </w:r>
            <w:r w:rsidRPr="00A52AB8">
              <w:rPr>
                <w:color w:val="000000" w:themeColor="text1"/>
                <w:lang w:eastAsia="ko-KR"/>
              </w:rPr>
              <w:t xml:space="preserve">P_SKIP associated with EOM coded points </w:t>
            </w:r>
          </w:p>
        </w:tc>
      </w:tr>
      <w:tr w:rsidR="000954C9" w:rsidRPr="00A52AB8" w14:paraId="78DE49A3" w14:textId="77777777" w:rsidTr="00C86722">
        <w:trPr>
          <w:jc w:val="center"/>
        </w:trPr>
        <w:tc>
          <w:tcPr>
            <w:tcW w:w="0" w:type="auto"/>
          </w:tcPr>
          <w:p w14:paraId="529E7D12" w14:textId="77777777" w:rsidR="000954C9" w:rsidRPr="00A52AB8" w:rsidRDefault="000954C9" w:rsidP="00DA0A55">
            <w:pPr>
              <w:spacing w:before="120" w:after="120"/>
              <w:jc w:val="center"/>
              <w:rPr>
                <w:color w:val="000000" w:themeColor="text1"/>
              </w:rPr>
            </w:pPr>
            <w:r w:rsidRPr="00A52AB8">
              <w:rPr>
                <w:color w:val="000000" w:themeColor="text1"/>
              </w:rPr>
              <w:t>2</w:t>
            </w:r>
          </w:p>
        </w:tc>
        <w:tc>
          <w:tcPr>
            <w:tcW w:w="1558" w:type="dxa"/>
          </w:tcPr>
          <w:p w14:paraId="25310F01" w14:textId="77777777" w:rsidR="000954C9" w:rsidRPr="00A52AB8" w:rsidRDefault="000954C9" w:rsidP="00DA0A55">
            <w:pPr>
              <w:spacing w:before="120" w:after="120"/>
              <w:jc w:val="center"/>
              <w:rPr>
                <w:color w:val="000000" w:themeColor="text1"/>
                <w:lang w:eastAsia="ko-KR"/>
              </w:rPr>
            </w:pPr>
            <w:r w:rsidRPr="00A52AB8">
              <w:rPr>
                <w:color w:val="000000" w:themeColor="text1"/>
                <w:lang w:eastAsia="ko-KR"/>
              </w:rPr>
              <w:t>RAW</w:t>
            </w:r>
          </w:p>
        </w:tc>
        <w:tc>
          <w:tcPr>
            <w:tcW w:w="7313" w:type="dxa"/>
          </w:tcPr>
          <w:p w14:paraId="66196FAE" w14:textId="77777777" w:rsidR="000954C9" w:rsidRPr="00A52AB8" w:rsidRDefault="00730876" w:rsidP="00DA0A55">
            <w:pPr>
              <w:spacing w:before="120" w:after="120"/>
              <w:rPr>
                <w:color w:val="000000" w:themeColor="text1"/>
                <w:lang w:eastAsia="ko-KR"/>
              </w:rPr>
            </w:pPr>
            <w:r w:rsidRPr="00A52AB8">
              <w:rPr>
                <w:color w:val="000000" w:themeColor="text1"/>
                <w:lang w:eastAsia="ko-KR"/>
              </w:rPr>
              <w:t>patch with patch mode equal to I_RAW, P_RAW, or P_SKIP associated with RAW coded points</w:t>
            </w:r>
          </w:p>
        </w:tc>
      </w:tr>
    </w:tbl>
    <w:p w14:paraId="02BBF3D8" w14:textId="77777777" w:rsidR="00CC14D3" w:rsidRPr="00A52AB8" w:rsidRDefault="00CC14D3" w:rsidP="005C26E9">
      <w:pPr>
        <w:pStyle w:val="Heading4"/>
      </w:pPr>
      <w:r w:rsidRPr="00A52AB8">
        <w:t>Patch information data semantics</w:t>
      </w:r>
    </w:p>
    <w:p w14:paraId="7F86623B" w14:textId="77777777" w:rsidR="004C44B0" w:rsidRPr="00A52AB8" w:rsidRDefault="001B7C80">
      <w:pPr>
        <w:rPr>
          <w:color w:val="000000" w:themeColor="text1"/>
        </w:rPr>
      </w:pPr>
      <w:r w:rsidRPr="00A52AB8">
        <w:rPr>
          <w:color w:val="000000" w:themeColor="text1"/>
        </w:rPr>
        <w:t>None</w:t>
      </w:r>
    </w:p>
    <w:p w14:paraId="61737D8D" w14:textId="77777777" w:rsidR="006D24C2" w:rsidRPr="00A52AB8" w:rsidRDefault="004C44B0" w:rsidP="005C26E9">
      <w:pPr>
        <w:pStyle w:val="Heading4"/>
      </w:pPr>
      <w:r w:rsidRPr="00A52AB8">
        <w:t>Patch data unit semantics</w:t>
      </w:r>
    </w:p>
    <w:p w14:paraId="71730C82" w14:textId="77777777" w:rsidR="0050235C" w:rsidRPr="00A52AB8" w:rsidRDefault="004C44B0">
      <w:pPr>
        <w:rPr>
          <w:color w:val="000000" w:themeColor="text1"/>
        </w:rPr>
      </w:pPr>
      <w:r w:rsidRPr="00A52AB8">
        <w:rPr>
          <w:b/>
          <w:color w:val="000000" w:themeColor="text1"/>
        </w:rPr>
        <w:t>pdu</w:t>
      </w:r>
      <w:r w:rsidR="00492771" w:rsidRPr="00A52AB8">
        <w:rPr>
          <w:b/>
          <w:color w:val="000000" w:themeColor="text1"/>
        </w:rPr>
        <w:t>_</w:t>
      </w:r>
      <w:r w:rsidR="00070D8E" w:rsidRPr="00A52AB8">
        <w:rPr>
          <w:b/>
          <w:color w:val="000000" w:themeColor="text1"/>
        </w:rPr>
        <w:t>2d_</w:t>
      </w:r>
      <w:r w:rsidR="00627BE0" w:rsidRPr="00A52AB8">
        <w:rPr>
          <w:b/>
          <w:color w:val="000000" w:themeColor="text1"/>
        </w:rPr>
        <w:t>pos</w:t>
      </w:r>
      <w:r w:rsidR="00070D8E" w:rsidRPr="00A52AB8">
        <w:rPr>
          <w:b/>
          <w:color w:val="000000" w:themeColor="text1"/>
        </w:rPr>
        <w:t>_x</w:t>
      </w:r>
      <w:r w:rsidR="00A846C2" w:rsidRPr="00A52AB8">
        <w:rPr>
          <w:lang w:eastAsia="ja-JP"/>
        </w:rPr>
        <w:t>[ </w:t>
      </w:r>
      <w:r w:rsidR="00632FA7" w:rsidRPr="00A52AB8">
        <w:rPr>
          <w:lang w:eastAsia="ja-JP"/>
        </w:rPr>
        <w:t>tileID</w:t>
      </w:r>
      <w:r w:rsidR="00A846C2" w:rsidRPr="00A52AB8">
        <w:rPr>
          <w:lang w:eastAsia="ja-JP"/>
        </w:rPr>
        <w:t> ]</w:t>
      </w:r>
      <w:r w:rsidR="00636D52" w:rsidRPr="00A52AB8">
        <w:rPr>
          <w:color w:val="000000" w:themeColor="text1"/>
        </w:rPr>
        <w:t>[ p ]</w:t>
      </w:r>
      <w:r w:rsidR="00B90186" w:rsidRPr="00A52AB8">
        <w:rPr>
          <w:color w:val="000000" w:themeColor="text1"/>
        </w:rPr>
        <w:t xml:space="preserve"> specifies the x-coordinate of the top-left corner of the patch bounding box </w:t>
      </w:r>
      <w:r w:rsidR="00E34E28" w:rsidRPr="00A52AB8">
        <w:rPr>
          <w:color w:val="000000" w:themeColor="text1"/>
        </w:rPr>
        <w:t xml:space="preserve">for patch p in the </w:t>
      </w:r>
      <w:r w:rsidR="00A63EEB" w:rsidRPr="00A52AB8">
        <w:rPr>
          <w:color w:val="000000" w:themeColor="text1"/>
        </w:rPr>
        <w:t xml:space="preserve">current </w:t>
      </w:r>
      <w:r w:rsidR="002A47BD" w:rsidRPr="00A52AB8">
        <w:rPr>
          <w:color w:val="000000" w:themeColor="text1"/>
        </w:rPr>
        <w:t xml:space="preserve">atlas </w:t>
      </w:r>
      <w:r w:rsidR="00B8075E" w:rsidRPr="00A52AB8">
        <w:rPr>
          <w:color w:val="000000" w:themeColor="text1"/>
        </w:rPr>
        <w:t>tile</w:t>
      </w:r>
      <w:r w:rsidR="00F04EC4" w:rsidRPr="00A52AB8">
        <w:rPr>
          <w:color w:val="000000" w:themeColor="text1"/>
        </w:rPr>
        <w:t>,</w:t>
      </w:r>
      <w:r w:rsidR="00F64F36" w:rsidRPr="00A52AB8">
        <w:rPr>
          <w:color w:val="000000" w:themeColor="text1"/>
        </w:rPr>
        <w:t xml:space="preserve"> </w:t>
      </w:r>
      <w:r w:rsidR="0036006A" w:rsidRPr="00A52AB8">
        <w:rPr>
          <w:color w:val="000000" w:themeColor="text1"/>
        </w:rPr>
        <w:t xml:space="preserve">with </w:t>
      </w:r>
      <w:r w:rsidR="00A41AF4" w:rsidRPr="00A52AB8">
        <w:rPr>
          <w:color w:val="000000" w:themeColor="text1"/>
        </w:rPr>
        <w:t xml:space="preserve">tile </w:t>
      </w:r>
      <w:r w:rsidR="0036006A" w:rsidRPr="00A52AB8">
        <w:rPr>
          <w:color w:val="000000" w:themeColor="text1"/>
        </w:rPr>
        <w:t xml:space="preserve">ID </w:t>
      </w:r>
      <w:r w:rsidR="00A41AF4" w:rsidRPr="00A52AB8">
        <w:rPr>
          <w:color w:val="000000" w:themeColor="text1"/>
        </w:rPr>
        <w:t xml:space="preserve">equal to </w:t>
      </w:r>
      <w:r w:rsidR="0036006A" w:rsidRPr="00A52AB8">
        <w:rPr>
          <w:color w:val="000000" w:themeColor="text1"/>
        </w:rPr>
        <w:t>tileID</w:t>
      </w:r>
      <w:r w:rsidR="00E34E28" w:rsidRPr="00A52AB8">
        <w:rPr>
          <w:color w:val="000000" w:themeColor="text1"/>
        </w:rPr>
        <w:t xml:space="preserve">, </w:t>
      </w:r>
      <w:r w:rsidR="00B90186" w:rsidRPr="00A52AB8">
        <w:rPr>
          <w:color w:val="000000" w:themeColor="text1"/>
        </w:rPr>
        <w:t xml:space="preserve">expressed as a multiple of </w:t>
      </w:r>
      <w:r w:rsidR="00835F46" w:rsidRPr="00A52AB8">
        <w:rPr>
          <w:color w:val="000000" w:themeColor="text1"/>
        </w:rPr>
        <w:t>PatchPackingBlockSize</w:t>
      </w:r>
      <w:r w:rsidR="00B90186" w:rsidRPr="00A52AB8">
        <w:rPr>
          <w:color w:val="000000" w:themeColor="text1"/>
        </w:rPr>
        <w:t>.</w:t>
      </w:r>
    </w:p>
    <w:p w14:paraId="3F4569BE" w14:textId="77777777" w:rsidR="0050235C" w:rsidRPr="00A52AB8" w:rsidRDefault="00302BE9">
      <w:pPr>
        <w:rPr>
          <w:color w:val="000000" w:themeColor="text1"/>
        </w:rPr>
      </w:pPr>
      <w:r w:rsidRPr="00A52AB8">
        <w:rPr>
          <w:b/>
          <w:color w:val="000000" w:themeColor="text1"/>
        </w:rPr>
        <w:t>pdu_</w:t>
      </w:r>
      <w:r w:rsidR="00CA4F41" w:rsidRPr="00A52AB8">
        <w:rPr>
          <w:b/>
          <w:color w:val="000000" w:themeColor="text1"/>
        </w:rPr>
        <w:t>2d_</w:t>
      </w:r>
      <w:r w:rsidR="00627BE0" w:rsidRPr="00A52AB8">
        <w:rPr>
          <w:b/>
          <w:color w:val="000000" w:themeColor="text1"/>
        </w:rPr>
        <w:t>pos</w:t>
      </w:r>
      <w:r w:rsidR="00CA4F41" w:rsidRPr="00A52AB8">
        <w:rPr>
          <w:b/>
          <w:color w:val="000000" w:themeColor="text1"/>
        </w:rPr>
        <w:t>_y</w:t>
      </w:r>
      <w:r w:rsidR="00A846C2" w:rsidRPr="00A52AB8">
        <w:rPr>
          <w:lang w:eastAsia="ja-JP"/>
        </w:rPr>
        <w:t>[ </w:t>
      </w:r>
      <w:r w:rsidR="00632FA7" w:rsidRPr="00A52AB8">
        <w:rPr>
          <w:lang w:eastAsia="ja-JP"/>
        </w:rPr>
        <w:t>tileID</w:t>
      </w:r>
      <w:r w:rsidR="00A846C2" w:rsidRPr="00A52AB8">
        <w:rPr>
          <w:lang w:eastAsia="ja-JP"/>
        </w:rPr>
        <w:t> ]</w:t>
      </w:r>
      <w:r w:rsidR="00636D52" w:rsidRPr="00A52AB8">
        <w:rPr>
          <w:color w:val="000000" w:themeColor="text1"/>
        </w:rPr>
        <w:t>[ p ]</w:t>
      </w:r>
      <w:r w:rsidRPr="00A52AB8">
        <w:rPr>
          <w:color w:val="000000" w:themeColor="text1"/>
        </w:rPr>
        <w:t xml:space="preserve"> specifies the y-coordinate of the top-left corner of the patch bounding box </w:t>
      </w:r>
      <w:r w:rsidR="00E34E28" w:rsidRPr="00A52AB8">
        <w:rPr>
          <w:color w:val="000000" w:themeColor="text1"/>
        </w:rPr>
        <w:t xml:space="preserve">for patch p in the </w:t>
      </w:r>
      <w:r w:rsidR="00A63EEB" w:rsidRPr="00A52AB8">
        <w:rPr>
          <w:color w:val="000000" w:themeColor="text1"/>
        </w:rPr>
        <w:t xml:space="preserve">current </w:t>
      </w:r>
      <w:r w:rsidR="002A47BD" w:rsidRPr="00A52AB8">
        <w:rPr>
          <w:color w:val="000000" w:themeColor="text1"/>
        </w:rPr>
        <w:t xml:space="preserve">atlas </w:t>
      </w:r>
      <w:r w:rsidR="00B8075E" w:rsidRPr="00A52AB8">
        <w:rPr>
          <w:color w:val="000000" w:themeColor="text1"/>
        </w:rPr>
        <w:t>tile</w:t>
      </w:r>
      <w:r w:rsidR="00F04EC4" w:rsidRPr="00A52AB8">
        <w:rPr>
          <w:color w:val="000000" w:themeColor="text1"/>
        </w:rPr>
        <w:t xml:space="preserve">, </w:t>
      </w:r>
      <w:r w:rsidR="0036006A" w:rsidRPr="00A52AB8">
        <w:rPr>
          <w:color w:val="000000" w:themeColor="text1"/>
        </w:rPr>
        <w:t xml:space="preserve">with </w:t>
      </w:r>
      <w:r w:rsidR="00A41AF4" w:rsidRPr="00A52AB8">
        <w:rPr>
          <w:color w:val="000000" w:themeColor="text1"/>
        </w:rPr>
        <w:t xml:space="preserve">tile </w:t>
      </w:r>
      <w:r w:rsidR="0036006A" w:rsidRPr="00A52AB8">
        <w:rPr>
          <w:color w:val="000000" w:themeColor="text1"/>
        </w:rPr>
        <w:t xml:space="preserve">ID </w:t>
      </w:r>
      <w:r w:rsidR="00A41AF4" w:rsidRPr="00A52AB8">
        <w:rPr>
          <w:color w:val="000000" w:themeColor="text1"/>
        </w:rPr>
        <w:t xml:space="preserve">equal to </w:t>
      </w:r>
      <w:r w:rsidR="0036006A" w:rsidRPr="00A52AB8">
        <w:rPr>
          <w:color w:val="000000" w:themeColor="text1"/>
        </w:rPr>
        <w:t>tileID</w:t>
      </w:r>
      <w:r w:rsidR="00E34E28" w:rsidRPr="00A52AB8">
        <w:rPr>
          <w:color w:val="000000" w:themeColor="text1"/>
        </w:rPr>
        <w:t xml:space="preserve">, </w:t>
      </w:r>
      <w:r w:rsidRPr="00A52AB8">
        <w:rPr>
          <w:color w:val="000000" w:themeColor="text1"/>
        </w:rPr>
        <w:t xml:space="preserve">expressed as a multiple of </w:t>
      </w:r>
      <w:r w:rsidR="00835F46" w:rsidRPr="00A52AB8">
        <w:rPr>
          <w:color w:val="000000" w:themeColor="text1"/>
        </w:rPr>
        <w:t>PatchPackingBlockSize</w:t>
      </w:r>
      <w:r w:rsidRPr="00A52AB8">
        <w:rPr>
          <w:color w:val="000000" w:themeColor="text1"/>
        </w:rPr>
        <w:t>.</w:t>
      </w:r>
    </w:p>
    <w:p w14:paraId="5E8C4904" w14:textId="77777777" w:rsidR="0050235C" w:rsidRPr="00A52AB8" w:rsidRDefault="008414DE">
      <w:pPr>
        <w:rPr>
          <w:color w:val="000000" w:themeColor="text1"/>
        </w:rPr>
      </w:pPr>
      <w:r w:rsidRPr="00A52AB8">
        <w:rPr>
          <w:b/>
          <w:color w:val="000000" w:themeColor="text1"/>
        </w:rPr>
        <w:t>pdu</w:t>
      </w:r>
      <w:r w:rsidR="00550AC5" w:rsidRPr="00A52AB8">
        <w:rPr>
          <w:b/>
          <w:color w:val="000000" w:themeColor="text1"/>
        </w:rPr>
        <w:t>_2d_</w:t>
      </w:r>
      <w:r w:rsidR="008E0BEB" w:rsidRPr="00A52AB8">
        <w:rPr>
          <w:b/>
          <w:color w:val="000000" w:themeColor="text1"/>
        </w:rPr>
        <w:t>size_x</w:t>
      </w:r>
      <w:r w:rsidR="00185461" w:rsidRPr="00A52AB8">
        <w:rPr>
          <w:b/>
          <w:color w:val="000000" w:themeColor="text1"/>
        </w:rPr>
        <w:t>_minus1</w:t>
      </w:r>
      <w:r w:rsidR="00A846C2" w:rsidRPr="00A52AB8">
        <w:rPr>
          <w:lang w:eastAsia="ja-JP"/>
        </w:rPr>
        <w:t>[ </w:t>
      </w:r>
      <w:r w:rsidR="00632FA7" w:rsidRPr="00A52AB8">
        <w:rPr>
          <w:lang w:eastAsia="ja-JP"/>
        </w:rPr>
        <w:t>tileID</w:t>
      </w:r>
      <w:r w:rsidR="00A846C2" w:rsidRPr="00A52AB8">
        <w:rPr>
          <w:lang w:eastAsia="ja-JP"/>
        </w:rPr>
        <w:t> ]</w:t>
      </w:r>
      <w:r w:rsidR="00636D52" w:rsidRPr="00A52AB8">
        <w:rPr>
          <w:color w:val="000000" w:themeColor="text1"/>
        </w:rPr>
        <w:t>[ p ]</w:t>
      </w:r>
      <w:r w:rsidR="00185461" w:rsidRPr="00A52AB8">
        <w:rPr>
          <w:color w:val="000000" w:themeColor="text1"/>
        </w:rPr>
        <w:t xml:space="preserve"> plus 1 specifies the quantized width value of the patch with index p in the current atlas </w:t>
      </w:r>
      <w:r w:rsidR="00B8075E" w:rsidRPr="00A52AB8">
        <w:rPr>
          <w:color w:val="000000" w:themeColor="text1"/>
        </w:rPr>
        <w:t>tile</w:t>
      </w:r>
      <w:r w:rsidR="007F0379" w:rsidRPr="00A52AB8">
        <w:rPr>
          <w:color w:val="000000" w:themeColor="text1"/>
        </w:rPr>
        <w:t xml:space="preserve">, </w:t>
      </w:r>
      <w:r w:rsidR="0036006A" w:rsidRPr="00A52AB8">
        <w:rPr>
          <w:color w:val="000000" w:themeColor="text1"/>
        </w:rPr>
        <w:t xml:space="preserve">with </w:t>
      </w:r>
      <w:r w:rsidR="00A41AF4" w:rsidRPr="00A52AB8">
        <w:rPr>
          <w:color w:val="000000" w:themeColor="text1"/>
        </w:rPr>
        <w:t xml:space="preserve">tile </w:t>
      </w:r>
      <w:r w:rsidR="0036006A" w:rsidRPr="00A52AB8">
        <w:rPr>
          <w:color w:val="000000" w:themeColor="text1"/>
        </w:rPr>
        <w:t xml:space="preserve">ID </w:t>
      </w:r>
      <w:r w:rsidR="00A41AF4" w:rsidRPr="00A52AB8">
        <w:rPr>
          <w:color w:val="000000" w:themeColor="text1"/>
        </w:rPr>
        <w:t xml:space="preserve">equal to </w:t>
      </w:r>
      <w:r w:rsidR="0036006A" w:rsidRPr="00A52AB8">
        <w:rPr>
          <w:color w:val="000000" w:themeColor="text1"/>
        </w:rPr>
        <w:t>tileID</w:t>
      </w:r>
      <w:r w:rsidR="00185461" w:rsidRPr="00A52AB8">
        <w:rPr>
          <w:color w:val="000000" w:themeColor="text1"/>
        </w:rPr>
        <w:t>.</w:t>
      </w:r>
    </w:p>
    <w:p w14:paraId="3541EDF6" w14:textId="77777777" w:rsidR="0050235C" w:rsidRPr="00A52AB8" w:rsidRDefault="00132069">
      <w:pPr>
        <w:rPr>
          <w:color w:val="000000" w:themeColor="text1"/>
        </w:rPr>
      </w:pPr>
      <w:r w:rsidRPr="00A52AB8">
        <w:rPr>
          <w:b/>
          <w:color w:val="000000" w:themeColor="text1"/>
        </w:rPr>
        <w:t>pdu_2d_size_y_minus1</w:t>
      </w:r>
      <w:r w:rsidR="00A846C2" w:rsidRPr="00A52AB8">
        <w:rPr>
          <w:lang w:eastAsia="ja-JP"/>
        </w:rPr>
        <w:t>[ </w:t>
      </w:r>
      <w:r w:rsidR="00632FA7" w:rsidRPr="00A52AB8">
        <w:rPr>
          <w:lang w:eastAsia="ja-JP"/>
        </w:rPr>
        <w:t>tileID</w:t>
      </w:r>
      <w:r w:rsidR="00A846C2" w:rsidRPr="00A52AB8">
        <w:rPr>
          <w:lang w:eastAsia="ja-JP"/>
        </w:rPr>
        <w:t> ]</w:t>
      </w:r>
      <w:r w:rsidRPr="00A52AB8">
        <w:rPr>
          <w:color w:val="000000" w:themeColor="text1"/>
        </w:rPr>
        <w:t xml:space="preserve">[ p ] plus 1 specifies the quantized height value of the patch with index p in the current atlas </w:t>
      </w:r>
      <w:r w:rsidR="00B8075E" w:rsidRPr="00A52AB8">
        <w:rPr>
          <w:color w:val="000000" w:themeColor="text1"/>
        </w:rPr>
        <w:t>tile</w:t>
      </w:r>
      <w:r w:rsidR="007F0379" w:rsidRPr="00A52AB8">
        <w:rPr>
          <w:color w:val="000000" w:themeColor="text1"/>
        </w:rPr>
        <w:t xml:space="preserve">, </w:t>
      </w:r>
      <w:r w:rsidR="0036006A" w:rsidRPr="00A52AB8">
        <w:rPr>
          <w:color w:val="000000" w:themeColor="text1"/>
        </w:rPr>
        <w:t>with</w:t>
      </w:r>
      <w:r w:rsidR="00A41AF4" w:rsidRPr="00A52AB8">
        <w:rPr>
          <w:color w:val="000000" w:themeColor="text1"/>
        </w:rPr>
        <w:t xml:space="preserve"> tile</w:t>
      </w:r>
      <w:r w:rsidR="0036006A" w:rsidRPr="00A52AB8">
        <w:rPr>
          <w:color w:val="000000" w:themeColor="text1"/>
        </w:rPr>
        <w:t xml:space="preserve"> ID </w:t>
      </w:r>
      <w:r w:rsidR="00A41AF4" w:rsidRPr="00A52AB8">
        <w:rPr>
          <w:color w:val="000000" w:themeColor="text1"/>
        </w:rPr>
        <w:t xml:space="preserve">equal to </w:t>
      </w:r>
      <w:r w:rsidR="0036006A" w:rsidRPr="00A52AB8">
        <w:rPr>
          <w:color w:val="000000" w:themeColor="text1"/>
        </w:rPr>
        <w:t>tileID</w:t>
      </w:r>
      <w:r w:rsidRPr="00A52AB8">
        <w:rPr>
          <w:color w:val="000000" w:themeColor="text1"/>
        </w:rPr>
        <w:t>.</w:t>
      </w:r>
    </w:p>
    <w:p w14:paraId="6D8088D4" w14:textId="46DA06C1" w:rsidR="008414DE" w:rsidRPr="00A52AB8" w:rsidRDefault="007356C4">
      <w:pPr>
        <w:rPr>
          <w:color w:val="000000" w:themeColor="text1"/>
        </w:rPr>
      </w:pPr>
      <w:r w:rsidRPr="00A52AB8">
        <w:rPr>
          <w:b/>
          <w:color w:val="000000" w:themeColor="text1"/>
        </w:rPr>
        <w:t>pdu_3d_offset_u</w:t>
      </w:r>
      <w:bookmarkStart w:id="1254" w:name="_Hlk48902613"/>
      <w:r w:rsidR="00A846C2" w:rsidRPr="00A52AB8">
        <w:rPr>
          <w:lang w:eastAsia="ja-JP"/>
        </w:rPr>
        <w:t>[ </w:t>
      </w:r>
      <w:r w:rsidR="00632FA7" w:rsidRPr="00A52AB8">
        <w:rPr>
          <w:lang w:eastAsia="ja-JP"/>
        </w:rPr>
        <w:t>tileID</w:t>
      </w:r>
      <w:r w:rsidR="00A846C2" w:rsidRPr="00A52AB8">
        <w:rPr>
          <w:lang w:eastAsia="ja-JP"/>
        </w:rPr>
        <w:t> ]</w:t>
      </w:r>
      <w:bookmarkEnd w:id="1254"/>
      <w:r w:rsidR="00636D52" w:rsidRPr="00A52AB8">
        <w:rPr>
          <w:color w:val="000000" w:themeColor="text1"/>
        </w:rPr>
        <w:t>[ p ]</w:t>
      </w:r>
      <w:r w:rsidR="008414DE" w:rsidRPr="00A52AB8">
        <w:rPr>
          <w:color w:val="000000" w:themeColor="text1"/>
        </w:rPr>
        <w:t xml:space="preserve"> specifies the </w:t>
      </w:r>
      <w:r w:rsidR="00627BE0" w:rsidRPr="00A52AB8">
        <w:rPr>
          <w:color w:val="000000" w:themeColor="text1"/>
        </w:rPr>
        <w:t>shift</w:t>
      </w:r>
      <w:r w:rsidR="008414DE" w:rsidRPr="00A52AB8">
        <w:rPr>
          <w:color w:val="000000" w:themeColor="text1"/>
        </w:rPr>
        <w:t xml:space="preserve"> to be applied to the reconstructed patch points in patch with index p of </w:t>
      </w:r>
      <w:r w:rsidR="00E30A23" w:rsidRPr="00A52AB8">
        <w:rPr>
          <w:color w:val="000000" w:themeColor="text1"/>
        </w:rPr>
        <w:t xml:space="preserve">the </w:t>
      </w:r>
      <w:r w:rsidR="00A63EEB" w:rsidRPr="00A52AB8">
        <w:rPr>
          <w:color w:val="000000" w:themeColor="text1"/>
        </w:rPr>
        <w:t xml:space="preserve">current </w:t>
      </w:r>
      <w:r w:rsidR="002A47BD" w:rsidRPr="00A52AB8">
        <w:rPr>
          <w:color w:val="000000" w:themeColor="text1"/>
        </w:rPr>
        <w:t xml:space="preserve">atlas </w:t>
      </w:r>
      <w:r w:rsidR="00B8075E" w:rsidRPr="00A52AB8">
        <w:rPr>
          <w:color w:val="000000" w:themeColor="text1"/>
        </w:rPr>
        <w:t>tile</w:t>
      </w:r>
      <w:r w:rsidR="00A846C2" w:rsidRPr="00A52AB8">
        <w:rPr>
          <w:color w:val="000000" w:themeColor="text1"/>
        </w:rPr>
        <w:t xml:space="preserve">, </w:t>
      </w:r>
      <w:r w:rsidR="0036006A" w:rsidRPr="00A52AB8">
        <w:rPr>
          <w:color w:val="000000" w:themeColor="text1"/>
        </w:rPr>
        <w:t xml:space="preserve">with </w:t>
      </w:r>
      <w:r w:rsidR="001847B3" w:rsidRPr="00A52AB8">
        <w:rPr>
          <w:color w:val="000000" w:themeColor="text1"/>
        </w:rPr>
        <w:t xml:space="preserve">tile </w:t>
      </w:r>
      <w:r w:rsidR="0036006A" w:rsidRPr="00A52AB8">
        <w:rPr>
          <w:color w:val="000000" w:themeColor="text1"/>
        </w:rPr>
        <w:t xml:space="preserve">ID </w:t>
      </w:r>
      <w:r w:rsidR="001847B3" w:rsidRPr="00A52AB8">
        <w:rPr>
          <w:color w:val="000000" w:themeColor="text1"/>
        </w:rPr>
        <w:t xml:space="preserve">equal to </w:t>
      </w:r>
      <w:r w:rsidR="0036006A" w:rsidRPr="00A52AB8">
        <w:rPr>
          <w:color w:val="000000" w:themeColor="text1"/>
        </w:rPr>
        <w:t>tileID</w:t>
      </w:r>
      <w:r w:rsidR="00A846C2" w:rsidRPr="00A52AB8">
        <w:rPr>
          <w:color w:val="000000" w:themeColor="text1"/>
        </w:rPr>
        <w:t>,</w:t>
      </w:r>
      <w:r w:rsidR="008414DE" w:rsidRPr="00A52AB8">
        <w:rPr>
          <w:color w:val="000000" w:themeColor="text1"/>
        </w:rPr>
        <w:t xml:space="preserve"> along the tangent axis. The value of </w:t>
      </w:r>
      <w:r w:rsidRPr="00A52AB8">
        <w:rPr>
          <w:color w:val="000000" w:themeColor="text1"/>
        </w:rPr>
        <w:t>pdu_3d_offset_u</w:t>
      </w:r>
      <w:r w:rsidR="001847B3" w:rsidRPr="00A52AB8">
        <w:rPr>
          <w:lang w:eastAsia="ja-JP"/>
        </w:rPr>
        <w:t>[ tileID ]</w:t>
      </w:r>
      <w:r w:rsidR="00636D52" w:rsidRPr="00A52AB8">
        <w:rPr>
          <w:color w:val="000000" w:themeColor="text1"/>
        </w:rPr>
        <w:t>[ p ]</w:t>
      </w:r>
      <w:r w:rsidR="00E34E28" w:rsidRPr="00A52AB8" w:rsidDel="00550AC5">
        <w:rPr>
          <w:color w:val="000000" w:themeColor="text1"/>
        </w:rPr>
        <w:t xml:space="preserve"> </w:t>
      </w:r>
      <w:r w:rsidR="008414DE" w:rsidRPr="00A52AB8">
        <w:rPr>
          <w:color w:val="000000" w:themeColor="text1"/>
        </w:rPr>
        <w:t xml:space="preserve">shall be in the range of 0 to </w:t>
      </w:r>
      <w:r w:rsidR="0057074C" w:rsidRPr="00A52AB8">
        <w:rPr>
          <w:color w:val="000000" w:themeColor="text1"/>
        </w:rPr>
        <w:t>2</w:t>
      </w:r>
      <w:r w:rsidR="00F806AA" w:rsidRPr="00A52AB8">
        <w:rPr>
          <w:color w:val="000000" w:themeColor="text1"/>
          <w:vertAlign w:val="superscript"/>
        </w:rPr>
        <w:t>asps_</w:t>
      </w:r>
      <w:r w:rsidR="0057074C" w:rsidRPr="00A52AB8">
        <w:rPr>
          <w:color w:val="000000" w:themeColor="text1"/>
          <w:vertAlign w:val="superscript"/>
        </w:rPr>
        <w:t>geometry_3d_bit</w:t>
      </w:r>
      <w:r w:rsidR="00C514C6" w:rsidRPr="00A52AB8">
        <w:rPr>
          <w:color w:val="000000" w:themeColor="text1"/>
          <w:vertAlign w:val="superscript"/>
        </w:rPr>
        <w:t>_</w:t>
      </w:r>
      <w:r w:rsidR="0057074C" w:rsidRPr="00A52AB8">
        <w:rPr>
          <w:color w:val="000000" w:themeColor="text1"/>
          <w:vertAlign w:val="superscript"/>
        </w:rPr>
        <w:t>depth_minus1 </w:t>
      </w:r>
      <w:r w:rsidR="008414DE" w:rsidRPr="00A52AB8">
        <w:rPr>
          <w:color w:val="000000" w:themeColor="text1"/>
          <w:vertAlign w:val="superscript"/>
        </w:rPr>
        <w:t>+</w:t>
      </w:r>
      <w:r w:rsidR="0057074C" w:rsidRPr="00A52AB8">
        <w:rPr>
          <w:color w:val="000000" w:themeColor="text1"/>
          <w:vertAlign w:val="superscript"/>
        </w:rPr>
        <w:t> </w:t>
      </w:r>
      <w:r w:rsidR="008414DE" w:rsidRPr="00A52AB8">
        <w:rPr>
          <w:color w:val="000000" w:themeColor="text1"/>
          <w:vertAlign w:val="superscript"/>
        </w:rPr>
        <w:t>1</w:t>
      </w:r>
      <w:r w:rsidR="0024264A" w:rsidRPr="00A52AB8">
        <w:rPr>
          <w:color w:val="000000" w:themeColor="text1"/>
        </w:rPr>
        <w:t> </w:t>
      </w:r>
      <w:r w:rsidR="008414DE" w:rsidRPr="00A52AB8">
        <w:rPr>
          <w:color w:val="000000" w:themeColor="text1"/>
        </w:rPr>
        <w:t>− 1, inclusive.</w:t>
      </w:r>
      <w:r w:rsidR="005D0D36" w:rsidRPr="00A52AB8">
        <w:rPr>
          <w:color w:val="000000" w:themeColor="text1"/>
        </w:rPr>
        <w:t xml:space="preserve"> The number of bits used to represent </w:t>
      </w:r>
      <w:r w:rsidRPr="00A52AB8">
        <w:rPr>
          <w:color w:val="000000" w:themeColor="text1"/>
        </w:rPr>
        <w:t>pdu_3d_offset_u</w:t>
      </w:r>
      <w:r w:rsidR="001847B3" w:rsidRPr="00A52AB8">
        <w:rPr>
          <w:lang w:eastAsia="ja-JP"/>
        </w:rPr>
        <w:t>[ tileID ]</w:t>
      </w:r>
      <w:r w:rsidR="005D0D36" w:rsidRPr="00A52AB8">
        <w:rPr>
          <w:color w:val="000000" w:themeColor="text1"/>
        </w:rPr>
        <w:t xml:space="preserve">[ p ] is </w:t>
      </w:r>
      <w:r w:rsidR="00F806AA" w:rsidRPr="00A52AB8">
        <w:rPr>
          <w:color w:val="000000" w:themeColor="text1"/>
        </w:rPr>
        <w:t>asps_geometry_3d_bit</w:t>
      </w:r>
      <w:r w:rsidR="00C514C6" w:rsidRPr="00A52AB8">
        <w:rPr>
          <w:color w:val="000000" w:themeColor="text1"/>
        </w:rPr>
        <w:t>_</w:t>
      </w:r>
      <w:r w:rsidR="00F806AA" w:rsidRPr="00A52AB8">
        <w:rPr>
          <w:color w:val="000000" w:themeColor="text1"/>
        </w:rPr>
        <w:t>depth_minus1</w:t>
      </w:r>
      <w:r w:rsidR="00DD7F5C" w:rsidRPr="00A52AB8">
        <w:rPr>
          <w:color w:val="000000" w:themeColor="text1"/>
        </w:rPr>
        <w:t> </w:t>
      </w:r>
      <w:r w:rsidR="005D0D36" w:rsidRPr="00A52AB8">
        <w:rPr>
          <w:color w:val="000000" w:themeColor="text1"/>
        </w:rPr>
        <w:t>+</w:t>
      </w:r>
      <w:r w:rsidR="00DD7F5C" w:rsidRPr="00A52AB8">
        <w:rPr>
          <w:color w:val="000000" w:themeColor="text1"/>
        </w:rPr>
        <w:t> </w:t>
      </w:r>
      <w:r w:rsidR="005D0D36" w:rsidRPr="00A52AB8">
        <w:rPr>
          <w:color w:val="000000" w:themeColor="text1"/>
        </w:rPr>
        <w:t>1.</w:t>
      </w:r>
    </w:p>
    <w:p w14:paraId="770E28A5" w14:textId="20AC642D" w:rsidR="0057074C" w:rsidRPr="00A52AB8" w:rsidRDefault="007356C4">
      <w:pPr>
        <w:rPr>
          <w:color w:val="000000" w:themeColor="text1"/>
        </w:rPr>
      </w:pPr>
      <w:r w:rsidRPr="00A52AB8">
        <w:rPr>
          <w:b/>
          <w:color w:val="000000" w:themeColor="text1"/>
        </w:rPr>
        <w:t>pdu_3d_offset_v</w:t>
      </w:r>
      <w:r w:rsidR="00A846C2" w:rsidRPr="00A52AB8">
        <w:rPr>
          <w:lang w:eastAsia="ja-JP"/>
        </w:rPr>
        <w:t>[ </w:t>
      </w:r>
      <w:r w:rsidR="00632FA7" w:rsidRPr="00A52AB8">
        <w:rPr>
          <w:lang w:eastAsia="ja-JP"/>
        </w:rPr>
        <w:t>tileID</w:t>
      </w:r>
      <w:r w:rsidR="00A846C2" w:rsidRPr="00A52AB8">
        <w:rPr>
          <w:lang w:eastAsia="ja-JP"/>
        </w:rPr>
        <w:t> ]</w:t>
      </w:r>
      <w:r w:rsidR="00636D52" w:rsidRPr="00A52AB8">
        <w:rPr>
          <w:color w:val="000000" w:themeColor="text1"/>
        </w:rPr>
        <w:t>[ p ]</w:t>
      </w:r>
      <w:r w:rsidR="0057074C" w:rsidRPr="00A52AB8">
        <w:rPr>
          <w:color w:val="000000" w:themeColor="text1"/>
        </w:rPr>
        <w:t xml:space="preserve"> specifies the shift to be applied to the reconstructed patch points in patch with index p of </w:t>
      </w:r>
      <w:r w:rsidR="00E30A23" w:rsidRPr="00A52AB8">
        <w:rPr>
          <w:color w:val="000000" w:themeColor="text1"/>
        </w:rPr>
        <w:t xml:space="preserve">the </w:t>
      </w:r>
      <w:r w:rsidR="00A63EEB" w:rsidRPr="00A52AB8">
        <w:rPr>
          <w:color w:val="000000" w:themeColor="text1"/>
        </w:rPr>
        <w:t xml:space="preserve">current </w:t>
      </w:r>
      <w:r w:rsidR="002A47BD" w:rsidRPr="00A52AB8">
        <w:rPr>
          <w:color w:val="000000" w:themeColor="text1"/>
        </w:rPr>
        <w:t xml:space="preserve">atlas </w:t>
      </w:r>
      <w:r w:rsidR="00B8075E" w:rsidRPr="00A52AB8">
        <w:rPr>
          <w:color w:val="000000" w:themeColor="text1"/>
        </w:rPr>
        <w:t>tile</w:t>
      </w:r>
      <w:r w:rsidR="00A846C2" w:rsidRPr="00A52AB8">
        <w:rPr>
          <w:color w:val="000000" w:themeColor="text1"/>
        </w:rPr>
        <w:t xml:space="preserve">, </w:t>
      </w:r>
      <w:r w:rsidR="0036006A" w:rsidRPr="00A52AB8">
        <w:rPr>
          <w:color w:val="000000" w:themeColor="text1"/>
        </w:rPr>
        <w:t xml:space="preserve">with </w:t>
      </w:r>
      <w:r w:rsidR="001847B3" w:rsidRPr="00A52AB8">
        <w:rPr>
          <w:color w:val="000000" w:themeColor="text1"/>
        </w:rPr>
        <w:t xml:space="preserve">tile </w:t>
      </w:r>
      <w:r w:rsidR="0036006A" w:rsidRPr="00A52AB8">
        <w:rPr>
          <w:color w:val="000000" w:themeColor="text1"/>
        </w:rPr>
        <w:t xml:space="preserve">ID </w:t>
      </w:r>
      <w:r w:rsidR="001847B3" w:rsidRPr="00A52AB8">
        <w:rPr>
          <w:color w:val="000000" w:themeColor="text1"/>
        </w:rPr>
        <w:t xml:space="preserve">equal to </w:t>
      </w:r>
      <w:r w:rsidR="0036006A" w:rsidRPr="00A52AB8">
        <w:rPr>
          <w:color w:val="000000" w:themeColor="text1"/>
        </w:rPr>
        <w:t>tileID</w:t>
      </w:r>
      <w:r w:rsidR="00A846C2" w:rsidRPr="00A52AB8">
        <w:rPr>
          <w:color w:val="000000" w:themeColor="text1"/>
        </w:rPr>
        <w:t>,</w:t>
      </w:r>
      <w:r w:rsidR="0057074C" w:rsidRPr="00A52AB8">
        <w:rPr>
          <w:color w:val="000000" w:themeColor="text1"/>
        </w:rPr>
        <w:t xml:space="preserve"> along the </w:t>
      </w:r>
      <w:r w:rsidR="00141AB2" w:rsidRPr="00A52AB8">
        <w:rPr>
          <w:color w:val="000000" w:themeColor="text1"/>
        </w:rPr>
        <w:t>bi-tangent</w:t>
      </w:r>
      <w:r w:rsidR="0057074C" w:rsidRPr="00A52AB8">
        <w:rPr>
          <w:color w:val="000000" w:themeColor="text1"/>
        </w:rPr>
        <w:t xml:space="preserve"> axis. The value of </w:t>
      </w:r>
      <w:r w:rsidRPr="00A52AB8">
        <w:rPr>
          <w:color w:val="000000" w:themeColor="text1"/>
        </w:rPr>
        <w:t>pdu_3d_offset_v</w:t>
      </w:r>
      <w:r w:rsidR="001847B3" w:rsidRPr="00A52AB8">
        <w:rPr>
          <w:lang w:eastAsia="ja-JP"/>
        </w:rPr>
        <w:t>[ tileID ]</w:t>
      </w:r>
      <w:r w:rsidR="00636D52" w:rsidRPr="00A52AB8">
        <w:rPr>
          <w:color w:val="000000" w:themeColor="text1"/>
        </w:rPr>
        <w:t>[ p </w:t>
      </w:r>
      <w:r w:rsidR="002E2938" w:rsidRPr="00A52AB8">
        <w:rPr>
          <w:color w:val="000000" w:themeColor="text1"/>
        </w:rPr>
        <w:t xml:space="preserve">] </w:t>
      </w:r>
      <w:r w:rsidR="0057074C" w:rsidRPr="00A52AB8">
        <w:rPr>
          <w:color w:val="000000" w:themeColor="text1"/>
        </w:rPr>
        <w:t>shall be in the range of 0 to 2</w:t>
      </w:r>
      <w:r w:rsidR="00EC7C5E" w:rsidRPr="00A52AB8">
        <w:rPr>
          <w:color w:val="000000" w:themeColor="text1"/>
          <w:vertAlign w:val="superscript"/>
        </w:rPr>
        <w:t>asps_geometry_3d_bit</w:t>
      </w:r>
      <w:r w:rsidR="00C514C6" w:rsidRPr="00A52AB8">
        <w:rPr>
          <w:color w:val="000000" w:themeColor="text1"/>
          <w:vertAlign w:val="superscript"/>
        </w:rPr>
        <w:t>_</w:t>
      </w:r>
      <w:r w:rsidR="00EC7C5E" w:rsidRPr="00A52AB8">
        <w:rPr>
          <w:color w:val="000000" w:themeColor="text1"/>
          <w:vertAlign w:val="superscript"/>
        </w:rPr>
        <w:t>depth_minus1</w:t>
      </w:r>
      <w:r w:rsidR="0057074C" w:rsidRPr="00A52AB8">
        <w:rPr>
          <w:color w:val="000000" w:themeColor="text1"/>
          <w:vertAlign w:val="superscript"/>
        </w:rPr>
        <w:t> + 1</w:t>
      </w:r>
      <w:r w:rsidR="0024264A" w:rsidRPr="00A52AB8">
        <w:rPr>
          <w:color w:val="000000" w:themeColor="text1"/>
        </w:rPr>
        <w:t> </w:t>
      </w:r>
      <w:r w:rsidR="0057074C" w:rsidRPr="00A52AB8">
        <w:rPr>
          <w:color w:val="000000" w:themeColor="text1"/>
        </w:rPr>
        <w:t>− 1, inclusive.</w:t>
      </w:r>
      <w:r w:rsidR="005D0D36" w:rsidRPr="00A52AB8">
        <w:rPr>
          <w:color w:val="000000" w:themeColor="text1"/>
        </w:rPr>
        <w:t xml:space="preserve"> The number of bits used to represent </w:t>
      </w:r>
      <w:r w:rsidRPr="00A52AB8">
        <w:rPr>
          <w:color w:val="000000" w:themeColor="text1"/>
        </w:rPr>
        <w:t>pdu_3d_offset_v</w:t>
      </w:r>
      <w:r w:rsidR="001847B3" w:rsidRPr="00A52AB8">
        <w:rPr>
          <w:lang w:eastAsia="ja-JP"/>
        </w:rPr>
        <w:t>[ tileID ]</w:t>
      </w:r>
      <w:r w:rsidR="005D0D36" w:rsidRPr="00A52AB8">
        <w:rPr>
          <w:color w:val="000000" w:themeColor="text1"/>
        </w:rPr>
        <w:t xml:space="preserve">[ p ] is </w:t>
      </w:r>
      <w:r w:rsidR="00F806AA" w:rsidRPr="00A52AB8">
        <w:rPr>
          <w:color w:val="000000" w:themeColor="text1"/>
        </w:rPr>
        <w:t>asps_geometry_3d_bit</w:t>
      </w:r>
      <w:r w:rsidR="00C514C6" w:rsidRPr="00A52AB8">
        <w:rPr>
          <w:color w:val="000000" w:themeColor="text1"/>
        </w:rPr>
        <w:t>_</w:t>
      </w:r>
      <w:r w:rsidR="00F806AA" w:rsidRPr="00A52AB8">
        <w:rPr>
          <w:color w:val="000000" w:themeColor="text1"/>
        </w:rPr>
        <w:t>depth_minus1</w:t>
      </w:r>
      <w:r w:rsidR="00A41414" w:rsidRPr="00A52AB8">
        <w:rPr>
          <w:color w:val="000000" w:themeColor="text1"/>
        </w:rPr>
        <w:t> </w:t>
      </w:r>
      <w:r w:rsidR="005D0D36" w:rsidRPr="00A52AB8">
        <w:rPr>
          <w:color w:val="000000" w:themeColor="text1"/>
        </w:rPr>
        <w:t>+</w:t>
      </w:r>
      <w:r w:rsidR="00A41414" w:rsidRPr="00A52AB8">
        <w:rPr>
          <w:color w:val="000000" w:themeColor="text1"/>
        </w:rPr>
        <w:t> </w:t>
      </w:r>
      <w:r w:rsidR="005D0D36" w:rsidRPr="00A52AB8">
        <w:rPr>
          <w:color w:val="000000" w:themeColor="text1"/>
        </w:rPr>
        <w:t>1.</w:t>
      </w:r>
    </w:p>
    <w:p w14:paraId="753A370D" w14:textId="77777777" w:rsidR="00EB025A" w:rsidRPr="00A52AB8" w:rsidRDefault="007356C4">
      <w:pPr>
        <w:rPr>
          <w:color w:val="000000" w:themeColor="text1"/>
        </w:rPr>
      </w:pPr>
      <w:r w:rsidRPr="00A52AB8">
        <w:rPr>
          <w:b/>
          <w:color w:val="000000" w:themeColor="text1"/>
        </w:rPr>
        <w:t>pdu_3d_offset_d</w:t>
      </w:r>
      <w:r w:rsidR="00A846C2" w:rsidRPr="00A52AB8">
        <w:rPr>
          <w:lang w:eastAsia="ja-JP"/>
        </w:rPr>
        <w:t>[ </w:t>
      </w:r>
      <w:r w:rsidR="00632FA7" w:rsidRPr="00A52AB8">
        <w:rPr>
          <w:lang w:eastAsia="ja-JP"/>
        </w:rPr>
        <w:t>tileID</w:t>
      </w:r>
      <w:r w:rsidR="00A846C2" w:rsidRPr="00A52AB8">
        <w:rPr>
          <w:lang w:eastAsia="ja-JP"/>
        </w:rPr>
        <w:t> ]</w:t>
      </w:r>
      <w:r w:rsidR="00636D52" w:rsidRPr="00A52AB8">
        <w:rPr>
          <w:color w:val="000000" w:themeColor="text1"/>
        </w:rPr>
        <w:t>[ p ]</w:t>
      </w:r>
      <w:r w:rsidR="0057074C" w:rsidRPr="00A52AB8" w:rsidDel="00550AC5">
        <w:rPr>
          <w:color w:val="000000" w:themeColor="text1"/>
        </w:rPr>
        <w:t xml:space="preserve"> </w:t>
      </w:r>
      <w:r w:rsidR="0057074C" w:rsidRPr="00A52AB8">
        <w:rPr>
          <w:color w:val="000000" w:themeColor="text1"/>
        </w:rPr>
        <w:t xml:space="preserve">specifies the shift to be applied to the reconstructed patch points in patch with index p of </w:t>
      </w:r>
      <w:r w:rsidR="00E30A23" w:rsidRPr="00A52AB8">
        <w:rPr>
          <w:color w:val="000000" w:themeColor="text1"/>
        </w:rPr>
        <w:t xml:space="preserve">the </w:t>
      </w:r>
      <w:r w:rsidR="00A63EEB" w:rsidRPr="00A52AB8">
        <w:rPr>
          <w:color w:val="000000" w:themeColor="text1"/>
        </w:rPr>
        <w:t xml:space="preserve">current </w:t>
      </w:r>
      <w:r w:rsidR="002A47BD" w:rsidRPr="00A52AB8">
        <w:rPr>
          <w:color w:val="000000" w:themeColor="text1"/>
        </w:rPr>
        <w:t xml:space="preserve">atlas </w:t>
      </w:r>
      <w:r w:rsidR="00B8075E" w:rsidRPr="00A52AB8">
        <w:rPr>
          <w:color w:val="000000" w:themeColor="text1"/>
        </w:rPr>
        <w:t>tile</w:t>
      </w:r>
      <w:r w:rsidR="00A846C2" w:rsidRPr="00A52AB8">
        <w:rPr>
          <w:color w:val="000000" w:themeColor="text1"/>
        </w:rPr>
        <w:t>,</w:t>
      </w:r>
      <w:r w:rsidR="00F64F36" w:rsidRPr="00A52AB8">
        <w:rPr>
          <w:color w:val="000000" w:themeColor="text1"/>
        </w:rPr>
        <w:t xml:space="preserve"> </w:t>
      </w:r>
      <w:r w:rsidR="0036006A" w:rsidRPr="00A52AB8">
        <w:rPr>
          <w:color w:val="000000" w:themeColor="text1"/>
        </w:rPr>
        <w:t xml:space="preserve">with </w:t>
      </w:r>
      <w:r w:rsidR="00A41AF4" w:rsidRPr="00A52AB8">
        <w:rPr>
          <w:color w:val="000000" w:themeColor="text1"/>
        </w:rPr>
        <w:t xml:space="preserve">tile </w:t>
      </w:r>
      <w:r w:rsidR="0036006A" w:rsidRPr="00A52AB8">
        <w:rPr>
          <w:color w:val="000000" w:themeColor="text1"/>
        </w:rPr>
        <w:t xml:space="preserve">ID </w:t>
      </w:r>
      <w:r w:rsidR="00A41AF4" w:rsidRPr="00A52AB8">
        <w:rPr>
          <w:color w:val="000000" w:themeColor="text1"/>
        </w:rPr>
        <w:t xml:space="preserve">equal to </w:t>
      </w:r>
      <w:r w:rsidR="0036006A" w:rsidRPr="00A52AB8">
        <w:rPr>
          <w:color w:val="000000" w:themeColor="text1"/>
        </w:rPr>
        <w:t>tileID</w:t>
      </w:r>
      <w:r w:rsidR="00A846C2" w:rsidRPr="00A52AB8">
        <w:rPr>
          <w:color w:val="000000" w:themeColor="text1"/>
        </w:rPr>
        <w:t>,</w:t>
      </w:r>
      <w:r w:rsidR="0057074C" w:rsidRPr="00A52AB8">
        <w:rPr>
          <w:color w:val="000000" w:themeColor="text1"/>
        </w:rPr>
        <w:t xml:space="preserve"> along the normal axis</w:t>
      </w:r>
      <w:r w:rsidR="00EB025A" w:rsidRPr="00A52AB8">
        <w:rPr>
          <w:color w:val="000000" w:themeColor="text1"/>
        </w:rPr>
        <w:t>, P</w:t>
      </w:r>
      <w:r w:rsidR="00141AB2" w:rsidRPr="00A52AB8">
        <w:rPr>
          <w:color w:val="000000" w:themeColor="text1"/>
        </w:rPr>
        <w:t>du3dOffsetD</w:t>
      </w:r>
      <w:r w:rsidR="001847B3" w:rsidRPr="00A52AB8">
        <w:rPr>
          <w:lang w:eastAsia="ja-JP"/>
        </w:rPr>
        <w:t>[ tileID ]</w:t>
      </w:r>
      <w:r w:rsidR="00EB025A" w:rsidRPr="00A52AB8">
        <w:rPr>
          <w:color w:val="000000" w:themeColor="text1"/>
        </w:rPr>
        <w:t>[ p ]</w:t>
      </w:r>
      <w:r w:rsidR="007B6C16" w:rsidRPr="00A52AB8">
        <w:rPr>
          <w:color w:val="000000" w:themeColor="text1"/>
        </w:rPr>
        <w:t>,</w:t>
      </w:r>
      <w:r w:rsidR="00EB025A" w:rsidRPr="00A52AB8">
        <w:rPr>
          <w:color w:val="000000" w:themeColor="text1"/>
        </w:rPr>
        <w:t xml:space="preserve"> as follows:</w:t>
      </w:r>
    </w:p>
    <w:p w14:paraId="555EEA54" w14:textId="2B25C9CD" w:rsidR="00EB025A" w:rsidRPr="00A52AB8" w:rsidRDefault="005F3336">
      <w:pPr>
        <w:rPr>
          <w:color w:val="000000" w:themeColor="text1"/>
        </w:rPr>
      </w:pPr>
      <w:r w:rsidRPr="00A52AB8">
        <w:rPr>
          <w:color w:val="000000" w:themeColor="text1"/>
        </w:rPr>
        <w:tab/>
      </w:r>
      <w:r w:rsidR="00EB025A" w:rsidRPr="00A52AB8">
        <w:rPr>
          <w:color w:val="000000" w:themeColor="text1"/>
        </w:rPr>
        <w:t>P</w:t>
      </w:r>
      <w:r w:rsidR="00141AB2" w:rsidRPr="00A52AB8">
        <w:rPr>
          <w:color w:val="000000" w:themeColor="text1"/>
        </w:rPr>
        <w:t>du3dOffsetD</w:t>
      </w:r>
      <w:r w:rsidR="00A846C2" w:rsidRPr="00A52AB8">
        <w:rPr>
          <w:lang w:eastAsia="ja-JP"/>
        </w:rPr>
        <w:t>[ </w:t>
      </w:r>
      <w:r w:rsidR="00632FA7" w:rsidRPr="00A52AB8">
        <w:rPr>
          <w:lang w:eastAsia="ja-JP"/>
        </w:rPr>
        <w:t>tileID</w:t>
      </w:r>
      <w:r w:rsidR="00A846C2" w:rsidRPr="00A52AB8">
        <w:rPr>
          <w:lang w:eastAsia="ja-JP"/>
        </w:rPr>
        <w:t> ]</w:t>
      </w:r>
      <w:r w:rsidR="00EB025A" w:rsidRPr="00A52AB8">
        <w:rPr>
          <w:color w:val="000000" w:themeColor="text1"/>
        </w:rPr>
        <w:t>[ p ]</w:t>
      </w:r>
      <w:r w:rsidR="00D47707" w:rsidRPr="00A52AB8">
        <w:rPr>
          <w:color w:val="000000" w:themeColor="text1"/>
        </w:rPr>
        <w:t> = </w:t>
      </w:r>
      <w:r w:rsidR="007356C4" w:rsidRPr="00A52AB8">
        <w:rPr>
          <w:color w:val="000000" w:themeColor="text1"/>
        </w:rPr>
        <w:t>pdu_3d_offset_d</w:t>
      </w:r>
      <w:r w:rsidR="00A846C2" w:rsidRPr="00A52AB8">
        <w:rPr>
          <w:lang w:eastAsia="ja-JP"/>
        </w:rPr>
        <w:t>[ </w:t>
      </w:r>
      <w:r w:rsidR="00632FA7" w:rsidRPr="00A52AB8">
        <w:rPr>
          <w:lang w:eastAsia="ja-JP"/>
        </w:rPr>
        <w:t>tileID</w:t>
      </w:r>
      <w:r w:rsidR="00A846C2" w:rsidRPr="00A52AB8">
        <w:rPr>
          <w:lang w:eastAsia="ja-JP"/>
        </w:rPr>
        <w:t> ]</w:t>
      </w:r>
      <w:r w:rsidR="00EB025A" w:rsidRPr="00A52AB8">
        <w:rPr>
          <w:color w:val="000000" w:themeColor="text1"/>
        </w:rPr>
        <w:t>[ p ] &lt;&lt;</w:t>
      </w:r>
      <w:r w:rsidR="00766CC9" w:rsidRPr="00A52AB8">
        <w:rPr>
          <w:color w:val="000000" w:themeColor="text1"/>
        </w:rPr>
        <w:t> ath_pos_min_d_quantizer</w:t>
      </w:r>
      <w:r w:rsidR="00EB025A" w:rsidRPr="00A52AB8">
        <w:tab/>
        <w:t>(</w:t>
      </w:r>
      <w:r w:rsidR="00EB025A" w:rsidRPr="00496A4D">
        <w:fldChar w:fldCharType="begin"/>
      </w:r>
      <w:r w:rsidR="00EB025A" w:rsidRPr="00A52AB8">
        <w:instrText xml:space="preserve"> </w:instrText>
      </w:r>
      <w:r w:rsidR="00646520" w:rsidRPr="00A52AB8">
        <w:instrText>SEQ Equation \* ARABIC \n</w:instrText>
      </w:r>
      <w:r w:rsidR="00EB025A" w:rsidRPr="00A52AB8">
        <w:instrText xml:space="preserve"> </w:instrText>
      </w:r>
      <w:r w:rsidR="00EB025A" w:rsidRPr="00496A4D">
        <w:fldChar w:fldCharType="separate"/>
      </w:r>
      <w:r w:rsidR="00507A67">
        <w:rPr>
          <w:noProof/>
        </w:rPr>
        <w:t>30</w:t>
      </w:r>
      <w:r w:rsidR="00EB025A" w:rsidRPr="00496A4D">
        <w:fldChar w:fldCharType="end"/>
      </w:r>
      <w:r w:rsidR="00EB025A" w:rsidRPr="00A52AB8">
        <w:t>)</w:t>
      </w:r>
    </w:p>
    <w:p w14:paraId="28C32433" w14:textId="4E3512B2" w:rsidR="0050235C" w:rsidRPr="00A52AB8" w:rsidRDefault="0057074C">
      <w:pPr>
        <w:rPr>
          <w:color w:val="000000" w:themeColor="text1"/>
        </w:rPr>
      </w:pPr>
      <w:r w:rsidRPr="00A52AB8">
        <w:rPr>
          <w:color w:val="000000" w:themeColor="text1"/>
        </w:rPr>
        <w:t xml:space="preserve">The value of </w:t>
      </w:r>
      <w:r w:rsidR="000051C4" w:rsidRPr="00A52AB8">
        <w:rPr>
          <w:color w:val="000000" w:themeColor="text1"/>
        </w:rPr>
        <w:t>P</w:t>
      </w:r>
      <w:r w:rsidR="00141AB2" w:rsidRPr="00A52AB8">
        <w:rPr>
          <w:color w:val="000000" w:themeColor="text1"/>
        </w:rPr>
        <w:t>du3dOffsetD</w:t>
      </w:r>
      <w:r w:rsidR="00A846C2" w:rsidRPr="00A52AB8">
        <w:rPr>
          <w:lang w:eastAsia="ja-JP"/>
        </w:rPr>
        <w:t>[ </w:t>
      </w:r>
      <w:r w:rsidR="00632FA7" w:rsidRPr="00A52AB8">
        <w:rPr>
          <w:lang w:eastAsia="ja-JP"/>
        </w:rPr>
        <w:t>tileID</w:t>
      </w:r>
      <w:r w:rsidR="00A846C2" w:rsidRPr="00A52AB8">
        <w:rPr>
          <w:lang w:eastAsia="ja-JP"/>
        </w:rPr>
        <w:t> ]</w:t>
      </w:r>
      <w:r w:rsidR="00636D52" w:rsidRPr="00A52AB8">
        <w:rPr>
          <w:color w:val="000000" w:themeColor="text1"/>
        </w:rPr>
        <w:t>[ p ]</w:t>
      </w:r>
      <w:r w:rsidRPr="00A52AB8" w:rsidDel="00550AC5">
        <w:rPr>
          <w:color w:val="000000" w:themeColor="text1"/>
        </w:rPr>
        <w:t xml:space="preserve"> </w:t>
      </w:r>
      <w:r w:rsidRPr="00A52AB8">
        <w:rPr>
          <w:color w:val="000000" w:themeColor="text1"/>
        </w:rPr>
        <w:t>shall be in the range of 0 to 2</w:t>
      </w:r>
      <w:r w:rsidR="00C7433C" w:rsidRPr="00A52AB8">
        <w:rPr>
          <w:color w:val="000000" w:themeColor="text1"/>
          <w:position w:val="6"/>
          <w:vertAlign w:val="superscript"/>
        </w:rPr>
        <w:t>( a</w:t>
      </w:r>
      <w:r w:rsidR="00EC7C5E" w:rsidRPr="00A52AB8">
        <w:rPr>
          <w:color w:val="000000" w:themeColor="text1"/>
          <w:position w:val="6"/>
          <w:vertAlign w:val="superscript"/>
        </w:rPr>
        <w:t>sps_geometry_3d_bit</w:t>
      </w:r>
      <w:r w:rsidR="00C514C6" w:rsidRPr="00A52AB8">
        <w:rPr>
          <w:color w:val="000000" w:themeColor="text1"/>
          <w:position w:val="6"/>
          <w:vertAlign w:val="superscript"/>
        </w:rPr>
        <w:t>_</w:t>
      </w:r>
      <w:r w:rsidR="00EC7C5E" w:rsidRPr="00A52AB8">
        <w:rPr>
          <w:color w:val="000000" w:themeColor="text1"/>
          <w:position w:val="6"/>
          <w:vertAlign w:val="superscript"/>
        </w:rPr>
        <w:t>depth_minus1</w:t>
      </w:r>
      <w:r w:rsidRPr="00A52AB8">
        <w:rPr>
          <w:color w:val="000000" w:themeColor="text1"/>
          <w:position w:val="6"/>
          <w:vertAlign w:val="superscript"/>
        </w:rPr>
        <w:t> + 1</w:t>
      </w:r>
      <w:r w:rsidR="00C7433C" w:rsidRPr="00A52AB8">
        <w:rPr>
          <w:color w:val="000000" w:themeColor="text1"/>
          <w:position w:val="6"/>
          <w:vertAlign w:val="superscript"/>
        </w:rPr>
        <w:t> )</w:t>
      </w:r>
      <w:r w:rsidRPr="00A52AB8">
        <w:rPr>
          <w:color w:val="000000" w:themeColor="text1"/>
        </w:rPr>
        <w:t> </w:t>
      </w:r>
      <w:r w:rsidR="002003C0" w:rsidRPr="00A52AB8">
        <w:rPr>
          <w:color w:val="000000" w:themeColor="text1"/>
        </w:rPr>
        <w:t>–</w:t>
      </w:r>
      <w:r w:rsidRPr="00A52AB8">
        <w:rPr>
          <w:color w:val="000000" w:themeColor="text1"/>
        </w:rPr>
        <w:t> 1, inclusive.</w:t>
      </w:r>
    </w:p>
    <w:p w14:paraId="6AA75A13" w14:textId="3D52B3A9" w:rsidR="0057074C" w:rsidRPr="00A52AB8" w:rsidRDefault="000C508D">
      <w:pPr>
        <w:rPr>
          <w:color w:val="000000" w:themeColor="text1"/>
        </w:rPr>
      </w:pPr>
      <w:r w:rsidRPr="00A52AB8">
        <w:rPr>
          <w:color w:val="000000" w:themeColor="text1"/>
        </w:rPr>
        <w:t xml:space="preserve">The number of bits used to represent </w:t>
      </w:r>
      <w:r w:rsidR="007356C4" w:rsidRPr="00A52AB8">
        <w:rPr>
          <w:color w:val="000000" w:themeColor="text1"/>
        </w:rPr>
        <w:t>pdu_3d_offset_d</w:t>
      </w:r>
      <w:r w:rsidR="00A846C2" w:rsidRPr="00A52AB8">
        <w:rPr>
          <w:lang w:eastAsia="ja-JP"/>
        </w:rPr>
        <w:t>[ </w:t>
      </w:r>
      <w:r w:rsidR="00632FA7" w:rsidRPr="00A52AB8">
        <w:rPr>
          <w:lang w:eastAsia="ja-JP"/>
        </w:rPr>
        <w:t>tileID</w:t>
      </w:r>
      <w:r w:rsidR="00A846C2" w:rsidRPr="00A52AB8">
        <w:rPr>
          <w:lang w:eastAsia="ja-JP"/>
        </w:rPr>
        <w:t> ]</w:t>
      </w:r>
      <w:r w:rsidRPr="00A52AB8">
        <w:rPr>
          <w:color w:val="000000" w:themeColor="text1"/>
        </w:rPr>
        <w:t xml:space="preserve">[ p ] is </w:t>
      </w:r>
      <w:r w:rsidR="000C3DC4" w:rsidRPr="00A52AB8">
        <w:rPr>
          <w:color w:val="000000" w:themeColor="text1"/>
        </w:rPr>
        <w:t xml:space="preserve">equal to </w:t>
      </w:r>
      <w:r w:rsidRPr="00A52AB8">
        <w:rPr>
          <w:color w:val="000000" w:themeColor="text1"/>
        </w:rPr>
        <w:t>(</w:t>
      </w:r>
      <w:r w:rsidR="00EC7C5E" w:rsidRPr="00A52AB8">
        <w:rPr>
          <w:color w:val="000000" w:themeColor="text1"/>
        </w:rPr>
        <w:t>asps_geometry_3d_bit</w:t>
      </w:r>
      <w:r w:rsidR="00C514C6" w:rsidRPr="00A52AB8">
        <w:rPr>
          <w:color w:val="000000" w:themeColor="text1"/>
        </w:rPr>
        <w:t>_</w:t>
      </w:r>
      <w:r w:rsidR="00EC7C5E" w:rsidRPr="00A52AB8">
        <w:rPr>
          <w:color w:val="000000" w:themeColor="text1"/>
        </w:rPr>
        <w:t>depth_minus1</w:t>
      </w:r>
      <w:r w:rsidRPr="00A52AB8">
        <w:rPr>
          <w:color w:val="000000" w:themeColor="text1"/>
        </w:rPr>
        <w:t> – </w:t>
      </w:r>
      <w:r w:rsidR="00766CC9" w:rsidRPr="00A52AB8">
        <w:rPr>
          <w:color w:val="000000" w:themeColor="text1"/>
        </w:rPr>
        <w:t>ath_pos_min_d_quantizer</w:t>
      </w:r>
      <w:r w:rsidR="000C3DC4" w:rsidRPr="00A52AB8">
        <w:rPr>
          <w:color w:val="000000" w:themeColor="text1"/>
        </w:rPr>
        <w:t> </w:t>
      </w:r>
      <w:r w:rsidR="005C3E96" w:rsidRPr="00A52AB8">
        <w:rPr>
          <w:color w:val="000000" w:themeColor="text1"/>
        </w:rPr>
        <w:t>+</w:t>
      </w:r>
      <w:r w:rsidR="000C3DC4" w:rsidRPr="00A52AB8">
        <w:rPr>
          <w:color w:val="000000" w:themeColor="text1"/>
        </w:rPr>
        <w:t> </w:t>
      </w:r>
      <w:r w:rsidR="002253B8" w:rsidRPr="00A52AB8">
        <w:rPr>
          <w:color w:val="000000" w:themeColor="text1"/>
        </w:rPr>
        <w:t>1</w:t>
      </w:r>
      <w:r w:rsidR="005C3E96" w:rsidRPr="00A52AB8">
        <w:rPr>
          <w:color w:val="000000" w:themeColor="text1"/>
        </w:rPr>
        <w:t>).</w:t>
      </w:r>
    </w:p>
    <w:p w14:paraId="31376963" w14:textId="18ABEF0F" w:rsidR="007B6C16" w:rsidRPr="00A52AB8" w:rsidRDefault="007356C4">
      <w:pPr>
        <w:rPr>
          <w:color w:val="000000" w:themeColor="text1"/>
        </w:rPr>
      </w:pPr>
      <w:r w:rsidRPr="00A52AB8">
        <w:rPr>
          <w:b/>
          <w:color w:val="000000" w:themeColor="text1"/>
        </w:rPr>
        <w:t>pdu_3d_range_d</w:t>
      </w:r>
      <w:r w:rsidR="00A846C2" w:rsidRPr="00A52AB8">
        <w:rPr>
          <w:lang w:eastAsia="ja-JP"/>
        </w:rPr>
        <w:t>[ </w:t>
      </w:r>
      <w:r w:rsidR="00632FA7" w:rsidRPr="00A52AB8">
        <w:rPr>
          <w:lang w:eastAsia="ja-JP"/>
        </w:rPr>
        <w:t>tileID</w:t>
      </w:r>
      <w:r w:rsidR="00A846C2" w:rsidRPr="00A52AB8">
        <w:rPr>
          <w:lang w:eastAsia="ja-JP"/>
        </w:rPr>
        <w:t> ]</w:t>
      </w:r>
      <w:r w:rsidR="007B6C16" w:rsidRPr="00A52AB8">
        <w:rPr>
          <w:color w:val="000000" w:themeColor="text1"/>
        </w:rPr>
        <w:t>[ p ]</w:t>
      </w:r>
      <w:r w:rsidR="002003C0" w:rsidRPr="00A52AB8">
        <w:rPr>
          <w:color w:val="000000" w:themeColor="text1"/>
        </w:rPr>
        <w:t>, if present,</w:t>
      </w:r>
      <w:r w:rsidR="007B6C16" w:rsidRPr="00A52AB8" w:rsidDel="00550AC5">
        <w:rPr>
          <w:color w:val="000000" w:themeColor="text1"/>
        </w:rPr>
        <w:t xml:space="preserve"> </w:t>
      </w:r>
      <w:r w:rsidR="007B6C16" w:rsidRPr="00A52AB8">
        <w:rPr>
          <w:color w:val="000000" w:themeColor="text1"/>
        </w:rPr>
        <w:t xml:space="preserve">specifies the nominal maximum value of the shift expected to be present in the reconstructed </w:t>
      </w:r>
      <w:r w:rsidR="00D0473B" w:rsidRPr="00A52AB8">
        <w:rPr>
          <w:color w:val="000000" w:themeColor="text1"/>
        </w:rPr>
        <w:t>bit</w:t>
      </w:r>
      <w:r w:rsidR="00C514C6" w:rsidRPr="00A52AB8">
        <w:rPr>
          <w:color w:val="000000" w:themeColor="text1"/>
        </w:rPr>
        <w:t xml:space="preserve"> </w:t>
      </w:r>
      <w:r w:rsidR="00D0473B" w:rsidRPr="00A52AB8">
        <w:rPr>
          <w:color w:val="000000" w:themeColor="text1"/>
        </w:rPr>
        <w:t xml:space="preserve">depth </w:t>
      </w:r>
      <w:r w:rsidR="007B6C16" w:rsidRPr="00A52AB8">
        <w:rPr>
          <w:color w:val="000000" w:themeColor="text1"/>
        </w:rPr>
        <w:t xml:space="preserve">patch geometry </w:t>
      </w:r>
      <w:r w:rsidR="00D0473B" w:rsidRPr="00A52AB8">
        <w:rPr>
          <w:color w:val="000000" w:themeColor="text1"/>
        </w:rPr>
        <w:t xml:space="preserve">samples, after conversion to their nominal representation, </w:t>
      </w:r>
      <w:r w:rsidR="007B6C16" w:rsidRPr="00A52AB8">
        <w:rPr>
          <w:color w:val="000000" w:themeColor="text1"/>
        </w:rPr>
        <w:t xml:space="preserve">in patch with index p of </w:t>
      </w:r>
      <w:r w:rsidR="00E30A23" w:rsidRPr="00A52AB8">
        <w:rPr>
          <w:color w:val="000000" w:themeColor="text1"/>
        </w:rPr>
        <w:t xml:space="preserve">the </w:t>
      </w:r>
      <w:r w:rsidR="00A63EEB" w:rsidRPr="00A52AB8">
        <w:rPr>
          <w:color w:val="000000" w:themeColor="text1"/>
        </w:rPr>
        <w:t xml:space="preserve">current </w:t>
      </w:r>
      <w:r w:rsidR="002A47BD" w:rsidRPr="00A52AB8">
        <w:rPr>
          <w:color w:val="000000" w:themeColor="text1"/>
        </w:rPr>
        <w:t xml:space="preserve">atlas </w:t>
      </w:r>
      <w:r w:rsidR="00B8075E" w:rsidRPr="00A52AB8">
        <w:rPr>
          <w:color w:val="000000" w:themeColor="text1"/>
        </w:rPr>
        <w:t>tile</w:t>
      </w:r>
      <w:r w:rsidR="00A846C2" w:rsidRPr="00A52AB8">
        <w:rPr>
          <w:color w:val="000000" w:themeColor="text1"/>
        </w:rPr>
        <w:t xml:space="preserve">, </w:t>
      </w:r>
      <w:r w:rsidR="00A41AF4" w:rsidRPr="00A52AB8">
        <w:rPr>
          <w:color w:val="000000" w:themeColor="text1"/>
        </w:rPr>
        <w:t>with tile ID equal to tileID</w:t>
      </w:r>
      <w:r w:rsidR="00A846C2" w:rsidRPr="00A52AB8">
        <w:rPr>
          <w:color w:val="000000" w:themeColor="text1"/>
        </w:rPr>
        <w:t>,</w:t>
      </w:r>
      <w:r w:rsidR="007B6C16" w:rsidRPr="00A52AB8">
        <w:rPr>
          <w:color w:val="000000" w:themeColor="text1"/>
        </w:rPr>
        <w:t xml:space="preserve"> along the normal axis, Pdu</w:t>
      </w:r>
      <w:r w:rsidR="001A4D59" w:rsidRPr="00A52AB8">
        <w:rPr>
          <w:color w:val="000000" w:themeColor="text1"/>
        </w:rPr>
        <w:t>3dRangeD</w:t>
      </w:r>
      <w:r w:rsidR="00A846C2" w:rsidRPr="00A52AB8">
        <w:rPr>
          <w:lang w:eastAsia="ja-JP"/>
        </w:rPr>
        <w:t>[ </w:t>
      </w:r>
      <w:r w:rsidR="00632FA7" w:rsidRPr="00A52AB8">
        <w:rPr>
          <w:lang w:eastAsia="ja-JP"/>
        </w:rPr>
        <w:t>tileID</w:t>
      </w:r>
      <w:r w:rsidR="00A846C2" w:rsidRPr="00A52AB8">
        <w:rPr>
          <w:lang w:eastAsia="ja-JP"/>
        </w:rPr>
        <w:t> ]</w:t>
      </w:r>
      <w:r w:rsidR="007B6C16" w:rsidRPr="00A52AB8">
        <w:rPr>
          <w:color w:val="000000" w:themeColor="text1"/>
        </w:rPr>
        <w:t>[ p ], as follows:</w:t>
      </w:r>
    </w:p>
    <w:p w14:paraId="35D2D6AE" w14:textId="6F67A359" w:rsidR="007B6C16" w:rsidRPr="00A52AB8" w:rsidRDefault="009A1005">
      <w:pPr>
        <w:rPr>
          <w:color w:val="000000" w:themeColor="text1"/>
        </w:rPr>
      </w:pPr>
      <w:r w:rsidRPr="00A52AB8">
        <w:rPr>
          <w:color w:val="000000" w:themeColor="text1"/>
        </w:rPr>
        <w:tab/>
      </w:r>
      <w:r w:rsidR="000D73EC" w:rsidRPr="00A52AB8">
        <w:rPr>
          <w:color w:val="000000" w:themeColor="text1"/>
        </w:rPr>
        <w:t>if( pdu_3d_range_d</w:t>
      </w:r>
      <w:r w:rsidR="00E247DD" w:rsidRPr="00A52AB8">
        <w:t>[ tileID ]</w:t>
      </w:r>
      <w:r w:rsidR="00E247DD" w:rsidRPr="00A52AB8">
        <w:rPr>
          <w:color w:val="000000" w:themeColor="text1"/>
        </w:rPr>
        <w:t>[ </w:t>
      </w:r>
      <w:r w:rsidR="000D73EC" w:rsidRPr="00A52AB8">
        <w:rPr>
          <w:color w:val="000000" w:themeColor="text1"/>
        </w:rPr>
        <w:t>p ]</w:t>
      </w:r>
      <w:r w:rsidR="008768E9" w:rsidRPr="00A52AB8">
        <w:rPr>
          <w:color w:val="000000" w:themeColor="text1"/>
        </w:rPr>
        <w:t> </w:t>
      </w:r>
      <w:r w:rsidR="00726AAE" w:rsidRPr="00A52AB8">
        <w:rPr>
          <w:color w:val="000000" w:themeColor="text1"/>
        </w:rPr>
        <w:t>==</w:t>
      </w:r>
      <w:r w:rsidR="00D47707" w:rsidRPr="00A52AB8">
        <w:rPr>
          <w:color w:val="000000" w:themeColor="text1"/>
        </w:rPr>
        <w:t> </w:t>
      </w:r>
      <w:r w:rsidR="000D73EC" w:rsidRPr="00A52AB8">
        <w:rPr>
          <w:color w:val="000000" w:themeColor="text1"/>
        </w:rPr>
        <w:t>0 )</w:t>
      </w:r>
      <w:r w:rsidR="000D73EC" w:rsidRPr="00A52AB8">
        <w:rPr>
          <w:color w:val="000000" w:themeColor="text1"/>
        </w:rPr>
        <w:br/>
      </w:r>
      <w:r w:rsidR="000D73EC" w:rsidRPr="00A52AB8">
        <w:rPr>
          <w:color w:val="000000" w:themeColor="text1"/>
        </w:rPr>
        <w:tab/>
      </w:r>
      <w:r w:rsidR="000D73EC" w:rsidRPr="00A52AB8">
        <w:rPr>
          <w:color w:val="000000" w:themeColor="text1"/>
        </w:rPr>
        <w:tab/>
        <w:t>Pdu3dRangeD</w:t>
      </w:r>
      <w:r w:rsidR="000D73EC" w:rsidRPr="00A52AB8">
        <w:t>[ tileID ]</w:t>
      </w:r>
      <w:r w:rsidR="000D73EC" w:rsidRPr="00A52AB8">
        <w:rPr>
          <w:color w:val="000000" w:themeColor="text1"/>
        </w:rPr>
        <w:t>[ p ]</w:t>
      </w:r>
      <w:r w:rsidR="00D47707" w:rsidRPr="00A52AB8">
        <w:rPr>
          <w:color w:val="000000" w:themeColor="text1"/>
        </w:rPr>
        <w:t> = </w:t>
      </w:r>
      <w:r w:rsidR="000D73EC" w:rsidRPr="00A52AB8">
        <w:rPr>
          <w:color w:val="000000" w:themeColor="text1"/>
        </w:rPr>
        <w:t>0</w:t>
      </w:r>
      <w:r w:rsidR="000D73EC" w:rsidRPr="00A52AB8">
        <w:rPr>
          <w:color w:val="000000" w:themeColor="text1"/>
        </w:rPr>
        <w:tab/>
      </w:r>
      <w:r w:rsidR="000D73EC" w:rsidRPr="00A52AB8">
        <w:rPr>
          <w:color w:val="000000" w:themeColor="text1"/>
        </w:rPr>
        <w:tab/>
      </w:r>
      <w:r w:rsidR="000D73EC" w:rsidRPr="00A52AB8">
        <w:rPr>
          <w:color w:val="000000" w:themeColor="text1"/>
        </w:rPr>
        <w:tab/>
        <w:t>(</w:t>
      </w:r>
      <w:r w:rsidR="000D73EC" w:rsidRPr="00496A4D">
        <w:rPr>
          <w:color w:val="000000" w:themeColor="text1"/>
        </w:rPr>
        <w:fldChar w:fldCharType="begin"/>
      </w:r>
      <w:r w:rsidR="000D73EC" w:rsidRPr="00A52AB8">
        <w:rPr>
          <w:color w:val="000000" w:themeColor="text1"/>
        </w:rPr>
        <w:instrText xml:space="preserve"> SEQ Equation \* ARABIC \n </w:instrText>
      </w:r>
      <w:r w:rsidR="000D73EC" w:rsidRPr="00496A4D">
        <w:rPr>
          <w:color w:val="000000" w:themeColor="text1"/>
        </w:rPr>
        <w:fldChar w:fldCharType="separate"/>
      </w:r>
      <w:r w:rsidR="00507A67">
        <w:rPr>
          <w:noProof/>
          <w:color w:val="000000" w:themeColor="text1"/>
        </w:rPr>
        <w:t>31</w:t>
      </w:r>
      <w:r w:rsidR="000D73EC" w:rsidRPr="00496A4D">
        <w:rPr>
          <w:color w:val="000000" w:themeColor="text1"/>
        </w:rPr>
        <w:fldChar w:fldCharType="end"/>
      </w:r>
      <w:r w:rsidR="000D73EC" w:rsidRPr="00A52AB8">
        <w:rPr>
          <w:color w:val="000000" w:themeColor="text1"/>
        </w:rPr>
        <w:t>)</w:t>
      </w:r>
      <w:r w:rsidR="000D73EC" w:rsidRPr="00A52AB8">
        <w:rPr>
          <w:color w:val="000000" w:themeColor="text1"/>
        </w:rPr>
        <w:br/>
      </w:r>
      <w:r w:rsidR="000D73EC" w:rsidRPr="00A52AB8">
        <w:rPr>
          <w:color w:val="000000" w:themeColor="text1"/>
        </w:rPr>
        <w:tab/>
        <w:t>else</w:t>
      </w:r>
      <w:r w:rsidR="00E247DD" w:rsidRPr="00A52AB8">
        <w:rPr>
          <w:color w:val="000000" w:themeColor="text1"/>
        </w:rPr>
        <w:t> </w:t>
      </w:r>
      <w:r w:rsidR="000D73EC" w:rsidRPr="00A52AB8">
        <w:rPr>
          <w:color w:val="000000" w:themeColor="text1"/>
        </w:rPr>
        <w:t>{</w:t>
      </w:r>
      <w:r w:rsidR="000D73EC" w:rsidRPr="00A52AB8">
        <w:rPr>
          <w:color w:val="000000" w:themeColor="text1"/>
        </w:rPr>
        <w:tab/>
      </w:r>
      <w:r w:rsidR="000D73EC" w:rsidRPr="00A52AB8">
        <w:rPr>
          <w:color w:val="000000" w:themeColor="text1"/>
        </w:rPr>
        <w:br/>
      </w:r>
      <w:r w:rsidR="000D73EC" w:rsidRPr="00A52AB8">
        <w:rPr>
          <w:color w:val="000000" w:themeColor="text1"/>
        </w:rPr>
        <w:tab/>
      </w:r>
      <w:r w:rsidR="000D73EC" w:rsidRPr="00A52AB8">
        <w:rPr>
          <w:color w:val="000000" w:themeColor="text1"/>
        </w:rPr>
        <w:tab/>
        <w:t>range</w:t>
      </w:r>
      <w:r w:rsidR="00D47707" w:rsidRPr="00A52AB8">
        <w:rPr>
          <w:color w:val="000000" w:themeColor="text1"/>
        </w:rPr>
        <w:t> = </w:t>
      </w:r>
      <w:r w:rsidR="000D73EC" w:rsidRPr="00A52AB8">
        <w:rPr>
          <w:color w:val="000000" w:themeColor="text1"/>
        </w:rPr>
        <w:t>pdu_3d_range_d</w:t>
      </w:r>
      <w:r w:rsidR="000D73EC" w:rsidRPr="00A52AB8">
        <w:t>[ tileID ]</w:t>
      </w:r>
      <w:r w:rsidR="000D73EC" w:rsidRPr="00A52AB8">
        <w:rPr>
          <w:color w:val="000000" w:themeColor="text1"/>
        </w:rPr>
        <w:t>[ p ] &lt;&lt; ath_pos_delta_max_d_quantizer</w:t>
      </w:r>
      <w:r w:rsidR="000D73EC" w:rsidRPr="00A52AB8">
        <w:rPr>
          <w:color w:val="000000" w:themeColor="text1"/>
        </w:rPr>
        <w:br/>
      </w:r>
      <w:r w:rsidR="000D73EC" w:rsidRPr="00A52AB8">
        <w:rPr>
          <w:color w:val="000000" w:themeColor="text1"/>
        </w:rPr>
        <w:tab/>
      </w:r>
      <w:r w:rsidR="000D73EC" w:rsidRPr="00A52AB8">
        <w:rPr>
          <w:color w:val="000000" w:themeColor="text1"/>
        </w:rPr>
        <w:tab/>
        <w:t>Pdu3dRangeD</w:t>
      </w:r>
      <w:r w:rsidR="000D73EC" w:rsidRPr="00A52AB8">
        <w:t>[ tileID ]</w:t>
      </w:r>
      <w:r w:rsidR="000D73EC" w:rsidRPr="00A52AB8">
        <w:rPr>
          <w:color w:val="000000" w:themeColor="text1"/>
        </w:rPr>
        <w:t>[ p ]</w:t>
      </w:r>
      <w:r w:rsidR="00D47707" w:rsidRPr="00A52AB8">
        <w:rPr>
          <w:color w:val="000000" w:themeColor="text1"/>
        </w:rPr>
        <w:t> = </w:t>
      </w:r>
      <w:r w:rsidR="000D73EC" w:rsidRPr="00A52AB8">
        <w:rPr>
          <w:color w:val="000000" w:themeColor="text1"/>
        </w:rPr>
        <w:t>range – 1</w:t>
      </w:r>
      <w:r w:rsidR="000D73EC" w:rsidRPr="00A52AB8">
        <w:rPr>
          <w:color w:val="000000" w:themeColor="text1"/>
        </w:rPr>
        <w:tab/>
      </w:r>
      <w:r w:rsidR="000D73EC" w:rsidRPr="00A52AB8">
        <w:rPr>
          <w:color w:val="000000" w:themeColor="text1"/>
        </w:rPr>
        <w:tab/>
        <w:t>(</w:t>
      </w:r>
      <w:r w:rsidR="000D73EC" w:rsidRPr="00496A4D">
        <w:rPr>
          <w:color w:val="000000" w:themeColor="text1"/>
        </w:rPr>
        <w:fldChar w:fldCharType="begin"/>
      </w:r>
      <w:r w:rsidR="000D73EC" w:rsidRPr="00A52AB8">
        <w:rPr>
          <w:color w:val="000000" w:themeColor="text1"/>
        </w:rPr>
        <w:instrText xml:space="preserve"> SEQ Equation \* ARABIC \n </w:instrText>
      </w:r>
      <w:r w:rsidR="000D73EC" w:rsidRPr="00496A4D">
        <w:rPr>
          <w:color w:val="000000" w:themeColor="text1"/>
        </w:rPr>
        <w:fldChar w:fldCharType="separate"/>
      </w:r>
      <w:r w:rsidR="00507A67">
        <w:rPr>
          <w:noProof/>
          <w:color w:val="000000" w:themeColor="text1"/>
        </w:rPr>
        <w:t>32</w:t>
      </w:r>
      <w:r w:rsidR="000D73EC" w:rsidRPr="00496A4D">
        <w:rPr>
          <w:color w:val="000000" w:themeColor="text1"/>
        </w:rPr>
        <w:fldChar w:fldCharType="end"/>
      </w:r>
      <w:r w:rsidR="000D73EC" w:rsidRPr="00A52AB8">
        <w:rPr>
          <w:color w:val="000000" w:themeColor="text1"/>
        </w:rPr>
        <w:t>)</w:t>
      </w:r>
      <w:r w:rsidR="000D73EC" w:rsidRPr="00A52AB8">
        <w:rPr>
          <w:color w:val="000000" w:themeColor="text1"/>
        </w:rPr>
        <w:br/>
      </w:r>
      <w:r w:rsidR="000D73EC" w:rsidRPr="00A52AB8">
        <w:rPr>
          <w:color w:val="000000" w:themeColor="text1"/>
        </w:rPr>
        <w:tab/>
        <w:t>}</w:t>
      </w:r>
    </w:p>
    <w:p w14:paraId="37F88780" w14:textId="1581530F" w:rsidR="00C7433C" w:rsidRPr="00A52AB8" w:rsidRDefault="00E80DE8">
      <w:pPr>
        <w:rPr>
          <w:color w:val="000000" w:themeColor="text1"/>
        </w:rPr>
      </w:pPr>
      <w:r w:rsidRPr="00A52AB8">
        <w:rPr>
          <w:color w:val="000000" w:themeColor="text1"/>
        </w:rPr>
        <w:t xml:space="preserve">Let </w:t>
      </w:r>
      <w:r w:rsidR="005E2560" w:rsidRPr="00A52AB8">
        <w:rPr>
          <w:color w:val="000000" w:themeColor="text1"/>
        </w:rPr>
        <w:t xml:space="preserve">the variable </w:t>
      </w:r>
      <w:r w:rsidR="00986ECF" w:rsidRPr="00A52AB8">
        <w:rPr>
          <w:color w:val="000000" w:themeColor="text1"/>
        </w:rPr>
        <w:t>rangeDBitDepth</w:t>
      </w:r>
      <w:r w:rsidR="005E2560" w:rsidRPr="00A52AB8">
        <w:rPr>
          <w:color w:val="000000" w:themeColor="text1"/>
        </w:rPr>
        <w:t xml:space="preserve"> be </w:t>
      </w:r>
      <w:r w:rsidR="00C7433C" w:rsidRPr="00A52AB8">
        <w:rPr>
          <w:color w:val="000000" w:themeColor="text1"/>
        </w:rPr>
        <w:t>computed as follows:</w:t>
      </w:r>
    </w:p>
    <w:p w14:paraId="758E8252" w14:textId="768072B8" w:rsidR="00C7433C" w:rsidRPr="00A52AB8" w:rsidRDefault="00C7433C">
      <w:pPr>
        <w:rPr>
          <w:color w:val="000000" w:themeColor="text1"/>
        </w:rPr>
      </w:pPr>
      <w:r w:rsidRPr="00A52AB8">
        <w:rPr>
          <w:color w:val="000000" w:themeColor="text1"/>
        </w:rPr>
        <w:tab/>
        <w:t>rangeDBitDepth = </w:t>
      </w:r>
      <w:r w:rsidRPr="00A52AB8">
        <w:rPr>
          <w:color w:val="000000" w:themeColor="text1"/>
        </w:rPr>
        <w:br/>
      </w:r>
      <w:r w:rsidRPr="00A52AB8">
        <w:rPr>
          <w:color w:val="000000" w:themeColor="text1"/>
        </w:rPr>
        <w:tab/>
      </w:r>
      <w:r w:rsidRPr="00A52AB8">
        <w:rPr>
          <w:color w:val="000000" w:themeColor="text1"/>
        </w:rPr>
        <w:tab/>
      </w:r>
      <w:r w:rsidR="005E2560" w:rsidRPr="00A52AB8">
        <w:rPr>
          <w:color w:val="000000" w:themeColor="text1"/>
        </w:rPr>
        <w:t>Min(</w:t>
      </w:r>
      <w:r w:rsidRPr="00A52AB8">
        <w:rPr>
          <w:color w:val="000000" w:themeColor="text1"/>
        </w:rPr>
        <w:t> </w:t>
      </w:r>
      <w:r w:rsidR="005E2560" w:rsidRPr="00A52AB8">
        <w:rPr>
          <w:color w:val="000000" w:themeColor="text1"/>
        </w:rPr>
        <w:t>asps_geometry_2d_bit</w:t>
      </w:r>
      <w:r w:rsidR="00C514C6" w:rsidRPr="00A52AB8">
        <w:rPr>
          <w:color w:val="000000" w:themeColor="text1"/>
        </w:rPr>
        <w:t>_</w:t>
      </w:r>
      <w:r w:rsidR="005E2560" w:rsidRPr="00A52AB8">
        <w:rPr>
          <w:color w:val="000000" w:themeColor="text1"/>
        </w:rPr>
        <w:t>depth_minus1,</w:t>
      </w:r>
      <w:r w:rsidRPr="00A52AB8">
        <w:rPr>
          <w:color w:val="000000" w:themeColor="text1"/>
        </w:rPr>
        <w:t> </w:t>
      </w:r>
      <w:r w:rsidR="005E2560" w:rsidRPr="00A52AB8">
        <w:rPr>
          <w:color w:val="000000" w:themeColor="text1"/>
        </w:rPr>
        <w:t>asps_geometry_3d_bit</w:t>
      </w:r>
      <w:r w:rsidR="00C514C6" w:rsidRPr="00A52AB8">
        <w:rPr>
          <w:color w:val="000000" w:themeColor="text1"/>
        </w:rPr>
        <w:t>_</w:t>
      </w:r>
      <w:r w:rsidR="005E2560" w:rsidRPr="00A52AB8">
        <w:rPr>
          <w:color w:val="000000" w:themeColor="text1"/>
        </w:rPr>
        <w:t>depth_minus1</w:t>
      </w:r>
      <w:r w:rsidRPr="00A52AB8">
        <w:rPr>
          <w:color w:val="000000" w:themeColor="text1"/>
        </w:rPr>
        <w:t> </w:t>
      </w:r>
      <w:r w:rsidR="005E2560" w:rsidRPr="00A52AB8">
        <w:rPr>
          <w:color w:val="000000" w:themeColor="text1"/>
        </w:rPr>
        <w:t>)</w:t>
      </w:r>
      <w:r w:rsidRPr="00A52AB8">
        <w:rPr>
          <w:color w:val="000000" w:themeColor="text1"/>
        </w:rPr>
        <w:t> </w:t>
      </w:r>
      <w:r w:rsidR="005E2560" w:rsidRPr="00A52AB8">
        <w:rPr>
          <w:color w:val="000000" w:themeColor="text1"/>
        </w:rPr>
        <w:t>+</w:t>
      </w:r>
      <w:r w:rsidRPr="00A52AB8">
        <w:rPr>
          <w:color w:val="000000" w:themeColor="text1"/>
        </w:rPr>
        <w:t> </w:t>
      </w:r>
      <w:r w:rsidR="005E2560" w:rsidRPr="00A52AB8">
        <w:rPr>
          <w:color w:val="000000" w:themeColor="text1"/>
        </w:rPr>
        <w:t>1</w:t>
      </w:r>
    </w:p>
    <w:p w14:paraId="6A905761" w14:textId="38BDED03" w:rsidR="0050235C" w:rsidRPr="00A52AB8" w:rsidRDefault="002003C0">
      <w:pPr>
        <w:rPr>
          <w:color w:val="000000" w:themeColor="text1"/>
        </w:rPr>
      </w:pPr>
      <w:r w:rsidRPr="00A52AB8">
        <w:rPr>
          <w:color w:val="000000" w:themeColor="text1"/>
        </w:rPr>
        <w:t xml:space="preserve">If </w:t>
      </w:r>
      <w:r w:rsidR="007356C4" w:rsidRPr="00A52AB8">
        <w:rPr>
          <w:color w:val="000000" w:themeColor="text1"/>
        </w:rPr>
        <w:t>pdu_3d_range_d</w:t>
      </w:r>
      <w:r w:rsidR="00A846C2" w:rsidRPr="00A52AB8">
        <w:rPr>
          <w:lang w:eastAsia="ja-JP"/>
        </w:rPr>
        <w:t>[ </w:t>
      </w:r>
      <w:r w:rsidR="00632FA7" w:rsidRPr="00A52AB8">
        <w:rPr>
          <w:lang w:eastAsia="ja-JP"/>
        </w:rPr>
        <w:t>tileID</w:t>
      </w:r>
      <w:r w:rsidR="00A846C2" w:rsidRPr="00A52AB8">
        <w:rPr>
          <w:lang w:eastAsia="ja-JP"/>
        </w:rPr>
        <w:t> ]</w:t>
      </w:r>
      <w:r w:rsidRPr="00A52AB8">
        <w:rPr>
          <w:color w:val="000000" w:themeColor="text1"/>
        </w:rPr>
        <w:t>[</w:t>
      </w:r>
      <w:r w:rsidR="0024264A" w:rsidRPr="00A52AB8">
        <w:rPr>
          <w:color w:val="000000" w:themeColor="text1"/>
        </w:rPr>
        <w:t> </w:t>
      </w:r>
      <w:r w:rsidRPr="00A52AB8">
        <w:rPr>
          <w:color w:val="000000" w:themeColor="text1"/>
        </w:rPr>
        <w:t>p</w:t>
      </w:r>
      <w:r w:rsidR="0024264A" w:rsidRPr="00A52AB8">
        <w:rPr>
          <w:color w:val="000000" w:themeColor="text1"/>
        </w:rPr>
        <w:t> </w:t>
      </w:r>
      <w:r w:rsidRPr="00A52AB8">
        <w:rPr>
          <w:color w:val="000000" w:themeColor="text1"/>
        </w:rPr>
        <w:t>] is not present the value of Pdu</w:t>
      </w:r>
      <w:r w:rsidR="001A4D59" w:rsidRPr="00A52AB8">
        <w:rPr>
          <w:color w:val="000000" w:themeColor="text1"/>
        </w:rPr>
        <w:t>3dRangeD</w:t>
      </w:r>
      <w:r w:rsidR="00A846C2" w:rsidRPr="00A52AB8">
        <w:rPr>
          <w:lang w:eastAsia="ja-JP"/>
        </w:rPr>
        <w:t>[ </w:t>
      </w:r>
      <w:r w:rsidR="00632FA7" w:rsidRPr="00A52AB8">
        <w:rPr>
          <w:lang w:eastAsia="ja-JP"/>
        </w:rPr>
        <w:t>tileID</w:t>
      </w:r>
      <w:r w:rsidR="00A846C2" w:rsidRPr="00A52AB8">
        <w:rPr>
          <w:lang w:eastAsia="ja-JP"/>
        </w:rPr>
        <w:t> ]</w:t>
      </w:r>
      <w:r w:rsidRPr="00A52AB8">
        <w:rPr>
          <w:color w:val="000000" w:themeColor="text1"/>
        </w:rPr>
        <w:t xml:space="preserve">[ p ] is assumed to be equal to </w:t>
      </w:r>
      <w:r w:rsidR="00D0473B" w:rsidRPr="00A52AB8">
        <w:rPr>
          <w:color w:val="000000" w:themeColor="text1"/>
        </w:rPr>
        <w:t>2</w:t>
      </w:r>
      <w:r w:rsidR="00986ECF" w:rsidRPr="00A52AB8">
        <w:rPr>
          <w:color w:val="000000" w:themeColor="text1"/>
          <w:position w:val="6"/>
          <w:vertAlign w:val="superscript"/>
        </w:rPr>
        <w:t>rangeDBitDepth</w:t>
      </w:r>
      <w:r w:rsidR="00D0473B" w:rsidRPr="00A52AB8">
        <w:rPr>
          <w:color w:val="000000" w:themeColor="text1"/>
        </w:rPr>
        <w:t> – 1</w:t>
      </w:r>
      <w:r w:rsidR="0024264A" w:rsidRPr="00A52AB8">
        <w:rPr>
          <w:color w:val="000000" w:themeColor="text1"/>
        </w:rPr>
        <w:t>. When present, t</w:t>
      </w:r>
      <w:r w:rsidR="007B6C16" w:rsidRPr="00A52AB8">
        <w:rPr>
          <w:color w:val="000000" w:themeColor="text1"/>
        </w:rPr>
        <w:t xml:space="preserve">he value of </w:t>
      </w:r>
      <w:r w:rsidR="000051C4" w:rsidRPr="00A52AB8">
        <w:rPr>
          <w:color w:val="000000" w:themeColor="text1"/>
        </w:rPr>
        <w:t>Pdu</w:t>
      </w:r>
      <w:r w:rsidR="001A4D59" w:rsidRPr="00A52AB8">
        <w:rPr>
          <w:color w:val="000000" w:themeColor="text1"/>
        </w:rPr>
        <w:t>3dRangeD</w:t>
      </w:r>
      <w:r w:rsidR="00A846C2" w:rsidRPr="00A52AB8">
        <w:rPr>
          <w:lang w:eastAsia="ja-JP"/>
        </w:rPr>
        <w:t>[ </w:t>
      </w:r>
      <w:r w:rsidR="00632FA7" w:rsidRPr="00A52AB8">
        <w:rPr>
          <w:lang w:eastAsia="ja-JP"/>
        </w:rPr>
        <w:t>tileID</w:t>
      </w:r>
      <w:r w:rsidR="00A846C2" w:rsidRPr="00A52AB8">
        <w:rPr>
          <w:lang w:eastAsia="ja-JP"/>
        </w:rPr>
        <w:t> ]</w:t>
      </w:r>
      <w:r w:rsidR="007B6C16" w:rsidRPr="00A52AB8">
        <w:rPr>
          <w:color w:val="000000" w:themeColor="text1"/>
        </w:rPr>
        <w:t>[ p ]</w:t>
      </w:r>
      <w:r w:rsidR="007B6C16" w:rsidRPr="00A52AB8" w:rsidDel="00550AC5">
        <w:rPr>
          <w:color w:val="000000" w:themeColor="text1"/>
        </w:rPr>
        <w:t xml:space="preserve"> </w:t>
      </w:r>
      <w:r w:rsidR="007B6C16" w:rsidRPr="00A52AB8">
        <w:rPr>
          <w:color w:val="000000" w:themeColor="text1"/>
        </w:rPr>
        <w:t xml:space="preserve">shall be in the range of 0 to </w:t>
      </w:r>
      <w:r w:rsidR="005E2560" w:rsidRPr="00A52AB8">
        <w:rPr>
          <w:color w:val="000000" w:themeColor="text1"/>
        </w:rPr>
        <w:t>2</w:t>
      </w:r>
      <w:r w:rsidR="00986ECF" w:rsidRPr="00A52AB8">
        <w:rPr>
          <w:color w:val="000000" w:themeColor="text1"/>
          <w:position w:val="6"/>
          <w:vertAlign w:val="superscript"/>
        </w:rPr>
        <w:t>rangeDBitDepth</w:t>
      </w:r>
      <w:r w:rsidR="005E2560" w:rsidRPr="00A52AB8">
        <w:rPr>
          <w:color w:val="000000" w:themeColor="text1"/>
        </w:rPr>
        <w:t> – 1</w:t>
      </w:r>
      <w:r w:rsidR="007B6C16" w:rsidRPr="00A52AB8">
        <w:rPr>
          <w:color w:val="000000" w:themeColor="text1"/>
        </w:rPr>
        <w:t>, inclusive.</w:t>
      </w:r>
    </w:p>
    <w:p w14:paraId="500C0FE2" w14:textId="61508F25" w:rsidR="007B6C16" w:rsidRPr="00A52AB8" w:rsidRDefault="000C508D">
      <w:pPr>
        <w:rPr>
          <w:color w:val="000000" w:themeColor="text1"/>
        </w:rPr>
      </w:pPr>
      <w:r w:rsidRPr="00A52AB8">
        <w:rPr>
          <w:color w:val="000000" w:themeColor="text1"/>
        </w:rPr>
        <w:t xml:space="preserve">The number of bits used to represent </w:t>
      </w:r>
      <w:r w:rsidR="007356C4" w:rsidRPr="00A52AB8">
        <w:rPr>
          <w:color w:val="000000" w:themeColor="text1"/>
        </w:rPr>
        <w:t>pdu_3d_range_d</w:t>
      </w:r>
      <w:r w:rsidR="00A846C2" w:rsidRPr="00A52AB8">
        <w:rPr>
          <w:lang w:eastAsia="ja-JP"/>
        </w:rPr>
        <w:t>[ </w:t>
      </w:r>
      <w:r w:rsidR="00632FA7" w:rsidRPr="00A52AB8">
        <w:rPr>
          <w:lang w:eastAsia="ja-JP"/>
        </w:rPr>
        <w:t>tileID</w:t>
      </w:r>
      <w:r w:rsidR="00A846C2" w:rsidRPr="00A52AB8">
        <w:rPr>
          <w:lang w:eastAsia="ja-JP"/>
        </w:rPr>
        <w:t> ]</w:t>
      </w:r>
      <w:r w:rsidRPr="00A52AB8">
        <w:rPr>
          <w:color w:val="000000" w:themeColor="text1"/>
        </w:rPr>
        <w:t xml:space="preserve">[ p ] is </w:t>
      </w:r>
      <w:r w:rsidR="000C3DC4" w:rsidRPr="00A52AB8">
        <w:rPr>
          <w:color w:val="000000" w:themeColor="text1"/>
        </w:rPr>
        <w:t xml:space="preserve">equal to </w:t>
      </w:r>
      <w:r w:rsidRPr="00A52AB8">
        <w:rPr>
          <w:color w:val="000000" w:themeColor="text1"/>
        </w:rPr>
        <w:t>( </w:t>
      </w:r>
      <w:r w:rsidR="00E979C7" w:rsidRPr="00A52AB8">
        <w:rPr>
          <w:color w:val="000000" w:themeColor="text1"/>
        </w:rPr>
        <w:t>rangeDBitDepth</w:t>
      </w:r>
      <w:r w:rsidR="00D9768E" w:rsidRPr="00A52AB8">
        <w:rPr>
          <w:color w:val="000000" w:themeColor="text1"/>
        </w:rPr>
        <w:t> </w:t>
      </w:r>
      <w:r w:rsidRPr="00A52AB8">
        <w:rPr>
          <w:color w:val="000000" w:themeColor="text1"/>
        </w:rPr>
        <w:t>– </w:t>
      </w:r>
      <w:r w:rsidR="007356C4" w:rsidRPr="00A52AB8">
        <w:rPr>
          <w:color w:val="000000" w:themeColor="text1"/>
        </w:rPr>
        <w:t>ath_pos_delta_max_d_quantizer</w:t>
      </w:r>
      <w:r w:rsidR="000C3DC4" w:rsidRPr="00A52AB8">
        <w:rPr>
          <w:color w:val="000000" w:themeColor="text1"/>
        </w:rPr>
        <w:t> </w:t>
      </w:r>
      <w:r w:rsidRPr="00A52AB8">
        <w:rPr>
          <w:color w:val="000000" w:themeColor="text1"/>
        </w:rPr>
        <w:t>).</w:t>
      </w:r>
    </w:p>
    <w:p w14:paraId="79CA28D7" w14:textId="1ED7CB68" w:rsidR="00512709" w:rsidRPr="00A52AB8" w:rsidRDefault="00512709">
      <w:pPr>
        <w:rPr>
          <w:color w:val="000000" w:themeColor="text1"/>
        </w:rPr>
      </w:pPr>
      <w:r w:rsidRPr="00A52AB8">
        <w:rPr>
          <w:b/>
          <w:color w:val="000000" w:themeColor="text1"/>
        </w:rPr>
        <w:t>pdu_projection_id</w:t>
      </w:r>
      <w:r w:rsidR="00A846C2" w:rsidRPr="00A52AB8">
        <w:rPr>
          <w:lang w:eastAsia="ja-JP"/>
        </w:rPr>
        <w:t>[ </w:t>
      </w:r>
      <w:r w:rsidR="00632FA7" w:rsidRPr="00A52AB8">
        <w:rPr>
          <w:lang w:eastAsia="ja-JP"/>
        </w:rPr>
        <w:t>tileID</w:t>
      </w:r>
      <w:r w:rsidR="00A846C2" w:rsidRPr="00A52AB8">
        <w:rPr>
          <w:lang w:eastAsia="ja-JP"/>
        </w:rPr>
        <w:t> ]</w:t>
      </w:r>
      <w:r w:rsidRPr="00A52AB8">
        <w:rPr>
          <w:color w:val="000000" w:themeColor="text1"/>
        </w:rPr>
        <w:t xml:space="preserve">[ p ] specifies the values of the projection mode and of the index of the normal to the projection plane for the patch with index p of the current atlas </w:t>
      </w:r>
      <w:r w:rsidR="00B8075E" w:rsidRPr="00A52AB8">
        <w:rPr>
          <w:color w:val="000000" w:themeColor="text1"/>
        </w:rPr>
        <w:t>tile</w:t>
      </w:r>
      <w:r w:rsidR="00A846C2" w:rsidRPr="00A52AB8">
        <w:rPr>
          <w:color w:val="000000" w:themeColor="text1"/>
        </w:rPr>
        <w:t xml:space="preserve">, </w:t>
      </w:r>
      <w:r w:rsidR="00A41AF4" w:rsidRPr="00A52AB8">
        <w:rPr>
          <w:color w:val="000000" w:themeColor="text1"/>
        </w:rPr>
        <w:t>with tile ID equal to tileID</w:t>
      </w:r>
      <w:r w:rsidRPr="00A52AB8">
        <w:rPr>
          <w:color w:val="000000" w:themeColor="text1"/>
        </w:rPr>
        <w:t>. The value of pdu_projection_</w:t>
      </w:r>
      <w:r w:rsidR="009C0A00" w:rsidRPr="00A52AB8">
        <w:rPr>
          <w:color w:val="000000" w:themeColor="text1"/>
        </w:rPr>
        <w:t>id</w:t>
      </w:r>
      <w:r w:rsidR="001847B3" w:rsidRPr="00A52AB8">
        <w:rPr>
          <w:lang w:eastAsia="ja-JP"/>
        </w:rPr>
        <w:t>[ tileID ]</w:t>
      </w:r>
      <w:r w:rsidRPr="00A52AB8">
        <w:rPr>
          <w:color w:val="000000" w:themeColor="text1"/>
        </w:rPr>
        <w:t>[ p ]</w:t>
      </w:r>
      <w:r w:rsidRPr="00A52AB8" w:rsidDel="00550AC5">
        <w:rPr>
          <w:color w:val="000000" w:themeColor="text1"/>
        </w:rPr>
        <w:t xml:space="preserve"> </w:t>
      </w:r>
      <w:r w:rsidRPr="00A52AB8">
        <w:rPr>
          <w:color w:val="000000" w:themeColor="text1"/>
        </w:rPr>
        <w:t xml:space="preserve">shall be in range of 0 to </w:t>
      </w:r>
      <w:r w:rsidR="00997F2C" w:rsidRPr="00A52AB8">
        <w:t>asps_max_number_projections_minus1,</w:t>
      </w:r>
      <w:r w:rsidR="00997F2C" w:rsidRPr="00A52AB8" w:rsidDel="00504CA7">
        <w:rPr>
          <w:color w:val="000000" w:themeColor="text1"/>
        </w:rPr>
        <w:t xml:space="preserve"> </w:t>
      </w:r>
      <w:r w:rsidRPr="00A52AB8">
        <w:rPr>
          <w:color w:val="000000" w:themeColor="text1"/>
        </w:rPr>
        <w:t>inclusive.</w:t>
      </w:r>
    </w:p>
    <w:p w14:paraId="5B8DB4D8" w14:textId="57A32447" w:rsidR="005C3E96" w:rsidRPr="00A52AB8" w:rsidRDefault="005C3E96">
      <w:pPr>
        <w:rPr>
          <w:color w:val="000000" w:themeColor="text1"/>
        </w:rPr>
      </w:pPr>
      <w:r w:rsidRPr="00A52AB8">
        <w:rPr>
          <w:color w:val="000000" w:themeColor="text1"/>
        </w:rPr>
        <w:t>The number of bits used to represent pdu_projection_id</w:t>
      </w:r>
      <w:r w:rsidR="00F64F36" w:rsidRPr="00A52AB8">
        <w:rPr>
          <w:lang w:eastAsia="ja-JP"/>
        </w:rPr>
        <w:t>[ </w:t>
      </w:r>
      <w:r w:rsidR="00632FA7" w:rsidRPr="00A52AB8">
        <w:rPr>
          <w:lang w:eastAsia="ja-JP"/>
        </w:rPr>
        <w:t>tileID</w:t>
      </w:r>
      <w:r w:rsidR="00F64F36" w:rsidRPr="00A52AB8">
        <w:rPr>
          <w:lang w:eastAsia="ja-JP"/>
        </w:rPr>
        <w:t> ]</w:t>
      </w:r>
      <w:r w:rsidRPr="00A52AB8">
        <w:rPr>
          <w:color w:val="000000" w:themeColor="text1"/>
        </w:rPr>
        <w:t xml:space="preserve">[ p ] is </w:t>
      </w:r>
      <w:r w:rsidR="008357C6" w:rsidRPr="00A52AB8">
        <w:rPr>
          <w:rFonts w:eastAsia="Times New Roman"/>
        </w:rPr>
        <w:t>Ceil(</w:t>
      </w:r>
      <w:r w:rsidR="007807FB" w:rsidRPr="00A52AB8">
        <w:rPr>
          <w:rFonts w:eastAsia="Times New Roman"/>
        </w:rPr>
        <w:t> </w:t>
      </w:r>
      <w:r w:rsidR="008357C6" w:rsidRPr="00A52AB8">
        <w:rPr>
          <w:rFonts w:eastAsia="Times New Roman"/>
        </w:rPr>
        <w:t>Log2( </w:t>
      </w:r>
      <w:r w:rsidR="00D039F6" w:rsidRPr="00A52AB8">
        <w:t>asps_max_number_projections_minus1</w:t>
      </w:r>
      <w:r w:rsidR="001D3F5E" w:rsidRPr="00A52AB8">
        <w:rPr>
          <w:rFonts w:eastAsia="Times New Roman"/>
        </w:rPr>
        <w:t> </w:t>
      </w:r>
      <w:r w:rsidR="008357C6" w:rsidRPr="00A52AB8">
        <w:rPr>
          <w:rFonts w:eastAsia="Times New Roman"/>
        </w:rPr>
        <w:t>+</w:t>
      </w:r>
      <w:r w:rsidR="001D3F5E" w:rsidRPr="00A52AB8">
        <w:rPr>
          <w:rFonts w:eastAsia="Times New Roman"/>
        </w:rPr>
        <w:t> </w:t>
      </w:r>
      <w:r w:rsidR="008357C6" w:rsidRPr="00A52AB8">
        <w:rPr>
          <w:rFonts w:eastAsia="Times New Roman"/>
        </w:rPr>
        <w:t>1) )</w:t>
      </w:r>
      <w:r w:rsidR="00AA160C" w:rsidRPr="00A52AB8">
        <w:t>.</w:t>
      </w:r>
    </w:p>
    <w:p w14:paraId="665F9C4E" w14:textId="71C9E772" w:rsidR="00B534D9" w:rsidRPr="00A52AB8" w:rsidRDefault="00FD2E73">
      <w:pPr>
        <w:rPr>
          <w:color w:val="000000" w:themeColor="text1"/>
        </w:rPr>
      </w:pPr>
      <w:r w:rsidRPr="00A52AB8">
        <w:rPr>
          <w:b/>
          <w:color w:val="000000" w:themeColor="text1"/>
        </w:rPr>
        <w:t>pdu</w:t>
      </w:r>
      <w:r w:rsidR="00B534D9" w:rsidRPr="00A52AB8">
        <w:rPr>
          <w:b/>
          <w:color w:val="000000" w:themeColor="text1"/>
        </w:rPr>
        <w:t>_orientation_</w:t>
      </w:r>
      <w:r w:rsidR="001D1920" w:rsidRPr="00A52AB8">
        <w:rPr>
          <w:b/>
          <w:color w:val="000000" w:themeColor="text1"/>
        </w:rPr>
        <w:t>index</w:t>
      </w:r>
      <w:r w:rsidR="00A846C2" w:rsidRPr="00A52AB8">
        <w:rPr>
          <w:lang w:eastAsia="ja-JP"/>
        </w:rPr>
        <w:t>[ </w:t>
      </w:r>
      <w:r w:rsidR="00632FA7" w:rsidRPr="00A52AB8">
        <w:rPr>
          <w:lang w:eastAsia="ja-JP"/>
        </w:rPr>
        <w:t>tileID</w:t>
      </w:r>
      <w:r w:rsidR="00A846C2" w:rsidRPr="00A52AB8">
        <w:rPr>
          <w:lang w:eastAsia="ja-JP"/>
        </w:rPr>
        <w:t> ]</w:t>
      </w:r>
      <w:r w:rsidR="00636D52" w:rsidRPr="00A52AB8">
        <w:rPr>
          <w:color w:val="000000" w:themeColor="text1"/>
        </w:rPr>
        <w:t>[ p ]</w:t>
      </w:r>
      <w:r w:rsidR="00B534D9" w:rsidRPr="00A52AB8">
        <w:rPr>
          <w:color w:val="000000" w:themeColor="text1"/>
        </w:rPr>
        <w:t xml:space="preserve"> </w:t>
      </w:r>
      <w:r w:rsidR="00A33922" w:rsidRPr="00A52AB8">
        <w:rPr>
          <w:color w:val="000000" w:themeColor="text1"/>
        </w:rPr>
        <w:t xml:space="preserve">specifies the patch orientation index, for the patch with index p of the current atlas tile, </w:t>
      </w:r>
      <w:r w:rsidR="00A41AF4" w:rsidRPr="00A52AB8">
        <w:rPr>
          <w:color w:val="000000" w:themeColor="text1"/>
        </w:rPr>
        <w:t>with tile ID equal to tileID</w:t>
      </w:r>
      <w:r w:rsidR="00A33922" w:rsidRPr="00A52AB8">
        <w:rPr>
          <w:color w:val="000000" w:themeColor="text1"/>
        </w:rPr>
        <w:t xml:space="preserve">, used to determine the transformation matrices, </w:t>
      </w:r>
      <w:r w:rsidR="000D73EC" w:rsidRPr="00A52AB8">
        <w:rPr>
          <w:b/>
          <w:bCs/>
          <w:color w:val="000000" w:themeColor="text1"/>
        </w:rPr>
        <w:t>R</w:t>
      </w:r>
      <w:r w:rsidR="000D73EC" w:rsidRPr="00A52AB8">
        <w:rPr>
          <w:b/>
          <w:bCs/>
          <w:color w:val="000000" w:themeColor="text1"/>
          <w:vertAlign w:val="subscript"/>
        </w:rPr>
        <w:t>o</w:t>
      </w:r>
      <w:r w:rsidR="000D73EC" w:rsidRPr="00A52AB8">
        <w:rPr>
          <w:b/>
          <w:bCs/>
          <w:color w:val="000000" w:themeColor="text1"/>
        </w:rPr>
        <w:t xml:space="preserve"> </w:t>
      </w:r>
      <w:r w:rsidR="00A33922" w:rsidRPr="00A52AB8">
        <w:rPr>
          <w:color w:val="000000" w:themeColor="text1"/>
        </w:rPr>
        <w:t xml:space="preserve">and </w:t>
      </w:r>
      <w:r w:rsidR="00A33922" w:rsidRPr="00A52AB8">
        <w:rPr>
          <w:b/>
          <w:bCs/>
          <w:color w:val="000000" w:themeColor="text1"/>
        </w:rPr>
        <w:t>R</w:t>
      </w:r>
      <w:r w:rsidR="000D73EC" w:rsidRPr="00A52AB8">
        <w:rPr>
          <w:b/>
          <w:bCs/>
          <w:color w:val="000000" w:themeColor="text1"/>
          <w:vertAlign w:val="subscript"/>
        </w:rPr>
        <w:t>s</w:t>
      </w:r>
      <w:r w:rsidR="00A33922" w:rsidRPr="00A52AB8">
        <w:rPr>
          <w:color w:val="000000" w:themeColor="text1"/>
        </w:rPr>
        <w:t xml:space="preserve">, as indicated in </w:t>
      </w:r>
      <w:r w:rsidR="00C43AE5" w:rsidRPr="00496A4D">
        <w:rPr>
          <w:color w:val="000000" w:themeColor="text1"/>
        </w:rPr>
        <w:fldChar w:fldCharType="begin"/>
      </w:r>
      <w:r w:rsidR="00C43AE5" w:rsidRPr="00A52AB8">
        <w:rPr>
          <w:color w:val="000000" w:themeColor="text1"/>
        </w:rPr>
        <w:instrText xml:space="preserve"> REF _Ref49681413 \h </w:instrText>
      </w:r>
      <w:r w:rsidR="00007BE2" w:rsidRPr="00A52AB8">
        <w:rPr>
          <w:color w:val="000000" w:themeColor="text1"/>
        </w:rPr>
        <w:instrText xml:space="preserve"> \* MERGEFORMAT </w:instrText>
      </w:r>
      <w:r w:rsidR="00C43AE5" w:rsidRPr="00496A4D">
        <w:rPr>
          <w:color w:val="000000" w:themeColor="text1"/>
        </w:rPr>
      </w:r>
      <w:r w:rsidR="00C43AE5" w:rsidRPr="00496A4D">
        <w:rPr>
          <w:color w:val="000000" w:themeColor="text1"/>
        </w:rPr>
        <w:fldChar w:fldCharType="separate"/>
      </w:r>
      <w:r w:rsidR="00507A67" w:rsidRPr="00A52AB8">
        <w:rPr>
          <w:color w:val="000000" w:themeColor="text1"/>
        </w:rPr>
        <w:t xml:space="preserve">Table </w:t>
      </w:r>
      <w:r w:rsidR="00507A67">
        <w:rPr>
          <w:color w:val="000000" w:themeColor="text1"/>
        </w:rPr>
        <w:t>11</w:t>
      </w:r>
      <w:r w:rsidR="00C43AE5" w:rsidRPr="00496A4D">
        <w:rPr>
          <w:color w:val="000000" w:themeColor="text1"/>
        </w:rPr>
        <w:fldChar w:fldCharType="end"/>
      </w:r>
      <w:r w:rsidR="00A33922" w:rsidRPr="00A52AB8">
        <w:rPr>
          <w:color w:val="000000" w:themeColor="text1"/>
        </w:rPr>
        <w:t xml:space="preserve">, that are to be used to transform </w:t>
      </w:r>
      <w:r w:rsidR="00E247DD" w:rsidRPr="00A52AB8">
        <w:rPr>
          <w:color w:val="000000" w:themeColor="text1"/>
        </w:rPr>
        <w:t>atlas</w:t>
      </w:r>
      <w:r w:rsidR="00A33922" w:rsidRPr="00A52AB8">
        <w:rPr>
          <w:color w:val="000000" w:themeColor="text1"/>
        </w:rPr>
        <w:t xml:space="preserve"> coordinates </w:t>
      </w:r>
      <w:r w:rsidR="000D73EC" w:rsidRPr="00A52AB8">
        <w:rPr>
          <w:color w:val="000000" w:themeColor="text1"/>
        </w:rPr>
        <w:t xml:space="preserve">of a patch </w:t>
      </w:r>
      <w:r w:rsidR="00A33922" w:rsidRPr="00A52AB8">
        <w:rPr>
          <w:color w:val="000000" w:themeColor="text1"/>
        </w:rPr>
        <w:t>to a</w:t>
      </w:r>
      <w:r w:rsidR="00CC5054" w:rsidRPr="00A52AB8">
        <w:rPr>
          <w:color w:val="000000" w:themeColor="text1"/>
        </w:rPr>
        <w:t xml:space="preserve"> </w:t>
      </w:r>
      <w:r w:rsidR="00A33922" w:rsidRPr="00A52AB8">
        <w:rPr>
          <w:color w:val="000000" w:themeColor="text1"/>
        </w:rPr>
        <w:t>local patch coordinate system denoted by coor</w:t>
      </w:r>
      <w:r w:rsidR="00CC5054" w:rsidRPr="00A52AB8">
        <w:rPr>
          <w:color w:val="000000" w:themeColor="text1"/>
        </w:rPr>
        <w:t>d</w:t>
      </w:r>
      <w:r w:rsidR="00A33922" w:rsidRPr="00A52AB8">
        <w:rPr>
          <w:color w:val="000000" w:themeColor="text1"/>
        </w:rPr>
        <w:t>inates (</w:t>
      </w:r>
      <w:r w:rsidR="00C1590A" w:rsidRPr="00A52AB8">
        <w:rPr>
          <w:color w:val="000000" w:themeColor="text1"/>
        </w:rPr>
        <w:t> </w:t>
      </w:r>
      <w:r w:rsidR="00A33922" w:rsidRPr="00A52AB8">
        <w:rPr>
          <w:color w:val="000000" w:themeColor="text1"/>
        </w:rPr>
        <w:t>u,</w:t>
      </w:r>
      <w:r w:rsidR="00C1590A" w:rsidRPr="00A52AB8">
        <w:rPr>
          <w:color w:val="000000" w:themeColor="text1"/>
        </w:rPr>
        <w:t> </w:t>
      </w:r>
      <w:r w:rsidR="00A33922" w:rsidRPr="00A52AB8">
        <w:rPr>
          <w:color w:val="000000" w:themeColor="text1"/>
        </w:rPr>
        <w:t>v</w:t>
      </w:r>
      <w:r w:rsidR="00C1590A" w:rsidRPr="00A52AB8">
        <w:rPr>
          <w:color w:val="000000" w:themeColor="text1"/>
        </w:rPr>
        <w:t> </w:t>
      </w:r>
      <w:r w:rsidR="00A33922" w:rsidRPr="00A52AB8">
        <w:rPr>
          <w:color w:val="000000" w:themeColor="text1"/>
        </w:rPr>
        <w:t>), before conversion to 3D space</w:t>
      </w:r>
      <w:r w:rsidR="000D73EC" w:rsidRPr="00A52AB8">
        <w:rPr>
          <w:color w:val="000000" w:themeColor="text1"/>
        </w:rPr>
        <w:t xml:space="preserve"> coordinates</w:t>
      </w:r>
      <w:r w:rsidR="00A33922" w:rsidRPr="00A52AB8">
        <w:rPr>
          <w:color w:val="000000" w:themeColor="text1"/>
        </w:rPr>
        <w:t>.</w:t>
      </w:r>
      <w:r w:rsidRPr="00A52AB8">
        <w:rPr>
          <w:color w:val="000000" w:themeColor="text1"/>
        </w:rPr>
        <w:t xml:space="preserve"> </w:t>
      </w:r>
      <w:r w:rsidR="005C3E96" w:rsidRPr="00A52AB8">
        <w:rPr>
          <w:color w:val="000000" w:themeColor="text1"/>
        </w:rPr>
        <w:t>The number of bits used to represent pdu_orientation_index</w:t>
      </w:r>
      <w:r w:rsidR="00A846C2" w:rsidRPr="00A52AB8">
        <w:rPr>
          <w:lang w:eastAsia="ja-JP"/>
        </w:rPr>
        <w:t>[ </w:t>
      </w:r>
      <w:r w:rsidR="00632FA7" w:rsidRPr="00A52AB8">
        <w:rPr>
          <w:lang w:eastAsia="ja-JP"/>
        </w:rPr>
        <w:t>tileID</w:t>
      </w:r>
      <w:r w:rsidR="00A846C2" w:rsidRPr="00A52AB8">
        <w:rPr>
          <w:lang w:eastAsia="ja-JP"/>
        </w:rPr>
        <w:t> ]</w:t>
      </w:r>
      <w:r w:rsidR="005C3E96" w:rsidRPr="00A52AB8">
        <w:rPr>
          <w:color w:val="000000" w:themeColor="text1"/>
        </w:rPr>
        <w:t>[ p ] is (</w:t>
      </w:r>
      <w:r w:rsidR="00D27BE9" w:rsidRPr="00A52AB8">
        <w:rPr>
          <w:color w:val="000000" w:themeColor="text1"/>
        </w:rPr>
        <w:t> </w:t>
      </w:r>
      <w:r w:rsidR="005C3E96" w:rsidRPr="00A52AB8">
        <w:rPr>
          <w:color w:val="000000" w:themeColor="text1"/>
        </w:rPr>
        <w:t>asps_use_eight_orientations_flag ? 3 : 1 )</w:t>
      </w:r>
      <w:r w:rsidR="008651C1" w:rsidRPr="00A52AB8">
        <w:rPr>
          <w:color w:val="000000" w:themeColor="text1"/>
        </w:rPr>
        <w:t>.</w:t>
      </w:r>
    </w:p>
    <w:p w14:paraId="5E3C258D" w14:textId="691DE890" w:rsidR="00E3571F" w:rsidRPr="00A52AB8" w:rsidRDefault="00E3571F" w:rsidP="00895494">
      <w:pPr>
        <w:spacing w:before="240"/>
        <w:rPr>
          <w:b/>
          <w:color w:val="000000" w:themeColor="text1"/>
        </w:rPr>
      </w:pPr>
      <w:r w:rsidRPr="00A52AB8">
        <w:rPr>
          <w:b/>
          <w:color w:val="000000" w:themeColor="text1"/>
        </w:rPr>
        <w:t>pdu_lod_enabled_flag</w:t>
      </w:r>
      <w:r w:rsidR="00A846C2" w:rsidRPr="00A52AB8">
        <w:rPr>
          <w:lang w:eastAsia="ja-JP"/>
        </w:rPr>
        <w:t>[ </w:t>
      </w:r>
      <w:r w:rsidR="00632FA7" w:rsidRPr="00A52AB8">
        <w:rPr>
          <w:lang w:eastAsia="ja-JP"/>
        </w:rPr>
        <w:t>tileID</w:t>
      </w:r>
      <w:r w:rsidR="00A846C2" w:rsidRPr="00A52AB8">
        <w:rPr>
          <w:lang w:eastAsia="ja-JP"/>
        </w:rPr>
        <w:t> ]</w:t>
      </w:r>
      <w:r w:rsidRPr="00A52AB8">
        <w:rPr>
          <w:color w:val="000000" w:themeColor="text1"/>
        </w:rPr>
        <w:t>[ p ]</w:t>
      </w:r>
      <w:r w:rsidRPr="00A52AB8" w:rsidDel="00550AC5">
        <w:rPr>
          <w:color w:val="000000" w:themeColor="text1"/>
        </w:rPr>
        <w:t xml:space="preserve"> </w:t>
      </w:r>
      <w:r w:rsidRPr="00A52AB8">
        <w:rPr>
          <w:color w:val="000000" w:themeColor="text1"/>
        </w:rPr>
        <w:t>equal to 1 specifies that the LOD parameters are present for the current patch p</w:t>
      </w:r>
      <w:r w:rsidR="00A846C2" w:rsidRPr="00A52AB8">
        <w:rPr>
          <w:color w:val="000000" w:themeColor="text1"/>
        </w:rPr>
        <w:t xml:space="preserve"> of the current atlas tile, </w:t>
      </w:r>
      <w:r w:rsidR="00A41AF4" w:rsidRPr="00A52AB8">
        <w:rPr>
          <w:color w:val="000000" w:themeColor="text1"/>
        </w:rPr>
        <w:t>with tile ID equal to tileID</w:t>
      </w:r>
      <w:r w:rsidRPr="00A52AB8">
        <w:rPr>
          <w:color w:val="000000" w:themeColor="text1"/>
        </w:rPr>
        <w:t xml:space="preserve">. If </w:t>
      </w:r>
      <w:r w:rsidRPr="00A52AB8">
        <w:rPr>
          <w:bCs/>
          <w:color w:val="000000" w:themeColor="text1"/>
        </w:rPr>
        <w:t>pdu_lod_enabled_flag</w:t>
      </w:r>
      <w:r w:rsidR="00A846C2" w:rsidRPr="00A52AB8">
        <w:rPr>
          <w:lang w:eastAsia="ja-JP"/>
        </w:rPr>
        <w:t>[ </w:t>
      </w:r>
      <w:r w:rsidR="00632FA7" w:rsidRPr="00A52AB8">
        <w:rPr>
          <w:lang w:eastAsia="ja-JP"/>
        </w:rPr>
        <w:t>tileID</w:t>
      </w:r>
      <w:r w:rsidR="00A846C2" w:rsidRPr="00A52AB8">
        <w:rPr>
          <w:lang w:eastAsia="ja-JP"/>
        </w:rPr>
        <w:t> ]</w:t>
      </w:r>
      <w:r w:rsidRPr="00A52AB8">
        <w:rPr>
          <w:bCs/>
          <w:color w:val="000000" w:themeColor="text1"/>
        </w:rPr>
        <w:t>[ p</w:t>
      </w:r>
      <w:r w:rsidRPr="00A52AB8">
        <w:rPr>
          <w:color w:val="000000" w:themeColor="text1"/>
        </w:rPr>
        <w:t xml:space="preserve"> ] is equal to 0, no LOD parameters are present for the current patch. If </w:t>
      </w:r>
      <w:r w:rsidRPr="00A52AB8">
        <w:rPr>
          <w:bCs/>
          <w:color w:val="000000" w:themeColor="text1"/>
        </w:rPr>
        <w:t>pdu_lod_enabled_flag</w:t>
      </w:r>
      <w:r w:rsidR="00A846C2" w:rsidRPr="00A52AB8">
        <w:rPr>
          <w:lang w:eastAsia="ja-JP"/>
        </w:rPr>
        <w:t>[ </w:t>
      </w:r>
      <w:r w:rsidR="00632FA7" w:rsidRPr="00A52AB8">
        <w:rPr>
          <w:lang w:eastAsia="ja-JP"/>
        </w:rPr>
        <w:t>tileID</w:t>
      </w:r>
      <w:r w:rsidR="00A846C2" w:rsidRPr="00A52AB8">
        <w:rPr>
          <w:lang w:eastAsia="ja-JP"/>
        </w:rPr>
        <w:t> ]</w:t>
      </w:r>
      <w:r w:rsidRPr="00A52AB8">
        <w:rPr>
          <w:bCs/>
          <w:color w:val="000000" w:themeColor="text1"/>
        </w:rPr>
        <w:t>[ p</w:t>
      </w:r>
      <w:r w:rsidRPr="00A52AB8">
        <w:rPr>
          <w:color w:val="000000" w:themeColor="text1"/>
        </w:rPr>
        <w:t> ] is not present, its value shall be inferred to be equal to 0.</w:t>
      </w:r>
    </w:p>
    <w:p w14:paraId="2CC20EB8" w14:textId="693A62C8" w:rsidR="0050235C" w:rsidRPr="00A52AB8" w:rsidRDefault="00E3571F">
      <w:pPr>
        <w:rPr>
          <w:color w:val="000000" w:themeColor="text1"/>
        </w:rPr>
      </w:pPr>
      <w:r w:rsidRPr="00A52AB8">
        <w:rPr>
          <w:b/>
          <w:color w:val="000000" w:themeColor="text1"/>
        </w:rPr>
        <w:t>pdu_lod_scale_x_minus1</w:t>
      </w:r>
      <w:r w:rsidR="00A846C2" w:rsidRPr="00A52AB8">
        <w:rPr>
          <w:lang w:eastAsia="ja-JP"/>
        </w:rPr>
        <w:t>[ </w:t>
      </w:r>
      <w:r w:rsidR="00632FA7" w:rsidRPr="00A52AB8">
        <w:rPr>
          <w:lang w:eastAsia="ja-JP"/>
        </w:rPr>
        <w:t>tileID</w:t>
      </w:r>
      <w:r w:rsidR="00A846C2" w:rsidRPr="00A52AB8">
        <w:rPr>
          <w:lang w:eastAsia="ja-JP"/>
        </w:rPr>
        <w:t> ]</w:t>
      </w:r>
      <w:r w:rsidRPr="00A52AB8">
        <w:rPr>
          <w:color w:val="000000" w:themeColor="text1"/>
        </w:rPr>
        <w:t>[ p ] specifies the LOD scaling factor to be applied to the local x</w:t>
      </w:r>
      <w:r w:rsidR="001702AD" w:rsidRPr="00A52AB8">
        <w:rPr>
          <w:color w:val="000000" w:themeColor="text1"/>
        </w:rPr>
        <w:noBreakHyphen/>
      </w:r>
      <w:r w:rsidRPr="00A52AB8">
        <w:rPr>
          <w:color w:val="000000" w:themeColor="text1"/>
        </w:rPr>
        <w:t xml:space="preserve">coordinate of a point in a patch with index p of the current atlas </w:t>
      </w:r>
      <w:r w:rsidR="00B8075E" w:rsidRPr="00A52AB8">
        <w:rPr>
          <w:color w:val="000000" w:themeColor="text1"/>
        </w:rPr>
        <w:t>tile</w:t>
      </w:r>
      <w:r w:rsidR="00A846C2" w:rsidRPr="00A52AB8">
        <w:rPr>
          <w:color w:val="000000" w:themeColor="text1"/>
        </w:rPr>
        <w:t xml:space="preserve">, </w:t>
      </w:r>
      <w:r w:rsidR="00A41AF4" w:rsidRPr="00A52AB8">
        <w:rPr>
          <w:color w:val="000000" w:themeColor="text1"/>
        </w:rPr>
        <w:t>with tile ID equal to tileID</w:t>
      </w:r>
      <w:r w:rsidRPr="00A52AB8">
        <w:rPr>
          <w:color w:val="000000" w:themeColor="text1"/>
        </w:rPr>
        <w:t xml:space="preserve">, prior to its addition to the patch coordinate </w:t>
      </w:r>
      <w:r w:rsidR="00314925" w:rsidRPr="00A52AB8">
        <w:rPr>
          <w:color w:val="000000" w:themeColor="text1"/>
        </w:rPr>
        <w:t>TilePatch3dOffsetU</w:t>
      </w:r>
      <w:r w:rsidR="00A846C2" w:rsidRPr="00A52AB8">
        <w:rPr>
          <w:lang w:eastAsia="ja-JP"/>
        </w:rPr>
        <w:t>[ </w:t>
      </w:r>
      <w:r w:rsidR="00632FA7" w:rsidRPr="00A52AB8">
        <w:rPr>
          <w:lang w:eastAsia="ja-JP"/>
        </w:rPr>
        <w:t>tileID</w:t>
      </w:r>
      <w:r w:rsidR="00A846C2" w:rsidRPr="00A52AB8">
        <w:rPr>
          <w:lang w:eastAsia="ja-JP"/>
        </w:rPr>
        <w:t> ]</w:t>
      </w:r>
      <w:r w:rsidRPr="00A52AB8">
        <w:rPr>
          <w:color w:val="000000" w:themeColor="text1"/>
        </w:rPr>
        <w:t>[ p ]. If pdu_lod_scale_x_minus1</w:t>
      </w:r>
      <w:r w:rsidR="00A846C2" w:rsidRPr="00A52AB8">
        <w:rPr>
          <w:lang w:eastAsia="ja-JP"/>
        </w:rPr>
        <w:t>[ </w:t>
      </w:r>
      <w:r w:rsidR="00632FA7" w:rsidRPr="00A52AB8">
        <w:rPr>
          <w:lang w:eastAsia="ja-JP"/>
        </w:rPr>
        <w:t>tileID</w:t>
      </w:r>
      <w:r w:rsidR="00A846C2" w:rsidRPr="00A52AB8">
        <w:rPr>
          <w:lang w:eastAsia="ja-JP"/>
        </w:rPr>
        <w:t> ]</w:t>
      </w:r>
      <w:r w:rsidRPr="00A52AB8">
        <w:rPr>
          <w:color w:val="000000" w:themeColor="text1"/>
        </w:rPr>
        <w:t>[ p ] is not present, its value shall be inferred to be equal to 0.</w:t>
      </w:r>
    </w:p>
    <w:p w14:paraId="5127410D" w14:textId="7FEC7290" w:rsidR="0050235C" w:rsidRPr="00A52AB8" w:rsidRDefault="00E3571F">
      <w:pPr>
        <w:rPr>
          <w:color w:val="000000" w:themeColor="text1"/>
        </w:rPr>
      </w:pPr>
      <w:r w:rsidRPr="00A52AB8">
        <w:rPr>
          <w:b/>
          <w:color w:val="000000" w:themeColor="text1"/>
        </w:rPr>
        <w:t>pdu_lod_scale_y</w:t>
      </w:r>
      <w:r w:rsidR="00282B77" w:rsidRPr="00A52AB8">
        <w:rPr>
          <w:b/>
          <w:color w:val="000000" w:themeColor="text1"/>
        </w:rPr>
        <w:t>_idc</w:t>
      </w:r>
      <w:r w:rsidR="00A846C2" w:rsidRPr="00A52AB8">
        <w:rPr>
          <w:lang w:eastAsia="ja-JP"/>
        </w:rPr>
        <w:t>[ </w:t>
      </w:r>
      <w:r w:rsidR="00632FA7" w:rsidRPr="00A52AB8">
        <w:rPr>
          <w:lang w:eastAsia="ja-JP"/>
        </w:rPr>
        <w:t>tileID</w:t>
      </w:r>
      <w:r w:rsidR="00A846C2" w:rsidRPr="00A52AB8">
        <w:rPr>
          <w:lang w:eastAsia="ja-JP"/>
        </w:rPr>
        <w:t> ]</w:t>
      </w:r>
      <w:r w:rsidRPr="00A52AB8">
        <w:rPr>
          <w:color w:val="000000" w:themeColor="text1"/>
        </w:rPr>
        <w:t xml:space="preserve">[ p ] </w:t>
      </w:r>
      <w:r w:rsidR="00282B77" w:rsidRPr="00A52AB8">
        <w:rPr>
          <w:color w:val="000000" w:themeColor="text1"/>
        </w:rPr>
        <w:t xml:space="preserve">indicates </w:t>
      </w:r>
      <w:r w:rsidRPr="00A52AB8">
        <w:rPr>
          <w:color w:val="000000" w:themeColor="text1"/>
        </w:rPr>
        <w:t>the LOD scaling factor to be applied to the local y</w:t>
      </w:r>
      <w:r w:rsidR="001702AD" w:rsidRPr="00A52AB8">
        <w:rPr>
          <w:color w:val="000000" w:themeColor="text1"/>
        </w:rPr>
        <w:noBreakHyphen/>
      </w:r>
      <w:r w:rsidRPr="00A52AB8">
        <w:rPr>
          <w:color w:val="000000" w:themeColor="text1"/>
        </w:rPr>
        <w:t xml:space="preserve">coordinate of a point in a patch with index p of the current atlas </w:t>
      </w:r>
      <w:r w:rsidR="00B8075E" w:rsidRPr="00A52AB8">
        <w:rPr>
          <w:color w:val="000000" w:themeColor="text1"/>
        </w:rPr>
        <w:t>tile</w:t>
      </w:r>
      <w:r w:rsidR="00A846C2" w:rsidRPr="00A52AB8">
        <w:rPr>
          <w:color w:val="000000" w:themeColor="text1"/>
        </w:rPr>
        <w:t xml:space="preserve">, </w:t>
      </w:r>
      <w:r w:rsidR="00A41AF4" w:rsidRPr="00A52AB8">
        <w:rPr>
          <w:color w:val="000000" w:themeColor="text1"/>
        </w:rPr>
        <w:t>with tile ID equal to tileID</w:t>
      </w:r>
      <w:r w:rsidRPr="00A52AB8">
        <w:rPr>
          <w:color w:val="000000" w:themeColor="text1"/>
        </w:rPr>
        <w:t xml:space="preserve">, prior to its addition to the patch coordinate </w:t>
      </w:r>
      <w:r w:rsidR="00314925" w:rsidRPr="00A52AB8">
        <w:rPr>
          <w:color w:val="000000" w:themeColor="text1"/>
        </w:rPr>
        <w:t>TilePatch3dOffsetV</w:t>
      </w:r>
      <w:r w:rsidR="00F64F36" w:rsidRPr="00A52AB8">
        <w:rPr>
          <w:lang w:eastAsia="ja-JP"/>
        </w:rPr>
        <w:t>[ </w:t>
      </w:r>
      <w:r w:rsidR="00632FA7" w:rsidRPr="00A52AB8">
        <w:rPr>
          <w:lang w:eastAsia="ja-JP"/>
        </w:rPr>
        <w:t>tileID</w:t>
      </w:r>
      <w:r w:rsidR="00F64F36" w:rsidRPr="00A52AB8">
        <w:rPr>
          <w:lang w:eastAsia="ja-JP"/>
        </w:rPr>
        <w:t> ]</w:t>
      </w:r>
      <w:r w:rsidRPr="00A52AB8">
        <w:rPr>
          <w:color w:val="000000" w:themeColor="text1"/>
        </w:rPr>
        <w:t>[ p ]. If pdu_lod_scale_y</w:t>
      </w:r>
      <w:r w:rsidR="00282B77" w:rsidRPr="00A52AB8">
        <w:rPr>
          <w:color w:val="000000" w:themeColor="text1"/>
        </w:rPr>
        <w:t>_idc</w:t>
      </w:r>
      <w:r w:rsidR="00F64F36" w:rsidRPr="00A52AB8">
        <w:rPr>
          <w:lang w:eastAsia="ja-JP"/>
        </w:rPr>
        <w:t>[ </w:t>
      </w:r>
      <w:r w:rsidR="00632FA7" w:rsidRPr="00A52AB8">
        <w:rPr>
          <w:lang w:eastAsia="ja-JP"/>
        </w:rPr>
        <w:t>tileID</w:t>
      </w:r>
      <w:r w:rsidR="00F64F36" w:rsidRPr="00A52AB8">
        <w:rPr>
          <w:lang w:eastAsia="ja-JP"/>
        </w:rPr>
        <w:t> ]</w:t>
      </w:r>
      <w:r w:rsidRPr="00A52AB8">
        <w:rPr>
          <w:color w:val="000000" w:themeColor="text1"/>
        </w:rPr>
        <w:t>[ p ] is not present, its value shall be inferred to be equal to 0.</w:t>
      </w:r>
    </w:p>
    <w:p w14:paraId="6C14F7A7" w14:textId="2BBB7293" w:rsidR="009C0A00" w:rsidRPr="00A52AB8" w:rsidRDefault="009C0A00" w:rsidP="005C26E9">
      <w:pPr>
        <w:pStyle w:val="Heading4"/>
      </w:pPr>
      <w:r w:rsidRPr="00A52AB8">
        <w:t>Skip patch data unit semantics</w:t>
      </w:r>
    </w:p>
    <w:p w14:paraId="7B6DC085" w14:textId="77777777" w:rsidR="00D75B34" w:rsidRPr="00A52AB8" w:rsidRDefault="00D75B34">
      <w:r w:rsidRPr="00A52AB8">
        <w:rPr>
          <w:lang w:eastAsia="ja-JP"/>
        </w:rPr>
        <w:t>None</w:t>
      </w:r>
    </w:p>
    <w:p w14:paraId="3C7F9C16" w14:textId="77777777" w:rsidR="00D75B34" w:rsidRPr="00A52AB8" w:rsidRDefault="00D75B34" w:rsidP="005C26E9">
      <w:pPr>
        <w:pStyle w:val="Heading4"/>
      </w:pPr>
      <w:r w:rsidRPr="00A52AB8">
        <w:t>Merge patch data unit semantics</w:t>
      </w:r>
    </w:p>
    <w:p w14:paraId="0693D5E2" w14:textId="5A1E4C18" w:rsidR="000C6920" w:rsidRPr="00A52AB8" w:rsidRDefault="000C6920">
      <w:pPr>
        <w:rPr>
          <w:color w:val="000000" w:themeColor="text1"/>
        </w:rPr>
      </w:pPr>
      <w:r w:rsidRPr="00A52AB8">
        <w:rPr>
          <w:b/>
          <w:color w:val="000000" w:themeColor="text1"/>
        </w:rPr>
        <w:t>mpdu_ref_index</w:t>
      </w:r>
      <w:r w:rsidR="00A846C2" w:rsidRPr="00A52AB8">
        <w:rPr>
          <w:lang w:eastAsia="ja-JP"/>
        </w:rPr>
        <w:t>[ </w:t>
      </w:r>
      <w:r w:rsidR="00632FA7" w:rsidRPr="00A52AB8">
        <w:rPr>
          <w:lang w:eastAsia="ja-JP"/>
        </w:rPr>
        <w:t>tileID</w:t>
      </w:r>
      <w:r w:rsidR="00A846C2" w:rsidRPr="00A52AB8">
        <w:rPr>
          <w:lang w:eastAsia="ja-JP"/>
        </w:rPr>
        <w:t> ]</w:t>
      </w:r>
      <w:r w:rsidRPr="00A52AB8">
        <w:rPr>
          <w:color w:val="000000" w:themeColor="text1"/>
        </w:rPr>
        <w:t xml:space="preserve">[ p ] specifies the atlas reference frame index, </w:t>
      </w:r>
      <w:r w:rsidR="003E312F" w:rsidRPr="00A52AB8">
        <w:rPr>
          <w:color w:val="000000" w:themeColor="text1"/>
        </w:rPr>
        <w:t>r</w:t>
      </w:r>
      <w:r w:rsidRPr="00A52AB8">
        <w:rPr>
          <w:color w:val="000000" w:themeColor="text1"/>
        </w:rPr>
        <w:t>efIdx, for the current patch</w:t>
      </w:r>
      <w:r w:rsidR="00C4789A" w:rsidRPr="00A52AB8">
        <w:rPr>
          <w:color w:val="000000" w:themeColor="text1"/>
        </w:rPr>
        <w:t xml:space="preserve"> with index p of the current atlas tile, </w:t>
      </w:r>
      <w:r w:rsidR="00A41AF4" w:rsidRPr="00A52AB8">
        <w:rPr>
          <w:color w:val="000000" w:themeColor="text1"/>
        </w:rPr>
        <w:t>with tile ID equal to tileID</w:t>
      </w:r>
      <w:r w:rsidRPr="00A52AB8">
        <w:rPr>
          <w:color w:val="000000" w:themeColor="text1"/>
        </w:rPr>
        <w:t xml:space="preserve">. </w:t>
      </w:r>
      <w:r w:rsidR="00B560AC" w:rsidRPr="00A52AB8">
        <w:rPr>
          <w:color w:val="000000" w:themeColor="text1"/>
        </w:rPr>
        <w:t>The value of mpdu_ref_index[</w:t>
      </w:r>
      <w:r w:rsidR="00A71AED" w:rsidRPr="00A52AB8">
        <w:rPr>
          <w:color w:val="000000" w:themeColor="text1"/>
        </w:rPr>
        <w:t> </w:t>
      </w:r>
      <w:r w:rsidR="00632FA7" w:rsidRPr="00A52AB8">
        <w:rPr>
          <w:color w:val="000000" w:themeColor="text1"/>
        </w:rPr>
        <w:t>tileID</w:t>
      </w:r>
      <w:r w:rsidR="00A71AED" w:rsidRPr="00A52AB8">
        <w:rPr>
          <w:color w:val="000000" w:themeColor="text1"/>
        </w:rPr>
        <w:t> </w:t>
      </w:r>
      <w:r w:rsidR="00B560AC" w:rsidRPr="00A52AB8">
        <w:rPr>
          <w:color w:val="000000" w:themeColor="text1"/>
        </w:rPr>
        <w:t>][</w:t>
      </w:r>
      <w:r w:rsidR="00A71AED" w:rsidRPr="00A52AB8">
        <w:rPr>
          <w:color w:val="000000" w:themeColor="text1"/>
        </w:rPr>
        <w:t> </w:t>
      </w:r>
      <w:r w:rsidR="00B560AC" w:rsidRPr="00A52AB8">
        <w:rPr>
          <w:color w:val="000000" w:themeColor="text1"/>
        </w:rPr>
        <w:t>p</w:t>
      </w:r>
      <w:r w:rsidR="00A71AED" w:rsidRPr="00A52AB8">
        <w:rPr>
          <w:color w:val="000000" w:themeColor="text1"/>
        </w:rPr>
        <w:t> </w:t>
      </w:r>
      <w:r w:rsidR="00B560AC" w:rsidRPr="00A52AB8">
        <w:rPr>
          <w:color w:val="000000" w:themeColor="text1"/>
        </w:rPr>
        <w:t>] shall be in the range of 0 to NumRefIdxActive</w:t>
      </w:r>
      <w:r w:rsidR="00A71AED" w:rsidRPr="00A52AB8">
        <w:rPr>
          <w:color w:val="000000" w:themeColor="text1"/>
        </w:rPr>
        <w:t> – </w:t>
      </w:r>
      <w:r w:rsidR="00B560AC" w:rsidRPr="00A52AB8">
        <w:rPr>
          <w:color w:val="000000" w:themeColor="text1"/>
        </w:rPr>
        <w:t xml:space="preserve">1, inclusive. </w:t>
      </w:r>
      <w:r w:rsidRPr="00A52AB8">
        <w:rPr>
          <w:color w:val="000000" w:themeColor="text1"/>
        </w:rPr>
        <w:t>When mpdu_ref_index</w:t>
      </w:r>
      <w:r w:rsidR="00F64F36" w:rsidRPr="00A52AB8">
        <w:rPr>
          <w:lang w:eastAsia="ja-JP"/>
        </w:rPr>
        <w:t>[ </w:t>
      </w:r>
      <w:r w:rsidR="00632FA7" w:rsidRPr="00A52AB8">
        <w:rPr>
          <w:lang w:eastAsia="ja-JP"/>
        </w:rPr>
        <w:t>tileID</w:t>
      </w:r>
      <w:r w:rsidR="00F64F36" w:rsidRPr="00A52AB8">
        <w:rPr>
          <w:lang w:eastAsia="ja-JP"/>
        </w:rPr>
        <w:t> ]</w:t>
      </w:r>
      <w:r w:rsidR="00F64F36" w:rsidRPr="00A52AB8">
        <w:rPr>
          <w:color w:val="000000" w:themeColor="text1"/>
        </w:rPr>
        <w:t>[ p </w:t>
      </w:r>
      <w:r w:rsidRPr="00A52AB8">
        <w:rPr>
          <w:color w:val="000000" w:themeColor="text1"/>
        </w:rPr>
        <w:t>] is not present, it is inferred to be equal to 0.</w:t>
      </w:r>
    </w:p>
    <w:p w14:paraId="5415256C" w14:textId="2CF3EB56" w:rsidR="0050235C" w:rsidRPr="00A52AB8" w:rsidRDefault="003D3901">
      <w:pPr>
        <w:rPr>
          <w:color w:val="000000" w:themeColor="text1"/>
        </w:rPr>
      </w:pPr>
      <w:r w:rsidRPr="00A52AB8">
        <w:rPr>
          <w:b/>
          <w:color w:val="000000" w:themeColor="text1"/>
        </w:rPr>
        <w:t>mpdu_override_2d_</w:t>
      </w:r>
      <w:r w:rsidR="007D7AA4" w:rsidRPr="00A52AB8">
        <w:rPr>
          <w:b/>
          <w:color w:val="000000" w:themeColor="text1"/>
        </w:rPr>
        <w:t>params</w:t>
      </w:r>
      <w:r w:rsidRPr="00A52AB8">
        <w:rPr>
          <w:b/>
          <w:color w:val="000000" w:themeColor="text1"/>
        </w:rPr>
        <w:t>_flag</w:t>
      </w:r>
      <w:r w:rsidR="00C4789A" w:rsidRPr="00A52AB8">
        <w:rPr>
          <w:lang w:eastAsia="ja-JP"/>
        </w:rPr>
        <w:t>[ </w:t>
      </w:r>
      <w:r w:rsidR="00632FA7" w:rsidRPr="00A52AB8">
        <w:rPr>
          <w:lang w:eastAsia="ja-JP"/>
        </w:rPr>
        <w:t>tileID</w:t>
      </w:r>
      <w:r w:rsidR="00C4789A" w:rsidRPr="00A52AB8">
        <w:rPr>
          <w:lang w:eastAsia="ja-JP"/>
        </w:rPr>
        <w:t> ]</w:t>
      </w:r>
      <w:r w:rsidRPr="00A52AB8">
        <w:rPr>
          <w:color w:val="000000" w:themeColor="text1"/>
        </w:rPr>
        <w:t>[ p ] specifies whether the 2</w:t>
      </w:r>
      <w:r w:rsidR="001702AD" w:rsidRPr="00A52AB8">
        <w:rPr>
          <w:color w:val="000000" w:themeColor="text1"/>
        </w:rPr>
        <w:t>D</w:t>
      </w:r>
      <w:r w:rsidRPr="00A52AB8">
        <w:rPr>
          <w:color w:val="000000" w:themeColor="text1"/>
        </w:rPr>
        <w:t xml:space="preserve"> parameters for the current patch </w:t>
      </w:r>
      <w:r w:rsidR="00C4789A" w:rsidRPr="00A52AB8">
        <w:rPr>
          <w:color w:val="000000" w:themeColor="text1"/>
        </w:rPr>
        <w:t xml:space="preserve">with index p of the current atlas tile, </w:t>
      </w:r>
      <w:r w:rsidR="00A41AF4" w:rsidRPr="00A52AB8">
        <w:rPr>
          <w:color w:val="000000" w:themeColor="text1"/>
        </w:rPr>
        <w:t>with tile ID equal to tileID</w:t>
      </w:r>
      <w:r w:rsidR="00C4789A" w:rsidRPr="00A52AB8">
        <w:rPr>
          <w:color w:val="000000" w:themeColor="text1"/>
        </w:rPr>
        <w:t xml:space="preserve">, </w:t>
      </w:r>
      <w:r w:rsidRPr="00A52AB8">
        <w:rPr>
          <w:color w:val="000000" w:themeColor="text1"/>
        </w:rPr>
        <w:t>are present in the bitstream.</w:t>
      </w:r>
    </w:p>
    <w:p w14:paraId="1B93E436" w14:textId="249800CF" w:rsidR="000C6920" w:rsidRPr="00A52AB8" w:rsidRDefault="003D3901">
      <w:pPr>
        <w:rPr>
          <w:color w:val="000000" w:themeColor="text1"/>
        </w:rPr>
      </w:pPr>
      <w:r w:rsidRPr="00A52AB8">
        <w:rPr>
          <w:b/>
          <w:color w:val="000000" w:themeColor="text1"/>
        </w:rPr>
        <w:t>m</w:t>
      </w:r>
      <w:r w:rsidR="000C6920" w:rsidRPr="00A52AB8">
        <w:rPr>
          <w:b/>
          <w:color w:val="000000" w:themeColor="text1"/>
        </w:rPr>
        <w:t>pdu_2d_</w:t>
      </w:r>
      <w:r w:rsidR="00627BE0" w:rsidRPr="00A52AB8">
        <w:rPr>
          <w:b/>
          <w:color w:val="000000" w:themeColor="text1"/>
        </w:rPr>
        <w:t>pos</w:t>
      </w:r>
      <w:r w:rsidR="000C6920" w:rsidRPr="00A52AB8">
        <w:rPr>
          <w:b/>
          <w:color w:val="000000" w:themeColor="text1"/>
        </w:rPr>
        <w:t>_x</w:t>
      </w:r>
      <w:r w:rsidR="00C4789A" w:rsidRPr="00A52AB8">
        <w:rPr>
          <w:lang w:eastAsia="ja-JP"/>
        </w:rPr>
        <w:t>[ </w:t>
      </w:r>
      <w:r w:rsidR="00632FA7" w:rsidRPr="00A52AB8">
        <w:rPr>
          <w:lang w:eastAsia="ja-JP"/>
        </w:rPr>
        <w:t>tileID</w:t>
      </w:r>
      <w:r w:rsidR="00C4789A" w:rsidRPr="00A52AB8">
        <w:rPr>
          <w:lang w:eastAsia="ja-JP"/>
        </w:rPr>
        <w:t> ]</w:t>
      </w:r>
      <w:r w:rsidR="000C6920" w:rsidRPr="00A52AB8">
        <w:rPr>
          <w:color w:val="000000" w:themeColor="text1"/>
        </w:rPr>
        <w:t xml:space="preserve">[ p ] specifies the difference of the x-coordinate of the top-left corner of the patch bounding box of patch with index p in the current atlas </w:t>
      </w:r>
      <w:r w:rsidR="00B8075E" w:rsidRPr="00A52AB8">
        <w:rPr>
          <w:color w:val="000000" w:themeColor="text1"/>
        </w:rPr>
        <w:t>tile</w:t>
      </w:r>
      <w:r w:rsidR="00C4789A" w:rsidRPr="00A52AB8">
        <w:rPr>
          <w:color w:val="000000" w:themeColor="text1"/>
        </w:rPr>
        <w:t xml:space="preserve">, </w:t>
      </w:r>
      <w:r w:rsidR="00A41AF4" w:rsidRPr="00A52AB8">
        <w:rPr>
          <w:color w:val="000000" w:themeColor="text1"/>
        </w:rPr>
        <w:t>with tile ID equal to tileID</w:t>
      </w:r>
      <w:r w:rsidR="00C4789A" w:rsidRPr="00A52AB8">
        <w:rPr>
          <w:color w:val="000000" w:themeColor="text1"/>
        </w:rPr>
        <w:t>,</w:t>
      </w:r>
      <w:r w:rsidR="000C6920" w:rsidRPr="00A52AB8">
        <w:rPr>
          <w:color w:val="000000" w:themeColor="text1"/>
        </w:rPr>
        <w:t xml:space="preserve"> and of the x</w:t>
      </w:r>
      <w:r w:rsidR="001702AD" w:rsidRPr="00A52AB8">
        <w:rPr>
          <w:color w:val="000000" w:themeColor="text1"/>
        </w:rPr>
        <w:noBreakHyphen/>
      </w:r>
      <w:r w:rsidR="000C6920" w:rsidRPr="00A52AB8">
        <w:rPr>
          <w:color w:val="000000" w:themeColor="text1"/>
        </w:rPr>
        <w:t xml:space="preserve">coordinate of the top-left corner of the patch bounding box of the patch with index </w:t>
      </w:r>
      <w:r w:rsidR="00F57722" w:rsidRPr="00A52AB8">
        <w:rPr>
          <w:color w:val="000000" w:themeColor="text1"/>
        </w:rPr>
        <w:t>RefPatchIdx</w:t>
      </w:r>
      <w:r w:rsidR="00F57722" w:rsidRPr="00A52AB8" w:rsidDel="00F57722">
        <w:rPr>
          <w:color w:val="FF0000"/>
        </w:rPr>
        <w:t xml:space="preserve"> </w:t>
      </w:r>
      <w:r w:rsidR="000C6920" w:rsidRPr="00A52AB8">
        <w:rPr>
          <w:color w:val="000000" w:themeColor="text1"/>
        </w:rPr>
        <w:t xml:space="preserve">in the atlas </w:t>
      </w:r>
      <w:r w:rsidR="00B8075E" w:rsidRPr="00A52AB8">
        <w:rPr>
          <w:color w:val="000000" w:themeColor="text1"/>
        </w:rPr>
        <w:t>tile</w:t>
      </w:r>
      <w:r w:rsidR="000C6920" w:rsidRPr="00A52AB8">
        <w:rPr>
          <w:color w:val="000000" w:themeColor="text1"/>
        </w:rPr>
        <w:t xml:space="preserve"> with the same </w:t>
      </w:r>
      <w:r w:rsidR="0001650D" w:rsidRPr="00A52AB8">
        <w:rPr>
          <w:color w:val="000000" w:themeColor="text1"/>
        </w:rPr>
        <w:t>ID</w:t>
      </w:r>
      <w:r w:rsidR="000C6920" w:rsidRPr="00A52AB8">
        <w:rPr>
          <w:color w:val="000000" w:themeColor="text1"/>
        </w:rPr>
        <w:t xml:space="preserve"> as the current </w:t>
      </w:r>
      <w:r w:rsidR="00B8075E" w:rsidRPr="00A52AB8">
        <w:rPr>
          <w:color w:val="000000" w:themeColor="text1"/>
        </w:rPr>
        <w:t>tile</w:t>
      </w:r>
      <w:r w:rsidR="000C6920" w:rsidRPr="00A52AB8">
        <w:rPr>
          <w:color w:val="000000" w:themeColor="text1"/>
        </w:rPr>
        <w:t xml:space="preserve"> in the atlas frame that is associated with the reference </w:t>
      </w:r>
      <w:r w:rsidR="00472D6E" w:rsidRPr="00A52AB8">
        <w:rPr>
          <w:color w:val="000000" w:themeColor="text1"/>
        </w:rPr>
        <w:t>r</w:t>
      </w:r>
      <w:r w:rsidR="000C6920" w:rsidRPr="00A52AB8">
        <w:rPr>
          <w:color w:val="000000" w:themeColor="text1"/>
        </w:rPr>
        <w:t xml:space="preserve">efIdx, expressed as a multiple of PatchPackingBlockSize. </w:t>
      </w:r>
      <w:r w:rsidR="007D7AA4" w:rsidRPr="00A52AB8">
        <w:rPr>
          <w:color w:val="000000" w:themeColor="text1"/>
        </w:rPr>
        <w:t>When mpdu_2d_</w:t>
      </w:r>
      <w:r w:rsidR="00627BE0" w:rsidRPr="00A52AB8">
        <w:rPr>
          <w:color w:val="000000" w:themeColor="text1"/>
        </w:rPr>
        <w:t>pos</w:t>
      </w:r>
      <w:r w:rsidR="007D7AA4" w:rsidRPr="00A52AB8">
        <w:rPr>
          <w:color w:val="000000" w:themeColor="text1"/>
        </w:rPr>
        <w:t>_x</w:t>
      </w:r>
      <w:r w:rsidR="00C4789A" w:rsidRPr="00A52AB8">
        <w:rPr>
          <w:lang w:eastAsia="ja-JP"/>
        </w:rPr>
        <w:t>[ </w:t>
      </w:r>
      <w:r w:rsidR="00632FA7" w:rsidRPr="00A52AB8">
        <w:rPr>
          <w:lang w:eastAsia="ja-JP"/>
        </w:rPr>
        <w:t>tileID</w:t>
      </w:r>
      <w:r w:rsidR="00C4789A" w:rsidRPr="00A52AB8">
        <w:rPr>
          <w:lang w:eastAsia="ja-JP"/>
        </w:rPr>
        <w:t> ]</w:t>
      </w:r>
      <w:r w:rsidR="007D7AA4" w:rsidRPr="00A52AB8">
        <w:rPr>
          <w:color w:val="000000" w:themeColor="text1"/>
        </w:rPr>
        <w:t>[ p ] is not present, it is inferred to be equal to 0.</w:t>
      </w:r>
    </w:p>
    <w:p w14:paraId="13A6A7CA" w14:textId="631805EA" w:rsidR="000C6920" w:rsidRPr="00A52AB8" w:rsidRDefault="003D3901">
      <w:pPr>
        <w:rPr>
          <w:color w:val="000000" w:themeColor="text1"/>
        </w:rPr>
      </w:pPr>
      <w:r w:rsidRPr="00A52AB8">
        <w:rPr>
          <w:b/>
          <w:color w:val="000000" w:themeColor="text1"/>
        </w:rPr>
        <w:t>m</w:t>
      </w:r>
      <w:r w:rsidR="000C6920" w:rsidRPr="00A52AB8">
        <w:rPr>
          <w:b/>
          <w:color w:val="000000" w:themeColor="text1"/>
        </w:rPr>
        <w:t>pdu_2d_</w:t>
      </w:r>
      <w:r w:rsidR="00627BE0" w:rsidRPr="00A52AB8">
        <w:rPr>
          <w:b/>
          <w:color w:val="000000" w:themeColor="text1"/>
        </w:rPr>
        <w:t>pos</w:t>
      </w:r>
      <w:r w:rsidR="000C6920" w:rsidRPr="00A52AB8">
        <w:rPr>
          <w:b/>
          <w:color w:val="000000" w:themeColor="text1"/>
        </w:rPr>
        <w:t>_y</w:t>
      </w:r>
      <w:r w:rsidR="00C4789A" w:rsidRPr="00A52AB8">
        <w:rPr>
          <w:lang w:eastAsia="ja-JP"/>
        </w:rPr>
        <w:t>[ </w:t>
      </w:r>
      <w:r w:rsidR="00632FA7" w:rsidRPr="00A52AB8">
        <w:rPr>
          <w:lang w:eastAsia="ja-JP"/>
        </w:rPr>
        <w:t>tileID</w:t>
      </w:r>
      <w:r w:rsidR="00C4789A" w:rsidRPr="00A52AB8">
        <w:rPr>
          <w:lang w:eastAsia="ja-JP"/>
        </w:rPr>
        <w:t> ]</w:t>
      </w:r>
      <w:r w:rsidR="000C6920" w:rsidRPr="00A52AB8">
        <w:rPr>
          <w:color w:val="000000" w:themeColor="text1"/>
        </w:rPr>
        <w:t xml:space="preserve">[ p ] specifies the difference of the y-coordinate of the top-left corner of the patch bounding box of patch with index p in the current atlas </w:t>
      </w:r>
      <w:r w:rsidR="00B8075E" w:rsidRPr="00A52AB8">
        <w:rPr>
          <w:color w:val="000000" w:themeColor="text1"/>
        </w:rPr>
        <w:t>tile</w:t>
      </w:r>
      <w:r w:rsidR="00C4789A" w:rsidRPr="00A52AB8">
        <w:rPr>
          <w:color w:val="000000" w:themeColor="text1"/>
        </w:rPr>
        <w:t xml:space="preserve">, </w:t>
      </w:r>
      <w:r w:rsidR="00A41AF4" w:rsidRPr="00A52AB8">
        <w:rPr>
          <w:color w:val="000000" w:themeColor="text1"/>
        </w:rPr>
        <w:t>with tile ID equal to tileID</w:t>
      </w:r>
      <w:r w:rsidR="00C4789A" w:rsidRPr="00A52AB8">
        <w:rPr>
          <w:color w:val="000000" w:themeColor="text1"/>
        </w:rPr>
        <w:t>,</w:t>
      </w:r>
      <w:r w:rsidR="000C6920" w:rsidRPr="00A52AB8">
        <w:rPr>
          <w:color w:val="000000" w:themeColor="text1"/>
        </w:rPr>
        <w:t xml:space="preserve"> and of the y</w:t>
      </w:r>
      <w:r w:rsidR="001702AD" w:rsidRPr="00A52AB8">
        <w:rPr>
          <w:color w:val="000000" w:themeColor="text1"/>
        </w:rPr>
        <w:noBreakHyphen/>
      </w:r>
      <w:r w:rsidR="000C6920" w:rsidRPr="00A52AB8">
        <w:rPr>
          <w:color w:val="000000" w:themeColor="text1"/>
        </w:rPr>
        <w:t xml:space="preserve">coordinate of the top-left corner of the patch bounding box of the patch with index </w:t>
      </w:r>
      <w:r w:rsidR="002921E1" w:rsidRPr="00A52AB8">
        <w:rPr>
          <w:color w:val="000000" w:themeColor="text1"/>
        </w:rPr>
        <w:t>RefPatchIdx</w:t>
      </w:r>
      <w:r w:rsidR="000C6920" w:rsidRPr="00A52AB8">
        <w:rPr>
          <w:color w:val="000000" w:themeColor="text1"/>
        </w:rPr>
        <w:t xml:space="preserve"> in the atlas </w:t>
      </w:r>
      <w:r w:rsidR="00B8075E" w:rsidRPr="00A52AB8">
        <w:rPr>
          <w:color w:val="000000" w:themeColor="text1"/>
        </w:rPr>
        <w:t>tile</w:t>
      </w:r>
      <w:r w:rsidR="000C6920" w:rsidRPr="00A52AB8">
        <w:rPr>
          <w:color w:val="000000" w:themeColor="text1"/>
        </w:rPr>
        <w:t xml:space="preserve"> with the same </w:t>
      </w:r>
      <w:r w:rsidR="004A199F" w:rsidRPr="00A52AB8">
        <w:rPr>
          <w:color w:val="000000" w:themeColor="text1"/>
        </w:rPr>
        <w:t>ID</w:t>
      </w:r>
      <w:r w:rsidR="000C6920" w:rsidRPr="00A52AB8">
        <w:rPr>
          <w:color w:val="000000" w:themeColor="text1"/>
        </w:rPr>
        <w:t xml:space="preserve"> as the cu</w:t>
      </w:r>
      <w:r w:rsidR="00F22BD1" w:rsidRPr="00A52AB8">
        <w:rPr>
          <w:color w:val="000000" w:themeColor="text1"/>
        </w:rPr>
        <w:t>r</w:t>
      </w:r>
      <w:r w:rsidR="000C6920" w:rsidRPr="00A52AB8">
        <w:rPr>
          <w:color w:val="000000" w:themeColor="text1"/>
        </w:rPr>
        <w:t xml:space="preserve">rent </w:t>
      </w:r>
      <w:r w:rsidR="00B8075E" w:rsidRPr="00A52AB8">
        <w:rPr>
          <w:color w:val="000000" w:themeColor="text1"/>
        </w:rPr>
        <w:t>tile</w:t>
      </w:r>
      <w:r w:rsidR="000C6920" w:rsidRPr="00A52AB8">
        <w:rPr>
          <w:color w:val="000000" w:themeColor="text1"/>
        </w:rPr>
        <w:t xml:space="preserve"> in the atlas frame that is associated with the reference </w:t>
      </w:r>
      <w:r w:rsidR="00760159" w:rsidRPr="00A52AB8">
        <w:rPr>
          <w:color w:val="000000" w:themeColor="text1"/>
        </w:rPr>
        <w:t>r</w:t>
      </w:r>
      <w:r w:rsidR="000C6920" w:rsidRPr="00A52AB8">
        <w:rPr>
          <w:color w:val="000000" w:themeColor="text1"/>
        </w:rPr>
        <w:t xml:space="preserve">efIdx, expressed as a multiple of PatchPackingBlockSize. </w:t>
      </w:r>
      <w:r w:rsidR="007D7AA4" w:rsidRPr="00A52AB8">
        <w:rPr>
          <w:color w:val="000000" w:themeColor="text1"/>
        </w:rPr>
        <w:t>When mpdu_2d_</w:t>
      </w:r>
      <w:r w:rsidR="00627BE0" w:rsidRPr="00A52AB8">
        <w:rPr>
          <w:color w:val="000000" w:themeColor="text1"/>
        </w:rPr>
        <w:t>pos</w:t>
      </w:r>
      <w:r w:rsidR="007D7AA4" w:rsidRPr="00A52AB8">
        <w:rPr>
          <w:color w:val="000000" w:themeColor="text1"/>
        </w:rPr>
        <w:t>_x</w:t>
      </w:r>
      <w:r w:rsidR="00C4789A" w:rsidRPr="00A52AB8">
        <w:rPr>
          <w:lang w:eastAsia="ja-JP"/>
        </w:rPr>
        <w:t>[ </w:t>
      </w:r>
      <w:r w:rsidR="00632FA7" w:rsidRPr="00A52AB8">
        <w:rPr>
          <w:lang w:eastAsia="ja-JP"/>
        </w:rPr>
        <w:t>tileID</w:t>
      </w:r>
      <w:r w:rsidR="00C4789A" w:rsidRPr="00A52AB8">
        <w:rPr>
          <w:lang w:eastAsia="ja-JP"/>
        </w:rPr>
        <w:t> ]</w:t>
      </w:r>
      <w:r w:rsidR="007D7AA4" w:rsidRPr="00A52AB8">
        <w:rPr>
          <w:color w:val="000000" w:themeColor="text1"/>
        </w:rPr>
        <w:t>[ p ] is not present, it is inferred to be equal to 0.</w:t>
      </w:r>
    </w:p>
    <w:p w14:paraId="7B7F9E63" w14:textId="18C093EB" w:rsidR="000C6920" w:rsidRPr="00A52AB8" w:rsidRDefault="003D3901">
      <w:pPr>
        <w:rPr>
          <w:b/>
          <w:color w:val="000000" w:themeColor="text1"/>
        </w:rPr>
      </w:pPr>
      <w:r w:rsidRPr="00A52AB8">
        <w:rPr>
          <w:b/>
          <w:color w:val="000000" w:themeColor="text1"/>
        </w:rPr>
        <w:t>m</w:t>
      </w:r>
      <w:r w:rsidR="000C6920" w:rsidRPr="00A52AB8">
        <w:rPr>
          <w:b/>
          <w:color w:val="000000" w:themeColor="text1"/>
        </w:rPr>
        <w:t>pdu_2d_delta_size_x</w:t>
      </w:r>
      <w:r w:rsidR="00C4789A" w:rsidRPr="00A52AB8">
        <w:rPr>
          <w:lang w:eastAsia="ja-JP"/>
        </w:rPr>
        <w:t>[ </w:t>
      </w:r>
      <w:r w:rsidR="00632FA7" w:rsidRPr="00A52AB8">
        <w:rPr>
          <w:lang w:eastAsia="ja-JP"/>
        </w:rPr>
        <w:t>tileID</w:t>
      </w:r>
      <w:r w:rsidR="00C4789A" w:rsidRPr="00A52AB8">
        <w:rPr>
          <w:lang w:eastAsia="ja-JP"/>
        </w:rPr>
        <w:t> ]</w:t>
      </w:r>
      <w:r w:rsidR="000C6920" w:rsidRPr="00A52AB8">
        <w:rPr>
          <w:color w:val="000000" w:themeColor="text1"/>
        </w:rPr>
        <w:t xml:space="preserve">[ p ] specifies the difference of the width values of the patch with index p in the current atlas </w:t>
      </w:r>
      <w:r w:rsidR="00B8075E" w:rsidRPr="00A52AB8">
        <w:rPr>
          <w:color w:val="000000" w:themeColor="text1"/>
        </w:rPr>
        <w:t>tile</w:t>
      </w:r>
      <w:r w:rsidR="00C4789A" w:rsidRPr="00A52AB8">
        <w:rPr>
          <w:color w:val="000000" w:themeColor="text1"/>
        </w:rPr>
        <w:t xml:space="preserve">, </w:t>
      </w:r>
      <w:r w:rsidR="00A41AF4" w:rsidRPr="00A52AB8">
        <w:rPr>
          <w:color w:val="000000" w:themeColor="text1"/>
        </w:rPr>
        <w:t>with tile ID equal to tileID</w:t>
      </w:r>
      <w:r w:rsidR="00C4789A" w:rsidRPr="00A52AB8">
        <w:rPr>
          <w:color w:val="000000" w:themeColor="text1"/>
        </w:rPr>
        <w:t>,</w:t>
      </w:r>
      <w:r w:rsidR="000C6920" w:rsidRPr="00A52AB8">
        <w:rPr>
          <w:color w:val="000000" w:themeColor="text1"/>
        </w:rPr>
        <w:t xml:space="preserve"> and the patch with index </w:t>
      </w:r>
      <w:r w:rsidR="002921E1" w:rsidRPr="00A52AB8">
        <w:rPr>
          <w:color w:val="000000" w:themeColor="text1"/>
        </w:rPr>
        <w:t>RefPatchIdx</w:t>
      </w:r>
      <w:r w:rsidR="000C6920" w:rsidRPr="00A52AB8">
        <w:rPr>
          <w:color w:val="000000" w:themeColor="text1"/>
        </w:rPr>
        <w:t xml:space="preserve"> in the atlas </w:t>
      </w:r>
      <w:r w:rsidR="00B8075E" w:rsidRPr="00A52AB8">
        <w:rPr>
          <w:color w:val="000000" w:themeColor="text1"/>
        </w:rPr>
        <w:t>tile</w:t>
      </w:r>
      <w:r w:rsidR="000C6920" w:rsidRPr="00A52AB8">
        <w:rPr>
          <w:color w:val="000000" w:themeColor="text1"/>
        </w:rPr>
        <w:t xml:space="preserve"> with the same </w:t>
      </w:r>
      <w:r w:rsidR="004A199F" w:rsidRPr="00A52AB8">
        <w:rPr>
          <w:color w:val="000000" w:themeColor="text1"/>
        </w:rPr>
        <w:t>ID</w:t>
      </w:r>
      <w:r w:rsidR="000C6920" w:rsidRPr="00A52AB8">
        <w:rPr>
          <w:color w:val="000000" w:themeColor="text1"/>
        </w:rPr>
        <w:t xml:space="preserve"> as the current </w:t>
      </w:r>
      <w:r w:rsidR="00B8075E" w:rsidRPr="00A52AB8">
        <w:rPr>
          <w:color w:val="000000" w:themeColor="text1"/>
        </w:rPr>
        <w:t>tile</w:t>
      </w:r>
      <w:r w:rsidR="000C6920" w:rsidRPr="00A52AB8">
        <w:rPr>
          <w:color w:val="000000" w:themeColor="text1"/>
        </w:rPr>
        <w:t xml:space="preserve"> in the atlas frame that is associated with the reference </w:t>
      </w:r>
      <w:r w:rsidR="00760159" w:rsidRPr="00A52AB8">
        <w:rPr>
          <w:color w:val="000000" w:themeColor="text1"/>
        </w:rPr>
        <w:t>refIdx</w:t>
      </w:r>
      <w:r w:rsidR="000C6920" w:rsidRPr="00A52AB8">
        <w:rPr>
          <w:color w:val="000000" w:themeColor="text1"/>
        </w:rPr>
        <w:t xml:space="preserve">. </w:t>
      </w:r>
      <w:r w:rsidR="007D7AA4" w:rsidRPr="00A52AB8">
        <w:rPr>
          <w:color w:val="000000" w:themeColor="text1"/>
        </w:rPr>
        <w:t>When mpdu_2d_delta_size_x</w:t>
      </w:r>
      <w:r w:rsidR="00C4789A" w:rsidRPr="00A52AB8">
        <w:rPr>
          <w:lang w:eastAsia="ja-JP"/>
        </w:rPr>
        <w:t>[ </w:t>
      </w:r>
      <w:r w:rsidR="00632FA7" w:rsidRPr="00A52AB8">
        <w:rPr>
          <w:lang w:eastAsia="ja-JP"/>
        </w:rPr>
        <w:t>tileID</w:t>
      </w:r>
      <w:r w:rsidR="00C4789A" w:rsidRPr="00A52AB8">
        <w:rPr>
          <w:lang w:eastAsia="ja-JP"/>
        </w:rPr>
        <w:t> ]</w:t>
      </w:r>
      <w:r w:rsidR="007D7AA4" w:rsidRPr="00A52AB8">
        <w:rPr>
          <w:color w:val="000000" w:themeColor="text1"/>
        </w:rPr>
        <w:t>[ p ] is not present, it is inferred to be equal to 0.</w:t>
      </w:r>
    </w:p>
    <w:p w14:paraId="69EC2A08" w14:textId="222034A3" w:rsidR="000C6920" w:rsidRPr="00A52AB8" w:rsidRDefault="003D3901">
      <w:pPr>
        <w:rPr>
          <w:b/>
          <w:color w:val="000000" w:themeColor="text1"/>
        </w:rPr>
      </w:pPr>
      <w:r w:rsidRPr="00A52AB8">
        <w:rPr>
          <w:b/>
          <w:color w:val="000000" w:themeColor="text1"/>
        </w:rPr>
        <w:t>m</w:t>
      </w:r>
      <w:r w:rsidR="000C6920" w:rsidRPr="00A52AB8">
        <w:rPr>
          <w:b/>
          <w:color w:val="000000" w:themeColor="text1"/>
        </w:rPr>
        <w:t>pdu_2d_delta_size_y</w:t>
      </w:r>
      <w:r w:rsidR="00C4789A" w:rsidRPr="00A52AB8">
        <w:rPr>
          <w:lang w:eastAsia="ja-JP"/>
        </w:rPr>
        <w:t>[ </w:t>
      </w:r>
      <w:r w:rsidR="00632FA7" w:rsidRPr="00A52AB8">
        <w:rPr>
          <w:lang w:eastAsia="ja-JP"/>
        </w:rPr>
        <w:t>tileID</w:t>
      </w:r>
      <w:r w:rsidR="00C4789A" w:rsidRPr="00A52AB8">
        <w:rPr>
          <w:lang w:eastAsia="ja-JP"/>
        </w:rPr>
        <w:t> ]</w:t>
      </w:r>
      <w:r w:rsidR="000C6920" w:rsidRPr="00A52AB8">
        <w:rPr>
          <w:color w:val="000000" w:themeColor="text1"/>
        </w:rPr>
        <w:t xml:space="preserve">[ p ] specifies the difference of the height values of the patch with index p in the current atlas </w:t>
      </w:r>
      <w:r w:rsidR="00B8075E" w:rsidRPr="00A52AB8">
        <w:rPr>
          <w:color w:val="000000" w:themeColor="text1"/>
        </w:rPr>
        <w:t>tile</w:t>
      </w:r>
      <w:r w:rsidR="00C4789A" w:rsidRPr="00A52AB8">
        <w:rPr>
          <w:color w:val="000000" w:themeColor="text1"/>
        </w:rPr>
        <w:t xml:space="preserve">, </w:t>
      </w:r>
      <w:r w:rsidR="00A41AF4" w:rsidRPr="00A52AB8">
        <w:rPr>
          <w:color w:val="000000" w:themeColor="text1"/>
        </w:rPr>
        <w:t>with tile ID equal to tileID</w:t>
      </w:r>
      <w:r w:rsidR="00C4789A" w:rsidRPr="00A52AB8">
        <w:rPr>
          <w:color w:val="000000" w:themeColor="text1"/>
        </w:rPr>
        <w:t xml:space="preserve">, </w:t>
      </w:r>
      <w:r w:rsidR="000C6920" w:rsidRPr="00A52AB8">
        <w:rPr>
          <w:color w:val="000000" w:themeColor="text1"/>
        </w:rPr>
        <w:t xml:space="preserve">and the patch with index </w:t>
      </w:r>
      <w:r w:rsidR="002921E1" w:rsidRPr="00A52AB8">
        <w:rPr>
          <w:color w:val="000000" w:themeColor="text1"/>
        </w:rPr>
        <w:t>RefPatchIdx</w:t>
      </w:r>
      <w:r w:rsidR="000C6920" w:rsidRPr="00A52AB8">
        <w:rPr>
          <w:color w:val="000000" w:themeColor="text1"/>
        </w:rPr>
        <w:t xml:space="preserve"> in the atlas </w:t>
      </w:r>
      <w:r w:rsidR="00B8075E" w:rsidRPr="00A52AB8">
        <w:rPr>
          <w:color w:val="000000" w:themeColor="text1"/>
        </w:rPr>
        <w:t>tile</w:t>
      </w:r>
      <w:r w:rsidR="000C6920" w:rsidRPr="00A52AB8">
        <w:rPr>
          <w:color w:val="000000" w:themeColor="text1"/>
        </w:rPr>
        <w:t xml:space="preserve"> with the same </w:t>
      </w:r>
      <w:r w:rsidR="004A199F" w:rsidRPr="00A52AB8">
        <w:rPr>
          <w:color w:val="000000" w:themeColor="text1"/>
        </w:rPr>
        <w:t>ID</w:t>
      </w:r>
      <w:r w:rsidR="000C6920" w:rsidRPr="00A52AB8">
        <w:rPr>
          <w:color w:val="000000" w:themeColor="text1"/>
        </w:rPr>
        <w:t xml:space="preserve"> as the current </w:t>
      </w:r>
      <w:r w:rsidR="00B8075E" w:rsidRPr="00A52AB8">
        <w:rPr>
          <w:color w:val="000000" w:themeColor="text1"/>
        </w:rPr>
        <w:t>tile</w:t>
      </w:r>
      <w:r w:rsidR="000C6920" w:rsidRPr="00A52AB8">
        <w:rPr>
          <w:color w:val="000000" w:themeColor="text1"/>
        </w:rPr>
        <w:t xml:space="preserve"> in the atlas frame that </w:t>
      </w:r>
      <w:r w:rsidR="00F22BD1" w:rsidRPr="00A52AB8">
        <w:rPr>
          <w:color w:val="000000" w:themeColor="text1"/>
        </w:rPr>
        <w:t xml:space="preserve">corresponds </w:t>
      </w:r>
      <w:r w:rsidR="000C6920" w:rsidRPr="00A52AB8">
        <w:rPr>
          <w:color w:val="000000" w:themeColor="text1"/>
        </w:rPr>
        <w:t xml:space="preserve">to the reference </w:t>
      </w:r>
      <w:r w:rsidR="00760159" w:rsidRPr="00A52AB8">
        <w:rPr>
          <w:color w:val="000000" w:themeColor="text1"/>
        </w:rPr>
        <w:t>refIdx</w:t>
      </w:r>
      <w:r w:rsidR="000C6920" w:rsidRPr="00A52AB8">
        <w:rPr>
          <w:color w:val="000000" w:themeColor="text1"/>
        </w:rPr>
        <w:t>.</w:t>
      </w:r>
      <w:r w:rsidR="007D7AA4" w:rsidRPr="00A52AB8">
        <w:rPr>
          <w:color w:val="000000" w:themeColor="text1"/>
        </w:rPr>
        <w:t xml:space="preserve"> When mpdu_2d_delta_size_y</w:t>
      </w:r>
      <w:r w:rsidR="00F64F36" w:rsidRPr="00A52AB8">
        <w:rPr>
          <w:lang w:eastAsia="ja-JP"/>
        </w:rPr>
        <w:t>[ </w:t>
      </w:r>
      <w:r w:rsidR="00632FA7" w:rsidRPr="00A52AB8">
        <w:rPr>
          <w:lang w:eastAsia="ja-JP"/>
        </w:rPr>
        <w:t>tileID</w:t>
      </w:r>
      <w:r w:rsidR="00F64F36" w:rsidRPr="00A52AB8">
        <w:rPr>
          <w:lang w:eastAsia="ja-JP"/>
        </w:rPr>
        <w:t> ]</w:t>
      </w:r>
      <w:r w:rsidR="007D7AA4" w:rsidRPr="00A52AB8">
        <w:rPr>
          <w:color w:val="000000" w:themeColor="text1"/>
        </w:rPr>
        <w:t>[ p ] is not present, it is inferred to be equal to 0.</w:t>
      </w:r>
    </w:p>
    <w:p w14:paraId="24156EAB" w14:textId="6E8A8A29" w:rsidR="007D7AA4" w:rsidRPr="00A52AB8" w:rsidRDefault="007D7AA4">
      <w:pPr>
        <w:rPr>
          <w:b/>
          <w:color w:val="000000" w:themeColor="text1"/>
        </w:rPr>
      </w:pPr>
      <w:r w:rsidRPr="00A52AB8">
        <w:rPr>
          <w:b/>
          <w:color w:val="000000" w:themeColor="text1"/>
        </w:rPr>
        <w:t>mpdu_override_3d_params_flag</w:t>
      </w:r>
      <w:r w:rsidR="00C4789A" w:rsidRPr="00A52AB8">
        <w:rPr>
          <w:lang w:eastAsia="ja-JP"/>
        </w:rPr>
        <w:t>[ </w:t>
      </w:r>
      <w:r w:rsidR="00632FA7" w:rsidRPr="00A52AB8">
        <w:rPr>
          <w:lang w:eastAsia="ja-JP"/>
        </w:rPr>
        <w:t>tileID</w:t>
      </w:r>
      <w:r w:rsidR="00C4789A" w:rsidRPr="00A52AB8">
        <w:rPr>
          <w:lang w:eastAsia="ja-JP"/>
        </w:rPr>
        <w:t> ]</w:t>
      </w:r>
      <w:r w:rsidRPr="00A52AB8">
        <w:rPr>
          <w:color w:val="000000" w:themeColor="text1"/>
        </w:rPr>
        <w:t>[ p ] specifies whether the 3</w:t>
      </w:r>
      <w:r w:rsidR="001702AD" w:rsidRPr="00A52AB8">
        <w:rPr>
          <w:color w:val="000000" w:themeColor="text1"/>
        </w:rPr>
        <w:t>D</w:t>
      </w:r>
      <w:r w:rsidRPr="00A52AB8">
        <w:rPr>
          <w:color w:val="000000" w:themeColor="text1"/>
        </w:rPr>
        <w:t xml:space="preserve"> parameters for the current patch </w:t>
      </w:r>
      <w:r w:rsidR="00C4789A" w:rsidRPr="00A52AB8">
        <w:rPr>
          <w:color w:val="000000" w:themeColor="text1"/>
        </w:rPr>
        <w:t xml:space="preserve">of the current atlas tile, </w:t>
      </w:r>
      <w:r w:rsidR="00A41AF4" w:rsidRPr="00A52AB8">
        <w:rPr>
          <w:color w:val="000000" w:themeColor="text1"/>
        </w:rPr>
        <w:t>with tile ID equal to tileID</w:t>
      </w:r>
      <w:r w:rsidR="00C4789A" w:rsidRPr="00A52AB8">
        <w:rPr>
          <w:color w:val="000000" w:themeColor="text1"/>
        </w:rPr>
        <w:t xml:space="preserve">, </w:t>
      </w:r>
      <w:r w:rsidRPr="00A52AB8">
        <w:rPr>
          <w:color w:val="000000" w:themeColor="text1"/>
        </w:rPr>
        <w:t>are present in the bitstream. When mpdu_override_3d_params_flag</w:t>
      </w:r>
      <w:r w:rsidR="00C4789A" w:rsidRPr="00A52AB8">
        <w:rPr>
          <w:lang w:eastAsia="ja-JP"/>
        </w:rPr>
        <w:t>[ </w:t>
      </w:r>
      <w:r w:rsidR="00632FA7" w:rsidRPr="00A52AB8">
        <w:rPr>
          <w:lang w:eastAsia="ja-JP"/>
        </w:rPr>
        <w:t>tileID</w:t>
      </w:r>
      <w:r w:rsidR="00C4789A" w:rsidRPr="00A52AB8">
        <w:rPr>
          <w:lang w:eastAsia="ja-JP"/>
        </w:rPr>
        <w:t> ]</w:t>
      </w:r>
      <w:r w:rsidRPr="00A52AB8">
        <w:rPr>
          <w:color w:val="000000" w:themeColor="text1"/>
        </w:rPr>
        <w:t>[ p ] is not present, it is inferred to be equal to 0.</w:t>
      </w:r>
    </w:p>
    <w:p w14:paraId="65434FF7" w14:textId="53E32647" w:rsidR="000C6920" w:rsidRPr="00A52AB8" w:rsidRDefault="003D3901">
      <w:pPr>
        <w:rPr>
          <w:b/>
          <w:color w:val="000000" w:themeColor="text1"/>
        </w:rPr>
      </w:pPr>
      <w:r w:rsidRPr="00A52AB8">
        <w:rPr>
          <w:b/>
          <w:color w:val="000000" w:themeColor="text1"/>
        </w:rPr>
        <w:t>m</w:t>
      </w:r>
      <w:r w:rsidR="007356C4" w:rsidRPr="00A52AB8">
        <w:rPr>
          <w:b/>
          <w:color w:val="000000" w:themeColor="text1"/>
        </w:rPr>
        <w:t>pdu_3d_offset_u</w:t>
      </w:r>
      <w:r w:rsidR="00C4789A" w:rsidRPr="00A52AB8">
        <w:rPr>
          <w:lang w:eastAsia="ja-JP"/>
        </w:rPr>
        <w:t>[ </w:t>
      </w:r>
      <w:r w:rsidR="00632FA7" w:rsidRPr="00A52AB8">
        <w:rPr>
          <w:lang w:eastAsia="ja-JP"/>
        </w:rPr>
        <w:t>tileID</w:t>
      </w:r>
      <w:r w:rsidR="00C4789A" w:rsidRPr="00A52AB8">
        <w:rPr>
          <w:lang w:eastAsia="ja-JP"/>
        </w:rPr>
        <w:t> ]</w:t>
      </w:r>
      <w:r w:rsidR="000C6920" w:rsidRPr="00A52AB8">
        <w:rPr>
          <w:color w:val="000000" w:themeColor="text1"/>
        </w:rPr>
        <w:t xml:space="preserve">[ p ] specifies the difference between the shift to be applied to the reconstructed patch points along the tangent axis of </w:t>
      </w:r>
      <w:r w:rsidR="00714C98" w:rsidRPr="00A52AB8">
        <w:rPr>
          <w:color w:val="000000" w:themeColor="text1"/>
        </w:rPr>
        <w:t xml:space="preserve">the </w:t>
      </w:r>
      <w:r w:rsidR="000C6920" w:rsidRPr="00A52AB8">
        <w:rPr>
          <w:color w:val="000000" w:themeColor="text1"/>
        </w:rPr>
        <w:t xml:space="preserve">patch with index p in the current atlas </w:t>
      </w:r>
      <w:r w:rsidR="00B8075E" w:rsidRPr="00A52AB8">
        <w:rPr>
          <w:color w:val="000000" w:themeColor="text1"/>
        </w:rPr>
        <w:t>tile</w:t>
      </w:r>
      <w:r w:rsidR="00C4789A" w:rsidRPr="00A52AB8">
        <w:rPr>
          <w:color w:val="000000" w:themeColor="text1"/>
        </w:rPr>
        <w:t>,</w:t>
      </w:r>
      <w:r w:rsidR="00F64F36" w:rsidRPr="00A52AB8">
        <w:rPr>
          <w:color w:val="000000" w:themeColor="text1"/>
        </w:rPr>
        <w:t xml:space="preserve"> </w:t>
      </w:r>
      <w:r w:rsidR="00A41AF4" w:rsidRPr="00A52AB8">
        <w:rPr>
          <w:color w:val="000000" w:themeColor="text1"/>
        </w:rPr>
        <w:t>with tile ID equal to tileID</w:t>
      </w:r>
      <w:r w:rsidR="00C4789A" w:rsidRPr="00A52AB8">
        <w:rPr>
          <w:color w:val="000000" w:themeColor="text1"/>
        </w:rPr>
        <w:t>,</w:t>
      </w:r>
      <w:r w:rsidR="000C6920" w:rsidRPr="00A52AB8">
        <w:rPr>
          <w:color w:val="000000" w:themeColor="text1"/>
        </w:rPr>
        <w:t xml:space="preserve"> and of the shift to be applied to the reconstructed patch points along the tangent axis of </w:t>
      </w:r>
      <w:r w:rsidR="00714C98" w:rsidRPr="00A52AB8">
        <w:rPr>
          <w:color w:val="000000" w:themeColor="text1"/>
        </w:rPr>
        <w:t xml:space="preserve">the </w:t>
      </w:r>
      <w:r w:rsidR="000C6920" w:rsidRPr="00A52AB8">
        <w:rPr>
          <w:color w:val="000000" w:themeColor="text1"/>
        </w:rPr>
        <w:t xml:space="preserve">patch with index </w:t>
      </w:r>
      <w:r w:rsidR="002921E1" w:rsidRPr="00A52AB8">
        <w:rPr>
          <w:color w:val="000000" w:themeColor="text1"/>
        </w:rPr>
        <w:t>RefPatchIdx</w:t>
      </w:r>
      <w:r w:rsidR="000C6920" w:rsidRPr="00A52AB8">
        <w:rPr>
          <w:color w:val="000000" w:themeColor="text1"/>
        </w:rPr>
        <w:t xml:space="preserve"> in the atlas </w:t>
      </w:r>
      <w:r w:rsidR="00B8075E" w:rsidRPr="00A52AB8">
        <w:rPr>
          <w:color w:val="000000" w:themeColor="text1"/>
        </w:rPr>
        <w:t>tile</w:t>
      </w:r>
      <w:r w:rsidR="000C6920" w:rsidRPr="00A52AB8">
        <w:rPr>
          <w:color w:val="000000" w:themeColor="text1"/>
        </w:rPr>
        <w:t xml:space="preserve"> with the same </w:t>
      </w:r>
      <w:r w:rsidR="004A199F" w:rsidRPr="00A52AB8">
        <w:rPr>
          <w:color w:val="000000" w:themeColor="text1"/>
        </w:rPr>
        <w:t>ID</w:t>
      </w:r>
      <w:r w:rsidR="000C6920" w:rsidRPr="00A52AB8">
        <w:rPr>
          <w:color w:val="000000" w:themeColor="text1"/>
        </w:rPr>
        <w:t xml:space="preserve"> as the current </w:t>
      </w:r>
      <w:r w:rsidR="00B8075E" w:rsidRPr="00A52AB8">
        <w:rPr>
          <w:color w:val="000000" w:themeColor="text1"/>
        </w:rPr>
        <w:t>tile</w:t>
      </w:r>
      <w:r w:rsidR="000C6920" w:rsidRPr="00A52AB8">
        <w:rPr>
          <w:color w:val="000000" w:themeColor="text1"/>
        </w:rPr>
        <w:t xml:space="preserve"> in the atlas frame that corresponds to the reference </w:t>
      </w:r>
      <w:r w:rsidR="00760159" w:rsidRPr="00A52AB8">
        <w:rPr>
          <w:color w:val="000000" w:themeColor="text1"/>
        </w:rPr>
        <w:t>r</w:t>
      </w:r>
      <w:r w:rsidR="000C6920" w:rsidRPr="00A52AB8">
        <w:rPr>
          <w:color w:val="000000" w:themeColor="text1"/>
        </w:rPr>
        <w:t xml:space="preserve">efIdx. The value of </w:t>
      </w:r>
      <w:r w:rsidR="007D7AA4" w:rsidRPr="00A52AB8">
        <w:rPr>
          <w:color w:val="000000" w:themeColor="text1"/>
        </w:rPr>
        <w:t>m</w:t>
      </w:r>
      <w:r w:rsidR="007356C4" w:rsidRPr="00A52AB8">
        <w:rPr>
          <w:color w:val="000000" w:themeColor="text1"/>
        </w:rPr>
        <w:t>pdu_3d_offset_u</w:t>
      </w:r>
      <w:r w:rsidR="00F64F36" w:rsidRPr="00A52AB8">
        <w:rPr>
          <w:lang w:eastAsia="ja-JP"/>
        </w:rPr>
        <w:t>[ </w:t>
      </w:r>
      <w:r w:rsidR="00632FA7" w:rsidRPr="00A52AB8">
        <w:rPr>
          <w:lang w:eastAsia="ja-JP"/>
        </w:rPr>
        <w:t>tileID</w:t>
      </w:r>
      <w:r w:rsidR="00F64F36" w:rsidRPr="00A52AB8">
        <w:rPr>
          <w:lang w:eastAsia="ja-JP"/>
        </w:rPr>
        <w:t> ]</w:t>
      </w:r>
      <w:r w:rsidR="000C6920" w:rsidRPr="00A52AB8">
        <w:rPr>
          <w:color w:val="000000" w:themeColor="text1"/>
        </w:rPr>
        <w:t>[ p ] shall be in the range of (</w:t>
      </w:r>
      <w:r w:rsidR="00165BB2" w:rsidRPr="00A52AB8">
        <w:rPr>
          <w:color w:val="000000" w:themeColor="text1"/>
        </w:rPr>
        <w:t> </w:t>
      </w:r>
      <w:r w:rsidR="000C6920" w:rsidRPr="00A52AB8">
        <w:rPr>
          <w:color w:val="000000" w:themeColor="text1"/>
        </w:rPr>
        <w:t>−2</w:t>
      </w:r>
      <w:r w:rsidR="00EC7C5E" w:rsidRPr="00A52AB8">
        <w:rPr>
          <w:color w:val="000000" w:themeColor="text1"/>
          <w:position w:val="6"/>
          <w:vertAlign w:val="superscript"/>
        </w:rPr>
        <w:t>asps_geometry_3d_bit</w:t>
      </w:r>
      <w:r w:rsidR="00C514C6" w:rsidRPr="00A52AB8">
        <w:rPr>
          <w:color w:val="000000" w:themeColor="text1"/>
          <w:position w:val="6"/>
          <w:vertAlign w:val="superscript"/>
        </w:rPr>
        <w:t>_</w:t>
      </w:r>
      <w:r w:rsidR="00EC7C5E" w:rsidRPr="00A52AB8">
        <w:rPr>
          <w:color w:val="000000" w:themeColor="text1"/>
          <w:position w:val="6"/>
          <w:vertAlign w:val="superscript"/>
        </w:rPr>
        <w:t>depth_minus1</w:t>
      </w:r>
      <w:r w:rsidR="000C6920" w:rsidRPr="00A52AB8">
        <w:rPr>
          <w:color w:val="000000" w:themeColor="text1"/>
          <w:position w:val="6"/>
          <w:vertAlign w:val="superscript"/>
        </w:rPr>
        <w:t>+1</w:t>
      </w:r>
      <w:r w:rsidR="000C6920" w:rsidRPr="00A52AB8">
        <w:rPr>
          <w:color w:val="000000" w:themeColor="text1"/>
        </w:rPr>
        <w:t> + 1</w:t>
      </w:r>
      <w:r w:rsidR="00165BB2" w:rsidRPr="00A52AB8">
        <w:rPr>
          <w:color w:val="000000" w:themeColor="text1"/>
        </w:rPr>
        <w:t> </w:t>
      </w:r>
      <w:r w:rsidR="000C6920" w:rsidRPr="00A52AB8">
        <w:rPr>
          <w:color w:val="000000" w:themeColor="text1"/>
        </w:rPr>
        <w:t>) to (</w:t>
      </w:r>
      <w:r w:rsidR="00165BB2" w:rsidRPr="00A52AB8">
        <w:rPr>
          <w:color w:val="000000" w:themeColor="text1"/>
        </w:rPr>
        <w:t> </w:t>
      </w:r>
      <w:r w:rsidR="000C6920" w:rsidRPr="00A52AB8">
        <w:rPr>
          <w:color w:val="000000" w:themeColor="text1"/>
        </w:rPr>
        <w:t>2</w:t>
      </w:r>
      <w:r w:rsidR="00EC7C5E" w:rsidRPr="00A52AB8">
        <w:rPr>
          <w:color w:val="000000" w:themeColor="text1"/>
          <w:position w:val="6"/>
          <w:vertAlign w:val="superscript"/>
        </w:rPr>
        <w:t>asps_geometry_3d_bit</w:t>
      </w:r>
      <w:r w:rsidR="00C514C6" w:rsidRPr="00A52AB8">
        <w:rPr>
          <w:color w:val="000000" w:themeColor="text1"/>
          <w:position w:val="6"/>
          <w:vertAlign w:val="superscript"/>
        </w:rPr>
        <w:t>_</w:t>
      </w:r>
      <w:r w:rsidR="00EC7C5E" w:rsidRPr="00A52AB8">
        <w:rPr>
          <w:color w:val="000000" w:themeColor="text1"/>
          <w:position w:val="6"/>
          <w:vertAlign w:val="superscript"/>
        </w:rPr>
        <w:t>depth_minus1</w:t>
      </w:r>
      <w:r w:rsidR="000C6920" w:rsidRPr="00A52AB8">
        <w:rPr>
          <w:color w:val="000000" w:themeColor="text1"/>
          <w:position w:val="6"/>
          <w:vertAlign w:val="superscript"/>
        </w:rPr>
        <w:t>+1</w:t>
      </w:r>
      <w:r w:rsidR="000C6920" w:rsidRPr="00A52AB8">
        <w:rPr>
          <w:color w:val="000000" w:themeColor="text1"/>
        </w:rPr>
        <w:t> </w:t>
      </w:r>
      <w:r w:rsidR="00165BB2" w:rsidRPr="00A52AB8">
        <w:rPr>
          <w:color w:val="000000" w:themeColor="text1"/>
        </w:rPr>
        <w:t>–</w:t>
      </w:r>
      <w:r w:rsidR="000C6920" w:rsidRPr="00A52AB8">
        <w:rPr>
          <w:color w:val="000000" w:themeColor="text1"/>
        </w:rPr>
        <w:t> 1</w:t>
      </w:r>
      <w:r w:rsidR="00165BB2" w:rsidRPr="00A52AB8">
        <w:rPr>
          <w:color w:val="000000" w:themeColor="text1"/>
        </w:rPr>
        <w:t> </w:t>
      </w:r>
      <w:r w:rsidR="000C6920" w:rsidRPr="00A52AB8">
        <w:rPr>
          <w:color w:val="000000" w:themeColor="text1"/>
        </w:rPr>
        <w:t>), inclusive.</w:t>
      </w:r>
      <w:r w:rsidR="007D7AA4" w:rsidRPr="00A52AB8">
        <w:rPr>
          <w:color w:val="000000" w:themeColor="text1"/>
        </w:rPr>
        <w:t xml:space="preserve"> When m</w:t>
      </w:r>
      <w:r w:rsidR="007356C4" w:rsidRPr="00A52AB8">
        <w:rPr>
          <w:color w:val="000000" w:themeColor="text1"/>
        </w:rPr>
        <w:t>pdu_3d_offset_u</w:t>
      </w:r>
      <w:r w:rsidR="00F64F36" w:rsidRPr="00A52AB8">
        <w:rPr>
          <w:lang w:eastAsia="ja-JP"/>
        </w:rPr>
        <w:t>[ </w:t>
      </w:r>
      <w:r w:rsidR="00632FA7" w:rsidRPr="00A52AB8">
        <w:rPr>
          <w:lang w:eastAsia="ja-JP"/>
        </w:rPr>
        <w:t>tileID</w:t>
      </w:r>
      <w:r w:rsidR="00F64F36" w:rsidRPr="00A52AB8">
        <w:rPr>
          <w:lang w:eastAsia="ja-JP"/>
        </w:rPr>
        <w:t> ]</w:t>
      </w:r>
      <w:r w:rsidR="007D7AA4" w:rsidRPr="00A52AB8">
        <w:rPr>
          <w:color w:val="000000" w:themeColor="text1"/>
        </w:rPr>
        <w:t>[ p ] is not present, it is inferred to be equal to 0.</w:t>
      </w:r>
    </w:p>
    <w:p w14:paraId="625F9942" w14:textId="5AF58843" w:rsidR="000C6920" w:rsidRPr="00A52AB8" w:rsidRDefault="003D3901">
      <w:pPr>
        <w:rPr>
          <w:b/>
          <w:color w:val="000000" w:themeColor="text1"/>
        </w:rPr>
      </w:pPr>
      <w:r w:rsidRPr="00A52AB8">
        <w:rPr>
          <w:b/>
          <w:color w:val="000000" w:themeColor="text1"/>
        </w:rPr>
        <w:t>m</w:t>
      </w:r>
      <w:r w:rsidR="007356C4" w:rsidRPr="00A52AB8">
        <w:rPr>
          <w:b/>
          <w:color w:val="000000" w:themeColor="text1"/>
        </w:rPr>
        <w:t>pdu_3d_offset_v</w:t>
      </w:r>
      <w:r w:rsidR="00C4789A" w:rsidRPr="00A52AB8">
        <w:rPr>
          <w:lang w:eastAsia="ja-JP"/>
        </w:rPr>
        <w:t>[ </w:t>
      </w:r>
      <w:r w:rsidR="00632FA7" w:rsidRPr="00A52AB8">
        <w:rPr>
          <w:lang w:eastAsia="ja-JP"/>
        </w:rPr>
        <w:t>tileID</w:t>
      </w:r>
      <w:r w:rsidR="00C4789A" w:rsidRPr="00A52AB8">
        <w:rPr>
          <w:lang w:eastAsia="ja-JP"/>
        </w:rPr>
        <w:t> ]</w:t>
      </w:r>
      <w:r w:rsidR="000C6920" w:rsidRPr="00A52AB8">
        <w:rPr>
          <w:color w:val="000000" w:themeColor="text1"/>
        </w:rPr>
        <w:t xml:space="preserve">[ p ] specifies the difference between the shift to be applied to the reconstructed patch points along the </w:t>
      </w:r>
      <w:r w:rsidR="00141AB2" w:rsidRPr="00A52AB8">
        <w:rPr>
          <w:color w:val="000000" w:themeColor="text1"/>
        </w:rPr>
        <w:t>bi-tangent</w:t>
      </w:r>
      <w:r w:rsidR="000C6920" w:rsidRPr="00A52AB8">
        <w:rPr>
          <w:color w:val="000000" w:themeColor="text1"/>
        </w:rPr>
        <w:t xml:space="preserve"> axis of </w:t>
      </w:r>
      <w:r w:rsidR="00714C98" w:rsidRPr="00A52AB8">
        <w:rPr>
          <w:color w:val="000000" w:themeColor="text1"/>
        </w:rPr>
        <w:t xml:space="preserve">the </w:t>
      </w:r>
      <w:r w:rsidR="000C6920" w:rsidRPr="00A52AB8">
        <w:rPr>
          <w:color w:val="000000" w:themeColor="text1"/>
        </w:rPr>
        <w:t xml:space="preserve">patch with index p in the current atlas </w:t>
      </w:r>
      <w:r w:rsidR="00B8075E" w:rsidRPr="00A52AB8">
        <w:rPr>
          <w:color w:val="000000" w:themeColor="text1"/>
        </w:rPr>
        <w:t>tile</w:t>
      </w:r>
      <w:r w:rsidR="00C4789A" w:rsidRPr="00A52AB8">
        <w:rPr>
          <w:color w:val="000000" w:themeColor="text1"/>
        </w:rPr>
        <w:t xml:space="preserve">, </w:t>
      </w:r>
      <w:r w:rsidR="00A41AF4" w:rsidRPr="00A52AB8">
        <w:rPr>
          <w:color w:val="000000" w:themeColor="text1"/>
        </w:rPr>
        <w:t>with tile ID equal to tileID</w:t>
      </w:r>
      <w:r w:rsidR="00C4789A" w:rsidRPr="00A52AB8">
        <w:rPr>
          <w:color w:val="000000" w:themeColor="text1"/>
        </w:rPr>
        <w:t>,</w:t>
      </w:r>
      <w:r w:rsidR="000C6920" w:rsidRPr="00A52AB8">
        <w:rPr>
          <w:color w:val="000000" w:themeColor="text1"/>
        </w:rPr>
        <w:t xml:space="preserve"> and of the shift to be applied to the reconstructed patch points along the </w:t>
      </w:r>
      <w:r w:rsidR="00141AB2" w:rsidRPr="00A52AB8">
        <w:rPr>
          <w:color w:val="000000" w:themeColor="text1"/>
        </w:rPr>
        <w:t>bi</w:t>
      </w:r>
      <w:r w:rsidR="00714C98" w:rsidRPr="00A52AB8">
        <w:rPr>
          <w:color w:val="000000" w:themeColor="text1"/>
        </w:rPr>
        <w:noBreakHyphen/>
      </w:r>
      <w:r w:rsidR="00141AB2" w:rsidRPr="00A52AB8">
        <w:rPr>
          <w:color w:val="000000" w:themeColor="text1"/>
        </w:rPr>
        <w:t>tangent</w:t>
      </w:r>
      <w:r w:rsidR="000C6920" w:rsidRPr="00A52AB8">
        <w:rPr>
          <w:color w:val="000000" w:themeColor="text1"/>
        </w:rPr>
        <w:t xml:space="preserve"> axis of the patch with index </w:t>
      </w:r>
      <w:r w:rsidR="002921E1" w:rsidRPr="00A52AB8">
        <w:rPr>
          <w:color w:val="000000" w:themeColor="text1"/>
        </w:rPr>
        <w:t>RefPatchIdx</w:t>
      </w:r>
      <w:r w:rsidR="000C6920" w:rsidRPr="00A52AB8">
        <w:rPr>
          <w:color w:val="000000" w:themeColor="text1"/>
        </w:rPr>
        <w:t xml:space="preserve"> in the atlas </w:t>
      </w:r>
      <w:r w:rsidR="00B8075E" w:rsidRPr="00A52AB8">
        <w:rPr>
          <w:color w:val="000000" w:themeColor="text1"/>
        </w:rPr>
        <w:t>tile</w:t>
      </w:r>
      <w:r w:rsidR="000C6920" w:rsidRPr="00A52AB8">
        <w:rPr>
          <w:color w:val="000000" w:themeColor="text1"/>
        </w:rPr>
        <w:t xml:space="preserve"> with the same </w:t>
      </w:r>
      <w:r w:rsidR="004A199F" w:rsidRPr="00A52AB8">
        <w:rPr>
          <w:color w:val="000000" w:themeColor="text1"/>
        </w:rPr>
        <w:t>ID</w:t>
      </w:r>
      <w:r w:rsidR="000C6920" w:rsidRPr="00A52AB8">
        <w:rPr>
          <w:color w:val="000000" w:themeColor="text1"/>
        </w:rPr>
        <w:t xml:space="preserve"> as the current </w:t>
      </w:r>
      <w:r w:rsidR="00B8075E" w:rsidRPr="00A52AB8">
        <w:rPr>
          <w:color w:val="000000" w:themeColor="text1"/>
        </w:rPr>
        <w:t>tile</w:t>
      </w:r>
      <w:r w:rsidR="000C6920" w:rsidRPr="00A52AB8">
        <w:rPr>
          <w:color w:val="000000" w:themeColor="text1"/>
        </w:rPr>
        <w:t xml:space="preserve"> in the atlas frame that corresponds to </w:t>
      </w:r>
      <w:r w:rsidR="00760159" w:rsidRPr="00A52AB8">
        <w:rPr>
          <w:color w:val="000000" w:themeColor="text1"/>
        </w:rPr>
        <w:t>r</w:t>
      </w:r>
      <w:r w:rsidR="000C6920" w:rsidRPr="00A52AB8">
        <w:rPr>
          <w:color w:val="000000" w:themeColor="text1"/>
        </w:rPr>
        <w:t xml:space="preserve">efIdx. The value of </w:t>
      </w:r>
      <w:r w:rsidR="007D7AA4" w:rsidRPr="00A52AB8">
        <w:rPr>
          <w:color w:val="000000" w:themeColor="text1"/>
        </w:rPr>
        <w:t>m</w:t>
      </w:r>
      <w:r w:rsidR="007356C4" w:rsidRPr="00A52AB8">
        <w:rPr>
          <w:color w:val="000000" w:themeColor="text1"/>
        </w:rPr>
        <w:t>pdu_3d_offset_v</w:t>
      </w:r>
      <w:r w:rsidR="00C4789A" w:rsidRPr="00A52AB8">
        <w:rPr>
          <w:lang w:eastAsia="ja-JP"/>
        </w:rPr>
        <w:t>[ </w:t>
      </w:r>
      <w:r w:rsidR="00632FA7" w:rsidRPr="00A52AB8">
        <w:rPr>
          <w:lang w:eastAsia="ja-JP"/>
        </w:rPr>
        <w:t>tileID</w:t>
      </w:r>
      <w:r w:rsidR="00C4789A" w:rsidRPr="00A52AB8">
        <w:rPr>
          <w:lang w:eastAsia="ja-JP"/>
        </w:rPr>
        <w:t> ]</w:t>
      </w:r>
      <w:r w:rsidR="000C6920" w:rsidRPr="00A52AB8">
        <w:rPr>
          <w:color w:val="000000" w:themeColor="text1"/>
        </w:rPr>
        <w:t>[ p ] shall be in the range of (</w:t>
      </w:r>
      <w:r w:rsidR="00165BB2" w:rsidRPr="00A52AB8">
        <w:rPr>
          <w:color w:val="000000" w:themeColor="text1"/>
        </w:rPr>
        <w:t> </w:t>
      </w:r>
      <w:r w:rsidR="000C6920" w:rsidRPr="00A52AB8">
        <w:rPr>
          <w:color w:val="000000" w:themeColor="text1"/>
        </w:rPr>
        <w:t>−2</w:t>
      </w:r>
      <w:r w:rsidR="00EC7C5E" w:rsidRPr="00A52AB8">
        <w:rPr>
          <w:color w:val="000000" w:themeColor="text1"/>
          <w:position w:val="6"/>
          <w:vertAlign w:val="superscript"/>
        </w:rPr>
        <w:t>asps_geometry_3d_bit</w:t>
      </w:r>
      <w:r w:rsidR="00C514C6" w:rsidRPr="00A52AB8">
        <w:rPr>
          <w:color w:val="000000" w:themeColor="text1"/>
          <w:position w:val="6"/>
          <w:vertAlign w:val="superscript"/>
        </w:rPr>
        <w:t>_</w:t>
      </w:r>
      <w:r w:rsidR="00EC7C5E" w:rsidRPr="00A52AB8">
        <w:rPr>
          <w:color w:val="000000" w:themeColor="text1"/>
          <w:position w:val="6"/>
          <w:vertAlign w:val="superscript"/>
        </w:rPr>
        <w:t>depth_minus1</w:t>
      </w:r>
      <w:r w:rsidR="000C6920" w:rsidRPr="00A52AB8">
        <w:rPr>
          <w:color w:val="000000" w:themeColor="text1"/>
          <w:position w:val="6"/>
          <w:vertAlign w:val="superscript"/>
        </w:rPr>
        <w:t>+1</w:t>
      </w:r>
      <w:r w:rsidR="000C6920" w:rsidRPr="00A52AB8">
        <w:rPr>
          <w:color w:val="000000" w:themeColor="text1"/>
        </w:rPr>
        <w:t> + 1</w:t>
      </w:r>
      <w:r w:rsidR="00165BB2" w:rsidRPr="00A52AB8">
        <w:rPr>
          <w:color w:val="000000" w:themeColor="text1"/>
        </w:rPr>
        <w:t> </w:t>
      </w:r>
      <w:r w:rsidR="000C6920" w:rsidRPr="00A52AB8">
        <w:rPr>
          <w:color w:val="000000" w:themeColor="text1"/>
        </w:rPr>
        <w:t>) to (</w:t>
      </w:r>
      <w:r w:rsidR="00165BB2" w:rsidRPr="00A52AB8">
        <w:rPr>
          <w:color w:val="000000" w:themeColor="text1"/>
        </w:rPr>
        <w:t> </w:t>
      </w:r>
      <w:r w:rsidR="000C6920" w:rsidRPr="00A52AB8">
        <w:rPr>
          <w:color w:val="000000" w:themeColor="text1"/>
        </w:rPr>
        <w:t>2</w:t>
      </w:r>
      <w:r w:rsidR="00EC7C5E" w:rsidRPr="00A52AB8">
        <w:rPr>
          <w:color w:val="000000" w:themeColor="text1"/>
          <w:position w:val="6"/>
          <w:vertAlign w:val="superscript"/>
        </w:rPr>
        <w:t>asps_geometry_3d_bit</w:t>
      </w:r>
      <w:r w:rsidR="00C514C6" w:rsidRPr="00A52AB8">
        <w:rPr>
          <w:color w:val="000000" w:themeColor="text1"/>
          <w:position w:val="6"/>
          <w:vertAlign w:val="superscript"/>
        </w:rPr>
        <w:t>_</w:t>
      </w:r>
      <w:r w:rsidR="00EC7C5E" w:rsidRPr="00A52AB8">
        <w:rPr>
          <w:color w:val="000000" w:themeColor="text1"/>
          <w:position w:val="6"/>
          <w:vertAlign w:val="superscript"/>
        </w:rPr>
        <w:t>depth_minus1</w:t>
      </w:r>
      <w:r w:rsidR="000C6920" w:rsidRPr="00A52AB8">
        <w:rPr>
          <w:color w:val="000000" w:themeColor="text1"/>
          <w:position w:val="6"/>
          <w:vertAlign w:val="superscript"/>
        </w:rPr>
        <w:t>+1</w:t>
      </w:r>
      <w:r w:rsidR="000C6920" w:rsidRPr="00A52AB8">
        <w:rPr>
          <w:color w:val="000000" w:themeColor="text1"/>
        </w:rPr>
        <w:t> </w:t>
      </w:r>
      <w:r w:rsidR="00165BB2" w:rsidRPr="00A52AB8">
        <w:rPr>
          <w:color w:val="000000" w:themeColor="text1"/>
        </w:rPr>
        <w:t>–</w:t>
      </w:r>
      <w:r w:rsidR="000C6920" w:rsidRPr="00A52AB8">
        <w:rPr>
          <w:color w:val="000000" w:themeColor="text1"/>
        </w:rPr>
        <w:t> 1</w:t>
      </w:r>
      <w:r w:rsidR="00165BB2" w:rsidRPr="00A52AB8">
        <w:rPr>
          <w:color w:val="000000" w:themeColor="text1"/>
        </w:rPr>
        <w:t> </w:t>
      </w:r>
      <w:r w:rsidR="000C6920" w:rsidRPr="00A52AB8">
        <w:rPr>
          <w:color w:val="000000" w:themeColor="text1"/>
        </w:rPr>
        <w:t>), inclusive.</w:t>
      </w:r>
      <w:r w:rsidR="007D7AA4" w:rsidRPr="00A52AB8">
        <w:rPr>
          <w:color w:val="000000" w:themeColor="text1"/>
        </w:rPr>
        <w:t xml:space="preserve"> When m</w:t>
      </w:r>
      <w:r w:rsidR="007356C4" w:rsidRPr="00A52AB8">
        <w:rPr>
          <w:color w:val="000000" w:themeColor="text1"/>
        </w:rPr>
        <w:t>pdu_3d_offset_v</w:t>
      </w:r>
      <w:r w:rsidR="00C4789A" w:rsidRPr="00A52AB8">
        <w:rPr>
          <w:lang w:eastAsia="ja-JP"/>
        </w:rPr>
        <w:t>[ </w:t>
      </w:r>
      <w:r w:rsidR="00632FA7" w:rsidRPr="00A52AB8">
        <w:rPr>
          <w:lang w:eastAsia="ja-JP"/>
        </w:rPr>
        <w:t>tileID</w:t>
      </w:r>
      <w:r w:rsidR="00C4789A" w:rsidRPr="00A52AB8">
        <w:rPr>
          <w:lang w:eastAsia="ja-JP"/>
        </w:rPr>
        <w:t> ]</w:t>
      </w:r>
      <w:r w:rsidR="007D7AA4" w:rsidRPr="00A52AB8">
        <w:rPr>
          <w:color w:val="000000" w:themeColor="text1"/>
        </w:rPr>
        <w:t>[ p ] is not present, it is inferred to be equal to 0.</w:t>
      </w:r>
    </w:p>
    <w:p w14:paraId="088773B6" w14:textId="2B63E395" w:rsidR="000C6920" w:rsidRPr="00A52AB8" w:rsidRDefault="003D3901">
      <w:pPr>
        <w:rPr>
          <w:color w:val="000000" w:themeColor="text1"/>
        </w:rPr>
      </w:pPr>
      <w:r w:rsidRPr="00A52AB8">
        <w:rPr>
          <w:b/>
          <w:color w:val="000000" w:themeColor="text1"/>
        </w:rPr>
        <w:t>m</w:t>
      </w:r>
      <w:r w:rsidR="007356C4" w:rsidRPr="00A52AB8">
        <w:rPr>
          <w:b/>
          <w:color w:val="000000" w:themeColor="text1"/>
        </w:rPr>
        <w:t>pdu_3d_offset_d</w:t>
      </w:r>
      <w:r w:rsidR="00C4789A" w:rsidRPr="00A52AB8">
        <w:rPr>
          <w:lang w:eastAsia="ja-JP"/>
        </w:rPr>
        <w:t>[ </w:t>
      </w:r>
      <w:r w:rsidR="00632FA7" w:rsidRPr="00A52AB8">
        <w:rPr>
          <w:lang w:eastAsia="ja-JP"/>
        </w:rPr>
        <w:t>tileID</w:t>
      </w:r>
      <w:r w:rsidR="00C4789A" w:rsidRPr="00A52AB8">
        <w:rPr>
          <w:lang w:eastAsia="ja-JP"/>
        </w:rPr>
        <w:t> ]</w:t>
      </w:r>
      <w:r w:rsidR="000C6920" w:rsidRPr="00A52AB8">
        <w:rPr>
          <w:color w:val="000000" w:themeColor="text1"/>
        </w:rPr>
        <w:t xml:space="preserve">[ p ] specifies the difference between the shift to be applied to the reconstructed patch points along the normal axis of </w:t>
      </w:r>
      <w:r w:rsidR="00165BB2" w:rsidRPr="00A52AB8">
        <w:rPr>
          <w:color w:val="000000" w:themeColor="text1"/>
        </w:rPr>
        <w:t xml:space="preserve">the </w:t>
      </w:r>
      <w:r w:rsidR="000C6920" w:rsidRPr="00A52AB8">
        <w:rPr>
          <w:color w:val="000000" w:themeColor="text1"/>
        </w:rPr>
        <w:t xml:space="preserve">patch with index p in the current atlas </w:t>
      </w:r>
      <w:r w:rsidR="00B8075E" w:rsidRPr="00A52AB8">
        <w:rPr>
          <w:color w:val="000000" w:themeColor="text1"/>
        </w:rPr>
        <w:t>tile</w:t>
      </w:r>
      <w:r w:rsidR="00C4789A" w:rsidRPr="00A52AB8">
        <w:rPr>
          <w:color w:val="000000" w:themeColor="text1"/>
        </w:rPr>
        <w:t>,</w:t>
      </w:r>
      <w:r w:rsidR="00F64F36" w:rsidRPr="00A52AB8">
        <w:rPr>
          <w:color w:val="000000" w:themeColor="text1"/>
        </w:rPr>
        <w:t xml:space="preserve"> </w:t>
      </w:r>
      <w:r w:rsidR="00A41AF4" w:rsidRPr="00A52AB8">
        <w:rPr>
          <w:color w:val="000000" w:themeColor="text1"/>
        </w:rPr>
        <w:t>with tile ID equal to tileID</w:t>
      </w:r>
      <w:r w:rsidR="00C4789A" w:rsidRPr="00A52AB8">
        <w:rPr>
          <w:color w:val="000000" w:themeColor="text1"/>
        </w:rPr>
        <w:t>,</w:t>
      </w:r>
      <w:r w:rsidR="000C6920" w:rsidRPr="00A52AB8">
        <w:rPr>
          <w:color w:val="000000" w:themeColor="text1"/>
        </w:rPr>
        <w:t xml:space="preserve"> and of the shift to be applied to the reconstructed patch points along the normal axis of </w:t>
      </w:r>
      <w:r w:rsidR="00165BB2" w:rsidRPr="00A52AB8">
        <w:rPr>
          <w:color w:val="000000" w:themeColor="text1"/>
        </w:rPr>
        <w:t xml:space="preserve">the </w:t>
      </w:r>
      <w:r w:rsidR="000C6920" w:rsidRPr="00A52AB8">
        <w:rPr>
          <w:color w:val="000000" w:themeColor="text1"/>
        </w:rPr>
        <w:t xml:space="preserve">patch with index </w:t>
      </w:r>
      <w:r w:rsidR="002921E1" w:rsidRPr="00A52AB8">
        <w:rPr>
          <w:color w:val="000000" w:themeColor="text1"/>
        </w:rPr>
        <w:t>RefPatchIdx</w:t>
      </w:r>
      <w:r w:rsidR="000C6920" w:rsidRPr="00A52AB8">
        <w:rPr>
          <w:color w:val="000000" w:themeColor="text1"/>
        </w:rPr>
        <w:t xml:space="preserve"> in the atlas </w:t>
      </w:r>
      <w:r w:rsidR="00B8075E" w:rsidRPr="00A52AB8">
        <w:rPr>
          <w:color w:val="000000" w:themeColor="text1"/>
        </w:rPr>
        <w:t>tile</w:t>
      </w:r>
      <w:r w:rsidR="000C6920" w:rsidRPr="00A52AB8">
        <w:rPr>
          <w:color w:val="000000" w:themeColor="text1"/>
        </w:rPr>
        <w:t xml:space="preserve"> with the same </w:t>
      </w:r>
      <w:r w:rsidR="004A199F" w:rsidRPr="00A52AB8">
        <w:rPr>
          <w:color w:val="000000" w:themeColor="text1"/>
        </w:rPr>
        <w:t>ID</w:t>
      </w:r>
      <w:r w:rsidR="000C6920" w:rsidRPr="00A52AB8">
        <w:rPr>
          <w:color w:val="000000" w:themeColor="text1"/>
        </w:rPr>
        <w:t xml:space="preserve"> as the current </w:t>
      </w:r>
      <w:r w:rsidR="00B8075E" w:rsidRPr="00A52AB8">
        <w:rPr>
          <w:color w:val="000000" w:themeColor="text1"/>
        </w:rPr>
        <w:t>tile</w:t>
      </w:r>
      <w:r w:rsidR="000C6920" w:rsidRPr="00A52AB8">
        <w:rPr>
          <w:color w:val="000000" w:themeColor="text1"/>
        </w:rPr>
        <w:t xml:space="preserve"> in the atlas frame that corresponds to </w:t>
      </w:r>
      <w:r w:rsidR="00760159" w:rsidRPr="00A52AB8">
        <w:rPr>
          <w:color w:val="000000" w:themeColor="text1"/>
        </w:rPr>
        <w:t>r</w:t>
      </w:r>
      <w:r w:rsidR="000C6920" w:rsidRPr="00A52AB8">
        <w:rPr>
          <w:color w:val="000000" w:themeColor="text1"/>
        </w:rPr>
        <w:t xml:space="preserve">efIdx, </w:t>
      </w:r>
      <w:r w:rsidR="007D7AA4" w:rsidRPr="00A52AB8">
        <w:rPr>
          <w:color w:val="000000" w:themeColor="text1"/>
        </w:rPr>
        <w:t>M</w:t>
      </w:r>
      <w:r w:rsidR="000C6920" w:rsidRPr="00A52AB8">
        <w:rPr>
          <w:color w:val="000000" w:themeColor="text1"/>
        </w:rPr>
        <w:t>p</w:t>
      </w:r>
      <w:r w:rsidR="00141AB2" w:rsidRPr="00A52AB8">
        <w:rPr>
          <w:color w:val="000000" w:themeColor="text1"/>
        </w:rPr>
        <w:t>du3dOffsetD</w:t>
      </w:r>
      <w:r w:rsidR="00C4789A" w:rsidRPr="00A52AB8">
        <w:rPr>
          <w:lang w:eastAsia="ja-JP"/>
        </w:rPr>
        <w:t>[ </w:t>
      </w:r>
      <w:r w:rsidR="00632FA7" w:rsidRPr="00A52AB8">
        <w:rPr>
          <w:lang w:eastAsia="ja-JP"/>
        </w:rPr>
        <w:t>tileID</w:t>
      </w:r>
      <w:r w:rsidR="00C4789A" w:rsidRPr="00A52AB8">
        <w:rPr>
          <w:lang w:eastAsia="ja-JP"/>
        </w:rPr>
        <w:t> ]</w:t>
      </w:r>
      <w:r w:rsidR="000C6920" w:rsidRPr="00A52AB8">
        <w:rPr>
          <w:color w:val="000000" w:themeColor="text1"/>
        </w:rPr>
        <w:t>[ p ], as follows:</w:t>
      </w:r>
    </w:p>
    <w:p w14:paraId="4F6ED4D3" w14:textId="2FD84C56" w:rsidR="000C6920" w:rsidRPr="00A52AB8" w:rsidRDefault="00584501">
      <w:pPr>
        <w:rPr>
          <w:color w:val="000000" w:themeColor="text1"/>
        </w:rPr>
      </w:pPr>
      <w:r w:rsidRPr="00A52AB8">
        <w:rPr>
          <w:color w:val="000000" w:themeColor="text1"/>
        </w:rPr>
        <w:tab/>
      </w:r>
      <w:r w:rsidR="007D7AA4" w:rsidRPr="00A52AB8">
        <w:rPr>
          <w:color w:val="000000" w:themeColor="text1"/>
        </w:rPr>
        <w:t>M</w:t>
      </w:r>
      <w:r w:rsidR="000C6920" w:rsidRPr="00A52AB8">
        <w:rPr>
          <w:color w:val="000000" w:themeColor="text1"/>
        </w:rPr>
        <w:t>p</w:t>
      </w:r>
      <w:r w:rsidR="00141AB2" w:rsidRPr="00A52AB8">
        <w:rPr>
          <w:color w:val="000000" w:themeColor="text1"/>
        </w:rPr>
        <w:t>du3dOffsetD</w:t>
      </w:r>
      <w:r w:rsidR="00C4789A" w:rsidRPr="00A52AB8">
        <w:rPr>
          <w:lang w:eastAsia="ja-JP"/>
        </w:rPr>
        <w:t>[ </w:t>
      </w:r>
      <w:r w:rsidR="00632FA7" w:rsidRPr="00A52AB8">
        <w:rPr>
          <w:lang w:eastAsia="ja-JP"/>
        </w:rPr>
        <w:t>tileID</w:t>
      </w:r>
      <w:r w:rsidR="00C4789A" w:rsidRPr="00A52AB8">
        <w:rPr>
          <w:lang w:eastAsia="ja-JP"/>
        </w:rPr>
        <w:t> ]</w:t>
      </w:r>
      <w:r w:rsidR="000C6920" w:rsidRPr="00A52AB8">
        <w:rPr>
          <w:color w:val="000000" w:themeColor="text1"/>
        </w:rPr>
        <w:t>[ p ]</w:t>
      </w:r>
      <w:r w:rsidR="00D47707" w:rsidRPr="00A52AB8">
        <w:rPr>
          <w:color w:val="000000" w:themeColor="text1"/>
        </w:rPr>
        <w:t> = </w:t>
      </w:r>
      <w:r w:rsidR="007D7AA4" w:rsidRPr="00A52AB8">
        <w:rPr>
          <w:color w:val="000000" w:themeColor="text1"/>
        </w:rPr>
        <w:t>m</w:t>
      </w:r>
      <w:r w:rsidR="007356C4" w:rsidRPr="00A52AB8">
        <w:rPr>
          <w:color w:val="000000" w:themeColor="text1"/>
        </w:rPr>
        <w:t>pdu_3d_offset_d</w:t>
      </w:r>
      <w:r w:rsidR="00C4789A" w:rsidRPr="00A52AB8">
        <w:rPr>
          <w:lang w:eastAsia="ja-JP"/>
        </w:rPr>
        <w:t>[ </w:t>
      </w:r>
      <w:r w:rsidR="00632FA7" w:rsidRPr="00A52AB8">
        <w:rPr>
          <w:lang w:eastAsia="ja-JP"/>
        </w:rPr>
        <w:t>tileID</w:t>
      </w:r>
      <w:r w:rsidR="00C4789A" w:rsidRPr="00A52AB8">
        <w:rPr>
          <w:lang w:eastAsia="ja-JP"/>
        </w:rPr>
        <w:t> ]</w:t>
      </w:r>
      <w:r w:rsidR="000C6920" w:rsidRPr="00A52AB8">
        <w:rPr>
          <w:color w:val="000000" w:themeColor="text1"/>
        </w:rPr>
        <w:t>[ p ]</w:t>
      </w:r>
      <w:r w:rsidR="00766CC9" w:rsidRPr="00A52AB8">
        <w:rPr>
          <w:color w:val="000000" w:themeColor="text1"/>
        </w:rPr>
        <w:t> </w:t>
      </w:r>
      <w:r w:rsidR="000C6920" w:rsidRPr="00A52AB8">
        <w:rPr>
          <w:color w:val="000000" w:themeColor="text1"/>
        </w:rPr>
        <w:t>&lt;&lt;</w:t>
      </w:r>
      <w:r w:rsidR="00766CC9" w:rsidRPr="00A52AB8">
        <w:rPr>
          <w:color w:val="000000" w:themeColor="text1"/>
        </w:rPr>
        <w:t> ath_pos_min_d_quantizer</w:t>
      </w:r>
      <w:r w:rsidR="000C6920" w:rsidRPr="00A52AB8">
        <w:tab/>
        <w:t>(</w:t>
      </w:r>
      <w:r w:rsidR="000C6920" w:rsidRPr="00496A4D">
        <w:fldChar w:fldCharType="begin"/>
      </w:r>
      <w:r w:rsidR="000C6920" w:rsidRPr="00A52AB8">
        <w:instrText xml:space="preserve"> </w:instrText>
      </w:r>
      <w:r w:rsidR="00646520" w:rsidRPr="00A52AB8">
        <w:instrText>SEQ Equation \* ARABIC \n</w:instrText>
      </w:r>
      <w:r w:rsidR="000C6920" w:rsidRPr="00A52AB8">
        <w:instrText xml:space="preserve"> </w:instrText>
      </w:r>
      <w:r w:rsidR="000C6920" w:rsidRPr="00496A4D">
        <w:fldChar w:fldCharType="separate"/>
      </w:r>
      <w:r w:rsidR="00507A67">
        <w:rPr>
          <w:noProof/>
        </w:rPr>
        <w:t>33</w:t>
      </w:r>
      <w:r w:rsidR="000C6920" w:rsidRPr="00496A4D">
        <w:fldChar w:fldCharType="end"/>
      </w:r>
      <w:r w:rsidR="000C6920" w:rsidRPr="00A52AB8">
        <w:t>)</w:t>
      </w:r>
    </w:p>
    <w:p w14:paraId="69E775F8" w14:textId="02383DB2" w:rsidR="000C6920" w:rsidRPr="00A52AB8" w:rsidRDefault="000C6920">
      <w:pPr>
        <w:rPr>
          <w:b/>
          <w:color w:val="000000" w:themeColor="text1"/>
        </w:rPr>
      </w:pPr>
      <w:r w:rsidRPr="00A52AB8">
        <w:rPr>
          <w:color w:val="000000" w:themeColor="text1"/>
        </w:rPr>
        <w:t xml:space="preserve">The value of </w:t>
      </w:r>
      <w:r w:rsidR="007D7AA4" w:rsidRPr="00A52AB8">
        <w:rPr>
          <w:color w:val="000000" w:themeColor="text1"/>
        </w:rPr>
        <w:t>m</w:t>
      </w:r>
      <w:r w:rsidR="007356C4" w:rsidRPr="00A52AB8">
        <w:rPr>
          <w:color w:val="000000" w:themeColor="text1"/>
        </w:rPr>
        <w:t>pdu_3d_offset_d</w:t>
      </w:r>
      <w:r w:rsidR="00C4789A" w:rsidRPr="00A52AB8">
        <w:rPr>
          <w:lang w:eastAsia="ja-JP"/>
        </w:rPr>
        <w:t>[ </w:t>
      </w:r>
      <w:r w:rsidR="00632FA7" w:rsidRPr="00A52AB8">
        <w:rPr>
          <w:lang w:eastAsia="ja-JP"/>
        </w:rPr>
        <w:t>tileID</w:t>
      </w:r>
      <w:r w:rsidR="00C4789A" w:rsidRPr="00A52AB8">
        <w:rPr>
          <w:lang w:eastAsia="ja-JP"/>
        </w:rPr>
        <w:t> ]</w:t>
      </w:r>
      <w:r w:rsidRPr="00A52AB8">
        <w:rPr>
          <w:color w:val="000000" w:themeColor="text1"/>
        </w:rPr>
        <w:t>[ p ] shall be in the range of (</w:t>
      </w:r>
      <w:r w:rsidR="00165BB2" w:rsidRPr="00A52AB8">
        <w:rPr>
          <w:color w:val="000000" w:themeColor="text1"/>
        </w:rPr>
        <w:t> </w:t>
      </w:r>
      <w:r w:rsidRPr="00A52AB8">
        <w:rPr>
          <w:color w:val="000000" w:themeColor="text1"/>
        </w:rPr>
        <w:t>−2</w:t>
      </w:r>
      <w:r w:rsidR="00EC7C5E" w:rsidRPr="00A52AB8">
        <w:rPr>
          <w:color w:val="000000" w:themeColor="text1"/>
          <w:position w:val="6"/>
          <w:vertAlign w:val="superscript"/>
        </w:rPr>
        <w:t>asps_geometry_3d_bit</w:t>
      </w:r>
      <w:r w:rsidR="00C514C6" w:rsidRPr="00A52AB8">
        <w:rPr>
          <w:color w:val="000000" w:themeColor="text1"/>
          <w:position w:val="6"/>
          <w:vertAlign w:val="superscript"/>
        </w:rPr>
        <w:t>_</w:t>
      </w:r>
      <w:r w:rsidR="00EC7C5E" w:rsidRPr="00A52AB8">
        <w:rPr>
          <w:color w:val="000000" w:themeColor="text1"/>
          <w:position w:val="6"/>
          <w:vertAlign w:val="superscript"/>
        </w:rPr>
        <w:t>depth_minus1</w:t>
      </w:r>
      <w:r w:rsidRPr="00A52AB8">
        <w:rPr>
          <w:color w:val="000000" w:themeColor="text1"/>
          <w:position w:val="6"/>
          <w:vertAlign w:val="superscript"/>
        </w:rPr>
        <w:t>+1</w:t>
      </w:r>
      <w:r w:rsidRPr="00A52AB8">
        <w:rPr>
          <w:color w:val="000000" w:themeColor="text1"/>
        </w:rPr>
        <w:t> + 1</w:t>
      </w:r>
      <w:r w:rsidR="00165BB2" w:rsidRPr="00A52AB8">
        <w:rPr>
          <w:color w:val="000000" w:themeColor="text1"/>
        </w:rPr>
        <w:t> </w:t>
      </w:r>
      <w:r w:rsidRPr="00A52AB8">
        <w:rPr>
          <w:color w:val="000000" w:themeColor="text1"/>
        </w:rPr>
        <w:t>) to (</w:t>
      </w:r>
      <w:r w:rsidR="00165BB2" w:rsidRPr="00A52AB8">
        <w:rPr>
          <w:color w:val="000000" w:themeColor="text1"/>
        </w:rPr>
        <w:t> </w:t>
      </w:r>
      <w:r w:rsidRPr="00A52AB8">
        <w:rPr>
          <w:color w:val="000000" w:themeColor="text1"/>
        </w:rPr>
        <w:t>2</w:t>
      </w:r>
      <w:r w:rsidR="00EC7C5E" w:rsidRPr="00A52AB8">
        <w:rPr>
          <w:color w:val="000000" w:themeColor="text1"/>
          <w:position w:val="6"/>
          <w:vertAlign w:val="superscript"/>
        </w:rPr>
        <w:t>asps_geometry_3d_bit</w:t>
      </w:r>
      <w:r w:rsidR="00C514C6" w:rsidRPr="00A52AB8">
        <w:rPr>
          <w:color w:val="000000" w:themeColor="text1"/>
          <w:position w:val="6"/>
          <w:vertAlign w:val="superscript"/>
        </w:rPr>
        <w:t>_</w:t>
      </w:r>
      <w:r w:rsidR="00EC7C5E" w:rsidRPr="00A52AB8">
        <w:rPr>
          <w:color w:val="000000" w:themeColor="text1"/>
          <w:position w:val="6"/>
          <w:vertAlign w:val="superscript"/>
        </w:rPr>
        <w:t>depth_minus1</w:t>
      </w:r>
      <w:r w:rsidRPr="00A52AB8">
        <w:rPr>
          <w:color w:val="000000" w:themeColor="text1"/>
          <w:position w:val="6"/>
          <w:vertAlign w:val="superscript"/>
        </w:rPr>
        <w:t>+1</w:t>
      </w:r>
      <w:r w:rsidRPr="00A52AB8">
        <w:rPr>
          <w:color w:val="000000" w:themeColor="text1"/>
        </w:rPr>
        <w:t> </w:t>
      </w:r>
      <w:r w:rsidR="00165BB2" w:rsidRPr="00A52AB8">
        <w:rPr>
          <w:color w:val="000000" w:themeColor="text1"/>
        </w:rPr>
        <w:t>–</w:t>
      </w:r>
      <w:r w:rsidRPr="00A52AB8">
        <w:rPr>
          <w:color w:val="000000" w:themeColor="text1"/>
        </w:rPr>
        <w:t> 1</w:t>
      </w:r>
      <w:r w:rsidR="00165BB2" w:rsidRPr="00A52AB8">
        <w:rPr>
          <w:color w:val="000000" w:themeColor="text1"/>
        </w:rPr>
        <w:t> </w:t>
      </w:r>
      <w:r w:rsidRPr="00A52AB8">
        <w:rPr>
          <w:color w:val="000000" w:themeColor="text1"/>
        </w:rPr>
        <w:t>), inclusive.</w:t>
      </w:r>
      <w:r w:rsidR="007D7AA4" w:rsidRPr="00A52AB8">
        <w:rPr>
          <w:color w:val="000000" w:themeColor="text1"/>
        </w:rPr>
        <w:t xml:space="preserve"> When m</w:t>
      </w:r>
      <w:r w:rsidR="007356C4" w:rsidRPr="00A52AB8">
        <w:rPr>
          <w:color w:val="000000" w:themeColor="text1"/>
        </w:rPr>
        <w:t>pdu_3d_offset_d</w:t>
      </w:r>
      <w:r w:rsidR="00C4789A" w:rsidRPr="00A52AB8">
        <w:rPr>
          <w:lang w:eastAsia="ja-JP"/>
        </w:rPr>
        <w:t>[ </w:t>
      </w:r>
      <w:r w:rsidR="00632FA7" w:rsidRPr="00A52AB8">
        <w:rPr>
          <w:lang w:eastAsia="ja-JP"/>
        </w:rPr>
        <w:t>tileID</w:t>
      </w:r>
      <w:r w:rsidR="00C4789A" w:rsidRPr="00A52AB8">
        <w:rPr>
          <w:lang w:eastAsia="ja-JP"/>
        </w:rPr>
        <w:t> ]</w:t>
      </w:r>
      <w:r w:rsidR="007D7AA4" w:rsidRPr="00A52AB8">
        <w:rPr>
          <w:color w:val="000000" w:themeColor="text1"/>
        </w:rPr>
        <w:t>[ p ] is not present, it is inferred to be equal to 0.</w:t>
      </w:r>
    </w:p>
    <w:p w14:paraId="6FA5AAB2" w14:textId="42A3817F" w:rsidR="000C6920" w:rsidRPr="00A52AB8" w:rsidRDefault="003D3901">
      <w:pPr>
        <w:rPr>
          <w:color w:val="000000" w:themeColor="text1"/>
        </w:rPr>
      </w:pPr>
      <w:r w:rsidRPr="00A52AB8">
        <w:rPr>
          <w:b/>
          <w:color w:val="000000" w:themeColor="text1"/>
        </w:rPr>
        <w:t>m</w:t>
      </w:r>
      <w:r w:rsidR="007356C4" w:rsidRPr="00A52AB8">
        <w:rPr>
          <w:b/>
          <w:color w:val="000000" w:themeColor="text1"/>
        </w:rPr>
        <w:t>pdu_3d_range_d</w:t>
      </w:r>
      <w:r w:rsidR="00C4789A" w:rsidRPr="00A52AB8">
        <w:rPr>
          <w:lang w:eastAsia="ja-JP"/>
        </w:rPr>
        <w:t>[ </w:t>
      </w:r>
      <w:r w:rsidR="00632FA7" w:rsidRPr="00A52AB8">
        <w:rPr>
          <w:lang w:eastAsia="ja-JP"/>
        </w:rPr>
        <w:t>tileID</w:t>
      </w:r>
      <w:r w:rsidR="00C4789A" w:rsidRPr="00A52AB8">
        <w:rPr>
          <w:lang w:eastAsia="ja-JP"/>
        </w:rPr>
        <w:t> ]</w:t>
      </w:r>
      <w:r w:rsidR="000C6920" w:rsidRPr="00A52AB8">
        <w:rPr>
          <w:color w:val="000000" w:themeColor="text1"/>
        </w:rPr>
        <w:t>[ p ], if present,</w:t>
      </w:r>
      <w:r w:rsidR="000C6920" w:rsidRPr="00A52AB8" w:rsidDel="00550AC5">
        <w:rPr>
          <w:color w:val="000000" w:themeColor="text1"/>
        </w:rPr>
        <w:t xml:space="preserve"> </w:t>
      </w:r>
      <w:r w:rsidR="000C6920" w:rsidRPr="00A52AB8">
        <w:rPr>
          <w:color w:val="000000" w:themeColor="text1"/>
        </w:rPr>
        <w:t>specifies the difference between the nominal maximum value of the shift expected to be present in the reconstructed bit</w:t>
      </w:r>
      <w:r w:rsidR="00C514C6" w:rsidRPr="00A52AB8">
        <w:rPr>
          <w:color w:val="000000" w:themeColor="text1"/>
        </w:rPr>
        <w:t xml:space="preserve"> </w:t>
      </w:r>
      <w:r w:rsidR="000C6920" w:rsidRPr="00A52AB8">
        <w:rPr>
          <w:color w:val="000000" w:themeColor="text1"/>
        </w:rPr>
        <w:t xml:space="preserve">depth patch geometry samples, after conversion to their nominal representation, in </w:t>
      </w:r>
      <w:r w:rsidR="00165BB2" w:rsidRPr="00A52AB8">
        <w:rPr>
          <w:color w:val="000000" w:themeColor="text1"/>
        </w:rPr>
        <w:t xml:space="preserve">the </w:t>
      </w:r>
      <w:r w:rsidR="000C6920" w:rsidRPr="00A52AB8">
        <w:rPr>
          <w:color w:val="000000" w:themeColor="text1"/>
        </w:rPr>
        <w:t xml:space="preserve">patch with index p of the current atlas </w:t>
      </w:r>
      <w:r w:rsidR="00B8075E" w:rsidRPr="00A52AB8">
        <w:rPr>
          <w:color w:val="000000" w:themeColor="text1"/>
        </w:rPr>
        <w:t>tile</w:t>
      </w:r>
      <w:r w:rsidR="00C4789A" w:rsidRPr="00A52AB8">
        <w:rPr>
          <w:color w:val="000000" w:themeColor="text1"/>
        </w:rPr>
        <w:t>,</w:t>
      </w:r>
      <w:r w:rsidR="00F64F36" w:rsidRPr="00A52AB8">
        <w:rPr>
          <w:color w:val="000000" w:themeColor="text1"/>
        </w:rPr>
        <w:t xml:space="preserve"> </w:t>
      </w:r>
      <w:r w:rsidR="00A41AF4" w:rsidRPr="00A52AB8">
        <w:rPr>
          <w:color w:val="000000" w:themeColor="text1"/>
        </w:rPr>
        <w:t>with tile ID equal to tileID</w:t>
      </w:r>
      <w:r w:rsidR="00C4789A" w:rsidRPr="00A52AB8">
        <w:rPr>
          <w:color w:val="000000" w:themeColor="text1"/>
        </w:rPr>
        <w:t>,</w:t>
      </w:r>
      <w:r w:rsidR="000C6920" w:rsidRPr="00A52AB8">
        <w:rPr>
          <w:color w:val="000000" w:themeColor="text1"/>
        </w:rPr>
        <w:t xml:space="preserve"> along the normal axis and of the nominal maximum value of the shift expected to be present in the reconstructed bit</w:t>
      </w:r>
      <w:r w:rsidR="00C514C6" w:rsidRPr="00A52AB8">
        <w:rPr>
          <w:color w:val="000000" w:themeColor="text1"/>
        </w:rPr>
        <w:t xml:space="preserve"> </w:t>
      </w:r>
      <w:r w:rsidR="000C6920" w:rsidRPr="00A52AB8">
        <w:rPr>
          <w:color w:val="000000" w:themeColor="text1"/>
        </w:rPr>
        <w:t xml:space="preserve">depth patch geometry samples, after conversion to their nominal representation of the patch with index </w:t>
      </w:r>
      <w:r w:rsidR="002921E1" w:rsidRPr="00A52AB8">
        <w:rPr>
          <w:color w:val="000000" w:themeColor="text1"/>
        </w:rPr>
        <w:t>RefPatchIdx</w:t>
      </w:r>
      <w:r w:rsidR="000C6920" w:rsidRPr="00A52AB8">
        <w:rPr>
          <w:color w:val="000000" w:themeColor="text1"/>
        </w:rPr>
        <w:t xml:space="preserve"> in the atlas </w:t>
      </w:r>
      <w:r w:rsidR="00B8075E" w:rsidRPr="00A52AB8">
        <w:rPr>
          <w:color w:val="000000" w:themeColor="text1"/>
        </w:rPr>
        <w:t>tile</w:t>
      </w:r>
      <w:r w:rsidR="000C6920" w:rsidRPr="00A52AB8">
        <w:rPr>
          <w:color w:val="000000" w:themeColor="text1"/>
        </w:rPr>
        <w:t xml:space="preserve"> with the same </w:t>
      </w:r>
      <w:r w:rsidR="004A199F" w:rsidRPr="00A52AB8">
        <w:rPr>
          <w:color w:val="000000" w:themeColor="text1"/>
        </w:rPr>
        <w:t>ID</w:t>
      </w:r>
      <w:r w:rsidR="000C6920" w:rsidRPr="00A52AB8">
        <w:rPr>
          <w:color w:val="000000" w:themeColor="text1"/>
        </w:rPr>
        <w:t xml:space="preserve"> as the current </w:t>
      </w:r>
      <w:r w:rsidR="00B8075E" w:rsidRPr="00A52AB8">
        <w:rPr>
          <w:color w:val="000000" w:themeColor="text1"/>
        </w:rPr>
        <w:t>tile</w:t>
      </w:r>
      <w:r w:rsidR="000C6920" w:rsidRPr="00A52AB8">
        <w:rPr>
          <w:color w:val="000000" w:themeColor="text1"/>
        </w:rPr>
        <w:t xml:space="preserve"> in the atlas frame that corresponds to </w:t>
      </w:r>
      <w:r w:rsidR="00760159" w:rsidRPr="00A52AB8">
        <w:rPr>
          <w:color w:val="000000" w:themeColor="text1"/>
        </w:rPr>
        <w:t>r</w:t>
      </w:r>
      <w:r w:rsidR="000C6920" w:rsidRPr="00A52AB8">
        <w:rPr>
          <w:color w:val="000000" w:themeColor="text1"/>
        </w:rPr>
        <w:t xml:space="preserve">efIdx, </w:t>
      </w:r>
      <w:r w:rsidR="007D7AA4" w:rsidRPr="00A52AB8">
        <w:rPr>
          <w:color w:val="000000" w:themeColor="text1"/>
        </w:rPr>
        <w:t>M</w:t>
      </w:r>
      <w:r w:rsidR="000C6920" w:rsidRPr="00A52AB8">
        <w:rPr>
          <w:color w:val="000000" w:themeColor="text1"/>
        </w:rPr>
        <w:t>pdu</w:t>
      </w:r>
      <w:r w:rsidR="001A4D59" w:rsidRPr="00A52AB8">
        <w:rPr>
          <w:color w:val="000000" w:themeColor="text1"/>
        </w:rPr>
        <w:t>3dRangeD</w:t>
      </w:r>
      <w:r w:rsidR="00C4789A" w:rsidRPr="00A52AB8">
        <w:rPr>
          <w:lang w:eastAsia="ja-JP"/>
        </w:rPr>
        <w:t>[ </w:t>
      </w:r>
      <w:r w:rsidR="00632FA7" w:rsidRPr="00A52AB8">
        <w:rPr>
          <w:lang w:eastAsia="ja-JP"/>
        </w:rPr>
        <w:t>tileID</w:t>
      </w:r>
      <w:r w:rsidR="00C4789A" w:rsidRPr="00A52AB8">
        <w:rPr>
          <w:lang w:eastAsia="ja-JP"/>
        </w:rPr>
        <w:t> ]</w:t>
      </w:r>
      <w:r w:rsidR="000C6920" w:rsidRPr="00A52AB8">
        <w:rPr>
          <w:color w:val="000000" w:themeColor="text1"/>
        </w:rPr>
        <w:t>[ p ], as follows:</w:t>
      </w:r>
    </w:p>
    <w:p w14:paraId="41925551" w14:textId="725111A2" w:rsidR="000C6920" w:rsidRPr="00A52AB8" w:rsidRDefault="000C6920">
      <w:r w:rsidRPr="00A52AB8">
        <w:rPr>
          <w:color w:val="000000" w:themeColor="text1"/>
        </w:rPr>
        <w:tab/>
      </w:r>
      <w:r w:rsidR="007D7AA4" w:rsidRPr="00A52AB8">
        <w:rPr>
          <w:color w:val="000000" w:themeColor="text1"/>
        </w:rPr>
        <w:t>M</w:t>
      </w:r>
      <w:r w:rsidRPr="00A52AB8">
        <w:rPr>
          <w:color w:val="000000" w:themeColor="text1"/>
        </w:rPr>
        <w:t>pdu</w:t>
      </w:r>
      <w:r w:rsidR="001A4D59" w:rsidRPr="00A52AB8">
        <w:rPr>
          <w:color w:val="000000" w:themeColor="text1"/>
        </w:rPr>
        <w:t>3dRangeD</w:t>
      </w:r>
      <w:r w:rsidR="00C4789A" w:rsidRPr="00A52AB8">
        <w:rPr>
          <w:lang w:eastAsia="ja-JP"/>
        </w:rPr>
        <w:t>[ </w:t>
      </w:r>
      <w:r w:rsidR="00632FA7" w:rsidRPr="00A52AB8">
        <w:rPr>
          <w:lang w:eastAsia="ja-JP"/>
        </w:rPr>
        <w:t>tileID</w:t>
      </w:r>
      <w:r w:rsidR="00C4789A" w:rsidRPr="00A52AB8">
        <w:rPr>
          <w:lang w:eastAsia="ja-JP"/>
        </w:rPr>
        <w:t> ]</w:t>
      </w:r>
      <w:r w:rsidRPr="00A52AB8">
        <w:rPr>
          <w:color w:val="000000" w:themeColor="text1"/>
        </w:rPr>
        <w:t>[ p ]</w:t>
      </w:r>
      <w:r w:rsidR="00D47707" w:rsidRPr="00A52AB8">
        <w:rPr>
          <w:color w:val="000000" w:themeColor="text1"/>
        </w:rPr>
        <w:t> = </w:t>
      </w:r>
      <w:r w:rsidRPr="00A52AB8">
        <w:rPr>
          <w:color w:val="000000" w:themeColor="text1"/>
        </w:rPr>
        <w:t>(</w:t>
      </w:r>
      <w:r w:rsidR="00D75B34" w:rsidRPr="00A52AB8">
        <w:rPr>
          <w:color w:val="000000" w:themeColor="text1"/>
        </w:rPr>
        <w:t>m</w:t>
      </w:r>
      <w:r w:rsidR="007356C4" w:rsidRPr="00A52AB8">
        <w:rPr>
          <w:color w:val="000000" w:themeColor="text1"/>
        </w:rPr>
        <w:t>pdu_3d_range_d</w:t>
      </w:r>
      <w:r w:rsidR="00C4789A" w:rsidRPr="00A52AB8">
        <w:rPr>
          <w:lang w:eastAsia="ja-JP"/>
        </w:rPr>
        <w:t>[ </w:t>
      </w:r>
      <w:r w:rsidR="00632FA7" w:rsidRPr="00A52AB8">
        <w:rPr>
          <w:lang w:eastAsia="ja-JP"/>
        </w:rPr>
        <w:t>tileID</w:t>
      </w:r>
      <w:r w:rsidR="00C4789A" w:rsidRPr="00A52AB8">
        <w:rPr>
          <w:lang w:eastAsia="ja-JP"/>
        </w:rPr>
        <w:t> ]</w:t>
      </w:r>
      <w:r w:rsidRPr="00A52AB8">
        <w:rPr>
          <w:color w:val="000000" w:themeColor="text1"/>
        </w:rPr>
        <w:t>[ p ]</w:t>
      </w:r>
      <w:r w:rsidR="008768E9" w:rsidRPr="00A52AB8">
        <w:rPr>
          <w:color w:val="000000" w:themeColor="text1"/>
        </w:rPr>
        <w:t> </w:t>
      </w:r>
      <w:r w:rsidR="00726AAE" w:rsidRPr="00A52AB8">
        <w:rPr>
          <w:color w:val="000000" w:themeColor="text1"/>
        </w:rPr>
        <w:t>==</w:t>
      </w:r>
      <w:r w:rsidR="00D47707" w:rsidRPr="00A52AB8">
        <w:rPr>
          <w:color w:val="000000" w:themeColor="text1"/>
        </w:rPr>
        <w:t> </w:t>
      </w:r>
      <w:r w:rsidRPr="00A52AB8">
        <w:rPr>
          <w:color w:val="000000" w:themeColor="text1"/>
        </w:rPr>
        <w:t>0</w:t>
      </w:r>
      <w:r w:rsidR="00165BB2" w:rsidRPr="00A52AB8">
        <w:rPr>
          <w:color w:val="000000" w:themeColor="text1"/>
        </w:rPr>
        <w:t>)</w:t>
      </w:r>
      <w:r w:rsidRPr="00A52AB8">
        <w:rPr>
          <w:color w:val="000000" w:themeColor="text1"/>
        </w:rPr>
        <w:t> ? </w:t>
      </w:r>
      <w:r w:rsidR="00165BB2" w:rsidRPr="00A52AB8">
        <w:rPr>
          <w:color w:val="000000" w:themeColor="text1"/>
        </w:rPr>
        <w:br/>
      </w:r>
      <w:r w:rsidR="00165BB2" w:rsidRPr="00A52AB8">
        <w:rPr>
          <w:color w:val="000000" w:themeColor="text1"/>
        </w:rPr>
        <w:tab/>
      </w:r>
      <w:r w:rsidR="00165BB2" w:rsidRPr="00A52AB8">
        <w:rPr>
          <w:color w:val="000000" w:themeColor="text1"/>
        </w:rPr>
        <w:tab/>
      </w:r>
      <w:r w:rsidR="00165BB2" w:rsidRPr="00A52AB8">
        <w:rPr>
          <w:color w:val="000000" w:themeColor="text1"/>
        </w:rPr>
        <w:tab/>
      </w:r>
      <w:r w:rsidRPr="00A52AB8">
        <w:rPr>
          <w:color w:val="000000" w:themeColor="text1"/>
        </w:rPr>
        <w:t>0</w:t>
      </w:r>
      <w:r w:rsidR="00165BB2" w:rsidRPr="00A52AB8">
        <w:rPr>
          <w:color w:val="000000" w:themeColor="text1"/>
        </w:rPr>
        <w:t> </w:t>
      </w:r>
      <w:r w:rsidRPr="00A52AB8">
        <w:rPr>
          <w:color w:val="000000" w:themeColor="text1"/>
        </w:rPr>
        <w:t>: (</w:t>
      </w:r>
      <w:r w:rsidR="00D75B34" w:rsidRPr="00A52AB8">
        <w:rPr>
          <w:color w:val="000000" w:themeColor="text1"/>
        </w:rPr>
        <w:t>m</w:t>
      </w:r>
      <w:r w:rsidR="007356C4" w:rsidRPr="00A52AB8">
        <w:rPr>
          <w:color w:val="000000" w:themeColor="text1"/>
        </w:rPr>
        <w:t>pdu_3d_range_d</w:t>
      </w:r>
      <w:r w:rsidR="00C4789A" w:rsidRPr="00A52AB8">
        <w:rPr>
          <w:lang w:eastAsia="ja-JP"/>
        </w:rPr>
        <w:t>[ </w:t>
      </w:r>
      <w:r w:rsidR="00632FA7" w:rsidRPr="00A52AB8">
        <w:rPr>
          <w:lang w:eastAsia="ja-JP"/>
        </w:rPr>
        <w:t>tileID</w:t>
      </w:r>
      <w:r w:rsidR="00C4789A" w:rsidRPr="00A52AB8">
        <w:rPr>
          <w:lang w:eastAsia="ja-JP"/>
        </w:rPr>
        <w:t> ]</w:t>
      </w:r>
      <w:r w:rsidRPr="00A52AB8">
        <w:rPr>
          <w:color w:val="000000" w:themeColor="text1"/>
        </w:rPr>
        <w:t>[ p ] &lt;&lt;</w:t>
      </w:r>
      <w:r w:rsidR="00766CC9" w:rsidRPr="00A52AB8">
        <w:rPr>
          <w:color w:val="000000" w:themeColor="text1"/>
        </w:rPr>
        <w:t> </w:t>
      </w:r>
      <w:r w:rsidR="007356C4" w:rsidRPr="00A52AB8">
        <w:rPr>
          <w:color w:val="000000" w:themeColor="text1"/>
        </w:rPr>
        <w:t>ath_pos_delta_max_d_quantizer</w:t>
      </w:r>
      <w:r w:rsidRPr="00A52AB8">
        <w:rPr>
          <w:color w:val="000000" w:themeColor="text1"/>
        </w:rPr>
        <w:t> ) – 1</w:t>
      </w:r>
      <w:r w:rsidRPr="00A52AB8">
        <w:rPr>
          <w:color w:val="000000" w:themeColor="text1"/>
        </w:rPr>
        <w:tab/>
      </w:r>
      <w:r w:rsidRPr="00A52AB8">
        <w:t>(</w:t>
      </w:r>
      <w:r w:rsidRPr="00496A4D">
        <w:fldChar w:fldCharType="begin"/>
      </w:r>
      <w:r w:rsidRPr="00A52AB8">
        <w:instrText xml:space="preserve"> </w:instrText>
      </w:r>
      <w:r w:rsidR="00646520" w:rsidRPr="00A52AB8">
        <w:instrText>SEQ Equation \* ARABIC \n</w:instrText>
      </w:r>
      <w:r w:rsidRPr="00A52AB8">
        <w:instrText xml:space="preserve"> </w:instrText>
      </w:r>
      <w:r w:rsidRPr="00496A4D">
        <w:fldChar w:fldCharType="separate"/>
      </w:r>
      <w:r w:rsidR="00507A67">
        <w:rPr>
          <w:noProof/>
        </w:rPr>
        <w:t>34</w:t>
      </w:r>
      <w:r w:rsidRPr="00496A4D">
        <w:fldChar w:fldCharType="end"/>
      </w:r>
      <w:r w:rsidRPr="00A52AB8">
        <w:t>)</w:t>
      </w:r>
    </w:p>
    <w:p w14:paraId="01FC4423" w14:textId="77777777" w:rsidR="0050235C" w:rsidRPr="00A52AB8" w:rsidRDefault="000C6920" w:rsidP="00046AAB">
      <w:pPr>
        <w:rPr>
          <w:color w:val="000000" w:themeColor="text1"/>
          <w:vertAlign w:val="superscript"/>
        </w:rPr>
      </w:pPr>
      <w:r w:rsidRPr="00A52AB8">
        <w:rPr>
          <w:color w:val="000000" w:themeColor="text1"/>
        </w:rPr>
        <w:t xml:space="preserve">If </w:t>
      </w:r>
      <w:r w:rsidR="00D75B34" w:rsidRPr="00A52AB8">
        <w:rPr>
          <w:color w:val="000000" w:themeColor="text1"/>
        </w:rPr>
        <w:t>m</w:t>
      </w:r>
      <w:r w:rsidR="007356C4" w:rsidRPr="00A52AB8">
        <w:rPr>
          <w:color w:val="000000" w:themeColor="text1"/>
        </w:rPr>
        <w:t>pdu_3d_range_d</w:t>
      </w:r>
      <w:r w:rsidR="00C4789A" w:rsidRPr="00A52AB8">
        <w:rPr>
          <w:lang w:eastAsia="ja-JP"/>
        </w:rPr>
        <w:t>[ </w:t>
      </w:r>
      <w:r w:rsidR="00632FA7" w:rsidRPr="00A52AB8">
        <w:rPr>
          <w:lang w:eastAsia="ja-JP"/>
        </w:rPr>
        <w:t>tileID</w:t>
      </w:r>
      <w:r w:rsidR="00C4789A" w:rsidRPr="00A52AB8">
        <w:rPr>
          <w:lang w:eastAsia="ja-JP"/>
        </w:rPr>
        <w:t> ]</w:t>
      </w:r>
      <w:r w:rsidRPr="00A52AB8">
        <w:rPr>
          <w:color w:val="000000" w:themeColor="text1"/>
        </w:rPr>
        <w:t xml:space="preserve">[ p ] is not present the value of </w:t>
      </w:r>
      <w:r w:rsidR="00D75B34" w:rsidRPr="00A52AB8">
        <w:rPr>
          <w:color w:val="000000" w:themeColor="text1"/>
        </w:rPr>
        <w:t>M</w:t>
      </w:r>
      <w:r w:rsidRPr="00A52AB8">
        <w:rPr>
          <w:color w:val="000000" w:themeColor="text1"/>
        </w:rPr>
        <w:t>pdu</w:t>
      </w:r>
      <w:r w:rsidR="001A4D59" w:rsidRPr="00A52AB8">
        <w:rPr>
          <w:color w:val="000000" w:themeColor="text1"/>
        </w:rPr>
        <w:t>3dRangeD</w:t>
      </w:r>
      <w:r w:rsidR="00C4789A" w:rsidRPr="00A52AB8">
        <w:rPr>
          <w:lang w:eastAsia="ja-JP"/>
        </w:rPr>
        <w:t>[ </w:t>
      </w:r>
      <w:r w:rsidR="00632FA7" w:rsidRPr="00A52AB8">
        <w:rPr>
          <w:lang w:eastAsia="ja-JP"/>
        </w:rPr>
        <w:t>tileID</w:t>
      </w:r>
      <w:r w:rsidR="00C4789A" w:rsidRPr="00A52AB8">
        <w:rPr>
          <w:lang w:eastAsia="ja-JP"/>
        </w:rPr>
        <w:t> ]</w:t>
      </w:r>
      <w:r w:rsidRPr="00A52AB8">
        <w:rPr>
          <w:color w:val="000000" w:themeColor="text1"/>
        </w:rPr>
        <w:t>[ p ]</w:t>
      </w:r>
      <w:r w:rsidR="00852A3D" w:rsidRPr="00A52AB8">
        <w:rPr>
          <w:color w:val="000000" w:themeColor="text1"/>
        </w:rPr>
        <w:t xml:space="preserve"> </w:t>
      </w:r>
      <w:r w:rsidRPr="00A52AB8">
        <w:rPr>
          <w:color w:val="000000" w:themeColor="text1"/>
        </w:rPr>
        <w:t xml:space="preserve">is assumed to be equal to </w:t>
      </w:r>
      <w:r w:rsidR="00751546" w:rsidRPr="00A52AB8">
        <w:rPr>
          <w:color w:val="000000" w:themeColor="text1"/>
        </w:rPr>
        <w:t>0</w:t>
      </w:r>
      <w:r w:rsidRPr="00A52AB8">
        <w:rPr>
          <w:color w:val="000000" w:themeColor="text1"/>
        </w:rPr>
        <w:t>.</w:t>
      </w:r>
    </w:p>
    <w:p w14:paraId="21FBAC4C" w14:textId="4E608568" w:rsidR="0050235C" w:rsidRPr="00A52AB8" w:rsidRDefault="00D75B34">
      <w:pPr>
        <w:rPr>
          <w:color w:val="000000" w:themeColor="text1"/>
        </w:rPr>
      </w:pPr>
      <w:r w:rsidRPr="00A52AB8">
        <w:rPr>
          <w:b/>
          <w:color w:val="000000" w:themeColor="text1"/>
        </w:rPr>
        <w:t>mpdu_override_plr_flag</w:t>
      </w:r>
      <w:r w:rsidR="00C4789A" w:rsidRPr="00A52AB8">
        <w:rPr>
          <w:lang w:eastAsia="ja-JP"/>
        </w:rPr>
        <w:t>[ </w:t>
      </w:r>
      <w:r w:rsidR="00632FA7" w:rsidRPr="00A52AB8">
        <w:rPr>
          <w:lang w:eastAsia="ja-JP"/>
        </w:rPr>
        <w:t>tileID</w:t>
      </w:r>
      <w:r w:rsidR="00C4789A" w:rsidRPr="00A52AB8">
        <w:rPr>
          <w:lang w:eastAsia="ja-JP"/>
        </w:rPr>
        <w:t> ]</w:t>
      </w:r>
      <w:r w:rsidR="001F3C1E" w:rsidRPr="00A52AB8">
        <w:rPr>
          <w:color w:val="000000" w:themeColor="text1"/>
        </w:rPr>
        <w:t>[ </w:t>
      </w:r>
      <w:r w:rsidR="00751597" w:rsidRPr="00A52AB8">
        <w:rPr>
          <w:color w:val="000000" w:themeColor="text1"/>
        </w:rPr>
        <w:t>p </w:t>
      </w:r>
      <w:r w:rsidR="001F3C1E" w:rsidRPr="00A52AB8">
        <w:rPr>
          <w:color w:val="000000" w:themeColor="text1"/>
        </w:rPr>
        <w:t>]</w:t>
      </w:r>
      <w:r w:rsidRPr="00A52AB8">
        <w:rPr>
          <w:color w:val="000000" w:themeColor="text1"/>
        </w:rPr>
        <w:t xml:space="preserve"> specifies whether the point local reconstruction parameters may be overwritten by new parameters that are present in the bi</w:t>
      </w:r>
      <w:r w:rsidR="00F22BD1" w:rsidRPr="00A52AB8">
        <w:rPr>
          <w:color w:val="000000" w:themeColor="text1"/>
        </w:rPr>
        <w:t>t</w:t>
      </w:r>
      <w:r w:rsidRPr="00A52AB8">
        <w:rPr>
          <w:color w:val="000000" w:themeColor="text1"/>
        </w:rPr>
        <w:t>stream for the patch</w:t>
      </w:r>
      <w:r w:rsidR="00C4789A" w:rsidRPr="00A52AB8">
        <w:rPr>
          <w:color w:val="000000" w:themeColor="text1"/>
        </w:rPr>
        <w:t xml:space="preserve"> with index p of the current atlas tile, </w:t>
      </w:r>
      <w:r w:rsidR="00A41AF4" w:rsidRPr="00A52AB8">
        <w:rPr>
          <w:color w:val="000000" w:themeColor="text1"/>
        </w:rPr>
        <w:t>with tile ID equal to tileID</w:t>
      </w:r>
      <w:r w:rsidRPr="00A52AB8">
        <w:rPr>
          <w:color w:val="000000" w:themeColor="text1"/>
        </w:rPr>
        <w:t>.</w:t>
      </w:r>
    </w:p>
    <w:p w14:paraId="4586D493" w14:textId="45CE9A21" w:rsidR="00550AC5" w:rsidRPr="00A52AB8" w:rsidRDefault="00393F29" w:rsidP="005C26E9">
      <w:pPr>
        <w:pStyle w:val="Heading4"/>
      </w:pPr>
      <w:r w:rsidRPr="00A52AB8">
        <w:t xml:space="preserve">Inter </w:t>
      </w:r>
      <w:r w:rsidR="002258DC" w:rsidRPr="00A52AB8">
        <w:t>p</w:t>
      </w:r>
      <w:r w:rsidR="005327F6" w:rsidRPr="00A52AB8">
        <w:t>atch data unit semantics</w:t>
      </w:r>
      <w:bookmarkStart w:id="1255" w:name="_Toc986734"/>
      <w:bookmarkStart w:id="1256" w:name="_Toc1001275"/>
      <w:bookmarkStart w:id="1257" w:name="_Toc1001812"/>
      <w:bookmarkStart w:id="1258" w:name="_Toc1002626"/>
      <w:bookmarkStart w:id="1259" w:name="_Toc1195863"/>
      <w:bookmarkStart w:id="1260" w:name="_Toc1198883"/>
      <w:bookmarkStart w:id="1261" w:name="_Toc1380540"/>
      <w:bookmarkStart w:id="1262" w:name="_Toc1466906"/>
      <w:bookmarkStart w:id="1263" w:name="_Toc1476877"/>
      <w:bookmarkStart w:id="1264" w:name="_Toc1743277"/>
      <w:bookmarkStart w:id="1265" w:name="_Toc1743822"/>
      <w:bookmarkStart w:id="1266" w:name="_Toc986735"/>
      <w:bookmarkStart w:id="1267" w:name="_Toc1001276"/>
      <w:bookmarkStart w:id="1268" w:name="_Toc1001813"/>
      <w:bookmarkStart w:id="1269" w:name="_Toc1002627"/>
      <w:bookmarkStart w:id="1270" w:name="_Toc1195864"/>
      <w:bookmarkStart w:id="1271" w:name="_Toc1198884"/>
      <w:bookmarkStart w:id="1272" w:name="_Toc1380541"/>
      <w:bookmarkStart w:id="1273" w:name="_Toc1466907"/>
      <w:bookmarkStart w:id="1274" w:name="_Toc1476878"/>
      <w:bookmarkStart w:id="1275" w:name="_Toc1743278"/>
      <w:bookmarkStart w:id="1276" w:name="_Toc1743823"/>
      <w:bookmarkStart w:id="1277" w:name="_Toc986736"/>
      <w:bookmarkStart w:id="1278" w:name="_Toc1001277"/>
      <w:bookmarkStart w:id="1279" w:name="_Toc1001814"/>
      <w:bookmarkStart w:id="1280" w:name="_Toc1002628"/>
      <w:bookmarkStart w:id="1281" w:name="_Toc1195865"/>
      <w:bookmarkStart w:id="1282" w:name="_Toc1198885"/>
      <w:bookmarkStart w:id="1283" w:name="_Toc1380542"/>
      <w:bookmarkStart w:id="1284" w:name="_Toc1466908"/>
      <w:bookmarkStart w:id="1285" w:name="_Toc1476879"/>
      <w:bookmarkStart w:id="1286" w:name="_Toc1743279"/>
      <w:bookmarkStart w:id="1287" w:name="_Toc1743824"/>
      <w:bookmarkStart w:id="1288" w:name="_Toc986738"/>
      <w:bookmarkStart w:id="1289" w:name="_Toc1001279"/>
      <w:bookmarkStart w:id="1290" w:name="_Toc1001816"/>
      <w:bookmarkStart w:id="1291" w:name="_Toc1002630"/>
      <w:bookmarkStart w:id="1292" w:name="_Toc1195867"/>
      <w:bookmarkStart w:id="1293" w:name="_Toc1198887"/>
      <w:bookmarkStart w:id="1294" w:name="_Toc1380544"/>
      <w:bookmarkStart w:id="1295" w:name="_Toc1466910"/>
      <w:bookmarkStart w:id="1296" w:name="_Toc1476881"/>
      <w:bookmarkStart w:id="1297" w:name="_Toc1743281"/>
      <w:bookmarkStart w:id="1298" w:name="_Toc1743826"/>
      <w:bookmarkStart w:id="1299" w:name="_Toc986740"/>
      <w:bookmarkStart w:id="1300" w:name="_Toc1001281"/>
      <w:bookmarkStart w:id="1301" w:name="_Toc1001818"/>
      <w:bookmarkStart w:id="1302" w:name="_Toc1002632"/>
      <w:bookmarkStart w:id="1303" w:name="_Toc1195869"/>
      <w:bookmarkStart w:id="1304" w:name="_Toc1198889"/>
      <w:bookmarkStart w:id="1305" w:name="_Toc1380546"/>
      <w:bookmarkStart w:id="1306" w:name="_Toc1466912"/>
      <w:bookmarkStart w:id="1307" w:name="_Toc1476883"/>
      <w:bookmarkStart w:id="1308" w:name="_Toc1743283"/>
      <w:bookmarkStart w:id="1309" w:name="_Toc1743828"/>
      <w:bookmarkStart w:id="1310" w:name="_Toc986741"/>
      <w:bookmarkStart w:id="1311" w:name="_Toc1001282"/>
      <w:bookmarkStart w:id="1312" w:name="_Toc1001819"/>
      <w:bookmarkStart w:id="1313" w:name="_Toc1002633"/>
      <w:bookmarkStart w:id="1314" w:name="_Toc1195870"/>
      <w:bookmarkStart w:id="1315" w:name="_Toc1198890"/>
      <w:bookmarkStart w:id="1316" w:name="_Toc1380547"/>
      <w:bookmarkStart w:id="1317" w:name="_Toc1466913"/>
      <w:bookmarkStart w:id="1318" w:name="_Toc1476884"/>
      <w:bookmarkStart w:id="1319" w:name="_Toc1743284"/>
      <w:bookmarkStart w:id="1320" w:name="_Toc1743829"/>
      <w:bookmarkStart w:id="1321" w:name="_Toc986743"/>
      <w:bookmarkStart w:id="1322" w:name="_Toc1001284"/>
      <w:bookmarkStart w:id="1323" w:name="_Toc1001821"/>
      <w:bookmarkStart w:id="1324" w:name="_Toc1002635"/>
      <w:bookmarkStart w:id="1325" w:name="_Toc1195872"/>
      <w:bookmarkStart w:id="1326" w:name="_Toc1198892"/>
      <w:bookmarkStart w:id="1327" w:name="_Toc1380549"/>
      <w:bookmarkStart w:id="1328" w:name="_Toc1466915"/>
      <w:bookmarkStart w:id="1329" w:name="_Toc1476886"/>
      <w:bookmarkStart w:id="1330" w:name="_Toc1743286"/>
      <w:bookmarkStart w:id="1331" w:name="_Toc1743831"/>
      <w:bookmarkStart w:id="1332" w:name="_Toc986744"/>
      <w:bookmarkStart w:id="1333" w:name="_Toc1001285"/>
      <w:bookmarkStart w:id="1334" w:name="_Toc1001822"/>
      <w:bookmarkStart w:id="1335" w:name="_Toc1002636"/>
      <w:bookmarkStart w:id="1336" w:name="_Toc1195873"/>
      <w:bookmarkStart w:id="1337" w:name="_Toc1198893"/>
      <w:bookmarkStart w:id="1338" w:name="_Toc1380550"/>
      <w:bookmarkStart w:id="1339" w:name="_Toc1466916"/>
      <w:bookmarkStart w:id="1340" w:name="_Toc1476887"/>
      <w:bookmarkStart w:id="1341" w:name="_Toc1743287"/>
      <w:bookmarkStart w:id="1342" w:name="_Toc1743832"/>
      <w:bookmarkStart w:id="1343" w:name="_Toc986746"/>
      <w:bookmarkStart w:id="1344" w:name="_Toc1001287"/>
      <w:bookmarkStart w:id="1345" w:name="_Toc1001824"/>
      <w:bookmarkStart w:id="1346" w:name="_Toc1002638"/>
      <w:bookmarkStart w:id="1347" w:name="_Toc1195875"/>
      <w:bookmarkStart w:id="1348" w:name="_Toc1198895"/>
      <w:bookmarkStart w:id="1349" w:name="_Toc1380552"/>
      <w:bookmarkStart w:id="1350" w:name="_Toc1466918"/>
      <w:bookmarkStart w:id="1351" w:name="_Toc1476889"/>
      <w:bookmarkStart w:id="1352" w:name="_Toc1743289"/>
      <w:bookmarkStart w:id="1353" w:name="_Toc174383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p>
    <w:p w14:paraId="6095E384" w14:textId="5D36402F" w:rsidR="00FB7E1A" w:rsidRPr="00A52AB8" w:rsidRDefault="00FB7E1A">
      <w:pPr>
        <w:rPr>
          <w:color w:val="000000" w:themeColor="text1"/>
        </w:rPr>
      </w:pPr>
      <w:r w:rsidRPr="00A52AB8">
        <w:rPr>
          <w:b/>
          <w:color w:val="000000" w:themeColor="text1"/>
        </w:rPr>
        <w:t>ipdu_ref_index</w:t>
      </w:r>
      <w:r w:rsidR="00C4789A" w:rsidRPr="00A52AB8">
        <w:rPr>
          <w:lang w:eastAsia="ja-JP"/>
        </w:rPr>
        <w:t>[ </w:t>
      </w:r>
      <w:r w:rsidR="00632FA7" w:rsidRPr="00A52AB8">
        <w:rPr>
          <w:lang w:eastAsia="ja-JP"/>
        </w:rPr>
        <w:t>tileID</w:t>
      </w:r>
      <w:r w:rsidR="00C4789A" w:rsidRPr="00A52AB8">
        <w:rPr>
          <w:lang w:eastAsia="ja-JP"/>
        </w:rPr>
        <w:t> ]</w:t>
      </w:r>
      <w:r w:rsidRPr="00A52AB8">
        <w:rPr>
          <w:color w:val="000000" w:themeColor="text1"/>
        </w:rPr>
        <w:t>[ p ] specifies the atlas reference frame index</w:t>
      </w:r>
      <w:r w:rsidR="000C6920" w:rsidRPr="00A52AB8">
        <w:rPr>
          <w:color w:val="000000" w:themeColor="text1"/>
        </w:rPr>
        <w:t xml:space="preserve">, </w:t>
      </w:r>
      <w:r w:rsidR="00FA194A" w:rsidRPr="00A52AB8">
        <w:rPr>
          <w:color w:val="000000" w:themeColor="text1"/>
        </w:rPr>
        <w:t>r</w:t>
      </w:r>
      <w:r w:rsidR="000C6920" w:rsidRPr="00A52AB8">
        <w:rPr>
          <w:color w:val="000000" w:themeColor="text1"/>
        </w:rPr>
        <w:t>efIdx ,</w:t>
      </w:r>
      <w:r w:rsidRPr="00A52AB8">
        <w:rPr>
          <w:color w:val="000000" w:themeColor="text1"/>
        </w:rPr>
        <w:t xml:space="preserve"> for the current patch</w:t>
      </w:r>
      <w:r w:rsidR="00C4789A" w:rsidRPr="00A52AB8">
        <w:rPr>
          <w:color w:val="000000" w:themeColor="text1"/>
        </w:rPr>
        <w:t xml:space="preserve"> with index p of the current atlas tile, </w:t>
      </w:r>
      <w:r w:rsidR="00A41AF4" w:rsidRPr="00A52AB8">
        <w:rPr>
          <w:color w:val="000000" w:themeColor="text1"/>
        </w:rPr>
        <w:t>with tile ID equal to tileID</w:t>
      </w:r>
      <w:r w:rsidRPr="00A52AB8">
        <w:rPr>
          <w:color w:val="000000" w:themeColor="text1"/>
        </w:rPr>
        <w:t xml:space="preserve">. </w:t>
      </w:r>
      <w:r w:rsidR="00B560AC" w:rsidRPr="00A52AB8">
        <w:rPr>
          <w:color w:val="000000" w:themeColor="text1"/>
        </w:rPr>
        <w:t>The value of ipdu_ref_index[</w:t>
      </w:r>
      <w:r w:rsidR="00AE7B2C" w:rsidRPr="00A52AB8">
        <w:rPr>
          <w:color w:val="000000" w:themeColor="text1"/>
        </w:rPr>
        <w:t> </w:t>
      </w:r>
      <w:r w:rsidR="00632FA7" w:rsidRPr="00A52AB8">
        <w:rPr>
          <w:color w:val="000000" w:themeColor="text1"/>
        </w:rPr>
        <w:t>tileID</w:t>
      </w:r>
      <w:r w:rsidR="00AE7B2C" w:rsidRPr="00A52AB8">
        <w:rPr>
          <w:color w:val="000000" w:themeColor="text1"/>
        </w:rPr>
        <w:t> </w:t>
      </w:r>
      <w:r w:rsidR="00B560AC" w:rsidRPr="00A52AB8">
        <w:rPr>
          <w:color w:val="000000" w:themeColor="text1"/>
        </w:rPr>
        <w:t>][</w:t>
      </w:r>
      <w:r w:rsidR="00AE7B2C" w:rsidRPr="00A52AB8">
        <w:rPr>
          <w:color w:val="000000" w:themeColor="text1"/>
        </w:rPr>
        <w:t> </w:t>
      </w:r>
      <w:r w:rsidR="00B560AC" w:rsidRPr="00A52AB8">
        <w:rPr>
          <w:color w:val="000000" w:themeColor="text1"/>
        </w:rPr>
        <w:t>p</w:t>
      </w:r>
      <w:r w:rsidR="00AE7B2C" w:rsidRPr="00A52AB8">
        <w:rPr>
          <w:color w:val="000000" w:themeColor="text1"/>
        </w:rPr>
        <w:t> </w:t>
      </w:r>
      <w:r w:rsidR="00B560AC" w:rsidRPr="00A52AB8">
        <w:rPr>
          <w:color w:val="000000" w:themeColor="text1"/>
        </w:rPr>
        <w:t>] shall be in the range of 0 to NumRefIdxActive</w:t>
      </w:r>
      <w:r w:rsidR="00397CD5" w:rsidRPr="00A52AB8">
        <w:rPr>
          <w:color w:val="000000" w:themeColor="text1"/>
        </w:rPr>
        <w:t xml:space="preserve"> – </w:t>
      </w:r>
      <w:r w:rsidR="00C6666F" w:rsidRPr="00A52AB8">
        <w:rPr>
          <w:color w:val="000000" w:themeColor="text1"/>
        </w:rPr>
        <w:t>1</w:t>
      </w:r>
      <w:r w:rsidR="00B560AC" w:rsidRPr="00A52AB8">
        <w:rPr>
          <w:color w:val="000000" w:themeColor="text1"/>
        </w:rPr>
        <w:t xml:space="preserve">, inclusive. </w:t>
      </w:r>
      <w:r w:rsidR="000C6920" w:rsidRPr="00A52AB8">
        <w:rPr>
          <w:color w:val="000000" w:themeColor="text1"/>
        </w:rPr>
        <w:t>When ipdu_ref_index</w:t>
      </w:r>
      <w:r w:rsidR="00C4789A" w:rsidRPr="00A52AB8">
        <w:rPr>
          <w:lang w:eastAsia="ja-JP"/>
        </w:rPr>
        <w:t>[ </w:t>
      </w:r>
      <w:r w:rsidR="00632FA7" w:rsidRPr="00A52AB8">
        <w:rPr>
          <w:lang w:eastAsia="ja-JP"/>
        </w:rPr>
        <w:t>tileID</w:t>
      </w:r>
      <w:r w:rsidR="00C4789A" w:rsidRPr="00A52AB8">
        <w:rPr>
          <w:lang w:eastAsia="ja-JP"/>
        </w:rPr>
        <w:t> ]</w:t>
      </w:r>
      <w:r w:rsidR="000C6920" w:rsidRPr="00A52AB8">
        <w:rPr>
          <w:color w:val="000000" w:themeColor="text1"/>
        </w:rPr>
        <w:t>[ p ] is not present, it is inferred to be equal to 0.</w:t>
      </w:r>
    </w:p>
    <w:p w14:paraId="7146302B" w14:textId="4E581082" w:rsidR="004C1ACF" w:rsidRPr="00A52AB8" w:rsidRDefault="008E0086">
      <w:pPr>
        <w:rPr>
          <w:color w:val="000000" w:themeColor="text1"/>
        </w:rPr>
      </w:pPr>
      <w:r w:rsidRPr="00A52AB8">
        <w:rPr>
          <w:b/>
          <w:color w:val="000000" w:themeColor="text1"/>
        </w:rPr>
        <w:t>ipdu</w:t>
      </w:r>
      <w:r w:rsidR="002258DC" w:rsidRPr="00A52AB8">
        <w:rPr>
          <w:b/>
          <w:color w:val="000000" w:themeColor="text1"/>
        </w:rPr>
        <w:t>_patch_index</w:t>
      </w:r>
      <w:r w:rsidR="00C4789A" w:rsidRPr="00A52AB8">
        <w:rPr>
          <w:lang w:eastAsia="ja-JP"/>
        </w:rPr>
        <w:t>[ </w:t>
      </w:r>
      <w:r w:rsidR="00632FA7" w:rsidRPr="00A52AB8">
        <w:rPr>
          <w:lang w:eastAsia="ja-JP"/>
        </w:rPr>
        <w:t>tileID</w:t>
      </w:r>
      <w:r w:rsidR="00C4789A" w:rsidRPr="00A52AB8">
        <w:rPr>
          <w:lang w:eastAsia="ja-JP"/>
        </w:rPr>
        <w:t> ]</w:t>
      </w:r>
      <w:r w:rsidR="00636D52" w:rsidRPr="00A52AB8">
        <w:rPr>
          <w:color w:val="000000" w:themeColor="text1"/>
        </w:rPr>
        <w:t>[ p ]</w:t>
      </w:r>
      <w:r w:rsidR="00A371D5" w:rsidRPr="00A52AB8">
        <w:rPr>
          <w:color w:val="000000" w:themeColor="text1"/>
        </w:rPr>
        <w:t xml:space="preserve"> </w:t>
      </w:r>
      <w:r w:rsidR="002258DC" w:rsidRPr="00A52AB8">
        <w:rPr>
          <w:color w:val="000000" w:themeColor="text1"/>
        </w:rPr>
        <w:t xml:space="preserve">specifies </w:t>
      </w:r>
      <w:r w:rsidR="0004338C" w:rsidRPr="00A52AB8">
        <w:rPr>
          <w:color w:val="000000" w:themeColor="text1"/>
        </w:rPr>
        <w:t xml:space="preserve">the </w:t>
      </w:r>
      <w:r w:rsidR="004C1ACF" w:rsidRPr="00A52AB8">
        <w:rPr>
          <w:color w:val="000000" w:themeColor="text1"/>
        </w:rPr>
        <w:t>index</w:t>
      </w:r>
      <w:r w:rsidR="00582E60" w:rsidRPr="00A52AB8">
        <w:rPr>
          <w:color w:val="000000" w:themeColor="text1"/>
        </w:rPr>
        <w:t xml:space="preserve">, </w:t>
      </w:r>
      <w:r w:rsidR="002921E1" w:rsidRPr="00A52AB8">
        <w:rPr>
          <w:color w:val="000000" w:themeColor="text1"/>
        </w:rPr>
        <w:t>RefPatchIdx</w:t>
      </w:r>
      <w:r w:rsidR="00582E60" w:rsidRPr="00A52AB8">
        <w:rPr>
          <w:color w:val="000000" w:themeColor="text1"/>
        </w:rPr>
        <w:t>,</w:t>
      </w:r>
      <w:r w:rsidR="004C1ACF" w:rsidRPr="00A52AB8">
        <w:rPr>
          <w:color w:val="000000" w:themeColor="text1"/>
        </w:rPr>
        <w:t xml:space="preserve"> of the patch </w:t>
      </w:r>
      <w:r w:rsidR="00C4789A" w:rsidRPr="00A52AB8">
        <w:rPr>
          <w:color w:val="000000" w:themeColor="text1"/>
        </w:rPr>
        <w:t xml:space="preserve">with index p </w:t>
      </w:r>
      <w:r w:rsidR="004C1ACF" w:rsidRPr="00A52AB8">
        <w:rPr>
          <w:color w:val="000000" w:themeColor="text1"/>
        </w:rPr>
        <w:t xml:space="preserve">in the </w:t>
      </w:r>
      <w:r w:rsidR="002A47BD" w:rsidRPr="00A52AB8">
        <w:rPr>
          <w:color w:val="000000" w:themeColor="text1"/>
        </w:rPr>
        <w:t xml:space="preserve">atlas </w:t>
      </w:r>
      <w:r w:rsidR="00B8075E" w:rsidRPr="00A52AB8">
        <w:rPr>
          <w:color w:val="000000" w:themeColor="text1"/>
        </w:rPr>
        <w:t>tile</w:t>
      </w:r>
      <w:r w:rsidR="00C4789A" w:rsidRPr="00A52AB8">
        <w:rPr>
          <w:color w:val="000000" w:themeColor="text1"/>
        </w:rPr>
        <w:t xml:space="preserve">, </w:t>
      </w:r>
      <w:r w:rsidR="00A41AF4" w:rsidRPr="00A52AB8">
        <w:rPr>
          <w:color w:val="000000" w:themeColor="text1"/>
        </w:rPr>
        <w:t>with tile ID equal to tileID</w:t>
      </w:r>
      <w:r w:rsidR="00C4789A" w:rsidRPr="00A52AB8">
        <w:rPr>
          <w:color w:val="000000" w:themeColor="text1"/>
        </w:rPr>
        <w:t>,</w:t>
      </w:r>
      <w:r w:rsidR="004A314E" w:rsidRPr="00A52AB8">
        <w:rPr>
          <w:color w:val="000000" w:themeColor="text1"/>
        </w:rPr>
        <w:t xml:space="preserve"> with the same </w:t>
      </w:r>
      <w:r w:rsidR="004A199F" w:rsidRPr="00A52AB8">
        <w:rPr>
          <w:color w:val="000000" w:themeColor="text1"/>
        </w:rPr>
        <w:t>ID</w:t>
      </w:r>
      <w:r w:rsidR="004A314E" w:rsidRPr="00A52AB8">
        <w:rPr>
          <w:color w:val="000000" w:themeColor="text1"/>
        </w:rPr>
        <w:t xml:space="preserve"> as the current </w:t>
      </w:r>
      <w:r w:rsidR="00B8075E" w:rsidRPr="00A52AB8">
        <w:rPr>
          <w:color w:val="000000" w:themeColor="text1"/>
        </w:rPr>
        <w:t>tile</w:t>
      </w:r>
      <w:r w:rsidR="004A314E" w:rsidRPr="00A52AB8">
        <w:rPr>
          <w:color w:val="000000" w:themeColor="text1"/>
        </w:rPr>
        <w:t xml:space="preserve"> ad</w:t>
      </w:r>
      <w:r w:rsidR="00585987" w:rsidRPr="00A52AB8">
        <w:rPr>
          <w:color w:val="000000" w:themeColor="text1"/>
        </w:rPr>
        <w:t>d</w:t>
      </w:r>
      <w:r w:rsidR="004A314E" w:rsidRPr="00A52AB8">
        <w:rPr>
          <w:color w:val="000000" w:themeColor="text1"/>
        </w:rPr>
        <w:t xml:space="preserve">ress in the </w:t>
      </w:r>
      <w:r w:rsidR="008F0D00" w:rsidRPr="00A52AB8">
        <w:rPr>
          <w:color w:val="000000" w:themeColor="text1"/>
        </w:rPr>
        <w:t>atlas frame</w:t>
      </w:r>
      <w:r w:rsidR="004A314E" w:rsidRPr="00A52AB8">
        <w:rPr>
          <w:color w:val="000000" w:themeColor="text1"/>
        </w:rPr>
        <w:t xml:space="preserve"> </w:t>
      </w:r>
      <w:r w:rsidR="00D811CD" w:rsidRPr="00A52AB8">
        <w:rPr>
          <w:color w:val="000000" w:themeColor="text1"/>
        </w:rPr>
        <w:t xml:space="preserve">that corresponds to </w:t>
      </w:r>
      <w:r w:rsidR="00582E60" w:rsidRPr="00A52AB8">
        <w:rPr>
          <w:color w:val="000000" w:themeColor="text1"/>
        </w:rPr>
        <w:t xml:space="preserve">index </w:t>
      </w:r>
      <w:r w:rsidR="00FA194A" w:rsidRPr="00A52AB8">
        <w:rPr>
          <w:color w:val="000000" w:themeColor="text1"/>
        </w:rPr>
        <w:t>r</w:t>
      </w:r>
      <w:r w:rsidR="00582E60" w:rsidRPr="00A52AB8">
        <w:rPr>
          <w:color w:val="000000" w:themeColor="text1"/>
        </w:rPr>
        <w:t>efIdx</w:t>
      </w:r>
      <w:r w:rsidR="004C1ACF" w:rsidRPr="00A52AB8">
        <w:rPr>
          <w:color w:val="000000" w:themeColor="text1"/>
        </w:rPr>
        <w:t xml:space="preserve"> in the </w:t>
      </w:r>
      <w:r w:rsidR="00D811CD" w:rsidRPr="00A52AB8">
        <w:rPr>
          <w:color w:val="000000" w:themeColor="text1"/>
        </w:rPr>
        <w:t xml:space="preserve">current </w:t>
      </w:r>
      <w:r w:rsidR="004C1ACF" w:rsidRPr="00A52AB8">
        <w:rPr>
          <w:color w:val="000000" w:themeColor="text1"/>
        </w:rPr>
        <w:t xml:space="preserve">reference </w:t>
      </w:r>
      <w:r w:rsidR="008F0D00" w:rsidRPr="00A52AB8">
        <w:rPr>
          <w:color w:val="000000" w:themeColor="text1"/>
        </w:rPr>
        <w:t>atlas frame</w:t>
      </w:r>
      <w:r w:rsidR="004C1ACF" w:rsidRPr="00A52AB8">
        <w:rPr>
          <w:color w:val="000000" w:themeColor="text1"/>
        </w:rPr>
        <w:t xml:space="preserve"> list.</w:t>
      </w:r>
    </w:p>
    <w:p w14:paraId="5BE3CA35" w14:textId="0C5C2FB0" w:rsidR="0050235C" w:rsidRPr="00A52AB8" w:rsidRDefault="008E0086">
      <w:pPr>
        <w:rPr>
          <w:color w:val="000000" w:themeColor="text1"/>
        </w:rPr>
      </w:pPr>
      <w:r w:rsidRPr="00A52AB8">
        <w:rPr>
          <w:b/>
          <w:color w:val="000000" w:themeColor="text1"/>
        </w:rPr>
        <w:t>ipdu</w:t>
      </w:r>
      <w:r w:rsidR="0004338C" w:rsidRPr="00A52AB8">
        <w:rPr>
          <w:b/>
          <w:color w:val="000000" w:themeColor="text1"/>
        </w:rPr>
        <w:t>_</w:t>
      </w:r>
      <w:r w:rsidR="00070D8E" w:rsidRPr="00A52AB8">
        <w:rPr>
          <w:b/>
          <w:color w:val="000000" w:themeColor="text1"/>
        </w:rPr>
        <w:t>2d_</w:t>
      </w:r>
      <w:r w:rsidR="00627BE0" w:rsidRPr="00A52AB8">
        <w:rPr>
          <w:b/>
          <w:color w:val="000000" w:themeColor="text1"/>
        </w:rPr>
        <w:t>pos</w:t>
      </w:r>
      <w:r w:rsidR="00070D8E" w:rsidRPr="00A52AB8">
        <w:rPr>
          <w:b/>
          <w:color w:val="000000" w:themeColor="text1"/>
        </w:rPr>
        <w:t>_x</w:t>
      </w:r>
      <w:r w:rsidR="00C4789A" w:rsidRPr="00A52AB8">
        <w:rPr>
          <w:lang w:eastAsia="ja-JP"/>
        </w:rPr>
        <w:t>[ </w:t>
      </w:r>
      <w:r w:rsidR="00632FA7" w:rsidRPr="00A52AB8">
        <w:rPr>
          <w:lang w:eastAsia="ja-JP"/>
        </w:rPr>
        <w:t>tileID</w:t>
      </w:r>
      <w:r w:rsidR="00C4789A" w:rsidRPr="00A52AB8">
        <w:rPr>
          <w:lang w:eastAsia="ja-JP"/>
        </w:rPr>
        <w:t> ]</w:t>
      </w:r>
      <w:r w:rsidR="00636D52" w:rsidRPr="00A52AB8">
        <w:rPr>
          <w:color w:val="000000" w:themeColor="text1"/>
        </w:rPr>
        <w:t>[ p ]</w:t>
      </w:r>
      <w:r w:rsidR="0004338C" w:rsidRPr="00A52AB8">
        <w:rPr>
          <w:color w:val="000000" w:themeColor="text1"/>
        </w:rPr>
        <w:t xml:space="preserve"> specifies the difference of </w:t>
      </w:r>
      <w:r w:rsidR="00582E60" w:rsidRPr="00A52AB8">
        <w:rPr>
          <w:color w:val="000000" w:themeColor="text1"/>
        </w:rPr>
        <w:t xml:space="preserve">the </w:t>
      </w:r>
      <w:r w:rsidR="0004338C" w:rsidRPr="00A52AB8">
        <w:rPr>
          <w:color w:val="000000" w:themeColor="text1"/>
        </w:rPr>
        <w:t>x</w:t>
      </w:r>
      <w:r w:rsidR="00165BB2" w:rsidRPr="00A52AB8">
        <w:rPr>
          <w:color w:val="000000" w:themeColor="text1"/>
        </w:rPr>
        <w:noBreakHyphen/>
      </w:r>
      <w:r w:rsidR="0004338C" w:rsidRPr="00A52AB8">
        <w:rPr>
          <w:color w:val="000000" w:themeColor="text1"/>
        </w:rPr>
        <w:t xml:space="preserve">coordinate of the top-left corner of the patch bounding box </w:t>
      </w:r>
      <w:r w:rsidR="00297436" w:rsidRPr="00A52AB8">
        <w:rPr>
          <w:color w:val="000000" w:themeColor="text1"/>
        </w:rPr>
        <w:t xml:space="preserve">of </w:t>
      </w:r>
      <w:r w:rsidR="00165BB2" w:rsidRPr="00A52AB8">
        <w:rPr>
          <w:color w:val="000000" w:themeColor="text1"/>
        </w:rPr>
        <w:t xml:space="preserve">the </w:t>
      </w:r>
      <w:r w:rsidR="00297436" w:rsidRPr="00A52AB8">
        <w:rPr>
          <w:color w:val="000000" w:themeColor="text1"/>
        </w:rPr>
        <w:t xml:space="preserve">patch with index p in </w:t>
      </w:r>
      <w:r w:rsidR="00D811CD" w:rsidRPr="00A52AB8">
        <w:rPr>
          <w:color w:val="000000" w:themeColor="text1"/>
        </w:rPr>
        <w:t xml:space="preserve">the </w:t>
      </w:r>
      <w:r w:rsidR="00A63EEB" w:rsidRPr="00A52AB8">
        <w:rPr>
          <w:color w:val="000000" w:themeColor="text1"/>
        </w:rPr>
        <w:t xml:space="preserve">current </w:t>
      </w:r>
      <w:r w:rsidR="002A47BD" w:rsidRPr="00A52AB8">
        <w:rPr>
          <w:color w:val="000000" w:themeColor="text1"/>
        </w:rPr>
        <w:t xml:space="preserve">atlas </w:t>
      </w:r>
      <w:r w:rsidR="00B8075E" w:rsidRPr="00A52AB8">
        <w:rPr>
          <w:color w:val="000000" w:themeColor="text1"/>
        </w:rPr>
        <w:t>tile</w:t>
      </w:r>
      <w:r w:rsidR="00C4789A" w:rsidRPr="00A52AB8">
        <w:rPr>
          <w:color w:val="000000" w:themeColor="text1"/>
        </w:rPr>
        <w:t xml:space="preserve">, </w:t>
      </w:r>
      <w:r w:rsidR="00A41AF4" w:rsidRPr="00A52AB8">
        <w:rPr>
          <w:color w:val="000000" w:themeColor="text1"/>
        </w:rPr>
        <w:t>with tile ID equal to tileID</w:t>
      </w:r>
      <w:r w:rsidR="00C4789A" w:rsidRPr="00A52AB8">
        <w:rPr>
          <w:color w:val="000000" w:themeColor="text1"/>
        </w:rPr>
        <w:t>,</w:t>
      </w:r>
      <w:r w:rsidR="00297436" w:rsidRPr="00A52AB8">
        <w:rPr>
          <w:color w:val="000000" w:themeColor="text1"/>
        </w:rPr>
        <w:t xml:space="preserve"> </w:t>
      </w:r>
      <w:r w:rsidR="0004338C" w:rsidRPr="00A52AB8">
        <w:rPr>
          <w:color w:val="000000" w:themeColor="text1"/>
        </w:rPr>
        <w:t xml:space="preserve">and </w:t>
      </w:r>
      <w:r w:rsidR="00297436" w:rsidRPr="00A52AB8">
        <w:rPr>
          <w:color w:val="000000" w:themeColor="text1"/>
        </w:rPr>
        <w:t>of the x</w:t>
      </w:r>
      <w:r w:rsidR="00165BB2" w:rsidRPr="00A52AB8">
        <w:rPr>
          <w:color w:val="000000" w:themeColor="text1"/>
        </w:rPr>
        <w:noBreakHyphen/>
      </w:r>
      <w:r w:rsidR="00297436" w:rsidRPr="00A52AB8">
        <w:rPr>
          <w:color w:val="000000" w:themeColor="text1"/>
        </w:rPr>
        <w:t xml:space="preserve">coordinate of the top-left corner of the </w:t>
      </w:r>
      <w:r w:rsidR="0004338C" w:rsidRPr="00A52AB8">
        <w:rPr>
          <w:color w:val="000000" w:themeColor="text1"/>
        </w:rPr>
        <w:t xml:space="preserve">patch bounding box </w:t>
      </w:r>
      <w:r w:rsidR="00297436" w:rsidRPr="00A52AB8">
        <w:rPr>
          <w:color w:val="000000" w:themeColor="text1"/>
        </w:rPr>
        <w:t xml:space="preserve">of </w:t>
      </w:r>
      <w:r w:rsidR="00D811CD" w:rsidRPr="00A52AB8">
        <w:rPr>
          <w:color w:val="000000" w:themeColor="text1"/>
        </w:rPr>
        <w:t xml:space="preserve">the </w:t>
      </w:r>
      <w:r w:rsidR="00297436" w:rsidRPr="00A52AB8">
        <w:rPr>
          <w:color w:val="000000" w:themeColor="text1"/>
        </w:rPr>
        <w:t xml:space="preserve">patch </w:t>
      </w:r>
      <w:r w:rsidR="000B35B6" w:rsidRPr="00A52AB8">
        <w:rPr>
          <w:color w:val="000000" w:themeColor="text1"/>
        </w:rPr>
        <w:t xml:space="preserve">with index </w:t>
      </w:r>
      <w:r w:rsidR="002921E1" w:rsidRPr="00A52AB8">
        <w:rPr>
          <w:color w:val="000000" w:themeColor="text1"/>
        </w:rPr>
        <w:t>RefPatchIdx</w:t>
      </w:r>
      <w:r w:rsidR="00297436" w:rsidRPr="00A52AB8">
        <w:rPr>
          <w:color w:val="000000" w:themeColor="text1"/>
        </w:rPr>
        <w:t xml:space="preserve"> in </w:t>
      </w:r>
      <w:r w:rsidR="00D811CD" w:rsidRPr="00A52AB8">
        <w:rPr>
          <w:color w:val="000000" w:themeColor="text1"/>
        </w:rPr>
        <w:t xml:space="preserve">the </w:t>
      </w:r>
      <w:r w:rsidR="002A47BD" w:rsidRPr="00A52AB8">
        <w:rPr>
          <w:color w:val="000000" w:themeColor="text1"/>
        </w:rPr>
        <w:t xml:space="preserve">atlas </w:t>
      </w:r>
      <w:r w:rsidR="00B8075E" w:rsidRPr="00A52AB8">
        <w:rPr>
          <w:color w:val="000000" w:themeColor="text1"/>
        </w:rPr>
        <w:t>tile</w:t>
      </w:r>
      <w:r w:rsidR="00DC329D" w:rsidRPr="00A52AB8">
        <w:rPr>
          <w:color w:val="000000" w:themeColor="text1"/>
        </w:rPr>
        <w:t xml:space="preserve"> with the same </w:t>
      </w:r>
      <w:r w:rsidR="004A199F" w:rsidRPr="00A52AB8">
        <w:rPr>
          <w:color w:val="000000" w:themeColor="text1"/>
        </w:rPr>
        <w:t>ID</w:t>
      </w:r>
      <w:r w:rsidR="00DC329D" w:rsidRPr="00A52AB8">
        <w:rPr>
          <w:color w:val="000000" w:themeColor="text1"/>
        </w:rPr>
        <w:t xml:space="preserve"> as the current </w:t>
      </w:r>
      <w:r w:rsidR="00B8075E" w:rsidRPr="00A52AB8">
        <w:rPr>
          <w:color w:val="000000" w:themeColor="text1"/>
        </w:rPr>
        <w:t>tile</w:t>
      </w:r>
      <w:r w:rsidR="00DC329D" w:rsidRPr="00A52AB8">
        <w:rPr>
          <w:color w:val="000000" w:themeColor="text1"/>
        </w:rPr>
        <w:t xml:space="preserve"> in the </w:t>
      </w:r>
      <w:r w:rsidR="008F0D00" w:rsidRPr="00A52AB8">
        <w:rPr>
          <w:color w:val="000000" w:themeColor="text1"/>
        </w:rPr>
        <w:t>atlas frame</w:t>
      </w:r>
      <w:r w:rsidR="00D811CD" w:rsidRPr="00A52AB8">
        <w:rPr>
          <w:color w:val="000000" w:themeColor="text1"/>
        </w:rPr>
        <w:t xml:space="preserve"> that is associated with the reference</w:t>
      </w:r>
      <w:r w:rsidR="00297436" w:rsidRPr="00A52AB8">
        <w:rPr>
          <w:color w:val="000000" w:themeColor="text1"/>
        </w:rPr>
        <w:t xml:space="preserve"> </w:t>
      </w:r>
      <w:r w:rsidR="00FA194A" w:rsidRPr="00A52AB8">
        <w:rPr>
          <w:color w:val="000000" w:themeColor="text1"/>
        </w:rPr>
        <w:t>r</w:t>
      </w:r>
      <w:r w:rsidR="00297436" w:rsidRPr="00A52AB8">
        <w:rPr>
          <w:color w:val="000000" w:themeColor="text1"/>
        </w:rPr>
        <w:t xml:space="preserve">efIdx, </w:t>
      </w:r>
      <w:r w:rsidR="0004338C" w:rsidRPr="00A52AB8">
        <w:rPr>
          <w:color w:val="000000" w:themeColor="text1"/>
        </w:rPr>
        <w:t xml:space="preserve">expressed as </w:t>
      </w:r>
      <w:r w:rsidR="00297436" w:rsidRPr="00A52AB8">
        <w:rPr>
          <w:color w:val="000000" w:themeColor="text1"/>
        </w:rPr>
        <w:t xml:space="preserve">a </w:t>
      </w:r>
      <w:r w:rsidR="0004338C" w:rsidRPr="00A52AB8">
        <w:rPr>
          <w:color w:val="000000" w:themeColor="text1"/>
        </w:rPr>
        <w:t xml:space="preserve">multiple of </w:t>
      </w:r>
      <w:r w:rsidR="00835F46" w:rsidRPr="00A52AB8">
        <w:rPr>
          <w:color w:val="000000" w:themeColor="text1"/>
        </w:rPr>
        <w:t>PatchPackingBlockSize</w:t>
      </w:r>
      <w:r w:rsidR="0004338C" w:rsidRPr="00A52AB8">
        <w:rPr>
          <w:color w:val="000000" w:themeColor="text1"/>
        </w:rPr>
        <w:t>.</w:t>
      </w:r>
    </w:p>
    <w:p w14:paraId="1239E6AF" w14:textId="1790D510" w:rsidR="0050235C" w:rsidRPr="00A52AB8" w:rsidRDefault="008E0086">
      <w:pPr>
        <w:rPr>
          <w:color w:val="000000" w:themeColor="text1"/>
        </w:rPr>
      </w:pPr>
      <w:r w:rsidRPr="00A52AB8">
        <w:rPr>
          <w:b/>
          <w:color w:val="000000" w:themeColor="text1"/>
        </w:rPr>
        <w:t>ipdu</w:t>
      </w:r>
      <w:r w:rsidR="000B35B6" w:rsidRPr="00A52AB8">
        <w:rPr>
          <w:b/>
          <w:color w:val="000000" w:themeColor="text1"/>
        </w:rPr>
        <w:t>_</w:t>
      </w:r>
      <w:r w:rsidR="00CA4F41" w:rsidRPr="00A52AB8">
        <w:rPr>
          <w:b/>
          <w:color w:val="000000" w:themeColor="text1"/>
        </w:rPr>
        <w:t>2d_</w:t>
      </w:r>
      <w:r w:rsidR="00627BE0" w:rsidRPr="00A52AB8">
        <w:rPr>
          <w:b/>
          <w:color w:val="000000" w:themeColor="text1"/>
        </w:rPr>
        <w:t>pos</w:t>
      </w:r>
      <w:r w:rsidR="00CA4F41" w:rsidRPr="00A52AB8">
        <w:rPr>
          <w:b/>
          <w:color w:val="000000" w:themeColor="text1"/>
        </w:rPr>
        <w:t>_y</w:t>
      </w:r>
      <w:r w:rsidR="00C4789A" w:rsidRPr="00A52AB8">
        <w:rPr>
          <w:lang w:eastAsia="ja-JP"/>
        </w:rPr>
        <w:t>[ </w:t>
      </w:r>
      <w:r w:rsidR="00632FA7" w:rsidRPr="00A52AB8">
        <w:rPr>
          <w:lang w:eastAsia="ja-JP"/>
        </w:rPr>
        <w:t>tileID</w:t>
      </w:r>
      <w:r w:rsidR="00C4789A" w:rsidRPr="00A52AB8">
        <w:rPr>
          <w:lang w:eastAsia="ja-JP"/>
        </w:rPr>
        <w:t> ]</w:t>
      </w:r>
      <w:r w:rsidR="00636D52" w:rsidRPr="00A52AB8">
        <w:rPr>
          <w:color w:val="000000" w:themeColor="text1"/>
        </w:rPr>
        <w:t>[ p ]</w:t>
      </w:r>
      <w:r w:rsidR="000B35B6" w:rsidRPr="00A52AB8">
        <w:rPr>
          <w:color w:val="000000" w:themeColor="text1"/>
        </w:rPr>
        <w:t xml:space="preserve"> specifies the difference of the y</w:t>
      </w:r>
      <w:r w:rsidR="00165BB2" w:rsidRPr="00A52AB8">
        <w:rPr>
          <w:color w:val="000000" w:themeColor="text1"/>
        </w:rPr>
        <w:noBreakHyphen/>
      </w:r>
      <w:r w:rsidR="000B35B6" w:rsidRPr="00A52AB8">
        <w:rPr>
          <w:color w:val="000000" w:themeColor="text1"/>
        </w:rPr>
        <w:t xml:space="preserve">coordinate of the top-left corner of the patch bounding box of </w:t>
      </w:r>
      <w:r w:rsidR="00165BB2" w:rsidRPr="00A52AB8">
        <w:rPr>
          <w:color w:val="000000" w:themeColor="text1"/>
        </w:rPr>
        <w:t xml:space="preserve">the </w:t>
      </w:r>
      <w:r w:rsidR="000B35B6" w:rsidRPr="00A52AB8">
        <w:rPr>
          <w:color w:val="000000" w:themeColor="text1"/>
        </w:rPr>
        <w:t xml:space="preserve">patch with index p in </w:t>
      </w:r>
      <w:r w:rsidR="00502ABC" w:rsidRPr="00A52AB8">
        <w:rPr>
          <w:color w:val="000000" w:themeColor="text1"/>
        </w:rPr>
        <w:t xml:space="preserve">the </w:t>
      </w:r>
      <w:r w:rsidR="00A63EEB" w:rsidRPr="00A52AB8">
        <w:rPr>
          <w:color w:val="000000" w:themeColor="text1"/>
        </w:rPr>
        <w:t xml:space="preserve">current </w:t>
      </w:r>
      <w:r w:rsidR="002A47BD" w:rsidRPr="00A52AB8">
        <w:rPr>
          <w:color w:val="000000" w:themeColor="text1"/>
        </w:rPr>
        <w:t xml:space="preserve">atlas </w:t>
      </w:r>
      <w:r w:rsidR="00B8075E" w:rsidRPr="00A52AB8">
        <w:rPr>
          <w:color w:val="000000" w:themeColor="text1"/>
        </w:rPr>
        <w:t>tile</w:t>
      </w:r>
      <w:r w:rsidR="00C4789A" w:rsidRPr="00A52AB8">
        <w:rPr>
          <w:color w:val="000000" w:themeColor="text1"/>
        </w:rPr>
        <w:t xml:space="preserve">, </w:t>
      </w:r>
      <w:r w:rsidR="00A41AF4" w:rsidRPr="00A52AB8">
        <w:rPr>
          <w:color w:val="000000" w:themeColor="text1"/>
        </w:rPr>
        <w:t>with tile ID equal to tileID</w:t>
      </w:r>
      <w:r w:rsidR="00C4789A" w:rsidRPr="00A52AB8">
        <w:rPr>
          <w:color w:val="000000" w:themeColor="text1"/>
        </w:rPr>
        <w:t>,</w:t>
      </w:r>
      <w:r w:rsidR="00502ABC" w:rsidRPr="00A52AB8">
        <w:rPr>
          <w:color w:val="000000" w:themeColor="text1"/>
        </w:rPr>
        <w:t xml:space="preserve"> </w:t>
      </w:r>
      <w:r w:rsidR="000B35B6" w:rsidRPr="00A52AB8">
        <w:rPr>
          <w:color w:val="000000" w:themeColor="text1"/>
        </w:rPr>
        <w:t>and of the y</w:t>
      </w:r>
      <w:r w:rsidR="00165BB2" w:rsidRPr="00A52AB8">
        <w:rPr>
          <w:color w:val="000000" w:themeColor="text1"/>
        </w:rPr>
        <w:noBreakHyphen/>
      </w:r>
      <w:r w:rsidR="000B35B6" w:rsidRPr="00A52AB8">
        <w:rPr>
          <w:color w:val="000000" w:themeColor="text1"/>
        </w:rPr>
        <w:t xml:space="preserve">coordinate of the top-left corner of the patch bounding box of </w:t>
      </w:r>
      <w:r w:rsidR="00502ABC" w:rsidRPr="00A52AB8">
        <w:rPr>
          <w:color w:val="000000" w:themeColor="text1"/>
        </w:rPr>
        <w:t xml:space="preserve">the </w:t>
      </w:r>
      <w:r w:rsidR="000B35B6" w:rsidRPr="00A52AB8">
        <w:rPr>
          <w:color w:val="000000" w:themeColor="text1"/>
        </w:rPr>
        <w:t xml:space="preserve">patch with index </w:t>
      </w:r>
      <w:r w:rsidR="002921E1" w:rsidRPr="00A52AB8">
        <w:rPr>
          <w:color w:val="000000" w:themeColor="text1"/>
        </w:rPr>
        <w:t>RefPatchIdx</w:t>
      </w:r>
      <w:r w:rsidR="000B35B6" w:rsidRPr="00A52AB8">
        <w:rPr>
          <w:color w:val="000000" w:themeColor="text1"/>
        </w:rPr>
        <w:t xml:space="preserve"> in </w:t>
      </w:r>
      <w:r w:rsidR="00502ABC" w:rsidRPr="00A52AB8">
        <w:rPr>
          <w:color w:val="000000" w:themeColor="text1"/>
        </w:rPr>
        <w:t xml:space="preserve">the </w:t>
      </w:r>
      <w:r w:rsidR="002A47BD" w:rsidRPr="00A52AB8">
        <w:rPr>
          <w:color w:val="000000" w:themeColor="text1"/>
        </w:rPr>
        <w:t xml:space="preserve">atlas </w:t>
      </w:r>
      <w:r w:rsidR="00B8075E" w:rsidRPr="00A52AB8">
        <w:rPr>
          <w:color w:val="000000" w:themeColor="text1"/>
        </w:rPr>
        <w:t>tile</w:t>
      </w:r>
      <w:r w:rsidR="00DC329D" w:rsidRPr="00A52AB8">
        <w:rPr>
          <w:color w:val="000000" w:themeColor="text1"/>
        </w:rPr>
        <w:t xml:space="preserve"> with the same </w:t>
      </w:r>
      <w:r w:rsidR="004A199F" w:rsidRPr="00A52AB8">
        <w:rPr>
          <w:color w:val="000000" w:themeColor="text1"/>
        </w:rPr>
        <w:t>ID</w:t>
      </w:r>
      <w:r w:rsidR="00DC329D" w:rsidRPr="00A52AB8">
        <w:rPr>
          <w:color w:val="000000" w:themeColor="text1"/>
        </w:rPr>
        <w:t xml:space="preserve"> as the current </w:t>
      </w:r>
      <w:r w:rsidR="00B8075E" w:rsidRPr="00A52AB8">
        <w:rPr>
          <w:color w:val="000000" w:themeColor="text1"/>
        </w:rPr>
        <w:t>tile</w:t>
      </w:r>
      <w:r w:rsidR="00DC329D" w:rsidRPr="00A52AB8">
        <w:rPr>
          <w:color w:val="000000" w:themeColor="text1"/>
        </w:rPr>
        <w:t xml:space="preserve"> in the </w:t>
      </w:r>
      <w:r w:rsidR="008F0D00" w:rsidRPr="00A52AB8">
        <w:rPr>
          <w:color w:val="000000" w:themeColor="text1"/>
        </w:rPr>
        <w:t>atlas frame</w:t>
      </w:r>
      <w:r w:rsidR="000B35B6" w:rsidRPr="00A52AB8">
        <w:rPr>
          <w:color w:val="000000" w:themeColor="text1"/>
        </w:rPr>
        <w:t xml:space="preserve"> </w:t>
      </w:r>
      <w:r w:rsidR="00502ABC" w:rsidRPr="00A52AB8">
        <w:rPr>
          <w:color w:val="000000" w:themeColor="text1"/>
        </w:rPr>
        <w:t xml:space="preserve">that is associated with the reference </w:t>
      </w:r>
      <w:r w:rsidR="00FA194A" w:rsidRPr="00A52AB8">
        <w:rPr>
          <w:color w:val="000000" w:themeColor="text1"/>
        </w:rPr>
        <w:t>r</w:t>
      </w:r>
      <w:r w:rsidR="000B35B6" w:rsidRPr="00A52AB8">
        <w:rPr>
          <w:color w:val="000000" w:themeColor="text1"/>
        </w:rPr>
        <w:t xml:space="preserve">efIdx, expressed as a multiple of </w:t>
      </w:r>
      <w:r w:rsidR="00835F46" w:rsidRPr="00A52AB8">
        <w:rPr>
          <w:color w:val="000000" w:themeColor="text1"/>
        </w:rPr>
        <w:t>PatchPackingBlockSize</w:t>
      </w:r>
      <w:r w:rsidR="000B35B6" w:rsidRPr="00A52AB8">
        <w:rPr>
          <w:color w:val="000000" w:themeColor="text1"/>
        </w:rPr>
        <w:t>.</w:t>
      </w:r>
    </w:p>
    <w:p w14:paraId="68736A15" w14:textId="77777777" w:rsidR="0050235C" w:rsidRPr="00A52AB8" w:rsidRDefault="008E0086">
      <w:pPr>
        <w:rPr>
          <w:color w:val="000000" w:themeColor="text1"/>
        </w:rPr>
      </w:pPr>
      <w:r w:rsidRPr="00A52AB8">
        <w:rPr>
          <w:b/>
          <w:color w:val="000000" w:themeColor="text1"/>
        </w:rPr>
        <w:t>ipdu</w:t>
      </w:r>
      <w:r w:rsidR="008E3E9F" w:rsidRPr="00A52AB8">
        <w:rPr>
          <w:b/>
          <w:color w:val="000000" w:themeColor="text1"/>
        </w:rPr>
        <w:t>_2d_delta_</w:t>
      </w:r>
      <w:r w:rsidR="008E0BEB" w:rsidRPr="00A52AB8">
        <w:rPr>
          <w:b/>
          <w:color w:val="000000" w:themeColor="text1"/>
        </w:rPr>
        <w:t>size_x</w:t>
      </w:r>
      <w:r w:rsidR="00C4789A" w:rsidRPr="00A52AB8">
        <w:rPr>
          <w:lang w:eastAsia="ja-JP"/>
        </w:rPr>
        <w:t>[ </w:t>
      </w:r>
      <w:r w:rsidR="00632FA7" w:rsidRPr="00A52AB8">
        <w:rPr>
          <w:lang w:eastAsia="ja-JP"/>
        </w:rPr>
        <w:t>tileID</w:t>
      </w:r>
      <w:r w:rsidR="00C4789A" w:rsidRPr="00A52AB8">
        <w:rPr>
          <w:lang w:eastAsia="ja-JP"/>
        </w:rPr>
        <w:t> ]</w:t>
      </w:r>
      <w:r w:rsidR="00636D52" w:rsidRPr="00A52AB8">
        <w:rPr>
          <w:color w:val="000000" w:themeColor="text1"/>
        </w:rPr>
        <w:t>[ p ]</w:t>
      </w:r>
      <w:r w:rsidR="008E3E9F" w:rsidRPr="00A52AB8">
        <w:rPr>
          <w:color w:val="000000" w:themeColor="text1"/>
        </w:rPr>
        <w:t xml:space="preserve"> specifies the difference of the width values of the patch with index p in the </w:t>
      </w:r>
      <w:r w:rsidR="00A63EEB" w:rsidRPr="00A52AB8">
        <w:rPr>
          <w:color w:val="000000" w:themeColor="text1"/>
        </w:rPr>
        <w:t xml:space="preserve">current </w:t>
      </w:r>
      <w:r w:rsidR="002A47BD" w:rsidRPr="00A52AB8">
        <w:rPr>
          <w:color w:val="000000" w:themeColor="text1"/>
        </w:rPr>
        <w:t xml:space="preserve">atlas </w:t>
      </w:r>
      <w:r w:rsidR="00B8075E" w:rsidRPr="00A52AB8">
        <w:rPr>
          <w:color w:val="000000" w:themeColor="text1"/>
        </w:rPr>
        <w:t>tile</w:t>
      </w:r>
      <w:r w:rsidR="00C4789A" w:rsidRPr="00A52AB8">
        <w:rPr>
          <w:color w:val="000000" w:themeColor="text1"/>
        </w:rPr>
        <w:t xml:space="preserve">, </w:t>
      </w:r>
      <w:r w:rsidR="00A41AF4" w:rsidRPr="00A52AB8">
        <w:rPr>
          <w:color w:val="000000" w:themeColor="text1"/>
        </w:rPr>
        <w:t>with tile ID equal to tileID</w:t>
      </w:r>
      <w:r w:rsidR="00C4789A" w:rsidRPr="00A52AB8">
        <w:rPr>
          <w:color w:val="000000" w:themeColor="text1"/>
        </w:rPr>
        <w:t>,</w:t>
      </w:r>
      <w:r w:rsidR="008E3E9F" w:rsidRPr="00A52AB8">
        <w:rPr>
          <w:color w:val="000000" w:themeColor="text1"/>
        </w:rPr>
        <w:t xml:space="preserve"> and </w:t>
      </w:r>
      <w:r w:rsidR="00B60ABC" w:rsidRPr="00A52AB8">
        <w:rPr>
          <w:color w:val="000000" w:themeColor="text1"/>
        </w:rPr>
        <w:t>the patch with inde</w:t>
      </w:r>
      <w:r w:rsidR="007562B4" w:rsidRPr="00A52AB8">
        <w:rPr>
          <w:color w:val="000000" w:themeColor="text1"/>
        </w:rPr>
        <w:t>x</w:t>
      </w:r>
      <w:r w:rsidR="00B60ABC" w:rsidRPr="00A52AB8">
        <w:rPr>
          <w:color w:val="000000" w:themeColor="text1"/>
        </w:rPr>
        <w:t xml:space="preserve"> </w:t>
      </w:r>
      <w:r w:rsidR="002921E1" w:rsidRPr="00A52AB8">
        <w:rPr>
          <w:color w:val="000000" w:themeColor="text1"/>
        </w:rPr>
        <w:t>RefPatchIdx</w:t>
      </w:r>
      <w:r w:rsidR="00B60ABC" w:rsidRPr="00A52AB8">
        <w:rPr>
          <w:color w:val="000000" w:themeColor="text1"/>
        </w:rPr>
        <w:t xml:space="preserve"> in </w:t>
      </w:r>
      <w:r w:rsidR="00502ABC" w:rsidRPr="00A52AB8">
        <w:rPr>
          <w:color w:val="000000" w:themeColor="text1"/>
        </w:rPr>
        <w:t xml:space="preserve">the </w:t>
      </w:r>
      <w:r w:rsidR="002A47BD" w:rsidRPr="00A52AB8">
        <w:rPr>
          <w:color w:val="000000" w:themeColor="text1"/>
        </w:rPr>
        <w:t xml:space="preserve">atlas </w:t>
      </w:r>
      <w:r w:rsidR="00B8075E" w:rsidRPr="00A52AB8">
        <w:rPr>
          <w:color w:val="000000" w:themeColor="text1"/>
        </w:rPr>
        <w:t>tile</w:t>
      </w:r>
      <w:r w:rsidR="00DC329D" w:rsidRPr="00A52AB8">
        <w:rPr>
          <w:color w:val="000000" w:themeColor="text1"/>
        </w:rPr>
        <w:t xml:space="preserve"> with the same </w:t>
      </w:r>
      <w:r w:rsidR="004A199F" w:rsidRPr="00A52AB8">
        <w:rPr>
          <w:color w:val="000000" w:themeColor="text1"/>
        </w:rPr>
        <w:t>ID</w:t>
      </w:r>
      <w:r w:rsidR="00DC329D" w:rsidRPr="00A52AB8">
        <w:rPr>
          <w:color w:val="000000" w:themeColor="text1"/>
        </w:rPr>
        <w:t xml:space="preserve"> as the current </w:t>
      </w:r>
      <w:r w:rsidR="00B8075E" w:rsidRPr="00A52AB8">
        <w:rPr>
          <w:color w:val="000000" w:themeColor="text1"/>
        </w:rPr>
        <w:t>tile</w:t>
      </w:r>
      <w:r w:rsidR="00DC329D" w:rsidRPr="00A52AB8">
        <w:rPr>
          <w:color w:val="000000" w:themeColor="text1"/>
        </w:rPr>
        <w:t xml:space="preserve"> in the </w:t>
      </w:r>
      <w:r w:rsidR="008F0D00" w:rsidRPr="00A52AB8">
        <w:rPr>
          <w:color w:val="000000" w:themeColor="text1"/>
        </w:rPr>
        <w:t>atlas frame</w:t>
      </w:r>
      <w:r w:rsidR="00B60ABC" w:rsidRPr="00A52AB8">
        <w:rPr>
          <w:color w:val="000000" w:themeColor="text1"/>
        </w:rPr>
        <w:t xml:space="preserve"> </w:t>
      </w:r>
      <w:r w:rsidR="00502ABC" w:rsidRPr="00A52AB8">
        <w:rPr>
          <w:color w:val="000000" w:themeColor="text1"/>
        </w:rPr>
        <w:t>th</w:t>
      </w:r>
      <w:r w:rsidR="00DC329D" w:rsidRPr="00A52AB8">
        <w:rPr>
          <w:color w:val="000000" w:themeColor="text1"/>
        </w:rPr>
        <w:t>a</w:t>
      </w:r>
      <w:r w:rsidR="00502ABC" w:rsidRPr="00A52AB8">
        <w:rPr>
          <w:color w:val="000000" w:themeColor="text1"/>
        </w:rPr>
        <w:t xml:space="preserve">t is associated with the reference </w:t>
      </w:r>
      <w:r w:rsidR="00FA194A" w:rsidRPr="00A52AB8">
        <w:rPr>
          <w:color w:val="000000" w:themeColor="text1"/>
        </w:rPr>
        <w:t>r</w:t>
      </w:r>
      <w:r w:rsidR="00B60ABC" w:rsidRPr="00A52AB8">
        <w:rPr>
          <w:color w:val="000000" w:themeColor="text1"/>
        </w:rPr>
        <w:t>efIdx.</w:t>
      </w:r>
    </w:p>
    <w:p w14:paraId="45FB8856" w14:textId="52538072" w:rsidR="008E3E9F" w:rsidRPr="00A52AB8" w:rsidRDefault="008E0086">
      <w:pPr>
        <w:rPr>
          <w:b/>
          <w:color w:val="000000" w:themeColor="text1"/>
        </w:rPr>
      </w:pPr>
      <w:r w:rsidRPr="00A52AB8">
        <w:rPr>
          <w:b/>
          <w:color w:val="000000" w:themeColor="text1"/>
        </w:rPr>
        <w:t>ipdu</w:t>
      </w:r>
      <w:r w:rsidR="008E3E9F" w:rsidRPr="00A52AB8">
        <w:rPr>
          <w:b/>
          <w:color w:val="000000" w:themeColor="text1"/>
        </w:rPr>
        <w:t>_2d_delta_</w:t>
      </w:r>
      <w:r w:rsidR="008E0BEB" w:rsidRPr="00A52AB8">
        <w:rPr>
          <w:b/>
          <w:color w:val="000000" w:themeColor="text1"/>
        </w:rPr>
        <w:t>size_y</w:t>
      </w:r>
      <w:r w:rsidR="00C4789A" w:rsidRPr="00A52AB8">
        <w:rPr>
          <w:lang w:eastAsia="ja-JP"/>
        </w:rPr>
        <w:t>[ </w:t>
      </w:r>
      <w:r w:rsidR="00632FA7" w:rsidRPr="00A52AB8">
        <w:rPr>
          <w:lang w:eastAsia="ja-JP"/>
        </w:rPr>
        <w:t>tileID</w:t>
      </w:r>
      <w:r w:rsidR="00C4789A" w:rsidRPr="00A52AB8">
        <w:rPr>
          <w:lang w:eastAsia="ja-JP"/>
        </w:rPr>
        <w:t> ]</w:t>
      </w:r>
      <w:r w:rsidR="00636D52" w:rsidRPr="00A52AB8">
        <w:rPr>
          <w:color w:val="000000" w:themeColor="text1"/>
        </w:rPr>
        <w:t>[ p ]</w:t>
      </w:r>
      <w:r w:rsidR="00B60ABC" w:rsidRPr="00A52AB8">
        <w:rPr>
          <w:color w:val="000000" w:themeColor="text1"/>
        </w:rPr>
        <w:t xml:space="preserve"> specifies the difference of the height values of the patch with index p in the </w:t>
      </w:r>
      <w:r w:rsidR="00A63EEB" w:rsidRPr="00A52AB8">
        <w:rPr>
          <w:color w:val="000000" w:themeColor="text1"/>
        </w:rPr>
        <w:t xml:space="preserve">current </w:t>
      </w:r>
      <w:r w:rsidR="002A47BD" w:rsidRPr="00A52AB8">
        <w:rPr>
          <w:color w:val="000000" w:themeColor="text1"/>
        </w:rPr>
        <w:t xml:space="preserve">atlas </w:t>
      </w:r>
      <w:r w:rsidR="00B8075E" w:rsidRPr="00A52AB8">
        <w:rPr>
          <w:color w:val="000000" w:themeColor="text1"/>
        </w:rPr>
        <w:t>tile</w:t>
      </w:r>
      <w:r w:rsidR="00C4789A" w:rsidRPr="00A52AB8">
        <w:rPr>
          <w:color w:val="000000" w:themeColor="text1"/>
        </w:rPr>
        <w:t xml:space="preserve">, </w:t>
      </w:r>
      <w:r w:rsidR="00A41AF4" w:rsidRPr="00A52AB8">
        <w:rPr>
          <w:color w:val="000000" w:themeColor="text1"/>
        </w:rPr>
        <w:t>with tile ID equal to tileID</w:t>
      </w:r>
      <w:r w:rsidR="00C4789A" w:rsidRPr="00A52AB8">
        <w:rPr>
          <w:color w:val="000000" w:themeColor="text1"/>
        </w:rPr>
        <w:t xml:space="preserve">, </w:t>
      </w:r>
      <w:r w:rsidR="00B60ABC" w:rsidRPr="00A52AB8">
        <w:rPr>
          <w:color w:val="000000" w:themeColor="text1"/>
        </w:rPr>
        <w:t xml:space="preserve">and the patch with </w:t>
      </w:r>
      <w:r w:rsidR="007562B4" w:rsidRPr="00A52AB8">
        <w:rPr>
          <w:color w:val="000000" w:themeColor="text1"/>
        </w:rPr>
        <w:t>index</w:t>
      </w:r>
      <w:r w:rsidR="00B60ABC" w:rsidRPr="00A52AB8">
        <w:rPr>
          <w:color w:val="000000" w:themeColor="text1"/>
        </w:rPr>
        <w:t xml:space="preserve"> </w:t>
      </w:r>
      <w:r w:rsidR="002921E1" w:rsidRPr="00A52AB8">
        <w:rPr>
          <w:color w:val="000000" w:themeColor="text1"/>
        </w:rPr>
        <w:t>RefPatchIdx</w:t>
      </w:r>
      <w:r w:rsidR="00B60ABC" w:rsidRPr="00A52AB8">
        <w:rPr>
          <w:color w:val="000000" w:themeColor="text1"/>
        </w:rPr>
        <w:t xml:space="preserve"> in </w:t>
      </w:r>
      <w:r w:rsidR="00502ABC" w:rsidRPr="00A52AB8">
        <w:rPr>
          <w:color w:val="000000" w:themeColor="text1"/>
        </w:rPr>
        <w:t xml:space="preserve">the </w:t>
      </w:r>
      <w:r w:rsidR="002A47BD" w:rsidRPr="00A52AB8">
        <w:rPr>
          <w:color w:val="000000" w:themeColor="text1"/>
        </w:rPr>
        <w:t xml:space="preserve">atlas </w:t>
      </w:r>
      <w:r w:rsidR="00B8075E" w:rsidRPr="00A52AB8">
        <w:rPr>
          <w:color w:val="000000" w:themeColor="text1"/>
        </w:rPr>
        <w:t>tile</w:t>
      </w:r>
      <w:r w:rsidR="00DC329D" w:rsidRPr="00A52AB8">
        <w:rPr>
          <w:color w:val="000000" w:themeColor="text1"/>
        </w:rPr>
        <w:t xml:space="preserve"> with the same </w:t>
      </w:r>
      <w:r w:rsidR="004A199F" w:rsidRPr="00A52AB8">
        <w:rPr>
          <w:color w:val="000000" w:themeColor="text1"/>
        </w:rPr>
        <w:t>ID</w:t>
      </w:r>
      <w:r w:rsidR="00DC329D" w:rsidRPr="00A52AB8">
        <w:rPr>
          <w:color w:val="000000" w:themeColor="text1"/>
        </w:rPr>
        <w:t xml:space="preserve"> as the current </w:t>
      </w:r>
      <w:r w:rsidR="00B8075E" w:rsidRPr="00A52AB8">
        <w:rPr>
          <w:color w:val="000000" w:themeColor="text1"/>
        </w:rPr>
        <w:t>tile</w:t>
      </w:r>
      <w:r w:rsidR="00DC329D" w:rsidRPr="00A52AB8">
        <w:rPr>
          <w:color w:val="000000" w:themeColor="text1"/>
        </w:rPr>
        <w:t xml:space="preserve"> in the </w:t>
      </w:r>
      <w:r w:rsidR="008F0D00" w:rsidRPr="00A52AB8">
        <w:rPr>
          <w:color w:val="000000" w:themeColor="text1"/>
        </w:rPr>
        <w:t>atlas frame</w:t>
      </w:r>
      <w:r w:rsidR="00DC329D" w:rsidRPr="00A52AB8">
        <w:rPr>
          <w:color w:val="000000" w:themeColor="text1"/>
        </w:rPr>
        <w:t xml:space="preserve"> that </w:t>
      </w:r>
      <w:r w:rsidR="00502ABC" w:rsidRPr="00A52AB8">
        <w:rPr>
          <w:color w:val="000000" w:themeColor="text1"/>
        </w:rPr>
        <w:t>corre</w:t>
      </w:r>
      <w:r w:rsidR="00247033" w:rsidRPr="00A52AB8">
        <w:rPr>
          <w:color w:val="000000" w:themeColor="text1"/>
        </w:rPr>
        <w:t>s</w:t>
      </w:r>
      <w:r w:rsidR="00502ABC" w:rsidRPr="00A52AB8">
        <w:rPr>
          <w:color w:val="000000" w:themeColor="text1"/>
        </w:rPr>
        <w:t xml:space="preserve">ponds to the reference </w:t>
      </w:r>
      <w:r w:rsidR="00693851" w:rsidRPr="00A52AB8">
        <w:rPr>
          <w:color w:val="000000" w:themeColor="text1"/>
        </w:rPr>
        <w:t>r</w:t>
      </w:r>
      <w:r w:rsidR="00B60ABC" w:rsidRPr="00A52AB8">
        <w:rPr>
          <w:color w:val="000000" w:themeColor="text1"/>
        </w:rPr>
        <w:t>efIdx.</w:t>
      </w:r>
    </w:p>
    <w:p w14:paraId="5DAA2827" w14:textId="2A4A9411" w:rsidR="000B35B6" w:rsidRPr="00A52AB8" w:rsidRDefault="008E0086">
      <w:pPr>
        <w:rPr>
          <w:color w:val="000000" w:themeColor="text1"/>
        </w:rPr>
      </w:pPr>
      <w:r w:rsidRPr="00A52AB8">
        <w:rPr>
          <w:b/>
          <w:color w:val="000000" w:themeColor="text1"/>
        </w:rPr>
        <w:t>i</w:t>
      </w:r>
      <w:r w:rsidR="007356C4" w:rsidRPr="00A52AB8">
        <w:rPr>
          <w:b/>
          <w:color w:val="000000" w:themeColor="text1"/>
        </w:rPr>
        <w:t>pdu_3d_offset_u</w:t>
      </w:r>
      <w:r w:rsidR="00C4789A" w:rsidRPr="00A52AB8">
        <w:rPr>
          <w:lang w:eastAsia="ja-JP"/>
        </w:rPr>
        <w:t>[ </w:t>
      </w:r>
      <w:r w:rsidR="00632FA7" w:rsidRPr="00A52AB8">
        <w:rPr>
          <w:lang w:eastAsia="ja-JP"/>
        </w:rPr>
        <w:t>tileID</w:t>
      </w:r>
      <w:r w:rsidR="00C4789A" w:rsidRPr="00A52AB8">
        <w:rPr>
          <w:lang w:eastAsia="ja-JP"/>
        </w:rPr>
        <w:t> ]</w:t>
      </w:r>
      <w:r w:rsidR="00636D52" w:rsidRPr="00A52AB8">
        <w:rPr>
          <w:color w:val="000000" w:themeColor="text1"/>
        </w:rPr>
        <w:t>[ p ]</w:t>
      </w:r>
      <w:r w:rsidR="000B35B6" w:rsidRPr="00A52AB8">
        <w:rPr>
          <w:color w:val="000000" w:themeColor="text1"/>
        </w:rPr>
        <w:t xml:space="preserve"> specifies the difference </w:t>
      </w:r>
      <w:r w:rsidR="008E3E9F" w:rsidRPr="00A52AB8">
        <w:rPr>
          <w:color w:val="000000" w:themeColor="text1"/>
        </w:rPr>
        <w:t>between</w:t>
      </w:r>
      <w:r w:rsidR="000B35B6" w:rsidRPr="00A52AB8">
        <w:rPr>
          <w:color w:val="000000" w:themeColor="text1"/>
        </w:rPr>
        <w:t xml:space="preserve"> the shift to be applied to the reconstructed patch points along the tangent axis of </w:t>
      </w:r>
      <w:r w:rsidR="00165BB2" w:rsidRPr="00A52AB8">
        <w:rPr>
          <w:color w:val="000000" w:themeColor="text1"/>
        </w:rPr>
        <w:t xml:space="preserve">the </w:t>
      </w:r>
      <w:r w:rsidR="000B35B6" w:rsidRPr="00A52AB8">
        <w:rPr>
          <w:color w:val="000000" w:themeColor="text1"/>
        </w:rPr>
        <w:t>patch with index p in</w:t>
      </w:r>
      <w:r w:rsidR="008713E0" w:rsidRPr="00A52AB8">
        <w:rPr>
          <w:color w:val="000000" w:themeColor="text1"/>
        </w:rPr>
        <w:t xml:space="preserve"> the</w:t>
      </w:r>
      <w:r w:rsidR="000B35B6" w:rsidRPr="00A52AB8">
        <w:rPr>
          <w:color w:val="000000" w:themeColor="text1"/>
        </w:rPr>
        <w:t xml:space="preserve"> </w:t>
      </w:r>
      <w:r w:rsidR="00A63EEB" w:rsidRPr="00A52AB8">
        <w:rPr>
          <w:color w:val="000000" w:themeColor="text1"/>
        </w:rPr>
        <w:t xml:space="preserve">current </w:t>
      </w:r>
      <w:r w:rsidR="002A47BD" w:rsidRPr="00A52AB8">
        <w:rPr>
          <w:color w:val="000000" w:themeColor="text1"/>
        </w:rPr>
        <w:t xml:space="preserve">atlas </w:t>
      </w:r>
      <w:r w:rsidR="00B8075E" w:rsidRPr="00A52AB8">
        <w:rPr>
          <w:color w:val="000000" w:themeColor="text1"/>
        </w:rPr>
        <w:t>tile</w:t>
      </w:r>
      <w:r w:rsidR="00C4789A" w:rsidRPr="00A52AB8">
        <w:rPr>
          <w:color w:val="000000" w:themeColor="text1"/>
        </w:rPr>
        <w:t xml:space="preserve">, </w:t>
      </w:r>
      <w:r w:rsidR="00A41AF4" w:rsidRPr="00A52AB8">
        <w:rPr>
          <w:color w:val="000000" w:themeColor="text1"/>
        </w:rPr>
        <w:t>with tile ID equal to tileID</w:t>
      </w:r>
      <w:r w:rsidR="00C4789A" w:rsidRPr="00A52AB8">
        <w:rPr>
          <w:color w:val="000000" w:themeColor="text1"/>
        </w:rPr>
        <w:t xml:space="preserve">, </w:t>
      </w:r>
      <w:r w:rsidR="000B35B6" w:rsidRPr="00A52AB8">
        <w:rPr>
          <w:color w:val="000000" w:themeColor="text1"/>
        </w:rPr>
        <w:t xml:space="preserve">and of the shift to be applied to the reconstructed patch points along the tangent axis of </w:t>
      </w:r>
      <w:r w:rsidR="00165BB2" w:rsidRPr="00A52AB8">
        <w:rPr>
          <w:color w:val="000000" w:themeColor="text1"/>
        </w:rPr>
        <w:t xml:space="preserve">the </w:t>
      </w:r>
      <w:r w:rsidR="000B35B6" w:rsidRPr="00A52AB8">
        <w:rPr>
          <w:color w:val="000000" w:themeColor="text1"/>
        </w:rPr>
        <w:t xml:space="preserve">patch with index </w:t>
      </w:r>
      <w:r w:rsidR="002921E1" w:rsidRPr="00A52AB8">
        <w:rPr>
          <w:color w:val="000000" w:themeColor="text1"/>
        </w:rPr>
        <w:t>RefPatchIdx</w:t>
      </w:r>
      <w:r w:rsidR="000B35B6" w:rsidRPr="00A52AB8">
        <w:rPr>
          <w:color w:val="000000" w:themeColor="text1"/>
        </w:rPr>
        <w:t xml:space="preserve"> in </w:t>
      </w:r>
      <w:r w:rsidR="008713E0" w:rsidRPr="00A52AB8">
        <w:rPr>
          <w:color w:val="000000" w:themeColor="text1"/>
        </w:rPr>
        <w:t xml:space="preserve">the </w:t>
      </w:r>
      <w:r w:rsidR="002A47BD" w:rsidRPr="00A52AB8">
        <w:rPr>
          <w:color w:val="000000" w:themeColor="text1"/>
        </w:rPr>
        <w:t xml:space="preserve">atlas </w:t>
      </w:r>
      <w:r w:rsidR="00B8075E" w:rsidRPr="00A52AB8">
        <w:rPr>
          <w:color w:val="000000" w:themeColor="text1"/>
        </w:rPr>
        <w:t>tile</w:t>
      </w:r>
      <w:r w:rsidR="00DC329D" w:rsidRPr="00A52AB8">
        <w:rPr>
          <w:color w:val="000000" w:themeColor="text1"/>
        </w:rPr>
        <w:t xml:space="preserve"> with the same </w:t>
      </w:r>
      <w:r w:rsidR="004A199F" w:rsidRPr="00A52AB8">
        <w:rPr>
          <w:color w:val="000000" w:themeColor="text1"/>
        </w:rPr>
        <w:t>ID</w:t>
      </w:r>
      <w:r w:rsidR="00DC329D" w:rsidRPr="00A52AB8">
        <w:rPr>
          <w:color w:val="000000" w:themeColor="text1"/>
        </w:rPr>
        <w:t xml:space="preserve"> as the current </w:t>
      </w:r>
      <w:r w:rsidR="00B8075E" w:rsidRPr="00A52AB8">
        <w:rPr>
          <w:color w:val="000000" w:themeColor="text1"/>
        </w:rPr>
        <w:t>tile</w:t>
      </w:r>
      <w:r w:rsidR="00DC329D" w:rsidRPr="00A52AB8">
        <w:rPr>
          <w:color w:val="000000" w:themeColor="text1"/>
        </w:rPr>
        <w:t xml:space="preserve"> in the </w:t>
      </w:r>
      <w:r w:rsidR="008F0D00" w:rsidRPr="00A52AB8">
        <w:rPr>
          <w:color w:val="000000" w:themeColor="text1"/>
        </w:rPr>
        <w:t>atlas frame</w:t>
      </w:r>
      <w:r w:rsidR="00DC329D" w:rsidRPr="00A52AB8">
        <w:rPr>
          <w:color w:val="000000" w:themeColor="text1"/>
        </w:rPr>
        <w:t xml:space="preserve"> that </w:t>
      </w:r>
      <w:r w:rsidR="008713E0" w:rsidRPr="00A52AB8">
        <w:rPr>
          <w:color w:val="000000" w:themeColor="text1"/>
        </w:rPr>
        <w:t xml:space="preserve">corresponds to the reference </w:t>
      </w:r>
      <w:r w:rsidR="001C1646" w:rsidRPr="00A52AB8">
        <w:rPr>
          <w:color w:val="000000" w:themeColor="text1"/>
        </w:rPr>
        <w:t>r</w:t>
      </w:r>
      <w:r w:rsidR="000B35B6" w:rsidRPr="00A52AB8">
        <w:rPr>
          <w:color w:val="000000" w:themeColor="text1"/>
        </w:rPr>
        <w:t xml:space="preserve">efIdx. The value of </w:t>
      </w:r>
      <w:r w:rsidRPr="00A52AB8">
        <w:rPr>
          <w:color w:val="000000" w:themeColor="text1"/>
        </w:rPr>
        <w:t>i</w:t>
      </w:r>
      <w:r w:rsidR="007356C4" w:rsidRPr="00A52AB8">
        <w:rPr>
          <w:color w:val="000000" w:themeColor="text1"/>
        </w:rPr>
        <w:t>pdu_3d_offset_u</w:t>
      </w:r>
      <w:r w:rsidR="00C4789A" w:rsidRPr="00A52AB8">
        <w:rPr>
          <w:lang w:eastAsia="ja-JP"/>
        </w:rPr>
        <w:t>[ </w:t>
      </w:r>
      <w:r w:rsidR="00632FA7" w:rsidRPr="00A52AB8">
        <w:rPr>
          <w:lang w:eastAsia="ja-JP"/>
        </w:rPr>
        <w:t>tileID</w:t>
      </w:r>
      <w:r w:rsidR="00C4789A" w:rsidRPr="00A52AB8">
        <w:rPr>
          <w:lang w:eastAsia="ja-JP"/>
        </w:rPr>
        <w:t> ]</w:t>
      </w:r>
      <w:r w:rsidR="00636D52" w:rsidRPr="00A52AB8">
        <w:rPr>
          <w:color w:val="000000" w:themeColor="text1"/>
        </w:rPr>
        <w:t>[ p ]</w:t>
      </w:r>
      <w:r w:rsidR="000B35B6" w:rsidRPr="00A52AB8">
        <w:rPr>
          <w:color w:val="000000" w:themeColor="text1"/>
        </w:rPr>
        <w:t xml:space="preserve"> shall be in the range of </w:t>
      </w:r>
      <w:r w:rsidR="008E3E9F" w:rsidRPr="00A52AB8">
        <w:rPr>
          <w:color w:val="000000" w:themeColor="text1"/>
        </w:rPr>
        <w:t>(</w:t>
      </w:r>
      <w:r w:rsidR="00165BB2" w:rsidRPr="00A52AB8">
        <w:t> </w:t>
      </w:r>
      <w:r w:rsidR="008E3E9F" w:rsidRPr="00A52AB8">
        <w:rPr>
          <w:color w:val="000000" w:themeColor="text1"/>
        </w:rPr>
        <w:t>−2</w:t>
      </w:r>
      <w:r w:rsidR="00EC7C5E" w:rsidRPr="00A52AB8">
        <w:rPr>
          <w:color w:val="000000" w:themeColor="text1"/>
          <w:position w:val="6"/>
          <w:vertAlign w:val="superscript"/>
        </w:rPr>
        <w:t>asps_geometry_3d_bit</w:t>
      </w:r>
      <w:r w:rsidR="00C514C6" w:rsidRPr="00A52AB8">
        <w:rPr>
          <w:color w:val="000000" w:themeColor="text1"/>
          <w:position w:val="6"/>
          <w:vertAlign w:val="superscript"/>
        </w:rPr>
        <w:t xml:space="preserve"> </w:t>
      </w:r>
      <w:r w:rsidR="00EC7C5E" w:rsidRPr="00A52AB8">
        <w:rPr>
          <w:color w:val="000000" w:themeColor="text1"/>
          <w:position w:val="6"/>
          <w:vertAlign w:val="superscript"/>
        </w:rPr>
        <w:t>depth_minus1</w:t>
      </w:r>
      <w:r w:rsidR="008E3E9F" w:rsidRPr="00A52AB8">
        <w:rPr>
          <w:color w:val="000000" w:themeColor="text1"/>
          <w:position w:val="6"/>
          <w:vertAlign w:val="superscript"/>
        </w:rPr>
        <w:t>+1</w:t>
      </w:r>
      <w:r w:rsidR="008E3E9F" w:rsidRPr="00A52AB8">
        <w:rPr>
          <w:color w:val="000000" w:themeColor="text1"/>
        </w:rPr>
        <w:t> + 1</w:t>
      </w:r>
      <w:r w:rsidR="00165BB2" w:rsidRPr="00A52AB8">
        <w:rPr>
          <w:color w:val="000000" w:themeColor="text1"/>
        </w:rPr>
        <w:t> </w:t>
      </w:r>
      <w:r w:rsidR="008E3E9F" w:rsidRPr="00A52AB8">
        <w:rPr>
          <w:color w:val="000000" w:themeColor="text1"/>
        </w:rPr>
        <w:t>) to (</w:t>
      </w:r>
      <w:r w:rsidR="00165BB2" w:rsidRPr="00A52AB8">
        <w:rPr>
          <w:color w:val="000000" w:themeColor="text1"/>
        </w:rPr>
        <w:t> </w:t>
      </w:r>
      <w:r w:rsidR="008E3E9F" w:rsidRPr="00A52AB8">
        <w:rPr>
          <w:color w:val="000000" w:themeColor="text1"/>
        </w:rPr>
        <w:t>2</w:t>
      </w:r>
      <w:r w:rsidR="00EC7C5E" w:rsidRPr="00A52AB8">
        <w:rPr>
          <w:color w:val="000000" w:themeColor="text1"/>
          <w:position w:val="6"/>
          <w:vertAlign w:val="superscript"/>
        </w:rPr>
        <w:t>asps_geometry_3d_bit</w:t>
      </w:r>
      <w:r w:rsidR="00C514C6" w:rsidRPr="00A52AB8">
        <w:rPr>
          <w:color w:val="000000" w:themeColor="text1"/>
          <w:position w:val="6"/>
          <w:vertAlign w:val="superscript"/>
        </w:rPr>
        <w:t xml:space="preserve"> </w:t>
      </w:r>
      <w:r w:rsidR="00EC7C5E" w:rsidRPr="00A52AB8">
        <w:rPr>
          <w:color w:val="000000" w:themeColor="text1"/>
          <w:position w:val="6"/>
          <w:vertAlign w:val="superscript"/>
        </w:rPr>
        <w:t>depth_minus1</w:t>
      </w:r>
      <w:r w:rsidR="008E3E9F" w:rsidRPr="00A52AB8">
        <w:rPr>
          <w:color w:val="000000" w:themeColor="text1"/>
          <w:position w:val="6"/>
          <w:vertAlign w:val="superscript"/>
        </w:rPr>
        <w:t>+1</w:t>
      </w:r>
      <w:r w:rsidR="008E3E9F" w:rsidRPr="00A52AB8">
        <w:rPr>
          <w:color w:val="000000" w:themeColor="text1"/>
        </w:rPr>
        <w:t> </w:t>
      </w:r>
      <w:r w:rsidR="00165BB2" w:rsidRPr="00A52AB8">
        <w:rPr>
          <w:color w:val="000000" w:themeColor="text1"/>
        </w:rPr>
        <w:t>–</w:t>
      </w:r>
      <w:r w:rsidR="008E3E9F" w:rsidRPr="00A52AB8">
        <w:rPr>
          <w:color w:val="000000" w:themeColor="text1"/>
        </w:rPr>
        <w:t> 1</w:t>
      </w:r>
      <w:r w:rsidR="00165BB2" w:rsidRPr="00A52AB8">
        <w:rPr>
          <w:color w:val="000000" w:themeColor="text1"/>
        </w:rPr>
        <w:t> </w:t>
      </w:r>
      <w:r w:rsidR="008E3E9F" w:rsidRPr="00A52AB8">
        <w:rPr>
          <w:color w:val="000000" w:themeColor="text1"/>
        </w:rPr>
        <w:t>), inclusive.</w:t>
      </w:r>
    </w:p>
    <w:p w14:paraId="63D342FF" w14:textId="0AB534CD" w:rsidR="008E3E9F" w:rsidRPr="00A52AB8" w:rsidRDefault="008E0086">
      <w:pPr>
        <w:rPr>
          <w:color w:val="000000" w:themeColor="text1"/>
        </w:rPr>
      </w:pPr>
      <w:r w:rsidRPr="00A52AB8">
        <w:rPr>
          <w:b/>
          <w:color w:val="000000" w:themeColor="text1"/>
        </w:rPr>
        <w:t>i</w:t>
      </w:r>
      <w:r w:rsidR="007356C4" w:rsidRPr="00A52AB8">
        <w:rPr>
          <w:b/>
          <w:color w:val="000000" w:themeColor="text1"/>
        </w:rPr>
        <w:t>pdu_3d_offset_v</w:t>
      </w:r>
      <w:r w:rsidR="00C4789A" w:rsidRPr="00A52AB8">
        <w:rPr>
          <w:lang w:eastAsia="ja-JP"/>
        </w:rPr>
        <w:t>[ </w:t>
      </w:r>
      <w:r w:rsidR="00632FA7" w:rsidRPr="00A52AB8">
        <w:rPr>
          <w:lang w:eastAsia="ja-JP"/>
        </w:rPr>
        <w:t>tileID</w:t>
      </w:r>
      <w:r w:rsidR="00C4789A" w:rsidRPr="00A52AB8">
        <w:rPr>
          <w:lang w:eastAsia="ja-JP"/>
        </w:rPr>
        <w:t> ]</w:t>
      </w:r>
      <w:r w:rsidR="00636D52" w:rsidRPr="00A52AB8">
        <w:rPr>
          <w:color w:val="000000" w:themeColor="text1"/>
        </w:rPr>
        <w:t>[ p ]</w:t>
      </w:r>
      <w:r w:rsidR="008E3E9F" w:rsidRPr="00A52AB8">
        <w:rPr>
          <w:color w:val="000000" w:themeColor="text1"/>
        </w:rPr>
        <w:t xml:space="preserve"> specifies the difference between the shift to be applied to the reconstructed patch points along the </w:t>
      </w:r>
      <w:r w:rsidR="00141AB2" w:rsidRPr="00A52AB8">
        <w:rPr>
          <w:color w:val="000000" w:themeColor="text1"/>
        </w:rPr>
        <w:t>bi</w:t>
      </w:r>
      <w:r w:rsidR="00165BB2" w:rsidRPr="00A52AB8">
        <w:rPr>
          <w:color w:val="000000" w:themeColor="text1"/>
        </w:rPr>
        <w:noBreakHyphen/>
      </w:r>
      <w:r w:rsidR="00141AB2" w:rsidRPr="00A52AB8">
        <w:rPr>
          <w:color w:val="000000" w:themeColor="text1"/>
        </w:rPr>
        <w:t>tangent</w:t>
      </w:r>
      <w:r w:rsidR="008E3E9F" w:rsidRPr="00A52AB8">
        <w:rPr>
          <w:color w:val="000000" w:themeColor="text1"/>
        </w:rPr>
        <w:t xml:space="preserve"> axis of </w:t>
      </w:r>
      <w:r w:rsidR="00165BB2" w:rsidRPr="00A52AB8">
        <w:rPr>
          <w:color w:val="000000" w:themeColor="text1"/>
        </w:rPr>
        <w:t xml:space="preserve">the </w:t>
      </w:r>
      <w:r w:rsidR="008E3E9F" w:rsidRPr="00A52AB8">
        <w:rPr>
          <w:color w:val="000000" w:themeColor="text1"/>
        </w:rPr>
        <w:t xml:space="preserve">patch with index p in </w:t>
      </w:r>
      <w:r w:rsidR="00483A78" w:rsidRPr="00A52AB8">
        <w:rPr>
          <w:color w:val="000000" w:themeColor="text1"/>
        </w:rPr>
        <w:t xml:space="preserve">the </w:t>
      </w:r>
      <w:r w:rsidR="00A63EEB" w:rsidRPr="00A52AB8">
        <w:rPr>
          <w:color w:val="000000" w:themeColor="text1"/>
        </w:rPr>
        <w:t xml:space="preserve">current </w:t>
      </w:r>
      <w:r w:rsidR="002A47BD" w:rsidRPr="00A52AB8">
        <w:rPr>
          <w:color w:val="000000" w:themeColor="text1"/>
        </w:rPr>
        <w:t xml:space="preserve">atlas </w:t>
      </w:r>
      <w:r w:rsidR="00B8075E" w:rsidRPr="00A52AB8">
        <w:rPr>
          <w:color w:val="000000" w:themeColor="text1"/>
        </w:rPr>
        <w:t>tile</w:t>
      </w:r>
      <w:r w:rsidR="00C4789A" w:rsidRPr="00A52AB8">
        <w:rPr>
          <w:color w:val="000000" w:themeColor="text1"/>
        </w:rPr>
        <w:t>,</w:t>
      </w:r>
      <w:r w:rsidR="004E5C27" w:rsidRPr="00A52AB8">
        <w:rPr>
          <w:color w:val="000000" w:themeColor="text1"/>
        </w:rPr>
        <w:t xml:space="preserve"> </w:t>
      </w:r>
      <w:r w:rsidR="0036006A" w:rsidRPr="00A52AB8">
        <w:rPr>
          <w:color w:val="000000" w:themeColor="text1"/>
        </w:rPr>
        <w:t>with</w:t>
      </w:r>
      <w:r w:rsidR="008744B1" w:rsidRPr="00A52AB8">
        <w:rPr>
          <w:color w:val="000000" w:themeColor="text1"/>
        </w:rPr>
        <w:t xml:space="preserve"> tile</w:t>
      </w:r>
      <w:r w:rsidR="0036006A" w:rsidRPr="00A52AB8">
        <w:rPr>
          <w:color w:val="000000" w:themeColor="text1"/>
        </w:rPr>
        <w:t xml:space="preserve"> ID </w:t>
      </w:r>
      <w:r w:rsidR="008744B1" w:rsidRPr="00A52AB8">
        <w:rPr>
          <w:color w:val="000000" w:themeColor="text1"/>
        </w:rPr>
        <w:t xml:space="preserve">equal to </w:t>
      </w:r>
      <w:r w:rsidR="0036006A" w:rsidRPr="00A52AB8">
        <w:rPr>
          <w:color w:val="000000" w:themeColor="text1"/>
        </w:rPr>
        <w:t>tileID</w:t>
      </w:r>
      <w:r w:rsidR="00C4789A" w:rsidRPr="00A52AB8">
        <w:rPr>
          <w:color w:val="000000" w:themeColor="text1"/>
        </w:rPr>
        <w:t>,</w:t>
      </w:r>
      <w:r w:rsidR="008E3E9F" w:rsidRPr="00A52AB8">
        <w:rPr>
          <w:color w:val="000000" w:themeColor="text1"/>
        </w:rPr>
        <w:t xml:space="preserve"> and of the shift to be applied to the reconstructed patch points along the </w:t>
      </w:r>
      <w:r w:rsidR="00141AB2" w:rsidRPr="00A52AB8">
        <w:rPr>
          <w:color w:val="000000" w:themeColor="text1"/>
        </w:rPr>
        <w:t>bi</w:t>
      </w:r>
      <w:r w:rsidR="00165BB2" w:rsidRPr="00A52AB8">
        <w:rPr>
          <w:color w:val="000000" w:themeColor="text1"/>
        </w:rPr>
        <w:noBreakHyphen/>
      </w:r>
      <w:r w:rsidR="00141AB2" w:rsidRPr="00A52AB8">
        <w:rPr>
          <w:color w:val="000000" w:themeColor="text1"/>
        </w:rPr>
        <w:t>tangent</w:t>
      </w:r>
      <w:r w:rsidR="008E3E9F" w:rsidRPr="00A52AB8">
        <w:rPr>
          <w:color w:val="000000" w:themeColor="text1"/>
        </w:rPr>
        <w:t xml:space="preserve"> axis of </w:t>
      </w:r>
      <w:r w:rsidR="00483A78" w:rsidRPr="00A52AB8">
        <w:rPr>
          <w:color w:val="000000" w:themeColor="text1"/>
        </w:rPr>
        <w:t xml:space="preserve">the </w:t>
      </w:r>
      <w:r w:rsidR="008E3E9F" w:rsidRPr="00A52AB8">
        <w:rPr>
          <w:color w:val="000000" w:themeColor="text1"/>
        </w:rPr>
        <w:t xml:space="preserve">patch with index </w:t>
      </w:r>
      <w:r w:rsidR="002921E1" w:rsidRPr="00A52AB8">
        <w:rPr>
          <w:color w:val="000000" w:themeColor="text1"/>
        </w:rPr>
        <w:t>RefPatchIdx</w:t>
      </w:r>
      <w:r w:rsidR="008E3E9F" w:rsidRPr="00A52AB8">
        <w:rPr>
          <w:color w:val="000000" w:themeColor="text1"/>
        </w:rPr>
        <w:t xml:space="preserve"> in </w:t>
      </w:r>
      <w:r w:rsidR="00483A78" w:rsidRPr="00A52AB8">
        <w:rPr>
          <w:color w:val="000000" w:themeColor="text1"/>
        </w:rPr>
        <w:t xml:space="preserve">the </w:t>
      </w:r>
      <w:r w:rsidR="002A47BD" w:rsidRPr="00A52AB8">
        <w:rPr>
          <w:color w:val="000000" w:themeColor="text1"/>
        </w:rPr>
        <w:t xml:space="preserve">atlas </w:t>
      </w:r>
      <w:r w:rsidR="00B8075E" w:rsidRPr="00A52AB8">
        <w:rPr>
          <w:color w:val="000000" w:themeColor="text1"/>
        </w:rPr>
        <w:t>tile</w:t>
      </w:r>
      <w:r w:rsidR="00DC329D" w:rsidRPr="00A52AB8">
        <w:rPr>
          <w:color w:val="000000" w:themeColor="text1"/>
        </w:rPr>
        <w:t xml:space="preserve"> with the same </w:t>
      </w:r>
      <w:r w:rsidR="0001650D" w:rsidRPr="00A52AB8">
        <w:rPr>
          <w:color w:val="000000" w:themeColor="text1"/>
        </w:rPr>
        <w:t>ID</w:t>
      </w:r>
      <w:r w:rsidR="00DC329D" w:rsidRPr="00A52AB8">
        <w:rPr>
          <w:color w:val="000000" w:themeColor="text1"/>
        </w:rPr>
        <w:t xml:space="preserve"> as the current </w:t>
      </w:r>
      <w:r w:rsidR="00B8075E" w:rsidRPr="00A52AB8">
        <w:rPr>
          <w:color w:val="000000" w:themeColor="text1"/>
        </w:rPr>
        <w:t>tile</w:t>
      </w:r>
      <w:r w:rsidR="00DC329D" w:rsidRPr="00A52AB8">
        <w:rPr>
          <w:color w:val="000000" w:themeColor="text1"/>
        </w:rPr>
        <w:t xml:space="preserve"> in the </w:t>
      </w:r>
      <w:r w:rsidR="008F0D00" w:rsidRPr="00A52AB8">
        <w:rPr>
          <w:color w:val="000000" w:themeColor="text1"/>
        </w:rPr>
        <w:t>atlas frame</w:t>
      </w:r>
      <w:r w:rsidR="00DC329D" w:rsidRPr="00A52AB8">
        <w:rPr>
          <w:color w:val="000000" w:themeColor="text1"/>
        </w:rPr>
        <w:t xml:space="preserve"> that </w:t>
      </w:r>
      <w:r w:rsidR="00483A78" w:rsidRPr="00A52AB8">
        <w:rPr>
          <w:color w:val="000000" w:themeColor="text1"/>
        </w:rPr>
        <w:t xml:space="preserve">corresponds to </w:t>
      </w:r>
      <w:r w:rsidR="0066342E" w:rsidRPr="00A52AB8">
        <w:rPr>
          <w:color w:val="000000" w:themeColor="text1"/>
        </w:rPr>
        <w:t>r</w:t>
      </w:r>
      <w:r w:rsidR="008E3E9F" w:rsidRPr="00A52AB8">
        <w:rPr>
          <w:color w:val="000000" w:themeColor="text1"/>
        </w:rPr>
        <w:t xml:space="preserve">efIdx. The value of </w:t>
      </w:r>
      <w:r w:rsidRPr="00A52AB8">
        <w:rPr>
          <w:color w:val="000000" w:themeColor="text1"/>
        </w:rPr>
        <w:t>i</w:t>
      </w:r>
      <w:r w:rsidR="007356C4" w:rsidRPr="00A52AB8">
        <w:rPr>
          <w:color w:val="000000" w:themeColor="text1"/>
        </w:rPr>
        <w:t>pdu_3d_offset_v</w:t>
      </w:r>
      <w:r w:rsidR="00C4789A" w:rsidRPr="00A52AB8">
        <w:rPr>
          <w:lang w:eastAsia="ja-JP"/>
        </w:rPr>
        <w:t>[ </w:t>
      </w:r>
      <w:r w:rsidR="00632FA7" w:rsidRPr="00A52AB8">
        <w:rPr>
          <w:lang w:eastAsia="ja-JP"/>
        </w:rPr>
        <w:t>tileID</w:t>
      </w:r>
      <w:r w:rsidR="00C4789A" w:rsidRPr="00A52AB8">
        <w:rPr>
          <w:lang w:eastAsia="ja-JP"/>
        </w:rPr>
        <w:t> ]</w:t>
      </w:r>
      <w:r w:rsidR="00636D52" w:rsidRPr="00A52AB8">
        <w:rPr>
          <w:color w:val="000000" w:themeColor="text1"/>
        </w:rPr>
        <w:t>[ p ]</w:t>
      </w:r>
      <w:r w:rsidR="008E3E9F" w:rsidRPr="00A52AB8">
        <w:rPr>
          <w:color w:val="000000" w:themeColor="text1"/>
        </w:rPr>
        <w:t xml:space="preserve"> shall be in the range of (</w:t>
      </w:r>
      <w:r w:rsidR="00165BB2" w:rsidRPr="00A52AB8">
        <w:rPr>
          <w:color w:val="000000" w:themeColor="text1"/>
        </w:rPr>
        <w:t> </w:t>
      </w:r>
      <w:r w:rsidR="008E3E9F" w:rsidRPr="00A52AB8">
        <w:rPr>
          <w:color w:val="000000" w:themeColor="text1"/>
        </w:rPr>
        <w:t>−2</w:t>
      </w:r>
      <w:r w:rsidR="00EC7C5E" w:rsidRPr="00A52AB8">
        <w:rPr>
          <w:color w:val="000000" w:themeColor="text1"/>
          <w:position w:val="6"/>
          <w:vertAlign w:val="superscript"/>
        </w:rPr>
        <w:t>asps_geometry_3d_bit</w:t>
      </w:r>
      <w:r w:rsidR="00C514C6" w:rsidRPr="00A52AB8">
        <w:rPr>
          <w:color w:val="000000" w:themeColor="text1"/>
          <w:position w:val="6"/>
          <w:vertAlign w:val="superscript"/>
        </w:rPr>
        <w:t>_</w:t>
      </w:r>
      <w:r w:rsidR="00EC7C5E" w:rsidRPr="00A52AB8">
        <w:rPr>
          <w:color w:val="000000" w:themeColor="text1"/>
          <w:position w:val="6"/>
          <w:vertAlign w:val="superscript"/>
        </w:rPr>
        <w:t>depth_minus1</w:t>
      </w:r>
      <w:r w:rsidR="008E3E9F" w:rsidRPr="00A52AB8">
        <w:rPr>
          <w:color w:val="000000" w:themeColor="text1"/>
          <w:position w:val="6"/>
          <w:vertAlign w:val="superscript"/>
        </w:rPr>
        <w:t>+1</w:t>
      </w:r>
      <w:r w:rsidR="008E3E9F" w:rsidRPr="00A52AB8">
        <w:rPr>
          <w:color w:val="000000" w:themeColor="text1"/>
        </w:rPr>
        <w:t> + 1</w:t>
      </w:r>
      <w:r w:rsidR="00165BB2" w:rsidRPr="00A52AB8">
        <w:rPr>
          <w:color w:val="000000" w:themeColor="text1"/>
        </w:rPr>
        <w:t> </w:t>
      </w:r>
      <w:r w:rsidR="008E3E9F" w:rsidRPr="00A52AB8">
        <w:rPr>
          <w:color w:val="000000" w:themeColor="text1"/>
        </w:rPr>
        <w:t>) to (</w:t>
      </w:r>
      <w:r w:rsidR="00165BB2" w:rsidRPr="00A52AB8">
        <w:rPr>
          <w:color w:val="000000" w:themeColor="text1"/>
        </w:rPr>
        <w:t> </w:t>
      </w:r>
      <w:r w:rsidR="008E3E9F" w:rsidRPr="00A52AB8">
        <w:rPr>
          <w:color w:val="000000" w:themeColor="text1"/>
        </w:rPr>
        <w:t>2</w:t>
      </w:r>
      <w:r w:rsidR="00EC7C5E" w:rsidRPr="00A52AB8">
        <w:rPr>
          <w:color w:val="000000" w:themeColor="text1"/>
          <w:position w:val="6"/>
          <w:vertAlign w:val="superscript"/>
        </w:rPr>
        <w:t>asps_geometry_3d_bit</w:t>
      </w:r>
      <w:r w:rsidR="00C514C6" w:rsidRPr="00A52AB8">
        <w:rPr>
          <w:color w:val="000000" w:themeColor="text1"/>
          <w:position w:val="6"/>
          <w:vertAlign w:val="superscript"/>
        </w:rPr>
        <w:t>_</w:t>
      </w:r>
      <w:r w:rsidR="00EC7C5E" w:rsidRPr="00A52AB8">
        <w:rPr>
          <w:color w:val="000000" w:themeColor="text1"/>
          <w:position w:val="6"/>
          <w:vertAlign w:val="superscript"/>
        </w:rPr>
        <w:t>depth_minus1</w:t>
      </w:r>
      <w:r w:rsidR="008E3E9F" w:rsidRPr="00A52AB8">
        <w:rPr>
          <w:color w:val="000000" w:themeColor="text1"/>
          <w:position w:val="6"/>
          <w:vertAlign w:val="superscript"/>
        </w:rPr>
        <w:t>+1</w:t>
      </w:r>
      <w:r w:rsidR="008E3E9F" w:rsidRPr="00A52AB8">
        <w:rPr>
          <w:color w:val="000000" w:themeColor="text1"/>
        </w:rPr>
        <w:t> </w:t>
      </w:r>
      <w:r w:rsidR="00165BB2" w:rsidRPr="00A52AB8">
        <w:rPr>
          <w:color w:val="000000" w:themeColor="text1"/>
        </w:rPr>
        <w:t>–</w:t>
      </w:r>
      <w:r w:rsidR="008E3E9F" w:rsidRPr="00A52AB8">
        <w:rPr>
          <w:color w:val="000000" w:themeColor="text1"/>
        </w:rPr>
        <w:t> 1</w:t>
      </w:r>
      <w:r w:rsidR="00165BB2" w:rsidRPr="00A52AB8">
        <w:rPr>
          <w:color w:val="000000" w:themeColor="text1"/>
        </w:rPr>
        <w:t> </w:t>
      </w:r>
      <w:r w:rsidR="008E3E9F" w:rsidRPr="00A52AB8">
        <w:rPr>
          <w:color w:val="000000" w:themeColor="text1"/>
        </w:rPr>
        <w:t>), inclusive.</w:t>
      </w:r>
    </w:p>
    <w:p w14:paraId="3ABE20E1" w14:textId="04CA8366" w:rsidR="0024264A" w:rsidRPr="00A52AB8" w:rsidRDefault="008E0086">
      <w:pPr>
        <w:rPr>
          <w:color w:val="000000" w:themeColor="text1"/>
        </w:rPr>
      </w:pPr>
      <w:r w:rsidRPr="00A52AB8">
        <w:rPr>
          <w:b/>
          <w:color w:val="000000" w:themeColor="text1"/>
        </w:rPr>
        <w:t>i</w:t>
      </w:r>
      <w:r w:rsidR="007356C4" w:rsidRPr="00A52AB8">
        <w:rPr>
          <w:b/>
          <w:color w:val="000000" w:themeColor="text1"/>
        </w:rPr>
        <w:t>pdu_3d_offset_d</w:t>
      </w:r>
      <w:r w:rsidR="00C4789A" w:rsidRPr="00A52AB8">
        <w:rPr>
          <w:lang w:eastAsia="ja-JP"/>
        </w:rPr>
        <w:t>[ </w:t>
      </w:r>
      <w:r w:rsidR="00632FA7" w:rsidRPr="00A52AB8">
        <w:rPr>
          <w:lang w:eastAsia="ja-JP"/>
        </w:rPr>
        <w:t>tileID</w:t>
      </w:r>
      <w:r w:rsidR="00C4789A" w:rsidRPr="00A52AB8">
        <w:rPr>
          <w:lang w:eastAsia="ja-JP"/>
        </w:rPr>
        <w:t> ]</w:t>
      </w:r>
      <w:r w:rsidR="00636D52" w:rsidRPr="00A52AB8">
        <w:rPr>
          <w:color w:val="000000" w:themeColor="text1"/>
        </w:rPr>
        <w:t>[ p ]</w:t>
      </w:r>
      <w:r w:rsidR="008E3E9F" w:rsidRPr="00A52AB8">
        <w:rPr>
          <w:color w:val="000000" w:themeColor="text1"/>
        </w:rPr>
        <w:t xml:space="preserve"> specifies the difference between the shift to be applied to the reconstructed patch points along the normal axis of </w:t>
      </w:r>
      <w:r w:rsidR="00165BB2" w:rsidRPr="00A52AB8">
        <w:rPr>
          <w:color w:val="000000" w:themeColor="text1"/>
        </w:rPr>
        <w:t xml:space="preserve">the </w:t>
      </w:r>
      <w:r w:rsidR="008E3E9F" w:rsidRPr="00A52AB8">
        <w:rPr>
          <w:color w:val="000000" w:themeColor="text1"/>
        </w:rPr>
        <w:t xml:space="preserve">patch with index p in </w:t>
      </w:r>
      <w:r w:rsidR="00F61514" w:rsidRPr="00A52AB8">
        <w:rPr>
          <w:color w:val="000000" w:themeColor="text1"/>
        </w:rPr>
        <w:t xml:space="preserve">the </w:t>
      </w:r>
      <w:r w:rsidR="00A63EEB" w:rsidRPr="00A52AB8">
        <w:rPr>
          <w:color w:val="000000" w:themeColor="text1"/>
        </w:rPr>
        <w:t xml:space="preserve">current </w:t>
      </w:r>
      <w:r w:rsidR="002A47BD" w:rsidRPr="00A52AB8">
        <w:rPr>
          <w:color w:val="000000" w:themeColor="text1"/>
        </w:rPr>
        <w:t xml:space="preserve">atlas </w:t>
      </w:r>
      <w:r w:rsidR="00B8075E" w:rsidRPr="00A52AB8">
        <w:rPr>
          <w:color w:val="000000" w:themeColor="text1"/>
        </w:rPr>
        <w:t>tile</w:t>
      </w:r>
      <w:r w:rsidR="00C4789A" w:rsidRPr="00A52AB8">
        <w:rPr>
          <w:color w:val="000000" w:themeColor="text1"/>
        </w:rPr>
        <w:t xml:space="preserve">, </w:t>
      </w:r>
      <w:r w:rsidR="00A41AF4" w:rsidRPr="00A52AB8">
        <w:rPr>
          <w:color w:val="000000" w:themeColor="text1"/>
        </w:rPr>
        <w:t>with tile ID equal to tileID</w:t>
      </w:r>
      <w:r w:rsidR="00C4789A" w:rsidRPr="00A52AB8">
        <w:rPr>
          <w:color w:val="000000" w:themeColor="text1"/>
        </w:rPr>
        <w:t>,</w:t>
      </w:r>
      <w:r w:rsidR="008E3E9F" w:rsidRPr="00A52AB8">
        <w:rPr>
          <w:color w:val="000000" w:themeColor="text1"/>
        </w:rPr>
        <w:t xml:space="preserve"> and of the shift to be applied to the reconstructed patch points along the normal axis of </w:t>
      </w:r>
      <w:r w:rsidR="00165BB2" w:rsidRPr="00A52AB8">
        <w:rPr>
          <w:color w:val="000000" w:themeColor="text1"/>
        </w:rPr>
        <w:t xml:space="preserve">the </w:t>
      </w:r>
      <w:r w:rsidR="008E3E9F" w:rsidRPr="00A52AB8">
        <w:rPr>
          <w:color w:val="000000" w:themeColor="text1"/>
        </w:rPr>
        <w:t xml:space="preserve">patch with index </w:t>
      </w:r>
      <w:r w:rsidR="002921E1" w:rsidRPr="00A52AB8">
        <w:rPr>
          <w:color w:val="000000" w:themeColor="text1"/>
        </w:rPr>
        <w:t>RefPatchIdx</w:t>
      </w:r>
      <w:r w:rsidR="008E3E9F" w:rsidRPr="00A52AB8">
        <w:rPr>
          <w:color w:val="000000" w:themeColor="text1"/>
        </w:rPr>
        <w:t xml:space="preserve"> in </w:t>
      </w:r>
      <w:r w:rsidR="00F61514" w:rsidRPr="00A52AB8">
        <w:rPr>
          <w:color w:val="000000" w:themeColor="text1"/>
        </w:rPr>
        <w:t xml:space="preserve">the </w:t>
      </w:r>
      <w:r w:rsidR="002A47BD" w:rsidRPr="00A52AB8">
        <w:rPr>
          <w:color w:val="000000" w:themeColor="text1"/>
        </w:rPr>
        <w:t xml:space="preserve">atlas </w:t>
      </w:r>
      <w:r w:rsidR="00B8075E" w:rsidRPr="00A52AB8">
        <w:rPr>
          <w:color w:val="000000" w:themeColor="text1"/>
        </w:rPr>
        <w:t>tile</w:t>
      </w:r>
      <w:r w:rsidR="00DC329D" w:rsidRPr="00A52AB8">
        <w:rPr>
          <w:color w:val="000000" w:themeColor="text1"/>
        </w:rPr>
        <w:t xml:space="preserve"> with the same </w:t>
      </w:r>
      <w:r w:rsidR="0001650D" w:rsidRPr="00A52AB8">
        <w:rPr>
          <w:color w:val="000000" w:themeColor="text1"/>
        </w:rPr>
        <w:t>ID</w:t>
      </w:r>
      <w:r w:rsidR="00DC329D" w:rsidRPr="00A52AB8">
        <w:rPr>
          <w:color w:val="000000" w:themeColor="text1"/>
        </w:rPr>
        <w:t xml:space="preserve"> as the current </w:t>
      </w:r>
      <w:r w:rsidR="00B8075E" w:rsidRPr="00A52AB8">
        <w:rPr>
          <w:color w:val="000000" w:themeColor="text1"/>
        </w:rPr>
        <w:t>tile</w:t>
      </w:r>
      <w:r w:rsidR="00DC329D" w:rsidRPr="00A52AB8">
        <w:rPr>
          <w:color w:val="000000" w:themeColor="text1"/>
        </w:rPr>
        <w:t xml:space="preserve"> in the </w:t>
      </w:r>
      <w:r w:rsidR="008F0D00" w:rsidRPr="00A52AB8">
        <w:rPr>
          <w:color w:val="000000" w:themeColor="text1"/>
        </w:rPr>
        <w:t>atlas frame</w:t>
      </w:r>
      <w:r w:rsidR="00DC329D" w:rsidRPr="00A52AB8">
        <w:rPr>
          <w:color w:val="000000" w:themeColor="text1"/>
        </w:rPr>
        <w:t xml:space="preserve"> that </w:t>
      </w:r>
      <w:r w:rsidR="00F61514" w:rsidRPr="00A52AB8">
        <w:rPr>
          <w:color w:val="000000" w:themeColor="text1"/>
        </w:rPr>
        <w:t xml:space="preserve">corresponds to </w:t>
      </w:r>
      <w:r w:rsidR="007B01D6" w:rsidRPr="00A52AB8">
        <w:rPr>
          <w:color w:val="000000" w:themeColor="text1"/>
        </w:rPr>
        <w:t>r</w:t>
      </w:r>
      <w:r w:rsidR="008E3E9F" w:rsidRPr="00A52AB8">
        <w:rPr>
          <w:color w:val="000000" w:themeColor="text1"/>
        </w:rPr>
        <w:t>efIdx</w:t>
      </w:r>
      <w:r w:rsidR="0024264A" w:rsidRPr="00A52AB8">
        <w:rPr>
          <w:color w:val="000000" w:themeColor="text1"/>
        </w:rPr>
        <w:t xml:space="preserve">, </w:t>
      </w:r>
      <w:r w:rsidRPr="00A52AB8">
        <w:rPr>
          <w:color w:val="000000" w:themeColor="text1"/>
        </w:rPr>
        <w:t>Ip</w:t>
      </w:r>
      <w:r w:rsidR="00141AB2" w:rsidRPr="00A52AB8">
        <w:rPr>
          <w:color w:val="000000" w:themeColor="text1"/>
        </w:rPr>
        <w:t>du3dOffsetD</w:t>
      </w:r>
      <w:r w:rsidR="00C4789A" w:rsidRPr="00A52AB8">
        <w:rPr>
          <w:lang w:eastAsia="ja-JP"/>
        </w:rPr>
        <w:t>[ </w:t>
      </w:r>
      <w:r w:rsidR="00632FA7" w:rsidRPr="00A52AB8">
        <w:rPr>
          <w:lang w:eastAsia="ja-JP"/>
        </w:rPr>
        <w:t>tileID</w:t>
      </w:r>
      <w:r w:rsidR="00C4789A" w:rsidRPr="00A52AB8">
        <w:rPr>
          <w:lang w:eastAsia="ja-JP"/>
        </w:rPr>
        <w:t> ]</w:t>
      </w:r>
      <w:r w:rsidR="0024264A" w:rsidRPr="00A52AB8">
        <w:rPr>
          <w:color w:val="000000" w:themeColor="text1"/>
        </w:rPr>
        <w:t>[ p ], as follows:</w:t>
      </w:r>
    </w:p>
    <w:p w14:paraId="2B003553" w14:textId="6EF2651E" w:rsidR="0024264A" w:rsidRPr="00A52AB8" w:rsidRDefault="00584501">
      <w:pPr>
        <w:rPr>
          <w:color w:val="000000" w:themeColor="text1"/>
        </w:rPr>
      </w:pPr>
      <w:r w:rsidRPr="00A52AB8">
        <w:rPr>
          <w:color w:val="000000" w:themeColor="text1"/>
        </w:rPr>
        <w:tab/>
      </w:r>
      <w:r w:rsidR="008E0086" w:rsidRPr="00A52AB8">
        <w:rPr>
          <w:color w:val="000000" w:themeColor="text1"/>
        </w:rPr>
        <w:t>Ip</w:t>
      </w:r>
      <w:r w:rsidR="00141AB2" w:rsidRPr="00A52AB8">
        <w:rPr>
          <w:color w:val="000000" w:themeColor="text1"/>
        </w:rPr>
        <w:t>du3dOffsetD</w:t>
      </w:r>
      <w:r w:rsidR="00C4789A" w:rsidRPr="00A52AB8">
        <w:rPr>
          <w:lang w:eastAsia="ja-JP"/>
        </w:rPr>
        <w:t>[ </w:t>
      </w:r>
      <w:r w:rsidR="00632FA7" w:rsidRPr="00A52AB8">
        <w:rPr>
          <w:lang w:eastAsia="ja-JP"/>
        </w:rPr>
        <w:t>tileID</w:t>
      </w:r>
      <w:r w:rsidR="00C4789A" w:rsidRPr="00A52AB8">
        <w:rPr>
          <w:lang w:eastAsia="ja-JP"/>
        </w:rPr>
        <w:t> ]</w:t>
      </w:r>
      <w:r w:rsidR="008726C3" w:rsidRPr="00A52AB8">
        <w:rPr>
          <w:color w:val="000000" w:themeColor="text1"/>
        </w:rPr>
        <w:t>[ p ]</w:t>
      </w:r>
      <w:r w:rsidR="00D47707" w:rsidRPr="00A52AB8">
        <w:rPr>
          <w:color w:val="000000" w:themeColor="text1"/>
        </w:rPr>
        <w:t> = </w:t>
      </w:r>
      <w:r w:rsidR="008E0086" w:rsidRPr="00A52AB8">
        <w:rPr>
          <w:color w:val="000000" w:themeColor="text1"/>
        </w:rPr>
        <w:t>i</w:t>
      </w:r>
      <w:r w:rsidR="007356C4" w:rsidRPr="00A52AB8">
        <w:rPr>
          <w:color w:val="000000" w:themeColor="text1"/>
        </w:rPr>
        <w:t>pdu_3d_offset_d</w:t>
      </w:r>
      <w:r w:rsidR="00C4789A" w:rsidRPr="00A52AB8">
        <w:rPr>
          <w:lang w:eastAsia="ja-JP"/>
        </w:rPr>
        <w:t>[ </w:t>
      </w:r>
      <w:r w:rsidR="00632FA7" w:rsidRPr="00A52AB8">
        <w:rPr>
          <w:lang w:eastAsia="ja-JP"/>
        </w:rPr>
        <w:t>tileID</w:t>
      </w:r>
      <w:r w:rsidR="00C4789A" w:rsidRPr="00A52AB8">
        <w:rPr>
          <w:lang w:eastAsia="ja-JP"/>
        </w:rPr>
        <w:t> ]</w:t>
      </w:r>
      <w:r w:rsidR="008726C3" w:rsidRPr="00A52AB8">
        <w:rPr>
          <w:color w:val="000000" w:themeColor="text1"/>
        </w:rPr>
        <w:t>[ p ] &lt;&lt; </w:t>
      </w:r>
      <w:r w:rsidR="00766CC9" w:rsidRPr="00A52AB8">
        <w:rPr>
          <w:color w:val="000000" w:themeColor="text1"/>
        </w:rPr>
        <w:t>ath_pos_min_d_quantizer</w:t>
      </w:r>
      <w:r w:rsidR="0024264A" w:rsidRPr="00A52AB8">
        <w:tab/>
        <w:t>(</w:t>
      </w:r>
      <w:r w:rsidR="0024264A" w:rsidRPr="00496A4D">
        <w:fldChar w:fldCharType="begin"/>
      </w:r>
      <w:r w:rsidR="0024264A" w:rsidRPr="00A52AB8">
        <w:instrText xml:space="preserve"> </w:instrText>
      </w:r>
      <w:r w:rsidR="00646520" w:rsidRPr="00A52AB8">
        <w:instrText>SEQ Equation \* ARABIC \n</w:instrText>
      </w:r>
      <w:r w:rsidR="0024264A" w:rsidRPr="00A52AB8">
        <w:instrText xml:space="preserve"> </w:instrText>
      </w:r>
      <w:r w:rsidR="0024264A" w:rsidRPr="00496A4D">
        <w:fldChar w:fldCharType="separate"/>
      </w:r>
      <w:r w:rsidR="00507A67">
        <w:rPr>
          <w:noProof/>
        </w:rPr>
        <w:t>35</w:t>
      </w:r>
      <w:r w:rsidR="0024264A" w:rsidRPr="00496A4D">
        <w:fldChar w:fldCharType="end"/>
      </w:r>
      <w:r w:rsidR="0024264A" w:rsidRPr="00A52AB8">
        <w:t>)</w:t>
      </w:r>
    </w:p>
    <w:p w14:paraId="420A85F9" w14:textId="67D36B53" w:rsidR="008E3E9F" w:rsidRPr="00A52AB8" w:rsidRDefault="008E3E9F">
      <w:pPr>
        <w:rPr>
          <w:color w:val="000000" w:themeColor="text1"/>
        </w:rPr>
      </w:pPr>
      <w:r w:rsidRPr="00A52AB8">
        <w:rPr>
          <w:color w:val="000000" w:themeColor="text1"/>
        </w:rPr>
        <w:t xml:space="preserve">The value of </w:t>
      </w:r>
      <w:r w:rsidR="008E0086" w:rsidRPr="00A52AB8">
        <w:rPr>
          <w:color w:val="000000" w:themeColor="text1"/>
        </w:rPr>
        <w:t>i</w:t>
      </w:r>
      <w:r w:rsidR="007356C4" w:rsidRPr="00A52AB8">
        <w:rPr>
          <w:color w:val="000000" w:themeColor="text1"/>
        </w:rPr>
        <w:t>pdu_3d_offset_d</w:t>
      </w:r>
      <w:r w:rsidR="00C4789A" w:rsidRPr="00A52AB8">
        <w:rPr>
          <w:lang w:eastAsia="ja-JP"/>
        </w:rPr>
        <w:t>[ </w:t>
      </w:r>
      <w:r w:rsidR="00632FA7" w:rsidRPr="00A52AB8">
        <w:rPr>
          <w:lang w:eastAsia="ja-JP"/>
        </w:rPr>
        <w:t>tileID</w:t>
      </w:r>
      <w:r w:rsidR="00C4789A" w:rsidRPr="00A52AB8">
        <w:rPr>
          <w:lang w:eastAsia="ja-JP"/>
        </w:rPr>
        <w:t> ]</w:t>
      </w:r>
      <w:r w:rsidR="00636D52" w:rsidRPr="00A52AB8">
        <w:rPr>
          <w:color w:val="000000" w:themeColor="text1"/>
        </w:rPr>
        <w:t>[ p ]</w:t>
      </w:r>
      <w:r w:rsidRPr="00A52AB8">
        <w:rPr>
          <w:color w:val="000000" w:themeColor="text1"/>
        </w:rPr>
        <w:t xml:space="preserve"> shall be in the range of (</w:t>
      </w:r>
      <w:r w:rsidR="00165BB2" w:rsidRPr="00A52AB8">
        <w:rPr>
          <w:color w:val="000000" w:themeColor="text1"/>
        </w:rPr>
        <w:t> </w:t>
      </w:r>
      <w:r w:rsidRPr="00A52AB8">
        <w:rPr>
          <w:color w:val="000000" w:themeColor="text1"/>
        </w:rPr>
        <w:t>−2</w:t>
      </w:r>
      <w:r w:rsidR="00EC7C5E" w:rsidRPr="00A52AB8">
        <w:rPr>
          <w:color w:val="000000" w:themeColor="text1"/>
          <w:position w:val="6"/>
          <w:vertAlign w:val="superscript"/>
        </w:rPr>
        <w:t>asps_geometry_3d_bit</w:t>
      </w:r>
      <w:r w:rsidR="00C514C6" w:rsidRPr="00A52AB8">
        <w:rPr>
          <w:color w:val="000000" w:themeColor="text1"/>
          <w:position w:val="6"/>
          <w:vertAlign w:val="superscript"/>
        </w:rPr>
        <w:t>_</w:t>
      </w:r>
      <w:r w:rsidR="00EC7C5E" w:rsidRPr="00A52AB8">
        <w:rPr>
          <w:color w:val="000000" w:themeColor="text1"/>
          <w:position w:val="6"/>
          <w:vertAlign w:val="superscript"/>
        </w:rPr>
        <w:t>depth_minus1</w:t>
      </w:r>
      <w:r w:rsidRPr="00A52AB8">
        <w:rPr>
          <w:color w:val="000000" w:themeColor="text1"/>
          <w:position w:val="6"/>
          <w:vertAlign w:val="superscript"/>
        </w:rPr>
        <w:t>+1</w:t>
      </w:r>
      <w:r w:rsidRPr="00A52AB8">
        <w:rPr>
          <w:color w:val="000000" w:themeColor="text1"/>
        </w:rPr>
        <w:t> + 1</w:t>
      </w:r>
      <w:r w:rsidR="00165BB2" w:rsidRPr="00A52AB8">
        <w:rPr>
          <w:color w:val="000000" w:themeColor="text1"/>
        </w:rPr>
        <w:t> </w:t>
      </w:r>
      <w:r w:rsidRPr="00A52AB8">
        <w:rPr>
          <w:color w:val="000000" w:themeColor="text1"/>
        </w:rPr>
        <w:t>) to (</w:t>
      </w:r>
      <w:r w:rsidR="00165BB2" w:rsidRPr="00A52AB8">
        <w:rPr>
          <w:color w:val="000000" w:themeColor="text1"/>
        </w:rPr>
        <w:t> </w:t>
      </w:r>
      <w:r w:rsidRPr="00A52AB8">
        <w:rPr>
          <w:color w:val="000000" w:themeColor="text1"/>
        </w:rPr>
        <w:t>2</w:t>
      </w:r>
      <w:r w:rsidR="00EC7C5E" w:rsidRPr="00A52AB8">
        <w:rPr>
          <w:color w:val="000000" w:themeColor="text1"/>
          <w:position w:val="6"/>
          <w:vertAlign w:val="superscript"/>
        </w:rPr>
        <w:t>asps_geometry_3d_bit</w:t>
      </w:r>
      <w:r w:rsidR="00C514C6" w:rsidRPr="00A52AB8">
        <w:rPr>
          <w:color w:val="000000" w:themeColor="text1"/>
          <w:position w:val="6"/>
          <w:vertAlign w:val="superscript"/>
        </w:rPr>
        <w:t>_</w:t>
      </w:r>
      <w:r w:rsidR="00EC7C5E" w:rsidRPr="00A52AB8">
        <w:rPr>
          <w:color w:val="000000" w:themeColor="text1"/>
          <w:position w:val="6"/>
          <w:vertAlign w:val="superscript"/>
        </w:rPr>
        <w:t>depth_minus1</w:t>
      </w:r>
      <w:r w:rsidRPr="00A52AB8">
        <w:rPr>
          <w:color w:val="000000" w:themeColor="text1"/>
          <w:position w:val="6"/>
          <w:vertAlign w:val="superscript"/>
        </w:rPr>
        <w:t>+1</w:t>
      </w:r>
      <w:r w:rsidRPr="00A52AB8">
        <w:rPr>
          <w:color w:val="000000" w:themeColor="text1"/>
        </w:rPr>
        <w:t> </w:t>
      </w:r>
      <w:r w:rsidR="00165BB2" w:rsidRPr="00A52AB8">
        <w:rPr>
          <w:color w:val="000000" w:themeColor="text1"/>
        </w:rPr>
        <w:t>–</w:t>
      </w:r>
      <w:r w:rsidRPr="00A52AB8">
        <w:rPr>
          <w:color w:val="000000" w:themeColor="text1"/>
        </w:rPr>
        <w:t> 1</w:t>
      </w:r>
      <w:r w:rsidR="00165BB2" w:rsidRPr="00A52AB8">
        <w:rPr>
          <w:color w:val="000000" w:themeColor="text1"/>
        </w:rPr>
        <w:t> </w:t>
      </w:r>
      <w:r w:rsidRPr="00A52AB8">
        <w:rPr>
          <w:color w:val="000000" w:themeColor="text1"/>
        </w:rPr>
        <w:t>), inclusive.</w:t>
      </w:r>
    </w:p>
    <w:p w14:paraId="28C26C9D" w14:textId="5D53E4DC" w:rsidR="0024264A" w:rsidRPr="00A52AB8" w:rsidRDefault="008E0086">
      <w:pPr>
        <w:rPr>
          <w:color w:val="000000" w:themeColor="text1"/>
        </w:rPr>
      </w:pPr>
      <w:r w:rsidRPr="00A52AB8">
        <w:rPr>
          <w:b/>
          <w:color w:val="000000" w:themeColor="text1"/>
        </w:rPr>
        <w:t>i</w:t>
      </w:r>
      <w:r w:rsidR="007356C4" w:rsidRPr="00A52AB8">
        <w:rPr>
          <w:b/>
          <w:color w:val="000000" w:themeColor="text1"/>
        </w:rPr>
        <w:t>pdu_3d_range_d</w:t>
      </w:r>
      <w:r w:rsidR="00C4789A" w:rsidRPr="00A52AB8">
        <w:rPr>
          <w:lang w:eastAsia="ja-JP"/>
        </w:rPr>
        <w:t>[ </w:t>
      </w:r>
      <w:r w:rsidR="00632FA7" w:rsidRPr="00A52AB8">
        <w:rPr>
          <w:lang w:eastAsia="ja-JP"/>
        </w:rPr>
        <w:t>tileID</w:t>
      </w:r>
      <w:r w:rsidR="00C4789A" w:rsidRPr="00A52AB8">
        <w:rPr>
          <w:lang w:eastAsia="ja-JP"/>
        </w:rPr>
        <w:t> ]</w:t>
      </w:r>
      <w:r w:rsidR="0024264A" w:rsidRPr="00A52AB8">
        <w:rPr>
          <w:color w:val="000000" w:themeColor="text1"/>
        </w:rPr>
        <w:t>[ p ], if present,</w:t>
      </w:r>
      <w:r w:rsidR="0024264A" w:rsidRPr="00A52AB8" w:rsidDel="00550AC5">
        <w:rPr>
          <w:color w:val="000000" w:themeColor="text1"/>
        </w:rPr>
        <w:t xml:space="preserve"> </w:t>
      </w:r>
      <w:r w:rsidR="0024264A" w:rsidRPr="00A52AB8">
        <w:rPr>
          <w:color w:val="000000" w:themeColor="text1"/>
        </w:rPr>
        <w:t>specifies the difference between the nominal maximum value of the shift expected to be present in the reconstructed bit</w:t>
      </w:r>
      <w:r w:rsidR="00C514C6" w:rsidRPr="00A52AB8">
        <w:rPr>
          <w:color w:val="000000" w:themeColor="text1"/>
        </w:rPr>
        <w:t xml:space="preserve"> </w:t>
      </w:r>
      <w:r w:rsidR="0024264A" w:rsidRPr="00A52AB8">
        <w:rPr>
          <w:color w:val="000000" w:themeColor="text1"/>
        </w:rPr>
        <w:t xml:space="preserve">depth patch geometry samples, after conversion to their nominal representation, in </w:t>
      </w:r>
      <w:r w:rsidR="00165BB2" w:rsidRPr="00A52AB8">
        <w:rPr>
          <w:color w:val="000000" w:themeColor="text1"/>
        </w:rPr>
        <w:t xml:space="preserve">the </w:t>
      </w:r>
      <w:r w:rsidR="0024264A" w:rsidRPr="00A52AB8">
        <w:rPr>
          <w:color w:val="000000" w:themeColor="text1"/>
        </w:rPr>
        <w:t xml:space="preserve">patch with index p of </w:t>
      </w:r>
      <w:r w:rsidR="00F61514" w:rsidRPr="00A52AB8">
        <w:rPr>
          <w:color w:val="000000" w:themeColor="text1"/>
        </w:rPr>
        <w:t xml:space="preserve">the </w:t>
      </w:r>
      <w:r w:rsidR="00A63EEB" w:rsidRPr="00A52AB8">
        <w:rPr>
          <w:color w:val="000000" w:themeColor="text1"/>
        </w:rPr>
        <w:t xml:space="preserve">current </w:t>
      </w:r>
      <w:r w:rsidR="002A47BD" w:rsidRPr="00A52AB8">
        <w:rPr>
          <w:color w:val="000000" w:themeColor="text1"/>
        </w:rPr>
        <w:t>atlas</w:t>
      </w:r>
      <w:r w:rsidR="00C4789A" w:rsidRPr="00A52AB8">
        <w:rPr>
          <w:color w:val="000000" w:themeColor="text1"/>
        </w:rPr>
        <w:t xml:space="preserve">, </w:t>
      </w:r>
      <w:r w:rsidR="00A41AF4" w:rsidRPr="00A52AB8">
        <w:rPr>
          <w:color w:val="000000" w:themeColor="text1"/>
        </w:rPr>
        <w:t>with tile ID equal to tileID</w:t>
      </w:r>
      <w:r w:rsidR="00C4789A" w:rsidRPr="00A52AB8">
        <w:rPr>
          <w:color w:val="000000" w:themeColor="text1"/>
        </w:rPr>
        <w:t>,</w:t>
      </w:r>
      <w:r w:rsidR="002A47BD" w:rsidRPr="00A52AB8">
        <w:rPr>
          <w:color w:val="000000" w:themeColor="text1"/>
        </w:rPr>
        <w:t xml:space="preserve"> </w:t>
      </w:r>
      <w:r w:rsidR="00B8075E" w:rsidRPr="00A52AB8">
        <w:rPr>
          <w:color w:val="000000" w:themeColor="text1"/>
        </w:rPr>
        <w:t>tile</w:t>
      </w:r>
      <w:r w:rsidR="0024264A" w:rsidRPr="00A52AB8">
        <w:rPr>
          <w:color w:val="000000" w:themeColor="text1"/>
        </w:rPr>
        <w:t xml:space="preserve"> along the normal axis and of the nominal maximum value of the shift expected to be presented in the reconstructed bit</w:t>
      </w:r>
      <w:r w:rsidR="00C514C6" w:rsidRPr="00A52AB8">
        <w:rPr>
          <w:color w:val="000000" w:themeColor="text1"/>
        </w:rPr>
        <w:t xml:space="preserve"> </w:t>
      </w:r>
      <w:r w:rsidR="0024264A" w:rsidRPr="00A52AB8">
        <w:rPr>
          <w:color w:val="000000" w:themeColor="text1"/>
        </w:rPr>
        <w:t xml:space="preserve">depth patch geometry samples, after conversion to their nominal representation of the patch with index </w:t>
      </w:r>
      <w:r w:rsidR="002921E1" w:rsidRPr="00A52AB8">
        <w:rPr>
          <w:color w:val="000000" w:themeColor="text1"/>
        </w:rPr>
        <w:t>RefPatchIdx</w:t>
      </w:r>
      <w:r w:rsidR="0024264A" w:rsidRPr="00A52AB8">
        <w:rPr>
          <w:color w:val="000000" w:themeColor="text1"/>
        </w:rPr>
        <w:t xml:space="preserve"> in </w:t>
      </w:r>
      <w:r w:rsidR="00242F49" w:rsidRPr="00A52AB8">
        <w:rPr>
          <w:color w:val="000000" w:themeColor="text1"/>
        </w:rPr>
        <w:t xml:space="preserve">the </w:t>
      </w:r>
      <w:r w:rsidR="002A47BD" w:rsidRPr="00A52AB8">
        <w:rPr>
          <w:color w:val="000000" w:themeColor="text1"/>
        </w:rPr>
        <w:t xml:space="preserve">atlas </w:t>
      </w:r>
      <w:r w:rsidR="00B8075E" w:rsidRPr="00A52AB8">
        <w:rPr>
          <w:color w:val="000000" w:themeColor="text1"/>
        </w:rPr>
        <w:t>tile</w:t>
      </w:r>
      <w:r w:rsidR="00DC329D" w:rsidRPr="00A52AB8">
        <w:rPr>
          <w:color w:val="000000" w:themeColor="text1"/>
        </w:rPr>
        <w:t xml:space="preserve"> with the same </w:t>
      </w:r>
      <w:r w:rsidR="0001650D" w:rsidRPr="00A52AB8">
        <w:rPr>
          <w:color w:val="000000" w:themeColor="text1"/>
        </w:rPr>
        <w:t>ID</w:t>
      </w:r>
      <w:r w:rsidR="00DC329D" w:rsidRPr="00A52AB8">
        <w:rPr>
          <w:color w:val="000000" w:themeColor="text1"/>
        </w:rPr>
        <w:t xml:space="preserve"> as the current </w:t>
      </w:r>
      <w:r w:rsidR="00B8075E" w:rsidRPr="00A52AB8">
        <w:rPr>
          <w:color w:val="000000" w:themeColor="text1"/>
        </w:rPr>
        <w:t>tile</w:t>
      </w:r>
      <w:r w:rsidR="00DC329D" w:rsidRPr="00A52AB8">
        <w:rPr>
          <w:color w:val="000000" w:themeColor="text1"/>
        </w:rPr>
        <w:t xml:space="preserve"> in the </w:t>
      </w:r>
      <w:r w:rsidR="008F0D00" w:rsidRPr="00A52AB8">
        <w:rPr>
          <w:color w:val="000000" w:themeColor="text1"/>
        </w:rPr>
        <w:t>atlas frame</w:t>
      </w:r>
      <w:r w:rsidR="00DC329D" w:rsidRPr="00A52AB8">
        <w:rPr>
          <w:color w:val="000000" w:themeColor="text1"/>
        </w:rPr>
        <w:t xml:space="preserve"> that </w:t>
      </w:r>
      <w:r w:rsidR="00242F49" w:rsidRPr="00A52AB8">
        <w:rPr>
          <w:color w:val="000000" w:themeColor="text1"/>
        </w:rPr>
        <w:t xml:space="preserve">corresponds to </w:t>
      </w:r>
      <w:r w:rsidR="001C1646" w:rsidRPr="00A52AB8">
        <w:rPr>
          <w:color w:val="000000" w:themeColor="text1"/>
        </w:rPr>
        <w:t>r</w:t>
      </w:r>
      <w:r w:rsidR="0024264A" w:rsidRPr="00A52AB8">
        <w:rPr>
          <w:color w:val="000000" w:themeColor="text1"/>
        </w:rPr>
        <w:t xml:space="preserve">efIdx, </w:t>
      </w:r>
      <w:r w:rsidRPr="00A52AB8">
        <w:rPr>
          <w:color w:val="000000" w:themeColor="text1"/>
        </w:rPr>
        <w:t>Ipdu</w:t>
      </w:r>
      <w:r w:rsidR="001A4D59" w:rsidRPr="00A52AB8">
        <w:rPr>
          <w:color w:val="000000" w:themeColor="text1"/>
        </w:rPr>
        <w:t>3dRangeD</w:t>
      </w:r>
      <w:r w:rsidR="00C4789A" w:rsidRPr="00A52AB8">
        <w:rPr>
          <w:lang w:eastAsia="ja-JP"/>
        </w:rPr>
        <w:t>[ </w:t>
      </w:r>
      <w:r w:rsidR="00632FA7" w:rsidRPr="00A52AB8">
        <w:rPr>
          <w:lang w:eastAsia="ja-JP"/>
        </w:rPr>
        <w:t>tileID</w:t>
      </w:r>
      <w:r w:rsidR="00C4789A" w:rsidRPr="00A52AB8">
        <w:rPr>
          <w:lang w:eastAsia="ja-JP"/>
        </w:rPr>
        <w:t> ]</w:t>
      </w:r>
      <w:r w:rsidR="0024264A" w:rsidRPr="00A52AB8">
        <w:rPr>
          <w:color w:val="000000" w:themeColor="text1"/>
        </w:rPr>
        <w:t>[ p ], as follows:</w:t>
      </w:r>
    </w:p>
    <w:p w14:paraId="45CD7DA1" w14:textId="74C2988D" w:rsidR="0024264A" w:rsidRPr="00A52AB8" w:rsidRDefault="00242F49">
      <w:r w:rsidRPr="00A52AB8">
        <w:rPr>
          <w:color w:val="000000" w:themeColor="text1"/>
        </w:rPr>
        <w:tab/>
      </w:r>
      <w:r w:rsidR="008E0086" w:rsidRPr="00A52AB8">
        <w:rPr>
          <w:color w:val="000000" w:themeColor="text1"/>
        </w:rPr>
        <w:t>Ipdu</w:t>
      </w:r>
      <w:r w:rsidR="001A4D59" w:rsidRPr="00A52AB8">
        <w:rPr>
          <w:color w:val="000000" w:themeColor="text1"/>
        </w:rPr>
        <w:t>3dRangeD</w:t>
      </w:r>
      <w:r w:rsidR="00C4789A" w:rsidRPr="00A52AB8">
        <w:rPr>
          <w:lang w:eastAsia="ja-JP"/>
        </w:rPr>
        <w:t>[ </w:t>
      </w:r>
      <w:r w:rsidR="00632FA7" w:rsidRPr="00A52AB8">
        <w:rPr>
          <w:lang w:eastAsia="ja-JP"/>
        </w:rPr>
        <w:t>tileID</w:t>
      </w:r>
      <w:r w:rsidR="00C4789A" w:rsidRPr="00A52AB8">
        <w:rPr>
          <w:lang w:eastAsia="ja-JP"/>
        </w:rPr>
        <w:t> ]</w:t>
      </w:r>
      <w:r w:rsidR="008726C3" w:rsidRPr="00A52AB8">
        <w:rPr>
          <w:color w:val="000000" w:themeColor="text1"/>
        </w:rPr>
        <w:t>[ p ]</w:t>
      </w:r>
      <w:r w:rsidR="00D47707" w:rsidRPr="00A52AB8">
        <w:rPr>
          <w:color w:val="000000" w:themeColor="text1"/>
        </w:rPr>
        <w:t> = </w:t>
      </w:r>
      <w:r w:rsidR="008726C3" w:rsidRPr="00A52AB8">
        <w:rPr>
          <w:color w:val="000000" w:themeColor="text1"/>
        </w:rPr>
        <w:t>(</w:t>
      </w:r>
      <w:r w:rsidR="00165BB2" w:rsidRPr="00A52AB8">
        <w:rPr>
          <w:color w:val="000000" w:themeColor="text1"/>
        </w:rPr>
        <w:t> </w:t>
      </w:r>
      <w:r w:rsidR="00D75B34" w:rsidRPr="00A52AB8">
        <w:rPr>
          <w:color w:val="000000" w:themeColor="text1"/>
        </w:rPr>
        <w:t>i</w:t>
      </w:r>
      <w:r w:rsidR="007356C4" w:rsidRPr="00A52AB8">
        <w:rPr>
          <w:color w:val="000000" w:themeColor="text1"/>
        </w:rPr>
        <w:t>pdu_3d_range_d</w:t>
      </w:r>
      <w:r w:rsidR="00C4789A" w:rsidRPr="00A52AB8">
        <w:rPr>
          <w:lang w:eastAsia="ja-JP"/>
        </w:rPr>
        <w:t>[ </w:t>
      </w:r>
      <w:r w:rsidR="00632FA7" w:rsidRPr="00A52AB8">
        <w:rPr>
          <w:lang w:eastAsia="ja-JP"/>
        </w:rPr>
        <w:t>tileID</w:t>
      </w:r>
      <w:r w:rsidR="00C4789A" w:rsidRPr="00A52AB8">
        <w:rPr>
          <w:lang w:eastAsia="ja-JP"/>
        </w:rPr>
        <w:t> ]</w:t>
      </w:r>
      <w:r w:rsidR="008726C3" w:rsidRPr="00A52AB8">
        <w:rPr>
          <w:color w:val="000000" w:themeColor="text1"/>
        </w:rPr>
        <w:t>[ p ]</w:t>
      </w:r>
      <w:r w:rsidR="008768E9" w:rsidRPr="00A52AB8">
        <w:rPr>
          <w:color w:val="000000" w:themeColor="text1"/>
        </w:rPr>
        <w:t> </w:t>
      </w:r>
      <w:r w:rsidR="00726AAE" w:rsidRPr="00A52AB8">
        <w:rPr>
          <w:color w:val="000000" w:themeColor="text1"/>
        </w:rPr>
        <w:t>==</w:t>
      </w:r>
      <w:r w:rsidR="00D47707" w:rsidRPr="00A52AB8">
        <w:rPr>
          <w:color w:val="000000" w:themeColor="text1"/>
        </w:rPr>
        <w:t> </w:t>
      </w:r>
      <w:r w:rsidR="008726C3" w:rsidRPr="00A52AB8">
        <w:rPr>
          <w:color w:val="000000" w:themeColor="text1"/>
        </w:rPr>
        <w:t>0 </w:t>
      </w:r>
      <w:r w:rsidR="00A86F5C" w:rsidRPr="00A52AB8">
        <w:rPr>
          <w:color w:val="000000" w:themeColor="text1"/>
        </w:rPr>
        <w:t>) </w:t>
      </w:r>
      <w:r w:rsidR="008726C3" w:rsidRPr="00A52AB8">
        <w:rPr>
          <w:color w:val="000000" w:themeColor="text1"/>
        </w:rPr>
        <w:t>? </w:t>
      </w:r>
      <w:r w:rsidR="00165BB2" w:rsidRPr="00A52AB8">
        <w:rPr>
          <w:color w:val="000000" w:themeColor="text1"/>
        </w:rPr>
        <w:br/>
      </w:r>
      <w:r w:rsidR="00165BB2" w:rsidRPr="00A52AB8">
        <w:rPr>
          <w:color w:val="000000" w:themeColor="text1"/>
        </w:rPr>
        <w:tab/>
      </w:r>
      <w:r w:rsidR="00165BB2" w:rsidRPr="00A52AB8">
        <w:rPr>
          <w:color w:val="000000" w:themeColor="text1"/>
        </w:rPr>
        <w:tab/>
      </w:r>
      <w:r w:rsidR="00165BB2" w:rsidRPr="00A52AB8">
        <w:rPr>
          <w:color w:val="000000" w:themeColor="text1"/>
        </w:rPr>
        <w:tab/>
      </w:r>
      <w:r w:rsidR="008726C3" w:rsidRPr="00A52AB8">
        <w:rPr>
          <w:color w:val="000000" w:themeColor="text1"/>
        </w:rPr>
        <w:t>0</w:t>
      </w:r>
      <w:r w:rsidR="00165BB2" w:rsidRPr="00A52AB8">
        <w:rPr>
          <w:color w:val="000000" w:themeColor="text1"/>
        </w:rPr>
        <w:t> </w:t>
      </w:r>
      <w:r w:rsidR="008726C3" w:rsidRPr="00A52AB8">
        <w:rPr>
          <w:color w:val="000000" w:themeColor="text1"/>
        </w:rPr>
        <w:t>: (</w:t>
      </w:r>
      <w:r w:rsidR="00CE4AC7" w:rsidRPr="00A52AB8">
        <w:rPr>
          <w:color w:val="000000" w:themeColor="text1"/>
        </w:rPr>
        <w:t> </w:t>
      </w:r>
      <w:r w:rsidR="00D75B34" w:rsidRPr="00A52AB8">
        <w:rPr>
          <w:color w:val="000000" w:themeColor="text1"/>
        </w:rPr>
        <w:t>i</w:t>
      </w:r>
      <w:r w:rsidR="007356C4" w:rsidRPr="00A52AB8">
        <w:rPr>
          <w:color w:val="000000" w:themeColor="text1"/>
        </w:rPr>
        <w:t>pdu_3d_range_d</w:t>
      </w:r>
      <w:r w:rsidR="00C4789A" w:rsidRPr="00A52AB8">
        <w:rPr>
          <w:lang w:eastAsia="ja-JP"/>
        </w:rPr>
        <w:t>[ </w:t>
      </w:r>
      <w:r w:rsidR="00632FA7" w:rsidRPr="00A52AB8">
        <w:rPr>
          <w:lang w:eastAsia="ja-JP"/>
        </w:rPr>
        <w:t>tileID</w:t>
      </w:r>
      <w:r w:rsidR="00C4789A" w:rsidRPr="00A52AB8">
        <w:rPr>
          <w:lang w:eastAsia="ja-JP"/>
        </w:rPr>
        <w:t> ]</w:t>
      </w:r>
      <w:r w:rsidR="008726C3" w:rsidRPr="00A52AB8">
        <w:rPr>
          <w:color w:val="000000" w:themeColor="text1"/>
        </w:rPr>
        <w:t>[ p ] &lt;&lt; </w:t>
      </w:r>
      <w:r w:rsidR="007356C4" w:rsidRPr="00A52AB8">
        <w:rPr>
          <w:color w:val="000000" w:themeColor="text1"/>
        </w:rPr>
        <w:t>ath_pos_delta_max_d_quantizer</w:t>
      </w:r>
      <w:r w:rsidR="009E7A90" w:rsidRPr="00A52AB8">
        <w:rPr>
          <w:color w:val="000000" w:themeColor="text1"/>
        </w:rPr>
        <w:t> </w:t>
      </w:r>
      <w:r w:rsidR="008726C3" w:rsidRPr="00A52AB8">
        <w:rPr>
          <w:color w:val="000000" w:themeColor="text1"/>
        </w:rPr>
        <w:t>)</w:t>
      </w:r>
      <w:r w:rsidRPr="00A52AB8">
        <w:rPr>
          <w:color w:val="000000" w:themeColor="text1"/>
        </w:rPr>
        <w:t> </w:t>
      </w:r>
      <w:r w:rsidR="008726C3" w:rsidRPr="00A52AB8">
        <w:rPr>
          <w:color w:val="000000" w:themeColor="text1"/>
        </w:rPr>
        <w:t>– 1</w:t>
      </w:r>
      <w:r w:rsidR="009E7A90" w:rsidRPr="00A52AB8">
        <w:rPr>
          <w:color w:val="000000" w:themeColor="text1"/>
        </w:rPr>
        <w:tab/>
      </w:r>
      <w:r w:rsidR="0024264A" w:rsidRPr="00A52AB8">
        <w:t>(</w:t>
      </w:r>
      <w:r w:rsidR="0024264A" w:rsidRPr="00496A4D">
        <w:fldChar w:fldCharType="begin"/>
      </w:r>
      <w:r w:rsidR="0024264A" w:rsidRPr="00A52AB8">
        <w:instrText xml:space="preserve"> </w:instrText>
      </w:r>
      <w:r w:rsidR="00646520" w:rsidRPr="00A52AB8">
        <w:instrText>SEQ Equation \* ARABIC \n</w:instrText>
      </w:r>
      <w:r w:rsidR="0024264A" w:rsidRPr="00A52AB8">
        <w:instrText xml:space="preserve"> </w:instrText>
      </w:r>
      <w:r w:rsidR="0024264A" w:rsidRPr="00496A4D">
        <w:fldChar w:fldCharType="separate"/>
      </w:r>
      <w:r w:rsidR="00507A67">
        <w:rPr>
          <w:noProof/>
        </w:rPr>
        <w:t>36</w:t>
      </w:r>
      <w:r w:rsidR="0024264A" w:rsidRPr="00496A4D">
        <w:fldChar w:fldCharType="end"/>
      </w:r>
      <w:r w:rsidR="0024264A" w:rsidRPr="00A52AB8">
        <w:t>)</w:t>
      </w:r>
    </w:p>
    <w:p w14:paraId="1F1E5975" w14:textId="555A39D0" w:rsidR="0050235C" w:rsidRPr="00A52AB8" w:rsidRDefault="0024264A">
      <w:pPr>
        <w:rPr>
          <w:color w:val="000000" w:themeColor="text1"/>
          <w:vertAlign w:val="superscript"/>
        </w:rPr>
      </w:pPr>
      <w:r w:rsidRPr="00A52AB8">
        <w:rPr>
          <w:color w:val="000000" w:themeColor="text1"/>
        </w:rPr>
        <w:t xml:space="preserve">If </w:t>
      </w:r>
      <w:r w:rsidR="008E0086" w:rsidRPr="00A52AB8">
        <w:rPr>
          <w:color w:val="000000" w:themeColor="text1"/>
        </w:rPr>
        <w:t>i</w:t>
      </w:r>
      <w:r w:rsidR="007356C4" w:rsidRPr="00A52AB8">
        <w:rPr>
          <w:color w:val="000000" w:themeColor="text1"/>
        </w:rPr>
        <w:t>pdu_3d_range_d</w:t>
      </w:r>
      <w:r w:rsidR="00C4789A" w:rsidRPr="00A52AB8">
        <w:rPr>
          <w:lang w:eastAsia="ja-JP"/>
        </w:rPr>
        <w:t>[ </w:t>
      </w:r>
      <w:r w:rsidR="00632FA7" w:rsidRPr="00A52AB8">
        <w:rPr>
          <w:lang w:eastAsia="ja-JP"/>
        </w:rPr>
        <w:t>tileID</w:t>
      </w:r>
      <w:r w:rsidR="00C4789A" w:rsidRPr="00A52AB8">
        <w:rPr>
          <w:lang w:eastAsia="ja-JP"/>
        </w:rPr>
        <w:t> ]</w:t>
      </w:r>
      <w:r w:rsidRPr="00A52AB8">
        <w:rPr>
          <w:color w:val="000000" w:themeColor="text1"/>
        </w:rPr>
        <w:t>[ p ] is not present</w:t>
      </w:r>
      <w:r w:rsidR="00165BB2" w:rsidRPr="00A52AB8">
        <w:rPr>
          <w:color w:val="000000" w:themeColor="text1"/>
        </w:rPr>
        <w:t>,</w:t>
      </w:r>
      <w:r w:rsidRPr="00A52AB8">
        <w:rPr>
          <w:color w:val="000000" w:themeColor="text1"/>
        </w:rPr>
        <w:t xml:space="preserve"> the value of </w:t>
      </w:r>
      <w:r w:rsidR="008E0086" w:rsidRPr="00A52AB8">
        <w:rPr>
          <w:color w:val="000000" w:themeColor="text1"/>
        </w:rPr>
        <w:t>Ipdu</w:t>
      </w:r>
      <w:r w:rsidR="001A4D59" w:rsidRPr="00A52AB8">
        <w:rPr>
          <w:color w:val="000000" w:themeColor="text1"/>
        </w:rPr>
        <w:t>3dRangeD</w:t>
      </w:r>
      <w:r w:rsidR="00800C8C" w:rsidRPr="00A52AB8">
        <w:rPr>
          <w:lang w:eastAsia="ja-JP"/>
        </w:rPr>
        <w:t>[ </w:t>
      </w:r>
      <w:r w:rsidR="00632FA7" w:rsidRPr="00A52AB8">
        <w:rPr>
          <w:lang w:eastAsia="ja-JP"/>
        </w:rPr>
        <w:t>tileID</w:t>
      </w:r>
      <w:r w:rsidR="00800C8C" w:rsidRPr="00A52AB8">
        <w:rPr>
          <w:lang w:eastAsia="ja-JP"/>
        </w:rPr>
        <w:t> ]</w:t>
      </w:r>
      <w:r w:rsidRPr="00A52AB8">
        <w:rPr>
          <w:color w:val="000000" w:themeColor="text1"/>
        </w:rPr>
        <w:t>[ p ]</w:t>
      </w:r>
      <w:r w:rsidR="00812901" w:rsidRPr="00A52AB8">
        <w:rPr>
          <w:color w:val="000000" w:themeColor="text1"/>
        </w:rPr>
        <w:t xml:space="preserve"> </w:t>
      </w:r>
      <w:r w:rsidRPr="00A52AB8">
        <w:rPr>
          <w:color w:val="000000" w:themeColor="text1"/>
        </w:rPr>
        <w:t xml:space="preserve">is assumed to be equal to </w:t>
      </w:r>
      <w:r w:rsidR="00B55137" w:rsidRPr="00A52AB8">
        <w:rPr>
          <w:color w:val="000000" w:themeColor="text1"/>
        </w:rPr>
        <w:t>0</w:t>
      </w:r>
      <w:r w:rsidRPr="00A52AB8">
        <w:rPr>
          <w:color w:val="000000" w:themeColor="text1"/>
        </w:rPr>
        <w:t>.</w:t>
      </w:r>
    </w:p>
    <w:p w14:paraId="3B839C58" w14:textId="2EB98B36" w:rsidR="00185905" w:rsidRPr="00A52AB8" w:rsidRDefault="00D208FC" w:rsidP="005C26E9">
      <w:pPr>
        <w:pStyle w:val="Heading4"/>
      </w:pPr>
      <w:bookmarkStart w:id="1354" w:name="_Toc986748"/>
      <w:bookmarkStart w:id="1355" w:name="_Toc1001289"/>
      <w:bookmarkStart w:id="1356" w:name="_Toc1001826"/>
      <w:bookmarkStart w:id="1357" w:name="_Toc1002640"/>
      <w:bookmarkStart w:id="1358" w:name="_Toc1195877"/>
      <w:bookmarkStart w:id="1359" w:name="_Toc1198897"/>
      <w:bookmarkStart w:id="1360" w:name="_Toc1380554"/>
      <w:bookmarkStart w:id="1361" w:name="_Toc1466920"/>
      <w:bookmarkStart w:id="1362" w:name="_Toc1476891"/>
      <w:bookmarkStart w:id="1363" w:name="_Toc1743291"/>
      <w:bookmarkStart w:id="1364" w:name="_Toc1743836"/>
      <w:bookmarkStart w:id="1365" w:name="_Toc986751"/>
      <w:bookmarkStart w:id="1366" w:name="_Toc1001292"/>
      <w:bookmarkStart w:id="1367" w:name="_Toc1001829"/>
      <w:bookmarkStart w:id="1368" w:name="_Toc1002643"/>
      <w:bookmarkStart w:id="1369" w:name="_Toc1195880"/>
      <w:bookmarkStart w:id="1370" w:name="_Toc1198900"/>
      <w:bookmarkStart w:id="1371" w:name="_Toc1380557"/>
      <w:bookmarkStart w:id="1372" w:name="_Toc1466923"/>
      <w:bookmarkStart w:id="1373" w:name="_Toc1476894"/>
      <w:bookmarkStart w:id="1374" w:name="_Toc1743294"/>
      <w:bookmarkStart w:id="1375" w:name="_Toc1743839"/>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r w:rsidRPr="00A52AB8">
        <w:t xml:space="preserve">RAW </w:t>
      </w:r>
      <w:r w:rsidR="00185905" w:rsidRPr="00A52AB8">
        <w:t>patch data unit semantics</w:t>
      </w:r>
    </w:p>
    <w:p w14:paraId="4311A76C" w14:textId="60C0529D" w:rsidR="00185905" w:rsidRPr="00A52AB8" w:rsidRDefault="00C31A85">
      <w:pPr>
        <w:rPr>
          <w:lang w:eastAsia="ja-JP"/>
        </w:rPr>
      </w:pPr>
      <w:bookmarkStart w:id="1376" w:name="_Hlk19694754"/>
      <w:r w:rsidRPr="00A52AB8">
        <w:rPr>
          <w:b/>
          <w:lang w:eastAsia="ja-JP"/>
        </w:rPr>
        <w:t>rpdu</w:t>
      </w:r>
      <w:r w:rsidR="00185905" w:rsidRPr="00A52AB8">
        <w:rPr>
          <w:b/>
          <w:lang w:eastAsia="ja-JP"/>
        </w:rPr>
        <w:t>_patch_in_</w:t>
      </w:r>
      <w:r w:rsidR="008F74F8" w:rsidRPr="00A52AB8">
        <w:rPr>
          <w:b/>
          <w:lang w:eastAsia="ja-JP"/>
        </w:rPr>
        <w:t>auxiliary</w:t>
      </w:r>
      <w:r w:rsidR="00185905" w:rsidRPr="00A52AB8">
        <w:rPr>
          <w:b/>
          <w:lang w:eastAsia="ja-JP"/>
        </w:rPr>
        <w:t>_video_flag</w:t>
      </w:r>
      <w:r w:rsidR="00800C8C" w:rsidRPr="00A52AB8">
        <w:rPr>
          <w:lang w:eastAsia="ja-JP"/>
        </w:rPr>
        <w:t>[ </w:t>
      </w:r>
      <w:r w:rsidR="00632FA7" w:rsidRPr="00A52AB8">
        <w:rPr>
          <w:lang w:eastAsia="ja-JP"/>
        </w:rPr>
        <w:t>tileID</w:t>
      </w:r>
      <w:r w:rsidR="00800C8C" w:rsidRPr="00A52AB8">
        <w:rPr>
          <w:lang w:eastAsia="ja-JP"/>
        </w:rPr>
        <w:t> ]</w:t>
      </w:r>
      <w:r w:rsidR="001F3C1E" w:rsidRPr="00A52AB8">
        <w:rPr>
          <w:lang w:eastAsia="ja-JP"/>
        </w:rPr>
        <w:t>[ </w:t>
      </w:r>
      <w:r w:rsidR="00EE51A3" w:rsidRPr="00A52AB8">
        <w:rPr>
          <w:lang w:eastAsia="ja-JP"/>
        </w:rPr>
        <w:t>p</w:t>
      </w:r>
      <w:r w:rsidR="001F3C1E" w:rsidRPr="00A52AB8">
        <w:rPr>
          <w:lang w:eastAsia="ja-JP"/>
        </w:rPr>
        <w:t> ]</w:t>
      </w:r>
      <w:r w:rsidR="00B60ABC" w:rsidRPr="00A52AB8">
        <w:rPr>
          <w:lang w:eastAsia="ja-JP"/>
        </w:rPr>
        <w:t xml:space="preserve"> specifies whether the geometry and attribute data associated with the </w:t>
      </w:r>
      <w:r w:rsidR="00D208FC" w:rsidRPr="00A52AB8">
        <w:rPr>
          <w:lang w:eastAsia="ja-JP"/>
        </w:rPr>
        <w:t>RAW</w:t>
      </w:r>
      <w:r w:rsidR="00B60ABC" w:rsidRPr="00A52AB8">
        <w:rPr>
          <w:lang w:eastAsia="ja-JP"/>
        </w:rPr>
        <w:t xml:space="preserve"> coded patch </w:t>
      </w:r>
      <w:r w:rsidR="009630BA" w:rsidRPr="00A52AB8">
        <w:rPr>
          <w:lang w:eastAsia="ja-JP"/>
        </w:rPr>
        <w:t xml:space="preserve">with index </w:t>
      </w:r>
      <w:r w:rsidR="00EE51A3" w:rsidRPr="00A52AB8">
        <w:rPr>
          <w:lang w:eastAsia="ja-JP"/>
        </w:rPr>
        <w:t>p</w:t>
      </w:r>
      <w:r w:rsidR="00B60ABC" w:rsidRPr="00A52AB8">
        <w:rPr>
          <w:lang w:eastAsia="ja-JP"/>
        </w:rPr>
        <w:t xml:space="preserve"> in </w:t>
      </w:r>
      <w:r w:rsidR="00C2550E" w:rsidRPr="00A52AB8">
        <w:rPr>
          <w:lang w:eastAsia="ja-JP"/>
        </w:rPr>
        <w:t xml:space="preserve">the </w:t>
      </w:r>
      <w:r w:rsidR="00A63EEB" w:rsidRPr="00A52AB8">
        <w:rPr>
          <w:lang w:eastAsia="ja-JP"/>
        </w:rPr>
        <w:t xml:space="preserve">current </w:t>
      </w:r>
      <w:r w:rsidR="002A47BD" w:rsidRPr="00A52AB8">
        <w:rPr>
          <w:lang w:eastAsia="ja-JP"/>
        </w:rPr>
        <w:t xml:space="preserve">atlas </w:t>
      </w:r>
      <w:r w:rsidR="00B8075E" w:rsidRPr="00A52AB8">
        <w:rPr>
          <w:lang w:eastAsia="ja-JP"/>
        </w:rPr>
        <w:t>tile</w:t>
      </w:r>
      <w:r w:rsidR="00800C8C" w:rsidRPr="00A52AB8">
        <w:rPr>
          <w:lang w:eastAsia="ja-JP"/>
        </w:rPr>
        <w:t xml:space="preserve">, </w:t>
      </w:r>
      <w:r w:rsidR="00A41AF4" w:rsidRPr="00A52AB8">
        <w:rPr>
          <w:lang w:eastAsia="ja-JP"/>
        </w:rPr>
        <w:t>with tile ID equal to tileID</w:t>
      </w:r>
      <w:r w:rsidR="00800C8C" w:rsidRPr="00A52AB8">
        <w:rPr>
          <w:lang w:eastAsia="ja-JP"/>
        </w:rPr>
        <w:t>,</w:t>
      </w:r>
      <w:r w:rsidR="00B60ABC" w:rsidRPr="00A52AB8">
        <w:rPr>
          <w:lang w:eastAsia="ja-JP"/>
        </w:rPr>
        <w:t xml:space="preserve"> are encoded in a</w:t>
      </w:r>
      <w:r w:rsidR="00CD4F9E" w:rsidRPr="00A52AB8">
        <w:rPr>
          <w:lang w:eastAsia="ja-JP"/>
        </w:rPr>
        <w:t>n auxiliary</w:t>
      </w:r>
      <w:r w:rsidR="00B60ABC" w:rsidRPr="00A52AB8">
        <w:rPr>
          <w:lang w:eastAsia="ja-JP"/>
        </w:rPr>
        <w:t xml:space="preserve"> video</w:t>
      </w:r>
      <w:r w:rsidR="00165BB2" w:rsidRPr="00A52AB8">
        <w:rPr>
          <w:lang w:eastAsia="ja-JP"/>
        </w:rPr>
        <w:t xml:space="preserve"> sub-bitstream</w:t>
      </w:r>
      <w:r w:rsidR="00B60ABC" w:rsidRPr="00A52AB8">
        <w:rPr>
          <w:lang w:eastAsia="ja-JP"/>
        </w:rPr>
        <w:t xml:space="preserve">. If </w:t>
      </w:r>
      <w:r w:rsidRPr="00A52AB8">
        <w:rPr>
          <w:lang w:eastAsia="ja-JP"/>
        </w:rPr>
        <w:t>r</w:t>
      </w:r>
      <w:r w:rsidR="008F74F8" w:rsidRPr="00A52AB8">
        <w:rPr>
          <w:lang w:eastAsia="ja-JP"/>
        </w:rPr>
        <w:t>pdu_patch_in_auxiliary_video_flag</w:t>
      </w:r>
      <w:r w:rsidR="00800C8C" w:rsidRPr="00A52AB8">
        <w:rPr>
          <w:lang w:eastAsia="ja-JP"/>
        </w:rPr>
        <w:t>[ </w:t>
      </w:r>
      <w:r w:rsidR="00632FA7" w:rsidRPr="00A52AB8">
        <w:rPr>
          <w:lang w:eastAsia="ja-JP"/>
        </w:rPr>
        <w:t>tileID</w:t>
      </w:r>
      <w:r w:rsidR="00800C8C" w:rsidRPr="00A52AB8">
        <w:rPr>
          <w:lang w:eastAsia="ja-JP"/>
        </w:rPr>
        <w:t> ]</w:t>
      </w:r>
      <w:r w:rsidR="001F3C1E" w:rsidRPr="00A52AB8">
        <w:rPr>
          <w:lang w:eastAsia="ja-JP"/>
        </w:rPr>
        <w:t>[ </w:t>
      </w:r>
      <w:r w:rsidR="00D57A52" w:rsidRPr="00A52AB8">
        <w:rPr>
          <w:lang w:eastAsia="ja-JP"/>
        </w:rPr>
        <w:t>p</w:t>
      </w:r>
      <w:r w:rsidR="001F3C1E" w:rsidRPr="00A52AB8">
        <w:rPr>
          <w:lang w:eastAsia="ja-JP"/>
        </w:rPr>
        <w:t> ]</w:t>
      </w:r>
      <w:r w:rsidR="00B60ABC" w:rsidRPr="00A52AB8">
        <w:rPr>
          <w:lang w:eastAsia="ja-JP"/>
        </w:rPr>
        <w:t xml:space="preserve"> </w:t>
      </w:r>
      <w:r w:rsidR="00B84F95" w:rsidRPr="00A52AB8">
        <w:rPr>
          <w:lang w:eastAsia="ja-JP"/>
        </w:rPr>
        <w:t>is</w:t>
      </w:r>
      <w:r w:rsidR="00B60ABC" w:rsidRPr="00A52AB8">
        <w:rPr>
          <w:lang w:eastAsia="ja-JP"/>
        </w:rPr>
        <w:t xml:space="preserve"> equal to 0, the geometry and attribute data associated with the </w:t>
      </w:r>
      <w:r w:rsidR="00D208FC" w:rsidRPr="00A52AB8">
        <w:rPr>
          <w:lang w:eastAsia="ja-JP"/>
        </w:rPr>
        <w:t>RAW</w:t>
      </w:r>
      <w:r w:rsidR="00B60ABC" w:rsidRPr="00A52AB8">
        <w:rPr>
          <w:lang w:eastAsia="ja-JP"/>
        </w:rPr>
        <w:t xml:space="preserve"> coded patch </w:t>
      </w:r>
      <w:r w:rsidR="00D57A52" w:rsidRPr="00A52AB8">
        <w:rPr>
          <w:lang w:eastAsia="ja-JP"/>
        </w:rPr>
        <w:t>p</w:t>
      </w:r>
      <w:r w:rsidR="00B60ABC" w:rsidRPr="00A52AB8">
        <w:rPr>
          <w:lang w:eastAsia="ja-JP"/>
        </w:rPr>
        <w:t xml:space="preserve"> in </w:t>
      </w:r>
      <w:r w:rsidR="00C2550E" w:rsidRPr="00A52AB8">
        <w:rPr>
          <w:lang w:eastAsia="ja-JP"/>
        </w:rPr>
        <w:t xml:space="preserve">the </w:t>
      </w:r>
      <w:r w:rsidR="00A63EEB" w:rsidRPr="00A52AB8">
        <w:rPr>
          <w:lang w:eastAsia="ja-JP"/>
        </w:rPr>
        <w:t xml:space="preserve">current </w:t>
      </w:r>
      <w:r w:rsidR="002A47BD" w:rsidRPr="00A52AB8">
        <w:rPr>
          <w:lang w:eastAsia="ja-JP"/>
        </w:rPr>
        <w:t xml:space="preserve">atlas </w:t>
      </w:r>
      <w:r w:rsidR="00B8075E" w:rsidRPr="00A52AB8">
        <w:rPr>
          <w:lang w:eastAsia="ja-JP"/>
        </w:rPr>
        <w:t>tile</w:t>
      </w:r>
      <w:r w:rsidR="00B60ABC" w:rsidRPr="00A52AB8">
        <w:rPr>
          <w:lang w:eastAsia="ja-JP"/>
        </w:rPr>
        <w:t xml:space="preserve"> are encoded in </w:t>
      </w:r>
      <w:r w:rsidR="00700561" w:rsidRPr="00A52AB8">
        <w:rPr>
          <w:lang w:eastAsia="ja-JP"/>
        </w:rPr>
        <w:t xml:space="preserve">the </w:t>
      </w:r>
      <w:r w:rsidR="00165BB2" w:rsidRPr="00A52AB8">
        <w:rPr>
          <w:lang w:eastAsia="ja-JP"/>
        </w:rPr>
        <w:t>corresponding 1</w:t>
      </w:r>
      <w:r w:rsidR="00165BB2" w:rsidRPr="00A52AB8">
        <w:rPr>
          <w:vertAlign w:val="superscript"/>
          <w:lang w:eastAsia="ja-JP"/>
        </w:rPr>
        <w:t>st</w:t>
      </w:r>
      <w:r w:rsidR="00165BB2" w:rsidRPr="00A52AB8">
        <w:rPr>
          <w:lang w:eastAsia="ja-JP"/>
        </w:rPr>
        <w:t xml:space="preserve"> non auxiliary map </w:t>
      </w:r>
      <w:r w:rsidR="00B60ABC" w:rsidRPr="00A52AB8">
        <w:rPr>
          <w:lang w:eastAsia="ja-JP"/>
        </w:rPr>
        <w:t xml:space="preserve">video </w:t>
      </w:r>
      <w:r w:rsidR="00165BB2" w:rsidRPr="00A52AB8">
        <w:rPr>
          <w:lang w:eastAsia="ja-JP"/>
        </w:rPr>
        <w:t>sub-bitstream</w:t>
      </w:r>
      <w:r w:rsidR="00B60ABC" w:rsidRPr="00A52AB8">
        <w:rPr>
          <w:lang w:eastAsia="ja-JP"/>
        </w:rPr>
        <w:t xml:space="preserve">. If </w:t>
      </w:r>
      <w:r w:rsidRPr="00A52AB8">
        <w:rPr>
          <w:lang w:eastAsia="ja-JP"/>
        </w:rPr>
        <w:t>r</w:t>
      </w:r>
      <w:r w:rsidR="008F74F8" w:rsidRPr="00A52AB8">
        <w:rPr>
          <w:lang w:eastAsia="ja-JP"/>
        </w:rPr>
        <w:t>pdu_patch_in_auxiliary_video_flag</w:t>
      </w:r>
      <w:r w:rsidR="00800C8C" w:rsidRPr="00A52AB8">
        <w:rPr>
          <w:lang w:eastAsia="ja-JP"/>
        </w:rPr>
        <w:t>[ </w:t>
      </w:r>
      <w:r w:rsidR="00632FA7" w:rsidRPr="00A52AB8">
        <w:rPr>
          <w:lang w:eastAsia="ja-JP"/>
        </w:rPr>
        <w:t>tileID</w:t>
      </w:r>
      <w:r w:rsidR="00800C8C" w:rsidRPr="00A52AB8">
        <w:rPr>
          <w:lang w:eastAsia="ja-JP"/>
        </w:rPr>
        <w:t> ]</w:t>
      </w:r>
      <w:r w:rsidR="001F3C1E" w:rsidRPr="00A52AB8">
        <w:rPr>
          <w:lang w:eastAsia="ja-JP"/>
        </w:rPr>
        <w:t>[ </w:t>
      </w:r>
      <w:r w:rsidR="00D57A52" w:rsidRPr="00A52AB8">
        <w:rPr>
          <w:lang w:eastAsia="ja-JP"/>
        </w:rPr>
        <w:t>p</w:t>
      </w:r>
      <w:r w:rsidR="001F3C1E" w:rsidRPr="00A52AB8">
        <w:rPr>
          <w:lang w:eastAsia="ja-JP"/>
        </w:rPr>
        <w:t> ]</w:t>
      </w:r>
      <w:r w:rsidR="00700561" w:rsidRPr="00A52AB8">
        <w:rPr>
          <w:lang w:eastAsia="ja-JP"/>
        </w:rPr>
        <w:t xml:space="preserve"> </w:t>
      </w:r>
      <w:r w:rsidR="00C2550E" w:rsidRPr="00A52AB8">
        <w:rPr>
          <w:lang w:eastAsia="ja-JP"/>
        </w:rPr>
        <w:t xml:space="preserve">is </w:t>
      </w:r>
      <w:r w:rsidR="00700561" w:rsidRPr="00A52AB8">
        <w:rPr>
          <w:lang w:eastAsia="ja-JP"/>
        </w:rPr>
        <w:t xml:space="preserve">equal to 1, the geometry and attribute data associated with the </w:t>
      </w:r>
      <w:r w:rsidR="00D208FC" w:rsidRPr="00A52AB8">
        <w:rPr>
          <w:lang w:eastAsia="ja-JP"/>
        </w:rPr>
        <w:t>RAW</w:t>
      </w:r>
      <w:r w:rsidR="000B5A60" w:rsidRPr="00A52AB8">
        <w:rPr>
          <w:lang w:eastAsia="ja-JP"/>
        </w:rPr>
        <w:t xml:space="preserve"> </w:t>
      </w:r>
      <w:r w:rsidR="00700561" w:rsidRPr="00A52AB8">
        <w:rPr>
          <w:lang w:eastAsia="ja-JP"/>
        </w:rPr>
        <w:t xml:space="preserve">coded patch </w:t>
      </w:r>
      <w:r w:rsidR="00D57A52" w:rsidRPr="00A52AB8">
        <w:rPr>
          <w:lang w:eastAsia="ja-JP"/>
        </w:rPr>
        <w:t>p</w:t>
      </w:r>
      <w:r w:rsidR="00700561" w:rsidRPr="00A52AB8">
        <w:rPr>
          <w:lang w:eastAsia="ja-JP"/>
        </w:rPr>
        <w:t xml:space="preserve"> in </w:t>
      </w:r>
      <w:r w:rsidR="00C2550E" w:rsidRPr="00A52AB8">
        <w:rPr>
          <w:lang w:eastAsia="ja-JP"/>
        </w:rPr>
        <w:t xml:space="preserve">the </w:t>
      </w:r>
      <w:r w:rsidR="00A63EEB" w:rsidRPr="00A52AB8">
        <w:rPr>
          <w:lang w:eastAsia="ja-JP"/>
        </w:rPr>
        <w:t xml:space="preserve">current </w:t>
      </w:r>
      <w:r w:rsidR="002A47BD" w:rsidRPr="00A52AB8">
        <w:rPr>
          <w:lang w:eastAsia="ja-JP"/>
        </w:rPr>
        <w:t xml:space="preserve">atlas </w:t>
      </w:r>
      <w:r w:rsidR="00B8075E" w:rsidRPr="00A52AB8">
        <w:rPr>
          <w:lang w:eastAsia="ja-JP"/>
        </w:rPr>
        <w:t>tile</w:t>
      </w:r>
      <w:r w:rsidR="00700561" w:rsidRPr="00A52AB8">
        <w:rPr>
          <w:lang w:eastAsia="ja-JP"/>
        </w:rPr>
        <w:t xml:space="preserve"> are encoded in </w:t>
      </w:r>
      <w:r w:rsidR="00165BB2" w:rsidRPr="00A52AB8">
        <w:rPr>
          <w:lang w:eastAsia="ja-JP"/>
        </w:rPr>
        <w:t xml:space="preserve">the corresponding </w:t>
      </w:r>
      <w:r w:rsidR="00CD4F9E" w:rsidRPr="00A52AB8">
        <w:rPr>
          <w:lang w:eastAsia="ja-JP"/>
        </w:rPr>
        <w:t xml:space="preserve">auxiliary </w:t>
      </w:r>
      <w:r w:rsidR="00700561" w:rsidRPr="00A52AB8">
        <w:rPr>
          <w:lang w:eastAsia="ja-JP"/>
        </w:rPr>
        <w:t>video</w:t>
      </w:r>
      <w:r w:rsidR="00165BB2" w:rsidRPr="00A52AB8">
        <w:rPr>
          <w:lang w:eastAsia="ja-JP"/>
        </w:rPr>
        <w:t xml:space="preserve"> sub-bitstream</w:t>
      </w:r>
      <w:r w:rsidR="00575E9A" w:rsidRPr="00A52AB8">
        <w:rPr>
          <w:lang w:eastAsia="ja-JP"/>
        </w:rPr>
        <w:t xml:space="preserve">. If </w:t>
      </w:r>
      <w:r w:rsidRPr="00A52AB8">
        <w:rPr>
          <w:lang w:eastAsia="ja-JP"/>
        </w:rPr>
        <w:t>r</w:t>
      </w:r>
      <w:r w:rsidR="008F74F8" w:rsidRPr="00A52AB8">
        <w:rPr>
          <w:lang w:eastAsia="ja-JP"/>
        </w:rPr>
        <w:t>pdu_patch_in_auxiliary_video_flag</w:t>
      </w:r>
      <w:r w:rsidR="00800C8C" w:rsidRPr="00A52AB8">
        <w:rPr>
          <w:lang w:eastAsia="ja-JP"/>
        </w:rPr>
        <w:t>[ </w:t>
      </w:r>
      <w:r w:rsidR="00632FA7" w:rsidRPr="00A52AB8">
        <w:rPr>
          <w:lang w:eastAsia="ja-JP"/>
        </w:rPr>
        <w:t>tileID</w:t>
      </w:r>
      <w:r w:rsidR="00800C8C" w:rsidRPr="00A52AB8">
        <w:rPr>
          <w:lang w:eastAsia="ja-JP"/>
        </w:rPr>
        <w:t> ]</w:t>
      </w:r>
      <w:r w:rsidR="00575E9A" w:rsidRPr="00A52AB8">
        <w:rPr>
          <w:lang w:eastAsia="ja-JP"/>
        </w:rPr>
        <w:t>[ </w:t>
      </w:r>
      <w:r w:rsidR="00D57A52" w:rsidRPr="00A52AB8">
        <w:rPr>
          <w:lang w:eastAsia="ja-JP"/>
        </w:rPr>
        <w:t>p</w:t>
      </w:r>
      <w:r w:rsidR="00575E9A" w:rsidRPr="00A52AB8">
        <w:rPr>
          <w:lang w:eastAsia="ja-JP"/>
        </w:rPr>
        <w:t> ] is not present, its value shall be inferred to be equal to 0.</w:t>
      </w:r>
    </w:p>
    <w:bookmarkEnd w:id="1376"/>
    <w:p w14:paraId="2F9B3D4E" w14:textId="18F80A7C" w:rsidR="0050235C" w:rsidRPr="00A52AB8" w:rsidRDefault="00C31A85">
      <w:pPr>
        <w:rPr>
          <w:color w:val="000000" w:themeColor="text1"/>
        </w:rPr>
      </w:pPr>
      <w:r w:rsidRPr="00A52AB8">
        <w:rPr>
          <w:b/>
          <w:color w:val="000000" w:themeColor="text1"/>
        </w:rPr>
        <w:t>rpdu</w:t>
      </w:r>
      <w:r w:rsidR="00700561" w:rsidRPr="00A52AB8">
        <w:rPr>
          <w:b/>
          <w:color w:val="000000" w:themeColor="text1"/>
        </w:rPr>
        <w:t>_</w:t>
      </w:r>
      <w:r w:rsidR="00070D8E" w:rsidRPr="00A52AB8">
        <w:rPr>
          <w:b/>
          <w:color w:val="000000" w:themeColor="text1"/>
        </w:rPr>
        <w:t>2d_</w:t>
      </w:r>
      <w:r w:rsidR="00627BE0" w:rsidRPr="00A52AB8">
        <w:rPr>
          <w:b/>
          <w:color w:val="000000" w:themeColor="text1"/>
        </w:rPr>
        <w:t>pos</w:t>
      </w:r>
      <w:r w:rsidR="00070D8E" w:rsidRPr="00A52AB8">
        <w:rPr>
          <w:b/>
          <w:color w:val="000000" w:themeColor="text1"/>
        </w:rPr>
        <w:t>_x</w:t>
      </w:r>
      <w:r w:rsidR="00800C8C" w:rsidRPr="00A52AB8">
        <w:rPr>
          <w:lang w:eastAsia="ja-JP"/>
        </w:rPr>
        <w:t>[ </w:t>
      </w:r>
      <w:r w:rsidR="00632FA7" w:rsidRPr="00A52AB8">
        <w:rPr>
          <w:lang w:eastAsia="ja-JP"/>
        </w:rPr>
        <w:t>tileID</w:t>
      </w:r>
      <w:r w:rsidR="00800C8C" w:rsidRPr="00A52AB8">
        <w:rPr>
          <w:lang w:eastAsia="ja-JP"/>
        </w:rPr>
        <w:t> ]</w:t>
      </w:r>
      <w:r w:rsidR="00636D52" w:rsidRPr="00A52AB8">
        <w:rPr>
          <w:color w:val="000000" w:themeColor="text1"/>
        </w:rPr>
        <w:t>[ </w:t>
      </w:r>
      <w:r w:rsidR="00D57A52" w:rsidRPr="00A52AB8">
        <w:rPr>
          <w:color w:val="000000" w:themeColor="text1"/>
        </w:rPr>
        <w:t>p</w:t>
      </w:r>
      <w:r w:rsidR="00636D52" w:rsidRPr="00A52AB8">
        <w:rPr>
          <w:color w:val="000000" w:themeColor="text1"/>
        </w:rPr>
        <w:t> ]</w:t>
      </w:r>
      <w:r w:rsidR="00700561" w:rsidRPr="00A52AB8">
        <w:rPr>
          <w:color w:val="000000" w:themeColor="text1"/>
        </w:rPr>
        <w:t xml:space="preserve"> specifies the x-coordinate of the top-left corner of the patch bounding box size for </w:t>
      </w:r>
      <w:r w:rsidR="00165BB2" w:rsidRPr="00A52AB8">
        <w:rPr>
          <w:color w:val="000000" w:themeColor="text1"/>
        </w:rPr>
        <w:t xml:space="preserve">the </w:t>
      </w:r>
      <w:r w:rsidR="00D208FC" w:rsidRPr="00A52AB8">
        <w:rPr>
          <w:color w:val="000000" w:themeColor="text1"/>
        </w:rPr>
        <w:t>RAW</w:t>
      </w:r>
      <w:r w:rsidR="00700561" w:rsidRPr="00A52AB8">
        <w:rPr>
          <w:color w:val="000000" w:themeColor="text1"/>
        </w:rPr>
        <w:t xml:space="preserve"> coded patch </w:t>
      </w:r>
      <w:r w:rsidR="00D57A52" w:rsidRPr="00A52AB8">
        <w:rPr>
          <w:color w:val="000000" w:themeColor="text1"/>
        </w:rPr>
        <w:t>p</w:t>
      </w:r>
      <w:r w:rsidR="00E4597F" w:rsidRPr="00A52AB8" w:rsidDel="00E4597F">
        <w:rPr>
          <w:color w:val="000000" w:themeColor="text1"/>
        </w:rPr>
        <w:t xml:space="preserve"> </w:t>
      </w:r>
      <w:r w:rsidR="00700561" w:rsidRPr="00A52AB8">
        <w:rPr>
          <w:color w:val="000000" w:themeColor="text1"/>
        </w:rPr>
        <w:t xml:space="preserve">in the </w:t>
      </w:r>
      <w:r w:rsidR="00A63EEB" w:rsidRPr="00A52AB8">
        <w:rPr>
          <w:color w:val="000000" w:themeColor="text1"/>
        </w:rPr>
        <w:t xml:space="preserve">current </w:t>
      </w:r>
      <w:r w:rsidR="002A47BD" w:rsidRPr="00A52AB8">
        <w:rPr>
          <w:color w:val="000000" w:themeColor="text1"/>
        </w:rPr>
        <w:t xml:space="preserve">atlas </w:t>
      </w:r>
      <w:r w:rsidR="00B8075E" w:rsidRPr="00A52AB8">
        <w:rPr>
          <w:color w:val="000000" w:themeColor="text1"/>
        </w:rPr>
        <w:t>tile</w:t>
      </w:r>
      <w:r w:rsidR="00700561" w:rsidRPr="00A52AB8">
        <w:rPr>
          <w:color w:val="000000" w:themeColor="text1"/>
        </w:rPr>
        <w:t xml:space="preserve">, </w:t>
      </w:r>
      <w:r w:rsidR="00A41AF4" w:rsidRPr="00A52AB8">
        <w:rPr>
          <w:color w:val="000000" w:themeColor="text1"/>
        </w:rPr>
        <w:t>with tile ID equal to tileID</w:t>
      </w:r>
      <w:r w:rsidR="007F0379" w:rsidRPr="00A52AB8">
        <w:rPr>
          <w:color w:val="000000" w:themeColor="text1"/>
        </w:rPr>
        <w:t xml:space="preserve">, </w:t>
      </w:r>
      <w:r w:rsidR="00700561" w:rsidRPr="00A52AB8">
        <w:rPr>
          <w:color w:val="000000" w:themeColor="text1"/>
        </w:rPr>
        <w:t xml:space="preserve">expressed as a multiple of </w:t>
      </w:r>
      <w:r w:rsidR="00835F46" w:rsidRPr="00A52AB8">
        <w:rPr>
          <w:color w:val="000000" w:themeColor="text1"/>
        </w:rPr>
        <w:t>PatchPackingBlockSize</w:t>
      </w:r>
      <w:r w:rsidR="00700561" w:rsidRPr="00A52AB8">
        <w:rPr>
          <w:color w:val="000000" w:themeColor="text1"/>
        </w:rPr>
        <w:t>.</w:t>
      </w:r>
    </w:p>
    <w:p w14:paraId="15AAEAF0" w14:textId="4D1D61E8" w:rsidR="0050235C" w:rsidRPr="00A52AB8" w:rsidRDefault="00C31A85">
      <w:pPr>
        <w:rPr>
          <w:color w:val="000000" w:themeColor="text1"/>
        </w:rPr>
      </w:pPr>
      <w:r w:rsidRPr="00A52AB8">
        <w:rPr>
          <w:b/>
          <w:color w:val="000000" w:themeColor="text1"/>
        </w:rPr>
        <w:t>rpdu</w:t>
      </w:r>
      <w:r w:rsidR="00700561" w:rsidRPr="00A52AB8">
        <w:rPr>
          <w:b/>
          <w:color w:val="000000" w:themeColor="text1"/>
        </w:rPr>
        <w:t>_</w:t>
      </w:r>
      <w:r w:rsidR="00CA4F41" w:rsidRPr="00A52AB8">
        <w:rPr>
          <w:b/>
          <w:color w:val="000000" w:themeColor="text1"/>
        </w:rPr>
        <w:t>2d_</w:t>
      </w:r>
      <w:r w:rsidR="00627BE0" w:rsidRPr="00A52AB8">
        <w:rPr>
          <w:b/>
          <w:color w:val="000000" w:themeColor="text1"/>
        </w:rPr>
        <w:t>pos</w:t>
      </w:r>
      <w:r w:rsidR="00CA4F41" w:rsidRPr="00A52AB8">
        <w:rPr>
          <w:b/>
          <w:color w:val="000000" w:themeColor="text1"/>
        </w:rPr>
        <w:t>_y</w:t>
      </w:r>
      <w:r w:rsidR="00800C8C" w:rsidRPr="00A52AB8">
        <w:rPr>
          <w:lang w:eastAsia="ja-JP"/>
        </w:rPr>
        <w:t>[ </w:t>
      </w:r>
      <w:r w:rsidR="00632FA7" w:rsidRPr="00A52AB8">
        <w:rPr>
          <w:lang w:eastAsia="ja-JP"/>
        </w:rPr>
        <w:t>tileID</w:t>
      </w:r>
      <w:r w:rsidR="00800C8C" w:rsidRPr="00A52AB8">
        <w:rPr>
          <w:lang w:eastAsia="ja-JP"/>
        </w:rPr>
        <w:t> ]</w:t>
      </w:r>
      <w:r w:rsidR="00636D52" w:rsidRPr="00A52AB8">
        <w:rPr>
          <w:color w:val="000000" w:themeColor="text1"/>
        </w:rPr>
        <w:t>[ </w:t>
      </w:r>
      <w:r w:rsidR="00D57A52" w:rsidRPr="00A52AB8">
        <w:rPr>
          <w:color w:val="000000" w:themeColor="text1"/>
        </w:rPr>
        <w:t>p</w:t>
      </w:r>
      <w:r w:rsidR="00E4597F" w:rsidRPr="00A52AB8">
        <w:rPr>
          <w:color w:val="000000" w:themeColor="text1"/>
        </w:rPr>
        <w:t> </w:t>
      </w:r>
      <w:r w:rsidR="00636D52" w:rsidRPr="00A52AB8">
        <w:rPr>
          <w:color w:val="000000" w:themeColor="text1"/>
        </w:rPr>
        <w:t>]</w:t>
      </w:r>
      <w:r w:rsidR="00700561" w:rsidRPr="00A52AB8">
        <w:rPr>
          <w:color w:val="000000" w:themeColor="text1"/>
        </w:rPr>
        <w:t xml:space="preserve"> specifies the y-coordinate of the top-left corner of the patch bounding box size for </w:t>
      </w:r>
      <w:r w:rsidR="00165BB2" w:rsidRPr="00A52AB8">
        <w:rPr>
          <w:color w:val="000000" w:themeColor="text1"/>
        </w:rPr>
        <w:t xml:space="preserve">the </w:t>
      </w:r>
      <w:r w:rsidR="00D208FC" w:rsidRPr="00A52AB8">
        <w:rPr>
          <w:color w:val="000000" w:themeColor="text1"/>
        </w:rPr>
        <w:t>RAW</w:t>
      </w:r>
      <w:r w:rsidR="00700561" w:rsidRPr="00A52AB8">
        <w:rPr>
          <w:color w:val="000000" w:themeColor="text1"/>
        </w:rPr>
        <w:t xml:space="preserve"> coded patch </w:t>
      </w:r>
      <w:r w:rsidR="00D57A52" w:rsidRPr="00A52AB8">
        <w:rPr>
          <w:color w:val="000000" w:themeColor="text1"/>
        </w:rPr>
        <w:t>p</w:t>
      </w:r>
      <w:r w:rsidR="00E4597F" w:rsidRPr="00A52AB8" w:rsidDel="00E4597F">
        <w:rPr>
          <w:color w:val="000000" w:themeColor="text1"/>
        </w:rPr>
        <w:t xml:space="preserve"> </w:t>
      </w:r>
      <w:r w:rsidR="00700561" w:rsidRPr="00A52AB8">
        <w:rPr>
          <w:color w:val="000000" w:themeColor="text1"/>
        </w:rPr>
        <w:t xml:space="preserve">in the </w:t>
      </w:r>
      <w:r w:rsidR="00A63EEB" w:rsidRPr="00A52AB8">
        <w:rPr>
          <w:color w:val="000000" w:themeColor="text1"/>
        </w:rPr>
        <w:t xml:space="preserve">current </w:t>
      </w:r>
      <w:r w:rsidR="002A47BD" w:rsidRPr="00A52AB8">
        <w:rPr>
          <w:color w:val="000000" w:themeColor="text1"/>
        </w:rPr>
        <w:t xml:space="preserve">atlas </w:t>
      </w:r>
      <w:r w:rsidR="00B8075E" w:rsidRPr="00A52AB8">
        <w:rPr>
          <w:color w:val="000000" w:themeColor="text1"/>
        </w:rPr>
        <w:t>tile</w:t>
      </w:r>
      <w:r w:rsidR="00700561" w:rsidRPr="00A52AB8">
        <w:rPr>
          <w:color w:val="000000" w:themeColor="text1"/>
        </w:rPr>
        <w:t xml:space="preserve">, </w:t>
      </w:r>
      <w:r w:rsidR="00A41AF4" w:rsidRPr="00A52AB8">
        <w:rPr>
          <w:color w:val="000000" w:themeColor="text1"/>
        </w:rPr>
        <w:t>with tile ID equal to tileID</w:t>
      </w:r>
      <w:r w:rsidR="007F223F" w:rsidRPr="00A52AB8">
        <w:rPr>
          <w:color w:val="000000" w:themeColor="text1"/>
        </w:rPr>
        <w:t xml:space="preserve">, </w:t>
      </w:r>
      <w:r w:rsidR="00700561" w:rsidRPr="00A52AB8">
        <w:rPr>
          <w:color w:val="000000" w:themeColor="text1"/>
        </w:rPr>
        <w:t xml:space="preserve">expressed as a multiple of </w:t>
      </w:r>
      <w:r w:rsidR="00835F46" w:rsidRPr="00A52AB8">
        <w:rPr>
          <w:color w:val="000000" w:themeColor="text1"/>
        </w:rPr>
        <w:t>PatchPackingBlockSize</w:t>
      </w:r>
      <w:r w:rsidR="00700561" w:rsidRPr="00A52AB8">
        <w:rPr>
          <w:color w:val="000000" w:themeColor="text1"/>
        </w:rPr>
        <w:t>.</w:t>
      </w:r>
    </w:p>
    <w:p w14:paraId="0FF059B7" w14:textId="718BA7A2" w:rsidR="009B0274" w:rsidRPr="00A52AB8" w:rsidRDefault="00C31A85">
      <w:pPr>
        <w:rPr>
          <w:b/>
          <w:color w:val="000000" w:themeColor="text1"/>
        </w:rPr>
      </w:pPr>
      <w:r w:rsidRPr="00A52AB8">
        <w:rPr>
          <w:b/>
          <w:color w:val="000000" w:themeColor="text1"/>
        </w:rPr>
        <w:t>rpdu</w:t>
      </w:r>
      <w:r w:rsidR="009B0274" w:rsidRPr="00A52AB8">
        <w:rPr>
          <w:b/>
          <w:color w:val="000000" w:themeColor="text1"/>
        </w:rPr>
        <w:t>_2d_</w:t>
      </w:r>
      <w:r w:rsidR="008E0BEB" w:rsidRPr="00A52AB8">
        <w:rPr>
          <w:b/>
          <w:color w:val="000000" w:themeColor="text1"/>
        </w:rPr>
        <w:t>size_x</w:t>
      </w:r>
      <w:r w:rsidR="00BF4D78" w:rsidRPr="00A52AB8">
        <w:rPr>
          <w:b/>
          <w:color w:val="000000" w:themeColor="text1"/>
        </w:rPr>
        <w:t>_minus1</w:t>
      </w:r>
      <w:r w:rsidR="00800C8C" w:rsidRPr="00A52AB8">
        <w:rPr>
          <w:lang w:eastAsia="ja-JP"/>
        </w:rPr>
        <w:t>[ </w:t>
      </w:r>
      <w:r w:rsidR="00632FA7" w:rsidRPr="00A52AB8">
        <w:rPr>
          <w:lang w:eastAsia="ja-JP"/>
        </w:rPr>
        <w:t>tileID</w:t>
      </w:r>
      <w:r w:rsidR="00800C8C" w:rsidRPr="00A52AB8">
        <w:rPr>
          <w:lang w:eastAsia="ja-JP"/>
        </w:rPr>
        <w:t> ]</w:t>
      </w:r>
      <w:r w:rsidR="009B0274" w:rsidRPr="00A52AB8">
        <w:rPr>
          <w:color w:val="000000" w:themeColor="text1"/>
        </w:rPr>
        <w:t>[ </w:t>
      </w:r>
      <w:r w:rsidR="00D57A52" w:rsidRPr="00A52AB8">
        <w:rPr>
          <w:color w:val="000000" w:themeColor="text1"/>
        </w:rPr>
        <w:t>p</w:t>
      </w:r>
      <w:r w:rsidR="00D2668B" w:rsidRPr="00A52AB8">
        <w:rPr>
          <w:color w:val="000000" w:themeColor="text1"/>
        </w:rPr>
        <w:t> </w:t>
      </w:r>
      <w:r w:rsidR="00EB43F8" w:rsidRPr="00A52AB8">
        <w:rPr>
          <w:color w:val="000000" w:themeColor="text1"/>
        </w:rPr>
        <w:t>]</w:t>
      </w:r>
      <w:r w:rsidR="009B0274" w:rsidRPr="00A52AB8">
        <w:rPr>
          <w:color w:val="000000" w:themeColor="text1"/>
        </w:rPr>
        <w:t xml:space="preserve"> </w:t>
      </w:r>
      <w:r w:rsidR="00BF4D78" w:rsidRPr="00A52AB8">
        <w:rPr>
          <w:color w:val="000000" w:themeColor="text1"/>
        </w:rPr>
        <w:t xml:space="preserve">plus 1 </w:t>
      </w:r>
      <w:r w:rsidR="009B0274" w:rsidRPr="00A52AB8">
        <w:rPr>
          <w:color w:val="000000" w:themeColor="text1"/>
        </w:rPr>
        <w:t xml:space="preserve">specifies the width value of the </w:t>
      </w:r>
      <w:r w:rsidR="00D208FC" w:rsidRPr="00A52AB8">
        <w:rPr>
          <w:color w:val="000000" w:themeColor="text1"/>
        </w:rPr>
        <w:t>RAW</w:t>
      </w:r>
      <w:r w:rsidR="009B0274" w:rsidRPr="00A52AB8">
        <w:rPr>
          <w:color w:val="000000" w:themeColor="text1"/>
        </w:rPr>
        <w:t xml:space="preserve"> coded patch with index </w:t>
      </w:r>
      <w:r w:rsidR="00D57A52" w:rsidRPr="00A52AB8">
        <w:rPr>
          <w:color w:val="000000" w:themeColor="text1"/>
        </w:rPr>
        <w:t>p</w:t>
      </w:r>
      <w:r w:rsidR="009B0274" w:rsidRPr="00A52AB8">
        <w:rPr>
          <w:color w:val="000000" w:themeColor="text1"/>
        </w:rPr>
        <w:t xml:space="preserve"> in the </w:t>
      </w:r>
      <w:r w:rsidR="00A63EEB" w:rsidRPr="00A52AB8">
        <w:rPr>
          <w:color w:val="000000" w:themeColor="text1"/>
        </w:rPr>
        <w:t xml:space="preserve">current </w:t>
      </w:r>
      <w:r w:rsidR="002A47BD" w:rsidRPr="00A52AB8">
        <w:rPr>
          <w:color w:val="000000" w:themeColor="text1"/>
        </w:rPr>
        <w:t xml:space="preserve">atlas </w:t>
      </w:r>
      <w:r w:rsidR="00B8075E" w:rsidRPr="00A52AB8">
        <w:rPr>
          <w:color w:val="000000" w:themeColor="text1"/>
        </w:rPr>
        <w:t>tile</w:t>
      </w:r>
      <w:r w:rsidR="00800C8C" w:rsidRPr="00A52AB8">
        <w:rPr>
          <w:color w:val="000000" w:themeColor="text1"/>
        </w:rPr>
        <w:t>,</w:t>
      </w:r>
      <w:r w:rsidR="003D64A5" w:rsidRPr="00A52AB8">
        <w:rPr>
          <w:color w:val="000000" w:themeColor="text1"/>
        </w:rPr>
        <w:t xml:space="preserve"> </w:t>
      </w:r>
      <w:r w:rsidR="00A41AF4" w:rsidRPr="00A52AB8">
        <w:rPr>
          <w:color w:val="000000" w:themeColor="text1"/>
        </w:rPr>
        <w:t>with tile ID equal to tileID</w:t>
      </w:r>
      <w:r w:rsidR="009B0274" w:rsidRPr="00A52AB8">
        <w:rPr>
          <w:color w:val="000000" w:themeColor="text1"/>
        </w:rPr>
        <w:t>.</w:t>
      </w:r>
    </w:p>
    <w:p w14:paraId="0011A442" w14:textId="77777777" w:rsidR="0050235C" w:rsidRPr="00A52AB8" w:rsidRDefault="00C31A85">
      <w:pPr>
        <w:rPr>
          <w:color w:val="000000" w:themeColor="text1"/>
        </w:rPr>
      </w:pPr>
      <w:r w:rsidRPr="00A52AB8">
        <w:rPr>
          <w:b/>
          <w:color w:val="000000" w:themeColor="text1"/>
        </w:rPr>
        <w:t>rpdu</w:t>
      </w:r>
      <w:r w:rsidR="009B0274" w:rsidRPr="00A52AB8">
        <w:rPr>
          <w:b/>
          <w:color w:val="000000" w:themeColor="text1"/>
        </w:rPr>
        <w:t>_2d_</w:t>
      </w:r>
      <w:r w:rsidR="008E0BEB" w:rsidRPr="00A52AB8">
        <w:rPr>
          <w:b/>
          <w:color w:val="000000" w:themeColor="text1"/>
        </w:rPr>
        <w:t>size_y</w:t>
      </w:r>
      <w:r w:rsidR="00BF4D78" w:rsidRPr="00A52AB8">
        <w:rPr>
          <w:b/>
          <w:color w:val="000000" w:themeColor="text1"/>
        </w:rPr>
        <w:t>_minus1</w:t>
      </w:r>
      <w:r w:rsidR="00800C8C" w:rsidRPr="00A52AB8">
        <w:rPr>
          <w:lang w:eastAsia="ja-JP"/>
        </w:rPr>
        <w:t>[ </w:t>
      </w:r>
      <w:r w:rsidR="00632FA7" w:rsidRPr="00A52AB8">
        <w:rPr>
          <w:lang w:eastAsia="ja-JP"/>
        </w:rPr>
        <w:t>tileID</w:t>
      </w:r>
      <w:r w:rsidR="00800C8C" w:rsidRPr="00A52AB8">
        <w:rPr>
          <w:lang w:eastAsia="ja-JP"/>
        </w:rPr>
        <w:t> ]</w:t>
      </w:r>
      <w:r w:rsidR="009B0274" w:rsidRPr="00A52AB8">
        <w:rPr>
          <w:color w:val="000000" w:themeColor="text1"/>
        </w:rPr>
        <w:t>[ </w:t>
      </w:r>
      <w:r w:rsidR="00D57A52" w:rsidRPr="00A52AB8">
        <w:rPr>
          <w:color w:val="000000" w:themeColor="text1"/>
        </w:rPr>
        <w:t>p</w:t>
      </w:r>
      <w:r w:rsidR="004A12C6" w:rsidRPr="00A52AB8">
        <w:rPr>
          <w:color w:val="000000" w:themeColor="text1"/>
        </w:rPr>
        <w:t> </w:t>
      </w:r>
      <w:r w:rsidR="00EB43F8" w:rsidRPr="00A52AB8">
        <w:rPr>
          <w:color w:val="000000" w:themeColor="text1"/>
        </w:rPr>
        <w:t xml:space="preserve">] </w:t>
      </w:r>
      <w:r w:rsidR="00BF4D78" w:rsidRPr="00A52AB8">
        <w:rPr>
          <w:color w:val="000000" w:themeColor="text1"/>
        </w:rPr>
        <w:t xml:space="preserve">plus 1 </w:t>
      </w:r>
      <w:r w:rsidR="009B0274" w:rsidRPr="00A52AB8">
        <w:rPr>
          <w:color w:val="000000" w:themeColor="text1"/>
        </w:rPr>
        <w:t xml:space="preserve">specifies the height value of the </w:t>
      </w:r>
      <w:r w:rsidR="00D208FC" w:rsidRPr="00A52AB8">
        <w:rPr>
          <w:color w:val="000000" w:themeColor="text1"/>
        </w:rPr>
        <w:t>RAW</w:t>
      </w:r>
      <w:r w:rsidR="009B0274" w:rsidRPr="00A52AB8">
        <w:rPr>
          <w:color w:val="000000" w:themeColor="text1"/>
        </w:rPr>
        <w:t xml:space="preserve"> coded patch with index </w:t>
      </w:r>
      <w:r w:rsidR="00D57A52" w:rsidRPr="00A52AB8">
        <w:rPr>
          <w:color w:val="000000" w:themeColor="text1"/>
        </w:rPr>
        <w:t>p</w:t>
      </w:r>
      <w:r w:rsidR="009B0274" w:rsidRPr="00A52AB8">
        <w:rPr>
          <w:color w:val="000000" w:themeColor="text1"/>
        </w:rPr>
        <w:t xml:space="preserve"> in the </w:t>
      </w:r>
      <w:r w:rsidR="00A63EEB" w:rsidRPr="00A52AB8">
        <w:rPr>
          <w:color w:val="000000" w:themeColor="text1"/>
        </w:rPr>
        <w:t xml:space="preserve">current </w:t>
      </w:r>
      <w:r w:rsidR="002A47BD" w:rsidRPr="00A52AB8">
        <w:rPr>
          <w:color w:val="000000" w:themeColor="text1"/>
        </w:rPr>
        <w:t xml:space="preserve">atlas </w:t>
      </w:r>
      <w:r w:rsidR="00B8075E" w:rsidRPr="00A52AB8">
        <w:rPr>
          <w:color w:val="000000" w:themeColor="text1"/>
        </w:rPr>
        <w:t>tile</w:t>
      </w:r>
      <w:r w:rsidR="00800C8C" w:rsidRPr="00A52AB8">
        <w:rPr>
          <w:color w:val="000000" w:themeColor="text1"/>
        </w:rPr>
        <w:t xml:space="preserve">, </w:t>
      </w:r>
      <w:r w:rsidR="00A41AF4" w:rsidRPr="00A52AB8">
        <w:rPr>
          <w:color w:val="000000" w:themeColor="text1"/>
        </w:rPr>
        <w:t>with tile ID equal to tileID</w:t>
      </w:r>
      <w:r w:rsidR="009B0274" w:rsidRPr="00A52AB8">
        <w:rPr>
          <w:color w:val="000000" w:themeColor="text1"/>
        </w:rPr>
        <w:t>.</w:t>
      </w:r>
    </w:p>
    <w:p w14:paraId="4B451B9B" w14:textId="5903C10B" w:rsidR="00A57898" w:rsidRPr="00A52AB8" w:rsidRDefault="00C31A85">
      <w:pPr>
        <w:rPr>
          <w:color w:val="000000" w:themeColor="text1"/>
        </w:rPr>
      </w:pPr>
      <w:r w:rsidRPr="00A52AB8">
        <w:rPr>
          <w:b/>
          <w:color w:val="000000" w:themeColor="text1"/>
        </w:rPr>
        <w:t>r</w:t>
      </w:r>
      <w:r w:rsidR="007356C4" w:rsidRPr="00A52AB8">
        <w:rPr>
          <w:b/>
          <w:color w:val="000000" w:themeColor="text1"/>
        </w:rPr>
        <w:t>pdu_3d_offset_u</w:t>
      </w:r>
      <w:r w:rsidR="00800C8C" w:rsidRPr="00A52AB8">
        <w:rPr>
          <w:lang w:eastAsia="ja-JP"/>
        </w:rPr>
        <w:t>[ </w:t>
      </w:r>
      <w:r w:rsidR="00632FA7" w:rsidRPr="00A52AB8">
        <w:rPr>
          <w:lang w:eastAsia="ja-JP"/>
        </w:rPr>
        <w:t>tileID</w:t>
      </w:r>
      <w:r w:rsidR="00800C8C" w:rsidRPr="00A52AB8">
        <w:rPr>
          <w:lang w:eastAsia="ja-JP"/>
        </w:rPr>
        <w:t> ]</w:t>
      </w:r>
      <w:r w:rsidR="00A57898" w:rsidRPr="00A52AB8">
        <w:rPr>
          <w:color w:val="000000" w:themeColor="text1"/>
        </w:rPr>
        <w:t>[ </w:t>
      </w:r>
      <w:r w:rsidR="00D57A52" w:rsidRPr="00A52AB8">
        <w:rPr>
          <w:color w:val="000000" w:themeColor="text1"/>
        </w:rPr>
        <w:t>p</w:t>
      </w:r>
      <w:r w:rsidR="004A12C6" w:rsidRPr="00A52AB8">
        <w:rPr>
          <w:color w:val="000000" w:themeColor="text1"/>
        </w:rPr>
        <w:t> </w:t>
      </w:r>
      <w:r w:rsidR="00A57898" w:rsidRPr="00A52AB8">
        <w:rPr>
          <w:color w:val="000000" w:themeColor="text1"/>
        </w:rPr>
        <w:t xml:space="preserve">] specifies the shift to be applied to the reconstructed </w:t>
      </w:r>
      <w:r w:rsidR="00D208FC" w:rsidRPr="00A52AB8">
        <w:rPr>
          <w:color w:val="000000" w:themeColor="text1"/>
        </w:rPr>
        <w:t>RAW</w:t>
      </w:r>
      <w:r w:rsidR="00A57898" w:rsidRPr="00A52AB8">
        <w:rPr>
          <w:color w:val="000000" w:themeColor="text1"/>
        </w:rPr>
        <w:t xml:space="preserve"> patch points in the patch with index </w:t>
      </w:r>
      <w:r w:rsidR="00D57A52" w:rsidRPr="00A52AB8">
        <w:rPr>
          <w:color w:val="000000" w:themeColor="text1"/>
        </w:rPr>
        <w:t>p</w:t>
      </w:r>
      <w:r w:rsidR="00A57898" w:rsidRPr="00A52AB8">
        <w:rPr>
          <w:color w:val="000000" w:themeColor="text1"/>
        </w:rPr>
        <w:t xml:space="preserve"> of the current </w:t>
      </w:r>
      <w:r w:rsidR="002A47BD" w:rsidRPr="00A52AB8">
        <w:rPr>
          <w:color w:val="000000" w:themeColor="text1"/>
        </w:rPr>
        <w:t xml:space="preserve">atlas </w:t>
      </w:r>
      <w:r w:rsidR="00B8075E" w:rsidRPr="00A52AB8">
        <w:rPr>
          <w:color w:val="000000" w:themeColor="text1"/>
        </w:rPr>
        <w:t>tile</w:t>
      </w:r>
      <w:r w:rsidR="00800C8C" w:rsidRPr="00A52AB8">
        <w:rPr>
          <w:color w:val="000000" w:themeColor="text1"/>
        </w:rPr>
        <w:t xml:space="preserve">, </w:t>
      </w:r>
      <w:r w:rsidR="00A41AF4" w:rsidRPr="00A52AB8">
        <w:rPr>
          <w:color w:val="000000" w:themeColor="text1"/>
        </w:rPr>
        <w:t>with tile ID equal to tileID</w:t>
      </w:r>
      <w:r w:rsidR="00800C8C" w:rsidRPr="00A52AB8">
        <w:rPr>
          <w:color w:val="000000" w:themeColor="text1"/>
        </w:rPr>
        <w:t>,</w:t>
      </w:r>
      <w:r w:rsidR="00A57898" w:rsidRPr="00A52AB8">
        <w:rPr>
          <w:color w:val="000000" w:themeColor="text1"/>
        </w:rPr>
        <w:t xml:space="preserve"> along the tangent axis.</w:t>
      </w:r>
      <w:r w:rsidR="009F1011" w:rsidRPr="00A52AB8">
        <w:rPr>
          <w:color w:val="000000" w:themeColor="text1"/>
        </w:rPr>
        <w:t xml:space="preserve"> The number of bits used to represent </w:t>
      </w:r>
      <w:r w:rsidR="009F1011" w:rsidRPr="00A52AB8">
        <w:t>r</w:t>
      </w:r>
      <w:r w:rsidR="007356C4" w:rsidRPr="00A52AB8">
        <w:t>pdu_3d_offset_u</w:t>
      </w:r>
      <w:r w:rsidR="003D64A5" w:rsidRPr="00A52AB8">
        <w:rPr>
          <w:lang w:eastAsia="ja-JP"/>
        </w:rPr>
        <w:t>[ </w:t>
      </w:r>
      <w:r w:rsidR="00632FA7" w:rsidRPr="00A52AB8">
        <w:rPr>
          <w:lang w:eastAsia="ja-JP"/>
        </w:rPr>
        <w:t>tileID</w:t>
      </w:r>
      <w:r w:rsidR="003D64A5" w:rsidRPr="00A52AB8">
        <w:rPr>
          <w:lang w:eastAsia="ja-JP"/>
        </w:rPr>
        <w:t> ]</w:t>
      </w:r>
      <w:r w:rsidR="009F1011" w:rsidRPr="00A52AB8">
        <w:t>[</w:t>
      </w:r>
      <w:r w:rsidR="00CA264E" w:rsidRPr="00A52AB8">
        <w:rPr>
          <w:color w:val="000000" w:themeColor="text1"/>
        </w:rPr>
        <w:t> </w:t>
      </w:r>
      <w:r w:rsidR="00D57A52" w:rsidRPr="00A52AB8">
        <w:rPr>
          <w:color w:val="000000" w:themeColor="text1"/>
        </w:rPr>
        <w:t>p</w:t>
      </w:r>
      <w:r w:rsidR="004A12C6" w:rsidRPr="00A52AB8">
        <w:rPr>
          <w:color w:val="000000" w:themeColor="text1"/>
        </w:rPr>
        <w:t> </w:t>
      </w:r>
      <w:r w:rsidR="009F1011" w:rsidRPr="00A52AB8">
        <w:t>]</w:t>
      </w:r>
      <w:r w:rsidR="005E4D14" w:rsidRPr="00A52AB8">
        <w:t xml:space="preserve"> </w:t>
      </w:r>
      <w:r w:rsidR="009F1011" w:rsidRPr="00A52AB8">
        <w:rPr>
          <w:color w:val="000000" w:themeColor="text1"/>
        </w:rPr>
        <w:t xml:space="preserve">is </w:t>
      </w:r>
      <w:r w:rsidR="009030B7" w:rsidRPr="00A52AB8">
        <w:rPr>
          <w:color w:val="000000" w:themeColor="text1"/>
        </w:rPr>
        <w:t>( </w:t>
      </w:r>
      <w:r w:rsidR="00A62CD5" w:rsidRPr="00A52AB8">
        <w:rPr>
          <w:color w:val="000000" w:themeColor="text1"/>
        </w:rPr>
        <w:t>ath_</w:t>
      </w:r>
      <w:r w:rsidR="009F1011" w:rsidRPr="00A52AB8">
        <w:rPr>
          <w:color w:val="000000" w:themeColor="text1"/>
        </w:rPr>
        <w:t>raw_3d_</w:t>
      </w:r>
      <w:r w:rsidR="00EE3253" w:rsidRPr="00A52AB8">
        <w:t>offset</w:t>
      </w:r>
      <w:r w:rsidR="009F1011" w:rsidRPr="00A52AB8">
        <w:rPr>
          <w:color w:val="000000" w:themeColor="text1"/>
        </w:rPr>
        <w:t>_axis_bit_count_minus1</w:t>
      </w:r>
      <w:r w:rsidR="009030B7" w:rsidRPr="00A52AB8">
        <w:rPr>
          <w:color w:val="000000" w:themeColor="text1"/>
        </w:rPr>
        <w:t> </w:t>
      </w:r>
      <w:r w:rsidR="009F1011" w:rsidRPr="00A52AB8">
        <w:rPr>
          <w:color w:val="000000" w:themeColor="text1"/>
        </w:rPr>
        <w:t>+</w:t>
      </w:r>
      <w:r w:rsidR="009030B7" w:rsidRPr="00A52AB8">
        <w:rPr>
          <w:color w:val="000000" w:themeColor="text1"/>
        </w:rPr>
        <w:t> </w:t>
      </w:r>
      <w:r w:rsidR="009F1011" w:rsidRPr="00A52AB8">
        <w:rPr>
          <w:color w:val="000000" w:themeColor="text1"/>
        </w:rPr>
        <w:t>1</w:t>
      </w:r>
      <w:r w:rsidR="009030B7" w:rsidRPr="00A52AB8">
        <w:rPr>
          <w:color w:val="000000" w:themeColor="text1"/>
        </w:rPr>
        <w:t> </w:t>
      </w:r>
      <w:r w:rsidR="009F1011" w:rsidRPr="00A52AB8">
        <w:rPr>
          <w:color w:val="000000" w:themeColor="text1"/>
        </w:rPr>
        <w:t>).</w:t>
      </w:r>
    </w:p>
    <w:p w14:paraId="3540DBCE" w14:textId="4C57943F" w:rsidR="00A57898" w:rsidRPr="00A52AB8" w:rsidRDefault="00C31A85">
      <w:pPr>
        <w:rPr>
          <w:color w:val="000000" w:themeColor="text1"/>
        </w:rPr>
      </w:pPr>
      <w:r w:rsidRPr="00A52AB8">
        <w:rPr>
          <w:b/>
          <w:color w:val="000000" w:themeColor="text1"/>
        </w:rPr>
        <w:t>r</w:t>
      </w:r>
      <w:r w:rsidR="007356C4" w:rsidRPr="00A52AB8">
        <w:rPr>
          <w:b/>
          <w:color w:val="000000" w:themeColor="text1"/>
        </w:rPr>
        <w:t>pdu_3d_offset_v</w:t>
      </w:r>
      <w:r w:rsidR="00800C8C" w:rsidRPr="00A52AB8">
        <w:rPr>
          <w:lang w:eastAsia="ja-JP"/>
        </w:rPr>
        <w:t>[ </w:t>
      </w:r>
      <w:r w:rsidR="00632FA7" w:rsidRPr="00A52AB8">
        <w:rPr>
          <w:lang w:eastAsia="ja-JP"/>
        </w:rPr>
        <w:t>tileID</w:t>
      </w:r>
      <w:r w:rsidR="00800C8C" w:rsidRPr="00A52AB8">
        <w:rPr>
          <w:lang w:eastAsia="ja-JP"/>
        </w:rPr>
        <w:t> ]</w:t>
      </w:r>
      <w:r w:rsidR="00A57898" w:rsidRPr="00A52AB8">
        <w:rPr>
          <w:color w:val="000000" w:themeColor="text1"/>
        </w:rPr>
        <w:t>[ </w:t>
      </w:r>
      <w:r w:rsidR="00D57A52" w:rsidRPr="00A52AB8">
        <w:rPr>
          <w:color w:val="000000" w:themeColor="text1"/>
        </w:rPr>
        <w:t>p</w:t>
      </w:r>
      <w:r w:rsidR="00F91707" w:rsidRPr="00A52AB8">
        <w:rPr>
          <w:color w:val="000000" w:themeColor="text1"/>
        </w:rPr>
        <w:t> </w:t>
      </w:r>
      <w:r w:rsidR="00A57898" w:rsidRPr="00A52AB8">
        <w:rPr>
          <w:color w:val="000000" w:themeColor="text1"/>
        </w:rPr>
        <w:t xml:space="preserve">] specifies the shift to be applied to the reconstructed </w:t>
      </w:r>
      <w:r w:rsidR="00D208FC" w:rsidRPr="00A52AB8">
        <w:rPr>
          <w:color w:val="000000" w:themeColor="text1"/>
        </w:rPr>
        <w:t>RAW</w:t>
      </w:r>
      <w:r w:rsidR="00A57898" w:rsidRPr="00A52AB8">
        <w:rPr>
          <w:color w:val="000000" w:themeColor="text1"/>
        </w:rPr>
        <w:t xml:space="preserve"> patch points in the patch with index </w:t>
      </w:r>
      <w:r w:rsidR="00D57A52" w:rsidRPr="00A52AB8">
        <w:rPr>
          <w:color w:val="000000" w:themeColor="text1"/>
        </w:rPr>
        <w:t>p</w:t>
      </w:r>
      <w:r w:rsidR="00A57898" w:rsidRPr="00A52AB8">
        <w:rPr>
          <w:color w:val="000000" w:themeColor="text1"/>
        </w:rPr>
        <w:t xml:space="preserve"> of the current </w:t>
      </w:r>
      <w:r w:rsidR="002A47BD" w:rsidRPr="00A52AB8">
        <w:rPr>
          <w:color w:val="000000" w:themeColor="text1"/>
        </w:rPr>
        <w:t xml:space="preserve">atlas </w:t>
      </w:r>
      <w:r w:rsidR="00B8075E" w:rsidRPr="00A52AB8">
        <w:rPr>
          <w:color w:val="000000" w:themeColor="text1"/>
        </w:rPr>
        <w:t>tile</w:t>
      </w:r>
      <w:r w:rsidR="00800C8C" w:rsidRPr="00A52AB8">
        <w:rPr>
          <w:color w:val="000000" w:themeColor="text1"/>
        </w:rPr>
        <w:t xml:space="preserve">, </w:t>
      </w:r>
      <w:r w:rsidR="00A41AF4" w:rsidRPr="00A52AB8">
        <w:rPr>
          <w:color w:val="000000" w:themeColor="text1"/>
        </w:rPr>
        <w:t>with tile ID equal to tileID</w:t>
      </w:r>
      <w:r w:rsidR="00800C8C" w:rsidRPr="00A52AB8">
        <w:rPr>
          <w:color w:val="000000" w:themeColor="text1"/>
        </w:rPr>
        <w:t>,</w:t>
      </w:r>
      <w:r w:rsidR="00A57898" w:rsidRPr="00A52AB8">
        <w:rPr>
          <w:color w:val="000000" w:themeColor="text1"/>
        </w:rPr>
        <w:t xml:space="preserve"> along the </w:t>
      </w:r>
      <w:r w:rsidR="00141AB2" w:rsidRPr="00A52AB8">
        <w:rPr>
          <w:color w:val="000000" w:themeColor="text1"/>
        </w:rPr>
        <w:t>bi-tangent</w:t>
      </w:r>
      <w:r w:rsidR="00A57898" w:rsidRPr="00A52AB8">
        <w:rPr>
          <w:color w:val="000000" w:themeColor="text1"/>
        </w:rPr>
        <w:t xml:space="preserve"> axis.</w:t>
      </w:r>
      <w:r w:rsidR="005216A9" w:rsidRPr="00A52AB8">
        <w:rPr>
          <w:color w:val="000000" w:themeColor="text1"/>
        </w:rPr>
        <w:t xml:space="preserve"> The number of bits used to represent </w:t>
      </w:r>
      <w:r w:rsidR="005216A9" w:rsidRPr="00A52AB8">
        <w:t>r</w:t>
      </w:r>
      <w:r w:rsidR="007356C4" w:rsidRPr="00A52AB8">
        <w:t>pdu_3d_offset_v</w:t>
      </w:r>
      <w:r w:rsidR="00800C8C" w:rsidRPr="00A52AB8">
        <w:rPr>
          <w:lang w:eastAsia="ja-JP"/>
        </w:rPr>
        <w:t>[ </w:t>
      </w:r>
      <w:r w:rsidR="00632FA7" w:rsidRPr="00A52AB8">
        <w:rPr>
          <w:lang w:eastAsia="ja-JP"/>
        </w:rPr>
        <w:t>tileID</w:t>
      </w:r>
      <w:r w:rsidR="00800C8C" w:rsidRPr="00A52AB8">
        <w:rPr>
          <w:lang w:eastAsia="ja-JP"/>
        </w:rPr>
        <w:t> ]</w:t>
      </w:r>
      <w:r w:rsidR="005216A9" w:rsidRPr="00A52AB8">
        <w:t>[</w:t>
      </w:r>
      <w:r w:rsidR="00CA264E" w:rsidRPr="00A52AB8">
        <w:rPr>
          <w:color w:val="000000" w:themeColor="text1"/>
        </w:rPr>
        <w:t> </w:t>
      </w:r>
      <w:r w:rsidR="00D57A52" w:rsidRPr="00A52AB8">
        <w:rPr>
          <w:color w:val="000000" w:themeColor="text1"/>
        </w:rPr>
        <w:t>p</w:t>
      </w:r>
      <w:r w:rsidR="00F91707" w:rsidRPr="00A52AB8">
        <w:rPr>
          <w:color w:val="000000" w:themeColor="text1"/>
        </w:rPr>
        <w:t> </w:t>
      </w:r>
      <w:r w:rsidR="005216A9" w:rsidRPr="00A52AB8">
        <w:t>]</w:t>
      </w:r>
      <w:r w:rsidR="005E4D14" w:rsidRPr="00A52AB8">
        <w:t xml:space="preserve"> </w:t>
      </w:r>
      <w:r w:rsidR="005216A9" w:rsidRPr="00A52AB8">
        <w:rPr>
          <w:color w:val="000000" w:themeColor="text1"/>
        </w:rPr>
        <w:t>is (</w:t>
      </w:r>
      <w:r w:rsidR="009030B7" w:rsidRPr="00A52AB8">
        <w:rPr>
          <w:color w:val="000000" w:themeColor="text1"/>
        </w:rPr>
        <w:t> </w:t>
      </w:r>
      <w:r w:rsidR="00A62CD5" w:rsidRPr="00A52AB8">
        <w:rPr>
          <w:color w:val="000000" w:themeColor="text1"/>
        </w:rPr>
        <w:t>ath_</w:t>
      </w:r>
      <w:r w:rsidR="005216A9" w:rsidRPr="00A52AB8">
        <w:rPr>
          <w:color w:val="000000" w:themeColor="text1"/>
        </w:rPr>
        <w:t>raw_3d_</w:t>
      </w:r>
      <w:r w:rsidR="00CC625E" w:rsidRPr="00A52AB8">
        <w:t>offset</w:t>
      </w:r>
      <w:r w:rsidR="005216A9" w:rsidRPr="00A52AB8">
        <w:rPr>
          <w:color w:val="000000" w:themeColor="text1"/>
        </w:rPr>
        <w:t>_axis_bit_count_minus1</w:t>
      </w:r>
      <w:r w:rsidR="009030B7" w:rsidRPr="00A52AB8">
        <w:rPr>
          <w:color w:val="000000" w:themeColor="text1"/>
        </w:rPr>
        <w:t> </w:t>
      </w:r>
      <w:r w:rsidR="005216A9" w:rsidRPr="00A52AB8">
        <w:rPr>
          <w:color w:val="000000" w:themeColor="text1"/>
        </w:rPr>
        <w:t>+</w:t>
      </w:r>
      <w:r w:rsidR="009030B7" w:rsidRPr="00A52AB8">
        <w:rPr>
          <w:color w:val="000000" w:themeColor="text1"/>
        </w:rPr>
        <w:t> </w:t>
      </w:r>
      <w:r w:rsidR="005216A9" w:rsidRPr="00A52AB8">
        <w:rPr>
          <w:color w:val="000000" w:themeColor="text1"/>
        </w:rPr>
        <w:t>1</w:t>
      </w:r>
      <w:r w:rsidR="009030B7" w:rsidRPr="00A52AB8">
        <w:rPr>
          <w:color w:val="000000" w:themeColor="text1"/>
        </w:rPr>
        <w:t> </w:t>
      </w:r>
      <w:r w:rsidR="005216A9" w:rsidRPr="00A52AB8">
        <w:rPr>
          <w:color w:val="000000" w:themeColor="text1"/>
        </w:rPr>
        <w:t>).</w:t>
      </w:r>
    </w:p>
    <w:p w14:paraId="143D4727" w14:textId="56DF0FD9" w:rsidR="00A57898" w:rsidRPr="00A52AB8" w:rsidRDefault="00C31A85">
      <w:pPr>
        <w:rPr>
          <w:color w:val="000000" w:themeColor="text1"/>
        </w:rPr>
      </w:pPr>
      <w:r w:rsidRPr="00A52AB8">
        <w:rPr>
          <w:b/>
          <w:color w:val="000000" w:themeColor="text1"/>
        </w:rPr>
        <w:t>r</w:t>
      </w:r>
      <w:r w:rsidR="007356C4" w:rsidRPr="00A52AB8">
        <w:rPr>
          <w:b/>
          <w:color w:val="000000" w:themeColor="text1"/>
        </w:rPr>
        <w:t>pdu_3d_offset_d</w:t>
      </w:r>
      <w:r w:rsidR="00800C8C" w:rsidRPr="00A52AB8">
        <w:rPr>
          <w:lang w:eastAsia="ja-JP"/>
        </w:rPr>
        <w:t>[ </w:t>
      </w:r>
      <w:r w:rsidR="00632FA7" w:rsidRPr="00A52AB8">
        <w:rPr>
          <w:lang w:eastAsia="ja-JP"/>
        </w:rPr>
        <w:t>tileID</w:t>
      </w:r>
      <w:r w:rsidR="00800C8C" w:rsidRPr="00A52AB8">
        <w:rPr>
          <w:lang w:eastAsia="ja-JP"/>
        </w:rPr>
        <w:t> ]</w:t>
      </w:r>
      <w:r w:rsidR="00A57898" w:rsidRPr="00A52AB8">
        <w:rPr>
          <w:color w:val="000000" w:themeColor="text1"/>
        </w:rPr>
        <w:t>[ </w:t>
      </w:r>
      <w:r w:rsidR="00D57A52" w:rsidRPr="00A52AB8">
        <w:rPr>
          <w:color w:val="000000" w:themeColor="text1"/>
        </w:rPr>
        <w:t>p</w:t>
      </w:r>
      <w:r w:rsidR="00F91707" w:rsidRPr="00A52AB8">
        <w:rPr>
          <w:color w:val="000000" w:themeColor="text1"/>
        </w:rPr>
        <w:t> </w:t>
      </w:r>
      <w:r w:rsidR="00A57898" w:rsidRPr="00A52AB8">
        <w:rPr>
          <w:color w:val="000000" w:themeColor="text1"/>
        </w:rPr>
        <w:t xml:space="preserve">] specifies the shift to be applied to the reconstructed </w:t>
      </w:r>
      <w:r w:rsidR="00D208FC" w:rsidRPr="00A52AB8">
        <w:rPr>
          <w:color w:val="000000" w:themeColor="text1"/>
        </w:rPr>
        <w:t>RAW</w:t>
      </w:r>
      <w:r w:rsidR="00A57898" w:rsidRPr="00A52AB8">
        <w:rPr>
          <w:color w:val="000000" w:themeColor="text1"/>
        </w:rPr>
        <w:t xml:space="preserve"> patch points in the patch with index </w:t>
      </w:r>
      <w:r w:rsidR="00D57A52" w:rsidRPr="00A52AB8">
        <w:rPr>
          <w:color w:val="000000" w:themeColor="text1"/>
        </w:rPr>
        <w:t>p</w:t>
      </w:r>
      <w:r w:rsidR="00A57898" w:rsidRPr="00A52AB8">
        <w:rPr>
          <w:color w:val="000000" w:themeColor="text1"/>
        </w:rPr>
        <w:t xml:space="preserve"> of </w:t>
      </w:r>
      <w:r w:rsidR="000B4DF9" w:rsidRPr="00A52AB8">
        <w:rPr>
          <w:color w:val="000000" w:themeColor="text1"/>
        </w:rPr>
        <w:t xml:space="preserve">the current </w:t>
      </w:r>
      <w:r w:rsidR="002A47BD" w:rsidRPr="00A52AB8">
        <w:rPr>
          <w:color w:val="000000" w:themeColor="text1"/>
        </w:rPr>
        <w:t xml:space="preserve">atlas </w:t>
      </w:r>
      <w:r w:rsidR="00B8075E" w:rsidRPr="00A52AB8">
        <w:rPr>
          <w:color w:val="000000" w:themeColor="text1"/>
        </w:rPr>
        <w:t>tile</w:t>
      </w:r>
      <w:r w:rsidR="00800C8C" w:rsidRPr="00A52AB8">
        <w:rPr>
          <w:color w:val="000000" w:themeColor="text1"/>
        </w:rPr>
        <w:t xml:space="preserve">, </w:t>
      </w:r>
      <w:r w:rsidR="00A41AF4" w:rsidRPr="00A52AB8">
        <w:rPr>
          <w:color w:val="000000" w:themeColor="text1"/>
        </w:rPr>
        <w:t>with tile ID equal to tileID</w:t>
      </w:r>
      <w:r w:rsidR="00800C8C" w:rsidRPr="00A52AB8">
        <w:rPr>
          <w:color w:val="000000" w:themeColor="text1"/>
        </w:rPr>
        <w:t>,</w:t>
      </w:r>
      <w:r w:rsidR="00A57898" w:rsidRPr="00A52AB8">
        <w:rPr>
          <w:color w:val="000000" w:themeColor="text1"/>
        </w:rPr>
        <w:t xml:space="preserve"> along the normal axis.</w:t>
      </w:r>
      <w:r w:rsidR="005216A9" w:rsidRPr="00A52AB8">
        <w:rPr>
          <w:color w:val="000000" w:themeColor="text1"/>
        </w:rPr>
        <w:t xml:space="preserve"> The number of bits used to represent </w:t>
      </w:r>
      <w:r w:rsidR="005216A9" w:rsidRPr="00A52AB8">
        <w:t>r</w:t>
      </w:r>
      <w:r w:rsidR="007356C4" w:rsidRPr="00A52AB8">
        <w:t>pdu_3d_offset_d</w:t>
      </w:r>
      <w:r w:rsidR="00800C8C" w:rsidRPr="00A52AB8">
        <w:rPr>
          <w:lang w:eastAsia="ja-JP"/>
        </w:rPr>
        <w:t>[ </w:t>
      </w:r>
      <w:r w:rsidR="00632FA7" w:rsidRPr="00A52AB8">
        <w:rPr>
          <w:lang w:eastAsia="ja-JP"/>
        </w:rPr>
        <w:t>tileID</w:t>
      </w:r>
      <w:r w:rsidR="00800C8C" w:rsidRPr="00A52AB8">
        <w:rPr>
          <w:lang w:eastAsia="ja-JP"/>
        </w:rPr>
        <w:t> ]</w:t>
      </w:r>
      <w:r w:rsidR="005216A9" w:rsidRPr="00A52AB8">
        <w:t>[</w:t>
      </w:r>
      <w:r w:rsidR="00CA264E" w:rsidRPr="00A52AB8">
        <w:rPr>
          <w:color w:val="000000" w:themeColor="text1"/>
        </w:rPr>
        <w:t> </w:t>
      </w:r>
      <w:r w:rsidR="00D57A52" w:rsidRPr="00A52AB8">
        <w:rPr>
          <w:color w:val="000000" w:themeColor="text1"/>
        </w:rPr>
        <w:t>p</w:t>
      </w:r>
      <w:r w:rsidR="00F91707" w:rsidRPr="00A52AB8">
        <w:rPr>
          <w:color w:val="000000" w:themeColor="text1"/>
        </w:rPr>
        <w:t> </w:t>
      </w:r>
      <w:r w:rsidR="005216A9" w:rsidRPr="00A52AB8">
        <w:t>]</w:t>
      </w:r>
      <w:r w:rsidR="005E4D14" w:rsidRPr="00A52AB8">
        <w:t xml:space="preserve"> </w:t>
      </w:r>
      <w:r w:rsidR="005216A9" w:rsidRPr="00A52AB8">
        <w:rPr>
          <w:color w:val="000000" w:themeColor="text1"/>
        </w:rPr>
        <w:t>is (</w:t>
      </w:r>
      <w:r w:rsidR="009030B7" w:rsidRPr="00A52AB8">
        <w:rPr>
          <w:color w:val="000000" w:themeColor="text1"/>
        </w:rPr>
        <w:t> </w:t>
      </w:r>
      <w:r w:rsidR="00A62CD5" w:rsidRPr="00A52AB8">
        <w:rPr>
          <w:color w:val="000000" w:themeColor="text1"/>
        </w:rPr>
        <w:t>ath_</w:t>
      </w:r>
      <w:r w:rsidR="005216A9" w:rsidRPr="00A52AB8">
        <w:rPr>
          <w:color w:val="000000" w:themeColor="text1"/>
        </w:rPr>
        <w:t>raw_3d_</w:t>
      </w:r>
      <w:r w:rsidR="00136CC9" w:rsidRPr="00A52AB8">
        <w:t>offset</w:t>
      </w:r>
      <w:r w:rsidR="005216A9" w:rsidRPr="00A52AB8">
        <w:rPr>
          <w:color w:val="000000" w:themeColor="text1"/>
        </w:rPr>
        <w:t>_axis_bit_count_minus1</w:t>
      </w:r>
      <w:r w:rsidR="009030B7" w:rsidRPr="00A52AB8">
        <w:rPr>
          <w:color w:val="000000" w:themeColor="text1"/>
        </w:rPr>
        <w:t> </w:t>
      </w:r>
      <w:r w:rsidR="005216A9" w:rsidRPr="00A52AB8">
        <w:rPr>
          <w:color w:val="000000" w:themeColor="text1"/>
        </w:rPr>
        <w:t>+</w:t>
      </w:r>
      <w:r w:rsidR="009030B7" w:rsidRPr="00A52AB8">
        <w:rPr>
          <w:color w:val="000000" w:themeColor="text1"/>
        </w:rPr>
        <w:t> </w:t>
      </w:r>
      <w:r w:rsidR="005216A9" w:rsidRPr="00A52AB8">
        <w:rPr>
          <w:color w:val="000000" w:themeColor="text1"/>
        </w:rPr>
        <w:t>1</w:t>
      </w:r>
      <w:r w:rsidR="009030B7" w:rsidRPr="00A52AB8">
        <w:rPr>
          <w:color w:val="000000" w:themeColor="text1"/>
        </w:rPr>
        <w:t> </w:t>
      </w:r>
      <w:r w:rsidR="005216A9" w:rsidRPr="00A52AB8">
        <w:rPr>
          <w:color w:val="000000" w:themeColor="text1"/>
        </w:rPr>
        <w:t>).</w:t>
      </w:r>
    </w:p>
    <w:p w14:paraId="3B57A213" w14:textId="77777777" w:rsidR="0050235C" w:rsidRPr="00A52AB8" w:rsidRDefault="00C31A85">
      <w:pPr>
        <w:rPr>
          <w:color w:val="000000" w:themeColor="text1"/>
        </w:rPr>
      </w:pPr>
      <w:r w:rsidRPr="00A52AB8">
        <w:rPr>
          <w:b/>
          <w:lang w:eastAsia="ja-JP"/>
        </w:rPr>
        <w:t>rpdu</w:t>
      </w:r>
      <w:r w:rsidR="00185905" w:rsidRPr="00A52AB8">
        <w:rPr>
          <w:b/>
          <w:lang w:eastAsia="ja-JP"/>
        </w:rPr>
        <w:t>_points</w:t>
      </w:r>
      <w:r w:rsidR="002E5A66" w:rsidRPr="00A52AB8">
        <w:rPr>
          <w:b/>
          <w:lang w:eastAsia="ja-JP"/>
        </w:rPr>
        <w:t>_minus1</w:t>
      </w:r>
      <w:r w:rsidR="00800C8C" w:rsidRPr="00A52AB8">
        <w:rPr>
          <w:lang w:eastAsia="ja-JP"/>
        </w:rPr>
        <w:t>[ </w:t>
      </w:r>
      <w:r w:rsidR="00632FA7" w:rsidRPr="00A52AB8">
        <w:rPr>
          <w:lang w:eastAsia="ja-JP"/>
        </w:rPr>
        <w:t>tileID</w:t>
      </w:r>
      <w:r w:rsidR="00800C8C" w:rsidRPr="00A52AB8">
        <w:rPr>
          <w:lang w:eastAsia="ja-JP"/>
        </w:rPr>
        <w:t> ]</w:t>
      </w:r>
      <w:r w:rsidR="00636D52" w:rsidRPr="00A52AB8">
        <w:rPr>
          <w:lang w:eastAsia="ja-JP"/>
        </w:rPr>
        <w:t>[ </w:t>
      </w:r>
      <w:r w:rsidR="00D57A52" w:rsidRPr="00A52AB8">
        <w:rPr>
          <w:color w:val="000000" w:themeColor="text1"/>
        </w:rPr>
        <w:t>p</w:t>
      </w:r>
      <w:r w:rsidR="00F91707" w:rsidRPr="00A52AB8">
        <w:rPr>
          <w:color w:val="000000" w:themeColor="text1"/>
        </w:rPr>
        <w:t> </w:t>
      </w:r>
      <w:r w:rsidR="00636D52" w:rsidRPr="00A52AB8">
        <w:rPr>
          <w:lang w:eastAsia="ja-JP"/>
        </w:rPr>
        <w:t>]</w:t>
      </w:r>
      <w:r w:rsidR="00667EEF" w:rsidRPr="00A52AB8">
        <w:rPr>
          <w:lang w:eastAsia="ja-JP"/>
        </w:rPr>
        <w:t xml:space="preserve"> </w:t>
      </w:r>
      <w:r w:rsidR="002E5A66" w:rsidRPr="00A52AB8">
        <w:rPr>
          <w:lang w:eastAsia="ja-JP"/>
        </w:rPr>
        <w:t xml:space="preserve">plus 1 </w:t>
      </w:r>
      <w:r w:rsidR="00667EEF" w:rsidRPr="00A52AB8">
        <w:rPr>
          <w:color w:val="000000" w:themeColor="text1"/>
        </w:rPr>
        <w:t xml:space="preserve">specifies the number of </w:t>
      </w:r>
      <w:r w:rsidR="00D208FC" w:rsidRPr="00A52AB8">
        <w:rPr>
          <w:color w:val="000000" w:themeColor="text1"/>
        </w:rPr>
        <w:t>RAW</w:t>
      </w:r>
      <w:r w:rsidR="00667EEF" w:rsidRPr="00A52AB8">
        <w:rPr>
          <w:color w:val="000000" w:themeColor="text1"/>
        </w:rPr>
        <w:t xml:space="preserve"> points present in the </w:t>
      </w:r>
      <w:r w:rsidR="00D208FC" w:rsidRPr="00A52AB8">
        <w:rPr>
          <w:color w:val="000000" w:themeColor="text1"/>
        </w:rPr>
        <w:t>RAW</w:t>
      </w:r>
      <w:r w:rsidR="00667EEF" w:rsidRPr="00A52AB8">
        <w:rPr>
          <w:color w:val="000000" w:themeColor="text1"/>
        </w:rPr>
        <w:t xml:space="preserve"> coded patch</w:t>
      </w:r>
      <w:r w:rsidR="00F91707" w:rsidRPr="00A52AB8">
        <w:rPr>
          <w:color w:val="000000" w:themeColor="text1"/>
        </w:rPr>
        <w:t xml:space="preserve"> with index</w:t>
      </w:r>
      <w:r w:rsidR="00667EEF" w:rsidRPr="00A52AB8">
        <w:rPr>
          <w:color w:val="000000" w:themeColor="text1"/>
        </w:rPr>
        <w:t xml:space="preserve"> </w:t>
      </w:r>
      <w:r w:rsidR="00D57A52" w:rsidRPr="00A52AB8">
        <w:rPr>
          <w:color w:val="000000" w:themeColor="text1"/>
        </w:rPr>
        <w:t>p</w:t>
      </w:r>
      <w:r w:rsidR="00816339" w:rsidRPr="00A52AB8">
        <w:rPr>
          <w:color w:val="000000" w:themeColor="text1"/>
        </w:rPr>
        <w:t xml:space="preserve"> </w:t>
      </w:r>
      <w:r w:rsidR="00667EEF" w:rsidRPr="00A52AB8">
        <w:rPr>
          <w:color w:val="000000" w:themeColor="text1"/>
        </w:rPr>
        <w:t xml:space="preserve">in the </w:t>
      </w:r>
      <w:r w:rsidR="00A535CF" w:rsidRPr="00A52AB8">
        <w:rPr>
          <w:color w:val="000000" w:themeColor="text1"/>
        </w:rPr>
        <w:t xml:space="preserve">current </w:t>
      </w:r>
      <w:r w:rsidR="002A47BD" w:rsidRPr="00A52AB8">
        <w:rPr>
          <w:color w:val="000000" w:themeColor="text1"/>
        </w:rPr>
        <w:t xml:space="preserve">atlas </w:t>
      </w:r>
      <w:r w:rsidR="00B8075E" w:rsidRPr="00A52AB8">
        <w:rPr>
          <w:color w:val="000000" w:themeColor="text1"/>
        </w:rPr>
        <w:t>tile</w:t>
      </w:r>
      <w:r w:rsidR="00800C8C" w:rsidRPr="00A52AB8">
        <w:rPr>
          <w:color w:val="000000" w:themeColor="text1"/>
        </w:rPr>
        <w:t xml:space="preserve">, </w:t>
      </w:r>
      <w:r w:rsidR="00A41AF4" w:rsidRPr="00A52AB8">
        <w:rPr>
          <w:color w:val="000000" w:themeColor="text1"/>
        </w:rPr>
        <w:t>with tile ID equal to tileID</w:t>
      </w:r>
      <w:r w:rsidR="00667EEF" w:rsidRPr="00A52AB8">
        <w:rPr>
          <w:color w:val="000000" w:themeColor="text1"/>
        </w:rPr>
        <w:t xml:space="preserve">. </w:t>
      </w:r>
      <w:r w:rsidR="002E5A66" w:rsidRPr="00A52AB8">
        <w:rPr>
          <w:color w:val="000000" w:themeColor="text1"/>
        </w:rPr>
        <w:t xml:space="preserve">The value of </w:t>
      </w:r>
      <w:r w:rsidR="002E5A66" w:rsidRPr="00A52AB8">
        <w:rPr>
          <w:bCs/>
          <w:lang w:eastAsia="ja-JP"/>
        </w:rPr>
        <w:t>rpdu_points_minus1</w:t>
      </w:r>
      <w:r w:rsidR="00800C8C" w:rsidRPr="00A52AB8">
        <w:rPr>
          <w:lang w:eastAsia="ja-JP"/>
        </w:rPr>
        <w:t>[ </w:t>
      </w:r>
      <w:r w:rsidR="00632FA7" w:rsidRPr="00A52AB8">
        <w:rPr>
          <w:lang w:eastAsia="ja-JP"/>
        </w:rPr>
        <w:t>tileID</w:t>
      </w:r>
      <w:r w:rsidR="00800C8C" w:rsidRPr="00A52AB8">
        <w:rPr>
          <w:lang w:eastAsia="ja-JP"/>
        </w:rPr>
        <w:t> ]</w:t>
      </w:r>
      <w:r w:rsidR="002E5A66" w:rsidRPr="00A52AB8">
        <w:rPr>
          <w:bCs/>
          <w:lang w:eastAsia="ja-JP"/>
        </w:rPr>
        <w:t>[ </w:t>
      </w:r>
      <w:r w:rsidR="00D57A52" w:rsidRPr="00A52AB8">
        <w:rPr>
          <w:bCs/>
          <w:color w:val="000000" w:themeColor="text1"/>
        </w:rPr>
        <w:t>p</w:t>
      </w:r>
      <w:r w:rsidR="002E5A66" w:rsidRPr="00A52AB8">
        <w:rPr>
          <w:bCs/>
          <w:color w:val="000000" w:themeColor="text1"/>
        </w:rPr>
        <w:t> </w:t>
      </w:r>
      <w:r w:rsidR="002E5A66" w:rsidRPr="00A52AB8">
        <w:rPr>
          <w:bCs/>
          <w:lang w:eastAsia="ja-JP"/>
        </w:rPr>
        <w:t>]</w:t>
      </w:r>
      <w:r w:rsidR="002E5A66" w:rsidRPr="00A52AB8">
        <w:rPr>
          <w:color w:val="000000" w:themeColor="text1"/>
        </w:rPr>
        <w:t xml:space="preserve"> shall be in the range of 0 to </w:t>
      </w:r>
      <w:r w:rsidR="00125172" w:rsidRPr="00A52AB8">
        <w:rPr>
          <w:color w:val="000000" w:themeColor="text1"/>
        </w:rPr>
        <w:t>(</w:t>
      </w:r>
      <w:r w:rsidR="009030B7" w:rsidRPr="00A52AB8">
        <w:rPr>
          <w:color w:val="000000" w:themeColor="text1"/>
        </w:rPr>
        <w:t> </w:t>
      </w:r>
      <w:r w:rsidR="002E5A66" w:rsidRPr="00A52AB8">
        <w:rPr>
          <w:color w:val="000000" w:themeColor="text1"/>
        </w:rPr>
        <w:t>(</w:t>
      </w:r>
      <w:r w:rsidR="009030B7" w:rsidRPr="00A52AB8">
        <w:rPr>
          <w:color w:val="000000" w:themeColor="text1"/>
        </w:rPr>
        <w:t> </w:t>
      </w:r>
      <w:r w:rsidR="002E5A66" w:rsidRPr="00A52AB8">
        <w:rPr>
          <w:color w:val="000000" w:themeColor="text1"/>
        </w:rPr>
        <w:t>rpdu_2d_size_x_minus1</w:t>
      </w:r>
      <w:r w:rsidR="00800C8C" w:rsidRPr="00A52AB8">
        <w:rPr>
          <w:lang w:eastAsia="ja-JP"/>
        </w:rPr>
        <w:t>[ </w:t>
      </w:r>
      <w:r w:rsidR="00632FA7" w:rsidRPr="00A52AB8">
        <w:rPr>
          <w:lang w:eastAsia="ja-JP"/>
        </w:rPr>
        <w:t>tileID</w:t>
      </w:r>
      <w:r w:rsidR="00800C8C" w:rsidRPr="00A52AB8">
        <w:rPr>
          <w:lang w:eastAsia="ja-JP"/>
        </w:rPr>
        <w:t> ]</w:t>
      </w:r>
      <w:r w:rsidR="002E5A66" w:rsidRPr="00A52AB8">
        <w:rPr>
          <w:color w:val="000000" w:themeColor="text1"/>
        </w:rPr>
        <w:t>[ </w:t>
      </w:r>
      <w:r w:rsidR="00D57A52" w:rsidRPr="00A52AB8">
        <w:rPr>
          <w:color w:val="000000" w:themeColor="text1"/>
        </w:rPr>
        <w:t>p</w:t>
      </w:r>
      <w:r w:rsidR="002E5A66" w:rsidRPr="00A52AB8">
        <w:rPr>
          <w:color w:val="000000" w:themeColor="text1"/>
        </w:rPr>
        <w:t> ]</w:t>
      </w:r>
      <w:r w:rsidR="00A62CD5" w:rsidRPr="00A52AB8">
        <w:rPr>
          <w:color w:val="000000" w:themeColor="text1"/>
        </w:rPr>
        <w:t> </w:t>
      </w:r>
      <w:r w:rsidR="002E5A66" w:rsidRPr="00A52AB8">
        <w:rPr>
          <w:color w:val="000000" w:themeColor="text1"/>
        </w:rPr>
        <w:t>+</w:t>
      </w:r>
      <w:r w:rsidR="00A62CD5" w:rsidRPr="00A52AB8">
        <w:rPr>
          <w:color w:val="000000" w:themeColor="text1"/>
        </w:rPr>
        <w:t> </w:t>
      </w:r>
      <w:r w:rsidR="002E5A66" w:rsidRPr="00A52AB8">
        <w:rPr>
          <w:color w:val="000000" w:themeColor="text1"/>
        </w:rPr>
        <w:t>1)</w:t>
      </w:r>
      <w:r w:rsidR="00A62CD5" w:rsidRPr="00A52AB8">
        <w:rPr>
          <w:color w:val="000000" w:themeColor="text1"/>
        </w:rPr>
        <w:t> </w:t>
      </w:r>
      <w:r w:rsidR="002E5A66" w:rsidRPr="00A52AB8">
        <w:rPr>
          <w:color w:val="000000" w:themeColor="text1"/>
        </w:rPr>
        <w:t>*</w:t>
      </w:r>
      <w:r w:rsidR="00A62CD5" w:rsidRPr="00A52AB8">
        <w:rPr>
          <w:color w:val="000000" w:themeColor="text1"/>
        </w:rPr>
        <w:t> </w:t>
      </w:r>
      <w:r w:rsidR="002E5A66" w:rsidRPr="00A52AB8">
        <w:rPr>
          <w:color w:val="000000" w:themeColor="text1"/>
        </w:rPr>
        <w:t>(rpdu_2d_size_y</w:t>
      </w:r>
      <w:r w:rsidR="00D51DF4" w:rsidRPr="00A52AB8">
        <w:rPr>
          <w:color w:val="000000" w:themeColor="text1"/>
        </w:rPr>
        <w:t>_minus1</w:t>
      </w:r>
      <w:r w:rsidR="00800C8C" w:rsidRPr="00A52AB8">
        <w:rPr>
          <w:lang w:eastAsia="ja-JP"/>
        </w:rPr>
        <w:t>[ </w:t>
      </w:r>
      <w:r w:rsidR="00632FA7" w:rsidRPr="00A52AB8">
        <w:rPr>
          <w:lang w:eastAsia="ja-JP"/>
        </w:rPr>
        <w:t>tileID</w:t>
      </w:r>
      <w:r w:rsidR="00800C8C" w:rsidRPr="00A52AB8">
        <w:rPr>
          <w:lang w:eastAsia="ja-JP"/>
        </w:rPr>
        <w:t> ]</w:t>
      </w:r>
      <w:r w:rsidR="002E5A66" w:rsidRPr="00A52AB8">
        <w:rPr>
          <w:color w:val="000000" w:themeColor="text1"/>
        </w:rPr>
        <w:t>[ </w:t>
      </w:r>
      <w:r w:rsidR="00D57A52" w:rsidRPr="00A52AB8">
        <w:rPr>
          <w:color w:val="000000" w:themeColor="text1"/>
        </w:rPr>
        <w:t>p</w:t>
      </w:r>
      <w:r w:rsidR="002E5A66" w:rsidRPr="00A52AB8">
        <w:rPr>
          <w:color w:val="000000" w:themeColor="text1"/>
        </w:rPr>
        <w:t> ]</w:t>
      </w:r>
      <w:r w:rsidR="0056100C" w:rsidRPr="00A52AB8">
        <w:rPr>
          <w:color w:val="000000" w:themeColor="text1"/>
        </w:rPr>
        <w:t> </w:t>
      </w:r>
      <w:r w:rsidR="002E5A66" w:rsidRPr="00A52AB8">
        <w:rPr>
          <w:color w:val="000000" w:themeColor="text1"/>
        </w:rPr>
        <w:t>+</w:t>
      </w:r>
      <w:r w:rsidR="0056100C" w:rsidRPr="00A52AB8">
        <w:rPr>
          <w:color w:val="000000" w:themeColor="text1"/>
        </w:rPr>
        <w:t> </w:t>
      </w:r>
      <w:r w:rsidR="002E5A66" w:rsidRPr="00A52AB8">
        <w:rPr>
          <w:color w:val="000000" w:themeColor="text1"/>
        </w:rPr>
        <w:t>1</w:t>
      </w:r>
      <w:r w:rsidR="009030B7" w:rsidRPr="00A52AB8">
        <w:rPr>
          <w:color w:val="000000" w:themeColor="text1"/>
        </w:rPr>
        <w:t> </w:t>
      </w:r>
      <w:r w:rsidR="002E5A66" w:rsidRPr="00A52AB8">
        <w:rPr>
          <w:color w:val="000000" w:themeColor="text1"/>
        </w:rPr>
        <w:t>)</w:t>
      </w:r>
      <w:r w:rsidR="009030B7" w:rsidRPr="00A52AB8">
        <w:rPr>
          <w:color w:val="000000" w:themeColor="text1"/>
        </w:rPr>
        <w:t> </w:t>
      </w:r>
      <w:r w:rsidR="00125172" w:rsidRPr="00A52AB8">
        <w:rPr>
          <w:color w:val="000000" w:themeColor="text1"/>
        </w:rPr>
        <w:t>) / 3 </w:t>
      </w:r>
      <w:r w:rsidR="002E5A66" w:rsidRPr="00A52AB8">
        <w:rPr>
          <w:color w:val="000000" w:themeColor="text1"/>
        </w:rPr>
        <w:t>− 1, inclusive.</w:t>
      </w:r>
    </w:p>
    <w:p w14:paraId="4F02A778" w14:textId="3FD7229C" w:rsidR="00506D23" w:rsidRPr="00A52AB8" w:rsidRDefault="00506D23" w:rsidP="005C26E9">
      <w:pPr>
        <w:pStyle w:val="Heading4"/>
      </w:pPr>
      <w:r w:rsidRPr="00A52AB8">
        <w:t>EOM patch data unit semantics</w:t>
      </w:r>
    </w:p>
    <w:p w14:paraId="33DF9890" w14:textId="0CE9DE14" w:rsidR="00506D23" w:rsidRPr="00A52AB8" w:rsidRDefault="008F74F8">
      <w:pPr>
        <w:rPr>
          <w:color w:val="000000" w:themeColor="text1"/>
        </w:rPr>
      </w:pPr>
      <w:r w:rsidRPr="00A52AB8">
        <w:rPr>
          <w:b/>
          <w:lang w:eastAsia="ja-JP"/>
        </w:rPr>
        <w:t>epdu_patch_in_auxiliary_video_flag</w:t>
      </w:r>
      <w:r w:rsidR="00800C8C" w:rsidRPr="00A52AB8">
        <w:rPr>
          <w:lang w:eastAsia="ja-JP"/>
        </w:rPr>
        <w:t>[ </w:t>
      </w:r>
      <w:r w:rsidR="00632FA7" w:rsidRPr="00A52AB8">
        <w:rPr>
          <w:lang w:eastAsia="ja-JP"/>
        </w:rPr>
        <w:t>tileID</w:t>
      </w:r>
      <w:r w:rsidR="00800C8C" w:rsidRPr="00A52AB8">
        <w:rPr>
          <w:lang w:eastAsia="ja-JP"/>
        </w:rPr>
        <w:t> ]</w:t>
      </w:r>
      <w:r w:rsidRPr="00A52AB8">
        <w:rPr>
          <w:lang w:eastAsia="ja-JP"/>
        </w:rPr>
        <w:t>[ </w:t>
      </w:r>
      <w:r w:rsidR="00D57A52" w:rsidRPr="00A52AB8">
        <w:rPr>
          <w:lang w:eastAsia="ja-JP"/>
        </w:rPr>
        <w:t>p</w:t>
      </w:r>
      <w:r w:rsidRPr="00A52AB8">
        <w:rPr>
          <w:lang w:eastAsia="ja-JP"/>
        </w:rPr>
        <w:t xml:space="preserve"> ] specifies whether the attribute data associated with the </w:t>
      </w:r>
      <w:r w:rsidR="00DF4AD0" w:rsidRPr="00A52AB8">
        <w:rPr>
          <w:lang w:eastAsia="ja-JP"/>
        </w:rPr>
        <w:t xml:space="preserve">current </w:t>
      </w:r>
      <w:r w:rsidRPr="00A52AB8">
        <w:rPr>
          <w:lang w:eastAsia="ja-JP"/>
        </w:rPr>
        <w:t xml:space="preserve">EOM patch with index </w:t>
      </w:r>
      <w:r w:rsidR="00D57A52" w:rsidRPr="00A52AB8">
        <w:rPr>
          <w:lang w:eastAsia="ja-JP"/>
        </w:rPr>
        <w:t>p</w:t>
      </w:r>
      <w:r w:rsidRPr="00A52AB8">
        <w:rPr>
          <w:lang w:eastAsia="ja-JP"/>
        </w:rPr>
        <w:t xml:space="preserve"> in the current atlas </w:t>
      </w:r>
      <w:r w:rsidR="00B8075E" w:rsidRPr="00A52AB8">
        <w:rPr>
          <w:lang w:eastAsia="ja-JP"/>
        </w:rPr>
        <w:t>tile</w:t>
      </w:r>
      <w:r w:rsidR="00800C8C" w:rsidRPr="00A52AB8">
        <w:rPr>
          <w:lang w:eastAsia="ja-JP"/>
        </w:rPr>
        <w:t xml:space="preserve">, </w:t>
      </w:r>
      <w:r w:rsidR="00A41AF4" w:rsidRPr="00A52AB8">
        <w:rPr>
          <w:lang w:eastAsia="ja-JP"/>
        </w:rPr>
        <w:t>with tile ID equal to tileID</w:t>
      </w:r>
      <w:r w:rsidR="00800C8C" w:rsidRPr="00A52AB8">
        <w:rPr>
          <w:lang w:eastAsia="ja-JP"/>
        </w:rPr>
        <w:t>,</w:t>
      </w:r>
      <w:r w:rsidRPr="00A52AB8">
        <w:rPr>
          <w:lang w:eastAsia="ja-JP"/>
        </w:rPr>
        <w:t xml:space="preserve"> are encoded in an auxiliary video</w:t>
      </w:r>
      <w:r w:rsidR="00165BB2" w:rsidRPr="00A52AB8">
        <w:rPr>
          <w:lang w:eastAsia="ja-JP"/>
        </w:rPr>
        <w:t xml:space="preserve"> sub-bitstream</w:t>
      </w:r>
      <w:r w:rsidRPr="00A52AB8">
        <w:rPr>
          <w:lang w:eastAsia="ja-JP"/>
        </w:rPr>
        <w:t>. If epdu_patch_in_auxiliary_video_flag</w:t>
      </w:r>
      <w:r w:rsidR="00800C8C" w:rsidRPr="00A52AB8">
        <w:rPr>
          <w:lang w:eastAsia="ja-JP"/>
        </w:rPr>
        <w:t>[ </w:t>
      </w:r>
      <w:r w:rsidR="00632FA7" w:rsidRPr="00A52AB8">
        <w:rPr>
          <w:lang w:eastAsia="ja-JP"/>
        </w:rPr>
        <w:t>tileID</w:t>
      </w:r>
      <w:r w:rsidR="00800C8C" w:rsidRPr="00A52AB8">
        <w:rPr>
          <w:lang w:eastAsia="ja-JP"/>
        </w:rPr>
        <w:t> ]</w:t>
      </w:r>
      <w:r w:rsidRPr="00A52AB8">
        <w:rPr>
          <w:lang w:eastAsia="ja-JP"/>
        </w:rPr>
        <w:t>[ </w:t>
      </w:r>
      <w:r w:rsidR="00D57A52" w:rsidRPr="00A52AB8">
        <w:rPr>
          <w:lang w:eastAsia="ja-JP"/>
        </w:rPr>
        <w:t>p</w:t>
      </w:r>
      <w:r w:rsidRPr="00A52AB8">
        <w:rPr>
          <w:lang w:eastAsia="ja-JP"/>
        </w:rPr>
        <w:t xml:space="preserve"> ] is equal to 0, the attribute data associated with the EOM patch with index </w:t>
      </w:r>
      <w:r w:rsidR="00D57A52" w:rsidRPr="00A52AB8">
        <w:rPr>
          <w:lang w:eastAsia="ja-JP"/>
        </w:rPr>
        <w:t>p</w:t>
      </w:r>
      <w:r w:rsidRPr="00A52AB8">
        <w:rPr>
          <w:lang w:eastAsia="ja-JP"/>
        </w:rPr>
        <w:t xml:space="preserve"> in the current atlas </w:t>
      </w:r>
      <w:r w:rsidR="00B8075E" w:rsidRPr="00A52AB8">
        <w:rPr>
          <w:lang w:eastAsia="ja-JP"/>
        </w:rPr>
        <w:t>tile</w:t>
      </w:r>
      <w:r w:rsidRPr="00A52AB8">
        <w:rPr>
          <w:lang w:eastAsia="ja-JP"/>
        </w:rPr>
        <w:t xml:space="preserve"> are encoded in </w:t>
      </w:r>
      <w:r w:rsidR="00165BB2" w:rsidRPr="00A52AB8">
        <w:rPr>
          <w:lang w:eastAsia="ja-JP"/>
        </w:rPr>
        <w:t>the corresponding 1</w:t>
      </w:r>
      <w:r w:rsidR="00165BB2" w:rsidRPr="00A52AB8">
        <w:rPr>
          <w:vertAlign w:val="superscript"/>
          <w:lang w:eastAsia="ja-JP"/>
        </w:rPr>
        <w:t>st</w:t>
      </w:r>
      <w:r w:rsidR="00165BB2" w:rsidRPr="00A52AB8">
        <w:rPr>
          <w:lang w:eastAsia="ja-JP"/>
        </w:rPr>
        <w:t xml:space="preserve"> non auxiliary map </w:t>
      </w:r>
      <w:r w:rsidRPr="00A52AB8">
        <w:rPr>
          <w:lang w:eastAsia="ja-JP"/>
        </w:rPr>
        <w:t xml:space="preserve">video </w:t>
      </w:r>
      <w:r w:rsidR="00165BB2" w:rsidRPr="00A52AB8">
        <w:rPr>
          <w:lang w:eastAsia="ja-JP"/>
        </w:rPr>
        <w:t>sub-bitstream</w:t>
      </w:r>
      <w:r w:rsidRPr="00A52AB8">
        <w:rPr>
          <w:lang w:eastAsia="ja-JP"/>
        </w:rPr>
        <w:t>. If epdu_patch_in_auxiliary_video_flag</w:t>
      </w:r>
      <w:r w:rsidR="00800C8C" w:rsidRPr="00A52AB8">
        <w:rPr>
          <w:lang w:eastAsia="ja-JP"/>
        </w:rPr>
        <w:t>[ </w:t>
      </w:r>
      <w:r w:rsidR="00632FA7" w:rsidRPr="00A52AB8">
        <w:rPr>
          <w:lang w:eastAsia="ja-JP"/>
        </w:rPr>
        <w:t>tileID</w:t>
      </w:r>
      <w:r w:rsidR="00800C8C" w:rsidRPr="00A52AB8">
        <w:rPr>
          <w:lang w:eastAsia="ja-JP"/>
        </w:rPr>
        <w:t> ]</w:t>
      </w:r>
      <w:r w:rsidRPr="00A52AB8">
        <w:rPr>
          <w:lang w:eastAsia="ja-JP"/>
        </w:rPr>
        <w:t>[ </w:t>
      </w:r>
      <w:r w:rsidR="00D57A52" w:rsidRPr="00A52AB8">
        <w:rPr>
          <w:lang w:eastAsia="ja-JP"/>
        </w:rPr>
        <w:t>p</w:t>
      </w:r>
      <w:r w:rsidRPr="00A52AB8">
        <w:rPr>
          <w:lang w:eastAsia="ja-JP"/>
        </w:rPr>
        <w:t xml:space="preserve"> ] is equal to 1, the attribute data associated with the </w:t>
      </w:r>
      <w:r w:rsidR="00DF4AD0" w:rsidRPr="00A52AB8">
        <w:rPr>
          <w:lang w:eastAsia="ja-JP"/>
        </w:rPr>
        <w:t xml:space="preserve">current EOM </w:t>
      </w:r>
      <w:r w:rsidRPr="00A52AB8">
        <w:rPr>
          <w:lang w:eastAsia="ja-JP"/>
        </w:rPr>
        <w:t xml:space="preserve">patch with index </w:t>
      </w:r>
      <w:r w:rsidR="00D57A52" w:rsidRPr="00A52AB8">
        <w:rPr>
          <w:lang w:eastAsia="ja-JP"/>
        </w:rPr>
        <w:t>p</w:t>
      </w:r>
      <w:r w:rsidRPr="00A52AB8">
        <w:rPr>
          <w:lang w:eastAsia="ja-JP"/>
        </w:rPr>
        <w:t xml:space="preserve"> in the current atlas </w:t>
      </w:r>
      <w:r w:rsidR="00B8075E" w:rsidRPr="00A52AB8">
        <w:rPr>
          <w:lang w:eastAsia="ja-JP"/>
        </w:rPr>
        <w:t>tile</w:t>
      </w:r>
      <w:r w:rsidRPr="00A52AB8">
        <w:rPr>
          <w:lang w:eastAsia="ja-JP"/>
        </w:rPr>
        <w:t xml:space="preserve"> are encoded in </w:t>
      </w:r>
      <w:r w:rsidR="00165BB2" w:rsidRPr="00A52AB8">
        <w:rPr>
          <w:lang w:eastAsia="ja-JP"/>
        </w:rPr>
        <w:t xml:space="preserve">the corresponding </w:t>
      </w:r>
      <w:r w:rsidR="00CD4F9E" w:rsidRPr="00A52AB8">
        <w:rPr>
          <w:lang w:eastAsia="ja-JP"/>
        </w:rPr>
        <w:t>auxiliary</w:t>
      </w:r>
      <w:r w:rsidRPr="00A52AB8">
        <w:rPr>
          <w:lang w:eastAsia="ja-JP"/>
        </w:rPr>
        <w:t xml:space="preserve"> video </w:t>
      </w:r>
      <w:r w:rsidR="00165BB2" w:rsidRPr="00A52AB8">
        <w:rPr>
          <w:lang w:eastAsia="ja-JP"/>
        </w:rPr>
        <w:t>sub-bitstream.</w:t>
      </w:r>
      <w:r w:rsidRPr="00A52AB8">
        <w:rPr>
          <w:lang w:eastAsia="ja-JP"/>
        </w:rPr>
        <w:t xml:space="preserve"> If </w:t>
      </w:r>
      <w:r w:rsidR="00CD4F9E" w:rsidRPr="00A52AB8">
        <w:rPr>
          <w:lang w:eastAsia="ja-JP"/>
        </w:rPr>
        <w:t>e</w:t>
      </w:r>
      <w:r w:rsidRPr="00A52AB8">
        <w:rPr>
          <w:lang w:eastAsia="ja-JP"/>
        </w:rPr>
        <w:t>pdu_patch_in_auxiliary_video_flag</w:t>
      </w:r>
      <w:r w:rsidR="00800C8C" w:rsidRPr="00A52AB8">
        <w:rPr>
          <w:lang w:eastAsia="ja-JP"/>
        </w:rPr>
        <w:t>[ </w:t>
      </w:r>
      <w:r w:rsidR="00632FA7" w:rsidRPr="00A52AB8">
        <w:rPr>
          <w:lang w:eastAsia="ja-JP"/>
        </w:rPr>
        <w:t>tileID</w:t>
      </w:r>
      <w:r w:rsidR="00800C8C" w:rsidRPr="00A52AB8">
        <w:rPr>
          <w:lang w:eastAsia="ja-JP"/>
        </w:rPr>
        <w:t> ]</w:t>
      </w:r>
      <w:r w:rsidRPr="00A52AB8">
        <w:rPr>
          <w:lang w:eastAsia="ja-JP"/>
        </w:rPr>
        <w:t>[ </w:t>
      </w:r>
      <w:r w:rsidR="00D57A52" w:rsidRPr="00A52AB8">
        <w:rPr>
          <w:lang w:eastAsia="ja-JP"/>
        </w:rPr>
        <w:t>p</w:t>
      </w:r>
      <w:r w:rsidRPr="00A52AB8">
        <w:rPr>
          <w:lang w:eastAsia="ja-JP"/>
        </w:rPr>
        <w:t> ] is not present, its value shall be inferred to be equal to 0.</w:t>
      </w:r>
    </w:p>
    <w:p w14:paraId="6CCDE566" w14:textId="77777777" w:rsidR="0050235C" w:rsidRPr="00A52AB8" w:rsidRDefault="00247033">
      <w:pPr>
        <w:rPr>
          <w:color w:val="000000" w:themeColor="text1"/>
        </w:rPr>
      </w:pPr>
      <w:r w:rsidRPr="00A52AB8">
        <w:rPr>
          <w:b/>
          <w:color w:val="000000" w:themeColor="text1"/>
        </w:rPr>
        <w:t>epdu_2d_pos_x</w:t>
      </w:r>
      <w:r w:rsidR="00800C8C" w:rsidRPr="00A52AB8">
        <w:rPr>
          <w:lang w:eastAsia="ja-JP"/>
        </w:rPr>
        <w:t>[ </w:t>
      </w:r>
      <w:r w:rsidR="00632FA7" w:rsidRPr="00A52AB8">
        <w:rPr>
          <w:lang w:eastAsia="ja-JP"/>
        </w:rPr>
        <w:t>tileID</w:t>
      </w:r>
      <w:r w:rsidR="00800C8C" w:rsidRPr="00A52AB8">
        <w:rPr>
          <w:lang w:eastAsia="ja-JP"/>
        </w:rPr>
        <w:t> ]</w:t>
      </w:r>
      <w:r w:rsidRPr="00A52AB8">
        <w:rPr>
          <w:color w:val="000000" w:themeColor="text1"/>
        </w:rPr>
        <w:t>[ </w:t>
      </w:r>
      <w:r w:rsidR="00D57A52" w:rsidRPr="00A52AB8">
        <w:rPr>
          <w:color w:val="000000" w:themeColor="text1"/>
        </w:rPr>
        <w:t>p</w:t>
      </w:r>
      <w:r w:rsidRPr="00A52AB8">
        <w:rPr>
          <w:color w:val="000000" w:themeColor="text1"/>
        </w:rPr>
        <w:t> ] specifies the x-coordinate of the top-left corner of the patch bounding box size for</w:t>
      </w:r>
      <w:r w:rsidR="00DF4AD0" w:rsidRPr="00A52AB8">
        <w:rPr>
          <w:color w:val="000000" w:themeColor="text1"/>
        </w:rPr>
        <w:t xml:space="preserve"> the current</w:t>
      </w:r>
      <w:r w:rsidRPr="00A52AB8">
        <w:rPr>
          <w:color w:val="000000" w:themeColor="text1"/>
        </w:rPr>
        <w:t xml:space="preserve"> EOM patch </w:t>
      </w:r>
      <w:r w:rsidR="00D57A52" w:rsidRPr="00A52AB8">
        <w:rPr>
          <w:color w:val="000000" w:themeColor="text1"/>
        </w:rPr>
        <w:t>p</w:t>
      </w:r>
      <w:r w:rsidRPr="00A52AB8" w:rsidDel="00E4597F">
        <w:rPr>
          <w:color w:val="000000" w:themeColor="text1"/>
        </w:rPr>
        <w:t xml:space="preserve"> </w:t>
      </w:r>
      <w:r w:rsidRPr="00A52AB8">
        <w:rPr>
          <w:color w:val="000000" w:themeColor="text1"/>
        </w:rPr>
        <w:t xml:space="preserve">in the current atlas </w:t>
      </w:r>
      <w:r w:rsidR="00B8075E" w:rsidRPr="00A52AB8">
        <w:rPr>
          <w:color w:val="000000" w:themeColor="text1"/>
        </w:rPr>
        <w:t>tile</w:t>
      </w:r>
      <w:r w:rsidRPr="00A52AB8">
        <w:rPr>
          <w:color w:val="000000" w:themeColor="text1"/>
        </w:rPr>
        <w:t>,</w:t>
      </w:r>
      <w:r w:rsidR="003D64A5" w:rsidRPr="00A52AB8">
        <w:rPr>
          <w:color w:val="000000" w:themeColor="text1"/>
        </w:rPr>
        <w:t xml:space="preserve"> </w:t>
      </w:r>
      <w:r w:rsidR="00A41AF4" w:rsidRPr="00A52AB8">
        <w:rPr>
          <w:color w:val="000000" w:themeColor="text1"/>
        </w:rPr>
        <w:t>with tile ID equal to tileID</w:t>
      </w:r>
      <w:r w:rsidRPr="00A52AB8">
        <w:rPr>
          <w:color w:val="000000" w:themeColor="text1"/>
        </w:rPr>
        <w:t>, expressed as a multiple of PatchPackingBlockSize.</w:t>
      </w:r>
    </w:p>
    <w:p w14:paraId="716E8D69" w14:textId="77777777" w:rsidR="0050235C" w:rsidRPr="00A52AB8" w:rsidRDefault="00247033">
      <w:pPr>
        <w:rPr>
          <w:color w:val="000000" w:themeColor="text1"/>
        </w:rPr>
      </w:pPr>
      <w:r w:rsidRPr="00A52AB8">
        <w:rPr>
          <w:b/>
          <w:color w:val="000000" w:themeColor="text1"/>
        </w:rPr>
        <w:t>epdu_2d_pos_y</w:t>
      </w:r>
      <w:r w:rsidR="00800C8C" w:rsidRPr="00A52AB8">
        <w:rPr>
          <w:lang w:eastAsia="ja-JP"/>
        </w:rPr>
        <w:t>[ </w:t>
      </w:r>
      <w:r w:rsidR="00632FA7" w:rsidRPr="00A52AB8">
        <w:rPr>
          <w:lang w:eastAsia="ja-JP"/>
        </w:rPr>
        <w:t>tileID</w:t>
      </w:r>
      <w:r w:rsidR="00800C8C" w:rsidRPr="00A52AB8">
        <w:rPr>
          <w:lang w:eastAsia="ja-JP"/>
        </w:rPr>
        <w:t> ]</w:t>
      </w:r>
      <w:r w:rsidRPr="00A52AB8">
        <w:rPr>
          <w:color w:val="000000" w:themeColor="text1"/>
        </w:rPr>
        <w:t>[ </w:t>
      </w:r>
      <w:r w:rsidR="00D57A52" w:rsidRPr="00A52AB8">
        <w:rPr>
          <w:color w:val="000000" w:themeColor="text1"/>
        </w:rPr>
        <w:t>p</w:t>
      </w:r>
      <w:r w:rsidRPr="00A52AB8">
        <w:rPr>
          <w:color w:val="000000" w:themeColor="text1"/>
        </w:rPr>
        <w:t xml:space="preserve"> ] specifies the y-coordinate of the top-left corner of the patch bounding box size for </w:t>
      </w:r>
      <w:r w:rsidR="002D265F" w:rsidRPr="00A52AB8">
        <w:rPr>
          <w:color w:val="000000" w:themeColor="text1"/>
        </w:rPr>
        <w:t xml:space="preserve">the current </w:t>
      </w:r>
      <w:r w:rsidRPr="00A52AB8">
        <w:rPr>
          <w:color w:val="000000" w:themeColor="text1"/>
        </w:rPr>
        <w:t xml:space="preserve">EOM patch </w:t>
      </w:r>
      <w:r w:rsidR="002D265F" w:rsidRPr="00A52AB8">
        <w:rPr>
          <w:color w:val="000000" w:themeColor="text1"/>
        </w:rPr>
        <w:t xml:space="preserve">with index </w:t>
      </w:r>
      <w:r w:rsidR="00D57A52" w:rsidRPr="00A52AB8">
        <w:rPr>
          <w:color w:val="000000" w:themeColor="text1"/>
        </w:rPr>
        <w:t>p</w:t>
      </w:r>
      <w:r w:rsidRPr="00A52AB8" w:rsidDel="00E4597F">
        <w:rPr>
          <w:color w:val="000000" w:themeColor="text1"/>
        </w:rPr>
        <w:t xml:space="preserve"> </w:t>
      </w:r>
      <w:r w:rsidRPr="00A52AB8">
        <w:rPr>
          <w:color w:val="000000" w:themeColor="text1"/>
        </w:rPr>
        <w:t xml:space="preserve">in the current atlas </w:t>
      </w:r>
      <w:r w:rsidR="00B8075E" w:rsidRPr="00A52AB8">
        <w:rPr>
          <w:color w:val="000000" w:themeColor="text1"/>
        </w:rPr>
        <w:t>tile</w:t>
      </w:r>
      <w:r w:rsidRPr="00A52AB8">
        <w:rPr>
          <w:color w:val="000000" w:themeColor="text1"/>
        </w:rPr>
        <w:t xml:space="preserve">, </w:t>
      </w:r>
      <w:r w:rsidR="00A41AF4" w:rsidRPr="00A52AB8">
        <w:rPr>
          <w:color w:val="000000" w:themeColor="text1"/>
        </w:rPr>
        <w:t>with tile ID equal to tileID</w:t>
      </w:r>
      <w:r w:rsidRPr="00A52AB8">
        <w:rPr>
          <w:color w:val="000000" w:themeColor="text1"/>
        </w:rPr>
        <w:t>, expressed as a multiple of PatchPackingBlockSize.</w:t>
      </w:r>
    </w:p>
    <w:p w14:paraId="18BFD003" w14:textId="77777777" w:rsidR="0050235C" w:rsidRPr="00A52AB8" w:rsidRDefault="00506D23">
      <w:pPr>
        <w:rPr>
          <w:color w:val="000000" w:themeColor="text1"/>
        </w:rPr>
      </w:pPr>
      <w:r w:rsidRPr="00A52AB8">
        <w:rPr>
          <w:b/>
          <w:color w:val="000000" w:themeColor="text1"/>
        </w:rPr>
        <w:t>epdu_2d_size_x</w:t>
      </w:r>
      <w:r w:rsidR="00BF4D78" w:rsidRPr="00A52AB8">
        <w:rPr>
          <w:b/>
          <w:color w:val="000000" w:themeColor="text1"/>
        </w:rPr>
        <w:t>_minus1</w:t>
      </w:r>
      <w:r w:rsidR="00800C8C" w:rsidRPr="00A52AB8">
        <w:rPr>
          <w:lang w:eastAsia="ja-JP"/>
        </w:rPr>
        <w:t>[ </w:t>
      </w:r>
      <w:r w:rsidR="00632FA7" w:rsidRPr="00A52AB8">
        <w:rPr>
          <w:lang w:eastAsia="ja-JP"/>
        </w:rPr>
        <w:t>tileID</w:t>
      </w:r>
      <w:r w:rsidR="00800C8C" w:rsidRPr="00A52AB8">
        <w:rPr>
          <w:lang w:eastAsia="ja-JP"/>
        </w:rPr>
        <w:t> ]</w:t>
      </w:r>
      <w:r w:rsidRPr="00A52AB8">
        <w:rPr>
          <w:color w:val="000000" w:themeColor="text1"/>
        </w:rPr>
        <w:t>[ </w:t>
      </w:r>
      <w:r w:rsidR="00D57A52" w:rsidRPr="00A52AB8">
        <w:rPr>
          <w:color w:val="000000" w:themeColor="text1"/>
        </w:rPr>
        <w:t>p</w:t>
      </w:r>
      <w:r w:rsidR="002E6FCF" w:rsidRPr="00A52AB8">
        <w:rPr>
          <w:color w:val="000000" w:themeColor="text1"/>
        </w:rPr>
        <w:t> </w:t>
      </w:r>
      <w:r w:rsidRPr="00A52AB8">
        <w:rPr>
          <w:color w:val="000000" w:themeColor="text1"/>
        </w:rPr>
        <w:t xml:space="preserve">] </w:t>
      </w:r>
      <w:r w:rsidR="00BF4D78" w:rsidRPr="00A52AB8">
        <w:rPr>
          <w:color w:val="000000" w:themeColor="text1"/>
        </w:rPr>
        <w:t xml:space="preserve">plus 1 </w:t>
      </w:r>
      <w:r w:rsidRPr="00A52AB8">
        <w:rPr>
          <w:color w:val="000000" w:themeColor="text1"/>
        </w:rPr>
        <w:t xml:space="preserve">specifies the width value of the </w:t>
      </w:r>
      <w:r w:rsidR="009173FB" w:rsidRPr="00A52AB8">
        <w:rPr>
          <w:color w:val="000000" w:themeColor="text1"/>
        </w:rPr>
        <w:t xml:space="preserve">current </w:t>
      </w:r>
      <w:r w:rsidRPr="00A52AB8">
        <w:rPr>
          <w:color w:val="000000" w:themeColor="text1"/>
        </w:rPr>
        <w:t xml:space="preserve">EOM patch with index </w:t>
      </w:r>
      <w:r w:rsidR="00D57A52" w:rsidRPr="00A52AB8">
        <w:rPr>
          <w:color w:val="000000" w:themeColor="text1"/>
        </w:rPr>
        <w:t>p</w:t>
      </w:r>
      <w:r w:rsidRPr="00A52AB8">
        <w:rPr>
          <w:color w:val="000000" w:themeColor="text1"/>
        </w:rPr>
        <w:t xml:space="preserve"> in the current atlas </w:t>
      </w:r>
      <w:r w:rsidR="00B8075E" w:rsidRPr="00A52AB8">
        <w:rPr>
          <w:color w:val="000000" w:themeColor="text1"/>
        </w:rPr>
        <w:t>tile</w:t>
      </w:r>
      <w:r w:rsidR="00800C8C" w:rsidRPr="00A52AB8">
        <w:rPr>
          <w:color w:val="000000" w:themeColor="text1"/>
        </w:rPr>
        <w:t xml:space="preserve">, </w:t>
      </w:r>
      <w:r w:rsidR="00A41AF4" w:rsidRPr="00A52AB8">
        <w:rPr>
          <w:color w:val="000000" w:themeColor="text1"/>
        </w:rPr>
        <w:t>with tile ID equal to tileID</w:t>
      </w:r>
      <w:r w:rsidRPr="00A52AB8">
        <w:rPr>
          <w:color w:val="000000" w:themeColor="text1"/>
        </w:rPr>
        <w:t>.</w:t>
      </w:r>
    </w:p>
    <w:p w14:paraId="1DF9C760" w14:textId="77777777" w:rsidR="0050235C" w:rsidRPr="00A52AB8" w:rsidRDefault="00506D23">
      <w:pPr>
        <w:rPr>
          <w:color w:val="000000" w:themeColor="text1"/>
        </w:rPr>
      </w:pPr>
      <w:r w:rsidRPr="00A52AB8">
        <w:rPr>
          <w:b/>
          <w:color w:val="000000" w:themeColor="text1"/>
        </w:rPr>
        <w:t>epdu_2d_size_y</w:t>
      </w:r>
      <w:r w:rsidR="00BF4D78" w:rsidRPr="00A52AB8">
        <w:rPr>
          <w:b/>
          <w:color w:val="000000" w:themeColor="text1"/>
        </w:rPr>
        <w:t>_minus1</w:t>
      </w:r>
      <w:r w:rsidR="00800C8C" w:rsidRPr="00A52AB8">
        <w:rPr>
          <w:lang w:eastAsia="ja-JP"/>
        </w:rPr>
        <w:t>[ </w:t>
      </w:r>
      <w:r w:rsidR="00632FA7" w:rsidRPr="00A52AB8">
        <w:rPr>
          <w:lang w:eastAsia="ja-JP"/>
        </w:rPr>
        <w:t>tileID</w:t>
      </w:r>
      <w:r w:rsidR="00800C8C" w:rsidRPr="00A52AB8">
        <w:rPr>
          <w:lang w:eastAsia="ja-JP"/>
        </w:rPr>
        <w:t> ]</w:t>
      </w:r>
      <w:r w:rsidRPr="00A52AB8">
        <w:rPr>
          <w:color w:val="000000" w:themeColor="text1"/>
        </w:rPr>
        <w:t>[ </w:t>
      </w:r>
      <w:r w:rsidR="00D57A52" w:rsidRPr="00A52AB8">
        <w:rPr>
          <w:color w:val="000000" w:themeColor="text1"/>
        </w:rPr>
        <w:t>p</w:t>
      </w:r>
      <w:r w:rsidR="002E6FCF" w:rsidRPr="00A52AB8">
        <w:rPr>
          <w:color w:val="000000" w:themeColor="text1"/>
        </w:rPr>
        <w:t> </w:t>
      </w:r>
      <w:r w:rsidR="00EB43F8" w:rsidRPr="00A52AB8">
        <w:rPr>
          <w:color w:val="000000" w:themeColor="text1"/>
        </w:rPr>
        <w:t xml:space="preserve">] </w:t>
      </w:r>
      <w:r w:rsidR="00BF4D78" w:rsidRPr="00A52AB8">
        <w:rPr>
          <w:color w:val="000000" w:themeColor="text1"/>
        </w:rPr>
        <w:t xml:space="preserve">plus 1 </w:t>
      </w:r>
      <w:r w:rsidRPr="00A52AB8">
        <w:rPr>
          <w:color w:val="000000" w:themeColor="text1"/>
        </w:rPr>
        <w:t xml:space="preserve">specifies the height value of the </w:t>
      </w:r>
      <w:r w:rsidR="009173FB" w:rsidRPr="00A52AB8">
        <w:rPr>
          <w:color w:val="000000" w:themeColor="text1"/>
        </w:rPr>
        <w:t xml:space="preserve">current </w:t>
      </w:r>
      <w:r w:rsidRPr="00A52AB8">
        <w:rPr>
          <w:color w:val="000000" w:themeColor="text1"/>
        </w:rPr>
        <w:t xml:space="preserve">EOM patch with index </w:t>
      </w:r>
      <w:r w:rsidR="00D57A52" w:rsidRPr="00A52AB8">
        <w:rPr>
          <w:color w:val="000000" w:themeColor="text1"/>
        </w:rPr>
        <w:t>p</w:t>
      </w:r>
      <w:r w:rsidRPr="00A52AB8">
        <w:rPr>
          <w:color w:val="000000" w:themeColor="text1"/>
        </w:rPr>
        <w:t xml:space="preserve"> in the current atlas </w:t>
      </w:r>
      <w:r w:rsidR="00B8075E" w:rsidRPr="00A52AB8">
        <w:rPr>
          <w:color w:val="000000" w:themeColor="text1"/>
        </w:rPr>
        <w:t>tile</w:t>
      </w:r>
      <w:r w:rsidR="00800C8C" w:rsidRPr="00A52AB8">
        <w:rPr>
          <w:color w:val="000000" w:themeColor="text1"/>
        </w:rPr>
        <w:t xml:space="preserve">, </w:t>
      </w:r>
      <w:r w:rsidR="00A41AF4" w:rsidRPr="00A52AB8">
        <w:rPr>
          <w:color w:val="000000" w:themeColor="text1"/>
        </w:rPr>
        <w:t>with tile ID equal to tileID</w:t>
      </w:r>
      <w:r w:rsidRPr="00A52AB8">
        <w:rPr>
          <w:color w:val="000000" w:themeColor="text1"/>
        </w:rPr>
        <w:t>.</w:t>
      </w:r>
    </w:p>
    <w:p w14:paraId="66374918" w14:textId="77777777" w:rsidR="0050235C" w:rsidRPr="00A52AB8" w:rsidRDefault="00506D23">
      <w:pPr>
        <w:pStyle w:val="NoSpacing"/>
        <w:spacing w:before="100" w:beforeAutospacing="1" w:after="100" w:afterAutospacing="1"/>
        <w:rPr>
          <w:rFonts w:ascii="Cambria" w:eastAsiaTheme="minorEastAsia" w:hAnsi="Cambria"/>
          <w:color w:val="000000" w:themeColor="text1"/>
          <w:sz w:val="22"/>
          <w:szCs w:val="22"/>
          <w:lang w:val="en-CA"/>
        </w:rPr>
      </w:pPr>
      <w:r w:rsidRPr="00A52AB8">
        <w:rPr>
          <w:rFonts w:ascii="Cambria" w:eastAsiaTheme="minorEastAsia" w:hAnsi="Cambria"/>
          <w:b/>
          <w:color w:val="000000" w:themeColor="text1"/>
          <w:sz w:val="22"/>
          <w:szCs w:val="22"/>
          <w:lang w:val="en-CA"/>
        </w:rPr>
        <w:t>epdu_patch_count_minus1</w:t>
      </w:r>
      <w:r w:rsidR="00800C8C" w:rsidRPr="00A52AB8">
        <w:rPr>
          <w:rFonts w:ascii="Cambria" w:hAnsi="Cambria"/>
          <w:sz w:val="22"/>
          <w:szCs w:val="22"/>
          <w:lang w:val="en-CA" w:eastAsia="ja-JP"/>
        </w:rPr>
        <w:t>[ </w:t>
      </w:r>
      <w:r w:rsidR="00632FA7" w:rsidRPr="00A52AB8">
        <w:rPr>
          <w:rFonts w:ascii="Cambria" w:eastAsiaTheme="minorEastAsia" w:hAnsi="Cambria"/>
          <w:color w:val="000000" w:themeColor="text1"/>
          <w:sz w:val="22"/>
          <w:szCs w:val="22"/>
          <w:lang w:val="en-CA"/>
        </w:rPr>
        <w:t>tileID</w:t>
      </w:r>
      <w:r w:rsidR="00800C8C" w:rsidRPr="00A52AB8">
        <w:rPr>
          <w:rFonts w:ascii="Cambria" w:eastAsiaTheme="minorEastAsia" w:hAnsi="Cambria"/>
          <w:color w:val="000000" w:themeColor="text1"/>
          <w:sz w:val="22"/>
          <w:szCs w:val="22"/>
          <w:lang w:val="en-CA"/>
        </w:rPr>
        <w:t> ]</w:t>
      </w:r>
      <w:r w:rsidR="00D510F6" w:rsidRPr="00A52AB8">
        <w:rPr>
          <w:rFonts w:ascii="Cambria" w:eastAsiaTheme="minorEastAsia" w:hAnsi="Cambria"/>
          <w:color w:val="000000" w:themeColor="text1"/>
          <w:sz w:val="22"/>
          <w:szCs w:val="22"/>
          <w:lang w:val="en-CA"/>
        </w:rPr>
        <w:t>[ </w:t>
      </w:r>
      <w:r w:rsidR="00D57A52" w:rsidRPr="00A52AB8">
        <w:rPr>
          <w:rFonts w:ascii="Cambria" w:eastAsiaTheme="minorEastAsia" w:hAnsi="Cambria"/>
          <w:color w:val="000000" w:themeColor="text1"/>
          <w:sz w:val="22"/>
          <w:szCs w:val="22"/>
          <w:lang w:val="en-CA"/>
        </w:rPr>
        <w:t>p</w:t>
      </w:r>
      <w:r w:rsidR="0086585D" w:rsidRPr="00A52AB8">
        <w:rPr>
          <w:rFonts w:ascii="Cambria" w:eastAsiaTheme="minorEastAsia" w:hAnsi="Cambria"/>
          <w:color w:val="000000" w:themeColor="text1"/>
          <w:sz w:val="22"/>
          <w:szCs w:val="22"/>
          <w:lang w:val="en-CA"/>
        </w:rPr>
        <w:t> </w:t>
      </w:r>
      <w:r w:rsidR="00D510F6" w:rsidRPr="00A52AB8">
        <w:rPr>
          <w:rFonts w:ascii="Cambria" w:eastAsiaTheme="minorEastAsia" w:hAnsi="Cambria"/>
          <w:color w:val="000000" w:themeColor="text1"/>
          <w:sz w:val="22"/>
          <w:szCs w:val="22"/>
          <w:lang w:val="en-CA"/>
        </w:rPr>
        <w:t>]</w:t>
      </w:r>
      <w:r w:rsidRPr="00A52AB8">
        <w:rPr>
          <w:rFonts w:ascii="Cambria" w:eastAsiaTheme="minorEastAsia" w:hAnsi="Cambria"/>
          <w:color w:val="000000" w:themeColor="text1"/>
          <w:sz w:val="22"/>
          <w:szCs w:val="22"/>
          <w:lang w:val="en-CA"/>
        </w:rPr>
        <w:t xml:space="preserve"> plus 1 indicates </w:t>
      </w:r>
      <w:r w:rsidR="003D43FA" w:rsidRPr="00A52AB8">
        <w:rPr>
          <w:rFonts w:ascii="Cambria" w:eastAsiaTheme="minorEastAsia" w:hAnsi="Cambria"/>
          <w:color w:val="000000" w:themeColor="text1"/>
          <w:sz w:val="22"/>
          <w:szCs w:val="22"/>
          <w:lang w:val="en-CA"/>
        </w:rPr>
        <w:t>the number of</w:t>
      </w:r>
      <w:r w:rsidRPr="00A52AB8">
        <w:rPr>
          <w:rFonts w:ascii="Cambria" w:eastAsiaTheme="minorEastAsia" w:hAnsi="Cambria"/>
          <w:color w:val="000000" w:themeColor="text1"/>
          <w:sz w:val="22"/>
          <w:szCs w:val="22"/>
          <w:lang w:val="en-CA"/>
        </w:rPr>
        <w:t xml:space="preserve"> </w:t>
      </w:r>
      <w:r w:rsidR="005F3BBC" w:rsidRPr="00A52AB8">
        <w:rPr>
          <w:rFonts w:ascii="Cambria" w:eastAsiaTheme="minorEastAsia" w:hAnsi="Cambria"/>
          <w:color w:val="000000" w:themeColor="text1"/>
          <w:sz w:val="22"/>
          <w:szCs w:val="22"/>
          <w:lang w:val="en-CA"/>
        </w:rPr>
        <w:t xml:space="preserve">associated </w:t>
      </w:r>
      <w:r w:rsidR="009173FB" w:rsidRPr="00A52AB8">
        <w:rPr>
          <w:rFonts w:ascii="Cambria" w:eastAsiaTheme="minorEastAsia" w:hAnsi="Cambria"/>
          <w:color w:val="000000" w:themeColor="text1"/>
          <w:sz w:val="22"/>
          <w:szCs w:val="22"/>
          <w:lang w:val="en-CA"/>
        </w:rPr>
        <w:t xml:space="preserve">patches that contain EOM points in the </w:t>
      </w:r>
      <w:r w:rsidR="005F3BBC" w:rsidRPr="00A52AB8">
        <w:rPr>
          <w:rFonts w:ascii="Cambria" w:eastAsiaTheme="minorEastAsia" w:hAnsi="Cambria"/>
          <w:color w:val="000000" w:themeColor="text1"/>
          <w:sz w:val="22"/>
          <w:szCs w:val="22"/>
          <w:lang w:val="en-CA"/>
        </w:rPr>
        <w:t xml:space="preserve">decoded </w:t>
      </w:r>
      <w:r w:rsidR="0003372C" w:rsidRPr="00A52AB8">
        <w:rPr>
          <w:rFonts w:ascii="Cambria" w:eastAsiaTheme="minorEastAsia" w:hAnsi="Cambria"/>
          <w:color w:val="000000" w:themeColor="text1"/>
          <w:sz w:val="22"/>
          <w:szCs w:val="22"/>
          <w:lang w:val="en-CA"/>
        </w:rPr>
        <w:t>occupancy</w:t>
      </w:r>
      <w:r w:rsidR="009173FB" w:rsidRPr="00A52AB8">
        <w:rPr>
          <w:rFonts w:ascii="Cambria" w:eastAsiaTheme="minorEastAsia" w:hAnsi="Cambria"/>
          <w:color w:val="000000" w:themeColor="text1"/>
          <w:sz w:val="22"/>
          <w:szCs w:val="22"/>
          <w:lang w:val="en-CA"/>
        </w:rPr>
        <w:t xml:space="preserve"> </w:t>
      </w:r>
      <w:r w:rsidR="005F3BBC" w:rsidRPr="00A52AB8">
        <w:rPr>
          <w:rFonts w:ascii="Cambria" w:eastAsiaTheme="minorEastAsia" w:hAnsi="Cambria"/>
          <w:color w:val="000000" w:themeColor="text1"/>
          <w:sz w:val="22"/>
          <w:szCs w:val="22"/>
          <w:lang w:val="en-CA"/>
        </w:rPr>
        <w:t xml:space="preserve">video </w:t>
      </w:r>
      <w:r w:rsidR="009173FB" w:rsidRPr="00A52AB8">
        <w:rPr>
          <w:rFonts w:ascii="Cambria" w:eastAsiaTheme="minorEastAsia" w:hAnsi="Cambria"/>
          <w:color w:val="000000" w:themeColor="text1"/>
          <w:sz w:val="22"/>
          <w:szCs w:val="22"/>
          <w:lang w:val="en-CA"/>
        </w:rPr>
        <w:t xml:space="preserve">for the current EOM patch with index </w:t>
      </w:r>
      <w:r w:rsidR="00D57A52" w:rsidRPr="00A52AB8">
        <w:rPr>
          <w:rFonts w:ascii="Cambria" w:eastAsiaTheme="minorEastAsia" w:hAnsi="Cambria"/>
          <w:color w:val="000000" w:themeColor="text1"/>
          <w:sz w:val="22"/>
          <w:szCs w:val="22"/>
          <w:lang w:val="en-CA"/>
        </w:rPr>
        <w:t>p</w:t>
      </w:r>
      <w:r w:rsidR="009173FB" w:rsidRPr="00A52AB8">
        <w:rPr>
          <w:rFonts w:ascii="Cambria" w:eastAsiaTheme="minorEastAsia" w:hAnsi="Cambria"/>
          <w:color w:val="000000" w:themeColor="text1"/>
          <w:sz w:val="22"/>
          <w:szCs w:val="22"/>
          <w:lang w:val="en-CA"/>
        </w:rPr>
        <w:t xml:space="preserve"> in the current atlas </w:t>
      </w:r>
      <w:r w:rsidR="00B8075E" w:rsidRPr="00A52AB8">
        <w:rPr>
          <w:rFonts w:ascii="Cambria" w:eastAsiaTheme="minorEastAsia" w:hAnsi="Cambria"/>
          <w:color w:val="000000" w:themeColor="text1"/>
          <w:sz w:val="22"/>
          <w:szCs w:val="22"/>
          <w:lang w:val="en-CA"/>
        </w:rPr>
        <w:t>tile</w:t>
      </w:r>
      <w:r w:rsidR="00800C8C" w:rsidRPr="00A52AB8">
        <w:rPr>
          <w:rFonts w:ascii="Cambria" w:eastAsiaTheme="minorEastAsia" w:hAnsi="Cambria"/>
          <w:color w:val="000000" w:themeColor="text1"/>
          <w:sz w:val="22"/>
          <w:szCs w:val="22"/>
          <w:lang w:val="en-CA"/>
        </w:rPr>
        <w:t xml:space="preserve">, </w:t>
      </w:r>
      <w:r w:rsidR="00A41AF4" w:rsidRPr="00A52AB8">
        <w:rPr>
          <w:rFonts w:ascii="Cambria" w:eastAsiaTheme="minorEastAsia" w:hAnsi="Cambria"/>
          <w:color w:val="000000" w:themeColor="text1"/>
          <w:sz w:val="22"/>
          <w:szCs w:val="22"/>
          <w:lang w:val="en-CA"/>
        </w:rPr>
        <w:t>with tile ID equal to tileID</w:t>
      </w:r>
      <w:r w:rsidR="009173FB" w:rsidRPr="00A52AB8">
        <w:rPr>
          <w:rFonts w:ascii="Cambria" w:eastAsiaTheme="minorEastAsia" w:hAnsi="Cambria"/>
          <w:color w:val="000000" w:themeColor="text1"/>
          <w:sz w:val="22"/>
          <w:szCs w:val="22"/>
          <w:lang w:val="en-CA"/>
        </w:rPr>
        <w:t xml:space="preserve">. </w:t>
      </w:r>
      <w:r w:rsidR="00D76F0F" w:rsidRPr="00A52AB8">
        <w:rPr>
          <w:rFonts w:ascii="Cambria" w:eastAsiaTheme="minorEastAsia" w:hAnsi="Cambria"/>
          <w:color w:val="000000" w:themeColor="text1"/>
          <w:sz w:val="22"/>
          <w:szCs w:val="22"/>
          <w:lang w:val="en-CA"/>
        </w:rPr>
        <w:t>When not present epdu_patch_count_minus1[ tileID ][ </w:t>
      </w:r>
      <w:r w:rsidR="00D57A52" w:rsidRPr="00A52AB8">
        <w:rPr>
          <w:rFonts w:ascii="Cambria" w:eastAsiaTheme="minorEastAsia" w:hAnsi="Cambria"/>
          <w:color w:val="000000" w:themeColor="text1"/>
          <w:sz w:val="22"/>
          <w:szCs w:val="22"/>
          <w:lang w:val="en-CA"/>
        </w:rPr>
        <w:t>p</w:t>
      </w:r>
      <w:r w:rsidR="00D76F0F" w:rsidRPr="00A52AB8">
        <w:rPr>
          <w:rFonts w:ascii="Cambria" w:eastAsiaTheme="minorEastAsia" w:hAnsi="Cambria"/>
          <w:color w:val="000000" w:themeColor="text1"/>
          <w:sz w:val="22"/>
          <w:szCs w:val="22"/>
          <w:lang w:val="en-CA"/>
        </w:rPr>
        <w:t> ] is inferred to be equal to 0.</w:t>
      </w:r>
    </w:p>
    <w:p w14:paraId="52C574D2" w14:textId="4B88CE31" w:rsidR="00A661A5" w:rsidRPr="00A52AB8" w:rsidRDefault="00A661A5" w:rsidP="00792CFF">
      <w:pPr>
        <w:pStyle w:val="NoSpacing"/>
        <w:spacing w:before="100" w:beforeAutospacing="1" w:after="100" w:afterAutospacing="1"/>
        <w:ind w:left="360"/>
        <w:rPr>
          <w:rFonts w:ascii="Cambria" w:eastAsia="Malgun Gothic" w:hAnsi="Cambria"/>
          <w:sz w:val="18"/>
          <w:szCs w:val="18"/>
          <w:lang w:val="en-CA"/>
        </w:rPr>
      </w:pPr>
      <w:r w:rsidRPr="00A52AB8" w:rsidDel="00112A5D">
        <w:rPr>
          <w:rFonts w:ascii="Cambria" w:eastAsia="Malgun Gothic" w:hAnsi="Cambria"/>
          <w:sz w:val="18"/>
          <w:szCs w:val="18"/>
          <w:lang w:val="en-CA"/>
        </w:rPr>
        <w:t>NOTE – </w:t>
      </w:r>
      <w:r w:rsidR="008C51EE" w:rsidRPr="00A52AB8">
        <w:rPr>
          <w:rFonts w:ascii="Cambria" w:eastAsia="Malgun Gothic" w:hAnsi="Cambria"/>
          <w:sz w:val="18"/>
          <w:szCs w:val="18"/>
          <w:lang w:val="en-CA"/>
        </w:rPr>
        <w:t xml:space="preserve">An </w:t>
      </w:r>
      <w:r w:rsidRPr="00A52AB8">
        <w:rPr>
          <w:rFonts w:ascii="Cambria" w:eastAsia="Malgun Gothic" w:hAnsi="Cambria"/>
          <w:sz w:val="18"/>
          <w:szCs w:val="18"/>
          <w:lang w:val="en-CA"/>
        </w:rPr>
        <w:t xml:space="preserve">EOM patch </w:t>
      </w:r>
      <w:r w:rsidR="00B035E7" w:rsidRPr="00A52AB8">
        <w:rPr>
          <w:rFonts w:ascii="Cambria" w:eastAsia="Malgun Gothic" w:hAnsi="Cambria"/>
          <w:sz w:val="18"/>
          <w:szCs w:val="18"/>
          <w:lang w:val="en-CA"/>
        </w:rPr>
        <w:t xml:space="preserve">infers additional geometry information from the occupancy. </w:t>
      </w:r>
      <w:r w:rsidR="00046AAB" w:rsidRPr="00A52AB8">
        <w:rPr>
          <w:rFonts w:ascii="Cambria" w:eastAsia="Malgun Gothic" w:hAnsi="Cambria"/>
          <w:sz w:val="18"/>
          <w:szCs w:val="18"/>
          <w:lang w:val="en-CA"/>
        </w:rPr>
        <w:t xml:space="preserve">If attributes are present, additional information </w:t>
      </w:r>
      <w:r w:rsidR="005E4E1C" w:rsidRPr="00A52AB8">
        <w:rPr>
          <w:rFonts w:ascii="Cambria" w:eastAsia="Malgun Gothic" w:hAnsi="Cambria"/>
          <w:sz w:val="18"/>
          <w:szCs w:val="18"/>
          <w:lang w:val="en-CA"/>
        </w:rPr>
        <w:t>for the attribute</w:t>
      </w:r>
      <w:r w:rsidR="00D26FE0" w:rsidRPr="00A52AB8">
        <w:rPr>
          <w:rFonts w:ascii="Cambria" w:eastAsia="Malgun Gothic" w:hAnsi="Cambria"/>
          <w:sz w:val="18"/>
          <w:szCs w:val="18"/>
          <w:lang w:val="en-CA"/>
        </w:rPr>
        <w:t xml:space="preserve"> data exists in</w:t>
      </w:r>
      <w:r w:rsidR="00446D12" w:rsidRPr="00A52AB8">
        <w:rPr>
          <w:rFonts w:ascii="Cambria" w:eastAsia="Malgun Gothic" w:hAnsi="Cambria"/>
          <w:sz w:val="18"/>
          <w:szCs w:val="18"/>
          <w:lang w:val="en-CA"/>
        </w:rPr>
        <w:t xml:space="preserve"> the</w:t>
      </w:r>
      <w:r w:rsidR="00D26FE0" w:rsidRPr="00A52AB8">
        <w:rPr>
          <w:rFonts w:ascii="Cambria" w:eastAsia="Malgun Gothic" w:hAnsi="Cambria"/>
          <w:sz w:val="18"/>
          <w:szCs w:val="18"/>
          <w:lang w:val="en-CA"/>
        </w:rPr>
        <w:t xml:space="preserve"> </w:t>
      </w:r>
      <w:r w:rsidR="00446D12" w:rsidRPr="00A52AB8">
        <w:rPr>
          <w:rFonts w:ascii="Cambria" w:eastAsia="Malgun Gothic" w:hAnsi="Cambria"/>
          <w:sz w:val="18"/>
          <w:szCs w:val="18"/>
          <w:lang w:val="en-CA"/>
        </w:rPr>
        <w:t xml:space="preserve">EOM associated </w:t>
      </w:r>
      <w:r w:rsidR="005149E0" w:rsidRPr="00A52AB8">
        <w:rPr>
          <w:rFonts w:ascii="Cambria" w:eastAsia="Malgun Gothic" w:hAnsi="Cambria"/>
          <w:sz w:val="18"/>
          <w:szCs w:val="18"/>
          <w:lang w:val="en-CA"/>
        </w:rPr>
        <w:t xml:space="preserve">patches in </w:t>
      </w:r>
      <w:r w:rsidR="00165BB2" w:rsidRPr="00A52AB8">
        <w:rPr>
          <w:rFonts w:ascii="Cambria" w:eastAsia="Malgun Gothic" w:hAnsi="Cambria"/>
          <w:sz w:val="18"/>
          <w:szCs w:val="18"/>
          <w:lang w:val="en-CA"/>
        </w:rPr>
        <w:t xml:space="preserve">the </w:t>
      </w:r>
      <w:r w:rsidR="005149E0" w:rsidRPr="00A52AB8">
        <w:rPr>
          <w:rFonts w:ascii="Cambria" w:eastAsia="Malgun Gothic" w:hAnsi="Cambria"/>
          <w:sz w:val="18"/>
          <w:szCs w:val="18"/>
          <w:lang w:val="en-CA"/>
        </w:rPr>
        <w:t>map with index 0 of the corresponding attributes</w:t>
      </w:r>
      <w:r w:rsidRPr="00A52AB8">
        <w:rPr>
          <w:rFonts w:ascii="Cambria" w:eastAsia="Malgun Gothic" w:hAnsi="Cambria"/>
          <w:sz w:val="18"/>
          <w:szCs w:val="18"/>
          <w:lang w:val="en-CA"/>
        </w:rPr>
        <w:t>.</w:t>
      </w:r>
    </w:p>
    <w:p w14:paraId="04FC4F25" w14:textId="71192D78" w:rsidR="00165BB2" w:rsidRPr="00A52AB8" w:rsidRDefault="0048108E">
      <w:pPr>
        <w:pStyle w:val="NoSpacing"/>
        <w:spacing w:before="100" w:beforeAutospacing="1" w:after="100" w:afterAutospacing="1"/>
        <w:rPr>
          <w:rFonts w:ascii="Cambria" w:eastAsiaTheme="minorEastAsia" w:hAnsi="Cambria"/>
          <w:bCs/>
          <w:color w:val="000000" w:themeColor="text1"/>
          <w:sz w:val="22"/>
          <w:szCs w:val="22"/>
          <w:lang w:val="en-CA"/>
        </w:rPr>
      </w:pPr>
      <w:r w:rsidRPr="00A52AB8">
        <w:rPr>
          <w:rFonts w:ascii="Cambria" w:eastAsiaTheme="minorEastAsia" w:hAnsi="Cambria"/>
          <w:b/>
          <w:color w:val="000000" w:themeColor="text1"/>
          <w:sz w:val="22"/>
          <w:szCs w:val="22"/>
          <w:lang w:val="en-CA"/>
        </w:rPr>
        <w:t>epdu_associated_patch_idx</w:t>
      </w:r>
      <w:r w:rsidR="00800C8C" w:rsidRPr="00A52AB8">
        <w:rPr>
          <w:rFonts w:ascii="Cambria" w:hAnsi="Cambria"/>
          <w:sz w:val="22"/>
          <w:szCs w:val="22"/>
          <w:lang w:val="en-CA" w:eastAsia="ja-JP"/>
        </w:rPr>
        <w:t>[ </w:t>
      </w:r>
      <w:r w:rsidR="00632FA7" w:rsidRPr="00A52AB8">
        <w:rPr>
          <w:rFonts w:ascii="Cambria" w:hAnsi="Cambria"/>
          <w:sz w:val="22"/>
          <w:szCs w:val="22"/>
          <w:lang w:val="en-CA" w:eastAsia="ja-JP"/>
        </w:rPr>
        <w:t>tileID</w:t>
      </w:r>
      <w:r w:rsidR="00800C8C" w:rsidRPr="00A52AB8">
        <w:rPr>
          <w:rFonts w:ascii="Cambria" w:hAnsi="Cambria"/>
          <w:sz w:val="22"/>
          <w:szCs w:val="22"/>
          <w:lang w:val="en-CA" w:eastAsia="ja-JP"/>
        </w:rPr>
        <w:t> ]</w:t>
      </w:r>
      <w:r w:rsidRPr="00A52AB8">
        <w:rPr>
          <w:rFonts w:ascii="Cambria" w:eastAsiaTheme="minorEastAsia" w:hAnsi="Cambria"/>
          <w:color w:val="000000" w:themeColor="text1"/>
          <w:sz w:val="22"/>
          <w:szCs w:val="22"/>
          <w:lang w:val="en-CA"/>
        </w:rPr>
        <w:t>[ </w:t>
      </w:r>
      <w:r w:rsidR="00D57A52" w:rsidRPr="00A52AB8">
        <w:rPr>
          <w:rFonts w:ascii="Cambria" w:eastAsiaTheme="minorEastAsia" w:hAnsi="Cambria"/>
          <w:color w:val="000000" w:themeColor="text1"/>
          <w:sz w:val="22"/>
          <w:szCs w:val="22"/>
          <w:lang w:val="en-CA"/>
        </w:rPr>
        <w:t>p</w:t>
      </w:r>
      <w:r w:rsidR="009173FB" w:rsidRPr="00A52AB8">
        <w:rPr>
          <w:rFonts w:ascii="Cambria" w:hAnsi="Cambria"/>
          <w:color w:val="000000" w:themeColor="text1"/>
          <w:sz w:val="22"/>
          <w:szCs w:val="22"/>
          <w:lang w:val="en-CA"/>
        </w:rPr>
        <w:t> </w:t>
      </w:r>
      <w:r w:rsidR="009173FB" w:rsidRPr="00A52AB8">
        <w:rPr>
          <w:rFonts w:ascii="Cambria" w:eastAsiaTheme="minorEastAsia" w:hAnsi="Cambria"/>
          <w:color w:val="000000" w:themeColor="text1"/>
          <w:sz w:val="22"/>
          <w:szCs w:val="22"/>
          <w:lang w:val="en-CA"/>
        </w:rPr>
        <w:t>]</w:t>
      </w:r>
      <w:r w:rsidR="001F4484" w:rsidRPr="00A52AB8">
        <w:rPr>
          <w:rFonts w:ascii="Cambria" w:eastAsiaTheme="minorEastAsia" w:hAnsi="Cambria"/>
          <w:color w:val="000000" w:themeColor="text1"/>
          <w:sz w:val="22"/>
          <w:szCs w:val="22"/>
          <w:lang w:val="en-CA"/>
        </w:rPr>
        <w:t>[ i ]</w:t>
      </w:r>
      <w:r w:rsidR="009173FB" w:rsidRPr="00A52AB8">
        <w:rPr>
          <w:rFonts w:ascii="Cambria" w:eastAsiaTheme="minorEastAsia" w:hAnsi="Cambria"/>
          <w:color w:val="000000" w:themeColor="text1"/>
          <w:sz w:val="22"/>
          <w:szCs w:val="22"/>
          <w:lang w:val="en-CA"/>
        </w:rPr>
        <w:t xml:space="preserve"> indicates the </w:t>
      </w:r>
      <w:r w:rsidR="005A5F27" w:rsidRPr="00A52AB8">
        <w:rPr>
          <w:rFonts w:ascii="Cambria" w:eastAsiaTheme="minorEastAsia" w:hAnsi="Cambria"/>
          <w:color w:val="000000" w:themeColor="text1"/>
          <w:sz w:val="22"/>
          <w:szCs w:val="22"/>
          <w:lang w:val="en-CA"/>
        </w:rPr>
        <w:t xml:space="preserve">associated </w:t>
      </w:r>
      <w:r w:rsidR="009173FB" w:rsidRPr="00A52AB8">
        <w:rPr>
          <w:rFonts w:ascii="Cambria" w:eastAsiaTheme="minorEastAsia" w:hAnsi="Cambria"/>
          <w:color w:val="000000" w:themeColor="text1"/>
          <w:sz w:val="22"/>
          <w:szCs w:val="22"/>
          <w:lang w:val="en-CA"/>
        </w:rPr>
        <w:t xml:space="preserve">patch index of the i-th patch specified in the current EOM patch with index </w:t>
      </w:r>
      <w:r w:rsidR="00D57A52" w:rsidRPr="00A52AB8">
        <w:rPr>
          <w:rFonts w:ascii="Cambria" w:eastAsiaTheme="minorEastAsia" w:hAnsi="Cambria"/>
          <w:color w:val="000000" w:themeColor="text1"/>
          <w:sz w:val="22"/>
          <w:szCs w:val="22"/>
          <w:lang w:val="en-CA"/>
        </w:rPr>
        <w:t>p</w:t>
      </w:r>
      <w:r w:rsidR="00165BB2" w:rsidRPr="00A52AB8">
        <w:rPr>
          <w:rFonts w:ascii="Cambria" w:hAnsi="Cambria"/>
          <w:color w:val="000000" w:themeColor="text1"/>
          <w:sz w:val="22"/>
          <w:szCs w:val="22"/>
          <w:lang w:val="en-CA"/>
        </w:rPr>
        <w:t xml:space="preserve">, </w:t>
      </w:r>
      <w:r w:rsidR="009173FB" w:rsidRPr="00A52AB8">
        <w:rPr>
          <w:rFonts w:ascii="Cambria" w:hAnsi="Cambria"/>
          <w:color w:val="000000" w:themeColor="text1"/>
          <w:sz w:val="22"/>
          <w:szCs w:val="22"/>
          <w:lang w:val="en-CA"/>
        </w:rPr>
        <w:t xml:space="preserve">in the current atlas </w:t>
      </w:r>
      <w:r w:rsidR="00B8075E" w:rsidRPr="00A52AB8">
        <w:rPr>
          <w:rFonts w:ascii="Cambria" w:hAnsi="Cambria"/>
          <w:color w:val="000000" w:themeColor="text1"/>
          <w:sz w:val="22"/>
          <w:szCs w:val="22"/>
          <w:lang w:val="en-CA"/>
        </w:rPr>
        <w:t>tile</w:t>
      </w:r>
      <w:r w:rsidR="00800C8C" w:rsidRPr="00A52AB8">
        <w:rPr>
          <w:rFonts w:ascii="Cambria" w:hAnsi="Cambria"/>
          <w:color w:val="000000" w:themeColor="text1"/>
          <w:sz w:val="22"/>
          <w:szCs w:val="22"/>
          <w:lang w:val="en-CA"/>
        </w:rPr>
        <w:t xml:space="preserve"> </w:t>
      </w:r>
      <w:r w:rsidR="00A41AF4" w:rsidRPr="00A52AB8">
        <w:rPr>
          <w:rFonts w:ascii="Cambria" w:hAnsi="Cambria"/>
          <w:color w:val="000000" w:themeColor="text1"/>
          <w:sz w:val="22"/>
          <w:szCs w:val="22"/>
          <w:lang w:val="en-CA"/>
        </w:rPr>
        <w:t>with tile ID equal to tileID</w:t>
      </w:r>
      <w:r w:rsidR="00800C8C" w:rsidRPr="00A52AB8">
        <w:rPr>
          <w:rFonts w:ascii="Cambria" w:hAnsi="Cambria"/>
          <w:color w:val="000000" w:themeColor="text1"/>
          <w:sz w:val="22"/>
          <w:szCs w:val="22"/>
          <w:lang w:val="en-CA"/>
        </w:rPr>
        <w:t>,</w:t>
      </w:r>
      <w:r w:rsidR="009173FB" w:rsidRPr="00A52AB8">
        <w:rPr>
          <w:rFonts w:ascii="Cambria" w:hAnsi="Cambria"/>
          <w:color w:val="000000" w:themeColor="text1"/>
          <w:sz w:val="22"/>
          <w:szCs w:val="22"/>
          <w:lang w:val="en-CA"/>
        </w:rPr>
        <w:t xml:space="preserve"> </w:t>
      </w:r>
      <w:r w:rsidR="009173FB" w:rsidRPr="00A52AB8">
        <w:rPr>
          <w:rFonts w:ascii="Cambria" w:eastAsiaTheme="minorEastAsia" w:hAnsi="Cambria"/>
          <w:color w:val="000000" w:themeColor="text1"/>
          <w:sz w:val="22"/>
          <w:szCs w:val="22"/>
          <w:lang w:val="en-CA"/>
        </w:rPr>
        <w:t xml:space="preserve">which is associated with a number of EOM attribute points as indicated by the syntax element </w:t>
      </w:r>
      <w:r w:rsidR="009173FB" w:rsidRPr="00A52AB8">
        <w:rPr>
          <w:rFonts w:ascii="Cambria" w:eastAsiaTheme="minorEastAsia" w:hAnsi="Cambria"/>
          <w:bCs/>
          <w:color w:val="000000" w:themeColor="text1"/>
          <w:sz w:val="22"/>
          <w:szCs w:val="22"/>
          <w:lang w:val="en-CA"/>
        </w:rPr>
        <w:t>epdu_points</w:t>
      </w:r>
      <w:r w:rsidR="00800C8C" w:rsidRPr="00A52AB8">
        <w:rPr>
          <w:rFonts w:ascii="Cambria" w:hAnsi="Cambria"/>
          <w:sz w:val="22"/>
          <w:szCs w:val="22"/>
          <w:lang w:val="en-CA" w:eastAsia="ja-JP"/>
        </w:rPr>
        <w:t>[ </w:t>
      </w:r>
      <w:r w:rsidR="00632FA7" w:rsidRPr="00A52AB8">
        <w:rPr>
          <w:rFonts w:ascii="Cambria" w:hAnsi="Cambria"/>
          <w:sz w:val="22"/>
          <w:szCs w:val="22"/>
          <w:lang w:val="en-CA" w:eastAsia="ja-JP"/>
        </w:rPr>
        <w:t>tileID</w:t>
      </w:r>
      <w:r w:rsidR="00800C8C" w:rsidRPr="00A52AB8">
        <w:rPr>
          <w:rFonts w:ascii="Cambria" w:hAnsi="Cambria"/>
          <w:sz w:val="22"/>
          <w:szCs w:val="22"/>
          <w:lang w:val="en-CA" w:eastAsia="ja-JP"/>
        </w:rPr>
        <w:t> ]</w:t>
      </w:r>
      <w:r w:rsidR="009173FB" w:rsidRPr="00A52AB8">
        <w:rPr>
          <w:rFonts w:ascii="Cambria" w:eastAsiaTheme="minorEastAsia" w:hAnsi="Cambria"/>
          <w:bCs/>
          <w:color w:val="000000" w:themeColor="text1"/>
          <w:sz w:val="22"/>
          <w:szCs w:val="22"/>
          <w:lang w:val="en-CA"/>
        </w:rPr>
        <w:t>[ </w:t>
      </w:r>
      <w:r w:rsidR="00D57A52" w:rsidRPr="00A52AB8">
        <w:rPr>
          <w:rFonts w:ascii="Cambria" w:eastAsiaTheme="minorEastAsia" w:hAnsi="Cambria"/>
          <w:color w:val="000000" w:themeColor="text1"/>
          <w:sz w:val="22"/>
          <w:szCs w:val="22"/>
          <w:lang w:val="en-CA"/>
        </w:rPr>
        <w:t>p</w:t>
      </w:r>
      <w:r w:rsidR="009173FB" w:rsidRPr="00A52AB8">
        <w:rPr>
          <w:rFonts w:ascii="Cambria" w:eastAsiaTheme="minorEastAsia" w:hAnsi="Cambria"/>
          <w:color w:val="000000" w:themeColor="text1"/>
          <w:sz w:val="22"/>
          <w:szCs w:val="22"/>
          <w:lang w:val="en-CA"/>
        </w:rPr>
        <w:t> </w:t>
      </w:r>
      <w:r w:rsidR="009173FB" w:rsidRPr="00A52AB8">
        <w:rPr>
          <w:rFonts w:ascii="Cambria" w:eastAsiaTheme="minorEastAsia" w:hAnsi="Cambria"/>
          <w:bCs/>
          <w:color w:val="000000" w:themeColor="text1"/>
          <w:sz w:val="22"/>
          <w:szCs w:val="22"/>
          <w:lang w:val="en-CA"/>
        </w:rPr>
        <w:t>]</w:t>
      </w:r>
      <w:r w:rsidR="001F4484" w:rsidRPr="00A52AB8">
        <w:rPr>
          <w:rFonts w:ascii="Cambria" w:eastAsiaTheme="minorEastAsia" w:hAnsi="Cambria"/>
          <w:bCs/>
          <w:color w:val="000000" w:themeColor="text1"/>
          <w:sz w:val="22"/>
          <w:szCs w:val="22"/>
          <w:lang w:val="en-CA"/>
        </w:rPr>
        <w:t>[ i ]</w:t>
      </w:r>
      <w:r w:rsidR="009173FB" w:rsidRPr="00A52AB8">
        <w:rPr>
          <w:rFonts w:ascii="Cambria" w:eastAsiaTheme="minorEastAsia" w:hAnsi="Cambria"/>
          <w:bCs/>
          <w:color w:val="000000" w:themeColor="text1"/>
          <w:sz w:val="22"/>
          <w:szCs w:val="22"/>
          <w:lang w:val="en-CA"/>
        </w:rPr>
        <w:t>. The value of epdu_associated_patch_idx</w:t>
      </w:r>
      <w:r w:rsidR="00800C8C" w:rsidRPr="00A52AB8">
        <w:rPr>
          <w:rFonts w:ascii="Cambria" w:hAnsi="Cambria"/>
          <w:sz w:val="22"/>
          <w:szCs w:val="22"/>
          <w:lang w:val="en-CA" w:eastAsia="ja-JP"/>
        </w:rPr>
        <w:t>[ </w:t>
      </w:r>
      <w:r w:rsidR="00632FA7" w:rsidRPr="00A52AB8">
        <w:rPr>
          <w:rFonts w:ascii="Cambria" w:hAnsi="Cambria"/>
          <w:sz w:val="22"/>
          <w:szCs w:val="22"/>
          <w:lang w:val="en-CA" w:eastAsia="ja-JP"/>
        </w:rPr>
        <w:t>tileID</w:t>
      </w:r>
      <w:r w:rsidR="00800C8C" w:rsidRPr="00A52AB8">
        <w:rPr>
          <w:rFonts w:ascii="Cambria" w:hAnsi="Cambria"/>
          <w:sz w:val="22"/>
          <w:szCs w:val="22"/>
          <w:lang w:val="en-CA" w:eastAsia="ja-JP"/>
        </w:rPr>
        <w:t> ]</w:t>
      </w:r>
      <w:r w:rsidR="009173FB" w:rsidRPr="00A52AB8">
        <w:rPr>
          <w:rFonts w:ascii="Cambria" w:eastAsiaTheme="minorEastAsia" w:hAnsi="Cambria"/>
          <w:bCs/>
          <w:color w:val="000000" w:themeColor="text1"/>
          <w:sz w:val="22"/>
          <w:szCs w:val="22"/>
          <w:lang w:val="en-CA"/>
        </w:rPr>
        <w:t>[ </w:t>
      </w:r>
      <w:r w:rsidR="00D57A52" w:rsidRPr="00A52AB8">
        <w:rPr>
          <w:rFonts w:ascii="Cambria" w:eastAsiaTheme="minorEastAsia" w:hAnsi="Cambria"/>
          <w:bCs/>
          <w:color w:val="000000" w:themeColor="text1"/>
          <w:sz w:val="22"/>
          <w:szCs w:val="22"/>
          <w:lang w:val="en-CA"/>
        </w:rPr>
        <w:t>p</w:t>
      </w:r>
      <w:r w:rsidR="009173FB" w:rsidRPr="00A52AB8">
        <w:rPr>
          <w:rFonts w:ascii="Cambria" w:eastAsiaTheme="minorEastAsia" w:hAnsi="Cambria"/>
          <w:bCs/>
          <w:color w:val="000000" w:themeColor="text1"/>
          <w:sz w:val="22"/>
          <w:szCs w:val="22"/>
          <w:lang w:val="en-CA"/>
        </w:rPr>
        <w:t> ]</w:t>
      </w:r>
      <w:r w:rsidR="001F4484" w:rsidRPr="00A52AB8">
        <w:rPr>
          <w:rFonts w:ascii="Cambria" w:eastAsiaTheme="minorEastAsia" w:hAnsi="Cambria"/>
          <w:bCs/>
          <w:color w:val="000000" w:themeColor="text1"/>
          <w:sz w:val="22"/>
          <w:szCs w:val="22"/>
          <w:lang w:val="en-CA"/>
        </w:rPr>
        <w:t>[ i ]</w:t>
      </w:r>
      <w:r w:rsidR="009173FB" w:rsidRPr="00A52AB8">
        <w:rPr>
          <w:rFonts w:ascii="Cambria" w:eastAsiaTheme="minorEastAsia" w:hAnsi="Cambria"/>
          <w:bCs/>
          <w:color w:val="000000" w:themeColor="text1"/>
          <w:sz w:val="22"/>
          <w:szCs w:val="22"/>
          <w:lang w:val="en-CA"/>
        </w:rPr>
        <w:t xml:space="preserve"> shall be in the range 0 to </w:t>
      </w:r>
      <w:r w:rsidR="00632975" w:rsidRPr="00A52AB8">
        <w:rPr>
          <w:rFonts w:ascii="Cambria" w:eastAsiaTheme="minorEastAsia" w:hAnsi="Cambria"/>
          <w:bCs/>
          <w:color w:val="000000" w:themeColor="text1"/>
          <w:sz w:val="22"/>
          <w:szCs w:val="22"/>
          <w:lang w:val="en-CA"/>
        </w:rPr>
        <w:t>Atdu</w:t>
      </w:r>
      <w:r w:rsidR="00D12C68" w:rsidRPr="00A52AB8">
        <w:rPr>
          <w:rFonts w:ascii="Cambria" w:eastAsiaTheme="minorEastAsia" w:hAnsi="Cambria"/>
          <w:bCs/>
          <w:color w:val="000000" w:themeColor="text1"/>
          <w:sz w:val="22"/>
          <w:szCs w:val="22"/>
          <w:lang w:val="en-CA"/>
        </w:rPr>
        <w:t>TotalNum</w:t>
      </w:r>
      <w:r w:rsidR="00632975" w:rsidRPr="00A52AB8">
        <w:rPr>
          <w:rFonts w:ascii="Cambria" w:eastAsiaTheme="minorEastAsia" w:hAnsi="Cambria"/>
          <w:bCs/>
          <w:color w:val="000000" w:themeColor="text1"/>
          <w:sz w:val="22"/>
          <w:szCs w:val="22"/>
          <w:lang w:val="en-CA"/>
        </w:rPr>
        <w:t>Patches[ </w:t>
      </w:r>
      <w:r w:rsidR="00632FA7" w:rsidRPr="00A52AB8">
        <w:rPr>
          <w:rFonts w:ascii="Cambria" w:eastAsiaTheme="minorEastAsia" w:hAnsi="Cambria"/>
          <w:bCs/>
          <w:color w:val="000000" w:themeColor="text1"/>
          <w:sz w:val="22"/>
          <w:szCs w:val="22"/>
          <w:lang w:val="en-CA"/>
        </w:rPr>
        <w:t>tileID</w:t>
      </w:r>
      <w:r w:rsidR="00632975" w:rsidRPr="00A52AB8">
        <w:rPr>
          <w:rFonts w:ascii="Cambria" w:eastAsiaTheme="minorEastAsia" w:hAnsi="Cambria"/>
          <w:bCs/>
          <w:color w:val="000000" w:themeColor="text1"/>
          <w:sz w:val="22"/>
          <w:szCs w:val="22"/>
          <w:lang w:val="en-CA"/>
        </w:rPr>
        <w:t> ]</w:t>
      </w:r>
      <w:r w:rsidR="00261B3E" w:rsidRPr="00A52AB8">
        <w:rPr>
          <w:rFonts w:ascii="Cambria" w:eastAsiaTheme="minorEastAsia" w:hAnsi="Cambria"/>
          <w:bCs/>
          <w:color w:val="000000" w:themeColor="text1"/>
          <w:sz w:val="22"/>
          <w:szCs w:val="22"/>
          <w:lang w:val="en-CA"/>
        </w:rPr>
        <w:t> </w:t>
      </w:r>
      <w:r w:rsidR="00F31796" w:rsidRPr="00A52AB8">
        <w:rPr>
          <w:rFonts w:ascii="Cambria" w:eastAsiaTheme="minorEastAsia" w:hAnsi="Cambria"/>
          <w:bCs/>
          <w:color w:val="000000" w:themeColor="text1"/>
          <w:sz w:val="22"/>
          <w:szCs w:val="22"/>
          <w:lang w:val="en-CA"/>
        </w:rPr>
        <w:t>–</w:t>
      </w:r>
      <w:r w:rsidR="00261B3E" w:rsidRPr="00A52AB8">
        <w:rPr>
          <w:rFonts w:ascii="Cambria" w:eastAsiaTheme="minorEastAsia" w:hAnsi="Cambria"/>
          <w:bCs/>
          <w:color w:val="000000" w:themeColor="text1"/>
          <w:sz w:val="22"/>
          <w:szCs w:val="22"/>
          <w:lang w:val="en-CA"/>
        </w:rPr>
        <w:t> </w:t>
      </w:r>
      <w:r w:rsidR="00632975" w:rsidRPr="00A52AB8">
        <w:rPr>
          <w:rFonts w:ascii="Cambria" w:eastAsiaTheme="minorEastAsia" w:hAnsi="Cambria"/>
          <w:bCs/>
          <w:color w:val="000000" w:themeColor="text1"/>
          <w:sz w:val="22"/>
          <w:szCs w:val="22"/>
          <w:lang w:val="en-CA"/>
        </w:rPr>
        <w:t>1</w:t>
      </w:r>
      <w:r w:rsidR="009173FB" w:rsidRPr="00A52AB8">
        <w:rPr>
          <w:rFonts w:ascii="Cambria" w:eastAsiaTheme="minorEastAsia" w:hAnsi="Cambria"/>
          <w:bCs/>
          <w:color w:val="000000" w:themeColor="text1"/>
          <w:sz w:val="22"/>
          <w:szCs w:val="22"/>
          <w:lang w:val="en-CA"/>
        </w:rPr>
        <w:t>, inclusive.</w:t>
      </w:r>
      <w:r w:rsidR="00165BB2" w:rsidRPr="00A52AB8">
        <w:rPr>
          <w:rFonts w:ascii="Cambria" w:eastAsiaTheme="minorEastAsia" w:hAnsi="Cambria"/>
          <w:bCs/>
          <w:color w:val="000000" w:themeColor="text1"/>
          <w:sz w:val="22"/>
          <w:szCs w:val="22"/>
          <w:lang w:val="en-CA"/>
        </w:rPr>
        <w:t xml:space="preserve"> </w:t>
      </w:r>
    </w:p>
    <w:p w14:paraId="7C1F78BF" w14:textId="67E62969" w:rsidR="0048108E" w:rsidRPr="00A52AB8" w:rsidRDefault="00165BB2" w:rsidP="000B4760">
      <w:pPr>
        <w:pStyle w:val="NoSpacing"/>
        <w:spacing w:before="100" w:beforeAutospacing="1" w:after="100" w:afterAutospacing="1"/>
        <w:rPr>
          <w:rFonts w:ascii="Cambria" w:eastAsiaTheme="minorEastAsia" w:hAnsi="Cambria"/>
          <w:bCs/>
          <w:color w:val="000000" w:themeColor="text1"/>
          <w:sz w:val="22"/>
          <w:szCs w:val="22"/>
          <w:lang w:val="en-CA"/>
        </w:rPr>
      </w:pPr>
      <w:r w:rsidRPr="00A52AB8">
        <w:rPr>
          <w:rFonts w:ascii="Cambria" w:eastAsiaTheme="minorEastAsia" w:hAnsi="Cambria"/>
          <w:bCs/>
          <w:color w:val="000000" w:themeColor="text1"/>
          <w:sz w:val="22"/>
          <w:szCs w:val="22"/>
          <w:lang w:val="en-CA"/>
        </w:rPr>
        <w:t>It is a requirement of bitstream conformance that</w:t>
      </w:r>
      <w:r w:rsidR="000B4760" w:rsidRPr="00A52AB8">
        <w:rPr>
          <w:rFonts w:ascii="Cambria" w:eastAsiaTheme="minorEastAsia" w:hAnsi="Cambria"/>
          <w:bCs/>
          <w:color w:val="000000" w:themeColor="text1"/>
          <w:sz w:val="22"/>
          <w:szCs w:val="22"/>
          <w:lang w:val="en-CA"/>
        </w:rPr>
        <w:t>,</w:t>
      </w:r>
      <w:r w:rsidRPr="00A52AB8">
        <w:rPr>
          <w:rFonts w:ascii="Cambria" w:eastAsiaTheme="minorEastAsia" w:hAnsi="Cambria"/>
          <w:bCs/>
          <w:color w:val="000000" w:themeColor="text1"/>
          <w:sz w:val="22"/>
          <w:szCs w:val="22"/>
          <w:lang w:val="en-CA"/>
        </w:rPr>
        <w:t xml:space="preserve"> </w:t>
      </w:r>
      <w:r w:rsidR="000B4760" w:rsidRPr="00A52AB8">
        <w:rPr>
          <w:rFonts w:ascii="Cambria" w:eastAsiaTheme="minorEastAsia" w:hAnsi="Cambria"/>
          <w:bCs/>
          <w:color w:val="000000" w:themeColor="text1"/>
          <w:sz w:val="22"/>
          <w:szCs w:val="22"/>
          <w:lang w:val="en-CA"/>
        </w:rPr>
        <w:t>i</w:t>
      </w:r>
      <w:r w:rsidRPr="00A52AB8">
        <w:rPr>
          <w:rFonts w:ascii="Cambria" w:eastAsiaTheme="minorEastAsia" w:hAnsi="Cambria"/>
          <w:bCs/>
          <w:color w:val="000000" w:themeColor="text1"/>
          <w:sz w:val="22"/>
          <w:szCs w:val="22"/>
          <w:lang w:val="en-CA"/>
        </w:rPr>
        <w:t xml:space="preserve">f ath_type is equal to I_TILE, </w:t>
      </w:r>
      <w:r w:rsidR="000B4760" w:rsidRPr="00A52AB8">
        <w:rPr>
          <w:rFonts w:ascii="Cambria" w:eastAsiaTheme="minorEastAsia" w:hAnsi="Cambria"/>
          <w:bCs/>
          <w:color w:val="000000" w:themeColor="text1"/>
          <w:sz w:val="22"/>
          <w:szCs w:val="22"/>
          <w:lang w:val="en-CA"/>
        </w:rPr>
        <w:t>that the value of</w:t>
      </w:r>
      <w:r w:rsidRPr="00A52AB8">
        <w:rPr>
          <w:rFonts w:ascii="Cambria" w:eastAsiaTheme="minorEastAsia" w:hAnsi="Cambria"/>
          <w:bCs/>
          <w:color w:val="000000" w:themeColor="text1"/>
          <w:sz w:val="22"/>
          <w:szCs w:val="22"/>
          <w:lang w:val="en-CA"/>
        </w:rPr>
        <w:t xml:space="preserve"> </w:t>
      </w:r>
      <w:r w:rsidR="00632975" w:rsidRPr="00A52AB8">
        <w:rPr>
          <w:rFonts w:ascii="Cambria" w:eastAsiaTheme="minorEastAsia" w:hAnsi="Cambria"/>
          <w:bCs/>
          <w:color w:val="000000" w:themeColor="text1"/>
          <w:sz w:val="22"/>
          <w:szCs w:val="22"/>
          <w:lang w:val="en-CA"/>
        </w:rPr>
        <w:t>atdu_patch_mode[ </w:t>
      </w:r>
      <w:r w:rsidR="00632FA7" w:rsidRPr="00A52AB8">
        <w:rPr>
          <w:rFonts w:ascii="Cambria" w:eastAsiaTheme="minorEastAsia" w:hAnsi="Cambria"/>
          <w:bCs/>
          <w:color w:val="000000" w:themeColor="text1"/>
          <w:sz w:val="22"/>
          <w:szCs w:val="22"/>
          <w:lang w:val="en-CA"/>
        </w:rPr>
        <w:t>tileID</w:t>
      </w:r>
      <w:r w:rsidR="00632975" w:rsidRPr="00A52AB8">
        <w:rPr>
          <w:rFonts w:ascii="Cambria" w:eastAsiaTheme="minorEastAsia" w:hAnsi="Cambria"/>
          <w:bCs/>
          <w:color w:val="000000" w:themeColor="text1"/>
          <w:sz w:val="22"/>
          <w:szCs w:val="22"/>
          <w:lang w:val="en-CA"/>
        </w:rPr>
        <w:t> ][ epdu_associated_patch_idx[ </w:t>
      </w:r>
      <w:r w:rsidR="00632FA7" w:rsidRPr="00A52AB8">
        <w:rPr>
          <w:rFonts w:ascii="Cambria" w:eastAsiaTheme="minorEastAsia" w:hAnsi="Cambria"/>
          <w:bCs/>
          <w:color w:val="000000" w:themeColor="text1"/>
          <w:sz w:val="22"/>
          <w:szCs w:val="22"/>
          <w:lang w:val="en-CA"/>
        </w:rPr>
        <w:t>tileID</w:t>
      </w:r>
      <w:r w:rsidR="00632975" w:rsidRPr="00A52AB8">
        <w:rPr>
          <w:rFonts w:ascii="Cambria" w:eastAsiaTheme="minorEastAsia" w:hAnsi="Cambria"/>
          <w:bCs/>
          <w:color w:val="000000" w:themeColor="text1"/>
          <w:sz w:val="22"/>
          <w:szCs w:val="22"/>
          <w:lang w:val="en-CA"/>
        </w:rPr>
        <w:t> ][ </w:t>
      </w:r>
      <w:r w:rsidR="00D57A52" w:rsidRPr="00A52AB8">
        <w:rPr>
          <w:rFonts w:ascii="Cambria" w:eastAsiaTheme="minorEastAsia" w:hAnsi="Cambria"/>
          <w:bCs/>
          <w:color w:val="000000" w:themeColor="text1"/>
          <w:sz w:val="22"/>
          <w:szCs w:val="22"/>
          <w:lang w:val="en-CA"/>
        </w:rPr>
        <w:t>p</w:t>
      </w:r>
      <w:r w:rsidR="00632975" w:rsidRPr="00A52AB8">
        <w:rPr>
          <w:rFonts w:ascii="Cambria" w:eastAsiaTheme="minorEastAsia" w:hAnsi="Cambria"/>
          <w:bCs/>
          <w:color w:val="000000" w:themeColor="text1"/>
          <w:sz w:val="22"/>
          <w:szCs w:val="22"/>
          <w:lang w:val="en-CA"/>
        </w:rPr>
        <w:t> ][ i ]</w:t>
      </w:r>
      <w:r w:rsidR="000B4760" w:rsidRPr="00A52AB8">
        <w:rPr>
          <w:rFonts w:ascii="Cambria" w:eastAsiaTheme="minorEastAsia" w:hAnsi="Cambria"/>
          <w:bCs/>
          <w:color w:val="000000" w:themeColor="text1"/>
          <w:sz w:val="22"/>
          <w:szCs w:val="22"/>
          <w:lang w:val="en-CA"/>
        </w:rPr>
        <w:t> </w:t>
      </w:r>
      <w:r w:rsidR="00632975" w:rsidRPr="00A52AB8">
        <w:rPr>
          <w:rFonts w:ascii="Cambria" w:eastAsiaTheme="minorEastAsia" w:hAnsi="Cambria"/>
          <w:bCs/>
          <w:color w:val="000000" w:themeColor="text1"/>
          <w:sz w:val="22"/>
          <w:szCs w:val="22"/>
          <w:lang w:val="en-CA"/>
        </w:rPr>
        <w:t>] shall not be equal to I_RAW</w:t>
      </w:r>
      <w:r w:rsidRPr="00A52AB8">
        <w:rPr>
          <w:rFonts w:ascii="Cambria" w:eastAsiaTheme="minorEastAsia" w:hAnsi="Cambria"/>
          <w:bCs/>
          <w:color w:val="000000" w:themeColor="text1"/>
          <w:sz w:val="22"/>
          <w:szCs w:val="22"/>
          <w:lang w:val="en-CA"/>
        </w:rPr>
        <w:t xml:space="preserve"> or </w:t>
      </w:r>
      <w:r w:rsidR="00632975" w:rsidRPr="00A52AB8">
        <w:rPr>
          <w:rFonts w:ascii="Cambria" w:eastAsiaTheme="minorEastAsia" w:hAnsi="Cambria"/>
          <w:bCs/>
          <w:color w:val="000000" w:themeColor="text1"/>
          <w:sz w:val="22"/>
          <w:szCs w:val="22"/>
          <w:lang w:val="en-CA"/>
        </w:rPr>
        <w:t>I_EOM</w:t>
      </w:r>
      <w:r w:rsidR="000B4760" w:rsidRPr="00A52AB8">
        <w:rPr>
          <w:rFonts w:ascii="Cambria" w:eastAsiaTheme="minorEastAsia" w:hAnsi="Cambria"/>
          <w:bCs/>
          <w:color w:val="000000" w:themeColor="text1"/>
          <w:sz w:val="22"/>
          <w:szCs w:val="22"/>
          <w:lang w:val="en-CA"/>
        </w:rPr>
        <w:t>, and, i</w:t>
      </w:r>
      <w:r w:rsidRPr="00A52AB8">
        <w:rPr>
          <w:rFonts w:ascii="Cambria" w:eastAsiaTheme="minorEastAsia" w:hAnsi="Cambria"/>
          <w:bCs/>
          <w:color w:val="000000" w:themeColor="text1"/>
          <w:sz w:val="22"/>
          <w:szCs w:val="22"/>
          <w:lang w:val="en-CA"/>
        </w:rPr>
        <w:t xml:space="preserve">f ath_type is equal to P_TILE, </w:t>
      </w:r>
      <w:r w:rsidR="000B4760" w:rsidRPr="00A52AB8">
        <w:rPr>
          <w:rFonts w:ascii="Cambria" w:eastAsiaTheme="minorEastAsia" w:hAnsi="Cambria"/>
          <w:bCs/>
          <w:color w:val="000000" w:themeColor="text1"/>
          <w:sz w:val="22"/>
          <w:szCs w:val="22"/>
          <w:lang w:val="en-CA"/>
        </w:rPr>
        <w:t>that</w:t>
      </w:r>
      <w:r w:rsidRPr="00A52AB8">
        <w:rPr>
          <w:rFonts w:ascii="Cambria" w:eastAsiaTheme="minorEastAsia" w:hAnsi="Cambria"/>
          <w:bCs/>
          <w:color w:val="000000" w:themeColor="text1"/>
          <w:sz w:val="22"/>
          <w:szCs w:val="22"/>
          <w:lang w:val="en-CA"/>
        </w:rPr>
        <w:t xml:space="preserve"> </w:t>
      </w:r>
      <w:r w:rsidR="000B4760" w:rsidRPr="00A52AB8">
        <w:rPr>
          <w:rFonts w:ascii="Cambria" w:eastAsiaTheme="minorEastAsia" w:hAnsi="Cambria"/>
          <w:bCs/>
          <w:color w:val="000000" w:themeColor="text1"/>
          <w:sz w:val="22"/>
          <w:szCs w:val="22"/>
          <w:lang w:val="en-CA"/>
        </w:rPr>
        <w:t xml:space="preserve">the value of </w:t>
      </w:r>
      <w:r w:rsidRPr="00A52AB8">
        <w:rPr>
          <w:rFonts w:ascii="Cambria" w:eastAsiaTheme="minorEastAsia" w:hAnsi="Cambria"/>
          <w:bCs/>
          <w:color w:val="000000" w:themeColor="text1"/>
          <w:sz w:val="22"/>
          <w:szCs w:val="22"/>
          <w:lang w:val="en-CA"/>
        </w:rPr>
        <w:t>atdu_patch_mode[ tileID ][ epdu_associated_patch_idx[ tileID ][ p ][ i ]</w:t>
      </w:r>
      <w:r w:rsidR="000B4760" w:rsidRPr="00A52AB8">
        <w:rPr>
          <w:rFonts w:ascii="Cambria" w:eastAsiaTheme="minorEastAsia" w:hAnsi="Cambria"/>
          <w:bCs/>
          <w:color w:val="000000" w:themeColor="text1"/>
          <w:sz w:val="22"/>
          <w:szCs w:val="22"/>
          <w:lang w:val="en-CA"/>
        </w:rPr>
        <w:t> </w:t>
      </w:r>
      <w:r w:rsidRPr="00A52AB8">
        <w:rPr>
          <w:rFonts w:ascii="Cambria" w:eastAsiaTheme="minorEastAsia" w:hAnsi="Cambria"/>
          <w:bCs/>
          <w:color w:val="000000" w:themeColor="text1"/>
          <w:sz w:val="22"/>
          <w:szCs w:val="22"/>
          <w:lang w:val="en-CA"/>
        </w:rPr>
        <w:t xml:space="preserve">] shall not be equal to </w:t>
      </w:r>
      <w:r w:rsidR="00632975" w:rsidRPr="00A52AB8">
        <w:rPr>
          <w:rFonts w:ascii="Cambria" w:eastAsiaTheme="minorEastAsia" w:hAnsi="Cambria"/>
          <w:bCs/>
          <w:color w:val="000000" w:themeColor="text1"/>
          <w:sz w:val="22"/>
          <w:szCs w:val="22"/>
          <w:lang w:val="en-CA"/>
        </w:rPr>
        <w:t>P_RAW or P_EOM.</w:t>
      </w:r>
    </w:p>
    <w:p w14:paraId="5E683D22" w14:textId="3B28D080" w:rsidR="0065215A" w:rsidRPr="00A52AB8" w:rsidRDefault="00506D23" w:rsidP="009173FB">
      <w:pPr>
        <w:pStyle w:val="NoSpacing"/>
        <w:spacing w:before="100" w:beforeAutospacing="1" w:after="100" w:afterAutospacing="1"/>
        <w:rPr>
          <w:rFonts w:ascii="Cambria" w:eastAsiaTheme="minorEastAsia" w:hAnsi="Cambria"/>
          <w:color w:val="000000" w:themeColor="text1"/>
          <w:sz w:val="22"/>
          <w:szCs w:val="22"/>
          <w:lang w:val="en-CA"/>
        </w:rPr>
      </w:pPr>
      <w:r w:rsidRPr="00A52AB8">
        <w:rPr>
          <w:rFonts w:ascii="Cambria" w:eastAsiaTheme="minorEastAsia" w:hAnsi="Cambria"/>
          <w:b/>
          <w:color w:val="000000" w:themeColor="text1"/>
          <w:sz w:val="22"/>
          <w:szCs w:val="22"/>
          <w:lang w:val="en-CA"/>
        </w:rPr>
        <w:t>epdu_points</w:t>
      </w:r>
      <w:r w:rsidR="00800C8C" w:rsidRPr="00A52AB8">
        <w:rPr>
          <w:rFonts w:ascii="Cambria" w:hAnsi="Cambria"/>
          <w:sz w:val="22"/>
          <w:szCs w:val="22"/>
          <w:lang w:val="en-CA" w:eastAsia="ja-JP"/>
        </w:rPr>
        <w:t>[ </w:t>
      </w:r>
      <w:r w:rsidR="00632FA7" w:rsidRPr="00A52AB8">
        <w:rPr>
          <w:rFonts w:ascii="Cambria" w:hAnsi="Cambria"/>
          <w:sz w:val="22"/>
          <w:szCs w:val="22"/>
          <w:lang w:val="en-CA" w:eastAsia="ja-JP"/>
        </w:rPr>
        <w:t>tileID</w:t>
      </w:r>
      <w:r w:rsidR="00800C8C" w:rsidRPr="00A52AB8">
        <w:rPr>
          <w:rFonts w:ascii="Cambria" w:hAnsi="Cambria"/>
          <w:sz w:val="22"/>
          <w:szCs w:val="22"/>
          <w:lang w:val="en-CA" w:eastAsia="ja-JP"/>
        </w:rPr>
        <w:t> ]</w:t>
      </w:r>
      <w:r w:rsidR="0065215A" w:rsidRPr="00A52AB8">
        <w:rPr>
          <w:rFonts w:ascii="Cambria" w:eastAsiaTheme="minorEastAsia" w:hAnsi="Cambria"/>
          <w:bCs/>
          <w:color w:val="000000" w:themeColor="text1"/>
          <w:sz w:val="22"/>
          <w:szCs w:val="22"/>
          <w:lang w:val="en-CA"/>
        </w:rPr>
        <w:t>[ </w:t>
      </w:r>
      <w:r w:rsidR="00D57A52" w:rsidRPr="00A52AB8">
        <w:rPr>
          <w:rFonts w:ascii="Cambria" w:eastAsiaTheme="minorEastAsia" w:hAnsi="Cambria"/>
          <w:bCs/>
          <w:color w:val="000000" w:themeColor="text1"/>
          <w:sz w:val="22"/>
          <w:szCs w:val="22"/>
          <w:lang w:val="en-CA"/>
        </w:rPr>
        <w:t>p</w:t>
      </w:r>
      <w:r w:rsidR="0065215A" w:rsidRPr="00A52AB8">
        <w:rPr>
          <w:rFonts w:ascii="Cambria" w:eastAsiaTheme="minorEastAsia" w:hAnsi="Cambria"/>
          <w:bCs/>
          <w:color w:val="000000" w:themeColor="text1"/>
          <w:sz w:val="22"/>
          <w:szCs w:val="22"/>
          <w:lang w:val="en-CA"/>
        </w:rPr>
        <w:t> ]</w:t>
      </w:r>
      <w:r w:rsidR="001F4484" w:rsidRPr="00A52AB8">
        <w:rPr>
          <w:rFonts w:ascii="Cambria" w:eastAsiaTheme="minorEastAsia" w:hAnsi="Cambria"/>
          <w:color w:val="000000" w:themeColor="text1"/>
          <w:sz w:val="22"/>
          <w:szCs w:val="22"/>
          <w:lang w:val="en-CA"/>
        </w:rPr>
        <w:t>[ i ]</w:t>
      </w:r>
      <w:r w:rsidRPr="00A52AB8">
        <w:rPr>
          <w:rFonts w:ascii="Cambria" w:eastAsiaTheme="minorEastAsia" w:hAnsi="Cambria"/>
          <w:color w:val="000000" w:themeColor="text1"/>
          <w:sz w:val="22"/>
          <w:szCs w:val="22"/>
          <w:lang w:val="en-CA"/>
        </w:rPr>
        <w:t xml:space="preserve"> specifies the number of </w:t>
      </w:r>
      <w:r w:rsidR="00A02E9D" w:rsidRPr="00A52AB8">
        <w:rPr>
          <w:rFonts w:ascii="Cambria" w:eastAsiaTheme="minorEastAsia" w:hAnsi="Cambria"/>
          <w:color w:val="000000" w:themeColor="text1"/>
          <w:sz w:val="22"/>
          <w:szCs w:val="22"/>
          <w:lang w:val="en-CA"/>
        </w:rPr>
        <w:t xml:space="preserve">EOM </w:t>
      </w:r>
      <w:r w:rsidR="0048108E" w:rsidRPr="00A52AB8">
        <w:rPr>
          <w:rFonts w:ascii="Cambria" w:eastAsiaTheme="minorEastAsia" w:hAnsi="Cambria"/>
          <w:color w:val="000000" w:themeColor="text1"/>
          <w:sz w:val="22"/>
          <w:szCs w:val="22"/>
          <w:lang w:val="en-CA"/>
        </w:rPr>
        <w:t xml:space="preserve">points </w:t>
      </w:r>
      <w:r w:rsidR="00A02E9D" w:rsidRPr="00A52AB8">
        <w:rPr>
          <w:rFonts w:ascii="Cambria" w:eastAsiaTheme="minorEastAsia" w:hAnsi="Cambria"/>
          <w:color w:val="000000" w:themeColor="text1"/>
          <w:sz w:val="22"/>
          <w:szCs w:val="22"/>
          <w:lang w:val="en-CA"/>
        </w:rPr>
        <w:t xml:space="preserve">associated with </w:t>
      </w:r>
      <w:r w:rsidR="0065215A" w:rsidRPr="00A52AB8">
        <w:rPr>
          <w:rFonts w:ascii="Cambria" w:eastAsiaTheme="minorEastAsia" w:hAnsi="Cambria"/>
          <w:color w:val="000000" w:themeColor="text1"/>
          <w:sz w:val="22"/>
          <w:szCs w:val="22"/>
          <w:lang w:val="en-CA"/>
        </w:rPr>
        <w:t xml:space="preserve">the </w:t>
      </w:r>
      <w:r w:rsidR="00A65905" w:rsidRPr="00A52AB8">
        <w:rPr>
          <w:rFonts w:ascii="Cambria" w:eastAsiaTheme="minorEastAsia" w:hAnsi="Cambria"/>
          <w:color w:val="000000" w:themeColor="text1"/>
          <w:sz w:val="22"/>
          <w:szCs w:val="22"/>
          <w:lang w:val="en-CA"/>
        </w:rPr>
        <w:t>i</w:t>
      </w:r>
      <w:r w:rsidR="0065215A" w:rsidRPr="00A52AB8">
        <w:rPr>
          <w:rFonts w:ascii="Cambria" w:eastAsiaTheme="minorEastAsia" w:hAnsi="Cambria"/>
          <w:color w:val="000000" w:themeColor="text1"/>
          <w:sz w:val="22"/>
          <w:szCs w:val="22"/>
          <w:lang w:val="en-CA"/>
        </w:rPr>
        <w:t xml:space="preserve">-th patch specified in the current EOM patch with index </w:t>
      </w:r>
      <w:r w:rsidR="00D57A52" w:rsidRPr="00A52AB8">
        <w:rPr>
          <w:rFonts w:ascii="Cambria" w:eastAsiaTheme="minorEastAsia" w:hAnsi="Cambria"/>
          <w:color w:val="000000" w:themeColor="text1"/>
          <w:sz w:val="22"/>
          <w:szCs w:val="22"/>
          <w:lang w:val="en-CA"/>
        </w:rPr>
        <w:t>p</w:t>
      </w:r>
      <w:r w:rsidR="009173FB" w:rsidRPr="00A52AB8">
        <w:rPr>
          <w:rFonts w:ascii="Cambria" w:eastAsiaTheme="minorEastAsia" w:hAnsi="Cambria"/>
          <w:color w:val="000000" w:themeColor="text1"/>
          <w:sz w:val="22"/>
          <w:szCs w:val="22"/>
          <w:lang w:val="en-CA"/>
        </w:rPr>
        <w:t xml:space="preserve"> in the current atlas </w:t>
      </w:r>
      <w:r w:rsidR="00B8075E" w:rsidRPr="00A52AB8">
        <w:rPr>
          <w:rFonts w:ascii="Cambria" w:eastAsiaTheme="minorEastAsia" w:hAnsi="Cambria"/>
          <w:color w:val="000000" w:themeColor="text1"/>
          <w:sz w:val="22"/>
          <w:szCs w:val="22"/>
          <w:lang w:val="en-CA"/>
        </w:rPr>
        <w:t>tile</w:t>
      </w:r>
      <w:r w:rsidR="00800C8C" w:rsidRPr="00A52AB8">
        <w:rPr>
          <w:rFonts w:ascii="Cambria" w:eastAsiaTheme="minorEastAsia" w:hAnsi="Cambria"/>
          <w:color w:val="000000" w:themeColor="text1"/>
          <w:sz w:val="22"/>
          <w:szCs w:val="22"/>
          <w:lang w:val="en-CA"/>
        </w:rPr>
        <w:t>,</w:t>
      </w:r>
      <w:r w:rsidR="003D64A5" w:rsidRPr="00A52AB8">
        <w:rPr>
          <w:rFonts w:ascii="Cambria" w:eastAsiaTheme="minorEastAsia" w:hAnsi="Cambria"/>
          <w:color w:val="000000" w:themeColor="text1"/>
          <w:sz w:val="22"/>
          <w:szCs w:val="22"/>
          <w:lang w:val="en-CA"/>
        </w:rPr>
        <w:t xml:space="preserve"> </w:t>
      </w:r>
      <w:r w:rsidR="00A41AF4" w:rsidRPr="00A52AB8">
        <w:rPr>
          <w:rFonts w:ascii="Cambria" w:eastAsiaTheme="minorEastAsia" w:hAnsi="Cambria"/>
          <w:color w:val="000000" w:themeColor="text1"/>
          <w:sz w:val="22"/>
          <w:szCs w:val="22"/>
          <w:lang w:val="en-CA"/>
        </w:rPr>
        <w:t>with tile ID equal to tileID</w:t>
      </w:r>
      <w:r w:rsidR="00800C8C" w:rsidRPr="00A52AB8">
        <w:rPr>
          <w:rFonts w:ascii="Cambria" w:eastAsiaTheme="minorEastAsia" w:hAnsi="Cambria"/>
          <w:color w:val="000000" w:themeColor="text1"/>
          <w:sz w:val="22"/>
          <w:szCs w:val="22"/>
          <w:lang w:val="en-CA"/>
        </w:rPr>
        <w:t>,</w:t>
      </w:r>
      <w:r w:rsidR="00A02E9D" w:rsidRPr="00A52AB8">
        <w:rPr>
          <w:rFonts w:ascii="Cambria" w:eastAsiaTheme="minorEastAsia" w:hAnsi="Cambria"/>
          <w:color w:val="000000" w:themeColor="text1"/>
          <w:sz w:val="22"/>
          <w:szCs w:val="22"/>
          <w:lang w:val="en-CA"/>
        </w:rPr>
        <w:t xml:space="preserve"> that contain </w:t>
      </w:r>
      <w:r w:rsidR="00155A7C" w:rsidRPr="00A52AB8">
        <w:rPr>
          <w:rFonts w:ascii="Cambria" w:eastAsiaTheme="minorEastAsia" w:hAnsi="Cambria"/>
          <w:color w:val="000000" w:themeColor="text1"/>
          <w:sz w:val="22"/>
          <w:szCs w:val="22"/>
          <w:lang w:val="en-CA"/>
        </w:rPr>
        <w:t xml:space="preserve">EOM </w:t>
      </w:r>
      <w:r w:rsidRPr="00A52AB8">
        <w:rPr>
          <w:rFonts w:ascii="Cambria" w:eastAsiaTheme="minorEastAsia" w:hAnsi="Cambria"/>
          <w:color w:val="000000" w:themeColor="text1"/>
          <w:sz w:val="22"/>
          <w:szCs w:val="22"/>
          <w:lang w:val="en-CA"/>
        </w:rPr>
        <w:t>attribute</w:t>
      </w:r>
      <w:r w:rsidR="0048108E" w:rsidRPr="00A52AB8">
        <w:rPr>
          <w:rFonts w:ascii="Cambria" w:eastAsiaTheme="minorEastAsia" w:hAnsi="Cambria"/>
          <w:color w:val="000000" w:themeColor="text1"/>
          <w:sz w:val="22"/>
          <w:szCs w:val="22"/>
          <w:lang w:val="en-CA"/>
        </w:rPr>
        <w:t>s</w:t>
      </w:r>
      <w:r w:rsidR="00A02E9D" w:rsidRPr="00A52AB8">
        <w:rPr>
          <w:rFonts w:ascii="Cambria" w:eastAsiaTheme="minorEastAsia" w:hAnsi="Cambria"/>
          <w:color w:val="000000" w:themeColor="text1"/>
          <w:sz w:val="22"/>
          <w:szCs w:val="22"/>
          <w:lang w:val="en-CA"/>
        </w:rPr>
        <w:t xml:space="preserve">. </w:t>
      </w:r>
      <w:r w:rsidR="0065215A" w:rsidRPr="00A52AB8">
        <w:rPr>
          <w:rFonts w:ascii="Cambria" w:eastAsiaTheme="minorEastAsia" w:hAnsi="Cambria"/>
          <w:color w:val="000000" w:themeColor="text1"/>
          <w:sz w:val="22"/>
          <w:szCs w:val="22"/>
          <w:lang w:val="en-CA"/>
        </w:rPr>
        <w:t>When not present epdu_points</w:t>
      </w:r>
      <w:r w:rsidR="00800C8C" w:rsidRPr="00A52AB8">
        <w:rPr>
          <w:rFonts w:ascii="Cambria" w:hAnsi="Cambria"/>
          <w:sz w:val="22"/>
          <w:szCs w:val="22"/>
          <w:lang w:val="en-CA" w:eastAsia="ja-JP"/>
        </w:rPr>
        <w:t>[ </w:t>
      </w:r>
      <w:r w:rsidR="00632FA7" w:rsidRPr="00A52AB8">
        <w:rPr>
          <w:rFonts w:ascii="Cambria" w:hAnsi="Cambria"/>
          <w:sz w:val="22"/>
          <w:szCs w:val="22"/>
          <w:lang w:val="en-CA" w:eastAsia="ja-JP"/>
        </w:rPr>
        <w:t>tileID</w:t>
      </w:r>
      <w:r w:rsidR="00800C8C" w:rsidRPr="00A52AB8">
        <w:rPr>
          <w:rFonts w:ascii="Cambria" w:hAnsi="Cambria"/>
          <w:sz w:val="22"/>
          <w:szCs w:val="22"/>
          <w:lang w:val="en-CA" w:eastAsia="ja-JP"/>
        </w:rPr>
        <w:t> ]</w:t>
      </w:r>
      <w:r w:rsidR="0065215A" w:rsidRPr="00A52AB8">
        <w:rPr>
          <w:rFonts w:ascii="Cambria" w:eastAsiaTheme="minorEastAsia" w:hAnsi="Cambria"/>
          <w:color w:val="000000" w:themeColor="text1"/>
          <w:sz w:val="22"/>
          <w:szCs w:val="22"/>
          <w:lang w:val="en-CA"/>
        </w:rPr>
        <w:t>[ </w:t>
      </w:r>
      <w:r w:rsidR="00D57A52" w:rsidRPr="00A52AB8">
        <w:rPr>
          <w:rFonts w:ascii="Cambria" w:eastAsiaTheme="minorEastAsia" w:hAnsi="Cambria"/>
          <w:color w:val="000000" w:themeColor="text1"/>
          <w:sz w:val="22"/>
          <w:szCs w:val="22"/>
          <w:lang w:val="en-CA"/>
        </w:rPr>
        <w:t>p</w:t>
      </w:r>
      <w:r w:rsidR="0065215A" w:rsidRPr="00A52AB8">
        <w:rPr>
          <w:rFonts w:ascii="Cambria" w:eastAsiaTheme="minorEastAsia" w:hAnsi="Cambria"/>
          <w:color w:val="000000" w:themeColor="text1"/>
          <w:sz w:val="22"/>
          <w:szCs w:val="22"/>
          <w:lang w:val="en-CA"/>
        </w:rPr>
        <w:t> ]</w:t>
      </w:r>
      <w:r w:rsidR="001F4484" w:rsidRPr="00A52AB8">
        <w:rPr>
          <w:rFonts w:ascii="Cambria" w:eastAsiaTheme="minorEastAsia" w:hAnsi="Cambria"/>
          <w:color w:val="000000" w:themeColor="text1"/>
          <w:sz w:val="22"/>
          <w:szCs w:val="22"/>
          <w:lang w:val="en-CA"/>
        </w:rPr>
        <w:t>[ i ]</w:t>
      </w:r>
      <w:r w:rsidR="0065215A" w:rsidRPr="00A52AB8">
        <w:rPr>
          <w:rFonts w:ascii="Cambria" w:eastAsiaTheme="minorEastAsia" w:hAnsi="Cambria"/>
          <w:color w:val="000000" w:themeColor="text1"/>
          <w:sz w:val="22"/>
          <w:szCs w:val="22"/>
          <w:lang w:val="en-CA"/>
        </w:rPr>
        <w:t xml:space="preserve"> </w:t>
      </w:r>
      <w:r w:rsidR="00D26B71" w:rsidRPr="00A52AB8">
        <w:rPr>
          <w:rFonts w:ascii="Cambria" w:eastAsiaTheme="minorEastAsia" w:hAnsi="Cambria"/>
          <w:color w:val="000000" w:themeColor="text1"/>
          <w:sz w:val="22"/>
          <w:szCs w:val="22"/>
          <w:lang w:val="en-CA"/>
        </w:rPr>
        <w:t>is</w:t>
      </w:r>
      <w:r w:rsidR="0065215A" w:rsidRPr="00A52AB8">
        <w:rPr>
          <w:rFonts w:ascii="Cambria" w:eastAsiaTheme="minorEastAsia" w:hAnsi="Cambria"/>
          <w:color w:val="000000" w:themeColor="text1"/>
          <w:sz w:val="22"/>
          <w:szCs w:val="22"/>
          <w:lang w:val="en-CA"/>
        </w:rPr>
        <w:t xml:space="preserve"> inferred to be equal to 0.</w:t>
      </w:r>
    </w:p>
    <w:p w14:paraId="5FFE2408" w14:textId="77777777" w:rsidR="00185905" w:rsidRPr="00A52AB8" w:rsidRDefault="00185905">
      <w:pPr>
        <w:pStyle w:val="Heading4"/>
      </w:pPr>
      <w:r w:rsidRPr="00A52AB8">
        <w:t xml:space="preserve">Point local reconstruction </w:t>
      </w:r>
      <w:r w:rsidR="008B400C" w:rsidRPr="00A52AB8">
        <w:t xml:space="preserve">data </w:t>
      </w:r>
      <w:r w:rsidRPr="00A52AB8">
        <w:t>semantics</w:t>
      </w:r>
    </w:p>
    <w:p w14:paraId="33B92937" w14:textId="239728C9" w:rsidR="0012237D" w:rsidRPr="00A52AB8" w:rsidRDefault="007E1198">
      <w:pPr>
        <w:rPr>
          <w:color w:val="000000" w:themeColor="text1"/>
        </w:rPr>
      </w:pPr>
      <w:r w:rsidRPr="00A52AB8">
        <w:rPr>
          <w:color w:val="000000" w:themeColor="text1"/>
        </w:rPr>
        <w:t xml:space="preserve">Let the </w:t>
      </w:r>
      <w:r w:rsidR="00FC3FDD" w:rsidRPr="00A52AB8">
        <w:rPr>
          <w:color w:val="000000" w:themeColor="text1"/>
        </w:rPr>
        <w:t xml:space="preserve">variable BSize be equal to </w:t>
      </w:r>
      <w:r w:rsidR="00FC3FDD" w:rsidRPr="00A52AB8">
        <w:t>PatchPackingBlockSize</w:t>
      </w:r>
      <w:r w:rsidR="00FC3FDD" w:rsidRPr="00A52AB8">
        <w:rPr>
          <w:color w:val="000000" w:themeColor="text1"/>
        </w:rPr>
        <w:t xml:space="preserve">. Then the </w:t>
      </w:r>
      <w:r w:rsidRPr="00A52AB8">
        <w:rPr>
          <w:color w:val="000000" w:themeColor="text1"/>
        </w:rPr>
        <w:t>function BlockCnt( </w:t>
      </w:r>
      <w:r w:rsidR="0026540C" w:rsidRPr="00A52AB8">
        <w:rPr>
          <w:color w:val="000000" w:themeColor="text1"/>
        </w:rPr>
        <w:t>xSize</w:t>
      </w:r>
      <w:r w:rsidRPr="00A52AB8">
        <w:rPr>
          <w:color w:val="000000" w:themeColor="text1"/>
        </w:rPr>
        <w:t>, </w:t>
      </w:r>
      <w:r w:rsidR="0026540C" w:rsidRPr="00A52AB8">
        <w:rPr>
          <w:color w:val="000000" w:themeColor="text1"/>
        </w:rPr>
        <w:t>ySize</w:t>
      </w:r>
      <w:r w:rsidRPr="00A52AB8">
        <w:rPr>
          <w:color w:val="000000" w:themeColor="text1"/>
        </w:rPr>
        <w:t> )</w:t>
      </w:r>
      <w:r w:rsidR="001E1ED6" w:rsidRPr="00A52AB8">
        <w:rPr>
          <w:color w:val="000000" w:themeColor="text1"/>
        </w:rPr>
        <w:t xml:space="preserve"> </w:t>
      </w:r>
      <w:r w:rsidR="00FC3FDD" w:rsidRPr="00A52AB8">
        <w:rPr>
          <w:color w:val="000000" w:themeColor="text1"/>
        </w:rPr>
        <w:t>is</w:t>
      </w:r>
      <w:r w:rsidRPr="00A52AB8">
        <w:rPr>
          <w:color w:val="000000" w:themeColor="text1"/>
        </w:rPr>
        <w:t xml:space="preserve"> defined</w:t>
      </w:r>
      <w:r w:rsidR="00944B34" w:rsidRPr="00A52AB8">
        <w:rPr>
          <w:color w:val="000000" w:themeColor="text1"/>
        </w:rPr>
        <w:t xml:space="preserve"> </w:t>
      </w:r>
      <w:r w:rsidR="001E1ED6" w:rsidRPr="00A52AB8">
        <w:rPr>
          <w:color w:val="000000" w:themeColor="text1"/>
        </w:rPr>
        <w:t>as follows</w:t>
      </w:r>
      <w:r w:rsidR="00252572" w:rsidRPr="00A52AB8">
        <w:rPr>
          <w:color w:val="000000" w:themeColor="text1"/>
        </w:rPr>
        <w:t>:</w:t>
      </w:r>
    </w:p>
    <w:p w14:paraId="75F2037B" w14:textId="3D7368AB" w:rsidR="0029742D" w:rsidRPr="00A52AB8" w:rsidRDefault="00B033BB" w:rsidP="00A252B5">
      <w:r w:rsidRPr="00A52AB8">
        <w:tab/>
      </w:r>
      <w:r w:rsidR="0056040E" w:rsidRPr="00A52AB8">
        <w:t>BlockC</w:t>
      </w:r>
      <w:r w:rsidR="0029742D" w:rsidRPr="00A52AB8">
        <w:t>nt</w:t>
      </w:r>
      <w:r w:rsidR="007E1198" w:rsidRPr="00A52AB8">
        <w:t>(</w:t>
      </w:r>
      <w:r w:rsidR="00D2577A" w:rsidRPr="00A52AB8">
        <w:t> </w:t>
      </w:r>
      <w:r w:rsidR="0026540C" w:rsidRPr="00A52AB8">
        <w:rPr>
          <w:color w:val="000000" w:themeColor="text1"/>
        </w:rPr>
        <w:t>xSize</w:t>
      </w:r>
      <w:r w:rsidR="007E1198" w:rsidRPr="00A52AB8">
        <w:rPr>
          <w:color w:val="000000" w:themeColor="text1"/>
        </w:rPr>
        <w:t>, </w:t>
      </w:r>
      <w:r w:rsidR="0026540C" w:rsidRPr="00A52AB8">
        <w:rPr>
          <w:color w:val="000000" w:themeColor="text1"/>
        </w:rPr>
        <w:t>ySize</w:t>
      </w:r>
      <w:r w:rsidR="00FC3FDD" w:rsidRPr="00A52AB8">
        <w:rPr>
          <w:color w:val="000000" w:themeColor="text1"/>
        </w:rPr>
        <w:t> </w:t>
      </w:r>
      <w:r w:rsidR="007E1198" w:rsidRPr="00A52AB8">
        <w:t>)</w:t>
      </w:r>
      <w:r w:rsidR="00D47707" w:rsidRPr="00A52AB8">
        <w:t> = </w:t>
      </w:r>
      <w:r w:rsidR="0026540C" w:rsidRPr="00A52AB8">
        <w:t>( </w:t>
      </w:r>
      <w:r w:rsidR="00813C81" w:rsidRPr="00A52AB8">
        <w:t>( </w:t>
      </w:r>
      <w:r w:rsidR="0026540C" w:rsidRPr="00A52AB8">
        <w:rPr>
          <w:color w:val="000000" w:themeColor="text1"/>
        </w:rPr>
        <w:t>xSize</w:t>
      </w:r>
      <w:r w:rsidR="0026540C" w:rsidRPr="00A52AB8">
        <w:t> + </w:t>
      </w:r>
      <w:r w:rsidR="00FC3FDD" w:rsidRPr="00A52AB8">
        <w:t>B</w:t>
      </w:r>
      <w:r w:rsidR="0026540C" w:rsidRPr="00A52AB8">
        <w:t>Size – 1 )</w:t>
      </w:r>
      <w:r w:rsidR="001F3C1E" w:rsidRPr="00A52AB8">
        <w:t> </w:t>
      </w:r>
      <w:r w:rsidR="006E3E92" w:rsidRPr="00A52AB8">
        <w:t>/ </w:t>
      </w:r>
      <w:r w:rsidR="00FC3FDD" w:rsidRPr="00A52AB8">
        <w:t>B</w:t>
      </w:r>
      <w:r w:rsidR="006E3E92" w:rsidRPr="00A52AB8">
        <w:t>Size</w:t>
      </w:r>
      <w:r w:rsidR="00813C81" w:rsidRPr="00A52AB8">
        <w:t> )</w:t>
      </w:r>
      <w:r w:rsidR="0069332F" w:rsidRPr="00A52AB8">
        <w:t> *</w:t>
      </w:r>
      <w:r w:rsidR="007E1198" w:rsidRPr="00A52AB8">
        <w:t> </w:t>
      </w:r>
      <w:r w:rsidR="0026540C" w:rsidRPr="00A52AB8">
        <w:t>( ( </w:t>
      </w:r>
      <w:r w:rsidR="0026540C" w:rsidRPr="00A52AB8">
        <w:rPr>
          <w:color w:val="000000" w:themeColor="text1"/>
        </w:rPr>
        <w:t>ySize</w:t>
      </w:r>
      <w:r w:rsidR="0026540C" w:rsidRPr="00A52AB8">
        <w:t> + </w:t>
      </w:r>
      <w:r w:rsidR="00FC3FDD" w:rsidRPr="00A52AB8">
        <w:t>B</w:t>
      </w:r>
      <w:r w:rsidR="0026540C" w:rsidRPr="00A52AB8">
        <w:t>Size – 1 ) / </w:t>
      </w:r>
      <w:r w:rsidR="00FC3FDD" w:rsidRPr="00A52AB8">
        <w:t>B</w:t>
      </w:r>
      <w:r w:rsidR="0026540C" w:rsidRPr="00A52AB8">
        <w:t>Size )</w:t>
      </w:r>
      <w:r w:rsidR="0069332F" w:rsidRPr="00A52AB8">
        <w:tab/>
        <w:t>(</w:t>
      </w:r>
      <w:r w:rsidR="0069332F" w:rsidRPr="00496A4D">
        <w:fldChar w:fldCharType="begin"/>
      </w:r>
      <w:r w:rsidR="0069332F" w:rsidRPr="00A52AB8">
        <w:instrText xml:space="preserve"> SEQ Equation \* ARABIC \n </w:instrText>
      </w:r>
      <w:r w:rsidR="0069332F" w:rsidRPr="00496A4D">
        <w:fldChar w:fldCharType="separate"/>
      </w:r>
      <w:r w:rsidR="00507A67">
        <w:rPr>
          <w:noProof/>
        </w:rPr>
        <w:t>37</w:t>
      </w:r>
      <w:r w:rsidR="0069332F" w:rsidRPr="00496A4D">
        <w:fldChar w:fldCharType="end"/>
      </w:r>
      <w:r w:rsidR="0069332F" w:rsidRPr="00A52AB8">
        <w:t>)</w:t>
      </w:r>
    </w:p>
    <w:p w14:paraId="607C7E3E" w14:textId="5D0A3BC2" w:rsidR="0026540C" w:rsidRPr="00A52AB8" w:rsidRDefault="0026540C" w:rsidP="00A252B5">
      <w:r w:rsidRPr="00A52AB8">
        <w:t>This function can be used to determine the number of blocks of size PatchPackingBlockSize</w:t>
      </w:r>
      <w:r w:rsidR="004E262D" w:rsidRPr="00A52AB8">
        <w:t> </w:t>
      </w:r>
      <w:r w:rsidR="00F332A1" w:rsidRPr="00A52AB8">
        <w:t>×</w:t>
      </w:r>
      <w:r w:rsidR="004E262D" w:rsidRPr="00A52AB8">
        <w:t> </w:t>
      </w:r>
      <w:r w:rsidR="00FC3FDD" w:rsidRPr="00A52AB8">
        <w:t xml:space="preserve">PatchPackingBlockSize </w:t>
      </w:r>
      <w:r w:rsidRPr="00A52AB8">
        <w:t xml:space="preserve">that are </w:t>
      </w:r>
      <w:r w:rsidR="00FC3FDD" w:rsidRPr="00A52AB8">
        <w:t>associated with a patch. For example, for a patch p of size TilePatch2dSizeX[ tileID ][ p ]</w:t>
      </w:r>
      <w:r w:rsidR="00CC6DA9" w:rsidRPr="00A52AB8">
        <w:t> </w:t>
      </w:r>
      <w:r w:rsidR="00FC3FDD" w:rsidRPr="00A52AB8">
        <w:t>×</w:t>
      </w:r>
      <w:r w:rsidR="004E262D" w:rsidRPr="00A52AB8">
        <w:t> </w:t>
      </w:r>
      <w:r w:rsidR="00FC3FDD" w:rsidRPr="00A52AB8">
        <w:t>TilePatch2dSizeY[ tileID ][ p ], the number of blocks is equal to BlockCnt( </w:t>
      </w:r>
      <w:r w:rsidR="005B28E4" w:rsidRPr="00A52AB8">
        <w:t>TilePatch2dSizeX[ tileID ][ p ], TilePatch2dSizeY[ tileID ][ p ] ).</w:t>
      </w:r>
    </w:p>
    <w:p w14:paraId="1D2CA63F" w14:textId="3783C330" w:rsidR="00101A84" w:rsidRPr="00A52AB8" w:rsidRDefault="00101A84" w:rsidP="000F288B">
      <w:pPr>
        <w:pStyle w:val="Note1"/>
        <w:rPr>
          <w:rFonts w:ascii="Cambria" w:hAnsi="Cambria"/>
        </w:rPr>
      </w:pPr>
      <w:r w:rsidRPr="00A52AB8">
        <w:rPr>
          <w:rFonts w:ascii="Cambria" w:hAnsi="Cambria"/>
        </w:rPr>
        <w:t>N</w:t>
      </w:r>
      <w:r w:rsidR="00BC6302" w:rsidRPr="00A52AB8">
        <w:rPr>
          <w:rFonts w:ascii="Cambria" w:hAnsi="Cambria"/>
        </w:rPr>
        <w:t>OTE</w:t>
      </w:r>
      <w:r w:rsidR="00894513" w:rsidRPr="00A52AB8">
        <w:rPr>
          <w:rFonts w:ascii="Cambria" w:hAnsi="Cambria"/>
        </w:rPr>
        <w:t> </w:t>
      </w:r>
      <w:r w:rsidR="00431FBF" w:rsidRPr="00496A4D">
        <w:rPr>
          <w:rFonts w:ascii="Cambria" w:hAnsi="Cambria"/>
        </w:rPr>
        <w:fldChar w:fldCharType="begin"/>
      </w:r>
      <w:r w:rsidR="00431FBF" w:rsidRPr="00A52AB8">
        <w:rPr>
          <w:rFonts w:ascii="Cambria" w:hAnsi="Cambria"/>
        </w:rPr>
        <w:instrText xml:space="preserve"> SEQ NoteCounter \s 9 \* MERGEFORMAT </w:instrText>
      </w:r>
      <w:r w:rsidR="00431FBF" w:rsidRPr="00496A4D">
        <w:rPr>
          <w:rFonts w:ascii="Cambria" w:hAnsi="Cambria"/>
        </w:rPr>
        <w:fldChar w:fldCharType="separate"/>
      </w:r>
      <w:r w:rsidR="00507A67">
        <w:rPr>
          <w:rFonts w:ascii="Cambria" w:hAnsi="Cambria"/>
          <w:noProof/>
        </w:rPr>
        <w:t>1</w:t>
      </w:r>
      <w:r w:rsidR="00431FBF" w:rsidRPr="00496A4D">
        <w:rPr>
          <w:rFonts w:ascii="Cambria" w:hAnsi="Cambria"/>
        </w:rPr>
        <w:fldChar w:fldCharType="end"/>
      </w:r>
      <w:r w:rsidR="00431FBF" w:rsidRPr="00A52AB8">
        <w:rPr>
          <w:rFonts w:ascii="Cambria" w:hAnsi="Cambria"/>
        </w:rPr>
        <w:t> </w:t>
      </w:r>
      <w:r w:rsidRPr="00A52AB8">
        <w:rPr>
          <w:rFonts w:ascii="Cambria" w:hAnsi="Cambria"/>
        </w:rPr>
        <w:t>–</w:t>
      </w:r>
      <w:r w:rsidR="00894513" w:rsidRPr="00A52AB8">
        <w:rPr>
          <w:rFonts w:ascii="Cambria" w:hAnsi="Cambria"/>
        </w:rPr>
        <w:t> </w:t>
      </w:r>
      <w:r w:rsidRPr="00A52AB8">
        <w:rPr>
          <w:rFonts w:ascii="Cambria" w:hAnsi="Cambria"/>
        </w:rPr>
        <w:t>In order to parse point local reconstruction data</w:t>
      </w:r>
      <w:r w:rsidR="00104462" w:rsidRPr="00A52AB8">
        <w:rPr>
          <w:rFonts w:ascii="Cambria" w:hAnsi="Cambria"/>
        </w:rPr>
        <w:t>,</w:t>
      </w:r>
      <w:r w:rsidRPr="00A52AB8">
        <w:rPr>
          <w:rFonts w:ascii="Cambria" w:hAnsi="Cambria"/>
        </w:rPr>
        <w:t xml:space="preserve"> </w:t>
      </w:r>
      <w:r w:rsidR="00894513" w:rsidRPr="00A52AB8">
        <w:rPr>
          <w:rFonts w:ascii="Cambria" w:hAnsi="Cambria"/>
        </w:rPr>
        <w:t xml:space="preserve">the TilePatch2dSizeX[ tileID ][ p ] and TilePatch2dSizeY[ tileID ][ p ] </w:t>
      </w:r>
      <w:r w:rsidR="009B356D" w:rsidRPr="00A52AB8">
        <w:rPr>
          <w:rFonts w:ascii="Cambria" w:hAnsi="Cambria"/>
        </w:rPr>
        <w:t xml:space="preserve">information </w:t>
      </w:r>
      <w:r w:rsidR="00894513" w:rsidRPr="00A52AB8">
        <w:rPr>
          <w:rFonts w:ascii="Cambria" w:hAnsi="Cambria"/>
        </w:rPr>
        <w:t>need</w:t>
      </w:r>
      <w:r w:rsidR="00956957" w:rsidRPr="00A52AB8">
        <w:rPr>
          <w:rFonts w:ascii="Cambria" w:hAnsi="Cambria"/>
        </w:rPr>
        <w:t>s</w:t>
      </w:r>
      <w:r w:rsidR="00894513" w:rsidRPr="00A52AB8">
        <w:rPr>
          <w:rFonts w:ascii="Cambria" w:hAnsi="Cambria"/>
        </w:rPr>
        <w:t xml:space="preserve"> to be </w:t>
      </w:r>
      <w:r w:rsidR="000D73EC" w:rsidRPr="00A52AB8">
        <w:rPr>
          <w:rFonts w:ascii="Cambria" w:hAnsi="Cambria"/>
        </w:rPr>
        <w:t xml:space="preserve">previously </w:t>
      </w:r>
      <w:r w:rsidR="00894513" w:rsidRPr="00A52AB8">
        <w:rPr>
          <w:rFonts w:ascii="Cambria" w:hAnsi="Cambria"/>
        </w:rPr>
        <w:t>derived.</w:t>
      </w:r>
    </w:p>
    <w:p w14:paraId="6D547817" w14:textId="643D8502" w:rsidR="0050235C" w:rsidRPr="00A52AB8" w:rsidRDefault="008B400C">
      <w:pPr>
        <w:rPr>
          <w:color w:val="000000" w:themeColor="text1"/>
        </w:rPr>
      </w:pPr>
      <w:r w:rsidRPr="00A52AB8">
        <w:rPr>
          <w:b/>
          <w:color w:val="000000" w:themeColor="text1"/>
        </w:rPr>
        <w:t>plrd_level</w:t>
      </w:r>
      <w:r w:rsidR="009B356D" w:rsidRPr="00A52AB8">
        <w:rPr>
          <w:bCs/>
          <w:color w:val="000000" w:themeColor="text1"/>
        </w:rPr>
        <w:t>[ tileID ][ p ][ mapIdx ]</w:t>
      </w:r>
      <w:r w:rsidRPr="00A52AB8">
        <w:rPr>
          <w:color w:val="000000" w:themeColor="text1"/>
        </w:rPr>
        <w:t xml:space="preserve"> </w:t>
      </w:r>
      <w:r w:rsidR="00E677A5" w:rsidRPr="00A52AB8">
        <w:rPr>
          <w:color w:val="000000" w:themeColor="text1"/>
        </w:rPr>
        <w:t>indicates the level at which point local reconstruction data, when enabled, is present in the bitstream</w:t>
      </w:r>
      <w:r w:rsidR="00A712CC" w:rsidRPr="00A52AB8">
        <w:rPr>
          <w:color w:val="000000" w:themeColor="text1"/>
        </w:rPr>
        <w:t xml:space="preserve"> for a map, </w:t>
      </w:r>
      <w:r w:rsidR="006A17DF" w:rsidRPr="00A52AB8">
        <w:rPr>
          <w:color w:val="000000" w:themeColor="text1"/>
        </w:rPr>
        <w:t xml:space="preserve">with index </w:t>
      </w:r>
      <w:r w:rsidR="00A712CC" w:rsidRPr="00A52AB8">
        <w:rPr>
          <w:color w:val="000000" w:themeColor="text1"/>
        </w:rPr>
        <w:t>mapIdx, associated with the current patch with index p</w:t>
      </w:r>
      <w:r w:rsidR="00E677A5" w:rsidRPr="00A52AB8">
        <w:rPr>
          <w:color w:val="000000" w:themeColor="text1"/>
        </w:rPr>
        <w:t>.</w:t>
      </w:r>
      <w:r w:rsidR="00A712CC" w:rsidRPr="00A52AB8">
        <w:rPr>
          <w:color w:val="000000" w:themeColor="text1"/>
        </w:rPr>
        <w:t xml:space="preserve"> in the current atlas tile, with tile ID equal to tileID. </w:t>
      </w:r>
      <w:r w:rsidR="00E677A5" w:rsidRPr="00A52AB8">
        <w:rPr>
          <w:color w:val="000000" w:themeColor="text1"/>
        </w:rPr>
        <w:t>When plrd_level</w:t>
      </w:r>
      <w:r w:rsidR="00E677A5" w:rsidRPr="00A52AB8">
        <w:rPr>
          <w:bCs/>
          <w:color w:val="000000" w:themeColor="text1"/>
        </w:rPr>
        <w:t>[ tileID ][ p ][ mapIdx ]</w:t>
      </w:r>
      <w:r w:rsidR="00E677A5" w:rsidRPr="00A52AB8">
        <w:rPr>
          <w:color w:val="000000" w:themeColor="text1"/>
        </w:rPr>
        <w:t xml:space="preserve"> is </w:t>
      </w:r>
      <w:r w:rsidRPr="00A52AB8">
        <w:rPr>
          <w:color w:val="000000" w:themeColor="text1"/>
        </w:rPr>
        <w:t xml:space="preserve">equal to 0 </w:t>
      </w:r>
      <w:r w:rsidR="001931DB" w:rsidRPr="00A52AB8">
        <w:rPr>
          <w:color w:val="000000" w:themeColor="text1"/>
        </w:rPr>
        <w:t xml:space="preserve">this syntax element </w:t>
      </w:r>
      <w:r w:rsidRPr="00A52AB8">
        <w:rPr>
          <w:color w:val="000000" w:themeColor="text1"/>
        </w:rPr>
        <w:t>indicates that point local reconstruction data</w:t>
      </w:r>
      <w:r w:rsidR="00A712CC" w:rsidRPr="00A52AB8">
        <w:rPr>
          <w:color w:val="000000" w:themeColor="text1"/>
        </w:rPr>
        <w:t xml:space="preserve"> and the syntax elements plrd_present_block_flag</w:t>
      </w:r>
      <w:r w:rsidR="00A712CC" w:rsidRPr="00A52AB8">
        <w:rPr>
          <w:bCs/>
          <w:color w:val="000000" w:themeColor="text1"/>
        </w:rPr>
        <w:t>[ tileID ][ p ][ mapIdx ]</w:t>
      </w:r>
      <w:r w:rsidR="00A712CC" w:rsidRPr="00A52AB8">
        <w:rPr>
          <w:color w:val="000000" w:themeColor="text1"/>
        </w:rPr>
        <w:t>[ i ]</w:t>
      </w:r>
      <w:r w:rsidR="00816339" w:rsidRPr="00A52AB8">
        <w:rPr>
          <w:color w:val="000000" w:themeColor="text1"/>
        </w:rPr>
        <w:t xml:space="preserve"> </w:t>
      </w:r>
      <w:r w:rsidR="00A712CC" w:rsidRPr="00A52AB8">
        <w:rPr>
          <w:color w:val="000000" w:themeColor="text1"/>
        </w:rPr>
        <w:t>and plrd_block_mode_minus1</w:t>
      </w:r>
      <w:r w:rsidR="00A712CC" w:rsidRPr="00A52AB8">
        <w:rPr>
          <w:bCs/>
          <w:color w:val="000000" w:themeColor="text1"/>
        </w:rPr>
        <w:t>[ tileID ][ p ][ mapIdx ]</w:t>
      </w:r>
      <w:r w:rsidR="00A712CC" w:rsidRPr="00A52AB8">
        <w:rPr>
          <w:color w:val="000000" w:themeColor="text1"/>
        </w:rPr>
        <w:t>[ i ] are</w:t>
      </w:r>
      <w:r w:rsidR="0017327E" w:rsidRPr="00A52AB8">
        <w:rPr>
          <w:color w:val="000000" w:themeColor="text1"/>
        </w:rPr>
        <w:t xml:space="preserve"> present in the bitstream </w:t>
      </w:r>
      <w:r w:rsidRPr="00A52AB8">
        <w:rPr>
          <w:color w:val="000000" w:themeColor="text1"/>
        </w:rPr>
        <w:t xml:space="preserve">for each block </w:t>
      </w:r>
      <w:r w:rsidR="00F445A9" w:rsidRPr="00A52AB8">
        <w:rPr>
          <w:color w:val="000000" w:themeColor="text1"/>
        </w:rPr>
        <w:t>of the map</w:t>
      </w:r>
      <w:r w:rsidR="00A712CC" w:rsidRPr="00A52AB8">
        <w:rPr>
          <w:color w:val="000000" w:themeColor="text1"/>
        </w:rPr>
        <w:t xml:space="preserve">. </w:t>
      </w:r>
      <w:r w:rsidR="001931DB" w:rsidRPr="00A52AB8">
        <w:rPr>
          <w:color w:val="000000" w:themeColor="text1"/>
        </w:rPr>
        <w:t xml:space="preserve">When </w:t>
      </w:r>
      <w:r w:rsidR="00A712CC" w:rsidRPr="00A52AB8">
        <w:rPr>
          <w:color w:val="000000" w:themeColor="text1"/>
        </w:rPr>
        <w:t>plrd_le</w:t>
      </w:r>
      <w:r w:rsidRPr="00A52AB8">
        <w:rPr>
          <w:color w:val="000000" w:themeColor="text1"/>
        </w:rPr>
        <w:t>vel</w:t>
      </w:r>
      <w:r w:rsidR="009B356D" w:rsidRPr="00A52AB8">
        <w:rPr>
          <w:bCs/>
          <w:color w:val="000000" w:themeColor="text1"/>
        </w:rPr>
        <w:t>[ tileID ][ p ][ mapIdx ]</w:t>
      </w:r>
      <w:r w:rsidRPr="00A52AB8">
        <w:rPr>
          <w:color w:val="000000" w:themeColor="text1"/>
        </w:rPr>
        <w:t xml:space="preserve"> </w:t>
      </w:r>
      <w:r w:rsidR="001931DB" w:rsidRPr="00A52AB8">
        <w:rPr>
          <w:color w:val="000000" w:themeColor="text1"/>
        </w:rPr>
        <w:t xml:space="preserve">is </w:t>
      </w:r>
      <w:r w:rsidRPr="00A52AB8">
        <w:rPr>
          <w:color w:val="000000" w:themeColor="text1"/>
        </w:rPr>
        <w:t>equal to 1</w:t>
      </w:r>
      <w:r w:rsidR="001931DB" w:rsidRPr="00A52AB8">
        <w:rPr>
          <w:color w:val="000000" w:themeColor="text1"/>
        </w:rPr>
        <w:t>, this syntax element</w:t>
      </w:r>
      <w:r w:rsidRPr="00A52AB8">
        <w:rPr>
          <w:color w:val="000000" w:themeColor="text1"/>
        </w:rPr>
        <w:t xml:space="preserve"> indicates that point local reconstruction data </w:t>
      </w:r>
      <w:r w:rsidR="001931DB" w:rsidRPr="00A52AB8">
        <w:rPr>
          <w:color w:val="000000" w:themeColor="text1"/>
        </w:rPr>
        <w:t>and the syntax elements plrd_present_flag</w:t>
      </w:r>
      <w:r w:rsidR="001931DB" w:rsidRPr="00A52AB8">
        <w:rPr>
          <w:bCs/>
          <w:color w:val="000000" w:themeColor="text1"/>
        </w:rPr>
        <w:t>[ tileID ][ p ][ mapIdx ]</w:t>
      </w:r>
      <w:r w:rsidR="001931DB" w:rsidRPr="00A52AB8">
        <w:rPr>
          <w:color w:val="000000" w:themeColor="text1"/>
        </w:rPr>
        <w:t xml:space="preserve"> and plrd_mode_minus1</w:t>
      </w:r>
      <w:r w:rsidR="001931DB" w:rsidRPr="00A52AB8">
        <w:rPr>
          <w:bCs/>
          <w:color w:val="000000" w:themeColor="text1"/>
        </w:rPr>
        <w:t>[ tileID ][ p ][ mapIdx ]</w:t>
      </w:r>
      <w:r w:rsidR="001931DB" w:rsidRPr="00A52AB8">
        <w:rPr>
          <w:color w:val="000000" w:themeColor="text1"/>
        </w:rPr>
        <w:t xml:space="preserve"> are</w:t>
      </w:r>
      <w:r w:rsidRPr="00A52AB8">
        <w:rPr>
          <w:color w:val="000000" w:themeColor="text1"/>
        </w:rPr>
        <w:t xml:space="preserve"> </w:t>
      </w:r>
      <w:r w:rsidR="00F70614" w:rsidRPr="00A52AB8">
        <w:rPr>
          <w:color w:val="000000" w:themeColor="text1"/>
        </w:rPr>
        <w:t xml:space="preserve">present in the bitstream </w:t>
      </w:r>
      <w:r w:rsidRPr="00A52AB8">
        <w:rPr>
          <w:color w:val="000000" w:themeColor="text1"/>
        </w:rPr>
        <w:t>for the entire</w:t>
      </w:r>
      <w:r w:rsidR="00F445A9" w:rsidRPr="00A52AB8">
        <w:rPr>
          <w:color w:val="000000" w:themeColor="text1"/>
        </w:rPr>
        <w:t xml:space="preserve"> map</w:t>
      </w:r>
      <w:r w:rsidR="001931DB" w:rsidRPr="00A52AB8">
        <w:rPr>
          <w:color w:val="000000" w:themeColor="text1"/>
        </w:rPr>
        <w:t>,</w:t>
      </w:r>
      <w:r w:rsidR="00F445A9" w:rsidRPr="00A52AB8">
        <w:rPr>
          <w:color w:val="000000" w:themeColor="text1"/>
        </w:rPr>
        <w:t xml:space="preserve"> </w:t>
      </w:r>
      <w:r w:rsidR="006A17DF" w:rsidRPr="00A52AB8">
        <w:rPr>
          <w:color w:val="000000" w:themeColor="text1"/>
        </w:rPr>
        <w:t xml:space="preserve">with index </w:t>
      </w:r>
      <w:r w:rsidR="00F445A9" w:rsidRPr="00A52AB8">
        <w:rPr>
          <w:color w:val="000000" w:themeColor="text1"/>
        </w:rPr>
        <w:t>mapIdx</w:t>
      </w:r>
      <w:r w:rsidR="001931DB" w:rsidRPr="00A52AB8">
        <w:rPr>
          <w:color w:val="000000" w:themeColor="text1"/>
        </w:rPr>
        <w:t>,</w:t>
      </w:r>
      <w:r w:rsidR="00F445A9" w:rsidRPr="00A52AB8">
        <w:rPr>
          <w:color w:val="000000" w:themeColor="text1"/>
        </w:rPr>
        <w:t xml:space="preserve"> of the</w:t>
      </w:r>
      <w:r w:rsidRPr="00A52AB8">
        <w:rPr>
          <w:color w:val="000000" w:themeColor="text1"/>
        </w:rPr>
        <w:t xml:space="preserve"> patch</w:t>
      </w:r>
      <w:r w:rsidR="00F70614" w:rsidRPr="00A52AB8">
        <w:rPr>
          <w:color w:val="000000" w:themeColor="text1"/>
        </w:rPr>
        <w:t xml:space="preserve"> </w:t>
      </w:r>
      <w:r w:rsidR="005212DC" w:rsidRPr="00A52AB8">
        <w:rPr>
          <w:color w:val="000000" w:themeColor="text1"/>
        </w:rPr>
        <w:t>p</w:t>
      </w:r>
      <w:r w:rsidR="00F70614" w:rsidRPr="00A52AB8">
        <w:rPr>
          <w:color w:val="000000" w:themeColor="text1"/>
        </w:rPr>
        <w:t xml:space="preserve"> in the current atlas </w:t>
      </w:r>
      <w:r w:rsidR="00B8075E" w:rsidRPr="00A52AB8">
        <w:rPr>
          <w:color w:val="000000" w:themeColor="text1"/>
        </w:rPr>
        <w:t>tile</w:t>
      </w:r>
      <w:r w:rsidR="001931DB" w:rsidRPr="00A52AB8">
        <w:rPr>
          <w:color w:val="000000" w:themeColor="text1"/>
        </w:rPr>
        <w:t xml:space="preserve"> </w:t>
      </w:r>
      <w:r w:rsidR="00A712CC" w:rsidRPr="00A52AB8">
        <w:rPr>
          <w:color w:val="000000" w:themeColor="text1"/>
        </w:rPr>
        <w:t xml:space="preserve">with tile </w:t>
      </w:r>
      <w:r w:rsidR="007812ED" w:rsidRPr="00A52AB8">
        <w:rPr>
          <w:color w:val="000000" w:themeColor="text1"/>
        </w:rPr>
        <w:t xml:space="preserve">ID </w:t>
      </w:r>
      <w:r w:rsidR="00A712CC" w:rsidRPr="00A52AB8">
        <w:rPr>
          <w:color w:val="000000" w:themeColor="text1"/>
        </w:rPr>
        <w:t xml:space="preserve">equal to </w:t>
      </w:r>
      <w:r w:rsidR="00632FA7" w:rsidRPr="00A52AB8">
        <w:rPr>
          <w:color w:val="000000" w:themeColor="text1"/>
        </w:rPr>
        <w:t>tileID</w:t>
      </w:r>
      <w:r w:rsidR="001931DB" w:rsidRPr="00A52AB8">
        <w:rPr>
          <w:color w:val="000000" w:themeColor="text1"/>
        </w:rPr>
        <w:t>. I</w:t>
      </w:r>
      <w:r w:rsidRPr="00A52AB8">
        <w:rPr>
          <w:color w:val="000000" w:themeColor="text1"/>
        </w:rPr>
        <w:t xml:space="preserve">n this case, all blocks of the </w:t>
      </w:r>
      <w:r w:rsidR="00F445A9" w:rsidRPr="00A52AB8">
        <w:rPr>
          <w:color w:val="000000" w:themeColor="text1"/>
        </w:rPr>
        <w:t xml:space="preserve">map </w:t>
      </w:r>
      <w:r w:rsidR="00513366" w:rsidRPr="00A52AB8">
        <w:rPr>
          <w:color w:val="000000" w:themeColor="text1"/>
        </w:rPr>
        <w:t xml:space="preserve">mapIdx </w:t>
      </w:r>
      <w:r w:rsidRPr="00A52AB8">
        <w:rPr>
          <w:color w:val="000000" w:themeColor="text1"/>
        </w:rPr>
        <w:t>shall use the same point local reconstruction data.</w:t>
      </w:r>
    </w:p>
    <w:p w14:paraId="18F84F7B" w14:textId="77777777" w:rsidR="0050235C" w:rsidRPr="00A52AB8" w:rsidRDefault="008B400C">
      <w:pPr>
        <w:rPr>
          <w:color w:val="000000" w:themeColor="text1"/>
        </w:rPr>
      </w:pPr>
      <w:r w:rsidRPr="00A52AB8">
        <w:rPr>
          <w:b/>
          <w:color w:val="000000" w:themeColor="text1"/>
        </w:rPr>
        <w:t>plrd_present_block_flag</w:t>
      </w:r>
      <w:r w:rsidR="009B356D" w:rsidRPr="00A52AB8">
        <w:rPr>
          <w:bCs/>
          <w:color w:val="000000" w:themeColor="text1"/>
        </w:rPr>
        <w:t>[ tileID ][ p ][ mapIdx ]</w:t>
      </w:r>
      <w:r w:rsidR="001F4484" w:rsidRPr="00A52AB8">
        <w:rPr>
          <w:color w:val="000000" w:themeColor="text1"/>
        </w:rPr>
        <w:t>[ i ]</w:t>
      </w:r>
      <w:r w:rsidRPr="00A52AB8">
        <w:rPr>
          <w:color w:val="000000" w:themeColor="text1"/>
        </w:rPr>
        <w:t xml:space="preserve"> equal to 1 indicates that </w:t>
      </w:r>
      <w:r w:rsidR="00061D25" w:rsidRPr="00A52AB8">
        <w:rPr>
          <w:color w:val="000000" w:themeColor="text1"/>
        </w:rPr>
        <w:t>the</w:t>
      </w:r>
      <w:r w:rsidRPr="00A52AB8">
        <w:rPr>
          <w:color w:val="000000" w:themeColor="text1"/>
        </w:rPr>
        <w:t xml:space="preserve"> </w:t>
      </w:r>
      <w:r w:rsidR="00061D25" w:rsidRPr="00A52AB8">
        <w:rPr>
          <w:color w:val="000000" w:themeColor="text1"/>
        </w:rPr>
        <w:t>syntax element</w:t>
      </w:r>
      <w:r w:rsidR="008C4C47" w:rsidRPr="00A52AB8">
        <w:rPr>
          <w:color w:val="000000" w:themeColor="text1"/>
        </w:rPr>
        <w:t xml:space="preserve"> plrd_block_mode_minus1</w:t>
      </w:r>
      <w:r w:rsidR="009B356D" w:rsidRPr="00A52AB8">
        <w:rPr>
          <w:bCs/>
          <w:color w:val="000000" w:themeColor="text1"/>
        </w:rPr>
        <w:t>[ tileID ][ p ][ mapIdx ]</w:t>
      </w:r>
      <w:r w:rsidR="001F4484" w:rsidRPr="00A52AB8">
        <w:rPr>
          <w:color w:val="000000" w:themeColor="text1"/>
        </w:rPr>
        <w:t>[ i ]</w:t>
      </w:r>
      <w:r w:rsidRPr="00A52AB8">
        <w:rPr>
          <w:color w:val="000000" w:themeColor="text1"/>
        </w:rPr>
        <w:t xml:space="preserve"> is </w:t>
      </w:r>
      <w:r w:rsidR="00F445A9" w:rsidRPr="00A52AB8">
        <w:rPr>
          <w:color w:val="000000" w:themeColor="text1"/>
        </w:rPr>
        <w:t xml:space="preserve">present in the bitstream </w:t>
      </w:r>
      <w:r w:rsidRPr="00A52AB8">
        <w:rPr>
          <w:color w:val="000000" w:themeColor="text1"/>
        </w:rPr>
        <w:t>for block i of</w:t>
      </w:r>
      <w:r w:rsidR="00F445A9" w:rsidRPr="00A52AB8">
        <w:rPr>
          <w:color w:val="000000" w:themeColor="text1"/>
        </w:rPr>
        <w:t xml:space="preserve"> </w:t>
      </w:r>
      <w:r w:rsidR="00513366" w:rsidRPr="00A52AB8">
        <w:rPr>
          <w:color w:val="000000" w:themeColor="text1"/>
        </w:rPr>
        <w:t xml:space="preserve">the </w:t>
      </w:r>
      <w:r w:rsidR="00F445A9" w:rsidRPr="00A52AB8">
        <w:rPr>
          <w:color w:val="000000" w:themeColor="text1"/>
        </w:rPr>
        <w:t>map mapIdx of the</w:t>
      </w:r>
      <w:r w:rsidRPr="00A52AB8">
        <w:rPr>
          <w:color w:val="000000" w:themeColor="text1"/>
        </w:rPr>
        <w:t xml:space="preserve"> patch </w:t>
      </w:r>
      <w:r w:rsidR="005212DC" w:rsidRPr="00A52AB8">
        <w:rPr>
          <w:color w:val="000000" w:themeColor="text1"/>
        </w:rPr>
        <w:t>p</w:t>
      </w:r>
      <w:r w:rsidRPr="00A52AB8">
        <w:rPr>
          <w:color w:val="000000" w:themeColor="text1"/>
        </w:rPr>
        <w:t xml:space="preserve"> in the current </w:t>
      </w:r>
      <w:r w:rsidR="002A47BD" w:rsidRPr="00A52AB8">
        <w:rPr>
          <w:color w:val="000000" w:themeColor="text1"/>
        </w:rPr>
        <w:t xml:space="preserve">atlas </w:t>
      </w:r>
      <w:r w:rsidR="00B8075E" w:rsidRPr="00A52AB8">
        <w:rPr>
          <w:color w:val="000000" w:themeColor="text1"/>
        </w:rPr>
        <w:t>tile</w:t>
      </w:r>
      <w:r w:rsidR="00CA1C0A" w:rsidRPr="00A52AB8">
        <w:rPr>
          <w:color w:val="000000" w:themeColor="text1"/>
        </w:rPr>
        <w:t xml:space="preserve">, </w:t>
      </w:r>
      <w:r w:rsidR="0036006A" w:rsidRPr="00A52AB8">
        <w:rPr>
          <w:color w:val="000000" w:themeColor="text1"/>
        </w:rPr>
        <w:t xml:space="preserve">with </w:t>
      </w:r>
      <w:r w:rsidR="00B9768A" w:rsidRPr="00A52AB8">
        <w:rPr>
          <w:color w:val="000000" w:themeColor="text1"/>
        </w:rPr>
        <w:t xml:space="preserve">tile </w:t>
      </w:r>
      <w:r w:rsidR="0036006A" w:rsidRPr="00A52AB8">
        <w:rPr>
          <w:color w:val="000000" w:themeColor="text1"/>
        </w:rPr>
        <w:t xml:space="preserve">ID </w:t>
      </w:r>
      <w:r w:rsidR="00B9768A" w:rsidRPr="00A52AB8">
        <w:rPr>
          <w:color w:val="000000" w:themeColor="text1"/>
        </w:rPr>
        <w:t xml:space="preserve">equal to </w:t>
      </w:r>
      <w:r w:rsidR="0036006A" w:rsidRPr="00A52AB8">
        <w:rPr>
          <w:color w:val="000000" w:themeColor="text1"/>
        </w:rPr>
        <w:t>tileID</w:t>
      </w:r>
      <w:r w:rsidRPr="00A52AB8">
        <w:rPr>
          <w:color w:val="000000" w:themeColor="text1"/>
        </w:rPr>
        <w:t>. plrd_present_block_flag</w:t>
      </w:r>
      <w:r w:rsidR="009B356D" w:rsidRPr="00A52AB8">
        <w:rPr>
          <w:bCs/>
          <w:color w:val="000000" w:themeColor="text1"/>
        </w:rPr>
        <w:t>[ tileID ][ p ][ mapIdx ]</w:t>
      </w:r>
      <w:r w:rsidR="001F4484" w:rsidRPr="00A52AB8">
        <w:rPr>
          <w:color w:val="000000" w:themeColor="text1"/>
        </w:rPr>
        <w:t>[ i ]</w:t>
      </w:r>
      <w:r w:rsidRPr="00A52AB8">
        <w:rPr>
          <w:color w:val="000000" w:themeColor="text1"/>
        </w:rPr>
        <w:t xml:space="preserve"> equal to 0 indicates that </w:t>
      </w:r>
      <w:r w:rsidR="00061D25" w:rsidRPr="00A52AB8">
        <w:rPr>
          <w:color w:val="000000" w:themeColor="text1"/>
        </w:rPr>
        <w:t>the syntax element plrd_block_mode_minus1</w:t>
      </w:r>
      <w:r w:rsidR="009B356D" w:rsidRPr="00A52AB8">
        <w:rPr>
          <w:bCs/>
          <w:color w:val="000000" w:themeColor="text1"/>
        </w:rPr>
        <w:t>[ tileID ][ p ][ mapIdx ]</w:t>
      </w:r>
      <w:r w:rsidR="001F4484" w:rsidRPr="00A52AB8">
        <w:rPr>
          <w:color w:val="000000" w:themeColor="text1"/>
        </w:rPr>
        <w:t>[ i ]</w:t>
      </w:r>
      <w:r w:rsidR="00061D25" w:rsidRPr="00A52AB8">
        <w:rPr>
          <w:color w:val="000000" w:themeColor="text1"/>
        </w:rPr>
        <w:t xml:space="preserve"> </w:t>
      </w:r>
      <w:r w:rsidR="00CE3670" w:rsidRPr="00A52AB8">
        <w:rPr>
          <w:color w:val="000000" w:themeColor="text1"/>
        </w:rPr>
        <w:t>is not present in the bitstream</w:t>
      </w:r>
      <w:r w:rsidRPr="00A52AB8">
        <w:rPr>
          <w:color w:val="000000" w:themeColor="text1"/>
        </w:rPr>
        <w:t>.</w:t>
      </w:r>
    </w:p>
    <w:p w14:paraId="4C499DCE" w14:textId="26FCD951" w:rsidR="008B400C" w:rsidRPr="00A52AB8" w:rsidRDefault="008B400C">
      <w:pPr>
        <w:rPr>
          <w:color w:val="000000" w:themeColor="text1"/>
        </w:rPr>
      </w:pPr>
      <w:bookmarkStart w:id="1377" w:name="_Hlk27669778"/>
      <w:r w:rsidRPr="00A52AB8">
        <w:rPr>
          <w:b/>
          <w:color w:val="000000" w:themeColor="text1"/>
        </w:rPr>
        <w:t>plrd_block_mode_minus1</w:t>
      </w:r>
      <w:r w:rsidR="009B356D" w:rsidRPr="00A52AB8">
        <w:rPr>
          <w:bCs/>
          <w:color w:val="000000" w:themeColor="text1"/>
        </w:rPr>
        <w:t>[ tileID ][ p ][ mapIdx ]</w:t>
      </w:r>
      <w:r w:rsidR="001F4484" w:rsidRPr="00A52AB8">
        <w:rPr>
          <w:color w:val="000000" w:themeColor="text1"/>
        </w:rPr>
        <w:t>[ i ]</w:t>
      </w:r>
      <w:r w:rsidR="004F7D83" w:rsidRPr="00A52AB8">
        <w:rPr>
          <w:color w:val="000000" w:themeColor="text1"/>
        </w:rPr>
        <w:t xml:space="preserve"> plus 1</w:t>
      </w:r>
      <w:r w:rsidRPr="00A52AB8">
        <w:rPr>
          <w:color w:val="000000" w:themeColor="text1"/>
        </w:rPr>
        <w:t xml:space="preserve"> indicates the point local reconstruction mode</w:t>
      </w:r>
      <w:r w:rsidR="000D73EC" w:rsidRPr="00A52AB8">
        <w:rPr>
          <w:color w:val="000000" w:themeColor="text1"/>
        </w:rPr>
        <w:t>, plrBlkMode,</w:t>
      </w:r>
      <w:r w:rsidR="00B74C44" w:rsidRPr="00A52AB8">
        <w:rPr>
          <w:color w:val="000000" w:themeColor="text1"/>
        </w:rPr>
        <w:t xml:space="preserve"> </w:t>
      </w:r>
      <w:r w:rsidR="0082726C" w:rsidRPr="00A52AB8">
        <w:rPr>
          <w:color w:val="000000" w:themeColor="text1"/>
        </w:rPr>
        <w:t xml:space="preserve">selected </w:t>
      </w:r>
      <w:r w:rsidR="00B9768A" w:rsidRPr="00A52AB8">
        <w:rPr>
          <w:color w:val="000000" w:themeColor="text1"/>
        </w:rPr>
        <w:t xml:space="preserve">from </w:t>
      </w:r>
      <w:r w:rsidR="00B74C44" w:rsidRPr="00A52AB8">
        <w:rPr>
          <w:color w:val="000000" w:themeColor="text1"/>
        </w:rPr>
        <w:t>the list of point local reconstruction modes of size plri_number_of_modes_minus1[ mapIdx ]</w:t>
      </w:r>
      <w:r w:rsidR="0082726C" w:rsidRPr="00A52AB8">
        <w:rPr>
          <w:color w:val="000000" w:themeColor="text1"/>
        </w:rPr>
        <w:t xml:space="preserve"> plus 1 and </w:t>
      </w:r>
      <w:r w:rsidR="00B74C44" w:rsidRPr="00A52AB8">
        <w:rPr>
          <w:color w:val="000000" w:themeColor="text1"/>
        </w:rPr>
        <w:t>defined by the syntax elements plri_interpolate_flag[</w:t>
      </w:r>
      <w:r w:rsidR="0082726C" w:rsidRPr="00A52AB8">
        <w:rPr>
          <w:color w:val="000000" w:themeColor="text1"/>
        </w:rPr>
        <w:t> </w:t>
      </w:r>
      <w:r w:rsidR="0082726C" w:rsidRPr="00A52AB8">
        <w:rPr>
          <w:bCs/>
          <w:color w:val="000000" w:themeColor="text1"/>
        </w:rPr>
        <w:t>mapIdx </w:t>
      </w:r>
      <w:r w:rsidR="00B74C44" w:rsidRPr="00A52AB8">
        <w:rPr>
          <w:color w:val="000000" w:themeColor="text1"/>
        </w:rPr>
        <w:t>][</w:t>
      </w:r>
      <w:r w:rsidR="0082726C" w:rsidRPr="00A52AB8">
        <w:rPr>
          <w:color w:val="000000" w:themeColor="text1"/>
        </w:rPr>
        <w:t> </w:t>
      </w:r>
      <w:r w:rsidR="000D73EC" w:rsidRPr="00A52AB8">
        <w:rPr>
          <w:color w:val="000000" w:themeColor="text1"/>
        </w:rPr>
        <w:t>plrBlkMode</w:t>
      </w:r>
      <w:r w:rsidR="0082726C" w:rsidRPr="00A52AB8">
        <w:rPr>
          <w:color w:val="000000" w:themeColor="text1"/>
        </w:rPr>
        <w:t> </w:t>
      </w:r>
      <w:r w:rsidR="00B74C44" w:rsidRPr="00A52AB8">
        <w:rPr>
          <w:color w:val="000000" w:themeColor="text1"/>
        </w:rPr>
        <w:t>], plri_filling_flag[</w:t>
      </w:r>
      <w:r w:rsidR="0082726C" w:rsidRPr="00A52AB8">
        <w:rPr>
          <w:color w:val="000000" w:themeColor="text1"/>
        </w:rPr>
        <w:t> </w:t>
      </w:r>
      <w:r w:rsidR="0082726C" w:rsidRPr="00A52AB8">
        <w:rPr>
          <w:bCs/>
          <w:color w:val="000000" w:themeColor="text1"/>
        </w:rPr>
        <w:t>mapIdx</w:t>
      </w:r>
      <w:r w:rsidR="0082726C" w:rsidRPr="00A52AB8">
        <w:rPr>
          <w:color w:val="000000" w:themeColor="text1"/>
        </w:rPr>
        <w:t> </w:t>
      </w:r>
      <w:r w:rsidR="00B74C44" w:rsidRPr="00A52AB8">
        <w:rPr>
          <w:color w:val="000000" w:themeColor="text1"/>
        </w:rPr>
        <w:t>][</w:t>
      </w:r>
      <w:r w:rsidR="0082726C" w:rsidRPr="00A52AB8">
        <w:rPr>
          <w:b/>
          <w:color w:val="000000" w:themeColor="text1"/>
        </w:rPr>
        <w:t> </w:t>
      </w:r>
      <w:r w:rsidR="000D73EC" w:rsidRPr="00A52AB8">
        <w:rPr>
          <w:color w:val="000000" w:themeColor="text1"/>
        </w:rPr>
        <w:t>plrBlkMode</w:t>
      </w:r>
      <w:r w:rsidR="0082726C" w:rsidRPr="00A52AB8">
        <w:rPr>
          <w:color w:val="000000" w:themeColor="text1"/>
        </w:rPr>
        <w:t> </w:t>
      </w:r>
      <w:r w:rsidR="00B74C44" w:rsidRPr="00A52AB8">
        <w:rPr>
          <w:color w:val="000000" w:themeColor="text1"/>
        </w:rPr>
        <w:t>], plri_minimum_depth[</w:t>
      </w:r>
      <w:r w:rsidR="0082726C" w:rsidRPr="00A52AB8">
        <w:rPr>
          <w:color w:val="000000" w:themeColor="text1"/>
        </w:rPr>
        <w:t> </w:t>
      </w:r>
      <w:r w:rsidR="0082726C" w:rsidRPr="00A52AB8">
        <w:rPr>
          <w:bCs/>
          <w:color w:val="000000" w:themeColor="text1"/>
        </w:rPr>
        <w:t>mapIdx </w:t>
      </w:r>
      <w:r w:rsidR="00B74C44" w:rsidRPr="00A52AB8">
        <w:rPr>
          <w:color w:val="000000" w:themeColor="text1"/>
        </w:rPr>
        <w:t>][</w:t>
      </w:r>
      <w:r w:rsidR="0082726C" w:rsidRPr="00A52AB8">
        <w:rPr>
          <w:bCs/>
          <w:color w:val="000000" w:themeColor="text1"/>
        </w:rPr>
        <w:t> </w:t>
      </w:r>
      <w:r w:rsidR="000D73EC" w:rsidRPr="00A52AB8">
        <w:rPr>
          <w:color w:val="000000" w:themeColor="text1"/>
        </w:rPr>
        <w:t>plrBlkMode</w:t>
      </w:r>
      <w:r w:rsidR="0082726C" w:rsidRPr="00A52AB8">
        <w:rPr>
          <w:color w:val="000000" w:themeColor="text1"/>
        </w:rPr>
        <w:t> ]</w:t>
      </w:r>
      <w:r w:rsidR="006A17DF" w:rsidRPr="00A52AB8">
        <w:rPr>
          <w:color w:val="000000" w:themeColor="text1"/>
        </w:rPr>
        <w:t>,</w:t>
      </w:r>
      <w:r w:rsidR="00B74C44" w:rsidRPr="00A52AB8">
        <w:rPr>
          <w:color w:val="000000" w:themeColor="text1"/>
        </w:rPr>
        <w:t xml:space="preserve"> and plri_neighbour_minus1[</w:t>
      </w:r>
      <w:r w:rsidR="0082726C" w:rsidRPr="00A52AB8">
        <w:rPr>
          <w:color w:val="000000" w:themeColor="text1"/>
        </w:rPr>
        <w:t> </w:t>
      </w:r>
      <w:r w:rsidR="0082726C" w:rsidRPr="00A52AB8">
        <w:rPr>
          <w:bCs/>
          <w:color w:val="000000" w:themeColor="text1"/>
        </w:rPr>
        <w:t>mapIdx </w:t>
      </w:r>
      <w:r w:rsidR="00B74C44" w:rsidRPr="00A52AB8">
        <w:rPr>
          <w:color w:val="000000" w:themeColor="text1"/>
        </w:rPr>
        <w:t>][</w:t>
      </w:r>
      <w:r w:rsidR="0082726C" w:rsidRPr="00A52AB8">
        <w:rPr>
          <w:bCs/>
          <w:color w:val="000000" w:themeColor="text1"/>
        </w:rPr>
        <w:t> </w:t>
      </w:r>
      <w:r w:rsidR="000D73EC" w:rsidRPr="00A52AB8">
        <w:rPr>
          <w:color w:val="000000" w:themeColor="text1"/>
        </w:rPr>
        <w:t>plrBlkMode</w:t>
      </w:r>
      <w:r w:rsidR="0082726C" w:rsidRPr="00A52AB8">
        <w:rPr>
          <w:color w:val="000000" w:themeColor="text1"/>
        </w:rPr>
        <w:t> ]</w:t>
      </w:r>
      <w:r w:rsidR="00B74C44" w:rsidRPr="00A52AB8">
        <w:rPr>
          <w:color w:val="000000" w:themeColor="text1"/>
        </w:rPr>
        <w:t xml:space="preserve"> </w:t>
      </w:r>
      <w:r w:rsidRPr="00A52AB8">
        <w:rPr>
          <w:color w:val="000000" w:themeColor="text1"/>
        </w:rPr>
        <w:t>for block i of</w:t>
      </w:r>
      <w:r w:rsidR="00513366" w:rsidRPr="00A52AB8">
        <w:rPr>
          <w:color w:val="000000" w:themeColor="text1"/>
        </w:rPr>
        <w:t xml:space="preserve"> the</w:t>
      </w:r>
      <w:r w:rsidRPr="00A52AB8">
        <w:rPr>
          <w:color w:val="000000" w:themeColor="text1"/>
        </w:rPr>
        <w:t xml:space="preserve"> </w:t>
      </w:r>
      <w:r w:rsidR="00513366" w:rsidRPr="00A52AB8">
        <w:rPr>
          <w:color w:val="000000" w:themeColor="text1"/>
        </w:rPr>
        <w:t xml:space="preserve">map </w:t>
      </w:r>
      <w:r w:rsidR="006A17DF" w:rsidRPr="00A52AB8">
        <w:rPr>
          <w:color w:val="000000" w:themeColor="text1"/>
        </w:rPr>
        <w:t xml:space="preserve">with index </w:t>
      </w:r>
      <w:r w:rsidR="00513366" w:rsidRPr="00A52AB8">
        <w:rPr>
          <w:color w:val="000000" w:themeColor="text1"/>
        </w:rPr>
        <w:t xml:space="preserve">mapIdx of the </w:t>
      </w:r>
      <w:r w:rsidRPr="00A52AB8">
        <w:rPr>
          <w:color w:val="000000" w:themeColor="text1"/>
        </w:rPr>
        <w:t xml:space="preserve">patch </w:t>
      </w:r>
      <w:r w:rsidR="000C31C4" w:rsidRPr="00A52AB8">
        <w:rPr>
          <w:color w:val="000000" w:themeColor="text1"/>
        </w:rPr>
        <w:t>p</w:t>
      </w:r>
      <w:r w:rsidRPr="00A52AB8">
        <w:rPr>
          <w:color w:val="000000" w:themeColor="text1"/>
        </w:rPr>
        <w:t xml:space="preserve"> in the current </w:t>
      </w:r>
      <w:r w:rsidR="002A47BD" w:rsidRPr="00A52AB8">
        <w:rPr>
          <w:color w:val="000000" w:themeColor="text1"/>
        </w:rPr>
        <w:t xml:space="preserve">atlas </w:t>
      </w:r>
      <w:r w:rsidR="00B8075E" w:rsidRPr="00A52AB8">
        <w:rPr>
          <w:color w:val="000000" w:themeColor="text1"/>
        </w:rPr>
        <w:t>tile</w:t>
      </w:r>
      <w:r w:rsidR="00CA1C0A" w:rsidRPr="00A52AB8">
        <w:rPr>
          <w:color w:val="000000" w:themeColor="text1"/>
        </w:rPr>
        <w:t xml:space="preserve">, </w:t>
      </w:r>
      <w:r w:rsidR="000F765B" w:rsidRPr="00A52AB8">
        <w:rPr>
          <w:color w:val="000000" w:themeColor="text1"/>
        </w:rPr>
        <w:t xml:space="preserve">with </w:t>
      </w:r>
      <w:r w:rsidR="00B9768A" w:rsidRPr="00A52AB8">
        <w:rPr>
          <w:color w:val="000000" w:themeColor="text1"/>
        </w:rPr>
        <w:t xml:space="preserve">tile </w:t>
      </w:r>
      <w:r w:rsidR="000F765B" w:rsidRPr="00A52AB8">
        <w:rPr>
          <w:color w:val="000000" w:themeColor="text1"/>
        </w:rPr>
        <w:t xml:space="preserve">ID </w:t>
      </w:r>
      <w:r w:rsidR="00B9768A" w:rsidRPr="00A52AB8">
        <w:rPr>
          <w:color w:val="000000" w:themeColor="text1"/>
        </w:rPr>
        <w:t xml:space="preserve">equal to </w:t>
      </w:r>
      <w:r w:rsidR="00632FA7" w:rsidRPr="00A52AB8">
        <w:rPr>
          <w:color w:val="000000" w:themeColor="text1"/>
        </w:rPr>
        <w:t>tileID</w:t>
      </w:r>
      <w:r w:rsidRPr="00A52AB8">
        <w:rPr>
          <w:color w:val="000000" w:themeColor="text1"/>
        </w:rPr>
        <w:t>. plrd_block_mode_minus1</w:t>
      </w:r>
      <w:r w:rsidR="009B356D" w:rsidRPr="00A52AB8">
        <w:rPr>
          <w:bCs/>
          <w:color w:val="000000" w:themeColor="text1"/>
        </w:rPr>
        <w:t>[ tileID ][ p ][ mapIdx ]</w:t>
      </w:r>
      <w:r w:rsidR="001F4484" w:rsidRPr="00A52AB8">
        <w:rPr>
          <w:color w:val="000000" w:themeColor="text1"/>
        </w:rPr>
        <w:t>[ i ]</w:t>
      </w:r>
      <w:r w:rsidRPr="00A52AB8">
        <w:rPr>
          <w:color w:val="000000" w:themeColor="text1"/>
        </w:rPr>
        <w:t xml:space="preserve"> shall be in the range of 0 to plr</w:t>
      </w:r>
      <w:r w:rsidR="004A1EED" w:rsidRPr="00A52AB8">
        <w:rPr>
          <w:color w:val="000000" w:themeColor="text1"/>
        </w:rPr>
        <w:t>i</w:t>
      </w:r>
      <w:r w:rsidRPr="00A52AB8">
        <w:rPr>
          <w:color w:val="000000" w:themeColor="text1"/>
        </w:rPr>
        <w:t>_number_of_modes_minus1</w:t>
      </w:r>
      <w:r w:rsidR="004A1EED" w:rsidRPr="00A52AB8">
        <w:rPr>
          <w:color w:val="000000" w:themeColor="text1"/>
        </w:rPr>
        <w:t>[ mapIdx ]</w:t>
      </w:r>
      <w:r w:rsidRPr="00A52AB8">
        <w:rPr>
          <w:color w:val="000000" w:themeColor="text1"/>
        </w:rPr>
        <w:t>, inclusive</w:t>
      </w:r>
      <w:r w:rsidR="004A1EED" w:rsidRPr="00A52AB8">
        <w:rPr>
          <w:color w:val="000000" w:themeColor="text1"/>
        </w:rPr>
        <w:t>.</w:t>
      </w:r>
    </w:p>
    <w:p w14:paraId="73D9AA80" w14:textId="46ABA11C" w:rsidR="0050235C" w:rsidRPr="00A52AB8" w:rsidRDefault="00C13198" w:rsidP="00C13198">
      <w:pPr>
        <w:pStyle w:val="Note1"/>
        <w:rPr>
          <w:rFonts w:ascii="Cambria" w:hAnsi="Cambria"/>
        </w:rPr>
      </w:pPr>
      <w:r w:rsidRPr="00A52AB8" w:rsidDel="00112A5D">
        <w:rPr>
          <w:rFonts w:ascii="Cambria" w:hAnsi="Cambria"/>
        </w:rPr>
        <w:t>NOTE </w:t>
      </w:r>
      <w:r w:rsidR="00431FBF" w:rsidRPr="00496A4D">
        <w:rPr>
          <w:rFonts w:ascii="Cambria" w:hAnsi="Cambria"/>
        </w:rPr>
        <w:fldChar w:fldCharType="begin"/>
      </w:r>
      <w:r w:rsidR="00431FBF" w:rsidRPr="00A52AB8">
        <w:rPr>
          <w:rFonts w:ascii="Cambria" w:hAnsi="Cambria"/>
        </w:rPr>
        <w:instrText xml:space="preserve"> SEQ NoteCounter \s 9 \* MERGEFORMAT </w:instrText>
      </w:r>
      <w:r w:rsidR="00431FBF" w:rsidRPr="00496A4D">
        <w:rPr>
          <w:rFonts w:ascii="Cambria" w:hAnsi="Cambria"/>
        </w:rPr>
        <w:fldChar w:fldCharType="separate"/>
      </w:r>
      <w:r w:rsidR="00507A67">
        <w:rPr>
          <w:rFonts w:ascii="Cambria" w:hAnsi="Cambria"/>
          <w:noProof/>
        </w:rPr>
        <w:t>2</w:t>
      </w:r>
      <w:r w:rsidR="00431FBF" w:rsidRPr="00496A4D">
        <w:rPr>
          <w:rFonts w:ascii="Cambria" w:hAnsi="Cambria"/>
        </w:rPr>
        <w:fldChar w:fldCharType="end"/>
      </w:r>
      <w:r w:rsidR="00431FBF" w:rsidRPr="00A52AB8">
        <w:rPr>
          <w:rFonts w:ascii="Cambria" w:hAnsi="Cambria"/>
        </w:rPr>
        <w:t> </w:t>
      </w:r>
      <w:r w:rsidRPr="00A52AB8" w:rsidDel="00112A5D">
        <w:rPr>
          <w:rFonts w:ascii="Cambria" w:hAnsi="Cambria"/>
        </w:rPr>
        <w:t>– </w:t>
      </w:r>
      <w:r w:rsidRPr="00A52AB8">
        <w:rPr>
          <w:rFonts w:ascii="Cambria" w:hAnsi="Cambria"/>
        </w:rPr>
        <w:t>When PLR mode is equal to 0</w:t>
      </w:r>
      <w:r w:rsidR="009B4616" w:rsidRPr="00A52AB8">
        <w:rPr>
          <w:rFonts w:ascii="Cambria" w:hAnsi="Cambria"/>
        </w:rPr>
        <w:t xml:space="preserve"> at the block or patch level</w:t>
      </w:r>
      <w:r w:rsidRPr="00A52AB8">
        <w:rPr>
          <w:rFonts w:ascii="Cambria" w:hAnsi="Cambria"/>
        </w:rPr>
        <w:t xml:space="preserve">, </w:t>
      </w:r>
      <w:r w:rsidR="00143376" w:rsidRPr="00A52AB8">
        <w:rPr>
          <w:rFonts w:ascii="Cambria" w:hAnsi="Cambria"/>
        </w:rPr>
        <w:t>it</w:t>
      </w:r>
      <w:r w:rsidRPr="00A52AB8">
        <w:rPr>
          <w:rFonts w:ascii="Cambria" w:hAnsi="Cambria"/>
        </w:rPr>
        <w:t xml:space="preserve"> is not signalled in the bitstream. The value 0 corresponds to a default mode value of PLR which is implemented by the</w:t>
      </w:r>
      <w:r w:rsidR="000210D6" w:rsidRPr="00A52AB8">
        <w:rPr>
          <w:rFonts w:ascii="Cambria" w:hAnsi="Cambria"/>
        </w:rPr>
        <w:t xml:space="preserve"> values of the</w:t>
      </w:r>
      <w:r w:rsidRPr="00A52AB8">
        <w:rPr>
          <w:rFonts w:ascii="Cambria" w:hAnsi="Cambria"/>
        </w:rPr>
        <w:t xml:space="preserve"> syntax elements plri_interpolate_flag[ mapIdx ]</w:t>
      </w:r>
      <w:r w:rsidR="00D770D3" w:rsidRPr="00A52AB8">
        <w:rPr>
          <w:rFonts w:ascii="Cambria" w:hAnsi="Cambria"/>
        </w:rPr>
        <w:t>[ 0 ]</w:t>
      </w:r>
      <w:r w:rsidRPr="00A52AB8">
        <w:rPr>
          <w:rFonts w:ascii="Cambria" w:hAnsi="Cambria"/>
        </w:rPr>
        <w:t>, plri_filling_flag[ mapIdx ]</w:t>
      </w:r>
      <w:r w:rsidR="00D770D3" w:rsidRPr="00A52AB8">
        <w:rPr>
          <w:rFonts w:ascii="Cambria" w:hAnsi="Cambria"/>
        </w:rPr>
        <w:t>[ 0 ]</w:t>
      </w:r>
      <w:r w:rsidRPr="00A52AB8">
        <w:rPr>
          <w:rFonts w:ascii="Cambria" w:hAnsi="Cambria"/>
        </w:rPr>
        <w:t>, plri_minimum_depth[ mapIdx ]</w:t>
      </w:r>
      <w:r w:rsidR="00D770D3" w:rsidRPr="00A52AB8">
        <w:rPr>
          <w:rFonts w:ascii="Cambria" w:hAnsi="Cambria"/>
        </w:rPr>
        <w:t>[ 0 ]</w:t>
      </w:r>
      <w:r w:rsidR="00B9768A" w:rsidRPr="00A52AB8">
        <w:rPr>
          <w:rFonts w:ascii="Cambria" w:hAnsi="Cambria"/>
        </w:rPr>
        <w:t>,</w:t>
      </w:r>
      <w:r w:rsidRPr="00A52AB8">
        <w:rPr>
          <w:rFonts w:ascii="Cambria" w:hAnsi="Cambria"/>
        </w:rPr>
        <w:t xml:space="preserve"> and plri_neighbou</w:t>
      </w:r>
      <w:r w:rsidR="00581AE7" w:rsidRPr="00A52AB8">
        <w:rPr>
          <w:rFonts w:ascii="Cambria" w:hAnsi="Cambria"/>
        </w:rPr>
        <w:t>r</w:t>
      </w:r>
      <w:r w:rsidRPr="00A52AB8">
        <w:rPr>
          <w:rFonts w:ascii="Cambria" w:hAnsi="Cambria"/>
        </w:rPr>
        <w:t>_minus1[ mapIdx ]</w:t>
      </w:r>
      <w:r w:rsidR="00D770D3" w:rsidRPr="00A52AB8">
        <w:rPr>
          <w:rFonts w:ascii="Cambria" w:hAnsi="Cambria"/>
        </w:rPr>
        <w:t>[ 0 ]</w:t>
      </w:r>
      <w:r w:rsidRPr="00A52AB8">
        <w:rPr>
          <w:rFonts w:ascii="Cambria" w:hAnsi="Cambria"/>
        </w:rPr>
        <w:t>.</w:t>
      </w:r>
    </w:p>
    <w:bookmarkEnd w:id="1377"/>
    <w:p w14:paraId="5A416DAE" w14:textId="5766022D" w:rsidR="008B400C" w:rsidRPr="00A52AB8" w:rsidRDefault="008B400C">
      <w:pPr>
        <w:rPr>
          <w:color w:val="000000" w:themeColor="text1"/>
        </w:rPr>
      </w:pPr>
      <w:r w:rsidRPr="00A52AB8">
        <w:rPr>
          <w:b/>
          <w:color w:val="000000" w:themeColor="text1"/>
        </w:rPr>
        <w:t>plrd_present_flag</w:t>
      </w:r>
      <w:r w:rsidR="009B356D" w:rsidRPr="00A52AB8">
        <w:rPr>
          <w:bCs/>
          <w:color w:val="000000" w:themeColor="text1"/>
        </w:rPr>
        <w:t>[ tileID ][ p ][ mapIdx ]</w:t>
      </w:r>
      <w:r w:rsidRPr="00A52AB8">
        <w:rPr>
          <w:color w:val="000000" w:themeColor="text1"/>
        </w:rPr>
        <w:t xml:space="preserve"> equal to 1 indicates that </w:t>
      </w:r>
      <w:r w:rsidR="004E4848" w:rsidRPr="00A52AB8">
        <w:rPr>
          <w:color w:val="000000" w:themeColor="text1"/>
        </w:rPr>
        <w:t>the syntax element plrd_mode_minus1</w:t>
      </w:r>
      <w:r w:rsidR="009B356D" w:rsidRPr="00A52AB8">
        <w:rPr>
          <w:color w:val="000000" w:themeColor="text1"/>
        </w:rPr>
        <w:t>[ tileID ][ p ][ mapIdx ]</w:t>
      </w:r>
      <w:r w:rsidRPr="00A52AB8">
        <w:rPr>
          <w:color w:val="000000" w:themeColor="text1"/>
        </w:rPr>
        <w:t xml:space="preserve"> is </w:t>
      </w:r>
      <w:r w:rsidR="000121B2" w:rsidRPr="00A52AB8">
        <w:rPr>
          <w:color w:val="000000" w:themeColor="text1"/>
        </w:rPr>
        <w:t xml:space="preserve">present in the bitstream </w:t>
      </w:r>
      <w:r w:rsidRPr="00A52AB8">
        <w:rPr>
          <w:color w:val="000000" w:themeColor="text1"/>
        </w:rPr>
        <w:t xml:space="preserve">for </w:t>
      </w:r>
      <w:r w:rsidR="000121B2" w:rsidRPr="00A52AB8">
        <w:rPr>
          <w:color w:val="000000" w:themeColor="text1"/>
        </w:rPr>
        <w:t xml:space="preserve">the map </w:t>
      </w:r>
      <w:r w:rsidR="006A17DF" w:rsidRPr="00A52AB8">
        <w:rPr>
          <w:color w:val="000000" w:themeColor="text1"/>
        </w:rPr>
        <w:t xml:space="preserve">with index </w:t>
      </w:r>
      <w:r w:rsidR="000121B2" w:rsidRPr="00A52AB8">
        <w:rPr>
          <w:color w:val="000000" w:themeColor="text1"/>
        </w:rPr>
        <w:t xml:space="preserve">mapIdx of the </w:t>
      </w:r>
      <w:r w:rsidRPr="00A52AB8">
        <w:rPr>
          <w:color w:val="000000" w:themeColor="text1"/>
        </w:rPr>
        <w:t xml:space="preserve">patch </w:t>
      </w:r>
      <w:r w:rsidR="000C31C4" w:rsidRPr="00A52AB8">
        <w:rPr>
          <w:color w:val="000000" w:themeColor="text1"/>
        </w:rPr>
        <w:t>p</w:t>
      </w:r>
      <w:r w:rsidRPr="00A52AB8">
        <w:rPr>
          <w:color w:val="000000" w:themeColor="text1"/>
        </w:rPr>
        <w:t xml:space="preserve"> </w:t>
      </w:r>
      <w:r w:rsidR="001E3A91" w:rsidRPr="00A52AB8">
        <w:rPr>
          <w:color w:val="000000" w:themeColor="text1"/>
        </w:rPr>
        <w:t xml:space="preserve">in the current </w:t>
      </w:r>
      <w:r w:rsidR="002A47BD" w:rsidRPr="00A52AB8">
        <w:rPr>
          <w:color w:val="000000" w:themeColor="text1"/>
        </w:rPr>
        <w:t xml:space="preserve">atlas </w:t>
      </w:r>
      <w:r w:rsidR="00B8075E" w:rsidRPr="00A52AB8">
        <w:rPr>
          <w:color w:val="000000" w:themeColor="text1"/>
        </w:rPr>
        <w:t>tile</w:t>
      </w:r>
      <w:r w:rsidR="00CA1C0A" w:rsidRPr="00A52AB8">
        <w:rPr>
          <w:color w:val="000000" w:themeColor="text1"/>
        </w:rPr>
        <w:t xml:space="preserve">, </w:t>
      </w:r>
      <w:r w:rsidR="0036006A" w:rsidRPr="00A52AB8">
        <w:rPr>
          <w:color w:val="000000" w:themeColor="text1"/>
        </w:rPr>
        <w:t xml:space="preserve">with </w:t>
      </w:r>
      <w:r w:rsidR="00B9768A" w:rsidRPr="00A52AB8">
        <w:rPr>
          <w:color w:val="000000" w:themeColor="text1"/>
        </w:rPr>
        <w:t xml:space="preserve">tile </w:t>
      </w:r>
      <w:r w:rsidR="0036006A" w:rsidRPr="00A52AB8">
        <w:rPr>
          <w:color w:val="000000" w:themeColor="text1"/>
        </w:rPr>
        <w:t xml:space="preserve">ID </w:t>
      </w:r>
      <w:r w:rsidR="00B9768A" w:rsidRPr="00A52AB8">
        <w:rPr>
          <w:color w:val="000000" w:themeColor="text1"/>
        </w:rPr>
        <w:t xml:space="preserve">equal to </w:t>
      </w:r>
      <w:r w:rsidR="0036006A" w:rsidRPr="00A52AB8">
        <w:rPr>
          <w:color w:val="000000" w:themeColor="text1"/>
        </w:rPr>
        <w:t>tileID</w:t>
      </w:r>
      <w:r w:rsidRPr="00A52AB8">
        <w:rPr>
          <w:color w:val="000000" w:themeColor="text1"/>
        </w:rPr>
        <w:t>. plrd_present_flag</w:t>
      </w:r>
      <w:r w:rsidR="009B356D" w:rsidRPr="00A52AB8">
        <w:rPr>
          <w:bCs/>
          <w:color w:val="000000" w:themeColor="text1"/>
        </w:rPr>
        <w:t>[ tileID ][ p ][ mapIdx ]</w:t>
      </w:r>
      <w:r w:rsidRPr="00A52AB8">
        <w:rPr>
          <w:color w:val="000000" w:themeColor="text1"/>
        </w:rPr>
        <w:t xml:space="preserve"> equal to 0 indicates that </w:t>
      </w:r>
      <w:r w:rsidR="004E4848" w:rsidRPr="00A52AB8">
        <w:rPr>
          <w:color w:val="000000" w:themeColor="text1"/>
        </w:rPr>
        <w:t>the syntax element plrd_block_mode_minus1</w:t>
      </w:r>
      <w:r w:rsidR="009B356D" w:rsidRPr="00A52AB8">
        <w:rPr>
          <w:bCs/>
          <w:color w:val="000000" w:themeColor="text1"/>
        </w:rPr>
        <w:t>[ tileID ][ p ][ mapIdx ]</w:t>
      </w:r>
      <w:r w:rsidR="001F4484" w:rsidRPr="00A52AB8">
        <w:rPr>
          <w:color w:val="000000" w:themeColor="text1"/>
        </w:rPr>
        <w:t>[ i ]</w:t>
      </w:r>
      <w:r w:rsidR="004E4848" w:rsidRPr="00A52AB8">
        <w:rPr>
          <w:color w:val="000000" w:themeColor="text1"/>
        </w:rPr>
        <w:t xml:space="preserve"> </w:t>
      </w:r>
      <w:r w:rsidR="00CE3670" w:rsidRPr="00A52AB8">
        <w:rPr>
          <w:color w:val="000000" w:themeColor="text1"/>
        </w:rPr>
        <w:t>is not present in the bitstream</w:t>
      </w:r>
      <w:r w:rsidRPr="00A52AB8">
        <w:rPr>
          <w:color w:val="000000" w:themeColor="text1"/>
        </w:rPr>
        <w:t>.</w:t>
      </w:r>
    </w:p>
    <w:p w14:paraId="1B199902" w14:textId="0EF39CCB" w:rsidR="008B400C" w:rsidRPr="00A52AB8" w:rsidRDefault="008B400C">
      <w:pPr>
        <w:rPr>
          <w:color w:val="000000" w:themeColor="text1"/>
        </w:rPr>
      </w:pPr>
      <w:r w:rsidRPr="00A52AB8">
        <w:rPr>
          <w:b/>
          <w:color w:val="000000" w:themeColor="text1"/>
        </w:rPr>
        <w:t>plrd_mode_minus1</w:t>
      </w:r>
      <w:r w:rsidR="009B356D" w:rsidRPr="00A52AB8">
        <w:rPr>
          <w:bCs/>
          <w:color w:val="000000" w:themeColor="text1"/>
        </w:rPr>
        <w:t>[ tileID ][ p ][ mapIdx ]</w:t>
      </w:r>
      <w:r w:rsidR="004F7D83" w:rsidRPr="00A52AB8">
        <w:rPr>
          <w:color w:val="000000" w:themeColor="text1"/>
        </w:rPr>
        <w:t xml:space="preserve"> plus 1</w:t>
      </w:r>
      <w:r w:rsidRPr="00A52AB8">
        <w:rPr>
          <w:color w:val="000000" w:themeColor="text1"/>
        </w:rPr>
        <w:t xml:space="preserve"> indicates the point local reconstruction mode</w:t>
      </w:r>
      <w:r w:rsidR="008574B9" w:rsidRPr="00A52AB8">
        <w:rPr>
          <w:color w:val="000000" w:themeColor="text1"/>
        </w:rPr>
        <w:t>, plrMode,</w:t>
      </w:r>
      <w:r w:rsidR="004E4848" w:rsidRPr="00A52AB8">
        <w:rPr>
          <w:color w:val="000000" w:themeColor="text1"/>
        </w:rPr>
        <w:t xml:space="preserve"> selected </w:t>
      </w:r>
      <w:r w:rsidR="00B9768A" w:rsidRPr="00A52AB8">
        <w:rPr>
          <w:color w:val="000000" w:themeColor="text1"/>
        </w:rPr>
        <w:t xml:space="preserve">from </w:t>
      </w:r>
      <w:r w:rsidR="004E4848" w:rsidRPr="00A52AB8">
        <w:rPr>
          <w:color w:val="000000" w:themeColor="text1"/>
        </w:rPr>
        <w:t>the list of point local reconstruction modes of size plri_number_of_modes_minus1[ mapIdx ] plus 1 and defined by the syntax elements plri_interpolate_flag[ </w:t>
      </w:r>
      <w:r w:rsidR="004E4848" w:rsidRPr="00A52AB8">
        <w:rPr>
          <w:bCs/>
          <w:color w:val="000000" w:themeColor="text1"/>
        </w:rPr>
        <w:t>mapIdx </w:t>
      </w:r>
      <w:r w:rsidR="004E4848" w:rsidRPr="00A52AB8">
        <w:rPr>
          <w:color w:val="000000" w:themeColor="text1"/>
        </w:rPr>
        <w:t>][ </w:t>
      </w:r>
      <w:r w:rsidR="008574B9" w:rsidRPr="00A52AB8">
        <w:rPr>
          <w:color w:val="000000" w:themeColor="text1"/>
        </w:rPr>
        <w:t>plrMode </w:t>
      </w:r>
      <w:r w:rsidR="004E4848" w:rsidRPr="00A52AB8">
        <w:rPr>
          <w:color w:val="000000" w:themeColor="text1"/>
        </w:rPr>
        <w:t>], plri_filling_flag[ </w:t>
      </w:r>
      <w:r w:rsidR="004E4848" w:rsidRPr="00A52AB8">
        <w:rPr>
          <w:bCs/>
          <w:color w:val="000000" w:themeColor="text1"/>
        </w:rPr>
        <w:t>mapIdx</w:t>
      </w:r>
      <w:r w:rsidR="004E4848" w:rsidRPr="00A52AB8">
        <w:rPr>
          <w:color w:val="000000" w:themeColor="text1"/>
        </w:rPr>
        <w:t> ][</w:t>
      </w:r>
      <w:r w:rsidR="004E4848" w:rsidRPr="00A52AB8">
        <w:rPr>
          <w:b/>
          <w:color w:val="000000" w:themeColor="text1"/>
        </w:rPr>
        <w:t> </w:t>
      </w:r>
      <w:r w:rsidR="008574B9" w:rsidRPr="00A52AB8">
        <w:rPr>
          <w:color w:val="000000" w:themeColor="text1"/>
        </w:rPr>
        <w:t>plrMode</w:t>
      </w:r>
      <w:r w:rsidR="004E4848" w:rsidRPr="00A52AB8">
        <w:rPr>
          <w:color w:val="000000" w:themeColor="text1"/>
        </w:rPr>
        <w:t> ], plri_minimum_depth[ </w:t>
      </w:r>
      <w:r w:rsidR="004E4848" w:rsidRPr="00A52AB8">
        <w:rPr>
          <w:bCs/>
          <w:color w:val="000000" w:themeColor="text1"/>
        </w:rPr>
        <w:t>mapIdx </w:t>
      </w:r>
      <w:r w:rsidR="004E4848" w:rsidRPr="00A52AB8">
        <w:rPr>
          <w:color w:val="000000" w:themeColor="text1"/>
        </w:rPr>
        <w:t>][</w:t>
      </w:r>
      <w:r w:rsidR="004E4848" w:rsidRPr="00A52AB8">
        <w:rPr>
          <w:bCs/>
          <w:color w:val="000000" w:themeColor="text1"/>
        </w:rPr>
        <w:t> </w:t>
      </w:r>
      <w:r w:rsidR="008574B9" w:rsidRPr="00A52AB8">
        <w:rPr>
          <w:color w:val="000000" w:themeColor="text1"/>
        </w:rPr>
        <w:t>plrMode</w:t>
      </w:r>
      <w:r w:rsidR="004E4848" w:rsidRPr="00A52AB8">
        <w:rPr>
          <w:color w:val="000000" w:themeColor="text1"/>
        </w:rPr>
        <w:t> ]</w:t>
      </w:r>
      <w:r w:rsidR="00B9768A" w:rsidRPr="00A52AB8">
        <w:rPr>
          <w:color w:val="000000" w:themeColor="text1"/>
        </w:rPr>
        <w:t>,</w:t>
      </w:r>
      <w:r w:rsidR="004E4848" w:rsidRPr="00A52AB8">
        <w:rPr>
          <w:color w:val="000000" w:themeColor="text1"/>
        </w:rPr>
        <w:t xml:space="preserve"> and plri_neighbour_minus1[ </w:t>
      </w:r>
      <w:r w:rsidR="004E4848" w:rsidRPr="00A52AB8">
        <w:rPr>
          <w:bCs/>
          <w:color w:val="000000" w:themeColor="text1"/>
        </w:rPr>
        <w:t>mapIdx </w:t>
      </w:r>
      <w:r w:rsidR="004E4848" w:rsidRPr="00A52AB8">
        <w:rPr>
          <w:color w:val="000000" w:themeColor="text1"/>
        </w:rPr>
        <w:t>][</w:t>
      </w:r>
      <w:r w:rsidR="004E4848" w:rsidRPr="00A52AB8">
        <w:rPr>
          <w:bCs/>
          <w:color w:val="000000" w:themeColor="text1"/>
        </w:rPr>
        <w:t> </w:t>
      </w:r>
      <w:r w:rsidR="008574B9" w:rsidRPr="00A52AB8">
        <w:rPr>
          <w:color w:val="000000" w:themeColor="text1"/>
        </w:rPr>
        <w:t>plrMode</w:t>
      </w:r>
      <w:r w:rsidR="004E4848" w:rsidRPr="00A52AB8">
        <w:rPr>
          <w:color w:val="000000" w:themeColor="text1"/>
        </w:rPr>
        <w:t> ]</w:t>
      </w:r>
      <w:r w:rsidRPr="00A52AB8">
        <w:rPr>
          <w:color w:val="000000" w:themeColor="text1"/>
        </w:rPr>
        <w:t xml:space="preserve"> for all blocks of</w:t>
      </w:r>
      <w:r w:rsidR="00271044" w:rsidRPr="00A52AB8">
        <w:rPr>
          <w:color w:val="000000" w:themeColor="text1"/>
        </w:rPr>
        <w:t xml:space="preserve"> the map </w:t>
      </w:r>
      <w:r w:rsidR="006A17DF" w:rsidRPr="00A52AB8">
        <w:rPr>
          <w:color w:val="000000" w:themeColor="text1"/>
        </w:rPr>
        <w:t xml:space="preserve">with index </w:t>
      </w:r>
      <w:r w:rsidR="00271044" w:rsidRPr="00A52AB8">
        <w:rPr>
          <w:color w:val="000000" w:themeColor="text1"/>
        </w:rPr>
        <w:t xml:space="preserve">mapIdx of the </w:t>
      </w:r>
      <w:r w:rsidRPr="00A52AB8">
        <w:rPr>
          <w:color w:val="000000" w:themeColor="text1"/>
        </w:rPr>
        <w:t xml:space="preserve">patch </w:t>
      </w:r>
      <w:r w:rsidR="000C31C4" w:rsidRPr="00A52AB8">
        <w:rPr>
          <w:color w:val="000000" w:themeColor="text1"/>
        </w:rPr>
        <w:t>p</w:t>
      </w:r>
      <w:r w:rsidR="003A56A1" w:rsidRPr="00A52AB8">
        <w:rPr>
          <w:color w:val="000000" w:themeColor="text1"/>
        </w:rPr>
        <w:t xml:space="preserve"> </w:t>
      </w:r>
      <w:r w:rsidR="001E3A91" w:rsidRPr="00A52AB8">
        <w:rPr>
          <w:color w:val="000000" w:themeColor="text1"/>
        </w:rPr>
        <w:t xml:space="preserve">in the current </w:t>
      </w:r>
      <w:r w:rsidR="002A47BD" w:rsidRPr="00A52AB8">
        <w:rPr>
          <w:color w:val="000000" w:themeColor="text1"/>
        </w:rPr>
        <w:t xml:space="preserve">atlas </w:t>
      </w:r>
      <w:r w:rsidR="00B8075E" w:rsidRPr="00A52AB8">
        <w:rPr>
          <w:color w:val="000000" w:themeColor="text1"/>
        </w:rPr>
        <w:t>tile</w:t>
      </w:r>
      <w:r w:rsidR="00CA1C0A" w:rsidRPr="00A52AB8">
        <w:rPr>
          <w:color w:val="000000" w:themeColor="text1"/>
        </w:rPr>
        <w:t xml:space="preserve">, </w:t>
      </w:r>
      <w:r w:rsidR="0036006A" w:rsidRPr="00A52AB8">
        <w:rPr>
          <w:color w:val="000000" w:themeColor="text1"/>
        </w:rPr>
        <w:t xml:space="preserve">with </w:t>
      </w:r>
      <w:r w:rsidR="00B9768A" w:rsidRPr="00A52AB8">
        <w:rPr>
          <w:color w:val="000000" w:themeColor="text1"/>
        </w:rPr>
        <w:t xml:space="preserve">tile </w:t>
      </w:r>
      <w:r w:rsidR="0036006A" w:rsidRPr="00A52AB8">
        <w:rPr>
          <w:color w:val="000000" w:themeColor="text1"/>
        </w:rPr>
        <w:t>ID</w:t>
      </w:r>
      <w:r w:rsidR="00B9768A" w:rsidRPr="00A52AB8">
        <w:rPr>
          <w:color w:val="000000" w:themeColor="text1"/>
        </w:rPr>
        <w:t xml:space="preserve"> equal to</w:t>
      </w:r>
      <w:r w:rsidR="0036006A" w:rsidRPr="00A52AB8">
        <w:rPr>
          <w:color w:val="000000" w:themeColor="text1"/>
        </w:rPr>
        <w:t xml:space="preserve"> tileID</w:t>
      </w:r>
      <w:r w:rsidRPr="00A52AB8">
        <w:rPr>
          <w:color w:val="000000" w:themeColor="text1"/>
        </w:rPr>
        <w:t>. plrd_mode_minus1</w:t>
      </w:r>
      <w:r w:rsidR="009B356D" w:rsidRPr="00A52AB8">
        <w:rPr>
          <w:bCs/>
          <w:color w:val="000000" w:themeColor="text1"/>
        </w:rPr>
        <w:t>[ tileID ][ p ][ mapIdx ]</w:t>
      </w:r>
      <w:r w:rsidRPr="00A52AB8">
        <w:rPr>
          <w:color w:val="000000" w:themeColor="text1"/>
        </w:rPr>
        <w:t xml:space="preserve"> shall be in the range </w:t>
      </w:r>
      <w:r w:rsidR="009C47E0" w:rsidRPr="00A52AB8">
        <w:rPr>
          <w:color w:val="000000" w:themeColor="text1"/>
        </w:rPr>
        <w:t xml:space="preserve">of </w:t>
      </w:r>
      <w:r w:rsidRPr="00A52AB8">
        <w:rPr>
          <w:color w:val="000000" w:themeColor="text1"/>
        </w:rPr>
        <w:t>0</w:t>
      </w:r>
      <w:r w:rsidR="001E3A91" w:rsidRPr="00A52AB8">
        <w:rPr>
          <w:color w:val="000000" w:themeColor="text1"/>
        </w:rPr>
        <w:t xml:space="preserve"> to</w:t>
      </w:r>
      <w:r w:rsidRPr="00A52AB8">
        <w:rPr>
          <w:color w:val="000000" w:themeColor="text1"/>
        </w:rPr>
        <w:t xml:space="preserve"> plr</w:t>
      </w:r>
      <w:r w:rsidR="004A1EED" w:rsidRPr="00A52AB8">
        <w:rPr>
          <w:color w:val="000000" w:themeColor="text1"/>
        </w:rPr>
        <w:t>i</w:t>
      </w:r>
      <w:r w:rsidRPr="00A52AB8">
        <w:rPr>
          <w:color w:val="000000" w:themeColor="text1"/>
        </w:rPr>
        <w:t>_number_of_modes_minus1</w:t>
      </w:r>
      <w:r w:rsidR="004A1EED" w:rsidRPr="00A52AB8">
        <w:rPr>
          <w:color w:val="000000" w:themeColor="text1"/>
        </w:rPr>
        <w:t>[ mapIdx ]</w:t>
      </w:r>
      <w:r w:rsidR="001E3A91" w:rsidRPr="00A52AB8">
        <w:rPr>
          <w:color w:val="000000" w:themeColor="text1"/>
        </w:rPr>
        <w:t>, inclusive</w:t>
      </w:r>
      <w:r w:rsidRPr="00A52AB8">
        <w:rPr>
          <w:color w:val="000000" w:themeColor="text1"/>
        </w:rPr>
        <w:t>.</w:t>
      </w:r>
    </w:p>
    <w:p w14:paraId="400FB1AD" w14:textId="59BE19E8" w:rsidR="009E7A90" w:rsidRPr="00A52AB8" w:rsidRDefault="009E7A90">
      <w:pPr>
        <w:pStyle w:val="Heading3"/>
      </w:pPr>
      <w:bookmarkStart w:id="1378" w:name="_Ref48219458"/>
      <w:bookmarkStart w:id="1379" w:name="_Toc52181619"/>
      <w:r w:rsidRPr="00A52AB8">
        <w:t>Supplemental enhancement information message semantics</w:t>
      </w:r>
      <w:bookmarkEnd w:id="1378"/>
      <w:bookmarkEnd w:id="1379"/>
    </w:p>
    <w:p w14:paraId="35200C6B" w14:textId="4A03E57E" w:rsidR="00D5397D" w:rsidRPr="00A52AB8" w:rsidRDefault="00D5397D">
      <w:pPr>
        <w:rPr>
          <w:szCs w:val="20"/>
        </w:rPr>
      </w:pPr>
      <w:r w:rsidRPr="00A52AB8">
        <w:rPr>
          <w:szCs w:val="20"/>
        </w:rPr>
        <w:t xml:space="preserve">Each SEI message consists of the variables specifying the type payloadType and size payloadSize of the SEI message payload. SEI message payloads are specified in </w:t>
      </w:r>
      <w:r w:rsidRPr="00496A4D">
        <w:rPr>
          <w:szCs w:val="20"/>
        </w:rPr>
        <w:fldChar w:fldCharType="begin"/>
      </w:r>
      <w:r w:rsidRPr="00A52AB8">
        <w:rPr>
          <w:szCs w:val="20"/>
        </w:rPr>
        <w:instrText xml:space="preserve"> REF _Ref7723976 \r \h </w:instrText>
      </w:r>
      <w:r w:rsidR="00025423" w:rsidRPr="00A52AB8">
        <w:rPr>
          <w:szCs w:val="20"/>
        </w:rPr>
        <w:instrText xml:space="preserve"> \* MERGEFORMAT </w:instrText>
      </w:r>
      <w:r w:rsidRPr="00496A4D">
        <w:rPr>
          <w:szCs w:val="20"/>
        </w:rPr>
      </w:r>
      <w:r w:rsidRPr="00496A4D">
        <w:rPr>
          <w:szCs w:val="20"/>
        </w:rPr>
        <w:fldChar w:fldCharType="separate"/>
      </w:r>
      <w:r w:rsidR="00507A67">
        <w:rPr>
          <w:szCs w:val="20"/>
        </w:rPr>
        <w:t>Annex F</w:t>
      </w:r>
      <w:r w:rsidRPr="00496A4D">
        <w:rPr>
          <w:szCs w:val="20"/>
        </w:rPr>
        <w:fldChar w:fldCharType="end"/>
      </w:r>
      <w:r w:rsidRPr="00A52AB8">
        <w:rPr>
          <w:szCs w:val="20"/>
        </w:rPr>
        <w:t>. The derived SEI message payload size payloadSize is specified in bytes and shall be equal to the number of bytes in the SEI message payload.</w:t>
      </w:r>
    </w:p>
    <w:p w14:paraId="29894528" w14:textId="77777777" w:rsidR="00D5397D" w:rsidRPr="00A52AB8" w:rsidRDefault="00F55CCD">
      <w:pPr>
        <w:rPr>
          <w:szCs w:val="20"/>
        </w:rPr>
      </w:pPr>
      <w:r w:rsidRPr="00A52AB8">
        <w:rPr>
          <w:b/>
          <w:szCs w:val="20"/>
        </w:rPr>
        <w:t>sm_</w:t>
      </w:r>
      <w:r w:rsidR="00D5397D" w:rsidRPr="00A52AB8">
        <w:rPr>
          <w:b/>
          <w:szCs w:val="20"/>
        </w:rPr>
        <w:t>payload_type_byte</w:t>
      </w:r>
      <w:r w:rsidR="00D5397D" w:rsidRPr="00A52AB8">
        <w:rPr>
          <w:szCs w:val="20"/>
        </w:rPr>
        <w:t xml:space="preserve"> is a byte of the payload type of an SEI message.</w:t>
      </w:r>
    </w:p>
    <w:p w14:paraId="122ED2AC" w14:textId="77777777" w:rsidR="009E7A90" w:rsidRPr="00A52AB8" w:rsidRDefault="00F55CCD">
      <w:pPr>
        <w:rPr>
          <w:szCs w:val="20"/>
        </w:rPr>
      </w:pPr>
      <w:r w:rsidRPr="00A52AB8">
        <w:rPr>
          <w:b/>
          <w:szCs w:val="20"/>
        </w:rPr>
        <w:t>sm_</w:t>
      </w:r>
      <w:r w:rsidR="00D5397D" w:rsidRPr="00A52AB8">
        <w:rPr>
          <w:b/>
          <w:szCs w:val="20"/>
        </w:rPr>
        <w:t>payload_size_byte</w:t>
      </w:r>
      <w:r w:rsidR="00D5397D" w:rsidRPr="00A52AB8">
        <w:rPr>
          <w:szCs w:val="20"/>
        </w:rPr>
        <w:t xml:space="preserve"> is a byte of the payload size of an SEI message.</w:t>
      </w:r>
    </w:p>
    <w:p w14:paraId="2954BA5F" w14:textId="7A311BD5" w:rsidR="00050339" w:rsidRPr="00A52AB8" w:rsidRDefault="00050339">
      <w:pPr>
        <w:pStyle w:val="Heading1"/>
        <w:rPr>
          <w:color w:val="000000" w:themeColor="text1"/>
        </w:rPr>
      </w:pPr>
      <w:bookmarkStart w:id="1380" w:name="_Toc986756"/>
      <w:bookmarkStart w:id="1381" w:name="_Toc1001297"/>
      <w:bookmarkStart w:id="1382" w:name="_Toc1001834"/>
      <w:bookmarkStart w:id="1383" w:name="_Toc1002648"/>
      <w:bookmarkStart w:id="1384" w:name="_Toc1195885"/>
      <w:bookmarkStart w:id="1385" w:name="_Toc1198905"/>
      <w:bookmarkStart w:id="1386" w:name="_Toc1380562"/>
      <w:bookmarkStart w:id="1387" w:name="_Toc1466928"/>
      <w:bookmarkStart w:id="1388" w:name="_Toc1476899"/>
      <w:bookmarkStart w:id="1389" w:name="_Toc1743299"/>
      <w:bookmarkStart w:id="1390" w:name="_Toc1743844"/>
      <w:bookmarkStart w:id="1391" w:name="_Ref389779808"/>
      <w:bookmarkStart w:id="1392" w:name="_Ref389780080"/>
      <w:bookmarkStart w:id="1393" w:name="_Ref390727343"/>
      <w:bookmarkStart w:id="1394" w:name="_Toc390728112"/>
      <w:bookmarkStart w:id="1395" w:name="_Toc511952638"/>
      <w:bookmarkStart w:id="1396" w:name="_Toc52181620"/>
      <w:bookmarkEnd w:id="1380"/>
      <w:bookmarkEnd w:id="1381"/>
      <w:bookmarkEnd w:id="1382"/>
      <w:bookmarkEnd w:id="1383"/>
      <w:bookmarkEnd w:id="1384"/>
      <w:bookmarkEnd w:id="1385"/>
      <w:bookmarkEnd w:id="1386"/>
      <w:bookmarkEnd w:id="1387"/>
      <w:bookmarkEnd w:id="1388"/>
      <w:bookmarkEnd w:id="1389"/>
      <w:bookmarkEnd w:id="1390"/>
      <w:r w:rsidRPr="00A52AB8">
        <w:rPr>
          <w:color w:val="000000" w:themeColor="text1"/>
        </w:rPr>
        <w:t>Decoding process</w:t>
      </w:r>
      <w:bookmarkEnd w:id="1391"/>
      <w:bookmarkEnd w:id="1392"/>
      <w:bookmarkEnd w:id="1393"/>
      <w:bookmarkEnd w:id="1394"/>
      <w:bookmarkEnd w:id="1395"/>
      <w:bookmarkEnd w:id="1396"/>
    </w:p>
    <w:p w14:paraId="327E9698" w14:textId="45C9ABA3" w:rsidR="00050339" w:rsidRPr="00A52AB8" w:rsidRDefault="00050339">
      <w:pPr>
        <w:pStyle w:val="Heading2"/>
        <w:rPr>
          <w:color w:val="000000" w:themeColor="text1"/>
        </w:rPr>
      </w:pPr>
      <w:bookmarkStart w:id="1397" w:name="_Toc317198780"/>
      <w:bookmarkStart w:id="1398" w:name="_Toc390728113"/>
      <w:bookmarkStart w:id="1399" w:name="_Toc511952639"/>
      <w:bookmarkStart w:id="1400" w:name="_Ref38315968"/>
      <w:bookmarkStart w:id="1401" w:name="_Ref38315980"/>
      <w:bookmarkStart w:id="1402" w:name="_Toc52181621"/>
      <w:r w:rsidRPr="00A52AB8">
        <w:rPr>
          <w:color w:val="000000" w:themeColor="text1"/>
        </w:rPr>
        <w:t>General</w:t>
      </w:r>
      <w:bookmarkEnd w:id="1397"/>
      <w:r w:rsidRPr="00A52AB8">
        <w:rPr>
          <w:color w:val="000000" w:themeColor="text1"/>
        </w:rPr>
        <w:t xml:space="preserve"> decoding process</w:t>
      </w:r>
      <w:bookmarkEnd w:id="1398"/>
      <w:bookmarkEnd w:id="1399"/>
      <w:bookmarkEnd w:id="1400"/>
      <w:bookmarkEnd w:id="1401"/>
      <w:bookmarkEnd w:id="1402"/>
    </w:p>
    <w:p w14:paraId="3D641505" w14:textId="201820A3" w:rsidR="00050339" w:rsidRPr="00A52AB8" w:rsidRDefault="00050339">
      <w:pPr>
        <w:rPr>
          <w:color w:val="000000" w:themeColor="text1"/>
        </w:rPr>
      </w:pPr>
      <w:r w:rsidRPr="00A52AB8">
        <w:rPr>
          <w:color w:val="000000" w:themeColor="text1"/>
        </w:rPr>
        <w:t xml:space="preserve">Input to this process is a </w:t>
      </w:r>
      <w:r w:rsidR="00463CF8" w:rsidRPr="00A52AB8">
        <w:rPr>
          <w:color w:val="000000" w:themeColor="text1"/>
        </w:rPr>
        <w:t>V3C</w:t>
      </w:r>
      <w:r w:rsidR="00806572" w:rsidRPr="00A52AB8">
        <w:rPr>
          <w:color w:val="000000" w:themeColor="text1"/>
        </w:rPr>
        <w:t xml:space="preserve"> </w:t>
      </w:r>
      <w:r w:rsidRPr="00A52AB8">
        <w:rPr>
          <w:color w:val="000000" w:themeColor="text1"/>
        </w:rPr>
        <w:t>bitstream</w:t>
      </w:r>
      <w:r w:rsidR="00AF5455" w:rsidRPr="00A52AB8">
        <w:rPr>
          <w:color w:val="000000" w:themeColor="text1"/>
        </w:rPr>
        <w:t xml:space="preserve"> or a collection of </w:t>
      </w:r>
      <w:r w:rsidR="00463CF8" w:rsidRPr="00A52AB8">
        <w:rPr>
          <w:color w:val="000000" w:themeColor="text1"/>
        </w:rPr>
        <w:t>V3C</w:t>
      </w:r>
      <w:r w:rsidR="00AF5455" w:rsidRPr="00A52AB8">
        <w:rPr>
          <w:color w:val="000000" w:themeColor="text1"/>
        </w:rPr>
        <w:t xml:space="preserve"> sub-bitstrea</w:t>
      </w:r>
      <w:r w:rsidR="00503CBD" w:rsidRPr="00A52AB8">
        <w:rPr>
          <w:color w:val="000000" w:themeColor="text1"/>
        </w:rPr>
        <w:t>ms</w:t>
      </w:r>
      <w:r w:rsidRPr="00A52AB8">
        <w:rPr>
          <w:color w:val="000000" w:themeColor="text1"/>
        </w:rPr>
        <w:t>.</w:t>
      </w:r>
    </w:p>
    <w:p w14:paraId="43872573" w14:textId="53843EB3" w:rsidR="00D208FC" w:rsidRPr="00A52AB8" w:rsidRDefault="00050339">
      <w:pPr>
        <w:rPr>
          <w:color w:val="000000" w:themeColor="text1"/>
        </w:rPr>
      </w:pPr>
      <w:r w:rsidRPr="00A52AB8">
        <w:rPr>
          <w:color w:val="000000" w:themeColor="text1"/>
        </w:rPr>
        <w:t xml:space="preserve">Output of this process </w:t>
      </w:r>
      <w:r w:rsidR="004C0031" w:rsidRPr="00A52AB8">
        <w:rPr>
          <w:color w:val="000000" w:themeColor="text1"/>
        </w:rPr>
        <w:t>is</w:t>
      </w:r>
      <w:r w:rsidRPr="00A52AB8">
        <w:rPr>
          <w:color w:val="000000" w:themeColor="text1"/>
        </w:rPr>
        <w:t xml:space="preserve"> </w:t>
      </w:r>
      <w:r w:rsidR="007E0965" w:rsidRPr="00A52AB8">
        <w:rPr>
          <w:color w:val="000000" w:themeColor="text1"/>
        </w:rPr>
        <w:t xml:space="preserve">the decoded atlas information, </w:t>
      </w:r>
      <w:r w:rsidR="00776661" w:rsidRPr="00A52AB8">
        <w:rPr>
          <w:color w:val="000000" w:themeColor="text1"/>
        </w:rPr>
        <w:t>a set of decoded video streams</w:t>
      </w:r>
      <w:r w:rsidR="00CA639A" w:rsidRPr="00A52AB8">
        <w:rPr>
          <w:color w:val="000000" w:themeColor="text1"/>
        </w:rPr>
        <w:t xml:space="preserve">, corresponding </w:t>
      </w:r>
      <w:r w:rsidR="00F3393F" w:rsidRPr="00A52AB8">
        <w:rPr>
          <w:color w:val="000000" w:themeColor="text1"/>
        </w:rPr>
        <w:t>to</w:t>
      </w:r>
      <w:r w:rsidR="00CA639A" w:rsidRPr="00A52AB8">
        <w:rPr>
          <w:color w:val="000000" w:themeColor="text1"/>
        </w:rPr>
        <w:t xml:space="preserve"> the occupancy, geometry, and attribute, if available, </w:t>
      </w:r>
      <w:r w:rsidR="00366915" w:rsidRPr="00A52AB8">
        <w:rPr>
          <w:color w:val="000000" w:themeColor="text1"/>
        </w:rPr>
        <w:t xml:space="preserve">V3C components, </w:t>
      </w:r>
      <w:r w:rsidR="00EC0069" w:rsidRPr="00A52AB8">
        <w:rPr>
          <w:color w:val="000000" w:themeColor="text1"/>
        </w:rPr>
        <w:t xml:space="preserve">and </w:t>
      </w:r>
      <w:r w:rsidR="00366915" w:rsidRPr="00A52AB8">
        <w:rPr>
          <w:color w:val="000000" w:themeColor="text1"/>
        </w:rPr>
        <w:t xml:space="preserve">other </w:t>
      </w:r>
      <w:r w:rsidR="00CA639A" w:rsidRPr="00A52AB8">
        <w:rPr>
          <w:color w:val="000000" w:themeColor="text1"/>
        </w:rPr>
        <w:t xml:space="preserve">information </w:t>
      </w:r>
      <w:r w:rsidR="00366915" w:rsidRPr="00A52AB8">
        <w:rPr>
          <w:color w:val="000000" w:themeColor="text1"/>
        </w:rPr>
        <w:t xml:space="preserve">associated with </w:t>
      </w:r>
      <w:r w:rsidR="00CA639A" w:rsidRPr="00A52AB8">
        <w:rPr>
          <w:color w:val="000000" w:themeColor="text1"/>
        </w:rPr>
        <w:t xml:space="preserve">the </w:t>
      </w:r>
      <w:r w:rsidR="00304966" w:rsidRPr="00A52AB8">
        <w:rPr>
          <w:color w:val="000000" w:themeColor="text1"/>
        </w:rPr>
        <w:t>CVS</w:t>
      </w:r>
      <w:r w:rsidR="00F3393F" w:rsidRPr="00A52AB8">
        <w:rPr>
          <w:color w:val="000000" w:themeColor="text1"/>
        </w:rPr>
        <w:t xml:space="preserve">, </w:t>
      </w:r>
      <w:r w:rsidR="00366915" w:rsidRPr="00A52AB8">
        <w:rPr>
          <w:color w:val="000000" w:themeColor="text1"/>
        </w:rPr>
        <w:t xml:space="preserve">all of </w:t>
      </w:r>
      <w:r w:rsidR="00F3393F" w:rsidRPr="00A52AB8">
        <w:rPr>
          <w:color w:val="000000" w:themeColor="text1"/>
        </w:rPr>
        <w:t>which are</w:t>
      </w:r>
      <w:r w:rsidR="00776661" w:rsidRPr="00A52AB8">
        <w:rPr>
          <w:color w:val="000000" w:themeColor="text1"/>
        </w:rPr>
        <w:t xml:space="preserve"> needed to </w:t>
      </w:r>
      <w:r w:rsidR="00F3393F" w:rsidRPr="00A52AB8">
        <w:rPr>
          <w:color w:val="000000" w:themeColor="text1"/>
        </w:rPr>
        <w:t>perform</w:t>
      </w:r>
      <w:r w:rsidR="00776661" w:rsidRPr="00A52AB8">
        <w:rPr>
          <w:color w:val="000000" w:themeColor="text1"/>
        </w:rPr>
        <w:t xml:space="preserve"> the 3D reconstruction process </w:t>
      </w:r>
      <w:r w:rsidR="00366915" w:rsidRPr="00A52AB8">
        <w:rPr>
          <w:color w:val="000000" w:themeColor="text1"/>
        </w:rPr>
        <w:t xml:space="preserve">as </w:t>
      </w:r>
      <w:r w:rsidR="00776661" w:rsidRPr="00A52AB8">
        <w:rPr>
          <w:color w:val="000000" w:themeColor="text1"/>
        </w:rPr>
        <w:t xml:space="preserve">specified in </w:t>
      </w:r>
      <w:r w:rsidR="00684310" w:rsidRPr="00A52AB8">
        <w:rPr>
          <w:color w:val="000000" w:themeColor="text1"/>
        </w:rPr>
        <w:t>C</w:t>
      </w:r>
      <w:r w:rsidR="0086472B" w:rsidRPr="00A52AB8">
        <w:rPr>
          <w:color w:val="000000" w:themeColor="text1"/>
        </w:rPr>
        <w:t>lause</w:t>
      </w:r>
      <w:r w:rsidR="00776661" w:rsidRPr="00A52AB8">
        <w:rPr>
          <w:color w:val="000000" w:themeColor="text1"/>
        </w:rPr>
        <w:t xml:space="preserve"> </w:t>
      </w:r>
      <w:r w:rsidR="00D62663" w:rsidRPr="00496A4D">
        <w:rPr>
          <w:color w:val="000000" w:themeColor="text1"/>
        </w:rPr>
        <w:fldChar w:fldCharType="begin"/>
      </w:r>
      <w:r w:rsidR="00D62663" w:rsidRPr="00A52AB8">
        <w:rPr>
          <w:color w:val="000000" w:themeColor="text1"/>
        </w:rPr>
        <w:instrText xml:space="preserve"> REF _Ref516064521 \w \h </w:instrText>
      </w:r>
      <w:r w:rsidR="003F01AC" w:rsidRPr="00A52AB8">
        <w:rPr>
          <w:color w:val="000000" w:themeColor="text1"/>
        </w:rPr>
        <w:instrText xml:space="preserve"> \* MERGEFORMAT </w:instrText>
      </w:r>
      <w:r w:rsidR="00D62663" w:rsidRPr="00496A4D">
        <w:rPr>
          <w:color w:val="000000" w:themeColor="text1"/>
        </w:rPr>
      </w:r>
      <w:r w:rsidR="00D62663" w:rsidRPr="00496A4D">
        <w:rPr>
          <w:color w:val="000000" w:themeColor="text1"/>
        </w:rPr>
        <w:fldChar w:fldCharType="separate"/>
      </w:r>
      <w:r w:rsidR="00507A67">
        <w:rPr>
          <w:color w:val="000000" w:themeColor="text1"/>
        </w:rPr>
        <w:t>10</w:t>
      </w:r>
      <w:r w:rsidR="00D62663" w:rsidRPr="00496A4D">
        <w:rPr>
          <w:color w:val="000000" w:themeColor="text1"/>
        </w:rPr>
        <w:fldChar w:fldCharType="end"/>
      </w:r>
      <w:r w:rsidR="00776661" w:rsidRPr="00A52AB8">
        <w:rPr>
          <w:color w:val="000000" w:themeColor="text1"/>
        </w:rPr>
        <w:t>.</w:t>
      </w:r>
    </w:p>
    <w:p w14:paraId="32B4954E" w14:textId="4BCE6FE0" w:rsidR="00226F77" w:rsidRPr="00A52AB8" w:rsidRDefault="00226F77">
      <w:pPr>
        <w:rPr>
          <w:color w:val="000000" w:themeColor="text1"/>
        </w:rPr>
      </w:pPr>
      <w:r w:rsidRPr="00A52AB8">
        <w:rPr>
          <w:color w:val="000000" w:themeColor="text1"/>
        </w:rPr>
        <w:t>The decoding process is specified such that all decoders that conform to a specifi</w:t>
      </w:r>
      <w:r w:rsidR="007111BD" w:rsidRPr="00A52AB8">
        <w:rPr>
          <w:color w:val="000000" w:themeColor="text1"/>
        </w:rPr>
        <w:t>c</w:t>
      </w:r>
      <w:r w:rsidRPr="00A52AB8">
        <w:rPr>
          <w:color w:val="000000" w:themeColor="text1"/>
        </w:rPr>
        <w:t xml:space="preserve"> </w:t>
      </w:r>
      <w:r w:rsidR="007111BD" w:rsidRPr="00A52AB8">
        <w:rPr>
          <w:color w:val="000000" w:themeColor="text1"/>
        </w:rPr>
        <w:t>image/video cod</w:t>
      </w:r>
      <w:r w:rsidR="00727D86" w:rsidRPr="00A52AB8">
        <w:rPr>
          <w:color w:val="000000" w:themeColor="text1"/>
        </w:rPr>
        <w:t>ing specification</w:t>
      </w:r>
      <w:r w:rsidR="007111BD" w:rsidRPr="00A52AB8">
        <w:rPr>
          <w:color w:val="000000" w:themeColor="text1"/>
        </w:rPr>
        <w:t xml:space="preserve"> and</w:t>
      </w:r>
      <w:r w:rsidR="00727D86" w:rsidRPr="00A52AB8">
        <w:rPr>
          <w:color w:val="000000" w:themeColor="text1"/>
        </w:rPr>
        <w:t xml:space="preserve">, potentially, a specific </w:t>
      </w:r>
      <w:r w:rsidRPr="00A52AB8">
        <w:rPr>
          <w:color w:val="000000" w:themeColor="text1"/>
        </w:rPr>
        <w:t>profile, tier</w:t>
      </w:r>
      <w:r w:rsidR="000A3EB6" w:rsidRPr="00A52AB8">
        <w:rPr>
          <w:color w:val="000000" w:themeColor="text1"/>
        </w:rPr>
        <w:t>,</w:t>
      </w:r>
      <w:r w:rsidRPr="00A52AB8">
        <w:rPr>
          <w:color w:val="000000" w:themeColor="text1"/>
        </w:rPr>
        <w:t xml:space="preserve"> an</w:t>
      </w:r>
      <w:r w:rsidR="00727D86" w:rsidRPr="00A52AB8">
        <w:rPr>
          <w:color w:val="000000" w:themeColor="text1"/>
        </w:rPr>
        <w:t>d</w:t>
      </w:r>
      <w:r w:rsidRPr="00A52AB8">
        <w:rPr>
          <w:color w:val="000000" w:themeColor="text1"/>
        </w:rPr>
        <w:t xml:space="preserve"> level </w:t>
      </w:r>
      <w:r w:rsidR="00727D86" w:rsidRPr="00A52AB8">
        <w:rPr>
          <w:color w:val="000000" w:themeColor="text1"/>
        </w:rPr>
        <w:t xml:space="preserve">that may be defined within such specification, </w:t>
      </w:r>
      <w:r w:rsidRPr="00A52AB8">
        <w:rPr>
          <w:color w:val="000000" w:themeColor="text1"/>
        </w:rPr>
        <w:t>will produce numerically identical outputs when invoking the decoding process associated with that profile for a bitstream conforming to that profile, tier</w:t>
      </w:r>
      <w:r w:rsidR="000A3EB6" w:rsidRPr="00A52AB8">
        <w:rPr>
          <w:color w:val="000000" w:themeColor="text1"/>
        </w:rPr>
        <w:t>,</w:t>
      </w:r>
      <w:r w:rsidRPr="00A52AB8">
        <w:rPr>
          <w:color w:val="000000" w:themeColor="text1"/>
        </w:rPr>
        <w:t xml:space="preserve"> and level. Any decoding process that produces identical outputs to those produced by the process described herein (with the correct output order or output timing, as specified) conforms to the decoding process requirements of </w:t>
      </w:r>
      <w:r w:rsidR="001905CC" w:rsidRPr="00A52AB8">
        <w:rPr>
          <w:color w:val="000000" w:themeColor="text1"/>
        </w:rPr>
        <w:t>this document</w:t>
      </w:r>
      <w:r w:rsidRPr="00A52AB8">
        <w:rPr>
          <w:color w:val="000000" w:themeColor="text1"/>
        </w:rPr>
        <w:t>.</w:t>
      </w:r>
    </w:p>
    <w:p w14:paraId="54D093B9" w14:textId="53ABB575" w:rsidR="002378B5" w:rsidRPr="00A52AB8" w:rsidRDefault="002378B5">
      <w:pPr>
        <w:rPr>
          <w:color w:val="000000" w:themeColor="text1"/>
        </w:rPr>
      </w:pPr>
      <w:r w:rsidRPr="00A52AB8">
        <w:rPr>
          <w:color w:val="000000" w:themeColor="text1"/>
        </w:rPr>
        <w:t>If the input to this process is a V3C bitstream then the V3C bitstream is parsed and demultiplexed into several V3C sub-bitstreams</w:t>
      </w:r>
      <w:r w:rsidR="00F7019E" w:rsidRPr="00A52AB8">
        <w:rPr>
          <w:color w:val="000000" w:themeColor="text1"/>
        </w:rPr>
        <w:t>,</w:t>
      </w:r>
      <w:r w:rsidR="008764AD" w:rsidRPr="00A52AB8">
        <w:rPr>
          <w:color w:val="000000" w:themeColor="text1"/>
        </w:rPr>
        <w:t xml:space="preserve"> as specified in subclause </w:t>
      </w:r>
      <w:r w:rsidR="008764AD" w:rsidRPr="00496A4D">
        <w:rPr>
          <w:color w:val="000000" w:themeColor="text1"/>
        </w:rPr>
        <w:fldChar w:fldCharType="begin"/>
      </w:r>
      <w:r w:rsidR="008764AD" w:rsidRPr="00A52AB8">
        <w:rPr>
          <w:color w:val="000000" w:themeColor="text1"/>
        </w:rPr>
        <w:instrText xml:space="preserve"> REF _Ref49529834 \r \h </w:instrText>
      </w:r>
      <w:r w:rsidR="00F7019E" w:rsidRPr="00A52AB8">
        <w:rPr>
          <w:color w:val="000000" w:themeColor="text1"/>
        </w:rPr>
        <w:instrText xml:space="preserve"> \* MERGEFORMAT </w:instrText>
      </w:r>
      <w:r w:rsidR="008764AD" w:rsidRPr="00496A4D">
        <w:rPr>
          <w:color w:val="000000" w:themeColor="text1"/>
        </w:rPr>
      </w:r>
      <w:r w:rsidR="008764AD" w:rsidRPr="00496A4D">
        <w:rPr>
          <w:color w:val="000000" w:themeColor="text1"/>
        </w:rPr>
        <w:fldChar w:fldCharType="separate"/>
      </w:r>
      <w:r w:rsidR="00507A67">
        <w:rPr>
          <w:color w:val="000000" w:themeColor="text1"/>
        </w:rPr>
        <w:t>9.8.2</w:t>
      </w:r>
      <w:r w:rsidR="008764AD" w:rsidRPr="00496A4D">
        <w:rPr>
          <w:color w:val="000000" w:themeColor="text1"/>
        </w:rPr>
        <w:fldChar w:fldCharType="end"/>
      </w:r>
      <w:r w:rsidR="00F7019E" w:rsidRPr="00A52AB8">
        <w:rPr>
          <w:color w:val="000000" w:themeColor="text1"/>
        </w:rPr>
        <w:t xml:space="preserve"> or by external means</w:t>
      </w:r>
      <w:r w:rsidRPr="00A52AB8">
        <w:rPr>
          <w:color w:val="000000" w:themeColor="text1"/>
        </w:rPr>
        <w:t xml:space="preserve">, </w:t>
      </w:r>
      <w:r w:rsidR="00727D86" w:rsidRPr="00A52AB8">
        <w:rPr>
          <w:color w:val="000000" w:themeColor="text1"/>
        </w:rPr>
        <w:t xml:space="preserve">with </w:t>
      </w:r>
      <w:r w:rsidRPr="00A52AB8">
        <w:rPr>
          <w:color w:val="000000" w:themeColor="text1"/>
        </w:rPr>
        <w:t xml:space="preserve">each </w:t>
      </w:r>
      <w:r w:rsidR="00727D86" w:rsidRPr="00A52AB8">
        <w:rPr>
          <w:color w:val="000000" w:themeColor="text1"/>
        </w:rPr>
        <w:t xml:space="preserve">sub-bitstream </w:t>
      </w:r>
      <w:r w:rsidRPr="00A52AB8">
        <w:rPr>
          <w:color w:val="000000" w:themeColor="text1"/>
        </w:rPr>
        <w:t xml:space="preserve">corresponding to a different set of information. In particular, the V3C bitstream is demultiplexed into one or more atlas bitstreams, if multiple atlases are present, and their associated video bitstreams. Video bitstreams for each atlas may include </w:t>
      </w:r>
      <w:r w:rsidR="0003372C" w:rsidRPr="00A52AB8">
        <w:rPr>
          <w:color w:val="000000" w:themeColor="text1"/>
        </w:rPr>
        <w:t>occupancy</w:t>
      </w:r>
      <w:r w:rsidRPr="00A52AB8">
        <w:rPr>
          <w:color w:val="000000" w:themeColor="text1"/>
        </w:rPr>
        <w:t>, geometry, and attribute components</w:t>
      </w:r>
      <w:r w:rsidR="00652ED1" w:rsidRPr="00A52AB8">
        <w:rPr>
          <w:color w:val="000000" w:themeColor="text1"/>
        </w:rPr>
        <w:t>.</w:t>
      </w:r>
    </w:p>
    <w:p w14:paraId="60BFF77F" w14:textId="74D3DF44" w:rsidR="00652ED1" w:rsidRPr="00A52AB8" w:rsidRDefault="00652ED1">
      <w:pPr>
        <w:rPr>
          <w:color w:val="000000" w:themeColor="text1"/>
        </w:rPr>
      </w:pPr>
      <w:r w:rsidRPr="00A52AB8">
        <w:rPr>
          <w:color w:val="000000" w:themeColor="text1"/>
        </w:rPr>
        <w:t xml:space="preserve">For each atlas, identified by a variable DecAtlasID, which is set equal to vuh_atlas_id </w:t>
      </w:r>
      <w:r w:rsidRPr="00A52AB8">
        <w:t xml:space="preserve">or determined through external means if </w:t>
      </w:r>
      <w:r w:rsidR="00021D32" w:rsidRPr="00A52AB8">
        <w:t xml:space="preserve">the </w:t>
      </w:r>
      <w:r w:rsidRPr="00A52AB8">
        <w:t xml:space="preserve">V3C unit header is unavailable, </w:t>
      </w:r>
      <w:r w:rsidRPr="00A52AB8">
        <w:rPr>
          <w:color w:val="000000" w:themeColor="text1"/>
        </w:rPr>
        <w:t>the following decoding processes are invoked on each of its associated V3C sub-bitstream component:</w:t>
      </w:r>
    </w:p>
    <w:p w14:paraId="3F86B46E" w14:textId="78EDFAF7" w:rsidR="006D1E42" w:rsidRPr="00A52AB8" w:rsidRDefault="006D1E4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The </w:t>
      </w:r>
      <w:r w:rsidR="006600CD" w:rsidRPr="00A52AB8">
        <w:rPr>
          <w:color w:val="000000" w:themeColor="text1"/>
        </w:rPr>
        <w:t>decodi</w:t>
      </w:r>
      <w:r w:rsidR="00FB0CDC" w:rsidRPr="00A52AB8">
        <w:rPr>
          <w:color w:val="000000" w:themeColor="text1"/>
        </w:rPr>
        <w:t>n</w:t>
      </w:r>
      <w:r w:rsidR="006600CD" w:rsidRPr="00A52AB8">
        <w:rPr>
          <w:color w:val="000000" w:themeColor="text1"/>
        </w:rPr>
        <w:t xml:space="preserve">g process for </w:t>
      </w:r>
      <w:r w:rsidR="0035327F" w:rsidRPr="00A52AB8">
        <w:rPr>
          <w:color w:val="000000" w:themeColor="text1"/>
        </w:rPr>
        <w:t xml:space="preserve">the </w:t>
      </w:r>
      <w:r w:rsidR="006600CD" w:rsidRPr="00A52AB8">
        <w:rPr>
          <w:color w:val="000000" w:themeColor="text1"/>
        </w:rPr>
        <w:t xml:space="preserve">V3C sub-bitstream component corresponding to </w:t>
      </w:r>
      <w:r w:rsidR="00F61EEB" w:rsidRPr="00A52AB8">
        <w:rPr>
          <w:color w:val="000000" w:themeColor="text1"/>
        </w:rPr>
        <w:t xml:space="preserve">the </w:t>
      </w:r>
      <w:r w:rsidR="006600CD" w:rsidRPr="00A52AB8">
        <w:rPr>
          <w:color w:val="000000" w:themeColor="text1"/>
        </w:rPr>
        <w:t>atlas component</w:t>
      </w:r>
      <w:r w:rsidR="008764AD" w:rsidRPr="00A52AB8">
        <w:rPr>
          <w:color w:val="000000" w:themeColor="text1"/>
        </w:rPr>
        <w:t xml:space="preserve">, </w:t>
      </w:r>
      <w:r w:rsidR="008370F1" w:rsidRPr="00A52AB8">
        <w:rPr>
          <w:color w:val="000000" w:themeColor="text1"/>
        </w:rPr>
        <w:t xml:space="preserve">which is determined through either examining if </w:t>
      </w:r>
      <w:r w:rsidR="008764AD" w:rsidRPr="00A52AB8">
        <w:rPr>
          <w:color w:val="000000" w:themeColor="text1"/>
        </w:rPr>
        <w:t xml:space="preserve">vuh_unit_type is equal to V3C_AD or </w:t>
      </w:r>
      <w:r w:rsidR="008370F1" w:rsidRPr="00A52AB8">
        <w:rPr>
          <w:color w:val="000000" w:themeColor="text1"/>
        </w:rPr>
        <w:t xml:space="preserve">through </w:t>
      </w:r>
      <w:r w:rsidR="008764AD" w:rsidRPr="00A52AB8">
        <w:rPr>
          <w:color w:val="000000" w:themeColor="text1"/>
        </w:rPr>
        <w:t xml:space="preserve">external means if </w:t>
      </w:r>
      <w:r w:rsidR="00021D32" w:rsidRPr="00A52AB8">
        <w:rPr>
          <w:color w:val="000000" w:themeColor="text1"/>
        </w:rPr>
        <w:t xml:space="preserve">the </w:t>
      </w:r>
      <w:r w:rsidR="008764AD" w:rsidRPr="00A52AB8">
        <w:rPr>
          <w:color w:val="000000" w:themeColor="text1"/>
        </w:rPr>
        <w:t>V3C unit header is unavailable,</w:t>
      </w:r>
      <w:r w:rsidR="00200411" w:rsidRPr="00A52AB8">
        <w:rPr>
          <w:color w:val="000000" w:themeColor="text1"/>
        </w:rPr>
        <w:t xml:space="preserve"> </w:t>
      </w:r>
      <w:r w:rsidR="008764AD" w:rsidRPr="00A52AB8">
        <w:rPr>
          <w:color w:val="000000" w:themeColor="text1"/>
        </w:rPr>
        <w:t>is as specified in sub</w:t>
      </w:r>
      <w:r w:rsidRPr="00A52AB8">
        <w:rPr>
          <w:color w:val="000000" w:themeColor="text1"/>
        </w:rPr>
        <w:t>clause </w:t>
      </w:r>
      <w:r w:rsidRPr="00496A4D">
        <w:rPr>
          <w:color w:val="000000" w:themeColor="text1"/>
        </w:rPr>
        <w:fldChar w:fldCharType="begin"/>
      </w:r>
      <w:r w:rsidRPr="00A52AB8">
        <w:rPr>
          <w:color w:val="000000" w:themeColor="text1"/>
        </w:rPr>
        <w:instrText xml:space="preserve"> REF _Ref516064467 \w \h  \* MERGEFORMAT </w:instrText>
      </w:r>
      <w:r w:rsidRPr="00496A4D">
        <w:rPr>
          <w:color w:val="000000" w:themeColor="text1"/>
        </w:rPr>
      </w:r>
      <w:r w:rsidRPr="00496A4D">
        <w:rPr>
          <w:color w:val="000000" w:themeColor="text1"/>
        </w:rPr>
        <w:fldChar w:fldCharType="separate"/>
      </w:r>
      <w:r w:rsidR="00507A67">
        <w:rPr>
          <w:color w:val="000000" w:themeColor="text1"/>
        </w:rPr>
        <w:t>9.2</w:t>
      </w:r>
      <w:r w:rsidRPr="00496A4D">
        <w:rPr>
          <w:color w:val="000000" w:themeColor="text1"/>
        </w:rPr>
        <w:fldChar w:fldCharType="end"/>
      </w:r>
      <w:r w:rsidRPr="00A52AB8">
        <w:rPr>
          <w:color w:val="000000" w:themeColor="text1"/>
        </w:rPr>
        <w:t>.</w:t>
      </w:r>
      <w:r w:rsidR="008370F1" w:rsidRPr="00A52AB8">
        <w:rPr>
          <w:color w:val="000000" w:themeColor="text1"/>
        </w:rPr>
        <w:t xml:space="preserve"> This V3C sub-bitstream is also referred to as AtlasBitstreamToDecode in this document.</w:t>
      </w:r>
    </w:p>
    <w:p w14:paraId="05F0FEE2" w14:textId="12C608BF" w:rsidR="0050235C" w:rsidRPr="00A52AB8" w:rsidRDefault="0052119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The decoding process for</w:t>
      </w:r>
      <w:r w:rsidR="0035327F" w:rsidRPr="00A52AB8">
        <w:rPr>
          <w:color w:val="000000" w:themeColor="text1"/>
        </w:rPr>
        <w:t xml:space="preserve"> the</w:t>
      </w:r>
      <w:r w:rsidRPr="00A52AB8">
        <w:rPr>
          <w:color w:val="000000" w:themeColor="text1"/>
        </w:rPr>
        <w:t xml:space="preserve"> V3C sub-bitstream component corresponding to </w:t>
      </w:r>
      <w:r w:rsidR="00F61EEB" w:rsidRPr="00A52AB8">
        <w:rPr>
          <w:color w:val="000000" w:themeColor="text1"/>
        </w:rPr>
        <w:t xml:space="preserve">the </w:t>
      </w:r>
      <w:r w:rsidR="0003372C" w:rsidRPr="00A52AB8">
        <w:rPr>
          <w:color w:val="000000" w:themeColor="text1"/>
        </w:rPr>
        <w:t>occupancy</w:t>
      </w:r>
      <w:r w:rsidRPr="00A52AB8">
        <w:rPr>
          <w:color w:val="000000" w:themeColor="text1"/>
        </w:rPr>
        <w:t xml:space="preserve"> component</w:t>
      </w:r>
      <w:r w:rsidR="008764AD" w:rsidRPr="00A52AB8">
        <w:rPr>
          <w:color w:val="000000" w:themeColor="text1"/>
        </w:rPr>
        <w:t xml:space="preserve">, </w:t>
      </w:r>
      <w:r w:rsidR="00F55FAC" w:rsidRPr="00A52AB8">
        <w:rPr>
          <w:color w:val="000000" w:themeColor="text1"/>
        </w:rPr>
        <w:t>which is determined through either examining if</w:t>
      </w:r>
      <w:r w:rsidR="008764AD" w:rsidRPr="00A52AB8">
        <w:rPr>
          <w:color w:val="000000" w:themeColor="text1"/>
        </w:rPr>
        <w:t xml:space="preserve"> vuh_unit_type is equal to V3C_OVD or through external means if </w:t>
      </w:r>
      <w:r w:rsidR="00021D32" w:rsidRPr="00A52AB8">
        <w:rPr>
          <w:color w:val="000000" w:themeColor="text1"/>
        </w:rPr>
        <w:t xml:space="preserve">the </w:t>
      </w:r>
      <w:r w:rsidR="008764AD" w:rsidRPr="00A52AB8">
        <w:rPr>
          <w:color w:val="000000" w:themeColor="text1"/>
        </w:rPr>
        <w:t xml:space="preserve">V3C unit header is unavailable, </w:t>
      </w:r>
      <w:r w:rsidRPr="00A52AB8">
        <w:rPr>
          <w:color w:val="000000" w:themeColor="text1"/>
        </w:rPr>
        <w:t xml:space="preserve">is as specified in </w:t>
      </w:r>
      <w:r w:rsidR="00406A86" w:rsidRPr="00A52AB8">
        <w:rPr>
          <w:color w:val="000000" w:themeColor="text1"/>
        </w:rPr>
        <w:t>subclause</w:t>
      </w:r>
      <w:r w:rsidR="008C7223" w:rsidRPr="00A52AB8">
        <w:rPr>
          <w:color w:val="000000" w:themeColor="text1"/>
        </w:rPr>
        <w:t> </w:t>
      </w:r>
      <w:r w:rsidR="008C7223" w:rsidRPr="00496A4D">
        <w:rPr>
          <w:color w:val="000000" w:themeColor="text1"/>
        </w:rPr>
        <w:fldChar w:fldCharType="begin"/>
      </w:r>
      <w:r w:rsidR="008C7223" w:rsidRPr="00A52AB8">
        <w:rPr>
          <w:color w:val="000000" w:themeColor="text1"/>
        </w:rPr>
        <w:instrText xml:space="preserve"> REF _Ref516064490 \w \h  \* MERGEFORMAT </w:instrText>
      </w:r>
      <w:r w:rsidR="008C7223" w:rsidRPr="00496A4D">
        <w:rPr>
          <w:color w:val="000000" w:themeColor="text1"/>
        </w:rPr>
      </w:r>
      <w:r w:rsidR="008C7223" w:rsidRPr="00496A4D">
        <w:rPr>
          <w:color w:val="000000" w:themeColor="text1"/>
        </w:rPr>
        <w:fldChar w:fldCharType="separate"/>
      </w:r>
      <w:r w:rsidR="00507A67">
        <w:rPr>
          <w:color w:val="000000" w:themeColor="text1"/>
        </w:rPr>
        <w:t>9.3</w:t>
      </w:r>
      <w:r w:rsidR="008C7223" w:rsidRPr="00496A4D">
        <w:rPr>
          <w:color w:val="000000" w:themeColor="text1"/>
        </w:rPr>
        <w:fldChar w:fldCharType="end"/>
      </w:r>
      <w:r w:rsidR="008C7223" w:rsidRPr="00A52AB8">
        <w:rPr>
          <w:color w:val="000000" w:themeColor="text1"/>
        </w:rPr>
        <w:t>.</w:t>
      </w:r>
    </w:p>
    <w:p w14:paraId="7B9922B6" w14:textId="0770030D" w:rsidR="0050235C" w:rsidRPr="00A52AB8" w:rsidRDefault="00050339"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The </w:t>
      </w:r>
      <w:r w:rsidR="00765A32" w:rsidRPr="00A52AB8">
        <w:rPr>
          <w:color w:val="000000" w:themeColor="text1"/>
        </w:rPr>
        <w:t xml:space="preserve">decoding process for </w:t>
      </w:r>
      <w:r w:rsidR="0035327F" w:rsidRPr="00A52AB8">
        <w:rPr>
          <w:color w:val="000000" w:themeColor="text1"/>
        </w:rPr>
        <w:t xml:space="preserve">the </w:t>
      </w:r>
      <w:r w:rsidR="00521196" w:rsidRPr="00A52AB8">
        <w:rPr>
          <w:color w:val="000000" w:themeColor="text1"/>
        </w:rPr>
        <w:t xml:space="preserve">V3C sub-bitstream component </w:t>
      </w:r>
      <w:r w:rsidR="00765A32" w:rsidRPr="00A52AB8">
        <w:rPr>
          <w:color w:val="000000" w:themeColor="text1"/>
        </w:rPr>
        <w:t xml:space="preserve">corresponding to </w:t>
      </w:r>
      <w:r w:rsidR="00F61EEB" w:rsidRPr="00A52AB8">
        <w:rPr>
          <w:color w:val="000000" w:themeColor="text1"/>
        </w:rPr>
        <w:t xml:space="preserve">the </w:t>
      </w:r>
      <w:r w:rsidRPr="00A52AB8">
        <w:rPr>
          <w:color w:val="000000" w:themeColor="text1"/>
        </w:rPr>
        <w:t xml:space="preserve">geometry </w:t>
      </w:r>
      <w:r w:rsidR="00765A32" w:rsidRPr="00A52AB8">
        <w:rPr>
          <w:color w:val="000000" w:themeColor="text1"/>
        </w:rPr>
        <w:t>components</w:t>
      </w:r>
      <w:r w:rsidR="008764AD" w:rsidRPr="00A52AB8">
        <w:rPr>
          <w:color w:val="000000" w:themeColor="text1"/>
        </w:rPr>
        <w:t xml:space="preserve">, </w:t>
      </w:r>
      <w:r w:rsidR="00F55FAC" w:rsidRPr="00A52AB8">
        <w:rPr>
          <w:color w:val="000000" w:themeColor="text1"/>
        </w:rPr>
        <w:t>which is determined through either examining if</w:t>
      </w:r>
      <w:r w:rsidR="008764AD" w:rsidRPr="00A52AB8">
        <w:rPr>
          <w:color w:val="000000" w:themeColor="text1"/>
        </w:rPr>
        <w:t xml:space="preserve"> vuh_unit_type is equal to V3C_GVD or through external means if </w:t>
      </w:r>
      <w:r w:rsidR="00021D32" w:rsidRPr="00A52AB8">
        <w:rPr>
          <w:color w:val="000000" w:themeColor="text1"/>
        </w:rPr>
        <w:t xml:space="preserve">the </w:t>
      </w:r>
      <w:r w:rsidR="008764AD" w:rsidRPr="00A52AB8">
        <w:rPr>
          <w:color w:val="000000" w:themeColor="text1"/>
        </w:rPr>
        <w:t>V3C unit header is unavailable,</w:t>
      </w:r>
      <w:r w:rsidR="00765A32" w:rsidRPr="00A52AB8">
        <w:rPr>
          <w:color w:val="000000" w:themeColor="text1"/>
        </w:rPr>
        <w:t xml:space="preserve"> is</w:t>
      </w:r>
      <w:r w:rsidRPr="00A52AB8">
        <w:rPr>
          <w:color w:val="000000" w:themeColor="text1"/>
        </w:rPr>
        <w:t xml:space="preserve"> as specified in </w:t>
      </w:r>
      <w:r w:rsidR="00406A86" w:rsidRPr="00A52AB8">
        <w:rPr>
          <w:color w:val="000000" w:themeColor="text1"/>
        </w:rPr>
        <w:t>subclause</w:t>
      </w:r>
      <w:r w:rsidRPr="00A52AB8">
        <w:rPr>
          <w:color w:val="000000" w:themeColor="text1"/>
        </w:rPr>
        <w:t> </w:t>
      </w:r>
      <w:r w:rsidR="006D1E42" w:rsidRPr="00496A4D">
        <w:rPr>
          <w:color w:val="000000" w:themeColor="text1"/>
        </w:rPr>
        <w:fldChar w:fldCharType="begin"/>
      </w:r>
      <w:r w:rsidR="006D1E42" w:rsidRPr="00A52AB8">
        <w:rPr>
          <w:color w:val="000000" w:themeColor="text1"/>
        </w:rPr>
        <w:instrText xml:space="preserve"> REF _Ref38443293 \r \h </w:instrText>
      </w:r>
      <w:r w:rsidR="00CA5401" w:rsidRPr="00A52AB8">
        <w:rPr>
          <w:color w:val="000000" w:themeColor="text1"/>
        </w:rPr>
        <w:instrText xml:space="preserve"> \* MERGEFORMAT </w:instrText>
      </w:r>
      <w:r w:rsidR="006D1E42" w:rsidRPr="00496A4D">
        <w:rPr>
          <w:color w:val="000000" w:themeColor="text1"/>
        </w:rPr>
      </w:r>
      <w:r w:rsidR="006D1E42" w:rsidRPr="00496A4D">
        <w:rPr>
          <w:color w:val="000000" w:themeColor="text1"/>
        </w:rPr>
        <w:fldChar w:fldCharType="separate"/>
      </w:r>
      <w:r w:rsidR="00507A67">
        <w:rPr>
          <w:color w:val="000000" w:themeColor="text1"/>
        </w:rPr>
        <w:t>9.4</w:t>
      </w:r>
      <w:r w:rsidR="006D1E42" w:rsidRPr="00496A4D">
        <w:rPr>
          <w:color w:val="000000" w:themeColor="text1"/>
        </w:rPr>
        <w:fldChar w:fldCharType="end"/>
      </w:r>
      <w:r w:rsidRPr="00A52AB8">
        <w:rPr>
          <w:color w:val="000000" w:themeColor="text1"/>
        </w:rPr>
        <w:t>.</w:t>
      </w:r>
    </w:p>
    <w:p w14:paraId="60CDABF2" w14:textId="6402EA60" w:rsidR="00050339" w:rsidRPr="00A52AB8" w:rsidRDefault="00765A3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The decoding process for </w:t>
      </w:r>
      <w:r w:rsidR="0035327F" w:rsidRPr="00A52AB8">
        <w:rPr>
          <w:color w:val="000000" w:themeColor="text1"/>
        </w:rPr>
        <w:t xml:space="preserve">the </w:t>
      </w:r>
      <w:r w:rsidR="00521196" w:rsidRPr="00A52AB8">
        <w:rPr>
          <w:color w:val="000000" w:themeColor="text1"/>
        </w:rPr>
        <w:t xml:space="preserve">V3C sub-bitstream component </w:t>
      </w:r>
      <w:r w:rsidRPr="00A52AB8">
        <w:rPr>
          <w:color w:val="000000" w:themeColor="text1"/>
        </w:rPr>
        <w:t xml:space="preserve">corresponding to </w:t>
      </w:r>
      <w:r w:rsidR="00F61EEB" w:rsidRPr="00A52AB8">
        <w:rPr>
          <w:color w:val="000000" w:themeColor="text1"/>
        </w:rPr>
        <w:t xml:space="preserve">the </w:t>
      </w:r>
      <w:r w:rsidRPr="00A52AB8">
        <w:rPr>
          <w:color w:val="000000" w:themeColor="text1"/>
        </w:rPr>
        <w:t>attribute components</w:t>
      </w:r>
      <w:r w:rsidR="008764AD" w:rsidRPr="00A52AB8">
        <w:rPr>
          <w:color w:val="000000" w:themeColor="text1"/>
        </w:rPr>
        <w:t xml:space="preserve">, </w:t>
      </w:r>
      <w:r w:rsidR="00F55FAC" w:rsidRPr="00A52AB8">
        <w:rPr>
          <w:color w:val="000000" w:themeColor="text1"/>
        </w:rPr>
        <w:t xml:space="preserve">which is determined through either examining if </w:t>
      </w:r>
      <w:r w:rsidR="008764AD" w:rsidRPr="00A52AB8">
        <w:rPr>
          <w:color w:val="000000" w:themeColor="text1"/>
        </w:rPr>
        <w:t xml:space="preserve">vuh_unit_type is equal to V3C_AVD or through external means if </w:t>
      </w:r>
      <w:r w:rsidR="00021D32" w:rsidRPr="00A52AB8">
        <w:rPr>
          <w:color w:val="000000" w:themeColor="text1"/>
        </w:rPr>
        <w:t xml:space="preserve">the </w:t>
      </w:r>
      <w:r w:rsidR="008764AD" w:rsidRPr="00A52AB8">
        <w:rPr>
          <w:color w:val="000000" w:themeColor="text1"/>
        </w:rPr>
        <w:t>V3C unit header is unavailable,</w:t>
      </w:r>
      <w:r w:rsidRPr="00A52AB8">
        <w:rPr>
          <w:color w:val="000000" w:themeColor="text1"/>
        </w:rPr>
        <w:t xml:space="preserve"> is as specified in subclause </w:t>
      </w:r>
      <w:r w:rsidRPr="00496A4D">
        <w:rPr>
          <w:color w:val="000000" w:themeColor="text1"/>
        </w:rPr>
        <w:fldChar w:fldCharType="begin"/>
      </w:r>
      <w:r w:rsidRPr="00A52AB8">
        <w:rPr>
          <w:color w:val="000000" w:themeColor="text1"/>
        </w:rPr>
        <w:instrText xml:space="preserve"> REF _Ref38443294 \r \h </w:instrText>
      </w:r>
      <w:r w:rsidR="00CA5401"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9.5</w:t>
      </w:r>
      <w:r w:rsidRPr="00496A4D">
        <w:rPr>
          <w:color w:val="000000" w:themeColor="text1"/>
        </w:rPr>
        <w:fldChar w:fldCharType="end"/>
      </w:r>
      <w:r w:rsidRPr="00A52AB8">
        <w:rPr>
          <w:color w:val="000000" w:themeColor="text1"/>
        </w:rPr>
        <w:t>.</w:t>
      </w:r>
    </w:p>
    <w:p w14:paraId="0DF244CE" w14:textId="4600161D" w:rsidR="000F78E9" w:rsidRPr="00A52AB8" w:rsidRDefault="000F78E9" w:rsidP="000F78E9">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The decoding process for the V3C sub-bitstream component corresponding to the packed video component, which is determined through either examining if vuh_unit_type is equal to V3C_PVD or through external means if the V3C unit header is unavailable, is as specified in subclause </w:t>
      </w:r>
      <w:r w:rsidRPr="00496A4D">
        <w:rPr>
          <w:color w:val="000000" w:themeColor="text1"/>
          <w:highlight w:val="yellow"/>
        </w:rPr>
        <w:fldChar w:fldCharType="begin"/>
      </w:r>
      <w:r w:rsidRPr="00A52AB8">
        <w:rPr>
          <w:color w:val="000000" w:themeColor="text1"/>
        </w:rPr>
        <w:instrText xml:space="preserve"> REF _Ref51769356 \r \h </w:instrText>
      </w:r>
      <w:r w:rsidRPr="00496A4D">
        <w:rPr>
          <w:color w:val="000000" w:themeColor="text1"/>
          <w:highlight w:val="yellow"/>
        </w:rPr>
      </w:r>
      <w:r w:rsidRPr="00496A4D">
        <w:rPr>
          <w:color w:val="000000" w:themeColor="text1"/>
          <w:highlight w:val="yellow"/>
        </w:rPr>
        <w:fldChar w:fldCharType="separate"/>
      </w:r>
      <w:r w:rsidR="00507A67">
        <w:rPr>
          <w:color w:val="000000" w:themeColor="text1"/>
        </w:rPr>
        <w:t>9.6</w:t>
      </w:r>
      <w:r w:rsidRPr="00496A4D">
        <w:rPr>
          <w:color w:val="000000" w:themeColor="text1"/>
          <w:highlight w:val="yellow"/>
        </w:rPr>
        <w:fldChar w:fldCharType="end"/>
      </w:r>
      <w:r w:rsidRPr="00A52AB8">
        <w:rPr>
          <w:color w:val="000000" w:themeColor="text1"/>
        </w:rPr>
        <w:t>.</w:t>
      </w:r>
    </w:p>
    <w:p w14:paraId="4218FC3C" w14:textId="6C9FF55B" w:rsidR="008B4572" w:rsidRPr="00A52AB8" w:rsidRDefault="008B4572" w:rsidP="008B457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The decoding process for the V3C sub-bitstream component corresponding to the common atlas component, which is determined through either examining if vuh_unit_type is equal to V3C_CAD or through external means if the V3C unit header is unavailable, is as specified in subclause </w:t>
      </w:r>
      <w:r w:rsidR="00380F1C">
        <w:rPr>
          <w:color w:val="000000" w:themeColor="text1"/>
        </w:rPr>
        <w:fldChar w:fldCharType="begin"/>
      </w:r>
      <w:r w:rsidR="00380F1C">
        <w:rPr>
          <w:color w:val="000000" w:themeColor="text1"/>
        </w:rPr>
        <w:instrText xml:space="preserve"> REF _Ref51936778 \r \h </w:instrText>
      </w:r>
      <w:r w:rsidR="00380F1C">
        <w:rPr>
          <w:color w:val="000000" w:themeColor="text1"/>
        </w:rPr>
      </w:r>
      <w:r w:rsidR="00380F1C">
        <w:rPr>
          <w:color w:val="000000" w:themeColor="text1"/>
        </w:rPr>
        <w:fldChar w:fldCharType="separate"/>
      </w:r>
      <w:r w:rsidR="00507A67">
        <w:rPr>
          <w:color w:val="000000" w:themeColor="text1"/>
        </w:rPr>
        <w:t>9.7</w:t>
      </w:r>
      <w:r w:rsidR="00380F1C">
        <w:rPr>
          <w:color w:val="000000" w:themeColor="text1"/>
        </w:rPr>
        <w:fldChar w:fldCharType="end"/>
      </w:r>
      <w:r w:rsidRPr="00A52AB8">
        <w:rPr>
          <w:color w:val="000000" w:themeColor="text1"/>
        </w:rPr>
        <w:t>.</w:t>
      </w:r>
    </w:p>
    <w:p w14:paraId="4D4A5F5F" w14:textId="2AC0ADEF" w:rsidR="00186792" w:rsidRPr="00A52AB8" w:rsidRDefault="00186792">
      <w:pPr>
        <w:rPr>
          <w:color w:val="000000" w:themeColor="text1"/>
        </w:rPr>
      </w:pPr>
      <w:r w:rsidRPr="00A52AB8">
        <w:rPr>
          <w:color w:val="000000" w:themeColor="text1"/>
        </w:rPr>
        <w:t>The decoding process may include additional processing steps required to convert the decoded video streams to a nominal format, i.e. a nominal resolution, bit</w:t>
      </w:r>
      <w:r w:rsidR="00C514C6" w:rsidRPr="00A52AB8">
        <w:rPr>
          <w:color w:val="000000" w:themeColor="text1"/>
        </w:rPr>
        <w:t xml:space="preserve"> </w:t>
      </w:r>
      <w:r w:rsidRPr="00A52AB8">
        <w:rPr>
          <w:color w:val="000000" w:themeColor="text1"/>
        </w:rPr>
        <w:t xml:space="preserve">depth, chroma </w:t>
      </w:r>
      <w:r w:rsidR="00803875" w:rsidRPr="00A52AB8">
        <w:rPr>
          <w:color w:val="000000" w:themeColor="text1"/>
        </w:rPr>
        <w:t>format</w:t>
      </w:r>
      <w:r w:rsidRPr="00A52AB8">
        <w:rPr>
          <w:color w:val="000000" w:themeColor="text1"/>
        </w:rPr>
        <w:t>,</w:t>
      </w:r>
      <w:r w:rsidR="00C50689" w:rsidRPr="00A52AB8">
        <w:rPr>
          <w:color w:val="000000" w:themeColor="text1"/>
        </w:rPr>
        <w:t xml:space="preserve"> etc.</w:t>
      </w:r>
      <w:r w:rsidRPr="00A52AB8">
        <w:rPr>
          <w:color w:val="000000" w:themeColor="text1"/>
        </w:rPr>
        <w:t>. Such conversion process is outside the scope of this document</w:t>
      </w:r>
      <w:r w:rsidR="00373532" w:rsidRPr="00A52AB8">
        <w:rPr>
          <w:color w:val="000000" w:themeColor="text1"/>
        </w:rPr>
        <w:t>.</w:t>
      </w:r>
      <w:r w:rsidRPr="00A52AB8">
        <w:rPr>
          <w:color w:val="000000" w:themeColor="text1"/>
        </w:rPr>
        <w:t xml:space="preserve"> </w:t>
      </w:r>
      <w:r w:rsidR="00373532" w:rsidRPr="00A52AB8">
        <w:rPr>
          <w:color w:val="000000" w:themeColor="text1"/>
        </w:rPr>
        <w:t>H</w:t>
      </w:r>
      <w:r w:rsidRPr="00A52AB8">
        <w:rPr>
          <w:color w:val="000000" w:themeColor="text1"/>
        </w:rPr>
        <w:t>owever</w:t>
      </w:r>
      <w:r w:rsidR="00373532" w:rsidRPr="00A52AB8">
        <w:rPr>
          <w:color w:val="000000" w:themeColor="text1"/>
        </w:rPr>
        <w:t>,</w:t>
      </w:r>
      <w:r w:rsidRPr="00A52AB8">
        <w:rPr>
          <w:color w:val="000000" w:themeColor="text1"/>
        </w:rPr>
        <w:t xml:space="preserve"> for purposes of conformance to point B</w:t>
      </w:r>
      <w:r w:rsidR="00A94856" w:rsidRPr="00A52AB8">
        <w:rPr>
          <w:color w:val="000000" w:themeColor="text1"/>
        </w:rPr>
        <w:t xml:space="preserve">, as defined in </w:t>
      </w:r>
      <w:r w:rsidR="00A94856" w:rsidRPr="00496A4D">
        <w:rPr>
          <w:color w:val="000000" w:themeColor="text1"/>
        </w:rPr>
        <w:fldChar w:fldCharType="begin"/>
      </w:r>
      <w:r w:rsidR="00A94856" w:rsidRPr="00A52AB8">
        <w:rPr>
          <w:color w:val="000000" w:themeColor="text1"/>
        </w:rPr>
        <w:instrText xml:space="preserve"> REF _Ref38898728 \r \h </w:instrText>
      </w:r>
      <w:r w:rsidR="007812ED" w:rsidRPr="00A52AB8">
        <w:rPr>
          <w:color w:val="000000" w:themeColor="text1"/>
        </w:rPr>
        <w:instrText xml:space="preserve"> \* MERGEFORMAT </w:instrText>
      </w:r>
      <w:r w:rsidR="00A94856" w:rsidRPr="00496A4D">
        <w:rPr>
          <w:color w:val="000000" w:themeColor="text1"/>
        </w:rPr>
      </w:r>
      <w:r w:rsidR="00A94856" w:rsidRPr="00496A4D">
        <w:rPr>
          <w:color w:val="000000" w:themeColor="text1"/>
        </w:rPr>
        <w:fldChar w:fldCharType="separate"/>
      </w:r>
      <w:r w:rsidR="00507A67">
        <w:rPr>
          <w:color w:val="000000" w:themeColor="text1"/>
        </w:rPr>
        <w:t>Annex A</w:t>
      </w:r>
      <w:r w:rsidR="00A94856" w:rsidRPr="00496A4D">
        <w:rPr>
          <w:color w:val="000000" w:themeColor="text1"/>
        </w:rPr>
        <w:fldChar w:fldCharType="end"/>
      </w:r>
      <w:r w:rsidR="00A94856" w:rsidRPr="00A52AB8">
        <w:rPr>
          <w:color w:val="000000" w:themeColor="text1"/>
        </w:rPr>
        <w:t>,</w:t>
      </w:r>
      <w:r w:rsidRPr="00A52AB8">
        <w:rPr>
          <w:color w:val="000000" w:themeColor="text1"/>
        </w:rPr>
        <w:t xml:space="preserve"> a</w:t>
      </w:r>
      <w:r w:rsidR="00F55FAC" w:rsidRPr="00A52AB8">
        <w:rPr>
          <w:color w:val="000000" w:themeColor="text1"/>
        </w:rPr>
        <w:t>n ex</w:t>
      </w:r>
      <w:r w:rsidR="00F22BD1" w:rsidRPr="00A52AB8">
        <w:rPr>
          <w:color w:val="000000" w:themeColor="text1"/>
        </w:rPr>
        <w:t>a</w:t>
      </w:r>
      <w:r w:rsidR="00F55FAC" w:rsidRPr="00A52AB8">
        <w:rPr>
          <w:color w:val="000000" w:themeColor="text1"/>
        </w:rPr>
        <w:t>mple</w:t>
      </w:r>
      <w:r w:rsidRPr="00A52AB8">
        <w:rPr>
          <w:color w:val="000000" w:themeColor="text1"/>
        </w:rPr>
        <w:t xml:space="preserve"> process is described in </w:t>
      </w:r>
      <w:r w:rsidRPr="00496A4D">
        <w:rPr>
          <w:color w:val="000000" w:themeColor="text1"/>
        </w:rPr>
        <w:fldChar w:fldCharType="begin"/>
      </w:r>
      <w:r w:rsidRPr="00A52AB8">
        <w:rPr>
          <w:color w:val="000000" w:themeColor="text1"/>
        </w:rPr>
        <w:instrText xml:space="preserve"> REF _Ref38561253 \r \h </w:instrText>
      </w:r>
      <w:r w:rsidR="00CA5401"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Annex B</w:t>
      </w:r>
      <w:r w:rsidRPr="00496A4D">
        <w:rPr>
          <w:color w:val="000000" w:themeColor="text1"/>
        </w:rPr>
        <w:fldChar w:fldCharType="end"/>
      </w:r>
      <w:r w:rsidRPr="00A52AB8">
        <w:rPr>
          <w:color w:val="000000" w:themeColor="text1"/>
        </w:rPr>
        <w:t>.</w:t>
      </w:r>
    </w:p>
    <w:p w14:paraId="3232AA96" w14:textId="77777777" w:rsidR="008B4572" w:rsidRPr="00A52AB8" w:rsidRDefault="008B4572" w:rsidP="008B4572">
      <w:pPr>
        <w:rPr>
          <w:lang w:eastAsia="ja-JP"/>
        </w:rPr>
      </w:pPr>
      <w:r w:rsidRPr="00A52AB8">
        <w:rPr>
          <w:highlight w:val="yellow"/>
          <w:lang w:eastAsia="ja-JP"/>
        </w:rPr>
        <w:t>[Ed.(BK): The terms atlas component, attribute component, etc. are not properly defined.]</w:t>
      </w:r>
    </w:p>
    <w:p w14:paraId="39398E0A" w14:textId="1D715500" w:rsidR="00E52838" w:rsidRPr="00A52AB8" w:rsidRDefault="00E52838">
      <w:pPr>
        <w:rPr>
          <w:color w:val="000000" w:themeColor="text1"/>
        </w:rPr>
      </w:pPr>
      <w:r w:rsidRPr="00A52AB8">
        <w:rPr>
          <w:color w:val="000000" w:themeColor="text1"/>
        </w:rPr>
        <w:t xml:space="preserve">Outputs defined in </w:t>
      </w:r>
      <w:r w:rsidR="0014023C" w:rsidRPr="00A52AB8">
        <w:rPr>
          <w:color w:val="000000" w:themeColor="text1"/>
        </w:rPr>
        <w:t>sub</w:t>
      </w:r>
      <w:r w:rsidRPr="00A52AB8">
        <w:rPr>
          <w:color w:val="000000" w:themeColor="text1"/>
        </w:rPr>
        <w:t xml:space="preserve">clauses </w:t>
      </w:r>
      <w:r w:rsidRPr="00496A4D">
        <w:rPr>
          <w:color w:val="000000" w:themeColor="text1"/>
        </w:rPr>
        <w:fldChar w:fldCharType="begin"/>
      </w:r>
      <w:r w:rsidRPr="00A52AB8">
        <w:rPr>
          <w:color w:val="000000" w:themeColor="text1"/>
        </w:rPr>
        <w:instrText xml:space="preserve"> REF _Ref516064467 \w \h  \* MERGEFORMAT </w:instrText>
      </w:r>
      <w:r w:rsidRPr="00496A4D">
        <w:rPr>
          <w:color w:val="000000" w:themeColor="text1"/>
        </w:rPr>
      </w:r>
      <w:r w:rsidRPr="00496A4D">
        <w:rPr>
          <w:color w:val="000000" w:themeColor="text1"/>
        </w:rPr>
        <w:fldChar w:fldCharType="separate"/>
      </w:r>
      <w:r w:rsidR="00507A67">
        <w:rPr>
          <w:color w:val="000000" w:themeColor="text1"/>
        </w:rPr>
        <w:t>9.2</w:t>
      </w:r>
      <w:r w:rsidRPr="00496A4D">
        <w:rPr>
          <w:color w:val="000000" w:themeColor="text1"/>
        </w:rPr>
        <w:fldChar w:fldCharType="end"/>
      </w:r>
      <w:r w:rsidRPr="00A52AB8">
        <w:rPr>
          <w:color w:val="000000" w:themeColor="text1"/>
        </w:rPr>
        <w:t xml:space="preserve">, </w:t>
      </w:r>
      <w:r w:rsidRPr="00496A4D">
        <w:rPr>
          <w:color w:val="000000" w:themeColor="text1"/>
        </w:rPr>
        <w:fldChar w:fldCharType="begin"/>
      </w:r>
      <w:r w:rsidRPr="00A52AB8">
        <w:rPr>
          <w:color w:val="000000" w:themeColor="text1"/>
        </w:rPr>
        <w:instrText xml:space="preserve"> REF _Ref516064490 \w \h  \* MERGEFORMAT </w:instrText>
      </w:r>
      <w:r w:rsidRPr="00496A4D">
        <w:rPr>
          <w:color w:val="000000" w:themeColor="text1"/>
        </w:rPr>
      </w:r>
      <w:r w:rsidRPr="00496A4D">
        <w:rPr>
          <w:color w:val="000000" w:themeColor="text1"/>
        </w:rPr>
        <w:fldChar w:fldCharType="separate"/>
      </w:r>
      <w:r w:rsidR="00507A67">
        <w:rPr>
          <w:color w:val="000000" w:themeColor="text1"/>
        </w:rPr>
        <w:t>9.3</w:t>
      </w:r>
      <w:r w:rsidRPr="00496A4D">
        <w:rPr>
          <w:color w:val="000000" w:themeColor="text1"/>
        </w:rPr>
        <w:fldChar w:fldCharType="end"/>
      </w:r>
      <w:r w:rsidRPr="00A52AB8">
        <w:rPr>
          <w:color w:val="000000" w:themeColor="text1"/>
        </w:rPr>
        <w:t xml:space="preserve">, </w:t>
      </w:r>
      <w:r w:rsidR="00F4503F" w:rsidRPr="00496A4D">
        <w:rPr>
          <w:color w:val="000000" w:themeColor="text1"/>
        </w:rPr>
        <w:fldChar w:fldCharType="begin"/>
      </w:r>
      <w:r w:rsidR="00F4503F" w:rsidRPr="00A52AB8">
        <w:rPr>
          <w:color w:val="000000" w:themeColor="text1"/>
        </w:rPr>
        <w:instrText xml:space="preserve"> REF _Ref38443293 \r \h </w:instrText>
      </w:r>
      <w:r w:rsidR="00CA5401" w:rsidRPr="00A52AB8">
        <w:rPr>
          <w:color w:val="000000" w:themeColor="text1"/>
        </w:rPr>
        <w:instrText xml:space="preserve"> \* MERGEFORMAT </w:instrText>
      </w:r>
      <w:r w:rsidR="00F4503F" w:rsidRPr="00496A4D">
        <w:rPr>
          <w:color w:val="000000" w:themeColor="text1"/>
        </w:rPr>
      </w:r>
      <w:r w:rsidR="00F4503F" w:rsidRPr="00496A4D">
        <w:rPr>
          <w:color w:val="000000" w:themeColor="text1"/>
        </w:rPr>
        <w:fldChar w:fldCharType="separate"/>
      </w:r>
      <w:r w:rsidR="00507A67">
        <w:rPr>
          <w:color w:val="000000" w:themeColor="text1"/>
        </w:rPr>
        <w:t>9.4</w:t>
      </w:r>
      <w:r w:rsidR="00F4503F" w:rsidRPr="00496A4D">
        <w:rPr>
          <w:color w:val="000000" w:themeColor="text1"/>
        </w:rPr>
        <w:fldChar w:fldCharType="end"/>
      </w:r>
      <w:r w:rsidR="00F4503F" w:rsidRPr="00A52AB8">
        <w:rPr>
          <w:color w:val="000000" w:themeColor="text1"/>
        </w:rPr>
        <w:t xml:space="preserve">, and </w:t>
      </w:r>
      <w:r w:rsidR="00F4503F" w:rsidRPr="00496A4D">
        <w:rPr>
          <w:color w:val="000000" w:themeColor="text1"/>
        </w:rPr>
        <w:fldChar w:fldCharType="begin"/>
      </w:r>
      <w:r w:rsidR="00F4503F" w:rsidRPr="00A52AB8">
        <w:rPr>
          <w:color w:val="000000" w:themeColor="text1"/>
        </w:rPr>
        <w:instrText xml:space="preserve"> REF _Ref38443294 \r \h </w:instrText>
      </w:r>
      <w:r w:rsidR="00CA5401" w:rsidRPr="00A52AB8">
        <w:rPr>
          <w:color w:val="000000" w:themeColor="text1"/>
        </w:rPr>
        <w:instrText xml:space="preserve"> \* MERGEFORMAT </w:instrText>
      </w:r>
      <w:r w:rsidR="00F4503F" w:rsidRPr="00496A4D">
        <w:rPr>
          <w:color w:val="000000" w:themeColor="text1"/>
        </w:rPr>
      </w:r>
      <w:r w:rsidR="00F4503F" w:rsidRPr="00496A4D">
        <w:rPr>
          <w:color w:val="000000" w:themeColor="text1"/>
        </w:rPr>
        <w:fldChar w:fldCharType="separate"/>
      </w:r>
      <w:r w:rsidR="00507A67">
        <w:rPr>
          <w:color w:val="000000" w:themeColor="text1"/>
        </w:rPr>
        <w:t>9.5</w:t>
      </w:r>
      <w:r w:rsidR="00F4503F" w:rsidRPr="00496A4D">
        <w:rPr>
          <w:color w:val="000000" w:themeColor="text1"/>
        </w:rPr>
        <w:fldChar w:fldCharType="end"/>
      </w:r>
      <w:r w:rsidRPr="00A52AB8">
        <w:rPr>
          <w:color w:val="000000" w:themeColor="text1"/>
        </w:rPr>
        <w:t xml:space="preserve"> may have an assigned composition time</w:t>
      </w:r>
      <w:r w:rsidR="00653720" w:rsidRPr="00A52AB8">
        <w:rPr>
          <w:color w:val="000000" w:themeColor="text1"/>
        </w:rPr>
        <w:t xml:space="preserve"> and </w:t>
      </w:r>
      <w:r w:rsidR="003E4F54" w:rsidRPr="00A52AB8">
        <w:rPr>
          <w:color w:val="000000" w:themeColor="text1"/>
        </w:rPr>
        <w:t xml:space="preserve">output </w:t>
      </w:r>
      <w:r w:rsidR="00653720" w:rsidRPr="00A52AB8">
        <w:rPr>
          <w:color w:val="000000" w:themeColor="text1"/>
        </w:rPr>
        <w:t>orde</w:t>
      </w:r>
      <w:r w:rsidR="003E4F54" w:rsidRPr="00A52AB8">
        <w:rPr>
          <w:color w:val="000000" w:themeColor="text1"/>
        </w:rPr>
        <w:t xml:space="preserve">r </w:t>
      </w:r>
      <w:r w:rsidR="00653720" w:rsidRPr="00A52AB8">
        <w:rPr>
          <w:color w:val="000000" w:themeColor="text1"/>
        </w:rPr>
        <w:t>index</w:t>
      </w:r>
      <w:r w:rsidRPr="00A52AB8">
        <w:rPr>
          <w:color w:val="000000" w:themeColor="text1"/>
        </w:rPr>
        <w:t xml:space="preserve">. The composition time </w:t>
      </w:r>
      <w:r w:rsidR="003E4F54" w:rsidRPr="00A52AB8">
        <w:rPr>
          <w:color w:val="000000" w:themeColor="text1"/>
        </w:rPr>
        <w:t xml:space="preserve">and the output order index </w:t>
      </w:r>
      <w:r w:rsidRPr="00A52AB8">
        <w:rPr>
          <w:color w:val="000000" w:themeColor="text1"/>
        </w:rPr>
        <w:t xml:space="preserve">may be provided either in the bitstream or by external means not specified in this document. </w:t>
      </w:r>
      <w:r w:rsidR="003E4F54" w:rsidRPr="00A52AB8">
        <w:rPr>
          <w:color w:val="000000" w:themeColor="text1"/>
        </w:rPr>
        <w:t xml:space="preserve">The </w:t>
      </w:r>
      <w:r w:rsidRPr="00A52AB8">
        <w:rPr>
          <w:color w:val="000000" w:themeColor="text1"/>
        </w:rPr>
        <w:t xml:space="preserve">composition time </w:t>
      </w:r>
      <w:r w:rsidR="003E4F54" w:rsidRPr="00A52AB8">
        <w:rPr>
          <w:color w:val="000000" w:themeColor="text1"/>
        </w:rPr>
        <w:t xml:space="preserve">and the output order index </w:t>
      </w:r>
      <w:r w:rsidRPr="00A52AB8">
        <w:rPr>
          <w:color w:val="000000" w:themeColor="text1"/>
        </w:rPr>
        <w:t xml:space="preserve">may be utilized to </w:t>
      </w:r>
      <w:r w:rsidR="003E4F54" w:rsidRPr="00A52AB8">
        <w:rPr>
          <w:color w:val="000000" w:themeColor="text1"/>
        </w:rPr>
        <w:t xml:space="preserve">determine timing relationships </w:t>
      </w:r>
      <w:r w:rsidR="00830C78" w:rsidRPr="00A52AB8">
        <w:rPr>
          <w:color w:val="000000" w:themeColor="text1"/>
        </w:rPr>
        <w:t xml:space="preserve">of </w:t>
      </w:r>
      <w:r w:rsidR="003E4F54" w:rsidRPr="00A52AB8">
        <w:rPr>
          <w:color w:val="000000" w:themeColor="text1"/>
        </w:rPr>
        <w:t xml:space="preserve">and synchronize V3C components, </w:t>
      </w:r>
      <w:r w:rsidRPr="00A52AB8">
        <w:rPr>
          <w:color w:val="000000" w:themeColor="text1"/>
        </w:rPr>
        <w:t xml:space="preserve">and </w:t>
      </w:r>
      <w:r w:rsidR="00E949EB" w:rsidRPr="00A52AB8">
        <w:rPr>
          <w:color w:val="000000" w:themeColor="text1"/>
        </w:rPr>
        <w:t xml:space="preserve">to </w:t>
      </w:r>
      <w:r w:rsidRPr="00A52AB8">
        <w:rPr>
          <w:color w:val="000000" w:themeColor="text1"/>
        </w:rPr>
        <w:t xml:space="preserve">perform operations as defined in </w:t>
      </w:r>
      <w:r w:rsidR="00E55D7E" w:rsidRPr="00496A4D">
        <w:rPr>
          <w:color w:val="000000" w:themeColor="text1"/>
        </w:rPr>
        <w:fldChar w:fldCharType="begin"/>
      </w:r>
      <w:r w:rsidR="00E55D7E" w:rsidRPr="00A52AB8">
        <w:rPr>
          <w:color w:val="000000" w:themeColor="text1"/>
        </w:rPr>
        <w:instrText xml:space="preserve"> REF _Ref38561253 \r \h </w:instrText>
      </w:r>
      <w:r w:rsidR="00CA5401" w:rsidRPr="00A52AB8">
        <w:rPr>
          <w:color w:val="000000" w:themeColor="text1"/>
        </w:rPr>
        <w:instrText xml:space="preserve"> \* MERGEFORMAT </w:instrText>
      </w:r>
      <w:r w:rsidR="00E55D7E" w:rsidRPr="00496A4D">
        <w:rPr>
          <w:color w:val="000000" w:themeColor="text1"/>
        </w:rPr>
      </w:r>
      <w:r w:rsidR="00E55D7E" w:rsidRPr="00496A4D">
        <w:rPr>
          <w:color w:val="000000" w:themeColor="text1"/>
        </w:rPr>
        <w:fldChar w:fldCharType="separate"/>
      </w:r>
      <w:r w:rsidR="00507A67">
        <w:rPr>
          <w:color w:val="000000" w:themeColor="text1"/>
        </w:rPr>
        <w:t>Annex B</w:t>
      </w:r>
      <w:r w:rsidR="00E55D7E" w:rsidRPr="00496A4D">
        <w:rPr>
          <w:color w:val="000000" w:themeColor="text1"/>
        </w:rPr>
        <w:fldChar w:fldCharType="end"/>
      </w:r>
      <w:r w:rsidRPr="00A52AB8">
        <w:rPr>
          <w:color w:val="000000" w:themeColor="text1"/>
        </w:rPr>
        <w:t>, if required.</w:t>
      </w:r>
    </w:p>
    <w:p w14:paraId="3B5859E1" w14:textId="29B761D8" w:rsidR="00990654" w:rsidRPr="00A52AB8" w:rsidRDefault="003E4F54" w:rsidP="009F7C49">
      <w:pPr>
        <w:pStyle w:val="Note1"/>
        <w:rPr>
          <w:rFonts w:ascii="Cambria" w:hAnsi="Cambria"/>
        </w:rPr>
      </w:pPr>
      <w:r w:rsidRPr="00A52AB8" w:rsidDel="00112A5D">
        <w:rPr>
          <w:rFonts w:ascii="Cambria" w:hAnsi="Cambria"/>
        </w:rPr>
        <w:t>NOTE</w:t>
      </w:r>
      <w:r w:rsidR="00A94250" w:rsidRPr="00A52AB8">
        <w:rPr>
          <w:rFonts w:ascii="Cambria" w:hAnsi="Cambria"/>
        </w:rPr>
        <w:t> </w:t>
      </w:r>
      <w:r w:rsidRPr="00A52AB8" w:rsidDel="00112A5D">
        <w:rPr>
          <w:rFonts w:ascii="Cambria" w:hAnsi="Cambria"/>
        </w:rPr>
        <w:t>– </w:t>
      </w:r>
      <w:r w:rsidR="00910376" w:rsidRPr="00A52AB8">
        <w:rPr>
          <w:rFonts w:ascii="Cambria" w:hAnsi="Cambria"/>
        </w:rPr>
        <w:t>For example, for a video sub-bitstream coded using ISO/IEC 23008-2, the output order index may be associated with the picture order count value of each frame in the sub-bitstream, as specified in ISO/IEC 23008-2.</w:t>
      </w:r>
    </w:p>
    <w:p w14:paraId="6AE2F10C" w14:textId="107F52DF" w:rsidR="00A466AB" w:rsidRPr="00A52AB8" w:rsidRDefault="008672A7">
      <w:pPr>
        <w:pStyle w:val="Heading2"/>
        <w:rPr>
          <w:color w:val="000000" w:themeColor="text1"/>
        </w:rPr>
      </w:pPr>
      <w:bookmarkStart w:id="1403" w:name="_Toc42729979"/>
      <w:bookmarkStart w:id="1404" w:name="_Toc45105435"/>
      <w:bookmarkStart w:id="1405" w:name="_Toc45530293"/>
      <w:bookmarkStart w:id="1406" w:name="_Toc46301645"/>
      <w:bookmarkStart w:id="1407" w:name="_Toc46302470"/>
      <w:bookmarkStart w:id="1408" w:name="_Toc42729980"/>
      <w:bookmarkStart w:id="1409" w:name="_Toc45105436"/>
      <w:bookmarkStart w:id="1410" w:name="_Toc45530294"/>
      <w:bookmarkStart w:id="1411" w:name="_Toc46301646"/>
      <w:bookmarkStart w:id="1412" w:name="_Toc46302471"/>
      <w:bookmarkStart w:id="1413" w:name="_Toc38890690"/>
      <w:bookmarkStart w:id="1414" w:name="_Toc39425281"/>
      <w:bookmarkStart w:id="1415" w:name="_Toc38890691"/>
      <w:bookmarkStart w:id="1416" w:name="_Toc39425282"/>
      <w:bookmarkStart w:id="1417" w:name="_Toc33537265"/>
      <w:bookmarkStart w:id="1418" w:name="_Toc35407607"/>
      <w:bookmarkStart w:id="1419" w:name="_Toc986759"/>
      <w:bookmarkStart w:id="1420" w:name="_Toc1001300"/>
      <w:bookmarkStart w:id="1421" w:name="_Toc1001837"/>
      <w:bookmarkStart w:id="1422" w:name="_Toc1002651"/>
      <w:bookmarkStart w:id="1423" w:name="_Toc1195888"/>
      <w:bookmarkStart w:id="1424" w:name="_Toc1198908"/>
      <w:bookmarkStart w:id="1425" w:name="_Toc1380565"/>
      <w:bookmarkStart w:id="1426" w:name="_Toc1466931"/>
      <w:bookmarkStart w:id="1427" w:name="_Toc1476902"/>
      <w:bookmarkStart w:id="1428" w:name="_Toc1743302"/>
      <w:bookmarkStart w:id="1429" w:name="_Toc1743847"/>
      <w:bookmarkStart w:id="1430" w:name="_Toc38890692"/>
      <w:bookmarkStart w:id="1431" w:name="_Toc39425283"/>
      <w:bookmarkStart w:id="1432" w:name="_Toc38890693"/>
      <w:bookmarkStart w:id="1433" w:name="_Toc39425284"/>
      <w:bookmarkStart w:id="1434" w:name="_Toc33537267"/>
      <w:bookmarkStart w:id="1435" w:name="_Toc35407609"/>
      <w:bookmarkStart w:id="1436" w:name="_Toc33537268"/>
      <w:bookmarkStart w:id="1437" w:name="_Toc35407610"/>
      <w:bookmarkStart w:id="1438" w:name="_Toc33537269"/>
      <w:bookmarkStart w:id="1439" w:name="_Toc35407611"/>
      <w:bookmarkStart w:id="1440" w:name="_Toc33537270"/>
      <w:bookmarkStart w:id="1441" w:name="_Toc35407612"/>
      <w:bookmarkStart w:id="1442" w:name="_Toc533167189"/>
      <w:bookmarkStart w:id="1443" w:name="_Toc533167295"/>
      <w:bookmarkStart w:id="1444" w:name="_Toc38890694"/>
      <w:bookmarkStart w:id="1445" w:name="_Toc39425285"/>
      <w:bookmarkStart w:id="1446" w:name="_Toc38890695"/>
      <w:bookmarkStart w:id="1447" w:name="_Toc39425286"/>
      <w:bookmarkStart w:id="1448" w:name="_Toc38890696"/>
      <w:bookmarkStart w:id="1449" w:name="_Toc39425287"/>
      <w:bookmarkStart w:id="1450" w:name="_Toc38890697"/>
      <w:bookmarkStart w:id="1451" w:name="_Toc39425288"/>
      <w:bookmarkStart w:id="1452" w:name="_Toc33537272"/>
      <w:bookmarkStart w:id="1453" w:name="_Toc35407614"/>
      <w:bookmarkStart w:id="1454" w:name="_Toc33537273"/>
      <w:bookmarkStart w:id="1455" w:name="_Toc35407615"/>
      <w:bookmarkStart w:id="1456" w:name="_Toc33537274"/>
      <w:bookmarkStart w:id="1457" w:name="_Toc35407616"/>
      <w:bookmarkStart w:id="1458" w:name="_Toc33537275"/>
      <w:bookmarkStart w:id="1459" w:name="_Toc35407617"/>
      <w:bookmarkStart w:id="1460" w:name="_Toc33537276"/>
      <w:bookmarkStart w:id="1461" w:name="_Toc35407618"/>
      <w:bookmarkStart w:id="1462" w:name="_Toc529959505"/>
      <w:bookmarkStart w:id="1463" w:name="_Ref516064467"/>
      <w:bookmarkStart w:id="1464" w:name="_Toc5218162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r w:rsidRPr="00A52AB8">
        <w:rPr>
          <w:color w:val="000000" w:themeColor="text1"/>
        </w:rPr>
        <w:t xml:space="preserve">Atlas data </w:t>
      </w:r>
      <w:r w:rsidR="00972B8B" w:rsidRPr="00A52AB8">
        <w:rPr>
          <w:color w:val="000000" w:themeColor="text1"/>
        </w:rPr>
        <w:t>decoding process</w:t>
      </w:r>
      <w:bookmarkEnd w:id="1463"/>
      <w:bookmarkEnd w:id="1464"/>
    </w:p>
    <w:p w14:paraId="1F463BE4" w14:textId="0BF1F1E1" w:rsidR="00077F5A" w:rsidRPr="00A52AB8" w:rsidRDefault="00077F5A">
      <w:pPr>
        <w:pStyle w:val="Heading3"/>
      </w:pPr>
      <w:bookmarkStart w:id="1465" w:name="_Ref38316048"/>
      <w:bookmarkStart w:id="1466" w:name="_Toc52181623"/>
      <w:r w:rsidRPr="00A52AB8">
        <w:t xml:space="preserve">General </w:t>
      </w:r>
      <w:r w:rsidR="008672A7" w:rsidRPr="00A52AB8">
        <w:t xml:space="preserve">atlas data </w:t>
      </w:r>
      <w:r w:rsidRPr="00A52AB8">
        <w:t>decoding process</w:t>
      </w:r>
      <w:bookmarkEnd w:id="1465"/>
      <w:bookmarkEnd w:id="1466"/>
    </w:p>
    <w:p w14:paraId="64746E45" w14:textId="55D88E78" w:rsidR="00972B8B" w:rsidRPr="00A52AB8" w:rsidRDefault="00972B8B">
      <w:pPr>
        <w:rPr>
          <w:color w:val="000000" w:themeColor="text1"/>
        </w:rPr>
      </w:pPr>
      <w:r w:rsidRPr="00A52AB8">
        <w:rPr>
          <w:color w:val="000000" w:themeColor="text1"/>
        </w:rPr>
        <w:t>Input to this process</w:t>
      </w:r>
      <w:r w:rsidR="00077F5A" w:rsidRPr="00A52AB8">
        <w:rPr>
          <w:color w:val="000000" w:themeColor="text1"/>
        </w:rPr>
        <w:t xml:space="preserve"> is t</w:t>
      </w:r>
      <w:r w:rsidR="00BC1D75" w:rsidRPr="00A52AB8">
        <w:rPr>
          <w:color w:val="000000" w:themeColor="text1"/>
        </w:rPr>
        <w:t xml:space="preserve">he </w:t>
      </w:r>
      <w:r w:rsidR="00F7019E" w:rsidRPr="00A52AB8">
        <w:rPr>
          <w:color w:val="000000" w:themeColor="text1"/>
        </w:rPr>
        <w:t>atlas sub-</w:t>
      </w:r>
      <w:r w:rsidRPr="00A52AB8">
        <w:rPr>
          <w:color w:val="000000" w:themeColor="text1"/>
        </w:rPr>
        <w:t xml:space="preserve">bitstream corresponding to </w:t>
      </w:r>
      <w:r w:rsidR="00077F5A" w:rsidRPr="00A52AB8">
        <w:rPr>
          <w:color w:val="000000" w:themeColor="text1"/>
        </w:rPr>
        <w:t xml:space="preserve">the </w:t>
      </w:r>
      <w:r w:rsidR="008672A7" w:rsidRPr="00A52AB8">
        <w:rPr>
          <w:color w:val="000000" w:themeColor="text1"/>
        </w:rPr>
        <w:t xml:space="preserve">atlas </w:t>
      </w:r>
      <w:r w:rsidR="003F7CCA" w:rsidRPr="00A52AB8">
        <w:rPr>
          <w:color w:val="000000" w:themeColor="text1"/>
        </w:rPr>
        <w:t xml:space="preserve">NAL </w:t>
      </w:r>
      <w:r w:rsidR="00077F5A" w:rsidRPr="00A52AB8">
        <w:rPr>
          <w:color w:val="000000" w:themeColor="text1"/>
        </w:rPr>
        <w:t>unit</w:t>
      </w:r>
      <w:r w:rsidR="003F7CCA" w:rsidRPr="00A52AB8">
        <w:rPr>
          <w:color w:val="000000" w:themeColor="text1"/>
        </w:rPr>
        <w:t>s</w:t>
      </w:r>
      <w:r w:rsidR="00C9462F" w:rsidRPr="00A52AB8">
        <w:rPr>
          <w:color w:val="000000" w:themeColor="text1"/>
        </w:rPr>
        <w:t xml:space="preserve"> of </w:t>
      </w:r>
      <w:r w:rsidR="00951BAF" w:rsidRPr="00A52AB8">
        <w:rPr>
          <w:color w:val="000000" w:themeColor="text1"/>
        </w:rPr>
        <w:t>the</w:t>
      </w:r>
      <w:r w:rsidR="00C9462F" w:rsidRPr="00A52AB8">
        <w:rPr>
          <w:color w:val="000000" w:themeColor="text1"/>
        </w:rPr>
        <w:t xml:space="preserve"> atlas </w:t>
      </w:r>
      <w:r w:rsidR="00B005DB" w:rsidRPr="00A52AB8">
        <w:rPr>
          <w:color w:val="000000" w:themeColor="text1"/>
        </w:rPr>
        <w:t xml:space="preserve">component </w:t>
      </w:r>
      <w:r w:rsidR="00C9462F" w:rsidRPr="00A52AB8">
        <w:rPr>
          <w:color w:val="000000" w:themeColor="text1"/>
        </w:rPr>
        <w:t xml:space="preserve">with atlas ID </w:t>
      </w:r>
      <w:r w:rsidR="00203BE2" w:rsidRPr="00A52AB8">
        <w:rPr>
          <w:color w:val="000000" w:themeColor="text1"/>
        </w:rPr>
        <w:t>DecAtlasID</w:t>
      </w:r>
      <w:r w:rsidR="00077F5A" w:rsidRPr="00A52AB8">
        <w:rPr>
          <w:color w:val="000000" w:themeColor="text1"/>
        </w:rPr>
        <w:t xml:space="preserve"> of the </w:t>
      </w:r>
      <w:r w:rsidR="00463CF8" w:rsidRPr="00A52AB8">
        <w:rPr>
          <w:color w:val="000000" w:themeColor="text1"/>
        </w:rPr>
        <w:t>V3C</w:t>
      </w:r>
      <w:r w:rsidR="00CA6619" w:rsidRPr="00A52AB8">
        <w:rPr>
          <w:color w:val="000000" w:themeColor="text1"/>
        </w:rPr>
        <w:t xml:space="preserve"> </w:t>
      </w:r>
      <w:r w:rsidR="00077F5A" w:rsidRPr="00A52AB8">
        <w:rPr>
          <w:color w:val="000000" w:themeColor="text1"/>
        </w:rPr>
        <w:t>bitstream.</w:t>
      </w:r>
    </w:p>
    <w:p w14:paraId="3C3E3E07" w14:textId="77777777" w:rsidR="00762F59" w:rsidRPr="00A52AB8" w:rsidRDefault="00972B8B">
      <w:pPr>
        <w:rPr>
          <w:color w:val="000000" w:themeColor="text1"/>
        </w:rPr>
      </w:pPr>
      <w:r w:rsidRPr="00A52AB8">
        <w:rPr>
          <w:color w:val="000000" w:themeColor="text1"/>
        </w:rPr>
        <w:t>Output</w:t>
      </w:r>
      <w:r w:rsidR="00077F5A" w:rsidRPr="00A52AB8">
        <w:rPr>
          <w:color w:val="000000" w:themeColor="text1"/>
        </w:rPr>
        <w:t>s</w:t>
      </w:r>
      <w:r w:rsidRPr="00A52AB8">
        <w:rPr>
          <w:color w:val="000000" w:themeColor="text1"/>
        </w:rPr>
        <w:t xml:space="preserve"> of this process </w:t>
      </w:r>
      <w:r w:rsidR="00077F5A" w:rsidRPr="00A52AB8">
        <w:rPr>
          <w:color w:val="000000" w:themeColor="text1"/>
        </w:rPr>
        <w:t>are</w:t>
      </w:r>
      <w:r w:rsidR="00762F59" w:rsidRPr="00A52AB8">
        <w:rPr>
          <w:color w:val="000000" w:themeColor="text1"/>
        </w:rPr>
        <w:t>:</w:t>
      </w:r>
    </w:p>
    <w:p w14:paraId="5001F5D9" w14:textId="235EF925" w:rsidR="005C13C2" w:rsidRPr="00A52AB8" w:rsidRDefault="005C13C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the number of decoded atlas</w:t>
      </w:r>
      <w:r w:rsidR="00365B75" w:rsidRPr="00A52AB8">
        <w:rPr>
          <w:color w:val="000000" w:themeColor="text1"/>
        </w:rPr>
        <w:t xml:space="preserve"> frames</w:t>
      </w:r>
      <w:r w:rsidRPr="00A52AB8">
        <w:rPr>
          <w:color w:val="000000" w:themeColor="text1"/>
        </w:rPr>
        <w:t>, NumDecAtlasFrames,</w:t>
      </w:r>
    </w:p>
    <w:p w14:paraId="2A6C8D08" w14:textId="7BBAC642" w:rsidR="00E14D6F" w:rsidRPr="00A52AB8" w:rsidRDefault="005C13C2" w:rsidP="00007BE2">
      <w:pPr>
        <w:pStyle w:val="ListParagraph"/>
        <w:numPr>
          <w:ilvl w:val="0"/>
          <w:numId w:val="308"/>
        </w:numPr>
        <w:ind w:leftChars="0" w:left="763"/>
        <w:rPr>
          <w:color w:val="000000" w:themeColor="text1"/>
        </w:rPr>
      </w:pPr>
      <w:r w:rsidRPr="00A52AB8">
        <w:rPr>
          <w:color w:val="000000" w:themeColor="text1"/>
        </w:rPr>
        <w:t>for each decoded atlas</w:t>
      </w:r>
      <w:r w:rsidR="00A81BE7" w:rsidRPr="00A52AB8">
        <w:rPr>
          <w:color w:val="000000" w:themeColor="text1"/>
        </w:rPr>
        <w:t xml:space="preserve"> frame</w:t>
      </w:r>
      <w:r w:rsidRPr="00A52AB8">
        <w:rPr>
          <w:color w:val="000000" w:themeColor="text1"/>
        </w:rPr>
        <w:t>,</w:t>
      </w:r>
      <w:r w:rsidRPr="00A52AB8" w:rsidDel="005C13C2">
        <w:rPr>
          <w:color w:val="000000" w:themeColor="text1"/>
        </w:rPr>
        <w:t xml:space="preserve"> </w:t>
      </w:r>
      <w:r w:rsidR="00E14D6F" w:rsidRPr="00A52AB8">
        <w:rPr>
          <w:color w:val="000000" w:themeColor="text1"/>
        </w:rPr>
        <w:t xml:space="preserve">the </w:t>
      </w:r>
      <w:r w:rsidRPr="00A52AB8">
        <w:rPr>
          <w:color w:val="000000" w:themeColor="text1"/>
        </w:rPr>
        <w:t xml:space="preserve">corresponding </w:t>
      </w:r>
      <w:r w:rsidR="00E14D6F" w:rsidRPr="00A52AB8">
        <w:t>upper-case variables from subclauses </w:t>
      </w:r>
      <w:r w:rsidR="00E14D6F" w:rsidRPr="00496A4D">
        <w:fldChar w:fldCharType="begin"/>
      </w:r>
      <w:r w:rsidR="00E14D6F" w:rsidRPr="00A52AB8">
        <w:instrText xml:space="preserve"> REF _Ref1191713 \n \h </w:instrText>
      </w:r>
      <w:r w:rsidR="00A81BE7" w:rsidRPr="00A52AB8">
        <w:instrText xml:space="preserve"> \* MERGEFORMAT </w:instrText>
      </w:r>
      <w:r w:rsidR="00E14D6F" w:rsidRPr="00496A4D">
        <w:fldChar w:fldCharType="separate"/>
      </w:r>
      <w:r w:rsidR="00507A67">
        <w:t>9.2.5</w:t>
      </w:r>
      <w:r w:rsidR="00E14D6F" w:rsidRPr="00496A4D">
        <w:fldChar w:fldCharType="end"/>
      </w:r>
      <w:r w:rsidR="00E14D6F" w:rsidRPr="00A52AB8">
        <w:t xml:space="preserve"> and/or </w:t>
      </w:r>
      <w:r w:rsidR="00E14D6F" w:rsidRPr="00496A4D">
        <w:fldChar w:fldCharType="begin"/>
      </w:r>
      <w:r w:rsidR="00E14D6F" w:rsidRPr="00A52AB8">
        <w:instrText xml:space="preserve"> REF _Ref43981624 \n \h </w:instrText>
      </w:r>
      <w:r w:rsidR="00A81BE7" w:rsidRPr="00A52AB8">
        <w:instrText xml:space="preserve"> \* MERGEFORMAT </w:instrText>
      </w:r>
      <w:r w:rsidR="00E14D6F" w:rsidRPr="00496A4D">
        <w:fldChar w:fldCharType="separate"/>
      </w:r>
      <w:r w:rsidR="00507A67">
        <w:t>9.2.7</w:t>
      </w:r>
      <w:r w:rsidR="00E14D6F" w:rsidRPr="00496A4D">
        <w:fldChar w:fldCharType="end"/>
      </w:r>
      <w:r w:rsidRPr="00A52AB8">
        <w:t>,</w:t>
      </w:r>
    </w:p>
    <w:p w14:paraId="7516422F" w14:textId="04DC678C" w:rsidR="00E51E06" w:rsidRPr="00A52AB8" w:rsidRDefault="00762F59"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for each decoded atlas</w:t>
      </w:r>
      <w:r w:rsidR="00A81BE7" w:rsidRPr="00A52AB8">
        <w:rPr>
          <w:color w:val="000000" w:themeColor="text1"/>
        </w:rPr>
        <w:t xml:space="preserve"> frame</w:t>
      </w:r>
      <w:r w:rsidRPr="00A52AB8">
        <w:rPr>
          <w:color w:val="000000" w:themeColor="text1"/>
        </w:rPr>
        <w:t>, the associated geometry</w:t>
      </w:r>
      <w:r w:rsidR="00705245" w:rsidRPr="00A52AB8">
        <w:rPr>
          <w:color w:val="000000" w:themeColor="text1"/>
        </w:rPr>
        <w:t xml:space="preserve">, </w:t>
      </w:r>
      <w:r w:rsidRPr="00A52AB8">
        <w:rPr>
          <w:color w:val="000000" w:themeColor="text1"/>
        </w:rPr>
        <w:t>attribute</w:t>
      </w:r>
      <w:r w:rsidR="00705245" w:rsidRPr="00A52AB8">
        <w:rPr>
          <w:color w:val="000000" w:themeColor="text1"/>
        </w:rPr>
        <w:t>, and occupancy</w:t>
      </w:r>
      <w:r w:rsidRPr="00A52AB8">
        <w:rPr>
          <w:color w:val="000000" w:themeColor="text1"/>
        </w:rPr>
        <w:t xml:space="preserve"> parameters contained in non-ACL NAL units, and</w:t>
      </w:r>
    </w:p>
    <w:p w14:paraId="7A486F67" w14:textId="3EE49F20" w:rsidR="00E51E06" w:rsidRPr="00A52AB8" w:rsidRDefault="00E51E0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the following 1D arrays</w:t>
      </w:r>
      <w:r w:rsidR="005C13C2" w:rsidRPr="00A52AB8">
        <w:rPr>
          <w:color w:val="000000" w:themeColor="text1"/>
        </w:rPr>
        <w:t xml:space="preserve"> of size NumDecAtlasFrames</w:t>
      </w:r>
      <w:r w:rsidR="00C37228" w:rsidRPr="00A52AB8">
        <w:rPr>
          <w:color w:val="000000" w:themeColor="text1"/>
        </w:rPr>
        <w:t>:</w:t>
      </w:r>
    </w:p>
    <w:p w14:paraId="40A97FB7" w14:textId="4B4387F8" w:rsidR="007637D3" w:rsidRPr="00A52AB8" w:rsidRDefault="00C3722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 xml:space="preserve">DecAtlasOutOrdIdx, </w:t>
      </w:r>
      <w:r w:rsidR="00787A4A" w:rsidRPr="00A52AB8">
        <w:rPr>
          <w:color w:val="000000" w:themeColor="text1"/>
        </w:rPr>
        <w:t>indicating</w:t>
      </w:r>
      <w:r w:rsidR="00787A4A" w:rsidRPr="00A52AB8" w:rsidDel="00787A4A">
        <w:rPr>
          <w:color w:val="000000" w:themeColor="text1"/>
        </w:rPr>
        <w:t xml:space="preserve"> </w:t>
      </w:r>
      <w:r w:rsidR="00E51E06" w:rsidRPr="00A52AB8">
        <w:rPr>
          <w:color w:val="000000" w:themeColor="text1"/>
        </w:rPr>
        <w:t xml:space="preserve">the </w:t>
      </w:r>
      <w:r w:rsidRPr="00A52AB8">
        <w:rPr>
          <w:color w:val="000000" w:themeColor="text1"/>
        </w:rPr>
        <w:t xml:space="preserve">atlas </w:t>
      </w:r>
      <w:r w:rsidR="00E51E06" w:rsidRPr="00A52AB8">
        <w:rPr>
          <w:color w:val="000000" w:themeColor="text1"/>
        </w:rPr>
        <w:t>output order index</w:t>
      </w:r>
      <w:r w:rsidRPr="00A52AB8">
        <w:rPr>
          <w:color w:val="000000" w:themeColor="text1"/>
        </w:rPr>
        <w:t>,</w:t>
      </w:r>
      <w:r w:rsidR="00E51E06" w:rsidRPr="00A52AB8">
        <w:rPr>
          <w:color w:val="000000" w:themeColor="text1"/>
        </w:rPr>
        <w:t xml:space="preserve"> and</w:t>
      </w:r>
    </w:p>
    <w:p w14:paraId="56024F8B" w14:textId="109754AA" w:rsidR="00C37228" w:rsidRPr="00A52AB8" w:rsidRDefault="00C3722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 xml:space="preserve">DecAtlasCompTime, </w:t>
      </w:r>
      <w:r w:rsidR="00787A4A" w:rsidRPr="00A52AB8">
        <w:rPr>
          <w:color w:val="000000" w:themeColor="text1"/>
        </w:rPr>
        <w:t>indicating</w:t>
      </w:r>
      <w:r w:rsidR="00787A4A" w:rsidRPr="00A52AB8" w:rsidDel="00787A4A">
        <w:rPr>
          <w:color w:val="000000" w:themeColor="text1"/>
        </w:rPr>
        <w:t xml:space="preserve"> </w:t>
      </w:r>
      <w:r w:rsidR="00E51E06" w:rsidRPr="00A52AB8">
        <w:rPr>
          <w:color w:val="000000" w:themeColor="text1"/>
        </w:rPr>
        <w:t>the</w:t>
      </w:r>
      <w:r w:rsidRPr="00A52AB8">
        <w:rPr>
          <w:color w:val="000000" w:themeColor="text1"/>
        </w:rPr>
        <w:t xml:space="preserve"> atlas</w:t>
      </w:r>
      <w:r w:rsidR="00E51E06" w:rsidRPr="00A52AB8">
        <w:rPr>
          <w:color w:val="000000" w:themeColor="text1"/>
        </w:rPr>
        <w:t xml:space="preserve"> composition time</w:t>
      </w:r>
      <w:r w:rsidRPr="00A52AB8">
        <w:rPr>
          <w:color w:val="000000" w:themeColor="text1"/>
        </w:rPr>
        <w:t>.</w:t>
      </w:r>
    </w:p>
    <w:p w14:paraId="66C30F4E" w14:textId="18EB24AC" w:rsidR="00997619" w:rsidRPr="00A52AB8" w:rsidRDefault="00D96CF1">
      <w:pPr>
        <w:rPr>
          <w:color w:val="000000" w:themeColor="text1"/>
        </w:rPr>
      </w:pPr>
      <w:r w:rsidRPr="00A52AB8">
        <w:rPr>
          <w:color w:val="000000" w:themeColor="text1"/>
        </w:rPr>
        <w:t xml:space="preserve">If the atlas sub-bitstream is encapsulated </w:t>
      </w:r>
      <w:r w:rsidR="00302781" w:rsidRPr="00A52AB8">
        <w:rPr>
          <w:color w:val="000000" w:themeColor="text1"/>
        </w:rPr>
        <w:t xml:space="preserve">using </w:t>
      </w:r>
      <w:r w:rsidRPr="00A52AB8">
        <w:rPr>
          <w:color w:val="000000" w:themeColor="text1"/>
        </w:rPr>
        <w:t xml:space="preserve">the V3C sample stream format, as defined in </w:t>
      </w:r>
      <w:r w:rsidRPr="00496A4D">
        <w:rPr>
          <w:color w:val="000000" w:themeColor="text1"/>
        </w:rPr>
        <w:fldChar w:fldCharType="begin"/>
      </w:r>
      <w:r w:rsidRPr="00A52AB8">
        <w:rPr>
          <w:color w:val="000000" w:themeColor="text1"/>
        </w:rPr>
        <w:instrText xml:space="preserve"> REF _Ref38894897 \n \h </w:instrText>
      </w:r>
      <w:r w:rsidR="00007BE2"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Annex C</w:t>
      </w:r>
      <w:r w:rsidRPr="00496A4D">
        <w:rPr>
          <w:color w:val="000000" w:themeColor="text1"/>
        </w:rPr>
        <w:fldChar w:fldCharType="end"/>
      </w:r>
      <w:r w:rsidRPr="00A52AB8">
        <w:rPr>
          <w:color w:val="000000" w:themeColor="text1"/>
        </w:rPr>
        <w:t xml:space="preserve">, then the composition time can be derived using the atlas frame order count, AFOC, and/or atlas frame timing </w:t>
      </w:r>
      <w:r w:rsidR="007F1406" w:rsidRPr="00A52AB8">
        <w:rPr>
          <w:color w:val="000000" w:themeColor="text1"/>
        </w:rPr>
        <w:t>information</w:t>
      </w:r>
      <w:r w:rsidRPr="00A52AB8">
        <w:rPr>
          <w:color w:val="000000" w:themeColor="text1"/>
        </w:rPr>
        <w:t xml:space="preserve">, if available. </w:t>
      </w:r>
      <w:r w:rsidR="00997619" w:rsidRPr="00A52AB8">
        <w:rPr>
          <w:color w:val="000000" w:themeColor="text1"/>
        </w:rPr>
        <w:t xml:space="preserve">If the atlas sub-bistream is encapsulated within the ISO media file format, the </w:t>
      </w:r>
      <w:r w:rsidRPr="00A52AB8">
        <w:rPr>
          <w:color w:val="000000" w:themeColor="text1"/>
        </w:rPr>
        <w:t xml:space="preserve">atlas </w:t>
      </w:r>
      <w:r w:rsidR="00997619" w:rsidRPr="00A52AB8">
        <w:rPr>
          <w:color w:val="000000" w:themeColor="text1"/>
        </w:rPr>
        <w:t>composition time</w:t>
      </w:r>
      <w:r w:rsidRPr="00A52AB8">
        <w:rPr>
          <w:color w:val="000000" w:themeColor="text1"/>
        </w:rPr>
        <w:t>, DecAtlasCompTime,</w:t>
      </w:r>
      <w:r w:rsidR="00997619" w:rsidRPr="00A52AB8">
        <w:rPr>
          <w:color w:val="000000" w:themeColor="text1"/>
        </w:rPr>
        <w:t xml:space="preserve"> for the atlas sub-bitstream is indicated according to ISO/IEC </w:t>
      </w:r>
      <w:r w:rsidR="009D016E" w:rsidRPr="00A52AB8">
        <w:rPr>
          <w:color w:val="000000" w:themeColor="text1"/>
        </w:rPr>
        <w:t xml:space="preserve">DIS </w:t>
      </w:r>
      <w:r w:rsidR="00997619" w:rsidRPr="00A52AB8">
        <w:rPr>
          <w:color w:val="000000" w:themeColor="text1"/>
        </w:rPr>
        <w:t>23090-10.</w:t>
      </w:r>
      <w:r w:rsidRPr="00A52AB8">
        <w:rPr>
          <w:color w:val="000000" w:themeColor="text1"/>
        </w:rPr>
        <w:t xml:space="preserve"> Otherwise</w:t>
      </w:r>
      <w:r w:rsidR="0080151D" w:rsidRPr="00A52AB8">
        <w:rPr>
          <w:color w:val="000000" w:themeColor="text1"/>
        </w:rPr>
        <w:t>, the atlas composition time is provided through external means and it is outside the scope of this document.</w:t>
      </w:r>
    </w:p>
    <w:p w14:paraId="4E6FD502" w14:textId="35C1F79E" w:rsidR="003C04FF" w:rsidRPr="00A52AB8" w:rsidRDefault="003C04FF">
      <w:pPr>
        <w:rPr>
          <w:color w:val="000000" w:themeColor="text1"/>
        </w:rPr>
      </w:pPr>
      <w:r w:rsidRPr="00A52AB8">
        <w:rPr>
          <w:color w:val="000000" w:themeColor="text1"/>
        </w:rPr>
        <w:t xml:space="preserve">Subclause </w:t>
      </w:r>
      <w:r w:rsidRPr="00496A4D">
        <w:rPr>
          <w:color w:val="000000" w:themeColor="text1"/>
        </w:rPr>
        <w:fldChar w:fldCharType="begin"/>
      </w:r>
      <w:r w:rsidRPr="00A52AB8">
        <w:rPr>
          <w:color w:val="000000" w:themeColor="text1"/>
        </w:rPr>
        <w:instrText xml:space="preserve"> REF _Ref47867895 \r \h </w:instrText>
      </w:r>
      <w:r w:rsidR="006371AA"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9.2.2</w:t>
      </w:r>
      <w:r w:rsidRPr="00496A4D">
        <w:rPr>
          <w:color w:val="000000" w:themeColor="text1"/>
        </w:rPr>
        <w:fldChar w:fldCharType="end"/>
      </w:r>
      <w:r w:rsidRPr="00A52AB8">
        <w:rPr>
          <w:color w:val="000000" w:themeColor="text1"/>
        </w:rPr>
        <w:t xml:space="preserve"> is repeatedly invoked for ea</w:t>
      </w:r>
      <w:r w:rsidR="00F97FC0" w:rsidRPr="00A52AB8">
        <w:rPr>
          <w:color w:val="000000" w:themeColor="text1"/>
        </w:rPr>
        <w:t>c</w:t>
      </w:r>
      <w:r w:rsidRPr="00A52AB8">
        <w:rPr>
          <w:color w:val="000000" w:themeColor="text1"/>
        </w:rPr>
        <w:t>h coded atlas frame in the current atlas bitstream to be decoded, in decoding order.</w:t>
      </w:r>
    </w:p>
    <w:p w14:paraId="334B8758" w14:textId="1909A769" w:rsidR="003C04FF" w:rsidRPr="00A52AB8" w:rsidRDefault="003C04FF" w:rsidP="00F01345">
      <w:pPr>
        <w:pStyle w:val="Heading3"/>
      </w:pPr>
      <w:bookmarkStart w:id="1467" w:name="_Ref47867895"/>
      <w:bookmarkStart w:id="1468" w:name="_Toc52181624"/>
      <w:r w:rsidRPr="00A52AB8">
        <w:t>Decoding process for a coded atlas frame</w:t>
      </w:r>
      <w:bookmarkEnd w:id="1467"/>
      <w:bookmarkEnd w:id="1468"/>
    </w:p>
    <w:p w14:paraId="7393F7BC" w14:textId="77777777" w:rsidR="003C04FF" w:rsidRPr="00A52AB8" w:rsidRDefault="003C04FF">
      <w:r w:rsidRPr="00A52AB8">
        <w:t xml:space="preserve">The decoding processes specified in this subclause apply to each coded atlas frame with nal_layer_id equal to 0, referred to as the current atlas frame and denoted by the </w:t>
      </w:r>
      <w:r w:rsidR="00CF3CBF" w:rsidRPr="00A52AB8">
        <w:t>atlas ID</w:t>
      </w:r>
      <w:r w:rsidRPr="00A52AB8">
        <w:t xml:space="preserve"> </w:t>
      </w:r>
      <w:r w:rsidR="00CF3CBF" w:rsidRPr="00A52AB8">
        <w:rPr>
          <w:color w:val="000000" w:themeColor="text1"/>
        </w:rPr>
        <w:t>DecAtlasID</w:t>
      </w:r>
      <w:r w:rsidRPr="00A52AB8">
        <w:t xml:space="preserve">, in the current </w:t>
      </w:r>
      <w:r w:rsidR="00CF3CBF" w:rsidRPr="00A52AB8">
        <w:t xml:space="preserve">atlas component </w:t>
      </w:r>
      <w:r w:rsidRPr="00A52AB8">
        <w:t>bitstream.</w:t>
      </w:r>
    </w:p>
    <w:p w14:paraId="0E93CD0E" w14:textId="1147FB29" w:rsidR="003C04FF" w:rsidRPr="00A52AB8" w:rsidRDefault="003C04FF">
      <w:r w:rsidRPr="00A52AB8">
        <w:t xml:space="preserve">The decoding process for the current atlas frame takes as inputs the syntax elements and upper-case variables from </w:t>
      </w:r>
      <w:r w:rsidR="00002266" w:rsidRPr="00A52AB8">
        <w:t>C</w:t>
      </w:r>
      <w:r w:rsidRPr="00A52AB8">
        <w:t xml:space="preserve">lause </w:t>
      </w:r>
      <w:r w:rsidRPr="00496A4D">
        <w:fldChar w:fldCharType="begin"/>
      </w:r>
      <w:r w:rsidRPr="00A52AB8">
        <w:instrText xml:space="preserve"> REF _Ref326740334 \r \h </w:instrText>
      </w:r>
      <w:r w:rsidR="006371AA" w:rsidRPr="00A52AB8">
        <w:instrText xml:space="preserve"> \* MERGEFORMAT </w:instrText>
      </w:r>
      <w:r w:rsidRPr="00496A4D">
        <w:fldChar w:fldCharType="separate"/>
      </w:r>
      <w:r w:rsidR="00507A67">
        <w:t>8</w:t>
      </w:r>
      <w:r w:rsidRPr="00496A4D">
        <w:fldChar w:fldCharType="end"/>
      </w:r>
      <w:r w:rsidRPr="00A52AB8">
        <w:t xml:space="preserve">. When interpreting the semantics of each syntax element in each NAL unit, the term "the bitstream" (or part thereof, e.g., a CAS of the bitstream) refers to the current </w:t>
      </w:r>
      <w:r w:rsidR="00CF3CBF" w:rsidRPr="00A52AB8">
        <w:t xml:space="preserve">atlas component </w:t>
      </w:r>
      <w:r w:rsidRPr="00A52AB8">
        <w:t>bitstream (or part thereof).</w:t>
      </w:r>
    </w:p>
    <w:p w14:paraId="69AB0496" w14:textId="2AEE56B9" w:rsidR="0050235C" w:rsidRPr="00A52AB8" w:rsidRDefault="003C04FF">
      <w:pPr>
        <w:pStyle w:val="Default"/>
        <w:jc w:val="both"/>
        <w:rPr>
          <w:rFonts w:ascii="Cambria" w:hAnsi="Cambria"/>
          <w:sz w:val="22"/>
          <w:szCs w:val="22"/>
          <w:lang w:val="en-CA"/>
        </w:rPr>
      </w:pPr>
      <w:r w:rsidRPr="00A52AB8">
        <w:rPr>
          <w:rFonts w:ascii="Cambria" w:hAnsi="Cambria"/>
          <w:sz w:val="22"/>
          <w:szCs w:val="22"/>
          <w:lang w:val="en-CA"/>
        </w:rPr>
        <w:t>When the current atlas frame is a BLA atlas frame that has nal_unit_type equal to NAL_BLA_W_LP</w:t>
      </w:r>
      <w:r w:rsidR="000C1ACB" w:rsidRPr="00A52AB8">
        <w:rPr>
          <w:rFonts w:ascii="Cambria" w:hAnsi="Cambria"/>
          <w:sz w:val="22"/>
          <w:szCs w:val="22"/>
          <w:lang w:val="en-CA"/>
        </w:rPr>
        <w:t xml:space="preserve"> or</w:t>
      </w:r>
      <w:r w:rsidRPr="00A52AB8">
        <w:rPr>
          <w:rFonts w:ascii="Cambria" w:hAnsi="Cambria"/>
          <w:sz w:val="22"/>
          <w:szCs w:val="22"/>
          <w:lang w:val="en-CA"/>
        </w:rPr>
        <w:t xml:space="preserve"> NAL_GBLA_W_LP, or is a CRA </w:t>
      </w:r>
      <w:r w:rsidR="00B72B26" w:rsidRPr="00A52AB8">
        <w:rPr>
          <w:rFonts w:ascii="Cambria" w:hAnsi="Cambria"/>
          <w:sz w:val="22"/>
          <w:szCs w:val="22"/>
          <w:lang w:val="en-CA"/>
        </w:rPr>
        <w:t>atlas frame</w:t>
      </w:r>
      <w:r w:rsidRPr="00A52AB8">
        <w:rPr>
          <w:rFonts w:ascii="Cambria" w:hAnsi="Cambria"/>
          <w:sz w:val="22"/>
          <w:szCs w:val="22"/>
          <w:lang w:val="en-CA"/>
        </w:rPr>
        <w:t>, the following applies:</w:t>
      </w:r>
    </w:p>
    <w:p w14:paraId="6E97E8E5" w14:textId="77777777" w:rsidR="0050235C" w:rsidRPr="00A52AB8" w:rsidRDefault="009404AB"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760" w:hanging="357"/>
        <w:textAlignment w:val="baseline"/>
        <w:rPr>
          <w:color w:val="000000" w:themeColor="text1"/>
        </w:rPr>
      </w:pPr>
      <w:r w:rsidRPr="00A52AB8">
        <w:rPr>
          <w:color w:val="000000" w:themeColor="text1"/>
        </w:rPr>
        <w:t>If some external means not specified in this document is availa</w:t>
      </w:r>
      <w:r w:rsidR="00CF3CBF" w:rsidRPr="00A52AB8">
        <w:rPr>
          <w:color w:val="000000" w:themeColor="text1"/>
        </w:rPr>
        <w:t>b</w:t>
      </w:r>
      <w:r w:rsidRPr="00A52AB8">
        <w:rPr>
          <w:color w:val="000000" w:themeColor="text1"/>
        </w:rPr>
        <w:t xml:space="preserve">le to set the variable </w:t>
      </w:r>
      <w:r w:rsidR="005C1C23" w:rsidRPr="00A52AB8">
        <w:rPr>
          <w:color w:val="000000" w:themeColor="text1"/>
        </w:rPr>
        <w:t>UseAltCabParamsFlag to a value, UseAltC</w:t>
      </w:r>
      <w:r w:rsidR="00CF3CBF" w:rsidRPr="00A52AB8">
        <w:rPr>
          <w:color w:val="000000" w:themeColor="text1"/>
        </w:rPr>
        <w:t>a</w:t>
      </w:r>
      <w:r w:rsidR="005C1C23" w:rsidRPr="00A52AB8">
        <w:rPr>
          <w:color w:val="000000" w:themeColor="text1"/>
        </w:rPr>
        <w:t>bParamsFlag is set equal to the value provided by the external means.</w:t>
      </w:r>
    </w:p>
    <w:p w14:paraId="4ABEFD4E" w14:textId="60DBE2C7" w:rsidR="005C1C23" w:rsidRPr="00A52AB8" w:rsidRDefault="005C1C2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760" w:hanging="357"/>
        <w:textAlignment w:val="baseline"/>
        <w:rPr>
          <w:color w:val="000000" w:themeColor="text1"/>
        </w:rPr>
      </w:pPr>
      <w:r w:rsidRPr="00A52AB8">
        <w:rPr>
          <w:color w:val="000000" w:themeColor="text1"/>
        </w:rPr>
        <w:t>Otherwise, the value of UseAltCabParamsFlag is set equal to 0.</w:t>
      </w:r>
    </w:p>
    <w:p w14:paraId="154424FD" w14:textId="67099E7E" w:rsidR="0050235C" w:rsidRPr="00A52AB8" w:rsidRDefault="003C04FF">
      <w:pPr>
        <w:pStyle w:val="Default"/>
        <w:spacing w:before="120" w:after="240"/>
        <w:jc w:val="both"/>
        <w:rPr>
          <w:rFonts w:ascii="Cambria" w:hAnsi="Cambria"/>
          <w:sz w:val="22"/>
          <w:szCs w:val="22"/>
          <w:lang w:val="en-CA"/>
        </w:rPr>
      </w:pPr>
      <w:r w:rsidRPr="00A52AB8">
        <w:rPr>
          <w:rFonts w:ascii="Cambria" w:hAnsi="Cambria"/>
          <w:sz w:val="22"/>
          <w:szCs w:val="22"/>
          <w:lang w:val="en-CA"/>
        </w:rPr>
        <w:t xml:space="preserve">When the current </w:t>
      </w:r>
      <w:r w:rsidR="005C1C23" w:rsidRPr="00A52AB8">
        <w:rPr>
          <w:rFonts w:ascii="Cambria" w:hAnsi="Cambria"/>
          <w:sz w:val="22"/>
          <w:szCs w:val="22"/>
          <w:lang w:val="en-CA"/>
        </w:rPr>
        <w:t>atlas frame</w:t>
      </w:r>
      <w:r w:rsidRPr="00A52AB8">
        <w:rPr>
          <w:rFonts w:ascii="Cambria" w:hAnsi="Cambria"/>
          <w:sz w:val="22"/>
          <w:szCs w:val="22"/>
          <w:lang w:val="en-CA"/>
        </w:rPr>
        <w:t xml:space="preserve"> is an IRAP </w:t>
      </w:r>
      <w:r w:rsidR="003D47FD" w:rsidRPr="00A52AB8">
        <w:rPr>
          <w:rFonts w:ascii="Cambria" w:hAnsi="Cambria"/>
          <w:sz w:val="22"/>
          <w:szCs w:val="22"/>
          <w:lang w:val="en-CA"/>
        </w:rPr>
        <w:t xml:space="preserve">coded </w:t>
      </w:r>
      <w:r w:rsidR="005C1C23" w:rsidRPr="00A52AB8">
        <w:rPr>
          <w:rFonts w:ascii="Cambria" w:hAnsi="Cambria"/>
          <w:sz w:val="22"/>
          <w:szCs w:val="22"/>
          <w:lang w:val="en-CA"/>
        </w:rPr>
        <w:t>atlas frame</w:t>
      </w:r>
      <w:r w:rsidRPr="00A52AB8">
        <w:rPr>
          <w:rFonts w:ascii="Cambria" w:hAnsi="Cambria"/>
          <w:sz w:val="22"/>
          <w:szCs w:val="22"/>
          <w:lang w:val="en-CA"/>
        </w:rPr>
        <w:t>, the following applies:</w:t>
      </w:r>
    </w:p>
    <w:p w14:paraId="0B8AB346" w14:textId="54CE9C04" w:rsidR="005C1C23" w:rsidRPr="00A52AB8" w:rsidRDefault="005C1C2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760" w:hanging="357"/>
        <w:textAlignment w:val="baseline"/>
        <w:rPr>
          <w:color w:val="000000" w:themeColor="text1"/>
        </w:rPr>
      </w:pPr>
      <w:r w:rsidRPr="00A52AB8">
        <w:rPr>
          <w:color w:val="000000" w:themeColor="text1"/>
        </w:rPr>
        <w:t>If the current atlas frame is an IDR atlas frame, a BLA atlas frame, the first atlas frame in the bitstream in decoding order, or the first atlas frame that follows an end of sequence NAL unit in decoding order, the variable NoOutputBeforeRecoveryFlag is set equal to 1.</w:t>
      </w:r>
    </w:p>
    <w:p w14:paraId="630C3309" w14:textId="3D92CEBE" w:rsidR="005C1C23" w:rsidRPr="00A52AB8" w:rsidRDefault="005C1C2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760" w:hanging="357"/>
        <w:textAlignment w:val="baseline"/>
        <w:rPr>
          <w:color w:val="000000" w:themeColor="text1"/>
        </w:rPr>
      </w:pPr>
      <w:r w:rsidRPr="00A52AB8">
        <w:rPr>
          <w:color w:val="000000" w:themeColor="text1"/>
        </w:rPr>
        <w:t xml:space="preserve">Otherwise, if some external means not specified in this document is available to set the variable HandleCraAsBlaFlag to a value for the current atlas frame, the variable HandleCraAsBlaFlag is set equal to the value provided by the external means and the variable </w:t>
      </w:r>
      <w:bookmarkStart w:id="1469" w:name="_Hlk50822576"/>
      <w:r w:rsidRPr="00A52AB8">
        <w:rPr>
          <w:color w:val="000000" w:themeColor="text1"/>
        </w:rPr>
        <w:t>NoOutputBeforeRecoveryFlag</w:t>
      </w:r>
      <w:bookmarkEnd w:id="1469"/>
      <w:r w:rsidRPr="00A52AB8">
        <w:rPr>
          <w:color w:val="000000" w:themeColor="text1"/>
        </w:rPr>
        <w:t xml:space="preserve"> is set equal to HandleCraAsBlaFlag.</w:t>
      </w:r>
    </w:p>
    <w:p w14:paraId="660EB95B" w14:textId="441216E1" w:rsidR="005C1C23" w:rsidRPr="00A52AB8" w:rsidRDefault="00955654"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760" w:hanging="357"/>
        <w:textAlignment w:val="baseline"/>
        <w:rPr>
          <w:color w:val="000000" w:themeColor="text1"/>
        </w:rPr>
      </w:pPr>
      <w:r w:rsidRPr="00A52AB8">
        <w:rPr>
          <w:color w:val="000000" w:themeColor="text1"/>
        </w:rPr>
        <w:t>Otherwise, the variable HandleCraAsBlaFlag is set equal to 0 and the variable NoOutputBeforeRecoveryFlag is set equal to 0.</w:t>
      </w:r>
    </w:p>
    <w:p w14:paraId="5DE9D723" w14:textId="6432AC89" w:rsidR="00E96435" w:rsidRPr="00A52AB8" w:rsidRDefault="00E96435" w:rsidP="007656E5">
      <w:pPr>
        <w:spacing w:before="120"/>
      </w:pPr>
      <w:r w:rsidRPr="00A52AB8">
        <w:t xml:space="preserve">The decoding process operates as follows for </w:t>
      </w:r>
      <w:r w:rsidR="00955654" w:rsidRPr="00A52AB8">
        <w:t>the current</w:t>
      </w:r>
      <w:r w:rsidR="008A12F5" w:rsidRPr="00A52AB8">
        <w:t xml:space="preserve"> atlas frame</w:t>
      </w:r>
      <w:r w:rsidRPr="00A52AB8">
        <w:t>:</w:t>
      </w:r>
    </w:p>
    <w:p w14:paraId="6EEF35F3" w14:textId="37B41ABC" w:rsidR="00E96435" w:rsidRPr="00A52AB8" w:rsidRDefault="00E96435" w:rsidP="001000BF">
      <w:pPr>
        <w:numPr>
          <w:ilvl w:val="0"/>
          <w:numId w:val="73"/>
        </w:numPr>
        <w:tabs>
          <w:tab w:val="clear" w:pos="403"/>
          <w:tab w:val="clear" w:pos="757"/>
          <w:tab w:val="clear" w:pos="1210"/>
          <w:tab w:val="clear" w:pos="1613"/>
          <w:tab w:val="left" w:pos="700"/>
          <w:tab w:val="left" w:pos="1191"/>
          <w:tab w:val="left" w:pos="1588"/>
          <w:tab w:val="left" w:pos="1985"/>
          <w:tab w:val="num" w:pos="2500"/>
        </w:tabs>
        <w:overflowPunct w:val="0"/>
        <w:autoSpaceDE w:val="0"/>
        <w:autoSpaceDN w:val="0"/>
        <w:adjustRightInd w:val="0"/>
        <w:spacing w:before="136" w:after="0" w:line="240" w:lineRule="auto"/>
        <w:ind w:left="700"/>
        <w:textAlignment w:val="baseline"/>
      </w:pPr>
      <w:r w:rsidRPr="00A52AB8">
        <w:t xml:space="preserve">The decoding of </w:t>
      </w:r>
      <w:r w:rsidR="008672A7" w:rsidRPr="00A52AB8">
        <w:t xml:space="preserve">atlas </w:t>
      </w:r>
      <w:r w:rsidR="00FC4654" w:rsidRPr="00A52AB8">
        <w:t xml:space="preserve">NAL </w:t>
      </w:r>
      <w:r w:rsidRPr="00A52AB8">
        <w:t xml:space="preserve">units is specified in </w:t>
      </w:r>
      <w:r w:rsidR="00406A86" w:rsidRPr="00A52AB8">
        <w:t>subclause</w:t>
      </w:r>
      <w:r w:rsidR="00077F5A" w:rsidRPr="00A52AB8">
        <w:t xml:space="preserve"> </w:t>
      </w:r>
      <w:r w:rsidR="00077F5A" w:rsidRPr="00496A4D">
        <w:fldChar w:fldCharType="begin"/>
      </w:r>
      <w:r w:rsidR="00077F5A" w:rsidRPr="00A52AB8">
        <w:instrText xml:space="preserve"> REF _Ref1136789 \r \h </w:instrText>
      </w:r>
      <w:r w:rsidR="00025423" w:rsidRPr="00A52AB8">
        <w:instrText xml:space="preserve"> \* MERGEFORMAT </w:instrText>
      </w:r>
      <w:r w:rsidR="00077F5A" w:rsidRPr="00496A4D">
        <w:fldChar w:fldCharType="separate"/>
      </w:r>
      <w:r w:rsidR="00507A67">
        <w:t>9.2.3</w:t>
      </w:r>
      <w:r w:rsidR="00077F5A" w:rsidRPr="00496A4D">
        <w:fldChar w:fldCharType="end"/>
      </w:r>
      <w:r w:rsidRPr="00A52AB8">
        <w:t>.</w:t>
      </w:r>
    </w:p>
    <w:p w14:paraId="69F59C1E" w14:textId="2B0FD606" w:rsidR="00E96435" w:rsidRPr="00A52AB8" w:rsidRDefault="00E96435" w:rsidP="001000BF">
      <w:pPr>
        <w:numPr>
          <w:ilvl w:val="0"/>
          <w:numId w:val="73"/>
        </w:numPr>
        <w:tabs>
          <w:tab w:val="clear" w:pos="403"/>
          <w:tab w:val="clear" w:pos="757"/>
          <w:tab w:val="clear" w:pos="1210"/>
          <w:tab w:val="clear" w:pos="1613"/>
          <w:tab w:val="left" w:pos="700"/>
          <w:tab w:val="left" w:pos="1191"/>
          <w:tab w:val="left" w:pos="1588"/>
          <w:tab w:val="left" w:pos="1985"/>
          <w:tab w:val="num" w:pos="2500"/>
        </w:tabs>
        <w:overflowPunct w:val="0"/>
        <w:autoSpaceDE w:val="0"/>
        <w:autoSpaceDN w:val="0"/>
        <w:adjustRightInd w:val="0"/>
        <w:spacing w:before="136" w:after="0" w:line="240" w:lineRule="auto"/>
        <w:ind w:left="700"/>
        <w:textAlignment w:val="baseline"/>
      </w:pPr>
      <w:r w:rsidRPr="00A52AB8">
        <w:t xml:space="preserve">The processes in </w:t>
      </w:r>
      <w:r w:rsidR="00406A86" w:rsidRPr="00A52AB8">
        <w:t>subclause</w:t>
      </w:r>
      <w:r w:rsidR="00077F5A" w:rsidRPr="00A52AB8">
        <w:t xml:space="preserve"> </w:t>
      </w:r>
      <w:r w:rsidR="00077F5A" w:rsidRPr="00496A4D">
        <w:fldChar w:fldCharType="begin"/>
      </w:r>
      <w:r w:rsidR="00077F5A" w:rsidRPr="00A52AB8">
        <w:instrText xml:space="preserve"> REF _Ref1136816 \r \h </w:instrText>
      </w:r>
      <w:r w:rsidR="00025423" w:rsidRPr="00A52AB8">
        <w:instrText xml:space="preserve"> \* MERGEFORMAT </w:instrText>
      </w:r>
      <w:r w:rsidR="00077F5A" w:rsidRPr="00496A4D">
        <w:fldChar w:fldCharType="separate"/>
      </w:r>
      <w:r w:rsidR="00507A67">
        <w:t>9.2.4</w:t>
      </w:r>
      <w:r w:rsidR="00077F5A" w:rsidRPr="00496A4D">
        <w:fldChar w:fldCharType="end"/>
      </w:r>
      <w:r w:rsidRPr="00A52AB8">
        <w:t xml:space="preserve"> specify the following decoding processes using syntax elements in the </w:t>
      </w:r>
      <w:r w:rsidR="008F0D00" w:rsidRPr="00A52AB8">
        <w:t xml:space="preserve">atlas </w:t>
      </w:r>
      <w:r w:rsidR="00FE0F6D" w:rsidRPr="00A52AB8">
        <w:t xml:space="preserve">tile </w:t>
      </w:r>
      <w:r w:rsidRPr="00A52AB8">
        <w:t>header layer and above:</w:t>
      </w:r>
    </w:p>
    <w:p w14:paraId="6047ED73" w14:textId="22726914" w:rsidR="0050235C" w:rsidRPr="00A52AB8" w:rsidRDefault="00E9643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 xml:space="preserve">Variables and functions relating to </w:t>
      </w:r>
      <w:r w:rsidR="00A80B90" w:rsidRPr="00A52AB8">
        <w:rPr>
          <w:color w:val="000000" w:themeColor="text1"/>
        </w:rPr>
        <w:t xml:space="preserve">the </w:t>
      </w:r>
      <w:r w:rsidR="008F0D00" w:rsidRPr="00A52AB8">
        <w:rPr>
          <w:color w:val="000000" w:themeColor="text1"/>
        </w:rPr>
        <w:t>atlas frame</w:t>
      </w:r>
      <w:r w:rsidRPr="00A52AB8">
        <w:rPr>
          <w:color w:val="000000" w:themeColor="text1"/>
        </w:rPr>
        <w:t xml:space="preserve"> order count are derived as specified in </w:t>
      </w:r>
      <w:r w:rsidR="00406A86" w:rsidRPr="00A52AB8">
        <w:rPr>
          <w:color w:val="000000" w:themeColor="text1"/>
        </w:rPr>
        <w:t>subclause</w:t>
      </w:r>
      <w:r w:rsidRPr="00A52AB8">
        <w:rPr>
          <w:color w:val="000000" w:themeColor="text1"/>
        </w:rPr>
        <w:t xml:space="preserve"> </w:t>
      </w:r>
      <w:r w:rsidR="00077F5A" w:rsidRPr="00496A4D">
        <w:rPr>
          <w:color w:val="000000" w:themeColor="text1"/>
        </w:rPr>
        <w:fldChar w:fldCharType="begin"/>
      </w:r>
      <w:r w:rsidR="00077F5A" w:rsidRPr="00A52AB8">
        <w:rPr>
          <w:color w:val="000000" w:themeColor="text1"/>
        </w:rPr>
        <w:instrText xml:space="preserve"> REF _Ref1136819 \r \h </w:instrText>
      </w:r>
      <w:r w:rsidR="00025423" w:rsidRPr="00A52AB8">
        <w:rPr>
          <w:color w:val="000000" w:themeColor="text1"/>
        </w:rPr>
        <w:instrText xml:space="preserve"> \* MERGEFORMAT </w:instrText>
      </w:r>
      <w:r w:rsidR="00077F5A" w:rsidRPr="00496A4D">
        <w:rPr>
          <w:color w:val="000000" w:themeColor="text1"/>
        </w:rPr>
      </w:r>
      <w:r w:rsidR="00077F5A" w:rsidRPr="00496A4D">
        <w:rPr>
          <w:color w:val="000000" w:themeColor="text1"/>
        </w:rPr>
        <w:fldChar w:fldCharType="separate"/>
      </w:r>
      <w:r w:rsidR="00507A67">
        <w:rPr>
          <w:color w:val="000000" w:themeColor="text1"/>
        </w:rPr>
        <w:t>9.2.4.1</w:t>
      </w:r>
      <w:r w:rsidR="00077F5A" w:rsidRPr="00496A4D">
        <w:rPr>
          <w:color w:val="000000" w:themeColor="text1"/>
        </w:rPr>
        <w:fldChar w:fldCharType="end"/>
      </w:r>
      <w:r w:rsidRPr="00A52AB8">
        <w:rPr>
          <w:color w:val="000000" w:themeColor="text1"/>
        </w:rPr>
        <w:t>.</w:t>
      </w:r>
    </w:p>
    <w:p w14:paraId="70B9F39A" w14:textId="2211FE20" w:rsidR="00E96435" w:rsidRPr="00A52AB8" w:rsidRDefault="00E9643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 xml:space="preserve">At the beginning of the decoding process for each </w:t>
      </w:r>
      <w:r w:rsidR="008F0D00" w:rsidRPr="00A52AB8">
        <w:rPr>
          <w:color w:val="000000" w:themeColor="text1"/>
        </w:rPr>
        <w:t xml:space="preserve">atlas </w:t>
      </w:r>
      <w:r w:rsidR="008C3890" w:rsidRPr="00A52AB8">
        <w:rPr>
          <w:color w:val="000000" w:themeColor="text1"/>
        </w:rPr>
        <w:t>tile</w:t>
      </w:r>
      <w:r w:rsidRPr="00A52AB8">
        <w:rPr>
          <w:color w:val="000000" w:themeColor="text1"/>
        </w:rPr>
        <w:t>, the reference</w:t>
      </w:r>
      <w:r w:rsidR="00077F5A" w:rsidRPr="00A52AB8">
        <w:rPr>
          <w:color w:val="000000" w:themeColor="text1"/>
        </w:rPr>
        <w:t xml:space="preserve"> </w:t>
      </w:r>
      <w:r w:rsidR="008F0D00" w:rsidRPr="00A52AB8">
        <w:rPr>
          <w:color w:val="000000" w:themeColor="text1"/>
        </w:rPr>
        <w:t>atlas frame</w:t>
      </w:r>
      <w:r w:rsidRPr="00A52AB8">
        <w:rPr>
          <w:color w:val="000000" w:themeColor="text1"/>
        </w:rPr>
        <w:t xml:space="preserve"> list construction </w:t>
      </w:r>
      <w:r w:rsidR="00077F5A" w:rsidRPr="00A52AB8">
        <w:rPr>
          <w:color w:val="000000" w:themeColor="text1"/>
        </w:rPr>
        <w:t xml:space="preserve">process </w:t>
      </w:r>
      <w:r w:rsidRPr="00A52AB8">
        <w:rPr>
          <w:color w:val="000000" w:themeColor="text1"/>
        </w:rPr>
        <w:t xml:space="preserve">specified in </w:t>
      </w:r>
      <w:r w:rsidR="00406A86" w:rsidRPr="00A52AB8">
        <w:rPr>
          <w:color w:val="000000" w:themeColor="text1"/>
        </w:rPr>
        <w:t>subclause</w:t>
      </w:r>
      <w:r w:rsidRPr="00A52AB8">
        <w:rPr>
          <w:color w:val="000000" w:themeColor="text1"/>
        </w:rPr>
        <w:t xml:space="preserve"> </w:t>
      </w:r>
      <w:r w:rsidR="005A445F" w:rsidRPr="00496A4D">
        <w:rPr>
          <w:color w:val="000000" w:themeColor="text1"/>
        </w:rPr>
        <w:fldChar w:fldCharType="begin"/>
      </w:r>
      <w:r w:rsidR="005A445F" w:rsidRPr="00A52AB8">
        <w:rPr>
          <w:color w:val="000000" w:themeColor="text1"/>
        </w:rPr>
        <w:instrText xml:space="preserve"> REF _Ref1143623 \r \h </w:instrText>
      </w:r>
      <w:r w:rsidR="00025423" w:rsidRPr="00A52AB8">
        <w:rPr>
          <w:color w:val="000000" w:themeColor="text1"/>
        </w:rPr>
        <w:instrText xml:space="preserve"> \* MERGEFORMAT </w:instrText>
      </w:r>
      <w:r w:rsidR="005A445F" w:rsidRPr="00496A4D">
        <w:rPr>
          <w:color w:val="000000" w:themeColor="text1"/>
        </w:rPr>
      </w:r>
      <w:r w:rsidR="005A445F" w:rsidRPr="00496A4D">
        <w:rPr>
          <w:color w:val="000000" w:themeColor="text1"/>
        </w:rPr>
        <w:fldChar w:fldCharType="separate"/>
      </w:r>
      <w:r w:rsidR="00507A67">
        <w:rPr>
          <w:color w:val="000000" w:themeColor="text1"/>
        </w:rPr>
        <w:t>9.2.4.3</w:t>
      </w:r>
      <w:r w:rsidR="005A445F" w:rsidRPr="00496A4D">
        <w:rPr>
          <w:color w:val="000000" w:themeColor="text1"/>
        </w:rPr>
        <w:fldChar w:fldCharType="end"/>
      </w:r>
      <w:r w:rsidRPr="00A52AB8">
        <w:rPr>
          <w:color w:val="000000" w:themeColor="text1"/>
        </w:rPr>
        <w:t xml:space="preserve"> is invoked for </w:t>
      </w:r>
      <w:r w:rsidR="00077F5A" w:rsidRPr="00A52AB8">
        <w:rPr>
          <w:color w:val="000000" w:themeColor="text1"/>
        </w:rPr>
        <w:t xml:space="preserve">the </w:t>
      </w:r>
      <w:r w:rsidRPr="00A52AB8">
        <w:rPr>
          <w:color w:val="000000" w:themeColor="text1"/>
        </w:rPr>
        <w:t xml:space="preserve">derivation of </w:t>
      </w:r>
      <w:r w:rsidR="00077F5A" w:rsidRPr="00A52AB8">
        <w:rPr>
          <w:color w:val="000000" w:themeColor="text1"/>
        </w:rPr>
        <w:t xml:space="preserve">the reference </w:t>
      </w:r>
      <w:r w:rsidR="008F0D00" w:rsidRPr="00A52AB8">
        <w:rPr>
          <w:color w:val="000000" w:themeColor="text1"/>
        </w:rPr>
        <w:t>atlas frame</w:t>
      </w:r>
      <w:r w:rsidR="00077F5A" w:rsidRPr="00A52AB8">
        <w:rPr>
          <w:color w:val="000000" w:themeColor="text1"/>
        </w:rPr>
        <w:t xml:space="preserve"> </w:t>
      </w:r>
      <w:r w:rsidRPr="00A52AB8">
        <w:rPr>
          <w:color w:val="000000" w:themeColor="text1"/>
        </w:rPr>
        <w:t>list</w:t>
      </w:r>
      <w:r w:rsidR="00077F5A" w:rsidRPr="00A52AB8">
        <w:rPr>
          <w:color w:val="000000" w:themeColor="text1"/>
        </w:rPr>
        <w:t xml:space="preserve">, </w:t>
      </w:r>
      <w:r w:rsidR="00D477ED" w:rsidRPr="00A52AB8">
        <w:rPr>
          <w:color w:val="000000" w:themeColor="text1"/>
        </w:rPr>
        <w:t>Ref</w:t>
      </w:r>
      <w:r w:rsidR="00EB723C" w:rsidRPr="00A52AB8">
        <w:rPr>
          <w:color w:val="000000" w:themeColor="text1"/>
        </w:rPr>
        <w:t>AtlasFrm</w:t>
      </w:r>
      <w:r w:rsidRPr="00A52AB8">
        <w:rPr>
          <w:color w:val="000000" w:themeColor="text1"/>
        </w:rPr>
        <w:t>List</w:t>
      </w:r>
      <w:r w:rsidR="00077F5A" w:rsidRPr="00A52AB8">
        <w:rPr>
          <w:color w:val="000000" w:themeColor="text1"/>
        </w:rPr>
        <w:t>.</w:t>
      </w:r>
    </w:p>
    <w:p w14:paraId="28C34738" w14:textId="1498C05C" w:rsidR="004A64C8" w:rsidRPr="00A52AB8" w:rsidRDefault="00E9643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 xml:space="preserve">The reference </w:t>
      </w:r>
      <w:r w:rsidR="008F0D00" w:rsidRPr="00A52AB8">
        <w:rPr>
          <w:color w:val="000000" w:themeColor="text1"/>
        </w:rPr>
        <w:t>atlas frame</w:t>
      </w:r>
      <w:r w:rsidRPr="00A52AB8">
        <w:rPr>
          <w:color w:val="000000" w:themeColor="text1"/>
        </w:rPr>
        <w:t xml:space="preserve"> marking </w:t>
      </w:r>
      <w:r w:rsidR="00077F5A" w:rsidRPr="00A52AB8">
        <w:rPr>
          <w:color w:val="000000" w:themeColor="text1"/>
        </w:rPr>
        <w:t xml:space="preserve">process </w:t>
      </w:r>
      <w:r w:rsidRPr="00A52AB8">
        <w:rPr>
          <w:color w:val="000000" w:themeColor="text1"/>
        </w:rPr>
        <w:t xml:space="preserve">in </w:t>
      </w:r>
      <w:r w:rsidR="00406A86" w:rsidRPr="00A52AB8">
        <w:rPr>
          <w:color w:val="000000" w:themeColor="text1"/>
        </w:rPr>
        <w:t>subclause</w:t>
      </w:r>
      <w:r w:rsidRPr="00A52AB8">
        <w:rPr>
          <w:color w:val="000000" w:themeColor="text1"/>
        </w:rPr>
        <w:t xml:space="preserve"> </w:t>
      </w:r>
      <w:r w:rsidR="00077F5A" w:rsidRPr="00496A4D">
        <w:rPr>
          <w:color w:val="000000" w:themeColor="text1"/>
        </w:rPr>
        <w:fldChar w:fldCharType="begin"/>
      </w:r>
      <w:r w:rsidR="00077F5A" w:rsidRPr="00A52AB8">
        <w:rPr>
          <w:color w:val="000000" w:themeColor="text1"/>
        </w:rPr>
        <w:instrText xml:space="preserve"> REF _Ref1137376 \r \h </w:instrText>
      </w:r>
      <w:r w:rsidR="00025423" w:rsidRPr="00A52AB8">
        <w:rPr>
          <w:color w:val="000000" w:themeColor="text1"/>
        </w:rPr>
        <w:instrText xml:space="preserve"> \* MERGEFORMAT </w:instrText>
      </w:r>
      <w:r w:rsidR="00077F5A" w:rsidRPr="00496A4D">
        <w:rPr>
          <w:color w:val="000000" w:themeColor="text1"/>
        </w:rPr>
      </w:r>
      <w:r w:rsidR="00077F5A" w:rsidRPr="00496A4D">
        <w:rPr>
          <w:color w:val="000000" w:themeColor="text1"/>
        </w:rPr>
        <w:fldChar w:fldCharType="separate"/>
      </w:r>
      <w:r w:rsidR="00507A67">
        <w:rPr>
          <w:color w:val="000000" w:themeColor="text1"/>
        </w:rPr>
        <w:t>9.2.4.4</w:t>
      </w:r>
      <w:r w:rsidR="00077F5A" w:rsidRPr="00496A4D">
        <w:rPr>
          <w:color w:val="000000" w:themeColor="text1"/>
        </w:rPr>
        <w:fldChar w:fldCharType="end"/>
      </w:r>
      <w:r w:rsidR="00077F5A" w:rsidRPr="00A52AB8">
        <w:rPr>
          <w:color w:val="000000" w:themeColor="text1"/>
        </w:rPr>
        <w:t xml:space="preserve"> </w:t>
      </w:r>
      <w:r w:rsidRPr="00A52AB8">
        <w:rPr>
          <w:color w:val="000000" w:themeColor="text1"/>
        </w:rPr>
        <w:t xml:space="preserve">is invoked, wherein reference </w:t>
      </w:r>
      <w:r w:rsidR="008F0D00" w:rsidRPr="00A52AB8">
        <w:rPr>
          <w:color w:val="000000" w:themeColor="text1"/>
        </w:rPr>
        <w:t>atlas frame</w:t>
      </w:r>
      <w:r w:rsidRPr="00A52AB8">
        <w:rPr>
          <w:color w:val="000000" w:themeColor="text1"/>
        </w:rPr>
        <w:t xml:space="preserve">s </w:t>
      </w:r>
      <w:r w:rsidR="004A64C8" w:rsidRPr="00A52AB8">
        <w:rPr>
          <w:color w:val="000000" w:themeColor="text1"/>
        </w:rPr>
        <w:t xml:space="preserve">might </w:t>
      </w:r>
      <w:r w:rsidRPr="00A52AB8">
        <w:rPr>
          <w:color w:val="000000" w:themeColor="text1"/>
        </w:rPr>
        <w:t>be marked as "unused for reference" or "used for long-term reference".</w:t>
      </w:r>
    </w:p>
    <w:p w14:paraId="742BD7D7" w14:textId="17043147" w:rsidR="0050235C" w:rsidRPr="00A52AB8" w:rsidRDefault="004A64C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 xml:space="preserve">When the current atlas frame is a BLA atlas frame or is a CRA atlas </w:t>
      </w:r>
      <w:r w:rsidR="00F97FC0" w:rsidRPr="00A52AB8">
        <w:rPr>
          <w:color w:val="000000" w:themeColor="text1"/>
        </w:rPr>
        <w:t>f</w:t>
      </w:r>
      <w:r w:rsidRPr="00A52AB8">
        <w:rPr>
          <w:color w:val="000000" w:themeColor="text1"/>
        </w:rPr>
        <w:t xml:space="preserve">rame with NoOutputBeforeRecoveryFlag equal to 1, the decoding process for generating unavailable reference atlas frames specified in </w:t>
      </w:r>
      <w:r w:rsidR="00EC65B7" w:rsidRPr="00A52AB8">
        <w:rPr>
          <w:color w:val="000000" w:themeColor="text1"/>
        </w:rPr>
        <w:t xml:space="preserve">subclause </w:t>
      </w:r>
      <w:r w:rsidR="00EC65B7" w:rsidRPr="00496A4D">
        <w:rPr>
          <w:color w:val="000000" w:themeColor="text1"/>
        </w:rPr>
        <w:fldChar w:fldCharType="begin"/>
      </w:r>
      <w:r w:rsidR="00EC65B7" w:rsidRPr="00A52AB8">
        <w:rPr>
          <w:color w:val="000000" w:themeColor="text1"/>
        </w:rPr>
        <w:instrText xml:space="preserve"> REF _Ref47883043 \r \h </w:instrText>
      </w:r>
      <w:r w:rsidR="006371AA" w:rsidRPr="00A52AB8">
        <w:rPr>
          <w:color w:val="000000" w:themeColor="text1"/>
        </w:rPr>
        <w:instrText xml:space="preserve"> \* MERGEFORMAT </w:instrText>
      </w:r>
      <w:r w:rsidR="00EC65B7" w:rsidRPr="00496A4D">
        <w:rPr>
          <w:color w:val="000000" w:themeColor="text1"/>
        </w:rPr>
      </w:r>
      <w:r w:rsidR="00EC65B7" w:rsidRPr="00496A4D">
        <w:rPr>
          <w:color w:val="000000" w:themeColor="text1"/>
        </w:rPr>
        <w:fldChar w:fldCharType="separate"/>
      </w:r>
      <w:r w:rsidR="00507A67">
        <w:rPr>
          <w:color w:val="000000" w:themeColor="text1"/>
        </w:rPr>
        <w:t>9.2.4.2</w:t>
      </w:r>
      <w:r w:rsidR="00EC65B7" w:rsidRPr="00496A4D">
        <w:rPr>
          <w:color w:val="000000" w:themeColor="text1"/>
        </w:rPr>
        <w:fldChar w:fldCharType="end"/>
      </w:r>
      <w:r w:rsidRPr="00A52AB8">
        <w:rPr>
          <w:color w:val="000000" w:themeColor="text1"/>
        </w:rPr>
        <w:t xml:space="preserve"> is invoked, which needs to be invoked only for the first atlas tile of an atlas frame.</w:t>
      </w:r>
    </w:p>
    <w:p w14:paraId="3BB504AA" w14:textId="426D3F8D" w:rsidR="002C1E04" w:rsidRPr="00A52AB8" w:rsidRDefault="002C1E04"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The variable AtlasFrameOutputFlag is set as follows:</w:t>
      </w:r>
    </w:p>
    <w:p w14:paraId="2A80C74C" w14:textId="6F14BD54" w:rsidR="002C1E04" w:rsidRPr="00A52AB8" w:rsidRDefault="002C1E04"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1" w:hanging="403"/>
        <w:textAlignment w:val="baseline"/>
        <w:rPr>
          <w:color w:val="000000" w:themeColor="text1"/>
        </w:rPr>
      </w:pPr>
      <w:r w:rsidRPr="00A52AB8">
        <w:rPr>
          <w:color w:val="000000" w:themeColor="text1"/>
        </w:rPr>
        <w:t xml:space="preserve">If the current atlas frame is a RASL atlas frame and NoOutputBeforeRecoveryFlag of the associated IRAP </w:t>
      </w:r>
      <w:r w:rsidR="003D47FD" w:rsidRPr="00A52AB8">
        <w:rPr>
          <w:color w:val="000000" w:themeColor="text1"/>
        </w:rPr>
        <w:t xml:space="preserve">coded </w:t>
      </w:r>
      <w:r w:rsidRPr="00A52AB8">
        <w:rPr>
          <w:color w:val="000000" w:themeColor="text1"/>
        </w:rPr>
        <w:t>atlas frame is equal to 1, AtlasFrameOutputFlag is set equal to 0.</w:t>
      </w:r>
    </w:p>
    <w:p w14:paraId="296A8AC6" w14:textId="7ED79CFD" w:rsidR="002C1E04" w:rsidRPr="00A52AB8" w:rsidRDefault="002C1E04"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1" w:hanging="403"/>
        <w:textAlignment w:val="baseline"/>
        <w:rPr>
          <w:color w:val="000000" w:themeColor="text1"/>
        </w:rPr>
      </w:pPr>
      <w:r w:rsidRPr="00A52AB8">
        <w:rPr>
          <w:color w:val="000000" w:themeColor="text1"/>
        </w:rPr>
        <w:t xml:space="preserve">Otherwise, AtlasFrameOutputFlag is set equal to </w:t>
      </w:r>
      <w:r w:rsidR="00195915" w:rsidRPr="00A52AB8">
        <w:rPr>
          <w:color w:val="000000" w:themeColor="text1"/>
        </w:rPr>
        <w:t>ath_atlas_output_flag</w:t>
      </w:r>
      <w:r w:rsidRPr="00A52AB8">
        <w:rPr>
          <w:color w:val="000000" w:themeColor="text1"/>
        </w:rPr>
        <w:t>.</w:t>
      </w:r>
    </w:p>
    <w:p w14:paraId="775A9170" w14:textId="23AB3477" w:rsidR="00077F5A" w:rsidRPr="00A52AB8" w:rsidRDefault="00077F5A">
      <w:pPr>
        <w:pStyle w:val="ListParagraph"/>
        <w:numPr>
          <w:ilvl w:val="0"/>
          <w:numId w:val="73"/>
        </w:numPr>
        <w:spacing w:before="136" w:line="240" w:lineRule="auto"/>
        <w:ind w:leftChars="0"/>
        <w:rPr>
          <w:color w:val="000000" w:themeColor="text1"/>
        </w:rPr>
      </w:pPr>
      <w:r w:rsidRPr="00A52AB8">
        <w:rPr>
          <w:color w:val="000000" w:themeColor="text1"/>
        </w:rPr>
        <w:t>The process</w:t>
      </w:r>
      <w:r w:rsidR="00540E92" w:rsidRPr="00A52AB8">
        <w:rPr>
          <w:color w:val="000000" w:themeColor="text1"/>
        </w:rPr>
        <w:t>es</w:t>
      </w:r>
      <w:r w:rsidRPr="00A52AB8">
        <w:rPr>
          <w:color w:val="000000" w:themeColor="text1"/>
        </w:rPr>
        <w:t xml:space="preserve"> in </w:t>
      </w:r>
      <w:r w:rsidR="00406A86" w:rsidRPr="00A52AB8">
        <w:rPr>
          <w:color w:val="000000" w:themeColor="text1"/>
        </w:rPr>
        <w:t>subclause</w:t>
      </w:r>
      <w:r w:rsidRPr="00A52AB8">
        <w:rPr>
          <w:color w:val="000000" w:themeColor="text1"/>
        </w:rPr>
        <w:t xml:space="preserve"> </w:t>
      </w:r>
      <w:r w:rsidR="004E6B3B" w:rsidRPr="00496A4D">
        <w:rPr>
          <w:color w:val="000000" w:themeColor="text1"/>
        </w:rPr>
        <w:fldChar w:fldCharType="begin"/>
      </w:r>
      <w:r w:rsidR="004E6B3B" w:rsidRPr="00A52AB8">
        <w:rPr>
          <w:color w:val="000000" w:themeColor="text1"/>
        </w:rPr>
        <w:instrText xml:space="preserve"> REF _Ref1191713 \r \h </w:instrText>
      </w:r>
      <w:r w:rsidR="00025423" w:rsidRPr="00A52AB8">
        <w:rPr>
          <w:color w:val="000000" w:themeColor="text1"/>
        </w:rPr>
        <w:instrText xml:space="preserve"> \* MERGEFORMAT </w:instrText>
      </w:r>
      <w:r w:rsidR="004E6B3B" w:rsidRPr="00496A4D">
        <w:rPr>
          <w:color w:val="000000" w:themeColor="text1"/>
        </w:rPr>
      </w:r>
      <w:r w:rsidR="004E6B3B" w:rsidRPr="00496A4D">
        <w:rPr>
          <w:color w:val="000000" w:themeColor="text1"/>
        </w:rPr>
        <w:fldChar w:fldCharType="separate"/>
      </w:r>
      <w:r w:rsidR="00507A67">
        <w:rPr>
          <w:color w:val="000000" w:themeColor="text1"/>
        </w:rPr>
        <w:t>9.2.5</w:t>
      </w:r>
      <w:r w:rsidR="004E6B3B" w:rsidRPr="00496A4D">
        <w:rPr>
          <w:color w:val="000000" w:themeColor="text1"/>
        </w:rPr>
        <w:fldChar w:fldCharType="end"/>
      </w:r>
      <w:r w:rsidRPr="00A52AB8">
        <w:rPr>
          <w:color w:val="000000" w:themeColor="text1"/>
        </w:rPr>
        <w:t xml:space="preserve"> specify the </w:t>
      </w:r>
      <w:r w:rsidR="00636833" w:rsidRPr="00A52AB8">
        <w:rPr>
          <w:color w:val="000000" w:themeColor="text1"/>
        </w:rPr>
        <w:t xml:space="preserve">patch </w:t>
      </w:r>
      <w:r w:rsidRPr="00A52AB8">
        <w:rPr>
          <w:color w:val="000000" w:themeColor="text1"/>
        </w:rPr>
        <w:t xml:space="preserve">decoding processes </w:t>
      </w:r>
      <w:r w:rsidR="00636833" w:rsidRPr="00A52AB8">
        <w:rPr>
          <w:color w:val="000000" w:themeColor="text1"/>
        </w:rPr>
        <w:t>according to the patch mode as follows:</w:t>
      </w:r>
    </w:p>
    <w:p w14:paraId="688A68C6" w14:textId="30E5E5ED" w:rsidR="004C717D" w:rsidRPr="00A52AB8" w:rsidRDefault="0063683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 xml:space="preserve">Decoding of intra coded patches is specified in </w:t>
      </w:r>
      <w:r w:rsidR="00406A86" w:rsidRPr="00A52AB8">
        <w:rPr>
          <w:color w:val="000000" w:themeColor="text1"/>
        </w:rPr>
        <w:t>subclause</w:t>
      </w:r>
      <w:r w:rsidR="004E6B3B" w:rsidRPr="00A52AB8">
        <w:rPr>
          <w:color w:val="000000" w:themeColor="text1"/>
        </w:rPr>
        <w:t xml:space="preserve"> </w:t>
      </w:r>
      <w:r w:rsidR="004E6B3B" w:rsidRPr="00496A4D">
        <w:rPr>
          <w:color w:val="000000" w:themeColor="text1"/>
        </w:rPr>
        <w:fldChar w:fldCharType="begin"/>
      </w:r>
      <w:r w:rsidR="004E6B3B" w:rsidRPr="00A52AB8">
        <w:rPr>
          <w:color w:val="000000" w:themeColor="text1"/>
        </w:rPr>
        <w:instrText xml:space="preserve"> REF _Ref991397 \r \h </w:instrText>
      </w:r>
      <w:r w:rsidR="00025423" w:rsidRPr="00A52AB8">
        <w:rPr>
          <w:color w:val="000000" w:themeColor="text1"/>
        </w:rPr>
        <w:instrText xml:space="preserve"> \* MERGEFORMAT </w:instrText>
      </w:r>
      <w:r w:rsidR="004E6B3B" w:rsidRPr="00496A4D">
        <w:rPr>
          <w:color w:val="000000" w:themeColor="text1"/>
        </w:rPr>
      </w:r>
      <w:r w:rsidR="004E6B3B" w:rsidRPr="00496A4D">
        <w:rPr>
          <w:color w:val="000000" w:themeColor="text1"/>
        </w:rPr>
        <w:fldChar w:fldCharType="separate"/>
      </w:r>
      <w:r w:rsidR="00507A67">
        <w:rPr>
          <w:color w:val="000000" w:themeColor="text1"/>
        </w:rPr>
        <w:t>9.2.5.2</w:t>
      </w:r>
      <w:r w:rsidR="004E6B3B" w:rsidRPr="00496A4D">
        <w:rPr>
          <w:color w:val="000000" w:themeColor="text1"/>
        </w:rPr>
        <w:fldChar w:fldCharType="end"/>
      </w:r>
      <w:r w:rsidRPr="00A52AB8">
        <w:rPr>
          <w:color w:val="000000" w:themeColor="text1"/>
        </w:rPr>
        <w:t>.</w:t>
      </w:r>
    </w:p>
    <w:p w14:paraId="20E27422" w14:textId="21BDEEE6" w:rsidR="004C717D" w:rsidRPr="00A52AB8" w:rsidRDefault="004C717D"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 xml:space="preserve">Decoding of skip mode coded patches is specified in </w:t>
      </w:r>
      <w:r w:rsidR="00406A86" w:rsidRPr="00A52AB8">
        <w:rPr>
          <w:color w:val="000000" w:themeColor="text1"/>
        </w:rPr>
        <w:t>subclause</w:t>
      </w:r>
      <w:r w:rsidRPr="00A52AB8">
        <w:rPr>
          <w:color w:val="000000" w:themeColor="text1"/>
        </w:rPr>
        <w:t xml:space="preserve"> </w:t>
      </w:r>
      <w:r w:rsidRPr="00496A4D">
        <w:rPr>
          <w:color w:val="000000" w:themeColor="text1"/>
        </w:rPr>
        <w:fldChar w:fldCharType="begin"/>
      </w:r>
      <w:r w:rsidRPr="00A52AB8">
        <w:rPr>
          <w:color w:val="000000" w:themeColor="text1"/>
        </w:rPr>
        <w:instrText xml:space="preserve"> REF _Ref21509819 \r \h </w:instrText>
      </w:r>
      <w:r w:rsidR="00CA5401"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9.2.5.3</w:t>
      </w:r>
      <w:r w:rsidRPr="00496A4D">
        <w:rPr>
          <w:color w:val="000000" w:themeColor="text1"/>
        </w:rPr>
        <w:fldChar w:fldCharType="end"/>
      </w:r>
      <w:r w:rsidR="00844492" w:rsidRPr="00A52AB8">
        <w:rPr>
          <w:color w:val="000000" w:themeColor="text1"/>
        </w:rPr>
        <w:t>.</w:t>
      </w:r>
    </w:p>
    <w:p w14:paraId="2A8E0E06" w14:textId="46346CE3" w:rsidR="004C717D" w:rsidRPr="00A52AB8" w:rsidRDefault="004C717D"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 xml:space="preserve">Decoding of merge mode coded patches is specified in </w:t>
      </w:r>
      <w:r w:rsidR="00406A86" w:rsidRPr="00A52AB8">
        <w:rPr>
          <w:color w:val="000000" w:themeColor="text1"/>
        </w:rPr>
        <w:t>subclause</w:t>
      </w:r>
      <w:r w:rsidRPr="00A52AB8">
        <w:rPr>
          <w:color w:val="000000" w:themeColor="text1"/>
        </w:rPr>
        <w:t xml:space="preserve"> </w:t>
      </w:r>
      <w:r w:rsidRPr="00496A4D">
        <w:rPr>
          <w:color w:val="000000" w:themeColor="text1"/>
        </w:rPr>
        <w:fldChar w:fldCharType="begin"/>
      </w:r>
      <w:r w:rsidRPr="00A52AB8">
        <w:rPr>
          <w:color w:val="000000" w:themeColor="text1"/>
        </w:rPr>
        <w:instrText xml:space="preserve"> REF _Ref21509822 \r \h </w:instrText>
      </w:r>
      <w:r w:rsidR="00CA5401"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9.2.5.4</w:t>
      </w:r>
      <w:r w:rsidRPr="00496A4D">
        <w:rPr>
          <w:color w:val="000000" w:themeColor="text1"/>
        </w:rPr>
        <w:fldChar w:fldCharType="end"/>
      </w:r>
      <w:r w:rsidRPr="00A52AB8">
        <w:rPr>
          <w:color w:val="000000" w:themeColor="text1"/>
        </w:rPr>
        <w:t>.</w:t>
      </w:r>
    </w:p>
    <w:p w14:paraId="26BCD592" w14:textId="55D2C133" w:rsidR="00636833" w:rsidRPr="00A52AB8" w:rsidRDefault="0063683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 xml:space="preserve">Decoding of inter coded patches is specified in </w:t>
      </w:r>
      <w:r w:rsidR="00406A86" w:rsidRPr="00A52AB8">
        <w:rPr>
          <w:color w:val="000000" w:themeColor="text1"/>
        </w:rPr>
        <w:t>subclause</w:t>
      </w:r>
      <w:r w:rsidR="005A445F" w:rsidRPr="00A52AB8">
        <w:rPr>
          <w:color w:val="000000" w:themeColor="text1"/>
        </w:rPr>
        <w:t xml:space="preserve"> </w:t>
      </w:r>
      <w:r w:rsidR="005A445F" w:rsidRPr="00496A4D">
        <w:rPr>
          <w:color w:val="000000" w:themeColor="text1"/>
        </w:rPr>
        <w:fldChar w:fldCharType="begin"/>
      </w:r>
      <w:r w:rsidR="005A445F" w:rsidRPr="00A52AB8">
        <w:rPr>
          <w:color w:val="000000" w:themeColor="text1"/>
        </w:rPr>
        <w:instrText xml:space="preserve"> REF _Ref1476062 \r \h </w:instrText>
      </w:r>
      <w:r w:rsidR="00025423" w:rsidRPr="00A52AB8">
        <w:rPr>
          <w:color w:val="000000" w:themeColor="text1"/>
        </w:rPr>
        <w:instrText xml:space="preserve"> \* MERGEFORMAT </w:instrText>
      </w:r>
      <w:r w:rsidR="005A445F" w:rsidRPr="00496A4D">
        <w:rPr>
          <w:color w:val="000000" w:themeColor="text1"/>
        </w:rPr>
      </w:r>
      <w:r w:rsidR="005A445F" w:rsidRPr="00496A4D">
        <w:rPr>
          <w:color w:val="000000" w:themeColor="text1"/>
        </w:rPr>
        <w:fldChar w:fldCharType="separate"/>
      </w:r>
      <w:r w:rsidR="00507A67">
        <w:rPr>
          <w:color w:val="000000" w:themeColor="text1"/>
        </w:rPr>
        <w:t>9.2.5.5</w:t>
      </w:r>
      <w:r w:rsidR="005A445F" w:rsidRPr="00496A4D">
        <w:rPr>
          <w:color w:val="000000" w:themeColor="text1"/>
        </w:rPr>
        <w:fldChar w:fldCharType="end"/>
      </w:r>
      <w:r w:rsidRPr="00A52AB8">
        <w:rPr>
          <w:color w:val="000000" w:themeColor="text1"/>
        </w:rPr>
        <w:t>.</w:t>
      </w:r>
    </w:p>
    <w:p w14:paraId="355A1044" w14:textId="75E6BA70" w:rsidR="00636833" w:rsidRPr="00A52AB8" w:rsidRDefault="0063683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 xml:space="preserve">Decoding of </w:t>
      </w:r>
      <w:r w:rsidR="00C31A85" w:rsidRPr="00A52AB8">
        <w:rPr>
          <w:color w:val="000000" w:themeColor="text1"/>
        </w:rPr>
        <w:t>RAW</w:t>
      </w:r>
      <w:r w:rsidRPr="00A52AB8">
        <w:rPr>
          <w:color w:val="000000" w:themeColor="text1"/>
        </w:rPr>
        <w:t xml:space="preserve"> coded patches is specified in </w:t>
      </w:r>
      <w:r w:rsidR="00406A86" w:rsidRPr="00A52AB8">
        <w:rPr>
          <w:color w:val="000000" w:themeColor="text1"/>
        </w:rPr>
        <w:t>subclause</w:t>
      </w:r>
      <w:r w:rsidR="00EC65B7" w:rsidRPr="00A52AB8">
        <w:rPr>
          <w:color w:val="000000" w:themeColor="text1"/>
        </w:rPr>
        <w:t xml:space="preserve"> </w:t>
      </w:r>
      <w:r w:rsidR="00EC65B7" w:rsidRPr="00496A4D">
        <w:rPr>
          <w:color w:val="000000" w:themeColor="text1"/>
        </w:rPr>
        <w:fldChar w:fldCharType="begin"/>
      </w:r>
      <w:r w:rsidR="00EC65B7" w:rsidRPr="00A52AB8">
        <w:rPr>
          <w:color w:val="000000" w:themeColor="text1"/>
        </w:rPr>
        <w:instrText xml:space="preserve"> REF _Ref47041328 \r \h </w:instrText>
      </w:r>
      <w:r w:rsidR="006371AA" w:rsidRPr="00A52AB8">
        <w:rPr>
          <w:color w:val="000000" w:themeColor="text1"/>
        </w:rPr>
        <w:instrText xml:space="preserve"> \* MERGEFORMAT </w:instrText>
      </w:r>
      <w:r w:rsidR="00EC65B7" w:rsidRPr="00496A4D">
        <w:rPr>
          <w:color w:val="000000" w:themeColor="text1"/>
        </w:rPr>
      </w:r>
      <w:r w:rsidR="00EC65B7" w:rsidRPr="00496A4D">
        <w:rPr>
          <w:color w:val="000000" w:themeColor="text1"/>
        </w:rPr>
        <w:fldChar w:fldCharType="separate"/>
      </w:r>
      <w:r w:rsidR="00507A67">
        <w:rPr>
          <w:color w:val="000000" w:themeColor="text1"/>
        </w:rPr>
        <w:t>9.2.5.6</w:t>
      </w:r>
      <w:r w:rsidR="00EC65B7" w:rsidRPr="00496A4D">
        <w:rPr>
          <w:color w:val="000000" w:themeColor="text1"/>
        </w:rPr>
        <w:fldChar w:fldCharType="end"/>
      </w:r>
      <w:r w:rsidR="00EC65B7" w:rsidRPr="00A52AB8">
        <w:rPr>
          <w:color w:val="000000" w:themeColor="text1"/>
        </w:rPr>
        <w:t>.</w:t>
      </w:r>
    </w:p>
    <w:p w14:paraId="5B2ECC74" w14:textId="1024EED6" w:rsidR="00627445" w:rsidRPr="00A52AB8" w:rsidRDefault="0062744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 xml:space="preserve">Decoding of EOM coded patches is specified in </w:t>
      </w:r>
      <w:r w:rsidR="00406A86" w:rsidRPr="00A52AB8">
        <w:rPr>
          <w:color w:val="000000" w:themeColor="text1"/>
        </w:rPr>
        <w:t>subclause</w:t>
      </w:r>
      <w:r w:rsidRPr="00A52AB8">
        <w:rPr>
          <w:color w:val="000000" w:themeColor="text1"/>
        </w:rPr>
        <w:t xml:space="preserve"> </w:t>
      </w:r>
      <w:r w:rsidR="00F74CE2" w:rsidRPr="00496A4D">
        <w:rPr>
          <w:color w:val="000000" w:themeColor="text1"/>
        </w:rPr>
        <w:fldChar w:fldCharType="begin"/>
      </w:r>
      <w:r w:rsidR="00F74CE2" w:rsidRPr="00A52AB8">
        <w:rPr>
          <w:color w:val="000000" w:themeColor="text1"/>
        </w:rPr>
        <w:instrText xml:space="preserve"> REF _Ref20430307 \w \h </w:instrText>
      </w:r>
      <w:r w:rsidR="00025423" w:rsidRPr="00A52AB8">
        <w:rPr>
          <w:color w:val="000000" w:themeColor="text1"/>
        </w:rPr>
        <w:instrText xml:space="preserve"> \* MERGEFORMAT </w:instrText>
      </w:r>
      <w:r w:rsidR="00F74CE2" w:rsidRPr="00496A4D">
        <w:rPr>
          <w:color w:val="000000" w:themeColor="text1"/>
        </w:rPr>
      </w:r>
      <w:r w:rsidR="00F74CE2" w:rsidRPr="00496A4D">
        <w:rPr>
          <w:color w:val="000000" w:themeColor="text1"/>
        </w:rPr>
        <w:fldChar w:fldCharType="separate"/>
      </w:r>
      <w:r w:rsidR="00507A67">
        <w:rPr>
          <w:color w:val="000000" w:themeColor="text1"/>
        </w:rPr>
        <w:t>9.2.5.7</w:t>
      </w:r>
      <w:r w:rsidR="00F74CE2" w:rsidRPr="00496A4D">
        <w:rPr>
          <w:color w:val="000000" w:themeColor="text1"/>
        </w:rPr>
        <w:fldChar w:fldCharType="end"/>
      </w:r>
      <w:r w:rsidRPr="00A52AB8">
        <w:rPr>
          <w:color w:val="000000" w:themeColor="text1"/>
        </w:rPr>
        <w:t>.</w:t>
      </w:r>
    </w:p>
    <w:p w14:paraId="2D66707C" w14:textId="2481EB8A" w:rsidR="00540E92" w:rsidRPr="00A52AB8" w:rsidRDefault="00540E92" w:rsidP="001000BF">
      <w:pPr>
        <w:numPr>
          <w:ilvl w:val="0"/>
          <w:numId w:val="73"/>
        </w:numPr>
        <w:tabs>
          <w:tab w:val="clear" w:pos="403"/>
          <w:tab w:val="clear" w:pos="757"/>
          <w:tab w:val="clear" w:pos="1210"/>
          <w:tab w:val="clear" w:pos="1613"/>
          <w:tab w:val="left" w:pos="700"/>
          <w:tab w:val="left" w:pos="1191"/>
          <w:tab w:val="left" w:pos="1588"/>
          <w:tab w:val="left" w:pos="1985"/>
          <w:tab w:val="num" w:pos="2500"/>
        </w:tabs>
        <w:overflowPunct w:val="0"/>
        <w:autoSpaceDE w:val="0"/>
        <w:autoSpaceDN w:val="0"/>
        <w:adjustRightInd w:val="0"/>
        <w:spacing w:before="136" w:after="0" w:line="240" w:lineRule="auto"/>
        <w:ind w:left="700"/>
        <w:textAlignment w:val="baseline"/>
      </w:pPr>
      <w:r w:rsidRPr="00A52AB8">
        <w:t xml:space="preserve">The process in </w:t>
      </w:r>
      <w:r w:rsidR="00406A86" w:rsidRPr="00A52AB8">
        <w:t>subclause</w:t>
      </w:r>
      <w:r w:rsidRPr="00A52AB8">
        <w:t xml:space="preserve"> </w:t>
      </w:r>
      <w:r w:rsidRPr="00496A4D">
        <w:fldChar w:fldCharType="begin"/>
      </w:r>
      <w:r w:rsidRPr="00A52AB8">
        <w:instrText xml:space="preserve"> REF _Ref1592626 \r \h </w:instrText>
      </w:r>
      <w:r w:rsidR="00025423" w:rsidRPr="00A52AB8">
        <w:instrText xml:space="preserve"> \* MERGEFORMAT </w:instrText>
      </w:r>
      <w:r w:rsidRPr="00496A4D">
        <w:fldChar w:fldCharType="separate"/>
      </w:r>
      <w:r w:rsidR="00507A67">
        <w:t>9.2.6</w:t>
      </w:r>
      <w:r w:rsidRPr="00496A4D">
        <w:fldChar w:fldCharType="end"/>
      </w:r>
      <w:r w:rsidRPr="00A52AB8">
        <w:t xml:space="preserve"> specifies the creation of the block to patch map after the decoding of all patches </w:t>
      </w:r>
      <w:r w:rsidR="00A80B90" w:rsidRPr="00A52AB8">
        <w:t xml:space="preserve">present </w:t>
      </w:r>
      <w:r w:rsidRPr="00A52AB8">
        <w:t xml:space="preserve">within the </w:t>
      </w:r>
      <w:r w:rsidR="00A535CF" w:rsidRPr="00A52AB8">
        <w:t xml:space="preserve">current </w:t>
      </w:r>
      <w:r w:rsidR="002A47BD" w:rsidRPr="00A52AB8">
        <w:t xml:space="preserve">atlas </w:t>
      </w:r>
      <w:r w:rsidR="00B8075E" w:rsidRPr="00A52AB8">
        <w:t>tile</w:t>
      </w:r>
      <w:r w:rsidRPr="00A52AB8">
        <w:t>.</w:t>
      </w:r>
    </w:p>
    <w:p w14:paraId="4DF5FF91" w14:textId="77777777" w:rsidR="00E96435" w:rsidRPr="00A52AB8" w:rsidRDefault="00E96435" w:rsidP="001000BF">
      <w:pPr>
        <w:numPr>
          <w:ilvl w:val="0"/>
          <w:numId w:val="73"/>
        </w:numPr>
        <w:tabs>
          <w:tab w:val="clear" w:pos="403"/>
          <w:tab w:val="clear" w:pos="757"/>
          <w:tab w:val="clear" w:pos="1210"/>
          <w:tab w:val="clear" w:pos="1613"/>
          <w:tab w:val="left" w:pos="700"/>
          <w:tab w:val="left" w:pos="1191"/>
          <w:tab w:val="left" w:pos="1588"/>
          <w:tab w:val="left" w:pos="1985"/>
          <w:tab w:val="num" w:pos="2500"/>
        </w:tabs>
        <w:overflowPunct w:val="0"/>
        <w:autoSpaceDE w:val="0"/>
        <w:autoSpaceDN w:val="0"/>
        <w:adjustRightInd w:val="0"/>
        <w:spacing w:before="136" w:after="0" w:line="240" w:lineRule="auto"/>
        <w:ind w:left="700"/>
        <w:textAlignment w:val="baseline"/>
      </w:pPr>
      <w:r w:rsidRPr="00A52AB8">
        <w:t xml:space="preserve">After </w:t>
      </w:r>
      <w:r w:rsidR="003E35C4" w:rsidRPr="00A52AB8">
        <w:t xml:space="preserve">all </w:t>
      </w:r>
      <w:r w:rsidR="002A47BD" w:rsidRPr="00A52AB8">
        <w:t xml:space="preserve">atlas </w:t>
      </w:r>
      <w:r w:rsidR="00B8075E" w:rsidRPr="00A52AB8">
        <w:t>tile</w:t>
      </w:r>
      <w:r w:rsidR="003E35C4" w:rsidRPr="00A52AB8">
        <w:t>s</w:t>
      </w:r>
      <w:r w:rsidRPr="00A52AB8">
        <w:t xml:space="preserve"> </w:t>
      </w:r>
      <w:r w:rsidR="003E35C4" w:rsidRPr="00A52AB8">
        <w:t xml:space="preserve">associated with the current atlas </w:t>
      </w:r>
      <w:r w:rsidR="0013007E" w:rsidRPr="00A52AB8">
        <w:t>h</w:t>
      </w:r>
      <w:r w:rsidR="003E35C4" w:rsidRPr="00A52AB8">
        <w:t>ave</w:t>
      </w:r>
      <w:r w:rsidR="0013007E" w:rsidRPr="00A52AB8">
        <w:t xml:space="preserve"> </w:t>
      </w:r>
      <w:r w:rsidRPr="00A52AB8">
        <w:t xml:space="preserve">been decoded, </w:t>
      </w:r>
      <w:r w:rsidR="000F28E6" w:rsidRPr="00A52AB8">
        <w:t xml:space="preserve">the current atlas </w:t>
      </w:r>
      <w:r w:rsidRPr="00A52AB8">
        <w:t>is marked as "used for short-term reference".</w:t>
      </w:r>
    </w:p>
    <w:p w14:paraId="715A3231" w14:textId="58EDBB82" w:rsidR="004F2307" w:rsidRPr="00A52AB8" w:rsidRDefault="00BD6F7C" w:rsidP="001000BF">
      <w:pPr>
        <w:numPr>
          <w:ilvl w:val="0"/>
          <w:numId w:val="73"/>
        </w:numPr>
        <w:tabs>
          <w:tab w:val="clear" w:pos="403"/>
          <w:tab w:val="clear" w:pos="757"/>
          <w:tab w:val="clear" w:pos="1210"/>
          <w:tab w:val="clear" w:pos="1613"/>
          <w:tab w:val="left" w:pos="700"/>
          <w:tab w:val="left" w:pos="1191"/>
          <w:tab w:val="left" w:pos="1588"/>
          <w:tab w:val="left" w:pos="1985"/>
          <w:tab w:val="num" w:pos="2500"/>
        </w:tabs>
        <w:overflowPunct w:val="0"/>
        <w:autoSpaceDE w:val="0"/>
        <w:autoSpaceDN w:val="0"/>
        <w:adjustRightInd w:val="0"/>
        <w:spacing w:before="136" w:after="0" w:line="240" w:lineRule="auto"/>
        <w:ind w:left="700"/>
        <w:textAlignment w:val="baseline"/>
      </w:pPr>
      <w:r w:rsidRPr="00A52AB8">
        <w:t xml:space="preserve">An </w:t>
      </w:r>
      <w:r w:rsidR="00B168F1" w:rsidRPr="00A52AB8">
        <w:t xml:space="preserve">informative </w:t>
      </w:r>
      <w:r w:rsidR="004F2307" w:rsidRPr="00A52AB8">
        <w:t xml:space="preserve">process </w:t>
      </w:r>
      <w:r w:rsidRPr="00A52AB8">
        <w:t xml:space="preserve">is defined </w:t>
      </w:r>
      <w:r w:rsidR="004F2307" w:rsidRPr="00A52AB8">
        <w:t>in su</w:t>
      </w:r>
      <w:r w:rsidR="009317A5" w:rsidRPr="00A52AB8">
        <w:t>b</w:t>
      </w:r>
      <w:r w:rsidR="004F2307" w:rsidRPr="00A52AB8">
        <w:t>cla</w:t>
      </w:r>
      <w:r w:rsidR="009317A5" w:rsidRPr="00A52AB8">
        <w:t>u</w:t>
      </w:r>
      <w:r w:rsidR="004F2307" w:rsidRPr="00A52AB8">
        <w:t xml:space="preserve">se </w:t>
      </w:r>
      <w:r w:rsidR="005947D2" w:rsidRPr="00496A4D">
        <w:fldChar w:fldCharType="begin"/>
      </w:r>
      <w:r w:rsidR="005947D2" w:rsidRPr="00A52AB8">
        <w:instrText xml:space="preserve"> REF _Ref43981624 \r \h </w:instrText>
      </w:r>
      <w:r w:rsidR="006371AA" w:rsidRPr="00A52AB8">
        <w:instrText xml:space="preserve"> \* MERGEFORMAT </w:instrText>
      </w:r>
      <w:r w:rsidR="005947D2" w:rsidRPr="00496A4D">
        <w:fldChar w:fldCharType="separate"/>
      </w:r>
      <w:r w:rsidR="00507A67">
        <w:t>9.2.7</w:t>
      </w:r>
      <w:r w:rsidR="005947D2" w:rsidRPr="00496A4D">
        <w:fldChar w:fldCharType="end"/>
      </w:r>
      <w:r w:rsidR="004F2307" w:rsidRPr="00A52AB8">
        <w:t xml:space="preserve"> </w:t>
      </w:r>
      <w:r w:rsidRPr="00A52AB8">
        <w:t xml:space="preserve">that </w:t>
      </w:r>
      <w:r w:rsidR="004F2307" w:rsidRPr="00A52AB8">
        <w:t xml:space="preserve">specifies </w:t>
      </w:r>
      <w:r w:rsidR="00095E81" w:rsidRPr="00A52AB8">
        <w:t>the conversion of tile level patch information to atlas level patch information</w:t>
      </w:r>
      <w:r w:rsidR="004F2307" w:rsidRPr="00A52AB8">
        <w:t>.</w:t>
      </w:r>
    </w:p>
    <w:p w14:paraId="2C447DCF" w14:textId="0E22B257" w:rsidR="00E96435" w:rsidRPr="00A52AB8" w:rsidRDefault="008672A7">
      <w:pPr>
        <w:pStyle w:val="Heading3"/>
      </w:pPr>
      <w:bookmarkStart w:id="1470" w:name="_Toc47886568"/>
      <w:bookmarkStart w:id="1471" w:name="_Toc47886976"/>
      <w:bookmarkStart w:id="1472" w:name="_Toc47887384"/>
      <w:bookmarkStart w:id="1473" w:name="_Toc47887792"/>
      <w:bookmarkStart w:id="1474" w:name="_Toc47951878"/>
      <w:bookmarkStart w:id="1475" w:name="_Toc47982945"/>
      <w:bookmarkStart w:id="1476" w:name="_Toc39425291"/>
      <w:bookmarkStart w:id="1477" w:name="_Toc42729983"/>
      <w:bookmarkStart w:id="1478" w:name="_Toc45105439"/>
      <w:bookmarkStart w:id="1479" w:name="_Toc45530297"/>
      <w:bookmarkStart w:id="1480" w:name="_Toc46301649"/>
      <w:bookmarkStart w:id="1481" w:name="_Toc46302474"/>
      <w:bookmarkStart w:id="1482" w:name="_Ref1136789"/>
      <w:bookmarkStart w:id="1483" w:name="_Toc52181625"/>
      <w:bookmarkEnd w:id="1470"/>
      <w:bookmarkEnd w:id="1471"/>
      <w:bookmarkEnd w:id="1472"/>
      <w:bookmarkEnd w:id="1473"/>
      <w:bookmarkEnd w:id="1474"/>
      <w:bookmarkEnd w:id="1475"/>
      <w:bookmarkEnd w:id="1476"/>
      <w:bookmarkEnd w:id="1477"/>
      <w:bookmarkEnd w:id="1478"/>
      <w:bookmarkEnd w:id="1479"/>
      <w:bookmarkEnd w:id="1480"/>
      <w:bookmarkEnd w:id="1481"/>
      <w:r w:rsidRPr="00A52AB8">
        <w:t xml:space="preserve">Atlas </w:t>
      </w:r>
      <w:r w:rsidR="00780FB9" w:rsidRPr="00A52AB8">
        <w:t xml:space="preserve">NAL </w:t>
      </w:r>
      <w:r w:rsidR="00E96435" w:rsidRPr="00A52AB8">
        <w:t>unit decoding process</w:t>
      </w:r>
      <w:bookmarkEnd w:id="1482"/>
      <w:bookmarkEnd w:id="1483"/>
    </w:p>
    <w:p w14:paraId="5A9B395A" w14:textId="1A42FBD0" w:rsidR="00E96435" w:rsidRPr="00A52AB8" w:rsidRDefault="00E96435">
      <w:r w:rsidRPr="00A52AB8">
        <w:t xml:space="preserve">Inputs to this process are </w:t>
      </w:r>
      <w:r w:rsidR="008672A7" w:rsidRPr="00A52AB8">
        <w:t xml:space="preserve">atlas </w:t>
      </w:r>
      <w:r w:rsidR="00061408" w:rsidRPr="00A52AB8">
        <w:t xml:space="preserve">NAL </w:t>
      </w:r>
      <w:r w:rsidRPr="00A52AB8">
        <w:t xml:space="preserve">units of the </w:t>
      </w:r>
      <w:r w:rsidR="00A535CF" w:rsidRPr="00A52AB8">
        <w:t xml:space="preserve">current </w:t>
      </w:r>
      <w:r w:rsidR="002A47BD" w:rsidRPr="00A52AB8">
        <w:t xml:space="preserve">atlas </w:t>
      </w:r>
      <w:r w:rsidR="00BD6F7C" w:rsidRPr="00A52AB8">
        <w:t xml:space="preserve">frame </w:t>
      </w:r>
      <w:r w:rsidRPr="00A52AB8">
        <w:t xml:space="preserve">and their associated </w:t>
      </w:r>
      <w:r w:rsidR="00BD6F7C" w:rsidRPr="00A52AB8">
        <w:t>non-ACL NAL units</w:t>
      </w:r>
      <w:r w:rsidRPr="00A52AB8">
        <w:t>.</w:t>
      </w:r>
    </w:p>
    <w:p w14:paraId="0FF412A8" w14:textId="16C30AF8" w:rsidR="00E96435" w:rsidRPr="00A52AB8" w:rsidRDefault="00E96435">
      <w:r w:rsidRPr="00A52AB8">
        <w:t xml:space="preserve">Outputs of this process are the parsed </w:t>
      </w:r>
      <w:r w:rsidR="00BD6F7C" w:rsidRPr="00A52AB8">
        <w:t xml:space="preserve">RBSP </w:t>
      </w:r>
      <w:r w:rsidRPr="00A52AB8">
        <w:t>syntax structures encapsulated within the</w:t>
      </w:r>
      <w:r w:rsidR="00077F5A" w:rsidRPr="00A52AB8">
        <w:t xml:space="preserve"> </w:t>
      </w:r>
      <w:r w:rsidR="008672A7" w:rsidRPr="00A52AB8">
        <w:t xml:space="preserve">atlas </w:t>
      </w:r>
      <w:r w:rsidR="00061408" w:rsidRPr="00A52AB8">
        <w:t xml:space="preserve">NAL </w:t>
      </w:r>
      <w:r w:rsidRPr="00A52AB8">
        <w:t>units.</w:t>
      </w:r>
    </w:p>
    <w:p w14:paraId="217C6C28" w14:textId="77777777" w:rsidR="00E96435" w:rsidRPr="00A52AB8" w:rsidRDefault="00E96435">
      <w:r w:rsidRPr="00A52AB8">
        <w:t xml:space="preserve">The decoding process for each </w:t>
      </w:r>
      <w:r w:rsidR="008672A7" w:rsidRPr="00A52AB8">
        <w:t xml:space="preserve">atlas </w:t>
      </w:r>
      <w:r w:rsidR="00061408" w:rsidRPr="00A52AB8">
        <w:t xml:space="preserve">NAL </w:t>
      </w:r>
      <w:r w:rsidRPr="00A52AB8">
        <w:t xml:space="preserve">unit extracts the </w:t>
      </w:r>
      <w:r w:rsidR="00BD6F7C" w:rsidRPr="00A52AB8">
        <w:t xml:space="preserve">RBSP </w:t>
      </w:r>
      <w:r w:rsidRPr="00A52AB8">
        <w:t xml:space="preserve">syntax structure from the </w:t>
      </w:r>
      <w:r w:rsidR="008672A7" w:rsidRPr="00A52AB8">
        <w:t xml:space="preserve">atlas </w:t>
      </w:r>
      <w:r w:rsidR="00061408" w:rsidRPr="00A52AB8">
        <w:t xml:space="preserve">NAL </w:t>
      </w:r>
      <w:r w:rsidRPr="00A52AB8">
        <w:t xml:space="preserve">unit and then parses the </w:t>
      </w:r>
      <w:r w:rsidR="00BD6F7C" w:rsidRPr="00A52AB8">
        <w:t xml:space="preserve">RBSP </w:t>
      </w:r>
      <w:r w:rsidRPr="00A52AB8">
        <w:t>syntax structure.</w:t>
      </w:r>
    </w:p>
    <w:p w14:paraId="3D4E0C0E" w14:textId="3546D5A6" w:rsidR="00E05637" w:rsidRPr="00A52AB8" w:rsidRDefault="008672A7">
      <w:pPr>
        <w:pStyle w:val="Heading3"/>
      </w:pPr>
      <w:bookmarkStart w:id="1484" w:name="_Ref1136816"/>
      <w:bookmarkStart w:id="1485" w:name="_Toc52181626"/>
      <w:r w:rsidRPr="00A52AB8">
        <w:t xml:space="preserve">Atlas </w:t>
      </w:r>
      <w:r w:rsidR="00B93605" w:rsidRPr="00A52AB8">
        <w:t xml:space="preserve">tile </w:t>
      </w:r>
      <w:r w:rsidR="00636833" w:rsidRPr="00A52AB8">
        <w:t xml:space="preserve">header </w:t>
      </w:r>
      <w:r w:rsidR="00E96435" w:rsidRPr="00A52AB8">
        <w:t>d</w:t>
      </w:r>
      <w:r w:rsidR="00C453E0" w:rsidRPr="00A52AB8">
        <w:t xml:space="preserve">ecoding </w:t>
      </w:r>
      <w:r w:rsidR="00E96435" w:rsidRPr="00A52AB8">
        <w:t>p</w:t>
      </w:r>
      <w:r w:rsidR="00C453E0" w:rsidRPr="00A52AB8">
        <w:t>rocess</w:t>
      </w:r>
      <w:bookmarkEnd w:id="1484"/>
      <w:bookmarkEnd w:id="1485"/>
    </w:p>
    <w:p w14:paraId="76314089" w14:textId="77777777" w:rsidR="00E05637" w:rsidRPr="00A52AB8" w:rsidRDefault="008F0D00" w:rsidP="005C26E9">
      <w:pPr>
        <w:pStyle w:val="Heading4"/>
      </w:pPr>
      <w:bookmarkStart w:id="1486" w:name="_Ref1136819"/>
      <w:bookmarkStart w:id="1487" w:name="_Ref1138363"/>
      <w:r w:rsidRPr="00A52AB8">
        <w:t>Atlas frame</w:t>
      </w:r>
      <w:r w:rsidR="00E05637" w:rsidRPr="00A52AB8">
        <w:t xml:space="preserve"> order count</w:t>
      </w:r>
      <w:bookmarkEnd w:id="1486"/>
      <w:r w:rsidR="00077F5A" w:rsidRPr="00A52AB8">
        <w:t xml:space="preserve"> derivation process</w:t>
      </w:r>
      <w:bookmarkEnd w:id="1487"/>
    </w:p>
    <w:p w14:paraId="5A85C499" w14:textId="77777777" w:rsidR="00636833" w:rsidRPr="00A52AB8" w:rsidRDefault="00636833" w:rsidP="007656E5">
      <w:bookmarkStart w:id="1488" w:name="_Ref1136842"/>
      <w:bookmarkStart w:id="1489" w:name="_Ref1138364"/>
      <w:r w:rsidRPr="00A52AB8">
        <w:t xml:space="preserve">Output of this process is </w:t>
      </w:r>
      <w:r w:rsidR="00EB723C" w:rsidRPr="00A52AB8">
        <w:t>AtlasFrm</w:t>
      </w:r>
      <w:r w:rsidRPr="00A52AB8">
        <w:t xml:space="preserve">OrderCntVal, the </w:t>
      </w:r>
      <w:r w:rsidR="008F0D00" w:rsidRPr="00A52AB8">
        <w:t>atlas frame</w:t>
      </w:r>
      <w:r w:rsidRPr="00A52AB8">
        <w:t xml:space="preserve"> order count of the </w:t>
      </w:r>
      <w:r w:rsidR="00A535CF" w:rsidRPr="00A52AB8">
        <w:t xml:space="preserve">current </w:t>
      </w:r>
      <w:r w:rsidR="002A47BD" w:rsidRPr="00A52AB8">
        <w:t xml:space="preserve">atlas </w:t>
      </w:r>
      <w:r w:rsidR="00B8075E" w:rsidRPr="00A52AB8">
        <w:t>tile</w:t>
      </w:r>
      <w:r w:rsidRPr="00A52AB8">
        <w:t>.</w:t>
      </w:r>
    </w:p>
    <w:p w14:paraId="58D41319" w14:textId="3708F13C" w:rsidR="00636833" w:rsidRPr="00A52AB8" w:rsidRDefault="008F0D00" w:rsidP="007656E5">
      <w:pPr>
        <w:rPr>
          <w:lang w:eastAsia="ja-JP"/>
        </w:rPr>
      </w:pPr>
      <w:bookmarkStart w:id="1490" w:name="_Hlk27662797"/>
      <w:r w:rsidRPr="00A52AB8">
        <w:t>Atlas frame</w:t>
      </w:r>
      <w:r w:rsidR="00636833" w:rsidRPr="00A52AB8">
        <w:t xml:space="preserve"> order counts are used to identify </w:t>
      </w:r>
      <w:r w:rsidR="00A80B90" w:rsidRPr="00A52AB8">
        <w:t xml:space="preserve">the </w:t>
      </w:r>
      <w:r w:rsidR="00F90B0F" w:rsidRPr="00A52AB8">
        <w:t xml:space="preserve">output </w:t>
      </w:r>
      <w:r w:rsidR="00636833" w:rsidRPr="00A52AB8">
        <w:t xml:space="preserve">order </w:t>
      </w:r>
      <w:r w:rsidR="0003743A" w:rsidRPr="00A52AB8">
        <w:t xml:space="preserve">of </w:t>
      </w:r>
      <w:r w:rsidRPr="00A52AB8">
        <w:t>atlas frame</w:t>
      </w:r>
      <w:r w:rsidR="00636833" w:rsidRPr="00A52AB8">
        <w:t>s</w:t>
      </w:r>
      <w:bookmarkEnd w:id="1490"/>
      <w:r w:rsidR="00636833" w:rsidRPr="00A52AB8">
        <w:t>,</w:t>
      </w:r>
      <w:r w:rsidR="00636833" w:rsidRPr="00A52AB8">
        <w:rPr>
          <w:lang w:eastAsia="ja-JP"/>
        </w:rPr>
        <w:t xml:space="preserve"> as well as for decoder conformance checking.</w:t>
      </w:r>
    </w:p>
    <w:p w14:paraId="5AED870A" w14:textId="77777777" w:rsidR="00636833" w:rsidRPr="00A52AB8" w:rsidRDefault="00636833" w:rsidP="007656E5">
      <w:r w:rsidRPr="00A52AB8">
        <w:t xml:space="preserve">Each coded </w:t>
      </w:r>
      <w:r w:rsidR="008F0D00" w:rsidRPr="00A52AB8">
        <w:t>atlas frame</w:t>
      </w:r>
      <w:r w:rsidRPr="00A52AB8">
        <w:t xml:space="preserve"> is associated with </w:t>
      </w:r>
      <w:r w:rsidR="00814813" w:rsidRPr="00A52AB8">
        <w:t>an atlas</w:t>
      </w:r>
      <w:r w:rsidR="008F0D00" w:rsidRPr="00A52AB8">
        <w:t xml:space="preserve"> frame</w:t>
      </w:r>
      <w:r w:rsidRPr="00A52AB8">
        <w:t xml:space="preserve"> order count variable, denoted as </w:t>
      </w:r>
      <w:r w:rsidR="00EB723C" w:rsidRPr="00A52AB8">
        <w:t>AtlasFrm</w:t>
      </w:r>
      <w:r w:rsidRPr="00A52AB8">
        <w:t>OrderCntVal.</w:t>
      </w:r>
    </w:p>
    <w:p w14:paraId="6562661E" w14:textId="77777777" w:rsidR="00B72D88" w:rsidRPr="00A52AB8" w:rsidRDefault="00B72D88" w:rsidP="007656E5">
      <w:pPr>
        <w:rPr>
          <w:lang w:eastAsia="ja-JP"/>
        </w:rPr>
      </w:pPr>
      <w:r w:rsidRPr="00A52AB8">
        <w:rPr>
          <w:lang w:eastAsia="ja-JP"/>
        </w:rPr>
        <w:t xml:space="preserve">When the current atlas frame is not an IRAP coded atlas with </w:t>
      </w:r>
      <w:r w:rsidRPr="00A52AB8" w:rsidDel="008E7D52">
        <w:t xml:space="preserve">NoOutputBeforeRecoveryFlag </w:t>
      </w:r>
      <w:r w:rsidRPr="00A52AB8">
        <w:rPr>
          <w:lang w:eastAsia="ja-JP"/>
        </w:rPr>
        <w:t xml:space="preserve">equal to 1, the variables </w:t>
      </w:r>
      <w:r w:rsidRPr="00A52AB8">
        <w:t xml:space="preserve">prevAtlasFrmOrderCntLsb and prevAtlasFrmOrderCntMsb </w:t>
      </w:r>
      <w:r w:rsidRPr="00A52AB8">
        <w:rPr>
          <w:lang w:eastAsia="ja-JP"/>
        </w:rPr>
        <w:t>are derived as follows:</w:t>
      </w:r>
    </w:p>
    <w:p w14:paraId="0AF484CA" w14:textId="3886FF35" w:rsidR="00B72D88" w:rsidRPr="00A52AB8" w:rsidRDefault="00B72D8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Let prevAtlasFrm be the previous </w:t>
      </w:r>
      <w:r w:rsidR="00B72B26" w:rsidRPr="00A52AB8">
        <w:rPr>
          <w:color w:val="000000" w:themeColor="text1"/>
        </w:rPr>
        <w:t xml:space="preserve">atlas frame </w:t>
      </w:r>
      <w:r w:rsidRPr="00A52AB8">
        <w:rPr>
          <w:color w:val="000000" w:themeColor="text1"/>
        </w:rPr>
        <w:t xml:space="preserve">in decoding order that has </w:t>
      </w:r>
      <w:r w:rsidR="007812ED" w:rsidRPr="00A52AB8">
        <w:rPr>
          <w:color w:val="000000" w:themeColor="text1"/>
        </w:rPr>
        <w:t>TemporalID</w:t>
      </w:r>
      <w:r w:rsidRPr="00A52AB8">
        <w:rPr>
          <w:color w:val="000000" w:themeColor="text1"/>
        </w:rPr>
        <w:t xml:space="preserve"> equal to 0 and that is not a RASL, RADL, or SLNR coded atlas.</w:t>
      </w:r>
    </w:p>
    <w:p w14:paraId="6196DE78" w14:textId="77777777" w:rsidR="00B72D88" w:rsidRPr="00A52AB8" w:rsidRDefault="00B72D8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The variable prevAtlasFrmOrderCntLsb is set equal to the atlas frame order count LSB value</w:t>
      </w:r>
      <w:r w:rsidR="00223BD9" w:rsidRPr="00A52AB8">
        <w:rPr>
          <w:color w:val="000000" w:themeColor="text1"/>
        </w:rPr>
        <w:t>, ath_atlas_frm_order_cnt_lsb,</w:t>
      </w:r>
      <w:r w:rsidRPr="00A52AB8">
        <w:rPr>
          <w:color w:val="000000" w:themeColor="text1"/>
        </w:rPr>
        <w:t xml:space="preserve"> of prevAtlasFrm.</w:t>
      </w:r>
    </w:p>
    <w:p w14:paraId="73E19E6C" w14:textId="77777777" w:rsidR="00223BD9" w:rsidRPr="00A52AB8" w:rsidRDefault="00223BD9"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The variable prevAtlasFrmOrderCntMsb is set equal to AtlasFrmOrderCntMsb of prevAtlasFrm.</w:t>
      </w:r>
    </w:p>
    <w:p w14:paraId="3187869A" w14:textId="77777777" w:rsidR="00636833" w:rsidRPr="00A52AB8" w:rsidRDefault="00636833" w:rsidP="007656E5">
      <w:pPr>
        <w:tabs>
          <w:tab w:val="clear" w:pos="403"/>
          <w:tab w:val="clear" w:pos="806"/>
          <w:tab w:val="clear" w:pos="1210"/>
          <w:tab w:val="clear" w:pos="1613"/>
          <w:tab w:val="left" w:pos="360"/>
          <w:tab w:val="left" w:pos="794"/>
          <w:tab w:val="left" w:pos="1191"/>
          <w:tab w:val="left" w:pos="1588"/>
          <w:tab w:val="left" w:pos="1985"/>
        </w:tabs>
        <w:overflowPunct w:val="0"/>
        <w:autoSpaceDE w:val="0"/>
        <w:autoSpaceDN w:val="0"/>
        <w:adjustRightInd w:val="0"/>
      </w:pPr>
      <w:bookmarkStart w:id="1491" w:name="_Hlt22461470"/>
      <w:bookmarkEnd w:id="1491"/>
      <w:r w:rsidRPr="00A52AB8">
        <w:t xml:space="preserve">The variable </w:t>
      </w:r>
      <w:r w:rsidR="00EB723C" w:rsidRPr="00A52AB8">
        <w:t>AtlasFrm</w:t>
      </w:r>
      <w:r w:rsidRPr="00A52AB8">
        <w:t xml:space="preserve">OrderCntMsb of the </w:t>
      </w:r>
      <w:r w:rsidR="00A535CF" w:rsidRPr="00A52AB8">
        <w:t xml:space="preserve">current </w:t>
      </w:r>
      <w:r w:rsidR="002A47BD" w:rsidRPr="00A52AB8">
        <w:t xml:space="preserve">atlas </w:t>
      </w:r>
      <w:r w:rsidR="00223BD9" w:rsidRPr="00A52AB8">
        <w:t xml:space="preserve">frame </w:t>
      </w:r>
      <w:r w:rsidRPr="00A52AB8">
        <w:t>is derived as follows:</w:t>
      </w:r>
    </w:p>
    <w:p w14:paraId="3743950B" w14:textId="77777777" w:rsidR="00223BD9" w:rsidRPr="00A52AB8" w:rsidRDefault="00223BD9"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If the current atlas is an IRAP coded atlas with </w:t>
      </w:r>
      <w:r w:rsidRPr="00A52AB8" w:rsidDel="008E7D52">
        <w:rPr>
          <w:color w:val="000000" w:themeColor="text1"/>
        </w:rPr>
        <w:t xml:space="preserve">NoOutputBeforeRecoveryFlag </w:t>
      </w:r>
      <w:r w:rsidRPr="00A52AB8">
        <w:rPr>
          <w:color w:val="000000" w:themeColor="text1"/>
        </w:rPr>
        <w:t>equal to 1, AtlasFrmOrderCntMsb is set equal to 0.</w:t>
      </w:r>
    </w:p>
    <w:p w14:paraId="36B98B55" w14:textId="77777777" w:rsidR="00636833" w:rsidRPr="00A52AB8" w:rsidRDefault="0063683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Otherwise, </w:t>
      </w:r>
      <w:r w:rsidR="00EB723C" w:rsidRPr="00A52AB8">
        <w:rPr>
          <w:color w:val="000000" w:themeColor="text1"/>
        </w:rPr>
        <w:t>AtlasFrm</w:t>
      </w:r>
      <w:r w:rsidRPr="00A52AB8">
        <w:rPr>
          <w:color w:val="000000" w:themeColor="text1"/>
        </w:rPr>
        <w:t>OrderCntMsb is derived as follows:</w:t>
      </w:r>
    </w:p>
    <w:p w14:paraId="07230889" w14:textId="506C0B7E" w:rsidR="006C36A2" w:rsidRPr="00A52AB8" w:rsidRDefault="00BA12EF" w:rsidP="00007BE2">
      <w:pPr>
        <w:pStyle w:val="Equation"/>
        <w:tabs>
          <w:tab w:val="left" w:pos="403"/>
        </w:tabs>
        <w:spacing w:before="120" w:after="120"/>
      </w:pPr>
      <w:r w:rsidRPr="00A52AB8">
        <w:tab/>
      </w:r>
      <w:r w:rsidRPr="00A52AB8">
        <w:tab/>
      </w:r>
      <w:r w:rsidR="00636833" w:rsidRPr="00A52AB8">
        <w:t>if(</w:t>
      </w:r>
      <w:r w:rsidR="00540E92" w:rsidRPr="00A52AB8">
        <w:t> </w:t>
      </w:r>
      <w:r w:rsidR="00636833" w:rsidRPr="00A52AB8">
        <w:t>(</w:t>
      </w:r>
      <w:r w:rsidR="00540E92" w:rsidRPr="00A52AB8">
        <w:t> </w:t>
      </w:r>
      <w:r w:rsidR="00A62CD5" w:rsidRPr="00A52AB8">
        <w:t>ath_</w:t>
      </w:r>
      <w:r w:rsidR="008D47CD" w:rsidRPr="00A52AB8">
        <w:t>atlas_frm_order_cnt_lsb</w:t>
      </w:r>
      <w:r w:rsidR="00CC5563" w:rsidRPr="00A52AB8">
        <w:t> </w:t>
      </w:r>
      <w:r w:rsidR="00636833" w:rsidRPr="00A52AB8">
        <w:t>&lt;</w:t>
      </w:r>
      <w:r w:rsidR="00CC5563" w:rsidRPr="00A52AB8">
        <w:t> </w:t>
      </w:r>
      <w:r w:rsidR="008D333E" w:rsidRPr="00A52AB8">
        <w:t>prev</w:t>
      </w:r>
      <w:r w:rsidR="00EB723C" w:rsidRPr="00A52AB8">
        <w:t>AtlasFrm</w:t>
      </w:r>
      <w:r w:rsidR="008D333E" w:rsidRPr="00A52AB8">
        <w:t>OrderCntLsb</w:t>
      </w:r>
      <w:r w:rsidR="00AC1F5E" w:rsidRPr="00A52AB8">
        <w:t> </w:t>
      </w:r>
      <w:r w:rsidR="00636833" w:rsidRPr="00A52AB8">
        <w:t>)</w:t>
      </w:r>
      <w:r w:rsidR="00AC1F5E" w:rsidRPr="00A52AB8">
        <w:t> </w:t>
      </w:r>
      <w:r w:rsidR="00636833" w:rsidRPr="00A52AB8">
        <w:t>&amp;&amp;</w:t>
      </w:r>
      <w:r w:rsidR="00636833" w:rsidRPr="00A52AB8">
        <w:br/>
      </w:r>
      <w:r w:rsidR="00636833" w:rsidRPr="00A52AB8">
        <w:tab/>
      </w:r>
      <w:r w:rsidR="00636833" w:rsidRPr="00A52AB8">
        <w:tab/>
      </w:r>
      <w:r w:rsidRPr="00A52AB8">
        <w:tab/>
      </w:r>
      <w:r w:rsidR="00636833" w:rsidRPr="00A52AB8">
        <w:t>(</w:t>
      </w:r>
      <w:r w:rsidR="00AC1F5E" w:rsidRPr="00A52AB8">
        <w:t> </w:t>
      </w:r>
      <w:r w:rsidR="00636833" w:rsidRPr="00A52AB8">
        <w:t>(</w:t>
      </w:r>
      <w:r w:rsidR="00AC1F5E" w:rsidRPr="00A52AB8">
        <w:t> </w:t>
      </w:r>
      <w:r w:rsidR="008D333E" w:rsidRPr="00A52AB8">
        <w:t>prev</w:t>
      </w:r>
      <w:r w:rsidR="00EB723C" w:rsidRPr="00A52AB8">
        <w:t>AtlasFrm</w:t>
      </w:r>
      <w:r w:rsidR="008D333E" w:rsidRPr="00A52AB8">
        <w:t>OrderCntLsb</w:t>
      </w:r>
      <w:r w:rsidRPr="00A52AB8">
        <w:t> </w:t>
      </w:r>
      <w:r w:rsidR="00636833" w:rsidRPr="00A52AB8">
        <w:t>−</w:t>
      </w:r>
      <w:r w:rsidRPr="00A52AB8">
        <w:t> </w:t>
      </w:r>
      <w:r w:rsidR="00A62CD5" w:rsidRPr="00A52AB8">
        <w:t>ath_</w:t>
      </w:r>
      <w:r w:rsidR="008D47CD" w:rsidRPr="00A52AB8">
        <w:t>atlas_frm_order_cnt_lsb</w:t>
      </w:r>
      <w:r w:rsidR="00AC1F5E" w:rsidRPr="00A52AB8">
        <w:t> </w:t>
      </w:r>
      <w:r w:rsidR="00636833" w:rsidRPr="00A52AB8">
        <w:t>)</w:t>
      </w:r>
      <w:r w:rsidR="00AC1F5E" w:rsidRPr="00A52AB8">
        <w:t> </w:t>
      </w:r>
      <w:r w:rsidR="00A234FD" w:rsidRPr="00A52AB8">
        <w:t>&gt;=</w:t>
      </w:r>
      <w:r w:rsidR="00D47707" w:rsidRPr="00A52AB8">
        <w:t> </w:t>
      </w:r>
      <w:r w:rsidR="006C36A2" w:rsidRPr="00A52AB8">
        <w:br/>
      </w:r>
      <w:r w:rsidR="006C36A2" w:rsidRPr="00A52AB8">
        <w:tab/>
      </w:r>
      <w:r w:rsidR="006C36A2" w:rsidRPr="00A52AB8">
        <w:tab/>
      </w:r>
      <w:r w:rsidRPr="00A52AB8">
        <w:tab/>
      </w:r>
      <w:r w:rsidR="00636833" w:rsidRPr="00A52AB8">
        <w:t>(</w:t>
      </w:r>
      <w:r w:rsidR="00CC5563" w:rsidRPr="00A52AB8">
        <w:t> </w:t>
      </w:r>
      <w:r w:rsidR="00636833" w:rsidRPr="00A52AB8">
        <w:t>Max</w:t>
      </w:r>
      <w:r w:rsidR="00EB723C" w:rsidRPr="00A52AB8">
        <w:t>AtlasFrm</w:t>
      </w:r>
      <w:r w:rsidR="00636833" w:rsidRPr="00A52AB8">
        <w:t>OrderCntLsb</w:t>
      </w:r>
      <w:r w:rsidR="00CC5563" w:rsidRPr="00A52AB8">
        <w:t> </w:t>
      </w:r>
      <w:r w:rsidR="00636833" w:rsidRPr="00A52AB8">
        <w:t>/</w:t>
      </w:r>
      <w:r w:rsidR="00CC5563" w:rsidRPr="00A52AB8">
        <w:t> </w:t>
      </w:r>
      <w:r w:rsidR="00636833" w:rsidRPr="00A52AB8">
        <w:t>2</w:t>
      </w:r>
      <w:r w:rsidR="00CC5563" w:rsidRPr="00A52AB8">
        <w:t> </w:t>
      </w:r>
      <w:r w:rsidR="00636833" w:rsidRPr="00A52AB8">
        <w:t>)</w:t>
      </w:r>
      <w:r w:rsidR="00CC5563" w:rsidRPr="00A52AB8">
        <w:t> </w:t>
      </w:r>
      <w:r w:rsidR="00636833" w:rsidRPr="00A52AB8">
        <w:t>)</w:t>
      </w:r>
      <w:r w:rsidR="00CC5563" w:rsidRPr="00A52AB8">
        <w:t> </w:t>
      </w:r>
      <w:r w:rsidR="00636833" w:rsidRPr="00A52AB8">
        <w:t>)</w:t>
      </w:r>
    </w:p>
    <w:p w14:paraId="660B1C46" w14:textId="12F8A5C3" w:rsidR="00E60668" w:rsidRPr="00A52AB8" w:rsidRDefault="00636833" w:rsidP="002A5942">
      <w:r w:rsidRPr="00A52AB8">
        <w:tab/>
      </w:r>
      <w:r w:rsidR="00AC1F5E" w:rsidRPr="00A52AB8">
        <w:tab/>
      </w:r>
      <w:r w:rsidR="00AC1F5E" w:rsidRPr="00A52AB8">
        <w:tab/>
      </w:r>
      <w:r w:rsidR="00EB723C" w:rsidRPr="00A52AB8">
        <w:t>AtlasFrm</w:t>
      </w:r>
      <w:r w:rsidRPr="00A52AB8">
        <w:t>OrderCntMsb</w:t>
      </w:r>
      <w:r w:rsidR="00AC1F5E" w:rsidRPr="00A52AB8">
        <w:t> </w:t>
      </w:r>
      <w:r w:rsidRPr="00A52AB8">
        <w:t>=</w:t>
      </w:r>
      <w:r w:rsidR="00AC1F5E" w:rsidRPr="00A52AB8">
        <w:br/>
      </w:r>
      <w:r w:rsidR="00AC1F5E" w:rsidRPr="00A52AB8">
        <w:tab/>
      </w:r>
      <w:r w:rsidR="00AC1F5E" w:rsidRPr="00A52AB8">
        <w:tab/>
      </w:r>
      <w:r w:rsidR="00AC1F5E" w:rsidRPr="00A52AB8">
        <w:tab/>
      </w:r>
      <w:r w:rsidR="00AC1F5E" w:rsidRPr="00A52AB8">
        <w:tab/>
      </w:r>
      <w:r w:rsidRPr="00A52AB8">
        <w:t>prev</w:t>
      </w:r>
      <w:r w:rsidR="00EB723C" w:rsidRPr="00A52AB8">
        <w:t>AtlasFrm</w:t>
      </w:r>
      <w:r w:rsidRPr="00A52AB8">
        <w:t>OrderCntMsb + Max</w:t>
      </w:r>
      <w:r w:rsidR="00EB723C" w:rsidRPr="00A52AB8">
        <w:t>AtlasFrm</w:t>
      </w:r>
      <w:r w:rsidRPr="00A52AB8">
        <w:t>OrderCntLsb</w:t>
      </w:r>
      <w:r w:rsidRPr="00A52AB8">
        <w:tab/>
        <w:t>(</w:t>
      </w:r>
      <w:r w:rsidRPr="00496A4D">
        <w:fldChar w:fldCharType="begin"/>
      </w:r>
      <w:r w:rsidRPr="00A52AB8">
        <w:instrText xml:space="preserve"> </w:instrText>
      </w:r>
      <w:r w:rsidR="00646520" w:rsidRPr="00A52AB8">
        <w:instrText>SEQ Equation \* ARABIC \n</w:instrText>
      </w:r>
      <w:r w:rsidRPr="00A52AB8">
        <w:instrText xml:space="preserve"> </w:instrText>
      </w:r>
      <w:r w:rsidRPr="00496A4D">
        <w:fldChar w:fldCharType="separate"/>
      </w:r>
      <w:r w:rsidR="00507A67">
        <w:rPr>
          <w:noProof/>
        </w:rPr>
        <w:t>38</w:t>
      </w:r>
      <w:r w:rsidRPr="00496A4D">
        <w:fldChar w:fldCharType="end"/>
      </w:r>
      <w:r w:rsidRPr="00A52AB8">
        <w:t>)</w:t>
      </w:r>
    </w:p>
    <w:p w14:paraId="5348A596" w14:textId="5C39E728" w:rsidR="006C36A2" w:rsidRPr="00A52AB8" w:rsidRDefault="00BA12EF" w:rsidP="00007BE2">
      <w:pPr>
        <w:pStyle w:val="Equation"/>
        <w:tabs>
          <w:tab w:val="left" w:pos="403"/>
        </w:tabs>
        <w:spacing w:before="120" w:after="120"/>
      </w:pPr>
      <w:r w:rsidRPr="00A52AB8">
        <w:tab/>
      </w:r>
      <w:r w:rsidRPr="00A52AB8">
        <w:tab/>
      </w:r>
      <w:r w:rsidR="00443F34" w:rsidRPr="00A52AB8">
        <w:t>e</w:t>
      </w:r>
      <w:r w:rsidR="00636833" w:rsidRPr="00A52AB8">
        <w:t>lse</w:t>
      </w:r>
      <w:r w:rsidR="00443F34" w:rsidRPr="00A52AB8">
        <w:t> </w:t>
      </w:r>
      <w:r w:rsidR="00636833" w:rsidRPr="00A52AB8">
        <w:t>if(</w:t>
      </w:r>
      <w:r w:rsidR="004654A7" w:rsidRPr="00A52AB8">
        <w:t> </w:t>
      </w:r>
      <w:r w:rsidR="00636833" w:rsidRPr="00A52AB8">
        <w:t>(</w:t>
      </w:r>
      <w:r w:rsidR="004654A7" w:rsidRPr="00A52AB8">
        <w:t> </w:t>
      </w:r>
      <w:r w:rsidR="00A62CD5" w:rsidRPr="00A52AB8">
        <w:t>ath_</w:t>
      </w:r>
      <w:r w:rsidR="008D47CD" w:rsidRPr="00A52AB8">
        <w:t>atlas_frm_order_cnt_lsb</w:t>
      </w:r>
      <w:r w:rsidR="004654A7" w:rsidRPr="00A52AB8">
        <w:t> </w:t>
      </w:r>
      <w:r w:rsidR="00636833" w:rsidRPr="00A52AB8">
        <w:t>&gt;</w:t>
      </w:r>
      <w:r w:rsidRPr="00A52AB8">
        <w:t> </w:t>
      </w:r>
      <w:r w:rsidR="00636833" w:rsidRPr="00A52AB8">
        <w:t>prev</w:t>
      </w:r>
      <w:r w:rsidR="00EB723C" w:rsidRPr="00A52AB8">
        <w:t>AtlasFrm</w:t>
      </w:r>
      <w:r w:rsidR="00636833" w:rsidRPr="00A52AB8">
        <w:t>OrderCntLsb</w:t>
      </w:r>
      <w:r w:rsidR="00AC1F5E" w:rsidRPr="00A52AB8">
        <w:t> </w:t>
      </w:r>
      <w:r w:rsidR="00636833" w:rsidRPr="00A52AB8">
        <w:t>)</w:t>
      </w:r>
      <w:r w:rsidR="00AC1F5E" w:rsidRPr="00A52AB8">
        <w:t> </w:t>
      </w:r>
      <w:r w:rsidR="00636833" w:rsidRPr="00A52AB8">
        <w:t>&amp;&amp;</w:t>
      </w:r>
      <w:r w:rsidR="00636833" w:rsidRPr="00A52AB8">
        <w:br/>
      </w:r>
      <w:r w:rsidR="00636833" w:rsidRPr="00A52AB8">
        <w:tab/>
      </w:r>
      <w:r w:rsidR="00636833" w:rsidRPr="00A52AB8">
        <w:tab/>
      </w:r>
      <w:r w:rsidRPr="00A52AB8">
        <w:tab/>
      </w:r>
      <w:r w:rsidR="00636833" w:rsidRPr="00A52AB8">
        <w:t>(</w:t>
      </w:r>
      <w:r w:rsidR="004654A7" w:rsidRPr="00A52AB8">
        <w:t> </w:t>
      </w:r>
      <w:r w:rsidR="00636833" w:rsidRPr="00A52AB8">
        <w:t>(</w:t>
      </w:r>
      <w:r w:rsidR="004654A7" w:rsidRPr="00A52AB8">
        <w:t> </w:t>
      </w:r>
      <w:r w:rsidR="00A62CD5" w:rsidRPr="00A52AB8">
        <w:t>ath_</w:t>
      </w:r>
      <w:r w:rsidR="008D47CD" w:rsidRPr="00A52AB8">
        <w:t>atlas_frm_order_cnt_lsb</w:t>
      </w:r>
      <w:r w:rsidR="004654A7" w:rsidRPr="00A52AB8">
        <w:t> </w:t>
      </w:r>
      <w:r w:rsidR="00AC1F5E" w:rsidRPr="00A52AB8">
        <w:t>–</w:t>
      </w:r>
      <w:r w:rsidRPr="00A52AB8">
        <w:t> </w:t>
      </w:r>
      <w:r w:rsidR="00636833" w:rsidRPr="00A52AB8">
        <w:t>prev</w:t>
      </w:r>
      <w:r w:rsidR="00EB723C" w:rsidRPr="00A52AB8">
        <w:t>AtlasFrm</w:t>
      </w:r>
      <w:r w:rsidR="00636833" w:rsidRPr="00A52AB8">
        <w:t>OrderCntLsb</w:t>
      </w:r>
      <w:r w:rsidR="00AC1F5E" w:rsidRPr="00A52AB8">
        <w:t> </w:t>
      </w:r>
      <w:r w:rsidR="00636833" w:rsidRPr="00A52AB8">
        <w:t>)</w:t>
      </w:r>
      <w:r w:rsidR="00AC1F5E" w:rsidRPr="00A52AB8">
        <w:t> </w:t>
      </w:r>
      <w:r w:rsidR="00636833" w:rsidRPr="00A52AB8">
        <w:t>&gt;</w:t>
      </w:r>
      <w:r w:rsidR="006C36A2" w:rsidRPr="00A52AB8">
        <w:br/>
      </w:r>
      <w:r w:rsidR="006C36A2" w:rsidRPr="00A52AB8">
        <w:tab/>
      </w:r>
      <w:r w:rsidR="006C36A2" w:rsidRPr="00A52AB8">
        <w:tab/>
      </w:r>
      <w:r w:rsidRPr="00A52AB8">
        <w:tab/>
      </w:r>
      <w:r w:rsidR="00636833" w:rsidRPr="00A52AB8">
        <w:t>(</w:t>
      </w:r>
      <w:r w:rsidR="004654A7" w:rsidRPr="00A52AB8">
        <w:t> </w:t>
      </w:r>
      <w:r w:rsidR="00636833" w:rsidRPr="00A52AB8">
        <w:t>Max</w:t>
      </w:r>
      <w:r w:rsidR="00EB723C" w:rsidRPr="00A52AB8">
        <w:t>AtlasFrm</w:t>
      </w:r>
      <w:r w:rsidR="00636833" w:rsidRPr="00A52AB8">
        <w:t>OrderCntLsb</w:t>
      </w:r>
      <w:r w:rsidR="004654A7" w:rsidRPr="00A52AB8">
        <w:t> </w:t>
      </w:r>
      <w:r w:rsidR="00636833" w:rsidRPr="00A52AB8">
        <w:t>/</w:t>
      </w:r>
      <w:r w:rsidR="004654A7" w:rsidRPr="00A52AB8">
        <w:t> </w:t>
      </w:r>
      <w:r w:rsidR="00636833" w:rsidRPr="00A52AB8">
        <w:t>2</w:t>
      </w:r>
      <w:r w:rsidR="004654A7" w:rsidRPr="00A52AB8">
        <w:t> </w:t>
      </w:r>
      <w:r w:rsidR="00636833" w:rsidRPr="00A52AB8">
        <w:t>)</w:t>
      </w:r>
      <w:r w:rsidR="004654A7" w:rsidRPr="00A52AB8">
        <w:t> </w:t>
      </w:r>
      <w:r w:rsidR="00636833" w:rsidRPr="00A52AB8">
        <w:t>)</w:t>
      </w:r>
      <w:r w:rsidR="004654A7" w:rsidRPr="00A52AB8">
        <w:t> </w:t>
      </w:r>
      <w:r w:rsidR="00636833" w:rsidRPr="00A52AB8">
        <w:t>)</w:t>
      </w:r>
    </w:p>
    <w:p w14:paraId="25054482" w14:textId="1978AA6D" w:rsidR="006C36A2" w:rsidRPr="00A52AB8" w:rsidRDefault="00636833" w:rsidP="00A252B5">
      <w:r w:rsidRPr="00A52AB8">
        <w:tab/>
      </w:r>
      <w:r w:rsidR="00FA5D04" w:rsidRPr="00A52AB8">
        <w:tab/>
      </w:r>
      <w:r w:rsidR="00FA5D04" w:rsidRPr="00A52AB8">
        <w:tab/>
      </w:r>
      <w:r w:rsidR="00EB723C" w:rsidRPr="00A52AB8">
        <w:t>AtlasFrm</w:t>
      </w:r>
      <w:r w:rsidRPr="00A52AB8">
        <w:t>OrderCntMsb</w:t>
      </w:r>
      <w:r w:rsidR="00FA5D04" w:rsidRPr="00A52AB8">
        <w:t> </w:t>
      </w:r>
      <w:r w:rsidRPr="00A52AB8">
        <w:t>=</w:t>
      </w:r>
      <w:r w:rsidR="00FA5D04" w:rsidRPr="00A52AB8">
        <w:br/>
      </w:r>
      <w:r w:rsidR="00FA5D04" w:rsidRPr="00A52AB8">
        <w:tab/>
      </w:r>
      <w:r w:rsidR="00FA5D04" w:rsidRPr="00A52AB8">
        <w:tab/>
      </w:r>
      <w:r w:rsidR="00FA5D04" w:rsidRPr="00A52AB8">
        <w:tab/>
      </w:r>
      <w:r w:rsidR="00FA5D04" w:rsidRPr="00A52AB8">
        <w:tab/>
      </w:r>
      <w:r w:rsidRPr="00A52AB8">
        <w:t>prev</w:t>
      </w:r>
      <w:r w:rsidR="00EB723C" w:rsidRPr="00A52AB8">
        <w:t>AtlasFrm</w:t>
      </w:r>
      <w:r w:rsidRPr="00A52AB8">
        <w:t>OrderCntMsb</w:t>
      </w:r>
      <w:r w:rsidR="00FA5D04" w:rsidRPr="00A52AB8">
        <w:t> </w:t>
      </w:r>
      <w:r w:rsidR="006C36A2" w:rsidRPr="00A52AB8">
        <w:t>–</w:t>
      </w:r>
      <w:r w:rsidR="00FA5D04" w:rsidRPr="00A52AB8">
        <w:t> </w:t>
      </w:r>
      <w:r w:rsidRPr="00A52AB8">
        <w:t>Max</w:t>
      </w:r>
      <w:r w:rsidR="00EB723C" w:rsidRPr="00A52AB8">
        <w:t>AtlasFrm</w:t>
      </w:r>
      <w:r w:rsidRPr="00A52AB8">
        <w:t>OrderCntLsb</w:t>
      </w:r>
      <w:r w:rsidR="00FA5D04" w:rsidRPr="00A52AB8">
        <w:tab/>
        <w:t>(</w:t>
      </w:r>
      <w:r w:rsidR="00FA5D04" w:rsidRPr="00496A4D">
        <w:fldChar w:fldCharType="begin"/>
      </w:r>
      <w:r w:rsidR="00FA5D04" w:rsidRPr="00A52AB8">
        <w:instrText xml:space="preserve"> SEQ Equation \* ARABIC \n </w:instrText>
      </w:r>
      <w:r w:rsidR="00FA5D04" w:rsidRPr="00496A4D">
        <w:fldChar w:fldCharType="separate"/>
      </w:r>
      <w:r w:rsidR="00507A67">
        <w:rPr>
          <w:noProof/>
        </w:rPr>
        <w:t>39</w:t>
      </w:r>
      <w:r w:rsidR="00FA5D04" w:rsidRPr="00496A4D">
        <w:fldChar w:fldCharType="end"/>
      </w:r>
      <w:r w:rsidR="00FA5D04" w:rsidRPr="00A52AB8">
        <w:t>)</w:t>
      </w:r>
    </w:p>
    <w:p w14:paraId="562200F9" w14:textId="43FDFE75" w:rsidR="006C36A2" w:rsidRPr="00A52AB8" w:rsidRDefault="000F0C85" w:rsidP="00007BE2">
      <w:pPr>
        <w:pStyle w:val="Equation"/>
        <w:tabs>
          <w:tab w:val="left" w:pos="403"/>
        </w:tabs>
        <w:spacing w:before="120" w:after="120"/>
      </w:pPr>
      <w:r w:rsidRPr="00A52AB8">
        <w:tab/>
      </w:r>
      <w:r w:rsidRPr="00A52AB8">
        <w:tab/>
      </w:r>
      <w:r w:rsidR="00636833" w:rsidRPr="00A52AB8">
        <w:t>else</w:t>
      </w:r>
    </w:p>
    <w:p w14:paraId="718C30D0" w14:textId="3AD82683" w:rsidR="00636833" w:rsidRPr="00A52AB8" w:rsidRDefault="00636833" w:rsidP="00007BE2">
      <w:pPr>
        <w:pStyle w:val="Equation"/>
        <w:tabs>
          <w:tab w:val="left" w:pos="403"/>
        </w:tabs>
        <w:spacing w:before="120" w:after="120"/>
      </w:pPr>
      <w:r w:rsidRPr="00A52AB8">
        <w:tab/>
      </w:r>
      <w:r w:rsidR="00A10FA2" w:rsidRPr="00A52AB8">
        <w:tab/>
      </w:r>
      <w:r w:rsidR="000F0C85" w:rsidRPr="00A52AB8">
        <w:tab/>
      </w:r>
      <w:r w:rsidR="00EB723C" w:rsidRPr="00A52AB8">
        <w:t>AtlasFrm</w:t>
      </w:r>
      <w:r w:rsidRPr="00A52AB8">
        <w:t>OrderCntMsb</w:t>
      </w:r>
      <w:r w:rsidR="0023721F" w:rsidRPr="00A52AB8">
        <w:t> </w:t>
      </w:r>
      <w:r w:rsidR="00D47707" w:rsidRPr="00A52AB8">
        <w:t>= </w:t>
      </w:r>
      <w:r w:rsidRPr="00A52AB8">
        <w:t>prev</w:t>
      </w:r>
      <w:r w:rsidR="00EB723C" w:rsidRPr="00A52AB8">
        <w:t>AtlasFrm</w:t>
      </w:r>
      <w:r w:rsidRPr="00A52AB8">
        <w:t>OrderCntMsb</w:t>
      </w:r>
      <w:r w:rsidR="00A10FA2" w:rsidRPr="00A52AB8">
        <w:tab/>
        <w:t>(</w:t>
      </w:r>
      <w:r w:rsidR="00A10FA2" w:rsidRPr="00496A4D">
        <w:fldChar w:fldCharType="begin"/>
      </w:r>
      <w:r w:rsidR="00A10FA2" w:rsidRPr="00A52AB8">
        <w:instrText xml:space="preserve"> SEQ Equation \* ARABIC \n </w:instrText>
      </w:r>
      <w:r w:rsidR="00A10FA2" w:rsidRPr="00496A4D">
        <w:fldChar w:fldCharType="separate"/>
      </w:r>
      <w:r w:rsidR="00507A67">
        <w:rPr>
          <w:noProof/>
        </w:rPr>
        <w:t>40</w:t>
      </w:r>
      <w:r w:rsidR="00A10FA2" w:rsidRPr="00496A4D">
        <w:fldChar w:fldCharType="end"/>
      </w:r>
      <w:r w:rsidR="00A10FA2" w:rsidRPr="00A52AB8">
        <w:t>)</w:t>
      </w:r>
    </w:p>
    <w:p w14:paraId="2A398C08" w14:textId="77777777" w:rsidR="00636833" w:rsidRPr="00A52AB8" w:rsidRDefault="00EB723C">
      <w:pPr>
        <w:spacing w:before="120" w:after="120" w:line="240" w:lineRule="auto"/>
      </w:pPr>
      <w:r w:rsidRPr="00A52AB8">
        <w:t>AtlasFrm</w:t>
      </w:r>
      <w:r w:rsidR="00636833" w:rsidRPr="00A52AB8">
        <w:t>OrderCntVal is derived as follows:</w:t>
      </w:r>
    </w:p>
    <w:p w14:paraId="1A8B9099" w14:textId="1898D6A9" w:rsidR="00223BD9" w:rsidRPr="00A52AB8" w:rsidRDefault="00FA5D04" w:rsidP="004A6049">
      <w:r w:rsidRPr="00A52AB8">
        <w:tab/>
      </w:r>
      <w:r w:rsidR="00EB723C" w:rsidRPr="00A52AB8">
        <w:t>AtlasFrm</w:t>
      </w:r>
      <w:r w:rsidR="00636833" w:rsidRPr="00A52AB8">
        <w:t>OrderCntVal</w:t>
      </w:r>
      <w:r w:rsidR="00D47707" w:rsidRPr="00A52AB8">
        <w:t> = </w:t>
      </w:r>
      <w:r w:rsidR="00EB723C" w:rsidRPr="00A52AB8">
        <w:t>AtlasFrm</w:t>
      </w:r>
      <w:r w:rsidR="00636833" w:rsidRPr="00A52AB8">
        <w:t>OrderCntMsb</w:t>
      </w:r>
      <w:r w:rsidR="00117B0C" w:rsidRPr="00A52AB8">
        <w:t> </w:t>
      </w:r>
      <w:r w:rsidR="00636833" w:rsidRPr="00A52AB8">
        <w:t>+</w:t>
      </w:r>
      <w:r w:rsidR="00117B0C" w:rsidRPr="00A52AB8">
        <w:t> </w:t>
      </w:r>
      <w:r w:rsidR="00A62CD5" w:rsidRPr="00A52AB8">
        <w:t>ath_</w:t>
      </w:r>
      <w:r w:rsidR="008D47CD" w:rsidRPr="00A52AB8">
        <w:t>atlas_frm_order_cnt_lsb</w:t>
      </w:r>
      <w:r w:rsidR="00636833" w:rsidRPr="00A52AB8">
        <w:tab/>
        <w:t>(</w:t>
      </w:r>
      <w:r w:rsidR="00636833" w:rsidRPr="00496A4D">
        <w:fldChar w:fldCharType="begin"/>
      </w:r>
      <w:r w:rsidR="00636833" w:rsidRPr="00A52AB8">
        <w:instrText xml:space="preserve"> </w:instrText>
      </w:r>
      <w:r w:rsidR="00646520" w:rsidRPr="00A52AB8">
        <w:instrText>SEQ Equation \* ARABIC \n</w:instrText>
      </w:r>
      <w:r w:rsidR="00636833" w:rsidRPr="00A52AB8">
        <w:instrText xml:space="preserve"> </w:instrText>
      </w:r>
      <w:r w:rsidR="00636833" w:rsidRPr="00496A4D">
        <w:fldChar w:fldCharType="separate"/>
      </w:r>
      <w:r w:rsidR="00507A67">
        <w:rPr>
          <w:noProof/>
        </w:rPr>
        <w:t>41</w:t>
      </w:r>
      <w:r w:rsidR="00636833" w:rsidRPr="00496A4D">
        <w:fldChar w:fldCharType="end"/>
      </w:r>
      <w:r w:rsidR="00636833" w:rsidRPr="00A52AB8">
        <w:t>)</w:t>
      </w:r>
    </w:p>
    <w:p w14:paraId="773705BC" w14:textId="77777777" w:rsidR="00636833" w:rsidRPr="00A52AB8" w:rsidRDefault="00636833">
      <w:pPr>
        <w:spacing w:before="120" w:after="120" w:line="240" w:lineRule="auto"/>
      </w:pPr>
      <w:r w:rsidRPr="00A52AB8">
        <w:rPr>
          <w:lang w:eastAsia="ja-JP"/>
        </w:rPr>
        <w:t xml:space="preserve">The value of </w:t>
      </w:r>
      <w:r w:rsidR="00EB723C" w:rsidRPr="00A52AB8">
        <w:t>AtlasFrm</w:t>
      </w:r>
      <w:r w:rsidRPr="00A52AB8">
        <w:rPr>
          <w:lang w:eastAsia="ja-JP"/>
        </w:rPr>
        <w:t>OrderCntVal</w:t>
      </w:r>
      <w:r w:rsidRPr="00A52AB8">
        <w:t xml:space="preserve"> shall be in the range of −2</w:t>
      </w:r>
      <w:r w:rsidRPr="00A52AB8">
        <w:rPr>
          <w:vertAlign w:val="superscript"/>
        </w:rPr>
        <w:t>31</w:t>
      </w:r>
      <w:r w:rsidRPr="00A52AB8">
        <w:t xml:space="preserve"> to 2</w:t>
      </w:r>
      <w:r w:rsidRPr="00A52AB8">
        <w:rPr>
          <w:vertAlign w:val="superscript"/>
        </w:rPr>
        <w:t>31</w:t>
      </w:r>
      <w:r w:rsidRPr="00A52AB8">
        <w:t> − 1, inclusive. In one C</w:t>
      </w:r>
      <w:r w:rsidR="00700119" w:rsidRPr="00A52AB8">
        <w:t>A</w:t>
      </w:r>
      <w:r w:rsidRPr="00A52AB8">
        <w:t xml:space="preserve">S, the </w:t>
      </w:r>
      <w:r w:rsidR="00EB723C" w:rsidRPr="00A52AB8">
        <w:t>AtlasFrm</w:t>
      </w:r>
      <w:r w:rsidRPr="00A52AB8">
        <w:t xml:space="preserve">OrderCntVal values for any two coded </w:t>
      </w:r>
      <w:r w:rsidR="008F0D00" w:rsidRPr="00A52AB8">
        <w:t>atlas frame</w:t>
      </w:r>
      <w:r w:rsidR="004654A7" w:rsidRPr="00A52AB8">
        <w:t>s</w:t>
      </w:r>
      <w:r w:rsidRPr="00A52AB8">
        <w:t xml:space="preserve"> </w:t>
      </w:r>
      <w:r w:rsidR="00961861" w:rsidRPr="00A52AB8">
        <w:t xml:space="preserve">with the same value of nal_layer_id </w:t>
      </w:r>
      <w:r w:rsidRPr="00A52AB8">
        <w:t>shall not be the same.</w:t>
      </w:r>
    </w:p>
    <w:p w14:paraId="083CE09A" w14:textId="54D44955" w:rsidR="00636833" w:rsidRPr="00A52AB8" w:rsidRDefault="00636833" w:rsidP="00007BE2">
      <w:pPr>
        <w:spacing w:before="120" w:after="120" w:line="240" w:lineRule="auto"/>
        <w:rPr>
          <w:lang w:eastAsia="ja-JP"/>
        </w:rPr>
      </w:pPr>
      <w:r w:rsidRPr="00A52AB8">
        <w:rPr>
          <w:lang w:eastAsia="ja-JP"/>
        </w:rPr>
        <w:t xml:space="preserve">The function </w:t>
      </w:r>
      <w:r w:rsidR="00EB723C" w:rsidRPr="00A52AB8">
        <w:rPr>
          <w:lang w:eastAsia="ja-JP"/>
        </w:rPr>
        <w:t>AtlasFrm</w:t>
      </w:r>
      <w:r w:rsidRPr="00A52AB8">
        <w:rPr>
          <w:lang w:eastAsia="ja-JP"/>
        </w:rPr>
        <w:t>OrderCnt( </w:t>
      </w:r>
      <w:r w:rsidR="00CC390E" w:rsidRPr="00A52AB8">
        <w:rPr>
          <w:lang w:eastAsia="ja-JP"/>
        </w:rPr>
        <w:t>a</w:t>
      </w:r>
      <w:r w:rsidR="00DC4D97" w:rsidRPr="00A52AB8">
        <w:rPr>
          <w:lang w:eastAsia="ja-JP"/>
        </w:rPr>
        <w:t>FrmX</w:t>
      </w:r>
      <w:r w:rsidR="009A3C29" w:rsidRPr="00A52AB8">
        <w:rPr>
          <w:lang w:eastAsia="ja-JP"/>
        </w:rPr>
        <w:t> </w:t>
      </w:r>
      <w:r w:rsidRPr="00A52AB8">
        <w:rPr>
          <w:lang w:eastAsia="ja-JP"/>
        </w:rPr>
        <w:t>) is specified as follows:</w:t>
      </w:r>
    </w:p>
    <w:p w14:paraId="22812A92" w14:textId="55CAE931" w:rsidR="00636833" w:rsidRPr="00A52AB8" w:rsidRDefault="005E69D0" w:rsidP="005E69D0">
      <w:r w:rsidRPr="00A52AB8">
        <w:tab/>
      </w:r>
      <w:r w:rsidR="00EB723C" w:rsidRPr="00A52AB8">
        <w:t>AtlasFrm</w:t>
      </w:r>
      <w:r w:rsidR="00636833" w:rsidRPr="00A52AB8">
        <w:t>OrderCnt( </w:t>
      </w:r>
      <w:r w:rsidR="00CC390E" w:rsidRPr="00A52AB8">
        <w:t>a</w:t>
      </w:r>
      <w:r w:rsidR="00DC4D97" w:rsidRPr="00A52AB8">
        <w:t>FrmX</w:t>
      </w:r>
      <w:r w:rsidR="009A3C29" w:rsidRPr="00A52AB8">
        <w:t> </w:t>
      </w:r>
      <w:r w:rsidR="00636833" w:rsidRPr="00A52AB8">
        <w:t>)</w:t>
      </w:r>
      <w:r w:rsidR="00D47707" w:rsidRPr="00A52AB8">
        <w:t> = </w:t>
      </w:r>
      <w:r w:rsidR="00EB723C" w:rsidRPr="00A52AB8">
        <w:t>AtlasFrm</w:t>
      </w:r>
      <w:r w:rsidR="00636833" w:rsidRPr="00A52AB8">
        <w:t xml:space="preserve">OrderCntVal of the </w:t>
      </w:r>
      <w:r w:rsidR="008F0D00" w:rsidRPr="00A52AB8">
        <w:t>atlas frame</w:t>
      </w:r>
      <w:r w:rsidR="00E80370" w:rsidRPr="00A52AB8">
        <w:t xml:space="preserve"> </w:t>
      </w:r>
      <w:r w:rsidR="00CC390E" w:rsidRPr="00A52AB8">
        <w:t>a</w:t>
      </w:r>
      <w:r w:rsidR="00DC4D97" w:rsidRPr="00A52AB8">
        <w:t>FrmX</w:t>
      </w:r>
      <w:r w:rsidR="006C36A2" w:rsidRPr="00A52AB8">
        <w:tab/>
      </w:r>
      <w:r w:rsidR="00636833" w:rsidRPr="00A52AB8">
        <w:t>(</w:t>
      </w:r>
      <w:r w:rsidR="00636833" w:rsidRPr="00496A4D">
        <w:fldChar w:fldCharType="begin"/>
      </w:r>
      <w:r w:rsidR="00636833" w:rsidRPr="00A52AB8">
        <w:instrText xml:space="preserve"> </w:instrText>
      </w:r>
      <w:r w:rsidR="00646520" w:rsidRPr="00A52AB8">
        <w:instrText>SEQ Equation \* ARABIC \n</w:instrText>
      </w:r>
      <w:r w:rsidR="00636833" w:rsidRPr="00A52AB8">
        <w:instrText xml:space="preserve"> </w:instrText>
      </w:r>
      <w:r w:rsidR="00636833" w:rsidRPr="00496A4D">
        <w:fldChar w:fldCharType="separate"/>
      </w:r>
      <w:r w:rsidR="00507A67">
        <w:rPr>
          <w:noProof/>
        </w:rPr>
        <w:t>42</w:t>
      </w:r>
      <w:r w:rsidR="00636833" w:rsidRPr="00496A4D">
        <w:fldChar w:fldCharType="end"/>
      </w:r>
      <w:r w:rsidR="00636833" w:rsidRPr="00A52AB8">
        <w:t>)</w:t>
      </w:r>
    </w:p>
    <w:p w14:paraId="504AE679" w14:textId="6F0E1D24" w:rsidR="00636833" w:rsidRPr="00A52AB8" w:rsidRDefault="00636833" w:rsidP="00007BE2">
      <w:pPr>
        <w:spacing w:before="120" w:after="120" w:line="240" w:lineRule="auto"/>
        <w:rPr>
          <w:lang w:eastAsia="ja-JP"/>
        </w:rPr>
      </w:pPr>
      <w:r w:rsidRPr="00A52AB8">
        <w:rPr>
          <w:lang w:eastAsia="ja-JP"/>
        </w:rPr>
        <w:t>The function Diff</w:t>
      </w:r>
      <w:r w:rsidR="00EB723C" w:rsidRPr="00A52AB8">
        <w:rPr>
          <w:lang w:eastAsia="ja-JP"/>
        </w:rPr>
        <w:t>AtlasFrm</w:t>
      </w:r>
      <w:r w:rsidRPr="00A52AB8">
        <w:rPr>
          <w:lang w:eastAsia="ja-JP"/>
        </w:rPr>
        <w:t>OrderCnt( </w:t>
      </w:r>
      <w:r w:rsidR="00CC390E" w:rsidRPr="00A52AB8">
        <w:rPr>
          <w:lang w:eastAsia="ja-JP"/>
        </w:rPr>
        <w:t>a</w:t>
      </w:r>
      <w:r w:rsidR="00DC4D97" w:rsidRPr="00A52AB8">
        <w:rPr>
          <w:lang w:eastAsia="ja-JP"/>
        </w:rPr>
        <w:t>FrmA</w:t>
      </w:r>
      <w:r w:rsidRPr="00A52AB8">
        <w:rPr>
          <w:lang w:eastAsia="ja-JP"/>
        </w:rPr>
        <w:t>, </w:t>
      </w:r>
      <w:r w:rsidR="00CC390E" w:rsidRPr="00A52AB8">
        <w:rPr>
          <w:lang w:eastAsia="ja-JP"/>
        </w:rPr>
        <w:t>a</w:t>
      </w:r>
      <w:r w:rsidR="00DC4D97" w:rsidRPr="00A52AB8">
        <w:rPr>
          <w:lang w:eastAsia="ja-JP"/>
        </w:rPr>
        <w:t>FrmB</w:t>
      </w:r>
      <w:r w:rsidR="009A3C29" w:rsidRPr="00A52AB8">
        <w:rPr>
          <w:lang w:eastAsia="ja-JP"/>
        </w:rPr>
        <w:t> </w:t>
      </w:r>
      <w:r w:rsidRPr="00A52AB8">
        <w:rPr>
          <w:lang w:eastAsia="ja-JP"/>
        </w:rPr>
        <w:t>) is specified as follows:</w:t>
      </w:r>
    </w:p>
    <w:p w14:paraId="64789C14" w14:textId="386DD76C" w:rsidR="00636833" w:rsidRPr="00A52AB8" w:rsidRDefault="005E69D0" w:rsidP="003A3685">
      <w:r w:rsidRPr="00A52AB8">
        <w:tab/>
      </w:r>
      <w:r w:rsidR="00636833" w:rsidRPr="00A52AB8">
        <w:t>Diff</w:t>
      </w:r>
      <w:r w:rsidR="00EB723C" w:rsidRPr="00A52AB8">
        <w:t>AtlasFrm</w:t>
      </w:r>
      <w:r w:rsidR="00636833" w:rsidRPr="00A52AB8">
        <w:t>OrderCnt( </w:t>
      </w:r>
      <w:r w:rsidR="00CC390E" w:rsidRPr="00A52AB8">
        <w:t>a</w:t>
      </w:r>
      <w:r w:rsidR="00DC4D97" w:rsidRPr="00A52AB8">
        <w:t>FrmA</w:t>
      </w:r>
      <w:r w:rsidR="00636833" w:rsidRPr="00A52AB8">
        <w:t>,</w:t>
      </w:r>
      <w:r w:rsidRPr="00A52AB8">
        <w:t> </w:t>
      </w:r>
      <w:r w:rsidR="00CC390E" w:rsidRPr="00A52AB8">
        <w:t>a</w:t>
      </w:r>
      <w:r w:rsidR="00DC4D97" w:rsidRPr="00A52AB8">
        <w:t>FrmB</w:t>
      </w:r>
      <w:r w:rsidR="009A3C29" w:rsidRPr="00A52AB8">
        <w:t> </w:t>
      </w:r>
      <w:r w:rsidRPr="00A52AB8">
        <w:t>) </w:t>
      </w:r>
      <w:r w:rsidR="00636833" w:rsidRPr="00A52AB8">
        <w:t>=</w:t>
      </w:r>
      <w:r w:rsidR="006C36A2" w:rsidRPr="00A52AB8">
        <w:br/>
      </w:r>
      <w:r w:rsidR="006C36A2" w:rsidRPr="00A52AB8">
        <w:tab/>
      </w:r>
      <w:r w:rsidR="006C36A2" w:rsidRPr="00A52AB8">
        <w:tab/>
      </w:r>
      <w:r w:rsidR="006C36A2" w:rsidRPr="00A52AB8">
        <w:tab/>
      </w:r>
      <w:r w:rsidR="00EB723C" w:rsidRPr="00A52AB8">
        <w:t>AtlasFrm</w:t>
      </w:r>
      <w:r w:rsidR="00636833" w:rsidRPr="00A52AB8">
        <w:t>OrderCnt( </w:t>
      </w:r>
      <w:r w:rsidR="00CC390E" w:rsidRPr="00A52AB8">
        <w:t>a</w:t>
      </w:r>
      <w:r w:rsidR="00DC4D97" w:rsidRPr="00A52AB8">
        <w:t>FrmA</w:t>
      </w:r>
      <w:r w:rsidR="009A3C29" w:rsidRPr="00A52AB8">
        <w:t> </w:t>
      </w:r>
      <w:r w:rsidR="00E5263C" w:rsidRPr="00A52AB8">
        <w:t>) – </w:t>
      </w:r>
      <w:r w:rsidR="00EB723C" w:rsidRPr="00A52AB8">
        <w:t>AtlasFrm</w:t>
      </w:r>
      <w:r w:rsidR="00636833" w:rsidRPr="00A52AB8">
        <w:t>OrderCnt( </w:t>
      </w:r>
      <w:r w:rsidR="00CC390E" w:rsidRPr="00A52AB8">
        <w:t>a</w:t>
      </w:r>
      <w:r w:rsidR="00DC4D97" w:rsidRPr="00A52AB8">
        <w:t>FrmB</w:t>
      </w:r>
      <w:r w:rsidR="003A3685" w:rsidRPr="00A52AB8">
        <w:t> </w:t>
      </w:r>
      <w:r w:rsidR="00636833" w:rsidRPr="00A52AB8">
        <w:t>)</w:t>
      </w:r>
      <w:r w:rsidR="00636833" w:rsidRPr="00A52AB8">
        <w:tab/>
        <w:t>(</w:t>
      </w:r>
      <w:r w:rsidR="00636833" w:rsidRPr="00496A4D">
        <w:fldChar w:fldCharType="begin"/>
      </w:r>
      <w:r w:rsidR="00636833" w:rsidRPr="00A52AB8">
        <w:instrText xml:space="preserve"> </w:instrText>
      </w:r>
      <w:r w:rsidR="00646520" w:rsidRPr="00A52AB8">
        <w:instrText>SEQ Equation \* ARABIC \n</w:instrText>
      </w:r>
      <w:r w:rsidR="00636833" w:rsidRPr="00A52AB8">
        <w:instrText xml:space="preserve"> </w:instrText>
      </w:r>
      <w:r w:rsidR="00636833" w:rsidRPr="00496A4D">
        <w:fldChar w:fldCharType="separate"/>
      </w:r>
      <w:r w:rsidR="00507A67">
        <w:rPr>
          <w:noProof/>
        </w:rPr>
        <w:t>43</w:t>
      </w:r>
      <w:r w:rsidR="00636833" w:rsidRPr="00496A4D">
        <w:fldChar w:fldCharType="end"/>
      </w:r>
      <w:r w:rsidR="00636833" w:rsidRPr="00A52AB8">
        <w:t>)</w:t>
      </w:r>
    </w:p>
    <w:p w14:paraId="0208893B" w14:textId="77777777" w:rsidR="00636833" w:rsidRPr="00A52AB8" w:rsidRDefault="00636833">
      <w:pPr>
        <w:spacing w:before="120" w:after="120" w:line="240" w:lineRule="auto"/>
      </w:pPr>
      <w:r w:rsidRPr="00A52AB8">
        <w:t>The bitstream shall not contain data that result in values of Diff</w:t>
      </w:r>
      <w:r w:rsidR="00EB723C" w:rsidRPr="00A52AB8">
        <w:t>AtlasFrm</w:t>
      </w:r>
      <w:r w:rsidRPr="00A52AB8">
        <w:t>OrderCnt( </w:t>
      </w:r>
      <w:r w:rsidR="00CC390E" w:rsidRPr="00A52AB8">
        <w:rPr>
          <w:rFonts w:eastAsia="Times New Roman"/>
        </w:rPr>
        <w:t>a</w:t>
      </w:r>
      <w:r w:rsidR="00DC4D97" w:rsidRPr="00A52AB8">
        <w:rPr>
          <w:rFonts w:eastAsia="Times New Roman"/>
        </w:rPr>
        <w:t>FrmA</w:t>
      </w:r>
      <w:r w:rsidRPr="00A52AB8">
        <w:t>, </w:t>
      </w:r>
      <w:r w:rsidR="00CC390E" w:rsidRPr="00A52AB8">
        <w:rPr>
          <w:rFonts w:eastAsia="Times New Roman"/>
        </w:rPr>
        <w:t>a</w:t>
      </w:r>
      <w:r w:rsidR="00DC4D97" w:rsidRPr="00A52AB8">
        <w:rPr>
          <w:rFonts w:eastAsia="Times New Roman"/>
        </w:rPr>
        <w:t>FrmB</w:t>
      </w:r>
      <w:r w:rsidRPr="00A52AB8">
        <w:t>) used in the decoding process that are not in the range of −2</w:t>
      </w:r>
      <w:r w:rsidRPr="00A52AB8">
        <w:rPr>
          <w:vertAlign w:val="superscript"/>
        </w:rPr>
        <w:t>15</w:t>
      </w:r>
      <w:r w:rsidRPr="00A52AB8">
        <w:t xml:space="preserve"> to 2</w:t>
      </w:r>
      <w:r w:rsidRPr="00A52AB8">
        <w:rPr>
          <w:vertAlign w:val="superscript"/>
        </w:rPr>
        <w:t>15</w:t>
      </w:r>
      <w:r w:rsidRPr="00A52AB8">
        <w:t> − 1, inclusive.</w:t>
      </w:r>
      <w:bookmarkStart w:id="1492" w:name="_Hlt22605870"/>
      <w:bookmarkEnd w:id="1492"/>
    </w:p>
    <w:p w14:paraId="1C85475F" w14:textId="13271BDD" w:rsidR="00636833" w:rsidRPr="00A52AB8" w:rsidRDefault="00223BD9" w:rsidP="00F01345">
      <w:pPr>
        <w:pStyle w:val="Note1"/>
        <w:rPr>
          <w:rFonts w:ascii="Cambria" w:hAnsi="Cambria"/>
        </w:rPr>
      </w:pPr>
      <w:r w:rsidRPr="00A52AB8" w:rsidDel="00112A5D">
        <w:rPr>
          <w:rFonts w:ascii="Cambria" w:hAnsi="Cambria"/>
        </w:rPr>
        <w:t>NOTE</w:t>
      </w:r>
      <w:r w:rsidRPr="00A52AB8">
        <w:rPr>
          <w:rFonts w:ascii="Cambria" w:hAnsi="Cambria"/>
        </w:rPr>
        <w:t> </w:t>
      </w:r>
      <w:r w:rsidR="009C47E0" w:rsidRPr="00496A4D">
        <w:rPr>
          <w:rFonts w:ascii="Cambria" w:hAnsi="Cambria"/>
        </w:rPr>
        <w:fldChar w:fldCharType="begin"/>
      </w:r>
      <w:r w:rsidR="009C47E0" w:rsidRPr="00A52AB8">
        <w:rPr>
          <w:rFonts w:ascii="Cambria" w:hAnsi="Cambria"/>
        </w:rPr>
        <w:instrText xml:space="preserve"> SEQ NoteCounter \s 9 \* MERGEFORMAT </w:instrText>
      </w:r>
      <w:r w:rsidR="009C47E0" w:rsidRPr="00496A4D">
        <w:rPr>
          <w:rFonts w:ascii="Cambria" w:hAnsi="Cambria"/>
        </w:rPr>
        <w:fldChar w:fldCharType="separate"/>
      </w:r>
      <w:r w:rsidR="00507A67">
        <w:rPr>
          <w:rFonts w:ascii="Cambria" w:hAnsi="Cambria"/>
          <w:noProof/>
        </w:rPr>
        <w:t>1</w:t>
      </w:r>
      <w:r w:rsidR="009C47E0" w:rsidRPr="00496A4D">
        <w:rPr>
          <w:rFonts w:ascii="Cambria" w:hAnsi="Cambria"/>
        </w:rPr>
        <w:fldChar w:fldCharType="end"/>
      </w:r>
      <w:r w:rsidRPr="00A52AB8" w:rsidDel="00112A5D">
        <w:rPr>
          <w:rFonts w:ascii="Cambria" w:hAnsi="Cambria"/>
        </w:rPr>
        <w:t> </w:t>
      </w:r>
      <w:r w:rsidR="00636833" w:rsidRPr="00A52AB8">
        <w:rPr>
          <w:rFonts w:ascii="Cambria" w:hAnsi="Cambria"/>
        </w:rPr>
        <w:t xml:space="preserve">– Let X be the </w:t>
      </w:r>
      <w:r w:rsidR="00A535CF" w:rsidRPr="00A52AB8">
        <w:rPr>
          <w:rFonts w:ascii="Cambria" w:hAnsi="Cambria"/>
        </w:rPr>
        <w:t xml:space="preserve">current </w:t>
      </w:r>
      <w:r w:rsidR="002A47BD" w:rsidRPr="00A52AB8">
        <w:rPr>
          <w:rFonts w:ascii="Cambria" w:hAnsi="Cambria"/>
        </w:rPr>
        <w:t xml:space="preserve">atlas </w:t>
      </w:r>
      <w:r w:rsidR="00961861" w:rsidRPr="00A52AB8">
        <w:rPr>
          <w:rFonts w:ascii="Cambria" w:hAnsi="Cambria"/>
        </w:rPr>
        <w:t xml:space="preserve">frame </w:t>
      </w:r>
      <w:r w:rsidR="00636833" w:rsidRPr="00A52AB8">
        <w:rPr>
          <w:rFonts w:ascii="Cambria" w:hAnsi="Cambria"/>
        </w:rPr>
        <w:t xml:space="preserve">and Y and Z be two other </w:t>
      </w:r>
      <w:r w:rsidR="008F0D00" w:rsidRPr="00A52AB8">
        <w:rPr>
          <w:rFonts w:ascii="Cambria" w:hAnsi="Cambria"/>
        </w:rPr>
        <w:t>atlas frame</w:t>
      </w:r>
      <w:r w:rsidR="004654A7" w:rsidRPr="00A52AB8">
        <w:rPr>
          <w:rFonts w:ascii="Cambria" w:hAnsi="Cambria"/>
        </w:rPr>
        <w:t>s</w:t>
      </w:r>
      <w:r w:rsidR="00636833" w:rsidRPr="00A52AB8">
        <w:rPr>
          <w:rFonts w:ascii="Cambria" w:hAnsi="Cambria"/>
        </w:rPr>
        <w:t xml:space="preserve"> in the same </w:t>
      </w:r>
      <w:r w:rsidR="00700119" w:rsidRPr="00A52AB8">
        <w:rPr>
          <w:rFonts w:ascii="Cambria" w:hAnsi="Cambria"/>
        </w:rPr>
        <w:t>CAS</w:t>
      </w:r>
      <w:r w:rsidR="00636833" w:rsidRPr="00A52AB8">
        <w:rPr>
          <w:rFonts w:ascii="Cambria" w:hAnsi="Cambria"/>
        </w:rPr>
        <w:t>, Y and Z are considered to be in the same output order direction from X when both Diff</w:t>
      </w:r>
      <w:r w:rsidR="00EB723C" w:rsidRPr="00A52AB8">
        <w:rPr>
          <w:rFonts w:ascii="Cambria" w:hAnsi="Cambria"/>
        </w:rPr>
        <w:t>AtlasFrm</w:t>
      </w:r>
      <w:r w:rsidR="00636833" w:rsidRPr="00A52AB8">
        <w:rPr>
          <w:rFonts w:ascii="Cambria" w:hAnsi="Cambria"/>
        </w:rPr>
        <w:t>OrderCnt( X,</w:t>
      </w:r>
      <w:r w:rsidR="00CC4B44" w:rsidRPr="00A52AB8">
        <w:rPr>
          <w:rFonts w:ascii="Cambria" w:hAnsi="Cambria"/>
        </w:rPr>
        <w:t> </w:t>
      </w:r>
      <w:r w:rsidR="00636833" w:rsidRPr="00A52AB8">
        <w:rPr>
          <w:rFonts w:ascii="Cambria" w:hAnsi="Cambria"/>
        </w:rPr>
        <w:t>Y ) and Diff</w:t>
      </w:r>
      <w:r w:rsidR="00EB723C" w:rsidRPr="00A52AB8">
        <w:rPr>
          <w:rFonts w:ascii="Cambria" w:hAnsi="Cambria"/>
        </w:rPr>
        <w:t>AtlasFrm</w:t>
      </w:r>
      <w:r w:rsidR="00636833" w:rsidRPr="00A52AB8">
        <w:rPr>
          <w:rFonts w:ascii="Cambria" w:hAnsi="Cambria"/>
        </w:rPr>
        <w:t>OrderCnt( X,</w:t>
      </w:r>
      <w:r w:rsidR="00CC4B44" w:rsidRPr="00A52AB8">
        <w:rPr>
          <w:rFonts w:ascii="Cambria" w:hAnsi="Cambria"/>
        </w:rPr>
        <w:t> </w:t>
      </w:r>
      <w:r w:rsidR="00636833" w:rsidRPr="00A52AB8">
        <w:rPr>
          <w:rFonts w:ascii="Cambria" w:hAnsi="Cambria"/>
        </w:rPr>
        <w:t>Z ) are positive or both are negative.</w:t>
      </w:r>
    </w:p>
    <w:p w14:paraId="400FBE10" w14:textId="77777777" w:rsidR="00EC65B7" w:rsidRPr="00A52AB8" w:rsidRDefault="00EC65B7" w:rsidP="00F01345">
      <w:pPr>
        <w:pStyle w:val="Heading4"/>
      </w:pPr>
      <w:bookmarkStart w:id="1493" w:name="_Ref47883043"/>
      <w:r w:rsidRPr="00A52AB8">
        <w:t>Decoding process for generating unavailable reference atlas frames</w:t>
      </w:r>
      <w:bookmarkEnd w:id="1493"/>
    </w:p>
    <w:p w14:paraId="36FB3F49" w14:textId="77777777" w:rsidR="00BF3E39" w:rsidRPr="00A52AB8" w:rsidRDefault="00BF3E39" w:rsidP="007656E5">
      <w:pPr>
        <w:pStyle w:val="Heading5"/>
      </w:pPr>
      <w:r w:rsidRPr="00A52AB8">
        <w:t>General</w:t>
      </w:r>
    </w:p>
    <w:p w14:paraId="5FB79455" w14:textId="77777777" w:rsidR="00EC65B7" w:rsidRPr="00A52AB8" w:rsidRDefault="00EC65B7" w:rsidP="00E860C4">
      <w:pPr>
        <w:tabs>
          <w:tab w:val="clear" w:pos="403"/>
          <w:tab w:val="clear" w:pos="1210"/>
          <w:tab w:val="clear" w:pos="1613"/>
          <w:tab w:val="left" w:pos="700"/>
          <w:tab w:val="left" w:pos="1191"/>
          <w:tab w:val="left" w:pos="1588"/>
          <w:tab w:val="left" w:pos="1985"/>
        </w:tabs>
        <w:overflowPunct w:val="0"/>
        <w:autoSpaceDE w:val="0"/>
        <w:autoSpaceDN w:val="0"/>
        <w:adjustRightInd w:val="0"/>
        <w:textAlignment w:val="baseline"/>
      </w:pPr>
      <w:r w:rsidRPr="00A52AB8">
        <w:t>This process is invoked once per coded atlas frame when the current atlas frame is a BLA atlas frame or a CRA atlas frame with NoOutputBeforeRecoveryFlag equal to 1.</w:t>
      </w:r>
    </w:p>
    <w:p w14:paraId="20C25F4A" w14:textId="53EE5C3A" w:rsidR="00EC65B7" w:rsidRPr="00A52AB8" w:rsidRDefault="00EC65B7" w:rsidP="00EC65B7">
      <w:pPr>
        <w:pStyle w:val="Note1"/>
        <w:rPr>
          <w:rFonts w:ascii="Cambria" w:hAnsi="Cambria"/>
        </w:rPr>
      </w:pPr>
      <w:r w:rsidRPr="00A52AB8">
        <w:rPr>
          <w:rFonts w:ascii="Cambria" w:hAnsi="Cambria"/>
        </w:rPr>
        <w:t>NOTE</w:t>
      </w:r>
      <w:r w:rsidR="007709BE" w:rsidRPr="00A52AB8">
        <w:rPr>
          <w:rFonts w:ascii="Cambria" w:hAnsi="Cambria"/>
        </w:rPr>
        <w:t> </w:t>
      </w:r>
      <w:r w:rsidRPr="00A52AB8">
        <w:rPr>
          <w:rFonts w:ascii="Cambria" w:hAnsi="Cambria"/>
        </w:rPr>
        <w:t>–</w:t>
      </w:r>
      <w:r w:rsidR="007709BE" w:rsidRPr="00A52AB8">
        <w:rPr>
          <w:rFonts w:ascii="Cambria" w:hAnsi="Cambria"/>
        </w:rPr>
        <w:t> </w:t>
      </w:r>
      <w:r w:rsidRPr="00A52AB8">
        <w:rPr>
          <w:rFonts w:ascii="Cambria" w:hAnsi="Cambria"/>
        </w:rPr>
        <w:t xml:space="preserve">This process is primarily specified only for the specification of syntax constraints for RASL atlas frames. The entire specification of the decoding process for RASL atlas frames associated with an IRAP </w:t>
      </w:r>
      <w:r w:rsidR="003D47FD" w:rsidRPr="00A52AB8">
        <w:rPr>
          <w:rFonts w:ascii="Cambria" w:hAnsi="Cambria"/>
        </w:rPr>
        <w:t xml:space="preserve">coded </w:t>
      </w:r>
      <w:r w:rsidRPr="00A52AB8">
        <w:rPr>
          <w:rFonts w:ascii="Cambria" w:hAnsi="Cambria"/>
        </w:rPr>
        <w:t xml:space="preserve">atlas frame that has NoOutputBeforeRecoveryFlag equal to 1 is included herein only for purposes of specifying constraints on the allowed syntax content of such RASL atlas frames. During the decoding process, any RASL atlas frames associated with an IRAP </w:t>
      </w:r>
      <w:r w:rsidR="003D47FD" w:rsidRPr="00A52AB8">
        <w:rPr>
          <w:rFonts w:ascii="Cambria" w:hAnsi="Cambria"/>
        </w:rPr>
        <w:t xml:space="preserve">coded </w:t>
      </w:r>
      <w:r w:rsidRPr="00A52AB8">
        <w:rPr>
          <w:rFonts w:ascii="Cambria" w:hAnsi="Cambria"/>
        </w:rPr>
        <w:t xml:space="preserve">atlas frame that has NoOutputBeforeRecoveryFlag equal to 1 may be ignored, as these atlas frames are not specified for output and have no effect on the decoding process of any other atlas frames that are specified for output. However, in HRD operations as specified in </w:t>
      </w:r>
      <w:r w:rsidRPr="00496A4D">
        <w:rPr>
          <w:rFonts w:ascii="Cambria" w:hAnsi="Cambria"/>
        </w:rPr>
        <w:fldChar w:fldCharType="begin"/>
      </w:r>
      <w:r w:rsidRPr="00A52AB8">
        <w:rPr>
          <w:rFonts w:ascii="Cambria" w:hAnsi="Cambria"/>
        </w:rPr>
        <w:instrText xml:space="preserve"> REF _Ref47882108 \r \h </w:instrText>
      </w:r>
      <w:r w:rsidR="006371AA" w:rsidRPr="00A52AB8">
        <w:rPr>
          <w:rFonts w:ascii="Cambria" w:hAnsi="Cambria"/>
        </w:rPr>
        <w:instrText xml:space="preserve"> \* MERGEFORMAT </w:instrText>
      </w:r>
      <w:r w:rsidRPr="00496A4D">
        <w:rPr>
          <w:rFonts w:ascii="Cambria" w:hAnsi="Cambria"/>
        </w:rPr>
      </w:r>
      <w:r w:rsidRPr="00496A4D">
        <w:rPr>
          <w:rFonts w:ascii="Cambria" w:hAnsi="Cambria"/>
        </w:rPr>
        <w:fldChar w:fldCharType="separate"/>
      </w:r>
      <w:r w:rsidR="00507A67">
        <w:rPr>
          <w:rFonts w:ascii="Cambria" w:hAnsi="Cambria"/>
        </w:rPr>
        <w:t>Annex E</w:t>
      </w:r>
      <w:r w:rsidRPr="00496A4D">
        <w:rPr>
          <w:rFonts w:ascii="Cambria" w:hAnsi="Cambria"/>
        </w:rPr>
        <w:fldChar w:fldCharType="end"/>
      </w:r>
      <w:r w:rsidRPr="00A52AB8">
        <w:rPr>
          <w:rFonts w:ascii="Cambria" w:hAnsi="Cambria"/>
        </w:rPr>
        <w:t>, RASL access units may need to be taken into consideration in derivation of coded atlas frame buffer (CAB) arrival and removal times.</w:t>
      </w:r>
    </w:p>
    <w:p w14:paraId="2265294C" w14:textId="42C1F116" w:rsidR="00587D05" w:rsidRPr="00A52AB8" w:rsidRDefault="00EC65B7" w:rsidP="009F7C49">
      <w:r w:rsidRPr="00A52AB8">
        <w:t>When this process is invoked, the following applies:</w:t>
      </w:r>
    </w:p>
    <w:p w14:paraId="7E730D77" w14:textId="2C9ECBA2" w:rsidR="00587D05" w:rsidRPr="00A52AB8" w:rsidRDefault="00587D05" w:rsidP="00587D05">
      <w:pPr>
        <w:pStyle w:val="ListParagraph"/>
        <w:numPr>
          <w:ilvl w:val="0"/>
          <w:numId w:val="424"/>
        </w:numPr>
        <w:ind w:leftChars="0"/>
      </w:pPr>
      <w:r w:rsidRPr="00A52AB8">
        <w:t>For each RefAtlasFrmList[ j ], with j in the range of 0 to num_ref_entries[ RlsIdx ] − 1, inclusive,</w:t>
      </w:r>
      <w:r w:rsidRPr="00A52AB8">
        <w:rPr>
          <w:color w:val="000000" w:themeColor="text1"/>
        </w:rPr>
        <w:t xml:space="preserve"> that is equal to "no reference atlas frame", an atlas frame is generated as specified in subclause </w:t>
      </w:r>
      <w:r w:rsidRPr="00496A4D">
        <w:rPr>
          <w:color w:val="000000" w:themeColor="text1"/>
        </w:rPr>
        <w:fldChar w:fldCharType="begin"/>
      </w:r>
      <w:r w:rsidRPr="00A52AB8">
        <w:rPr>
          <w:color w:val="000000" w:themeColor="text1"/>
        </w:rPr>
        <w:instrText xml:space="preserve"> REF _Ref47881857 \r \h </w:instrText>
      </w:r>
      <w:r w:rsidR="007478BA"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9.2.4.2.2</w:t>
      </w:r>
      <w:r w:rsidRPr="00496A4D">
        <w:rPr>
          <w:color w:val="000000" w:themeColor="text1"/>
        </w:rPr>
        <w:fldChar w:fldCharType="end"/>
      </w:r>
      <w:r w:rsidRPr="00A52AB8">
        <w:rPr>
          <w:color w:val="000000" w:themeColor="text1"/>
        </w:rPr>
        <w:t xml:space="preserve"> and the following applies:</w:t>
      </w:r>
    </w:p>
    <w:p w14:paraId="0A4B2C8D" w14:textId="5BA5BAF3" w:rsidR="00587D05" w:rsidRPr="00A52AB8" w:rsidRDefault="00587D05" w:rsidP="00587D05">
      <w:pPr>
        <w:pStyle w:val="ListParagraph"/>
        <w:numPr>
          <w:ilvl w:val="1"/>
          <w:numId w:val="424"/>
        </w:numPr>
        <w:tabs>
          <w:tab w:val="clear" w:pos="806"/>
          <w:tab w:val="left" w:pos="810"/>
        </w:tabs>
        <w:ind w:leftChars="0" w:left="1080"/>
      </w:pPr>
      <w:r w:rsidRPr="00A52AB8">
        <w:rPr>
          <w:color w:val="000000" w:themeColor="text1"/>
        </w:rPr>
        <w:t>The value of nal_layer_id for the generated atlas frame is set equal to the nal_layer_id value of the current atlas frame.</w:t>
      </w:r>
    </w:p>
    <w:p w14:paraId="0001D96B" w14:textId="3FA3B5D3" w:rsidR="00587D05" w:rsidRPr="00A52AB8" w:rsidRDefault="00587D05" w:rsidP="00587D05">
      <w:pPr>
        <w:pStyle w:val="ListParagraph"/>
        <w:numPr>
          <w:ilvl w:val="1"/>
          <w:numId w:val="424"/>
        </w:numPr>
        <w:tabs>
          <w:tab w:val="clear" w:pos="806"/>
          <w:tab w:val="left" w:pos="810"/>
        </w:tabs>
        <w:ind w:leftChars="0" w:left="1080"/>
      </w:pPr>
      <w:r w:rsidRPr="00A52AB8">
        <w:rPr>
          <w:color w:val="000000" w:themeColor="text1"/>
        </w:rPr>
        <w:t>If st_ref_atlas_frame_flag[ RlsIdx ][ j ] is equal to 1 the value of AtlasFrmOrderCntVal for the generated atlas frame is set equal to RefAtlasFrmList[ j ] and the generated atlas frame is marked as "used for short-term reference".</w:t>
      </w:r>
    </w:p>
    <w:p w14:paraId="068340C3" w14:textId="37A2B4BF" w:rsidR="00571884" w:rsidRPr="00A52AB8" w:rsidRDefault="00571884" w:rsidP="00587D05">
      <w:pPr>
        <w:pStyle w:val="ListParagraph"/>
        <w:numPr>
          <w:ilvl w:val="1"/>
          <w:numId w:val="424"/>
        </w:numPr>
        <w:tabs>
          <w:tab w:val="clear" w:pos="806"/>
          <w:tab w:val="left" w:pos="810"/>
        </w:tabs>
        <w:ind w:leftChars="0" w:left="1080"/>
      </w:pPr>
      <w:r w:rsidRPr="00A52AB8">
        <w:rPr>
          <w:color w:val="000000" w:themeColor="text1"/>
        </w:rPr>
        <w:t>Otherwise, when st_ref_atlas_frame_flag[ RlsIdx ][ j ] is equal to 0 the value of AtlasFrmOrderCntVal for the generated atlas frame is set equal to RefAtlasFrmList[ j ], the value of ath_atlas_frm_order_cnt_lsb for all tiles in the generated atlas frame is inferred to be equal to ( RefAtlasFrmList[ j ] &amp; ( MaxAtlasFrmOrderCntLsb – 1 ) ), and the generated atlas frame is marked as "used for long-term reference".</w:t>
      </w:r>
    </w:p>
    <w:p w14:paraId="21EF35C5" w14:textId="76AD571A" w:rsidR="00571884" w:rsidRPr="00A52AB8" w:rsidRDefault="00571884" w:rsidP="00587D05">
      <w:pPr>
        <w:pStyle w:val="ListParagraph"/>
        <w:numPr>
          <w:ilvl w:val="1"/>
          <w:numId w:val="424"/>
        </w:numPr>
        <w:tabs>
          <w:tab w:val="clear" w:pos="806"/>
          <w:tab w:val="left" w:pos="810"/>
        </w:tabs>
        <w:ind w:leftChars="0" w:left="1080"/>
      </w:pPr>
      <w:r w:rsidRPr="00A52AB8">
        <w:rPr>
          <w:color w:val="000000" w:themeColor="text1"/>
        </w:rPr>
        <w:t>The value of AtlasFrameOutputFlag for the generated reference atlas frame is set equal to 0.</w:t>
      </w:r>
    </w:p>
    <w:p w14:paraId="72F378DA" w14:textId="2B95752B" w:rsidR="00571884" w:rsidRPr="00A52AB8" w:rsidRDefault="00571884" w:rsidP="00587D05">
      <w:pPr>
        <w:pStyle w:val="ListParagraph"/>
        <w:numPr>
          <w:ilvl w:val="1"/>
          <w:numId w:val="424"/>
        </w:numPr>
        <w:tabs>
          <w:tab w:val="clear" w:pos="806"/>
          <w:tab w:val="left" w:pos="810"/>
        </w:tabs>
        <w:ind w:leftChars="0" w:left="1080"/>
      </w:pPr>
      <w:r w:rsidRPr="00A52AB8">
        <w:rPr>
          <w:color w:val="000000" w:themeColor="text1"/>
        </w:rPr>
        <w:t>RefAtlasFrmList[ j ] is set to be the generated reference atlas frame.</w:t>
      </w:r>
    </w:p>
    <w:p w14:paraId="1FBCCAF7" w14:textId="19FDDBF1" w:rsidR="00571884" w:rsidRPr="00A52AB8" w:rsidRDefault="00571884" w:rsidP="00587D05">
      <w:pPr>
        <w:pStyle w:val="ListParagraph"/>
        <w:numPr>
          <w:ilvl w:val="1"/>
          <w:numId w:val="424"/>
        </w:numPr>
        <w:tabs>
          <w:tab w:val="clear" w:pos="806"/>
          <w:tab w:val="left" w:pos="810"/>
        </w:tabs>
        <w:ind w:leftChars="0" w:left="1080"/>
      </w:pPr>
      <w:r w:rsidRPr="00A52AB8">
        <w:rPr>
          <w:color w:val="000000" w:themeColor="text1"/>
        </w:rPr>
        <w:t>The value of TemporalID for the generated atlas frame is set equal to the TemporalID value of the current atlas frame.</w:t>
      </w:r>
    </w:p>
    <w:p w14:paraId="3AEB5BC2" w14:textId="7D4F2C6D" w:rsidR="00571884" w:rsidRPr="00A52AB8" w:rsidRDefault="00571884" w:rsidP="00587D05">
      <w:pPr>
        <w:pStyle w:val="ListParagraph"/>
        <w:numPr>
          <w:ilvl w:val="1"/>
          <w:numId w:val="424"/>
        </w:numPr>
        <w:tabs>
          <w:tab w:val="clear" w:pos="806"/>
          <w:tab w:val="left" w:pos="810"/>
        </w:tabs>
        <w:ind w:leftChars="0" w:left="1080"/>
      </w:pPr>
      <w:r w:rsidRPr="00A52AB8">
        <w:rPr>
          <w:color w:val="000000" w:themeColor="text1"/>
        </w:rPr>
        <w:t>The value of ath_atlas_frame_parameter_set_id for the generated atlas frame is set equal to ath_atlas_frame_parameter_set_id of the current atlas frame.</w:t>
      </w:r>
    </w:p>
    <w:p w14:paraId="61684D4D" w14:textId="5D18F434" w:rsidR="00571884" w:rsidRPr="00A52AB8" w:rsidRDefault="00571884" w:rsidP="009F7C49">
      <w:pPr>
        <w:pStyle w:val="ListParagraph"/>
        <w:numPr>
          <w:ilvl w:val="1"/>
          <w:numId w:val="424"/>
        </w:numPr>
        <w:ind w:leftChars="0" w:left="1080"/>
      </w:pPr>
      <w:r w:rsidRPr="00A52AB8">
        <w:rPr>
          <w:color w:val="000000" w:themeColor="text1"/>
        </w:rPr>
        <w:t>The value of nal_layer_id for the generated atlas frame is set equal to nal_layer_id of the current atlas frame.</w:t>
      </w:r>
    </w:p>
    <w:p w14:paraId="075DB84D" w14:textId="77777777" w:rsidR="00EC65B7" w:rsidRPr="00A52AB8" w:rsidRDefault="00EC65B7" w:rsidP="00F01345">
      <w:pPr>
        <w:pStyle w:val="Heading5"/>
      </w:pPr>
      <w:bookmarkStart w:id="1494" w:name="_Ref47881857"/>
      <w:r w:rsidRPr="00A52AB8">
        <w:t>Generation of one unavailable atlas frame</w:t>
      </w:r>
      <w:bookmarkEnd w:id="1494"/>
    </w:p>
    <w:p w14:paraId="31741E84" w14:textId="77777777" w:rsidR="00EC65B7" w:rsidRPr="00A52AB8" w:rsidRDefault="00EC65B7" w:rsidP="00E860C4">
      <w:pPr>
        <w:tabs>
          <w:tab w:val="clear" w:pos="403"/>
          <w:tab w:val="clear" w:pos="1613"/>
          <w:tab w:val="left" w:pos="700"/>
          <w:tab w:val="left" w:pos="1588"/>
          <w:tab w:val="left" w:pos="1985"/>
        </w:tabs>
        <w:overflowPunct w:val="0"/>
        <w:autoSpaceDE w:val="0"/>
        <w:autoSpaceDN w:val="0"/>
        <w:adjustRightInd w:val="0"/>
        <w:textAlignment w:val="baseline"/>
      </w:pPr>
      <w:r w:rsidRPr="00A52AB8">
        <w:t>When this process is invoked, an unavailable atlas frame is generated as follows:</w:t>
      </w:r>
    </w:p>
    <w:p w14:paraId="4EC37ECD" w14:textId="51817FE0" w:rsidR="00C62497" w:rsidRPr="00A52AB8" w:rsidRDefault="00C6249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For all </w:t>
      </w:r>
      <w:r w:rsidR="00EC65B7" w:rsidRPr="00A52AB8">
        <w:rPr>
          <w:color w:val="000000" w:themeColor="text1"/>
        </w:rPr>
        <w:t>tiles</w:t>
      </w:r>
      <w:r w:rsidRPr="00A52AB8">
        <w:rPr>
          <w:color w:val="000000" w:themeColor="text1"/>
        </w:rPr>
        <w:t xml:space="preserve"> that are</w:t>
      </w:r>
      <w:r w:rsidR="00EC65B7" w:rsidRPr="00A52AB8">
        <w:rPr>
          <w:color w:val="000000" w:themeColor="text1"/>
        </w:rPr>
        <w:t xml:space="preserve"> associated with this atlas frame </w:t>
      </w:r>
      <w:r w:rsidRPr="00A52AB8">
        <w:rPr>
          <w:color w:val="000000" w:themeColor="text1"/>
        </w:rPr>
        <w:t>the following applies:</w:t>
      </w:r>
    </w:p>
    <w:p w14:paraId="2DDF6A89" w14:textId="04D623B0" w:rsidR="00EC65B7" w:rsidRPr="00A52AB8" w:rsidRDefault="00E76AF7" w:rsidP="00FB4953">
      <w:pPr>
        <w:jc w:val="left"/>
      </w:pPr>
      <w:r w:rsidRPr="00A52AB8">
        <w:tab/>
      </w:r>
      <w:r w:rsidR="003A457D" w:rsidRPr="00A52AB8">
        <w:tab/>
      </w:r>
      <w:r w:rsidR="00C62497" w:rsidRPr="00A52AB8">
        <w:t>for( t</w:t>
      </w:r>
      <w:r w:rsidR="00D47707" w:rsidRPr="00A52AB8">
        <w:t> = </w:t>
      </w:r>
      <w:r w:rsidR="00C62497" w:rsidRPr="00A52AB8">
        <w:t>0; t</w:t>
      </w:r>
      <w:r w:rsidR="00A234FD" w:rsidRPr="00A52AB8">
        <w:t>&lt;=</w:t>
      </w:r>
      <w:r w:rsidR="00D47707" w:rsidRPr="00A52AB8">
        <w:t> </w:t>
      </w:r>
      <w:r w:rsidR="00583B90" w:rsidRPr="00A52AB8">
        <w:t>afti_num_tiles_in_atlas_frame_minus1</w:t>
      </w:r>
      <w:r w:rsidR="00C62497" w:rsidRPr="00A52AB8">
        <w:t>; t</w:t>
      </w:r>
      <w:r w:rsidR="00006CCF" w:rsidRPr="00A52AB8">
        <w:t>++ </w:t>
      </w:r>
      <w:r w:rsidR="008F1F82" w:rsidRPr="00A52AB8">
        <w:t>) {</w:t>
      </w:r>
      <w:r w:rsidR="00C62497" w:rsidRPr="00A52AB8">
        <w:br/>
      </w:r>
      <w:r w:rsidR="00C62497" w:rsidRPr="00A52AB8">
        <w:tab/>
      </w:r>
      <w:r w:rsidRPr="00A52AB8">
        <w:tab/>
      </w:r>
      <w:r w:rsidR="003A457D" w:rsidRPr="00A52AB8">
        <w:tab/>
      </w:r>
      <w:r w:rsidR="00C62497" w:rsidRPr="00A52AB8">
        <w:t>tileID</w:t>
      </w:r>
      <w:r w:rsidR="00D47707" w:rsidRPr="00A52AB8">
        <w:t> = </w:t>
      </w:r>
      <w:r w:rsidR="007812ED" w:rsidRPr="00A52AB8">
        <w:t>TileIndexToID</w:t>
      </w:r>
      <w:r w:rsidR="0077115D" w:rsidRPr="00A52AB8">
        <w:t>( t )</w:t>
      </w:r>
      <w:r w:rsidR="00847288" w:rsidRPr="00A52AB8">
        <w:br/>
      </w:r>
      <w:r w:rsidR="00847288" w:rsidRPr="00A52AB8">
        <w:tab/>
      </w:r>
      <w:r w:rsidR="003A457D" w:rsidRPr="00A52AB8">
        <w:tab/>
      </w:r>
      <w:r w:rsidRPr="00A52AB8">
        <w:tab/>
      </w:r>
      <w:r w:rsidR="00EC65B7" w:rsidRPr="00A52AB8">
        <w:t>Atdu</w:t>
      </w:r>
      <w:r w:rsidR="00D12C68" w:rsidRPr="00A52AB8">
        <w:t>TotalNum</w:t>
      </w:r>
      <w:r w:rsidR="00EC65B7" w:rsidRPr="00A52AB8">
        <w:t>Patches[</w:t>
      </w:r>
      <w:r w:rsidR="00283AA0" w:rsidRPr="00A52AB8">
        <w:t> </w:t>
      </w:r>
      <w:r w:rsidR="00EC65B7" w:rsidRPr="00A52AB8">
        <w:t>tileID</w:t>
      </w:r>
      <w:r w:rsidR="00283AA0" w:rsidRPr="00A52AB8">
        <w:t> </w:t>
      </w:r>
      <w:r w:rsidR="00EC65B7" w:rsidRPr="00A52AB8">
        <w:t>]</w:t>
      </w:r>
      <w:r w:rsidR="00D47707" w:rsidRPr="00A52AB8">
        <w:t> = </w:t>
      </w:r>
      <w:r w:rsidR="0062235E" w:rsidRPr="00A52AB8">
        <w:t>Max</w:t>
      </w:r>
      <w:r w:rsidR="006B764B" w:rsidRPr="00A52AB8">
        <w:t>NumProj</w:t>
      </w:r>
      <w:r w:rsidR="0062235E" w:rsidRPr="00A52AB8">
        <w:t>Patches</w:t>
      </w:r>
      <w:r w:rsidR="0062235E" w:rsidRPr="00A52AB8">
        <w:br/>
      </w:r>
      <w:r w:rsidR="0062235E" w:rsidRPr="00A52AB8">
        <w:tab/>
      </w:r>
      <w:r w:rsidRPr="00A52AB8">
        <w:tab/>
      </w:r>
      <w:r w:rsidR="003A457D" w:rsidRPr="00A52AB8">
        <w:tab/>
      </w:r>
      <w:r w:rsidR="0062235E" w:rsidRPr="00A52AB8">
        <w:t>for( </w:t>
      </w:r>
      <w:r w:rsidR="00D617B1" w:rsidRPr="00A52AB8">
        <w:t>p</w:t>
      </w:r>
      <w:r w:rsidR="00D47707" w:rsidRPr="00A52AB8">
        <w:t> = </w:t>
      </w:r>
      <w:r w:rsidR="0062235E" w:rsidRPr="00A52AB8">
        <w:t>0; </w:t>
      </w:r>
      <w:r w:rsidR="00D617B1" w:rsidRPr="00A52AB8">
        <w:t>p</w:t>
      </w:r>
      <w:r w:rsidR="00A234FD" w:rsidRPr="00A52AB8">
        <w:t>&lt;=</w:t>
      </w:r>
      <w:r w:rsidR="00D47707" w:rsidRPr="00A52AB8">
        <w:t> </w:t>
      </w:r>
      <w:r w:rsidR="00C943FE" w:rsidRPr="00A52AB8">
        <w:rPr>
          <w:color w:val="000000" w:themeColor="text1"/>
        </w:rPr>
        <w:t>Atdu</w:t>
      </w:r>
      <w:r w:rsidR="00D12C68" w:rsidRPr="00A52AB8">
        <w:rPr>
          <w:color w:val="000000" w:themeColor="text1"/>
        </w:rPr>
        <w:t>TotalNum</w:t>
      </w:r>
      <w:r w:rsidR="00C943FE" w:rsidRPr="00A52AB8">
        <w:rPr>
          <w:color w:val="000000" w:themeColor="text1"/>
        </w:rPr>
        <w:t>Patches</w:t>
      </w:r>
      <w:r w:rsidR="00C943FE" w:rsidRPr="00A52AB8">
        <w:rPr>
          <w:lang w:eastAsia="ja-JP"/>
        </w:rPr>
        <w:t>[</w:t>
      </w:r>
      <w:r w:rsidR="00C943FE" w:rsidRPr="00A52AB8">
        <w:rPr>
          <w:b/>
          <w:lang w:eastAsia="ja-JP"/>
        </w:rPr>
        <w:t> </w:t>
      </w:r>
      <w:r w:rsidR="00C943FE" w:rsidRPr="00A52AB8">
        <w:rPr>
          <w:color w:val="000000" w:themeColor="text1"/>
        </w:rPr>
        <w:t>tileID ]</w:t>
      </w:r>
      <w:r w:rsidR="0062235E" w:rsidRPr="00A52AB8">
        <w:t>; </w:t>
      </w:r>
      <w:r w:rsidR="00D617B1" w:rsidRPr="00A52AB8">
        <w:t>p</w:t>
      </w:r>
      <w:r w:rsidR="00006CCF" w:rsidRPr="00A52AB8">
        <w:t>++ </w:t>
      </w:r>
      <w:r w:rsidR="008F1F82" w:rsidRPr="00A52AB8">
        <w:t>) {</w:t>
      </w:r>
      <w:r w:rsidR="009C47E0" w:rsidRPr="00A52AB8">
        <w:br/>
      </w:r>
      <w:r w:rsidR="00DF76E6" w:rsidRPr="00A52AB8">
        <w:rPr>
          <w:lang w:eastAsia="ja-JP"/>
        </w:rPr>
        <w:tab/>
      </w:r>
      <w:r w:rsidR="008D0D70" w:rsidRPr="00A52AB8">
        <w:rPr>
          <w:lang w:eastAsia="ja-JP"/>
        </w:rPr>
        <w:tab/>
      </w:r>
      <w:r w:rsidRPr="00A52AB8">
        <w:rPr>
          <w:lang w:eastAsia="ja-JP"/>
        </w:rPr>
        <w:tab/>
      </w:r>
      <w:r w:rsidR="003A457D" w:rsidRPr="00A52AB8">
        <w:rPr>
          <w:lang w:eastAsia="ja-JP"/>
        </w:rPr>
        <w:tab/>
      </w:r>
      <w:r w:rsidR="00DF76E6" w:rsidRPr="00A52AB8">
        <w:rPr>
          <w:lang w:eastAsia="ja-JP"/>
        </w:rPr>
        <w:t>TilePatchType[ tileID ][ p ]</w:t>
      </w:r>
      <w:r w:rsidR="00D47707" w:rsidRPr="00A52AB8">
        <w:rPr>
          <w:lang w:eastAsia="ja-JP"/>
        </w:rPr>
        <w:t> = </w:t>
      </w:r>
      <w:r w:rsidR="00D36240" w:rsidRPr="00A52AB8">
        <w:rPr>
          <w:lang w:eastAsia="ja-JP"/>
        </w:rPr>
        <w:t>PROJECTED</w:t>
      </w:r>
      <w:r w:rsidR="009C47E0" w:rsidRPr="00A52AB8">
        <w:br/>
      </w:r>
      <w:r w:rsidR="00DF76E6" w:rsidRPr="00A52AB8">
        <w:tab/>
      </w:r>
      <w:r w:rsidR="003A457D" w:rsidRPr="00A52AB8">
        <w:tab/>
      </w:r>
      <w:r w:rsidR="008D0D70" w:rsidRPr="00A52AB8">
        <w:tab/>
      </w:r>
      <w:r w:rsidRPr="00A52AB8">
        <w:tab/>
      </w:r>
      <w:r w:rsidR="00DF76E6" w:rsidRPr="00A52AB8">
        <w:t>TilePatch2dPosX[ tileID ][ p ]</w:t>
      </w:r>
      <w:r w:rsidR="00D47707" w:rsidRPr="00A52AB8">
        <w:t> = </w:t>
      </w:r>
      <w:r w:rsidR="00D36240" w:rsidRPr="00A52AB8">
        <w:t>0</w:t>
      </w:r>
      <w:r w:rsidR="009C47E0" w:rsidRPr="00A52AB8">
        <w:br/>
      </w:r>
      <w:r w:rsidR="00DF76E6" w:rsidRPr="00A52AB8">
        <w:tab/>
      </w:r>
      <w:r w:rsidR="003A457D" w:rsidRPr="00A52AB8">
        <w:tab/>
      </w:r>
      <w:r w:rsidR="008D0D70" w:rsidRPr="00A52AB8">
        <w:tab/>
      </w:r>
      <w:r w:rsidRPr="00A52AB8">
        <w:tab/>
      </w:r>
      <w:r w:rsidR="00DF76E6" w:rsidRPr="00A52AB8">
        <w:t>TilePatch2dPosY[ tileID ][ p ]</w:t>
      </w:r>
      <w:r w:rsidR="00D47707" w:rsidRPr="00A52AB8">
        <w:t> = </w:t>
      </w:r>
      <w:r w:rsidR="00D36240" w:rsidRPr="00A52AB8">
        <w:t>0</w:t>
      </w:r>
      <w:r w:rsidR="009C47E0" w:rsidRPr="00A52AB8">
        <w:br/>
      </w:r>
      <w:r w:rsidR="00DF76E6" w:rsidRPr="00A52AB8">
        <w:tab/>
      </w:r>
      <w:r w:rsidR="008D0D70" w:rsidRPr="00A52AB8">
        <w:tab/>
      </w:r>
      <w:r w:rsidR="003A457D" w:rsidRPr="00A52AB8">
        <w:tab/>
      </w:r>
      <w:r w:rsidRPr="00A52AB8">
        <w:tab/>
      </w:r>
      <w:r w:rsidR="00DF76E6" w:rsidRPr="00A52AB8">
        <w:t>TilePatch2dSizeX[ tileID ][ p ]</w:t>
      </w:r>
      <w:r w:rsidR="00D47707" w:rsidRPr="00A52AB8">
        <w:t> = </w:t>
      </w:r>
      <w:r w:rsidR="00D617B1" w:rsidRPr="00A52AB8">
        <w:t>1</w:t>
      </w:r>
      <w:r w:rsidR="009C47E0" w:rsidRPr="00A52AB8">
        <w:br/>
      </w:r>
      <w:r w:rsidR="00DF76E6" w:rsidRPr="00A52AB8">
        <w:tab/>
      </w:r>
      <w:r w:rsidR="008D0D70" w:rsidRPr="00A52AB8">
        <w:tab/>
      </w:r>
      <w:r w:rsidRPr="00A52AB8">
        <w:tab/>
      </w:r>
      <w:r w:rsidR="003A457D" w:rsidRPr="00A52AB8">
        <w:tab/>
      </w:r>
      <w:r w:rsidR="00DF76E6" w:rsidRPr="00A52AB8">
        <w:t>TilePatch2dSizeY[ tileID ][ p ]</w:t>
      </w:r>
      <w:r w:rsidR="00D47707" w:rsidRPr="00A52AB8">
        <w:t> = </w:t>
      </w:r>
      <w:r w:rsidR="00D617B1" w:rsidRPr="00A52AB8">
        <w:t>1</w:t>
      </w:r>
      <w:r w:rsidR="009C47E0" w:rsidRPr="00A52AB8">
        <w:rPr>
          <w:lang w:eastAsia="ja-JP"/>
        </w:rPr>
        <w:br/>
      </w:r>
      <w:r w:rsidR="003A457D" w:rsidRPr="00A52AB8">
        <w:rPr>
          <w:lang w:eastAsia="ja-JP"/>
        </w:rPr>
        <w:tab/>
      </w:r>
      <w:r w:rsidR="00DF76E6" w:rsidRPr="00A52AB8">
        <w:rPr>
          <w:lang w:eastAsia="ja-JP"/>
        </w:rPr>
        <w:tab/>
      </w:r>
      <w:r w:rsidR="008D0D70" w:rsidRPr="00A52AB8">
        <w:rPr>
          <w:lang w:eastAsia="ja-JP"/>
        </w:rPr>
        <w:tab/>
      </w:r>
      <w:r w:rsidRPr="00A52AB8">
        <w:rPr>
          <w:lang w:eastAsia="ja-JP"/>
        </w:rPr>
        <w:tab/>
      </w:r>
      <w:r w:rsidR="00314925" w:rsidRPr="00A52AB8">
        <w:rPr>
          <w:lang w:eastAsia="ja-JP"/>
        </w:rPr>
        <w:t>TilePatch3dOffsetU</w:t>
      </w:r>
      <w:r w:rsidR="00DF76E6" w:rsidRPr="00A52AB8">
        <w:t>[ tileID ]</w:t>
      </w:r>
      <w:r w:rsidR="00DF76E6" w:rsidRPr="00A52AB8">
        <w:rPr>
          <w:lang w:eastAsia="ja-JP"/>
        </w:rPr>
        <w:t>[ p ]</w:t>
      </w:r>
      <w:r w:rsidR="00D47707" w:rsidRPr="00A52AB8">
        <w:rPr>
          <w:lang w:eastAsia="ja-JP"/>
        </w:rPr>
        <w:t> = </w:t>
      </w:r>
      <w:r w:rsidR="00130122" w:rsidRPr="00A52AB8">
        <w:rPr>
          <w:lang w:eastAsia="ja-JP"/>
        </w:rPr>
        <w:t>0</w:t>
      </w:r>
      <w:r w:rsidR="009C47E0" w:rsidRPr="00A52AB8">
        <w:rPr>
          <w:lang w:eastAsia="ja-JP"/>
        </w:rPr>
        <w:br/>
      </w:r>
      <w:r w:rsidR="00DF76E6" w:rsidRPr="00A52AB8">
        <w:rPr>
          <w:lang w:eastAsia="ja-JP"/>
        </w:rPr>
        <w:tab/>
      </w:r>
      <w:r w:rsidR="003A457D" w:rsidRPr="00A52AB8">
        <w:rPr>
          <w:lang w:eastAsia="ja-JP"/>
        </w:rPr>
        <w:tab/>
      </w:r>
      <w:r w:rsidR="008D0D70" w:rsidRPr="00A52AB8">
        <w:rPr>
          <w:lang w:eastAsia="ja-JP"/>
        </w:rPr>
        <w:tab/>
      </w:r>
      <w:r w:rsidRPr="00A52AB8">
        <w:rPr>
          <w:lang w:eastAsia="ja-JP"/>
        </w:rPr>
        <w:tab/>
      </w:r>
      <w:r w:rsidR="00314925" w:rsidRPr="00A52AB8">
        <w:rPr>
          <w:lang w:eastAsia="ja-JP"/>
        </w:rPr>
        <w:t>TilePatch3dOffsetV</w:t>
      </w:r>
      <w:r w:rsidR="00DF76E6" w:rsidRPr="00A52AB8">
        <w:t>[ tileID ]</w:t>
      </w:r>
      <w:r w:rsidR="00DF76E6" w:rsidRPr="00A52AB8">
        <w:rPr>
          <w:lang w:eastAsia="ja-JP"/>
        </w:rPr>
        <w:t>[ p ]</w:t>
      </w:r>
      <w:r w:rsidR="00D47707" w:rsidRPr="00A52AB8">
        <w:rPr>
          <w:lang w:eastAsia="ja-JP"/>
        </w:rPr>
        <w:t> = </w:t>
      </w:r>
      <w:r w:rsidR="00D617B1" w:rsidRPr="00A52AB8">
        <w:rPr>
          <w:lang w:eastAsia="ja-JP"/>
        </w:rPr>
        <w:t>0</w:t>
      </w:r>
      <w:r w:rsidR="009C47E0" w:rsidRPr="00A52AB8">
        <w:rPr>
          <w:lang w:eastAsia="ja-JP"/>
        </w:rPr>
        <w:br/>
      </w:r>
      <w:r w:rsidR="00DF76E6" w:rsidRPr="00A52AB8">
        <w:rPr>
          <w:lang w:eastAsia="ja-JP"/>
        </w:rPr>
        <w:tab/>
      </w:r>
      <w:r w:rsidR="008D0D70" w:rsidRPr="00A52AB8">
        <w:rPr>
          <w:lang w:eastAsia="ja-JP"/>
        </w:rPr>
        <w:tab/>
      </w:r>
      <w:r w:rsidR="003A457D" w:rsidRPr="00A52AB8">
        <w:rPr>
          <w:lang w:eastAsia="ja-JP"/>
        </w:rPr>
        <w:tab/>
      </w:r>
      <w:r w:rsidRPr="00A52AB8">
        <w:rPr>
          <w:lang w:eastAsia="ja-JP"/>
        </w:rPr>
        <w:tab/>
      </w:r>
      <w:r w:rsidR="00141AB2" w:rsidRPr="00A52AB8">
        <w:rPr>
          <w:lang w:eastAsia="ja-JP"/>
        </w:rPr>
        <w:t>TilePatch3dOffsetD</w:t>
      </w:r>
      <w:r w:rsidR="00DF76E6" w:rsidRPr="00A52AB8">
        <w:t>[ tileID ]</w:t>
      </w:r>
      <w:r w:rsidR="00DF76E6" w:rsidRPr="00A52AB8">
        <w:rPr>
          <w:lang w:eastAsia="ja-JP"/>
        </w:rPr>
        <w:t>[ p ]</w:t>
      </w:r>
      <w:r w:rsidR="00D47707" w:rsidRPr="00A52AB8">
        <w:rPr>
          <w:lang w:eastAsia="ja-JP"/>
        </w:rPr>
        <w:t> = </w:t>
      </w:r>
      <w:r w:rsidR="00D617B1" w:rsidRPr="00A52AB8">
        <w:rPr>
          <w:lang w:eastAsia="ja-JP"/>
        </w:rPr>
        <w:t>0</w:t>
      </w:r>
      <w:r w:rsidR="009C47E0" w:rsidRPr="00A52AB8">
        <w:rPr>
          <w:color w:val="000000" w:themeColor="text1"/>
        </w:rPr>
        <w:br/>
      </w:r>
      <w:r w:rsidR="00DF76E6" w:rsidRPr="00A52AB8">
        <w:rPr>
          <w:color w:val="000000" w:themeColor="text1"/>
        </w:rPr>
        <w:tab/>
      </w:r>
      <w:r w:rsidR="008D0D70" w:rsidRPr="00A52AB8">
        <w:rPr>
          <w:color w:val="000000" w:themeColor="text1"/>
        </w:rPr>
        <w:tab/>
      </w:r>
      <w:r w:rsidRPr="00A52AB8">
        <w:rPr>
          <w:color w:val="000000" w:themeColor="text1"/>
        </w:rPr>
        <w:tab/>
      </w:r>
      <w:r w:rsidR="003A457D" w:rsidRPr="00A52AB8">
        <w:rPr>
          <w:color w:val="000000" w:themeColor="text1"/>
        </w:rPr>
        <w:tab/>
      </w:r>
      <w:r w:rsidR="00DF76E6" w:rsidRPr="00A52AB8">
        <w:rPr>
          <w:color w:val="000000" w:themeColor="text1"/>
        </w:rPr>
        <w:t>TilePatch</w:t>
      </w:r>
      <w:r w:rsidR="001A4D59" w:rsidRPr="00A52AB8">
        <w:rPr>
          <w:color w:val="000000" w:themeColor="text1"/>
        </w:rPr>
        <w:t>3dRangeD</w:t>
      </w:r>
      <w:r w:rsidR="00DF76E6" w:rsidRPr="00A52AB8">
        <w:rPr>
          <w:color w:val="000000" w:themeColor="text1"/>
        </w:rPr>
        <w:t>[ tileID ][ p ]</w:t>
      </w:r>
      <w:r w:rsidR="00D47707" w:rsidRPr="00A52AB8">
        <w:rPr>
          <w:color w:val="000000" w:themeColor="text1"/>
        </w:rPr>
        <w:t> = </w:t>
      </w:r>
      <w:r w:rsidR="00D617B1" w:rsidRPr="00A52AB8">
        <w:rPr>
          <w:color w:val="000000" w:themeColor="text1"/>
        </w:rPr>
        <w:t>1</w:t>
      </w:r>
      <w:r w:rsidR="008C0B42" w:rsidRPr="00A52AB8">
        <w:rPr>
          <w:color w:val="000000" w:themeColor="text1"/>
        </w:rPr>
        <w:br/>
      </w:r>
      <w:r w:rsidR="008C0B42" w:rsidRPr="00A52AB8">
        <w:rPr>
          <w:lang w:eastAsia="ja-JP"/>
        </w:rPr>
        <w:tab/>
      </w:r>
      <w:r w:rsidR="003A457D" w:rsidRPr="00A52AB8">
        <w:rPr>
          <w:lang w:eastAsia="ja-JP"/>
        </w:rPr>
        <w:tab/>
      </w:r>
      <w:r w:rsidR="008C0B42" w:rsidRPr="00A52AB8">
        <w:rPr>
          <w:lang w:eastAsia="ja-JP"/>
        </w:rPr>
        <w:tab/>
      </w:r>
      <w:r w:rsidRPr="00A52AB8">
        <w:rPr>
          <w:lang w:eastAsia="ja-JP"/>
        </w:rPr>
        <w:tab/>
      </w:r>
      <w:r w:rsidR="008C0B42" w:rsidRPr="00A52AB8">
        <w:rPr>
          <w:lang w:eastAsia="ja-JP"/>
        </w:rPr>
        <w:t>TilePatchProjectionID</w:t>
      </w:r>
      <w:r w:rsidR="008C0B42" w:rsidRPr="00A52AB8">
        <w:t>[ tileID ]</w:t>
      </w:r>
      <w:r w:rsidR="008C0B42" w:rsidRPr="00A52AB8">
        <w:rPr>
          <w:lang w:eastAsia="ja-JP"/>
        </w:rPr>
        <w:t>[ p ]</w:t>
      </w:r>
      <w:r w:rsidR="00D47707" w:rsidRPr="00A52AB8">
        <w:rPr>
          <w:lang w:eastAsia="ja-JP"/>
        </w:rPr>
        <w:t> = </w:t>
      </w:r>
      <w:r w:rsidR="008C0B42" w:rsidRPr="00A52AB8">
        <w:rPr>
          <w:lang w:eastAsia="ja-JP"/>
        </w:rPr>
        <w:t>0</w:t>
      </w:r>
      <w:r w:rsidR="009C47E0" w:rsidRPr="00A52AB8">
        <w:rPr>
          <w:lang w:eastAsia="ja-JP"/>
        </w:rPr>
        <w:br/>
      </w:r>
      <w:r w:rsidR="00DF76E6" w:rsidRPr="00A52AB8">
        <w:rPr>
          <w:lang w:eastAsia="ja-JP"/>
        </w:rPr>
        <w:tab/>
      </w:r>
      <w:r w:rsidR="008D0D70" w:rsidRPr="00A52AB8">
        <w:rPr>
          <w:lang w:eastAsia="ja-JP"/>
        </w:rPr>
        <w:tab/>
      </w:r>
      <w:r w:rsidR="003A457D" w:rsidRPr="00A52AB8">
        <w:rPr>
          <w:lang w:eastAsia="ja-JP"/>
        </w:rPr>
        <w:tab/>
      </w:r>
      <w:r w:rsidRPr="00A52AB8">
        <w:rPr>
          <w:lang w:eastAsia="ja-JP"/>
        </w:rPr>
        <w:tab/>
      </w:r>
      <w:r w:rsidR="00DF76E6" w:rsidRPr="00A52AB8">
        <w:rPr>
          <w:lang w:eastAsia="ja-JP"/>
        </w:rPr>
        <w:t>TilePatchOrientationIndex</w:t>
      </w:r>
      <w:r w:rsidR="00DF76E6" w:rsidRPr="00A52AB8">
        <w:t>[ tileID ]</w:t>
      </w:r>
      <w:r w:rsidR="00DF76E6" w:rsidRPr="00A52AB8">
        <w:rPr>
          <w:lang w:eastAsia="ja-JP"/>
        </w:rPr>
        <w:t>[ p ]</w:t>
      </w:r>
      <w:r w:rsidR="00D47707" w:rsidRPr="00A52AB8">
        <w:rPr>
          <w:lang w:eastAsia="ja-JP"/>
        </w:rPr>
        <w:t> = </w:t>
      </w:r>
      <w:r w:rsidR="00D617B1" w:rsidRPr="00A52AB8">
        <w:rPr>
          <w:lang w:eastAsia="ja-JP"/>
        </w:rPr>
        <w:t>0</w:t>
      </w:r>
      <w:r w:rsidR="009C47E0" w:rsidRPr="00A52AB8">
        <w:rPr>
          <w:lang w:eastAsia="ja-JP"/>
        </w:rPr>
        <w:br/>
      </w:r>
      <w:r w:rsidR="00DF76E6" w:rsidRPr="00A52AB8">
        <w:rPr>
          <w:lang w:eastAsia="ja-JP"/>
        </w:rPr>
        <w:tab/>
      </w:r>
      <w:r w:rsidR="008D0D70" w:rsidRPr="00A52AB8">
        <w:rPr>
          <w:lang w:eastAsia="ja-JP"/>
        </w:rPr>
        <w:tab/>
      </w:r>
      <w:r w:rsidR="003A457D" w:rsidRPr="00A52AB8">
        <w:rPr>
          <w:lang w:eastAsia="ja-JP"/>
        </w:rPr>
        <w:tab/>
      </w:r>
      <w:r w:rsidRPr="00A52AB8">
        <w:rPr>
          <w:lang w:eastAsia="ja-JP"/>
        </w:rPr>
        <w:tab/>
      </w:r>
      <w:r w:rsidR="00DF76E6" w:rsidRPr="00A52AB8">
        <w:rPr>
          <w:lang w:eastAsia="ja-JP"/>
        </w:rPr>
        <w:t>TilePatchLoDScaleX</w:t>
      </w:r>
      <w:r w:rsidR="00DF76E6" w:rsidRPr="00A52AB8">
        <w:t>[ tileID ]</w:t>
      </w:r>
      <w:r w:rsidR="00DF76E6" w:rsidRPr="00A52AB8">
        <w:rPr>
          <w:lang w:eastAsia="ja-JP"/>
        </w:rPr>
        <w:t>[ p ]</w:t>
      </w:r>
      <w:r w:rsidR="00D47707" w:rsidRPr="00A52AB8">
        <w:rPr>
          <w:lang w:eastAsia="ja-JP"/>
        </w:rPr>
        <w:t> = </w:t>
      </w:r>
      <w:r w:rsidR="00130122" w:rsidRPr="00A52AB8">
        <w:rPr>
          <w:lang w:eastAsia="ja-JP"/>
        </w:rPr>
        <w:t>1</w:t>
      </w:r>
      <w:r w:rsidR="009C47E0" w:rsidRPr="00A52AB8">
        <w:rPr>
          <w:lang w:eastAsia="ja-JP"/>
        </w:rPr>
        <w:br/>
      </w:r>
      <w:r w:rsidR="00DF76E6" w:rsidRPr="00A52AB8">
        <w:rPr>
          <w:lang w:eastAsia="ja-JP"/>
        </w:rPr>
        <w:tab/>
      </w:r>
      <w:r w:rsidR="008D0D70" w:rsidRPr="00A52AB8">
        <w:rPr>
          <w:lang w:eastAsia="ja-JP"/>
        </w:rPr>
        <w:tab/>
      </w:r>
      <w:r w:rsidR="003A457D" w:rsidRPr="00A52AB8">
        <w:rPr>
          <w:lang w:eastAsia="ja-JP"/>
        </w:rPr>
        <w:tab/>
      </w:r>
      <w:r w:rsidRPr="00A52AB8">
        <w:rPr>
          <w:lang w:eastAsia="ja-JP"/>
        </w:rPr>
        <w:tab/>
      </w:r>
      <w:r w:rsidR="00DF76E6" w:rsidRPr="00A52AB8">
        <w:rPr>
          <w:lang w:eastAsia="ja-JP"/>
        </w:rPr>
        <w:t>TilePatchLoDScaleY</w:t>
      </w:r>
      <w:r w:rsidR="00DF76E6" w:rsidRPr="00A52AB8">
        <w:t>[ tileID ]</w:t>
      </w:r>
      <w:r w:rsidR="00DF76E6" w:rsidRPr="00A52AB8">
        <w:rPr>
          <w:lang w:eastAsia="ja-JP"/>
        </w:rPr>
        <w:t>[ p ]</w:t>
      </w:r>
      <w:r w:rsidR="00D47707" w:rsidRPr="00A52AB8">
        <w:rPr>
          <w:lang w:eastAsia="ja-JP"/>
        </w:rPr>
        <w:t> = </w:t>
      </w:r>
      <w:r w:rsidR="00130122" w:rsidRPr="00A52AB8">
        <w:rPr>
          <w:lang w:eastAsia="ja-JP"/>
        </w:rPr>
        <w:t>1</w:t>
      </w:r>
      <w:r w:rsidR="00FB7219" w:rsidRPr="00A52AB8">
        <w:rPr>
          <w:lang w:eastAsia="ja-JP"/>
        </w:rPr>
        <w:br/>
      </w:r>
      <w:r w:rsidR="00FB7219" w:rsidRPr="00A52AB8">
        <w:rPr>
          <w:lang w:eastAsia="ja-JP"/>
        </w:rPr>
        <w:br/>
      </w:r>
      <w:r w:rsidR="00FB7219" w:rsidRPr="00A52AB8">
        <w:rPr>
          <w:lang w:eastAsia="ja-JP"/>
        </w:rPr>
        <w:tab/>
      </w:r>
      <w:r w:rsidR="003A457D" w:rsidRPr="00A52AB8">
        <w:rPr>
          <w:lang w:eastAsia="ja-JP"/>
        </w:rPr>
        <w:tab/>
      </w:r>
      <w:r w:rsidR="00FB7219" w:rsidRPr="00A52AB8">
        <w:rPr>
          <w:lang w:eastAsia="ja-JP"/>
        </w:rPr>
        <w:tab/>
      </w:r>
      <w:r w:rsidRPr="00A52AB8">
        <w:rPr>
          <w:lang w:eastAsia="ja-JP"/>
        </w:rPr>
        <w:tab/>
      </w:r>
      <w:r w:rsidR="00FB7219" w:rsidRPr="00A52AB8">
        <w:rPr>
          <w:lang w:eastAsia="ja-JP"/>
        </w:rPr>
        <w:t>if( asps_plr_enabled_flag</w:t>
      </w:r>
      <w:r w:rsidR="008768E9" w:rsidRPr="00A52AB8">
        <w:rPr>
          <w:lang w:eastAsia="ja-JP"/>
        </w:rPr>
        <w:t> </w:t>
      </w:r>
      <w:r w:rsidR="00726AAE" w:rsidRPr="00A52AB8">
        <w:rPr>
          <w:lang w:eastAsia="ja-JP"/>
        </w:rPr>
        <w:t>==</w:t>
      </w:r>
      <w:r w:rsidR="00D47707" w:rsidRPr="00A52AB8">
        <w:rPr>
          <w:lang w:eastAsia="ja-JP"/>
        </w:rPr>
        <w:t> </w:t>
      </w:r>
      <w:r w:rsidR="00FB7219" w:rsidRPr="00A52AB8">
        <w:rPr>
          <w:lang w:eastAsia="ja-JP"/>
        </w:rPr>
        <w:t>1 </w:t>
      </w:r>
      <w:r w:rsidR="008F1F82" w:rsidRPr="00A52AB8">
        <w:rPr>
          <w:lang w:eastAsia="ja-JP"/>
        </w:rPr>
        <w:t>) {</w:t>
      </w:r>
      <w:r w:rsidR="00FB7219" w:rsidRPr="00A52AB8">
        <w:br/>
      </w:r>
      <w:r w:rsidR="00FB7219" w:rsidRPr="00A52AB8">
        <w:rPr>
          <w:color w:val="000000" w:themeColor="text1"/>
        </w:rPr>
        <w:tab/>
      </w:r>
      <w:r w:rsidR="003A457D" w:rsidRPr="00A52AB8">
        <w:rPr>
          <w:color w:val="000000" w:themeColor="text1"/>
        </w:rPr>
        <w:tab/>
      </w:r>
      <w:r w:rsidR="00FB7219" w:rsidRPr="00A52AB8">
        <w:rPr>
          <w:color w:val="000000" w:themeColor="text1"/>
        </w:rPr>
        <w:tab/>
      </w:r>
      <w:r w:rsidRPr="00A52AB8">
        <w:rPr>
          <w:color w:val="000000" w:themeColor="text1"/>
        </w:rPr>
        <w:tab/>
      </w:r>
      <w:r w:rsidR="00FB7219" w:rsidRPr="00A52AB8">
        <w:rPr>
          <w:color w:val="000000" w:themeColor="text1"/>
        </w:rPr>
        <w:tab/>
      </w:r>
      <w:r w:rsidR="00FB7219" w:rsidRPr="00A52AB8">
        <w:t>for( m</w:t>
      </w:r>
      <w:r w:rsidR="00D47707" w:rsidRPr="00A52AB8">
        <w:t> = </w:t>
      </w:r>
      <w:r w:rsidR="00FB7219" w:rsidRPr="00A52AB8">
        <w:t>0; m &lt; asps_map_count_minus1 + 1; m++ )</w:t>
      </w:r>
      <w:r w:rsidR="00FB7219" w:rsidRPr="00A52AB8">
        <w:br/>
      </w:r>
      <w:r w:rsidR="00FB7219" w:rsidRPr="00A52AB8">
        <w:tab/>
      </w:r>
      <w:r w:rsidR="003A457D" w:rsidRPr="00A52AB8">
        <w:tab/>
      </w:r>
      <w:r w:rsidR="00FB7219" w:rsidRPr="00A52AB8">
        <w:tab/>
      </w:r>
      <w:r w:rsidRPr="00A52AB8">
        <w:tab/>
      </w:r>
      <w:r w:rsidR="00FB7219" w:rsidRPr="00A52AB8">
        <w:tab/>
      </w:r>
      <w:r w:rsidR="00FB7219" w:rsidRPr="00A52AB8">
        <w:tab/>
      </w:r>
      <w:r w:rsidR="00FB7219" w:rsidRPr="00A52AB8">
        <w:rPr>
          <w:color w:val="000000" w:themeColor="text1"/>
        </w:rPr>
        <w:t>TilePatchPlrdLevel[ tileID ][ p ][ m ]</w:t>
      </w:r>
      <w:r w:rsidR="00D47707" w:rsidRPr="00A52AB8">
        <w:rPr>
          <w:color w:val="000000" w:themeColor="text1"/>
        </w:rPr>
        <w:t> = </w:t>
      </w:r>
      <w:r w:rsidR="00FB7219" w:rsidRPr="00A52AB8">
        <w:rPr>
          <w:color w:val="000000" w:themeColor="text1"/>
        </w:rPr>
        <w:t>0</w:t>
      </w:r>
      <w:r w:rsidR="00A621A1" w:rsidRPr="00A52AB8">
        <w:rPr>
          <w:color w:val="000000" w:themeColor="text1"/>
        </w:rPr>
        <w:br/>
      </w:r>
      <w:r w:rsidR="00FB7219" w:rsidRPr="00A52AB8">
        <w:rPr>
          <w:color w:val="000000" w:themeColor="text1"/>
        </w:rPr>
        <w:tab/>
      </w:r>
      <w:r w:rsidR="003A457D" w:rsidRPr="00A52AB8">
        <w:rPr>
          <w:color w:val="000000" w:themeColor="text1"/>
        </w:rPr>
        <w:tab/>
      </w:r>
      <w:r w:rsidR="00FB7219" w:rsidRPr="00A52AB8">
        <w:rPr>
          <w:color w:val="000000" w:themeColor="text1"/>
        </w:rPr>
        <w:tab/>
      </w:r>
      <w:r w:rsidRPr="00A52AB8">
        <w:rPr>
          <w:color w:val="000000" w:themeColor="text1"/>
        </w:rPr>
        <w:tab/>
      </w:r>
      <w:r w:rsidR="00FB7219" w:rsidRPr="00A52AB8">
        <w:rPr>
          <w:color w:val="000000" w:themeColor="text1"/>
        </w:rPr>
        <w:t>}</w:t>
      </w:r>
      <w:r w:rsidR="00FB7219" w:rsidRPr="00A52AB8">
        <w:rPr>
          <w:color w:val="000000" w:themeColor="text1"/>
        </w:rPr>
        <w:br/>
      </w:r>
      <w:r w:rsidR="00DF76E6" w:rsidRPr="00A52AB8">
        <w:tab/>
      </w:r>
      <w:r w:rsidR="003A457D" w:rsidRPr="00A52AB8">
        <w:tab/>
      </w:r>
      <w:r w:rsidRPr="00A52AB8">
        <w:tab/>
      </w:r>
      <w:r w:rsidR="00DF76E6" w:rsidRPr="00A52AB8">
        <w:t>}</w:t>
      </w:r>
      <w:r w:rsidR="00847288" w:rsidRPr="00A52AB8">
        <w:br/>
      </w:r>
      <w:r w:rsidR="003A457D" w:rsidRPr="00A52AB8">
        <w:tab/>
      </w:r>
      <w:r w:rsidRPr="00A52AB8">
        <w:tab/>
      </w:r>
      <w:r w:rsidR="00847288" w:rsidRPr="00A52AB8">
        <w:t>}</w:t>
      </w:r>
    </w:p>
    <w:p w14:paraId="6F06C58F" w14:textId="77777777" w:rsidR="00E05637" w:rsidRPr="00A52AB8" w:rsidRDefault="00077F5A" w:rsidP="005C26E9">
      <w:pPr>
        <w:pStyle w:val="Heading4"/>
      </w:pPr>
      <w:bookmarkStart w:id="1495" w:name="_Ref1143623"/>
      <w:r w:rsidRPr="00A52AB8">
        <w:t>Reference</w:t>
      </w:r>
      <w:r w:rsidR="00E05637" w:rsidRPr="00A52AB8">
        <w:t xml:space="preserve"> </w:t>
      </w:r>
      <w:r w:rsidR="008F0D00" w:rsidRPr="00A52AB8">
        <w:t>atlas frame</w:t>
      </w:r>
      <w:r w:rsidR="00E05637" w:rsidRPr="00A52AB8">
        <w:t xml:space="preserve"> list construction</w:t>
      </w:r>
      <w:bookmarkEnd w:id="1488"/>
      <w:r w:rsidRPr="00A52AB8">
        <w:t xml:space="preserve"> process</w:t>
      </w:r>
      <w:bookmarkEnd w:id="1489"/>
      <w:bookmarkEnd w:id="1495"/>
    </w:p>
    <w:p w14:paraId="71D5FD33" w14:textId="77777777" w:rsidR="002924AF" w:rsidRPr="00A52AB8" w:rsidRDefault="002924AF" w:rsidP="00007BE2">
      <w:pPr>
        <w:spacing w:before="120" w:after="120" w:line="240" w:lineRule="auto"/>
      </w:pPr>
      <w:r w:rsidRPr="00A52AB8">
        <w:t xml:space="preserve">This process is invoked at the beginning of the decoding process for each </w:t>
      </w:r>
      <w:r w:rsidR="008F0D00" w:rsidRPr="00A52AB8">
        <w:t xml:space="preserve">atlas </w:t>
      </w:r>
      <w:r w:rsidR="00AF2A44" w:rsidRPr="00A52AB8">
        <w:t>tile</w:t>
      </w:r>
      <w:r w:rsidR="002E112A" w:rsidRPr="00A52AB8">
        <w:t xml:space="preserve"> of an atlas frame</w:t>
      </w:r>
      <w:r w:rsidRPr="00A52AB8">
        <w:t>.</w:t>
      </w:r>
    </w:p>
    <w:p w14:paraId="395F9047" w14:textId="77777777" w:rsidR="002924AF" w:rsidRPr="00A52AB8" w:rsidRDefault="002924AF">
      <w:pPr>
        <w:spacing w:before="120" w:after="120" w:line="240" w:lineRule="auto"/>
      </w:pPr>
      <w:r w:rsidRPr="00A52AB8">
        <w:t xml:space="preserve">Reference </w:t>
      </w:r>
      <w:r w:rsidR="008F0D00" w:rsidRPr="00A52AB8">
        <w:t>atlas frame</w:t>
      </w:r>
      <w:r w:rsidRPr="00A52AB8">
        <w:t xml:space="preserve">s are addressed through reference indices. A reference index is an index into a reference </w:t>
      </w:r>
      <w:r w:rsidR="008F0D00" w:rsidRPr="00A52AB8">
        <w:t>atlas frame</w:t>
      </w:r>
      <w:r w:rsidRPr="00A52AB8">
        <w:t xml:space="preserve"> list</w:t>
      </w:r>
      <w:r w:rsidR="002E112A" w:rsidRPr="00A52AB8">
        <w:t xml:space="preserve"> (RAFL)</w:t>
      </w:r>
      <w:r w:rsidRPr="00A52AB8">
        <w:t xml:space="preserve">. </w:t>
      </w:r>
      <w:bookmarkStart w:id="1496" w:name="_Hlk27663127"/>
      <w:r w:rsidRPr="00A52AB8">
        <w:t>When decoding an I</w:t>
      </w:r>
      <w:r w:rsidR="0003743A" w:rsidRPr="00A52AB8">
        <w:t>_TILE</w:t>
      </w:r>
      <w:r w:rsidRPr="00A52AB8">
        <w:t xml:space="preserve"> </w:t>
      </w:r>
      <w:r w:rsidR="002A47BD" w:rsidRPr="00A52AB8">
        <w:t xml:space="preserve">atlas </w:t>
      </w:r>
      <w:bookmarkEnd w:id="1496"/>
      <w:r w:rsidR="00B8075E" w:rsidRPr="00A52AB8">
        <w:t>tile</w:t>
      </w:r>
      <w:r w:rsidRPr="00A52AB8">
        <w:t xml:space="preserve">, no </w:t>
      </w:r>
      <w:r w:rsidR="002E112A" w:rsidRPr="00A52AB8">
        <w:t>RAFL</w:t>
      </w:r>
      <w:r w:rsidRPr="00A52AB8">
        <w:t xml:space="preserve"> is used in decoding of the </w:t>
      </w:r>
      <w:r w:rsidR="002A47BD" w:rsidRPr="00A52AB8">
        <w:t xml:space="preserve">atlas </w:t>
      </w:r>
      <w:r w:rsidR="00B8075E" w:rsidRPr="00A52AB8">
        <w:t>tile</w:t>
      </w:r>
      <w:r w:rsidR="00CD21AF" w:rsidRPr="00A52AB8">
        <w:t xml:space="preserve"> </w:t>
      </w:r>
      <w:r w:rsidRPr="00A52AB8">
        <w:t xml:space="preserve">data. When decoding a </w:t>
      </w:r>
      <w:r w:rsidR="00AF2A44" w:rsidRPr="00A52AB8">
        <w:t xml:space="preserve">SKIP_TILE or a </w:t>
      </w:r>
      <w:r w:rsidRPr="00A52AB8">
        <w:t>P</w:t>
      </w:r>
      <w:r w:rsidR="00E470E7" w:rsidRPr="00A52AB8">
        <w:t>_TILE</w:t>
      </w:r>
      <w:r w:rsidRPr="00A52AB8">
        <w:t xml:space="preserve"> </w:t>
      </w:r>
      <w:r w:rsidR="002A47BD" w:rsidRPr="00A52AB8">
        <w:t xml:space="preserve">atlas </w:t>
      </w:r>
      <w:r w:rsidR="00B8075E" w:rsidRPr="00A52AB8">
        <w:t>tile</w:t>
      </w:r>
      <w:r w:rsidRPr="00A52AB8">
        <w:t xml:space="preserve">, a single reference </w:t>
      </w:r>
      <w:r w:rsidR="008F0D00" w:rsidRPr="00A52AB8">
        <w:rPr>
          <w:rFonts w:eastAsia="Times New Roman"/>
        </w:rPr>
        <w:t>atlas frame</w:t>
      </w:r>
      <w:r w:rsidR="00E80370" w:rsidRPr="00A52AB8">
        <w:rPr>
          <w:rFonts w:eastAsia="Times New Roman"/>
        </w:rPr>
        <w:t xml:space="preserve"> </w:t>
      </w:r>
      <w:r w:rsidRPr="00A52AB8">
        <w:t>list, Ref</w:t>
      </w:r>
      <w:r w:rsidR="00EB723C" w:rsidRPr="00A52AB8">
        <w:t>AtlasFrm</w:t>
      </w:r>
      <w:r w:rsidRPr="00A52AB8">
        <w:t xml:space="preserve">List, is used in decoding of the </w:t>
      </w:r>
      <w:r w:rsidR="008F0D00" w:rsidRPr="00A52AB8">
        <w:t xml:space="preserve">atlas </w:t>
      </w:r>
      <w:r w:rsidR="002E112A" w:rsidRPr="00A52AB8">
        <w:t xml:space="preserve">tile </w:t>
      </w:r>
      <w:r w:rsidRPr="00A52AB8">
        <w:t>data.</w:t>
      </w:r>
    </w:p>
    <w:p w14:paraId="222ECC49" w14:textId="2F670F39" w:rsidR="002924AF" w:rsidRPr="00A52AB8" w:rsidRDefault="002924AF">
      <w:pPr>
        <w:spacing w:before="120" w:after="120" w:line="240" w:lineRule="auto"/>
      </w:pPr>
      <w:r w:rsidRPr="00A52AB8">
        <w:t xml:space="preserve">At the beginning of the decoding process for each </w:t>
      </w:r>
      <w:r w:rsidR="008F0D00" w:rsidRPr="00A52AB8">
        <w:t xml:space="preserve">atlas </w:t>
      </w:r>
      <w:r w:rsidR="002E112A" w:rsidRPr="00A52AB8">
        <w:t>tile</w:t>
      </w:r>
      <w:r w:rsidRPr="00A52AB8">
        <w:t xml:space="preserve">, the </w:t>
      </w:r>
      <w:r w:rsidR="002E112A" w:rsidRPr="00A52AB8">
        <w:t>RAFL</w:t>
      </w:r>
      <w:r w:rsidRPr="00A52AB8">
        <w:t xml:space="preserve"> Ref</w:t>
      </w:r>
      <w:r w:rsidR="00EB723C" w:rsidRPr="00A52AB8">
        <w:t>AtlasFrm</w:t>
      </w:r>
      <w:r w:rsidRPr="00A52AB8">
        <w:t xml:space="preserve">List is derived. The </w:t>
      </w:r>
      <w:r w:rsidR="002E112A" w:rsidRPr="00A52AB8">
        <w:t xml:space="preserve">RAFL </w:t>
      </w:r>
      <w:r w:rsidRPr="00A52AB8">
        <w:t xml:space="preserve">is used in marking </w:t>
      </w:r>
      <w:r w:rsidR="002E112A" w:rsidRPr="00A52AB8">
        <w:t xml:space="preserve">of </w:t>
      </w:r>
      <w:r w:rsidRPr="00A52AB8">
        <w:t xml:space="preserve">reference </w:t>
      </w:r>
      <w:r w:rsidR="008F0D00" w:rsidRPr="00A52AB8">
        <w:t>atlas frame</w:t>
      </w:r>
      <w:r w:rsidRPr="00A52AB8">
        <w:t xml:space="preserve">s as specified in </w:t>
      </w:r>
      <w:r w:rsidR="00406A86" w:rsidRPr="00A52AB8">
        <w:t>subclause</w:t>
      </w:r>
      <w:r w:rsidRPr="00A52AB8">
        <w:t> </w:t>
      </w:r>
      <w:r w:rsidRPr="00496A4D">
        <w:fldChar w:fldCharType="begin"/>
      </w:r>
      <w:r w:rsidRPr="00A52AB8">
        <w:instrText xml:space="preserve"> REF _Ref1137376 \r \h </w:instrText>
      </w:r>
      <w:r w:rsidR="003F01AC" w:rsidRPr="00A52AB8">
        <w:instrText xml:space="preserve"> \* MERGEFORMAT </w:instrText>
      </w:r>
      <w:r w:rsidRPr="00496A4D">
        <w:fldChar w:fldCharType="separate"/>
      </w:r>
      <w:r w:rsidR="00507A67">
        <w:t>9.2.4.4</w:t>
      </w:r>
      <w:r w:rsidRPr="00496A4D">
        <w:fldChar w:fldCharType="end"/>
      </w:r>
      <w:r w:rsidRPr="00A52AB8">
        <w:t xml:space="preserve"> or in decoding of the </w:t>
      </w:r>
      <w:r w:rsidR="002A47BD" w:rsidRPr="00A52AB8">
        <w:t xml:space="preserve">atlas </w:t>
      </w:r>
      <w:r w:rsidR="00B8075E" w:rsidRPr="00A52AB8">
        <w:t>tile</w:t>
      </w:r>
      <w:r w:rsidR="00CD21AF" w:rsidRPr="00A52AB8">
        <w:t xml:space="preserve"> </w:t>
      </w:r>
      <w:r w:rsidRPr="00A52AB8">
        <w:t>data.</w:t>
      </w:r>
    </w:p>
    <w:p w14:paraId="785FD3D9" w14:textId="1A365024" w:rsidR="00DB4F77" w:rsidRPr="00A52AB8" w:rsidRDefault="00DB4F77" w:rsidP="002D4E3F">
      <w:pPr>
        <w:pStyle w:val="Note1"/>
        <w:rPr>
          <w:rFonts w:ascii="Cambria" w:hAnsi="Cambria"/>
        </w:rPr>
      </w:pPr>
      <w:r w:rsidRPr="00A52AB8">
        <w:rPr>
          <w:rFonts w:ascii="Cambria" w:hAnsi="Cambria"/>
        </w:rPr>
        <w:t>NOTE </w:t>
      </w:r>
      <w:r w:rsidRPr="00496A4D">
        <w:rPr>
          <w:rFonts w:ascii="Cambria" w:hAnsi="Cambria"/>
        </w:rPr>
        <w:fldChar w:fldCharType="begin"/>
      </w:r>
      <w:r w:rsidRPr="00A52AB8">
        <w:rPr>
          <w:rFonts w:ascii="Cambria" w:hAnsi="Cambria"/>
        </w:rPr>
        <w:instrText xml:space="preserve"> SEQ NoteCounter \s 9 \* MERGEFORMAT </w:instrText>
      </w:r>
      <w:r w:rsidRPr="00496A4D">
        <w:rPr>
          <w:rFonts w:ascii="Cambria" w:hAnsi="Cambria"/>
        </w:rPr>
        <w:fldChar w:fldCharType="separate"/>
      </w:r>
      <w:r w:rsidR="00507A67">
        <w:rPr>
          <w:rFonts w:ascii="Cambria" w:hAnsi="Cambria"/>
          <w:noProof/>
        </w:rPr>
        <w:t>1</w:t>
      </w:r>
      <w:r w:rsidRPr="00496A4D">
        <w:rPr>
          <w:rFonts w:ascii="Cambria" w:hAnsi="Cambria"/>
        </w:rPr>
        <w:fldChar w:fldCharType="end"/>
      </w:r>
      <w:r w:rsidRPr="00A52AB8">
        <w:rPr>
          <w:rFonts w:ascii="Cambria" w:hAnsi="Cambria"/>
        </w:rPr>
        <w:t> – For an I_TILE atlas tile of an atlas frame, RefAtlasFrmList could be derived for bitstream conformance checking purposes, but its derivation is not necessary for the decoding of the current atlas frame or for atlas frames that follow the current atlas frame in decoding order.</w:t>
      </w:r>
    </w:p>
    <w:p w14:paraId="0F4F290A" w14:textId="77777777" w:rsidR="002924AF" w:rsidRPr="00A52AB8" w:rsidRDefault="002924AF" w:rsidP="00007BE2">
      <w:pPr>
        <w:spacing w:before="120" w:after="120" w:line="240" w:lineRule="auto"/>
      </w:pPr>
      <w:r w:rsidRPr="00A52AB8">
        <w:t xml:space="preserve">The reference </w:t>
      </w:r>
      <w:r w:rsidR="008F0D00" w:rsidRPr="00A52AB8">
        <w:t>atlas frame</w:t>
      </w:r>
      <w:r w:rsidRPr="00A52AB8">
        <w:t xml:space="preserve"> list Ref</w:t>
      </w:r>
      <w:r w:rsidR="00EB723C" w:rsidRPr="00A52AB8">
        <w:t>AtlasFrm</w:t>
      </w:r>
      <w:r w:rsidRPr="00A52AB8">
        <w:t xml:space="preserve">List </w:t>
      </w:r>
      <w:r w:rsidR="00755EDF" w:rsidRPr="00A52AB8">
        <w:t>is</w:t>
      </w:r>
      <w:r w:rsidRPr="00A52AB8">
        <w:t xml:space="preserve"> constructed as follows:</w:t>
      </w:r>
    </w:p>
    <w:p w14:paraId="6AE62C30" w14:textId="63FB40FE" w:rsidR="001944EA" w:rsidRPr="00A52AB8" w:rsidRDefault="002924AF">
      <w:pPr>
        <w:pStyle w:val="Equation"/>
        <w:tabs>
          <w:tab w:val="left" w:pos="403"/>
        </w:tabs>
      </w:pPr>
      <w:r w:rsidRPr="00A52AB8">
        <w:tab/>
        <w:t>for(</w:t>
      </w:r>
      <w:r w:rsidR="005A2311" w:rsidRPr="00A52AB8">
        <w:t> </w:t>
      </w:r>
      <w:r w:rsidRPr="00A52AB8">
        <w:t>j</w:t>
      </w:r>
      <w:r w:rsidR="00D47707" w:rsidRPr="00A52AB8">
        <w:t> = </w:t>
      </w:r>
      <w:r w:rsidRPr="00A52AB8">
        <w:t>0,</w:t>
      </w:r>
      <w:r w:rsidR="005A2311" w:rsidRPr="00A52AB8">
        <w:t> </w:t>
      </w:r>
      <w:r w:rsidR="00DD23CD" w:rsidRPr="00A52AB8">
        <w:t>afoc</w:t>
      </w:r>
      <w:r w:rsidRPr="00A52AB8">
        <w:t>Base</w:t>
      </w:r>
      <w:r w:rsidR="00D47707" w:rsidRPr="00A52AB8">
        <w:t> = </w:t>
      </w:r>
      <w:r w:rsidR="00EB723C" w:rsidRPr="00A52AB8">
        <w:t>AtlasFrm</w:t>
      </w:r>
      <w:r w:rsidRPr="00A52AB8">
        <w:t>OrderCntVal;</w:t>
      </w:r>
      <w:r w:rsidR="005A2311" w:rsidRPr="00A52AB8">
        <w:t> </w:t>
      </w:r>
      <w:r w:rsidRPr="00A52AB8">
        <w:t>j</w:t>
      </w:r>
      <w:r w:rsidR="005A2311" w:rsidRPr="00A52AB8">
        <w:t> </w:t>
      </w:r>
      <w:r w:rsidRPr="00A52AB8">
        <w:t>&lt;</w:t>
      </w:r>
      <w:r w:rsidR="005A2311" w:rsidRPr="00A52AB8">
        <w:t> </w:t>
      </w:r>
      <w:r w:rsidRPr="00A52AB8">
        <w:t>num_ref_entries[ RlsIdx ];</w:t>
      </w:r>
      <w:r w:rsidR="005A2311" w:rsidRPr="00A52AB8">
        <w:t> </w:t>
      </w:r>
      <w:r w:rsidRPr="00A52AB8">
        <w:t>j++</w:t>
      </w:r>
      <w:r w:rsidR="008F1F82" w:rsidRPr="00A52AB8">
        <w:t>) {</w:t>
      </w:r>
      <w:r w:rsidR="005A445F" w:rsidRPr="00A52AB8">
        <w:tab/>
      </w:r>
      <w:r w:rsidRPr="00A52AB8">
        <w:t>(</w:t>
      </w:r>
      <w:r w:rsidRPr="00496A4D">
        <w:fldChar w:fldCharType="begin"/>
      </w:r>
      <w:r w:rsidRPr="00A52AB8">
        <w:instrText xml:space="preserve"> </w:instrText>
      </w:r>
      <w:r w:rsidR="00646520" w:rsidRPr="00A52AB8">
        <w:instrText>SEQ Equation \* ARABIC \n</w:instrText>
      </w:r>
      <w:r w:rsidRPr="00A52AB8">
        <w:instrText xml:space="preserve"> </w:instrText>
      </w:r>
      <w:r w:rsidRPr="00496A4D">
        <w:fldChar w:fldCharType="separate"/>
      </w:r>
      <w:r w:rsidR="00507A67">
        <w:rPr>
          <w:noProof/>
        </w:rPr>
        <w:t>44</w:t>
      </w:r>
      <w:r w:rsidRPr="00496A4D">
        <w:fldChar w:fldCharType="end"/>
      </w:r>
      <w:r w:rsidRPr="00A52AB8">
        <w:t>)</w:t>
      </w:r>
      <w:r w:rsidRPr="00A52AB8">
        <w:br/>
      </w:r>
      <w:r w:rsidRPr="00A52AB8">
        <w:tab/>
      </w:r>
      <w:r w:rsidRPr="00A52AB8">
        <w:tab/>
        <w:t>if( st_ref_</w:t>
      </w:r>
      <w:r w:rsidR="00DD23CD" w:rsidRPr="00A52AB8">
        <w:t>atlas_frame</w:t>
      </w:r>
      <w:r w:rsidRPr="00A52AB8">
        <w:t>_flag[ RlsIdx ]</w:t>
      </w:r>
      <w:r w:rsidR="001F4484" w:rsidRPr="00A52AB8">
        <w:t>[ j ]</w:t>
      </w:r>
      <w:r w:rsidRPr="00A52AB8">
        <w:t xml:space="preserve"> </w:t>
      </w:r>
      <w:r w:rsidR="008F1F82" w:rsidRPr="00A52AB8">
        <w:t>) {</w:t>
      </w:r>
      <w:r w:rsidRPr="00A52AB8">
        <w:br/>
      </w:r>
      <w:r w:rsidRPr="00A52AB8">
        <w:tab/>
      </w:r>
      <w:r w:rsidRPr="00A52AB8">
        <w:tab/>
      </w:r>
      <w:r w:rsidRPr="00A52AB8">
        <w:tab/>
        <w:t>Ref</w:t>
      </w:r>
      <w:r w:rsidR="00EB723C" w:rsidRPr="00A52AB8">
        <w:t>AtlasFrm</w:t>
      </w:r>
      <w:r w:rsidR="00DD23CD" w:rsidRPr="00A52AB8">
        <w:t>Afoc</w:t>
      </w:r>
      <w:r w:rsidRPr="00A52AB8">
        <w:t>List</w:t>
      </w:r>
      <w:r w:rsidR="001F4484" w:rsidRPr="00A52AB8">
        <w:t>[ j ]</w:t>
      </w:r>
      <w:r w:rsidR="00D47707" w:rsidRPr="00A52AB8">
        <w:t> = </w:t>
      </w:r>
      <w:r w:rsidR="00DD23CD" w:rsidRPr="00A52AB8">
        <w:t>afoc</w:t>
      </w:r>
      <w:r w:rsidRPr="00A52AB8">
        <w:t>Base − Delta</w:t>
      </w:r>
      <w:r w:rsidR="00DD23CD" w:rsidRPr="00A52AB8">
        <w:t>Afoc</w:t>
      </w:r>
      <w:r w:rsidRPr="00A52AB8">
        <w:t>St</w:t>
      </w:r>
      <w:r w:rsidR="0006494C" w:rsidRPr="00A52AB8">
        <w:t>[ </w:t>
      </w:r>
      <w:r w:rsidRPr="00A52AB8">
        <w:t>RlsIdx ]</w:t>
      </w:r>
      <w:r w:rsidR="001F4484" w:rsidRPr="00A52AB8">
        <w:t>[ j ]</w:t>
      </w:r>
      <w:r w:rsidRPr="00A52AB8">
        <w:br/>
      </w:r>
      <w:r w:rsidRPr="00A52AB8">
        <w:tab/>
      </w:r>
      <w:r w:rsidRPr="00A52AB8">
        <w:tab/>
      </w:r>
      <w:r w:rsidRPr="00A52AB8">
        <w:tab/>
        <w:t>if(</w:t>
      </w:r>
      <w:r w:rsidR="003A457D" w:rsidRPr="00A52AB8">
        <w:t> </w:t>
      </w:r>
      <w:r w:rsidR="00E36F2F" w:rsidRPr="00A52AB8">
        <w:t xml:space="preserve">there is a </w:t>
      </w:r>
      <w:r w:rsidRPr="00A52AB8">
        <w:t xml:space="preserve">reference </w:t>
      </w:r>
      <w:r w:rsidR="00E36F2F" w:rsidRPr="00A52AB8">
        <w:t>atlas frame a</w:t>
      </w:r>
      <w:r w:rsidR="00755EDF" w:rsidRPr="00A52AB8">
        <w:t>f</w:t>
      </w:r>
      <w:r w:rsidRPr="00A52AB8">
        <w:t xml:space="preserve">A in the </w:t>
      </w:r>
      <w:r w:rsidR="002752B1" w:rsidRPr="00A52AB8">
        <w:t>DAB</w:t>
      </w:r>
      <w:r w:rsidRPr="00A52AB8">
        <w:t xml:space="preserve"> with </w:t>
      </w:r>
      <w:r w:rsidR="003A457D" w:rsidRPr="00A52AB8">
        <w:br/>
      </w:r>
      <w:r w:rsidR="003A457D" w:rsidRPr="00A52AB8">
        <w:tab/>
      </w:r>
      <w:r w:rsidR="003A457D" w:rsidRPr="00A52AB8">
        <w:tab/>
      </w:r>
      <w:r w:rsidR="003A457D" w:rsidRPr="00A52AB8">
        <w:tab/>
      </w:r>
      <w:r w:rsidR="003A457D" w:rsidRPr="00A52AB8">
        <w:tab/>
      </w:r>
      <w:r w:rsidR="00EB723C" w:rsidRPr="00A52AB8">
        <w:t>AtlasFrm</w:t>
      </w:r>
      <w:r w:rsidRPr="00A52AB8">
        <w:t>OrderCntVal equal to</w:t>
      </w:r>
      <w:r w:rsidR="00BA3D31" w:rsidRPr="00A52AB8">
        <w:t xml:space="preserve"> </w:t>
      </w:r>
      <w:r w:rsidRPr="00A52AB8">
        <w:t>Ref</w:t>
      </w:r>
      <w:r w:rsidR="00EB723C" w:rsidRPr="00A52AB8">
        <w:t>AtlasFrm</w:t>
      </w:r>
      <w:r w:rsidR="00DD23CD" w:rsidRPr="00A52AB8">
        <w:t>Afoc</w:t>
      </w:r>
      <w:r w:rsidRPr="00A52AB8">
        <w:t>List</w:t>
      </w:r>
      <w:r w:rsidR="001F4484" w:rsidRPr="00A52AB8">
        <w:t>[ j ]</w:t>
      </w:r>
      <w:r w:rsidR="003A457D" w:rsidRPr="00A52AB8">
        <w:t> </w:t>
      </w:r>
      <w:r w:rsidRPr="00A52AB8">
        <w:t>)</w:t>
      </w:r>
      <w:r w:rsidRPr="00A52AB8">
        <w:br/>
      </w:r>
      <w:r w:rsidRPr="00A52AB8">
        <w:tab/>
      </w:r>
      <w:r w:rsidRPr="00A52AB8">
        <w:tab/>
      </w:r>
      <w:r w:rsidRPr="00A52AB8">
        <w:tab/>
      </w:r>
      <w:r w:rsidRPr="00A52AB8">
        <w:tab/>
        <w:t>Ref</w:t>
      </w:r>
      <w:r w:rsidR="00EB723C" w:rsidRPr="00A52AB8">
        <w:t>AtlasFrm</w:t>
      </w:r>
      <w:r w:rsidRPr="00A52AB8">
        <w:t>List</w:t>
      </w:r>
      <w:r w:rsidR="001F4484" w:rsidRPr="00A52AB8">
        <w:t>[ j ]</w:t>
      </w:r>
      <w:r w:rsidR="00D47707" w:rsidRPr="00A52AB8">
        <w:t> = </w:t>
      </w:r>
      <w:r w:rsidR="00E36F2F" w:rsidRPr="00A52AB8">
        <w:t>a</w:t>
      </w:r>
      <w:r w:rsidR="00DC5E00" w:rsidRPr="00A52AB8">
        <w:t>f</w:t>
      </w:r>
      <w:r w:rsidRPr="00A52AB8">
        <w:t>A</w:t>
      </w:r>
      <w:r w:rsidRPr="00A52AB8">
        <w:br/>
      </w:r>
      <w:r w:rsidRPr="00A52AB8">
        <w:tab/>
      </w:r>
      <w:r w:rsidRPr="00A52AB8">
        <w:tab/>
      </w:r>
      <w:r w:rsidRPr="00A52AB8">
        <w:tab/>
        <w:t>else</w:t>
      </w:r>
      <w:r w:rsidRPr="00A52AB8">
        <w:br/>
      </w:r>
      <w:r w:rsidRPr="00A52AB8">
        <w:tab/>
      </w:r>
      <w:r w:rsidRPr="00A52AB8">
        <w:tab/>
      </w:r>
      <w:r w:rsidRPr="00A52AB8">
        <w:tab/>
      </w:r>
      <w:r w:rsidRPr="00A52AB8">
        <w:tab/>
        <w:t>Ref</w:t>
      </w:r>
      <w:r w:rsidR="00EB723C" w:rsidRPr="00A52AB8">
        <w:t>AtlasFrm</w:t>
      </w:r>
      <w:r w:rsidRPr="00A52AB8">
        <w:t>List</w:t>
      </w:r>
      <w:r w:rsidR="001F4484" w:rsidRPr="00A52AB8">
        <w:t>[ j ]</w:t>
      </w:r>
      <w:r w:rsidR="00D47707" w:rsidRPr="00A52AB8">
        <w:t> = </w:t>
      </w:r>
      <w:r w:rsidRPr="00A52AB8">
        <w:t xml:space="preserve">"no reference </w:t>
      </w:r>
      <w:r w:rsidR="008F0D00" w:rsidRPr="00A52AB8">
        <w:t>atlas frame</w:t>
      </w:r>
      <w:r w:rsidRPr="00A52AB8">
        <w:t>"</w:t>
      </w:r>
      <w:r w:rsidRPr="00A52AB8">
        <w:br/>
      </w:r>
      <w:r w:rsidRPr="00A52AB8">
        <w:tab/>
      </w:r>
      <w:r w:rsidRPr="00A52AB8">
        <w:tab/>
      </w:r>
      <w:r w:rsidRPr="00A52AB8">
        <w:tab/>
      </w:r>
      <w:r w:rsidR="00DD23CD" w:rsidRPr="00A52AB8">
        <w:t>afoc</w:t>
      </w:r>
      <w:r w:rsidRPr="00A52AB8">
        <w:t>Base</w:t>
      </w:r>
      <w:r w:rsidR="0023721F" w:rsidRPr="00A52AB8">
        <w:t> </w:t>
      </w:r>
      <w:r w:rsidR="00D47707" w:rsidRPr="00A52AB8">
        <w:t>= </w:t>
      </w:r>
      <w:r w:rsidRPr="00A52AB8">
        <w:t>Ref</w:t>
      </w:r>
      <w:r w:rsidR="00EB723C" w:rsidRPr="00A52AB8">
        <w:t>AtlasFrm</w:t>
      </w:r>
      <w:r w:rsidR="00DD23CD" w:rsidRPr="00A52AB8">
        <w:t>Afoc</w:t>
      </w:r>
      <w:r w:rsidRPr="00A52AB8">
        <w:t>List</w:t>
      </w:r>
      <w:r w:rsidR="001F4484" w:rsidRPr="00A52AB8">
        <w:t>[ j ]</w:t>
      </w:r>
      <w:r w:rsidRPr="00A52AB8">
        <w:br/>
      </w:r>
      <w:r w:rsidRPr="00A52AB8">
        <w:tab/>
      </w:r>
      <w:r w:rsidRPr="00A52AB8">
        <w:tab/>
      </w:r>
      <w:r w:rsidR="0023721F" w:rsidRPr="00A52AB8">
        <w:t>} else {</w:t>
      </w:r>
      <w:r w:rsidRPr="00A52AB8">
        <w:br/>
      </w:r>
      <w:r w:rsidRPr="00A52AB8">
        <w:tab/>
      </w:r>
      <w:r w:rsidRPr="00A52AB8">
        <w:tab/>
      </w:r>
      <w:r w:rsidRPr="00A52AB8">
        <w:tab/>
        <w:t>if(</w:t>
      </w:r>
      <w:r w:rsidR="003A457D" w:rsidRPr="00A52AB8">
        <w:t> </w:t>
      </w:r>
      <w:r w:rsidR="00E36F2F" w:rsidRPr="00A52AB8">
        <w:t xml:space="preserve">there is a </w:t>
      </w:r>
      <w:r w:rsidRPr="00A52AB8">
        <w:t xml:space="preserve">reference </w:t>
      </w:r>
      <w:r w:rsidR="00E36F2F" w:rsidRPr="00A52AB8">
        <w:t>atlas frame a</w:t>
      </w:r>
      <w:r w:rsidR="00DC5E00" w:rsidRPr="00A52AB8">
        <w:t>f</w:t>
      </w:r>
      <w:r w:rsidRPr="00A52AB8">
        <w:t xml:space="preserve">A in the </w:t>
      </w:r>
      <w:r w:rsidR="002752B1" w:rsidRPr="00A52AB8">
        <w:t>DAB</w:t>
      </w:r>
      <w:r w:rsidRPr="00A52AB8">
        <w:t xml:space="preserve"> with </w:t>
      </w:r>
      <w:r w:rsidR="00BA3D31" w:rsidRPr="00A52AB8">
        <w:tab/>
      </w:r>
      <w:r w:rsidR="00BA3D31" w:rsidRPr="00A52AB8">
        <w:tab/>
      </w:r>
      <w:r w:rsidR="00BA3D31" w:rsidRPr="00A52AB8">
        <w:tab/>
      </w:r>
      <w:r w:rsidR="00BA3D31" w:rsidRPr="00A52AB8">
        <w:tab/>
      </w:r>
      <w:r w:rsidR="00BA3D31" w:rsidRPr="00A52AB8">
        <w:tab/>
      </w:r>
      <w:r w:rsidR="00BA3D31" w:rsidRPr="00A52AB8">
        <w:tab/>
      </w:r>
      <w:r w:rsidR="00EB723C" w:rsidRPr="00A52AB8">
        <w:t>AtlasFrm</w:t>
      </w:r>
      <w:r w:rsidRPr="00A52AB8">
        <w:t>OrderCntVal &amp; ( MaxLt</w:t>
      </w:r>
      <w:r w:rsidR="00EB723C" w:rsidRPr="00A52AB8">
        <w:t>AtlasFrm</w:t>
      </w:r>
      <w:r w:rsidRPr="00A52AB8">
        <w:t>OrderCntLsb − 1 )</w:t>
      </w:r>
      <w:r w:rsidRPr="00A52AB8">
        <w:br/>
      </w:r>
      <w:r w:rsidRPr="00A52AB8">
        <w:tab/>
      </w:r>
      <w:r w:rsidRPr="00A52AB8">
        <w:tab/>
      </w:r>
      <w:r w:rsidRPr="00A52AB8">
        <w:tab/>
      </w:r>
      <w:r w:rsidRPr="00A52AB8">
        <w:tab/>
      </w:r>
      <w:r w:rsidRPr="00A52AB8">
        <w:tab/>
        <w:t xml:space="preserve">equal to </w:t>
      </w:r>
      <w:r w:rsidR="00D477ED" w:rsidRPr="00A52AB8">
        <w:t>Full</w:t>
      </w:r>
      <w:r w:rsidR="00EB723C" w:rsidRPr="00A52AB8">
        <w:t>AtlasFrm</w:t>
      </w:r>
      <w:r w:rsidR="00D477ED" w:rsidRPr="00A52AB8">
        <w:t>OrderCntLsbLt</w:t>
      </w:r>
      <w:r w:rsidRPr="00A52AB8">
        <w:t>[ RlsIdx ]</w:t>
      </w:r>
      <w:r w:rsidR="001F4484" w:rsidRPr="00A52AB8">
        <w:t>[ j ]</w:t>
      </w:r>
      <w:r w:rsidR="003A457D" w:rsidRPr="00A52AB8">
        <w:t> </w:t>
      </w:r>
      <w:r w:rsidRPr="00A52AB8">
        <w:t>)</w:t>
      </w:r>
      <w:r w:rsidRPr="00A52AB8">
        <w:br/>
      </w:r>
      <w:r w:rsidRPr="00A52AB8">
        <w:tab/>
      </w:r>
      <w:r w:rsidRPr="00A52AB8">
        <w:tab/>
      </w:r>
      <w:r w:rsidRPr="00A52AB8">
        <w:tab/>
      </w:r>
      <w:r w:rsidRPr="00A52AB8">
        <w:tab/>
        <w:t>Ref</w:t>
      </w:r>
      <w:r w:rsidR="00EB723C" w:rsidRPr="00A52AB8">
        <w:t>AtlasFrm</w:t>
      </w:r>
      <w:r w:rsidRPr="00A52AB8">
        <w:t>List</w:t>
      </w:r>
      <w:r w:rsidR="001F4484" w:rsidRPr="00A52AB8">
        <w:t>[ j ]</w:t>
      </w:r>
      <w:r w:rsidR="00D47707" w:rsidRPr="00A52AB8">
        <w:t> = </w:t>
      </w:r>
      <w:r w:rsidR="00E36F2F" w:rsidRPr="00A52AB8">
        <w:t>a</w:t>
      </w:r>
      <w:r w:rsidR="00DC5E00" w:rsidRPr="00A52AB8">
        <w:t>f</w:t>
      </w:r>
      <w:r w:rsidRPr="00A52AB8">
        <w:t>A</w:t>
      </w:r>
      <w:r w:rsidRPr="00A52AB8">
        <w:br/>
      </w:r>
      <w:r w:rsidRPr="00A52AB8">
        <w:tab/>
      </w:r>
      <w:r w:rsidRPr="00A52AB8">
        <w:tab/>
      </w:r>
      <w:r w:rsidRPr="00A52AB8">
        <w:tab/>
        <w:t>else</w:t>
      </w:r>
      <w:r w:rsidRPr="00A52AB8">
        <w:br/>
      </w:r>
      <w:r w:rsidRPr="00A52AB8">
        <w:tab/>
      </w:r>
      <w:r w:rsidRPr="00A52AB8">
        <w:tab/>
      </w:r>
      <w:r w:rsidRPr="00A52AB8">
        <w:tab/>
      </w:r>
      <w:r w:rsidRPr="00A52AB8">
        <w:tab/>
        <w:t>Ref</w:t>
      </w:r>
      <w:r w:rsidR="00EB723C" w:rsidRPr="00A52AB8">
        <w:t>AtlasFrm</w:t>
      </w:r>
      <w:r w:rsidRPr="00A52AB8">
        <w:t>List</w:t>
      </w:r>
      <w:r w:rsidR="001F4484" w:rsidRPr="00A52AB8">
        <w:t>[ j ]</w:t>
      </w:r>
      <w:r w:rsidR="00D47707" w:rsidRPr="00A52AB8">
        <w:t> = </w:t>
      </w:r>
      <w:r w:rsidRPr="00A52AB8">
        <w:t xml:space="preserve">"no reference </w:t>
      </w:r>
      <w:r w:rsidR="008F0D00" w:rsidRPr="00A52AB8">
        <w:t>atlas frame</w:t>
      </w:r>
      <w:r w:rsidRPr="00A52AB8">
        <w:t>"</w:t>
      </w:r>
      <w:r w:rsidRPr="00A52AB8">
        <w:br/>
      </w:r>
      <w:r w:rsidRPr="00A52AB8">
        <w:tab/>
      </w:r>
      <w:r w:rsidR="00BA3D31" w:rsidRPr="00A52AB8">
        <w:tab/>
      </w:r>
      <w:r w:rsidRPr="00A52AB8">
        <w:t>}</w:t>
      </w:r>
      <w:r w:rsidRPr="00A52AB8">
        <w:br/>
      </w:r>
      <w:r w:rsidR="00BA3D31" w:rsidRPr="00A52AB8">
        <w:tab/>
      </w:r>
      <w:r w:rsidRPr="00A52AB8">
        <w:t>}</w:t>
      </w:r>
    </w:p>
    <w:p w14:paraId="2C536296" w14:textId="77777777" w:rsidR="0050235C" w:rsidRPr="00A52AB8" w:rsidRDefault="00DC5E00" w:rsidP="009F7C49">
      <w:pPr>
        <w:pStyle w:val="Equation"/>
        <w:jc w:val="both"/>
      </w:pPr>
      <w:r w:rsidRPr="00A52AB8">
        <w:t>The</w:t>
      </w:r>
      <w:r w:rsidR="002924AF" w:rsidRPr="00A52AB8">
        <w:t xml:space="preserve"> first NumRefIdxActive entries in </w:t>
      </w:r>
      <w:r w:rsidR="0003743A" w:rsidRPr="00A52AB8">
        <w:t xml:space="preserve">RefAtlasFrmList </w:t>
      </w:r>
      <w:r w:rsidR="002924AF" w:rsidRPr="00A52AB8">
        <w:t>are referred to as the active entries in Ref</w:t>
      </w:r>
      <w:r w:rsidR="00EB723C" w:rsidRPr="00A52AB8">
        <w:t>AtlasFrm</w:t>
      </w:r>
      <w:r w:rsidR="002924AF" w:rsidRPr="00A52AB8">
        <w:t>List and the other entries in Ref</w:t>
      </w:r>
      <w:r w:rsidR="00EB723C" w:rsidRPr="00A52AB8">
        <w:t>AtlasFrm</w:t>
      </w:r>
      <w:r w:rsidR="002924AF" w:rsidRPr="00A52AB8">
        <w:t xml:space="preserve">List are referred to as the inactive entries in </w:t>
      </w:r>
      <w:r w:rsidRPr="00A52AB8">
        <w:t>Ref</w:t>
      </w:r>
      <w:r w:rsidR="00EB723C" w:rsidRPr="00A52AB8">
        <w:t>AtlasFrm</w:t>
      </w:r>
      <w:r w:rsidRPr="00A52AB8">
        <w:t>List</w:t>
      </w:r>
      <w:r w:rsidR="002924AF" w:rsidRPr="00A52AB8">
        <w:t>.</w:t>
      </w:r>
    </w:p>
    <w:p w14:paraId="1EE501B5" w14:textId="51044838" w:rsidR="00AF2A44" w:rsidRPr="00A52AB8" w:rsidRDefault="00092D5B">
      <w:pPr>
        <w:spacing w:before="120" w:after="120" w:line="240" w:lineRule="auto"/>
      </w:pPr>
      <w:r w:rsidRPr="00A52AB8">
        <w:t>If the current tile is a SKIP_TILE, then the</w:t>
      </w:r>
      <w:r w:rsidR="00AF2A44" w:rsidRPr="00A52AB8">
        <w:t xml:space="preserve"> array </w:t>
      </w:r>
      <w:r w:rsidR="00AF2A44" w:rsidRPr="00A52AB8">
        <w:rPr>
          <w:color w:val="000000"/>
        </w:rPr>
        <w:t>RefAtdu</w:t>
      </w:r>
      <w:r w:rsidR="00D12C68" w:rsidRPr="00A52AB8">
        <w:rPr>
          <w:color w:val="000000"/>
        </w:rPr>
        <w:t>TotalNum</w:t>
      </w:r>
      <w:r w:rsidR="00AF2A44" w:rsidRPr="00A52AB8">
        <w:rPr>
          <w:color w:val="000000"/>
        </w:rPr>
        <w:t>Patches is set equal to the array Atdu</w:t>
      </w:r>
      <w:r w:rsidR="00D12C68" w:rsidRPr="00A52AB8">
        <w:rPr>
          <w:color w:val="000000"/>
        </w:rPr>
        <w:t>TotalNum</w:t>
      </w:r>
      <w:r w:rsidR="00AF2A44" w:rsidRPr="00A52AB8">
        <w:rPr>
          <w:color w:val="000000"/>
        </w:rPr>
        <w:t xml:space="preserve">Patches that corresponds to the first </w:t>
      </w:r>
      <w:r w:rsidRPr="00A52AB8">
        <w:rPr>
          <w:color w:val="000000"/>
        </w:rPr>
        <w:t xml:space="preserve">entry in the </w:t>
      </w:r>
      <w:r w:rsidRPr="00A52AB8">
        <w:t>RefAtlasFrmList, RefAtlasFrmList</w:t>
      </w:r>
      <w:r w:rsidR="00D770D3" w:rsidRPr="00A52AB8">
        <w:t>[ 0 ]</w:t>
      </w:r>
      <w:r w:rsidRPr="00A52AB8">
        <w:t>.</w:t>
      </w:r>
    </w:p>
    <w:p w14:paraId="527F4A3B" w14:textId="77777777" w:rsidR="002924AF" w:rsidRPr="00A52AB8" w:rsidRDefault="002924AF">
      <w:pPr>
        <w:keepNext/>
        <w:spacing w:before="120" w:after="120" w:line="240" w:lineRule="auto"/>
      </w:pPr>
      <w:r w:rsidRPr="00A52AB8">
        <w:t>It is a requirement of bitstream conformance that the following constraints apply:</w:t>
      </w:r>
    </w:p>
    <w:p w14:paraId="784F8C3A" w14:textId="77777777" w:rsidR="002924AF" w:rsidRPr="00A52AB8" w:rsidRDefault="002924AF" w:rsidP="00007BE2">
      <w:pPr>
        <w:pStyle w:val="ListParagraph"/>
        <w:numPr>
          <w:ilvl w:val="0"/>
          <w:numId w:val="308"/>
        </w:numPr>
        <w:tabs>
          <w:tab w:val="clear" w:pos="806"/>
          <w:tab w:val="clear" w:pos="1210"/>
          <w:tab w:val="clear" w:pos="1613"/>
          <w:tab w:val="clear" w:pos="2822"/>
          <w:tab w:val="clear" w:pos="3226"/>
          <w:tab w:val="clear" w:pos="3629"/>
          <w:tab w:val="clear" w:pos="4032"/>
          <w:tab w:val="clear" w:pos="4435"/>
          <w:tab w:val="clear" w:pos="9677"/>
          <w:tab w:val="left" w:pos="794"/>
          <w:tab w:val="left" w:pos="1191"/>
          <w:tab w:val="left" w:pos="1588"/>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num_ref_entries[ RlsIdx ] shall not be less than NumRefIdxActive.</w:t>
      </w:r>
    </w:p>
    <w:p w14:paraId="1EC38243" w14:textId="48D7CD9F" w:rsidR="002924AF" w:rsidRPr="00A52AB8" w:rsidRDefault="002924AF" w:rsidP="00007BE2">
      <w:pPr>
        <w:pStyle w:val="ListParagraph"/>
        <w:numPr>
          <w:ilvl w:val="0"/>
          <w:numId w:val="308"/>
        </w:numPr>
        <w:tabs>
          <w:tab w:val="clear" w:pos="806"/>
          <w:tab w:val="clear" w:pos="1210"/>
          <w:tab w:val="clear" w:pos="1613"/>
          <w:tab w:val="clear" w:pos="2822"/>
          <w:tab w:val="clear" w:pos="3226"/>
          <w:tab w:val="clear" w:pos="3629"/>
          <w:tab w:val="clear" w:pos="4032"/>
          <w:tab w:val="clear" w:pos="4435"/>
          <w:tab w:val="clear" w:pos="9677"/>
          <w:tab w:val="left" w:pos="794"/>
          <w:tab w:val="left" w:pos="1191"/>
          <w:tab w:val="left" w:pos="1588"/>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The </w:t>
      </w:r>
      <w:r w:rsidR="008F0D00" w:rsidRPr="00A52AB8">
        <w:rPr>
          <w:color w:val="000000" w:themeColor="text1"/>
        </w:rPr>
        <w:t>atlas frame</w:t>
      </w:r>
      <w:r w:rsidRPr="00A52AB8">
        <w:rPr>
          <w:color w:val="000000" w:themeColor="text1"/>
        </w:rPr>
        <w:t xml:space="preserve"> referred to by each active entry in Ref</w:t>
      </w:r>
      <w:r w:rsidR="00EB723C" w:rsidRPr="00A52AB8">
        <w:rPr>
          <w:color w:val="000000" w:themeColor="text1"/>
        </w:rPr>
        <w:t>AtlasFrm</w:t>
      </w:r>
      <w:r w:rsidRPr="00A52AB8">
        <w:rPr>
          <w:color w:val="000000" w:themeColor="text1"/>
        </w:rPr>
        <w:t xml:space="preserve">List shall be present in the </w:t>
      </w:r>
      <w:r w:rsidR="002752B1" w:rsidRPr="00A52AB8">
        <w:rPr>
          <w:color w:val="000000" w:themeColor="text1"/>
        </w:rPr>
        <w:t>DAB</w:t>
      </w:r>
      <w:r w:rsidR="00DB4F77" w:rsidRPr="00A52AB8">
        <w:rPr>
          <w:color w:val="000000" w:themeColor="text1"/>
        </w:rPr>
        <w:t xml:space="preserve"> and shall have </w:t>
      </w:r>
      <w:r w:rsidR="007812ED" w:rsidRPr="00A52AB8">
        <w:rPr>
          <w:color w:val="000000" w:themeColor="text1"/>
        </w:rPr>
        <w:t>TemporalID</w:t>
      </w:r>
      <w:r w:rsidR="00DB4F77" w:rsidRPr="00A52AB8">
        <w:rPr>
          <w:color w:val="000000" w:themeColor="text1"/>
        </w:rPr>
        <w:t xml:space="preserve"> less than or equal to that of the current atlas frame</w:t>
      </w:r>
      <w:r w:rsidRPr="00A52AB8">
        <w:rPr>
          <w:color w:val="000000" w:themeColor="text1"/>
        </w:rPr>
        <w:t>.</w:t>
      </w:r>
    </w:p>
    <w:p w14:paraId="4D68FB1D" w14:textId="77777777" w:rsidR="002924AF" w:rsidRPr="00A52AB8" w:rsidRDefault="002924AF" w:rsidP="00007BE2">
      <w:pPr>
        <w:pStyle w:val="ListParagraph"/>
        <w:numPr>
          <w:ilvl w:val="0"/>
          <w:numId w:val="308"/>
        </w:numPr>
        <w:tabs>
          <w:tab w:val="clear" w:pos="806"/>
          <w:tab w:val="clear" w:pos="1210"/>
          <w:tab w:val="clear" w:pos="1613"/>
          <w:tab w:val="clear" w:pos="2822"/>
          <w:tab w:val="clear" w:pos="3226"/>
          <w:tab w:val="clear" w:pos="3629"/>
          <w:tab w:val="clear" w:pos="4032"/>
          <w:tab w:val="clear" w:pos="4435"/>
          <w:tab w:val="clear" w:pos="9677"/>
          <w:tab w:val="left" w:pos="794"/>
          <w:tab w:val="left" w:pos="1191"/>
          <w:tab w:val="left" w:pos="1588"/>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The </w:t>
      </w:r>
      <w:r w:rsidR="008F0D00" w:rsidRPr="00A52AB8">
        <w:rPr>
          <w:color w:val="000000" w:themeColor="text1"/>
        </w:rPr>
        <w:t>atlas frame</w:t>
      </w:r>
      <w:r w:rsidRPr="00A52AB8">
        <w:rPr>
          <w:color w:val="000000" w:themeColor="text1"/>
        </w:rPr>
        <w:t xml:space="preserve"> referred to by each entry in </w:t>
      </w:r>
      <w:r w:rsidR="00DC5E00" w:rsidRPr="00A52AB8">
        <w:rPr>
          <w:color w:val="000000" w:themeColor="text1"/>
        </w:rPr>
        <w:t>Ref</w:t>
      </w:r>
      <w:r w:rsidR="00EB723C" w:rsidRPr="00A52AB8">
        <w:rPr>
          <w:color w:val="000000" w:themeColor="text1"/>
        </w:rPr>
        <w:t>AtlasFrm</w:t>
      </w:r>
      <w:r w:rsidR="00DC5E00" w:rsidRPr="00A52AB8">
        <w:rPr>
          <w:color w:val="000000" w:themeColor="text1"/>
        </w:rPr>
        <w:t>List</w:t>
      </w:r>
      <w:r w:rsidRPr="00A52AB8">
        <w:rPr>
          <w:color w:val="000000" w:themeColor="text1"/>
        </w:rPr>
        <w:t xml:space="preserve"> shall not be the </w:t>
      </w:r>
      <w:r w:rsidR="00A535CF" w:rsidRPr="00A52AB8">
        <w:rPr>
          <w:color w:val="000000" w:themeColor="text1"/>
        </w:rPr>
        <w:t xml:space="preserve">current </w:t>
      </w:r>
      <w:r w:rsidR="008F0D00" w:rsidRPr="00A52AB8">
        <w:rPr>
          <w:color w:val="000000" w:themeColor="text1"/>
        </w:rPr>
        <w:t>atlas frame</w:t>
      </w:r>
      <w:r w:rsidRPr="00A52AB8">
        <w:rPr>
          <w:color w:val="000000" w:themeColor="text1"/>
        </w:rPr>
        <w:t>.</w:t>
      </w:r>
    </w:p>
    <w:p w14:paraId="4F7658E8" w14:textId="77777777" w:rsidR="002924AF" w:rsidRPr="00A52AB8" w:rsidRDefault="002924AF" w:rsidP="00007BE2">
      <w:pPr>
        <w:pStyle w:val="ListParagraph"/>
        <w:numPr>
          <w:ilvl w:val="0"/>
          <w:numId w:val="308"/>
        </w:numPr>
        <w:tabs>
          <w:tab w:val="clear" w:pos="806"/>
          <w:tab w:val="clear" w:pos="1210"/>
          <w:tab w:val="clear" w:pos="1613"/>
          <w:tab w:val="clear" w:pos="2822"/>
          <w:tab w:val="clear" w:pos="3226"/>
          <w:tab w:val="clear" w:pos="3629"/>
          <w:tab w:val="clear" w:pos="4032"/>
          <w:tab w:val="clear" w:pos="4435"/>
          <w:tab w:val="clear" w:pos="9677"/>
          <w:tab w:val="left" w:pos="794"/>
          <w:tab w:val="left" w:pos="1191"/>
          <w:tab w:val="left" w:pos="1588"/>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w:t>
      </w:r>
      <w:r w:rsidR="00DC5E00" w:rsidRPr="00A52AB8">
        <w:rPr>
          <w:color w:val="000000" w:themeColor="text1"/>
        </w:rPr>
        <w:t xml:space="preserve"> short term reference </w:t>
      </w:r>
      <w:r w:rsidR="008F0D00" w:rsidRPr="00A52AB8">
        <w:rPr>
          <w:color w:val="000000" w:themeColor="text1"/>
        </w:rPr>
        <w:t>atlas frame</w:t>
      </w:r>
      <w:r w:rsidR="00DC5E00" w:rsidRPr="00A52AB8">
        <w:rPr>
          <w:color w:val="000000" w:themeColor="text1"/>
        </w:rPr>
        <w:t xml:space="preserve"> </w:t>
      </w:r>
      <w:r w:rsidRPr="00A52AB8">
        <w:rPr>
          <w:color w:val="000000" w:themeColor="text1"/>
        </w:rPr>
        <w:t xml:space="preserve">entry </w:t>
      </w:r>
      <w:r w:rsidR="00E15E04" w:rsidRPr="00A52AB8">
        <w:rPr>
          <w:color w:val="000000" w:themeColor="text1"/>
        </w:rPr>
        <w:t>and a</w:t>
      </w:r>
      <w:r w:rsidRPr="00A52AB8">
        <w:rPr>
          <w:color w:val="000000" w:themeColor="text1"/>
        </w:rPr>
        <w:t xml:space="preserve"> </w:t>
      </w:r>
      <w:r w:rsidR="00DC5E00" w:rsidRPr="00A52AB8">
        <w:rPr>
          <w:color w:val="000000" w:themeColor="text1"/>
        </w:rPr>
        <w:t xml:space="preserve">long term reference </w:t>
      </w:r>
      <w:r w:rsidR="008F0D00" w:rsidRPr="00A52AB8">
        <w:rPr>
          <w:color w:val="000000" w:themeColor="text1"/>
        </w:rPr>
        <w:t>atlas frame</w:t>
      </w:r>
      <w:r w:rsidR="00DC5E00" w:rsidRPr="00A52AB8">
        <w:rPr>
          <w:color w:val="000000" w:themeColor="text1"/>
        </w:rPr>
        <w:t xml:space="preserve"> entry in Ref</w:t>
      </w:r>
      <w:r w:rsidR="00EB723C" w:rsidRPr="00A52AB8">
        <w:rPr>
          <w:color w:val="000000" w:themeColor="text1"/>
        </w:rPr>
        <w:t>AtlasFrm</w:t>
      </w:r>
      <w:r w:rsidR="00DC5E00" w:rsidRPr="00A52AB8">
        <w:rPr>
          <w:color w:val="000000" w:themeColor="text1"/>
        </w:rPr>
        <w:t xml:space="preserve">List of </w:t>
      </w:r>
      <w:r w:rsidR="00814813" w:rsidRPr="00A52AB8">
        <w:rPr>
          <w:color w:val="000000" w:themeColor="text1"/>
        </w:rPr>
        <w:t>an atlas</w:t>
      </w:r>
      <w:r w:rsidR="008F0D00" w:rsidRPr="00A52AB8">
        <w:rPr>
          <w:color w:val="000000" w:themeColor="text1"/>
        </w:rPr>
        <w:t xml:space="preserve"> </w:t>
      </w:r>
      <w:r w:rsidR="008A4970" w:rsidRPr="00A52AB8">
        <w:rPr>
          <w:color w:val="000000" w:themeColor="text1"/>
        </w:rPr>
        <w:t xml:space="preserve">tile </w:t>
      </w:r>
      <w:r w:rsidRPr="00A52AB8">
        <w:rPr>
          <w:color w:val="000000" w:themeColor="text1"/>
        </w:rPr>
        <w:t xml:space="preserve">shall not refer to the same </w:t>
      </w:r>
      <w:r w:rsidR="008F0D00" w:rsidRPr="00A52AB8">
        <w:rPr>
          <w:color w:val="000000" w:themeColor="text1"/>
        </w:rPr>
        <w:t>atlas frame</w:t>
      </w:r>
      <w:r w:rsidRPr="00A52AB8">
        <w:rPr>
          <w:color w:val="000000" w:themeColor="text1"/>
        </w:rPr>
        <w:t>.</w:t>
      </w:r>
    </w:p>
    <w:p w14:paraId="0A3DA02A" w14:textId="77777777" w:rsidR="002924AF" w:rsidRPr="00A52AB8" w:rsidRDefault="002924AF" w:rsidP="00007BE2">
      <w:pPr>
        <w:pStyle w:val="ListParagraph"/>
        <w:numPr>
          <w:ilvl w:val="0"/>
          <w:numId w:val="308"/>
        </w:numPr>
        <w:tabs>
          <w:tab w:val="clear" w:pos="806"/>
          <w:tab w:val="clear" w:pos="1210"/>
          <w:tab w:val="clear" w:pos="1613"/>
          <w:tab w:val="clear" w:pos="2822"/>
          <w:tab w:val="clear" w:pos="3226"/>
          <w:tab w:val="clear" w:pos="3629"/>
          <w:tab w:val="clear" w:pos="4032"/>
          <w:tab w:val="clear" w:pos="4435"/>
          <w:tab w:val="clear" w:pos="9677"/>
          <w:tab w:val="left" w:pos="794"/>
          <w:tab w:val="left" w:pos="1191"/>
          <w:tab w:val="left" w:pos="1588"/>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There shall be no </w:t>
      </w:r>
      <w:r w:rsidR="00E15E04" w:rsidRPr="00A52AB8">
        <w:rPr>
          <w:color w:val="000000" w:themeColor="text1"/>
        </w:rPr>
        <w:t xml:space="preserve">long term reference </w:t>
      </w:r>
      <w:r w:rsidR="008F0D00" w:rsidRPr="00A52AB8">
        <w:rPr>
          <w:color w:val="000000" w:themeColor="text1"/>
        </w:rPr>
        <w:t>atlas frame</w:t>
      </w:r>
      <w:r w:rsidR="00E15E04" w:rsidRPr="00A52AB8">
        <w:rPr>
          <w:color w:val="000000" w:themeColor="text1"/>
        </w:rPr>
        <w:t xml:space="preserve"> </w:t>
      </w:r>
      <w:r w:rsidRPr="00A52AB8">
        <w:rPr>
          <w:color w:val="000000" w:themeColor="text1"/>
        </w:rPr>
        <w:t>entry in</w:t>
      </w:r>
      <w:r w:rsidR="00E15E04" w:rsidRPr="00A52AB8">
        <w:rPr>
          <w:color w:val="000000" w:themeColor="text1"/>
        </w:rPr>
        <w:t xml:space="preserve"> Ref</w:t>
      </w:r>
      <w:r w:rsidR="00EB723C" w:rsidRPr="00A52AB8">
        <w:rPr>
          <w:color w:val="000000" w:themeColor="text1"/>
        </w:rPr>
        <w:t>AtlasFrm</w:t>
      </w:r>
      <w:r w:rsidR="00E15E04" w:rsidRPr="00A52AB8">
        <w:rPr>
          <w:color w:val="000000" w:themeColor="text1"/>
        </w:rPr>
        <w:t>List</w:t>
      </w:r>
      <w:r w:rsidRPr="00A52AB8">
        <w:rPr>
          <w:color w:val="000000" w:themeColor="text1"/>
        </w:rPr>
        <w:t xml:space="preserve"> for which the difference between the </w:t>
      </w:r>
      <w:r w:rsidR="00EB723C" w:rsidRPr="00A52AB8">
        <w:rPr>
          <w:color w:val="000000" w:themeColor="text1"/>
        </w:rPr>
        <w:t>AtlasFrm</w:t>
      </w:r>
      <w:r w:rsidRPr="00A52AB8">
        <w:rPr>
          <w:color w:val="000000" w:themeColor="text1"/>
        </w:rPr>
        <w:t xml:space="preserve">OrderCntVal of the </w:t>
      </w:r>
      <w:r w:rsidR="00A535CF" w:rsidRPr="00A52AB8">
        <w:rPr>
          <w:color w:val="000000" w:themeColor="text1"/>
        </w:rPr>
        <w:t xml:space="preserve">current </w:t>
      </w:r>
      <w:r w:rsidR="002A47BD" w:rsidRPr="00A52AB8">
        <w:rPr>
          <w:color w:val="000000" w:themeColor="text1"/>
        </w:rPr>
        <w:t xml:space="preserve">atlas </w:t>
      </w:r>
      <w:r w:rsidR="00B8075E" w:rsidRPr="00A52AB8">
        <w:rPr>
          <w:color w:val="000000" w:themeColor="text1"/>
        </w:rPr>
        <w:t>tile</w:t>
      </w:r>
      <w:r w:rsidRPr="00A52AB8">
        <w:rPr>
          <w:color w:val="000000" w:themeColor="text1"/>
        </w:rPr>
        <w:t xml:space="preserve"> and the </w:t>
      </w:r>
      <w:r w:rsidR="00EB723C" w:rsidRPr="00A52AB8">
        <w:rPr>
          <w:color w:val="000000" w:themeColor="text1"/>
        </w:rPr>
        <w:t>AtlasFrm</w:t>
      </w:r>
      <w:r w:rsidRPr="00A52AB8">
        <w:rPr>
          <w:color w:val="000000" w:themeColor="text1"/>
        </w:rPr>
        <w:t xml:space="preserve">OrderCntVal of the </w:t>
      </w:r>
      <w:r w:rsidR="008F0D00" w:rsidRPr="00A52AB8">
        <w:rPr>
          <w:color w:val="000000" w:themeColor="text1"/>
        </w:rPr>
        <w:t>atlas frame</w:t>
      </w:r>
      <w:r w:rsidRPr="00A52AB8">
        <w:rPr>
          <w:color w:val="000000" w:themeColor="text1"/>
        </w:rPr>
        <w:t xml:space="preserve"> referred to by the entry is greater than or equal to 2</w:t>
      </w:r>
      <w:r w:rsidRPr="00A52AB8">
        <w:rPr>
          <w:color w:val="000000" w:themeColor="text1"/>
          <w:position w:val="6"/>
          <w:vertAlign w:val="superscript"/>
        </w:rPr>
        <w:t>24</w:t>
      </w:r>
      <w:r w:rsidRPr="00A52AB8">
        <w:rPr>
          <w:color w:val="000000" w:themeColor="text1"/>
        </w:rPr>
        <w:t>.</w:t>
      </w:r>
    </w:p>
    <w:p w14:paraId="7936239A" w14:textId="19F822A2" w:rsidR="002924AF" w:rsidRPr="00A52AB8" w:rsidRDefault="002924AF" w:rsidP="00007BE2">
      <w:pPr>
        <w:pStyle w:val="ListParagraph"/>
        <w:numPr>
          <w:ilvl w:val="0"/>
          <w:numId w:val="308"/>
        </w:numPr>
        <w:tabs>
          <w:tab w:val="clear" w:pos="806"/>
          <w:tab w:val="clear" w:pos="1210"/>
          <w:tab w:val="clear" w:pos="1613"/>
          <w:tab w:val="clear" w:pos="2822"/>
          <w:tab w:val="clear" w:pos="3226"/>
          <w:tab w:val="clear" w:pos="3629"/>
          <w:tab w:val="clear" w:pos="4032"/>
          <w:tab w:val="clear" w:pos="4435"/>
          <w:tab w:val="clear" w:pos="9677"/>
          <w:tab w:val="left" w:pos="794"/>
          <w:tab w:val="left" w:pos="1191"/>
          <w:tab w:val="left" w:pos="1588"/>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Let setOf</w:t>
      </w:r>
      <w:r w:rsidR="00D477ED" w:rsidRPr="00A52AB8">
        <w:rPr>
          <w:color w:val="000000" w:themeColor="text1"/>
        </w:rPr>
        <w:t>Ref</w:t>
      </w:r>
      <w:r w:rsidR="00EB723C" w:rsidRPr="00A52AB8">
        <w:rPr>
          <w:color w:val="000000" w:themeColor="text1"/>
        </w:rPr>
        <w:t>AtlasFrm</w:t>
      </w:r>
      <w:r w:rsidR="00E15E04" w:rsidRPr="00A52AB8">
        <w:rPr>
          <w:color w:val="000000" w:themeColor="text1"/>
        </w:rPr>
        <w:t>s</w:t>
      </w:r>
      <w:r w:rsidRPr="00A52AB8">
        <w:rPr>
          <w:color w:val="000000" w:themeColor="text1"/>
        </w:rPr>
        <w:t xml:space="preserve"> be the set of unique </w:t>
      </w:r>
      <w:r w:rsidR="008F0D00" w:rsidRPr="00A52AB8">
        <w:rPr>
          <w:color w:val="000000" w:themeColor="text1"/>
        </w:rPr>
        <w:t>atlas frame</w:t>
      </w:r>
      <w:r w:rsidR="00E15E04" w:rsidRPr="00A52AB8">
        <w:rPr>
          <w:color w:val="000000" w:themeColor="text1"/>
        </w:rPr>
        <w:t>s</w:t>
      </w:r>
      <w:r w:rsidRPr="00A52AB8">
        <w:rPr>
          <w:color w:val="000000" w:themeColor="text1"/>
        </w:rPr>
        <w:t xml:space="preserve"> referred to by all entries in </w:t>
      </w:r>
      <w:r w:rsidR="00E15E04" w:rsidRPr="00A52AB8">
        <w:rPr>
          <w:color w:val="000000" w:themeColor="text1"/>
        </w:rPr>
        <w:t>Ref</w:t>
      </w:r>
      <w:r w:rsidR="00EB723C" w:rsidRPr="00A52AB8">
        <w:rPr>
          <w:color w:val="000000" w:themeColor="text1"/>
        </w:rPr>
        <w:t>AtlasFrm</w:t>
      </w:r>
      <w:r w:rsidR="00E15E04" w:rsidRPr="00A52AB8">
        <w:rPr>
          <w:color w:val="000000" w:themeColor="text1"/>
        </w:rPr>
        <w:t>List</w:t>
      </w:r>
      <w:r w:rsidR="008A4970" w:rsidRPr="00A52AB8">
        <w:rPr>
          <w:color w:val="000000" w:themeColor="text1"/>
        </w:rPr>
        <w:t xml:space="preserve"> that have the same nal_layer_id as the current atlas frame</w:t>
      </w:r>
      <w:r w:rsidRPr="00A52AB8">
        <w:rPr>
          <w:color w:val="000000" w:themeColor="text1"/>
        </w:rPr>
        <w:t xml:space="preserve">. The number of </w:t>
      </w:r>
      <w:r w:rsidR="008F0D00" w:rsidRPr="00A52AB8">
        <w:rPr>
          <w:color w:val="000000" w:themeColor="text1"/>
        </w:rPr>
        <w:t>atlas frame</w:t>
      </w:r>
      <w:r w:rsidR="00E15E04" w:rsidRPr="00A52AB8">
        <w:rPr>
          <w:color w:val="000000" w:themeColor="text1"/>
        </w:rPr>
        <w:t>s</w:t>
      </w:r>
      <w:r w:rsidRPr="00A52AB8">
        <w:rPr>
          <w:color w:val="000000" w:themeColor="text1"/>
        </w:rPr>
        <w:t xml:space="preserve"> in setOf</w:t>
      </w:r>
      <w:r w:rsidR="00D477ED" w:rsidRPr="00A52AB8">
        <w:rPr>
          <w:color w:val="000000" w:themeColor="text1"/>
        </w:rPr>
        <w:t>Ref</w:t>
      </w:r>
      <w:r w:rsidR="00EB723C" w:rsidRPr="00A52AB8">
        <w:rPr>
          <w:color w:val="000000" w:themeColor="text1"/>
        </w:rPr>
        <w:t>AtlasFrm</w:t>
      </w:r>
      <w:r w:rsidRPr="00A52AB8">
        <w:rPr>
          <w:color w:val="000000" w:themeColor="text1"/>
        </w:rPr>
        <w:t xml:space="preserve">s shall be less than or equal to </w:t>
      </w:r>
      <w:r w:rsidR="00EB723C" w:rsidRPr="00A52AB8">
        <w:t>asps_</w:t>
      </w:r>
      <w:r w:rsidR="00E15E04" w:rsidRPr="00A52AB8">
        <w:t>max_dec_</w:t>
      </w:r>
      <w:r w:rsidR="00DD23CD" w:rsidRPr="00A52AB8">
        <w:t>atlas_frame</w:t>
      </w:r>
      <w:r w:rsidR="00E15E04" w:rsidRPr="00A52AB8">
        <w:t>_buffering_minus1</w:t>
      </w:r>
      <w:r w:rsidR="008A4970" w:rsidRPr="00A52AB8">
        <w:t xml:space="preserve">, and </w:t>
      </w:r>
      <w:r w:rsidR="008A4970" w:rsidRPr="00A52AB8">
        <w:rPr>
          <w:color w:val="000000" w:themeColor="text1"/>
        </w:rPr>
        <w:t>setOfRefAtlasFrms shall be the same for all atlas tiles of an atlas frame</w:t>
      </w:r>
      <w:r w:rsidRPr="00A52AB8">
        <w:rPr>
          <w:color w:val="000000" w:themeColor="text1"/>
        </w:rPr>
        <w:t>.</w:t>
      </w:r>
    </w:p>
    <w:p w14:paraId="309DA007" w14:textId="77777777" w:rsidR="0050235C" w:rsidRPr="00A52AB8" w:rsidRDefault="00D050CE" w:rsidP="00007BE2">
      <w:pPr>
        <w:pStyle w:val="ListParagraph"/>
        <w:numPr>
          <w:ilvl w:val="0"/>
          <w:numId w:val="308"/>
        </w:numPr>
        <w:tabs>
          <w:tab w:val="clear" w:pos="806"/>
          <w:tab w:val="clear" w:pos="1210"/>
          <w:tab w:val="clear" w:pos="1613"/>
          <w:tab w:val="clear" w:pos="2822"/>
          <w:tab w:val="clear" w:pos="3226"/>
          <w:tab w:val="clear" w:pos="3629"/>
          <w:tab w:val="clear" w:pos="4032"/>
          <w:tab w:val="clear" w:pos="4435"/>
          <w:tab w:val="clear" w:pos="9677"/>
          <w:tab w:val="left" w:pos="794"/>
          <w:tab w:val="left" w:pos="1191"/>
          <w:tab w:val="left" w:pos="1588"/>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The </w:t>
      </w:r>
      <w:r w:rsidR="008F0D00" w:rsidRPr="00A52AB8">
        <w:rPr>
          <w:color w:val="000000" w:themeColor="text1"/>
        </w:rPr>
        <w:t>atlas frame</w:t>
      </w:r>
      <w:r w:rsidRPr="00A52AB8">
        <w:rPr>
          <w:color w:val="000000" w:themeColor="text1"/>
        </w:rPr>
        <w:t>s referred to by each active entry in Ref</w:t>
      </w:r>
      <w:r w:rsidR="00EB723C" w:rsidRPr="00A52AB8">
        <w:rPr>
          <w:color w:val="000000" w:themeColor="text1"/>
        </w:rPr>
        <w:t>AtlasFrm</w:t>
      </w:r>
      <w:r w:rsidRPr="00A52AB8">
        <w:rPr>
          <w:color w:val="000000" w:themeColor="text1"/>
        </w:rPr>
        <w:t xml:space="preserve">List shall have exactly the same </w:t>
      </w:r>
      <w:r w:rsidR="00092D5B" w:rsidRPr="00A52AB8">
        <w:rPr>
          <w:color w:val="000000" w:themeColor="text1"/>
        </w:rPr>
        <w:t xml:space="preserve">number of </w:t>
      </w:r>
      <w:r w:rsidR="00B8075E" w:rsidRPr="00A52AB8">
        <w:rPr>
          <w:color w:val="000000" w:themeColor="text1"/>
        </w:rPr>
        <w:t>tile</w:t>
      </w:r>
      <w:r w:rsidR="00092D5B" w:rsidRPr="00A52AB8">
        <w:rPr>
          <w:color w:val="000000" w:themeColor="text1"/>
        </w:rPr>
        <w:t>s</w:t>
      </w:r>
      <w:r w:rsidRPr="00A52AB8">
        <w:rPr>
          <w:color w:val="000000" w:themeColor="text1"/>
        </w:rPr>
        <w:t xml:space="preserve"> as the current </w:t>
      </w:r>
      <w:r w:rsidR="008F0D00" w:rsidRPr="00A52AB8">
        <w:rPr>
          <w:color w:val="000000" w:themeColor="text1"/>
        </w:rPr>
        <w:t>atlas frame</w:t>
      </w:r>
      <w:r w:rsidRPr="00A52AB8">
        <w:rPr>
          <w:color w:val="000000" w:themeColor="text1"/>
        </w:rPr>
        <w:t>.</w:t>
      </w:r>
    </w:p>
    <w:p w14:paraId="10285D74" w14:textId="15F9F0F5" w:rsidR="00D050CE" w:rsidRPr="00A52AB8" w:rsidRDefault="00D050CE" w:rsidP="00007BE2">
      <w:pPr>
        <w:pStyle w:val="ListParagraph"/>
        <w:numPr>
          <w:ilvl w:val="0"/>
          <w:numId w:val="308"/>
        </w:numPr>
        <w:tabs>
          <w:tab w:val="clear" w:pos="806"/>
          <w:tab w:val="clear" w:pos="1210"/>
          <w:tab w:val="clear" w:pos="1613"/>
          <w:tab w:val="clear" w:pos="2822"/>
          <w:tab w:val="clear" w:pos="3226"/>
          <w:tab w:val="clear" w:pos="3629"/>
          <w:tab w:val="clear" w:pos="4032"/>
          <w:tab w:val="clear" w:pos="4435"/>
          <w:tab w:val="clear" w:pos="9677"/>
          <w:tab w:val="left" w:pos="794"/>
          <w:tab w:val="left" w:pos="1191"/>
          <w:tab w:val="left" w:pos="1588"/>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The Ref</w:t>
      </w:r>
      <w:r w:rsidR="00EB723C" w:rsidRPr="00A52AB8">
        <w:rPr>
          <w:color w:val="000000" w:themeColor="text1"/>
        </w:rPr>
        <w:t>AtlasFrm</w:t>
      </w:r>
      <w:r w:rsidRPr="00A52AB8">
        <w:rPr>
          <w:color w:val="000000" w:themeColor="text1"/>
        </w:rPr>
        <w:t xml:space="preserve">List of all </w:t>
      </w:r>
      <w:r w:rsidR="00B8075E" w:rsidRPr="00A52AB8">
        <w:rPr>
          <w:color w:val="000000" w:themeColor="text1"/>
        </w:rPr>
        <w:t>tile</w:t>
      </w:r>
      <w:r w:rsidRPr="00A52AB8">
        <w:rPr>
          <w:color w:val="000000" w:themeColor="text1"/>
        </w:rPr>
        <w:t xml:space="preserve">s in the current </w:t>
      </w:r>
      <w:r w:rsidR="008F0D00" w:rsidRPr="00A52AB8">
        <w:rPr>
          <w:color w:val="000000" w:themeColor="text1"/>
        </w:rPr>
        <w:t>atlas frame</w:t>
      </w:r>
      <w:r w:rsidRPr="00A52AB8">
        <w:rPr>
          <w:color w:val="000000" w:themeColor="text1"/>
        </w:rPr>
        <w:t xml:space="preserve"> shall contain the same unique </w:t>
      </w:r>
      <w:r w:rsidR="008F0D00" w:rsidRPr="00A52AB8">
        <w:rPr>
          <w:color w:val="000000" w:themeColor="text1"/>
        </w:rPr>
        <w:t>atlas frame</w:t>
      </w:r>
      <w:r w:rsidRPr="00A52AB8">
        <w:rPr>
          <w:color w:val="000000" w:themeColor="text1"/>
        </w:rPr>
        <w:t>s</w:t>
      </w:r>
      <w:r w:rsidR="004A314E" w:rsidRPr="00A52AB8">
        <w:rPr>
          <w:color w:val="000000" w:themeColor="text1"/>
        </w:rPr>
        <w:t xml:space="preserve">, without, however, any restrictions in ordering of the reference </w:t>
      </w:r>
      <w:r w:rsidR="008F0D00" w:rsidRPr="00A52AB8">
        <w:rPr>
          <w:color w:val="000000" w:themeColor="text1"/>
        </w:rPr>
        <w:t>atlas frame</w:t>
      </w:r>
      <w:r w:rsidR="004A314E" w:rsidRPr="00A52AB8">
        <w:rPr>
          <w:color w:val="000000" w:themeColor="text1"/>
        </w:rPr>
        <w:t>s.</w:t>
      </w:r>
    </w:p>
    <w:p w14:paraId="7795F252" w14:textId="687CA195" w:rsidR="008A4970" w:rsidRPr="00A52AB8" w:rsidRDefault="008A4970" w:rsidP="00007BE2">
      <w:pPr>
        <w:pStyle w:val="ListParagraph"/>
        <w:numPr>
          <w:ilvl w:val="0"/>
          <w:numId w:val="308"/>
        </w:numPr>
        <w:tabs>
          <w:tab w:val="clear" w:pos="806"/>
          <w:tab w:val="clear" w:pos="1210"/>
          <w:tab w:val="clear" w:pos="1613"/>
          <w:tab w:val="clear" w:pos="2822"/>
          <w:tab w:val="clear" w:pos="3226"/>
          <w:tab w:val="clear" w:pos="3629"/>
          <w:tab w:val="clear" w:pos="4032"/>
          <w:tab w:val="clear" w:pos="4435"/>
          <w:tab w:val="clear" w:pos="9677"/>
          <w:tab w:val="left" w:pos="794"/>
          <w:tab w:val="left" w:pos="1191"/>
          <w:tab w:val="left" w:pos="1588"/>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When the current atlas frame, with nal_layer_id equal to a particular value layer</w:t>
      </w:r>
      <w:r w:rsidR="000C0B8D" w:rsidRPr="00A52AB8">
        <w:rPr>
          <w:color w:val="000000" w:themeColor="text1"/>
        </w:rPr>
        <w:t>ID,</w:t>
      </w:r>
      <w:r w:rsidRPr="00A52AB8">
        <w:rPr>
          <w:color w:val="000000" w:themeColor="text1"/>
        </w:rPr>
        <w:t xml:space="preserve"> is an IRAP coded atlas, there shall be no atlas referred to by an entry in RefAtlasFrmList that precedes, in output order or decoding order, any preceding IRAP coded atlas with nal_layer_id equal to layer</w:t>
      </w:r>
      <w:r w:rsidR="007812ED" w:rsidRPr="00A52AB8">
        <w:rPr>
          <w:color w:val="000000" w:themeColor="text1"/>
        </w:rPr>
        <w:t xml:space="preserve">ID </w:t>
      </w:r>
      <w:r w:rsidRPr="00A52AB8">
        <w:rPr>
          <w:color w:val="000000" w:themeColor="text1"/>
        </w:rPr>
        <w:t>in decoding order (when present).</w:t>
      </w:r>
    </w:p>
    <w:p w14:paraId="4E7E230F" w14:textId="77777777" w:rsidR="008A4970" w:rsidRPr="00A52AB8" w:rsidRDefault="008A4970" w:rsidP="00007BE2">
      <w:pPr>
        <w:pStyle w:val="ListParagraph"/>
        <w:numPr>
          <w:ilvl w:val="0"/>
          <w:numId w:val="308"/>
        </w:numPr>
        <w:tabs>
          <w:tab w:val="clear" w:pos="806"/>
          <w:tab w:val="clear" w:pos="1210"/>
          <w:tab w:val="clear" w:pos="1613"/>
          <w:tab w:val="clear" w:pos="2822"/>
          <w:tab w:val="clear" w:pos="3226"/>
          <w:tab w:val="clear" w:pos="3629"/>
          <w:tab w:val="clear" w:pos="4032"/>
          <w:tab w:val="clear" w:pos="4435"/>
          <w:tab w:val="clear" w:pos="9677"/>
          <w:tab w:val="left" w:pos="794"/>
          <w:tab w:val="left" w:pos="1191"/>
          <w:tab w:val="left" w:pos="1588"/>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When the current atlas frame is not a RASL coded atlas associated with a CRA coded atlas with NoOutputBeforeRecoveryFlag equal to 1, there shall be no atlas referred to by an active entry in RefAtlasFrmList that was generated by the decoding process for generating unavailable reference atlas frames for the CRA coded atlas associated with the current atlas.</w:t>
      </w:r>
    </w:p>
    <w:p w14:paraId="5813C63F" w14:textId="77777777" w:rsidR="00402943" w:rsidRPr="00A52AB8" w:rsidRDefault="00402943" w:rsidP="00007BE2">
      <w:pPr>
        <w:pStyle w:val="ListParagraph"/>
        <w:numPr>
          <w:ilvl w:val="0"/>
          <w:numId w:val="308"/>
        </w:numPr>
        <w:tabs>
          <w:tab w:val="clear" w:pos="806"/>
          <w:tab w:val="clear" w:pos="1210"/>
          <w:tab w:val="clear" w:pos="1613"/>
          <w:tab w:val="clear" w:pos="2822"/>
          <w:tab w:val="clear" w:pos="3226"/>
          <w:tab w:val="clear" w:pos="3629"/>
          <w:tab w:val="clear" w:pos="4032"/>
          <w:tab w:val="clear" w:pos="4435"/>
          <w:tab w:val="clear" w:pos="9677"/>
          <w:tab w:val="left" w:pos="794"/>
          <w:tab w:val="left" w:pos="1191"/>
          <w:tab w:val="left" w:pos="1588"/>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When the current atlas frame follows an IRAP coded atlas having the same value of nal_layer_id in both decoding order and output order, there shall be no atlas frame referred to by an active entry in RefAtlasFrmList that precedes that IRAP coded atlas in output order or decoding order.</w:t>
      </w:r>
    </w:p>
    <w:p w14:paraId="09A949E3" w14:textId="77777777" w:rsidR="00402943" w:rsidRPr="00A52AB8" w:rsidRDefault="00402943" w:rsidP="00007BE2">
      <w:pPr>
        <w:pStyle w:val="ListParagraph"/>
        <w:numPr>
          <w:ilvl w:val="0"/>
          <w:numId w:val="308"/>
        </w:numPr>
        <w:tabs>
          <w:tab w:val="clear" w:pos="806"/>
          <w:tab w:val="clear" w:pos="1210"/>
          <w:tab w:val="clear" w:pos="1613"/>
          <w:tab w:val="clear" w:pos="2822"/>
          <w:tab w:val="clear" w:pos="3226"/>
          <w:tab w:val="clear" w:pos="3629"/>
          <w:tab w:val="clear" w:pos="4032"/>
          <w:tab w:val="clear" w:pos="4435"/>
          <w:tab w:val="clear" w:pos="9677"/>
          <w:tab w:val="left" w:pos="794"/>
          <w:tab w:val="left" w:pos="1191"/>
          <w:tab w:val="left" w:pos="1588"/>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When the current atlas frame follows an IRAP coded atlas having the same value of nal_layer_id and all the leading atlas frames, if any, associated with that IRAP coded atlas in both decoding order and output order, there shall be no atlas referred to by an entry in RefAtlasFrmList that precedes that IRAP coded atlas in output order or decoding order.</w:t>
      </w:r>
    </w:p>
    <w:p w14:paraId="3E844BA0" w14:textId="77777777" w:rsidR="008A4970" w:rsidRPr="00A52AB8" w:rsidRDefault="0040294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When the current atlas frame is a RADL coded atlas, there shall be no active entry in RefAtlasFrmList that is an atlas frame that precedes the associated IRAP coded atlas of the RADL coded atlas in decoding order.</w:t>
      </w:r>
    </w:p>
    <w:p w14:paraId="745621DF" w14:textId="77777777" w:rsidR="00077F5A" w:rsidRPr="00A52AB8" w:rsidRDefault="00077F5A" w:rsidP="005C26E9">
      <w:pPr>
        <w:pStyle w:val="Heading4"/>
      </w:pPr>
      <w:bookmarkStart w:id="1497" w:name="_Ref1137376"/>
      <w:r w:rsidRPr="00A52AB8">
        <w:t xml:space="preserve">Reference </w:t>
      </w:r>
      <w:r w:rsidR="008F0D00" w:rsidRPr="00A52AB8">
        <w:t>atlas frame</w:t>
      </w:r>
      <w:r w:rsidRPr="00A52AB8">
        <w:t xml:space="preserve"> marking process</w:t>
      </w:r>
      <w:bookmarkEnd w:id="1497"/>
    </w:p>
    <w:p w14:paraId="275E65AB" w14:textId="4C6C4E34" w:rsidR="00E15E04" w:rsidRPr="00A52AB8" w:rsidRDefault="00E15E04">
      <w:r w:rsidRPr="00A52AB8">
        <w:t xml:space="preserve">This process is invoked once per </w:t>
      </w:r>
      <w:r w:rsidR="008F0D00" w:rsidRPr="00A52AB8">
        <w:t>atlas frame</w:t>
      </w:r>
      <w:r w:rsidRPr="00A52AB8">
        <w:t xml:space="preserve">, after decoding of </w:t>
      </w:r>
      <w:r w:rsidR="00814813" w:rsidRPr="00A52AB8">
        <w:t>an atlas</w:t>
      </w:r>
      <w:r w:rsidR="008F0D00" w:rsidRPr="00A52AB8">
        <w:t xml:space="preserve"> </w:t>
      </w:r>
      <w:r w:rsidR="00B8075E" w:rsidRPr="00A52AB8">
        <w:t>tile</w:t>
      </w:r>
      <w:r w:rsidR="00EA1A69" w:rsidRPr="00A52AB8">
        <w:t xml:space="preserve"> </w:t>
      </w:r>
      <w:r w:rsidRPr="00A52AB8">
        <w:t xml:space="preserve">header and the decoding process for </w:t>
      </w:r>
      <w:r w:rsidR="00402943" w:rsidRPr="00A52AB8">
        <w:t>RAFL</w:t>
      </w:r>
      <w:r w:rsidRPr="00A52AB8">
        <w:t xml:space="preserve"> construction for the </w:t>
      </w:r>
      <w:r w:rsidR="008F0D00" w:rsidRPr="00A52AB8">
        <w:t>atlas frame</w:t>
      </w:r>
      <w:r w:rsidRPr="00A52AB8">
        <w:t xml:space="preserve"> as specified in </w:t>
      </w:r>
      <w:r w:rsidR="00406A86" w:rsidRPr="00A52AB8">
        <w:t>subclause</w:t>
      </w:r>
      <w:r w:rsidRPr="00A52AB8">
        <w:t xml:space="preserve"> </w:t>
      </w:r>
      <w:r w:rsidRPr="00496A4D">
        <w:fldChar w:fldCharType="begin"/>
      </w:r>
      <w:r w:rsidRPr="00A52AB8">
        <w:instrText xml:space="preserve"> REF _Ref1143623 \r \h </w:instrText>
      </w:r>
      <w:r w:rsidR="003F01AC" w:rsidRPr="00A52AB8">
        <w:instrText xml:space="preserve"> \* MERGEFORMAT </w:instrText>
      </w:r>
      <w:r w:rsidRPr="00496A4D">
        <w:fldChar w:fldCharType="separate"/>
      </w:r>
      <w:r w:rsidR="00507A67">
        <w:t>9.2.4.3</w:t>
      </w:r>
      <w:r w:rsidRPr="00496A4D">
        <w:fldChar w:fldCharType="end"/>
      </w:r>
      <w:r w:rsidRPr="00A52AB8">
        <w:t xml:space="preserve">, but prior to the decoding of the </w:t>
      </w:r>
      <w:r w:rsidR="008F0D00" w:rsidRPr="00A52AB8">
        <w:t xml:space="preserve">atlas </w:t>
      </w:r>
      <w:r w:rsidR="00B8075E" w:rsidRPr="00A52AB8">
        <w:t>tile</w:t>
      </w:r>
      <w:r w:rsidR="00EA1A69" w:rsidRPr="00A52AB8">
        <w:t xml:space="preserve"> </w:t>
      </w:r>
      <w:r w:rsidRPr="00A52AB8">
        <w:t xml:space="preserve">data. This process </w:t>
      </w:r>
      <w:r w:rsidR="00402943" w:rsidRPr="00A52AB8">
        <w:t xml:space="preserve">might </w:t>
      </w:r>
      <w:r w:rsidRPr="00A52AB8">
        <w:t xml:space="preserve">result in one or more reference </w:t>
      </w:r>
      <w:r w:rsidR="008F0D00" w:rsidRPr="00A52AB8">
        <w:t>atlas frame</w:t>
      </w:r>
      <w:r w:rsidRPr="00A52AB8">
        <w:t xml:space="preserve">s in the </w:t>
      </w:r>
      <w:r w:rsidR="002752B1" w:rsidRPr="00A52AB8">
        <w:t>DAB</w:t>
      </w:r>
      <w:r w:rsidRPr="00A52AB8">
        <w:t xml:space="preserve"> being marked as "unused for reference" or "used for long-term reference".</w:t>
      </w:r>
    </w:p>
    <w:p w14:paraId="6B6F1C1F" w14:textId="77777777" w:rsidR="00E15E04" w:rsidRPr="00A52AB8" w:rsidRDefault="00E15E04">
      <w:r w:rsidRPr="00A52AB8">
        <w:t xml:space="preserve">A decoded </w:t>
      </w:r>
      <w:r w:rsidR="008F0D00" w:rsidRPr="00A52AB8">
        <w:t>atlas frame</w:t>
      </w:r>
      <w:r w:rsidRPr="00A52AB8">
        <w:t xml:space="preserve"> in the </w:t>
      </w:r>
      <w:r w:rsidR="002752B1" w:rsidRPr="00A52AB8">
        <w:t>DAB</w:t>
      </w:r>
      <w:r w:rsidRPr="00A52AB8">
        <w:t xml:space="preserve"> can be marked as "unused for reference", "used for short-term reference"</w:t>
      </w:r>
      <w:r w:rsidR="00BB2A30" w:rsidRPr="00A52AB8">
        <w:t>,</w:t>
      </w:r>
      <w:r w:rsidRPr="00A52AB8">
        <w:t xml:space="preserve"> or "used for long-term reference", but only one among these three at any given moment during the operation of the decoding process. Assigning one of these markings to </w:t>
      </w:r>
      <w:r w:rsidR="00814813" w:rsidRPr="00A52AB8">
        <w:t>an atlas</w:t>
      </w:r>
      <w:r w:rsidR="008F0D00" w:rsidRPr="00A52AB8">
        <w:t xml:space="preserve"> frame</w:t>
      </w:r>
      <w:r w:rsidRPr="00A52AB8">
        <w:t xml:space="preserve"> implicitly removes another of these markings when applicable. When </w:t>
      </w:r>
      <w:r w:rsidR="00814813" w:rsidRPr="00A52AB8">
        <w:t>an atlas</w:t>
      </w:r>
      <w:r w:rsidR="008F0D00" w:rsidRPr="00A52AB8">
        <w:t xml:space="preserve"> frame</w:t>
      </w:r>
      <w:r w:rsidRPr="00A52AB8">
        <w:t xml:space="preserve"> is referred to as being marked as "used for reference", this collectively refers to the </w:t>
      </w:r>
      <w:r w:rsidR="008F0D00" w:rsidRPr="00A52AB8">
        <w:t>atlas frame</w:t>
      </w:r>
      <w:r w:rsidRPr="00A52AB8">
        <w:t xml:space="preserve"> being marked as "used for short-term reference" or "used for long-term reference" (but not both).</w:t>
      </w:r>
    </w:p>
    <w:p w14:paraId="2096CAA6" w14:textId="77777777" w:rsidR="00E15E04" w:rsidRPr="00A52AB8" w:rsidRDefault="0089455E">
      <w:r w:rsidRPr="00A52AB8">
        <w:t xml:space="preserve">Short term reference </w:t>
      </w:r>
      <w:r w:rsidR="008F0D00" w:rsidRPr="00A52AB8">
        <w:t>atlas frame</w:t>
      </w:r>
      <w:r w:rsidRPr="00A52AB8">
        <w:t>s</w:t>
      </w:r>
      <w:r w:rsidR="00E15E04" w:rsidRPr="00A52AB8">
        <w:t xml:space="preserve"> are identified by their </w:t>
      </w:r>
      <w:r w:rsidR="00BB2A30" w:rsidRPr="00A52AB8">
        <w:t xml:space="preserve">nal_layer_id and </w:t>
      </w:r>
      <w:r w:rsidR="00EB723C" w:rsidRPr="00A52AB8">
        <w:t>AtlasFrm</w:t>
      </w:r>
      <w:r w:rsidR="00E15E04" w:rsidRPr="00A52AB8">
        <w:t xml:space="preserve">OrderCntVal values. </w:t>
      </w:r>
      <w:r w:rsidRPr="00A52AB8">
        <w:t xml:space="preserve">Long term reference </w:t>
      </w:r>
      <w:r w:rsidR="008F0D00" w:rsidRPr="00A52AB8">
        <w:t>atlas frame</w:t>
      </w:r>
      <w:r w:rsidRPr="00A52AB8">
        <w:t>s</w:t>
      </w:r>
      <w:r w:rsidR="00E15E04" w:rsidRPr="00A52AB8">
        <w:t xml:space="preserve"> are identified by </w:t>
      </w:r>
      <w:r w:rsidR="00BB2A30" w:rsidRPr="00A52AB8">
        <w:t xml:space="preserve">their nal_layer_id values and by </w:t>
      </w:r>
      <w:r w:rsidR="00E15E04" w:rsidRPr="00A52AB8">
        <w:t>the Log2( MaxLt</w:t>
      </w:r>
      <w:r w:rsidR="00EB723C" w:rsidRPr="00A52AB8">
        <w:t>AtlasFrm</w:t>
      </w:r>
      <w:r w:rsidR="00E15E04" w:rsidRPr="00A52AB8">
        <w:t xml:space="preserve">OrderCntLsb ) </w:t>
      </w:r>
      <w:r w:rsidR="00385634" w:rsidRPr="00A52AB8">
        <w:t>least significant bits</w:t>
      </w:r>
      <w:r w:rsidR="00E15E04" w:rsidRPr="00A52AB8">
        <w:t xml:space="preserve"> of their </w:t>
      </w:r>
      <w:r w:rsidR="00EB723C" w:rsidRPr="00A52AB8">
        <w:t>AtlasFrm</w:t>
      </w:r>
      <w:r w:rsidR="00E15E04" w:rsidRPr="00A52AB8">
        <w:t>OrderCntVal values.</w:t>
      </w:r>
    </w:p>
    <w:p w14:paraId="53E8FFAC" w14:textId="77777777" w:rsidR="00E15E04" w:rsidRPr="00A52AB8" w:rsidRDefault="0089455E">
      <w:pPr>
        <w:rPr>
          <w:lang w:eastAsia="ko-KR"/>
        </w:rPr>
      </w:pPr>
      <w:r w:rsidRPr="00A52AB8">
        <w:t>For all cases</w:t>
      </w:r>
      <w:r w:rsidR="00E15E04" w:rsidRPr="00A52AB8">
        <w:t xml:space="preserve">, the following </w:t>
      </w:r>
      <w:r w:rsidR="00E15E04" w:rsidRPr="00A52AB8">
        <w:rPr>
          <w:lang w:eastAsia="ko-KR"/>
        </w:rPr>
        <w:t>applies:</w:t>
      </w:r>
    </w:p>
    <w:p w14:paraId="2CA53A42" w14:textId="77777777" w:rsidR="00BB2A30" w:rsidRPr="00A52AB8" w:rsidRDefault="00E15E04" w:rsidP="00007BE2">
      <w:pPr>
        <w:pStyle w:val="ListParagraph"/>
        <w:numPr>
          <w:ilvl w:val="0"/>
          <w:numId w:val="308"/>
        </w:numPr>
        <w:tabs>
          <w:tab w:val="clear" w:pos="806"/>
          <w:tab w:val="clear" w:pos="1210"/>
          <w:tab w:val="clear" w:pos="1613"/>
          <w:tab w:val="clear" w:pos="2822"/>
          <w:tab w:val="clear" w:pos="3226"/>
          <w:tab w:val="clear" w:pos="3629"/>
          <w:tab w:val="clear" w:pos="4032"/>
          <w:tab w:val="clear" w:pos="4435"/>
          <w:tab w:val="clear" w:pos="9677"/>
          <w:tab w:val="left" w:pos="794"/>
          <w:tab w:val="left" w:pos="1191"/>
          <w:tab w:val="left" w:pos="1588"/>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For each </w:t>
      </w:r>
      <w:r w:rsidR="0089455E" w:rsidRPr="00A52AB8">
        <w:rPr>
          <w:color w:val="000000" w:themeColor="text1"/>
        </w:rPr>
        <w:t xml:space="preserve">long term reference </w:t>
      </w:r>
      <w:r w:rsidR="008F0D00" w:rsidRPr="00A52AB8">
        <w:rPr>
          <w:color w:val="000000" w:themeColor="text1"/>
        </w:rPr>
        <w:t>atlas frame</w:t>
      </w:r>
      <w:r w:rsidRPr="00A52AB8">
        <w:rPr>
          <w:color w:val="000000" w:themeColor="text1"/>
        </w:rPr>
        <w:t xml:space="preserve"> entry in Ref</w:t>
      </w:r>
      <w:r w:rsidR="00EB723C" w:rsidRPr="00A52AB8">
        <w:rPr>
          <w:color w:val="000000" w:themeColor="text1"/>
        </w:rPr>
        <w:t>AtlasFrm</w:t>
      </w:r>
      <w:r w:rsidRPr="00A52AB8">
        <w:rPr>
          <w:color w:val="000000" w:themeColor="text1"/>
        </w:rPr>
        <w:t xml:space="preserve">List, </w:t>
      </w:r>
      <w:r w:rsidR="00BB2A30" w:rsidRPr="00A52AB8">
        <w:rPr>
          <w:color w:val="000000" w:themeColor="text1"/>
        </w:rPr>
        <w:t>when the atlas frame is marked as "used for short-term reference" and has the same nal_layer_id as the current atlas frame, the atlas frame is marked as "used for long-term reference".</w:t>
      </w:r>
    </w:p>
    <w:p w14:paraId="59B8C879" w14:textId="77777777" w:rsidR="00077F5A" w:rsidRPr="00A52AB8" w:rsidRDefault="00E15E04" w:rsidP="00007BE2">
      <w:pPr>
        <w:pStyle w:val="ListParagraph"/>
        <w:numPr>
          <w:ilvl w:val="0"/>
          <w:numId w:val="308"/>
        </w:numPr>
        <w:tabs>
          <w:tab w:val="clear" w:pos="806"/>
          <w:tab w:val="clear" w:pos="1210"/>
          <w:tab w:val="clear" w:pos="1613"/>
          <w:tab w:val="clear" w:pos="2822"/>
          <w:tab w:val="clear" w:pos="3226"/>
          <w:tab w:val="clear" w:pos="3629"/>
          <w:tab w:val="clear" w:pos="4032"/>
          <w:tab w:val="clear" w:pos="4435"/>
          <w:tab w:val="clear" w:pos="9677"/>
          <w:tab w:val="left" w:pos="794"/>
          <w:tab w:val="left" w:pos="1191"/>
          <w:tab w:val="left" w:pos="1588"/>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Each reference </w:t>
      </w:r>
      <w:r w:rsidR="008F0D00" w:rsidRPr="00A52AB8">
        <w:rPr>
          <w:color w:val="000000" w:themeColor="text1"/>
        </w:rPr>
        <w:t>atlas frame</w:t>
      </w:r>
      <w:r w:rsidRPr="00A52AB8">
        <w:rPr>
          <w:color w:val="000000" w:themeColor="text1"/>
        </w:rPr>
        <w:t xml:space="preserve"> in the </w:t>
      </w:r>
      <w:r w:rsidR="00BB2A30" w:rsidRPr="00A52AB8">
        <w:rPr>
          <w:color w:val="000000" w:themeColor="text1"/>
        </w:rPr>
        <w:t xml:space="preserve">same nal_layer_id as the current atlas frame in the </w:t>
      </w:r>
      <w:r w:rsidR="002752B1" w:rsidRPr="00A52AB8">
        <w:rPr>
          <w:color w:val="000000" w:themeColor="text1"/>
        </w:rPr>
        <w:t>DAB</w:t>
      </w:r>
      <w:r w:rsidRPr="00A52AB8">
        <w:rPr>
          <w:color w:val="000000" w:themeColor="text1"/>
        </w:rPr>
        <w:t xml:space="preserve"> that is not referred to by any entry in </w:t>
      </w:r>
      <w:r w:rsidR="0089455E" w:rsidRPr="00A52AB8">
        <w:rPr>
          <w:color w:val="000000" w:themeColor="text1"/>
        </w:rPr>
        <w:t>Ref</w:t>
      </w:r>
      <w:r w:rsidR="00EB723C" w:rsidRPr="00A52AB8">
        <w:rPr>
          <w:color w:val="000000" w:themeColor="text1"/>
        </w:rPr>
        <w:t>AtlasFrm</w:t>
      </w:r>
      <w:r w:rsidR="0089455E" w:rsidRPr="00A52AB8">
        <w:rPr>
          <w:color w:val="000000" w:themeColor="text1"/>
        </w:rPr>
        <w:t xml:space="preserve">List </w:t>
      </w:r>
      <w:r w:rsidRPr="00A52AB8">
        <w:rPr>
          <w:color w:val="000000" w:themeColor="text1"/>
        </w:rPr>
        <w:t>is marked as "unused for reference".</w:t>
      </w:r>
    </w:p>
    <w:p w14:paraId="20EFA346" w14:textId="5BC5CCFA" w:rsidR="00077F5A" w:rsidRPr="00A52AB8" w:rsidRDefault="00077F5A">
      <w:pPr>
        <w:pStyle w:val="Heading3"/>
      </w:pPr>
      <w:bookmarkStart w:id="1498" w:name="_Ref1191713"/>
      <w:bookmarkStart w:id="1499" w:name="_Toc52181627"/>
      <w:r w:rsidRPr="00A52AB8">
        <w:t xml:space="preserve">Decoding process for </w:t>
      </w:r>
      <w:r w:rsidR="007777A6" w:rsidRPr="00A52AB8">
        <w:t>patch data unit</w:t>
      </w:r>
      <w:r w:rsidRPr="00A52AB8">
        <w:t>s</w:t>
      </w:r>
      <w:bookmarkEnd w:id="1498"/>
      <w:bookmarkEnd w:id="1499"/>
    </w:p>
    <w:p w14:paraId="24577BB0" w14:textId="77777777" w:rsidR="00385634" w:rsidRPr="00A52AB8" w:rsidRDefault="00385634" w:rsidP="005C26E9">
      <w:pPr>
        <w:pStyle w:val="Heading4"/>
      </w:pPr>
      <w:bookmarkStart w:id="1500" w:name="_Ref19814252"/>
      <w:r w:rsidRPr="00A52AB8">
        <w:t>Gener</w:t>
      </w:r>
      <w:r w:rsidR="00C43799" w:rsidRPr="00A52AB8">
        <w:t>al</w:t>
      </w:r>
      <w:r w:rsidRPr="00A52AB8">
        <w:t xml:space="preserve"> decoding process for </w:t>
      </w:r>
      <w:r w:rsidR="00E63010" w:rsidRPr="00A52AB8">
        <w:t>patch data unit</w:t>
      </w:r>
      <w:r w:rsidRPr="00A52AB8">
        <w:t>s</w:t>
      </w:r>
      <w:bookmarkEnd w:id="1500"/>
    </w:p>
    <w:p w14:paraId="4B30DED0" w14:textId="1F22251A" w:rsidR="00385634" w:rsidRPr="00A52AB8" w:rsidRDefault="00385634">
      <w:r w:rsidRPr="00A52AB8">
        <w:t>Input</w:t>
      </w:r>
      <w:r w:rsidR="00F60A88" w:rsidRPr="00A52AB8">
        <w:t>s</w:t>
      </w:r>
      <w:r w:rsidRPr="00A52AB8">
        <w:t xml:space="preserve"> to this process </w:t>
      </w:r>
      <w:r w:rsidR="00F60A88" w:rsidRPr="00A52AB8">
        <w:t>are</w:t>
      </w:r>
      <w:r w:rsidRPr="00A52AB8">
        <w:t xml:space="preserve"> </w:t>
      </w:r>
      <w:r w:rsidR="00F60A88" w:rsidRPr="00A52AB8">
        <w:t xml:space="preserve">the current patch index, </w:t>
      </w:r>
      <w:r w:rsidR="00AC05DE" w:rsidRPr="00A52AB8">
        <w:rPr>
          <w:color w:val="000000" w:themeColor="text1"/>
        </w:rPr>
        <w:t>p</w:t>
      </w:r>
      <w:r w:rsidR="00CA1C0A" w:rsidRPr="00A52AB8">
        <w:rPr>
          <w:color w:val="000000" w:themeColor="text1"/>
        </w:rPr>
        <w:t xml:space="preserve">, of the current tile </w:t>
      </w:r>
      <w:r w:rsidR="00A41AF4" w:rsidRPr="00A52AB8">
        <w:rPr>
          <w:color w:val="000000" w:themeColor="text1"/>
        </w:rPr>
        <w:t>with tile ID equal to tileID</w:t>
      </w:r>
      <w:r w:rsidR="00F60A88" w:rsidRPr="00A52AB8">
        <w:rPr>
          <w:color w:val="000000" w:themeColor="text1"/>
        </w:rPr>
        <w:t xml:space="preserve">, and the current </w:t>
      </w:r>
      <w:r w:rsidRPr="00A52AB8">
        <w:t xml:space="preserve">patch mode, </w:t>
      </w:r>
      <w:r w:rsidR="00A62CD5" w:rsidRPr="00A52AB8">
        <w:rPr>
          <w:color w:val="000000" w:themeColor="text1"/>
        </w:rPr>
        <w:t>atdu_</w:t>
      </w:r>
      <w:r w:rsidRPr="00A52AB8">
        <w:rPr>
          <w:color w:val="000000" w:themeColor="text1"/>
        </w:rPr>
        <w:t>patch_mode</w:t>
      </w:r>
      <w:r w:rsidR="004B63D6" w:rsidRPr="00A52AB8">
        <w:rPr>
          <w:color w:val="000000" w:themeColor="text1"/>
        </w:rPr>
        <w:t>[ tileID ]</w:t>
      </w:r>
      <w:r w:rsidR="00636D52" w:rsidRPr="00A52AB8">
        <w:rPr>
          <w:color w:val="000000" w:themeColor="text1"/>
        </w:rPr>
        <w:t>[ p ]</w:t>
      </w:r>
      <w:r w:rsidRPr="00A52AB8">
        <w:t>.</w:t>
      </w:r>
    </w:p>
    <w:p w14:paraId="2CE09D2B" w14:textId="100BE6AA" w:rsidR="00991DC1" w:rsidRPr="00A52AB8" w:rsidRDefault="00385634">
      <w:r w:rsidRPr="00A52AB8">
        <w:t>Outputs of this process are several parameters associate</w:t>
      </w:r>
      <w:r w:rsidR="004E6B3B" w:rsidRPr="00A52AB8">
        <w:t>d</w:t>
      </w:r>
      <w:r w:rsidRPr="00A52AB8">
        <w:t xml:space="preserve"> with the current patch</w:t>
      </w:r>
      <w:r w:rsidR="003F0E80" w:rsidRPr="00A52AB8">
        <w:t xml:space="preserve"> with patch index p</w:t>
      </w:r>
      <w:r w:rsidR="00654C27" w:rsidRPr="00A52AB8">
        <w:rPr>
          <w:color w:val="000000" w:themeColor="text1"/>
        </w:rPr>
        <w:t>,</w:t>
      </w:r>
      <w:r w:rsidR="00046D6B" w:rsidRPr="00A52AB8">
        <w:t xml:space="preserve"> </w:t>
      </w:r>
      <w:r w:rsidRPr="00A52AB8">
        <w:t>including its 2D and corresponding 3D location information</w:t>
      </w:r>
      <w:r w:rsidR="00190472" w:rsidRPr="00A52AB8">
        <w:t>.</w:t>
      </w:r>
    </w:p>
    <w:p w14:paraId="3FFA38A9" w14:textId="77777777" w:rsidR="00991DC1" w:rsidRPr="00A52AB8" w:rsidRDefault="00991DC1" w:rsidP="00991DC1">
      <w:r w:rsidRPr="00A52AB8">
        <w:t xml:space="preserve">More specifically the following </w:t>
      </w:r>
      <w:r w:rsidR="00347C28" w:rsidRPr="00A52AB8">
        <w:t>variables</w:t>
      </w:r>
      <w:r w:rsidRPr="00A52AB8">
        <w:t xml:space="preserve"> are </w:t>
      </w:r>
      <w:r w:rsidR="00347C28" w:rsidRPr="00A52AB8">
        <w:t>derived</w:t>
      </w:r>
      <w:r w:rsidRPr="00A52AB8">
        <w:t>:</w:t>
      </w:r>
    </w:p>
    <w:p w14:paraId="7D5C9484" w14:textId="73E3A06A" w:rsidR="000F75F5" w:rsidRPr="00A52AB8" w:rsidRDefault="00B47991" w:rsidP="00F01345">
      <w:p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120" w:after="120" w:line="240" w:lineRule="auto"/>
        <w:textAlignment w:val="baseline"/>
      </w:pPr>
      <w:r w:rsidRPr="00A52AB8">
        <w:t>Tile</w:t>
      </w:r>
      <w:r w:rsidR="00C3373C" w:rsidRPr="00A52AB8">
        <w:t>PatchType</w:t>
      </w:r>
      <w:r w:rsidR="00991DC1" w:rsidRPr="00A52AB8">
        <w:t>[ </w:t>
      </w:r>
      <w:r w:rsidR="00632FA7" w:rsidRPr="00A52AB8">
        <w:t>tileID</w:t>
      </w:r>
      <w:r w:rsidR="00991DC1" w:rsidRPr="00A52AB8">
        <w:t xml:space="preserve"> ][ p ], which indicates </w:t>
      </w:r>
      <w:r w:rsidR="00347C28" w:rsidRPr="00A52AB8">
        <w:rPr>
          <w:color w:val="000000" w:themeColor="text1"/>
        </w:rPr>
        <w:t xml:space="preserve">whether the </w:t>
      </w:r>
      <w:r w:rsidR="00347C28" w:rsidRPr="00A52AB8">
        <w:t>current patch with patch index p</w:t>
      </w:r>
      <w:r w:rsidR="00991DC1" w:rsidRPr="00A52AB8">
        <w:t xml:space="preserve">, of the current tile </w:t>
      </w:r>
      <w:r w:rsidR="00A41AF4" w:rsidRPr="00A52AB8">
        <w:t>with tile ID equal to tileID</w:t>
      </w:r>
      <w:r w:rsidR="0066050B" w:rsidRPr="00A52AB8">
        <w:t>,</w:t>
      </w:r>
      <w:r w:rsidR="00347C28" w:rsidRPr="00A52AB8">
        <w:t xml:space="preserve"> </w:t>
      </w:r>
      <w:r w:rsidR="00347C28" w:rsidRPr="00A52AB8">
        <w:rPr>
          <w:color w:val="000000" w:themeColor="text1"/>
        </w:rPr>
        <w:t xml:space="preserve">is using </w:t>
      </w:r>
      <w:r w:rsidR="00BC7982" w:rsidRPr="00A52AB8">
        <w:rPr>
          <w:color w:val="000000" w:themeColor="text1"/>
        </w:rPr>
        <w:t xml:space="preserve">a </w:t>
      </w:r>
      <w:r w:rsidR="00EF7AE2" w:rsidRPr="00A52AB8">
        <w:rPr>
          <w:color w:val="000000" w:themeColor="text1"/>
        </w:rPr>
        <w:t>PROJECTED</w:t>
      </w:r>
      <w:r w:rsidR="00BC7982" w:rsidRPr="00A52AB8">
        <w:rPr>
          <w:color w:val="000000" w:themeColor="text1"/>
        </w:rPr>
        <w:t>,</w:t>
      </w:r>
      <w:r w:rsidR="00EF7AE2" w:rsidRPr="00A52AB8">
        <w:rPr>
          <w:color w:val="000000" w:themeColor="text1"/>
        </w:rPr>
        <w:t xml:space="preserve"> </w:t>
      </w:r>
      <w:r w:rsidR="00347C28" w:rsidRPr="00A52AB8">
        <w:rPr>
          <w:color w:val="000000" w:themeColor="text1"/>
        </w:rPr>
        <w:t xml:space="preserve">EOM, </w:t>
      </w:r>
      <w:r w:rsidR="00EF7AE2" w:rsidRPr="00A52AB8">
        <w:rPr>
          <w:color w:val="000000" w:themeColor="text1"/>
        </w:rPr>
        <w:t xml:space="preserve">or </w:t>
      </w:r>
      <w:r w:rsidR="00347C28" w:rsidRPr="00A52AB8">
        <w:rPr>
          <w:color w:val="000000" w:themeColor="text1"/>
        </w:rPr>
        <w:t>RAW</w:t>
      </w:r>
      <w:r w:rsidR="00EF7AE2" w:rsidRPr="00A52AB8">
        <w:rPr>
          <w:color w:val="000000" w:themeColor="text1"/>
        </w:rPr>
        <w:t xml:space="preserve"> </w:t>
      </w:r>
      <w:r w:rsidR="007D7119" w:rsidRPr="00A52AB8">
        <w:rPr>
          <w:color w:val="000000" w:themeColor="text1"/>
        </w:rPr>
        <w:t xml:space="preserve">patch </w:t>
      </w:r>
      <w:r w:rsidR="00347C28" w:rsidRPr="00A52AB8">
        <w:rPr>
          <w:color w:val="000000" w:themeColor="text1"/>
        </w:rPr>
        <w:t>type</w:t>
      </w:r>
      <w:r w:rsidR="00BA517F" w:rsidRPr="00A52AB8">
        <w:t>.</w:t>
      </w:r>
    </w:p>
    <w:p w14:paraId="63BA8616" w14:textId="26C62BFD" w:rsidR="008D30B1" w:rsidRPr="00A52AB8" w:rsidRDefault="00B15F24">
      <w:r w:rsidRPr="00A52AB8">
        <w:t>Tile</w:t>
      </w:r>
      <w:r w:rsidR="008D30B1" w:rsidRPr="00A52AB8">
        <w:t>PatchInAuxVideo[ </w:t>
      </w:r>
      <w:r w:rsidR="00632FA7" w:rsidRPr="00A52AB8">
        <w:t>tileID</w:t>
      </w:r>
      <w:r w:rsidR="008D30B1" w:rsidRPr="00A52AB8">
        <w:t xml:space="preserve"> ][ p ] indicates whether the current patch with patch index p, of the current tile </w:t>
      </w:r>
      <w:r w:rsidR="00A41AF4" w:rsidRPr="00A52AB8">
        <w:t>with tile ID equal to tileID</w:t>
      </w:r>
      <w:r w:rsidR="005874D7" w:rsidRPr="00A52AB8">
        <w:t>, is associated with the auxiliary video</w:t>
      </w:r>
      <w:r w:rsidR="00FE1668" w:rsidRPr="00A52AB8">
        <w:t>.</w:t>
      </w:r>
    </w:p>
    <w:p w14:paraId="4121D73C" w14:textId="023F04A5" w:rsidR="00224382" w:rsidRPr="00A52AB8" w:rsidRDefault="00224382" w:rsidP="00224382">
      <w:pPr>
        <w:rPr>
          <w:color w:val="000000" w:themeColor="text1"/>
        </w:rPr>
      </w:pPr>
      <w:r w:rsidRPr="00A52AB8">
        <w:rPr>
          <w:color w:val="000000" w:themeColor="text1"/>
        </w:rPr>
        <w:t>Let the variables horLimit and verLimit be computed as follows:</w:t>
      </w:r>
    </w:p>
    <w:p w14:paraId="4A4AF8DB" w14:textId="1C96A632" w:rsidR="00224382" w:rsidRPr="00A52AB8" w:rsidRDefault="00224382" w:rsidP="00224382">
      <w:pPr>
        <w:rPr>
          <w:color w:val="000000" w:themeColor="text1"/>
        </w:rPr>
      </w:pPr>
      <w:r w:rsidRPr="00A52AB8">
        <w:rPr>
          <w:color w:val="000000" w:themeColor="text1"/>
        </w:rPr>
        <w:tab/>
        <w:t>if(</w:t>
      </w:r>
      <w:r w:rsidRPr="00A52AB8">
        <w:t> </w:t>
      </w:r>
      <w:r w:rsidRPr="00A52AB8">
        <w:rPr>
          <w:color w:val="000000" w:themeColor="text1"/>
        </w:rPr>
        <w:t>Tile</w:t>
      </w:r>
      <w:r w:rsidRPr="00A52AB8">
        <w:t>PatchInAuxVideo</w:t>
      </w:r>
      <w:r w:rsidRPr="00A52AB8">
        <w:rPr>
          <w:color w:val="000000" w:themeColor="text1"/>
        </w:rPr>
        <w:t>[ tileID ][ p ] ) {</w:t>
      </w:r>
      <w:r w:rsidRPr="00A52AB8">
        <w:rPr>
          <w:color w:val="000000" w:themeColor="text1"/>
        </w:rPr>
        <w:br/>
      </w:r>
      <w:r w:rsidRPr="00A52AB8">
        <w:rPr>
          <w:color w:val="000000" w:themeColor="text1"/>
        </w:rPr>
        <w:tab/>
      </w:r>
      <w:r w:rsidRPr="00A52AB8">
        <w:rPr>
          <w:color w:val="000000" w:themeColor="text1"/>
        </w:rPr>
        <w:tab/>
        <w:t>horLimit = AuxVideoWidthNF</w:t>
      </w:r>
      <w:r w:rsidRPr="00A52AB8">
        <w:rPr>
          <w:color w:val="000000" w:themeColor="text1"/>
        </w:rPr>
        <w:br/>
      </w:r>
      <w:r w:rsidRPr="00A52AB8">
        <w:rPr>
          <w:color w:val="000000" w:themeColor="text1"/>
        </w:rPr>
        <w:tab/>
      </w:r>
      <w:r w:rsidRPr="00A52AB8">
        <w:rPr>
          <w:color w:val="000000" w:themeColor="text1"/>
        </w:rPr>
        <w:tab/>
        <w:t>verLimit = AuxTileHeight</w:t>
      </w:r>
      <w:r w:rsidRPr="00A52AB8">
        <w:rPr>
          <w:lang w:eastAsia="ja-JP"/>
        </w:rPr>
        <w:t>[ </w:t>
      </w:r>
      <w:r w:rsidRPr="00A52AB8">
        <w:t>TileIDToIndex[ tileID ]</w:t>
      </w:r>
      <w:r w:rsidRPr="00A52AB8">
        <w:rPr>
          <w:lang w:eastAsia="ko-KR"/>
        </w:rPr>
        <w:t> </w:t>
      </w:r>
      <w:r w:rsidRPr="00A52AB8">
        <w:rPr>
          <w:lang w:eastAsia="ja-JP"/>
        </w:rPr>
        <w:t>]</w:t>
      </w:r>
      <w:r w:rsidRPr="00A52AB8">
        <w:rPr>
          <w:color w:val="000000" w:themeColor="text1"/>
        </w:rPr>
        <w:t> </w:t>
      </w:r>
      <w:r w:rsidRPr="00A52AB8">
        <w:rPr>
          <w:color w:val="000000" w:themeColor="text1"/>
        </w:rPr>
        <w:br/>
      </w:r>
      <w:r w:rsidRPr="00A52AB8">
        <w:rPr>
          <w:color w:val="000000" w:themeColor="text1"/>
        </w:rPr>
        <w:tab/>
        <w:t>}</w:t>
      </w:r>
      <w:r w:rsidRPr="00A52AB8">
        <w:rPr>
          <w:color w:val="000000" w:themeColor="text1"/>
        </w:rPr>
        <w:br/>
      </w:r>
      <w:r w:rsidRPr="00A52AB8">
        <w:rPr>
          <w:color w:val="000000" w:themeColor="text1"/>
        </w:rPr>
        <w:tab/>
        <w:t>else {</w:t>
      </w:r>
      <w:r w:rsidRPr="00A52AB8">
        <w:rPr>
          <w:color w:val="000000" w:themeColor="text1"/>
        </w:rPr>
        <w:br/>
      </w:r>
      <w:r w:rsidRPr="00A52AB8">
        <w:rPr>
          <w:color w:val="000000" w:themeColor="text1"/>
        </w:rPr>
        <w:tab/>
      </w:r>
      <w:r w:rsidRPr="00A52AB8">
        <w:rPr>
          <w:color w:val="000000" w:themeColor="text1"/>
        </w:rPr>
        <w:tab/>
        <w:t>horLimit = </w:t>
      </w:r>
      <w:r w:rsidRPr="00A52AB8">
        <w:rPr>
          <w:lang w:eastAsia="ja-JP"/>
        </w:rPr>
        <w:t>TileWidth[ </w:t>
      </w:r>
      <w:r w:rsidRPr="00A52AB8">
        <w:t>TileIDToIndex[ tileID ]</w:t>
      </w:r>
      <w:r w:rsidRPr="00A52AB8">
        <w:rPr>
          <w:lang w:eastAsia="ko-KR"/>
        </w:rPr>
        <w:t> </w:t>
      </w:r>
      <w:r w:rsidRPr="00A52AB8">
        <w:rPr>
          <w:lang w:eastAsia="ja-JP"/>
        </w:rPr>
        <w:t>]</w:t>
      </w:r>
      <w:r w:rsidRPr="00A52AB8">
        <w:rPr>
          <w:lang w:eastAsia="ja-JP"/>
        </w:rPr>
        <w:br/>
      </w:r>
      <w:r w:rsidRPr="00A52AB8">
        <w:rPr>
          <w:lang w:eastAsia="ja-JP"/>
        </w:rPr>
        <w:tab/>
      </w:r>
      <w:r w:rsidRPr="00A52AB8">
        <w:rPr>
          <w:lang w:eastAsia="ja-JP"/>
        </w:rPr>
        <w:tab/>
        <w:t>verLimit = TileHeight[ </w:t>
      </w:r>
      <w:r w:rsidRPr="00A52AB8">
        <w:t>TileIDToIndex[ tileID ]</w:t>
      </w:r>
      <w:r w:rsidRPr="00A52AB8">
        <w:rPr>
          <w:lang w:eastAsia="ko-KR"/>
        </w:rPr>
        <w:t> </w:t>
      </w:r>
      <w:r w:rsidRPr="00A52AB8">
        <w:rPr>
          <w:lang w:eastAsia="ja-JP"/>
        </w:rPr>
        <w:t>]</w:t>
      </w:r>
      <w:r w:rsidRPr="00A52AB8">
        <w:rPr>
          <w:lang w:eastAsia="ja-JP"/>
        </w:rPr>
        <w:br/>
      </w:r>
      <w:r w:rsidRPr="00A52AB8">
        <w:rPr>
          <w:lang w:eastAsia="ja-JP"/>
        </w:rPr>
        <w:tab/>
        <w:t>}</w:t>
      </w:r>
    </w:p>
    <w:p w14:paraId="05B6D6D5" w14:textId="128D79B1" w:rsidR="00634581" w:rsidRPr="00A52AB8" w:rsidRDefault="006E4756">
      <w:pPr>
        <w:rPr>
          <w:color w:val="000000" w:themeColor="text1"/>
        </w:rPr>
      </w:pPr>
      <w:r w:rsidRPr="00A52AB8">
        <w:rPr>
          <w:color w:val="000000" w:themeColor="text1"/>
        </w:rPr>
        <w:t>Tile</w:t>
      </w:r>
      <w:r w:rsidR="00346C8B" w:rsidRPr="00A52AB8">
        <w:rPr>
          <w:lang w:eastAsia="ja-JP"/>
        </w:rPr>
        <w:t>Patch2d</w:t>
      </w:r>
      <w:r w:rsidR="00627BE0" w:rsidRPr="00A52AB8">
        <w:rPr>
          <w:lang w:eastAsia="ja-JP"/>
        </w:rPr>
        <w:t>Pos</w:t>
      </w:r>
      <w:r w:rsidR="00CA4F41" w:rsidRPr="00A52AB8">
        <w:rPr>
          <w:lang w:eastAsia="ja-JP"/>
        </w:rPr>
        <w:t>X</w:t>
      </w:r>
      <w:r w:rsidR="00CA1C0A" w:rsidRPr="00A52AB8">
        <w:t>[ </w:t>
      </w:r>
      <w:r w:rsidR="00632FA7" w:rsidRPr="00A52AB8">
        <w:t>tileID</w:t>
      </w:r>
      <w:r w:rsidR="00CA1C0A" w:rsidRPr="00A52AB8">
        <w:t> ]</w:t>
      </w:r>
      <w:r w:rsidR="00636D52" w:rsidRPr="00A52AB8">
        <w:rPr>
          <w:color w:val="000000" w:themeColor="text1"/>
        </w:rPr>
        <w:t>[ p ]</w:t>
      </w:r>
      <w:r w:rsidR="00346C8B" w:rsidRPr="00A52AB8">
        <w:rPr>
          <w:color w:val="000000" w:themeColor="text1"/>
        </w:rPr>
        <w:t xml:space="preserve"> specifies the x-coordinate of the top-left corner of the patch bounding box for the current patch</w:t>
      </w:r>
      <w:r w:rsidR="00676D45" w:rsidRPr="00A52AB8">
        <w:rPr>
          <w:color w:val="000000" w:themeColor="text1"/>
        </w:rPr>
        <w:t xml:space="preserve"> with patch index p</w:t>
      </w:r>
      <w:r w:rsidR="003A53BF" w:rsidRPr="00A52AB8">
        <w:rPr>
          <w:color w:val="000000" w:themeColor="text1"/>
        </w:rPr>
        <w:t xml:space="preserve">, of the current tile </w:t>
      </w:r>
      <w:r w:rsidR="00A41AF4" w:rsidRPr="00A52AB8">
        <w:rPr>
          <w:color w:val="000000" w:themeColor="text1"/>
        </w:rPr>
        <w:t>with tile ID equal to tileID</w:t>
      </w:r>
      <w:r w:rsidR="003A53BF" w:rsidRPr="00A52AB8">
        <w:rPr>
          <w:color w:val="000000" w:themeColor="text1"/>
        </w:rPr>
        <w:t>,</w:t>
      </w:r>
      <w:r w:rsidR="004226FE" w:rsidRPr="00A52AB8">
        <w:rPr>
          <w:color w:val="000000" w:themeColor="text1"/>
        </w:rPr>
        <w:t xml:space="preserve"> </w:t>
      </w:r>
      <w:r w:rsidR="0056040E" w:rsidRPr="00A52AB8">
        <w:rPr>
          <w:color w:val="000000" w:themeColor="text1"/>
        </w:rPr>
        <w:t xml:space="preserve">relative to the top left corner of the current tile, </w:t>
      </w:r>
      <w:r w:rsidR="004226FE" w:rsidRPr="00A52AB8">
        <w:rPr>
          <w:color w:val="000000" w:themeColor="text1"/>
        </w:rPr>
        <w:t xml:space="preserve">in </w:t>
      </w:r>
      <w:r w:rsidR="00193BAF" w:rsidRPr="00A52AB8">
        <w:rPr>
          <w:color w:val="000000" w:themeColor="text1"/>
        </w:rPr>
        <w:t>units</w:t>
      </w:r>
      <w:r w:rsidR="004226FE" w:rsidRPr="00A52AB8">
        <w:rPr>
          <w:color w:val="000000" w:themeColor="text1"/>
        </w:rPr>
        <w:t xml:space="preserve"> of atlas samples</w:t>
      </w:r>
      <w:r w:rsidR="00346C8B" w:rsidRPr="00A52AB8">
        <w:rPr>
          <w:color w:val="000000" w:themeColor="text1"/>
        </w:rPr>
        <w:t xml:space="preserve">. </w:t>
      </w:r>
      <w:r w:rsidR="003D142F" w:rsidRPr="00A52AB8">
        <w:rPr>
          <w:color w:val="000000" w:themeColor="text1"/>
        </w:rPr>
        <w:t>T</w:t>
      </w:r>
      <w:r w:rsidR="00346C8B" w:rsidRPr="00A52AB8">
        <w:rPr>
          <w:color w:val="000000" w:themeColor="text1"/>
        </w:rPr>
        <w:t xml:space="preserve">he value of </w:t>
      </w:r>
      <w:r w:rsidRPr="00A52AB8">
        <w:rPr>
          <w:color w:val="000000" w:themeColor="text1"/>
        </w:rPr>
        <w:t>Tile</w:t>
      </w:r>
      <w:r w:rsidR="00F23D23" w:rsidRPr="00A52AB8">
        <w:rPr>
          <w:lang w:eastAsia="ja-JP"/>
        </w:rPr>
        <w:t>Patch2d</w:t>
      </w:r>
      <w:r w:rsidR="00627BE0" w:rsidRPr="00A52AB8">
        <w:rPr>
          <w:lang w:eastAsia="ja-JP"/>
        </w:rPr>
        <w:t>Pos</w:t>
      </w:r>
      <w:r w:rsidR="00CA4F41" w:rsidRPr="00A52AB8">
        <w:rPr>
          <w:lang w:eastAsia="ja-JP"/>
        </w:rPr>
        <w:t>X</w:t>
      </w:r>
      <w:r w:rsidR="00877CD2" w:rsidRPr="00A52AB8">
        <w:t>[ </w:t>
      </w:r>
      <w:r w:rsidR="00632FA7" w:rsidRPr="00A52AB8">
        <w:t>tileID</w:t>
      </w:r>
      <w:r w:rsidR="00877CD2" w:rsidRPr="00A52AB8">
        <w:t> ]</w:t>
      </w:r>
      <w:r w:rsidR="00636D52" w:rsidRPr="00A52AB8">
        <w:rPr>
          <w:color w:val="000000" w:themeColor="text1"/>
        </w:rPr>
        <w:t>[ p ]</w:t>
      </w:r>
      <w:r w:rsidR="00346C8B" w:rsidRPr="00A52AB8">
        <w:rPr>
          <w:color w:val="000000" w:themeColor="text1"/>
        </w:rPr>
        <w:t xml:space="preserve"> shall be in the range of 0 to </w:t>
      </w:r>
      <w:r w:rsidR="00224382" w:rsidRPr="00A52AB8">
        <w:rPr>
          <w:color w:val="000000" w:themeColor="text1"/>
        </w:rPr>
        <w:t>horLimit </w:t>
      </w:r>
      <w:r w:rsidR="003D142F" w:rsidRPr="00A52AB8">
        <w:rPr>
          <w:color w:val="000000" w:themeColor="text1"/>
        </w:rPr>
        <w:t>– 1</w:t>
      </w:r>
      <w:r w:rsidR="00346C8B" w:rsidRPr="00A52AB8">
        <w:rPr>
          <w:color w:val="000000" w:themeColor="text1"/>
        </w:rPr>
        <w:t>,</w:t>
      </w:r>
      <w:r w:rsidR="00FA2128" w:rsidRPr="00A52AB8">
        <w:rPr>
          <w:color w:val="000000" w:themeColor="text1"/>
        </w:rPr>
        <w:t xml:space="preserve"> </w:t>
      </w:r>
      <w:r w:rsidR="00346C8B" w:rsidRPr="00A52AB8">
        <w:rPr>
          <w:color w:val="000000" w:themeColor="text1"/>
        </w:rPr>
        <w:t>inclusive.</w:t>
      </w:r>
    </w:p>
    <w:p w14:paraId="525C5EE0" w14:textId="1B9B6AFB" w:rsidR="00346C8B" w:rsidRPr="00A52AB8" w:rsidRDefault="008E502A">
      <w:pPr>
        <w:rPr>
          <w:color w:val="000000" w:themeColor="text1"/>
        </w:rPr>
      </w:pPr>
      <w:r w:rsidRPr="00A52AB8">
        <w:rPr>
          <w:color w:val="000000" w:themeColor="text1"/>
        </w:rPr>
        <w:t>Tile</w:t>
      </w:r>
      <w:r w:rsidR="00346C8B" w:rsidRPr="00A52AB8">
        <w:rPr>
          <w:lang w:eastAsia="ja-JP"/>
        </w:rPr>
        <w:t>Patch2d</w:t>
      </w:r>
      <w:r w:rsidR="00627BE0" w:rsidRPr="00A52AB8">
        <w:rPr>
          <w:lang w:eastAsia="ja-JP"/>
        </w:rPr>
        <w:t>Pos</w:t>
      </w:r>
      <w:r w:rsidR="00CA4F41" w:rsidRPr="00A52AB8">
        <w:rPr>
          <w:lang w:eastAsia="ja-JP"/>
        </w:rPr>
        <w:t>Y</w:t>
      </w:r>
      <w:r w:rsidR="00877CD2" w:rsidRPr="00A52AB8">
        <w:t>[ </w:t>
      </w:r>
      <w:r w:rsidR="00632FA7" w:rsidRPr="00A52AB8">
        <w:t>tileID</w:t>
      </w:r>
      <w:r w:rsidR="00877CD2" w:rsidRPr="00A52AB8">
        <w:t> ]</w:t>
      </w:r>
      <w:r w:rsidR="00636D52" w:rsidRPr="00A52AB8">
        <w:rPr>
          <w:color w:val="000000" w:themeColor="text1"/>
        </w:rPr>
        <w:t>[ p ]</w:t>
      </w:r>
      <w:r w:rsidR="00346C8B" w:rsidRPr="00A52AB8">
        <w:rPr>
          <w:color w:val="000000" w:themeColor="text1"/>
        </w:rPr>
        <w:t xml:space="preserve"> specifies the y-coordinate of the top-left corner of the patch bounding box for </w:t>
      </w:r>
      <w:r w:rsidR="00F23D23" w:rsidRPr="00A52AB8">
        <w:rPr>
          <w:color w:val="000000" w:themeColor="text1"/>
        </w:rPr>
        <w:t xml:space="preserve">the current </w:t>
      </w:r>
      <w:r w:rsidR="00346C8B" w:rsidRPr="00A52AB8">
        <w:rPr>
          <w:color w:val="000000" w:themeColor="text1"/>
        </w:rPr>
        <w:t>patch</w:t>
      </w:r>
      <w:r w:rsidR="00676D45" w:rsidRPr="00A52AB8">
        <w:rPr>
          <w:color w:val="000000" w:themeColor="text1"/>
        </w:rPr>
        <w:t xml:space="preserve"> with patch index p</w:t>
      </w:r>
      <w:r w:rsidR="003A53BF" w:rsidRPr="00A52AB8">
        <w:rPr>
          <w:color w:val="000000" w:themeColor="text1"/>
        </w:rPr>
        <w:t xml:space="preserve">, of the current tile </w:t>
      </w:r>
      <w:r w:rsidR="00A41AF4" w:rsidRPr="00A52AB8">
        <w:rPr>
          <w:color w:val="000000" w:themeColor="text1"/>
        </w:rPr>
        <w:t>with tile ID equal to tileID</w:t>
      </w:r>
      <w:r w:rsidR="003A53BF" w:rsidRPr="00A52AB8">
        <w:rPr>
          <w:color w:val="000000" w:themeColor="text1"/>
        </w:rPr>
        <w:t>,</w:t>
      </w:r>
      <w:r w:rsidR="004226FE" w:rsidRPr="00A52AB8">
        <w:rPr>
          <w:color w:val="000000" w:themeColor="text1"/>
        </w:rPr>
        <w:t xml:space="preserve"> </w:t>
      </w:r>
      <w:r w:rsidR="0056040E" w:rsidRPr="00A52AB8">
        <w:rPr>
          <w:color w:val="000000" w:themeColor="text1"/>
        </w:rPr>
        <w:t xml:space="preserve">relative to the top left corner of the current tile, </w:t>
      </w:r>
      <w:r w:rsidR="004226FE" w:rsidRPr="00A52AB8">
        <w:rPr>
          <w:color w:val="000000" w:themeColor="text1"/>
        </w:rPr>
        <w:t xml:space="preserve">in </w:t>
      </w:r>
      <w:r w:rsidR="00193BAF" w:rsidRPr="00A52AB8">
        <w:rPr>
          <w:color w:val="000000" w:themeColor="text1"/>
        </w:rPr>
        <w:t>units</w:t>
      </w:r>
      <w:r w:rsidR="004226FE" w:rsidRPr="00A52AB8">
        <w:rPr>
          <w:color w:val="000000" w:themeColor="text1"/>
        </w:rPr>
        <w:t xml:space="preserve"> of atlas samples</w:t>
      </w:r>
      <w:r w:rsidR="00346C8B" w:rsidRPr="00A52AB8">
        <w:rPr>
          <w:color w:val="000000" w:themeColor="text1"/>
        </w:rPr>
        <w:t xml:space="preserve">. </w:t>
      </w:r>
      <w:r w:rsidR="00894513" w:rsidRPr="00A52AB8">
        <w:rPr>
          <w:color w:val="000000" w:themeColor="text1"/>
        </w:rPr>
        <w:t>T</w:t>
      </w:r>
      <w:r w:rsidR="00346C8B" w:rsidRPr="00A52AB8">
        <w:rPr>
          <w:color w:val="000000" w:themeColor="text1"/>
        </w:rPr>
        <w:t xml:space="preserve">he value of </w:t>
      </w:r>
      <w:r w:rsidR="001530EC" w:rsidRPr="00A52AB8">
        <w:rPr>
          <w:color w:val="000000" w:themeColor="text1"/>
        </w:rPr>
        <w:t>Tile</w:t>
      </w:r>
      <w:r w:rsidR="00F23D23" w:rsidRPr="00A52AB8">
        <w:rPr>
          <w:lang w:eastAsia="ja-JP"/>
        </w:rPr>
        <w:t>Patch2d</w:t>
      </w:r>
      <w:r w:rsidR="00627BE0" w:rsidRPr="00A52AB8">
        <w:rPr>
          <w:lang w:eastAsia="ja-JP"/>
        </w:rPr>
        <w:t>Pos</w:t>
      </w:r>
      <w:r w:rsidR="00CA4F41" w:rsidRPr="00A52AB8">
        <w:rPr>
          <w:lang w:eastAsia="ja-JP"/>
        </w:rPr>
        <w:t>Y</w:t>
      </w:r>
      <w:r w:rsidR="00877CD2" w:rsidRPr="00A52AB8">
        <w:t>[ </w:t>
      </w:r>
      <w:r w:rsidR="00632FA7" w:rsidRPr="00A52AB8">
        <w:t>tileID</w:t>
      </w:r>
      <w:r w:rsidR="00877CD2" w:rsidRPr="00A52AB8">
        <w:t> ]</w:t>
      </w:r>
      <w:r w:rsidR="00636D52" w:rsidRPr="00A52AB8">
        <w:rPr>
          <w:color w:val="000000" w:themeColor="text1"/>
        </w:rPr>
        <w:t>[ p ]</w:t>
      </w:r>
      <w:r w:rsidR="00346C8B" w:rsidRPr="00A52AB8">
        <w:rPr>
          <w:color w:val="000000" w:themeColor="text1"/>
        </w:rPr>
        <w:t xml:space="preserve"> shall be in the range of 0 to </w:t>
      </w:r>
      <w:r w:rsidR="00224382" w:rsidRPr="00A52AB8">
        <w:rPr>
          <w:color w:val="000000" w:themeColor="text1"/>
        </w:rPr>
        <w:t>verLimit</w:t>
      </w:r>
      <w:r w:rsidR="00106F4E" w:rsidRPr="00A52AB8">
        <w:rPr>
          <w:color w:val="000000" w:themeColor="text1"/>
        </w:rPr>
        <w:t> </w:t>
      </w:r>
      <w:r w:rsidR="006670B2" w:rsidRPr="00A52AB8">
        <w:rPr>
          <w:color w:val="000000" w:themeColor="text1"/>
        </w:rPr>
        <w:t>–</w:t>
      </w:r>
      <w:r w:rsidR="00346C8B" w:rsidRPr="00A52AB8">
        <w:rPr>
          <w:color w:val="000000" w:themeColor="text1"/>
        </w:rPr>
        <w:t> 1, inclusive.</w:t>
      </w:r>
    </w:p>
    <w:p w14:paraId="595BBCCE" w14:textId="2628CAA3" w:rsidR="00224382" w:rsidRPr="00A52AB8" w:rsidRDefault="002B4ABD">
      <w:pPr>
        <w:rPr>
          <w:color w:val="000000" w:themeColor="text1"/>
        </w:rPr>
      </w:pPr>
      <w:r w:rsidRPr="00A52AB8">
        <w:rPr>
          <w:color w:val="000000" w:themeColor="text1"/>
        </w:rPr>
        <w:t>Tile</w:t>
      </w:r>
      <w:r w:rsidR="00AC05DE" w:rsidRPr="00A52AB8">
        <w:rPr>
          <w:color w:val="000000" w:themeColor="text1"/>
        </w:rPr>
        <w:t>Patch2d</w:t>
      </w:r>
      <w:r w:rsidR="00CA4F41" w:rsidRPr="00A52AB8">
        <w:rPr>
          <w:color w:val="000000" w:themeColor="text1"/>
        </w:rPr>
        <w:t>SizeX</w:t>
      </w:r>
      <w:r w:rsidR="00877CD2" w:rsidRPr="00A52AB8">
        <w:t>[ </w:t>
      </w:r>
      <w:r w:rsidR="00632FA7" w:rsidRPr="00A52AB8">
        <w:t>tileID</w:t>
      </w:r>
      <w:r w:rsidR="00877CD2" w:rsidRPr="00A52AB8">
        <w:t> ]</w:t>
      </w:r>
      <w:r w:rsidR="00636D52" w:rsidRPr="00A52AB8">
        <w:rPr>
          <w:color w:val="000000" w:themeColor="text1"/>
        </w:rPr>
        <w:t>[ p ]</w:t>
      </w:r>
      <w:r w:rsidR="00AC05DE" w:rsidRPr="00A52AB8">
        <w:rPr>
          <w:color w:val="000000" w:themeColor="text1"/>
        </w:rPr>
        <w:t xml:space="preserve"> specifies the width of the bounding box of the current patch</w:t>
      </w:r>
      <w:r w:rsidR="00676D45" w:rsidRPr="00A52AB8">
        <w:rPr>
          <w:color w:val="000000" w:themeColor="text1"/>
        </w:rPr>
        <w:t xml:space="preserve"> with patch index p</w:t>
      </w:r>
      <w:r w:rsidR="00AE739A" w:rsidRPr="00A52AB8">
        <w:rPr>
          <w:color w:val="000000" w:themeColor="text1"/>
        </w:rPr>
        <w:t xml:space="preserve">, of the current tile </w:t>
      </w:r>
      <w:r w:rsidR="00A41AF4" w:rsidRPr="00A52AB8">
        <w:rPr>
          <w:color w:val="000000" w:themeColor="text1"/>
        </w:rPr>
        <w:t>with tile ID equal to tileID</w:t>
      </w:r>
      <w:r w:rsidR="00AE739A" w:rsidRPr="00A52AB8">
        <w:rPr>
          <w:color w:val="000000" w:themeColor="text1"/>
        </w:rPr>
        <w:t>,</w:t>
      </w:r>
      <w:r w:rsidR="004226FE" w:rsidRPr="00A52AB8">
        <w:rPr>
          <w:color w:val="000000" w:themeColor="text1"/>
        </w:rPr>
        <w:t xml:space="preserve"> in </w:t>
      </w:r>
      <w:r w:rsidR="00193BAF" w:rsidRPr="00A52AB8">
        <w:rPr>
          <w:color w:val="000000" w:themeColor="text1"/>
        </w:rPr>
        <w:t>units</w:t>
      </w:r>
      <w:r w:rsidR="004226FE" w:rsidRPr="00A52AB8">
        <w:rPr>
          <w:color w:val="000000" w:themeColor="text1"/>
        </w:rPr>
        <w:t xml:space="preserve"> of atlas samples</w:t>
      </w:r>
      <w:r w:rsidR="00AC05DE" w:rsidRPr="00A52AB8">
        <w:rPr>
          <w:color w:val="000000" w:themeColor="text1"/>
        </w:rPr>
        <w:t>.</w:t>
      </w:r>
      <w:r w:rsidR="00224382" w:rsidRPr="00A52AB8">
        <w:rPr>
          <w:color w:val="000000" w:themeColor="text1"/>
        </w:rPr>
        <w:t xml:space="preserve"> </w:t>
      </w:r>
      <w:r w:rsidR="00AC05DE" w:rsidRPr="00A52AB8">
        <w:rPr>
          <w:color w:val="000000" w:themeColor="text1"/>
        </w:rPr>
        <w:t xml:space="preserve">The value of </w:t>
      </w:r>
      <w:r w:rsidR="00525E4C" w:rsidRPr="00A52AB8">
        <w:rPr>
          <w:color w:val="000000" w:themeColor="text1"/>
        </w:rPr>
        <w:t>Tile</w:t>
      </w:r>
      <w:r w:rsidR="00AC05DE" w:rsidRPr="00A52AB8">
        <w:rPr>
          <w:color w:val="000000" w:themeColor="text1"/>
        </w:rPr>
        <w:t>Patch2d</w:t>
      </w:r>
      <w:r w:rsidR="00CA4F41" w:rsidRPr="00A52AB8">
        <w:rPr>
          <w:color w:val="000000" w:themeColor="text1"/>
        </w:rPr>
        <w:t>SizeX</w:t>
      </w:r>
      <w:r w:rsidR="00877CD2" w:rsidRPr="00A52AB8">
        <w:t>[ </w:t>
      </w:r>
      <w:r w:rsidR="00632FA7" w:rsidRPr="00A52AB8">
        <w:t>tileID</w:t>
      </w:r>
      <w:r w:rsidR="00877CD2" w:rsidRPr="00A52AB8">
        <w:t> ]</w:t>
      </w:r>
      <w:r w:rsidR="00636D52" w:rsidRPr="00A52AB8">
        <w:rPr>
          <w:color w:val="000000" w:themeColor="text1"/>
        </w:rPr>
        <w:t>[ p ]</w:t>
      </w:r>
      <w:r w:rsidR="00676D45" w:rsidRPr="00A52AB8">
        <w:rPr>
          <w:color w:val="000000" w:themeColor="text1"/>
        </w:rPr>
        <w:t xml:space="preserve"> </w:t>
      </w:r>
      <w:r w:rsidR="00AC05DE" w:rsidRPr="00A52AB8">
        <w:rPr>
          <w:color w:val="000000" w:themeColor="text1"/>
        </w:rPr>
        <w:t xml:space="preserve">shall be in the range of </w:t>
      </w:r>
      <w:r w:rsidR="004F793B" w:rsidRPr="00A52AB8">
        <w:rPr>
          <w:color w:val="000000" w:themeColor="text1"/>
        </w:rPr>
        <w:t>1</w:t>
      </w:r>
      <w:r w:rsidR="00AC05DE" w:rsidRPr="00A52AB8">
        <w:rPr>
          <w:color w:val="000000" w:themeColor="text1"/>
        </w:rPr>
        <w:t xml:space="preserve"> to </w:t>
      </w:r>
      <w:r w:rsidR="00224382" w:rsidRPr="00A52AB8">
        <w:rPr>
          <w:color w:val="000000" w:themeColor="text1"/>
        </w:rPr>
        <w:t>horLimit,</w:t>
      </w:r>
      <w:r w:rsidR="00AC05DE" w:rsidRPr="00A52AB8">
        <w:rPr>
          <w:color w:val="000000" w:themeColor="text1"/>
        </w:rPr>
        <w:t xml:space="preserve"> inclusive.</w:t>
      </w:r>
      <w:r w:rsidR="009F1763" w:rsidRPr="00A52AB8">
        <w:rPr>
          <w:color w:val="000000" w:themeColor="text1"/>
        </w:rPr>
        <w:t xml:space="preserve"> </w:t>
      </w:r>
    </w:p>
    <w:p w14:paraId="4D762A5B" w14:textId="77777777" w:rsidR="00224382" w:rsidRPr="00A52AB8" w:rsidRDefault="00224382">
      <w:pPr>
        <w:rPr>
          <w:lang w:eastAsia="ja-JP"/>
        </w:rPr>
      </w:pPr>
      <w:r w:rsidRPr="00A52AB8">
        <w:rPr>
          <w:color w:val="000000" w:themeColor="text1"/>
        </w:rPr>
        <w:t>TilePatch2dSizeY</w:t>
      </w:r>
      <w:r w:rsidRPr="00A52AB8">
        <w:t>[ tileID ]</w:t>
      </w:r>
      <w:r w:rsidRPr="00A52AB8">
        <w:rPr>
          <w:color w:val="000000" w:themeColor="text1"/>
        </w:rPr>
        <w:t>[ p ] specifies the height of the bounding box of the current patch with patch index p, of the current tile with tile ID equal to tileID, in units of atlas samples. The value of TilePatch2dSizeY</w:t>
      </w:r>
      <w:r w:rsidRPr="00A52AB8">
        <w:t>[ tileID ]</w:t>
      </w:r>
      <w:r w:rsidRPr="00A52AB8">
        <w:rPr>
          <w:color w:val="000000" w:themeColor="text1"/>
        </w:rPr>
        <w:t>[ p ] shall be in the range of 1 to verLimit, inclusive.</w:t>
      </w:r>
      <w:r w:rsidRPr="00A52AB8">
        <w:rPr>
          <w:lang w:eastAsia="ja-JP"/>
        </w:rPr>
        <w:t xml:space="preserve"> </w:t>
      </w:r>
    </w:p>
    <w:p w14:paraId="3CB0ABBD" w14:textId="05F28B76" w:rsidR="001A00D1" w:rsidRPr="00A52AB8" w:rsidRDefault="009F1763">
      <w:pPr>
        <w:rPr>
          <w:color w:val="000000" w:themeColor="text1"/>
        </w:rPr>
      </w:pPr>
      <w:r w:rsidRPr="00A52AB8">
        <w:rPr>
          <w:color w:val="000000" w:themeColor="text1"/>
        </w:rPr>
        <w:t xml:space="preserve">It is a requirement of bitstream conformance that </w:t>
      </w:r>
      <w:r w:rsidR="001A00D1" w:rsidRPr="00A52AB8">
        <w:rPr>
          <w:color w:val="000000" w:themeColor="text1"/>
        </w:rPr>
        <w:t xml:space="preserve">the following </w:t>
      </w:r>
      <w:r w:rsidR="00224382" w:rsidRPr="00A52AB8">
        <w:rPr>
          <w:color w:val="000000" w:themeColor="text1"/>
        </w:rPr>
        <w:t xml:space="preserve">conditions </w:t>
      </w:r>
      <w:r w:rsidR="001A00D1" w:rsidRPr="00A52AB8">
        <w:rPr>
          <w:color w:val="000000" w:themeColor="text1"/>
        </w:rPr>
        <w:t>appl</w:t>
      </w:r>
      <w:r w:rsidR="00224382" w:rsidRPr="00A52AB8">
        <w:rPr>
          <w:color w:val="000000" w:themeColor="text1"/>
        </w:rPr>
        <w:t>y</w:t>
      </w:r>
      <w:r w:rsidR="001A00D1" w:rsidRPr="00A52AB8">
        <w:rPr>
          <w:color w:val="000000" w:themeColor="text1"/>
        </w:rPr>
        <w:t>:</w:t>
      </w:r>
    </w:p>
    <w:p w14:paraId="60B94EDF" w14:textId="3057E026" w:rsidR="000B1931" w:rsidRPr="00A52AB8" w:rsidRDefault="000B1931">
      <w:pPr>
        <w:rPr>
          <w:lang w:eastAsia="ja-JP"/>
        </w:rPr>
      </w:pPr>
      <w:r w:rsidRPr="00A52AB8">
        <w:rPr>
          <w:color w:val="000000" w:themeColor="text1"/>
        </w:rPr>
        <w:tab/>
        <w:t>Tile</w:t>
      </w:r>
      <w:r w:rsidRPr="00A52AB8">
        <w:rPr>
          <w:lang w:eastAsia="ja-JP"/>
        </w:rPr>
        <w:t>Patch2dPosX</w:t>
      </w:r>
      <w:r w:rsidRPr="00A52AB8">
        <w:t>[ tileID ]</w:t>
      </w:r>
      <w:r w:rsidRPr="00A52AB8">
        <w:rPr>
          <w:color w:val="000000" w:themeColor="text1"/>
        </w:rPr>
        <w:t>[ p ] + TilePatch2dSizeX</w:t>
      </w:r>
      <w:r w:rsidRPr="00A52AB8">
        <w:t>[ tileID ]</w:t>
      </w:r>
      <w:r w:rsidRPr="00A52AB8">
        <w:rPr>
          <w:color w:val="000000" w:themeColor="text1"/>
        </w:rPr>
        <w:t>[ p ] </w:t>
      </w:r>
      <w:r w:rsidR="00A234FD" w:rsidRPr="00A52AB8">
        <w:rPr>
          <w:color w:val="000000" w:themeColor="text1"/>
        </w:rPr>
        <w:t>&lt;=</w:t>
      </w:r>
      <w:r w:rsidR="00D47707" w:rsidRPr="00A52AB8">
        <w:rPr>
          <w:color w:val="000000" w:themeColor="text1"/>
        </w:rPr>
        <w:t> </w:t>
      </w:r>
      <w:r w:rsidRPr="00A52AB8">
        <w:rPr>
          <w:color w:val="000000" w:themeColor="text1"/>
        </w:rPr>
        <w:t>horLimit </w:t>
      </w:r>
      <w:r w:rsidRPr="00A52AB8">
        <w:rPr>
          <w:color w:val="000000" w:themeColor="text1"/>
        </w:rPr>
        <w:tab/>
      </w:r>
      <w:r w:rsidRPr="00A52AB8">
        <w:t>(</w:t>
      </w:r>
      <w:r w:rsidRPr="00496A4D">
        <w:fldChar w:fldCharType="begin"/>
      </w:r>
      <w:r w:rsidRPr="00A52AB8">
        <w:instrText xml:space="preserve"> SEQ Equation \* ARABIC \n </w:instrText>
      </w:r>
      <w:r w:rsidRPr="00496A4D">
        <w:fldChar w:fldCharType="separate"/>
      </w:r>
      <w:r w:rsidR="00507A67">
        <w:rPr>
          <w:noProof/>
        </w:rPr>
        <w:t>45</w:t>
      </w:r>
      <w:r w:rsidRPr="00496A4D">
        <w:fldChar w:fldCharType="end"/>
      </w:r>
      <w:r w:rsidRPr="00A52AB8">
        <w:t>)</w:t>
      </w:r>
    </w:p>
    <w:p w14:paraId="4AEEF174" w14:textId="50920B89" w:rsidR="000B1931" w:rsidRPr="00A52AB8" w:rsidRDefault="000B1931">
      <w:r w:rsidRPr="00A52AB8">
        <w:rPr>
          <w:color w:val="000000" w:themeColor="text1"/>
        </w:rPr>
        <w:tab/>
        <w:t>Tile</w:t>
      </w:r>
      <w:r w:rsidRPr="00A52AB8">
        <w:rPr>
          <w:lang w:eastAsia="ja-JP"/>
        </w:rPr>
        <w:t>Patch2dPosY</w:t>
      </w:r>
      <w:r w:rsidRPr="00A52AB8">
        <w:t>[ tileID ]</w:t>
      </w:r>
      <w:r w:rsidRPr="00A52AB8">
        <w:rPr>
          <w:color w:val="000000" w:themeColor="text1"/>
        </w:rPr>
        <w:t>[ p ] + TilePatch2dSizeY[</w:t>
      </w:r>
      <w:r w:rsidRPr="00A52AB8">
        <w:t> tileID ]</w:t>
      </w:r>
      <w:r w:rsidRPr="00A52AB8">
        <w:rPr>
          <w:color w:val="000000" w:themeColor="text1"/>
        </w:rPr>
        <w:t>[ p ] </w:t>
      </w:r>
      <w:r w:rsidR="00A234FD" w:rsidRPr="00A52AB8">
        <w:rPr>
          <w:color w:val="000000" w:themeColor="text1"/>
        </w:rPr>
        <w:t>&lt;=</w:t>
      </w:r>
      <w:r w:rsidR="00D47707" w:rsidRPr="00A52AB8">
        <w:rPr>
          <w:color w:val="000000" w:themeColor="text1"/>
        </w:rPr>
        <w:t> </w:t>
      </w:r>
      <w:r w:rsidRPr="00A52AB8">
        <w:rPr>
          <w:color w:val="000000" w:themeColor="text1"/>
        </w:rPr>
        <w:t>verLimit </w:t>
      </w:r>
      <w:r w:rsidRPr="00A52AB8">
        <w:rPr>
          <w:color w:val="000000" w:themeColor="text1"/>
        </w:rPr>
        <w:tab/>
      </w:r>
      <w:r w:rsidRPr="00A52AB8">
        <w:t>(</w:t>
      </w:r>
      <w:r w:rsidRPr="00496A4D">
        <w:fldChar w:fldCharType="begin"/>
      </w:r>
      <w:r w:rsidRPr="00A52AB8">
        <w:instrText xml:space="preserve"> SEQ Equation \* ARABIC \n </w:instrText>
      </w:r>
      <w:r w:rsidRPr="00496A4D">
        <w:fldChar w:fldCharType="separate"/>
      </w:r>
      <w:r w:rsidR="00507A67">
        <w:rPr>
          <w:noProof/>
        </w:rPr>
        <w:t>46</w:t>
      </w:r>
      <w:r w:rsidRPr="00496A4D">
        <w:fldChar w:fldCharType="end"/>
      </w:r>
      <w:r w:rsidRPr="00A52AB8">
        <w:t>)</w:t>
      </w:r>
    </w:p>
    <w:p w14:paraId="7F414DCD" w14:textId="25B29789" w:rsidR="00F23D23" w:rsidRPr="00A52AB8" w:rsidRDefault="00314925">
      <w:pPr>
        <w:rPr>
          <w:b/>
          <w:color w:val="000000" w:themeColor="text1"/>
        </w:rPr>
      </w:pPr>
      <w:bookmarkStart w:id="1501" w:name="_Hlk27666422"/>
      <w:r w:rsidRPr="00A52AB8">
        <w:rPr>
          <w:color w:val="000000" w:themeColor="text1"/>
        </w:rPr>
        <w:t>TilePatch3dOffsetU</w:t>
      </w:r>
      <w:r w:rsidR="00877CD2" w:rsidRPr="00A52AB8">
        <w:t>[ </w:t>
      </w:r>
      <w:r w:rsidR="00632FA7" w:rsidRPr="00A52AB8">
        <w:t>tileID</w:t>
      </w:r>
      <w:r w:rsidR="00877CD2" w:rsidRPr="00A52AB8">
        <w:t> ]</w:t>
      </w:r>
      <w:r w:rsidR="00636D52" w:rsidRPr="00A52AB8">
        <w:rPr>
          <w:lang w:eastAsia="ja-JP"/>
        </w:rPr>
        <w:t>[ p ]</w:t>
      </w:r>
      <w:r w:rsidR="00F23D23" w:rsidRPr="00A52AB8">
        <w:rPr>
          <w:lang w:eastAsia="ja-JP"/>
        </w:rPr>
        <w:t xml:space="preserve"> </w:t>
      </w:r>
      <w:r w:rsidR="00F23D23" w:rsidRPr="00A52AB8">
        <w:rPr>
          <w:color w:val="000000" w:themeColor="text1"/>
        </w:rPr>
        <w:t xml:space="preserve">specifies the shift to be applied to the reconstructed patch points in the current patch </w:t>
      </w:r>
      <w:r w:rsidR="00676D45" w:rsidRPr="00A52AB8">
        <w:rPr>
          <w:color w:val="000000" w:themeColor="text1"/>
        </w:rPr>
        <w:t>with patch index p</w:t>
      </w:r>
      <w:r w:rsidR="00AE739A" w:rsidRPr="00A52AB8">
        <w:rPr>
          <w:color w:val="000000" w:themeColor="text1"/>
        </w:rPr>
        <w:t xml:space="preserve">, of the current tile </w:t>
      </w:r>
      <w:r w:rsidR="00A41AF4" w:rsidRPr="00A52AB8">
        <w:rPr>
          <w:color w:val="000000" w:themeColor="text1"/>
        </w:rPr>
        <w:t>with tile ID equal to tileID</w:t>
      </w:r>
      <w:r w:rsidR="00AE739A" w:rsidRPr="00A52AB8">
        <w:rPr>
          <w:color w:val="000000" w:themeColor="text1"/>
        </w:rPr>
        <w:t>,</w:t>
      </w:r>
      <w:r w:rsidR="00676D45" w:rsidRPr="00A52AB8">
        <w:rPr>
          <w:color w:val="000000" w:themeColor="text1"/>
        </w:rPr>
        <w:t xml:space="preserve"> </w:t>
      </w:r>
      <w:r w:rsidR="00F23D23" w:rsidRPr="00A52AB8">
        <w:rPr>
          <w:color w:val="000000" w:themeColor="text1"/>
        </w:rPr>
        <w:t xml:space="preserve">along the tangent axis. The value of </w:t>
      </w:r>
      <w:r w:rsidRPr="00A52AB8">
        <w:rPr>
          <w:color w:val="000000" w:themeColor="text1"/>
        </w:rPr>
        <w:t>TilePatch3dOffsetU</w:t>
      </w:r>
      <w:r w:rsidR="00877CD2" w:rsidRPr="00A52AB8">
        <w:t>[ </w:t>
      </w:r>
      <w:r w:rsidR="00632FA7" w:rsidRPr="00A52AB8">
        <w:t>tileID</w:t>
      </w:r>
      <w:r w:rsidR="00877CD2" w:rsidRPr="00A52AB8">
        <w:t> ]</w:t>
      </w:r>
      <w:r w:rsidR="00636D52" w:rsidRPr="00A52AB8">
        <w:rPr>
          <w:color w:val="000000" w:themeColor="text1"/>
        </w:rPr>
        <w:t>[ p ]</w:t>
      </w:r>
      <w:r w:rsidR="00F23D23" w:rsidRPr="00A52AB8">
        <w:rPr>
          <w:color w:val="000000" w:themeColor="text1"/>
        </w:rPr>
        <w:t xml:space="preserve"> shall be in the range of 0 to </w:t>
      </w:r>
      <w:r w:rsidR="00081381" w:rsidRPr="00A52AB8">
        <w:rPr>
          <w:color w:val="000000" w:themeColor="text1"/>
        </w:rPr>
        <w:t>(</w:t>
      </w:r>
      <w:r w:rsidR="004F793B" w:rsidRPr="00A52AB8">
        <w:rPr>
          <w:color w:val="000000" w:themeColor="text1"/>
        </w:rPr>
        <w:t> </w:t>
      </w:r>
      <w:r w:rsidR="00F23D23" w:rsidRPr="00A52AB8">
        <w:rPr>
          <w:color w:val="000000" w:themeColor="text1"/>
        </w:rPr>
        <w:t>2</w:t>
      </w:r>
      <w:r w:rsidR="00B86D4C" w:rsidRPr="00A52AB8">
        <w:rPr>
          <w:color w:val="000000" w:themeColor="text1"/>
          <w:position w:val="6"/>
          <w:vertAlign w:val="superscript"/>
        </w:rPr>
        <w:t>asps_geometry_3d_bit</w:t>
      </w:r>
      <w:r w:rsidR="00C514C6" w:rsidRPr="00A52AB8">
        <w:rPr>
          <w:color w:val="000000" w:themeColor="text1"/>
          <w:position w:val="6"/>
          <w:vertAlign w:val="superscript"/>
        </w:rPr>
        <w:t>_</w:t>
      </w:r>
      <w:r w:rsidR="00B86D4C" w:rsidRPr="00A52AB8">
        <w:rPr>
          <w:color w:val="000000" w:themeColor="text1"/>
          <w:position w:val="6"/>
          <w:vertAlign w:val="superscript"/>
        </w:rPr>
        <w:t>depth_minus1</w:t>
      </w:r>
      <w:r w:rsidR="00F23D23" w:rsidRPr="00A52AB8">
        <w:rPr>
          <w:color w:val="000000" w:themeColor="text1"/>
          <w:position w:val="6"/>
          <w:vertAlign w:val="superscript"/>
        </w:rPr>
        <w:t> + 1</w:t>
      </w:r>
      <w:r w:rsidR="00F23D23" w:rsidRPr="00A52AB8">
        <w:rPr>
          <w:color w:val="000000" w:themeColor="text1"/>
          <w:position w:val="6"/>
        </w:rPr>
        <w:t> </w:t>
      </w:r>
      <w:r w:rsidR="00F23D23" w:rsidRPr="00A52AB8">
        <w:rPr>
          <w:color w:val="000000" w:themeColor="text1"/>
        </w:rPr>
        <w:t>− 1), inclusive.</w:t>
      </w:r>
    </w:p>
    <w:bookmarkEnd w:id="1501"/>
    <w:p w14:paraId="07529D4C" w14:textId="0130D9F8" w:rsidR="00F23D23" w:rsidRPr="00A52AB8" w:rsidRDefault="00314925">
      <w:pPr>
        <w:rPr>
          <w:color w:val="000000" w:themeColor="text1"/>
        </w:rPr>
      </w:pPr>
      <w:r w:rsidRPr="00A52AB8">
        <w:rPr>
          <w:color w:val="000000" w:themeColor="text1"/>
        </w:rPr>
        <w:t>TilePatch3dOffsetV</w:t>
      </w:r>
      <w:r w:rsidR="00877CD2" w:rsidRPr="00A52AB8">
        <w:t>[ </w:t>
      </w:r>
      <w:r w:rsidR="00632FA7" w:rsidRPr="00A52AB8">
        <w:t>tileID</w:t>
      </w:r>
      <w:r w:rsidR="00877CD2" w:rsidRPr="00A52AB8">
        <w:t> ]</w:t>
      </w:r>
      <w:r w:rsidR="00636D52" w:rsidRPr="00A52AB8">
        <w:rPr>
          <w:lang w:eastAsia="ja-JP"/>
        </w:rPr>
        <w:t>[ p ]</w:t>
      </w:r>
      <w:r w:rsidR="00F23D23" w:rsidRPr="00A52AB8">
        <w:rPr>
          <w:lang w:eastAsia="ja-JP"/>
        </w:rPr>
        <w:t xml:space="preserve"> </w:t>
      </w:r>
      <w:r w:rsidR="00F23D23" w:rsidRPr="00A52AB8">
        <w:rPr>
          <w:color w:val="000000" w:themeColor="text1"/>
        </w:rPr>
        <w:t xml:space="preserve">specifies the shift to be applied to the reconstructed patch points in the current patch </w:t>
      </w:r>
      <w:r w:rsidR="00676D45" w:rsidRPr="00A52AB8">
        <w:rPr>
          <w:color w:val="000000" w:themeColor="text1"/>
        </w:rPr>
        <w:t>with patch index p</w:t>
      </w:r>
      <w:r w:rsidR="00AE739A" w:rsidRPr="00A52AB8">
        <w:rPr>
          <w:color w:val="000000" w:themeColor="text1"/>
        </w:rPr>
        <w:t xml:space="preserve">, of the current tile </w:t>
      </w:r>
      <w:r w:rsidR="00A41AF4" w:rsidRPr="00A52AB8">
        <w:rPr>
          <w:color w:val="000000" w:themeColor="text1"/>
        </w:rPr>
        <w:t>with tile ID equal to tileID</w:t>
      </w:r>
      <w:r w:rsidR="00AE739A" w:rsidRPr="00A52AB8">
        <w:rPr>
          <w:color w:val="000000" w:themeColor="text1"/>
        </w:rPr>
        <w:t>,</w:t>
      </w:r>
      <w:r w:rsidR="00676D45" w:rsidRPr="00A52AB8">
        <w:rPr>
          <w:color w:val="000000" w:themeColor="text1"/>
        </w:rPr>
        <w:t xml:space="preserve"> </w:t>
      </w:r>
      <w:r w:rsidR="00F23D23" w:rsidRPr="00A52AB8">
        <w:rPr>
          <w:color w:val="000000" w:themeColor="text1"/>
        </w:rPr>
        <w:t xml:space="preserve">along the </w:t>
      </w:r>
      <w:r w:rsidR="00141AB2" w:rsidRPr="00A52AB8">
        <w:rPr>
          <w:color w:val="000000" w:themeColor="text1"/>
        </w:rPr>
        <w:t>bi-tangent</w:t>
      </w:r>
      <w:r w:rsidR="00F23D23" w:rsidRPr="00A52AB8">
        <w:rPr>
          <w:color w:val="000000" w:themeColor="text1"/>
        </w:rPr>
        <w:t xml:space="preserve"> axis. The value of </w:t>
      </w:r>
      <w:r w:rsidRPr="00A52AB8">
        <w:rPr>
          <w:color w:val="000000" w:themeColor="text1"/>
        </w:rPr>
        <w:t>TilePatch3dOffsetV</w:t>
      </w:r>
      <w:r w:rsidR="00877CD2" w:rsidRPr="00A52AB8">
        <w:t>[ </w:t>
      </w:r>
      <w:r w:rsidR="00632FA7" w:rsidRPr="00A52AB8">
        <w:t>tileID</w:t>
      </w:r>
      <w:r w:rsidR="00877CD2" w:rsidRPr="00A52AB8">
        <w:t> ]</w:t>
      </w:r>
      <w:r w:rsidR="00636D52" w:rsidRPr="00A52AB8">
        <w:rPr>
          <w:color w:val="000000" w:themeColor="text1"/>
        </w:rPr>
        <w:t>[ p ]</w:t>
      </w:r>
      <w:r w:rsidR="00F23D23" w:rsidRPr="00A52AB8" w:rsidDel="00550AC5">
        <w:rPr>
          <w:color w:val="000000" w:themeColor="text1"/>
        </w:rPr>
        <w:t xml:space="preserve"> </w:t>
      </w:r>
      <w:r w:rsidR="00F23D23" w:rsidRPr="00A52AB8">
        <w:rPr>
          <w:color w:val="000000" w:themeColor="text1"/>
        </w:rPr>
        <w:t xml:space="preserve">shall be in the range of 0 to </w:t>
      </w:r>
      <w:r w:rsidR="00081381" w:rsidRPr="00A52AB8">
        <w:rPr>
          <w:color w:val="000000" w:themeColor="text1"/>
        </w:rPr>
        <w:t>(</w:t>
      </w:r>
      <w:r w:rsidR="004F793B" w:rsidRPr="00A52AB8">
        <w:rPr>
          <w:color w:val="000000" w:themeColor="text1"/>
        </w:rPr>
        <w:t> </w:t>
      </w:r>
      <w:r w:rsidR="00F23D23" w:rsidRPr="00A52AB8">
        <w:rPr>
          <w:color w:val="000000" w:themeColor="text1"/>
        </w:rPr>
        <w:t>2</w:t>
      </w:r>
      <w:r w:rsidR="00B86D4C" w:rsidRPr="00A52AB8">
        <w:rPr>
          <w:color w:val="000000" w:themeColor="text1"/>
          <w:position w:val="6"/>
          <w:vertAlign w:val="superscript"/>
        </w:rPr>
        <w:t>asps_geometry_3d_bit</w:t>
      </w:r>
      <w:r w:rsidR="00C514C6" w:rsidRPr="00A52AB8">
        <w:rPr>
          <w:color w:val="000000" w:themeColor="text1"/>
          <w:position w:val="6"/>
          <w:vertAlign w:val="superscript"/>
        </w:rPr>
        <w:t>_</w:t>
      </w:r>
      <w:r w:rsidR="00B86D4C" w:rsidRPr="00A52AB8">
        <w:rPr>
          <w:color w:val="000000" w:themeColor="text1"/>
          <w:position w:val="6"/>
          <w:vertAlign w:val="superscript"/>
        </w:rPr>
        <w:t>depth_minus1</w:t>
      </w:r>
      <w:r w:rsidR="00F23D23" w:rsidRPr="00A52AB8">
        <w:rPr>
          <w:color w:val="000000" w:themeColor="text1"/>
          <w:position w:val="6"/>
          <w:vertAlign w:val="superscript"/>
        </w:rPr>
        <w:t> + 1</w:t>
      </w:r>
      <w:r w:rsidR="00F23D23" w:rsidRPr="00A52AB8">
        <w:rPr>
          <w:color w:val="000000" w:themeColor="text1"/>
        </w:rPr>
        <w:t> − 1), inclusive.</w:t>
      </w:r>
    </w:p>
    <w:p w14:paraId="07692EC6" w14:textId="46CBDD2C" w:rsidR="00F23D23" w:rsidRPr="00A52AB8" w:rsidRDefault="00141AB2">
      <w:pPr>
        <w:rPr>
          <w:color w:val="000000" w:themeColor="text1"/>
        </w:rPr>
      </w:pPr>
      <w:r w:rsidRPr="00A52AB8">
        <w:rPr>
          <w:color w:val="000000" w:themeColor="text1"/>
        </w:rPr>
        <w:t>TilePatch3dOffsetD</w:t>
      </w:r>
      <w:r w:rsidR="00877CD2" w:rsidRPr="00A52AB8">
        <w:t>[ </w:t>
      </w:r>
      <w:r w:rsidR="00632FA7" w:rsidRPr="00A52AB8">
        <w:t>tileID</w:t>
      </w:r>
      <w:r w:rsidR="00877CD2" w:rsidRPr="00A52AB8">
        <w:t> ]</w:t>
      </w:r>
      <w:r w:rsidR="00636D52" w:rsidRPr="00A52AB8">
        <w:rPr>
          <w:lang w:eastAsia="ja-JP"/>
        </w:rPr>
        <w:t>[ p ]</w:t>
      </w:r>
      <w:r w:rsidR="00F23D23" w:rsidRPr="00A52AB8">
        <w:rPr>
          <w:lang w:eastAsia="ja-JP"/>
        </w:rPr>
        <w:t> </w:t>
      </w:r>
      <w:r w:rsidR="00F23D23" w:rsidRPr="00A52AB8">
        <w:rPr>
          <w:color w:val="000000" w:themeColor="text1"/>
        </w:rPr>
        <w:t xml:space="preserve">specifies the shift to be applied to the reconstructed patch points in the current patch </w:t>
      </w:r>
      <w:r w:rsidR="00676D45" w:rsidRPr="00A52AB8">
        <w:rPr>
          <w:color w:val="000000" w:themeColor="text1"/>
        </w:rPr>
        <w:t>with patch index p</w:t>
      </w:r>
      <w:r w:rsidR="00AE739A" w:rsidRPr="00A52AB8">
        <w:rPr>
          <w:color w:val="000000" w:themeColor="text1"/>
        </w:rPr>
        <w:t xml:space="preserve">, of the current tile </w:t>
      </w:r>
      <w:r w:rsidR="00A41AF4" w:rsidRPr="00A52AB8">
        <w:rPr>
          <w:color w:val="000000" w:themeColor="text1"/>
        </w:rPr>
        <w:t>with tile ID equal to tileID</w:t>
      </w:r>
      <w:r w:rsidR="00AE739A" w:rsidRPr="00A52AB8">
        <w:rPr>
          <w:color w:val="000000" w:themeColor="text1"/>
        </w:rPr>
        <w:t>,</w:t>
      </w:r>
      <w:r w:rsidR="00676D45" w:rsidRPr="00A52AB8">
        <w:rPr>
          <w:color w:val="000000" w:themeColor="text1"/>
        </w:rPr>
        <w:t xml:space="preserve"> </w:t>
      </w:r>
      <w:r w:rsidR="00F23D23" w:rsidRPr="00A52AB8">
        <w:rPr>
          <w:color w:val="000000" w:themeColor="text1"/>
        </w:rPr>
        <w:t xml:space="preserve">along the normal axis. The value of </w:t>
      </w:r>
      <w:r w:rsidRPr="00A52AB8">
        <w:rPr>
          <w:color w:val="000000" w:themeColor="text1"/>
        </w:rPr>
        <w:t>TilePatch3dOffsetD</w:t>
      </w:r>
      <w:r w:rsidR="00877CD2" w:rsidRPr="00A52AB8">
        <w:t>[ </w:t>
      </w:r>
      <w:r w:rsidR="00632FA7" w:rsidRPr="00A52AB8">
        <w:t>tileID</w:t>
      </w:r>
      <w:r w:rsidR="00877CD2" w:rsidRPr="00A52AB8">
        <w:t> ]</w:t>
      </w:r>
      <w:r w:rsidR="00636D52" w:rsidRPr="00A52AB8">
        <w:rPr>
          <w:color w:val="000000" w:themeColor="text1"/>
        </w:rPr>
        <w:t>[ p ]</w:t>
      </w:r>
      <w:r w:rsidR="00F23D23" w:rsidRPr="00A52AB8" w:rsidDel="00550AC5">
        <w:rPr>
          <w:color w:val="000000" w:themeColor="text1"/>
        </w:rPr>
        <w:t xml:space="preserve"> </w:t>
      </w:r>
      <w:r w:rsidR="00F23D23" w:rsidRPr="00A52AB8">
        <w:rPr>
          <w:color w:val="000000" w:themeColor="text1"/>
        </w:rPr>
        <w:t xml:space="preserve">shall be in the range of 0 to </w:t>
      </w:r>
      <w:r w:rsidR="00081381" w:rsidRPr="00A52AB8">
        <w:rPr>
          <w:color w:val="000000" w:themeColor="text1"/>
        </w:rPr>
        <w:t>(</w:t>
      </w:r>
      <w:r w:rsidR="009134AC" w:rsidRPr="00A52AB8">
        <w:rPr>
          <w:color w:val="000000" w:themeColor="text1"/>
        </w:rPr>
        <w:t> </w:t>
      </w:r>
      <w:r w:rsidR="00F23D23" w:rsidRPr="00A52AB8">
        <w:rPr>
          <w:color w:val="000000" w:themeColor="text1"/>
        </w:rPr>
        <w:t>2</w:t>
      </w:r>
      <w:r w:rsidR="00B86D4C" w:rsidRPr="00A52AB8">
        <w:rPr>
          <w:color w:val="000000" w:themeColor="text1"/>
          <w:position w:val="6"/>
          <w:vertAlign w:val="superscript"/>
        </w:rPr>
        <w:t>asps_geometry_3d_bit</w:t>
      </w:r>
      <w:r w:rsidR="00C514C6" w:rsidRPr="00A52AB8">
        <w:rPr>
          <w:color w:val="000000" w:themeColor="text1"/>
          <w:position w:val="6"/>
          <w:vertAlign w:val="superscript"/>
        </w:rPr>
        <w:t>_</w:t>
      </w:r>
      <w:r w:rsidR="00B86D4C" w:rsidRPr="00A52AB8">
        <w:rPr>
          <w:color w:val="000000" w:themeColor="text1"/>
          <w:position w:val="6"/>
          <w:vertAlign w:val="superscript"/>
        </w:rPr>
        <w:t>depth_minus1</w:t>
      </w:r>
      <w:r w:rsidR="00F23D23" w:rsidRPr="00A52AB8">
        <w:rPr>
          <w:color w:val="000000" w:themeColor="text1"/>
          <w:position w:val="6"/>
          <w:vertAlign w:val="superscript"/>
        </w:rPr>
        <w:t> + 1</w:t>
      </w:r>
      <w:r w:rsidR="00F23D23" w:rsidRPr="00A52AB8">
        <w:rPr>
          <w:color w:val="000000" w:themeColor="text1"/>
        </w:rPr>
        <w:t> </w:t>
      </w:r>
      <w:r w:rsidR="009134AC" w:rsidRPr="00A52AB8">
        <w:rPr>
          <w:color w:val="000000" w:themeColor="text1"/>
        </w:rPr>
        <w:t>–</w:t>
      </w:r>
      <w:r w:rsidR="00F23D23" w:rsidRPr="00A52AB8">
        <w:rPr>
          <w:color w:val="000000" w:themeColor="text1"/>
        </w:rPr>
        <w:t> 1</w:t>
      </w:r>
      <w:r w:rsidR="009134AC" w:rsidRPr="00A52AB8">
        <w:rPr>
          <w:color w:val="000000" w:themeColor="text1"/>
        </w:rPr>
        <w:t> </w:t>
      </w:r>
      <w:r w:rsidR="00F23D23" w:rsidRPr="00A52AB8">
        <w:rPr>
          <w:color w:val="000000" w:themeColor="text1"/>
        </w:rPr>
        <w:t>), inclusive.</w:t>
      </w:r>
    </w:p>
    <w:p w14:paraId="69342450" w14:textId="39917652" w:rsidR="00DC6097" w:rsidRPr="00A52AB8" w:rsidRDefault="00467DD2">
      <w:pPr>
        <w:rPr>
          <w:color w:val="000000" w:themeColor="text1"/>
        </w:rPr>
      </w:pPr>
      <w:r w:rsidRPr="00A52AB8">
        <w:rPr>
          <w:color w:val="000000" w:themeColor="text1"/>
        </w:rPr>
        <w:t>TilePatch</w:t>
      </w:r>
      <w:r w:rsidR="001A4D59" w:rsidRPr="00A52AB8">
        <w:rPr>
          <w:color w:val="000000" w:themeColor="text1"/>
        </w:rPr>
        <w:t>3dRangeD</w:t>
      </w:r>
      <w:r w:rsidRPr="00A52AB8">
        <w:rPr>
          <w:color w:val="000000" w:themeColor="text1"/>
        </w:rPr>
        <w:t>[ </w:t>
      </w:r>
      <w:r w:rsidR="00632FA7" w:rsidRPr="00A52AB8">
        <w:rPr>
          <w:color w:val="000000" w:themeColor="text1"/>
        </w:rPr>
        <w:t>tileID</w:t>
      </w:r>
      <w:r w:rsidRPr="00A52AB8">
        <w:rPr>
          <w:color w:val="000000" w:themeColor="text1"/>
        </w:rPr>
        <w:t xml:space="preserve"> ][ p ] </w:t>
      </w:r>
      <w:r w:rsidR="00A84891" w:rsidRPr="00A52AB8">
        <w:rPr>
          <w:color w:val="000000" w:themeColor="text1"/>
        </w:rPr>
        <w:t xml:space="preserve">specifies </w:t>
      </w:r>
      <w:r w:rsidR="00EC164C" w:rsidRPr="00A52AB8">
        <w:rPr>
          <w:color w:val="000000" w:themeColor="text1"/>
        </w:rPr>
        <w:t xml:space="preserve">for the current patch with patch index p, of the current tile </w:t>
      </w:r>
      <w:r w:rsidR="00A41AF4" w:rsidRPr="00A52AB8">
        <w:rPr>
          <w:color w:val="000000" w:themeColor="text1"/>
        </w:rPr>
        <w:t>with tile ID equal to tileID</w:t>
      </w:r>
      <w:r w:rsidR="0042504F" w:rsidRPr="00A52AB8">
        <w:rPr>
          <w:color w:val="000000" w:themeColor="text1"/>
        </w:rPr>
        <w:t>,</w:t>
      </w:r>
      <w:r w:rsidR="00EC164C" w:rsidRPr="00A52AB8">
        <w:rPr>
          <w:color w:val="000000" w:themeColor="text1"/>
        </w:rPr>
        <w:t xml:space="preserve"> </w:t>
      </w:r>
      <w:r w:rsidR="00A84891" w:rsidRPr="00A52AB8">
        <w:rPr>
          <w:color w:val="000000" w:themeColor="text1"/>
        </w:rPr>
        <w:t xml:space="preserve">the </w:t>
      </w:r>
      <w:r w:rsidR="0042504F" w:rsidRPr="00A52AB8">
        <w:rPr>
          <w:color w:val="000000" w:themeColor="text1"/>
        </w:rPr>
        <w:t xml:space="preserve">expected </w:t>
      </w:r>
      <w:r w:rsidR="00A84891" w:rsidRPr="00A52AB8">
        <w:rPr>
          <w:color w:val="000000" w:themeColor="text1"/>
        </w:rPr>
        <w:t xml:space="preserve">range of </w:t>
      </w:r>
      <w:r w:rsidR="00D029E3" w:rsidRPr="00A52AB8">
        <w:rPr>
          <w:color w:val="000000" w:themeColor="text1"/>
        </w:rPr>
        <w:t xml:space="preserve">the </w:t>
      </w:r>
      <w:r w:rsidR="0042504F" w:rsidRPr="00A52AB8">
        <w:rPr>
          <w:color w:val="000000" w:themeColor="text1"/>
        </w:rPr>
        <w:t>geometry data</w:t>
      </w:r>
      <w:r w:rsidR="007F0FAB" w:rsidRPr="00A52AB8">
        <w:rPr>
          <w:color w:val="000000" w:themeColor="text1"/>
        </w:rPr>
        <w:t xml:space="preserve"> along the normal axis</w:t>
      </w:r>
      <w:r w:rsidR="0042504F" w:rsidRPr="00A52AB8">
        <w:rPr>
          <w:color w:val="000000" w:themeColor="text1"/>
        </w:rPr>
        <w:t xml:space="preserve"> in the corresponding geometry maps. </w:t>
      </w:r>
      <w:r w:rsidR="00DC6097" w:rsidRPr="00A52AB8">
        <w:rPr>
          <w:color w:val="000000" w:themeColor="text1"/>
        </w:rPr>
        <w:t xml:space="preserve">Let the variable </w:t>
      </w:r>
      <w:r w:rsidR="00E979C7" w:rsidRPr="00A52AB8">
        <w:rPr>
          <w:color w:val="000000" w:themeColor="text1"/>
        </w:rPr>
        <w:t>rangeDBitDepth</w:t>
      </w:r>
      <w:r w:rsidR="00DC6097" w:rsidRPr="00A52AB8">
        <w:rPr>
          <w:color w:val="000000" w:themeColor="text1"/>
        </w:rPr>
        <w:t xml:space="preserve"> be equal to Min( asps_geometry_2d_bit</w:t>
      </w:r>
      <w:r w:rsidR="00C514C6" w:rsidRPr="00A52AB8">
        <w:rPr>
          <w:color w:val="000000" w:themeColor="text1"/>
        </w:rPr>
        <w:t>_</w:t>
      </w:r>
      <w:r w:rsidR="00DC6097" w:rsidRPr="00A52AB8">
        <w:rPr>
          <w:color w:val="000000" w:themeColor="text1"/>
        </w:rPr>
        <w:t>depth_minus1, asps_geometry_3d_bit</w:t>
      </w:r>
      <w:r w:rsidR="00C514C6" w:rsidRPr="00A52AB8">
        <w:rPr>
          <w:color w:val="000000" w:themeColor="text1"/>
        </w:rPr>
        <w:t>_</w:t>
      </w:r>
      <w:r w:rsidR="00DC6097" w:rsidRPr="00A52AB8">
        <w:rPr>
          <w:color w:val="000000" w:themeColor="text1"/>
        </w:rPr>
        <w:t>depth_minus1</w:t>
      </w:r>
      <w:r w:rsidR="00AA3BAF" w:rsidRPr="00A52AB8">
        <w:rPr>
          <w:color w:val="000000" w:themeColor="text1"/>
        </w:rPr>
        <w:t> </w:t>
      </w:r>
      <w:r w:rsidR="00DC6097" w:rsidRPr="00A52AB8">
        <w:rPr>
          <w:color w:val="000000" w:themeColor="text1"/>
        </w:rPr>
        <w:t>) + 1. The value of TilePatch</w:t>
      </w:r>
      <w:r w:rsidR="001A4D59" w:rsidRPr="00A52AB8">
        <w:rPr>
          <w:color w:val="000000" w:themeColor="text1"/>
        </w:rPr>
        <w:t>3dRangeD</w:t>
      </w:r>
      <w:r w:rsidR="00DC6097" w:rsidRPr="00A52AB8">
        <w:rPr>
          <w:color w:val="000000" w:themeColor="text1"/>
        </w:rPr>
        <w:t>[ tileID ][ p ] shall be in the range of 0 to 2</w:t>
      </w:r>
      <w:r w:rsidR="00E979C7" w:rsidRPr="00A52AB8">
        <w:rPr>
          <w:color w:val="000000" w:themeColor="text1"/>
          <w:position w:val="6"/>
          <w:vertAlign w:val="superscript"/>
        </w:rPr>
        <w:t>rangeDBitDepth</w:t>
      </w:r>
      <w:r w:rsidR="00DC6097" w:rsidRPr="00A52AB8">
        <w:rPr>
          <w:color w:val="000000" w:themeColor="text1"/>
        </w:rPr>
        <w:t> – 1, inclusive.</w:t>
      </w:r>
    </w:p>
    <w:p w14:paraId="1C74FC89" w14:textId="1538A39B" w:rsidR="008C0B42" w:rsidRPr="00A52AB8" w:rsidRDefault="008C0B42">
      <w:pPr>
        <w:rPr>
          <w:color w:val="000000" w:themeColor="text1"/>
        </w:rPr>
      </w:pPr>
      <w:r w:rsidRPr="00A52AB8">
        <w:rPr>
          <w:color w:val="000000" w:themeColor="text1"/>
        </w:rPr>
        <w:t>Tile</w:t>
      </w:r>
      <w:r w:rsidRPr="00A52AB8">
        <w:rPr>
          <w:lang w:eastAsia="ja-JP"/>
        </w:rPr>
        <w:t>PatchProjectionID</w:t>
      </w:r>
      <w:r w:rsidRPr="00A52AB8">
        <w:t>[ tileID ]</w:t>
      </w:r>
      <w:r w:rsidRPr="00A52AB8">
        <w:rPr>
          <w:lang w:eastAsia="ja-JP"/>
        </w:rPr>
        <w:t xml:space="preserve">[ p ] </w:t>
      </w:r>
      <w:r w:rsidRPr="00A52AB8">
        <w:rPr>
          <w:color w:val="000000" w:themeColor="text1"/>
        </w:rPr>
        <w:t>specifies the patch projection ID for the current patch with patch index p, of the current tile with tile ID equal to tileID.</w:t>
      </w:r>
    </w:p>
    <w:p w14:paraId="10620EB8" w14:textId="62AA4657" w:rsidR="00DF20A4" w:rsidRPr="00A52AB8" w:rsidRDefault="00612B68" w:rsidP="00792CFF">
      <w:pPr>
        <w:rPr>
          <w:color w:val="000000" w:themeColor="text1"/>
        </w:rPr>
      </w:pPr>
      <w:r w:rsidRPr="00A52AB8">
        <w:rPr>
          <w:color w:val="000000" w:themeColor="text1"/>
        </w:rPr>
        <w:t>Tile</w:t>
      </w:r>
      <w:r w:rsidR="00F23D23" w:rsidRPr="00A52AB8">
        <w:rPr>
          <w:lang w:eastAsia="ja-JP"/>
        </w:rPr>
        <w:t>PatchOrientation</w:t>
      </w:r>
      <w:r w:rsidR="007A6064" w:rsidRPr="00A52AB8">
        <w:rPr>
          <w:lang w:eastAsia="ja-JP"/>
        </w:rPr>
        <w:t>Index</w:t>
      </w:r>
      <w:r w:rsidR="00877CD2" w:rsidRPr="00A52AB8">
        <w:t>[ </w:t>
      </w:r>
      <w:r w:rsidR="00632FA7" w:rsidRPr="00A52AB8">
        <w:t>tileID</w:t>
      </w:r>
      <w:r w:rsidR="00877CD2" w:rsidRPr="00A52AB8">
        <w:t> ]</w:t>
      </w:r>
      <w:r w:rsidR="00636D52" w:rsidRPr="00A52AB8">
        <w:rPr>
          <w:lang w:eastAsia="ja-JP"/>
        </w:rPr>
        <w:t>[ p ]</w:t>
      </w:r>
      <w:r w:rsidR="00F23D23" w:rsidRPr="00A52AB8">
        <w:rPr>
          <w:lang w:eastAsia="ja-JP"/>
        </w:rPr>
        <w:t xml:space="preserve"> </w:t>
      </w:r>
      <w:r w:rsidR="00887803" w:rsidRPr="00A52AB8">
        <w:rPr>
          <w:color w:val="000000" w:themeColor="text1"/>
        </w:rPr>
        <w:t xml:space="preserve">specifies the patch orientation </w:t>
      </w:r>
      <w:r w:rsidR="007A6064" w:rsidRPr="00A52AB8">
        <w:rPr>
          <w:color w:val="000000" w:themeColor="text1"/>
        </w:rPr>
        <w:t>index to</w:t>
      </w:r>
      <w:r w:rsidR="0010661B" w:rsidRPr="00A52AB8">
        <w:rPr>
          <w:color w:val="000000" w:themeColor="text1"/>
        </w:rPr>
        <w:t xml:space="preserve"> </w:t>
      </w:r>
      <w:r w:rsidR="00AD685E" w:rsidRPr="00496A4D">
        <w:rPr>
          <w:color w:val="000000" w:themeColor="text1"/>
        </w:rPr>
        <w:fldChar w:fldCharType="begin"/>
      </w:r>
      <w:r w:rsidR="00AD685E" w:rsidRPr="00A52AB8">
        <w:rPr>
          <w:color w:val="000000" w:themeColor="text1"/>
        </w:rPr>
        <w:instrText xml:space="preserve"> REF _Ref49681413 \h </w:instrText>
      </w:r>
      <w:r w:rsidR="00007BE2" w:rsidRPr="00A52AB8">
        <w:rPr>
          <w:color w:val="000000" w:themeColor="text1"/>
        </w:rPr>
        <w:instrText xml:space="preserve"> \* MERGEFORMAT </w:instrText>
      </w:r>
      <w:r w:rsidR="00AD685E" w:rsidRPr="00496A4D">
        <w:rPr>
          <w:color w:val="000000" w:themeColor="text1"/>
        </w:rPr>
      </w:r>
      <w:r w:rsidR="00AD685E" w:rsidRPr="00496A4D">
        <w:rPr>
          <w:color w:val="000000" w:themeColor="text1"/>
        </w:rPr>
        <w:fldChar w:fldCharType="separate"/>
      </w:r>
      <w:r w:rsidR="00507A67" w:rsidRPr="00A52AB8">
        <w:rPr>
          <w:color w:val="000000" w:themeColor="text1"/>
        </w:rPr>
        <w:t xml:space="preserve">Table </w:t>
      </w:r>
      <w:r w:rsidR="00507A67">
        <w:rPr>
          <w:color w:val="000000" w:themeColor="text1"/>
        </w:rPr>
        <w:t>11</w:t>
      </w:r>
      <w:r w:rsidR="00AD685E" w:rsidRPr="00496A4D">
        <w:rPr>
          <w:color w:val="000000" w:themeColor="text1"/>
        </w:rPr>
        <w:fldChar w:fldCharType="end"/>
      </w:r>
      <w:r w:rsidR="00AD685E" w:rsidRPr="00A52AB8">
        <w:rPr>
          <w:color w:val="000000" w:themeColor="text1"/>
        </w:rPr>
        <w:t xml:space="preserve"> </w:t>
      </w:r>
      <w:r w:rsidR="00887803" w:rsidRPr="00A52AB8">
        <w:rPr>
          <w:color w:val="000000" w:themeColor="text1"/>
        </w:rPr>
        <w:t>for the current patch</w:t>
      </w:r>
      <w:r w:rsidR="00676D45" w:rsidRPr="00A52AB8">
        <w:rPr>
          <w:color w:val="000000" w:themeColor="text1"/>
        </w:rPr>
        <w:t xml:space="preserve"> with patch index p</w:t>
      </w:r>
      <w:r w:rsidR="00AE739A" w:rsidRPr="00A52AB8">
        <w:rPr>
          <w:color w:val="000000" w:themeColor="text1"/>
        </w:rPr>
        <w:t xml:space="preserve">, of the current tile </w:t>
      </w:r>
      <w:r w:rsidR="00A41AF4" w:rsidRPr="00A52AB8">
        <w:rPr>
          <w:color w:val="000000" w:themeColor="text1"/>
        </w:rPr>
        <w:t>with tile ID equal to tileID</w:t>
      </w:r>
      <w:r w:rsidR="007A6064" w:rsidRPr="00A52AB8">
        <w:rPr>
          <w:color w:val="000000" w:themeColor="text1"/>
        </w:rPr>
        <w:t>.</w:t>
      </w:r>
    </w:p>
    <w:p w14:paraId="65BF425B" w14:textId="77777777" w:rsidR="0050235C" w:rsidRPr="00A52AB8" w:rsidRDefault="003D10F3">
      <w:pPr>
        <w:rPr>
          <w:color w:val="000000" w:themeColor="text1"/>
        </w:rPr>
      </w:pPr>
      <w:r w:rsidRPr="00A52AB8">
        <w:rPr>
          <w:color w:val="000000" w:themeColor="text1"/>
        </w:rPr>
        <w:t>Tile</w:t>
      </w:r>
      <w:r w:rsidR="00887803" w:rsidRPr="00A52AB8">
        <w:rPr>
          <w:lang w:eastAsia="ja-JP"/>
        </w:rPr>
        <w:t>PatchLo</w:t>
      </w:r>
      <w:r w:rsidR="002E02F5" w:rsidRPr="00A52AB8">
        <w:rPr>
          <w:lang w:eastAsia="ja-JP"/>
        </w:rPr>
        <w:t>DScaleX</w:t>
      </w:r>
      <w:r w:rsidR="00877CD2" w:rsidRPr="00A52AB8">
        <w:t>[ </w:t>
      </w:r>
      <w:r w:rsidR="00632FA7" w:rsidRPr="00A52AB8">
        <w:t>tileID</w:t>
      </w:r>
      <w:r w:rsidR="00877CD2" w:rsidRPr="00A52AB8">
        <w:t> ]</w:t>
      </w:r>
      <w:r w:rsidR="00636D52" w:rsidRPr="00A52AB8">
        <w:rPr>
          <w:color w:val="000000" w:themeColor="text1"/>
        </w:rPr>
        <w:t>[ p ]</w:t>
      </w:r>
      <w:r w:rsidR="00346C8B" w:rsidRPr="00A52AB8" w:rsidDel="00550AC5">
        <w:rPr>
          <w:color w:val="000000" w:themeColor="text1"/>
        </w:rPr>
        <w:t xml:space="preserve"> </w:t>
      </w:r>
      <w:r w:rsidR="00346C8B" w:rsidRPr="00A52AB8">
        <w:rPr>
          <w:color w:val="000000" w:themeColor="text1"/>
        </w:rPr>
        <w:t xml:space="preserve">specifies the LOD scaling factor to be applied to the </w:t>
      </w:r>
      <w:r w:rsidR="002E02F5" w:rsidRPr="00A52AB8">
        <w:rPr>
          <w:color w:val="000000" w:themeColor="text1"/>
        </w:rPr>
        <w:t xml:space="preserve">tangent axis of the </w:t>
      </w:r>
      <w:r w:rsidR="00887803" w:rsidRPr="00A52AB8">
        <w:rPr>
          <w:color w:val="000000" w:themeColor="text1"/>
        </w:rPr>
        <w:t xml:space="preserve">current </w:t>
      </w:r>
      <w:r w:rsidR="00346C8B" w:rsidRPr="00A52AB8">
        <w:rPr>
          <w:color w:val="000000" w:themeColor="text1"/>
        </w:rPr>
        <w:t>patch</w:t>
      </w:r>
      <w:r w:rsidR="00676D45" w:rsidRPr="00A52AB8">
        <w:rPr>
          <w:color w:val="000000" w:themeColor="text1"/>
        </w:rPr>
        <w:t xml:space="preserve"> with patch index p</w:t>
      </w:r>
      <w:r w:rsidR="00AE739A" w:rsidRPr="00A52AB8">
        <w:rPr>
          <w:color w:val="000000" w:themeColor="text1"/>
        </w:rPr>
        <w:t xml:space="preserve">, of the current tile </w:t>
      </w:r>
      <w:r w:rsidR="00A41AF4" w:rsidRPr="00A52AB8">
        <w:rPr>
          <w:color w:val="000000" w:themeColor="text1"/>
        </w:rPr>
        <w:t>with tile ID equal to tileID</w:t>
      </w:r>
      <w:r w:rsidR="00346C8B" w:rsidRPr="00A52AB8">
        <w:rPr>
          <w:color w:val="000000" w:themeColor="text1"/>
        </w:rPr>
        <w:t>.</w:t>
      </w:r>
    </w:p>
    <w:p w14:paraId="29F53EFC" w14:textId="2A10E8C9" w:rsidR="002E02F5" w:rsidRPr="00A52AB8" w:rsidRDefault="003D10F3">
      <w:pPr>
        <w:rPr>
          <w:color w:val="000000" w:themeColor="text1"/>
        </w:rPr>
      </w:pPr>
      <w:r w:rsidRPr="00A52AB8">
        <w:rPr>
          <w:color w:val="000000" w:themeColor="text1"/>
        </w:rPr>
        <w:t>Tile</w:t>
      </w:r>
      <w:r w:rsidR="002E02F5" w:rsidRPr="00A52AB8">
        <w:rPr>
          <w:lang w:eastAsia="ja-JP"/>
        </w:rPr>
        <w:t>PatchLoDScaleY</w:t>
      </w:r>
      <w:r w:rsidR="00877CD2" w:rsidRPr="00A52AB8">
        <w:t>[ </w:t>
      </w:r>
      <w:r w:rsidR="00632FA7" w:rsidRPr="00A52AB8">
        <w:t>tileID</w:t>
      </w:r>
      <w:r w:rsidR="00877CD2" w:rsidRPr="00A52AB8">
        <w:t> ]</w:t>
      </w:r>
      <w:r w:rsidR="002E02F5" w:rsidRPr="00A52AB8">
        <w:rPr>
          <w:color w:val="000000" w:themeColor="text1"/>
        </w:rPr>
        <w:t>[ p ]</w:t>
      </w:r>
      <w:r w:rsidR="002E02F5" w:rsidRPr="00A52AB8" w:rsidDel="00550AC5">
        <w:rPr>
          <w:color w:val="000000" w:themeColor="text1"/>
        </w:rPr>
        <w:t xml:space="preserve"> </w:t>
      </w:r>
      <w:r w:rsidR="002E02F5" w:rsidRPr="00A52AB8">
        <w:rPr>
          <w:color w:val="000000" w:themeColor="text1"/>
        </w:rPr>
        <w:t>specifies the LOD scaling factor to be applied to the bi-tangent axis of the current patch with patch index p</w:t>
      </w:r>
      <w:r w:rsidR="00AE739A" w:rsidRPr="00A52AB8">
        <w:rPr>
          <w:color w:val="000000" w:themeColor="text1"/>
        </w:rPr>
        <w:t xml:space="preserve">, of the current tile </w:t>
      </w:r>
      <w:r w:rsidR="00A41AF4" w:rsidRPr="00A52AB8">
        <w:rPr>
          <w:color w:val="000000" w:themeColor="text1"/>
        </w:rPr>
        <w:t>with tile ID equal to tileID</w:t>
      </w:r>
      <w:r w:rsidR="002E02F5" w:rsidRPr="00A52AB8">
        <w:rPr>
          <w:color w:val="000000" w:themeColor="text1"/>
        </w:rPr>
        <w:t>.</w:t>
      </w:r>
    </w:p>
    <w:p w14:paraId="407E0B09" w14:textId="06E03140" w:rsidR="000D165B" w:rsidRPr="00A52AB8" w:rsidRDefault="00352FF3">
      <w:pPr>
        <w:rPr>
          <w:color w:val="000000" w:themeColor="text1"/>
        </w:rPr>
      </w:pPr>
      <w:r w:rsidRPr="00A52AB8">
        <w:rPr>
          <w:color w:val="000000" w:themeColor="text1"/>
        </w:rPr>
        <w:t>Tile</w:t>
      </w:r>
      <w:r w:rsidR="00F45F2A" w:rsidRPr="00A52AB8">
        <w:rPr>
          <w:color w:val="000000" w:themeColor="text1"/>
        </w:rPr>
        <w:t>PatchRawPoints</w:t>
      </w:r>
      <w:r w:rsidR="00F45F2A" w:rsidRPr="00A52AB8">
        <w:t>[ </w:t>
      </w:r>
      <w:r w:rsidR="00632FA7" w:rsidRPr="00A52AB8">
        <w:t>tileID</w:t>
      </w:r>
      <w:r w:rsidR="00F45F2A" w:rsidRPr="00A52AB8">
        <w:t> ]</w:t>
      </w:r>
      <w:r w:rsidR="00F45F2A" w:rsidRPr="00A52AB8">
        <w:rPr>
          <w:lang w:eastAsia="ja-JP"/>
        </w:rPr>
        <w:t>[ p ]</w:t>
      </w:r>
      <w:r w:rsidR="00076048" w:rsidRPr="00A52AB8">
        <w:rPr>
          <w:lang w:eastAsia="ja-JP"/>
        </w:rPr>
        <w:t xml:space="preserve"> </w:t>
      </w:r>
      <w:r w:rsidR="00076048" w:rsidRPr="00A52AB8">
        <w:rPr>
          <w:color w:val="000000" w:themeColor="text1"/>
        </w:rPr>
        <w:t>specifies</w:t>
      </w:r>
      <w:r w:rsidR="00AD281F" w:rsidRPr="00A52AB8">
        <w:rPr>
          <w:color w:val="000000" w:themeColor="text1"/>
        </w:rPr>
        <w:t xml:space="preserve"> </w:t>
      </w:r>
      <w:r w:rsidR="00076048" w:rsidRPr="00A52AB8">
        <w:rPr>
          <w:color w:val="000000" w:themeColor="text1"/>
        </w:rPr>
        <w:t xml:space="preserve">the </w:t>
      </w:r>
      <w:r w:rsidR="00F33445" w:rsidRPr="00A52AB8">
        <w:rPr>
          <w:color w:val="000000" w:themeColor="text1"/>
        </w:rPr>
        <w:t xml:space="preserve">number of raw coded points in the </w:t>
      </w:r>
      <w:r w:rsidR="00076048" w:rsidRPr="00A52AB8">
        <w:rPr>
          <w:color w:val="000000" w:themeColor="text1"/>
        </w:rPr>
        <w:t xml:space="preserve">current patch with patch index p, of the current tile </w:t>
      </w:r>
      <w:r w:rsidR="00A41AF4" w:rsidRPr="00A52AB8">
        <w:rPr>
          <w:color w:val="000000" w:themeColor="text1"/>
        </w:rPr>
        <w:t>with tile ID equal to tileID</w:t>
      </w:r>
      <w:r w:rsidR="00076048" w:rsidRPr="00A52AB8">
        <w:rPr>
          <w:color w:val="000000" w:themeColor="text1"/>
        </w:rPr>
        <w:t>.</w:t>
      </w:r>
    </w:p>
    <w:p w14:paraId="39852B6C" w14:textId="77777777" w:rsidR="0050235C" w:rsidRPr="00A52AB8" w:rsidRDefault="00107BB0" w:rsidP="00107BB0">
      <w:pPr>
        <w:rPr>
          <w:color w:val="000000" w:themeColor="text1"/>
        </w:rPr>
      </w:pPr>
      <w:r w:rsidRPr="00A52AB8">
        <w:rPr>
          <w:color w:val="000000" w:themeColor="text1"/>
        </w:rPr>
        <w:t>TilePatchEomPatchCount</w:t>
      </w:r>
      <w:r w:rsidRPr="00A52AB8">
        <w:t>[ tileID ]</w:t>
      </w:r>
      <w:r w:rsidRPr="00A52AB8">
        <w:rPr>
          <w:lang w:eastAsia="ja-JP"/>
        </w:rPr>
        <w:t xml:space="preserve">[ p ] </w:t>
      </w:r>
      <w:r w:rsidRPr="00A52AB8">
        <w:rPr>
          <w:color w:val="000000" w:themeColor="text1"/>
        </w:rPr>
        <w:t>specifies the number of patches that may be associated with the current patch p, when patch p is an EOM patch type.</w:t>
      </w:r>
    </w:p>
    <w:p w14:paraId="6F76FE23" w14:textId="58823B83" w:rsidR="00107BB0" w:rsidRPr="00A52AB8" w:rsidRDefault="00107BB0" w:rsidP="00107BB0">
      <w:pPr>
        <w:rPr>
          <w:color w:val="000000" w:themeColor="text1"/>
        </w:rPr>
      </w:pPr>
      <w:r w:rsidRPr="00A52AB8">
        <w:rPr>
          <w:color w:val="000000" w:themeColor="text1"/>
        </w:rPr>
        <w:t>TilePatchAssociatedPatchIndex</w:t>
      </w:r>
      <w:r w:rsidRPr="00A52AB8">
        <w:t>[ tileID ]</w:t>
      </w:r>
      <w:r w:rsidRPr="00A52AB8">
        <w:rPr>
          <w:lang w:eastAsia="ja-JP"/>
        </w:rPr>
        <w:t xml:space="preserve">[ p ][ i ] </w:t>
      </w:r>
      <w:r w:rsidRPr="00A52AB8">
        <w:rPr>
          <w:color w:val="000000" w:themeColor="text1"/>
        </w:rPr>
        <w:t xml:space="preserve">specifies the index of the i-th patch associated with the current patch with patch index p, of the current tile with </w:t>
      </w:r>
      <w:r w:rsidR="00DF3E11" w:rsidRPr="00A52AB8">
        <w:rPr>
          <w:color w:val="000000" w:themeColor="text1"/>
        </w:rPr>
        <w:t xml:space="preserve">tile </w:t>
      </w:r>
      <w:r w:rsidRPr="00A52AB8">
        <w:rPr>
          <w:color w:val="000000" w:themeColor="text1"/>
        </w:rPr>
        <w:t xml:space="preserve">ID </w:t>
      </w:r>
      <w:r w:rsidR="00DF3E11" w:rsidRPr="00A52AB8">
        <w:rPr>
          <w:color w:val="000000" w:themeColor="text1"/>
        </w:rPr>
        <w:t xml:space="preserve">equal to </w:t>
      </w:r>
      <w:r w:rsidRPr="00A52AB8">
        <w:rPr>
          <w:color w:val="000000" w:themeColor="text1"/>
        </w:rPr>
        <w:t>tileID where i is in the range of 0 to ( </w:t>
      </w:r>
      <w:r w:rsidR="001939FF" w:rsidRPr="00A52AB8">
        <w:rPr>
          <w:color w:val="000000" w:themeColor="text1"/>
        </w:rPr>
        <w:t>Tile</w:t>
      </w:r>
      <w:r w:rsidRPr="00A52AB8">
        <w:rPr>
          <w:color w:val="000000" w:themeColor="text1"/>
        </w:rPr>
        <w:t>PatchEomPatchCount</w:t>
      </w:r>
      <w:r w:rsidRPr="00A52AB8">
        <w:t>[ tileID ]</w:t>
      </w:r>
      <w:r w:rsidRPr="00A52AB8">
        <w:rPr>
          <w:lang w:eastAsia="ja-JP"/>
        </w:rPr>
        <w:t>[ p ] – 1 ), inclusive</w:t>
      </w:r>
      <w:r w:rsidRPr="00A52AB8">
        <w:rPr>
          <w:color w:val="000000" w:themeColor="text1"/>
        </w:rPr>
        <w:t>.</w:t>
      </w:r>
    </w:p>
    <w:p w14:paraId="430072A3" w14:textId="173203FB" w:rsidR="00107BB0" w:rsidRPr="00A52AB8" w:rsidRDefault="00107BB0" w:rsidP="00107BB0">
      <w:pPr>
        <w:rPr>
          <w:color w:val="000000" w:themeColor="text1"/>
        </w:rPr>
      </w:pPr>
      <w:r w:rsidRPr="00A52AB8">
        <w:rPr>
          <w:color w:val="000000" w:themeColor="text1"/>
        </w:rPr>
        <w:t>TilePatchEomPoints</w:t>
      </w:r>
      <w:r w:rsidRPr="00A52AB8">
        <w:t>[ tileID ]</w:t>
      </w:r>
      <w:r w:rsidRPr="00A52AB8">
        <w:rPr>
          <w:lang w:eastAsia="ja-JP"/>
        </w:rPr>
        <w:t xml:space="preserve">[ p ][ i ] </w:t>
      </w:r>
      <w:r w:rsidRPr="00A52AB8">
        <w:rPr>
          <w:color w:val="000000" w:themeColor="text1"/>
        </w:rPr>
        <w:t xml:space="preserve">specifies the number of EOM coded points in the i-th patch associated with the current patch with patch index p, of the current tile with </w:t>
      </w:r>
      <w:r w:rsidR="00DF3E11" w:rsidRPr="00A52AB8">
        <w:rPr>
          <w:color w:val="000000" w:themeColor="text1"/>
        </w:rPr>
        <w:t xml:space="preserve">tile </w:t>
      </w:r>
      <w:r w:rsidRPr="00A52AB8">
        <w:rPr>
          <w:color w:val="000000" w:themeColor="text1"/>
        </w:rPr>
        <w:t xml:space="preserve">ID </w:t>
      </w:r>
      <w:r w:rsidR="00DF3E11" w:rsidRPr="00A52AB8">
        <w:rPr>
          <w:color w:val="000000" w:themeColor="text1"/>
        </w:rPr>
        <w:t xml:space="preserve">equal to </w:t>
      </w:r>
      <w:r w:rsidRPr="00A52AB8">
        <w:rPr>
          <w:color w:val="000000" w:themeColor="text1"/>
        </w:rPr>
        <w:t>tileID</w:t>
      </w:r>
      <w:r w:rsidR="002B0EAA" w:rsidRPr="00A52AB8">
        <w:rPr>
          <w:color w:val="000000" w:themeColor="text1"/>
        </w:rPr>
        <w:t>,</w:t>
      </w:r>
      <w:r w:rsidRPr="00A52AB8">
        <w:rPr>
          <w:color w:val="000000" w:themeColor="text1"/>
        </w:rPr>
        <w:t xml:space="preserve"> where i is in the range of 0 to ( </w:t>
      </w:r>
      <w:r w:rsidR="001939FF" w:rsidRPr="00A52AB8">
        <w:rPr>
          <w:color w:val="000000" w:themeColor="text1"/>
        </w:rPr>
        <w:t>Tile</w:t>
      </w:r>
      <w:r w:rsidRPr="00A52AB8">
        <w:rPr>
          <w:color w:val="000000" w:themeColor="text1"/>
        </w:rPr>
        <w:t>PatchEomPatchCount</w:t>
      </w:r>
      <w:r w:rsidR="003A53E8" w:rsidRPr="00A52AB8">
        <w:t>[</w:t>
      </w:r>
      <w:r w:rsidRPr="00A52AB8">
        <w:t> tileID ]</w:t>
      </w:r>
      <w:r w:rsidRPr="00A52AB8">
        <w:rPr>
          <w:lang w:eastAsia="ja-JP"/>
        </w:rPr>
        <w:t>[ p ] – 1 ), inclusive</w:t>
      </w:r>
      <w:r w:rsidRPr="00A52AB8">
        <w:rPr>
          <w:color w:val="000000" w:themeColor="text1"/>
        </w:rPr>
        <w:t>.</w:t>
      </w:r>
    </w:p>
    <w:p w14:paraId="033A9CAD" w14:textId="1D75AC5A" w:rsidR="009F4336" w:rsidRPr="00A52AB8" w:rsidRDefault="009F4336" w:rsidP="00107BB0">
      <w:pPr>
        <w:rPr>
          <w:color w:val="000000" w:themeColor="text1"/>
        </w:rPr>
      </w:pPr>
      <w:r w:rsidRPr="00A52AB8">
        <w:rPr>
          <w:color w:val="000000" w:themeColor="text1"/>
        </w:rPr>
        <w:t>TilePatchPlrdLevel[ tileID ][ p ]</w:t>
      </w:r>
      <w:r w:rsidR="002B0EAA" w:rsidRPr="00A52AB8">
        <w:rPr>
          <w:color w:val="000000" w:themeColor="text1"/>
        </w:rPr>
        <w:t>[ m ]</w:t>
      </w:r>
      <w:r w:rsidRPr="00A52AB8">
        <w:rPr>
          <w:color w:val="000000" w:themeColor="text1"/>
        </w:rPr>
        <w:t xml:space="preserve"> specifies </w:t>
      </w:r>
      <w:r w:rsidR="00E5727A" w:rsidRPr="00A52AB8">
        <w:rPr>
          <w:color w:val="000000" w:themeColor="text1"/>
        </w:rPr>
        <w:t>the level</w:t>
      </w:r>
      <w:r w:rsidR="00B9104B" w:rsidRPr="00A52AB8">
        <w:rPr>
          <w:color w:val="000000" w:themeColor="text1"/>
        </w:rPr>
        <w:t xml:space="preserve">, i.e. whether it is at the </w:t>
      </w:r>
      <w:r w:rsidR="00C60897" w:rsidRPr="00A52AB8">
        <w:rPr>
          <w:color w:val="000000" w:themeColor="text1"/>
        </w:rPr>
        <w:t>blo</w:t>
      </w:r>
      <w:r w:rsidR="00B9104B" w:rsidRPr="00A52AB8">
        <w:rPr>
          <w:color w:val="000000" w:themeColor="text1"/>
        </w:rPr>
        <w:t>ck</w:t>
      </w:r>
      <w:r w:rsidR="00C60897" w:rsidRPr="00A52AB8">
        <w:rPr>
          <w:color w:val="000000" w:themeColor="text1"/>
        </w:rPr>
        <w:t xml:space="preserve"> or </w:t>
      </w:r>
      <w:r w:rsidR="00D76A0F" w:rsidRPr="00A52AB8">
        <w:rPr>
          <w:color w:val="000000" w:themeColor="text1"/>
        </w:rPr>
        <w:t>patch</w:t>
      </w:r>
      <w:r w:rsidR="00C60897" w:rsidRPr="00A52AB8">
        <w:rPr>
          <w:color w:val="000000" w:themeColor="text1"/>
        </w:rPr>
        <w:t xml:space="preserve"> level</w:t>
      </w:r>
      <w:r w:rsidR="00B9104B" w:rsidRPr="00A52AB8">
        <w:rPr>
          <w:color w:val="000000" w:themeColor="text1"/>
        </w:rPr>
        <w:t>,</w:t>
      </w:r>
      <w:r w:rsidR="00C60897" w:rsidRPr="00A52AB8">
        <w:rPr>
          <w:color w:val="000000" w:themeColor="text1"/>
        </w:rPr>
        <w:t xml:space="preserve"> </w:t>
      </w:r>
      <w:r w:rsidR="00B9104B" w:rsidRPr="00A52AB8">
        <w:rPr>
          <w:color w:val="000000" w:themeColor="text1"/>
        </w:rPr>
        <w:t>where</w:t>
      </w:r>
      <w:r w:rsidR="00E5727A" w:rsidRPr="00A52AB8">
        <w:rPr>
          <w:color w:val="000000" w:themeColor="text1"/>
        </w:rPr>
        <w:t xml:space="preserve"> PLR data information is present </w:t>
      </w:r>
      <w:r w:rsidR="002B0EAA" w:rsidRPr="00A52AB8">
        <w:rPr>
          <w:color w:val="000000" w:themeColor="text1"/>
        </w:rPr>
        <w:t>for the m-th map associated with</w:t>
      </w:r>
      <w:r w:rsidR="00E5727A" w:rsidRPr="00A52AB8">
        <w:rPr>
          <w:color w:val="000000" w:themeColor="text1"/>
        </w:rPr>
        <w:t xml:space="preserve"> the current patch with patch index p, of the current tile with </w:t>
      </w:r>
      <w:r w:rsidR="00B9104B" w:rsidRPr="00A52AB8">
        <w:rPr>
          <w:color w:val="000000" w:themeColor="text1"/>
        </w:rPr>
        <w:t xml:space="preserve">tile </w:t>
      </w:r>
      <w:r w:rsidR="00E5727A" w:rsidRPr="00A52AB8">
        <w:rPr>
          <w:color w:val="000000" w:themeColor="text1"/>
        </w:rPr>
        <w:t xml:space="preserve">ID </w:t>
      </w:r>
      <w:r w:rsidR="00B9104B" w:rsidRPr="00A52AB8">
        <w:rPr>
          <w:color w:val="000000" w:themeColor="text1"/>
        </w:rPr>
        <w:t xml:space="preserve">equal to </w:t>
      </w:r>
      <w:r w:rsidR="00E5727A" w:rsidRPr="00A52AB8">
        <w:rPr>
          <w:color w:val="000000" w:themeColor="text1"/>
        </w:rPr>
        <w:t>tileID</w:t>
      </w:r>
      <w:r w:rsidR="002B0EAA" w:rsidRPr="00A52AB8">
        <w:rPr>
          <w:color w:val="000000" w:themeColor="text1"/>
        </w:rPr>
        <w:t>, where m is in the range if 0 to asps_map_count_minus1, inclusive</w:t>
      </w:r>
      <w:r w:rsidR="00E5727A" w:rsidRPr="00A52AB8">
        <w:rPr>
          <w:color w:val="000000" w:themeColor="text1"/>
        </w:rPr>
        <w:t>.</w:t>
      </w:r>
    </w:p>
    <w:p w14:paraId="7A995AEE" w14:textId="0DCE88B9" w:rsidR="009F4336" w:rsidRPr="00A52AB8" w:rsidRDefault="009F4336" w:rsidP="009F4336">
      <w:pPr>
        <w:rPr>
          <w:color w:val="000000" w:themeColor="text1"/>
        </w:rPr>
      </w:pPr>
      <w:r w:rsidRPr="00A52AB8">
        <w:rPr>
          <w:color w:val="000000" w:themeColor="text1"/>
        </w:rPr>
        <w:t>TilePatchPlrdPresentBlockFlag[ tileID ][ p ]</w:t>
      </w:r>
      <w:r w:rsidR="00192921" w:rsidRPr="00A52AB8">
        <w:rPr>
          <w:color w:val="000000" w:themeColor="text1"/>
        </w:rPr>
        <w:t>[ m ]</w:t>
      </w:r>
      <w:r w:rsidR="00E567A0" w:rsidRPr="00A52AB8">
        <w:rPr>
          <w:color w:val="000000" w:themeColor="text1"/>
        </w:rPr>
        <w:t>[ j ]</w:t>
      </w:r>
      <w:r w:rsidRPr="00A52AB8">
        <w:rPr>
          <w:color w:val="000000" w:themeColor="text1"/>
        </w:rPr>
        <w:t xml:space="preserve"> specifies</w:t>
      </w:r>
      <w:r w:rsidR="00C60897" w:rsidRPr="00A52AB8">
        <w:rPr>
          <w:color w:val="000000" w:themeColor="text1"/>
        </w:rPr>
        <w:t xml:space="preserve"> the presence of TilePatchPlrdBlockModeMinus1</w:t>
      </w:r>
      <w:r w:rsidR="00490929" w:rsidRPr="00A52AB8">
        <w:rPr>
          <w:color w:val="000000" w:themeColor="text1"/>
        </w:rPr>
        <w:t>[ tileID ][ p ][ m ]</w:t>
      </w:r>
      <w:r w:rsidR="00E567A0" w:rsidRPr="00A52AB8">
        <w:rPr>
          <w:color w:val="000000" w:themeColor="text1"/>
        </w:rPr>
        <w:t>[ j ]</w:t>
      </w:r>
      <w:r w:rsidR="00C60897" w:rsidRPr="00A52AB8">
        <w:rPr>
          <w:color w:val="000000" w:themeColor="text1"/>
        </w:rPr>
        <w:t xml:space="preserve"> for </w:t>
      </w:r>
      <w:r w:rsidR="00E567A0" w:rsidRPr="00A52AB8">
        <w:rPr>
          <w:color w:val="000000" w:themeColor="text1"/>
        </w:rPr>
        <w:t xml:space="preserve">the </w:t>
      </w:r>
      <w:r w:rsidR="00E3080E" w:rsidRPr="00A52AB8">
        <w:rPr>
          <w:color w:val="000000" w:themeColor="text1"/>
        </w:rPr>
        <w:t>j</w:t>
      </w:r>
      <w:r w:rsidR="00E567A0" w:rsidRPr="00A52AB8">
        <w:rPr>
          <w:color w:val="000000" w:themeColor="text1"/>
        </w:rPr>
        <w:t xml:space="preserve">-th block of the map </w:t>
      </w:r>
      <w:r w:rsidR="003B1ADB" w:rsidRPr="00A52AB8">
        <w:rPr>
          <w:color w:val="000000" w:themeColor="text1"/>
        </w:rPr>
        <w:t xml:space="preserve">with index m of the </w:t>
      </w:r>
      <w:r w:rsidR="00C60897" w:rsidRPr="00A52AB8">
        <w:rPr>
          <w:color w:val="000000" w:themeColor="text1"/>
        </w:rPr>
        <w:t xml:space="preserve">patch with patch index p, </w:t>
      </w:r>
      <w:r w:rsidR="003B1ADB" w:rsidRPr="00A52AB8">
        <w:rPr>
          <w:color w:val="000000" w:themeColor="text1"/>
        </w:rPr>
        <w:t>in</w:t>
      </w:r>
      <w:r w:rsidR="00C60897" w:rsidRPr="00A52AB8">
        <w:rPr>
          <w:color w:val="000000" w:themeColor="text1"/>
        </w:rPr>
        <w:t xml:space="preserve"> the tile with </w:t>
      </w:r>
      <w:r w:rsidR="006306BD" w:rsidRPr="00A52AB8">
        <w:rPr>
          <w:color w:val="000000" w:themeColor="text1"/>
        </w:rPr>
        <w:t xml:space="preserve">tile </w:t>
      </w:r>
      <w:r w:rsidR="00C60897" w:rsidRPr="00A52AB8">
        <w:rPr>
          <w:color w:val="000000" w:themeColor="text1"/>
        </w:rPr>
        <w:t xml:space="preserve">ID </w:t>
      </w:r>
      <w:r w:rsidR="006306BD" w:rsidRPr="00A52AB8">
        <w:rPr>
          <w:color w:val="000000" w:themeColor="text1"/>
        </w:rPr>
        <w:t xml:space="preserve">equal to </w:t>
      </w:r>
      <w:r w:rsidR="00C60897" w:rsidRPr="00A52AB8">
        <w:rPr>
          <w:color w:val="000000" w:themeColor="text1"/>
        </w:rPr>
        <w:t>tileID.</w:t>
      </w:r>
    </w:p>
    <w:p w14:paraId="6842649B" w14:textId="475FCC71" w:rsidR="009F4336" w:rsidRPr="00A52AB8" w:rsidRDefault="009F4336" w:rsidP="00107BB0">
      <w:pPr>
        <w:rPr>
          <w:color w:val="000000" w:themeColor="text1"/>
        </w:rPr>
      </w:pPr>
      <w:r w:rsidRPr="00A52AB8">
        <w:rPr>
          <w:color w:val="000000" w:themeColor="text1"/>
        </w:rPr>
        <w:t>TilePatchPlrdBlockModeMinus1[ tileID ][ p ]</w:t>
      </w:r>
      <w:r w:rsidR="00192921" w:rsidRPr="00A52AB8">
        <w:rPr>
          <w:color w:val="000000" w:themeColor="text1"/>
        </w:rPr>
        <w:t>[ m ]</w:t>
      </w:r>
      <w:r w:rsidR="00E567A0" w:rsidRPr="00A52AB8">
        <w:rPr>
          <w:color w:val="000000" w:themeColor="text1"/>
        </w:rPr>
        <w:t>[ j ]</w:t>
      </w:r>
      <w:r w:rsidRPr="00A52AB8">
        <w:rPr>
          <w:color w:val="000000" w:themeColor="text1"/>
        </w:rPr>
        <w:t xml:space="preserve"> specifies</w:t>
      </w:r>
      <w:r w:rsidR="00C60897" w:rsidRPr="00A52AB8">
        <w:rPr>
          <w:color w:val="000000" w:themeColor="text1"/>
        </w:rPr>
        <w:t xml:space="preserve"> the PLR mode selected in the list of PLR modes,</w:t>
      </w:r>
      <w:r w:rsidR="003B1ADB" w:rsidRPr="00A52AB8">
        <w:rPr>
          <w:color w:val="000000" w:themeColor="text1"/>
        </w:rPr>
        <w:t xml:space="preserve"> for the </w:t>
      </w:r>
      <w:r w:rsidR="00E3080E" w:rsidRPr="00A52AB8">
        <w:rPr>
          <w:color w:val="000000" w:themeColor="text1"/>
        </w:rPr>
        <w:t>j</w:t>
      </w:r>
      <w:r w:rsidR="003B1ADB" w:rsidRPr="00A52AB8">
        <w:rPr>
          <w:color w:val="000000" w:themeColor="text1"/>
        </w:rPr>
        <w:t>-th block of the map with index m of the patch with patch index p, in the tile with</w:t>
      </w:r>
      <w:r w:rsidR="006306BD" w:rsidRPr="00A52AB8">
        <w:rPr>
          <w:color w:val="000000" w:themeColor="text1"/>
        </w:rPr>
        <w:t xml:space="preserve"> tile</w:t>
      </w:r>
      <w:r w:rsidR="003B1ADB" w:rsidRPr="00A52AB8">
        <w:rPr>
          <w:color w:val="000000" w:themeColor="text1"/>
        </w:rPr>
        <w:t xml:space="preserve"> ID </w:t>
      </w:r>
      <w:r w:rsidR="006306BD" w:rsidRPr="00A52AB8">
        <w:rPr>
          <w:color w:val="000000" w:themeColor="text1"/>
        </w:rPr>
        <w:t xml:space="preserve">equal to </w:t>
      </w:r>
      <w:r w:rsidR="003B1ADB" w:rsidRPr="00A52AB8">
        <w:rPr>
          <w:color w:val="000000" w:themeColor="text1"/>
        </w:rPr>
        <w:t>tileID.</w:t>
      </w:r>
    </w:p>
    <w:p w14:paraId="561A80B9" w14:textId="2C417476" w:rsidR="009F4336" w:rsidRPr="00A52AB8" w:rsidRDefault="009F4336" w:rsidP="009F4336">
      <w:pPr>
        <w:rPr>
          <w:color w:val="000000" w:themeColor="text1"/>
        </w:rPr>
      </w:pPr>
      <w:r w:rsidRPr="00A52AB8">
        <w:rPr>
          <w:color w:val="000000" w:themeColor="text1"/>
        </w:rPr>
        <w:t>TilePatchPlrdPresentFlag[ tileID ][ p ]</w:t>
      </w:r>
      <w:r w:rsidR="00192921" w:rsidRPr="00A52AB8">
        <w:rPr>
          <w:color w:val="000000" w:themeColor="text1"/>
        </w:rPr>
        <w:t>[ m ]</w:t>
      </w:r>
      <w:r w:rsidRPr="00A52AB8">
        <w:rPr>
          <w:color w:val="000000" w:themeColor="text1"/>
        </w:rPr>
        <w:t xml:space="preserve"> specifies</w:t>
      </w:r>
      <w:r w:rsidR="00E567A0" w:rsidRPr="00A52AB8">
        <w:rPr>
          <w:color w:val="000000" w:themeColor="text1"/>
        </w:rPr>
        <w:t xml:space="preserve"> the presence of </w:t>
      </w:r>
      <w:r w:rsidR="000F0028" w:rsidRPr="00A52AB8">
        <w:rPr>
          <w:color w:val="000000" w:themeColor="text1"/>
        </w:rPr>
        <w:t xml:space="preserve">the variable </w:t>
      </w:r>
      <w:r w:rsidR="00E567A0" w:rsidRPr="00A52AB8">
        <w:rPr>
          <w:color w:val="000000" w:themeColor="text1"/>
        </w:rPr>
        <w:t>TilePatchPlrdModeMinus1[ tileID ][ p ]</w:t>
      </w:r>
      <w:r w:rsidR="00192921" w:rsidRPr="00A52AB8">
        <w:rPr>
          <w:color w:val="000000" w:themeColor="text1"/>
        </w:rPr>
        <w:t>[ m ]</w:t>
      </w:r>
      <w:r w:rsidR="00E567A0" w:rsidRPr="00A52AB8">
        <w:rPr>
          <w:color w:val="000000" w:themeColor="text1"/>
        </w:rPr>
        <w:t xml:space="preserve"> for the </w:t>
      </w:r>
      <w:r w:rsidR="0056799D" w:rsidRPr="00A52AB8">
        <w:rPr>
          <w:color w:val="000000" w:themeColor="text1"/>
        </w:rPr>
        <w:t xml:space="preserve">current </w:t>
      </w:r>
      <w:r w:rsidR="00E567A0" w:rsidRPr="00A52AB8">
        <w:rPr>
          <w:color w:val="000000" w:themeColor="text1"/>
        </w:rPr>
        <w:t xml:space="preserve">patch with patch index p, of the </w:t>
      </w:r>
      <w:r w:rsidR="0056799D" w:rsidRPr="00A52AB8">
        <w:rPr>
          <w:color w:val="000000" w:themeColor="text1"/>
        </w:rPr>
        <w:t xml:space="preserve">current </w:t>
      </w:r>
      <w:r w:rsidR="00E567A0" w:rsidRPr="00A52AB8">
        <w:rPr>
          <w:color w:val="000000" w:themeColor="text1"/>
        </w:rPr>
        <w:t xml:space="preserve">tile with </w:t>
      </w:r>
      <w:r w:rsidR="006306BD" w:rsidRPr="00A52AB8">
        <w:rPr>
          <w:color w:val="000000" w:themeColor="text1"/>
        </w:rPr>
        <w:t xml:space="preserve">tile </w:t>
      </w:r>
      <w:r w:rsidR="00E567A0" w:rsidRPr="00A52AB8">
        <w:rPr>
          <w:color w:val="000000" w:themeColor="text1"/>
        </w:rPr>
        <w:t xml:space="preserve">ID </w:t>
      </w:r>
      <w:r w:rsidR="006306BD" w:rsidRPr="00A52AB8">
        <w:rPr>
          <w:color w:val="000000" w:themeColor="text1"/>
        </w:rPr>
        <w:t xml:space="preserve">equal to </w:t>
      </w:r>
      <w:r w:rsidR="00E567A0" w:rsidRPr="00A52AB8">
        <w:rPr>
          <w:color w:val="000000" w:themeColor="text1"/>
        </w:rPr>
        <w:t>tileID, and the map with index m.</w:t>
      </w:r>
    </w:p>
    <w:p w14:paraId="2C060CD9" w14:textId="3370CA42" w:rsidR="00E5727A" w:rsidRPr="00A52AB8" w:rsidRDefault="009F4336" w:rsidP="0056799D">
      <w:pPr>
        <w:rPr>
          <w:color w:val="000000" w:themeColor="text1"/>
        </w:rPr>
      </w:pPr>
      <w:r w:rsidRPr="00A52AB8">
        <w:rPr>
          <w:color w:val="000000" w:themeColor="text1"/>
        </w:rPr>
        <w:t>TilePatchPlrdModeMinus1[ tileID ][ p ]</w:t>
      </w:r>
      <w:r w:rsidR="00192921" w:rsidRPr="00A52AB8">
        <w:rPr>
          <w:color w:val="000000" w:themeColor="text1"/>
        </w:rPr>
        <w:t>[ m ]</w:t>
      </w:r>
      <w:r w:rsidRPr="00A52AB8">
        <w:rPr>
          <w:color w:val="000000" w:themeColor="text1"/>
        </w:rPr>
        <w:t xml:space="preserve"> specifies</w:t>
      </w:r>
      <w:r w:rsidR="00343F96" w:rsidRPr="00A52AB8">
        <w:rPr>
          <w:color w:val="000000" w:themeColor="text1"/>
        </w:rPr>
        <w:t xml:space="preserve"> the </w:t>
      </w:r>
      <w:r w:rsidR="00192921" w:rsidRPr="00A52AB8">
        <w:rPr>
          <w:color w:val="000000" w:themeColor="text1"/>
        </w:rPr>
        <w:t>selected</w:t>
      </w:r>
      <w:r w:rsidR="00343F96" w:rsidRPr="00A52AB8">
        <w:rPr>
          <w:color w:val="000000" w:themeColor="text1"/>
        </w:rPr>
        <w:t xml:space="preserve"> PLR mode </w:t>
      </w:r>
      <w:r w:rsidR="00192921" w:rsidRPr="00A52AB8">
        <w:rPr>
          <w:color w:val="000000" w:themeColor="text1"/>
        </w:rPr>
        <w:t xml:space="preserve">index </w:t>
      </w:r>
      <w:r w:rsidR="009D2BE2" w:rsidRPr="00A52AB8">
        <w:rPr>
          <w:color w:val="000000" w:themeColor="text1"/>
        </w:rPr>
        <w:t xml:space="preserve">and its associated parameters from the parameters indicated in the ASPS, as in subclause </w:t>
      </w:r>
      <w:r w:rsidR="009D2BE2" w:rsidRPr="00496A4D">
        <w:rPr>
          <w:color w:val="000000" w:themeColor="text1"/>
        </w:rPr>
        <w:fldChar w:fldCharType="begin"/>
      </w:r>
      <w:r w:rsidR="009D2BE2" w:rsidRPr="00A52AB8">
        <w:rPr>
          <w:color w:val="000000" w:themeColor="text1"/>
        </w:rPr>
        <w:instrText xml:space="preserve"> REF _Ref19902496 \r \h </w:instrText>
      </w:r>
      <w:r w:rsidR="00851254" w:rsidRPr="00A52AB8">
        <w:rPr>
          <w:color w:val="000000" w:themeColor="text1"/>
        </w:rPr>
        <w:instrText xml:space="preserve"> \* MERGEFORMAT </w:instrText>
      </w:r>
      <w:r w:rsidR="009D2BE2" w:rsidRPr="00496A4D">
        <w:rPr>
          <w:color w:val="000000" w:themeColor="text1"/>
        </w:rPr>
      </w:r>
      <w:r w:rsidR="009D2BE2" w:rsidRPr="00496A4D">
        <w:rPr>
          <w:color w:val="000000" w:themeColor="text1"/>
        </w:rPr>
        <w:fldChar w:fldCharType="separate"/>
      </w:r>
      <w:r w:rsidR="00507A67">
        <w:rPr>
          <w:color w:val="000000" w:themeColor="text1"/>
        </w:rPr>
        <w:t>8.3.6.1.2</w:t>
      </w:r>
      <w:r w:rsidR="009D2BE2" w:rsidRPr="00496A4D">
        <w:rPr>
          <w:color w:val="000000" w:themeColor="text1"/>
        </w:rPr>
        <w:fldChar w:fldCharType="end"/>
      </w:r>
      <w:r w:rsidR="00343F96" w:rsidRPr="00A52AB8">
        <w:rPr>
          <w:color w:val="000000" w:themeColor="text1"/>
        </w:rPr>
        <w:t xml:space="preserve">, </w:t>
      </w:r>
      <w:r w:rsidR="0056799D" w:rsidRPr="00A52AB8">
        <w:rPr>
          <w:color w:val="000000" w:themeColor="text1"/>
        </w:rPr>
        <w:t>for</w:t>
      </w:r>
      <w:r w:rsidR="00343F96" w:rsidRPr="00A52AB8">
        <w:rPr>
          <w:color w:val="000000" w:themeColor="text1"/>
        </w:rPr>
        <w:t xml:space="preserve"> the </w:t>
      </w:r>
      <w:r w:rsidR="0056799D" w:rsidRPr="00A52AB8">
        <w:rPr>
          <w:color w:val="000000" w:themeColor="text1"/>
        </w:rPr>
        <w:t>current</w:t>
      </w:r>
      <w:r w:rsidR="00343F96" w:rsidRPr="00A52AB8">
        <w:rPr>
          <w:color w:val="000000" w:themeColor="text1"/>
        </w:rPr>
        <w:t xml:space="preserve"> patch with patch index p, in the </w:t>
      </w:r>
      <w:r w:rsidR="0056799D" w:rsidRPr="00A52AB8">
        <w:rPr>
          <w:color w:val="000000" w:themeColor="text1"/>
        </w:rPr>
        <w:t xml:space="preserve">current </w:t>
      </w:r>
      <w:r w:rsidR="00343F96" w:rsidRPr="00A52AB8">
        <w:rPr>
          <w:color w:val="000000" w:themeColor="text1"/>
        </w:rPr>
        <w:t xml:space="preserve">tile with </w:t>
      </w:r>
      <w:r w:rsidR="0056799D" w:rsidRPr="00A52AB8">
        <w:rPr>
          <w:color w:val="000000" w:themeColor="text1"/>
        </w:rPr>
        <w:t xml:space="preserve">tile </w:t>
      </w:r>
      <w:r w:rsidR="00343F96" w:rsidRPr="00A52AB8">
        <w:rPr>
          <w:color w:val="000000" w:themeColor="text1"/>
        </w:rPr>
        <w:t xml:space="preserve">ID </w:t>
      </w:r>
      <w:r w:rsidR="0056799D" w:rsidRPr="00A52AB8">
        <w:rPr>
          <w:color w:val="000000" w:themeColor="text1"/>
        </w:rPr>
        <w:t xml:space="preserve">equal to </w:t>
      </w:r>
      <w:r w:rsidR="00343F96" w:rsidRPr="00A52AB8">
        <w:rPr>
          <w:color w:val="000000" w:themeColor="text1"/>
        </w:rPr>
        <w:t>tileID</w:t>
      </w:r>
      <w:r w:rsidR="0056799D" w:rsidRPr="00A52AB8">
        <w:rPr>
          <w:color w:val="000000" w:themeColor="text1"/>
        </w:rPr>
        <w:t>, for a map with index m.</w:t>
      </w:r>
    </w:p>
    <w:p w14:paraId="7F27B6D9" w14:textId="77777777" w:rsidR="00107BB0" w:rsidRPr="00A52AB8" w:rsidRDefault="00107BB0" w:rsidP="00107BB0">
      <w:pPr>
        <w:rPr>
          <w:color w:val="000000" w:themeColor="text1"/>
        </w:rPr>
      </w:pPr>
      <w:r w:rsidRPr="00A52AB8">
        <w:rPr>
          <w:color w:val="000000" w:themeColor="text1"/>
        </w:rPr>
        <w:t>These variables are initially set as follows:</w:t>
      </w:r>
    </w:p>
    <w:p w14:paraId="70527113" w14:textId="289074F4" w:rsidR="00107BB0" w:rsidRPr="00A52AB8" w:rsidRDefault="00107BB0" w:rsidP="00107BB0">
      <w:pPr>
        <w:rPr>
          <w:lang w:eastAsia="ja-JP"/>
        </w:rPr>
      </w:pPr>
      <w:r w:rsidRPr="00A52AB8">
        <w:rPr>
          <w:color w:val="000000" w:themeColor="text1"/>
        </w:rPr>
        <w:tab/>
        <w:t>TilePatchType[ tileID ][ p ]</w:t>
      </w:r>
      <w:r w:rsidR="00D47707" w:rsidRPr="00A52AB8">
        <w:rPr>
          <w:color w:val="000000" w:themeColor="text1"/>
        </w:rPr>
        <w:t> = </w:t>
      </w:r>
      <w:r w:rsidR="006C4CA7" w:rsidRPr="00A52AB8">
        <w:rPr>
          <w:color w:val="000000" w:themeColor="text1"/>
        </w:rPr>
        <w:t>PROJECTED</w:t>
      </w:r>
      <w:r w:rsidR="00130122" w:rsidRPr="00A52AB8">
        <w:rPr>
          <w:color w:val="000000" w:themeColor="text1"/>
        </w:rPr>
        <w:br/>
      </w:r>
      <w:r w:rsidRPr="00A52AB8">
        <w:rPr>
          <w:color w:val="000000" w:themeColor="text1"/>
        </w:rPr>
        <w:tab/>
        <w:t>Tile</w:t>
      </w:r>
      <w:r w:rsidRPr="00A52AB8">
        <w:t>PatchInAuxVideo</w:t>
      </w:r>
      <w:r w:rsidRPr="00A52AB8">
        <w:rPr>
          <w:color w:val="000000" w:themeColor="text1"/>
        </w:rPr>
        <w:t>[ tileID ][ p ]</w:t>
      </w:r>
      <w:r w:rsidR="00D47707" w:rsidRPr="00A52AB8">
        <w:rPr>
          <w:color w:val="000000" w:themeColor="text1"/>
        </w:rPr>
        <w:t> = </w:t>
      </w:r>
      <w:r w:rsidR="00FD7013" w:rsidRPr="00A52AB8">
        <w:rPr>
          <w:color w:val="000000" w:themeColor="text1"/>
        </w:rPr>
        <w:t>0</w:t>
      </w:r>
      <w:r w:rsidR="00130122" w:rsidRPr="00A52AB8">
        <w:rPr>
          <w:color w:val="000000" w:themeColor="text1"/>
        </w:rPr>
        <w:br/>
      </w:r>
      <w:r w:rsidRPr="00A52AB8">
        <w:rPr>
          <w:color w:val="000000" w:themeColor="text1"/>
        </w:rPr>
        <w:tab/>
        <w:t>Tile</w:t>
      </w:r>
      <w:r w:rsidRPr="00A52AB8">
        <w:rPr>
          <w:lang w:eastAsia="ja-JP"/>
        </w:rPr>
        <w:t>Patch2dPosX</w:t>
      </w:r>
      <w:r w:rsidRPr="00A52AB8">
        <w:t>[ tileID ]</w:t>
      </w:r>
      <w:r w:rsidRPr="00A52AB8">
        <w:rPr>
          <w:color w:val="000000" w:themeColor="text1"/>
        </w:rPr>
        <w:t>[ p ]</w:t>
      </w:r>
      <w:r w:rsidR="00D47707" w:rsidRPr="00A52AB8">
        <w:rPr>
          <w:color w:val="000000" w:themeColor="text1"/>
        </w:rPr>
        <w:t> = </w:t>
      </w:r>
      <w:r w:rsidRPr="00A52AB8">
        <w:rPr>
          <w:color w:val="000000" w:themeColor="text1"/>
        </w:rPr>
        <w:t>0</w:t>
      </w:r>
      <w:r w:rsidR="00130122" w:rsidRPr="00A52AB8">
        <w:rPr>
          <w:color w:val="000000" w:themeColor="text1"/>
        </w:rPr>
        <w:br/>
      </w:r>
      <w:r w:rsidRPr="00A52AB8">
        <w:rPr>
          <w:color w:val="000000" w:themeColor="text1"/>
        </w:rPr>
        <w:tab/>
        <w:t>Tile</w:t>
      </w:r>
      <w:r w:rsidRPr="00A52AB8">
        <w:rPr>
          <w:lang w:eastAsia="ja-JP"/>
        </w:rPr>
        <w:t>Patch2dPosY</w:t>
      </w:r>
      <w:r w:rsidRPr="00A52AB8">
        <w:t>[ tileID ]</w:t>
      </w:r>
      <w:r w:rsidRPr="00A52AB8">
        <w:rPr>
          <w:color w:val="000000" w:themeColor="text1"/>
        </w:rPr>
        <w:t>[ p ]</w:t>
      </w:r>
      <w:r w:rsidR="00D47707" w:rsidRPr="00A52AB8">
        <w:rPr>
          <w:color w:val="000000" w:themeColor="text1"/>
        </w:rPr>
        <w:t> = </w:t>
      </w:r>
      <w:r w:rsidRPr="00A52AB8">
        <w:rPr>
          <w:color w:val="000000" w:themeColor="text1"/>
        </w:rPr>
        <w:t xml:space="preserve">0 </w:t>
      </w:r>
      <w:r w:rsidR="00130122" w:rsidRPr="00A52AB8">
        <w:rPr>
          <w:color w:val="000000" w:themeColor="text1"/>
        </w:rPr>
        <w:br/>
      </w:r>
      <w:r w:rsidRPr="00A52AB8">
        <w:rPr>
          <w:color w:val="000000" w:themeColor="text1"/>
        </w:rPr>
        <w:tab/>
        <w:t>TilePatch2dSizeX</w:t>
      </w:r>
      <w:r w:rsidRPr="00A52AB8">
        <w:t>[ tileID ]</w:t>
      </w:r>
      <w:r w:rsidRPr="00A52AB8">
        <w:rPr>
          <w:color w:val="000000" w:themeColor="text1"/>
        </w:rPr>
        <w:t>[ p ]</w:t>
      </w:r>
      <w:r w:rsidR="00D47707" w:rsidRPr="00A52AB8">
        <w:rPr>
          <w:color w:val="000000" w:themeColor="text1"/>
        </w:rPr>
        <w:t> = </w:t>
      </w:r>
      <w:r w:rsidRPr="00A52AB8">
        <w:rPr>
          <w:color w:val="000000" w:themeColor="text1"/>
        </w:rPr>
        <w:t>1</w:t>
      </w:r>
      <w:r w:rsidR="00130122" w:rsidRPr="00A52AB8">
        <w:rPr>
          <w:color w:val="000000" w:themeColor="text1"/>
        </w:rPr>
        <w:br/>
      </w:r>
      <w:r w:rsidRPr="00A52AB8">
        <w:rPr>
          <w:color w:val="000000" w:themeColor="text1"/>
        </w:rPr>
        <w:tab/>
        <w:t>TilePatch2dSizeY</w:t>
      </w:r>
      <w:r w:rsidRPr="00A52AB8">
        <w:t>[ tileID ]</w:t>
      </w:r>
      <w:r w:rsidRPr="00A52AB8">
        <w:rPr>
          <w:color w:val="000000" w:themeColor="text1"/>
        </w:rPr>
        <w:t>[ p ]</w:t>
      </w:r>
      <w:r w:rsidR="00D47707" w:rsidRPr="00A52AB8">
        <w:rPr>
          <w:color w:val="000000" w:themeColor="text1"/>
        </w:rPr>
        <w:t> = </w:t>
      </w:r>
      <w:r w:rsidRPr="00A52AB8">
        <w:rPr>
          <w:color w:val="000000" w:themeColor="text1"/>
        </w:rPr>
        <w:t>1</w:t>
      </w:r>
      <w:r w:rsidR="00130122" w:rsidRPr="00A52AB8">
        <w:rPr>
          <w:color w:val="000000" w:themeColor="text1"/>
        </w:rPr>
        <w:br/>
      </w:r>
      <w:r w:rsidRPr="00A52AB8">
        <w:rPr>
          <w:color w:val="000000" w:themeColor="text1"/>
        </w:rPr>
        <w:tab/>
      </w:r>
      <w:r w:rsidR="00314925" w:rsidRPr="00A52AB8">
        <w:rPr>
          <w:color w:val="000000" w:themeColor="text1"/>
        </w:rPr>
        <w:t>TilePatch3dOffsetU</w:t>
      </w:r>
      <w:r w:rsidRPr="00A52AB8">
        <w:t>[ tileID ]</w:t>
      </w:r>
      <w:r w:rsidRPr="00A52AB8">
        <w:rPr>
          <w:lang w:eastAsia="ja-JP"/>
        </w:rPr>
        <w:t>[ p ]</w:t>
      </w:r>
      <w:r w:rsidR="00D47707" w:rsidRPr="00A52AB8">
        <w:rPr>
          <w:lang w:eastAsia="ja-JP"/>
        </w:rPr>
        <w:t> = </w:t>
      </w:r>
      <w:r w:rsidRPr="00A52AB8">
        <w:rPr>
          <w:lang w:eastAsia="ja-JP"/>
        </w:rPr>
        <w:t>0</w:t>
      </w:r>
      <w:r w:rsidR="00130122" w:rsidRPr="00A52AB8">
        <w:rPr>
          <w:color w:val="000000" w:themeColor="text1"/>
        </w:rPr>
        <w:br/>
      </w:r>
      <w:r w:rsidRPr="00A52AB8">
        <w:rPr>
          <w:color w:val="000000" w:themeColor="text1"/>
        </w:rPr>
        <w:tab/>
      </w:r>
      <w:r w:rsidR="00314925" w:rsidRPr="00A52AB8">
        <w:rPr>
          <w:color w:val="000000" w:themeColor="text1"/>
        </w:rPr>
        <w:t>TilePatch3dOffsetV</w:t>
      </w:r>
      <w:r w:rsidRPr="00A52AB8">
        <w:t>[ tileID ]</w:t>
      </w:r>
      <w:r w:rsidRPr="00A52AB8">
        <w:rPr>
          <w:lang w:eastAsia="ja-JP"/>
        </w:rPr>
        <w:t>[ p ]</w:t>
      </w:r>
      <w:r w:rsidR="00D47707" w:rsidRPr="00A52AB8">
        <w:rPr>
          <w:lang w:eastAsia="ja-JP"/>
        </w:rPr>
        <w:t> = </w:t>
      </w:r>
      <w:r w:rsidRPr="00A52AB8">
        <w:rPr>
          <w:lang w:eastAsia="ja-JP"/>
        </w:rPr>
        <w:t>0</w:t>
      </w:r>
      <w:r w:rsidR="00130122" w:rsidRPr="00A52AB8">
        <w:rPr>
          <w:color w:val="000000" w:themeColor="text1"/>
        </w:rPr>
        <w:br/>
      </w:r>
      <w:r w:rsidRPr="00A52AB8">
        <w:rPr>
          <w:color w:val="000000" w:themeColor="text1"/>
        </w:rPr>
        <w:tab/>
      </w:r>
      <w:r w:rsidR="00141AB2" w:rsidRPr="00A52AB8">
        <w:rPr>
          <w:color w:val="000000" w:themeColor="text1"/>
        </w:rPr>
        <w:t>TilePatch3dOffsetD</w:t>
      </w:r>
      <w:r w:rsidRPr="00A52AB8">
        <w:t>[ tileID ]</w:t>
      </w:r>
      <w:r w:rsidRPr="00A52AB8">
        <w:rPr>
          <w:lang w:eastAsia="ja-JP"/>
        </w:rPr>
        <w:t>[ p ]</w:t>
      </w:r>
      <w:r w:rsidR="00D47707" w:rsidRPr="00A52AB8">
        <w:rPr>
          <w:lang w:eastAsia="ja-JP"/>
        </w:rPr>
        <w:t> = </w:t>
      </w:r>
      <w:r w:rsidRPr="00A52AB8">
        <w:rPr>
          <w:lang w:eastAsia="ja-JP"/>
        </w:rPr>
        <w:t>0</w:t>
      </w:r>
      <w:r w:rsidR="00130122" w:rsidRPr="00A52AB8">
        <w:rPr>
          <w:color w:val="000000" w:themeColor="text1"/>
        </w:rPr>
        <w:br/>
      </w:r>
      <w:r w:rsidRPr="00A52AB8">
        <w:rPr>
          <w:color w:val="000000" w:themeColor="text1"/>
        </w:rPr>
        <w:tab/>
        <w:t>TileP</w:t>
      </w:r>
      <w:r w:rsidR="004E584F" w:rsidRPr="00A52AB8">
        <w:rPr>
          <w:color w:val="000000" w:themeColor="text1"/>
        </w:rPr>
        <w:t>atch</w:t>
      </w:r>
      <w:r w:rsidR="001A4D59" w:rsidRPr="00A52AB8">
        <w:rPr>
          <w:color w:val="000000" w:themeColor="text1"/>
        </w:rPr>
        <w:t>3dRangeD</w:t>
      </w:r>
      <w:r w:rsidR="004E584F" w:rsidRPr="00A52AB8">
        <w:rPr>
          <w:color w:val="000000" w:themeColor="text1"/>
        </w:rPr>
        <w:t>[ tileID ][ p ]</w:t>
      </w:r>
      <w:r w:rsidR="00D47707" w:rsidRPr="00A52AB8">
        <w:rPr>
          <w:color w:val="000000" w:themeColor="text1"/>
        </w:rPr>
        <w:t> = </w:t>
      </w:r>
      <w:r w:rsidR="004E584F" w:rsidRPr="00A52AB8">
        <w:rPr>
          <w:color w:val="000000" w:themeColor="text1"/>
        </w:rPr>
        <w:t>0</w:t>
      </w:r>
      <w:r w:rsidR="004E584F" w:rsidRPr="00A52AB8">
        <w:rPr>
          <w:color w:val="000000" w:themeColor="text1"/>
        </w:rPr>
        <w:br/>
      </w:r>
      <w:r w:rsidR="004E584F" w:rsidRPr="00A52AB8">
        <w:rPr>
          <w:color w:val="000000" w:themeColor="text1"/>
        </w:rPr>
        <w:tab/>
        <w:t>TilePatchProjectionID[ tileID ][ p ]</w:t>
      </w:r>
      <w:r w:rsidR="00D47707" w:rsidRPr="00A52AB8">
        <w:rPr>
          <w:color w:val="000000" w:themeColor="text1"/>
        </w:rPr>
        <w:t> = </w:t>
      </w:r>
      <w:r w:rsidR="004E584F" w:rsidRPr="00A52AB8">
        <w:rPr>
          <w:color w:val="000000" w:themeColor="text1"/>
        </w:rPr>
        <w:t>0</w:t>
      </w:r>
      <w:r w:rsidR="00130122" w:rsidRPr="00A52AB8">
        <w:rPr>
          <w:color w:val="000000" w:themeColor="text1"/>
        </w:rPr>
        <w:br/>
      </w:r>
      <w:r w:rsidRPr="00A52AB8">
        <w:rPr>
          <w:color w:val="000000" w:themeColor="text1"/>
        </w:rPr>
        <w:tab/>
        <w:t>Tile</w:t>
      </w:r>
      <w:r w:rsidRPr="00A52AB8">
        <w:rPr>
          <w:lang w:eastAsia="ja-JP"/>
        </w:rPr>
        <w:t>PatchOrientationIndex</w:t>
      </w:r>
      <w:r w:rsidRPr="00A52AB8">
        <w:t>[ tileID ]</w:t>
      </w:r>
      <w:r w:rsidRPr="00A52AB8">
        <w:rPr>
          <w:lang w:eastAsia="ja-JP"/>
        </w:rPr>
        <w:t>[ p ]</w:t>
      </w:r>
      <w:r w:rsidR="00D47707" w:rsidRPr="00A52AB8">
        <w:rPr>
          <w:lang w:eastAsia="ja-JP"/>
        </w:rPr>
        <w:t> = </w:t>
      </w:r>
      <w:r w:rsidRPr="00A52AB8">
        <w:rPr>
          <w:lang w:eastAsia="ja-JP"/>
        </w:rPr>
        <w:t>0</w:t>
      </w:r>
      <w:r w:rsidR="00130122" w:rsidRPr="00A52AB8">
        <w:rPr>
          <w:color w:val="000000" w:themeColor="text1"/>
        </w:rPr>
        <w:br/>
      </w:r>
      <w:r w:rsidRPr="00A52AB8">
        <w:rPr>
          <w:color w:val="000000" w:themeColor="text1"/>
        </w:rPr>
        <w:tab/>
        <w:t>Tile</w:t>
      </w:r>
      <w:r w:rsidRPr="00A52AB8">
        <w:rPr>
          <w:lang w:eastAsia="ja-JP"/>
        </w:rPr>
        <w:t>PatchLoDScaleX</w:t>
      </w:r>
      <w:r w:rsidRPr="00A52AB8">
        <w:t>[ tileID ]</w:t>
      </w:r>
      <w:r w:rsidRPr="00A52AB8">
        <w:rPr>
          <w:color w:val="000000" w:themeColor="text1"/>
        </w:rPr>
        <w:t>[ p ]</w:t>
      </w:r>
      <w:r w:rsidR="00D47707" w:rsidRPr="00A52AB8">
        <w:rPr>
          <w:color w:val="000000" w:themeColor="text1"/>
        </w:rPr>
        <w:t> = </w:t>
      </w:r>
      <w:r w:rsidR="00705245" w:rsidRPr="00A52AB8">
        <w:rPr>
          <w:color w:val="000000" w:themeColor="text1"/>
        </w:rPr>
        <w:t>1</w:t>
      </w:r>
      <w:r w:rsidR="00130122" w:rsidRPr="00A52AB8">
        <w:rPr>
          <w:color w:val="000000" w:themeColor="text1"/>
        </w:rPr>
        <w:br/>
      </w:r>
      <w:r w:rsidRPr="00A52AB8">
        <w:rPr>
          <w:color w:val="000000" w:themeColor="text1"/>
        </w:rPr>
        <w:tab/>
        <w:t>Tile</w:t>
      </w:r>
      <w:r w:rsidRPr="00A52AB8">
        <w:rPr>
          <w:lang w:eastAsia="ja-JP"/>
        </w:rPr>
        <w:t>PatchLoDScaleY</w:t>
      </w:r>
      <w:r w:rsidRPr="00A52AB8">
        <w:t>[ tileID ]</w:t>
      </w:r>
      <w:r w:rsidRPr="00A52AB8">
        <w:rPr>
          <w:color w:val="000000" w:themeColor="text1"/>
        </w:rPr>
        <w:t>[ p ]</w:t>
      </w:r>
      <w:r w:rsidR="00D47707" w:rsidRPr="00A52AB8">
        <w:rPr>
          <w:color w:val="000000" w:themeColor="text1"/>
        </w:rPr>
        <w:t> = </w:t>
      </w:r>
      <w:r w:rsidR="00705245" w:rsidRPr="00A52AB8">
        <w:rPr>
          <w:color w:val="000000" w:themeColor="text1"/>
        </w:rPr>
        <w:t>1</w:t>
      </w:r>
      <w:r w:rsidR="00130122" w:rsidRPr="00A52AB8">
        <w:rPr>
          <w:color w:val="000000" w:themeColor="text1"/>
        </w:rPr>
        <w:br/>
      </w:r>
      <w:r w:rsidRPr="00A52AB8">
        <w:rPr>
          <w:color w:val="000000" w:themeColor="text1"/>
        </w:rPr>
        <w:tab/>
        <w:t>TilePatchRawPoints</w:t>
      </w:r>
      <w:r w:rsidRPr="00A52AB8">
        <w:t>[ tileID ]</w:t>
      </w:r>
      <w:r w:rsidRPr="00A52AB8">
        <w:rPr>
          <w:lang w:eastAsia="ja-JP"/>
        </w:rPr>
        <w:t>[ p ]</w:t>
      </w:r>
      <w:r w:rsidR="00D47707" w:rsidRPr="00A52AB8">
        <w:rPr>
          <w:lang w:eastAsia="ja-JP"/>
        </w:rPr>
        <w:t> = </w:t>
      </w:r>
      <w:r w:rsidRPr="00A52AB8">
        <w:rPr>
          <w:lang w:eastAsia="ja-JP"/>
        </w:rPr>
        <w:t>0</w:t>
      </w:r>
      <w:r w:rsidR="00130122" w:rsidRPr="00A52AB8">
        <w:rPr>
          <w:color w:val="000000" w:themeColor="text1"/>
        </w:rPr>
        <w:br/>
      </w:r>
      <w:r w:rsidRPr="00A52AB8">
        <w:rPr>
          <w:color w:val="000000" w:themeColor="text1"/>
        </w:rPr>
        <w:tab/>
        <w:t>TilePatchEomPatchCount</w:t>
      </w:r>
      <w:r w:rsidRPr="00A52AB8">
        <w:t>[ tileID ]</w:t>
      </w:r>
      <w:r w:rsidRPr="00A52AB8">
        <w:rPr>
          <w:lang w:eastAsia="ja-JP"/>
        </w:rPr>
        <w:t>[ p ]</w:t>
      </w:r>
      <w:r w:rsidR="00D47707" w:rsidRPr="00A52AB8">
        <w:rPr>
          <w:lang w:eastAsia="ja-JP"/>
        </w:rPr>
        <w:t> = </w:t>
      </w:r>
      <w:r w:rsidRPr="00A52AB8">
        <w:rPr>
          <w:lang w:eastAsia="ja-JP"/>
        </w:rPr>
        <w:t>0</w:t>
      </w:r>
    </w:p>
    <w:p w14:paraId="25C8DE50" w14:textId="302AB23D" w:rsidR="0085224F" w:rsidRPr="00A52AB8" w:rsidRDefault="00F60A88" w:rsidP="0085224F">
      <w:pPr>
        <w:rPr>
          <w:lang w:eastAsia="ja-JP"/>
        </w:rPr>
      </w:pPr>
      <w:r w:rsidRPr="00A52AB8">
        <w:rPr>
          <w:color w:val="000000" w:themeColor="text1"/>
        </w:rPr>
        <w:t xml:space="preserve">If </w:t>
      </w:r>
      <w:r w:rsidR="00A62CD5" w:rsidRPr="00A52AB8">
        <w:rPr>
          <w:color w:val="000000" w:themeColor="text1"/>
        </w:rPr>
        <w:t>atdu_</w:t>
      </w:r>
      <w:r w:rsidRPr="00A52AB8">
        <w:rPr>
          <w:color w:val="000000" w:themeColor="text1"/>
        </w:rPr>
        <w:t>patch_mode</w:t>
      </w:r>
      <w:r w:rsidR="00877CD2" w:rsidRPr="00A52AB8">
        <w:t>[ </w:t>
      </w:r>
      <w:r w:rsidR="00632FA7" w:rsidRPr="00A52AB8">
        <w:t>tileID</w:t>
      </w:r>
      <w:r w:rsidR="00877CD2" w:rsidRPr="00A52AB8">
        <w:t> ]</w:t>
      </w:r>
      <w:r w:rsidR="00636D52" w:rsidRPr="00A52AB8">
        <w:rPr>
          <w:color w:val="000000" w:themeColor="text1"/>
        </w:rPr>
        <w:t>[ p ]</w:t>
      </w:r>
      <w:r w:rsidRPr="00A52AB8">
        <w:rPr>
          <w:color w:val="000000" w:themeColor="text1"/>
        </w:rPr>
        <w:t xml:space="preserve"> is equal to I_INTRA or P_INTRA, then the process for decoding intra coded patches in </w:t>
      </w:r>
      <w:r w:rsidR="00406A86" w:rsidRPr="00A52AB8">
        <w:rPr>
          <w:color w:val="000000" w:themeColor="text1"/>
        </w:rPr>
        <w:t>subclause</w:t>
      </w:r>
      <w:r w:rsidRPr="00A52AB8">
        <w:rPr>
          <w:color w:val="000000" w:themeColor="text1"/>
        </w:rPr>
        <w:t xml:space="preserve"> </w:t>
      </w:r>
      <w:r w:rsidRPr="00496A4D">
        <w:rPr>
          <w:color w:val="000000" w:themeColor="text1"/>
        </w:rPr>
        <w:fldChar w:fldCharType="begin"/>
      </w:r>
      <w:r w:rsidRPr="00A52AB8">
        <w:rPr>
          <w:color w:val="000000" w:themeColor="text1"/>
        </w:rPr>
        <w:instrText xml:space="preserve"> REF _Ref991397 \r \h </w:instrText>
      </w:r>
      <w:r w:rsidR="003F01AC"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9.2.5.2</w:t>
      </w:r>
      <w:r w:rsidRPr="00496A4D">
        <w:rPr>
          <w:color w:val="000000" w:themeColor="text1"/>
        </w:rPr>
        <w:fldChar w:fldCharType="end"/>
      </w:r>
      <w:r w:rsidRPr="00A52AB8">
        <w:rPr>
          <w:color w:val="000000" w:themeColor="text1"/>
        </w:rPr>
        <w:t xml:space="preserve"> is used, with </w:t>
      </w:r>
      <w:r w:rsidR="000F0028" w:rsidRPr="00A52AB8">
        <w:rPr>
          <w:color w:val="000000" w:themeColor="text1"/>
        </w:rPr>
        <w:t xml:space="preserve">p and </w:t>
      </w:r>
      <w:r w:rsidR="00632FA7" w:rsidRPr="00A52AB8">
        <w:rPr>
          <w:color w:val="000000" w:themeColor="text1"/>
        </w:rPr>
        <w:t>tileID</w:t>
      </w:r>
      <w:r w:rsidR="00877CD2" w:rsidRPr="00A52AB8">
        <w:rPr>
          <w:color w:val="000000" w:themeColor="text1"/>
        </w:rPr>
        <w:t xml:space="preserve"> </w:t>
      </w:r>
      <w:r w:rsidRPr="00A52AB8">
        <w:rPr>
          <w:color w:val="000000" w:themeColor="text1"/>
        </w:rPr>
        <w:t>as the input</w:t>
      </w:r>
      <w:r w:rsidR="000F0028" w:rsidRPr="00A52AB8">
        <w:rPr>
          <w:color w:val="000000" w:themeColor="text1"/>
        </w:rPr>
        <w:t>s</w:t>
      </w:r>
      <w:r w:rsidRPr="00A52AB8">
        <w:rPr>
          <w:color w:val="000000" w:themeColor="text1"/>
        </w:rPr>
        <w:t xml:space="preserve"> to that process</w:t>
      </w:r>
      <w:r w:rsidR="00877CD2" w:rsidRPr="00A52AB8">
        <w:rPr>
          <w:color w:val="000000" w:themeColor="text1"/>
        </w:rPr>
        <w:t>,</w:t>
      </w:r>
      <w:r w:rsidRPr="00A52AB8">
        <w:rPr>
          <w:color w:val="000000" w:themeColor="text1"/>
        </w:rPr>
        <w:t xml:space="preserve"> and the outputs of that process are used as the output.</w:t>
      </w:r>
    </w:p>
    <w:p w14:paraId="26057902" w14:textId="58B3F06F" w:rsidR="001B77F6" w:rsidRPr="00A52AB8" w:rsidRDefault="001B77F6">
      <w:pPr>
        <w:rPr>
          <w:color w:val="000000" w:themeColor="text1"/>
        </w:rPr>
      </w:pPr>
      <w:r w:rsidRPr="00A52AB8">
        <w:rPr>
          <w:color w:val="000000" w:themeColor="text1"/>
        </w:rPr>
        <w:t xml:space="preserve">If </w:t>
      </w:r>
      <w:r w:rsidR="00A62CD5" w:rsidRPr="00A52AB8">
        <w:rPr>
          <w:color w:val="000000" w:themeColor="text1"/>
        </w:rPr>
        <w:t>atdu_</w:t>
      </w:r>
      <w:r w:rsidRPr="00A52AB8">
        <w:rPr>
          <w:color w:val="000000" w:themeColor="text1"/>
        </w:rPr>
        <w:t>patch_mode</w:t>
      </w:r>
      <w:r w:rsidR="00877CD2" w:rsidRPr="00A52AB8">
        <w:t>[ </w:t>
      </w:r>
      <w:r w:rsidR="00632FA7" w:rsidRPr="00A52AB8">
        <w:t>tileID</w:t>
      </w:r>
      <w:r w:rsidR="00877CD2" w:rsidRPr="00A52AB8">
        <w:t> ]</w:t>
      </w:r>
      <w:r w:rsidRPr="00A52AB8">
        <w:rPr>
          <w:color w:val="000000" w:themeColor="text1"/>
        </w:rPr>
        <w:t xml:space="preserve">[ p ] is equal to P_SKIP, then the process for decoding skip coded patches in </w:t>
      </w:r>
      <w:r w:rsidR="00406A86" w:rsidRPr="00A52AB8">
        <w:rPr>
          <w:color w:val="000000" w:themeColor="text1"/>
        </w:rPr>
        <w:t>subclause</w:t>
      </w:r>
      <w:r w:rsidRPr="00A52AB8">
        <w:rPr>
          <w:color w:val="000000" w:themeColor="text1"/>
        </w:rPr>
        <w:t xml:space="preserve"> </w:t>
      </w:r>
      <w:r w:rsidRPr="00496A4D">
        <w:rPr>
          <w:color w:val="000000" w:themeColor="text1"/>
        </w:rPr>
        <w:fldChar w:fldCharType="begin"/>
      </w:r>
      <w:r w:rsidRPr="00A52AB8">
        <w:rPr>
          <w:color w:val="000000" w:themeColor="text1"/>
        </w:rPr>
        <w:instrText xml:space="preserve"> REF _Ref21509819 \r \h </w:instrText>
      </w:r>
      <w:r w:rsidR="00025423"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9.2.5.3</w:t>
      </w:r>
      <w:r w:rsidRPr="00496A4D">
        <w:rPr>
          <w:color w:val="000000" w:themeColor="text1"/>
        </w:rPr>
        <w:fldChar w:fldCharType="end"/>
      </w:r>
      <w:r w:rsidRPr="00A52AB8">
        <w:rPr>
          <w:color w:val="000000" w:themeColor="text1"/>
        </w:rPr>
        <w:t xml:space="preserve"> is used, with </w:t>
      </w:r>
      <w:r w:rsidR="000F0028" w:rsidRPr="00A52AB8">
        <w:rPr>
          <w:color w:val="000000" w:themeColor="text1"/>
        </w:rPr>
        <w:t xml:space="preserve">p and </w:t>
      </w:r>
      <w:r w:rsidR="00632FA7" w:rsidRPr="00A52AB8">
        <w:rPr>
          <w:color w:val="000000" w:themeColor="text1"/>
        </w:rPr>
        <w:t>tileID</w:t>
      </w:r>
      <w:r w:rsidRPr="00A52AB8">
        <w:rPr>
          <w:color w:val="000000" w:themeColor="text1"/>
        </w:rPr>
        <w:t xml:space="preserve"> as the input</w:t>
      </w:r>
      <w:r w:rsidR="000F0028" w:rsidRPr="00A52AB8">
        <w:rPr>
          <w:color w:val="000000" w:themeColor="text1"/>
        </w:rPr>
        <w:t>s</w:t>
      </w:r>
      <w:r w:rsidRPr="00A52AB8">
        <w:rPr>
          <w:color w:val="000000" w:themeColor="text1"/>
        </w:rPr>
        <w:t xml:space="preserve"> to that process</w:t>
      </w:r>
      <w:r w:rsidR="00877CD2" w:rsidRPr="00A52AB8">
        <w:rPr>
          <w:color w:val="000000" w:themeColor="text1"/>
        </w:rPr>
        <w:t xml:space="preserve">, </w:t>
      </w:r>
      <w:r w:rsidRPr="00A52AB8">
        <w:rPr>
          <w:color w:val="000000" w:themeColor="text1"/>
        </w:rPr>
        <w:t>and the outputs of that process are used as the output.</w:t>
      </w:r>
    </w:p>
    <w:p w14:paraId="3B000251" w14:textId="62131FA7" w:rsidR="001B77F6" w:rsidRPr="00A52AB8" w:rsidRDefault="001B77F6">
      <w:pPr>
        <w:rPr>
          <w:color w:val="000000" w:themeColor="text1"/>
        </w:rPr>
      </w:pPr>
      <w:r w:rsidRPr="00A52AB8">
        <w:rPr>
          <w:color w:val="000000" w:themeColor="text1"/>
        </w:rPr>
        <w:t xml:space="preserve">If </w:t>
      </w:r>
      <w:r w:rsidR="00A62CD5" w:rsidRPr="00A52AB8">
        <w:rPr>
          <w:color w:val="000000" w:themeColor="text1"/>
        </w:rPr>
        <w:t>atdu_</w:t>
      </w:r>
      <w:r w:rsidRPr="00A52AB8">
        <w:rPr>
          <w:color w:val="000000" w:themeColor="text1"/>
        </w:rPr>
        <w:t>patch_mode</w:t>
      </w:r>
      <w:r w:rsidR="00877CD2" w:rsidRPr="00A52AB8">
        <w:t>[ </w:t>
      </w:r>
      <w:r w:rsidR="00632FA7" w:rsidRPr="00A52AB8">
        <w:t>tileID</w:t>
      </w:r>
      <w:r w:rsidR="00877CD2" w:rsidRPr="00A52AB8">
        <w:t> ]</w:t>
      </w:r>
      <w:r w:rsidRPr="00A52AB8">
        <w:rPr>
          <w:color w:val="000000" w:themeColor="text1"/>
        </w:rPr>
        <w:t xml:space="preserve">[ p ] is equal to P_MERGE, then the process for decoding merge coded patches in </w:t>
      </w:r>
      <w:r w:rsidR="00406A86" w:rsidRPr="00A52AB8">
        <w:rPr>
          <w:color w:val="000000" w:themeColor="text1"/>
        </w:rPr>
        <w:t>subclause</w:t>
      </w:r>
      <w:r w:rsidRPr="00A52AB8">
        <w:rPr>
          <w:color w:val="000000" w:themeColor="text1"/>
        </w:rPr>
        <w:t xml:space="preserve"> </w:t>
      </w:r>
      <w:r w:rsidRPr="00496A4D">
        <w:rPr>
          <w:color w:val="000000" w:themeColor="text1"/>
        </w:rPr>
        <w:fldChar w:fldCharType="begin"/>
      </w:r>
      <w:r w:rsidRPr="00A52AB8">
        <w:rPr>
          <w:color w:val="000000" w:themeColor="text1"/>
        </w:rPr>
        <w:instrText xml:space="preserve"> REF _Ref21509822 \r \h </w:instrText>
      </w:r>
      <w:r w:rsidR="00025423"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9.2.5.4</w:t>
      </w:r>
      <w:r w:rsidRPr="00496A4D">
        <w:rPr>
          <w:color w:val="000000" w:themeColor="text1"/>
        </w:rPr>
        <w:fldChar w:fldCharType="end"/>
      </w:r>
      <w:r w:rsidRPr="00A52AB8">
        <w:rPr>
          <w:color w:val="000000" w:themeColor="text1"/>
        </w:rPr>
        <w:t xml:space="preserve"> is used, with </w:t>
      </w:r>
      <w:r w:rsidR="000F0028" w:rsidRPr="00A52AB8">
        <w:rPr>
          <w:color w:val="000000" w:themeColor="text1"/>
        </w:rPr>
        <w:t xml:space="preserve">p and </w:t>
      </w:r>
      <w:r w:rsidR="00632FA7" w:rsidRPr="00A52AB8">
        <w:rPr>
          <w:color w:val="000000" w:themeColor="text1"/>
        </w:rPr>
        <w:t>tileID</w:t>
      </w:r>
      <w:r w:rsidRPr="00A52AB8">
        <w:rPr>
          <w:color w:val="000000" w:themeColor="text1"/>
        </w:rPr>
        <w:t xml:space="preserve"> as the input</w:t>
      </w:r>
      <w:r w:rsidR="000F0028" w:rsidRPr="00A52AB8">
        <w:rPr>
          <w:color w:val="000000" w:themeColor="text1"/>
        </w:rPr>
        <w:t>s</w:t>
      </w:r>
      <w:r w:rsidRPr="00A52AB8">
        <w:rPr>
          <w:color w:val="000000" w:themeColor="text1"/>
        </w:rPr>
        <w:t xml:space="preserve"> to that process</w:t>
      </w:r>
      <w:r w:rsidR="00877CD2" w:rsidRPr="00A52AB8">
        <w:rPr>
          <w:color w:val="000000" w:themeColor="text1"/>
        </w:rPr>
        <w:t>,</w:t>
      </w:r>
      <w:r w:rsidRPr="00A52AB8">
        <w:rPr>
          <w:color w:val="000000" w:themeColor="text1"/>
        </w:rPr>
        <w:t xml:space="preserve"> and the outputs of that process are used as the output.</w:t>
      </w:r>
    </w:p>
    <w:p w14:paraId="0A65A6EF" w14:textId="5A561DE0" w:rsidR="00F60A88" w:rsidRPr="00A52AB8" w:rsidRDefault="00F60A88">
      <w:pPr>
        <w:rPr>
          <w:color w:val="000000" w:themeColor="text1"/>
        </w:rPr>
      </w:pPr>
      <w:r w:rsidRPr="00A52AB8">
        <w:rPr>
          <w:color w:val="000000" w:themeColor="text1"/>
        </w:rPr>
        <w:t xml:space="preserve">If </w:t>
      </w:r>
      <w:r w:rsidR="00A62CD5" w:rsidRPr="00A52AB8">
        <w:rPr>
          <w:color w:val="000000" w:themeColor="text1"/>
        </w:rPr>
        <w:t>atdu_</w:t>
      </w:r>
      <w:r w:rsidRPr="00A52AB8">
        <w:rPr>
          <w:color w:val="000000" w:themeColor="text1"/>
        </w:rPr>
        <w:t>patch_mode</w:t>
      </w:r>
      <w:r w:rsidR="00877CD2" w:rsidRPr="00A52AB8">
        <w:t>[ </w:t>
      </w:r>
      <w:r w:rsidR="00632FA7" w:rsidRPr="00A52AB8">
        <w:t>tileID</w:t>
      </w:r>
      <w:r w:rsidR="00877CD2" w:rsidRPr="00A52AB8">
        <w:t> ]</w:t>
      </w:r>
      <w:r w:rsidR="00636D52" w:rsidRPr="00A52AB8">
        <w:rPr>
          <w:color w:val="000000" w:themeColor="text1"/>
        </w:rPr>
        <w:t>[ p ]</w:t>
      </w:r>
      <w:r w:rsidRPr="00A52AB8">
        <w:rPr>
          <w:color w:val="000000" w:themeColor="text1"/>
        </w:rPr>
        <w:t xml:space="preserve"> is equal to P_INTER, then the process for decoding inter coded patches in </w:t>
      </w:r>
      <w:r w:rsidR="00406A86" w:rsidRPr="00A52AB8">
        <w:rPr>
          <w:color w:val="000000" w:themeColor="text1"/>
        </w:rPr>
        <w:t>subclause</w:t>
      </w:r>
      <w:r w:rsidRPr="00A52AB8">
        <w:rPr>
          <w:color w:val="000000" w:themeColor="text1"/>
        </w:rPr>
        <w:t xml:space="preserve"> </w:t>
      </w:r>
      <w:r w:rsidR="000806BB" w:rsidRPr="00496A4D">
        <w:rPr>
          <w:color w:val="000000" w:themeColor="text1"/>
        </w:rPr>
        <w:fldChar w:fldCharType="begin"/>
      </w:r>
      <w:r w:rsidR="000806BB" w:rsidRPr="00A52AB8">
        <w:rPr>
          <w:color w:val="000000" w:themeColor="text1"/>
        </w:rPr>
        <w:instrText xml:space="preserve"> REF _Ref1476062 \r \h </w:instrText>
      </w:r>
      <w:r w:rsidR="00025423" w:rsidRPr="00A52AB8">
        <w:rPr>
          <w:color w:val="000000" w:themeColor="text1"/>
        </w:rPr>
        <w:instrText xml:space="preserve"> \* MERGEFORMAT </w:instrText>
      </w:r>
      <w:r w:rsidR="000806BB" w:rsidRPr="00496A4D">
        <w:rPr>
          <w:color w:val="000000" w:themeColor="text1"/>
        </w:rPr>
      </w:r>
      <w:r w:rsidR="000806BB" w:rsidRPr="00496A4D">
        <w:rPr>
          <w:color w:val="000000" w:themeColor="text1"/>
        </w:rPr>
        <w:fldChar w:fldCharType="separate"/>
      </w:r>
      <w:r w:rsidR="00507A67">
        <w:rPr>
          <w:color w:val="000000" w:themeColor="text1"/>
        </w:rPr>
        <w:t>9.2.5.5</w:t>
      </w:r>
      <w:r w:rsidR="000806BB" w:rsidRPr="00496A4D">
        <w:rPr>
          <w:color w:val="000000" w:themeColor="text1"/>
        </w:rPr>
        <w:fldChar w:fldCharType="end"/>
      </w:r>
      <w:r w:rsidRPr="00A52AB8">
        <w:rPr>
          <w:color w:val="000000" w:themeColor="text1"/>
        </w:rPr>
        <w:t xml:space="preserve"> is used, with </w:t>
      </w:r>
      <w:r w:rsidR="000F0028" w:rsidRPr="00A52AB8">
        <w:rPr>
          <w:color w:val="000000" w:themeColor="text1"/>
        </w:rPr>
        <w:t xml:space="preserve">p and </w:t>
      </w:r>
      <w:r w:rsidR="00632FA7" w:rsidRPr="00A52AB8">
        <w:rPr>
          <w:color w:val="000000" w:themeColor="text1"/>
        </w:rPr>
        <w:t>tileID</w:t>
      </w:r>
      <w:r w:rsidRPr="00A52AB8">
        <w:rPr>
          <w:color w:val="000000" w:themeColor="text1"/>
        </w:rPr>
        <w:t xml:space="preserve"> as the input</w:t>
      </w:r>
      <w:r w:rsidR="000F0028" w:rsidRPr="00A52AB8">
        <w:rPr>
          <w:color w:val="000000" w:themeColor="text1"/>
        </w:rPr>
        <w:t>s</w:t>
      </w:r>
      <w:r w:rsidRPr="00A52AB8">
        <w:rPr>
          <w:color w:val="000000" w:themeColor="text1"/>
        </w:rPr>
        <w:t xml:space="preserve"> to that process</w:t>
      </w:r>
      <w:r w:rsidR="00877CD2" w:rsidRPr="00A52AB8">
        <w:rPr>
          <w:color w:val="000000" w:themeColor="text1"/>
        </w:rPr>
        <w:t>,</w:t>
      </w:r>
      <w:r w:rsidRPr="00A52AB8">
        <w:rPr>
          <w:color w:val="000000" w:themeColor="text1"/>
        </w:rPr>
        <w:t xml:space="preserve"> and the outputs of that process are used as the output.</w:t>
      </w:r>
    </w:p>
    <w:p w14:paraId="78C1D991" w14:textId="052F98C2" w:rsidR="00F60A88" w:rsidRPr="00A52AB8" w:rsidRDefault="00F60A88">
      <w:pPr>
        <w:rPr>
          <w:color w:val="000000" w:themeColor="text1"/>
        </w:rPr>
      </w:pPr>
      <w:r w:rsidRPr="00A52AB8">
        <w:rPr>
          <w:color w:val="000000" w:themeColor="text1"/>
        </w:rPr>
        <w:t xml:space="preserve">If </w:t>
      </w:r>
      <w:r w:rsidR="00A62CD5" w:rsidRPr="00A52AB8">
        <w:rPr>
          <w:color w:val="000000" w:themeColor="text1"/>
        </w:rPr>
        <w:t>atdu_</w:t>
      </w:r>
      <w:r w:rsidRPr="00A52AB8">
        <w:rPr>
          <w:color w:val="000000" w:themeColor="text1"/>
        </w:rPr>
        <w:t>patch_mode</w:t>
      </w:r>
      <w:r w:rsidR="00877CD2" w:rsidRPr="00A52AB8">
        <w:t>[ </w:t>
      </w:r>
      <w:r w:rsidR="00632FA7" w:rsidRPr="00A52AB8">
        <w:t>tileID</w:t>
      </w:r>
      <w:r w:rsidR="00877CD2" w:rsidRPr="00A52AB8">
        <w:t> ]</w:t>
      </w:r>
      <w:r w:rsidR="00636D52" w:rsidRPr="00A52AB8">
        <w:rPr>
          <w:color w:val="000000" w:themeColor="text1"/>
        </w:rPr>
        <w:t>[ p ]</w:t>
      </w:r>
      <w:r w:rsidRPr="00A52AB8">
        <w:rPr>
          <w:color w:val="000000" w:themeColor="text1"/>
        </w:rPr>
        <w:t xml:space="preserve"> is equal to I_</w:t>
      </w:r>
      <w:r w:rsidR="00C31A85" w:rsidRPr="00A52AB8">
        <w:rPr>
          <w:color w:val="000000" w:themeColor="text1"/>
        </w:rPr>
        <w:t>RAW</w:t>
      </w:r>
      <w:r w:rsidRPr="00A52AB8">
        <w:rPr>
          <w:color w:val="000000" w:themeColor="text1"/>
        </w:rPr>
        <w:t xml:space="preserve"> or P_</w:t>
      </w:r>
      <w:r w:rsidR="00C31A85" w:rsidRPr="00A52AB8">
        <w:rPr>
          <w:color w:val="000000" w:themeColor="text1"/>
        </w:rPr>
        <w:t>RAW</w:t>
      </w:r>
      <w:r w:rsidRPr="00A52AB8">
        <w:rPr>
          <w:color w:val="000000" w:themeColor="text1"/>
        </w:rPr>
        <w:t xml:space="preserve">, then the process for decoding </w:t>
      </w:r>
      <w:r w:rsidR="00C31A85" w:rsidRPr="00A52AB8">
        <w:rPr>
          <w:color w:val="000000" w:themeColor="text1"/>
        </w:rPr>
        <w:t>RAW</w:t>
      </w:r>
      <w:r w:rsidRPr="00A52AB8">
        <w:rPr>
          <w:color w:val="000000" w:themeColor="text1"/>
        </w:rPr>
        <w:t xml:space="preserve"> coded patches in </w:t>
      </w:r>
      <w:r w:rsidR="00406A86" w:rsidRPr="00A52AB8">
        <w:rPr>
          <w:color w:val="000000" w:themeColor="text1"/>
        </w:rPr>
        <w:t>subclause</w:t>
      </w:r>
      <w:r w:rsidRPr="00A52AB8">
        <w:rPr>
          <w:color w:val="000000" w:themeColor="text1"/>
        </w:rPr>
        <w:t xml:space="preserve"> </w:t>
      </w:r>
      <w:r w:rsidR="00311714" w:rsidRPr="00496A4D">
        <w:rPr>
          <w:color w:val="000000" w:themeColor="text1"/>
        </w:rPr>
        <w:fldChar w:fldCharType="begin"/>
      </w:r>
      <w:r w:rsidR="00311714" w:rsidRPr="00A52AB8">
        <w:rPr>
          <w:color w:val="000000" w:themeColor="text1"/>
        </w:rPr>
        <w:instrText xml:space="preserve"> REF _Ref47041328 \r \h </w:instrText>
      </w:r>
      <w:r w:rsidR="006371AA" w:rsidRPr="00A52AB8">
        <w:rPr>
          <w:color w:val="000000" w:themeColor="text1"/>
        </w:rPr>
        <w:instrText xml:space="preserve"> \* MERGEFORMAT </w:instrText>
      </w:r>
      <w:r w:rsidR="00311714" w:rsidRPr="00496A4D">
        <w:rPr>
          <w:color w:val="000000" w:themeColor="text1"/>
        </w:rPr>
      </w:r>
      <w:r w:rsidR="00311714" w:rsidRPr="00496A4D">
        <w:rPr>
          <w:color w:val="000000" w:themeColor="text1"/>
        </w:rPr>
        <w:fldChar w:fldCharType="separate"/>
      </w:r>
      <w:r w:rsidR="00507A67">
        <w:rPr>
          <w:color w:val="000000" w:themeColor="text1"/>
        </w:rPr>
        <w:t>9.2.5.6</w:t>
      </w:r>
      <w:r w:rsidR="00311714" w:rsidRPr="00496A4D">
        <w:rPr>
          <w:color w:val="000000" w:themeColor="text1"/>
        </w:rPr>
        <w:fldChar w:fldCharType="end"/>
      </w:r>
      <w:r w:rsidR="00311714" w:rsidRPr="00A52AB8">
        <w:rPr>
          <w:color w:val="000000" w:themeColor="text1"/>
        </w:rPr>
        <w:t xml:space="preserve"> </w:t>
      </w:r>
      <w:r w:rsidRPr="00A52AB8">
        <w:rPr>
          <w:color w:val="000000" w:themeColor="text1"/>
        </w:rPr>
        <w:t xml:space="preserve">is used, with </w:t>
      </w:r>
      <w:r w:rsidR="000F0028" w:rsidRPr="00A52AB8">
        <w:rPr>
          <w:color w:val="000000" w:themeColor="text1"/>
        </w:rPr>
        <w:t xml:space="preserve">p and </w:t>
      </w:r>
      <w:r w:rsidR="00632FA7" w:rsidRPr="00A52AB8">
        <w:rPr>
          <w:color w:val="000000" w:themeColor="text1"/>
        </w:rPr>
        <w:t>tileID</w:t>
      </w:r>
      <w:r w:rsidRPr="00A52AB8">
        <w:rPr>
          <w:color w:val="000000" w:themeColor="text1"/>
        </w:rPr>
        <w:t xml:space="preserve"> as the input</w:t>
      </w:r>
      <w:r w:rsidR="000F0028" w:rsidRPr="00A52AB8">
        <w:rPr>
          <w:color w:val="000000" w:themeColor="text1"/>
        </w:rPr>
        <w:t>s</w:t>
      </w:r>
      <w:r w:rsidRPr="00A52AB8">
        <w:rPr>
          <w:color w:val="000000" w:themeColor="text1"/>
        </w:rPr>
        <w:t xml:space="preserve"> to that process</w:t>
      </w:r>
      <w:r w:rsidR="00877CD2" w:rsidRPr="00A52AB8">
        <w:rPr>
          <w:color w:val="000000" w:themeColor="text1"/>
        </w:rPr>
        <w:t>,</w:t>
      </w:r>
      <w:r w:rsidRPr="00A52AB8">
        <w:rPr>
          <w:color w:val="000000" w:themeColor="text1"/>
        </w:rPr>
        <w:t xml:space="preserve"> and the outputs of that process are used as </w:t>
      </w:r>
      <w:r w:rsidR="000F0028" w:rsidRPr="00A52AB8">
        <w:rPr>
          <w:color w:val="000000" w:themeColor="text1"/>
        </w:rPr>
        <w:t xml:space="preserve">the </w:t>
      </w:r>
      <w:r w:rsidRPr="00A52AB8">
        <w:rPr>
          <w:color w:val="000000" w:themeColor="text1"/>
        </w:rPr>
        <w:t>output.</w:t>
      </w:r>
    </w:p>
    <w:p w14:paraId="3FC4791A" w14:textId="482722D9" w:rsidR="005C7A39" w:rsidRPr="00A52AB8" w:rsidRDefault="005C7A39">
      <w:pPr>
        <w:rPr>
          <w:color w:val="000000" w:themeColor="text1"/>
        </w:rPr>
      </w:pPr>
      <w:r w:rsidRPr="00A52AB8">
        <w:rPr>
          <w:color w:val="000000" w:themeColor="text1"/>
        </w:rPr>
        <w:t xml:space="preserve">If </w:t>
      </w:r>
      <w:r w:rsidR="00A62CD5" w:rsidRPr="00A52AB8">
        <w:rPr>
          <w:color w:val="000000" w:themeColor="text1"/>
        </w:rPr>
        <w:t>atdu_</w:t>
      </w:r>
      <w:r w:rsidRPr="00A52AB8">
        <w:rPr>
          <w:color w:val="000000" w:themeColor="text1"/>
        </w:rPr>
        <w:t>patch_mode</w:t>
      </w:r>
      <w:r w:rsidR="00877CD2" w:rsidRPr="00A52AB8">
        <w:t>[ </w:t>
      </w:r>
      <w:r w:rsidR="00632FA7" w:rsidRPr="00A52AB8">
        <w:t>tileID</w:t>
      </w:r>
      <w:r w:rsidR="00877CD2" w:rsidRPr="00A52AB8">
        <w:t> ]</w:t>
      </w:r>
      <w:r w:rsidRPr="00A52AB8">
        <w:rPr>
          <w:color w:val="000000" w:themeColor="text1"/>
        </w:rPr>
        <w:t xml:space="preserve">[ p ] is equal to I_EOM or P_EOM, then the process for decoding EOM coded patches in </w:t>
      </w:r>
      <w:r w:rsidR="00406A86" w:rsidRPr="00A52AB8">
        <w:rPr>
          <w:color w:val="000000" w:themeColor="text1"/>
        </w:rPr>
        <w:t>subclause</w:t>
      </w:r>
      <w:r w:rsidR="00F74CE2" w:rsidRPr="00A52AB8">
        <w:rPr>
          <w:color w:val="000000" w:themeColor="text1"/>
        </w:rPr>
        <w:t xml:space="preserve"> </w:t>
      </w:r>
      <w:r w:rsidR="00F74CE2" w:rsidRPr="00496A4D">
        <w:rPr>
          <w:color w:val="000000" w:themeColor="text1"/>
        </w:rPr>
        <w:fldChar w:fldCharType="begin"/>
      </w:r>
      <w:r w:rsidR="00F74CE2" w:rsidRPr="00A52AB8">
        <w:rPr>
          <w:color w:val="000000" w:themeColor="text1"/>
        </w:rPr>
        <w:instrText xml:space="preserve"> REF _Ref20430307 \w \h </w:instrText>
      </w:r>
      <w:r w:rsidR="00025423" w:rsidRPr="00A52AB8">
        <w:rPr>
          <w:color w:val="000000" w:themeColor="text1"/>
        </w:rPr>
        <w:instrText xml:space="preserve"> \* MERGEFORMAT </w:instrText>
      </w:r>
      <w:r w:rsidR="00F74CE2" w:rsidRPr="00496A4D">
        <w:rPr>
          <w:color w:val="000000" w:themeColor="text1"/>
        </w:rPr>
      </w:r>
      <w:r w:rsidR="00F74CE2" w:rsidRPr="00496A4D">
        <w:rPr>
          <w:color w:val="000000" w:themeColor="text1"/>
        </w:rPr>
        <w:fldChar w:fldCharType="separate"/>
      </w:r>
      <w:r w:rsidR="00507A67">
        <w:rPr>
          <w:color w:val="000000" w:themeColor="text1"/>
        </w:rPr>
        <w:t>9.2.5.7</w:t>
      </w:r>
      <w:r w:rsidR="00F74CE2" w:rsidRPr="00496A4D">
        <w:rPr>
          <w:color w:val="000000" w:themeColor="text1"/>
        </w:rPr>
        <w:fldChar w:fldCharType="end"/>
      </w:r>
      <w:r w:rsidR="00F74CE2" w:rsidRPr="00A52AB8">
        <w:rPr>
          <w:color w:val="000000" w:themeColor="text1"/>
        </w:rPr>
        <w:t xml:space="preserve"> </w:t>
      </w:r>
      <w:r w:rsidRPr="00A52AB8">
        <w:rPr>
          <w:color w:val="000000" w:themeColor="text1"/>
        </w:rPr>
        <w:t xml:space="preserve">is used, with </w:t>
      </w:r>
      <w:r w:rsidR="000F0028" w:rsidRPr="00A52AB8">
        <w:rPr>
          <w:color w:val="000000" w:themeColor="text1"/>
        </w:rPr>
        <w:t xml:space="preserve">p and </w:t>
      </w:r>
      <w:r w:rsidR="00632FA7" w:rsidRPr="00A52AB8">
        <w:rPr>
          <w:color w:val="000000" w:themeColor="text1"/>
        </w:rPr>
        <w:t>tileID</w:t>
      </w:r>
      <w:r w:rsidR="00877CD2" w:rsidRPr="00A52AB8">
        <w:rPr>
          <w:color w:val="000000" w:themeColor="text1"/>
        </w:rPr>
        <w:t xml:space="preserve"> </w:t>
      </w:r>
      <w:r w:rsidRPr="00A52AB8">
        <w:rPr>
          <w:color w:val="000000" w:themeColor="text1"/>
        </w:rPr>
        <w:t>as the input</w:t>
      </w:r>
      <w:r w:rsidR="000F0028" w:rsidRPr="00A52AB8">
        <w:rPr>
          <w:color w:val="000000" w:themeColor="text1"/>
        </w:rPr>
        <w:t>s</w:t>
      </w:r>
      <w:r w:rsidRPr="00A52AB8">
        <w:rPr>
          <w:color w:val="000000" w:themeColor="text1"/>
        </w:rPr>
        <w:t xml:space="preserve"> to that process</w:t>
      </w:r>
      <w:r w:rsidR="00877CD2" w:rsidRPr="00A52AB8">
        <w:rPr>
          <w:color w:val="000000" w:themeColor="text1"/>
        </w:rPr>
        <w:t>,</w:t>
      </w:r>
      <w:r w:rsidRPr="00A52AB8">
        <w:rPr>
          <w:color w:val="000000" w:themeColor="text1"/>
        </w:rPr>
        <w:t xml:space="preserve"> and the outputs of that process are used as </w:t>
      </w:r>
      <w:r w:rsidR="000F0028" w:rsidRPr="00A52AB8">
        <w:rPr>
          <w:color w:val="000000" w:themeColor="text1"/>
        </w:rPr>
        <w:t xml:space="preserve">the </w:t>
      </w:r>
      <w:r w:rsidRPr="00A52AB8">
        <w:rPr>
          <w:color w:val="000000" w:themeColor="text1"/>
        </w:rPr>
        <w:t>output.</w:t>
      </w:r>
    </w:p>
    <w:p w14:paraId="5A069645" w14:textId="7CB7C86B" w:rsidR="00C43AE5" w:rsidRPr="00A52AB8" w:rsidRDefault="00AD0FD1" w:rsidP="007656E5">
      <w:pPr>
        <w:pStyle w:val="Equation"/>
        <w:spacing w:before="120" w:after="120"/>
        <w:jc w:val="both"/>
        <w:rPr>
          <w:color w:val="000000" w:themeColor="text1"/>
        </w:rPr>
      </w:pPr>
      <w:r w:rsidRPr="00A52AB8">
        <w:rPr>
          <w:color w:val="000000" w:themeColor="text1"/>
        </w:rPr>
        <w:t>It is a requirement of bitstream conformance that patches of EOM or RAW patch type do not intersect with any other patch.</w:t>
      </w:r>
    </w:p>
    <w:p w14:paraId="11E94AAB" w14:textId="0715AE7F" w:rsidR="00C43AE5" w:rsidRPr="00A52AB8" w:rsidRDefault="00C43AE5" w:rsidP="00C43AE5">
      <w:pPr>
        <w:pStyle w:val="Equation"/>
        <w:spacing w:before="120" w:after="120"/>
        <w:jc w:val="both"/>
        <w:rPr>
          <w:color w:val="000000" w:themeColor="text1"/>
        </w:rPr>
      </w:pPr>
      <w:r w:rsidRPr="00A52AB8">
        <w:rPr>
          <w:color w:val="000000" w:themeColor="text1"/>
        </w:rPr>
        <w:t>For PROJECTED patches then the following applies:</w:t>
      </w:r>
    </w:p>
    <w:p w14:paraId="3DE244E2" w14:textId="77777777" w:rsidR="00C43AE5" w:rsidRPr="00A52AB8" w:rsidRDefault="00C43AE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variable oIdx is set to TilePatchOrientationIndex[ tileID ][ p ].</w:t>
      </w:r>
    </w:p>
    <w:p w14:paraId="2C7965DF" w14:textId="77777777" w:rsidR="00C43AE5" w:rsidRPr="00A52AB8" w:rsidRDefault="00C43AE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Variables posX, posY, sizeX, sizeY, lodX, and lodY are assigned as follows:</w:t>
      </w:r>
    </w:p>
    <w:p w14:paraId="4845F8B3" w14:textId="25ECB229" w:rsidR="00C43AE5" w:rsidRPr="00A52AB8" w:rsidRDefault="00C43AE5" w:rsidP="00C43AE5">
      <w:pPr>
        <w:pStyle w:val="ListParagraph"/>
        <w:ind w:leftChars="0" w:left="403"/>
        <w:rPr>
          <w:color w:val="000000" w:themeColor="text1"/>
        </w:rPr>
      </w:pPr>
      <w:r w:rsidRPr="00A52AB8">
        <w:rPr>
          <w:color w:val="000000" w:themeColor="text1"/>
        </w:rPr>
        <w:tab/>
        <w:t>posX</w:t>
      </w:r>
      <w:r w:rsidR="00D47707" w:rsidRPr="00A52AB8">
        <w:rPr>
          <w:color w:val="000000" w:themeColor="text1"/>
        </w:rPr>
        <w:t> = </w:t>
      </w:r>
      <w:r w:rsidRPr="00A52AB8">
        <w:rPr>
          <w:color w:val="000000" w:themeColor="text1"/>
        </w:rPr>
        <w:t>TilePatch2dPosX</w:t>
      </w:r>
      <w:r w:rsidRPr="00A52AB8">
        <w:t>[ tileID ][ p ]</w:t>
      </w:r>
      <w:r w:rsidRPr="00A52AB8">
        <w:rPr>
          <w:color w:val="000000" w:themeColor="text1"/>
        </w:rPr>
        <w:br/>
      </w:r>
      <w:r w:rsidRPr="00A52AB8">
        <w:rPr>
          <w:color w:val="000000" w:themeColor="text1"/>
        </w:rPr>
        <w:tab/>
        <w:t>posY</w:t>
      </w:r>
      <w:r w:rsidR="00D47707" w:rsidRPr="00A52AB8">
        <w:rPr>
          <w:color w:val="000000" w:themeColor="text1"/>
        </w:rPr>
        <w:t> = </w:t>
      </w:r>
      <w:r w:rsidRPr="00A52AB8">
        <w:rPr>
          <w:color w:val="000000" w:themeColor="text1"/>
        </w:rPr>
        <w:t>TilePatch2dPosY</w:t>
      </w:r>
      <w:r w:rsidRPr="00A52AB8">
        <w:t>[ tileID ][ p ]</w:t>
      </w:r>
      <w:r w:rsidRPr="00A52AB8">
        <w:rPr>
          <w:color w:val="000000" w:themeColor="text1"/>
        </w:rPr>
        <w:br/>
      </w:r>
      <w:r w:rsidRPr="00A52AB8">
        <w:rPr>
          <w:color w:val="000000" w:themeColor="text1"/>
        </w:rPr>
        <w:tab/>
        <w:t>sizeX</w:t>
      </w:r>
      <w:r w:rsidR="00D47707" w:rsidRPr="00A52AB8">
        <w:rPr>
          <w:color w:val="000000" w:themeColor="text1"/>
        </w:rPr>
        <w:t> = </w:t>
      </w:r>
      <w:r w:rsidRPr="00A52AB8">
        <w:rPr>
          <w:color w:val="000000" w:themeColor="text1"/>
        </w:rPr>
        <w:t>TilePatch2dSizeX</w:t>
      </w:r>
      <w:r w:rsidRPr="00A52AB8">
        <w:t>[ tileID ][ p ]</w:t>
      </w:r>
      <w:r w:rsidRPr="00A52AB8">
        <w:rPr>
          <w:color w:val="000000" w:themeColor="text1"/>
        </w:rPr>
        <w:br/>
      </w:r>
      <w:r w:rsidRPr="00A52AB8">
        <w:rPr>
          <w:color w:val="000000" w:themeColor="text1"/>
        </w:rPr>
        <w:tab/>
        <w:t>sizeY</w:t>
      </w:r>
      <w:r w:rsidR="00D47707" w:rsidRPr="00A52AB8">
        <w:rPr>
          <w:color w:val="000000" w:themeColor="text1"/>
        </w:rPr>
        <w:t> = </w:t>
      </w:r>
      <w:r w:rsidRPr="00A52AB8">
        <w:rPr>
          <w:color w:val="000000" w:themeColor="text1"/>
        </w:rPr>
        <w:t>TilePatch2dSize</w:t>
      </w:r>
      <w:r w:rsidRPr="00A52AB8">
        <w:t>[ tileID ][ p ]</w:t>
      </w:r>
      <w:r w:rsidRPr="00A52AB8">
        <w:rPr>
          <w:color w:val="000000" w:themeColor="text1"/>
        </w:rPr>
        <w:br/>
      </w:r>
      <w:r w:rsidRPr="00A52AB8">
        <w:rPr>
          <w:color w:val="000000" w:themeColor="text1"/>
        </w:rPr>
        <w:tab/>
        <w:t>lodX</w:t>
      </w:r>
      <w:r w:rsidR="00D47707" w:rsidRPr="00A52AB8">
        <w:rPr>
          <w:color w:val="000000" w:themeColor="text1"/>
        </w:rPr>
        <w:t> = </w:t>
      </w:r>
      <w:r w:rsidRPr="00A52AB8">
        <w:rPr>
          <w:lang w:eastAsia="ja-JP"/>
        </w:rPr>
        <w:t>TilePatchLoDScaleX</w:t>
      </w:r>
      <w:r w:rsidRPr="00A52AB8">
        <w:t>[ tileID ][ p ]</w:t>
      </w:r>
      <w:r w:rsidRPr="00A52AB8">
        <w:rPr>
          <w:lang w:eastAsia="ja-JP"/>
        </w:rPr>
        <w:br/>
      </w:r>
      <w:r w:rsidRPr="00A52AB8">
        <w:rPr>
          <w:lang w:eastAsia="ja-JP"/>
        </w:rPr>
        <w:tab/>
      </w:r>
      <w:r w:rsidRPr="00A52AB8">
        <w:rPr>
          <w:color w:val="000000" w:themeColor="text1"/>
        </w:rPr>
        <w:t>lodY</w:t>
      </w:r>
      <w:r w:rsidR="00D47707" w:rsidRPr="00A52AB8">
        <w:rPr>
          <w:color w:val="000000" w:themeColor="text1"/>
        </w:rPr>
        <w:t> = </w:t>
      </w:r>
      <w:r w:rsidRPr="00A52AB8">
        <w:rPr>
          <w:lang w:eastAsia="ja-JP"/>
        </w:rPr>
        <w:t>TilePatchLoDScaleY</w:t>
      </w:r>
      <w:r w:rsidRPr="00A52AB8">
        <w:t>[ tileID ][ p ]</w:t>
      </w:r>
    </w:p>
    <w:p w14:paraId="3F62B8F4" w14:textId="127A68B3" w:rsidR="00C43AE5" w:rsidRPr="00A52AB8" w:rsidRDefault="00833BF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For each sample with coordinates ( x, y ) that belongs to the patch p, where ( x, y ) is relative to the tile origin of </w:t>
      </w:r>
      <w:r w:rsidR="000F0028" w:rsidRPr="00A52AB8">
        <w:rPr>
          <w:color w:val="000000" w:themeColor="text1"/>
        </w:rPr>
        <w:t xml:space="preserve">the </w:t>
      </w:r>
      <w:r w:rsidRPr="00A52AB8">
        <w:rPr>
          <w:color w:val="000000" w:themeColor="text1"/>
        </w:rPr>
        <w:t xml:space="preserve">tile with index tileID, the conversion to the 3D coordinate system is performed by first transforming ( x, y ) </w:t>
      </w:r>
      <w:r w:rsidR="00C43AE5" w:rsidRPr="00A52AB8">
        <w:rPr>
          <w:color w:val="000000" w:themeColor="text1"/>
        </w:rPr>
        <w:t>to a local patch coordinate</w:t>
      </w:r>
      <w:r w:rsidR="00C43AE5" w:rsidRPr="00A52AB8" w:rsidDel="00A50278">
        <w:rPr>
          <w:color w:val="000000" w:themeColor="text1"/>
        </w:rPr>
        <w:t xml:space="preserve"> </w:t>
      </w:r>
      <w:r w:rsidR="00C43AE5" w:rsidRPr="00A52AB8">
        <w:rPr>
          <w:color w:val="000000" w:themeColor="text1"/>
        </w:rPr>
        <w:t>pair ( u, v )</w:t>
      </w:r>
      <w:r w:rsidRPr="00A52AB8">
        <w:rPr>
          <w:color w:val="000000" w:themeColor="text1"/>
        </w:rPr>
        <w:t>,</w:t>
      </w:r>
      <w:r w:rsidR="00C43AE5" w:rsidRPr="00A52AB8">
        <w:rPr>
          <w:color w:val="000000" w:themeColor="text1"/>
        </w:rPr>
        <w:t xml:space="preserve"> </w:t>
      </w:r>
      <w:r w:rsidRPr="00A52AB8">
        <w:rPr>
          <w:color w:val="000000" w:themeColor="text1"/>
        </w:rPr>
        <w:t>as follows</w:t>
      </w:r>
      <w:r w:rsidR="00C43AE5" w:rsidRPr="00A52AB8">
        <w:rPr>
          <w:color w:val="000000" w:themeColor="text1"/>
        </w:rPr>
        <w:t>:</w:t>
      </w:r>
    </w:p>
    <w:p w14:paraId="495E3EE2" w14:textId="5CB1AEEC" w:rsidR="00C43AE5" w:rsidRPr="00A52AB8" w:rsidRDefault="000E745B" w:rsidP="00C43AE5">
      <w:pPr>
        <w:pStyle w:val="ListParagraph"/>
        <w:tabs>
          <w:tab w:val="clear" w:pos="403"/>
          <w:tab w:val="clear" w:pos="806"/>
          <w:tab w:val="clear" w:pos="1210"/>
          <w:tab w:val="clear" w:pos="1613"/>
          <w:tab w:val="clear" w:pos="2016"/>
          <w:tab w:val="clear" w:pos="2419"/>
          <w:tab w:val="clear" w:pos="2822"/>
          <w:tab w:val="clear" w:pos="3226"/>
          <w:tab w:val="clear" w:pos="3629"/>
          <w:tab w:val="clear" w:pos="4032"/>
          <w:tab w:val="clear" w:pos="4435"/>
          <w:tab w:val="left" w:pos="360"/>
          <w:tab w:val="left" w:pos="720"/>
          <w:tab w:val="left" w:pos="1080"/>
          <w:tab w:val="left" w:pos="1440"/>
          <w:tab w:val="left" w:pos="1800"/>
          <w:tab w:val="left" w:pos="2160"/>
        </w:tabs>
        <w:spacing w:before="240"/>
        <w:ind w:leftChars="0" w:left="720"/>
        <w:rPr>
          <w:bCs/>
          <w:color w:val="000000" w:themeColor="text1"/>
        </w:rPr>
      </w:pPr>
      <m:oMath>
        <m:d>
          <m:dPr>
            <m:begChr m:val="["/>
            <m:endChr m:val="]"/>
            <m:ctrlPr>
              <w:rPr>
                <w:rFonts w:ascii="Cambria Math" w:hAnsi="Cambria Math"/>
                <w:bCs/>
                <w:i/>
                <w:iCs/>
                <w:color w:val="000000" w:themeColor="text1"/>
              </w:rPr>
            </m:ctrlPr>
          </m:dPr>
          <m:e>
            <m:m>
              <m:mPr>
                <m:plcHide m:val="1"/>
                <m:mcs>
                  <m:mc>
                    <m:mcPr>
                      <m:count m:val="1"/>
                      <m:mcJc m:val="center"/>
                    </m:mcPr>
                  </m:mc>
                </m:mcs>
                <m:ctrlPr>
                  <w:rPr>
                    <w:rFonts w:ascii="Cambria Math" w:hAnsi="Cambria Math"/>
                    <w:bCs/>
                    <w:iCs/>
                    <w:color w:val="000000" w:themeColor="text1"/>
                  </w:rPr>
                </m:ctrlPr>
              </m:mPr>
              <m:mr>
                <m:e>
                  <m:r>
                    <m:rPr>
                      <m:sty m:val="p"/>
                    </m:rPr>
                    <w:rPr>
                      <w:rFonts w:ascii="Cambria Math" w:hAnsi="Cambria Math"/>
                      <w:color w:val="000000" w:themeColor="text1"/>
                    </w:rPr>
                    <m:t>u</m:t>
                  </m:r>
                </m:e>
              </m:mr>
              <m:mr>
                <m:e>
                  <m:r>
                    <m:rPr>
                      <m:sty m:val="p"/>
                    </m:rPr>
                    <w:rPr>
                      <w:rFonts w:ascii="Cambria Math" w:hAnsi="Cambria Math"/>
                      <w:color w:val="000000" w:themeColor="text1"/>
                    </w:rPr>
                    <m:t>v</m:t>
                  </m:r>
                </m:e>
              </m:mr>
            </m:m>
          </m:e>
        </m:d>
        <m:r>
          <m:rPr>
            <m:sty m:val="p"/>
          </m:rPr>
          <w:rPr>
            <w:rFonts w:ascii="Cambria Math" w:hAnsi="Cambria Math"/>
            <w:color w:val="000000" w:themeColor="text1"/>
          </w:rPr>
          <m:t>=</m:t>
        </m:r>
        <m:sSub>
          <m:sSubPr>
            <m:ctrlPr>
              <w:rPr>
                <w:rFonts w:ascii="Cambria Math" w:hAnsi="Cambria Math"/>
                <w:color w:val="000000" w:themeColor="text1"/>
              </w:rPr>
            </m:ctrlPr>
          </m:sSubPr>
          <m:e>
            <m:r>
              <m:rPr>
                <m:sty m:val="b"/>
              </m:rPr>
              <w:rPr>
                <w:rFonts w:ascii="Cambria Math" w:hAnsi="Cambria Math"/>
                <w:color w:val="000000" w:themeColor="text1"/>
              </w:rPr>
              <m:t>R</m:t>
            </m:r>
          </m:e>
          <m:sub>
            <m:r>
              <m:rPr>
                <m:sty m:val="p"/>
              </m:rPr>
              <w:rPr>
                <w:rFonts w:ascii="Cambria Math" w:hAnsi="Cambria Math"/>
                <w:color w:val="000000" w:themeColor="text1"/>
              </w:rPr>
              <m:t>o</m:t>
            </m:r>
          </m:sub>
        </m:sSub>
        <m:d>
          <m:dPr>
            <m:ctrlPr>
              <w:rPr>
                <w:rFonts w:ascii="Cambria Math" w:hAnsi="Cambria Math"/>
                <w:bCs/>
                <w:i/>
                <w:iCs/>
                <w:color w:val="000000" w:themeColor="text1"/>
              </w:rPr>
            </m:ctrlPr>
          </m:dPr>
          <m:e>
            <m:r>
              <m:rPr>
                <m:sty m:val="p"/>
              </m:rPr>
              <w:rPr>
                <w:rFonts w:ascii="Cambria Math" w:hAnsi="Cambria Math"/>
                <w:color w:val="000000" w:themeColor="text1"/>
              </w:rPr>
              <m:t>oIdx</m:t>
            </m:r>
          </m:e>
        </m:d>
        <m:r>
          <m:rPr>
            <m:sty m:val="p"/>
          </m:rPr>
          <w:rPr>
            <w:rFonts w:ascii="Cambria Math" w:hAnsi="Cambria Math"/>
            <w:color w:val="000000" w:themeColor="text1"/>
          </w:rPr>
          <m:t>*</m:t>
        </m:r>
        <m:d>
          <m:dPr>
            <m:begChr m:val="["/>
            <m:endChr m:val="]"/>
            <m:ctrlPr>
              <w:rPr>
                <w:rFonts w:ascii="Cambria Math" w:hAnsi="Cambria Math"/>
                <w:i/>
                <w:color w:val="000000" w:themeColor="text1"/>
              </w:rPr>
            </m:ctrlPr>
          </m:dPr>
          <m:e>
            <m:m>
              <m:mPr>
                <m:mcs>
                  <m:mc>
                    <m:mcPr>
                      <m:count m:val="2"/>
                      <m:mcJc m:val="center"/>
                    </m:mcPr>
                  </m:mc>
                </m:mcs>
                <m:ctrlPr>
                  <w:rPr>
                    <w:rFonts w:ascii="Cambria Math" w:hAnsi="Cambria Math"/>
                    <w:color w:val="000000" w:themeColor="text1"/>
                  </w:rPr>
                </m:ctrlPr>
              </m:mPr>
              <m:mr>
                <m:e>
                  <m:r>
                    <m:rPr>
                      <m:sty m:val="p"/>
                    </m:rPr>
                    <w:rPr>
                      <w:rFonts w:ascii="Cambria Math" w:hAnsi="Cambria Math"/>
                      <w:color w:val="000000" w:themeColor="text1"/>
                    </w:rPr>
                    <m:t>lodX</m:t>
                  </m:r>
                </m:e>
                <m:e>
                  <m:r>
                    <m:rPr>
                      <m:sty m:val="p"/>
                    </m:rPr>
                    <w:rPr>
                      <w:rFonts w:ascii="Cambria Math" w:hAnsi="Cambria Math"/>
                      <w:color w:val="000000" w:themeColor="text1"/>
                    </w:rPr>
                    <m:t>0</m:t>
                  </m:r>
                </m:e>
              </m:mr>
              <m:mr>
                <m:e>
                  <m:r>
                    <m:rPr>
                      <m:sty m:val="p"/>
                    </m:rPr>
                    <w:rPr>
                      <w:rFonts w:ascii="Cambria Math" w:hAnsi="Cambria Math"/>
                      <w:color w:val="000000" w:themeColor="text1"/>
                    </w:rPr>
                    <m:t>0</m:t>
                  </m:r>
                </m:e>
                <m:e>
                  <m:r>
                    <m:rPr>
                      <m:sty m:val="p"/>
                    </m:rPr>
                    <w:rPr>
                      <w:rFonts w:ascii="Cambria Math" w:hAnsi="Cambria Math"/>
                      <w:color w:val="000000" w:themeColor="text1"/>
                    </w:rPr>
                    <m:t>lodY</m:t>
                  </m:r>
                </m:e>
              </m:mr>
            </m:m>
          </m:e>
        </m:d>
        <m:r>
          <w:rPr>
            <w:rFonts w:ascii="Cambria Math" w:hAnsi="Cambria Math"/>
            <w:color w:val="000000" w:themeColor="text1"/>
          </w:rPr>
          <m:t>*</m:t>
        </m:r>
        <m:d>
          <m:dPr>
            <m:begChr m:val="["/>
            <m:endChr m:val="]"/>
            <m:ctrlPr>
              <w:rPr>
                <w:rFonts w:ascii="Cambria Math" w:hAnsi="Cambria Math"/>
                <w:bCs/>
                <w:i/>
                <w:iCs/>
                <w:color w:val="000000" w:themeColor="text1"/>
              </w:rPr>
            </m:ctrlPr>
          </m:dPr>
          <m:e>
            <m:m>
              <m:mPr>
                <m:plcHide m:val="1"/>
                <m:mcs>
                  <m:mc>
                    <m:mcPr>
                      <m:count m:val="1"/>
                      <m:mcJc m:val="center"/>
                    </m:mcPr>
                  </m:mc>
                </m:mcs>
                <m:ctrlPr>
                  <w:rPr>
                    <w:rFonts w:ascii="Cambria Math" w:hAnsi="Cambria Math"/>
                    <w:bCs/>
                    <w:iCs/>
                    <w:color w:val="000000" w:themeColor="text1"/>
                  </w:rPr>
                </m:ctrlPr>
              </m:mPr>
              <m:mr>
                <m:e>
                  <m:r>
                    <m:rPr>
                      <m:sty m:val="p"/>
                    </m:rPr>
                    <w:rPr>
                      <w:rFonts w:ascii="Cambria Math" w:hAnsi="Cambria Math"/>
                      <w:color w:val="000000" w:themeColor="text1"/>
                    </w:rPr>
                    <m:t>x-posX</m:t>
                  </m:r>
                </m:e>
              </m:mr>
              <m:mr>
                <m:e>
                  <m:r>
                    <m:rPr>
                      <m:sty m:val="p"/>
                    </m:rPr>
                    <w:rPr>
                      <w:rFonts w:ascii="Cambria Math" w:hAnsi="Cambria Math"/>
                      <w:color w:val="000000" w:themeColor="text1"/>
                    </w:rPr>
                    <m:t>y-posY</m:t>
                  </m:r>
                </m:e>
              </m:mr>
            </m:m>
          </m:e>
        </m:d>
        <m:r>
          <m:rPr>
            <m:sty m:val="p"/>
          </m:rPr>
          <w:rPr>
            <w:rFonts w:ascii="Cambria Math" w:hAnsi="Cambria Math"/>
            <w:color w:val="000000" w:themeColor="text1"/>
          </w:rPr>
          <m:t>+</m:t>
        </m:r>
        <m:sSub>
          <m:sSubPr>
            <m:ctrlPr>
              <w:rPr>
                <w:rFonts w:ascii="Cambria Math" w:hAnsi="Cambria Math"/>
                <w:color w:val="000000" w:themeColor="text1"/>
              </w:rPr>
            </m:ctrlPr>
          </m:sSubPr>
          <m:e>
            <m:r>
              <m:rPr>
                <m:sty m:val="b"/>
              </m:rPr>
              <w:rPr>
                <w:rFonts w:ascii="Cambria Math" w:hAnsi="Cambria Math"/>
                <w:color w:val="000000" w:themeColor="text1"/>
              </w:rPr>
              <m:t>R</m:t>
            </m:r>
          </m:e>
          <m:sub>
            <m:r>
              <m:rPr>
                <m:sty m:val="p"/>
              </m:rPr>
              <w:rPr>
                <w:rFonts w:ascii="Cambria Math" w:hAnsi="Cambria Math"/>
                <w:color w:val="000000" w:themeColor="text1"/>
              </w:rPr>
              <m:t>s</m:t>
            </m:r>
          </m:sub>
        </m:sSub>
        <m:d>
          <m:dPr>
            <m:ctrlPr>
              <w:rPr>
                <w:rFonts w:ascii="Cambria Math" w:hAnsi="Cambria Math"/>
                <w:bCs/>
                <w:i/>
                <w:iCs/>
                <w:color w:val="000000" w:themeColor="text1"/>
              </w:rPr>
            </m:ctrlPr>
          </m:dPr>
          <m:e>
            <m:r>
              <m:rPr>
                <m:sty m:val="p"/>
              </m:rPr>
              <w:rPr>
                <w:rFonts w:ascii="Cambria Math" w:hAnsi="Cambria Math"/>
                <w:color w:val="000000" w:themeColor="text1"/>
              </w:rPr>
              <m:t>oIdx</m:t>
            </m:r>
          </m:e>
        </m:d>
        <m:r>
          <m:rPr>
            <m:sty m:val="p"/>
          </m:rPr>
          <w:rPr>
            <w:rFonts w:ascii="Cambria Math" w:hAnsi="Cambria Math"/>
            <w:color w:val="000000" w:themeColor="text1"/>
          </w:rPr>
          <m:t>*</m:t>
        </m:r>
        <m:d>
          <m:dPr>
            <m:begChr m:val="["/>
            <m:endChr m:val="]"/>
            <m:ctrlPr>
              <w:rPr>
                <w:rFonts w:ascii="Cambria Math" w:hAnsi="Cambria Math"/>
                <w:i/>
                <w:color w:val="000000" w:themeColor="text1"/>
              </w:rPr>
            </m:ctrlPr>
          </m:dPr>
          <m:e>
            <m:m>
              <m:mPr>
                <m:mcs>
                  <m:mc>
                    <m:mcPr>
                      <m:count m:val="2"/>
                      <m:mcJc m:val="center"/>
                    </m:mcPr>
                  </m:mc>
                </m:mcs>
                <m:ctrlPr>
                  <w:rPr>
                    <w:rFonts w:ascii="Cambria Math" w:hAnsi="Cambria Math"/>
                    <w:color w:val="000000" w:themeColor="text1"/>
                  </w:rPr>
                </m:ctrlPr>
              </m:mPr>
              <m:mr>
                <m:e>
                  <m:r>
                    <m:rPr>
                      <m:sty m:val="p"/>
                    </m:rPr>
                    <w:rPr>
                      <w:rFonts w:ascii="Cambria Math" w:hAnsi="Cambria Math"/>
                      <w:color w:val="000000" w:themeColor="text1"/>
                    </w:rPr>
                    <m:t>lodX</m:t>
                  </m:r>
                </m:e>
                <m:e>
                  <m:r>
                    <m:rPr>
                      <m:sty m:val="p"/>
                    </m:rPr>
                    <w:rPr>
                      <w:rFonts w:ascii="Cambria Math" w:hAnsi="Cambria Math"/>
                      <w:color w:val="000000" w:themeColor="text1"/>
                    </w:rPr>
                    <m:t>0</m:t>
                  </m:r>
                </m:e>
              </m:mr>
              <m:mr>
                <m:e>
                  <m:r>
                    <m:rPr>
                      <m:sty m:val="p"/>
                    </m:rPr>
                    <w:rPr>
                      <w:rFonts w:ascii="Cambria Math" w:hAnsi="Cambria Math"/>
                      <w:color w:val="000000" w:themeColor="text1"/>
                    </w:rPr>
                    <m:t>0</m:t>
                  </m:r>
                </m:e>
                <m:e>
                  <m:r>
                    <m:rPr>
                      <m:sty m:val="p"/>
                    </m:rPr>
                    <w:rPr>
                      <w:rFonts w:ascii="Cambria Math" w:hAnsi="Cambria Math"/>
                      <w:color w:val="000000" w:themeColor="text1"/>
                    </w:rPr>
                    <m:t>lodY</m:t>
                  </m:r>
                </m:e>
              </m:mr>
            </m:m>
          </m:e>
        </m:d>
        <m:r>
          <w:rPr>
            <w:rFonts w:ascii="Cambria Math" w:hAnsi="Cambria Math"/>
            <w:color w:val="000000" w:themeColor="text1"/>
          </w:rPr>
          <m:t>*</m:t>
        </m:r>
        <m:d>
          <m:dPr>
            <m:begChr m:val="["/>
            <m:endChr m:val="]"/>
            <m:ctrlPr>
              <w:rPr>
                <w:rFonts w:ascii="Cambria Math" w:hAnsi="Cambria Math"/>
                <w:bCs/>
                <w:i/>
                <w:iCs/>
                <w:color w:val="000000" w:themeColor="text1"/>
              </w:rPr>
            </m:ctrlPr>
          </m:dPr>
          <m:e>
            <m:m>
              <m:mPr>
                <m:plcHide m:val="1"/>
                <m:mcs>
                  <m:mc>
                    <m:mcPr>
                      <m:count m:val="1"/>
                      <m:mcJc m:val="center"/>
                    </m:mcPr>
                  </m:mc>
                </m:mcs>
                <m:ctrlPr>
                  <w:rPr>
                    <w:rFonts w:ascii="Cambria Math" w:hAnsi="Cambria Math"/>
                    <w:bCs/>
                    <w:i/>
                    <w:iCs/>
                    <w:color w:val="000000" w:themeColor="text1"/>
                  </w:rPr>
                </m:ctrlPr>
              </m:mPr>
              <m:mr>
                <m:e>
                  <m:r>
                    <m:rPr>
                      <m:sty m:val="p"/>
                    </m:rPr>
                    <w:rPr>
                      <w:rFonts w:ascii="Cambria Math" w:hAnsi="Cambria Math"/>
                      <w:color w:val="000000" w:themeColor="text1"/>
                    </w:rPr>
                    <m:t>sizeX</m:t>
                  </m:r>
                  <m:r>
                    <w:rPr>
                      <w:rFonts w:ascii="Cambria Math" w:hAnsi="Cambria Math"/>
                      <w:color w:val="000000" w:themeColor="text1"/>
                    </w:rPr>
                    <m:t>-1</m:t>
                  </m:r>
                </m:e>
              </m:mr>
              <m:mr>
                <m:e>
                  <m:r>
                    <m:rPr>
                      <m:sty m:val="p"/>
                    </m:rPr>
                    <w:rPr>
                      <w:rFonts w:ascii="Cambria Math" w:hAnsi="Cambria Math"/>
                      <w:color w:val="000000" w:themeColor="text1"/>
                    </w:rPr>
                    <m:t>sizeY</m:t>
                  </m:r>
                  <m:r>
                    <w:rPr>
                      <w:rFonts w:ascii="Cambria Math" w:hAnsi="Cambria Math"/>
                      <w:color w:val="000000" w:themeColor="text1"/>
                    </w:rPr>
                    <m:t>-1</m:t>
                  </m:r>
                </m:e>
              </m:mr>
            </m:m>
          </m:e>
        </m:d>
      </m:oMath>
      <w:r w:rsidR="00C43AE5" w:rsidRPr="00A52AB8">
        <w:rPr>
          <w:bCs/>
          <w:iCs/>
          <w:color w:val="000000" w:themeColor="text1"/>
        </w:rPr>
        <w:tab/>
      </w:r>
      <w:r w:rsidR="00C43AE5" w:rsidRPr="00A52AB8">
        <w:t>(</w:t>
      </w:r>
      <w:bookmarkStart w:id="1502" w:name="Eqn_coordinationConv"/>
      <w:r w:rsidR="00C43AE5" w:rsidRPr="00496A4D">
        <w:fldChar w:fldCharType="begin"/>
      </w:r>
      <w:r w:rsidR="00C43AE5" w:rsidRPr="00A52AB8">
        <w:instrText xml:space="preserve"> SEQ Equation \* ARABIC \n </w:instrText>
      </w:r>
      <w:r w:rsidR="00C43AE5" w:rsidRPr="00496A4D">
        <w:fldChar w:fldCharType="separate"/>
      </w:r>
      <w:r w:rsidR="00507A67">
        <w:rPr>
          <w:noProof/>
        </w:rPr>
        <w:t>47</w:t>
      </w:r>
      <w:r w:rsidR="00C43AE5" w:rsidRPr="00496A4D">
        <w:fldChar w:fldCharType="end"/>
      </w:r>
      <w:bookmarkEnd w:id="1502"/>
      <w:r w:rsidR="00C43AE5" w:rsidRPr="00A52AB8">
        <w:t>)</w:t>
      </w:r>
    </w:p>
    <w:p w14:paraId="3F9F4090" w14:textId="46717DC4" w:rsidR="00C43AE5" w:rsidRPr="00A52AB8" w:rsidRDefault="00C43AE5" w:rsidP="00743B88">
      <w:pPr>
        <w:ind w:left="720"/>
        <w:rPr>
          <w:color w:val="000000" w:themeColor="text1"/>
        </w:rPr>
      </w:pPr>
      <w:r w:rsidRPr="00A52AB8">
        <w:rPr>
          <w:color w:val="000000" w:themeColor="text1"/>
        </w:rPr>
        <w:t xml:space="preserve">where </w:t>
      </w:r>
      <w:r w:rsidRPr="00A52AB8">
        <w:rPr>
          <w:b/>
          <w:color w:val="000000" w:themeColor="text1"/>
        </w:rPr>
        <w:t>R</w:t>
      </w:r>
      <w:r w:rsidRPr="00A52AB8">
        <w:rPr>
          <w:color w:val="000000" w:themeColor="text1"/>
          <w:vertAlign w:val="subscript"/>
        </w:rPr>
        <w:t>o</w:t>
      </w:r>
      <w:r w:rsidRPr="00A52AB8" w:rsidDel="00A469C3">
        <w:rPr>
          <w:color w:val="000000" w:themeColor="text1"/>
        </w:rPr>
        <w:t xml:space="preserve"> </w:t>
      </w:r>
      <w:r w:rsidRPr="00A52AB8">
        <w:rPr>
          <w:color w:val="000000" w:themeColor="text1"/>
        </w:rPr>
        <w:t xml:space="preserve">and </w:t>
      </w:r>
      <w:r w:rsidRPr="00A52AB8">
        <w:rPr>
          <w:b/>
          <w:color w:val="000000" w:themeColor="text1"/>
        </w:rPr>
        <w:t>R</w:t>
      </w:r>
      <w:r w:rsidRPr="00A52AB8">
        <w:rPr>
          <w:color w:val="000000" w:themeColor="text1"/>
          <w:vertAlign w:val="subscript"/>
        </w:rPr>
        <w:t>s</w:t>
      </w:r>
      <w:r w:rsidRPr="00A52AB8">
        <w:rPr>
          <w:color w:val="000000" w:themeColor="text1"/>
        </w:rPr>
        <w:t xml:space="preserve"> are specified in </w:t>
      </w:r>
      <w:r w:rsidRPr="00496A4D">
        <w:rPr>
          <w:color w:val="000000" w:themeColor="text1"/>
        </w:rPr>
        <w:fldChar w:fldCharType="begin"/>
      </w:r>
      <w:r w:rsidRPr="00A52AB8">
        <w:rPr>
          <w:color w:val="000000" w:themeColor="text1"/>
        </w:rPr>
        <w:instrText xml:space="preserve"> REF _Ref49681413 \h </w:instrText>
      </w:r>
      <w:r w:rsidR="00007BE2"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sidRPr="00A52AB8">
        <w:rPr>
          <w:color w:val="000000" w:themeColor="text1"/>
        </w:rPr>
        <w:t xml:space="preserve">Table </w:t>
      </w:r>
      <w:r w:rsidR="00507A67">
        <w:rPr>
          <w:color w:val="000000" w:themeColor="text1"/>
        </w:rPr>
        <w:t>11</w:t>
      </w:r>
      <w:r w:rsidRPr="00496A4D">
        <w:rPr>
          <w:color w:val="000000" w:themeColor="text1"/>
        </w:rPr>
        <w:fldChar w:fldCharType="end"/>
      </w:r>
      <w:r w:rsidRPr="00A52AB8">
        <w:rPr>
          <w:color w:val="000000" w:themeColor="text1"/>
        </w:rPr>
        <w:t>.</w:t>
      </w:r>
    </w:p>
    <w:p w14:paraId="12F187E0" w14:textId="15EB5464" w:rsidR="00833BFE" w:rsidRPr="00A52AB8" w:rsidRDefault="00833BFE" w:rsidP="00743B88">
      <w:pPr>
        <w:ind w:left="720"/>
        <w:rPr>
          <w:color w:val="000000" w:themeColor="text1"/>
        </w:rPr>
      </w:pPr>
      <w:r w:rsidRPr="00A52AB8">
        <w:rPr>
          <w:color w:val="000000" w:themeColor="text1"/>
        </w:rPr>
        <w:t>The final conversion from ( u, v ) to the 3D coordinate system depends on the application.</w:t>
      </w:r>
    </w:p>
    <w:p w14:paraId="57B48A14" w14:textId="759F5A80" w:rsidR="00C43AE5" w:rsidRPr="00A52AB8" w:rsidRDefault="00C43AE5" w:rsidP="00C43AE5">
      <w:pPr>
        <w:pStyle w:val="Caption"/>
        <w:rPr>
          <w:rFonts w:ascii="Cambria" w:hAnsi="Cambria"/>
        </w:rPr>
      </w:pPr>
      <w:bookmarkStart w:id="1503" w:name="_Ref49681413"/>
      <w:r w:rsidRPr="00A52AB8">
        <w:rPr>
          <w:rFonts w:ascii="Cambria" w:hAnsi="Cambria"/>
          <w:color w:val="000000" w:themeColor="text1"/>
        </w:rPr>
        <w:t xml:space="preserve">Table </w:t>
      </w:r>
      <w:r w:rsidRPr="00496A4D">
        <w:rPr>
          <w:rFonts w:ascii="Cambria" w:hAnsi="Cambria"/>
          <w:color w:val="000000" w:themeColor="text1"/>
        </w:rPr>
        <w:fldChar w:fldCharType="begin"/>
      </w:r>
      <w:r w:rsidRPr="00A52AB8">
        <w:rPr>
          <w:rFonts w:ascii="Cambria" w:hAnsi="Cambria"/>
          <w:color w:val="000000" w:themeColor="text1"/>
        </w:rPr>
        <w:instrText xml:space="preserve"> SEQ Table \* ARABIC \n </w:instrText>
      </w:r>
      <w:r w:rsidRPr="00496A4D">
        <w:rPr>
          <w:rFonts w:ascii="Cambria" w:hAnsi="Cambria"/>
          <w:color w:val="000000" w:themeColor="text1"/>
        </w:rPr>
        <w:fldChar w:fldCharType="separate"/>
      </w:r>
      <w:r w:rsidR="00507A67">
        <w:rPr>
          <w:rFonts w:ascii="Cambria" w:hAnsi="Cambria"/>
          <w:noProof/>
          <w:color w:val="000000" w:themeColor="text1"/>
        </w:rPr>
        <w:t>11</w:t>
      </w:r>
      <w:r w:rsidRPr="00496A4D">
        <w:rPr>
          <w:rFonts w:ascii="Cambria" w:hAnsi="Cambria"/>
          <w:color w:val="000000" w:themeColor="text1"/>
        </w:rPr>
        <w:fldChar w:fldCharType="end"/>
      </w:r>
      <w:bookmarkEnd w:id="1503"/>
      <w:r w:rsidR="001604C8" w:rsidRPr="00A52AB8">
        <w:rPr>
          <w:rFonts w:ascii="Cambria" w:hAnsi="Cambria" w:cs="Calibri"/>
          <w:bCs w:val="0"/>
        </w:rPr>
        <w:t> </w:t>
      </w:r>
      <w:r w:rsidR="001604C8" w:rsidRPr="00A52AB8">
        <w:rPr>
          <w:rFonts w:ascii="Cambria" w:hAnsi="Cambria"/>
        </w:rPr>
        <w:t>– </w:t>
      </w:r>
      <w:r w:rsidRPr="00A52AB8">
        <w:rPr>
          <w:rFonts w:ascii="Cambria" w:hAnsi="Cambria"/>
        </w:rPr>
        <w:t xml:space="preserve">Transformation matrices according to an indicated patch orientation index, </w:t>
      </w:r>
      <w:r w:rsidR="00EC3247" w:rsidRPr="00A52AB8">
        <w:rPr>
          <w:rFonts w:ascii="Cambria" w:hAnsi="Cambria"/>
        </w:rPr>
        <w:t>oI</w:t>
      </w:r>
      <w:r w:rsidRPr="00A52AB8">
        <w:rPr>
          <w:rFonts w:ascii="Cambria" w:hAnsi="Cambria"/>
        </w:rPr>
        <w:t>dx</w:t>
      </w:r>
    </w:p>
    <w:tbl>
      <w:tblPr>
        <w:tblStyle w:val="TableGrid"/>
        <w:tblW w:w="0" w:type="auto"/>
        <w:jc w:val="center"/>
        <w:tblLayout w:type="fixed"/>
        <w:tblLook w:val="04A0" w:firstRow="1" w:lastRow="0" w:firstColumn="1" w:lastColumn="0" w:noHBand="0" w:noVBand="1"/>
      </w:tblPr>
      <w:tblGrid>
        <w:gridCol w:w="735"/>
        <w:gridCol w:w="1237"/>
        <w:gridCol w:w="1221"/>
        <w:gridCol w:w="5421"/>
      </w:tblGrid>
      <w:tr w:rsidR="00C43AE5" w:rsidRPr="00A52AB8" w14:paraId="3274412E" w14:textId="77777777" w:rsidTr="009C6742">
        <w:trPr>
          <w:jc w:val="center"/>
        </w:trPr>
        <w:tc>
          <w:tcPr>
            <w:tcW w:w="735" w:type="dxa"/>
            <w:vAlign w:val="center"/>
          </w:tcPr>
          <w:p w14:paraId="4421FD6D" w14:textId="601F3B12" w:rsidR="00C43AE5" w:rsidRPr="00A52AB8" w:rsidRDefault="00EC3247" w:rsidP="003B2002">
            <w:pPr>
              <w:spacing w:before="120" w:after="120"/>
              <w:jc w:val="center"/>
              <w:rPr>
                <w:b/>
                <w:color w:val="000000" w:themeColor="text1"/>
              </w:rPr>
            </w:pPr>
            <w:r w:rsidRPr="00A52AB8">
              <w:rPr>
                <w:b/>
                <w:color w:val="000000" w:themeColor="text1"/>
              </w:rPr>
              <w:t>oI</w:t>
            </w:r>
            <w:r w:rsidR="00C43AE5" w:rsidRPr="00A52AB8">
              <w:rPr>
                <w:b/>
                <w:color w:val="000000" w:themeColor="text1"/>
              </w:rPr>
              <w:t>dx</w:t>
            </w:r>
          </w:p>
        </w:tc>
        <w:tc>
          <w:tcPr>
            <w:tcW w:w="1237" w:type="dxa"/>
            <w:vAlign w:val="center"/>
          </w:tcPr>
          <w:p w14:paraId="67042878" w14:textId="292A1D06" w:rsidR="00C43AE5" w:rsidRPr="00A52AB8" w:rsidRDefault="00C43AE5" w:rsidP="003B2002">
            <w:pPr>
              <w:spacing w:before="120" w:after="120"/>
              <w:jc w:val="center"/>
              <w:rPr>
                <w:b/>
                <w:color w:val="000000" w:themeColor="text1"/>
              </w:rPr>
            </w:pPr>
            <w:r w:rsidRPr="00A52AB8">
              <w:rPr>
                <w:b/>
                <w:color w:val="000000" w:themeColor="text1"/>
              </w:rPr>
              <w:t>R</w:t>
            </w:r>
            <w:r w:rsidRPr="00A52AB8">
              <w:rPr>
                <w:b/>
                <w:color w:val="000000" w:themeColor="text1"/>
                <w:vertAlign w:val="subscript"/>
              </w:rPr>
              <w:t>o</w:t>
            </w:r>
            <w:r w:rsidRPr="00A52AB8">
              <w:rPr>
                <w:b/>
                <w:color w:val="000000" w:themeColor="text1"/>
              </w:rPr>
              <w:t>( </w:t>
            </w:r>
            <w:r w:rsidR="00EC3247" w:rsidRPr="00A52AB8">
              <w:rPr>
                <w:b/>
                <w:color w:val="000000" w:themeColor="text1"/>
              </w:rPr>
              <w:t>oI</w:t>
            </w:r>
            <w:r w:rsidRPr="00A52AB8">
              <w:rPr>
                <w:b/>
                <w:color w:val="000000" w:themeColor="text1"/>
              </w:rPr>
              <w:t>dx )</w:t>
            </w:r>
          </w:p>
        </w:tc>
        <w:tc>
          <w:tcPr>
            <w:tcW w:w="1221" w:type="dxa"/>
            <w:vAlign w:val="center"/>
          </w:tcPr>
          <w:p w14:paraId="259176AF" w14:textId="4FA82FD8" w:rsidR="00C43AE5" w:rsidRPr="00A52AB8" w:rsidRDefault="00C43AE5" w:rsidP="003B2002">
            <w:pPr>
              <w:spacing w:before="120" w:after="120"/>
              <w:jc w:val="center"/>
              <w:rPr>
                <w:b/>
                <w:color w:val="000000" w:themeColor="text1"/>
              </w:rPr>
            </w:pPr>
            <w:r w:rsidRPr="00A52AB8">
              <w:rPr>
                <w:b/>
                <w:color w:val="000000" w:themeColor="text1"/>
              </w:rPr>
              <w:t>R</w:t>
            </w:r>
            <w:r w:rsidRPr="00A52AB8">
              <w:rPr>
                <w:b/>
                <w:color w:val="000000" w:themeColor="text1"/>
                <w:vertAlign w:val="subscript"/>
              </w:rPr>
              <w:t>s</w:t>
            </w:r>
            <w:r w:rsidRPr="00A52AB8">
              <w:rPr>
                <w:b/>
                <w:color w:val="000000" w:themeColor="text1"/>
              </w:rPr>
              <w:t>( </w:t>
            </w:r>
            <w:r w:rsidR="00EC3247" w:rsidRPr="00A52AB8">
              <w:rPr>
                <w:b/>
                <w:color w:val="000000" w:themeColor="text1"/>
              </w:rPr>
              <w:t>oI</w:t>
            </w:r>
            <w:r w:rsidRPr="00A52AB8">
              <w:rPr>
                <w:b/>
                <w:color w:val="000000" w:themeColor="text1"/>
              </w:rPr>
              <w:t>dx )</w:t>
            </w:r>
          </w:p>
        </w:tc>
        <w:tc>
          <w:tcPr>
            <w:tcW w:w="5421" w:type="dxa"/>
          </w:tcPr>
          <w:p w14:paraId="5882F169" w14:textId="77777777" w:rsidR="00C43AE5" w:rsidRPr="00A52AB8" w:rsidDel="00A33922" w:rsidRDefault="00C43AE5" w:rsidP="003B2002">
            <w:pPr>
              <w:spacing w:before="120" w:after="120"/>
              <w:jc w:val="center"/>
              <w:rPr>
                <w:b/>
                <w:color w:val="000000" w:themeColor="text1"/>
              </w:rPr>
            </w:pPr>
            <w:r w:rsidRPr="00A52AB8">
              <w:rPr>
                <w:b/>
                <w:color w:val="000000" w:themeColor="text1"/>
              </w:rPr>
              <w:t>Description</w:t>
            </w:r>
          </w:p>
        </w:tc>
      </w:tr>
      <w:tr w:rsidR="00C43AE5" w:rsidRPr="00A52AB8" w14:paraId="18D4BB9A" w14:textId="77777777" w:rsidTr="009C6742">
        <w:trPr>
          <w:trHeight w:val="555"/>
          <w:jc w:val="center"/>
        </w:trPr>
        <w:tc>
          <w:tcPr>
            <w:tcW w:w="735" w:type="dxa"/>
            <w:vAlign w:val="center"/>
          </w:tcPr>
          <w:p w14:paraId="30F55B1A" w14:textId="77777777" w:rsidR="00C43AE5" w:rsidRPr="00A52AB8" w:rsidRDefault="00C43AE5" w:rsidP="003B2002">
            <w:pPr>
              <w:spacing w:before="120" w:after="120"/>
              <w:jc w:val="center"/>
              <w:rPr>
                <w:color w:val="000000" w:themeColor="text1"/>
              </w:rPr>
            </w:pPr>
            <w:r w:rsidRPr="00A52AB8">
              <w:rPr>
                <w:color w:val="000000" w:themeColor="text1"/>
              </w:rPr>
              <w:t xml:space="preserve">0 </w:t>
            </w:r>
          </w:p>
        </w:tc>
        <w:tc>
          <w:tcPr>
            <w:tcW w:w="1237" w:type="dxa"/>
            <w:vAlign w:val="center"/>
          </w:tcPr>
          <w:p w14:paraId="4FB4C2AB" w14:textId="77777777" w:rsidR="00C43AE5" w:rsidRPr="00A52AB8" w:rsidRDefault="000E745B" w:rsidP="003B2002">
            <w:pPr>
              <w:spacing w:before="120" w:after="120"/>
              <w:jc w:val="center"/>
              <w:rPr>
                <w:color w:val="000000" w:themeColor="text1"/>
              </w:rPr>
            </w:pPr>
            <m:oMathPara>
              <m:oMath>
                <m:d>
                  <m:dPr>
                    <m:begChr m:val="["/>
                    <m:endChr m:val="]"/>
                    <m:ctrlPr>
                      <w:rPr>
                        <w:rFonts w:ascii="Cambria Math" w:hAnsi="Cambria Math"/>
                        <w:i/>
                        <w:color w:val="000000" w:themeColor="text1"/>
                      </w:rPr>
                    </m:ctrlPr>
                  </m:dPr>
                  <m:e>
                    <m:m>
                      <m:mPr>
                        <m:mcs>
                          <m:mc>
                            <m:mcPr>
                              <m:count m:val="2"/>
                              <m:mcJc m:val="center"/>
                            </m:mcPr>
                          </m:mc>
                        </m:mcs>
                        <m:ctrlPr>
                          <w:rPr>
                            <w:rFonts w:ascii="Cambria Math" w:hAnsi="Cambria Math"/>
                            <w:i/>
                            <w:color w:val="000000" w:themeColor="text1"/>
                          </w:rPr>
                        </m:ctrlPr>
                      </m:mPr>
                      <m:mr>
                        <m:e>
                          <m:r>
                            <w:rPr>
                              <w:rFonts w:ascii="Cambria Math" w:hAnsi="Cambria Math"/>
                              <w:color w:val="000000" w:themeColor="text1"/>
                            </w:rPr>
                            <m:t>1</m:t>
                          </m:r>
                        </m:e>
                        <m:e>
                          <m:r>
                            <w:rPr>
                              <w:rFonts w:ascii="Cambria Math" w:hAnsi="Cambria Math"/>
                              <w:color w:val="000000" w:themeColor="text1"/>
                            </w:rPr>
                            <m:t>0</m:t>
                          </m:r>
                        </m:e>
                      </m:mr>
                      <m:mr>
                        <m:e>
                          <m:r>
                            <w:rPr>
                              <w:rFonts w:ascii="Cambria Math" w:hAnsi="Cambria Math"/>
                              <w:color w:val="000000" w:themeColor="text1"/>
                            </w:rPr>
                            <m:t>0</m:t>
                          </m:r>
                        </m:e>
                        <m:e>
                          <m:r>
                            <w:rPr>
                              <w:rFonts w:ascii="Cambria Math" w:hAnsi="Cambria Math"/>
                              <w:color w:val="000000" w:themeColor="text1"/>
                            </w:rPr>
                            <m:t>1</m:t>
                          </m:r>
                        </m:e>
                      </m:mr>
                    </m:m>
                  </m:e>
                </m:d>
              </m:oMath>
            </m:oMathPara>
          </w:p>
        </w:tc>
        <w:tc>
          <w:tcPr>
            <w:tcW w:w="1221" w:type="dxa"/>
            <w:vAlign w:val="center"/>
          </w:tcPr>
          <w:p w14:paraId="649D0C3C" w14:textId="77777777" w:rsidR="00C43AE5" w:rsidRPr="00A52AB8" w:rsidRDefault="000E745B" w:rsidP="003B2002">
            <w:pPr>
              <w:spacing w:before="120" w:after="120"/>
              <w:jc w:val="center"/>
              <w:rPr>
                <w:color w:val="000000" w:themeColor="text1"/>
              </w:rPr>
            </w:pPr>
            <m:oMathPara>
              <m:oMath>
                <m:d>
                  <m:dPr>
                    <m:begChr m:val="["/>
                    <m:endChr m:val="]"/>
                    <m:ctrlPr>
                      <w:rPr>
                        <w:rFonts w:ascii="Cambria Math" w:hAnsi="Cambria Math"/>
                        <w:i/>
                        <w:color w:val="000000" w:themeColor="text1"/>
                      </w:rPr>
                    </m:ctrlPr>
                  </m:dPr>
                  <m:e>
                    <m:m>
                      <m:mPr>
                        <m:mcs>
                          <m:mc>
                            <m:mcPr>
                              <m:count m:val="2"/>
                              <m:mcJc m:val="center"/>
                            </m:mcPr>
                          </m:mc>
                        </m:mcs>
                        <m:ctrlPr>
                          <w:rPr>
                            <w:rFonts w:ascii="Cambria Math" w:hAnsi="Cambria Math"/>
                            <w:i/>
                            <w:color w:val="000000" w:themeColor="text1"/>
                          </w:rPr>
                        </m:ctrlPr>
                      </m:mPr>
                      <m:mr>
                        <m:e>
                          <m:r>
                            <w:rPr>
                              <w:rFonts w:ascii="Cambria Math" w:hAnsi="Cambria Math"/>
                              <w:color w:val="000000" w:themeColor="text1"/>
                            </w:rPr>
                            <m:t>0</m:t>
                          </m:r>
                        </m:e>
                        <m:e>
                          <m:r>
                            <w:rPr>
                              <w:rFonts w:ascii="Cambria Math" w:hAnsi="Cambria Math"/>
                              <w:color w:val="000000" w:themeColor="text1"/>
                            </w:rPr>
                            <m:t>0</m:t>
                          </m:r>
                        </m:e>
                      </m:mr>
                      <m:mr>
                        <m:e>
                          <m:r>
                            <w:rPr>
                              <w:rFonts w:ascii="Cambria Math" w:hAnsi="Cambria Math"/>
                              <w:color w:val="000000" w:themeColor="text1"/>
                            </w:rPr>
                            <m:t>0</m:t>
                          </m:r>
                        </m:e>
                        <m:e>
                          <m:r>
                            <w:rPr>
                              <w:rFonts w:ascii="Cambria Math" w:hAnsi="Cambria Math"/>
                              <w:color w:val="000000" w:themeColor="text1"/>
                            </w:rPr>
                            <m:t>0</m:t>
                          </m:r>
                        </m:e>
                      </m:mr>
                    </m:m>
                  </m:e>
                </m:d>
              </m:oMath>
            </m:oMathPara>
          </w:p>
        </w:tc>
        <w:tc>
          <w:tcPr>
            <w:tcW w:w="5421" w:type="dxa"/>
            <w:vAlign w:val="center"/>
          </w:tcPr>
          <w:p w14:paraId="77EB4C22" w14:textId="77777777" w:rsidR="00C43AE5" w:rsidRPr="00A52AB8" w:rsidRDefault="00C43AE5" w:rsidP="003B2002">
            <w:pPr>
              <w:spacing w:before="120" w:after="120"/>
              <w:jc w:val="center"/>
              <w:rPr>
                <w:rFonts w:eastAsia="MS Mincho"/>
                <w:color w:val="000000" w:themeColor="text1"/>
              </w:rPr>
            </w:pPr>
            <w:r w:rsidRPr="00A52AB8">
              <w:rPr>
                <w:rFonts w:eastAsia="Yu Gothic" w:cs="Calibri"/>
                <w:color w:val="000000"/>
                <w:kern w:val="24"/>
                <w:sz w:val="20"/>
                <w:szCs w:val="20"/>
              </w:rPr>
              <w:t>No transformation</w:t>
            </w:r>
          </w:p>
        </w:tc>
      </w:tr>
      <w:tr w:rsidR="00C43AE5" w:rsidRPr="00A52AB8" w14:paraId="7190CD0A" w14:textId="77777777" w:rsidTr="009C6742">
        <w:trPr>
          <w:jc w:val="center"/>
        </w:trPr>
        <w:tc>
          <w:tcPr>
            <w:tcW w:w="735" w:type="dxa"/>
            <w:vAlign w:val="center"/>
          </w:tcPr>
          <w:p w14:paraId="342DB12D" w14:textId="77777777" w:rsidR="00C43AE5" w:rsidRPr="00A52AB8" w:rsidRDefault="00C43AE5" w:rsidP="003B2002">
            <w:pPr>
              <w:spacing w:before="120" w:after="120"/>
              <w:jc w:val="center"/>
              <w:rPr>
                <w:color w:val="000000" w:themeColor="text1"/>
              </w:rPr>
            </w:pPr>
            <w:r w:rsidRPr="00A52AB8">
              <w:rPr>
                <w:color w:val="000000" w:themeColor="text1"/>
              </w:rPr>
              <w:t>1</w:t>
            </w:r>
          </w:p>
        </w:tc>
        <w:tc>
          <w:tcPr>
            <w:tcW w:w="1237" w:type="dxa"/>
            <w:vAlign w:val="center"/>
          </w:tcPr>
          <w:p w14:paraId="57F2E7F5" w14:textId="77777777" w:rsidR="00C43AE5" w:rsidRPr="00A52AB8" w:rsidRDefault="000E745B" w:rsidP="003B2002">
            <w:pPr>
              <w:spacing w:before="120" w:after="120"/>
              <w:jc w:val="center"/>
              <w:rPr>
                <w:rFonts w:eastAsia="MS Mincho"/>
                <w:color w:val="000000" w:themeColor="text1"/>
              </w:rPr>
            </w:pPr>
            <m:oMathPara>
              <m:oMath>
                <m:d>
                  <m:dPr>
                    <m:begChr m:val="["/>
                    <m:endChr m:val="]"/>
                    <m:ctrlPr>
                      <w:rPr>
                        <w:rFonts w:ascii="Cambria Math" w:hAnsi="Cambria Math"/>
                        <w:i/>
                        <w:color w:val="000000" w:themeColor="text1"/>
                      </w:rPr>
                    </m:ctrlPr>
                  </m:dPr>
                  <m:e>
                    <m:m>
                      <m:mPr>
                        <m:mcs>
                          <m:mc>
                            <m:mcPr>
                              <m:count m:val="2"/>
                              <m:mcJc m:val="center"/>
                            </m:mcPr>
                          </m:mc>
                        </m:mcs>
                        <m:ctrlPr>
                          <w:rPr>
                            <w:rFonts w:ascii="Cambria Math" w:hAnsi="Cambria Math"/>
                            <w:i/>
                            <w:color w:val="000000" w:themeColor="text1"/>
                          </w:rPr>
                        </m:ctrlPr>
                      </m:mPr>
                      <m:mr>
                        <m:e>
                          <m:r>
                            <w:rPr>
                              <w:rFonts w:ascii="Cambria Math" w:hAnsi="Cambria Math"/>
                              <w:color w:val="000000" w:themeColor="text1"/>
                            </w:rPr>
                            <m:t>0</m:t>
                          </m:r>
                        </m:e>
                        <m:e>
                          <m:r>
                            <w:rPr>
                              <w:rFonts w:ascii="Cambria Math" w:hAnsi="Cambria Math"/>
                              <w:color w:val="000000" w:themeColor="text1"/>
                            </w:rPr>
                            <m:t>1</m:t>
                          </m:r>
                        </m:e>
                      </m:mr>
                      <m:mr>
                        <m:e>
                          <m:r>
                            <w:rPr>
                              <w:rFonts w:ascii="Cambria Math" w:hAnsi="Cambria Math"/>
                              <w:color w:val="000000" w:themeColor="text1"/>
                            </w:rPr>
                            <m:t>1</m:t>
                          </m:r>
                        </m:e>
                        <m:e>
                          <m:r>
                            <w:rPr>
                              <w:rFonts w:ascii="Cambria Math" w:hAnsi="Cambria Math"/>
                              <w:color w:val="000000" w:themeColor="text1"/>
                            </w:rPr>
                            <m:t>0</m:t>
                          </m:r>
                        </m:e>
                      </m:mr>
                    </m:m>
                  </m:e>
                </m:d>
              </m:oMath>
            </m:oMathPara>
          </w:p>
        </w:tc>
        <w:tc>
          <w:tcPr>
            <w:tcW w:w="1221" w:type="dxa"/>
            <w:vAlign w:val="center"/>
          </w:tcPr>
          <w:p w14:paraId="1CB98F54" w14:textId="77777777" w:rsidR="00C43AE5" w:rsidRPr="00A52AB8" w:rsidRDefault="000E745B" w:rsidP="003B2002">
            <w:pPr>
              <w:spacing w:before="120" w:after="120"/>
              <w:jc w:val="center"/>
              <w:rPr>
                <w:rFonts w:eastAsia="MS Mincho"/>
                <w:color w:val="000000" w:themeColor="text1"/>
              </w:rPr>
            </w:pPr>
            <m:oMathPara>
              <m:oMath>
                <m:d>
                  <m:dPr>
                    <m:begChr m:val="["/>
                    <m:endChr m:val="]"/>
                    <m:ctrlPr>
                      <w:rPr>
                        <w:rFonts w:ascii="Cambria Math" w:hAnsi="Cambria Math"/>
                        <w:i/>
                        <w:color w:val="000000" w:themeColor="text1"/>
                      </w:rPr>
                    </m:ctrlPr>
                  </m:dPr>
                  <m:e>
                    <m:m>
                      <m:mPr>
                        <m:mcs>
                          <m:mc>
                            <m:mcPr>
                              <m:count m:val="2"/>
                              <m:mcJc m:val="center"/>
                            </m:mcPr>
                          </m:mc>
                        </m:mcs>
                        <m:ctrlPr>
                          <w:rPr>
                            <w:rFonts w:ascii="Cambria Math" w:hAnsi="Cambria Math"/>
                            <w:i/>
                            <w:color w:val="000000" w:themeColor="text1"/>
                          </w:rPr>
                        </m:ctrlPr>
                      </m:mPr>
                      <m:mr>
                        <m:e>
                          <m:r>
                            <w:rPr>
                              <w:rFonts w:ascii="Cambria Math" w:hAnsi="Cambria Math"/>
                              <w:color w:val="000000" w:themeColor="text1"/>
                            </w:rPr>
                            <m:t>0</m:t>
                          </m:r>
                        </m:e>
                        <m:e>
                          <m:r>
                            <w:rPr>
                              <w:rFonts w:ascii="Cambria Math" w:hAnsi="Cambria Math"/>
                              <w:color w:val="000000" w:themeColor="text1"/>
                            </w:rPr>
                            <m:t>0</m:t>
                          </m:r>
                        </m:e>
                      </m:mr>
                      <m:mr>
                        <m:e>
                          <m:r>
                            <w:rPr>
                              <w:rFonts w:ascii="Cambria Math" w:hAnsi="Cambria Math"/>
                              <w:color w:val="000000" w:themeColor="text1"/>
                            </w:rPr>
                            <m:t>0</m:t>
                          </m:r>
                        </m:e>
                        <m:e>
                          <m:r>
                            <w:rPr>
                              <w:rFonts w:ascii="Cambria Math" w:hAnsi="Cambria Math"/>
                              <w:color w:val="000000" w:themeColor="text1"/>
                            </w:rPr>
                            <m:t>0</m:t>
                          </m:r>
                        </m:e>
                      </m:mr>
                    </m:m>
                  </m:e>
                </m:d>
              </m:oMath>
            </m:oMathPara>
          </w:p>
        </w:tc>
        <w:tc>
          <w:tcPr>
            <w:tcW w:w="5421" w:type="dxa"/>
            <w:vAlign w:val="center"/>
          </w:tcPr>
          <w:p w14:paraId="15BC3D85" w14:textId="77777777" w:rsidR="00C43AE5" w:rsidRPr="00A52AB8" w:rsidRDefault="00C43AE5" w:rsidP="003B2002">
            <w:pPr>
              <w:spacing w:before="120" w:after="120"/>
              <w:jc w:val="center"/>
              <w:rPr>
                <w:rFonts w:eastAsia="MS Mincho"/>
                <w:color w:val="000000" w:themeColor="text1"/>
              </w:rPr>
            </w:pPr>
            <w:r w:rsidRPr="00A52AB8">
              <w:rPr>
                <w:rFonts w:eastAsia="Yu Gothic" w:cs="Calibri"/>
                <w:color w:val="000000"/>
                <w:kern w:val="24"/>
                <w:sz w:val="20"/>
                <w:szCs w:val="20"/>
              </w:rPr>
              <w:t>The x and y axes are swapped</w:t>
            </w:r>
          </w:p>
        </w:tc>
      </w:tr>
      <w:tr w:rsidR="00C43AE5" w:rsidRPr="00A52AB8" w14:paraId="324A9E22" w14:textId="77777777" w:rsidTr="009C6742">
        <w:trPr>
          <w:jc w:val="center"/>
        </w:trPr>
        <w:tc>
          <w:tcPr>
            <w:tcW w:w="735" w:type="dxa"/>
            <w:vAlign w:val="center"/>
          </w:tcPr>
          <w:p w14:paraId="5B16DB89" w14:textId="77777777" w:rsidR="00C43AE5" w:rsidRPr="00A52AB8" w:rsidRDefault="00C43AE5" w:rsidP="003B2002">
            <w:pPr>
              <w:spacing w:before="120" w:after="120"/>
              <w:jc w:val="center"/>
              <w:rPr>
                <w:color w:val="000000" w:themeColor="text1"/>
              </w:rPr>
            </w:pPr>
            <w:r w:rsidRPr="00A52AB8">
              <w:rPr>
                <w:color w:val="000000" w:themeColor="text1"/>
              </w:rPr>
              <w:t>2</w:t>
            </w:r>
          </w:p>
        </w:tc>
        <w:tc>
          <w:tcPr>
            <w:tcW w:w="1237" w:type="dxa"/>
            <w:vAlign w:val="bottom"/>
          </w:tcPr>
          <w:p w14:paraId="16F10DFC" w14:textId="5C6D46DF" w:rsidR="00C43AE5" w:rsidRPr="00A52AB8" w:rsidRDefault="000E745B" w:rsidP="003B2002">
            <w:pPr>
              <w:spacing w:before="120" w:after="120"/>
              <w:jc w:val="center"/>
              <w:rPr>
                <w:rFonts w:eastAsia="MS Mincho"/>
                <w:color w:val="000000" w:themeColor="text1"/>
              </w:rPr>
            </w:pPr>
            <m:oMathPara>
              <m:oMath>
                <m:d>
                  <m:dPr>
                    <m:begChr m:val="["/>
                    <m:endChr m:val="]"/>
                    <m:ctrlPr>
                      <w:rPr>
                        <w:rFonts w:ascii="Cambria Math" w:eastAsia="MS Mincho" w:hAnsi="Cambria Math"/>
                        <w:i/>
                        <w:color w:val="000000"/>
                        <w:kern w:val="24"/>
                      </w:rPr>
                    </m:ctrlPr>
                  </m:dPr>
                  <m:e>
                    <m:m>
                      <m:mPr>
                        <m:cSp m:val="60"/>
                        <m:mcs>
                          <m:mc>
                            <m:mcPr>
                              <m:count m:val="1"/>
                              <m:mcJc m:val="center"/>
                            </m:mcPr>
                          </m:mc>
                          <m:mc>
                            <m:mcPr>
                              <m:count m:val="1"/>
                              <m:mcJc m:val="right"/>
                            </m:mcPr>
                          </m:mc>
                        </m:mcs>
                        <m:ctrlPr>
                          <w:rPr>
                            <w:rFonts w:ascii="Cambria Math" w:eastAsia="MS Mincho" w:hAnsi="Cambria Math"/>
                            <w:i/>
                            <w:color w:val="000000"/>
                            <w:kern w:val="24"/>
                          </w:rPr>
                        </m:ctrlPr>
                      </m:mPr>
                      <m:mr>
                        <m:e>
                          <m:r>
                            <w:rPr>
                              <w:rFonts w:ascii="Cambria Math" w:eastAsia="MS Mincho" w:hAnsi="Cambria Math"/>
                              <w:color w:val="000000"/>
                              <w:kern w:val="24"/>
                            </w:rPr>
                            <m:t>0</m:t>
                          </m:r>
                        </m:e>
                        <m:e>
                          <m:r>
                            <w:rPr>
                              <w:rFonts w:ascii="Cambria Math" w:eastAsia="MS Mincho" w:hAnsi="Cambria Math"/>
                              <w:color w:val="000000"/>
                              <w:kern w:val="24"/>
                            </w:rPr>
                            <m:t>-1</m:t>
                          </m:r>
                        </m:e>
                      </m:mr>
                      <m:mr>
                        <m:e>
                          <m:r>
                            <w:rPr>
                              <w:rFonts w:ascii="Cambria Math" w:eastAsia="MS Mincho" w:hAnsi="Cambria Math"/>
                              <w:color w:val="000000"/>
                              <w:kern w:val="24"/>
                            </w:rPr>
                            <m:t>1</m:t>
                          </m:r>
                        </m:e>
                        <m:e>
                          <m:r>
                            <w:rPr>
                              <w:rFonts w:ascii="Cambria Math" w:eastAsia="MS Mincho" w:hAnsi="Cambria Math"/>
                              <w:color w:val="000000"/>
                              <w:kern w:val="24"/>
                            </w:rPr>
                            <m:t>0</m:t>
                          </m:r>
                        </m:e>
                      </m:mr>
                    </m:m>
                  </m:e>
                </m:d>
              </m:oMath>
            </m:oMathPara>
          </w:p>
        </w:tc>
        <w:tc>
          <w:tcPr>
            <w:tcW w:w="1221" w:type="dxa"/>
            <w:vAlign w:val="bottom"/>
          </w:tcPr>
          <w:p w14:paraId="38B22FA6" w14:textId="77777777" w:rsidR="00C43AE5" w:rsidRPr="00A52AB8" w:rsidRDefault="000E745B" w:rsidP="003B2002">
            <w:pPr>
              <w:spacing w:before="120" w:after="120"/>
              <w:jc w:val="center"/>
              <w:rPr>
                <w:rFonts w:eastAsia="MS Mincho"/>
                <w:color w:val="000000" w:themeColor="text1"/>
              </w:rPr>
            </w:pPr>
            <m:oMathPara>
              <m:oMath>
                <m:d>
                  <m:dPr>
                    <m:begChr m:val="["/>
                    <m:endChr m:val="]"/>
                    <m:ctrlPr>
                      <w:rPr>
                        <w:rFonts w:ascii="Cambria Math" w:hAnsi="Cambria Math"/>
                        <w:i/>
                        <w:color w:val="000000" w:themeColor="text1"/>
                      </w:rPr>
                    </m:ctrlPr>
                  </m:dPr>
                  <m:e>
                    <m:m>
                      <m:mPr>
                        <m:mcs>
                          <m:mc>
                            <m:mcPr>
                              <m:count m:val="2"/>
                              <m:mcJc m:val="center"/>
                            </m:mcPr>
                          </m:mc>
                        </m:mcs>
                        <m:ctrlPr>
                          <w:rPr>
                            <w:rFonts w:ascii="Cambria Math" w:hAnsi="Cambria Math"/>
                            <w:i/>
                            <w:color w:val="000000" w:themeColor="text1"/>
                          </w:rPr>
                        </m:ctrlPr>
                      </m:mPr>
                      <m:mr>
                        <m:e>
                          <m:r>
                            <w:rPr>
                              <w:rFonts w:ascii="Cambria Math" w:hAnsi="Cambria Math"/>
                              <w:color w:val="000000" w:themeColor="text1"/>
                            </w:rPr>
                            <m:t>0</m:t>
                          </m:r>
                        </m:e>
                        <m:e>
                          <m:r>
                            <w:rPr>
                              <w:rFonts w:ascii="Cambria Math" w:hAnsi="Cambria Math"/>
                              <w:color w:val="000000" w:themeColor="text1"/>
                            </w:rPr>
                            <m:t>0</m:t>
                          </m:r>
                        </m:e>
                      </m:mr>
                      <m:mr>
                        <m:e>
                          <m:r>
                            <w:rPr>
                              <w:rFonts w:ascii="Cambria Math" w:hAnsi="Cambria Math"/>
                              <w:color w:val="000000" w:themeColor="text1"/>
                            </w:rPr>
                            <m:t>1</m:t>
                          </m:r>
                        </m:e>
                        <m:e>
                          <m:r>
                            <w:rPr>
                              <w:rFonts w:ascii="Cambria Math" w:hAnsi="Cambria Math"/>
                              <w:color w:val="000000" w:themeColor="text1"/>
                            </w:rPr>
                            <m:t>0</m:t>
                          </m:r>
                        </m:e>
                      </m:mr>
                    </m:m>
                  </m:e>
                </m:d>
              </m:oMath>
            </m:oMathPara>
          </w:p>
        </w:tc>
        <w:tc>
          <w:tcPr>
            <w:tcW w:w="5421" w:type="dxa"/>
            <w:vAlign w:val="center"/>
          </w:tcPr>
          <w:p w14:paraId="26DAC880" w14:textId="77777777" w:rsidR="00C43AE5" w:rsidRPr="00A52AB8" w:rsidRDefault="00C43AE5" w:rsidP="003B2002">
            <w:pPr>
              <w:spacing w:before="120" w:after="120"/>
              <w:jc w:val="center"/>
              <w:rPr>
                <w:rFonts w:eastAsia="MS Mincho"/>
                <w:color w:val="000000" w:themeColor="text1"/>
              </w:rPr>
            </w:pPr>
            <w:r w:rsidRPr="00A52AB8">
              <w:rPr>
                <w:rFonts w:eastAsia="Yu Gothic" w:cs="Calibri"/>
                <w:color w:val="000000" w:themeColor="text1"/>
                <w:kern w:val="24"/>
                <w:sz w:val="20"/>
                <w:szCs w:val="20"/>
              </w:rPr>
              <w:t>The x axis is inverted first and then x and y axes are swapped</w:t>
            </w:r>
          </w:p>
        </w:tc>
      </w:tr>
      <w:tr w:rsidR="00C43AE5" w:rsidRPr="00A52AB8" w14:paraId="5B9E6B36" w14:textId="77777777" w:rsidTr="009C6742">
        <w:trPr>
          <w:jc w:val="center"/>
        </w:trPr>
        <w:tc>
          <w:tcPr>
            <w:tcW w:w="735" w:type="dxa"/>
            <w:vAlign w:val="center"/>
          </w:tcPr>
          <w:p w14:paraId="73A14AB3" w14:textId="77777777" w:rsidR="00C43AE5" w:rsidRPr="00A52AB8" w:rsidRDefault="00C43AE5" w:rsidP="003B2002">
            <w:pPr>
              <w:spacing w:before="120" w:after="120"/>
              <w:jc w:val="center"/>
              <w:rPr>
                <w:color w:val="000000" w:themeColor="text1"/>
              </w:rPr>
            </w:pPr>
            <w:r w:rsidRPr="00A52AB8">
              <w:rPr>
                <w:color w:val="000000" w:themeColor="text1"/>
              </w:rPr>
              <w:t>3</w:t>
            </w:r>
          </w:p>
        </w:tc>
        <w:tc>
          <w:tcPr>
            <w:tcW w:w="1237" w:type="dxa"/>
            <w:vAlign w:val="bottom"/>
          </w:tcPr>
          <w:p w14:paraId="0DBBB8C1" w14:textId="4E6CF25E" w:rsidR="00C43AE5" w:rsidRPr="00A52AB8" w:rsidRDefault="000E745B" w:rsidP="003B2002">
            <w:pPr>
              <w:spacing w:before="120" w:after="120"/>
              <w:jc w:val="center"/>
              <w:rPr>
                <w:rFonts w:eastAsia="MS Mincho"/>
                <w:color w:val="000000" w:themeColor="text1"/>
              </w:rPr>
            </w:pPr>
            <m:oMathPara>
              <m:oMath>
                <m:d>
                  <m:dPr>
                    <m:begChr m:val="["/>
                    <m:endChr m:val="]"/>
                    <m:ctrlPr>
                      <w:rPr>
                        <w:rFonts w:ascii="Cambria Math" w:eastAsia="MS Mincho" w:hAnsi="Cambria Math"/>
                        <w:i/>
                        <w:color w:val="000000"/>
                        <w:kern w:val="24"/>
                      </w:rPr>
                    </m:ctrlPr>
                  </m:dPr>
                  <m:e>
                    <m:m>
                      <m:mPr>
                        <m:cGp m:val="16"/>
                        <m:mcs>
                          <m:mc>
                            <m:mcPr>
                              <m:count m:val="2"/>
                              <m:mcJc m:val="right"/>
                            </m:mcPr>
                          </m:mc>
                        </m:mcs>
                        <m:ctrlPr>
                          <w:rPr>
                            <w:rFonts w:ascii="Cambria Math" w:eastAsia="MS Mincho" w:hAnsi="Cambria Math"/>
                            <w:i/>
                            <w:color w:val="000000"/>
                            <w:kern w:val="24"/>
                          </w:rPr>
                        </m:ctrlPr>
                      </m:mPr>
                      <m:mr>
                        <m:e>
                          <m:r>
                            <m:rPr>
                              <m:brk m:alnAt="1"/>
                            </m:rPr>
                            <w:rPr>
                              <w:rFonts w:ascii="Cambria Math" w:eastAsia="MS Mincho" w:hAnsi="Cambria Math"/>
                              <w:color w:val="000000"/>
                              <w:kern w:val="24"/>
                            </w:rPr>
                            <m:t>-1</m:t>
                          </m:r>
                        </m:e>
                        <m:e>
                          <m:r>
                            <w:rPr>
                              <w:rFonts w:ascii="Cambria Math" w:eastAsia="MS Mincho" w:hAnsi="Cambria Math"/>
                              <w:color w:val="000000"/>
                              <w:kern w:val="24"/>
                            </w:rPr>
                            <m:t>0</m:t>
                          </m:r>
                        </m:e>
                      </m:mr>
                      <m:mr>
                        <m:e>
                          <m:r>
                            <w:rPr>
                              <w:rFonts w:ascii="Cambria Math" w:eastAsia="MS Mincho" w:hAnsi="Cambria Math"/>
                              <w:color w:val="000000"/>
                              <w:kern w:val="24"/>
                            </w:rPr>
                            <m:t>0</m:t>
                          </m:r>
                        </m:e>
                        <m:e>
                          <m:r>
                            <w:rPr>
                              <w:rFonts w:ascii="Cambria Math" w:eastAsia="MS Mincho" w:hAnsi="Cambria Math"/>
                              <w:color w:val="000000"/>
                              <w:kern w:val="24"/>
                            </w:rPr>
                            <m:t>-1</m:t>
                          </m:r>
                        </m:e>
                      </m:mr>
                    </m:m>
                  </m:e>
                </m:d>
              </m:oMath>
            </m:oMathPara>
          </w:p>
        </w:tc>
        <w:tc>
          <w:tcPr>
            <w:tcW w:w="1221" w:type="dxa"/>
            <w:vAlign w:val="bottom"/>
          </w:tcPr>
          <w:p w14:paraId="75AB842D" w14:textId="77777777" w:rsidR="00C43AE5" w:rsidRPr="00A52AB8" w:rsidRDefault="000E745B" w:rsidP="003B2002">
            <w:pPr>
              <w:spacing w:before="120" w:after="120"/>
              <w:jc w:val="center"/>
              <w:rPr>
                <w:rFonts w:eastAsia="MS Mincho"/>
                <w:color w:val="000000" w:themeColor="text1"/>
              </w:rPr>
            </w:pPr>
            <m:oMathPara>
              <m:oMath>
                <m:d>
                  <m:dPr>
                    <m:begChr m:val="["/>
                    <m:endChr m:val="]"/>
                    <m:ctrlPr>
                      <w:rPr>
                        <w:rFonts w:ascii="Cambria Math" w:hAnsi="Cambria Math"/>
                        <w:i/>
                        <w:color w:val="000000" w:themeColor="text1"/>
                      </w:rPr>
                    </m:ctrlPr>
                  </m:dPr>
                  <m:e>
                    <m:m>
                      <m:mPr>
                        <m:mcs>
                          <m:mc>
                            <m:mcPr>
                              <m:count m:val="2"/>
                              <m:mcJc m:val="center"/>
                            </m:mcPr>
                          </m:mc>
                        </m:mcs>
                        <m:ctrlPr>
                          <w:rPr>
                            <w:rFonts w:ascii="Cambria Math" w:hAnsi="Cambria Math"/>
                            <w:i/>
                            <w:color w:val="000000" w:themeColor="text1"/>
                          </w:rPr>
                        </m:ctrlPr>
                      </m:mPr>
                      <m:mr>
                        <m:e>
                          <m:r>
                            <w:rPr>
                              <w:rFonts w:ascii="Cambria Math" w:hAnsi="Cambria Math"/>
                              <w:color w:val="000000" w:themeColor="text1"/>
                            </w:rPr>
                            <m:t>1</m:t>
                          </m:r>
                        </m:e>
                        <m:e>
                          <m:r>
                            <w:rPr>
                              <w:rFonts w:ascii="Cambria Math" w:hAnsi="Cambria Math"/>
                              <w:color w:val="000000" w:themeColor="text1"/>
                            </w:rPr>
                            <m:t>0</m:t>
                          </m:r>
                        </m:e>
                      </m:mr>
                      <m:mr>
                        <m:e>
                          <m:r>
                            <w:rPr>
                              <w:rFonts w:ascii="Cambria Math" w:hAnsi="Cambria Math"/>
                              <w:color w:val="000000" w:themeColor="text1"/>
                            </w:rPr>
                            <m:t>0</m:t>
                          </m:r>
                        </m:e>
                        <m:e>
                          <m:r>
                            <w:rPr>
                              <w:rFonts w:ascii="Cambria Math" w:hAnsi="Cambria Math"/>
                              <w:color w:val="000000" w:themeColor="text1"/>
                            </w:rPr>
                            <m:t>1</m:t>
                          </m:r>
                        </m:e>
                      </m:mr>
                    </m:m>
                  </m:e>
                </m:d>
              </m:oMath>
            </m:oMathPara>
          </w:p>
        </w:tc>
        <w:tc>
          <w:tcPr>
            <w:tcW w:w="5421" w:type="dxa"/>
            <w:vAlign w:val="center"/>
          </w:tcPr>
          <w:p w14:paraId="4FFA97CD" w14:textId="77777777" w:rsidR="00C43AE5" w:rsidRPr="00A52AB8" w:rsidRDefault="00C43AE5" w:rsidP="003B2002">
            <w:pPr>
              <w:spacing w:before="120" w:after="120"/>
              <w:jc w:val="center"/>
              <w:rPr>
                <w:rFonts w:eastAsia="MS Mincho"/>
                <w:color w:val="000000" w:themeColor="text1"/>
              </w:rPr>
            </w:pPr>
            <w:r w:rsidRPr="00A52AB8">
              <w:rPr>
                <w:rFonts w:eastAsia="Yu Gothic" w:cs="Calibri"/>
                <w:color w:val="000000"/>
                <w:kern w:val="24"/>
                <w:sz w:val="20"/>
                <w:szCs w:val="20"/>
              </w:rPr>
              <w:t>The x and y axes are inverted</w:t>
            </w:r>
          </w:p>
        </w:tc>
      </w:tr>
      <w:tr w:rsidR="00C43AE5" w:rsidRPr="00A52AB8" w14:paraId="387E96B0" w14:textId="77777777" w:rsidTr="009C6742">
        <w:trPr>
          <w:jc w:val="center"/>
        </w:trPr>
        <w:tc>
          <w:tcPr>
            <w:tcW w:w="735" w:type="dxa"/>
            <w:vAlign w:val="center"/>
          </w:tcPr>
          <w:p w14:paraId="6783EB5A" w14:textId="77777777" w:rsidR="00C43AE5" w:rsidRPr="00A52AB8" w:rsidRDefault="00C43AE5" w:rsidP="003B2002">
            <w:pPr>
              <w:spacing w:before="120" w:after="120"/>
              <w:jc w:val="center"/>
              <w:rPr>
                <w:color w:val="000000" w:themeColor="text1"/>
              </w:rPr>
            </w:pPr>
            <w:r w:rsidRPr="00A52AB8">
              <w:rPr>
                <w:color w:val="000000" w:themeColor="text1"/>
              </w:rPr>
              <w:t>4</w:t>
            </w:r>
          </w:p>
        </w:tc>
        <w:tc>
          <w:tcPr>
            <w:tcW w:w="1237" w:type="dxa"/>
            <w:vAlign w:val="bottom"/>
          </w:tcPr>
          <w:p w14:paraId="4AE8DBBF" w14:textId="7481C615" w:rsidR="00C43AE5" w:rsidRPr="00A52AB8" w:rsidRDefault="000E745B" w:rsidP="003B2002">
            <w:pPr>
              <w:spacing w:before="120" w:after="120"/>
              <w:jc w:val="center"/>
              <w:rPr>
                <w:rFonts w:eastAsia="MS Mincho"/>
                <w:color w:val="000000" w:themeColor="text1"/>
              </w:rPr>
            </w:pPr>
            <m:oMathPara>
              <m:oMath>
                <m:d>
                  <m:dPr>
                    <m:begChr m:val="["/>
                    <m:endChr m:val="]"/>
                    <m:ctrlPr>
                      <w:rPr>
                        <w:rFonts w:ascii="Cambria Math" w:eastAsia="MS Mincho" w:hAnsi="Cambria Math"/>
                        <w:i/>
                        <w:color w:val="000000"/>
                        <w:kern w:val="24"/>
                      </w:rPr>
                    </m:ctrlPr>
                  </m:dPr>
                  <m:e>
                    <m:m>
                      <m:mPr>
                        <m:mcs>
                          <m:mc>
                            <m:mcPr>
                              <m:count m:val="1"/>
                              <m:mcJc m:val="right"/>
                            </m:mcPr>
                          </m:mc>
                          <m:mc>
                            <m:mcPr>
                              <m:count m:val="1"/>
                              <m:mcJc m:val="center"/>
                            </m:mcPr>
                          </m:mc>
                        </m:mcs>
                        <m:ctrlPr>
                          <w:rPr>
                            <w:rFonts w:ascii="Cambria Math" w:eastAsia="MS Mincho" w:hAnsi="Cambria Math"/>
                            <w:i/>
                            <w:color w:val="000000"/>
                            <w:kern w:val="24"/>
                          </w:rPr>
                        </m:ctrlPr>
                      </m:mPr>
                      <m:mr>
                        <m:e>
                          <m:r>
                            <w:rPr>
                              <w:rFonts w:ascii="Cambria Math" w:eastAsia="MS Mincho" w:hAnsi="Cambria Math"/>
                              <w:color w:val="000000"/>
                              <w:kern w:val="24"/>
                            </w:rPr>
                            <m:t>0</m:t>
                          </m:r>
                        </m:e>
                        <m:e>
                          <m:r>
                            <w:rPr>
                              <w:rFonts w:ascii="Cambria Math" w:eastAsia="MS Mincho" w:hAnsi="Cambria Math"/>
                              <w:color w:val="000000"/>
                              <w:kern w:val="24"/>
                            </w:rPr>
                            <m:t>1</m:t>
                          </m:r>
                        </m:e>
                      </m:mr>
                      <m:mr>
                        <m:e>
                          <m:r>
                            <w:rPr>
                              <w:rFonts w:ascii="Cambria Math" w:eastAsia="MS Mincho" w:hAnsi="Cambria Math"/>
                              <w:color w:val="000000"/>
                              <w:kern w:val="24"/>
                            </w:rPr>
                            <m:t>-1</m:t>
                          </m:r>
                        </m:e>
                        <m:e>
                          <m:r>
                            <w:rPr>
                              <w:rFonts w:ascii="Cambria Math" w:eastAsia="MS Mincho" w:hAnsi="Cambria Math"/>
                              <w:color w:val="000000"/>
                              <w:kern w:val="24"/>
                            </w:rPr>
                            <m:t>0</m:t>
                          </m:r>
                        </m:e>
                      </m:mr>
                    </m:m>
                  </m:e>
                </m:d>
              </m:oMath>
            </m:oMathPara>
          </w:p>
        </w:tc>
        <w:tc>
          <w:tcPr>
            <w:tcW w:w="1221" w:type="dxa"/>
            <w:vAlign w:val="bottom"/>
          </w:tcPr>
          <w:p w14:paraId="6243187C" w14:textId="77777777" w:rsidR="00C43AE5" w:rsidRPr="00A52AB8" w:rsidRDefault="000E745B" w:rsidP="003B2002">
            <w:pPr>
              <w:spacing w:before="120" w:after="120"/>
              <w:jc w:val="center"/>
              <w:rPr>
                <w:rFonts w:eastAsia="MS Mincho"/>
                <w:color w:val="000000" w:themeColor="text1"/>
              </w:rPr>
            </w:pPr>
            <m:oMathPara>
              <m:oMath>
                <m:d>
                  <m:dPr>
                    <m:begChr m:val="["/>
                    <m:endChr m:val="]"/>
                    <m:ctrlPr>
                      <w:rPr>
                        <w:rFonts w:ascii="Cambria Math" w:hAnsi="Cambria Math"/>
                        <w:i/>
                        <w:color w:val="000000" w:themeColor="text1"/>
                      </w:rPr>
                    </m:ctrlPr>
                  </m:dPr>
                  <m:e>
                    <m:m>
                      <m:mPr>
                        <m:mcs>
                          <m:mc>
                            <m:mcPr>
                              <m:count m:val="2"/>
                              <m:mcJc m:val="center"/>
                            </m:mcPr>
                          </m:mc>
                        </m:mcs>
                        <m:ctrlPr>
                          <w:rPr>
                            <w:rFonts w:ascii="Cambria Math" w:hAnsi="Cambria Math"/>
                            <w:i/>
                            <w:color w:val="000000" w:themeColor="text1"/>
                          </w:rPr>
                        </m:ctrlPr>
                      </m:mPr>
                      <m:mr>
                        <m:e>
                          <m:r>
                            <w:rPr>
                              <w:rFonts w:ascii="Cambria Math" w:hAnsi="Cambria Math"/>
                              <w:color w:val="000000" w:themeColor="text1"/>
                            </w:rPr>
                            <m:t>0</m:t>
                          </m:r>
                        </m:e>
                        <m:e>
                          <m:r>
                            <w:rPr>
                              <w:rFonts w:ascii="Cambria Math" w:hAnsi="Cambria Math"/>
                              <w:color w:val="000000" w:themeColor="text1"/>
                            </w:rPr>
                            <m:t>1</m:t>
                          </m:r>
                        </m:e>
                      </m:mr>
                      <m:mr>
                        <m:e>
                          <m:r>
                            <w:rPr>
                              <w:rFonts w:ascii="Cambria Math" w:hAnsi="Cambria Math"/>
                              <w:color w:val="000000" w:themeColor="text1"/>
                            </w:rPr>
                            <m:t>0</m:t>
                          </m:r>
                        </m:e>
                        <m:e>
                          <m:r>
                            <w:rPr>
                              <w:rFonts w:ascii="Cambria Math" w:hAnsi="Cambria Math"/>
                              <w:color w:val="000000" w:themeColor="text1"/>
                            </w:rPr>
                            <m:t>0</m:t>
                          </m:r>
                        </m:e>
                      </m:mr>
                    </m:m>
                  </m:e>
                </m:d>
              </m:oMath>
            </m:oMathPara>
          </w:p>
        </w:tc>
        <w:tc>
          <w:tcPr>
            <w:tcW w:w="5421" w:type="dxa"/>
            <w:vAlign w:val="center"/>
          </w:tcPr>
          <w:p w14:paraId="430F2EAE" w14:textId="77777777" w:rsidR="00C43AE5" w:rsidRPr="00A52AB8" w:rsidRDefault="00C43AE5" w:rsidP="003B2002">
            <w:pPr>
              <w:spacing w:before="120" w:after="120"/>
              <w:jc w:val="center"/>
              <w:rPr>
                <w:rFonts w:eastAsia="MS Mincho"/>
                <w:color w:val="000000" w:themeColor="text1"/>
              </w:rPr>
            </w:pPr>
            <w:r w:rsidRPr="00A52AB8">
              <w:rPr>
                <w:rFonts w:eastAsia="Yu Gothic" w:cs="Calibri"/>
                <w:color w:val="000000" w:themeColor="text1"/>
                <w:kern w:val="24"/>
                <w:sz w:val="20"/>
                <w:szCs w:val="20"/>
              </w:rPr>
              <w:t>The y axis is inverted first and then x and y axes are swapped</w:t>
            </w:r>
          </w:p>
        </w:tc>
      </w:tr>
      <w:tr w:rsidR="00C43AE5" w:rsidRPr="00A52AB8" w14:paraId="2043547B" w14:textId="77777777" w:rsidTr="009C6742">
        <w:trPr>
          <w:jc w:val="center"/>
        </w:trPr>
        <w:tc>
          <w:tcPr>
            <w:tcW w:w="735" w:type="dxa"/>
            <w:vAlign w:val="center"/>
          </w:tcPr>
          <w:p w14:paraId="6B67B0BB" w14:textId="77777777" w:rsidR="00C43AE5" w:rsidRPr="00A52AB8" w:rsidRDefault="00C43AE5" w:rsidP="003B2002">
            <w:pPr>
              <w:spacing w:before="120" w:after="120"/>
              <w:jc w:val="center"/>
              <w:rPr>
                <w:color w:val="000000" w:themeColor="text1"/>
              </w:rPr>
            </w:pPr>
            <w:r w:rsidRPr="00A52AB8">
              <w:rPr>
                <w:color w:val="000000" w:themeColor="text1"/>
              </w:rPr>
              <w:t>5</w:t>
            </w:r>
          </w:p>
        </w:tc>
        <w:tc>
          <w:tcPr>
            <w:tcW w:w="1237" w:type="dxa"/>
            <w:vAlign w:val="bottom"/>
          </w:tcPr>
          <w:p w14:paraId="03F3EB20" w14:textId="41FA9879" w:rsidR="00C43AE5" w:rsidRPr="00A52AB8" w:rsidRDefault="000E745B" w:rsidP="003B2002">
            <w:pPr>
              <w:spacing w:before="120" w:after="120"/>
              <w:jc w:val="center"/>
              <w:rPr>
                <w:rFonts w:eastAsia="MS Mincho"/>
                <w:color w:val="000000" w:themeColor="text1"/>
              </w:rPr>
            </w:pPr>
            <m:oMathPara>
              <m:oMath>
                <m:d>
                  <m:dPr>
                    <m:begChr m:val="["/>
                    <m:endChr m:val="]"/>
                    <m:ctrlPr>
                      <w:rPr>
                        <w:rFonts w:ascii="Cambria Math" w:eastAsia="MS Mincho" w:hAnsi="Cambria Math"/>
                        <w:i/>
                        <w:color w:val="000000"/>
                        <w:kern w:val="24"/>
                      </w:rPr>
                    </m:ctrlPr>
                  </m:dPr>
                  <m:e>
                    <m:m>
                      <m:mPr>
                        <m:mcs>
                          <m:mc>
                            <m:mcPr>
                              <m:count m:val="1"/>
                              <m:mcJc m:val="right"/>
                            </m:mcPr>
                          </m:mc>
                          <m:mc>
                            <m:mcPr>
                              <m:count m:val="1"/>
                              <m:mcJc m:val="center"/>
                            </m:mcPr>
                          </m:mc>
                        </m:mcs>
                        <m:ctrlPr>
                          <w:rPr>
                            <w:rFonts w:ascii="Cambria Math" w:eastAsia="MS Mincho" w:hAnsi="Cambria Math"/>
                            <w:i/>
                            <w:color w:val="000000"/>
                            <w:kern w:val="24"/>
                          </w:rPr>
                        </m:ctrlPr>
                      </m:mPr>
                      <m:mr>
                        <m:e>
                          <m:r>
                            <m:rPr>
                              <m:brk m:alnAt="1"/>
                            </m:rPr>
                            <w:rPr>
                              <w:rFonts w:ascii="Cambria Math" w:eastAsia="MS Mincho" w:hAnsi="Cambria Math"/>
                              <w:color w:val="000000"/>
                              <w:kern w:val="24"/>
                            </w:rPr>
                            <m:t>-1</m:t>
                          </m:r>
                        </m:e>
                        <m:e>
                          <m:r>
                            <w:rPr>
                              <w:rFonts w:ascii="Cambria Math" w:eastAsia="MS Mincho" w:hAnsi="Cambria Math"/>
                              <w:color w:val="000000"/>
                              <w:kern w:val="24"/>
                            </w:rPr>
                            <m:t>0</m:t>
                          </m:r>
                        </m:e>
                      </m:mr>
                      <m:mr>
                        <m:e>
                          <m:r>
                            <w:rPr>
                              <w:rFonts w:ascii="Cambria Math" w:eastAsia="MS Mincho" w:hAnsi="Cambria Math"/>
                              <w:color w:val="000000"/>
                              <w:kern w:val="24"/>
                            </w:rPr>
                            <m:t>0</m:t>
                          </m:r>
                        </m:e>
                        <m:e>
                          <m:r>
                            <w:rPr>
                              <w:rFonts w:ascii="Cambria Math" w:eastAsia="MS Mincho" w:hAnsi="Cambria Math"/>
                              <w:color w:val="000000"/>
                              <w:kern w:val="24"/>
                            </w:rPr>
                            <m:t>1</m:t>
                          </m:r>
                        </m:e>
                      </m:mr>
                    </m:m>
                  </m:e>
                </m:d>
              </m:oMath>
            </m:oMathPara>
          </w:p>
        </w:tc>
        <w:tc>
          <w:tcPr>
            <w:tcW w:w="1221" w:type="dxa"/>
            <w:vAlign w:val="bottom"/>
          </w:tcPr>
          <w:p w14:paraId="3F8FE166" w14:textId="77777777" w:rsidR="00C43AE5" w:rsidRPr="00A52AB8" w:rsidRDefault="000E745B" w:rsidP="003B2002">
            <w:pPr>
              <w:spacing w:before="120" w:after="120"/>
              <w:jc w:val="center"/>
              <w:rPr>
                <w:rFonts w:eastAsia="MS Mincho"/>
                <w:color w:val="000000" w:themeColor="text1"/>
              </w:rPr>
            </w:pPr>
            <m:oMathPara>
              <m:oMath>
                <m:d>
                  <m:dPr>
                    <m:begChr m:val="["/>
                    <m:endChr m:val="]"/>
                    <m:ctrlPr>
                      <w:rPr>
                        <w:rFonts w:ascii="Cambria Math" w:hAnsi="Cambria Math"/>
                        <w:i/>
                        <w:color w:val="000000" w:themeColor="text1"/>
                      </w:rPr>
                    </m:ctrlPr>
                  </m:dPr>
                  <m:e>
                    <m:m>
                      <m:mPr>
                        <m:mcs>
                          <m:mc>
                            <m:mcPr>
                              <m:count m:val="2"/>
                              <m:mcJc m:val="center"/>
                            </m:mcPr>
                          </m:mc>
                        </m:mcs>
                        <m:ctrlPr>
                          <w:rPr>
                            <w:rFonts w:ascii="Cambria Math" w:hAnsi="Cambria Math"/>
                            <w:i/>
                            <w:color w:val="000000" w:themeColor="text1"/>
                          </w:rPr>
                        </m:ctrlPr>
                      </m:mPr>
                      <m:mr>
                        <m:e>
                          <m:r>
                            <w:rPr>
                              <w:rFonts w:ascii="Cambria Math" w:hAnsi="Cambria Math"/>
                              <w:color w:val="000000" w:themeColor="text1"/>
                            </w:rPr>
                            <m:t>1</m:t>
                          </m:r>
                        </m:e>
                        <m:e>
                          <m:r>
                            <w:rPr>
                              <w:rFonts w:ascii="Cambria Math" w:hAnsi="Cambria Math"/>
                              <w:color w:val="000000" w:themeColor="text1"/>
                            </w:rPr>
                            <m:t>0</m:t>
                          </m:r>
                        </m:e>
                      </m:mr>
                      <m:mr>
                        <m:e>
                          <m:r>
                            <w:rPr>
                              <w:rFonts w:ascii="Cambria Math" w:hAnsi="Cambria Math"/>
                              <w:color w:val="000000" w:themeColor="text1"/>
                            </w:rPr>
                            <m:t>0</m:t>
                          </m:r>
                        </m:e>
                        <m:e>
                          <m:r>
                            <w:rPr>
                              <w:rFonts w:ascii="Cambria Math" w:hAnsi="Cambria Math"/>
                              <w:color w:val="000000" w:themeColor="text1"/>
                            </w:rPr>
                            <m:t>0</m:t>
                          </m:r>
                        </m:e>
                      </m:mr>
                    </m:m>
                  </m:e>
                </m:d>
              </m:oMath>
            </m:oMathPara>
          </w:p>
        </w:tc>
        <w:tc>
          <w:tcPr>
            <w:tcW w:w="5421" w:type="dxa"/>
            <w:vAlign w:val="center"/>
          </w:tcPr>
          <w:p w14:paraId="0DC6D76E" w14:textId="77777777" w:rsidR="00C43AE5" w:rsidRPr="00A52AB8" w:rsidRDefault="00C43AE5" w:rsidP="003B2002">
            <w:pPr>
              <w:spacing w:before="120" w:after="120"/>
              <w:jc w:val="center"/>
              <w:rPr>
                <w:rFonts w:eastAsia="MS Mincho"/>
                <w:color w:val="000000" w:themeColor="text1"/>
              </w:rPr>
            </w:pPr>
            <w:r w:rsidRPr="00A52AB8">
              <w:rPr>
                <w:rFonts w:eastAsia="Yu Gothic" w:cs="Calibri"/>
                <w:color w:val="000000"/>
                <w:kern w:val="24"/>
                <w:sz w:val="20"/>
                <w:szCs w:val="20"/>
              </w:rPr>
              <w:t>The x axis is inverted</w:t>
            </w:r>
          </w:p>
        </w:tc>
      </w:tr>
      <w:tr w:rsidR="00C43AE5" w:rsidRPr="00A52AB8" w14:paraId="13F92429" w14:textId="77777777" w:rsidTr="009C6742">
        <w:trPr>
          <w:jc w:val="center"/>
        </w:trPr>
        <w:tc>
          <w:tcPr>
            <w:tcW w:w="735" w:type="dxa"/>
            <w:vAlign w:val="center"/>
          </w:tcPr>
          <w:p w14:paraId="520CAB07" w14:textId="77777777" w:rsidR="00C43AE5" w:rsidRPr="00A52AB8" w:rsidRDefault="00C43AE5" w:rsidP="003B2002">
            <w:pPr>
              <w:spacing w:before="120" w:after="120"/>
              <w:jc w:val="center"/>
              <w:rPr>
                <w:color w:val="000000" w:themeColor="text1"/>
              </w:rPr>
            </w:pPr>
            <w:r w:rsidRPr="00A52AB8">
              <w:rPr>
                <w:color w:val="000000" w:themeColor="text1"/>
              </w:rPr>
              <w:t>6</w:t>
            </w:r>
          </w:p>
        </w:tc>
        <w:tc>
          <w:tcPr>
            <w:tcW w:w="1237" w:type="dxa"/>
            <w:vAlign w:val="bottom"/>
          </w:tcPr>
          <w:p w14:paraId="4B0A1C29" w14:textId="71E54F54" w:rsidR="00C43AE5" w:rsidRPr="00A52AB8" w:rsidRDefault="000E745B" w:rsidP="003B2002">
            <w:pPr>
              <w:spacing w:before="120" w:after="120"/>
              <w:jc w:val="center"/>
              <w:rPr>
                <w:rFonts w:eastAsia="MS Mincho"/>
                <w:color w:val="000000" w:themeColor="text1"/>
              </w:rPr>
            </w:pPr>
            <m:oMathPara>
              <m:oMath>
                <m:d>
                  <m:dPr>
                    <m:begChr m:val="["/>
                    <m:endChr m:val="]"/>
                    <m:ctrlPr>
                      <w:rPr>
                        <w:rFonts w:ascii="Cambria Math" w:eastAsia="MS Mincho" w:hAnsi="Cambria Math"/>
                        <w:i/>
                        <w:color w:val="000000"/>
                        <w:kern w:val="24"/>
                      </w:rPr>
                    </m:ctrlPr>
                  </m:dPr>
                  <m:e>
                    <m:m>
                      <m:mPr>
                        <m:mcs>
                          <m:mc>
                            <m:mcPr>
                              <m:count m:val="2"/>
                              <m:mcJc m:val="right"/>
                            </m:mcPr>
                          </m:mc>
                        </m:mcs>
                        <m:ctrlPr>
                          <w:rPr>
                            <w:rFonts w:ascii="Cambria Math" w:eastAsia="MS Mincho" w:hAnsi="Cambria Math"/>
                            <w:i/>
                            <w:color w:val="000000"/>
                            <w:kern w:val="24"/>
                          </w:rPr>
                        </m:ctrlPr>
                      </m:mPr>
                      <m:mr>
                        <m:e>
                          <m:r>
                            <w:rPr>
                              <w:rFonts w:ascii="Cambria Math" w:eastAsia="MS Mincho" w:hAnsi="Cambria Math"/>
                              <w:color w:val="000000"/>
                              <w:kern w:val="24"/>
                            </w:rPr>
                            <m:t>0</m:t>
                          </m:r>
                        </m:e>
                        <m:e>
                          <m:r>
                            <w:rPr>
                              <w:rFonts w:ascii="Cambria Math" w:eastAsia="MS Mincho" w:hAnsi="Cambria Math"/>
                              <w:color w:val="000000"/>
                              <w:kern w:val="24"/>
                            </w:rPr>
                            <m:t>-1</m:t>
                          </m:r>
                        </m:e>
                      </m:mr>
                      <m:mr>
                        <m:e>
                          <m:r>
                            <w:rPr>
                              <w:rFonts w:ascii="Cambria Math" w:eastAsia="MS Mincho" w:hAnsi="Cambria Math"/>
                              <w:color w:val="000000"/>
                              <w:kern w:val="24"/>
                            </w:rPr>
                            <m:t>-1</m:t>
                          </m:r>
                        </m:e>
                        <m:e>
                          <m:r>
                            <w:rPr>
                              <w:rFonts w:ascii="Cambria Math" w:eastAsia="MS Mincho" w:hAnsi="Cambria Math"/>
                              <w:color w:val="000000"/>
                              <w:kern w:val="24"/>
                            </w:rPr>
                            <m:t>0</m:t>
                          </m:r>
                        </m:e>
                      </m:mr>
                    </m:m>
                  </m:e>
                </m:d>
              </m:oMath>
            </m:oMathPara>
          </w:p>
        </w:tc>
        <w:tc>
          <w:tcPr>
            <w:tcW w:w="1221" w:type="dxa"/>
            <w:vAlign w:val="bottom"/>
          </w:tcPr>
          <w:p w14:paraId="5DE72AF5" w14:textId="77777777" w:rsidR="00C43AE5" w:rsidRPr="00A52AB8" w:rsidRDefault="000E745B" w:rsidP="003B2002">
            <w:pPr>
              <w:spacing w:before="120" w:after="120"/>
              <w:jc w:val="center"/>
              <w:rPr>
                <w:rFonts w:eastAsia="MS Mincho"/>
                <w:color w:val="000000" w:themeColor="text1"/>
              </w:rPr>
            </w:pPr>
            <m:oMathPara>
              <m:oMath>
                <m:d>
                  <m:dPr>
                    <m:begChr m:val="["/>
                    <m:endChr m:val="]"/>
                    <m:ctrlPr>
                      <w:rPr>
                        <w:rFonts w:ascii="Cambria Math" w:hAnsi="Cambria Math"/>
                        <w:i/>
                        <w:color w:val="000000" w:themeColor="text1"/>
                      </w:rPr>
                    </m:ctrlPr>
                  </m:dPr>
                  <m:e>
                    <m:m>
                      <m:mPr>
                        <m:mcs>
                          <m:mc>
                            <m:mcPr>
                              <m:count m:val="2"/>
                              <m:mcJc m:val="center"/>
                            </m:mcPr>
                          </m:mc>
                        </m:mcs>
                        <m:ctrlPr>
                          <w:rPr>
                            <w:rFonts w:ascii="Cambria Math" w:hAnsi="Cambria Math"/>
                            <w:i/>
                            <w:color w:val="000000" w:themeColor="text1"/>
                          </w:rPr>
                        </m:ctrlPr>
                      </m:mPr>
                      <m:mr>
                        <m:e>
                          <m:r>
                            <w:rPr>
                              <w:rFonts w:ascii="Cambria Math" w:hAnsi="Cambria Math"/>
                              <w:color w:val="000000" w:themeColor="text1"/>
                            </w:rPr>
                            <m:t>0</m:t>
                          </m:r>
                        </m:e>
                        <m:e>
                          <m:r>
                            <w:rPr>
                              <w:rFonts w:ascii="Cambria Math" w:hAnsi="Cambria Math"/>
                              <w:color w:val="000000" w:themeColor="text1"/>
                            </w:rPr>
                            <m:t>1</m:t>
                          </m:r>
                        </m:e>
                      </m:mr>
                      <m:mr>
                        <m:e>
                          <m:r>
                            <w:rPr>
                              <w:rFonts w:ascii="Cambria Math" w:hAnsi="Cambria Math"/>
                              <w:color w:val="000000" w:themeColor="text1"/>
                            </w:rPr>
                            <m:t>1</m:t>
                          </m:r>
                        </m:e>
                        <m:e>
                          <m:r>
                            <w:rPr>
                              <w:rFonts w:ascii="Cambria Math" w:hAnsi="Cambria Math"/>
                              <w:color w:val="000000" w:themeColor="text1"/>
                            </w:rPr>
                            <m:t>0</m:t>
                          </m:r>
                        </m:e>
                      </m:mr>
                    </m:m>
                  </m:e>
                </m:d>
              </m:oMath>
            </m:oMathPara>
          </w:p>
        </w:tc>
        <w:tc>
          <w:tcPr>
            <w:tcW w:w="5421" w:type="dxa"/>
            <w:vAlign w:val="center"/>
          </w:tcPr>
          <w:p w14:paraId="0867DF96" w14:textId="77777777" w:rsidR="00C43AE5" w:rsidRPr="00A52AB8" w:rsidRDefault="00C43AE5" w:rsidP="003B2002">
            <w:pPr>
              <w:spacing w:before="120" w:after="120"/>
              <w:jc w:val="center"/>
              <w:rPr>
                <w:rFonts w:eastAsia="MS Mincho"/>
                <w:color w:val="000000" w:themeColor="text1"/>
              </w:rPr>
            </w:pPr>
            <w:r w:rsidRPr="00A52AB8">
              <w:rPr>
                <w:rFonts w:eastAsia="Yu Gothic" w:cs="Calibri"/>
                <w:color w:val="000000" w:themeColor="text1"/>
                <w:kern w:val="24"/>
                <w:sz w:val="20"/>
                <w:szCs w:val="20"/>
              </w:rPr>
              <w:t>The x and y axes are inverted first and then are swapped</w:t>
            </w:r>
          </w:p>
        </w:tc>
      </w:tr>
      <w:tr w:rsidR="00C43AE5" w:rsidRPr="00A52AB8" w14:paraId="3F45B999" w14:textId="77777777" w:rsidTr="009C6742">
        <w:trPr>
          <w:jc w:val="center"/>
        </w:trPr>
        <w:tc>
          <w:tcPr>
            <w:tcW w:w="735" w:type="dxa"/>
            <w:vAlign w:val="center"/>
          </w:tcPr>
          <w:p w14:paraId="57ECE1E1" w14:textId="77777777" w:rsidR="00C43AE5" w:rsidRPr="00A52AB8" w:rsidRDefault="00C43AE5" w:rsidP="003B2002">
            <w:pPr>
              <w:spacing w:before="120" w:after="120"/>
              <w:jc w:val="center"/>
              <w:rPr>
                <w:color w:val="000000" w:themeColor="text1"/>
              </w:rPr>
            </w:pPr>
            <w:r w:rsidRPr="00A52AB8">
              <w:rPr>
                <w:color w:val="000000" w:themeColor="text1"/>
              </w:rPr>
              <w:t>7</w:t>
            </w:r>
          </w:p>
        </w:tc>
        <w:tc>
          <w:tcPr>
            <w:tcW w:w="1237" w:type="dxa"/>
            <w:vAlign w:val="bottom"/>
          </w:tcPr>
          <w:p w14:paraId="35A25C4A" w14:textId="6D15C476" w:rsidR="00C43AE5" w:rsidRPr="00A52AB8" w:rsidRDefault="000E745B" w:rsidP="003B2002">
            <w:pPr>
              <w:spacing w:before="120" w:after="120"/>
              <w:jc w:val="center"/>
              <w:rPr>
                <w:rFonts w:eastAsia="MS Mincho"/>
                <w:color w:val="000000" w:themeColor="text1"/>
              </w:rPr>
            </w:pPr>
            <m:oMathPara>
              <m:oMath>
                <m:d>
                  <m:dPr>
                    <m:begChr m:val="["/>
                    <m:endChr m:val="]"/>
                    <m:ctrlPr>
                      <w:rPr>
                        <w:rFonts w:ascii="Cambria Math" w:eastAsia="MS Mincho" w:hAnsi="Cambria Math"/>
                        <w:i/>
                        <w:color w:val="000000"/>
                        <w:kern w:val="24"/>
                      </w:rPr>
                    </m:ctrlPr>
                  </m:dPr>
                  <m:e>
                    <m:m>
                      <m:mPr>
                        <m:mcs>
                          <m:mc>
                            <m:mcPr>
                              <m:count m:val="1"/>
                              <m:mcJc m:val="center"/>
                            </m:mcPr>
                          </m:mc>
                          <m:mc>
                            <m:mcPr>
                              <m:count m:val="1"/>
                              <m:mcJc m:val="right"/>
                            </m:mcPr>
                          </m:mc>
                        </m:mcs>
                        <m:ctrlPr>
                          <w:rPr>
                            <w:rFonts w:ascii="Cambria Math" w:eastAsia="MS Mincho" w:hAnsi="Cambria Math"/>
                            <w:i/>
                            <w:color w:val="000000"/>
                            <w:kern w:val="24"/>
                          </w:rPr>
                        </m:ctrlPr>
                      </m:mPr>
                      <m:mr>
                        <m:e>
                          <m:r>
                            <w:rPr>
                              <w:rFonts w:ascii="Cambria Math" w:eastAsia="MS Mincho" w:hAnsi="Cambria Math"/>
                              <w:color w:val="000000"/>
                              <w:kern w:val="24"/>
                            </w:rPr>
                            <m:t>1</m:t>
                          </m:r>
                        </m:e>
                        <m:e>
                          <m:r>
                            <w:rPr>
                              <w:rFonts w:ascii="Cambria Math" w:eastAsia="MS Mincho" w:hAnsi="Cambria Math"/>
                              <w:color w:val="000000"/>
                              <w:kern w:val="24"/>
                            </w:rPr>
                            <m:t>0</m:t>
                          </m:r>
                        </m:e>
                      </m:mr>
                      <m:mr>
                        <m:e>
                          <m:r>
                            <w:rPr>
                              <w:rFonts w:ascii="Cambria Math" w:eastAsia="MS Mincho" w:hAnsi="Cambria Math"/>
                              <w:color w:val="000000"/>
                              <w:kern w:val="24"/>
                            </w:rPr>
                            <m:t>0</m:t>
                          </m:r>
                        </m:e>
                        <m:e>
                          <m:r>
                            <w:rPr>
                              <w:rFonts w:ascii="Cambria Math" w:eastAsia="MS Mincho" w:hAnsi="Cambria Math"/>
                              <w:color w:val="000000"/>
                              <w:kern w:val="24"/>
                            </w:rPr>
                            <m:t>-1</m:t>
                          </m:r>
                        </m:e>
                      </m:mr>
                    </m:m>
                  </m:e>
                </m:d>
              </m:oMath>
            </m:oMathPara>
          </w:p>
        </w:tc>
        <w:tc>
          <w:tcPr>
            <w:tcW w:w="1221" w:type="dxa"/>
            <w:vAlign w:val="bottom"/>
          </w:tcPr>
          <w:p w14:paraId="30BB5DC6" w14:textId="77777777" w:rsidR="00C43AE5" w:rsidRPr="00A52AB8" w:rsidRDefault="000E745B" w:rsidP="003B2002">
            <w:pPr>
              <w:spacing w:before="120" w:after="120"/>
              <w:jc w:val="center"/>
              <w:rPr>
                <w:rFonts w:eastAsia="MS Mincho"/>
                <w:color w:val="000000" w:themeColor="text1"/>
              </w:rPr>
            </w:pPr>
            <m:oMathPara>
              <m:oMath>
                <m:d>
                  <m:dPr>
                    <m:begChr m:val="["/>
                    <m:endChr m:val="]"/>
                    <m:ctrlPr>
                      <w:rPr>
                        <w:rFonts w:ascii="Cambria Math" w:hAnsi="Cambria Math"/>
                        <w:i/>
                        <w:color w:val="000000" w:themeColor="text1"/>
                      </w:rPr>
                    </m:ctrlPr>
                  </m:dPr>
                  <m:e>
                    <m:m>
                      <m:mPr>
                        <m:mcs>
                          <m:mc>
                            <m:mcPr>
                              <m:count m:val="2"/>
                              <m:mcJc m:val="center"/>
                            </m:mcPr>
                          </m:mc>
                        </m:mcs>
                        <m:ctrlPr>
                          <w:rPr>
                            <w:rFonts w:ascii="Cambria Math" w:hAnsi="Cambria Math"/>
                            <w:i/>
                            <w:color w:val="000000" w:themeColor="text1"/>
                          </w:rPr>
                        </m:ctrlPr>
                      </m:mPr>
                      <m:mr>
                        <m:e>
                          <m:r>
                            <w:rPr>
                              <w:rFonts w:ascii="Cambria Math" w:hAnsi="Cambria Math"/>
                              <w:color w:val="000000" w:themeColor="text1"/>
                            </w:rPr>
                            <m:t>0</m:t>
                          </m:r>
                        </m:e>
                        <m:e>
                          <m:r>
                            <w:rPr>
                              <w:rFonts w:ascii="Cambria Math" w:hAnsi="Cambria Math"/>
                              <w:color w:val="000000" w:themeColor="text1"/>
                            </w:rPr>
                            <m:t>0</m:t>
                          </m:r>
                        </m:e>
                      </m:mr>
                      <m:mr>
                        <m:e>
                          <m:r>
                            <w:rPr>
                              <w:rFonts w:ascii="Cambria Math" w:hAnsi="Cambria Math"/>
                              <w:color w:val="000000" w:themeColor="text1"/>
                            </w:rPr>
                            <m:t>0</m:t>
                          </m:r>
                        </m:e>
                        <m:e>
                          <m:r>
                            <w:rPr>
                              <w:rFonts w:ascii="Cambria Math" w:hAnsi="Cambria Math"/>
                              <w:color w:val="000000" w:themeColor="text1"/>
                            </w:rPr>
                            <m:t>1</m:t>
                          </m:r>
                        </m:e>
                      </m:mr>
                    </m:m>
                  </m:e>
                </m:d>
              </m:oMath>
            </m:oMathPara>
          </w:p>
        </w:tc>
        <w:tc>
          <w:tcPr>
            <w:tcW w:w="5421" w:type="dxa"/>
            <w:vAlign w:val="center"/>
          </w:tcPr>
          <w:p w14:paraId="1F093512" w14:textId="77777777" w:rsidR="00C43AE5" w:rsidRPr="00A52AB8" w:rsidRDefault="00C43AE5" w:rsidP="003B2002">
            <w:pPr>
              <w:spacing w:before="120" w:after="120"/>
              <w:jc w:val="center"/>
              <w:rPr>
                <w:rFonts w:eastAsia="MS Mincho"/>
                <w:color w:val="000000" w:themeColor="text1"/>
              </w:rPr>
            </w:pPr>
            <w:r w:rsidRPr="00A52AB8">
              <w:rPr>
                <w:rFonts w:eastAsia="Yu Gothic" w:cs="Calibri"/>
                <w:color w:val="000000"/>
                <w:kern w:val="24"/>
                <w:sz w:val="20"/>
                <w:szCs w:val="20"/>
              </w:rPr>
              <w:t>The y axis is inverted</w:t>
            </w:r>
          </w:p>
        </w:tc>
      </w:tr>
    </w:tbl>
    <w:p w14:paraId="52A4798F" w14:textId="77777777" w:rsidR="0050235C" w:rsidRPr="00A52AB8" w:rsidRDefault="00077F5A" w:rsidP="005C26E9">
      <w:pPr>
        <w:pStyle w:val="Heading4"/>
      </w:pPr>
      <w:bookmarkStart w:id="1504" w:name="_Ref991397"/>
      <w:r w:rsidRPr="00A52AB8">
        <w:t xml:space="preserve">Decoding process for </w:t>
      </w:r>
      <w:r w:rsidR="00E63010" w:rsidRPr="00A52AB8">
        <w:t>patch data unit</w:t>
      </w:r>
      <w:r w:rsidRPr="00A52AB8">
        <w:t>s coded in intra mode</w:t>
      </w:r>
      <w:bookmarkEnd w:id="1504"/>
    </w:p>
    <w:p w14:paraId="4B85FF65" w14:textId="5279978C" w:rsidR="00AC05DE" w:rsidRPr="00A52AB8" w:rsidRDefault="00AC05DE">
      <w:r w:rsidRPr="00A52AB8">
        <w:t>Input</w:t>
      </w:r>
      <w:r w:rsidR="000F0028" w:rsidRPr="00A52AB8">
        <w:t>s</w:t>
      </w:r>
      <w:r w:rsidRPr="00A52AB8">
        <w:t xml:space="preserve"> to this process </w:t>
      </w:r>
      <w:r w:rsidR="000F0028" w:rsidRPr="00A52AB8">
        <w:t xml:space="preserve">are </w:t>
      </w:r>
      <w:r w:rsidRPr="00A52AB8">
        <w:t xml:space="preserve">the current patch index, </w:t>
      </w:r>
      <w:r w:rsidRPr="00A52AB8">
        <w:rPr>
          <w:color w:val="000000" w:themeColor="text1"/>
        </w:rPr>
        <w:t>p</w:t>
      </w:r>
      <w:r w:rsidR="000F0028" w:rsidRPr="00A52AB8">
        <w:rPr>
          <w:color w:val="000000" w:themeColor="text1"/>
        </w:rPr>
        <w:t>,</w:t>
      </w:r>
      <w:r w:rsidR="00877CD2" w:rsidRPr="00A52AB8">
        <w:rPr>
          <w:color w:val="000000" w:themeColor="text1"/>
        </w:rPr>
        <w:t xml:space="preserve"> and the current tile </w:t>
      </w:r>
      <w:r w:rsidR="00AE739A" w:rsidRPr="00A52AB8">
        <w:rPr>
          <w:color w:val="000000" w:themeColor="text1"/>
        </w:rPr>
        <w:t>ID</w:t>
      </w:r>
      <w:r w:rsidR="000F0028" w:rsidRPr="00A52AB8">
        <w:rPr>
          <w:color w:val="000000" w:themeColor="text1"/>
        </w:rPr>
        <w:t>,</w:t>
      </w:r>
      <w:r w:rsidR="00877CD2" w:rsidRPr="00A52AB8">
        <w:rPr>
          <w:color w:val="000000" w:themeColor="text1"/>
        </w:rPr>
        <w:t xml:space="preserve"> </w:t>
      </w:r>
      <w:r w:rsidR="00632FA7" w:rsidRPr="00A52AB8">
        <w:rPr>
          <w:color w:val="000000" w:themeColor="text1"/>
        </w:rPr>
        <w:t>tileID</w:t>
      </w:r>
      <w:r w:rsidRPr="00A52AB8">
        <w:t>.</w:t>
      </w:r>
    </w:p>
    <w:p w14:paraId="6EA39C28" w14:textId="77777777" w:rsidR="00143C1E" w:rsidRPr="00A52AB8" w:rsidRDefault="00143C1E">
      <w:pPr>
        <w:rPr>
          <w:lang w:eastAsia="ja-JP"/>
        </w:rPr>
      </w:pPr>
      <w:r w:rsidRPr="00A52AB8">
        <w:rPr>
          <w:lang w:eastAsia="ja-JP"/>
        </w:rPr>
        <w:t>The following patch related variables are assigned given the parsed elements in the patch data unit:</w:t>
      </w:r>
    </w:p>
    <w:p w14:paraId="15AA9BE7" w14:textId="24DA45DF" w:rsidR="00BC7407" w:rsidRPr="00A52AB8" w:rsidRDefault="00BC7407">
      <w:pPr>
        <w:rPr>
          <w:color w:val="000000" w:themeColor="text1"/>
        </w:rPr>
      </w:pPr>
      <w:r w:rsidRPr="00A52AB8">
        <w:rPr>
          <w:lang w:eastAsia="ja-JP"/>
        </w:rPr>
        <w:tab/>
      </w:r>
      <w:r w:rsidR="00BC46EA" w:rsidRPr="00A52AB8">
        <w:rPr>
          <w:color w:val="000000" w:themeColor="text1"/>
        </w:rPr>
        <w:t>Tile</w:t>
      </w:r>
      <w:r w:rsidRPr="00A52AB8">
        <w:rPr>
          <w:lang w:eastAsia="ja-JP"/>
        </w:rPr>
        <w:t>Patch2d</w:t>
      </w:r>
      <w:r w:rsidR="00627BE0" w:rsidRPr="00A52AB8">
        <w:rPr>
          <w:lang w:eastAsia="ja-JP"/>
        </w:rPr>
        <w:t>Pos</w:t>
      </w:r>
      <w:r w:rsidR="00CA4F41" w:rsidRPr="00A52AB8">
        <w:rPr>
          <w:lang w:eastAsia="ja-JP"/>
        </w:rPr>
        <w:t>X</w:t>
      </w:r>
      <w:r w:rsidR="00877CD2" w:rsidRPr="00A52AB8">
        <w:t>[ </w:t>
      </w:r>
      <w:r w:rsidR="00632FA7" w:rsidRPr="00A52AB8">
        <w:t>tileID</w:t>
      </w:r>
      <w:r w:rsidR="00877CD2" w:rsidRPr="00A52AB8">
        <w:t> ]</w:t>
      </w:r>
      <w:r w:rsidR="00636D52" w:rsidRPr="00A52AB8">
        <w:rPr>
          <w:lang w:eastAsia="ja-JP"/>
        </w:rPr>
        <w:t>[ p </w:t>
      </w:r>
      <w:r w:rsidR="00935236" w:rsidRPr="00A52AB8">
        <w:rPr>
          <w:lang w:eastAsia="ja-JP"/>
        </w:rPr>
        <w:t>]</w:t>
      </w:r>
      <w:r w:rsidR="00D47707" w:rsidRPr="00A52AB8">
        <w:rPr>
          <w:lang w:eastAsia="ja-JP"/>
        </w:rPr>
        <w:t> = </w:t>
      </w:r>
      <w:r w:rsidRPr="00A52AB8">
        <w:rPr>
          <w:lang w:eastAsia="ja-JP"/>
        </w:rPr>
        <w:t>pdu_</w:t>
      </w:r>
      <w:r w:rsidR="00070D8E" w:rsidRPr="00A52AB8">
        <w:rPr>
          <w:lang w:eastAsia="ja-JP"/>
        </w:rPr>
        <w:t>2d_</w:t>
      </w:r>
      <w:r w:rsidR="00627BE0" w:rsidRPr="00A52AB8">
        <w:rPr>
          <w:lang w:eastAsia="ja-JP"/>
        </w:rPr>
        <w:t>pos</w:t>
      </w:r>
      <w:r w:rsidR="00070D8E" w:rsidRPr="00A52AB8">
        <w:rPr>
          <w:lang w:eastAsia="ja-JP"/>
        </w:rPr>
        <w:t>_x</w:t>
      </w:r>
      <w:r w:rsidR="00877CD2" w:rsidRPr="00A52AB8">
        <w:t>[ </w:t>
      </w:r>
      <w:r w:rsidR="00632FA7" w:rsidRPr="00A52AB8">
        <w:t>tileID</w:t>
      </w:r>
      <w:r w:rsidR="00877CD2" w:rsidRPr="00A52AB8">
        <w:t> ]</w:t>
      </w:r>
      <w:r w:rsidR="00636D52" w:rsidRPr="00A52AB8">
        <w:rPr>
          <w:lang w:eastAsia="ja-JP"/>
        </w:rPr>
        <w:t>[ p ]</w:t>
      </w:r>
      <w:r w:rsidR="00D51B35" w:rsidRPr="00A52AB8">
        <w:rPr>
          <w:color w:val="000000" w:themeColor="text1"/>
        </w:rPr>
        <w:t> </w:t>
      </w:r>
      <w:r w:rsidRPr="00A52AB8">
        <w:rPr>
          <w:color w:val="000000" w:themeColor="text1"/>
        </w:rPr>
        <w:t>* </w:t>
      </w:r>
      <w:bookmarkStart w:id="1505" w:name="_Hlk19701077"/>
      <w:r w:rsidR="00835F46" w:rsidRPr="00A52AB8">
        <w:rPr>
          <w:color w:val="000000" w:themeColor="text1"/>
        </w:rPr>
        <w:t>PatchPackingBlockSize</w:t>
      </w:r>
      <w:bookmarkEnd w:id="1505"/>
      <w:r w:rsidRPr="00A52AB8">
        <w:rPr>
          <w:lang w:eastAsia="ja-JP"/>
        </w:rPr>
        <w:tab/>
      </w:r>
      <w:r w:rsidRPr="00A52AB8">
        <w:rPr>
          <w:color w:val="000000" w:themeColor="text1"/>
        </w:rPr>
        <w:t>(</w:t>
      </w:r>
      <w:r w:rsidRPr="00496A4D">
        <w:rPr>
          <w:color w:val="000000" w:themeColor="text1"/>
        </w:rPr>
        <w:fldChar w:fldCharType="begin"/>
      </w:r>
      <w:r w:rsidRPr="00A52AB8">
        <w:rPr>
          <w:color w:val="000000" w:themeColor="text1"/>
        </w:rPr>
        <w:instrText xml:space="preserve"> </w:instrText>
      </w:r>
      <w:r w:rsidR="00646520" w:rsidRPr="00A52AB8">
        <w:rPr>
          <w:color w:val="000000" w:themeColor="text1"/>
        </w:rPr>
        <w:instrText>SEQ Equation \* ARABIC \n</w:instrText>
      </w:r>
      <w:r w:rsidRPr="00A52AB8">
        <w:rPr>
          <w:color w:val="000000" w:themeColor="text1"/>
        </w:rPr>
        <w:instrText xml:space="preserve"> </w:instrText>
      </w:r>
      <w:r w:rsidRPr="00496A4D">
        <w:rPr>
          <w:color w:val="000000" w:themeColor="text1"/>
        </w:rPr>
        <w:fldChar w:fldCharType="separate"/>
      </w:r>
      <w:r w:rsidR="00507A67">
        <w:rPr>
          <w:noProof/>
          <w:color w:val="000000" w:themeColor="text1"/>
        </w:rPr>
        <w:t>48</w:t>
      </w:r>
      <w:r w:rsidRPr="00496A4D">
        <w:rPr>
          <w:color w:val="000000" w:themeColor="text1"/>
        </w:rPr>
        <w:fldChar w:fldCharType="end"/>
      </w:r>
      <w:r w:rsidRPr="00A52AB8">
        <w:rPr>
          <w:color w:val="000000" w:themeColor="text1"/>
        </w:rPr>
        <w:t>)</w:t>
      </w:r>
    </w:p>
    <w:p w14:paraId="4D2B99A6" w14:textId="2548CB75" w:rsidR="00BC7407" w:rsidRPr="00A52AB8" w:rsidRDefault="00BC7407">
      <w:pPr>
        <w:rPr>
          <w:lang w:eastAsia="ja-JP"/>
        </w:rPr>
      </w:pPr>
      <w:r w:rsidRPr="00A52AB8">
        <w:rPr>
          <w:lang w:eastAsia="ja-JP"/>
        </w:rPr>
        <w:tab/>
      </w:r>
      <w:r w:rsidR="00BC46EA" w:rsidRPr="00A52AB8">
        <w:rPr>
          <w:color w:val="000000" w:themeColor="text1"/>
        </w:rPr>
        <w:t>Tile</w:t>
      </w:r>
      <w:r w:rsidRPr="00A52AB8">
        <w:rPr>
          <w:lang w:eastAsia="ja-JP"/>
        </w:rPr>
        <w:t>Patch2d</w:t>
      </w:r>
      <w:r w:rsidR="00627BE0" w:rsidRPr="00A52AB8">
        <w:rPr>
          <w:lang w:eastAsia="ja-JP"/>
        </w:rPr>
        <w:t>Pos</w:t>
      </w:r>
      <w:r w:rsidR="00CA4F41" w:rsidRPr="00A52AB8">
        <w:rPr>
          <w:lang w:eastAsia="ja-JP"/>
        </w:rPr>
        <w:t>Y</w:t>
      </w:r>
      <w:r w:rsidR="00877CD2" w:rsidRPr="00A52AB8">
        <w:t>[ </w:t>
      </w:r>
      <w:r w:rsidR="00632FA7" w:rsidRPr="00A52AB8">
        <w:t>tileID</w:t>
      </w:r>
      <w:r w:rsidR="00877CD2" w:rsidRPr="00A52AB8">
        <w:t> ]</w:t>
      </w:r>
      <w:r w:rsidR="00636D52" w:rsidRPr="00A52AB8">
        <w:rPr>
          <w:lang w:eastAsia="ja-JP"/>
        </w:rPr>
        <w:t>[ p </w:t>
      </w:r>
      <w:r w:rsidR="00935236" w:rsidRPr="00A52AB8">
        <w:rPr>
          <w:lang w:eastAsia="ja-JP"/>
        </w:rPr>
        <w:t>]</w:t>
      </w:r>
      <w:r w:rsidR="00D47707" w:rsidRPr="00A52AB8">
        <w:rPr>
          <w:lang w:eastAsia="ja-JP"/>
        </w:rPr>
        <w:t> = </w:t>
      </w:r>
      <w:r w:rsidRPr="00A52AB8">
        <w:rPr>
          <w:lang w:eastAsia="ja-JP"/>
        </w:rPr>
        <w:t>pdu_</w:t>
      </w:r>
      <w:r w:rsidR="00CA4F41" w:rsidRPr="00A52AB8">
        <w:rPr>
          <w:lang w:eastAsia="ja-JP"/>
        </w:rPr>
        <w:t>2d_</w:t>
      </w:r>
      <w:r w:rsidR="00627BE0" w:rsidRPr="00A52AB8">
        <w:rPr>
          <w:lang w:eastAsia="ja-JP"/>
        </w:rPr>
        <w:t>pos</w:t>
      </w:r>
      <w:r w:rsidR="00CA4F41" w:rsidRPr="00A52AB8">
        <w:rPr>
          <w:lang w:eastAsia="ja-JP"/>
        </w:rPr>
        <w:t>_y</w:t>
      </w:r>
      <w:r w:rsidR="00877CD2" w:rsidRPr="00A52AB8">
        <w:t>[ </w:t>
      </w:r>
      <w:r w:rsidR="00632FA7" w:rsidRPr="00A52AB8">
        <w:t>tileID</w:t>
      </w:r>
      <w:r w:rsidR="00877CD2" w:rsidRPr="00A52AB8">
        <w:t> ]</w:t>
      </w:r>
      <w:r w:rsidR="00636D52" w:rsidRPr="00A52AB8">
        <w:rPr>
          <w:lang w:eastAsia="ja-JP"/>
        </w:rPr>
        <w:t>[ p ]</w:t>
      </w:r>
      <w:r w:rsidR="00D51B35" w:rsidRPr="00A52AB8">
        <w:rPr>
          <w:lang w:eastAsia="ja-JP"/>
        </w:rPr>
        <w:t> </w:t>
      </w:r>
      <w:r w:rsidRPr="00A52AB8">
        <w:rPr>
          <w:lang w:eastAsia="ja-JP"/>
        </w:rPr>
        <w:t>* </w:t>
      </w:r>
      <w:r w:rsidR="00835F46" w:rsidRPr="00A52AB8">
        <w:rPr>
          <w:lang w:eastAsia="ja-JP"/>
        </w:rPr>
        <w:t>PatchPackingBlockSize</w:t>
      </w:r>
      <w:r w:rsidRPr="00A52AB8">
        <w:rPr>
          <w:lang w:eastAsia="ja-JP"/>
        </w:rPr>
        <w:tab/>
        <w:t>(</w:t>
      </w:r>
      <w:r w:rsidRPr="00496A4D">
        <w:rPr>
          <w:lang w:eastAsia="ja-JP"/>
        </w:rPr>
        <w:fldChar w:fldCharType="begin"/>
      </w:r>
      <w:r w:rsidRPr="00A52AB8">
        <w:rPr>
          <w:lang w:eastAsia="ja-JP"/>
        </w:rPr>
        <w:instrText xml:space="preserve"> </w:instrText>
      </w:r>
      <w:r w:rsidR="00646520" w:rsidRPr="00A52AB8">
        <w:rPr>
          <w:lang w:eastAsia="ja-JP"/>
        </w:rPr>
        <w:instrText>SEQ Equation \* ARABIC \n</w:instrText>
      </w:r>
      <w:r w:rsidRPr="00A52AB8">
        <w:rPr>
          <w:lang w:eastAsia="ja-JP"/>
        </w:rPr>
        <w:instrText xml:space="preserve"> </w:instrText>
      </w:r>
      <w:r w:rsidRPr="00496A4D">
        <w:rPr>
          <w:lang w:eastAsia="ja-JP"/>
        </w:rPr>
        <w:fldChar w:fldCharType="separate"/>
      </w:r>
      <w:r w:rsidR="00507A67">
        <w:rPr>
          <w:noProof/>
          <w:lang w:eastAsia="ja-JP"/>
        </w:rPr>
        <w:t>49</w:t>
      </w:r>
      <w:r w:rsidRPr="00496A4D">
        <w:rPr>
          <w:lang w:eastAsia="ja-JP"/>
        </w:rPr>
        <w:fldChar w:fldCharType="end"/>
      </w:r>
      <w:r w:rsidRPr="00A52AB8">
        <w:rPr>
          <w:lang w:eastAsia="ja-JP"/>
        </w:rPr>
        <w:t>)</w:t>
      </w:r>
    </w:p>
    <w:p w14:paraId="1CB26001" w14:textId="039A6C63" w:rsidR="004E6B3B" w:rsidRPr="00A52AB8" w:rsidRDefault="004E6B3B">
      <w:pPr>
        <w:rPr>
          <w:lang w:eastAsia="ja-JP"/>
        </w:rPr>
      </w:pPr>
      <w:r w:rsidRPr="00A52AB8">
        <w:rPr>
          <w:lang w:eastAsia="ja-JP"/>
        </w:rPr>
        <w:tab/>
      </w:r>
      <w:r w:rsidR="00314925" w:rsidRPr="00A52AB8">
        <w:rPr>
          <w:color w:val="000000" w:themeColor="text1"/>
        </w:rPr>
        <w:t>TilePatch3dOffsetU</w:t>
      </w:r>
      <w:r w:rsidR="00877CD2" w:rsidRPr="00A52AB8">
        <w:t>[ </w:t>
      </w:r>
      <w:r w:rsidR="00632FA7" w:rsidRPr="00A52AB8">
        <w:t>tileID</w:t>
      </w:r>
      <w:r w:rsidR="00877CD2" w:rsidRPr="00A52AB8">
        <w:t> ]</w:t>
      </w:r>
      <w:r w:rsidR="00636D52" w:rsidRPr="00A52AB8">
        <w:rPr>
          <w:lang w:eastAsia="ja-JP"/>
        </w:rPr>
        <w:t>[ p </w:t>
      </w:r>
      <w:r w:rsidR="00935236" w:rsidRPr="00A52AB8">
        <w:rPr>
          <w:lang w:eastAsia="ja-JP"/>
        </w:rPr>
        <w:t>]</w:t>
      </w:r>
      <w:r w:rsidR="00D47707" w:rsidRPr="00A52AB8">
        <w:rPr>
          <w:lang w:eastAsia="ja-JP"/>
        </w:rPr>
        <w:t> = </w:t>
      </w:r>
      <w:r w:rsidR="007356C4" w:rsidRPr="00A52AB8">
        <w:rPr>
          <w:lang w:eastAsia="ja-JP"/>
        </w:rPr>
        <w:t>pdu_3d_offset_u</w:t>
      </w:r>
      <w:r w:rsidR="00877CD2" w:rsidRPr="00A52AB8">
        <w:t>[ </w:t>
      </w:r>
      <w:r w:rsidR="00632FA7" w:rsidRPr="00A52AB8">
        <w:t>tileID</w:t>
      </w:r>
      <w:r w:rsidR="00877CD2" w:rsidRPr="00A52AB8">
        <w:t> ]</w:t>
      </w:r>
      <w:r w:rsidR="00636D52" w:rsidRPr="00A52AB8">
        <w:rPr>
          <w:lang w:eastAsia="ja-JP"/>
        </w:rPr>
        <w:t>[ p ]</w:t>
      </w:r>
      <w:r w:rsidR="00C93774" w:rsidRPr="00A52AB8">
        <w:rPr>
          <w:lang w:eastAsia="ja-JP"/>
        </w:rPr>
        <w:t xml:space="preserve"> </w:t>
      </w:r>
      <w:r w:rsidR="00C93774" w:rsidRPr="00A52AB8">
        <w:rPr>
          <w:lang w:eastAsia="ja-JP"/>
        </w:rPr>
        <w:tab/>
        <w:t>(</w:t>
      </w:r>
      <w:r w:rsidR="00C93774" w:rsidRPr="00496A4D">
        <w:rPr>
          <w:lang w:eastAsia="ja-JP"/>
        </w:rPr>
        <w:fldChar w:fldCharType="begin"/>
      </w:r>
      <w:r w:rsidR="00C93774" w:rsidRPr="00A52AB8">
        <w:rPr>
          <w:lang w:eastAsia="ja-JP"/>
        </w:rPr>
        <w:instrText xml:space="preserve"> </w:instrText>
      </w:r>
      <w:r w:rsidR="00646520" w:rsidRPr="00A52AB8">
        <w:rPr>
          <w:lang w:eastAsia="ja-JP"/>
        </w:rPr>
        <w:instrText>SEQ Equation \* ARABIC \n</w:instrText>
      </w:r>
      <w:r w:rsidR="00C93774" w:rsidRPr="00A52AB8">
        <w:rPr>
          <w:lang w:eastAsia="ja-JP"/>
        </w:rPr>
        <w:instrText xml:space="preserve"> </w:instrText>
      </w:r>
      <w:r w:rsidR="00C93774" w:rsidRPr="00496A4D">
        <w:rPr>
          <w:lang w:eastAsia="ja-JP"/>
        </w:rPr>
        <w:fldChar w:fldCharType="separate"/>
      </w:r>
      <w:r w:rsidR="00507A67">
        <w:rPr>
          <w:noProof/>
          <w:lang w:eastAsia="ja-JP"/>
        </w:rPr>
        <w:t>50</w:t>
      </w:r>
      <w:r w:rsidR="00C93774" w:rsidRPr="00496A4D">
        <w:rPr>
          <w:lang w:eastAsia="ja-JP"/>
        </w:rPr>
        <w:fldChar w:fldCharType="end"/>
      </w:r>
      <w:r w:rsidR="00C93774" w:rsidRPr="00A52AB8">
        <w:rPr>
          <w:lang w:eastAsia="ja-JP"/>
        </w:rPr>
        <w:t>)</w:t>
      </w:r>
    </w:p>
    <w:p w14:paraId="0219D305" w14:textId="77179547" w:rsidR="004E6B3B" w:rsidRPr="00A52AB8" w:rsidRDefault="004E6B3B">
      <w:pPr>
        <w:rPr>
          <w:lang w:eastAsia="ja-JP"/>
        </w:rPr>
      </w:pPr>
      <w:r w:rsidRPr="00A52AB8">
        <w:rPr>
          <w:lang w:eastAsia="ja-JP"/>
        </w:rPr>
        <w:tab/>
      </w:r>
      <w:r w:rsidR="00314925" w:rsidRPr="00A52AB8">
        <w:rPr>
          <w:color w:val="000000" w:themeColor="text1"/>
        </w:rPr>
        <w:t>TilePatch3dOffsetV</w:t>
      </w:r>
      <w:r w:rsidR="00877CD2" w:rsidRPr="00A52AB8">
        <w:t>[ </w:t>
      </w:r>
      <w:r w:rsidR="00632FA7" w:rsidRPr="00A52AB8">
        <w:t>tileID</w:t>
      </w:r>
      <w:r w:rsidR="00877CD2" w:rsidRPr="00A52AB8">
        <w:t> ]</w:t>
      </w:r>
      <w:r w:rsidR="00636D52" w:rsidRPr="00A52AB8">
        <w:rPr>
          <w:lang w:eastAsia="ja-JP"/>
        </w:rPr>
        <w:t>[ p ]</w:t>
      </w:r>
      <w:r w:rsidR="00D47707" w:rsidRPr="00A52AB8">
        <w:rPr>
          <w:lang w:eastAsia="ja-JP"/>
        </w:rPr>
        <w:t> = </w:t>
      </w:r>
      <w:r w:rsidR="007356C4" w:rsidRPr="00A52AB8">
        <w:rPr>
          <w:lang w:eastAsia="ja-JP"/>
        </w:rPr>
        <w:t>pdu_3d_offset_v</w:t>
      </w:r>
      <w:r w:rsidR="00877CD2" w:rsidRPr="00A52AB8">
        <w:t>[ </w:t>
      </w:r>
      <w:r w:rsidR="00632FA7" w:rsidRPr="00A52AB8">
        <w:t>tileID</w:t>
      </w:r>
      <w:r w:rsidR="00877CD2" w:rsidRPr="00A52AB8">
        <w:t> ]</w:t>
      </w:r>
      <w:r w:rsidR="00636D52" w:rsidRPr="00A52AB8">
        <w:rPr>
          <w:lang w:eastAsia="ja-JP"/>
        </w:rPr>
        <w:t>[ p ]</w:t>
      </w:r>
      <w:r w:rsidR="00C93774" w:rsidRPr="00A52AB8">
        <w:rPr>
          <w:lang w:eastAsia="ja-JP"/>
        </w:rPr>
        <w:t xml:space="preserve"> </w:t>
      </w:r>
      <w:r w:rsidR="002E0748" w:rsidRPr="00A52AB8">
        <w:rPr>
          <w:lang w:eastAsia="ja-JP"/>
        </w:rPr>
        <w:tab/>
      </w:r>
      <w:r w:rsidR="00C93774" w:rsidRPr="00A52AB8">
        <w:rPr>
          <w:lang w:eastAsia="ja-JP"/>
        </w:rPr>
        <w:t>(</w:t>
      </w:r>
      <w:r w:rsidR="00C93774" w:rsidRPr="00496A4D">
        <w:rPr>
          <w:lang w:eastAsia="ja-JP"/>
        </w:rPr>
        <w:fldChar w:fldCharType="begin"/>
      </w:r>
      <w:r w:rsidR="00C93774" w:rsidRPr="00A52AB8">
        <w:rPr>
          <w:lang w:eastAsia="ja-JP"/>
        </w:rPr>
        <w:instrText xml:space="preserve"> </w:instrText>
      </w:r>
      <w:r w:rsidR="00646520" w:rsidRPr="00A52AB8">
        <w:rPr>
          <w:lang w:eastAsia="ja-JP"/>
        </w:rPr>
        <w:instrText>SEQ Equation \* ARABIC \n</w:instrText>
      </w:r>
      <w:r w:rsidR="00C93774" w:rsidRPr="00A52AB8">
        <w:rPr>
          <w:lang w:eastAsia="ja-JP"/>
        </w:rPr>
        <w:instrText xml:space="preserve"> </w:instrText>
      </w:r>
      <w:r w:rsidR="00C93774" w:rsidRPr="00496A4D">
        <w:rPr>
          <w:lang w:eastAsia="ja-JP"/>
        </w:rPr>
        <w:fldChar w:fldCharType="separate"/>
      </w:r>
      <w:r w:rsidR="00507A67">
        <w:rPr>
          <w:noProof/>
          <w:lang w:eastAsia="ja-JP"/>
        </w:rPr>
        <w:t>51</w:t>
      </w:r>
      <w:r w:rsidR="00C93774" w:rsidRPr="00496A4D">
        <w:rPr>
          <w:lang w:eastAsia="ja-JP"/>
        </w:rPr>
        <w:fldChar w:fldCharType="end"/>
      </w:r>
      <w:r w:rsidR="00C93774" w:rsidRPr="00A52AB8">
        <w:rPr>
          <w:lang w:eastAsia="ja-JP"/>
        </w:rPr>
        <w:t>)</w:t>
      </w:r>
    </w:p>
    <w:p w14:paraId="33C11353" w14:textId="53BB6BA9" w:rsidR="004E6B3B" w:rsidRPr="00A52AB8" w:rsidRDefault="004E6B3B">
      <w:pPr>
        <w:rPr>
          <w:lang w:eastAsia="ja-JP"/>
        </w:rPr>
      </w:pPr>
      <w:r w:rsidRPr="00A52AB8">
        <w:rPr>
          <w:lang w:eastAsia="ja-JP"/>
        </w:rPr>
        <w:tab/>
      </w:r>
      <w:r w:rsidR="00141AB2" w:rsidRPr="00A52AB8">
        <w:rPr>
          <w:color w:val="000000" w:themeColor="text1"/>
        </w:rPr>
        <w:t>TilePatch3dOffsetD</w:t>
      </w:r>
      <w:r w:rsidR="00877CD2" w:rsidRPr="00A52AB8">
        <w:t>[ </w:t>
      </w:r>
      <w:r w:rsidR="00632FA7" w:rsidRPr="00A52AB8">
        <w:t>tileID</w:t>
      </w:r>
      <w:r w:rsidR="00877CD2" w:rsidRPr="00A52AB8">
        <w:t> ]</w:t>
      </w:r>
      <w:r w:rsidR="00636D52" w:rsidRPr="00A52AB8">
        <w:rPr>
          <w:lang w:eastAsia="ja-JP"/>
        </w:rPr>
        <w:t>[ p </w:t>
      </w:r>
      <w:r w:rsidR="00935236" w:rsidRPr="00A52AB8">
        <w:rPr>
          <w:lang w:eastAsia="ja-JP"/>
        </w:rPr>
        <w:t>]</w:t>
      </w:r>
      <w:r w:rsidR="00D47707" w:rsidRPr="00A52AB8">
        <w:rPr>
          <w:lang w:eastAsia="ja-JP"/>
        </w:rPr>
        <w:t> = </w:t>
      </w:r>
      <w:r w:rsidR="00EB025A" w:rsidRPr="00A52AB8">
        <w:rPr>
          <w:lang w:eastAsia="ja-JP"/>
        </w:rPr>
        <w:t>P</w:t>
      </w:r>
      <w:r w:rsidR="00141AB2" w:rsidRPr="00A52AB8">
        <w:rPr>
          <w:lang w:eastAsia="ja-JP"/>
        </w:rPr>
        <w:t>du3dOffsetD</w:t>
      </w:r>
      <w:r w:rsidR="00877CD2" w:rsidRPr="00A52AB8">
        <w:t>[ </w:t>
      </w:r>
      <w:r w:rsidR="00632FA7" w:rsidRPr="00A52AB8">
        <w:t>tileID</w:t>
      </w:r>
      <w:r w:rsidR="00877CD2" w:rsidRPr="00A52AB8">
        <w:t> ]</w:t>
      </w:r>
      <w:r w:rsidR="00636D52" w:rsidRPr="00A52AB8">
        <w:rPr>
          <w:lang w:eastAsia="ja-JP"/>
        </w:rPr>
        <w:t>[ p ]</w:t>
      </w:r>
      <w:r w:rsidR="00C93774" w:rsidRPr="00A52AB8">
        <w:rPr>
          <w:lang w:eastAsia="ja-JP"/>
        </w:rPr>
        <w:t xml:space="preserve"> </w:t>
      </w:r>
      <w:r w:rsidR="00C93774" w:rsidRPr="00A52AB8">
        <w:rPr>
          <w:lang w:eastAsia="ja-JP"/>
        </w:rPr>
        <w:tab/>
        <w:t>(</w:t>
      </w:r>
      <w:r w:rsidR="00C93774" w:rsidRPr="00496A4D">
        <w:rPr>
          <w:lang w:eastAsia="ja-JP"/>
        </w:rPr>
        <w:fldChar w:fldCharType="begin"/>
      </w:r>
      <w:r w:rsidR="00C93774" w:rsidRPr="00A52AB8">
        <w:rPr>
          <w:lang w:eastAsia="ja-JP"/>
        </w:rPr>
        <w:instrText xml:space="preserve"> </w:instrText>
      </w:r>
      <w:r w:rsidR="00646520" w:rsidRPr="00A52AB8">
        <w:rPr>
          <w:lang w:eastAsia="ja-JP"/>
        </w:rPr>
        <w:instrText>SEQ Equation \* ARABIC \n</w:instrText>
      </w:r>
      <w:r w:rsidR="00C93774" w:rsidRPr="00A52AB8">
        <w:rPr>
          <w:lang w:eastAsia="ja-JP"/>
        </w:rPr>
        <w:instrText xml:space="preserve"> </w:instrText>
      </w:r>
      <w:r w:rsidR="00C93774" w:rsidRPr="00496A4D">
        <w:rPr>
          <w:lang w:eastAsia="ja-JP"/>
        </w:rPr>
        <w:fldChar w:fldCharType="separate"/>
      </w:r>
      <w:r w:rsidR="00507A67">
        <w:rPr>
          <w:noProof/>
          <w:lang w:eastAsia="ja-JP"/>
        </w:rPr>
        <w:t>52</w:t>
      </w:r>
      <w:r w:rsidR="00C93774" w:rsidRPr="00496A4D">
        <w:rPr>
          <w:lang w:eastAsia="ja-JP"/>
        </w:rPr>
        <w:fldChar w:fldCharType="end"/>
      </w:r>
      <w:r w:rsidR="00C93774" w:rsidRPr="00A52AB8">
        <w:rPr>
          <w:lang w:eastAsia="ja-JP"/>
        </w:rPr>
        <w:t>)</w:t>
      </w:r>
    </w:p>
    <w:p w14:paraId="110F2CF3" w14:textId="34E994C1" w:rsidR="00256647" w:rsidRPr="00A52AB8" w:rsidRDefault="00256647">
      <w:pPr>
        <w:rPr>
          <w:lang w:eastAsia="ja-JP"/>
        </w:rPr>
      </w:pPr>
      <w:r w:rsidRPr="00A52AB8">
        <w:rPr>
          <w:lang w:eastAsia="ja-JP"/>
        </w:rPr>
        <w:tab/>
      </w:r>
      <w:r w:rsidRPr="00A52AB8">
        <w:rPr>
          <w:color w:val="000000" w:themeColor="text1"/>
        </w:rPr>
        <w:t>TilePatch</w:t>
      </w:r>
      <w:r w:rsidR="001A4D59" w:rsidRPr="00A52AB8">
        <w:rPr>
          <w:color w:val="000000" w:themeColor="text1"/>
        </w:rPr>
        <w:t>3dRangeD</w:t>
      </w:r>
      <w:r w:rsidRPr="00A52AB8">
        <w:rPr>
          <w:color w:val="000000" w:themeColor="text1"/>
        </w:rPr>
        <w:t>[ </w:t>
      </w:r>
      <w:r w:rsidR="00632FA7" w:rsidRPr="00A52AB8">
        <w:rPr>
          <w:color w:val="000000" w:themeColor="text1"/>
        </w:rPr>
        <w:t>tileID</w:t>
      </w:r>
      <w:r w:rsidRPr="00A52AB8">
        <w:rPr>
          <w:color w:val="000000" w:themeColor="text1"/>
        </w:rPr>
        <w:t> ][ p ]</w:t>
      </w:r>
      <w:r w:rsidR="00D47707" w:rsidRPr="00A52AB8">
        <w:rPr>
          <w:color w:val="000000" w:themeColor="text1"/>
        </w:rPr>
        <w:t> = </w:t>
      </w:r>
      <w:r w:rsidR="005B431D" w:rsidRPr="00A52AB8">
        <w:rPr>
          <w:color w:val="000000" w:themeColor="text1"/>
        </w:rPr>
        <w:t>Pdu</w:t>
      </w:r>
      <w:r w:rsidR="001A4D59" w:rsidRPr="00A52AB8">
        <w:rPr>
          <w:color w:val="000000" w:themeColor="text1"/>
        </w:rPr>
        <w:t>3dRangeD</w:t>
      </w:r>
      <w:r w:rsidR="003E62BA" w:rsidRPr="00A52AB8">
        <w:rPr>
          <w:color w:val="000000" w:themeColor="text1"/>
        </w:rPr>
        <w:t>[ </w:t>
      </w:r>
      <w:r w:rsidR="00632FA7" w:rsidRPr="00A52AB8">
        <w:rPr>
          <w:color w:val="000000" w:themeColor="text1"/>
        </w:rPr>
        <w:t>tileID</w:t>
      </w:r>
      <w:r w:rsidR="003E62BA" w:rsidRPr="00A52AB8">
        <w:rPr>
          <w:color w:val="000000" w:themeColor="text1"/>
        </w:rPr>
        <w:t> ][ p ]</w:t>
      </w:r>
      <w:r w:rsidR="009141EA" w:rsidRPr="00A52AB8">
        <w:rPr>
          <w:color w:val="000000" w:themeColor="text1"/>
        </w:rPr>
        <w:tab/>
      </w:r>
      <w:r w:rsidR="009141EA" w:rsidRPr="00A52AB8">
        <w:rPr>
          <w:lang w:eastAsia="ja-JP"/>
        </w:rPr>
        <w:t>(</w:t>
      </w:r>
      <w:r w:rsidR="009141EA" w:rsidRPr="00496A4D">
        <w:rPr>
          <w:lang w:eastAsia="ja-JP"/>
        </w:rPr>
        <w:fldChar w:fldCharType="begin"/>
      </w:r>
      <w:r w:rsidR="009141EA" w:rsidRPr="00A52AB8">
        <w:rPr>
          <w:lang w:eastAsia="ja-JP"/>
        </w:rPr>
        <w:instrText xml:space="preserve"> SEQ Equation \* ARABIC \n </w:instrText>
      </w:r>
      <w:r w:rsidR="009141EA" w:rsidRPr="00496A4D">
        <w:rPr>
          <w:lang w:eastAsia="ja-JP"/>
        </w:rPr>
        <w:fldChar w:fldCharType="separate"/>
      </w:r>
      <w:r w:rsidR="00507A67">
        <w:rPr>
          <w:noProof/>
          <w:lang w:eastAsia="ja-JP"/>
        </w:rPr>
        <w:t>53</w:t>
      </w:r>
      <w:r w:rsidR="009141EA" w:rsidRPr="00496A4D">
        <w:rPr>
          <w:lang w:eastAsia="ja-JP"/>
        </w:rPr>
        <w:fldChar w:fldCharType="end"/>
      </w:r>
      <w:r w:rsidR="009141EA" w:rsidRPr="00A52AB8">
        <w:rPr>
          <w:lang w:eastAsia="ja-JP"/>
        </w:rPr>
        <w:t>)</w:t>
      </w:r>
    </w:p>
    <w:p w14:paraId="6231474A" w14:textId="113F49DE" w:rsidR="008C0B42" w:rsidRPr="00A52AB8" w:rsidRDefault="008C0B42">
      <w:pPr>
        <w:rPr>
          <w:lang w:eastAsia="ja-JP"/>
        </w:rPr>
      </w:pPr>
      <w:r w:rsidRPr="00A52AB8">
        <w:rPr>
          <w:lang w:eastAsia="ja-JP"/>
        </w:rPr>
        <w:tab/>
      </w:r>
      <w:r w:rsidRPr="00A52AB8">
        <w:rPr>
          <w:color w:val="000000" w:themeColor="text1"/>
        </w:rPr>
        <w:t>Tile</w:t>
      </w:r>
      <w:r w:rsidRPr="00A52AB8">
        <w:rPr>
          <w:lang w:eastAsia="ja-JP"/>
        </w:rPr>
        <w:t>PatchProjectionID</w:t>
      </w:r>
      <w:r w:rsidRPr="00A52AB8">
        <w:t>[ tileID ]</w:t>
      </w:r>
      <w:r w:rsidRPr="00A52AB8">
        <w:rPr>
          <w:lang w:eastAsia="ja-JP"/>
        </w:rPr>
        <w:t>[ p ]</w:t>
      </w:r>
      <w:r w:rsidR="00D47707" w:rsidRPr="00A52AB8">
        <w:rPr>
          <w:lang w:eastAsia="ja-JP"/>
        </w:rPr>
        <w:t> = </w:t>
      </w:r>
      <w:r w:rsidRPr="00A52AB8">
        <w:rPr>
          <w:lang w:eastAsia="ja-JP"/>
        </w:rPr>
        <w:t>pdu_projection_id</w:t>
      </w:r>
      <w:r w:rsidRPr="00A52AB8">
        <w:t>[ tileID ]</w:t>
      </w:r>
      <w:r w:rsidRPr="00A52AB8">
        <w:rPr>
          <w:lang w:eastAsia="ja-JP"/>
        </w:rPr>
        <w:t xml:space="preserve">[ p ] </w:t>
      </w:r>
      <w:r w:rsidRPr="00A52AB8">
        <w:rPr>
          <w:lang w:eastAsia="ja-JP"/>
        </w:rPr>
        <w:tab/>
        <w:t>(</w:t>
      </w:r>
      <w:r w:rsidRPr="00496A4D">
        <w:rPr>
          <w:lang w:eastAsia="ja-JP"/>
        </w:rPr>
        <w:fldChar w:fldCharType="begin"/>
      </w:r>
      <w:r w:rsidRPr="00A52AB8">
        <w:rPr>
          <w:lang w:eastAsia="ja-JP"/>
        </w:rPr>
        <w:instrText xml:space="preserve"> SEQ Equation \* ARABIC \n </w:instrText>
      </w:r>
      <w:r w:rsidRPr="00496A4D">
        <w:rPr>
          <w:lang w:eastAsia="ja-JP"/>
        </w:rPr>
        <w:fldChar w:fldCharType="separate"/>
      </w:r>
      <w:r w:rsidR="00507A67">
        <w:rPr>
          <w:noProof/>
          <w:lang w:eastAsia="ja-JP"/>
        </w:rPr>
        <w:t>54</w:t>
      </w:r>
      <w:r w:rsidRPr="00496A4D">
        <w:rPr>
          <w:lang w:eastAsia="ja-JP"/>
        </w:rPr>
        <w:fldChar w:fldCharType="end"/>
      </w:r>
      <w:r w:rsidRPr="00A52AB8">
        <w:rPr>
          <w:lang w:eastAsia="ja-JP"/>
        </w:rPr>
        <w:t>)</w:t>
      </w:r>
    </w:p>
    <w:p w14:paraId="0E3C2FEF" w14:textId="360B8177" w:rsidR="004E6B3B" w:rsidRPr="00A52AB8" w:rsidRDefault="00D51B35">
      <w:pPr>
        <w:rPr>
          <w:lang w:eastAsia="ja-JP"/>
        </w:rPr>
      </w:pPr>
      <w:r w:rsidRPr="00A52AB8">
        <w:rPr>
          <w:lang w:eastAsia="ja-JP"/>
        </w:rPr>
        <w:tab/>
      </w:r>
      <w:r w:rsidR="00BC46EA" w:rsidRPr="00A52AB8">
        <w:rPr>
          <w:color w:val="000000" w:themeColor="text1"/>
        </w:rPr>
        <w:t>Tile</w:t>
      </w:r>
      <w:r w:rsidR="00E77DBA" w:rsidRPr="00A52AB8">
        <w:rPr>
          <w:lang w:eastAsia="ja-JP"/>
        </w:rPr>
        <w:t>PatchOrientation</w:t>
      </w:r>
      <w:r w:rsidR="007A6064" w:rsidRPr="00A52AB8">
        <w:rPr>
          <w:lang w:eastAsia="ja-JP"/>
        </w:rPr>
        <w:t>Index</w:t>
      </w:r>
      <w:r w:rsidR="00877CD2" w:rsidRPr="00A52AB8">
        <w:t>[ </w:t>
      </w:r>
      <w:r w:rsidR="00632FA7" w:rsidRPr="00A52AB8">
        <w:t>tileID</w:t>
      </w:r>
      <w:r w:rsidR="00877CD2" w:rsidRPr="00A52AB8">
        <w:t> ]</w:t>
      </w:r>
      <w:r w:rsidR="00636D52" w:rsidRPr="00A52AB8">
        <w:rPr>
          <w:lang w:eastAsia="ja-JP"/>
        </w:rPr>
        <w:t>[ p </w:t>
      </w:r>
      <w:r w:rsidR="00935236" w:rsidRPr="00A52AB8">
        <w:rPr>
          <w:lang w:eastAsia="ja-JP"/>
        </w:rPr>
        <w:t>]</w:t>
      </w:r>
      <w:r w:rsidR="00D47707" w:rsidRPr="00A52AB8">
        <w:rPr>
          <w:lang w:eastAsia="ja-JP"/>
        </w:rPr>
        <w:t> = </w:t>
      </w:r>
      <w:r w:rsidR="004E6B3B" w:rsidRPr="00A52AB8">
        <w:rPr>
          <w:lang w:eastAsia="ja-JP"/>
        </w:rPr>
        <w:t>pdu_orientation_</w:t>
      </w:r>
      <w:r w:rsidR="001D1920" w:rsidRPr="00A52AB8">
        <w:rPr>
          <w:lang w:eastAsia="ja-JP"/>
        </w:rPr>
        <w:t>index</w:t>
      </w:r>
      <w:r w:rsidR="00877CD2" w:rsidRPr="00A52AB8">
        <w:t>[ </w:t>
      </w:r>
      <w:r w:rsidR="00632FA7" w:rsidRPr="00A52AB8">
        <w:t>tileID</w:t>
      </w:r>
      <w:r w:rsidR="00877CD2" w:rsidRPr="00A52AB8">
        <w:t> ]</w:t>
      </w:r>
      <w:r w:rsidR="00636D52" w:rsidRPr="00A52AB8">
        <w:rPr>
          <w:lang w:eastAsia="ja-JP"/>
        </w:rPr>
        <w:t>[ p ]</w:t>
      </w:r>
      <w:r w:rsidR="00C93774" w:rsidRPr="00A52AB8">
        <w:rPr>
          <w:lang w:eastAsia="ja-JP"/>
        </w:rPr>
        <w:t xml:space="preserve"> </w:t>
      </w:r>
      <w:r w:rsidRPr="00A52AB8">
        <w:rPr>
          <w:lang w:eastAsia="ja-JP"/>
        </w:rPr>
        <w:tab/>
      </w:r>
      <w:r w:rsidR="00C93774" w:rsidRPr="00A52AB8">
        <w:rPr>
          <w:lang w:eastAsia="ja-JP"/>
        </w:rPr>
        <w:t>(</w:t>
      </w:r>
      <w:r w:rsidR="00C93774" w:rsidRPr="00496A4D">
        <w:rPr>
          <w:lang w:eastAsia="ja-JP"/>
        </w:rPr>
        <w:fldChar w:fldCharType="begin"/>
      </w:r>
      <w:r w:rsidR="00C93774" w:rsidRPr="00A52AB8">
        <w:rPr>
          <w:lang w:eastAsia="ja-JP"/>
        </w:rPr>
        <w:instrText xml:space="preserve"> </w:instrText>
      </w:r>
      <w:r w:rsidR="00646520" w:rsidRPr="00A52AB8">
        <w:rPr>
          <w:lang w:eastAsia="ja-JP"/>
        </w:rPr>
        <w:instrText>SEQ Equation \* ARABIC \n</w:instrText>
      </w:r>
      <w:r w:rsidR="00C93774" w:rsidRPr="00A52AB8">
        <w:rPr>
          <w:lang w:eastAsia="ja-JP"/>
        </w:rPr>
        <w:instrText xml:space="preserve"> </w:instrText>
      </w:r>
      <w:r w:rsidR="00C93774" w:rsidRPr="00496A4D">
        <w:rPr>
          <w:lang w:eastAsia="ja-JP"/>
        </w:rPr>
        <w:fldChar w:fldCharType="separate"/>
      </w:r>
      <w:r w:rsidR="00507A67">
        <w:rPr>
          <w:noProof/>
          <w:lang w:eastAsia="ja-JP"/>
        </w:rPr>
        <w:t>55</w:t>
      </w:r>
      <w:r w:rsidR="00C93774" w:rsidRPr="00496A4D">
        <w:rPr>
          <w:lang w:eastAsia="ja-JP"/>
        </w:rPr>
        <w:fldChar w:fldCharType="end"/>
      </w:r>
      <w:r w:rsidR="00C93774" w:rsidRPr="00A52AB8">
        <w:rPr>
          <w:lang w:eastAsia="ja-JP"/>
        </w:rPr>
        <w:t>)</w:t>
      </w:r>
    </w:p>
    <w:p w14:paraId="3607AC81" w14:textId="121F237E" w:rsidR="002E02F5" w:rsidRPr="00A52AB8" w:rsidRDefault="002E02F5" w:rsidP="003577DD">
      <w:r w:rsidRPr="00A52AB8">
        <w:tab/>
      </w:r>
      <w:r w:rsidR="00BC46EA" w:rsidRPr="00A52AB8">
        <w:t>Tile</w:t>
      </w:r>
      <w:r w:rsidRPr="00A52AB8">
        <w:t>PatchLoDScaleX</w:t>
      </w:r>
      <w:r w:rsidR="00877CD2" w:rsidRPr="00A52AB8">
        <w:t>[ </w:t>
      </w:r>
      <w:r w:rsidR="00632FA7" w:rsidRPr="00A52AB8">
        <w:t>tileID</w:t>
      </w:r>
      <w:r w:rsidR="00877CD2" w:rsidRPr="00A52AB8">
        <w:t> ]</w:t>
      </w:r>
      <w:r w:rsidRPr="00A52AB8">
        <w:t>[</w:t>
      </w:r>
      <w:r w:rsidR="00877CD2" w:rsidRPr="00A52AB8">
        <w:t> </w:t>
      </w:r>
      <w:r w:rsidRPr="00A52AB8">
        <w:t>p</w:t>
      </w:r>
      <w:r w:rsidR="00877CD2" w:rsidRPr="00A52AB8">
        <w:t> </w:t>
      </w:r>
      <w:r w:rsidRPr="00A52AB8">
        <w:t>]</w:t>
      </w:r>
      <w:r w:rsidR="003577DD" w:rsidRPr="00A52AB8">
        <w:t> </w:t>
      </w:r>
      <w:r w:rsidRPr="00A52AB8">
        <w:t>=</w:t>
      </w:r>
      <w:r w:rsidR="003577DD" w:rsidRPr="00A52AB8">
        <w:br/>
      </w:r>
      <w:r w:rsidR="003577DD" w:rsidRPr="00A52AB8">
        <w:tab/>
      </w:r>
      <w:r w:rsidR="003577DD" w:rsidRPr="00A52AB8">
        <w:tab/>
      </w:r>
      <w:r w:rsidR="003577DD" w:rsidRPr="00A52AB8">
        <w:tab/>
      </w:r>
      <w:r w:rsidRPr="00A52AB8">
        <w:t>pdu_lod_enabled_flag</w:t>
      </w:r>
      <w:r w:rsidR="00877CD2" w:rsidRPr="00A52AB8">
        <w:t>[ p ] ? </w:t>
      </w:r>
      <w:r w:rsidRPr="00A52AB8">
        <w:t>pdu_lod_scale_x_minus1</w:t>
      </w:r>
      <w:r w:rsidR="009F59D6" w:rsidRPr="00A52AB8">
        <w:t>[ tileID ]</w:t>
      </w:r>
      <w:r w:rsidRPr="00A52AB8">
        <w:t>[</w:t>
      </w:r>
      <w:r w:rsidR="00877CD2" w:rsidRPr="00A52AB8">
        <w:t> </w:t>
      </w:r>
      <w:r w:rsidRPr="00A52AB8">
        <w:t>p</w:t>
      </w:r>
      <w:r w:rsidR="00877CD2" w:rsidRPr="00A52AB8">
        <w:t> ] + </w:t>
      </w:r>
      <w:r w:rsidRPr="00A52AB8">
        <w:t>1</w:t>
      </w:r>
      <w:r w:rsidR="00877CD2" w:rsidRPr="00A52AB8">
        <w:t> : </w:t>
      </w:r>
      <w:r w:rsidRPr="00A52AB8">
        <w:t>1</w:t>
      </w:r>
      <w:r w:rsidRPr="00A52AB8">
        <w:tab/>
        <w:t>(</w:t>
      </w:r>
      <w:r w:rsidRPr="00496A4D">
        <w:fldChar w:fldCharType="begin"/>
      </w:r>
      <w:r w:rsidRPr="00A52AB8">
        <w:instrText xml:space="preserve"> </w:instrText>
      </w:r>
      <w:r w:rsidR="00646520" w:rsidRPr="00A52AB8">
        <w:instrText>SEQ Equation \* ARABIC \n</w:instrText>
      </w:r>
      <w:r w:rsidRPr="00A52AB8">
        <w:instrText xml:space="preserve"> </w:instrText>
      </w:r>
      <w:r w:rsidRPr="00496A4D">
        <w:fldChar w:fldCharType="separate"/>
      </w:r>
      <w:r w:rsidR="00507A67">
        <w:rPr>
          <w:noProof/>
        </w:rPr>
        <w:t>56</w:t>
      </w:r>
      <w:r w:rsidRPr="00496A4D">
        <w:fldChar w:fldCharType="end"/>
      </w:r>
      <w:r w:rsidRPr="00A52AB8">
        <w:t>)</w:t>
      </w:r>
    </w:p>
    <w:p w14:paraId="236A7106" w14:textId="67D2E423" w:rsidR="0050235C" w:rsidRPr="00A52AB8" w:rsidRDefault="00EA3474">
      <w:r w:rsidRPr="00A52AB8">
        <w:rPr>
          <w:lang w:eastAsia="ja-JP"/>
        </w:rPr>
        <w:tab/>
      </w:r>
      <w:r w:rsidR="00441CA8" w:rsidRPr="00A52AB8">
        <w:rPr>
          <w:lang w:eastAsia="ja-JP"/>
        </w:rPr>
        <w:t>offset</w:t>
      </w:r>
      <w:r w:rsidR="00CC5482" w:rsidRPr="00A52AB8">
        <w:rPr>
          <w:lang w:eastAsia="ja-JP"/>
        </w:rPr>
        <w:t>Y</w:t>
      </w:r>
      <w:r w:rsidR="00D47707" w:rsidRPr="00A52AB8">
        <w:rPr>
          <w:lang w:eastAsia="ja-JP"/>
        </w:rPr>
        <w:t> = </w:t>
      </w:r>
      <w:r w:rsidRPr="00A52AB8">
        <w:t>((pdu_lod_scale_x_minus1</w:t>
      </w:r>
      <w:r w:rsidR="00877CD2" w:rsidRPr="00A52AB8">
        <w:t>[ </w:t>
      </w:r>
      <w:r w:rsidR="00632FA7" w:rsidRPr="00A52AB8">
        <w:t>tileID</w:t>
      </w:r>
      <w:r w:rsidR="00877CD2" w:rsidRPr="00A52AB8">
        <w:t> ]</w:t>
      </w:r>
      <w:r w:rsidRPr="00A52AB8">
        <w:t>[ p ] &gt; 0) ? 1 : 2)</w:t>
      </w:r>
    </w:p>
    <w:p w14:paraId="27C84064" w14:textId="0E365CA7" w:rsidR="004E6B3B" w:rsidRPr="00A52AB8" w:rsidRDefault="002E02F5" w:rsidP="00A252B5">
      <w:pPr>
        <w:rPr>
          <w:lang w:eastAsia="ja-JP"/>
        </w:rPr>
      </w:pPr>
      <w:r w:rsidRPr="00A52AB8">
        <w:tab/>
      </w:r>
      <w:r w:rsidR="006923BB" w:rsidRPr="00A52AB8">
        <w:t>Tile</w:t>
      </w:r>
      <w:r w:rsidRPr="00A52AB8">
        <w:t>PatchLoDScaleY</w:t>
      </w:r>
      <w:r w:rsidR="00877CD2" w:rsidRPr="00A52AB8">
        <w:t>[ </w:t>
      </w:r>
      <w:r w:rsidR="00632FA7" w:rsidRPr="00A52AB8">
        <w:t>tileID</w:t>
      </w:r>
      <w:r w:rsidR="00877CD2" w:rsidRPr="00A52AB8">
        <w:t> ]</w:t>
      </w:r>
      <w:r w:rsidRPr="00A52AB8">
        <w:t>[ p ]</w:t>
      </w:r>
      <w:r w:rsidR="00D47707" w:rsidRPr="00A52AB8">
        <w:t> = </w:t>
      </w:r>
      <w:r w:rsidRPr="00A52AB8">
        <w:t>pdu_lod_enabled_flag</w:t>
      </w:r>
      <w:r w:rsidR="00877CD2" w:rsidRPr="00A52AB8">
        <w:t>[ </w:t>
      </w:r>
      <w:r w:rsidR="00632FA7" w:rsidRPr="00A52AB8">
        <w:t>tileID</w:t>
      </w:r>
      <w:r w:rsidR="00877CD2" w:rsidRPr="00A52AB8">
        <w:t> ]</w:t>
      </w:r>
      <w:r w:rsidRPr="00A52AB8">
        <w:t>[ p ] ?</w:t>
      </w:r>
      <w:r w:rsidR="00441CA8" w:rsidRPr="00A52AB8">
        <w:br/>
      </w:r>
      <w:r w:rsidR="00946F4E" w:rsidRPr="00A52AB8">
        <w:tab/>
      </w:r>
      <w:r w:rsidR="00946F4E" w:rsidRPr="00A52AB8">
        <w:tab/>
      </w:r>
      <w:r w:rsidR="00441CA8" w:rsidRPr="00A52AB8">
        <w:tab/>
      </w:r>
      <w:r w:rsidRPr="00A52AB8">
        <w:t>pdu_lod_scale_y</w:t>
      </w:r>
      <w:r w:rsidR="00282B77" w:rsidRPr="00A52AB8">
        <w:t>_idc</w:t>
      </w:r>
      <w:r w:rsidR="00877CD2" w:rsidRPr="00A52AB8">
        <w:t>[ </w:t>
      </w:r>
      <w:r w:rsidR="00632FA7" w:rsidRPr="00A52AB8">
        <w:t>tileID</w:t>
      </w:r>
      <w:r w:rsidR="00877CD2" w:rsidRPr="00A52AB8">
        <w:t> ]</w:t>
      </w:r>
      <w:r w:rsidRPr="00A52AB8">
        <w:t>[ p ] +</w:t>
      </w:r>
      <w:r w:rsidR="00EA3474" w:rsidRPr="00A52AB8">
        <w:t> offsetY </w:t>
      </w:r>
      <w:r w:rsidRPr="00A52AB8">
        <w:t>: 1</w:t>
      </w:r>
      <w:r w:rsidRPr="00A52AB8">
        <w:tab/>
      </w:r>
      <w:r w:rsidRPr="00A52AB8">
        <w:rPr>
          <w:lang w:eastAsia="ja-JP"/>
        </w:rPr>
        <w:t>(</w:t>
      </w:r>
      <w:r w:rsidRPr="00496A4D">
        <w:rPr>
          <w:lang w:eastAsia="ja-JP"/>
        </w:rPr>
        <w:fldChar w:fldCharType="begin"/>
      </w:r>
      <w:r w:rsidRPr="00A52AB8">
        <w:rPr>
          <w:lang w:eastAsia="ja-JP"/>
        </w:rPr>
        <w:instrText xml:space="preserve"> </w:instrText>
      </w:r>
      <w:r w:rsidR="00646520" w:rsidRPr="00A52AB8">
        <w:rPr>
          <w:lang w:eastAsia="ja-JP"/>
        </w:rPr>
        <w:instrText>SEQ Equation \* ARABIC \n</w:instrText>
      </w:r>
      <w:r w:rsidRPr="00A52AB8">
        <w:rPr>
          <w:lang w:eastAsia="ja-JP"/>
        </w:rPr>
        <w:instrText xml:space="preserve"> </w:instrText>
      </w:r>
      <w:r w:rsidRPr="00496A4D">
        <w:rPr>
          <w:lang w:eastAsia="ja-JP"/>
        </w:rPr>
        <w:fldChar w:fldCharType="separate"/>
      </w:r>
      <w:r w:rsidR="00507A67">
        <w:rPr>
          <w:noProof/>
          <w:lang w:eastAsia="ja-JP"/>
        </w:rPr>
        <w:t>57</w:t>
      </w:r>
      <w:r w:rsidRPr="00496A4D">
        <w:rPr>
          <w:lang w:eastAsia="ja-JP"/>
        </w:rPr>
        <w:fldChar w:fldCharType="end"/>
      </w:r>
      <w:r w:rsidRPr="00A52AB8">
        <w:rPr>
          <w:lang w:eastAsia="ja-JP"/>
        </w:rPr>
        <w:t>)</w:t>
      </w:r>
    </w:p>
    <w:p w14:paraId="485B017D" w14:textId="0113F28D" w:rsidR="00143C1E" w:rsidRPr="00A52AB8" w:rsidRDefault="00143C1E" w:rsidP="00A252B5">
      <w:r w:rsidRPr="00A52AB8">
        <w:tab/>
      </w:r>
      <w:r w:rsidR="00824C93" w:rsidRPr="00A52AB8">
        <w:t>Tile</w:t>
      </w:r>
      <w:r w:rsidRPr="00A52AB8">
        <w:t>Patch2d</w:t>
      </w:r>
      <w:r w:rsidR="00CA4F41" w:rsidRPr="00A52AB8">
        <w:t>SizeX</w:t>
      </w:r>
      <w:r w:rsidR="00877CD2" w:rsidRPr="00A52AB8">
        <w:t>[ </w:t>
      </w:r>
      <w:r w:rsidR="00632FA7" w:rsidRPr="00A52AB8">
        <w:t>tileID</w:t>
      </w:r>
      <w:r w:rsidR="00877CD2" w:rsidRPr="00A52AB8">
        <w:t> ]</w:t>
      </w:r>
      <w:r w:rsidR="00636D52" w:rsidRPr="00A52AB8">
        <w:t>[ p </w:t>
      </w:r>
      <w:r w:rsidR="00935236" w:rsidRPr="00A52AB8">
        <w:t>] =</w:t>
      </w:r>
      <w:r w:rsidR="00441CA8" w:rsidRPr="00A52AB8">
        <w:br/>
      </w:r>
      <w:r w:rsidR="00441CA8" w:rsidRPr="00A52AB8">
        <w:tab/>
      </w:r>
      <w:r w:rsidR="00441CA8" w:rsidRPr="00A52AB8">
        <w:tab/>
      </w:r>
      <w:r w:rsidR="00441CA8" w:rsidRPr="00A52AB8">
        <w:tab/>
      </w:r>
      <w:r w:rsidR="00ED48D7" w:rsidRPr="00A52AB8">
        <w:t>(</w:t>
      </w:r>
      <w:r w:rsidRPr="00A52AB8">
        <w:t>pdu_2d_</w:t>
      </w:r>
      <w:r w:rsidR="008E0BEB" w:rsidRPr="00A52AB8">
        <w:t>size_x</w:t>
      </w:r>
      <w:r w:rsidR="00ED48D7" w:rsidRPr="00A52AB8">
        <w:t>_minus1</w:t>
      </w:r>
      <w:r w:rsidR="00877CD2" w:rsidRPr="00A52AB8">
        <w:t>[ </w:t>
      </w:r>
      <w:r w:rsidR="00632FA7" w:rsidRPr="00A52AB8">
        <w:t>tileID</w:t>
      </w:r>
      <w:r w:rsidR="00877CD2" w:rsidRPr="00A52AB8">
        <w:t> ]</w:t>
      </w:r>
      <w:r w:rsidR="00636D52" w:rsidRPr="00A52AB8">
        <w:t>[ p ]</w:t>
      </w:r>
      <w:r w:rsidR="00B12940" w:rsidRPr="00A52AB8">
        <w:t> </w:t>
      </w:r>
      <w:r w:rsidR="00ED48D7" w:rsidRPr="00A52AB8">
        <w:t>+</w:t>
      </w:r>
      <w:r w:rsidR="00BE6C42" w:rsidRPr="00A52AB8">
        <w:t> </w:t>
      </w:r>
      <w:r w:rsidR="00ED48D7" w:rsidRPr="00A52AB8">
        <w:t>1)</w:t>
      </w:r>
      <w:r w:rsidR="00BE6C42" w:rsidRPr="00A52AB8">
        <w:t> </w:t>
      </w:r>
      <w:r w:rsidR="00CC0586" w:rsidRPr="00A52AB8">
        <w:t>* </w:t>
      </w:r>
      <w:r w:rsidR="005036E4" w:rsidRPr="00A52AB8">
        <w:t>PatchSizeXQuantizer</w:t>
      </w:r>
      <w:r w:rsidR="00AB1F40" w:rsidRPr="00A52AB8">
        <w:tab/>
      </w:r>
      <w:r w:rsidRPr="00A52AB8">
        <w:t>(</w:t>
      </w:r>
      <w:r w:rsidRPr="00496A4D">
        <w:fldChar w:fldCharType="begin"/>
      </w:r>
      <w:r w:rsidRPr="00A52AB8">
        <w:instrText xml:space="preserve"> </w:instrText>
      </w:r>
      <w:r w:rsidR="00646520" w:rsidRPr="00A52AB8">
        <w:instrText>SEQ Equation \* ARABIC \n</w:instrText>
      </w:r>
      <w:r w:rsidRPr="00A52AB8">
        <w:instrText xml:space="preserve"> </w:instrText>
      </w:r>
      <w:r w:rsidRPr="00496A4D">
        <w:fldChar w:fldCharType="separate"/>
      </w:r>
      <w:r w:rsidR="00507A67">
        <w:rPr>
          <w:noProof/>
        </w:rPr>
        <w:t>58</w:t>
      </w:r>
      <w:r w:rsidRPr="00496A4D">
        <w:fldChar w:fldCharType="end"/>
      </w:r>
      <w:r w:rsidRPr="00A52AB8">
        <w:t>)</w:t>
      </w:r>
    </w:p>
    <w:p w14:paraId="6654E4FC" w14:textId="32ADF66F" w:rsidR="00143C1E" w:rsidRPr="00A52AB8" w:rsidRDefault="00143C1E" w:rsidP="00A252B5">
      <w:r w:rsidRPr="00A52AB8">
        <w:tab/>
      </w:r>
      <w:r w:rsidR="00824C93" w:rsidRPr="00A52AB8">
        <w:t>Tile</w:t>
      </w:r>
      <w:r w:rsidRPr="00A52AB8">
        <w:t>Patch2d</w:t>
      </w:r>
      <w:r w:rsidR="00CA4F41" w:rsidRPr="00A52AB8">
        <w:t>SizeY</w:t>
      </w:r>
      <w:r w:rsidR="00877CD2" w:rsidRPr="00A52AB8">
        <w:t>[ </w:t>
      </w:r>
      <w:r w:rsidR="00632FA7" w:rsidRPr="00A52AB8">
        <w:t>tileID</w:t>
      </w:r>
      <w:r w:rsidR="00877CD2" w:rsidRPr="00A52AB8">
        <w:t> ]</w:t>
      </w:r>
      <w:r w:rsidR="00636D52" w:rsidRPr="00A52AB8">
        <w:t>[ p </w:t>
      </w:r>
      <w:r w:rsidR="00935236" w:rsidRPr="00A52AB8">
        <w:t>] </w:t>
      </w:r>
      <w:r w:rsidR="00441CA8" w:rsidRPr="00A52AB8">
        <w:t>=</w:t>
      </w:r>
      <w:r w:rsidR="00441CA8" w:rsidRPr="00A52AB8">
        <w:br/>
      </w:r>
      <w:r w:rsidR="00441CA8" w:rsidRPr="00A52AB8">
        <w:tab/>
      </w:r>
      <w:r w:rsidR="00441CA8" w:rsidRPr="00A52AB8">
        <w:tab/>
      </w:r>
      <w:r w:rsidR="00441CA8" w:rsidRPr="00A52AB8">
        <w:tab/>
      </w:r>
      <w:r w:rsidR="00ED48D7" w:rsidRPr="00A52AB8">
        <w:t>(</w:t>
      </w:r>
      <w:r w:rsidRPr="00A52AB8">
        <w:t>pdu_2d_</w:t>
      </w:r>
      <w:r w:rsidR="008E0BEB" w:rsidRPr="00A52AB8">
        <w:t>size_y</w:t>
      </w:r>
      <w:r w:rsidR="00ED48D7" w:rsidRPr="00A52AB8">
        <w:t>_minus1</w:t>
      </w:r>
      <w:r w:rsidR="00877CD2" w:rsidRPr="00A52AB8">
        <w:t>[ </w:t>
      </w:r>
      <w:r w:rsidR="00632FA7" w:rsidRPr="00A52AB8">
        <w:t>tileID</w:t>
      </w:r>
      <w:r w:rsidR="00877CD2" w:rsidRPr="00A52AB8">
        <w:t> ]</w:t>
      </w:r>
      <w:r w:rsidR="00636D52" w:rsidRPr="00A52AB8">
        <w:t>[ p ]</w:t>
      </w:r>
      <w:r w:rsidR="00BE6C42" w:rsidRPr="00A52AB8">
        <w:t> </w:t>
      </w:r>
      <w:r w:rsidR="00ED48D7" w:rsidRPr="00A52AB8">
        <w:t>+</w:t>
      </w:r>
      <w:r w:rsidR="00BE6C42" w:rsidRPr="00A52AB8">
        <w:t> </w:t>
      </w:r>
      <w:r w:rsidR="00ED48D7" w:rsidRPr="00A52AB8">
        <w:t>1)</w:t>
      </w:r>
      <w:r w:rsidR="00B12940" w:rsidRPr="00A52AB8">
        <w:t> </w:t>
      </w:r>
      <w:r w:rsidR="00CC0586" w:rsidRPr="00A52AB8">
        <w:t>* </w:t>
      </w:r>
      <w:r w:rsidR="005036E4" w:rsidRPr="00A52AB8">
        <w:t>PatchSizeYQuantizer</w:t>
      </w:r>
      <w:r w:rsidR="00CC0586" w:rsidRPr="00A52AB8">
        <w:tab/>
      </w:r>
      <w:r w:rsidRPr="00A52AB8">
        <w:t>(</w:t>
      </w:r>
      <w:r w:rsidRPr="00496A4D">
        <w:fldChar w:fldCharType="begin"/>
      </w:r>
      <w:r w:rsidRPr="00A52AB8">
        <w:instrText xml:space="preserve"> </w:instrText>
      </w:r>
      <w:r w:rsidR="00646520" w:rsidRPr="00A52AB8">
        <w:instrText>SEQ Equation \* ARABIC \n</w:instrText>
      </w:r>
      <w:r w:rsidRPr="00A52AB8">
        <w:instrText xml:space="preserve"> </w:instrText>
      </w:r>
      <w:r w:rsidRPr="00496A4D">
        <w:fldChar w:fldCharType="separate"/>
      </w:r>
      <w:r w:rsidR="00507A67">
        <w:rPr>
          <w:noProof/>
        </w:rPr>
        <w:t>59</w:t>
      </w:r>
      <w:r w:rsidRPr="00496A4D">
        <w:fldChar w:fldCharType="end"/>
      </w:r>
      <w:r w:rsidRPr="00A52AB8">
        <w:t>)</w:t>
      </w:r>
    </w:p>
    <w:p w14:paraId="61E189D0" w14:textId="77777777" w:rsidR="007471E1" w:rsidRPr="00A52AB8" w:rsidRDefault="007471E1" w:rsidP="004A6049">
      <w:pPr>
        <w:ind w:left="357"/>
      </w:pPr>
      <w:r w:rsidRPr="00A52AB8">
        <w:t>If asps_plr_enabled_flag is equal to 1, the following applies:</w:t>
      </w:r>
      <w:r w:rsidR="001939FF" w:rsidRPr="00A52AB8">
        <w:tab/>
      </w:r>
    </w:p>
    <w:p w14:paraId="2470CA7A" w14:textId="77B72102" w:rsidR="005B28E4" w:rsidRPr="00A52AB8" w:rsidRDefault="00870E63" w:rsidP="009C6742">
      <w:r w:rsidRPr="00A52AB8">
        <w:tab/>
      </w:r>
      <w:r w:rsidRPr="00A52AB8">
        <w:tab/>
      </w:r>
      <w:r w:rsidR="005B28E4" w:rsidRPr="00A52AB8">
        <w:t>blockCnt</w:t>
      </w:r>
      <w:r w:rsidR="00D47707" w:rsidRPr="00A52AB8">
        <w:t> = </w:t>
      </w:r>
      <w:r w:rsidR="005B28E4" w:rsidRPr="00A52AB8">
        <w:t>BlockCnt( TilePatch2dSizeX[ tileID ][ p ], TilePatch2dSizeY[ tileID ][ p ] )</w:t>
      </w:r>
    </w:p>
    <w:p w14:paraId="5F095433" w14:textId="37ED80F3" w:rsidR="00D35D16" w:rsidRPr="00A52AB8" w:rsidRDefault="00870E63" w:rsidP="009C6742">
      <w:r w:rsidRPr="00A52AB8">
        <w:tab/>
      </w:r>
      <w:r w:rsidRPr="00A52AB8">
        <w:tab/>
      </w:r>
      <w:r w:rsidR="001939FF" w:rsidRPr="00A52AB8">
        <w:t>for( m</w:t>
      </w:r>
      <w:r w:rsidR="00D47707" w:rsidRPr="00A52AB8">
        <w:t> = </w:t>
      </w:r>
      <w:r w:rsidR="001939FF" w:rsidRPr="00A52AB8">
        <w:t>0; m &lt; asps_map_count_minus1 + 1; m</w:t>
      </w:r>
      <w:r w:rsidR="00006CCF" w:rsidRPr="00A52AB8">
        <w:t>++ </w:t>
      </w:r>
      <w:r w:rsidR="008F1F82" w:rsidRPr="00A52AB8">
        <w:t>) {</w:t>
      </w:r>
      <w:r w:rsidR="001939FF" w:rsidRPr="00A52AB8">
        <w:br/>
      </w:r>
      <w:r w:rsidR="001939FF" w:rsidRPr="00A52AB8">
        <w:tab/>
      </w:r>
      <w:r w:rsidR="001939FF" w:rsidRPr="00A52AB8">
        <w:tab/>
      </w:r>
      <w:r w:rsidRPr="00A52AB8">
        <w:tab/>
      </w:r>
      <w:r w:rsidR="001939FF" w:rsidRPr="00A52AB8">
        <w:t>if( plri_map_present_flag[ m ]</w:t>
      </w:r>
      <w:r w:rsidR="008768E9" w:rsidRPr="00A52AB8">
        <w:t> </w:t>
      </w:r>
      <w:r w:rsidR="00726AAE" w:rsidRPr="00A52AB8">
        <w:t>==</w:t>
      </w:r>
      <w:r w:rsidR="00D47707" w:rsidRPr="00A52AB8">
        <w:t> </w:t>
      </w:r>
      <w:r w:rsidR="001939FF" w:rsidRPr="00A52AB8">
        <w:t>1 </w:t>
      </w:r>
      <w:r w:rsidR="008F1F82" w:rsidRPr="00A52AB8">
        <w:t>) {</w:t>
      </w:r>
      <w:r w:rsidR="001939FF" w:rsidRPr="00A52AB8">
        <w:br/>
      </w:r>
      <w:r w:rsidR="001939FF" w:rsidRPr="00A52AB8">
        <w:tab/>
      </w:r>
      <w:r w:rsidR="001939FF" w:rsidRPr="00A52AB8">
        <w:tab/>
      </w:r>
      <w:r w:rsidR="001939FF" w:rsidRPr="00A52AB8">
        <w:tab/>
      </w:r>
      <w:r w:rsidRPr="00A52AB8">
        <w:tab/>
      </w:r>
      <w:r w:rsidR="001939FF" w:rsidRPr="00A52AB8">
        <w:t>TilePatchPlrdLeve</w:t>
      </w:r>
      <w:r w:rsidR="004C4FB2" w:rsidRPr="00A52AB8">
        <w:t>l</w:t>
      </w:r>
      <w:r w:rsidR="001939FF" w:rsidRPr="00A52AB8">
        <w:t>[ tileID ][ p ]</w:t>
      </w:r>
      <w:r w:rsidR="004C4FB2" w:rsidRPr="00A52AB8">
        <w:t>[ m ]</w:t>
      </w:r>
      <w:r w:rsidR="00D47707" w:rsidRPr="00A52AB8">
        <w:t> = </w:t>
      </w:r>
      <w:r w:rsidR="00C77C41" w:rsidRPr="00A52AB8">
        <w:t>plrd_level[ tileID ][ p ]</w:t>
      </w:r>
      <w:r w:rsidR="004C4FB2" w:rsidRPr="00A52AB8">
        <w:t>[ m ]</w:t>
      </w:r>
      <w:r w:rsidRPr="00A52AB8">
        <w:br/>
      </w:r>
      <w:r w:rsidRPr="00A52AB8">
        <w:tab/>
      </w:r>
      <w:r w:rsidRPr="00A52AB8">
        <w:tab/>
      </w:r>
      <w:r w:rsidRPr="00A52AB8">
        <w:tab/>
      </w:r>
      <w:r w:rsidRPr="00A52AB8">
        <w:tab/>
      </w:r>
      <w:r w:rsidR="001939FF" w:rsidRPr="00A52AB8">
        <w:t>if(</w:t>
      </w:r>
      <w:r w:rsidR="004C4FB2" w:rsidRPr="00A52AB8">
        <w:t> </w:t>
      </w:r>
      <w:r w:rsidR="000769F2" w:rsidRPr="00A52AB8">
        <w:t>TilePatchPlrdLevel</w:t>
      </w:r>
      <w:r w:rsidR="001939FF" w:rsidRPr="00A52AB8">
        <w:t>[ </w:t>
      </w:r>
      <w:r w:rsidR="000769F2" w:rsidRPr="00A52AB8">
        <w:t>tileID</w:t>
      </w:r>
      <w:r w:rsidR="001939FF" w:rsidRPr="00A52AB8">
        <w:t> ]</w:t>
      </w:r>
      <w:r w:rsidR="000769F2" w:rsidRPr="00A52AB8">
        <w:t>[ p ]</w:t>
      </w:r>
      <w:r w:rsidR="004C4FB2" w:rsidRPr="00A52AB8">
        <w:t>[ m ]</w:t>
      </w:r>
      <w:r w:rsidR="008768E9" w:rsidRPr="00A52AB8">
        <w:t> </w:t>
      </w:r>
      <w:r w:rsidR="00726AAE" w:rsidRPr="00A52AB8">
        <w:t>==</w:t>
      </w:r>
      <w:r w:rsidR="00D47707" w:rsidRPr="00A52AB8">
        <w:t> </w:t>
      </w:r>
      <w:r w:rsidR="001939FF" w:rsidRPr="00A52AB8">
        <w:t>0 </w:t>
      </w:r>
      <w:r w:rsidR="008F1F82" w:rsidRPr="00A52AB8">
        <w:t>) {</w:t>
      </w:r>
      <w:r w:rsidRPr="00A52AB8">
        <w:br/>
      </w:r>
      <w:r w:rsidRPr="00A52AB8">
        <w:tab/>
      </w:r>
      <w:r w:rsidRPr="00A52AB8">
        <w:tab/>
      </w:r>
      <w:r w:rsidRPr="00A52AB8">
        <w:tab/>
      </w:r>
      <w:r w:rsidRPr="00A52AB8">
        <w:tab/>
      </w:r>
      <w:r w:rsidRPr="00A52AB8">
        <w:tab/>
      </w:r>
      <w:r w:rsidR="001939FF" w:rsidRPr="00A52AB8">
        <w:t>for( j</w:t>
      </w:r>
      <w:r w:rsidR="00D47707" w:rsidRPr="00A52AB8">
        <w:t> = </w:t>
      </w:r>
      <w:r w:rsidR="001939FF" w:rsidRPr="00A52AB8">
        <w:t>0; j &lt; </w:t>
      </w:r>
      <w:r w:rsidR="005B28E4" w:rsidRPr="00A52AB8">
        <w:t>blockCnt</w:t>
      </w:r>
      <w:r w:rsidR="001939FF" w:rsidRPr="00A52AB8">
        <w:t>; j</w:t>
      </w:r>
      <w:r w:rsidR="00006CCF" w:rsidRPr="00A52AB8">
        <w:t>++ </w:t>
      </w:r>
      <w:r w:rsidR="008F1F82" w:rsidRPr="00A52AB8">
        <w:t>) {</w:t>
      </w:r>
      <w:r w:rsidRPr="00A52AB8">
        <w:br/>
      </w:r>
      <w:r w:rsidRPr="00A52AB8">
        <w:tab/>
      </w:r>
      <w:r w:rsidRPr="00A52AB8">
        <w:tab/>
      </w:r>
      <w:r w:rsidRPr="00A52AB8">
        <w:tab/>
      </w:r>
      <w:r w:rsidRPr="00A52AB8">
        <w:tab/>
      </w:r>
      <w:r w:rsidRPr="00A52AB8">
        <w:tab/>
      </w:r>
      <w:r w:rsidRPr="00A52AB8">
        <w:tab/>
      </w:r>
      <w:r w:rsidR="000769F2" w:rsidRPr="00A52AB8">
        <w:t>T</w:t>
      </w:r>
      <w:r w:rsidR="001939FF" w:rsidRPr="00A52AB8">
        <w:t>ilePatchPlrdPresentBlockFlag[ tileID ][ p ]</w:t>
      </w:r>
      <w:r w:rsidR="004C4FB2" w:rsidRPr="00A52AB8">
        <w:t>[ m ]</w:t>
      </w:r>
      <w:r w:rsidR="001939FF" w:rsidRPr="00A52AB8">
        <w:t>[ j ]</w:t>
      </w:r>
      <w:r w:rsidR="000769F2" w:rsidRPr="00A52AB8">
        <w:t> =</w:t>
      </w:r>
      <w:r w:rsidRPr="00A52AB8">
        <w:br/>
      </w:r>
      <w:r w:rsidRPr="00A52AB8">
        <w:tab/>
      </w:r>
      <w:r w:rsidRPr="00A52AB8">
        <w:tab/>
      </w:r>
      <w:r w:rsidRPr="00A52AB8">
        <w:tab/>
      </w:r>
      <w:r w:rsidRPr="00A52AB8">
        <w:tab/>
      </w:r>
      <w:r w:rsidRPr="00A52AB8">
        <w:tab/>
      </w:r>
      <w:r w:rsidR="004C4FB2" w:rsidRPr="00A52AB8">
        <w:tab/>
      </w:r>
      <w:r w:rsidR="004C4FB2" w:rsidRPr="00A52AB8">
        <w:tab/>
      </w:r>
      <w:r w:rsidR="000769F2" w:rsidRPr="00A52AB8">
        <w:t>plrd_present_block_flag[ tileID ][ p ]</w:t>
      </w:r>
      <w:r w:rsidR="004C4FB2" w:rsidRPr="00A52AB8">
        <w:t>[ m ]</w:t>
      </w:r>
      <w:r w:rsidR="000769F2" w:rsidRPr="00A52AB8">
        <w:t>[ j ]</w:t>
      </w:r>
      <w:r w:rsidRPr="00A52AB8">
        <w:tab/>
      </w:r>
      <w:r w:rsidRPr="00A52AB8">
        <w:tab/>
      </w:r>
      <w:r w:rsidRPr="00A52AB8">
        <w:tab/>
      </w:r>
      <w:r w:rsidRPr="00A52AB8">
        <w:tab/>
      </w:r>
      <w:r w:rsidRPr="00A52AB8">
        <w:tab/>
      </w:r>
      <w:r w:rsidRPr="00A52AB8">
        <w:tab/>
      </w:r>
      <w:r w:rsidRPr="00A52AB8">
        <w:tab/>
      </w:r>
      <w:r w:rsidR="00B310A5" w:rsidRPr="00A52AB8">
        <w:tab/>
      </w:r>
      <w:r w:rsidR="001939FF" w:rsidRPr="00A52AB8">
        <w:t>if( </w:t>
      </w:r>
      <w:r w:rsidR="000769F2" w:rsidRPr="00A52AB8">
        <w:t>TilePatchPlrdPresentBlockFlag[ tileID ][ p ]</w:t>
      </w:r>
      <w:r w:rsidR="00144653" w:rsidRPr="00A52AB8">
        <w:t>[ m ]</w:t>
      </w:r>
      <w:r w:rsidR="000769F2" w:rsidRPr="00A52AB8">
        <w:t>[ j ]</w:t>
      </w:r>
      <w:r w:rsidR="008768E9" w:rsidRPr="00A52AB8">
        <w:t> </w:t>
      </w:r>
      <w:r w:rsidR="00726AAE" w:rsidRPr="00A52AB8">
        <w:t>==</w:t>
      </w:r>
      <w:r w:rsidR="00D47707" w:rsidRPr="00A52AB8">
        <w:t> </w:t>
      </w:r>
      <w:r w:rsidR="001939FF" w:rsidRPr="00A52AB8">
        <w:t>1 )</w:t>
      </w:r>
      <w:r w:rsidRPr="00A52AB8">
        <w:br/>
      </w:r>
      <w:r w:rsidRPr="00A52AB8">
        <w:tab/>
      </w:r>
      <w:r w:rsidRPr="00A52AB8">
        <w:tab/>
      </w:r>
      <w:r w:rsidRPr="00A52AB8">
        <w:tab/>
      </w:r>
      <w:r w:rsidRPr="00A52AB8">
        <w:tab/>
      </w:r>
      <w:r w:rsidRPr="00A52AB8">
        <w:tab/>
      </w:r>
      <w:r w:rsidRPr="00A52AB8">
        <w:tab/>
      </w:r>
      <w:r w:rsidR="004C4FB2" w:rsidRPr="00A52AB8">
        <w:tab/>
      </w:r>
      <w:r w:rsidR="001939FF" w:rsidRPr="00A52AB8">
        <w:t>TilePatchPlrdBlockModeMinus</w:t>
      </w:r>
      <w:r w:rsidR="00144653" w:rsidRPr="00A52AB8">
        <w:t>1</w:t>
      </w:r>
      <w:r w:rsidR="001939FF" w:rsidRPr="00A52AB8">
        <w:t>[ tileID ][ p ]</w:t>
      </w:r>
      <w:r w:rsidR="00144653" w:rsidRPr="00A52AB8">
        <w:t>[ m ]</w:t>
      </w:r>
      <w:r w:rsidR="001939FF" w:rsidRPr="00A52AB8">
        <w:t>[ j ]</w:t>
      </w:r>
      <w:r w:rsidR="007471E1" w:rsidRPr="00A52AB8">
        <w:t> </w:t>
      </w:r>
      <w:r w:rsidR="00B310A5" w:rsidRPr="00A52AB8">
        <w:t>=</w:t>
      </w:r>
      <w:r w:rsidRPr="00A52AB8">
        <w:br/>
      </w:r>
      <w:r w:rsidRPr="00A52AB8">
        <w:tab/>
      </w:r>
      <w:r w:rsidRPr="00A52AB8">
        <w:tab/>
      </w:r>
      <w:r w:rsidRPr="00A52AB8">
        <w:tab/>
      </w:r>
      <w:r w:rsidRPr="00A52AB8">
        <w:tab/>
      </w:r>
      <w:r w:rsidRPr="00A52AB8">
        <w:tab/>
      </w:r>
      <w:r w:rsidRPr="00A52AB8">
        <w:tab/>
      </w:r>
      <w:r w:rsidRPr="00A52AB8">
        <w:tab/>
      </w:r>
      <w:r w:rsidRPr="00A52AB8">
        <w:tab/>
      </w:r>
      <w:r w:rsidR="00B310A5" w:rsidRPr="00A52AB8">
        <w:t>plrd_block_mode_minus</w:t>
      </w:r>
      <w:r w:rsidR="00144653" w:rsidRPr="00A52AB8">
        <w:t>1</w:t>
      </w:r>
      <w:r w:rsidR="00B310A5" w:rsidRPr="00A52AB8">
        <w:t>[ tileID ][ p ]</w:t>
      </w:r>
      <w:r w:rsidR="00144653" w:rsidRPr="00A52AB8">
        <w:t>[ m ]</w:t>
      </w:r>
      <w:r w:rsidR="00B310A5" w:rsidRPr="00A52AB8">
        <w:t>[ j ]</w:t>
      </w:r>
      <w:r w:rsidR="001939FF" w:rsidRPr="00A52AB8">
        <w:br/>
      </w:r>
      <w:r w:rsidR="001939FF" w:rsidRPr="00A52AB8">
        <w:tab/>
      </w:r>
      <w:r w:rsidR="001939FF" w:rsidRPr="00A52AB8">
        <w:tab/>
      </w:r>
      <w:r w:rsidR="001939FF" w:rsidRPr="00A52AB8">
        <w:tab/>
      </w:r>
      <w:r w:rsidR="001939FF" w:rsidRPr="00A52AB8">
        <w:tab/>
      </w:r>
      <w:r w:rsidRPr="00A52AB8">
        <w:tab/>
      </w:r>
      <w:r w:rsidR="001939FF" w:rsidRPr="00A52AB8">
        <w:t>}</w:t>
      </w:r>
      <w:r w:rsidR="001939FF" w:rsidRPr="00A52AB8">
        <w:br/>
      </w:r>
      <w:r w:rsidR="001939FF" w:rsidRPr="00A52AB8">
        <w:tab/>
      </w:r>
      <w:r w:rsidR="001939FF" w:rsidRPr="00A52AB8">
        <w:tab/>
      </w:r>
      <w:r w:rsidR="001939FF" w:rsidRPr="00A52AB8">
        <w:tab/>
      </w:r>
      <w:r w:rsidRPr="00A52AB8">
        <w:tab/>
      </w:r>
      <w:r w:rsidR="0023721F" w:rsidRPr="00A52AB8">
        <w:t>} else {</w:t>
      </w:r>
      <w:r w:rsidRPr="00A52AB8">
        <w:br/>
      </w:r>
      <w:r w:rsidR="007471E1" w:rsidRPr="00A52AB8">
        <w:tab/>
      </w:r>
      <w:r w:rsidRPr="00A52AB8">
        <w:tab/>
      </w:r>
      <w:r w:rsidRPr="00A52AB8">
        <w:tab/>
      </w:r>
      <w:r w:rsidRPr="00A52AB8">
        <w:tab/>
      </w:r>
      <w:r w:rsidR="007471E1" w:rsidRPr="00A52AB8">
        <w:tab/>
      </w:r>
      <w:r w:rsidR="001939FF" w:rsidRPr="00A52AB8">
        <w:t>TilePatchPlrdPresentFlag[ tileID ][ p ]</w:t>
      </w:r>
      <w:r w:rsidR="00144653" w:rsidRPr="00A52AB8">
        <w:t>[ m ]</w:t>
      </w:r>
      <w:r w:rsidR="00D47707" w:rsidRPr="00A52AB8">
        <w:t> = </w:t>
      </w:r>
      <w:r w:rsidR="007471E1" w:rsidRPr="00A52AB8">
        <w:t>plrd_present_fla</w:t>
      </w:r>
      <w:r w:rsidR="006777B0" w:rsidRPr="00A52AB8">
        <w:t>g</w:t>
      </w:r>
      <w:r w:rsidR="007471E1" w:rsidRPr="00A52AB8">
        <w:t>[ tileID ][ p ]</w:t>
      </w:r>
      <w:r w:rsidR="00144653" w:rsidRPr="00A52AB8">
        <w:t>[ m ]</w:t>
      </w:r>
      <w:r w:rsidRPr="00A52AB8">
        <w:br/>
      </w:r>
      <w:r w:rsidRPr="00A52AB8">
        <w:tab/>
      </w:r>
      <w:r w:rsidRPr="00A52AB8">
        <w:tab/>
      </w:r>
      <w:r w:rsidRPr="00A52AB8">
        <w:tab/>
      </w:r>
      <w:r w:rsidRPr="00A52AB8">
        <w:tab/>
      </w:r>
      <w:r w:rsidRPr="00A52AB8">
        <w:tab/>
      </w:r>
      <w:r w:rsidR="001939FF" w:rsidRPr="00A52AB8">
        <w:t>if( </w:t>
      </w:r>
      <w:r w:rsidR="007471E1" w:rsidRPr="00A52AB8">
        <w:t>TilePatchPlrdPresentFlag[ tileID ][ p ]</w:t>
      </w:r>
      <w:r w:rsidR="00144653" w:rsidRPr="00A52AB8">
        <w:t>[ m ]</w:t>
      </w:r>
      <w:r w:rsidR="008768E9" w:rsidRPr="00A52AB8">
        <w:t> </w:t>
      </w:r>
      <w:r w:rsidR="00726AAE" w:rsidRPr="00A52AB8">
        <w:t>==</w:t>
      </w:r>
      <w:r w:rsidR="00D47707" w:rsidRPr="00A52AB8">
        <w:t> </w:t>
      </w:r>
      <w:r w:rsidR="001939FF" w:rsidRPr="00A52AB8">
        <w:t>1 )</w:t>
      </w:r>
      <w:r w:rsidRPr="00A52AB8">
        <w:br/>
      </w:r>
      <w:r w:rsidRPr="00A52AB8">
        <w:tab/>
      </w:r>
      <w:r w:rsidRPr="00A52AB8">
        <w:tab/>
      </w:r>
      <w:r w:rsidRPr="00A52AB8">
        <w:tab/>
      </w:r>
      <w:r w:rsidRPr="00A52AB8">
        <w:tab/>
      </w:r>
      <w:r w:rsidRPr="00A52AB8">
        <w:tab/>
      </w:r>
      <w:r w:rsidRPr="00A52AB8">
        <w:tab/>
      </w:r>
      <w:bookmarkStart w:id="1506" w:name="_Ref991433"/>
      <w:r w:rsidR="001939FF" w:rsidRPr="00A52AB8">
        <w:t>TilePatchPlrdModeMinus1[ tileID ][ p ]</w:t>
      </w:r>
      <w:r w:rsidR="00144653" w:rsidRPr="00A52AB8">
        <w:t>[ m ]</w:t>
      </w:r>
      <w:r w:rsidR="004C4FB2" w:rsidRPr="00A52AB8">
        <w:t> </w:t>
      </w:r>
      <w:r w:rsidR="007471E1" w:rsidRPr="00A52AB8">
        <w:t>=</w:t>
      </w:r>
      <w:r w:rsidR="00C61E38" w:rsidRPr="00A52AB8">
        <w:br/>
      </w:r>
      <w:r w:rsidRPr="00A52AB8">
        <w:tab/>
      </w:r>
      <w:r w:rsidRPr="00A52AB8">
        <w:tab/>
      </w:r>
      <w:r w:rsidRPr="00A52AB8">
        <w:tab/>
      </w:r>
      <w:r w:rsidRPr="00A52AB8">
        <w:tab/>
      </w:r>
      <w:r w:rsidRPr="00A52AB8">
        <w:tab/>
      </w:r>
      <w:r w:rsidRPr="00A52AB8">
        <w:tab/>
      </w:r>
      <w:r w:rsidRPr="00A52AB8">
        <w:tab/>
      </w:r>
      <w:r w:rsidR="007471E1" w:rsidRPr="00A52AB8">
        <w:t>plrd_mode_minus1</w:t>
      </w:r>
      <w:r w:rsidR="00490929" w:rsidRPr="00A52AB8">
        <w:t>[ tileID ][ p ][ m ]</w:t>
      </w:r>
      <w:r w:rsidR="001939FF" w:rsidRPr="00A52AB8">
        <w:br/>
      </w:r>
      <w:r w:rsidR="001939FF" w:rsidRPr="00A52AB8">
        <w:tab/>
      </w:r>
      <w:r w:rsidR="001939FF" w:rsidRPr="00A52AB8">
        <w:tab/>
      </w:r>
      <w:r w:rsidR="006F3BB2" w:rsidRPr="00A52AB8">
        <w:tab/>
      </w:r>
      <w:r w:rsidRPr="00A52AB8">
        <w:tab/>
      </w:r>
      <w:r w:rsidR="001939FF" w:rsidRPr="00A52AB8">
        <w:t>}</w:t>
      </w:r>
      <w:r w:rsidR="006F3BB2" w:rsidRPr="00A52AB8">
        <w:br/>
      </w:r>
      <w:r w:rsidR="006F3BB2" w:rsidRPr="00A52AB8">
        <w:tab/>
      </w:r>
      <w:r w:rsidR="006F3BB2" w:rsidRPr="00A52AB8">
        <w:tab/>
      </w:r>
      <w:r w:rsidRPr="00A52AB8">
        <w:tab/>
      </w:r>
      <w:r w:rsidR="006F3BB2" w:rsidRPr="00A52AB8">
        <w:t>}</w:t>
      </w:r>
      <w:r w:rsidR="001939FF" w:rsidRPr="00A52AB8">
        <w:br/>
      </w:r>
      <w:r w:rsidRPr="00A52AB8">
        <w:tab/>
      </w:r>
      <w:r w:rsidR="001939FF" w:rsidRPr="00A52AB8">
        <w:tab/>
        <w:t>}</w:t>
      </w:r>
    </w:p>
    <w:p w14:paraId="2A3065A6" w14:textId="77777777" w:rsidR="0050235C" w:rsidRPr="00A52AB8" w:rsidRDefault="003D3901" w:rsidP="005C26E9">
      <w:pPr>
        <w:pStyle w:val="Heading4"/>
      </w:pPr>
      <w:bookmarkStart w:id="1507" w:name="_Ref21509819"/>
      <w:bookmarkStart w:id="1508" w:name="_Ref1191721"/>
      <w:r w:rsidRPr="00A52AB8">
        <w:t xml:space="preserve">Decoding process for </w:t>
      </w:r>
      <w:r w:rsidR="00E63010" w:rsidRPr="00A52AB8">
        <w:t>patch data unit</w:t>
      </w:r>
      <w:r w:rsidRPr="00A52AB8">
        <w:t>s coded in skip prediction mode</w:t>
      </w:r>
      <w:bookmarkEnd w:id="1507"/>
    </w:p>
    <w:p w14:paraId="07A9F4D5" w14:textId="2C63261D" w:rsidR="003D3901" w:rsidRPr="00A52AB8" w:rsidRDefault="003D3901" w:rsidP="00FB4953">
      <w:r w:rsidRPr="00A52AB8">
        <w:t>Input</w:t>
      </w:r>
      <w:r w:rsidR="000F0028" w:rsidRPr="00A52AB8">
        <w:t>s</w:t>
      </w:r>
      <w:r w:rsidRPr="00A52AB8">
        <w:t xml:space="preserve"> to this process </w:t>
      </w:r>
      <w:r w:rsidR="000F0028" w:rsidRPr="00A52AB8">
        <w:t xml:space="preserve">are </w:t>
      </w:r>
      <w:r w:rsidRPr="00A52AB8">
        <w:t>the current patch index, p</w:t>
      </w:r>
      <w:r w:rsidR="00877CD2" w:rsidRPr="00A52AB8">
        <w:t xml:space="preserve">, and current tile </w:t>
      </w:r>
      <w:r w:rsidR="00AE739A" w:rsidRPr="00A52AB8">
        <w:t>ID</w:t>
      </w:r>
      <w:r w:rsidR="000F0028" w:rsidRPr="00A52AB8">
        <w:t>,</w:t>
      </w:r>
      <w:r w:rsidR="00877CD2" w:rsidRPr="00A52AB8">
        <w:t xml:space="preserve"> </w:t>
      </w:r>
      <w:r w:rsidR="00632FA7" w:rsidRPr="00A52AB8">
        <w:t>tileID</w:t>
      </w:r>
      <w:r w:rsidRPr="00A52AB8">
        <w:t>.</w:t>
      </w:r>
    </w:p>
    <w:p w14:paraId="1E225643" w14:textId="25F02E60" w:rsidR="00FE06E8" w:rsidRPr="00A52AB8" w:rsidRDefault="00FE06E8" w:rsidP="00FB4953">
      <w:r w:rsidRPr="00A52AB8">
        <w:t>First, refIdx is set to 0</w:t>
      </w:r>
      <w:r w:rsidR="00196426" w:rsidRPr="00A52AB8">
        <w:t>.</w:t>
      </w:r>
    </w:p>
    <w:p w14:paraId="0A2FE754" w14:textId="001C2E7C" w:rsidR="000E313C" w:rsidRPr="00A52AB8" w:rsidRDefault="000E313C" w:rsidP="00FB4953">
      <w:pPr>
        <w:rPr>
          <w:color w:val="000000" w:themeColor="text1"/>
        </w:rPr>
      </w:pPr>
      <w:r w:rsidRPr="00A52AB8">
        <w:rPr>
          <w:color w:val="000000" w:themeColor="text1"/>
        </w:rPr>
        <w:t xml:space="preserve">Then the reference atlas frame, refAtlasFrm, is selected as the atlas frame corresponding to the ( refIdx + 1 )-th entry in the reference atlas frame list </w:t>
      </w:r>
      <w:r w:rsidRPr="00A52AB8">
        <w:t>RefAtlasFrmList, RefAtlasFrmList[ refIdx ].</w:t>
      </w:r>
    </w:p>
    <w:p w14:paraId="26541BBD" w14:textId="77777777" w:rsidR="003D3901" w:rsidRPr="00A52AB8" w:rsidRDefault="003D3901" w:rsidP="00FB4953">
      <w:r w:rsidRPr="00A52AB8">
        <w:t xml:space="preserve">If p is equal to 0, then </w:t>
      </w:r>
      <w:r w:rsidR="00612AFA" w:rsidRPr="00A52AB8">
        <w:t>P</w:t>
      </w:r>
      <w:r w:rsidRPr="00A52AB8">
        <w:t>redictorIdx is set to 0.</w:t>
      </w:r>
    </w:p>
    <w:p w14:paraId="1514361F" w14:textId="5829FF3A" w:rsidR="00600BF9" w:rsidRPr="00A52AB8" w:rsidRDefault="00600BF9" w:rsidP="00FB4953">
      <w:r w:rsidRPr="00A52AB8">
        <w:t xml:space="preserve">The variable RefPatchIdx, which corresponds to the </w:t>
      </w:r>
      <w:r w:rsidR="009069AB" w:rsidRPr="00A52AB8">
        <w:t xml:space="preserve">predictor </w:t>
      </w:r>
      <w:r w:rsidRPr="00A52AB8">
        <w:t xml:space="preserve">patch index in the tile with </w:t>
      </w:r>
      <w:r w:rsidR="000E313C" w:rsidRPr="00A52AB8">
        <w:t>ID</w:t>
      </w:r>
      <w:r w:rsidRPr="00A52AB8">
        <w:t xml:space="preserve"> </w:t>
      </w:r>
      <w:r w:rsidR="000E313C" w:rsidRPr="00A52AB8">
        <w:t>equal to</w:t>
      </w:r>
      <w:r w:rsidRPr="00A52AB8">
        <w:t xml:space="preserve"> tileID</w:t>
      </w:r>
      <w:r w:rsidR="000E313C" w:rsidRPr="00A52AB8">
        <w:t>,</w:t>
      </w:r>
      <w:r w:rsidRPr="00A52AB8">
        <w:t xml:space="preserve"> </w:t>
      </w:r>
      <w:r w:rsidR="000E313C" w:rsidRPr="00A52AB8">
        <w:rPr>
          <w:color w:val="000000" w:themeColor="text1"/>
          <w:lang w:eastAsia="ja-JP"/>
        </w:rPr>
        <w:t>in the reference atlas frame, refAtlasFrm,</w:t>
      </w:r>
      <w:r w:rsidRPr="00A52AB8">
        <w:t xml:space="preserve"> is computed as:</w:t>
      </w:r>
    </w:p>
    <w:p w14:paraId="65C9C664" w14:textId="65E8BFD2" w:rsidR="003D3901" w:rsidRPr="00A52AB8" w:rsidRDefault="003D3901">
      <w:pPr>
        <w:rPr>
          <w:lang w:eastAsia="ja-JP"/>
        </w:rPr>
      </w:pPr>
      <w:r w:rsidRPr="00A52AB8">
        <w:rPr>
          <w:lang w:eastAsia="ja-JP"/>
        </w:rPr>
        <w:tab/>
      </w:r>
      <w:r w:rsidR="000B2EDB" w:rsidRPr="00A52AB8">
        <w:rPr>
          <w:lang w:eastAsia="ja-JP"/>
        </w:rPr>
        <w:t>RefPatchIdx</w:t>
      </w:r>
      <w:r w:rsidR="00D47707" w:rsidRPr="00A52AB8">
        <w:rPr>
          <w:lang w:eastAsia="ja-JP"/>
        </w:rPr>
        <w:t> = </w:t>
      </w:r>
      <w:r w:rsidR="00A91A13" w:rsidRPr="00A52AB8">
        <w:rPr>
          <w:lang w:eastAsia="ja-JP"/>
        </w:rPr>
        <w:t>PredictorIdx</w:t>
      </w:r>
      <w:r w:rsidRPr="00A52AB8">
        <w:rPr>
          <w:lang w:eastAsia="ja-JP"/>
        </w:rPr>
        <w:tab/>
      </w:r>
      <w:r w:rsidR="00130122" w:rsidRPr="00A52AB8">
        <w:rPr>
          <w:lang w:eastAsia="ja-JP"/>
        </w:rPr>
        <w:tab/>
      </w:r>
      <w:r w:rsidR="00130122" w:rsidRPr="00A52AB8">
        <w:rPr>
          <w:lang w:eastAsia="ja-JP"/>
        </w:rPr>
        <w:tab/>
      </w:r>
      <w:r w:rsidR="00130122" w:rsidRPr="00A52AB8">
        <w:rPr>
          <w:lang w:eastAsia="ja-JP"/>
        </w:rPr>
        <w:tab/>
      </w:r>
      <w:r w:rsidR="00130122" w:rsidRPr="00A52AB8">
        <w:rPr>
          <w:lang w:eastAsia="ja-JP"/>
        </w:rPr>
        <w:tab/>
      </w:r>
      <w:r w:rsidRPr="00A52AB8">
        <w:rPr>
          <w:lang w:eastAsia="ja-JP"/>
        </w:rPr>
        <w:t>(</w:t>
      </w:r>
      <w:r w:rsidRPr="00496A4D">
        <w:rPr>
          <w:lang w:eastAsia="ja-JP"/>
        </w:rPr>
        <w:fldChar w:fldCharType="begin"/>
      </w:r>
      <w:r w:rsidRPr="00A52AB8">
        <w:rPr>
          <w:lang w:eastAsia="ja-JP"/>
        </w:rPr>
        <w:instrText xml:space="preserve"> </w:instrText>
      </w:r>
      <w:r w:rsidR="00646520" w:rsidRPr="00A52AB8">
        <w:rPr>
          <w:lang w:eastAsia="ja-JP"/>
        </w:rPr>
        <w:instrText>SEQ Equation \* ARABIC \n</w:instrText>
      </w:r>
      <w:r w:rsidRPr="00A52AB8">
        <w:rPr>
          <w:lang w:eastAsia="ja-JP"/>
        </w:rPr>
        <w:instrText xml:space="preserve"> </w:instrText>
      </w:r>
      <w:r w:rsidRPr="00496A4D">
        <w:rPr>
          <w:lang w:eastAsia="ja-JP"/>
        </w:rPr>
        <w:fldChar w:fldCharType="separate"/>
      </w:r>
      <w:r w:rsidR="00507A67">
        <w:rPr>
          <w:noProof/>
          <w:lang w:eastAsia="ja-JP"/>
        </w:rPr>
        <w:t>60</w:t>
      </w:r>
      <w:r w:rsidRPr="00496A4D">
        <w:rPr>
          <w:lang w:eastAsia="ja-JP"/>
        </w:rPr>
        <w:fldChar w:fldCharType="end"/>
      </w:r>
      <w:r w:rsidRPr="00A52AB8">
        <w:rPr>
          <w:lang w:eastAsia="ja-JP"/>
        </w:rPr>
        <w:t>)</w:t>
      </w:r>
    </w:p>
    <w:p w14:paraId="08CCE510" w14:textId="5E313BD8" w:rsidR="003D3901" w:rsidRPr="00A52AB8" w:rsidRDefault="000E313C">
      <w:pPr>
        <w:pStyle w:val="Equation"/>
        <w:spacing w:before="120" w:after="120"/>
        <w:rPr>
          <w:color w:val="000000" w:themeColor="text1"/>
        </w:rPr>
      </w:pPr>
      <w:r w:rsidRPr="00A52AB8">
        <w:rPr>
          <w:color w:val="000000" w:themeColor="text1"/>
        </w:rPr>
        <w:t>and</w:t>
      </w:r>
      <w:r w:rsidR="009069AB" w:rsidRPr="00A52AB8">
        <w:rPr>
          <w:color w:val="000000" w:themeColor="text1"/>
        </w:rPr>
        <w:t xml:space="preserve"> </w:t>
      </w:r>
      <w:r w:rsidR="00EF3947" w:rsidRPr="00A52AB8">
        <w:rPr>
          <w:color w:val="000000" w:themeColor="text1"/>
        </w:rPr>
        <w:t xml:space="preserve">PredictorIdx </w:t>
      </w:r>
      <w:r w:rsidR="003D3901" w:rsidRPr="00A52AB8">
        <w:rPr>
          <w:color w:val="000000" w:themeColor="text1"/>
        </w:rPr>
        <w:t xml:space="preserve">is set to </w:t>
      </w:r>
      <w:r w:rsidR="00357015" w:rsidRPr="00A52AB8">
        <w:rPr>
          <w:color w:val="000000" w:themeColor="text1"/>
        </w:rPr>
        <w:t>RefPatchIdx</w:t>
      </w:r>
      <w:r w:rsidR="00D02934" w:rsidRPr="00A52AB8">
        <w:rPr>
          <w:color w:val="000000" w:themeColor="text1"/>
        </w:rPr>
        <w:t> </w:t>
      </w:r>
      <w:r w:rsidR="003D3901" w:rsidRPr="00A52AB8">
        <w:rPr>
          <w:color w:val="000000" w:themeColor="text1"/>
        </w:rPr>
        <w:t>+</w:t>
      </w:r>
      <w:r w:rsidR="00D02934" w:rsidRPr="00A52AB8">
        <w:rPr>
          <w:color w:val="000000" w:themeColor="text1"/>
        </w:rPr>
        <w:t> </w:t>
      </w:r>
      <w:r w:rsidR="003D3901" w:rsidRPr="00A52AB8">
        <w:rPr>
          <w:color w:val="000000" w:themeColor="text1"/>
        </w:rPr>
        <w:t>1.</w:t>
      </w:r>
    </w:p>
    <w:p w14:paraId="088B6C0F" w14:textId="697CF49F" w:rsidR="00706CAE" w:rsidRPr="00A52AB8" w:rsidRDefault="00DB1F97" w:rsidP="00706CAE">
      <w:pPr>
        <w:pStyle w:val="Equation"/>
        <w:spacing w:before="120" w:after="120"/>
        <w:jc w:val="both"/>
        <w:rPr>
          <w:color w:val="000000" w:themeColor="text1"/>
        </w:rPr>
      </w:pPr>
      <w:r w:rsidRPr="00A52AB8">
        <w:rPr>
          <w:color w:val="000000" w:themeColor="text1"/>
        </w:rPr>
        <w:t xml:space="preserve">The process described in </w:t>
      </w:r>
      <w:r w:rsidR="00380A0F" w:rsidRPr="00A52AB8">
        <w:rPr>
          <w:color w:val="000000" w:themeColor="text1"/>
        </w:rPr>
        <w:t xml:space="preserve">subclause </w:t>
      </w:r>
      <w:r w:rsidRPr="00496A4D">
        <w:rPr>
          <w:color w:val="000000" w:themeColor="text1"/>
        </w:rPr>
        <w:fldChar w:fldCharType="begin"/>
      </w:r>
      <w:r w:rsidRPr="00A52AB8">
        <w:rPr>
          <w:color w:val="000000" w:themeColor="text1"/>
        </w:rPr>
        <w:instrText xml:space="preserve"> REF _Ref46248317 \r \h </w:instrText>
      </w:r>
      <w:r w:rsidR="00CA5401"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9.2.5.5.2</w:t>
      </w:r>
      <w:r w:rsidRPr="00496A4D">
        <w:rPr>
          <w:color w:val="000000" w:themeColor="text1"/>
        </w:rPr>
        <w:fldChar w:fldCharType="end"/>
      </w:r>
      <w:r w:rsidRPr="00A52AB8">
        <w:rPr>
          <w:color w:val="000000" w:themeColor="text1"/>
        </w:rPr>
        <w:t xml:space="preserve"> is invoked</w:t>
      </w:r>
      <w:r w:rsidR="00706CAE" w:rsidRPr="00A52AB8">
        <w:rPr>
          <w:color w:val="000000" w:themeColor="text1"/>
        </w:rPr>
        <w:t xml:space="preserve"> with the variables refIdx, RefPatchIdx, and tileID as inputs, and the </w:t>
      </w:r>
      <w:r w:rsidR="009069AB" w:rsidRPr="00A52AB8">
        <w:rPr>
          <w:color w:val="000000" w:themeColor="text1"/>
        </w:rPr>
        <w:t>outputs</w:t>
      </w:r>
      <w:r w:rsidR="00706CAE" w:rsidRPr="00A52AB8">
        <w:rPr>
          <w:color w:val="000000" w:themeColor="text1"/>
        </w:rPr>
        <w:t xml:space="preserve"> are the variables refPatchType, ref</w:t>
      </w:r>
      <w:r w:rsidR="00706CAE" w:rsidRPr="00A52AB8">
        <w:rPr>
          <w:lang w:eastAsia="ja-JP"/>
        </w:rPr>
        <w:t xml:space="preserve">Patch2dPosX, refPatch2dPosY, refPatch2dSizeX, refPatch2dSizeY, refPatch3dOffsetU, refPatch3dOffsetV, refPatch3dOffsetD, refPatch3dRangeD, refPatchProjectionID, refPatchOrientationIndex, refPatchLoDScaleX, refPachLoDScaleY, refPatchRawPoints, </w:t>
      </w:r>
      <w:r w:rsidR="00CB2378" w:rsidRPr="00A52AB8">
        <w:rPr>
          <w:lang w:eastAsia="ja-JP"/>
        </w:rPr>
        <w:t xml:space="preserve">and </w:t>
      </w:r>
      <w:r w:rsidR="00706CAE" w:rsidRPr="00A52AB8">
        <w:rPr>
          <w:color w:val="000000" w:themeColor="text1"/>
        </w:rPr>
        <w:t xml:space="preserve">refPatchEomPatchCount, </w:t>
      </w:r>
      <w:r w:rsidR="00CB2378" w:rsidRPr="00A52AB8">
        <w:rPr>
          <w:color w:val="000000" w:themeColor="text1"/>
        </w:rPr>
        <w:t xml:space="preserve">the </w:t>
      </w:r>
      <w:r w:rsidR="00706CAE" w:rsidRPr="00A52AB8">
        <w:rPr>
          <w:color w:val="000000" w:themeColor="text1"/>
        </w:rPr>
        <w:t>1D array</w:t>
      </w:r>
      <w:r w:rsidR="00CB2378" w:rsidRPr="00A52AB8">
        <w:rPr>
          <w:color w:val="000000" w:themeColor="text1"/>
        </w:rPr>
        <w:t>s</w:t>
      </w:r>
      <w:r w:rsidR="00706CAE" w:rsidRPr="00A52AB8">
        <w:rPr>
          <w:color w:val="000000" w:themeColor="text1"/>
        </w:rPr>
        <w:t xml:space="preserve"> </w:t>
      </w:r>
      <w:r w:rsidR="00706CAE" w:rsidRPr="00A52AB8">
        <w:t>refP</w:t>
      </w:r>
      <w:r w:rsidR="00706CAE" w:rsidRPr="00A52AB8">
        <w:rPr>
          <w:color w:val="000000" w:themeColor="text1"/>
        </w:rPr>
        <w:t xml:space="preserve">atchAssociatedPatchIndex and </w:t>
      </w:r>
      <w:r w:rsidR="00706CAE" w:rsidRPr="00A52AB8">
        <w:rPr>
          <w:lang w:eastAsia="ja-JP"/>
        </w:rPr>
        <w:t>ref</w:t>
      </w:r>
      <w:r w:rsidR="00706CAE" w:rsidRPr="00A52AB8">
        <w:rPr>
          <w:color w:val="000000" w:themeColor="text1"/>
        </w:rPr>
        <w:t xml:space="preserve">PatchEomPoints, </w:t>
      </w:r>
      <w:r w:rsidR="00706CAE" w:rsidRPr="00A52AB8">
        <w:rPr>
          <w:lang w:eastAsia="ja-JP"/>
        </w:rPr>
        <w:t>and</w:t>
      </w:r>
      <w:r w:rsidR="00CB2378" w:rsidRPr="00A52AB8">
        <w:rPr>
          <w:lang w:eastAsia="ja-JP"/>
        </w:rPr>
        <w:t>,</w:t>
      </w:r>
      <w:r w:rsidR="00706CAE" w:rsidRPr="00A52AB8">
        <w:rPr>
          <w:lang w:eastAsia="ja-JP"/>
        </w:rPr>
        <w:t xml:space="preserve"> if asps_plr_enabled_flag is equal to 1, the 1D arrays </w:t>
      </w:r>
      <w:r w:rsidR="00706CAE" w:rsidRPr="00A52AB8">
        <w:rPr>
          <w:color w:val="000000" w:themeColor="text1"/>
        </w:rPr>
        <w:t>refPatchPlrdLevel, refPatchPlrdPresentFlag, and refPlrdModeMinus1, and the 2D arrays refPatchPlrdPresentBlockFlag and refPatchPlrdBlockModeMinus1</w:t>
      </w:r>
      <w:r w:rsidR="00706CAE" w:rsidRPr="00A52AB8">
        <w:rPr>
          <w:lang w:eastAsia="ja-JP"/>
        </w:rPr>
        <w:t>.</w:t>
      </w:r>
    </w:p>
    <w:p w14:paraId="56BD3174" w14:textId="77777777" w:rsidR="005F6EAF" w:rsidRPr="00A52AB8" w:rsidRDefault="008160AD" w:rsidP="00F54FE3">
      <w:pPr>
        <w:pStyle w:val="Equation"/>
        <w:spacing w:before="120" w:after="120"/>
        <w:jc w:val="both"/>
        <w:rPr>
          <w:rFonts w:eastAsiaTheme="minorEastAsia"/>
          <w:lang w:eastAsia="ja-JP"/>
        </w:rPr>
      </w:pPr>
      <w:r w:rsidRPr="00A52AB8">
        <w:rPr>
          <w:rFonts w:eastAsiaTheme="minorEastAsia"/>
          <w:lang w:eastAsia="ja-JP"/>
        </w:rPr>
        <w:t>Initially, the following parameters are derived:</w:t>
      </w:r>
    </w:p>
    <w:p w14:paraId="331F15CB" w14:textId="209548F5" w:rsidR="008160AD" w:rsidRPr="00A52AB8" w:rsidRDefault="008160AD" w:rsidP="00535646">
      <w:pPr>
        <w:rPr>
          <w:lang w:eastAsia="ja-JP"/>
        </w:rPr>
      </w:pPr>
      <w:r w:rsidRPr="00A52AB8">
        <w:rPr>
          <w:lang w:eastAsia="ja-JP"/>
        </w:rPr>
        <w:tab/>
      </w:r>
      <w:r w:rsidR="00B47991" w:rsidRPr="00A52AB8">
        <w:rPr>
          <w:lang w:eastAsia="ja-JP"/>
        </w:rPr>
        <w:t>Tile</w:t>
      </w:r>
      <w:r w:rsidR="00C3373C" w:rsidRPr="00A52AB8">
        <w:rPr>
          <w:lang w:eastAsia="ja-JP"/>
        </w:rPr>
        <w:t>PatchType</w:t>
      </w:r>
      <w:r w:rsidRPr="00A52AB8">
        <w:rPr>
          <w:lang w:eastAsia="ja-JP"/>
        </w:rPr>
        <w:t>[ </w:t>
      </w:r>
      <w:r w:rsidR="00632FA7" w:rsidRPr="00A52AB8">
        <w:rPr>
          <w:lang w:eastAsia="ja-JP"/>
        </w:rPr>
        <w:t>tileID</w:t>
      </w:r>
      <w:r w:rsidRPr="00A52AB8">
        <w:rPr>
          <w:lang w:eastAsia="ja-JP"/>
        </w:rPr>
        <w:t> ][ p ]</w:t>
      </w:r>
      <w:r w:rsidR="00D47707" w:rsidRPr="00A52AB8">
        <w:rPr>
          <w:lang w:eastAsia="ja-JP"/>
        </w:rPr>
        <w:t> = </w:t>
      </w:r>
      <w:r w:rsidR="00440C68" w:rsidRPr="00A52AB8">
        <w:rPr>
          <w:lang w:eastAsia="ja-JP"/>
        </w:rPr>
        <w:t>refPatchType</w:t>
      </w:r>
      <w:r w:rsidR="00130122" w:rsidRPr="00A52AB8">
        <w:rPr>
          <w:lang w:eastAsia="ja-JP"/>
        </w:rPr>
        <w:tab/>
      </w:r>
      <w:r w:rsidR="00691AAF" w:rsidRPr="00A52AB8">
        <w:rPr>
          <w:lang w:eastAsia="ja-JP"/>
        </w:rPr>
        <w:tab/>
        <w:t>(</w:t>
      </w:r>
      <w:r w:rsidR="00691AAF" w:rsidRPr="00496A4D">
        <w:rPr>
          <w:lang w:eastAsia="ja-JP"/>
        </w:rPr>
        <w:fldChar w:fldCharType="begin"/>
      </w:r>
      <w:r w:rsidR="00691AAF" w:rsidRPr="00A52AB8">
        <w:rPr>
          <w:lang w:eastAsia="ja-JP"/>
        </w:rPr>
        <w:instrText xml:space="preserve"> SEQ Equation \* ARABIC \n </w:instrText>
      </w:r>
      <w:r w:rsidR="00691AAF" w:rsidRPr="00496A4D">
        <w:rPr>
          <w:lang w:eastAsia="ja-JP"/>
        </w:rPr>
        <w:fldChar w:fldCharType="separate"/>
      </w:r>
      <w:r w:rsidR="00507A67">
        <w:rPr>
          <w:noProof/>
          <w:lang w:eastAsia="ja-JP"/>
        </w:rPr>
        <w:t>61</w:t>
      </w:r>
      <w:r w:rsidR="00691AAF" w:rsidRPr="00496A4D">
        <w:rPr>
          <w:lang w:eastAsia="ja-JP"/>
        </w:rPr>
        <w:fldChar w:fldCharType="end"/>
      </w:r>
      <w:r w:rsidR="00691AAF" w:rsidRPr="00A52AB8">
        <w:rPr>
          <w:lang w:eastAsia="ja-JP"/>
        </w:rPr>
        <w:t>)</w:t>
      </w:r>
    </w:p>
    <w:p w14:paraId="4A93E0BE" w14:textId="3CEB68BE" w:rsidR="00FD7013" w:rsidRPr="00A52AB8" w:rsidRDefault="00FD7013" w:rsidP="00535646">
      <w:pPr>
        <w:rPr>
          <w:lang w:eastAsia="ja-JP"/>
        </w:rPr>
      </w:pPr>
      <w:r w:rsidRPr="00A52AB8">
        <w:rPr>
          <w:color w:val="000000" w:themeColor="text1"/>
        </w:rPr>
        <w:tab/>
        <w:t>Tile</w:t>
      </w:r>
      <w:r w:rsidRPr="00A52AB8">
        <w:t>PatchInAuxVideo</w:t>
      </w:r>
      <w:r w:rsidRPr="00A52AB8">
        <w:rPr>
          <w:color w:val="000000" w:themeColor="text1"/>
        </w:rPr>
        <w:t>[ tileID ][ p ]</w:t>
      </w:r>
      <w:r w:rsidR="00D47707" w:rsidRPr="00A52AB8">
        <w:rPr>
          <w:color w:val="000000" w:themeColor="text1"/>
        </w:rPr>
        <w:t> = </w:t>
      </w:r>
      <w:r w:rsidRPr="00A52AB8">
        <w:rPr>
          <w:color w:val="000000" w:themeColor="text1"/>
        </w:rPr>
        <w:t>refPatchInAuxVideo</w:t>
      </w:r>
      <w:r w:rsidR="007A1546" w:rsidRPr="00A52AB8">
        <w:rPr>
          <w:color w:val="000000" w:themeColor="text1"/>
        </w:rPr>
        <w:tab/>
      </w:r>
      <w:r w:rsidR="007A1546" w:rsidRPr="00A52AB8">
        <w:rPr>
          <w:lang w:eastAsia="ja-JP"/>
        </w:rPr>
        <w:t>(</w:t>
      </w:r>
      <w:r w:rsidR="007A1546" w:rsidRPr="00496A4D">
        <w:rPr>
          <w:lang w:eastAsia="ja-JP"/>
        </w:rPr>
        <w:fldChar w:fldCharType="begin"/>
      </w:r>
      <w:r w:rsidR="007A1546" w:rsidRPr="00A52AB8">
        <w:rPr>
          <w:lang w:eastAsia="ja-JP"/>
        </w:rPr>
        <w:instrText xml:space="preserve"> SEQ Equation \* ARABIC \n </w:instrText>
      </w:r>
      <w:r w:rsidR="007A1546" w:rsidRPr="00496A4D">
        <w:rPr>
          <w:lang w:eastAsia="ja-JP"/>
        </w:rPr>
        <w:fldChar w:fldCharType="separate"/>
      </w:r>
      <w:r w:rsidR="00507A67">
        <w:rPr>
          <w:noProof/>
          <w:lang w:eastAsia="ja-JP"/>
        </w:rPr>
        <w:t>62</w:t>
      </w:r>
      <w:r w:rsidR="007A1546" w:rsidRPr="00496A4D">
        <w:rPr>
          <w:lang w:eastAsia="ja-JP"/>
        </w:rPr>
        <w:fldChar w:fldCharType="end"/>
      </w:r>
      <w:r w:rsidR="007A1546" w:rsidRPr="00A52AB8">
        <w:rPr>
          <w:lang w:eastAsia="ja-JP"/>
        </w:rPr>
        <w:t>)</w:t>
      </w:r>
    </w:p>
    <w:p w14:paraId="2621A441" w14:textId="05748F1E" w:rsidR="008160AD" w:rsidRPr="00A52AB8" w:rsidRDefault="008160AD" w:rsidP="008160AD">
      <w:pPr>
        <w:rPr>
          <w:lang w:eastAsia="ja-JP"/>
        </w:rPr>
      </w:pPr>
      <w:r w:rsidRPr="00A52AB8">
        <w:rPr>
          <w:lang w:eastAsia="ja-JP"/>
        </w:rPr>
        <w:tab/>
      </w:r>
      <w:r w:rsidR="009B6258" w:rsidRPr="00A52AB8">
        <w:rPr>
          <w:color w:val="000000" w:themeColor="text1"/>
        </w:rPr>
        <w:t>Tile</w:t>
      </w:r>
      <w:r w:rsidRPr="00A52AB8">
        <w:rPr>
          <w:lang w:eastAsia="ja-JP"/>
        </w:rPr>
        <w:t>Patch2dPosX</w:t>
      </w:r>
      <w:r w:rsidRPr="00A52AB8">
        <w:t>[ </w:t>
      </w:r>
      <w:r w:rsidR="00632FA7" w:rsidRPr="00A52AB8">
        <w:t>tileID</w:t>
      </w:r>
      <w:r w:rsidRPr="00A52AB8">
        <w:t> ]</w:t>
      </w:r>
      <w:r w:rsidRPr="00A52AB8">
        <w:rPr>
          <w:lang w:eastAsia="ja-JP"/>
        </w:rPr>
        <w:t>[ p ]</w:t>
      </w:r>
      <w:r w:rsidR="00D47707" w:rsidRPr="00A52AB8">
        <w:rPr>
          <w:lang w:eastAsia="ja-JP"/>
        </w:rPr>
        <w:t> = </w:t>
      </w:r>
      <w:r w:rsidRPr="00A52AB8">
        <w:rPr>
          <w:lang w:eastAsia="ja-JP"/>
        </w:rPr>
        <w:t>refPatch2dPosX</w:t>
      </w:r>
      <w:r w:rsidRPr="00A52AB8">
        <w:rPr>
          <w:lang w:eastAsia="ja-JP"/>
        </w:rPr>
        <w:tab/>
        <w:t>(</w:t>
      </w:r>
      <w:r w:rsidRPr="00496A4D">
        <w:rPr>
          <w:lang w:eastAsia="ja-JP"/>
        </w:rPr>
        <w:fldChar w:fldCharType="begin"/>
      </w:r>
      <w:r w:rsidRPr="00A52AB8">
        <w:rPr>
          <w:lang w:eastAsia="ja-JP"/>
        </w:rPr>
        <w:instrText xml:space="preserve"> SEQ Equation \* ARABIC \n </w:instrText>
      </w:r>
      <w:r w:rsidRPr="00496A4D">
        <w:rPr>
          <w:lang w:eastAsia="ja-JP"/>
        </w:rPr>
        <w:fldChar w:fldCharType="separate"/>
      </w:r>
      <w:r w:rsidR="00507A67">
        <w:rPr>
          <w:noProof/>
          <w:lang w:eastAsia="ja-JP"/>
        </w:rPr>
        <w:t>63</w:t>
      </w:r>
      <w:r w:rsidRPr="00496A4D">
        <w:rPr>
          <w:lang w:eastAsia="ja-JP"/>
        </w:rPr>
        <w:fldChar w:fldCharType="end"/>
      </w:r>
      <w:r w:rsidRPr="00A52AB8">
        <w:rPr>
          <w:lang w:eastAsia="ja-JP"/>
        </w:rPr>
        <w:t>)</w:t>
      </w:r>
    </w:p>
    <w:p w14:paraId="73A7132C" w14:textId="3870B0D6" w:rsidR="008160AD" w:rsidRPr="00A52AB8" w:rsidRDefault="008160AD" w:rsidP="008160AD">
      <w:pPr>
        <w:rPr>
          <w:lang w:eastAsia="ja-JP"/>
        </w:rPr>
      </w:pPr>
      <w:r w:rsidRPr="00A52AB8">
        <w:rPr>
          <w:lang w:eastAsia="ja-JP"/>
        </w:rPr>
        <w:tab/>
      </w:r>
      <w:r w:rsidR="009B6258" w:rsidRPr="00A52AB8">
        <w:rPr>
          <w:color w:val="000000" w:themeColor="text1"/>
        </w:rPr>
        <w:t>Tile</w:t>
      </w:r>
      <w:r w:rsidRPr="00A52AB8">
        <w:rPr>
          <w:lang w:eastAsia="ja-JP"/>
        </w:rPr>
        <w:t>Patch2dPosY</w:t>
      </w:r>
      <w:r w:rsidRPr="00A52AB8">
        <w:t>[ </w:t>
      </w:r>
      <w:r w:rsidR="00632FA7" w:rsidRPr="00A52AB8">
        <w:t>tileID</w:t>
      </w:r>
      <w:r w:rsidRPr="00A52AB8">
        <w:t> ]</w:t>
      </w:r>
      <w:r w:rsidRPr="00A52AB8">
        <w:rPr>
          <w:lang w:eastAsia="ja-JP"/>
        </w:rPr>
        <w:t>[ p ]</w:t>
      </w:r>
      <w:r w:rsidR="00D47707" w:rsidRPr="00A52AB8">
        <w:rPr>
          <w:lang w:eastAsia="ja-JP"/>
        </w:rPr>
        <w:t> = </w:t>
      </w:r>
      <w:r w:rsidRPr="00A52AB8">
        <w:rPr>
          <w:lang w:eastAsia="ja-JP"/>
        </w:rPr>
        <w:t>refPatch2dPosY</w:t>
      </w:r>
      <w:r w:rsidRPr="00A52AB8">
        <w:rPr>
          <w:lang w:eastAsia="ja-JP"/>
        </w:rPr>
        <w:tab/>
        <w:t>(</w:t>
      </w:r>
      <w:r w:rsidRPr="00496A4D">
        <w:rPr>
          <w:lang w:eastAsia="ja-JP"/>
        </w:rPr>
        <w:fldChar w:fldCharType="begin"/>
      </w:r>
      <w:r w:rsidRPr="00A52AB8">
        <w:rPr>
          <w:lang w:eastAsia="ja-JP"/>
        </w:rPr>
        <w:instrText xml:space="preserve"> SEQ Equation \* ARABIC \n </w:instrText>
      </w:r>
      <w:r w:rsidRPr="00496A4D">
        <w:rPr>
          <w:lang w:eastAsia="ja-JP"/>
        </w:rPr>
        <w:fldChar w:fldCharType="separate"/>
      </w:r>
      <w:r w:rsidR="00507A67">
        <w:rPr>
          <w:noProof/>
          <w:lang w:eastAsia="ja-JP"/>
        </w:rPr>
        <w:t>64</w:t>
      </w:r>
      <w:r w:rsidRPr="00496A4D">
        <w:rPr>
          <w:lang w:eastAsia="ja-JP"/>
        </w:rPr>
        <w:fldChar w:fldCharType="end"/>
      </w:r>
      <w:r w:rsidRPr="00A52AB8">
        <w:rPr>
          <w:lang w:eastAsia="ja-JP"/>
        </w:rPr>
        <w:t>)</w:t>
      </w:r>
    </w:p>
    <w:p w14:paraId="6B977CB6" w14:textId="0CD0AE5D" w:rsidR="008160AD" w:rsidRPr="00A52AB8" w:rsidRDefault="008160AD" w:rsidP="008160AD">
      <w:pPr>
        <w:rPr>
          <w:lang w:eastAsia="ja-JP"/>
        </w:rPr>
      </w:pPr>
      <w:r w:rsidRPr="00A52AB8">
        <w:rPr>
          <w:lang w:eastAsia="ja-JP"/>
        </w:rPr>
        <w:tab/>
      </w:r>
      <w:r w:rsidR="009B6258" w:rsidRPr="00A52AB8">
        <w:rPr>
          <w:color w:val="000000" w:themeColor="text1"/>
        </w:rPr>
        <w:t>Tile</w:t>
      </w:r>
      <w:r w:rsidRPr="00A52AB8">
        <w:rPr>
          <w:lang w:eastAsia="ja-JP"/>
        </w:rPr>
        <w:t>Patch2dSizeX</w:t>
      </w:r>
      <w:r w:rsidRPr="00A52AB8">
        <w:t>[ </w:t>
      </w:r>
      <w:r w:rsidR="00632FA7" w:rsidRPr="00A52AB8">
        <w:t>tileID</w:t>
      </w:r>
      <w:r w:rsidRPr="00A52AB8">
        <w:t> ]</w:t>
      </w:r>
      <w:r w:rsidRPr="00A52AB8">
        <w:rPr>
          <w:lang w:eastAsia="ja-JP"/>
        </w:rPr>
        <w:t>[ p ]</w:t>
      </w:r>
      <w:r w:rsidR="00D47707" w:rsidRPr="00A52AB8">
        <w:rPr>
          <w:lang w:eastAsia="ja-JP"/>
        </w:rPr>
        <w:t> = </w:t>
      </w:r>
      <w:r w:rsidRPr="00A52AB8">
        <w:rPr>
          <w:lang w:eastAsia="ja-JP"/>
        </w:rPr>
        <w:t>refPatch2dSizeX</w:t>
      </w:r>
      <w:r w:rsidRPr="00A52AB8">
        <w:rPr>
          <w:lang w:eastAsia="ja-JP"/>
        </w:rPr>
        <w:tab/>
        <w:t>(</w:t>
      </w:r>
      <w:r w:rsidRPr="00496A4D">
        <w:rPr>
          <w:lang w:eastAsia="ja-JP"/>
        </w:rPr>
        <w:fldChar w:fldCharType="begin"/>
      </w:r>
      <w:r w:rsidRPr="00A52AB8">
        <w:rPr>
          <w:lang w:eastAsia="ja-JP"/>
        </w:rPr>
        <w:instrText xml:space="preserve"> SEQ Equation \* ARABIC \n </w:instrText>
      </w:r>
      <w:r w:rsidRPr="00496A4D">
        <w:rPr>
          <w:lang w:eastAsia="ja-JP"/>
        </w:rPr>
        <w:fldChar w:fldCharType="separate"/>
      </w:r>
      <w:r w:rsidR="00507A67">
        <w:rPr>
          <w:noProof/>
          <w:lang w:eastAsia="ja-JP"/>
        </w:rPr>
        <w:t>65</w:t>
      </w:r>
      <w:r w:rsidRPr="00496A4D">
        <w:rPr>
          <w:lang w:eastAsia="ja-JP"/>
        </w:rPr>
        <w:fldChar w:fldCharType="end"/>
      </w:r>
      <w:r w:rsidRPr="00A52AB8">
        <w:rPr>
          <w:lang w:eastAsia="ja-JP"/>
        </w:rPr>
        <w:t>)</w:t>
      </w:r>
    </w:p>
    <w:p w14:paraId="2D984A87" w14:textId="3B63FCD7" w:rsidR="008160AD" w:rsidRPr="00A52AB8" w:rsidRDefault="008160AD" w:rsidP="008160AD">
      <w:pPr>
        <w:rPr>
          <w:lang w:eastAsia="ja-JP"/>
        </w:rPr>
      </w:pPr>
      <w:r w:rsidRPr="00A52AB8">
        <w:rPr>
          <w:lang w:eastAsia="ja-JP"/>
        </w:rPr>
        <w:tab/>
      </w:r>
      <w:r w:rsidR="009B6258" w:rsidRPr="00A52AB8">
        <w:rPr>
          <w:color w:val="000000" w:themeColor="text1"/>
        </w:rPr>
        <w:t>Tile</w:t>
      </w:r>
      <w:r w:rsidRPr="00A52AB8">
        <w:rPr>
          <w:lang w:eastAsia="ja-JP"/>
        </w:rPr>
        <w:t>Patch2dSizeY</w:t>
      </w:r>
      <w:r w:rsidRPr="00A52AB8">
        <w:t>[ </w:t>
      </w:r>
      <w:r w:rsidR="00632FA7" w:rsidRPr="00A52AB8">
        <w:t>tileID</w:t>
      </w:r>
      <w:r w:rsidRPr="00A52AB8">
        <w:t> ]</w:t>
      </w:r>
      <w:r w:rsidRPr="00A52AB8">
        <w:rPr>
          <w:lang w:eastAsia="ja-JP"/>
        </w:rPr>
        <w:t>[ p ]</w:t>
      </w:r>
      <w:r w:rsidR="00D47707" w:rsidRPr="00A52AB8">
        <w:rPr>
          <w:lang w:eastAsia="ja-JP"/>
        </w:rPr>
        <w:t> = </w:t>
      </w:r>
      <w:r w:rsidRPr="00A52AB8">
        <w:rPr>
          <w:lang w:eastAsia="ja-JP"/>
        </w:rPr>
        <w:t>refPatch2dSizeY</w:t>
      </w:r>
      <w:r w:rsidRPr="00A52AB8">
        <w:rPr>
          <w:lang w:eastAsia="ja-JP"/>
        </w:rPr>
        <w:tab/>
        <w:t>(</w:t>
      </w:r>
      <w:r w:rsidRPr="00496A4D">
        <w:rPr>
          <w:lang w:eastAsia="ja-JP"/>
        </w:rPr>
        <w:fldChar w:fldCharType="begin"/>
      </w:r>
      <w:r w:rsidRPr="00A52AB8">
        <w:rPr>
          <w:lang w:eastAsia="ja-JP"/>
        </w:rPr>
        <w:instrText xml:space="preserve"> SEQ Equation \* ARABIC \n </w:instrText>
      </w:r>
      <w:r w:rsidRPr="00496A4D">
        <w:rPr>
          <w:lang w:eastAsia="ja-JP"/>
        </w:rPr>
        <w:fldChar w:fldCharType="separate"/>
      </w:r>
      <w:r w:rsidR="00507A67">
        <w:rPr>
          <w:noProof/>
          <w:lang w:eastAsia="ja-JP"/>
        </w:rPr>
        <w:t>66</w:t>
      </w:r>
      <w:r w:rsidRPr="00496A4D">
        <w:rPr>
          <w:lang w:eastAsia="ja-JP"/>
        </w:rPr>
        <w:fldChar w:fldCharType="end"/>
      </w:r>
      <w:r w:rsidRPr="00A52AB8">
        <w:rPr>
          <w:lang w:eastAsia="ja-JP"/>
        </w:rPr>
        <w:t>)</w:t>
      </w:r>
    </w:p>
    <w:p w14:paraId="466FF2FC" w14:textId="71577667" w:rsidR="003D3901" w:rsidRPr="00A52AB8" w:rsidRDefault="00ED7AAB" w:rsidP="00ED7AAB">
      <w:pPr>
        <w:rPr>
          <w:color w:val="000000" w:themeColor="text1"/>
        </w:rPr>
      </w:pPr>
      <w:r w:rsidRPr="00A52AB8">
        <w:rPr>
          <w:lang w:eastAsia="ja-JP"/>
        </w:rPr>
        <w:t>In addition, i</w:t>
      </w:r>
      <w:r w:rsidR="002F3BFA" w:rsidRPr="00A52AB8">
        <w:rPr>
          <w:color w:val="000000" w:themeColor="text1"/>
        </w:rPr>
        <w:t xml:space="preserve">f </w:t>
      </w:r>
      <w:r w:rsidR="00440C68" w:rsidRPr="00A52AB8">
        <w:rPr>
          <w:color w:val="000000" w:themeColor="text1"/>
        </w:rPr>
        <w:t>refPatchType</w:t>
      </w:r>
      <w:r w:rsidR="002F3BFA" w:rsidRPr="00A52AB8">
        <w:rPr>
          <w:color w:val="000000" w:themeColor="text1"/>
        </w:rPr>
        <w:t xml:space="preserve"> is equal to </w:t>
      </w:r>
      <w:r w:rsidR="00440C68" w:rsidRPr="00A52AB8">
        <w:rPr>
          <w:color w:val="000000" w:themeColor="text1"/>
        </w:rPr>
        <w:t>RAW</w:t>
      </w:r>
      <w:r w:rsidR="009069AB" w:rsidRPr="00A52AB8">
        <w:rPr>
          <w:color w:val="000000" w:themeColor="text1"/>
        </w:rPr>
        <w:t>,</w:t>
      </w:r>
      <w:r w:rsidR="007D0A09" w:rsidRPr="00A52AB8">
        <w:rPr>
          <w:color w:val="000000" w:themeColor="text1"/>
        </w:rPr>
        <w:t xml:space="preserve"> the associated 2D and 3D patch parameters are derived as follows:</w:t>
      </w:r>
    </w:p>
    <w:p w14:paraId="4FC9947F" w14:textId="7386C9D2" w:rsidR="00D022FC" w:rsidRPr="00A52AB8" w:rsidRDefault="00751049" w:rsidP="00D022FC">
      <w:pPr>
        <w:rPr>
          <w:lang w:eastAsia="ja-JP"/>
        </w:rPr>
      </w:pPr>
      <w:r w:rsidRPr="00A52AB8">
        <w:rPr>
          <w:lang w:eastAsia="ja-JP"/>
        </w:rPr>
        <w:tab/>
      </w:r>
      <w:r w:rsidR="00314925" w:rsidRPr="00A52AB8">
        <w:rPr>
          <w:color w:val="000000" w:themeColor="text1"/>
        </w:rPr>
        <w:t>TilePatch3dOffsetU</w:t>
      </w:r>
      <w:r w:rsidR="00D022FC" w:rsidRPr="00A52AB8">
        <w:t>[ </w:t>
      </w:r>
      <w:r w:rsidR="00632FA7" w:rsidRPr="00A52AB8">
        <w:t>tileID</w:t>
      </w:r>
      <w:r w:rsidR="00D022FC" w:rsidRPr="00A52AB8">
        <w:t> ]</w:t>
      </w:r>
      <w:r w:rsidR="00D022FC" w:rsidRPr="00A52AB8">
        <w:rPr>
          <w:lang w:eastAsia="ja-JP"/>
        </w:rPr>
        <w:t>[ p ]</w:t>
      </w:r>
      <w:r w:rsidR="00D47707" w:rsidRPr="00A52AB8">
        <w:rPr>
          <w:lang w:eastAsia="ja-JP"/>
        </w:rPr>
        <w:t> = </w:t>
      </w:r>
      <w:r w:rsidR="00D022FC" w:rsidRPr="00A52AB8">
        <w:rPr>
          <w:lang w:eastAsia="ja-JP"/>
        </w:rPr>
        <w:t>refPatch</w:t>
      </w:r>
      <w:r w:rsidR="001A4D59" w:rsidRPr="00A52AB8">
        <w:rPr>
          <w:lang w:eastAsia="ja-JP"/>
        </w:rPr>
        <w:t>3dOffsetU</w:t>
      </w:r>
      <w:r w:rsidR="00D022FC" w:rsidRPr="00A52AB8">
        <w:rPr>
          <w:lang w:eastAsia="ja-JP"/>
        </w:rPr>
        <w:tab/>
        <w:t>(</w:t>
      </w:r>
      <w:r w:rsidR="00D022FC" w:rsidRPr="00496A4D">
        <w:rPr>
          <w:lang w:eastAsia="ja-JP"/>
        </w:rPr>
        <w:fldChar w:fldCharType="begin"/>
      </w:r>
      <w:r w:rsidR="00D022FC" w:rsidRPr="00A52AB8">
        <w:rPr>
          <w:lang w:eastAsia="ja-JP"/>
        </w:rPr>
        <w:instrText xml:space="preserve"> SEQ Equation \* ARABIC \n </w:instrText>
      </w:r>
      <w:r w:rsidR="00D022FC" w:rsidRPr="00496A4D">
        <w:rPr>
          <w:lang w:eastAsia="ja-JP"/>
        </w:rPr>
        <w:fldChar w:fldCharType="separate"/>
      </w:r>
      <w:r w:rsidR="00507A67">
        <w:rPr>
          <w:noProof/>
          <w:lang w:eastAsia="ja-JP"/>
        </w:rPr>
        <w:t>67</w:t>
      </w:r>
      <w:r w:rsidR="00D022FC" w:rsidRPr="00496A4D">
        <w:rPr>
          <w:lang w:eastAsia="ja-JP"/>
        </w:rPr>
        <w:fldChar w:fldCharType="end"/>
      </w:r>
      <w:r w:rsidR="00D022FC" w:rsidRPr="00A52AB8">
        <w:rPr>
          <w:lang w:eastAsia="ja-JP"/>
        </w:rPr>
        <w:t>)</w:t>
      </w:r>
    </w:p>
    <w:p w14:paraId="44585A1E" w14:textId="0DF6A5E3" w:rsidR="0050235C" w:rsidRPr="00A52AB8" w:rsidRDefault="00D022FC" w:rsidP="00D022FC">
      <w:pPr>
        <w:rPr>
          <w:lang w:eastAsia="ja-JP"/>
        </w:rPr>
      </w:pPr>
      <w:r w:rsidRPr="00A52AB8">
        <w:rPr>
          <w:lang w:eastAsia="ja-JP"/>
        </w:rPr>
        <w:tab/>
      </w:r>
      <w:r w:rsidR="00314925" w:rsidRPr="00A52AB8">
        <w:rPr>
          <w:color w:val="000000" w:themeColor="text1"/>
        </w:rPr>
        <w:t>TilePatch3dOffsetV</w:t>
      </w:r>
      <w:r w:rsidRPr="00A52AB8">
        <w:t>[ </w:t>
      </w:r>
      <w:r w:rsidR="00632FA7" w:rsidRPr="00A52AB8">
        <w:t>tileID</w:t>
      </w:r>
      <w:r w:rsidRPr="00A52AB8">
        <w:t> ]</w:t>
      </w:r>
      <w:r w:rsidRPr="00A52AB8">
        <w:rPr>
          <w:lang w:eastAsia="ja-JP"/>
        </w:rPr>
        <w:t>[ p ]</w:t>
      </w:r>
      <w:r w:rsidR="00D47707" w:rsidRPr="00A52AB8">
        <w:rPr>
          <w:lang w:eastAsia="ja-JP"/>
        </w:rPr>
        <w:t> = </w:t>
      </w:r>
      <w:r w:rsidRPr="00A52AB8">
        <w:rPr>
          <w:lang w:eastAsia="ja-JP"/>
        </w:rPr>
        <w:t>refPatch</w:t>
      </w:r>
      <w:r w:rsidR="001A4D59" w:rsidRPr="00A52AB8">
        <w:rPr>
          <w:lang w:eastAsia="ja-JP"/>
        </w:rPr>
        <w:t>3dOffsetV</w:t>
      </w:r>
      <w:r w:rsidRPr="00A52AB8">
        <w:rPr>
          <w:lang w:eastAsia="ja-JP"/>
        </w:rPr>
        <w:tab/>
        <w:t>(</w:t>
      </w:r>
      <w:r w:rsidRPr="00496A4D">
        <w:rPr>
          <w:lang w:eastAsia="ja-JP"/>
        </w:rPr>
        <w:fldChar w:fldCharType="begin"/>
      </w:r>
      <w:r w:rsidRPr="00A52AB8">
        <w:rPr>
          <w:lang w:eastAsia="ja-JP"/>
        </w:rPr>
        <w:instrText xml:space="preserve"> SEQ Equation \* ARABIC \n </w:instrText>
      </w:r>
      <w:r w:rsidRPr="00496A4D">
        <w:rPr>
          <w:lang w:eastAsia="ja-JP"/>
        </w:rPr>
        <w:fldChar w:fldCharType="separate"/>
      </w:r>
      <w:r w:rsidR="00507A67">
        <w:rPr>
          <w:noProof/>
          <w:lang w:eastAsia="ja-JP"/>
        </w:rPr>
        <w:t>68</w:t>
      </w:r>
      <w:r w:rsidRPr="00496A4D">
        <w:rPr>
          <w:lang w:eastAsia="ja-JP"/>
        </w:rPr>
        <w:fldChar w:fldCharType="end"/>
      </w:r>
      <w:r w:rsidRPr="00A52AB8">
        <w:rPr>
          <w:lang w:eastAsia="ja-JP"/>
        </w:rPr>
        <w:t>)</w:t>
      </w:r>
    </w:p>
    <w:p w14:paraId="0CD28C49" w14:textId="5935FCE5" w:rsidR="0050235C" w:rsidRPr="00A52AB8" w:rsidRDefault="00D022FC" w:rsidP="00D022FC">
      <w:pPr>
        <w:rPr>
          <w:lang w:eastAsia="ja-JP"/>
        </w:rPr>
      </w:pPr>
      <w:r w:rsidRPr="00A52AB8">
        <w:rPr>
          <w:lang w:eastAsia="ja-JP"/>
        </w:rPr>
        <w:tab/>
      </w:r>
      <w:r w:rsidR="00141AB2" w:rsidRPr="00A52AB8">
        <w:rPr>
          <w:color w:val="000000" w:themeColor="text1"/>
        </w:rPr>
        <w:t>TilePatch3dOffsetD</w:t>
      </w:r>
      <w:r w:rsidRPr="00A52AB8">
        <w:t>[ </w:t>
      </w:r>
      <w:r w:rsidR="00632FA7" w:rsidRPr="00A52AB8">
        <w:t>tileID</w:t>
      </w:r>
      <w:r w:rsidRPr="00A52AB8">
        <w:t> ]</w:t>
      </w:r>
      <w:r w:rsidRPr="00A52AB8">
        <w:rPr>
          <w:lang w:eastAsia="ja-JP"/>
        </w:rPr>
        <w:t>[ p ]</w:t>
      </w:r>
      <w:r w:rsidR="00D47707" w:rsidRPr="00A52AB8">
        <w:rPr>
          <w:lang w:eastAsia="ja-JP"/>
        </w:rPr>
        <w:t> = </w:t>
      </w:r>
      <w:r w:rsidRPr="00A52AB8">
        <w:rPr>
          <w:lang w:eastAsia="ja-JP"/>
        </w:rPr>
        <w:t>refPatch</w:t>
      </w:r>
      <w:r w:rsidR="001A4D59" w:rsidRPr="00A52AB8">
        <w:rPr>
          <w:lang w:eastAsia="ja-JP"/>
        </w:rPr>
        <w:t>3dOffsetD</w:t>
      </w:r>
      <w:r w:rsidRPr="00A52AB8">
        <w:rPr>
          <w:lang w:eastAsia="ja-JP"/>
        </w:rPr>
        <w:tab/>
        <w:t>(</w:t>
      </w:r>
      <w:r w:rsidRPr="00496A4D">
        <w:rPr>
          <w:lang w:eastAsia="ja-JP"/>
        </w:rPr>
        <w:fldChar w:fldCharType="begin"/>
      </w:r>
      <w:r w:rsidRPr="00A52AB8">
        <w:rPr>
          <w:lang w:eastAsia="ja-JP"/>
        </w:rPr>
        <w:instrText xml:space="preserve"> SEQ Equation \* ARABIC \n </w:instrText>
      </w:r>
      <w:r w:rsidRPr="00496A4D">
        <w:rPr>
          <w:lang w:eastAsia="ja-JP"/>
        </w:rPr>
        <w:fldChar w:fldCharType="separate"/>
      </w:r>
      <w:r w:rsidR="00507A67">
        <w:rPr>
          <w:noProof/>
          <w:lang w:eastAsia="ja-JP"/>
        </w:rPr>
        <w:t>69</w:t>
      </w:r>
      <w:r w:rsidRPr="00496A4D">
        <w:rPr>
          <w:lang w:eastAsia="ja-JP"/>
        </w:rPr>
        <w:fldChar w:fldCharType="end"/>
      </w:r>
      <w:r w:rsidRPr="00A52AB8">
        <w:rPr>
          <w:lang w:eastAsia="ja-JP"/>
        </w:rPr>
        <w:t>)</w:t>
      </w:r>
    </w:p>
    <w:p w14:paraId="6B3FAFF6" w14:textId="2900A656" w:rsidR="0050235C" w:rsidRPr="00A52AB8" w:rsidRDefault="00666758" w:rsidP="00666758">
      <w:pPr>
        <w:rPr>
          <w:lang w:eastAsia="ja-JP"/>
        </w:rPr>
      </w:pPr>
      <w:r w:rsidRPr="00A52AB8">
        <w:rPr>
          <w:lang w:eastAsia="ja-JP"/>
        </w:rPr>
        <w:tab/>
      </w:r>
      <w:r w:rsidRPr="00A52AB8">
        <w:rPr>
          <w:color w:val="000000" w:themeColor="text1"/>
        </w:rPr>
        <w:t>TilePatch</w:t>
      </w:r>
      <w:r w:rsidR="001A4D59" w:rsidRPr="00A52AB8">
        <w:rPr>
          <w:color w:val="000000" w:themeColor="text1"/>
        </w:rPr>
        <w:t>3dRangeD</w:t>
      </w:r>
      <w:r w:rsidRPr="00A52AB8">
        <w:rPr>
          <w:color w:val="000000" w:themeColor="text1"/>
        </w:rPr>
        <w:t>[ </w:t>
      </w:r>
      <w:r w:rsidR="00632FA7" w:rsidRPr="00A52AB8">
        <w:rPr>
          <w:color w:val="000000" w:themeColor="text1"/>
        </w:rPr>
        <w:t>tileID</w:t>
      </w:r>
      <w:r w:rsidRPr="00A52AB8">
        <w:rPr>
          <w:color w:val="000000" w:themeColor="text1"/>
        </w:rPr>
        <w:t> ][ p ]</w:t>
      </w:r>
      <w:r w:rsidR="00D47707" w:rsidRPr="00A52AB8">
        <w:rPr>
          <w:color w:val="000000" w:themeColor="text1"/>
        </w:rPr>
        <w:t> = </w:t>
      </w:r>
      <w:r w:rsidR="00EB5990" w:rsidRPr="00A52AB8">
        <w:rPr>
          <w:color w:val="000000" w:themeColor="text1"/>
        </w:rPr>
        <w:t>refPatch</w:t>
      </w:r>
      <w:r w:rsidR="001A4D59" w:rsidRPr="00A52AB8">
        <w:rPr>
          <w:color w:val="000000" w:themeColor="text1"/>
        </w:rPr>
        <w:t>3dRangeD</w:t>
      </w:r>
      <w:r w:rsidRPr="00A52AB8">
        <w:rPr>
          <w:color w:val="000000" w:themeColor="text1"/>
        </w:rPr>
        <w:tab/>
      </w:r>
      <w:r w:rsidR="00440C68" w:rsidRPr="00A52AB8">
        <w:rPr>
          <w:lang w:eastAsia="ja-JP"/>
        </w:rPr>
        <w:t>(</w:t>
      </w:r>
      <w:r w:rsidR="00535646" w:rsidRPr="00496A4D">
        <w:rPr>
          <w:lang w:eastAsia="ja-JP"/>
        </w:rPr>
        <w:fldChar w:fldCharType="begin"/>
      </w:r>
      <w:r w:rsidR="00535646" w:rsidRPr="00A52AB8">
        <w:rPr>
          <w:lang w:eastAsia="ja-JP"/>
        </w:rPr>
        <w:instrText xml:space="preserve"> SEQ Equation \* ARABIC \n </w:instrText>
      </w:r>
      <w:r w:rsidR="00535646" w:rsidRPr="00496A4D">
        <w:rPr>
          <w:lang w:eastAsia="ja-JP"/>
        </w:rPr>
        <w:fldChar w:fldCharType="separate"/>
      </w:r>
      <w:r w:rsidR="00507A67">
        <w:rPr>
          <w:noProof/>
          <w:lang w:eastAsia="ja-JP"/>
        </w:rPr>
        <w:t>70</w:t>
      </w:r>
      <w:r w:rsidR="00535646" w:rsidRPr="00496A4D">
        <w:rPr>
          <w:lang w:eastAsia="ja-JP"/>
        </w:rPr>
        <w:fldChar w:fldCharType="end"/>
      </w:r>
      <w:r w:rsidR="00440C68" w:rsidRPr="00A52AB8">
        <w:rPr>
          <w:lang w:eastAsia="ja-JP"/>
        </w:rPr>
        <w:t>)</w:t>
      </w:r>
    </w:p>
    <w:p w14:paraId="4727FC19" w14:textId="36936B1F" w:rsidR="00D022FC" w:rsidRPr="00A52AB8" w:rsidRDefault="00FC19A9" w:rsidP="00792CFF">
      <w:pPr>
        <w:rPr>
          <w:lang w:eastAsia="ja-JP"/>
        </w:rPr>
      </w:pPr>
      <w:r w:rsidRPr="00A52AB8">
        <w:rPr>
          <w:lang w:eastAsia="ja-JP"/>
        </w:rPr>
        <w:tab/>
      </w:r>
      <w:r w:rsidR="002937DE" w:rsidRPr="00A52AB8">
        <w:rPr>
          <w:color w:val="000000" w:themeColor="text1"/>
        </w:rPr>
        <w:t>Tile</w:t>
      </w:r>
      <w:r w:rsidR="00554C02" w:rsidRPr="00A52AB8">
        <w:rPr>
          <w:lang w:eastAsia="ja-JP"/>
        </w:rPr>
        <w:t>PatchRawPoints</w:t>
      </w:r>
      <w:r w:rsidR="00146346" w:rsidRPr="00A52AB8">
        <w:t>[ </w:t>
      </w:r>
      <w:r w:rsidR="00632FA7" w:rsidRPr="00A52AB8">
        <w:t>tileID</w:t>
      </w:r>
      <w:r w:rsidR="00146346" w:rsidRPr="00A52AB8">
        <w:t> ]</w:t>
      </w:r>
      <w:r w:rsidR="00146346" w:rsidRPr="00A52AB8">
        <w:rPr>
          <w:lang w:eastAsia="ja-JP"/>
        </w:rPr>
        <w:t>[ p ]</w:t>
      </w:r>
      <w:r w:rsidR="00D47707" w:rsidRPr="00A52AB8">
        <w:rPr>
          <w:lang w:eastAsia="ja-JP"/>
        </w:rPr>
        <w:t> = </w:t>
      </w:r>
      <w:r w:rsidR="00E05D37" w:rsidRPr="00A52AB8">
        <w:rPr>
          <w:color w:val="000000" w:themeColor="text1"/>
        </w:rPr>
        <w:t>refPatchRawPoints</w:t>
      </w:r>
      <w:r w:rsidR="00146346" w:rsidRPr="00A52AB8">
        <w:rPr>
          <w:lang w:eastAsia="ja-JP"/>
        </w:rPr>
        <w:tab/>
        <w:t>(</w:t>
      </w:r>
      <w:r w:rsidR="00146346" w:rsidRPr="00496A4D">
        <w:rPr>
          <w:lang w:eastAsia="ja-JP"/>
        </w:rPr>
        <w:fldChar w:fldCharType="begin"/>
      </w:r>
      <w:r w:rsidR="00146346" w:rsidRPr="00A52AB8">
        <w:rPr>
          <w:lang w:eastAsia="ja-JP"/>
        </w:rPr>
        <w:instrText xml:space="preserve"> SEQ Equation \* ARABIC \n </w:instrText>
      </w:r>
      <w:r w:rsidR="00146346" w:rsidRPr="00496A4D">
        <w:rPr>
          <w:lang w:eastAsia="ja-JP"/>
        </w:rPr>
        <w:fldChar w:fldCharType="separate"/>
      </w:r>
      <w:r w:rsidR="00507A67">
        <w:rPr>
          <w:noProof/>
          <w:lang w:eastAsia="ja-JP"/>
        </w:rPr>
        <w:t>71</w:t>
      </w:r>
      <w:r w:rsidR="00146346" w:rsidRPr="00496A4D">
        <w:rPr>
          <w:lang w:eastAsia="ja-JP"/>
        </w:rPr>
        <w:fldChar w:fldCharType="end"/>
      </w:r>
      <w:r w:rsidR="00146346" w:rsidRPr="00A52AB8">
        <w:rPr>
          <w:lang w:eastAsia="ja-JP"/>
        </w:rPr>
        <w:t>)</w:t>
      </w:r>
    </w:p>
    <w:p w14:paraId="63FF3494" w14:textId="7E7752B8" w:rsidR="002F3BFA" w:rsidRPr="00A52AB8" w:rsidRDefault="002F3BFA">
      <w:pPr>
        <w:pStyle w:val="Equation"/>
        <w:spacing w:before="120" w:after="120"/>
        <w:jc w:val="both"/>
        <w:rPr>
          <w:color w:val="000000" w:themeColor="text1"/>
        </w:rPr>
      </w:pPr>
      <w:r w:rsidRPr="00A52AB8">
        <w:rPr>
          <w:color w:val="000000" w:themeColor="text1"/>
        </w:rPr>
        <w:t>Othe</w:t>
      </w:r>
      <w:r w:rsidR="00242A24" w:rsidRPr="00A52AB8">
        <w:rPr>
          <w:color w:val="000000" w:themeColor="text1"/>
        </w:rPr>
        <w:t>r</w:t>
      </w:r>
      <w:r w:rsidRPr="00A52AB8">
        <w:rPr>
          <w:color w:val="000000" w:themeColor="text1"/>
        </w:rPr>
        <w:t>wise</w:t>
      </w:r>
      <w:r w:rsidR="009069AB" w:rsidRPr="00A52AB8">
        <w:rPr>
          <w:color w:val="000000" w:themeColor="text1"/>
        </w:rPr>
        <w:t>,</w:t>
      </w:r>
      <w:r w:rsidRPr="00A52AB8">
        <w:rPr>
          <w:color w:val="000000" w:themeColor="text1"/>
        </w:rPr>
        <w:t xml:space="preserve"> if </w:t>
      </w:r>
      <w:r w:rsidR="00440C68" w:rsidRPr="00A52AB8">
        <w:rPr>
          <w:color w:val="000000" w:themeColor="text1"/>
        </w:rPr>
        <w:t>refPatchType</w:t>
      </w:r>
      <w:r w:rsidRPr="00A52AB8">
        <w:rPr>
          <w:color w:val="000000" w:themeColor="text1"/>
        </w:rPr>
        <w:t xml:space="preserve"> is equal to </w:t>
      </w:r>
      <w:r w:rsidR="00440C68" w:rsidRPr="00A52AB8">
        <w:rPr>
          <w:color w:val="000000" w:themeColor="text1"/>
        </w:rPr>
        <w:t>EOM</w:t>
      </w:r>
      <w:r w:rsidR="009069AB" w:rsidRPr="00A52AB8">
        <w:rPr>
          <w:color w:val="000000" w:themeColor="text1"/>
        </w:rPr>
        <w:t>, the following applies:</w:t>
      </w:r>
    </w:p>
    <w:p w14:paraId="50910860" w14:textId="5953B6B2" w:rsidR="00B60F8C" w:rsidRPr="00A52AB8" w:rsidRDefault="00B60F8C">
      <w:r w:rsidRPr="00A52AB8">
        <w:tab/>
      </w:r>
      <w:r w:rsidR="00327B8F" w:rsidRPr="00A52AB8">
        <w:rPr>
          <w:color w:val="000000" w:themeColor="text1"/>
        </w:rPr>
        <w:t>Tile</w:t>
      </w:r>
      <w:r w:rsidRPr="00A52AB8">
        <w:t>PatchEomPatchCount</w:t>
      </w:r>
      <w:r w:rsidR="00A923B9" w:rsidRPr="00A52AB8">
        <w:t>[ </w:t>
      </w:r>
      <w:r w:rsidR="00632FA7" w:rsidRPr="00A52AB8">
        <w:t>tileID</w:t>
      </w:r>
      <w:r w:rsidR="00A923B9" w:rsidRPr="00A52AB8">
        <w:t> ][ p ]</w:t>
      </w:r>
      <w:r w:rsidR="00D47707" w:rsidRPr="00A52AB8">
        <w:t> = </w:t>
      </w:r>
      <w:r w:rsidR="00A923B9" w:rsidRPr="00A52AB8">
        <w:t>refPatchEomPatchCount</w:t>
      </w:r>
      <w:r w:rsidR="00654C28" w:rsidRPr="00A52AB8">
        <w:tab/>
      </w:r>
      <w:r w:rsidR="00440C68" w:rsidRPr="00A52AB8">
        <w:rPr>
          <w:lang w:eastAsia="ja-JP"/>
        </w:rPr>
        <w:t>(</w:t>
      </w:r>
      <w:r w:rsidR="00440C68" w:rsidRPr="00496A4D">
        <w:rPr>
          <w:lang w:eastAsia="ja-JP"/>
        </w:rPr>
        <w:fldChar w:fldCharType="begin"/>
      </w:r>
      <w:r w:rsidR="00440C68" w:rsidRPr="00A52AB8">
        <w:rPr>
          <w:lang w:eastAsia="ja-JP"/>
        </w:rPr>
        <w:instrText xml:space="preserve"> SEQ Equation \* ARABIC \n </w:instrText>
      </w:r>
      <w:r w:rsidR="00440C68" w:rsidRPr="00496A4D">
        <w:rPr>
          <w:lang w:eastAsia="ja-JP"/>
        </w:rPr>
        <w:fldChar w:fldCharType="separate"/>
      </w:r>
      <w:r w:rsidR="00507A67">
        <w:rPr>
          <w:noProof/>
          <w:lang w:eastAsia="ja-JP"/>
        </w:rPr>
        <w:t>72</w:t>
      </w:r>
      <w:r w:rsidR="00440C68" w:rsidRPr="00496A4D">
        <w:rPr>
          <w:lang w:eastAsia="ja-JP"/>
        </w:rPr>
        <w:fldChar w:fldCharType="end"/>
      </w:r>
      <w:r w:rsidR="00440C68" w:rsidRPr="00A52AB8">
        <w:rPr>
          <w:lang w:eastAsia="ja-JP"/>
        </w:rPr>
        <w:t>)</w:t>
      </w:r>
    </w:p>
    <w:p w14:paraId="66FB3951" w14:textId="5096974E" w:rsidR="00DA5266" w:rsidRPr="00A52AB8" w:rsidRDefault="00DA5266" w:rsidP="009F42AE">
      <w:r w:rsidRPr="00A52AB8">
        <w:tab/>
      </w:r>
      <w:r w:rsidR="00805960" w:rsidRPr="00A52AB8">
        <w:t>f</w:t>
      </w:r>
      <w:r w:rsidR="004660FA" w:rsidRPr="00A52AB8">
        <w:t>or( </w:t>
      </w:r>
      <w:r w:rsidR="00DC6787" w:rsidRPr="00A52AB8">
        <w:t>i</w:t>
      </w:r>
      <w:r w:rsidR="00D47707" w:rsidRPr="00A52AB8">
        <w:t> = </w:t>
      </w:r>
      <w:r w:rsidR="004660FA" w:rsidRPr="00A52AB8">
        <w:t>0; </w:t>
      </w:r>
      <w:r w:rsidR="00DC6787" w:rsidRPr="00A52AB8">
        <w:t>i</w:t>
      </w:r>
      <w:r w:rsidR="004660FA" w:rsidRPr="00A52AB8">
        <w:t> &lt; </w:t>
      </w:r>
      <w:r w:rsidR="000729E3" w:rsidRPr="00A52AB8">
        <w:rPr>
          <w:color w:val="000000" w:themeColor="text1"/>
        </w:rPr>
        <w:t>Tile</w:t>
      </w:r>
      <w:r w:rsidR="000729E3" w:rsidRPr="00A52AB8">
        <w:t>PatchEomPatchCount[ </w:t>
      </w:r>
      <w:r w:rsidR="00632FA7" w:rsidRPr="00A52AB8">
        <w:t>tileID</w:t>
      </w:r>
      <w:r w:rsidR="000729E3" w:rsidRPr="00A52AB8">
        <w:t> ][ p ]</w:t>
      </w:r>
      <w:r w:rsidR="00016EF0" w:rsidRPr="00A52AB8">
        <w:t>; i</w:t>
      </w:r>
      <w:r w:rsidR="00006CCF" w:rsidRPr="00A52AB8">
        <w:t>++ </w:t>
      </w:r>
      <w:r w:rsidR="00900B12" w:rsidRPr="00A52AB8">
        <w:t>) {</w:t>
      </w:r>
    </w:p>
    <w:p w14:paraId="4ED2CE96" w14:textId="3EC1BCE3" w:rsidR="00CD7F5E" w:rsidRPr="00A52AB8" w:rsidRDefault="00003B4F" w:rsidP="00792CFF">
      <w:pPr>
        <w:rPr>
          <w:lang w:eastAsia="ja-JP"/>
        </w:rPr>
      </w:pPr>
      <w:r w:rsidRPr="00A52AB8">
        <w:tab/>
      </w:r>
      <w:r w:rsidR="00705886" w:rsidRPr="00A52AB8">
        <w:tab/>
      </w:r>
      <w:r w:rsidR="00327B8F" w:rsidRPr="00A52AB8">
        <w:rPr>
          <w:color w:val="000000" w:themeColor="text1"/>
        </w:rPr>
        <w:t>Tile</w:t>
      </w:r>
      <w:r w:rsidR="00705886" w:rsidRPr="00A52AB8">
        <w:t>Patch</w:t>
      </w:r>
      <w:r w:rsidR="00457B67" w:rsidRPr="00A52AB8">
        <w:t>AssociatedPatchIndex</w:t>
      </w:r>
      <w:r w:rsidR="009B00C9" w:rsidRPr="00A52AB8">
        <w:t>[</w:t>
      </w:r>
      <w:r w:rsidR="00705886" w:rsidRPr="00A52AB8">
        <w:t> </w:t>
      </w:r>
      <w:r w:rsidR="00632FA7" w:rsidRPr="00A52AB8">
        <w:t>tileID</w:t>
      </w:r>
      <w:r w:rsidR="00705886" w:rsidRPr="00A52AB8">
        <w:t> ][ p ]</w:t>
      </w:r>
      <w:r w:rsidR="00D448B7" w:rsidRPr="00A52AB8">
        <w:t>[ i</w:t>
      </w:r>
      <w:r w:rsidR="00705886" w:rsidRPr="00A52AB8">
        <w:t> </w:t>
      </w:r>
      <w:r w:rsidR="00D448B7" w:rsidRPr="00A52AB8">
        <w:t>]</w:t>
      </w:r>
      <w:r w:rsidR="00D47707" w:rsidRPr="00A52AB8">
        <w:t> = </w:t>
      </w:r>
      <w:r w:rsidR="00927D74" w:rsidRPr="00A52AB8">
        <w:t>refP</w:t>
      </w:r>
      <w:r w:rsidR="00927D74" w:rsidRPr="00A52AB8">
        <w:rPr>
          <w:color w:val="000000" w:themeColor="text1"/>
        </w:rPr>
        <w:t>atch</w:t>
      </w:r>
      <w:r w:rsidR="00457B67" w:rsidRPr="00A52AB8">
        <w:rPr>
          <w:color w:val="000000" w:themeColor="text1"/>
        </w:rPr>
        <w:t>AssociatedPatchIndex</w:t>
      </w:r>
      <w:r w:rsidR="00D448B7" w:rsidRPr="00A52AB8">
        <w:rPr>
          <w:color w:val="000000" w:themeColor="text1"/>
        </w:rPr>
        <w:t>[ </w:t>
      </w:r>
      <w:r w:rsidR="00DC6787" w:rsidRPr="00A52AB8">
        <w:rPr>
          <w:color w:val="000000" w:themeColor="text1"/>
        </w:rPr>
        <w:t>i</w:t>
      </w:r>
      <w:r w:rsidR="00D448B7" w:rsidRPr="00A52AB8">
        <w:rPr>
          <w:color w:val="000000" w:themeColor="text1"/>
        </w:rPr>
        <w:t> ]</w:t>
      </w:r>
      <w:r w:rsidR="0039577B" w:rsidRPr="00A52AB8">
        <w:rPr>
          <w:lang w:eastAsia="ja-JP"/>
        </w:rPr>
        <w:tab/>
        <w:t>(</w:t>
      </w:r>
      <w:r w:rsidR="0039577B" w:rsidRPr="00496A4D">
        <w:rPr>
          <w:lang w:eastAsia="ja-JP"/>
        </w:rPr>
        <w:fldChar w:fldCharType="begin"/>
      </w:r>
      <w:r w:rsidR="0039577B" w:rsidRPr="00A52AB8">
        <w:rPr>
          <w:lang w:eastAsia="ja-JP"/>
        </w:rPr>
        <w:instrText xml:space="preserve"> SEQ Equation \* ARABIC \n </w:instrText>
      </w:r>
      <w:r w:rsidR="0039577B" w:rsidRPr="00496A4D">
        <w:rPr>
          <w:lang w:eastAsia="ja-JP"/>
        </w:rPr>
        <w:fldChar w:fldCharType="separate"/>
      </w:r>
      <w:r w:rsidR="00507A67">
        <w:rPr>
          <w:noProof/>
          <w:lang w:eastAsia="ja-JP"/>
        </w:rPr>
        <w:t>73</w:t>
      </w:r>
      <w:r w:rsidR="0039577B" w:rsidRPr="00496A4D">
        <w:rPr>
          <w:lang w:eastAsia="ja-JP"/>
        </w:rPr>
        <w:fldChar w:fldCharType="end"/>
      </w:r>
      <w:r w:rsidR="0039577B" w:rsidRPr="00A52AB8">
        <w:rPr>
          <w:lang w:eastAsia="ja-JP"/>
        </w:rPr>
        <w:t>)</w:t>
      </w:r>
    </w:p>
    <w:p w14:paraId="084C3B7E" w14:textId="262A49AC" w:rsidR="00705886" w:rsidRPr="00A52AB8" w:rsidRDefault="00705886" w:rsidP="00D37E70">
      <w:pPr>
        <w:rPr>
          <w:lang w:eastAsia="ja-JP"/>
        </w:rPr>
      </w:pPr>
      <w:r w:rsidRPr="00A52AB8">
        <w:tab/>
      </w:r>
      <w:r w:rsidR="00003B4F" w:rsidRPr="00A52AB8">
        <w:tab/>
      </w:r>
      <w:r w:rsidR="00327B8F" w:rsidRPr="00A52AB8">
        <w:rPr>
          <w:color w:val="000000" w:themeColor="text1"/>
        </w:rPr>
        <w:t>Tile</w:t>
      </w:r>
      <w:r w:rsidR="0034289F" w:rsidRPr="00A52AB8">
        <w:rPr>
          <w:color w:val="000000" w:themeColor="text1"/>
        </w:rPr>
        <w:t>PatchEomPoints[ </w:t>
      </w:r>
      <w:r w:rsidR="00632FA7" w:rsidRPr="00A52AB8">
        <w:t>tileID</w:t>
      </w:r>
      <w:r w:rsidRPr="00A52AB8">
        <w:t> ][ p ]</w:t>
      </w:r>
      <w:r w:rsidR="003C529E" w:rsidRPr="00A52AB8">
        <w:t>[ i ]</w:t>
      </w:r>
      <w:r w:rsidR="00D47707" w:rsidRPr="00A52AB8">
        <w:t> = </w:t>
      </w:r>
      <w:r w:rsidR="0034289F" w:rsidRPr="00A52AB8">
        <w:rPr>
          <w:lang w:eastAsia="ja-JP"/>
        </w:rPr>
        <w:t>ref</w:t>
      </w:r>
      <w:r w:rsidR="0034289F" w:rsidRPr="00A52AB8">
        <w:rPr>
          <w:color w:val="000000" w:themeColor="text1"/>
        </w:rPr>
        <w:t>PatchEomPoints</w:t>
      </w:r>
      <w:r w:rsidR="003C529E" w:rsidRPr="00A52AB8">
        <w:t>[ i ]</w:t>
      </w:r>
      <w:r w:rsidR="00D37E70" w:rsidRPr="00A52AB8">
        <w:rPr>
          <w:lang w:eastAsia="ja-JP"/>
        </w:rPr>
        <w:tab/>
        <w:t>(</w:t>
      </w:r>
      <w:r w:rsidR="00D37E70" w:rsidRPr="00496A4D">
        <w:rPr>
          <w:lang w:eastAsia="ja-JP"/>
        </w:rPr>
        <w:fldChar w:fldCharType="begin"/>
      </w:r>
      <w:r w:rsidR="00D37E70" w:rsidRPr="00A52AB8">
        <w:rPr>
          <w:lang w:eastAsia="ja-JP"/>
        </w:rPr>
        <w:instrText xml:space="preserve"> SEQ Equation \* ARABIC \n </w:instrText>
      </w:r>
      <w:r w:rsidR="00D37E70" w:rsidRPr="00496A4D">
        <w:rPr>
          <w:lang w:eastAsia="ja-JP"/>
        </w:rPr>
        <w:fldChar w:fldCharType="separate"/>
      </w:r>
      <w:r w:rsidR="00507A67">
        <w:rPr>
          <w:noProof/>
          <w:lang w:eastAsia="ja-JP"/>
        </w:rPr>
        <w:t>74</w:t>
      </w:r>
      <w:r w:rsidR="00D37E70" w:rsidRPr="00496A4D">
        <w:rPr>
          <w:lang w:eastAsia="ja-JP"/>
        </w:rPr>
        <w:fldChar w:fldCharType="end"/>
      </w:r>
      <w:r w:rsidR="00D37E70" w:rsidRPr="00A52AB8">
        <w:rPr>
          <w:lang w:eastAsia="ja-JP"/>
        </w:rPr>
        <w:t>)</w:t>
      </w:r>
    </w:p>
    <w:p w14:paraId="6F9312EF" w14:textId="77777777" w:rsidR="00016EF0" w:rsidRPr="00A52AB8" w:rsidRDefault="00003B4F" w:rsidP="00D37E70">
      <w:pPr>
        <w:rPr>
          <w:lang w:eastAsia="ja-JP"/>
        </w:rPr>
      </w:pPr>
      <w:r w:rsidRPr="00A52AB8">
        <w:rPr>
          <w:lang w:eastAsia="ja-JP"/>
        </w:rPr>
        <w:tab/>
      </w:r>
      <w:r w:rsidR="00016EF0" w:rsidRPr="00A52AB8">
        <w:rPr>
          <w:lang w:eastAsia="ja-JP"/>
        </w:rPr>
        <w:t>}</w:t>
      </w:r>
    </w:p>
    <w:p w14:paraId="784A4392" w14:textId="77777777" w:rsidR="003D3901" w:rsidRPr="00A52AB8" w:rsidRDefault="002F3BFA">
      <w:pPr>
        <w:tabs>
          <w:tab w:val="clear" w:pos="403"/>
        </w:tabs>
        <w:spacing w:before="120" w:after="120" w:line="240" w:lineRule="auto"/>
        <w:rPr>
          <w:color w:val="000000" w:themeColor="text1"/>
        </w:rPr>
      </w:pPr>
      <w:r w:rsidRPr="00A52AB8">
        <w:rPr>
          <w:color w:val="000000" w:themeColor="text1"/>
        </w:rPr>
        <w:t>Otherwise</w:t>
      </w:r>
      <w:r w:rsidR="003D3901" w:rsidRPr="00A52AB8">
        <w:rPr>
          <w:color w:val="000000" w:themeColor="text1"/>
        </w:rPr>
        <w:t>, the associated 2D and 3D patch parameters are derived as follows:</w:t>
      </w:r>
    </w:p>
    <w:p w14:paraId="540F35D8" w14:textId="1C9C8BAE" w:rsidR="003D3901" w:rsidRPr="00A52AB8" w:rsidRDefault="00395226" w:rsidP="009F42AE">
      <w:pPr>
        <w:rPr>
          <w:lang w:eastAsia="ja-JP"/>
        </w:rPr>
      </w:pPr>
      <w:r w:rsidRPr="00A52AB8">
        <w:rPr>
          <w:lang w:eastAsia="ja-JP"/>
        </w:rPr>
        <w:tab/>
      </w:r>
      <w:r w:rsidR="00314925" w:rsidRPr="00A52AB8">
        <w:rPr>
          <w:color w:val="000000" w:themeColor="text1"/>
        </w:rPr>
        <w:t>TilePatch3dOffsetU</w:t>
      </w:r>
      <w:r w:rsidR="00877CD2" w:rsidRPr="00A52AB8">
        <w:rPr>
          <w:lang w:eastAsia="ja-JP"/>
        </w:rPr>
        <w:t>[ </w:t>
      </w:r>
      <w:r w:rsidR="00632FA7" w:rsidRPr="00A52AB8">
        <w:rPr>
          <w:lang w:eastAsia="ja-JP"/>
        </w:rPr>
        <w:t>tileID</w:t>
      </w:r>
      <w:r w:rsidR="00877CD2" w:rsidRPr="00A52AB8">
        <w:rPr>
          <w:lang w:eastAsia="ja-JP"/>
        </w:rPr>
        <w:t> ]</w:t>
      </w:r>
      <w:r w:rsidR="003D3901" w:rsidRPr="00A52AB8">
        <w:rPr>
          <w:lang w:eastAsia="ja-JP"/>
        </w:rPr>
        <w:t>[ p ]</w:t>
      </w:r>
      <w:r w:rsidR="00D47707" w:rsidRPr="00A52AB8">
        <w:rPr>
          <w:lang w:eastAsia="ja-JP"/>
        </w:rPr>
        <w:t> = </w:t>
      </w:r>
      <w:r w:rsidR="003D3901" w:rsidRPr="00A52AB8">
        <w:rPr>
          <w:lang w:eastAsia="ja-JP"/>
        </w:rPr>
        <w:t>refPatch</w:t>
      </w:r>
      <w:r w:rsidR="001A4D59" w:rsidRPr="00A52AB8">
        <w:rPr>
          <w:lang w:eastAsia="ja-JP"/>
        </w:rPr>
        <w:t>3dOffsetU</w:t>
      </w:r>
      <w:r w:rsidR="003D3901" w:rsidRPr="00A52AB8">
        <w:rPr>
          <w:lang w:eastAsia="ja-JP"/>
        </w:rPr>
        <w:tab/>
        <w:t>(</w:t>
      </w:r>
      <w:r w:rsidR="003D3901" w:rsidRPr="00496A4D">
        <w:rPr>
          <w:lang w:eastAsia="ja-JP"/>
        </w:rPr>
        <w:fldChar w:fldCharType="begin"/>
      </w:r>
      <w:r w:rsidR="003D3901" w:rsidRPr="00A52AB8">
        <w:rPr>
          <w:lang w:eastAsia="ja-JP"/>
        </w:rPr>
        <w:instrText xml:space="preserve"> </w:instrText>
      </w:r>
      <w:r w:rsidR="00646520" w:rsidRPr="00A52AB8">
        <w:rPr>
          <w:lang w:eastAsia="ja-JP"/>
        </w:rPr>
        <w:instrText>SEQ Equation \* ARABIC \n</w:instrText>
      </w:r>
      <w:r w:rsidR="003D3901" w:rsidRPr="00A52AB8">
        <w:rPr>
          <w:lang w:eastAsia="ja-JP"/>
        </w:rPr>
        <w:instrText xml:space="preserve"> </w:instrText>
      </w:r>
      <w:r w:rsidR="003D3901" w:rsidRPr="00496A4D">
        <w:rPr>
          <w:lang w:eastAsia="ja-JP"/>
        </w:rPr>
        <w:fldChar w:fldCharType="separate"/>
      </w:r>
      <w:r w:rsidR="00507A67">
        <w:rPr>
          <w:noProof/>
          <w:lang w:eastAsia="ja-JP"/>
        </w:rPr>
        <w:t>75</w:t>
      </w:r>
      <w:r w:rsidR="003D3901" w:rsidRPr="00496A4D">
        <w:rPr>
          <w:lang w:eastAsia="ja-JP"/>
        </w:rPr>
        <w:fldChar w:fldCharType="end"/>
      </w:r>
      <w:r w:rsidR="003D3901" w:rsidRPr="00A52AB8">
        <w:rPr>
          <w:lang w:eastAsia="ja-JP"/>
        </w:rPr>
        <w:t>)</w:t>
      </w:r>
    </w:p>
    <w:p w14:paraId="66917868" w14:textId="22B9A005" w:rsidR="003D3901" w:rsidRPr="00A52AB8" w:rsidRDefault="003D3901">
      <w:pPr>
        <w:rPr>
          <w:lang w:eastAsia="ja-JP"/>
        </w:rPr>
      </w:pPr>
      <w:r w:rsidRPr="00A52AB8">
        <w:rPr>
          <w:lang w:eastAsia="ja-JP"/>
        </w:rPr>
        <w:tab/>
      </w:r>
      <w:r w:rsidR="00314925" w:rsidRPr="00A52AB8">
        <w:rPr>
          <w:color w:val="000000" w:themeColor="text1"/>
        </w:rPr>
        <w:t>TilePatch3dOffsetV</w:t>
      </w:r>
      <w:r w:rsidR="00877CD2" w:rsidRPr="00A52AB8">
        <w:t>[ </w:t>
      </w:r>
      <w:r w:rsidR="00632FA7" w:rsidRPr="00A52AB8">
        <w:t>tileID</w:t>
      </w:r>
      <w:r w:rsidR="00877CD2" w:rsidRPr="00A52AB8">
        <w:t> ]</w:t>
      </w:r>
      <w:r w:rsidRPr="00A52AB8">
        <w:rPr>
          <w:lang w:eastAsia="ja-JP"/>
        </w:rPr>
        <w:t>[ p ]</w:t>
      </w:r>
      <w:r w:rsidR="00D47707" w:rsidRPr="00A52AB8">
        <w:rPr>
          <w:lang w:eastAsia="ja-JP"/>
        </w:rPr>
        <w:t> = </w:t>
      </w:r>
      <w:r w:rsidRPr="00A52AB8">
        <w:rPr>
          <w:lang w:eastAsia="ja-JP"/>
        </w:rPr>
        <w:t>refPatch</w:t>
      </w:r>
      <w:r w:rsidR="001A4D59" w:rsidRPr="00A52AB8">
        <w:rPr>
          <w:lang w:eastAsia="ja-JP"/>
        </w:rPr>
        <w:t>3dOffsetV</w:t>
      </w:r>
      <w:r w:rsidRPr="00A52AB8">
        <w:rPr>
          <w:lang w:eastAsia="ja-JP"/>
        </w:rPr>
        <w:tab/>
        <w:t>(</w:t>
      </w:r>
      <w:r w:rsidRPr="00496A4D">
        <w:rPr>
          <w:lang w:eastAsia="ja-JP"/>
        </w:rPr>
        <w:fldChar w:fldCharType="begin"/>
      </w:r>
      <w:r w:rsidRPr="00A52AB8">
        <w:rPr>
          <w:lang w:eastAsia="ja-JP"/>
        </w:rPr>
        <w:instrText xml:space="preserve"> </w:instrText>
      </w:r>
      <w:r w:rsidR="00646520" w:rsidRPr="00A52AB8">
        <w:rPr>
          <w:lang w:eastAsia="ja-JP"/>
        </w:rPr>
        <w:instrText>SEQ Equation \* ARABIC \n</w:instrText>
      </w:r>
      <w:r w:rsidRPr="00A52AB8">
        <w:rPr>
          <w:lang w:eastAsia="ja-JP"/>
        </w:rPr>
        <w:instrText xml:space="preserve"> </w:instrText>
      </w:r>
      <w:r w:rsidRPr="00496A4D">
        <w:rPr>
          <w:lang w:eastAsia="ja-JP"/>
        </w:rPr>
        <w:fldChar w:fldCharType="separate"/>
      </w:r>
      <w:r w:rsidR="00507A67">
        <w:rPr>
          <w:noProof/>
          <w:lang w:eastAsia="ja-JP"/>
        </w:rPr>
        <w:t>76</w:t>
      </w:r>
      <w:r w:rsidRPr="00496A4D">
        <w:rPr>
          <w:lang w:eastAsia="ja-JP"/>
        </w:rPr>
        <w:fldChar w:fldCharType="end"/>
      </w:r>
      <w:r w:rsidRPr="00A52AB8">
        <w:rPr>
          <w:lang w:eastAsia="ja-JP"/>
        </w:rPr>
        <w:t>)</w:t>
      </w:r>
    </w:p>
    <w:p w14:paraId="75C51EEC" w14:textId="21E11627" w:rsidR="003D3901" w:rsidRPr="00A52AB8" w:rsidRDefault="003D3901">
      <w:pPr>
        <w:rPr>
          <w:lang w:eastAsia="ja-JP"/>
        </w:rPr>
      </w:pPr>
      <w:r w:rsidRPr="00A52AB8">
        <w:rPr>
          <w:lang w:eastAsia="ja-JP"/>
        </w:rPr>
        <w:tab/>
      </w:r>
      <w:r w:rsidR="00141AB2" w:rsidRPr="00A52AB8">
        <w:rPr>
          <w:color w:val="000000" w:themeColor="text1"/>
        </w:rPr>
        <w:t>TilePatch3dOffsetD</w:t>
      </w:r>
      <w:r w:rsidR="00877CD2" w:rsidRPr="00A52AB8">
        <w:t>[ </w:t>
      </w:r>
      <w:r w:rsidR="00632FA7" w:rsidRPr="00A52AB8">
        <w:t>tileID</w:t>
      </w:r>
      <w:r w:rsidR="00877CD2" w:rsidRPr="00A52AB8">
        <w:t> ]</w:t>
      </w:r>
      <w:r w:rsidRPr="00A52AB8">
        <w:rPr>
          <w:lang w:eastAsia="ja-JP"/>
        </w:rPr>
        <w:t>[ p ]</w:t>
      </w:r>
      <w:r w:rsidR="00D47707" w:rsidRPr="00A52AB8">
        <w:rPr>
          <w:lang w:eastAsia="ja-JP"/>
        </w:rPr>
        <w:t> = </w:t>
      </w:r>
      <w:r w:rsidRPr="00A52AB8">
        <w:rPr>
          <w:lang w:eastAsia="ja-JP"/>
        </w:rPr>
        <w:t>refPatch</w:t>
      </w:r>
      <w:r w:rsidR="001A4D59" w:rsidRPr="00A52AB8">
        <w:rPr>
          <w:lang w:eastAsia="ja-JP"/>
        </w:rPr>
        <w:t>3dOffsetD</w:t>
      </w:r>
      <w:r w:rsidRPr="00A52AB8">
        <w:rPr>
          <w:lang w:eastAsia="ja-JP"/>
        </w:rPr>
        <w:tab/>
        <w:t>(</w:t>
      </w:r>
      <w:r w:rsidRPr="00496A4D">
        <w:rPr>
          <w:lang w:eastAsia="ja-JP"/>
        </w:rPr>
        <w:fldChar w:fldCharType="begin"/>
      </w:r>
      <w:r w:rsidRPr="00A52AB8">
        <w:rPr>
          <w:lang w:eastAsia="ja-JP"/>
        </w:rPr>
        <w:instrText xml:space="preserve"> </w:instrText>
      </w:r>
      <w:r w:rsidR="00646520" w:rsidRPr="00A52AB8">
        <w:rPr>
          <w:lang w:eastAsia="ja-JP"/>
        </w:rPr>
        <w:instrText>SEQ Equation \* ARABIC \n</w:instrText>
      </w:r>
      <w:r w:rsidRPr="00A52AB8">
        <w:rPr>
          <w:lang w:eastAsia="ja-JP"/>
        </w:rPr>
        <w:instrText xml:space="preserve"> </w:instrText>
      </w:r>
      <w:r w:rsidRPr="00496A4D">
        <w:rPr>
          <w:lang w:eastAsia="ja-JP"/>
        </w:rPr>
        <w:fldChar w:fldCharType="separate"/>
      </w:r>
      <w:r w:rsidR="00507A67">
        <w:rPr>
          <w:noProof/>
          <w:lang w:eastAsia="ja-JP"/>
        </w:rPr>
        <w:t>77</w:t>
      </w:r>
      <w:r w:rsidRPr="00496A4D">
        <w:rPr>
          <w:lang w:eastAsia="ja-JP"/>
        </w:rPr>
        <w:fldChar w:fldCharType="end"/>
      </w:r>
      <w:r w:rsidRPr="00A52AB8">
        <w:rPr>
          <w:lang w:eastAsia="ja-JP"/>
        </w:rPr>
        <w:t>)</w:t>
      </w:r>
    </w:p>
    <w:p w14:paraId="26402837" w14:textId="66488FC4" w:rsidR="00D71F0A" w:rsidRPr="00A52AB8" w:rsidRDefault="00D71F0A" w:rsidP="00D71F0A">
      <w:pPr>
        <w:rPr>
          <w:lang w:eastAsia="ja-JP"/>
        </w:rPr>
      </w:pPr>
      <w:r w:rsidRPr="00A52AB8">
        <w:rPr>
          <w:lang w:eastAsia="ja-JP"/>
        </w:rPr>
        <w:tab/>
      </w:r>
      <w:r w:rsidR="00327B8F" w:rsidRPr="00A52AB8">
        <w:rPr>
          <w:color w:val="000000" w:themeColor="text1"/>
        </w:rPr>
        <w:t>Tile</w:t>
      </w:r>
      <w:r w:rsidRPr="00A52AB8">
        <w:rPr>
          <w:lang w:eastAsia="ja-JP"/>
        </w:rPr>
        <w:t>Patch</w:t>
      </w:r>
      <w:r w:rsidR="001A4D59" w:rsidRPr="00A52AB8">
        <w:rPr>
          <w:lang w:eastAsia="ja-JP"/>
        </w:rPr>
        <w:t>3dRangeD</w:t>
      </w:r>
      <w:r w:rsidRPr="00A52AB8">
        <w:t>[ </w:t>
      </w:r>
      <w:r w:rsidR="00632FA7" w:rsidRPr="00A52AB8">
        <w:t>tileID</w:t>
      </w:r>
      <w:r w:rsidRPr="00A52AB8">
        <w:t> ]</w:t>
      </w:r>
      <w:r w:rsidRPr="00A52AB8">
        <w:rPr>
          <w:lang w:eastAsia="ja-JP"/>
        </w:rPr>
        <w:t>[ p ]</w:t>
      </w:r>
      <w:r w:rsidR="00D47707" w:rsidRPr="00A52AB8">
        <w:rPr>
          <w:lang w:eastAsia="ja-JP"/>
        </w:rPr>
        <w:t> = </w:t>
      </w:r>
      <w:r w:rsidRPr="00A52AB8">
        <w:rPr>
          <w:lang w:eastAsia="ja-JP"/>
        </w:rPr>
        <w:t>refPatch</w:t>
      </w:r>
      <w:r w:rsidR="001A4D59" w:rsidRPr="00A52AB8">
        <w:rPr>
          <w:lang w:eastAsia="ja-JP"/>
        </w:rPr>
        <w:t>3dRangeD</w:t>
      </w:r>
      <w:r w:rsidRPr="00A52AB8">
        <w:rPr>
          <w:lang w:eastAsia="ja-JP"/>
        </w:rPr>
        <w:tab/>
        <w:t>(</w:t>
      </w:r>
      <w:r w:rsidRPr="00496A4D">
        <w:rPr>
          <w:lang w:eastAsia="ja-JP"/>
        </w:rPr>
        <w:fldChar w:fldCharType="begin"/>
      </w:r>
      <w:r w:rsidRPr="00A52AB8">
        <w:rPr>
          <w:lang w:eastAsia="ja-JP"/>
        </w:rPr>
        <w:instrText xml:space="preserve"> SEQ Equation \* ARABIC \n </w:instrText>
      </w:r>
      <w:r w:rsidRPr="00496A4D">
        <w:rPr>
          <w:lang w:eastAsia="ja-JP"/>
        </w:rPr>
        <w:fldChar w:fldCharType="separate"/>
      </w:r>
      <w:r w:rsidR="00507A67">
        <w:rPr>
          <w:noProof/>
          <w:lang w:eastAsia="ja-JP"/>
        </w:rPr>
        <w:t>78</w:t>
      </w:r>
      <w:r w:rsidRPr="00496A4D">
        <w:rPr>
          <w:lang w:eastAsia="ja-JP"/>
        </w:rPr>
        <w:fldChar w:fldCharType="end"/>
      </w:r>
      <w:r w:rsidRPr="00A52AB8">
        <w:rPr>
          <w:lang w:eastAsia="ja-JP"/>
        </w:rPr>
        <w:t>)</w:t>
      </w:r>
    </w:p>
    <w:p w14:paraId="322185CF" w14:textId="0CF2E07B" w:rsidR="008C0B42" w:rsidRPr="00A52AB8" w:rsidRDefault="008C0B42" w:rsidP="00D71F0A">
      <w:pPr>
        <w:rPr>
          <w:lang w:eastAsia="ja-JP"/>
        </w:rPr>
      </w:pPr>
      <w:r w:rsidRPr="00A52AB8">
        <w:rPr>
          <w:color w:val="000000" w:themeColor="text1"/>
        </w:rPr>
        <w:tab/>
        <w:t>Tile</w:t>
      </w:r>
      <w:r w:rsidRPr="00A52AB8">
        <w:rPr>
          <w:lang w:eastAsia="ja-JP"/>
        </w:rPr>
        <w:t>PatchProjectionID</w:t>
      </w:r>
      <w:r w:rsidRPr="00A52AB8">
        <w:t>[ tileID ]</w:t>
      </w:r>
      <w:r w:rsidRPr="00A52AB8">
        <w:rPr>
          <w:lang w:eastAsia="ja-JP"/>
        </w:rPr>
        <w:t>[ p ]</w:t>
      </w:r>
      <w:r w:rsidR="00D47707" w:rsidRPr="00A52AB8">
        <w:rPr>
          <w:lang w:eastAsia="ja-JP"/>
        </w:rPr>
        <w:t> = </w:t>
      </w:r>
      <w:r w:rsidRPr="00A52AB8">
        <w:rPr>
          <w:lang w:eastAsia="ja-JP"/>
        </w:rPr>
        <w:t>refPatchProjectionID</w:t>
      </w:r>
      <w:r w:rsidRPr="00A52AB8">
        <w:rPr>
          <w:lang w:eastAsia="ja-JP"/>
        </w:rPr>
        <w:tab/>
        <w:t>(</w:t>
      </w:r>
      <w:r w:rsidRPr="00496A4D">
        <w:rPr>
          <w:lang w:eastAsia="ja-JP"/>
        </w:rPr>
        <w:fldChar w:fldCharType="begin"/>
      </w:r>
      <w:r w:rsidRPr="00A52AB8">
        <w:rPr>
          <w:lang w:eastAsia="ja-JP"/>
        </w:rPr>
        <w:instrText xml:space="preserve"> SEQ Equation \* ARABIC \n </w:instrText>
      </w:r>
      <w:r w:rsidRPr="00496A4D">
        <w:rPr>
          <w:lang w:eastAsia="ja-JP"/>
        </w:rPr>
        <w:fldChar w:fldCharType="separate"/>
      </w:r>
      <w:r w:rsidR="00507A67">
        <w:rPr>
          <w:noProof/>
          <w:lang w:eastAsia="ja-JP"/>
        </w:rPr>
        <w:t>79</w:t>
      </w:r>
      <w:r w:rsidRPr="00496A4D">
        <w:rPr>
          <w:lang w:eastAsia="ja-JP"/>
        </w:rPr>
        <w:fldChar w:fldCharType="end"/>
      </w:r>
      <w:r w:rsidRPr="00A52AB8">
        <w:rPr>
          <w:lang w:eastAsia="ja-JP"/>
        </w:rPr>
        <w:t>)</w:t>
      </w:r>
    </w:p>
    <w:p w14:paraId="06538FCA" w14:textId="067D4CDB" w:rsidR="003D3901" w:rsidRPr="00A52AB8" w:rsidRDefault="003D3901">
      <w:pPr>
        <w:rPr>
          <w:lang w:eastAsia="ja-JP"/>
        </w:rPr>
      </w:pPr>
      <w:r w:rsidRPr="00A52AB8">
        <w:rPr>
          <w:lang w:eastAsia="ja-JP"/>
        </w:rPr>
        <w:tab/>
      </w:r>
      <w:r w:rsidR="00327B8F" w:rsidRPr="00A52AB8">
        <w:rPr>
          <w:color w:val="000000" w:themeColor="text1"/>
        </w:rPr>
        <w:t>Tile</w:t>
      </w:r>
      <w:r w:rsidRPr="00A52AB8">
        <w:rPr>
          <w:lang w:eastAsia="ja-JP"/>
        </w:rPr>
        <w:t>PatchOrientationIndex</w:t>
      </w:r>
      <w:r w:rsidR="00877CD2" w:rsidRPr="00A52AB8">
        <w:t>[ </w:t>
      </w:r>
      <w:r w:rsidR="00632FA7" w:rsidRPr="00A52AB8">
        <w:t>tileID</w:t>
      </w:r>
      <w:r w:rsidR="00877CD2" w:rsidRPr="00A52AB8">
        <w:t> ]</w:t>
      </w:r>
      <w:r w:rsidRPr="00A52AB8">
        <w:rPr>
          <w:lang w:eastAsia="ja-JP"/>
        </w:rPr>
        <w:t>[ p ]</w:t>
      </w:r>
      <w:r w:rsidR="00D47707" w:rsidRPr="00A52AB8">
        <w:rPr>
          <w:lang w:eastAsia="ja-JP"/>
        </w:rPr>
        <w:t> = </w:t>
      </w:r>
      <w:r w:rsidRPr="00A52AB8">
        <w:rPr>
          <w:lang w:eastAsia="ja-JP"/>
        </w:rPr>
        <w:t>refPatchOrientationIndex</w:t>
      </w:r>
      <w:r w:rsidRPr="00A52AB8">
        <w:rPr>
          <w:lang w:eastAsia="ja-JP"/>
        </w:rPr>
        <w:tab/>
        <w:t>(</w:t>
      </w:r>
      <w:r w:rsidRPr="00496A4D">
        <w:rPr>
          <w:lang w:eastAsia="ja-JP"/>
        </w:rPr>
        <w:fldChar w:fldCharType="begin"/>
      </w:r>
      <w:r w:rsidRPr="00A52AB8">
        <w:rPr>
          <w:lang w:eastAsia="ja-JP"/>
        </w:rPr>
        <w:instrText xml:space="preserve"> </w:instrText>
      </w:r>
      <w:r w:rsidR="00646520" w:rsidRPr="00A52AB8">
        <w:rPr>
          <w:lang w:eastAsia="ja-JP"/>
        </w:rPr>
        <w:instrText>SEQ Equation \* ARABIC \n</w:instrText>
      </w:r>
      <w:r w:rsidRPr="00A52AB8">
        <w:rPr>
          <w:lang w:eastAsia="ja-JP"/>
        </w:rPr>
        <w:instrText xml:space="preserve"> </w:instrText>
      </w:r>
      <w:r w:rsidRPr="00496A4D">
        <w:rPr>
          <w:lang w:eastAsia="ja-JP"/>
        </w:rPr>
        <w:fldChar w:fldCharType="separate"/>
      </w:r>
      <w:r w:rsidR="00507A67">
        <w:rPr>
          <w:noProof/>
          <w:lang w:eastAsia="ja-JP"/>
        </w:rPr>
        <w:t>80</w:t>
      </w:r>
      <w:r w:rsidRPr="00496A4D">
        <w:rPr>
          <w:lang w:eastAsia="ja-JP"/>
        </w:rPr>
        <w:fldChar w:fldCharType="end"/>
      </w:r>
      <w:r w:rsidRPr="00A52AB8">
        <w:rPr>
          <w:lang w:eastAsia="ja-JP"/>
        </w:rPr>
        <w:t>)</w:t>
      </w:r>
    </w:p>
    <w:p w14:paraId="4EBFE8A3" w14:textId="15238E16" w:rsidR="002E02F5" w:rsidRPr="00A52AB8" w:rsidRDefault="002E02F5">
      <w:pPr>
        <w:rPr>
          <w:lang w:eastAsia="ja-JP"/>
        </w:rPr>
      </w:pPr>
      <w:r w:rsidRPr="00A52AB8">
        <w:rPr>
          <w:lang w:eastAsia="ja-JP"/>
        </w:rPr>
        <w:tab/>
      </w:r>
      <w:r w:rsidR="00327B8F" w:rsidRPr="00A52AB8">
        <w:rPr>
          <w:color w:val="000000" w:themeColor="text1"/>
        </w:rPr>
        <w:t>Tile</w:t>
      </w:r>
      <w:r w:rsidRPr="00A52AB8">
        <w:rPr>
          <w:lang w:eastAsia="ja-JP"/>
        </w:rPr>
        <w:t>PatchLoDScaleX</w:t>
      </w:r>
      <w:r w:rsidR="00877CD2" w:rsidRPr="00A52AB8">
        <w:t>[ </w:t>
      </w:r>
      <w:r w:rsidR="00632FA7" w:rsidRPr="00A52AB8">
        <w:t>tileID</w:t>
      </w:r>
      <w:r w:rsidR="00877CD2" w:rsidRPr="00A52AB8">
        <w:t> ]</w:t>
      </w:r>
      <w:r w:rsidRPr="00A52AB8">
        <w:rPr>
          <w:lang w:eastAsia="ja-JP"/>
        </w:rPr>
        <w:t>[ p ]</w:t>
      </w:r>
      <w:r w:rsidR="00D47707" w:rsidRPr="00A52AB8">
        <w:rPr>
          <w:lang w:eastAsia="ja-JP"/>
        </w:rPr>
        <w:t> = </w:t>
      </w:r>
      <w:r w:rsidRPr="00A52AB8">
        <w:rPr>
          <w:lang w:eastAsia="ja-JP"/>
        </w:rPr>
        <w:t>refPatchLoDScaleX</w:t>
      </w:r>
      <w:r w:rsidRPr="00A52AB8">
        <w:rPr>
          <w:lang w:eastAsia="ja-JP"/>
        </w:rPr>
        <w:tab/>
        <w:t>(</w:t>
      </w:r>
      <w:r w:rsidRPr="00496A4D">
        <w:rPr>
          <w:lang w:eastAsia="ja-JP"/>
        </w:rPr>
        <w:fldChar w:fldCharType="begin"/>
      </w:r>
      <w:r w:rsidRPr="00A52AB8">
        <w:rPr>
          <w:lang w:eastAsia="ja-JP"/>
        </w:rPr>
        <w:instrText xml:space="preserve"> </w:instrText>
      </w:r>
      <w:r w:rsidR="00646520" w:rsidRPr="00A52AB8">
        <w:rPr>
          <w:lang w:eastAsia="ja-JP"/>
        </w:rPr>
        <w:instrText>SEQ Equation \* ARABIC \n</w:instrText>
      </w:r>
      <w:r w:rsidRPr="00A52AB8">
        <w:rPr>
          <w:lang w:eastAsia="ja-JP"/>
        </w:rPr>
        <w:instrText xml:space="preserve"> </w:instrText>
      </w:r>
      <w:r w:rsidRPr="00496A4D">
        <w:rPr>
          <w:lang w:eastAsia="ja-JP"/>
        </w:rPr>
        <w:fldChar w:fldCharType="separate"/>
      </w:r>
      <w:r w:rsidR="00507A67">
        <w:rPr>
          <w:noProof/>
          <w:lang w:eastAsia="ja-JP"/>
        </w:rPr>
        <w:t>81</w:t>
      </w:r>
      <w:r w:rsidRPr="00496A4D">
        <w:rPr>
          <w:lang w:eastAsia="ja-JP"/>
        </w:rPr>
        <w:fldChar w:fldCharType="end"/>
      </w:r>
      <w:r w:rsidRPr="00A52AB8">
        <w:rPr>
          <w:lang w:eastAsia="ja-JP"/>
        </w:rPr>
        <w:t>)</w:t>
      </w:r>
    </w:p>
    <w:p w14:paraId="334C8E28" w14:textId="426AF3FF" w:rsidR="00F77C60" w:rsidRPr="00A52AB8" w:rsidRDefault="002E02F5">
      <w:pPr>
        <w:rPr>
          <w:lang w:eastAsia="ja-JP"/>
        </w:rPr>
      </w:pPr>
      <w:r w:rsidRPr="00A52AB8">
        <w:rPr>
          <w:lang w:eastAsia="ja-JP"/>
        </w:rPr>
        <w:tab/>
      </w:r>
      <w:r w:rsidR="00327B8F" w:rsidRPr="00A52AB8">
        <w:rPr>
          <w:color w:val="000000" w:themeColor="text1"/>
        </w:rPr>
        <w:t>Tile</w:t>
      </w:r>
      <w:r w:rsidRPr="00A52AB8">
        <w:rPr>
          <w:lang w:eastAsia="ja-JP"/>
        </w:rPr>
        <w:t>PatchLoDScaleY</w:t>
      </w:r>
      <w:r w:rsidR="00877CD2" w:rsidRPr="00A52AB8">
        <w:t>[ </w:t>
      </w:r>
      <w:r w:rsidR="00632FA7" w:rsidRPr="00A52AB8">
        <w:t>tileID</w:t>
      </w:r>
      <w:r w:rsidR="00877CD2" w:rsidRPr="00A52AB8">
        <w:t> </w:t>
      </w:r>
      <w:r w:rsidR="0006494C" w:rsidRPr="00A52AB8">
        <w:t>]</w:t>
      </w:r>
      <w:r w:rsidR="0006494C" w:rsidRPr="00A52AB8">
        <w:rPr>
          <w:lang w:eastAsia="ja-JP"/>
        </w:rPr>
        <w:t>[ </w:t>
      </w:r>
      <w:r w:rsidRPr="00A52AB8">
        <w:rPr>
          <w:lang w:eastAsia="ja-JP"/>
        </w:rPr>
        <w:t>p ]</w:t>
      </w:r>
      <w:r w:rsidR="00D47707" w:rsidRPr="00A52AB8">
        <w:rPr>
          <w:lang w:eastAsia="ja-JP"/>
        </w:rPr>
        <w:t> = </w:t>
      </w:r>
      <w:r w:rsidRPr="00A52AB8">
        <w:rPr>
          <w:lang w:eastAsia="ja-JP"/>
        </w:rPr>
        <w:t>refPatchLoDScaleY</w:t>
      </w:r>
      <w:r w:rsidRPr="00A52AB8">
        <w:rPr>
          <w:lang w:eastAsia="ja-JP"/>
        </w:rPr>
        <w:tab/>
        <w:t>(</w:t>
      </w:r>
      <w:r w:rsidRPr="00496A4D">
        <w:rPr>
          <w:lang w:eastAsia="ja-JP"/>
        </w:rPr>
        <w:fldChar w:fldCharType="begin"/>
      </w:r>
      <w:r w:rsidRPr="00A52AB8">
        <w:rPr>
          <w:lang w:eastAsia="ja-JP"/>
        </w:rPr>
        <w:instrText xml:space="preserve"> </w:instrText>
      </w:r>
      <w:r w:rsidR="00646520" w:rsidRPr="00A52AB8">
        <w:rPr>
          <w:lang w:eastAsia="ja-JP"/>
        </w:rPr>
        <w:instrText>SEQ Equation \* ARABIC \n</w:instrText>
      </w:r>
      <w:r w:rsidRPr="00A52AB8">
        <w:rPr>
          <w:lang w:eastAsia="ja-JP"/>
        </w:rPr>
        <w:instrText xml:space="preserve"> </w:instrText>
      </w:r>
      <w:r w:rsidRPr="00496A4D">
        <w:rPr>
          <w:lang w:eastAsia="ja-JP"/>
        </w:rPr>
        <w:fldChar w:fldCharType="separate"/>
      </w:r>
      <w:r w:rsidR="00507A67">
        <w:rPr>
          <w:noProof/>
          <w:lang w:eastAsia="ja-JP"/>
        </w:rPr>
        <w:t>82</w:t>
      </w:r>
      <w:r w:rsidRPr="00496A4D">
        <w:rPr>
          <w:lang w:eastAsia="ja-JP"/>
        </w:rPr>
        <w:fldChar w:fldCharType="end"/>
      </w:r>
      <w:r w:rsidRPr="00A52AB8">
        <w:rPr>
          <w:lang w:eastAsia="ja-JP"/>
        </w:rPr>
        <w:t>)</w:t>
      </w:r>
    </w:p>
    <w:p w14:paraId="1AF65F50" w14:textId="77777777" w:rsidR="00653AD9" w:rsidRPr="00A52AB8" w:rsidRDefault="00144653">
      <w:pPr>
        <w:rPr>
          <w:lang w:eastAsia="ja-JP"/>
        </w:rPr>
      </w:pPr>
      <w:r w:rsidRPr="00A52AB8">
        <w:rPr>
          <w:lang w:eastAsia="ja-JP"/>
        </w:rPr>
        <w:tab/>
      </w:r>
      <w:r w:rsidR="00653AD9" w:rsidRPr="00A52AB8">
        <w:rPr>
          <w:lang w:eastAsia="ja-JP"/>
        </w:rPr>
        <w:t>If asps_plr_enabled_flag is equal to 1, the PLR patch parameters are derived as follows:</w:t>
      </w:r>
    </w:p>
    <w:p w14:paraId="0732B217" w14:textId="0A87271B" w:rsidR="004C7DDF" w:rsidRPr="00A52AB8" w:rsidRDefault="005B28E4" w:rsidP="004A6049">
      <w:pPr>
        <w:jc w:val="left"/>
      </w:pPr>
      <w:r w:rsidRPr="00A52AB8">
        <w:tab/>
      </w:r>
      <w:r w:rsidR="00CB2378" w:rsidRPr="00A52AB8">
        <w:tab/>
      </w:r>
      <w:r w:rsidRPr="00A52AB8">
        <w:t>blockCnt</w:t>
      </w:r>
      <w:r w:rsidR="00D47707" w:rsidRPr="00A52AB8">
        <w:t> = </w:t>
      </w:r>
      <w:r w:rsidRPr="00A52AB8">
        <w:t>BlockCnt( TilePatch2dSizeX[ tileID ][ p ], TilePatch2dSizeY[ tileID ][ p ] )</w:t>
      </w:r>
      <w:r w:rsidRPr="00A52AB8">
        <w:rPr>
          <w:lang w:eastAsia="ja-JP"/>
        </w:rPr>
        <w:br/>
      </w:r>
      <w:r w:rsidR="00144653" w:rsidRPr="00A52AB8">
        <w:tab/>
      </w:r>
      <w:r w:rsidR="00CB2378" w:rsidRPr="00A52AB8">
        <w:tab/>
      </w:r>
      <w:r w:rsidR="00757C1B" w:rsidRPr="00A52AB8">
        <w:t>for( m</w:t>
      </w:r>
      <w:r w:rsidR="00D47707" w:rsidRPr="00A52AB8">
        <w:t> = </w:t>
      </w:r>
      <w:r w:rsidR="00757C1B" w:rsidRPr="00A52AB8">
        <w:t>0; m &lt; asps_map_count_minus1 + 1; m</w:t>
      </w:r>
      <w:r w:rsidR="00006CCF" w:rsidRPr="00A52AB8">
        <w:t>++ </w:t>
      </w:r>
      <w:r w:rsidR="008F1F82" w:rsidRPr="00A52AB8">
        <w:t>) {</w:t>
      </w:r>
      <w:r w:rsidR="00757C1B" w:rsidRPr="00A52AB8">
        <w:tab/>
        <w:t>(</w:t>
      </w:r>
      <w:r w:rsidR="00757C1B" w:rsidRPr="00496A4D">
        <w:fldChar w:fldCharType="begin"/>
      </w:r>
      <w:r w:rsidR="00757C1B" w:rsidRPr="00A52AB8">
        <w:instrText xml:space="preserve"> SEQ Equation \* ARABIC \n </w:instrText>
      </w:r>
      <w:r w:rsidR="00757C1B" w:rsidRPr="00496A4D">
        <w:fldChar w:fldCharType="separate"/>
      </w:r>
      <w:r w:rsidR="00507A67">
        <w:rPr>
          <w:noProof/>
        </w:rPr>
        <w:t>83</w:t>
      </w:r>
      <w:r w:rsidR="00757C1B" w:rsidRPr="00496A4D">
        <w:fldChar w:fldCharType="end"/>
      </w:r>
      <w:r w:rsidR="00757C1B" w:rsidRPr="00A52AB8">
        <w:t>)</w:t>
      </w:r>
      <w:r w:rsidR="00757C1B" w:rsidRPr="00A52AB8">
        <w:br/>
      </w:r>
      <w:r w:rsidR="00757C1B" w:rsidRPr="00A52AB8">
        <w:tab/>
      </w:r>
      <w:r w:rsidR="00757C1B" w:rsidRPr="00A52AB8">
        <w:tab/>
      </w:r>
      <w:r w:rsidR="00CB2378" w:rsidRPr="00A52AB8">
        <w:tab/>
      </w:r>
      <w:r w:rsidR="00757C1B" w:rsidRPr="00A52AB8">
        <w:t>if( plri_map_present_flag[ m ]</w:t>
      </w:r>
      <w:r w:rsidR="008768E9" w:rsidRPr="00A52AB8">
        <w:t> </w:t>
      </w:r>
      <w:r w:rsidR="00726AAE" w:rsidRPr="00A52AB8">
        <w:t>==</w:t>
      </w:r>
      <w:r w:rsidR="00D47707" w:rsidRPr="00A52AB8">
        <w:t> </w:t>
      </w:r>
      <w:r w:rsidR="00757C1B" w:rsidRPr="00A52AB8">
        <w:t>1 </w:t>
      </w:r>
      <w:r w:rsidR="008F1F82" w:rsidRPr="00A52AB8">
        <w:t>) {</w:t>
      </w:r>
      <w:r w:rsidR="00757C1B" w:rsidRPr="00A52AB8">
        <w:br/>
      </w:r>
      <w:r w:rsidR="00757C1B" w:rsidRPr="00A52AB8">
        <w:tab/>
      </w:r>
      <w:r w:rsidR="00CB2378" w:rsidRPr="00A52AB8">
        <w:tab/>
      </w:r>
      <w:r w:rsidR="00757C1B" w:rsidRPr="00A52AB8">
        <w:tab/>
      </w:r>
      <w:r w:rsidR="00757C1B" w:rsidRPr="00A52AB8">
        <w:tab/>
        <w:t>TilePatchPlrdLevel[ tileID ][ p ]</w:t>
      </w:r>
      <w:r w:rsidR="00E869BD" w:rsidRPr="00A52AB8">
        <w:t>[ m ]</w:t>
      </w:r>
      <w:r w:rsidR="00D47707" w:rsidRPr="00A52AB8">
        <w:t> = </w:t>
      </w:r>
      <w:r w:rsidR="00757C1B" w:rsidRPr="00A52AB8">
        <w:t>refPatchPlrdLevel[ m ]</w:t>
      </w:r>
      <w:r w:rsidRPr="00A52AB8">
        <w:br/>
      </w:r>
      <w:r w:rsidR="00757C1B" w:rsidRPr="00A52AB8">
        <w:tab/>
      </w:r>
      <w:r w:rsidR="00757C1B" w:rsidRPr="00A52AB8">
        <w:tab/>
      </w:r>
      <w:r w:rsidR="00CB2378" w:rsidRPr="00A52AB8">
        <w:tab/>
      </w:r>
      <w:r w:rsidR="00757C1B" w:rsidRPr="00A52AB8">
        <w:tab/>
        <w:t>if(</w:t>
      </w:r>
      <w:r w:rsidR="00CB2378" w:rsidRPr="00A52AB8">
        <w:t> </w:t>
      </w:r>
      <w:r w:rsidR="00757C1B" w:rsidRPr="00A52AB8">
        <w:t>TilePatchPlrdLevel</w:t>
      </w:r>
      <w:r w:rsidR="00144653" w:rsidRPr="00A52AB8">
        <w:t>[ tileID ][ p ][ m ]</w:t>
      </w:r>
      <w:r w:rsidR="008768E9" w:rsidRPr="00A52AB8">
        <w:t> </w:t>
      </w:r>
      <w:r w:rsidR="00726AAE" w:rsidRPr="00A52AB8">
        <w:t>==</w:t>
      </w:r>
      <w:r w:rsidR="00D47707" w:rsidRPr="00A52AB8">
        <w:t> </w:t>
      </w:r>
      <w:r w:rsidR="00757C1B" w:rsidRPr="00A52AB8">
        <w:t>0 </w:t>
      </w:r>
      <w:r w:rsidR="008F1F82" w:rsidRPr="00A52AB8">
        <w:t>) {</w:t>
      </w:r>
      <w:r w:rsidRPr="00A52AB8">
        <w:br/>
      </w:r>
      <w:r w:rsidR="00757C1B" w:rsidRPr="00A52AB8">
        <w:tab/>
      </w:r>
      <w:r w:rsidR="00757C1B" w:rsidRPr="00A52AB8">
        <w:tab/>
      </w:r>
      <w:r w:rsidR="00757C1B" w:rsidRPr="00A52AB8">
        <w:tab/>
      </w:r>
      <w:r w:rsidR="00CB2378" w:rsidRPr="00A52AB8">
        <w:tab/>
      </w:r>
      <w:r w:rsidR="00757C1B" w:rsidRPr="00A52AB8">
        <w:tab/>
        <w:t>for( j</w:t>
      </w:r>
      <w:r w:rsidR="00D47707" w:rsidRPr="00A52AB8">
        <w:t> = </w:t>
      </w:r>
      <w:r w:rsidR="00757C1B" w:rsidRPr="00A52AB8">
        <w:t>0; j &lt; </w:t>
      </w:r>
      <w:r w:rsidRPr="00A52AB8">
        <w:t>b</w:t>
      </w:r>
      <w:r w:rsidR="00757C1B" w:rsidRPr="00A52AB8">
        <w:t>lockCnt; j</w:t>
      </w:r>
      <w:r w:rsidR="00006CCF" w:rsidRPr="00A52AB8">
        <w:t>++ </w:t>
      </w:r>
      <w:r w:rsidR="008F1F82" w:rsidRPr="00A52AB8">
        <w:t>) {</w:t>
      </w:r>
      <w:r w:rsidRPr="00A52AB8">
        <w:br/>
      </w:r>
      <w:r w:rsidR="00757C1B" w:rsidRPr="00A52AB8">
        <w:tab/>
      </w:r>
      <w:r w:rsidR="00757C1B" w:rsidRPr="00A52AB8">
        <w:tab/>
      </w:r>
      <w:r w:rsidR="00757C1B" w:rsidRPr="00A52AB8">
        <w:tab/>
      </w:r>
      <w:r w:rsidR="00757C1B" w:rsidRPr="00A52AB8">
        <w:tab/>
      </w:r>
      <w:r w:rsidR="00CB2378" w:rsidRPr="00A52AB8">
        <w:tab/>
      </w:r>
      <w:r w:rsidR="00757C1B" w:rsidRPr="00A52AB8">
        <w:tab/>
        <w:t>TilePatchPlrdPresentBlockFlag</w:t>
      </w:r>
      <w:r w:rsidR="00144653" w:rsidRPr="00A52AB8">
        <w:t>[ tileID ][ p ][ m ]</w:t>
      </w:r>
      <w:r w:rsidR="00757C1B" w:rsidRPr="00A52AB8">
        <w:t>[ j ] =</w:t>
      </w:r>
      <w:r w:rsidRPr="00A52AB8">
        <w:br/>
      </w:r>
      <w:r w:rsidRPr="00A52AB8">
        <w:tab/>
      </w:r>
      <w:r w:rsidRPr="00A52AB8">
        <w:tab/>
      </w:r>
      <w:r w:rsidRPr="00A52AB8">
        <w:tab/>
      </w:r>
      <w:r w:rsidRPr="00A52AB8">
        <w:tab/>
      </w:r>
      <w:r w:rsidRPr="00A52AB8">
        <w:tab/>
      </w:r>
      <w:r w:rsidR="00CB2378" w:rsidRPr="00A52AB8">
        <w:tab/>
      </w:r>
      <w:r w:rsidRPr="00A52AB8">
        <w:tab/>
        <w:t>r</w:t>
      </w:r>
      <w:r w:rsidR="00757C1B" w:rsidRPr="00A52AB8">
        <w:t>efPatchPlrdPresentBlockFlag[ m ][ j ]</w:t>
      </w:r>
      <w:r w:rsidRPr="00A52AB8">
        <w:br/>
      </w:r>
      <w:r w:rsidR="00CB2378" w:rsidRPr="00A52AB8">
        <w:tab/>
      </w:r>
      <w:r w:rsidR="00757C1B" w:rsidRPr="00A52AB8">
        <w:tab/>
      </w:r>
      <w:r w:rsidR="00757C1B" w:rsidRPr="00A52AB8">
        <w:tab/>
      </w:r>
      <w:r w:rsidR="00757C1B" w:rsidRPr="00A52AB8">
        <w:tab/>
      </w:r>
      <w:r w:rsidR="00757C1B" w:rsidRPr="00A52AB8">
        <w:tab/>
      </w:r>
      <w:r w:rsidR="00757C1B" w:rsidRPr="00A52AB8">
        <w:tab/>
        <w:t>if( TilePatchPlrdPresentBlockFlag</w:t>
      </w:r>
      <w:r w:rsidR="00144653" w:rsidRPr="00A52AB8">
        <w:t>[ tileID ][ p ][ m ]</w:t>
      </w:r>
      <w:r w:rsidR="00757C1B" w:rsidRPr="00A52AB8">
        <w:t>[ j ]</w:t>
      </w:r>
      <w:r w:rsidR="008768E9" w:rsidRPr="00A52AB8">
        <w:t> </w:t>
      </w:r>
      <w:r w:rsidR="00726AAE" w:rsidRPr="00A52AB8">
        <w:t>==</w:t>
      </w:r>
      <w:r w:rsidR="00D47707" w:rsidRPr="00A52AB8">
        <w:t> </w:t>
      </w:r>
      <w:r w:rsidR="00757C1B" w:rsidRPr="00A52AB8">
        <w:t>1 )</w:t>
      </w:r>
      <w:r w:rsidRPr="00A52AB8">
        <w:br/>
      </w:r>
      <w:r w:rsidR="00757C1B" w:rsidRPr="00A52AB8">
        <w:tab/>
      </w:r>
      <w:r w:rsidR="00CB2378" w:rsidRPr="00A52AB8">
        <w:tab/>
      </w:r>
      <w:r w:rsidR="00757C1B" w:rsidRPr="00A52AB8">
        <w:tab/>
      </w:r>
      <w:r w:rsidR="00757C1B" w:rsidRPr="00A52AB8">
        <w:tab/>
      </w:r>
      <w:r w:rsidR="00757C1B" w:rsidRPr="00A52AB8">
        <w:tab/>
      </w:r>
      <w:r w:rsidR="00757C1B" w:rsidRPr="00A52AB8">
        <w:tab/>
      </w:r>
      <w:r w:rsidR="00144653" w:rsidRPr="00A52AB8">
        <w:tab/>
      </w:r>
      <w:r w:rsidR="00757C1B" w:rsidRPr="00A52AB8">
        <w:t>TilePatchPlrdBlockModeMinus1</w:t>
      </w:r>
      <w:r w:rsidR="00144653" w:rsidRPr="00A52AB8">
        <w:t>[ tileID ][ p ][ m ]</w:t>
      </w:r>
      <w:r w:rsidR="00757C1B" w:rsidRPr="00A52AB8">
        <w:t>[ j ] =</w:t>
      </w:r>
      <w:r w:rsidRPr="00A52AB8">
        <w:br/>
      </w:r>
      <w:r w:rsidR="00757C1B" w:rsidRPr="00A52AB8">
        <w:tab/>
      </w:r>
      <w:r w:rsidR="00757C1B" w:rsidRPr="00A52AB8">
        <w:tab/>
      </w:r>
      <w:r w:rsidR="00CB2378" w:rsidRPr="00A52AB8">
        <w:tab/>
      </w:r>
      <w:r w:rsidR="00757C1B" w:rsidRPr="00A52AB8">
        <w:tab/>
      </w:r>
      <w:r w:rsidR="00757C1B" w:rsidRPr="00A52AB8">
        <w:tab/>
      </w:r>
      <w:r w:rsidR="00757C1B" w:rsidRPr="00A52AB8">
        <w:tab/>
      </w:r>
      <w:r w:rsidR="00757C1B" w:rsidRPr="00A52AB8">
        <w:tab/>
      </w:r>
      <w:r w:rsidR="00757C1B" w:rsidRPr="00A52AB8">
        <w:tab/>
        <w:t>refPatchPlrdBlockModeMinus1[ m ][ j ]</w:t>
      </w:r>
      <w:r w:rsidR="00757C1B" w:rsidRPr="00A52AB8">
        <w:br/>
      </w:r>
      <w:r w:rsidR="00757C1B" w:rsidRPr="00A52AB8">
        <w:tab/>
      </w:r>
      <w:r w:rsidR="00757C1B" w:rsidRPr="00A52AB8">
        <w:tab/>
      </w:r>
      <w:r w:rsidR="00757C1B" w:rsidRPr="00A52AB8">
        <w:tab/>
      </w:r>
      <w:r w:rsidR="00CB2378" w:rsidRPr="00A52AB8">
        <w:tab/>
      </w:r>
      <w:r w:rsidR="00757C1B" w:rsidRPr="00A52AB8">
        <w:tab/>
        <w:t>}</w:t>
      </w:r>
      <w:r w:rsidR="00757C1B" w:rsidRPr="00A52AB8">
        <w:br/>
      </w:r>
      <w:r w:rsidR="00CB2378" w:rsidRPr="00A52AB8">
        <w:tab/>
      </w:r>
      <w:r w:rsidR="00757C1B" w:rsidRPr="00A52AB8">
        <w:tab/>
      </w:r>
      <w:r w:rsidR="00757C1B" w:rsidRPr="00A52AB8">
        <w:tab/>
      </w:r>
      <w:r w:rsidR="00757C1B" w:rsidRPr="00A52AB8">
        <w:tab/>
      </w:r>
      <w:r w:rsidR="0023721F" w:rsidRPr="00A52AB8">
        <w:t>} else {</w:t>
      </w:r>
      <w:r w:rsidRPr="00A52AB8">
        <w:br/>
      </w:r>
      <w:r w:rsidR="00757C1B" w:rsidRPr="00A52AB8">
        <w:tab/>
      </w:r>
      <w:r w:rsidR="00CB2378" w:rsidRPr="00A52AB8">
        <w:tab/>
      </w:r>
      <w:r w:rsidR="00757C1B" w:rsidRPr="00A52AB8">
        <w:tab/>
      </w:r>
      <w:r w:rsidR="00757C1B" w:rsidRPr="00A52AB8">
        <w:tab/>
      </w:r>
      <w:r w:rsidR="00757C1B" w:rsidRPr="00A52AB8">
        <w:tab/>
        <w:t>TilePatchPlrdPresentFlag</w:t>
      </w:r>
      <w:r w:rsidR="00144653" w:rsidRPr="00A52AB8">
        <w:t>[ tileID ][ p ][ m ]</w:t>
      </w:r>
      <w:r w:rsidR="00D47707" w:rsidRPr="00A52AB8">
        <w:t> = </w:t>
      </w:r>
      <w:r w:rsidR="00757C1B" w:rsidRPr="00A52AB8">
        <w:t>refPatchPlrdPresentFlag[ m ]</w:t>
      </w:r>
      <w:r w:rsidRPr="00A52AB8">
        <w:br/>
      </w:r>
      <w:r w:rsidR="00757C1B" w:rsidRPr="00A52AB8">
        <w:tab/>
      </w:r>
      <w:r w:rsidR="00757C1B" w:rsidRPr="00A52AB8">
        <w:tab/>
      </w:r>
      <w:r w:rsidR="00CB2378" w:rsidRPr="00A52AB8">
        <w:tab/>
      </w:r>
      <w:r w:rsidR="00757C1B" w:rsidRPr="00A52AB8">
        <w:tab/>
      </w:r>
      <w:r w:rsidR="00757C1B" w:rsidRPr="00A52AB8">
        <w:tab/>
        <w:t>if( TilePatchPlrdPresentFlag</w:t>
      </w:r>
      <w:r w:rsidR="00144653" w:rsidRPr="00A52AB8">
        <w:t>[ tileID ][ p ][ m ]</w:t>
      </w:r>
      <w:r w:rsidR="008768E9" w:rsidRPr="00A52AB8">
        <w:t> </w:t>
      </w:r>
      <w:r w:rsidR="00726AAE" w:rsidRPr="00A52AB8">
        <w:t>==</w:t>
      </w:r>
      <w:r w:rsidR="00D47707" w:rsidRPr="00A52AB8">
        <w:t> </w:t>
      </w:r>
      <w:r w:rsidR="00757C1B" w:rsidRPr="00A52AB8">
        <w:t>1 )</w:t>
      </w:r>
      <w:r w:rsidR="00D47911" w:rsidRPr="00A52AB8">
        <w:br/>
      </w:r>
      <w:r w:rsidR="00757C1B" w:rsidRPr="00A52AB8">
        <w:tab/>
      </w:r>
      <w:r w:rsidR="00757C1B" w:rsidRPr="00A52AB8">
        <w:tab/>
      </w:r>
      <w:r w:rsidR="00757C1B" w:rsidRPr="00A52AB8">
        <w:tab/>
      </w:r>
      <w:r w:rsidR="00CB2378" w:rsidRPr="00A52AB8">
        <w:tab/>
      </w:r>
      <w:r w:rsidR="00757C1B" w:rsidRPr="00A52AB8">
        <w:tab/>
      </w:r>
      <w:r w:rsidR="00757C1B" w:rsidRPr="00A52AB8">
        <w:tab/>
        <w:t>TilePatchPlrdModeMinus1</w:t>
      </w:r>
      <w:r w:rsidR="00144653" w:rsidRPr="00A52AB8">
        <w:t>[ tileID ][ p ][ m ]</w:t>
      </w:r>
      <w:r w:rsidR="00D47707" w:rsidRPr="00A52AB8">
        <w:t> = </w:t>
      </w:r>
      <w:r w:rsidR="00757C1B" w:rsidRPr="00A52AB8">
        <w:t>refPlrdModeMinus1[ m ]</w:t>
      </w:r>
      <w:r w:rsidR="006F3BB2" w:rsidRPr="00A52AB8">
        <w:br/>
      </w:r>
      <w:r w:rsidR="006F3BB2" w:rsidRPr="00A52AB8">
        <w:tab/>
      </w:r>
      <w:r w:rsidR="006F3BB2" w:rsidRPr="00A52AB8">
        <w:tab/>
      </w:r>
      <w:r w:rsidR="006F3BB2" w:rsidRPr="00A52AB8">
        <w:tab/>
      </w:r>
      <w:r w:rsidR="00CB2378" w:rsidRPr="00A52AB8">
        <w:tab/>
      </w:r>
      <w:r w:rsidR="006F3BB2" w:rsidRPr="00A52AB8">
        <w:t>}</w:t>
      </w:r>
      <w:r w:rsidR="00757C1B" w:rsidRPr="00A52AB8">
        <w:br/>
      </w:r>
      <w:r w:rsidR="00757C1B" w:rsidRPr="00A52AB8">
        <w:tab/>
      </w:r>
      <w:r w:rsidR="00CB2378" w:rsidRPr="00A52AB8">
        <w:tab/>
      </w:r>
      <w:r w:rsidR="00757C1B" w:rsidRPr="00A52AB8">
        <w:tab/>
        <w:t>}</w:t>
      </w:r>
      <w:r w:rsidR="00757C1B" w:rsidRPr="00A52AB8">
        <w:br/>
      </w:r>
      <w:r w:rsidR="00CB2378" w:rsidRPr="00A52AB8">
        <w:tab/>
      </w:r>
      <w:r w:rsidR="00757C1B" w:rsidRPr="00A52AB8">
        <w:tab/>
        <w:t>}</w:t>
      </w:r>
    </w:p>
    <w:p w14:paraId="2C6CAC5C" w14:textId="77777777" w:rsidR="0050235C" w:rsidRPr="00A52AB8" w:rsidRDefault="00E251FB" w:rsidP="005C26E9">
      <w:pPr>
        <w:pStyle w:val="Heading4"/>
      </w:pPr>
      <w:bookmarkStart w:id="1509" w:name="_Ref21509822"/>
      <w:r w:rsidRPr="00A52AB8">
        <w:t xml:space="preserve">Decoding process for </w:t>
      </w:r>
      <w:r w:rsidR="00E63010" w:rsidRPr="00A52AB8">
        <w:t>patch data unit</w:t>
      </w:r>
      <w:r w:rsidRPr="00A52AB8">
        <w:t xml:space="preserve">s coded in </w:t>
      </w:r>
      <w:r w:rsidR="003D3901" w:rsidRPr="00A52AB8">
        <w:t>merge</w:t>
      </w:r>
      <w:r w:rsidRPr="00A52AB8">
        <w:t xml:space="preserve"> prediction mode</w:t>
      </w:r>
      <w:bookmarkEnd w:id="1509"/>
    </w:p>
    <w:p w14:paraId="1488A4D9" w14:textId="06568D7C" w:rsidR="00E251FB" w:rsidRPr="00A52AB8" w:rsidRDefault="00E251FB" w:rsidP="009069AB">
      <w:pPr>
        <w:tabs>
          <w:tab w:val="clear" w:pos="403"/>
        </w:tabs>
        <w:spacing w:before="120" w:after="120" w:line="240" w:lineRule="auto"/>
      </w:pPr>
      <w:r w:rsidRPr="00A52AB8">
        <w:t>Input</w:t>
      </w:r>
      <w:r w:rsidR="009069AB" w:rsidRPr="00A52AB8">
        <w:t>s</w:t>
      </w:r>
      <w:r w:rsidRPr="00A52AB8">
        <w:t xml:space="preserve"> to this process </w:t>
      </w:r>
      <w:r w:rsidR="009069AB" w:rsidRPr="00A52AB8">
        <w:t xml:space="preserve">are </w:t>
      </w:r>
      <w:r w:rsidRPr="00A52AB8">
        <w:t xml:space="preserve">the current patch index, </w:t>
      </w:r>
      <w:r w:rsidRPr="00A52AB8">
        <w:rPr>
          <w:color w:val="000000" w:themeColor="text1"/>
        </w:rPr>
        <w:t>p</w:t>
      </w:r>
      <w:r w:rsidR="00877CD2" w:rsidRPr="00A52AB8">
        <w:rPr>
          <w:color w:val="000000" w:themeColor="text1"/>
        </w:rPr>
        <w:t xml:space="preserve">, and the current tile </w:t>
      </w:r>
      <w:r w:rsidR="00AE739A" w:rsidRPr="00A52AB8">
        <w:rPr>
          <w:color w:val="000000" w:themeColor="text1"/>
        </w:rPr>
        <w:t>ID</w:t>
      </w:r>
      <w:r w:rsidR="00877CD2" w:rsidRPr="00A52AB8">
        <w:rPr>
          <w:color w:val="000000" w:themeColor="text1"/>
        </w:rPr>
        <w:t xml:space="preserve">, </w:t>
      </w:r>
      <w:r w:rsidR="00632FA7" w:rsidRPr="00A52AB8">
        <w:rPr>
          <w:color w:val="000000" w:themeColor="text1"/>
        </w:rPr>
        <w:t>tileID</w:t>
      </w:r>
      <w:r w:rsidRPr="00A52AB8">
        <w:t>.</w:t>
      </w:r>
    </w:p>
    <w:p w14:paraId="5928DDB1" w14:textId="77777777" w:rsidR="00874E69" w:rsidRPr="00A52AB8" w:rsidRDefault="00251A32" w:rsidP="009069AB">
      <w:pPr>
        <w:rPr>
          <w:color w:val="000000" w:themeColor="text1"/>
        </w:rPr>
      </w:pPr>
      <w:r w:rsidRPr="00A52AB8">
        <w:t xml:space="preserve">First, the reference atlas frame index, refIdx, is derived as </w:t>
      </w:r>
      <w:r w:rsidRPr="00A52AB8">
        <w:rPr>
          <w:color w:val="000000" w:themeColor="text1"/>
        </w:rPr>
        <w:t>mpdu_ref_index[ </w:t>
      </w:r>
      <w:r w:rsidR="00632FA7" w:rsidRPr="00A52AB8">
        <w:rPr>
          <w:color w:val="000000" w:themeColor="text1"/>
        </w:rPr>
        <w:t>tileID</w:t>
      </w:r>
      <w:r w:rsidRPr="00A52AB8">
        <w:rPr>
          <w:color w:val="000000" w:themeColor="text1"/>
        </w:rPr>
        <w:t> ][ p ].</w:t>
      </w:r>
    </w:p>
    <w:p w14:paraId="0FCDA65F" w14:textId="77777777" w:rsidR="00251A32" w:rsidRPr="00A52AB8" w:rsidRDefault="00874E69" w:rsidP="009069AB">
      <w:pPr>
        <w:rPr>
          <w:color w:val="000000" w:themeColor="text1"/>
        </w:rPr>
      </w:pPr>
      <w:r w:rsidRPr="00A52AB8">
        <w:rPr>
          <w:color w:val="000000" w:themeColor="text1"/>
        </w:rPr>
        <w:t xml:space="preserve">Then the reference atlas frame, refAtlasFrm, is selected as the atlas frame corresponding to </w:t>
      </w:r>
      <w:r w:rsidR="009A7A2F" w:rsidRPr="00A52AB8">
        <w:rPr>
          <w:color w:val="000000" w:themeColor="text1"/>
        </w:rPr>
        <w:t>the ( refIdx + 1 )</w:t>
      </w:r>
      <w:r w:rsidR="003609A8" w:rsidRPr="00A52AB8">
        <w:rPr>
          <w:color w:val="000000" w:themeColor="text1"/>
        </w:rPr>
        <w:t>-</w:t>
      </w:r>
      <w:r w:rsidR="009A7A2F" w:rsidRPr="00A52AB8">
        <w:rPr>
          <w:color w:val="000000" w:themeColor="text1"/>
        </w:rPr>
        <w:t xml:space="preserve">th </w:t>
      </w:r>
      <w:r w:rsidR="003609A8" w:rsidRPr="00A52AB8">
        <w:rPr>
          <w:color w:val="000000" w:themeColor="text1"/>
        </w:rPr>
        <w:t>entry</w:t>
      </w:r>
      <w:r w:rsidR="00062F89" w:rsidRPr="00A52AB8">
        <w:rPr>
          <w:color w:val="000000" w:themeColor="text1"/>
        </w:rPr>
        <w:t xml:space="preserve"> in the reference atlas frame list</w:t>
      </w:r>
      <w:r w:rsidR="003609A8" w:rsidRPr="00A52AB8">
        <w:rPr>
          <w:color w:val="000000" w:themeColor="text1"/>
        </w:rPr>
        <w:t xml:space="preserve"> </w:t>
      </w:r>
      <w:r w:rsidRPr="00A52AB8">
        <w:t>RefAtlasFrmList</w:t>
      </w:r>
      <w:r w:rsidR="004C77D7" w:rsidRPr="00A52AB8">
        <w:t>, RefAtlasFrmList[ refIdx ]</w:t>
      </w:r>
      <w:r w:rsidR="00343849" w:rsidRPr="00A52AB8">
        <w:t>.</w:t>
      </w:r>
    </w:p>
    <w:p w14:paraId="5F744089" w14:textId="77777777" w:rsidR="00E251FB" w:rsidRPr="00A52AB8" w:rsidRDefault="00E251FB" w:rsidP="009F7C49">
      <w:pPr>
        <w:pStyle w:val="Equation"/>
        <w:spacing w:before="120" w:after="120"/>
        <w:jc w:val="both"/>
        <w:rPr>
          <w:color w:val="000000" w:themeColor="text1"/>
          <w:lang w:eastAsia="ja-JP"/>
        </w:rPr>
      </w:pPr>
      <w:r w:rsidRPr="00A52AB8">
        <w:rPr>
          <w:color w:val="000000" w:themeColor="text1"/>
          <w:lang w:eastAsia="ja-JP"/>
        </w:rPr>
        <w:t xml:space="preserve">If p is equal to 0, then </w:t>
      </w:r>
      <w:r w:rsidR="00AA5C06" w:rsidRPr="00A52AB8">
        <w:rPr>
          <w:color w:val="000000" w:themeColor="text1"/>
          <w:lang w:eastAsia="ja-JP"/>
        </w:rPr>
        <w:t xml:space="preserve">PredictorIdx </w:t>
      </w:r>
      <w:r w:rsidRPr="00A52AB8">
        <w:rPr>
          <w:color w:val="000000" w:themeColor="text1"/>
          <w:lang w:eastAsia="ja-JP"/>
        </w:rPr>
        <w:t>is set to 0.</w:t>
      </w:r>
    </w:p>
    <w:p w14:paraId="09DCA030" w14:textId="470E70BA" w:rsidR="00E251FB" w:rsidRPr="00A52AB8" w:rsidRDefault="00E251FB" w:rsidP="009F7C49">
      <w:pPr>
        <w:pStyle w:val="Equation"/>
        <w:spacing w:before="120" w:after="120"/>
        <w:jc w:val="both"/>
        <w:rPr>
          <w:color w:val="000000" w:themeColor="text1"/>
          <w:lang w:eastAsia="ja-JP"/>
        </w:rPr>
      </w:pPr>
      <w:r w:rsidRPr="00A52AB8">
        <w:rPr>
          <w:color w:val="000000" w:themeColor="text1"/>
          <w:lang w:eastAsia="ja-JP"/>
        </w:rPr>
        <w:t xml:space="preserve">Then the </w:t>
      </w:r>
      <w:r w:rsidR="009069AB" w:rsidRPr="00A52AB8">
        <w:rPr>
          <w:color w:val="000000" w:themeColor="text1"/>
          <w:lang w:eastAsia="ja-JP"/>
        </w:rPr>
        <w:t xml:space="preserve">predictor </w:t>
      </w:r>
      <w:r w:rsidRPr="00A52AB8">
        <w:rPr>
          <w:color w:val="000000" w:themeColor="text1"/>
          <w:lang w:eastAsia="ja-JP"/>
        </w:rPr>
        <w:t xml:space="preserve">patch index, </w:t>
      </w:r>
      <w:r w:rsidR="00ED2E82" w:rsidRPr="00A52AB8">
        <w:rPr>
          <w:color w:val="000000" w:themeColor="text1"/>
          <w:lang w:eastAsia="ja-JP"/>
        </w:rPr>
        <w:t>RefPatchIdx</w:t>
      </w:r>
      <w:r w:rsidRPr="00A52AB8">
        <w:rPr>
          <w:color w:val="000000" w:themeColor="text1"/>
          <w:lang w:eastAsia="ja-JP"/>
        </w:rPr>
        <w:t xml:space="preserve">, in </w:t>
      </w:r>
      <w:r w:rsidR="004E5DBE" w:rsidRPr="00A52AB8">
        <w:rPr>
          <w:color w:val="000000" w:themeColor="text1"/>
          <w:lang w:eastAsia="ja-JP"/>
        </w:rPr>
        <w:t xml:space="preserve">the </w:t>
      </w:r>
      <w:r w:rsidR="009069AB" w:rsidRPr="00A52AB8">
        <w:rPr>
          <w:color w:val="000000" w:themeColor="text1"/>
          <w:lang w:eastAsia="ja-JP"/>
        </w:rPr>
        <w:t xml:space="preserve">tile with ID equal to tile ID, in the </w:t>
      </w:r>
      <w:r w:rsidR="00155E29" w:rsidRPr="00A52AB8">
        <w:rPr>
          <w:color w:val="000000" w:themeColor="text1"/>
          <w:lang w:eastAsia="ja-JP"/>
        </w:rPr>
        <w:t xml:space="preserve">reference </w:t>
      </w:r>
      <w:r w:rsidRPr="00A52AB8">
        <w:rPr>
          <w:color w:val="000000" w:themeColor="text1"/>
          <w:lang w:eastAsia="ja-JP"/>
        </w:rPr>
        <w:t>atlas frame</w:t>
      </w:r>
      <w:r w:rsidR="00155E29" w:rsidRPr="00A52AB8">
        <w:rPr>
          <w:color w:val="000000" w:themeColor="text1"/>
          <w:lang w:eastAsia="ja-JP"/>
        </w:rPr>
        <w:t xml:space="preserve">, refAtlasFrm, </w:t>
      </w:r>
      <w:r w:rsidRPr="00A52AB8">
        <w:rPr>
          <w:color w:val="000000" w:themeColor="text1"/>
          <w:lang w:eastAsia="ja-JP"/>
        </w:rPr>
        <w:t>is computed as:</w:t>
      </w:r>
    </w:p>
    <w:p w14:paraId="6FFA11CC" w14:textId="1A4E4180" w:rsidR="00E251FB" w:rsidRPr="00A52AB8" w:rsidRDefault="00E251FB" w:rsidP="009069AB">
      <w:pPr>
        <w:rPr>
          <w:lang w:eastAsia="ja-JP"/>
        </w:rPr>
      </w:pPr>
      <w:r w:rsidRPr="00A52AB8">
        <w:rPr>
          <w:lang w:eastAsia="ja-JP"/>
        </w:rPr>
        <w:tab/>
      </w:r>
      <w:r w:rsidR="00EF56DA" w:rsidRPr="00A52AB8">
        <w:rPr>
          <w:lang w:eastAsia="ja-JP"/>
        </w:rPr>
        <w:t>R</w:t>
      </w:r>
      <w:r w:rsidR="007C1840" w:rsidRPr="00A52AB8">
        <w:rPr>
          <w:lang w:eastAsia="ja-JP"/>
        </w:rPr>
        <w:t>efPatchIdx</w:t>
      </w:r>
      <w:r w:rsidR="0023721F" w:rsidRPr="00A52AB8">
        <w:rPr>
          <w:lang w:eastAsia="ja-JP"/>
        </w:rPr>
        <w:t> </w:t>
      </w:r>
      <w:r w:rsidR="00D47707" w:rsidRPr="00A52AB8">
        <w:rPr>
          <w:lang w:eastAsia="ja-JP"/>
        </w:rPr>
        <w:t>= </w:t>
      </w:r>
      <w:r w:rsidR="002C04DB" w:rsidRPr="00A52AB8">
        <w:rPr>
          <w:lang w:eastAsia="ja-JP"/>
        </w:rPr>
        <w:t>PredictorIdx</w:t>
      </w:r>
      <w:r w:rsidRPr="00A52AB8">
        <w:rPr>
          <w:lang w:eastAsia="ja-JP"/>
        </w:rPr>
        <w:tab/>
      </w:r>
      <w:r w:rsidR="00130122" w:rsidRPr="00A52AB8">
        <w:rPr>
          <w:lang w:eastAsia="ja-JP"/>
        </w:rPr>
        <w:tab/>
      </w:r>
      <w:r w:rsidR="00130122" w:rsidRPr="00A52AB8">
        <w:rPr>
          <w:lang w:eastAsia="ja-JP"/>
        </w:rPr>
        <w:tab/>
      </w:r>
      <w:r w:rsidR="00130122" w:rsidRPr="00A52AB8">
        <w:rPr>
          <w:lang w:eastAsia="ja-JP"/>
        </w:rPr>
        <w:tab/>
      </w:r>
      <w:r w:rsidR="00130122" w:rsidRPr="00A52AB8">
        <w:rPr>
          <w:lang w:eastAsia="ja-JP"/>
        </w:rPr>
        <w:tab/>
      </w:r>
      <w:r w:rsidRPr="00A52AB8">
        <w:rPr>
          <w:lang w:eastAsia="ja-JP"/>
        </w:rPr>
        <w:t>(</w:t>
      </w:r>
      <w:r w:rsidRPr="00496A4D">
        <w:rPr>
          <w:lang w:eastAsia="ja-JP"/>
        </w:rPr>
        <w:fldChar w:fldCharType="begin"/>
      </w:r>
      <w:r w:rsidRPr="00A52AB8">
        <w:rPr>
          <w:lang w:eastAsia="ja-JP"/>
        </w:rPr>
        <w:instrText xml:space="preserve"> </w:instrText>
      </w:r>
      <w:r w:rsidR="00646520" w:rsidRPr="00A52AB8">
        <w:rPr>
          <w:lang w:eastAsia="ja-JP"/>
        </w:rPr>
        <w:instrText>SEQ Equation \* ARABIC \n</w:instrText>
      </w:r>
      <w:r w:rsidRPr="00A52AB8">
        <w:rPr>
          <w:lang w:eastAsia="ja-JP"/>
        </w:rPr>
        <w:instrText xml:space="preserve"> </w:instrText>
      </w:r>
      <w:r w:rsidRPr="00496A4D">
        <w:rPr>
          <w:lang w:eastAsia="ja-JP"/>
        </w:rPr>
        <w:fldChar w:fldCharType="separate"/>
      </w:r>
      <w:r w:rsidR="00507A67">
        <w:rPr>
          <w:noProof/>
          <w:lang w:eastAsia="ja-JP"/>
        </w:rPr>
        <w:t>84</w:t>
      </w:r>
      <w:r w:rsidRPr="00496A4D">
        <w:rPr>
          <w:lang w:eastAsia="ja-JP"/>
        </w:rPr>
        <w:fldChar w:fldCharType="end"/>
      </w:r>
      <w:r w:rsidRPr="00A52AB8">
        <w:rPr>
          <w:lang w:eastAsia="ja-JP"/>
        </w:rPr>
        <w:t>)</w:t>
      </w:r>
    </w:p>
    <w:p w14:paraId="6789C06F" w14:textId="0A35325C" w:rsidR="00E251FB" w:rsidRPr="00A52AB8" w:rsidRDefault="00E251FB" w:rsidP="009F7C49">
      <w:pPr>
        <w:pStyle w:val="Equation"/>
        <w:spacing w:before="120" w:after="120"/>
        <w:jc w:val="both"/>
        <w:rPr>
          <w:color w:val="000000" w:themeColor="text1"/>
        </w:rPr>
      </w:pPr>
      <w:r w:rsidRPr="00A52AB8">
        <w:rPr>
          <w:color w:val="000000" w:themeColor="text1"/>
        </w:rPr>
        <w:t xml:space="preserve">and </w:t>
      </w:r>
      <w:r w:rsidR="002C04DB" w:rsidRPr="00A52AB8">
        <w:rPr>
          <w:color w:val="000000" w:themeColor="text1"/>
        </w:rPr>
        <w:t xml:space="preserve">PredictorIdx </w:t>
      </w:r>
      <w:r w:rsidRPr="00A52AB8">
        <w:rPr>
          <w:color w:val="000000" w:themeColor="text1"/>
        </w:rPr>
        <w:t xml:space="preserve">is set to </w:t>
      </w:r>
      <w:r w:rsidR="00ED2E82" w:rsidRPr="00A52AB8">
        <w:rPr>
          <w:color w:val="000000" w:themeColor="text1"/>
        </w:rPr>
        <w:t>RefPatchIdx</w:t>
      </w:r>
      <w:r w:rsidR="00CD5BC7" w:rsidRPr="00A52AB8">
        <w:rPr>
          <w:color w:val="000000" w:themeColor="text1"/>
        </w:rPr>
        <w:t> </w:t>
      </w:r>
      <w:r w:rsidRPr="00A52AB8">
        <w:rPr>
          <w:color w:val="000000" w:themeColor="text1"/>
        </w:rPr>
        <w:t>+</w:t>
      </w:r>
      <w:r w:rsidR="00CD5BC7" w:rsidRPr="00A52AB8">
        <w:rPr>
          <w:color w:val="000000" w:themeColor="text1"/>
        </w:rPr>
        <w:t> </w:t>
      </w:r>
      <w:r w:rsidRPr="00A52AB8">
        <w:rPr>
          <w:color w:val="000000" w:themeColor="text1"/>
        </w:rPr>
        <w:t>1.</w:t>
      </w:r>
    </w:p>
    <w:p w14:paraId="71D8359F" w14:textId="1D954EC1" w:rsidR="00706CAE" w:rsidRPr="00A52AB8" w:rsidRDefault="0062075A" w:rsidP="009069AB">
      <w:pPr>
        <w:pStyle w:val="Equation"/>
        <w:spacing w:before="120" w:after="120"/>
        <w:jc w:val="both"/>
        <w:rPr>
          <w:color w:val="000000" w:themeColor="text1"/>
        </w:rPr>
      </w:pPr>
      <w:r w:rsidRPr="00A52AB8">
        <w:rPr>
          <w:color w:val="000000" w:themeColor="text1"/>
        </w:rPr>
        <w:t xml:space="preserve">The process described in </w:t>
      </w:r>
      <w:r w:rsidR="00380A0F" w:rsidRPr="00A52AB8">
        <w:rPr>
          <w:color w:val="000000" w:themeColor="text1"/>
        </w:rPr>
        <w:t xml:space="preserve">subclause </w:t>
      </w:r>
      <w:r w:rsidR="00126E1F" w:rsidRPr="00496A4D">
        <w:rPr>
          <w:color w:val="000000" w:themeColor="text1"/>
        </w:rPr>
        <w:fldChar w:fldCharType="begin"/>
      </w:r>
      <w:r w:rsidR="00126E1F" w:rsidRPr="00A52AB8">
        <w:rPr>
          <w:color w:val="000000" w:themeColor="text1"/>
        </w:rPr>
        <w:instrText xml:space="preserve"> REF _Ref46248317 \r \h </w:instrText>
      </w:r>
      <w:r w:rsidR="00CA5401" w:rsidRPr="00A52AB8">
        <w:rPr>
          <w:color w:val="000000" w:themeColor="text1"/>
        </w:rPr>
        <w:instrText xml:space="preserve"> \* MERGEFORMAT </w:instrText>
      </w:r>
      <w:r w:rsidR="00126E1F" w:rsidRPr="00496A4D">
        <w:rPr>
          <w:color w:val="000000" w:themeColor="text1"/>
        </w:rPr>
      </w:r>
      <w:r w:rsidR="00126E1F" w:rsidRPr="00496A4D">
        <w:rPr>
          <w:color w:val="000000" w:themeColor="text1"/>
        </w:rPr>
        <w:fldChar w:fldCharType="separate"/>
      </w:r>
      <w:r w:rsidR="00507A67">
        <w:rPr>
          <w:color w:val="000000" w:themeColor="text1"/>
        </w:rPr>
        <w:t>9.2.5.5.2</w:t>
      </w:r>
      <w:r w:rsidR="00126E1F" w:rsidRPr="00496A4D">
        <w:rPr>
          <w:color w:val="000000" w:themeColor="text1"/>
        </w:rPr>
        <w:fldChar w:fldCharType="end"/>
      </w:r>
      <w:r w:rsidR="00836F1C" w:rsidRPr="00A52AB8">
        <w:rPr>
          <w:color w:val="000000" w:themeColor="text1"/>
        </w:rPr>
        <w:t xml:space="preserve"> is invoked </w:t>
      </w:r>
      <w:r w:rsidR="00706CAE" w:rsidRPr="00A52AB8">
        <w:rPr>
          <w:color w:val="000000" w:themeColor="text1"/>
        </w:rPr>
        <w:t xml:space="preserve">with the variables refIdx, RefPatchIdx, and tileID as inputs, and the </w:t>
      </w:r>
      <w:r w:rsidR="009069AB" w:rsidRPr="00A52AB8">
        <w:rPr>
          <w:color w:val="000000" w:themeColor="text1"/>
        </w:rPr>
        <w:t>outputs</w:t>
      </w:r>
      <w:r w:rsidR="00706CAE" w:rsidRPr="00A52AB8">
        <w:rPr>
          <w:color w:val="000000" w:themeColor="text1"/>
        </w:rPr>
        <w:t xml:space="preserve"> are the variables refPatchType, ref</w:t>
      </w:r>
      <w:r w:rsidR="00706CAE" w:rsidRPr="00A52AB8">
        <w:rPr>
          <w:lang w:eastAsia="ja-JP"/>
        </w:rPr>
        <w:t xml:space="preserve">Patch2dPosX, refPatch2dPosY, refPatch2dSizeX, refPatch2dSizeY, refPatch3dOffsetU, refPatch3dOffsetV, refPatch3dOffsetD, refPatch3dRangeD, refPatchProjectionID, refPatchOrientationIndex, refPatchLoDScaleX, refPachLoDScaleY, refPatchRawPoints, </w:t>
      </w:r>
      <w:r w:rsidR="00CB2378" w:rsidRPr="00A52AB8">
        <w:rPr>
          <w:lang w:eastAsia="ja-JP"/>
        </w:rPr>
        <w:t xml:space="preserve">and </w:t>
      </w:r>
      <w:r w:rsidR="00706CAE" w:rsidRPr="00A52AB8">
        <w:rPr>
          <w:color w:val="000000" w:themeColor="text1"/>
        </w:rPr>
        <w:t xml:space="preserve">refPatchEomPatchCount, </w:t>
      </w:r>
      <w:r w:rsidR="00CB2378" w:rsidRPr="00A52AB8">
        <w:rPr>
          <w:color w:val="000000" w:themeColor="text1"/>
        </w:rPr>
        <w:t>the</w:t>
      </w:r>
      <w:r w:rsidR="00706CAE" w:rsidRPr="00A52AB8">
        <w:rPr>
          <w:color w:val="000000" w:themeColor="text1"/>
        </w:rPr>
        <w:t xml:space="preserve"> 1D array</w:t>
      </w:r>
      <w:r w:rsidR="00CB2378" w:rsidRPr="00A52AB8">
        <w:rPr>
          <w:color w:val="000000" w:themeColor="text1"/>
        </w:rPr>
        <w:t>s</w:t>
      </w:r>
      <w:r w:rsidR="00706CAE" w:rsidRPr="00A52AB8">
        <w:rPr>
          <w:color w:val="000000" w:themeColor="text1"/>
        </w:rPr>
        <w:t xml:space="preserve"> </w:t>
      </w:r>
      <w:r w:rsidR="00706CAE" w:rsidRPr="00A52AB8">
        <w:t>refP</w:t>
      </w:r>
      <w:r w:rsidR="00706CAE" w:rsidRPr="00A52AB8">
        <w:rPr>
          <w:color w:val="000000" w:themeColor="text1"/>
        </w:rPr>
        <w:t xml:space="preserve">atchAssociatedPatchIndex and </w:t>
      </w:r>
      <w:r w:rsidR="00706CAE" w:rsidRPr="00A52AB8">
        <w:rPr>
          <w:lang w:eastAsia="ja-JP"/>
        </w:rPr>
        <w:t>ref</w:t>
      </w:r>
      <w:r w:rsidR="00706CAE" w:rsidRPr="00A52AB8">
        <w:rPr>
          <w:color w:val="000000" w:themeColor="text1"/>
        </w:rPr>
        <w:t xml:space="preserve">PatchEomPoints, </w:t>
      </w:r>
      <w:r w:rsidR="00706CAE" w:rsidRPr="00A52AB8">
        <w:rPr>
          <w:lang w:eastAsia="ja-JP"/>
        </w:rPr>
        <w:t>and</w:t>
      </w:r>
      <w:r w:rsidR="00CB2378" w:rsidRPr="00A52AB8">
        <w:rPr>
          <w:lang w:eastAsia="ja-JP"/>
        </w:rPr>
        <w:t>,</w:t>
      </w:r>
      <w:r w:rsidR="00706CAE" w:rsidRPr="00A52AB8">
        <w:rPr>
          <w:lang w:eastAsia="ja-JP"/>
        </w:rPr>
        <w:t xml:space="preserve"> if asps_plr_enabled_flag is equal to 1, the 1D arrays </w:t>
      </w:r>
      <w:r w:rsidR="00706CAE" w:rsidRPr="00A52AB8">
        <w:rPr>
          <w:color w:val="000000" w:themeColor="text1"/>
        </w:rPr>
        <w:t>refPatchPlrdLevel, refPatchPlrdPresentFlag, and refPlrdModeMinus1, and the 2D arrays refPatchPlrdPresentBlockFlag and refPatchPlrdBlockModeMinus1</w:t>
      </w:r>
      <w:r w:rsidR="00706CAE" w:rsidRPr="00A52AB8">
        <w:rPr>
          <w:lang w:eastAsia="ja-JP"/>
        </w:rPr>
        <w:t>.</w:t>
      </w:r>
    </w:p>
    <w:p w14:paraId="0E8E16EB" w14:textId="77777777" w:rsidR="00706CAE" w:rsidRPr="00A52AB8" w:rsidRDefault="00706CAE" w:rsidP="00706CAE">
      <w:pPr>
        <w:pStyle w:val="Equation"/>
        <w:spacing w:before="120" w:after="120"/>
        <w:jc w:val="both"/>
        <w:rPr>
          <w:color w:val="000000" w:themeColor="text1"/>
        </w:rPr>
      </w:pPr>
      <w:r w:rsidRPr="00A52AB8">
        <w:rPr>
          <w:color w:val="000000" w:themeColor="text1"/>
        </w:rPr>
        <w:t>It is a requirement of bitstream conformance that refPatchType is equal to PROJECTED.</w:t>
      </w:r>
    </w:p>
    <w:p w14:paraId="160FC6CA" w14:textId="77777777" w:rsidR="00AA4994" w:rsidRPr="00A52AB8" w:rsidRDefault="00AA4994" w:rsidP="00792CFF">
      <w:pPr>
        <w:pStyle w:val="Equation"/>
        <w:spacing w:before="120" w:after="120"/>
        <w:jc w:val="both"/>
        <w:rPr>
          <w:color w:val="000000" w:themeColor="text1"/>
        </w:rPr>
      </w:pPr>
      <w:r w:rsidRPr="00A52AB8">
        <w:rPr>
          <w:color w:val="000000" w:themeColor="text1"/>
        </w:rPr>
        <w:t xml:space="preserve">First, </w:t>
      </w:r>
      <w:r w:rsidR="00B47991" w:rsidRPr="00A52AB8">
        <w:rPr>
          <w:color w:val="000000" w:themeColor="text1"/>
        </w:rPr>
        <w:t>Tile</w:t>
      </w:r>
      <w:r w:rsidR="00C3373C" w:rsidRPr="00A52AB8">
        <w:rPr>
          <w:color w:val="000000" w:themeColor="text1"/>
        </w:rPr>
        <w:t>PatchType</w:t>
      </w:r>
      <w:r w:rsidRPr="00A52AB8">
        <w:rPr>
          <w:color w:val="000000" w:themeColor="text1"/>
        </w:rPr>
        <w:t>[ </w:t>
      </w:r>
      <w:r w:rsidR="00632FA7" w:rsidRPr="00A52AB8">
        <w:rPr>
          <w:color w:val="000000" w:themeColor="text1"/>
        </w:rPr>
        <w:t>tileID</w:t>
      </w:r>
      <w:r w:rsidRPr="00A52AB8">
        <w:rPr>
          <w:color w:val="000000" w:themeColor="text1"/>
        </w:rPr>
        <w:t> ][ p ] is assigned as follows:</w:t>
      </w:r>
    </w:p>
    <w:p w14:paraId="7649FEFC" w14:textId="506794A3" w:rsidR="00331147" w:rsidRPr="00A52AB8" w:rsidRDefault="00731E11" w:rsidP="00A252B5">
      <w:pPr>
        <w:rPr>
          <w:lang w:eastAsia="ja-JP"/>
        </w:rPr>
      </w:pPr>
      <w:r w:rsidRPr="00A52AB8">
        <w:rPr>
          <w:lang w:eastAsia="ja-JP"/>
        </w:rPr>
        <w:tab/>
      </w:r>
      <w:r w:rsidR="00B47991" w:rsidRPr="00A52AB8">
        <w:rPr>
          <w:lang w:eastAsia="ja-JP"/>
        </w:rPr>
        <w:t>Tile</w:t>
      </w:r>
      <w:r w:rsidR="00C3373C" w:rsidRPr="00A52AB8">
        <w:rPr>
          <w:lang w:eastAsia="ja-JP"/>
        </w:rPr>
        <w:t>PatchType</w:t>
      </w:r>
      <w:r w:rsidR="00331147" w:rsidRPr="00A52AB8">
        <w:rPr>
          <w:lang w:eastAsia="ja-JP"/>
        </w:rPr>
        <w:t>[ </w:t>
      </w:r>
      <w:r w:rsidR="00632FA7" w:rsidRPr="00A52AB8">
        <w:rPr>
          <w:lang w:eastAsia="ja-JP"/>
        </w:rPr>
        <w:t>tileID</w:t>
      </w:r>
      <w:r w:rsidR="00331147" w:rsidRPr="00A52AB8">
        <w:rPr>
          <w:lang w:eastAsia="ja-JP"/>
        </w:rPr>
        <w:t> ][ p ]</w:t>
      </w:r>
      <w:r w:rsidR="00D47707" w:rsidRPr="00A52AB8">
        <w:rPr>
          <w:lang w:eastAsia="ja-JP"/>
        </w:rPr>
        <w:t> = </w:t>
      </w:r>
      <w:r w:rsidR="00440C68" w:rsidRPr="00A52AB8">
        <w:rPr>
          <w:lang w:eastAsia="ja-JP"/>
        </w:rPr>
        <w:t>refPatchType</w:t>
      </w:r>
      <w:r w:rsidR="00130122" w:rsidRPr="00A52AB8">
        <w:rPr>
          <w:lang w:eastAsia="ja-JP"/>
        </w:rPr>
        <w:tab/>
      </w:r>
      <w:r w:rsidRPr="00A52AB8">
        <w:rPr>
          <w:lang w:eastAsia="ja-JP"/>
        </w:rPr>
        <w:tab/>
        <w:t>(</w:t>
      </w:r>
      <w:r w:rsidRPr="00496A4D">
        <w:rPr>
          <w:lang w:eastAsia="ja-JP"/>
        </w:rPr>
        <w:fldChar w:fldCharType="begin"/>
      </w:r>
      <w:r w:rsidRPr="00A52AB8">
        <w:rPr>
          <w:lang w:eastAsia="ja-JP"/>
        </w:rPr>
        <w:instrText xml:space="preserve"> SEQ Equation \* ARABIC \n </w:instrText>
      </w:r>
      <w:r w:rsidRPr="00496A4D">
        <w:rPr>
          <w:lang w:eastAsia="ja-JP"/>
        </w:rPr>
        <w:fldChar w:fldCharType="separate"/>
      </w:r>
      <w:r w:rsidR="00507A67">
        <w:rPr>
          <w:noProof/>
          <w:lang w:eastAsia="ja-JP"/>
        </w:rPr>
        <w:t>85</w:t>
      </w:r>
      <w:r w:rsidRPr="00496A4D">
        <w:rPr>
          <w:lang w:eastAsia="ja-JP"/>
        </w:rPr>
        <w:fldChar w:fldCharType="end"/>
      </w:r>
      <w:r w:rsidRPr="00A52AB8">
        <w:rPr>
          <w:lang w:eastAsia="ja-JP"/>
        </w:rPr>
        <w:t>)</w:t>
      </w:r>
    </w:p>
    <w:p w14:paraId="0FC7EDF4" w14:textId="77777777" w:rsidR="00E251FB" w:rsidRPr="00A52AB8" w:rsidRDefault="00E560C0">
      <w:pPr>
        <w:tabs>
          <w:tab w:val="clear" w:pos="403"/>
        </w:tabs>
        <w:spacing w:before="120" w:after="120" w:line="240" w:lineRule="auto"/>
        <w:rPr>
          <w:color w:val="000000" w:themeColor="text1"/>
        </w:rPr>
      </w:pPr>
      <w:r w:rsidRPr="00A52AB8">
        <w:rPr>
          <w:color w:val="000000" w:themeColor="text1"/>
        </w:rPr>
        <w:t>I</w:t>
      </w:r>
      <w:r w:rsidR="00D64AC9" w:rsidRPr="00A52AB8">
        <w:rPr>
          <w:color w:val="000000" w:themeColor="text1"/>
        </w:rPr>
        <w:t xml:space="preserve">f </w:t>
      </w:r>
      <w:r w:rsidR="00D64AC9" w:rsidRPr="00A52AB8">
        <w:t>mpdu_override_2d_params_flag</w:t>
      </w:r>
      <w:r w:rsidR="001B6CE6" w:rsidRPr="00A52AB8">
        <w:t>[ </w:t>
      </w:r>
      <w:r w:rsidR="00632FA7" w:rsidRPr="00A52AB8">
        <w:t>tileID</w:t>
      </w:r>
      <w:r w:rsidR="001B6CE6" w:rsidRPr="00A52AB8">
        <w:t> ]</w:t>
      </w:r>
      <w:r w:rsidR="00D64AC9" w:rsidRPr="00A52AB8">
        <w:t>[</w:t>
      </w:r>
      <w:r w:rsidR="00AC79AD" w:rsidRPr="00A52AB8">
        <w:t> </w:t>
      </w:r>
      <w:r w:rsidR="00D64AC9" w:rsidRPr="00A52AB8">
        <w:t>p</w:t>
      </w:r>
      <w:r w:rsidR="00AC79AD" w:rsidRPr="00A52AB8">
        <w:t> </w:t>
      </w:r>
      <w:r w:rsidR="00D64AC9" w:rsidRPr="00A52AB8">
        <w:t xml:space="preserve">] is equal to 1, </w:t>
      </w:r>
      <w:r w:rsidR="00E251FB" w:rsidRPr="00A52AB8">
        <w:rPr>
          <w:color w:val="000000" w:themeColor="text1"/>
        </w:rPr>
        <w:t>the associated 2D patch parameters are derived as follows:</w:t>
      </w:r>
    </w:p>
    <w:p w14:paraId="04006C68" w14:textId="182E2BCC" w:rsidR="00E251FB" w:rsidRPr="00A52AB8" w:rsidRDefault="00E251FB" w:rsidP="00731E11">
      <w:r w:rsidRPr="00A52AB8">
        <w:tab/>
      </w:r>
      <w:r w:rsidR="00765B76" w:rsidRPr="00A52AB8">
        <w:t>Tile</w:t>
      </w:r>
      <w:r w:rsidRPr="00A52AB8">
        <w:t>Patch2d</w:t>
      </w:r>
      <w:r w:rsidR="00627BE0" w:rsidRPr="00A52AB8">
        <w:t>Pos</w:t>
      </w:r>
      <w:r w:rsidRPr="00A52AB8">
        <w:t>X</w:t>
      </w:r>
      <w:r w:rsidR="001B6CE6" w:rsidRPr="00A52AB8">
        <w:t>[ </w:t>
      </w:r>
      <w:r w:rsidR="00632FA7" w:rsidRPr="00A52AB8">
        <w:t>tileID</w:t>
      </w:r>
      <w:r w:rsidR="001B6CE6" w:rsidRPr="00A52AB8">
        <w:t> ]</w:t>
      </w:r>
      <w:r w:rsidRPr="00A52AB8">
        <w:t>[ p ] </w:t>
      </w:r>
      <w:r w:rsidR="00731E11" w:rsidRPr="00A52AB8">
        <w:t>=</w:t>
      </w:r>
      <w:r w:rsidR="00731E11" w:rsidRPr="00A52AB8">
        <w:br/>
      </w:r>
      <w:r w:rsidR="00731E11" w:rsidRPr="00A52AB8">
        <w:tab/>
      </w:r>
      <w:r w:rsidR="00731E11" w:rsidRPr="00A52AB8">
        <w:tab/>
      </w:r>
      <w:r w:rsidR="00731E11" w:rsidRPr="00A52AB8">
        <w:tab/>
      </w:r>
      <w:r w:rsidRPr="00A52AB8">
        <w:t>refPatch2d</w:t>
      </w:r>
      <w:r w:rsidR="00627BE0" w:rsidRPr="00A52AB8">
        <w:t>Pos</w:t>
      </w:r>
      <w:r w:rsidRPr="00A52AB8">
        <w:t>X + </w:t>
      </w:r>
      <w:r w:rsidR="00C324B6" w:rsidRPr="00A52AB8">
        <w:t>m</w:t>
      </w:r>
      <w:r w:rsidRPr="00A52AB8">
        <w:t>pdu_2d_</w:t>
      </w:r>
      <w:r w:rsidR="00627BE0" w:rsidRPr="00A52AB8">
        <w:t>pos</w:t>
      </w:r>
      <w:r w:rsidRPr="00A52AB8">
        <w:t>_x</w:t>
      </w:r>
      <w:r w:rsidR="001B6CE6" w:rsidRPr="00A52AB8">
        <w:t>[ </w:t>
      </w:r>
      <w:r w:rsidR="00632FA7" w:rsidRPr="00A52AB8">
        <w:t>tileID</w:t>
      </w:r>
      <w:r w:rsidR="001B6CE6" w:rsidRPr="00A52AB8">
        <w:t> ]</w:t>
      </w:r>
      <w:r w:rsidRPr="00A52AB8">
        <w:t>[ p ] * PatchPackingBlockSize</w:t>
      </w:r>
      <w:r w:rsidRPr="00A52AB8">
        <w:tab/>
        <w:t>(</w:t>
      </w:r>
      <w:r w:rsidRPr="00496A4D">
        <w:fldChar w:fldCharType="begin"/>
      </w:r>
      <w:r w:rsidRPr="00A52AB8">
        <w:instrText xml:space="preserve"> </w:instrText>
      </w:r>
      <w:r w:rsidR="00646520" w:rsidRPr="00A52AB8">
        <w:instrText>SEQ Equation \* ARABIC \n</w:instrText>
      </w:r>
      <w:r w:rsidRPr="00A52AB8">
        <w:instrText xml:space="preserve"> </w:instrText>
      </w:r>
      <w:r w:rsidRPr="00496A4D">
        <w:fldChar w:fldCharType="separate"/>
      </w:r>
      <w:r w:rsidR="00507A67">
        <w:rPr>
          <w:noProof/>
        </w:rPr>
        <w:t>86</w:t>
      </w:r>
      <w:r w:rsidRPr="00496A4D">
        <w:fldChar w:fldCharType="end"/>
      </w:r>
      <w:r w:rsidRPr="00A52AB8">
        <w:t>)</w:t>
      </w:r>
    </w:p>
    <w:p w14:paraId="1F4B7F31" w14:textId="2AA2202C" w:rsidR="00E251FB" w:rsidRPr="00A52AB8" w:rsidRDefault="00E251FB" w:rsidP="00731E11">
      <w:r w:rsidRPr="00A52AB8">
        <w:tab/>
      </w:r>
      <w:r w:rsidR="00765B76" w:rsidRPr="00A52AB8">
        <w:t>Tile</w:t>
      </w:r>
      <w:r w:rsidRPr="00A52AB8">
        <w:t>Patch2d</w:t>
      </w:r>
      <w:r w:rsidR="00627BE0" w:rsidRPr="00A52AB8">
        <w:t>Pos</w:t>
      </w:r>
      <w:r w:rsidRPr="00A52AB8">
        <w:t>Y</w:t>
      </w:r>
      <w:r w:rsidR="001B6CE6" w:rsidRPr="00A52AB8">
        <w:t>[ </w:t>
      </w:r>
      <w:r w:rsidR="00632FA7" w:rsidRPr="00A52AB8">
        <w:t>tileID</w:t>
      </w:r>
      <w:r w:rsidR="001B6CE6" w:rsidRPr="00A52AB8">
        <w:t> ]</w:t>
      </w:r>
      <w:r w:rsidRPr="00A52AB8">
        <w:t>[ p ] =</w:t>
      </w:r>
      <w:r w:rsidR="00731E11" w:rsidRPr="00A52AB8">
        <w:br/>
      </w:r>
      <w:r w:rsidR="00731E11" w:rsidRPr="00A52AB8">
        <w:tab/>
      </w:r>
      <w:r w:rsidR="00731E11" w:rsidRPr="00A52AB8">
        <w:tab/>
      </w:r>
      <w:r w:rsidR="00731E11" w:rsidRPr="00A52AB8">
        <w:tab/>
      </w:r>
      <w:r w:rsidRPr="00A52AB8">
        <w:t>refPatch2d</w:t>
      </w:r>
      <w:r w:rsidR="00627BE0" w:rsidRPr="00A52AB8">
        <w:t>Pos</w:t>
      </w:r>
      <w:r w:rsidRPr="00A52AB8">
        <w:t>Y + </w:t>
      </w:r>
      <w:r w:rsidR="00C324B6" w:rsidRPr="00A52AB8">
        <w:t>m</w:t>
      </w:r>
      <w:r w:rsidRPr="00A52AB8">
        <w:t>pdu_2d_</w:t>
      </w:r>
      <w:r w:rsidR="00627BE0" w:rsidRPr="00A52AB8">
        <w:t>pos</w:t>
      </w:r>
      <w:r w:rsidRPr="00A52AB8">
        <w:t>_y</w:t>
      </w:r>
      <w:r w:rsidR="001B6CE6" w:rsidRPr="00A52AB8">
        <w:t>[ </w:t>
      </w:r>
      <w:r w:rsidR="00632FA7" w:rsidRPr="00A52AB8">
        <w:t>tileID</w:t>
      </w:r>
      <w:r w:rsidR="001B6CE6" w:rsidRPr="00A52AB8">
        <w:t> ]</w:t>
      </w:r>
      <w:r w:rsidRPr="00A52AB8">
        <w:t>[ p ] * PatchPackingBlockSize</w:t>
      </w:r>
      <w:r w:rsidR="00F638CC" w:rsidRPr="00A52AB8">
        <w:tab/>
      </w:r>
      <w:r w:rsidRPr="00A52AB8">
        <w:t>(</w:t>
      </w:r>
      <w:r w:rsidRPr="00496A4D">
        <w:fldChar w:fldCharType="begin"/>
      </w:r>
      <w:r w:rsidRPr="00A52AB8">
        <w:instrText xml:space="preserve"> </w:instrText>
      </w:r>
      <w:r w:rsidR="00646520" w:rsidRPr="00A52AB8">
        <w:instrText>SEQ Equation \* ARABIC \n</w:instrText>
      </w:r>
      <w:r w:rsidRPr="00A52AB8">
        <w:instrText xml:space="preserve"> </w:instrText>
      </w:r>
      <w:r w:rsidRPr="00496A4D">
        <w:fldChar w:fldCharType="separate"/>
      </w:r>
      <w:r w:rsidR="00507A67">
        <w:rPr>
          <w:noProof/>
        </w:rPr>
        <w:t>87</w:t>
      </w:r>
      <w:r w:rsidRPr="00496A4D">
        <w:fldChar w:fldCharType="end"/>
      </w:r>
      <w:r w:rsidRPr="00A52AB8">
        <w:t>)</w:t>
      </w:r>
    </w:p>
    <w:p w14:paraId="2E5B3120" w14:textId="7EE49055" w:rsidR="00E251FB" w:rsidRPr="00A52AB8" w:rsidRDefault="00E251FB" w:rsidP="00731E11">
      <w:r w:rsidRPr="00A52AB8">
        <w:tab/>
      </w:r>
      <w:r w:rsidR="00765B76" w:rsidRPr="00A52AB8">
        <w:t>Tile</w:t>
      </w:r>
      <w:r w:rsidRPr="00A52AB8">
        <w:t>Patch2dSizeX</w:t>
      </w:r>
      <w:r w:rsidR="001B6CE6" w:rsidRPr="00A52AB8">
        <w:t>[ </w:t>
      </w:r>
      <w:r w:rsidR="00632FA7" w:rsidRPr="00A52AB8">
        <w:t>tileID</w:t>
      </w:r>
      <w:r w:rsidR="001B6CE6" w:rsidRPr="00A52AB8">
        <w:t> ]</w:t>
      </w:r>
      <w:r w:rsidRPr="00A52AB8">
        <w:t>[ p ] =</w:t>
      </w:r>
      <w:r w:rsidR="00731E11" w:rsidRPr="00A52AB8">
        <w:br/>
      </w:r>
      <w:r w:rsidR="00731E11" w:rsidRPr="00A52AB8">
        <w:tab/>
      </w:r>
      <w:r w:rsidR="00731E11" w:rsidRPr="00A52AB8">
        <w:tab/>
      </w:r>
      <w:r w:rsidR="00731E11" w:rsidRPr="00A52AB8">
        <w:tab/>
      </w:r>
      <w:r w:rsidRPr="00A52AB8">
        <w:t>refPatch2dSizeX + </w:t>
      </w:r>
      <w:r w:rsidR="00C324B6" w:rsidRPr="00A52AB8">
        <w:t>m</w:t>
      </w:r>
      <w:r w:rsidRPr="00A52AB8">
        <w:t>pdu_2d_delta_size_x</w:t>
      </w:r>
      <w:r w:rsidR="001B6CE6" w:rsidRPr="00A52AB8">
        <w:t>[ </w:t>
      </w:r>
      <w:r w:rsidR="00632FA7" w:rsidRPr="00A52AB8">
        <w:t>tileID</w:t>
      </w:r>
      <w:r w:rsidR="001B6CE6" w:rsidRPr="00A52AB8">
        <w:t> ]</w:t>
      </w:r>
      <w:r w:rsidRPr="00A52AB8">
        <w:t>[ p ] * </w:t>
      </w:r>
      <w:r w:rsidR="005036E4" w:rsidRPr="00A52AB8">
        <w:t>PatchSizeXQuantizer</w:t>
      </w:r>
      <w:r w:rsidRPr="00A52AB8">
        <w:tab/>
        <w:t>(</w:t>
      </w:r>
      <w:r w:rsidRPr="00496A4D">
        <w:fldChar w:fldCharType="begin"/>
      </w:r>
      <w:r w:rsidRPr="00A52AB8">
        <w:instrText xml:space="preserve"> </w:instrText>
      </w:r>
      <w:r w:rsidR="00646520" w:rsidRPr="00A52AB8">
        <w:instrText>SEQ Equation \* ARABIC \n</w:instrText>
      </w:r>
      <w:r w:rsidRPr="00A52AB8">
        <w:instrText xml:space="preserve"> </w:instrText>
      </w:r>
      <w:r w:rsidRPr="00496A4D">
        <w:fldChar w:fldCharType="separate"/>
      </w:r>
      <w:r w:rsidR="00507A67">
        <w:rPr>
          <w:noProof/>
        </w:rPr>
        <w:t>88</w:t>
      </w:r>
      <w:r w:rsidRPr="00496A4D">
        <w:fldChar w:fldCharType="end"/>
      </w:r>
      <w:r w:rsidRPr="00A52AB8">
        <w:t>)</w:t>
      </w:r>
    </w:p>
    <w:p w14:paraId="7B78668C" w14:textId="63D2995E" w:rsidR="00E251FB" w:rsidRPr="00A52AB8" w:rsidRDefault="00E251FB" w:rsidP="00731E11">
      <w:r w:rsidRPr="00A52AB8">
        <w:tab/>
      </w:r>
      <w:r w:rsidR="00D93103" w:rsidRPr="00A52AB8">
        <w:t>Tile</w:t>
      </w:r>
      <w:r w:rsidRPr="00A52AB8">
        <w:t>Patch2dSizeY</w:t>
      </w:r>
      <w:r w:rsidR="001B6CE6" w:rsidRPr="00A52AB8">
        <w:t>[ </w:t>
      </w:r>
      <w:r w:rsidR="00632FA7" w:rsidRPr="00A52AB8">
        <w:t>tileID</w:t>
      </w:r>
      <w:r w:rsidR="001B6CE6" w:rsidRPr="00A52AB8">
        <w:t> ]</w:t>
      </w:r>
      <w:r w:rsidRPr="00A52AB8">
        <w:t>[ p ] =</w:t>
      </w:r>
      <w:r w:rsidR="00731E11" w:rsidRPr="00A52AB8">
        <w:br/>
      </w:r>
      <w:r w:rsidR="00731E11" w:rsidRPr="00A52AB8">
        <w:tab/>
      </w:r>
      <w:r w:rsidR="00731E11" w:rsidRPr="00A52AB8">
        <w:tab/>
      </w:r>
      <w:r w:rsidR="00731E11" w:rsidRPr="00A52AB8">
        <w:tab/>
      </w:r>
      <w:r w:rsidRPr="00A52AB8">
        <w:t>refPatch2dSizeY + </w:t>
      </w:r>
      <w:r w:rsidR="00C324B6" w:rsidRPr="00A52AB8">
        <w:t>m</w:t>
      </w:r>
      <w:r w:rsidRPr="00A52AB8">
        <w:t>pdu_2d_delta_size_y</w:t>
      </w:r>
      <w:r w:rsidR="001B6CE6" w:rsidRPr="00A52AB8">
        <w:t>[ </w:t>
      </w:r>
      <w:r w:rsidR="00632FA7" w:rsidRPr="00A52AB8">
        <w:t>tileID</w:t>
      </w:r>
      <w:r w:rsidR="001B6CE6" w:rsidRPr="00A52AB8">
        <w:t> ]</w:t>
      </w:r>
      <w:r w:rsidRPr="00A52AB8">
        <w:t>[ p ] * </w:t>
      </w:r>
      <w:r w:rsidR="005036E4" w:rsidRPr="00A52AB8">
        <w:t>PatchSizeYQuantizer</w:t>
      </w:r>
      <w:r w:rsidRPr="00A52AB8">
        <w:tab/>
        <w:t>(</w:t>
      </w:r>
      <w:r w:rsidRPr="00496A4D">
        <w:fldChar w:fldCharType="begin"/>
      </w:r>
      <w:r w:rsidRPr="00A52AB8">
        <w:instrText xml:space="preserve"> </w:instrText>
      </w:r>
      <w:r w:rsidR="00646520" w:rsidRPr="00A52AB8">
        <w:instrText>SEQ Equation \* ARABIC \n</w:instrText>
      </w:r>
      <w:r w:rsidRPr="00A52AB8">
        <w:instrText xml:space="preserve"> </w:instrText>
      </w:r>
      <w:r w:rsidRPr="00496A4D">
        <w:fldChar w:fldCharType="separate"/>
      </w:r>
      <w:r w:rsidR="00507A67">
        <w:rPr>
          <w:noProof/>
        </w:rPr>
        <w:t>89</w:t>
      </w:r>
      <w:r w:rsidRPr="00496A4D">
        <w:fldChar w:fldCharType="end"/>
      </w:r>
      <w:r w:rsidRPr="00A52AB8">
        <w:t>)</w:t>
      </w:r>
    </w:p>
    <w:p w14:paraId="55030577" w14:textId="77777777" w:rsidR="00D0258D" w:rsidRPr="00A52AB8" w:rsidRDefault="00855928">
      <w:pPr>
        <w:rPr>
          <w:lang w:eastAsia="ja-JP"/>
        </w:rPr>
      </w:pPr>
      <w:r w:rsidRPr="00A52AB8">
        <w:rPr>
          <w:lang w:eastAsia="ja-JP"/>
        </w:rPr>
        <w:t>Otherwise,</w:t>
      </w:r>
    </w:p>
    <w:p w14:paraId="6FF582C4" w14:textId="360F27BC" w:rsidR="00855928" w:rsidRPr="00A52AB8" w:rsidRDefault="00855928">
      <w:pPr>
        <w:rPr>
          <w:lang w:eastAsia="ja-JP"/>
        </w:rPr>
      </w:pPr>
      <w:r w:rsidRPr="00A52AB8">
        <w:rPr>
          <w:lang w:eastAsia="ja-JP"/>
        </w:rPr>
        <w:tab/>
      </w:r>
      <w:r w:rsidR="003E64E4" w:rsidRPr="00A52AB8">
        <w:rPr>
          <w:color w:val="000000" w:themeColor="text1"/>
        </w:rPr>
        <w:t>Tile</w:t>
      </w:r>
      <w:r w:rsidRPr="00A52AB8">
        <w:rPr>
          <w:lang w:eastAsia="ja-JP"/>
        </w:rPr>
        <w:t>Patch2dPosX</w:t>
      </w:r>
      <w:r w:rsidR="001B6CE6" w:rsidRPr="00A52AB8">
        <w:t>[ </w:t>
      </w:r>
      <w:r w:rsidR="00632FA7" w:rsidRPr="00A52AB8">
        <w:t>tileID</w:t>
      </w:r>
      <w:r w:rsidR="001B6CE6" w:rsidRPr="00A52AB8">
        <w:t> ]</w:t>
      </w:r>
      <w:r w:rsidRPr="00A52AB8">
        <w:rPr>
          <w:lang w:eastAsia="ja-JP"/>
        </w:rPr>
        <w:t>[ p ]</w:t>
      </w:r>
      <w:r w:rsidR="00D47707" w:rsidRPr="00A52AB8">
        <w:rPr>
          <w:lang w:eastAsia="ja-JP"/>
        </w:rPr>
        <w:t> = </w:t>
      </w:r>
      <w:r w:rsidRPr="00A52AB8">
        <w:rPr>
          <w:lang w:eastAsia="ja-JP"/>
        </w:rPr>
        <w:t>refPatch2dPosX</w:t>
      </w:r>
      <w:r w:rsidRPr="00A52AB8">
        <w:rPr>
          <w:lang w:eastAsia="ja-JP"/>
        </w:rPr>
        <w:tab/>
      </w:r>
      <w:r w:rsidR="003F3886" w:rsidRPr="00A52AB8">
        <w:rPr>
          <w:lang w:eastAsia="ja-JP"/>
        </w:rPr>
        <w:t>(</w:t>
      </w:r>
      <w:r w:rsidR="003F3886" w:rsidRPr="00496A4D">
        <w:rPr>
          <w:lang w:eastAsia="ja-JP"/>
        </w:rPr>
        <w:fldChar w:fldCharType="begin"/>
      </w:r>
      <w:r w:rsidR="003F3886" w:rsidRPr="00A52AB8">
        <w:rPr>
          <w:lang w:eastAsia="ja-JP"/>
        </w:rPr>
        <w:instrText xml:space="preserve"> </w:instrText>
      </w:r>
      <w:r w:rsidR="00646520" w:rsidRPr="00A52AB8">
        <w:rPr>
          <w:lang w:eastAsia="ja-JP"/>
        </w:rPr>
        <w:instrText>SEQ Equation \* ARABIC \n</w:instrText>
      </w:r>
      <w:r w:rsidR="003F3886" w:rsidRPr="00A52AB8">
        <w:rPr>
          <w:lang w:eastAsia="ja-JP"/>
        </w:rPr>
        <w:instrText xml:space="preserve"> </w:instrText>
      </w:r>
      <w:r w:rsidR="003F3886" w:rsidRPr="00496A4D">
        <w:rPr>
          <w:lang w:eastAsia="ja-JP"/>
        </w:rPr>
        <w:fldChar w:fldCharType="separate"/>
      </w:r>
      <w:r w:rsidR="00507A67">
        <w:rPr>
          <w:noProof/>
          <w:lang w:eastAsia="ja-JP"/>
        </w:rPr>
        <w:t>90</w:t>
      </w:r>
      <w:r w:rsidR="003F3886" w:rsidRPr="00496A4D">
        <w:rPr>
          <w:lang w:eastAsia="ja-JP"/>
        </w:rPr>
        <w:fldChar w:fldCharType="end"/>
      </w:r>
      <w:r w:rsidR="003F3886" w:rsidRPr="00A52AB8">
        <w:rPr>
          <w:lang w:eastAsia="ja-JP"/>
        </w:rPr>
        <w:t>)</w:t>
      </w:r>
    </w:p>
    <w:p w14:paraId="38A67F8E" w14:textId="47513251" w:rsidR="00855928" w:rsidRPr="00A52AB8" w:rsidRDefault="00855928">
      <w:pPr>
        <w:rPr>
          <w:lang w:eastAsia="ja-JP"/>
        </w:rPr>
      </w:pPr>
      <w:r w:rsidRPr="00A52AB8">
        <w:rPr>
          <w:lang w:eastAsia="ja-JP"/>
        </w:rPr>
        <w:tab/>
      </w:r>
      <w:r w:rsidR="003E64E4" w:rsidRPr="00A52AB8">
        <w:rPr>
          <w:color w:val="000000" w:themeColor="text1"/>
        </w:rPr>
        <w:t>Tile</w:t>
      </w:r>
      <w:r w:rsidRPr="00A52AB8">
        <w:rPr>
          <w:lang w:eastAsia="ja-JP"/>
        </w:rPr>
        <w:t>Patch2dPosY</w:t>
      </w:r>
      <w:r w:rsidR="001B6CE6" w:rsidRPr="00A52AB8">
        <w:t>[ </w:t>
      </w:r>
      <w:r w:rsidR="00632FA7" w:rsidRPr="00A52AB8">
        <w:t>tileID</w:t>
      </w:r>
      <w:r w:rsidR="001B6CE6" w:rsidRPr="00A52AB8">
        <w:t> ]</w:t>
      </w:r>
      <w:r w:rsidRPr="00A52AB8">
        <w:rPr>
          <w:lang w:eastAsia="ja-JP"/>
        </w:rPr>
        <w:t>[ p ]</w:t>
      </w:r>
      <w:r w:rsidR="00D47707" w:rsidRPr="00A52AB8">
        <w:rPr>
          <w:lang w:eastAsia="ja-JP"/>
        </w:rPr>
        <w:t> = </w:t>
      </w:r>
      <w:r w:rsidRPr="00A52AB8">
        <w:rPr>
          <w:lang w:eastAsia="ja-JP"/>
        </w:rPr>
        <w:t>refPatch2dPosY</w:t>
      </w:r>
      <w:r w:rsidRPr="00A52AB8">
        <w:rPr>
          <w:lang w:eastAsia="ja-JP"/>
        </w:rPr>
        <w:tab/>
      </w:r>
      <w:r w:rsidR="003F3886" w:rsidRPr="00A52AB8">
        <w:rPr>
          <w:lang w:eastAsia="ja-JP"/>
        </w:rPr>
        <w:t>(</w:t>
      </w:r>
      <w:r w:rsidR="003F3886" w:rsidRPr="00496A4D">
        <w:rPr>
          <w:lang w:eastAsia="ja-JP"/>
        </w:rPr>
        <w:fldChar w:fldCharType="begin"/>
      </w:r>
      <w:r w:rsidR="003F3886" w:rsidRPr="00A52AB8">
        <w:rPr>
          <w:lang w:eastAsia="ja-JP"/>
        </w:rPr>
        <w:instrText xml:space="preserve"> </w:instrText>
      </w:r>
      <w:r w:rsidR="00646520" w:rsidRPr="00A52AB8">
        <w:rPr>
          <w:lang w:eastAsia="ja-JP"/>
        </w:rPr>
        <w:instrText>SEQ Equation \* ARABIC \n</w:instrText>
      </w:r>
      <w:r w:rsidR="003F3886" w:rsidRPr="00A52AB8">
        <w:rPr>
          <w:lang w:eastAsia="ja-JP"/>
        </w:rPr>
        <w:instrText xml:space="preserve"> </w:instrText>
      </w:r>
      <w:r w:rsidR="003F3886" w:rsidRPr="00496A4D">
        <w:rPr>
          <w:lang w:eastAsia="ja-JP"/>
        </w:rPr>
        <w:fldChar w:fldCharType="separate"/>
      </w:r>
      <w:r w:rsidR="00507A67">
        <w:rPr>
          <w:noProof/>
          <w:lang w:eastAsia="ja-JP"/>
        </w:rPr>
        <w:t>91</w:t>
      </w:r>
      <w:r w:rsidR="003F3886" w:rsidRPr="00496A4D">
        <w:rPr>
          <w:lang w:eastAsia="ja-JP"/>
        </w:rPr>
        <w:fldChar w:fldCharType="end"/>
      </w:r>
      <w:r w:rsidR="003F3886" w:rsidRPr="00A52AB8">
        <w:rPr>
          <w:lang w:eastAsia="ja-JP"/>
        </w:rPr>
        <w:t>)</w:t>
      </w:r>
    </w:p>
    <w:p w14:paraId="66784938" w14:textId="632829F9" w:rsidR="00855928" w:rsidRPr="00A52AB8" w:rsidRDefault="00855928">
      <w:pPr>
        <w:rPr>
          <w:lang w:eastAsia="ja-JP"/>
        </w:rPr>
      </w:pPr>
      <w:r w:rsidRPr="00A52AB8">
        <w:rPr>
          <w:lang w:eastAsia="ja-JP"/>
        </w:rPr>
        <w:tab/>
      </w:r>
      <w:r w:rsidR="003E64E4" w:rsidRPr="00A52AB8">
        <w:rPr>
          <w:color w:val="000000" w:themeColor="text1"/>
        </w:rPr>
        <w:t>Tile</w:t>
      </w:r>
      <w:r w:rsidRPr="00A52AB8">
        <w:rPr>
          <w:lang w:eastAsia="ja-JP"/>
        </w:rPr>
        <w:t>Patch2dSizeX</w:t>
      </w:r>
      <w:r w:rsidR="001B6CE6" w:rsidRPr="00A52AB8">
        <w:t>[ </w:t>
      </w:r>
      <w:r w:rsidR="00632FA7" w:rsidRPr="00A52AB8">
        <w:t>tileID</w:t>
      </w:r>
      <w:r w:rsidR="001B6CE6" w:rsidRPr="00A52AB8">
        <w:t> ]</w:t>
      </w:r>
      <w:r w:rsidRPr="00A52AB8">
        <w:rPr>
          <w:lang w:eastAsia="ja-JP"/>
        </w:rPr>
        <w:t>[ p ]</w:t>
      </w:r>
      <w:r w:rsidR="00D47707" w:rsidRPr="00A52AB8">
        <w:rPr>
          <w:lang w:eastAsia="ja-JP"/>
        </w:rPr>
        <w:t> = </w:t>
      </w:r>
      <w:r w:rsidRPr="00A52AB8">
        <w:rPr>
          <w:lang w:eastAsia="ja-JP"/>
        </w:rPr>
        <w:t>refPatch2dSizeX</w:t>
      </w:r>
      <w:r w:rsidRPr="00A52AB8">
        <w:rPr>
          <w:lang w:eastAsia="ja-JP"/>
        </w:rPr>
        <w:tab/>
      </w:r>
      <w:r w:rsidR="003F3886" w:rsidRPr="00A52AB8">
        <w:rPr>
          <w:lang w:eastAsia="ja-JP"/>
        </w:rPr>
        <w:t>(</w:t>
      </w:r>
      <w:r w:rsidR="003F3886" w:rsidRPr="00496A4D">
        <w:rPr>
          <w:lang w:eastAsia="ja-JP"/>
        </w:rPr>
        <w:fldChar w:fldCharType="begin"/>
      </w:r>
      <w:r w:rsidR="003F3886" w:rsidRPr="00A52AB8">
        <w:rPr>
          <w:lang w:eastAsia="ja-JP"/>
        </w:rPr>
        <w:instrText xml:space="preserve"> </w:instrText>
      </w:r>
      <w:r w:rsidR="00646520" w:rsidRPr="00A52AB8">
        <w:rPr>
          <w:lang w:eastAsia="ja-JP"/>
        </w:rPr>
        <w:instrText>SEQ Equation \* ARABIC \n</w:instrText>
      </w:r>
      <w:r w:rsidR="003F3886" w:rsidRPr="00A52AB8">
        <w:rPr>
          <w:lang w:eastAsia="ja-JP"/>
        </w:rPr>
        <w:instrText xml:space="preserve"> </w:instrText>
      </w:r>
      <w:r w:rsidR="003F3886" w:rsidRPr="00496A4D">
        <w:rPr>
          <w:lang w:eastAsia="ja-JP"/>
        </w:rPr>
        <w:fldChar w:fldCharType="separate"/>
      </w:r>
      <w:r w:rsidR="00507A67">
        <w:rPr>
          <w:noProof/>
          <w:lang w:eastAsia="ja-JP"/>
        </w:rPr>
        <w:t>92</w:t>
      </w:r>
      <w:r w:rsidR="003F3886" w:rsidRPr="00496A4D">
        <w:rPr>
          <w:lang w:eastAsia="ja-JP"/>
        </w:rPr>
        <w:fldChar w:fldCharType="end"/>
      </w:r>
      <w:r w:rsidR="003F3886" w:rsidRPr="00A52AB8">
        <w:rPr>
          <w:lang w:eastAsia="ja-JP"/>
        </w:rPr>
        <w:t>)</w:t>
      </w:r>
    </w:p>
    <w:p w14:paraId="2F9DD2FE" w14:textId="755E3374" w:rsidR="00855928" w:rsidRPr="00A52AB8" w:rsidRDefault="00855928">
      <w:pPr>
        <w:rPr>
          <w:lang w:eastAsia="ja-JP"/>
        </w:rPr>
      </w:pPr>
      <w:r w:rsidRPr="00A52AB8">
        <w:rPr>
          <w:lang w:eastAsia="ja-JP"/>
        </w:rPr>
        <w:tab/>
      </w:r>
      <w:r w:rsidR="003E64E4" w:rsidRPr="00A52AB8">
        <w:rPr>
          <w:color w:val="000000" w:themeColor="text1"/>
        </w:rPr>
        <w:t>Tile</w:t>
      </w:r>
      <w:r w:rsidRPr="00A52AB8">
        <w:rPr>
          <w:lang w:eastAsia="ja-JP"/>
        </w:rPr>
        <w:t>Patch2dSizeY</w:t>
      </w:r>
      <w:r w:rsidR="001B6CE6" w:rsidRPr="00A52AB8">
        <w:t>[ </w:t>
      </w:r>
      <w:r w:rsidR="00632FA7" w:rsidRPr="00A52AB8">
        <w:t>tileID</w:t>
      </w:r>
      <w:r w:rsidR="001B6CE6" w:rsidRPr="00A52AB8">
        <w:t> ]</w:t>
      </w:r>
      <w:r w:rsidRPr="00A52AB8">
        <w:rPr>
          <w:lang w:eastAsia="ja-JP"/>
        </w:rPr>
        <w:t>[ p ]</w:t>
      </w:r>
      <w:r w:rsidR="00D47707" w:rsidRPr="00A52AB8">
        <w:rPr>
          <w:lang w:eastAsia="ja-JP"/>
        </w:rPr>
        <w:t> = </w:t>
      </w:r>
      <w:r w:rsidRPr="00A52AB8">
        <w:rPr>
          <w:lang w:eastAsia="ja-JP"/>
        </w:rPr>
        <w:t>refPatch2dSizeY</w:t>
      </w:r>
      <w:r w:rsidRPr="00A52AB8">
        <w:rPr>
          <w:lang w:eastAsia="ja-JP"/>
        </w:rPr>
        <w:tab/>
      </w:r>
      <w:r w:rsidR="003F3886" w:rsidRPr="00A52AB8">
        <w:rPr>
          <w:lang w:eastAsia="ja-JP"/>
        </w:rPr>
        <w:t>(</w:t>
      </w:r>
      <w:r w:rsidR="003F3886" w:rsidRPr="00496A4D">
        <w:rPr>
          <w:lang w:eastAsia="ja-JP"/>
        </w:rPr>
        <w:fldChar w:fldCharType="begin"/>
      </w:r>
      <w:r w:rsidR="003F3886" w:rsidRPr="00A52AB8">
        <w:rPr>
          <w:lang w:eastAsia="ja-JP"/>
        </w:rPr>
        <w:instrText xml:space="preserve"> </w:instrText>
      </w:r>
      <w:r w:rsidR="00646520" w:rsidRPr="00A52AB8">
        <w:rPr>
          <w:lang w:eastAsia="ja-JP"/>
        </w:rPr>
        <w:instrText>SEQ Equation \* ARABIC \n</w:instrText>
      </w:r>
      <w:r w:rsidR="003F3886" w:rsidRPr="00A52AB8">
        <w:rPr>
          <w:lang w:eastAsia="ja-JP"/>
        </w:rPr>
        <w:instrText xml:space="preserve"> </w:instrText>
      </w:r>
      <w:r w:rsidR="003F3886" w:rsidRPr="00496A4D">
        <w:rPr>
          <w:lang w:eastAsia="ja-JP"/>
        </w:rPr>
        <w:fldChar w:fldCharType="separate"/>
      </w:r>
      <w:r w:rsidR="00507A67">
        <w:rPr>
          <w:noProof/>
          <w:lang w:eastAsia="ja-JP"/>
        </w:rPr>
        <w:t>93</w:t>
      </w:r>
      <w:r w:rsidR="003F3886" w:rsidRPr="00496A4D">
        <w:rPr>
          <w:lang w:eastAsia="ja-JP"/>
        </w:rPr>
        <w:fldChar w:fldCharType="end"/>
      </w:r>
      <w:r w:rsidR="003F3886" w:rsidRPr="00A52AB8">
        <w:rPr>
          <w:lang w:eastAsia="ja-JP"/>
        </w:rPr>
        <w:t>)</w:t>
      </w:r>
    </w:p>
    <w:p w14:paraId="54B43875" w14:textId="77777777" w:rsidR="00D64AC9" w:rsidRPr="00A52AB8" w:rsidRDefault="00D64AC9">
      <w:pPr>
        <w:tabs>
          <w:tab w:val="clear" w:pos="403"/>
        </w:tabs>
        <w:spacing w:before="120" w:after="120" w:line="240" w:lineRule="auto"/>
        <w:rPr>
          <w:color w:val="000000" w:themeColor="text1"/>
        </w:rPr>
      </w:pPr>
      <w:r w:rsidRPr="00A52AB8">
        <w:rPr>
          <w:color w:val="000000" w:themeColor="text1"/>
        </w:rPr>
        <w:t xml:space="preserve">If </w:t>
      </w:r>
      <w:r w:rsidRPr="00A52AB8">
        <w:t>mpdu_override_3d_params_flag</w:t>
      </w:r>
      <w:r w:rsidR="001B6CE6" w:rsidRPr="00A52AB8">
        <w:t>[ </w:t>
      </w:r>
      <w:r w:rsidR="00632FA7" w:rsidRPr="00A52AB8">
        <w:t>tileID</w:t>
      </w:r>
      <w:r w:rsidR="001B6CE6" w:rsidRPr="00A52AB8">
        <w:t> ]</w:t>
      </w:r>
      <w:r w:rsidRPr="00A52AB8">
        <w:t>[</w:t>
      </w:r>
      <w:r w:rsidR="00AC79AD" w:rsidRPr="00A52AB8">
        <w:t> </w:t>
      </w:r>
      <w:r w:rsidRPr="00A52AB8">
        <w:t>p</w:t>
      </w:r>
      <w:r w:rsidR="00AC79AD" w:rsidRPr="00A52AB8">
        <w:t> </w:t>
      </w:r>
      <w:r w:rsidRPr="00A52AB8">
        <w:t>] is equal to 1,</w:t>
      </w:r>
      <w:r w:rsidR="00F9002B" w:rsidRPr="00A52AB8">
        <w:t xml:space="preserve"> </w:t>
      </w:r>
      <w:r w:rsidR="00F9002B" w:rsidRPr="00A52AB8">
        <w:rPr>
          <w:color w:val="000000" w:themeColor="text1"/>
        </w:rPr>
        <w:t>then the associated 3D patch parameters are derived as follows:</w:t>
      </w:r>
    </w:p>
    <w:p w14:paraId="20E6C6B5" w14:textId="53C5E70A" w:rsidR="00E251FB" w:rsidRPr="00A52AB8" w:rsidRDefault="00E251FB">
      <w:pPr>
        <w:rPr>
          <w:lang w:eastAsia="ja-JP"/>
        </w:rPr>
      </w:pPr>
      <w:r w:rsidRPr="00A52AB8">
        <w:rPr>
          <w:lang w:eastAsia="ja-JP"/>
        </w:rPr>
        <w:tab/>
      </w:r>
      <w:r w:rsidR="00314925" w:rsidRPr="00A52AB8">
        <w:rPr>
          <w:color w:val="000000" w:themeColor="text1"/>
        </w:rPr>
        <w:t>TilePatch3dOffsetU</w:t>
      </w:r>
      <w:r w:rsidR="001B6CE6" w:rsidRPr="00A52AB8">
        <w:t>[ </w:t>
      </w:r>
      <w:r w:rsidR="00632FA7" w:rsidRPr="00A52AB8">
        <w:t>tileID</w:t>
      </w:r>
      <w:r w:rsidR="001B6CE6" w:rsidRPr="00A52AB8">
        <w:t> ]</w:t>
      </w:r>
      <w:r w:rsidRPr="00A52AB8">
        <w:rPr>
          <w:lang w:eastAsia="ja-JP"/>
        </w:rPr>
        <w:t>[ p ]</w:t>
      </w:r>
      <w:r w:rsidR="00D47707" w:rsidRPr="00A52AB8">
        <w:rPr>
          <w:lang w:eastAsia="ja-JP"/>
        </w:rPr>
        <w:t> = </w:t>
      </w:r>
      <w:r w:rsidRPr="00A52AB8">
        <w:rPr>
          <w:lang w:eastAsia="ja-JP"/>
        </w:rPr>
        <w:t>refPatch</w:t>
      </w:r>
      <w:r w:rsidR="001A4D59" w:rsidRPr="00A52AB8">
        <w:rPr>
          <w:lang w:eastAsia="ja-JP"/>
        </w:rPr>
        <w:t>3dOffsetU</w:t>
      </w:r>
      <w:r w:rsidRPr="00A52AB8">
        <w:rPr>
          <w:lang w:eastAsia="ja-JP"/>
        </w:rPr>
        <w:t> + </w:t>
      </w:r>
      <w:r w:rsidR="00C324B6" w:rsidRPr="00A52AB8">
        <w:rPr>
          <w:lang w:eastAsia="ja-JP"/>
        </w:rPr>
        <w:t>m</w:t>
      </w:r>
      <w:r w:rsidR="007356C4" w:rsidRPr="00A52AB8">
        <w:rPr>
          <w:lang w:eastAsia="ja-JP"/>
        </w:rPr>
        <w:t>pdu_3d_offset_u</w:t>
      </w:r>
      <w:r w:rsidR="001B6CE6" w:rsidRPr="00A52AB8">
        <w:t>[ </w:t>
      </w:r>
      <w:r w:rsidR="00632FA7" w:rsidRPr="00A52AB8">
        <w:t>tileID</w:t>
      </w:r>
      <w:r w:rsidR="001B6CE6" w:rsidRPr="00A52AB8">
        <w:t> ]</w:t>
      </w:r>
      <w:r w:rsidRPr="00A52AB8">
        <w:rPr>
          <w:lang w:eastAsia="ja-JP"/>
        </w:rPr>
        <w:t>[ p ]</w:t>
      </w:r>
      <w:r w:rsidRPr="00A52AB8">
        <w:rPr>
          <w:lang w:eastAsia="ja-JP"/>
        </w:rPr>
        <w:tab/>
        <w:t>(</w:t>
      </w:r>
      <w:r w:rsidRPr="00496A4D">
        <w:rPr>
          <w:lang w:eastAsia="ja-JP"/>
        </w:rPr>
        <w:fldChar w:fldCharType="begin"/>
      </w:r>
      <w:r w:rsidRPr="00A52AB8">
        <w:rPr>
          <w:lang w:eastAsia="ja-JP"/>
        </w:rPr>
        <w:instrText xml:space="preserve"> </w:instrText>
      </w:r>
      <w:r w:rsidR="00646520" w:rsidRPr="00A52AB8">
        <w:rPr>
          <w:lang w:eastAsia="ja-JP"/>
        </w:rPr>
        <w:instrText>SEQ Equation \* ARABIC \n</w:instrText>
      </w:r>
      <w:r w:rsidRPr="00A52AB8">
        <w:rPr>
          <w:lang w:eastAsia="ja-JP"/>
        </w:rPr>
        <w:instrText xml:space="preserve"> </w:instrText>
      </w:r>
      <w:r w:rsidRPr="00496A4D">
        <w:rPr>
          <w:lang w:eastAsia="ja-JP"/>
        </w:rPr>
        <w:fldChar w:fldCharType="separate"/>
      </w:r>
      <w:r w:rsidR="00507A67">
        <w:rPr>
          <w:noProof/>
          <w:lang w:eastAsia="ja-JP"/>
        </w:rPr>
        <w:t>94</w:t>
      </w:r>
      <w:r w:rsidRPr="00496A4D">
        <w:rPr>
          <w:lang w:eastAsia="ja-JP"/>
        </w:rPr>
        <w:fldChar w:fldCharType="end"/>
      </w:r>
      <w:r w:rsidRPr="00A52AB8">
        <w:rPr>
          <w:lang w:eastAsia="ja-JP"/>
        </w:rPr>
        <w:t>)</w:t>
      </w:r>
    </w:p>
    <w:p w14:paraId="5061DE4D" w14:textId="44BF0F7A" w:rsidR="00E251FB" w:rsidRPr="00A52AB8" w:rsidRDefault="00E251FB">
      <w:pPr>
        <w:rPr>
          <w:lang w:eastAsia="ja-JP"/>
        </w:rPr>
      </w:pPr>
      <w:r w:rsidRPr="00A52AB8">
        <w:rPr>
          <w:lang w:eastAsia="ja-JP"/>
        </w:rPr>
        <w:tab/>
      </w:r>
      <w:r w:rsidR="00314925" w:rsidRPr="00A52AB8">
        <w:rPr>
          <w:color w:val="000000" w:themeColor="text1"/>
        </w:rPr>
        <w:t>TilePatch3dOffsetV</w:t>
      </w:r>
      <w:r w:rsidR="001B6CE6" w:rsidRPr="00A52AB8">
        <w:t>[ </w:t>
      </w:r>
      <w:r w:rsidR="00632FA7" w:rsidRPr="00A52AB8">
        <w:t>tileID</w:t>
      </w:r>
      <w:r w:rsidR="001B6CE6" w:rsidRPr="00A52AB8">
        <w:t> ]</w:t>
      </w:r>
      <w:r w:rsidRPr="00A52AB8">
        <w:rPr>
          <w:lang w:eastAsia="ja-JP"/>
        </w:rPr>
        <w:t>[ p ]</w:t>
      </w:r>
      <w:r w:rsidR="00D47707" w:rsidRPr="00A52AB8">
        <w:rPr>
          <w:lang w:eastAsia="ja-JP"/>
        </w:rPr>
        <w:t> = </w:t>
      </w:r>
      <w:r w:rsidRPr="00A52AB8">
        <w:rPr>
          <w:lang w:eastAsia="ja-JP"/>
        </w:rPr>
        <w:t>refPatch</w:t>
      </w:r>
      <w:r w:rsidR="001A4D59" w:rsidRPr="00A52AB8">
        <w:rPr>
          <w:lang w:eastAsia="ja-JP"/>
        </w:rPr>
        <w:t>3dOffsetV</w:t>
      </w:r>
      <w:r w:rsidRPr="00A52AB8">
        <w:rPr>
          <w:lang w:eastAsia="ja-JP"/>
        </w:rPr>
        <w:t> + </w:t>
      </w:r>
      <w:r w:rsidR="00C324B6" w:rsidRPr="00A52AB8">
        <w:rPr>
          <w:lang w:eastAsia="ja-JP"/>
        </w:rPr>
        <w:t>m</w:t>
      </w:r>
      <w:r w:rsidR="007356C4" w:rsidRPr="00A52AB8">
        <w:rPr>
          <w:lang w:eastAsia="ja-JP"/>
        </w:rPr>
        <w:t>pdu_3d_offset_v</w:t>
      </w:r>
      <w:r w:rsidR="001B6CE6" w:rsidRPr="00A52AB8">
        <w:t>[ </w:t>
      </w:r>
      <w:r w:rsidR="00632FA7" w:rsidRPr="00A52AB8">
        <w:t>tileID</w:t>
      </w:r>
      <w:r w:rsidR="001B6CE6" w:rsidRPr="00A52AB8">
        <w:t> ]</w:t>
      </w:r>
      <w:r w:rsidRPr="00A52AB8">
        <w:rPr>
          <w:lang w:eastAsia="ja-JP"/>
        </w:rPr>
        <w:t>[ p ]</w:t>
      </w:r>
      <w:r w:rsidRPr="00A52AB8">
        <w:rPr>
          <w:lang w:eastAsia="ja-JP"/>
        </w:rPr>
        <w:tab/>
        <w:t>(</w:t>
      </w:r>
      <w:r w:rsidRPr="00496A4D">
        <w:rPr>
          <w:lang w:eastAsia="ja-JP"/>
        </w:rPr>
        <w:fldChar w:fldCharType="begin"/>
      </w:r>
      <w:r w:rsidRPr="00A52AB8">
        <w:rPr>
          <w:lang w:eastAsia="ja-JP"/>
        </w:rPr>
        <w:instrText xml:space="preserve"> </w:instrText>
      </w:r>
      <w:r w:rsidR="00646520" w:rsidRPr="00A52AB8">
        <w:rPr>
          <w:lang w:eastAsia="ja-JP"/>
        </w:rPr>
        <w:instrText>SEQ Equation \* ARABIC \n</w:instrText>
      </w:r>
      <w:r w:rsidRPr="00A52AB8">
        <w:rPr>
          <w:lang w:eastAsia="ja-JP"/>
        </w:rPr>
        <w:instrText xml:space="preserve"> </w:instrText>
      </w:r>
      <w:r w:rsidRPr="00496A4D">
        <w:rPr>
          <w:lang w:eastAsia="ja-JP"/>
        </w:rPr>
        <w:fldChar w:fldCharType="separate"/>
      </w:r>
      <w:r w:rsidR="00507A67">
        <w:rPr>
          <w:noProof/>
          <w:lang w:eastAsia="ja-JP"/>
        </w:rPr>
        <w:t>95</w:t>
      </w:r>
      <w:r w:rsidRPr="00496A4D">
        <w:rPr>
          <w:lang w:eastAsia="ja-JP"/>
        </w:rPr>
        <w:fldChar w:fldCharType="end"/>
      </w:r>
      <w:r w:rsidRPr="00A52AB8">
        <w:rPr>
          <w:lang w:eastAsia="ja-JP"/>
        </w:rPr>
        <w:t>)</w:t>
      </w:r>
    </w:p>
    <w:p w14:paraId="559A13ED" w14:textId="54EEF8FA" w:rsidR="00E251FB" w:rsidRPr="00A52AB8" w:rsidRDefault="00E251FB">
      <w:pPr>
        <w:rPr>
          <w:lang w:eastAsia="ja-JP"/>
        </w:rPr>
      </w:pPr>
      <w:r w:rsidRPr="00A52AB8">
        <w:rPr>
          <w:lang w:eastAsia="ja-JP"/>
        </w:rPr>
        <w:tab/>
      </w:r>
      <w:r w:rsidR="00141AB2" w:rsidRPr="00A52AB8">
        <w:rPr>
          <w:color w:val="000000" w:themeColor="text1"/>
        </w:rPr>
        <w:t>TilePatch3dOffsetD</w:t>
      </w:r>
      <w:r w:rsidR="001B6CE6" w:rsidRPr="00A52AB8">
        <w:t>[ </w:t>
      </w:r>
      <w:r w:rsidR="00632FA7" w:rsidRPr="00A52AB8">
        <w:t>tileID</w:t>
      </w:r>
      <w:r w:rsidR="001B6CE6" w:rsidRPr="00A52AB8">
        <w:t> ]</w:t>
      </w:r>
      <w:r w:rsidRPr="00A52AB8">
        <w:rPr>
          <w:lang w:eastAsia="ja-JP"/>
        </w:rPr>
        <w:t>[ p ]</w:t>
      </w:r>
      <w:r w:rsidR="00D47707" w:rsidRPr="00A52AB8">
        <w:rPr>
          <w:lang w:eastAsia="ja-JP"/>
        </w:rPr>
        <w:t> = </w:t>
      </w:r>
      <w:r w:rsidRPr="00A52AB8">
        <w:rPr>
          <w:lang w:eastAsia="ja-JP"/>
        </w:rPr>
        <w:t>refPatch</w:t>
      </w:r>
      <w:r w:rsidR="001A4D59" w:rsidRPr="00A52AB8">
        <w:rPr>
          <w:lang w:eastAsia="ja-JP"/>
        </w:rPr>
        <w:t>3dOffsetD</w:t>
      </w:r>
      <w:r w:rsidRPr="00A52AB8">
        <w:rPr>
          <w:lang w:eastAsia="ja-JP"/>
        </w:rPr>
        <w:t> +</w:t>
      </w:r>
      <w:r w:rsidR="00C324B6" w:rsidRPr="00A52AB8">
        <w:rPr>
          <w:lang w:eastAsia="ja-JP"/>
        </w:rPr>
        <w:t> M</w:t>
      </w:r>
      <w:r w:rsidRPr="00A52AB8">
        <w:rPr>
          <w:lang w:eastAsia="ja-JP"/>
        </w:rPr>
        <w:t>p</w:t>
      </w:r>
      <w:r w:rsidR="00141AB2" w:rsidRPr="00A52AB8">
        <w:rPr>
          <w:lang w:eastAsia="ja-JP"/>
        </w:rPr>
        <w:t>du3dOffsetD</w:t>
      </w:r>
      <w:r w:rsidR="001B6CE6" w:rsidRPr="00A52AB8">
        <w:t>[ </w:t>
      </w:r>
      <w:r w:rsidR="00632FA7" w:rsidRPr="00A52AB8">
        <w:t>tileID</w:t>
      </w:r>
      <w:r w:rsidR="001B6CE6" w:rsidRPr="00A52AB8">
        <w:t> ]</w:t>
      </w:r>
      <w:r w:rsidRPr="00A52AB8">
        <w:rPr>
          <w:lang w:eastAsia="ja-JP"/>
        </w:rPr>
        <w:t>[ p ]</w:t>
      </w:r>
      <w:r w:rsidRPr="00A52AB8">
        <w:rPr>
          <w:lang w:eastAsia="ja-JP"/>
        </w:rPr>
        <w:tab/>
        <w:t>(</w:t>
      </w:r>
      <w:r w:rsidRPr="00496A4D">
        <w:rPr>
          <w:lang w:eastAsia="ja-JP"/>
        </w:rPr>
        <w:fldChar w:fldCharType="begin"/>
      </w:r>
      <w:r w:rsidRPr="00A52AB8">
        <w:rPr>
          <w:lang w:eastAsia="ja-JP"/>
        </w:rPr>
        <w:instrText xml:space="preserve"> </w:instrText>
      </w:r>
      <w:r w:rsidR="00646520" w:rsidRPr="00A52AB8">
        <w:rPr>
          <w:lang w:eastAsia="ja-JP"/>
        </w:rPr>
        <w:instrText>SEQ Equation \* ARABIC \n</w:instrText>
      </w:r>
      <w:r w:rsidRPr="00A52AB8">
        <w:rPr>
          <w:lang w:eastAsia="ja-JP"/>
        </w:rPr>
        <w:instrText xml:space="preserve"> </w:instrText>
      </w:r>
      <w:r w:rsidRPr="00496A4D">
        <w:rPr>
          <w:lang w:eastAsia="ja-JP"/>
        </w:rPr>
        <w:fldChar w:fldCharType="separate"/>
      </w:r>
      <w:r w:rsidR="00507A67">
        <w:rPr>
          <w:noProof/>
          <w:lang w:eastAsia="ja-JP"/>
        </w:rPr>
        <w:t>96</w:t>
      </w:r>
      <w:r w:rsidRPr="00496A4D">
        <w:rPr>
          <w:lang w:eastAsia="ja-JP"/>
        </w:rPr>
        <w:fldChar w:fldCharType="end"/>
      </w:r>
      <w:r w:rsidRPr="00A52AB8">
        <w:rPr>
          <w:lang w:eastAsia="ja-JP"/>
        </w:rPr>
        <w:t>)</w:t>
      </w:r>
    </w:p>
    <w:p w14:paraId="12FB50C7" w14:textId="48C96A71" w:rsidR="003B33A3" w:rsidRPr="00A52AB8" w:rsidRDefault="003770F1">
      <w:pPr>
        <w:rPr>
          <w:lang w:eastAsia="ja-JP"/>
        </w:rPr>
      </w:pPr>
      <w:r w:rsidRPr="00A52AB8">
        <w:rPr>
          <w:color w:val="000000" w:themeColor="text1"/>
        </w:rPr>
        <w:tab/>
      </w:r>
      <w:r w:rsidR="003B33A3" w:rsidRPr="00A52AB8">
        <w:rPr>
          <w:color w:val="000000" w:themeColor="text1"/>
        </w:rPr>
        <w:t>TilePatch</w:t>
      </w:r>
      <w:r w:rsidR="001A4D59" w:rsidRPr="00A52AB8">
        <w:rPr>
          <w:color w:val="000000" w:themeColor="text1"/>
        </w:rPr>
        <w:t>3dRangeD</w:t>
      </w:r>
      <w:r w:rsidR="003B33A3" w:rsidRPr="00A52AB8">
        <w:rPr>
          <w:color w:val="000000" w:themeColor="text1"/>
        </w:rPr>
        <w:t>[ </w:t>
      </w:r>
      <w:r w:rsidR="00632FA7" w:rsidRPr="00A52AB8">
        <w:rPr>
          <w:color w:val="000000" w:themeColor="text1"/>
        </w:rPr>
        <w:t>tileID</w:t>
      </w:r>
      <w:r w:rsidR="003B33A3" w:rsidRPr="00A52AB8">
        <w:rPr>
          <w:color w:val="000000" w:themeColor="text1"/>
        </w:rPr>
        <w:t> ][ p ]</w:t>
      </w:r>
      <w:r w:rsidR="00D47707" w:rsidRPr="00A52AB8">
        <w:rPr>
          <w:color w:val="000000" w:themeColor="text1"/>
        </w:rPr>
        <w:t> = </w:t>
      </w:r>
      <w:r w:rsidR="003B33A3" w:rsidRPr="00A52AB8">
        <w:rPr>
          <w:color w:val="000000" w:themeColor="text1"/>
        </w:rPr>
        <w:t>refPatch</w:t>
      </w:r>
      <w:r w:rsidR="001A4D59" w:rsidRPr="00A52AB8">
        <w:rPr>
          <w:color w:val="000000" w:themeColor="text1"/>
        </w:rPr>
        <w:t>3dRangeD</w:t>
      </w:r>
      <w:r w:rsidR="00733F14" w:rsidRPr="00A52AB8">
        <w:rPr>
          <w:color w:val="000000" w:themeColor="text1"/>
        </w:rPr>
        <w:t> + </w:t>
      </w:r>
      <w:r w:rsidR="007551CB" w:rsidRPr="00A52AB8">
        <w:rPr>
          <w:color w:val="000000" w:themeColor="text1"/>
        </w:rPr>
        <w:t>Mp</w:t>
      </w:r>
      <w:r w:rsidR="00733F14" w:rsidRPr="00A52AB8">
        <w:rPr>
          <w:color w:val="000000" w:themeColor="text1"/>
        </w:rPr>
        <w:t>du</w:t>
      </w:r>
      <w:r w:rsidR="001A4D59" w:rsidRPr="00A52AB8">
        <w:rPr>
          <w:color w:val="000000" w:themeColor="text1"/>
        </w:rPr>
        <w:t>3dRangeD</w:t>
      </w:r>
      <w:r w:rsidR="00733F14" w:rsidRPr="00A52AB8">
        <w:rPr>
          <w:color w:val="000000" w:themeColor="text1"/>
        </w:rPr>
        <w:t>[ </w:t>
      </w:r>
      <w:r w:rsidR="00632FA7" w:rsidRPr="00A52AB8">
        <w:rPr>
          <w:color w:val="000000" w:themeColor="text1"/>
        </w:rPr>
        <w:t>tileID</w:t>
      </w:r>
      <w:r w:rsidR="00733F14" w:rsidRPr="00A52AB8">
        <w:rPr>
          <w:color w:val="000000" w:themeColor="text1"/>
        </w:rPr>
        <w:t> ][ p ]</w:t>
      </w:r>
      <w:r w:rsidR="003B33A3" w:rsidRPr="00A52AB8">
        <w:rPr>
          <w:color w:val="000000" w:themeColor="text1"/>
        </w:rPr>
        <w:tab/>
      </w:r>
      <w:r w:rsidR="003B33A3" w:rsidRPr="00A52AB8">
        <w:rPr>
          <w:lang w:eastAsia="ja-JP"/>
        </w:rPr>
        <w:t>(</w:t>
      </w:r>
      <w:r w:rsidR="0023227E" w:rsidRPr="00496A4D">
        <w:rPr>
          <w:lang w:eastAsia="ja-JP"/>
        </w:rPr>
        <w:fldChar w:fldCharType="begin"/>
      </w:r>
      <w:r w:rsidR="0023227E" w:rsidRPr="00A52AB8">
        <w:rPr>
          <w:lang w:eastAsia="ja-JP"/>
        </w:rPr>
        <w:instrText xml:space="preserve"> SEQ Equation \* ARABIC \n </w:instrText>
      </w:r>
      <w:r w:rsidR="0023227E" w:rsidRPr="00496A4D">
        <w:rPr>
          <w:lang w:eastAsia="ja-JP"/>
        </w:rPr>
        <w:fldChar w:fldCharType="separate"/>
      </w:r>
      <w:r w:rsidR="00507A67">
        <w:rPr>
          <w:noProof/>
          <w:lang w:eastAsia="ja-JP"/>
        </w:rPr>
        <w:t>97</w:t>
      </w:r>
      <w:r w:rsidR="0023227E" w:rsidRPr="00496A4D">
        <w:rPr>
          <w:lang w:eastAsia="ja-JP"/>
        </w:rPr>
        <w:fldChar w:fldCharType="end"/>
      </w:r>
      <w:r w:rsidR="003B33A3" w:rsidRPr="00A52AB8">
        <w:rPr>
          <w:lang w:eastAsia="ja-JP"/>
        </w:rPr>
        <w:t>)</w:t>
      </w:r>
    </w:p>
    <w:p w14:paraId="4E56A86D" w14:textId="77777777" w:rsidR="00855928" w:rsidRPr="00A52AB8" w:rsidRDefault="00855928">
      <w:pPr>
        <w:rPr>
          <w:lang w:eastAsia="ja-JP"/>
        </w:rPr>
      </w:pPr>
      <w:r w:rsidRPr="00A52AB8">
        <w:rPr>
          <w:lang w:eastAsia="ja-JP"/>
        </w:rPr>
        <w:t>Otherwise,</w:t>
      </w:r>
    </w:p>
    <w:p w14:paraId="6D883809" w14:textId="51A60DF6" w:rsidR="00855928" w:rsidRPr="00A52AB8" w:rsidRDefault="00855928">
      <w:pPr>
        <w:rPr>
          <w:lang w:eastAsia="ja-JP"/>
        </w:rPr>
      </w:pPr>
      <w:r w:rsidRPr="00A52AB8">
        <w:rPr>
          <w:lang w:eastAsia="ja-JP"/>
        </w:rPr>
        <w:tab/>
      </w:r>
      <w:r w:rsidR="00314925" w:rsidRPr="00A52AB8">
        <w:rPr>
          <w:color w:val="000000" w:themeColor="text1"/>
        </w:rPr>
        <w:t>TilePatch3dOffsetU</w:t>
      </w:r>
      <w:r w:rsidR="001B6CE6" w:rsidRPr="00A52AB8">
        <w:t>[ </w:t>
      </w:r>
      <w:r w:rsidR="00632FA7" w:rsidRPr="00A52AB8">
        <w:t>tileID</w:t>
      </w:r>
      <w:r w:rsidR="001B6CE6" w:rsidRPr="00A52AB8">
        <w:t> ]</w:t>
      </w:r>
      <w:r w:rsidRPr="00A52AB8">
        <w:rPr>
          <w:lang w:eastAsia="ja-JP"/>
        </w:rPr>
        <w:t>[ p ]</w:t>
      </w:r>
      <w:r w:rsidR="00D47707" w:rsidRPr="00A52AB8">
        <w:rPr>
          <w:lang w:eastAsia="ja-JP"/>
        </w:rPr>
        <w:t> = </w:t>
      </w:r>
      <w:r w:rsidRPr="00A52AB8">
        <w:rPr>
          <w:lang w:eastAsia="ja-JP"/>
        </w:rPr>
        <w:t>refPatch</w:t>
      </w:r>
      <w:r w:rsidR="001A4D59" w:rsidRPr="00A52AB8">
        <w:rPr>
          <w:lang w:eastAsia="ja-JP"/>
        </w:rPr>
        <w:t>3dOffsetU</w:t>
      </w:r>
      <w:r w:rsidRPr="00A52AB8">
        <w:rPr>
          <w:lang w:eastAsia="ja-JP"/>
        </w:rPr>
        <w:tab/>
        <w:t>(</w:t>
      </w:r>
      <w:r w:rsidRPr="00496A4D">
        <w:rPr>
          <w:lang w:eastAsia="ja-JP"/>
        </w:rPr>
        <w:fldChar w:fldCharType="begin"/>
      </w:r>
      <w:r w:rsidRPr="00A52AB8">
        <w:rPr>
          <w:lang w:eastAsia="ja-JP"/>
        </w:rPr>
        <w:instrText xml:space="preserve"> </w:instrText>
      </w:r>
      <w:r w:rsidR="00646520" w:rsidRPr="00A52AB8">
        <w:rPr>
          <w:lang w:eastAsia="ja-JP"/>
        </w:rPr>
        <w:instrText>SEQ Equation \* ARABIC \n</w:instrText>
      </w:r>
      <w:r w:rsidRPr="00A52AB8">
        <w:rPr>
          <w:lang w:eastAsia="ja-JP"/>
        </w:rPr>
        <w:instrText xml:space="preserve"> </w:instrText>
      </w:r>
      <w:r w:rsidRPr="00496A4D">
        <w:rPr>
          <w:lang w:eastAsia="ja-JP"/>
        </w:rPr>
        <w:fldChar w:fldCharType="separate"/>
      </w:r>
      <w:r w:rsidR="00507A67">
        <w:rPr>
          <w:noProof/>
          <w:lang w:eastAsia="ja-JP"/>
        </w:rPr>
        <w:t>98</w:t>
      </w:r>
      <w:r w:rsidRPr="00496A4D">
        <w:rPr>
          <w:lang w:eastAsia="ja-JP"/>
        </w:rPr>
        <w:fldChar w:fldCharType="end"/>
      </w:r>
      <w:r w:rsidRPr="00A52AB8">
        <w:rPr>
          <w:lang w:eastAsia="ja-JP"/>
        </w:rPr>
        <w:t>)</w:t>
      </w:r>
    </w:p>
    <w:p w14:paraId="5334B956" w14:textId="222E1234" w:rsidR="0050235C" w:rsidRPr="00A52AB8" w:rsidRDefault="00855928">
      <w:pPr>
        <w:rPr>
          <w:lang w:eastAsia="ja-JP"/>
        </w:rPr>
      </w:pPr>
      <w:r w:rsidRPr="00A52AB8">
        <w:rPr>
          <w:lang w:eastAsia="ja-JP"/>
        </w:rPr>
        <w:tab/>
      </w:r>
      <w:r w:rsidR="00314925" w:rsidRPr="00A52AB8">
        <w:rPr>
          <w:color w:val="000000" w:themeColor="text1"/>
        </w:rPr>
        <w:t>TilePatch3dOffsetV</w:t>
      </w:r>
      <w:r w:rsidR="001B6CE6" w:rsidRPr="00A52AB8">
        <w:t>[ </w:t>
      </w:r>
      <w:r w:rsidR="00632FA7" w:rsidRPr="00A52AB8">
        <w:t>tileID</w:t>
      </w:r>
      <w:r w:rsidR="001B6CE6" w:rsidRPr="00A52AB8">
        <w:t> ]</w:t>
      </w:r>
      <w:r w:rsidRPr="00A52AB8">
        <w:rPr>
          <w:lang w:eastAsia="ja-JP"/>
        </w:rPr>
        <w:t>[ p ]</w:t>
      </w:r>
      <w:r w:rsidR="00D47707" w:rsidRPr="00A52AB8">
        <w:rPr>
          <w:lang w:eastAsia="ja-JP"/>
        </w:rPr>
        <w:t> = </w:t>
      </w:r>
      <w:r w:rsidRPr="00A52AB8">
        <w:rPr>
          <w:lang w:eastAsia="ja-JP"/>
        </w:rPr>
        <w:t>refPatch</w:t>
      </w:r>
      <w:r w:rsidR="001A4D59" w:rsidRPr="00A52AB8">
        <w:rPr>
          <w:lang w:eastAsia="ja-JP"/>
        </w:rPr>
        <w:t>3dOffsetV</w:t>
      </w:r>
      <w:r w:rsidRPr="00A52AB8">
        <w:rPr>
          <w:lang w:eastAsia="ja-JP"/>
        </w:rPr>
        <w:tab/>
        <w:t>(</w:t>
      </w:r>
      <w:r w:rsidRPr="00496A4D">
        <w:rPr>
          <w:lang w:eastAsia="ja-JP"/>
        </w:rPr>
        <w:fldChar w:fldCharType="begin"/>
      </w:r>
      <w:r w:rsidRPr="00A52AB8">
        <w:rPr>
          <w:lang w:eastAsia="ja-JP"/>
        </w:rPr>
        <w:instrText xml:space="preserve"> </w:instrText>
      </w:r>
      <w:r w:rsidR="00646520" w:rsidRPr="00A52AB8">
        <w:rPr>
          <w:lang w:eastAsia="ja-JP"/>
        </w:rPr>
        <w:instrText>SEQ Equation \* ARABIC \n</w:instrText>
      </w:r>
      <w:r w:rsidRPr="00A52AB8">
        <w:rPr>
          <w:lang w:eastAsia="ja-JP"/>
        </w:rPr>
        <w:instrText xml:space="preserve"> </w:instrText>
      </w:r>
      <w:r w:rsidRPr="00496A4D">
        <w:rPr>
          <w:lang w:eastAsia="ja-JP"/>
        </w:rPr>
        <w:fldChar w:fldCharType="separate"/>
      </w:r>
      <w:r w:rsidR="00507A67">
        <w:rPr>
          <w:noProof/>
          <w:lang w:eastAsia="ja-JP"/>
        </w:rPr>
        <w:t>99</w:t>
      </w:r>
      <w:r w:rsidRPr="00496A4D">
        <w:rPr>
          <w:lang w:eastAsia="ja-JP"/>
        </w:rPr>
        <w:fldChar w:fldCharType="end"/>
      </w:r>
      <w:r w:rsidRPr="00A52AB8">
        <w:rPr>
          <w:lang w:eastAsia="ja-JP"/>
        </w:rPr>
        <w:t>)</w:t>
      </w:r>
    </w:p>
    <w:p w14:paraId="65791316" w14:textId="78B7A1AC" w:rsidR="00090FB3" w:rsidRPr="00A52AB8" w:rsidRDefault="00855928" w:rsidP="00090FB3">
      <w:pPr>
        <w:rPr>
          <w:lang w:eastAsia="ja-JP"/>
        </w:rPr>
      </w:pPr>
      <w:r w:rsidRPr="00A52AB8">
        <w:rPr>
          <w:lang w:eastAsia="ja-JP"/>
        </w:rPr>
        <w:tab/>
      </w:r>
      <w:r w:rsidR="00141AB2" w:rsidRPr="00A52AB8">
        <w:rPr>
          <w:color w:val="000000" w:themeColor="text1"/>
        </w:rPr>
        <w:t>TilePatch3dOffsetD</w:t>
      </w:r>
      <w:r w:rsidR="001B6CE6" w:rsidRPr="00A52AB8">
        <w:t>[ </w:t>
      </w:r>
      <w:r w:rsidR="00632FA7" w:rsidRPr="00A52AB8">
        <w:t>tileID</w:t>
      </w:r>
      <w:r w:rsidR="001B6CE6" w:rsidRPr="00A52AB8">
        <w:t> ]</w:t>
      </w:r>
      <w:r w:rsidRPr="00A52AB8">
        <w:rPr>
          <w:lang w:eastAsia="ja-JP"/>
        </w:rPr>
        <w:t>[ p ]</w:t>
      </w:r>
      <w:r w:rsidR="00D47707" w:rsidRPr="00A52AB8">
        <w:rPr>
          <w:lang w:eastAsia="ja-JP"/>
        </w:rPr>
        <w:t> = </w:t>
      </w:r>
      <w:r w:rsidRPr="00A52AB8">
        <w:rPr>
          <w:lang w:eastAsia="ja-JP"/>
        </w:rPr>
        <w:t>refPatch</w:t>
      </w:r>
      <w:r w:rsidR="001A4D59" w:rsidRPr="00A52AB8">
        <w:rPr>
          <w:lang w:eastAsia="ja-JP"/>
        </w:rPr>
        <w:t>3dOffsetD</w:t>
      </w:r>
      <w:r w:rsidR="00090FB3" w:rsidRPr="00A52AB8">
        <w:rPr>
          <w:color w:val="000000" w:themeColor="text1"/>
        </w:rPr>
        <w:tab/>
      </w:r>
      <w:r w:rsidR="00090FB3" w:rsidRPr="00A52AB8">
        <w:rPr>
          <w:lang w:eastAsia="ja-JP"/>
        </w:rPr>
        <w:t>(</w:t>
      </w:r>
      <w:r w:rsidR="00952E10" w:rsidRPr="00496A4D">
        <w:rPr>
          <w:lang w:eastAsia="ja-JP"/>
        </w:rPr>
        <w:fldChar w:fldCharType="begin"/>
      </w:r>
      <w:r w:rsidR="00952E10" w:rsidRPr="00A52AB8">
        <w:rPr>
          <w:lang w:eastAsia="ja-JP"/>
        </w:rPr>
        <w:instrText xml:space="preserve"> SEQ Equation \* ARABIC \n </w:instrText>
      </w:r>
      <w:r w:rsidR="00952E10" w:rsidRPr="00496A4D">
        <w:rPr>
          <w:lang w:eastAsia="ja-JP"/>
        </w:rPr>
        <w:fldChar w:fldCharType="separate"/>
      </w:r>
      <w:r w:rsidR="00507A67">
        <w:rPr>
          <w:noProof/>
          <w:lang w:eastAsia="ja-JP"/>
        </w:rPr>
        <w:t>100</w:t>
      </w:r>
      <w:r w:rsidR="00952E10" w:rsidRPr="00496A4D">
        <w:rPr>
          <w:lang w:eastAsia="ja-JP"/>
        </w:rPr>
        <w:fldChar w:fldCharType="end"/>
      </w:r>
      <w:r w:rsidR="00090FB3" w:rsidRPr="00A52AB8">
        <w:rPr>
          <w:lang w:eastAsia="ja-JP"/>
        </w:rPr>
        <w:t>)</w:t>
      </w:r>
    </w:p>
    <w:p w14:paraId="70DE1226" w14:textId="70134417" w:rsidR="003C5963" w:rsidRPr="00A52AB8" w:rsidRDefault="00090FB3">
      <w:pPr>
        <w:rPr>
          <w:lang w:eastAsia="ja-JP"/>
        </w:rPr>
      </w:pPr>
      <w:r w:rsidRPr="00A52AB8">
        <w:rPr>
          <w:color w:val="000000" w:themeColor="text1"/>
        </w:rPr>
        <w:tab/>
      </w:r>
      <w:r w:rsidR="003C5963" w:rsidRPr="00A52AB8">
        <w:rPr>
          <w:color w:val="000000" w:themeColor="text1"/>
        </w:rPr>
        <w:t>TilePatch</w:t>
      </w:r>
      <w:r w:rsidR="001A4D59" w:rsidRPr="00A52AB8">
        <w:rPr>
          <w:color w:val="000000" w:themeColor="text1"/>
        </w:rPr>
        <w:t>3dRangeD</w:t>
      </w:r>
      <w:r w:rsidR="003C5963" w:rsidRPr="00A52AB8">
        <w:rPr>
          <w:color w:val="000000" w:themeColor="text1"/>
        </w:rPr>
        <w:t>[ </w:t>
      </w:r>
      <w:r w:rsidR="00632FA7" w:rsidRPr="00A52AB8">
        <w:rPr>
          <w:color w:val="000000" w:themeColor="text1"/>
        </w:rPr>
        <w:t>tileID</w:t>
      </w:r>
      <w:r w:rsidR="003C5963" w:rsidRPr="00A52AB8">
        <w:rPr>
          <w:color w:val="000000" w:themeColor="text1"/>
        </w:rPr>
        <w:t> ][ p ]</w:t>
      </w:r>
      <w:r w:rsidR="00D47707" w:rsidRPr="00A52AB8">
        <w:rPr>
          <w:color w:val="000000" w:themeColor="text1"/>
        </w:rPr>
        <w:t> = </w:t>
      </w:r>
      <w:r w:rsidR="003C5963" w:rsidRPr="00A52AB8">
        <w:rPr>
          <w:color w:val="000000" w:themeColor="text1"/>
        </w:rPr>
        <w:t>refPatch</w:t>
      </w:r>
      <w:r w:rsidR="001A4D59" w:rsidRPr="00A52AB8">
        <w:rPr>
          <w:color w:val="000000" w:themeColor="text1"/>
        </w:rPr>
        <w:t>3dRangeD</w:t>
      </w:r>
      <w:r w:rsidRPr="00A52AB8">
        <w:rPr>
          <w:color w:val="000000" w:themeColor="text1"/>
        </w:rPr>
        <w:tab/>
      </w:r>
      <w:r w:rsidRPr="00A52AB8">
        <w:rPr>
          <w:lang w:eastAsia="ja-JP"/>
        </w:rPr>
        <w:t>(</w:t>
      </w:r>
      <w:r w:rsidR="00952E10" w:rsidRPr="00496A4D">
        <w:rPr>
          <w:lang w:eastAsia="ja-JP"/>
        </w:rPr>
        <w:fldChar w:fldCharType="begin"/>
      </w:r>
      <w:r w:rsidR="00952E10" w:rsidRPr="00A52AB8">
        <w:rPr>
          <w:lang w:eastAsia="ja-JP"/>
        </w:rPr>
        <w:instrText xml:space="preserve"> SEQ Equation \* ARABIC \n </w:instrText>
      </w:r>
      <w:r w:rsidR="00952E10" w:rsidRPr="00496A4D">
        <w:rPr>
          <w:lang w:eastAsia="ja-JP"/>
        </w:rPr>
        <w:fldChar w:fldCharType="separate"/>
      </w:r>
      <w:r w:rsidR="00507A67">
        <w:rPr>
          <w:noProof/>
          <w:lang w:eastAsia="ja-JP"/>
        </w:rPr>
        <w:t>101</w:t>
      </w:r>
      <w:r w:rsidR="00952E10" w:rsidRPr="00496A4D">
        <w:rPr>
          <w:lang w:eastAsia="ja-JP"/>
        </w:rPr>
        <w:fldChar w:fldCharType="end"/>
      </w:r>
      <w:r w:rsidRPr="00A52AB8">
        <w:rPr>
          <w:lang w:eastAsia="ja-JP"/>
        </w:rPr>
        <w:t>)</w:t>
      </w:r>
    </w:p>
    <w:p w14:paraId="126B2FDF" w14:textId="4FDEA4A0" w:rsidR="00855928" w:rsidRPr="00A52AB8" w:rsidRDefault="00BD6803">
      <w:pPr>
        <w:rPr>
          <w:lang w:eastAsia="ja-JP"/>
        </w:rPr>
      </w:pPr>
      <w:r w:rsidRPr="00A52AB8">
        <w:rPr>
          <w:lang w:eastAsia="ja-JP"/>
        </w:rPr>
        <w:t>T</w:t>
      </w:r>
      <w:r w:rsidR="000769EF" w:rsidRPr="00A52AB8">
        <w:rPr>
          <w:lang w:eastAsia="ja-JP"/>
        </w:rPr>
        <w:t>he following variables are set:</w:t>
      </w:r>
    </w:p>
    <w:p w14:paraId="35183F6D" w14:textId="7A845261" w:rsidR="00E251FB" w:rsidRPr="00A52AB8" w:rsidRDefault="00E251FB">
      <w:pPr>
        <w:rPr>
          <w:lang w:eastAsia="ja-JP"/>
        </w:rPr>
      </w:pPr>
      <w:r w:rsidRPr="00A52AB8">
        <w:rPr>
          <w:lang w:eastAsia="ja-JP"/>
        </w:rPr>
        <w:tab/>
      </w:r>
      <w:r w:rsidR="008C0B42" w:rsidRPr="00A52AB8">
        <w:rPr>
          <w:lang w:eastAsia="ja-JP"/>
        </w:rPr>
        <w:t>TilePatchProjectionID</w:t>
      </w:r>
      <w:r w:rsidR="001B6CE6" w:rsidRPr="00A52AB8">
        <w:t>[ </w:t>
      </w:r>
      <w:r w:rsidR="00632FA7" w:rsidRPr="00A52AB8">
        <w:t>tileID</w:t>
      </w:r>
      <w:r w:rsidR="001B6CE6" w:rsidRPr="00A52AB8">
        <w:t> ]</w:t>
      </w:r>
      <w:r w:rsidRPr="00A52AB8">
        <w:rPr>
          <w:lang w:eastAsia="ja-JP"/>
        </w:rPr>
        <w:t>[ p ]</w:t>
      </w:r>
      <w:r w:rsidR="00D47707" w:rsidRPr="00A52AB8">
        <w:rPr>
          <w:lang w:eastAsia="ja-JP"/>
        </w:rPr>
        <w:t> = </w:t>
      </w:r>
      <w:r w:rsidRPr="00A52AB8">
        <w:rPr>
          <w:lang w:eastAsia="ja-JP"/>
        </w:rPr>
        <w:t>refPatch</w:t>
      </w:r>
      <w:r w:rsidR="008C0B42" w:rsidRPr="00A52AB8">
        <w:rPr>
          <w:lang w:eastAsia="ja-JP"/>
        </w:rPr>
        <w:t>ProjectionID</w:t>
      </w:r>
      <w:r w:rsidRPr="00A52AB8">
        <w:rPr>
          <w:lang w:eastAsia="ja-JP"/>
        </w:rPr>
        <w:tab/>
        <w:t>(</w:t>
      </w:r>
      <w:r w:rsidRPr="00496A4D">
        <w:rPr>
          <w:lang w:eastAsia="ja-JP"/>
        </w:rPr>
        <w:fldChar w:fldCharType="begin"/>
      </w:r>
      <w:r w:rsidRPr="00A52AB8">
        <w:rPr>
          <w:lang w:eastAsia="ja-JP"/>
        </w:rPr>
        <w:instrText xml:space="preserve"> </w:instrText>
      </w:r>
      <w:r w:rsidR="00646520" w:rsidRPr="00A52AB8">
        <w:rPr>
          <w:lang w:eastAsia="ja-JP"/>
        </w:rPr>
        <w:instrText>SEQ Equation \* ARABIC \n</w:instrText>
      </w:r>
      <w:r w:rsidRPr="00A52AB8">
        <w:rPr>
          <w:lang w:eastAsia="ja-JP"/>
        </w:rPr>
        <w:instrText xml:space="preserve"> </w:instrText>
      </w:r>
      <w:r w:rsidRPr="00496A4D">
        <w:rPr>
          <w:lang w:eastAsia="ja-JP"/>
        </w:rPr>
        <w:fldChar w:fldCharType="separate"/>
      </w:r>
      <w:r w:rsidR="00507A67">
        <w:rPr>
          <w:noProof/>
          <w:lang w:eastAsia="ja-JP"/>
        </w:rPr>
        <w:t>102</w:t>
      </w:r>
      <w:r w:rsidRPr="00496A4D">
        <w:rPr>
          <w:lang w:eastAsia="ja-JP"/>
        </w:rPr>
        <w:fldChar w:fldCharType="end"/>
      </w:r>
      <w:r w:rsidRPr="00A52AB8">
        <w:rPr>
          <w:lang w:eastAsia="ja-JP"/>
        </w:rPr>
        <w:t>)</w:t>
      </w:r>
    </w:p>
    <w:p w14:paraId="651FDFF4" w14:textId="4736C6FE" w:rsidR="008C0B42" w:rsidRPr="00A52AB8" w:rsidRDefault="008C0B42">
      <w:pPr>
        <w:rPr>
          <w:lang w:eastAsia="ja-JP"/>
        </w:rPr>
      </w:pPr>
      <w:r w:rsidRPr="00A52AB8">
        <w:rPr>
          <w:lang w:eastAsia="ja-JP"/>
        </w:rPr>
        <w:tab/>
        <w:t>TilePatchOrientationIndex</w:t>
      </w:r>
      <w:r w:rsidRPr="00A52AB8">
        <w:t>[ tileID ]</w:t>
      </w:r>
      <w:r w:rsidRPr="00A52AB8">
        <w:rPr>
          <w:lang w:eastAsia="ja-JP"/>
        </w:rPr>
        <w:t>[ p ]</w:t>
      </w:r>
      <w:r w:rsidR="00D47707" w:rsidRPr="00A52AB8">
        <w:rPr>
          <w:lang w:eastAsia="ja-JP"/>
        </w:rPr>
        <w:t> = </w:t>
      </w:r>
      <w:r w:rsidRPr="00A52AB8">
        <w:rPr>
          <w:lang w:eastAsia="ja-JP"/>
        </w:rPr>
        <w:t>refPatchOrientationIndex</w:t>
      </w:r>
      <w:r w:rsidRPr="00A52AB8">
        <w:rPr>
          <w:lang w:eastAsia="ja-JP"/>
        </w:rPr>
        <w:tab/>
        <w:t>(</w:t>
      </w:r>
      <w:r w:rsidRPr="00496A4D">
        <w:rPr>
          <w:lang w:eastAsia="ja-JP"/>
        </w:rPr>
        <w:fldChar w:fldCharType="begin"/>
      </w:r>
      <w:r w:rsidRPr="00A52AB8">
        <w:rPr>
          <w:lang w:eastAsia="ja-JP"/>
        </w:rPr>
        <w:instrText xml:space="preserve"> SEQ Equation \* ARABIC \n </w:instrText>
      </w:r>
      <w:r w:rsidRPr="00496A4D">
        <w:rPr>
          <w:lang w:eastAsia="ja-JP"/>
        </w:rPr>
        <w:fldChar w:fldCharType="separate"/>
      </w:r>
      <w:r w:rsidR="00507A67">
        <w:rPr>
          <w:noProof/>
          <w:lang w:eastAsia="ja-JP"/>
        </w:rPr>
        <w:t>103</w:t>
      </w:r>
      <w:r w:rsidRPr="00496A4D">
        <w:rPr>
          <w:lang w:eastAsia="ja-JP"/>
        </w:rPr>
        <w:fldChar w:fldCharType="end"/>
      </w:r>
      <w:r w:rsidRPr="00A52AB8">
        <w:rPr>
          <w:lang w:eastAsia="ja-JP"/>
        </w:rPr>
        <w:t>)</w:t>
      </w:r>
    </w:p>
    <w:p w14:paraId="7E460206" w14:textId="02AA25E7" w:rsidR="002E02F5" w:rsidRPr="00A52AB8" w:rsidRDefault="002E02F5">
      <w:pPr>
        <w:rPr>
          <w:lang w:eastAsia="ja-JP"/>
        </w:rPr>
      </w:pPr>
      <w:r w:rsidRPr="00A52AB8">
        <w:rPr>
          <w:lang w:eastAsia="ja-JP"/>
        </w:rPr>
        <w:tab/>
      </w:r>
      <w:r w:rsidR="00B5447E" w:rsidRPr="00A52AB8">
        <w:rPr>
          <w:lang w:eastAsia="ja-JP"/>
        </w:rPr>
        <w:t>Tile</w:t>
      </w:r>
      <w:r w:rsidRPr="00A52AB8">
        <w:rPr>
          <w:lang w:eastAsia="ja-JP"/>
        </w:rPr>
        <w:t>PatchLoDScaleX</w:t>
      </w:r>
      <w:r w:rsidR="001B6CE6" w:rsidRPr="00A52AB8">
        <w:t>[ </w:t>
      </w:r>
      <w:r w:rsidR="00632FA7" w:rsidRPr="00A52AB8">
        <w:t>tileID</w:t>
      </w:r>
      <w:r w:rsidR="001B6CE6" w:rsidRPr="00A52AB8">
        <w:t> ]</w:t>
      </w:r>
      <w:r w:rsidRPr="00A52AB8">
        <w:rPr>
          <w:lang w:eastAsia="ja-JP"/>
        </w:rPr>
        <w:t>[ p ]</w:t>
      </w:r>
      <w:r w:rsidR="00D47707" w:rsidRPr="00A52AB8">
        <w:rPr>
          <w:lang w:eastAsia="ja-JP"/>
        </w:rPr>
        <w:t> = </w:t>
      </w:r>
      <w:r w:rsidRPr="00A52AB8">
        <w:rPr>
          <w:lang w:eastAsia="ja-JP"/>
        </w:rPr>
        <w:t>refPatchLoDScaleX</w:t>
      </w:r>
      <w:r w:rsidRPr="00A52AB8">
        <w:rPr>
          <w:lang w:eastAsia="ja-JP"/>
        </w:rPr>
        <w:tab/>
        <w:t>(</w:t>
      </w:r>
      <w:r w:rsidRPr="00496A4D">
        <w:rPr>
          <w:lang w:eastAsia="ja-JP"/>
        </w:rPr>
        <w:fldChar w:fldCharType="begin"/>
      </w:r>
      <w:r w:rsidRPr="00A52AB8">
        <w:rPr>
          <w:lang w:eastAsia="ja-JP"/>
        </w:rPr>
        <w:instrText xml:space="preserve"> </w:instrText>
      </w:r>
      <w:r w:rsidR="00646520" w:rsidRPr="00A52AB8">
        <w:rPr>
          <w:lang w:eastAsia="ja-JP"/>
        </w:rPr>
        <w:instrText>SEQ Equation \* ARABIC \n</w:instrText>
      </w:r>
      <w:r w:rsidRPr="00A52AB8">
        <w:rPr>
          <w:lang w:eastAsia="ja-JP"/>
        </w:rPr>
        <w:instrText xml:space="preserve"> </w:instrText>
      </w:r>
      <w:r w:rsidRPr="00496A4D">
        <w:rPr>
          <w:lang w:eastAsia="ja-JP"/>
        </w:rPr>
        <w:fldChar w:fldCharType="separate"/>
      </w:r>
      <w:r w:rsidR="00507A67">
        <w:rPr>
          <w:noProof/>
          <w:lang w:eastAsia="ja-JP"/>
        </w:rPr>
        <w:t>104</w:t>
      </w:r>
      <w:r w:rsidRPr="00496A4D">
        <w:rPr>
          <w:lang w:eastAsia="ja-JP"/>
        </w:rPr>
        <w:fldChar w:fldCharType="end"/>
      </w:r>
      <w:r w:rsidRPr="00A52AB8">
        <w:rPr>
          <w:lang w:eastAsia="ja-JP"/>
        </w:rPr>
        <w:t>)</w:t>
      </w:r>
    </w:p>
    <w:p w14:paraId="5EC8A0AE" w14:textId="6BC1BF63" w:rsidR="002E02F5" w:rsidRPr="00A52AB8" w:rsidRDefault="002E02F5">
      <w:pPr>
        <w:rPr>
          <w:lang w:eastAsia="ja-JP"/>
        </w:rPr>
      </w:pPr>
      <w:r w:rsidRPr="00A52AB8">
        <w:rPr>
          <w:lang w:eastAsia="ja-JP"/>
        </w:rPr>
        <w:tab/>
      </w:r>
      <w:r w:rsidR="00B5447E" w:rsidRPr="00A52AB8">
        <w:rPr>
          <w:lang w:eastAsia="ja-JP"/>
        </w:rPr>
        <w:t>Tile</w:t>
      </w:r>
      <w:r w:rsidRPr="00A52AB8">
        <w:rPr>
          <w:lang w:eastAsia="ja-JP"/>
        </w:rPr>
        <w:t>PatchLoDScaleY</w:t>
      </w:r>
      <w:r w:rsidR="001B6CE6" w:rsidRPr="00A52AB8">
        <w:t>[ </w:t>
      </w:r>
      <w:r w:rsidR="00632FA7" w:rsidRPr="00A52AB8">
        <w:t>tileID</w:t>
      </w:r>
      <w:r w:rsidR="001B6CE6" w:rsidRPr="00A52AB8">
        <w:t> ]</w:t>
      </w:r>
      <w:r w:rsidRPr="00A52AB8">
        <w:rPr>
          <w:lang w:eastAsia="ja-JP"/>
        </w:rPr>
        <w:t>[ p ]</w:t>
      </w:r>
      <w:r w:rsidR="00D47707" w:rsidRPr="00A52AB8">
        <w:rPr>
          <w:lang w:eastAsia="ja-JP"/>
        </w:rPr>
        <w:t> = </w:t>
      </w:r>
      <w:r w:rsidRPr="00A52AB8">
        <w:rPr>
          <w:lang w:eastAsia="ja-JP"/>
        </w:rPr>
        <w:t>refPatchLoDScaleY</w:t>
      </w:r>
      <w:r w:rsidRPr="00A52AB8">
        <w:rPr>
          <w:lang w:eastAsia="ja-JP"/>
        </w:rPr>
        <w:tab/>
        <w:t>(</w:t>
      </w:r>
      <w:r w:rsidRPr="00496A4D">
        <w:rPr>
          <w:lang w:eastAsia="ja-JP"/>
        </w:rPr>
        <w:fldChar w:fldCharType="begin"/>
      </w:r>
      <w:r w:rsidRPr="00A52AB8">
        <w:rPr>
          <w:lang w:eastAsia="ja-JP"/>
        </w:rPr>
        <w:instrText xml:space="preserve"> </w:instrText>
      </w:r>
      <w:r w:rsidR="00646520" w:rsidRPr="00A52AB8">
        <w:rPr>
          <w:lang w:eastAsia="ja-JP"/>
        </w:rPr>
        <w:instrText>SEQ Equation \* ARABIC \n</w:instrText>
      </w:r>
      <w:r w:rsidRPr="00A52AB8">
        <w:rPr>
          <w:lang w:eastAsia="ja-JP"/>
        </w:rPr>
        <w:instrText xml:space="preserve"> </w:instrText>
      </w:r>
      <w:r w:rsidRPr="00496A4D">
        <w:rPr>
          <w:lang w:eastAsia="ja-JP"/>
        </w:rPr>
        <w:fldChar w:fldCharType="separate"/>
      </w:r>
      <w:r w:rsidR="00507A67">
        <w:rPr>
          <w:noProof/>
          <w:lang w:eastAsia="ja-JP"/>
        </w:rPr>
        <w:t>105</w:t>
      </w:r>
      <w:r w:rsidRPr="00496A4D">
        <w:rPr>
          <w:lang w:eastAsia="ja-JP"/>
        </w:rPr>
        <w:fldChar w:fldCharType="end"/>
      </w:r>
      <w:r w:rsidRPr="00A52AB8">
        <w:rPr>
          <w:lang w:eastAsia="ja-JP"/>
        </w:rPr>
        <w:t>)</w:t>
      </w:r>
    </w:p>
    <w:p w14:paraId="51C920D5" w14:textId="3E83340B" w:rsidR="00BD6803" w:rsidRPr="00A52AB8" w:rsidRDefault="00BD6803">
      <w:pPr>
        <w:rPr>
          <w:lang w:eastAsia="ja-JP"/>
        </w:rPr>
      </w:pPr>
      <w:r w:rsidRPr="00A52AB8">
        <w:rPr>
          <w:lang w:eastAsia="ja-JP"/>
        </w:rPr>
        <w:t>If asps_plr_enabled_flag is equal to 1, the following applies</w:t>
      </w:r>
      <w:r w:rsidR="005A27DB" w:rsidRPr="00A52AB8">
        <w:rPr>
          <w:lang w:eastAsia="ja-JP"/>
        </w:rPr>
        <w:t>:</w:t>
      </w:r>
    </w:p>
    <w:p w14:paraId="07215133" w14:textId="3B4B9845" w:rsidR="0031377A" w:rsidRPr="00A52AB8" w:rsidRDefault="00CB2378">
      <w:pPr>
        <w:rPr>
          <w:color w:val="000000" w:themeColor="text1"/>
        </w:rPr>
      </w:pPr>
      <w:r w:rsidRPr="00A52AB8">
        <w:tab/>
      </w:r>
      <w:r w:rsidR="0022223C" w:rsidRPr="00A52AB8">
        <w:t>blockCnt</w:t>
      </w:r>
      <w:r w:rsidR="00D47707" w:rsidRPr="00A52AB8">
        <w:t> = </w:t>
      </w:r>
      <w:r w:rsidR="0022223C" w:rsidRPr="00A52AB8">
        <w:t>BlockCnt( TilePatch2dSizeX[ tileID ][ p ], TilePatch2dSizeY[ tileID ][ p ] )</w:t>
      </w:r>
    </w:p>
    <w:p w14:paraId="2BFD5B41" w14:textId="4A70560C" w:rsidR="005A27DB" w:rsidRPr="00A52AB8" w:rsidRDefault="005A27DB">
      <w:pPr>
        <w:rPr>
          <w:color w:val="000000" w:themeColor="text1"/>
        </w:rPr>
      </w:pPr>
      <w:r w:rsidRPr="00A52AB8">
        <w:rPr>
          <w:color w:val="000000" w:themeColor="text1"/>
        </w:rPr>
        <w:t xml:space="preserve">If </w:t>
      </w:r>
      <w:r w:rsidR="00490929" w:rsidRPr="00A52AB8">
        <w:rPr>
          <w:color w:val="000000" w:themeColor="text1"/>
        </w:rPr>
        <w:t>OverridePlrFlag</w:t>
      </w:r>
      <w:r w:rsidRPr="00A52AB8">
        <w:t xml:space="preserve"> is equal to 1, </w:t>
      </w:r>
      <w:r w:rsidRPr="00A52AB8">
        <w:rPr>
          <w:color w:val="000000" w:themeColor="text1"/>
        </w:rPr>
        <w:t>the associated PLR parameters are derived as follows:</w:t>
      </w:r>
    </w:p>
    <w:p w14:paraId="43053ECD" w14:textId="3B55C4D0" w:rsidR="00B74562" w:rsidRPr="00A52AB8" w:rsidRDefault="00D47911" w:rsidP="009A61A4">
      <w:pPr>
        <w:rPr>
          <w:color w:val="000000" w:themeColor="text1"/>
        </w:rPr>
      </w:pPr>
      <w:r w:rsidRPr="00A52AB8">
        <w:rPr>
          <w:color w:val="000000" w:themeColor="text1"/>
        </w:rPr>
        <w:tab/>
      </w:r>
      <w:r w:rsidR="00B74562" w:rsidRPr="00A52AB8">
        <w:t>for( m</w:t>
      </w:r>
      <w:r w:rsidR="00D47707" w:rsidRPr="00A52AB8">
        <w:t> = </w:t>
      </w:r>
      <w:r w:rsidR="00B74562" w:rsidRPr="00A52AB8">
        <w:t>0; m &lt; asps_map_count_minus1 + 1; m</w:t>
      </w:r>
      <w:r w:rsidR="00006CCF" w:rsidRPr="00A52AB8">
        <w:t>++ </w:t>
      </w:r>
      <w:r w:rsidR="008F1F82" w:rsidRPr="00A52AB8">
        <w:t>) {</w:t>
      </w:r>
      <w:r w:rsidR="00B74562" w:rsidRPr="00A52AB8">
        <w:br/>
      </w:r>
      <w:r w:rsidR="00B74562" w:rsidRPr="00A52AB8">
        <w:rPr>
          <w:color w:val="000000" w:themeColor="text1"/>
        </w:rPr>
        <w:tab/>
      </w:r>
      <w:r w:rsidR="0031377A" w:rsidRPr="00A52AB8">
        <w:rPr>
          <w:color w:val="000000" w:themeColor="text1"/>
        </w:rPr>
        <w:tab/>
      </w:r>
      <w:r w:rsidR="00B74562" w:rsidRPr="00A52AB8">
        <w:rPr>
          <w:color w:val="000000" w:themeColor="text1"/>
        </w:rPr>
        <w:t>if( plri_map_present_flag[ m ]</w:t>
      </w:r>
      <w:r w:rsidR="008768E9" w:rsidRPr="00A52AB8">
        <w:rPr>
          <w:color w:val="000000" w:themeColor="text1"/>
        </w:rPr>
        <w:t> </w:t>
      </w:r>
      <w:r w:rsidR="00726AAE" w:rsidRPr="00A52AB8">
        <w:rPr>
          <w:color w:val="000000" w:themeColor="text1"/>
        </w:rPr>
        <w:t>==</w:t>
      </w:r>
      <w:r w:rsidR="00D47707" w:rsidRPr="00A52AB8">
        <w:rPr>
          <w:color w:val="000000" w:themeColor="text1"/>
        </w:rPr>
        <w:t> </w:t>
      </w:r>
      <w:r w:rsidR="00B74562" w:rsidRPr="00A52AB8">
        <w:rPr>
          <w:color w:val="000000" w:themeColor="text1"/>
        </w:rPr>
        <w:t>1 </w:t>
      </w:r>
      <w:r w:rsidR="008F1F82" w:rsidRPr="00A52AB8">
        <w:rPr>
          <w:color w:val="000000" w:themeColor="text1"/>
        </w:rPr>
        <w:t>) {</w:t>
      </w:r>
      <w:r w:rsidR="00B74562" w:rsidRPr="00A52AB8">
        <w:rPr>
          <w:color w:val="000000" w:themeColor="text1"/>
        </w:rPr>
        <w:br/>
      </w:r>
      <w:r w:rsidR="00B74562" w:rsidRPr="00A52AB8">
        <w:rPr>
          <w:color w:val="000000" w:themeColor="text1"/>
        </w:rPr>
        <w:tab/>
      </w:r>
      <w:r w:rsidR="00B74562" w:rsidRPr="00A52AB8">
        <w:rPr>
          <w:color w:val="000000" w:themeColor="text1"/>
        </w:rPr>
        <w:tab/>
      </w:r>
      <w:r w:rsidR="00B74562" w:rsidRPr="00A52AB8">
        <w:rPr>
          <w:color w:val="000000" w:themeColor="text1"/>
        </w:rPr>
        <w:tab/>
        <w:t>TilePatchPlrdLevel</w:t>
      </w:r>
      <w:r w:rsidR="00144653" w:rsidRPr="00A52AB8">
        <w:rPr>
          <w:color w:val="000000" w:themeColor="text1"/>
        </w:rPr>
        <w:t>[ tileID ][ p ][ m ]</w:t>
      </w:r>
      <w:r w:rsidR="00D47707" w:rsidRPr="00A52AB8">
        <w:rPr>
          <w:color w:val="000000" w:themeColor="text1"/>
        </w:rPr>
        <w:t> = </w:t>
      </w:r>
      <w:r w:rsidR="00B74562" w:rsidRPr="00A52AB8">
        <w:rPr>
          <w:color w:val="000000" w:themeColor="text1"/>
        </w:rPr>
        <w:t>plrd_level</w:t>
      </w:r>
      <w:r w:rsidR="00144653" w:rsidRPr="00A52AB8">
        <w:rPr>
          <w:color w:val="000000" w:themeColor="text1"/>
        </w:rPr>
        <w:t>[ tileID ][ p ][ m ]</w:t>
      </w:r>
      <w:r w:rsidRPr="00A52AB8">
        <w:rPr>
          <w:color w:val="000000" w:themeColor="text1"/>
        </w:rPr>
        <w:br/>
      </w:r>
      <w:r w:rsidR="00B74562" w:rsidRPr="00A52AB8">
        <w:rPr>
          <w:color w:val="000000" w:themeColor="text1"/>
        </w:rPr>
        <w:tab/>
      </w:r>
      <w:r w:rsidR="00B74562" w:rsidRPr="00A52AB8">
        <w:rPr>
          <w:color w:val="000000" w:themeColor="text1"/>
        </w:rPr>
        <w:tab/>
      </w:r>
      <w:r w:rsidR="00B74562" w:rsidRPr="00A52AB8">
        <w:rPr>
          <w:color w:val="000000" w:themeColor="text1"/>
        </w:rPr>
        <w:tab/>
        <w:t>if(</w:t>
      </w:r>
      <w:r w:rsidR="005A5045" w:rsidRPr="00A52AB8">
        <w:rPr>
          <w:color w:val="000000" w:themeColor="text1"/>
        </w:rPr>
        <w:t> </w:t>
      </w:r>
      <w:r w:rsidR="00B74562" w:rsidRPr="00A52AB8">
        <w:rPr>
          <w:color w:val="000000" w:themeColor="text1"/>
        </w:rPr>
        <w:t>TilePatchPlrdLevel</w:t>
      </w:r>
      <w:r w:rsidR="00144653" w:rsidRPr="00A52AB8">
        <w:rPr>
          <w:color w:val="000000" w:themeColor="text1"/>
        </w:rPr>
        <w:t>[ tileID ][ p ][ m ]</w:t>
      </w:r>
      <w:r w:rsidR="008768E9" w:rsidRPr="00A52AB8">
        <w:rPr>
          <w:color w:val="000000" w:themeColor="text1"/>
        </w:rPr>
        <w:t> </w:t>
      </w:r>
      <w:r w:rsidR="00726AAE" w:rsidRPr="00A52AB8">
        <w:rPr>
          <w:color w:val="000000" w:themeColor="text1"/>
        </w:rPr>
        <w:t>==</w:t>
      </w:r>
      <w:r w:rsidR="00D47707" w:rsidRPr="00A52AB8">
        <w:rPr>
          <w:color w:val="000000" w:themeColor="text1"/>
        </w:rPr>
        <w:t> </w:t>
      </w:r>
      <w:r w:rsidR="00B74562" w:rsidRPr="00A52AB8">
        <w:rPr>
          <w:color w:val="000000" w:themeColor="text1"/>
        </w:rPr>
        <w:t>0 </w:t>
      </w:r>
      <w:r w:rsidR="008F1F82" w:rsidRPr="00A52AB8">
        <w:rPr>
          <w:color w:val="000000" w:themeColor="text1"/>
        </w:rPr>
        <w:t>) {</w:t>
      </w:r>
      <w:r w:rsidR="005A5045" w:rsidRPr="00A52AB8">
        <w:rPr>
          <w:color w:val="000000" w:themeColor="text1"/>
        </w:rPr>
        <w:br/>
      </w:r>
      <w:r w:rsidR="00B74562" w:rsidRPr="00A52AB8">
        <w:rPr>
          <w:color w:val="000000" w:themeColor="text1"/>
        </w:rPr>
        <w:tab/>
      </w:r>
      <w:r w:rsidR="00B74562" w:rsidRPr="00A52AB8">
        <w:rPr>
          <w:color w:val="000000" w:themeColor="text1"/>
        </w:rPr>
        <w:tab/>
      </w:r>
      <w:r w:rsidR="00B74562" w:rsidRPr="00A52AB8">
        <w:rPr>
          <w:color w:val="000000" w:themeColor="text1"/>
        </w:rPr>
        <w:tab/>
      </w:r>
      <w:r w:rsidR="00B74562" w:rsidRPr="00A52AB8">
        <w:rPr>
          <w:color w:val="000000" w:themeColor="text1"/>
        </w:rPr>
        <w:tab/>
        <w:t>for( j</w:t>
      </w:r>
      <w:r w:rsidR="00D47707" w:rsidRPr="00A52AB8">
        <w:rPr>
          <w:color w:val="000000" w:themeColor="text1"/>
        </w:rPr>
        <w:t> = </w:t>
      </w:r>
      <w:r w:rsidR="00B74562" w:rsidRPr="00A52AB8">
        <w:rPr>
          <w:color w:val="000000" w:themeColor="text1"/>
        </w:rPr>
        <w:t>0; j &lt; </w:t>
      </w:r>
      <w:r w:rsidRPr="00A52AB8">
        <w:rPr>
          <w:color w:val="000000" w:themeColor="text1"/>
        </w:rPr>
        <w:t>b</w:t>
      </w:r>
      <w:r w:rsidR="00B74562" w:rsidRPr="00A52AB8">
        <w:rPr>
          <w:color w:val="000000" w:themeColor="text1"/>
        </w:rPr>
        <w:t>lockCnt; j</w:t>
      </w:r>
      <w:r w:rsidR="00006CCF" w:rsidRPr="00A52AB8">
        <w:rPr>
          <w:color w:val="000000" w:themeColor="text1"/>
        </w:rPr>
        <w:t>++ </w:t>
      </w:r>
      <w:r w:rsidR="008F1F82" w:rsidRPr="00A52AB8">
        <w:rPr>
          <w:color w:val="000000" w:themeColor="text1"/>
        </w:rPr>
        <w:t>) {</w:t>
      </w:r>
      <w:r w:rsidR="005A5045" w:rsidRPr="00A52AB8">
        <w:rPr>
          <w:color w:val="000000" w:themeColor="text1"/>
        </w:rPr>
        <w:br/>
      </w:r>
      <w:r w:rsidR="00B74562" w:rsidRPr="00A52AB8">
        <w:rPr>
          <w:color w:val="000000" w:themeColor="text1"/>
        </w:rPr>
        <w:tab/>
      </w:r>
      <w:r w:rsidR="00B74562" w:rsidRPr="00A52AB8">
        <w:rPr>
          <w:color w:val="000000" w:themeColor="text1"/>
        </w:rPr>
        <w:tab/>
      </w:r>
      <w:r w:rsidR="00B74562" w:rsidRPr="00A52AB8">
        <w:rPr>
          <w:color w:val="000000" w:themeColor="text1"/>
        </w:rPr>
        <w:tab/>
      </w:r>
      <w:r w:rsidR="00B74562" w:rsidRPr="00A52AB8">
        <w:rPr>
          <w:color w:val="000000" w:themeColor="text1"/>
        </w:rPr>
        <w:tab/>
      </w:r>
      <w:r w:rsidR="00B74562" w:rsidRPr="00A52AB8">
        <w:rPr>
          <w:color w:val="000000" w:themeColor="text1"/>
        </w:rPr>
        <w:tab/>
        <w:t>TilePatchPlrdPresentBlockFlag</w:t>
      </w:r>
      <w:r w:rsidR="00144653" w:rsidRPr="00A52AB8">
        <w:rPr>
          <w:color w:val="000000" w:themeColor="text1"/>
        </w:rPr>
        <w:t>[ tileID ][ p ][ m ]</w:t>
      </w:r>
      <w:r w:rsidR="00B74562" w:rsidRPr="00A52AB8">
        <w:rPr>
          <w:color w:val="000000" w:themeColor="text1"/>
        </w:rPr>
        <w:t>[ j ] =</w:t>
      </w:r>
      <w:r w:rsidR="005A5045" w:rsidRPr="00A52AB8">
        <w:rPr>
          <w:color w:val="000000" w:themeColor="text1"/>
        </w:rPr>
        <w:br/>
      </w:r>
      <w:r w:rsidR="00B74562" w:rsidRPr="00A52AB8">
        <w:rPr>
          <w:color w:val="000000" w:themeColor="text1"/>
        </w:rPr>
        <w:tab/>
      </w:r>
      <w:r w:rsidR="00B74562" w:rsidRPr="00A52AB8">
        <w:rPr>
          <w:color w:val="000000" w:themeColor="text1"/>
        </w:rPr>
        <w:tab/>
      </w:r>
      <w:r w:rsidR="00B74562" w:rsidRPr="00A52AB8">
        <w:rPr>
          <w:color w:val="000000" w:themeColor="text1"/>
        </w:rPr>
        <w:tab/>
      </w:r>
      <w:r w:rsidR="00B74562" w:rsidRPr="00A52AB8">
        <w:rPr>
          <w:color w:val="000000" w:themeColor="text1"/>
        </w:rPr>
        <w:tab/>
      </w:r>
      <w:r w:rsidR="00B74562" w:rsidRPr="00A52AB8">
        <w:rPr>
          <w:color w:val="000000" w:themeColor="text1"/>
        </w:rPr>
        <w:tab/>
      </w:r>
      <w:r w:rsidR="00B74562" w:rsidRPr="00A52AB8">
        <w:rPr>
          <w:color w:val="000000" w:themeColor="text1"/>
        </w:rPr>
        <w:tab/>
        <w:t>plrd_present_block_flag</w:t>
      </w:r>
      <w:r w:rsidR="00144653" w:rsidRPr="00A52AB8">
        <w:rPr>
          <w:color w:val="000000" w:themeColor="text1"/>
        </w:rPr>
        <w:t>[ tileID ][ p ][ m ]</w:t>
      </w:r>
      <w:r w:rsidR="00B74562" w:rsidRPr="00A52AB8">
        <w:rPr>
          <w:color w:val="000000" w:themeColor="text1"/>
        </w:rPr>
        <w:t>[ j ]</w:t>
      </w:r>
      <w:r w:rsidR="005A5045" w:rsidRPr="00A52AB8">
        <w:rPr>
          <w:color w:val="000000" w:themeColor="text1"/>
        </w:rPr>
        <w:br/>
      </w:r>
      <w:r w:rsidR="00B74562" w:rsidRPr="00A52AB8">
        <w:rPr>
          <w:color w:val="000000" w:themeColor="text1"/>
        </w:rPr>
        <w:tab/>
      </w:r>
      <w:r w:rsidR="00B74562" w:rsidRPr="00A52AB8">
        <w:rPr>
          <w:color w:val="000000" w:themeColor="text1"/>
        </w:rPr>
        <w:tab/>
      </w:r>
      <w:r w:rsidR="00B74562" w:rsidRPr="00A52AB8">
        <w:rPr>
          <w:color w:val="000000" w:themeColor="text1"/>
        </w:rPr>
        <w:tab/>
      </w:r>
      <w:r w:rsidR="00B74562" w:rsidRPr="00A52AB8">
        <w:rPr>
          <w:color w:val="000000" w:themeColor="text1"/>
        </w:rPr>
        <w:tab/>
      </w:r>
      <w:r w:rsidR="00B74562" w:rsidRPr="00A52AB8">
        <w:rPr>
          <w:color w:val="000000" w:themeColor="text1"/>
        </w:rPr>
        <w:tab/>
        <w:t>if( TilePatchPlrdPresentBlockFlag</w:t>
      </w:r>
      <w:r w:rsidR="00144653" w:rsidRPr="00A52AB8">
        <w:rPr>
          <w:color w:val="000000" w:themeColor="text1"/>
        </w:rPr>
        <w:t>[ tileID ][ p ][ m ]</w:t>
      </w:r>
      <w:r w:rsidR="00B74562" w:rsidRPr="00A52AB8">
        <w:rPr>
          <w:color w:val="000000" w:themeColor="text1"/>
        </w:rPr>
        <w:t>[ j ]</w:t>
      </w:r>
      <w:r w:rsidR="008768E9" w:rsidRPr="00A52AB8">
        <w:rPr>
          <w:color w:val="000000" w:themeColor="text1"/>
        </w:rPr>
        <w:t> </w:t>
      </w:r>
      <w:r w:rsidR="00726AAE" w:rsidRPr="00A52AB8">
        <w:rPr>
          <w:color w:val="000000" w:themeColor="text1"/>
        </w:rPr>
        <w:t>==</w:t>
      </w:r>
      <w:r w:rsidR="00D47707" w:rsidRPr="00A52AB8">
        <w:rPr>
          <w:color w:val="000000" w:themeColor="text1"/>
        </w:rPr>
        <w:t> </w:t>
      </w:r>
      <w:r w:rsidR="00B74562" w:rsidRPr="00A52AB8">
        <w:rPr>
          <w:color w:val="000000" w:themeColor="text1"/>
        </w:rPr>
        <w:t>1 )</w:t>
      </w:r>
      <w:r w:rsidR="005A5045" w:rsidRPr="00A52AB8">
        <w:rPr>
          <w:color w:val="000000" w:themeColor="text1"/>
        </w:rPr>
        <w:br/>
      </w:r>
      <w:r w:rsidR="00B74562" w:rsidRPr="00A52AB8">
        <w:rPr>
          <w:color w:val="000000" w:themeColor="text1"/>
        </w:rPr>
        <w:tab/>
      </w:r>
      <w:r w:rsidR="00B74562" w:rsidRPr="00A52AB8">
        <w:rPr>
          <w:color w:val="000000" w:themeColor="text1"/>
        </w:rPr>
        <w:tab/>
      </w:r>
      <w:r w:rsidR="00B74562" w:rsidRPr="00A52AB8">
        <w:rPr>
          <w:color w:val="000000" w:themeColor="text1"/>
        </w:rPr>
        <w:tab/>
      </w:r>
      <w:r w:rsidR="00B74562" w:rsidRPr="00A52AB8">
        <w:rPr>
          <w:color w:val="000000" w:themeColor="text1"/>
        </w:rPr>
        <w:tab/>
      </w:r>
      <w:r w:rsidR="00A94CC5" w:rsidRPr="00A52AB8">
        <w:rPr>
          <w:color w:val="000000" w:themeColor="text1"/>
        </w:rPr>
        <w:tab/>
      </w:r>
      <w:r w:rsidR="00A94CC5" w:rsidRPr="00A52AB8">
        <w:rPr>
          <w:color w:val="000000" w:themeColor="text1"/>
        </w:rPr>
        <w:tab/>
      </w:r>
      <w:r w:rsidR="00B74562" w:rsidRPr="00A52AB8">
        <w:rPr>
          <w:color w:val="000000" w:themeColor="text1"/>
        </w:rPr>
        <w:t>TilePatchPlrdBlockModeMinus1</w:t>
      </w:r>
      <w:r w:rsidR="00144653" w:rsidRPr="00A52AB8">
        <w:rPr>
          <w:color w:val="000000" w:themeColor="text1"/>
        </w:rPr>
        <w:t>[ tileID ][ p ][ m ]</w:t>
      </w:r>
      <w:r w:rsidR="00B74562" w:rsidRPr="00A52AB8">
        <w:rPr>
          <w:color w:val="000000" w:themeColor="text1"/>
        </w:rPr>
        <w:t>[ j ] =</w:t>
      </w:r>
      <w:r w:rsidR="005A5045" w:rsidRPr="00A52AB8">
        <w:rPr>
          <w:color w:val="000000" w:themeColor="text1"/>
        </w:rPr>
        <w:br/>
      </w:r>
      <w:r w:rsidR="00A94CC5" w:rsidRPr="00A52AB8">
        <w:rPr>
          <w:color w:val="000000" w:themeColor="text1"/>
        </w:rPr>
        <w:tab/>
      </w:r>
      <w:r w:rsidR="00A94CC5" w:rsidRPr="00A52AB8">
        <w:rPr>
          <w:color w:val="000000" w:themeColor="text1"/>
        </w:rPr>
        <w:tab/>
      </w:r>
      <w:r w:rsidR="005A5045" w:rsidRPr="00A52AB8">
        <w:rPr>
          <w:color w:val="000000" w:themeColor="text1"/>
        </w:rPr>
        <w:tab/>
      </w:r>
      <w:r w:rsidR="00A94CC5" w:rsidRPr="00A52AB8">
        <w:rPr>
          <w:color w:val="000000" w:themeColor="text1"/>
        </w:rPr>
        <w:tab/>
      </w:r>
      <w:r w:rsidR="00A94CC5" w:rsidRPr="00A52AB8">
        <w:rPr>
          <w:color w:val="000000" w:themeColor="text1"/>
        </w:rPr>
        <w:tab/>
      </w:r>
      <w:r w:rsidR="00A94CC5" w:rsidRPr="00A52AB8">
        <w:rPr>
          <w:color w:val="000000" w:themeColor="text1"/>
        </w:rPr>
        <w:tab/>
      </w:r>
      <w:r w:rsidR="00A94CC5" w:rsidRPr="00A52AB8">
        <w:rPr>
          <w:color w:val="000000" w:themeColor="text1"/>
        </w:rPr>
        <w:tab/>
      </w:r>
      <w:r w:rsidR="00B74562" w:rsidRPr="00A52AB8">
        <w:rPr>
          <w:color w:val="000000" w:themeColor="text1"/>
        </w:rPr>
        <w:t>plrd_block_mode_minus1</w:t>
      </w:r>
      <w:r w:rsidR="00144653" w:rsidRPr="00A52AB8">
        <w:rPr>
          <w:color w:val="000000" w:themeColor="text1"/>
        </w:rPr>
        <w:t>[ tileID ][ p ][ m ]</w:t>
      </w:r>
      <w:r w:rsidR="00B74562" w:rsidRPr="00A52AB8">
        <w:rPr>
          <w:color w:val="000000" w:themeColor="text1"/>
        </w:rPr>
        <w:t>[ j ]</w:t>
      </w:r>
      <w:r w:rsidR="00B74562" w:rsidRPr="00A52AB8">
        <w:rPr>
          <w:color w:val="000000" w:themeColor="text1"/>
        </w:rPr>
        <w:br/>
      </w:r>
      <w:r w:rsidR="00B74562" w:rsidRPr="00A52AB8">
        <w:rPr>
          <w:color w:val="000000" w:themeColor="text1"/>
        </w:rPr>
        <w:tab/>
      </w:r>
      <w:r w:rsidR="00B74562" w:rsidRPr="00A52AB8">
        <w:rPr>
          <w:color w:val="000000" w:themeColor="text1"/>
        </w:rPr>
        <w:tab/>
      </w:r>
      <w:r w:rsidR="00B74562" w:rsidRPr="00A52AB8">
        <w:rPr>
          <w:color w:val="000000" w:themeColor="text1"/>
        </w:rPr>
        <w:tab/>
      </w:r>
      <w:r w:rsidR="00B74562" w:rsidRPr="00A52AB8">
        <w:rPr>
          <w:color w:val="000000" w:themeColor="text1"/>
        </w:rPr>
        <w:tab/>
        <w:t>}</w:t>
      </w:r>
      <w:r w:rsidR="00B74562" w:rsidRPr="00A52AB8">
        <w:rPr>
          <w:color w:val="000000" w:themeColor="text1"/>
        </w:rPr>
        <w:br/>
      </w:r>
      <w:r w:rsidR="00B74562" w:rsidRPr="00A52AB8">
        <w:rPr>
          <w:color w:val="000000" w:themeColor="text1"/>
        </w:rPr>
        <w:tab/>
      </w:r>
      <w:r w:rsidR="00B74562" w:rsidRPr="00A52AB8">
        <w:rPr>
          <w:color w:val="000000" w:themeColor="text1"/>
        </w:rPr>
        <w:tab/>
      </w:r>
      <w:r w:rsidR="00B74562" w:rsidRPr="00A52AB8">
        <w:rPr>
          <w:color w:val="000000" w:themeColor="text1"/>
        </w:rPr>
        <w:tab/>
      </w:r>
      <w:r w:rsidR="0023721F" w:rsidRPr="00A52AB8">
        <w:rPr>
          <w:color w:val="000000" w:themeColor="text1"/>
        </w:rPr>
        <w:t>} else {</w:t>
      </w:r>
      <w:r w:rsidR="005A5045" w:rsidRPr="00A52AB8">
        <w:rPr>
          <w:color w:val="000000" w:themeColor="text1"/>
        </w:rPr>
        <w:br/>
      </w:r>
      <w:r w:rsidR="00B74562" w:rsidRPr="00A52AB8">
        <w:rPr>
          <w:color w:val="000000" w:themeColor="text1"/>
        </w:rPr>
        <w:tab/>
      </w:r>
      <w:r w:rsidR="00B74562" w:rsidRPr="00A52AB8">
        <w:rPr>
          <w:color w:val="000000" w:themeColor="text1"/>
        </w:rPr>
        <w:tab/>
      </w:r>
      <w:r w:rsidR="00B74562" w:rsidRPr="00A52AB8">
        <w:rPr>
          <w:color w:val="000000" w:themeColor="text1"/>
        </w:rPr>
        <w:tab/>
      </w:r>
      <w:r w:rsidR="00B74562" w:rsidRPr="00A52AB8">
        <w:rPr>
          <w:color w:val="000000" w:themeColor="text1"/>
        </w:rPr>
        <w:tab/>
        <w:t>TilePatchPlrdPresentFlag</w:t>
      </w:r>
      <w:r w:rsidR="00144653" w:rsidRPr="00A52AB8">
        <w:rPr>
          <w:color w:val="000000" w:themeColor="text1"/>
        </w:rPr>
        <w:t>[ tileID ][ p ][ m ]</w:t>
      </w:r>
      <w:r w:rsidR="00D47707" w:rsidRPr="00A52AB8">
        <w:rPr>
          <w:color w:val="000000" w:themeColor="text1"/>
        </w:rPr>
        <w:t> = </w:t>
      </w:r>
      <w:r w:rsidR="00B74562" w:rsidRPr="00A52AB8">
        <w:rPr>
          <w:color w:val="000000" w:themeColor="text1"/>
        </w:rPr>
        <w:t>plrd_present_flag</w:t>
      </w:r>
      <w:r w:rsidR="00144653" w:rsidRPr="00A52AB8">
        <w:rPr>
          <w:color w:val="000000" w:themeColor="text1"/>
        </w:rPr>
        <w:t>[ tileID ][ p ][ m ]</w:t>
      </w:r>
      <w:r w:rsidR="005A5045" w:rsidRPr="00A52AB8">
        <w:rPr>
          <w:color w:val="000000" w:themeColor="text1"/>
        </w:rPr>
        <w:br/>
      </w:r>
      <w:r w:rsidR="00B74562" w:rsidRPr="00A52AB8">
        <w:rPr>
          <w:color w:val="000000" w:themeColor="text1"/>
        </w:rPr>
        <w:tab/>
      </w:r>
      <w:r w:rsidR="00B74562" w:rsidRPr="00A52AB8">
        <w:rPr>
          <w:color w:val="000000" w:themeColor="text1"/>
        </w:rPr>
        <w:tab/>
      </w:r>
      <w:r w:rsidR="00B74562" w:rsidRPr="00A52AB8">
        <w:rPr>
          <w:color w:val="000000" w:themeColor="text1"/>
        </w:rPr>
        <w:tab/>
      </w:r>
      <w:r w:rsidR="00B74562" w:rsidRPr="00A52AB8">
        <w:rPr>
          <w:color w:val="000000" w:themeColor="text1"/>
        </w:rPr>
        <w:tab/>
        <w:t>if( TilePatchPlrdPresentFlag</w:t>
      </w:r>
      <w:r w:rsidR="00144653" w:rsidRPr="00A52AB8">
        <w:rPr>
          <w:color w:val="000000" w:themeColor="text1"/>
        </w:rPr>
        <w:t>[ tileID ][ p ][ m ]</w:t>
      </w:r>
      <w:r w:rsidR="008768E9" w:rsidRPr="00A52AB8">
        <w:rPr>
          <w:color w:val="000000" w:themeColor="text1"/>
        </w:rPr>
        <w:t> </w:t>
      </w:r>
      <w:r w:rsidR="00726AAE" w:rsidRPr="00A52AB8">
        <w:rPr>
          <w:color w:val="000000" w:themeColor="text1"/>
        </w:rPr>
        <w:t>==</w:t>
      </w:r>
      <w:r w:rsidR="00D47707" w:rsidRPr="00A52AB8">
        <w:rPr>
          <w:color w:val="000000" w:themeColor="text1"/>
        </w:rPr>
        <w:t> </w:t>
      </w:r>
      <w:r w:rsidR="00B74562" w:rsidRPr="00A52AB8">
        <w:rPr>
          <w:color w:val="000000" w:themeColor="text1"/>
        </w:rPr>
        <w:t>1 )</w:t>
      </w:r>
      <w:r w:rsidR="005A5045" w:rsidRPr="00A52AB8">
        <w:rPr>
          <w:color w:val="000000" w:themeColor="text1"/>
        </w:rPr>
        <w:br/>
      </w:r>
      <w:r w:rsidR="00B74562" w:rsidRPr="00A52AB8">
        <w:rPr>
          <w:color w:val="000000" w:themeColor="text1"/>
        </w:rPr>
        <w:tab/>
      </w:r>
      <w:r w:rsidR="00B74562" w:rsidRPr="00A52AB8">
        <w:rPr>
          <w:color w:val="000000" w:themeColor="text1"/>
        </w:rPr>
        <w:tab/>
      </w:r>
      <w:r w:rsidR="00B74562" w:rsidRPr="00A52AB8">
        <w:rPr>
          <w:color w:val="000000" w:themeColor="text1"/>
        </w:rPr>
        <w:tab/>
      </w:r>
      <w:r w:rsidR="00A94CC5" w:rsidRPr="00A52AB8">
        <w:rPr>
          <w:color w:val="000000" w:themeColor="text1"/>
        </w:rPr>
        <w:tab/>
      </w:r>
      <w:r w:rsidR="005A5045" w:rsidRPr="00A52AB8">
        <w:rPr>
          <w:color w:val="000000" w:themeColor="text1"/>
        </w:rPr>
        <w:tab/>
      </w:r>
      <w:r w:rsidR="00B74562" w:rsidRPr="00A52AB8">
        <w:rPr>
          <w:color w:val="000000" w:themeColor="text1"/>
        </w:rPr>
        <w:t>TilePatchPlrdModeMinus1</w:t>
      </w:r>
      <w:r w:rsidR="00144653" w:rsidRPr="00A52AB8">
        <w:rPr>
          <w:color w:val="000000" w:themeColor="text1"/>
        </w:rPr>
        <w:t>[ tileID ][ p ][ m ]</w:t>
      </w:r>
      <w:r w:rsidR="00D47707" w:rsidRPr="00A52AB8">
        <w:rPr>
          <w:color w:val="000000" w:themeColor="text1"/>
        </w:rPr>
        <w:t> = </w:t>
      </w:r>
      <w:r w:rsidR="00B74562" w:rsidRPr="00A52AB8">
        <w:rPr>
          <w:color w:val="000000" w:themeColor="text1"/>
        </w:rPr>
        <w:t>plrd_mode_minus1</w:t>
      </w:r>
      <w:r w:rsidR="00144653" w:rsidRPr="00A52AB8">
        <w:rPr>
          <w:color w:val="000000" w:themeColor="text1"/>
        </w:rPr>
        <w:t>[ tileID ][ p ][ m ]</w:t>
      </w:r>
      <w:r w:rsidR="00B74562" w:rsidRPr="00A52AB8">
        <w:rPr>
          <w:lang w:eastAsia="ja-JP"/>
        </w:rPr>
        <w:br/>
      </w:r>
      <w:r w:rsidR="00B74562" w:rsidRPr="00A52AB8">
        <w:rPr>
          <w:color w:val="000000" w:themeColor="text1"/>
        </w:rPr>
        <w:tab/>
      </w:r>
      <w:r w:rsidR="00B74562" w:rsidRPr="00A52AB8">
        <w:rPr>
          <w:color w:val="000000" w:themeColor="text1"/>
        </w:rPr>
        <w:tab/>
      </w:r>
      <w:r w:rsidR="005A5045" w:rsidRPr="00A52AB8">
        <w:rPr>
          <w:color w:val="000000" w:themeColor="text1"/>
        </w:rPr>
        <w:tab/>
      </w:r>
      <w:r w:rsidR="00B74562" w:rsidRPr="00A52AB8">
        <w:rPr>
          <w:color w:val="000000" w:themeColor="text1"/>
        </w:rPr>
        <w:t>}</w:t>
      </w:r>
      <w:r w:rsidR="0022223C" w:rsidRPr="00A52AB8">
        <w:rPr>
          <w:color w:val="000000" w:themeColor="text1"/>
        </w:rPr>
        <w:br/>
      </w:r>
      <w:r w:rsidR="0022223C" w:rsidRPr="00A52AB8">
        <w:rPr>
          <w:color w:val="000000" w:themeColor="text1"/>
        </w:rPr>
        <w:tab/>
      </w:r>
      <w:r w:rsidR="0022223C" w:rsidRPr="00A52AB8">
        <w:rPr>
          <w:color w:val="000000" w:themeColor="text1"/>
        </w:rPr>
        <w:tab/>
        <w:t>}</w:t>
      </w:r>
      <w:r w:rsidR="00B74562" w:rsidRPr="00A52AB8">
        <w:rPr>
          <w:color w:val="000000" w:themeColor="text1"/>
        </w:rPr>
        <w:br/>
      </w:r>
      <w:r w:rsidR="00B74562" w:rsidRPr="00A52AB8">
        <w:rPr>
          <w:color w:val="000000" w:themeColor="text1"/>
        </w:rPr>
        <w:tab/>
        <w:t>}</w:t>
      </w:r>
    </w:p>
    <w:p w14:paraId="3245BDAF" w14:textId="313435CC" w:rsidR="00401230" w:rsidRPr="00A52AB8" w:rsidRDefault="00B74562" w:rsidP="009A61A4">
      <w:pPr>
        <w:rPr>
          <w:color w:val="000000" w:themeColor="text1"/>
        </w:rPr>
      </w:pPr>
      <w:r w:rsidRPr="00A52AB8">
        <w:rPr>
          <w:color w:val="000000" w:themeColor="text1"/>
        </w:rPr>
        <w:t>O</w:t>
      </w:r>
      <w:r w:rsidR="00401230" w:rsidRPr="00A52AB8">
        <w:rPr>
          <w:color w:val="000000" w:themeColor="text1"/>
        </w:rPr>
        <w:t>therwise</w:t>
      </w:r>
      <w:r w:rsidR="0022223C" w:rsidRPr="00A52AB8">
        <w:rPr>
          <w:color w:val="000000" w:themeColor="text1"/>
        </w:rPr>
        <w:t xml:space="preserve"> (OverridePlrFlag</w:t>
      </w:r>
      <w:r w:rsidR="0022223C" w:rsidRPr="00A52AB8">
        <w:t xml:space="preserve"> is equal to 0)</w:t>
      </w:r>
      <w:r w:rsidR="00C06241" w:rsidRPr="00A52AB8">
        <w:rPr>
          <w:color w:val="000000" w:themeColor="text1"/>
        </w:rPr>
        <w:t>,</w:t>
      </w:r>
    </w:p>
    <w:p w14:paraId="12400320" w14:textId="5B2D4111" w:rsidR="00401230" w:rsidRPr="00A52AB8" w:rsidRDefault="0022223C" w:rsidP="009A61A4">
      <w:pPr>
        <w:jc w:val="left"/>
        <w:rPr>
          <w:color w:val="000000" w:themeColor="text1"/>
        </w:rPr>
      </w:pPr>
      <w:r w:rsidRPr="00A52AB8">
        <w:tab/>
      </w:r>
      <w:r w:rsidR="00401230" w:rsidRPr="00A52AB8">
        <w:t>for( m</w:t>
      </w:r>
      <w:r w:rsidR="00D47707" w:rsidRPr="00A52AB8">
        <w:t> = </w:t>
      </w:r>
      <w:r w:rsidR="00401230" w:rsidRPr="00A52AB8">
        <w:t>0; m &lt; asps_map_count_minus1 + 1; m</w:t>
      </w:r>
      <w:r w:rsidR="00006CCF" w:rsidRPr="00A52AB8">
        <w:t>++ </w:t>
      </w:r>
      <w:r w:rsidR="008F1F82" w:rsidRPr="00A52AB8">
        <w:t>) {</w:t>
      </w:r>
      <w:r w:rsidR="0031377A" w:rsidRPr="00A52AB8">
        <w:rPr>
          <w:color w:val="000000" w:themeColor="text1"/>
        </w:rPr>
        <w:br/>
      </w:r>
      <w:r w:rsidR="0031377A" w:rsidRPr="00A52AB8">
        <w:rPr>
          <w:color w:val="000000" w:themeColor="text1"/>
        </w:rPr>
        <w:tab/>
      </w:r>
      <w:r w:rsidR="00401230" w:rsidRPr="00A52AB8">
        <w:rPr>
          <w:color w:val="000000" w:themeColor="text1"/>
        </w:rPr>
        <w:tab/>
        <w:t>if( plri_map_present_flag[ m ]</w:t>
      </w:r>
      <w:r w:rsidR="008768E9" w:rsidRPr="00A52AB8">
        <w:rPr>
          <w:color w:val="000000" w:themeColor="text1"/>
        </w:rPr>
        <w:t> </w:t>
      </w:r>
      <w:r w:rsidR="00726AAE" w:rsidRPr="00A52AB8">
        <w:rPr>
          <w:color w:val="000000" w:themeColor="text1"/>
        </w:rPr>
        <w:t>==</w:t>
      </w:r>
      <w:r w:rsidR="00D47707" w:rsidRPr="00A52AB8">
        <w:rPr>
          <w:color w:val="000000" w:themeColor="text1"/>
        </w:rPr>
        <w:t> </w:t>
      </w:r>
      <w:r w:rsidR="00401230" w:rsidRPr="00A52AB8">
        <w:rPr>
          <w:color w:val="000000" w:themeColor="text1"/>
        </w:rPr>
        <w:t>1 </w:t>
      </w:r>
      <w:r w:rsidR="008F1F82" w:rsidRPr="00A52AB8">
        <w:rPr>
          <w:color w:val="000000" w:themeColor="text1"/>
        </w:rPr>
        <w:t>) {</w:t>
      </w:r>
      <w:r w:rsidR="00401230" w:rsidRPr="00A52AB8">
        <w:rPr>
          <w:color w:val="000000" w:themeColor="text1"/>
        </w:rPr>
        <w:br/>
      </w:r>
      <w:r w:rsidR="00401230" w:rsidRPr="00A52AB8">
        <w:rPr>
          <w:color w:val="000000" w:themeColor="text1"/>
        </w:rPr>
        <w:tab/>
      </w:r>
      <w:r w:rsidR="00401230" w:rsidRPr="00A52AB8">
        <w:rPr>
          <w:color w:val="000000" w:themeColor="text1"/>
        </w:rPr>
        <w:tab/>
      </w:r>
      <w:r w:rsidR="00401230" w:rsidRPr="00A52AB8">
        <w:rPr>
          <w:color w:val="000000" w:themeColor="text1"/>
        </w:rPr>
        <w:tab/>
        <w:t>TilePatchPlrdLevel</w:t>
      </w:r>
      <w:r w:rsidR="00144653" w:rsidRPr="00A52AB8">
        <w:rPr>
          <w:color w:val="000000" w:themeColor="text1"/>
        </w:rPr>
        <w:t>[ tileID ][ p ][ m ]</w:t>
      </w:r>
      <w:r w:rsidR="00D47707" w:rsidRPr="00A52AB8">
        <w:rPr>
          <w:color w:val="000000" w:themeColor="text1"/>
        </w:rPr>
        <w:t> = </w:t>
      </w:r>
      <w:r w:rsidR="00401230" w:rsidRPr="00A52AB8">
        <w:rPr>
          <w:color w:val="000000" w:themeColor="text1"/>
        </w:rPr>
        <w:t>refPatchPlrdLevel[ m ]</w:t>
      </w:r>
      <w:r w:rsidR="0031377A" w:rsidRPr="00A52AB8">
        <w:rPr>
          <w:color w:val="000000" w:themeColor="text1"/>
        </w:rPr>
        <w:br/>
      </w:r>
      <w:r w:rsidR="00401230" w:rsidRPr="00A52AB8">
        <w:rPr>
          <w:color w:val="000000" w:themeColor="text1"/>
        </w:rPr>
        <w:tab/>
      </w:r>
      <w:r w:rsidR="00401230" w:rsidRPr="00A52AB8">
        <w:rPr>
          <w:color w:val="000000" w:themeColor="text1"/>
        </w:rPr>
        <w:tab/>
      </w:r>
      <w:r w:rsidR="00401230" w:rsidRPr="00A52AB8">
        <w:rPr>
          <w:color w:val="000000" w:themeColor="text1"/>
        </w:rPr>
        <w:tab/>
        <w:t>if(</w:t>
      </w:r>
      <w:r w:rsidR="00CB2378" w:rsidRPr="00A52AB8">
        <w:rPr>
          <w:color w:val="000000" w:themeColor="text1"/>
        </w:rPr>
        <w:t> </w:t>
      </w:r>
      <w:r w:rsidR="00401230" w:rsidRPr="00A52AB8">
        <w:rPr>
          <w:color w:val="000000" w:themeColor="text1"/>
        </w:rPr>
        <w:t>TilePatchPlrdLevel</w:t>
      </w:r>
      <w:r w:rsidR="00490929" w:rsidRPr="00A52AB8">
        <w:rPr>
          <w:color w:val="000000" w:themeColor="text1"/>
        </w:rPr>
        <w:t>[ tileID ][ p ][ m ]</w:t>
      </w:r>
      <w:r w:rsidR="008768E9" w:rsidRPr="00A52AB8">
        <w:rPr>
          <w:color w:val="000000" w:themeColor="text1"/>
        </w:rPr>
        <w:t> </w:t>
      </w:r>
      <w:r w:rsidR="00726AAE" w:rsidRPr="00A52AB8">
        <w:rPr>
          <w:color w:val="000000" w:themeColor="text1"/>
        </w:rPr>
        <w:t>==</w:t>
      </w:r>
      <w:r w:rsidR="00D47707" w:rsidRPr="00A52AB8">
        <w:rPr>
          <w:color w:val="000000" w:themeColor="text1"/>
        </w:rPr>
        <w:t> </w:t>
      </w:r>
      <w:r w:rsidR="00401230" w:rsidRPr="00A52AB8">
        <w:rPr>
          <w:color w:val="000000" w:themeColor="text1"/>
        </w:rPr>
        <w:t>0 </w:t>
      </w:r>
      <w:r w:rsidR="008F1F82" w:rsidRPr="00A52AB8">
        <w:rPr>
          <w:color w:val="000000" w:themeColor="text1"/>
        </w:rPr>
        <w:t>) {</w:t>
      </w:r>
      <w:r w:rsidR="0031377A" w:rsidRPr="00A52AB8">
        <w:rPr>
          <w:color w:val="000000" w:themeColor="text1"/>
        </w:rPr>
        <w:br/>
      </w:r>
      <w:r w:rsidR="00401230" w:rsidRPr="00A52AB8">
        <w:rPr>
          <w:color w:val="000000" w:themeColor="text1"/>
        </w:rPr>
        <w:tab/>
      </w:r>
      <w:r w:rsidR="00401230" w:rsidRPr="00A52AB8">
        <w:rPr>
          <w:color w:val="000000" w:themeColor="text1"/>
        </w:rPr>
        <w:tab/>
      </w:r>
      <w:r w:rsidR="00401230" w:rsidRPr="00A52AB8">
        <w:rPr>
          <w:color w:val="000000" w:themeColor="text1"/>
        </w:rPr>
        <w:tab/>
        <w:t>for( j</w:t>
      </w:r>
      <w:r w:rsidR="00D47707" w:rsidRPr="00A52AB8">
        <w:rPr>
          <w:color w:val="000000" w:themeColor="text1"/>
        </w:rPr>
        <w:t> = </w:t>
      </w:r>
      <w:r w:rsidR="00401230" w:rsidRPr="00A52AB8">
        <w:rPr>
          <w:color w:val="000000" w:themeColor="text1"/>
        </w:rPr>
        <w:t>0; j &lt; </w:t>
      </w:r>
      <w:r w:rsidR="00D47911" w:rsidRPr="00A52AB8">
        <w:rPr>
          <w:color w:val="000000" w:themeColor="text1"/>
        </w:rPr>
        <w:t>b</w:t>
      </w:r>
      <w:r w:rsidR="00401230" w:rsidRPr="00A52AB8">
        <w:rPr>
          <w:color w:val="000000" w:themeColor="text1"/>
        </w:rPr>
        <w:t>lockCnt; j</w:t>
      </w:r>
      <w:r w:rsidR="00006CCF" w:rsidRPr="00A52AB8">
        <w:rPr>
          <w:color w:val="000000" w:themeColor="text1"/>
        </w:rPr>
        <w:t>++ </w:t>
      </w:r>
      <w:r w:rsidR="008F1F82" w:rsidRPr="00A52AB8">
        <w:rPr>
          <w:color w:val="000000" w:themeColor="text1"/>
        </w:rPr>
        <w:t>) {</w:t>
      </w:r>
      <w:r w:rsidR="0031377A" w:rsidRPr="00A52AB8">
        <w:rPr>
          <w:color w:val="000000" w:themeColor="text1"/>
        </w:rPr>
        <w:br/>
      </w:r>
      <w:r w:rsidR="00401230" w:rsidRPr="00A52AB8">
        <w:rPr>
          <w:color w:val="000000" w:themeColor="text1"/>
        </w:rPr>
        <w:tab/>
      </w:r>
      <w:r w:rsidR="00401230" w:rsidRPr="00A52AB8">
        <w:rPr>
          <w:color w:val="000000" w:themeColor="text1"/>
        </w:rPr>
        <w:tab/>
      </w:r>
      <w:r w:rsidR="00401230" w:rsidRPr="00A52AB8">
        <w:rPr>
          <w:color w:val="000000" w:themeColor="text1"/>
        </w:rPr>
        <w:tab/>
      </w:r>
      <w:r w:rsidR="00401230" w:rsidRPr="00A52AB8">
        <w:rPr>
          <w:color w:val="000000" w:themeColor="text1"/>
        </w:rPr>
        <w:tab/>
        <w:t>TilePatchPlrdPresentBlockFlag</w:t>
      </w:r>
      <w:r w:rsidR="00490929" w:rsidRPr="00A52AB8">
        <w:rPr>
          <w:color w:val="000000" w:themeColor="text1"/>
        </w:rPr>
        <w:t>[ tileID ][ p ][ m ]</w:t>
      </w:r>
      <w:r w:rsidR="00401230" w:rsidRPr="00A52AB8">
        <w:rPr>
          <w:color w:val="000000" w:themeColor="text1"/>
        </w:rPr>
        <w:t>[ j ] =</w:t>
      </w:r>
      <w:r w:rsidR="0031377A" w:rsidRPr="00A52AB8">
        <w:rPr>
          <w:color w:val="000000" w:themeColor="text1"/>
        </w:rPr>
        <w:br/>
      </w:r>
      <w:r w:rsidR="00401230" w:rsidRPr="00A52AB8">
        <w:rPr>
          <w:color w:val="000000" w:themeColor="text1"/>
        </w:rPr>
        <w:tab/>
      </w:r>
      <w:r w:rsidR="00401230" w:rsidRPr="00A52AB8">
        <w:rPr>
          <w:color w:val="000000" w:themeColor="text1"/>
        </w:rPr>
        <w:tab/>
      </w:r>
      <w:r w:rsidR="0031377A" w:rsidRPr="00A52AB8">
        <w:rPr>
          <w:color w:val="000000" w:themeColor="text1"/>
        </w:rPr>
        <w:tab/>
      </w:r>
      <w:r w:rsidR="0031377A" w:rsidRPr="00A52AB8">
        <w:rPr>
          <w:color w:val="000000" w:themeColor="text1"/>
        </w:rPr>
        <w:tab/>
      </w:r>
      <w:r w:rsidR="0031377A" w:rsidRPr="00A52AB8">
        <w:rPr>
          <w:color w:val="000000" w:themeColor="text1"/>
        </w:rPr>
        <w:tab/>
      </w:r>
      <w:r w:rsidR="00401230" w:rsidRPr="00A52AB8">
        <w:rPr>
          <w:color w:val="000000" w:themeColor="text1"/>
        </w:rPr>
        <w:t>refPatchPlrdPresentBlockFlag[ m ][ j ]</w:t>
      </w:r>
      <w:r w:rsidR="0031377A" w:rsidRPr="00A52AB8">
        <w:rPr>
          <w:color w:val="000000" w:themeColor="text1"/>
        </w:rPr>
        <w:br/>
      </w:r>
      <w:r w:rsidR="00401230" w:rsidRPr="00A52AB8">
        <w:rPr>
          <w:color w:val="000000" w:themeColor="text1"/>
        </w:rPr>
        <w:tab/>
      </w:r>
      <w:r w:rsidR="00401230" w:rsidRPr="00A52AB8">
        <w:rPr>
          <w:color w:val="000000" w:themeColor="text1"/>
        </w:rPr>
        <w:tab/>
      </w:r>
      <w:r w:rsidR="00401230" w:rsidRPr="00A52AB8">
        <w:rPr>
          <w:color w:val="000000" w:themeColor="text1"/>
        </w:rPr>
        <w:tab/>
      </w:r>
      <w:r w:rsidR="00401230" w:rsidRPr="00A52AB8">
        <w:rPr>
          <w:color w:val="000000" w:themeColor="text1"/>
        </w:rPr>
        <w:tab/>
        <w:t>if( TilePatchPlrdPresentBlockFlag</w:t>
      </w:r>
      <w:r w:rsidR="00490929" w:rsidRPr="00A52AB8">
        <w:rPr>
          <w:color w:val="000000" w:themeColor="text1"/>
        </w:rPr>
        <w:t>[ tileID ][ p ][ m ]</w:t>
      </w:r>
      <w:r w:rsidR="00401230" w:rsidRPr="00A52AB8">
        <w:rPr>
          <w:color w:val="000000" w:themeColor="text1"/>
        </w:rPr>
        <w:t>[ j ]</w:t>
      </w:r>
      <w:r w:rsidR="008768E9" w:rsidRPr="00A52AB8">
        <w:rPr>
          <w:color w:val="000000" w:themeColor="text1"/>
        </w:rPr>
        <w:t> </w:t>
      </w:r>
      <w:r w:rsidR="00726AAE" w:rsidRPr="00A52AB8">
        <w:rPr>
          <w:color w:val="000000" w:themeColor="text1"/>
        </w:rPr>
        <w:t>==</w:t>
      </w:r>
      <w:r w:rsidR="00D47707" w:rsidRPr="00A52AB8">
        <w:rPr>
          <w:color w:val="000000" w:themeColor="text1"/>
        </w:rPr>
        <w:t> </w:t>
      </w:r>
      <w:r w:rsidR="00401230" w:rsidRPr="00A52AB8">
        <w:rPr>
          <w:color w:val="000000" w:themeColor="text1"/>
        </w:rPr>
        <w:t>1 )</w:t>
      </w:r>
      <w:r w:rsidR="0031377A" w:rsidRPr="00A52AB8">
        <w:rPr>
          <w:color w:val="000000" w:themeColor="text1"/>
        </w:rPr>
        <w:br/>
      </w:r>
      <w:r w:rsidR="00401230" w:rsidRPr="00A52AB8">
        <w:rPr>
          <w:color w:val="000000" w:themeColor="text1"/>
        </w:rPr>
        <w:tab/>
      </w:r>
      <w:r w:rsidR="00401230" w:rsidRPr="00A52AB8">
        <w:rPr>
          <w:color w:val="000000" w:themeColor="text1"/>
        </w:rPr>
        <w:tab/>
      </w:r>
      <w:r w:rsidR="00401230" w:rsidRPr="00A52AB8">
        <w:rPr>
          <w:color w:val="000000" w:themeColor="text1"/>
        </w:rPr>
        <w:tab/>
      </w:r>
      <w:r w:rsidR="00401230" w:rsidRPr="00A52AB8">
        <w:rPr>
          <w:color w:val="000000" w:themeColor="text1"/>
        </w:rPr>
        <w:tab/>
      </w:r>
      <w:r w:rsidR="00401230" w:rsidRPr="00A52AB8">
        <w:rPr>
          <w:color w:val="000000" w:themeColor="text1"/>
        </w:rPr>
        <w:tab/>
        <w:t>TilePatchPlrdBlockModeMinus1</w:t>
      </w:r>
      <w:r w:rsidR="00490929" w:rsidRPr="00A52AB8">
        <w:rPr>
          <w:color w:val="000000" w:themeColor="text1"/>
        </w:rPr>
        <w:t>[ tileID ][ p ][ m ]</w:t>
      </w:r>
      <w:r w:rsidR="00401230" w:rsidRPr="00A52AB8">
        <w:rPr>
          <w:color w:val="000000" w:themeColor="text1"/>
        </w:rPr>
        <w:t>[ j ] =</w:t>
      </w:r>
      <w:r w:rsidR="0031377A" w:rsidRPr="00A52AB8">
        <w:rPr>
          <w:color w:val="000000" w:themeColor="text1"/>
        </w:rPr>
        <w:br/>
      </w:r>
      <w:r w:rsidR="00401230" w:rsidRPr="00A52AB8">
        <w:rPr>
          <w:color w:val="000000" w:themeColor="text1"/>
        </w:rPr>
        <w:tab/>
      </w:r>
      <w:r w:rsidR="00401230" w:rsidRPr="00A52AB8">
        <w:rPr>
          <w:color w:val="000000" w:themeColor="text1"/>
        </w:rPr>
        <w:tab/>
      </w:r>
      <w:r w:rsidR="00401230" w:rsidRPr="00A52AB8">
        <w:rPr>
          <w:color w:val="000000" w:themeColor="text1"/>
        </w:rPr>
        <w:tab/>
      </w:r>
      <w:r w:rsidR="00401230" w:rsidRPr="00A52AB8">
        <w:rPr>
          <w:color w:val="000000" w:themeColor="text1"/>
        </w:rPr>
        <w:tab/>
      </w:r>
      <w:r w:rsidR="00401230" w:rsidRPr="00A52AB8">
        <w:rPr>
          <w:color w:val="000000" w:themeColor="text1"/>
        </w:rPr>
        <w:tab/>
      </w:r>
      <w:r w:rsidR="00401230" w:rsidRPr="00A52AB8">
        <w:rPr>
          <w:color w:val="000000" w:themeColor="text1"/>
        </w:rPr>
        <w:tab/>
        <w:t>refPatchPlrdBlockModeMinus1[ m ][ j ]</w:t>
      </w:r>
      <w:r w:rsidR="00401230" w:rsidRPr="00A52AB8">
        <w:rPr>
          <w:color w:val="000000" w:themeColor="text1"/>
        </w:rPr>
        <w:br/>
      </w:r>
      <w:r w:rsidR="00401230" w:rsidRPr="00A52AB8">
        <w:rPr>
          <w:color w:val="000000" w:themeColor="text1"/>
        </w:rPr>
        <w:tab/>
      </w:r>
      <w:r w:rsidR="00401230" w:rsidRPr="00A52AB8">
        <w:rPr>
          <w:color w:val="000000" w:themeColor="text1"/>
        </w:rPr>
        <w:tab/>
      </w:r>
      <w:r w:rsidR="00401230" w:rsidRPr="00A52AB8">
        <w:rPr>
          <w:color w:val="000000" w:themeColor="text1"/>
        </w:rPr>
        <w:tab/>
        <w:t>}</w:t>
      </w:r>
      <w:r w:rsidR="00401230" w:rsidRPr="00A52AB8">
        <w:rPr>
          <w:color w:val="000000" w:themeColor="text1"/>
        </w:rPr>
        <w:br/>
      </w:r>
      <w:r w:rsidR="00401230" w:rsidRPr="00A52AB8">
        <w:rPr>
          <w:color w:val="000000" w:themeColor="text1"/>
        </w:rPr>
        <w:tab/>
      </w:r>
      <w:r w:rsidR="00401230" w:rsidRPr="00A52AB8">
        <w:rPr>
          <w:color w:val="000000" w:themeColor="text1"/>
        </w:rPr>
        <w:tab/>
      </w:r>
      <w:r w:rsidR="0023721F" w:rsidRPr="00A52AB8">
        <w:rPr>
          <w:color w:val="000000" w:themeColor="text1"/>
        </w:rPr>
        <w:t>} else {</w:t>
      </w:r>
      <w:r w:rsidR="0031377A" w:rsidRPr="00A52AB8">
        <w:rPr>
          <w:color w:val="000000" w:themeColor="text1"/>
        </w:rPr>
        <w:br/>
      </w:r>
      <w:r w:rsidR="00401230" w:rsidRPr="00A52AB8">
        <w:rPr>
          <w:color w:val="000000" w:themeColor="text1"/>
        </w:rPr>
        <w:tab/>
      </w:r>
      <w:r w:rsidR="00401230" w:rsidRPr="00A52AB8">
        <w:rPr>
          <w:color w:val="000000" w:themeColor="text1"/>
        </w:rPr>
        <w:tab/>
      </w:r>
      <w:r w:rsidR="00401230" w:rsidRPr="00A52AB8">
        <w:rPr>
          <w:color w:val="000000" w:themeColor="text1"/>
        </w:rPr>
        <w:tab/>
        <w:t>TilePatchPlrdPresentFlag</w:t>
      </w:r>
      <w:r w:rsidR="00490929" w:rsidRPr="00A52AB8">
        <w:rPr>
          <w:color w:val="000000" w:themeColor="text1"/>
        </w:rPr>
        <w:t>[ tileID ][ p ][ m ]</w:t>
      </w:r>
      <w:r w:rsidR="00D47707" w:rsidRPr="00A52AB8">
        <w:rPr>
          <w:color w:val="000000" w:themeColor="text1"/>
        </w:rPr>
        <w:t> = </w:t>
      </w:r>
      <w:r w:rsidR="00401230" w:rsidRPr="00A52AB8">
        <w:rPr>
          <w:color w:val="000000" w:themeColor="text1"/>
        </w:rPr>
        <w:t>refPatchPlrdPresentFlag[ m ]</w:t>
      </w:r>
      <w:r w:rsidR="0031377A" w:rsidRPr="00A52AB8">
        <w:rPr>
          <w:color w:val="000000" w:themeColor="text1"/>
        </w:rPr>
        <w:br/>
      </w:r>
      <w:r w:rsidR="00401230" w:rsidRPr="00A52AB8">
        <w:rPr>
          <w:color w:val="000000" w:themeColor="text1"/>
        </w:rPr>
        <w:tab/>
      </w:r>
      <w:r w:rsidR="00401230" w:rsidRPr="00A52AB8">
        <w:rPr>
          <w:color w:val="000000" w:themeColor="text1"/>
        </w:rPr>
        <w:tab/>
      </w:r>
      <w:r w:rsidR="00401230" w:rsidRPr="00A52AB8">
        <w:rPr>
          <w:color w:val="000000" w:themeColor="text1"/>
        </w:rPr>
        <w:tab/>
        <w:t>if( TilePatchPlrdPresentFlag</w:t>
      </w:r>
      <w:r w:rsidR="00490929" w:rsidRPr="00A52AB8">
        <w:rPr>
          <w:color w:val="000000" w:themeColor="text1"/>
        </w:rPr>
        <w:t>[ tileID ][ p ][ m ]</w:t>
      </w:r>
      <w:r w:rsidR="008768E9" w:rsidRPr="00A52AB8">
        <w:rPr>
          <w:color w:val="000000" w:themeColor="text1"/>
        </w:rPr>
        <w:t> </w:t>
      </w:r>
      <w:r w:rsidR="00726AAE" w:rsidRPr="00A52AB8">
        <w:rPr>
          <w:color w:val="000000" w:themeColor="text1"/>
        </w:rPr>
        <w:t>==</w:t>
      </w:r>
      <w:r w:rsidR="00D47707" w:rsidRPr="00A52AB8">
        <w:rPr>
          <w:color w:val="000000" w:themeColor="text1"/>
        </w:rPr>
        <w:t> </w:t>
      </w:r>
      <w:r w:rsidR="00401230" w:rsidRPr="00A52AB8">
        <w:rPr>
          <w:color w:val="000000" w:themeColor="text1"/>
        </w:rPr>
        <w:t>1 )</w:t>
      </w:r>
      <w:r w:rsidR="0031377A" w:rsidRPr="00A52AB8">
        <w:rPr>
          <w:color w:val="000000" w:themeColor="text1"/>
        </w:rPr>
        <w:br/>
      </w:r>
      <w:r w:rsidR="00401230" w:rsidRPr="00A52AB8">
        <w:rPr>
          <w:color w:val="000000" w:themeColor="text1"/>
        </w:rPr>
        <w:tab/>
      </w:r>
      <w:r w:rsidR="00401230" w:rsidRPr="00A52AB8">
        <w:rPr>
          <w:color w:val="000000" w:themeColor="text1"/>
        </w:rPr>
        <w:tab/>
      </w:r>
      <w:r w:rsidR="00401230" w:rsidRPr="00A52AB8">
        <w:rPr>
          <w:color w:val="000000" w:themeColor="text1"/>
        </w:rPr>
        <w:tab/>
      </w:r>
      <w:r w:rsidR="00401230" w:rsidRPr="00A52AB8">
        <w:rPr>
          <w:color w:val="000000" w:themeColor="text1"/>
        </w:rPr>
        <w:tab/>
        <w:t>TilePatchPlrdModeMinus1</w:t>
      </w:r>
      <w:r w:rsidR="00490929" w:rsidRPr="00A52AB8">
        <w:rPr>
          <w:color w:val="000000" w:themeColor="text1"/>
        </w:rPr>
        <w:t>[ tileID ][ p ][ m ]</w:t>
      </w:r>
      <w:r w:rsidR="00D47707" w:rsidRPr="00A52AB8">
        <w:rPr>
          <w:color w:val="000000" w:themeColor="text1"/>
        </w:rPr>
        <w:t> = </w:t>
      </w:r>
      <w:r w:rsidR="00401230" w:rsidRPr="00A52AB8">
        <w:rPr>
          <w:color w:val="000000" w:themeColor="text1"/>
        </w:rPr>
        <w:t>refPlrdModeMinus1[ m ]</w:t>
      </w:r>
      <w:r w:rsidR="00401230" w:rsidRPr="00A52AB8">
        <w:rPr>
          <w:lang w:eastAsia="ja-JP"/>
        </w:rPr>
        <w:br/>
      </w:r>
      <w:r w:rsidR="00401230" w:rsidRPr="00A52AB8">
        <w:rPr>
          <w:color w:val="000000" w:themeColor="text1"/>
        </w:rPr>
        <w:tab/>
      </w:r>
      <w:r w:rsidR="00401230" w:rsidRPr="00A52AB8">
        <w:rPr>
          <w:color w:val="000000" w:themeColor="text1"/>
        </w:rPr>
        <w:tab/>
        <w:t>}</w:t>
      </w:r>
      <w:r w:rsidR="00401230" w:rsidRPr="00A52AB8">
        <w:rPr>
          <w:color w:val="000000" w:themeColor="text1"/>
        </w:rPr>
        <w:br/>
      </w:r>
      <w:r w:rsidR="00401230" w:rsidRPr="00A52AB8">
        <w:rPr>
          <w:color w:val="000000" w:themeColor="text1"/>
        </w:rPr>
        <w:tab/>
        <w:t>}</w:t>
      </w:r>
    </w:p>
    <w:p w14:paraId="0FF2E477" w14:textId="77777777" w:rsidR="0050235C" w:rsidRPr="00A52AB8" w:rsidRDefault="00E05637">
      <w:pPr>
        <w:pStyle w:val="Heading4"/>
      </w:pPr>
      <w:bookmarkStart w:id="1510" w:name="_Ref1476062"/>
      <w:r w:rsidRPr="00A52AB8">
        <w:t xml:space="preserve">Decoding process for </w:t>
      </w:r>
      <w:r w:rsidR="00E63010" w:rsidRPr="00A52AB8">
        <w:t>patch data unit</w:t>
      </w:r>
      <w:r w:rsidRPr="00A52AB8">
        <w:t>s coded in inter prediction mode</w:t>
      </w:r>
      <w:bookmarkStart w:id="1511" w:name="_Toc353798250"/>
      <w:bookmarkEnd w:id="1506"/>
      <w:bookmarkEnd w:id="1508"/>
      <w:bookmarkEnd w:id="1510"/>
    </w:p>
    <w:p w14:paraId="4B79FCEF" w14:textId="28B702CB" w:rsidR="006104E8" w:rsidRPr="00A52AB8" w:rsidRDefault="000D62AB" w:rsidP="006104E8">
      <w:pPr>
        <w:pStyle w:val="Heading5"/>
      </w:pPr>
      <w:bookmarkStart w:id="1512" w:name="_Ref46926590"/>
      <w:r w:rsidRPr="00A52AB8">
        <w:t>Gener</w:t>
      </w:r>
      <w:r w:rsidR="00C43799" w:rsidRPr="00A52AB8">
        <w:t>al</w:t>
      </w:r>
      <w:r w:rsidRPr="00A52AB8">
        <w:t xml:space="preserve"> decoding process for </w:t>
      </w:r>
      <w:r w:rsidR="00E63010" w:rsidRPr="00A52AB8">
        <w:t>patch data unit</w:t>
      </w:r>
      <w:r w:rsidRPr="00A52AB8">
        <w:t>s coded in inter prediction mode</w:t>
      </w:r>
      <w:bookmarkEnd w:id="1512"/>
    </w:p>
    <w:p w14:paraId="21E93F82" w14:textId="7A09F58B" w:rsidR="00143C1E" w:rsidRPr="00A52AB8" w:rsidRDefault="00143C1E" w:rsidP="00CD5BC7">
      <w:pPr>
        <w:tabs>
          <w:tab w:val="clear" w:pos="403"/>
        </w:tabs>
        <w:spacing w:before="120" w:after="120" w:line="240" w:lineRule="auto"/>
        <w:rPr>
          <w:lang w:eastAsia="ja-JP"/>
        </w:rPr>
      </w:pPr>
      <w:r w:rsidRPr="00A52AB8">
        <w:t>Input</w:t>
      </w:r>
      <w:r w:rsidR="000E313C" w:rsidRPr="00A52AB8">
        <w:t>s</w:t>
      </w:r>
      <w:r w:rsidRPr="00A52AB8">
        <w:t xml:space="preserve"> to this process </w:t>
      </w:r>
      <w:r w:rsidR="000E313C" w:rsidRPr="00A52AB8">
        <w:t xml:space="preserve">are </w:t>
      </w:r>
      <w:r w:rsidRPr="00A52AB8">
        <w:t xml:space="preserve">the current patch index, </w:t>
      </w:r>
      <w:r w:rsidRPr="00A52AB8">
        <w:rPr>
          <w:color w:val="000000" w:themeColor="text1"/>
        </w:rPr>
        <w:t>p</w:t>
      </w:r>
      <w:r w:rsidR="001B6CE6" w:rsidRPr="00A52AB8">
        <w:t xml:space="preserve">, and the current tile </w:t>
      </w:r>
      <w:r w:rsidR="00AE739A" w:rsidRPr="00A52AB8">
        <w:t>ID</w:t>
      </w:r>
      <w:r w:rsidR="001B6CE6" w:rsidRPr="00A52AB8">
        <w:t xml:space="preserve">, </w:t>
      </w:r>
      <w:r w:rsidR="00632FA7" w:rsidRPr="00A52AB8">
        <w:t>tileID</w:t>
      </w:r>
      <w:r w:rsidR="001B6CE6" w:rsidRPr="00A52AB8">
        <w:t>.</w:t>
      </w:r>
    </w:p>
    <w:p w14:paraId="0C361A2C" w14:textId="77777777" w:rsidR="00032818" w:rsidRPr="00A52AB8" w:rsidRDefault="00032818" w:rsidP="00CD5BC7">
      <w:pPr>
        <w:rPr>
          <w:color w:val="000000" w:themeColor="text1"/>
        </w:rPr>
      </w:pPr>
      <w:r w:rsidRPr="00A52AB8">
        <w:t xml:space="preserve">First, the reference atlas frame index, refIdx, is derived as </w:t>
      </w:r>
      <w:r w:rsidR="00303E4C" w:rsidRPr="00A52AB8">
        <w:rPr>
          <w:color w:val="000000" w:themeColor="text1"/>
        </w:rPr>
        <w:t>i</w:t>
      </w:r>
      <w:r w:rsidRPr="00A52AB8">
        <w:rPr>
          <w:color w:val="000000" w:themeColor="text1"/>
        </w:rPr>
        <w:t>pdu_ref_index[ </w:t>
      </w:r>
      <w:r w:rsidR="00632FA7" w:rsidRPr="00A52AB8">
        <w:rPr>
          <w:color w:val="000000" w:themeColor="text1"/>
        </w:rPr>
        <w:t>tileID</w:t>
      </w:r>
      <w:r w:rsidRPr="00A52AB8">
        <w:rPr>
          <w:color w:val="000000" w:themeColor="text1"/>
        </w:rPr>
        <w:t> ][ p ].</w:t>
      </w:r>
    </w:p>
    <w:p w14:paraId="1296C974" w14:textId="77777777" w:rsidR="00711B21" w:rsidRPr="00A52AB8" w:rsidRDefault="00711B21" w:rsidP="00CD5BC7">
      <w:pPr>
        <w:rPr>
          <w:color w:val="000000" w:themeColor="text1"/>
        </w:rPr>
      </w:pPr>
      <w:r w:rsidRPr="00A52AB8">
        <w:rPr>
          <w:color w:val="000000" w:themeColor="text1"/>
        </w:rPr>
        <w:t xml:space="preserve">Then the reference atlas frame, refAtlasFrm, is selected as the atlas frame corresponding to the ( refIdx + 1 )-th entry in the reference atlas frame list </w:t>
      </w:r>
      <w:r w:rsidRPr="00A52AB8">
        <w:t>RefAtlasFrmList, RefAtlasFrmList[ refIdx ].</w:t>
      </w:r>
    </w:p>
    <w:p w14:paraId="3DBB14D9" w14:textId="77777777" w:rsidR="00B008D8" w:rsidRPr="00A52AB8" w:rsidRDefault="00B008D8" w:rsidP="009F7C49">
      <w:pPr>
        <w:pStyle w:val="Equation"/>
        <w:spacing w:before="120" w:after="120"/>
        <w:jc w:val="both"/>
        <w:rPr>
          <w:color w:val="000000" w:themeColor="text1"/>
          <w:lang w:eastAsia="ja-JP"/>
        </w:rPr>
      </w:pPr>
      <w:r w:rsidRPr="00A52AB8">
        <w:rPr>
          <w:color w:val="000000" w:themeColor="text1"/>
          <w:lang w:eastAsia="ja-JP"/>
        </w:rPr>
        <w:t xml:space="preserve">If p is equal to 0, then </w:t>
      </w:r>
      <w:r w:rsidR="003F72FA" w:rsidRPr="00A52AB8">
        <w:rPr>
          <w:color w:val="000000" w:themeColor="text1"/>
          <w:lang w:eastAsia="ja-JP"/>
        </w:rPr>
        <w:t xml:space="preserve">PredictorIdx </w:t>
      </w:r>
      <w:r w:rsidRPr="00A52AB8">
        <w:rPr>
          <w:color w:val="000000" w:themeColor="text1"/>
          <w:lang w:eastAsia="ja-JP"/>
        </w:rPr>
        <w:t>is set to 0.</w:t>
      </w:r>
    </w:p>
    <w:p w14:paraId="4D1B9B07" w14:textId="5F1CCA15" w:rsidR="00773C1C" w:rsidRPr="00A52AB8" w:rsidRDefault="00773C1C" w:rsidP="009F7C49">
      <w:pPr>
        <w:pStyle w:val="Equation"/>
        <w:spacing w:before="120" w:after="120"/>
        <w:jc w:val="both"/>
        <w:rPr>
          <w:color w:val="000000" w:themeColor="text1"/>
          <w:lang w:eastAsia="ja-JP"/>
        </w:rPr>
      </w:pPr>
      <w:r w:rsidRPr="00A52AB8">
        <w:rPr>
          <w:color w:val="000000" w:themeColor="text1"/>
          <w:lang w:eastAsia="ja-JP"/>
        </w:rPr>
        <w:t>Then the</w:t>
      </w:r>
      <w:r w:rsidR="00F63317" w:rsidRPr="00A52AB8">
        <w:rPr>
          <w:color w:val="000000" w:themeColor="text1"/>
          <w:lang w:eastAsia="ja-JP"/>
        </w:rPr>
        <w:t xml:space="preserve"> corresponding patch </w:t>
      </w:r>
      <w:r w:rsidRPr="00A52AB8">
        <w:rPr>
          <w:color w:val="000000" w:themeColor="text1"/>
          <w:lang w:eastAsia="ja-JP"/>
        </w:rPr>
        <w:t xml:space="preserve">index, </w:t>
      </w:r>
      <w:r w:rsidR="00ED2E82" w:rsidRPr="00A52AB8">
        <w:rPr>
          <w:color w:val="000000" w:themeColor="text1"/>
          <w:lang w:eastAsia="ja-JP"/>
        </w:rPr>
        <w:t>RefPatchIdx</w:t>
      </w:r>
      <w:r w:rsidR="00C712FF" w:rsidRPr="00A52AB8">
        <w:rPr>
          <w:color w:val="000000" w:themeColor="text1"/>
          <w:lang w:eastAsia="ja-JP"/>
        </w:rPr>
        <w:t>,</w:t>
      </w:r>
      <w:r w:rsidRPr="00A52AB8">
        <w:rPr>
          <w:color w:val="000000" w:themeColor="text1"/>
          <w:lang w:eastAsia="ja-JP"/>
        </w:rPr>
        <w:t xml:space="preserve"> </w:t>
      </w:r>
      <w:r w:rsidR="00CD5BC7" w:rsidRPr="00A52AB8">
        <w:rPr>
          <w:color w:val="000000" w:themeColor="text1"/>
          <w:lang w:eastAsia="ja-JP"/>
        </w:rPr>
        <w:t>in the tile with ID equal to tile ID, in the reference atlas frame, refAtlasFrm, is computed as:</w:t>
      </w:r>
    </w:p>
    <w:p w14:paraId="37173F59" w14:textId="59F2CCD5" w:rsidR="00773C1C" w:rsidRPr="00A52AB8" w:rsidRDefault="00773C1C">
      <w:pPr>
        <w:rPr>
          <w:lang w:eastAsia="ja-JP"/>
        </w:rPr>
      </w:pPr>
      <w:r w:rsidRPr="00A52AB8">
        <w:rPr>
          <w:lang w:eastAsia="ja-JP"/>
        </w:rPr>
        <w:tab/>
      </w:r>
      <w:r w:rsidR="00300192" w:rsidRPr="00A52AB8">
        <w:rPr>
          <w:lang w:eastAsia="ja-JP"/>
        </w:rPr>
        <w:t>RefPatchIdx</w:t>
      </w:r>
      <w:r w:rsidR="00D47707" w:rsidRPr="00A52AB8">
        <w:rPr>
          <w:lang w:eastAsia="ja-JP"/>
        </w:rPr>
        <w:t> = </w:t>
      </w:r>
      <w:r w:rsidR="00B04BF5" w:rsidRPr="00A52AB8">
        <w:rPr>
          <w:lang w:eastAsia="ja-JP"/>
        </w:rPr>
        <w:t>PredictorIdx</w:t>
      </w:r>
      <w:r w:rsidR="008A2741" w:rsidRPr="00A52AB8">
        <w:rPr>
          <w:lang w:eastAsia="ja-JP"/>
        </w:rPr>
        <w:t> </w:t>
      </w:r>
      <w:r w:rsidR="00F63317" w:rsidRPr="00A52AB8">
        <w:rPr>
          <w:lang w:eastAsia="ja-JP"/>
        </w:rPr>
        <w:t>+</w:t>
      </w:r>
      <w:r w:rsidR="008A2741" w:rsidRPr="00A52AB8">
        <w:rPr>
          <w:lang w:eastAsia="ja-JP"/>
        </w:rPr>
        <w:t> </w:t>
      </w:r>
      <w:r w:rsidR="008E0086" w:rsidRPr="00A52AB8">
        <w:rPr>
          <w:lang w:eastAsia="ja-JP"/>
        </w:rPr>
        <w:t>ipdu</w:t>
      </w:r>
      <w:r w:rsidR="00F63317" w:rsidRPr="00A52AB8">
        <w:rPr>
          <w:lang w:eastAsia="ja-JP"/>
        </w:rPr>
        <w:t>_patch_index</w:t>
      </w:r>
      <w:r w:rsidR="001B6CE6" w:rsidRPr="00A52AB8">
        <w:t>[ </w:t>
      </w:r>
      <w:r w:rsidR="00632FA7" w:rsidRPr="00A52AB8">
        <w:t>tileID</w:t>
      </w:r>
      <w:r w:rsidR="001B6CE6" w:rsidRPr="00A52AB8">
        <w:t> ]</w:t>
      </w:r>
      <w:r w:rsidR="00636D52" w:rsidRPr="00A52AB8">
        <w:rPr>
          <w:lang w:eastAsia="ja-JP"/>
        </w:rPr>
        <w:t>[ p ]</w:t>
      </w:r>
      <w:r w:rsidR="00B008D8" w:rsidRPr="00A52AB8">
        <w:rPr>
          <w:lang w:eastAsia="ja-JP"/>
        </w:rPr>
        <w:tab/>
      </w:r>
      <w:r w:rsidRPr="00A52AB8">
        <w:rPr>
          <w:lang w:eastAsia="ja-JP"/>
        </w:rPr>
        <w:t>(</w:t>
      </w:r>
      <w:r w:rsidRPr="00496A4D">
        <w:rPr>
          <w:lang w:eastAsia="ja-JP"/>
        </w:rPr>
        <w:fldChar w:fldCharType="begin"/>
      </w:r>
      <w:r w:rsidRPr="00A52AB8">
        <w:rPr>
          <w:lang w:eastAsia="ja-JP"/>
        </w:rPr>
        <w:instrText xml:space="preserve"> </w:instrText>
      </w:r>
      <w:r w:rsidR="00646520" w:rsidRPr="00A52AB8">
        <w:rPr>
          <w:lang w:eastAsia="ja-JP"/>
        </w:rPr>
        <w:instrText>SEQ Equation \* ARABIC \n</w:instrText>
      </w:r>
      <w:r w:rsidRPr="00A52AB8">
        <w:rPr>
          <w:lang w:eastAsia="ja-JP"/>
        </w:rPr>
        <w:instrText xml:space="preserve"> </w:instrText>
      </w:r>
      <w:r w:rsidRPr="00496A4D">
        <w:rPr>
          <w:lang w:eastAsia="ja-JP"/>
        </w:rPr>
        <w:fldChar w:fldCharType="separate"/>
      </w:r>
      <w:r w:rsidR="00507A67">
        <w:rPr>
          <w:noProof/>
          <w:lang w:eastAsia="ja-JP"/>
        </w:rPr>
        <w:t>106</w:t>
      </w:r>
      <w:r w:rsidRPr="00496A4D">
        <w:rPr>
          <w:lang w:eastAsia="ja-JP"/>
        </w:rPr>
        <w:fldChar w:fldCharType="end"/>
      </w:r>
      <w:r w:rsidRPr="00A52AB8">
        <w:rPr>
          <w:lang w:eastAsia="ja-JP"/>
        </w:rPr>
        <w:t>)</w:t>
      </w:r>
    </w:p>
    <w:p w14:paraId="11E61114" w14:textId="77777777" w:rsidR="00B008D8" w:rsidRPr="00A52AB8" w:rsidRDefault="00B008D8">
      <w:pPr>
        <w:pStyle w:val="Equation"/>
        <w:spacing w:before="120" w:after="120"/>
        <w:rPr>
          <w:color w:val="000000" w:themeColor="text1"/>
        </w:rPr>
      </w:pPr>
      <w:r w:rsidRPr="00A52AB8">
        <w:rPr>
          <w:color w:val="000000" w:themeColor="text1"/>
        </w:rPr>
        <w:t xml:space="preserve">and </w:t>
      </w:r>
      <w:r w:rsidR="0000655B" w:rsidRPr="00A52AB8">
        <w:rPr>
          <w:color w:val="000000" w:themeColor="text1"/>
        </w:rPr>
        <w:t xml:space="preserve">PredictorIdx </w:t>
      </w:r>
      <w:r w:rsidRPr="00A52AB8">
        <w:rPr>
          <w:color w:val="000000" w:themeColor="text1"/>
        </w:rPr>
        <w:t xml:space="preserve">is </w:t>
      </w:r>
      <w:r w:rsidR="00010811" w:rsidRPr="00A52AB8">
        <w:rPr>
          <w:color w:val="000000" w:themeColor="text1"/>
        </w:rPr>
        <w:t>set</w:t>
      </w:r>
      <w:r w:rsidRPr="00A52AB8">
        <w:rPr>
          <w:color w:val="000000" w:themeColor="text1"/>
        </w:rPr>
        <w:t xml:space="preserve"> to </w:t>
      </w:r>
      <w:r w:rsidR="00300192" w:rsidRPr="00A52AB8">
        <w:rPr>
          <w:color w:val="000000" w:themeColor="text1"/>
        </w:rPr>
        <w:t>RefPatchIdx</w:t>
      </w:r>
      <w:r w:rsidR="006F2739" w:rsidRPr="00A52AB8">
        <w:rPr>
          <w:color w:val="000000" w:themeColor="text1"/>
        </w:rPr>
        <w:t> </w:t>
      </w:r>
      <w:r w:rsidRPr="00A52AB8">
        <w:rPr>
          <w:color w:val="000000" w:themeColor="text1"/>
        </w:rPr>
        <w:t>+</w:t>
      </w:r>
      <w:r w:rsidR="006F2739" w:rsidRPr="00A52AB8">
        <w:rPr>
          <w:color w:val="000000" w:themeColor="text1"/>
        </w:rPr>
        <w:t> </w:t>
      </w:r>
      <w:r w:rsidRPr="00A52AB8">
        <w:rPr>
          <w:color w:val="000000" w:themeColor="text1"/>
        </w:rPr>
        <w:t>1</w:t>
      </w:r>
      <w:r w:rsidR="00010811" w:rsidRPr="00A52AB8">
        <w:rPr>
          <w:color w:val="000000" w:themeColor="text1"/>
        </w:rPr>
        <w:t>.</w:t>
      </w:r>
    </w:p>
    <w:p w14:paraId="45B0EA99" w14:textId="34A3E9B5" w:rsidR="00706CAE" w:rsidRPr="00A52AB8" w:rsidRDefault="00D44ECA" w:rsidP="00D44ECA">
      <w:pPr>
        <w:pStyle w:val="Equation"/>
        <w:spacing w:before="120" w:after="120"/>
        <w:jc w:val="both"/>
        <w:rPr>
          <w:color w:val="000000" w:themeColor="text1"/>
        </w:rPr>
      </w:pPr>
      <w:r w:rsidRPr="00A52AB8">
        <w:rPr>
          <w:color w:val="000000" w:themeColor="text1"/>
        </w:rPr>
        <w:t xml:space="preserve">The process described in </w:t>
      </w:r>
      <w:r w:rsidR="00A22885" w:rsidRPr="00A52AB8">
        <w:rPr>
          <w:color w:val="000000" w:themeColor="text1"/>
        </w:rPr>
        <w:t xml:space="preserve">subclause </w:t>
      </w:r>
      <w:r w:rsidRPr="00496A4D">
        <w:rPr>
          <w:color w:val="000000" w:themeColor="text1"/>
        </w:rPr>
        <w:fldChar w:fldCharType="begin"/>
      </w:r>
      <w:r w:rsidRPr="00A52AB8">
        <w:rPr>
          <w:color w:val="000000" w:themeColor="text1"/>
        </w:rPr>
        <w:instrText xml:space="preserve"> REF _Ref46248317 \r \h </w:instrText>
      </w:r>
      <w:r w:rsidR="00CA5401"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9.2.5.5.2</w:t>
      </w:r>
      <w:r w:rsidRPr="00496A4D">
        <w:rPr>
          <w:color w:val="000000" w:themeColor="text1"/>
        </w:rPr>
        <w:fldChar w:fldCharType="end"/>
      </w:r>
      <w:r w:rsidRPr="00A52AB8">
        <w:rPr>
          <w:color w:val="000000" w:themeColor="text1"/>
        </w:rPr>
        <w:t xml:space="preserve"> is invoked using the variables refIdx, </w:t>
      </w:r>
      <w:r w:rsidR="00300192" w:rsidRPr="00A52AB8">
        <w:rPr>
          <w:color w:val="000000" w:themeColor="text1"/>
        </w:rPr>
        <w:t>RefPatchIdx</w:t>
      </w:r>
      <w:r w:rsidRPr="00A52AB8">
        <w:rPr>
          <w:color w:val="000000" w:themeColor="text1"/>
        </w:rPr>
        <w:t xml:space="preserve">, and </w:t>
      </w:r>
      <w:r w:rsidR="00632FA7" w:rsidRPr="00A52AB8">
        <w:rPr>
          <w:color w:val="000000" w:themeColor="text1"/>
        </w:rPr>
        <w:t>tileID</w:t>
      </w:r>
      <w:r w:rsidRPr="00A52AB8">
        <w:rPr>
          <w:color w:val="000000" w:themeColor="text1"/>
        </w:rPr>
        <w:t xml:space="preserve"> as inputs, and the </w:t>
      </w:r>
      <w:r w:rsidR="009069AB" w:rsidRPr="00A52AB8">
        <w:rPr>
          <w:color w:val="000000" w:themeColor="text1"/>
        </w:rPr>
        <w:t>outputs</w:t>
      </w:r>
      <w:r w:rsidR="00706CAE" w:rsidRPr="00A52AB8">
        <w:rPr>
          <w:color w:val="000000" w:themeColor="text1"/>
        </w:rPr>
        <w:t xml:space="preserve"> are the variables refPatchType, ref</w:t>
      </w:r>
      <w:r w:rsidR="00706CAE" w:rsidRPr="00A52AB8">
        <w:rPr>
          <w:lang w:eastAsia="ja-JP"/>
        </w:rPr>
        <w:t xml:space="preserve">Patch2dPosX, refPatch2dPosY, refPatch2dSizeX, refPatch2dSizeY, refPatch3dOffsetU, refPatch3dOffsetV, refPatch3dOffsetD, refPatch3dRangeD, refPatchProjectionID, refPatchOrientationIndex, refPatchLoDScaleX, refPachLoDScaleY, refPatchRawPoints, </w:t>
      </w:r>
      <w:r w:rsidR="008A2741" w:rsidRPr="00A52AB8">
        <w:rPr>
          <w:lang w:eastAsia="ja-JP"/>
        </w:rPr>
        <w:t xml:space="preserve">and </w:t>
      </w:r>
      <w:r w:rsidR="00706CAE" w:rsidRPr="00A52AB8">
        <w:rPr>
          <w:color w:val="000000" w:themeColor="text1"/>
        </w:rPr>
        <w:t xml:space="preserve">refPatchEomPatchCount, </w:t>
      </w:r>
      <w:r w:rsidR="008A2741" w:rsidRPr="00A52AB8">
        <w:rPr>
          <w:color w:val="000000" w:themeColor="text1"/>
        </w:rPr>
        <w:t xml:space="preserve">the </w:t>
      </w:r>
      <w:r w:rsidR="00706CAE" w:rsidRPr="00A52AB8">
        <w:rPr>
          <w:color w:val="000000" w:themeColor="text1"/>
        </w:rPr>
        <w:t>1D array</w:t>
      </w:r>
      <w:r w:rsidR="008A2741" w:rsidRPr="00A52AB8">
        <w:rPr>
          <w:color w:val="000000" w:themeColor="text1"/>
        </w:rPr>
        <w:t>s</w:t>
      </w:r>
      <w:r w:rsidR="00706CAE" w:rsidRPr="00A52AB8">
        <w:rPr>
          <w:color w:val="000000" w:themeColor="text1"/>
        </w:rPr>
        <w:t xml:space="preserve"> </w:t>
      </w:r>
      <w:r w:rsidR="00706CAE" w:rsidRPr="00A52AB8">
        <w:t>refP</w:t>
      </w:r>
      <w:r w:rsidR="00706CAE" w:rsidRPr="00A52AB8">
        <w:rPr>
          <w:color w:val="000000" w:themeColor="text1"/>
        </w:rPr>
        <w:t xml:space="preserve">atchAssociatedPatchIndex and </w:t>
      </w:r>
      <w:r w:rsidR="00706CAE" w:rsidRPr="00A52AB8">
        <w:rPr>
          <w:lang w:eastAsia="ja-JP"/>
        </w:rPr>
        <w:t>ref</w:t>
      </w:r>
      <w:r w:rsidR="00706CAE" w:rsidRPr="00A52AB8">
        <w:rPr>
          <w:color w:val="000000" w:themeColor="text1"/>
        </w:rPr>
        <w:t xml:space="preserve">PatchEomPoints, </w:t>
      </w:r>
      <w:r w:rsidR="00706CAE" w:rsidRPr="00A52AB8">
        <w:rPr>
          <w:lang w:eastAsia="ja-JP"/>
        </w:rPr>
        <w:t>an</w:t>
      </w:r>
      <w:r w:rsidR="008A2741" w:rsidRPr="00A52AB8">
        <w:rPr>
          <w:lang w:eastAsia="ja-JP"/>
        </w:rPr>
        <w:t>d,</w:t>
      </w:r>
      <w:r w:rsidR="00706CAE" w:rsidRPr="00A52AB8">
        <w:rPr>
          <w:lang w:eastAsia="ja-JP"/>
        </w:rPr>
        <w:t xml:space="preserve"> if asps_plr_enabled_flag is equal to 1, the 1D arrays </w:t>
      </w:r>
      <w:r w:rsidR="00706CAE" w:rsidRPr="00A52AB8">
        <w:rPr>
          <w:color w:val="000000" w:themeColor="text1"/>
        </w:rPr>
        <w:t>refPatchPlrdLevel, refPatchPlrdPresentFlag, and refPlrdModeMinus1, and the 2D arrays refPatchPlrdPresentBlockFlag and refPatchPlrdBlockModeMinus1</w:t>
      </w:r>
      <w:r w:rsidR="00706CAE" w:rsidRPr="00A52AB8">
        <w:rPr>
          <w:lang w:eastAsia="ja-JP"/>
        </w:rPr>
        <w:t>.</w:t>
      </w:r>
    </w:p>
    <w:p w14:paraId="4229D447" w14:textId="04A4EFA2" w:rsidR="00D44ECA" w:rsidRPr="00A52AB8" w:rsidRDefault="00D44ECA" w:rsidP="00D44ECA">
      <w:pPr>
        <w:pStyle w:val="Equation"/>
        <w:spacing w:before="120" w:after="120"/>
        <w:jc w:val="both"/>
        <w:rPr>
          <w:color w:val="000000" w:themeColor="text1"/>
        </w:rPr>
      </w:pPr>
      <w:r w:rsidRPr="00A52AB8">
        <w:rPr>
          <w:color w:val="000000" w:themeColor="text1"/>
        </w:rPr>
        <w:t xml:space="preserve">It is a requirement of bitstream conformance that </w:t>
      </w:r>
      <w:r w:rsidR="00440C68" w:rsidRPr="00A52AB8">
        <w:rPr>
          <w:color w:val="000000" w:themeColor="text1"/>
        </w:rPr>
        <w:t>refPatchType</w:t>
      </w:r>
      <w:r w:rsidRPr="00A52AB8">
        <w:rPr>
          <w:color w:val="000000" w:themeColor="text1"/>
        </w:rPr>
        <w:t xml:space="preserve"> is equal to </w:t>
      </w:r>
      <w:r w:rsidR="00440C68" w:rsidRPr="00A52AB8">
        <w:rPr>
          <w:color w:val="000000" w:themeColor="text1"/>
        </w:rPr>
        <w:t>PROJECTED</w:t>
      </w:r>
      <w:r w:rsidRPr="00A52AB8">
        <w:rPr>
          <w:color w:val="000000" w:themeColor="text1"/>
        </w:rPr>
        <w:t>.</w:t>
      </w:r>
    </w:p>
    <w:p w14:paraId="59C1817B" w14:textId="77777777" w:rsidR="00972B8B" w:rsidRPr="00A52AB8" w:rsidRDefault="00972B8B" w:rsidP="006A702E">
      <w:pPr>
        <w:pStyle w:val="Equation"/>
        <w:spacing w:before="120" w:after="120"/>
        <w:jc w:val="both"/>
        <w:rPr>
          <w:color w:val="000000" w:themeColor="text1"/>
        </w:rPr>
      </w:pPr>
      <w:r w:rsidRPr="00A52AB8">
        <w:rPr>
          <w:color w:val="000000" w:themeColor="text1"/>
        </w:rPr>
        <w:t>The</w:t>
      </w:r>
      <w:r w:rsidR="0079639E" w:rsidRPr="00A52AB8">
        <w:rPr>
          <w:color w:val="000000" w:themeColor="text1"/>
        </w:rPr>
        <w:t xml:space="preserve">n, the associated 2D and 3D patch parameters are derived as </w:t>
      </w:r>
      <w:r w:rsidR="002345D3" w:rsidRPr="00A52AB8">
        <w:rPr>
          <w:color w:val="000000" w:themeColor="text1"/>
        </w:rPr>
        <w:t>follow</w:t>
      </w:r>
      <w:r w:rsidR="00A70BD0" w:rsidRPr="00A52AB8">
        <w:rPr>
          <w:color w:val="000000" w:themeColor="text1"/>
        </w:rPr>
        <w:t>s</w:t>
      </w:r>
      <w:r w:rsidRPr="00A52AB8">
        <w:rPr>
          <w:color w:val="000000" w:themeColor="text1"/>
        </w:rPr>
        <w:t>:</w:t>
      </w:r>
    </w:p>
    <w:p w14:paraId="6F9135C8" w14:textId="11EC671E" w:rsidR="00A675A9" w:rsidRPr="00A52AB8" w:rsidRDefault="00A675A9" w:rsidP="009F42AE">
      <w:pPr>
        <w:rPr>
          <w:lang w:eastAsia="ja-JP"/>
        </w:rPr>
      </w:pPr>
      <w:r w:rsidRPr="00A52AB8">
        <w:rPr>
          <w:lang w:eastAsia="ja-JP"/>
        </w:rPr>
        <w:tab/>
      </w:r>
      <w:r w:rsidR="00B47991" w:rsidRPr="00A52AB8">
        <w:rPr>
          <w:lang w:eastAsia="ja-JP"/>
        </w:rPr>
        <w:t>Tile</w:t>
      </w:r>
      <w:r w:rsidR="00C3373C" w:rsidRPr="00A52AB8">
        <w:rPr>
          <w:lang w:eastAsia="ja-JP"/>
        </w:rPr>
        <w:t>PatchType</w:t>
      </w:r>
      <w:r w:rsidRPr="00A52AB8">
        <w:rPr>
          <w:lang w:eastAsia="ja-JP"/>
        </w:rPr>
        <w:t>[ </w:t>
      </w:r>
      <w:r w:rsidR="00632FA7" w:rsidRPr="00A52AB8">
        <w:rPr>
          <w:lang w:eastAsia="ja-JP"/>
        </w:rPr>
        <w:t>tileID</w:t>
      </w:r>
      <w:r w:rsidRPr="00A52AB8">
        <w:rPr>
          <w:lang w:eastAsia="ja-JP"/>
        </w:rPr>
        <w:t> ][ p ]</w:t>
      </w:r>
      <w:r w:rsidR="00D47707" w:rsidRPr="00A52AB8">
        <w:rPr>
          <w:lang w:eastAsia="ja-JP"/>
        </w:rPr>
        <w:t> = </w:t>
      </w:r>
      <w:r w:rsidR="00440C68" w:rsidRPr="00A52AB8">
        <w:rPr>
          <w:lang w:eastAsia="ja-JP"/>
        </w:rPr>
        <w:t>refPatchType</w:t>
      </w:r>
      <w:r w:rsidR="00440C68" w:rsidRPr="00A52AB8">
        <w:rPr>
          <w:lang w:eastAsia="ja-JP"/>
        </w:rPr>
        <w:tab/>
      </w:r>
      <w:r w:rsidR="007807FB" w:rsidRPr="00A52AB8">
        <w:rPr>
          <w:lang w:eastAsia="ja-JP"/>
        </w:rPr>
        <w:tab/>
      </w:r>
      <w:r w:rsidR="008F08D5" w:rsidRPr="00A52AB8">
        <w:rPr>
          <w:lang w:eastAsia="ja-JP"/>
        </w:rPr>
        <w:t>(</w:t>
      </w:r>
      <w:r w:rsidR="008F08D5" w:rsidRPr="00496A4D">
        <w:rPr>
          <w:lang w:eastAsia="ja-JP"/>
        </w:rPr>
        <w:fldChar w:fldCharType="begin"/>
      </w:r>
      <w:r w:rsidR="008F08D5" w:rsidRPr="00A52AB8">
        <w:rPr>
          <w:lang w:eastAsia="ja-JP"/>
        </w:rPr>
        <w:instrText xml:space="preserve"> SEQ Equation \* ARABIC \n </w:instrText>
      </w:r>
      <w:r w:rsidR="008F08D5" w:rsidRPr="00496A4D">
        <w:rPr>
          <w:lang w:eastAsia="ja-JP"/>
        </w:rPr>
        <w:fldChar w:fldCharType="separate"/>
      </w:r>
      <w:r w:rsidR="00507A67">
        <w:rPr>
          <w:noProof/>
          <w:lang w:eastAsia="ja-JP"/>
        </w:rPr>
        <w:t>107</w:t>
      </w:r>
      <w:r w:rsidR="008F08D5" w:rsidRPr="00496A4D">
        <w:rPr>
          <w:lang w:eastAsia="ja-JP"/>
        </w:rPr>
        <w:fldChar w:fldCharType="end"/>
      </w:r>
      <w:r w:rsidR="008F08D5" w:rsidRPr="00A52AB8">
        <w:rPr>
          <w:lang w:eastAsia="ja-JP"/>
        </w:rPr>
        <w:t>)</w:t>
      </w:r>
    </w:p>
    <w:p w14:paraId="30C91B4A" w14:textId="7C1FAFBA" w:rsidR="00972B8B" w:rsidRPr="00A52AB8" w:rsidRDefault="0079639E" w:rsidP="00A252B5">
      <w:r w:rsidRPr="00A52AB8">
        <w:tab/>
      </w:r>
      <w:r w:rsidR="00C86567" w:rsidRPr="00A52AB8">
        <w:t>Tile</w:t>
      </w:r>
      <w:r w:rsidR="00B93E9B" w:rsidRPr="00A52AB8">
        <w:t>Patch</w:t>
      </w:r>
      <w:r w:rsidR="00972B8B" w:rsidRPr="00A52AB8">
        <w:t>2d</w:t>
      </w:r>
      <w:r w:rsidR="00627BE0" w:rsidRPr="00A52AB8">
        <w:t>Pos</w:t>
      </w:r>
      <w:r w:rsidR="00CA4F41" w:rsidRPr="00A52AB8">
        <w:t>X</w:t>
      </w:r>
      <w:r w:rsidR="001B6CE6" w:rsidRPr="00A52AB8">
        <w:t>[ </w:t>
      </w:r>
      <w:r w:rsidR="00632FA7" w:rsidRPr="00A52AB8">
        <w:t>tileID</w:t>
      </w:r>
      <w:r w:rsidR="001B6CE6" w:rsidRPr="00A52AB8">
        <w:t> ]</w:t>
      </w:r>
      <w:r w:rsidR="00636D52" w:rsidRPr="00A52AB8">
        <w:t>[ p </w:t>
      </w:r>
      <w:r w:rsidR="00935236" w:rsidRPr="00A52AB8">
        <w:t>] </w:t>
      </w:r>
      <w:r w:rsidR="009270B4" w:rsidRPr="00A52AB8">
        <w:t>=</w:t>
      </w:r>
      <w:r w:rsidR="009270B4" w:rsidRPr="00A52AB8">
        <w:br/>
      </w:r>
      <w:r w:rsidR="009270B4" w:rsidRPr="00A52AB8">
        <w:tab/>
      </w:r>
      <w:r w:rsidR="009270B4" w:rsidRPr="00A52AB8">
        <w:tab/>
      </w:r>
      <w:r w:rsidR="009270B4" w:rsidRPr="00A52AB8">
        <w:tab/>
      </w:r>
      <w:r w:rsidR="006245F5" w:rsidRPr="00A52AB8">
        <w:t>ref</w:t>
      </w:r>
      <w:r w:rsidR="00B93E9B" w:rsidRPr="00A52AB8">
        <w:t>Patch2d</w:t>
      </w:r>
      <w:r w:rsidR="00627BE0" w:rsidRPr="00A52AB8">
        <w:t>Pos</w:t>
      </w:r>
      <w:r w:rsidR="00CA4F41" w:rsidRPr="00A52AB8">
        <w:t>X</w:t>
      </w:r>
      <w:r w:rsidR="00D43707" w:rsidRPr="00A52AB8">
        <w:t> </w:t>
      </w:r>
      <w:r w:rsidR="00972B8B" w:rsidRPr="00A52AB8">
        <w:t>+</w:t>
      </w:r>
      <w:r w:rsidR="006245F5" w:rsidRPr="00A52AB8">
        <w:t> </w:t>
      </w:r>
      <w:r w:rsidR="008E0086" w:rsidRPr="00A52AB8">
        <w:t>ipdu</w:t>
      </w:r>
      <w:r w:rsidR="00972B8B" w:rsidRPr="00A52AB8">
        <w:t>_</w:t>
      </w:r>
      <w:r w:rsidR="00070D8E" w:rsidRPr="00A52AB8">
        <w:t>2d_</w:t>
      </w:r>
      <w:r w:rsidR="00627BE0" w:rsidRPr="00A52AB8">
        <w:t>pos</w:t>
      </w:r>
      <w:r w:rsidR="00070D8E" w:rsidRPr="00A52AB8">
        <w:t>_x</w:t>
      </w:r>
      <w:r w:rsidR="001B6CE6" w:rsidRPr="00A52AB8">
        <w:t>[ </w:t>
      </w:r>
      <w:r w:rsidR="00632FA7" w:rsidRPr="00A52AB8">
        <w:t>tileID</w:t>
      </w:r>
      <w:r w:rsidR="001B6CE6" w:rsidRPr="00A52AB8">
        <w:t> ]</w:t>
      </w:r>
      <w:r w:rsidR="00636D52" w:rsidRPr="00A52AB8">
        <w:t>[ p ]</w:t>
      </w:r>
      <w:r w:rsidR="00D43707" w:rsidRPr="00A52AB8">
        <w:t> </w:t>
      </w:r>
      <w:r w:rsidR="00BC7407" w:rsidRPr="00A52AB8">
        <w:t>*</w:t>
      </w:r>
      <w:r w:rsidR="00D43707" w:rsidRPr="00A52AB8">
        <w:t> </w:t>
      </w:r>
      <w:r w:rsidR="00835F46" w:rsidRPr="00A52AB8">
        <w:t>PatchPackingBlockSize</w:t>
      </w:r>
      <w:r w:rsidR="00D43707" w:rsidRPr="00A52AB8">
        <w:tab/>
      </w:r>
      <w:r w:rsidR="0047639E" w:rsidRPr="00A52AB8">
        <w:t>(</w:t>
      </w:r>
      <w:r w:rsidR="0047639E" w:rsidRPr="00496A4D">
        <w:fldChar w:fldCharType="begin"/>
      </w:r>
      <w:r w:rsidR="0047639E" w:rsidRPr="00A52AB8">
        <w:instrText xml:space="preserve"> </w:instrText>
      </w:r>
      <w:r w:rsidR="00646520" w:rsidRPr="00A52AB8">
        <w:instrText>SEQ Equation \* ARABIC \n</w:instrText>
      </w:r>
      <w:r w:rsidR="0047639E" w:rsidRPr="00A52AB8">
        <w:instrText xml:space="preserve"> </w:instrText>
      </w:r>
      <w:r w:rsidR="0047639E" w:rsidRPr="00496A4D">
        <w:fldChar w:fldCharType="separate"/>
      </w:r>
      <w:r w:rsidR="00507A67">
        <w:rPr>
          <w:noProof/>
        </w:rPr>
        <w:t>108</w:t>
      </w:r>
      <w:r w:rsidR="0047639E" w:rsidRPr="00496A4D">
        <w:fldChar w:fldCharType="end"/>
      </w:r>
      <w:r w:rsidR="0047639E" w:rsidRPr="00A52AB8">
        <w:t>)</w:t>
      </w:r>
    </w:p>
    <w:p w14:paraId="2E28B36F" w14:textId="71CBE17C" w:rsidR="00BC7407" w:rsidRPr="00A52AB8" w:rsidRDefault="00D43707" w:rsidP="00A252B5">
      <w:r w:rsidRPr="00A52AB8">
        <w:tab/>
      </w:r>
      <w:r w:rsidR="00C86567" w:rsidRPr="00A52AB8">
        <w:t>Tile</w:t>
      </w:r>
      <w:r w:rsidR="00B93E9B" w:rsidRPr="00A52AB8">
        <w:t>Patch2d</w:t>
      </w:r>
      <w:r w:rsidR="00627BE0" w:rsidRPr="00A52AB8">
        <w:t>Pos</w:t>
      </w:r>
      <w:r w:rsidR="00CA4F41" w:rsidRPr="00A52AB8">
        <w:t>Y</w:t>
      </w:r>
      <w:r w:rsidR="001B6CE6" w:rsidRPr="00A52AB8">
        <w:t>[ </w:t>
      </w:r>
      <w:r w:rsidR="00632FA7" w:rsidRPr="00A52AB8">
        <w:t>tileID</w:t>
      </w:r>
      <w:r w:rsidR="001B6CE6" w:rsidRPr="00A52AB8">
        <w:t> ]</w:t>
      </w:r>
      <w:r w:rsidR="00636D52" w:rsidRPr="00A52AB8">
        <w:t>[ p </w:t>
      </w:r>
      <w:r w:rsidR="00935236" w:rsidRPr="00A52AB8">
        <w:t>] =</w:t>
      </w:r>
      <w:r w:rsidR="009270B4" w:rsidRPr="00A52AB8">
        <w:br/>
      </w:r>
      <w:r w:rsidR="009270B4" w:rsidRPr="00A52AB8">
        <w:tab/>
      </w:r>
      <w:r w:rsidR="009270B4" w:rsidRPr="00A52AB8">
        <w:tab/>
      </w:r>
      <w:r w:rsidR="009270B4" w:rsidRPr="00A52AB8">
        <w:tab/>
      </w:r>
      <w:r w:rsidR="006245F5" w:rsidRPr="00A52AB8">
        <w:t>ref</w:t>
      </w:r>
      <w:r w:rsidR="00B93E9B" w:rsidRPr="00A52AB8">
        <w:t>Patch2d</w:t>
      </w:r>
      <w:r w:rsidR="00627BE0" w:rsidRPr="00A52AB8">
        <w:t>Pos</w:t>
      </w:r>
      <w:r w:rsidR="00CA4F41" w:rsidRPr="00A52AB8">
        <w:t>Y</w:t>
      </w:r>
      <w:r w:rsidRPr="00A52AB8">
        <w:t> </w:t>
      </w:r>
      <w:r w:rsidR="00B93E9B" w:rsidRPr="00A52AB8">
        <w:t>+</w:t>
      </w:r>
      <w:r w:rsidR="006245F5" w:rsidRPr="00A52AB8">
        <w:t> </w:t>
      </w:r>
      <w:r w:rsidR="008E0086" w:rsidRPr="00A52AB8">
        <w:t>ipdu</w:t>
      </w:r>
      <w:r w:rsidR="00BC7407" w:rsidRPr="00A52AB8">
        <w:t>_</w:t>
      </w:r>
      <w:r w:rsidR="00CA4F41" w:rsidRPr="00A52AB8">
        <w:t>2d_</w:t>
      </w:r>
      <w:r w:rsidR="00627BE0" w:rsidRPr="00A52AB8">
        <w:t>pos</w:t>
      </w:r>
      <w:r w:rsidR="00CA4F41" w:rsidRPr="00A52AB8">
        <w:t>_y</w:t>
      </w:r>
      <w:r w:rsidR="001B6CE6" w:rsidRPr="00A52AB8">
        <w:t>[ </w:t>
      </w:r>
      <w:r w:rsidR="00632FA7" w:rsidRPr="00A52AB8">
        <w:t>tileID</w:t>
      </w:r>
      <w:r w:rsidR="001B6CE6" w:rsidRPr="00A52AB8">
        <w:t> ]</w:t>
      </w:r>
      <w:r w:rsidR="00636D52" w:rsidRPr="00A52AB8">
        <w:t>[ p ]</w:t>
      </w:r>
      <w:r w:rsidRPr="00A52AB8">
        <w:t> </w:t>
      </w:r>
      <w:r w:rsidR="00BC7407" w:rsidRPr="00A52AB8">
        <w:t>*</w:t>
      </w:r>
      <w:r w:rsidRPr="00A52AB8">
        <w:t> </w:t>
      </w:r>
      <w:r w:rsidR="00835F46" w:rsidRPr="00A52AB8">
        <w:t>PatchPackingBlockSize</w:t>
      </w:r>
      <w:r w:rsidR="00BC7407" w:rsidRPr="00A52AB8">
        <w:tab/>
        <w:t>(</w:t>
      </w:r>
      <w:r w:rsidR="00BC7407" w:rsidRPr="00496A4D">
        <w:fldChar w:fldCharType="begin"/>
      </w:r>
      <w:r w:rsidR="00BC7407" w:rsidRPr="00A52AB8">
        <w:instrText xml:space="preserve"> </w:instrText>
      </w:r>
      <w:r w:rsidR="00646520" w:rsidRPr="00A52AB8">
        <w:instrText>SEQ Equation \* ARABIC \n</w:instrText>
      </w:r>
      <w:r w:rsidR="00BC7407" w:rsidRPr="00A52AB8">
        <w:instrText xml:space="preserve"> </w:instrText>
      </w:r>
      <w:r w:rsidR="00BC7407" w:rsidRPr="00496A4D">
        <w:fldChar w:fldCharType="separate"/>
      </w:r>
      <w:r w:rsidR="00507A67">
        <w:rPr>
          <w:noProof/>
        </w:rPr>
        <w:t>109</w:t>
      </w:r>
      <w:r w:rsidR="00BC7407" w:rsidRPr="00496A4D">
        <w:fldChar w:fldCharType="end"/>
      </w:r>
      <w:r w:rsidR="00BC7407" w:rsidRPr="00A52AB8">
        <w:t>)</w:t>
      </w:r>
    </w:p>
    <w:p w14:paraId="6A788316" w14:textId="7272D251" w:rsidR="00E82FBF" w:rsidRPr="00A52AB8" w:rsidRDefault="00D43707" w:rsidP="00A252B5">
      <w:r w:rsidRPr="00A52AB8">
        <w:tab/>
      </w:r>
      <w:r w:rsidR="00C86567" w:rsidRPr="00A52AB8">
        <w:t>Tile</w:t>
      </w:r>
      <w:r w:rsidR="00E82FBF" w:rsidRPr="00A52AB8">
        <w:t>Patch2d</w:t>
      </w:r>
      <w:r w:rsidR="00CA4F41" w:rsidRPr="00A52AB8">
        <w:t>SizeX</w:t>
      </w:r>
      <w:r w:rsidR="001B6CE6" w:rsidRPr="00A52AB8">
        <w:t>[ </w:t>
      </w:r>
      <w:r w:rsidR="00632FA7" w:rsidRPr="00A52AB8">
        <w:t>tileID</w:t>
      </w:r>
      <w:r w:rsidR="001B6CE6" w:rsidRPr="00A52AB8">
        <w:t> ]</w:t>
      </w:r>
      <w:r w:rsidR="00636D52" w:rsidRPr="00A52AB8">
        <w:t>[ p </w:t>
      </w:r>
      <w:r w:rsidR="00935236" w:rsidRPr="00A52AB8">
        <w:t>] =</w:t>
      </w:r>
      <w:r w:rsidR="009270B4" w:rsidRPr="00A52AB8">
        <w:br/>
      </w:r>
      <w:r w:rsidR="009270B4" w:rsidRPr="00A52AB8">
        <w:tab/>
      </w:r>
      <w:r w:rsidR="009270B4" w:rsidRPr="00A52AB8">
        <w:tab/>
      </w:r>
      <w:r w:rsidR="009270B4" w:rsidRPr="00A52AB8">
        <w:tab/>
      </w:r>
      <w:r w:rsidR="006245F5" w:rsidRPr="00A52AB8">
        <w:t>ref</w:t>
      </w:r>
      <w:r w:rsidR="00E82FBF" w:rsidRPr="00A52AB8">
        <w:t>Patch2d</w:t>
      </w:r>
      <w:r w:rsidR="00CA4F41" w:rsidRPr="00A52AB8">
        <w:t>SizeX</w:t>
      </w:r>
      <w:r w:rsidR="00935236" w:rsidRPr="00A52AB8">
        <w:t> + </w:t>
      </w:r>
      <w:r w:rsidR="008E0086" w:rsidRPr="00A52AB8">
        <w:t>ipdu</w:t>
      </w:r>
      <w:r w:rsidR="00E82FBF" w:rsidRPr="00A52AB8">
        <w:t>_2d_delta_</w:t>
      </w:r>
      <w:r w:rsidR="008E0BEB" w:rsidRPr="00A52AB8">
        <w:t>size_x</w:t>
      </w:r>
      <w:r w:rsidR="001B6CE6" w:rsidRPr="00A52AB8">
        <w:t>[ </w:t>
      </w:r>
      <w:r w:rsidR="00632FA7" w:rsidRPr="00A52AB8">
        <w:t>tileID</w:t>
      </w:r>
      <w:r w:rsidR="001B6CE6" w:rsidRPr="00A52AB8">
        <w:t> ]</w:t>
      </w:r>
      <w:r w:rsidR="009B0515" w:rsidRPr="00A52AB8">
        <w:t>[</w:t>
      </w:r>
      <w:r w:rsidR="00636D52" w:rsidRPr="00A52AB8">
        <w:t> p </w:t>
      </w:r>
      <w:r w:rsidR="003C6583" w:rsidRPr="00A52AB8">
        <w:t>] * </w:t>
      </w:r>
      <w:r w:rsidR="005036E4" w:rsidRPr="00A52AB8">
        <w:t>PatchSizeXQuantizer</w:t>
      </w:r>
      <w:r w:rsidR="003F01AC" w:rsidRPr="00A52AB8">
        <w:tab/>
      </w:r>
      <w:r w:rsidR="00E82FBF" w:rsidRPr="00A52AB8">
        <w:t>(</w:t>
      </w:r>
      <w:r w:rsidR="00E82FBF" w:rsidRPr="00496A4D">
        <w:fldChar w:fldCharType="begin"/>
      </w:r>
      <w:r w:rsidR="00E82FBF" w:rsidRPr="00A52AB8">
        <w:instrText xml:space="preserve"> </w:instrText>
      </w:r>
      <w:r w:rsidR="00646520" w:rsidRPr="00A52AB8">
        <w:instrText>SEQ Equation \* ARABIC \n</w:instrText>
      </w:r>
      <w:r w:rsidR="00E82FBF" w:rsidRPr="00A52AB8">
        <w:instrText xml:space="preserve"> </w:instrText>
      </w:r>
      <w:r w:rsidR="00E82FBF" w:rsidRPr="00496A4D">
        <w:fldChar w:fldCharType="separate"/>
      </w:r>
      <w:r w:rsidR="00507A67">
        <w:rPr>
          <w:noProof/>
        </w:rPr>
        <w:t>110</w:t>
      </w:r>
      <w:r w:rsidR="00E82FBF" w:rsidRPr="00496A4D">
        <w:fldChar w:fldCharType="end"/>
      </w:r>
      <w:r w:rsidR="00E82FBF" w:rsidRPr="00A52AB8">
        <w:t>)</w:t>
      </w:r>
    </w:p>
    <w:p w14:paraId="2C49D40F" w14:textId="734D7B44" w:rsidR="00E82FBF" w:rsidRPr="00A52AB8" w:rsidRDefault="00E82FBF" w:rsidP="00A252B5">
      <w:r w:rsidRPr="00A52AB8">
        <w:tab/>
      </w:r>
      <w:r w:rsidR="00C86567" w:rsidRPr="00A52AB8">
        <w:t>Tile</w:t>
      </w:r>
      <w:r w:rsidRPr="00A52AB8">
        <w:t>Patch2d</w:t>
      </w:r>
      <w:r w:rsidR="00CA4F41" w:rsidRPr="00A52AB8">
        <w:t>SizeY</w:t>
      </w:r>
      <w:r w:rsidR="001B6CE6" w:rsidRPr="00A52AB8">
        <w:t>[ </w:t>
      </w:r>
      <w:r w:rsidR="00632FA7" w:rsidRPr="00A52AB8">
        <w:t>tileID</w:t>
      </w:r>
      <w:r w:rsidR="001B6CE6" w:rsidRPr="00A52AB8">
        <w:t> ]</w:t>
      </w:r>
      <w:r w:rsidR="00636D52" w:rsidRPr="00A52AB8">
        <w:t>[ p </w:t>
      </w:r>
      <w:r w:rsidR="00935236" w:rsidRPr="00A52AB8">
        <w:t>] =</w:t>
      </w:r>
      <w:r w:rsidR="009270B4" w:rsidRPr="00A52AB8">
        <w:br/>
      </w:r>
      <w:r w:rsidR="009270B4" w:rsidRPr="00A52AB8">
        <w:tab/>
      </w:r>
      <w:r w:rsidR="009270B4" w:rsidRPr="00A52AB8">
        <w:tab/>
      </w:r>
      <w:r w:rsidR="009270B4" w:rsidRPr="00A52AB8">
        <w:tab/>
      </w:r>
      <w:r w:rsidR="006245F5" w:rsidRPr="00A52AB8">
        <w:t>ref</w:t>
      </w:r>
      <w:r w:rsidRPr="00A52AB8">
        <w:t>Patch2d</w:t>
      </w:r>
      <w:r w:rsidR="00CA4F41" w:rsidRPr="00A52AB8">
        <w:t>SizeY</w:t>
      </w:r>
      <w:r w:rsidR="006245F5" w:rsidRPr="00A52AB8">
        <w:t> </w:t>
      </w:r>
      <w:r w:rsidR="00935236" w:rsidRPr="00A52AB8">
        <w:t>+ </w:t>
      </w:r>
      <w:r w:rsidR="008E0086" w:rsidRPr="00A52AB8">
        <w:t>ipdu</w:t>
      </w:r>
      <w:r w:rsidRPr="00A52AB8">
        <w:t>_2d_delta_</w:t>
      </w:r>
      <w:r w:rsidR="008E0BEB" w:rsidRPr="00A52AB8">
        <w:t>size_y</w:t>
      </w:r>
      <w:r w:rsidR="001B6CE6" w:rsidRPr="00A52AB8">
        <w:t>[ </w:t>
      </w:r>
      <w:r w:rsidR="00632FA7" w:rsidRPr="00A52AB8">
        <w:t>tileID</w:t>
      </w:r>
      <w:r w:rsidR="001B6CE6" w:rsidRPr="00A52AB8">
        <w:t> ]</w:t>
      </w:r>
      <w:r w:rsidR="009B0515" w:rsidRPr="00A52AB8">
        <w:t>[</w:t>
      </w:r>
      <w:r w:rsidR="00636D52" w:rsidRPr="00A52AB8">
        <w:t> p </w:t>
      </w:r>
      <w:r w:rsidR="003C6583" w:rsidRPr="00A52AB8">
        <w:t>] * </w:t>
      </w:r>
      <w:r w:rsidR="005036E4" w:rsidRPr="00A52AB8">
        <w:t>PatchSizeYQuantizer</w:t>
      </w:r>
      <w:r w:rsidR="003F01AC" w:rsidRPr="00A52AB8">
        <w:tab/>
      </w:r>
      <w:r w:rsidRPr="00A52AB8">
        <w:t>(</w:t>
      </w:r>
      <w:r w:rsidRPr="00496A4D">
        <w:fldChar w:fldCharType="begin"/>
      </w:r>
      <w:r w:rsidRPr="00A52AB8">
        <w:instrText xml:space="preserve"> </w:instrText>
      </w:r>
      <w:r w:rsidR="00646520" w:rsidRPr="00A52AB8">
        <w:instrText>SEQ Equation \* ARABIC \n</w:instrText>
      </w:r>
      <w:r w:rsidRPr="00A52AB8">
        <w:instrText xml:space="preserve"> </w:instrText>
      </w:r>
      <w:r w:rsidRPr="00496A4D">
        <w:fldChar w:fldCharType="separate"/>
      </w:r>
      <w:r w:rsidR="00507A67">
        <w:rPr>
          <w:noProof/>
        </w:rPr>
        <w:t>111</w:t>
      </w:r>
      <w:r w:rsidRPr="00496A4D">
        <w:fldChar w:fldCharType="end"/>
      </w:r>
      <w:r w:rsidRPr="00A52AB8">
        <w:t>)</w:t>
      </w:r>
    </w:p>
    <w:p w14:paraId="275920F6" w14:textId="0A674500" w:rsidR="00AA73AF" w:rsidRPr="00A52AB8" w:rsidRDefault="00B93E9B">
      <w:pPr>
        <w:rPr>
          <w:lang w:eastAsia="ja-JP"/>
        </w:rPr>
      </w:pPr>
      <w:r w:rsidRPr="00A52AB8">
        <w:rPr>
          <w:lang w:eastAsia="ja-JP"/>
        </w:rPr>
        <w:tab/>
      </w:r>
      <w:r w:rsidR="00314925" w:rsidRPr="00A52AB8">
        <w:rPr>
          <w:lang w:eastAsia="ja-JP"/>
        </w:rPr>
        <w:t>TilePatch3dOffsetU</w:t>
      </w:r>
      <w:r w:rsidR="001B6CE6" w:rsidRPr="00A52AB8">
        <w:t>[ </w:t>
      </w:r>
      <w:r w:rsidR="00632FA7" w:rsidRPr="00A52AB8">
        <w:t>tileID</w:t>
      </w:r>
      <w:r w:rsidR="001B6CE6" w:rsidRPr="00A52AB8">
        <w:t> ]</w:t>
      </w:r>
      <w:r w:rsidR="00636D52" w:rsidRPr="00A52AB8">
        <w:rPr>
          <w:lang w:eastAsia="ja-JP"/>
        </w:rPr>
        <w:t>[ p </w:t>
      </w:r>
      <w:r w:rsidR="00935236" w:rsidRPr="00A52AB8">
        <w:rPr>
          <w:lang w:eastAsia="ja-JP"/>
        </w:rPr>
        <w:t>]</w:t>
      </w:r>
      <w:r w:rsidR="00D47707" w:rsidRPr="00A52AB8">
        <w:rPr>
          <w:lang w:eastAsia="ja-JP"/>
        </w:rPr>
        <w:t> = </w:t>
      </w:r>
      <w:r w:rsidR="006245F5" w:rsidRPr="00A52AB8">
        <w:rPr>
          <w:lang w:eastAsia="ja-JP"/>
        </w:rPr>
        <w:t>ref</w:t>
      </w:r>
      <w:r w:rsidRPr="00A52AB8">
        <w:rPr>
          <w:lang w:eastAsia="ja-JP"/>
        </w:rPr>
        <w:t>Patch</w:t>
      </w:r>
      <w:r w:rsidR="001A4D59" w:rsidRPr="00A52AB8">
        <w:rPr>
          <w:lang w:eastAsia="ja-JP"/>
        </w:rPr>
        <w:t>3dOffsetU</w:t>
      </w:r>
      <w:r w:rsidR="00AA73AF" w:rsidRPr="00A52AB8">
        <w:rPr>
          <w:lang w:eastAsia="ja-JP"/>
        </w:rPr>
        <w:t> </w:t>
      </w:r>
      <w:r w:rsidR="00972B8B" w:rsidRPr="00A52AB8">
        <w:rPr>
          <w:lang w:eastAsia="ja-JP"/>
        </w:rPr>
        <w:t>+</w:t>
      </w:r>
      <w:r w:rsidR="006245F5" w:rsidRPr="00A52AB8">
        <w:rPr>
          <w:lang w:eastAsia="ja-JP"/>
        </w:rPr>
        <w:t> </w:t>
      </w:r>
      <w:r w:rsidR="008E0086" w:rsidRPr="00A52AB8">
        <w:rPr>
          <w:lang w:eastAsia="ja-JP"/>
        </w:rPr>
        <w:t>i</w:t>
      </w:r>
      <w:r w:rsidR="007356C4" w:rsidRPr="00A52AB8">
        <w:rPr>
          <w:lang w:eastAsia="ja-JP"/>
        </w:rPr>
        <w:t>pdu_3d_offset_u</w:t>
      </w:r>
      <w:r w:rsidR="001B6CE6" w:rsidRPr="00A52AB8">
        <w:t>[ </w:t>
      </w:r>
      <w:r w:rsidR="00632FA7" w:rsidRPr="00A52AB8">
        <w:t>tileID</w:t>
      </w:r>
      <w:r w:rsidR="001B6CE6" w:rsidRPr="00A52AB8">
        <w:t> ]</w:t>
      </w:r>
      <w:r w:rsidR="00636D52" w:rsidRPr="00A52AB8">
        <w:rPr>
          <w:lang w:eastAsia="ja-JP"/>
        </w:rPr>
        <w:t>[ p ]</w:t>
      </w:r>
      <w:r w:rsidR="00AA73AF" w:rsidRPr="00A52AB8">
        <w:rPr>
          <w:lang w:eastAsia="ja-JP"/>
        </w:rPr>
        <w:tab/>
      </w:r>
      <w:r w:rsidR="0047639E" w:rsidRPr="00A52AB8">
        <w:rPr>
          <w:lang w:eastAsia="ja-JP"/>
        </w:rPr>
        <w:t>(</w:t>
      </w:r>
      <w:r w:rsidR="0047639E" w:rsidRPr="00496A4D">
        <w:rPr>
          <w:lang w:eastAsia="ja-JP"/>
        </w:rPr>
        <w:fldChar w:fldCharType="begin"/>
      </w:r>
      <w:r w:rsidR="0047639E" w:rsidRPr="00A52AB8">
        <w:rPr>
          <w:lang w:eastAsia="ja-JP"/>
        </w:rPr>
        <w:instrText xml:space="preserve"> </w:instrText>
      </w:r>
      <w:r w:rsidR="00646520" w:rsidRPr="00A52AB8">
        <w:rPr>
          <w:lang w:eastAsia="ja-JP"/>
        </w:rPr>
        <w:instrText>SEQ Equation \* ARABIC \n</w:instrText>
      </w:r>
      <w:r w:rsidR="0047639E" w:rsidRPr="00A52AB8">
        <w:rPr>
          <w:lang w:eastAsia="ja-JP"/>
        </w:rPr>
        <w:instrText xml:space="preserve"> </w:instrText>
      </w:r>
      <w:r w:rsidR="0047639E" w:rsidRPr="00496A4D">
        <w:rPr>
          <w:lang w:eastAsia="ja-JP"/>
        </w:rPr>
        <w:fldChar w:fldCharType="separate"/>
      </w:r>
      <w:r w:rsidR="00507A67">
        <w:rPr>
          <w:noProof/>
          <w:lang w:eastAsia="ja-JP"/>
        </w:rPr>
        <w:t>112</w:t>
      </w:r>
      <w:r w:rsidR="0047639E" w:rsidRPr="00496A4D">
        <w:rPr>
          <w:lang w:eastAsia="ja-JP"/>
        </w:rPr>
        <w:fldChar w:fldCharType="end"/>
      </w:r>
      <w:r w:rsidR="0047639E" w:rsidRPr="00A52AB8">
        <w:rPr>
          <w:lang w:eastAsia="ja-JP"/>
        </w:rPr>
        <w:t>)</w:t>
      </w:r>
    </w:p>
    <w:p w14:paraId="21524B38" w14:textId="2B8D6392" w:rsidR="00972B8B" w:rsidRPr="00A52AB8" w:rsidRDefault="00D43707">
      <w:pPr>
        <w:rPr>
          <w:lang w:eastAsia="ja-JP"/>
        </w:rPr>
      </w:pPr>
      <w:r w:rsidRPr="00A52AB8">
        <w:rPr>
          <w:lang w:eastAsia="ja-JP"/>
        </w:rPr>
        <w:tab/>
      </w:r>
      <w:r w:rsidR="00314925" w:rsidRPr="00A52AB8">
        <w:rPr>
          <w:lang w:eastAsia="ja-JP"/>
        </w:rPr>
        <w:t>TilePatch3dOffsetV</w:t>
      </w:r>
      <w:r w:rsidR="001B6CE6" w:rsidRPr="00A52AB8">
        <w:t>[ </w:t>
      </w:r>
      <w:r w:rsidR="00632FA7" w:rsidRPr="00A52AB8">
        <w:t>tileID</w:t>
      </w:r>
      <w:r w:rsidR="001B6CE6" w:rsidRPr="00A52AB8">
        <w:t> ]</w:t>
      </w:r>
      <w:r w:rsidR="00636D52" w:rsidRPr="00A52AB8">
        <w:rPr>
          <w:lang w:eastAsia="ja-JP"/>
        </w:rPr>
        <w:t>[ p </w:t>
      </w:r>
      <w:r w:rsidR="00935236" w:rsidRPr="00A52AB8">
        <w:rPr>
          <w:lang w:eastAsia="ja-JP"/>
        </w:rPr>
        <w:t>]</w:t>
      </w:r>
      <w:r w:rsidR="00D47707" w:rsidRPr="00A52AB8">
        <w:rPr>
          <w:lang w:eastAsia="ja-JP"/>
        </w:rPr>
        <w:t> = </w:t>
      </w:r>
      <w:r w:rsidR="006245F5" w:rsidRPr="00A52AB8">
        <w:rPr>
          <w:lang w:eastAsia="ja-JP"/>
        </w:rPr>
        <w:t>ref</w:t>
      </w:r>
      <w:r w:rsidR="00B93E9B" w:rsidRPr="00A52AB8">
        <w:rPr>
          <w:lang w:eastAsia="ja-JP"/>
        </w:rPr>
        <w:t>Patch</w:t>
      </w:r>
      <w:r w:rsidR="001A4D59" w:rsidRPr="00A52AB8">
        <w:rPr>
          <w:lang w:eastAsia="ja-JP"/>
        </w:rPr>
        <w:t>3dOffsetV</w:t>
      </w:r>
      <w:r w:rsidR="00AA73AF" w:rsidRPr="00A52AB8">
        <w:rPr>
          <w:lang w:eastAsia="ja-JP"/>
        </w:rPr>
        <w:t> </w:t>
      </w:r>
      <w:r w:rsidR="00972B8B" w:rsidRPr="00A52AB8">
        <w:rPr>
          <w:lang w:eastAsia="ja-JP"/>
        </w:rPr>
        <w:t>+</w:t>
      </w:r>
      <w:r w:rsidR="007A1797" w:rsidRPr="00A52AB8">
        <w:rPr>
          <w:lang w:eastAsia="ja-JP"/>
        </w:rPr>
        <w:t> </w:t>
      </w:r>
      <w:r w:rsidR="008E0086" w:rsidRPr="00A52AB8">
        <w:rPr>
          <w:lang w:eastAsia="ja-JP"/>
        </w:rPr>
        <w:t>i</w:t>
      </w:r>
      <w:r w:rsidR="007356C4" w:rsidRPr="00A52AB8">
        <w:rPr>
          <w:lang w:eastAsia="ja-JP"/>
        </w:rPr>
        <w:t>pdu_3d_offset_v</w:t>
      </w:r>
      <w:r w:rsidR="001B6CE6" w:rsidRPr="00A52AB8">
        <w:t>[ </w:t>
      </w:r>
      <w:r w:rsidR="00632FA7" w:rsidRPr="00A52AB8">
        <w:t>tileID</w:t>
      </w:r>
      <w:r w:rsidR="001B6CE6" w:rsidRPr="00A52AB8">
        <w:t> ]</w:t>
      </w:r>
      <w:r w:rsidR="00636D52" w:rsidRPr="00A52AB8">
        <w:rPr>
          <w:lang w:eastAsia="ja-JP"/>
        </w:rPr>
        <w:t>[ p ]</w:t>
      </w:r>
      <w:r w:rsidR="00AA73AF" w:rsidRPr="00A52AB8">
        <w:rPr>
          <w:lang w:eastAsia="ja-JP"/>
        </w:rPr>
        <w:tab/>
      </w:r>
      <w:r w:rsidR="0047639E" w:rsidRPr="00A52AB8">
        <w:rPr>
          <w:lang w:eastAsia="ja-JP"/>
        </w:rPr>
        <w:t>(</w:t>
      </w:r>
      <w:r w:rsidR="0047639E" w:rsidRPr="00496A4D">
        <w:rPr>
          <w:lang w:eastAsia="ja-JP"/>
        </w:rPr>
        <w:fldChar w:fldCharType="begin"/>
      </w:r>
      <w:r w:rsidR="0047639E" w:rsidRPr="00A52AB8">
        <w:rPr>
          <w:lang w:eastAsia="ja-JP"/>
        </w:rPr>
        <w:instrText xml:space="preserve"> </w:instrText>
      </w:r>
      <w:r w:rsidR="00646520" w:rsidRPr="00A52AB8">
        <w:rPr>
          <w:lang w:eastAsia="ja-JP"/>
        </w:rPr>
        <w:instrText>SEQ Equation \* ARABIC \n</w:instrText>
      </w:r>
      <w:r w:rsidR="0047639E" w:rsidRPr="00A52AB8">
        <w:rPr>
          <w:lang w:eastAsia="ja-JP"/>
        </w:rPr>
        <w:instrText xml:space="preserve"> </w:instrText>
      </w:r>
      <w:r w:rsidR="0047639E" w:rsidRPr="00496A4D">
        <w:rPr>
          <w:lang w:eastAsia="ja-JP"/>
        </w:rPr>
        <w:fldChar w:fldCharType="separate"/>
      </w:r>
      <w:r w:rsidR="00507A67">
        <w:rPr>
          <w:noProof/>
          <w:lang w:eastAsia="ja-JP"/>
        </w:rPr>
        <w:t>113</w:t>
      </w:r>
      <w:r w:rsidR="0047639E" w:rsidRPr="00496A4D">
        <w:rPr>
          <w:lang w:eastAsia="ja-JP"/>
        </w:rPr>
        <w:fldChar w:fldCharType="end"/>
      </w:r>
      <w:r w:rsidR="0047639E" w:rsidRPr="00A52AB8">
        <w:rPr>
          <w:lang w:eastAsia="ja-JP"/>
        </w:rPr>
        <w:t>)</w:t>
      </w:r>
    </w:p>
    <w:p w14:paraId="6D1C729E" w14:textId="73589EF2" w:rsidR="00010811" w:rsidRPr="00A52AB8" w:rsidRDefault="00D43707" w:rsidP="006A09FF">
      <w:pPr>
        <w:rPr>
          <w:lang w:eastAsia="ja-JP"/>
        </w:rPr>
      </w:pPr>
      <w:r w:rsidRPr="00A52AB8">
        <w:rPr>
          <w:lang w:eastAsia="ja-JP"/>
        </w:rPr>
        <w:tab/>
      </w:r>
      <w:r w:rsidR="00141AB2" w:rsidRPr="00A52AB8">
        <w:rPr>
          <w:lang w:eastAsia="ja-JP"/>
        </w:rPr>
        <w:t>TilePatch3dOffsetD</w:t>
      </w:r>
      <w:r w:rsidR="001B6CE6" w:rsidRPr="00A52AB8">
        <w:t>[ </w:t>
      </w:r>
      <w:r w:rsidR="00632FA7" w:rsidRPr="00A52AB8">
        <w:t>tileID</w:t>
      </w:r>
      <w:r w:rsidR="001B6CE6" w:rsidRPr="00A52AB8">
        <w:t> ]</w:t>
      </w:r>
      <w:r w:rsidR="00636D52" w:rsidRPr="00A52AB8">
        <w:rPr>
          <w:lang w:eastAsia="ja-JP"/>
        </w:rPr>
        <w:t>[ p </w:t>
      </w:r>
      <w:r w:rsidR="00935236" w:rsidRPr="00A52AB8">
        <w:rPr>
          <w:lang w:eastAsia="ja-JP"/>
        </w:rPr>
        <w:t>]</w:t>
      </w:r>
      <w:r w:rsidR="00D47707" w:rsidRPr="00A52AB8">
        <w:rPr>
          <w:lang w:eastAsia="ja-JP"/>
        </w:rPr>
        <w:t> = </w:t>
      </w:r>
      <w:r w:rsidR="006245F5" w:rsidRPr="00A52AB8">
        <w:rPr>
          <w:lang w:eastAsia="ja-JP"/>
        </w:rPr>
        <w:t>ref</w:t>
      </w:r>
      <w:r w:rsidR="007213FB" w:rsidRPr="00A52AB8">
        <w:rPr>
          <w:lang w:eastAsia="ja-JP"/>
        </w:rPr>
        <w:t>Patch</w:t>
      </w:r>
      <w:r w:rsidR="001A4D59" w:rsidRPr="00A52AB8">
        <w:rPr>
          <w:lang w:eastAsia="ja-JP"/>
        </w:rPr>
        <w:t>3dOffsetD</w:t>
      </w:r>
      <w:r w:rsidR="00935236" w:rsidRPr="00A52AB8">
        <w:rPr>
          <w:lang w:eastAsia="ja-JP"/>
        </w:rPr>
        <w:t> +</w:t>
      </w:r>
      <w:r w:rsidR="007A1797" w:rsidRPr="00A52AB8">
        <w:rPr>
          <w:lang w:eastAsia="ja-JP"/>
        </w:rPr>
        <w:t> </w:t>
      </w:r>
      <w:r w:rsidR="008E0086" w:rsidRPr="00A52AB8">
        <w:rPr>
          <w:lang w:eastAsia="ja-JP"/>
        </w:rPr>
        <w:t>Ip</w:t>
      </w:r>
      <w:r w:rsidR="00141AB2" w:rsidRPr="00A52AB8">
        <w:rPr>
          <w:lang w:eastAsia="ja-JP"/>
        </w:rPr>
        <w:t>du3dOffsetD</w:t>
      </w:r>
      <w:r w:rsidR="001B6CE6" w:rsidRPr="00A52AB8">
        <w:t>[ </w:t>
      </w:r>
      <w:r w:rsidR="00632FA7" w:rsidRPr="00A52AB8">
        <w:t>tileID</w:t>
      </w:r>
      <w:r w:rsidR="001B6CE6" w:rsidRPr="00A52AB8">
        <w:t> ]</w:t>
      </w:r>
      <w:r w:rsidR="00636D52" w:rsidRPr="00A52AB8">
        <w:rPr>
          <w:lang w:eastAsia="ja-JP"/>
        </w:rPr>
        <w:t>[ p ]</w:t>
      </w:r>
      <w:r w:rsidR="006560D0" w:rsidRPr="00A52AB8">
        <w:rPr>
          <w:lang w:eastAsia="ja-JP"/>
        </w:rPr>
        <w:tab/>
      </w:r>
      <w:r w:rsidR="0047639E" w:rsidRPr="00A52AB8">
        <w:rPr>
          <w:lang w:eastAsia="ja-JP"/>
        </w:rPr>
        <w:t>(</w:t>
      </w:r>
      <w:r w:rsidR="0047639E" w:rsidRPr="00496A4D">
        <w:rPr>
          <w:lang w:eastAsia="ja-JP"/>
        </w:rPr>
        <w:fldChar w:fldCharType="begin"/>
      </w:r>
      <w:r w:rsidR="0047639E" w:rsidRPr="00A52AB8">
        <w:rPr>
          <w:lang w:eastAsia="ja-JP"/>
        </w:rPr>
        <w:instrText xml:space="preserve"> </w:instrText>
      </w:r>
      <w:r w:rsidR="00646520" w:rsidRPr="00A52AB8">
        <w:rPr>
          <w:lang w:eastAsia="ja-JP"/>
        </w:rPr>
        <w:instrText>SEQ Equation \* ARABIC \n</w:instrText>
      </w:r>
      <w:r w:rsidR="0047639E" w:rsidRPr="00A52AB8">
        <w:rPr>
          <w:lang w:eastAsia="ja-JP"/>
        </w:rPr>
        <w:instrText xml:space="preserve"> </w:instrText>
      </w:r>
      <w:r w:rsidR="0047639E" w:rsidRPr="00496A4D">
        <w:rPr>
          <w:lang w:eastAsia="ja-JP"/>
        </w:rPr>
        <w:fldChar w:fldCharType="separate"/>
      </w:r>
      <w:r w:rsidR="00507A67">
        <w:rPr>
          <w:noProof/>
          <w:lang w:eastAsia="ja-JP"/>
        </w:rPr>
        <w:t>114</w:t>
      </w:r>
      <w:r w:rsidR="0047639E" w:rsidRPr="00496A4D">
        <w:rPr>
          <w:lang w:eastAsia="ja-JP"/>
        </w:rPr>
        <w:fldChar w:fldCharType="end"/>
      </w:r>
      <w:r w:rsidR="0047639E" w:rsidRPr="00A52AB8">
        <w:rPr>
          <w:lang w:eastAsia="ja-JP"/>
        </w:rPr>
        <w:t>)</w:t>
      </w:r>
    </w:p>
    <w:p w14:paraId="7765F7FA" w14:textId="14F1EB49" w:rsidR="002368AD" w:rsidRPr="00A52AB8" w:rsidRDefault="00215EEA" w:rsidP="002368AD">
      <w:pPr>
        <w:rPr>
          <w:lang w:eastAsia="ja-JP"/>
        </w:rPr>
      </w:pPr>
      <w:r w:rsidRPr="00A52AB8">
        <w:rPr>
          <w:color w:val="000000" w:themeColor="text1"/>
        </w:rPr>
        <w:tab/>
      </w:r>
      <w:r w:rsidR="002368AD" w:rsidRPr="00A52AB8">
        <w:rPr>
          <w:color w:val="000000" w:themeColor="text1"/>
        </w:rPr>
        <w:t>TilePatch</w:t>
      </w:r>
      <w:r w:rsidR="001A4D59" w:rsidRPr="00A52AB8">
        <w:rPr>
          <w:color w:val="000000" w:themeColor="text1"/>
        </w:rPr>
        <w:t>3dRangeD</w:t>
      </w:r>
      <w:r w:rsidR="002368AD" w:rsidRPr="00A52AB8">
        <w:rPr>
          <w:color w:val="000000" w:themeColor="text1"/>
        </w:rPr>
        <w:t>[ </w:t>
      </w:r>
      <w:r w:rsidR="00632FA7" w:rsidRPr="00A52AB8">
        <w:rPr>
          <w:color w:val="000000" w:themeColor="text1"/>
        </w:rPr>
        <w:t>tileID</w:t>
      </w:r>
      <w:r w:rsidR="002368AD" w:rsidRPr="00A52AB8">
        <w:rPr>
          <w:color w:val="000000" w:themeColor="text1"/>
        </w:rPr>
        <w:t> ][ p ]</w:t>
      </w:r>
      <w:r w:rsidR="00D47707" w:rsidRPr="00A52AB8">
        <w:rPr>
          <w:color w:val="000000" w:themeColor="text1"/>
        </w:rPr>
        <w:t> = </w:t>
      </w:r>
      <w:r w:rsidR="002368AD" w:rsidRPr="00A52AB8">
        <w:rPr>
          <w:color w:val="000000" w:themeColor="text1"/>
        </w:rPr>
        <w:t>refPatch</w:t>
      </w:r>
      <w:r w:rsidR="001A4D59" w:rsidRPr="00A52AB8">
        <w:rPr>
          <w:color w:val="000000" w:themeColor="text1"/>
        </w:rPr>
        <w:t>3dRangeD</w:t>
      </w:r>
      <w:r w:rsidR="002368AD" w:rsidRPr="00A52AB8">
        <w:rPr>
          <w:color w:val="000000" w:themeColor="text1"/>
        </w:rPr>
        <w:t> + </w:t>
      </w:r>
      <w:r w:rsidR="00DB3068" w:rsidRPr="00A52AB8">
        <w:rPr>
          <w:color w:val="000000" w:themeColor="text1"/>
        </w:rPr>
        <w:t>I</w:t>
      </w:r>
      <w:r w:rsidR="002368AD" w:rsidRPr="00A52AB8">
        <w:rPr>
          <w:color w:val="000000" w:themeColor="text1"/>
        </w:rPr>
        <w:t>pdu</w:t>
      </w:r>
      <w:r w:rsidR="001A4D59" w:rsidRPr="00A52AB8">
        <w:rPr>
          <w:color w:val="000000" w:themeColor="text1"/>
        </w:rPr>
        <w:t>3dRangeD</w:t>
      </w:r>
      <w:r w:rsidR="002368AD" w:rsidRPr="00A52AB8">
        <w:rPr>
          <w:color w:val="000000" w:themeColor="text1"/>
        </w:rPr>
        <w:t>[ </w:t>
      </w:r>
      <w:r w:rsidR="00632FA7" w:rsidRPr="00A52AB8">
        <w:rPr>
          <w:color w:val="000000" w:themeColor="text1"/>
        </w:rPr>
        <w:t>tileID</w:t>
      </w:r>
      <w:r w:rsidR="002368AD" w:rsidRPr="00A52AB8">
        <w:rPr>
          <w:color w:val="000000" w:themeColor="text1"/>
        </w:rPr>
        <w:t> ][ p ]</w:t>
      </w:r>
      <w:r w:rsidR="002368AD" w:rsidRPr="00A52AB8">
        <w:rPr>
          <w:color w:val="000000" w:themeColor="text1"/>
        </w:rPr>
        <w:tab/>
      </w:r>
      <w:r w:rsidR="002368AD" w:rsidRPr="00A52AB8">
        <w:rPr>
          <w:lang w:eastAsia="ja-JP"/>
        </w:rPr>
        <w:t>(</w:t>
      </w:r>
      <w:r w:rsidR="003529F5" w:rsidRPr="00496A4D">
        <w:rPr>
          <w:lang w:eastAsia="ja-JP"/>
        </w:rPr>
        <w:fldChar w:fldCharType="begin"/>
      </w:r>
      <w:r w:rsidR="003529F5" w:rsidRPr="00A52AB8">
        <w:rPr>
          <w:lang w:eastAsia="ja-JP"/>
        </w:rPr>
        <w:instrText xml:space="preserve"> SEQ Equation \* ARABIC \n </w:instrText>
      </w:r>
      <w:r w:rsidR="003529F5" w:rsidRPr="00496A4D">
        <w:rPr>
          <w:lang w:eastAsia="ja-JP"/>
        </w:rPr>
        <w:fldChar w:fldCharType="separate"/>
      </w:r>
      <w:r w:rsidR="00507A67">
        <w:rPr>
          <w:noProof/>
          <w:lang w:eastAsia="ja-JP"/>
        </w:rPr>
        <w:t>115</w:t>
      </w:r>
      <w:r w:rsidR="003529F5" w:rsidRPr="00496A4D">
        <w:rPr>
          <w:lang w:eastAsia="ja-JP"/>
        </w:rPr>
        <w:fldChar w:fldCharType="end"/>
      </w:r>
      <w:r w:rsidR="002368AD" w:rsidRPr="00A52AB8">
        <w:rPr>
          <w:lang w:eastAsia="ja-JP"/>
        </w:rPr>
        <w:t>)</w:t>
      </w:r>
    </w:p>
    <w:p w14:paraId="70351E4E" w14:textId="7ADF355F" w:rsidR="008C0B42" w:rsidRPr="00A52AB8" w:rsidRDefault="008C0B42" w:rsidP="002368AD">
      <w:pPr>
        <w:rPr>
          <w:lang w:eastAsia="ja-JP"/>
        </w:rPr>
      </w:pPr>
      <w:r w:rsidRPr="00A52AB8">
        <w:rPr>
          <w:lang w:eastAsia="ja-JP"/>
        </w:rPr>
        <w:tab/>
        <w:t>TilePatchProjectionID</w:t>
      </w:r>
      <w:r w:rsidRPr="00A52AB8">
        <w:t>[ tileID ]</w:t>
      </w:r>
      <w:r w:rsidRPr="00A52AB8">
        <w:rPr>
          <w:lang w:eastAsia="ja-JP"/>
        </w:rPr>
        <w:t>[ p ]</w:t>
      </w:r>
      <w:r w:rsidR="00D47707" w:rsidRPr="00A52AB8">
        <w:rPr>
          <w:lang w:eastAsia="ja-JP"/>
        </w:rPr>
        <w:t> = </w:t>
      </w:r>
      <w:r w:rsidRPr="00A52AB8">
        <w:rPr>
          <w:lang w:eastAsia="ja-JP"/>
        </w:rPr>
        <w:t>refPatchProjectionID</w:t>
      </w:r>
      <w:r w:rsidRPr="00A52AB8">
        <w:rPr>
          <w:lang w:eastAsia="ja-JP"/>
        </w:rPr>
        <w:tab/>
        <w:t>(</w:t>
      </w:r>
      <w:r w:rsidRPr="00496A4D">
        <w:rPr>
          <w:lang w:eastAsia="ja-JP"/>
        </w:rPr>
        <w:fldChar w:fldCharType="begin"/>
      </w:r>
      <w:r w:rsidRPr="00A52AB8">
        <w:rPr>
          <w:lang w:eastAsia="ja-JP"/>
        </w:rPr>
        <w:instrText xml:space="preserve"> SEQ Equation \* ARABIC \n </w:instrText>
      </w:r>
      <w:r w:rsidRPr="00496A4D">
        <w:rPr>
          <w:lang w:eastAsia="ja-JP"/>
        </w:rPr>
        <w:fldChar w:fldCharType="separate"/>
      </w:r>
      <w:r w:rsidR="00507A67">
        <w:rPr>
          <w:noProof/>
          <w:lang w:eastAsia="ja-JP"/>
        </w:rPr>
        <w:t>116</w:t>
      </w:r>
      <w:r w:rsidRPr="00496A4D">
        <w:rPr>
          <w:lang w:eastAsia="ja-JP"/>
        </w:rPr>
        <w:fldChar w:fldCharType="end"/>
      </w:r>
      <w:r w:rsidRPr="00A52AB8">
        <w:rPr>
          <w:lang w:eastAsia="ja-JP"/>
        </w:rPr>
        <w:t>)</w:t>
      </w:r>
    </w:p>
    <w:p w14:paraId="1DE73745" w14:textId="7F69FB5A" w:rsidR="00010811" w:rsidRPr="00A52AB8" w:rsidRDefault="00010811">
      <w:pPr>
        <w:rPr>
          <w:lang w:eastAsia="ja-JP"/>
        </w:rPr>
      </w:pPr>
      <w:r w:rsidRPr="00A52AB8">
        <w:rPr>
          <w:lang w:eastAsia="ja-JP"/>
        </w:rPr>
        <w:tab/>
      </w:r>
      <w:r w:rsidR="00C86567" w:rsidRPr="00A52AB8">
        <w:rPr>
          <w:lang w:eastAsia="ja-JP"/>
        </w:rPr>
        <w:t>Tile</w:t>
      </w:r>
      <w:r w:rsidRPr="00A52AB8">
        <w:rPr>
          <w:lang w:eastAsia="ja-JP"/>
        </w:rPr>
        <w:t>PatchOrientation</w:t>
      </w:r>
      <w:r w:rsidR="007A6064" w:rsidRPr="00A52AB8">
        <w:rPr>
          <w:lang w:eastAsia="ja-JP"/>
        </w:rPr>
        <w:t>Index</w:t>
      </w:r>
      <w:r w:rsidR="001B6CE6" w:rsidRPr="00A52AB8">
        <w:t>[ </w:t>
      </w:r>
      <w:r w:rsidR="00632FA7" w:rsidRPr="00A52AB8">
        <w:t>tileID</w:t>
      </w:r>
      <w:r w:rsidR="001B6CE6" w:rsidRPr="00A52AB8">
        <w:t> ]</w:t>
      </w:r>
      <w:r w:rsidR="00636D52" w:rsidRPr="00A52AB8">
        <w:rPr>
          <w:lang w:eastAsia="ja-JP"/>
        </w:rPr>
        <w:t>[ p </w:t>
      </w:r>
      <w:r w:rsidR="00935236" w:rsidRPr="00A52AB8">
        <w:rPr>
          <w:lang w:eastAsia="ja-JP"/>
        </w:rPr>
        <w:t>]</w:t>
      </w:r>
      <w:r w:rsidR="00D47707" w:rsidRPr="00A52AB8">
        <w:rPr>
          <w:lang w:eastAsia="ja-JP"/>
        </w:rPr>
        <w:t> = </w:t>
      </w:r>
      <w:r w:rsidR="006245F5" w:rsidRPr="00A52AB8">
        <w:rPr>
          <w:lang w:eastAsia="ja-JP"/>
        </w:rPr>
        <w:t>ref</w:t>
      </w:r>
      <w:r w:rsidRPr="00A52AB8">
        <w:rPr>
          <w:lang w:eastAsia="ja-JP"/>
        </w:rPr>
        <w:t>PatchOrientation</w:t>
      </w:r>
      <w:r w:rsidR="007A6064" w:rsidRPr="00A52AB8">
        <w:rPr>
          <w:lang w:eastAsia="ja-JP"/>
        </w:rPr>
        <w:t>Index</w:t>
      </w:r>
      <w:r w:rsidR="003F01AC" w:rsidRPr="00A52AB8">
        <w:rPr>
          <w:lang w:eastAsia="ja-JP"/>
        </w:rPr>
        <w:tab/>
      </w:r>
      <w:r w:rsidRPr="00A52AB8">
        <w:rPr>
          <w:lang w:eastAsia="ja-JP"/>
        </w:rPr>
        <w:t>(</w:t>
      </w:r>
      <w:r w:rsidRPr="00496A4D">
        <w:rPr>
          <w:lang w:eastAsia="ja-JP"/>
        </w:rPr>
        <w:fldChar w:fldCharType="begin"/>
      </w:r>
      <w:r w:rsidRPr="00A52AB8">
        <w:rPr>
          <w:lang w:eastAsia="ja-JP"/>
        </w:rPr>
        <w:instrText xml:space="preserve"> </w:instrText>
      </w:r>
      <w:r w:rsidR="00646520" w:rsidRPr="00A52AB8">
        <w:rPr>
          <w:lang w:eastAsia="ja-JP"/>
        </w:rPr>
        <w:instrText>SEQ Equation \* ARABIC \n</w:instrText>
      </w:r>
      <w:r w:rsidRPr="00A52AB8">
        <w:rPr>
          <w:lang w:eastAsia="ja-JP"/>
        </w:rPr>
        <w:instrText xml:space="preserve"> </w:instrText>
      </w:r>
      <w:r w:rsidRPr="00496A4D">
        <w:rPr>
          <w:lang w:eastAsia="ja-JP"/>
        </w:rPr>
        <w:fldChar w:fldCharType="separate"/>
      </w:r>
      <w:r w:rsidR="00507A67">
        <w:rPr>
          <w:noProof/>
          <w:lang w:eastAsia="ja-JP"/>
        </w:rPr>
        <w:t>117</w:t>
      </w:r>
      <w:r w:rsidRPr="00496A4D">
        <w:rPr>
          <w:lang w:eastAsia="ja-JP"/>
        </w:rPr>
        <w:fldChar w:fldCharType="end"/>
      </w:r>
      <w:r w:rsidRPr="00A52AB8">
        <w:rPr>
          <w:lang w:eastAsia="ja-JP"/>
        </w:rPr>
        <w:t>)</w:t>
      </w:r>
    </w:p>
    <w:p w14:paraId="4A4018E0" w14:textId="51BA0F55" w:rsidR="002E02F5" w:rsidRPr="00A52AB8" w:rsidRDefault="002E02F5">
      <w:pPr>
        <w:rPr>
          <w:lang w:eastAsia="ja-JP"/>
        </w:rPr>
      </w:pPr>
      <w:r w:rsidRPr="00A52AB8">
        <w:rPr>
          <w:lang w:eastAsia="ja-JP"/>
        </w:rPr>
        <w:tab/>
      </w:r>
      <w:r w:rsidR="00C86567" w:rsidRPr="00A52AB8">
        <w:rPr>
          <w:lang w:eastAsia="ja-JP"/>
        </w:rPr>
        <w:t>Tile</w:t>
      </w:r>
      <w:r w:rsidRPr="00A52AB8">
        <w:rPr>
          <w:lang w:eastAsia="ja-JP"/>
        </w:rPr>
        <w:t>PatchLoDScaleX</w:t>
      </w:r>
      <w:r w:rsidR="001B6CE6" w:rsidRPr="00A52AB8">
        <w:t>[ </w:t>
      </w:r>
      <w:r w:rsidR="00632FA7" w:rsidRPr="00A52AB8">
        <w:t>tileID</w:t>
      </w:r>
      <w:r w:rsidR="001B6CE6" w:rsidRPr="00A52AB8">
        <w:t> ]</w:t>
      </w:r>
      <w:r w:rsidRPr="00A52AB8">
        <w:rPr>
          <w:lang w:eastAsia="ja-JP"/>
        </w:rPr>
        <w:t>[ p ]</w:t>
      </w:r>
      <w:r w:rsidR="00D47707" w:rsidRPr="00A52AB8">
        <w:rPr>
          <w:lang w:eastAsia="ja-JP"/>
        </w:rPr>
        <w:t> = </w:t>
      </w:r>
      <w:r w:rsidRPr="00A52AB8">
        <w:rPr>
          <w:lang w:eastAsia="ja-JP"/>
        </w:rPr>
        <w:t>refPatchLoDScaleX</w:t>
      </w:r>
      <w:r w:rsidRPr="00A52AB8">
        <w:rPr>
          <w:lang w:eastAsia="ja-JP"/>
        </w:rPr>
        <w:tab/>
        <w:t>(</w:t>
      </w:r>
      <w:r w:rsidRPr="00496A4D">
        <w:rPr>
          <w:lang w:eastAsia="ja-JP"/>
        </w:rPr>
        <w:fldChar w:fldCharType="begin"/>
      </w:r>
      <w:r w:rsidRPr="00A52AB8">
        <w:rPr>
          <w:lang w:eastAsia="ja-JP"/>
        </w:rPr>
        <w:instrText xml:space="preserve"> </w:instrText>
      </w:r>
      <w:r w:rsidR="00646520" w:rsidRPr="00A52AB8">
        <w:rPr>
          <w:lang w:eastAsia="ja-JP"/>
        </w:rPr>
        <w:instrText>SEQ Equation \* ARABIC \n</w:instrText>
      </w:r>
      <w:r w:rsidRPr="00A52AB8">
        <w:rPr>
          <w:lang w:eastAsia="ja-JP"/>
        </w:rPr>
        <w:instrText xml:space="preserve"> </w:instrText>
      </w:r>
      <w:r w:rsidRPr="00496A4D">
        <w:rPr>
          <w:lang w:eastAsia="ja-JP"/>
        </w:rPr>
        <w:fldChar w:fldCharType="separate"/>
      </w:r>
      <w:r w:rsidR="00507A67">
        <w:rPr>
          <w:noProof/>
          <w:lang w:eastAsia="ja-JP"/>
        </w:rPr>
        <w:t>118</w:t>
      </w:r>
      <w:r w:rsidRPr="00496A4D">
        <w:rPr>
          <w:lang w:eastAsia="ja-JP"/>
        </w:rPr>
        <w:fldChar w:fldCharType="end"/>
      </w:r>
      <w:r w:rsidRPr="00A52AB8">
        <w:rPr>
          <w:lang w:eastAsia="ja-JP"/>
        </w:rPr>
        <w:t>)</w:t>
      </w:r>
    </w:p>
    <w:p w14:paraId="180715CE" w14:textId="76F49802" w:rsidR="002E02F5" w:rsidRPr="00A52AB8" w:rsidRDefault="002E02F5">
      <w:pPr>
        <w:rPr>
          <w:lang w:eastAsia="ja-JP"/>
        </w:rPr>
      </w:pPr>
      <w:r w:rsidRPr="00A52AB8">
        <w:rPr>
          <w:lang w:eastAsia="ja-JP"/>
        </w:rPr>
        <w:tab/>
      </w:r>
      <w:r w:rsidR="00C86567" w:rsidRPr="00A52AB8">
        <w:rPr>
          <w:lang w:eastAsia="ja-JP"/>
        </w:rPr>
        <w:t>Tile</w:t>
      </w:r>
      <w:r w:rsidRPr="00A52AB8">
        <w:rPr>
          <w:lang w:eastAsia="ja-JP"/>
        </w:rPr>
        <w:t>PatchLoDScaleY</w:t>
      </w:r>
      <w:r w:rsidR="001B6CE6" w:rsidRPr="00A52AB8">
        <w:t>[ </w:t>
      </w:r>
      <w:r w:rsidR="00632FA7" w:rsidRPr="00A52AB8">
        <w:t>tileID</w:t>
      </w:r>
      <w:r w:rsidR="001B6CE6" w:rsidRPr="00A52AB8">
        <w:t> ]</w:t>
      </w:r>
      <w:r w:rsidRPr="00A52AB8">
        <w:rPr>
          <w:lang w:eastAsia="ja-JP"/>
        </w:rPr>
        <w:t>[ p ]</w:t>
      </w:r>
      <w:r w:rsidR="00D47707" w:rsidRPr="00A52AB8">
        <w:rPr>
          <w:lang w:eastAsia="ja-JP"/>
        </w:rPr>
        <w:t> = </w:t>
      </w:r>
      <w:r w:rsidRPr="00A52AB8">
        <w:rPr>
          <w:lang w:eastAsia="ja-JP"/>
        </w:rPr>
        <w:t>refPatchLoDScaleY</w:t>
      </w:r>
      <w:r w:rsidRPr="00A52AB8">
        <w:rPr>
          <w:lang w:eastAsia="ja-JP"/>
        </w:rPr>
        <w:tab/>
        <w:t>(</w:t>
      </w:r>
      <w:r w:rsidRPr="00496A4D">
        <w:rPr>
          <w:lang w:eastAsia="ja-JP"/>
        </w:rPr>
        <w:fldChar w:fldCharType="begin"/>
      </w:r>
      <w:r w:rsidRPr="00A52AB8">
        <w:rPr>
          <w:lang w:eastAsia="ja-JP"/>
        </w:rPr>
        <w:instrText xml:space="preserve"> </w:instrText>
      </w:r>
      <w:r w:rsidR="00646520" w:rsidRPr="00A52AB8">
        <w:rPr>
          <w:lang w:eastAsia="ja-JP"/>
        </w:rPr>
        <w:instrText>SEQ Equation \* ARABIC \n</w:instrText>
      </w:r>
      <w:r w:rsidRPr="00A52AB8">
        <w:rPr>
          <w:lang w:eastAsia="ja-JP"/>
        </w:rPr>
        <w:instrText xml:space="preserve"> </w:instrText>
      </w:r>
      <w:r w:rsidRPr="00496A4D">
        <w:rPr>
          <w:lang w:eastAsia="ja-JP"/>
        </w:rPr>
        <w:fldChar w:fldCharType="separate"/>
      </w:r>
      <w:r w:rsidR="00507A67">
        <w:rPr>
          <w:noProof/>
          <w:lang w:eastAsia="ja-JP"/>
        </w:rPr>
        <w:t>119</w:t>
      </w:r>
      <w:r w:rsidRPr="00496A4D">
        <w:rPr>
          <w:lang w:eastAsia="ja-JP"/>
        </w:rPr>
        <w:fldChar w:fldCharType="end"/>
      </w:r>
      <w:r w:rsidRPr="00A52AB8">
        <w:rPr>
          <w:lang w:eastAsia="ja-JP"/>
        </w:rPr>
        <w:t>)</w:t>
      </w:r>
    </w:p>
    <w:p w14:paraId="62DC3DCD" w14:textId="77777777" w:rsidR="00420AEA" w:rsidRPr="00A52AB8" w:rsidRDefault="00420AEA" w:rsidP="00420AEA">
      <w:pPr>
        <w:rPr>
          <w:lang w:eastAsia="ja-JP"/>
        </w:rPr>
      </w:pPr>
      <w:r w:rsidRPr="00A52AB8">
        <w:rPr>
          <w:lang w:eastAsia="ja-JP"/>
        </w:rPr>
        <w:t>If asps_plr_enabled_flag is equal to 1, the following applies:</w:t>
      </w:r>
    </w:p>
    <w:p w14:paraId="0540D362" w14:textId="56DABFE8" w:rsidR="00420AEA" w:rsidRPr="00A52AB8" w:rsidRDefault="00E869BD">
      <w:pPr>
        <w:rPr>
          <w:lang w:eastAsia="ja-JP"/>
        </w:rPr>
      </w:pPr>
      <w:r w:rsidRPr="00A52AB8">
        <w:tab/>
        <w:t>blockCnt</w:t>
      </w:r>
      <w:r w:rsidR="00D47707" w:rsidRPr="00A52AB8">
        <w:t> = </w:t>
      </w:r>
      <w:r w:rsidRPr="00A52AB8">
        <w:t>BlockCnt( TilePatch2dSizeX[ tileID ][ p ], TilePatch2dSizeY[ tileID ][ p ] )</w:t>
      </w:r>
      <w:r w:rsidRPr="00A52AB8">
        <w:br/>
      </w:r>
      <w:r w:rsidRPr="00A52AB8">
        <w:tab/>
      </w:r>
      <w:r w:rsidR="00420AEA" w:rsidRPr="00A52AB8">
        <w:t>for( m</w:t>
      </w:r>
      <w:r w:rsidR="00D47707" w:rsidRPr="00A52AB8">
        <w:t> = </w:t>
      </w:r>
      <w:r w:rsidR="00420AEA" w:rsidRPr="00A52AB8">
        <w:t>0; m &lt; asps_map_count_minus1 + 1; m</w:t>
      </w:r>
      <w:r w:rsidR="00006CCF" w:rsidRPr="00A52AB8">
        <w:t>++ </w:t>
      </w:r>
      <w:r w:rsidR="008F1F82" w:rsidRPr="00A52AB8">
        <w:t>) {</w:t>
      </w:r>
      <w:r w:rsidR="00420AEA" w:rsidRPr="00A52AB8">
        <w:tab/>
        <w:t>(</w:t>
      </w:r>
      <w:r w:rsidR="00420AEA" w:rsidRPr="00496A4D">
        <w:fldChar w:fldCharType="begin"/>
      </w:r>
      <w:r w:rsidR="00420AEA" w:rsidRPr="00A52AB8">
        <w:instrText xml:space="preserve"> SEQ Equation \* ARABIC \n </w:instrText>
      </w:r>
      <w:r w:rsidR="00420AEA" w:rsidRPr="00496A4D">
        <w:fldChar w:fldCharType="separate"/>
      </w:r>
      <w:r w:rsidR="00507A67">
        <w:rPr>
          <w:noProof/>
        </w:rPr>
        <w:t>120</w:t>
      </w:r>
      <w:r w:rsidR="00420AEA" w:rsidRPr="00496A4D">
        <w:fldChar w:fldCharType="end"/>
      </w:r>
      <w:r w:rsidR="00420AEA" w:rsidRPr="00A52AB8">
        <w:t>)</w:t>
      </w:r>
      <w:r w:rsidR="00420AEA" w:rsidRPr="00A52AB8">
        <w:br/>
      </w:r>
      <w:r w:rsidR="00420AEA" w:rsidRPr="00A52AB8">
        <w:tab/>
      </w:r>
      <w:r w:rsidR="00420AEA" w:rsidRPr="00A52AB8">
        <w:tab/>
        <w:t>if( plri_map_present_flag[ m ]</w:t>
      </w:r>
      <w:r w:rsidR="008768E9" w:rsidRPr="00A52AB8">
        <w:t> </w:t>
      </w:r>
      <w:r w:rsidR="00726AAE" w:rsidRPr="00A52AB8">
        <w:t>==</w:t>
      </w:r>
      <w:r w:rsidR="00D47707" w:rsidRPr="00A52AB8">
        <w:t> </w:t>
      </w:r>
      <w:r w:rsidR="00420AEA" w:rsidRPr="00A52AB8">
        <w:t>1 </w:t>
      </w:r>
      <w:r w:rsidR="008F1F82" w:rsidRPr="00A52AB8">
        <w:t>) {</w:t>
      </w:r>
      <w:r w:rsidR="00420AEA" w:rsidRPr="00A52AB8">
        <w:br/>
      </w:r>
      <w:r w:rsidR="00420AEA" w:rsidRPr="00A52AB8">
        <w:tab/>
      </w:r>
      <w:r w:rsidR="00420AEA" w:rsidRPr="00A52AB8">
        <w:tab/>
      </w:r>
      <w:r w:rsidR="00420AEA" w:rsidRPr="00A52AB8">
        <w:tab/>
        <w:t>TilePatchPlrdLevel</w:t>
      </w:r>
      <w:r w:rsidR="00490929" w:rsidRPr="00A52AB8">
        <w:t>[ tileID ][ p ][ m ]</w:t>
      </w:r>
      <w:r w:rsidR="00D47707" w:rsidRPr="00A52AB8">
        <w:t> = </w:t>
      </w:r>
      <w:r w:rsidR="00420AEA" w:rsidRPr="00A52AB8">
        <w:t>plrd_level</w:t>
      </w:r>
      <w:r w:rsidR="00490929" w:rsidRPr="00A52AB8">
        <w:t>[ tileID ][ p ][ m ]</w:t>
      </w:r>
      <w:r w:rsidRPr="00A52AB8">
        <w:br/>
      </w:r>
      <w:r w:rsidR="00420AEA" w:rsidRPr="00A52AB8">
        <w:tab/>
      </w:r>
      <w:r w:rsidR="00420AEA" w:rsidRPr="00A52AB8">
        <w:tab/>
      </w:r>
      <w:r w:rsidR="00420AEA" w:rsidRPr="00A52AB8">
        <w:tab/>
        <w:t>if(</w:t>
      </w:r>
      <w:r w:rsidRPr="00A52AB8">
        <w:t> </w:t>
      </w:r>
      <w:r w:rsidR="00420AEA" w:rsidRPr="00A52AB8">
        <w:t>TilePatchPlrdLevel</w:t>
      </w:r>
      <w:r w:rsidR="00490929" w:rsidRPr="00A52AB8">
        <w:t>[ tileID ][ p ][ m ]</w:t>
      </w:r>
      <w:r w:rsidR="008768E9" w:rsidRPr="00A52AB8">
        <w:t> </w:t>
      </w:r>
      <w:r w:rsidR="00726AAE" w:rsidRPr="00A52AB8">
        <w:t>==</w:t>
      </w:r>
      <w:r w:rsidR="00D47707" w:rsidRPr="00A52AB8">
        <w:t> </w:t>
      </w:r>
      <w:r w:rsidR="00420AEA" w:rsidRPr="00A52AB8">
        <w:t>0 </w:t>
      </w:r>
      <w:r w:rsidR="008F1F82" w:rsidRPr="00A52AB8">
        <w:t>) {</w:t>
      </w:r>
      <w:r w:rsidRPr="00A52AB8">
        <w:br/>
      </w:r>
      <w:r w:rsidRPr="00A52AB8">
        <w:tab/>
      </w:r>
      <w:r w:rsidRPr="00A52AB8">
        <w:tab/>
      </w:r>
      <w:r w:rsidRPr="00A52AB8">
        <w:tab/>
      </w:r>
      <w:r w:rsidRPr="00A52AB8">
        <w:tab/>
      </w:r>
      <w:r w:rsidR="00420AEA" w:rsidRPr="00A52AB8">
        <w:t>for( j</w:t>
      </w:r>
      <w:r w:rsidR="00D47707" w:rsidRPr="00A52AB8">
        <w:t> = </w:t>
      </w:r>
      <w:r w:rsidR="00420AEA" w:rsidRPr="00A52AB8">
        <w:t>0; j &lt; </w:t>
      </w:r>
      <w:r w:rsidRPr="00A52AB8">
        <w:t>blockCnt; </w:t>
      </w:r>
      <w:r w:rsidR="00420AEA" w:rsidRPr="00A52AB8">
        <w:t>j</w:t>
      </w:r>
      <w:r w:rsidR="00006CCF" w:rsidRPr="00A52AB8">
        <w:t>++ </w:t>
      </w:r>
      <w:r w:rsidR="008F1F82" w:rsidRPr="00A52AB8">
        <w:t>) {</w:t>
      </w:r>
      <w:r w:rsidRPr="00A52AB8">
        <w:br/>
      </w:r>
      <w:r w:rsidRPr="00A52AB8">
        <w:tab/>
      </w:r>
      <w:r w:rsidRPr="00A52AB8">
        <w:tab/>
      </w:r>
      <w:r w:rsidRPr="00A52AB8">
        <w:tab/>
      </w:r>
      <w:r w:rsidRPr="00A52AB8">
        <w:tab/>
      </w:r>
      <w:r w:rsidRPr="00A52AB8">
        <w:tab/>
      </w:r>
      <w:r w:rsidR="00420AEA" w:rsidRPr="00A52AB8">
        <w:t>TilePatchPlrdPresentBlockFlag</w:t>
      </w:r>
      <w:r w:rsidR="00490929" w:rsidRPr="00A52AB8">
        <w:t>[ tileID ][ p ][ m ]</w:t>
      </w:r>
      <w:r w:rsidR="00420AEA" w:rsidRPr="00A52AB8">
        <w:t>[ j ] =</w:t>
      </w:r>
      <w:r w:rsidR="00C61E38" w:rsidRPr="00A52AB8">
        <w:br/>
      </w:r>
      <w:r w:rsidR="00420AEA" w:rsidRPr="00A52AB8">
        <w:tab/>
      </w:r>
      <w:r w:rsidR="00420AEA" w:rsidRPr="00A52AB8">
        <w:tab/>
      </w:r>
      <w:r w:rsidR="00420AEA" w:rsidRPr="00A52AB8">
        <w:tab/>
      </w:r>
      <w:r w:rsidR="00420AEA" w:rsidRPr="00A52AB8">
        <w:tab/>
      </w:r>
      <w:r w:rsidR="00420AEA" w:rsidRPr="00A52AB8">
        <w:tab/>
      </w:r>
      <w:r w:rsidR="00420AEA" w:rsidRPr="00A52AB8">
        <w:tab/>
        <w:t>plrd_present_block_flag</w:t>
      </w:r>
      <w:r w:rsidR="00490929" w:rsidRPr="00A52AB8">
        <w:t>[ tileID ][ p ][ m ]</w:t>
      </w:r>
      <w:r w:rsidR="00420AEA" w:rsidRPr="00A52AB8">
        <w:t>[ j ]</w:t>
      </w:r>
      <w:r w:rsidRPr="00A52AB8">
        <w:br/>
      </w:r>
      <w:r w:rsidRPr="00A52AB8">
        <w:tab/>
      </w:r>
      <w:r w:rsidRPr="00A52AB8">
        <w:tab/>
      </w:r>
      <w:r w:rsidRPr="00A52AB8">
        <w:tab/>
      </w:r>
      <w:r w:rsidRPr="00A52AB8">
        <w:tab/>
      </w:r>
      <w:r w:rsidRPr="00A52AB8">
        <w:tab/>
      </w:r>
      <w:r w:rsidR="00420AEA" w:rsidRPr="00A52AB8">
        <w:t>if( TilePatchPlrdPresentBlockFlag</w:t>
      </w:r>
      <w:r w:rsidR="00490929" w:rsidRPr="00A52AB8">
        <w:t>[ tileID ][ p ][ m ]</w:t>
      </w:r>
      <w:r w:rsidR="00420AEA" w:rsidRPr="00A52AB8">
        <w:t>[ j ]</w:t>
      </w:r>
      <w:r w:rsidR="008768E9" w:rsidRPr="00A52AB8">
        <w:t> </w:t>
      </w:r>
      <w:r w:rsidR="00726AAE" w:rsidRPr="00A52AB8">
        <w:t>==</w:t>
      </w:r>
      <w:r w:rsidR="00D47707" w:rsidRPr="00A52AB8">
        <w:t> </w:t>
      </w:r>
      <w:r w:rsidR="00420AEA" w:rsidRPr="00A52AB8">
        <w:t>1 )</w:t>
      </w:r>
      <w:r w:rsidRPr="00A52AB8">
        <w:br/>
      </w:r>
      <w:r w:rsidRPr="00A52AB8">
        <w:tab/>
      </w:r>
      <w:r w:rsidRPr="00A52AB8">
        <w:tab/>
      </w:r>
      <w:r w:rsidRPr="00A52AB8">
        <w:tab/>
      </w:r>
      <w:r w:rsidRPr="00A52AB8">
        <w:tab/>
      </w:r>
      <w:r w:rsidRPr="00A52AB8">
        <w:tab/>
      </w:r>
      <w:r w:rsidRPr="00A52AB8">
        <w:tab/>
      </w:r>
      <w:r w:rsidR="00420AEA" w:rsidRPr="00A52AB8">
        <w:t>TilePatchPlrdBlockModeMinus1</w:t>
      </w:r>
      <w:r w:rsidR="00490929" w:rsidRPr="00A52AB8">
        <w:t>[ tileID ][ p ][ m ]</w:t>
      </w:r>
      <w:r w:rsidR="00420AEA" w:rsidRPr="00A52AB8">
        <w:t>[ j ] =</w:t>
      </w:r>
      <w:r w:rsidR="008A2741" w:rsidRPr="00A52AB8">
        <w:br/>
      </w:r>
      <w:r w:rsidR="008A2741" w:rsidRPr="00A52AB8">
        <w:tab/>
      </w:r>
      <w:r w:rsidR="00420AEA" w:rsidRPr="00A52AB8">
        <w:tab/>
      </w:r>
      <w:r w:rsidR="00420AEA" w:rsidRPr="00A52AB8">
        <w:tab/>
      </w:r>
      <w:r w:rsidR="00420AEA" w:rsidRPr="00A52AB8">
        <w:tab/>
      </w:r>
      <w:r w:rsidR="00420AEA" w:rsidRPr="00A52AB8">
        <w:tab/>
      </w:r>
      <w:r w:rsidR="00420AEA" w:rsidRPr="00A52AB8">
        <w:tab/>
      </w:r>
      <w:r w:rsidR="00420AEA" w:rsidRPr="00A52AB8">
        <w:tab/>
        <w:t>plrd_block_mode_minus1</w:t>
      </w:r>
      <w:r w:rsidR="00490929" w:rsidRPr="00A52AB8">
        <w:t>[ tileID ][ p ][ m ]</w:t>
      </w:r>
      <w:r w:rsidR="00420AEA" w:rsidRPr="00A52AB8">
        <w:t>[ j ]</w:t>
      </w:r>
      <w:r w:rsidR="00420AEA" w:rsidRPr="00A52AB8">
        <w:br/>
      </w:r>
      <w:r w:rsidR="00420AEA" w:rsidRPr="00A52AB8">
        <w:tab/>
      </w:r>
      <w:r w:rsidR="00420AEA" w:rsidRPr="00A52AB8">
        <w:tab/>
      </w:r>
      <w:r w:rsidR="00420AEA" w:rsidRPr="00A52AB8">
        <w:tab/>
      </w:r>
      <w:r w:rsidR="00420AEA" w:rsidRPr="00A52AB8">
        <w:tab/>
        <w:t>}</w:t>
      </w:r>
      <w:r w:rsidR="00420AEA" w:rsidRPr="00A52AB8">
        <w:br/>
      </w:r>
      <w:r w:rsidR="00420AEA" w:rsidRPr="00A52AB8">
        <w:tab/>
      </w:r>
      <w:r w:rsidR="00420AEA" w:rsidRPr="00A52AB8">
        <w:tab/>
      </w:r>
      <w:r w:rsidR="00420AEA" w:rsidRPr="00A52AB8">
        <w:tab/>
      </w:r>
      <w:r w:rsidR="0023721F" w:rsidRPr="00A52AB8">
        <w:t>} else {</w:t>
      </w:r>
      <w:r w:rsidRPr="00A52AB8">
        <w:br/>
      </w:r>
      <w:r w:rsidR="00420AEA" w:rsidRPr="00A52AB8">
        <w:tab/>
      </w:r>
      <w:r w:rsidRPr="00A52AB8">
        <w:tab/>
      </w:r>
      <w:r w:rsidRPr="00A52AB8">
        <w:tab/>
      </w:r>
      <w:r w:rsidRPr="00A52AB8">
        <w:tab/>
      </w:r>
      <w:r w:rsidR="00420AEA" w:rsidRPr="00A52AB8">
        <w:t>TilePatchPlrdPresentFlag</w:t>
      </w:r>
      <w:r w:rsidR="00490929" w:rsidRPr="00A52AB8">
        <w:t>[ tileID ][ p ][ m ]</w:t>
      </w:r>
      <w:r w:rsidR="00D47707" w:rsidRPr="00A52AB8">
        <w:t> = </w:t>
      </w:r>
      <w:r w:rsidR="00420AEA" w:rsidRPr="00A52AB8">
        <w:t>plrd_present_flag</w:t>
      </w:r>
      <w:r w:rsidR="00490929" w:rsidRPr="00A52AB8">
        <w:t>[ tileID ][ p ][ m ]</w:t>
      </w:r>
      <w:r w:rsidRPr="00A52AB8">
        <w:br/>
      </w:r>
      <w:r w:rsidRPr="00A52AB8">
        <w:tab/>
      </w:r>
      <w:r w:rsidRPr="00A52AB8">
        <w:tab/>
      </w:r>
      <w:r w:rsidRPr="00A52AB8">
        <w:tab/>
      </w:r>
      <w:r w:rsidRPr="00A52AB8">
        <w:tab/>
      </w:r>
      <w:r w:rsidR="00420AEA" w:rsidRPr="00A52AB8">
        <w:t>if( TilePatchPlrdPresentFlag</w:t>
      </w:r>
      <w:r w:rsidR="00490929" w:rsidRPr="00A52AB8">
        <w:t>[ tileID ][ p ][ m ]</w:t>
      </w:r>
      <w:r w:rsidR="008768E9" w:rsidRPr="00A52AB8">
        <w:t> </w:t>
      </w:r>
      <w:r w:rsidR="00726AAE" w:rsidRPr="00A52AB8">
        <w:t>==</w:t>
      </w:r>
      <w:r w:rsidR="00D47707" w:rsidRPr="00A52AB8">
        <w:t> </w:t>
      </w:r>
      <w:r w:rsidR="00420AEA" w:rsidRPr="00A52AB8">
        <w:t>1 )</w:t>
      </w:r>
      <w:r w:rsidRPr="00A52AB8">
        <w:br/>
      </w:r>
      <w:r w:rsidRPr="00A52AB8">
        <w:tab/>
      </w:r>
      <w:r w:rsidRPr="00A52AB8">
        <w:tab/>
      </w:r>
      <w:r w:rsidRPr="00A52AB8">
        <w:tab/>
      </w:r>
      <w:r w:rsidRPr="00A52AB8">
        <w:tab/>
      </w:r>
      <w:r w:rsidRPr="00A52AB8">
        <w:tab/>
      </w:r>
      <w:r w:rsidR="00420AEA" w:rsidRPr="00A52AB8">
        <w:t>TilePatchPlrdModeMinus1</w:t>
      </w:r>
      <w:r w:rsidR="00490929" w:rsidRPr="00A52AB8">
        <w:t>[ tileID ][ p ][ m ]</w:t>
      </w:r>
      <w:r w:rsidR="00D47707" w:rsidRPr="00A52AB8">
        <w:t> = </w:t>
      </w:r>
      <w:r w:rsidR="00420AEA" w:rsidRPr="00A52AB8">
        <w:t>plrd_mode_minus1</w:t>
      </w:r>
      <w:r w:rsidR="00490929" w:rsidRPr="00A52AB8">
        <w:t>[ tileID ][ p ][ m ]</w:t>
      </w:r>
      <w:r w:rsidR="00420AEA" w:rsidRPr="00A52AB8">
        <w:rPr>
          <w:lang w:eastAsia="ja-JP"/>
        </w:rPr>
        <w:br/>
      </w:r>
      <w:r w:rsidR="00420AEA" w:rsidRPr="00A52AB8">
        <w:tab/>
      </w:r>
      <w:r w:rsidR="00420AEA" w:rsidRPr="00A52AB8">
        <w:tab/>
      </w:r>
      <w:r w:rsidRPr="00A52AB8">
        <w:tab/>
      </w:r>
      <w:r w:rsidR="00420AEA" w:rsidRPr="00A52AB8">
        <w:t>}</w:t>
      </w:r>
      <w:r w:rsidR="00420AEA" w:rsidRPr="00A52AB8">
        <w:br/>
      </w:r>
      <w:r w:rsidR="00420AEA" w:rsidRPr="00A52AB8">
        <w:tab/>
      </w:r>
      <w:r w:rsidRPr="00A52AB8">
        <w:tab/>
      </w:r>
      <w:r w:rsidR="00420AEA" w:rsidRPr="00A52AB8">
        <w:t>}</w:t>
      </w:r>
      <w:r w:rsidRPr="00A52AB8">
        <w:br/>
      </w:r>
      <w:r w:rsidRPr="00A52AB8">
        <w:tab/>
        <w:t>}</w:t>
      </w:r>
    </w:p>
    <w:p w14:paraId="22FA1039" w14:textId="77777777" w:rsidR="0006150F" w:rsidRPr="00A52AB8" w:rsidRDefault="00D84D60">
      <w:pPr>
        <w:pStyle w:val="Heading5"/>
      </w:pPr>
      <w:bookmarkStart w:id="1513" w:name="_Ref7687091"/>
      <w:bookmarkStart w:id="1514" w:name="_Ref46248317"/>
      <w:r w:rsidRPr="00A52AB8">
        <w:t>Derivation of inter reference patch parameters</w:t>
      </w:r>
      <w:bookmarkEnd w:id="1513"/>
      <w:bookmarkEnd w:id="1514"/>
    </w:p>
    <w:p w14:paraId="6E4D2855" w14:textId="77777777" w:rsidR="00C135C5" w:rsidRPr="00A52AB8" w:rsidRDefault="00532FA1" w:rsidP="000D70B2">
      <w:pPr>
        <w:pStyle w:val="Heading6"/>
      </w:pPr>
      <w:bookmarkStart w:id="1515" w:name="_Ref46926089"/>
      <w:r w:rsidRPr="00A52AB8">
        <w:t>Gener</w:t>
      </w:r>
      <w:r w:rsidR="00861205" w:rsidRPr="00A52AB8">
        <w:t>al derivation of inter reference patch parameters</w:t>
      </w:r>
      <w:bookmarkEnd w:id="1515"/>
    </w:p>
    <w:p w14:paraId="2111259D" w14:textId="18948B5E" w:rsidR="00461FC6" w:rsidRPr="00A52AB8" w:rsidRDefault="00461FC6" w:rsidP="00461FC6">
      <w:pPr>
        <w:tabs>
          <w:tab w:val="clear" w:pos="403"/>
        </w:tabs>
        <w:spacing w:before="120" w:after="120" w:line="240" w:lineRule="auto"/>
        <w:rPr>
          <w:color w:val="000000" w:themeColor="text1"/>
        </w:rPr>
      </w:pPr>
      <w:r w:rsidRPr="00A52AB8">
        <w:t xml:space="preserve">Inputs to this process are </w:t>
      </w:r>
      <w:r w:rsidRPr="00A52AB8">
        <w:rPr>
          <w:color w:val="000000" w:themeColor="text1"/>
        </w:rPr>
        <w:t>the atlas frame reference index</w:t>
      </w:r>
      <w:r w:rsidR="00060230" w:rsidRPr="00A52AB8">
        <w:rPr>
          <w:color w:val="000000" w:themeColor="text1"/>
        </w:rPr>
        <w:t>,</w:t>
      </w:r>
      <w:r w:rsidRPr="00A52AB8">
        <w:rPr>
          <w:color w:val="000000" w:themeColor="text1"/>
        </w:rPr>
        <w:t xml:space="preserve"> refIdx</w:t>
      </w:r>
      <w:r w:rsidR="00060230" w:rsidRPr="00A52AB8">
        <w:rPr>
          <w:color w:val="000000" w:themeColor="text1"/>
        </w:rPr>
        <w:t>,</w:t>
      </w:r>
      <w:r w:rsidRPr="00A52AB8">
        <w:rPr>
          <w:color w:val="000000" w:themeColor="text1"/>
        </w:rPr>
        <w:t xml:space="preserve"> </w:t>
      </w:r>
      <w:r w:rsidR="00060230" w:rsidRPr="00A52AB8">
        <w:rPr>
          <w:color w:val="000000" w:themeColor="text1"/>
        </w:rPr>
        <w:t>the</w:t>
      </w:r>
      <w:r w:rsidRPr="00A52AB8">
        <w:rPr>
          <w:color w:val="000000" w:themeColor="text1"/>
        </w:rPr>
        <w:t xml:space="preserve"> patch reference index, </w:t>
      </w:r>
      <w:r w:rsidR="00300192" w:rsidRPr="00A52AB8">
        <w:rPr>
          <w:color w:val="000000" w:themeColor="text1"/>
        </w:rPr>
        <w:t>refPatchIdx</w:t>
      </w:r>
      <w:r w:rsidRPr="00A52AB8">
        <w:rPr>
          <w:color w:val="000000" w:themeColor="text1"/>
        </w:rPr>
        <w:t xml:space="preserve">, and the current tile ID, </w:t>
      </w:r>
      <w:r w:rsidR="00632FA7" w:rsidRPr="00A52AB8">
        <w:rPr>
          <w:color w:val="000000" w:themeColor="text1"/>
        </w:rPr>
        <w:t>tileID</w:t>
      </w:r>
      <w:r w:rsidRPr="00A52AB8">
        <w:rPr>
          <w:color w:val="000000" w:themeColor="text1"/>
        </w:rPr>
        <w:t>.</w:t>
      </w:r>
    </w:p>
    <w:p w14:paraId="29DCBEB2" w14:textId="19641F28" w:rsidR="00461FC6" w:rsidRPr="00A52AB8" w:rsidRDefault="00461FC6" w:rsidP="00461FC6">
      <w:pPr>
        <w:rPr>
          <w:color w:val="000000" w:themeColor="text1"/>
        </w:rPr>
      </w:pPr>
      <w:r w:rsidRPr="00A52AB8">
        <w:rPr>
          <w:color w:val="000000" w:themeColor="text1"/>
        </w:rPr>
        <w:t xml:space="preserve">Outputs to this process are the variables </w:t>
      </w:r>
      <w:r w:rsidR="00440C68" w:rsidRPr="00A52AB8">
        <w:rPr>
          <w:color w:val="000000" w:themeColor="text1"/>
        </w:rPr>
        <w:t>refPatchType</w:t>
      </w:r>
      <w:r w:rsidRPr="00A52AB8">
        <w:rPr>
          <w:color w:val="000000" w:themeColor="text1"/>
        </w:rPr>
        <w:t>, ref</w:t>
      </w:r>
      <w:r w:rsidRPr="00A52AB8">
        <w:rPr>
          <w:lang w:eastAsia="ja-JP"/>
        </w:rPr>
        <w:t>Patch2dPosX, refPatch2dPosY, refPatch2dSizeX, refPatch2dSizeY, refPatch</w:t>
      </w:r>
      <w:r w:rsidR="001A4D59" w:rsidRPr="00A52AB8">
        <w:rPr>
          <w:lang w:eastAsia="ja-JP"/>
        </w:rPr>
        <w:t>3dOffsetU</w:t>
      </w:r>
      <w:r w:rsidRPr="00A52AB8">
        <w:rPr>
          <w:lang w:eastAsia="ja-JP"/>
        </w:rPr>
        <w:t>, refPatch</w:t>
      </w:r>
      <w:r w:rsidR="001A4D59" w:rsidRPr="00A52AB8">
        <w:rPr>
          <w:lang w:eastAsia="ja-JP"/>
        </w:rPr>
        <w:t>3dOffsetV</w:t>
      </w:r>
      <w:r w:rsidRPr="00A52AB8">
        <w:rPr>
          <w:lang w:eastAsia="ja-JP"/>
        </w:rPr>
        <w:t>, refPatch</w:t>
      </w:r>
      <w:r w:rsidR="001A4D59" w:rsidRPr="00A52AB8">
        <w:rPr>
          <w:lang w:eastAsia="ja-JP"/>
        </w:rPr>
        <w:t>3dOffsetD</w:t>
      </w:r>
      <w:r w:rsidRPr="00A52AB8">
        <w:rPr>
          <w:lang w:eastAsia="ja-JP"/>
        </w:rPr>
        <w:t xml:space="preserve">, </w:t>
      </w:r>
      <w:r w:rsidR="00656814" w:rsidRPr="00A52AB8">
        <w:rPr>
          <w:lang w:eastAsia="ja-JP"/>
        </w:rPr>
        <w:t>refPatch</w:t>
      </w:r>
      <w:r w:rsidR="001A4D59" w:rsidRPr="00A52AB8">
        <w:rPr>
          <w:lang w:eastAsia="ja-JP"/>
        </w:rPr>
        <w:t>3dRangeD</w:t>
      </w:r>
      <w:r w:rsidR="00C71CA5" w:rsidRPr="00A52AB8">
        <w:rPr>
          <w:lang w:eastAsia="ja-JP"/>
        </w:rPr>
        <w:t xml:space="preserve">, </w:t>
      </w:r>
      <w:r w:rsidR="00F832AB" w:rsidRPr="00A52AB8">
        <w:rPr>
          <w:lang w:eastAsia="ja-JP"/>
        </w:rPr>
        <w:t xml:space="preserve">refPatchProjectionID, </w:t>
      </w:r>
      <w:r w:rsidRPr="00A52AB8">
        <w:rPr>
          <w:lang w:eastAsia="ja-JP"/>
        </w:rPr>
        <w:t>refPatchOrientationIndex, refPatchLoDScaleX, refPachLoDScaleY</w:t>
      </w:r>
      <w:r w:rsidR="000A2D5F" w:rsidRPr="00A52AB8">
        <w:rPr>
          <w:lang w:eastAsia="ja-JP"/>
        </w:rPr>
        <w:t>, refPatchRawPoints</w:t>
      </w:r>
      <w:r w:rsidR="00501695" w:rsidRPr="00A52AB8">
        <w:rPr>
          <w:lang w:eastAsia="ja-JP"/>
        </w:rPr>
        <w:t xml:space="preserve">, </w:t>
      </w:r>
      <w:r w:rsidR="008A2741" w:rsidRPr="00A52AB8">
        <w:rPr>
          <w:lang w:eastAsia="ja-JP"/>
        </w:rPr>
        <w:t xml:space="preserve">and </w:t>
      </w:r>
      <w:r w:rsidR="00501695" w:rsidRPr="00A52AB8">
        <w:rPr>
          <w:color w:val="000000" w:themeColor="text1"/>
        </w:rPr>
        <w:t>refPatchEomPatchCount</w:t>
      </w:r>
      <w:r w:rsidR="007639D9" w:rsidRPr="00A52AB8">
        <w:rPr>
          <w:color w:val="000000" w:themeColor="text1"/>
        </w:rPr>
        <w:t>,</w:t>
      </w:r>
      <w:r w:rsidR="005207D2" w:rsidRPr="00A52AB8">
        <w:rPr>
          <w:color w:val="000000" w:themeColor="text1"/>
        </w:rPr>
        <w:t xml:space="preserve"> </w:t>
      </w:r>
      <w:r w:rsidR="008A2741" w:rsidRPr="00A52AB8">
        <w:rPr>
          <w:color w:val="000000" w:themeColor="text1"/>
        </w:rPr>
        <w:t xml:space="preserve">the </w:t>
      </w:r>
      <w:r w:rsidR="00F832AB" w:rsidRPr="00A52AB8">
        <w:rPr>
          <w:color w:val="000000" w:themeColor="text1"/>
        </w:rPr>
        <w:t xml:space="preserve">1D </w:t>
      </w:r>
      <w:r w:rsidR="005207D2" w:rsidRPr="00A52AB8">
        <w:rPr>
          <w:color w:val="000000" w:themeColor="text1"/>
        </w:rPr>
        <w:t>array</w:t>
      </w:r>
      <w:r w:rsidR="008A2741" w:rsidRPr="00A52AB8">
        <w:rPr>
          <w:color w:val="000000" w:themeColor="text1"/>
        </w:rPr>
        <w:t>s</w:t>
      </w:r>
      <w:r w:rsidR="005207D2" w:rsidRPr="00A52AB8">
        <w:rPr>
          <w:color w:val="000000" w:themeColor="text1"/>
        </w:rPr>
        <w:t xml:space="preserve"> </w:t>
      </w:r>
      <w:r w:rsidR="005207D2" w:rsidRPr="00A52AB8">
        <w:t>refP</w:t>
      </w:r>
      <w:r w:rsidR="005207D2" w:rsidRPr="00A52AB8">
        <w:rPr>
          <w:color w:val="000000" w:themeColor="text1"/>
        </w:rPr>
        <w:t>atch</w:t>
      </w:r>
      <w:r w:rsidR="00457B67" w:rsidRPr="00A52AB8">
        <w:rPr>
          <w:color w:val="000000" w:themeColor="text1"/>
        </w:rPr>
        <w:t>AssociatedPatchIndex</w:t>
      </w:r>
      <w:r w:rsidR="005207D2" w:rsidRPr="00A52AB8">
        <w:rPr>
          <w:color w:val="000000" w:themeColor="text1"/>
        </w:rPr>
        <w:t xml:space="preserve"> and </w:t>
      </w:r>
      <w:r w:rsidR="005207D2" w:rsidRPr="00A52AB8">
        <w:rPr>
          <w:lang w:eastAsia="ja-JP"/>
        </w:rPr>
        <w:t>ref</w:t>
      </w:r>
      <w:r w:rsidR="005207D2" w:rsidRPr="00A52AB8">
        <w:rPr>
          <w:color w:val="000000" w:themeColor="text1"/>
        </w:rPr>
        <w:t>PatchEomPoints</w:t>
      </w:r>
      <w:r w:rsidR="00F832AB" w:rsidRPr="00A52AB8">
        <w:rPr>
          <w:color w:val="000000" w:themeColor="text1"/>
        </w:rPr>
        <w:t xml:space="preserve">, </w:t>
      </w:r>
      <w:r w:rsidR="00F832AB" w:rsidRPr="00A52AB8">
        <w:rPr>
          <w:lang w:eastAsia="ja-JP"/>
        </w:rPr>
        <w:t>and</w:t>
      </w:r>
      <w:r w:rsidR="008A2741" w:rsidRPr="00A52AB8">
        <w:rPr>
          <w:lang w:eastAsia="ja-JP"/>
        </w:rPr>
        <w:t>,</w:t>
      </w:r>
      <w:r w:rsidR="00F832AB" w:rsidRPr="00A52AB8">
        <w:rPr>
          <w:lang w:eastAsia="ja-JP"/>
        </w:rPr>
        <w:t xml:space="preserve"> if asps_plr_enabled_flag is equal to 1, the 1D arrays </w:t>
      </w:r>
      <w:r w:rsidR="00F832AB" w:rsidRPr="00A52AB8">
        <w:rPr>
          <w:color w:val="000000" w:themeColor="text1"/>
        </w:rPr>
        <w:t>refPatchPlrdLevel, refPatchPlrdPresentFlag, and refPlrdModeMinus1, and the 2D arrays refPatchPlrdPresentBlockFlag and refPatchPlrdBlockModeMinus1</w:t>
      </w:r>
      <w:r w:rsidR="00F832AB" w:rsidRPr="00A52AB8">
        <w:rPr>
          <w:lang w:eastAsia="ja-JP"/>
        </w:rPr>
        <w:t>.</w:t>
      </w:r>
    </w:p>
    <w:p w14:paraId="148C7128" w14:textId="77777777" w:rsidR="00461FC6" w:rsidRPr="00A52AB8" w:rsidRDefault="00461FC6" w:rsidP="00461FC6">
      <w:pPr>
        <w:spacing w:before="120" w:after="120"/>
        <w:rPr>
          <w:color w:val="000000" w:themeColor="text1"/>
        </w:rPr>
      </w:pPr>
      <w:r w:rsidRPr="00A52AB8">
        <w:rPr>
          <w:color w:val="000000" w:themeColor="text1"/>
        </w:rPr>
        <w:t xml:space="preserve">First, the patch, refPatch, </w:t>
      </w:r>
      <w:r w:rsidR="0094688D" w:rsidRPr="00A52AB8">
        <w:rPr>
          <w:color w:val="000000" w:themeColor="text1"/>
        </w:rPr>
        <w:t xml:space="preserve">is determined </w:t>
      </w:r>
      <w:r w:rsidRPr="00A52AB8">
        <w:rPr>
          <w:color w:val="000000" w:themeColor="text1"/>
        </w:rPr>
        <w:t xml:space="preserve">that has an index equal to refPatchIdx in the tile with tile ID equal to </w:t>
      </w:r>
      <w:r w:rsidR="00632FA7" w:rsidRPr="00A52AB8">
        <w:rPr>
          <w:color w:val="000000" w:themeColor="text1"/>
        </w:rPr>
        <w:t>tileID</w:t>
      </w:r>
      <w:r w:rsidRPr="00A52AB8">
        <w:rPr>
          <w:color w:val="000000" w:themeColor="text1"/>
        </w:rPr>
        <w:t xml:space="preserve"> of the </w:t>
      </w:r>
      <w:r w:rsidR="00D61070" w:rsidRPr="00A52AB8">
        <w:rPr>
          <w:color w:val="000000" w:themeColor="text1"/>
        </w:rPr>
        <w:t>( </w:t>
      </w:r>
      <w:r w:rsidRPr="00A52AB8">
        <w:rPr>
          <w:color w:val="000000" w:themeColor="text1"/>
        </w:rPr>
        <w:t>refIdx</w:t>
      </w:r>
      <w:r w:rsidR="00D61070" w:rsidRPr="00A52AB8">
        <w:rPr>
          <w:color w:val="000000" w:themeColor="text1"/>
        </w:rPr>
        <w:t> + 1 )</w:t>
      </w:r>
      <w:r w:rsidRPr="00A52AB8">
        <w:rPr>
          <w:color w:val="000000" w:themeColor="text1"/>
        </w:rPr>
        <w:t>-th entry of the reference atlas frame list RefAtlasFrmList</w:t>
      </w:r>
      <w:r w:rsidR="00D61070" w:rsidRPr="00A52AB8">
        <w:rPr>
          <w:color w:val="000000" w:themeColor="text1"/>
        </w:rPr>
        <w:t>, RefAtlasFrmList[ refIdx ]</w:t>
      </w:r>
      <w:r w:rsidRPr="00A52AB8">
        <w:rPr>
          <w:color w:val="000000" w:themeColor="text1"/>
        </w:rPr>
        <w:t>.</w:t>
      </w:r>
    </w:p>
    <w:p w14:paraId="6ADDD1BD" w14:textId="77777777" w:rsidR="00461FC6" w:rsidRPr="00A52AB8" w:rsidRDefault="00461FC6" w:rsidP="00461FC6">
      <w:pPr>
        <w:spacing w:before="120" w:after="120"/>
        <w:rPr>
          <w:color w:val="000000" w:themeColor="text1"/>
        </w:rPr>
      </w:pPr>
      <w:r w:rsidRPr="00A52AB8">
        <w:rPr>
          <w:color w:val="000000" w:themeColor="text1"/>
        </w:rPr>
        <w:t>Then, the outputs of this process are derived based on the associated parameters of the patch, refPatch as follows:</w:t>
      </w:r>
    </w:p>
    <w:p w14:paraId="5AC42111" w14:textId="6E4394D1" w:rsidR="00A916A4" w:rsidRPr="00A52AB8" w:rsidRDefault="00DF2034" w:rsidP="00A916A4">
      <w:pPr>
        <w:rPr>
          <w:lang w:eastAsia="ja-JP"/>
        </w:rPr>
      </w:pPr>
      <w:r w:rsidRPr="00A52AB8">
        <w:rPr>
          <w:lang w:eastAsia="ja-JP"/>
        </w:rPr>
        <w:tab/>
      </w:r>
      <w:r w:rsidR="00440C68" w:rsidRPr="00A52AB8">
        <w:rPr>
          <w:lang w:eastAsia="ja-JP"/>
        </w:rPr>
        <w:t>refPatchType</w:t>
      </w:r>
      <w:r w:rsidR="00D47707" w:rsidRPr="00A52AB8">
        <w:rPr>
          <w:lang w:eastAsia="ja-JP"/>
        </w:rPr>
        <w:t> = </w:t>
      </w:r>
      <w:r w:rsidR="00B47991" w:rsidRPr="00A52AB8">
        <w:rPr>
          <w:lang w:eastAsia="ja-JP"/>
        </w:rPr>
        <w:t>Tile</w:t>
      </w:r>
      <w:r w:rsidR="00C3373C" w:rsidRPr="00A52AB8">
        <w:rPr>
          <w:lang w:eastAsia="ja-JP"/>
        </w:rPr>
        <w:t>PatchType</w:t>
      </w:r>
      <w:r w:rsidRPr="00A52AB8">
        <w:rPr>
          <w:lang w:eastAsia="ja-JP"/>
        </w:rPr>
        <w:t>[ </w:t>
      </w:r>
      <w:r w:rsidR="00632FA7" w:rsidRPr="00A52AB8">
        <w:rPr>
          <w:lang w:eastAsia="ja-JP"/>
        </w:rPr>
        <w:t>tileID</w:t>
      </w:r>
      <w:r w:rsidRPr="00A52AB8">
        <w:rPr>
          <w:lang w:eastAsia="ja-JP"/>
        </w:rPr>
        <w:t> ][ refPatchIdx ]</w:t>
      </w:r>
      <w:r w:rsidR="00A916A4" w:rsidRPr="00A52AB8">
        <w:rPr>
          <w:lang w:eastAsia="ja-JP"/>
        </w:rPr>
        <w:tab/>
        <w:t>(</w:t>
      </w:r>
      <w:r w:rsidR="00A916A4" w:rsidRPr="00496A4D">
        <w:rPr>
          <w:lang w:eastAsia="ja-JP"/>
        </w:rPr>
        <w:fldChar w:fldCharType="begin"/>
      </w:r>
      <w:r w:rsidR="00A916A4" w:rsidRPr="00A52AB8">
        <w:rPr>
          <w:lang w:eastAsia="ja-JP"/>
        </w:rPr>
        <w:instrText xml:space="preserve"> SEQ Equation \* ARABIC \n </w:instrText>
      </w:r>
      <w:r w:rsidR="00A916A4" w:rsidRPr="00496A4D">
        <w:rPr>
          <w:lang w:eastAsia="ja-JP"/>
        </w:rPr>
        <w:fldChar w:fldCharType="separate"/>
      </w:r>
      <w:r w:rsidR="00507A67">
        <w:rPr>
          <w:noProof/>
          <w:lang w:eastAsia="ja-JP"/>
        </w:rPr>
        <w:t>121</w:t>
      </w:r>
      <w:r w:rsidR="00A916A4" w:rsidRPr="00496A4D">
        <w:rPr>
          <w:lang w:eastAsia="ja-JP"/>
        </w:rPr>
        <w:fldChar w:fldCharType="end"/>
      </w:r>
      <w:r w:rsidR="00A916A4" w:rsidRPr="00A52AB8">
        <w:rPr>
          <w:lang w:eastAsia="ja-JP"/>
        </w:rPr>
        <w:t>)</w:t>
      </w:r>
    </w:p>
    <w:p w14:paraId="3135681C" w14:textId="0724D73C" w:rsidR="0031018F" w:rsidRPr="00A52AB8" w:rsidRDefault="0031018F">
      <w:pPr>
        <w:rPr>
          <w:lang w:eastAsia="ja-JP"/>
        </w:rPr>
      </w:pPr>
      <w:r w:rsidRPr="00A52AB8">
        <w:rPr>
          <w:lang w:eastAsia="ja-JP"/>
        </w:rPr>
        <w:tab/>
        <w:t>refPatchInAuxVideo</w:t>
      </w:r>
      <w:r w:rsidR="00D47707" w:rsidRPr="00A52AB8">
        <w:rPr>
          <w:lang w:eastAsia="ja-JP"/>
        </w:rPr>
        <w:t> = </w:t>
      </w:r>
      <w:r w:rsidRPr="00A52AB8">
        <w:rPr>
          <w:lang w:eastAsia="ja-JP"/>
        </w:rPr>
        <w:t>TilePatchInAuxVideo[ tileID ][ refPatchIdx ]</w:t>
      </w:r>
      <w:r w:rsidRPr="00A52AB8">
        <w:rPr>
          <w:lang w:eastAsia="ja-JP"/>
        </w:rPr>
        <w:tab/>
        <w:t>(</w:t>
      </w:r>
      <w:r w:rsidRPr="00496A4D">
        <w:rPr>
          <w:lang w:eastAsia="ja-JP"/>
        </w:rPr>
        <w:fldChar w:fldCharType="begin"/>
      </w:r>
      <w:r w:rsidRPr="00A52AB8">
        <w:rPr>
          <w:lang w:eastAsia="ja-JP"/>
        </w:rPr>
        <w:instrText xml:space="preserve"> SEQ Equation \* ARABIC \n </w:instrText>
      </w:r>
      <w:r w:rsidRPr="00496A4D">
        <w:rPr>
          <w:lang w:eastAsia="ja-JP"/>
        </w:rPr>
        <w:fldChar w:fldCharType="separate"/>
      </w:r>
      <w:r w:rsidR="00507A67">
        <w:rPr>
          <w:noProof/>
          <w:lang w:eastAsia="ja-JP"/>
        </w:rPr>
        <w:t>122</w:t>
      </w:r>
      <w:r w:rsidRPr="00496A4D">
        <w:rPr>
          <w:lang w:eastAsia="ja-JP"/>
        </w:rPr>
        <w:fldChar w:fldCharType="end"/>
      </w:r>
      <w:r w:rsidRPr="00A52AB8">
        <w:rPr>
          <w:lang w:eastAsia="ja-JP"/>
        </w:rPr>
        <w:t>)</w:t>
      </w:r>
    </w:p>
    <w:p w14:paraId="68E7D954" w14:textId="0ABAFD44" w:rsidR="00461FC6" w:rsidRPr="00A52AB8" w:rsidRDefault="00461FC6" w:rsidP="00461FC6">
      <w:pPr>
        <w:rPr>
          <w:lang w:eastAsia="ja-JP"/>
        </w:rPr>
      </w:pPr>
      <w:r w:rsidRPr="00A52AB8">
        <w:rPr>
          <w:lang w:eastAsia="ja-JP"/>
        </w:rPr>
        <w:tab/>
        <w:t>refPatch2dPosX</w:t>
      </w:r>
      <w:r w:rsidR="00D47707" w:rsidRPr="00A52AB8">
        <w:rPr>
          <w:lang w:eastAsia="ja-JP"/>
        </w:rPr>
        <w:t> = </w:t>
      </w:r>
      <w:r w:rsidR="000D3705" w:rsidRPr="00A52AB8">
        <w:rPr>
          <w:lang w:eastAsia="ja-JP"/>
        </w:rPr>
        <w:t>Tile</w:t>
      </w:r>
      <w:r w:rsidRPr="00A52AB8">
        <w:rPr>
          <w:lang w:eastAsia="ja-JP"/>
        </w:rPr>
        <w:t>Patch2dPosX</w:t>
      </w:r>
      <w:r w:rsidRPr="00A52AB8">
        <w:t>[ </w:t>
      </w:r>
      <w:r w:rsidR="00632FA7" w:rsidRPr="00A52AB8">
        <w:t>tileID</w:t>
      </w:r>
      <w:r w:rsidRPr="00A52AB8">
        <w:t> ]</w:t>
      </w:r>
      <w:r w:rsidRPr="00A52AB8">
        <w:rPr>
          <w:lang w:eastAsia="ja-JP"/>
        </w:rPr>
        <w:t>[ refPatchIdx ]</w:t>
      </w:r>
      <w:r w:rsidRPr="00A52AB8">
        <w:rPr>
          <w:lang w:eastAsia="ja-JP"/>
        </w:rPr>
        <w:tab/>
        <w:t>(</w:t>
      </w:r>
      <w:r w:rsidRPr="00496A4D">
        <w:rPr>
          <w:lang w:eastAsia="ja-JP"/>
        </w:rPr>
        <w:fldChar w:fldCharType="begin"/>
      </w:r>
      <w:r w:rsidRPr="00A52AB8">
        <w:rPr>
          <w:lang w:eastAsia="ja-JP"/>
        </w:rPr>
        <w:instrText xml:space="preserve"> SEQ Equation \* ARABIC \n </w:instrText>
      </w:r>
      <w:r w:rsidRPr="00496A4D">
        <w:rPr>
          <w:lang w:eastAsia="ja-JP"/>
        </w:rPr>
        <w:fldChar w:fldCharType="separate"/>
      </w:r>
      <w:r w:rsidR="00507A67">
        <w:rPr>
          <w:noProof/>
          <w:lang w:eastAsia="ja-JP"/>
        </w:rPr>
        <w:t>123</w:t>
      </w:r>
      <w:r w:rsidRPr="00496A4D">
        <w:rPr>
          <w:lang w:eastAsia="ja-JP"/>
        </w:rPr>
        <w:fldChar w:fldCharType="end"/>
      </w:r>
      <w:r w:rsidRPr="00A52AB8">
        <w:rPr>
          <w:lang w:eastAsia="ja-JP"/>
        </w:rPr>
        <w:t>)</w:t>
      </w:r>
    </w:p>
    <w:p w14:paraId="21895F95" w14:textId="6F41C295" w:rsidR="00461FC6" w:rsidRPr="00A52AB8" w:rsidRDefault="00461FC6" w:rsidP="00461FC6">
      <w:pPr>
        <w:rPr>
          <w:lang w:eastAsia="ja-JP"/>
        </w:rPr>
      </w:pPr>
      <w:r w:rsidRPr="00A52AB8">
        <w:rPr>
          <w:lang w:eastAsia="ja-JP"/>
        </w:rPr>
        <w:tab/>
        <w:t>refPatch2dPosY</w:t>
      </w:r>
      <w:r w:rsidR="00D47707" w:rsidRPr="00A52AB8">
        <w:rPr>
          <w:lang w:eastAsia="ja-JP"/>
        </w:rPr>
        <w:t> = </w:t>
      </w:r>
      <w:r w:rsidR="000D3705" w:rsidRPr="00A52AB8">
        <w:rPr>
          <w:lang w:eastAsia="ja-JP"/>
        </w:rPr>
        <w:t>Tile</w:t>
      </w:r>
      <w:r w:rsidRPr="00A52AB8">
        <w:rPr>
          <w:lang w:eastAsia="ja-JP"/>
        </w:rPr>
        <w:t>Patch2dPosY</w:t>
      </w:r>
      <w:r w:rsidRPr="00A52AB8">
        <w:t>[ </w:t>
      </w:r>
      <w:r w:rsidR="00632FA7" w:rsidRPr="00A52AB8">
        <w:t>tileID</w:t>
      </w:r>
      <w:r w:rsidRPr="00A52AB8">
        <w:t> ]</w:t>
      </w:r>
      <w:r w:rsidRPr="00A52AB8">
        <w:rPr>
          <w:lang w:eastAsia="ja-JP"/>
        </w:rPr>
        <w:t>[ refPatchIdx ]</w:t>
      </w:r>
      <w:r w:rsidRPr="00A52AB8">
        <w:rPr>
          <w:lang w:eastAsia="ja-JP"/>
        </w:rPr>
        <w:tab/>
        <w:t>(</w:t>
      </w:r>
      <w:r w:rsidRPr="00496A4D">
        <w:rPr>
          <w:lang w:eastAsia="ja-JP"/>
        </w:rPr>
        <w:fldChar w:fldCharType="begin"/>
      </w:r>
      <w:r w:rsidRPr="00A52AB8">
        <w:rPr>
          <w:lang w:eastAsia="ja-JP"/>
        </w:rPr>
        <w:instrText xml:space="preserve"> SEQ Equation \* ARABIC \n </w:instrText>
      </w:r>
      <w:r w:rsidRPr="00496A4D">
        <w:rPr>
          <w:lang w:eastAsia="ja-JP"/>
        </w:rPr>
        <w:fldChar w:fldCharType="separate"/>
      </w:r>
      <w:r w:rsidR="00507A67">
        <w:rPr>
          <w:noProof/>
          <w:lang w:eastAsia="ja-JP"/>
        </w:rPr>
        <w:t>124</w:t>
      </w:r>
      <w:r w:rsidRPr="00496A4D">
        <w:rPr>
          <w:lang w:eastAsia="ja-JP"/>
        </w:rPr>
        <w:fldChar w:fldCharType="end"/>
      </w:r>
      <w:r w:rsidRPr="00A52AB8">
        <w:rPr>
          <w:lang w:eastAsia="ja-JP"/>
        </w:rPr>
        <w:t>)</w:t>
      </w:r>
    </w:p>
    <w:p w14:paraId="2E249878" w14:textId="7EF0DE12" w:rsidR="00461FC6" w:rsidRPr="00A52AB8" w:rsidRDefault="00461FC6" w:rsidP="00461FC6">
      <w:pPr>
        <w:rPr>
          <w:lang w:eastAsia="ja-JP"/>
        </w:rPr>
      </w:pPr>
      <w:r w:rsidRPr="00A52AB8">
        <w:rPr>
          <w:lang w:eastAsia="ja-JP"/>
        </w:rPr>
        <w:tab/>
        <w:t>refPatch2dSizeX</w:t>
      </w:r>
      <w:r w:rsidR="00D47707" w:rsidRPr="00A52AB8">
        <w:rPr>
          <w:lang w:eastAsia="ja-JP"/>
        </w:rPr>
        <w:t> = </w:t>
      </w:r>
      <w:r w:rsidR="00626499" w:rsidRPr="00A52AB8">
        <w:rPr>
          <w:lang w:eastAsia="ja-JP"/>
        </w:rPr>
        <w:t>Tile</w:t>
      </w:r>
      <w:r w:rsidRPr="00A52AB8">
        <w:rPr>
          <w:lang w:eastAsia="ja-JP"/>
        </w:rPr>
        <w:t>Patch2dSizeX</w:t>
      </w:r>
      <w:r w:rsidRPr="00A52AB8">
        <w:t>[ </w:t>
      </w:r>
      <w:r w:rsidR="00632FA7" w:rsidRPr="00A52AB8">
        <w:t>tileID</w:t>
      </w:r>
      <w:r w:rsidRPr="00A52AB8">
        <w:t> ]</w:t>
      </w:r>
      <w:r w:rsidRPr="00A52AB8">
        <w:rPr>
          <w:lang w:eastAsia="ja-JP"/>
        </w:rPr>
        <w:t>[ refPatchIdx ]</w:t>
      </w:r>
      <w:r w:rsidRPr="00A52AB8">
        <w:rPr>
          <w:lang w:eastAsia="ja-JP"/>
        </w:rPr>
        <w:tab/>
        <w:t>(</w:t>
      </w:r>
      <w:r w:rsidRPr="00496A4D">
        <w:rPr>
          <w:lang w:eastAsia="ja-JP"/>
        </w:rPr>
        <w:fldChar w:fldCharType="begin"/>
      </w:r>
      <w:r w:rsidRPr="00A52AB8">
        <w:rPr>
          <w:lang w:eastAsia="ja-JP"/>
        </w:rPr>
        <w:instrText xml:space="preserve"> SEQ Equation \* ARABIC \n </w:instrText>
      </w:r>
      <w:r w:rsidRPr="00496A4D">
        <w:rPr>
          <w:lang w:eastAsia="ja-JP"/>
        </w:rPr>
        <w:fldChar w:fldCharType="separate"/>
      </w:r>
      <w:r w:rsidR="00507A67">
        <w:rPr>
          <w:noProof/>
          <w:lang w:eastAsia="ja-JP"/>
        </w:rPr>
        <w:t>125</w:t>
      </w:r>
      <w:r w:rsidRPr="00496A4D">
        <w:rPr>
          <w:lang w:eastAsia="ja-JP"/>
        </w:rPr>
        <w:fldChar w:fldCharType="end"/>
      </w:r>
      <w:r w:rsidRPr="00A52AB8">
        <w:rPr>
          <w:lang w:eastAsia="ja-JP"/>
        </w:rPr>
        <w:t>)</w:t>
      </w:r>
    </w:p>
    <w:p w14:paraId="4CF9F60E" w14:textId="0A30AE06" w:rsidR="00461FC6" w:rsidRPr="00A52AB8" w:rsidRDefault="00461FC6" w:rsidP="00461FC6">
      <w:pPr>
        <w:rPr>
          <w:lang w:eastAsia="ja-JP"/>
        </w:rPr>
      </w:pPr>
      <w:r w:rsidRPr="00A52AB8">
        <w:rPr>
          <w:lang w:eastAsia="ja-JP"/>
        </w:rPr>
        <w:tab/>
        <w:t>refPatch2dSizeY</w:t>
      </w:r>
      <w:r w:rsidR="00D47707" w:rsidRPr="00A52AB8">
        <w:rPr>
          <w:lang w:eastAsia="ja-JP"/>
        </w:rPr>
        <w:t> = </w:t>
      </w:r>
      <w:r w:rsidR="00626499" w:rsidRPr="00A52AB8">
        <w:rPr>
          <w:lang w:eastAsia="ja-JP"/>
        </w:rPr>
        <w:t>Tile</w:t>
      </w:r>
      <w:r w:rsidRPr="00A52AB8">
        <w:rPr>
          <w:lang w:eastAsia="ja-JP"/>
        </w:rPr>
        <w:t>Patch2dSizeY</w:t>
      </w:r>
      <w:r w:rsidRPr="00A52AB8">
        <w:t>[ </w:t>
      </w:r>
      <w:r w:rsidR="00632FA7" w:rsidRPr="00A52AB8">
        <w:t>tileID</w:t>
      </w:r>
      <w:r w:rsidRPr="00A52AB8">
        <w:t> ]</w:t>
      </w:r>
      <w:r w:rsidRPr="00A52AB8">
        <w:rPr>
          <w:lang w:eastAsia="ja-JP"/>
        </w:rPr>
        <w:t>[ refPatchIdx ]</w:t>
      </w:r>
      <w:r w:rsidRPr="00A52AB8">
        <w:rPr>
          <w:lang w:eastAsia="ja-JP"/>
        </w:rPr>
        <w:tab/>
        <w:t>(</w:t>
      </w:r>
      <w:r w:rsidRPr="00496A4D">
        <w:rPr>
          <w:lang w:eastAsia="ja-JP"/>
        </w:rPr>
        <w:fldChar w:fldCharType="begin"/>
      </w:r>
      <w:r w:rsidRPr="00A52AB8">
        <w:rPr>
          <w:lang w:eastAsia="ja-JP"/>
        </w:rPr>
        <w:instrText xml:space="preserve"> SEQ Equation \* ARABIC \n </w:instrText>
      </w:r>
      <w:r w:rsidRPr="00496A4D">
        <w:rPr>
          <w:lang w:eastAsia="ja-JP"/>
        </w:rPr>
        <w:fldChar w:fldCharType="separate"/>
      </w:r>
      <w:r w:rsidR="00507A67">
        <w:rPr>
          <w:noProof/>
          <w:lang w:eastAsia="ja-JP"/>
        </w:rPr>
        <w:t>126</w:t>
      </w:r>
      <w:r w:rsidRPr="00496A4D">
        <w:rPr>
          <w:lang w:eastAsia="ja-JP"/>
        </w:rPr>
        <w:fldChar w:fldCharType="end"/>
      </w:r>
      <w:r w:rsidRPr="00A52AB8">
        <w:rPr>
          <w:lang w:eastAsia="ja-JP"/>
        </w:rPr>
        <w:t>)</w:t>
      </w:r>
    </w:p>
    <w:p w14:paraId="2C615559" w14:textId="376CA6D7" w:rsidR="00A123A0" w:rsidRPr="00A52AB8" w:rsidRDefault="005625D8" w:rsidP="005625D8">
      <w:pPr>
        <w:rPr>
          <w:lang w:eastAsia="ja-JP"/>
        </w:rPr>
      </w:pPr>
      <w:r w:rsidRPr="00A52AB8">
        <w:rPr>
          <w:color w:val="000000" w:themeColor="text1"/>
        </w:rPr>
        <w:t xml:space="preserve">If </w:t>
      </w:r>
      <w:r w:rsidR="00440C68" w:rsidRPr="00A52AB8">
        <w:rPr>
          <w:lang w:eastAsia="ja-JP"/>
        </w:rPr>
        <w:t>refPatchType</w:t>
      </w:r>
      <w:r w:rsidR="00A30B86" w:rsidRPr="00A52AB8">
        <w:rPr>
          <w:lang w:eastAsia="ja-JP"/>
        </w:rPr>
        <w:t xml:space="preserve"> </w:t>
      </w:r>
      <w:r w:rsidRPr="00A52AB8">
        <w:rPr>
          <w:color w:val="000000" w:themeColor="text1"/>
        </w:rPr>
        <w:t xml:space="preserve">is equal to </w:t>
      </w:r>
      <w:r w:rsidR="00440C68" w:rsidRPr="00A52AB8">
        <w:rPr>
          <w:color w:val="000000" w:themeColor="text1"/>
        </w:rPr>
        <w:t>PROJECTED</w:t>
      </w:r>
      <w:r w:rsidRPr="00A52AB8">
        <w:rPr>
          <w:color w:val="000000" w:themeColor="text1"/>
        </w:rPr>
        <w:t xml:space="preserve">, then the process in subclause </w:t>
      </w:r>
      <w:r w:rsidR="00B716EB" w:rsidRPr="00496A4D">
        <w:rPr>
          <w:color w:val="000000" w:themeColor="text1"/>
        </w:rPr>
        <w:fldChar w:fldCharType="begin"/>
      </w:r>
      <w:r w:rsidR="00B716EB" w:rsidRPr="00A52AB8">
        <w:rPr>
          <w:color w:val="000000" w:themeColor="text1"/>
        </w:rPr>
        <w:instrText xml:space="preserve"> REF _Ref46926083 \r \h </w:instrText>
      </w:r>
      <w:r w:rsidR="006371AA" w:rsidRPr="00A52AB8">
        <w:rPr>
          <w:color w:val="000000" w:themeColor="text1"/>
        </w:rPr>
        <w:instrText xml:space="preserve"> \* MERGEFORMAT </w:instrText>
      </w:r>
      <w:r w:rsidR="00B716EB" w:rsidRPr="00496A4D">
        <w:rPr>
          <w:color w:val="000000" w:themeColor="text1"/>
        </w:rPr>
      </w:r>
      <w:r w:rsidR="00B716EB" w:rsidRPr="00496A4D">
        <w:rPr>
          <w:color w:val="000000" w:themeColor="text1"/>
        </w:rPr>
        <w:fldChar w:fldCharType="separate"/>
      </w:r>
      <w:r w:rsidR="00507A67">
        <w:rPr>
          <w:color w:val="000000" w:themeColor="text1"/>
        </w:rPr>
        <w:t>9.2.5.5.2.2</w:t>
      </w:r>
      <w:r w:rsidR="00B716EB" w:rsidRPr="00496A4D">
        <w:rPr>
          <w:color w:val="000000" w:themeColor="text1"/>
        </w:rPr>
        <w:fldChar w:fldCharType="end"/>
      </w:r>
      <w:r w:rsidRPr="00A52AB8">
        <w:rPr>
          <w:color w:val="000000" w:themeColor="text1"/>
        </w:rPr>
        <w:t xml:space="preserve"> is </w:t>
      </w:r>
      <w:r w:rsidR="002516B1" w:rsidRPr="00A52AB8">
        <w:rPr>
          <w:color w:val="000000" w:themeColor="text1"/>
        </w:rPr>
        <w:t xml:space="preserve">invoked with refIdx, </w:t>
      </w:r>
      <w:r w:rsidR="00632FA7" w:rsidRPr="00A52AB8">
        <w:rPr>
          <w:color w:val="000000" w:themeColor="text1"/>
        </w:rPr>
        <w:t>tileID</w:t>
      </w:r>
      <w:r w:rsidR="002516B1" w:rsidRPr="00A52AB8">
        <w:rPr>
          <w:color w:val="000000" w:themeColor="text1"/>
        </w:rPr>
        <w:t xml:space="preserve">, </w:t>
      </w:r>
      <w:r w:rsidR="001842D3" w:rsidRPr="00A52AB8">
        <w:rPr>
          <w:color w:val="000000" w:themeColor="text1"/>
        </w:rPr>
        <w:t xml:space="preserve">and </w:t>
      </w:r>
      <w:r w:rsidR="002516B1" w:rsidRPr="00A52AB8">
        <w:rPr>
          <w:color w:val="000000" w:themeColor="text1"/>
        </w:rPr>
        <w:t xml:space="preserve">refPatchIdx as inputs. The outputs of the process are </w:t>
      </w:r>
      <w:r w:rsidR="008A2741" w:rsidRPr="00A52AB8">
        <w:rPr>
          <w:color w:val="000000" w:themeColor="text1"/>
        </w:rPr>
        <w:t xml:space="preserve">the variables </w:t>
      </w:r>
      <w:r w:rsidR="00415DA7" w:rsidRPr="00A52AB8">
        <w:rPr>
          <w:lang w:eastAsia="ja-JP"/>
        </w:rPr>
        <w:t>refPatch</w:t>
      </w:r>
      <w:r w:rsidR="001A4D59" w:rsidRPr="00A52AB8">
        <w:rPr>
          <w:lang w:eastAsia="ja-JP"/>
        </w:rPr>
        <w:t>3dOffsetU</w:t>
      </w:r>
      <w:r w:rsidR="00415DA7" w:rsidRPr="00A52AB8">
        <w:rPr>
          <w:lang w:eastAsia="ja-JP"/>
        </w:rPr>
        <w:t>, refPatch</w:t>
      </w:r>
      <w:r w:rsidR="001A4D59" w:rsidRPr="00A52AB8">
        <w:rPr>
          <w:lang w:eastAsia="ja-JP"/>
        </w:rPr>
        <w:t>3dOffsetV</w:t>
      </w:r>
      <w:r w:rsidR="00415DA7" w:rsidRPr="00A52AB8">
        <w:rPr>
          <w:lang w:eastAsia="ja-JP"/>
        </w:rPr>
        <w:t xml:space="preserve">, </w:t>
      </w:r>
      <w:r w:rsidR="003678B0" w:rsidRPr="00A52AB8">
        <w:rPr>
          <w:lang w:eastAsia="ja-JP"/>
        </w:rPr>
        <w:t>refPatch</w:t>
      </w:r>
      <w:r w:rsidR="00FB7219" w:rsidRPr="00A52AB8">
        <w:rPr>
          <w:lang w:eastAsia="ja-JP"/>
        </w:rPr>
        <w:t>P</w:t>
      </w:r>
      <w:r w:rsidR="003678B0" w:rsidRPr="00A52AB8">
        <w:rPr>
          <w:lang w:eastAsia="ja-JP"/>
        </w:rPr>
        <w:t xml:space="preserve">rojectionID, </w:t>
      </w:r>
      <w:r w:rsidR="00415DA7" w:rsidRPr="00A52AB8">
        <w:rPr>
          <w:lang w:eastAsia="ja-JP"/>
        </w:rPr>
        <w:t>refPatch</w:t>
      </w:r>
      <w:r w:rsidR="001A4D59" w:rsidRPr="00A52AB8">
        <w:rPr>
          <w:lang w:eastAsia="ja-JP"/>
        </w:rPr>
        <w:t>3dOffsetD</w:t>
      </w:r>
      <w:r w:rsidR="00415DA7" w:rsidRPr="00A52AB8">
        <w:rPr>
          <w:lang w:eastAsia="ja-JP"/>
        </w:rPr>
        <w:t>,</w:t>
      </w:r>
      <w:r w:rsidR="00415DA7" w:rsidRPr="00A52AB8">
        <w:rPr>
          <w:color w:val="000000" w:themeColor="text1"/>
        </w:rPr>
        <w:t xml:space="preserve"> </w:t>
      </w:r>
      <w:r w:rsidR="00425F4B" w:rsidRPr="00A52AB8">
        <w:rPr>
          <w:color w:val="000000" w:themeColor="text1"/>
        </w:rPr>
        <w:t>refPatch</w:t>
      </w:r>
      <w:r w:rsidR="001A4D59" w:rsidRPr="00A52AB8">
        <w:rPr>
          <w:color w:val="000000" w:themeColor="text1"/>
        </w:rPr>
        <w:t>3dRangeD</w:t>
      </w:r>
      <w:r w:rsidR="00425F4B" w:rsidRPr="00A52AB8">
        <w:rPr>
          <w:color w:val="000000" w:themeColor="text1"/>
        </w:rPr>
        <w:t xml:space="preserve">, </w:t>
      </w:r>
      <w:r w:rsidR="001C3C4F" w:rsidRPr="00A52AB8">
        <w:rPr>
          <w:lang w:eastAsia="ja-JP"/>
        </w:rPr>
        <w:t xml:space="preserve">refPatchOrientationIndex, </w:t>
      </w:r>
      <w:r w:rsidR="00792B2C" w:rsidRPr="00A52AB8">
        <w:rPr>
          <w:lang w:eastAsia="ja-JP"/>
        </w:rPr>
        <w:t xml:space="preserve">refPatchLoDScaleX, </w:t>
      </w:r>
      <w:r w:rsidR="008A2741" w:rsidRPr="00A52AB8">
        <w:rPr>
          <w:lang w:eastAsia="ja-JP"/>
        </w:rPr>
        <w:t xml:space="preserve">and </w:t>
      </w:r>
      <w:r w:rsidR="00792B2C" w:rsidRPr="00A52AB8">
        <w:rPr>
          <w:lang w:eastAsia="ja-JP"/>
        </w:rPr>
        <w:t>refPatchLoDScaleY</w:t>
      </w:r>
      <w:r w:rsidR="00F832AB" w:rsidRPr="00A52AB8">
        <w:rPr>
          <w:lang w:eastAsia="ja-JP"/>
        </w:rPr>
        <w:t>, and</w:t>
      </w:r>
      <w:r w:rsidR="008A2741" w:rsidRPr="00A52AB8">
        <w:rPr>
          <w:lang w:eastAsia="ja-JP"/>
        </w:rPr>
        <w:t>,</w:t>
      </w:r>
      <w:r w:rsidR="00F832AB" w:rsidRPr="00A52AB8">
        <w:rPr>
          <w:lang w:eastAsia="ja-JP"/>
        </w:rPr>
        <w:t xml:space="preserve"> if asps_plr_enabled_flag is equal to 1, the 1D arrays </w:t>
      </w:r>
      <w:r w:rsidR="00F832AB" w:rsidRPr="00A52AB8">
        <w:rPr>
          <w:color w:val="000000" w:themeColor="text1"/>
        </w:rPr>
        <w:t>refPatchPlrdLevel, refPatchPlrdPresentFlag, and refPlrdModeMinus1, and the 2D arrays refPatchPlrdPresentBlockFlag and refPatchPlrdBlockModeMinus1</w:t>
      </w:r>
      <w:r w:rsidR="00792B2C" w:rsidRPr="00A52AB8">
        <w:rPr>
          <w:lang w:eastAsia="ja-JP"/>
        </w:rPr>
        <w:t>.</w:t>
      </w:r>
    </w:p>
    <w:p w14:paraId="2D13FE24" w14:textId="3FBEDAEA" w:rsidR="005625D8" w:rsidRPr="00A52AB8" w:rsidRDefault="005625D8" w:rsidP="005625D8">
      <w:pPr>
        <w:rPr>
          <w:color w:val="000000" w:themeColor="text1"/>
        </w:rPr>
      </w:pPr>
      <w:r w:rsidRPr="00A52AB8">
        <w:rPr>
          <w:color w:val="000000" w:themeColor="text1"/>
        </w:rPr>
        <w:t xml:space="preserve">If </w:t>
      </w:r>
      <w:r w:rsidR="00440C68" w:rsidRPr="00A52AB8">
        <w:rPr>
          <w:lang w:eastAsia="ja-JP"/>
        </w:rPr>
        <w:t>refPatchType</w:t>
      </w:r>
      <w:r w:rsidR="00B41F95" w:rsidRPr="00A52AB8">
        <w:rPr>
          <w:color w:val="000000" w:themeColor="text1"/>
        </w:rPr>
        <w:t xml:space="preserve"> </w:t>
      </w:r>
      <w:r w:rsidRPr="00A52AB8">
        <w:rPr>
          <w:color w:val="000000" w:themeColor="text1"/>
        </w:rPr>
        <w:t xml:space="preserve">is equal to </w:t>
      </w:r>
      <w:r w:rsidR="00440C68" w:rsidRPr="00A52AB8">
        <w:rPr>
          <w:color w:val="000000" w:themeColor="text1"/>
        </w:rPr>
        <w:t>RAW</w:t>
      </w:r>
      <w:r w:rsidRPr="00A52AB8">
        <w:rPr>
          <w:color w:val="000000" w:themeColor="text1"/>
        </w:rPr>
        <w:t>, then the process in subclause</w:t>
      </w:r>
      <w:r w:rsidR="003831AA" w:rsidRPr="00A52AB8">
        <w:rPr>
          <w:color w:val="000000" w:themeColor="text1"/>
        </w:rPr>
        <w:t xml:space="preserve"> </w:t>
      </w:r>
      <w:r w:rsidR="00152EF8" w:rsidRPr="00496A4D">
        <w:rPr>
          <w:color w:val="000000" w:themeColor="text1"/>
        </w:rPr>
        <w:fldChar w:fldCharType="begin"/>
      </w:r>
      <w:r w:rsidR="00152EF8" w:rsidRPr="00A52AB8">
        <w:rPr>
          <w:color w:val="000000" w:themeColor="text1"/>
        </w:rPr>
        <w:instrText xml:space="preserve"> REF _Ref46252249 \r \h </w:instrText>
      </w:r>
      <w:r w:rsidR="00CA5401" w:rsidRPr="00A52AB8">
        <w:rPr>
          <w:color w:val="000000" w:themeColor="text1"/>
        </w:rPr>
        <w:instrText xml:space="preserve"> \* MERGEFORMAT </w:instrText>
      </w:r>
      <w:r w:rsidR="00152EF8" w:rsidRPr="00496A4D">
        <w:rPr>
          <w:color w:val="000000" w:themeColor="text1"/>
        </w:rPr>
      </w:r>
      <w:r w:rsidR="00152EF8" w:rsidRPr="00496A4D">
        <w:rPr>
          <w:color w:val="000000" w:themeColor="text1"/>
        </w:rPr>
        <w:fldChar w:fldCharType="separate"/>
      </w:r>
      <w:r w:rsidR="00507A67">
        <w:rPr>
          <w:color w:val="000000" w:themeColor="text1"/>
        </w:rPr>
        <w:t>9.2.5.5.2.3</w:t>
      </w:r>
      <w:r w:rsidR="00152EF8" w:rsidRPr="00496A4D">
        <w:rPr>
          <w:color w:val="000000" w:themeColor="text1"/>
        </w:rPr>
        <w:fldChar w:fldCharType="end"/>
      </w:r>
      <w:r w:rsidR="006C4E11" w:rsidRPr="00A52AB8">
        <w:rPr>
          <w:color w:val="000000" w:themeColor="text1"/>
        </w:rPr>
        <w:t xml:space="preserve"> is invoked with refIdx, </w:t>
      </w:r>
      <w:r w:rsidR="00632FA7" w:rsidRPr="00A52AB8">
        <w:rPr>
          <w:color w:val="000000" w:themeColor="text1"/>
        </w:rPr>
        <w:t>tileID</w:t>
      </w:r>
      <w:r w:rsidR="006C4E11" w:rsidRPr="00A52AB8">
        <w:rPr>
          <w:color w:val="000000" w:themeColor="text1"/>
        </w:rPr>
        <w:t xml:space="preserve">, </w:t>
      </w:r>
      <w:r w:rsidR="001842D3" w:rsidRPr="00A52AB8">
        <w:rPr>
          <w:color w:val="000000" w:themeColor="text1"/>
        </w:rPr>
        <w:t xml:space="preserve">and </w:t>
      </w:r>
      <w:r w:rsidR="006C4E11" w:rsidRPr="00A52AB8">
        <w:rPr>
          <w:color w:val="000000" w:themeColor="text1"/>
        </w:rPr>
        <w:t>refPatchIdx as inputs. The output</w:t>
      </w:r>
      <w:r w:rsidR="0033586C" w:rsidRPr="00A52AB8">
        <w:rPr>
          <w:color w:val="000000" w:themeColor="text1"/>
        </w:rPr>
        <w:t>s</w:t>
      </w:r>
      <w:r w:rsidR="006C4E11" w:rsidRPr="00A52AB8">
        <w:rPr>
          <w:color w:val="000000" w:themeColor="text1"/>
        </w:rPr>
        <w:t xml:space="preserve"> of the process </w:t>
      </w:r>
      <w:r w:rsidR="0033586C" w:rsidRPr="00A52AB8">
        <w:rPr>
          <w:color w:val="000000" w:themeColor="text1"/>
        </w:rPr>
        <w:t>are</w:t>
      </w:r>
      <w:r w:rsidR="0033586C" w:rsidRPr="00A52AB8">
        <w:rPr>
          <w:lang w:eastAsia="ja-JP"/>
        </w:rPr>
        <w:t xml:space="preserve"> </w:t>
      </w:r>
      <w:r w:rsidR="008A2741" w:rsidRPr="00A52AB8">
        <w:rPr>
          <w:lang w:eastAsia="ja-JP"/>
        </w:rPr>
        <w:t xml:space="preserve">the variables </w:t>
      </w:r>
      <w:r w:rsidR="00C71324" w:rsidRPr="00A52AB8">
        <w:rPr>
          <w:lang w:eastAsia="ja-JP"/>
        </w:rPr>
        <w:t>refPatch</w:t>
      </w:r>
      <w:r w:rsidR="001A4D59" w:rsidRPr="00A52AB8">
        <w:rPr>
          <w:lang w:eastAsia="ja-JP"/>
        </w:rPr>
        <w:t>3dOffsetU</w:t>
      </w:r>
      <w:r w:rsidR="00C71324" w:rsidRPr="00A52AB8">
        <w:rPr>
          <w:lang w:eastAsia="ja-JP"/>
        </w:rPr>
        <w:t>, refPatch</w:t>
      </w:r>
      <w:r w:rsidR="001A4D59" w:rsidRPr="00A52AB8">
        <w:rPr>
          <w:lang w:eastAsia="ja-JP"/>
        </w:rPr>
        <w:t>3dOffsetV</w:t>
      </w:r>
      <w:r w:rsidR="00C71324" w:rsidRPr="00A52AB8">
        <w:rPr>
          <w:lang w:eastAsia="ja-JP"/>
        </w:rPr>
        <w:t>, refPatch</w:t>
      </w:r>
      <w:r w:rsidR="001A4D59" w:rsidRPr="00A52AB8">
        <w:rPr>
          <w:lang w:eastAsia="ja-JP"/>
        </w:rPr>
        <w:t>3dOffsetD</w:t>
      </w:r>
      <w:r w:rsidR="00244F7E" w:rsidRPr="00A52AB8">
        <w:rPr>
          <w:lang w:eastAsia="ja-JP"/>
        </w:rPr>
        <w:t>, and refPatchRawPoints</w:t>
      </w:r>
      <w:r w:rsidR="0079409A" w:rsidRPr="00A52AB8">
        <w:rPr>
          <w:lang w:eastAsia="ja-JP"/>
        </w:rPr>
        <w:t>.</w:t>
      </w:r>
    </w:p>
    <w:p w14:paraId="73097781" w14:textId="31A987AE" w:rsidR="005625D8" w:rsidRPr="00A52AB8" w:rsidRDefault="005625D8" w:rsidP="005625D8">
      <w:pPr>
        <w:rPr>
          <w:color w:val="000000" w:themeColor="text1"/>
        </w:rPr>
      </w:pPr>
      <w:r w:rsidRPr="00A52AB8">
        <w:rPr>
          <w:color w:val="000000" w:themeColor="text1"/>
        </w:rPr>
        <w:t xml:space="preserve">If </w:t>
      </w:r>
      <w:r w:rsidR="00440C68" w:rsidRPr="00A52AB8">
        <w:rPr>
          <w:lang w:eastAsia="ja-JP"/>
        </w:rPr>
        <w:t>refPatchType</w:t>
      </w:r>
      <w:r w:rsidR="00FE6652" w:rsidRPr="00A52AB8">
        <w:rPr>
          <w:color w:val="000000" w:themeColor="text1"/>
        </w:rPr>
        <w:t xml:space="preserve"> </w:t>
      </w:r>
      <w:r w:rsidRPr="00A52AB8">
        <w:rPr>
          <w:color w:val="000000" w:themeColor="text1"/>
        </w:rPr>
        <w:t xml:space="preserve">is equal to </w:t>
      </w:r>
      <w:r w:rsidR="00440C68" w:rsidRPr="00A52AB8">
        <w:rPr>
          <w:color w:val="000000" w:themeColor="text1"/>
        </w:rPr>
        <w:t>EOM</w:t>
      </w:r>
      <w:r w:rsidRPr="00A52AB8">
        <w:rPr>
          <w:color w:val="000000" w:themeColor="text1"/>
        </w:rPr>
        <w:t xml:space="preserve">, then the process in subclause </w:t>
      </w:r>
      <w:r w:rsidR="00152EF8" w:rsidRPr="00496A4D">
        <w:rPr>
          <w:color w:val="000000" w:themeColor="text1"/>
        </w:rPr>
        <w:fldChar w:fldCharType="begin"/>
      </w:r>
      <w:r w:rsidR="00152EF8" w:rsidRPr="00A52AB8">
        <w:rPr>
          <w:color w:val="000000" w:themeColor="text1"/>
        </w:rPr>
        <w:instrText xml:space="preserve"> REF _Ref46252283 \r \h </w:instrText>
      </w:r>
      <w:r w:rsidR="00CA5401" w:rsidRPr="00A52AB8">
        <w:rPr>
          <w:color w:val="000000" w:themeColor="text1"/>
        </w:rPr>
        <w:instrText xml:space="preserve"> \* MERGEFORMAT </w:instrText>
      </w:r>
      <w:r w:rsidR="00152EF8" w:rsidRPr="00496A4D">
        <w:rPr>
          <w:color w:val="000000" w:themeColor="text1"/>
        </w:rPr>
      </w:r>
      <w:r w:rsidR="00152EF8" w:rsidRPr="00496A4D">
        <w:rPr>
          <w:color w:val="000000" w:themeColor="text1"/>
        </w:rPr>
        <w:fldChar w:fldCharType="separate"/>
      </w:r>
      <w:r w:rsidR="00507A67">
        <w:rPr>
          <w:color w:val="000000" w:themeColor="text1"/>
        </w:rPr>
        <w:t>9.2.5.5.2.4</w:t>
      </w:r>
      <w:r w:rsidR="00152EF8" w:rsidRPr="00496A4D">
        <w:rPr>
          <w:color w:val="000000" w:themeColor="text1"/>
        </w:rPr>
        <w:fldChar w:fldCharType="end"/>
      </w:r>
      <w:r w:rsidR="006C4E11" w:rsidRPr="00A52AB8">
        <w:rPr>
          <w:color w:val="000000" w:themeColor="text1"/>
        </w:rPr>
        <w:t xml:space="preserve"> is invoked with refIdx, </w:t>
      </w:r>
      <w:r w:rsidR="00632FA7" w:rsidRPr="00A52AB8">
        <w:rPr>
          <w:color w:val="000000" w:themeColor="text1"/>
        </w:rPr>
        <w:t>tileID</w:t>
      </w:r>
      <w:r w:rsidR="006C4E11" w:rsidRPr="00A52AB8">
        <w:rPr>
          <w:color w:val="000000" w:themeColor="text1"/>
        </w:rPr>
        <w:t xml:space="preserve">, </w:t>
      </w:r>
      <w:r w:rsidR="001842D3" w:rsidRPr="00A52AB8">
        <w:rPr>
          <w:color w:val="000000" w:themeColor="text1"/>
        </w:rPr>
        <w:t xml:space="preserve">and </w:t>
      </w:r>
      <w:r w:rsidR="006C4E11" w:rsidRPr="00A52AB8">
        <w:rPr>
          <w:color w:val="000000" w:themeColor="text1"/>
        </w:rPr>
        <w:t xml:space="preserve">refPatchIdx as inputs. The outputs of the process are </w:t>
      </w:r>
      <w:r w:rsidR="008A2741" w:rsidRPr="00A52AB8">
        <w:rPr>
          <w:color w:val="000000" w:themeColor="text1"/>
        </w:rPr>
        <w:t xml:space="preserve">the variable </w:t>
      </w:r>
      <w:r w:rsidR="007772E4" w:rsidRPr="00A52AB8">
        <w:rPr>
          <w:color w:val="000000" w:themeColor="text1"/>
        </w:rPr>
        <w:t>refPatchEomPatchCount</w:t>
      </w:r>
      <w:r w:rsidR="008A2741" w:rsidRPr="00A52AB8">
        <w:rPr>
          <w:color w:val="000000" w:themeColor="text1"/>
        </w:rPr>
        <w:t>, and the 1D arrays</w:t>
      </w:r>
      <w:r w:rsidR="007772E4" w:rsidRPr="00A52AB8">
        <w:rPr>
          <w:color w:val="000000" w:themeColor="text1"/>
        </w:rPr>
        <w:t xml:space="preserve"> </w:t>
      </w:r>
      <w:r w:rsidR="0086696E" w:rsidRPr="00A52AB8">
        <w:t>refP</w:t>
      </w:r>
      <w:r w:rsidR="0086696E" w:rsidRPr="00A52AB8">
        <w:rPr>
          <w:color w:val="000000" w:themeColor="text1"/>
        </w:rPr>
        <w:t>atch</w:t>
      </w:r>
      <w:r w:rsidR="00457B67" w:rsidRPr="00A52AB8">
        <w:rPr>
          <w:color w:val="000000" w:themeColor="text1"/>
        </w:rPr>
        <w:t>AssociatedPatchIndex</w:t>
      </w:r>
      <w:r w:rsidR="0014136C" w:rsidRPr="00A52AB8">
        <w:rPr>
          <w:color w:val="000000" w:themeColor="text1"/>
        </w:rPr>
        <w:t xml:space="preserve"> and </w:t>
      </w:r>
      <w:r w:rsidR="00213957" w:rsidRPr="00A52AB8">
        <w:rPr>
          <w:lang w:eastAsia="ja-JP"/>
        </w:rPr>
        <w:t>ref</w:t>
      </w:r>
      <w:r w:rsidR="00213957" w:rsidRPr="00A52AB8">
        <w:rPr>
          <w:color w:val="000000" w:themeColor="text1"/>
        </w:rPr>
        <w:t>PatchEomPoints</w:t>
      </w:r>
      <w:r w:rsidR="0086696E" w:rsidRPr="00A52AB8">
        <w:rPr>
          <w:color w:val="000000" w:themeColor="text1"/>
        </w:rPr>
        <w:t>.</w:t>
      </w:r>
    </w:p>
    <w:p w14:paraId="4D3A7431" w14:textId="77777777" w:rsidR="00B034E1" w:rsidRPr="00A52AB8" w:rsidRDefault="00FC1930" w:rsidP="006A0E63">
      <w:pPr>
        <w:pStyle w:val="Heading6"/>
      </w:pPr>
      <w:bookmarkStart w:id="1516" w:name="_Ref46926083"/>
      <w:r w:rsidRPr="00A52AB8">
        <w:t>Reference p</w:t>
      </w:r>
      <w:r w:rsidR="00B034E1" w:rsidRPr="00A52AB8">
        <w:t xml:space="preserve">atches </w:t>
      </w:r>
      <w:r w:rsidR="00C15460" w:rsidRPr="00A52AB8">
        <w:t xml:space="preserve">in </w:t>
      </w:r>
      <w:r w:rsidR="00A033E3" w:rsidRPr="00A52AB8">
        <w:t>PROJECTED</w:t>
      </w:r>
      <w:r w:rsidR="004626CF" w:rsidRPr="00A52AB8">
        <w:t xml:space="preserve"> mode</w:t>
      </w:r>
      <w:bookmarkEnd w:id="1516"/>
    </w:p>
    <w:p w14:paraId="56885E08" w14:textId="15B34C00" w:rsidR="00425163" w:rsidRPr="00A52AB8" w:rsidRDefault="00425163" w:rsidP="00425163">
      <w:pPr>
        <w:tabs>
          <w:tab w:val="clear" w:pos="403"/>
        </w:tabs>
        <w:spacing w:before="120" w:after="120" w:line="240" w:lineRule="auto"/>
        <w:rPr>
          <w:color w:val="000000" w:themeColor="text1"/>
        </w:rPr>
      </w:pPr>
      <w:r w:rsidRPr="00A52AB8">
        <w:t xml:space="preserve">Inputs to this process are </w:t>
      </w:r>
      <w:r w:rsidRPr="00A52AB8">
        <w:rPr>
          <w:color w:val="000000" w:themeColor="text1"/>
        </w:rPr>
        <w:t>the atlas frame reference index</w:t>
      </w:r>
      <w:r w:rsidR="004626CF" w:rsidRPr="00A52AB8">
        <w:rPr>
          <w:color w:val="000000" w:themeColor="text1"/>
        </w:rPr>
        <w:t>,</w:t>
      </w:r>
      <w:r w:rsidRPr="00A52AB8">
        <w:rPr>
          <w:color w:val="000000" w:themeColor="text1"/>
        </w:rPr>
        <w:t xml:space="preserve"> refIdx</w:t>
      </w:r>
      <w:r w:rsidR="004626CF" w:rsidRPr="00A52AB8">
        <w:rPr>
          <w:color w:val="000000" w:themeColor="text1"/>
        </w:rPr>
        <w:t>,</w:t>
      </w:r>
      <w:r w:rsidRPr="00A52AB8">
        <w:rPr>
          <w:color w:val="000000" w:themeColor="text1"/>
        </w:rPr>
        <w:t xml:space="preserve"> </w:t>
      </w:r>
      <w:r w:rsidR="004626CF" w:rsidRPr="00A52AB8">
        <w:rPr>
          <w:color w:val="000000" w:themeColor="text1"/>
        </w:rPr>
        <w:t xml:space="preserve">the </w:t>
      </w:r>
      <w:r w:rsidRPr="00A52AB8">
        <w:rPr>
          <w:color w:val="000000" w:themeColor="text1"/>
        </w:rPr>
        <w:t xml:space="preserve">patch reference index, refPatchIdx, and the current tile ID, </w:t>
      </w:r>
      <w:r w:rsidR="00632FA7" w:rsidRPr="00A52AB8">
        <w:rPr>
          <w:color w:val="000000" w:themeColor="text1"/>
        </w:rPr>
        <w:t>tileID</w:t>
      </w:r>
      <w:r w:rsidRPr="00A52AB8">
        <w:rPr>
          <w:color w:val="000000" w:themeColor="text1"/>
        </w:rPr>
        <w:t>.</w:t>
      </w:r>
    </w:p>
    <w:p w14:paraId="488C37C4" w14:textId="731E7CAF" w:rsidR="00425163" w:rsidRPr="00A52AB8" w:rsidRDefault="00425163" w:rsidP="00425163">
      <w:pPr>
        <w:rPr>
          <w:lang w:eastAsia="ja-JP"/>
        </w:rPr>
      </w:pPr>
      <w:r w:rsidRPr="00A52AB8">
        <w:rPr>
          <w:color w:val="000000" w:themeColor="text1"/>
        </w:rPr>
        <w:t xml:space="preserve">Outputs to this process are the variables </w:t>
      </w:r>
      <w:r w:rsidR="00EC335B" w:rsidRPr="00A52AB8">
        <w:rPr>
          <w:lang w:eastAsia="ja-JP"/>
        </w:rPr>
        <w:t>refPatch</w:t>
      </w:r>
      <w:r w:rsidR="001A4D59" w:rsidRPr="00A52AB8">
        <w:rPr>
          <w:lang w:eastAsia="ja-JP"/>
        </w:rPr>
        <w:t>3dOffsetU</w:t>
      </w:r>
      <w:r w:rsidR="00EC335B" w:rsidRPr="00A52AB8">
        <w:rPr>
          <w:lang w:eastAsia="ja-JP"/>
        </w:rPr>
        <w:t>, refPatch</w:t>
      </w:r>
      <w:r w:rsidR="001A4D59" w:rsidRPr="00A52AB8">
        <w:rPr>
          <w:lang w:eastAsia="ja-JP"/>
        </w:rPr>
        <w:t>3dOffsetV</w:t>
      </w:r>
      <w:r w:rsidR="00EC335B" w:rsidRPr="00A52AB8">
        <w:rPr>
          <w:lang w:eastAsia="ja-JP"/>
        </w:rPr>
        <w:t>, refPatch</w:t>
      </w:r>
      <w:r w:rsidR="001A4D59" w:rsidRPr="00A52AB8">
        <w:rPr>
          <w:lang w:eastAsia="ja-JP"/>
        </w:rPr>
        <w:t>3dOffsetD</w:t>
      </w:r>
      <w:r w:rsidR="00EC335B" w:rsidRPr="00A52AB8">
        <w:rPr>
          <w:lang w:eastAsia="ja-JP"/>
        </w:rPr>
        <w:t xml:space="preserve">, </w:t>
      </w:r>
      <w:r w:rsidR="004E4B45" w:rsidRPr="00A52AB8">
        <w:rPr>
          <w:lang w:eastAsia="ja-JP"/>
        </w:rPr>
        <w:t>refPatch</w:t>
      </w:r>
      <w:r w:rsidR="001A4D59" w:rsidRPr="00A52AB8">
        <w:rPr>
          <w:lang w:eastAsia="ja-JP"/>
        </w:rPr>
        <w:t>3dRangeD</w:t>
      </w:r>
      <w:r w:rsidRPr="00A52AB8">
        <w:rPr>
          <w:lang w:eastAsia="ja-JP"/>
        </w:rPr>
        <w:t xml:space="preserve">, </w:t>
      </w:r>
      <w:r w:rsidR="003678B0" w:rsidRPr="00A52AB8">
        <w:rPr>
          <w:lang w:eastAsia="ja-JP"/>
        </w:rPr>
        <w:t>refPatch</w:t>
      </w:r>
      <w:r w:rsidR="00FB7219" w:rsidRPr="00A52AB8">
        <w:rPr>
          <w:lang w:eastAsia="ja-JP"/>
        </w:rPr>
        <w:t>P</w:t>
      </w:r>
      <w:r w:rsidR="003678B0" w:rsidRPr="00A52AB8">
        <w:rPr>
          <w:lang w:eastAsia="ja-JP"/>
        </w:rPr>
        <w:t xml:space="preserve">rojectionID, </w:t>
      </w:r>
      <w:r w:rsidRPr="00A52AB8">
        <w:rPr>
          <w:lang w:eastAsia="ja-JP"/>
        </w:rPr>
        <w:t xml:space="preserve">refPatchOrientationIndex, refPatchLoDScaleX, </w:t>
      </w:r>
      <w:r w:rsidR="00511876" w:rsidRPr="00A52AB8">
        <w:rPr>
          <w:lang w:eastAsia="ja-JP"/>
        </w:rPr>
        <w:t xml:space="preserve">and </w:t>
      </w:r>
      <w:r w:rsidRPr="00A52AB8">
        <w:rPr>
          <w:lang w:eastAsia="ja-JP"/>
        </w:rPr>
        <w:t>refPachLoDScaleY</w:t>
      </w:r>
      <w:r w:rsidR="00CA4ADE" w:rsidRPr="00A52AB8">
        <w:rPr>
          <w:lang w:eastAsia="ja-JP"/>
        </w:rPr>
        <w:t xml:space="preserve">, </w:t>
      </w:r>
      <w:r w:rsidR="00862696" w:rsidRPr="00A52AB8">
        <w:rPr>
          <w:lang w:eastAsia="ja-JP"/>
        </w:rPr>
        <w:t>and</w:t>
      </w:r>
      <w:r w:rsidR="008A2741" w:rsidRPr="00A52AB8">
        <w:rPr>
          <w:lang w:eastAsia="ja-JP"/>
        </w:rPr>
        <w:t>,</w:t>
      </w:r>
      <w:r w:rsidR="00862696" w:rsidRPr="00A52AB8">
        <w:rPr>
          <w:lang w:eastAsia="ja-JP"/>
        </w:rPr>
        <w:t xml:space="preserve"> if asps_plr_enabled_flag is equal to 1, the </w:t>
      </w:r>
      <w:r w:rsidR="00CD5D06" w:rsidRPr="00A52AB8">
        <w:rPr>
          <w:lang w:eastAsia="ja-JP"/>
        </w:rPr>
        <w:t>1D</w:t>
      </w:r>
      <w:r w:rsidR="00862696" w:rsidRPr="00A52AB8">
        <w:rPr>
          <w:lang w:eastAsia="ja-JP"/>
        </w:rPr>
        <w:t xml:space="preserve"> array</w:t>
      </w:r>
      <w:r w:rsidR="006C2E36" w:rsidRPr="00A52AB8">
        <w:rPr>
          <w:lang w:eastAsia="ja-JP"/>
        </w:rPr>
        <w:t>s</w:t>
      </w:r>
      <w:r w:rsidR="00862696" w:rsidRPr="00A52AB8">
        <w:rPr>
          <w:lang w:eastAsia="ja-JP"/>
        </w:rPr>
        <w:t xml:space="preserve"> </w:t>
      </w:r>
      <w:r w:rsidR="00CA4ADE" w:rsidRPr="00A52AB8">
        <w:rPr>
          <w:color w:val="000000" w:themeColor="text1"/>
        </w:rPr>
        <w:t>refPatchPlrdLevel,</w:t>
      </w:r>
      <w:r w:rsidR="006C2E36" w:rsidRPr="00A52AB8">
        <w:rPr>
          <w:color w:val="000000" w:themeColor="text1"/>
        </w:rPr>
        <w:t xml:space="preserve"> refPatchPlrdPresentFlag, and refPlrdModeMinus1,</w:t>
      </w:r>
      <w:r w:rsidR="00CA4ADE" w:rsidRPr="00A52AB8">
        <w:rPr>
          <w:color w:val="000000" w:themeColor="text1"/>
        </w:rPr>
        <w:t xml:space="preserve"> </w:t>
      </w:r>
      <w:r w:rsidR="00862696" w:rsidRPr="00A52AB8">
        <w:rPr>
          <w:color w:val="000000" w:themeColor="text1"/>
        </w:rPr>
        <w:t xml:space="preserve">and the </w:t>
      </w:r>
      <w:r w:rsidR="00CD5D06" w:rsidRPr="00A52AB8">
        <w:rPr>
          <w:color w:val="000000" w:themeColor="text1"/>
        </w:rPr>
        <w:t>2D</w:t>
      </w:r>
      <w:r w:rsidR="00862696" w:rsidRPr="00A52AB8">
        <w:rPr>
          <w:color w:val="000000" w:themeColor="text1"/>
        </w:rPr>
        <w:t xml:space="preserve"> arrays </w:t>
      </w:r>
      <w:r w:rsidR="00CA4ADE" w:rsidRPr="00A52AB8">
        <w:rPr>
          <w:color w:val="000000" w:themeColor="text1"/>
        </w:rPr>
        <w:t>refPatchPlrdPresentBlockFlag</w:t>
      </w:r>
      <w:r w:rsidR="006C2E36" w:rsidRPr="00A52AB8">
        <w:rPr>
          <w:color w:val="000000" w:themeColor="text1"/>
        </w:rPr>
        <w:t xml:space="preserve"> and</w:t>
      </w:r>
      <w:r w:rsidR="00CA4ADE" w:rsidRPr="00A52AB8">
        <w:rPr>
          <w:color w:val="000000" w:themeColor="text1"/>
        </w:rPr>
        <w:t xml:space="preserve"> refPatchPlrdBlockModeMinus1</w:t>
      </w:r>
      <w:r w:rsidRPr="00A52AB8">
        <w:rPr>
          <w:lang w:eastAsia="ja-JP"/>
        </w:rPr>
        <w:t>.</w:t>
      </w:r>
    </w:p>
    <w:p w14:paraId="07C0B7F6" w14:textId="56C5513E" w:rsidR="00D136BF" w:rsidRPr="00A52AB8" w:rsidRDefault="00425163">
      <w:pPr>
        <w:spacing w:before="120" w:after="120"/>
        <w:rPr>
          <w:color w:val="000000" w:themeColor="text1"/>
        </w:rPr>
      </w:pPr>
      <w:r w:rsidRPr="00A52AB8">
        <w:rPr>
          <w:color w:val="000000" w:themeColor="text1"/>
        </w:rPr>
        <w:t xml:space="preserve">First, the patch, refPatch, that has an index equal to refPatchIdx in the tile with tile ID equal to </w:t>
      </w:r>
      <w:r w:rsidR="00632FA7" w:rsidRPr="00A52AB8">
        <w:rPr>
          <w:color w:val="000000" w:themeColor="text1"/>
        </w:rPr>
        <w:t>tileID</w:t>
      </w:r>
      <w:r w:rsidRPr="00A52AB8">
        <w:rPr>
          <w:color w:val="000000" w:themeColor="text1"/>
        </w:rPr>
        <w:t xml:space="preserve"> of the refIdx-th entry of the reference atlas frame list struct, RefAtlasFrmList is determined.</w:t>
      </w:r>
    </w:p>
    <w:p w14:paraId="6CF56EEA" w14:textId="6ACA8898" w:rsidR="00930566" w:rsidRPr="00A52AB8" w:rsidRDefault="00425163">
      <w:pPr>
        <w:spacing w:before="120" w:after="120"/>
        <w:rPr>
          <w:color w:val="000000" w:themeColor="text1"/>
        </w:rPr>
      </w:pPr>
      <w:r w:rsidRPr="00A52AB8">
        <w:rPr>
          <w:color w:val="000000" w:themeColor="text1"/>
        </w:rPr>
        <w:t>Then, the outputs of this process are derived as follows:</w:t>
      </w:r>
    </w:p>
    <w:p w14:paraId="1EACF35B" w14:textId="2E7691A5" w:rsidR="009C034B" w:rsidRPr="00A52AB8" w:rsidRDefault="009C034B" w:rsidP="009C034B">
      <w:pPr>
        <w:rPr>
          <w:lang w:eastAsia="ja-JP"/>
        </w:rPr>
      </w:pPr>
      <w:r w:rsidRPr="00A52AB8">
        <w:rPr>
          <w:lang w:eastAsia="ja-JP"/>
        </w:rPr>
        <w:tab/>
        <w:t>refPatch</w:t>
      </w:r>
      <w:r w:rsidR="001A4D59" w:rsidRPr="00A52AB8">
        <w:rPr>
          <w:lang w:eastAsia="ja-JP"/>
        </w:rPr>
        <w:t>3dOffsetU</w:t>
      </w:r>
      <w:r w:rsidR="00D47707" w:rsidRPr="00A52AB8">
        <w:rPr>
          <w:lang w:eastAsia="ja-JP"/>
        </w:rPr>
        <w:t> = </w:t>
      </w:r>
      <w:r w:rsidR="00314925" w:rsidRPr="00A52AB8">
        <w:rPr>
          <w:lang w:eastAsia="ja-JP"/>
        </w:rPr>
        <w:t>TilePatch3dOffsetU</w:t>
      </w:r>
      <w:r w:rsidRPr="00A52AB8">
        <w:t>[ </w:t>
      </w:r>
      <w:r w:rsidR="00632FA7" w:rsidRPr="00A52AB8">
        <w:t>tileID</w:t>
      </w:r>
      <w:r w:rsidRPr="00A52AB8">
        <w:t> ]</w:t>
      </w:r>
      <w:r w:rsidRPr="00A52AB8">
        <w:rPr>
          <w:lang w:eastAsia="ja-JP"/>
        </w:rPr>
        <w:t>[ refPatchIdx ]</w:t>
      </w:r>
      <w:r w:rsidRPr="00A52AB8">
        <w:rPr>
          <w:lang w:eastAsia="ja-JP"/>
        </w:rPr>
        <w:tab/>
        <w:t>(</w:t>
      </w:r>
      <w:r w:rsidRPr="00496A4D">
        <w:rPr>
          <w:lang w:eastAsia="ja-JP"/>
        </w:rPr>
        <w:fldChar w:fldCharType="begin"/>
      </w:r>
      <w:r w:rsidRPr="00A52AB8">
        <w:rPr>
          <w:lang w:eastAsia="ja-JP"/>
        </w:rPr>
        <w:instrText xml:space="preserve"> SEQ Equation \* ARABIC \n </w:instrText>
      </w:r>
      <w:r w:rsidRPr="00496A4D">
        <w:rPr>
          <w:lang w:eastAsia="ja-JP"/>
        </w:rPr>
        <w:fldChar w:fldCharType="separate"/>
      </w:r>
      <w:r w:rsidR="00507A67">
        <w:rPr>
          <w:noProof/>
          <w:lang w:eastAsia="ja-JP"/>
        </w:rPr>
        <w:t>127</w:t>
      </w:r>
      <w:r w:rsidRPr="00496A4D">
        <w:rPr>
          <w:lang w:eastAsia="ja-JP"/>
        </w:rPr>
        <w:fldChar w:fldCharType="end"/>
      </w:r>
      <w:r w:rsidRPr="00A52AB8">
        <w:rPr>
          <w:lang w:eastAsia="ja-JP"/>
        </w:rPr>
        <w:t>)</w:t>
      </w:r>
    </w:p>
    <w:p w14:paraId="71A93B39" w14:textId="16E54F9F" w:rsidR="0050235C" w:rsidRPr="00A52AB8" w:rsidRDefault="009C034B" w:rsidP="009C034B">
      <w:pPr>
        <w:rPr>
          <w:lang w:eastAsia="ja-JP"/>
        </w:rPr>
      </w:pPr>
      <w:r w:rsidRPr="00A52AB8">
        <w:rPr>
          <w:lang w:eastAsia="ja-JP"/>
        </w:rPr>
        <w:tab/>
        <w:t>refPatch</w:t>
      </w:r>
      <w:r w:rsidR="001A4D59" w:rsidRPr="00A52AB8">
        <w:rPr>
          <w:lang w:eastAsia="ja-JP"/>
        </w:rPr>
        <w:t>3dOffsetV</w:t>
      </w:r>
      <w:r w:rsidR="00D47707" w:rsidRPr="00A52AB8">
        <w:rPr>
          <w:lang w:eastAsia="ja-JP"/>
        </w:rPr>
        <w:t> = </w:t>
      </w:r>
      <w:r w:rsidR="00314925" w:rsidRPr="00A52AB8">
        <w:rPr>
          <w:lang w:eastAsia="ja-JP"/>
        </w:rPr>
        <w:t>TilePatch3dOffsetV</w:t>
      </w:r>
      <w:r w:rsidRPr="00A52AB8">
        <w:t>[ </w:t>
      </w:r>
      <w:r w:rsidR="00632FA7" w:rsidRPr="00A52AB8">
        <w:t>tileID</w:t>
      </w:r>
      <w:r w:rsidRPr="00A52AB8">
        <w:t> ]</w:t>
      </w:r>
      <w:r w:rsidRPr="00A52AB8">
        <w:rPr>
          <w:lang w:eastAsia="ja-JP"/>
        </w:rPr>
        <w:t>[ refPatchIdx ]</w:t>
      </w:r>
      <w:r w:rsidRPr="00A52AB8">
        <w:rPr>
          <w:lang w:eastAsia="ja-JP"/>
        </w:rPr>
        <w:tab/>
        <w:t>(</w:t>
      </w:r>
      <w:r w:rsidRPr="00496A4D">
        <w:rPr>
          <w:lang w:eastAsia="ja-JP"/>
        </w:rPr>
        <w:fldChar w:fldCharType="begin"/>
      </w:r>
      <w:r w:rsidRPr="00A52AB8">
        <w:rPr>
          <w:lang w:eastAsia="ja-JP"/>
        </w:rPr>
        <w:instrText xml:space="preserve"> SEQ Equation \* ARABIC \n </w:instrText>
      </w:r>
      <w:r w:rsidRPr="00496A4D">
        <w:rPr>
          <w:lang w:eastAsia="ja-JP"/>
        </w:rPr>
        <w:fldChar w:fldCharType="separate"/>
      </w:r>
      <w:r w:rsidR="00507A67">
        <w:rPr>
          <w:noProof/>
          <w:lang w:eastAsia="ja-JP"/>
        </w:rPr>
        <w:t>128</w:t>
      </w:r>
      <w:r w:rsidRPr="00496A4D">
        <w:rPr>
          <w:lang w:eastAsia="ja-JP"/>
        </w:rPr>
        <w:fldChar w:fldCharType="end"/>
      </w:r>
      <w:r w:rsidRPr="00A52AB8">
        <w:rPr>
          <w:lang w:eastAsia="ja-JP"/>
        </w:rPr>
        <w:t>)</w:t>
      </w:r>
    </w:p>
    <w:p w14:paraId="726E36FC" w14:textId="3E69121C" w:rsidR="009C034B" w:rsidRPr="00A52AB8" w:rsidRDefault="009C034B" w:rsidP="009C034B">
      <w:pPr>
        <w:rPr>
          <w:lang w:eastAsia="ja-JP"/>
        </w:rPr>
      </w:pPr>
      <w:r w:rsidRPr="00A52AB8">
        <w:rPr>
          <w:lang w:eastAsia="ja-JP"/>
        </w:rPr>
        <w:tab/>
        <w:t>refPatch</w:t>
      </w:r>
      <w:r w:rsidR="001A4D59" w:rsidRPr="00A52AB8">
        <w:rPr>
          <w:lang w:eastAsia="ja-JP"/>
        </w:rPr>
        <w:t>3dOffsetD</w:t>
      </w:r>
      <w:r w:rsidR="00D47707" w:rsidRPr="00A52AB8">
        <w:rPr>
          <w:lang w:eastAsia="ja-JP"/>
        </w:rPr>
        <w:t> = </w:t>
      </w:r>
      <w:r w:rsidR="00141AB2" w:rsidRPr="00A52AB8">
        <w:rPr>
          <w:lang w:eastAsia="ja-JP"/>
        </w:rPr>
        <w:t>TilePatch3dOffsetD</w:t>
      </w:r>
      <w:r w:rsidRPr="00A52AB8">
        <w:t>[ </w:t>
      </w:r>
      <w:r w:rsidR="00632FA7" w:rsidRPr="00A52AB8">
        <w:t>tileID</w:t>
      </w:r>
      <w:r w:rsidRPr="00A52AB8">
        <w:t> ]</w:t>
      </w:r>
      <w:r w:rsidRPr="00A52AB8">
        <w:rPr>
          <w:lang w:eastAsia="ja-JP"/>
        </w:rPr>
        <w:t>[ refPatchIdx ]</w:t>
      </w:r>
      <w:r w:rsidRPr="00A52AB8">
        <w:rPr>
          <w:lang w:eastAsia="ja-JP"/>
        </w:rPr>
        <w:tab/>
        <w:t>(</w:t>
      </w:r>
      <w:r w:rsidRPr="00496A4D">
        <w:rPr>
          <w:lang w:eastAsia="ja-JP"/>
        </w:rPr>
        <w:fldChar w:fldCharType="begin"/>
      </w:r>
      <w:r w:rsidRPr="00A52AB8">
        <w:rPr>
          <w:lang w:eastAsia="ja-JP"/>
        </w:rPr>
        <w:instrText xml:space="preserve"> SEQ Equation \* ARABIC \n </w:instrText>
      </w:r>
      <w:r w:rsidRPr="00496A4D">
        <w:rPr>
          <w:lang w:eastAsia="ja-JP"/>
        </w:rPr>
        <w:fldChar w:fldCharType="separate"/>
      </w:r>
      <w:r w:rsidR="00507A67">
        <w:rPr>
          <w:noProof/>
          <w:lang w:eastAsia="ja-JP"/>
        </w:rPr>
        <w:t>129</w:t>
      </w:r>
      <w:r w:rsidRPr="00496A4D">
        <w:rPr>
          <w:lang w:eastAsia="ja-JP"/>
        </w:rPr>
        <w:fldChar w:fldCharType="end"/>
      </w:r>
      <w:r w:rsidRPr="00A52AB8">
        <w:rPr>
          <w:lang w:eastAsia="ja-JP"/>
        </w:rPr>
        <w:t>)</w:t>
      </w:r>
    </w:p>
    <w:p w14:paraId="6AA7BB8E" w14:textId="336381BC" w:rsidR="003678B0" w:rsidRPr="00A52AB8" w:rsidRDefault="009C034B" w:rsidP="003678B0">
      <w:pPr>
        <w:rPr>
          <w:lang w:eastAsia="ja-JP"/>
        </w:rPr>
      </w:pPr>
      <w:r w:rsidRPr="00A52AB8">
        <w:rPr>
          <w:lang w:eastAsia="ja-JP"/>
        </w:rPr>
        <w:tab/>
        <w:t>refPatch</w:t>
      </w:r>
      <w:r w:rsidR="001A4D59" w:rsidRPr="00A52AB8">
        <w:rPr>
          <w:lang w:eastAsia="ja-JP"/>
        </w:rPr>
        <w:t>3dRangeD</w:t>
      </w:r>
      <w:r w:rsidR="00D47707" w:rsidRPr="00A52AB8">
        <w:rPr>
          <w:lang w:eastAsia="ja-JP"/>
        </w:rPr>
        <w:t> = </w:t>
      </w:r>
      <w:r w:rsidR="00FB257C" w:rsidRPr="00A52AB8">
        <w:rPr>
          <w:lang w:eastAsia="ja-JP"/>
        </w:rPr>
        <w:t>Tile</w:t>
      </w:r>
      <w:r w:rsidRPr="00A52AB8">
        <w:rPr>
          <w:lang w:eastAsia="ja-JP"/>
        </w:rPr>
        <w:t>Patch</w:t>
      </w:r>
      <w:r w:rsidR="001A4D59" w:rsidRPr="00A52AB8">
        <w:rPr>
          <w:lang w:eastAsia="ja-JP"/>
        </w:rPr>
        <w:t>3dRangeD</w:t>
      </w:r>
      <w:r w:rsidRPr="00A52AB8">
        <w:rPr>
          <w:lang w:eastAsia="ja-JP"/>
        </w:rPr>
        <w:t>[ </w:t>
      </w:r>
      <w:r w:rsidR="00632FA7" w:rsidRPr="00A52AB8">
        <w:rPr>
          <w:lang w:eastAsia="ja-JP"/>
        </w:rPr>
        <w:t>tileID</w:t>
      </w:r>
      <w:r w:rsidRPr="00A52AB8">
        <w:rPr>
          <w:lang w:eastAsia="ja-JP"/>
        </w:rPr>
        <w:t xml:space="preserve"> ][ refPatchIdx ] </w:t>
      </w:r>
      <w:r w:rsidRPr="00A52AB8">
        <w:rPr>
          <w:lang w:eastAsia="ja-JP"/>
        </w:rPr>
        <w:tab/>
        <w:t>(</w:t>
      </w:r>
      <w:r w:rsidRPr="00496A4D">
        <w:rPr>
          <w:lang w:eastAsia="ja-JP"/>
        </w:rPr>
        <w:fldChar w:fldCharType="begin"/>
      </w:r>
      <w:r w:rsidRPr="00A52AB8">
        <w:rPr>
          <w:lang w:eastAsia="ja-JP"/>
        </w:rPr>
        <w:instrText xml:space="preserve"> SEQ Equation \* ARABIC \n </w:instrText>
      </w:r>
      <w:r w:rsidRPr="00496A4D">
        <w:rPr>
          <w:lang w:eastAsia="ja-JP"/>
        </w:rPr>
        <w:fldChar w:fldCharType="separate"/>
      </w:r>
      <w:r w:rsidR="00507A67">
        <w:rPr>
          <w:noProof/>
          <w:lang w:eastAsia="ja-JP"/>
        </w:rPr>
        <w:t>130</w:t>
      </w:r>
      <w:r w:rsidRPr="00496A4D">
        <w:rPr>
          <w:lang w:eastAsia="ja-JP"/>
        </w:rPr>
        <w:fldChar w:fldCharType="end"/>
      </w:r>
      <w:r w:rsidRPr="00A52AB8">
        <w:rPr>
          <w:lang w:eastAsia="ja-JP"/>
        </w:rPr>
        <w:t>)</w:t>
      </w:r>
    </w:p>
    <w:p w14:paraId="17C9342F" w14:textId="01704006" w:rsidR="003678B0" w:rsidRPr="00A52AB8" w:rsidRDefault="003678B0" w:rsidP="003678B0">
      <w:pPr>
        <w:rPr>
          <w:lang w:eastAsia="ja-JP"/>
        </w:rPr>
      </w:pPr>
      <w:r w:rsidRPr="00A52AB8">
        <w:rPr>
          <w:lang w:eastAsia="ja-JP"/>
        </w:rPr>
        <w:tab/>
        <w:t>refPatch</w:t>
      </w:r>
      <w:r w:rsidR="008C0B42" w:rsidRPr="00A52AB8">
        <w:rPr>
          <w:lang w:eastAsia="ja-JP"/>
        </w:rPr>
        <w:t>P</w:t>
      </w:r>
      <w:r w:rsidRPr="00A52AB8">
        <w:rPr>
          <w:lang w:eastAsia="ja-JP"/>
        </w:rPr>
        <w:t>rojectionID</w:t>
      </w:r>
      <w:r w:rsidR="00D47707" w:rsidRPr="00A52AB8">
        <w:rPr>
          <w:lang w:eastAsia="ja-JP"/>
        </w:rPr>
        <w:t> = </w:t>
      </w:r>
      <w:r w:rsidRPr="00A52AB8">
        <w:rPr>
          <w:lang w:eastAsia="ja-JP"/>
        </w:rPr>
        <w:t>TilePatchProjectionID</w:t>
      </w:r>
      <w:r w:rsidRPr="00A52AB8">
        <w:t>[ tileID ]</w:t>
      </w:r>
      <w:r w:rsidRPr="00A52AB8">
        <w:rPr>
          <w:lang w:eastAsia="ja-JP"/>
        </w:rPr>
        <w:t>[ refPatchIdx ]</w:t>
      </w:r>
      <w:r w:rsidRPr="00A52AB8">
        <w:rPr>
          <w:lang w:eastAsia="ja-JP"/>
        </w:rPr>
        <w:tab/>
        <w:t>(</w:t>
      </w:r>
      <w:r w:rsidRPr="00496A4D">
        <w:rPr>
          <w:lang w:eastAsia="ja-JP"/>
        </w:rPr>
        <w:fldChar w:fldCharType="begin"/>
      </w:r>
      <w:r w:rsidRPr="00A52AB8">
        <w:rPr>
          <w:lang w:eastAsia="ja-JP"/>
        </w:rPr>
        <w:instrText xml:space="preserve"> SEQ Equation \* ARABIC \n </w:instrText>
      </w:r>
      <w:r w:rsidRPr="00496A4D">
        <w:rPr>
          <w:lang w:eastAsia="ja-JP"/>
        </w:rPr>
        <w:fldChar w:fldCharType="separate"/>
      </w:r>
      <w:r w:rsidR="00507A67">
        <w:rPr>
          <w:noProof/>
          <w:lang w:eastAsia="ja-JP"/>
        </w:rPr>
        <w:t>131</w:t>
      </w:r>
      <w:r w:rsidRPr="00496A4D">
        <w:rPr>
          <w:lang w:eastAsia="ja-JP"/>
        </w:rPr>
        <w:fldChar w:fldCharType="end"/>
      </w:r>
      <w:r w:rsidRPr="00A52AB8">
        <w:rPr>
          <w:lang w:eastAsia="ja-JP"/>
        </w:rPr>
        <w:t>)</w:t>
      </w:r>
    </w:p>
    <w:p w14:paraId="3FD32781" w14:textId="30053CCC" w:rsidR="003678B0" w:rsidRPr="00A52AB8" w:rsidRDefault="003678B0" w:rsidP="003678B0">
      <w:pPr>
        <w:rPr>
          <w:lang w:eastAsia="ja-JP"/>
        </w:rPr>
      </w:pPr>
      <w:r w:rsidRPr="00A52AB8">
        <w:rPr>
          <w:lang w:eastAsia="ja-JP"/>
        </w:rPr>
        <w:tab/>
        <w:t>refPatchOrientationIndex</w:t>
      </w:r>
      <w:r w:rsidR="00D47707" w:rsidRPr="00A52AB8">
        <w:rPr>
          <w:lang w:eastAsia="ja-JP"/>
        </w:rPr>
        <w:t> = </w:t>
      </w:r>
      <w:r w:rsidRPr="00A52AB8">
        <w:rPr>
          <w:lang w:eastAsia="ja-JP"/>
        </w:rPr>
        <w:t>TilePatchOrientationIndex</w:t>
      </w:r>
      <w:r w:rsidRPr="00A52AB8">
        <w:t>[ tileID ]</w:t>
      </w:r>
      <w:r w:rsidRPr="00A52AB8">
        <w:rPr>
          <w:lang w:eastAsia="ja-JP"/>
        </w:rPr>
        <w:t>[ refPatchIdx ]</w:t>
      </w:r>
      <w:r w:rsidRPr="00A52AB8">
        <w:rPr>
          <w:lang w:eastAsia="ja-JP"/>
        </w:rPr>
        <w:tab/>
        <w:t>(</w:t>
      </w:r>
      <w:r w:rsidRPr="00496A4D">
        <w:rPr>
          <w:lang w:eastAsia="ja-JP"/>
        </w:rPr>
        <w:fldChar w:fldCharType="begin"/>
      </w:r>
      <w:r w:rsidRPr="00A52AB8">
        <w:rPr>
          <w:lang w:eastAsia="ja-JP"/>
        </w:rPr>
        <w:instrText xml:space="preserve"> SEQ Equation \* ARABIC \n </w:instrText>
      </w:r>
      <w:r w:rsidRPr="00496A4D">
        <w:rPr>
          <w:lang w:eastAsia="ja-JP"/>
        </w:rPr>
        <w:fldChar w:fldCharType="separate"/>
      </w:r>
      <w:r w:rsidR="00507A67">
        <w:rPr>
          <w:noProof/>
          <w:lang w:eastAsia="ja-JP"/>
        </w:rPr>
        <w:t>132</w:t>
      </w:r>
      <w:r w:rsidRPr="00496A4D">
        <w:rPr>
          <w:lang w:eastAsia="ja-JP"/>
        </w:rPr>
        <w:fldChar w:fldCharType="end"/>
      </w:r>
      <w:r w:rsidRPr="00A52AB8">
        <w:rPr>
          <w:lang w:eastAsia="ja-JP"/>
        </w:rPr>
        <w:t>)</w:t>
      </w:r>
    </w:p>
    <w:p w14:paraId="69816A2E" w14:textId="3BDCC05C" w:rsidR="00192A3D" w:rsidRPr="00A52AB8" w:rsidRDefault="00192A3D" w:rsidP="003678B0">
      <w:pPr>
        <w:rPr>
          <w:lang w:eastAsia="ja-JP"/>
        </w:rPr>
      </w:pPr>
      <w:r w:rsidRPr="00A52AB8">
        <w:rPr>
          <w:lang w:eastAsia="ja-JP"/>
        </w:rPr>
        <w:tab/>
        <w:t>refPatchLoDScaleX</w:t>
      </w:r>
      <w:r w:rsidR="00D47707" w:rsidRPr="00A52AB8">
        <w:rPr>
          <w:lang w:eastAsia="ja-JP"/>
        </w:rPr>
        <w:t> = </w:t>
      </w:r>
      <w:r w:rsidR="00FB257C" w:rsidRPr="00A52AB8">
        <w:rPr>
          <w:lang w:eastAsia="ja-JP"/>
        </w:rPr>
        <w:t>Tile</w:t>
      </w:r>
      <w:r w:rsidRPr="00A52AB8">
        <w:rPr>
          <w:lang w:eastAsia="ja-JP"/>
        </w:rPr>
        <w:t>PatchLoDScaleX</w:t>
      </w:r>
      <w:r w:rsidRPr="00A52AB8">
        <w:t>[ </w:t>
      </w:r>
      <w:r w:rsidR="00632FA7" w:rsidRPr="00A52AB8">
        <w:t>tileID</w:t>
      </w:r>
      <w:r w:rsidRPr="00A52AB8">
        <w:t> ]</w:t>
      </w:r>
      <w:r w:rsidRPr="00A52AB8">
        <w:rPr>
          <w:lang w:eastAsia="ja-JP"/>
        </w:rPr>
        <w:t>[ refPatchIdx ]</w:t>
      </w:r>
      <w:r w:rsidRPr="00A52AB8">
        <w:rPr>
          <w:lang w:eastAsia="ja-JP"/>
        </w:rPr>
        <w:tab/>
        <w:t>(</w:t>
      </w:r>
      <w:r w:rsidRPr="00496A4D">
        <w:rPr>
          <w:lang w:eastAsia="ja-JP"/>
        </w:rPr>
        <w:fldChar w:fldCharType="begin"/>
      </w:r>
      <w:r w:rsidRPr="00A52AB8">
        <w:rPr>
          <w:lang w:eastAsia="ja-JP"/>
        </w:rPr>
        <w:instrText xml:space="preserve"> SEQ Equation \* ARABIC \n </w:instrText>
      </w:r>
      <w:r w:rsidRPr="00496A4D">
        <w:rPr>
          <w:lang w:eastAsia="ja-JP"/>
        </w:rPr>
        <w:fldChar w:fldCharType="separate"/>
      </w:r>
      <w:r w:rsidR="00507A67">
        <w:rPr>
          <w:noProof/>
          <w:lang w:eastAsia="ja-JP"/>
        </w:rPr>
        <w:t>133</w:t>
      </w:r>
      <w:r w:rsidRPr="00496A4D">
        <w:rPr>
          <w:lang w:eastAsia="ja-JP"/>
        </w:rPr>
        <w:fldChar w:fldCharType="end"/>
      </w:r>
      <w:r w:rsidRPr="00A52AB8">
        <w:rPr>
          <w:lang w:eastAsia="ja-JP"/>
        </w:rPr>
        <w:t>)</w:t>
      </w:r>
    </w:p>
    <w:p w14:paraId="24D343B3" w14:textId="303F8DA5" w:rsidR="00D06727" w:rsidRPr="00A52AB8" w:rsidRDefault="00192A3D" w:rsidP="00D06727">
      <w:pPr>
        <w:rPr>
          <w:lang w:eastAsia="ja-JP"/>
        </w:rPr>
      </w:pPr>
      <w:r w:rsidRPr="00A52AB8">
        <w:rPr>
          <w:lang w:eastAsia="ja-JP"/>
        </w:rPr>
        <w:tab/>
        <w:t>refPatchLoDScaleY</w:t>
      </w:r>
      <w:r w:rsidR="00D47707" w:rsidRPr="00A52AB8">
        <w:rPr>
          <w:lang w:eastAsia="ja-JP"/>
        </w:rPr>
        <w:t> = </w:t>
      </w:r>
      <w:r w:rsidR="00FB257C" w:rsidRPr="00A52AB8">
        <w:rPr>
          <w:lang w:eastAsia="ja-JP"/>
        </w:rPr>
        <w:t>Tile</w:t>
      </w:r>
      <w:r w:rsidRPr="00A52AB8">
        <w:rPr>
          <w:lang w:eastAsia="ja-JP"/>
        </w:rPr>
        <w:t>PatchLoDScaleY[ </w:t>
      </w:r>
      <w:r w:rsidR="00632FA7" w:rsidRPr="00A52AB8">
        <w:rPr>
          <w:lang w:eastAsia="ja-JP"/>
        </w:rPr>
        <w:t>tileID</w:t>
      </w:r>
      <w:r w:rsidRPr="00A52AB8">
        <w:rPr>
          <w:lang w:eastAsia="ja-JP"/>
        </w:rPr>
        <w:t> ][ refPatchIdx ]</w:t>
      </w:r>
      <w:r w:rsidRPr="00A52AB8">
        <w:rPr>
          <w:lang w:eastAsia="ja-JP"/>
        </w:rPr>
        <w:tab/>
        <w:t>(</w:t>
      </w:r>
      <w:r w:rsidRPr="00496A4D">
        <w:rPr>
          <w:lang w:eastAsia="ja-JP"/>
        </w:rPr>
        <w:fldChar w:fldCharType="begin"/>
      </w:r>
      <w:r w:rsidRPr="00A52AB8">
        <w:rPr>
          <w:lang w:eastAsia="ja-JP"/>
        </w:rPr>
        <w:instrText xml:space="preserve"> SEQ Equation \* ARABIC \n </w:instrText>
      </w:r>
      <w:r w:rsidRPr="00496A4D">
        <w:rPr>
          <w:lang w:eastAsia="ja-JP"/>
        </w:rPr>
        <w:fldChar w:fldCharType="separate"/>
      </w:r>
      <w:r w:rsidR="00507A67">
        <w:rPr>
          <w:noProof/>
          <w:lang w:eastAsia="ja-JP"/>
        </w:rPr>
        <w:t>134</w:t>
      </w:r>
      <w:r w:rsidRPr="00496A4D">
        <w:rPr>
          <w:lang w:eastAsia="ja-JP"/>
        </w:rPr>
        <w:fldChar w:fldCharType="end"/>
      </w:r>
      <w:r w:rsidRPr="00A52AB8">
        <w:rPr>
          <w:lang w:eastAsia="ja-JP"/>
        </w:rPr>
        <w:t>)</w:t>
      </w:r>
    </w:p>
    <w:p w14:paraId="57D8ED76" w14:textId="77777777" w:rsidR="00D06727" w:rsidRPr="00A52AB8" w:rsidRDefault="00D06727" w:rsidP="004A6049">
      <w:pPr>
        <w:tabs>
          <w:tab w:val="clear" w:pos="1210"/>
          <w:tab w:val="clear" w:pos="1613"/>
          <w:tab w:val="clear" w:pos="2016"/>
        </w:tabs>
        <w:rPr>
          <w:lang w:eastAsia="ja-JP"/>
        </w:rPr>
      </w:pPr>
      <w:r w:rsidRPr="00A52AB8">
        <w:rPr>
          <w:lang w:eastAsia="ja-JP"/>
        </w:rPr>
        <w:t>If asps_plr_enabled_flag is equal to 1, the following applies:</w:t>
      </w:r>
    </w:p>
    <w:p w14:paraId="415FE2B9" w14:textId="559AEB62" w:rsidR="00D06727" w:rsidRPr="00A52AB8" w:rsidRDefault="004D7261" w:rsidP="009A61A4">
      <w:pPr>
        <w:jc w:val="left"/>
        <w:rPr>
          <w:color w:val="000000" w:themeColor="text1"/>
        </w:rPr>
      </w:pPr>
      <w:r w:rsidRPr="00A52AB8">
        <w:tab/>
      </w:r>
      <w:r w:rsidR="00D47911" w:rsidRPr="00A52AB8">
        <w:t>blockCnt</w:t>
      </w:r>
      <w:r w:rsidR="00D47707" w:rsidRPr="00A52AB8">
        <w:t> = </w:t>
      </w:r>
      <w:r w:rsidR="00D47911" w:rsidRPr="00A52AB8">
        <w:t>BlockCnt( TilePatch2dSizeX[ tileID ][ </w:t>
      </w:r>
      <w:r w:rsidR="006C2E36" w:rsidRPr="00A52AB8">
        <w:rPr>
          <w:lang w:eastAsia="ja-JP"/>
        </w:rPr>
        <w:t>refPatchIdx</w:t>
      </w:r>
      <w:r w:rsidR="00D47911" w:rsidRPr="00A52AB8">
        <w:t> ],</w:t>
      </w:r>
      <w:r w:rsidR="006C2E36" w:rsidRPr="00A52AB8">
        <w:br/>
      </w:r>
      <w:r w:rsidR="006C2E36" w:rsidRPr="00A52AB8">
        <w:tab/>
      </w:r>
      <w:r w:rsidR="006C2E36" w:rsidRPr="00A52AB8">
        <w:tab/>
      </w:r>
      <w:r w:rsidR="006C2E36" w:rsidRPr="00A52AB8">
        <w:tab/>
      </w:r>
      <w:r w:rsidR="006C2E36" w:rsidRPr="00A52AB8">
        <w:tab/>
      </w:r>
      <w:r w:rsidR="00D47911" w:rsidRPr="00A52AB8">
        <w:t> TilePatch2dSizeY[ tileID ][ </w:t>
      </w:r>
      <w:r w:rsidR="006C2E36" w:rsidRPr="00A52AB8">
        <w:rPr>
          <w:lang w:eastAsia="ja-JP"/>
        </w:rPr>
        <w:t>refPatchIdx</w:t>
      </w:r>
      <w:r w:rsidR="00D47911" w:rsidRPr="00A52AB8">
        <w:t> ] )</w:t>
      </w:r>
      <w:r w:rsidR="00D47911" w:rsidRPr="00A52AB8">
        <w:br/>
      </w:r>
      <w:r w:rsidRPr="00A52AB8">
        <w:tab/>
      </w:r>
      <w:r w:rsidR="00D06727" w:rsidRPr="00A52AB8">
        <w:t>for( m</w:t>
      </w:r>
      <w:r w:rsidR="00D47707" w:rsidRPr="00A52AB8">
        <w:t> = </w:t>
      </w:r>
      <w:r w:rsidR="00D06727" w:rsidRPr="00A52AB8">
        <w:t>0; m &lt; asps_map_count_minus1 + 1; m</w:t>
      </w:r>
      <w:r w:rsidR="00006CCF" w:rsidRPr="00A52AB8">
        <w:t>++ </w:t>
      </w:r>
      <w:r w:rsidR="008F1F82" w:rsidRPr="00A52AB8">
        <w:t>) {</w:t>
      </w:r>
      <w:r w:rsidR="00D06727" w:rsidRPr="00A52AB8">
        <w:br/>
      </w:r>
      <w:r w:rsidR="00D06727" w:rsidRPr="00A52AB8">
        <w:rPr>
          <w:color w:val="000000" w:themeColor="text1"/>
        </w:rPr>
        <w:tab/>
      </w:r>
      <w:r w:rsidR="00D06727" w:rsidRPr="00A52AB8">
        <w:rPr>
          <w:color w:val="000000" w:themeColor="text1"/>
        </w:rPr>
        <w:tab/>
        <w:t>if( plri_map_present_flag[ m ]</w:t>
      </w:r>
      <w:r w:rsidR="008768E9" w:rsidRPr="00A52AB8">
        <w:rPr>
          <w:color w:val="000000" w:themeColor="text1"/>
        </w:rPr>
        <w:t> </w:t>
      </w:r>
      <w:r w:rsidR="00726AAE" w:rsidRPr="00A52AB8">
        <w:rPr>
          <w:color w:val="000000" w:themeColor="text1"/>
        </w:rPr>
        <w:t>==</w:t>
      </w:r>
      <w:r w:rsidR="00D47707" w:rsidRPr="00A52AB8">
        <w:rPr>
          <w:color w:val="000000" w:themeColor="text1"/>
        </w:rPr>
        <w:t> </w:t>
      </w:r>
      <w:r w:rsidR="00D06727" w:rsidRPr="00A52AB8">
        <w:rPr>
          <w:color w:val="000000" w:themeColor="text1"/>
        </w:rPr>
        <w:t>1 </w:t>
      </w:r>
      <w:r w:rsidR="008F1F82" w:rsidRPr="00A52AB8">
        <w:rPr>
          <w:color w:val="000000" w:themeColor="text1"/>
        </w:rPr>
        <w:t>) {</w:t>
      </w:r>
      <w:r w:rsidR="00D06727" w:rsidRPr="00A52AB8">
        <w:rPr>
          <w:color w:val="000000" w:themeColor="text1"/>
        </w:rPr>
        <w:br/>
      </w:r>
      <w:r w:rsidR="00D06727" w:rsidRPr="00A52AB8">
        <w:rPr>
          <w:color w:val="000000" w:themeColor="text1"/>
        </w:rPr>
        <w:tab/>
      </w:r>
      <w:r w:rsidR="00D06727" w:rsidRPr="00A52AB8">
        <w:rPr>
          <w:color w:val="000000" w:themeColor="text1"/>
        </w:rPr>
        <w:tab/>
      </w:r>
      <w:r w:rsidR="00D06727" w:rsidRPr="00A52AB8">
        <w:rPr>
          <w:color w:val="000000" w:themeColor="text1"/>
        </w:rPr>
        <w:tab/>
      </w:r>
      <w:r w:rsidR="00772B4B" w:rsidRPr="00A52AB8">
        <w:rPr>
          <w:color w:val="000000" w:themeColor="text1"/>
        </w:rPr>
        <w:t>refPatchPlrdLevel[ m ]</w:t>
      </w:r>
      <w:r w:rsidR="00D47707" w:rsidRPr="00A52AB8">
        <w:rPr>
          <w:color w:val="000000" w:themeColor="text1"/>
        </w:rPr>
        <w:t> = </w:t>
      </w:r>
      <w:r w:rsidR="00D06727" w:rsidRPr="00A52AB8">
        <w:rPr>
          <w:color w:val="000000" w:themeColor="text1"/>
        </w:rPr>
        <w:t>TilePatchPlrdLevel[ tileID ][ </w:t>
      </w:r>
      <w:r w:rsidR="00772B4B" w:rsidRPr="00A52AB8">
        <w:rPr>
          <w:color w:val="000000" w:themeColor="text1"/>
        </w:rPr>
        <w:t>refPatchIdx</w:t>
      </w:r>
      <w:r w:rsidR="00D06727" w:rsidRPr="00A52AB8">
        <w:rPr>
          <w:color w:val="000000" w:themeColor="text1"/>
        </w:rPr>
        <w:t> ]</w:t>
      </w:r>
      <w:r w:rsidR="00E869BD" w:rsidRPr="00A52AB8">
        <w:rPr>
          <w:color w:val="000000" w:themeColor="text1"/>
        </w:rPr>
        <w:t>[ m ]</w:t>
      </w:r>
      <w:r w:rsidRPr="00A52AB8">
        <w:rPr>
          <w:color w:val="000000" w:themeColor="text1"/>
        </w:rPr>
        <w:br/>
      </w:r>
      <w:r w:rsidR="00D06727" w:rsidRPr="00A52AB8">
        <w:rPr>
          <w:color w:val="000000" w:themeColor="text1"/>
        </w:rPr>
        <w:tab/>
      </w:r>
      <w:r w:rsidR="00D06727" w:rsidRPr="00A52AB8">
        <w:rPr>
          <w:color w:val="000000" w:themeColor="text1"/>
        </w:rPr>
        <w:tab/>
      </w:r>
      <w:r w:rsidR="00D06727" w:rsidRPr="00A52AB8">
        <w:rPr>
          <w:color w:val="000000" w:themeColor="text1"/>
        </w:rPr>
        <w:tab/>
        <w:t xml:space="preserve">if( </w:t>
      </w:r>
      <w:r w:rsidR="00772B4B" w:rsidRPr="00A52AB8">
        <w:rPr>
          <w:color w:val="000000" w:themeColor="text1"/>
        </w:rPr>
        <w:t>refPatchPlrdLevel[ m </w:t>
      </w:r>
      <w:r w:rsidRPr="00A52AB8">
        <w:rPr>
          <w:color w:val="000000" w:themeColor="text1"/>
        </w:rPr>
        <w:t>]</w:t>
      </w:r>
      <w:r w:rsidR="008768E9" w:rsidRPr="00A52AB8">
        <w:rPr>
          <w:color w:val="000000" w:themeColor="text1"/>
        </w:rPr>
        <w:t> </w:t>
      </w:r>
      <w:r w:rsidR="00726AAE" w:rsidRPr="00A52AB8">
        <w:rPr>
          <w:color w:val="000000" w:themeColor="text1"/>
        </w:rPr>
        <w:t>==</w:t>
      </w:r>
      <w:r w:rsidR="00D47707" w:rsidRPr="00A52AB8">
        <w:rPr>
          <w:color w:val="000000" w:themeColor="text1"/>
        </w:rPr>
        <w:t> </w:t>
      </w:r>
      <w:r w:rsidR="00D06727" w:rsidRPr="00A52AB8">
        <w:rPr>
          <w:color w:val="000000" w:themeColor="text1"/>
        </w:rPr>
        <w:t>0 </w:t>
      </w:r>
      <w:r w:rsidR="008F1F82" w:rsidRPr="00A52AB8">
        <w:rPr>
          <w:color w:val="000000" w:themeColor="text1"/>
        </w:rPr>
        <w:t>) {</w:t>
      </w:r>
      <w:r w:rsidRPr="00A52AB8">
        <w:rPr>
          <w:color w:val="000000" w:themeColor="text1"/>
        </w:rPr>
        <w:br/>
      </w:r>
      <w:r w:rsidR="00D06727" w:rsidRPr="00A52AB8">
        <w:rPr>
          <w:color w:val="000000" w:themeColor="text1"/>
        </w:rPr>
        <w:tab/>
      </w:r>
      <w:r w:rsidR="00D06727" w:rsidRPr="00A52AB8">
        <w:rPr>
          <w:color w:val="000000" w:themeColor="text1"/>
        </w:rPr>
        <w:tab/>
      </w:r>
      <w:r w:rsidR="00D06727" w:rsidRPr="00A52AB8">
        <w:rPr>
          <w:color w:val="000000" w:themeColor="text1"/>
        </w:rPr>
        <w:tab/>
      </w:r>
      <w:r w:rsidR="00D06727" w:rsidRPr="00A52AB8">
        <w:rPr>
          <w:color w:val="000000" w:themeColor="text1"/>
        </w:rPr>
        <w:tab/>
        <w:t>for( j</w:t>
      </w:r>
      <w:r w:rsidR="00D47707" w:rsidRPr="00A52AB8">
        <w:rPr>
          <w:color w:val="000000" w:themeColor="text1"/>
        </w:rPr>
        <w:t> = </w:t>
      </w:r>
      <w:r w:rsidR="00D06727" w:rsidRPr="00A52AB8">
        <w:rPr>
          <w:color w:val="000000" w:themeColor="text1"/>
        </w:rPr>
        <w:t>0; j &lt; </w:t>
      </w:r>
      <w:r w:rsidR="00D47911" w:rsidRPr="00A52AB8">
        <w:rPr>
          <w:color w:val="000000" w:themeColor="text1"/>
        </w:rPr>
        <w:t>b</w:t>
      </w:r>
      <w:r w:rsidR="00D06727" w:rsidRPr="00A52AB8">
        <w:rPr>
          <w:color w:val="000000" w:themeColor="text1"/>
        </w:rPr>
        <w:t>lockCnt; j</w:t>
      </w:r>
      <w:r w:rsidR="00006CCF" w:rsidRPr="00A52AB8">
        <w:rPr>
          <w:color w:val="000000" w:themeColor="text1"/>
        </w:rPr>
        <w:t>++ </w:t>
      </w:r>
      <w:r w:rsidR="008F1F82" w:rsidRPr="00A52AB8">
        <w:rPr>
          <w:color w:val="000000" w:themeColor="text1"/>
        </w:rPr>
        <w:t>) {</w:t>
      </w:r>
      <w:r w:rsidRPr="00A52AB8">
        <w:rPr>
          <w:color w:val="000000" w:themeColor="text1"/>
        </w:rPr>
        <w:br/>
      </w:r>
      <w:r w:rsidR="00D06727" w:rsidRPr="00A52AB8">
        <w:rPr>
          <w:color w:val="000000" w:themeColor="text1"/>
        </w:rPr>
        <w:tab/>
      </w:r>
      <w:r w:rsidR="00D06727" w:rsidRPr="00A52AB8">
        <w:rPr>
          <w:color w:val="000000" w:themeColor="text1"/>
        </w:rPr>
        <w:tab/>
      </w:r>
      <w:r w:rsidR="00772B4B" w:rsidRPr="00A52AB8">
        <w:rPr>
          <w:color w:val="000000" w:themeColor="text1"/>
        </w:rPr>
        <w:tab/>
      </w:r>
      <w:r w:rsidR="00772B4B" w:rsidRPr="00A52AB8">
        <w:rPr>
          <w:color w:val="000000" w:themeColor="text1"/>
        </w:rPr>
        <w:tab/>
      </w:r>
      <w:r w:rsidR="00772B4B" w:rsidRPr="00A52AB8">
        <w:rPr>
          <w:color w:val="000000" w:themeColor="text1"/>
        </w:rPr>
        <w:tab/>
        <w:t>refPatchPlrdPresentBlockFlag[ m ][ j ] =</w:t>
      </w:r>
      <w:r w:rsidRPr="00A52AB8">
        <w:rPr>
          <w:color w:val="000000" w:themeColor="text1"/>
        </w:rPr>
        <w:br/>
      </w:r>
      <w:r w:rsidR="00772B4B" w:rsidRPr="00A52AB8">
        <w:rPr>
          <w:color w:val="000000" w:themeColor="text1"/>
        </w:rPr>
        <w:tab/>
      </w:r>
      <w:r w:rsidR="00772B4B" w:rsidRPr="00A52AB8">
        <w:rPr>
          <w:color w:val="000000" w:themeColor="text1"/>
        </w:rPr>
        <w:tab/>
      </w:r>
      <w:r w:rsidR="00772B4B" w:rsidRPr="00A52AB8">
        <w:rPr>
          <w:color w:val="000000" w:themeColor="text1"/>
        </w:rPr>
        <w:tab/>
      </w:r>
      <w:r w:rsidR="00772B4B" w:rsidRPr="00A52AB8">
        <w:rPr>
          <w:color w:val="000000" w:themeColor="text1"/>
        </w:rPr>
        <w:tab/>
      </w:r>
      <w:r w:rsidR="00772B4B" w:rsidRPr="00A52AB8">
        <w:rPr>
          <w:color w:val="000000" w:themeColor="text1"/>
        </w:rPr>
        <w:tab/>
      </w:r>
      <w:r w:rsidR="00772B4B" w:rsidRPr="00A52AB8">
        <w:rPr>
          <w:color w:val="000000" w:themeColor="text1"/>
        </w:rPr>
        <w:tab/>
      </w:r>
      <w:r w:rsidR="00D06727" w:rsidRPr="00A52AB8">
        <w:rPr>
          <w:color w:val="000000" w:themeColor="text1"/>
        </w:rPr>
        <w:t>TilePatchPlrdPresentBlockFlag[ tileID </w:t>
      </w:r>
      <w:r w:rsidR="00E869BD" w:rsidRPr="00A52AB8">
        <w:rPr>
          <w:color w:val="000000" w:themeColor="text1"/>
        </w:rPr>
        <w:t>]</w:t>
      </w:r>
      <w:r w:rsidR="00D06727" w:rsidRPr="00A52AB8">
        <w:rPr>
          <w:color w:val="000000" w:themeColor="text1"/>
        </w:rPr>
        <w:t>[ </w:t>
      </w:r>
      <w:r w:rsidR="00772B4B" w:rsidRPr="00A52AB8">
        <w:rPr>
          <w:color w:val="000000" w:themeColor="text1"/>
        </w:rPr>
        <w:t>refPatchIdx</w:t>
      </w:r>
      <w:r w:rsidR="00D06727" w:rsidRPr="00A52AB8">
        <w:rPr>
          <w:color w:val="000000" w:themeColor="text1"/>
        </w:rPr>
        <w:t> ]</w:t>
      </w:r>
      <w:r w:rsidR="00E869BD" w:rsidRPr="00A52AB8">
        <w:rPr>
          <w:color w:val="000000" w:themeColor="text1"/>
        </w:rPr>
        <w:t>[ m ]</w:t>
      </w:r>
      <w:r w:rsidR="00D06727" w:rsidRPr="00A52AB8">
        <w:rPr>
          <w:color w:val="000000" w:themeColor="text1"/>
        </w:rPr>
        <w:t>[ j ]</w:t>
      </w:r>
      <w:r w:rsidR="00D06727" w:rsidRPr="00A52AB8">
        <w:rPr>
          <w:color w:val="000000" w:themeColor="text1"/>
        </w:rPr>
        <w:tab/>
      </w:r>
      <w:r w:rsidR="00D06727" w:rsidRPr="00A52AB8">
        <w:rPr>
          <w:color w:val="000000" w:themeColor="text1"/>
        </w:rPr>
        <w:tab/>
      </w:r>
      <w:r w:rsidR="00D06727" w:rsidRPr="00A52AB8">
        <w:rPr>
          <w:color w:val="000000" w:themeColor="text1"/>
        </w:rPr>
        <w:tab/>
      </w:r>
      <w:r w:rsidR="00D06727" w:rsidRPr="00A52AB8">
        <w:rPr>
          <w:color w:val="000000" w:themeColor="text1"/>
        </w:rPr>
        <w:tab/>
      </w:r>
      <w:r w:rsidR="00D06727" w:rsidRPr="00A52AB8">
        <w:rPr>
          <w:color w:val="000000" w:themeColor="text1"/>
        </w:rPr>
        <w:tab/>
      </w:r>
      <w:r w:rsidRPr="00A52AB8">
        <w:rPr>
          <w:color w:val="000000" w:themeColor="text1"/>
        </w:rPr>
        <w:tab/>
      </w:r>
      <w:r w:rsidR="00D06727" w:rsidRPr="00A52AB8">
        <w:rPr>
          <w:color w:val="000000" w:themeColor="text1"/>
        </w:rPr>
        <w:t>if( </w:t>
      </w:r>
      <w:r w:rsidR="00034E37" w:rsidRPr="00A52AB8">
        <w:rPr>
          <w:color w:val="000000" w:themeColor="text1"/>
        </w:rPr>
        <w:t>refPatchPlrdPresentBlockFlag[ m ][ j ]</w:t>
      </w:r>
      <w:r w:rsidR="008768E9" w:rsidRPr="00A52AB8">
        <w:rPr>
          <w:color w:val="000000" w:themeColor="text1"/>
        </w:rPr>
        <w:t> </w:t>
      </w:r>
      <w:r w:rsidR="00726AAE" w:rsidRPr="00A52AB8">
        <w:rPr>
          <w:color w:val="000000" w:themeColor="text1"/>
        </w:rPr>
        <w:t>==</w:t>
      </w:r>
      <w:r w:rsidR="00D47707" w:rsidRPr="00A52AB8">
        <w:rPr>
          <w:color w:val="000000" w:themeColor="text1"/>
        </w:rPr>
        <w:t> </w:t>
      </w:r>
      <w:r w:rsidR="00D06727" w:rsidRPr="00A52AB8">
        <w:rPr>
          <w:color w:val="000000" w:themeColor="text1"/>
        </w:rPr>
        <w:t>1 )</w:t>
      </w:r>
      <w:r w:rsidRPr="00A52AB8">
        <w:rPr>
          <w:color w:val="000000" w:themeColor="text1"/>
        </w:rPr>
        <w:br/>
      </w:r>
      <w:r w:rsidR="00D06727" w:rsidRPr="00A52AB8">
        <w:rPr>
          <w:color w:val="000000" w:themeColor="text1"/>
        </w:rPr>
        <w:tab/>
      </w:r>
      <w:r w:rsidR="00D06727" w:rsidRPr="00A52AB8">
        <w:rPr>
          <w:color w:val="000000" w:themeColor="text1"/>
        </w:rPr>
        <w:tab/>
      </w:r>
      <w:r w:rsidR="00D06727" w:rsidRPr="00A52AB8">
        <w:rPr>
          <w:color w:val="000000" w:themeColor="text1"/>
        </w:rPr>
        <w:tab/>
      </w:r>
      <w:r w:rsidR="00D06727" w:rsidRPr="00A52AB8">
        <w:rPr>
          <w:color w:val="000000" w:themeColor="text1"/>
        </w:rPr>
        <w:tab/>
      </w:r>
      <w:r w:rsidR="00D06727" w:rsidRPr="00A52AB8">
        <w:rPr>
          <w:color w:val="000000" w:themeColor="text1"/>
        </w:rPr>
        <w:tab/>
      </w:r>
      <w:r w:rsidRPr="00A52AB8">
        <w:rPr>
          <w:color w:val="000000" w:themeColor="text1"/>
        </w:rPr>
        <w:tab/>
      </w:r>
      <w:r w:rsidR="00034E37" w:rsidRPr="00A52AB8">
        <w:rPr>
          <w:color w:val="000000" w:themeColor="text1"/>
        </w:rPr>
        <w:t>refPatchPlrdBlockModeMinus1[ m ][ j ] =</w:t>
      </w:r>
      <w:r w:rsidR="00202A0C" w:rsidRPr="00A52AB8">
        <w:rPr>
          <w:color w:val="000000" w:themeColor="text1"/>
        </w:rPr>
        <w:br/>
      </w:r>
      <w:r w:rsidR="00034E37" w:rsidRPr="00A52AB8">
        <w:rPr>
          <w:color w:val="000000" w:themeColor="text1"/>
        </w:rPr>
        <w:tab/>
      </w:r>
      <w:r w:rsidR="00034E37" w:rsidRPr="00A52AB8">
        <w:rPr>
          <w:color w:val="000000" w:themeColor="text1"/>
        </w:rPr>
        <w:tab/>
      </w:r>
      <w:r w:rsidR="00034E37" w:rsidRPr="00A52AB8">
        <w:rPr>
          <w:color w:val="000000" w:themeColor="text1"/>
        </w:rPr>
        <w:tab/>
      </w:r>
      <w:r w:rsidR="00034E37" w:rsidRPr="00A52AB8">
        <w:rPr>
          <w:color w:val="000000" w:themeColor="text1"/>
        </w:rPr>
        <w:tab/>
      </w:r>
      <w:r w:rsidR="00034E37" w:rsidRPr="00A52AB8">
        <w:rPr>
          <w:color w:val="000000" w:themeColor="text1"/>
        </w:rPr>
        <w:tab/>
      </w:r>
      <w:r w:rsidR="00034E37" w:rsidRPr="00A52AB8">
        <w:rPr>
          <w:color w:val="000000" w:themeColor="text1"/>
        </w:rPr>
        <w:tab/>
      </w:r>
      <w:r w:rsidRPr="00A52AB8">
        <w:rPr>
          <w:color w:val="000000" w:themeColor="text1"/>
        </w:rPr>
        <w:tab/>
      </w:r>
      <w:r w:rsidR="00D06727" w:rsidRPr="00A52AB8">
        <w:rPr>
          <w:color w:val="000000" w:themeColor="text1"/>
        </w:rPr>
        <w:t>TilePatchPlrdBlockModeMinus1[ tileID ][ </w:t>
      </w:r>
      <w:r w:rsidR="00034E37" w:rsidRPr="00A52AB8">
        <w:rPr>
          <w:color w:val="000000" w:themeColor="text1"/>
        </w:rPr>
        <w:t>refPatchIdx</w:t>
      </w:r>
      <w:r w:rsidR="00D06727" w:rsidRPr="00A52AB8">
        <w:rPr>
          <w:color w:val="000000" w:themeColor="text1"/>
        </w:rPr>
        <w:t> ]</w:t>
      </w:r>
      <w:r w:rsidR="00E869BD" w:rsidRPr="00A52AB8">
        <w:rPr>
          <w:color w:val="000000" w:themeColor="text1"/>
        </w:rPr>
        <w:t>[ m ]</w:t>
      </w:r>
      <w:r w:rsidR="00D06727" w:rsidRPr="00A52AB8">
        <w:rPr>
          <w:color w:val="000000" w:themeColor="text1"/>
        </w:rPr>
        <w:t>[ j ]</w:t>
      </w:r>
      <w:r w:rsidR="00C61E38" w:rsidRPr="00A52AB8">
        <w:rPr>
          <w:color w:val="000000" w:themeColor="text1"/>
        </w:rPr>
        <w:br/>
      </w:r>
      <w:r w:rsidR="00D06727" w:rsidRPr="00A52AB8">
        <w:rPr>
          <w:color w:val="000000" w:themeColor="text1"/>
        </w:rPr>
        <w:tab/>
      </w:r>
      <w:r w:rsidR="00D06727" w:rsidRPr="00A52AB8">
        <w:rPr>
          <w:color w:val="000000" w:themeColor="text1"/>
        </w:rPr>
        <w:tab/>
      </w:r>
      <w:r w:rsidR="00D06727" w:rsidRPr="00A52AB8">
        <w:rPr>
          <w:color w:val="000000" w:themeColor="text1"/>
        </w:rPr>
        <w:tab/>
      </w:r>
      <w:r w:rsidR="00D06727" w:rsidRPr="00A52AB8">
        <w:rPr>
          <w:color w:val="000000" w:themeColor="text1"/>
        </w:rPr>
        <w:tab/>
        <w:t>}</w:t>
      </w:r>
      <w:r w:rsidR="00D06727" w:rsidRPr="00A52AB8">
        <w:rPr>
          <w:color w:val="000000" w:themeColor="text1"/>
        </w:rPr>
        <w:br/>
      </w:r>
      <w:r w:rsidR="00D06727" w:rsidRPr="00A52AB8">
        <w:rPr>
          <w:color w:val="000000" w:themeColor="text1"/>
        </w:rPr>
        <w:tab/>
      </w:r>
      <w:r w:rsidR="00D06727" w:rsidRPr="00A52AB8">
        <w:rPr>
          <w:color w:val="000000" w:themeColor="text1"/>
        </w:rPr>
        <w:tab/>
      </w:r>
      <w:r w:rsidR="00D06727" w:rsidRPr="00A52AB8">
        <w:rPr>
          <w:color w:val="000000" w:themeColor="text1"/>
        </w:rPr>
        <w:tab/>
      </w:r>
      <w:r w:rsidR="0023721F" w:rsidRPr="00A52AB8">
        <w:rPr>
          <w:color w:val="000000" w:themeColor="text1"/>
        </w:rPr>
        <w:t>} else {</w:t>
      </w:r>
      <w:r w:rsidRPr="00A52AB8">
        <w:rPr>
          <w:color w:val="000000" w:themeColor="text1"/>
        </w:rPr>
        <w:br/>
      </w:r>
      <w:r w:rsidR="00D06727" w:rsidRPr="00A52AB8">
        <w:rPr>
          <w:color w:val="000000" w:themeColor="text1"/>
        </w:rPr>
        <w:tab/>
      </w:r>
      <w:r w:rsidR="00D06727" w:rsidRPr="00A52AB8">
        <w:rPr>
          <w:color w:val="000000" w:themeColor="text1"/>
        </w:rPr>
        <w:tab/>
      </w:r>
      <w:r w:rsidR="00D06727" w:rsidRPr="00A52AB8">
        <w:rPr>
          <w:color w:val="000000" w:themeColor="text1"/>
        </w:rPr>
        <w:tab/>
      </w:r>
      <w:r w:rsidR="00D06727" w:rsidRPr="00A52AB8">
        <w:rPr>
          <w:color w:val="000000" w:themeColor="text1"/>
        </w:rPr>
        <w:tab/>
      </w:r>
      <w:r w:rsidR="002B0285" w:rsidRPr="00A52AB8">
        <w:rPr>
          <w:color w:val="000000" w:themeColor="text1"/>
        </w:rPr>
        <w:t>refPatchPlrdPresentFlag[ m ]</w:t>
      </w:r>
      <w:r w:rsidR="00D47707" w:rsidRPr="00A52AB8">
        <w:rPr>
          <w:color w:val="000000" w:themeColor="text1"/>
        </w:rPr>
        <w:t> = </w:t>
      </w:r>
      <w:r w:rsidR="00D06727" w:rsidRPr="00A52AB8">
        <w:rPr>
          <w:color w:val="000000" w:themeColor="text1"/>
        </w:rPr>
        <w:t>TilePatchPlrdPresentFlag[ tileID ][ </w:t>
      </w:r>
      <w:r w:rsidR="002B0285" w:rsidRPr="00A52AB8">
        <w:rPr>
          <w:color w:val="000000" w:themeColor="text1"/>
        </w:rPr>
        <w:t>refPatchIdx</w:t>
      </w:r>
      <w:r w:rsidR="00D06727" w:rsidRPr="00A52AB8">
        <w:rPr>
          <w:color w:val="000000" w:themeColor="text1"/>
        </w:rPr>
        <w:t> ]</w:t>
      </w:r>
      <w:r w:rsidR="00E869BD" w:rsidRPr="00A52AB8">
        <w:rPr>
          <w:color w:val="000000" w:themeColor="text1"/>
        </w:rPr>
        <w:t>[ m ]</w:t>
      </w:r>
      <w:r w:rsidRPr="00A52AB8">
        <w:rPr>
          <w:color w:val="000000" w:themeColor="text1"/>
        </w:rPr>
        <w:br/>
      </w:r>
      <w:r w:rsidR="00D06727" w:rsidRPr="00A52AB8">
        <w:rPr>
          <w:color w:val="000000" w:themeColor="text1"/>
        </w:rPr>
        <w:tab/>
      </w:r>
      <w:r w:rsidR="00D06727" w:rsidRPr="00A52AB8">
        <w:rPr>
          <w:color w:val="000000" w:themeColor="text1"/>
        </w:rPr>
        <w:tab/>
      </w:r>
      <w:r w:rsidR="00D06727" w:rsidRPr="00A52AB8">
        <w:rPr>
          <w:color w:val="000000" w:themeColor="text1"/>
        </w:rPr>
        <w:tab/>
      </w:r>
      <w:r w:rsidR="00D06727" w:rsidRPr="00A52AB8">
        <w:rPr>
          <w:color w:val="000000" w:themeColor="text1"/>
        </w:rPr>
        <w:tab/>
        <w:t>if( </w:t>
      </w:r>
      <w:r w:rsidR="002B0285" w:rsidRPr="00A52AB8">
        <w:rPr>
          <w:color w:val="000000" w:themeColor="text1"/>
        </w:rPr>
        <w:t>refPatchPlrdPresentFlag[ m ]</w:t>
      </w:r>
      <w:r w:rsidR="008768E9" w:rsidRPr="00A52AB8">
        <w:rPr>
          <w:color w:val="000000" w:themeColor="text1"/>
        </w:rPr>
        <w:t> </w:t>
      </w:r>
      <w:r w:rsidR="00726AAE" w:rsidRPr="00A52AB8">
        <w:rPr>
          <w:color w:val="000000" w:themeColor="text1"/>
        </w:rPr>
        <w:t>==</w:t>
      </w:r>
      <w:r w:rsidR="00D47707" w:rsidRPr="00A52AB8">
        <w:rPr>
          <w:color w:val="000000" w:themeColor="text1"/>
        </w:rPr>
        <w:t> </w:t>
      </w:r>
      <w:r w:rsidR="00D06727" w:rsidRPr="00A52AB8">
        <w:rPr>
          <w:color w:val="000000" w:themeColor="text1"/>
        </w:rPr>
        <w:t>1 )</w:t>
      </w:r>
      <w:r w:rsidRPr="00A52AB8">
        <w:rPr>
          <w:color w:val="000000" w:themeColor="text1"/>
        </w:rPr>
        <w:br/>
      </w:r>
      <w:r w:rsidR="00D06727" w:rsidRPr="00A52AB8">
        <w:rPr>
          <w:color w:val="000000" w:themeColor="text1"/>
        </w:rPr>
        <w:tab/>
      </w:r>
      <w:r w:rsidR="00D06727" w:rsidRPr="00A52AB8">
        <w:rPr>
          <w:color w:val="000000" w:themeColor="text1"/>
        </w:rPr>
        <w:tab/>
      </w:r>
      <w:r w:rsidR="00D06727" w:rsidRPr="00A52AB8">
        <w:rPr>
          <w:color w:val="000000" w:themeColor="text1"/>
        </w:rPr>
        <w:tab/>
      </w:r>
      <w:r w:rsidR="00D06727" w:rsidRPr="00A52AB8">
        <w:rPr>
          <w:color w:val="000000" w:themeColor="text1"/>
        </w:rPr>
        <w:tab/>
      </w:r>
      <w:r w:rsidR="00D06727" w:rsidRPr="00A52AB8">
        <w:rPr>
          <w:color w:val="000000" w:themeColor="text1"/>
        </w:rPr>
        <w:tab/>
      </w:r>
      <w:r w:rsidR="002B0285" w:rsidRPr="00A52AB8">
        <w:rPr>
          <w:color w:val="000000" w:themeColor="text1"/>
        </w:rPr>
        <w:t>refPlrdModeMinus1[ m ]</w:t>
      </w:r>
      <w:r w:rsidR="00D47707" w:rsidRPr="00A52AB8">
        <w:rPr>
          <w:color w:val="000000" w:themeColor="text1"/>
        </w:rPr>
        <w:t> = </w:t>
      </w:r>
      <w:r w:rsidR="00D06727" w:rsidRPr="00A52AB8">
        <w:rPr>
          <w:color w:val="000000" w:themeColor="text1"/>
        </w:rPr>
        <w:t>TilePatchPlrdModeMinus1[ tileID ][ </w:t>
      </w:r>
      <w:r w:rsidR="002B0285" w:rsidRPr="00A52AB8">
        <w:rPr>
          <w:color w:val="000000" w:themeColor="text1"/>
        </w:rPr>
        <w:t>refPatchIdx</w:t>
      </w:r>
      <w:r w:rsidR="00D06727" w:rsidRPr="00A52AB8">
        <w:rPr>
          <w:color w:val="000000" w:themeColor="text1"/>
        </w:rPr>
        <w:t> ]</w:t>
      </w:r>
      <w:r w:rsidR="00E869BD" w:rsidRPr="00A52AB8">
        <w:rPr>
          <w:color w:val="000000" w:themeColor="text1"/>
        </w:rPr>
        <w:t>[ m ]</w:t>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t>}</w:t>
      </w:r>
      <w:r w:rsidR="00D06727" w:rsidRPr="00A52AB8">
        <w:rPr>
          <w:lang w:eastAsia="ja-JP"/>
        </w:rPr>
        <w:br/>
      </w:r>
      <w:r w:rsidR="00D06727" w:rsidRPr="00A52AB8">
        <w:rPr>
          <w:color w:val="000000" w:themeColor="text1"/>
        </w:rPr>
        <w:tab/>
      </w:r>
      <w:r w:rsidR="00D06727" w:rsidRPr="00A52AB8">
        <w:rPr>
          <w:color w:val="000000" w:themeColor="text1"/>
        </w:rPr>
        <w:tab/>
        <w:t>}</w:t>
      </w:r>
      <w:r w:rsidR="00D06727" w:rsidRPr="00A52AB8">
        <w:rPr>
          <w:color w:val="000000" w:themeColor="text1"/>
        </w:rPr>
        <w:br/>
      </w:r>
      <w:r w:rsidR="00D06727" w:rsidRPr="00A52AB8">
        <w:rPr>
          <w:color w:val="000000" w:themeColor="text1"/>
        </w:rPr>
        <w:tab/>
        <w:t>}</w:t>
      </w:r>
    </w:p>
    <w:p w14:paraId="151E1DEB" w14:textId="6030B6CB" w:rsidR="00D136BF" w:rsidRPr="00A52AB8" w:rsidRDefault="00D136BF" w:rsidP="00FB4953">
      <w:pPr>
        <w:rPr>
          <w:color w:val="000000" w:themeColor="text1"/>
        </w:rPr>
      </w:pPr>
      <w:r w:rsidRPr="00A52AB8">
        <w:rPr>
          <w:color w:val="000000" w:themeColor="text1"/>
        </w:rPr>
        <w:t xml:space="preserve">where </w:t>
      </w:r>
      <w:r w:rsidRPr="00A52AB8">
        <w:rPr>
          <w:lang w:eastAsia="ja-JP"/>
        </w:rPr>
        <w:t xml:space="preserve">TilePatch3dOffsetU, TilePatch3dOffsetV, TilePatch3dOffsetD, TilePatch3dRangeD, </w:t>
      </w:r>
      <w:r w:rsidR="008C0B42" w:rsidRPr="00A52AB8">
        <w:rPr>
          <w:lang w:eastAsia="ja-JP"/>
        </w:rPr>
        <w:t xml:space="preserve">TilePatchProjectionID </w:t>
      </w:r>
      <w:r w:rsidRPr="00A52AB8">
        <w:rPr>
          <w:lang w:eastAsia="ja-JP"/>
        </w:rPr>
        <w:t xml:space="preserve">TilePatchOrientationIndex, TilePatchLoDScaleX, TilePatchLoDScaleY, </w:t>
      </w:r>
      <w:r w:rsidRPr="00A52AB8">
        <w:t xml:space="preserve">TilePatch2dSizeX, TilePatch2dSizeY, </w:t>
      </w:r>
      <w:r w:rsidRPr="00A52AB8">
        <w:rPr>
          <w:color w:val="000000" w:themeColor="text1"/>
        </w:rPr>
        <w:t>TilePatchPlrdLevel, TilePatchPlrdPresentBlockFlag, TilePatchPlrdBlockModeMinus1, TilePatchPlrdPresentFlag, and TilePatchPlrdModeMinus1 are the associated tile patch parameters from the patch with index refPatchIdx in the tile ID equal to tileID of the refIdx-th entry of the reference atlas frame list struct, RefAtlasFrmList.</w:t>
      </w:r>
    </w:p>
    <w:p w14:paraId="3C27C6DE" w14:textId="77777777" w:rsidR="00B034E1" w:rsidRPr="00A52AB8" w:rsidRDefault="00FC1930" w:rsidP="006A0E63">
      <w:pPr>
        <w:pStyle w:val="Heading6"/>
      </w:pPr>
      <w:bookmarkStart w:id="1517" w:name="_Ref46252249"/>
      <w:bookmarkStart w:id="1518" w:name="_Ref46926067"/>
      <w:r w:rsidRPr="00A52AB8">
        <w:t xml:space="preserve">Reference </w:t>
      </w:r>
      <w:r w:rsidR="00C15460" w:rsidRPr="00A52AB8">
        <w:t xml:space="preserve">Patches in </w:t>
      </w:r>
      <w:bookmarkEnd w:id="1517"/>
      <w:r w:rsidR="004626CF" w:rsidRPr="00A52AB8">
        <w:t>RAW mode</w:t>
      </w:r>
      <w:bookmarkEnd w:id="1518"/>
    </w:p>
    <w:p w14:paraId="5D04FBA1" w14:textId="1A774DFB" w:rsidR="00D20068" w:rsidRPr="00A52AB8" w:rsidRDefault="00D20068" w:rsidP="00D20068">
      <w:pPr>
        <w:tabs>
          <w:tab w:val="clear" w:pos="403"/>
        </w:tabs>
        <w:spacing w:before="120" w:after="120" w:line="240" w:lineRule="auto"/>
        <w:rPr>
          <w:color w:val="000000" w:themeColor="text1"/>
        </w:rPr>
      </w:pPr>
      <w:r w:rsidRPr="00A52AB8">
        <w:t xml:space="preserve">Inputs to this process are </w:t>
      </w:r>
      <w:r w:rsidRPr="00A52AB8">
        <w:rPr>
          <w:color w:val="000000" w:themeColor="text1"/>
        </w:rPr>
        <w:t>the atlas frame reference index</w:t>
      </w:r>
      <w:r w:rsidR="00060230" w:rsidRPr="00A52AB8">
        <w:rPr>
          <w:color w:val="000000" w:themeColor="text1"/>
        </w:rPr>
        <w:t>,</w:t>
      </w:r>
      <w:r w:rsidRPr="00A52AB8">
        <w:rPr>
          <w:color w:val="000000" w:themeColor="text1"/>
        </w:rPr>
        <w:t xml:space="preserve"> refIdx</w:t>
      </w:r>
      <w:r w:rsidR="00060230" w:rsidRPr="00A52AB8">
        <w:rPr>
          <w:color w:val="000000" w:themeColor="text1"/>
        </w:rPr>
        <w:t>, the</w:t>
      </w:r>
      <w:r w:rsidRPr="00A52AB8">
        <w:rPr>
          <w:color w:val="000000" w:themeColor="text1"/>
        </w:rPr>
        <w:t xml:space="preserve"> patch reference index, refPatchIdx, and the current tile ID, </w:t>
      </w:r>
      <w:r w:rsidR="00632FA7" w:rsidRPr="00A52AB8">
        <w:rPr>
          <w:color w:val="000000" w:themeColor="text1"/>
        </w:rPr>
        <w:t>tileID</w:t>
      </w:r>
      <w:r w:rsidRPr="00A52AB8">
        <w:rPr>
          <w:color w:val="000000" w:themeColor="text1"/>
        </w:rPr>
        <w:t>.</w:t>
      </w:r>
    </w:p>
    <w:p w14:paraId="2336262F" w14:textId="77777777" w:rsidR="00D20068" w:rsidRPr="00A52AB8" w:rsidRDefault="00D20068" w:rsidP="00D20068">
      <w:pPr>
        <w:rPr>
          <w:color w:val="000000" w:themeColor="text1"/>
        </w:rPr>
      </w:pPr>
      <w:r w:rsidRPr="00A52AB8">
        <w:rPr>
          <w:color w:val="000000" w:themeColor="text1"/>
        </w:rPr>
        <w:t xml:space="preserve">Outputs to this process are the variables </w:t>
      </w:r>
      <w:r w:rsidR="001B4DD7" w:rsidRPr="00A52AB8">
        <w:rPr>
          <w:lang w:eastAsia="ja-JP"/>
        </w:rPr>
        <w:t>refPatch</w:t>
      </w:r>
      <w:r w:rsidR="001A4D59" w:rsidRPr="00A52AB8">
        <w:rPr>
          <w:lang w:eastAsia="ja-JP"/>
        </w:rPr>
        <w:t>3dOffsetU</w:t>
      </w:r>
      <w:r w:rsidR="001B4DD7" w:rsidRPr="00A52AB8">
        <w:rPr>
          <w:lang w:eastAsia="ja-JP"/>
        </w:rPr>
        <w:t>, refPatch</w:t>
      </w:r>
      <w:r w:rsidR="001A4D59" w:rsidRPr="00A52AB8">
        <w:rPr>
          <w:lang w:eastAsia="ja-JP"/>
        </w:rPr>
        <w:t>3dOffsetV</w:t>
      </w:r>
      <w:r w:rsidR="001B4DD7" w:rsidRPr="00A52AB8">
        <w:rPr>
          <w:lang w:eastAsia="ja-JP"/>
        </w:rPr>
        <w:t>, refPatch</w:t>
      </w:r>
      <w:r w:rsidR="001A4D59" w:rsidRPr="00A52AB8">
        <w:rPr>
          <w:lang w:eastAsia="ja-JP"/>
        </w:rPr>
        <w:t>3dOffsetD</w:t>
      </w:r>
      <w:r w:rsidR="001B4DD7" w:rsidRPr="00A52AB8">
        <w:rPr>
          <w:lang w:eastAsia="ja-JP"/>
        </w:rPr>
        <w:t xml:space="preserve">, and </w:t>
      </w:r>
      <w:r w:rsidR="002046D9" w:rsidRPr="00A52AB8">
        <w:rPr>
          <w:lang w:eastAsia="ja-JP"/>
        </w:rPr>
        <w:t>refPatchRawPoints</w:t>
      </w:r>
      <w:r w:rsidRPr="00A52AB8">
        <w:rPr>
          <w:lang w:eastAsia="ja-JP"/>
        </w:rPr>
        <w:t>.</w:t>
      </w:r>
    </w:p>
    <w:p w14:paraId="6F63929E" w14:textId="77777777" w:rsidR="00D20068" w:rsidRPr="00A52AB8" w:rsidRDefault="00D20068" w:rsidP="00D20068">
      <w:pPr>
        <w:spacing w:before="120" w:after="120"/>
        <w:rPr>
          <w:color w:val="000000" w:themeColor="text1"/>
        </w:rPr>
      </w:pPr>
      <w:r w:rsidRPr="00A52AB8">
        <w:rPr>
          <w:color w:val="000000" w:themeColor="text1"/>
        </w:rPr>
        <w:t xml:space="preserve">First, the patch, refPatch, that has an index equal to refPatchIdx in the tile with tile ID equal to </w:t>
      </w:r>
      <w:r w:rsidR="00632FA7" w:rsidRPr="00A52AB8">
        <w:rPr>
          <w:color w:val="000000" w:themeColor="text1"/>
        </w:rPr>
        <w:t>tileID</w:t>
      </w:r>
      <w:r w:rsidRPr="00A52AB8">
        <w:rPr>
          <w:color w:val="000000" w:themeColor="text1"/>
        </w:rPr>
        <w:t xml:space="preserve"> of the refIdx-th entry of the reference atlas frame list struct, RefAtlasFrmList is determined.</w:t>
      </w:r>
    </w:p>
    <w:p w14:paraId="59FCA46B" w14:textId="2A244EF0" w:rsidR="00D20068" w:rsidRPr="00A52AB8" w:rsidRDefault="00D20068" w:rsidP="00D20068">
      <w:pPr>
        <w:spacing w:before="120" w:after="120"/>
        <w:rPr>
          <w:color w:val="000000" w:themeColor="text1"/>
        </w:rPr>
      </w:pPr>
      <w:r w:rsidRPr="00A52AB8">
        <w:rPr>
          <w:color w:val="000000" w:themeColor="text1"/>
        </w:rPr>
        <w:t>Then, the outputs of this process are derived as follows:</w:t>
      </w:r>
    </w:p>
    <w:p w14:paraId="4C3C81CD" w14:textId="62C66B36" w:rsidR="002B7649" w:rsidRPr="00A52AB8" w:rsidRDefault="002B7649" w:rsidP="002B7649">
      <w:pPr>
        <w:rPr>
          <w:lang w:eastAsia="ja-JP"/>
        </w:rPr>
      </w:pPr>
      <w:r w:rsidRPr="00A52AB8">
        <w:rPr>
          <w:lang w:eastAsia="ja-JP"/>
        </w:rPr>
        <w:tab/>
        <w:t>refPatch</w:t>
      </w:r>
      <w:r w:rsidR="001A4D59" w:rsidRPr="00A52AB8">
        <w:rPr>
          <w:lang w:eastAsia="ja-JP"/>
        </w:rPr>
        <w:t>3dOffsetU</w:t>
      </w:r>
      <w:r w:rsidR="00D47707" w:rsidRPr="00A52AB8">
        <w:rPr>
          <w:lang w:eastAsia="ja-JP"/>
        </w:rPr>
        <w:t> = </w:t>
      </w:r>
      <w:r w:rsidR="00314925" w:rsidRPr="00A52AB8">
        <w:rPr>
          <w:lang w:eastAsia="ja-JP"/>
        </w:rPr>
        <w:t>TilePatch3dOffsetU</w:t>
      </w:r>
      <w:r w:rsidRPr="00A52AB8">
        <w:t>[ </w:t>
      </w:r>
      <w:r w:rsidR="00632FA7" w:rsidRPr="00A52AB8">
        <w:t>tileID</w:t>
      </w:r>
      <w:r w:rsidRPr="00A52AB8">
        <w:t> ]</w:t>
      </w:r>
      <w:r w:rsidRPr="00A52AB8">
        <w:rPr>
          <w:lang w:eastAsia="ja-JP"/>
        </w:rPr>
        <w:t>[ refPatchIdx ]</w:t>
      </w:r>
      <w:r w:rsidRPr="00A52AB8">
        <w:rPr>
          <w:lang w:eastAsia="ja-JP"/>
        </w:rPr>
        <w:tab/>
        <w:t>(</w:t>
      </w:r>
      <w:r w:rsidRPr="00496A4D">
        <w:rPr>
          <w:lang w:eastAsia="ja-JP"/>
        </w:rPr>
        <w:fldChar w:fldCharType="begin"/>
      </w:r>
      <w:r w:rsidRPr="00A52AB8">
        <w:rPr>
          <w:lang w:eastAsia="ja-JP"/>
        </w:rPr>
        <w:instrText xml:space="preserve"> SEQ Equation \* ARABIC \n </w:instrText>
      </w:r>
      <w:r w:rsidRPr="00496A4D">
        <w:rPr>
          <w:lang w:eastAsia="ja-JP"/>
        </w:rPr>
        <w:fldChar w:fldCharType="separate"/>
      </w:r>
      <w:r w:rsidR="00507A67">
        <w:rPr>
          <w:noProof/>
          <w:lang w:eastAsia="ja-JP"/>
        </w:rPr>
        <w:t>135</w:t>
      </w:r>
      <w:r w:rsidRPr="00496A4D">
        <w:rPr>
          <w:lang w:eastAsia="ja-JP"/>
        </w:rPr>
        <w:fldChar w:fldCharType="end"/>
      </w:r>
      <w:r w:rsidRPr="00A52AB8">
        <w:rPr>
          <w:lang w:eastAsia="ja-JP"/>
        </w:rPr>
        <w:t>)</w:t>
      </w:r>
    </w:p>
    <w:p w14:paraId="58DEA687" w14:textId="7855F414" w:rsidR="0050235C" w:rsidRPr="00A52AB8" w:rsidRDefault="002B7649" w:rsidP="002B7649">
      <w:pPr>
        <w:rPr>
          <w:lang w:eastAsia="ja-JP"/>
        </w:rPr>
      </w:pPr>
      <w:r w:rsidRPr="00A52AB8">
        <w:rPr>
          <w:lang w:eastAsia="ja-JP"/>
        </w:rPr>
        <w:tab/>
        <w:t>refPatch</w:t>
      </w:r>
      <w:r w:rsidR="001A4D59" w:rsidRPr="00A52AB8">
        <w:rPr>
          <w:lang w:eastAsia="ja-JP"/>
        </w:rPr>
        <w:t>3dOffsetV</w:t>
      </w:r>
      <w:r w:rsidR="00D47707" w:rsidRPr="00A52AB8">
        <w:rPr>
          <w:lang w:eastAsia="ja-JP"/>
        </w:rPr>
        <w:t> = </w:t>
      </w:r>
      <w:r w:rsidR="00314925" w:rsidRPr="00A52AB8">
        <w:rPr>
          <w:lang w:eastAsia="ja-JP"/>
        </w:rPr>
        <w:t>TilePatch3dOffsetV</w:t>
      </w:r>
      <w:r w:rsidRPr="00A52AB8">
        <w:t>[ </w:t>
      </w:r>
      <w:r w:rsidR="00632FA7" w:rsidRPr="00A52AB8">
        <w:t>tileID</w:t>
      </w:r>
      <w:r w:rsidRPr="00A52AB8">
        <w:t> ]</w:t>
      </w:r>
      <w:r w:rsidRPr="00A52AB8">
        <w:rPr>
          <w:lang w:eastAsia="ja-JP"/>
        </w:rPr>
        <w:t>[ refPatchIdx ]</w:t>
      </w:r>
      <w:r w:rsidRPr="00A52AB8">
        <w:rPr>
          <w:lang w:eastAsia="ja-JP"/>
        </w:rPr>
        <w:tab/>
        <w:t>(</w:t>
      </w:r>
      <w:r w:rsidRPr="00496A4D">
        <w:rPr>
          <w:lang w:eastAsia="ja-JP"/>
        </w:rPr>
        <w:fldChar w:fldCharType="begin"/>
      </w:r>
      <w:r w:rsidRPr="00A52AB8">
        <w:rPr>
          <w:lang w:eastAsia="ja-JP"/>
        </w:rPr>
        <w:instrText xml:space="preserve"> SEQ Equation \* ARABIC \n </w:instrText>
      </w:r>
      <w:r w:rsidRPr="00496A4D">
        <w:rPr>
          <w:lang w:eastAsia="ja-JP"/>
        </w:rPr>
        <w:fldChar w:fldCharType="separate"/>
      </w:r>
      <w:r w:rsidR="00507A67">
        <w:rPr>
          <w:noProof/>
          <w:lang w:eastAsia="ja-JP"/>
        </w:rPr>
        <w:t>136</w:t>
      </w:r>
      <w:r w:rsidRPr="00496A4D">
        <w:rPr>
          <w:lang w:eastAsia="ja-JP"/>
        </w:rPr>
        <w:fldChar w:fldCharType="end"/>
      </w:r>
      <w:r w:rsidRPr="00A52AB8">
        <w:rPr>
          <w:lang w:eastAsia="ja-JP"/>
        </w:rPr>
        <w:t>)</w:t>
      </w:r>
    </w:p>
    <w:p w14:paraId="35715797" w14:textId="58392B95" w:rsidR="002B7649" w:rsidRPr="00A52AB8" w:rsidRDefault="002B7649" w:rsidP="002B7649">
      <w:pPr>
        <w:rPr>
          <w:lang w:eastAsia="ja-JP"/>
        </w:rPr>
      </w:pPr>
      <w:r w:rsidRPr="00A52AB8">
        <w:rPr>
          <w:lang w:eastAsia="ja-JP"/>
        </w:rPr>
        <w:tab/>
        <w:t>refPatch</w:t>
      </w:r>
      <w:r w:rsidR="001A4D59" w:rsidRPr="00A52AB8">
        <w:rPr>
          <w:lang w:eastAsia="ja-JP"/>
        </w:rPr>
        <w:t>3dOffsetD</w:t>
      </w:r>
      <w:r w:rsidR="00D47707" w:rsidRPr="00A52AB8">
        <w:rPr>
          <w:lang w:eastAsia="ja-JP"/>
        </w:rPr>
        <w:t> = </w:t>
      </w:r>
      <w:r w:rsidR="00141AB2" w:rsidRPr="00A52AB8">
        <w:rPr>
          <w:lang w:eastAsia="ja-JP"/>
        </w:rPr>
        <w:t>TilePatch3dOffsetD</w:t>
      </w:r>
      <w:r w:rsidRPr="00A52AB8">
        <w:t>[ </w:t>
      </w:r>
      <w:r w:rsidR="00632FA7" w:rsidRPr="00A52AB8">
        <w:t>tileID</w:t>
      </w:r>
      <w:r w:rsidRPr="00A52AB8">
        <w:t> ]</w:t>
      </w:r>
      <w:r w:rsidRPr="00A52AB8">
        <w:rPr>
          <w:lang w:eastAsia="ja-JP"/>
        </w:rPr>
        <w:t>[ refPatchIdx ]</w:t>
      </w:r>
      <w:r w:rsidRPr="00A52AB8">
        <w:rPr>
          <w:lang w:eastAsia="ja-JP"/>
        </w:rPr>
        <w:tab/>
        <w:t>(</w:t>
      </w:r>
      <w:r w:rsidRPr="00496A4D">
        <w:rPr>
          <w:lang w:eastAsia="ja-JP"/>
        </w:rPr>
        <w:fldChar w:fldCharType="begin"/>
      </w:r>
      <w:r w:rsidRPr="00A52AB8">
        <w:rPr>
          <w:lang w:eastAsia="ja-JP"/>
        </w:rPr>
        <w:instrText xml:space="preserve"> SEQ Equation \* ARABIC \n </w:instrText>
      </w:r>
      <w:r w:rsidRPr="00496A4D">
        <w:rPr>
          <w:lang w:eastAsia="ja-JP"/>
        </w:rPr>
        <w:fldChar w:fldCharType="separate"/>
      </w:r>
      <w:r w:rsidR="00507A67">
        <w:rPr>
          <w:noProof/>
          <w:lang w:eastAsia="ja-JP"/>
        </w:rPr>
        <w:t>137</w:t>
      </w:r>
      <w:r w:rsidRPr="00496A4D">
        <w:rPr>
          <w:lang w:eastAsia="ja-JP"/>
        </w:rPr>
        <w:fldChar w:fldCharType="end"/>
      </w:r>
      <w:r w:rsidRPr="00A52AB8">
        <w:rPr>
          <w:lang w:eastAsia="ja-JP"/>
        </w:rPr>
        <w:t>)</w:t>
      </w:r>
    </w:p>
    <w:p w14:paraId="583A1B2A" w14:textId="784CC7C7" w:rsidR="00D851D9" w:rsidRPr="00A52AB8" w:rsidRDefault="00D20068" w:rsidP="00966AAC">
      <w:pPr>
        <w:rPr>
          <w:lang w:eastAsia="ja-JP"/>
        </w:rPr>
      </w:pPr>
      <w:r w:rsidRPr="00A52AB8">
        <w:rPr>
          <w:lang w:eastAsia="ja-JP"/>
        </w:rPr>
        <w:tab/>
      </w:r>
      <w:r w:rsidR="00441DAF" w:rsidRPr="00A52AB8">
        <w:rPr>
          <w:lang w:eastAsia="ja-JP"/>
        </w:rPr>
        <w:t>refPatchRawPoints</w:t>
      </w:r>
      <w:r w:rsidR="00D47707" w:rsidRPr="00A52AB8">
        <w:rPr>
          <w:lang w:eastAsia="ja-JP"/>
        </w:rPr>
        <w:t> = </w:t>
      </w:r>
      <w:r w:rsidR="000011E4" w:rsidRPr="00A52AB8">
        <w:rPr>
          <w:lang w:eastAsia="ja-JP"/>
        </w:rPr>
        <w:t>Tile</w:t>
      </w:r>
      <w:r w:rsidR="00441DAF" w:rsidRPr="00A52AB8">
        <w:rPr>
          <w:lang w:eastAsia="ja-JP"/>
        </w:rPr>
        <w:t>PatchRawPoints</w:t>
      </w:r>
      <w:r w:rsidRPr="00A52AB8">
        <w:rPr>
          <w:lang w:eastAsia="ja-JP"/>
        </w:rPr>
        <w:t>[ </w:t>
      </w:r>
      <w:r w:rsidR="00632FA7" w:rsidRPr="00A52AB8">
        <w:rPr>
          <w:lang w:eastAsia="ja-JP"/>
        </w:rPr>
        <w:t>tileID</w:t>
      </w:r>
      <w:r w:rsidRPr="00A52AB8">
        <w:rPr>
          <w:lang w:eastAsia="ja-JP"/>
        </w:rPr>
        <w:t> ][ refPatchIdx ]</w:t>
      </w:r>
      <w:r w:rsidRPr="00A52AB8">
        <w:rPr>
          <w:lang w:eastAsia="ja-JP"/>
        </w:rPr>
        <w:tab/>
        <w:t>(</w:t>
      </w:r>
      <w:r w:rsidRPr="00496A4D">
        <w:rPr>
          <w:lang w:eastAsia="ja-JP"/>
        </w:rPr>
        <w:fldChar w:fldCharType="begin"/>
      </w:r>
      <w:r w:rsidRPr="00A52AB8">
        <w:rPr>
          <w:lang w:eastAsia="ja-JP"/>
        </w:rPr>
        <w:instrText xml:space="preserve"> SEQ Equation \* ARABIC \n </w:instrText>
      </w:r>
      <w:r w:rsidRPr="00496A4D">
        <w:rPr>
          <w:lang w:eastAsia="ja-JP"/>
        </w:rPr>
        <w:fldChar w:fldCharType="separate"/>
      </w:r>
      <w:r w:rsidR="00507A67">
        <w:rPr>
          <w:noProof/>
          <w:lang w:eastAsia="ja-JP"/>
        </w:rPr>
        <w:t>138</w:t>
      </w:r>
      <w:r w:rsidRPr="00496A4D">
        <w:rPr>
          <w:lang w:eastAsia="ja-JP"/>
        </w:rPr>
        <w:fldChar w:fldCharType="end"/>
      </w:r>
      <w:r w:rsidRPr="00A52AB8">
        <w:rPr>
          <w:lang w:eastAsia="ja-JP"/>
        </w:rPr>
        <w:t>)</w:t>
      </w:r>
    </w:p>
    <w:p w14:paraId="0808AC70" w14:textId="40BA59D9" w:rsidR="00CD5D06" w:rsidRPr="00A52AB8" w:rsidRDefault="00CD5D06" w:rsidP="00966AAC">
      <w:pPr>
        <w:rPr>
          <w:color w:val="000000" w:themeColor="text1"/>
        </w:rPr>
      </w:pPr>
      <w:r w:rsidRPr="00A52AB8">
        <w:rPr>
          <w:color w:val="000000" w:themeColor="text1"/>
        </w:rPr>
        <w:t xml:space="preserve">where </w:t>
      </w:r>
      <w:r w:rsidRPr="00A52AB8">
        <w:rPr>
          <w:lang w:eastAsia="ja-JP"/>
        </w:rPr>
        <w:t xml:space="preserve">TilePatch3dOffsetU, TilePatch3dOffsetV, TilePatch3dOffsetD, and TilePatchRawPoints </w:t>
      </w:r>
      <w:r w:rsidRPr="00A52AB8">
        <w:rPr>
          <w:color w:val="000000" w:themeColor="text1"/>
        </w:rPr>
        <w:t>are the associated tile patch parameters from the patch with index refPatchIdx in the tile ID equal to tileID of the refIdx-th entry of the reference atlas frame list struct, RefAtlasFrmList.</w:t>
      </w:r>
    </w:p>
    <w:p w14:paraId="6160E012" w14:textId="77777777" w:rsidR="0050235C" w:rsidRPr="00A52AB8" w:rsidRDefault="00836067" w:rsidP="006A0E63">
      <w:pPr>
        <w:pStyle w:val="Heading6"/>
      </w:pPr>
      <w:bookmarkStart w:id="1519" w:name="_Ref46252283"/>
      <w:bookmarkStart w:id="1520" w:name="_Ref46926074"/>
      <w:r w:rsidRPr="00A52AB8">
        <w:t xml:space="preserve">Reference Patches in </w:t>
      </w:r>
      <w:bookmarkEnd w:id="1519"/>
      <w:r w:rsidR="00E3147D" w:rsidRPr="00A52AB8">
        <w:t>EOM mode</w:t>
      </w:r>
      <w:bookmarkEnd w:id="1520"/>
    </w:p>
    <w:p w14:paraId="195631A7" w14:textId="70A76880" w:rsidR="00A4575C" w:rsidRPr="00A52AB8" w:rsidRDefault="00A4575C" w:rsidP="00A4575C">
      <w:pPr>
        <w:tabs>
          <w:tab w:val="clear" w:pos="403"/>
        </w:tabs>
        <w:spacing w:before="120" w:after="120" w:line="240" w:lineRule="auto"/>
        <w:rPr>
          <w:color w:val="000000" w:themeColor="text1"/>
        </w:rPr>
      </w:pPr>
      <w:r w:rsidRPr="00A52AB8">
        <w:t xml:space="preserve">Inputs to this process are </w:t>
      </w:r>
      <w:r w:rsidRPr="00A52AB8">
        <w:rPr>
          <w:color w:val="000000" w:themeColor="text1"/>
        </w:rPr>
        <w:t>the atlas frame reference index</w:t>
      </w:r>
      <w:r w:rsidR="00060230" w:rsidRPr="00A52AB8">
        <w:rPr>
          <w:color w:val="000000" w:themeColor="text1"/>
        </w:rPr>
        <w:t>,</w:t>
      </w:r>
      <w:r w:rsidRPr="00A52AB8">
        <w:rPr>
          <w:color w:val="000000" w:themeColor="text1"/>
        </w:rPr>
        <w:t xml:space="preserve"> refIdx</w:t>
      </w:r>
      <w:r w:rsidR="00060230" w:rsidRPr="00A52AB8">
        <w:rPr>
          <w:color w:val="000000" w:themeColor="text1"/>
        </w:rPr>
        <w:t>,</w:t>
      </w:r>
      <w:r w:rsidRPr="00A52AB8">
        <w:rPr>
          <w:color w:val="000000" w:themeColor="text1"/>
        </w:rPr>
        <w:t xml:space="preserve"> </w:t>
      </w:r>
      <w:r w:rsidR="00060230" w:rsidRPr="00A52AB8">
        <w:rPr>
          <w:color w:val="000000" w:themeColor="text1"/>
        </w:rPr>
        <w:t xml:space="preserve">the </w:t>
      </w:r>
      <w:r w:rsidRPr="00A52AB8">
        <w:rPr>
          <w:color w:val="000000" w:themeColor="text1"/>
        </w:rPr>
        <w:t xml:space="preserve">patch reference index, refPatchIdx, and the current tile ID, </w:t>
      </w:r>
      <w:r w:rsidR="00632FA7" w:rsidRPr="00A52AB8">
        <w:rPr>
          <w:color w:val="000000" w:themeColor="text1"/>
        </w:rPr>
        <w:t>tileID</w:t>
      </w:r>
      <w:r w:rsidRPr="00A52AB8">
        <w:rPr>
          <w:color w:val="000000" w:themeColor="text1"/>
        </w:rPr>
        <w:t>.</w:t>
      </w:r>
    </w:p>
    <w:p w14:paraId="1ABB96E2" w14:textId="54451F24" w:rsidR="00A4575C" w:rsidRPr="00A52AB8" w:rsidRDefault="00A4575C" w:rsidP="00A4575C">
      <w:pPr>
        <w:rPr>
          <w:color w:val="000000" w:themeColor="text1"/>
        </w:rPr>
      </w:pPr>
      <w:r w:rsidRPr="00A52AB8">
        <w:rPr>
          <w:color w:val="000000" w:themeColor="text1"/>
        </w:rPr>
        <w:t xml:space="preserve">Outputs to this process are </w:t>
      </w:r>
      <w:r w:rsidR="00CD5D06" w:rsidRPr="00A52AB8">
        <w:rPr>
          <w:color w:val="000000" w:themeColor="text1"/>
        </w:rPr>
        <w:t xml:space="preserve">the variable </w:t>
      </w:r>
      <w:r w:rsidR="001701B3" w:rsidRPr="00A52AB8">
        <w:rPr>
          <w:color w:val="000000" w:themeColor="text1"/>
        </w:rPr>
        <w:t xml:space="preserve">refPatchEomPatchCount </w:t>
      </w:r>
      <w:r w:rsidR="00CD5D06" w:rsidRPr="00A52AB8">
        <w:rPr>
          <w:color w:val="000000" w:themeColor="text1"/>
        </w:rPr>
        <w:t xml:space="preserve">and </w:t>
      </w:r>
      <w:r w:rsidR="00FE0972" w:rsidRPr="00A52AB8">
        <w:rPr>
          <w:color w:val="000000" w:themeColor="text1"/>
        </w:rPr>
        <w:t xml:space="preserve">the </w:t>
      </w:r>
      <w:r w:rsidR="00CD5D06" w:rsidRPr="00A52AB8">
        <w:rPr>
          <w:color w:val="000000" w:themeColor="text1"/>
        </w:rPr>
        <w:t xml:space="preserve">1D arrays </w:t>
      </w:r>
      <w:r w:rsidR="009F2B46" w:rsidRPr="00A52AB8">
        <w:t>refP</w:t>
      </w:r>
      <w:r w:rsidR="009F2B46" w:rsidRPr="00A52AB8">
        <w:rPr>
          <w:color w:val="000000" w:themeColor="text1"/>
        </w:rPr>
        <w:t>atch</w:t>
      </w:r>
      <w:r w:rsidR="00457B67" w:rsidRPr="00A52AB8">
        <w:rPr>
          <w:color w:val="000000" w:themeColor="text1"/>
        </w:rPr>
        <w:t>AssociatedPatchIndex</w:t>
      </w:r>
      <w:r w:rsidR="009F2B46" w:rsidRPr="00A52AB8">
        <w:rPr>
          <w:color w:val="000000" w:themeColor="text1"/>
        </w:rPr>
        <w:t xml:space="preserve"> and </w:t>
      </w:r>
      <w:r w:rsidR="004A1392" w:rsidRPr="00A52AB8">
        <w:rPr>
          <w:lang w:eastAsia="ja-JP"/>
        </w:rPr>
        <w:t>ref</w:t>
      </w:r>
      <w:r w:rsidR="004A1392" w:rsidRPr="00A52AB8">
        <w:rPr>
          <w:color w:val="000000" w:themeColor="text1"/>
        </w:rPr>
        <w:t>PatchEomPoints</w:t>
      </w:r>
      <w:r w:rsidRPr="00A52AB8">
        <w:rPr>
          <w:lang w:eastAsia="ja-JP"/>
        </w:rPr>
        <w:t>.</w:t>
      </w:r>
    </w:p>
    <w:p w14:paraId="29980CF5" w14:textId="77777777" w:rsidR="00A4575C" w:rsidRPr="00A52AB8" w:rsidRDefault="00A4575C" w:rsidP="00A4575C">
      <w:pPr>
        <w:spacing w:before="120" w:after="120"/>
        <w:rPr>
          <w:color w:val="000000" w:themeColor="text1"/>
        </w:rPr>
      </w:pPr>
      <w:r w:rsidRPr="00A52AB8">
        <w:rPr>
          <w:color w:val="000000" w:themeColor="text1"/>
        </w:rPr>
        <w:t xml:space="preserve">First, the patch, refPatch, that has an index equal to refPatchIdx in the tile with tile ID equal to </w:t>
      </w:r>
      <w:r w:rsidR="00632FA7" w:rsidRPr="00A52AB8">
        <w:rPr>
          <w:color w:val="000000" w:themeColor="text1"/>
        </w:rPr>
        <w:t>tileID</w:t>
      </w:r>
      <w:r w:rsidRPr="00A52AB8">
        <w:rPr>
          <w:color w:val="000000" w:themeColor="text1"/>
        </w:rPr>
        <w:t xml:space="preserve"> of the </w:t>
      </w:r>
      <w:r w:rsidR="0056040E" w:rsidRPr="00A52AB8">
        <w:rPr>
          <w:color w:val="000000" w:themeColor="text1"/>
        </w:rPr>
        <w:t>( </w:t>
      </w:r>
      <w:r w:rsidRPr="00A52AB8">
        <w:rPr>
          <w:color w:val="000000" w:themeColor="text1"/>
        </w:rPr>
        <w:t>refIdx</w:t>
      </w:r>
      <w:r w:rsidR="0056040E" w:rsidRPr="00A52AB8">
        <w:rPr>
          <w:color w:val="000000" w:themeColor="text1"/>
        </w:rPr>
        <w:t> + 1 )</w:t>
      </w:r>
      <w:r w:rsidRPr="00A52AB8">
        <w:rPr>
          <w:color w:val="000000" w:themeColor="text1"/>
        </w:rPr>
        <w:t>-th entry of the reference atlas frame list struct, RefAtlasFrmList is determined.</w:t>
      </w:r>
    </w:p>
    <w:p w14:paraId="4935D6F7" w14:textId="6224F5FD" w:rsidR="00A4575C" w:rsidRPr="00A52AB8" w:rsidRDefault="00A4575C" w:rsidP="00A4575C">
      <w:pPr>
        <w:spacing w:before="120" w:after="120"/>
        <w:rPr>
          <w:color w:val="000000" w:themeColor="text1"/>
        </w:rPr>
      </w:pPr>
      <w:r w:rsidRPr="00A52AB8">
        <w:rPr>
          <w:color w:val="000000" w:themeColor="text1"/>
        </w:rPr>
        <w:t>Then, the outputs of this process are derived as follows:</w:t>
      </w:r>
    </w:p>
    <w:p w14:paraId="318491E8" w14:textId="2C9DE29D" w:rsidR="00F44B97" w:rsidRPr="00A52AB8" w:rsidRDefault="009B7522" w:rsidP="001A102D">
      <w:pPr>
        <w:jc w:val="left"/>
        <w:rPr>
          <w:lang w:eastAsia="ja-JP"/>
        </w:rPr>
      </w:pPr>
      <w:r w:rsidRPr="00A52AB8">
        <w:rPr>
          <w:lang w:eastAsia="ja-JP"/>
        </w:rPr>
        <w:tab/>
      </w:r>
      <w:r w:rsidR="008A3426" w:rsidRPr="00A52AB8">
        <w:rPr>
          <w:lang w:eastAsia="ja-JP"/>
        </w:rPr>
        <w:t>ref</w:t>
      </w:r>
      <w:r w:rsidR="00D559AA" w:rsidRPr="00A52AB8">
        <w:rPr>
          <w:lang w:eastAsia="ja-JP"/>
        </w:rPr>
        <w:t>PatchEomPatchCount</w:t>
      </w:r>
      <w:r w:rsidR="00D47707" w:rsidRPr="00A52AB8">
        <w:rPr>
          <w:lang w:eastAsia="ja-JP"/>
        </w:rPr>
        <w:t> = </w:t>
      </w:r>
      <w:r w:rsidR="004B6DF5" w:rsidRPr="00A52AB8">
        <w:rPr>
          <w:lang w:eastAsia="ja-JP"/>
        </w:rPr>
        <w:t>Tile</w:t>
      </w:r>
      <w:r w:rsidR="00D559AA" w:rsidRPr="00A52AB8">
        <w:rPr>
          <w:lang w:eastAsia="ja-JP"/>
        </w:rPr>
        <w:t>PatchEomPatchCount</w:t>
      </w:r>
      <w:r w:rsidR="00932357" w:rsidRPr="00A52AB8">
        <w:rPr>
          <w:lang w:eastAsia="ja-JP"/>
        </w:rPr>
        <w:t>[ </w:t>
      </w:r>
      <w:r w:rsidR="00632FA7" w:rsidRPr="00A52AB8">
        <w:rPr>
          <w:lang w:eastAsia="ja-JP"/>
        </w:rPr>
        <w:t>tileID</w:t>
      </w:r>
      <w:r w:rsidR="00932357" w:rsidRPr="00A52AB8">
        <w:rPr>
          <w:lang w:eastAsia="ja-JP"/>
        </w:rPr>
        <w:t> ][ </w:t>
      </w:r>
      <w:r w:rsidR="0056040E" w:rsidRPr="00A52AB8">
        <w:rPr>
          <w:lang w:eastAsia="ja-JP"/>
        </w:rPr>
        <w:t>refPatchIdx</w:t>
      </w:r>
      <w:r w:rsidR="00932357" w:rsidRPr="00A52AB8">
        <w:rPr>
          <w:lang w:eastAsia="ja-JP"/>
        </w:rPr>
        <w:t> ] </w:t>
      </w:r>
      <w:r w:rsidR="00D559AA" w:rsidRPr="00A52AB8">
        <w:rPr>
          <w:lang w:eastAsia="ja-JP"/>
        </w:rPr>
        <w:tab/>
        <w:t>(</w:t>
      </w:r>
      <w:r w:rsidR="00D559AA" w:rsidRPr="00496A4D">
        <w:rPr>
          <w:lang w:eastAsia="ja-JP"/>
        </w:rPr>
        <w:fldChar w:fldCharType="begin"/>
      </w:r>
      <w:r w:rsidR="00D559AA" w:rsidRPr="00A52AB8">
        <w:rPr>
          <w:lang w:eastAsia="ja-JP"/>
        </w:rPr>
        <w:instrText xml:space="preserve"> SEQ Equation \* ARABIC \n </w:instrText>
      </w:r>
      <w:r w:rsidR="00D559AA" w:rsidRPr="00496A4D">
        <w:rPr>
          <w:lang w:eastAsia="ja-JP"/>
        </w:rPr>
        <w:fldChar w:fldCharType="separate"/>
      </w:r>
      <w:r w:rsidR="00507A67">
        <w:rPr>
          <w:noProof/>
          <w:lang w:eastAsia="ja-JP"/>
        </w:rPr>
        <w:t>139</w:t>
      </w:r>
      <w:r w:rsidR="00D559AA" w:rsidRPr="00496A4D">
        <w:rPr>
          <w:lang w:eastAsia="ja-JP"/>
        </w:rPr>
        <w:fldChar w:fldCharType="end"/>
      </w:r>
      <w:r w:rsidR="00D559AA" w:rsidRPr="00A52AB8">
        <w:rPr>
          <w:lang w:eastAsia="ja-JP"/>
        </w:rPr>
        <w:t>)</w:t>
      </w:r>
      <w:r w:rsidR="0056040E" w:rsidRPr="00A52AB8">
        <w:rPr>
          <w:lang w:eastAsia="ja-JP"/>
        </w:rPr>
        <w:br/>
      </w:r>
      <w:r w:rsidR="00934E68" w:rsidRPr="00A52AB8">
        <w:rPr>
          <w:lang w:eastAsia="ja-JP"/>
        </w:rPr>
        <w:tab/>
      </w:r>
      <w:r w:rsidR="005E1D91" w:rsidRPr="00A52AB8">
        <w:rPr>
          <w:lang w:eastAsia="ja-JP"/>
        </w:rPr>
        <w:t>for( </w:t>
      </w:r>
      <w:r w:rsidR="00934E68" w:rsidRPr="00A52AB8">
        <w:rPr>
          <w:lang w:eastAsia="ja-JP"/>
        </w:rPr>
        <w:t>i</w:t>
      </w:r>
      <w:r w:rsidR="00D47707" w:rsidRPr="00A52AB8">
        <w:rPr>
          <w:lang w:eastAsia="ja-JP"/>
        </w:rPr>
        <w:t> = </w:t>
      </w:r>
      <w:r w:rsidR="005E1D91" w:rsidRPr="00A52AB8">
        <w:rPr>
          <w:lang w:eastAsia="ja-JP"/>
        </w:rPr>
        <w:t>0; i &lt;</w:t>
      </w:r>
      <w:r w:rsidR="001A102D" w:rsidRPr="00A52AB8">
        <w:rPr>
          <w:lang w:eastAsia="ja-JP"/>
        </w:rPr>
        <w:t> refPatchEomPatchCount</w:t>
      </w:r>
      <w:r w:rsidR="0030523B" w:rsidRPr="00A52AB8">
        <w:rPr>
          <w:lang w:eastAsia="ja-JP"/>
        </w:rPr>
        <w:t>; i</w:t>
      </w:r>
      <w:r w:rsidR="00006CCF" w:rsidRPr="00A52AB8">
        <w:rPr>
          <w:lang w:eastAsia="ja-JP"/>
        </w:rPr>
        <w:t>++ </w:t>
      </w:r>
      <w:r w:rsidR="008F1F82" w:rsidRPr="00A52AB8">
        <w:rPr>
          <w:lang w:eastAsia="ja-JP"/>
        </w:rPr>
        <w:t>) {</w:t>
      </w:r>
      <w:r w:rsidR="0056040E" w:rsidRPr="00A52AB8">
        <w:rPr>
          <w:lang w:eastAsia="ja-JP"/>
        </w:rPr>
        <w:br/>
      </w:r>
      <w:r w:rsidR="00934E68" w:rsidRPr="00A52AB8">
        <w:rPr>
          <w:lang w:eastAsia="ja-JP"/>
        </w:rPr>
        <w:tab/>
      </w:r>
      <w:r w:rsidR="008060F1" w:rsidRPr="00A52AB8">
        <w:rPr>
          <w:lang w:eastAsia="ja-JP"/>
        </w:rPr>
        <w:tab/>
      </w:r>
      <w:r w:rsidR="006D0A6F" w:rsidRPr="00A52AB8">
        <w:rPr>
          <w:lang w:eastAsia="ja-JP"/>
        </w:rPr>
        <w:t>refPatch</w:t>
      </w:r>
      <w:r w:rsidR="00457B67" w:rsidRPr="00A52AB8">
        <w:rPr>
          <w:lang w:eastAsia="ja-JP"/>
        </w:rPr>
        <w:t>AssociatedPatchIndex</w:t>
      </w:r>
      <w:r w:rsidR="001A102D" w:rsidRPr="00A52AB8">
        <w:rPr>
          <w:lang w:eastAsia="ja-JP"/>
        </w:rPr>
        <w:t>[ i ]</w:t>
      </w:r>
      <w:r w:rsidR="001A102D" w:rsidRPr="00A52AB8">
        <w:rPr>
          <w:lang w:eastAsia="ja-JP"/>
        </w:rPr>
        <w:br/>
      </w:r>
      <w:r w:rsidR="001A102D" w:rsidRPr="00A52AB8">
        <w:rPr>
          <w:lang w:eastAsia="ja-JP"/>
        </w:rPr>
        <w:tab/>
      </w:r>
      <w:r w:rsidR="001A102D" w:rsidRPr="00A52AB8">
        <w:rPr>
          <w:lang w:eastAsia="ja-JP"/>
        </w:rPr>
        <w:tab/>
      </w:r>
      <w:r w:rsidR="001A102D" w:rsidRPr="00A52AB8">
        <w:rPr>
          <w:lang w:eastAsia="ja-JP"/>
        </w:rPr>
        <w:tab/>
      </w:r>
      <w:r w:rsidR="00D47707" w:rsidRPr="00A52AB8">
        <w:rPr>
          <w:lang w:eastAsia="ja-JP"/>
        </w:rPr>
        <w:t> = </w:t>
      </w:r>
      <w:r w:rsidR="00707667" w:rsidRPr="00A52AB8">
        <w:rPr>
          <w:lang w:eastAsia="ja-JP"/>
        </w:rPr>
        <w:t>Tile</w:t>
      </w:r>
      <w:r w:rsidR="00E3147D" w:rsidRPr="00A52AB8">
        <w:rPr>
          <w:lang w:eastAsia="ja-JP"/>
        </w:rPr>
        <w:t>Patch</w:t>
      </w:r>
      <w:r w:rsidR="00457B67" w:rsidRPr="00A52AB8">
        <w:rPr>
          <w:lang w:eastAsia="ja-JP"/>
        </w:rPr>
        <w:t>AssociatedPatchIndex</w:t>
      </w:r>
      <w:r w:rsidR="008060F1" w:rsidRPr="00A52AB8">
        <w:rPr>
          <w:lang w:eastAsia="ja-JP"/>
        </w:rPr>
        <w:t>[ </w:t>
      </w:r>
      <w:r w:rsidR="00632FA7" w:rsidRPr="00A52AB8">
        <w:rPr>
          <w:lang w:eastAsia="ja-JP"/>
        </w:rPr>
        <w:t>tileID</w:t>
      </w:r>
      <w:r w:rsidR="001A102D" w:rsidRPr="00A52AB8">
        <w:rPr>
          <w:lang w:eastAsia="ja-JP"/>
        </w:rPr>
        <w:t> ][ refPatchIdx</w:t>
      </w:r>
      <w:r w:rsidR="008060F1" w:rsidRPr="00A52AB8">
        <w:rPr>
          <w:lang w:eastAsia="ja-JP"/>
        </w:rPr>
        <w:t> ]</w:t>
      </w:r>
      <w:r w:rsidR="0032119C" w:rsidRPr="00A52AB8">
        <w:rPr>
          <w:lang w:eastAsia="ja-JP"/>
        </w:rPr>
        <w:t>[</w:t>
      </w:r>
      <w:r w:rsidR="008060F1" w:rsidRPr="00A52AB8">
        <w:rPr>
          <w:lang w:eastAsia="ja-JP"/>
        </w:rPr>
        <w:t> </w:t>
      </w:r>
      <w:r w:rsidR="0032119C" w:rsidRPr="00A52AB8">
        <w:rPr>
          <w:lang w:eastAsia="ja-JP"/>
        </w:rPr>
        <w:t>i ]</w:t>
      </w:r>
      <w:r w:rsidR="008060F1" w:rsidRPr="00A52AB8">
        <w:rPr>
          <w:lang w:eastAsia="ja-JP"/>
        </w:rPr>
        <w:tab/>
        <w:t>(</w:t>
      </w:r>
      <w:r w:rsidR="008060F1" w:rsidRPr="00496A4D">
        <w:rPr>
          <w:lang w:eastAsia="ja-JP"/>
        </w:rPr>
        <w:fldChar w:fldCharType="begin"/>
      </w:r>
      <w:r w:rsidR="008060F1" w:rsidRPr="00A52AB8">
        <w:rPr>
          <w:lang w:eastAsia="ja-JP"/>
        </w:rPr>
        <w:instrText xml:space="preserve"> SEQ Equation \* ARABIC \n </w:instrText>
      </w:r>
      <w:r w:rsidR="008060F1" w:rsidRPr="00496A4D">
        <w:rPr>
          <w:lang w:eastAsia="ja-JP"/>
        </w:rPr>
        <w:fldChar w:fldCharType="separate"/>
      </w:r>
      <w:r w:rsidR="00507A67">
        <w:rPr>
          <w:noProof/>
          <w:lang w:eastAsia="ja-JP"/>
        </w:rPr>
        <w:t>140</w:t>
      </w:r>
      <w:r w:rsidR="008060F1" w:rsidRPr="00496A4D">
        <w:rPr>
          <w:lang w:eastAsia="ja-JP"/>
        </w:rPr>
        <w:fldChar w:fldCharType="end"/>
      </w:r>
      <w:r w:rsidR="008060F1" w:rsidRPr="00A52AB8">
        <w:rPr>
          <w:lang w:eastAsia="ja-JP"/>
        </w:rPr>
        <w:t>)</w:t>
      </w:r>
      <w:r w:rsidR="001A102D" w:rsidRPr="00A52AB8">
        <w:rPr>
          <w:lang w:eastAsia="ja-JP"/>
        </w:rPr>
        <w:br/>
      </w:r>
      <w:r w:rsidR="00934E68" w:rsidRPr="00A52AB8">
        <w:rPr>
          <w:lang w:eastAsia="ja-JP"/>
        </w:rPr>
        <w:tab/>
      </w:r>
      <w:r w:rsidR="008060F1" w:rsidRPr="00A52AB8">
        <w:rPr>
          <w:lang w:eastAsia="ja-JP"/>
        </w:rPr>
        <w:tab/>
      </w:r>
      <w:r w:rsidR="00C2430F" w:rsidRPr="00A52AB8">
        <w:rPr>
          <w:lang w:eastAsia="ja-JP"/>
        </w:rPr>
        <w:t>refPatchEomPoints[ i ]</w:t>
      </w:r>
      <w:r w:rsidR="00D47707" w:rsidRPr="00A52AB8">
        <w:rPr>
          <w:lang w:eastAsia="ja-JP"/>
        </w:rPr>
        <w:t> = </w:t>
      </w:r>
      <w:r w:rsidR="00707667" w:rsidRPr="00A52AB8">
        <w:rPr>
          <w:lang w:eastAsia="ja-JP"/>
        </w:rPr>
        <w:t>Tile</w:t>
      </w:r>
      <w:r w:rsidR="008060F1" w:rsidRPr="00A52AB8">
        <w:rPr>
          <w:lang w:eastAsia="ja-JP"/>
        </w:rPr>
        <w:t>PatchEomPoints[ </w:t>
      </w:r>
      <w:r w:rsidR="00632FA7" w:rsidRPr="00A52AB8">
        <w:rPr>
          <w:lang w:eastAsia="ja-JP"/>
        </w:rPr>
        <w:t>tileID</w:t>
      </w:r>
      <w:r w:rsidR="008060F1" w:rsidRPr="00A52AB8">
        <w:rPr>
          <w:lang w:eastAsia="ja-JP"/>
        </w:rPr>
        <w:t> ][ </w:t>
      </w:r>
      <w:r w:rsidR="001A102D" w:rsidRPr="00A52AB8">
        <w:rPr>
          <w:lang w:eastAsia="ja-JP"/>
        </w:rPr>
        <w:t>refPatchIdx</w:t>
      </w:r>
      <w:r w:rsidR="008060F1" w:rsidRPr="00A52AB8">
        <w:rPr>
          <w:lang w:eastAsia="ja-JP"/>
        </w:rPr>
        <w:t> ]</w:t>
      </w:r>
      <w:r w:rsidR="0099594C" w:rsidRPr="00A52AB8">
        <w:rPr>
          <w:lang w:eastAsia="ja-JP"/>
        </w:rPr>
        <w:t>[</w:t>
      </w:r>
      <w:r w:rsidR="008060F1" w:rsidRPr="00A52AB8">
        <w:rPr>
          <w:lang w:eastAsia="ja-JP"/>
        </w:rPr>
        <w:t> </w:t>
      </w:r>
      <w:r w:rsidR="0099594C" w:rsidRPr="00A52AB8">
        <w:rPr>
          <w:lang w:eastAsia="ja-JP"/>
        </w:rPr>
        <w:t>i</w:t>
      </w:r>
      <w:r w:rsidR="008060F1" w:rsidRPr="00A52AB8">
        <w:rPr>
          <w:lang w:eastAsia="ja-JP"/>
        </w:rPr>
        <w:t> </w:t>
      </w:r>
      <w:r w:rsidR="0099594C" w:rsidRPr="00A52AB8">
        <w:rPr>
          <w:lang w:eastAsia="ja-JP"/>
        </w:rPr>
        <w:t>]</w:t>
      </w:r>
      <w:r w:rsidR="008060F1" w:rsidRPr="00A52AB8">
        <w:rPr>
          <w:lang w:eastAsia="ja-JP"/>
        </w:rPr>
        <w:tab/>
        <w:t>(</w:t>
      </w:r>
      <w:r w:rsidR="008060F1" w:rsidRPr="00496A4D">
        <w:rPr>
          <w:lang w:eastAsia="ja-JP"/>
        </w:rPr>
        <w:fldChar w:fldCharType="begin"/>
      </w:r>
      <w:r w:rsidR="008060F1" w:rsidRPr="00A52AB8">
        <w:rPr>
          <w:lang w:eastAsia="ja-JP"/>
        </w:rPr>
        <w:instrText xml:space="preserve"> SEQ Equation \* ARABIC \n </w:instrText>
      </w:r>
      <w:r w:rsidR="008060F1" w:rsidRPr="00496A4D">
        <w:rPr>
          <w:lang w:eastAsia="ja-JP"/>
        </w:rPr>
        <w:fldChar w:fldCharType="separate"/>
      </w:r>
      <w:r w:rsidR="00507A67">
        <w:rPr>
          <w:noProof/>
          <w:lang w:eastAsia="ja-JP"/>
        </w:rPr>
        <w:t>141</w:t>
      </w:r>
      <w:r w:rsidR="008060F1" w:rsidRPr="00496A4D">
        <w:rPr>
          <w:lang w:eastAsia="ja-JP"/>
        </w:rPr>
        <w:fldChar w:fldCharType="end"/>
      </w:r>
      <w:r w:rsidR="008060F1" w:rsidRPr="00A52AB8">
        <w:rPr>
          <w:lang w:eastAsia="ja-JP"/>
        </w:rPr>
        <w:t>)</w:t>
      </w:r>
      <w:r w:rsidR="001A102D" w:rsidRPr="00A52AB8">
        <w:rPr>
          <w:lang w:eastAsia="ja-JP"/>
        </w:rPr>
        <w:br/>
      </w:r>
      <w:r w:rsidR="00835838" w:rsidRPr="00A52AB8">
        <w:rPr>
          <w:lang w:eastAsia="ja-JP"/>
        </w:rPr>
        <w:tab/>
      </w:r>
      <w:r w:rsidR="0030523B" w:rsidRPr="00A52AB8">
        <w:rPr>
          <w:lang w:eastAsia="ja-JP"/>
        </w:rPr>
        <w:t>}</w:t>
      </w:r>
    </w:p>
    <w:p w14:paraId="51B7D513" w14:textId="653AC93D" w:rsidR="00CD5D06" w:rsidRPr="00A52AB8" w:rsidRDefault="00CD5D06" w:rsidP="00FB4953">
      <w:pPr>
        <w:rPr>
          <w:color w:val="000000" w:themeColor="text1"/>
        </w:rPr>
      </w:pPr>
      <w:r w:rsidRPr="00A52AB8">
        <w:rPr>
          <w:color w:val="000000" w:themeColor="text1"/>
        </w:rPr>
        <w:t xml:space="preserve">where </w:t>
      </w:r>
      <w:r w:rsidRPr="00A52AB8">
        <w:rPr>
          <w:lang w:eastAsia="ja-JP"/>
        </w:rPr>
        <w:t>TilePatchEomPatchCount, TilePatchAssociatedPatchIndex, and TilePatchEomPoints</w:t>
      </w:r>
      <w:r w:rsidRPr="00A52AB8">
        <w:rPr>
          <w:color w:val="000000" w:themeColor="text1"/>
        </w:rPr>
        <w:t xml:space="preserve"> are the associated tile patch parameters from the patch with index refPatchIdx in the tile ID equal to tileID of the refIdx-th entry of the reference atlas frame list struct, RefAtlasFrmList.</w:t>
      </w:r>
    </w:p>
    <w:p w14:paraId="5E571917" w14:textId="77777777" w:rsidR="0050235C" w:rsidRPr="00A52AB8" w:rsidRDefault="00F44B97" w:rsidP="009F42AE">
      <w:pPr>
        <w:pStyle w:val="Heading4"/>
      </w:pPr>
      <w:bookmarkStart w:id="1521" w:name="_Ref47041328"/>
      <w:bookmarkStart w:id="1522" w:name="_Ref29725293"/>
      <w:r w:rsidRPr="00A52AB8">
        <w:t xml:space="preserve">Decoding process for </w:t>
      </w:r>
      <w:r w:rsidR="00E63010" w:rsidRPr="00A52AB8">
        <w:t>patch data unit</w:t>
      </w:r>
      <w:r w:rsidRPr="00A52AB8">
        <w:t xml:space="preserve">s coded in </w:t>
      </w:r>
      <w:r w:rsidR="00D208FC" w:rsidRPr="00A52AB8">
        <w:t>RAW</w:t>
      </w:r>
      <w:r w:rsidRPr="00A52AB8">
        <w:t xml:space="preserve"> mode</w:t>
      </w:r>
      <w:bookmarkEnd w:id="1521"/>
      <w:bookmarkEnd w:id="1522"/>
    </w:p>
    <w:p w14:paraId="7A31D12D" w14:textId="781CE0E1" w:rsidR="002D1115" w:rsidRPr="00A52AB8" w:rsidRDefault="002D1115" w:rsidP="00FB4953">
      <w:r w:rsidRPr="00A52AB8">
        <w:t>Input</w:t>
      </w:r>
      <w:r w:rsidR="003708D0" w:rsidRPr="00A52AB8">
        <w:t>s</w:t>
      </w:r>
      <w:r w:rsidRPr="00A52AB8">
        <w:t xml:space="preserve"> to this process </w:t>
      </w:r>
      <w:r w:rsidR="003708D0" w:rsidRPr="00A52AB8">
        <w:t xml:space="preserve">are </w:t>
      </w:r>
      <w:r w:rsidRPr="00A52AB8">
        <w:t xml:space="preserve">the current patch index, </w:t>
      </w:r>
      <w:r w:rsidRPr="00A52AB8">
        <w:rPr>
          <w:color w:val="000000" w:themeColor="text1"/>
        </w:rPr>
        <w:t>p</w:t>
      </w:r>
      <w:r w:rsidRPr="00A52AB8">
        <w:t xml:space="preserve">, and </w:t>
      </w:r>
      <w:r w:rsidR="00FE0972" w:rsidRPr="00A52AB8">
        <w:t xml:space="preserve">the </w:t>
      </w:r>
      <w:r w:rsidRPr="00A52AB8">
        <w:t>current tile ID, tileID</w:t>
      </w:r>
      <w:r w:rsidRPr="00A52AB8">
        <w:rPr>
          <w:color w:val="000000" w:themeColor="text1"/>
        </w:rPr>
        <w:t>.</w:t>
      </w:r>
    </w:p>
    <w:p w14:paraId="4F2FEB4B" w14:textId="77777777" w:rsidR="00D10A48" w:rsidRPr="00A52AB8" w:rsidRDefault="00D10A48">
      <w:pPr>
        <w:rPr>
          <w:lang w:eastAsia="ja-JP"/>
        </w:rPr>
      </w:pPr>
      <w:r w:rsidRPr="00A52AB8">
        <w:rPr>
          <w:lang w:eastAsia="ja-JP"/>
        </w:rPr>
        <w:t>The following patch related variables are first assigned given the parsed elements in the patch data unit:</w:t>
      </w:r>
    </w:p>
    <w:p w14:paraId="7C62885D" w14:textId="555C134D" w:rsidR="00977481" w:rsidRPr="00A52AB8" w:rsidRDefault="00977481" w:rsidP="00977481">
      <w:pPr>
        <w:rPr>
          <w:lang w:eastAsia="ja-JP"/>
        </w:rPr>
      </w:pPr>
      <w:r w:rsidRPr="00A52AB8">
        <w:rPr>
          <w:lang w:eastAsia="ja-JP"/>
        </w:rPr>
        <w:tab/>
        <w:t>TilePatchType[ tileID ][ p ]</w:t>
      </w:r>
      <w:r w:rsidR="00D47707" w:rsidRPr="00A52AB8">
        <w:rPr>
          <w:lang w:eastAsia="ja-JP"/>
        </w:rPr>
        <w:t> = </w:t>
      </w:r>
      <w:r w:rsidRPr="00A52AB8">
        <w:rPr>
          <w:lang w:eastAsia="ja-JP"/>
        </w:rPr>
        <w:t>RAW</w:t>
      </w:r>
      <w:r w:rsidRPr="00A52AB8">
        <w:rPr>
          <w:lang w:eastAsia="ja-JP"/>
        </w:rPr>
        <w:tab/>
      </w:r>
      <w:r w:rsidR="001A102D" w:rsidRPr="00A52AB8">
        <w:rPr>
          <w:lang w:eastAsia="ja-JP"/>
        </w:rPr>
        <w:tab/>
      </w:r>
      <w:r w:rsidR="001A102D" w:rsidRPr="00A52AB8">
        <w:rPr>
          <w:lang w:eastAsia="ja-JP"/>
        </w:rPr>
        <w:tab/>
      </w:r>
      <w:r w:rsidR="001A102D" w:rsidRPr="00A52AB8">
        <w:rPr>
          <w:lang w:eastAsia="ja-JP"/>
        </w:rPr>
        <w:tab/>
      </w:r>
      <w:r w:rsidRPr="00A52AB8">
        <w:rPr>
          <w:lang w:eastAsia="ja-JP"/>
        </w:rPr>
        <w:t>(</w:t>
      </w:r>
      <w:r w:rsidRPr="00496A4D">
        <w:rPr>
          <w:lang w:eastAsia="ja-JP"/>
        </w:rPr>
        <w:fldChar w:fldCharType="begin"/>
      </w:r>
      <w:r w:rsidRPr="00A52AB8">
        <w:rPr>
          <w:lang w:eastAsia="ja-JP"/>
        </w:rPr>
        <w:instrText xml:space="preserve"> SEQ Equation \* ARABIC \n </w:instrText>
      </w:r>
      <w:r w:rsidRPr="00496A4D">
        <w:rPr>
          <w:lang w:eastAsia="ja-JP"/>
        </w:rPr>
        <w:fldChar w:fldCharType="separate"/>
      </w:r>
      <w:r w:rsidR="00507A67">
        <w:rPr>
          <w:noProof/>
          <w:lang w:eastAsia="ja-JP"/>
        </w:rPr>
        <w:t>142</w:t>
      </w:r>
      <w:r w:rsidRPr="00496A4D">
        <w:rPr>
          <w:lang w:eastAsia="ja-JP"/>
        </w:rPr>
        <w:fldChar w:fldCharType="end"/>
      </w:r>
      <w:r w:rsidRPr="00A52AB8">
        <w:rPr>
          <w:lang w:eastAsia="ja-JP"/>
        </w:rPr>
        <w:t>)</w:t>
      </w:r>
    </w:p>
    <w:p w14:paraId="6B165C1B" w14:textId="707B480C" w:rsidR="007D061B" w:rsidRPr="00A52AB8" w:rsidRDefault="007D061B" w:rsidP="00C86722">
      <w:pPr>
        <w:rPr>
          <w:lang w:eastAsia="ja-JP"/>
        </w:rPr>
      </w:pPr>
      <w:r w:rsidRPr="00A52AB8">
        <w:rPr>
          <w:lang w:eastAsia="ja-JP"/>
        </w:rPr>
        <w:tab/>
        <w:t>TilePatchInAuxVideo[ tileID ][ p ]</w:t>
      </w:r>
      <w:r w:rsidR="00D47707" w:rsidRPr="00A52AB8">
        <w:rPr>
          <w:lang w:eastAsia="ja-JP"/>
        </w:rPr>
        <w:t> = </w:t>
      </w:r>
      <w:r w:rsidRPr="00A52AB8">
        <w:rPr>
          <w:lang w:eastAsia="ja-JP"/>
        </w:rPr>
        <w:t>rpdu_patch_in_auxiliary_video_flag[ tileID ][ p ]</w:t>
      </w:r>
      <w:r w:rsidRPr="00A52AB8">
        <w:rPr>
          <w:lang w:eastAsia="ja-JP"/>
        </w:rPr>
        <w:tab/>
        <w:t>(</w:t>
      </w:r>
      <w:r w:rsidRPr="00496A4D">
        <w:rPr>
          <w:lang w:eastAsia="ja-JP"/>
        </w:rPr>
        <w:fldChar w:fldCharType="begin"/>
      </w:r>
      <w:r w:rsidRPr="00A52AB8">
        <w:rPr>
          <w:lang w:eastAsia="ja-JP"/>
        </w:rPr>
        <w:instrText xml:space="preserve"> SEQ Equation \* ARABIC \n </w:instrText>
      </w:r>
      <w:r w:rsidRPr="00496A4D">
        <w:rPr>
          <w:lang w:eastAsia="ja-JP"/>
        </w:rPr>
        <w:fldChar w:fldCharType="separate"/>
      </w:r>
      <w:r w:rsidR="00507A67">
        <w:rPr>
          <w:noProof/>
          <w:lang w:eastAsia="ja-JP"/>
        </w:rPr>
        <w:t>143</w:t>
      </w:r>
      <w:r w:rsidRPr="00496A4D">
        <w:rPr>
          <w:lang w:eastAsia="ja-JP"/>
        </w:rPr>
        <w:fldChar w:fldCharType="end"/>
      </w:r>
      <w:r w:rsidRPr="00A52AB8">
        <w:rPr>
          <w:lang w:eastAsia="ja-JP"/>
        </w:rPr>
        <w:t>)</w:t>
      </w:r>
    </w:p>
    <w:p w14:paraId="53D86F9E" w14:textId="49F339D3" w:rsidR="00D10A48" w:rsidRPr="00A52AB8" w:rsidRDefault="00D10A48">
      <w:pPr>
        <w:rPr>
          <w:lang w:eastAsia="ja-JP"/>
        </w:rPr>
      </w:pPr>
      <w:r w:rsidRPr="00A52AB8">
        <w:rPr>
          <w:lang w:eastAsia="ja-JP"/>
        </w:rPr>
        <w:tab/>
      </w:r>
      <w:r w:rsidR="00980AEC" w:rsidRPr="00A52AB8">
        <w:rPr>
          <w:lang w:eastAsia="ja-JP"/>
        </w:rPr>
        <w:t>Tile</w:t>
      </w:r>
      <w:r w:rsidRPr="00A52AB8">
        <w:rPr>
          <w:lang w:eastAsia="ja-JP"/>
        </w:rPr>
        <w:t>Patch2d</w:t>
      </w:r>
      <w:r w:rsidR="00627BE0" w:rsidRPr="00A52AB8">
        <w:rPr>
          <w:lang w:eastAsia="ja-JP"/>
        </w:rPr>
        <w:t>Pos</w:t>
      </w:r>
      <w:r w:rsidR="00CA4F41" w:rsidRPr="00A52AB8">
        <w:rPr>
          <w:lang w:eastAsia="ja-JP"/>
        </w:rPr>
        <w:t>X</w:t>
      </w:r>
      <w:r w:rsidR="001B6CE6" w:rsidRPr="00A52AB8">
        <w:t>[ </w:t>
      </w:r>
      <w:r w:rsidR="00632FA7" w:rsidRPr="00A52AB8">
        <w:t>tileID</w:t>
      </w:r>
      <w:r w:rsidR="001B6CE6" w:rsidRPr="00A52AB8">
        <w:t> ]</w:t>
      </w:r>
      <w:r w:rsidR="00636D52" w:rsidRPr="00A52AB8">
        <w:rPr>
          <w:lang w:eastAsia="ja-JP"/>
        </w:rPr>
        <w:t>[ p </w:t>
      </w:r>
      <w:r w:rsidR="00935236" w:rsidRPr="00A52AB8">
        <w:rPr>
          <w:lang w:eastAsia="ja-JP"/>
        </w:rPr>
        <w:t>]</w:t>
      </w:r>
      <w:r w:rsidR="00D47707" w:rsidRPr="00A52AB8">
        <w:rPr>
          <w:lang w:eastAsia="ja-JP"/>
        </w:rPr>
        <w:t> = </w:t>
      </w:r>
      <w:r w:rsidR="00C31A85" w:rsidRPr="00A52AB8">
        <w:rPr>
          <w:lang w:eastAsia="ja-JP"/>
        </w:rPr>
        <w:t>rpdu</w:t>
      </w:r>
      <w:r w:rsidRPr="00A52AB8">
        <w:rPr>
          <w:lang w:eastAsia="ja-JP"/>
        </w:rPr>
        <w:t>_</w:t>
      </w:r>
      <w:r w:rsidR="00070D8E" w:rsidRPr="00A52AB8">
        <w:rPr>
          <w:lang w:eastAsia="ja-JP"/>
        </w:rPr>
        <w:t>2d_</w:t>
      </w:r>
      <w:r w:rsidR="00627BE0" w:rsidRPr="00A52AB8">
        <w:rPr>
          <w:lang w:eastAsia="ja-JP"/>
        </w:rPr>
        <w:t>pos</w:t>
      </w:r>
      <w:r w:rsidR="00070D8E" w:rsidRPr="00A52AB8">
        <w:rPr>
          <w:lang w:eastAsia="ja-JP"/>
        </w:rPr>
        <w:t>_x</w:t>
      </w:r>
      <w:r w:rsidR="001B6CE6" w:rsidRPr="00A52AB8">
        <w:t>[ </w:t>
      </w:r>
      <w:r w:rsidR="00632FA7" w:rsidRPr="00A52AB8">
        <w:t>tileID</w:t>
      </w:r>
      <w:r w:rsidR="001B6CE6" w:rsidRPr="00A52AB8">
        <w:t> ]</w:t>
      </w:r>
      <w:r w:rsidR="00A73F82" w:rsidRPr="00A52AB8">
        <w:rPr>
          <w:lang w:eastAsia="ja-JP"/>
        </w:rPr>
        <w:t>[</w:t>
      </w:r>
      <w:r w:rsidR="00636D52" w:rsidRPr="00A52AB8">
        <w:rPr>
          <w:lang w:eastAsia="ja-JP"/>
        </w:rPr>
        <w:t> p ]</w:t>
      </w:r>
      <w:r w:rsidR="00DE5D50" w:rsidRPr="00A52AB8">
        <w:rPr>
          <w:lang w:eastAsia="ja-JP"/>
        </w:rPr>
        <w:t> </w:t>
      </w:r>
      <w:r w:rsidR="007E38C9" w:rsidRPr="00A52AB8">
        <w:rPr>
          <w:lang w:eastAsia="ja-JP"/>
        </w:rPr>
        <w:t>* </w:t>
      </w:r>
      <w:r w:rsidR="00835F46" w:rsidRPr="00A52AB8">
        <w:rPr>
          <w:lang w:eastAsia="ja-JP"/>
        </w:rPr>
        <w:t>PatchPackingBlockSize</w:t>
      </w:r>
      <w:r w:rsidRPr="00A52AB8">
        <w:rPr>
          <w:lang w:eastAsia="ja-JP"/>
        </w:rPr>
        <w:tab/>
        <w:t>(</w:t>
      </w:r>
      <w:r w:rsidRPr="00496A4D">
        <w:rPr>
          <w:lang w:eastAsia="ja-JP"/>
        </w:rPr>
        <w:fldChar w:fldCharType="begin"/>
      </w:r>
      <w:r w:rsidRPr="00A52AB8">
        <w:rPr>
          <w:lang w:eastAsia="ja-JP"/>
        </w:rPr>
        <w:instrText xml:space="preserve"> </w:instrText>
      </w:r>
      <w:r w:rsidR="00646520" w:rsidRPr="00A52AB8">
        <w:rPr>
          <w:lang w:eastAsia="ja-JP"/>
        </w:rPr>
        <w:instrText>SEQ Equation \* ARABIC \n</w:instrText>
      </w:r>
      <w:r w:rsidRPr="00A52AB8">
        <w:rPr>
          <w:lang w:eastAsia="ja-JP"/>
        </w:rPr>
        <w:instrText xml:space="preserve"> </w:instrText>
      </w:r>
      <w:r w:rsidRPr="00496A4D">
        <w:rPr>
          <w:lang w:eastAsia="ja-JP"/>
        </w:rPr>
        <w:fldChar w:fldCharType="separate"/>
      </w:r>
      <w:r w:rsidR="00507A67">
        <w:rPr>
          <w:noProof/>
          <w:lang w:eastAsia="ja-JP"/>
        </w:rPr>
        <w:t>144</w:t>
      </w:r>
      <w:r w:rsidRPr="00496A4D">
        <w:rPr>
          <w:lang w:eastAsia="ja-JP"/>
        </w:rPr>
        <w:fldChar w:fldCharType="end"/>
      </w:r>
      <w:r w:rsidRPr="00A52AB8">
        <w:rPr>
          <w:lang w:eastAsia="ja-JP"/>
        </w:rPr>
        <w:t>)</w:t>
      </w:r>
    </w:p>
    <w:p w14:paraId="313EEB53" w14:textId="58FCF937" w:rsidR="00D10A48" w:rsidRPr="00A52AB8" w:rsidRDefault="00D10A48">
      <w:pPr>
        <w:rPr>
          <w:lang w:eastAsia="ja-JP"/>
        </w:rPr>
      </w:pPr>
      <w:r w:rsidRPr="00A52AB8">
        <w:rPr>
          <w:lang w:eastAsia="ja-JP"/>
        </w:rPr>
        <w:tab/>
      </w:r>
      <w:r w:rsidR="00980AEC" w:rsidRPr="00A52AB8">
        <w:rPr>
          <w:lang w:eastAsia="ja-JP"/>
        </w:rPr>
        <w:t>Tile</w:t>
      </w:r>
      <w:r w:rsidRPr="00A52AB8">
        <w:rPr>
          <w:lang w:eastAsia="ja-JP"/>
        </w:rPr>
        <w:t>Patch</w:t>
      </w:r>
      <w:r w:rsidR="0001100C" w:rsidRPr="00A52AB8">
        <w:rPr>
          <w:lang w:eastAsia="ja-JP"/>
        </w:rPr>
        <w:t>2</w:t>
      </w:r>
      <w:r w:rsidRPr="00A52AB8">
        <w:rPr>
          <w:lang w:eastAsia="ja-JP"/>
        </w:rPr>
        <w:t>d</w:t>
      </w:r>
      <w:r w:rsidR="00627BE0" w:rsidRPr="00A52AB8">
        <w:rPr>
          <w:lang w:eastAsia="ja-JP"/>
        </w:rPr>
        <w:t>Pos</w:t>
      </w:r>
      <w:r w:rsidR="00CA4F41" w:rsidRPr="00A52AB8">
        <w:rPr>
          <w:lang w:eastAsia="ja-JP"/>
        </w:rPr>
        <w:t>Y</w:t>
      </w:r>
      <w:r w:rsidR="001B6CE6" w:rsidRPr="00A52AB8">
        <w:t>[ </w:t>
      </w:r>
      <w:r w:rsidR="00632FA7" w:rsidRPr="00A52AB8">
        <w:t>tileID</w:t>
      </w:r>
      <w:r w:rsidR="001B6CE6" w:rsidRPr="00A52AB8">
        <w:t> ]</w:t>
      </w:r>
      <w:r w:rsidR="00636D52" w:rsidRPr="00A52AB8">
        <w:rPr>
          <w:lang w:eastAsia="ja-JP"/>
        </w:rPr>
        <w:t>[ p </w:t>
      </w:r>
      <w:r w:rsidR="00935236" w:rsidRPr="00A52AB8">
        <w:rPr>
          <w:lang w:eastAsia="ja-JP"/>
        </w:rPr>
        <w:t>]</w:t>
      </w:r>
      <w:r w:rsidR="00D47707" w:rsidRPr="00A52AB8">
        <w:rPr>
          <w:lang w:eastAsia="ja-JP"/>
        </w:rPr>
        <w:t> = </w:t>
      </w:r>
      <w:r w:rsidR="00C31A85" w:rsidRPr="00A52AB8">
        <w:rPr>
          <w:lang w:eastAsia="ja-JP"/>
        </w:rPr>
        <w:t>rpdu</w:t>
      </w:r>
      <w:r w:rsidRPr="00A52AB8">
        <w:rPr>
          <w:lang w:eastAsia="ja-JP"/>
        </w:rPr>
        <w:t>_</w:t>
      </w:r>
      <w:r w:rsidR="00CA4F41" w:rsidRPr="00A52AB8">
        <w:rPr>
          <w:lang w:eastAsia="ja-JP"/>
        </w:rPr>
        <w:t>2d_</w:t>
      </w:r>
      <w:r w:rsidR="00627BE0" w:rsidRPr="00A52AB8">
        <w:rPr>
          <w:lang w:eastAsia="ja-JP"/>
        </w:rPr>
        <w:t>pos</w:t>
      </w:r>
      <w:r w:rsidR="00CA4F41" w:rsidRPr="00A52AB8">
        <w:rPr>
          <w:lang w:eastAsia="ja-JP"/>
        </w:rPr>
        <w:t>_y</w:t>
      </w:r>
      <w:r w:rsidR="001B6CE6" w:rsidRPr="00A52AB8">
        <w:t>[ </w:t>
      </w:r>
      <w:r w:rsidR="00632FA7" w:rsidRPr="00A52AB8">
        <w:t>tileID</w:t>
      </w:r>
      <w:r w:rsidR="001B6CE6" w:rsidRPr="00A52AB8">
        <w:t> ]</w:t>
      </w:r>
      <w:r w:rsidR="00636D52" w:rsidRPr="00A52AB8">
        <w:rPr>
          <w:lang w:eastAsia="ja-JP"/>
        </w:rPr>
        <w:t>[ p ]</w:t>
      </w:r>
      <w:r w:rsidR="00DE5D50" w:rsidRPr="00A52AB8">
        <w:rPr>
          <w:lang w:eastAsia="ja-JP"/>
        </w:rPr>
        <w:t> </w:t>
      </w:r>
      <w:r w:rsidR="007E38C9" w:rsidRPr="00A52AB8">
        <w:rPr>
          <w:lang w:eastAsia="ja-JP"/>
        </w:rPr>
        <w:t>* </w:t>
      </w:r>
      <w:r w:rsidR="00835F46" w:rsidRPr="00A52AB8">
        <w:rPr>
          <w:lang w:eastAsia="ja-JP"/>
        </w:rPr>
        <w:t>PatchPackingBlockSize</w:t>
      </w:r>
      <w:r w:rsidR="00DE5D50" w:rsidRPr="00A52AB8">
        <w:rPr>
          <w:lang w:eastAsia="ja-JP"/>
        </w:rPr>
        <w:tab/>
      </w:r>
      <w:r w:rsidRPr="00A52AB8">
        <w:rPr>
          <w:lang w:eastAsia="ja-JP"/>
        </w:rPr>
        <w:t>(</w:t>
      </w:r>
      <w:r w:rsidRPr="00496A4D">
        <w:rPr>
          <w:lang w:eastAsia="ja-JP"/>
        </w:rPr>
        <w:fldChar w:fldCharType="begin"/>
      </w:r>
      <w:r w:rsidRPr="00A52AB8">
        <w:rPr>
          <w:lang w:eastAsia="ja-JP"/>
        </w:rPr>
        <w:instrText xml:space="preserve"> </w:instrText>
      </w:r>
      <w:r w:rsidR="00646520" w:rsidRPr="00A52AB8">
        <w:rPr>
          <w:lang w:eastAsia="ja-JP"/>
        </w:rPr>
        <w:instrText>SEQ Equation \* ARABIC \n</w:instrText>
      </w:r>
      <w:r w:rsidRPr="00A52AB8">
        <w:rPr>
          <w:lang w:eastAsia="ja-JP"/>
        </w:rPr>
        <w:instrText xml:space="preserve"> </w:instrText>
      </w:r>
      <w:r w:rsidRPr="00496A4D">
        <w:rPr>
          <w:lang w:eastAsia="ja-JP"/>
        </w:rPr>
        <w:fldChar w:fldCharType="separate"/>
      </w:r>
      <w:r w:rsidR="00507A67">
        <w:rPr>
          <w:noProof/>
          <w:lang w:eastAsia="ja-JP"/>
        </w:rPr>
        <w:t>145</w:t>
      </w:r>
      <w:r w:rsidRPr="00496A4D">
        <w:rPr>
          <w:lang w:eastAsia="ja-JP"/>
        </w:rPr>
        <w:fldChar w:fldCharType="end"/>
      </w:r>
      <w:r w:rsidRPr="00A52AB8">
        <w:rPr>
          <w:lang w:eastAsia="ja-JP"/>
        </w:rPr>
        <w:t>)</w:t>
      </w:r>
    </w:p>
    <w:p w14:paraId="55D68A58" w14:textId="6D6380D8" w:rsidR="00606B36" w:rsidRPr="00A52AB8" w:rsidRDefault="00606B36">
      <w:pPr>
        <w:rPr>
          <w:color w:val="000000" w:themeColor="text1"/>
        </w:rPr>
      </w:pPr>
      <w:r w:rsidRPr="00A52AB8">
        <w:rPr>
          <w:color w:val="000000" w:themeColor="text1"/>
        </w:rPr>
        <w:t xml:space="preserve">Then the variables </w:t>
      </w:r>
      <w:r w:rsidR="001939FF" w:rsidRPr="00A52AB8">
        <w:rPr>
          <w:color w:val="000000" w:themeColor="text1"/>
        </w:rPr>
        <w:t>Tile</w:t>
      </w:r>
      <w:r w:rsidRPr="00A52AB8">
        <w:rPr>
          <w:color w:val="000000" w:themeColor="text1"/>
        </w:rPr>
        <w:t>Patch2dSizeX</w:t>
      </w:r>
      <w:r w:rsidR="001B6CE6" w:rsidRPr="00A52AB8">
        <w:t>[ </w:t>
      </w:r>
      <w:r w:rsidR="00632FA7" w:rsidRPr="00A52AB8">
        <w:t>tileID</w:t>
      </w:r>
      <w:r w:rsidR="001B6CE6" w:rsidRPr="00A52AB8">
        <w:t> ]</w:t>
      </w:r>
      <w:r w:rsidRPr="00A52AB8">
        <w:rPr>
          <w:color w:val="000000" w:themeColor="text1"/>
        </w:rPr>
        <w:t>[ p ]</w:t>
      </w:r>
      <w:r w:rsidR="001939FF" w:rsidRPr="00A52AB8">
        <w:rPr>
          <w:color w:val="000000" w:themeColor="text1"/>
        </w:rPr>
        <w:t>, Tile</w:t>
      </w:r>
      <w:r w:rsidRPr="00A52AB8">
        <w:rPr>
          <w:color w:val="000000" w:themeColor="text1"/>
        </w:rPr>
        <w:t>Patch2dSizeY</w:t>
      </w:r>
      <w:r w:rsidR="001B6CE6" w:rsidRPr="00A52AB8">
        <w:t>[ </w:t>
      </w:r>
      <w:r w:rsidR="00632FA7" w:rsidRPr="00A52AB8">
        <w:t>tileID</w:t>
      </w:r>
      <w:r w:rsidR="001B6CE6" w:rsidRPr="00A52AB8">
        <w:t> ]</w:t>
      </w:r>
      <w:r w:rsidRPr="00A52AB8">
        <w:rPr>
          <w:color w:val="000000" w:themeColor="text1"/>
        </w:rPr>
        <w:t>[ p ]</w:t>
      </w:r>
      <w:r w:rsidR="002D1115" w:rsidRPr="00A52AB8">
        <w:rPr>
          <w:color w:val="000000" w:themeColor="text1"/>
        </w:rPr>
        <w:t>,</w:t>
      </w:r>
      <w:r w:rsidR="001939FF" w:rsidRPr="00A52AB8">
        <w:rPr>
          <w:color w:val="000000" w:themeColor="text1"/>
        </w:rPr>
        <w:t xml:space="preserve"> and TilePatchRawPoints[ </w:t>
      </w:r>
      <w:r w:rsidR="007812ED" w:rsidRPr="00A52AB8">
        <w:rPr>
          <w:color w:val="000000" w:themeColor="text1"/>
        </w:rPr>
        <w:t>tileID</w:t>
      </w:r>
      <w:r w:rsidR="001939FF" w:rsidRPr="00A52AB8">
        <w:rPr>
          <w:color w:val="000000" w:themeColor="text1"/>
        </w:rPr>
        <w:t> ][ p ]</w:t>
      </w:r>
      <w:r w:rsidRPr="00A52AB8">
        <w:rPr>
          <w:color w:val="000000" w:themeColor="text1"/>
        </w:rPr>
        <w:t xml:space="preserve"> are derived as follows:</w:t>
      </w:r>
    </w:p>
    <w:p w14:paraId="22863ED7" w14:textId="18BCCDB2" w:rsidR="00D10A48" w:rsidRPr="00A52AB8" w:rsidRDefault="00D10A48" w:rsidP="00767BB4">
      <w:r w:rsidRPr="00A52AB8">
        <w:tab/>
      </w:r>
      <w:r w:rsidR="00980AEC" w:rsidRPr="00A52AB8">
        <w:t>Tile</w:t>
      </w:r>
      <w:r w:rsidRPr="00A52AB8">
        <w:t>Patch2d</w:t>
      </w:r>
      <w:r w:rsidR="00CA4F41" w:rsidRPr="00A52AB8">
        <w:t>SizeX</w:t>
      </w:r>
      <w:r w:rsidR="001B6CE6" w:rsidRPr="00A52AB8">
        <w:t>[ </w:t>
      </w:r>
      <w:r w:rsidR="00632FA7" w:rsidRPr="00A52AB8">
        <w:t>tileID</w:t>
      </w:r>
      <w:r w:rsidR="001B6CE6" w:rsidRPr="00A52AB8">
        <w:t> ]</w:t>
      </w:r>
      <w:r w:rsidR="00636D52" w:rsidRPr="00A52AB8">
        <w:t>[ p </w:t>
      </w:r>
      <w:r w:rsidR="00935236" w:rsidRPr="00A52AB8">
        <w:t>] =</w:t>
      </w:r>
      <w:r w:rsidR="00767BB4" w:rsidRPr="00A52AB8">
        <w:br/>
      </w:r>
      <w:r w:rsidR="00767BB4" w:rsidRPr="00A52AB8">
        <w:tab/>
      </w:r>
      <w:r w:rsidR="00767BB4" w:rsidRPr="00A52AB8">
        <w:tab/>
      </w:r>
      <w:r w:rsidR="00767BB4" w:rsidRPr="00A52AB8">
        <w:tab/>
      </w:r>
      <w:r w:rsidR="00F377A8" w:rsidRPr="00A52AB8">
        <w:t>(</w:t>
      </w:r>
      <w:r w:rsidR="00C31A85" w:rsidRPr="00A52AB8">
        <w:t>rpdu</w:t>
      </w:r>
      <w:r w:rsidRPr="00A52AB8">
        <w:t>_2d_</w:t>
      </w:r>
      <w:r w:rsidR="008E0BEB" w:rsidRPr="00A52AB8">
        <w:t>size_x</w:t>
      </w:r>
      <w:r w:rsidR="004500E4" w:rsidRPr="00A52AB8">
        <w:t>_minus1</w:t>
      </w:r>
      <w:r w:rsidR="001B6CE6" w:rsidRPr="00A52AB8">
        <w:t>[ </w:t>
      </w:r>
      <w:r w:rsidR="00632FA7" w:rsidRPr="00A52AB8">
        <w:t>tileID</w:t>
      </w:r>
      <w:r w:rsidR="001B6CE6" w:rsidRPr="00A52AB8">
        <w:t> ]</w:t>
      </w:r>
      <w:r w:rsidR="00636D52" w:rsidRPr="00A52AB8">
        <w:t>[ p ]</w:t>
      </w:r>
      <w:r w:rsidR="00DE5D50" w:rsidRPr="00A52AB8">
        <w:t> </w:t>
      </w:r>
      <w:r w:rsidR="00F377A8" w:rsidRPr="00A52AB8">
        <w:t>+ 1) </w:t>
      </w:r>
      <w:r w:rsidR="00DA291C" w:rsidRPr="00A52AB8">
        <w:t>*</w:t>
      </w:r>
      <w:r w:rsidR="00DE5D50" w:rsidRPr="00A52AB8">
        <w:t> </w:t>
      </w:r>
      <w:r w:rsidR="005036E4" w:rsidRPr="00A52AB8">
        <w:t>PatchSizeXQuantizer</w:t>
      </w:r>
      <w:r w:rsidR="00DE5D50" w:rsidRPr="00A52AB8">
        <w:tab/>
      </w:r>
      <w:r w:rsidRPr="00A52AB8">
        <w:t>(</w:t>
      </w:r>
      <w:r w:rsidRPr="00496A4D">
        <w:fldChar w:fldCharType="begin"/>
      </w:r>
      <w:r w:rsidRPr="00A52AB8">
        <w:instrText xml:space="preserve"> </w:instrText>
      </w:r>
      <w:r w:rsidR="00646520" w:rsidRPr="00A52AB8">
        <w:instrText>SEQ Equation \* ARABIC \n</w:instrText>
      </w:r>
      <w:r w:rsidRPr="00A52AB8">
        <w:instrText xml:space="preserve"> </w:instrText>
      </w:r>
      <w:r w:rsidRPr="00496A4D">
        <w:fldChar w:fldCharType="separate"/>
      </w:r>
      <w:r w:rsidR="00507A67">
        <w:rPr>
          <w:noProof/>
        </w:rPr>
        <w:t>146</w:t>
      </w:r>
      <w:r w:rsidRPr="00496A4D">
        <w:fldChar w:fldCharType="end"/>
      </w:r>
      <w:r w:rsidRPr="00A52AB8">
        <w:t>)</w:t>
      </w:r>
    </w:p>
    <w:p w14:paraId="13259506" w14:textId="5CAA7485" w:rsidR="006048F1" w:rsidRPr="00A52AB8" w:rsidRDefault="00D10A48" w:rsidP="00767BB4">
      <w:r w:rsidRPr="00A52AB8">
        <w:tab/>
      </w:r>
      <w:r w:rsidR="00980AEC" w:rsidRPr="00A52AB8">
        <w:t>Tile</w:t>
      </w:r>
      <w:r w:rsidRPr="00A52AB8">
        <w:t>Patch2d</w:t>
      </w:r>
      <w:r w:rsidR="00CA4F41" w:rsidRPr="00A52AB8">
        <w:t>SizeY</w:t>
      </w:r>
      <w:r w:rsidR="001B6CE6" w:rsidRPr="00A52AB8">
        <w:t>[ </w:t>
      </w:r>
      <w:r w:rsidR="00632FA7" w:rsidRPr="00A52AB8">
        <w:t>tileID</w:t>
      </w:r>
      <w:r w:rsidR="001B6CE6" w:rsidRPr="00A52AB8">
        <w:t> ]</w:t>
      </w:r>
      <w:r w:rsidR="00636D52" w:rsidRPr="00A52AB8">
        <w:t>[ p </w:t>
      </w:r>
      <w:r w:rsidR="00935236" w:rsidRPr="00A52AB8">
        <w:t>] =</w:t>
      </w:r>
      <w:r w:rsidR="00767BB4" w:rsidRPr="00A52AB8">
        <w:br/>
      </w:r>
      <w:r w:rsidR="00767BB4" w:rsidRPr="00A52AB8">
        <w:tab/>
      </w:r>
      <w:r w:rsidR="00767BB4" w:rsidRPr="00A52AB8">
        <w:tab/>
      </w:r>
      <w:r w:rsidR="00767BB4" w:rsidRPr="00A52AB8">
        <w:tab/>
      </w:r>
      <w:r w:rsidR="00F377A8" w:rsidRPr="00A52AB8">
        <w:t>(</w:t>
      </w:r>
      <w:r w:rsidR="00C31A85" w:rsidRPr="00A52AB8">
        <w:t>rpdu</w:t>
      </w:r>
      <w:r w:rsidRPr="00A52AB8">
        <w:t>_2d_</w:t>
      </w:r>
      <w:r w:rsidR="008E0BEB" w:rsidRPr="00A52AB8">
        <w:t>size_y</w:t>
      </w:r>
      <w:r w:rsidR="004500E4" w:rsidRPr="00A52AB8">
        <w:t>_minus1</w:t>
      </w:r>
      <w:r w:rsidR="001B6CE6" w:rsidRPr="00A52AB8">
        <w:t>[ </w:t>
      </w:r>
      <w:r w:rsidR="00632FA7" w:rsidRPr="00A52AB8">
        <w:t>tileID</w:t>
      </w:r>
      <w:r w:rsidR="001B6CE6" w:rsidRPr="00A52AB8">
        <w:t> ]</w:t>
      </w:r>
      <w:r w:rsidR="00636D52" w:rsidRPr="00A52AB8">
        <w:t>[ p ]</w:t>
      </w:r>
      <w:r w:rsidR="00DE5D50" w:rsidRPr="00A52AB8">
        <w:t> </w:t>
      </w:r>
      <w:r w:rsidR="00F377A8" w:rsidRPr="00A52AB8">
        <w:t>+ 1) </w:t>
      </w:r>
      <w:r w:rsidR="00DA291C" w:rsidRPr="00A52AB8">
        <w:t>*</w:t>
      </w:r>
      <w:r w:rsidR="00DE5D50" w:rsidRPr="00A52AB8">
        <w:t> </w:t>
      </w:r>
      <w:r w:rsidR="005036E4" w:rsidRPr="00A52AB8">
        <w:t>PatchSizeYQuantizer</w:t>
      </w:r>
      <w:r w:rsidR="00DE5D50" w:rsidRPr="00A52AB8">
        <w:tab/>
      </w:r>
      <w:r w:rsidRPr="00A52AB8">
        <w:t>(</w:t>
      </w:r>
      <w:r w:rsidRPr="00496A4D">
        <w:fldChar w:fldCharType="begin"/>
      </w:r>
      <w:r w:rsidRPr="00A52AB8">
        <w:instrText xml:space="preserve"> </w:instrText>
      </w:r>
      <w:r w:rsidR="00646520" w:rsidRPr="00A52AB8">
        <w:instrText>SEQ Equation \* ARABIC \n</w:instrText>
      </w:r>
      <w:r w:rsidRPr="00A52AB8">
        <w:instrText xml:space="preserve"> </w:instrText>
      </w:r>
      <w:r w:rsidRPr="00496A4D">
        <w:fldChar w:fldCharType="separate"/>
      </w:r>
      <w:r w:rsidR="00507A67">
        <w:rPr>
          <w:noProof/>
        </w:rPr>
        <w:t>147</w:t>
      </w:r>
      <w:r w:rsidRPr="00496A4D">
        <w:fldChar w:fldCharType="end"/>
      </w:r>
      <w:r w:rsidRPr="00A52AB8">
        <w:t>)</w:t>
      </w:r>
    </w:p>
    <w:p w14:paraId="23D2D5A2" w14:textId="62B15D44" w:rsidR="00D10A48" w:rsidRPr="00A52AB8" w:rsidRDefault="006048F1">
      <w:pPr>
        <w:rPr>
          <w:lang w:eastAsia="ja-JP"/>
        </w:rPr>
      </w:pPr>
      <w:r w:rsidRPr="00A52AB8">
        <w:rPr>
          <w:lang w:eastAsia="ja-JP"/>
        </w:rPr>
        <w:tab/>
      </w:r>
      <w:r w:rsidR="00270DA7" w:rsidRPr="00A52AB8">
        <w:rPr>
          <w:lang w:eastAsia="ja-JP"/>
        </w:rPr>
        <w:t>Tile</w:t>
      </w:r>
      <w:r w:rsidR="00D10A48" w:rsidRPr="00A52AB8">
        <w:rPr>
          <w:lang w:eastAsia="ja-JP"/>
        </w:rPr>
        <w:t>Patch</w:t>
      </w:r>
      <w:r w:rsidR="00C31A85" w:rsidRPr="00A52AB8">
        <w:rPr>
          <w:lang w:eastAsia="ja-JP"/>
        </w:rPr>
        <w:t>Raw</w:t>
      </w:r>
      <w:r w:rsidR="00D10A48" w:rsidRPr="00A52AB8">
        <w:rPr>
          <w:lang w:eastAsia="ja-JP"/>
        </w:rPr>
        <w:t>Points</w:t>
      </w:r>
      <w:r w:rsidR="001B6CE6" w:rsidRPr="00A52AB8">
        <w:t>[ </w:t>
      </w:r>
      <w:r w:rsidR="00632FA7" w:rsidRPr="00A52AB8">
        <w:t>tileID</w:t>
      </w:r>
      <w:r w:rsidR="001B6CE6" w:rsidRPr="00A52AB8">
        <w:t> ]</w:t>
      </w:r>
      <w:r w:rsidR="00636D52" w:rsidRPr="00A52AB8">
        <w:rPr>
          <w:lang w:eastAsia="ja-JP"/>
        </w:rPr>
        <w:t>[ p </w:t>
      </w:r>
      <w:r w:rsidR="00935236" w:rsidRPr="00A52AB8">
        <w:rPr>
          <w:lang w:eastAsia="ja-JP"/>
        </w:rPr>
        <w:t>]</w:t>
      </w:r>
      <w:r w:rsidR="00D47707" w:rsidRPr="00A52AB8">
        <w:rPr>
          <w:lang w:eastAsia="ja-JP"/>
        </w:rPr>
        <w:t> = </w:t>
      </w:r>
      <w:r w:rsidR="00C31A85" w:rsidRPr="00A52AB8">
        <w:rPr>
          <w:lang w:eastAsia="ja-JP"/>
        </w:rPr>
        <w:t>rpdu</w:t>
      </w:r>
      <w:r w:rsidR="00D10A48" w:rsidRPr="00A52AB8">
        <w:rPr>
          <w:lang w:eastAsia="ja-JP"/>
        </w:rPr>
        <w:t>_points</w:t>
      </w:r>
      <w:r w:rsidR="002F1D92" w:rsidRPr="00A52AB8">
        <w:rPr>
          <w:lang w:eastAsia="ja-JP"/>
        </w:rPr>
        <w:t>_minus1</w:t>
      </w:r>
      <w:r w:rsidR="001B6CE6" w:rsidRPr="00A52AB8">
        <w:t>[ </w:t>
      </w:r>
      <w:r w:rsidR="00632FA7" w:rsidRPr="00A52AB8">
        <w:t>tileID</w:t>
      </w:r>
      <w:r w:rsidR="001B6CE6" w:rsidRPr="00A52AB8">
        <w:t> ]</w:t>
      </w:r>
      <w:r w:rsidR="00636D52" w:rsidRPr="00A52AB8">
        <w:rPr>
          <w:lang w:eastAsia="ja-JP"/>
        </w:rPr>
        <w:t>[ p ]</w:t>
      </w:r>
      <w:r w:rsidR="00767BB4" w:rsidRPr="00A52AB8">
        <w:rPr>
          <w:lang w:eastAsia="ja-JP"/>
        </w:rPr>
        <w:t> </w:t>
      </w:r>
      <w:r w:rsidR="002F1D92" w:rsidRPr="00A52AB8">
        <w:rPr>
          <w:lang w:eastAsia="ja-JP"/>
        </w:rPr>
        <w:t>+</w:t>
      </w:r>
      <w:r w:rsidR="00767BB4" w:rsidRPr="00A52AB8">
        <w:rPr>
          <w:lang w:eastAsia="ja-JP"/>
        </w:rPr>
        <w:t> </w:t>
      </w:r>
      <w:r w:rsidR="002F1D92" w:rsidRPr="00A52AB8">
        <w:rPr>
          <w:lang w:eastAsia="ja-JP"/>
        </w:rPr>
        <w:t>1</w:t>
      </w:r>
      <w:r w:rsidR="00D10A48" w:rsidRPr="00A52AB8">
        <w:rPr>
          <w:lang w:eastAsia="ja-JP"/>
        </w:rPr>
        <w:tab/>
        <w:t>(</w:t>
      </w:r>
      <w:r w:rsidR="00D10A48" w:rsidRPr="00496A4D">
        <w:rPr>
          <w:lang w:eastAsia="ja-JP"/>
        </w:rPr>
        <w:fldChar w:fldCharType="begin"/>
      </w:r>
      <w:r w:rsidR="00D10A48" w:rsidRPr="00A52AB8">
        <w:rPr>
          <w:lang w:eastAsia="ja-JP"/>
        </w:rPr>
        <w:instrText xml:space="preserve"> </w:instrText>
      </w:r>
      <w:r w:rsidR="00646520" w:rsidRPr="00A52AB8">
        <w:rPr>
          <w:lang w:eastAsia="ja-JP"/>
        </w:rPr>
        <w:instrText>SEQ Equation \* ARABIC \n</w:instrText>
      </w:r>
      <w:r w:rsidR="00D10A48" w:rsidRPr="00A52AB8">
        <w:rPr>
          <w:lang w:eastAsia="ja-JP"/>
        </w:rPr>
        <w:instrText xml:space="preserve"> </w:instrText>
      </w:r>
      <w:r w:rsidR="00D10A48" w:rsidRPr="00496A4D">
        <w:rPr>
          <w:lang w:eastAsia="ja-JP"/>
        </w:rPr>
        <w:fldChar w:fldCharType="separate"/>
      </w:r>
      <w:r w:rsidR="00507A67">
        <w:rPr>
          <w:noProof/>
          <w:lang w:eastAsia="ja-JP"/>
        </w:rPr>
        <w:t>148</w:t>
      </w:r>
      <w:r w:rsidR="00D10A48" w:rsidRPr="00496A4D">
        <w:rPr>
          <w:lang w:eastAsia="ja-JP"/>
        </w:rPr>
        <w:fldChar w:fldCharType="end"/>
      </w:r>
      <w:r w:rsidR="00D10A48" w:rsidRPr="00A52AB8">
        <w:rPr>
          <w:lang w:eastAsia="ja-JP"/>
        </w:rPr>
        <w:t>)</w:t>
      </w:r>
    </w:p>
    <w:p w14:paraId="6A5A6225" w14:textId="1D52C13A" w:rsidR="00B64680" w:rsidRPr="00A52AB8" w:rsidRDefault="00B5476E">
      <w:pPr>
        <w:rPr>
          <w:lang w:eastAsia="ja-JP"/>
        </w:rPr>
      </w:pPr>
      <w:r w:rsidRPr="00A52AB8">
        <w:rPr>
          <w:lang w:eastAsia="ja-JP"/>
        </w:rPr>
        <w:t xml:space="preserve">Then, the </w:t>
      </w:r>
      <w:r w:rsidR="00CC2756" w:rsidRPr="00A52AB8">
        <w:rPr>
          <w:lang w:eastAsia="ja-JP"/>
        </w:rPr>
        <w:t xml:space="preserve">3D patch variables </w:t>
      </w:r>
      <w:r w:rsidR="00314925" w:rsidRPr="00A52AB8">
        <w:rPr>
          <w:lang w:eastAsia="ja-JP"/>
        </w:rPr>
        <w:t>TilePatch3dOffsetU</w:t>
      </w:r>
      <w:r w:rsidR="001B6CE6" w:rsidRPr="00A52AB8">
        <w:t>[ </w:t>
      </w:r>
      <w:r w:rsidR="00632FA7" w:rsidRPr="00A52AB8">
        <w:t>tileID</w:t>
      </w:r>
      <w:r w:rsidR="001B6CE6" w:rsidRPr="00A52AB8">
        <w:t> ]</w:t>
      </w:r>
      <w:r w:rsidR="00CC2756" w:rsidRPr="00A52AB8">
        <w:rPr>
          <w:lang w:eastAsia="ja-JP"/>
        </w:rPr>
        <w:t xml:space="preserve">[ p ], </w:t>
      </w:r>
      <w:r w:rsidR="00314925" w:rsidRPr="00A52AB8">
        <w:rPr>
          <w:lang w:eastAsia="ja-JP"/>
        </w:rPr>
        <w:t>TilePatch3dOffsetV</w:t>
      </w:r>
      <w:r w:rsidR="001B6CE6" w:rsidRPr="00A52AB8">
        <w:t>[ </w:t>
      </w:r>
      <w:r w:rsidR="00632FA7" w:rsidRPr="00A52AB8">
        <w:t>tileID</w:t>
      </w:r>
      <w:r w:rsidR="001B6CE6" w:rsidRPr="00A52AB8">
        <w:t> ]</w:t>
      </w:r>
      <w:r w:rsidR="00CC2756" w:rsidRPr="00A52AB8">
        <w:rPr>
          <w:lang w:eastAsia="ja-JP"/>
        </w:rPr>
        <w:t>[ p ]</w:t>
      </w:r>
      <w:r w:rsidR="002D1115" w:rsidRPr="00A52AB8">
        <w:rPr>
          <w:lang w:eastAsia="ja-JP"/>
        </w:rPr>
        <w:t>,</w:t>
      </w:r>
      <w:r w:rsidR="00CC2756" w:rsidRPr="00A52AB8">
        <w:rPr>
          <w:lang w:eastAsia="ja-JP"/>
        </w:rPr>
        <w:t xml:space="preserve"> and </w:t>
      </w:r>
      <w:r w:rsidR="00141AB2" w:rsidRPr="00A52AB8">
        <w:rPr>
          <w:lang w:eastAsia="ja-JP"/>
        </w:rPr>
        <w:t>TilePatch3dOffsetD</w:t>
      </w:r>
      <w:r w:rsidR="001B6CE6" w:rsidRPr="00A52AB8">
        <w:t>[ </w:t>
      </w:r>
      <w:r w:rsidR="00632FA7" w:rsidRPr="00A52AB8">
        <w:t>tileID</w:t>
      </w:r>
      <w:r w:rsidR="001B6CE6" w:rsidRPr="00A52AB8">
        <w:t> ]</w:t>
      </w:r>
      <w:r w:rsidR="00CC2756" w:rsidRPr="00A52AB8">
        <w:rPr>
          <w:lang w:eastAsia="ja-JP"/>
        </w:rPr>
        <w:t>[ p ] are derived and set as output of this process as follows</w:t>
      </w:r>
      <w:r w:rsidRPr="00A52AB8">
        <w:rPr>
          <w:lang w:eastAsia="ja-JP"/>
        </w:rPr>
        <w:t>:</w:t>
      </w:r>
    </w:p>
    <w:p w14:paraId="49B6AE1F" w14:textId="4DC677C4" w:rsidR="00C50E43" w:rsidRPr="00A52AB8" w:rsidRDefault="00C50E43">
      <w:pPr>
        <w:rPr>
          <w:lang w:eastAsia="ja-JP"/>
        </w:rPr>
      </w:pPr>
      <w:r w:rsidRPr="00A52AB8">
        <w:rPr>
          <w:lang w:eastAsia="ja-JP"/>
        </w:rPr>
        <w:tab/>
        <w:t>TilePatchRawPoints[ tileID ][ refPatchIdx ]</w:t>
      </w:r>
      <w:r w:rsidR="00D47707" w:rsidRPr="00A52AB8">
        <w:rPr>
          <w:lang w:eastAsia="ja-JP"/>
        </w:rPr>
        <w:t> = </w:t>
      </w:r>
      <w:r w:rsidRPr="00A52AB8">
        <w:rPr>
          <w:lang w:eastAsia="ja-JP"/>
        </w:rPr>
        <w:t>rpdu_points[ tileID ][ p ]</w:t>
      </w:r>
      <w:r w:rsidRPr="00A52AB8">
        <w:rPr>
          <w:lang w:eastAsia="ja-JP"/>
        </w:rPr>
        <w:tab/>
        <w:t>(</w:t>
      </w:r>
      <w:r w:rsidRPr="00496A4D">
        <w:rPr>
          <w:lang w:eastAsia="ja-JP"/>
        </w:rPr>
        <w:fldChar w:fldCharType="begin"/>
      </w:r>
      <w:r w:rsidRPr="00A52AB8">
        <w:rPr>
          <w:lang w:eastAsia="ja-JP"/>
        </w:rPr>
        <w:instrText xml:space="preserve"> SEQ Equation \* ARABIC \n </w:instrText>
      </w:r>
      <w:r w:rsidRPr="00496A4D">
        <w:rPr>
          <w:lang w:eastAsia="ja-JP"/>
        </w:rPr>
        <w:fldChar w:fldCharType="separate"/>
      </w:r>
      <w:r w:rsidR="00507A67">
        <w:rPr>
          <w:noProof/>
          <w:lang w:eastAsia="ja-JP"/>
        </w:rPr>
        <w:t>149</w:t>
      </w:r>
      <w:r w:rsidRPr="00496A4D">
        <w:rPr>
          <w:lang w:eastAsia="ja-JP"/>
        </w:rPr>
        <w:fldChar w:fldCharType="end"/>
      </w:r>
      <w:r w:rsidRPr="00A52AB8">
        <w:rPr>
          <w:lang w:eastAsia="ja-JP"/>
        </w:rPr>
        <w:t>)</w:t>
      </w:r>
    </w:p>
    <w:p w14:paraId="421B0F4D" w14:textId="732AE4CF" w:rsidR="00B64680" w:rsidRPr="00A52AB8" w:rsidRDefault="00B64680">
      <w:pPr>
        <w:rPr>
          <w:lang w:eastAsia="ja-JP"/>
        </w:rPr>
      </w:pPr>
      <w:r w:rsidRPr="00A52AB8">
        <w:rPr>
          <w:lang w:eastAsia="ja-JP"/>
        </w:rPr>
        <w:tab/>
      </w:r>
      <w:r w:rsidR="00314925" w:rsidRPr="00A52AB8">
        <w:rPr>
          <w:lang w:eastAsia="ja-JP"/>
        </w:rPr>
        <w:t>TilePatch3dOffsetU</w:t>
      </w:r>
      <w:r w:rsidR="001B6CE6" w:rsidRPr="00A52AB8">
        <w:t>[ </w:t>
      </w:r>
      <w:r w:rsidR="00632FA7" w:rsidRPr="00A52AB8">
        <w:t>tileID</w:t>
      </w:r>
      <w:r w:rsidR="001B6CE6" w:rsidRPr="00A52AB8">
        <w:t> ]</w:t>
      </w:r>
      <w:r w:rsidRPr="00A52AB8">
        <w:rPr>
          <w:lang w:eastAsia="ja-JP"/>
        </w:rPr>
        <w:t>[ p ]</w:t>
      </w:r>
      <w:r w:rsidR="00D47707" w:rsidRPr="00A52AB8">
        <w:rPr>
          <w:lang w:eastAsia="ja-JP"/>
        </w:rPr>
        <w:t> = </w:t>
      </w:r>
      <w:r w:rsidRPr="00A52AB8">
        <w:rPr>
          <w:lang w:eastAsia="ja-JP"/>
        </w:rPr>
        <w:t>r</w:t>
      </w:r>
      <w:r w:rsidR="007356C4" w:rsidRPr="00A52AB8">
        <w:rPr>
          <w:lang w:eastAsia="ja-JP"/>
        </w:rPr>
        <w:t>pdu_3d_offset_u</w:t>
      </w:r>
      <w:r w:rsidR="001B6CE6" w:rsidRPr="00A52AB8">
        <w:t>[ </w:t>
      </w:r>
      <w:r w:rsidR="00632FA7" w:rsidRPr="00A52AB8">
        <w:t>tileID</w:t>
      </w:r>
      <w:r w:rsidR="001B6CE6" w:rsidRPr="00A52AB8">
        <w:t> ]</w:t>
      </w:r>
      <w:r w:rsidRPr="00A52AB8">
        <w:rPr>
          <w:lang w:eastAsia="ja-JP"/>
        </w:rPr>
        <w:t>[ p ]</w:t>
      </w:r>
      <w:r w:rsidR="00C50E43" w:rsidRPr="00A52AB8">
        <w:rPr>
          <w:lang w:eastAsia="ja-JP"/>
        </w:rPr>
        <w:t> &lt;&lt; </w:t>
      </w:r>
      <w:r w:rsidR="00B91FFE" w:rsidRPr="00A52AB8">
        <w:rPr>
          <w:lang w:eastAsia="ja-JP"/>
        </w:rPr>
        <w:t>RawS</w:t>
      </w:r>
      <w:r w:rsidR="00C50E43" w:rsidRPr="00A52AB8">
        <w:rPr>
          <w:lang w:eastAsia="ja-JP"/>
        </w:rPr>
        <w:t>hift</w:t>
      </w:r>
      <w:r w:rsidRPr="00A52AB8">
        <w:rPr>
          <w:lang w:eastAsia="ja-JP"/>
        </w:rPr>
        <w:tab/>
        <w:t>(</w:t>
      </w:r>
      <w:r w:rsidR="00C50E43" w:rsidRPr="00496A4D">
        <w:rPr>
          <w:lang w:eastAsia="ja-JP"/>
        </w:rPr>
        <w:fldChar w:fldCharType="begin"/>
      </w:r>
      <w:r w:rsidR="00C50E43" w:rsidRPr="00A52AB8">
        <w:rPr>
          <w:lang w:eastAsia="ja-JP"/>
        </w:rPr>
        <w:instrText xml:space="preserve"> SEQ Equation \* ARABIC \n </w:instrText>
      </w:r>
      <w:r w:rsidR="00C50E43" w:rsidRPr="00496A4D">
        <w:rPr>
          <w:lang w:eastAsia="ja-JP"/>
        </w:rPr>
        <w:fldChar w:fldCharType="separate"/>
      </w:r>
      <w:r w:rsidR="00507A67">
        <w:rPr>
          <w:noProof/>
          <w:lang w:eastAsia="ja-JP"/>
        </w:rPr>
        <w:t>150</w:t>
      </w:r>
      <w:r w:rsidR="00C50E43" w:rsidRPr="00496A4D">
        <w:rPr>
          <w:lang w:eastAsia="ja-JP"/>
        </w:rPr>
        <w:fldChar w:fldCharType="end"/>
      </w:r>
      <w:r w:rsidRPr="00A52AB8">
        <w:rPr>
          <w:lang w:eastAsia="ja-JP"/>
        </w:rPr>
        <w:t>)</w:t>
      </w:r>
    </w:p>
    <w:p w14:paraId="2326C3DB" w14:textId="6C088317" w:rsidR="00B64680" w:rsidRPr="00A52AB8" w:rsidRDefault="00B64680">
      <w:pPr>
        <w:rPr>
          <w:lang w:eastAsia="ja-JP"/>
        </w:rPr>
      </w:pPr>
      <w:r w:rsidRPr="00A52AB8">
        <w:rPr>
          <w:lang w:eastAsia="ja-JP"/>
        </w:rPr>
        <w:tab/>
      </w:r>
      <w:r w:rsidR="00314925" w:rsidRPr="00A52AB8">
        <w:rPr>
          <w:lang w:eastAsia="ja-JP"/>
        </w:rPr>
        <w:t>TilePatch3dOffsetV</w:t>
      </w:r>
      <w:r w:rsidR="001B6CE6" w:rsidRPr="00A52AB8">
        <w:t>[ </w:t>
      </w:r>
      <w:r w:rsidR="00632FA7" w:rsidRPr="00A52AB8">
        <w:t>tileID</w:t>
      </w:r>
      <w:r w:rsidR="001B6CE6" w:rsidRPr="00A52AB8">
        <w:t> ]</w:t>
      </w:r>
      <w:r w:rsidRPr="00A52AB8">
        <w:rPr>
          <w:lang w:eastAsia="ja-JP"/>
        </w:rPr>
        <w:t>[ p ]</w:t>
      </w:r>
      <w:r w:rsidR="00D47707" w:rsidRPr="00A52AB8">
        <w:rPr>
          <w:lang w:eastAsia="ja-JP"/>
        </w:rPr>
        <w:t> = </w:t>
      </w:r>
      <w:r w:rsidRPr="00A52AB8">
        <w:rPr>
          <w:lang w:eastAsia="ja-JP"/>
        </w:rPr>
        <w:t>r</w:t>
      </w:r>
      <w:r w:rsidR="007356C4" w:rsidRPr="00A52AB8">
        <w:rPr>
          <w:lang w:eastAsia="ja-JP"/>
        </w:rPr>
        <w:t>pdu_3d_offset_v</w:t>
      </w:r>
      <w:r w:rsidR="001B6CE6" w:rsidRPr="00A52AB8">
        <w:t>[ </w:t>
      </w:r>
      <w:r w:rsidR="00632FA7" w:rsidRPr="00A52AB8">
        <w:t>tileID</w:t>
      </w:r>
      <w:r w:rsidR="001B6CE6" w:rsidRPr="00A52AB8">
        <w:t> ]</w:t>
      </w:r>
      <w:r w:rsidRPr="00A52AB8">
        <w:rPr>
          <w:lang w:eastAsia="ja-JP"/>
        </w:rPr>
        <w:t>[ p ]</w:t>
      </w:r>
      <w:r w:rsidR="00C50E43" w:rsidRPr="00A52AB8">
        <w:rPr>
          <w:lang w:eastAsia="ja-JP"/>
        </w:rPr>
        <w:t> &lt;&lt; </w:t>
      </w:r>
      <w:r w:rsidR="00B91FFE" w:rsidRPr="00A52AB8">
        <w:rPr>
          <w:lang w:eastAsia="ja-JP"/>
        </w:rPr>
        <w:t>RawS</w:t>
      </w:r>
      <w:r w:rsidR="00C50E43" w:rsidRPr="00A52AB8">
        <w:rPr>
          <w:lang w:eastAsia="ja-JP"/>
        </w:rPr>
        <w:t>hift</w:t>
      </w:r>
      <w:r w:rsidRPr="00A52AB8">
        <w:rPr>
          <w:lang w:eastAsia="ja-JP"/>
        </w:rPr>
        <w:tab/>
        <w:t>(</w:t>
      </w:r>
      <w:r w:rsidR="00C50E43" w:rsidRPr="00496A4D">
        <w:rPr>
          <w:lang w:eastAsia="ja-JP"/>
        </w:rPr>
        <w:fldChar w:fldCharType="begin"/>
      </w:r>
      <w:r w:rsidR="00C50E43" w:rsidRPr="00A52AB8">
        <w:rPr>
          <w:lang w:eastAsia="ja-JP"/>
        </w:rPr>
        <w:instrText xml:space="preserve"> SEQ Equation \* ARABIC \n </w:instrText>
      </w:r>
      <w:r w:rsidR="00C50E43" w:rsidRPr="00496A4D">
        <w:rPr>
          <w:lang w:eastAsia="ja-JP"/>
        </w:rPr>
        <w:fldChar w:fldCharType="separate"/>
      </w:r>
      <w:r w:rsidR="00507A67">
        <w:rPr>
          <w:noProof/>
          <w:lang w:eastAsia="ja-JP"/>
        </w:rPr>
        <w:t>151</w:t>
      </w:r>
      <w:r w:rsidR="00C50E43" w:rsidRPr="00496A4D">
        <w:rPr>
          <w:lang w:eastAsia="ja-JP"/>
        </w:rPr>
        <w:fldChar w:fldCharType="end"/>
      </w:r>
      <w:r w:rsidRPr="00A52AB8">
        <w:rPr>
          <w:lang w:eastAsia="ja-JP"/>
        </w:rPr>
        <w:t>)</w:t>
      </w:r>
    </w:p>
    <w:p w14:paraId="21347BF5" w14:textId="06BC669F" w:rsidR="00B64680" w:rsidRPr="00A52AB8" w:rsidRDefault="00B64680">
      <w:pPr>
        <w:rPr>
          <w:lang w:eastAsia="ja-JP"/>
        </w:rPr>
      </w:pPr>
      <w:r w:rsidRPr="00A52AB8">
        <w:rPr>
          <w:lang w:eastAsia="ja-JP"/>
        </w:rPr>
        <w:tab/>
      </w:r>
      <w:r w:rsidR="00141AB2" w:rsidRPr="00A52AB8">
        <w:rPr>
          <w:lang w:eastAsia="ja-JP"/>
        </w:rPr>
        <w:t>TilePatch3dOffsetD</w:t>
      </w:r>
      <w:r w:rsidR="001B6CE6" w:rsidRPr="00A52AB8">
        <w:t>[ </w:t>
      </w:r>
      <w:r w:rsidR="00632FA7" w:rsidRPr="00A52AB8">
        <w:t>tileID</w:t>
      </w:r>
      <w:r w:rsidR="001B6CE6" w:rsidRPr="00A52AB8">
        <w:t> ]</w:t>
      </w:r>
      <w:r w:rsidRPr="00A52AB8">
        <w:rPr>
          <w:lang w:eastAsia="ja-JP"/>
        </w:rPr>
        <w:t>[ p ]</w:t>
      </w:r>
      <w:r w:rsidR="00D47707" w:rsidRPr="00A52AB8">
        <w:rPr>
          <w:lang w:eastAsia="ja-JP"/>
        </w:rPr>
        <w:t> = </w:t>
      </w:r>
      <w:r w:rsidRPr="00A52AB8">
        <w:rPr>
          <w:lang w:eastAsia="ja-JP"/>
        </w:rPr>
        <w:t>r</w:t>
      </w:r>
      <w:r w:rsidR="007356C4" w:rsidRPr="00A52AB8">
        <w:rPr>
          <w:lang w:eastAsia="ja-JP"/>
        </w:rPr>
        <w:t>pdu_3d_offset_d</w:t>
      </w:r>
      <w:r w:rsidR="001B6CE6" w:rsidRPr="00A52AB8">
        <w:t>[ </w:t>
      </w:r>
      <w:r w:rsidR="00632FA7" w:rsidRPr="00A52AB8">
        <w:t>tileID</w:t>
      </w:r>
      <w:r w:rsidR="001B6CE6" w:rsidRPr="00A52AB8">
        <w:t> ]</w:t>
      </w:r>
      <w:r w:rsidRPr="00A52AB8">
        <w:rPr>
          <w:lang w:eastAsia="ja-JP"/>
        </w:rPr>
        <w:t>[ p ]</w:t>
      </w:r>
      <w:r w:rsidR="00C50E43" w:rsidRPr="00A52AB8">
        <w:rPr>
          <w:lang w:eastAsia="ja-JP"/>
        </w:rPr>
        <w:t> </w:t>
      </w:r>
      <w:r w:rsidR="00B91FFE" w:rsidRPr="00A52AB8">
        <w:rPr>
          <w:lang w:eastAsia="ja-JP"/>
        </w:rPr>
        <w:t>&lt;&lt; RawS</w:t>
      </w:r>
      <w:r w:rsidR="00C50E43" w:rsidRPr="00A52AB8">
        <w:rPr>
          <w:lang w:eastAsia="ja-JP"/>
        </w:rPr>
        <w:t>hift</w:t>
      </w:r>
      <w:r w:rsidRPr="00A52AB8">
        <w:rPr>
          <w:lang w:eastAsia="ja-JP"/>
        </w:rPr>
        <w:tab/>
        <w:t>(</w:t>
      </w:r>
      <w:r w:rsidR="00C50E43" w:rsidRPr="00496A4D">
        <w:rPr>
          <w:lang w:eastAsia="ja-JP"/>
        </w:rPr>
        <w:fldChar w:fldCharType="begin"/>
      </w:r>
      <w:r w:rsidR="00C50E43" w:rsidRPr="00A52AB8">
        <w:rPr>
          <w:lang w:eastAsia="ja-JP"/>
        </w:rPr>
        <w:instrText xml:space="preserve"> SEQ Equation \* ARABIC \n </w:instrText>
      </w:r>
      <w:r w:rsidR="00C50E43" w:rsidRPr="00496A4D">
        <w:rPr>
          <w:lang w:eastAsia="ja-JP"/>
        </w:rPr>
        <w:fldChar w:fldCharType="separate"/>
      </w:r>
      <w:r w:rsidR="00507A67">
        <w:rPr>
          <w:noProof/>
          <w:lang w:eastAsia="ja-JP"/>
        </w:rPr>
        <w:t>152</w:t>
      </w:r>
      <w:r w:rsidR="00C50E43" w:rsidRPr="00496A4D">
        <w:rPr>
          <w:lang w:eastAsia="ja-JP"/>
        </w:rPr>
        <w:fldChar w:fldCharType="end"/>
      </w:r>
      <w:r w:rsidRPr="00A52AB8">
        <w:rPr>
          <w:lang w:eastAsia="ja-JP"/>
        </w:rPr>
        <w:t>)</w:t>
      </w:r>
    </w:p>
    <w:p w14:paraId="68C6AA5C" w14:textId="77777777" w:rsidR="002D2C87" w:rsidRPr="00A52AB8" w:rsidRDefault="002D2C87" w:rsidP="005C26E9">
      <w:pPr>
        <w:pStyle w:val="Heading4"/>
      </w:pPr>
      <w:bookmarkStart w:id="1523" w:name="_Ref20430307"/>
      <w:r w:rsidRPr="00A52AB8">
        <w:t xml:space="preserve">Decoding process for </w:t>
      </w:r>
      <w:r w:rsidR="00E63010" w:rsidRPr="00A52AB8">
        <w:t>patch data unit</w:t>
      </w:r>
      <w:r w:rsidRPr="00A52AB8">
        <w:t>s coded in EOM mode</w:t>
      </w:r>
      <w:bookmarkEnd w:id="1523"/>
    </w:p>
    <w:p w14:paraId="2882863B" w14:textId="06EC0942" w:rsidR="002D2C87" w:rsidRPr="00A52AB8" w:rsidRDefault="002D2C87">
      <w:r w:rsidRPr="00A52AB8">
        <w:t>Input</w:t>
      </w:r>
      <w:r w:rsidR="003708D0" w:rsidRPr="00A52AB8">
        <w:t>s</w:t>
      </w:r>
      <w:r w:rsidRPr="00A52AB8">
        <w:t xml:space="preserve"> to this process </w:t>
      </w:r>
      <w:r w:rsidR="003708D0" w:rsidRPr="00A52AB8">
        <w:t xml:space="preserve">are </w:t>
      </w:r>
      <w:r w:rsidRPr="00A52AB8">
        <w:t xml:space="preserve">the current patch index, </w:t>
      </w:r>
      <w:r w:rsidRPr="00A52AB8">
        <w:rPr>
          <w:color w:val="000000" w:themeColor="text1"/>
        </w:rPr>
        <w:t>p</w:t>
      </w:r>
      <w:r w:rsidR="001B6CE6" w:rsidRPr="00A52AB8">
        <w:t xml:space="preserve">, and </w:t>
      </w:r>
      <w:r w:rsidR="003708D0" w:rsidRPr="00A52AB8">
        <w:t xml:space="preserve">the </w:t>
      </w:r>
      <w:r w:rsidR="001B6CE6" w:rsidRPr="00A52AB8">
        <w:t>current tile</w:t>
      </w:r>
      <w:r w:rsidR="00FC1A53" w:rsidRPr="00A52AB8">
        <w:t xml:space="preserve"> </w:t>
      </w:r>
      <w:r w:rsidR="00AE739A" w:rsidRPr="00A52AB8">
        <w:t>ID</w:t>
      </w:r>
      <w:r w:rsidR="00FC1A53" w:rsidRPr="00A52AB8">
        <w:t xml:space="preserve">, </w:t>
      </w:r>
      <w:r w:rsidR="00632FA7" w:rsidRPr="00A52AB8">
        <w:t>tileID</w:t>
      </w:r>
      <w:r w:rsidR="00FC1A53" w:rsidRPr="00A52AB8">
        <w:t>.</w:t>
      </w:r>
    </w:p>
    <w:p w14:paraId="4DFB855F" w14:textId="5AB3BC9A" w:rsidR="002D2C87" w:rsidRPr="00A52AB8" w:rsidRDefault="002D2C87">
      <w:pPr>
        <w:rPr>
          <w:lang w:eastAsia="ja-JP"/>
        </w:rPr>
      </w:pPr>
      <w:r w:rsidRPr="00A52AB8">
        <w:rPr>
          <w:lang w:eastAsia="ja-JP"/>
        </w:rPr>
        <w:t>The following patch related variables are assigned given the parsed elements in the patch data unit:</w:t>
      </w:r>
    </w:p>
    <w:p w14:paraId="45386720" w14:textId="062A88FC" w:rsidR="00977481" w:rsidRPr="00A52AB8" w:rsidRDefault="00977481" w:rsidP="00977481">
      <w:pPr>
        <w:rPr>
          <w:lang w:eastAsia="ja-JP"/>
        </w:rPr>
      </w:pPr>
      <w:r w:rsidRPr="00A52AB8">
        <w:rPr>
          <w:lang w:eastAsia="ja-JP"/>
        </w:rPr>
        <w:tab/>
        <w:t>TilePatchType[ tileID ][ p ]</w:t>
      </w:r>
      <w:r w:rsidR="00D47707" w:rsidRPr="00A52AB8">
        <w:rPr>
          <w:lang w:eastAsia="ja-JP"/>
        </w:rPr>
        <w:t> = </w:t>
      </w:r>
      <w:r w:rsidRPr="00A52AB8">
        <w:rPr>
          <w:lang w:eastAsia="ja-JP"/>
        </w:rPr>
        <w:t>EOM</w:t>
      </w:r>
      <w:r w:rsidRPr="00A52AB8">
        <w:rPr>
          <w:lang w:eastAsia="ja-JP"/>
        </w:rPr>
        <w:tab/>
      </w:r>
      <w:r w:rsidR="00E869BD" w:rsidRPr="00A52AB8">
        <w:rPr>
          <w:lang w:eastAsia="ja-JP"/>
        </w:rPr>
        <w:tab/>
      </w:r>
      <w:r w:rsidR="00E869BD" w:rsidRPr="00A52AB8">
        <w:rPr>
          <w:lang w:eastAsia="ja-JP"/>
        </w:rPr>
        <w:tab/>
      </w:r>
      <w:r w:rsidR="00E869BD" w:rsidRPr="00A52AB8">
        <w:rPr>
          <w:lang w:eastAsia="ja-JP"/>
        </w:rPr>
        <w:tab/>
      </w:r>
      <w:r w:rsidRPr="00A52AB8">
        <w:rPr>
          <w:lang w:eastAsia="ja-JP"/>
        </w:rPr>
        <w:t>(</w:t>
      </w:r>
      <w:r w:rsidRPr="00496A4D">
        <w:rPr>
          <w:lang w:eastAsia="ja-JP"/>
        </w:rPr>
        <w:fldChar w:fldCharType="begin"/>
      </w:r>
      <w:r w:rsidRPr="00A52AB8">
        <w:rPr>
          <w:lang w:eastAsia="ja-JP"/>
        </w:rPr>
        <w:instrText xml:space="preserve"> SEQ Equation \* ARABIC \n </w:instrText>
      </w:r>
      <w:r w:rsidRPr="00496A4D">
        <w:rPr>
          <w:lang w:eastAsia="ja-JP"/>
        </w:rPr>
        <w:fldChar w:fldCharType="separate"/>
      </w:r>
      <w:r w:rsidR="00507A67">
        <w:rPr>
          <w:noProof/>
          <w:lang w:eastAsia="ja-JP"/>
        </w:rPr>
        <w:t>153</w:t>
      </w:r>
      <w:r w:rsidRPr="00496A4D">
        <w:rPr>
          <w:lang w:eastAsia="ja-JP"/>
        </w:rPr>
        <w:fldChar w:fldCharType="end"/>
      </w:r>
      <w:r w:rsidRPr="00A52AB8">
        <w:rPr>
          <w:lang w:eastAsia="ja-JP"/>
        </w:rPr>
        <w:t>)</w:t>
      </w:r>
    </w:p>
    <w:p w14:paraId="1FD919C2" w14:textId="59C21F08" w:rsidR="00094B0A" w:rsidRPr="00A52AB8" w:rsidRDefault="00094B0A" w:rsidP="00C86722">
      <w:pPr>
        <w:rPr>
          <w:lang w:eastAsia="ja-JP"/>
        </w:rPr>
      </w:pPr>
      <w:r w:rsidRPr="00A52AB8">
        <w:rPr>
          <w:lang w:eastAsia="ja-JP"/>
        </w:rPr>
        <w:tab/>
        <w:t>TilePatchInAuxVideo[ tileID ][ p ]</w:t>
      </w:r>
      <w:r w:rsidR="00D47707" w:rsidRPr="00A52AB8">
        <w:rPr>
          <w:lang w:eastAsia="ja-JP"/>
        </w:rPr>
        <w:t> = </w:t>
      </w:r>
      <w:r w:rsidRPr="00A52AB8">
        <w:rPr>
          <w:lang w:eastAsia="ja-JP"/>
        </w:rPr>
        <w:t>epdu_patch_in_auxiliary_video_flag[ tileID ][ p ]</w:t>
      </w:r>
      <w:r w:rsidRPr="00A52AB8">
        <w:rPr>
          <w:lang w:eastAsia="ja-JP"/>
        </w:rPr>
        <w:tab/>
        <w:t>(</w:t>
      </w:r>
      <w:r w:rsidRPr="00496A4D">
        <w:rPr>
          <w:lang w:eastAsia="ja-JP"/>
        </w:rPr>
        <w:fldChar w:fldCharType="begin"/>
      </w:r>
      <w:r w:rsidRPr="00A52AB8">
        <w:rPr>
          <w:lang w:eastAsia="ja-JP"/>
        </w:rPr>
        <w:instrText xml:space="preserve"> SEQ Equation \* ARABIC \n </w:instrText>
      </w:r>
      <w:r w:rsidRPr="00496A4D">
        <w:rPr>
          <w:lang w:eastAsia="ja-JP"/>
        </w:rPr>
        <w:fldChar w:fldCharType="separate"/>
      </w:r>
      <w:r w:rsidR="00507A67">
        <w:rPr>
          <w:noProof/>
          <w:lang w:eastAsia="ja-JP"/>
        </w:rPr>
        <w:t>154</w:t>
      </w:r>
      <w:r w:rsidRPr="00496A4D">
        <w:rPr>
          <w:lang w:eastAsia="ja-JP"/>
        </w:rPr>
        <w:fldChar w:fldCharType="end"/>
      </w:r>
      <w:r w:rsidRPr="00A52AB8">
        <w:rPr>
          <w:lang w:eastAsia="ja-JP"/>
        </w:rPr>
        <w:t>)</w:t>
      </w:r>
    </w:p>
    <w:p w14:paraId="66BDE6DD" w14:textId="351D5506" w:rsidR="002D2C87" w:rsidRPr="00A52AB8" w:rsidRDefault="004A682D">
      <w:pPr>
        <w:rPr>
          <w:lang w:eastAsia="ja-JP"/>
        </w:rPr>
      </w:pPr>
      <w:r w:rsidRPr="00A52AB8">
        <w:rPr>
          <w:lang w:eastAsia="ja-JP"/>
        </w:rPr>
        <w:tab/>
      </w:r>
      <w:r w:rsidR="00E656EB" w:rsidRPr="00A52AB8">
        <w:rPr>
          <w:lang w:eastAsia="ja-JP"/>
        </w:rPr>
        <w:t>Tile</w:t>
      </w:r>
      <w:r w:rsidR="002D2C87" w:rsidRPr="00A52AB8">
        <w:rPr>
          <w:lang w:eastAsia="ja-JP"/>
        </w:rPr>
        <w:t>Patch2d</w:t>
      </w:r>
      <w:r w:rsidR="00627BE0" w:rsidRPr="00A52AB8">
        <w:rPr>
          <w:lang w:eastAsia="ja-JP"/>
        </w:rPr>
        <w:t>Pos</w:t>
      </w:r>
      <w:r w:rsidR="002D2C87" w:rsidRPr="00A52AB8">
        <w:rPr>
          <w:lang w:eastAsia="ja-JP"/>
        </w:rPr>
        <w:t>X</w:t>
      </w:r>
      <w:r w:rsidR="00FC1A53" w:rsidRPr="00A52AB8">
        <w:t>[ </w:t>
      </w:r>
      <w:r w:rsidR="00632FA7" w:rsidRPr="00A52AB8">
        <w:t>tileID</w:t>
      </w:r>
      <w:r w:rsidR="00FC1A53" w:rsidRPr="00A52AB8">
        <w:t> ]</w:t>
      </w:r>
      <w:r w:rsidR="002D2C87" w:rsidRPr="00A52AB8">
        <w:rPr>
          <w:lang w:eastAsia="ja-JP"/>
        </w:rPr>
        <w:t>[ p ]</w:t>
      </w:r>
      <w:r w:rsidR="00D47707" w:rsidRPr="00A52AB8">
        <w:rPr>
          <w:lang w:eastAsia="ja-JP"/>
        </w:rPr>
        <w:t> = </w:t>
      </w:r>
      <w:r w:rsidR="002D2C87" w:rsidRPr="00A52AB8">
        <w:rPr>
          <w:lang w:eastAsia="ja-JP"/>
        </w:rPr>
        <w:t>epdu_2d_</w:t>
      </w:r>
      <w:r w:rsidR="00627BE0" w:rsidRPr="00A52AB8">
        <w:rPr>
          <w:lang w:eastAsia="ja-JP"/>
        </w:rPr>
        <w:t>pos</w:t>
      </w:r>
      <w:r w:rsidR="002D2C87" w:rsidRPr="00A52AB8">
        <w:rPr>
          <w:lang w:eastAsia="ja-JP"/>
        </w:rPr>
        <w:t>_x</w:t>
      </w:r>
      <w:r w:rsidR="00FC1A53" w:rsidRPr="00A52AB8">
        <w:t>[ </w:t>
      </w:r>
      <w:r w:rsidR="00632FA7" w:rsidRPr="00A52AB8">
        <w:t>tileID</w:t>
      </w:r>
      <w:r w:rsidR="00FC1A53" w:rsidRPr="00A52AB8">
        <w:t> ]</w:t>
      </w:r>
      <w:r w:rsidR="002D2C87" w:rsidRPr="00A52AB8">
        <w:rPr>
          <w:lang w:eastAsia="ja-JP"/>
        </w:rPr>
        <w:t>[ p ] * PatchPackingBlockSize</w:t>
      </w:r>
      <w:r w:rsidR="002D2C87" w:rsidRPr="00A52AB8">
        <w:rPr>
          <w:lang w:eastAsia="ja-JP"/>
        </w:rPr>
        <w:tab/>
        <w:t>(</w:t>
      </w:r>
      <w:r w:rsidR="002D2C87" w:rsidRPr="00496A4D">
        <w:rPr>
          <w:lang w:eastAsia="ja-JP"/>
        </w:rPr>
        <w:fldChar w:fldCharType="begin"/>
      </w:r>
      <w:r w:rsidR="002D2C87" w:rsidRPr="00A52AB8">
        <w:rPr>
          <w:lang w:eastAsia="ja-JP"/>
        </w:rPr>
        <w:instrText xml:space="preserve"> </w:instrText>
      </w:r>
      <w:r w:rsidR="00646520" w:rsidRPr="00A52AB8">
        <w:rPr>
          <w:lang w:eastAsia="ja-JP"/>
        </w:rPr>
        <w:instrText>SEQ Equation \* ARABIC \n</w:instrText>
      </w:r>
      <w:r w:rsidR="002D2C87" w:rsidRPr="00A52AB8">
        <w:rPr>
          <w:lang w:eastAsia="ja-JP"/>
        </w:rPr>
        <w:instrText xml:space="preserve"> </w:instrText>
      </w:r>
      <w:r w:rsidR="002D2C87" w:rsidRPr="00496A4D">
        <w:rPr>
          <w:lang w:eastAsia="ja-JP"/>
        </w:rPr>
        <w:fldChar w:fldCharType="separate"/>
      </w:r>
      <w:r w:rsidR="00507A67">
        <w:rPr>
          <w:noProof/>
          <w:lang w:eastAsia="ja-JP"/>
        </w:rPr>
        <w:t>155</w:t>
      </w:r>
      <w:r w:rsidR="002D2C87" w:rsidRPr="00496A4D">
        <w:rPr>
          <w:lang w:eastAsia="ja-JP"/>
        </w:rPr>
        <w:fldChar w:fldCharType="end"/>
      </w:r>
      <w:r w:rsidR="002D2C87" w:rsidRPr="00A52AB8">
        <w:rPr>
          <w:lang w:eastAsia="ja-JP"/>
        </w:rPr>
        <w:t>)</w:t>
      </w:r>
    </w:p>
    <w:p w14:paraId="1E4E9FC1" w14:textId="0F59EB85" w:rsidR="002D2C87" w:rsidRPr="00A52AB8" w:rsidRDefault="004A682D">
      <w:pPr>
        <w:rPr>
          <w:lang w:eastAsia="ja-JP"/>
        </w:rPr>
      </w:pPr>
      <w:r w:rsidRPr="00A52AB8">
        <w:rPr>
          <w:lang w:eastAsia="ja-JP"/>
        </w:rPr>
        <w:tab/>
      </w:r>
      <w:r w:rsidR="00E656EB" w:rsidRPr="00A52AB8">
        <w:rPr>
          <w:lang w:eastAsia="ja-JP"/>
        </w:rPr>
        <w:t>Tile</w:t>
      </w:r>
      <w:r w:rsidR="002D2C87" w:rsidRPr="00A52AB8">
        <w:rPr>
          <w:lang w:eastAsia="ja-JP"/>
        </w:rPr>
        <w:t>Patch2d</w:t>
      </w:r>
      <w:r w:rsidR="00627BE0" w:rsidRPr="00A52AB8">
        <w:rPr>
          <w:lang w:eastAsia="ja-JP"/>
        </w:rPr>
        <w:t>Pos</w:t>
      </w:r>
      <w:r w:rsidR="002D2C87" w:rsidRPr="00A52AB8">
        <w:rPr>
          <w:lang w:eastAsia="ja-JP"/>
        </w:rPr>
        <w:t>Y</w:t>
      </w:r>
      <w:r w:rsidR="00FC1A53" w:rsidRPr="00A52AB8">
        <w:t>[ </w:t>
      </w:r>
      <w:r w:rsidR="00632FA7" w:rsidRPr="00A52AB8">
        <w:t>tileID</w:t>
      </w:r>
      <w:r w:rsidR="00FC1A53" w:rsidRPr="00A52AB8">
        <w:t> ]</w:t>
      </w:r>
      <w:r w:rsidR="002D2C87" w:rsidRPr="00A52AB8">
        <w:rPr>
          <w:lang w:eastAsia="ja-JP"/>
        </w:rPr>
        <w:t>[ p ]</w:t>
      </w:r>
      <w:r w:rsidR="00D47707" w:rsidRPr="00A52AB8">
        <w:rPr>
          <w:lang w:eastAsia="ja-JP"/>
        </w:rPr>
        <w:t> = </w:t>
      </w:r>
      <w:r w:rsidR="002D2C87" w:rsidRPr="00A52AB8">
        <w:rPr>
          <w:lang w:eastAsia="ja-JP"/>
        </w:rPr>
        <w:t>epdu_2d_</w:t>
      </w:r>
      <w:r w:rsidR="00627BE0" w:rsidRPr="00A52AB8">
        <w:rPr>
          <w:lang w:eastAsia="ja-JP"/>
        </w:rPr>
        <w:t>pos</w:t>
      </w:r>
      <w:r w:rsidR="002D2C87" w:rsidRPr="00A52AB8">
        <w:rPr>
          <w:lang w:eastAsia="ja-JP"/>
        </w:rPr>
        <w:t>_y</w:t>
      </w:r>
      <w:r w:rsidR="00FC1A53" w:rsidRPr="00A52AB8">
        <w:t>[ </w:t>
      </w:r>
      <w:r w:rsidR="00632FA7" w:rsidRPr="00A52AB8">
        <w:t>tileID</w:t>
      </w:r>
      <w:r w:rsidR="00FC1A53" w:rsidRPr="00A52AB8">
        <w:t> ]</w:t>
      </w:r>
      <w:r w:rsidR="002D2C87" w:rsidRPr="00A52AB8">
        <w:rPr>
          <w:lang w:eastAsia="ja-JP"/>
        </w:rPr>
        <w:t>[ p ] * PatchPackingBlockSize</w:t>
      </w:r>
      <w:r w:rsidR="002D2C87" w:rsidRPr="00A52AB8">
        <w:rPr>
          <w:lang w:eastAsia="ja-JP"/>
        </w:rPr>
        <w:tab/>
        <w:t>(</w:t>
      </w:r>
      <w:r w:rsidR="002D2C87" w:rsidRPr="00496A4D">
        <w:rPr>
          <w:lang w:eastAsia="ja-JP"/>
        </w:rPr>
        <w:fldChar w:fldCharType="begin"/>
      </w:r>
      <w:r w:rsidR="002D2C87" w:rsidRPr="00A52AB8">
        <w:rPr>
          <w:lang w:eastAsia="ja-JP"/>
        </w:rPr>
        <w:instrText xml:space="preserve"> </w:instrText>
      </w:r>
      <w:r w:rsidR="00646520" w:rsidRPr="00A52AB8">
        <w:rPr>
          <w:lang w:eastAsia="ja-JP"/>
        </w:rPr>
        <w:instrText>SEQ Equation \* ARABIC \n</w:instrText>
      </w:r>
      <w:r w:rsidR="002D2C87" w:rsidRPr="00A52AB8">
        <w:rPr>
          <w:lang w:eastAsia="ja-JP"/>
        </w:rPr>
        <w:instrText xml:space="preserve"> </w:instrText>
      </w:r>
      <w:r w:rsidR="002D2C87" w:rsidRPr="00496A4D">
        <w:rPr>
          <w:lang w:eastAsia="ja-JP"/>
        </w:rPr>
        <w:fldChar w:fldCharType="separate"/>
      </w:r>
      <w:r w:rsidR="00507A67">
        <w:rPr>
          <w:noProof/>
          <w:lang w:eastAsia="ja-JP"/>
        </w:rPr>
        <w:t>156</w:t>
      </w:r>
      <w:r w:rsidR="002D2C87" w:rsidRPr="00496A4D">
        <w:rPr>
          <w:lang w:eastAsia="ja-JP"/>
        </w:rPr>
        <w:fldChar w:fldCharType="end"/>
      </w:r>
      <w:r w:rsidR="002D2C87" w:rsidRPr="00A52AB8">
        <w:rPr>
          <w:lang w:eastAsia="ja-JP"/>
        </w:rPr>
        <w:t>)</w:t>
      </w:r>
    </w:p>
    <w:p w14:paraId="49535F11" w14:textId="450205D0" w:rsidR="002D2C87" w:rsidRPr="00A52AB8" w:rsidRDefault="002D2C87" w:rsidP="00A252B5">
      <w:r w:rsidRPr="00A52AB8">
        <w:tab/>
      </w:r>
      <w:r w:rsidR="00C56E98" w:rsidRPr="00A52AB8">
        <w:t>Tile</w:t>
      </w:r>
      <w:r w:rsidRPr="00A52AB8">
        <w:t>Patch2dSizeX</w:t>
      </w:r>
      <w:r w:rsidR="00FC1A53" w:rsidRPr="00A52AB8">
        <w:t>[ </w:t>
      </w:r>
      <w:r w:rsidR="00632FA7" w:rsidRPr="00A52AB8">
        <w:t>tileID</w:t>
      </w:r>
      <w:r w:rsidR="00FC1A53" w:rsidRPr="00A52AB8">
        <w:t> ]</w:t>
      </w:r>
      <w:r w:rsidRPr="00A52AB8">
        <w:t>[ p ] =</w:t>
      </w:r>
      <w:r w:rsidR="00767BB4" w:rsidRPr="00A52AB8">
        <w:br/>
      </w:r>
      <w:r w:rsidR="00767BB4" w:rsidRPr="00A52AB8">
        <w:tab/>
      </w:r>
      <w:r w:rsidR="00767BB4" w:rsidRPr="00A52AB8">
        <w:tab/>
      </w:r>
      <w:r w:rsidR="00767BB4" w:rsidRPr="00A52AB8">
        <w:tab/>
      </w:r>
      <w:r w:rsidR="004500E4" w:rsidRPr="00A52AB8">
        <w:t>(</w:t>
      </w:r>
      <w:r w:rsidRPr="00A52AB8">
        <w:t>epdu_2d_size_x</w:t>
      </w:r>
      <w:r w:rsidR="004500E4" w:rsidRPr="00A52AB8">
        <w:t>_minus1</w:t>
      </w:r>
      <w:r w:rsidR="00FC1A53" w:rsidRPr="00A52AB8">
        <w:t>[ </w:t>
      </w:r>
      <w:r w:rsidR="00632FA7" w:rsidRPr="00A52AB8">
        <w:t>tileID</w:t>
      </w:r>
      <w:r w:rsidR="00FC1A53" w:rsidRPr="00A52AB8">
        <w:t> ]</w:t>
      </w:r>
      <w:r w:rsidRPr="00A52AB8">
        <w:t>[ p ] </w:t>
      </w:r>
      <w:r w:rsidR="004500E4" w:rsidRPr="00A52AB8">
        <w:t>+</w:t>
      </w:r>
      <w:r w:rsidR="0065763A" w:rsidRPr="00A52AB8">
        <w:t> </w:t>
      </w:r>
      <w:r w:rsidR="004500E4" w:rsidRPr="00A52AB8">
        <w:t>1)</w:t>
      </w:r>
      <w:r w:rsidR="0065763A" w:rsidRPr="00A52AB8">
        <w:t> </w:t>
      </w:r>
      <w:r w:rsidRPr="00A52AB8">
        <w:t>* </w:t>
      </w:r>
      <w:r w:rsidR="005036E4" w:rsidRPr="00A52AB8">
        <w:t>PatchSizeXQuantizer</w:t>
      </w:r>
      <w:r w:rsidRPr="00A52AB8">
        <w:tab/>
        <w:t>(</w:t>
      </w:r>
      <w:r w:rsidRPr="00496A4D">
        <w:fldChar w:fldCharType="begin"/>
      </w:r>
      <w:r w:rsidRPr="00A52AB8">
        <w:instrText xml:space="preserve"> </w:instrText>
      </w:r>
      <w:r w:rsidR="00646520" w:rsidRPr="00A52AB8">
        <w:instrText>SEQ Equation \* ARABIC \n</w:instrText>
      </w:r>
      <w:r w:rsidRPr="00A52AB8">
        <w:instrText xml:space="preserve"> </w:instrText>
      </w:r>
      <w:r w:rsidRPr="00496A4D">
        <w:fldChar w:fldCharType="separate"/>
      </w:r>
      <w:r w:rsidR="00507A67">
        <w:rPr>
          <w:noProof/>
        </w:rPr>
        <w:t>157</w:t>
      </w:r>
      <w:r w:rsidRPr="00496A4D">
        <w:fldChar w:fldCharType="end"/>
      </w:r>
      <w:r w:rsidRPr="00A52AB8">
        <w:t>)</w:t>
      </w:r>
    </w:p>
    <w:p w14:paraId="1E72F29C" w14:textId="4AAF2265" w:rsidR="002D2C87" w:rsidRPr="00A52AB8" w:rsidRDefault="002D2C87" w:rsidP="00A252B5">
      <w:r w:rsidRPr="00A52AB8">
        <w:tab/>
      </w:r>
      <w:r w:rsidR="000E1DEE" w:rsidRPr="00A52AB8">
        <w:t>Tile</w:t>
      </w:r>
      <w:r w:rsidRPr="00A52AB8">
        <w:t>Patch2dSizeY</w:t>
      </w:r>
      <w:r w:rsidR="00FC1A53" w:rsidRPr="00A52AB8">
        <w:t>[ </w:t>
      </w:r>
      <w:r w:rsidR="00632FA7" w:rsidRPr="00A52AB8">
        <w:t>tileID</w:t>
      </w:r>
      <w:r w:rsidR="00FC1A53" w:rsidRPr="00A52AB8">
        <w:t> ]</w:t>
      </w:r>
      <w:r w:rsidRPr="00A52AB8">
        <w:t>[ p ] =</w:t>
      </w:r>
      <w:r w:rsidR="00767BB4" w:rsidRPr="00A52AB8">
        <w:br/>
      </w:r>
      <w:r w:rsidR="00767BB4" w:rsidRPr="00A52AB8">
        <w:tab/>
      </w:r>
      <w:r w:rsidR="00767BB4" w:rsidRPr="00A52AB8">
        <w:tab/>
      </w:r>
      <w:r w:rsidR="00767BB4" w:rsidRPr="00A52AB8">
        <w:tab/>
      </w:r>
      <w:r w:rsidR="004500E4" w:rsidRPr="00A52AB8">
        <w:t>(</w:t>
      </w:r>
      <w:r w:rsidRPr="00A52AB8">
        <w:t>epdu_2d_size_y</w:t>
      </w:r>
      <w:r w:rsidR="004500E4" w:rsidRPr="00A52AB8">
        <w:t>_minus1</w:t>
      </w:r>
      <w:r w:rsidR="00FC1A53" w:rsidRPr="00A52AB8">
        <w:t>[ </w:t>
      </w:r>
      <w:r w:rsidR="00632FA7" w:rsidRPr="00A52AB8">
        <w:t>tileID</w:t>
      </w:r>
      <w:r w:rsidR="00FC1A53" w:rsidRPr="00A52AB8">
        <w:t> ]</w:t>
      </w:r>
      <w:r w:rsidRPr="00A52AB8">
        <w:t>[ p ] </w:t>
      </w:r>
      <w:r w:rsidR="004500E4" w:rsidRPr="00A52AB8">
        <w:t>+</w:t>
      </w:r>
      <w:r w:rsidR="0065763A" w:rsidRPr="00A52AB8">
        <w:t> </w:t>
      </w:r>
      <w:r w:rsidR="004500E4" w:rsidRPr="00A52AB8">
        <w:t>1) </w:t>
      </w:r>
      <w:r w:rsidRPr="00A52AB8">
        <w:t>* </w:t>
      </w:r>
      <w:r w:rsidR="005036E4" w:rsidRPr="00A52AB8">
        <w:t>PatchSizeYQuantizer</w:t>
      </w:r>
      <w:r w:rsidRPr="00A52AB8">
        <w:tab/>
        <w:t>(</w:t>
      </w:r>
      <w:r w:rsidRPr="00496A4D">
        <w:fldChar w:fldCharType="begin"/>
      </w:r>
      <w:r w:rsidRPr="00A52AB8">
        <w:instrText xml:space="preserve"> </w:instrText>
      </w:r>
      <w:r w:rsidR="00646520" w:rsidRPr="00A52AB8">
        <w:instrText>SEQ Equation \* ARABIC \n</w:instrText>
      </w:r>
      <w:r w:rsidRPr="00A52AB8">
        <w:instrText xml:space="preserve"> </w:instrText>
      </w:r>
      <w:r w:rsidRPr="00496A4D">
        <w:fldChar w:fldCharType="separate"/>
      </w:r>
      <w:r w:rsidR="00507A67">
        <w:rPr>
          <w:noProof/>
        </w:rPr>
        <w:t>158</w:t>
      </w:r>
      <w:r w:rsidRPr="00496A4D">
        <w:fldChar w:fldCharType="end"/>
      </w:r>
      <w:r w:rsidRPr="00A52AB8">
        <w:t>)</w:t>
      </w:r>
    </w:p>
    <w:p w14:paraId="3AD1FF92" w14:textId="3E60B085" w:rsidR="007C5C7C" w:rsidRPr="00A52AB8" w:rsidRDefault="00584045" w:rsidP="009F42AE">
      <w:pPr>
        <w:rPr>
          <w:lang w:eastAsia="ja-JP"/>
        </w:rPr>
      </w:pPr>
      <w:r w:rsidRPr="00A52AB8">
        <w:rPr>
          <w:lang w:eastAsia="ja-JP"/>
        </w:rPr>
        <w:tab/>
      </w:r>
      <w:r w:rsidR="000E1DEE" w:rsidRPr="00A52AB8">
        <w:rPr>
          <w:lang w:eastAsia="ja-JP"/>
        </w:rPr>
        <w:t>Tile</w:t>
      </w:r>
      <w:r w:rsidR="007C5C7C" w:rsidRPr="00A52AB8">
        <w:rPr>
          <w:lang w:eastAsia="ja-JP"/>
        </w:rPr>
        <w:t>PatchEomPatchCount[ </w:t>
      </w:r>
      <w:r w:rsidR="00632FA7" w:rsidRPr="00A52AB8">
        <w:rPr>
          <w:lang w:eastAsia="ja-JP"/>
        </w:rPr>
        <w:t>tileID</w:t>
      </w:r>
      <w:r w:rsidR="007C5C7C" w:rsidRPr="00A52AB8">
        <w:rPr>
          <w:lang w:eastAsia="ja-JP"/>
        </w:rPr>
        <w:t> ][ p ]</w:t>
      </w:r>
      <w:r w:rsidR="00D47707" w:rsidRPr="00A52AB8">
        <w:rPr>
          <w:lang w:eastAsia="ja-JP"/>
        </w:rPr>
        <w:t> = </w:t>
      </w:r>
      <w:r w:rsidR="00D91A09" w:rsidRPr="00A52AB8">
        <w:rPr>
          <w:lang w:eastAsia="ja-JP"/>
        </w:rPr>
        <w:t>( epdu_patch_count_minus1</w:t>
      </w:r>
      <w:r w:rsidR="00F23D6B" w:rsidRPr="00A52AB8">
        <w:rPr>
          <w:lang w:eastAsia="ja-JP"/>
        </w:rPr>
        <w:t>[ </w:t>
      </w:r>
      <w:r w:rsidR="00632FA7" w:rsidRPr="00A52AB8">
        <w:rPr>
          <w:lang w:eastAsia="ja-JP"/>
        </w:rPr>
        <w:t>tileID</w:t>
      </w:r>
      <w:r w:rsidR="00F23D6B" w:rsidRPr="00A52AB8">
        <w:rPr>
          <w:lang w:eastAsia="ja-JP"/>
        </w:rPr>
        <w:t> ][ p ]</w:t>
      </w:r>
      <w:r w:rsidR="00D91A09" w:rsidRPr="00A52AB8">
        <w:rPr>
          <w:lang w:eastAsia="ja-JP"/>
        </w:rPr>
        <w:t> + 1 )</w:t>
      </w:r>
      <w:r w:rsidR="007C5C7C" w:rsidRPr="00A52AB8">
        <w:rPr>
          <w:lang w:eastAsia="ja-JP"/>
        </w:rPr>
        <w:tab/>
        <w:t>(</w:t>
      </w:r>
      <w:r w:rsidR="007C5C7C" w:rsidRPr="00496A4D">
        <w:rPr>
          <w:lang w:eastAsia="ja-JP"/>
        </w:rPr>
        <w:fldChar w:fldCharType="begin"/>
      </w:r>
      <w:r w:rsidR="007C5C7C" w:rsidRPr="00A52AB8">
        <w:rPr>
          <w:lang w:eastAsia="ja-JP"/>
        </w:rPr>
        <w:instrText xml:space="preserve"> SEQ Equation \* ARABIC \n </w:instrText>
      </w:r>
      <w:r w:rsidR="007C5C7C" w:rsidRPr="00496A4D">
        <w:rPr>
          <w:lang w:eastAsia="ja-JP"/>
        </w:rPr>
        <w:fldChar w:fldCharType="separate"/>
      </w:r>
      <w:r w:rsidR="00507A67">
        <w:rPr>
          <w:noProof/>
          <w:lang w:eastAsia="ja-JP"/>
        </w:rPr>
        <w:t>159</w:t>
      </w:r>
      <w:r w:rsidR="007C5C7C" w:rsidRPr="00496A4D">
        <w:rPr>
          <w:lang w:eastAsia="ja-JP"/>
        </w:rPr>
        <w:fldChar w:fldCharType="end"/>
      </w:r>
      <w:r w:rsidR="007C5C7C" w:rsidRPr="00A52AB8">
        <w:rPr>
          <w:lang w:eastAsia="ja-JP"/>
        </w:rPr>
        <w:t>)</w:t>
      </w:r>
    </w:p>
    <w:p w14:paraId="25466705" w14:textId="024BC7F9" w:rsidR="00983788" w:rsidRPr="00A52AB8" w:rsidRDefault="00983788" w:rsidP="009F42AE">
      <w:pPr>
        <w:rPr>
          <w:lang w:eastAsia="ja-JP"/>
        </w:rPr>
      </w:pPr>
      <w:r w:rsidRPr="00A52AB8">
        <w:rPr>
          <w:lang w:eastAsia="ja-JP"/>
        </w:rPr>
        <w:tab/>
        <w:t>for( i</w:t>
      </w:r>
      <w:r w:rsidR="00D47707" w:rsidRPr="00A52AB8">
        <w:rPr>
          <w:lang w:eastAsia="ja-JP"/>
        </w:rPr>
        <w:t> = </w:t>
      </w:r>
      <w:r w:rsidRPr="00A52AB8">
        <w:rPr>
          <w:lang w:eastAsia="ja-JP"/>
        </w:rPr>
        <w:t xml:space="preserve">0; i &lt; </w:t>
      </w:r>
      <w:r w:rsidR="001939FF" w:rsidRPr="00A52AB8">
        <w:rPr>
          <w:lang w:eastAsia="ja-JP"/>
        </w:rPr>
        <w:t>Tile</w:t>
      </w:r>
      <w:r w:rsidRPr="00A52AB8">
        <w:rPr>
          <w:lang w:eastAsia="ja-JP"/>
        </w:rPr>
        <w:t>PatchEomPatchCount[ </w:t>
      </w:r>
      <w:r w:rsidR="00632FA7" w:rsidRPr="00A52AB8">
        <w:rPr>
          <w:lang w:eastAsia="ja-JP"/>
        </w:rPr>
        <w:t>tileID</w:t>
      </w:r>
      <w:r w:rsidRPr="00A52AB8">
        <w:rPr>
          <w:lang w:eastAsia="ja-JP"/>
        </w:rPr>
        <w:t> ][ p ]; i</w:t>
      </w:r>
      <w:r w:rsidR="00006CCF" w:rsidRPr="00A52AB8">
        <w:rPr>
          <w:lang w:eastAsia="ja-JP"/>
        </w:rPr>
        <w:t>++ </w:t>
      </w:r>
      <w:r w:rsidR="00900B12" w:rsidRPr="00A52AB8">
        <w:rPr>
          <w:lang w:eastAsia="ja-JP"/>
        </w:rPr>
        <w:t>) {</w:t>
      </w:r>
    </w:p>
    <w:p w14:paraId="18EB02A3" w14:textId="38FC868A" w:rsidR="00983788" w:rsidRPr="00A52AB8" w:rsidRDefault="00983788" w:rsidP="00A252B5">
      <w:r w:rsidRPr="00A52AB8">
        <w:tab/>
      </w:r>
      <w:r w:rsidRPr="00A52AB8">
        <w:tab/>
      </w:r>
      <w:r w:rsidR="000E1DEE" w:rsidRPr="00A52AB8">
        <w:t>Tile</w:t>
      </w:r>
      <w:r w:rsidR="00E3147D" w:rsidRPr="00A52AB8">
        <w:t>Patch</w:t>
      </w:r>
      <w:r w:rsidR="00457B67" w:rsidRPr="00A52AB8">
        <w:t>AssociatedPatchIndex</w:t>
      </w:r>
      <w:r w:rsidRPr="00A52AB8">
        <w:t>[ </w:t>
      </w:r>
      <w:r w:rsidR="00632FA7" w:rsidRPr="00A52AB8">
        <w:t>tileID</w:t>
      </w:r>
      <w:r w:rsidRPr="00A52AB8">
        <w:t> ][ p ][ i ]</w:t>
      </w:r>
      <w:r w:rsidR="001B4FC0" w:rsidRPr="00A52AB8">
        <w:t> =</w:t>
      </w:r>
      <w:r w:rsidR="00767BB4" w:rsidRPr="00A52AB8">
        <w:br/>
      </w:r>
      <w:r w:rsidR="00767BB4" w:rsidRPr="00A52AB8">
        <w:tab/>
      </w:r>
      <w:r w:rsidR="00767BB4" w:rsidRPr="00A52AB8">
        <w:tab/>
      </w:r>
      <w:r w:rsidR="00767BB4" w:rsidRPr="00A52AB8">
        <w:tab/>
      </w:r>
      <w:r w:rsidR="001D66CC" w:rsidRPr="00A52AB8">
        <w:t>epdu_associated_patch_idx</w:t>
      </w:r>
      <w:r w:rsidR="001B4FC0" w:rsidRPr="00A52AB8">
        <w:t>[ </w:t>
      </w:r>
      <w:r w:rsidR="00632FA7" w:rsidRPr="00A52AB8">
        <w:t>tileID</w:t>
      </w:r>
      <w:r w:rsidR="001B4FC0" w:rsidRPr="00A52AB8">
        <w:t> ][ p ]</w:t>
      </w:r>
      <w:r w:rsidRPr="00A52AB8">
        <w:tab/>
        <w:t>(</w:t>
      </w:r>
      <w:r w:rsidRPr="00496A4D">
        <w:fldChar w:fldCharType="begin"/>
      </w:r>
      <w:r w:rsidRPr="00A52AB8">
        <w:instrText xml:space="preserve"> SEQ Equation \* ARABIC \n </w:instrText>
      </w:r>
      <w:r w:rsidRPr="00496A4D">
        <w:fldChar w:fldCharType="separate"/>
      </w:r>
      <w:r w:rsidR="00507A67">
        <w:rPr>
          <w:noProof/>
        </w:rPr>
        <w:t>160</w:t>
      </w:r>
      <w:r w:rsidRPr="00496A4D">
        <w:fldChar w:fldCharType="end"/>
      </w:r>
      <w:r w:rsidRPr="00A52AB8">
        <w:t>)</w:t>
      </w:r>
    </w:p>
    <w:p w14:paraId="0AD0D633" w14:textId="3F069B24" w:rsidR="00983788" w:rsidRPr="00A52AB8" w:rsidRDefault="00983788" w:rsidP="009F42AE">
      <w:pPr>
        <w:rPr>
          <w:lang w:eastAsia="ja-JP"/>
        </w:rPr>
      </w:pPr>
      <w:r w:rsidRPr="00A52AB8">
        <w:rPr>
          <w:lang w:eastAsia="ja-JP"/>
        </w:rPr>
        <w:tab/>
      </w:r>
      <w:r w:rsidRPr="00A52AB8">
        <w:rPr>
          <w:lang w:eastAsia="ja-JP"/>
        </w:rPr>
        <w:tab/>
      </w:r>
      <w:r w:rsidR="000E1DEE" w:rsidRPr="00A52AB8">
        <w:rPr>
          <w:lang w:eastAsia="ja-JP"/>
        </w:rPr>
        <w:t>Tile</w:t>
      </w:r>
      <w:r w:rsidRPr="00A52AB8">
        <w:rPr>
          <w:lang w:eastAsia="ja-JP"/>
        </w:rPr>
        <w:t>PatchEomPoints[ </w:t>
      </w:r>
      <w:r w:rsidR="00632FA7" w:rsidRPr="00A52AB8">
        <w:rPr>
          <w:lang w:eastAsia="ja-JP"/>
        </w:rPr>
        <w:t>tileID</w:t>
      </w:r>
      <w:r w:rsidRPr="00A52AB8">
        <w:rPr>
          <w:lang w:eastAsia="ja-JP"/>
        </w:rPr>
        <w:t> ][ p ][ i ]</w:t>
      </w:r>
      <w:r w:rsidR="00D47707" w:rsidRPr="00A52AB8">
        <w:rPr>
          <w:lang w:eastAsia="ja-JP"/>
        </w:rPr>
        <w:t> = </w:t>
      </w:r>
      <w:r w:rsidR="004A78FE" w:rsidRPr="00A52AB8">
        <w:rPr>
          <w:lang w:eastAsia="ja-JP"/>
        </w:rPr>
        <w:t>epdu_points</w:t>
      </w:r>
      <w:r w:rsidR="00DF4482" w:rsidRPr="00A52AB8">
        <w:rPr>
          <w:lang w:eastAsia="ja-JP"/>
        </w:rPr>
        <w:t>[ </w:t>
      </w:r>
      <w:r w:rsidR="00632FA7" w:rsidRPr="00A52AB8">
        <w:rPr>
          <w:lang w:eastAsia="ja-JP"/>
        </w:rPr>
        <w:t>tileID</w:t>
      </w:r>
      <w:r w:rsidR="00DF4482" w:rsidRPr="00A52AB8">
        <w:rPr>
          <w:lang w:eastAsia="ja-JP"/>
        </w:rPr>
        <w:t> ][ p ]</w:t>
      </w:r>
      <w:r w:rsidRPr="00A52AB8">
        <w:rPr>
          <w:lang w:eastAsia="ja-JP"/>
        </w:rPr>
        <w:tab/>
        <w:t>(</w:t>
      </w:r>
      <w:r w:rsidRPr="00496A4D">
        <w:rPr>
          <w:lang w:eastAsia="ja-JP"/>
        </w:rPr>
        <w:fldChar w:fldCharType="begin"/>
      </w:r>
      <w:r w:rsidRPr="00A52AB8">
        <w:rPr>
          <w:lang w:eastAsia="ja-JP"/>
        </w:rPr>
        <w:instrText xml:space="preserve"> SEQ Equation \* ARABIC \n </w:instrText>
      </w:r>
      <w:r w:rsidRPr="00496A4D">
        <w:rPr>
          <w:lang w:eastAsia="ja-JP"/>
        </w:rPr>
        <w:fldChar w:fldCharType="separate"/>
      </w:r>
      <w:r w:rsidR="00507A67">
        <w:rPr>
          <w:noProof/>
          <w:lang w:eastAsia="ja-JP"/>
        </w:rPr>
        <w:t>161</w:t>
      </w:r>
      <w:r w:rsidRPr="00496A4D">
        <w:rPr>
          <w:lang w:eastAsia="ja-JP"/>
        </w:rPr>
        <w:fldChar w:fldCharType="end"/>
      </w:r>
      <w:r w:rsidRPr="00A52AB8">
        <w:rPr>
          <w:lang w:eastAsia="ja-JP"/>
        </w:rPr>
        <w:t>)</w:t>
      </w:r>
    </w:p>
    <w:p w14:paraId="08B611BC" w14:textId="77777777" w:rsidR="007C5C7C" w:rsidRPr="00A52AB8" w:rsidRDefault="00983788" w:rsidP="00983788">
      <w:pPr>
        <w:rPr>
          <w:lang w:eastAsia="ja-JP"/>
        </w:rPr>
      </w:pPr>
      <w:r w:rsidRPr="00A52AB8">
        <w:rPr>
          <w:lang w:eastAsia="ja-JP"/>
        </w:rPr>
        <w:tab/>
        <w:t>}</w:t>
      </w:r>
    </w:p>
    <w:p w14:paraId="4BD31D68" w14:textId="77777777" w:rsidR="00A64CA8" w:rsidRPr="00A52AB8" w:rsidRDefault="00EC3C50">
      <w:pPr>
        <w:pStyle w:val="Heading3"/>
      </w:pPr>
      <w:bookmarkStart w:id="1524" w:name="_Ref1592626"/>
      <w:bookmarkStart w:id="1525" w:name="_Toc52181628"/>
      <w:r w:rsidRPr="00A52AB8">
        <w:t xml:space="preserve">Decoding process </w:t>
      </w:r>
      <w:r w:rsidR="00684A27" w:rsidRPr="00A52AB8">
        <w:t>of the block to patch map</w:t>
      </w:r>
      <w:bookmarkEnd w:id="1524"/>
      <w:bookmarkEnd w:id="1525"/>
    </w:p>
    <w:p w14:paraId="7D1BFCE3" w14:textId="58A9197D" w:rsidR="00EC3C50" w:rsidRPr="00A52AB8" w:rsidRDefault="00A64CA8" w:rsidP="009F42AE">
      <w:pPr>
        <w:rPr>
          <w:color w:val="000000" w:themeColor="text1"/>
        </w:rPr>
      </w:pPr>
      <w:r w:rsidRPr="00A52AB8">
        <w:rPr>
          <w:lang w:eastAsia="ja-JP"/>
        </w:rPr>
        <w:t xml:space="preserve">Input to this process </w:t>
      </w:r>
      <w:r w:rsidR="00D72E58" w:rsidRPr="00A52AB8">
        <w:rPr>
          <w:lang w:eastAsia="ja-JP"/>
        </w:rPr>
        <w:t>is</w:t>
      </w:r>
      <w:r w:rsidR="00D72E58" w:rsidRPr="00A52AB8">
        <w:rPr>
          <w:color w:val="000000" w:themeColor="text1"/>
        </w:rPr>
        <w:t xml:space="preserve"> </w:t>
      </w:r>
      <w:r w:rsidR="00EC3C50" w:rsidRPr="00A52AB8">
        <w:rPr>
          <w:color w:val="000000" w:themeColor="text1"/>
        </w:rPr>
        <w:t xml:space="preserve">the </w:t>
      </w:r>
      <w:r w:rsidR="00A535CF" w:rsidRPr="00A52AB8">
        <w:rPr>
          <w:color w:val="000000" w:themeColor="text1"/>
        </w:rPr>
        <w:t xml:space="preserve">current </w:t>
      </w:r>
      <w:r w:rsidR="00B8075E" w:rsidRPr="00A52AB8">
        <w:rPr>
          <w:color w:val="000000" w:themeColor="text1"/>
        </w:rPr>
        <w:t>tile</w:t>
      </w:r>
      <w:r w:rsidR="00EC3C50" w:rsidRPr="00A52AB8">
        <w:rPr>
          <w:color w:val="000000" w:themeColor="text1"/>
        </w:rPr>
        <w:t xml:space="preserve"> </w:t>
      </w:r>
      <w:r w:rsidR="0001650D" w:rsidRPr="00A52AB8">
        <w:rPr>
          <w:color w:val="000000" w:themeColor="text1"/>
        </w:rPr>
        <w:t>ID</w:t>
      </w:r>
      <w:r w:rsidR="00257B86" w:rsidRPr="00A52AB8">
        <w:rPr>
          <w:color w:val="000000" w:themeColor="text1"/>
        </w:rPr>
        <w:t xml:space="preserve">, </w:t>
      </w:r>
      <w:r w:rsidR="00632FA7" w:rsidRPr="00A52AB8">
        <w:rPr>
          <w:color w:val="000000" w:themeColor="text1"/>
        </w:rPr>
        <w:t>tileID</w:t>
      </w:r>
      <w:r w:rsidR="00D72E58" w:rsidRPr="00A52AB8">
        <w:rPr>
          <w:color w:val="000000" w:themeColor="text1"/>
        </w:rPr>
        <w:t>.</w:t>
      </w:r>
    </w:p>
    <w:p w14:paraId="35C19610" w14:textId="77777777" w:rsidR="00AE0887" w:rsidRPr="00A52AB8" w:rsidRDefault="00D72E58">
      <w:pPr>
        <w:rPr>
          <w:color w:val="000000" w:themeColor="text1"/>
        </w:rPr>
      </w:pPr>
      <w:r w:rsidRPr="00A52AB8">
        <w:rPr>
          <w:lang w:eastAsia="ja-JP"/>
        </w:rPr>
        <w:t xml:space="preserve">Then the variables </w:t>
      </w:r>
      <w:r w:rsidRPr="00A52AB8">
        <w:rPr>
          <w:color w:val="000000" w:themeColor="text1"/>
        </w:rPr>
        <w:t>TileBlockToPatchMapWidth</w:t>
      </w:r>
      <w:r w:rsidRPr="00A52AB8">
        <w:t>[ </w:t>
      </w:r>
      <w:r w:rsidR="00632FA7" w:rsidRPr="00A52AB8">
        <w:t>tileID</w:t>
      </w:r>
      <w:r w:rsidRPr="00A52AB8">
        <w:t> </w:t>
      </w:r>
      <w:r w:rsidRPr="00A52AB8">
        <w:rPr>
          <w:lang w:eastAsia="ja-JP"/>
        </w:rPr>
        <w:t xml:space="preserve">] and </w:t>
      </w:r>
      <w:r w:rsidRPr="00A52AB8">
        <w:rPr>
          <w:color w:val="000000" w:themeColor="text1"/>
        </w:rPr>
        <w:t>TileBlockToPatchMapHeight</w:t>
      </w:r>
      <w:r w:rsidRPr="00A52AB8">
        <w:t>[ </w:t>
      </w:r>
      <w:r w:rsidR="00632FA7" w:rsidRPr="00A52AB8">
        <w:t>tileID</w:t>
      </w:r>
      <w:r w:rsidRPr="00A52AB8">
        <w:t> ]</w:t>
      </w:r>
      <w:r w:rsidRPr="00A52AB8">
        <w:rPr>
          <w:color w:val="000000" w:themeColor="text1"/>
        </w:rPr>
        <w:t xml:space="preserve">, </w:t>
      </w:r>
      <w:r w:rsidRPr="00A52AB8">
        <w:rPr>
          <w:lang w:eastAsia="ja-JP"/>
        </w:rPr>
        <w:t>and the</w:t>
      </w:r>
      <w:r w:rsidR="00AE0887" w:rsidRPr="00A52AB8">
        <w:rPr>
          <w:lang w:eastAsia="ja-JP"/>
        </w:rPr>
        <w:t xml:space="preserve"> two</w:t>
      </w:r>
      <w:r w:rsidR="00775D5A" w:rsidRPr="00A52AB8">
        <w:rPr>
          <w:lang w:eastAsia="ja-JP"/>
        </w:rPr>
        <w:t>-</w:t>
      </w:r>
      <w:r w:rsidR="00AE0887" w:rsidRPr="00A52AB8">
        <w:rPr>
          <w:lang w:eastAsia="ja-JP"/>
        </w:rPr>
        <w:t xml:space="preserve">dimensional array </w:t>
      </w:r>
      <w:r w:rsidR="00D552AF" w:rsidRPr="00A52AB8">
        <w:rPr>
          <w:lang w:eastAsia="ja-JP"/>
        </w:rPr>
        <w:t>Tile</w:t>
      </w:r>
      <w:r w:rsidR="00AE0887" w:rsidRPr="00A52AB8">
        <w:rPr>
          <w:color w:val="000000" w:themeColor="text1"/>
        </w:rPr>
        <w:t>BlockToPatchMap</w:t>
      </w:r>
      <w:r w:rsidR="004438B9" w:rsidRPr="00A52AB8">
        <w:t>[ </w:t>
      </w:r>
      <w:r w:rsidR="00632FA7" w:rsidRPr="00A52AB8">
        <w:t>tileID</w:t>
      </w:r>
      <w:r w:rsidR="004438B9" w:rsidRPr="00A52AB8">
        <w:t> ]</w:t>
      </w:r>
      <w:r w:rsidR="00B32A65" w:rsidRPr="00A52AB8">
        <w:rPr>
          <w:color w:val="000000" w:themeColor="text1"/>
        </w:rPr>
        <w:t xml:space="preserve"> </w:t>
      </w:r>
      <w:r w:rsidRPr="00A52AB8">
        <w:rPr>
          <w:color w:val="000000" w:themeColor="text1"/>
        </w:rPr>
        <w:t>are computed as follows</w:t>
      </w:r>
      <w:r w:rsidR="00AE0887" w:rsidRPr="00A52AB8">
        <w:rPr>
          <w:color w:val="000000" w:themeColor="text1"/>
        </w:rPr>
        <w:t>:</w:t>
      </w:r>
      <w:r w:rsidR="00AE0887" w:rsidRPr="00A52AB8">
        <w:rPr>
          <w:color w:val="000000" w:themeColor="text1"/>
        </w:rPr>
        <w:tab/>
      </w:r>
    </w:p>
    <w:p w14:paraId="5EA6B88E" w14:textId="20E49C40" w:rsidR="00141173" w:rsidRPr="00A52AB8" w:rsidRDefault="00C42C6D" w:rsidP="007A4DEE">
      <w:r w:rsidRPr="00A52AB8">
        <w:tab/>
      </w:r>
      <w:r w:rsidR="00141173" w:rsidRPr="00A52AB8">
        <w:t>offset</w:t>
      </w:r>
      <w:r w:rsidR="00D47707" w:rsidRPr="00A52AB8">
        <w:t> = </w:t>
      </w:r>
      <w:r w:rsidR="00141173" w:rsidRPr="00A52AB8">
        <w:t>PatchPatchPackingSize</w:t>
      </w:r>
      <w:r w:rsidR="00E04FA4" w:rsidRPr="00A52AB8">
        <w:t> – 1</w:t>
      </w:r>
      <w:r w:rsidR="00AE0887" w:rsidRPr="00A52AB8">
        <w:tab/>
      </w:r>
    </w:p>
    <w:p w14:paraId="3D030A22" w14:textId="5D76A73C" w:rsidR="00AE0887" w:rsidRPr="00A52AB8" w:rsidRDefault="00C42C6D" w:rsidP="007A4DEE">
      <w:r w:rsidRPr="00A52AB8">
        <w:tab/>
      </w:r>
      <w:r w:rsidR="00025A0A" w:rsidRPr="00A52AB8">
        <w:t>Tile</w:t>
      </w:r>
      <w:r w:rsidR="00A525D4" w:rsidRPr="00A52AB8">
        <w:t>B</w:t>
      </w:r>
      <w:r w:rsidR="00CD1CD6" w:rsidRPr="00A52AB8">
        <w:t>lockToPatchMapWidth</w:t>
      </w:r>
      <w:r w:rsidR="0069469C" w:rsidRPr="00A52AB8">
        <w:t>[ </w:t>
      </w:r>
      <w:r w:rsidR="00632FA7" w:rsidRPr="00A52AB8">
        <w:t>tileID</w:t>
      </w:r>
      <w:r w:rsidR="0069469C" w:rsidRPr="00A52AB8">
        <w:t> ]</w:t>
      </w:r>
      <w:r w:rsidR="00CD1CD6" w:rsidRPr="00A52AB8">
        <w:t> </w:t>
      </w:r>
      <w:r w:rsidR="00AE0887" w:rsidRPr="00A52AB8">
        <w:t>=</w:t>
      </w:r>
      <w:r w:rsidR="00B40B6F" w:rsidRPr="00A52AB8">
        <w:br/>
      </w:r>
      <w:r w:rsidR="00B40B6F" w:rsidRPr="00A52AB8">
        <w:tab/>
      </w:r>
      <w:r w:rsidR="00B40B6F" w:rsidRPr="00A52AB8">
        <w:tab/>
      </w:r>
      <w:r w:rsidR="00B40B6F" w:rsidRPr="00A52AB8">
        <w:tab/>
      </w:r>
      <w:r w:rsidR="00141173" w:rsidRPr="00A52AB8">
        <w:t>(</w:t>
      </w:r>
      <w:r w:rsidR="00520572" w:rsidRPr="00A52AB8">
        <w:t> </w:t>
      </w:r>
      <w:r w:rsidR="00141FD8" w:rsidRPr="00A52AB8">
        <w:t>TileWidth</w:t>
      </w:r>
      <w:r w:rsidR="00257B86" w:rsidRPr="00A52AB8">
        <w:t>[ </w:t>
      </w:r>
      <w:r w:rsidR="007812ED" w:rsidRPr="00A52AB8">
        <w:t>TileID</w:t>
      </w:r>
      <w:r w:rsidR="00032F62" w:rsidRPr="00A52AB8">
        <w:t>ToIndex[ </w:t>
      </w:r>
      <w:r w:rsidR="00632FA7" w:rsidRPr="00A52AB8">
        <w:t>tileID</w:t>
      </w:r>
      <w:r w:rsidR="00032F62" w:rsidRPr="00A52AB8">
        <w:t> ]</w:t>
      </w:r>
      <w:r w:rsidR="00807216" w:rsidRPr="00A52AB8">
        <w:t> </w:t>
      </w:r>
      <w:r w:rsidR="00257B86" w:rsidRPr="00A52AB8">
        <w:t>] </w:t>
      </w:r>
      <w:r w:rsidR="00141173" w:rsidRPr="00A52AB8">
        <w:t>+</w:t>
      </w:r>
      <w:r w:rsidR="00520572" w:rsidRPr="00A52AB8">
        <w:t> </w:t>
      </w:r>
      <w:r w:rsidR="00141173" w:rsidRPr="00A52AB8">
        <w:t>offset</w:t>
      </w:r>
      <w:r w:rsidR="00520572" w:rsidRPr="00A52AB8">
        <w:t> </w:t>
      </w:r>
      <w:r w:rsidR="00141173" w:rsidRPr="00A52AB8">
        <w:t>) /</w:t>
      </w:r>
      <w:r w:rsidR="008840F6" w:rsidRPr="00A52AB8">
        <w:t> </w:t>
      </w:r>
      <w:r w:rsidR="00DE5D50" w:rsidRPr="00A52AB8">
        <w:t>PatchPackingBlockSize</w:t>
      </w:r>
      <w:r w:rsidR="00B40B6F" w:rsidRPr="00A52AB8">
        <w:tab/>
        <w:t>(</w:t>
      </w:r>
      <w:r w:rsidR="00B40B6F" w:rsidRPr="00496A4D">
        <w:fldChar w:fldCharType="begin"/>
      </w:r>
      <w:r w:rsidR="00B40B6F" w:rsidRPr="00A52AB8">
        <w:instrText xml:space="preserve"> SEQ Equation \* ARABIC \n </w:instrText>
      </w:r>
      <w:r w:rsidR="00B40B6F" w:rsidRPr="00496A4D">
        <w:fldChar w:fldCharType="separate"/>
      </w:r>
      <w:r w:rsidR="00507A67">
        <w:rPr>
          <w:noProof/>
        </w:rPr>
        <w:t>162</w:t>
      </w:r>
      <w:r w:rsidR="00B40B6F" w:rsidRPr="00496A4D">
        <w:fldChar w:fldCharType="end"/>
      </w:r>
      <w:r w:rsidR="00B40B6F" w:rsidRPr="00A52AB8">
        <w:t>)</w:t>
      </w:r>
    </w:p>
    <w:p w14:paraId="38A89F6E" w14:textId="0A228549" w:rsidR="008840F6" w:rsidRPr="00A52AB8" w:rsidRDefault="00AE0887" w:rsidP="007A4DEE">
      <w:r w:rsidRPr="00A52AB8">
        <w:tab/>
      </w:r>
      <w:r w:rsidR="00025A0A" w:rsidRPr="00A52AB8">
        <w:t>Tile</w:t>
      </w:r>
      <w:r w:rsidR="0069469C" w:rsidRPr="00A52AB8">
        <w:t>B</w:t>
      </w:r>
      <w:r w:rsidR="00CD1CD6" w:rsidRPr="00A52AB8">
        <w:t>lockToPatchMapHeight</w:t>
      </w:r>
      <w:r w:rsidR="0069469C" w:rsidRPr="00A52AB8">
        <w:t>[ </w:t>
      </w:r>
      <w:r w:rsidR="00632FA7" w:rsidRPr="00A52AB8">
        <w:t>tileID</w:t>
      </w:r>
      <w:r w:rsidR="0069469C" w:rsidRPr="00A52AB8">
        <w:t> ]</w:t>
      </w:r>
      <w:r w:rsidRPr="00A52AB8">
        <w:t>=</w:t>
      </w:r>
      <w:r w:rsidR="00B40B6F" w:rsidRPr="00A52AB8">
        <w:br/>
      </w:r>
      <w:r w:rsidR="00B40B6F" w:rsidRPr="00A52AB8">
        <w:tab/>
      </w:r>
      <w:r w:rsidR="00B40B6F" w:rsidRPr="00A52AB8">
        <w:tab/>
      </w:r>
      <w:r w:rsidR="00B40B6F" w:rsidRPr="00A52AB8">
        <w:tab/>
      </w:r>
      <w:r w:rsidR="008840F6" w:rsidRPr="00A52AB8">
        <w:t>(</w:t>
      </w:r>
      <w:r w:rsidRPr="00A52AB8">
        <w:t> </w:t>
      </w:r>
      <w:r w:rsidR="00141FD8" w:rsidRPr="00A52AB8">
        <w:t>TileHeight</w:t>
      </w:r>
      <w:r w:rsidR="00257B86" w:rsidRPr="00A52AB8">
        <w:t>[ </w:t>
      </w:r>
      <w:r w:rsidR="007812ED" w:rsidRPr="00A52AB8">
        <w:t>TileID</w:t>
      </w:r>
      <w:r w:rsidR="00032F62" w:rsidRPr="00A52AB8">
        <w:t>ToIndex[ </w:t>
      </w:r>
      <w:r w:rsidR="00632FA7" w:rsidRPr="00A52AB8">
        <w:t>tileID</w:t>
      </w:r>
      <w:r w:rsidR="00032F62" w:rsidRPr="00A52AB8">
        <w:t> ]</w:t>
      </w:r>
      <w:r w:rsidR="00807216" w:rsidRPr="00A52AB8">
        <w:t> </w:t>
      </w:r>
      <w:r w:rsidR="00257B86" w:rsidRPr="00A52AB8">
        <w:t>] </w:t>
      </w:r>
      <w:r w:rsidR="00520572" w:rsidRPr="00A52AB8">
        <w:t>+ offset ) /</w:t>
      </w:r>
      <w:r w:rsidRPr="00A52AB8">
        <w:t> </w:t>
      </w:r>
      <w:r w:rsidR="00DE5D50" w:rsidRPr="00A52AB8">
        <w:t>PatchPackingBlockSize</w:t>
      </w:r>
      <w:r w:rsidRPr="00A52AB8">
        <w:t> </w:t>
      </w:r>
      <w:r w:rsidR="00B40B6F" w:rsidRPr="00A52AB8">
        <w:tab/>
        <w:t>(</w:t>
      </w:r>
      <w:r w:rsidR="00B40B6F" w:rsidRPr="00496A4D">
        <w:fldChar w:fldCharType="begin"/>
      </w:r>
      <w:r w:rsidR="00B40B6F" w:rsidRPr="00A52AB8">
        <w:instrText xml:space="preserve"> SEQ Equation \* ARABIC \n </w:instrText>
      </w:r>
      <w:r w:rsidR="00B40B6F" w:rsidRPr="00496A4D">
        <w:fldChar w:fldCharType="separate"/>
      </w:r>
      <w:r w:rsidR="00507A67">
        <w:rPr>
          <w:noProof/>
        </w:rPr>
        <w:t>163</w:t>
      </w:r>
      <w:r w:rsidR="00B40B6F" w:rsidRPr="00496A4D">
        <w:fldChar w:fldCharType="end"/>
      </w:r>
      <w:r w:rsidR="00B40B6F" w:rsidRPr="00A52AB8">
        <w:t>)</w:t>
      </w:r>
    </w:p>
    <w:p w14:paraId="37F91A13" w14:textId="77777777" w:rsidR="00A64CA8" w:rsidRPr="00A52AB8" w:rsidRDefault="00A64CA8">
      <w:pPr>
        <w:rPr>
          <w:color w:val="000000" w:themeColor="text1"/>
        </w:rPr>
      </w:pPr>
      <w:r w:rsidRPr="00A52AB8">
        <w:rPr>
          <w:color w:val="000000" w:themeColor="text1"/>
        </w:rPr>
        <w:t xml:space="preserve">All elements of </w:t>
      </w:r>
      <w:r w:rsidR="00D9032C" w:rsidRPr="00A52AB8">
        <w:rPr>
          <w:color w:val="000000" w:themeColor="text1"/>
        </w:rPr>
        <w:t>T</w:t>
      </w:r>
      <w:r w:rsidR="00E37B09" w:rsidRPr="00A52AB8">
        <w:rPr>
          <w:color w:val="000000" w:themeColor="text1"/>
        </w:rPr>
        <w:t>ile</w:t>
      </w:r>
      <w:r w:rsidRPr="00A52AB8">
        <w:rPr>
          <w:color w:val="000000" w:themeColor="text1"/>
        </w:rPr>
        <w:t xml:space="preserve">BlockToPatchMap are first initialized to </w:t>
      </w:r>
      <w:r w:rsidR="00570F9E" w:rsidRPr="00A52AB8">
        <w:rPr>
          <w:color w:val="000000" w:themeColor="text1"/>
        </w:rPr>
        <w:t>−</w:t>
      </w:r>
      <w:r w:rsidRPr="00A52AB8">
        <w:rPr>
          <w:color w:val="000000" w:themeColor="text1"/>
        </w:rPr>
        <w:t>1 as follows:</w:t>
      </w:r>
    </w:p>
    <w:p w14:paraId="6A6A1FF2" w14:textId="7FD386ED" w:rsidR="00A64CA8" w:rsidRPr="00A52AB8" w:rsidRDefault="00570F9E" w:rsidP="00E6283C">
      <w:r w:rsidRPr="00A52AB8">
        <w:rPr>
          <w:color w:val="000000" w:themeColor="text1"/>
        </w:rPr>
        <w:tab/>
      </w:r>
      <w:r w:rsidR="00A64CA8" w:rsidRPr="00A52AB8">
        <w:rPr>
          <w:color w:val="000000" w:themeColor="text1"/>
        </w:rPr>
        <w:t>for(</w:t>
      </w:r>
      <w:r w:rsidR="00AE0887" w:rsidRPr="00A52AB8">
        <w:rPr>
          <w:color w:val="000000" w:themeColor="text1"/>
        </w:rPr>
        <w:t> </w:t>
      </w:r>
      <w:r w:rsidR="00A64CA8" w:rsidRPr="00A52AB8">
        <w:rPr>
          <w:color w:val="000000" w:themeColor="text1"/>
        </w:rPr>
        <w:t>y</w:t>
      </w:r>
      <w:r w:rsidR="00D47707" w:rsidRPr="00A52AB8">
        <w:rPr>
          <w:color w:val="000000" w:themeColor="text1"/>
        </w:rPr>
        <w:t> = </w:t>
      </w:r>
      <w:r w:rsidR="00A64CA8" w:rsidRPr="00A52AB8">
        <w:rPr>
          <w:color w:val="000000" w:themeColor="text1"/>
        </w:rPr>
        <w:t>0;</w:t>
      </w:r>
      <w:r w:rsidR="00AE0887" w:rsidRPr="00A52AB8">
        <w:rPr>
          <w:color w:val="000000" w:themeColor="text1"/>
        </w:rPr>
        <w:t> </w:t>
      </w:r>
      <w:r w:rsidR="00A64CA8" w:rsidRPr="00A52AB8">
        <w:rPr>
          <w:color w:val="000000" w:themeColor="text1"/>
        </w:rPr>
        <w:t>y</w:t>
      </w:r>
      <w:r w:rsidR="00AE0887" w:rsidRPr="00A52AB8">
        <w:rPr>
          <w:color w:val="000000" w:themeColor="text1"/>
        </w:rPr>
        <w:t> </w:t>
      </w:r>
      <w:r w:rsidR="00A64CA8" w:rsidRPr="00A52AB8">
        <w:rPr>
          <w:color w:val="000000" w:themeColor="text1"/>
        </w:rPr>
        <w:t>&lt;</w:t>
      </w:r>
      <w:r w:rsidR="00AE0887" w:rsidRPr="00A52AB8">
        <w:rPr>
          <w:color w:val="000000" w:themeColor="text1"/>
        </w:rPr>
        <w:t> </w:t>
      </w:r>
      <w:r w:rsidR="00025A0A" w:rsidRPr="00A52AB8">
        <w:rPr>
          <w:color w:val="000000" w:themeColor="text1"/>
        </w:rPr>
        <w:t>TileB</w:t>
      </w:r>
      <w:r w:rsidR="00C02E52" w:rsidRPr="00A52AB8">
        <w:rPr>
          <w:color w:val="000000" w:themeColor="text1"/>
        </w:rPr>
        <w:t>lockToPatchMapHeight</w:t>
      </w:r>
      <w:r w:rsidR="00025A0A" w:rsidRPr="00A52AB8">
        <w:t>[ </w:t>
      </w:r>
      <w:r w:rsidR="00632FA7" w:rsidRPr="00A52AB8">
        <w:t>tileID</w:t>
      </w:r>
      <w:r w:rsidR="00025A0A" w:rsidRPr="00A52AB8">
        <w:t> ]</w:t>
      </w:r>
      <w:r w:rsidR="00A64CA8" w:rsidRPr="00A52AB8">
        <w:rPr>
          <w:color w:val="000000" w:themeColor="text1"/>
        </w:rPr>
        <w:t>;</w:t>
      </w:r>
      <w:r w:rsidR="00AE0887" w:rsidRPr="00A52AB8">
        <w:rPr>
          <w:color w:val="000000" w:themeColor="text1"/>
        </w:rPr>
        <w:t> </w:t>
      </w:r>
      <w:r w:rsidR="00A64CA8" w:rsidRPr="00A52AB8">
        <w:rPr>
          <w:color w:val="000000" w:themeColor="text1"/>
        </w:rPr>
        <w:t>y</w:t>
      </w:r>
      <w:r w:rsidR="00006CCF" w:rsidRPr="00A52AB8">
        <w:rPr>
          <w:color w:val="000000" w:themeColor="text1"/>
        </w:rPr>
        <w:t>++ )</w:t>
      </w:r>
      <w:r w:rsidR="00670CD2" w:rsidRPr="00A52AB8">
        <w:rPr>
          <w:color w:val="000000" w:themeColor="text1"/>
        </w:rPr>
        <w:br/>
      </w:r>
      <w:r w:rsidR="00A64CA8" w:rsidRPr="00A52AB8">
        <w:rPr>
          <w:color w:val="000000" w:themeColor="text1"/>
        </w:rPr>
        <w:tab/>
      </w:r>
      <w:r w:rsidRPr="00A52AB8">
        <w:rPr>
          <w:color w:val="000000" w:themeColor="text1"/>
        </w:rPr>
        <w:tab/>
      </w:r>
      <w:r w:rsidR="00A64CA8" w:rsidRPr="00A52AB8">
        <w:rPr>
          <w:color w:val="000000" w:themeColor="text1"/>
        </w:rPr>
        <w:t>for(</w:t>
      </w:r>
      <w:r w:rsidR="00AE0887" w:rsidRPr="00A52AB8">
        <w:rPr>
          <w:color w:val="000000" w:themeColor="text1"/>
        </w:rPr>
        <w:t> </w:t>
      </w:r>
      <w:r w:rsidR="00A64CA8" w:rsidRPr="00A52AB8">
        <w:rPr>
          <w:color w:val="000000" w:themeColor="text1"/>
        </w:rPr>
        <w:t>x</w:t>
      </w:r>
      <w:r w:rsidR="00D47707" w:rsidRPr="00A52AB8">
        <w:rPr>
          <w:color w:val="000000" w:themeColor="text1"/>
        </w:rPr>
        <w:t> = </w:t>
      </w:r>
      <w:r w:rsidR="00A64CA8" w:rsidRPr="00A52AB8">
        <w:rPr>
          <w:color w:val="000000" w:themeColor="text1"/>
        </w:rPr>
        <w:t>0;</w:t>
      </w:r>
      <w:r w:rsidR="00AE0887" w:rsidRPr="00A52AB8">
        <w:rPr>
          <w:color w:val="000000" w:themeColor="text1"/>
        </w:rPr>
        <w:t> </w:t>
      </w:r>
      <w:r w:rsidR="00A64CA8" w:rsidRPr="00A52AB8">
        <w:rPr>
          <w:color w:val="000000" w:themeColor="text1"/>
        </w:rPr>
        <w:t>x</w:t>
      </w:r>
      <w:r w:rsidR="00AE0887" w:rsidRPr="00A52AB8">
        <w:rPr>
          <w:color w:val="000000" w:themeColor="text1"/>
        </w:rPr>
        <w:t> </w:t>
      </w:r>
      <w:r w:rsidR="00A64CA8" w:rsidRPr="00A52AB8">
        <w:rPr>
          <w:color w:val="000000" w:themeColor="text1"/>
        </w:rPr>
        <w:t>&lt;</w:t>
      </w:r>
      <w:r w:rsidR="00AE0887" w:rsidRPr="00A52AB8">
        <w:rPr>
          <w:color w:val="000000" w:themeColor="text1"/>
        </w:rPr>
        <w:t> </w:t>
      </w:r>
      <w:r w:rsidR="00350BAC" w:rsidRPr="00A52AB8">
        <w:rPr>
          <w:color w:val="000000" w:themeColor="text1"/>
        </w:rPr>
        <w:t>TileB</w:t>
      </w:r>
      <w:r w:rsidR="00C02E52" w:rsidRPr="00A52AB8">
        <w:rPr>
          <w:color w:val="000000" w:themeColor="text1"/>
        </w:rPr>
        <w:t>lockToPatchMapWidth</w:t>
      </w:r>
      <w:r w:rsidR="00025A0A" w:rsidRPr="00A52AB8">
        <w:t>[ </w:t>
      </w:r>
      <w:r w:rsidR="00632FA7" w:rsidRPr="00A52AB8">
        <w:t>tileID</w:t>
      </w:r>
      <w:r w:rsidR="00025A0A" w:rsidRPr="00A52AB8">
        <w:t> ]</w:t>
      </w:r>
      <w:r w:rsidR="00A64CA8" w:rsidRPr="00A52AB8">
        <w:rPr>
          <w:color w:val="000000" w:themeColor="text1"/>
        </w:rPr>
        <w:t>;</w:t>
      </w:r>
      <w:r w:rsidR="00AE0887" w:rsidRPr="00A52AB8">
        <w:rPr>
          <w:color w:val="000000" w:themeColor="text1"/>
        </w:rPr>
        <w:t> </w:t>
      </w:r>
      <w:r w:rsidR="00A64CA8" w:rsidRPr="00A52AB8">
        <w:rPr>
          <w:color w:val="000000" w:themeColor="text1"/>
        </w:rPr>
        <w:t>x</w:t>
      </w:r>
      <w:r w:rsidR="00006CCF" w:rsidRPr="00A52AB8">
        <w:rPr>
          <w:color w:val="000000" w:themeColor="text1"/>
        </w:rPr>
        <w:t>++ )</w:t>
      </w:r>
      <w:r w:rsidR="00670CD2" w:rsidRPr="00A52AB8">
        <w:rPr>
          <w:color w:val="000000" w:themeColor="text1"/>
        </w:rPr>
        <w:br/>
      </w:r>
      <w:r w:rsidR="00A64CA8" w:rsidRPr="00A52AB8">
        <w:tab/>
      </w:r>
      <w:r w:rsidR="00A64CA8" w:rsidRPr="00A52AB8">
        <w:tab/>
      </w:r>
      <w:r w:rsidRPr="00A52AB8">
        <w:tab/>
      </w:r>
      <w:r w:rsidR="00FD61EF" w:rsidRPr="00A52AB8">
        <w:t>T</w:t>
      </w:r>
      <w:r w:rsidR="00FE261C" w:rsidRPr="00A52AB8">
        <w:t>ile</w:t>
      </w:r>
      <w:r w:rsidR="00A64CA8" w:rsidRPr="00A52AB8">
        <w:t>BlockToPatchMap</w:t>
      </w:r>
      <w:r w:rsidR="005E00DC" w:rsidRPr="00A52AB8">
        <w:t>[ </w:t>
      </w:r>
      <w:r w:rsidR="00632FA7" w:rsidRPr="00A52AB8">
        <w:t>tileID</w:t>
      </w:r>
      <w:r w:rsidR="005E00DC" w:rsidRPr="00A52AB8">
        <w:t> ]</w:t>
      </w:r>
      <w:r w:rsidR="004B7314" w:rsidRPr="00A52AB8">
        <w:t>[ y ][ x ]</w:t>
      </w:r>
      <w:r w:rsidR="00D47707" w:rsidRPr="00A52AB8">
        <w:t> = </w:t>
      </w:r>
      <w:r w:rsidRPr="00A52AB8">
        <w:t>−</w:t>
      </w:r>
      <w:r w:rsidR="00A64CA8" w:rsidRPr="00A52AB8">
        <w:t>1</w:t>
      </w:r>
    </w:p>
    <w:p w14:paraId="045866FA" w14:textId="77777777" w:rsidR="00A64CA8" w:rsidRPr="00A52AB8" w:rsidRDefault="00A64CA8">
      <w:pPr>
        <w:rPr>
          <w:color w:val="000000" w:themeColor="text1"/>
        </w:rPr>
      </w:pPr>
      <w:r w:rsidRPr="00A52AB8">
        <w:rPr>
          <w:color w:val="000000" w:themeColor="text1"/>
        </w:rPr>
        <w:t xml:space="preserve">Then the </w:t>
      </w:r>
      <w:r w:rsidR="0037574B" w:rsidRPr="00A52AB8">
        <w:rPr>
          <w:color w:val="000000" w:themeColor="text1"/>
        </w:rPr>
        <w:t>T</w:t>
      </w:r>
      <w:r w:rsidR="00EC1E1C" w:rsidRPr="00A52AB8">
        <w:rPr>
          <w:color w:val="000000" w:themeColor="text1"/>
        </w:rPr>
        <w:t>ile</w:t>
      </w:r>
      <w:r w:rsidRPr="00A52AB8">
        <w:rPr>
          <w:color w:val="000000" w:themeColor="text1"/>
        </w:rPr>
        <w:t xml:space="preserve">BlockToPatchMap </w:t>
      </w:r>
      <w:r w:rsidR="00570F9E" w:rsidRPr="00A52AB8">
        <w:rPr>
          <w:color w:val="000000" w:themeColor="text1"/>
        </w:rPr>
        <w:t xml:space="preserve">array </w:t>
      </w:r>
      <w:r w:rsidRPr="00A52AB8">
        <w:rPr>
          <w:color w:val="000000" w:themeColor="text1"/>
        </w:rPr>
        <w:t>is updated as follows:</w:t>
      </w:r>
    </w:p>
    <w:p w14:paraId="4E73330D" w14:textId="1BA370D4" w:rsidR="00D838FE" w:rsidRPr="00A52AB8" w:rsidRDefault="00570F9E" w:rsidP="000E68E2">
      <w:pPr>
        <w:spacing w:after="0"/>
        <w:rPr>
          <w:color w:val="000000" w:themeColor="text1"/>
        </w:rPr>
      </w:pPr>
      <w:r w:rsidRPr="00A52AB8">
        <w:rPr>
          <w:color w:val="000000" w:themeColor="text1"/>
        </w:rPr>
        <w:tab/>
      </w:r>
      <w:r w:rsidR="00A64CA8" w:rsidRPr="00A52AB8">
        <w:rPr>
          <w:color w:val="000000" w:themeColor="text1"/>
        </w:rPr>
        <w:t>for(</w:t>
      </w:r>
      <w:r w:rsidR="00684A27" w:rsidRPr="00A52AB8">
        <w:rPr>
          <w:color w:val="000000" w:themeColor="text1"/>
        </w:rPr>
        <w:t> </w:t>
      </w:r>
      <w:r w:rsidR="007B2951" w:rsidRPr="00A52AB8">
        <w:rPr>
          <w:color w:val="000000" w:themeColor="text1"/>
        </w:rPr>
        <w:t>p</w:t>
      </w:r>
      <w:r w:rsidR="00D47707" w:rsidRPr="00A52AB8">
        <w:rPr>
          <w:color w:val="000000" w:themeColor="text1"/>
        </w:rPr>
        <w:t> = </w:t>
      </w:r>
      <w:r w:rsidR="00A64CA8" w:rsidRPr="00A52AB8">
        <w:rPr>
          <w:color w:val="000000" w:themeColor="text1"/>
        </w:rPr>
        <w:t>0;</w:t>
      </w:r>
      <w:r w:rsidR="00684A27" w:rsidRPr="00A52AB8">
        <w:rPr>
          <w:color w:val="000000" w:themeColor="text1"/>
        </w:rPr>
        <w:t> </w:t>
      </w:r>
      <w:r w:rsidR="007B2951" w:rsidRPr="00A52AB8">
        <w:rPr>
          <w:color w:val="000000" w:themeColor="text1"/>
        </w:rPr>
        <w:t>p </w:t>
      </w:r>
      <w:r w:rsidR="00A64CA8" w:rsidRPr="00A52AB8">
        <w:rPr>
          <w:color w:val="000000" w:themeColor="text1"/>
        </w:rPr>
        <w:t>&lt;</w:t>
      </w:r>
      <w:r w:rsidR="00684A27" w:rsidRPr="00A52AB8">
        <w:rPr>
          <w:color w:val="000000" w:themeColor="text1"/>
        </w:rPr>
        <w:t> </w:t>
      </w:r>
      <w:r w:rsidR="002C3ED1" w:rsidRPr="00A52AB8">
        <w:rPr>
          <w:color w:val="000000" w:themeColor="text1"/>
        </w:rPr>
        <w:t>Atdu</w:t>
      </w:r>
      <w:r w:rsidR="00D12C68" w:rsidRPr="00A52AB8">
        <w:rPr>
          <w:color w:val="000000" w:themeColor="text1"/>
        </w:rPr>
        <w:t>TotalNum</w:t>
      </w:r>
      <w:r w:rsidR="002C3ED1" w:rsidRPr="00A52AB8">
        <w:rPr>
          <w:color w:val="000000" w:themeColor="text1"/>
        </w:rPr>
        <w:t>Patches</w:t>
      </w:r>
      <w:r w:rsidR="00FC1A53" w:rsidRPr="00A52AB8">
        <w:rPr>
          <w:lang w:eastAsia="ja-JP"/>
        </w:rPr>
        <w:t>[</w:t>
      </w:r>
      <w:r w:rsidR="00FC1A53" w:rsidRPr="00A52AB8">
        <w:rPr>
          <w:b/>
          <w:lang w:eastAsia="ja-JP"/>
        </w:rPr>
        <w:t> </w:t>
      </w:r>
      <w:r w:rsidR="00632FA7" w:rsidRPr="00A52AB8">
        <w:rPr>
          <w:color w:val="000000" w:themeColor="text1"/>
        </w:rPr>
        <w:t>tileID</w:t>
      </w:r>
      <w:r w:rsidR="00FC1A53" w:rsidRPr="00A52AB8">
        <w:rPr>
          <w:color w:val="000000" w:themeColor="text1"/>
        </w:rPr>
        <w:t> ]</w:t>
      </w:r>
      <w:r w:rsidR="00A64CA8" w:rsidRPr="00A52AB8">
        <w:rPr>
          <w:color w:val="000000" w:themeColor="text1"/>
        </w:rPr>
        <w:t>;</w:t>
      </w:r>
      <w:r w:rsidR="00684A27" w:rsidRPr="00A52AB8">
        <w:rPr>
          <w:color w:val="000000" w:themeColor="text1"/>
        </w:rPr>
        <w:t> </w:t>
      </w:r>
      <w:r w:rsidR="007B2951" w:rsidRPr="00A52AB8">
        <w:rPr>
          <w:color w:val="000000" w:themeColor="text1"/>
        </w:rPr>
        <w:t>p</w:t>
      </w:r>
      <w:r w:rsidR="00006CCF" w:rsidRPr="00A52AB8">
        <w:rPr>
          <w:color w:val="000000" w:themeColor="text1"/>
        </w:rPr>
        <w:t>++ </w:t>
      </w:r>
      <w:r w:rsidR="008F1F82" w:rsidRPr="00A52AB8">
        <w:rPr>
          <w:color w:val="000000" w:themeColor="text1"/>
        </w:rPr>
        <w:t>) {</w:t>
      </w:r>
      <w:r w:rsidR="000E68E2" w:rsidRPr="00A52AB8">
        <w:rPr>
          <w:color w:val="000000" w:themeColor="text1"/>
        </w:rPr>
        <w:br/>
      </w:r>
      <w:r w:rsidR="00FD0B16" w:rsidRPr="00A52AB8">
        <w:rPr>
          <w:color w:val="000000" w:themeColor="text1"/>
        </w:rPr>
        <w:tab/>
      </w:r>
      <w:r w:rsidR="00FD0B16" w:rsidRPr="00A52AB8">
        <w:rPr>
          <w:color w:val="000000" w:themeColor="text1"/>
        </w:rPr>
        <w:tab/>
      </w:r>
      <w:r w:rsidR="00513161" w:rsidRPr="00A52AB8">
        <w:rPr>
          <w:color w:val="000000" w:themeColor="text1"/>
        </w:rPr>
        <w:t>patchType</w:t>
      </w:r>
      <w:r w:rsidR="00D47707" w:rsidRPr="00A52AB8">
        <w:rPr>
          <w:color w:val="000000" w:themeColor="text1"/>
        </w:rPr>
        <w:t> = </w:t>
      </w:r>
      <w:r w:rsidR="00513161" w:rsidRPr="00A52AB8">
        <w:rPr>
          <w:lang w:eastAsia="ja-JP"/>
        </w:rPr>
        <w:t>TilePatchType[</w:t>
      </w:r>
      <w:r w:rsidR="00513161" w:rsidRPr="00A52AB8">
        <w:rPr>
          <w:b/>
          <w:lang w:eastAsia="ja-JP"/>
        </w:rPr>
        <w:t> </w:t>
      </w:r>
      <w:r w:rsidR="00513161" w:rsidRPr="00A52AB8">
        <w:rPr>
          <w:color w:val="000000" w:themeColor="text1"/>
        </w:rPr>
        <w:t>tileID ][ p ]</w:t>
      </w:r>
      <w:r w:rsidR="00513161" w:rsidRPr="00A52AB8">
        <w:rPr>
          <w:color w:val="000000" w:themeColor="text1"/>
        </w:rPr>
        <w:br/>
      </w:r>
      <w:r w:rsidR="00513161" w:rsidRPr="00A52AB8">
        <w:rPr>
          <w:color w:val="000000" w:themeColor="text1"/>
        </w:rPr>
        <w:tab/>
      </w:r>
      <w:r w:rsidR="00513161" w:rsidRPr="00A52AB8">
        <w:rPr>
          <w:color w:val="000000" w:themeColor="text1"/>
        </w:rPr>
        <w:tab/>
        <w:t>if(</w:t>
      </w:r>
      <w:r w:rsidR="00513161" w:rsidRPr="00A52AB8">
        <w:t> </w:t>
      </w:r>
      <w:r w:rsidR="00513161" w:rsidRPr="00A52AB8">
        <w:rPr>
          <w:color w:val="000000" w:themeColor="text1"/>
        </w:rPr>
        <w:t>patchType</w:t>
      </w:r>
      <w:r w:rsidR="008768E9" w:rsidRPr="00A52AB8">
        <w:rPr>
          <w:color w:val="000000" w:themeColor="text1"/>
        </w:rPr>
        <w:t> </w:t>
      </w:r>
      <w:r w:rsidR="00726AAE" w:rsidRPr="00A52AB8">
        <w:rPr>
          <w:color w:val="000000" w:themeColor="text1"/>
        </w:rPr>
        <w:t>==</w:t>
      </w:r>
      <w:r w:rsidR="00D47707" w:rsidRPr="00A52AB8">
        <w:rPr>
          <w:color w:val="000000" w:themeColor="text1"/>
        </w:rPr>
        <w:t> </w:t>
      </w:r>
      <w:r w:rsidR="00513161" w:rsidRPr="00A52AB8">
        <w:rPr>
          <w:color w:val="000000" w:themeColor="text1"/>
        </w:rPr>
        <w:t>PROJECTED </w:t>
      </w:r>
      <w:r w:rsidR="008F1F82" w:rsidRPr="00A52AB8">
        <w:rPr>
          <w:color w:val="000000" w:themeColor="text1"/>
        </w:rPr>
        <w:t>) {</w:t>
      </w:r>
      <w:r w:rsidR="000E68E2" w:rsidRPr="00A52AB8">
        <w:rPr>
          <w:color w:val="000000" w:themeColor="text1"/>
        </w:rPr>
        <w:br/>
      </w:r>
      <w:r w:rsidR="00A64CA8" w:rsidRPr="00A52AB8">
        <w:rPr>
          <w:color w:val="000000" w:themeColor="text1"/>
        </w:rPr>
        <w:tab/>
      </w:r>
      <w:r w:rsidRPr="00A52AB8">
        <w:rPr>
          <w:color w:val="000000" w:themeColor="text1"/>
        </w:rPr>
        <w:tab/>
      </w:r>
      <w:r w:rsidR="00575E9A" w:rsidRPr="00A52AB8">
        <w:rPr>
          <w:color w:val="000000" w:themeColor="text1"/>
        </w:rPr>
        <w:tab/>
      </w:r>
      <w:r w:rsidR="00575E9A" w:rsidRPr="00A52AB8">
        <w:rPr>
          <w:color w:val="000000" w:themeColor="text1"/>
        </w:rPr>
        <w:tab/>
      </w:r>
      <w:r w:rsidR="00A64CA8" w:rsidRPr="00A52AB8">
        <w:rPr>
          <w:color w:val="000000" w:themeColor="text1"/>
        </w:rPr>
        <w:t>xOrg</w:t>
      </w:r>
      <w:r w:rsidR="00D47707" w:rsidRPr="00A52AB8">
        <w:rPr>
          <w:color w:val="000000" w:themeColor="text1"/>
        </w:rPr>
        <w:t> = </w:t>
      </w:r>
      <w:r w:rsidR="00872556" w:rsidRPr="00A52AB8">
        <w:rPr>
          <w:lang w:eastAsia="ja-JP"/>
        </w:rPr>
        <w:t>Tile</w:t>
      </w:r>
      <w:r w:rsidR="00A64CA8" w:rsidRPr="00A52AB8">
        <w:rPr>
          <w:color w:val="000000" w:themeColor="text1"/>
        </w:rPr>
        <w:t>Patch2d</w:t>
      </w:r>
      <w:r w:rsidR="00627BE0" w:rsidRPr="00A52AB8">
        <w:rPr>
          <w:color w:val="000000" w:themeColor="text1"/>
        </w:rPr>
        <w:t>Pos</w:t>
      </w:r>
      <w:r w:rsidR="00CA4F41" w:rsidRPr="00A52AB8">
        <w:rPr>
          <w:color w:val="000000" w:themeColor="text1"/>
        </w:rPr>
        <w:t>X</w:t>
      </w:r>
      <w:r w:rsidR="00FC1A53" w:rsidRPr="00A52AB8">
        <w:rPr>
          <w:lang w:eastAsia="ja-JP"/>
        </w:rPr>
        <w:t>[</w:t>
      </w:r>
      <w:r w:rsidR="00FC1A53" w:rsidRPr="00A52AB8">
        <w:rPr>
          <w:b/>
          <w:lang w:eastAsia="ja-JP"/>
        </w:rPr>
        <w:t> </w:t>
      </w:r>
      <w:r w:rsidR="00632FA7" w:rsidRPr="00A52AB8">
        <w:rPr>
          <w:color w:val="000000" w:themeColor="text1"/>
        </w:rPr>
        <w:t>tileID</w:t>
      </w:r>
      <w:r w:rsidR="00FC1A53" w:rsidRPr="00A52AB8">
        <w:rPr>
          <w:color w:val="000000" w:themeColor="text1"/>
        </w:rPr>
        <w:t> ]</w:t>
      </w:r>
      <w:r w:rsidR="001F3C1E" w:rsidRPr="00A52AB8">
        <w:rPr>
          <w:color w:val="000000" w:themeColor="text1"/>
        </w:rPr>
        <w:t>[ </w:t>
      </w:r>
      <w:r w:rsidR="007B2951" w:rsidRPr="00A52AB8">
        <w:rPr>
          <w:color w:val="000000" w:themeColor="text1"/>
        </w:rPr>
        <w:t>p </w:t>
      </w:r>
      <w:r w:rsidR="001F3C1E" w:rsidRPr="00A52AB8">
        <w:rPr>
          <w:color w:val="000000" w:themeColor="text1"/>
        </w:rPr>
        <w:t>]</w:t>
      </w:r>
      <w:r w:rsidR="00A64CA8" w:rsidRPr="00A52AB8">
        <w:rPr>
          <w:color w:val="000000" w:themeColor="text1"/>
        </w:rPr>
        <w:t> /</w:t>
      </w:r>
      <w:r w:rsidR="00684A27" w:rsidRPr="00A52AB8">
        <w:rPr>
          <w:color w:val="000000" w:themeColor="text1"/>
        </w:rPr>
        <w:t> </w:t>
      </w:r>
      <w:r w:rsidR="00DE5D50" w:rsidRPr="00A52AB8">
        <w:rPr>
          <w:color w:val="000000" w:themeColor="text1"/>
        </w:rPr>
        <w:t>PatchPackingBlockSize</w:t>
      </w:r>
      <w:r w:rsidR="000E68E2" w:rsidRPr="00A52AB8">
        <w:rPr>
          <w:color w:val="000000" w:themeColor="text1"/>
        </w:rPr>
        <w:br/>
      </w:r>
      <w:r w:rsidR="00A64CA8" w:rsidRPr="00A52AB8">
        <w:rPr>
          <w:color w:val="000000" w:themeColor="text1"/>
        </w:rPr>
        <w:tab/>
      </w:r>
      <w:r w:rsidRPr="00A52AB8">
        <w:rPr>
          <w:color w:val="000000" w:themeColor="text1"/>
        </w:rPr>
        <w:tab/>
      </w:r>
      <w:r w:rsidR="00575E9A" w:rsidRPr="00A52AB8">
        <w:rPr>
          <w:color w:val="000000" w:themeColor="text1"/>
        </w:rPr>
        <w:tab/>
      </w:r>
      <w:r w:rsidR="00575E9A" w:rsidRPr="00A52AB8">
        <w:rPr>
          <w:color w:val="000000" w:themeColor="text1"/>
        </w:rPr>
        <w:tab/>
      </w:r>
      <w:r w:rsidR="00A64CA8" w:rsidRPr="00A52AB8">
        <w:rPr>
          <w:color w:val="000000" w:themeColor="text1"/>
        </w:rPr>
        <w:t>yOrg</w:t>
      </w:r>
      <w:r w:rsidR="00D47707" w:rsidRPr="00A52AB8">
        <w:rPr>
          <w:color w:val="000000" w:themeColor="text1"/>
        </w:rPr>
        <w:t> = </w:t>
      </w:r>
      <w:r w:rsidR="00872556" w:rsidRPr="00A52AB8">
        <w:rPr>
          <w:lang w:eastAsia="ja-JP"/>
        </w:rPr>
        <w:t>Tile</w:t>
      </w:r>
      <w:r w:rsidR="00A64CA8" w:rsidRPr="00A52AB8">
        <w:rPr>
          <w:color w:val="000000" w:themeColor="text1"/>
        </w:rPr>
        <w:t>Patch2d</w:t>
      </w:r>
      <w:r w:rsidR="00627BE0" w:rsidRPr="00A52AB8">
        <w:rPr>
          <w:color w:val="000000" w:themeColor="text1"/>
        </w:rPr>
        <w:t>Pos</w:t>
      </w:r>
      <w:r w:rsidR="00CA4F41" w:rsidRPr="00A52AB8">
        <w:rPr>
          <w:color w:val="000000" w:themeColor="text1"/>
        </w:rPr>
        <w:t>Y</w:t>
      </w:r>
      <w:r w:rsidR="00FC1A53" w:rsidRPr="00A52AB8">
        <w:rPr>
          <w:lang w:eastAsia="ja-JP"/>
        </w:rPr>
        <w:t>[</w:t>
      </w:r>
      <w:r w:rsidR="00FC1A53" w:rsidRPr="00A52AB8">
        <w:rPr>
          <w:b/>
          <w:lang w:eastAsia="ja-JP"/>
        </w:rPr>
        <w:t> </w:t>
      </w:r>
      <w:r w:rsidR="00632FA7" w:rsidRPr="00A52AB8">
        <w:rPr>
          <w:color w:val="000000" w:themeColor="text1"/>
        </w:rPr>
        <w:t>tileID</w:t>
      </w:r>
      <w:r w:rsidR="00FC1A53" w:rsidRPr="00A52AB8">
        <w:rPr>
          <w:color w:val="000000" w:themeColor="text1"/>
        </w:rPr>
        <w:t> ]</w:t>
      </w:r>
      <w:r w:rsidR="001F3C1E" w:rsidRPr="00A52AB8">
        <w:rPr>
          <w:color w:val="000000" w:themeColor="text1"/>
        </w:rPr>
        <w:t>[ </w:t>
      </w:r>
      <w:r w:rsidR="007B2951" w:rsidRPr="00A52AB8">
        <w:rPr>
          <w:color w:val="000000" w:themeColor="text1"/>
        </w:rPr>
        <w:t>p </w:t>
      </w:r>
      <w:r w:rsidR="001F3C1E" w:rsidRPr="00A52AB8">
        <w:rPr>
          <w:color w:val="000000" w:themeColor="text1"/>
        </w:rPr>
        <w:t>]</w:t>
      </w:r>
      <w:r w:rsidR="00A64CA8" w:rsidRPr="00A52AB8">
        <w:rPr>
          <w:color w:val="000000" w:themeColor="text1"/>
        </w:rPr>
        <w:t> /</w:t>
      </w:r>
      <w:r w:rsidR="00684A27" w:rsidRPr="00A52AB8">
        <w:rPr>
          <w:color w:val="000000" w:themeColor="text1"/>
        </w:rPr>
        <w:t> </w:t>
      </w:r>
      <w:r w:rsidR="00DE5D50" w:rsidRPr="00A52AB8">
        <w:rPr>
          <w:color w:val="000000" w:themeColor="text1"/>
        </w:rPr>
        <w:t>PatchPackingBlockSize</w:t>
      </w:r>
    </w:p>
    <w:p w14:paraId="347A5656" w14:textId="6C2EE13C" w:rsidR="00862FB9" w:rsidRPr="00A52AB8" w:rsidRDefault="00D838FE" w:rsidP="000E68E2">
      <w:pPr>
        <w:spacing w:after="0"/>
        <w:rPr>
          <w:color w:val="000000" w:themeColor="text1"/>
        </w:rPr>
      </w:pP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t>tilePatchWidthBlk</w:t>
      </w:r>
      <w:r w:rsidR="00D47707" w:rsidRPr="00A52AB8">
        <w:rPr>
          <w:color w:val="000000" w:themeColor="text1"/>
        </w:rPr>
        <w:t> = </w:t>
      </w:r>
      <w:r w:rsidRPr="00A52AB8">
        <w:rPr>
          <w:lang w:eastAsia="ja-JP"/>
        </w:rPr>
        <w:t>Tile</w:t>
      </w:r>
      <w:r w:rsidRPr="00A52AB8">
        <w:rPr>
          <w:color w:val="000000" w:themeColor="text1"/>
        </w:rPr>
        <w:t>Patch2dSizeX</w:t>
      </w:r>
      <w:r w:rsidRPr="00A52AB8">
        <w:rPr>
          <w:lang w:eastAsia="ja-JP"/>
        </w:rPr>
        <w:t>[</w:t>
      </w:r>
      <w:r w:rsidRPr="00A52AB8">
        <w:rPr>
          <w:b/>
          <w:lang w:eastAsia="ja-JP"/>
        </w:rPr>
        <w:t> </w:t>
      </w:r>
      <w:r w:rsidRPr="00A52AB8">
        <w:rPr>
          <w:color w:val="000000" w:themeColor="text1"/>
        </w:rPr>
        <w:t>tileID ][ p ] / PatchPackingBlockSize</w:t>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t>tilePatchHeightBlk</w:t>
      </w:r>
      <w:r w:rsidR="00D47707" w:rsidRPr="00A52AB8">
        <w:rPr>
          <w:color w:val="000000" w:themeColor="text1"/>
        </w:rPr>
        <w:t> = </w:t>
      </w:r>
      <w:r w:rsidRPr="00A52AB8">
        <w:rPr>
          <w:lang w:eastAsia="ja-JP"/>
        </w:rPr>
        <w:t>Tile</w:t>
      </w:r>
      <w:r w:rsidRPr="00A52AB8">
        <w:rPr>
          <w:color w:val="000000" w:themeColor="text1"/>
        </w:rPr>
        <w:t>Patch2dSizeY</w:t>
      </w:r>
      <w:r w:rsidRPr="00A52AB8">
        <w:rPr>
          <w:lang w:eastAsia="ja-JP"/>
        </w:rPr>
        <w:t>[</w:t>
      </w:r>
      <w:r w:rsidRPr="00A52AB8">
        <w:rPr>
          <w:b/>
          <w:lang w:eastAsia="ja-JP"/>
        </w:rPr>
        <w:t> </w:t>
      </w:r>
      <w:r w:rsidRPr="00A52AB8">
        <w:rPr>
          <w:color w:val="000000" w:themeColor="text1"/>
        </w:rPr>
        <w:t>tileID ][ p ] / PatchPackingBlockSize</w:t>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t>for( y</w:t>
      </w:r>
      <w:r w:rsidR="00D47707" w:rsidRPr="00A52AB8">
        <w:rPr>
          <w:color w:val="000000" w:themeColor="text1"/>
        </w:rPr>
        <w:t> = </w:t>
      </w:r>
      <w:r w:rsidRPr="00A52AB8">
        <w:rPr>
          <w:color w:val="000000" w:themeColor="text1"/>
        </w:rPr>
        <w:t>0; y &lt; tilePatchHeightBlk ; y++)</w:t>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t>for( x</w:t>
      </w:r>
      <w:r w:rsidR="00D47707" w:rsidRPr="00A52AB8">
        <w:rPr>
          <w:color w:val="000000" w:themeColor="text1"/>
        </w:rPr>
        <w:t> = </w:t>
      </w:r>
      <w:r w:rsidRPr="00A52AB8">
        <w:rPr>
          <w:color w:val="000000" w:themeColor="text1"/>
        </w:rPr>
        <w:t>0; x &lt; tilePatchWidthBlk; x</w:t>
      </w:r>
      <w:r w:rsidR="00006CCF" w:rsidRPr="00A52AB8">
        <w:rPr>
          <w:color w:val="000000" w:themeColor="text1"/>
        </w:rPr>
        <w:t>++ </w:t>
      </w:r>
      <w:r w:rsidR="008F1F82" w:rsidRPr="00A52AB8">
        <w:rPr>
          <w:color w:val="000000" w:themeColor="text1"/>
        </w:rPr>
        <w:t>) {</w:t>
      </w:r>
    </w:p>
    <w:p w14:paraId="544EE833" w14:textId="6DF0CA90" w:rsidR="00266306" w:rsidRPr="00A52AB8" w:rsidRDefault="00A766E6" w:rsidP="00266306">
      <w:pPr>
        <w:spacing w:after="0"/>
        <w:rPr>
          <w:color w:val="000000" w:themeColor="text1"/>
        </w:rPr>
      </w:pP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t>if(( </w:t>
      </w:r>
      <w:r w:rsidR="007D27A5" w:rsidRPr="00A52AB8">
        <w:rPr>
          <w:color w:val="000000" w:themeColor="text1"/>
        </w:rPr>
        <w:t>a</w:t>
      </w:r>
      <w:r w:rsidRPr="00A52AB8">
        <w:rPr>
          <w:color w:val="000000" w:themeColor="text1"/>
        </w:rPr>
        <w:t>sps_patch_precedence_</w:t>
      </w:r>
      <w:r w:rsidR="00EA70E7" w:rsidRPr="00A52AB8">
        <w:rPr>
          <w:color w:val="000000" w:themeColor="text1"/>
        </w:rPr>
        <w:t>order_</w:t>
      </w:r>
      <w:r w:rsidRPr="00A52AB8">
        <w:rPr>
          <w:color w:val="000000" w:themeColor="text1"/>
        </w:rPr>
        <w:t>flag</w:t>
      </w:r>
      <w:r w:rsidR="008768E9" w:rsidRPr="00A52AB8">
        <w:rPr>
          <w:color w:val="000000" w:themeColor="text1"/>
        </w:rPr>
        <w:t> </w:t>
      </w:r>
      <w:r w:rsidR="00726AAE" w:rsidRPr="00A52AB8">
        <w:rPr>
          <w:color w:val="000000" w:themeColor="text1"/>
        </w:rPr>
        <w:t>==</w:t>
      </w:r>
      <w:r w:rsidR="00D47707" w:rsidRPr="00A52AB8">
        <w:rPr>
          <w:color w:val="000000" w:themeColor="text1"/>
        </w:rPr>
        <w:t> </w:t>
      </w:r>
      <w:r w:rsidRPr="00A52AB8">
        <w:rPr>
          <w:color w:val="000000" w:themeColor="text1"/>
        </w:rPr>
        <w:t>0 ) </w:t>
      </w:r>
      <w:r w:rsidR="008768E9" w:rsidRPr="00A52AB8">
        <w:rPr>
          <w:color w:val="000000" w:themeColor="text1"/>
        </w:rPr>
        <w:t>||</w:t>
      </w:r>
      <w:r w:rsidR="008F6EB2"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t>( </w:t>
      </w:r>
      <w:r w:rsidR="004475F2" w:rsidRPr="00A52AB8">
        <w:rPr>
          <w:color w:val="000000" w:themeColor="text1"/>
        </w:rPr>
        <w:t>T</w:t>
      </w:r>
      <w:r w:rsidR="007E11A5" w:rsidRPr="00A52AB8">
        <w:rPr>
          <w:color w:val="000000" w:themeColor="text1"/>
        </w:rPr>
        <w:t>ile</w:t>
      </w:r>
      <w:r w:rsidRPr="00A52AB8">
        <w:rPr>
          <w:color w:val="000000" w:themeColor="text1"/>
        </w:rPr>
        <w:t>BlockToPatchMap</w:t>
      </w:r>
      <w:r w:rsidR="00DA7473" w:rsidRPr="00A52AB8">
        <w:t>[ </w:t>
      </w:r>
      <w:r w:rsidR="00632FA7" w:rsidRPr="00A52AB8">
        <w:t>tileID</w:t>
      </w:r>
      <w:r w:rsidR="00DA7473" w:rsidRPr="00A52AB8">
        <w:t> ]</w:t>
      </w:r>
      <w:r w:rsidRPr="00A52AB8">
        <w:rPr>
          <w:color w:val="000000" w:themeColor="text1"/>
        </w:rPr>
        <w:t>[</w:t>
      </w:r>
      <w:r w:rsidR="005F267C" w:rsidRPr="00A52AB8">
        <w:rPr>
          <w:color w:val="000000" w:themeColor="text1"/>
        </w:rPr>
        <w:t> </w:t>
      </w:r>
      <w:r w:rsidRPr="00A52AB8">
        <w:rPr>
          <w:color w:val="000000" w:themeColor="text1"/>
        </w:rPr>
        <w:t>yOrg</w:t>
      </w:r>
      <w:r w:rsidR="005F267C" w:rsidRPr="00A52AB8">
        <w:rPr>
          <w:color w:val="000000" w:themeColor="text1"/>
        </w:rPr>
        <w:t> </w:t>
      </w:r>
      <w:r w:rsidRPr="00A52AB8">
        <w:rPr>
          <w:color w:val="000000" w:themeColor="text1"/>
        </w:rPr>
        <w:t>+</w:t>
      </w:r>
      <w:r w:rsidR="005F267C" w:rsidRPr="00A52AB8">
        <w:rPr>
          <w:color w:val="000000" w:themeColor="text1"/>
        </w:rPr>
        <w:t> </w:t>
      </w:r>
      <w:r w:rsidRPr="00A52AB8">
        <w:rPr>
          <w:color w:val="000000" w:themeColor="text1"/>
        </w:rPr>
        <w:t>y</w:t>
      </w:r>
      <w:r w:rsidR="005F267C" w:rsidRPr="00A52AB8">
        <w:rPr>
          <w:color w:val="000000" w:themeColor="text1"/>
        </w:rPr>
        <w:t> </w:t>
      </w:r>
      <w:r w:rsidRPr="00A52AB8">
        <w:rPr>
          <w:color w:val="000000" w:themeColor="text1"/>
        </w:rPr>
        <w:t>][</w:t>
      </w:r>
      <w:r w:rsidR="005F267C" w:rsidRPr="00A52AB8">
        <w:rPr>
          <w:color w:val="000000" w:themeColor="text1"/>
        </w:rPr>
        <w:t> </w:t>
      </w:r>
      <w:r w:rsidRPr="00A52AB8">
        <w:rPr>
          <w:color w:val="000000" w:themeColor="text1"/>
        </w:rPr>
        <w:t>xOrg</w:t>
      </w:r>
      <w:r w:rsidR="005F267C" w:rsidRPr="00A52AB8">
        <w:rPr>
          <w:color w:val="000000" w:themeColor="text1"/>
        </w:rPr>
        <w:t> </w:t>
      </w:r>
      <w:r w:rsidRPr="00A52AB8">
        <w:rPr>
          <w:color w:val="000000" w:themeColor="text1"/>
        </w:rPr>
        <w:t>+</w:t>
      </w:r>
      <w:r w:rsidR="005F267C" w:rsidRPr="00A52AB8">
        <w:rPr>
          <w:color w:val="000000" w:themeColor="text1"/>
        </w:rPr>
        <w:t> </w:t>
      </w:r>
      <w:r w:rsidRPr="00A52AB8">
        <w:rPr>
          <w:color w:val="000000" w:themeColor="text1"/>
        </w:rPr>
        <w:t>x</w:t>
      </w:r>
      <w:r w:rsidR="005F267C" w:rsidRPr="00A52AB8">
        <w:rPr>
          <w:color w:val="000000" w:themeColor="text1"/>
        </w:rPr>
        <w:t> </w:t>
      </w:r>
      <w:r w:rsidRPr="00A52AB8">
        <w:rPr>
          <w:color w:val="000000" w:themeColor="text1"/>
        </w:rPr>
        <w:t>]</w:t>
      </w:r>
      <w:r w:rsidR="008768E9" w:rsidRPr="00A52AB8">
        <w:rPr>
          <w:color w:val="000000" w:themeColor="text1"/>
        </w:rPr>
        <w:t> </w:t>
      </w:r>
      <w:r w:rsidR="00726AAE" w:rsidRPr="00A52AB8">
        <w:rPr>
          <w:color w:val="000000" w:themeColor="text1"/>
        </w:rPr>
        <w:t>==</w:t>
      </w:r>
      <w:r w:rsidR="00D47707" w:rsidRPr="00A52AB8">
        <w:rPr>
          <w:color w:val="000000" w:themeColor="text1"/>
        </w:rPr>
        <w:t> </w:t>
      </w:r>
      <w:r w:rsidRPr="00A52AB8">
        <w:rPr>
          <w:color w:val="000000" w:themeColor="text1"/>
        </w:rPr>
        <w:t>−1</w:t>
      </w:r>
      <w:r w:rsidR="0036136F" w:rsidRPr="00A52AB8">
        <w:rPr>
          <w:color w:val="000000" w:themeColor="text1"/>
        </w:rPr>
        <w:t> </w:t>
      </w:r>
      <w:r w:rsidRPr="00A52AB8">
        <w:rPr>
          <w:color w:val="000000" w:themeColor="text1"/>
        </w:rPr>
        <w:t>)</w:t>
      </w:r>
      <w:r w:rsidR="0036136F" w:rsidRPr="00A52AB8">
        <w:rPr>
          <w:color w:val="000000" w:themeColor="text1"/>
        </w:rPr>
        <w:t> </w:t>
      </w:r>
      <w:r w:rsidRPr="00A52AB8">
        <w:rPr>
          <w:color w:val="000000" w:themeColor="text1"/>
        </w:rPr>
        <w:t>)</w:t>
      </w:r>
      <w:r w:rsidR="00364B64" w:rsidRPr="00A52AB8">
        <w:rPr>
          <w:color w:val="000000" w:themeColor="text1"/>
        </w:rPr>
        <w:br/>
      </w:r>
      <w:r w:rsidR="00364B64" w:rsidRPr="00A52AB8">
        <w:rPr>
          <w:color w:val="000000" w:themeColor="text1"/>
        </w:rPr>
        <w:tab/>
      </w:r>
      <w:r w:rsidR="00364B64" w:rsidRPr="00A52AB8">
        <w:rPr>
          <w:color w:val="000000" w:themeColor="text1"/>
        </w:rPr>
        <w:tab/>
      </w:r>
      <w:r w:rsidR="00364B64" w:rsidRPr="00A52AB8">
        <w:rPr>
          <w:color w:val="000000" w:themeColor="text1"/>
        </w:rPr>
        <w:tab/>
      </w:r>
      <w:r w:rsidR="00364B64" w:rsidRPr="00A52AB8">
        <w:rPr>
          <w:color w:val="000000" w:themeColor="text1"/>
        </w:rPr>
        <w:tab/>
      </w:r>
      <w:r w:rsidR="00364B64" w:rsidRPr="00A52AB8">
        <w:rPr>
          <w:color w:val="000000" w:themeColor="text1"/>
        </w:rPr>
        <w:tab/>
      </w:r>
      <w:r w:rsidR="00364B64" w:rsidRPr="00A52AB8">
        <w:rPr>
          <w:color w:val="000000" w:themeColor="text1"/>
        </w:rPr>
        <w:tab/>
      </w:r>
      <w:r w:rsidR="00364B64" w:rsidRPr="00A52AB8">
        <w:rPr>
          <w:color w:val="000000" w:themeColor="text1"/>
        </w:rPr>
        <w:tab/>
      </w:r>
      <w:r w:rsidR="00364B64" w:rsidRPr="00A52AB8">
        <w:rPr>
          <w:color w:val="000000" w:themeColor="text1"/>
        </w:rPr>
        <w:tab/>
      </w:r>
      <w:r w:rsidR="004475F2" w:rsidRPr="00A52AB8">
        <w:t>T</w:t>
      </w:r>
      <w:r w:rsidR="007E11A5" w:rsidRPr="00A52AB8">
        <w:t>ile</w:t>
      </w:r>
      <w:r w:rsidR="00A64CA8" w:rsidRPr="00A52AB8">
        <w:t>BlockToPatchMap</w:t>
      </w:r>
      <w:r w:rsidR="00DA7473" w:rsidRPr="00A52AB8">
        <w:t>[ </w:t>
      </w:r>
      <w:r w:rsidR="00632FA7" w:rsidRPr="00A52AB8">
        <w:t>tileID</w:t>
      </w:r>
      <w:r w:rsidR="00DA7473" w:rsidRPr="00A52AB8">
        <w:t> ]</w:t>
      </w:r>
      <w:r w:rsidR="00A64CA8" w:rsidRPr="00A52AB8">
        <w:t>[</w:t>
      </w:r>
      <w:r w:rsidR="00684A27" w:rsidRPr="00A52AB8">
        <w:t> </w:t>
      </w:r>
      <w:r w:rsidR="00A64CA8" w:rsidRPr="00A52AB8">
        <w:t>yOrg</w:t>
      </w:r>
      <w:r w:rsidR="00684A27" w:rsidRPr="00A52AB8">
        <w:t> </w:t>
      </w:r>
      <w:r w:rsidR="00A64CA8" w:rsidRPr="00A52AB8">
        <w:t>+</w:t>
      </w:r>
      <w:r w:rsidR="00684A27" w:rsidRPr="00A52AB8">
        <w:t> </w:t>
      </w:r>
      <w:r w:rsidR="00A64CA8" w:rsidRPr="00A52AB8">
        <w:t>y</w:t>
      </w:r>
      <w:r w:rsidR="00684A27" w:rsidRPr="00A52AB8">
        <w:t> </w:t>
      </w:r>
      <w:r w:rsidR="00A64CA8" w:rsidRPr="00A52AB8">
        <w:t>][</w:t>
      </w:r>
      <w:r w:rsidR="00684A27" w:rsidRPr="00A52AB8">
        <w:t> </w:t>
      </w:r>
      <w:r w:rsidR="00A64CA8" w:rsidRPr="00A52AB8">
        <w:t>xOrg + x</w:t>
      </w:r>
      <w:r w:rsidR="00684A27" w:rsidRPr="00A52AB8">
        <w:t> </w:t>
      </w:r>
      <w:r w:rsidR="00A64CA8" w:rsidRPr="00A52AB8">
        <w:t>]</w:t>
      </w:r>
      <w:r w:rsidR="00D47707" w:rsidRPr="00A52AB8">
        <w:t> = </w:t>
      </w:r>
      <w:r w:rsidR="007B2951" w:rsidRPr="00A52AB8">
        <w:t>p</w:t>
      </w:r>
      <w:r w:rsidR="000E68E2" w:rsidRPr="00A52AB8">
        <w:br/>
      </w:r>
      <w:r w:rsidR="00575E9A" w:rsidRPr="00A52AB8">
        <w:rPr>
          <w:color w:val="000000" w:themeColor="text1"/>
        </w:rPr>
        <w:tab/>
      </w:r>
      <w:r w:rsidR="00575E9A" w:rsidRPr="00A52AB8">
        <w:rPr>
          <w:color w:val="000000" w:themeColor="text1"/>
        </w:rPr>
        <w:tab/>
      </w:r>
      <w:r w:rsidR="00575E9A" w:rsidRPr="00A52AB8">
        <w:rPr>
          <w:color w:val="000000" w:themeColor="text1"/>
        </w:rPr>
        <w:tab/>
      </w:r>
      <w:r w:rsidR="00575E9A" w:rsidRPr="00A52AB8">
        <w:rPr>
          <w:color w:val="000000" w:themeColor="text1"/>
        </w:rPr>
        <w:tab/>
        <w:t>}</w:t>
      </w:r>
      <w:r w:rsidR="000E68E2" w:rsidRPr="00A52AB8">
        <w:rPr>
          <w:color w:val="000000" w:themeColor="text1"/>
        </w:rPr>
        <w:br/>
      </w:r>
      <w:r w:rsidR="00A64CA8" w:rsidRPr="00A52AB8">
        <w:rPr>
          <w:color w:val="000000" w:themeColor="text1"/>
        </w:rPr>
        <w:tab/>
      </w:r>
      <w:r w:rsidR="00570F9E" w:rsidRPr="00A52AB8">
        <w:rPr>
          <w:color w:val="000000" w:themeColor="text1"/>
        </w:rPr>
        <w:tab/>
      </w:r>
      <w:r w:rsidR="00A64CA8" w:rsidRPr="00A52AB8">
        <w:rPr>
          <w:color w:val="000000" w:themeColor="text1"/>
        </w:rPr>
        <w:tab/>
        <w:t>}</w:t>
      </w:r>
      <w:r w:rsidR="000E68E2" w:rsidRPr="00A52AB8">
        <w:rPr>
          <w:color w:val="000000" w:themeColor="text1"/>
        </w:rPr>
        <w:br/>
      </w:r>
      <w:r w:rsidR="00A64CA8" w:rsidRPr="00A52AB8">
        <w:rPr>
          <w:color w:val="000000" w:themeColor="text1"/>
        </w:rPr>
        <w:tab/>
      </w:r>
      <w:r w:rsidR="00570F9E" w:rsidRPr="00A52AB8">
        <w:rPr>
          <w:color w:val="000000" w:themeColor="text1"/>
        </w:rPr>
        <w:tab/>
      </w:r>
      <w:r w:rsidR="00A64CA8" w:rsidRPr="00A52AB8">
        <w:rPr>
          <w:color w:val="000000" w:themeColor="text1"/>
        </w:rPr>
        <w:t>}</w:t>
      </w:r>
      <w:r w:rsidR="000E68E2" w:rsidRPr="00A52AB8">
        <w:rPr>
          <w:color w:val="000000" w:themeColor="text1"/>
        </w:rPr>
        <w:br/>
      </w:r>
      <w:r w:rsidR="00266306" w:rsidRPr="00A52AB8">
        <w:rPr>
          <w:color w:val="000000" w:themeColor="text1"/>
        </w:rPr>
        <w:tab/>
      </w:r>
      <w:r w:rsidR="00266306" w:rsidRPr="00A52AB8">
        <w:rPr>
          <w:color w:val="000000" w:themeColor="text1"/>
        </w:rPr>
        <w:tab/>
        <w:t>else</w:t>
      </w:r>
      <w:r w:rsidR="00665498" w:rsidRPr="00A52AB8">
        <w:rPr>
          <w:color w:val="000000" w:themeColor="text1"/>
        </w:rPr>
        <w:t> </w:t>
      </w:r>
      <w:r w:rsidR="00266306" w:rsidRPr="00A52AB8">
        <w:rPr>
          <w:color w:val="000000" w:themeColor="text1"/>
        </w:rPr>
        <w:t>if(TilePatchInAuxVideo[ tileID ][ p ]</w:t>
      </w:r>
      <w:r w:rsidR="008768E9" w:rsidRPr="00A52AB8">
        <w:rPr>
          <w:color w:val="000000" w:themeColor="text1"/>
        </w:rPr>
        <w:t> </w:t>
      </w:r>
      <w:r w:rsidR="00726AAE" w:rsidRPr="00A52AB8">
        <w:rPr>
          <w:color w:val="000000" w:themeColor="text1"/>
        </w:rPr>
        <w:t>==</w:t>
      </w:r>
      <w:r w:rsidR="00D47707" w:rsidRPr="00A52AB8">
        <w:rPr>
          <w:color w:val="000000" w:themeColor="text1"/>
        </w:rPr>
        <w:t> </w:t>
      </w:r>
      <w:r w:rsidR="00390F52" w:rsidRPr="00A52AB8">
        <w:rPr>
          <w:color w:val="000000" w:themeColor="text1"/>
        </w:rPr>
        <w:t>0</w:t>
      </w:r>
      <w:r w:rsidR="00266306" w:rsidRPr="00A52AB8">
        <w:rPr>
          <w:color w:val="000000" w:themeColor="text1"/>
        </w:rPr>
        <w:t> </w:t>
      </w:r>
      <w:r w:rsidR="00900B12" w:rsidRPr="00A52AB8">
        <w:rPr>
          <w:color w:val="000000" w:themeColor="text1"/>
        </w:rPr>
        <w:t>) {</w:t>
      </w:r>
      <w:r w:rsidR="00C61E38" w:rsidRPr="00A52AB8">
        <w:rPr>
          <w:color w:val="000000" w:themeColor="text1"/>
        </w:rPr>
        <w:br/>
      </w:r>
      <w:r w:rsidR="00266306" w:rsidRPr="00A52AB8">
        <w:rPr>
          <w:color w:val="000000" w:themeColor="text1"/>
        </w:rPr>
        <w:tab/>
      </w:r>
      <w:r w:rsidR="00266306" w:rsidRPr="00A52AB8">
        <w:rPr>
          <w:color w:val="000000" w:themeColor="text1"/>
        </w:rPr>
        <w:tab/>
      </w:r>
      <w:r w:rsidR="00266306" w:rsidRPr="00A52AB8">
        <w:rPr>
          <w:color w:val="000000" w:themeColor="text1"/>
        </w:rPr>
        <w:tab/>
        <w:t>xOrg</w:t>
      </w:r>
      <w:r w:rsidR="00D47707" w:rsidRPr="00A52AB8">
        <w:rPr>
          <w:color w:val="000000" w:themeColor="text1"/>
        </w:rPr>
        <w:t> = </w:t>
      </w:r>
      <w:r w:rsidR="00266306" w:rsidRPr="00A52AB8">
        <w:rPr>
          <w:lang w:eastAsia="ja-JP"/>
        </w:rPr>
        <w:t>Tile</w:t>
      </w:r>
      <w:r w:rsidR="00266306" w:rsidRPr="00A52AB8">
        <w:rPr>
          <w:color w:val="000000" w:themeColor="text1"/>
        </w:rPr>
        <w:t>Patch2dPosX</w:t>
      </w:r>
      <w:r w:rsidR="00266306" w:rsidRPr="00A52AB8">
        <w:rPr>
          <w:lang w:eastAsia="ja-JP"/>
        </w:rPr>
        <w:t>[</w:t>
      </w:r>
      <w:r w:rsidR="00266306" w:rsidRPr="00A52AB8">
        <w:rPr>
          <w:b/>
          <w:lang w:eastAsia="ja-JP"/>
        </w:rPr>
        <w:t> </w:t>
      </w:r>
      <w:r w:rsidR="00266306" w:rsidRPr="00A52AB8">
        <w:rPr>
          <w:color w:val="000000" w:themeColor="text1"/>
        </w:rPr>
        <w:t>tileID ][ p ] / PatchPackingBlockSize</w:t>
      </w:r>
      <w:r w:rsidR="00266306" w:rsidRPr="00A52AB8">
        <w:rPr>
          <w:color w:val="000000" w:themeColor="text1"/>
        </w:rPr>
        <w:br/>
      </w:r>
      <w:r w:rsidR="00266306" w:rsidRPr="00A52AB8">
        <w:rPr>
          <w:color w:val="000000" w:themeColor="text1"/>
        </w:rPr>
        <w:tab/>
      </w:r>
      <w:r w:rsidR="00266306" w:rsidRPr="00A52AB8">
        <w:rPr>
          <w:color w:val="000000" w:themeColor="text1"/>
        </w:rPr>
        <w:tab/>
      </w:r>
      <w:r w:rsidR="00266306" w:rsidRPr="00A52AB8">
        <w:rPr>
          <w:color w:val="000000" w:themeColor="text1"/>
        </w:rPr>
        <w:tab/>
        <w:t>yOrg</w:t>
      </w:r>
      <w:r w:rsidR="00D47707" w:rsidRPr="00A52AB8">
        <w:rPr>
          <w:color w:val="000000" w:themeColor="text1"/>
        </w:rPr>
        <w:t> = </w:t>
      </w:r>
      <w:r w:rsidR="00266306" w:rsidRPr="00A52AB8">
        <w:rPr>
          <w:lang w:eastAsia="ja-JP"/>
        </w:rPr>
        <w:t>Tile</w:t>
      </w:r>
      <w:r w:rsidR="00266306" w:rsidRPr="00A52AB8">
        <w:rPr>
          <w:color w:val="000000" w:themeColor="text1"/>
        </w:rPr>
        <w:t>Patch2dPosY</w:t>
      </w:r>
      <w:r w:rsidR="00266306" w:rsidRPr="00A52AB8">
        <w:rPr>
          <w:lang w:eastAsia="ja-JP"/>
        </w:rPr>
        <w:t>[</w:t>
      </w:r>
      <w:r w:rsidR="00266306" w:rsidRPr="00A52AB8">
        <w:rPr>
          <w:b/>
          <w:lang w:eastAsia="ja-JP"/>
        </w:rPr>
        <w:t> </w:t>
      </w:r>
      <w:r w:rsidR="00266306" w:rsidRPr="00A52AB8">
        <w:rPr>
          <w:color w:val="000000" w:themeColor="text1"/>
        </w:rPr>
        <w:t>tileID ][ p ] / PatchPackingBlockSize</w:t>
      </w:r>
      <w:r w:rsidR="00266306" w:rsidRPr="00A52AB8">
        <w:rPr>
          <w:color w:val="000000" w:themeColor="text1"/>
        </w:rPr>
        <w:br/>
      </w:r>
      <w:r w:rsidR="00266306" w:rsidRPr="00A52AB8">
        <w:rPr>
          <w:color w:val="000000" w:themeColor="text1"/>
        </w:rPr>
        <w:tab/>
      </w:r>
      <w:r w:rsidR="00266306" w:rsidRPr="00A52AB8">
        <w:rPr>
          <w:color w:val="000000" w:themeColor="text1"/>
        </w:rPr>
        <w:tab/>
      </w:r>
      <w:r w:rsidR="00266306" w:rsidRPr="00A52AB8">
        <w:rPr>
          <w:color w:val="000000" w:themeColor="text1"/>
        </w:rPr>
        <w:tab/>
        <w:t>tilePatchWidthBlk</w:t>
      </w:r>
      <w:r w:rsidR="00D47707" w:rsidRPr="00A52AB8">
        <w:rPr>
          <w:color w:val="000000" w:themeColor="text1"/>
        </w:rPr>
        <w:t> = </w:t>
      </w:r>
      <w:r w:rsidR="00266306" w:rsidRPr="00A52AB8">
        <w:rPr>
          <w:lang w:eastAsia="ja-JP"/>
        </w:rPr>
        <w:t>Tile</w:t>
      </w:r>
      <w:r w:rsidR="00266306" w:rsidRPr="00A52AB8">
        <w:rPr>
          <w:color w:val="000000" w:themeColor="text1"/>
        </w:rPr>
        <w:t>Patch2dSizeX</w:t>
      </w:r>
      <w:r w:rsidR="00266306" w:rsidRPr="00A52AB8">
        <w:rPr>
          <w:lang w:eastAsia="ja-JP"/>
        </w:rPr>
        <w:t>[</w:t>
      </w:r>
      <w:r w:rsidR="00266306" w:rsidRPr="00A52AB8">
        <w:rPr>
          <w:b/>
          <w:lang w:eastAsia="ja-JP"/>
        </w:rPr>
        <w:t> </w:t>
      </w:r>
      <w:r w:rsidR="00266306" w:rsidRPr="00A52AB8">
        <w:rPr>
          <w:color w:val="000000" w:themeColor="text1"/>
        </w:rPr>
        <w:t>tileID ][ p ] / PatchPackingBlockSize</w:t>
      </w:r>
      <w:r w:rsidR="00266306" w:rsidRPr="00A52AB8">
        <w:rPr>
          <w:color w:val="000000" w:themeColor="text1"/>
        </w:rPr>
        <w:br/>
      </w:r>
      <w:r w:rsidR="00266306" w:rsidRPr="00A52AB8">
        <w:rPr>
          <w:color w:val="000000" w:themeColor="text1"/>
        </w:rPr>
        <w:tab/>
      </w:r>
      <w:r w:rsidR="00266306" w:rsidRPr="00A52AB8">
        <w:rPr>
          <w:color w:val="000000" w:themeColor="text1"/>
        </w:rPr>
        <w:tab/>
      </w:r>
      <w:r w:rsidR="00266306" w:rsidRPr="00A52AB8">
        <w:rPr>
          <w:color w:val="000000" w:themeColor="text1"/>
        </w:rPr>
        <w:tab/>
        <w:t>tilePatchHeightBlk</w:t>
      </w:r>
      <w:r w:rsidR="00D47707" w:rsidRPr="00A52AB8">
        <w:rPr>
          <w:color w:val="000000" w:themeColor="text1"/>
        </w:rPr>
        <w:t> = </w:t>
      </w:r>
      <w:r w:rsidR="00266306" w:rsidRPr="00A52AB8">
        <w:rPr>
          <w:lang w:eastAsia="ja-JP"/>
        </w:rPr>
        <w:t>Tile</w:t>
      </w:r>
      <w:r w:rsidR="00266306" w:rsidRPr="00A52AB8">
        <w:rPr>
          <w:color w:val="000000" w:themeColor="text1"/>
        </w:rPr>
        <w:t>Patch2dSizeY</w:t>
      </w:r>
      <w:r w:rsidR="00266306" w:rsidRPr="00A52AB8">
        <w:rPr>
          <w:lang w:eastAsia="ja-JP"/>
        </w:rPr>
        <w:t>[</w:t>
      </w:r>
      <w:r w:rsidR="00266306" w:rsidRPr="00A52AB8">
        <w:rPr>
          <w:b/>
          <w:lang w:eastAsia="ja-JP"/>
        </w:rPr>
        <w:t> </w:t>
      </w:r>
      <w:r w:rsidR="00266306" w:rsidRPr="00A52AB8">
        <w:rPr>
          <w:color w:val="000000" w:themeColor="text1"/>
        </w:rPr>
        <w:t>tileID ][ p ] / PatchPackingBlockSize</w:t>
      </w:r>
      <w:r w:rsidR="00266306" w:rsidRPr="00A52AB8">
        <w:rPr>
          <w:color w:val="000000" w:themeColor="text1"/>
        </w:rPr>
        <w:br/>
      </w:r>
      <w:r w:rsidR="00266306" w:rsidRPr="00A52AB8">
        <w:rPr>
          <w:color w:val="000000" w:themeColor="text1"/>
        </w:rPr>
        <w:tab/>
      </w:r>
      <w:r w:rsidR="00266306" w:rsidRPr="00A52AB8">
        <w:rPr>
          <w:color w:val="000000" w:themeColor="text1"/>
        </w:rPr>
        <w:tab/>
      </w:r>
      <w:r w:rsidR="00266306" w:rsidRPr="00A52AB8">
        <w:rPr>
          <w:color w:val="000000" w:themeColor="text1"/>
        </w:rPr>
        <w:tab/>
        <w:t>for( y</w:t>
      </w:r>
      <w:r w:rsidR="00D47707" w:rsidRPr="00A52AB8">
        <w:rPr>
          <w:color w:val="000000" w:themeColor="text1"/>
        </w:rPr>
        <w:t> = </w:t>
      </w:r>
      <w:r w:rsidR="00266306" w:rsidRPr="00A52AB8">
        <w:rPr>
          <w:color w:val="000000" w:themeColor="text1"/>
        </w:rPr>
        <w:t>0; y &lt; tilePatchHeightBlk ; y++)</w:t>
      </w:r>
      <w:r w:rsidR="00266306" w:rsidRPr="00A52AB8">
        <w:rPr>
          <w:color w:val="000000" w:themeColor="text1"/>
        </w:rPr>
        <w:br/>
      </w:r>
      <w:r w:rsidR="00266306" w:rsidRPr="00A52AB8">
        <w:rPr>
          <w:color w:val="000000" w:themeColor="text1"/>
        </w:rPr>
        <w:tab/>
      </w:r>
      <w:r w:rsidR="00266306" w:rsidRPr="00A52AB8">
        <w:rPr>
          <w:color w:val="000000" w:themeColor="text1"/>
        </w:rPr>
        <w:tab/>
      </w:r>
      <w:r w:rsidR="00266306" w:rsidRPr="00A52AB8">
        <w:rPr>
          <w:color w:val="000000" w:themeColor="text1"/>
        </w:rPr>
        <w:tab/>
      </w:r>
      <w:r w:rsidR="00266306" w:rsidRPr="00A52AB8">
        <w:rPr>
          <w:color w:val="000000" w:themeColor="text1"/>
        </w:rPr>
        <w:tab/>
        <w:t>for( x</w:t>
      </w:r>
      <w:r w:rsidR="00D47707" w:rsidRPr="00A52AB8">
        <w:rPr>
          <w:color w:val="000000" w:themeColor="text1"/>
        </w:rPr>
        <w:t> = </w:t>
      </w:r>
      <w:r w:rsidR="00266306" w:rsidRPr="00A52AB8">
        <w:rPr>
          <w:color w:val="000000" w:themeColor="text1"/>
        </w:rPr>
        <w:t>0; x &lt; tilePatchWidthBlk; x</w:t>
      </w:r>
      <w:r w:rsidR="00006CCF" w:rsidRPr="00A52AB8">
        <w:rPr>
          <w:color w:val="000000" w:themeColor="text1"/>
        </w:rPr>
        <w:t>++ )</w:t>
      </w:r>
      <w:r w:rsidR="00C61E38" w:rsidRPr="00A52AB8">
        <w:rPr>
          <w:color w:val="000000" w:themeColor="text1"/>
        </w:rPr>
        <w:br/>
      </w:r>
      <w:r w:rsidR="00266306" w:rsidRPr="00A52AB8">
        <w:rPr>
          <w:color w:val="000000" w:themeColor="text1"/>
        </w:rPr>
        <w:tab/>
      </w:r>
      <w:r w:rsidR="00266306" w:rsidRPr="00A52AB8">
        <w:rPr>
          <w:color w:val="000000" w:themeColor="text1"/>
        </w:rPr>
        <w:tab/>
      </w:r>
      <w:r w:rsidR="00266306" w:rsidRPr="00A52AB8">
        <w:rPr>
          <w:color w:val="000000" w:themeColor="text1"/>
        </w:rPr>
        <w:tab/>
      </w:r>
      <w:r w:rsidR="00266306" w:rsidRPr="00A52AB8">
        <w:rPr>
          <w:color w:val="000000" w:themeColor="text1"/>
        </w:rPr>
        <w:tab/>
      </w:r>
      <w:r w:rsidR="00266306" w:rsidRPr="00A52AB8">
        <w:rPr>
          <w:color w:val="000000" w:themeColor="text1"/>
        </w:rPr>
        <w:tab/>
      </w:r>
      <w:r w:rsidR="00266306" w:rsidRPr="00A52AB8">
        <w:t>TileBlockToPatchMap[ tileID ][ yOrg + y ][ xOrg + x ]</w:t>
      </w:r>
      <w:r w:rsidR="00D47707" w:rsidRPr="00A52AB8">
        <w:t> = </w:t>
      </w:r>
      <w:r w:rsidR="00266306" w:rsidRPr="00A52AB8">
        <w:t>p</w:t>
      </w:r>
      <w:r w:rsidR="00266306" w:rsidRPr="00A52AB8">
        <w:rPr>
          <w:color w:val="000000" w:themeColor="text1"/>
        </w:rPr>
        <w:br/>
      </w:r>
      <w:r w:rsidR="00266306" w:rsidRPr="00A52AB8">
        <w:rPr>
          <w:color w:val="000000" w:themeColor="text1"/>
        </w:rPr>
        <w:tab/>
      </w:r>
      <w:r w:rsidR="00266306" w:rsidRPr="00A52AB8">
        <w:rPr>
          <w:color w:val="000000" w:themeColor="text1"/>
        </w:rPr>
        <w:tab/>
        <w:t xml:space="preserve">} </w:t>
      </w:r>
      <w:r w:rsidR="00266306" w:rsidRPr="00A52AB8">
        <w:rPr>
          <w:color w:val="000000" w:themeColor="text1"/>
        </w:rPr>
        <w:br/>
      </w:r>
      <w:r w:rsidR="00266306" w:rsidRPr="00A52AB8">
        <w:rPr>
          <w:color w:val="000000" w:themeColor="text1"/>
        </w:rPr>
        <w:tab/>
        <w:t>}</w:t>
      </w:r>
    </w:p>
    <w:p w14:paraId="722EC6E3" w14:textId="77777777" w:rsidR="00827E7E" w:rsidRPr="00A52AB8" w:rsidRDefault="00827E7E">
      <w:pPr>
        <w:pStyle w:val="Heading3"/>
      </w:pPr>
      <w:bookmarkStart w:id="1526" w:name="_Toc48259282"/>
      <w:bookmarkStart w:id="1527" w:name="_Toc48259283"/>
      <w:bookmarkStart w:id="1528" w:name="_Toc48259284"/>
      <w:bookmarkStart w:id="1529" w:name="_Toc48259285"/>
      <w:bookmarkStart w:id="1530" w:name="_Toc48259286"/>
      <w:bookmarkStart w:id="1531" w:name="_Toc48259287"/>
      <w:bookmarkStart w:id="1532" w:name="_Ref43981624"/>
      <w:bookmarkStart w:id="1533" w:name="_Ref43981712"/>
      <w:bookmarkStart w:id="1534" w:name="_Toc52181629"/>
      <w:bookmarkEnd w:id="1526"/>
      <w:bookmarkEnd w:id="1527"/>
      <w:bookmarkEnd w:id="1528"/>
      <w:bookmarkEnd w:id="1529"/>
      <w:bookmarkEnd w:id="1530"/>
      <w:bookmarkEnd w:id="1531"/>
      <w:r w:rsidRPr="00A52AB8">
        <w:t xml:space="preserve">Conversion of </w:t>
      </w:r>
      <w:r w:rsidR="00B8075E" w:rsidRPr="00A52AB8">
        <w:t>tile</w:t>
      </w:r>
      <w:r w:rsidRPr="00A52AB8">
        <w:t xml:space="preserve"> level </w:t>
      </w:r>
      <w:r w:rsidR="002E6441" w:rsidRPr="00A52AB8">
        <w:t xml:space="preserve">patch </w:t>
      </w:r>
      <w:r w:rsidRPr="00A52AB8">
        <w:t xml:space="preserve">information to </w:t>
      </w:r>
      <w:r w:rsidR="00324F84" w:rsidRPr="00A52AB8">
        <w:t>a</w:t>
      </w:r>
      <w:r w:rsidRPr="00A52AB8">
        <w:t xml:space="preserve">tlas level </w:t>
      </w:r>
      <w:r w:rsidR="002F01AF" w:rsidRPr="00A52AB8">
        <w:t xml:space="preserve">patch </w:t>
      </w:r>
      <w:r w:rsidRPr="00A52AB8">
        <w:t>information</w:t>
      </w:r>
      <w:bookmarkEnd w:id="1532"/>
      <w:bookmarkEnd w:id="1533"/>
      <w:bookmarkEnd w:id="1534"/>
    </w:p>
    <w:p w14:paraId="0790F4EB" w14:textId="77777777" w:rsidR="00F20721" w:rsidRPr="00A52AB8" w:rsidRDefault="00F20721" w:rsidP="00F01345">
      <w:pPr>
        <w:pStyle w:val="Heading4"/>
        <w:tabs>
          <w:tab w:val="num" w:pos="7200"/>
        </w:tabs>
      </w:pPr>
      <w:bookmarkStart w:id="1535" w:name="_Ref47729585"/>
      <w:r w:rsidRPr="00A52AB8">
        <w:t>General</w:t>
      </w:r>
      <w:bookmarkEnd w:id="1535"/>
    </w:p>
    <w:p w14:paraId="65CE626A" w14:textId="77777777" w:rsidR="0050235C" w:rsidRPr="00A52AB8" w:rsidRDefault="00850CDF">
      <w:r w:rsidRPr="00A52AB8">
        <w:rPr>
          <w:color w:val="000000" w:themeColor="text1"/>
        </w:rPr>
        <w:t xml:space="preserve">In </w:t>
      </w:r>
      <w:r w:rsidR="009C1541" w:rsidRPr="00A52AB8">
        <w:rPr>
          <w:color w:val="000000" w:themeColor="text1"/>
        </w:rPr>
        <w:t xml:space="preserve">some implementations </w:t>
      </w:r>
      <w:r w:rsidR="006A5AFE" w:rsidRPr="00A52AB8">
        <w:rPr>
          <w:color w:val="000000" w:themeColor="text1"/>
        </w:rPr>
        <w:t xml:space="preserve">it is possible that the reconstruction process may be performed using tile information directly, </w:t>
      </w:r>
      <w:r w:rsidR="000F0ACA" w:rsidRPr="00A52AB8">
        <w:rPr>
          <w:color w:val="000000" w:themeColor="text1"/>
        </w:rPr>
        <w:t>i.e. the reconstruction process is tile based. In other implementations</w:t>
      </w:r>
      <w:r w:rsidR="000A7050" w:rsidRPr="00A52AB8">
        <w:rPr>
          <w:color w:val="000000" w:themeColor="text1"/>
        </w:rPr>
        <w:t xml:space="preserve"> </w:t>
      </w:r>
      <w:r w:rsidR="009A6BCD" w:rsidRPr="00A52AB8">
        <w:rPr>
          <w:color w:val="000000" w:themeColor="text1"/>
        </w:rPr>
        <w:t>the reconstruction process may be performed using all tile information, i.e. is atlas based. In that partic</w:t>
      </w:r>
      <w:r w:rsidR="0063756F" w:rsidRPr="00A52AB8">
        <w:rPr>
          <w:color w:val="000000" w:themeColor="text1"/>
        </w:rPr>
        <w:t xml:space="preserve">ular case, a </w:t>
      </w:r>
      <w:r w:rsidR="00DC4571" w:rsidRPr="00A52AB8">
        <w:rPr>
          <w:color w:val="000000" w:themeColor="text1"/>
        </w:rPr>
        <w:t>conversion</w:t>
      </w:r>
      <w:r w:rsidR="0063756F" w:rsidRPr="00A52AB8">
        <w:rPr>
          <w:color w:val="000000" w:themeColor="text1"/>
        </w:rPr>
        <w:t xml:space="preserve"> of tile level patch information to atlas level patch information may be necessary</w:t>
      </w:r>
      <w:r w:rsidR="0047785C" w:rsidRPr="00A52AB8">
        <w:rPr>
          <w:color w:val="000000" w:themeColor="text1"/>
        </w:rPr>
        <w:t>. This conversion</w:t>
      </w:r>
      <w:r w:rsidR="00DC4571" w:rsidRPr="00A52AB8">
        <w:rPr>
          <w:color w:val="000000" w:themeColor="text1"/>
        </w:rPr>
        <w:t xml:space="preserve"> is </w:t>
      </w:r>
      <w:r w:rsidR="00490D11" w:rsidRPr="00A52AB8">
        <w:rPr>
          <w:color w:val="000000" w:themeColor="text1"/>
        </w:rPr>
        <w:t>performed in</w:t>
      </w:r>
      <w:r w:rsidR="004F4E36" w:rsidRPr="00A52AB8">
        <w:t xml:space="preserve"> this </w:t>
      </w:r>
      <w:r w:rsidR="00406A86" w:rsidRPr="00A52AB8">
        <w:t>subclause</w:t>
      </w:r>
      <w:r w:rsidR="004F3FAB" w:rsidRPr="00A52AB8">
        <w:t>.</w:t>
      </w:r>
    </w:p>
    <w:p w14:paraId="1AA39CBB" w14:textId="4E6A79C5" w:rsidR="00F20721" w:rsidRPr="00A52AB8" w:rsidRDefault="00F20721" w:rsidP="00F01345">
      <w:pPr>
        <w:pStyle w:val="Heading4"/>
        <w:tabs>
          <w:tab w:val="num" w:pos="7200"/>
        </w:tabs>
      </w:pPr>
      <w:bookmarkStart w:id="1536" w:name="_Ref47696990"/>
      <w:r w:rsidRPr="00A52AB8">
        <w:t>Conversion of tile level blockToPatch information to atlas level blockToPatch information</w:t>
      </w:r>
      <w:bookmarkEnd w:id="1536"/>
    </w:p>
    <w:p w14:paraId="11C060EB" w14:textId="77777777" w:rsidR="0048782E" w:rsidRPr="00A52AB8" w:rsidRDefault="00F20721" w:rsidP="0048782E">
      <w:r w:rsidRPr="00A52AB8">
        <w:t xml:space="preserve">In this subclause, the block to patch maps from each tile are combined into a single two-dimensional array, </w:t>
      </w:r>
      <w:r w:rsidRPr="00A52AB8">
        <w:rPr>
          <w:lang w:eastAsia="ja-JP"/>
        </w:rPr>
        <w:t>Atlas</w:t>
      </w:r>
      <w:r w:rsidRPr="00A52AB8">
        <w:rPr>
          <w:color w:val="000000" w:themeColor="text1"/>
        </w:rPr>
        <w:t>BlockToPatchMap</w:t>
      </w:r>
      <w:r w:rsidRPr="00A52AB8">
        <w:t>.</w:t>
      </w:r>
      <w:r w:rsidR="00A22BF3" w:rsidRPr="00A52AB8">
        <w:t xml:space="preserve"> </w:t>
      </w:r>
      <w:r w:rsidR="00A22BF3" w:rsidRPr="00A52AB8">
        <w:rPr>
          <w:lang w:eastAsia="ja-JP"/>
        </w:rPr>
        <w:t>This</w:t>
      </w:r>
      <w:r w:rsidR="0048782E" w:rsidRPr="00A52AB8">
        <w:rPr>
          <w:lang w:eastAsia="ja-JP"/>
        </w:rPr>
        <w:t xml:space="preserve"> array and the variables </w:t>
      </w:r>
      <w:r w:rsidR="0048782E" w:rsidRPr="00A52AB8">
        <w:rPr>
          <w:color w:val="000000" w:themeColor="text1"/>
        </w:rPr>
        <w:t>AtlasBlockToPatchMapWidth, and AtlasBlockToPatchMapHeight</w:t>
      </w:r>
      <w:r w:rsidR="0048782E" w:rsidRPr="00A52AB8">
        <w:t xml:space="preserve"> </w:t>
      </w:r>
      <w:r w:rsidR="0048782E" w:rsidRPr="00A52AB8">
        <w:rPr>
          <w:color w:val="000000" w:themeColor="text1"/>
        </w:rPr>
        <w:t>are computed as follows:</w:t>
      </w:r>
      <w:r w:rsidR="0048782E" w:rsidRPr="00A52AB8">
        <w:rPr>
          <w:color w:val="000000" w:themeColor="text1"/>
        </w:rPr>
        <w:tab/>
      </w:r>
    </w:p>
    <w:p w14:paraId="1C52C694" w14:textId="4997E941" w:rsidR="00A85CBF" w:rsidRPr="00A52AB8" w:rsidRDefault="007B345E" w:rsidP="007656E5">
      <w:r w:rsidRPr="00A52AB8">
        <w:rPr>
          <w:lang w:eastAsia="ja-JP"/>
        </w:rPr>
        <w:tab/>
      </w:r>
      <w:r w:rsidR="00A85CBF" w:rsidRPr="00A52AB8">
        <w:t>offset</w:t>
      </w:r>
      <w:r w:rsidR="00D47707" w:rsidRPr="00A52AB8">
        <w:t> = </w:t>
      </w:r>
      <w:r w:rsidR="00A85CBF" w:rsidRPr="00A52AB8">
        <w:t>PatchPatchPackingSize – 1</w:t>
      </w:r>
    </w:p>
    <w:p w14:paraId="2E98DFE0" w14:textId="78F2F28A" w:rsidR="00F20721" w:rsidRPr="00A52AB8" w:rsidRDefault="00A85CBF" w:rsidP="00F20721">
      <w:pPr>
        <w:rPr>
          <w:lang w:eastAsia="ja-JP"/>
        </w:rPr>
      </w:pPr>
      <w:r w:rsidRPr="00A52AB8">
        <w:rPr>
          <w:lang w:eastAsia="ja-JP"/>
        </w:rPr>
        <w:tab/>
      </w:r>
      <w:r w:rsidR="00F20721" w:rsidRPr="00A52AB8">
        <w:rPr>
          <w:lang w:eastAsia="ja-JP"/>
        </w:rPr>
        <w:t>AtlasBlockToPatchMapWidth</w:t>
      </w:r>
      <w:r w:rsidR="00D47707" w:rsidRPr="00A52AB8">
        <w:rPr>
          <w:lang w:eastAsia="ja-JP"/>
        </w:rPr>
        <w:t> = </w:t>
      </w:r>
      <w:r w:rsidR="00F20721" w:rsidRPr="00A52AB8">
        <w:rPr>
          <w:lang w:eastAsia="ja-JP"/>
        </w:rPr>
        <w:t>( asps_frame_width </w:t>
      </w:r>
      <w:r w:rsidRPr="00A52AB8">
        <w:rPr>
          <w:lang w:eastAsia="ja-JP"/>
        </w:rPr>
        <w:t>+ </w:t>
      </w:r>
      <w:r w:rsidRPr="00A52AB8">
        <w:t>offset </w:t>
      </w:r>
      <w:r w:rsidRPr="00A52AB8">
        <w:rPr>
          <w:lang w:eastAsia="ja-JP"/>
        </w:rPr>
        <w:t>) /</w:t>
      </w:r>
      <w:r w:rsidR="00F20721" w:rsidRPr="00A52AB8">
        <w:rPr>
          <w:lang w:eastAsia="ja-JP"/>
        </w:rPr>
        <w:t> PatchPackingBlockSize</w:t>
      </w:r>
      <w:r w:rsidR="00F20721" w:rsidRPr="00A52AB8">
        <w:rPr>
          <w:lang w:eastAsia="ja-JP"/>
        </w:rPr>
        <w:tab/>
        <w:t>(</w:t>
      </w:r>
      <w:r w:rsidR="00F20721" w:rsidRPr="00496A4D">
        <w:rPr>
          <w:lang w:eastAsia="ja-JP"/>
        </w:rPr>
        <w:fldChar w:fldCharType="begin"/>
      </w:r>
      <w:r w:rsidR="00F20721" w:rsidRPr="00A52AB8">
        <w:rPr>
          <w:lang w:eastAsia="ja-JP"/>
        </w:rPr>
        <w:instrText xml:space="preserve"> SEQ Equation \* ARABIC \s 1 </w:instrText>
      </w:r>
      <w:r w:rsidR="00F20721" w:rsidRPr="00496A4D">
        <w:rPr>
          <w:lang w:eastAsia="ja-JP"/>
        </w:rPr>
        <w:fldChar w:fldCharType="separate"/>
      </w:r>
      <w:r w:rsidR="00507A67">
        <w:rPr>
          <w:noProof/>
          <w:lang w:eastAsia="ja-JP"/>
        </w:rPr>
        <w:t>164</w:t>
      </w:r>
      <w:r w:rsidR="00F20721" w:rsidRPr="00496A4D">
        <w:rPr>
          <w:lang w:eastAsia="ja-JP"/>
        </w:rPr>
        <w:fldChar w:fldCharType="end"/>
      </w:r>
      <w:r w:rsidR="00F20721" w:rsidRPr="00A52AB8">
        <w:rPr>
          <w:lang w:eastAsia="ja-JP"/>
        </w:rPr>
        <w:t>)</w:t>
      </w:r>
    </w:p>
    <w:p w14:paraId="39D1727C" w14:textId="2AC40671" w:rsidR="00F20721" w:rsidRPr="00A52AB8" w:rsidRDefault="00F20721" w:rsidP="00F20721">
      <w:pPr>
        <w:rPr>
          <w:lang w:eastAsia="ja-JP"/>
        </w:rPr>
      </w:pPr>
      <w:r w:rsidRPr="00A52AB8">
        <w:rPr>
          <w:lang w:eastAsia="ja-JP"/>
        </w:rPr>
        <w:tab/>
        <w:t>AtlasBlockToPatchMapHeight</w:t>
      </w:r>
      <w:r w:rsidR="00D47707" w:rsidRPr="00A52AB8">
        <w:rPr>
          <w:lang w:eastAsia="ja-JP"/>
        </w:rPr>
        <w:t> = </w:t>
      </w:r>
      <w:r w:rsidRPr="00A52AB8">
        <w:rPr>
          <w:lang w:eastAsia="ja-JP"/>
        </w:rPr>
        <w:t>( asps_frame_height </w:t>
      </w:r>
      <w:r w:rsidR="00A85CBF" w:rsidRPr="00A52AB8">
        <w:rPr>
          <w:lang w:eastAsia="ja-JP"/>
        </w:rPr>
        <w:t>+ </w:t>
      </w:r>
      <w:r w:rsidR="00A85CBF" w:rsidRPr="00A52AB8">
        <w:t>offset </w:t>
      </w:r>
      <w:r w:rsidR="00A85CBF" w:rsidRPr="00A52AB8">
        <w:rPr>
          <w:lang w:eastAsia="ja-JP"/>
        </w:rPr>
        <w:t>) /</w:t>
      </w:r>
      <w:r w:rsidRPr="00A52AB8">
        <w:rPr>
          <w:lang w:eastAsia="ja-JP"/>
        </w:rPr>
        <w:t> PatchPackingBlockSiz</w:t>
      </w:r>
      <w:r w:rsidR="004522C4" w:rsidRPr="00A52AB8">
        <w:rPr>
          <w:lang w:eastAsia="ja-JP"/>
        </w:rPr>
        <w:t>e</w:t>
      </w:r>
      <w:r w:rsidRPr="00A52AB8">
        <w:rPr>
          <w:lang w:eastAsia="ja-JP"/>
        </w:rPr>
        <w:tab/>
        <w:t>(</w:t>
      </w:r>
      <w:r w:rsidRPr="00496A4D">
        <w:rPr>
          <w:lang w:eastAsia="ja-JP"/>
        </w:rPr>
        <w:fldChar w:fldCharType="begin"/>
      </w:r>
      <w:r w:rsidRPr="00A52AB8">
        <w:rPr>
          <w:lang w:eastAsia="ja-JP"/>
        </w:rPr>
        <w:instrText xml:space="preserve"> SEQ Equation \* ARABIC \s 1 </w:instrText>
      </w:r>
      <w:r w:rsidRPr="00496A4D">
        <w:rPr>
          <w:lang w:eastAsia="ja-JP"/>
        </w:rPr>
        <w:fldChar w:fldCharType="separate"/>
      </w:r>
      <w:r w:rsidR="00507A67">
        <w:rPr>
          <w:noProof/>
          <w:lang w:eastAsia="ja-JP"/>
        </w:rPr>
        <w:t>165</w:t>
      </w:r>
      <w:r w:rsidRPr="00496A4D">
        <w:rPr>
          <w:lang w:eastAsia="ja-JP"/>
        </w:rPr>
        <w:fldChar w:fldCharType="end"/>
      </w:r>
      <w:r w:rsidRPr="00A52AB8">
        <w:rPr>
          <w:lang w:eastAsia="ja-JP"/>
        </w:rPr>
        <w:t>)</w:t>
      </w:r>
    </w:p>
    <w:p w14:paraId="3321DE48" w14:textId="77777777" w:rsidR="00E52C29" w:rsidRPr="00A52AB8" w:rsidRDefault="00E52C29" w:rsidP="00F20721">
      <w:pPr>
        <w:rPr>
          <w:color w:val="000000" w:themeColor="text1"/>
        </w:rPr>
      </w:pPr>
      <w:r w:rsidRPr="00A52AB8">
        <w:rPr>
          <w:color w:val="000000" w:themeColor="text1"/>
        </w:rPr>
        <w:t xml:space="preserve">All elements of </w:t>
      </w:r>
      <w:r w:rsidR="00E6570D" w:rsidRPr="00A52AB8">
        <w:rPr>
          <w:lang w:eastAsia="ja-JP"/>
        </w:rPr>
        <w:t>Atlas</w:t>
      </w:r>
      <w:r w:rsidR="00E6570D" w:rsidRPr="00A52AB8">
        <w:rPr>
          <w:color w:val="000000" w:themeColor="text1"/>
        </w:rPr>
        <w:t xml:space="preserve">BlockToPatchMap </w:t>
      </w:r>
      <w:r w:rsidRPr="00A52AB8">
        <w:rPr>
          <w:color w:val="000000" w:themeColor="text1"/>
        </w:rPr>
        <w:t>are first initialized to −1 as follows:</w:t>
      </w:r>
    </w:p>
    <w:p w14:paraId="355944D4" w14:textId="28598982" w:rsidR="00E52C29" w:rsidRPr="00A52AB8" w:rsidRDefault="00E52C29" w:rsidP="00E52C29">
      <w:r w:rsidRPr="00A52AB8">
        <w:rPr>
          <w:color w:val="000000" w:themeColor="text1"/>
        </w:rPr>
        <w:tab/>
        <w:t>for( y</w:t>
      </w:r>
      <w:r w:rsidR="00D47707" w:rsidRPr="00A52AB8">
        <w:rPr>
          <w:color w:val="000000" w:themeColor="text1"/>
        </w:rPr>
        <w:t> = </w:t>
      </w:r>
      <w:r w:rsidRPr="00A52AB8">
        <w:rPr>
          <w:color w:val="000000" w:themeColor="text1"/>
        </w:rPr>
        <w:t>0; y &lt; </w:t>
      </w:r>
      <w:r w:rsidR="00E6570D" w:rsidRPr="00A52AB8">
        <w:rPr>
          <w:lang w:eastAsia="ja-JP"/>
        </w:rPr>
        <w:t>AtlasBlockToPatchMapHeight</w:t>
      </w:r>
      <w:r w:rsidRPr="00A52AB8">
        <w:rPr>
          <w:color w:val="000000" w:themeColor="text1"/>
        </w:rPr>
        <w:t>; y</w:t>
      </w:r>
      <w:r w:rsidR="00006CCF" w:rsidRPr="00A52AB8">
        <w:rPr>
          <w:color w:val="000000" w:themeColor="text1"/>
        </w:rPr>
        <w:t>++ )</w:t>
      </w:r>
      <w:r w:rsidRPr="00A52AB8">
        <w:rPr>
          <w:color w:val="000000" w:themeColor="text1"/>
        </w:rPr>
        <w:br/>
      </w:r>
      <w:r w:rsidRPr="00A52AB8">
        <w:rPr>
          <w:color w:val="000000" w:themeColor="text1"/>
        </w:rPr>
        <w:tab/>
      </w:r>
      <w:r w:rsidRPr="00A52AB8">
        <w:rPr>
          <w:color w:val="000000" w:themeColor="text1"/>
        </w:rPr>
        <w:tab/>
        <w:t>for( x</w:t>
      </w:r>
      <w:r w:rsidR="00D47707" w:rsidRPr="00A52AB8">
        <w:rPr>
          <w:color w:val="000000" w:themeColor="text1"/>
        </w:rPr>
        <w:t> = </w:t>
      </w:r>
      <w:r w:rsidRPr="00A52AB8">
        <w:rPr>
          <w:color w:val="000000" w:themeColor="text1"/>
        </w:rPr>
        <w:t>0; x &lt; </w:t>
      </w:r>
      <w:r w:rsidR="00E6570D" w:rsidRPr="00A52AB8">
        <w:rPr>
          <w:lang w:eastAsia="ja-JP"/>
        </w:rPr>
        <w:t>AtlasBlockToPatchMapWidth</w:t>
      </w:r>
      <w:r w:rsidRPr="00A52AB8">
        <w:rPr>
          <w:color w:val="000000" w:themeColor="text1"/>
        </w:rPr>
        <w:t>; x</w:t>
      </w:r>
      <w:r w:rsidR="00006CCF" w:rsidRPr="00A52AB8">
        <w:rPr>
          <w:color w:val="000000" w:themeColor="text1"/>
        </w:rPr>
        <w:t>++ )</w:t>
      </w:r>
      <w:r w:rsidRPr="00A52AB8">
        <w:rPr>
          <w:color w:val="000000" w:themeColor="text1"/>
        </w:rPr>
        <w:br/>
      </w:r>
      <w:r w:rsidRPr="00A52AB8">
        <w:tab/>
      </w:r>
      <w:r w:rsidRPr="00A52AB8">
        <w:tab/>
      </w:r>
      <w:r w:rsidRPr="00A52AB8">
        <w:tab/>
      </w:r>
      <w:r w:rsidR="003A2CFF" w:rsidRPr="00A52AB8">
        <w:t>Atlas</w:t>
      </w:r>
      <w:r w:rsidRPr="00A52AB8">
        <w:t>BlockToPatchMap[ y ][ x ]</w:t>
      </w:r>
      <w:r w:rsidR="00D47707" w:rsidRPr="00A52AB8">
        <w:t> = </w:t>
      </w:r>
      <w:r w:rsidRPr="00A52AB8">
        <w:t>−1</w:t>
      </w:r>
    </w:p>
    <w:p w14:paraId="3CB2363C" w14:textId="77777777" w:rsidR="00E6570D" w:rsidRPr="00A52AB8" w:rsidRDefault="00E6570D" w:rsidP="00E6570D">
      <w:pPr>
        <w:rPr>
          <w:color w:val="000000" w:themeColor="text1"/>
        </w:rPr>
      </w:pPr>
      <w:r w:rsidRPr="00A52AB8">
        <w:rPr>
          <w:color w:val="000000" w:themeColor="text1"/>
        </w:rPr>
        <w:t xml:space="preserve">Then the </w:t>
      </w:r>
      <w:r w:rsidRPr="00A52AB8">
        <w:rPr>
          <w:lang w:eastAsia="ja-JP"/>
        </w:rPr>
        <w:t>Atlas</w:t>
      </w:r>
      <w:r w:rsidRPr="00A52AB8">
        <w:rPr>
          <w:color w:val="000000" w:themeColor="text1"/>
        </w:rPr>
        <w:t>BlockToPatchMap array is updated as follows:</w:t>
      </w:r>
    </w:p>
    <w:p w14:paraId="282CF416" w14:textId="09ADFFA6" w:rsidR="0050235C" w:rsidRPr="00A52AB8" w:rsidRDefault="00E52C29" w:rsidP="00F20721">
      <w:r w:rsidRPr="00A52AB8">
        <w:tab/>
      </w:r>
      <w:r w:rsidR="00A74AF0" w:rsidRPr="00A52AB8">
        <w:t>offsetPatch</w:t>
      </w:r>
      <w:r w:rsidR="00D47707" w:rsidRPr="00A52AB8">
        <w:t> = </w:t>
      </w:r>
      <w:r w:rsidR="00A74AF0" w:rsidRPr="00A52AB8">
        <w:t>0</w:t>
      </w:r>
      <w:r w:rsidR="00A74AF0" w:rsidRPr="00A52AB8">
        <w:br/>
      </w:r>
      <w:r w:rsidR="00A74AF0" w:rsidRPr="00A52AB8">
        <w:tab/>
      </w:r>
      <w:r w:rsidR="00F20721" w:rsidRPr="00A52AB8">
        <w:t>for( t</w:t>
      </w:r>
      <w:r w:rsidR="00D47707" w:rsidRPr="00A52AB8">
        <w:t> = </w:t>
      </w:r>
      <w:r w:rsidR="00F20721" w:rsidRPr="00A52AB8">
        <w:t>0; t </w:t>
      </w:r>
      <w:r w:rsidR="00A234FD" w:rsidRPr="00A52AB8">
        <w:t>&lt;=</w:t>
      </w:r>
      <w:r w:rsidR="00D47707" w:rsidRPr="00A52AB8">
        <w:t> </w:t>
      </w:r>
      <w:r w:rsidR="00F20721" w:rsidRPr="00A52AB8">
        <w:t>afti_num_tiles_in_atlas_frame_minus1; t</w:t>
      </w:r>
      <w:r w:rsidR="00006CCF" w:rsidRPr="00A52AB8">
        <w:t>++ </w:t>
      </w:r>
      <w:r w:rsidR="008F1F82" w:rsidRPr="00A52AB8">
        <w:t>) {</w:t>
      </w:r>
      <w:r w:rsidR="00F20721" w:rsidRPr="00A52AB8">
        <w:br/>
      </w:r>
      <w:r w:rsidR="00F20721" w:rsidRPr="00A52AB8">
        <w:tab/>
      </w:r>
      <w:r w:rsidR="00F20721" w:rsidRPr="00A52AB8">
        <w:tab/>
        <w:t>tileID</w:t>
      </w:r>
      <w:r w:rsidR="00D47707" w:rsidRPr="00A52AB8">
        <w:t> = </w:t>
      </w:r>
      <w:r w:rsidR="00F20721" w:rsidRPr="00A52AB8">
        <w:t>TileIndexToID[ t ]</w:t>
      </w:r>
      <w:r w:rsidR="00F20721" w:rsidRPr="00A52AB8">
        <w:br/>
      </w:r>
      <w:r w:rsidR="00F20721" w:rsidRPr="00A52AB8">
        <w:tab/>
      </w:r>
      <w:r w:rsidR="00F20721" w:rsidRPr="00A52AB8">
        <w:tab/>
        <w:t>tileOffsetX</w:t>
      </w:r>
      <w:r w:rsidR="00D47707" w:rsidRPr="00A52AB8">
        <w:t> = </w:t>
      </w:r>
      <w:r w:rsidR="00F20721" w:rsidRPr="00A52AB8">
        <w:t>TileOffsetX[ t ]</w:t>
      </w:r>
      <w:r w:rsidR="00F20721" w:rsidRPr="00A52AB8">
        <w:br/>
      </w:r>
      <w:r w:rsidR="00F20721" w:rsidRPr="00A52AB8">
        <w:tab/>
      </w:r>
      <w:r w:rsidR="00F20721" w:rsidRPr="00A52AB8">
        <w:tab/>
        <w:t>tileOffsetY</w:t>
      </w:r>
      <w:r w:rsidR="00D47707" w:rsidRPr="00A52AB8">
        <w:t> = </w:t>
      </w:r>
      <w:r w:rsidR="00F20721" w:rsidRPr="00A52AB8">
        <w:t>TileOffsetY[ t ]</w:t>
      </w:r>
      <w:r w:rsidR="00F20721" w:rsidRPr="00A52AB8">
        <w:br/>
      </w:r>
      <w:r w:rsidR="00F20721" w:rsidRPr="00A52AB8">
        <w:rPr>
          <w:color w:val="000000" w:themeColor="text1"/>
        </w:rPr>
        <w:tab/>
      </w:r>
      <w:r w:rsidR="00F20721" w:rsidRPr="00A52AB8">
        <w:rPr>
          <w:color w:val="000000" w:themeColor="text1"/>
        </w:rPr>
        <w:tab/>
        <w:t>for( blkY</w:t>
      </w:r>
      <w:r w:rsidR="00D47707" w:rsidRPr="00A52AB8">
        <w:rPr>
          <w:color w:val="000000" w:themeColor="text1"/>
        </w:rPr>
        <w:t> = </w:t>
      </w:r>
      <w:r w:rsidR="00F20721" w:rsidRPr="00A52AB8">
        <w:rPr>
          <w:color w:val="000000" w:themeColor="text1"/>
        </w:rPr>
        <w:t>0; blkY &lt; TileBlockToPatchMapHeight</w:t>
      </w:r>
      <w:r w:rsidR="00F20721" w:rsidRPr="00A52AB8">
        <w:t>[ tileID ]</w:t>
      </w:r>
      <w:r w:rsidR="00F20721" w:rsidRPr="00A52AB8">
        <w:rPr>
          <w:color w:val="000000" w:themeColor="text1"/>
        </w:rPr>
        <w:t>; blkY</w:t>
      </w:r>
      <w:r w:rsidR="00006CCF" w:rsidRPr="00A52AB8">
        <w:rPr>
          <w:color w:val="000000" w:themeColor="text1"/>
        </w:rPr>
        <w:t>++ </w:t>
      </w:r>
      <w:r w:rsidR="008F1F82" w:rsidRPr="00A52AB8">
        <w:rPr>
          <w:color w:val="000000" w:themeColor="text1"/>
        </w:rPr>
        <w:t>) {</w:t>
      </w:r>
      <w:r w:rsidR="00F20721" w:rsidRPr="00A52AB8">
        <w:rPr>
          <w:color w:val="000000" w:themeColor="text1"/>
        </w:rPr>
        <w:br/>
      </w:r>
      <w:r w:rsidR="00F20721" w:rsidRPr="00A52AB8">
        <w:rPr>
          <w:color w:val="000000" w:themeColor="text1"/>
        </w:rPr>
        <w:tab/>
      </w:r>
      <w:r w:rsidR="00F20721" w:rsidRPr="00A52AB8">
        <w:rPr>
          <w:color w:val="000000" w:themeColor="text1"/>
        </w:rPr>
        <w:tab/>
      </w:r>
      <w:r w:rsidR="00F20721" w:rsidRPr="00A52AB8">
        <w:rPr>
          <w:color w:val="000000" w:themeColor="text1"/>
        </w:rPr>
        <w:tab/>
        <w:t>for( blkX</w:t>
      </w:r>
      <w:r w:rsidR="00D47707" w:rsidRPr="00A52AB8">
        <w:rPr>
          <w:color w:val="000000" w:themeColor="text1"/>
        </w:rPr>
        <w:t> = </w:t>
      </w:r>
      <w:r w:rsidR="00F20721" w:rsidRPr="00A52AB8">
        <w:rPr>
          <w:color w:val="000000" w:themeColor="text1"/>
        </w:rPr>
        <w:t>0; blkX &lt; TileBlockToPatchMapWidth</w:t>
      </w:r>
      <w:r w:rsidR="00F20721" w:rsidRPr="00A52AB8">
        <w:t>[ tileID ]</w:t>
      </w:r>
      <w:r w:rsidR="00F20721" w:rsidRPr="00A52AB8">
        <w:rPr>
          <w:color w:val="000000" w:themeColor="text1"/>
        </w:rPr>
        <w:t>; blkX</w:t>
      </w:r>
      <w:r w:rsidR="00006CCF" w:rsidRPr="00A52AB8">
        <w:rPr>
          <w:color w:val="000000" w:themeColor="text1"/>
        </w:rPr>
        <w:t>++ </w:t>
      </w:r>
      <w:r w:rsidR="008F1F82" w:rsidRPr="00A52AB8">
        <w:rPr>
          <w:color w:val="000000" w:themeColor="text1"/>
        </w:rPr>
        <w:t>) {</w:t>
      </w:r>
      <w:r w:rsidR="006534ED" w:rsidRPr="00A52AB8">
        <w:rPr>
          <w:color w:val="000000" w:themeColor="text1"/>
        </w:rPr>
        <w:br/>
      </w:r>
      <w:r w:rsidR="006534ED" w:rsidRPr="00A52AB8">
        <w:rPr>
          <w:color w:val="000000" w:themeColor="text1"/>
        </w:rPr>
        <w:tab/>
      </w:r>
      <w:r w:rsidR="006534ED" w:rsidRPr="00A52AB8">
        <w:rPr>
          <w:color w:val="000000" w:themeColor="text1"/>
        </w:rPr>
        <w:tab/>
      </w:r>
      <w:r w:rsidR="006534ED" w:rsidRPr="00A52AB8">
        <w:rPr>
          <w:color w:val="000000" w:themeColor="text1"/>
        </w:rPr>
        <w:tab/>
      </w:r>
      <w:r w:rsidR="006534ED" w:rsidRPr="00A52AB8">
        <w:rPr>
          <w:color w:val="000000" w:themeColor="text1"/>
        </w:rPr>
        <w:tab/>
        <w:t>y</w:t>
      </w:r>
      <w:r w:rsidR="00D47707" w:rsidRPr="00A52AB8">
        <w:rPr>
          <w:color w:val="000000" w:themeColor="text1"/>
        </w:rPr>
        <w:t> = </w:t>
      </w:r>
      <w:r w:rsidR="006534ED" w:rsidRPr="00A52AB8">
        <w:t>tileOffsetY / PatchPackingBlockSize</w:t>
      </w:r>
      <w:r w:rsidR="00E57269" w:rsidRPr="00A52AB8">
        <w:t> + blkY</w:t>
      </w:r>
      <w:r w:rsidR="00C61E38" w:rsidRPr="00A52AB8">
        <w:br/>
      </w:r>
      <w:r w:rsidR="006534ED" w:rsidRPr="00A52AB8">
        <w:tab/>
      </w:r>
      <w:r w:rsidR="006534ED" w:rsidRPr="00A52AB8">
        <w:tab/>
      </w:r>
      <w:r w:rsidR="006534ED" w:rsidRPr="00A52AB8">
        <w:tab/>
      </w:r>
      <w:r w:rsidR="006534ED" w:rsidRPr="00A52AB8">
        <w:tab/>
      </w:r>
      <w:r w:rsidR="00306F4E" w:rsidRPr="00A52AB8">
        <w:t>x</w:t>
      </w:r>
      <w:r w:rsidR="00D47707" w:rsidRPr="00A52AB8">
        <w:t> = </w:t>
      </w:r>
      <w:r w:rsidR="00306F4E" w:rsidRPr="00A52AB8">
        <w:t>tileOffsetX / PatchPackingBlockSize </w:t>
      </w:r>
      <w:r w:rsidR="00E57269" w:rsidRPr="00A52AB8">
        <w:t>+ blkX</w:t>
      </w:r>
      <w:r w:rsidR="002145EE" w:rsidRPr="00A52AB8">
        <w:br/>
      </w:r>
      <w:r w:rsidR="002145EE" w:rsidRPr="00A52AB8">
        <w:tab/>
      </w:r>
      <w:r w:rsidR="002145EE" w:rsidRPr="00A52AB8">
        <w:tab/>
      </w:r>
      <w:r w:rsidR="002145EE" w:rsidRPr="00A52AB8">
        <w:tab/>
      </w:r>
      <w:r w:rsidR="002145EE" w:rsidRPr="00A52AB8">
        <w:tab/>
      </w:r>
      <w:r w:rsidR="004B454F" w:rsidRPr="00A52AB8">
        <w:t>offset</w:t>
      </w:r>
      <w:r w:rsidR="00D47707" w:rsidRPr="00A52AB8">
        <w:t> = </w:t>
      </w:r>
      <w:r w:rsidR="004B454F" w:rsidRPr="00A52AB8">
        <w:t>(</w:t>
      </w:r>
      <w:r w:rsidR="003708D0" w:rsidRPr="00A52AB8">
        <w:t> </w:t>
      </w:r>
      <w:r w:rsidR="008F6738" w:rsidRPr="00A52AB8">
        <w:t>TileBlockToPatchMap[ tileID ][ blkY ][ blkX ]</w:t>
      </w:r>
      <w:r w:rsidR="008768E9" w:rsidRPr="00A52AB8">
        <w:t> </w:t>
      </w:r>
      <w:r w:rsidR="00726AAE" w:rsidRPr="00A52AB8">
        <w:t>==</w:t>
      </w:r>
      <w:r w:rsidR="00D47707" w:rsidRPr="00A52AB8">
        <w:t> </w:t>
      </w:r>
      <w:r w:rsidR="008F6738" w:rsidRPr="00A52AB8">
        <w:rPr>
          <w:color w:val="000000" w:themeColor="text1"/>
        </w:rPr>
        <w:t>−</w:t>
      </w:r>
      <w:r w:rsidR="008F6738" w:rsidRPr="00A52AB8">
        <w:t>1 </w:t>
      </w:r>
      <w:r w:rsidR="004B454F" w:rsidRPr="00A52AB8">
        <w:t>) ? 0 : offsetPatch</w:t>
      </w:r>
      <w:r w:rsidR="00F20721" w:rsidRPr="00A52AB8">
        <w:rPr>
          <w:color w:val="000000" w:themeColor="text1"/>
        </w:rPr>
        <w:br/>
      </w:r>
      <w:r w:rsidR="00F20721" w:rsidRPr="00A52AB8">
        <w:tab/>
      </w:r>
      <w:r w:rsidR="00F20721" w:rsidRPr="00A52AB8">
        <w:tab/>
      </w:r>
      <w:r w:rsidR="00F20721" w:rsidRPr="00A52AB8">
        <w:tab/>
      </w:r>
      <w:r w:rsidR="00F20721" w:rsidRPr="00A52AB8">
        <w:tab/>
        <w:t>AtlasBlockToPatchMap[ </w:t>
      </w:r>
      <w:r w:rsidR="006534ED" w:rsidRPr="00A52AB8">
        <w:t>y </w:t>
      </w:r>
      <w:r w:rsidR="00F20721" w:rsidRPr="00A52AB8">
        <w:t>][ </w:t>
      </w:r>
      <w:r w:rsidR="0075001E" w:rsidRPr="00A52AB8">
        <w:t>x</w:t>
      </w:r>
      <w:r w:rsidR="00F20721" w:rsidRPr="00A52AB8">
        <w:t> ]</w:t>
      </w:r>
      <w:r w:rsidR="00D47707" w:rsidRPr="00A52AB8">
        <w:t> = </w:t>
      </w:r>
      <w:r w:rsidR="00F20721" w:rsidRPr="00A52AB8">
        <w:t>TileBlockToPatchMap[ tileID ][ blkY ][ blkX ]</w:t>
      </w:r>
      <w:r w:rsidR="003B0F10" w:rsidRPr="00A52AB8">
        <w:t> +</w:t>
      </w:r>
      <w:r w:rsidR="006534ED" w:rsidRPr="00A52AB8">
        <w:t> </w:t>
      </w:r>
      <w:r w:rsidR="004B454F" w:rsidRPr="00A52AB8">
        <w:t>offset</w:t>
      </w:r>
      <w:r w:rsidR="00F20721" w:rsidRPr="00A52AB8">
        <w:tab/>
      </w:r>
      <w:r w:rsidR="00F20721" w:rsidRPr="00A52AB8">
        <w:tab/>
      </w:r>
      <w:r w:rsidR="00F20721" w:rsidRPr="00A52AB8">
        <w:tab/>
      </w:r>
      <w:r w:rsidR="00E92F0A" w:rsidRPr="00A52AB8">
        <w:tab/>
      </w:r>
      <w:r w:rsidR="00F20721" w:rsidRPr="00A52AB8">
        <w:t>}</w:t>
      </w:r>
      <w:r w:rsidR="00F20721" w:rsidRPr="00A52AB8">
        <w:br/>
      </w:r>
      <w:r w:rsidR="00F20721" w:rsidRPr="00A52AB8">
        <w:tab/>
      </w:r>
      <w:r w:rsidR="00F20721" w:rsidRPr="00A52AB8">
        <w:tab/>
        <w:t>}</w:t>
      </w:r>
      <w:r w:rsidR="00BA7E85" w:rsidRPr="00A52AB8">
        <w:br/>
      </w:r>
      <w:r w:rsidR="00BA7E85" w:rsidRPr="00A52AB8">
        <w:tab/>
      </w:r>
      <w:r w:rsidR="00365C6E" w:rsidRPr="00A52AB8">
        <w:tab/>
      </w:r>
      <w:r w:rsidR="009B535C" w:rsidRPr="00A52AB8">
        <w:t>offsetPatch </w:t>
      </w:r>
      <w:r w:rsidR="00A234FD" w:rsidRPr="00A52AB8">
        <w:t>+=</w:t>
      </w:r>
      <w:r w:rsidR="00D47707" w:rsidRPr="00A52AB8">
        <w:t> </w:t>
      </w:r>
      <w:r w:rsidR="009B535C" w:rsidRPr="00A52AB8">
        <w:t>Atdu</w:t>
      </w:r>
      <w:r w:rsidR="00D12C68" w:rsidRPr="00A52AB8">
        <w:t>TotalNum</w:t>
      </w:r>
      <w:r w:rsidR="009B535C" w:rsidRPr="00A52AB8">
        <w:t>Patches[ tileID]</w:t>
      </w:r>
      <w:r w:rsidR="00F20721" w:rsidRPr="00A52AB8">
        <w:br/>
      </w:r>
      <w:r w:rsidR="00F20721" w:rsidRPr="00A52AB8">
        <w:tab/>
        <w:t>}</w:t>
      </w:r>
      <w:r w:rsidR="0065625C" w:rsidRPr="00A52AB8">
        <w:br/>
      </w:r>
      <w:r w:rsidR="0065625C" w:rsidRPr="00A52AB8">
        <w:tab/>
      </w:r>
      <w:r w:rsidR="0065625C" w:rsidRPr="00A52AB8">
        <w:rPr>
          <w:lang w:eastAsia="ja-JP"/>
        </w:rPr>
        <w:t>Atlas</w:t>
      </w:r>
      <w:r w:rsidR="00D12C68" w:rsidRPr="00A52AB8">
        <w:rPr>
          <w:lang w:eastAsia="ja-JP"/>
        </w:rPr>
        <w:t>TotalNum</w:t>
      </w:r>
      <w:r w:rsidR="0065625C" w:rsidRPr="00A52AB8">
        <w:rPr>
          <w:lang w:eastAsia="ja-JP"/>
        </w:rPr>
        <w:t>Patches</w:t>
      </w:r>
      <w:r w:rsidR="00D47707" w:rsidRPr="00A52AB8">
        <w:rPr>
          <w:lang w:eastAsia="ja-JP"/>
        </w:rPr>
        <w:t> = </w:t>
      </w:r>
      <w:r w:rsidR="0065625C" w:rsidRPr="00A52AB8">
        <w:t>offsetPatch</w:t>
      </w:r>
    </w:p>
    <w:p w14:paraId="30564797" w14:textId="39A27345" w:rsidR="00F20721" w:rsidRPr="00A52AB8" w:rsidRDefault="00F20721" w:rsidP="00F01345">
      <w:pPr>
        <w:pStyle w:val="Heading4"/>
        <w:tabs>
          <w:tab w:val="num" w:pos="7200"/>
        </w:tabs>
      </w:pPr>
      <w:bookmarkStart w:id="1537" w:name="_Ref47729736"/>
      <w:r w:rsidRPr="00A52AB8">
        <w:t>Conversion of tile level patch information to atlas level patch information</w:t>
      </w:r>
      <w:bookmarkEnd w:id="1537"/>
    </w:p>
    <w:p w14:paraId="7905446B" w14:textId="77777777" w:rsidR="00F51CE0" w:rsidRPr="00A52AB8" w:rsidRDefault="00F51CE0" w:rsidP="007656E5">
      <w:pPr>
        <w:pStyle w:val="Heading5"/>
      </w:pPr>
      <w:bookmarkStart w:id="1538" w:name="_Ref48258561"/>
      <w:r w:rsidRPr="00A52AB8">
        <w:t>General</w:t>
      </w:r>
      <w:bookmarkEnd w:id="1538"/>
    </w:p>
    <w:p w14:paraId="5A1EB188" w14:textId="5D552D39" w:rsidR="007165E8" w:rsidRPr="00A52AB8" w:rsidRDefault="007165E8" w:rsidP="007165E8">
      <w:r w:rsidRPr="00A52AB8">
        <w:t>In this subclause tile level patch information is converted to atlas level patch information</w:t>
      </w:r>
      <w:r w:rsidR="001D5040" w:rsidRPr="00A52AB8">
        <w:t xml:space="preserve">, using also the processes </w:t>
      </w:r>
      <w:r w:rsidR="001D5040" w:rsidRPr="00A52AB8">
        <w:rPr>
          <w:lang w:eastAsia="ja-JP"/>
        </w:rPr>
        <w:t>CommonTilePatchParamsToAtlas(tileID, p) and ApplicationTilePatchParamsToAtlas(tileID, p) defined</w:t>
      </w:r>
      <w:r w:rsidRPr="00A52AB8">
        <w:rPr>
          <w:color w:val="000000" w:themeColor="text1"/>
        </w:rPr>
        <w:t xml:space="preserve"> </w:t>
      </w:r>
      <w:r w:rsidR="001D5040" w:rsidRPr="00A52AB8">
        <w:rPr>
          <w:color w:val="000000" w:themeColor="text1"/>
        </w:rPr>
        <w:t xml:space="preserve">in subclauses </w:t>
      </w:r>
      <w:r w:rsidR="001D5040" w:rsidRPr="00496A4D">
        <w:rPr>
          <w:color w:val="000000" w:themeColor="text1"/>
        </w:rPr>
        <w:fldChar w:fldCharType="begin"/>
      </w:r>
      <w:r w:rsidR="001D5040" w:rsidRPr="00A52AB8">
        <w:rPr>
          <w:color w:val="000000" w:themeColor="text1"/>
        </w:rPr>
        <w:instrText xml:space="preserve"> REF _Ref48257389 \r \h </w:instrText>
      </w:r>
      <w:r w:rsidR="00851254" w:rsidRPr="00A52AB8">
        <w:rPr>
          <w:color w:val="000000" w:themeColor="text1"/>
        </w:rPr>
        <w:instrText xml:space="preserve"> \* MERGEFORMAT </w:instrText>
      </w:r>
      <w:r w:rsidR="001D5040" w:rsidRPr="00496A4D">
        <w:rPr>
          <w:color w:val="000000" w:themeColor="text1"/>
        </w:rPr>
      </w:r>
      <w:r w:rsidR="001D5040" w:rsidRPr="00496A4D">
        <w:rPr>
          <w:color w:val="000000" w:themeColor="text1"/>
        </w:rPr>
        <w:fldChar w:fldCharType="separate"/>
      </w:r>
      <w:r w:rsidR="00507A67">
        <w:rPr>
          <w:color w:val="000000" w:themeColor="text1"/>
        </w:rPr>
        <w:t>9.2.7.3.2</w:t>
      </w:r>
      <w:r w:rsidR="001D5040" w:rsidRPr="00496A4D">
        <w:rPr>
          <w:color w:val="000000" w:themeColor="text1"/>
        </w:rPr>
        <w:fldChar w:fldCharType="end"/>
      </w:r>
      <w:r w:rsidR="001D5040" w:rsidRPr="00A52AB8">
        <w:rPr>
          <w:color w:val="000000" w:themeColor="text1"/>
        </w:rPr>
        <w:t xml:space="preserve"> and </w:t>
      </w:r>
      <w:r w:rsidR="001D5040" w:rsidRPr="00496A4D">
        <w:rPr>
          <w:color w:val="000000" w:themeColor="text1"/>
        </w:rPr>
        <w:fldChar w:fldCharType="begin"/>
      </w:r>
      <w:r w:rsidR="001D5040" w:rsidRPr="00A52AB8">
        <w:rPr>
          <w:color w:val="000000" w:themeColor="text1"/>
        </w:rPr>
        <w:instrText xml:space="preserve"> REF _Ref48257391 \r \h </w:instrText>
      </w:r>
      <w:r w:rsidR="00851254" w:rsidRPr="00A52AB8">
        <w:rPr>
          <w:color w:val="000000" w:themeColor="text1"/>
        </w:rPr>
        <w:instrText xml:space="preserve"> \* MERGEFORMAT </w:instrText>
      </w:r>
      <w:r w:rsidR="001D5040" w:rsidRPr="00496A4D">
        <w:rPr>
          <w:color w:val="000000" w:themeColor="text1"/>
        </w:rPr>
      </w:r>
      <w:r w:rsidR="001D5040" w:rsidRPr="00496A4D">
        <w:rPr>
          <w:color w:val="000000" w:themeColor="text1"/>
        </w:rPr>
        <w:fldChar w:fldCharType="separate"/>
      </w:r>
      <w:r w:rsidR="00507A67">
        <w:rPr>
          <w:color w:val="000000" w:themeColor="text1"/>
        </w:rPr>
        <w:t>9.2.7.3.3</w:t>
      </w:r>
      <w:r w:rsidR="001D5040" w:rsidRPr="00496A4D">
        <w:rPr>
          <w:color w:val="000000" w:themeColor="text1"/>
        </w:rPr>
        <w:fldChar w:fldCharType="end"/>
      </w:r>
      <w:r w:rsidR="001D5040" w:rsidRPr="00A52AB8">
        <w:rPr>
          <w:color w:val="000000" w:themeColor="text1"/>
        </w:rPr>
        <w:t xml:space="preserve">, respectively, </w:t>
      </w:r>
      <w:r w:rsidRPr="00A52AB8">
        <w:rPr>
          <w:color w:val="000000" w:themeColor="text1"/>
        </w:rPr>
        <w:t>as follows:</w:t>
      </w:r>
    </w:p>
    <w:p w14:paraId="668DA790" w14:textId="46D8E1D6" w:rsidR="00C53269" w:rsidRPr="00A52AB8" w:rsidRDefault="002C3ED1" w:rsidP="003D4541">
      <w:pPr>
        <w:spacing w:after="0"/>
        <w:rPr>
          <w:lang w:eastAsia="ja-JP"/>
        </w:rPr>
      </w:pPr>
      <w:r w:rsidRPr="00A52AB8">
        <w:rPr>
          <w:lang w:eastAsia="ja-JP"/>
        </w:rPr>
        <w:tab/>
        <w:t>NumRawPoints</w:t>
      </w:r>
      <w:r w:rsidR="00D47707" w:rsidRPr="00A52AB8">
        <w:rPr>
          <w:lang w:eastAsia="ja-JP"/>
        </w:rPr>
        <w:t> = </w:t>
      </w:r>
      <w:r w:rsidRPr="00A52AB8">
        <w:rPr>
          <w:lang w:eastAsia="ja-JP"/>
        </w:rPr>
        <w:t>0</w:t>
      </w:r>
      <w:r w:rsidRPr="00A52AB8">
        <w:rPr>
          <w:lang w:eastAsia="ja-JP"/>
        </w:rPr>
        <w:br/>
      </w:r>
      <w:r w:rsidRPr="00A52AB8">
        <w:rPr>
          <w:lang w:eastAsia="ja-JP"/>
        </w:rPr>
        <w:tab/>
        <w:t>NumE</w:t>
      </w:r>
      <w:r w:rsidR="00EA009F" w:rsidRPr="00A52AB8">
        <w:rPr>
          <w:lang w:eastAsia="ja-JP"/>
        </w:rPr>
        <w:t>OM</w:t>
      </w:r>
      <w:r w:rsidRPr="00A52AB8">
        <w:rPr>
          <w:lang w:eastAsia="ja-JP"/>
        </w:rPr>
        <w:t>Points</w:t>
      </w:r>
      <w:r w:rsidR="00D47707" w:rsidRPr="00A52AB8">
        <w:rPr>
          <w:lang w:eastAsia="ja-JP"/>
        </w:rPr>
        <w:t> = </w:t>
      </w:r>
      <w:r w:rsidRPr="00A52AB8">
        <w:rPr>
          <w:lang w:eastAsia="ja-JP"/>
        </w:rPr>
        <w:t>0</w:t>
      </w:r>
      <w:r w:rsidRPr="00A52AB8">
        <w:rPr>
          <w:lang w:eastAsia="ja-JP"/>
        </w:rPr>
        <w:br/>
      </w:r>
      <w:r w:rsidRPr="00A52AB8">
        <w:rPr>
          <w:lang w:eastAsia="ja-JP"/>
        </w:rPr>
        <w:tab/>
        <w:t>Atlas</w:t>
      </w:r>
      <w:r w:rsidR="00D12C68" w:rsidRPr="00A52AB8">
        <w:rPr>
          <w:lang w:eastAsia="ja-JP"/>
        </w:rPr>
        <w:t>TotalNum</w:t>
      </w:r>
      <w:r w:rsidRPr="00A52AB8">
        <w:rPr>
          <w:lang w:eastAsia="ja-JP"/>
        </w:rPr>
        <w:t>Patches</w:t>
      </w:r>
      <w:r w:rsidR="00D47707" w:rsidRPr="00A52AB8">
        <w:rPr>
          <w:lang w:eastAsia="ja-JP"/>
        </w:rPr>
        <w:t> = </w:t>
      </w:r>
      <w:r w:rsidRPr="00A52AB8">
        <w:rPr>
          <w:lang w:eastAsia="ja-JP"/>
        </w:rPr>
        <w:t>0</w:t>
      </w:r>
      <w:r w:rsidR="007F5D55" w:rsidRPr="00A52AB8">
        <w:rPr>
          <w:lang w:eastAsia="ja-JP"/>
        </w:rPr>
        <w:br/>
      </w:r>
      <w:r w:rsidR="007F5D55" w:rsidRPr="00A52AB8">
        <w:rPr>
          <w:lang w:eastAsia="ja-JP"/>
        </w:rPr>
        <w:tab/>
        <w:t>Atlas</w:t>
      </w:r>
      <w:r w:rsidR="00D12C68" w:rsidRPr="00A52AB8">
        <w:rPr>
          <w:lang w:eastAsia="ja-JP"/>
        </w:rPr>
        <w:t>TotalNum</w:t>
      </w:r>
      <w:r w:rsidR="007F5D55" w:rsidRPr="00A52AB8">
        <w:rPr>
          <w:lang w:eastAsia="ja-JP"/>
        </w:rPr>
        <w:t>P</w:t>
      </w:r>
      <w:r w:rsidR="00D12C68" w:rsidRPr="00A52AB8">
        <w:rPr>
          <w:lang w:eastAsia="ja-JP"/>
        </w:rPr>
        <w:t>roj</w:t>
      </w:r>
      <w:r w:rsidR="007F5D55" w:rsidRPr="00A52AB8">
        <w:rPr>
          <w:lang w:eastAsia="ja-JP"/>
        </w:rPr>
        <w:t>Patches</w:t>
      </w:r>
      <w:r w:rsidR="00D47707" w:rsidRPr="00A52AB8">
        <w:rPr>
          <w:lang w:eastAsia="ja-JP"/>
        </w:rPr>
        <w:t> = </w:t>
      </w:r>
      <w:r w:rsidR="007F5D55" w:rsidRPr="00A52AB8">
        <w:rPr>
          <w:lang w:eastAsia="ja-JP"/>
        </w:rPr>
        <w:t>0</w:t>
      </w:r>
      <w:r w:rsidRPr="00A52AB8">
        <w:rPr>
          <w:lang w:eastAsia="ja-JP"/>
        </w:rPr>
        <w:br/>
      </w:r>
      <w:r w:rsidRPr="00A52AB8">
        <w:rPr>
          <w:lang w:eastAsia="ja-JP"/>
        </w:rPr>
        <w:tab/>
        <w:t>Atlas</w:t>
      </w:r>
      <w:r w:rsidR="00D12C68" w:rsidRPr="00A52AB8">
        <w:rPr>
          <w:lang w:eastAsia="ja-JP"/>
        </w:rPr>
        <w:t>TotalNum</w:t>
      </w:r>
      <w:r w:rsidRPr="00A52AB8">
        <w:rPr>
          <w:lang w:eastAsia="ja-JP"/>
        </w:rPr>
        <w:t>EOMPatches</w:t>
      </w:r>
      <w:r w:rsidR="00D47707" w:rsidRPr="00A52AB8">
        <w:rPr>
          <w:lang w:eastAsia="ja-JP"/>
        </w:rPr>
        <w:t> = </w:t>
      </w:r>
      <w:r w:rsidRPr="00A52AB8">
        <w:rPr>
          <w:lang w:eastAsia="ja-JP"/>
        </w:rPr>
        <w:t>0</w:t>
      </w:r>
      <w:r w:rsidRPr="00A52AB8">
        <w:rPr>
          <w:lang w:eastAsia="ja-JP"/>
        </w:rPr>
        <w:br/>
      </w:r>
      <w:r w:rsidRPr="00A52AB8">
        <w:rPr>
          <w:lang w:eastAsia="ja-JP"/>
        </w:rPr>
        <w:tab/>
        <w:t>Atlas</w:t>
      </w:r>
      <w:r w:rsidR="00D12C68" w:rsidRPr="00A52AB8">
        <w:rPr>
          <w:lang w:eastAsia="ja-JP"/>
        </w:rPr>
        <w:t>TotalNum</w:t>
      </w:r>
      <w:r w:rsidRPr="00A52AB8">
        <w:rPr>
          <w:lang w:eastAsia="ja-JP"/>
        </w:rPr>
        <w:t>RawPatches</w:t>
      </w:r>
      <w:r w:rsidR="00D47707" w:rsidRPr="00A52AB8">
        <w:rPr>
          <w:lang w:eastAsia="ja-JP"/>
        </w:rPr>
        <w:t> = </w:t>
      </w:r>
      <w:r w:rsidRPr="00A52AB8">
        <w:rPr>
          <w:lang w:eastAsia="ja-JP"/>
        </w:rPr>
        <w:t>0</w:t>
      </w:r>
      <w:r w:rsidR="00A71569" w:rsidRPr="00A52AB8">
        <w:rPr>
          <w:lang w:eastAsia="ja-JP"/>
        </w:rPr>
        <w:br/>
      </w:r>
      <w:r w:rsidR="003D4541" w:rsidRPr="00A52AB8">
        <w:rPr>
          <w:lang w:eastAsia="ja-JP"/>
        </w:rPr>
        <w:tab/>
        <w:t>atlasPatchIdx</w:t>
      </w:r>
      <w:r w:rsidR="00D47707" w:rsidRPr="00A52AB8">
        <w:rPr>
          <w:lang w:eastAsia="ja-JP"/>
        </w:rPr>
        <w:t> = </w:t>
      </w:r>
      <w:r w:rsidR="003D4541" w:rsidRPr="00A52AB8">
        <w:rPr>
          <w:lang w:eastAsia="ja-JP"/>
        </w:rPr>
        <w:t>0</w:t>
      </w:r>
    </w:p>
    <w:p w14:paraId="63623480" w14:textId="6C07DB50" w:rsidR="003D4541" w:rsidRPr="00A52AB8" w:rsidRDefault="00C53269" w:rsidP="003D4541">
      <w:pPr>
        <w:spacing w:after="0"/>
        <w:rPr>
          <w:color w:val="000000" w:themeColor="text1"/>
        </w:rPr>
      </w:pPr>
      <w:r w:rsidRPr="00A52AB8">
        <w:rPr>
          <w:lang w:eastAsia="ja-JP"/>
        </w:rPr>
        <w:tab/>
      </w:r>
      <w:r w:rsidRPr="00A52AB8">
        <w:t>offsetPatch</w:t>
      </w:r>
      <w:r w:rsidR="00D47707" w:rsidRPr="00A52AB8">
        <w:t> = </w:t>
      </w:r>
      <w:r w:rsidRPr="00A52AB8">
        <w:t>0</w:t>
      </w:r>
      <w:r w:rsidR="00C9451E" w:rsidRPr="00A52AB8">
        <w:rPr>
          <w:lang w:eastAsia="ja-JP"/>
        </w:rPr>
        <w:br/>
      </w:r>
      <w:r w:rsidR="003D4541" w:rsidRPr="00A52AB8">
        <w:rPr>
          <w:lang w:eastAsia="ja-JP"/>
        </w:rPr>
        <w:br/>
      </w:r>
      <w:r w:rsidR="003D4541" w:rsidRPr="00A52AB8">
        <w:rPr>
          <w:lang w:eastAsia="ja-JP"/>
        </w:rPr>
        <w:tab/>
      </w:r>
      <w:r w:rsidR="003D4541" w:rsidRPr="00A52AB8">
        <w:rPr>
          <w:color w:val="000000" w:themeColor="text1"/>
        </w:rPr>
        <w:t>for( t</w:t>
      </w:r>
      <w:r w:rsidR="00D47707" w:rsidRPr="00A52AB8">
        <w:rPr>
          <w:color w:val="000000" w:themeColor="text1"/>
        </w:rPr>
        <w:t> = </w:t>
      </w:r>
      <w:r w:rsidR="003D4541" w:rsidRPr="00A52AB8">
        <w:rPr>
          <w:color w:val="000000" w:themeColor="text1"/>
        </w:rPr>
        <w:t>0; t </w:t>
      </w:r>
      <w:r w:rsidR="00A234FD" w:rsidRPr="00A52AB8">
        <w:rPr>
          <w:color w:val="000000" w:themeColor="text1"/>
        </w:rPr>
        <w:t>&lt;=</w:t>
      </w:r>
      <w:r w:rsidR="00D47707" w:rsidRPr="00A52AB8">
        <w:rPr>
          <w:color w:val="000000" w:themeColor="text1"/>
        </w:rPr>
        <w:t> </w:t>
      </w:r>
      <w:r w:rsidR="003D4541" w:rsidRPr="00A52AB8">
        <w:rPr>
          <w:color w:val="000000" w:themeColor="text1"/>
        </w:rPr>
        <w:t>afti_num_tiles_in_atlas_frame_minus1; t</w:t>
      </w:r>
      <w:r w:rsidR="00006CCF" w:rsidRPr="00A52AB8">
        <w:rPr>
          <w:color w:val="000000" w:themeColor="text1"/>
        </w:rPr>
        <w:t>++ </w:t>
      </w:r>
      <w:r w:rsidR="008F1F82" w:rsidRPr="00A52AB8">
        <w:rPr>
          <w:color w:val="000000" w:themeColor="text1"/>
        </w:rPr>
        <w:t>) {</w:t>
      </w:r>
      <w:r w:rsidR="00531E02" w:rsidRPr="00A52AB8">
        <w:rPr>
          <w:color w:val="000000" w:themeColor="text1"/>
        </w:rPr>
        <w:br/>
      </w:r>
      <w:r w:rsidR="003D4541" w:rsidRPr="00A52AB8">
        <w:rPr>
          <w:color w:val="000000" w:themeColor="text1"/>
        </w:rPr>
        <w:tab/>
      </w:r>
      <w:r w:rsidR="003D4541" w:rsidRPr="00A52AB8">
        <w:rPr>
          <w:color w:val="000000" w:themeColor="text1"/>
        </w:rPr>
        <w:tab/>
        <w:t>tileID</w:t>
      </w:r>
      <w:r w:rsidR="00D47707" w:rsidRPr="00A52AB8">
        <w:rPr>
          <w:color w:val="000000" w:themeColor="text1"/>
        </w:rPr>
        <w:t> = </w:t>
      </w:r>
      <w:r w:rsidR="003D4541" w:rsidRPr="00A52AB8">
        <w:rPr>
          <w:color w:val="000000" w:themeColor="text1"/>
        </w:rPr>
        <w:t>TileIndexToID[</w:t>
      </w:r>
      <w:r w:rsidR="0003130D" w:rsidRPr="00A52AB8">
        <w:rPr>
          <w:color w:val="000000" w:themeColor="text1"/>
        </w:rPr>
        <w:t> </w:t>
      </w:r>
      <w:r w:rsidR="003D4541" w:rsidRPr="00A52AB8">
        <w:rPr>
          <w:color w:val="000000" w:themeColor="text1"/>
        </w:rPr>
        <w:t>t</w:t>
      </w:r>
      <w:r w:rsidR="0003130D" w:rsidRPr="00A52AB8">
        <w:rPr>
          <w:color w:val="000000" w:themeColor="text1"/>
        </w:rPr>
        <w:t> </w:t>
      </w:r>
      <w:r w:rsidR="003D4541" w:rsidRPr="00A52AB8">
        <w:rPr>
          <w:color w:val="000000" w:themeColor="text1"/>
        </w:rPr>
        <w:t>]</w:t>
      </w:r>
    </w:p>
    <w:p w14:paraId="1A3A619C" w14:textId="265A8565" w:rsidR="0050235C" w:rsidRPr="00A52AB8" w:rsidRDefault="003D4541" w:rsidP="005B4A2B">
      <w:pPr>
        <w:spacing w:after="0"/>
        <w:rPr>
          <w:color w:val="000000" w:themeColor="text1"/>
        </w:rPr>
      </w:pPr>
      <w:r w:rsidRPr="00A52AB8">
        <w:rPr>
          <w:color w:val="000000" w:themeColor="text1"/>
        </w:rPr>
        <w:tab/>
      </w:r>
      <w:r w:rsidRPr="00A52AB8">
        <w:rPr>
          <w:color w:val="000000" w:themeColor="text1"/>
        </w:rPr>
        <w:tab/>
        <w:t>tileOffsetX</w:t>
      </w:r>
      <w:r w:rsidR="00D47707" w:rsidRPr="00A52AB8">
        <w:rPr>
          <w:color w:val="000000" w:themeColor="text1"/>
        </w:rPr>
        <w:t> = </w:t>
      </w:r>
      <w:r w:rsidRPr="00A52AB8">
        <w:rPr>
          <w:lang w:eastAsia="ja-JP"/>
        </w:rPr>
        <w:t>Tile</w:t>
      </w:r>
      <w:r w:rsidRPr="00A52AB8">
        <w:rPr>
          <w:color w:val="000000" w:themeColor="text1"/>
        </w:rPr>
        <w:t>PatchInAuxVideo[ tileID ][ p ] ? 0 : </w:t>
      </w:r>
      <w:r w:rsidRPr="00A52AB8">
        <w:rPr>
          <w:lang w:eastAsia="ja-JP"/>
        </w:rPr>
        <w:t>TileOffsetX[ t ]</w:t>
      </w:r>
      <w:r w:rsidR="00531E02" w:rsidRPr="00A52AB8">
        <w:rPr>
          <w:lang w:eastAsia="ja-JP"/>
        </w:rPr>
        <w:br/>
      </w:r>
      <w:r w:rsidRPr="00A52AB8">
        <w:rPr>
          <w:lang w:eastAsia="ja-JP"/>
        </w:rPr>
        <w:tab/>
      </w:r>
      <w:r w:rsidRPr="00A52AB8">
        <w:rPr>
          <w:lang w:eastAsia="ja-JP"/>
        </w:rPr>
        <w:tab/>
        <w:t>tileOffsetY</w:t>
      </w:r>
      <w:r w:rsidR="00D47707" w:rsidRPr="00A52AB8">
        <w:rPr>
          <w:lang w:eastAsia="ja-JP"/>
        </w:rPr>
        <w:t> = </w:t>
      </w:r>
      <w:r w:rsidRPr="00A52AB8">
        <w:rPr>
          <w:lang w:eastAsia="ja-JP"/>
        </w:rPr>
        <w:t>Tile</w:t>
      </w:r>
      <w:r w:rsidRPr="00A52AB8">
        <w:rPr>
          <w:color w:val="000000" w:themeColor="text1"/>
        </w:rPr>
        <w:t>PatchInAuxVideo[ tileID ][ p ] ? AuxTileOffset[ t ] : </w:t>
      </w:r>
      <w:r w:rsidRPr="00A52AB8">
        <w:rPr>
          <w:lang w:eastAsia="ja-JP"/>
        </w:rPr>
        <w:t>TileOffsetY[ t ]</w:t>
      </w:r>
      <w:r w:rsidR="00531E02" w:rsidRPr="00A52AB8">
        <w:rPr>
          <w:lang w:eastAsia="ja-JP"/>
        </w:rPr>
        <w:br/>
      </w:r>
      <w:r w:rsidRPr="00A52AB8">
        <w:rPr>
          <w:color w:val="000000" w:themeColor="text1"/>
        </w:rPr>
        <w:tab/>
      </w:r>
      <w:r w:rsidRPr="00A52AB8">
        <w:rPr>
          <w:color w:val="000000" w:themeColor="text1"/>
        </w:rPr>
        <w:tab/>
        <w:t>for( p</w:t>
      </w:r>
      <w:r w:rsidR="00D47707" w:rsidRPr="00A52AB8">
        <w:rPr>
          <w:color w:val="000000" w:themeColor="text1"/>
        </w:rPr>
        <w:t> = </w:t>
      </w:r>
      <w:r w:rsidRPr="00A52AB8">
        <w:rPr>
          <w:color w:val="000000" w:themeColor="text1"/>
        </w:rPr>
        <w:t>0; p &lt; Atdu</w:t>
      </w:r>
      <w:r w:rsidR="00D12C68" w:rsidRPr="00A52AB8">
        <w:rPr>
          <w:color w:val="000000" w:themeColor="text1"/>
        </w:rPr>
        <w:t>TotalNum</w:t>
      </w:r>
      <w:r w:rsidRPr="00A52AB8">
        <w:rPr>
          <w:color w:val="000000" w:themeColor="text1"/>
        </w:rPr>
        <w:t>Patches</w:t>
      </w:r>
      <w:r w:rsidRPr="00A52AB8">
        <w:rPr>
          <w:lang w:eastAsia="ja-JP"/>
        </w:rPr>
        <w:t>[</w:t>
      </w:r>
      <w:r w:rsidRPr="00A52AB8">
        <w:rPr>
          <w:b/>
          <w:lang w:eastAsia="ja-JP"/>
        </w:rPr>
        <w:t> </w:t>
      </w:r>
      <w:r w:rsidRPr="00A52AB8">
        <w:rPr>
          <w:color w:val="000000" w:themeColor="text1"/>
        </w:rPr>
        <w:t>tileID ]; p</w:t>
      </w:r>
      <w:r w:rsidR="00006CCF" w:rsidRPr="00A52AB8">
        <w:rPr>
          <w:color w:val="000000" w:themeColor="text1"/>
        </w:rPr>
        <w:t>++ </w:t>
      </w:r>
      <w:r w:rsidR="008F1F82" w:rsidRPr="00A52AB8">
        <w:rPr>
          <w:color w:val="000000" w:themeColor="text1"/>
        </w:rPr>
        <w:t>) {</w:t>
      </w:r>
      <w:r w:rsidR="001D5040" w:rsidRPr="00A52AB8">
        <w:rPr>
          <w:color w:val="000000" w:themeColor="text1"/>
        </w:rPr>
        <w:br/>
      </w:r>
      <w:r w:rsidR="001D5040" w:rsidRPr="00A52AB8">
        <w:rPr>
          <w:color w:val="000000" w:themeColor="text1"/>
        </w:rPr>
        <w:tab/>
      </w:r>
      <w:r w:rsidR="001D5040" w:rsidRPr="00A52AB8">
        <w:rPr>
          <w:color w:val="000000" w:themeColor="text1"/>
        </w:rPr>
        <w:tab/>
      </w:r>
      <w:r w:rsidR="001D5040" w:rsidRPr="00A52AB8">
        <w:rPr>
          <w:color w:val="000000" w:themeColor="text1"/>
        </w:rPr>
        <w:tab/>
      </w:r>
      <w:r w:rsidR="001D5040" w:rsidRPr="00A52AB8">
        <w:rPr>
          <w:lang w:eastAsia="ja-JP"/>
        </w:rPr>
        <w:t>CommonTilePatchParamsToAtlas( </w:t>
      </w:r>
      <w:r w:rsidR="00866D1D" w:rsidRPr="00A52AB8">
        <w:rPr>
          <w:lang w:eastAsia="ja-JP"/>
        </w:rPr>
        <w:t>atlasP</w:t>
      </w:r>
      <w:r w:rsidR="00866D1D" w:rsidRPr="00A52AB8">
        <w:rPr>
          <w:color w:val="000000" w:themeColor="text1"/>
        </w:rPr>
        <w:t>atchIdx</w:t>
      </w:r>
      <w:r w:rsidR="00866D1D" w:rsidRPr="00A52AB8">
        <w:rPr>
          <w:lang w:eastAsia="ja-JP"/>
        </w:rPr>
        <w:t>, </w:t>
      </w:r>
      <w:r w:rsidR="001D5040" w:rsidRPr="00A52AB8">
        <w:rPr>
          <w:lang w:eastAsia="ja-JP"/>
        </w:rPr>
        <w:t>tileID, p)</w:t>
      </w:r>
      <w:r w:rsidR="001D5040" w:rsidRPr="00A52AB8">
        <w:rPr>
          <w:lang w:eastAsia="ja-JP"/>
        </w:rPr>
        <w:br/>
      </w:r>
      <w:r w:rsidR="001D5040" w:rsidRPr="00A52AB8">
        <w:rPr>
          <w:lang w:eastAsia="ja-JP"/>
        </w:rPr>
        <w:tab/>
      </w:r>
      <w:r w:rsidR="001D5040" w:rsidRPr="00A52AB8">
        <w:rPr>
          <w:lang w:eastAsia="ja-JP"/>
        </w:rPr>
        <w:tab/>
      </w:r>
      <w:r w:rsidR="001D5040" w:rsidRPr="00A52AB8">
        <w:rPr>
          <w:lang w:eastAsia="ja-JP"/>
        </w:rPr>
        <w:tab/>
        <w:t>ApplicationTilePatchParamsToAtlas(</w:t>
      </w:r>
      <w:r w:rsidR="00866D1D" w:rsidRPr="00A52AB8">
        <w:rPr>
          <w:lang w:eastAsia="ja-JP"/>
        </w:rPr>
        <w:t> atlasP</w:t>
      </w:r>
      <w:r w:rsidR="00866D1D" w:rsidRPr="00A52AB8">
        <w:rPr>
          <w:color w:val="000000" w:themeColor="text1"/>
        </w:rPr>
        <w:t>atchIdx,</w:t>
      </w:r>
      <w:r w:rsidR="001D5040" w:rsidRPr="00A52AB8">
        <w:rPr>
          <w:lang w:eastAsia="ja-JP"/>
        </w:rPr>
        <w:t> tileID, p</w:t>
      </w:r>
      <w:r w:rsidR="00C53269" w:rsidRPr="00A52AB8">
        <w:rPr>
          <w:lang w:eastAsia="ja-JP"/>
        </w:rPr>
        <w:t>,</w:t>
      </w:r>
      <w:r w:rsidR="001D5040" w:rsidRPr="00A52AB8">
        <w:rPr>
          <w:lang w:eastAsia="ja-JP"/>
        </w:rPr>
        <w:t> </w:t>
      </w:r>
      <w:r w:rsidR="00C53269" w:rsidRPr="00A52AB8">
        <w:t>offsetPatch </w:t>
      </w:r>
      <w:r w:rsidR="001D5040" w:rsidRPr="00A52AB8">
        <w:rPr>
          <w:lang w:eastAsia="ja-JP"/>
        </w:rPr>
        <w:t>)</w:t>
      </w:r>
      <w:r w:rsidR="00531E02"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r>
      <w:r w:rsidRPr="00A52AB8">
        <w:rPr>
          <w:lang w:eastAsia="ja-JP"/>
        </w:rPr>
        <w:t>atlasPatchIdx</w:t>
      </w:r>
      <w:r w:rsidRPr="00A52AB8">
        <w:rPr>
          <w:color w:val="000000" w:themeColor="text1"/>
        </w:rPr>
        <w:t> </w:t>
      </w:r>
      <w:r w:rsidR="00A234FD" w:rsidRPr="00A52AB8">
        <w:rPr>
          <w:color w:val="000000" w:themeColor="text1"/>
        </w:rPr>
        <w:t>+=</w:t>
      </w:r>
      <w:r w:rsidR="00D47707" w:rsidRPr="00A52AB8">
        <w:rPr>
          <w:color w:val="000000" w:themeColor="text1"/>
        </w:rPr>
        <w:t> </w:t>
      </w:r>
      <w:r w:rsidRPr="00A52AB8">
        <w:rPr>
          <w:color w:val="000000" w:themeColor="text1"/>
        </w:rPr>
        <w:t>1</w:t>
      </w:r>
      <w:r w:rsidRPr="00A52AB8">
        <w:rPr>
          <w:color w:val="000000" w:themeColor="text1"/>
        </w:rPr>
        <w:br/>
      </w:r>
      <w:r w:rsidRPr="00A52AB8">
        <w:rPr>
          <w:color w:val="000000" w:themeColor="text1"/>
        </w:rPr>
        <w:tab/>
      </w:r>
      <w:r w:rsidRPr="00A52AB8">
        <w:rPr>
          <w:color w:val="000000" w:themeColor="text1"/>
        </w:rPr>
        <w:tab/>
        <w:t>}</w:t>
      </w:r>
      <w:r w:rsidR="00C53269" w:rsidRPr="00A52AB8">
        <w:rPr>
          <w:color w:val="000000" w:themeColor="text1"/>
        </w:rPr>
        <w:br/>
      </w:r>
      <w:r w:rsidR="00C53269" w:rsidRPr="00A52AB8">
        <w:rPr>
          <w:color w:val="000000" w:themeColor="text1"/>
        </w:rPr>
        <w:tab/>
      </w:r>
      <w:r w:rsidR="00C53269" w:rsidRPr="00A52AB8">
        <w:rPr>
          <w:color w:val="000000" w:themeColor="text1"/>
        </w:rPr>
        <w:tab/>
      </w:r>
      <w:r w:rsidR="00C53269" w:rsidRPr="00A52AB8">
        <w:t>offsetPatch </w:t>
      </w:r>
      <w:r w:rsidR="00A234FD" w:rsidRPr="00A52AB8">
        <w:t>+=</w:t>
      </w:r>
      <w:r w:rsidR="00D47707" w:rsidRPr="00A52AB8">
        <w:t> </w:t>
      </w:r>
      <w:r w:rsidR="00C53269" w:rsidRPr="00A52AB8">
        <w:t>Atdu</w:t>
      </w:r>
      <w:r w:rsidR="00D12C68" w:rsidRPr="00A52AB8">
        <w:t>TotalNum</w:t>
      </w:r>
      <w:r w:rsidR="00C53269" w:rsidRPr="00A52AB8">
        <w:t>Patches[ tileID]</w:t>
      </w:r>
      <w:r w:rsidRPr="00A52AB8">
        <w:rPr>
          <w:color w:val="000000" w:themeColor="text1"/>
        </w:rPr>
        <w:br/>
      </w:r>
      <w:r w:rsidRPr="00A52AB8">
        <w:rPr>
          <w:color w:val="000000" w:themeColor="text1"/>
        </w:rPr>
        <w:tab/>
        <w:t>}</w:t>
      </w:r>
      <w:r w:rsidRPr="00A52AB8">
        <w:rPr>
          <w:color w:val="000000" w:themeColor="text1"/>
        </w:rPr>
        <w:br/>
      </w:r>
      <w:r w:rsidRPr="00A52AB8">
        <w:rPr>
          <w:color w:val="000000" w:themeColor="text1"/>
        </w:rPr>
        <w:tab/>
      </w:r>
      <w:r w:rsidRPr="00A52AB8">
        <w:rPr>
          <w:lang w:eastAsia="ja-JP"/>
        </w:rPr>
        <w:t>Atlas</w:t>
      </w:r>
      <w:r w:rsidR="00D12C68" w:rsidRPr="00A52AB8">
        <w:rPr>
          <w:lang w:eastAsia="ja-JP"/>
        </w:rPr>
        <w:t>TotalNum</w:t>
      </w:r>
      <w:r w:rsidRPr="00A52AB8">
        <w:rPr>
          <w:lang w:eastAsia="ja-JP"/>
        </w:rPr>
        <w:t>Patches</w:t>
      </w:r>
      <w:r w:rsidR="00D47707" w:rsidRPr="00A52AB8">
        <w:rPr>
          <w:lang w:eastAsia="ja-JP"/>
        </w:rPr>
        <w:t> = </w:t>
      </w:r>
      <w:r w:rsidRPr="00A52AB8">
        <w:rPr>
          <w:lang w:eastAsia="ja-JP"/>
        </w:rPr>
        <w:t>atlasP</w:t>
      </w:r>
      <w:r w:rsidRPr="00A52AB8">
        <w:rPr>
          <w:color w:val="000000" w:themeColor="text1"/>
        </w:rPr>
        <w:t>atchIdx</w:t>
      </w:r>
    </w:p>
    <w:p w14:paraId="0F3C9A39" w14:textId="5F9CB78C" w:rsidR="00F51CE0" w:rsidRPr="00A52AB8" w:rsidRDefault="004C2A29" w:rsidP="007656E5">
      <w:pPr>
        <w:pStyle w:val="Heading5"/>
      </w:pPr>
      <w:bookmarkStart w:id="1539" w:name="_Ref48257389"/>
      <w:r w:rsidRPr="00A52AB8">
        <w:t xml:space="preserve">Process of copying </w:t>
      </w:r>
      <w:r w:rsidR="00F51CE0" w:rsidRPr="00A52AB8">
        <w:t xml:space="preserve">common </w:t>
      </w:r>
      <w:r w:rsidRPr="00A52AB8">
        <w:t xml:space="preserve">patch </w:t>
      </w:r>
      <w:r w:rsidR="00F51CE0" w:rsidRPr="00A52AB8">
        <w:t>parameters</w:t>
      </w:r>
      <w:r w:rsidRPr="00A52AB8">
        <w:t xml:space="preserve"> from a tile to an atlas representation</w:t>
      </w:r>
      <w:bookmarkEnd w:id="1539"/>
    </w:p>
    <w:p w14:paraId="22F546F7" w14:textId="77777777" w:rsidR="004C2A29" w:rsidRPr="00A52AB8" w:rsidRDefault="00F77C60" w:rsidP="004C2A29">
      <w:pPr>
        <w:rPr>
          <w:lang w:eastAsia="ja-JP"/>
        </w:rPr>
      </w:pPr>
      <w:r w:rsidRPr="00A52AB8">
        <w:rPr>
          <w:lang w:eastAsia="ja-JP"/>
        </w:rPr>
        <w:t>The process CommonTilePatchParamsToAtlas(</w:t>
      </w:r>
      <w:r w:rsidR="005B4A2B" w:rsidRPr="00A52AB8">
        <w:rPr>
          <w:lang w:eastAsia="ja-JP"/>
        </w:rPr>
        <w:t> atlasP</w:t>
      </w:r>
      <w:r w:rsidR="005B4A2B" w:rsidRPr="00A52AB8">
        <w:rPr>
          <w:color w:val="000000" w:themeColor="text1"/>
        </w:rPr>
        <w:t>atchIdx,</w:t>
      </w:r>
      <w:r w:rsidR="001D5040" w:rsidRPr="00A52AB8">
        <w:rPr>
          <w:lang w:eastAsia="ja-JP"/>
        </w:rPr>
        <w:t> </w:t>
      </w:r>
      <w:r w:rsidRPr="00A52AB8">
        <w:rPr>
          <w:lang w:eastAsia="ja-JP"/>
        </w:rPr>
        <w:t>tileID,</w:t>
      </w:r>
      <w:r w:rsidR="001D5040" w:rsidRPr="00A52AB8">
        <w:rPr>
          <w:lang w:eastAsia="ja-JP"/>
        </w:rPr>
        <w:t> </w:t>
      </w:r>
      <w:r w:rsidRPr="00A52AB8">
        <w:rPr>
          <w:lang w:eastAsia="ja-JP"/>
        </w:rPr>
        <w:t>p</w:t>
      </w:r>
      <w:r w:rsidR="001D5040" w:rsidRPr="00A52AB8">
        <w:rPr>
          <w:lang w:eastAsia="ja-JP"/>
        </w:rPr>
        <w:t> </w:t>
      </w:r>
      <w:r w:rsidRPr="00A52AB8">
        <w:rPr>
          <w:lang w:eastAsia="ja-JP"/>
        </w:rPr>
        <w:t>) is defined as follows:</w:t>
      </w:r>
    </w:p>
    <w:p w14:paraId="36B0256F" w14:textId="3C0D85ED" w:rsidR="007F5D55" w:rsidRPr="00A52AB8" w:rsidRDefault="00F77C60" w:rsidP="00F77C60">
      <w:pPr>
        <w:rPr>
          <w:lang w:eastAsia="ja-JP"/>
        </w:rPr>
      </w:pPr>
      <w:r w:rsidRPr="00A52AB8">
        <w:rPr>
          <w:lang w:eastAsia="ja-JP"/>
        </w:rPr>
        <w:t>CommonTilePatchParamsToAtlas(</w:t>
      </w:r>
      <w:r w:rsidR="005B4A2B" w:rsidRPr="00A52AB8">
        <w:rPr>
          <w:lang w:eastAsia="ja-JP"/>
        </w:rPr>
        <w:t> atlasP</w:t>
      </w:r>
      <w:r w:rsidR="005B4A2B" w:rsidRPr="00A52AB8">
        <w:rPr>
          <w:color w:val="000000" w:themeColor="text1"/>
        </w:rPr>
        <w:t>atchIdx,</w:t>
      </w:r>
      <w:r w:rsidRPr="00A52AB8">
        <w:rPr>
          <w:lang w:eastAsia="ja-JP"/>
        </w:rPr>
        <w:t> tileID, p </w:t>
      </w:r>
      <w:r w:rsidR="008F1F82" w:rsidRPr="00A52AB8">
        <w:rPr>
          <w:lang w:eastAsia="ja-JP"/>
        </w:rPr>
        <w:t>) {</w:t>
      </w:r>
      <w:r w:rsidRPr="00A52AB8">
        <w:rPr>
          <w:lang w:eastAsia="ja-JP"/>
        </w:rPr>
        <w:br/>
      </w:r>
      <w:r w:rsidRPr="00A52AB8">
        <w:rPr>
          <w:color w:val="000000" w:themeColor="text1"/>
        </w:rPr>
        <w:tab/>
      </w:r>
      <w:r w:rsidR="00F51CE0" w:rsidRPr="00A52AB8">
        <w:rPr>
          <w:color w:val="000000" w:themeColor="text1"/>
        </w:rPr>
        <w:t>AtlasPatchInAuxVideo[ atlasPatchIdx ]</w:t>
      </w:r>
      <w:r w:rsidR="00D47707" w:rsidRPr="00A52AB8">
        <w:rPr>
          <w:color w:val="000000" w:themeColor="text1"/>
        </w:rPr>
        <w:t> = </w:t>
      </w:r>
      <w:r w:rsidR="00F51CE0" w:rsidRPr="00A52AB8">
        <w:rPr>
          <w:lang w:eastAsia="ja-JP"/>
        </w:rPr>
        <w:t>Tile</w:t>
      </w:r>
      <w:r w:rsidR="00F51CE0" w:rsidRPr="00A52AB8">
        <w:rPr>
          <w:color w:val="000000" w:themeColor="text1"/>
        </w:rPr>
        <w:t>PatchInAuxVideo[ tileID ][ p ]</w:t>
      </w:r>
      <w:r w:rsidR="00F51CE0" w:rsidRPr="00A52AB8">
        <w:rPr>
          <w:lang w:eastAsia="ja-JP"/>
        </w:rPr>
        <w:br/>
      </w:r>
      <w:r w:rsidR="00F51CE0" w:rsidRPr="00A52AB8">
        <w:rPr>
          <w:lang w:eastAsia="ja-JP"/>
        </w:rPr>
        <w:tab/>
      </w:r>
      <w:r w:rsidR="00F51CE0" w:rsidRPr="00A52AB8">
        <w:rPr>
          <w:color w:val="000000" w:themeColor="text1"/>
        </w:rPr>
        <w:t>AtlasPatchType[ </w:t>
      </w:r>
      <w:r w:rsidR="00F51CE0" w:rsidRPr="00A52AB8">
        <w:rPr>
          <w:lang w:eastAsia="ja-JP"/>
        </w:rPr>
        <w:t>atlasPatchIdx</w:t>
      </w:r>
      <w:r w:rsidR="00F51CE0" w:rsidRPr="00A52AB8">
        <w:rPr>
          <w:color w:val="000000" w:themeColor="text1"/>
        </w:rPr>
        <w:t> ]</w:t>
      </w:r>
      <w:r w:rsidR="00D47707" w:rsidRPr="00A52AB8">
        <w:rPr>
          <w:color w:val="000000" w:themeColor="text1"/>
        </w:rPr>
        <w:t> = </w:t>
      </w:r>
      <w:r w:rsidR="00F51CE0" w:rsidRPr="00A52AB8">
        <w:rPr>
          <w:lang w:eastAsia="ja-JP"/>
        </w:rPr>
        <w:t>TilePatchType</w:t>
      </w:r>
      <w:r w:rsidR="00F51CE0" w:rsidRPr="00A52AB8">
        <w:rPr>
          <w:color w:val="000000" w:themeColor="text1"/>
        </w:rPr>
        <w:t>[ tileID ][ p ]</w:t>
      </w:r>
      <w:r w:rsidR="00F51CE0" w:rsidRPr="00A52AB8">
        <w:rPr>
          <w:color w:val="000000" w:themeColor="text1"/>
        </w:rPr>
        <w:br/>
      </w:r>
      <w:r w:rsidR="00F51CE0" w:rsidRPr="00A52AB8">
        <w:rPr>
          <w:lang w:eastAsia="ja-JP"/>
        </w:rPr>
        <w:tab/>
      </w:r>
      <w:r w:rsidR="00F51CE0" w:rsidRPr="00A52AB8">
        <w:rPr>
          <w:color w:val="000000" w:themeColor="text1"/>
        </w:rPr>
        <w:t>Atlas</w:t>
      </w:r>
      <w:r w:rsidR="00F51CE0" w:rsidRPr="00A52AB8">
        <w:rPr>
          <w:lang w:eastAsia="ja-JP"/>
        </w:rPr>
        <w:t>Patch2dSizeX[ atlasPatchIdx ]</w:t>
      </w:r>
      <w:r w:rsidR="00D47707" w:rsidRPr="00A52AB8">
        <w:rPr>
          <w:lang w:eastAsia="ja-JP"/>
        </w:rPr>
        <w:t> = </w:t>
      </w:r>
      <w:r w:rsidR="00F51CE0" w:rsidRPr="00A52AB8">
        <w:rPr>
          <w:lang w:eastAsia="ja-JP"/>
        </w:rPr>
        <w:t>TilePatch2dSizeX</w:t>
      </w:r>
      <w:r w:rsidR="00F51CE0" w:rsidRPr="00A52AB8">
        <w:rPr>
          <w:color w:val="000000" w:themeColor="text1"/>
        </w:rPr>
        <w:t>[ tileID ][ p ]</w:t>
      </w:r>
      <w:r w:rsidR="00F51CE0" w:rsidRPr="00A52AB8">
        <w:rPr>
          <w:lang w:eastAsia="ja-JP"/>
        </w:rPr>
        <w:br/>
      </w:r>
      <w:r w:rsidR="00F51CE0" w:rsidRPr="00A52AB8">
        <w:rPr>
          <w:lang w:eastAsia="ja-JP"/>
        </w:rPr>
        <w:tab/>
      </w:r>
      <w:r w:rsidR="00F51CE0" w:rsidRPr="00A52AB8">
        <w:rPr>
          <w:color w:val="000000" w:themeColor="text1"/>
        </w:rPr>
        <w:t>Atlas</w:t>
      </w:r>
      <w:r w:rsidR="00F51CE0" w:rsidRPr="00A52AB8">
        <w:rPr>
          <w:lang w:eastAsia="ja-JP"/>
        </w:rPr>
        <w:t>Patch2dSizeY[ atlasPatchIdx ]</w:t>
      </w:r>
      <w:r w:rsidR="00D47707" w:rsidRPr="00A52AB8">
        <w:rPr>
          <w:lang w:eastAsia="ja-JP"/>
        </w:rPr>
        <w:t> = </w:t>
      </w:r>
      <w:r w:rsidR="00F51CE0" w:rsidRPr="00A52AB8">
        <w:rPr>
          <w:lang w:eastAsia="ja-JP"/>
        </w:rPr>
        <w:t>TilePatch2dSizeY</w:t>
      </w:r>
      <w:r w:rsidR="00F51CE0" w:rsidRPr="00A52AB8">
        <w:rPr>
          <w:color w:val="000000" w:themeColor="text1"/>
        </w:rPr>
        <w:t>[ tileID ][ p ]</w:t>
      </w:r>
      <w:r w:rsidR="00F51CE0" w:rsidRPr="00A52AB8">
        <w:rPr>
          <w:color w:val="000000" w:themeColor="text1"/>
        </w:rPr>
        <w:br/>
      </w:r>
      <w:r w:rsidR="00F51CE0" w:rsidRPr="00A52AB8">
        <w:rPr>
          <w:color w:val="000000" w:themeColor="text1"/>
        </w:rPr>
        <w:tab/>
        <w:t>AtlasPatch2dPosX[ </w:t>
      </w:r>
      <w:r w:rsidR="00F51CE0" w:rsidRPr="00A52AB8">
        <w:rPr>
          <w:lang w:eastAsia="ja-JP"/>
        </w:rPr>
        <w:t>atlasPatchIdx</w:t>
      </w:r>
      <w:r w:rsidR="00F51CE0" w:rsidRPr="00A52AB8">
        <w:rPr>
          <w:color w:val="000000" w:themeColor="text1"/>
        </w:rPr>
        <w:t> ]</w:t>
      </w:r>
      <w:r w:rsidR="00D47707" w:rsidRPr="00A52AB8">
        <w:rPr>
          <w:color w:val="000000" w:themeColor="text1"/>
        </w:rPr>
        <w:t> = </w:t>
      </w:r>
      <w:r w:rsidR="00F51CE0" w:rsidRPr="00A52AB8">
        <w:rPr>
          <w:lang w:eastAsia="ja-JP"/>
        </w:rPr>
        <w:t>Tile</w:t>
      </w:r>
      <w:r w:rsidR="00F51CE0" w:rsidRPr="00A52AB8">
        <w:rPr>
          <w:color w:val="000000" w:themeColor="text1"/>
        </w:rPr>
        <w:t>Patch2dPosX[ tileID ][ p ] + tileOffsetX</w:t>
      </w:r>
      <w:r w:rsidR="00F51CE0" w:rsidRPr="00A52AB8">
        <w:rPr>
          <w:color w:val="000000" w:themeColor="text1"/>
        </w:rPr>
        <w:br/>
      </w:r>
      <w:r w:rsidR="00F51CE0" w:rsidRPr="00A52AB8">
        <w:rPr>
          <w:color w:val="000000" w:themeColor="text1"/>
        </w:rPr>
        <w:tab/>
        <w:t>AtlasPatch2dPosY[ </w:t>
      </w:r>
      <w:r w:rsidR="00F51CE0" w:rsidRPr="00A52AB8">
        <w:rPr>
          <w:lang w:eastAsia="ja-JP"/>
        </w:rPr>
        <w:t>atlasPatchIdx</w:t>
      </w:r>
      <w:r w:rsidR="00F51CE0" w:rsidRPr="00A52AB8">
        <w:rPr>
          <w:color w:val="000000" w:themeColor="text1"/>
        </w:rPr>
        <w:t> ]</w:t>
      </w:r>
      <w:r w:rsidR="00D47707" w:rsidRPr="00A52AB8">
        <w:rPr>
          <w:color w:val="000000" w:themeColor="text1"/>
        </w:rPr>
        <w:t> = </w:t>
      </w:r>
      <w:r w:rsidR="00F51CE0" w:rsidRPr="00A52AB8">
        <w:rPr>
          <w:lang w:eastAsia="ja-JP"/>
        </w:rPr>
        <w:t>Tile</w:t>
      </w:r>
      <w:r w:rsidR="00F51CE0" w:rsidRPr="00A52AB8">
        <w:rPr>
          <w:color w:val="000000" w:themeColor="text1"/>
        </w:rPr>
        <w:t>Patch2dPosY[ tileID ][ p ] + tileOffsetY</w:t>
      </w:r>
      <w:r w:rsidR="0003130D" w:rsidRPr="00A52AB8">
        <w:rPr>
          <w:color w:val="000000" w:themeColor="text1"/>
        </w:rPr>
        <w:br/>
      </w:r>
      <w:r w:rsidR="007F5D55" w:rsidRPr="00A52AB8">
        <w:rPr>
          <w:color w:val="000000" w:themeColor="text1"/>
        </w:rPr>
        <w:tab/>
        <w:t>Atlas</w:t>
      </w:r>
      <w:r w:rsidR="007F5D55" w:rsidRPr="00A52AB8">
        <w:rPr>
          <w:lang w:eastAsia="ja-JP"/>
        </w:rPr>
        <w:t>Patch</w:t>
      </w:r>
      <w:r w:rsidR="001A4D59" w:rsidRPr="00A52AB8">
        <w:rPr>
          <w:lang w:eastAsia="ja-JP"/>
        </w:rPr>
        <w:t>3dOffsetU</w:t>
      </w:r>
      <w:r w:rsidR="007F5D55" w:rsidRPr="00A52AB8">
        <w:rPr>
          <w:color w:val="000000" w:themeColor="text1"/>
        </w:rPr>
        <w:t>[ </w:t>
      </w:r>
      <w:r w:rsidR="007F5D55" w:rsidRPr="00A52AB8">
        <w:rPr>
          <w:lang w:eastAsia="ja-JP"/>
        </w:rPr>
        <w:t>atlasPatchIdx</w:t>
      </w:r>
      <w:r w:rsidR="007F5D55" w:rsidRPr="00A52AB8">
        <w:rPr>
          <w:color w:val="000000" w:themeColor="text1"/>
        </w:rPr>
        <w:t> ]</w:t>
      </w:r>
      <w:r w:rsidR="00D47707" w:rsidRPr="00A52AB8">
        <w:rPr>
          <w:color w:val="000000" w:themeColor="text1"/>
        </w:rPr>
        <w:t> = </w:t>
      </w:r>
      <w:r w:rsidR="00314925" w:rsidRPr="00A52AB8">
        <w:rPr>
          <w:lang w:eastAsia="ja-JP"/>
        </w:rPr>
        <w:t>TilePatch3dOffsetU</w:t>
      </w:r>
      <w:r w:rsidR="007F5D55" w:rsidRPr="00A52AB8">
        <w:rPr>
          <w:color w:val="000000" w:themeColor="text1"/>
        </w:rPr>
        <w:t>[ tileID ][ p ]</w:t>
      </w:r>
      <w:r w:rsidR="007F5D55" w:rsidRPr="00A52AB8">
        <w:rPr>
          <w:lang w:eastAsia="ja-JP"/>
        </w:rPr>
        <w:br/>
      </w:r>
      <w:r w:rsidR="007F5D55" w:rsidRPr="00A52AB8">
        <w:rPr>
          <w:lang w:eastAsia="ja-JP"/>
        </w:rPr>
        <w:tab/>
      </w:r>
      <w:r w:rsidR="007F5D55" w:rsidRPr="00A52AB8">
        <w:rPr>
          <w:color w:val="000000" w:themeColor="text1"/>
        </w:rPr>
        <w:t>Atlas</w:t>
      </w:r>
      <w:r w:rsidR="007F5D55" w:rsidRPr="00A52AB8">
        <w:rPr>
          <w:lang w:eastAsia="ja-JP"/>
        </w:rPr>
        <w:t>Patch</w:t>
      </w:r>
      <w:r w:rsidR="001A4D59" w:rsidRPr="00A52AB8">
        <w:rPr>
          <w:lang w:eastAsia="ja-JP"/>
        </w:rPr>
        <w:t>3dOffsetV</w:t>
      </w:r>
      <w:r w:rsidR="007F5D55" w:rsidRPr="00A52AB8">
        <w:rPr>
          <w:color w:val="000000" w:themeColor="text1"/>
        </w:rPr>
        <w:t>[ </w:t>
      </w:r>
      <w:r w:rsidR="007F5D55" w:rsidRPr="00A52AB8">
        <w:rPr>
          <w:lang w:eastAsia="ja-JP"/>
        </w:rPr>
        <w:t>atlasPatchIdx</w:t>
      </w:r>
      <w:r w:rsidR="007F5D55" w:rsidRPr="00A52AB8">
        <w:rPr>
          <w:color w:val="000000" w:themeColor="text1"/>
        </w:rPr>
        <w:t> ]</w:t>
      </w:r>
      <w:r w:rsidR="00D47707" w:rsidRPr="00A52AB8">
        <w:rPr>
          <w:color w:val="000000" w:themeColor="text1"/>
        </w:rPr>
        <w:t> = </w:t>
      </w:r>
      <w:r w:rsidR="00314925" w:rsidRPr="00A52AB8">
        <w:rPr>
          <w:lang w:eastAsia="ja-JP"/>
        </w:rPr>
        <w:t>TilePatch3dOffsetV</w:t>
      </w:r>
      <w:r w:rsidR="007F5D55" w:rsidRPr="00A52AB8">
        <w:rPr>
          <w:color w:val="000000" w:themeColor="text1"/>
        </w:rPr>
        <w:t>[ tileID ][ p ]</w:t>
      </w:r>
      <w:r w:rsidR="007F5D55" w:rsidRPr="00A52AB8">
        <w:rPr>
          <w:lang w:eastAsia="ja-JP"/>
        </w:rPr>
        <w:br/>
      </w:r>
      <w:r w:rsidR="007F5D55" w:rsidRPr="00A52AB8">
        <w:rPr>
          <w:lang w:eastAsia="ja-JP"/>
        </w:rPr>
        <w:tab/>
      </w:r>
      <w:r w:rsidR="007F5D55" w:rsidRPr="00A52AB8">
        <w:rPr>
          <w:color w:val="000000" w:themeColor="text1"/>
        </w:rPr>
        <w:t>Atlas</w:t>
      </w:r>
      <w:r w:rsidR="007F5D55" w:rsidRPr="00A52AB8">
        <w:rPr>
          <w:lang w:eastAsia="ja-JP"/>
        </w:rPr>
        <w:t>Patch</w:t>
      </w:r>
      <w:r w:rsidR="001A4D59" w:rsidRPr="00A52AB8">
        <w:rPr>
          <w:lang w:eastAsia="ja-JP"/>
        </w:rPr>
        <w:t>3dOffsetD</w:t>
      </w:r>
      <w:r w:rsidR="007F5D55" w:rsidRPr="00A52AB8">
        <w:rPr>
          <w:color w:val="000000" w:themeColor="text1"/>
        </w:rPr>
        <w:t>[ </w:t>
      </w:r>
      <w:r w:rsidR="007F5D55" w:rsidRPr="00A52AB8">
        <w:rPr>
          <w:lang w:eastAsia="ja-JP"/>
        </w:rPr>
        <w:t>atlasPatchIdx</w:t>
      </w:r>
      <w:r w:rsidR="007F5D55" w:rsidRPr="00A52AB8">
        <w:rPr>
          <w:color w:val="000000" w:themeColor="text1"/>
        </w:rPr>
        <w:t> ]</w:t>
      </w:r>
      <w:r w:rsidR="00D47707" w:rsidRPr="00A52AB8">
        <w:rPr>
          <w:color w:val="000000" w:themeColor="text1"/>
        </w:rPr>
        <w:t> = </w:t>
      </w:r>
      <w:r w:rsidR="00141AB2" w:rsidRPr="00A52AB8">
        <w:rPr>
          <w:lang w:eastAsia="ja-JP"/>
        </w:rPr>
        <w:t>TilePatch3dOffsetD</w:t>
      </w:r>
      <w:r w:rsidR="007F5D55" w:rsidRPr="00A52AB8">
        <w:rPr>
          <w:color w:val="000000" w:themeColor="text1"/>
        </w:rPr>
        <w:t>[ tileID ][ p ]</w:t>
      </w:r>
      <w:r w:rsidR="007F5D55" w:rsidRPr="00A52AB8">
        <w:rPr>
          <w:color w:val="000000" w:themeColor="text1"/>
        </w:rPr>
        <w:br/>
      </w:r>
      <w:r w:rsidR="007F5D55" w:rsidRPr="00A52AB8">
        <w:rPr>
          <w:color w:val="000000" w:themeColor="text1"/>
        </w:rPr>
        <w:tab/>
        <w:t>AtlasPatch</w:t>
      </w:r>
      <w:r w:rsidR="001A4D59" w:rsidRPr="00A52AB8">
        <w:rPr>
          <w:color w:val="000000" w:themeColor="text1"/>
        </w:rPr>
        <w:t>3dRangeD</w:t>
      </w:r>
      <w:r w:rsidR="007F5D55" w:rsidRPr="00A52AB8">
        <w:rPr>
          <w:color w:val="000000" w:themeColor="text1"/>
        </w:rPr>
        <w:t>[ </w:t>
      </w:r>
      <w:r w:rsidR="007F5D55" w:rsidRPr="00A52AB8">
        <w:rPr>
          <w:lang w:eastAsia="ja-JP"/>
        </w:rPr>
        <w:t>atlasPatchIdx</w:t>
      </w:r>
      <w:r w:rsidR="007F5D55" w:rsidRPr="00A52AB8">
        <w:rPr>
          <w:color w:val="000000" w:themeColor="text1"/>
        </w:rPr>
        <w:t> ]</w:t>
      </w:r>
      <w:r w:rsidR="00D47707" w:rsidRPr="00A52AB8">
        <w:rPr>
          <w:color w:val="000000" w:themeColor="text1"/>
        </w:rPr>
        <w:t> = </w:t>
      </w:r>
      <w:r w:rsidR="007F5D55" w:rsidRPr="00A52AB8">
        <w:rPr>
          <w:lang w:eastAsia="ja-JP"/>
        </w:rPr>
        <w:t>Tile</w:t>
      </w:r>
      <w:r w:rsidR="007F5D55" w:rsidRPr="00A52AB8">
        <w:rPr>
          <w:color w:val="000000" w:themeColor="text1"/>
        </w:rPr>
        <w:t>Patch</w:t>
      </w:r>
      <w:r w:rsidR="001A4D59" w:rsidRPr="00A52AB8">
        <w:rPr>
          <w:color w:val="000000" w:themeColor="text1"/>
        </w:rPr>
        <w:t>3dRangeD</w:t>
      </w:r>
      <w:r w:rsidR="007F5D55" w:rsidRPr="00A52AB8">
        <w:rPr>
          <w:color w:val="000000" w:themeColor="text1"/>
        </w:rPr>
        <w:t>[ tileID ][ p ]</w:t>
      </w:r>
      <w:r w:rsidR="008C0B42" w:rsidRPr="00A52AB8">
        <w:rPr>
          <w:color w:val="000000" w:themeColor="text1"/>
        </w:rPr>
        <w:br/>
      </w:r>
      <w:r w:rsidR="008C0B42" w:rsidRPr="00A52AB8">
        <w:rPr>
          <w:color w:val="000000" w:themeColor="text1"/>
        </w:rPr>
        <w:tab/>
        <w:t>AtlasPatchProjectionID[ </w:t>
      </w:r>
      <w:r w:rsidR="008C0B42" w:rsidRPr="00A52AB8">
        <w:rPr>
          <w:lang w:eastAsia="ja-JP"/>
        </w:rPr>
        <w:t>atlasPatchIdx</w:t>
      </w:r>
      <w:r w:rsidR="008C0B42" w:rsidRPr="00A52AB8">
        <w:rPr>
          <w:color w:val="000000" w:themeColor="text1"/>
        </w:rPr>
        <w:t> ]</w:t>
      </w:r>
      <w:r w:rsidR="00D47707" w:rsidRPr="00A52AB8">
        <w:rPr>
          <w:color w:val="000000" w:themeColor="text1"/>
        </w:rPr>
        <w:t> = </w:t>
      </w:r>
      <w:r w:rsidR="008C0B42" w:rsidRPr="00A52AB8">
        <w:rPr>
          <w:lang w:eastAsia="ja-JP"/>
        </w:rPr>
        <w:t>Tile</w:t>
      </w:r>
      <w:r w:rsidR="008C0B42" w:rsidRPr="00A52AB8">
        <w:rPr>
          <w:color w:val="000000" w:themeColor="text1"/>
        </w:rPr>
        <w:t>PatchProjectionID[ tileID ][ p ]</w:t>
      </w:r>
      <w:r w:rsidR="007F5D55" w:rsidRPr="00A52AB8">
        <w:rPr>
          <w:color w:val="000000" w:themeColor="text1"/>
        </w:rPr>
        <w:br/>
      </w:r>
      <w:r w:rsidR="007F5D55" w:rsidRPr="00A52AB8">
        <w:rPr>
          <w:color w:val="000000" w:themeColor="text1"/>
        </w:rPr>
        <w:tab/>
        <w:t>AtlasPatchOrientationIndex[ </w:t>
      </w:r>
      <w:r w:rsidR="007F5D55" w:rsidRPr="00A52AB8">
        <w:rPr>
          <w:lang w:eastAsia="ja-JP"/>
        </w:rPr>
        <w:t>atlasPatchIdx</w:t>
      </w:r>
      <w:r w:rsidR="007F5D55" w:rsidRPr="00A52AB8">
        <w:rPr>
          <w:color w:val="000000" w:themeColor="text1"/>
        </w:rPr>
        <w:t> ]</w:t>
      </w:r>
      <w:r w:rsidR="00D47707" w:rsidRPr="00A52AB8">
        <w:rPr>
          <w:color w:val="000000" w:themeColor="text1"/>
        </w:rPr>
        <w:t> = </w:t>
      </w:r>
      <w:r w:rsidR="007F5D55" w:rsidRPr="00A52AB8">
        <w:rPr>
          <w:lang w:eastAsia="ja-JP"/>
        </w:rPr>
        <w:t>Tile</w:t>
      </w:r>
      <w:r w:rsidR="007F5D55" w:rsidRPr="00A52AB8">
        <w:rPr>
          <w:color w:val="000000" w:themeColor="text1"/>
        </w:rPr>
        <w:t>PatchOrientationIndex[ tileID ][ p ]</w:t>
      </w:r>
      <w:r w:rsidR="007F5D55" w:rsidRPr="00A52AB8">
        <w:rPr>
          <w:color w:val="000000" w:themeColor="text1"/>
        </w:rPr>
        <w:br/>
      </w:r>
      <w:r w:rsidR="007F5D55" w:rsidRPr="00A52AB8">
        <w:rPr>
          <w:color w:val="000000" w:themeColor="text1"/>
        </w:rPr>
        <w:tab/>
        <w:t>AtlasPatchLoDScaleX[ </w:t>
      </w:r>
      <w:r w:rsidR="007F5D55" w:rsidRPr="00A52AB8">
        <w:rPr>
          <w:lang w:eastAsia="ja-JP"/>
        </w:rPr>
        <w:t>atlasPatchIdx</w:t>
      </w:r>
      <w:r w:rsidR="007F5D55" w:rsidRPr="00A52AB8">
        <w:rPr>
          <w:color w:val="000000" w:themeColor="text1"/>
        </w:rPr>
        <w:t> ]</w:t>
      </w:r>
      <w:r w:rsidR="00D47707" w:rsidRPr="00A52AB8">
        <w:rPr>
          <w:color w:val="000000" w:themeColor="text1"/>
        </w:rPr>
        <w:t> = </w:t>
      </w:r>
      <w:r w:rsidR="007F5D55" w:rsidRPr="00A52AB8">
        <w:rPr>
          <w:lang w:eastAsia="ja-JP"/>
        </w:rPr>
        <w:t>Tile</w:t>
      </w:r>
      <w:r w:rsidR="007F5D55" w:rsidRPr="00A52AB8">
        <w:rPr>
          <w:color w:val="000000" w:themeColor="text1"/>
        </w:rPr>
        <w:t>PatchLoDScaleX[ tileID ][ p ]</w:t>
      </w:r>
      <w:r w:rsidR="007F5D55" w:rsidRPr="00A52AB8">
        <w:rPr>
          <w:color w:val="000000" w:themeColor="text1"/>
        </w:rPr>
        <w:br/>
      </w:r>
      <w:r w:rsidR="007F5D55" w:rsidRPr="00A52AB8">
        <w:rPr>
          <w:color w:val="000000" w:themeColor="text1"/>
        </w:rPr>
        <w:tab/>
        <w:t>AtlasPatchLoDScaleY[ </w:t>
      </w:r>
      <w:r w:rsidR="007F5D55" w:rsidRPr="00A52AB8">
        <w:rPr>
          <w:lang w:eastAsia="ja-JP"/>
        </w:rPr>
        <w:t>atlasPatchIdx</w:t>
      </w:r>
      <w:r w:rsidR="007F5D55" w:rsidRPr="00A52AB8">
        <w:rPr>
          <w:color w:val="000000" w:themeColor="text1"/>
        </w:rPr>
        <w:t> ]</w:t>
      </w:r>
      <w:r w:rsidR="00D47707" w:rsidRPr="00A52AB8">
        <w:rPr>
          <w:color w:val="000000" w:themeColor="text1"/>
        </w:rPr>
        <w:t> = </w:t>
      </w:r>
      <w:r w:rsidR="007F5D55" w:rsidRPr="00A52AB8">
        <w:rPr>
          <w:lang w:eastAsia="ja-JP"/>
        </w:rPr>
        <w:t>Tile</w:t>
      </w:r>
      <w:r w:rsidR="007F5D55" w:rsidRPr="00A52AB8">
        <w:rPr>
          <w:color w:val="000000" w:themeColor="text1"/>
        </w:rPr>
        <w:t>PatchLoDScaleY[ tileID ][ p ]</w:t>
      </w:r>
      <w:r w:rsidRPr="00A52AB8">
        <w:rPr>
          <w:color w:val="000000" w:themeColor="text1"/>
        </w:rPr>
        <w:br/>
      </w:r>
      <w:r w:rsidRPr="00A52AB8">
        <w:rPr>
          <w:color w:val="000000" w:themeColor="text1"/>
        </w:rPr>
        <w:tab/>
        <w:t>AtlasPatchRawPoints[ </w:t>
      </w:r>
      <w:r w:rsidRPr="00A52AB8">
        <w:rPr>
          <w:lang w:eastAsia="ja-JP"/>
        </w:rPr>
        <w:t>atlasPatchIdx</w:t>
      </w:r>
      <w:r w:rsidRPr="00A52AB8">
        <w:rPr>
          <w:color w:val="000000" w:themeColor="text1"/>
        </w:rPr>
        <w:t> ]</w:t>
      </w:r>
      <w:r w:rsidR="00D47707" w:rsidRPr="00A52AB8">
        <w:rPr>
          <w:color w:val="000000" w:themeColor="text1"/>
        </w:rPr>
        <w:t> = </w:t>
      </w:r>
      <w:r w:rsidRPr="00A52AB8">
        <w:rPr>
          <w:lang w:eastAsia="ja-JP"/>
        </w:rPr>
        <w:t>Tile</w:t>
      </w:r>
      <w:r w:rsidRPr="00A52AB8">
        <w:rPr>
          <w:color w:val="000000" w:themeColor="text1"/>
        </w:rPr>
        <w:t>PatchRawPoints[ tileID ][ p ]</w:t>
      </w:r>
      <w:r w:rsidRPr="00A52AB8">
        <w:rPr>
          <w:color w:val="000000" w:themeColor="text1"/>
        </w:rPr>
        <w:br/>
      </w:r>
      <w:r w:rsidR="009B22AE" w:rsidRPr="00A52AB8">
        <w:rPr>
          <w:color w:val="000000" w:themeColor="text1"/>
        </w:rPr>
        <w:tab/>
      </w:r>
      <w:r w:rsidR="009B22AE" w:rsidRPr="00A52AB8">
        <w:rPr>
          <w:lang w:eastAsia="ja-JP"/>
        </w:rPr>
        <w:t>AtlasEpduPatchCount[ atlasPatchIdx</w:t>
      </w:r>
      <w:r w:rsidR="009B22AE" w:rsidRPr="00A52AB8">
        <w:rPr>
          <w:color w:val="000000" w:themeColor="text1"/>
        </w:rPr>
        <w:t> </w:t>
      </w:r>
      <w:r w:rsidR="009B22AE" w:rsidRPr="00A52AB8">
        <w:rPr>
          <w:lang w:eastAsia="ja-JP"/>
        </w:rPr>
        <w:t>]</w:t>
      </w:r>
      <w:r w:rsidR="00D47707" w:rsidRPr="00A52AB8">
        <w:rPr>
          <w:lang w:eastAsia="ja-JP"/>
        </w:rPr>
        <w:t> = </w:t>
      </w:r>
      <w:r w:rsidR="009B22AE" w:rsidRPr="00A52AB8">
        <w:rPr>
          <w:lang w:eastAsia="ja-JP"/>
        </w:rPr>
        <w:t>TilePatchEomPatchCount[ tileID ][ p ]</w:t>
      </w:r>
      <w:r w:rsidR="009B22AE" w:rsidRPr="00A52AB8">
        <w:rPr>
          <w:color w:val="000000" w:themeColor="text1"/>
        </w:rPr>
        <w:br/>
      </w:r>
      <w:r w:rsidR="00B44DD3" w:rsidRPr="00A52AB8">
        <w:rPr>
          <w:lang w:eastAsia="ja-JP"/>
        </w:rPr>
        <w:t>}</w:t>
      </w:r>
    </w:p>
    <w:p w14:paraId="1E98D38A" w14:textId="77777777" w:rsidR="00B44DD3" w:rsidRPr="00A52AB8" w:rsidRDefault="00B44DD3" w:rsidP="00B44DD3">
      <w:pPr>
        <w:pStyle w:val="Heading5"/>
      </w:pPr>
      <w:bookmarkStart w:id="1540" w:name="_Ref48257391"/>
      <w:r w:rsidRPr="00A52AB8">
        <w:t>Process of copying application specific patch parameters from a tile to an atlas representation</w:t>
      </w:r>
      <w:bookmarkEnd w:id="1540"/>
    </w:p>
    <w:p w14:paraId="67F82228" w14:textId="77777777" w:rsidR="00B44DD3" w:rsidRPr="00A52AB8" w:rsidRDefault="00B44DD3" w:rsidP="00F77C60">
      <w:pPr>
        <w:rPr>
          <w:lang w:eastAsia="ja-JP"/>
        </w:rPr>
      </w:pPr>
      <w:r w:rsidRPr="00A52AB8">
        <w:rPr>
          <w:lang w:eastAsia="ja-JP"/>
        </w:rPr>
        <w:t>The process ApplicationTilePatchParamsToAtlas(</w:t>
      </w:r>
      <w:r w:rsidR="005B4A2B" w:rsidRPr="00A52AB8">
        <w:rPr>
          <w:lang w:eastAsia="ja-JP"/>
        </w:rPr>
        <w:t> atlasP</w:t>
      </w:r>
      <w:r w:rsidR="005B4A2B" w:rsidRPr="00A52AB8">
        <w:rPr>
          <w:color w:val="000000" w:themeColor="text1"/>
        </w:rPr>
        <w:t>atchIdx,</w:t>
      </w:r>
      <w:r w:rsidR="001D5040" w:rsidRPr="00A52AB8">
        <w:rPr>
          <w:lang w:eastAsia="ja-JP"/>
        </w:rPr>
        <w:t> </w:t>
      </w:r>
      <w:r w:rsidRPr="00A52AB8">
        <w:rPr>
          <w:lang w:eastAsia="ja-JP"/>
        </w:rPr>
        <w:t>tileID,</w:t>
      </w:r>
      <w:r w:rsidR="001D5040" w:rsidRPr="00A52AB8">
        <w:rPr>
          <w:lang w:eastAsia="ja-JP"/>
        </w:rPr>
        <w:t> </w:t>
      </w:r>
      <w:r w:rsidRPr="00A52AB8">
        <w:rPr>
          <w:lang w:eastAsia="ja-JP"/>
        </w:rPr>
        <w:t>p</w:t>
      </w:r>
      <w:r w:rsidR="006C3576" w:rsidRPr="00A52AB8">
        <w:t>, offsetPatch</w:t>
      </w:r>
      <w:r w:rsidR="001D5040" w:rsidRPr="00A52AB8">
        <w:rPr>
          <w:lang w:eastAsia="ja-JP"/>
        </w:rPr>
        <w:t> </w:t>
      </w:r>
      <w:r w:rsidRPr="00A52AB8">
        <w:rPr>
          <w:lang w:eastAsia="ja-JP"/>
        </w:rPr>
        <w:t>) is defined as follows:</w:t>
      </w:r>
    </w:p>
    <w:p w14:paraId="721D8812" w14:textId="033A86EC" w:rsidR="00F51CE0" w:rsidRPr="00A52AB8" w:rsidRDefault="00B44DD3" w:rsidP="00007BE2">
      <w:pPr>
        <w:ind w:left="403"/>
        <w:rPr>
          <w:color w:val="000000" w:themeColor="text1"/>
        </w:rPr>
      </w:pPr>
      <w:r w:rsidRPr="00A52AB8">
        <w:rPr>
          <w:lang w:eastAsia="ja-JP"/>
        </w:rPr>
        <w:t>ApplicationTilePatchParamsToAtlas( </w:t>
      </w:r>
      <w:r w:rsidR="005B4A2B" w:rsidRPr="00A52AB8">
        <w:rPr>
          <w:lang w:eastAsia="ja-JP"/>
        </w:rPr>
        <w:t>atlasP</w:t>
      </w:r>
      <w:r w:rsidR="005B4A2B" w:rsidRPr="00A52AB8">
        <w:rPr>
          <w:color w:val="000000" w:themeColor="text1"/>
        </w:rPr>
        <w:t>atchIdx</w:t>
      </w:r>
      <w:r w:rsidR="005B4A2B" w:rsidRPr="00A52AB8">
        <w:rPr>
          <w:lang w:eastAsia="ja-JP"/>
        </w:rPr>
        <w:t>, </w:t>
      </w:r>
      <w:r w:rsidRPr="00A52AB8">
        <w:rPr>
          <w:lang w:eastAsia="ja-JP"/>
        </w:rPr>
        <w:t>tileID, p</w:t>
      </w:r>
      <w:r w:rsidR="00C53269" w:rsidRPr="00A52AB8">
        <w:rPr>
          <w:lang w:eastAsia="ja-JP"/>
        </w:rPr>
        <w:t>,</w:t>
      </w:r>
      <w:r w:rsidR="00C53269" w:rsidRPr="00A52AB8">
        <w:t> offsetPatch</w:t>
      </w:r>
      <w:r w:rsidRPr="00A52AB8">
        <w:rPr>
          <w:lang w:eastAsia="ja-JP"/>
        </w:rPr>
        <w:t> </w:t>
      </w:r>
      <w:r w:rsidR="008F1F82" w:rsidRPr="00A52AB8">
        <w:rPr>
          <w:lang w:eastAsia="ja-JP"/>
        </w:rPr>
        <w:t>) {</w:t>
      </w:r>
      <w:r w:rsidRPr="00A52AB8">
        <w:rPr>
          <w:lang w:eastAsia="ja-JP"/>
        </w:rPr>
        <w:br/>
      </w:r>
      <w:r w:rsidRPr="00A52AB8">
        <w:rPr>
          <w:lang w:eastAsia="ja-JP"/>
        </w:rPr>
        <w:tab/>
      </w:r>
      <w:r w:rsidR="00D63ACE" w:rsidRPr="00A52AB8">
        <w:rPr>
          <w:lang w:eastAsia="ja-JP"/>
        </w:rPr>
        <w:t>if(</w:t>
      </w:r>
      <w:r w:rsidR="00F51CE0" w:rsidRPr="00A52AB8">
        <w:rPr>
          <w:lang w:eastAsia="ja-JP"/>
        </w:rPr>
        <w:t> </w:t>
      </w:r>
      <w:r w:rsidR="00F51CE0" w:rsidRPr="00A52AB8">
        <w:rPr>
          <w:color w:val="000000" w:themeColor="text1"/>
        </w:rPr>
        <w:t>AtlasPatchType[ </w:t>
      </w:r>
      <w:r w:rsidR="00F51CE0" w:rsidRPr="00A52AB8">
        <w:rPr>
          <w:lang w:eastAsia="ja-JP"/>
        </w:rPr>
        <w:t>atlasPatchIdx</w:t>
      </w:r>
      <w:r w:rsidR="00F51CE0" w:rsidRPr="00A52AB8">
        <w:rPr>
          <w:color w:val="000000" w:themeColor="text1"/>
        </w:rPr>
        <w:t> ]</w:t>
      </w:r>
      <w:r w:rsidR="008768E9" w:rsidRPr="00A52AB8">
        <w:rPr>
          <w:color w:val="000000" w:themeColor="text1"/>
        </w:rPr>
        <w:t> </w:t>
      </w:r>
      <w:r w:rsidR="00726AAE" w:rsidRPr="00A52AB8">
        <w:rPr>
          <w:color w:val="000000" w:themeColor="text1"/>
        </w:rPr>
        <w:t>==</w:t>
      </w:r>
      <w:r w:rsidR="00D47707" w:rsidRPr="00A52AB8">
        <w:rPr>
          <w:color w:val="000000" w:themeColor="text1"/>
        </w:rPr>
        <w:t> </w:t>
      </w:r>
      <w:r w:rsidR="00F51CE0" w:rsidRPr="00A52AB8">
        <w:rPr>
          <w:color w:val="000000" w:themeColor="text1"/>
        </w:rPr>
        <w:t>PROJECTED </w:t>
      </w:r>
      <w:r w:rsidR="008F1F82" w:rsidRPr="00A52AB8">
        <w:rPr>
          <w:lang w:eastAsia="ja-JP"/>
        </w:rPr>
        <w:t>) {</w:t>
      </w:r>
      <w:r w:rsidR="007F5D55" w:rsidRPr="00A52AB8">
        <w:rPr>
          <w:color w:val="000000" w:themeColor="text1"/>
        </w:rPr>
        <w:br/>
      </w:r>
      <w:r w:rsidR="007F5D55" w:rsidRPr="00A52AB8">
        <w:rPr>
          <w:lang w:eastAsia="ja-JP"/>
        </w:rPr>
        <w:tab/>
      </w:r>
      <w:r w:rsidR="007F5D55" w:rsidRPr="00A52AB8">
        <w:rPr>
          <w:lang w:eastAsia="ja-JP"/>
        </w:rPr>
        <w:tab/>
        <w:t>Atlas</w:t>
      </w:r>
      <w:r w:rsidR="00D12C68" w:rsidRPr="00A52AB8">
        <w:rPr>
          <w:lang w:eastAsia="ja-JP"/>
        </w:rPr>
        <w:t>TotalNum</w:t>
      </w:r>
      <w:r w:rsidR="007F5D55" w:rsidRPr="00A52AB8">
        <w:rPr>
          <w:lang w:eastAsia="ja-JP"/>
        </w:rPr>
        <w:t>P</w:t>
      </w:r>
      <w:r w:rsidR="00D12C68" w:rsidRPr="00A52AB8">
        <w:rPr>
          <w:lang w:eastAsia="ja-JP"/>
        </w:rPr>
        <w:t>roj</w:t>
      </w:r>
      <w:r w:rsidR="007F5D55" w:rsidRPr="00A52AB8">
        <w:rPr>
          <w:lang w:eastAsia="ja-JP"/>
        </w:rPr>
        <w:t>Patches </w:t>
      </w:r>
      <w:r w:rsidR="00A234FD" w:rsidRPr="00A52AB8">
        <w:rPr>
          <w:lang w:eastAsia="ja-JP"/>
        </w:rPr>
        <w:t>+=</w:t>
      </w:r>
      <w:r w:rsidR="00D47707" w:rsidRPr="00A52AB8">
        <w:rPr>
          <w:lang w:eastAsia="ja-JP"/>
        </w:rPr>
        <w:t> </w:t>
      </w:r>
      <w:r w:rsidR="007F5D55" w:rsidRPr="00A52AB8">
        <w:rPr>
          <w:lang w:eastAsia="ja-JP"/>
        </w:rPr>
        <w:t>1</w:t>
      </w:r>
      <w:r w:rsidR="00F51CE0" w:rsidRPr="00A52AB8">
        <w:rPr>
          <w:color w:val="000000" w:themeColor="text1"/>
        </w:rPr>
        <w:tab/>
      </w:r>
      <w:r w:rsidR="00F51CE0" w:rsidRPr="00A52AB8">
        <w:rPr>
          <w:color w:val="000000" w:themeColor="text1"/>
        </w:rPr>
        <w:tab/>
      </w:r>
      <w:r w:rsidR="00D47911" w:rsidRPr="00A52AB8">
        <w:t>blockCnt</w:t>
      </w:r>
      <w:r w:rsidR="00D47707" w:rsidRPr="00A52AB8">
        <w:t> = </w:t>
      </w:r>
      <w:r w:rsidR="00D47911" w:rsidRPr="00A52AB8">
        <w:t>BlockCnt( TilePatch2dSizeX[ tileID ][ p ], TilePatch2dSizeY[ tileID ][ p ] )</w:t>
      </w:r>
      <w:r w:rsidR="00D47911" w:rsidRPr="00A52AB8">
        <w:br/>
      </w:r>
      <w:r w:rsidR="00D47911" w:rsidRPr="00A52AB8">
        <w:tab/>
      </w:r>
      <w:r w:rsidR="00F51CE0" w:rsidRPr="00A52AB8">
        <w:rPr>
          <w:color w:val="000000" w:themeColor="text1"/>
        </w:rPr>
        <w:t>for( m</w:t>
      </w:r>
      <w:r w:rsidR="00D47707" w:rsidRPr="00A52AB8">
        <w:rPr>
          <w:color w:val="000000" w:themeColor="text1"/>
        </w:rPr>
        <w:t> = </w:t>
      </w:r>
      <w:r w:rsidR="00F51CE0" w:rsidRPr="00A52AB8">
        <w:rPr>
          <w:color w:val="000000" w:themeColor="text1"/>
        </w:rPr>
        <w:t>0; m &lt; asps_map_count_minus1 + 1; m</w:t>
      </w:r>
      <w:r w:rsidR="00006CCF" w:rsidRPr="00A52AB8">
        <w:rPr>
          <w:color w:val="000000" w:themeColor="text1"/>
        </w:rPr>
        <w:t>++ </w:t>
      </w:r>
      <w:r w:rsidR="008F1F82" w:rsidRPr="00A52AB8">
        <w:rPr>
          <w:color w:val="000000" w:themeColor="text1"/>
        </w:rPr>
        <w:t>) {</w:t>
      </w:r>
      <w:r w:rsidRPr="00A52AB8">
        <w:rPr>
          <w:lang w:eastAsia="ja-JP"/>
        </w:rPr>
        <w:br/>
      </w:r>
      <w:r w:rsidR="00F51CE0" w:rsidRPr="00A52AB8">
        <w:rPr>
          <w:color w:val="000000" w:themeColor="text1"/>
        </w:rPr>
        <w:tab/>
      </w:r>
      <w:r w:rsidR="00F51CE0" w:rsidRPr="00A52AB8">
        <w:rPr>
          <w:color w:val="000000" w:themeColor="text1"/>
        </w:rPr>
        <w:tab/>
      </w:r>
      <w:r w:rsidR="00F51CE0" w:rsidRPr="00A52AB8">
        <w:rPr>
          <w:color w:val="000000" w:themeColor="text1"/>
        </w:rPr>
        <w:tab/>
        <w:t>if( plri_map_present_flag[ m ]</w:t>
      </w:r>
      <w:r w:rsidR="008768E9" w:rsidRPr="00A52AB8">
        <w:rPr>
          <w:color w:val="000000" w:themeColor="text1"/>
        </w:rPr>
        <w:t> </w:t>
      </w:r>
      <w:r w:rsidR="00726AAE" w:rsidRPr="00A52AB8">
        <w:rPr>
          <w:color w:val="000000" w:themeColor="text1"/>
        </w:rPr>
        <w:t>==</w:t>
      </w:r>
      <w:r w:rsidR="00D47707" w:rsidRPr="00A52AB8">
        <w:rPr>
          <w:color w:val="000000" w:themeColor="text1"/>
        </w:rPr>
        <w:t> </w:t>
      </w:r>
      <w:r w:rsidR="00F51CE0" w:rsidRPr="00A52AB8">
        <w:rPr>
          <w:color w:val="000000" w:themeColor="text1"/>
        </w:rPr>
        <w:t>1 </w:t>
      </w:r>
      <w:r w:rsidR="008F1F82" w:rsidRPr="00A52AB8">
        <w:rPr>
          <w:color w:val="000000" w:themeColor="text1"/>
        </w:rPr>
        <w:t>) {</w:t>
      </w:r>
      <w:r w:rsidR="00F51CE0" w:rsidRPr="00A52AB8">
        <w:rPr>
          <w:color w:val="000000" w:themeColor="text1"/>
        </w:rPr>
        <w:br/>
      </w:r>
      <w:r w:rsidR="00F51CE0" w:rsidRPr="00A52AB8">
        <w:rPr>
          <w:color w:val="000000" w:themeColor="text1"/>
        </w:rPr>
        <w:tab/>
      </w:r>
      <w:r w:rsidR="00F51CE0" w:rsidRPr="00A52AB8">
        <w:rPr>
          <w:color w:val="000000" w:themeColor="text1"/>
        </w:rPr>
        <w:tab/>
      </w:r>
      <w:r w:rsidR="00F51CE0" w:rsidRPr="00A52AB8">
        <w:rPr>
          <w:color w:val="000000" w:themeColor="text1"/>
        </w:rPr>
        <w:tab/>
      </w:r>
      <w:r w:rsidR="00F51CE0" w:rsidRPr="00A52AB8">
        <w:rPr>
          <w:color w:val="000000" w:themeColor="text1"/>
        </w:rPr>
        <w:tab/>
        <w:t>AtlasPlrdLevel[ </w:t>
      </w:r>
      <w:r w:rsidR="00F51CE0" w:rsidRPr="00A52AB8">
        <w:rPr>
          <w:lang w:eastAsia="ja-JP"/>
        </w:rPr>
        <w:t>atlasPatchIdx</w:t>
      </w:r>
      <w:r w:rsidR="00F51CE0" w:rsidRPr="00A52AB8">
        <w:rPr>
          <w:color w:val="000000" w:themeColor="text1"/>
        </w:rPr>
        <w:t> ]</w:t>
      </w:r>
      <w:r w:rsidR="00652A4D" w:rsidRPr="00A52AB8">
        <w:rPr>
          <w:color w:val="000000" w:themeColor="text1"/>
        </w:rPr>
        <w:t>[ m ]</w:t>
      </w:r>
      <w:r w:rsidR="00D47707" w:rsidRPr="00A52AB8">
        <w:rPr>
          <w:color w:val="000000" w:themeColor="text1"/>
        </w:rPr>
        <w:t> = </w:t>
      </w:r>
      <w:r w:rsidR="0099505C" w:rsidRPr="00A52AB8">
        <w:rPr>
          <w:color w:val="000000" w:themeColor="text1"/>
        </w:rPr>
        <w:t>TilePatchPlrdLevel</w:t>
      </w:r>
      <w:r w:rsidR="00490929" w:rsidRPr="00A52AB8">
        <w:rPr>
          <w:color w:val="000000" w:themeColor="text1"/>
        </w:rPr>
        <w:t>[ tileID ][ p ][ m ]</w:t>
      </w:r>
      <w:r w:rsidR="00F51CE0" w:rsidRPr="00A52AB8">
        <w:rPr>
          <w:color w:val="000000" w:themeColor="text1"/>
        </w:rPr>
        <w:br/>
      </w:r>
      <w:r w:rsidR="00F51CE0" w:rsidRPr="00A52AB8">
        <w:rPr>
          <w:color w:val="000000" w:themeColor="text1"/>
        </w:rPr>
        <w:tab/>
      </w:r>
      <w:r w:rsidR="00F51CE0" w:rsidRPr="00A52AB8">
        <w:rPr>
          <w:color w:val="000000" w:themeColor="text1"/>
        </w:rPr>
        <w:tab/>
      </w:r>
      <w:r w:rsidR="00F51CE0" w:rsidRPr="00A52AB8">
        <w:rPr>
          <w:color w:val="000000" w:themeColor="text1"/>
        </w:rPr>
        <w:tab/>
      </w:r>
      <w:r w:rsidR="00F51CE0" w:rsidRPr="00A52AB8">
        <w:rPr>
          <w:color w:val="000000" w:themeColor="text1"/>
        </w:rPr>
        <w:tab/>
        <w:t>if( AtlasPlrdLevel</w:t>
      </w:r>
      <w:r w:rsidR="00B620A9" w:rsidRPr="00A52AB8">
        <w:rPr>
          <w:color w:val="000000" w:themeColor="text1"/>
        </w:rPr>
        <w:t>[ atlasPatchIdx ][ m ]</w:t>
      </w:r>
      <w:r w:rsidR="008768E9" w:rsidRPr="00A52AB8">
        <w:rPr>
          <w:color w:val="000000" w:themeColor="text1"/>
        </w:rPr>
        <w:t> </w:t>
      </w:r>
      <w:r w:rsidR="00726AAE" w:rsidRPr="00A52AB8">
        <w:rPr>
          <w:color w:val="000000" w:themeColor="text1"/>
        </w:rPr>
        <w:t>==</w:t>
      </w:r>
      <w:r w:rsidR="00D47707" w:rsidRPr="00A52AB8">
        <w:rPr>
          <w:color w:val="000000" w:themeColor="text1"/>
        </w:rPr>
        <w:t> </w:t>
      </w:r>
      <w:r w:rsidR="00F51CE0" w:rsidRPr="00A52AB8">
        <w:rPr>
          <w:color w:val="000000" w:themeColor="text1"/>
        </w:rPr>
        <w:t>0 </w:t>
      </w:r>
      <w:r w:rsidR="008F1F82" w:rsidRPr="00A52AB8">
        <w:rPr>
          <w:color w:val="000000" w:themeColor="text1"/>
        </w:rPr>
        <w:t>) {</w:t>
      </w:r>
      <w:r w:rsidR="00F51CE0" w:rsidRPr="00A52AB8">
        <w:rPr>
          <w:color w:val="000000" w:themeColor="text1"/>
        </w:rPr>
        <w:tab/>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00F51CE0" w:rsidRPr="00A52AB8">
        <w:rPr>
          <w:color w:val="000000" w:themeColor="text1"/>
        </w:rPr>
        <w:tab/>
        <w:t>for( j</w:t>
      </w:r>
      <w:r w:rsidR="00D47707" w:rsidRPr="00A52AB8">
        <w:rPr>
          <w:color w:val="000000" w:themeColor="text1"/>
        </w:rPr>
        <w:t> = </w:t>
      </w:r>
      <w:r w:rsidR="00F51CE0" w:rsidRPr="00A52AB8">
        <w:rPr>
          <w:color w:val="000000" w:themeColor="text1"/>
        </w:rPr>
        <w:t>0; j &lt; </w:t>
      </w:r>
      <w:r w:rsidR="00D47911" w:rsidRPr="00A52AB8">
        <w:rPr>
          <w:color w:val="000000" w:themeColor="text1"/>
        </w:rPr>
        <w:t>blockCnt</w:t>
      </w:r>
      <w:r w:rsidR="00F51CE0" w:rsidRPr="00A52AB8">
        <w:rPr>
          <w:color w:val="000000" w:themeColor="text1"/>
        </w:rPr>
        <w:t>; j</w:t>
      </w:r>
      <w:r w:rsidR="00006CCF" w:rsidRPr="00A52AB8">
        <w:rPr>
          <w:color w:val="000000" w:themeColor="text1"/>
        </w:rPr>
        <w:t>++ </w:t>
      </w:r>
      <w:r w:rsidR="008F1F82" w:rsidRPr="00A52AB8">
        <w:rPr>
          <w:color w:val="000000" w:themeColor="text1"/>
        </w:rPr>
        <w:t>) {</w:t>
      </w:r>
      <w:r w:rsidR="00F51CE0" w:rsidRPr="00A52AB8">
        <w:rPr>
          <w:color w:val="000000" w:themeColor="text1"/>
        </w:rPr>
        <w:br/>
      </w:r>
      <w:r w:rsidR="00F51CE0" w:rsidRPr="00A52AB8">
        <w:rPr>
          <w:color w:val="000000" w:themeColor="text1"/>
        </w:rPr>
        <w:tab/>
      </w:r>
      <w:r w:rsidR="00F51CE0" w:rsidRPr="00A52AB8">
        <w:rPr>
          <w:color w:val="000000" w:themeColor="text1"/>
        </w:rPr>
        <w:tab/>
      </w:r>
      <w:r w:rsidR="00F51CE0" w:rsidRPr="00A52AB8">
        <w:rPr>
          <w:color w:val="000000" w:themeColor="text1"/>
        </w:rPr>
        <w:tab/>
      </w:r>
      <w:r w:rsidR="00F51CE0" w:rsidRPr="00A52AB8">
        <w:rPr>
          <w:color w:val="000000" w:themeColor="text1"/>
        </w:rPr>
        <w:tab/>
      </w:r>
      <w:r w:rsidR="00F51CE0" w:rsidRPr="00A52AB8">
        <w:rPr>
          <w:color w:val="000000" w:themeColor="text1"/>
        </w:rPr>
        <w:tab/>
      </w:r>
      <w:r w:rsidR="00F51CE0" w:rsidRPr="00A52AB8">
        <w:rPr>
          <w:color w:val="000000" w:themeColor="text1"/>
        </w:rPr>
        <w:tab/>
        <w:t>AtlasPlrdPresentBlockFlag</w:t>
      </w:r>
      <w:r w:rsidR="00B620A9" w:rsidRPr="00A52AB8">
        <w:rPr>
          <w:color w:val="000000" w:themeColor="text1"/>
        </w:rPr>
        <w:t>[ atlasPatchIdx ][ m ]</w:t>
      </w:r>
      <w:r w:rsidR="00F51CE0" w:rsidRPr="00A52AB8">
        <w:rPr>
          <w:color w:val="000000" w:themeColor="text1"/>
        </w:rPr>
        <w:t>[ j ] =</w:t>
      </w:r>
      <w:r w:rsidR="00C61E38" w:rsidRPr="00A52AB8">
        <w:rPr>
          <w:color w:val="000000" w:themeColor="text1"/>
        </w:rPr>
        <w:br/>
      </w:r>
      <w:r w:rsidR="00F51CE0" w:rsidRPr="00A52AB8">
        <w:rPr>
          <w:color w:val="000000" w:themeColor="text1"/>
        </w:rPr>
        <w:tab/>
      </w:r>
      <w:r w:rsidR="00F51CE0" w:rsidRPr="00A52AB8">
        <w:rPr>
          <w:color w:val="000000" w:themeColor="text1"/>
        </w:rPr>
        <w:tab/>
      </w:r>
      <w:r w:rsidR="00F51CE0" w:rsidRPr="00A52AB8">
        <w:rPr>
          <w:color w:val="000000" w:themeColor="text1"/>
        </w:rPr>
        <w:tab/>
      </w:r>
      <w:r w:rsidR="00F51CE0" w:rsidRPr="00A52AB8">
        <w:rPr>
          <w:color w:val="000000" w:themeColor="text1"/>
        </w:rPr>
        <w:tab/>
      </w:r>
      <w:r w:rsidR="00F51CE0" w:rsidRPr="00A52AB8">
        <w:rPr>
          <w:color w:val="000000" w:themeColor="text1"/>
        </w:rPr>
        <w:tab/>
      </w:r>
      <w:r w:rsidR="00F51CE0" w:rsidRPr="00A52AB8">
        <w:rPr>
          <w:color w:val="000000" w:themeColor="text1"/>
        </w:rPr>
        <w:tab/>
      </w:r>
      <w:r w:rsidR="00F51CE0" w:rsidRPr="00A52AB8">
        <w:rPr>
          <w:color w:val="000000" w:themeColor="text1"/>
        </w:rPr>
        <w:tab/>
      </w:r>
      <w:r w:rsidR="0099505C" w:rsidRPr="00A52AB8">
        <w:rPr>
          <w:color w:val="000000" w:themeColor="text1"/>
        </w:rPr>
        <w:t>TilePatchPlrdPresentBlockFlag</w:t>
      </w:r>
      <w:r w:rsidR="00490929" w:rsidRPr="00A52AB8">
        <w:rPr>
          <w:color w:val="000000" w:themeColor="text1"/>
        </w:rPr>
        <w:t>[ tileID ][ p ][ m ]</w:t>
      </w:r>
      <w:r w:rsidR="00F51CE0" w:rsidRPr="00A52AB8">
        <w:rPr>
          <w:color w:val="000000" w:themeColor="text1"/>
        </w:rPr>
        <w:t>[ j ]</w:t>
      </w:r>
      <w:r w:rsidR="00F51CE0" w:rsidRPr="00A52AB8">
        <w:rPr>
          <w:color w:val="000000" w:themeColor="text1"/>
        </w:rPr>
        <w:br/>
      </w:r>
      <w:r w:rsidR="00F51CE0" w:rsidRPr="00A52AB8">
        <w:rPr>
          <w:color w:val="000000" w:themeColor="text1"/>
        </w:rPr>
        <w:tab/>
      </w:r>
      <w:r w:rsidR="00F51CE0" w:rsidRPr="00A52AB8">
        <w:rPr>
          <w:color w:val="000000" w:themeColor="text1"/>
        </w:rPr>
        <w:tab/>
      </w:r>
      <w:r w:rsidR="00F51CE0" w:rsidRPr="00A52AB8">
        <w:rPr>
          <w:color w:val="000000" w:themeColor="text1"/>
        </w:rPr>
        <w:tab/>
      </w:r>
      <w:r w:rsidR="00F51CE0" w:rsidRPr="00A52AB8">
        <w:rPr>
          <w:color w:val="000000" w:themeColor="text1"/>
        </w:rPr>
        <w:tab/>
      </w:r>
      <w:r w:rsidR="00F51CE0" w:rsidRPr="00A52AB8">
        <w:rPr>
          <w:color w:val="000000" w:themeColor="text1"/>
        </w:rPr>
        <w:tab/>
      </w:r>
      <w:r w:rsidR="00F51CE0" w:rsidRPr="00A52AB8">
        <w:rPr>
          <w:color w:val="000000" w:themeColor="text1"/>
        </w:rPr>
        <w:tab/>
        <w:t>if(</w:t>
      </w:r>
      <w:r w:rsidRPr="00A52AB8">
        <w:rPr>
          <w:color w:val="000000" w:themeColor="text1"/>
        </w:rPr>
        <w:t> </w:t>
      </w:r>
      <w:r w:rsidR="00F51CE0" w:rsidRPr="00A52AB8">
        <w:rPr>
          <w:color w:val="000000" w:themeColor="text1"/>
        </w:rPr>
        <w:t>AtlasPlrdPresentBlockFlag</w:t>
      </w:r>
      <w:r w:rsidR="00B620A9" w:rsidRPr="00A52AB8">
        <w:rPr>
          <w:color w:val="000000" w:themeColor="text1"/>
        </w:rPr>
        <w:t>[ atlasPatchIdx ][ m ]</w:t>
      </w:r>
      <w:r w:rsidR="00F51CE0" w:rsidRPr="00A52AB8">
        <w:rPr>
          <w:color w:val="000000" w:themeColor="text1"/>
        </w:rPr>
        <w:t>[ j ]</w:t>
      </w:r>
      <w:r w:rsidR="008768E9" w:rsidRPr="00A52AB8">
        <w:rPr>
          <w:color w:val="000000" w:themeColor="text1"/>
        </w:rPr>
        <w:t> </w:t>
      </w:r>
      <w:r w:rsidR="00726AAE" w:rsidRPr="00A52AB8">
        <w:rPr>
          <w:color w:val="000000" w:themeColor="text1"/>
        </w:rPr>
        <w:t>==</w:t>
      </w:r>
      <w:r w:rsidR="00D47707" w:rsidRPr="00A52AB8">
        <w:rPr>
          <w:color w:val="000000" w:themeColor="text1"/>
        </w:rPr>
        <w:t> </w:t>
      </w:r>
      <w:r w:rsidR="00F51CE0" w:rsidRPr="00A52AB8">
        <w:rPr>
          <w:color w:val="000000" w:themeColor="text1"/>
        </w:rPr>
        <w:t>1 )</w:t>
      </w:r>
      <w:r w:rsidR="00F51CE0" w:rsidRPr="00A52AB8">
        <w:rPr>
          <w:color w:val="000000" w:themeColor="text1"/>
        </w:rPr>
        <w:br/>
      </w:r>
      <w:r w:rsidR="00F51CE0" w:rsidRPr="00A52AB8">
        <w:rPr>
          <w:color w:val="000000" w:themeColor="text1"/>
        </w:rPr>
        <w:tab/>
      </w:r>
      <w:r w:rsidR="00F51CE0" w:rsidRPr="00A52AB8">
        <w:rPr>
          <w:color w:val="000000" w:themeColor="text1"/>
        </w:rPr>
        <w:tab/>
      </w:r>
      <w:r w:rsidR="00F51CE0" w:rsidRPr="00A52AB8">
        <w:rPr>
          <w:color w:val="000000" w:themeColor="text1"/>
        </w:rPr>
        <w:tab/>
      </w:r>
      <w:r w:rsidR="00F51CE0" w:rsidRPr="00A52AB8">
        <w:rPr>
          <w:color w:val="000000" w:themeColor="text1"/>
        </w:rPr>
        <w:tab/>
      </w:r>
      <w:r w:rsidR="00F51CE0" w:rsidRPr="00A52AB8">
        <w:rPr>
          <w:color w:val="000000" w:themeColor="text1"/>
        </w:rPr>
        <w:tab/>
      </w:r>
      <w:r w:rsidR="00F51CE0" w:rsidRPr="00A52AB8">
        <w:rPr>
          <w:color w:val="000000" w:themeColor="text1"/>
        </w:rPr>
        <w:tab/>
      </w:r>
      <w:r w:rsidR="00F51CE0" w:rsidRPr="00A52AB8">
        <w:rPr>
          <w:color w:val="000000" w:themeColor="text1"/>
        </w:rPr>
        <w:tab/>
        <w:t>AtlasPlrdBlockModeMinus1</w:t>
      </w:r>
      <w:r w:rsidR="00B620A9" w:rsidRPr="00A52AB8">
        <w:rPr>
          <w:color w:val="000000" w:themeColor="text1"/>
        </w:rPr>
        <w:t>[ atlasPatchIdx ][ m ]</w:t>
      </w:r>
      <w:r w:rsidR="00F51CE0" w:rsidRPr="00A52AB8">
        <w:rPr>
          <w:color w:val="000000" w:themeColor="text1"/>
        </w:rPr>
        <w:t>[ j ] =</w:t>
      </w:r>
      <w:r w:rsidR="00C61E38" w:rsidRPr="00A52AB8">
        <w:rPr>
          <w:color w:val="000000" w:themeColor="text1"/>
        </w:rPr>
        <w:br/>
      </w:r>
      <w:r w:rsidR="00F51CE0" w:rsidRPr="00A52AB8">
        <w:rPr>
          <w:color w:val="000000" w:themeColor="text1"/>
        </w:rPr>
        <w:tab/>
      </w:r>
      <w:r w:rsidR="00F51CE0" w:rsidRPr="00A52AB8">
        <w:rPr>
          <w:color w:val="000000" w:themeColor="text1"/>
        </w:rPr>
        <w:tab/>
      </w:r>
      <w:r w:rsidR="00F51CE0" w:rsidRPr="00A52AB8">
        <w:rPr>
          <w:color w:val="000000" w:themeColor="text1"/>
        </w:rPr>
        <w:tab/>
      </w:r>
      <w:r w:rsidR="00F51CE0" w:rsidRPr="00A52AB8">
        <w:rPr>
          <w:color w:val="000000" w:themeColor="text1"/>
        </w:rPr>
        <w:tab/>
      </w:r>
      <w:r w:rsidR="00F51CE0" w:rsidRPr="00A52AB8">
        <w:rPr>
          <w:color w:val="000000" w:themeColor="text1"/>
        </w:rPr>
        <w:tab/>
      </w:r>
      <w:r w:rsidR="00F51CE0" w:rsidRPr="00A52AB8">
        <w:rPr>
          <w:color w:val="000000" w:themeColor="text1"/>
        </w:rPr>
        <w:tab/>
      </w:r>
      <w:r w:rsidR="00F51CE0" w:rsidRPr="00A52AB8">
        <w:rPr>
          <w:color w:val="000000" w:themeColor="text1"/>
        </w:rPr>
        <w:tab/>
      </w:r>
      <w:r w:rsidR="00F51CE0" w:rsidRPr="00A52AB8">
        <w:rPr>
          <w:color w:val="000000" w:themeColor="text1"/>
        </w:rPr>
        <w:tab/>
      </w:r>
      <w:r w:rsidR="00F51CE0" w:rsidRPr="00A52AB8">
        <w:rPr>
          <w:color w:val="000000" w:themeColor="text1"/>
        </w:rPr>
        <w:tab/>
      </w:r>
      <w:r w:rsidR="0099505C" w:rsidRPr="00A52AB8">
        <w:rPr>
          <w:color w:val="000000" w:themeColor="text1"/>
        </w:rPr>
        <w:t>TilePatchPlrdBlockModeMinus1</w:t>
      </w:r>
      <w:r w:rsidR="00490929" w:rsidRPr="00A52AB8">
        <w:rPr>
          <w:color w:val="000000" w:themeColor="text1"/>
        </w:rPr>
        <w:t>[ tileID ][ p ][ m ]</w:t>
      </w:r>
      <w:r w:rsidR="00F51CE0" w:rsidRPr="00A52AB8">
        <w:rPr>
          <w:color w:val="000000" w:themeColor="text1"/>
        </w:rPr>
        <w:t>[ j ]</w:t>
      </w:r>
      <w:r w:rsidR="00D47911" w:rsidRPr="00A52AB8">
        <w:rPr>
          <w:color w:val="000000" w:themeColor="text1"/>
        </w:rPr>
        <w:br/>
      </w:r>
      <w:r w:rsidR="00F51CE0" w:rsidRPr="00A52AB8">
        <w:rPr>
          <w:color w:val="000000" w:themeColor="text1"/>
        </w:rPr>
        <w:tab/>
      </w:r>
      <w:r w:rsidR="00F51CE0" w:rsidRPr="00A52AB8">
        <w:rPr>
          <w:color w:val="000000" w:themeColor="text1"/>
        </w:rPr>
        <w:tab/>
      </w:r>
      <w:r w:rsidR="00F51CE0" w:rsidRPr="00A52AB8">
        <w:rPr>
          <w:color w:val="000000" w:themeColor="text1"/>
        </w:rPr>
        <w:tab/>
      </w:r>
      <w:r w:rsidR="00F51CE0" w:rsidRPr="00A52AB8">
        <w:rPr>
          <w:color w:val="000000" w:themeColor="text1"/>
        </w:rPr>
        <w:tab/>
      </w:r>
      <w:r w:rsidR="00F51CE0" w:rsidRPr="00A52AB8">
        <w:rPr>
          <w:color w:val="000000" w:themeColor="text1"/>
        </w:rPr>
        <w:tab/>
        <w:t>}</w:t>
      </w:r>
      <w:r w:rsidR="00F51CE0" w:rsidRPr="00A52AB8">
        <w:rPr>
          <w:color w:val="000000" w:themeColor="text1"/>
        </w:rPr>
        <w:br/>
      </w:r>
      <w:r w:rsidR="00F51CE0" w:rsidRPr="00A52AB8">
        <w:rPr>
          <w:color w:val="000000" w:themeColor="text1"/>
        </w:rPr>
        <w:tab/>
      </w:r>
      <w:r w:rsidR="00F51CE0" w:rsidRPr="00A52AB8">
        <w:rPr>
          <w:color w:val="000000" w:themeColor="text1"/>
        </w:rPr>
        <w:tab/>
      </w:r>
      <w:r w:rsidR="00F51CE0" w:rsidRPr="00A52AB8">
        <w:rPr>
          <w:color w:val="000000" w:themeColor="text1"/>
        </w:rPr>
        <w:tab/>
      </w:r>
      <w:r w:rsidR="00F51CE0" w:rsidRPr="00A52AB8">
        <w:rPr>
          <w:color w:val="000000" w:themeColor="text1"/>
        </w:rPr>
        <w:tab/>
      </w:r>
      <w:r w:rsidR="0023721F" w:rsidRPr="00A52AB8">
        <w:rPr>
          <w:color w:val="000000" w:themeColor="text1"/>
        </w:rPr>
        <w:t>} else {</w:t>
      </w:r>
      <w:r w:rsidR="00F51CE0" w:rsidRPr="00A52AB8">
        <w:rPr>
          <w:color w:val="000000" w:themeColor="text1"/>
        </w:rPr>
        <w:br/>
      </w:r>
      <w:r w:rsidR="00F51CE0" w:rsidRPr="00A52AB8">
        <w:rPr>
          <w:color w:val="000000" w:themeColor="text1"/>
        </w:rPr>
        <w:tab/>
      </w:r>
      <w:r w:rsidR="00F51CE0" w:rsidRPr="00A52AB8">
        <w:rPr>
          <w:color w:val="000000" w:themeColor="text1"/>
        </w:rPr>
        <w:tab/>
      </w:r>
      <w:r w:rsidR="00F51CE0" w:rsidRPr="00A52AB8">
        <w:rPr>
          <w:color w:val="000000" w:themeColor="text1"/>
        </w:rPr>
        <w:tab/>
      </w:r>
      <w:r w:rsidR="00F51CE0" w:rsidRPr="00A52AB8">
        <w:rPr>
          <w:color w:val="000000" w:themeColor="text1"/>
        </w:rPr>
        <w:tab/>
      </w:r>
      <w:r w:rsidR="00F51CE0" w:rsidRPr="00A52AB8">
        <w:rPr>
          <w:color w:val="000000" w:themeColor="text1"/>
        </w:rPr>
        <w:tab/>
        <w:t>AtlasPlrdPresentFlag</w:t>
      </w:r>
      <w:r w:rsidR="00B620A9" w:rsidRPr="00A52AB8">
        <w:rPr>
          <w:color w:val="000000" w:themeColor="text1"/>
        </w:rPr>
        <w:t>[ atlasPatchIdx ][ m ]</w:t>
      </w:r>
      <w:r w:rsidR="00F51CE0" w:rsidRPr="00A52AB8">
        <w:rPr>
          <w:color w:val="000000" w:themeColor="text1"/>
        </w:rPr>
        <w:t> =</w:t>
      </w:r>
      <w:r w:rsidR="00C61E38" w:rsidRPr="00A52AB8">
        <w:rPr>
          <w:color w:val="000000" w:themeColor="text1"/>
        </w:rPr>
        <w:br/>
      </w:r>
      <w:r w:rsidR="00B620A9" w:rsidRPr="00A52AB8">
        <w:rPr>
          <w:color w:val="000000" w:themeColor="text1"/>
        </w:rPr>
        <w:tab/>
      </w:r>
      <w:r w:rsidR="00B620A9" w:rsidRPr="00A52AB8">
        <w:rPr>
          <w:color w:val="000000" w:themeColor="text1"/>
        </w:rPr>
        <w:tab/>
      </w:r>
      <w:r w:rsidR="00B620A9" w:rsidRPr="00A52AB8">
        <w:rPr>
          <w:color w:val="000000" w:themeColor="text1"/>
        </w:rPr>
        <w:tab/>
      </w:r>
      <w:r w:rsidR="00B620A9" w:rsidRPr="00A52AB8">
        <w:rPr>
          <w:color w:val="000000" w:themeColor="text1"/>
        </w:rPr>
        <w:tab/>
      </w:r>
      <w:r w:rsidR="00B620A9" w:rsidRPr="00A52AB8">
        <w:rPr>
          <w:color w:val="000000" w:themeColor="text1"/>
        </w:rPr>
        <w:tab/>
      </w:r>
      <w:r w:rsidR="00B620A9" w:rsidRPr="00A52AB8">
        <w:rPr>
          <w:color w:val="000000" w:themeColor="text1"/>
        </w:rPr>
        <w:tab/>
      </w:r>
      <w:r w:rsidR="0099505C" w:rsidRPr="00A52AB8">
        <w:rPr>
          <w:color w:val="000000" w:themeColor="text1"/>
        </w:rPr>
        <w:t>TilePatchPlrdPresentFlag</w:t>
      </w:r>
      <w:r w:rsidR="00490929" w:rsidRPr="00A52AB8">
        <w:rPr>
          <w:color w:val="000000" w:themeColor="text1"/>
        </w:rPr>
        <w:t>[ tileID ][ p ][ m ]</w:t>
      </w:r>
      <w:r w:rsidR="00F51CE0" w:rsidRPr="00A52AB8">
        <w:rPr>
          <w:color w:val="000000" w:themeColor="text1"/>
        </w:rPr>
        <w:br/>
      </w:r>
      <w:r w:rsidR="00F51CE0" w:rsidRPr="00A52AB8">
        <w:rPr>
          <w:color w:val="000000" w:themeColor="text1"/>
        </w:rPr>
        <w:tab/>
      </w:r>
      <w:r w:rsidR="00F51CE0" w:rsidRPr="00A52AB8">
        <w:rPr>
          <w:color w:val="000000" w:themeColor="text1"/>
        </w:rPr>
        <w:tab/>
      </w:r>
      <w:r w:rsidR="00F51CE0" w:rsidRPr="00A52AB8">
        <w:rPr>
          <w:color w:val="000000" w:themeColor="text1"/>
        </w:rPr>
        <w:tab/>
      </w:r>
      <w:r w:rsidR="00F51CE0" w:rsidRPr="00A52AB8">
        <w:rPr>
          <w:color w:val="000000" w:themeColor="text1"/>
        </w:rPr>
        <w:tab/>
      </w:r>
      <w:r w:rsidR="00F51CE0" w:rsidRPr="00A52AB8">
        <w:rPr>
          <w:color w:val="000000" w:themeColor="text1"/>
        </w:rPr>
        <w:tab/>
        <w:t>if(</w:t>
      </w:r>
      <w:r w:rsidRPr="00A52AB8">
        <w:rPr>
          <w:color w:val="000000" w:themeColor="text1"/>
        </w:rPr>
        <w:t> </w:t>
      </w:r>
      <w:r w:rsidR="00F51CE0" w:rsidRPr="00A52AB8">
        <w:rPr>
          <w:color w:val="000000" w:themeColor="text1"/>
        </w:rPr>
        <w:t>AtlasPlrdPresentFlag</w:t>
      </w:r>
      <w:r w:rsidR="00B620A9" w:rsidRPr="00A52AB8">
        <w:rPr>
          <w:color w:val="000000" w:themeColor="text1"/>
        </w:rPr>
        <w:t>[ atlasPatchIdx ][ m ]</w:t>
      </w:r>
      <w:r w:rsidR="008768E9" w:rsidRPr="00A52AB8">
        <w:rPr>
          <w:color w:val="000000" w:themeColor="text1"/>
        </w:rPr>
        <w:t> </w:t>
      </w:r>
      <w:r w:rsidR="00726AAE" w:rsidRPr="00A52AB8">
        <w:rPr>
          <w:color w:val="000000" w:themeColor="text1"/>
        </w:rPr>
        <w:t>==</w:t>
      </w:r>
      <w:r w:rsidR="00D47707" w:rsidRPr="00A52AB8">
        <w:rPr>
          <w:color w:val="000000" w:themeColor="text1"/>
        </w:rPr>
        <w:t> </w:t>
      </w:r>
      <w:r w:rsidR="00F51CE0" w:rsidRPr="00A52AB8">
        <w:rPr>
          <w:color w:val="000000" w:themeColor="text1"/>
        </w:rPr>
        <w:t>1 )</w:t>
      </w:r>
      <w:r w:rsidR="00F51CE0" w:rsidRPr="00A52AB8">
        <w:rPr>
          <w:color w:val="000000" w:themeColor="text1"/>
        </w:rPr>
        <w:br/>
      </w:r>
      <w:r w:rsidR="00F51CE0" w:rsidRPr="00A52AB8">
        <w:rPr>
          <w:color w:val="000000" w:themeColor="text1"/>
        </w:rPr>
        <w:tab/>
      </w:r>
      <w:r w:rsidR="00F51CE0" w:rsidRPr="00A52AB8">
        <w:rPr>
          <w:color w:val="000000" w:themeColor="text1"/>
        </w:rPr>
        <w:tab/>
      </w:r>
      <w:r w:rsidR="00F51CE0" w:rsidRPr="00A52AB8">
        <w:rPr>
          <w:color w:val="000000" w:themeColor="text1"/>
        </w:rPr>
        <w:tab/>
      </w:r>
      <w:r w:rsidR="00F51CE0" w:rsidRPr="00A52AB8">
        <w:rPr>
          <w:color w:val="000000" w:themeColor="text1"/>
        </w:rPr>
        <w:tab/>
      </w:r>
      <w:r w:rsidR="00F51CE0" w:rsidRPr="00A52AB8">
        <w:rPr>
          <w:color w:val="000000" w:themeColor="text1"/>
        </w:rPr>
        <w:tab/>
      </w:r>
      <w:r w:rsidR="00F51CE0" w:rsidRPr="00A52AB8">
        <w:rPr>
          <w:color w:val="000000" w:themeColor="text1"/>
        </w:rPr>
        <w:tab/>
        <w:t>AtlasPlrdModeMinus1</w:t>
      </w:r>
      <w:r w:rsidR="00B620A9" w:rsidRPr="00A52AB8">
        <w:rPr>
          <w:color w:val="000000" w:themeColor="text1"/>
        </w:rPr>
        <w:t>[ atlasPatchIdx ][ m ]</w:t>
      </w:r>
      <w:r w:rsidR="00F51CE0" w:rsidRPr="00A52AB8">
        <w:rPr>
          <w:color w:val="000000" w:themeColor="text1"/>
        </w:rPr>
        <w:t> =</w:t>
      </w:r>
      <w:r w:rsidR="00C61E38" w:rsidRPr="00A52AB8">
        <w:rPr>
          <w:color w:val="000000" w:themeColor="text1"/>
        </w:rPr>
        <w:br/>
      </w:r>
      <w:r w:rsidR="007F5D55" w:rsidRPr="00A52AB8">
        <w:rPr>
          <w:color w:val="000000" w:themeColor="text1"/>
        </w:rPr>
        <w:tab/>
      </w:r>
      <w:r w:rsidR="007F5D55" w:rsidRPr="00A52AB8">
        <w:rPr>
          <w:color w:val="000000" w:themeColor="text1"/>
        </w:rPr>
        <w:tab/>
      </w:r>
      <w:r w:rsidR="007F5D55" w:rsidRPr="00A52AB8">
        <w:rPr>
          <w:color w:val="000000" w:themeColor="text1"/>
        </w:rPr>
        <w:tab/>
      </w:r>
      <w:r w:rsidR="007F5D55" w:rsidRPr="00A52AB8">
        <w:rPr>
          <w:color w:val="000000" w:themeColor="text1"/>
        </w:rPr>
        <w:tab/>
      </w:r>
      <w:r w:rsidR="007F5D55" w:rsidRPr="00A52AB8">
        <w:rPr>
          <w:color w:val="000000" w:themeColor="text1"/>
        </w:rPr>
        <w:tab/>
      </w:r>
      <w:r w:rsidR="007F5D55" w:rsidRPr="00A52AB8">
        <w:rPr>
          <w:color w:val="000000" w:themeColor="text1"/>
        </w:rPr>
        <w:tab/>
      </w:r>
      <w:r w:rsidR="007F5D55" w:rsidRPr="00A52AB8">
        <w:rPr>
          <w:color w:val="000000" w:themeColor="text1"/>
        </w:rPr>
        <w:tab/>
      </w:r>
      <w:r w:rsidR="006306BD" w:rsidRPr="00A52AB8">
        <w:rPr>
          <w:color w:val="000000" w:themeColor="text1"/>
        </w:rPr>
        <w:t>TilePatchPlrdModeMinus1</w:t>
      </w:r>
      <w:r w:rsidR="00490929" w:rsidRPr="00A52AB8">
        <w:rPr>
          <w:color w:val="000000" w:themeColor="text1"/>
        </w:rPr>
        <w:t>[ tileID ][ p ][ m ]</w:t>
      </w:r>
      <w:r w:rsidRPr="00A52AB8">
        <w:rPr>
          <w:lang w:eastAsia="ja-JP"/>
        </w:rPr>
        <w:br/>
      </w:r>
      <w:r w:rsidR="00F51CE0" w:rsidRPr="00A52AB8">
        <w:rPr>
          <w:color w:val="000000" w:themeColor="text1"/>
        </w:rPr>
        <w:tab/>
      </w:r>
      <w:r w:rsidR="00F51CE0" w:rsidRPr="00A52AB8">
        <w:rPr>
          <w:color w:val="000000" w:themeColor="text1"/>
        </w:rPr>
        <w:tab/>
      </w:r>
      <w:r w:rsidR="00F51CE0" w:rsidRPr="00A52AB8">
        <w:rPr>
          <w:color w:val="000000" w:themeColor="text1"/>
        </w:rPr>
        <w:tab/>
      </w:r>
      <w:r w:rsidR="00F51CE0" w:rsidRPr="00A52AB8">
        <w:rPr>
          <w:color w:val="000000" w:themeColor="text1"/>
        </w:rPr>
        <w:tab/>
        <w:t>}</w:t>
      </w:r>
      <w:r w:rsidR="00F51CE0" w:rsidRPr="00A52AB8">
        <w:rPr>
          <w:color w:val="000000" w:themeColor="text1"/>
        </w:rPr>
        <w:br/>
      </w:r>
      <w:r w:rsidR="00F51CE0" w:rsidRPr="00A52AB8">
        <w:rPr>
          <w:color w:val="000000" w:themeColor="text1"/>
        </w:rPr>
        <w:tab/>
      </w:r>
      <w:r w:rsidR="00F51CE0" w:rsidRPr="00A52AB8">
        <w:rPr>
          <w:color w:val="000000" w:themeColor="text1"/>
        </w:rPr>
        <w:tab/>
      </w:r>
      <w:r w:rsidR="00F51CE0" w:rsidRPr="00A52AB8">
        <w:rPr>
          <w:color w:val="000000" w:themeColor="text1"/>
        </w:rPr>
        <w:tab/>
        <w:t>}</w:t>
      </w:r>
      <w:r w:rsidR="00F51CE0" w:rsidRPr="00A52AB8">
        <w:rPr>
          <w:color w:val="000000" w:themeColor="text1"/>
        </w:rPr>
        <w:br/>
      </w:r>
      <w:r w:rsidR="00F51CE0" w:rsidRPr="00A52AB8">
        <w:rPr>
          <w:color w:val="000000" w:themeColor="text1"/>
        </w:rPr>
        <w:tab/>
      </w:r>
      <w:r w:rsidR="00F51CE0" w:rsidRPr="00A52AB8">
        <w:rPr>
          <w:color w:val="000000" w:themeColor="text1"/>
        </w:rPr>
        <w:tab/>
        <w:t>}</w:t>
      </w:r>
      <w:r w:rsidR="00F51CE0" w:rsidRPr="00A52AB8">
        <w:rPr>
          <w:color w:val="000000" w:themeColor="text1"/>
        </w:rPr>
        <w:br/>
      </w:r>
      <w:r w:rsidR="00F51CE0" w:rsidRPr="00A52AB8">
        <w:rPr>
          <w:color w:val="000000" w:themeColor="text1"/>
        </w:rPr>
        <w:tab/>
        <w:t>}</w:t>
      </w:r>
      <w:r w:rsidR="00F51CE0" w:rsidRPr="00A52AB8">
        <w:rPr>
          <w:color w:val="000000" w:themeColor="text1"/>
        </w:rPr>
        <w:br/>
      </w:r>
      <w:r w:rsidR="00F51CE0" w:rsidRPr="00A52AB8">
        <w:rPr>
          <w:lang w:eastAsia="ja-JP"/>
        </w:rPr>
        <w:tab/>
        <w:t>if( </w:t>
      </w:r>
      <w:r w:rsidR="00F51CE0" w:rsidRPr="00A52AB8">
        <w:rPr>
          <w:color w:val="000000" w:themeColor="text1"/>
        </w:rPr>
        <w:t>AtlasPatchType[ </w:t>
      </w:r>
      <w:r w:rsidR="00F51CE0" w:rsidRPr="00A52AB8">
        <w:rPr>
          <w:lang w:eastAsia="ja-JP"/>
        </w:rPr>
        <w:t>atlasPatchIdx</w:t>
      </w:r>
      <w:r w:rsidR="00F51CE0" w:rsidRPr="00A52AB8">
        <w:rPr>
          <w:color w:val="000000" w:themeColor="text1"/>
        </w:rPr>
        <w:t> ]</w:t>
      </w:r>
      <w:r w:rsidR="008768E9" w:rsidRPr="00A52AB8">
        <w:rPr>
          <w:color w:val="000000" w:themeColor="text1"/>
        </w:rPr>
        <w:t> </w:t>
      </w:r>
      <w:r w:rsidR="00726AAE" w:rsidRPr="00A52AB8">
        <w:rPr>
          <w:color w:val="000000" w:themeColor="text1"/>
        </w:rPr>
        <w:t>==</w:t>
      </w:r>
      <w:r w:rsidR="00D47707" w:rsidRPr="00A52AB8">
        <w:rPr>
          <w:color w:val="000000" w:themeColor="text1"/>
        </w:rPr>
        <w:t> </w:t>
      </w:r>
      <w:r w:rsidR="00F51CE0" w:rsidRPr="00A52AB8">
        <w:rPr>
          <w:color w:val="000000" w:themeColor="text1"/>
        </w:rPr>
        <w:t>EOM </w:t>
      </w:r>
      <w:r w:rsidR="008F1F82" w:rsidRPr="00A52AB8">
        <w:rPr>
          <w:lang w:eastAsia="ja-JP"/>
        </w:rPr>
        <w:t>) {</w:t>
      </w:r>
      <w:r w:rsidR="00F51CE0" w:rsidRPr="00A52AB8">
        <w:rPr>
          <w:lang w:eastAsia="ja-JP"/>
        </w:rPr>
        <w:br/>
      </w:r>
      <w:r w:rsidR="00F51CE0" w:rsidRPr="00A52AB8">
        <w:rPr>
          <w:color w:val="000000" w:themeColor="text1"/>
        </w:rPr>
        <w:tab/>
      </w:r>
      <w:r w:rsidR="00F51CE0" w:rsidRPr="00A52AB8">
        <w:rPr>
          <w:color w:val="000000" w:themeColor="text1"/>
        </w:rPr>
        <w:tab/>
      </w:r>
      <w:r w:rsidR="00F51CE0" w:rsidRPr="00A52AB8">
        <w:rPr>
          <w:lang w:eastAsia="ja-JP"/>
        </w:rPr>
        <w:t>Atlas</w:t>
      </w:r>
      <w:r w:rsidR="00D12C68" w:rsidRPr="00A52AB8">
        <w:rPr>
          <w:lang w:eastAsia="ja-JP"/>
        </w:rPr>
        <w:t>TotalNum</w:t>
      </w:r>
      <w:r w:rsidR="00F51CE0" w:rsidRPr="00A52AB8">
        <w:rPr>
          <w:lang w:eastAsia="ja-JP"/>
        </w:rPr>
        <w:t>EOMPatches </w:t>
      </w:r>
      <w:r w:rsidR="00A234FD" w:rsidRPr="00A52AB8">
        <w:rPr>
          <w:lang w:eastAsia="ja-JP"/>
        </w:rPr>
        <w:t>+=</w:t>
      </w:r>
      <w:r w:rsidR="00D47707" w:rsidRPr="00A52AB8">
        <w:rPr>
          <w:lang w:eastAsia="ja-JP"/>
        </w:rPr>
        <w:t> </w:t>
      </w:r>
      <w:r w:rsidR="00F51CE0" w:rsidRPr="00A52AB8">
        <w:rPr>
          <w:lang w:eastAsia="ja-JP"/>
        </w:rPr>
        <w:t>1</w:t>
      </w:r>
      <w:r w:rsidR="00F51CE0" w:rsidRPr="00A52AB8">
        <w:rPr>
          <w:lang w:eastAsia="ja-JP"/>
        </w:rPr>
        <w:br/>
      </w:r>
      <w:r w:rsidR="00F51CE0" w:rsidRPr="00A52AB8">
        <w:rPr>
          <w:lang w:eastAsia="ja-JP"/>
        </w:rPr>
        <w:tab/>
      </w:r>
      <w:r w:rsidR="00F51CE0" w:rsidRPr="00A52AB8">
        <w:rPr>
          <w:lang w:eastAsia="ja-JP"/>
        </w:rPr>
        <w:tab/>
        <w:t>for( i</w:t>
      </w:r>
      <w:r w:rsidR="00D47707" w:rsidRPr="00A52AB8">
        <w:rPr>
          <w:lang w:eastAsia="ja-JP"/>
        </w:rPr>
        <w:t> = </w:t>
      </w:r>
      <w:r w:rsidR="00F51CE0" w:rsidRPr="00A52AB8">
        <w:rPr>
          <w:lang w:eastAsia="ja-JP"/>
        </w:rPr>
        <w:t>0; i &lt; AtlasEpduPatchCount[ atlasPatchIdx</w:t>
      </w:r>
      <w:r w:rsidR="00F51CE0" w:rsidRPr="00A52AB8">
        <w:rPr>
          <w:color w:val="000000" w:themeColor="text1"/>
        </w:rPr>
        <w:t> </w:t>
      </w:r>
      <w:r w:rsidR="00F51CE0" w:rsidRPr="00A52AB8">
        <w:rPr>
          <w:lang w:eastAsia="ja-JP"/>
        </w:rPr>
        <w:t>]; i</w:t>
      </w:r>
      <w:r w:rsidR="00006CCF" w:rsidRPr="00A52AB8">
        <w:rPr>
          <w:lang w:eastAsia="ja-JP"/>
        </w:rPr>
        <w:t>++ </w:t>
      </w:r>
      <w:r w:rsidR="008F1F82" w:rsidRPr="00A52AB8">
        <w:rPr>
          <w:lang w:eastAsia="ja-JP"/>
        </w:rPr>
        <w:t>) {</w:t>
      </w:r>
      <w:r w:rsidR="00F51CE0" w:rsidRPr="00A52AB8">
        <w:rPr>
          <w:lang w:eastAsia="ja-JP"/>
        </w:rPr>
        <w:br/>
      </w:r>
      <w:r w:rsidR="00F51CE0" w:rsidRPr="00A52AB8">
        <w:rPr>
          <w:lang w:eastAsia="ja-JP"/>
        </w:rPr>
        <w:tab/>
      </w:r>
      <w:r w:rsidR="00F51CE0" w:rsidRPr="00A52AB8">
        <w:rPr>
          <w:lang w:eastAsia="ja-JP"/>
        </w:rPr>
        <w:tab/>
      </w:r>
      <w:r w:rsidR="00F51CE0" w:rsidRPr="00A52AB8">
        <w:rPr>
          <w:lang w:eastAsia="ja-JP"/>
        </w:rPr>
        <w:tab/>
        <w:t>NumEOMPoints </w:t>
      </w:r>
      <w:r w:rsidR="00A234FD" w:rsidRPr="00A52AB8">
        <w:rPr>
          <w:lang w:eastAsia="ja-JP"/>
        </w:rPr>
        <w:t>+=</w:t>
      </w:r>
      <w:r w:rsidR="00D47707" w:rsidRPr="00A52AB8">
        <w:rPr>
          <w:lang w:eastAsia="ja-JP"/>
        </w:rPr>
        <w:t> </w:t>
      </w:r>
      <w:r w:rsidR="00F51CE0" w:rsidRPr="00A52AB8">
        <w:rPr>
          <w:lang w:eastAsia="ja-JP"/>
        </w:rPr>
        <w:t>TilePatchEomPoints[ tileID ][ p ][ i ]</w:t>
      </w:r>
      <w:r w:rsidR="00F51CE0" w:rsidRPr="00A52AB8">
        <w:rPr>
          <w:lang w:eastAsia="ja-JP"/>
        </w:rPr>
        <w:br/>
      </w:r>
      <w:r w:rsidR="00F51CE0" w:rsidRPr="00A52AB8">
        <w:rPr>
          <w:lang w:eastAsia="ja-JP"/>
        </w:rPr>
        <w:tab/>
      </w:r>
      <w:r w:rsidR="00F51CE0" w:rsidRPr="00A52AB8">
        <w:rPr>
          <w:lang w:eastAsia="ja-JP"/>
        </w:rPr>
        <w:tab/>
      </w:r>
      <w:r w:rsidR="00F51CE0" w:rsidRPr="00A52AB8">
        <w:rPr>
          <w:lang w:eastAsia="ja-JP"/>
        </w:rPr>
        <w:tab/>
        <w:t>AtlasEpduPoints[ atlasPatchIdx</w:t>
      </w:r>
      <w:r w:rsidR="00F51CE0" w:rsidRPr="00A52AB8">
        <w:rPr>
          <w:color w:val="000000" w:themeColor="text1"/>
        </w:rPr>
        <w:t> </w:t>
      </w:r>
      <w:r w:rsidR="00F51CE0" w:rsidRPr="00A52AB8">
        <w:rPr>
          <w:lang w:eastAsia="ja-JP"/>
        </w:rPr>
        <w:t>][ i ]</w:t>
      </w:r>
      <w:r w:rsidR="00D47707" w:rsidRPr="00A52AB8">
        <w:rPr>
          <w:lang w:eastAsia="ja-JP"/>
        </w:rPr>
        <w:t> = </w:t>
      </w:r>
      <w:r w:rsidR="00F51CE0" w:rsidRPr="00A52AB8">
        <w:rPr>
          <w:lang w:eastAsia="ja-JP"/>
        </w:rPr>
        <w:t>TilePatchEomPoints[ tileID ][ p ][ i ]</w:t>
      </w:r>
      <w:r w:rsidR="00F51CE0" w:rsidRPr="00A52AB8">
        <w:rPr>
          <w:lang w:eastAsia="ja-JP"/>
        </w:rPr>
        <w:br/>
      </w:r>
      <w:r w:rsidR="00F51CE0" w:rsidRPr="00A52AB8">
        <w:rPr>
          <w:lang w:eastAsia="ja-JP"/>
        </w:rPr>
        <w:tab/>
      </w:r>
      <w:r w:rsidR="00F51CE0" w:rsidRPr="00A52AB8">
        <w:rPr>
          <w:lang w:eastAsia="ja-JP"/>
        </w:rPr>
        <w:tab/>
      </w:r>
      <w:r w:rsidR="00F51CE0" w:rsidRPr="00A52AB8">
        <w:rPr>
          <w:lang w:eastAsia="ja-JP"/>
        </w:rPr>
        <w:tab/>
        <w:t>AtlasEpduAssociatedPatchIndex[ atlasPatchIdx</w:t>
      </w:r>
      <w:r w:rsidR="00F51CE0" w:rsidRPr="00A52AB8">
        <w:rPr>
          <w:color w:val="000000" w:themeColor="text1"/>
        </w:rPr>
        <w:t> </w:t>
      </w:r>
      <w:r w:rsidR="00F51CE0" w:rsidRPr="00A52AB8">
        <w:rPr>
          <w:lang w:eastAsia="ja-JP"/>
        </w:rPr>
        <w:t>][ i ] =</w:t>
      </w:r>
      <w:r w:rsidR="00F51CE0" w:rsidRPr="00A52AB8">
        <w:rPr>
          <w:lang w:eastAsia="ja-JP"/>
        </w:rPr>
        <w:br/>
      </w:r>
      <w:r w:rsidR="00F51CE0" w:rsidRPr="00A52AB8">
        <w:rPr>
          <w:lang w:eastAsia="ja-JP"/>
        </w:rPr>
        <w:tab/>
      </w:r>
      <w:r w:rsidR="00F51CE0" w:rsidRPr="00A52AB8">
        <w:rPr>
          <w:lang w:eastAsia="ja-JP"/>
        </w:rPr>
        <w:tab/>
      </w:r>
      <w:r w:rsidR="00F51CE0" w:rsidRPr="00A52AB8">
        <w:rPr>
          <w:lang w:eastAsia="ja-JP"/>
        </w:rPr>
        <w:tab/>
      </w:r>
      <w:r w:rsidR="006C3576" w:rsidRPr="00A52AB8">
        <w:rPr>
          <w:lang w:eastAsia="ja-JP"/>
        </w:rPr>
        <w:tab/>
      </w:r>
      <w:r w:rsidR="00F51CE0" w:rsidRPr="00A52AB8">
        <w:rPr>
          <w:lang w:eastAsia="ja-JP"/>
        </w:rPr>
        <w:t>TilePatch</w:t>
      </w:r>
      <w:r w:rsidR="00F51CE0" w:rsidRPr="00A52AB8">
        <w:t>AssociatedPatchIndex[ tileID ][ p ][ i ] </w:t>
      </w:r>
      <w:r w:rsidR="00C53269" w:rsidRPr="00A52AB8">
        <w:t>+ offsetPatch</w:t>
      </w:r>
      <w:r w:rsidR="00C61E38" w:rsidRPr="00A52AB8">
        <w:rPr>
          <w:lang w:eastAsia="ja-JP"/>
        </w:rPr>
        <w:br/>
      </w:r>
      <w:r w:rsidR="00F51CE0" w:rsidRPr="00A52AB8">
        <w:rPr>
          <w:lang w:eastAsia="ja-JP"/>
        </w:rPr>
        <w:tab/>
      </w:r>
      <w:r w:rsidR="00F51CE0" w:rsidRPr="00A52AB8">
        <w:rPr>
          <w:lang w:eastAsia="ja-JP"/>
        </w:rPr>
        <w:tab/>
        <w:t>}</w:t>
      </w:r>
      <w:r w:rsidR="00F51CE0" w:rsidRPr="00A52AB8">
        <w:rPr>
          <w:lang w:eastAsia="ja-JP"/>
        </w:rPr>
        <w:br/>
      </w:r>
      <w:r w:rsidR="00F51CE0" w:rsidRPr="00A52AB8">
        <w:rPr>
          <w:lang w:eastAsia="ja-JP"/>
        </w:rPr>
        <w:tab/>
        <w:t>}</w:t>
      </w:r>
      <w:r w:rsidR="00F51CE0" w:rsidRPr="00A52AB8">
        <w:rPr>
          <w:lang w:eastAsia="ja-JP"/>
        </w:rPr>
        <w:br/>
      </w:r>
      <w:r w:rsidR="00F51CE0" w:rsidRPr="00A52AB8">
        <w:rPr>
          <w:lang w:eastAsia="ja-JP"/>
        </w:rPr>
        <w:tab/>
      </w:r>
      <w:r w:rsidR="00F51CE0" w:rsidRPr="00A52AB8">
        <w:rPr>
          <w:color w:val="000000" w:themeColor="text1"/>
        </w:rPr>
        <w:t>if( AtlasPatchType[ </w:t>
      </w:r>
      <w:r w:rsidR="00F51CE0" w:rsidRPr="00A52AB8">
        <w:rPr>
          <w:lang w:eastAsia="ja-JP"/>
        </w:rPr>
        <w:t>atlasPatchIdx</w:t>
      </w:r>
      <w:r w:rsidR="00F51CE0" w:rsidRPr="00A52AB8">
        <w:rPr>
          <w:color w:val="000000" w:themeColor="text1"/>
        </w:rPr>
        <w:t> ]</w:t>
      </w:r>
      <w:r w:rsidR="008768E9" w:rsidRPr="00A52AB8">
        <w:rPr>
          <w:color w:val="000000" w:themeColor="text1"/>
        </w:rPr>
        <w:t> </w:t>
      </w:r>
      <w:r w:rsidR="00726AAE" w:rsidRPr="00A52AB8">
        <w:rPr>
          <w:color w:val="000000" w:themeColor="text1"/>
        </w:rPr>
        <w:t>==</w:t>
      </w:r>
      <w:r w:rsidR="00D47707" w:rsidRPr="00A52AB8">
        <w:rPr>
          <w:color w:val="000000" w:themeColor="text1"/>
        </w:rPr>
        <w:t> </w:t>
      </w:r>
      <w:r w:rsidR="00F51CE0" w:rsidRPr="00A52AB8">
        <w:rPr>
          <w:color w:val="000000" w:themeColor="text1"/>
        </w:rPr>
        <w:t>RAW </w:t>
      </w:r>
      <w:r w:rsidR="008F1F82" w:rsidRPr="00A52AB8">
        <w:rPr>
          <w:color w:val="000000" w:themeColor="text1"/>
        </w:rPr>
        <w:t>) {</w:t>
      </w:r>
      <w:r w:rsidR="00F77C60" w:rsidRPr="00A52AB8">
        <w:rPr>
          <w:color w:val="000000" w:themeColor="text1"/>
        </w:rPr>
        <w:br/>
      </w:r>
      <w:r w:rsidR="00F51CE0" w:rsidRPr="00A52AB8">
        <w:rPr>
          <w:color w:val="000000" w:themeColor="text1"/>
        </w:rPr>
        <w:tab/>
      </w:r>
      <w:r w:rsidR="00F51CE0" w:rsidRPr="00A52AB8">
        <w:rPr>
          <w:color w:val="000000" w:themeColor="text1"/>
        </w:rPr>
        <w:tab/>
        <w:t>Atlas</w:t>
      </w:r>
      <w:r w:rsidR="00D12C68" w:rsidRPr="00A52AB8">
        <w:rPr>
          <w:color w:val="000000" w:themeColor="text1"/>
        </w:rPr>
        <w:t>TotalNum</w:t>
      </w:r>
      <w:r w:rsidR="00F51CE0" w:rsidRPr="00A52AB8">
        <w:rPr>
          <w:color w:val="000000" w:themeColor="text1"/>
        </w:rPr>
        <w:t>RawPatches </w:t>
      </w:r>
      <w:r w:rsidR="00A234FD" w:rsidRPr="00A52AB8">
        <w:rPr>
          <w:color w:val="000000" w:themeColor="text1"/>
        </w:rPr>
        <w:t>+=</w:t>
      </w:r>
      <w:r w:rsidR="00D47707" w:rsidRPr="00A52AB8">
        <w:rPr>
          <w:color w:val="000000" w:themeColor="text1"/>
        </w:rPr>
        <w:t> </w:t>
      </w:r>
      <w:r w:rsidR="00F51CE0" w:rsidRPr="00A52AB8">
        <w:rPr>
          <w:color w:val="000000" w:themeColor="text1"/>
        </w:rPr>
        <w:t>1</w:t>
      </w:r>
      <w:r w:rsidR="00F51CE0" w:rsidRPr="00A52AB8">
        <w:rPr>
          <w:color w:val="000000" w:themeColor="text1"/>
        </w:rPr>
        <w:br/>
      </w:r>
      <w:r w:rsidR="00F51CE0" w:rsidRPr="00A52AB8">
        <w:rPr>
          <w:color w:val="000000" w:themeColor="text1"/>
        </w:rPr>
        <w:tab/>
      </w:r>
      <w:r w:rsidR="00F51CE0" w:rsidRPr="00A52AB8">
        <w:rPr>
          <w:color w:val="000000" w:themeColor="text1"/>
        </w:rPr>
        <w:tab/>
        <w:t>NumRawPoints </w:t>
      </w:r>
      <w:r w:rsidR="00A234FD" w:rsidRPr="00A52AB8">
        <w:rPr>
          <w:color w:val="000000" w:themeColor="text1"/>
        </w:rPr>
        <w:t>+=</w:t>
      </w:r>
      <w:r w:rsidR="00D47707" w:rsidRPr="00A52AB8">
        <w:rPr>
          <w:color w:val="000000" w:themeColor="text1"/>
        </w:rPr>
        <w:t> </w:t>
      </w:r>
      <w:r w:rsidR="00F51CE0" w:rsidRPr="00A52AB8">
        <w:rPr>
          <w:lang w:eastAsia="ja-JP"/>
        </w:rPr>
        <w:t>TilePatchRawPoints</w:t>
      </w:r>
      <w:r w:rsidR="00F51CE0" w:rsidRPr="00A52AB8">
        <w:rPr>
          <w:color w:val="000000" w:themeColor="text1"/>
        </w:rPr>
        <w:t>[ tileID ][ p ]</w:t>
      </w:r>
      <w:r w:rsidRPr="00A52AB8">
        <w:rPr>
          <w:color w:val="000000" w:themeColor="text1"/>
        </w:rPr>
        <w:br/>
      </w:r>
      <w:r w:rsidRPr="00A52AB8">
        <w:rPr>
          <w:color w:val="000000" w:themeColor="text1"/>
        </w:rPr>
        <w:tab/>
      </w:r>
      <w:r w:rsidR="00F51CE0" w:rsidRPr="00A52AB8">
        <w:rPr>
          <w:color w:val="000000" w:themeColor="text1"/>
        </w:rPr>
        <w:t>}</w:t>
      </w:r>
      <w:r w:rsidR="00F51CE0" w:rsidRPr="00A52AB8">
        <w:rPr>
          <w:color w:val="000000" w:themeColor="text1"/>
        </w:rPr>
        <w:br/>
      </w:r>
      <w:r w:rsidR="001D5040" w:rsidRPr="00A52AB8">
        <w:rPr>
          <w:lang w:eastAsia="ja-JP"/>
        </w:rPr>
        <w:t>}</w:t>
      </w:r>
    </w:p>
    <w:p w14:paraId="71FA1BCA" w14:textId="77777777" w:rsidR="00972B8B" w:rsidRPr="00A52AB8" w:rsidRDefault="0003372C" w:rsidP="005062B4">
      <w:pPr>
        <w:pStyle w:val="Heading2"/>
      </w:pPr>
      <w:bookmarkStart w:id="1541" w:name="_Toc35407626"/>
      <w:bookmarkStart w:id="1542" w:name="_Toc21428405"/>
      <w:bookmarkStart w:id="1543" w:name="_Toc21447911"/>
      <w:bookmarkStart w:id="1544" w:name="_Toc21505847"/>
      <w:bookmarkStart w:id="1545" w:name="_Toc21509993"/>
      <w:bookmarkStart w:id="1546" w:name="_Toc21531937"/>
      <w:bookmarkStart w:id="1547" w:name="_Toc21535183"/>
      <w:bookmarkStart w:id="1548" w:name="_Toc21520197"/>
      <w:bookmarkStart w:id="1549" w:name="_Toc21521333"/>
      <w:bookmarkStart w:id="1550" w:name="_Ref516064490"/>
      <w:bookmarkStart w:id="1551" w:name="_Ref45732850"/>
      <w:bookmarkStart w:id="1552" w:name="_Toc52181630"/>
      <w:bookmarkEnd w:id="1541"/>
      <w:bookmarkEnd w:id="1542"/>
      <w:bookmarkEnd w:id="1543"/>
      <w:bookmarkEnd w:id="1544"/>
      <w:bookmarkEnd w:id="1545"/>
      <w:bookmarkEnd w:id="1546"/>
      <w:bookmarkEnd w:id="1547"/>
      <w:bookmarkEnd w:id="1548"/>
      <w:bookmarkEnd w:id="1549"/>
      <w:r w:rsidRPr="00A52AB8">
        <w:t>Occupancy</w:t>
      </w:r>
      <w:r w:rsidR="00972B8B" w:rsidRPr="00A52AB8">
        <w:t xml:space="preserve"> video decoding process</w:t>
      </w:r>
      <w:bookmarkEnd w:id="1550"/>
      <w:bookmarkEnd w:id="1551"/>
      <w:bookmarkEnd w:id="1552"/>
    </w:p>
    <w:p w14:paraId="2308FAF6" w14:textId="057C3E02" w:rsidR="00503737" w:rsidRPr="00A52AB8" w:rsidRDefault="00355879">
      <w:pPr>
        <w:tabs>
          <w:tab w:val="clear" w:pos="403"/>
        </w:tabs>
        <w:rPr>
          <w:color w:val="000000" w:themeColor="text1"/>
        </w:rPr>
      </w:pPr>
      <w:r w:rsidRPr="00A52AB8">
        <w:rPr>
          <w:color w:val="000000" w:themeColor="text1"/>
        </w:rPr>
        <w:t>The d</w:t>
      </w:r>
      <w:r w:rsidR="00503737" w:rsidRPr="00A52AB8">
        <w:rPr>
          <w:color w:val="000000" w:themeColor="text1"/>
        </w:rPr>
        <w:t xml:space="preserve">ecoding process of an occupancy video component associated with the atlas, with atlas ID </w:t>
      </w:r>
      <w:r w:rsidR="003160FC" w:rsidRPr="00A52AB8">
        <w:rPr>
          <w:color w:val="000000" w:themeColor="text1"/>
        </w:rPr>
        <w:t>DecAtlasID</w:t>
      </w:r>
      <w:r w:rsidR="00503737" w:rsidRPr="00A52AB8">
        <w:rPr>
          <w:color w:val="000000" w:themeColor="text1"/>
        </w:rPr>
        <w:t>, is performed as follows.</w:t>
      </w:r>
    </w:p>
    <w:p w14:paraId="2A907C78" w14:textId="44A2B97E" w:rsidR="003260F9" w:rsidRPr="00A52AB8" w:rsidRDefault="00B423E0">
      <w:pPr>
        <w:tabs>
          <w:tab w:val="clear" w:pos="403"/>
        </w:tabs>
        <w:rPr>
          <w:color w:val="000000" w:themeColor="text1"/>
        </w:rPr>
      </w:pPr>
      <w:r w:rsidRPr="00A52AB8">
        <w:rPr>
          <w:color w:val="000000" w:themeColor="text1"/>
        </w:rPr>
        <w:t>F</w:t>
      </w:r>
      <w:r w:rsidR="003260F9" w:rsidRPr="00A52AB8">
        <w:rPr>
          <w:color w:val="000000" w:themeColor="text1"/>
        </w:rPr>
        <w:t xml:space="preserve">or the occupancy video </w:t>
      </w:r>
      <w:r w:rsidR="00C834CE" w:rsidRPr="00A52AB8">
        <w:rPr>
          <w:color w:val="000000" w:themeColor="text1"/>
        </w:rPr>
        <w:t>component</w:t>
      </w:r>
      <w:r w:rsidRPr="00A52AB8">
        <w:rPr>
          <w:color w:val="000000" w:themeColor="text1"/>
        </w:rPr>
        <w:t>,</w:t>
      </w:r>
      <w:r w:rsidR="00C834CE" w:rsidRPr="00A52AB8">
        <w:rPr>
          <w:color w:val="000000" w:themeColor="text1"/>
        </w:rPr>
        <w:t xml:space="preserve"> </w:t>
      </w:r>
      <w:r w:rsidRPr="00A52AB8">
        <w:rPr>
          <w:color w:val="000000" w:themeColor="text1"/>
        </w:rPr>
        <w:t xml:space="preserve">the codec </w:t>
      </w:r>
      <w:r w:rsidR="003260F9" w:rsidRPr="00A52AB8">
        <w:rPr>
          <w:color w:val="000000" w:themeColor="text1"/>
        </w:rPr>
        <w:t xml:space="preserve">is first determined using </w:t>
      </w:r>
      <w:r w:rsidR="00DE5207" w:rsidRPr="00A52AB8">
        <w:rPr>
          <w:color w:val="000000" w:themeColor="text1"/>
        </w:rPr>
        <w:t xml:space="preserve">either </w:t>
      </w:r>
      <w:r w:rsidR="008F7206" w:rsidRPr="00A52AB8">
        <w:rPr>
          <w:color w:val="000000" w:themeColor="text1"/>
        </w:rPr>
        <w:t xml:space="preserve">the profiles defined in </w:t>
      </w:r>
      <w:r w:rsidR="008F7206" w:rsidRPr="00496A4D">
        <w:rPr>
          <w:color w:val="000000" w:themeColor="text1"/>
          <w:lang w:eastAsia="ko-KR"/>
        </w:rPr>
        <w:fldChar w:fldCharType="begin"/>
      </w:r>
      <w:r w:rsidR="008F7206" w:rsidRPr="00A52AB8">
        <w:rPr>
          <w:color w:val="000000" w:themeColor="text1"/>
          <w:lang w:eastAsia="ko-KR"/>
        </w:rPr>
        <w:instrText xml:space="preserve"> REF _Ref38898728 \n \h </w:instrText>
      </w:r>
      <w:r w:rsidR="007478BA" w:rsidRPr="00A52AB8">
        <w:rPr>
          <w:color w:val="000000" w:themeColor="text1"/>
          <w:lang w:eastAsia="ko-KR"/>
        </w:rPr>
        <w:instrText xml:space="preserve"> \* MERGEFORMAT </w:instrText>
      </w:r>
      <w:r w:rsidR="008F7206" w:rsidRPr="00496A4D">
        <w:rPr>
          <w:color w:val="000000" w:themeColor="text1"/>
          <w:lang w:eastAsia="ko-KR"/>
        </w:rPr>
      </w:r>
      <w:r w:rsidR="008F7206" w:rsidRPr="00496A4D">
        <w:rPr>
          <w:color w:val="000000" w:themeColor="text1"/>
          <w:lang w:eastAsia="ko-KR"/>
        </w:rPr>
        <w:fldChar w:fldCharType="separate"/>
      </w:r>
      <w:r w:rsidR="00507A67">
        <w:rPr>
          <w:color w:val="000000" w:themeColor="text1"/>
          <w:lang w:eastAsia="ko-KR"/>
        </w:rPr>
        <w:t>Annex A</w:t>
      </w:r>
      <w:r w:rsidR="008F7206" w:rsidRPr="00496A4D">
        <w:rPr>
          <w:color w:val="000000" w:themeColor="text1"/>
          <w:lang w:eastAsia="ko-KR"/>
        </w:rPr>
        <w:fldChar w:fldCharType="end"/>
      </w:r>
      <w:r w:rsidR="008F7206" w:rsidRPr="00A52AB8">
        <w:rPr>
          <w:color w:val="000000" w:themeColor="text1"/>
          <w:lang w:eastAsia="ko-KR"/>
        </w:rPr>
        <w:t xml:space="preserve"> or the value of </w:t>
      </w:r>
      <w:r w:rsidR="003260F9" w:rsidRPr="00A52AB8">
        <w:rPr>
          <w:color w:val="000000" w:themeColor="text1"/>
        </w:rPr>
        <w:t>oi_occupancy_codec_id[ </w:t>
      </w:r>
      <w:r w:rsidR="003160FC" w:rsidRPr="00A52AB8">
        <w:rPr>
          <w:color w:val="000000" w:themeColor="text1"/>
        </w:rPr>
        <w:t>DecAtlasID</w:t>
      </w:r>
      <w:r w:rsidR="008555B4" w:rsidRPr="00A52AB8">
        <w:rPr>
          <w:color w:val="000000" w:themeColor="text1"/>
        </w:rPr>
        <w:t> </w:t>
      </w:r>
      <w:r w:rsidR="003260F9" w:rsidRPr="00A52AB8">
        <w:rPr>
          <w:color w:val="000000" w:themeColor="text1"/>
        </w:rPr>
        <w:t xml:space="preserve">] and </w:t>
      </w:r>
      <w:r w:rsidR="00DE5207" w:rsidRPr="00A52AB8">
        <w:rPr>
          <w:color w:val="000000" w:themeColor="text1"/>
        </w:rPr>
        <w:t xml:space="preserve">a </w:t>
      </w:r>
      <w:r w:rsidR="001A102D" w:rsidRPr="00A52AB8">
        <w:rPr>
          <w:color w:val="000000" w:themeColor="text1"/>
        </w:rPr>
        <w:t xml:space="preserve">component </w:t>
      </w:r>
      <w:r w:rsidR="003260F9" w:rsidRPr="00A52AB8">
        <w:rPr>
          <w:color w:val="000000" w:themeColor="text1"/>
        </w:rPr>
        <w:t>codec mapping SEI message</w:t>
      </w:r>
      <w:r w:rsidR="001A102D" w:rsidRPr="00A52AB8">
        <w:rPr>
          <w:color w:val="000000" w:themeColor="text1"/>
        </w:rPr>
        <w:t xml:space="preserve"> specified in subclause </w:t>
      </w:r>
      <w:r w:rsidR="001A102D" w:rsidRPr="00496A4D">
        <w:rPr>
          <w:color w:val="000000" w:themeColor="text1"/>
        </w:rPr>
        <w:fldChar w:fldCharType="begin"/>
      </w:r>
      <w:r w:rsidR="001A102D" w:rsidRPr="00A52AB8">
        <w:rPr>
          <w:color w:val="000000" w:themeColor="text1"/>
        </w:rPr>
        <w:instrText xml:space="preserve"> REF _Ref21444040 \w \h </w:instrText>
      </w:r>
      <w:r w:rsidR="007812ED" w:rsidRPr="00A52AB8">
        <w:rPr>
          <w:color w:val="000000" w:themeColor="text1"/>
        </w:rPr>
        <w:instrText xml:space="preserve"> \* MERGEFORMAT </w:instrText>
      </w:r>
      <w:r w:rsidR="001A102D" w:rsidRPr="00496A4D">
        <w:rPr>
          <w:color w:val="000000" w:themeColor="text1"/>
        </w:rPr>
      </w:r>
      <w:r w:rsidR="001A102D" w:rsidRPr="00496A4D">
        <w:rPr>
          <w:color w:val="000000" w:themeColor="text1"/>
        </w:rPr>
        <w:fldChar w:fldCharType="separate"/>
      </w:r>
      <w:r w:rsidR="00507A67">
        <w:rPr>
          <w:color w:val="000000" w:themeColor="text1"/>
        </w:rPr>
        <w:t>F.2.11</w:t>
      </w:r>
      <w:r w:rsidR="001A102D" w:rsidRPr="00496A4D">
        <w:rPr>
          <w:color w:val="000000" w:themeColor="text1"/>
        </w:rPr>
        <w:fldChar w:fldCharType="end"/>
      </w:r>
      <w:r w:rsidR="003260F9" w:rsidRPr="00A52AB8">
        <w:rPr>
          <w:color w:val="000000" w:themeColor="text1"/>
        </w:rPr>
        <w:t>, if present. Then, the occupancy video decoding process</w:t>
      </w:r>
      <w:r w:rsidR="00C834CE" w:rsidRPr="00A52AB8">
        <w:rPr>
          <w:color w:val="000000" w:themeColor="text1"/>
        </w:rPr>
        <w:t>,</w:t>
      </w:r>
      <w:r w:rsidR="003260F9" w:rsidRPr="00A52AB8">
        <w:rPr>
          <w:color w:val="000000" w:themeColor="text1"/>
        </w:rPr>
        <w:t xml:space="preserve"> according to the corresponding cod</w:t>
      </w:r>
      <w:r w:rsidR="001A102D" w:rsidRPr="00A52AB8">
        <w:rPr>
          <w:color w:val="000000" w:themeColor="text1"/>
        </w:rPr>
        <w:t>ing</w:t>
      </w:r>
      <w:r w:rsidR="003260F9" w:rsidRPr="00A52AB8">
        <w:rPr>
          <w:color w:val="000000" w:themeColor="text1"/>
        </w:rPr>
        <w:t xml:space="preserve"> specification</w:t>
      </w:r>
      <w:r w:rsidR="00C834CE" w:rsidRPr="00A52AB8">
        <w:rPr>
          <w:color w:val="000000" w:themeColor="text1"/>
        </w:rPr>
        <w:t>,</w:t>
      </w:r>
      <w:r w:rsidR="003260F9" w:rsidRPr="00A52AB8">
        <w:rPr>
          <w:color w:val="000000" w:themeColor="text1"/>
        </w:rPr>
        <w:t xml:space="preserve"> is invoked using the occupancy video sub-bitstreams present in the V3C bitstream as the input.</w:t>
      </w:r>
    </w:p>
    <w:p w14:paraId="0403DDEA" w14:textId="77777777" w:rsidR="00653720" w:rsidRPr="00A52AB8" w:rsidRDefault="00005B24">
      <w:pPr>
        <w:tabs>
          <w:tab w:val="clear" w:pos="403"/>
        </w:tabs>
        <w:rPr>
          <w:color w:val="000000" w:themeColor="text1"/>
        </w:rPr>
      </w:pPr>
      <w:r w:rsidRPr="00A52AB8">
        <w:rPr>
          <w:color w:val="000000" w:themeColor="text1"/>
        </w:rPr>
        <w:t>Outputs of this process</w:t>
      </w:r>
      <w:r w:rsidR="0018229F" w:rsidRPr="00A52AB8">
        <w:rPr>
          <w:color w:val="000000" w:themeColor="text1"/>
        </w:rPr>
        <w:t xml:space="preserve"> are</w:t>
      </w:r>
      <w:r w:rsidR="00653720" w:rsidRPr="00A52AB8">
        <w:rPr>
          <w:color w:val="000000" w:themeColor="text1"/>
        </w:rPr>
        <w:t>:</w:t>
      </w:r>
    </w:p>
    <w:p w14:paraId="41AA7329" w14:textId="36C91366" w:rsidR="0022092D" w:rsidRPr="00A52AB8" w:rsidRDefault="0034780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NumDecOccFrames, indicating </w:t>
      </w:r>
      <w:r w:rsidR="0022092D" w:rsidRPr="00A52AB8">
        <w:rPr>
          <w:color w:val="000000" w:themeColor="text1"/>
        </w:rPr>
        <w:t xml:space="preserve">the number of decoded occupancy video frames, </w:t>
      </w:r>
    </w:p>
    <w:p w14:paraId="547C2DD2" w14:textId="5B45DE66" w:rsidR="000500C8" w:rsidRPr="00A52AB8" w:rsidRDefault="0034780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4D array DecOccFrames, </w:t>
      </w:r>
      <w:r w:rsidR="00653720" w:rsidRPr="00A52AB8">
        <w:rPr>
          <w:color w:val="000000" w:themeColor="text1"/>
        </w:rPr>
        <w:t xml:space="preserve">the decoded occupancy video frames, </w:t>
      </w:r>
      <w:r w:rsidR="000500C8" w:rsidRPr="00A52AB8">
        <w:rPr>
          <w:color w:val="000000" w:themeColor="text1"/>
        </w:rPr>
        <w:t xml:space="preserve">where the dimensions </w:t>
      </w:r>
      <w:r w:rsidR="0037013C" w:rsidRPr="00A52AB8">
        <w:rPr>
          <w:color w:val="000000" w:themeColor="text1"/>
        </w:rPr>
        <w:t xml:space="preserve">correspond to the </w:t>
      </w:r>
      <w:r w:rsidR="000500C8" w:rsidRPr="00A52AB8">
        <w:rPr>
          <w:color w:val="000000" w:themeColor="text1"/>
        </w:rPr>
        <w:t>decoded occupancy video frame</w:t>
      </w:r>
      <w:r w:rsidR="0037013C" w:rsidRPr="00A52AB8">
        <w:rPr>
          <w:color w:val="000000" w:themeColor="text1"/>
        </w:rPr>
        <w:t xml:space="preserve"> index</w:t>
      </w:r>
      <w:r w:rsidR="000500C8" w:rsidRPr="00A52AB8">
        <w:rPr>
          <w:color w:val="000000" w:themeColor="text1"/>
        </w:rPr>
        <w:t>, the component</w:t>
      </w:r>
      <w:r w:rsidR="0037013C" w:rsidRPr="00A52AB8">
        <w:rPr>
          <w:color w:val="000000" w:themeColor="text1"/>
        </w:rPr>
        <w:t xml:space="preserve"> index</w:t>
      </w:r>
      <w:r w:rsidR="000500C8" w:rsidRPr="00A52AB8">
        <w:rPr>
          <w:color w:val="000000" w:themeColor="text1"/>
        </w:rPr>
        <w:t xml:space="preserve">, the </w:t>
      </w:r>
      <w:r w:rsidR="005E5338" w:rsidRPr="00A52AB8">
        <w:rPr>
          <w:color w:val="000000" w:themeColor="text1"/>
        </w:rPr>
        <w:t xml:space="preserve">row </w:t>
      </w:r>
      <w:r w:rsidR="0037013C" w:rsidRPr="00A52AB8">
        <w:rPr>
          <w:color w:val="000000" w:themeColor="text1"/>
        </w:rPr>
        <w:t xml:space="preserve">index, </w:t>
      </w:r>
      <w:r w:rsidR="000500C8" w:rsidRPr="00A52AB8">
        <w:rPr>
          <w:color w:val="000000" w:themeColor="text1"/>
        </w:rPr>
        <w:t xml:space="preserve">and </w:t>
      </w:r>
      <w:r w:rsidR="0037013C" w:rsidRPr="00A52AB8">
        <w:rPr>
          <w:color w:val="000000" w:themeColor="text1"/>
        </w:rPr>
        <w:t xml:space="preserve">the </w:t>
      </w:r>
      <w:r w:rsidR="005E5338" w:rsidRPr="00A52AB8">
        <w:rPr>
          <w:color w:val="000000" w:themeColor="text1"/>
        </w:rPr>
        <w:t xml:space="preserve">column </w:t>
      </w:r>
      <w:r w:rsidR="0037013C" w:rsidRPr="00A52AB8">
        <w:rPr>
          <w:color w:val="000000" w:themeColor="text1"/>
        </w:rPr>
        <w:t>index</w:t>
      </w:r>
      <w:r w:rsidR="000500C8" w:rsidRPr="00A52AB8">
        <w:rPr>
          <w:color w:val="000000" w:themeColor="text1"/>
        </w:rPr>
        <w:t>, respectively,</w:t>
      </w:r>
      <w:r w:rsidR="004A0951" w:rsidRPr="00A52AB8">
        <w:rPr>
          <w:color w:val="000000" w:themeColor="text1"/>
        </w:rPr>
        <w:t xml:space="preserve"> and</w:t>
      </w:r>
    </w:p>
    <w:p w14:paraId="78330F29" w14:textId="078319D9" w:rsidR="00910376" w:rsidRPr="00A52AB8" w:rsidRDefault="004A0951"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the following </w:t>
      </w:r>
      <w:r w:rsidR="0012005F" w:rsidRPr="00A52AB8">
        <w:rPr>
          <w:color w:val="000000" w:themeColor="text1"/>
        </w:rPr>
        <w:t>1D</w:t>
      </w:r>
      <w:r w:rsidR="00C37228" w:rsidRPr="00A52AB8">
        <w:rPr>
          <w:color w:val="000000" w:themeColor="text1"/>
        </w:rPr>
        <w:t xml:space="preserve"> arrays:</w:t>
      </w:r>
    </w:p>
    <w:p w14:paraId="59D9A13D" w14:textId="620085B7" w:rsidR="00653720" w:rsidRPr="00A52AB8" w:rsidRDefault="00C3722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DecOccBitDepth</w:t>
      </w:r>
      <w:bookmarkStart w:id="1553" w:name="_Hlk49885709"/>
      <w:r w:rsidRPr="00A52AB8">
        <w:rPr>
          <w:color w:val="000000" w:themeColor="text1"/>
        </w:rPr>
        <w:t xml:space="preserve">, </w:t>
      </w:r>
      <w:r w:rsidR="00787A4A" w:rsidRPr="00A52AB8">
        <w:rPr>
          <w:color w:val="000000" w:themeColor="text1"/>
        </w:rPr>
        <w:t>indicating</w:t>
      </w:r>
      <w:r w:rsidR="00787A4A" w:rsidRPr="00A52AB8" w:rsidDel="00787A4A">
        <w:rPr>
          <w:color w:val="000000" w:themeColor="text1"/>
        </w:rPr>
        <w:t xml:space="preserve"> </w:t>
      </w:r>
      <w:r w:rsidRPr="00A52AB8">
        <w:rPr>
          <w:color w:val="000000" w:themeColor="text1"/>
        </w:rPr>
        <w:t xml:space="preserve">the occupancy video </w:t>
      </w:r>
      <w:bookmarkEnd w:id="1553"/>
      <w:r w:rsidR="00653720" w:rsidRPr="00A52AB8">
        <w:rPr>
          <w:color w:val="000000" w:themeColor="text1"/>
        </w:rPr>
        <w:t>bit depth,</w:t>
      </w:r>
    </w:p>
    <w:p w14:paraId="0C2FC40A" w14:textId="468D33B3" w:rsidR="00653720" w:rsidRPr="00A52AB8" w:rsidRDefault="00C3722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 xml:space="preserve">DecOccHeight, </w:t>
      </w:r>
      <w:r w:rsidR="00787A4A" w:rsidRPr="00A52AB8">
        <w:rPr>
          <w:color w:val="000000" w:themeColor="text1"/>
        </w:rPr>
        <w:t>indicating</w:t>
      </w:r>
      <w:r w:rsidR="00787A4A" w:rsidRPr="00A52AB8" w:rsidDel="00787A4A">
        <w:rPr>
          <w:color w:val="000000" w:themeColor="text1"/>
        </w:rPr>
        <w:t xml:space="preserve"> </w:t>
      </w:r>
      <w:r w:rsidRPr="00A52AB8">
        <w:rPr>
          <w:color w:val="000000" w:themeColor="text1"/>
        </w:rPr>
        <w:t xml:space="preserve">the occupancy video </w:t>
      </w:r>
      <w:r w:rsidR="00653720" w:rsidRPr="00A52AB8">
        <w:rPr>
          <w:color w:val="000000" w:themeColor="text1"/>
        </w:rPr>
        <w:t>height,</w:t>
      </w:r>
    </w:p>
    <w:p w14:paraId="2ADD68D5" w14:textId="596404BD" w:rsidR="00C37228" w:rsidRPr="00A52AB8" w:rsidRDefault="00C37228">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 xml:space="preserve">DecOccWidth, </w:t>
      </w:r>
      <w:r w:rsidR="00787A4A" w:rsidRPr="00A52AB8">
        <w:rPr>
          <w:color w:val="000000" w:themeColor="text1"/>
        </w:rPr>
        <w:t>indicating</w:t>
      </w:r>
      <w:r w:rsidR="00787A4A" w:rsidRPr="00A52AB8" w:rsidDel="00787A4A">
        <w:rPr>
          <w:color w:val="000000" w:themeColor="text1"/>
        </w:rPr>
        <w:t xml:space="preserve"> </w:t>
      </w:r>
      <w:r w:rsidRPr="00A52AB8">
        <w:rPr>
          <w:color w:val="000000" w:themeColor="text1"/>
        </w:rPr>
        <w:t>the occupancy video width ,</w:t>
      </w:r>
    </w:p>
    <w:p w14:paraId="3D676FCB" w14:textId="78A3CE27" w:rsidR="003A5650" w:rsidRPr="00A52AB8" w:rsidRDefault="003A5650" w:rsidP="003A5650">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DecOccChromaFormat, indicating the attribute chroma format,</w:t>
      </w:r>
    </w:p>
    <w:p w14:paraId="44388F25" w14:textId="06CC75F9" w:rsidR="003A5650" w:rsidRPr="00A52AB8" w:rsidRDefault="003A5650" w:rsidP="003A5650">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 xml:space="preserve">DecOccChromaSamplingPosition, indicating, if present, the </w:t>
      </w:r>
      <w:r w:rsidR="00DE5207" w:rsidRPr="00A52AB8">
        <w:rPr>
          <w:color w:val="000000" w:themeColor="text1"/>
        </w:rPr>
        <w:t xml:space="preserve">video </w:t>
      </w:r>
      <w:r w:rsidRPr="00A52AB8">
        <w:rPr>
          <w:color w:val="000000" w:themeColor="text1"/>
        </w:rPr>
        <w:t xml:space="preserve">chroma sampling </w:t>
      </w:r>
      <w:r w:rsidR="00DE5207" w:rsidRPr="00A52AB8">
        <w:rPr>
          <w:color w:val="000000" w:themeColor="text1"/>
        </w:rPr>
        <w:t xml:space="preserve">position </w:t>
      </w:r>
      <w:r w:rsidRPr="00A52AB8">
        <w:rPr>
          <w:color w:val="000000" w:themeColor="text1"/>
        </w:rPr>
        <w:t>as specified in ISO/IEC 23091-2,</w:t>
      </w:r>
    </w:p>
    <w:p w14:paraId="48D85475" w14:textId="6290FED9" w:rsidR="003A5650" w:rsidRPr="00A52AB8" w:rsidRDefault="003A5650" w:rsidP="003A5650">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DecOccFullRange, indicating, if present, the video full range code point as specified in ISO/IEC 23091-2,</w:t>
      </w:r>
    </w:p>
    <w:p w14:paraId="2E2CFA6D" w14:textId="42B9E3F4" w:rsidR="003A5650" w:rsidRPr="00A52AB8" w:rsidRDefault="003A5650" w:rsidP="003A5650">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DecOccColourPrimaries, indicating, if present, the chromaticity coordinates of the source primaries as specified in ISO/IEC 23091-2,</w:t>
      </w:r>
    </w:p>
    <w:p w14:paraId="0E8FECFC" w14:textId="047E2B95" w:rsidR="003A5650" w:rsidRPr="00A52AB8" w:rsidRDefault="003A5650" w:rsidP="003A5650">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DecOccTransferCharacteristics, indicating, if present, the transfer characteristics as specified in ISO/IEC 23091-2,</w:t>
      </w:r>
    </w:p>
    <w:p w14:paraId="42833AAA" w14:textId="4ECE303C" w:rsidR="003A5650" w:rsidRPr="00A52AB8" w:rsidRDefault="003A5650" w:rsidP="003A5650">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DecOccMatrixCoeffs, indicating, if present, the matrix coefficients as specified in ISO/IEC 23091-2,</w:t>
      </w:r>
    </w:p>
    <w:p w14:paraId="1F805EB8" w14:textId="5D315F20" w:rsidR="00653720" w:rsidRPr="00A52AB8" w:rsidRDefault="00C3722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 xml:space="preserve">DecOccOutOrdIdx, </w:t>
      </w:r>
      <w:r w:rsidR="00787A4A" w:rsidRPr="00A52AB8">
        <w:rPr>
          <w:color w:val="000000" w:themeColor="text1"/>
        </w:rPr>
        <w:t>indicating</w:t>
      </w:r>
      <w:r w:rsidR="00787A4A" w:rsidRPr="00A52AB8" w:rsidDel="00787A4A">
        <w:rPr>
          <w:color w:val="000000" w:themeColor="text1"/>
        </w:rPr>
        <w:t xml:space="preserve"> </w:t>
      </w:r>
      <w:r w:rsidRPr="00A52AB8">
        <w:rPr>
          <w:color w:val="000000" w:themeColor="text1"/>
        </w:rPr>
        <w:t xml:space="preserve">the occupancy video </w:t>
      </w:r>
      <w:r w:rsidR="00653720" w:rsidRPr="00A52AB8">
        <w:rPr>
          <w:color w:val="000000" w:themeColor="text1"/>
        </w:rPr>
        <w:t>output order index, and</w:t>
      </w:r>
    </w:p>
    <w:p w14:paraId="18DADA1B" w14:textId="6B379056" w:rsidR="00005B24" w:rsidRPr="00A52AB8" w:rsidRDefault="00C3722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 xml:space="preserve">DecOccCompTime, </w:t>
      </w:r>
      <w:r w:rsidR="00787A4A" w:rsidRPr="00A52AB8">
        <w:rPr>
          <w:color w:val="000000" w:themeColor="text1"/>
        </w:rPr>
        <w:t>indicating</w:t>
      </w:r>
      <w:r w:rsidR="00787A4A" w:rsidRPr="00A52AB8" w:rsidDel="00787A4A">
        <w:rPr>
          <w:color w:val="000000" w:themeColor="text1"/>
        </w:rPr>
        <w:t xml:space="preserve"> </w:t>
      </w:r>
      <w:r w:rsidRPr="00A52AB8">
        <w:rPr>
          <w:color w:val="000000" w:themeColor="text1"/>
        </w:rPr>
        <w:t xml:space="preserve">the occupancy video </w:t>
      </w:r>
      <w:r w:rsidR="005E5338" w:rsidRPr="00A52AB8">
        <w:rPr>
          <w:color w:val="000000" w:themeColor="text1"/>
        </w:rPr>
        <w:t>composition time</w:t>
      </w:r>
      <w:r w:rsidR="00013F2D" w:rsidRPr="00A52AB8">
        <w:rPr>
          <w:color w:val="000000" w:themeColor="text1"/>
        </w:rPr>
        <w:t>.</w:t>
      </w:r>
    </w:p>
    <w:p w14:paraId="2DE4849E" w14:textId="3499001A" w:rsidR="00C37228" w:rsidRPr="00A52AB8" w:rsidRDefault="00C37228" w:rsidP="00E860C4">
      <w:pPr>
        <w:tabs>
          <w:tab w:val="clear" w:pos="403"/>
        </w:tabs>
        <w:ind w:left="720"/>
        <w:rPr>
          <w:color w:val="000000" w:themeColor="text1"/>
        </w:rPr>
      </w:pPr>
      <w:r w:rsidRPr="00A52AB8">
        <w:rPr>
          <w:color w:val="000000" w:themeColor="text1"/>
        </w:rPr>
        <w:t>where the dimension corresponds to the decoded occupancy video frame index.</w:t>
      </w:r>
    </w:p>
    <w:p w14:paraId="1020AC02" w14:textId="7A5C5DF4" w:rsidR="00EC08EC" w:rsidRPr="00A52AB8" w:rsidRDefault="00EC08EC" w:rsidP="00EC08EC">
      <w:pPr>
        <w:ind w:left="720"/>
      </w:pPr>
      <w:r w:rsidRPr="00A52AB8">
        <w:t>If the array DecOccFullRange is missing, all of its elements shall be set to 1.</w:t>
      </w:r>
    </w:p>
    <w:p w14:paraId="50738259" w14:textId="30595E8C" w:rsidR="00EC08EC" w:rsidRPr="00A52AB8" w:rsidRDefault="00EC08EC" w:rsidP="00EC08EC">
      <w:pPr>
        <w:ind w:left="720"/>
      </w:pPr>
      <w:r w:rsidRPr="00A52AB8">
        <w:t>If any of the elements of the array DecOccTransferCharacteristics are missing or are set to a value of 2, i.e. unspecified, those elements shall be set to 8, i.e. linear.</w:t>
      </w:r>
    </w:p>
    <w:p w14:paraId="3CD3CA47" w14:textId="6F8CF7C6" w:rsidR="003A5650" w:rsidRPr="00A52AB8" w:rsidRDefault="003A5650" w:rsidP="003A5650">
      <w:pPr>
        <w:ind w:left="720"/>
      </w:pPr>
      <w:r w:rsidRPr="00A52AB8">
        <w:t>If the array DecOccChromaSamplingPosition is missing, all of its elements shall be set to 0.</w:t>
      </w:r>
    </w:p>
    <w:p w14:paraId="4170D500" w14:textId="0E0A5BBF" w:rsidR="003A5650" w:rsidRPr="00A52AB8" w:rsidRDefault="003A5650" w:rsidP="003A5650">
      <w:pPr>
        <w:ind w:left="720"/>
      </w:pPr>
      <w:r w:rsidRPr="00A52AB8">
        <w:t xml:space="preserve">If the array DecOccColourPrimaries is missing, all of its elements shall be set to </w:t>
      </w:r>
      <w:r w:rsidR="00423FCF" w:rsidRPr="00A52AB8">
        <w:t>2</w:t>
      </w:r>
      <w:r w:rsidRPr="00A52AB8">
        <w:t>.</w:t>
      </w:r>
    </w:p>
    <w:p w14:paraId="71C371D1" w14:textId="3E6E68C2" w:rsidR="003A5650" w:rsidRPr="00A52AB8" w:rsidRDefault="003A5650" w:rsidP="003A5650">
      <w:pPr>
        <w:ind w:left="720"/>
      </w:pPr>
      <w:r w:rsidRPr="00A52AB8">
        <w:t xml:space="preserve">If the array DecOccMatrixCoeffs is missing, all of its elements shall be set to </w:t>
      </w:r>
      <w:r w:rsidR="00423FCF" w:rsidRPr="00A52AB8">
        <w:t>2</w:t>
      </w:r>
      <w:r w:rsidRPr="00A52AB8">
        <w:t>.</w:t>
      </w:r>
    </w:p>
    <w:p w14:paraId="3C738956" w14:textId="06A13F3A" w:rsidR="00EC08EC" w:rsidRPr="00A52AB8" w:rsidRDefault="00EC08EC" w:rsidP="00EC08EC">
      <w:pPr>
        <w:ind w:left="720"/>
      </w:pPr>
      <w:r w:rsidRPr="00A52AB8">
        <w:t>The values of the arrays DecOccChromaSamplingPosition, DecOccColourPrimaries, and DecOccMatrixCoeffs, shall not be used for any further processing of the decoded occupancy frames.</w:t>
      </w:r>
    </w:p>
    <w:p w14:paraId="71F25443" w14:textId="77777777" w:rsidR="003A5650" w:rsidRPr="00A52AB8" w:rsidRDefault="003A5650" w:rsidP="003A5650">
      <w:pPr>
        <w:ind w:left="720"/>
      </w:pPr>
      <w:r w:rsidRPr="00A52AB8">
        <w:t>These values shall be interpreted according to their corresponding coding points in ISO/IEC 23091-2.</w:t>
      </w:r>
    </w:p>
    <w:p w14:paraId="1EEE0871" w14:textId="5B429420" w:rsidR="00972B8B" w:rsidRPr="00A52AB8" w:rsidRDefault="00972B8B">
      <w:pPr>
        <w:pStyle w:val="Note1"/>
        <w:rPr>
          <w:rFonts w:ascii="Cambria" w:hAnsi="Cambria"/>
        </w:rPr>
      </w:pPr>
      <w:r w:rsidRPr="00A52AB8">
        <w:rPr>
          <w:rFonts w:ascii="Cambria" w:hAnsi="Cambria"/>
        </w:rPr>
        <w:t>NOTE</w:t>
      </w:r>
      <w:r w:rsidR="00BF23C6" w:rsidRPr="00A52AB8">
        <w:rPr>
          <w:rFonts w:ascii="Cambria" w:hAnsi="Cambria"/>
        </w:rPr>
        <w:t> </w:t>
      </w:r>
      <w:r w:rsidRPr="00A52AB8">
        <w:rPr>
          <w:rFonts w:ascii="Cambria" w:hAnsi="Cambria"/>
        </w:rPr>
        <w:t>–</w:t>
      </w:r>
      <w:r w:rsidR="00BF23C6" w:rsidRPr="00A52AB8">
        <w:rPr>
          <w:rFonts w:ascii="Cambria" w:hAnsi="Cambria"/>
        </w:rPr>
        <w:t> </w:t>
      </w:r>
      <w:r w:rsidRPr="00A52AB8">
        <w:rPr>
          <w:rFonts w:ascii="Cambria" w:hAnsi="Cambria"/>
        </w:rPr>
        <w:t>Any existing video cod</w:t>
      </w:r>
      <w:r w:rsidR="001A102D" w:rsidRPr="00A52AB8">
        <w:rPr>
          <w:rFonts w:ascii="Cambria" w:hAnsi="Cambria"/>
        </w:rPr>
        <w:t>ing specification</w:t>
      </w:r>
      <w:r w:rsidRPr="00A52AB8">
        <w:rPr>
          <w:rFonts w:ascii="Cambria" w:hAnsi="Cambria"/>
        </w:rPr>
        <w:t xml:space="preserve"> such as </w:t>
      </w:r>
      <w:r w:rsidR="0089731D" w:rsidRPr="00A52AB8">
        <w:rPr>
          <w:rFonts w:ascii="Cambria" w:hAnsi="Cambria"/>
        </w:rPr>
        <w:t xml:space="preserve">ISO/IEC 14496-10 </w:t>
      </w:r>
      <w:r w:rsidRPr="00A52AB8">
        <w:rPr>
          <w:rFonts w:ascii="Cambria" w:hAnsi="Cambria"/>
        </w:rPr>
        <w:t xml:space="preserve">or </w:t>
      </w:r>
      <w:r w:rsidR="00A33D5D" w:rsidRPr="00A52AB8">
        <w:rPr>
          <w:rFonts w:ascii="Cambria" w:hAnsi="Cambria"/>
        </w:rPr>
        <w:t>ISO/IEC 23008-2</w:t>
      </w:r>
      <w:r w:rsidR="0089731D" w:rsidRPr="00A52AB8">
        <w:rPr>
          <w:rFonts w:ascii="Cambria" w:hAnsi="Cambria"/>
        </w:rPr>
        <w:t xml:space="preserve"> </w:t>
      </w:r>
      <w:r w:rsidRPr="00A52AB8">
        <w:rPr>
          <w:rFonts w:ascii="Cambria" w:hAnsi="Cambria"/>
        </w:rPr>
        <w:t xml:space="preserve">or any </w:t>
      </w:r>
      <w:r w:rsidR="00092F8A" w:rsidRPr="00A52AB8">
        <w:rPr>
          <w:rFonts w:ascii="Cambria" w:hAnsi="Cambria"/>
        </w:rPr>
        <w:t xml:space="preserve">future defined </w:t>
      </w:r>
      <w:r w:rsidRPr="00A52AB8">
        <w:rPr>
          <w:rFonts w:ascii="Cambria" w:hAnsi="Cambria"/>
        </w:rPr>
        <w:t>video cod</w:t>
      </w:r>
      <w:r w:rsidR="001A102D" w:rsidRPr="00A52AB8">
        <w:rPr>
          <w:rFonts w:ascii="Cambria" w:hAnsi="Cambria"/>
        </w:rPr>
        <w:t>ing specification</w:t>
      </w:r>
      <w:r w:rsidRPr="00A52AB8">
        <w:rPr>
          <w:rFonts w:ascii="Cambria" w:hAnsi="Cambria"/>
        </w:rPr>
        <w:t xml:space="preserve"> </w:t>
      </w:r>
      <w:r w:rsidR="004B2FD5" w:rsidRPr="00A52AB8">
        <w:rPr>
          <w:rFonts w:ascii="Cambria" w:hAnsi="Cambria"/>
        </w:rPr>
        <w:t xml:space="preserve">can </w:t>
      </w:r>
      <w:r w:rsidRPr="00A52AB8">
        <w:rPr>
          <w:rFonts w:ascii="Cambria" w:hAnsi="Cambria"/>
        </w:rPr>
        <w:t>be used</w:t>
      </w:r>
      <w:r w:rsidR="00092F8A" w:rsidRPr="00A52AB8">
        <w:rPr>
          <w:rFonts w:ascii="Cambria" w:hAnsi="Cambria"/>
        </w:rPr>
        <w:t xml:space="preserve"> if included in </w:t>
      </w:r>
      <w:r w:rsidR="00092F8A" w:rsidRPr="00A52AB8">
        <w:rPr>
          <w:rFonts w:ascii="Cambria" w:hAnsi="Cambria"/>
          <w:color w:val="000000" w:themeColor="text1"/>
        </w:rPr>
        <w:t>o</w:t>
      </w:r>
      <w:r w:rsidR="00A278E7" w:rsidRPr="00A52AB8">
        <w:rPr>
          <w:rFonts w:ascii="Cambria" w:hAnsi="Cambria"/>
          <w:color w:val="000000" w:themeColor="text1"/>
        </w:rPr>
        <w:t>i</w:t>
      </w:r>
      <w:r w:rsidR="00092F8A" w:rsidRPr="00A52AB8">
        <w:rPr>
          <w:rFonts w:ascii="Cambria" w:hAnsi="Cambria"/>
          <w:color w:val="000000" w:themeColor="text1"/>
        </w:rPr>
        <w:t>_occupancy_codec_id</w:t>
      </w:r>
      <w:r w:rsidRPr="00A52AB8">
        <w:rPr>
          <w:rFonts w:ascii="Cambria" w:hAnsi="Cambria"/>
        </w:rPr>
        <w:t>.</w:t>
      </w:r>
    </w:p>
    <w:p w14:paraId="2CC6873B" w14:textId="77777777" w:rsidR="00795BFA" w:rsidRPr="00A52AB8" w:rsidRDefault="00795BFA" w:rsidP="00795BFA">
      <w:pPr>
        <w:pStyle w:val="Heading2"/>
        <w:rPr>
          <w:color w:val="000000" w:themeColor="text1"/>
        </w:rPr>
      </w:pPr>
      <w:bookmarkStart w:id="1554" w:name="_Toc46301656"/>
      <w:bookmarkStart w:id="1555" w:name="_Toc46302481"/>
      <w:bookmarkStart w:id="1556" w:name="_Toc46301657"/>
      <w:bookmarkStart w:id="1557" w:name="_Toc46302482"/>
      <w:bookmarkStart w:id="1558" w:name="_Toc46301658"/>
      <w:bookmarkStart w:id="1559" w:name="_Toc46302483"/>
      <w:bookmarkStart w:id="1560" w:name="_Ref38443293"/>
      <w:bookmarkStart w:id="1561" w:name="_Toc52181631"/>
      <w:bookmarkEnd w:id="1554"/>
      <w:bookmarkEnd w:id="1555"/>
      <w:bookmarkEnd w:id="1556"/>
      <w:bookmarkEnd w:id="1557"/>
      <w:bookmarkEnd w:id="1558"/>
      <w:bookmarkEnd w:id="1559"/>
      <w:r w:rsidRPr="00A52AB8">
        <w:rPr>
          <w:color w:val="000000" w:themeColor="text1"/>
        </w:rPr>
        <w:t>Geometry video decoding process</w:t>
      </w:r>
      <w:bookmarkEnd w:id="1560"/>
      <w:bookmarkEnd w:id="1561"/>
    </w:p>
    <w:p w14:paraId="573EB467" w14:textId="4DA9189F" w:rsidR="00EA17EC" w:rsidRPr="00A52AB8" w:rsidRDefault="00355879" w:rsidP="009C6C4E">
      <w:pPr>
        <w:tabs>
          <w:tab w:val="clear" w:pos="403"/>
        </w:tabs>
        <w:rPr>
          <w:color w:val="000000" w:themeColor="text1"/>
        </w:rPr>
      </w:pPr>
      <w:r w:rsidRPr="00A52AB8">
        <w:rPr>
          <w:color w:val="000000" w:themeColor="text1"/>
        </w:rPr>
        <w:t>The d</w:t>
      </w:r>
      <w:r w:rsidR="00EA17EC" w:rsidRPr="00A52AB8">
        <w:rPr>
          <w:color w:val="000000" w:themeColor="text1"/>
        </w:rPr>
        <w:t xml:space="preserve">ecoding process of a geometry video component associated with the atlas, with atlas ID </w:t>
      </w:r>
      <w:r w:rsidR="003160FC" w:rsidRPr="00A52AB8">
        <w:rPr>
          <w:color w:val="000000" w:themeColor="text1"/>
        </w:rPr>
        <w:t>Dec</w:t>
      </w:r>
      <w:r w:rsidR="00B67ADE" w:rsidRPr="00A52AB8">
        <w:rPr>
          <w:color w:val="000000" w:themeColor="text1"/>
        </w:rPr>
        <w:t>A</w:t>
      </w:r>
      <w:r w:rsidR="00EA17EC" w:rsidRPr="00A52AB8">
        <w:rPr>
          <w:color w:val="000000" w:themeColor="text1"/>
        </w:rPr>
        <w:t>tlasID, is performed as follows.</w:t>
      </w:r>
    </w:p>
    <w:p w14:paraId="1B9BC8AF" w14:textId="672810F8" w:rsidR="00FE7811" w:rsidRPr="00A52AB8" w:rsidRDefault="00B423E0" w:rsidP="00795BFA">
      <w:pPr>
        <w:rPr>
          <w:color w:val="000000" w:themeColor="text1"/>
        </w:rPr>
      </w:pPr>
      <w:r w:rsidRPr="00A52AB8">
        <w:rPr>
          <w:color w:val="000000" w:themeColor="text1"/>
        </w:rPr>
        <w:t>F</w:t>
      </w:r>
      <w:r w:rsidR="00FE7811" w:rsidRPr="00A52AB8">
        <w:rPr>
          <w:color w:val="000000" w:themeColor="text1"/>
        </w:rPr>
        <w:t xml:space="preserve">or </w:t>
      </w:r>
      <w:r w:rsidR="00233362" w:rsidRPr="00A52AB8">
        <w:rPr>
          <w:color w:val="000000" w:themeColor="text1"/>
        </w:rPr>
        <w:t xml:space="preserve">a </w:t>
      </w:r>
      <w:r w:rsidR="00FE7811" w:rsidRPr="00A52AB8">
        <w:rPr>
          <w:color w:val="000000" w:themeColor="text1"/>
        </w:rPr>
        <w:t xml:space="preserve">geometry video component </w:t>
      </w:r>
      <w:r w:rsidR="00233362" w:rsidRPr="00A52AB8">
        <w:rPr>
          <w:color w:val="000000" w:themeColor="text1"/>
        </w:rPr>
        <w:t>associated with syntax elements</w:t>
      </w:r>
      <w:r w:rsidR="00F36471" w:rsidRPr="00A52AB8">
        <w:rPr>
          <w:color w:val="000000" w:themeColor="text1"/>
        </w:rPr>
        <w:t xml:space="preserve"> vuh_map_index</w:t>
      </w:r>
      <w:r w:rsidR="00042309" w:rsidRPr="00A52AB8">
        <w:rPr>
          <w:color w:val="000000" w:themeColor="text1"/>
        </w:rPr>
        <w:t>,</w:t>
      </w:r>
      <w:r w:rsidR="00F36471" w:rsidRPr="00A52AB8">
        <w:rPr>
          <w:color w:val="000000" w:themeColor="text1"/>
        </w:rPr>
        <w:t xml:space="preserve"> and vuh_auxiliary_video_flag, </w:t>
      </w:r>
      <w:r w:rsidRPr="00A52AB8">
        <w:rPr>
          <w:color w:val="000000" w:themeColor="text1"/>
        </w:rPr>
        <w:t xml:space="preserve">the codec </w:t>
      </w:r>
      <w:r w:rsidR="00F36471" w:rsidRPr="00A52AB8">
        <w:rPr>
          <w:color w:val="000000" w:themeColor="text1"/>
        </w:rPr>
        <w:t xml:space="preserve">is first determined using </w:t>
      </w:r>
      <w:r w:rsidR="00DE5207" w:rsidRPr="00A52AB8">
        <w:rPr>
          <w:color w:val="000000" w:themeColor="text1"/>
        </w:rPr>
        <w:t xml:space="preserve">either the profiles defined in </w:t>
      </w:r>
      <w:r w:rsidR="00DE5207" w:rsidRPr="00496A4D">
        <w:rPr>
          <w:color w:val="000000" w:themeColor="text1"/>
          <w:lang w:eastAsia="ko-KR"/>
        </w:rPr>
        <w:fldChar w:fldCharType="begin"/>
      </w:r>
      <w:r w:rsidR="00DE5207" w:rsidRPr="00A52AB8">
        <w:rPr>
          <w:color w:val="000000" w:themeColor="text1"/>
          <w:lang w:eastAsia="ko-KR"/>
        </w:rPr>
        <w:instrText xml:space="preserve"> REF _Ref38898728 \n \h </w:instrText>
      </w:r>
      <w:r w:rsidR="007478BA" w:rsidRPr="00A52AB8">
        <w:rPr>
          <w:color w:val="000000" w:themeColor="text1"/>
          <w:lang w:eastAsia="ko-KR"/>
        </w:rPr>
        <w:instrText xml:space="preserve"> \* MERGEFORMAT </w:instrText>
      </w:r>
      <w:r w:rsidR="00DE5207" w:rsidRPr="00496A4D">
        <w:rPr>
          <w:color w:val="000000" w:themeColor="text1"/>
          <w:lang w:eastAsia="ko-KR"/>
        </w:rPr>
      </w:r>
      <w:r w:rsidR="00DE5207" w:rsidRPr="00496A4D">
        <w:rPr>
          <w:color w:val="000000" w:themeColor="text1"/>
          <w:lang w:eastAsia="ko-KR"/>
        </w:rPr>
        <w:fldChar w:fldCharType="separate"/>
      </w:r>
      <w:r w:rsidR="00507A67">
        <w:rPr>
          <w:color w:val="000000" w:themeColor="text1"/>
          <w:lang w:eastAsia="ko-KR"/>
        </w:rPr>
        <w:t>Annex A</w:t>
      </w:r>
      <w:r w:rsidR="00DE5207" w:rsidRPr="00496A4D">
        <w:rPr>
          <w:color w:val="000000" w:themeColor="text1"/>
          <w:lang w:eastAsia="ko-KR"/>
        </w:rPr>
        <w:fldChar w:fldCharType="end"/>
      </w:r>
      <w:r w:rsidR="00DE5207" w:rsidRPr="00A52AB8">
        <w:rPr>
          <w:color w:val="000000" w:themeColor="text1"/>
          <w:lang w:eastAsia="ko-KR"/>
        </w:rPr>
        <w:t xml:space="preserve"> or the value of </w:t>
      </w:r>
      <w:r w:rsidR="00F36471" w:rsidRPr="00A52AB8">
        <w:rPr>
          <w:color w:val="000000" w:themeColor="text1"/>
        </w:rPr>
        <w:t>gi_geometry_codec_id[ </w:t>
      </w:r>
      <w:r w:rsidR="003160FC" w:rsidRPr="00A52AB8">
        <w:rPr>
          <w:color w:val="000000" w:themeColor="text1"/>
        </w:rPr>
        <w:t>Dec</w:t>
      </w:r>
      <w:r w:rsidR="00B67ADE" w:rsidRPr="00A52AB8">
        <w:rPr>
          <w:color w:val="000000" w:themeColor="text1"/>
        </w:rPr>
        <w:t>AtlasID </w:t>
      </w:r>
      <w:r w:rsidR="00F36471" w:rsidRPr="00A52AB8">
        <w:rPr>
          <w:color w:val="000000" w:themeColor="text1"/>
        </w:rPr>
        <w:t>]</w:t>
      </w:r>
      <w:r w:rsidR="00347808" w:rsidRPr="00A52AB8">
        <w:rPr>
          <w:color w:val="000000" w:themeColor="text1"/>
        </w:rPr>
        <w:t xml:space="preserve"> and gi_geometry_auxiliary_codec_id[ DecAtlasID ],</w:t>
      </w:r>
      <w:r w:rsidR="004A0951" w:rsidRPr="00A52AB8">
        <w:rPr>
          <w:color w:val="000000" w:themeColor="text1"/>
        </w:rPr>
        <w:t xml:space="preserve"> </w:t>
      </w:r>
      <w:r w:rsidR="00925131" w:rsidRPr="00A52AB8">
        <w:rPr>
          <w:color w:val="000000" w:themeColor="text1"/>
        </w:rPr>
        <w:t>i</w:t>
      </w:r>
      <w:r w:rsidR="00F36471" w:rsidRPr="00A52AB8">
        <w:rPr>
          <w:color w:val="000000" w:themeColor="text1"/>
        </w:rPr>
        <w:t>f vuh_auxiliary_video_flag is equal to 0</w:t>
      </w:r>
      <w:r w:rsidR="00347808" w:rsidRPr="00A52AB8">
        <w:rPr>
          <w:color w:val="000000" w:themeColor="text1"/>
        </w:rPr>
        <w:t xml:space="preserve"> or 1, respectively</w:t>
      </w:r>
      <w:r w:rsidR="00F36471" w:rsidRPr="00A52AB8">
        <w:rPr>
          <w:color w:val="000000" w:themeColor="text1"/>
        </w:rPr>
        <w:t xml:space="preserve">, and the </w:t>
      </w:r>
      <w:r w:rsidR="001A102D" w:rsidRPr="00A52AB8">
        <w:rPr>
          <w:color w:val="000000" w:themeColor="text1"/>
        </w:rPr>
        <w:t xml:space="preserve">component </w:t>
      </w:r>
      <w:r w:rsidR="00F36471" w:rsidRPr="00A52AB8">
        <w:rPr>
          <w:color w:val="000000" w:themeColor="text1"/>
        </w:rPr>
        <w:t>codec mapping SEI</w:t>
      </w:r>
      <w:r w:rsidR="001A102D" w:rsidRPr="00A52AB8">
        <w:rPr>
          <w:color w:val="000000" w:themeColor="text1"/>
        </w:rPr>
        <w:t xml:space="preserve"> specified in subclause </w:t>
      </w:r>
      <w:r w:rsidR="001A102D" w:rsidRPr="00496A4D">
        <w:rPr>
          <w:color w:val="000000" w:themeColor="text1"/>
        </w:rPr>
        <w:fldChar w:fldCharType="begin"/>
      </w:r>
      <w:r w:rsidR="001A102D" w:rsidRPr="00A52AB8">
        <w:rPr>
          <w:color w:val="000000" w:themeColor="text1"/>
        </w:rPr>
        <w:instrText xml:space="preserve"> REF _Ref21444040 \w \h </w:instrText>
      </w:r>
      <w:r w:rsidR="007812ED" w:rsidRPr="00A52AB8">
        <w:rPr>
          <w:color w:val="000000" w:themeColor="text1"/>
        </w:rPr>
        <w:instrText xml:space="preserve"> \* MERGEFORMAT </w:instrText>
      </w:r>
      <w:r w:rsidR="001A102D" w:rsidRPr="00496A4D">
        <w:rPr>
          <w:color w:val="000000" w:themeColor="text1"/>
        </w:rPr>
      </w:r>
      <w:r w:rsidR="001A102D" w:rsidRPr="00496A4D">
        <w:rPr>
          <w:color w:val="000000" w:themeColor="text1"/>
        </w:rPr>
        <w:fldChar w:fldCharType="separate"/>
      </w:r>
      <w:r w:rsidR="00507A67">
        <w:rPr>
          <w:color w:val="000000" w:themeColor="text1"/>
        </w:rPr>
        <w:t>F.2.11</w:t>
      </w:r>
      <w:r w:rsidR="001A102D" w:rsidRPr="00496A4D">
        <w:rPr>
          <w:color w:val="000000" w:themeColor="text1"/>
        </w:rPr>
        <w:fldChar w:fldCharType="end"/>
      </w:r>
      <w:r w:rsidR="00F36471" w:rsidRPr="00A52AB8">
        <w:rPr>
          <w:color w:val="000000" w:themeColor="text1"/>
        </w:rPr>
        <w:t>, if present. Then, the geometry video decoding process, according to the corresponding cod</w:t>
      </w:r>
      <w:r w:rsidR="001A102D" w:rsidRPr="00A52AB8">
        <w:rPr>
          <w:color w:val="000000" w:themeColor="text1"/>
        </w:rPr>
        <w:t>ing</w:t>
      </w:r>
      <w:r w:rsidR="00F36471" w:rsidRPr="00A52AB8">
        <w:rPr>
          <w:color w:val="000000" w:themeColor="text1"/>
        </w:rPr>
        <w:t xml:space="preserve"> specification, is invoked using the geometry video sub-bits</w:t>
      </w:r>
      <w:r w:rsidR="00FA72FD" w:rsidRPr="00A52AB8">
        <w:rPr>
          <w:color w:val="000000" w:themeColor="text1"/>
        </w:rPr>
        <w:t>t</w:t>
      </w:r>
      <w:r w:rsidR="00F36471" w:rsidRPr="00A52AB8">
        <w:rPr>
          <w:color w:val="000000" w:themeColor="text1"/>
        </w:rPr>
        <w:t>reams present in the V3C bitstream as the input.</w:t>
      </w:r>
    </w:p>
    <w:p w14:paraId="2974FFFE" w14:textId="0A471C11" w:rsidR="00021D32" w:rsidRPr="00A52AB8" w:rsidRDefault="00021D32" w:rsidP="00021D32">
      <w:pPr>
        <w:rPr>
          <w:color w:val="000000" w:themeColor="text1"/>
        </w:rPr>
      </w:pPr>
      <w:r w:rsidRPr="00A52AB8">
        <w:rPr>
          <w:color w:val="000000" w:themeColor="text1"/>
        </w:rPr>
        <w:t xml:space="preserve">If the geometry video sub-bitstream is not an auxiliary geometry video, either identified by vuh_auxiliary_video_flag equal to 0 or </w:t>
      </w:r>
      <w:r w:rsidRPr="00A52AB8">
        <w:t>determined through external means if the V3C unit header is unavailable</w:t>
      </w:r>
      <w:r w:rsidRPr="00A52AB8">
        <w:rPr>
          <w:color w:val="000000" w:themeColor="text1"/>
        </w:rPr>
        <w:t>,</w:t>
      </w:r>
      <w:r w:rsidR="00347808" w:rsidRPr="00A52AB8">
        <w:rPr>
          <w:color w:val="000000" w:themeColor="text1"/>
        </w:rPr>
        <w:t xml:space="preserve"> the outputs of this process are:</w:t>
      </w:r>
    </w:p>
    <w:p w14:paraId="5B53D663" w14:textId="6A8EE210" w:rsidR="004A0951" w:rsidRPr="00A52AB8" w:rsidRDefault="0034780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the 1D array NumDecGeoFrames, indicating </w:t>
      </w:r>
      <w:r w:rsidR="004A0951" w:rsidRPr="00A52AB8">
        <w:rPr>
          <w:color w:val="000000" w:themeColor="text1"/>
        </w:rPr>
        <w:t xml:space="preserve">the number of decoded geometry video frames, </w:t>
      </w:r>
      <w:r w:rsidR="00794FBB" w:rsidRPr="00A52AB8">
        <w:rPr>
          <w:color w:val="000000" w:themeColor="text1"/>
        </w:rPr>
        <w:t xml:space="preserve">where the dimension corresponds to </w:t>
      </w:r>
      <w:r w:rsidR="00D64B56" w:rsidRPr="00A52AB8">
        <w:rPr>
          <w:color w:val="000000" w:themeColor="text1"/>
        </w:rPr>
        <w:t>vuh_map_index</w:t>
      </w:r>
      <w:r w:rsidR="00D64B56" w:rsidRPr="00A52AB8" w:rsidDel="00D64B56">
        <w:rPr>
          <w:color w:val="000000" w:themeColor="text1"/>
        </w:rPr>
        <w:t xml:space="preserve"> </w:t>
      </w:r>
      <w:r w:rsidR="00794FBB" w:rsidRPr="00A52AB8">
        <w:rPr>
          <w:color w:val="000000" w:themeColor="text1"/>
        </w:rPr>
        <w:t>,</w:t>
      </w:r>
    </w:p>
    <w:p w14:paraId="1C13D81B" w14:textId="7904A279" w:rsidR="00D045C5" w:rsidRPr="00A52AB8" w:rsidRDefault="0034780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the 5D array DecGeoFrames, </w:t>
      </w:r>
      <w:r w:rsidR="00795BFA" w:rsidRPr="00A52AB8">
        <w:rPr>
          <w:color w:val="000000" w:themeColor="text1"/>
        </w:rPr>
        <w:t xml:space="preserve">the decoded geometry video frames, </w:t>
      </w:r>
      <w:r w:rsidR="005E5338" w:rsidRPr="00A52AB8">
        <w:rPr>
          <w:color w:val="000000" w:themeColor="text1"/>
        </w:rPr>
        <w:t xml:space="preserve">where the dimensions correspond to </w:t>
      </w:r>
      <w:r w:rsidR="004111E3" w:rsidRPr="00A52AB8">
        <w:rPr>
          <w:color w:val="000000" w:themeColor="text1"/>
        </w:rPr>
        <w:t>vuh_</w:t>
      </w:r>
      <w:r w:rsidR="005E5338" w:rsidRPr="00A52AB8">
        <w:rPr>
          <w:color w:val="000000" w:themeColor="text1"/>
        </w:rPr>
        <w:t>map</w:t>
      </w:r>
      <w:r w:rsidR="004111E3" w:rsidRPr="00A52AB8">
        <w:rPr>
          <w:color w:val="000000" w:themeColor="text1"/>
        </w:rPr>
        <w:t>_</w:t>
      </w:r>
      <w:r w:rsidR="005E5338" w:rsidRPr="00A52AB8">
        <w:rPr>
          <w:color w:val="000000" w:themeColor="text1"/>
        </w:rPr>
        <w:t>index, the decoded geometry video frame index, the component index, the row index, and the column index, respectively,</w:t>
      </w:r>
    </w:p>
    <w:p w14:paraId="405638A2" w14:textId="3E7AD59C" w:rsidR="00D045C5" w:rsidRPr="00A52AB8" w:rsidRDefault="004A0951"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the following </w:t>
      </w:r>
      <w:r w:rsidR="0012005F" w:rsidRPr="00A52AB8">
        <w:rPr>
          <w:color w:val="000000" w:themeColor="text1"/>
        </w:rPr>
        <w:t>2D arrays</w:t>
      </w:r>
      <w:r w:rsidR="00C37228" w:rsidRPr="00A52AB8">
        <w:rPr>
          <w:color w:val="000000" w:themeColor="text1"/>
        </w:rPr>
        <w:t>:</w:t>
      </w:r>
    </w:p>
    <w:p w14:paraId="64C4B3E8" w14:textId="209E3266" w:rsidR="00C37228" w:rsidRPr="00A52AB8" w:rsidRDefault="00C3722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 xml:space="preserve">DecGeoBitDepth, </w:t>
      </w:r>
      <w:r w:rsidR="00787A4A" w:rsidRPr="00A52AB8">
        <w:rPr>
          <w:color w:val="000000" w:themeColor="text1"/>
        </w:rPr>
        <w:t>indicating</w:t>
      </w:r>
      <w:r w:rsidR="00787A4A" w:rsidRPr="00A52AB8" w:rsidDel="00787A4A">
        <w:rPr>
          <w:color w:val="000000" w:themeColor="text1"/>
        </w:rPr>
        <w:t xml:space="preserve"> </w:t>
      </w:r>
      <w:r w:rsidRPr="00A52AB8">
        <w:rPr>
          <w:color w:val="000000" w:themeColor="text1"/>
        </w:rPr>
        <w:t>the geometry video bit depth,</w:t>
      </w:r>
    </w:p>
    <w:p w14:paraId="6936B3BB" w14:textId="41D9FAD0" w:rsidR="00C37228" w:rsidRPr="00A52AB8" w:rsidRDefault="00C3722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 xml:space="preserve">DecGeoHeight, </w:t>
      </w:r>
      <w:r w:rsidR="00787A4A" w:rsidRPr="00A52AB8">
        <w:rPr>
          <w:color w:val="000000" w:themeColor="text1"/>
        </w:rPr>
        <w:t>indicating</w:t>
      </w:r>
      <w:r w:rsidR="00787A4A" w:rsidRPr="00A52AB8" w:rsidDel="00787A4A">
        <w:rPr>
          <w:color w:val="000000" w:themeColor="text1"/>
        </w:rPr>
        <w:t xml:space="preserve"> </w:t>
      </w:r>
      <w:r w:rsidRPr="00A52AB8">
        <w:rPr>
          <w:color w:val="000000" w:themeColor="text1"/>
        </w:rPr>
        <w:t>the geometry video height,</w:t>
      </w:r>
    </w:p>
    <w:p w14:paraId="7299EEB6" w14:textId="55C6A80B" w:rsidR="00C37228" w:rsidRPr="00A52AB8" w:rsidRDefault="00C3722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 xml:space="preserve">DecGeoWidth, </w:t>
      </w:r>
      <w:r w:rsidR="00787A4A" w:rsidRPr="00A52AB8">
        <w:rPr>
          <w:color w:val="000000" w:themeColor="text1"/>
        </w:rPr>
        <w:t>indicating</w:t>
      </w:r>
      <w:r w:rsidR="00787A4A" w:rsidRPr="00A52AB8" w:rsidDel="00787A4A">
        <w:rPr>
          <w:color w:val="000000" w:themeColor="text1"/>
        </w:rPr>
        <w:t xml:space="preserve"> </w:t>
      </w:r>
      <w:r w:rsidRPr="00A52AB8">
        <w:rPr>
          <w:color w:val="000000" w:themeColor="text1"/>
        </w:rPr>
        <w:t>the geometry video width ,</w:t>
      </w:r>
    </w:p>
    <w:p w14:paraId="1BE6F695" w14:textId="5D47FB43" w:rsidR="00372362" w:rsidRPr="00A52AB8" w:rsidRDefault="00372362" w:rsidP="0037236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DecGeoChromaFormat, indicating the attribute chroma format,</w:t>
      </w:r>
    </w:p>
    <w:p w14:paraId="068E847B" w14:textId="5DA5DBF3" w:rsidR="00372362" w:rsidRPr="00A52AB8" w:rsidRDefault="00372362" w:rsidP="0037236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DecGeoChromaSamplingPosition, indicating, if present, the geometry chroma sampling as specified in ISO/IEC 23091-2,</w:t>
      </w:r>
    </w:p>
    <w:p w14:paraId="247D07B3" w14:textId="5C9DF532" w:rsidR="00372362" w:rsidRPr="00A52AB8" w:rsidRDefault="00372362" w:rsidP="0037236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DecGeoFullRange, indicating, if present, the video full range code point as specified in ISO/IEC 23091-2,</w:t>
      </w:r>
    </w:p>
    <w:p w14:paraId="6B9D2D86" w14:textId="1C5F789A" w:rsidR="00372362" w:rsidRPr="00A52AB8" w:rsidRDefault="00372362" w:rsidP="0037236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DecGeoColourPrimaries, indicating, if present, the chromaticity coordinates of the source primaries as specified in ISO/IEC 23091-2,</w:t>
      </w:r>
    </w:p>
    <w:p w14:paraId="07E8632C" w14:textId="0C67726F" w:rsidR="00372362" w:rsidRPr="00A52AB8" w:rsidRDefault="00372362" w:rsidP="0037236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DecGeoTransferCharacteristics, indicating, if present, the transfer characteristics as specified in ISO/IEC 23091-2,</w:t>
      </w:r>
    </w:p>
    <w:p w14:paraId="79313B44" w14:textId="13B84418" w:rsidR="00372362" w:rsidRPr="00A52AB8" w:rsidRDefault="00372362" w:rsidP="0037236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DecGeoMatrixCoeffs, indicating, if present, the matrix coefficients as specified in ISO/IEC 23091-2,</w:t>
      </w:r>
    </w:p>
    <w:p w14:paraId="1667BDE5" w14:textId="41299F83" w:rsidR="00C37228" w:rsidRPr="00A52AB8" w:rsidRDefault="00C3722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 xml:space="preserve">DecGeoOutOrdIdx, </w:t>
      </w:r>
      <w:r w:rsidR="00787A4A" w:rsidRPr="00A52AB8">
        <w:rPr>
          <w:color w:val="000000" w:themeColor="text1"/>
        </w:rPr>
        <w:t>indicating</w:t>
      </w:r>
      <w:r w:rsidR="00787A4A" w:rsidRPr="00A52AB8" w:rsidDel="00787A4A">
        <w:rPr>
          <w:color w:val="000000" w:themeColor="text1"/>
        </w:rPr>
        <w:t xml:space="preserve"> </w:t>
      </w:r>
      <w:r w:rsidRPr="00A52AB8">
        <w:rPr>
          <w:color w:val="000000" w:themeColor="text1"/>
        </w:rPr>
        <w:t>the geometry video output order index, and</w:t>
      </w:r>
    </w:p>
    <w:p w14:paraId="31F37B0F" w14:textId="74D9458B" w:rsidR="00C37228" w:rsidRPr="00A52AB8" w:rsidRDefault="00C3722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 xml:space="preserve">DecGeoCompTime, </w:t>
      </w:r>
      <w:r w:rsidR="00787A4A" w:rsidRPr="00A52AB8">
        <w:rPr>
          <w:color w:val="000000" w:themeColor="text1"/>
        </w:rPr>
        <w:t>indicating</w:t>
      </w:r>
      <w:r w:rsidR="00787A4A" w:rsidRPr="00A52AB8" w:rsidDel="00787A4A">
        <w:rPr>
          <w:color w:val="000000" w:themeColor="text1"/>
        </w:rPr>
        <w:t xml:space="preserve"> </w:t>
      </w:r>
      <w:r w:rsidRPr="00A52AB8">
        <w:rPr>
          <w:color w:val="000000" w:themeColor="text1"/>
        </w:rPr>
        <w:t>the geometry video composition time,</w:t>
      </w:r>
    </w:p>
    <w:p w14:paraId="5466517F" w14:textId="6122F6A4" w:rsidR="00C37228" w:rsidRPr="00A52AB8" w:rsidRDefault="00C37228" w:rsidP="00E860C4">
      <w:pPr>
        <w:ind w:left="720"/>
        <w:rPr>
          <w:color w:val="000000" w:themeColor="text1"/>
        </w:rPr>
      </w:pPr>
      <w:r w:rsidRPr="00A52AB8">
        <w:rPr>
          <w:color w:val="000000" w:themeColor="text1"/>
        </w:rPr>
        <w:t xml:space="preserve">where the dimensions correspond to </w:t>
      </w:r>
      <w:r w:rsidR="00D64B56" w:rsidRPr="00A52AB8">
        <w:rPr>
          <w:color w:val="000000" w:themeColor="text1"/>
        </w:rPr>
        <w:t>vuh_map_index</w:t>
      </w:r>
      <w:r w:rsidR="00D64B56" w:rsidRPr="00A52AB8" w:rsidDel="00D64B56">
        <w:rPr>
          <w:color w:val="000000" w:themeColor="text1"/>
        </w:rPr>
        <w:t xml:space="preserve"> </w:t>
      </w:r>
      <w:r w:rsidRPr="00A52AB8">
        <w:rPr>
          <w:color w:val="000000" w:themeColor="text1"/>
        </w:rPr>
        <w:t>and the decoded geometry video frame index, respectively.</w:t>
      </w:r>
    </w:p>
    <w:p w14:paraId="49701635" w14:textId="14B35804" w:rsidR="00EC08EC" w:rsidRPr="00A52AB8" w:rsidRDefault="00EC08EC" w:rsidP="00EC08EC">
      <w:pPr>
        <w:ind w:left="720"/>
      </w:pPr>
      <w:r w:rsidRPr="00A52AB8">
        <w:t>If the array DecGeoFullRange is missing, all of its elements shall be set to 1.</w:t>
      </w:r>
    </w:p>
    <w:p w14:paraId="6C10D59B" w14:textId="52BB7C57" w:rsidR="00EC08EC" w:rsidRPr="00A52AB8" w:rsidRDefault="00EC08EC" w:rsidP="00EC08EC">
      <w:pPr>
        <w:ind w:left="720"/>
      </w:pPr>
      <w:r w:rsidRPr="00A52AB8">
        <w:t>If any of the elements of the array DecGeoTransferCharacteristics are missing or are set to a value of 2, i.e. unspecified, those elements shall be set to 8, i.e. linear.</w:t>
      </w:r>
    </w:p>
    <w:p w14:paraId="0558D966" w14:textId="7DF0A9E9" w:rsidR="00372362" w:rsidRPr="00A52AB8" w:rsidRDefault="00372362" w:rsidP="00372362">
      <w:pPr>
        <w:ind w:left="720"/>
      </w:pPr>
      <w:r w:rsidRPr="00A52AB8">
        <w:t>If the array DecGeoChromaSamplingPosition is missing, all of its elements shall be set to 0.</w:t>
      </w:r>
    </w:p>
    <w:p w14:paraId="48097606" w14:textId="77777777" w:rsidR="0050235C" w:rsidRPr="00A52AB8" w:rsidRDefault="00372362" w:rsidP="00372362">
      <w:pPr>
        <w:ind w:left="720"/>
      </w:pPr>
      <w:r w:rsidRPr="00A52AB8">
        <w:t xml:space="preserve">If the array DecGeoColourPrimaries is missing, all of its elements shall be set to </w:t>
      </w:r>
      <w:r w:rsidR="00423FCF" w:rsidRPr="00A52AB8">
        <w:t>2</w:t>
      </w:r>
      <w:r w:rsidRPr="00A52AB8">
        <w:t>.</w:t>
      </w:r>
    </w:p>
    <w:p w14:paraId="7283A1E4" w14:textId="105C8290" w:rsidR="00372362" w:rsidRPr="00A52AB8" w:rsidRDefault="00372362" w:rsidP="00372362">
      <w:pPr>
        <w:ind w:left="720"/>
      </w:pPr>
      <w:r w:rsidRPr="00A52AB8">
        <w:t xml:space="preserve">If the array DecGeoMatrixCoeffs is missing, all of its elements shall be set to </w:t>
      </w:r>
      <w:r w:rsidR="00423FCF" w:rsidRPr="00A52AB8">
        <w:t>2</w:t>
      </w:r>
      <w:r w:rsidRPr="00A52AB8">
        <w:t>.</w:t>
      </w:r>
    </w:p>
    <w:p w14:paraId="10A3BE13" w14:textId="5E7B0770" w:rsidR="00EC08EC" w:rsidRPr="00A52AB8" w:rsidRDefault="00EC08EC" w:rsidP="00EC08EC">
      <w:pPr>
        <w:ind w:left="720"/>
      </w:pPr>
      <w:r w:rsidRPr="00A52AB8">
        <w:t>The values of the arrays DecGeoChromaSamplingPosition, DecGeoColourPrimaries, and DecGeoMatrixCoeffs, shall not be used for any further processing of the decoded geometry frames.</w:t>
      </w:r>
    </w:p>
    <w:p w14:paraId="3EE69599" w14:textId="77777777" w:rsidR="00372362" w:rsidRPr="00A52AB8" w:rsidRDefault="00372362" w:rsidP="00372362">
      <w:pPr>
        <w:ind w:left="720"/>
      </w:pPr>
      <w:r w:rsidRPr="00A52AB8">
        <w:t>These values shall be interpreted according to their corresponding coding points in ISO/IEC 23091-2.</w:t>
      </w:r>
    </w:p>
    <w:p w14:paraId="2E7DCB8D" w14:textId="155CD6BC" w:rsidR="00021D32" w:rsidRPr="00A52AB8" w:rsidRDefault="00D045C5" w:rsidP="00795BFA">
      <w:pPr>
        <w:rPr>
          <w:color w:val="000000" w:themeColor="text1"/>
        </w:rPr>
      </w:pPr>
      <w:r w:rsidRPr="00A52AB8">
        <w:rPr>
          <w:color w:val="000000" w:themeColor="text1"/>
        </w:rPr>
        <w:t xml:space="preserve">Otherwise, </w:t>
      </w:r>
      <w:r w:rsidR="00021D32" w:rsidRPr="00A52AB8">
        <w:rPr>
          <w:color w:val="000000" w:themeColor="text1"/>
        </w:rPr>
        <w:t xml:space="preserve">if the geometry video sub-bitstream is an auxiliary geometry video either identified by vuh_auxiliary_video_flag equal to 1 or </w:t>
      </w:r>
      <w:r w:rsidR="00021D32" w:rsidRPr="00A52AB8">
        <w:t>determined through external means if the V3C unit header is unavailable</w:t>
      </w:r>
      <w:r w:rsidR="00AA3BA1" w:rsidRPr="00A52AB8">
        <w:rPr>
          <w:color w:val="000000" w:themeColor="text1"/>
        </w:rPr>
        <w:t>, the outputs of this process are</w:t>
      </w:r>
      <w:r w:rsidR="00AF6EAC" w:rsidRPr="00A52AB8">
        <w:rPr>
          <w:color w:val="000000" w:themeColor="text1"/>
        </w:rPr>
        <w:t>:</w:t>
      </w:r>
    </w:p>
    <w:p w14:paraId="5DF6BCD6" w14:textId="4835C78C" w:rsidR="004A0951" w:rsidRPr="00A52AB8" w:rsidRDefault="0034780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NumDecGeoAuxFrames, indicating </w:t>
      </w:r>
      <w:r w:rsidR="004A0951" w:rsidRPr="00A52AB8">
        <w:rPr>
          <w:color w:val="000000" w:themeColor="text1"/>
        </w:rPr>
        <w:t>the number of decoded auxiliary geometry video frames,</w:t>
      </w:r>
    </w:p>
    <w:p w14:paraId="7616D84D" w14:textId="3AC69F05" w:rsidR="00AF6EAC" w:rsidRPr="00A52AB8" w:rsidRDefault="0034780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the 4D array DecGeoAuxFrames, </w:t>
      </w:r>
      <w:r w:rsidR="00AA3BA1" w:rsidRPr="00A52AB8">
        <w:rPr>
          <w:color w:val="000000" w:themeColor="text1"/>
        </w:rPr>
        <w:t>the decoded auxil</w:t>
      </w:r>
      <w:r w:rsidR="00B420F1" w:rsidRPr="00A52AB8">
        <w:rPr>
          <w:color w:val="000000" w:themeColor="text1"/>
        </w:rPr>
        <w:t>i</w:t>
      </w:r>
      <w:r w:rsidR="00AA3BA1" w:rsidRPr="00A52AB8">
        <w:rPr>
          <w:color w:val="000000" w:themeColor="text1"/>
        </w:rPr>
        <w:t xml:space="preserve">ary geometry video frames, </w:t>
      </w:r>
      <w:r w:rsidR="005E5338" w:rsidRPr="00A52AB8">
        <w:rPr>
          <w:color w:val="000000" w:themeColor="text1"/>
        </w:rPr>
        <w:t>where the dimensions correspond to the decoded auxiliary geometry video frame index, the component index, the row index, and the column index, respectively</w:t>
      </w:r>
      <w:r w:rsidR="00C36F01" w:rsidRPr="00A52AB8">
        <w:rPr>
          <w:color w:val="000000" w:themeColor="text1"/>
        </w:rPr>
        <w:t>,</w:t>
      </w:r>
      <w:r w:rsidR="004A0951" w:rsidRPr="00A52AB8">
        <w:rPr>
          <w:color w:val="000000" w:themeColor="text1"/>
        </w:rPr>
        <w:t xml:space="preserve"> </w:t>
      </w:r>
      <w:r w:rsidR="00AA3BA1" w:rsidRPr="00A52AB8">
        <w:rPr>
          <w:color w:val="000000" w:themeColor="text1"/>
        </w:rPr>
        <w:t>and</w:t>
      </w:r>
    </w:p>
    <w:p w14:paraId="3A6688A7" w14:textId="7C97FA1B" w:rsidR="00C37228" w:rsidRPr="00A52AB8" w:rsidRDefault="00C3722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the following 1D arrays:</w:t>
      </w:r>
    </w:p>
    <w:p w14:paraId="0A953EFF" w14:textId="17E622B8" w:rsidR="00C37228" w:rsidRPr="00A52AB8" w:rsidRDefault="00C3722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 xml:space="preserve">DecGeoAuxBitDepth, </w:t>
      </w:r>
      <w:r w:rsidR="00DB24A0" w:rsidRPr="00A52AB8">
        <w:rPr>
          <w:color w:val="000000" w:themeColor="text1"/>
        </w:rPr>
        <w:t>indicating</w:t>
      </w:r>
      <w:r w:rsidR="00DB24A0" w:rsidRPr="00A52AB8" w:rsidDel="00DB24A0">
        <w:rPr>
          <w:color w:val="000000" w:themeColor="text1"/>
        </w:rPr>
        <w:t xml:space="preserve"> </w:t>
      </w:r>
      <w:r w:rsidRPr="00A52AB8">
        <w:rPr>
          <w:color w:val="000000" w:themeColor="text1"/>
        </w:rPr>
        <w:t>the auxiliary geometry video bit depth,</w:t>
      </w:r>
    </w:p>
    <w:p w14:paraId="1A9E6553" w14:textId="72CEAE67" w:rsidR="00C37228" w:rsidRPr="00A52AB8" w:rsidRDefault="00C3722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 xml:space="preserve">DecGeoAuxHeight, </w:t>
      </w:r>
      <w:r w:rsidR="00DB24A0" w:rsidRPr="00A52AB8">
        <w:rPr>
          <w:color w:val="000000" w:themeColor="text1"/>
        </w:rPr>
        <w:t>indicating</w:t>
      </w:r>
      <w:r w:rsidR="00DB24A0" w:rsidRPr="00A52AB8" w:rsidDel="00DB24A0">
        <w:rPr>
          <w:color w:val="000000" w:themeColor="text1"/>
        </w:rPr>
        <w:t xml:space="preserve"> </w:t>
      </w:r>
      <w:r w:rsidRPr="00A52AB8">
        <w:rPr>
          <w:color w:val="000000" w:themeColor="text1"/>
        </w:rPr>
        <w:t>the auxiliary geometry video height,</w:t>
      </w:r>
    </w:p>
    <w:p w14:paraId="49A1ECD4" w14:textId="3950BADA" w:rsidR="00C37228" w:rsidRPr="00A52AB8" w:rsidRDefault="00C3722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 xml:space="preserve">DecGeoAuxWidth, </w:t>
      </w:r>
      <w:r w:rsidR="00DB24A0" w:rsidRPr="00A52AB8">
        <w:rPr>
          <w:color w:val="000000" w:themeColor="text1"/>
        </w:rPr>
        <w:t>indicating</w:t>
      </w:r>
      <w:r w:rsidR="00DB24A0" w:rsidRPr="00A52AB8" w:rsidDel="00DB24A0">
        <w:rPr>
          <w:color w:val="000000" w:themeColor="text1"/>
        </w:rPr>
        <w:t xml:space="preserve"> </w:t>
      </w:r>
      <w:r w:rsidRPr="00A52AB8">
        <w:rPr>
          <w:color w:val="000000" w:themeColor="text1"/>
        </w:rPr>
        <w:t>the auxiliary geometry video width ,</w:t>
      </w:r>
    </w:p>
    <w:p w14:paraId="70C3B20A" w14:textId="49EB1F2F" w:rsidR="00372362" w:rsidRPr="00A52AB8" w:rsidRDefault="00372362" w:rsidP="0037236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DecGeoAuxChromaFormat, indicating the attribute chroma format,</w:t>
      </w:r>
    </w:p>
    <w:p w14:paraId="1E921A07" w14:textId="260A3951" w:rsidR="00372362" w:rsidRPr="00A52AB8" w:rsidRDefault="00372362" w:rsidP="0037236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DecGeoAuxChromaSamplingPosition, indicating, if present, the geometry chroma sampling as specified in ISO/IEC 23091-2,</w:t>
      </w:r>
    </w:p>
    <w:p w14:paraId="65FD43B3" w14:textId="3EBB25B9" w:rsidR="00372362" w:rsidRPr="00A52AB8" w:rsidRDefault="00372362" w:rsidP="0037236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DecGeoAuxFullRange, indicating, if present, the video full range code point as specified in ISO/IEC 23091-2,</w:t>
      </w:r>
    </w:p>
    <w:p w14:paraId="401B1CF8" w14:textId="4DC7F496" w:rsidR="00372362" w:rsidRPr="00A52AB8" w:rsidRDefault="00372362" w:rsidP="0037236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DecGeoAuxColourPrimaries, indicating, if present, the chromaticity coordinates of the source primaries as specified in ISO/IEC 23091-2,</w:t>
      </w:r>
    </w:p>
    <w:p w14:paraId="6B3321FE" w14:textId="6B455834" w:rsidR="00372362" w:rsidRPr="00A52AB8" w:rsidRDefault="00372362" w:rsidP="0037236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DecGeoAuxTransferCharacteristics, indicating, if present, the transfer characteristics as specified in ISO/IEC 23091-2,</w:t>
      </w:r>
    </w:p>
    <w:p w14:paraId="23AC0D8D" w14:textId="2A4E7AF5" w:rsidR="00372362" w:rsidRPr="00A52AB8" w:rsidRDefault="00372362" w:rsidP="0037236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DecGeoAuxMatrixCoeffs, indicating, if present, the matrix coefficients as specified in ISO/IEC 23091-2,</w:t>
      </w:r>
    </w:p>
    <w:p w14:paraId="64076C63" w14:textId="691D1323" w:rsidR="00C37228" w:rsidRPr="00A52AB8" w:rsidRDefault="00C3722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 xml:space="preserve">DecGeoAuxOutOrdIdx, </w:t>
      </w:r>
      <w:r w:rsidR="00DB24A0" w:rsidRPr="00A52AB8">
        <w:rPr>
          <w:color w:val="000000" w:themeColor="text1"/>
        </w:rPr>
        <w:t>indicating</w:t>
      </w:r>
      <w:r w:rsidR="00DB24A0" w:rsidRPr="00A52AB8" w:rsidDel="00DB24A0">
        <w:rPr>
          <w:color w:val="000000" w:themeColor="text1"/>
        </w:rPr>
        <w:t xml:space="preserve"> </w:t>
      </w:r>
      <w:r w:rsidRPr="00A52AB8">
        <w:rPr>
          <w:color w:val="000000" w:themeColor="text1"/>
        </w:rPr>
        <w:t>the auxiliary geometry video output order index, and</w:t>
      </w:r>
    </w:p>
    <w:p w14:paraId="0BD5F6F9" w14:textId="1B740CAB" w:rsidR="00C37228" w:rsidRPr="00A52AB8" w:rsidRDefault="00C3722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 xml:space="preserve">DecGeoAuxCompTime, </w:t>
      </w:r>
      <w:r w:rsidR="00DB24A0" w:rsidRPr="00A52AB8">
        <w:rPr>
          <w:color w:val="000000" w:themeColor="text1"/>
        </w:rPr>
        <w:t>indicating</w:t>
      </w:r>
      <w:r w:rsidR="00DB24A0" w:rsidRPr="00A52AB8" w:rsidDel="00DB24A0">
        <w:rPr>
          <w:color w:val="000000" w:themeColor="text1"/>
        </w:rPr>
        <w:t xml:space="preserve"> </w:t>
      </w:r>
      <w:r w:rsidRPr="00A52AB8">
        <w:rPr>
          <w:color w:val="000000" w:themeColor="text1"/>
        </w:rPr>
        <w:t>the auxiliary geometry video composition time,</w:t>
      </w:r>
    </w:p>
    <w:p w14:paraId="01ED073C" w14:textId="7B473277" w:rsidR="00C37228" w:rsidRPr="00A52AB8" w:rsidRDefault="00C37228" w:rsidP="00E860C4">
      <w:pPr>
        <w:ind w:left="720"/>
        <w:rPr>
          <w:color w:val="000000" w:themeColor="text1"/>
        </w:rPr>
      </w:pPr>
      <w:r w:rsidRPr="00A52AB8">
        <w:rPr>
          <w:color w:val="000000" w:themeColor="text1"/>
        </w:rPr>
        <w:t>where the dimension correspond</w:t>
      </w:r>
      <w:r w:rsidR="00EC2E9C" w:rsidRPr="00A52AB8">
        <w:rPr>
          <w:color w:val="000000" w:themeColor="text1"/>
        </w:rPr>
        <w:t>s</w:t>
      </w:r>
      <w:r w:rsidRPr="00A52AB8">
        <w:rPr>
          <w:color w:val="000000" w:themeColor="text1"/>
        </w:rPr>
        <w:t xml:space="preserve"> to the decoded auxiliary geometry video frame index.</w:t>
      </w:r>
    </w:p>
    <w:p w14:paraId="0A044237" w14:textId="77777777" w:rsidR="00891B4C" w:rsidRPr="00A52AB8" w:rsidRDefault="00891B4C" w:rsidP="00891B4C">
      <w:pPr>
        <w:ind w:left="720"/>
      </w:pPr>
      <w:r w:rsidRPr="00A52AB8">
        <w:t>If the array DecGeoAuxFullRange is missing, all of its elements shall be set to 1.</w:t>
      </w:r>
    </w:p>
    <w:p w14:paraId="66A9BF0F" w14:textId="3229C956" w:rsidR="00891B4C" w:rsidRPr="00A52AB8" w:rsidRDefault="00891B4C" w:rsidP="00891B4C">
      <w:pPr>
        <w:ind w:left="720"/>
      </w:pPr>
      <w:r w:rsidRPr="00A52AB8">
        <w:t>If any of the elements of the array DecGeoAuxTransferCharacteristics are missing or are set to a value of 2</w:t>
      </w:r>
      <w:r w:rsidR="00EC08EC" w:rsidRPr="00A52AB8">
        <w:t xml:space="preserve">, </w:t>
      </w:r>
      <w:r w:rsidRPr="00A52AB8">
        <w:t>i.e. unspecified, those elements shall be set to 8</w:t>
      </w:r>
      <w:r w:rsidR="00EC08EC" w:rsidRPr="00A52AB8">
        <w:t>, i.e. linear</w:t>
      </w:r>
      <w:r w:rsidRPr="00A52AB8">
        <w:t>.</w:t>
      </w:r>
    </w:p>
    <w:p w14:paraId="2FB3EE9C" w14:textId="6A113796" w:rsidR="00372362" w:rsidRPr="00A52AB8" w:rsidRDefault="00372362" w:rsidP="00372362">
      <w:pPr>
        <w:ind w:left="720"/>
      </w:pPr>
      <w:r w:rsidRPr="00A52AB8">
        <w:t>If the array DecGeoAuxChromaSamplingPosition is missing, all of its elements shall be set to 0.</w:t>
      </w:r>
    </w:p>
    <w:p w14:paraId="334935A1" w14:textId="47BF5503" w:rsidR="00372362" w:rsidRPr="00A52AB8" w:rsidRDefault="00372362" w:rsidP="00372362">
      <w:pPr>
        <w:ind w:left="720"/>
      </w:pPr>
      <w:r w:rsidRPr="00A52AB8">
        <w:t xml:space="preserve">If the array DecGeoAuxColourPrimaries is missing, all of its elements shall be set to </w:t>
      </w:r>
      <w:r w:rsidR="00423FCF" w:rsidRPr="00A52AB8">
        <w:t>2</w:t>
      </w:r>
      <w:r w:rsidRPr="00A52AB8">
        <w:t>.</w:t>
      </w:r>
    </w:p>
    <w:p w14:paraId="4BE4895E" w14:textId="606CE982" w:rsidR="00372362" w:rsidRPr="00A52AB8" w:rsidRDefault="00372362" w:rsidP="00372362">
      <w:pPr>
        <w:ind w:left="720"/>
      </w:pPr>
      <w:r w:rsidRPr="00A52AB8">
        <w:t xml:space="preserve">If the array DecGeoAuxMatrixCoeffs is missing, all of its elements shall be set to </w:t>
      </w:r>
      <w:r w:rsidR="00423FCF" w:rsidRPr="00A52AB8">
        <w:t>2</w:t>
      </w:r>
      <w:r w:rsidRPr="00A52AB8">
        <w:t>.</w:t>
      </w:r>
    </w:p>
    <w:p w14:paraId="4D46FC8A" w14:textId="49788D95" w:rsidR="00891B4C" w:rsidRPr="00A52AB8" w:rsidRDefault="00891B4C" w:rsidP="00372362">
      <w:pPr>
        <w:ind w:left="720"/>
      </w:pPr>
      <w:r w:rsidRPr="00A52AB8">
        <w:t xml:space="preserve">The values of the arrays DecGeoAuxChromaSamplingPosition, DecGeoAuxColourPrimaries, and DecGeoAuxMatrixCoeffs, shall </w:t>
      </w:r>
      <w:r w:rsidR="00EC08EC" w:rsidRPr="00A52AB8">
        <w:t xml:space="preserve">not be used </w:t>
      </w:r>
      <w:r w:rsidRPr="00A52AB8">
        <w:t>for any</w:t>
      </w:r>
      <w:r w:rsidR="00EC08EC" w:rsidRPr="00A52AB8">
        <w:t xml:space="preserve"> further</w:t>
      </w:r>
      <w:r w:rsidRPr="00A52AB8">
        <w:t xml:space="preserve"> process</w:t>
      </w:r>
      <w:r w:rsidR="00EC08EC" w:rsidRPr="00A52AB8">
        <w:t>ing of the decoded auxiliary geometry frames</w:t>
      </w:r>
      <w:r w:rsidRPr="00A52AB8">
        <w:t>.</w:t>
      </w:r>
    </w:p>
    <w:p w14:paraId="1976A841" w14:textId="77777777" w:rsidR="00372362" w:rsidRPr="00A52AB8" w:rsidRDefault="00372362" w:rsidP="00372362">
      <w:pPr>
        <w:ind w:left="720"/>
      </w:pPr>
      <w:r w:rsidRPr="00A52AB8">
        <w:t>These values shall be interpreted according to their corresponding coding points in ISO/IEC 23091-2.</w:t>
      </w:r>
    </w:p>
    <w:p w14:paraId="32F9471D" w14:textId="4E3B961A" w:rsidR="0000342C" w:rsidRPr="00A52AB8" w:rsidRDefault="0000342C" w:rsidP="004A6049">
      <w:pPr>
        <w:pStyle w:val="Note1"/>
        <w:rPr>
          <w:rFonts w:ascii="Cambria" w:hAnsi="Cambria"/>
        </w:rPr>
      </w:pPr>
      <w:r w:rsidRPr="00A52AB8">
        <w:rPr>
          <w:rFonts w:ascii="Cambria" w:hAnsi="Cambria"/>
        </w:rPr>
        <w:t xml:space="preserve">NOTE – Any existing video coding specification such as ISO/IEC 14496-10 or ISO/IEC 23008-2 or any future defined video coding specification can be used if included in </w:t>
      </w:r>
      <w:r w:rsidR="00A278E7" w:rsidRPr="00A52AB8">
        <w:rPr>
          <w:rFonts w:ascii="Cambria" w:hAnsi="Cambria"/>
          <w:color w:val="000000" w:themeColor="text1"/>
        </w:rPr>
        <w:t>gi</w:t>
      </w:r>
      <w:r w:rsidRPr="00A52AB8">
        <w:rPr>
          <w:rFonts w:ascii="Cambria" w:hAnsi="Cambria"/>
          <w:color w:val="000000" w:themeColor="text1"/>
        </w:rPr>
        <w:t>_</w:t>
      </w:r>
      <w:r w:rsidR="00A278E7" w:rsidRPr="00A52AB8">
        <w:rPr>
          <w:rFonts w:ascii="Cambria" w:hAnsi="Cambria"/>
          <w:color w:val="000000" w:themeColor="text1"/>
        </w:rPr>
        <w:t>geometry</w:t>
      </w:r>
      <w:r w:rsidRPr="00A52AB8">
        <w:rPr>
          <w:rFonts w:ascii="Cambria" w:hAnsi="Cambria"/>
          <w:color w:val="000000" w:themeColor="text1"/>
        </w:rPr>
        <w:t>_codec_id</w:t>
      </w:r>
      <w:r w:rsidRPr="00A52AB8">
        <w:rPr>
          <w:rFonts w:ascii="Cambria" w:hAnsi="Cambria"/>
        </w:rPr>
        <w:t>.</w:t>
      </w:r>
    </w:p>
    <w:p w14:paraId="2029F103" w14:textId="77777777" w:rsidR="00795BFA" w:rsidRPr="00A52AB8" w:rsidRDefault="00795BFA" w:rsidP="00795BFA">
      <w:pPr>
        <w:pStyle w:val="Heading2"/>
        <w:rPr>
          <w:color w:val="000000" w:themeColor="text1"/>
        </w:rPr>
      </w:pPr>
      <w:bookmarkStart w:id="1562" w:name="_Toc42729991"/>
      <w:bookmarkStart w:id="1563" w:name="_Toc45105447"/>
      <w:bookmarkStart w:id="1564" w:name="_Toc45530305"/>
      <w:bookmarkStart w:id="1565" w:name="_Toc46301660"/>
      <w:bookmarkStart w:id="1566" w:name="_Toc46302485"/>
      <w:bookmarkStart w:id="1567" w:name="_Ref38443294"/>
      <w:bookmarkStart w:id="1568" w:name="_Toc52181632"/>
      <w:bookmarkEnd w:id="1562"/>
      <w:bookmarkEnd w:id="1563"/>
      <w:bookmarkEnd w:id="1564"/>
      <w:bookmarkEnd w:id="1565"/>
      <w:bookmarkEnd w:id="1566"/>
      <w:r w:rsidRPr="00A52AB8">
        <w:rPr>
          <w:color w:val="000000" w:themeColor="text1"/>
        </w:rPr>
        <w:t>Attribute video decoding process</w:t>
      </w:r>
      <w:bookmarkEnd w:id="1567"/>
      <w:bookmarkEnd w:id="1568"/>
    </w:p>
    <w:p w14:paraId="040FD2E4" w14:textId="70CF4CFE" w:rsidR="00795BFA" w:rsidRPr="00A52AB8" w:rsidRDefault="00355879" w:rsidP="00795BFA">
      <w:pPr>
        <w:rPr>
          <w:color w:val="000000" w:themeColor="text1"/>
        </w:rPr>
      </w:pPr>
      <w:r w:rsidRPr="00A52AB8">
        <w:rPr>
          <w:color w:val="000000" w:themeColor="text1"/>
        </w:rPr>
        <w:t>The d</w:t>
      </w:r>
      <w:r w:rsidR="00764888" w:rsidRPr="00A52AB8">
        <w:rPr>
          <w:color w:val="000000" w:themeColor="text1"/>
        </w:rPr>
        <w:t xml:space="preserve">ecoding process of an </w:t>
      </w:r>
      <w:r w:rsidR="00795BFA" w:rsidRPr="00A52AB8">
        <w:rPr>
          <w:color w:val="000000" w:themeColor="text1"/>
        </w:rPr>
        <w:t xml:space="preserve">attribute </w:t>
      </w:r>
      <w:r w:rsidR="00764888" w:rsidRPr="00A52AB8">
        <w:rPr>
          <w:color w:val="000000" w:themeColor="text1"/>
        </w:rPr>
        <w:t xml:space="preserve">video component associated with the atlas with atlas ID </w:t>
      </w:r>
      <w:r w:rsidR="001147DB" w:rsidRPr="00A52AB8">
        <w:rPr>
          <w:color w:val="000000" w:themeColor="text1"/>
        </w:rPr>
        <w:t>DecA</w:t>
      </w:r>
      <w:r w:rsidR="00764888" w:rsidRPr="00A52AB8">
        <w:rPr>
          <w:color w:val="000000" w:themeColor="text1"/>
        </w:rPr>
        <w:t>tlasID,</w:t>
      </w:r>
      <w:r w:rsidR="00795BFA" w:rsidRPr="00A52AB8">
        <w:rPr>
          <w:color w:val="000000" w:themeColor="text1"/>
        </w:rPr>
        <w:t xml:space="preserve"> is performed as follows:</w:t>
      </w:r>
    </w:p>
    <w:p w14:paraId="6E1A1D49" w14:textId="61051A2F" w:rsidR="00795BFA" w:rsidRPr="00A52AB8" w:rsidRDefault="00795BFA"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If ai_attribute_count[ </w:t>
      </w:r>
      <w:r w:rsidR="001147DB" w:rsidRPr="00A52AB8">
        <w:rPr>
          <w:color w:val="000000" w:themeColor="text1"/>
        </w:rPr>
        <w:t>DecAtlasID</w:t>
      </w:r>
      <w:r w:rsidR="006E15C0" w:rsidRPr="00A52AB8">
        <w:rPr>
          <w:color w:val="000000" w:themeColor="text1"/>
        </w:rPr>
        <w:t> </w:t>
      </w:r>
      <w:r w:rsidRPr="00A52AB8">
        <w:rPr>
          <w:color w:val="000000" w:themeColor="text1"/>
        </w:rPr>
        <w:t>] is equal to 0, no attribute video frames are decoded and no attribute information is associated with the final, reconstructed volumetric frame.</w:t>
      </w:r>
    </w:p>
    <w:p w14:paraId="7AE27D04" w14:textId="3D1D66CA" w:rsidR="00FA72FD" w:rsidRPr="00A52AB8" w:rsidRDefault="00AF6EA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Otherwise</w:t>
      </w:r>
      <w:r w:rsidR="00D802FB" w:rsidRPr="00A52AB8">
        <w:rPr>
          <w:color w:val="000000" w:themeColor="text1"/>
        </w:rPr>
        <w:t xml:space="preserve"> (if ai_attribute_count[ DecAtlasID ]</w:t>
      </w:r>
      <w:r w:rsidR="00816339" w:rsidRPr="00A52AB8">
        <w:rPr>
          <w:color w:val="000000" w:themeColor="text1"/>
        </w:rPr>
        <w:t xml:space="preserve"> </w:t>
      </w:r>
      <w:r w:rsidR="00D802FB" w:rsidRPr="00A52AB8">
        <w:rPr>
          <w:color w:val="000000" w:themeColor="text1"/>
        </w:rPr>
        <w:t xml:space="preserve">is not equal to 0), </w:t>
      </w:r>
      <w:r w:rsidR="004A0CDC" w:rsidRPr="00A52AB8">
        <w:rPr>
          <w:color w:val="000000" w:themeColor="text1"/>
        </w:rPr>
        <w:t xml:space="preserve">and </w:t>
      </w:r>
      <w:r w:rsidR="00FA72FD" w:rsidRPr="00A52AB8">
        <w:rPr>
          <w:color w:val="000000" w:themeColor="text1"/>
        </w:rPr>
        <w:t xml:space="preserve">for each attribute with index attrIdx, </w:t>
      </w:r>
      <w:r w:rsidR="00042309" w:rsidRPr="00A52AB8">
        <w:rPr>
          <w:color w:val="000000" w:themeColor="text1"/>
        </w:rPr>
        <w:t xml:space="preserve">for </w:t>
      </w:r>
      <w:r w:rsidR="00FA72FD" w:rsidRPr="00A52AB8">
        <w:rPr>
          <w:color w:val="000000" w:themeColor="text1"/>
        </w:rPr>
        <w:t xml:space="preserve">the </w:t>
      </w:r>
      <w:r w:rsidR="00042309" w:rsidRPr="00A52AB8">
        <w:rPr>
          <w:color w:val="000000" w:themeColor="text1"/>
        </w:rPr>
        <w:t xml:space="preserve">attribute video component associated with </w:t>
      </w:r>
      <w:r w:rsidR="007D5B7A" w:rsidRPr="00A52AB8">
        <w:rPr>
          <w:color w:val="000000" w:themeColor="text1"/>
        </w:rPr>
        <w:t>the syntax elements</w:t>
      </w:r>
      <w:r w:rsidR="00042309" w:rsidRPr="00A52AB8">
        <w:rPr>
          <w:color w:val="000000" w:themeColor="text1"/>
        </w:rPr>
        <w:t xml:space="preserve"> vuh_map_index, vuh_attribute_index</w:t>
      </w:r>
      <w:r w:rsidR="00FA72FD" w:rsidRPr="00A52AB8">
        <w:rPr>
          <w:color w:val="000000" w:themeColor="text1"/>
        </w:rPr>
        <w:t xml:space="preserve"> equal to attrIdx</w:t>
      </w:r>
      <w:r w:rsidR="00042309" w:rsidRPr="00A52AB8">
        <w:rPr>
          <w:color w:val="000000" w:themeColor="text1"/>
        </w:rPr>
        <w:t xml:space="preserve">, vuh_attribute_partition_index, and vuh_auxiliary_video_flag, </w:t>
      </w:r>
      <w:r w:rsidR="00D62960" w:rsidRPr="00A52AB8">
        <w:rPr>
          <w:color w:val="000000" w:themeColor="text1"/>
        </w:rPr>
        <w:t xml:space="preserve">the codec </w:t>
      </w:r>
      <w:r w:rsidR="00042309" w:rsidRPr="00A52AB8">
        <w:rPr>
          <w:color w:val="000000" w:themeColor="text1"/>
        </w:rPr>
        <w:t xml:space="preserve">is first determined using </w:t>
      </w:r>
      <w:r w:rsidR="000B599C" w:rsidRPr="00A52AB8">
        <w:rPr>
          <w:color w:val="000000" w:themeColor="text1"/>
        </w:rPr>
        <w:t xml:space="preserve">either the profiles defined in </w:t>
      </w:r>
      <w:r w:rsidR="000B599C" w:rsidRPr="00496A4D">
        <w:rPr>
          <w:color w:val="000000" w:themeColor="text1"/>
          <w:lang w:eastAsia="ko-KR"/>
        </w:rPr>
        <w:fldChar w:fldCharType="begin"/>
      </w:r>
      <w:r w:rsidR="000B599C" w:rsidRPr="00A52AB8">
        <w:rPr>
          <w:color w:val="000000" w:themeColor="text1"/>
          <w:lang w:eastAsia="ko-KR"/>
        </w:rPr>
        <w:instrText xml:space="preserve"> REF _Ref38898728 \n \h </w:instrText>
      </w:r>
      <w:r w:rsidR="007478BA" w:rsidRPr="00A52AB8">
        <w:rPr>
          <w:color w:val="000000" w:themeColor="text1"/>
          <w:lang w:eastAsia="ko-KR"/>
        </w:rPr>
        <w:instrText xml:space="preserve"> \* MERGEFORMAT </w:instrText>
      </w:r>
      <w:r w:rsidR="000B599C" w:rsidRPr="00496A4D">
        <w:rPr>
          <w:color w:val="000000" w:themeColor="text1"/>
          <w:lang w:eastAsia="ko-KR"/>
        </w:rPr>
      </w:r>
      <w:r w:rsidR="000B599C" w:rsidRPr="00496A4D">
        <w:rPr>
          <w:color w:val="000000" w:themeColor="text1"/>
          <w:lang w:eastAsia="ko-KR"/>
        </w:rPr>
        <w:fldChar w:fldCharType="separate"/>
      </w:r>
      <w:r w:rsidR="00507A67">
        <w:rPr>
          <w:color w:val="000000" w:themeColor="text1"/>
          <w:lang w:eastAsia="ko-KR"/>
        </w:rPr>
        <w:t>Annex A</w:t>
      </w:r>
      <w:r w:rsidR="000B599C" w:rsidRPr="00496A4D">
        <w:rPr>
          <w:color w:val="000000" w:themeColor="text1"/>
          <w:lang w:eastAsia="ko-KR"/>
        </w:rPr>
        <w:fldChar w:fldCharType="end"/>
      </w:r>
      <w:r w:rsidR="000B599C" w:rsidRPr="00A52AB8">
        <w:rPr>
          <w:color w:val="000000" w:themeColor="text1"/>
          <w:lang w:eastAsia="ko-KR"/>
        </w:rPr>
        <w:t xml:space="preserve"> or the value of </w:t>
      </w:r>
      <w:r w:rsidR="00042309" w:rsidRPr="00A52AB8">
        <w:rPr>
          <w:color w:val="000000" w:themeColor="text1"/>
        </w:rPr>
        <w:t>ai_attribute_codec_id[ </w:t>
      </w:r>
      <w:r w:rsidR="001147DB" w:rsidRPr="00A52AB8">
        <w:rPr>
          <w:color w:val="000000" w:themeColor="text1"/>
        </w:rPr>
        <w:t>DecAtlasID</w:t>
      </w:r>
      <w:r w:rsidR="006E15C0" w:rsidRPr="00A52AB8">
        <w:rPr>
          <w:color w:val="000000" w:themeColor="text1"/>
        </w:rPr>
        <w:t> </w:t>
      </w:r>
      <w:r w:rsidR="00042309" w:rsidRPr="00A52AB8">
        <w:rPr>
          <w:color w:val="000000" w:themeColor="text1"/>
        </w:rPr>
        <w:t>]</w:t>
      </w:r>
      <w:r w:rsidR="00FA72FD" w:rsidRPr="00A52AB8">
        <w:rPr>
          <w:color w:val="000000" w:themeColor="text1"/>
        </w:rPr>
        <w:t>[ attrIdx ]</w:t>
      </w:r>
      <w:r w:rsidR="00042309" w:rsidRPr="00A52AB8">
        <w:rPr>
          <w:color w:val="000000" w:themeColor="text1"/>
        </w:rPr>
        <w:t xml:space="preserve"> </w:t>
      </w:r>
      <w:r w:rsidR="000B599C" w:rsidRPr="00A52AB8">
        <w:rPr>
          <w:color w:val="000000" w:themeColor="text1"/>
        </w:rPr>
        <w:t>or ai_attribute_auxiliary_codec_id[ DecAtlasID ][ attrIdx ]</w:t>
      </w:r>
      <w:r w:rsidR="00DC662C" w:rsidRPr="00A52AB8">
        <w:rPr>
          <w:color w:val="000000" w:themeColor="text1"/>
        </w:rPr>
        <w:t>,</w:t>
      </w:r>
      <w:r w:rsidR="000B599C" w:rsidRPr="00A52AB8">
        <w:rPr>
          <w:color w:val="000000" w:themeColor="text1"/>
        </w:rPr>
        <w:t xml:space="preserve"> </w:t>
      </w:r>
      <w:r w:rsidR="00042309" w:rsidRPr="00A52AB8">
        <w:rPr>
          <w:color w:val="000000" w:themeColor="text1"/>
        </w:rPr>
        <w:t>if vuh_auxiliary_video_flag is equal to 0</w:t>
      </w:r>
      <w:r w:rsidR="00DC662C" w:rsidRPr="00A52AB8">
        <w:rPr>
          <w:color w:val="000000" w:themeColor="text1"/>
        </w:rPr>
        <w:t xml:space="preserve"> or 1</w:t>
      </w:r>
      <w:r w:rsidR="00042309" w:rsidRPr="00A52AB8">
        <w:rPr>
          <w:color w:val="000000" w:themeColor="text1"/>
        </w:rPr>
        <w:t>,</w:t>
      </w:r>
      <w:r w:rsidR="00DC662C" w:rsidRPr="00A52AB8">
        <w:rPr>
          <w:color w:val="000000" w:themeColor="text1"/>
        </w:rPr>
        <w:t xml:space="preserve"> respectively</w:t>
      </w:r>
      <w:r w:rsidR="00042309" w:rsidRPr="00A52AB8">
        <w:rPr>
          <w:color w:val="000000" w:themeColor="text1"/>
        </w:rPr>
        <w:t xml:space="preserve"> and the </w:t>
      </w:r>
      <w:r w:rsidR="001A102D" w:rsidRPr="00A52AB8">
        <w:rPr>
          <w:color w:val="000000" w:themeColor="text1"/>
        </w:rPr>
        <w:t xml:space="preserve">component </w:t>
      </w:r>
      <w:r w:rsidR="00042309" w:rsidRPr="00A52AB8">
        <w:rPr>
          <w:color w:val="000000" w:themeColor="text1"/>
        </w:rPr>
        <w:t>codec mapping SEI</w:t>
      </w:r>
      <w:r w:rsidR="001A102D" w:rsidRPr="00A52AB8">
        <w:rPr>
          <w:color w:val="000000" w:themeColor="text1"/>
        </w:rPr>
        <w:t xml:space="preserve"> specified in subclause </w:t>
      </w:r>
      <w:r w:rsidR="001A102D" w:rsidRPr="00496A4D">
        <w:rPr>
          <w:color w:val="000000" w:themeColor="text1"/>
        </w:rPr>
        <w:fldChar w:fldCharType="begin"/>
      </w:r>
      <w:r w:rsidR="001A102D" w:rsidRPr="00A52AB8">
        <w:rPr>
          <w:color w:val="000000" w:themeColor="text1"/>
        </w:rPr>
        <w:instrText xml:space="preserve"> REF _Ref21444040 \w \h </w:instrText>
      </w:r>
      <w:r w:rsidR="007812ED" w:rsidRPr="00A52AB8">
        <w:rPr>
          <w:color w:val="000000" w:themeColor="text1"/>
        </w:rPr>
        <w:instrText xml:space="preserve"> \* MERGEFORMAT </w:instrText>
      </w:r>
      <w:r w:rsidR="001A102D" w:rsidRPr="00496A4D">
        <w:rPr>
          <w:color w:val="000000" w:themeColor="text1"/>
        </w:rPr>
      </w:r>
      <w:r w:rsidR="001A102D" w:rsidRPr="00496A4D">
        <w:rPr>
          <w:color w:val="000000" w:themeColor="text1"/>
        </w:rPr>
        <w:fldChar w:fldCharType="separate"/>
      </w:r>
      <w:r w:rsidR="00507A67">
        <w:rPr>
          <w:color w:val="000000" w:themeColor="text1"/>
        </w:rPr>
        <w:t>F.2.11</w:t>
      </w:r>
      <w:r w:rsidR="001A102D" w:rsidRPr="00496A4D">
        <w:rPr>
          <w:color w:val="000000" w:themeColor="text1"/>
        </w:rPr>
        <w:fldChar w:fldCharType="end"/>
      </w:r>
      <w:r w:rsidR="00042309" w:rsidRPr="00A52AB8">
        <w:rPr>
          <w:color w:val="000000" w:themeColor="text1"/>
        </w:rPr>
        <w:t>, if present.</w:t>
      </w:r>
      <w:r w:rsidR="00FA72FD" w:rsidRPr="00A52AB8">
        <w:rPr>
          <w:color w:val="000000" w:themeColor="text1"/>
        </w:rPr>
        <w:t xml:space="preserve"> Then, the attribute video decoding process, acco</w:t>
      </w:r>
      <w:r w:rsidR="001A102D" w:rsidRPr="00A52AB8">
        <w:rPr>
          <w:color w:val="000000" w:themeColor="text1"/>
        </w:rPr>
        <w:t>rding to the corresponding coding</w:t>
      </w:r>
      <w:r w:rsidR="00FA72FD" w:rsidRPr="00A52AB8">
        <w:rPr>
          <w:color w:val="000000" w:themeColor="text1"/>
        </w:rPr>
        <w:t xml:space="preserve"> specification, is invoked using the attribute video sub-bitstreams present in the V3C bitstream as the input.</w:t>
      </w:r>
    </w:p>
    <w:p w14:paraId="41FB5DCE" w14:textId="45A2FC7A" w:rsidR="00021D32" w:rsidRPr="00A52AB8" w:rsidRDefault="007A6702" w:rsidP="00400300">
      <w:pPr>
        <w:rPr>
          <w:color w:val="000000" w:themeColor="text1"/>
        </w:rPr>
      </w:pPr>
      <w:r w:rsidRPr="00A52AB8">
        <w:rPr>
          <w:color w:val="000000" w:themeColor="text1"/>
        </w:rPr>
        <w:t>I</w:t>
      </w:r>
      <w:r w:rsidR="00021D32" w:rsidRPr="00A52AB8">
        <w:rPr>
          <w:color w:val="000000" w:themeColor="text1"/>
        </w:rPr>
        <w:t xml:space="preserve">f the attribute video sub-bitstream is not an auxiliary attribute video, either identified by vuh_auxiliary_video_flag equal to 0 or </w:t>
      </w:r>
      <w:r w:rsidR="00021D32" w:rsidRPr="00A52AB8">
        <w:t>determined through external means if the V3C unit header is unavailable</w:t>
      </w:r>
      <w:r w:rsidR="00DC662C" w:rsidRPr="00A52AB8">
        <w:t>, the outputs of this process are:</w:t>
      </w:r>
    </w:p>
    <w:p w14:paraId="2A9436E6" w14:textId="3F906548" w:rsidR="00552BD5" w:rsidRPr="00A52AB8" w:rsidRDefault="00DC662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the 1D array DecAttrType, indicating </w:t>
      </w:r>
      <w:r w:rsidR="00552BD5" w:rsidRPr="00A52AB8">
        <w:rPr>
          <w:color w:val="000000" w:themeColor="text1"/>
        </w:rPr>
        <w:t xml:space="preserve">the attribute type, </w:t>
      </w:r>
      <w:r w:rsidR="004A0CDC" w:rsidRPr="00A52AB8">
        <w:rPr>
          <w:color w:val="000000" w:themeColor="text1"/>
        </w:rPr>
        <w:t xml:space="preserve">where the dimension </w:t>
      </w:r>
      <w:r w:rsidR="00D802FB" w:rsidRPr="00A52AB8">
        <w:rPr>
          <w:color w:val="000000" w:themeColor="text1"/>
        </w:rPr>
        <w:t>corresponds to</w:t>
      </w:r>
      <w:r w:rsidR="004A0CDC" w:rsidRPr="00A52AB8">
        <w:rPr>
          <w:color w:val="000000" w:themeColor="text1"/>
        </w:rPr>
        <w:t xml:space="preserve"> the attribute</w:t>
      </w:r>
      <w:r w:rsidR="00D802FB" w:rsidRPr="00A52AB8">
        <w:rPr>
          <w:color w:val="000000" w:themeColor="text1"/>
        </w:rPr>
        <w:t xml:space="preserve"> index</w:t>
      </w:r>
      <w:r w:rsidR="00552BD5" w:rsidRPr="00A52AB8">
        <w:rPr>
          <w:color w:val="000000" w:themeColor="text1"/>
        </w:rPr>
        <w:t>,</w:t>
      </w:r>
    </w:p>
    <w:p w14:paraId="33CD2FBE" w14:textId="2350CFF4" w:rsidR="00C36F01" w:rsidRPr="00A52AB8" w:rsidRDefault="00DC662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the 3D array NumDecAttrFrames, indicating </w:t>
      </w:r>
      <w:r w:rsidR="00C36F01" w:rsidRPr="00A52AB8">
        <w:rPr>
          <w:color w:val="000000" w:themeColor="text1"/>
        </w:rPr>
        <w:t xml:space="preserve">the number of decoded attribute video frames, </w:t>
      </w:r>
      <w:r w:rsidR="004A0CDC" w:rsidRPr="00A52AB8">
        <w:rPr>
          <w:color w:val="000000" w:themeColor="text1"/>
        </w:rPr>
        <w:t>where the dimension</w:t>
      </w:r>
      <w:r w:rsidR="002E5876" w:rsidRPr="00A52AB8">
        <w:rPr>
          <w:color w:val="000000" w:themeColor="text1"/>
        </w:rPr>
        <w:t>s</w:t>
      </w:r>
      <w:r w:rsidR="004A0CDC" w:rsidRPr="00A52AB8">
        <w:rPr>
          <w:color w:val="000000" w:themeColor="text1"/>
        </w:rPr>
        <w:t xml:space="preserve"> </w:t>
      </w:r>
      <w:r w:rsidR="00D802FB" w:rsidRPr="00A52AB8">
        <w:rPr>
          <w:color w:val="000000" w:themeColor="text1"/>
        </w:rPr>
        <w:t>correspond to the attribute index</w:t>
      </w:r>
      <w:r w:rsidR="004A0CDC" w:rsidRPr="00A52AB8">
        <w:rPr>
          <w:color w:val="000000" w:themeColor="text1"/>
        </w:rPr>
        <w:t>,</w:t>
      </w:r>
      <w:r w:rsidR="002A660E" w:rsidRPr="00A52AB8">
        <w:rPr>
          <w:color w:val="000000" w:themeColor="text1"/>
        </w:rPr>
        <w:t xml:space="preserve"> the attribute partition index, and </w:t>
      </w:r>
      <w:r w:rsidR="00D64B56" w:rsidRPr="00A52AB8">
        <w:rPr>
          <w:color w:val="000000" w:themeColor="text1"/>
        </w:rPr>
        <w:t>vuh_map_index</w:t>
      </w:r>
      <w:r w:rsidR="00DC065B" w:rsidRPr="00A52AB8">
        <w:rPr>
          <w:color w:val="000000" w:themeColor="text1"/>
        </w:rPr>
        <w:t>,</w:t>
      </w:r>
    </w:p>
    <w:p w14:paraId="130ADC11" w14:textId="6E4685CD" w:rsidR="00400300" w:rsidRPr="00A52AB8" w:rsidRDefault="00DC662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the 7D array DecAttrFrames, </w:t>
      </w:r>
      <w:r w:rsidR="00795BFA" w:rsidRPr="00A52AB8">
        <w:rPr>
          <w:color w:val="000000" w:themeColor="text1"/>
        </w:rPr>
        <w:t xml:space="preserve">the decoded attribute video frames, </w:t>
      </w:r>
      <w:r w:rsidR="00C36F01" w:rsidRPr="00A52AB8">
        <w:rPr>
          <w:color w:val="000000" w:themeColor="text1"/>
        </w:rPr>
        <w:t xml:space="preserve">where the dimensions </w:t>
      </w:r>
      <w:r w:rsidR="00D802FB" w:rsidRPr="00A52AB8">
        <w:rPr>
          <w:color w:val="000000" w:themeColor="text1"/>
        </w:rPr>
        <w:t>correspond to</w:t>
      </w:r>
      <w:r w:rsidR="00C36F01" w:rsidRPr="00A52AB8">
        <w:rPr>
          <w:color w:val="000000" w:themeColor="text1"/>
        </w:rPr>
        <w:t xml:space="preserve"> the attribute</w:t>
      </w:r>
      <w:r w:rsidR="00D802FB" w:rsidRPr="00A52AB8">
        <w:rPr>
          <w:color w:val="000000" w:themeColor="text1"/>
        </w:rPr>
        <w:t xml:space="preserve"> index</w:t>
      </w:r>
      <w:r w:rsidR="00C36F01" w:rsidRPr="00A52AB8">
        <w:rPr>
          <w:color w:val="000000" w:themeColor="text1"/>
        </w:rPr>
        <w:t xml:space="preserve">, </w:t>
      </w:r>
      <w:r w:rsidR="0000195F" w:rsidRPr="00A52AB8">
        <w:rPr>
          <w:color w:val="000000" w:themeColor="text1"/>
        </w:rPr>
        <w:t xml:space="preserve">the attribute partition index, </w:t>
      </w:r>
      <w:r w:rsidR="00D64B56" w:rsidRPr="00A52AB8">
        <w:rPr>
          <w:color w:val="000000" w:themeColor="text1"/>
        </w:rPr>
        <w:t>vuh_map_index</w:t>
      </w:r>
      <w:r w:rsidR="00D802FB" w:rsidRPr="00A52AB8">
        <w:rPr>
          <w:color w:val="000000" w:themeColor="text1"/>
        </w:rPr>
        <w:t>, the decoded attribute video frame index, the component index, the row index, and the column index, respectively</w:t>
      </w:r>
      <w:r w:rsidR="00552BD5" w:rsidRPr="00A52AB8">
        <w:rPr>
          <w:color w:val="000000" w:themeColor="text1"/>
        </w:rPr>
        <w:t xml:space="preserve">, </w:t>
      </w:r>
      <w:r w:rsidR="00795BFA" w:rsidRPr="00A52AB8">
        <w:rPr>
          <w:color w:val="000000" w:themeColor="text1"/>
        </w:rPr>
        <w:t>and</w:t>
      </w:r>
    </w:p>
    <w:p w14:paraId="22A928BB" w14:textId="7D39CECB" w:rsidR="00400300" w:rsidRPr="00A52AB8" w:rsidRDefault="00C36F01"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the following </w:t>
      </w:r>
      <w:r w:rsidR="004A0CDC" w:rsidRPr="00A52AB8">
        <w:rPr>
          <w:color w:val="000000" w:themeColor="text1"/>
        </w:rPr>
        <w:t>4D arrays</w:t>
      </w:r>
      <w:r w:rsidR="00400300" w:rsidRPr="00A52AB8">
        <w:rPr>
          <w:color w:val="000000" w:themeColor="text1"/>
        </w:rPr>
        <w:t>:</w:t>
      </w:r>
    </w:p>
    <w:p w14:paraId="10A4A5A5" w14:textId="77777777" w:rsidR="0050235C" w:rsidRPr="00A52AB8" w:rsidRDefault="00CA435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 xml:space="preserve">DecAttrBitDepth, </w:t>
      </w:r>
      <w:r w:rsidR="007878FF" w:rsidRPr="00A52AB8">
        <w:rPr>
          <w:color w:val="000000" w:themeColor="text1"/>
        </w:rPr>
        <w:t xml:space="preserve">indicating </w:t>
      </w:r>
      <w:r w:rsidR="00E51E06" w:rsidRPr="00A52AB8">
        <w:rPr>
          <w:color w:val="000000" w:themeColor="text1"/>
        </w:rPr>
        <w:t xml:space="preserve">the </w:t>
      </w:r>
      <w:r w:rsidR="00C37228" w:rsidRPr="00A52AB8">
        <w:rPr>
          <w:color w:val="000000" w:themeColor="text1"/>
        </w:rPr>
        <w:t xml:space="preserve">attribute </w:t>
      </w:r>
      <w:r w:rsidR="00400300" w:rsidRPr="00A52AB8">
        <w:rPr>
          <w:color w:val="000000" w:themeColor="text1"/>
        </w:rPr>
        <w:t>bit depth,</w:t>
      </w:r>
    </w:p>
    <w:p w14:paraId="40EB75AE" w14:textId="77777777" w:rsidR="0050235C" w:rsidRPr="00A52AB8" w:rsidRDefault="00C3722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 xml:space="preserve">DecAttrHeight, </w:t>
      </w:r>
      <w:r w:rsidR="007878FF" w:rsidRPr="00A52AB8">
        <w:rPr>
          <w:color w:val="000000" w:themeColor="text1"/>
        </w:rPr>
        <w:t xml:space="preserve">indicating </w:t>
      </w:r>
      <w:r w:rsidRPr="00A52AB8">
        <w:rPr>
          <w:color w:val="000000" w:themeColor="text1"/>
        </w:rPr>
        <w:t>the attribute height,</w:t>
      </w:r>
    </w:p>
    <w:p w14:paraId="586CFCB9" w14:textId="77777777" w:rsidR="0050235C" w:rsidRPr="00A52AB8" w:rsidRDefault="00C3722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 xml:space="preserve">DecAttrWidth, </w:t>
      </w:r>
      <w:r w:rsidR="007878FF" w:rsidRPr="00A52AB8">
        <w:rPr>
          <w:color w:val="000000" w:themeColor="text1"/>
        </w:rPr>
        <w:t xml:space="preserve">indicating </w:t>
      </w:r>
      <w:r w:rsidR="00E51E06" w:rsidRPr="00A52AB8">
        <w:rPr>
          <w:color w:val="000000" w:themeColor="text1"/>
        </w:rPr>
        <w:t xml:space="preserve">the </w:t>
      </w:r>
      <w:r w:rsidRPr="00A52AB8">
        <w:rPr>
          <w:color w:val="000000" w:themeColor="text1"/>
        </w:rPr>
        <w:t xml:space="preserve">attribute </w:t>
      </w:r>
      <w:r w:rsidR="00400300" w:rsidRPr="00A52AB8">
        <w:rPr>
          <w:color w:val="000000" w:themeColor="text1"/>
        </w:rPr>
        <w:t>width,</w:t>
      </w:r>
    </w:p>
    <w:p w14:paraId="7B9A55F3" w14:textId="240E6CB4" w:rsidR="00400300" w:rsidRPr="00A52AB8" w:rsidRDefault="002D226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 xml:space="preserve">DecAttrNumComp, </w:t>
      </w:r>
      <w:r w:rsidR="007878FF" w:rsidRPr="00A52AB8">
        <w:rPr>
          <w:color w:val="000000" w:themeColor="text1"/>
        </w:rPr>
        <w:t xml:space="preserve">indicating </w:t>
      </w:r>
      <w:r w:rsidRPr="00A52AB8">
        <w:rPr>
          <w:color w:val="000000" w:themeColor="text1"/>
        </w:rPr>
        <w:t xml:space="preserve">the </w:t>
      </w:r>
      <w:r w:rsidR="00C924B8" w:rsidRPr="00A52AB8">
        <w:rPr>
          <w:color w:val="000000" w:themeColor="text1"/>
        </w:rPr>
        <w:t>attribute number of components,</w:t>
      </w:r>
    </w:p>
    <w:p w14:paraId="6AE053B8" w14:textId="12348A46" w:rsidR="00552BD5" w:rsidRPr="00A52AB8" w:rsidRDefault="00C3722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 xml:space="preserve">DecAttrChromaFormat, </w:t>
      </w:r>
      <w:r w:rsidR="007878FF" w:rsidRPr="00A52AB8">
        <w:rPr>
          <w:color w:val="000000" w:themeColor="text1"/>
        </w:rPr>
        <w:t xml:space="preserve">indicating </w:t>
      </w:r>
      <w:r w:rsidR="00E51E06" w:rsidRPr="00A52AB8">
        <w:rPr>
          <w:color w:val="000000" w:themeColor="text1"/>
        </w:rPr>
        <w:t xml:space="preserve">the </w:t>
      </w:r>
      <w:r w:rsidRPr="00A52AB8">
        <w:rPr>
          <w:color w:val="000000" w:themeColor="text1"/>
        </w:rPr>
        <w:t xml:space="preserve">attribute </w:t>
      </w:r>
      <w:r w:rsidR="00552BD5" w:rsidRPr="00A52AB8">
        <w:rPr>
          <w:color w:val="000000" w:themeColor="text1"/>
        </w:rPr>
        <w:t>chroma format,</w:t>
      </w:r>
    </w:p>
    <w:p w14:paraId="7486FF1C" w14:textId="17A34F83" w:rsidR="00A72963" w:rsidRPr="00A52AB8" w:rsidRDefault="00A7296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DecAttr</w:t>
      </w:r>
      <w:r w:rsidR="007F0365" w:rsidRPr="00A52AB8">
        <w:rPr>
          <w:color w:val="000000" w:themeColor="text1"/>
        </w:rPr>
        <w:t>ChromaSampling</w:t>
      </w:r>
      <w:r w:rsidR="00780E18" w:rsidRPr="00A52AB8">
        <w:rPr>
          <w:color w:val="000000" w:themeColor="text1"/>
        </w:rPr>
        <w:t>Position</w:t>
      </w:r>
      <w:r w:rsidR="007F0365" w:rsidRPr="00A52AB8">
        <w:rPr>
          <w:color w:val="000000" w:themeColor="text1"/>
        </w:rPr>
        <w:t xml:space="preserve">, </w:t>
      </w:r>
      <w:r w:rsidR="007878FF" w:rsidRPr="00A52AB8">
        <w:rPr>
          <w:color w:val="000000" w:themeColor="text1"/>
        </w:rPr>
        <w:t>indicating</w:t>
      </w:r>
      <w:r w:rsidR="000667CF" w:rsidRPr="00A52AB8">
        <w:rPr>
          <w:color w:val="000000" w:themeColor="text1"/>
        </w:rPr>
        <w:t>, if present,</w:t>
      </w:r>
      <w:r w:rsidR="007878FF" w:rsidRPr="00A52AB8">
        <w:rPr>
          <w:color w:val="000000" w:themeColor="text1"/>
        </w:rPr>
        <w:t xml:space="preserve"> </w:t>
      </w:r>
      <w:r w:rsidR="00D16DCF" w:rsidRPr="00A52AB8">
        <w:rPr>
          <w:color w:val="000000" w:themeColor="text1"/>
        </w:rPr>
        <w:t>the attribute chroma sampling</w:t>
      </w:r>
      <w:r w:rsidR="000407F1" w:rsidRPr="00A52AB8">
        <w:rPr>
          <w:color w:val="000000" w:themeColor="text1"/>
        </w:rPr>
        <w:t xml:space="preserve"> as specified in ISO/IEC 23091-2,</w:t>
      </w:r>
    </w:p>
    <w:p w14:paraId="4CA1A68B" w14:textId="2198AD28" w:rsidR="007F0365" w:rsidRPr="00A52AB8" w:rsidRDefault="007F036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 xml:space="preserve">DecAttrFullRange, </w:t>
      </w:r>
      <w:r w:rsidR="007878FF" w:rsidRPr="00A52AB8">
        <w:rPr>
          <w:color w:val="000000" w:themeColor="text1"/>
        </w:rPr>
        <w:t>indicating</w:t>
      </w:r>
      <w:r w:rsidR="000667CF" w:rsidRPr="00A52AB8">
        <w:rPr>
          <w:color w:val="000000" w:themeColor="text1"/>
        </w:rPr>
        <w:t>, if present,</w:t>
      </w:r>
      <w:r w:rsidR="006C3781" w:rsidRPr="00A52AB8">
        <w:rPr>
          <w:color w:val="000000" w:themeColor="text1"/>
        </w:rPr>
        <w:t xml:space="preserve"> </w:t>
      </w:r>
      <w:r w:rsidR="00217242" w:rsidRPr="00A52AB8">
        <w:rPr>
          <w:color w:val="000000" w:themeColor="text1"/>
        </w:rPr>
        <w:t xml:space="preserve">the video full range </w:t>
      </w:r>
      <w:r w:rsidR="00B25E75" w:rsidRPr="00A52AB8">
        <w:rPr>
          <w:color w:val="000000" w:themeColor="text1"/>
        </w:rPr>
        <w:t>code point</w:t>
      </w:r>
      <w:r w:rsidR="000407F1" w:rsidRPr="00A52AB8">
        <w:rPr>
          <w:color w:val="000000" w:themeColor="text1"/>
        </w:rPr>
        <w:t xml:space="preserve"> as specified in ISO/IEC 23091-2,</w:t>
      </w:r>
    </w:p>
    <w:p w14:paraId="644F42CC" w14:textId="3752E190" w:rsidR="006C1AF2" w:rsidRPr="00A52AB8" w:rsidRDefault="006C1A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DecAttrCol</w:t>
      </w:r>
      <w:r w:rsidR="004928A1" w:rsidRPr="00A52AB8">
        <w:rPr>
          <w:color w:val="000000" w:themeColor="text1"/>
        </w:rPr>
        <w:t>ou</w:t>
      </w:r>
      <w:r w:rsidRPr="00A52AB8">
        <w:rPr>
          <w:color w:val="000000" w:themeColor="text1"/>
        </w:rPr>
        <w:t>rPrimaries,</w:t>
      </w:r>
      <w:r w:rsidR="003F1365" w:rsidRPr="00A52AB8">
        <w:rPr>
          <w:color w:val="000000" w:themeColor="text1"/>
        </w:rPr>
        <w:t xml:space="preserve"> </w:t>
      </w:r>
      <w:r w:rsidR="007878FF" w:rsidRPr="00A52AB8">
        <w:rPr>
          <w:color w:val="000000" w:themeColor="text1"/>
        </w:rPr>
        <w:t>indicating</w:t>
      </w:r>
      <w:r w:rsidR="000667CF" w:rsidRPr="00A52AB8">
        <w:rPr>
          <w:color w:val="000000" w:themeColor="text1"/>
        </w:rPr>
        <w:t>, if present,</w:t>
      </w:r>
      <w:r w:rsidR="001C023A" w:rsidRPr="00A52AB8">
        <w:rPr>
          <w:color w:val="000000" w:themeColor="text1"/>
        </w:rPr>
        <w:t xml:space="preserve"> </w:t>
      </w:r>
      <w:r w:rsidR="004928A1" w:rsidRPr="00A52AB8">
        <w:rPr>
          <w:color w:val="000000" w:themeColor="text1"/>
        </w:rPr>
        <w:t>the chromaticity</w:t>
      </w:r>
      <w:r w:rsidR="001C023A" w:rsidRPr="00A52AB8">
        <w:rPr>
          <w:color w:val="000000" w:themeColor="text1"/>
        </w:rPr>
        <w:t xml:space="preserve"> coordinates of the source primaries</w:t>
      </w:r>
      <w:r w:rsidR="000407F1" w:rsidRPr="00A52AB8">
        <w:rPr>
          <w:color w:val="000000" w:themeColor="text1"/>
        </w:rPr>
        <w:t xml:space="preserve"> as specified in ISO/IEC</w:t>
      </w:r>
      <w:r w:rsidR="00EB4B7A" w:rsidRPr="00A52AB8">
        <w:rPr>
          <w:color w:val="000000" w:themeColor="text1"/>
        </w:rPr>
        <w:t xml:space="preserve"> </w:t>
      </w:r>
      <w:r w:rsidR="000407F1" w:rsidRPr="00A52AB8">
        <w:rPr>
          <w:color w:val="000000" w:themeColor="text1"/>
        </w:rPr>
        <w:t>23091-2,</w:t>
      </w:r>
    </w:p>
    <w:p w14:paraId="7D374BE9" w14:textId="0C0523F0" w:rsidR="006C1AF2" w:rsidRPr="00A52AB8" w:rsidRDefault="006C1A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 xml:space="preserve">DecAttrTransferCharacteristics, </w:t>
      </w:r>
      <w:r w:rsidR="007878FF" w:rsidRPr="00A52AB8">
        <w:rPr>
          <w:color w:val="000000" w:themeColor="text1"/>
        </w:rPr>
        <w:t>indicating</w:t>
      </w:r>
      <w:r w:rsidR="003A7687" w:rsidRPr="00A52AB8">
        <w:rPr>
          <w:color w:val="000000" w:themeColor="text1"/>
        </w:rPr>
        <w:t>, if present,</w:t>
      </w:r>
      <w:r w:rsidR="000407F1" w:rsidRPr="00A52AB8">
        <w:rPr>
          <w:color w:val="000000" w:themeColor="text1"/>
        </w:rPr>
        <w:t xml:space="preserve"> the</w:t>
      </w:r>
      <w:r w:rsidR="009548FB" w:rsidRPr="00A52AB8">
        <w:rPr>
          <w:color w:val="000000" w:themeColor="text1"/>
        </w:rPr>
        <w:t xml:space="preserve"> </w:t>
      </w:r>
      <w:r w:rsidR="000407F1" w:rsidRPr="00A52AB8">
        <w:rPr>
          <w:color w:val="000000" w:themeColor="text1"/>
        </w:rPr>
        <w:t>transfer characteristics as specified in ISO/IEC 23091-2,</w:t>
      </w:r>
    </w:p>
    <w:p w14:paraId="30987F29" w14:textId="4191727F" w:rsidR="006C1AF2" w:rsidRPr="00A52AB8" w:rsidRDefault="006C1A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 xml:space="preserve">DecAttrMatrixCoeffs, </w:t>
      </w:r>
      <w:r w:rsidR="007878FF" w:rsidRPr="00A52AB8">
        <w:rPr>
          <w:color w:val="000000" w:themeColor="text1"/>
        </w:rPr>
        <w:t>indicating</w:t>
      </w:r>
      <w:r w:rsidR="00472CBC" w:rsidRPr="00A52AB8">
        <w:rPr>
          <w:color w:val="000000" w:themeColor="text1"/>
        </w:rPr>
        <w:t>, if present,</w:t>
      </w:r>
      <w:r w:rsidR="000407F1" w:rsidRPr="00A52AB8">
        <w:rPr>
          <w:color w:val="000000" w:themeColor="text1"/>
        </w:rPr>
        <w:t xml:space="preserve"> the matrix coefficients as specified in ISO/IEC 23091-2,</w:t>
      </w:r>
    </w:p>
    <w:p w14:paraId="3AF8B135" w14:textId="3734225A" w:rsidR="00400300" w:rsidRPr="00A52AB8" w:rsidRDefault="00CA435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 xml:space="preserve">DecAttrOutOrdIdx, </w:t>
      </w:r>
      <w:r w:rsidR="007878FF" w:rsidRPr="00A52AB8">
        <w:rPr>
          <w:color w:val="000000" w:themeColor="text1"/>
        </w:rPr>
        <w:t xml:space="preserve">indicating </w:t>
      </w:r>
      <w:r w:rsidR="00E51E06" w:rsidRPr="00A52AB8">
        <w:rPr>
          <w:color w:val="000000" w:themeColor="text1"/>
        </w:rPr>
        <w:t xml:space="preserve">the </w:t>
      </w:r>
      <w:r w:rsidR="00C37228" w:rsidRPr="00A52AB8">
        <w:rPr>
          <w:color w:val="000000" w:themeColor="text1"/>
        </w:rPr>
        <w:t xml:space="preserve">attribute </w:t>
      </w:r>
      <w:r w:rsidR="00400300" w:rsidRPr="00A52AB8">
        <w:rPr>
          <w:color w:val="000000" w:themeColor="text1"/>
        </w:rPr>
        <w:t>output order index, and</w:t>
      </w:r>
    </w:p>
    <w:p w14:paraId="65C8E634" w14:textId="77777777" w:rsidR="0050235C" w:rsidRPr="00A52AB8" w:rsidRDefault="00C3722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 xml:space="preserve">DecAttrCompTime, </w:t>
      </w:r>
      <w:r w:rsidR="007878FF" w:rsidRPr="00A52AB8">
        <w:rPr>
          <w:color w:val="000000" w:themeColor="text1"/>
        </w:rPr>
        <w:t xml:space="preserve">indicating </w:t>
      </w:r>
      <w:r w:rsidR="00E51E06" w:rsidRPr="00A52AB8">
        <w:rPr>
          <w:color w:val="000000" w:themeColor="text1"/>
        </w:rPr>
        <w:t xml:space="preserve">the </w:t>
      </w:r>
      <w:r w:rsidRPr="00A52AB8">
        <w:rPr>
          <w:color w:val="000000" w:themeColor="text1"/>
        </w:rPr>
        <w:t xml:space="preserve">attribute </w:t>
      </w:r>
      <w:r w:rsidR="00400300" w:rsidRPr="00A52AB8">
        <w:rPr>
          <w:color w:val="000000" w:themeColor="text1"/>
        </w:rPr>
        <w:t>composition time,</w:t>
      </w:r>
    </w:p>
    <w:p w14:paraId="6AC901EB" w14:textId="2287F239" w:rsidR="00CA4352" w:rsidRPr="00A52AB8" w:rsidRDefault="00CA4352">
      <w:pPr>
        <w:ind w:left="720"/>
        <w:rPr>
          <w:color w:val="000000" w:themeColor="text1"/>
        </w:rPr>
      </w:pPr>
      <w:r w:rsidRPr="00A52AB8">
        <w:t xml:space="preserve">where the dimensions correspond to the attribute index, </w:t>
      </w:r>
      <w:r w:rsidR="00635D73" w:rsidRPr="00A52AB8">
        <w:rPr>
          <w:color w:val="000000" w:themeColor="text1"/>
        </w:rPr>
        <w:t xml:space="preserve">the attribute partition index, </w:t>
      </w:r>
      <w:r w:rsidR="00D64B56" w:rsidRPr="00A52AB8">
        <w:rPr>
          <w:color w:val="000000" w:themeColor="text1"/>
        </w:rPr>
        <w:t>vuh_map_index</w:t>
      </w:r>
      <w:r w:rsidRPr="00A52AB8">
        <w:rPr>
          <w:color w:val="000000" w:themeColor="text1"/>
        </w:rPr>
        <w:t>, and the decoded attribute frame index, respectively.</w:t>
      </w:r>
    </w:p>
    <w:p w14:paraId="7C6D83C3" w14:textId="592C1E89" w:rsidR="00697F35" w:rsidRPr="00A52AB8" w:rsidRDefault="00697F35" w:rsidP="00697F35">
      <w:pPr>
        <w:ind w:left="720"/>
      </w:pPr>
      <w:r w:rsidRPr="00A52AB8">
        <w:t>If the array DecAttrChromaSamplingPosition, is missing, all of its elements shall be set to 0.</w:t>
      </w:r>
    </w:p>
    <w:p w14:paraId="5A2EAEB9" w14:textId="77777777" w:rsidR="0050235C" w:rsidRPr="00A52AB8" w:rsidRDefault="00697F35" w:rsidP="00697F35">
      <w:pPr>
        <w:ind w:left="720"/>
      </w:pPr>
      <w:r w:rsidRPr="00A52AB8">
        <w:t>If the array DecAttrFullRange, is missing, all of its elements shall be set to 1.</w:t>
      </w:r>
    </w:p>
    <w:p w14:paraId="177B0EDC" w14:textId="77777777" w:rsidR="0050235C" w:rsidRPr="00A52AB8" w:rsidRDefault="00697F35" w:rsidP="00697F35">
      <w:pPr>
        <w:ind w:left="720"/>
      </w:pPr>
      <w:r w:rsidRPr="00A52AB8">
        <w:t>If the array DecAttrColourPrimaries, is missing, all of its elements shall be set to 1.</w:t>
      </w:r>
    </w:p>
    <w:p w14:paraId="7E5C6876" w14:textId="77777777" w:rsidR="0050235C" w:rsidRPr="00A52AB8" w:rsidRDefault="00697F35" w:rsidP="00697F35">
      <w:pPr>
        <w:ind w:left="720"/>
      </w:pPr>
      <w:r w:rsidRPr="00A52AB8">
        <w:t>If the array DecAttrTransferCharacteristics, is missing, all of its elements shall be set to 1.</w:t>
      </w:r>
    </w:p>
    <w:p w14:paraId="0C50AA99" w14:textId="77777777" w:rsidR="0050235C" w:rsidRPr="00A52AB8" w:rsidRDefault="00697F35" w:rsidP="00697F35">
      <w:pPr>
        <w:ind w:left="720"/>
      </w:pPr>
      <w:r w:rsidRPr="00A52AB8">
        <w:t>If the array DecAttrMatrixCoeffs, is missing, all of its elements shall be set to 1.</w:t>
      </w:r>
    </w:p>
    <w:p w14:paraId="6A09BFBE" w14:textId="3A20830F" w:rsidR="00697F35" w:rsidRPr="00A52AB8" w:rsidRDefault="00697F35" w:rsidP="00697F35">
      <w:pPr>
        <w:ind w:left="720"/>
      </w:pPr>
      <w:r w:rsidRPr="00A52AB8">
        <w:t>These values shall be interpreted according to their corresponding coding points in ISO/IEC</w:t>
      </w:r>
      <w:r w:rsidR="00EB4B7A" w:rsidRPr="00A52AB8">
        <w:t> </w:t>
      </w:r>
      <w:r w:rsidRPr="00A52AB8">
        <w:t>23091-2.</w:t>
      </w:r>
    </w:p>
    <w:p w14:paraId="1F5FAFCD" w14:textId="4D022652" w:rsidR="00552BD5" w:rsidRPr="00A52AB8" w:rsidRDefault="00552BD5" w:rsidP="00552BD5">
      <w:pPr>
        <w:rPr>
          <w:color w:val="000000" w:themeColor="text1"/>
        </w:rPr>
      </w:pPr>
      <w:r w:rsidRPr="00A52AB8">
        <w:rPr>
          <w:color w:val="000000" w:themeColor="text1"/>
        </w:rPr>
        <w:t xml:space="preserve">Otherwise, </w:t>
      </w:r>
      <w:r w:rsidR="00021D32" w:rsidRPr="00A52AB8">
        <w:rPr>
          <w:color w:val="000000" w:themeColor="text1"/>
        </w:rPr>
        <w:t xml:space="preserve">if the attribute video sub-bitstream is an auxiliary attribute video, either identified by vuh_auxiliary_video_flag equal to </w:t>
      </w:r>
      <w:r w:rsidR="002B3272" w:rsidRPr="00A52AB8">
        <w:rPr>
          <w:color w:val="000000" w:themeColor="text1"/>
        </w:rPr>
        <w:t>1</w:t>
      </w:r>
      <w:r w:rsidR="00021D32" w:rsidRPr="00A52AB8">
        <w:rPr>
          <w:color w:val="000000" w:themeColor="text1"/>
        </w:rPr>
        <w:t xml:space="preserve"> or </w:t>
      </w:r>
      <w:r w:rsidR="00021D32" w:rsidRPr="00A52AB8">
        <w:t>determined through external means if the V3C unit header is unavailable</w:t>
      </w:r>
      <w:r w:rsidRPr="00A52AB8">
        <w:rPr>
          <w:color w:val="000000" w:themeColor="text1"/>
        </w:rPr>
        <w:t>, the outputs of this process are:</w:t>
      </w:r>
    </w:p>
    <w:p w14:paraId="2A4BEAEE" w14:textId="2E2CC7F1" w:rsidR="00D802FB" w:rsidRPr="00A52AB8" w:rsidRDefault="00DC662C" w:rsidP="00E860C4">
      <w:pPr>
        <w:pStyle w:val="ListParagraph"/>
        <w:numPr>
          <w:ilvl w:val="0"/>
          <w:numId w:val="317"/>
        </w:numPr>
        <w:tabs>
          <w:tab w:val="clear" w:pos="403"/>
        </w:tabs>
        <w:ind w:leftChars="0"/>
        <w:rPr>
          <w:color w:val="000000" w:themeColor="text1"/>
        </w:rPr>
      </w:pPr>
      <w:r w:rsidRPr="00A52AB8">
        <w:rPr>
          <w:color w:val="000000" w:themeColor="text1"/>
        </w:rPr>
        <w:t xml:space="preserve">the 1D array DecAttrAuxType, indicating </w:t>
      </w:r>
      <w:r w:rsidR="00D802FB" w:rsidRPr="00A52AB8">
        <w:rPr>
          <w:color w:val="000000" w:themeColor="text1"/>
        </w:rPr>
        <w:t>the attribute type,</w:t>
      </w:r>
      <w:r w:rsidRPr="00A52AB8" w:rsidDel="00DC662C">
        <w:rPr>
          <w:color w:val="000000" w:themeColor="text1"/>
        </w:rPr>
        <w:t xml:space="preserve"> </w:t>
      </w:r>
      <w:r w:rsidR="00D802FB" w:rsidRPr="00A52AB8">
        <w:rPr>
          <w:color w:val="000000" w:themeColor="text1"/>
        </w:rPr>
        <w:t>where the dimension corresponds to the attribute index,</w:t>
      </w:r>
    </w:p>
    <w:p w14:paraId="43935675" w14:textId="09456BB9" w:rsidR="00AD30C1" w:rsidRPr="00A52AB8" w:rsidRDefault="00DC662C" w:rsidP="00E860C4">
      <w:pPr>
        <w:pStyle w:val="ListParagraph"/>
        <w:numPr>
          <w:ilvl w:val="0"/>
          <w:numId w:val="317"/>
        </w:numPr>
        <w:tabs>
          <w:tab w:val="clear" w:pos="403"/>
        </w:tabs>
        <w:ind w:leftChars="0"/>
        <w:rPr>
          <w:color w:val="000000" w:themeColor="text1"/>
        </w:rPr>
      </w:pPr>
      <w:r w:rsidRPr="00A52AB8">
        <w:rPr>
          <w:color w:val="000000" w:themeColor="text1"/>
        </w:rPr>
        <w:t xml:space="preserve">the 2D array NumDecAttrAuxFrames, indicating </w:t>
      </w:r>
      <w:r w:rsidR="00AD30C1" w:rsidRPr="00A52AB8">
        <w:rPr>
          <w:color w:val="000000" w:themeColor="text1"/>
        </w:rPr>
        <w:t xml:space="preserve">the number of decoded auxiliary attribute video frames, </w:t>
      </w:r>
      <w:r w:rsidR="00D802FB" w:rsidRPr="00A52AB8">
        <w:rPr>
          <w:color w:val="000000" w:themeColor="text1"/>
        </w:rPr>
        <w:t>where the dimension</w:t>
      </w:r>
      <w:r w:rsidR="00226979" w:rsidRPr="00A52AB8">
        <w:rPr>
          <w:color w:val="000000" w:themeColor="text1"/>
        </w:rPr>
        <w:t>s</w:t>
      </w:r>
      <w:r w:rsidR="00D802FB" w:rsidRPr="00A52AB8">
        <w:rPr>
          <w:color w:val="000000" w:themeColor="text1"/>
        </w:rPr>
        <w:t xml:space="preserve"> correspond to the attribute index</w:t>
      </w:r>
      <w:r w:rsidR="00DC065B" w:rsidRPr="00A52AB8">
        <w:rPr>
          <w:color w:val="000000" w:themeColor="text1"/>
        </w:rPr>
        <w:t xml:space="preserve"> and the attribute partition index</w:t>
      </w:r>
      <w:r w:rsidR="00AD30C1" w:rsidRPr="00A52AB8">
        <w:rPr>
          <w:color w:val="000000" w:themeColor="text1"/>
        </w:rPr>
        <w:t>,</w:t>
      </w:r>
    </w:p>
    <w:p w14:paraId="45E9E265" w14:textId="474247A3" w:rsidR="00552BD5" w:rsidRPr="00A52AB8" w:rsidRDefault="005134EF" w:rsidP="00E860C4">
      <w:pPr>
        <w:pStyle w:val="ListParagraph"/>
        <w:numPr>
          <w:ilvl w:val="0"/>
          <w:numId w:val="317"/>
        </w:numPr>
        <w:tabs>
          <w:tab w:val="clear" w:pos="403"/>
        </w:tabs>
        <w:ind w:leftChars="0"/>
        <w:rPr>
          <w:color w:val="000000" w:themeColor="text1"/>
        </w:rPr>
      </w:pPr>
      <w:r w:rsidRPr="00A52AB8">
        <w:rPr>
          <w:color w:val="000000" w:themeColor="text1"/>
        </w:rPr>
        <w:t xml:space="preserve">the 6D array DecAttrAuxFrames, </w:t>
      </w:r>
      <w:r w:rsidR="00552BD5" w:rsidRPr="00A52AB8">
        <w:rPr>
          <w:color w:val="000000" w:themeColor="text1"/>
        </w:rPr>
        <w:t xml:space="preserve">the decoded </w:t>
      </w:r>
      <w:r w:rsidR="00AD30C1" w:rsidRPr="00A52AB8">
        <w:rPr>
          <w:color w:val="000000" w:themeColor="text1"/>
        </w:rPr>
        <w:t xml:space="preserve">auxiliary </w:t>
      </w:r>
      <w:r w:rsidR="00552BD5" w:rsidRPr="00A52AB8">
        <w:rPr>
          <w:color w:val="000000" w:themeColor="text1"/>
        </w:rPr>
        <w:t>attribute video frames,</w:t>
      </w:r>
      <w:r w:rsidR="00AD30C1" w:rsidRPr="00A52AB8">
        <w:rPr>
          <w:color w:val="000000" w:themeColor="text1"/>
        </w:rPr>
        <w:t xml:space="preserve"> where the dimensions </w:t>
      </w:r>
      <w:r w:rsidR="00D802FB" w:rsidRPr="00A52AB8">
        <w:rPr>
          <w:color w:val="000000" w:themeColor="text1"/>
        </w:rPr>
        <w:t>correspond to the attribute index, the attribute partition index, the decoded attribute video frame index, the component index, the row index, and the column index, respectively</w:t>
      </w:r>
      <w:r w:rsidR="00AD30C1" w:rsidRPr="00A52AB8">
        <w:rPr>
          <w:color w:val="000000" w:themeColor="text1"/>
        </w:rPr>
        <w:t xml:space="preserve">, </w:t>
      </w:r>
      <w:r w:rsidR="00552BD5" w:rsidRPr="00A52AB8">
        <w:rPr>
          <w:color w:val="000000" w:themeColor="text1"/>
        </w:rPr>
        <w:t>and</w:t>
      </w:r>
    </w:p>
    <w:p w14:paraId="3F72E78B" w14:textId="39A276B2" w:rsidR="00C37228" w:rsidRPr="00A52AB8" w:rsidRDefault="00C37228" w:rsidP="00E860C4">
      <w:pPr>
        <w:pStyle w:val="ListParagraph"/>
        <w:numPr>
          <w:ilvl w:val="0"/>
          <w:numId w:val="317"/>
        </w:numPr>
        <w:tabs>
          <w:tab w:val="clear" w:pos="403"/>
        </w:tabs>
        <w:ind w:leftChars="0"/>
        <w:rPr>
          <w:color w:val="000000" w:themeColor="text1"/>
        </w:rPr>
      </w:pPr>
      <w:r w:rsidRPr="00A52AB8">
        <w:rPr>
          <w:color w:val="000000" w:themeColor="text1"/>
        </w:rPr>
        <w:t>the following 3D arrays:</w:t>
      </w:r>
    </w:p>
    <w:p w14:paraId="4FA42949" w14:textId="77777777" w:rsidR="0050235C" w:rsidRPr="00A52AB8" w:rsidRDefault="00C37228" w:rsidP="00C37228">
      <w:pPr>
        <w:pStyle w:val="ListParagraph"/>
        <w:numPr>
          <w:ilvl w:val="1"/>
          <w:numId w:val="378"/>
        </w:numPr>
        <w:ind w:leftChars="0"/>
      </w:pPr>
      <w:r w:rsidRPr="00A52AB8">
        <w:t xml:space="preserve">DecAttrAuxBitDepth, </w:t>
      </w:r>
      <w:r w:rsidR="00A5000A" w:rsidRPr="00A52AB8">
        <w:rPr>
          <w:color w:val="000000" w:themeColor="text1"/>
        </w:rPr>
        <w:t>indicating</w:t>
      </w:r>
      <w:r w:rsidR="00A5000A" w:rsidRPr="00A52AB8" w:rsidDel="00A5000A">
        <w:t xml:space="preserve"> </w:t>
      </w:r>
      <w:r w:rsidRPr="00A52AB8">
        <w:t>the auxiliary attribute bit depth,</w:t>
      </w:r>
    </w:p>
    <w:p w14:paraId="4BA21111" w14:textId="77777777" w:rsidR="0050235C" w:rsidRPr="00A52AB8" w:rsidRDefault="00C37228" w:rsidP="00C37228">
      <w:pPr>
        <w:pStyle w:val="ListParagraph"/>
        <w:numPr>
          <w:ilvl w:val="1"/>
          <w:numId w:val="378"/>
        </w:numPr>
        <w:ind w:leftChars="0"/>
      </w:pPr>
      <w:r w:rsidRPr="00A52AB8">
        <w:t xml:space="preserve">DecAttrAuxHeight, </w:t>
      </w:r>
      <w:r w:rsidR="00A5000A" w:rsidRPr="00A52AB8">
        <w:rPr>
          <w:color w:val="000000" w:themeColor="text1"/>
        </w:rPr>
        <w:t>indicating</w:t>
      </w:r>
      <w:r w:rsidR="00A5000A" w:rsidRPr="00A52AB8" w:rsidDel="00A5000A">
        <w:t xml:space="preserve"> </w:t>
      </w:r>
      <w:r w:rsidRPr="00A52AB8">
        <w:t>the auxiliary attribute height,</w:t>
      </w:r>
    </w:p>
    <w:p w14:paraId="733953BB" w14:textId="77777777" w:rsidR="0050235C" w:rsidRPr="00A52AB8" w:rsidRDefault="00C37228" w:rsidP="00C37228">
      <w:pPr>
        <w:pStyle w:val="ListParagraph"/>
        <w:numPr>
          <w:ilvl w:val="1"/>
          <w:numId w:val="378"/>
        </w:numPr>
        <w:ind w:leftChars="0"/>
      </w:pPr>
      <w:r w:rsidRPr="00A52AB8">
        <w:t xml:space="preserve">DecAttrAuxWidth, </w:t>
      </w:r>
      <w:r w:rsidR="00A5000A" w:rsidRPr="00A52AB8">
        <w:rPr>
          <w:color w:val="000000" w:themeColor="text1"/>
        </w:rPr>
        <w:t>indicating</w:t>
      </w:r>
      <w:r w:rsidR="00A5000A" w:rsidRPr="00A52AB8" w:rsidDel="00A5000A">
        <w:t xml:space="preserve"> </w:t>
      </w:r>
      <w:r w:rsidRPr="00A52AB8">
        <w:t>the auxiliary attribute width,</w:t>
      </w:r>
    </w:p>
    <w:p w14:paraId="3B820092" w14:textId="2375A4A0" w:rsidR="00C924B8" w:rsidRPr="00A52AB8" w:rsidRDefault="00C924B8">
      <w:pPr>
        <w:pStyle w:val="ListParagraph"/>
        <w:numPr>
          <w:ilvl w:val="1"/>
          <w:numId w:val="378"/>
        </w:numPr>
        <w:ind w:leftChars="0"/>
      </w:pPr>
      <w:r w:rsidRPr="00A52AB8">
        <w:t xml:space="preserve">DecAttrAuxNumComp, </w:t>
      </w:r>
      <w:r w:rsidR="00A5000A" w:rsidRPr="00A52AB8">
        <w:rPr>
          <w:color w:val="000000" w:themeColor="text1"/>
        </w:rPr>
        <w:t>indicating</w:t>
      </w:r>
      <w:r w:rsidRPr="00A52AB8">
        <w:t xml:space="preserve"> the attribute number of components,</w:t>
      </w:r>
    </w:p>
    <w:p w14:paraId="3653C90C" w14:textId="69320BB6" w:rsidR="00C37228" w:rsidRPr="00A52AB8" w:rsidRDefault="00C37228" w:rsidP="00C37228">
      <w:pPr>
        <w:pStyle w:val="ListParagraph"/>
        <w:numPr>
          <w:ilvl w:val="1"/>
          <w:numId w:val="378"/>
        </w:numPr>
        <w:ind w:leftChars="0"/>
      </w:pPr>
      <w:r w:rsidRPr="00A52AB8">
        <w:t xml:space="preserve">DecAttrAuxChromaFormat, </w:t>
      </w:r>
      <w:r w:rsidR="00A5000A" w:rsidRPr="00A52AB8">
        <w:rPr>
          <w:color w:val="000000" w:themeColor="text1"/>
        </w:rPr>
        <w:t>indicating</w:t>
      </w:r>
      <w:r w:rsidR="00A5000A" w:rsidRPr="00A52AB8" w:rsidDel="00A5000A">
        <w:t xml:space="preserve"> </w:t>
      </w:r>
      <w:r w:rsidRPr="00A52AB8">
        <w:t>the auxiliary attribute chroma format,</w:t>
      </w:r>
    </w:p>
    <w:p w14:paraId="5E1CB420" w14:textId="7BF6FFCC" w:rsidR="00C261D6" w:rsidRPr="00A52AB8" w:rsidRDefault="00C261D6" w:rsidP="00E860C4">
      <w:pPr>
        <w:pStyle w:val="ListParagraph"/>
        <w:numPr>
          <w:ilvl w:val="1"/>
          <w:numId w:val="378"/>
        </w:numPr>
        <w:ind w:leftChars="0"/>
      </w:pPr>
      <w:r w:rsidRPr="00A52AB8">
        <w:t>DecAttrAuxChromaSamplingPosition, indicating, if present, the attribute chroma sampling as specified in ISO/IEC 23091-2,</w:t>
      </w:r>
    </w:p>
    <w:p w14:paraId="0E3727AA" w14:textId="4F0A145A" w:rsidR="00C261D6" w:rsidRPr="00A52AB8" w:rsidRDefault="00C261D6" w:rsidP="00E860C4">
      <w:pPr>
        <w:pStyle w:val="ListParagraph"/>
        <w:numPr>
          <w:ilvl w:val="1"/>
          <w:numId w:val="378"/>
        </w:numPr>
        <w:ind w:leftChars="0"/>
      </w:pPr>
      <w:r w:rsidRPr="00A52AB8">
        <w:t>DecAttrAuxFullRange, indicating, if present, the video full range code point as specified in ISO/IEC 23091-2,</w:t>
      </w:r>
    </w:p>
    <w:p w14:paraId="74F957C8" w14:textId="78ACB606" w:rsidR="00C261D6" w:rsidRPr="00A52AB8" w:rsidRDefault="00C261D6" w:rsidP="00E860C4">
      <w:pPr>
        <w:pStyle w:val="ListParagraph"/>
        <w:numPr>
          <w:ilvl w:val="1"/>
          <w:numId w:val="378"/>
        </w:numPr>
        <w:ind w:leftChars="0"/>
      </w:pPr>
      <w:r w:rsidRPr="00A52AB8">
        <w:t>DecAttrAuxColourPrimaries, indicating, if present, the chromaticity coordinates of the source primaries as specified in ISO/IEC 23091-2,</w:t>
      </w:r>
    </w:p>
    <w:p w14:paraId="1CA9883F" w14:textId="1EC1F37C" w:rsidR="00C261D6" w:rsidRPr="00A52AB8" w:rsidRDefault="00C261D6" w:rsidP="00E860C4">
      <w:pPr>
        <w:pStyle w:val="ListParagraph"/>
        <w:numPr>
          <w:ilvl w:val="1"/>
          <w:numId w:val="378"/>
        </w:numPr>
        <w:ind w:leftChars="0"/>
      </w:pPr>
      <w:r w:rsidRPr="00A52AB8">
        <w:t>DecAttrAuxTransferCharacteristics, indicating, if present, the transfer characteristics as specified in ISO/IEC 23091-2,</w:t>
      </w:r>
    </w:p>
    <w:p w14:paraId="36A7CAD2" w14:textId="135FFA1A" w:rsidR="00C261D6" w:rsidRPr="00A52AB8" w:rsidRDefault="00C261D6">
      <w:pPr>
        <w:pStyle w:val="ListParagraph"/>
        <w:numPr>
          <w:ilvl w:val="1"/>
          <w:numId w:val="378"/>
        </w:numPr>
        <w:ind w:leftChars="0"/>
      </w:pPr>
      <w:r w:rsidRPr="00A52AB8">
        <w:t>DecAttrAuxMatrixCoeffs, indicating, if present, the matrix coefficients as specified in ISO/IEC</w:t>
      </w:r>
      <w:r w:rsidR="00EB4B7A" w:rsidRPr="00A52AB8">
        <w:t> </w:t>
      </w:r>
      <w:r w:rsidRPr="00A52AB8">
        <w:t>23091-2,</w:t>
      </w:r>
    </w:p>
    <w:p w14:paraId="4754958B" w14:textId="2F12D44B" w:rsidR="00C37228" w:rsidRPr="00A52AB8" w:rsidRDefault="00C37228" w:rsidP="00C37228">
      <w:pPr>
        <w:pStyle w:val="ListParagraph"/>
        <w:numPr>
          <w:ilvl w:val="1"/>
          <w:numId w:val="378"/>
        </w:numPr>
        <w:ind w:leftChars="0"/>
      </w:pPr>
      <w:r w:rsidRPr="00A52AB8">
        <w:t xml:space="preserve">DecAttrAuxOutOrdIdx, </w:t>
      </w:r>
      <w:r w:rsidR="00A5000A" w:rsidRPr="00A52AB8">
        <w:rPr>
          <w:color w:val="000000" w:themeColor="text1"/>
        </w:rPr>
        <w:t>indicating</w:t>
      </w:r>
      <w:r w:rsidR="00A5000A" w:rsidRPr="00A52AB8" w:rsidDel="00A5000A">
        <w:t xml:space="preserve"> </w:t>
      </w:r>
      <w:r w:rsidRPr="00A52AB8">
        <w:t>the auxiliary attribute output order index, and</w:t>
      </w:r>
    </w:p>
    <w:p w14:paraId="45ADDA54" w14:textId="77777777" w:rsidR="0050235C" w:rsidRPr="00A52AB8" w:rsidRDefault="00C37228" w:rsidP="00C37228">
      <w:pPr>
        <w:pStyle w:val="ListParagraph"/>
        <w:numPr>
          <w:ilvl w:val="1"/>
          <w:numId w:val="378"/>
        </w:numPr>
        <w:ind w:leftChars="0"/>
      </w:pPr>
      <w:r w:rsidRPr="00A52AB8">
        <w:t xml:space="preserve">DecAttrAuxCompTime, </w:t>
      </w:r>
      <w:r w:rsidR="00A5000A" w:rsidRPr="00A52AB8">
        <w:rPr>
          <w:color w:val="000000" w:themeColor="text1"/>
        </w:rPr>
        <w:t>indicating</w:t>
      </w:r>
      <w:r w:rsidR="00A5000A" w:rsidRPr="00A52AB8" w:rsidDel="00A5000A">
        <w:t xml:space="preserve"> </w:t>
      </w:r>
      <w:r w:rsidRPr="00A52AB8">
        <w:t>the auxiliary attribute composition time,</w:t>
      </w:r>
    </w:p>
    <w:p w14:paraId="16431485" w14:textId="794E2351" w:rsidR="00C37228" w:rsidRPr="00A52AB8" w:rsidRDefault="00C37228" w:rsidP="00C37228">
      <w:pPr>
        <w:ind w:left="720"/>
        <w:rPr>
          <w:color w:val="000000" w:themeColor="text1"/>
        </w:rPr>
      </w:pPr>
      <w:r w:rsidRPr="00A52AB8">
        <w:t xml:space="preserve">where the dimensions correspond to the attribute index, </w:t>
      </w:r>
      <w:r w:rsidRPr="00A52AB8">
        <w:rPr>
          <w:color w:val="000000" w:themeColor="text1"/>
        </w:rPr>
        <w:t>the attribute partition index, and the decoded attribute frame index, respectively.</w:t>
      </w:r>
    </w:p>
    <w:p w14:paraId="66F95DFA" w14:textId="77777777" w:rsidR="00697F35" w:rsidRPr="00A52AB8" w:rsidRDefault="00673572" w:rsidP="00E860C4">
      <w:pPr>
        <w:ind w:left="720"/>
      </w:pPr>
      <w:r w:rsidRPr="00A52AB8">
        <w:t>If the array DecAttrAuxChromaSamplingPosition, is missing</w:t>
      </w:r>
      <w:r w:rsidR="00DC3A69" w:rsidRPr="00A52AB8">
        <w:t>,</w:t>
      </w:r>
      <w:r w:rsidRPr="00A52AB8">
        <w:t xml:space="preserve"> all</w:t>
      </w:r>
      <w:r w:rsidR="00DC3A69" w:rsidRPr="00A52AB8">
        <w:t xml:space="preserve"> </w:t>
      </w:r>
      <w:r w:rsidR="00697F35" w:rsidRPr="00A52AB8">
        <w:t xml:space="preserve">of its </w:t>
      </w:r>
      <w:r w:rsidRPr="00A52AB8">
        <w:t>elements</w:t>
      </w:r>
      <w:r w:rsidR="00DC3A69" w:rsidRPr="00A52AB8">
        <w:t xml:space="preserve"> </w:t>
      </w:r>
      <w:r w:rsidRPr="00A52AB8">
        <w:t>shall be set to 0.</w:t>
      </w:r>
    </w:p>
    <w:p w14:paraId="6FC64A97" w14:textId="77777777" w:rsidR="0050235C" w:rsidRPr="00A52AB8" w:rsidRDefault="00697F35" w:rsidP="00E860C4">
      <w:pPr>
        <w:ind w:left="720"/>
      </w:pPr>
      <w:r w:rsidRPr="00A52AB8">
        <w:t>If the array DecAttrAuxFullRange, is missing, all of its elements shall be set to 1.</w:t>
      </w:r>
    </w:p>
    <w:p w14:paraId="1BA385F2" w14:textId="77777777" w:rsidR="0050235C" w:rsidRPr="00A52AB8" w:rsidRDefault="00697F35" w:rsidP="00E860C4">
      <w:pPr>
        <w:ind w:left="720"/>
      </w:pPr>
      <w:r w:rsidRPr="00A52AB8">
        <w:t>If the array DecAttrAuxColourPrimaries, is missing, all of its elements shall be set to 1.</w:t>
      </w:r>
    </w:p>
    <w:p w14:paraId="676EDE25" w14:textId="77777777" w:rsidR="0050235C" w:rsidRPr="00A52AB8" w:rsidRDefault="00697F35" w:rsidP="00E860C4">
      <w:pPr>
        <w:ind w:left="720"/>
      </w:pPr>
      <w:r w:rsidRPr="00A52AB8">
        <w:t>If the array DecAttrAuxTransferCharacteristics, is missing, all of its elements shall be set to 1.</w:t>
      </w:r>
    </w:p>
    <w:p w14:paraId="6211E8A6" w14:textId="77777777" w:rsidR="0050235C" w:rsidRPr="00A52AB8" w:rsidRDefault="00697F35" w:rsidP="00E860C4">
      <w:pPr>
        <w:ind w:left="720"/>
      </w:pPr>
      <w:r w:rsidRPr="00A52AB8">
        <w:t>If the array DecAttrAuxMatrixCoeffs, is missing, all of its elements shall be set to 1.</w:t>
      </w:r>
    </w:p>
    <w:p w14:paraId="1EF20D11" w14:textId="234D285B" w:rsidR="00673572" w:rsidRPr="00A52AB8" w:rsidRDefault="00673572">
      <w:pPr>
        <w:ind w:left="720"/>
      </w:pPr>
      <w:r w:rsidRPr="00A52AB8">
        <w:t>These values shall be interpreted according to their corresponding coding points in ISO/IEC</w:t>
      </w:r>
      <w:r w:rsidR="00EB4B7A" w:rsidRPr="00A52AB8">
        <w:t> </w:t>
      </w:r>
      <w:r w:rsidRPr="00A52AB8">
        <w:t>23091-2.</w:t>
      </w:r>
    </w:p>
    <w:p w14:paraId="39045B01" w14:textId="0F5CD786" w:rsidR="0000342C" w:rsidRPr="00A52AB8" w:rsidRDefault="0000342C" w:rsidP="004A6049">
      <w:pPr>
        <w:pStyle w:val="Note1"/>
        <w:rPr>
          <w:rFonts w:ascii="Cambria" w:hAnsi="Cambria"/>
        </w:rPr>
      </w:pPr>
      <w:r w:rsidRPr="00A52AB8">
        <w:rPr>
          <w:rFonts w:ascii="Cambria" w:hAnsi="Cambria"/>
        </w:rPr>
        <w:t xml:space="preserve">NOTE – Any existing video coding specification such as ISO/IEC 14496-10 or ISO/IEC 23008-2 or any future defined video coding specification can be used if included in </w:t>
      </w:r>
      <w:r w:rsidR="00A278E7" w:rsidRPr="00A52AB8">
        <w:rPr>
          <w:rFonts w:ascii="Cambria" w:hAnsi="Cambria"/>
          <w:color w:val="000000" w:themeColor="text1"/>
        </w:rPr>
        <w:t>ai_attribute</w:t>
      </w:r>
      <w:r w:rsidRPr="00A52AB8">
        <w:rPr>
          <w:rFonts w:ascii="Cambria" w:hAnsi="Cambria"/>
          <w:color w:val="000000" w:themeColor="text1"/>
        </w:rPr>
        <w:t>_codec_id</w:t>
      </w:r>
      <w:r w:rsidRPr="00A52AB8">
        <w:rPr>
          <w:rFonts w:ascii="Cambria" w:hAnsi="Cambria"/>
        </w:rPr>
        <w:t>.</w:t>
      </w:r>
    </w:p>
    <w:p w14:paraId="19DCA965" w14:textId="5655A5D2" w:rsidR="000F78E9" w:rsidRPr="00A52AB8" w:rsidRDefault="000F78E9" w:rsidP="000F78E9">
      <w:pPr>
        <w:pStyle w:val="Heading2"/>
        <w:tabs>
          <w:tab w:val="left" w:pos="540"/>
          <w:tab w:val="left" w:pos="700"/>
        </w:tabs>
        <w:rPr>
          <w:color w:val="000000" w:themeColor="text1"/>
        </w:rPr>
      </w:pPr>
      <w:bookmarkStart w:id="1569" w:name="_Toc48570873"/>
      <w:bookmarkStart w:id="1570" w:name="_Ref48658191"/>
      <w:bookmarkStart w:id="1571" w:name="_Ref48745538"/>
      <w:bookmarkStart w:id="1572" w:name="_Ref48913740"/>
      <w:bookmarkStart w:id="1573" w:name="_Toc49424438"/>
      <w:bookmarkStart w:id="1574" w:name="_Ref51769356"/>
      <w:bookmarkStart w:id="1575" w:name="_Ref34235094"/>
      <w:bookmarkStart w:id="1576" w:name="_Toc42240855"/>
      <w:bookmarkStart w:id="1577" w:name="_Toc52181633"/>
      <w:r w:rsidRPr="00A52AB8">
        <w:rPr>
          <w:color w:val="000000" w:themeColor="text1"/>
        </w:rPr>
        <w:t>Packed video decoding process</w:t>
      </w:r>
      <w:bookmarkEnd w:id="1569"/>
      <w:bookmarkEnd w:id="1570"/>
      <w:bookmarkEnd w:id="1571"/>
      <w:bookmarkEnd w:id="1572"/>
      <w:bookmarkEnd w:id="1573"/>
      <w:bookmarkEnd w:id="1574"/>
      <w:bookmarkEnd w:id="1577"/>
    </w:p>
    <w:p w14:paraId="2EC7538A" w14:textId="7D1D9E0C" w:rsidR="000F78E9" w:rsidRPr="00A52AB8" w:rsidRDefault="000F78E9" w:rsidP="00CC1144">
      <w:r w:rsidRPr="00A52AB8">
        <w:rPr>
          <w:highlight w:val="yellow"/>
          <w:lang w:eastAsia="ja-JP"/>
        </w:rPr>
        <w:t xml:space="preserve">[Ed.(BK): This clause is copied verbatim from ISO/IEC CD 23090-12 and needs to be </w:t>
      </w:r>
      <w:r w:rsidR="00411610">
        <w:rPr>
          <w:highlight w:val="yellow"/>
          <w:lang w:eastAsia="ja-JP"/>
        </w:rPr>
        <w:t>aligned to the format used in previous sections</w:t>
      </w:r>
      <w:r w:rsidRPr="00A52AB8">
        <w:rPr>
          <w:highlight w:val="yellow"/>
          <w:lang w:eastAsia="ja-JP"/>
        </w:rPr>
        <w:t>.]</w:t>
      </w:r>
    </w:p>
    <w:p w14:paraId="63C8D47D" w14:textId="7D191BB9" w:rsidR="000F78E9" w:rsidRPr="00A52AB8" w:rsidRDefault="000F78E9" w:rsidP="00CC1144">
      <w:pPr>
        <w:rPr>
          <w:color w:val="000000" w:themeColor="text1"/>
        </w:rPr>
      </w:pPr>
      <w:r w:rsidRPr="00A52AB8">
        <w:rPr>
          <w:color w:val="000000" w:themeColor="text1"/>
        </w:rPr>
        <w:t>The codec for the packed video component associated with the current atlas, with atlas index atlasIdx, is first determined using pi</w:t>
      </w:r>
      <w:r w:rsidR="0040677A">
        <w:rPr>
          <w:color w:val="000000" w:themeColor="text1"/>
        </w:rPr>
        <w:t>n</w:t>
      </w:r>
      <w:r w:rsidRPr="00A52AB8">
        <w:rPr>
          <w:color w:val="000000" w:themeColor="text1"/>
        </w:rPr>
        <w:t>_pack_codec_id[ atlasIdx ] and the codec mapping SEI message, if present. Then, the packed video decoding process, according to the corresponding codec specification, is invoked using the packed video sub-bitstreams present in the V3C bitstream as the input.</w:t>
      </w:r>
    </w:p>
    <w:p w14:paraId="2A8CB87F" w14:textId="77777777" w:rsidR="000F78E9" w:rsidRPr="00A52AB8" w:rsidRDefault="000F78E9" w:rsidP="000F78E9">
      <w:pPr>
        <w:tabs>
          <w:tab w:val="clear" w:pos="403"/>
        </w:tabs>
        <w:rPr>
          <w:color w:val="000000" w:themeColor="text1"/>
        </w:rPr>
      </w:pPr>
      <w:r w:rsidRPr="00A52AB8">
        <w:rPr>
          <w:color w:val="000000" w:themeColor="text1"/>
        </w:rPr>
        <w:t>Outputs of this process are:</w:t>
      </w:r>
    </w:p>
    <w:p w14:paraId="738EA7FD" w14:textId="77777777" w:rsidR="000F78E9" w:rsidRPr="00A52AB8" w:rsidRDefault="000F78E9" w:rsidP="000F78E9">
      <w:pPr>
        <w:pStyle w:val="ListParagraph"/>
        <w:numPr>
          <w:ilvl w:val="0"/>
          <w:numId w:val="315"/>
        </w:numPr>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s>
        <w:ind w:leftChars="0"/>
        <w:rPr>
          <w:color w:val="000000" w:themeColor="text1"/>
        </w:rPr>
      </w:pPr>
      <w:r w:rsidRPr="00A52AB8">
        <w:rPr>
          <w:color w:val="000000" w:themeColor="text1"/>
        </w:rPr>
        <w:t>the decoded packed video frames, decPackedFrame[ frameIdx ][ compIdx ][ y ][ x ], and</w:t>
      </w:r>
    </w:p>
    <w:p w14:paraId="42CF9C88" w14:textId="77777777" w:rsidR="000F78E9" w:rsidRPr="00A52AB8" w:rsidRDefault="000F78E9" w:rsidP="000F78E9">
      <w:pPr>
        <w:pStyle w:val="ListParagraph"/>
        <w:numPr>
          <w:ilvl w:val="0"/>
          <w:numId w:val="315"/>
        </w:numPr>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s>
        <w:ind w:leftChars="0"/>
        <w:rPr>
          <w:color w:val="000000" w:themeColor="text1"/>
        </w:rPr>
      </w:pPr>
      <w:r w:rsidRPr="00A52AB8">
        <w:rPr>
          <w:color w:val="000000" w:themeColor="text1"/>
        </w:rPr>
        <w:t>for each decoded packed video frame, its corresponding coded representation parameters:</w:t>
      </w:r>
    </w:p>
    <w:p w14:paraId="31B4DE8E" w14:textId="77777777" w:rsidR="000F78E9" w:rsidRPr="00A52AB8" w:rsidRDefault="000F78E9" w:rsidP="000F78E9">
      <w:pPr>
        <w:pStyle w:val="ListParagraph"/>
        <w:numPr>
          <w:ilvl w:val="1"/>
          <w:numId w:val="315"/>
        </w:numPr>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s>
        <w:ind w:leftChars="0"/>
        <w:rPr>
          <w:color w:val="000000" w:themeColor="text1"/>
        </w:rPr>
      </w:pPr>
      <w:r w:rsidRPr="00A52AB8">
        <w:rPr>
          <w:color w:val="000000" w:themeColor="text1"/>
        </w:rPr>
        <w:t>bit depth, decPackedBitDepth[ frameIdx ],</w:t>
      </w:r>
    </w:p>
    <w:p w14:paraId="02CABC90" w14:textId="77777777" w:rsidR="000F78E9" w:rsidRPr="00A52AB8" w:rsidRDefault="000F78E9" w:rsidP="000F78E9">
      <w:pPr>
        <w:pStyle w:val="ListParagraph"/>
        <w:numPr>
          <w:ilvl w:val="1"/>
          <w:numId w:val="315"/>
        </w:numPr>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s>
        <w:ind w:leftChars="0"/>
        <w:rPr>
          <w:color w:val="000000" w:themeColor="text1"/>
        </w:rPr>
      </w:pPr>
      <w:r w:rsidRPr="00A52AB8">
        <w:rPr>
          <w:color w:val="000000" w:themeColor="text1"/>
        </w:rPr>
        <w:t>width, decPackedWidth[ frameIdx ],</w:t>
      </w:r>
    </w:p>
    <w:p w14:paraId="36B0A506" w14:textId="77777777" w:rsidR="000F78E9" w:rsidRPr="00A52AB8" w:rsidRDefault="000F78E9" w:rsidP="000F78E9">
      <w:pPr>
        <w:pStyle w:val="ListParagraph"/>
        <w:numPr>
          <w:ilvl w:val="1"/>
          <w:numId w:val="315"/>
        </w:numPr>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s>
        <w:ind w:leftChars="0"/>
        <w:rPr>
          <w:color w:val="000000" w:themeColor="text1"/>
        </w:rPr>
      </w:pPr>
      <w:r w:rsidRPr="00A52AB8">
        <w:rPr>
          <w:color w:val="000000" w:themeColor="text1"/>
        </w:rPr>
        <w:t>height, decPackedHeight[ frameIdx ],</w:t>
      </w:r>
    </w:p>
    <w:p w14:paraId="31B7A050" w14:textId="77777777" w:rsidR="000F78E9" w:rsidRPr="00A52AB8" w:rsidRDefault="000F78E9" w:rsidP="000F78E9">
      <w:pPr>
        <w:pStyle w:val="ListParagraph"/>
        <w:numPr>
          <w:ilvl w:val="1"/>
          <w:numId w:val="315"/>
        </w:numPr>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s>
        <w:ind w:leftChars="0"/>
        <w:rPr>
          <w:color w:val="000000" w:themeColor="text1"/>
        </w:rPr>
      </w:pPr>
      <w:r w:rsidRPr="00A52AB8">
        <w:rPr>
          <w:color w:val="000000" w:themeColor="text1"/>
        </w:rPr>
        <w:t>output order index, decPackedOutOrdIdx[ frameIdx ], and</w:t>
      </w:r>
    </w:p>
    <w:p w14:paraId="6C8DF254" w14:textId="77777777" w:rsidR="000F78E9" w:rsidRPr="00A52AB8" w:rsidRDefault="000F78E9" w:rsidP="000F78E9">
      <w:pPr>
        <w:pStyle w:val="ListParagraph"/>
        <w:numPr>
          <w:ilvl w:val="1"/>
          <w:numId w:val="315"/>
        </w:numPr>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s>
        <w:ind w:leftChars="0"/>
        <w:rPr>
          <w:color w:val="000000" w:themeColor="text1"/>
        </w:rPr>
      </w:pPr>
      <w:r w:rsidRPr="00A52AB8">
        <w:rPr>
          <w:color w:val="000000" w:themeColor="text1"/>
        </w:rPr>
        <w:t>composition time, decPackedCompTime[ frameIdx ],</w:t>
      </w:r>
    </w:p>
    <w:p w14:paraId="1C96757B" w14:textId="77777777" w:rsidR="000F78E9" w:rsidRPr="00A52AB8" w:rsidRDefault="000F78E9" w:rsidP="000F78E9">
      <w:pPr>
        <w:tabs>
          <w:tab w:val="clear" w:pos="403"/>
        </w:tabs>
        <w:ind w:left="360"/>
        <w:rPr>
          <w:color w:val="000000" w:themeColor="text1"/>
        </w:rPr>
      </w:pPr>
      <w:r w:rsidRPr="00A52AB8">
        <w:rPr>
          <w:color w:val="000000" w:themeColor="text1"/>
        </w:rPr>
        <w:t>where frameIdx is the decoder output index of the decoded packed video frames,</w:t>
      </w:r>
      <w:r w:rsidRPr="00A52AB8" w:rsidDel="00653720">
        <w:rPr>
          <w:color w:val="000000" w:themeColor="text1"/>
        </w:rPr>
        <w:t xml:space="preserve"> </w:t>
      </w:r>
      <w:r w:rsidRPr="00A52AB8">
        <w:rPr>
          <w:color w:val="000000" w:themeColor="text1"/>
        </w:rPr>
        <w:t>compIdx corresponds to the colour component index and is in the range of 0 to 2, y is the row index in the decoded frame and is in the range of 0 to decPackedHeight[ frameIdx ] − 1, inclusive, and x is the column index in the decoded frame and is in the range of 0 to decPackedWidth[ frameIdx ] − 1, inclusive.</w:t>
      </w:r>
    </w:p>
    <w:p w14:paraId="5325B7FD" w14:textId="474995F9" w:rsidR="000F78E9" w:rsidRPr="00A52AB8" w:rsidRDefault="000F78E9" w:rsidP="000F78E9">
      <w:pPr>
        <w:pStyle w:val="Note1"/>
        <w:rPr>
          <w:rFonts w:ascii="Cambria" w:hAnsi="Cambria"/>
        </w:rPr>
      </w:pPr>
      <w:r w:rsidRPr="00A52AB8">
        <w:rPr>
          <w:rFonts w:ascii="Cambria" w:hAnsi="Cambria"/>
        </w:rPr>
        <w:t xml:space="preserve">NOTE – Any existing video codec such as ISO/IEC 14496-10 or ISO/IEC 23008-2 or any future defined video codec can be used if included in </w:t>
      </w:r>
      <w:r w:rsidRPr="00A52AB8">
        <w:rPr>
          <w:rFonts w:ascii="Cambria" w:hAnsi="Cambria"/>
          <w:color w:val="000000" w:themeColor="text1"/>
        </w:rPr>
        <w:t>pi</w:t>
      </w:r>
      <w:r w:rsidR="0040677A">
        <w:rPr>
          <w:rFonts w:ascii="Cambria" w:hAnsi="Cambria"/>
          <w:color w:val="000000" w:themeColor="text1"/>
        </w:rPr>
        <w:t>n</w:t>
      </w:r>
      <w:r w:rsidRPr="00A52AB8">
        <w:rPr>
          <w:rFonts w:ascii="Cambria" w:hAnsi="Cambria"/>
          <w:color w:val="000000" w:themeColor="text1"/>
        </w:rPr>
        <w:t>_packed_codec_id</w:t>
      </w:r>
      <w:r w:rsidRPr="00A52AB8">
        <w:rPr>
          <w:rFonts w:ascii="Cambria" w:hAnsi="Cambria"/>
        </w:rPr>
        <w:t>.</w:t>
      </w:r>
    </w:p>
    <w:p w14:paraId="0FE4EC1C" w14:textId="25EA9873" w:rsidR="008B4572" w:rsidRPr="00A52AB8" w:rsidRDefault="008B4572" w:rsidP="00FB4953">
      <w:pPr>
        <w:pStyle w:val="Heading2"/>
      </w:pPr>
      <w:bookmarkStart w:id="1578" w:name="_Ref51936778"/>
      <w:bookmarkStart w:id="1579" w:name="_Toc52181634"/>
      <w:r w:rsidRPr="00A52AB8">
        <w:t>Common atlas data decoding process</w:t>
      </w:r>
      <w:bookmarkEnd w:id="1578"/>
      <w:bookmarkEnd w:id="1579"/>
    </w:p>
    <w:p w14:paraId="33E737E3" w14:textId="52FCE44B" w:rsidR="008B4572" w:rsidRDefault="008B4572" w:rsidP="008B4572">
      <w:pPr>
        <w:rPr>
          <w:lang w:eastAsia="ja-JP"/>
        </w:rPr>
      </w:pPr>
      <w:r w:rsidRPr="00A52AB8">
        <w:rPr>
          <w:lang w:eastAsia="ja-JP"/>
        </w:rPr>
        <w:t>Decoding of common atlas data is outside the scope of this version of this document.</w:t>
      </w:r>
    </w:p>
    <w:p w14:paraId="4ACEFD4B" w14:textId="173DF418" w:rsidR="009F7F10" w:rsidRPr="00A52AB8" w:rsidRDefault="009F7F10" w:rsidP="008B4572">
      <w:pPr>
        <w:rPr>
          <w:lang w:eastAsia="ja-JP"/>
        </w:rPr>
      </w:pPr>
      <w:r>
        <w:rPr>
          <w:lang w:eastAsia="ja-JP"/>
        </w:rPr>
        <w:t>NOTE 1: Common atlas data (V3C_CAD) and common atlas frame (NAL_CAF) form an extension mechanism to share information (e.g. projection information) that applies to multiple atlases.</w:t>
      </w:r>
    </w:p>
    <w:p w14:paraId="559EFA79" w14:textId="606EA60B" w:rsidR="008825F0" w:rsidRPr="00A52AB8" w:rsidRDefault="008825F0" w:rsidP="00FB4953">
      <w:pPr>
        <w:pStyle w:val="Heading2"/>
      </w:pPr>
      <w:bookmarkStart w:id="1580" w:name="_Toc52181635"/>
      <w:r w:rsidRPr="00A52AB8">
        <w:t>Sub-bitstream extraction process</w:t>
      </w:r>
      <w:bookmarkEnd w:id="1575"/>
      <w:bookmarkEnd w:id="1576"/>
      <w:bookmarkEnd w:id="1580"/>
    </w:p>
    <w:p w14:paraId="4EFBCDA5" w14:textId="7AC732B1" w:rsidR="008825F0" w:rsidRPr="00A52AB8" w:rsidRDefault="008825F0" w:rsidP="008825F0">
      <w:pPr>
        <w:pStyle w:val="Heading3"/>
      </w:pPr>
      <w:bookmarkStart w:id="1581" w:name="_Toc52181636"/>
      <w:r w:rsidRPr="00A52AB8">
        <w:t>General</w:t>
      </w:r>
      <w:bookmarkEnd w:id="1581"/>
    </w:p>
    <w:p w14:paraId="46F0B2FA" w14:textId="38E8C5CA" w:rsidR="0070544A" w:rsidRPr="00A52AB8" w:rsidRDefault="00BB53EC" w:rsidP="00FB4953">
      <w:r w:rsidRPr="00A52AB8">
        <w:rPr>
          <w:lang w:eastAsia="ja-JP"/>
        </w:rPr>
        <w:t>I</w:t>
      </w:r>
      <w:r w:rsidR="004144A5" w:rsidRPr="00A52AB8">
        <w:rPr>
          <w:lang w:eastAsia="ja-JP"/>
        </w:rPr>
        <w:t xml:space="preserve">n order to perform the decoding processes identified in subclauses </w:t>
      </w:r>
      <w:r w:rsidR="004144A5" w:rsidRPr="00496A4D">
        <w:rPr>
          <w:lang w:eastAsia="ja-JP"/>
        </w:rPr>
        <w:fldChar w:fldCharType="begin"/>
      </w:r>
      <w:r w:rsidR="004144A5" w:rsidRPr="00A52AB8">
        <w:rPr>
          <w:lang w:eastAsia="ja-JP"/>
        </w:rPr>
        <w:instrText xml:space="preserve"> REF _Ref516064467 \r \h </w:instrText>
      </w:r>
      <w:r w:rsidR="00007BE2" w:rsidRPr="00A52AB8">
        <w:rPr>
          <w:lang w:eastAsia="ja-JP"/>
        </w:rPr>
        <w:instrText xml:space="preserve"> \* MERGEFORMAT </w:instrText>
      </w:r>
      <w:r w:rsidR="004144A5" w:rsidRPr="00496A4D">
        <w:rPr>
          <w:lang w:eastAsia="ja-JP"/>
        </w:rPr>
      </w:r>
      <w:r w:rsidR="004144A5" w:rsidRPr="00496A4D">
        <w:rPr>
          <w:lang w:eastAsia="ja-JP"/>
        </w:rPr>
        <w:fldChar w:fldCharType="separate"/>
      </w:r>
      <w:r w:rsidR="00507A67">
        <w:rPr>
          <w:lang w:eastAsia="ja-JP"/>
        </w:rPr>
        <w:t>9.2</w:t>
      </w:r>
      <w:r w:rsidR="004144A5" w:rsidRPr="00496A4D">
        <w:rPr>
          <w:lang w:eastAsia="ja-JP"/>
        </w:rPr>
        <w:fldChar w:fldCharType="end"/>
      </w:r>
      <w:r w:rsidR="004144A5" w:rsidRPr="00A52AB8">
        <w:rPr>
          <w:lang w:eastAsia="ja-JP"/>
        </w:rPr>
        <w:t xml:space="preserve">, </w:t>
      </w:r>
      <w:r w:rsidR="004144A5" w:rsidRPr="00496A4D">
        <w:rPr>
          <w:lang w:eastAsia="ja-JP"/>
        </w:rPr>
        <w:fldChar w:fldCharType="begin"/>
      </w:r>
      <w:r w:rsidR="004144A5" w:rsidRPr="00A52AB8">
        <w:rPr>
          <w:lang w:eastAsia="ja-JP"/>
        </w:rPr>
        <w:instrText xml:space="preserve"> REF _Ref516064490 \r \h </w:instrText>
      </w:r>
      <w:r w:rsidR="00007BE2" w:rsidRPr="00A52AB8">
        <w:rPr>
          <w:lang w:eastAsia="ja-JP"/>
        </w:rPr>
        <w:instrText xml:space="preserve"> \* MERGEFORMAT </w:instrText>
      </w:r>
      <w:r w:rsidR="004144A5" w:rsidRPr="00496A4D">
        <w:rPr>
          <w:lang w:eastAsia="ja-JP"/>
        </w:rPr>
      </w:r>
      <w:r w:rsidR="004144A5" w:rsidRPr="00496A4D">
        <w:rPr>
          <w:lang w:eastAsia="ja-JP"/>
        </w:rPr>
        <w:fldChar w:fldCharType="separate"/>
      </w:r>
      <w:r w:rsidR="00507A67">
        <w:rPr>
          <w:lang w:eastAsia="ja-JP"/>
        </w:rPr>
        <w:t>9.3</w:t>
      </w:r>
      <w:r w:rsidR="004144A5" w:rsidRPr="00496A4D">
        <w:rPr>
          <w:lang w:eastAsia="ja-JP"/>
        </w:rPr>
        <w:fldChar w:fldCharType="end"/>
      </w:r>
      <w:r w:rsidR="004144A5" w:rsidRPr="00A52AB8">
        <w:rPr>
          <w:lang w:eastAsia="ja-JP"/>
        </w:rPr>
        <w:t xml:space="preserve">, </w:t>
      </w:r>
      <w:r w:rsidR="004144A5" w:rsidRPr="00496A4D">
        <w:rPr>
          <w:lang w:eastAsia="ja-JP"/>
        </w:rPr>
        <w:fldChar w:fldCharType="begin"/>
      </w:r>
      <w:r w:rsidR="004144A5" w:rsidRPr="00A52AB8">
        <w:rPr>
          <w:lang w:eastAsia="ja-JP"/>
        </w:rPr>
        <w:instrText xml:space="preserve"> REF _Ref38443293 \r \h </w:instrText>
      </w:r>
      <w:r w:rsidR="00007BE2" w:rsidRPr="00A52AB8">
        <w:rPr>
          <w:lang w:eastAsia="ja-JP"/>
        </w:rPr>
        <w:instrText xml:space="preserve"> \* MERGEFORMAT </w:instrText>
      </w:r>
      <w:r w:rsidR="004144A5" w:rsidRPr="00496A4D">
        <w:rPr>
          <w:lang w:eastAsia="ja-JP"/>
        </w:rPr>
      </w:r>
      <w:r w:rsidR="004144A5" w:rsidRPr="00496A4D">
        <w:rPr>
          <w:lang w:eastAsia="ja-JP"/>
        </w:rPr>
        <w:fldChar w:fldCharType="separate"/>
      </w:r>
      <w:r w:rsidR="00507A67">
        <w:rPr>
          <w:lang w:eastAsia="ja-JP"/>
        </w:rPr>
        <w:t>9.4</w:t>
      </w:r>
      <w:r w:rsidR="004144A5" w:rsidRPr="00496A4D">
        <w:rPr>
          <w:lang w:eastAsia="ja-JP"/>
        </w:rPr>
        <w:fldChar w:fldCharType="end"/>
      </w:r>
      <w:r w:rsidR="004144A5" w:rsidRPr="00A52AB8">
        <w:rPr>
          <w:lang w:eastAsia="ja-JP"/>
        </w:rPr>
        <w:t xml:space="preserve">, and </w:t>
      </w:r>
      <w:r w:rsidR="004144A5" w:rsidRPr="00496A4D">
        <w:rPr>
          <w:lang w:eastAsia="ja-JP"/>
        </w:rPr>
        <w:fldChar w:fldCharType="begin"/>
      </w:r>
      <w:r w:rsidR="004144A5" w:rsidRPr="00A52AB8">
        <w:rPr>
          <w:lang w:eastAsia="ja-JP"/>
        </w:rPr>
        <w:instrText xml:space="preserve"> REF _Ref38443294 \r \h </w:instrText>
      </w:r>
      <w:r w:rsidR="00007BE2" w:rsidRPr="00A52AB8">
        <w:rPr>
          <w:lang w:eastAsia="ja-JP"/>
        </w:rPr>
        <w:instrText xml:space="preserve"> \* MERGEFORMAT </w:instrText>
      </w:r>
      <w:r w:rsidR="004144A5" w:rsidRPr="00496A4D">
        <w:rPr>
          <w:lang w:eastAsia="ja-JP"/>
        </w:rPr>
      </w:r>
      <w:r w:rsidR="004144A5" w:rsidRPr="00496A4D">
        <w:rPr>
          <w:lang w:eastAsia="ja-JP"/>
        </w:rPr>
        <w:fldChar w:fldCharType="separate"/>
      </w:r>
      <w:r w:rsidR="00507A67">
        <w:rPr>
          <w:lang w:eastAsia="ja-JP"/>
        </w:rPr>
        <w:t>9.5</w:t>
      </w:r>
      <w:r w:rsidR="004144A5" w:rsidRPr="00496A4D">
        <w:rPr>
          <w:lang w:eastAsia="ja-JP"/>
        </w:rPr>
        <w:fldChar w:fldCharType="end"/>
      </w:r>
      <w:r w:rsidR="004144A5" w:rsidRPr="00A52AB8">
        <w:rPr>
          <w:lang w:eastAsia="ja-JP"/>
        </w:rPr>
        <w:t xml:space="preserve">, it may be necessary to extract the appropriate V3C units, e.g. atlas or occupancy data, from the V3C bitstream, or ACL and non-ACL NAL units of specific type from an atlas sub-bitstream. Subclause </w:t>
      </w:r>
      <w:r w:rsidR="004144A5" w:rsidRPr="00496A4D">
        <w:rPr>
          <w:lang w:eastAsia="ja-JP"/>
        </w:rPr>
        <w:fldChar w:fldCharType="begin"/>
      </w:r>
      <w:r w:rsidR="004144A5" w:rsidRPr="00A52AB8">
        <w:rPr>
          <w:lang w:eastAsia="ja-JP"/>
        </w:rPr>
        <w:instrText xml:space="preserve"> REF _Ref49529834 \r \h </w:instrText>
      </w:r>
      <w:r w:rsidR="00007BE2" w:rsidRPr="00A52AB8">
        <w:rPr>
          <w:lang w:eastAsia="ja-JP"/>
        </w:rPr>
        <w:instrText xml:space="preserve"> \* MERGEFORMAT </w:instrText>
      </w:r>
      <w:r w:rsidR="004144A5" w:rsidRPr="00496A4D">
        <w:rPr>
          <w:lang w:eastAsia="ja-JP"/>
        </w:rPr>
      </w:r>
      <w:r w:rsidR="004144A5" w:rsidRPr="00496A4D">
        <w:rPr>
          <w:lang w:eastAsia="ja-JP"/>
        </w:rPr>
        <w:fldChar w:fldCharType="separate"/>
      </w:r>
      <w:r w:rsidR="00507A67">
        <w:rPr>
          <w:lang w:eastAsia="ja-JP"/>
        </w:rPr>
        <w:t>9.8.2</w:t>
      </w:r>
      <w:r w:rsidR="004144A5" w:rsidRPr="00496A4D">
        <w:rPr>
          <w:lang w:eastAsia="ja-JP"/>
        </w:rPr>
        <w:fldChar w:fldCharType="end"/>
      </w:r>
      <w:r w:rsidR="004144A5" w:rsidRPr="00A52AB8">
        <w:rPr>
          <w:lang w:eastAsia="ja-JP"/>
        </w:rPr>
        <w:t xml:space="preserve"> describes the extraction of V3C units. Subclause </w:t>
      </w:r>
      <w:r w:rsidR="004144A5" w:rsidRPr="00496A4D">
        <w:rPr>
          <w:lang w:eastAsia="ja-JP"/>
        </w:rPr>
        <w:fldChar w:fldCharType="begin"/>
      </w:r>
      <w:r w:rsidR="004144A5" w:rsidRPr="00A52AB8">
        <w:rPr>
          <w:lang w:eastAsia="ja-JP"/>
        </w:rPr>
        <w:instrText xml:space="preserve"> REF _Ref49529835 \r \h </w:instrText>
      </w:r>
      <w:r w:rsidR="00007BE2" w:rsidRPr="00A52AB8">
        <w:rPr>
          <w:lang w:eastAsia="ja-JP"/>
        </w:rPr>
        <w:instrText xml:space="preserve"> \* MERGEFORMAT </w:instrText>
      </w:r>
      <w:r w:rsidR="004144A5" w:rsidRPr="00496A4D">
        <w:rPr>
          <w:lang w:eastAsia="ja-JP"/>
        </w:rPr>
      </w:r>
      <w:r w:rsidR="004144A5" w:rsidRPr="00496A4D">
        <w:rPr>
          <w:lang w:eastAsia="ja-JP"/>
        </w:rPr>
        <w:fldChar w:fldCharType="separate"/>
      </w:r>
      <w:r w:rsidR="00507A67">
        <w:rPr>
          <w:lang w:eastAsia="ja-JP"/>
        </w:rPr>
        <w:t>9.8.3</w:t>
      </w:r>
      <w:r w:rsidR="004144A5" w:rsidRPr="00496A4D">
        <w:rPr>
          <w:lang w:eastAsia="ja-JP"/>
        </w:rPr>
        <w:fldChar w:fldCharType="end"/>
      </w:r>
      <w:r w:rsidR="004144A5" w:rsidRPr="00A52AB8">
        <w:rPr>
          <w:lang w:eastAsia="ja-JP"/>
        </w:rPr>
        <w:t xml:space="preserve"> describes the extraction of NAL units.</w:t>
      </w:r>
    </w:p>
    <w:p w14:paraId="12F19D62" w14:textId="1FFD44E9" w:rsidR="0070544A" w:rsidRPr="00A52AB8" w:rsidRDefault="0070544A" w:rsidP="0070544A">
      <w:pPr>
        <w:pStyle w:val="Heading3"/>
      </w:pPr>
      <w:bookmarkStart w:id="1582" w:name="_Ref49529834"/>
      <w:bookmarkStart w:id="1583" w:name="_Toc52181637"/>
      <w:r w:rsidRPr="00A52AB8">
        <w:t>V3C unit extraction</w:t>
      </w:r>
      <w:bookmarkEnd w:id="1582"/>
      <w:bookmarkEnd w:id="1583"/>
    </w:p>
    <w:p w14:paraId="2D0D1D0B" w14:textId="632E70A5" w:rsidR="008825F0" w:rsidRPr="00A52AB8" w:rsidRDefault="008825F0">
      <w:r w:rsidRPr="00A52AB8">
        <w:t xml:space="preserve">Inputs to this process are a </w:t>
      </w:r>
      <w:r w:rsidR="005F41F4" w:rsidRPr="00A52AB8">
        <w:t xml:space="preserve">V3C </w:t>
      </w:r>
      <w:r w:rsidRPr="00A52AB8">
        <w:t>bitstream</w:t>
      </w:r>
      <w:r w:rsidR="005F41F4" w:rsidRPr="00A52AB8">
        <w:t xml:space="preserve">, such as </w:t>
      </w:r>
      <w:r w:rsidR="00121CC7" w:rsidRPr="00A52AB8">
        <w:t xml:space="preserve">a bitstream in </w:t>
      </w:r>
      <w:r w:rsidR="005F41F4" w:rsidRPr="00A52AB8">
        <w:t xml:space="preserve">the </w:t>
      </w:r>
      <w:r w:rsidR="00A9536F" w:rsidRPr="00A52AB8">
        <w:t xml:space="preserve">V3C </w:t>
      </w:r>
      <w:r w:rsidR="005F41F4" w:rsidRPr="00A52AB8">
        <w:t xml:space="preserve">sample stream format defined in </w:t>
      </w:r>
      <w:r w:rsidR="005F41F4" w:rsidRPr="00496A4D">
        <w:fldChar w:fldCharType="begin"/>
      </w:r>
      <w:r w:rsidR="005F41F4" w:rsidRPr="00A52AB8">
        <w:instrText xml:space="preserve"> REF _Ref38894897 \r \h </w:instrText>
      </w:r>
      <w:r w:rsidR="00D03047" w:rsidRPr="00A52AB8">
        <w:instrText xml:space="preserve"> \* MERGEFORMAT </w:instrText>
      </w:r>
      <w:r w:rsidR="005F41F4" w:rsidRPr="00496A4D">
        <w:fldChar w:fldCharType="separate"/>
      </w:r>
      <w:r w:rsidR="00507A67">
        <w:t>Annex C</w:t>
      </w:r>
      <w:r w:rsidR="005F41F4" w:rsidRPr="00496A4D">
        <w:fldChar w:fldCharType="end"/>
      </w:r>
      <w:r w:rsidR="005F41F4" w:rsidRPr="00A52AB8">
        <w:t>,</w:t>
      </w:r>
      <w:r w:rsidRPr="00A52AB8">
        <w:t xml:space="preserve"> a target atlas identifier</w:t>
      </w:r>
      <w:r w:rsidR="00060230" w:rsidRPr="00A52AB8">
        <w:t>,</w:t>
      </w:r>
      <w:r w:rsidRPr="00A52AB8">
        <w:t xml:space="preserve"> targetAtlasId</w:t>
      </w:r>
      <w:r w:rsidR="005F41F4" w:rsidRPr="00A52AB8">
        <w:t xml:space="preserve">, and </w:t>
      </w:r>
      <w:r w:rsidR="00121CC7" w:rsidRPr="00A52AB8">
        <w:t xml:space="preserve">a </w:t>
      </w:r>
      <w:r w:rsidR="00EA00D7" w:rsidRPr="00A52AB8">
        <w:t>set of parameters specifying the component or components to be extracted</w:t>
      </w:r>
      <w:r w:rsidRPr="00A52AB8">
        <w:t>.</w:t>
      </w:r>
    </w:p>
    <w:p w14:paraId="638042AE" w14:textId="46D9DE06" w:rsidR="0050235C" w:rsidRPr="00A52AB8" w:rsidRDefault="00A9536F">
      <w:pPr>
        <w:rPr>
          <w:bCs/>
        </w:rPr>
      </w:pPr>
      <w:r w:rsidRPr="00A52AB8">
        <w:t>First the location</w:t>
      </w:r>
      <w:r w:rsidR="000F6074" w:rsidRPr="00A52AB8">
        <w:t>s</w:t>
      </w:r>
      <w:r w:rsidRPr="00A52AB8">
        <w:t xml:space="preserve"> of </w:t>
      </w:r>
      <w:r w:rsidR="000F6074" w:rsidRPr="00A52AB8">
        <w:t xml:space="preserve">the </w:t>
      </w:r>
      <w:r w:rsidRPr="00A52AB8">
        <w:t>V3C unit boundar</w:t>
      </w:r>
      <w:r w:rsidR="000F6074" w:rsidRPr="00A52AB8">
        <w:t>ies</w:t>
      </w:r>
      <w:r w:rsidRPr="00A52AB8">
        <w:t xml:space="preserve"> </w:t>
      </w:r>
      <w:r w:rsidR="000F6074" w:rsidRPr="00A52AB8">
        <w:t xml:space="preserve">in a V3C bitstream are </w:t>
      </w:r>
      <w:r w:rsidRPr="00A52AB8">
        <w:t xml:space="preserve">identified. For example, for the case of </w:t>
      </w:r>
      <w:r w:rsidR="000F6074" w:rsidRPr="00A52AB8">
        <w:t xml:space="preserve">the </w:t>
      </w:r>
      <w:r w:rsidRPr="00A52AB8">
        <w:t xml:space="preserve">V3C sample stream format </w:t>
      </w:r>
      <w:r w:rsidR="000F6074" w:rsidRPr="00A52AB8">
        <w:t xml:space="preserve">specified </w:t>
      </w:r>
      <w:r w:rsidRPr="00A52AB8">
        <w:t xml:space="preserve">in </w:t>
      </w:r>
      <w:r w:rsidRPr="00496A4D">
        <w:fldChar w:fldCharType="begin"/>
      </w:r>
      <w:r w:rsidRPr="00A52AB8">
        <w:instrText xml:space="preserve"> REF _Ref38894897 \r \h </w:instrText>
      </w:r>
      <w:r w:rsidR="00D03047" w:rsidRPr="00A52AB8">
        <w:instrText xml:space="preserve"> \* MERGEFORMAT </w:instrText>
      </w:r>
      <w:r w:rsidRPr="00496A4D">
        <w:fldChar w:fldCharType="separate"/>
      </w:r>
      <w:r w:rsidR="00507A67">
        <w:t>Annex C</w:t>
      </w:r>
      <w:r w:rsidRPr="00496A4D">
        <w:fldChar w:fldCharType="end"/>
      </w:r>
      <w:r w:rsidRPr="00A52AB8">
        <w:t xml:space="preserve">, </w:t>
      </w:r>
      <w:r w:rsidR="000F6074" w:rsidRPr="00A52AB8">
        <w:t xml:space="preserve">the location of each boundary can be identified </w:t>
      </w:r>
      <w:r w:rsidRPr="00A52AB8">
        <w:t xml:space="preserve">using the syntax element </w:t>
      </w:r>
      <w:r w:rsidRPr="00A52AB8">
        <w:rPr>
          <w:bCs/>
        </w:rPr>
        <w:t>ssvu_v3c_unit_size.</w:t>
      </w:r>
    </w:p>
    <w:p w14:paraId="1DF2B7A9" w14:textId="64170DFB" w:rsidR="008825F0" w:rsidRPr="00A52AB8" w:rsidRDefault="00A9536F">
      <w:r w:rsidRPr="00A52AB8">
        <w:rPr>
          <w:bCs/>
        </w:rPr>
        <w:t>Then,</w:t>
      </w:r>
      <w:r w:rsidRPr="00A52AB8">
        <w:t xml:space="preserve"> t</w:t>
      </w:r>
      <w:r w:rsidR="008825F0" w:rsidRPr="00A52AB8">
        <w:t xml:space="preserve">he </w:t>
      </w:r>
      <w:r w:rsidR="00EA00D7" w:rsidRPr="00A52AB8">
        <w:t>extraction process</w:t>
      </w:r>
      <w:r w:rsidR="000F6074" w:rsidRPr="00A52AB8">
        <w:t xml:space="preserve"> for each V3C unit</w:t>
      </w:r>
      <w:r w:rsidRPr="00A52AB8">
        <w:t xml:space="preserve"> </w:t>
      </w:r>
      <w:r w:rsidR="008825F0" w:rsidRPr="00A52AB8">
        <w:t xml:space="preserve">is </w:t>
      </w:r>
      <w:r w:rsidRPr="00A52AB8">
        <w:t xml:space="preserve">performed </w:t>
      </w:r>
      <w:r w:rsidR="008825F0" w:rsidRPr="00A52AB8">
        <w:t>as follows:</w:t>
      </w:r>
    </w:p>
    <w:p w14:paraId="037C84CC" w14:textId="1B650478" w:rsidR="008825F0" w:rsidRPr="00A52AB8" w:rsidRDefault="00D03047" w:rsidP="00FB4953">
      <w:pPr>
        <w:tabs>
          <w:tab w:val="clear" w:pos="403"/>
          <w:tab w:val="left" w:pos="400"/>
        </w:tabs>
      </w:pPr>
      <w:r w:rsidRPr="00A52AB8">
        <w:t xml:space="preserve">If vuh_unit_type in the V3C unit headers is equal to V3C_AVD, V3C_GVD, V3C_OVD, or V3C_AD, and the </w:t>
      </w:r>
      <w:bookmarkStart w:id="1584" w:name="_Hlk49526145"/>
      <w:r w:rsidR="000F6074" w:rsidRPr="00A52AB8">
        <w:t>vuh_atlas_id</w:t>
      </w:r>
      <w:bookmarkEnd w:id="1584"/>
      <w:r w:rsidRPr="00A52AB8">
        <w:t xml:space="preserve"> is equal to </w:t>
      </w:r>
      <w:r w:rsidR="000F6074" w:rsidRPr="00A52AB8">
        <w:t>targetAtlasId, the</w:t>
      </w:r>
      <w:r w:rsidR="000525B1" w:rsidRPr="00A52AB8">
        <w:t>n</w:t>
      </w:r>
      <w:r w:rsidR="000F6074" w:rsidRPr="00A52AB8">
        <w:t xml:space="preserve"> </w:t>
      </w:r>
      <w:r w:rsidR="000525B1" w:rsidRPr="00A52AB8">
        <w:t>the following applies</w:t>
      </w:r>
      <w:r w:rsidRPr="00A52AB8">
        <w:t xml:space="preserve"> based on the input extraction parameters</w:t>
      </w:r>
      <w:r w:rsidR="000525B1" w:rsidRPr="00A52AB8">
        <w:t>:</w:t>
      </w:r>
    </w:p>
    <w:p w14:paraId="59190C9F" w14:textId="3CC981CC" w:rsidR="00EA00D7" w:rsidRPr="00A52AB8" w:rsidRDefault="00D0304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If </w:t>
      </w:r>
      <w:r w:rsidR="00EA00D7" w:rsidRPr="00A52AB8">
        <w:rPr>
          <w:color w:val="000000" w:themeColor="text1"/>
        </w:rPr>
        <w:t>extraction of atlas</w:t>
      </w:r>
      <w:r w:rsidRPr="00A52AB8">
        <w:rPr>
          <w:color w:val="000000" w:themeColor="text1"/>
        </w:rPr>
        <w:t xml:space="preserve"> sub-bitstream</w:t>
      </w:r>
      <w:r w:rsidR="0070544A" w:rsidRPr="00A52AB8">
        <w:rPr>
          <w:color w:val="000000" w:themeColor="text1"/>
        </w:rPr>
        <w:t>s</w:t>
      </w:r>
      <w:r w:rsidRPr="00A52AB8">
        <w:rPr>
          <w:color w:val="000000" w:themeColor="text1"/>
        </w:rPr>
        <w:t xml:space="preserve"> is indicated</w:t>
      </w:r>
      <w:r w:rsidR="00EA00D7" w:rsidRPr="00A52AB8">
        <w:rPr>
          <w:color w:val="000000" w:themeColor="text1"/>
        </w:rPr>
        <w:t xml:space="preserve">, </w:t>
      </w:r>
      <w:r w:rsidRPr="00A52AB8">
        <w:rPr>
          <w:color w:val="000000" w:themeColor="text1"/>
        </w:rPr>
        <w:t>then</w:t>
      </w:r>
      <w:r w:rsidR="0070544A" w:rsidRPr="00A52AB8">
        <w:rPr>
          <w:color w:val="000000" w:themeColor="text1"/>
        </w:rPr>
        <w:t xml:space="preserve"> if vuh_unit_type is equal to V3C_AD in the current V3C unit, then the V3C unit payload is extracted as an output</w:t>
      </w:r>
      <w:r w:rsidR="00EA00D7" w:rsidRPr="00A52AB8">
        <w:rPr>
          <w:color w:val="000000" w:themeColor="text1"/>
        </w:rPr>
        <w:t>.</w:t>
      </w:r>
    </w:p>
    <w:p w14:paraId="198555FD" w14:textId="005391F6" w:rsidR="00EB7012" w:rsidRPr="00A52AB8" w:rsidRDefault="00EB701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If extraction of occupancy sub-bitstreams is indicated, then if vuh_unit_type is equal to V3C_OVD in the current V3C unit, then the V3C unit payload is extracted as an output.</w:t>
      </w:r>
    </w:p>
    <w:p w14:paraId="79CD1692" w14:textId="64C9824F" w:rsidR="00EB7012" w:rsidRPr="00A52AB8" w:rsidRDefault="00EB701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If extraction of geometry sub-bitstreams with map index mapIdx is indicated, then if vuh_unit_type is equal to V3C_GVD, vuh_map_index is equal to mapIdx, and vuh_auxiliary_video_flag is equal to 0 in the current V3C unit, then the V3C unit payload is extracted as an output.</w:t>
      </w:r>
    </w:p>
    <w:p w14:paraId="0B700F76" w14:textId="1BE31B26" w:rsidR="00EB7012" w:rsidRPr="00A52AB8" w:rsidRDefault="00EB701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If extraction of auxiliary geometry sub-bitstreams is indicated, then if vuh_unit_type is equal to V3C_GVD, and vuh_auxiliary_video_flag is equal to 1 in the current V3C unit, then the V3C unit payload is extracted as an output.</w:t>
      </w:r>
    </w:p>
    <w:p w14:paraId="37C4F703" w14:textId="3D894692" w:rsidR="00EB7012" w:rsidRPr="00A52AB8" w:rsidRDefault="00EB701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If extraction of attribute sub-bitstreams with attribute index attrIdx, map index mapIdx, and partition index partIdx, is indicated, then if vuh_unit_type is equal to V3C_</w:t>
      </w:r>
      <w:r w:rsidR="00BB53EC" w:rsidRPr="00A52AB8">
        <w:rPr>
          <w:color w:val="000000" w:themeColor="text1"/>
        </w:rPr>
        <w:t>A</w:t>
      </w:r>
      <w:r w:rsidRPr="00A52AB8">
        <w:rPr>
          <w:color w:val="000000" w:themeColor="text1"/>
        </w:rPr>
        <w:t>VD, vuh_attribute_index is equal to attrIdx, vuh_map_index is equal to mapIdx, vuh_attribute_partition_index is equal to partIdx, and vuh_auxiliary_video_flag is equal to 0 in the current V3C unit, then the V3C unit payload is extracted as an output.</w:t>
      </w:r>
    </w:p>
    <w:p w14:paraId="1A450D07" w14:textId="765FD6DD" w:rsidR="00EB7012" w:rsidRPr="00A52AB8" w:rsidRDefault="00EB701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If extraction of auxili</w:t>
      </w:r>
      <w:r w:rsidR="00BB53EC" w:rsidRPr="00A52AB8">
        <w:rPr>
          <w:color w:val="000000" w:themeColor="text1"/>
        </w:rPr>
        <w:t>a</w:t>
      </w:r>
      <w:r w:rsidRPr="00A52AB8">
        <w:rPr>
          <w:color w:val="000000" w:themeColor="text1"/>
        </w:rPr>
        <w:t>ry attribute sub-bitstreams with attribute index attrIdx</w:t>
      </w:r>
      <w:r w:rsidR="00BB53EC" w:rsidRPr="00A52AB8">
        <w:rPr>
          <w:color w:val="000000" w:themeColor="text1"/>
        </w:rPr>
        <w:t xml:space="preserve"> and </w:t>
      </w:r>
      <w:r w:rsidRPr="00A52AB8">
        <w:rPr>
          <w:color w:val="000000" w:themeColor="text1"/>
        </w:rPr>
        <w:t>partition index partIdx, is indicated, then if vuh_unit_type is equal to V3C_</w:t>
      </w:r>
      <w:r w:rsidR="00BB53EC" w:rsidRPr="00A52AB8">
        <w:rPr>
          <w:color w:val="000000" w:themeColor="text1"/>
        </w:rPr>
        <w:t>A</w:t>
      </w:r>
      <w:r w:rsidRPr="00A52AB8">
        <w:rPr>
          <w:color w:val="000000" w:themeColor="text1"/>
        </w:rPr>
        <w:t xml:space="preserve">VD, vuh_attribute_index is equal to attrIdx, vuh_attribute_partition_index is equal to partIdx, and vuh_auxiliary_video_flag is equal to </w:t>
      </w:r>
      <w:r w:rsidR="00BB53EC" w:rsidRPr="00A52AB8">
        <w:rPr>
          <w:color w:val="000000" w:themeColor="text1"/>
        </w:rPr>
        <w:t>1</w:t>
      </w:r>
      <w:r w:rsidRPr="00A52AB8">
        <w:rPr>
          <w:color w:val="000000" w:themeColor="text1"/>
        </w:rPr>
        <w:t xml:space="preserve"> in the current V3C unit, then the V3C unit payload is extracted as an output.</w:t>
      </w:r>
    </w:p>
    <w:p w14:paraId="759EEBDA" w14:textId="721DBD86" w:rsidR="000F6074" w:rsidRPr="00A52AB8" w:rsidRDefault="000F6074">
      <w:r w:rsidRPr="00A52AB8">
        <w:t>It is a requirement of bitstream conformance for the input bitstream that any output sub-bitstream that is the output of the process specified in this clause shall be a conforming bitstream</w:t>
      </w:r>
      <w:r w:rsidR="00BB53EC" w:rsidRPr="00A52AB8">
        <w:t xml:space="preserve"> according to the codec specification identified by either the </w:t>
      </w:r>
      <w:r w:rsidR="00BB53EC" w:rsidRPr="00A52AB8">
        <w:rPr>
          <w:rFonts w:cs="Calibri"/>
          <w:bCs/>
        </w:rPr>
        <w:t>CodecGroup</w:t>
      </w:r>
      <w:r w:rsidR="00BB53EC" w:rsidRPr="00A52AB8">
        <w:rPr>
          <w:rFonts w:cs="Calibri"/>
        </w:rPr>
        <w:t xml:space="preserve"> profile component or, if present, the corresponding codec indicated by the component codec mapping SEI message</w:t>
      </w:r>
      <w:r w:rsidRPr="00A52AB8">
        <w:t>.</w:t>
      </w:r>
    </w:p>
    <w:p w14:paraId="2C7F34DD" w14:textId="477D3C35" w:rsidR="008825F0" w:rsidRPr="00A52AB8" w:rsidRDefault="0070544A" w:rsidP="00FB4953">
      <w:pPr>
        <w:pStyle w:val="Heading3"/>
      </w:pPr>
      <w:bookmarkStart w:id="1585" w:name="_Ref49522239"/>
      <w:bookmarkStart w:id="1586" w:name="_Ref49529835"/>
      <w:bookmarkStart w:id="1587" w:name="_Toc52181638"/>
      <w:r w:rsidRPr="00A52AB8">
        <w:t>NAL unit</w:t>
      </w:r>
      <w:r w:rsidR="008825F0" w:rsidRPr="00A52AB8">
        <w:t xml:space="preserve"> extraction process</w:t>
      </w:r>
      <w:bookmarkEnd w:id="1585"/>
      <w:bookmarkEnd w:id="1586"/>
      <w:bookmarkEnd w:id="1587"/>
    </w:p>
    <w:p w14:paraId="171AA37B" w14:textId="139055DD" w:rsidR="00A3017E" w:rsidRPr="00A52AB8" w:rsidRDefault="00A3017E" w:rsidP="00A3017E">
      <w:r w:rsidRPr="00A52AB8">
        <w:t xml:space="preserve">Inputs to this process are an atlas sub-bitstream, such as </w:t>
      </w:r>
      <w:r w:rsidR="00121CC7" w:rsidRPr="00A52AB8">
        <w:t xml:space="preserve">a bitstream in </w:t>
      </w:r>
      <w:r w:rsidRPr="00A52AB8">
        <w:t>the NAL sample stream format</w:t>
      </w:r>
      <w:r w:rsidR="00121CC7" w:rsidRPr="00A52AB8">
        <w:t xml:space="preserve"> </w:t>
      </w:r>
      <w:r w:rsidRPr="00A52AB8">
        <w:t xml:space="preserve">defined in </w:t>
      </w:r>
      <w:r w:rsidRPr="00496A4D">
        <w:fldChar w:fldCharType="begin"/>
      </w:r>
      <w:r w:rsidRPr="00A52AB8">
        <w:instrText xml:space="preserve"> REF _Ref38894988 \r \h </w:instrText>
      </w:r>
      <w:r w:rsidR="00007BE2" w:rsidRPr="00A52AB8">
        <w:instrText xml:space="preserve"> \* MERGEFORMAT </w:instrText>
      </w:r>
      <w:r w:rsidRPr="00496A4D">
        <w:fldChar w:fldCharType="separate"/>
      </w:r>
      <w:r w:rsidR="00507A67">
        <w:t>Annex D</w:t>
      </w:r>
      <w:r w:rsidRPr="00496A4D">
        <w:fldChar w:fldCharType="end"/>
      </w:r>
      <w:r w:rsidRPr="00A52AB8">
        <w:t xml:space="preserve">, and </w:t>
      </w:r>
      <w:r w:rsidR="00121CC7" w:rsidRPr="00A52AB8">
        <w:t xml:space="preserve">a </w:t>
      </w:r>
      <w:r w:rsidRPr="00A52AB8">
        <w:t xml:space="preserve">set of parameters specifying </w:t>
      </w:r>
      <w:r w:rsidR="008E355B" w:rsidRPr="00A52AB8">
        <w:t>whether it is an ACL or non-ACL NAL unit and</w:t>
      </w:r>
      <w:r w:rsidRPr="00A52AB8">
        <w:t xml:space="preserve"> </w:t>
      </w:r>
      <w:r w:rsidR="008E355B" w:rsidRPr="00A52AB8">
        <w:t xml:space="preserve">when it is an ACL NAL unit, optionally, the tile ID </w:t>
      </w:r>
      <w:r w:rsidRPr="00A52AB8">
        <w:t>to be extracted.</w:t>
      </w:r>
    </w:p>
    <w:p w14:paraId="4DE5AE5C" w14:textId="2132EE9F" w:rsidR="0050235C" w:rsidRPr="00A52AB8" w:rsidRDefault="00A3017E" w:rsidP="00A3017E">
      <w:pPr>
        <w:rPr>
          <w:bCs/>
        </w:rPr>
      </w:pPr>
      <w:r w:rsidRPr="00A52AB8">
        <w:t xml:space="preserve">First the locations of the NAL unit boundaries in a NAL bitstream are identified. For example, for the case of the NAL sample stream format specified in </w:t>
      </w:r>
      <w:r w:rsidRPr="00496A4D">
        <w:fldChar w:fldCharType="begin"/>
      </w:r>
      <w:r w:rsidRPr="00A52AB8">
        <w:instrText xml:space="preserve"> REF _Ref38894988 \r \h </w:instrText>
      </w:r>
      <w:r w:rsidR="00007BE2" w:rsidRPr="00A52AB8">
        <w:instrText xml:space="preserve"> </w:instrText>
      </w:r>
      <w:r w:rsidR="007478BA" w:rsidRPr="00A52AB8">
        <w:instrText xml:space="preserve"> \* MERGEFORMAT </w:instrText>
      </w:r>
      <w:r w:rsidRPr="00496A4D">
        <w:fldChar w:fldCharType="separate"/>
      </w:r>
      <w:r w:rsidR="00507A67">
        <w:t>Annex D</w:t>
      </w:r>
      <w:r w:rsidRPr="00496A4D">
        <w:fldChar w:fldCharType="end"/>
      </w:r>
      <w:r w:rsidRPr="00A52AB8">
        <w:t xml:space="preserve">, the location of each boundary can be identified using the syntax element </w:t>
      </w:r>
      <w:r w:rsidRPr="00A52AB8">
        <w:rPr>
          <w:bCs/>
        </w:rPr>
        <w:t>ssnu_nal_unit_size.</w:t>
      </w:r>
    </w:p>
    <w:p w14:paraId="0186B65C" w14:textId="4A8AE7A6" w:rsidR="00A3017E" w:rsidRPr="00A52AB8" w:rsidRDefault="00A3017E" w:rsidP="00A3017E">
      <w:r w:rsidRPr="00A52AB8">
        <w:rPr>
          <w:bCs/>
        </w:rPr>
        <w:t>Then,</w:t>
      </w:r>
      <w:r w:rsidRPr="00A52AB8">
        <w:t xml:space="preserve"> the extraction process for each </w:t>
      </w:r>
      <w:r w:rsidR="00121CC7" w:rsidRPr="00A52AB8">
        <w:t>NAL</w:t>
      </w:r>
      <w:r w:rsidRPr="00A52AB8">
        <w:t xml:space="preserve"> unit is performed as follows:</w:t>
      </w:r>
    </w:p>
    <w:p w14:paraId="235ADD6A" w14:textId="7E40D3B8" w:rsidR="008E355B" w:rsidRPr="00A52AB8" w:rsidRDefault="008E355B"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If extraction of ACL NAL units </w:t>
      </w:r>
      <w:r w:rsidR="0096791D" w:rsidRPr="00A52AB8">
        <w:rPr>
          <w:color w:val="000000" w:themeColor="text1"/>
        </w:rPr>
        <w:t>with a specific tile ID, tileID, is indicated, then all ACL NAL units with ath_id equal to tileID and their associated non-ACL NAL units are extracted.</w:t>
      </w:r>
    </w:p>
    <w:p w14:paraId="6F2C6B9D" w14:textId="4502DD48" w:rsidR="0096791D" w:rsidRPr="00A52AB8" w:rsidRDefault="0096791D"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If extraction of ACL NAL units is indicated without specifying a specific tile ID, then all ACL NAL units and their associated non-ACL NAL units are extracted.</w:t>
      </w:r>
    </w:p>
    <w:p w14:paraId="19EFF637" w14:textId="0F75D6AC" w:rsidR="0096791D" w:rsidRPr="00A52AB8" w:rsidRDefault="0096791D"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If extraction of a non-ACL NAL unit of a specific NAL type, nalType, is indicated, then all NAL units </w:t>
      </w:r>
      <w:r w:rsidR="00051BF7" w:rsidRPr="00A52AB8">
        <w:rPr>
          <w:color w:val="000000" w:themeColor="text1"/>
        </w:rPr>
        <w:t xml:space="preserve">with nal_unit_type </w:t>
      </w:r>
      <w:r w:rsidRPr="00A52AB8">
        <w:rPr>
          <w:color w:val="000000" w:themeColor="text1"/>
        </w:rPr>
        <w:t>equal to nalType</w:t>
      </w:r>
      <w:r w:rsidR="00051BF7" w:rsidRPr="00A52AB8">
        <w:rPr>
          <w:color w:val="000000" w:themeColor="text1"/>
        </w:rPr>
        <w:t xml:space="preserve">, </w:t>
      </w:r>
      <w:r w:rsidRPr="00A52AB8">
        <w:rPr>
          <w:color w:val="000000" w:themeColor="text1"/>
        </w:rPr>
        <w:t>and their associated non-ACL NAL units are extracted.</w:t>
      </w:r>
    </w:p>
    <w:p w14:paraId="1E58612C" w14:textId="1B475139" w:rsidR="00F253B8" w:rsidRPr="00A52AB8" w:rsidRDefault="00F253B8" w:rsidP="00F253B8">
      <w:pPr>
        <w:pStyle w:val="Heading1"/>
        <w:rPr>
          <w:color w:val="000000" w:themeColor="text1"/>
        </w:rPr>
      </w:pPr>
      <w:bookmarkStart w:id="1588" w:name="_Toc49345060"/>
      <w:bookmarkStart w:id="1589" w:name="_Toc49349870"/>
      <w:bookmarkStart w:id="1590" w:name="_Toc46301662"/>
      <w:bookmarkStart w:id="1591" w:name="_Toc46302487"/>
      <w:bookmarkStart w:id="1592" w:name="_Toc42729993"/>
      <w:bookmarkStart w:id="1593" w:name="_Toc45105449"/>
      <w:bookmarkStart w:id="1594" w:name="_Toc45530307"/>
      <w:bookmarkStart w:id="1595" w:name="_Toc46301663"/>
      <w:bookmarkStart w:id="1596" w:name="_Toc46302488"/>
      <w:bookmarkStart w:id="1597" w:name="_Toc42729994"/>
      <w:bookmarkStart w:id="1598" w:name="_Toc45105450"/>
      <w:bookmarkStart w:id="1599" w:name="_Toc45530308"/>
      <w:bookmarkStart w:id="1600" w:name="_Toc46301664"/>
      <w:bookmarkStart w:id="1601" w:name="_Toc46302489"/>
      <w:bookmarkStart w:id="1602" w:name="_Ref49346782"/>
      <w:bookmarkStart w:id="1603" w:name="_Ref49347549"/>
      <w:bookmarkStart w:id="1604" w:name="_Ref49357926"/>
      <w:bookmarkStart w:id="1605" w:name="_Ref516064521"/>
      <w:bookmarkStart w:id="1606" w:name="_Hlk534275991"/>
      <w:bookmarkStart w:id="1607" w:name="_Toc52181639"/>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r w:rsidRPr="00A52AB8">
        <w:rPr>
          <w:color w:val="000000" w:themeColor="text1"/>
        </w:rPr>
        <w:t>Pre-reconstruction process</w:t>
      </w:r>
      <w:bookmarkEnd w:id="1602"/>
      <w:bookmarkEnd w:id="1603"/>
      <w:bookmarkEnd w:id="1604"/>
      <w:bookmarkEnd w:id="1607"/>
    </w:p>
    <w:p w14:paraId="757F6879" w14:textId="0619975B" w:rsidR="0050235C" w:rsidRPr="00A52AB8" w:rsidRDefault="00F253B8" w:rsidP="00F253B8">
      <w:r w:rsidRPr="00A52AB8">
        <w:t xml:space="preserve">The </w:t>
      </w:r>
      <w:r w:rsidR="00C50E43" w:rsidRPr="00A52AB8">
        <w:t>pre</w:t>
      </w:r>
      <w:r w:rsidRPr="00A52AB8">
        <w:t xml:space="preserve">-reconstruction process depends on the profiles defined in </w:t>
      </w:r>
      <w:r w:rsidRPr="00496A4D">
        <w:fldChar w:fldCharType="begin"/>
      </w:r>
      <w:r w:rsidRPr="00A52AB8">
        <w:instrText xml:space="preserve"> REF _Ref38898728 \r \h  \* MERGEFORMAT </w:instrText>
      </w:r>
      <w:r w:rsidRPr="00496A4D">
        <w:fldChar w:fldCharType="separate"/>
      </w:r>
      <w:r w:rsidR="00507A67">
        <w:t>Annex A</w:t>
      </w:r>
      <w:r w:rsidRPr="00496A4D">
        <w:fldChar w:fldCharType="end"/>
      </w:r>
      <w:r w:rsidRPr="00A52AB8">
        <w:t>.</w:t>
      </w:r>
    </w:p>
    <w:p w14:paraId="7D21D2EE" w14:textId="3958A21D" w:rsidR="00F253B8" w:rsidRPr="00A52AB8" w:rsidRDefault="00F253B8" w:rsidP="00822899">
      <w:r w:rsidRPr="00A52AB8">
        <w:rPr>
          <w:color w:val="000000" w:themeColor="text1"/>
        </w:rPr>
        <w:t xml:space="preserve">Some applications within the scope of this document define explicit pre-reconstruction processing steps. However, some other applications may not, in which case the pre-reconstruction process is outside the scope of this document. </w:t>
      </w:r>
      <w:r w:rsidRPr="00A52AB8">
        <w:t xml:space="preserve">For example, in the context of the video-based point cloud decoding applications, as defined in </w:t>
      </w:r>
      <w:r w:rsidRPr="00496A4D">
        <w:fldChar w:fldCharType="begin"/>
      </w:r>
      <w:r w:rsidRPr="00A52AB8">
        <w:instrText xml:space="preserve"> REF _Ref44323689 \r \h  \* MERGEFORMAT </w:instrText>
      </w:r>
      <w:r w:rsidRPr="00496A4D">
        <w:fldChar w:fldCharType="separate"/>
      </w:r>
      <w:r w:rsidR="00507A67">
        <w:t>Annex H</w:t>
      </w:r>
      <w:r w:rsidRPr="00496A4D">
        <w:fldChar w:fldCharType="end"/>
      </w:r>
      <w:r w:rsidRPr="00A52AB8">
        <w:t xml:space="preserve">, and the associated profiles, a pre-reconstruction process, which performs </w:t>
      </w:r>
      <w:r w:rsidR="00D25697" w:rsidRPr="00A52AB8">
        <w:t>occupancy synthesis</w:t>
      </w:r>
      <w:r w:rsidRPr="00A52AB8">
        <w:t xml:space="preserve"> operations, is specified in subclause</w:t>
      </w:r>
      <w:r w:rsidR="00D1391F" w:rsidRPr="00A52AB8">
        <w:t xml:space="preserve"> </w:t>
      </w:r>
      <w:r w:rsidR="00D1391F" w:rsidRPr="00496A4D">
        <w:fldChar w:fldCharType="begin"/>
      </w:r>
      <w:r w:rsidR="00D1391F" w:rsidRPr="00A52AB8">
        <w:instrText xml:space="preserve"> REF _Ref49343853 \r \h </w:instrText>
      </w:r>
      <w:r w:rsidR="00007BE2" w:rsidRPr="00A52AB8">
        <w:instrText xml:space="preserve"> \* MERGEFORMAT </w:instrText>
      </w:r>
      <w:r w:rsidR="00D1391F" w:rsidRPr="00496A4D">
        <w:fldChar w:fldCharType="separate"/>
      </w:r>
      <w:r w:rsidR="00507A67">
        <w:t>H.10</w:t>
      </w:r>
      <w:r w:rsidR="00D1391F" w:rsidRPr="00496A4D">
        <w:fldChar w:fldCharType="end"/>
      </w:r>
      <w:r w:rsidRPr="00A52AB8">
        <w:t>.</w:t>
      </w:r>
    </w:p>
    <w:p w14:paraId="772406E2" w14:textId="77777777" w:rsidR="00E578C9" w:rsidRPr="00A52AB8" w:rsidRDefault="00E578C9">
      <w:pPr>
        <w:pStyle w:val="Heading1"/>
        <w:rPr>
          <w:color w:val="000000" w:themeColor="text1"/>
        </w:rPr>
      </w:pPr>
      <w:bookmarkStart w:id="1608" w:name="_Ref49271962"/>
      <w:bookmarkStart w:id="1609" w:name="_Toc52181640"/>
      <w:r w:rsidRPr="00A52AB8">
        <w:rPr>
          <w:color w:val="000000" w:themeColor="text1"/>
        </w:rPr>
        <w:t>Reconstruction process</w:t>
      </w:r>
      <w:bookmarkEnd w:id="1605"/>
      <w:bookmarkEnd w:id="1608"/>
      <w:bookmarkEnd w:id="1609"/>
    </w:p>
    <w:bookmarkEnd w:id="1606"/>
    <w:p w14:paraId="7CA97F5D" w14:textId="230BDCD2" w:rsidR="0050235C" w:rsidRPr="00A52AB8" w:rsidRDefault="0045670D">
      <w:r w:rsidRPr="00A52AB8">
        <w:t xml:space="preserve">The reconstruction process depends on the profiles defined in </w:t>
      </w:r>
      <w:r w:rsidR="00453C9C" w:rsidRPr="00496A4D">
        <w:fldChar w:fldCharType="begin"/>
      </w:r>
      <w:r w:rsidR="00453C9C" w:rsidRPr="00A52AB8">
        <w:instrText xml:space="preserve"> REF _Ref38898728 \r \h </w:instrText>
      </w:r>
      <w:r w:rsidR="00CA5401" w:rsidRPr="00A52AB8">
        <w:instrText xml:space="preserve"> \* MERGEFORMAT </w:instrText>
      </w:r>
      <w:r w:rsidR="00453C9C" w:rsidRPr="00496A4D">
        <w:fldChar w:fldCharType="separate"/>
      </w:r>
      <w:r w:rsidR="00507A67">
        <w:t>Annex A</w:t>
      </w:r>
      <w:r w:rsidR="00453C9C" w:rsidRPr="00496A4D">
        <w:fldChar w:fldCharType="end"/>
      </w:r>
      <w:r w:rsidRPr="00A52AB8">
        <w:t>.</w:t>
      </w:r>
    </w:p>
    <w:p w14:paraId="0BA1F6EB" w14:textId="605BEF05" w:rsidR="00B94CD5" w:rsidRPr="00A52AB8" w:rsidRDefault="00895B9B">
      <w:r w:rsidRPr="00A52AB8">
        <w:rPr>
          <w:color w:val="000000" w:themeColor="text1"/>
        </w:rPr>
        <w:t>Some applications within the scope of this document define explicit reconstruction process</w:t>
      </w:r>
      <w:r w:rsidR="007D5B7A" w:rsidRPr="00A52AB8">
        <w:rPr>
          <w:color w:val="000000" w:themeColor="text1"/>
        </w:rPr>
        <w:t>ing</w:t>
      </w:r>
      <w:r w:rsidRPr="00A52AB8">
        <w:rPr>
          <w:color w:val="000000" w:themeColor="text1"/>
        </w:rPr>
        <w:t xml:space="preserve"> steps. However, some other applications may not, in which case the reconstruction process is outside the scope of this document. </w:t>
      </w:r>
      <w:r w:rsidRPr="00A52AB8">
        <w:t xml:space="preserve">For example, in the context of the </w:t>
      </w:r>
      <w:r w:rsidR="00453C9C" w:rsidRPr="00A52AB8">
        <w:t>video</w:t>
      </w:r>
      <w:r w:rsidR="001726ED" w:rsidRPr="00A52AB8">
        <w:t>-</w:t>
      </w:r>
      <w:r w:rsidR="00453C9C" w:rsidRPr="00A52AB8">
        <w:t>based point cloud decoding applications</w:t>
      </w:r>
      <w:r w:rsidRPr="00A52AB8">
        <w:t xml:space="preserve">, as defined in </w:t>
      </w:r>
      <w:r w:rsidRPr="00496A4D">
        <w:fldChar w:fldCharType="begin"/>
      </w:r>
      <w:r w:rsidRPr="00A52AB8">
        <w:instrText xml:space="preserve"> REF _Ref44323689 \r \h </w:instrText>
      </w:r>
      <w:r w:rsidR="00453C9C" w:rsidRPr="00A52AB8">
        <w:instrText xml:space="preserve"> \* MERGEFORMAT </w:instrText>
      </w:r>
      <w:r w:rsidRPr="00496A4D">
        <w:fldChar w:fldCharType="separate"/>
      </w:r>
      <w:r w:rsidR="00507A67">
        <w:t>Annex H</w:t>
      </w:r>
      <w:r w:rsidRPr="00496A4D">
        <w:fldChar w:fldCharType="end"/>
      </w:r>
      <w:r w:rsidRPr="00A52AB8">
        <w:t xml:space="preserve">, </w:t>
      </w:r>
      <w:r w:rsidR="00453C9C" w:rsidRPr="00A52AB8">
        <w:t>and the associated profiles, a nominal</w:t>
      </w:r>
      <w:r w:rsidRPr="00A52AB8">
        <w:t xml:space="preserve"> reconstruction process </w:t>
      </w:r>
      <w:r w:rsidR="00453C9C" w:rsidRPr="00A52AB8">
        <w:t>is specified in subclause</w:t>
      </w:r>
      <w:r w:rsidRPr="00A52AB8">
        <w:t xml:space="preserve"> </w:t>
      </w:r>
      <w:r w:rsidRPr="00496A4D">
        <w:fldChar w:fldCharType="begin"/>
      </w:r>
      <w:r w:rsidRPr="00A52AB8">
        <w:instrText xml:space="preserve"> REF _Ref44323705 \r \h </w:instrText>
      </w:r>
      <w:r w:rsidR="00453C9C" w:rsidRPr="00A52AB8">
        <w:instrText xml:space="preserve"> \* MERGEFORMAT </w:instrText>
      </w:r>
      <w:r w:rsidRPr="00496A4D">
        <w:fldChar w:fldCharType="separate"/>
      </w:r>
      <w:r w:rsidR="00507A67">
        <w:t>H.11</w:t>
      </w:r>
      <w:r w:rsidRPr="00496A4D">
        <w:fldChar w:fldCharType="end"/>
      </w:r>
      <w:r w:rsidR="00453C9C" w:rsidRPr="00A52AB8">
        <w:t>.</w:t>
      </w:r>
    </w:p>
    <w:p w14:paraId="5F8A40FA" w14:textId="42C89746" w:rsidR="005905C7" w:rsidRPr="00A52AB8" w:rsidRDefault="00277797" w:rsidP="00895494">
      <w:pPr>
        <w:pStyle w:val="Heading1"/>
        <w:rPr>
          <w:color w:val="000000" w:themeColor="text1"/>
        </w:rPr>
      </w:pPr>
      <w:bookmarkStart w:id="1610" w:name="_Ref47951483"/>
      <w:bookmarkStart w:id="1611" w:name="_Toc52181641"/>
      <w:r w:rsidRPr="00A52AB8">
        <w:rPr>
          <w:color w:val="000000" w:themeColor="text1"/>
        </w:rPr>
        <w:t xml:space="preserve">Post-reconstruction </w:t>
      </w:r>
      <w:r w:rsidR="005905C7" w:rsidRPr="00A52AB8">
        <w:rPr>
          <w:color w:val="000000" w:themeColor="text1"/>
        </w:rPr>
        <w:t>process</w:t>
      </w:r>
      <w:bookmarkEnd w:id="1610"/>
      <w:bookmarkEnd w:id="1611"/>
    </w:p>
    <w:p w14:paraId="36E5F5E6" w14:textId="4EAD20D6" w:rsidR="0050235C" w:rsidRPr="00A52AB8" w:rsidRDefault="005905C7" w:rsidP="005905C7">
      <w:r w:rsidRPr="00A52AB8">
        <w:t xml:space="preserve">The </w:t>
      </w:r>
      <w:r w:rsidR="00277797" w:rsidRPr="00A52AB8">
        <w:t xml:space="preserve">post-reconstruction </w:t>
      </w:r>
      <w:r w:rsidRPr="00A52AB8">
        <w:t xml:space="preserve">process depends on the profiles defined in </w:t>
      </w:r>
      <w:r w:rsidRPr="00496A4D">
        <w:fldChar w:fldCharType="begin"/>
      </w:r>
      <w:r w:rsidRPr="00A52AB8">
        <w:instrText xml:space="preserve"> REF _Ref38898728 \r \h  \* MERGEFORMAT </w:instrText>
      </w:r>
      <w:r w:rsidRPr="00496A4D">
        <w:fldChar w:fldCharType="separate"/>
      </w:r>
      <w:r w:rsidR="00507A67">
        <w:t>Annex A</w:t>
      </w:r>
      <w:r w:rsidRPr="00496A4D">
        <w:fldChar w:fldCharType="end"/>
      </w:r>
      <w:r w:rsidRPr="00A52AB8">
        <w:t>.</w:t>
      </w:r>
    </w:p>
    <w:p w14:paraId="6B30C11C" w14:textId="540931D3" w:rsidR="005905C7" w:rsidRPr="00A52AB8" w:rsidRDefault="005905C7">
      <w:r w:rsidRPr="00A52AB8">
        <w:rPr>
          <w:color w:val="000000" w:themeColor="text1"/>
        </w:rPr>
        <w:t xml:space="preserve">Some applications within the scope of this document define explicit </w:t>
      </w:r>
      <w:r w:rsidR="00277797" w:rsidRPr="00A52AB8">
        <w:rPr>
          <w:color w:val="000000" w:themeColor="text1"/>
        </w:rPr>
        <w:t xml:space="preserve">post-reconstruction </w:t>
      </w:r>
      <w:r w:rsidRPr="00A52AB8">
        <w:rPr>
          <w:color w:val="000000" w:themeColor="text1"/>
        </w:rPr>
        <w:t>process</w:t>
      </w:r>
      <w:r w:rsidR="00277797" w:rsidRPr="00A52AB8">
        <w:rPr>
          <w:color w:val="000000" w:themeColor="text1"/>
        </w:rPr>
        <w:t>ing</w:t>
      </w:r>
      <w:r w:rsidRPr="00A52AB8">
        <w:rPr>
          <w:color w:val="000000" w:themeColor="text1"/>
        </w:rPr>
        <w:t xml:space="preserve"> steps. However, some other applications may not, in which case the </w:t>
      </w:r>
      <w:r w:rsidR="00277797" w:rsidRPr="00A52AB8">
        <w:rPr>
          <w:color w:val="000000" w:themeColor="text1"/>
        </w:rPr>
        <w:t xml:space="preserve">post-reconstruction </w:t>
      </w:r>
      <w:r w:rsidRPr="00A52AB8">
        <w:rPr>
          <w:color w:val="000000" w:themeColor="text1"/>
        </w:rPr>
        <w:t xml:space="preserve">process is outside the scope of this document. </w:t>
      </w:r>
      <w:r w:rsidRPr="00A52AB8">
        <w:t xml:space="preserve">For example, in the context of the video-based point cloud decoding applications, as defined in </w:t>
      </w:r>
      <w:r w:rsidRPr="00496A4D">
        <w:fldChar w:fldCharType="begin"/>
      </w:r>
      <w:r w:rsidRPr="00A52AB8">
        <w:instrText xml:space="preserve"> REF _Ref44323689 \r \h  \* MERGEFORMAT </w:instrText>
      </w:r>
      <w:r w:rsidRPr="00496A4D">
        <w:fldChar w:fldCharType="separate"/>
      </w:r>
      <w:r w:rsidR="00507A67">
        <w:t>Annex H</w:t>
      </w:r>
      <w:r w:rsidRPr="00496A4D">
        <w:fldChar w:fldCharType="end"/>
      </w:r>
      <w:r w:rsidRPr="00A52AB8">
        <w:t xml:space="preserve">, and the associated profiles, a </w:t>
      </w:r>
      <w:r w:rsidR="00277797" w:rsidRPr="00A52AB8">
        <w:t xml:space="preserve">post-reconstruction process, which performs a number of </w:t>
      </w:r>
      <w:r w:rsidRPr="00A52AB8">
        <w:t xml:space="preserve">smoothing </w:t>
      </w:r>
      <w:r w:rsidR="00277797" w:rsidRPr="00A52AB8">
        <w:t xml:space="preserve">operations on the reconstructed point cloud data, </w:t>
      </w:r>
      <w:r w:rsidRPr="00A52AB8">
        <w:t xml:space="preserve">is specified in subclause </w:t>
      </w:r>
      <w:r w:rsidRPr="00496A4D">
        <w:fldChar w:fldCharType="begin"/>
      </w:r>
      <w:r w:rsidRPr="00A52AB8">
        <w:instrText xml:space="preserve"> REF _Ref47628918 \w \h </w:instrText>
      </w:r>
      <w:r w:rsidR="006371AA" w:rsidRPr="00A52AB8">
        <w:instrText xml:space="preserve"> \* MERGEFORMAT </w:instrText>
      </w:r>
      <w:r w:rsidRPr="00496A4D">
        <w:fldChar w:fldCharType="separate"/>
      </w:r>
      <w:r w:rsidR="00507A67">
        <w:t>H.12</w:t>
      </w:r>
      <w:r w:rsidRPr="00496A4D">
        <w:fldChar w:fldCharType="end"/>
      </w:r>
      <w:r w:rsidRPr="00A52AB8">
        <w:t>.</w:t>
      </w:r>
    </w:p>
    <w:p w14:paraId="486D50B9" w14:textId="77777777" w:rsidR="00277797" w:rsidRPr="00A52AB8" w:rsidRDefault="00277797" w:rsidP="00CD7999">
      <w:pPr>
        <w:pStyle w:val="Heading1"/>
        <w:rPr>
          <w:color w:val="000000" w:themeColor="text1"/>
        </w:rPr>
      </w:pPr>
      <w:bookmarkStart w:id="1612" w:name="_Ref48314996"/>
      <w:bookmarkStart w:id="1613" w:name="_Toc52181642"/>
      <w:r w:rsidRPr="00A52AB8">
        <w:rPr>
          <w:color w:val="000000" w:themeColor="text1"/>
        </w:rPr>
        <w:t>Adaptation process</w:t>
      </w:r>
      <w:bookmarkEnd w:id="1612"/>
      <w:bookmarkEnd w:id="1613"/>
    </w:p>
    <w:p w14:paraId="24BEA54C" w14:textId="673107CE" w:rsidR="00277797" w:rsidRPr="00A52AB8" w:rsidRDefault="00277797" w:rsidP="00CD7999">
      <w:r w:rsidRPr="00A52AB8">
        <w:t xml:space="preserve">The adaptation process depends on the profiles defined in </w:t>
      </w:r>
      <w:r w:rsidRPr="00496A4D">
        <w:fldChar w:fldCharType="begin"/>
      </w:r>
      <w:r w:rsidRPr="00A52AB8">
        <w:instrText xml:space="preserve"> REF _Ref38898728 \r \h  \* MERGEFORMAT </w:instrText>
      </w:r>
      <w:r w:rsidRPr="00496A4D">
        <w:fldChar w:fldCharType="separate"/>
      </w:r>
      <w:r w:rsidR="00507A67">
        <w:t>Annex A</w:t>
      </w:r>
      <w:r w:rsidRPr="00496A4D">
        <w:fldChar w:fldCharType="end"/>
      </w:r>
    </w:p>
    <w:p w14:paraId="3C16D604" w14:textId="58FB0729" w:rsidR="00277797" w:rsidRPr="00A52AB8" w:rsidRDefault="00277797" w:rsidP="000F288B">
      <w:pPr>
        <w:rPr>
          <w:lang w:eastAsia="ja-JP"/>
        </w:rPr>
      </w:pPr>
      <w:r w:rsidRPr="00A52AB8">
        <w:rPr>
          <w:color w:val="000000" w:themeColor="text1"/>
        </w:rPr>
        <w:t xml:space="preserve">Some applications within the scope of this document define explicit adaptation process steps. However, some other applications may not, in which case the adaptation process is outside the scope of this document. </w:t>
      </w:r>
      <w:r w:rsidRPr="00A52AB8">
        <w:t xml:space="preserve">For example, in the context of the video-based point cloud decoding applications, as defined in </w:t>
      </w:r>
      <w:r w:rsidRPr="00496A4D">
        <w:fldChar w:fldCharType="begin"/>
      </w:r>
      <w:r w:rsidRPr="00A52AB8">
        <w:instrText xml:space="preserve"> REF _Ref44323689 \r \h  \* MERGEFORMAT </w:instrText>
      </w:r>
      <w:r w:rsidRPr="00496A4D">
        <w:fldChar w:fldCharType="separate"/>
      </w:r>
      <w:r w:rsidR="00507A67">
        <w:t>Annex H</w:t>
      </w:r>
      <w:r w:rsidRPr="00496A4D">
        <w:fldChar w:fldCharType="end"/>
      </w:r>
      <w:r w:rsidRPr="00A52AB8">
        <w:t xml:space="preserve">, and the associated profiles, an adaptation process is specified in subclause </w:t>
      </w:r>
      <w:r w:rsidRPr="00496A4D">
        <w:fldChar w:fldCharType="begin"/>
      </w:r>
      <w:r w:rsidRPr="00A52AB8">
        <w:instrText xml:space="preserve"> REF _Ref44438783 \r \h </w:instrText>
      </w:r>
      <w:r w:rsidR="00851254" w:rsidRPr="00A52AB8">
        <w:instrText xml:space="preserve"> \* MERGEFORMAT </w:instrText>
      </w:r>
      <w:r w:rsidRPr="00496A4D">
        <w:fldChar w:fldCharType="separate"/>
      </w:r>
      <w:r w:rsidR="00507A67">
        <w:t>H.13</w:t>
      </w:r>
      <w:r w:rsidRPr="00496A4D">
        <w:fldChar w:fldCharType="end"/>
      </w:r>
      <w:r w:rsidRPr="00A52AB8">
        <w:t>.</w:t>
      </w:r>
    </w:p>
    <w:p w14:paraId="531D30EB" w14:textId="77777777" w:rsidR="005062B4" w:rsidRPr="00A52AB8" w:rsidRDefault="005062B4" w:rsidP="00CD7999">
      <w:pPr>
        <w:pStyle w:val="Heading1"/>
        <w:rPr>
          <w:color w:val="000000" w:themeColor="text1"/>
        </w:rPr>
      </w:pPr>
      <w:bookmarkStart w:id="1614" w:name="_Toc39425302"/>
      <w:bookmarkStart w:id="1615" w:name="_Toc39425303"/>
      <w:bookmarkStart w:id="1616" w:name="_Toc39425304"/>
      <w:bookmarkStart w:id="1617" w:name="_Toc38890710"/>
      <w:bookmarkStart w:id="1618" w:name="_Toc39425305"/>
      <w:bookmarkStart w:id="1619" w:name="_Toc38890711"/>
      <w:bookmarkStart w:id="1620" w:name="_Toc39425306"/>
      <w:bookmarkStart w:id="1621" w:name="_Toc38890712"/>
      <w:bookmarkStart w:id="1622" w:name="_Toc39425307"/>
      <w:bookmarkStart w:id="1623" w:name="_Toc38890713"/>
      <w:bookmarkStart w:id="1624" w:name="_Toc39425308"/>
      <w:bookmarkStart w:id="1625" w:name="_Toc38890714"/>
      <w:bookmarkStart w:id="1626" w:name="_Toc39425309"/>
      <w:bookmarkStart w:id="1627" w:name="_Toc38890715"/>
      <w:bookmarkStart w:id="1628" w:name="_Toc39425310"/>
      <w:bookmarkStart w:id="1629" w:name="_Toc38890716"/>
      <w:bookmarkStart w:id="1630" w:name="_Toc39425311"/>
      <w:bookmarkStart w:id="1631" w:name="_Toc38890717"/>
      <w:bookmarkStart w:id="1632" w:name="_Toc39425312"/>
      <w:bookmarkStart w:id="1633" w:name="_Toc38890718"/>
      <w:bookmarkStart w:id="1634" w:name="_Toc39425313"/>
      <w:bookmarkStart w:id="1635" w:name="_Toc38890719"/>
      <w:bookmarkStart w:id="1636" w:name="_Toc39425314"/>
      <w:bookmarkStart w:id="1637" w:name="_Toc38890720"/>
      <w:bookmarkStart w:id="1638" w:name="_Toc39425315"/>
      <w:bookmarkStart w:id="1639" w:name="_Toc38890721"/>
      <w:bookmarkStart w:id="1640" w:name="_Toc39425316"/>
      <w:bookmarkStart w:id="1641" w:name="_Toc38890722"/>
      <w:bookmarkStart w:id="1642" w:name="_Toc39425317"/>
      <w:bookmarkStart w:id="1643" w:name="_Toc38890723"/>
      <w:bookmarkStart w:id="1644" w:name="_Toc39425318"/>
      <w:bookmarkStart w:id="1645" w:name="_Toc38890724"/>
      <w:bookmarkStart w:id="1646" w:name="_Toc39425319"/>
      <w:bookmarkStart w:id="1647" w:name="_Toc38890725"/>
      <w:bookmarkStart w:id="1648" w:name="_Toc39425320"/>
      <w:bookmarkStart w:id="1649" w:name="_Toc38890726"/>
      <w:bookmarkStart w:id="1650" w:name="_Toc39425321"/>
      <w:bookmarkStart w:id="1651" w:name="_Toc38890727"/>
      <w:bookmarkStart w:id="1652" w:name="_Toc39425322"/>
      <w:bookmarkStart w:id="1653" w:name="_Toc38890728"/>
      <w:bookmarkStart w:id="1654" w:name="_Toc39425323"/>
      <w:bookmarkStart w:id="1655" w:name="_Toc38890729"/>
      <w:bookmarkStart w:id="1656" w:name="_Toc39425324"/>
      <w:bookmarkStart w:id="1657" w:name="_Toc38890730"/>
      <w:bookmarkStart w:id="1658" w:name="_Toc39425325"/>
      <w:bookmarkStart w:id="1659" w:name="_Toc38890731"/>
      <w:bookmarkStart w:id="1660" w:name="_Toc39425326"/>
      <w:bookmarkStart w:id="1661" w:name="_Toc38890732"/>
      <w:bookmarkStart w:id="1662" w:name="_Toc39425327"/>
      <w:bookmarkStart w:id="1663" w:name="_Toc38890733"/>
      <w:bookmarkStart w:id="1664" w:name="_Toc39425328"/>
      <w:bookmarkStart w:id="1665" w:name="_Toc38890734"/>
      <w:bookmarkStart w:id="1666" w:name="_Toc39425329"/>
      <w:bookmarkStart w:id="1667" w:name="_Toc38890735"/>
      <w:bookmarkStart w:id="1668" w:name="_Toc39425330"/>
      <w:bookmarkStart w:id="1669" w:name="_Toc38890736"/>
      <w:bookmarkStart w:id="1670" w:name="_Toc39425331"/>
      <w:bookmarkStart w:id="1671" w:name="_Toc38890737"/>
      <w:bookmarkStart w:id="1672" w:name="_Toc39425332"/>
      <w:bookmarkStart w:id="1673" w:name="_Toc38890738"/>
      <w:bookmarkStart w:id="1674" w:name="_Toc39425333"/>
      <w:bookmarkStart w:id="1675" w:name="_Toc38890739"/>
      <w:bookmarkStart w:id="1676" w:name="_Toc39425334"/>
      <w:bookmarkStart w:id="1677" w:name="_Toc38890740"/>
      <w:bookmarkStart w:id="1678" w:name="_Toc39425335"/>
      <w:bookmarkStart w:id="1679" w:name="_Toc1380577"/>
      <w:bookmarkStart w:id="1680" w:name="_Toc1466943"/>
      <w:bookmarkStart w:id="1681" w:name="_Toc1476914"/>
      <w:bookmarkStart w:id="1682" w:name="_Toc1743315"/>
      <w:bookmarkStart w:id="1683" w:name="_Toc1743860"/>
      <w:bookmarkStart w:id="1684" w:name="_Toc38319000"/>
      <w:bookmarkStart w:id="1685" w:name="_Toc38354546"/>
      <w:bookmarkStart w:id="1686" w:name="_Toc38890741"/>
      <w:bookmarkStart w:id="1687" w:name="_Toc39425336"/>
      <w:bookmarkStart w:id="1688" w:name="_Toc38319001"/>
      <w:bookmarkStart w:id="1689" w:name="_Toc38354547"/>
      <w:bookmarkStart w:id="1690" w:name="_Toc38890742"/>
      <w:bookmarkStart w:id="1691" w:name="_Toc39425337"/>
      <w:bookmarkStart w:id="1692" w:name="_Toc38319002"/>
      <w:bookmarkStart w:id="1693" w:name="_Toc38354548"/>
      <w:bookmarkStart w:id="1694" w:name="_Toc38890743"/>
      <w:bookmarkStart w:id="1695" w:name="_Toc39425338"/>
      <w:bookmarkStart w:id="1696" w:name="_Toc38319003"/>
      <w:bookmarkStart w:id="1697" w:name="_Toc38354549"/>
      <w:bookmarkStart w:id="1698" w:name="_Toc38890744"/>
      <w:bookmarkStart w:id="1699" w:name="_Toc39425339"/>
      <w:bookmarkStart w:id="1700" w:name="_Toc38319004"/>
      <w:bookmarkStart w:id="1701" w:name="_Toc38354550"/>
      <w:bookmarkStart w:id="1702" w:name="_Toc38890745"/>
      <w:bookmarkStart w:id="1703" w:name="_Toc39425340"/>
      <w:bookmarkStart w:id="1704" w:name="_Toc38319005"/>
      <w:bookmarkStart w:id="1705" w:name="_Toc38354551"/>
      <w:bookmarkStart w:id="1706" w:name="_Toc38890746"/>
      <w:bookmarkStart w:id="1707" w:name="_Toc39425341"/>
      <w:bookmarkStart w:id="1708" w:name="_Toc38319006"/>
      <w:bookmarkStart w:id="1709" w:name="_Toc38354552"/>
      <w:bookmarkStart w:id="1710" w:name="_Toc38890747"/>
      <w:bookmarkStart w:id="1711" w:name="_Toc39425342"/>
      <w:bookmarkStart w:id="1712" w:name="_Toc38319007"/>
      <w:bookmarkStart w:id="1713" w:name="_Toc38354553"/>
      <w:bookmarkStart w:id="1714" w:name="_Toc38890748"/>
      <w:bookmarkStart w:id="1715" w:name="_Toc39425343"/>
      <w:bookmarkStart w:id="1716" w:name="_Toc38319008"/>
      <w:bookmarkStart w:id="1717" w:name="_Toc38354554"/>
      <w:bookmarkStart w:id="1718" w:name="_Toc38890749"/>
      <w:bookmarkStart w:id="1719" w:name="_Toc39425344"/>
      <w:bookmarkStart w:id="1720" w:name="_Toc38319009"/>
      <w:bookmarkStart w:id="1721" w:name="_Toc38354555"/>
      <w:bookmarkStart w:id="1722" w:name="_Toc38890750"/>
      <w:bookmarkStart w:id="1723" w:name="_Toc39425345"/>
      <w:bookmarkStart w:id="1724" w:name="_Toc38319010"/>
      <w:bookmarkStart w:id="1725" w:name="_Toc38354556"/>
      <w:bookmarkStart w:id="1726" w:name="_Toc38890751"/>
      <w:bookmarkStart w:id="1727" w:name="_Toc39425346"/>
      <w:bookmarkStart w:id="1728" w:name="_Toc38319011"/>
      <w:bookmarkStart w:id="1729" w:name="_Toc38354557"/>
      <w:bookmarkStart w:id="1730" w:name="_Toc38890752"/>
      <w:bookmarkStart w:id="1731" w:name="_Toc39425347"/>
      <w:bookmarkStart w:id="1732" w:name="_Toc38319012"/>
      <w:bookmarkStart w:id="1733" w:name="_Toc38354558"/>
      <w:bookmarkStart w:id="1734" w:name="_Toc38890753"/>
      <w:bookmarkStart w:id="1735" w:name="_Toc39425348"/>
      <w:bookmarkStart w:id="1736" w:name="_Toc38319013"/>
      <w:bookmarkStart w:id="1737" w:name="_Toc38354559"/>
      <w:bookmarkStart w:id="1738" w:name="_Toc38890754"/>
      <w:bookmarkStart w:id="1739" w:name="_Toc39425349"/>
      <w:bookmarkStart w:id="1740" w:name="_Toc38319014"/>
      <w:bookmarkStart w:id="1741" w:name="_Toc38354560"/>
      <w:bookmarkStart w:id="1742" w:name="_Toc38890755"/>
      <w:bookmarkStart w:id="1743" w:name="_Toc39425350"/>
      <w:bookmarkStart w:id="1744" w:name="_Toc38319015"/>
      <w:bookmarkStart w:id="1745" w:name="_Toc38354561"/>
      <w:bookmarkStart w:id="1746" w:name="_Toc38890756"/>
      <w:bookmarkStart w:id="1747" w:name="_Toc39425351"/>
      <w:bookmarkStart w:id="1748" w:name="_Toc38319016"/>
      <w:bookmarkStart w:id="1749" w:name="_Toc38354562"/>
      <w:bookmarkStart w:id="1750" w:name="_Toc38890757"/>
      <w:bookmarkStart w:id="1751" w:name="_Toc39425352"/>
      <w:bookmarkStart w:id="1752" w:name="_Toc38319017"/>
      <w:bookmarkStart w:id="1753" w:name="_Toc38354563"/>
      <w:bookmarkStart w:id="1754" w:name="_Toc38890758"/>
      <w:bookmarkStart w:id="1755" w:name="_Toc39425353"/>
      <w:bookmarkStart w:id="1756" w:name="_Toc38319018"/>
      <w:bookmarkStart w:id="1757" w:name="_Toc38354564"/>
      <w:bookmarkStart w:id="1758" w:name="_Toc38890759"/>
      <w:bookmarkStart w:id="1759" w:name="_Toc39425354"/>
      <w:bookmarkStart w:id="1760" w:name="_Toc38319019"/>
      <w:bookmarkStart w:id="1761" w:name="_Toc38354565"/>
      <w:bookmarkStart w:id="1762" w:name="_Toc38890760"/>
      <w:bookmarkStart w:id="1763" w:name="_Toc39425355"/>
      <w:bookmarkStart w:id="1764" w:name="_Toc38319020"/>
      <w:bookmarkStart w:id="1765" w:name="_Toc38354566"/>
      <w:bookmarkStart w:id="1766" w:name="_Toc38890761"/>
      <w:bookmarkStart w:id="1767" w:name="_Toc39425356"/>
      <w:bookmarkStart w:id="1768" w:name="_Toc38319021"/>
      <w:bookmarkStart w:id="1769" w:name="_Toc38354567"/>
      <w:bookmarkStart w:id="1770" w:name="_Toc38890762"/>
      <w:bookmarkStart w:id="1771" w:name="_Toc39425357"/>
      <w:bookmarkStart w:id="1772" w:name="_Toc38319022"/>
      <w:bookmarkStart w:id="1773" w:name="_Toc38354568"/>
      <w:bookmarkStart w:id="1774" w:name="_Toc38890763"/>
      <w:bookmarkStart w:id="1775" w:name="_Toc39425358"/>
      <w:bookmarkStart w:id="1776" w:name="_Toc38319023"/>
      <w:bookmarkStart w:id="1777" w:name="_Toc38354569"/>
      <w:bookmarkStart w:id="1778" w:name="_Toc38890764"/>
      <w:bookmarkStart w:id="1779" w:name="_Toc39425359"/>
      <w:bookmarkStart w:id="1780" w:name="_Toc38319024"/>
      <w:bookmarkStart w:id="1781" w:name="_Toc38354570"/>
      <w:bookmarkStart w:id="1782" w:name="_Toc38890765"/>
      <w:bookmarkStart w:id="1783" w:name="_Toc39425360"/>
      <w:bookmarkStart w:id="1784" w:name="_Toc38319025"/>
      <w:bookmarkStart w:id="1785" w:name="_Toc38354571"/>
      <w:bookmarkStart w:id="1786" w:name="_Toc38890766"/>
      <w:bookmarkStart w:id="1787" w:name="_Toc39425361"/>
      <w:bookmarkStart w:id="1788" w:name="_Toc38319026"/>
      <w:bookmarkStart w:id="1789" w:name="_Toc38354572"/>
      <w:bookmarkStart w:id="1790" w:name="_Toc38890767"/>
      <w:bookmarkStart w:id="1791" w:name="_Toc39425362"/>
      <w:bookmarkStart w:id="1792" w:name="_Toc38319027"/>
      <w:bookmarkStart w:id="1793" w:name="_Toc38354573"/>
      <w:bookmarkStart w:id="1794" w:name="_Toc38890768"/>
      <w:bookmarkStart w:id="1795" w:name="_Toc39425363"/>
      <w:bookmarkStart w:id="1796" w:name="_Toc38319028"/>
      <w:bookmarkStart w:id="1797" w:name="_Toc38354574"/>
      <w:bookmarkStart w:id="1798" w:name="_Toc38890769"/>
      <w:bookmarkStart w:id="1799" w:name="_Toc39425364"/>
      <w:bookmarkStart w:id="1800" w:name="_Toc38319029"/>
      <w:bookmarkStart w:id="1801" w:name="_Toc38354575"/>
      <w:bookmarkStart w:id="1802" w:name="_Toc38890770"/>
      <w:bookmarkStart w:id="1803" w:name="_Toc39425365"/>
      <w:bookmarkStart w:id="1804" w:name="_Toc38319030"/>
      <w:bookmarkStart w:id="1805" w:name="_Toc38354576"/>
      <w:bookmarkStart w:id="1806" w:name="_Toc38890771"/>
      <w:bookmarkStart w:id="1807" w:name="_Toc39425366"/>
      <w:bookmarkStart w:id="1808" w:name="_Toc38319031"/>
      <w:bookmarkStart w:id="1809" w:name="_Toc38354577"/>
      <w:bookmarkStart w:id="1810" w:name="_Toc38890772"/>
      <w:bookmarkStart w:id="1811" w:name="_Toc39425367"/>
      <w:bookmarkStart w:id="1812" w:name="_Toc38319032"/>
      <w:bookmarkStart w:id="1813" w:name="_Toc38354578"/>
      <w:bookmarkStart w:id="1814" w:name="_Toc38890773"/>
      <w:bookmarkStart w:id="1815" w:name="_Toc39425368"/>
      <w:bookmarkStart w:id="1816" w:name="_Toc38319033"/>
      <w:bookmarkStart w:id="1817" w:name="_Toc38354579"/>
      <w:bookmarkStart w:id="1818" w:name="_Toc38890774"/>
      <w:bookmarkStart w:id="1819" w:name="_Toc39425369"/>
      <w:bookmarkStart w:id="1820" w:name="_Toc38319034"/>
      <w:bookmarkStart w:id="1821" w:name="_Toc38354580"/>
      <w:bookmarkStart w:id="1822" w:name="_Toc38890775"/>
      <w:bookmarkStart w:id="1823" w:name="_Toc39425370"/>
      <w:bookmarkStart w:id="1824" w:name="_Toc38319035"/>
      <w:bookmarkStart w:id="1825" w:name="_Toc38354581"/>
      <w:bookmarkStart w:id="1826" w:name="_Toc38890776"/>
      <w:bookmarkStart w:id="1827" w:name="_Toc39425371"/>
      <w:bookmarkStart w:id="1828" w:name="_Toc38319036"/>
      <w:bookmarkStart w:id="1829" w:name="_Toc38354582"/>
      <w:bookmarkStart w:id="1830" w:name="_Toc38890777"/>
      <w:bookmarkStart w:id="1831" w:name="_Toc39425372"/>
      <w:bookmarkStart w:id="1832" w:name="_Toc38319037"/>
      <w:bookmarkStart w:id="1833" w:name="_Toc38354583"/>
      <w:bookmarkStart w:id="1834" w:name="_Toc38890778"/>
      <w:bookmarkStart w:id="1835" w:name="_Toc39425373"/>
      <w:bookmarkStart w:id="1836" w:name="_Toc38319038"/>
      <w:bookmarkStart w:id="1837" w:name="_Toc38354584"/>
      <w:bookmarkStart w:id="1838" w:name="_Toc38890779"/>
      <w:bookmarkStart w:id="1839" w:name="_Toc39425374"/>
      <w:bookmarkStart w:id="1840" w:name="_Toc38319039"/>
      <w:bookmarkStart w:id="1841" w:name="_Toc38354585"/>
      <w:bookmarkStart w:id="1842" w:name="_Toc38890780"/>
      <w:bookmarkStart w:id="1843" w:name="_Toc39425375"/>
      <w:bookmarkStart w:id="1844" w:name="_Toc38319040"/>
      <w:bookmarkStart w:id="1845" w:name="_Toc38354586"/>
      <w:bookmarkStart w:id="1846" w:name="_Toc38890781"/>
      <w:bookmarkStart w:id="1847" w:name="_Toc39425376"/>
      <w:bookmarkStart w:id="1848" w:name="_Toc38319041"/>
      <w:bookmarkStart w:id="1849" w:name="_Toc38354587"/>
      <w:bookmarkStart w:id="1850" w:name="_Toc38890782"/>
      <w:bookmarkStart w:id="1851" w:name="_Toc39425377"/>
      <w:bookmarkStart w:id="1852" w:name="_Toc38319042"/>
      <w:bookmarkStart w:id="1853" w:name="_Toc38354588"/>
      <w:bookmarkStart w:id="1854" w:name="_Toc38890783"/>
      <w:bookmarkStart w:id="1855" w:name="_Toc39425378"/>
      <w:bookmarkStart w:id="1856" w:name="_Toc38319043"/>
      <w:bookmarkStart w:id="1857" w:name="_Toc38354589"/>
      <w:bookmarkStart w:id="1858" w:name="_Toc38890784"/>
      <w:bookmarkStart w:id="1859" w:name="_Toc39425379"/>
      <w:bookmarkStart w:id="1860" w:name="_Toc38319044"/>
      <w:bookmarkStart w:id="1861" w:name="_Toc38354590"/>
      <w:bookmarkStart w:id="1862" w:name="_Toc38890785"/>
      <w:bookmarkStart w:id="1863" w:name="_Toc39425380"/>
      <w:bookmarkStart w:id="1864" w:name="_Toc38319045"/>
      <w:bookmarkStart w:id="1865" w:name="_Toc38354591"/>
      <w:bookmarkStart w:id="1866" w:name="_Toc38890786"/>
      <w:bookmarkStart w:id="1867" w:name="_Toc39425381"/>
      <w:bookmarkStart w:id="1868" w:name="_Toc38319046"/>
      <w:bookmarkStart w:id="1869" w:name="_Toc38354592"/>
      <w:bookmarkStart w:id="1870" w:name="_Toc38890787"/>
      <w:bookmarkStart w:id="1871" w:name="_Toc39425382"/>
      <w:bookmarkStart w:id="1872" w:name="_Toc38319047"/>
      <w:bookmarkStart w:id="1873" w:name="_Toc38354593"/>
      <w:bookmarkStart w:id="1874" w:name="_Toc38890788"/>
      <w:bookmarkStart w:id="1875" w:name="_Toc39425383"/>
      <w:bookmarkStart w:id="1876" w:name="_Toc38319048"/>
      <w:bookmarkStart w:id="1877" w:name="_Toc38354594"/>
      <w:bookmarkStart w:id="1878" w:name="_Toc38890789"/>
      <w:bookmarkStart w:id="1879" w:name="_Toc39425384"/>
      <w:bookmarkStart w:id="1880" w:name="_Toc38319049"/>
      <w:bookmarkStart w:id="1881" w:name="_Toc38354595"/>
      <w:bookmarkStart w:id="1882" w:name="_Toc38890790"/>
      <w:bookmarkStart w:id="1883" w:name="_Toc39425385"/>
      <w:bookmarkStart w:id="1884" w:name="_Toc38319050"/>
      <w:bookmarkStart w:id="1885" w:name="_Toc38354596"/>
      <w:bookmarkStart w:id="1886" w:name="_Toc38890791"/>
      <w:bookmarkStart w:id="1887" w:name="_Toc39425386"/>
      <w:bookmarkStart w:id="1888" w:name="_Toc38319051"/>
      <w:bookmarkStart w:id="1889" w:name="_Toc38354597"/>
      <w:bookmarkStart w:id="1890" w:name="_Toc38890792"/>
      <w:bookmarkStart w:id="1891" w:name="_Toc39425387"/>
      <w:bookmarkStart w:id="1892" w:name="_Toc38319052"/>
      <w:bookmarkStart w:id="1893" w:name="_Toc38354598"/>
      <w:bookmarkStart w:id="1894" w:name="_Toc38890793"/>
      <w:bookmarkStart w:id="1895" w:name="_Toc39425388"/>
      <w:bookmarkStart w:id="1896" w:name="_Toc38319053"/>
      <w:bookmarkStart w:id="1897" w:name="_Toc38354599"/>
      <w:bookmarkStart w:id="1898" w:name="_Toc38890794"/>
      <w:bookmarkStart w:id="1899" w:name="_Toc39425389"/>
      <w:bookmarkStart w:id="1900" w:name="_Toc38319054"/>
      <w:bookmarkStart w:id="1901" w:name="_Toc38354600"/>
      <w:bookmarkStart w:id="1902" w:name="_Toc38890795"/>
      <w:bookmarkStart w:id="1903" w:name="_Toc39425390"/>
      <w:bookmarkStart w:id="1904" w:name="_Toc38319055"/>
      <w:bookmarkStart w:id="1905" w:name="_Toc38354601"/>
      <w:bookmarkStart w:id="1906" w:name="_Toc38890796"/>
      <w:bookmarkStart w:id="1907" w:name="_Toc39425391"/>
      <w:bookmarkStart w:id="1908" w:name="_Toc38319056"/>
      <w:bookmarkStart w:id="1909" w:name="_Toc38354602"/>
      <w:bookmarkStart w:id="1910" w:name="_Toc38890797"/>
      <w:bookmarkStart w:id="1911" w:name="_Toc39425392"/>
      <w:bookmarkStart w:id="1912" w:name="_Toc38319057"/>
      <w:bookmarkStart w:id="1913" w:name="_Toc38354603"/>
      <w:bookmarkStart w:id="1914" w:name="_Toc38890798"/>
      <w:bookmarkStart w:id="1915" w:name="_Toc39425393"/>
      <w:bookmarkStart w:id="1916" w:name="_Toc38319058"/>
      <w:bookmarkStart w:id="1917" w:name="_Toc38354604"/>
      <w:bookmarkStart w:id="1918" w:name="_Toc38890799"/>
      <w:bookmarkStart w:id="1919" w:name="_Toc39425394"/>
      <w:bookmarkStart w:id="1920" w:name="_Toc38319059"/>
      <w:bookmarkStart w:id="1921" w:name="_Toc38354605"/>
      <w:bookmarkStart w:id="1922" w:name="_Toc38890800"/>
      <w:bookmarkStart w:id="1923" w:name="_Toc39425395"/>
      <w:bookmarkStart w:id="1924" w:name="_Toc38319060"/>
      <w:bookmarkStart w:id="1925" w:name="_Toc38354606"/>
      <w:bookmarkStart w:id="1926" w:name="_Toc38890801"/>
      <w:bookmarkStart w:id="1927" w:name="_Toc39425396"/>
      <w:bookmarkStart w:id="1928" w:name="_Toc38319061"/>
      <w:bookmarkStart w:id="1929" w:name="_Toc38354607"/>
      <w:bookmarkStart w:id="1930" w:name="_Toc38890802"/>
      <w:bookmarkStart w:id="1931" w:name="_Toc39425397"/>
      <w:bookmarkStart w:id="1932" w:name="_Toc38319062"/>
      <w:bookmarkStart w:id="1933" w:name="_Toc38354608"/>
      <w:bookmarkStart w:id="1934" w:name="_Toc38890803"/>
      <w:bookmarkStart w:id="1935" w:name="_Toc39425398"/>
      <w:bookmarkStart w:id="1936" w:name="_Toc38319063"/>
      <w:bookmarkStart w:id="1937" w:name="_Toc38354609"/>
      <w:bookmarkStart w:id="1938" w:name="_Toc38890804"/>
      <w:bookmarkStart w:id="1939" w:name="_Toc39425399"/>
      <w:bookmarkStart w:id="1940" w:name="_Toc38319064"/>
      <w:bookmarkStart w:id="1941" w:name="_Toc38354610"/>
      <w:bookmarkStart w:id="1942" w:name="_Toc38890805"/>
      <w:bookmarkStart w:id="1943" w:name="_Toc39425400"/>
      <w:bookmarkStart w:id="1944" w:name="_Toc38319065"/>
      <w:bookmarkStart w:id="1945" w:name="_Toc38354611"/>
      <w:bookmarkStart w:id="1946" w:name="_Toc38890806"/>
      <w:bookmarkStart w:id="1947" w:name="_Toc39425401"/>
      <w:bookmarkStart w:id="1948" w:name="_Toc38319066"/>
      <w:bookmarkStart w:id="1949" w:name="_Toc38354612"/>
      <w:bookmarkStart w:id="1950" w:name="_Toc38890807"/>
      <w:bookmarkStart w:id="1951" w:name="_Toc39425402"/>
      <w:bookmarkStart w:id="1952" w:name="_Toc38319067"/>
      <w:bookmarkStart w:id="1953" w:name="_Toc38354613"/>
      <w:bookmarkStart w:id="1954" w:name="_Toc38890808"/>
      <w:bookmarkStart w:id="1955" w:name="_Toc39425403"/>
      <w:bookmarkStart w:id="1956" w:name="_Toc38319068"/>
      <w:bookmarkStart w:id="1957" w:name="_Toc38354614"/>
      <w:bookmarkStart w:id="1958" w:name="_Toc38890809"/>
      <w:bookmarkStart w:id="1959" w:name="_Toc39425404"/>
      <w:bookmarkStart w:id="1960" w:name="_Toc38319069"/>
      <w:bookmarkStart w:id="1961" w:name="_Toc38354615"/>
      <w:bookmarkStart w:id="1962" w:name="_Toc38890810"/>
      <w:bookmarkStart w:id="1963" w:name="_Toc39425405"/>
      <w:bookmarkStart w:id="1964" w:name="_Toc38319070"/>
      <w:bookmarkStart w:id="1965" w:name="_Toc38354616"/>
      <w:bookmarkStart w:id="1966" w:name="_Toc38890811"/>
      <w:bookmarkStart w:id="1967" w:name="_Toc39425406"/>
      <w:bookmarkStart w:id="1968" w:name="_Toc38319071"/>
      <w:bookmarkStart w:id="1969" w:name="_Toc38354617"/>
      <w:bookmarkStart w:id="1970" w:name="_Toc38890812"/>
      <w:bookmarkStart w:id="1971" w:name="_Toc39425407"/>
      <w:bookmarkStart w:id="1972" w:name="_Toc38319072"/>
      <w:bookmarkStart w:id="1973" w:name="_Toc38354618"/>
      <w:bookmarkStart w:id="1974" w:name="_Toc38890813"/>
      <w:bookmarkStart w:id="1975" w:name="_Toc39425408"/>
      <w:bookmarkStart w:id="1976" w:name="_Toc38319073"/>
      <w:bookmarkStart w:id="1977" w:name="_Toc38354619"/>
      <w:bookmarkStart w:id="1978" w:name="_Toc38890814"/>
      <w:bookmarkStart w:id="1979" w:name="_Toc39425409"/>
      <w:bookmarkStart w:id="1980" w:name="_Toc38319074"/>
      <w:bookmarkStart w:id="1981" w:name="_Toc38354620"/>
      <w:bookmarkStart w:id="1982" w:name="_Toc38890815"/>
      <w:bookmarkStart w:id="1983" w:name="_Toc39425410"/>
      <w:bookmarkStart w:id="1984" w:name="_Toc38319075"/>
      <w:bookmarkStart w:id="1985" w:name="_Toc38354621"/>
      <w:bookmarkStart w:id="1986" w:name="_Toc38890816"/>
      <w:bookmarkStart w:id="1987" w:name="_Toc39425411"/>
      <w:bookmarkStart w:id="1988" w:name="_Toc38319076"/>
      <w:bookmarkStart w:id="1989" w:name="_Toc38354622"/>
      <w:bookmarkStart w:id="1990" w:name="_Toc38890817"/>
      <w:bookmarkStart w:id="1991" w:name="_Toc39425412"/>
      <w:bookmarkStart w:id="1992" w:name="_Toc38319077"/>
      <w:bookmarkStart w:id="1993" w:name="_Toc38354623"/>
      <w:bookmarkStart w:id="1994" w:name="_Toc38890818"/>
      <w:bookmarkStart w:id="1995" w:name="_Toc39425413"/>
      <w:bookmarkStart w:id="1996" w:name="_Toc38319078"/>
      <w:bookmarkStart w:id="1997" w:name="_Toc38354624"/>
      <w:bookmarkStart w:id="1998" w:name="_Toc38890819"/>
      <w:bookmarkStart w:id="1999" w:name="_Toc39425414"/>
      <w:bookmarkStart w:id="2000" w:name="_Toc38319079"/>
      <w:bookmarkStart w:id="2001" w:name="_Toc38354625"/>
      <w:bookmarkStart w:id="2002" w:name="_Toc38890820"/>
      <w:bookmarkStart w:id="2003" w:name="_Toc39425415"/>
      <w:bookmarkStart w:id="2004" w:name="_Toc38319080"/>
      <w:bookmarkStart w:id="2005" w:name="_Toc38354626"/>
      <w:bookmarkStart w:id="2006" w:name="_Toc38890821"/>
      <w:bookmarkStart w:id="2007" w:name="_Toc39425416"/>
      <w:bookmarkStart w:id="2008" w:name="_Toc38319081"/>
      <w:bookmarkStart w:id="2009" w:name="_Toc38354627"/>
      <w:bookmarkStart w:id="2010" w:name="_Toc38890822"/>
      <w:bookmarkStart w:id="2011" w:name="_Toc39425417"/>
      <w:bookmarkStart w:id="2012" w:name="_Toc38319082"/>
      <w:bookmarkStart w:id="2013" w:name="_Toc38354628"/>
      <w:bookmarkStart w:id="2014" w:name="_Toc38890823"/>
      <w:bookmarkStart w:id="2015" w:name="_Toc39425418"/>
      <w:bookmarkStart w:id="2016" w:name="_Toc38319083"/>
      <w:bookmarkStart w:id="2017" w:name="_Toc38354629"/>
      <w:bookmarkStart w:id="2018" w:name="_Toc38890824"/>
      <w:bookmarkStart w:id="2019" w:name="_Toc39425419"/>
      <w:bookmarkStart w:id="2020" w:name="_Toc38319084"/>
      <w:bookmarkStart w:id="2021" w:name="_Toc38354630"/>
      <w:bookmarkStart w:id="2022" w:name="_Toc38890825"/>
      <w:bookmarkStart w:id="2023" w:name="_Toc39425420"/>
      <w:bookmarkStart w:id="2024" w:name="_Toc38319085"/>
      <w:bookmarkStart w:id="2025" w:name="_Toc38354631"/>
      <w:bookmarkStart w:id="2026" w:name="_Toc38890826"/>
      <w:bookmarkStart w:id="2027" w:name="_Toc39425421"/>
      <w:bookmarkStart w:id="2028" w:name="_Toc38319086"/>
      <w:bookmarkStart w:id="2029" w:name="_Toc38354632"/>
      <w:bookmarkStart w:id="2030" w:name="_Toc38890827"/>
      <w:bookmarkStart w:id="2031" w:name="_Toc39425422"/>
      <w:bookmarkStart w:id="2032" w:name="_Toc38319087"/>
      <w:bookmarkStart w:id="2033" w:name="_Toc38354633"/>
      <w:bookmarkStart w:id="2034" w:name="_Toc38890828"/>
      <w:bookmarkStart w:id="2035" w:name="_Toc39425423"/>
      <w:bookmarkStart w:id="2036" w:name="_Toc38319088"/>
      <w:bookmarkStart w:id="2037" w:name="_Toc38354634"/>
      <w:bookmarkStart w:id="2038" w:name="_Toc38890829"/>
      <w:bookmarkStart w:id="2039" w:name="_Toc39425424"/>
      <w:bookmarkStart w:id="2040" w:name="_Toc38319089"/>
      <w:bookmarkStart w:id="2041" w:name="_Toc38354635"/>
      <w:bookmarkStart w:id="2042" w:name="_Toc38890830"/>
      <w:bookmarkStart w:id="2043" w:name="_Toc39425425"/>
      <w:bookmarkStart w:id="2044" w:name="_Toc38319090"/>
      <w:bookmarkStart w:id="2045" w:name="_Toc38354636"/>
      <w:bookmarkStart w:id="2046" w:name="_Toc38890831"/>
      <w:bookmarkStart w:id="2047" w:name="_Toc39425426"/>
      <w:bookmarkStart w:id="2048" w:name="_Toc38319091"/>
      <w:bookmarkStart w:id="2049" w:name="_Toc38354637"/>
      <w:bookmarkStart w:id="2050" w:name="_Toc38890832"/>
      <w:bookmarkStart w:id="2051" w:name="_Toc39425427"/>
      <w:bookmarkStart w:id="2052" w:name="_Toc38319092"/>
      <w:bookmarkStart w:id="2053" w:name="_Toc38354638"/>
      <w:bookmarkStart w:id="2054" w:name="_Toc38890833"/>
      <w:bookmarkStart w:id="2055" w:name="_Toc39425428"/>
      <w:bookmarkStart w:id="2056" w:name="_Toc38319093"/>
      <w:bookmarkStart w:id="2057" w:name="_Toc38354639"/>
      <w:bookmarkStart w:id="2058" w:name="_Toc38890834"/>
      <w:bookmarkStart w:id="2059" w:name="_Toc39425429"/>
      <w:bookmarkStart w:id="2060" w:name="_Toc38319094"/>
      <w:bookmarkStart w:id="2061" w:name="_Toc38354640"/>
      <w:bookmarkStart w:id="2062" w:name="_Toc38890835"/>
      <w:bookmarkStart w:id="2063" w:name="_Toc39425430"/>
      <w:bookmarkStart w:id="2064" w:name="_Toc38319095"/>
      <w:bookmarkStart w:id="2065" w:name="_Toc38354641"/>
      <w:bookmarkStart w:id="2066" w:name="_Toc38890836"/>
      <w:bookmarkStart w:id="2067" w:name="_Toc39425431"/>
      <w:bookmarkStart w:id="2068" w:name="_Toc38319096"/>
      <w:bookmarkStart w:id="2069" w:name="_Toc38354642"/>
      <w:bookmarkStart w:id="2070" w:name="_Toc38890837"/>
      <w:bookmarkStart w:id="2071" w:name="_Toc39425432"/>
      <w:bookmarkStart w:id="2072" w:name="_Toc38319097"/>
      <w:bookmarkStart w:id="2073" w:name="_Toc38354643"/>
      <w:bookmarkStart w:id="2074" w:name="_Toc38890838"/>
      <w:bookmarkStart w:id="2075" w:name="_Toc39425433"/>
      <w:bookmarkStart w:id="2076" w:name="_Toc38319098"/>
      <w:bookmarkStart w:id="2077" w:name="_Toc38354644"/>
      <w:bookmarkStart w:id="2078" w:name="_Toc38890839"/>
      <w:bookmarkStart w:id="2079" w:name="_Toc39425434"/>
      <w:bookmarkStart w:id="2080" w:name="_Toc38319099"/>
      <w:bookmarkStart w:id="2081" w:name="_Toc38354645"/>
      <w:bookmarkStart w:id="2082" w:name="_Toc38890840"/>
      <w:bookmarkStart w:id="2083" w:name="_Toc39425435"/>
      <w:bookmarkStart w:id="2084" w:name="_Toc38319100"/>
      <w:bookmarkStart w:id="2085" w:name="_Toc38354646"/>
      <w:bookmarkStart w:id="2086" w:name="_Toc38890841"/>
      <w:bookmarkStart w:id="2087" w:name="_Toc39425436"/>
      <w:bookmarkStart w:id="2088" w:name="_Toc38319101"/>
      <w:bookmarkStart w:id="2089" w:name="_Toc38354647"/>
      <w:bookmarkStart w:id="2090" w:name="_Toc38890842"/>
      <w:bookmarkStart w:id="2091" w:name="_Toc39425437"/>
      <w:bookmarkStart w:id="2092" w:name="_Toc38319102"/>
      <w:bookmarkStart w:id="2093" w:name="_Toc38354648"/>
      <w:bookmarkStart w:id="2094" w:name="_Toc38890843"/>
      <w:bookmarkStart w:id="2095" w:name="_Toc39425438"/>
      <w:bookmarkStart w:id="2096" w:name="_Toc38319103"/>
      <w:bookmarkStart w:id="2097" w:name="_Toc38354649"/>
      <w:bookmarkStart w:id="2098" w:name="_Toc38890844"/>
      <w:bookmarkStart w:id="2099" w:name="_Toc39425439"/>
      <w:bookmarkStart w:id="2100" w:name="_Toc38319104"/>
      <w:bookmarkStart w:id="2101" w:name="_Toc38354650"/>
      <w:bookmarkStart w:id="2102" w:name="_Toc38890845"/>
      <w:bookmarkStart w:id="2103" w:name="_Toc39425440"/>
      <w:bookmarkStart w:id="2104" w:name="_Toc38319105"/>
      <w:bookmarkStart w:id="2105" w:name="_Toc38354651"/>
      <w:bookmarkStart w:id="2106" w:name="_Toc38890846"/>
      <w:bookmarkStart w:id="2107" w:name="_Toc39425441"/>
      <w:bookmarkStart w:id="2108" w:name="_Toc38319106"/>
      <w:bookmarkStart w:id="2109" w:name="_Toc38354652"/>
      <w:bookmarkStart w:id="2110" w:name="_Toc38890847"/>
      <w:bookmarkStart w:id="2111" w:name="_Toc39425442"/>
      <w:bookmarkStart w:id="2112" w:name="_Toc38319107"/>
      <w:bookmarkStart w:id="2113" w:name="_Toc38354653"/>
      <w:bookmarkStart w:id="2114" w:name="_Toc38890848"/>
      <w:bookmarkStart w:id="2115" w:name="_Toc39425443"/>
      <w:bookmarkStart w:id="2116" w:name="_Toc38319108"/>
      <w:bookmarkStart w:id="2117" w:name="_Toc38354654"/>
      <w:bookmarkStart w:id="2118" w:name="_Toc38890849"/>
      <w:bookmarkStart w:id="2119" w:name="_Toc39425444"/>
      <w:bookmarkStart w:id="2120" w:name="_Toc38319109"/>
      <w:bookmarkStart w:id="2121" w:name="_Toc38354655"/>
      <w:bookmarkStart w:id="2122" w:name="_Toc38890850"/>
      <w:bookmarkStart w:id="2123" w:name="_Toc39425445"/>
      <w:bookmarkStart w:id="2124" w:name="_Toc38319110"/>
      <w:bookmarkStart w:id="2125" w:name="_Toc38354656"/>
      <w:bookmarkStart w:id="2126" w:name="_Toc38890851"/>
      <w:bookmarkStart w:id="2127" w:name="_Toc39425446"/>
      <w:bookmarkStart w:id="2128" w:name="_Toc38319111"/>
      <w:bookmarkStart w:id="2129" w:name="_Toc38354657"/>
      <w:bookmarkStart w:id="2130" w:name="_Toc38890852"/>
      <w:bookmarkStart w:id="2131" w:name="_Toc39425447"/>
      <w:bookmarkStart w:id="2132" w:name="_Toc38319112"/>
      <w:bookmarkStart w:id="2133" w:name="_Toc38354658"/>
      <w:bookmarkStart w:id="2134" w:name="_Toc38890853"/>
      <w:bookmarkStart w:id="2135" w:name="_Toc39425448"/>
      <w:bookmarkStart w:id="2136" w:name="_Toc38319113"/>
      <w:bookmarkStart w:id="2137" w:name="_Toc38354659"/>
      <w:bookmarkStart w:id="2138" w:name="_Toc38890854"/>
      <w:bookmarkStart w:id="2139" w:name="_Toc39425449"/>
      <w:bookmarkStart w:id="2140" w:name="_Toc38319114"/>
      <w:bookmarkStart w:id="2141" w:name="_Toc38354660"/>
      <w:bookmarkStart w:id="2142" w:name="_Toc38890855"/>
      <w:bookmarkStart w:id="2143" w:name="_Toc39425450"/>
      <w:bookmarkStart w:id="2144" w:name="_Toc38319115"/>
      <w:bookmarkStart w:id="2145" w:name="_Toc38354661"/>
      <w:bookmarkStart w:id="2146" w:name="_Toc38890856"/>
      <w:bookmarkStart w:id="2147" w:name="_Toc39425451"/>
      <w:bookmarkStart w:id="2148" w:name="_Toc38319116"/>
      <w:bookmarkStart w:id="2149" w:name="_Toc38354662"/>
      <w:bookmarkStart w:id="2150" w:name="_Toc38890857"/>
      <w:bookmarkStart w:id="2151" w:name="_Toc39425452"/>
      <w:bookmarkStart w:id="2152" w:name="_Toc38319117"/>
      <w:bookmarkStart w:id="2153" w:name="_Toc38354663"/>
      <w:bookmarkStart w:id="2154" w:name="_Toc38890858"/>
      <w:bookmarkStart w:id="2155" w:name="_Toc39425453"/>
      <w:bookmarkStart w:id="2156" w:name="_Toc38319118"/>
      <w:bookmarkStart w:id="2157" w:name="_Toc38354664"/>
      <w:bookmarkStart w:id="2158" w:name="_Toc38890859"/>
      <w:bookmarkStart w:id="2159" w:name="_Toc39425454"/>
      <w:bookmarkStart w:id="2160" w:name="_Toc38319119"/>
      <w:bookmarkStart w:id="2161" w:name="_Toc38354665"/>
      <w:bookmarkStart w:id="2162" w:name="_Toc38890860"/>
      <w:bookmarkStart w:id="2163" w:name="_Toc39425455"/>
      <w:bookmarkStart w:id="2164" w:name="_Toc38319120"/>
      <w:bookmarkStart w:id="2165" w:name="_Toc38354666"/>
      <w:bookmarkStart w:id="2166" w:name="_Toc38890861"/>
      <w:bookmarkStart w:id="2167" w:name="_Toc39425456"/>
      <w:bookmarkStart w:id="2168" w:name="_Toc38319121"/>
      <w:bookmarkStart w:id="2169" w:name="_Toc38354667"/>
      <w:bookmarkStart w:id="2170" w:name="_Toc38890862"/>
      <w:bookmarkStart w:id="2171" w:name="_Toc39425457"/>
      <w:bookmarkStart w:id="2172" w:name="_Toc38319122"/>
      <w:bookmarkStart w:id="2173" w:name="_Toc38354668"/>
      <w:bookmarkStart w:id="2174" w:name="_Toc38890863"/>
      <w:bookmarkStart w:id="2175" w:name="_Toc39425458"/>
      <w:bookmarkStart w:id="2176" w:name="_Toc38319123"/>
      <w:bookmarkStart w:id="2177" w:name="_Toc38354669"/>
      <w:bookmarkStart w:id="2178" w:name="_Toc38890864"/>
      <w:bookmarkStart w:id="2179" w:name="_Toc39425459"/>
      <w:bookmarkStart w:id="2180" w:name="_Toc38319124"/>
      <w:bookmarkStart w:id="2181" w:name="_Toc38354670"/>
      <w:bookmarkStart w:id="2182" w:name="_Toc38890865"/>
      <w:bookmarkStart w:id="2183" w:name="_Toc39425460"/>
      <w:bookmarkStart w:id="2184" w:name="_Toc38319125"/>
      <w:bookmarkStart w:id="2185" w:name="_Toc38354671"/>
      <w:bookmarkStart w:id="2186" w:name="_Toc38890866"/>
      <w:bookmarkStart w:id="2187" w:name="_Toc39425461"/>
      <w:bookmarkStart w:id="2188" w:name="_Toc38319126"/>
      <w:bookmarkStart w:id="2189" w:name="_Toc38354672"/>
      <w:bookmarkStart w:id="2190" w:name="_Toc38890867"/>
      <w:bookmarkStart w:id="2191" w:name="_Toc39425462"/>
      <w:bookmarkStart w:id="2192" w:name="_Toc38319127"/>
      <w:bookmarkStart w:id="2193" w:name="_Toc38354673"/>
      <w:bookmarkStart w:id="2194" w:name="_Toc38890868"/>
      <w:bookmarkStart w:id="2195" w:name="_Toc39425463"/>
      <w:bookmarkStart w:id="2196" w:name="_Toc38319128"/>
      <w:bookmarkStart w:id="2197" w:name="_Toc38354674"/>
      <w:bookmarkStart w:id="2198" w:name="_Toc38890869"/>
      <w:bookmarkStart w:id="2199" w:name="_Toc39425464"/>
      <w:bookmarkStart w:id="2200" w:name="_Toc38319129"/>
      <w:bookmarkStart w:id="2201" w:name="_Toc38354675"/>
      <w:bookmarkStart w:id="2202" w:name="_Toc38890870"/>
      <w:bookmarkStart w:id="2203" w:name="_Toc39425465"/>
      <w:bookmarkStart w:id="2204" w:name="_Toc38319130"/>
      <w:bookmarkStart w:id="2205" w:name="_Toc38354676"/>
      <w:bookmarkStart w:id="2206" w:name="_Toc38890871"/>
      <w:bookmarkStart w:id="2207" w:name="_Toc39425466"/>
      <w:bookmarkStart w:id="2208" w:name="_Toc38319131"/>
      <w:bookmarkStart w:id="2209" w:name="_Toc38354677"/>
      <w:bookmarkStart w:id="2210" w:name="_Toc38890872"/>
      <w:bookmarkStart w:id="2211" w:name="_Toc39425467"/>
      <w:bookmarkStart w:id="2212" w:name="_Toc38319132"/>
      <w:bookmarkStart w:id="2213" w:name="_Toc38354678"/>
      <w:bookmarkStart w:id="2214" w:name="_Toc38890873"/>
      <w:bookmarkStart w:id="2215" w:name="_Toc39425468"/>
      <w:bookmarkStart w:id="2216" w:name="_Toc38319133"/>
      <w:bookmarkStart w:id="2217" w:name="_Toc38354679"/>
      <w:bookmarkStart w:id="2218" w:name="_Toc38890874"/>
      <w:bookmarkStart w:id="2219" w:name="_Toc39425469"/>
      <w:bookmarkStart w:id="2220" w:name="_Toc38319134"/>
      <w:bookmarkStart w:id="2221" w:name="_Toc38354680"/>
      <w:bookmarkStart w:id="2222" w:name="_Toc38890875"/>
      <w:bookmarkStart w:id="2223" w:name="_Toc39425470"/>
      <w:bookmarkStart w:id="2224" w:name="_Toc38319135"/>
      <w:bookmarkStart w:id="2225" w:name="_Toc38354681"/>
      <w:bookmarkStart w:id="2226" w:name="_Toc38890876"/>
      <w:bookmarkStart w:id="2227" w:name="_Toc39425471"/>
      <w:bookmarkStart w:id="2228" w:name="_Toc38319136"/>
      <w:bookmarkStart w:id="2229" w:name="_Toc38354682"/>
      <w:bookmarkStart w:id="2230" w:name="_Toc38890877"/>
      <w:bookmarkStart w:id="2231" w:name="_Toc39425472"/>
      <w:bookmarkStart w:id="2232" w:name="_Toc38319137"/>
      <w:bookmarkStart w:id="2233" w:name="_Toc38354683"/>
      <w:bookmarkStart w:id="2234" w:name="_Toc38890878"/>
      <w:bookmarkStart w:id="2235" w:name="_Toc39425473"/>
      <w:bookmarkStart w:id="2236" w:name="_Toc38319138"/>
      <w:bookmarkStart w:id="2237" w:name="_Toc38354684"/>
      <w:bookmarkStart w:id="2238" w:name="_Toc38890879"/>
      <w:bookmarkStart w:id="2239" w:name="_Toc39425474"/>
      <w:bookmarkStart w:id="2240" w:name="_Toc38319139"/>
      <w:bookmarkStart w:id="2241" w:name="_Toc38354685"/>
      <w:bookmarkStart w:id="2242" w:name="_Toc38890880"/>
      <w:bookmarkStart w:id="2243" w:name="_Toc39425475"/>
      <w:bookmarkStart w:id="2244" w:name="_Toc38319140"/>
      <w:bookmarkStart w:id="2245" w:name="_Toc38354686"/>
      <w:bookmarkStart w:id="2246" w:name="_Toc38890881"/>
      <w:bookmarkStart w:id="2247" w:name="_Toc39425476"/>
      <w:bookmarkStart w:id="2248" w:name="_Toc38319141"/>
      <w:bookmarkStart w:id="2249" w:name="_Toc38354687"/>
      <w:bookmarkStart w:id="2250" w:name="_Toc38890882"/>
      <w:bookmarkStart w:id="2251" w:name="_Toc39425477"/>
      <w:bookmarkStart w:id="2252" w:name="_Toc38319142"/>
      <w:bookmarkStart w:id="2253" w:name="_Toc38354688"/>
      <w:bookmarkStart w:id="2254" w:name="_Toc38890883"/>
      <w:bookmarkStart w:id="2255" w:name="_Toc39425478"/>
      <w:bookmarkStart w:id="2256" w:name="_Toc38319143"/>
      <w:bookmarkStart w:id="2257" w:name="_Toc38354689"/>
      <w:bookmarkStart w:id="2258" w:name="_Toc38890884"/>
      <w:bookmarkStart w:id="2259" w:name="_Toc39425479"/>
      <w:bookmarkStart w:id="2260" w:name="_Toc38319144"/>
      <w:bookmarkStart w:id="2261" w:name="_Toc38354690"/>
      <w:bookmarkStart w:id="2262" w:name="_Toc38890885"/>
      <w:bookmarkStart w:id="2263" w:name="_Toc39425480"/>
      <w:bookmarkStart w:id="2264" w:name="_Toc38319145"/>
      <w:bookmarkStart w:id="2265" w:name="_Toc38354691"/>
      <w:bookmarkStart w:id="2266" w:name="_Toc38890886"/>
      <w:bookmarkStart w:id="2267" w:name="_Toc39425481"/>
      <w:bookmarkStart w:id="2268" w:name="_Toc38319146"/>
      <w:bookmarkStart w:id="2269" w:name="_Toc38354692"/>
      <w:bookmarkStart w:id="2270" w:name="_Toc38890887"/>
      <w:bookmarkStart w:id="2271" w:name="_Toc39425482"/>
      <w:bookmarkStart w:id="2272" w:name="_Toc38319147"/>
      <w:bookmarkStart w:id="2273" w:name="_Toc38354693"/>
      <w:bookmarkStart w:id="2274" w:name="_Toc38890888"/>
      <w:bookmarkStart w:id="2275" w:name="_Toc39425483"/>
      <w:bookmarkStart w:id="2276" w:name="_Toc38319148"/>
      <w:bookmarkStart w:id="2277" w:name="_Toc38354694"/>
      <w:bookmarkStart w:id="2278" w:name="_Toc38890889"/>
      <w:bookmarkStart w:id="2279" w:name="_Toc39425484"/>
      <w:bookmarkStart w:id="2280" w:name="_Toc38319149"/>
      <w:bookmarkStart w:id="2281" w:name="_Toc38354695"/>
      <w:bookmarkStart w:id="2282" w:name="_Toc38890890"/>
      <w:bookmarkStart w:id="2283" w:name="_Toc39425485"/>
      <w:bookmarkStart w:id="2284" w:name="_Toc38319150"/>
      <w:bookmarkStart w:id="2285" w:name="_Toc38354696"/>
      <w:bookmarkStart w:id="2286" w:name="_Toc38890891"/>
      <w:bookmarkStart w:id="2287" w:name="_Toc39425486"/>
      <w:bookmarkStart w:id="2288" w:name="_Toc38319151"/>
      <w:bookmarkStart w:id="2289" w:name="_Toc38354697"/>
      <w:bookmarkStart w:id="2290" w:name="_Toc38890892"/>
      <w:bookmarkStart w:id="2291" w:name="_Toc39425487"/>
      <w:bookmarkStart w:id="2292" w:name="_Toc38319152"/>
      <w:bookmarkStart w:id="2293" w:name="_Toc38354698"/>
      <w:bookmarkStart w:id="2294" w:name="_Toc38890893"/>
      <w:bookmarkStart w:id="2295" w:name="_Toc39425488"/>
      <w:bookmarkStart w:id="2296" w:name="_Toc38319153"/>
      <w:bookmarkStart w:id="2297" w:name="_Toc38354699"/>
      <w:bookmarkStart w:id="2298" w:name="_Toc38890894"/>
      <w:bookmarkStart w:id="2299" w:name="_Toc39425489"/>
      <w:bookmarkStart w:id="2300" w:name="_Toc38319154"/>
      <w:bookmarkStart w:id="2301" w:name="_Toc38354700"/>
      <w:bookmarkStart w:id="2302" w:name="_Toc38890895"/>
      <w:bookmarkStart w:id="2303" w:name="_Toc39425490"/>
      <w:bookmarkStart w:id="2304" w:name="_Toc29658972"/>
      <w:bookmarkStart w:id="2305" w:name="_Toc29723369"/>
      <w:bookmarkStart w:id="2306" w:name="_Toc29658973"/>
      <w:bookmarkStart w:id="2307" w:name="_Toc29723370"/>
      <w:bookmarkStart w:id="2308" w:name="_Toc29658974"/>
      <w:bookmarkStart w:id="2309" w:name="_Toc29723371"/>
      <w:bookmarkStart w:id="2310" w:name="_Toc29658975"/>
      <w:bookmarkStart w:id="2311" w:name="_Toc29723372"/>
      <w:bookmarkStart w:id="2312" w:name="_Toc29658976"/>
      <w:bookmarkStart w:id="2313" w:name="_Toc29723373"/>
      <w:bookmarkStart w:id="2314" w:name="_Toc18926734"/>
      <w:bookmarkStart w:id="2315" w:name="_Toc19035274"/>
      <w:bookmarkStart w:id="2316" w:name="_Toc19036211"/>
      <w:bookmarkStart w:id="2317" w:name="_Toc38319155"/>
      <w:bookmarkStart w:id="2318" w:name="_Toc38354701"/>
      <w:bookmarkStart w:id="2319" w:name="_Toc38890896"/>
      <w:bookmarkStart w:id="2320" w:name="_Toc39425491"/>
      <w:bookmarkStart w:id="2321" w:name="_Toc38319156"/>
      <w:bookmarkStart w:id="2322" w:name="_Toc38354702"/>
      <w:bookmarkStart w:id="2323" w:name="_Toc38890897"/>
      <w:bookmarkStart w:id="2324" w:name="_Toc39425492"/>
      <w:bookmarkStart w:id="2325" w:name="_Toc38319157"/>
      <w:bookmarkStart w:id="2326" w:name="_Toc38354703"/>
      <w:bookmarkStart w:id="2327" w:name="_Toc38890898"/>
      <w:bookmarkStart w:id="2328" w:name="_Toc39425493"/>
      <w:bookmarkStart w:id="2329" w:name="_Toc38319158"/>
      <w:bookmarkStart w:id="2330" w:name="_Toc38354704"/>
      <w:bookmarkStart w:id="2331" w:name="_Toc38890899"/>
      <w:bookmarkStart w:id="2332" w:name="_Toc39425494"/>
      <w:bookmarkStart w:id="2333" w:name="_Toc38319159"/>
      <w:bookmarkStart w:id="2334" w:name="_Toc38354705"/>
      <w:bookmarkStart w:id="2335" w:name="_Toc38890900"/>
      <w:bookmarkStart w:id="2336" w:name="_Toc39425495"/>
      <w:bookmarkStart w:id="2337" w:name="_Toc38319160"/>
      <w:bookmarkStart w:id="2338" w:name="_Toc38354706"/>
      <w:bookmarkStart w:id="2339" w:name="_Toc38890901"/>
      <w:bookmarkStart w:id="2340" w:name="_Toc39425496"/>
      <w:bookmarkStart w:id="2341" w:name="_Toc38319161"/>
      <w:bookmarkStart w:id="2342" w:name="_Toc38354707"/>
      <w:bookmarkStart w:id="2343" w:name="_Toc38890902"/>
      <w:bookmarkStart w:id="2344" w:name="_Toc39425497"/>
      <w:bookmarkStart w:id="2345" w:name="_Toc38319162"/>
      <w:bookmarkStart w:id="2346" w:name="_Toc38354708"/>
      <w:bookmarkStart w:id="2347" w:name="_Toc38890903"/>
      <w:bookmarkStart w:id="2348" w:name="_Toc39425498"/>
      <w:bookmarkStart w:id="2349" w:name="_Toc38319163"/>
      <w:bookmarkStart w:id="2350" w:name="_Toc38354709"/>
      <w:bookmarkStart w:id="2351" w:name="_Toc38890904"/>
      <w:bookmarkStart w:id="2352" w:name="_Toc39425499"/>
      <w:bookmarkStart w:id="2353" w:name="_Toc38319164"/>
      <w:bookmarkStart w:id="2354" w:name="_Toc38354710"/>
      <w:bookmarkStart w:id="2355" w:name="_Toc38890905"/>
      <w:bookmarkStart w:id="2356" w:name="_Toc39425500"/>
      <w:bookmarkStart w:id="2357" w:name="_Toc38319165"/>
      <w:bookmarkStart w:id="2358" w:name="_Toc38354711"/>
      <w:bookmarkStart w:id="2359" w:name="_Toc38890906"/>
      <w:bookmarkStart w:id="2360" w:name="_Toc39425501"/>
      <w:bookmarkStart w:id="2361" w:name="_Toc38319166"/>
      <w:bookmarkStart w:id="2362" w:name="_Toc38354712"/>
      <w:bookmarkStart w:id="2363" w:name="_Toc38890907"/>
      <w:bookmarkStart w:id="2364" w:name="_Toc39425502"/>
      <w:bookmarkStart w:id="2365" w:name="_Toc38319167"/>
      <w:bookmarkStart w:id="2366" w:name="_Toc38354713"/>
      <w:bookmarkStart w:id="2367" w:name="_Toc38890908"/>
      <w:bookmarkStart w:id="2368" w:name="_Toc39425503"/>
      <w:bookmarkStart w:id="2369" w:name="_Toc38319168"/>
      <w:bookmarkStart w:id="2370" w:name="_Toc38354714"/>
      <w:bookmarkStart w:id="2371" w:name="_Toc38890909"/>
      <w:bookmarkStart w:id="2372" w:name="_Toc39425504"/>
      <w:bookmarkStart w:id="2373" w:name="_Toc38319169"/>
      <w:bookmarkStart w:id="2374" w:name="_Toc38354715"/>
      <w:bookmarkStart w:id="2375" w:name="_Toc38890910"/>
      <w:bookmarkStart w:id="2376" w:name="_Toc39425505"/>
      <w:bookmarkStart w:id="2377" w:name="_Toc38319170"/>
      <w:bookmarkStart w:id="2378" w:name="_Toc38354716"/>
      <w:bookmarkStart w:id="2379" w:name="_Toc38890911"/>
      <w:bookmarkStart w:id="2380" w:name="_Toc39425506"/>
      <w:bookmarkStart w:id="2381" w:name="_Toc38319171"/>
      <w:bookmarkStart w:id="2382" w:name="_Toc38354717"/>
      <w:bookmarkStart w:id="2383" w:name="_Toc38890912"/>
      <w:bookmarkStart w:id="2384" w:name="_Toc39425507"/>
      <w:bookmarkStart w:id="2385" w:name="_Toc38319172"/>
      <w:bookmarkStart w:id="2386" w:name="_Toc38354718"/>
      <w:bookmarkStart w:id="2387" w:name="_Toc38890913"/>
      <w:bookmarkStart w:id="2388" w:name="_Toc39425508"/>
      <w:bookmarkStart w:id="2389" w:name="_Toc38319173"/>
      <w:bookmarkStart w:id="2390" w:name="_Toc38354719"/>
      <w:bookmarkStart w:id="2391" w:name="_Toc38890914"/>
      <w:bookmarkStart w:id="2392" w:name="_Toc39425509"/>
      <w:bookmarkStart w:id="2393" w:name="_Toc38319174"/>
      <w:bookmarkStart w:id="2394" w:name="_Toc38354720"/>
      <w:bookmarkStart w:id="2395" w:name="_Toc38890915"/>
      <w:bookmarkStart w:id="2396" w:name="_Toc39425510"/>
      <w:bookmarkStart w:id="2397" w:name="_Toc38319175"/>
      <w:bookmarkStart w:id="2398" w:name="_Toc38354721"/>
      <w:bookmarkStart w:id="2399" w:name="_Toc38890916"/>
      <w:bookmarkStart w:id="2400" w:name="_Toc39425511"/>
      <w:bookmarkStart w:id="2401" w:name="_Toc38319176"/>
      <w:bookmarkStart w:id="2402" w:name="_Toc38354722"/>
      <w:bookmarkStart w:id="2403" w:name="_Toc38890917"/>
      <w:bookmarkStart w:id="2404" w:name="_Toc39425512"/>
      <w:bookmarkStart w:id="2405" w:name="_Toc38319177"/>
      <w:bookmarkStart w:id="2406" w:name="_Toc38354723"/>
      <w:bookmarkStart w:id="2407" w:name="_Toc38890918"/>
      <w:bookmarkStart w:id="2408" w:name="_Toc39425513"/>
      <w:bookmarkStart w:id="2409" w:name="_Toc38319178"/>
      <w:bookmarkStart w:id="2410" w:name="_Toc38354724"/>
      <w:bookmarkStart w:id="2411" w:name="_Toc38890919"/>
      <w:bookmarkStart w:id="2412" w:name="_Toc39425514"/>
      <w:bookmarkStart w:id="2413" w:name="_Toc29658978"/>
      <w:bookmarkStart w:id="2414" w:name="_Toc29723375"/>
      <w:bookmarkStart w:id="2415" w:name="_Toc29658979"/>
      <w:bookmarkStart w:id="2416" w:name="_Toc29723376"/>
      <w:bookmarkStart w:id="2417" w:name="_Toc38319179"/>
      <w:bookmarkStart w:id="2418" w:name="_Toc38354725"/>
      <w:bookmarkStart w:id="2419" w:name="_Toc38890920"/>
      <w:bookmarkStart w:id="2420" w:name="_Toc39425515"/>
      <w:bookmarkStart w:id="2421" w:name="_Toc38319180"/>
      <w:bookmarkStart w:id="2422" w:name="_Toc38354726"/>
      <w:bookmarkStart w:id="2423" w:name="_Toc38890921"/>
      <w:bookmarkStart w:id="2424" w:name="_Toc39425516"/>
      <w:bookmarkStart w:id="2425" w:name="_Toc38319181"/>
      <w:bookmarkStart w:id="2426" w:name="_Toc38354727"/>
      <w:bookmarkStart w:id="2427" w:name="_Toc38890922"/>
      <w:bookmarkStart w:id="2428" w:name="_Toc39425517"/>
      <w:bookmarkStart w:id="2429" w:name="_Toc38319182"/>
      <w:bookmarkStart w:id="2430" w:name="_Toc38354728"/>
      <w:bookmarkStart w:id="2431" w:name="_Toc38890923"/>
      <w:bookmarkStart w:id="2432" w:name="_Toc39425518"/>
      <w:bookmarkStart w:id="2433" w:name="_Toc38319183"/>
      <w:bookmarkStart w:id="2434" w:name="_Toc38354729"/>
      <w:bookmarkStart w:id="2435" w:name="_Toc38890924"/>
      <w:bookmarkStart w:id="2436" w:name="_Toc39425519"/>
      <w:bookmarkStart w:id="2437" w:name="_Toc38319184"/>
      <w:bookmarkStart w:id="2438" w:name="_Toc38354730"/>
      <w:bookmarkStart w:id="2439" w:name="_Toc38890925"/>
      <w:bookmarkStart w:id="2440" w:name="_Toc39425520"/>
      <w:bookmarkStart w:id="2441" w:name="_Toc38319185"/>
      <w:bookmarkStart w:id="2442" w:name="_Toc38354731"/>
      <w:bookmarkStart w:id="2443" w:name="_Toc38890926"/>
      <w:bookmarkStart w:id="2444" w:name="_Toc39425521"/>
      <w:bookmarkStart w:id="2445" w:name="_Toc38319186"/>
      <w:bookmarkStart w:id="2446" w:name="_Toc38354732"/>
      <w:bookmarkStart w:id="2447" w:name="_Toc38890927"/>
      <w:bookmarkStart w:id="2448" w:name="_Toc39425522"/>
      <w:bookmarkStart w:id="2449" w:name="_Toc38319187"/>
      <w:bookmarkStart w:id="2450" w:name="_Toc38354733"/>
      <w:bookmarkStart w:id="2451" w:name="_Toc38890928"/>
      <w:bookmarkStart w:id="2452" w:name="_Toc39425523"/>
      <w:bookmarkStart w:id="2453" w:name="_Toc38319188"/>
      <w:bookmarkStart w:id="2454" w:name="_Toc38354734"/>
      <w:bookmarkStart w:id="2455" w:name="_Toc38890929"/>
      <w:bookmarkStart w:id="2456" w:name="_Toc39425524"/>
      <w:bookmarkStart w:id="2457" w:name="_Toc38319189"/>
      <w:bookmarkStart w:id="2458" w:name="_Toc38354735"/>
      <w:bookmarkStart w:id="2459" w:name="_Toc38890930"/>
      <w:bookmarkStart w:id="2460" w:name="_Toc39425525"/>
      <w:bookmarkStart w:id="2461" w:name="_Toc38319190"/>
      <w:bookmarkStart w:id="2462" w:name="_Toc38354736"/>
      <w:bookmarkStart w:id="2463" w:name="_Toc38890931"/>
      <w:bookmarkStart w:id="2464" w:name="_Toc39425526"/>
      <w:bookmarkStart w:id="2465" w:name="_Toc38319191"/>
      <w:bookmarkStart w:id="2466" w:name="_Toc38354737"/>
      <w:bookmarkStart w:id="2467" w:name="_Toc38890932"/>
      <w:bookmarkStart w:id="2468" w:name="_Toc39425527"/>
      <w:bookmarkStart w:id="2469" w:name="_Toc38319192"/>
      <w:bookmarkStart w:id="2470" w:name="_Toc38354738"/>
      <w:bookmarkStart w:id="2471" w:name="_Toc38890933"/>
      <w:bookmarkStart w:id="2472" w:name="_Toc39425528"/>
      <w:bookmarkStart w:id="2473" w:name="_Toc38319193"/>
      <w:bookmarkStart w:id="2474" w:name="_Toc38354739"/>
      <w:bookmarkStart w:id="2475" w:name="_Toc38890934"/>
      <w:bookmarkStart w:id="2476" w:name="_Toc39425529"/>
      <w:bookmarkStart w:id="2477" w:name="_Toc38319194"/>
      <w:bookmarkStart w:id="2478" w:name="_Toc38354740"/>
      <w:bookmarkStart w:id="2479" w:name="_Toc38890935"/>
      <w:bookmarkStart w:id="2480" w:name="_Toc39425530"/>
      <w:bookmarkStart w:id="2481" w:name="_Toc38319195"/>
      <w:bookmarkStart w:id="2482" w:name="_Toc38354741"/>
      <w:bookmarkStart w:id="2483" w:name="_Toc38890936"/>
      <w:bookmarkStart w:id="2484" w:name="_Toc39425531"/>
      <w:bookmarkStart w:id="2485" w:name="_Toc38319196"/>
      <w:bookmarkStart w:id="2486" w:name="_Toc38354742"/>
      <w:bookmarkStart w:id="2487" w:name="_Toc38890937"/>
      <w:bookmarkStart w:id="2488" w:name="_Toc39425532"/>
      <w:bookmarkStart w:id="2489" w:name="_Toc38319197"/>
      <w:bookmarkStart w:id="2490" w:name="_Toc38354743"/>
      <w:bookmarkStart w:id="2491" w:name="_Toc38890938"/>
      <w:bookmarkStart w:id="2492" w:name="_Toc39425533"/>
      <w:bookmarkStart w:id="2493" w:name="_Toc38319198"/>
      <w:bookmarkStart w:id="2494" w:name="_Toc38354744"/>
      <w:bookmarkStart w:id="2495" w:name="_Toc38890939"/>
      <w:bookmarkStart w:id="2496" w:name="_Toc39425534"/>
      <w:bookmarkStart w:id="2497" w:name="_Toc38319199"/>
      <w:bookmarkStart w:id="2498" w:name="_Toc38354745"/>
      <w:bookmarkStart w:id="2499" w:name="_Toc38890940"/>
      <w:bookmarkStart w:id="2500" w:name="_Toc39425535"/>
      <w:bookmarkStart w:id="2501" w:name="_Toc38319200"/>
      <w:bookmarkStart w:id="2502" w:name="_Toc38354746"/>
      <w:bookmarkStart w:id="2503" w:name="_Toc38890941"/>
      <w:bookmarkStart w:id="2504" w:name="_Toc39425536"/>
      <w:bookmarkStart w:id="2505" w:name="_Toc38319201"/>
      <w:bookmarkStart w:id="2506" w:name="_Toc38354747"/>
      <w:bookmarkStart w:id="2507" w:name="_Toc38890942"/>
      <w:bookmarkStart w:id="2508" w:name="_Toc39425537"/>
      <w:bookmarkStart w:id="2509" w:name="_Toc38319202"/>
      <w:bookmarkStart w:id="2510" w:name="_Toc38354748"/>
      <w:bookmarkStart w:id="2511" w:name="_Toc38890943"/>
      <w:bookmarkStart w:id="2512" w:name="_Toc39425538"/>
      <w:bookmarkStart w:id="2513" w:name="_Toc38319203"/>
      <w:bookmarkStart w:id="2514" w:name="_Toc38354749"/>
      <w:bookmarkStart w:id="2515" w:name="_Toc38890944"/>
      <w:bookmarkStart w:id="2516" w:name="_Toc39425539"/>
      <w:bookmarkStart w:id="2517" w:name="_Toc38319204"/>
      <w:bookmarkStart w:id="2518" w:name="_Toc38354750"/>
      <w:bookmarkStart w:id="2519" w:name="_Toc38890945"/>
      <w:bookmarkStart w:id="2520" w:name="_Toc39425540"/>
      <w:bookmarkStart w:id="2521" w:name="_Toc38319205"/>
      <w:bookmarkStart w:id="2522" w:name="_Toc38354751"/>
      <w:bookmarkStart w:id="2523" w:name="_Toc38890946"/>
      <w:bookmarkStart w:id="2524" w:name="_Toc39425541"/>
      <w:bookmarkStart w:id="2525" w:name="_Toc38319206"/>
      <w:bookmarkStart w:id="2526" w:name="_Toc38354752"/>
      <w:bookmarkStart w:id="2527" w:name="_Toc38890947"/>
      <w:bookmarkStart w:id="2528" w:name="_Toc39425542"/>
      <w:bookmarkStart w:id="2529" w:name="_Toc38319207"/>
      <w:bookmarkStart w:id="2530" w:name="_Toc38354753"/>
      <w:bookmarkStart w:id="2531" w:name="_Toc38890948"/>
      <w:bookmarkStart w:id="2532" w:name="_Toc39425543"/>
      <w:bookmarkStart w:id="2533" w:name="_Toc38319208"/>
      <w:bookmarkStart w:id="2534" w:name="_Toc38354754"/>
      <w:bookmarkStart w:id="2535" w:name="_Toc38890949"/>
      <w:bookmarkStart w:id="2536" w:name="_Toc39425544"/>
      <w:bookmarkStart w:id="2537" w:name="_Toc38319209"/>
      <w:bookmarkStart w:id="2538" w:name="_Toc38354755"/>
      <w:bookmarkStart w:id="2539" w:name="_Toc38890950"/>
      <w:bookmarkStart w:id="2540" w:name="_Toc39425545"/>
      <w:bookmarkStart w:id="2541" w:name="_Toc38319210"/>
      <w:bookmarkStart w:id="2542" w:name="_Toc38354756"/>
      <w:bookmarkStart w:id="2543" w:name="_Toc38890951"/>
      <w:bookmarkStart w:id="2544" w:name="_Toc39425546"/>
      <w:bookmarkStart w:id="2545" w:name="_Toc38319211"/>
      <w:bookmarkStart w:id="2546" w:name="_Toc38354757"/>
      <w:bookmarkStart w:id="2547" w:name="_Toc38890952"/>
      <w:bookmarkStart w:id="2548" w:name="_Toc39425547"/>
      <w:bookmarkStart w:id="2549" w:name="_Toc38319212"/>
      <w:bookmarkStart w:id="2550" w:name="_Toc38354758"/>
      <w:bookmarkStart w:id="2551" w:name="_Toc38890953"/>
      <w:bookmarkStart w:id="2552" w:name="_Toc39425548"/>
      <w:bookmarkStart w:id="2553" w:name="_Toc38319213"/>
      <w:bookmarkStart w:id="2554" w:name="_Toc38354759"/>
      <w:bookmarkStart w:id="2555" w:name="_Toc38890954"/>
      <w:bookmarkStart w:id="2556" w:name="_Toc39425549"/>
      <w:bookmarkStart w:id="2557" w:name="_Toc38319214"/>
      <w:bookmarkStart w:id="2558" w:name="_Toc38354760"/>
      <w:bookmarkStart w:id="2559" w:name="_Toc38890955"/>
      <w:bookmarkStart w:id="2560" w:name="_Toc39425550"/>
      <w:bookmarkStart w:id="2561" w:name="_Toc38319215"/>
      <w:bookmarkStart w:id="2562" w:name="_Toc38354761"/>
      <w:bookmarkStart w:id="2563" w:name="_Toc38890956"/>
      <w:bookmarkStart w:id="2564" w:name="_Toc39425551"/>
      <w:bookmarkStart w:id="2565" w:name="_Toc38319216"/>
      <w:bookmarkStart w:id="2566" w:name="_Toc38354762"/>
      <w:bookmarkStart w:id="2567" w:name="_Toc38890957"/>
      <w:bookmarkStart w:id="2568" w:name="_Toc39425552"/>
      <w:bookmarkStart w:id="2569" w:name="_Toc38319217"/>
      <w:bookmarkStart w:id="2570" w:name="_Toc38354763"/>
      <w:bookmarkStart w:id="2571" w:name="_Toc38890958"/>
      <w:bookmarkStart w:id="2572" w:name="_Toc39425553"/>
      <w:bookmarkStart w:id="2573" w:name="_Toc38319218"/>
      <w:bookmarkStart w:id="2574" w:name="_Toc38354764"/>
      <w:bookmarkStart w:id="2575" w:name="_Toc38890959"/>
      <w:bookmarkStart w:id="2576" w:name="_Toc39425554"/>
      <w:bookmarkStart w:id="2577" w:name="_Toc38319219"/>
      <w:bookmarkStart w:id="2578" w:name="_Toc38354765"/>
      <w:bookmarkStart w:id="2579" w:name="_Toc38890960"/>
      <w:bookmarkStart w:id="2580" w:name="_Toc39425555"/>
      <w:bookmarkStart w:id="2581" w:name="_Toc38319220"/>
      <w:bookmarkStart w:id="2582" w:name="_Toc38354766"/>
      <w:bookmarkStart w:id="2583" w:name="_Toc38890961"/>
      <w:bookmarkStart w:id="2584" w:name="_Toc39425556"/>
      <w:bookmarkStart w:id="2585" w:name="_Toc38319221"/>
      <w:bookmarkStart w:id="2586" w:name="_Toc38354767"/>
      <w:bookmarkStart w:id="2587" w:name="_Toc38890962"/>
      <w:bookmarkStart w:id="2588" w:name="_Toc39425557"/>
      <w:bookmarkStart w:id="2589" w:name="_Toc38319222"/>
      <w:bookmarkStart w:id="2590" w:name="_Toc38354768"/>
      <w:bookmarkStart w:id="2591" w:name="_Toc38890963"/>
      <w:bookmarkStart w:id="2592" w:name="_Toc39425558"/>
      <w:bookmarkStart w:id="2593" w:name="_Toc38319223"/>
      <w:bookmarkStart w:id="2594" w:name="_Toc38354769"/>
      <w:bookmarkStart w:id="2595" w:name="_Toc38890964"/>
      <w:bookmarkStart w:id="2596" w:name="_Toc39425559"/>
      <w:bookmarkStart w:id="2597" w:name="_Toc38319224"/>
      <w:bookmarkStart w:id="2598" w:name="_Toc38354770"/>
      <w:bookmarkStart w:id="2599" w:name="_Toc38890965"/>
      <w:bookmarkStart w:id="2600" w:name="_Toc39425560"/>
      <w:bookmarkStart w:id="2601" w:name="_Toc38319225"/>
      <w:bookmarkStart w:id="2602" w:name="_Toc38354771"/>
      <w:bookmarkStart w:id="2603" w:name="_Toc38890966"/>
      <w:bookmarkStart w:id="2604" w:name="_Toc39425561"/>
      <w:bookmarkStart w:id="2605" w:name="_Toc38319226"/>
      <w:bookmarkStart w:id="2606" w:name="_Toc38354772"/>
      <w:bookmarkStart w:id="2607" w:name="_Toc38890967"/>
      <w:bookmarkStart w:id="2608" w:name="_Toc39425562"/>
      <w:bookmarkStart w:id="2609" w:name="_Toc38319227"/>
      <w:bookmarkStart w:id="2610" w:name="_Toc38354773"/>
      <w:bookmarkStart w:id="2611" w:name="_Toc38890968"/>
      <w:bookmarkStart w:id="2612" w:name="_Toc39425563"/>
      <w:bookmarkStart w:id="2613" w:name="_Toc38319228"/>
      <w:bookmarkStart w:id="2614" w:name="_Toc38354774"/>
      <w:bookmarkStart w:id="2615" w:name="_Toc38890969"/>
      <w:bookmarkStart w:id="2616" w:name="_Toc39425564"/>
      <w:bookmarkStart w:id="2617" w:name="_Toc38319229"/>
      <w:bookmarkStart w:id="2618" w:name="_Toc38354775"/>
      <w:bookmarkStart w:id="2619" w:name="_Toc38890970"/>
      <w:bookmarkStart w:id="2620" w:name="_Toc39425565"/>
      <w:bookmarkStart w:id="2621" w:name="_Toc38319230"/>
      <w:bookmarkStart w:id="2622" w:name="_Toc38354776"/>
      <w:bookmarkStart w:id="2623" w:name="_Toc38890971"/>
      <w:bookmarkStart w:id="2624" w:name="_Toc39425566"/>
      <w:bookmarkStart w:id="2625" w:name="_Toc38319231"/>
      <w:bookmarkStart w:id="2626" w:name="_Toc38354777"/>
      <w:bookmarkStart w:id="2627" w:name="_Toc38890972"/>
      <w:bookmarkStart w:id="2628" w:name="_Toc39425567"/>
      <w:bookmarkStart w:id="2629" w:name="_Toc38319232"/>
      <w:bookmarkStart w:id="2630" w:name="_Toc38354778"/>
      <w:bookmarkStart w:id="2631" w:name="_Toc38890973"/>
      <w:bookmarkStart w:id="2632" w:name="_Toc39425568"/>
      <w:bookmarkStart w:id="2633" w:name="_Toc38319233"/>
      <w:bookmarkStart w:id="2634" w:name="_Toc38354779"/>
      <w:bookmarkStart w:id="2635" w:name="_Toc38890974"/>
      <w:bookmarkStart w:id="2636" w:name="_Toc39425569"/>
      <w:bookmarkStart w:id="2637" w:name="_Toc38319234"/>
      <w:bookmarkStart w:id="2638" w:name="_Toc38354780"/>
      <w:bookmarkStart w:id="2639" w:name="_Toc38890975"/>
      <w:bookmarkStart w:id="2640" w:name="_Toc39425570"/>
      <w:bookmarkStart w:id="2641" w:name="_Toc38319235"/>
      <w:bookmarkStart w:id="2642" w:name="_Toc38354781"/>
      <w:bookmarkStart w:id="2643" w:name="_Toc38890976"/>
      <w:bookmarkStart w:id="2644" w:name="_Toc39425571"/>
      <w:bookmarkStart w:id="2645" w:name="_Toc38319236"/>
      <w:bookmarkStart w:id="2646" w:name="_Toc38354782"/>
      <w:bookmarkStart w:id="2647" w:name="_Toc38890977"/>
      <w:bookmarkStart w:id="2648" w:name="_Toc39425572"/>
      <w:bookmarkStart w:id="2649" w:name="_Toc38319237"/>
      <w:bookmarkStart w:id="2650" w:name="_Toc38354783"/>
      <w:bookmarkStart w:id="2651" w:name="_Toc38890978"/>
      <w:bookmarkStart w:id="2652" w:name="_Toc39425573"/>
      <w:bookmarkStart w:id="2653" w:name="_Toc38319238"/>
      <w:bookmarkStart w:id="2654" w:name="_Toc38354784"/>
      <w:bookmarkStart w:id="2655" w:name="_Toc38890979"/>
      <w:bookmarkStart w:id="2656" w:name="_Toc39425574"/>
      <w:bookmarkStart w:id="2657" w:name="_Toc38319239"/>
      <w:bookmarkStart w:id="2658" w:name="_Toc38354785"/>
      <w:bookmarkStart w:id="2659" w:name="_Toc38890980"/>
      <w:bookmarkStart w:id="2660" w:name="_Toc39425575"/>
      <w:bookmarkStart w:id="2661" w:name="_Toc38319240"/>
      <w:bookmarkStart w:id="2662" w:name="_Toc38354786"/>
      <w:bookmarkStart w:id="2663" w:name="_Toc38890981"/>
      <w:bookmarkStart w:id="2664" w:name="_Toc39425576"/>
      <w:bookmarkStart w:id="2665" w:name="_Toc38319241"/>
      <w:bookmarkStart w:id="2666" w:name="_Toc38354787"/>
      <w:bookmarkStart w:id="2667" w:name="_Toc38890982"/>
      <w:bookmarkStart w:id="2668" w:name="_Toc39425577"/>
      <w:bookmarkStart w:id="2669" w:name="_Toc38319287"/>
      <w:bookmarkStart w:id="2670" w:name="_Toc38354833"/>
      <w:bookmarkStart w:id="2671" w:name="_Toc38891028"/>
      <w:bookmarkStart w:id="2672" w:name="_Toc39425623"/>
      <w:bookmarkStart w:id="2673" w:name="_Toc38319288"/>
      <w:bookmarkStart w:id="2674" w:name="_Toc38354834"/>
      <w:bookmarkStart w:id="2675" w:name="_Toc38891029"/>
      <w:bookmarkStart w:id="2676" w:name="_Toc39425624"/>
      <w:bookmarkStart w:id="2677" w:name="_Toc38319289"/>
      <w:bookmarkStart w:id="2678" w:name="_Toc38354835"/>
      <w:bookmarkStart w:id="2679" w:name="_Toc38891030"/>
      <w:bookmarkStart w:id="2680" w:name="_Toc39425625"/>
      <w:bookmarkStart w:id="2681" w:name="_Toc38319290"/>
      <w:bookmarkStart w:id="2682" w:name="_Toc38354836"/>
      <w:bookmarkStart w:id="2683" w:name="_Toc38891031"/>
      <w:bookmarkStart w:id="2684" w:name="_Toc39425626"/>
      <w:bookmarkStart w:id="2685" w:name="_Toc38319291"/>
      <w:bookmarkStart w:id="2686" w:name="_Toc38354837"/>
      <w:bookmarkStart w:id="2687" w:name="_Toc38891032"/>
      <w:bookmarkStart w:id="2688" w:name="_Toc39425627"/>
      <w:bookmarkStart w:id="2689" w:name="_Toc38319292"/>
      <w:bookmarkStart w:id="2690" w:name="_Toc38354838"/>
      <w:bookmarkStart w:id="2691" w:name="_Toc38891033"/>
      <w:bookmarkStart w:id="2692" w:name="_Toc39425628"/>
      <w:bookmarkStart w:id="2693" w:name="_Toc38319293"/>
      <w:bookmarkStart w:id="2694" w:name="_Toc38354839"/>
      <w:bookmarkStart w:id="2695" w:name="_Toc38891034"/>
      <w:bookmarkStart w:id="2696" w:name="_Toc39425629"/>
      <w:bookmarkStart w:id="2697" w:name="_Toc38319294"/>
      <w:bookmarkStart w:id="2698" w:name="_Toc38354840"/>
      <w:bookmarkStart w:id="2699" w:name="_Toc38891035"/>
      <w:bookmarkStart w:id="2700" w:name="_Toc39425630"/>
      <w:bookmarkStart w:id="2701" w:name="_Toc38319295"/>
      <w:bookmarkStart w:id="2702" w:name="_Toc38354841"/>
      <w:bookmarkStart w:id="2703" w:name="_Toc38891036"/>
      <w:bookmarkStart w:id="2704" w:name="_Toc39425631"/>
      <w:bookmarkStart w:id="2705" w:name="_Toc38319296"/>
      <w:bookmarkStart w:id="2706" w:name="_Toc38354842"/>
      <w:bookmarkStart w:id="2707" w:name="_Toc38891037"/>
      <w:bookmarkStart w:id="2708" w:name="_Toc39425632"/>
      <w:bookmarkStart w:id="2709" w:name="_Toc38319297"/>
      <w:bookmarkStart w:id="2710" w:name="_Toc38354843"/>
      <w:bookmarkStart w:id="2711" w:name="_Toc38891038"/>
      <w:bookmarkStart w:id="2712" w:name="_Toc39425633"/>
      <w:bookmarkStart w:id="2713" w:name="_Toc38319298"/>
      <w:bookmarkStart w:id="2714" w:name="_Toc38354844"/>
      <w:bookmarkStart w:id="2715" w:name="_Toc38891039"/>
      <w:bookmarkStart w:id="2716" w:name="_Toc39425634"/>
      <w:bookmarkStart w:id="2717" w:name="_Toc29658983"/>
      <w:bookmarkStart w:id="2718" w:name="_Toc29723380"/>
      <w:bookmarkStart w:id="2719" w:name="_Toc29658984"/>
      <w:bookmarkStart w:id="2720" w:name="_Toc29723381"/>
      <w:bookmarkStart w:id="2721" w:name="_Toc29658985"/>
      <w:bookmarkStart w:id="2722" w:name="_Toc29723382"/>
      <w:bookmarkStart w:id="2723" w:name="_Toc29658986"/>
      <w:bookmarkStart w:id="2724" w:name="_Toc29723383"/>
      <w:bookmarkStart w:id="2725" w:name="_Toc29658987"/>
      <w:bookmarkStart w:id="2726" w:name="_Toc29723384"/>
      <w:bookmarkStart w:id="2727" w:name="_Toc29658988"/>
      <w:bookmarkStart w:id="2728" w:name="_Toc29723385"/>
      <w:bookmarkStart w:id="2729" w:name="_Toc29658989"/>
      <w:bookmarkStart w:id="2730" w:name="_Toc29723386"/>
      <w:bookmarkStart w:id="2731" w:name="_Toc38319299"/>
      <w:bookmarkStart w:id="2732" w:name="_Toc38354845"/>
      <w:bookmarkStart w:id="2733" w:name="_Toc38891040"/>
      <w:bookmarkStart w:id="2734" w:name="_Toc39425635"/>
      <w:bookmarkStart w:id="2735" w:name="_Toc38319300"/>
      <w:bookmarkStart w:id="2736" w:name="_Toc38354846"/>
      <w:bookmarkStart w:id="2737" w:name="_Toc38891041"/>
      <w:bookmarkStart w:id="2738" w:name="_Toc39425636"/>
      <w:bookmarkStart w:id="2739" w:name="_Toc38319301"/>
      <w:bookmarkStart w:id="2740" w:name="_Toc38354847"/>
      <w:bookmarkStart w:id="2741" w:name="_Toc38891042"/>
      <w:bookmarkStart w:id="2742" w:name="_Toc39425637"/>
      <w:bookmarkStart w:id="2743" w:name="_Toc38319302"/>
      <w:bookmarkStart w:id="2744" w:name="_Toc38354848"/>
      <w:bookmarkStart w:id="2745" w:name="_Toc38891043"/>
      <w:bookmarkStart w:id="2746" w:name="_Toc39425638"/>
      <w:bookmarkStart w:id="2747" w:name="_Toc38319303"/>
      <w:bookmarkStart w:id="2748" w:name="_Toc38354849"/>
      <w:bookmarkStart w:id="2749" w:name="_Toc38891044"/>
      <w:bookmarkStart w:id="2750" w:name="_Toc39425639"/>
      <w:bookmarkStart w:id="2751" w:name="_Toc38319304"/>
      <w:bookmarkStart w:id="2752" w:name="_Toc38354850"/>
      <w:bookmarkStart w:id="2753" w:name="_Toc38891045"/>
      <w:bookmarkStart w:id="2754" w:name="_Toc39425640"/>
      <w:bookmarkStart w:id="2755" w:name="_Toc38319305"/>
      <w:bookmarkStart w:id="2756" w:name="_Toc38354851"/>
      <w:bookmarkStart w:id="2757" w:name="_Toc38891046"/>
      <w:bookmarkStart w:id="2758" w:name="_Toc39425641"/>
      <w:bookmarkStart w:id="2759" w:name="_Toc38319306"/>
      <w:bookmarkStart w:id="2760" w:name="_Toc38354852"/>
      <w:bookmarkStart w:id="2761" w:name="_Toc38891047"/>
      <w:bookmarkStart w:id="2762" w:name="_Toc39425642"/>
      <w:bookmarkStart w:id="2763" w:name="_Toc38319307"/>
      <w:bookmarkStart w:id="2764" w:name="_Toc38354853"/>
      <w:bookmarkStart w:id="2765" w:name="_Toc38891048"/>
      <w:bookmarkStart w:id="2766" w:name="_Toc39425643"/>
      <w:bookmarkStart w:id="2767" w:name="_Toc38319308"/>
      <w:bookmarkStart w:id="2768" w:name="_Toc38354854"/>
      <w:bookmarkStart w:id="2769" w:name="_Toc38891049"/>
      <w:bookmarkStart w:id="2770" w:name="_Toc39425644"/>
      <w:bookmarkStart w:id="2771" w:name="_Toc38319309"/>
      <w:bookmarkStart w:id="2772" w:name="_Toc38354855"/>
      <w:bookmarkStart w:id="2773" w:name="_Toc38891050"/>
      <w:bookmarkStart w:id="2774" w:name="_Toc39425645"/>
      <w:bookmarkStart w:id="2775" w:name="_Toc38319310"/>
      <w:bookmarkStart w:id="2776" w:name="_Toc38354856"/>
      <w:bookmarkStart w:id="2777" w:name="_Toc38891051"/>
      <w:bookmarkStart w:id="2778" w:name="_Toc39425646"/>
      <w:bookmarkStart w:id="2779" w:name="_Toc38319311"/>
      <w:bookmarkStart w:id="2780" w:name="_Toc38354857"/>
      <w:bookmarkStart w:id="2781" w:name="_Toc38891052"/>
      <w:bookmarkStart w:id="2782" w:name="_Toc39425647"/>
      <w:bookmarkStart w:id="2783" w:name="_Toc38319312"/>
      <w:bookmarkStart w:id="2784" w:name="_Toc38354858"/>
      <w:bookmarkStart w:id="2785" w:name="_Toc38891053"/>
      <w:bookmarkStart w:id="2786" w:name="_Toc39425648"/>
      <w:bookmarkStart w:id="2787" w:name="_Toc38319313"/>
      <w:bookmarkStart w:id="2788" w:name="_Toc38354859"/>
      <w:bookmarkStart w:id="2789" w:name="_Toc38891054"/>
      <w:bookmarkStart w:id="2790" w:name="_Toc39425649"/>
      <w:bookmarkStart w:id="2791" w:name="_Toc38319314"/>
      <w:bookmarkStart w:id="2792" w:name="_Toc38354860"/>
      <w:bookmarkStart w:id="2793" w:name="_Toc38891055"/>
      <w:bookmarkStart w:id="2794" w:name="_Toc39425650"/>
      <w:bookmarkStart w:id="2795" w:name="_Toc38319315"/>
      <w:bookmarkStart w:id="2796" w:name="_Toc38354861"/>
      <w:bookmarkStart w:id="2797" w:name="_Toc38891056"/>
      <w:bookmarkStart w:id="2798" w:name="_Toc39425651"/>
      <w:bookmarkStart w:id="2799" w:name="_Toc38319316"/>
      <w:bookmarkStart w:id="2800" w:name="_Toc38354862"/>
      <w:bookmarkStart w:id="2801" w:name="_Toc38891057"/>
      <w:bookmarkStart w:id="2802" w:name="_Toc39425652"/>
      <w:bookmarkStart w:id="2803" w:name="_Toc38319317"/>
      <w:bookmarkStart w:id="2804" w:name="_Toc38354863"/>
      <w:bookmarkStart w:id="2805" w:name="_Toc38891058"/>
      <w:bookmarkStart w:id="2806" w:name="_Toc39425653"/>
      <w:bookmarkStart w:id="2807" w:name="_Toc38319318"/>
      <w:bookmarkStart w:id="2808" w:name="_Toc38354864"/>
      <w:bookmarkStart w:id="2809" w:name="_Toc38891059"/>
      <w:bookmarkStart w:id="2810" w:name="_Toc39425654"/>
      <w:bookmarkStart w:id="2811" w:name="_Toc38319319"/>
      <w:bookmarkStart w:id="2812" w:name="_Toc38354865"/>
      <w:bookmarkStart w:id="2813" w:name="_Toc38891060"/>
      <w:bookmarkStart w:id="2814" w:name="_Toc39425655"/>
      <w:bookmarkStart w:id="2815" w:name="_Toc18926743"/>
      <w:bookmarkStart w:id="2816" w:name="_Toc19035283"/>
      <w:bookmarkStart w:id="2817" w:name="_Toc19036220"/>
      <w:bookmarkStart w:id="2818" w:name="_Toc18926744"/>
      <w:bookmarkStart w:id="2819" w:name="_Toc19035284"/>
      <w:bookmarkStart w:id="2820" w:name="_Toc19036221"/>
      <w:bookmarkStart w:id="2821" w:name="_Toc18926745"/>
      <w:bookmarkStart w:id="2822" w:name="_Toc19035285"/>
      <w:bookmarkStart w:id="2823" w:name="_Toc19036222"/>
      <w:bookmarkStart w:id="2824" w:name="_Toc18926746"/>
      <w:bookmarkStart w:id="2825" w:name="_Toc19035286"/>
      <w:bookmarkStart w:id="2826" w:name="_Toc19036223"/>
      <w:bookmarkStart w:id="2827" w:name="_Toc18926747"/>
      <w:bookmarkStart w:id="2828" w:name="_Toc19035287"/>
      <w:bookmarkStart w:id="2829" w:name="_Toc19036224"/>
      <w:bookmarkStart w:id="2830" w:name="_Toc18926748"/>
      <w:bookmarkStart w:id="2831" w:name="_Toc19035288"/>
      <w:bookmarkStart w:id="2832" w:name="_Toc19036225"/>
      <w:bookmarkStart w:id="2833" w:name="_Toc18926749"/>
      <w:bookmarkStart w:id="2834" w:name="_Toc19035289"/>
      <w:bookmarkStart w:id="2835" w:name="_Toc19036226"/>
      <w:bookmarkStart w:id="2836" w:name="_Toc18926750"/>
      <w:bookmarkStart w:id="2837" w:name="_Toc19035290"/>
      <w:bookmarkStart w:id="2838" w:name="_Toc19036227"/>
      <w:bookmarkStart w:id="2839" w:name="_Toc18926751"/>
      <w:bookmarkStart w:id="2840" w:name="_Toc19035291"/>
      <w:bookmarkStart w:id="2841" w:name="_Toc19036228"/>
      <w:bookmarkStart w:id="2842" w:name="_Toc18926752"/>
      <w:bookmarkStart w:id="2843" w:name="_Toc19035292"/>
      <w:bookmarkStart w:id="2844" w:name="_Toc19036229"/>
      <w:bookmarkStart w:id="2845" w:name="_Toc18926753"/>
      <w:bookmarkStart w:id="2846" w:name="_Toc19035293"/>
      <w:bookmarkStart w:id="2847" w:name="_Toc19036230"/>
      <w:bookmarkStart w:id="2848" w:name="_Toc18926754"/>
      <w:bookmarkStart w:id="2849" w:name="_Toc19035294"/>
      <w:bookmarkStart w:id="2850" w:name="_Toc19036231"/>
      <w:bookmarkStart w:id="2851" w:name="_Toc18926755"/>
      <w:bookmarkStart w:id="2852" w:name="_Toc19035295"/>
      <w:bookmarkStart w:id="2853" w:name="_Toc19036232"/>
      <w:bookmarkStart w:id="2854" w:name="_Toc1743332"/>
      <w:bookmarkStart w:id="2855" w:name="_Toc1743877"/>
      <w:bookmarkStart w:id="2856" w:name="_Toc533167201"/>
      <w:bookmarkStart w:id="2857" w:name="_Toc533167307"/>
      <w:bookmarkStart w:id="2858" w:name="_Toc38319320"/>
      <w:bookmarkStart w:id="2859" w:name="_Toc38354866"/>
      <w:bookmarkStart w:id="2860" w:name="_Toc38891061"/>
      <w:bookmarkStart w:id="2861" w:name="_Toc39425656"/>
      <w:bookmarkStart w:id="2862" w:name="_Toc38319321"/>
      <w:bookmarkStart w:id="2863" w:name="_Toc38354867"/>
      <w:bookmarkStart w:id="2864" w:name="_Toc38891062"/>
      <w:bookmarkStart w:id="2865" w:name="_Toc39425657"/>
      <w:bookmarkStart w:id="2866" w:name="_Toc38319322"/>
      <w:bookmarkStart w:id="2867" w:name="_Toc38354868"/>
      <w:bookmarkStart w:id="2868" w:name="_Toc38891063"/>
      <w:bookmarkStart w:id="2869" w:name="_Toc39425658"/>
      <w:bookmarkStart w:id="2870" w:name="_Toc38319323"/>
      <w:bookmarkStart w:id="2871" w:name="_Toc38354869"/>
      <w:bookmarkStart w:id="2872" w:name="_Toc38891064"/>
      <w:bookmarkStart w:id="2873" w:name="_Toc39425659"/>
      <w:bookmarkStart w:id="2874" w:name="_Toc38319324"/>
      <w:bookmarkStart w:id="2875" w:name="_Toc38354870"/>
      <w:bookmarkStart w:id="2876" w:name="_Toc38891065"/>
      <w:bookmarkStart w:id="2877" w:name="_Toc39425660"/>
      <w:bookmarkStart w:id="2878" w:name="_Toc38319325"/>
      <w:bookmarkStart w:id="2879" w:name="_Toc38354871"/>
      <w:bookmarkStart w:id="2880" w:name="_Toc38891066"/>
      <w:bookmarkStart w:id="2881" w:name="_Toc39425661"/>
      <w:bookmarkStart w:id="2882" w:name="_Toc38319326"/>
      <w:bookmarkStart w:id="2883" w:name="_Toc38354872"/>
      <w:bookmarkStart w:id="2884" w:name="_Toc38891067"/>
      <w:bookmarkStart w:id="2885" w:name="_Toc39425662"/>
      <w:bookmarkStart w:id="2886" w:name="_Toc38319327"/>
      <w:bookmarkStart w:id="2887" w:name="_Toc38354873"/>
      <w:bookmarkStart w:id="2888" w:name="_Toc38891068"/>
      <w:bookmarkStart w:id="2889" w:name="_Toc39425663"/>
      <w:bookmarkStart w:id="2890" w:name="_Toc38319328"/>
      <w:bookmarkStart w:id="2891" w:name="_Toc38354874"/>
      <w:bookmarkStart w:id="2892" w:name="_Toc38891069"/>
      <w:bookmarkStart w:id="2893" w:name="_Toc39425664"/>
      <w:bookmarkStart w:id="2894" w:name="_Toc38319329"/>
      <w:bookmarkStart w:id="2895" w:name="_Toc38354875"/>
      <w:bookmarkStart w:id="2896" w:name="_Toc38891070"/>
      <w:bookmarkStart w:id="2897" w:name="_Toc39425665"/>
      <w:bookmarkStart w:id="2898" w:name="_Toc38319330"/>
      <w:bookmarkStart w:id="2899" w:name="_Toc38354876"/>
      <w:bookmarkStart w:id="2900" w:name="_Toc38891071"/>
      <w:bookmarkStart w:id="2901" w:name="_Toc39425666"/>
      <w:bookmarkStart w:id="2902" w:name="_Toc38319331"/>
      <w:bookmarkStart w:id="2903" w:name="_Toc38354877"/>
      <w:bookmarkStart w:id="2904" w:name="_Toc38891072"/>
      <w:bookmarkStart w:id="2905" w:name="_Toc39425667"/>
      <w:bookmarkStart w:id="2906" w:name="_Toc38319332"/>
      <w:bookmarkStart w:id="2907" w:name="_Toc38354878"/>
      <w:bookmarkStart w:id="2908" w:name="_Toc38891073"/>
      <w:bookmarkStart w:id="2909" w:name="_Toc39425668"/>
      <w:bookmarkStart w:id="2910" w:name="_Toc38319333"/>
      <w:bookmarkStart w:id="2911" w:name="_Toc38354879"/>
      <w:bookmarkStart w:id="2912" w:name="_Toc38891074"/>
      <w:bookmarkStart w:id="2913" w:name="_Toc39425669"/>
      <w:bookmarkStart w:id="2914" w:name="_Toc38319334"/>
      <w:bookmarkStart w:id="2915" w:name="_Toc38354880"/>
      <w:bookmarkStart w:id="2916" w:name="_Toc38891075"/>
      <w:bookmarkStart w:id="2917" w:name="_Toc39425670"/>
      <w:bookmarkStart w:id="2918" w:name="_Toc38319335"/>
      <w:bookmarkStart w:id="2919" w:name="_Toc38354881"/>
      <w:bookmarkStart w:id="2920" w:name="_Toc38891076"/>
      <w:bookmarkStart w:id="2921" w:name="_Toc39425671"/>
      <w:bookmarkStart w:id="2922" w:name="_Toc38319336"/>
      <w:bookmarkStart w:id="2923" w:name="_Toc38354882"/>
      <w:bookmarkStart w:id="2924" w:name="_Toc38891077"/>
      <w:bookmarkStart w:id="2925" w:name="_Toc39425672"/>
      <w:bookmarkStart w:id="2926" w:name="_Toc38319337"/>
      <w:bookmarkStart w:id="2927" w:name="_Toc38354883"/>
      <w:bookmarkStart w:id="2928" w:name="_Toc38891078"/>
      <w:bookmarkStart w:id="2929" w:name="_Toc39425673"/>
      <w:bookmarkStart w:id="2930" w:name="_Toc38319338"/>
      <w:bookmarkStart w:id="2931" w:name="_Toc38354884"/>
      <w:bookmarkStart w:id="2932" w:name="_Toc38891079"/>
      <w:bookmarkStart w:id="2933" w:name="_Toc39425674"/>
      <w:bookmarkStart w:id="2934" w:name="_Toc38319339"/>
      <w:bookmarkStart w:id="2935" w:name="_Toc38354885"/>
      <w:bookmarkStart w:id="2936" w:name="_Toc38891080"/>
      <w:bookmarkStart w:id="2937" w:name="_Toc39425675"/>
      <w:bookmarkStart w:id="2938" w:name="_Toc38319340"/>
      <w:bookmarkStart w:id="2939" w:name="_Toc38354886"/>
      <w:bookmarkStart w:id="2940" w:name="_Toc38891081"/>
      <w:bookmarkStart w:id="2941" w:name="_Toc39425676"/>
      <w:bookmarkStart w:id="2942" w:name="_Toc38319341"/>
      <w:bookmarkStart w:id="2943" w:name="_Toc38354887"/>
      <w:bookmarkStart w:id="2944" w:name="_Toc38891082"/>
      <w:bookmarkStart w:id="2945" w:name="_Toc39425677"/>
      <w:bookmarkStart w:id="2946" w:name="_Toc1743335"/>
      <w:bookmarkStart w:id="2947" w:name="_Toc1743880"/>
      <w:bookmarkStart w:id="2948" w:name="_Toc38319342"/>
      <w:bookmarkStart w:id="2949" w:name="_Toc38354888"/>
      <w:bookmarkStart w:id="2950" w:name="_Toc38891083"/>
      <w:bookmarkStart w:id="2951" w:name="_Toc39425678"/>
      <w:bookmarkStart w:id="2952" w:name="_Toc38319343"/>
      <w:bookmarkStart w:id="2953" w:name="_Toc38354889"/>
      <w:bookmarkStart w:id="2954" w:name="_Toc38891084"/>
      <w:bookmarkStart w:id="2955" w:name="_Toc39425679"/>
      <w:bookmarkStart w:id="2956" w:name="_Toc38319344"/>
      <w:bookmarkStart w:id="2957" w:name="_Toc38354890"/>
      <w:bookmarkStart w:id="2958" w:name="_Toc38891085"/>
      <w:bookmarkStart w:id="2959" w:name="_Toc39425680"/>
      <w:bookmarkStart w:id="2960" w:name="_Toc38319345"/>
      <w:bookmarkStart w:id="2961" w:name="_Toc38354891"/>
      <w:bookmarkStart w:id="2962" w:name="_Toc38891086"/>
      <w:bookmarkStart w:id="2963" w:name="_Toc39425681"/>
      <w:bookmarkStart w:id="2964" w:name="_Toc38319346"/>
      <w:bookmarkStart w:id="2965" w:name="_Toc38354892"/>
      <w:bookmarkStart w:id="2966" w:name="_Toc38891087"/>
      <w:bookmarkStart w:id="2967" w:name="_Toc39425682"/>
      <w:bookmarkStart w:id="2968" w:name="_Toc38319347"/>
      <w:bookmarkStart w:id="2969" w:name="_Toc38354893"/>
      <w:bookmarkStart w:id="2970" w:name="_Toc38891088"/>
      <w:bookmarkStart w:id="2971" w:name="_Toc39425683"/>
      <w:bookmarkStart w:id="2972" w:name="_Toc38319348"/>
      <w:bookmarkStart w:id="2973" w:name="_Toc38354894"/>
      <w:bookmarkStart w:id="2974" w:name="_Toc38891089"/>
      <w:bookmarkStart w:id="2975" w:name="_Toc39425684"/>
      <w:bookmarkStart w:id="2976" w:name="_Toc38319349"/>
      <w:bookmarkStart w:id="2977" w:name="_Toc38354895"/>
      <w:bookmarkStart w:id="2978" w:name="_Toc38891090"/>
      <w:bookmarkStart w:id="2979" w:name="_Toc39425685"/>
      <w:bookmarkStart w:id="2980" w:name="_Toc38319350"/>
      <w:bookmarkStart w:id="2981" w:name="_Toc38354896"/>
      <w:bookmarkStart w:id="2982" w:name="_Toc38891091"/>
      <w:bookmarkStart w:id="2983" w:name="_Toc39425686"/>
      <w:bookmarkStart w:id="2984" w:name="_Toc38319351"/>
      <w:bookmarkStart w:id="2985" w:name="_Toc38354897"/>
      <w:bookmarkStart w:id="2986" w:name="_Toc38891092"/>
      <w:bookmarkStart w:id="2987" w:name="_Toc39425687"/>
      <w:bookmarkStart w:id="2988" w:name="_Toc38319352"/>
      <w:bookmarkStart w:id="2989" w:name="_Toc38354898"/>
      <w:bookmarkStart w:id="2990" w:name="_Toc38891093"/>
      <w:bookmarkStart w:id="2991" w:name="_Toc39425688"/>
      <w:bookmarkStart w:id="2992" w:name="_Toc38319353"/>
      <w:bookmarkStart w:id="2993" w:name="_Toc38354899"/>
      <w:bookmarkStart w:id="2994" w:name="_Toc38891094"/>
      <w:bookmarkStart w:id="2995" w:name="_Toc39425689"/>
      <w:bookmarkStart w:id="2996" w:name="_Toc38319354"/>
      <w:bookmarkStart w:id="2997" w:name="_Toc38354900"/>
      <w:bookmarkStart w:id="2998" w:name="_Toc38891095"/>
      <w:bookmarkStart w:id="2999" w:name="_Toc39425690"/>
      <w:bookmarkStart w:id="3000" w:name="_Toc38319355"/>
      <w:bookmarkStart w:id="3001" w:name="_Toc38354901"/>
      <w:bookmarkStart w:id="3002" w:name="_Toc38891096"/>
      <w:bookmarkStart w:id="3003" w:name="_Toc39425691"/>
      <w:bookmarkStart w:id="3004" w:name="_Toc38319356"/>
      <w:bookmarkStart w:id="3005" w:name="_Toc38354902"/>
      <w:bookmarkStart w:id="3006" w:name="_Toc38891097"/>
      <w:bookmarkStart w:id="3007" w:name="_Toc39425692"/>
      <w:bookmarkStart w:id="3008" w:name="_Toc38319357"/>
      <w:bookmarkStart w:id="3009" w:name="_Toc38354903"/>
      <w:bookmarkStart w:id="3010" w:name="_Toc38891098"/>
      <w:bookmarkStart w:id="3011" w:name="_Toc39425693"/>
      <w:bookmarkStart w:id="3012" w:name="_Toc38319358"/>
      <w:bookmarkStart w:id="3013" w:name="_Toc38354904"/>
      <w:bookmarkStart w:id="3014" w:name="_Toc38891099"/>
      <w:bookmarkStart w:id="3015" w:name="_Toc39425694"/>
      <w:bookmarkStart w:id="3016" w:name="_Toc38319359"/>
      <w:bookmarkStart w:id="3017" w:name="_Toc38354905"/>
      <w:bookmarkStart w:id="3018" w:name="_Toc38891100"/>
      <w:bookmarkStart w:id="3019" w:name="_Toc39425695"/>
      <w:bookmarkStart w:id="3020" w:name="_Toc38319360"/>
      <w:bookmarkStart w:id="3021" w:name="_Toc38354906"/>
      <w:bookmarkStart w:id="3022" w:name="_Toc38891101"/>
      <w:bookmarkStart w:id="3023" w:name="_Toc39425696"/>
      <w:bookmarkStart w:id="3024" w:name="_Toc38319361"/>
      <w:bookmarkStart w:id="3025" w:name="_Toc38354907"/>
      <w:bookmarkStart w:id="3026" w:name="_Toc38891102"/>
      <w:bookmarkStart w:id="3027" w:name="_Toc39425697"/>
      <w:bookmarkStart w:id="3028" w:name="_Toc38319362"/>
      <w:bookmarkStart w:id="3029" w:name="_Toc38354908"/>
      <w:bookmarkStart w:id="3030" w:name="_Toc38891103"/>
      <w:bookmarkStart w:id="3031" w:name="_Toc39425698"/>
      <w:bookmarkStart w:id="3032" w:name="_Toc38319363"/>
      <w:bookmarkStart w:id="3033" w:name="_Toc38354909"/>
      <w:bookmarkStart w:id="3034" w:name="_Toc38891104"/>
      <w:bookmarkStart w:id="3035" w:name="_Toc39425699"/>
      <w:bookmarkStart w:id="3036" w:name="_Toc38319364"/>
      <w:bookmarkStart w:id="3037" w:name="_Toc38354910"/>
      <w:bookmarkStart w:id="3038" w:name="_Toc38891105"/>
      <w:bookmarkStart w:id="3039" w:name="_Toc39425700"/>
      <w:bookmarkStart w:id="3040" w:name="_Toc38319365"/>
      <w:bookmarkStart w:id="3041" w:name="_Toc38354911"/>
      <w:bookmarkStart w:id="3042" w:name="_Toc38891106"/>
      <w:bookmarkStart w:id="3043" w:name="_Toc39425701"/>
      <w:bookmarkStart w:id="3044" w:name="_Toc38319366"/>
      <w:bookmarkStart w:id="3045" w:name="_Toc38354912"/>
      <w:bookmarkStart w:id="3046" w:name="_Toc38891107"/>
      <w:bookmarkStart w:id="3047" w:name="_Toc39425702"/>
      <w:bookmarkStart w:id="3048" w:name="_Toc38319367"/>
      <w:bookmarkStart w:id="3049" w:name="_Toc38354913"/>
      <w:bookmarkStart w:id="3050" w:name="_Toc38891108"/>
      <w:bookmarkStart w:id="3051" w:name="_Toc39425703"/>
      <w:bookmarkStart w:id="3052" w:name="_Toc38319368"/>
      <w:bookmarkStart w:id="3053" w:name="_Toc38354914"/>
      <w:bookmarkStart w:id="3054" w:name="_Toc38891109"/>
      <w:bookmarkStart w:id="3055" w:name="_Toc39425704"/>
      <w:bookmarkStart w:id="3056" w:name="_Toc38319369"/>
      <w:bookmarkStart w:id="3057" w:name="_Toc38354915"/>
      <w:bookmarkStart w:id="3058" w:name="_Toc38891110"/>
      <w:bookmarkStart w:id="3059" w:name="_Toc39425705"/>
      <w:bookmarkStart w:id="3060" w:name="_Toc38319370"/>
      <w:bookmarkStart w:id="3061" w:name="_Toc38354916"/>
      <w:bookmarkStart w:id="3062" w:name="_Toc38891111"/>
      <w:bookmarkStart w:id="3063" w:name="_Toc39425706"/>
      <w:bookmarkStart w:id="3064" w:name="_Toc38319371"/>
      <w:bookmarkStart w:id="3065" w:name="_Toc38354917"/>
      <w:bookmarkStart w:id="3066" w:name="_Toc38891112"/>
      <w:bookmarkStart w:id="3067" w:name="_Toc39425707"/>
      <w:bookmarkStart w:id="3068" w:name="_Toc38319372"/>
      <w:bookmarkStart w:id="3069" w:name="_Toc38354918"/>
      <w:bookmarkStart w:id="3070" w:name="_Toc38891113"/>
      <w:bookmarkStart w:id="3071" w:name="_Toc39425708"/>
      <w:bookmarkStart w:id="3072" w:name="_Toc38319373"/>
      <w:bookmarkStart w:id="3073" w:name="_Toc38354919"/>
      <w:bookmarkStart w:id="3074" w:name="_Toc38891114"/>
      <w:bookmarkStart w:id="3075" w:name="_Toc39425709"/>
      <w:bookmarkStart w:id="3076" w:name="_Toc38319374"/>
      <w:bookmarkStart w:id="3077" w:name="_Toc38354920"/>
      <w:bookmarkStart w:id="3078" w:name="_Toc38891115"/>
      <w:bookmarkStart w:id="3079" w:name="_Toc39425710"/>
      <w:bookmarkStart w:id="3080" w:name="_Toc38319375"/>
      <w:bookmarkStart w:id="3081" w:name="_Toc38354921"/>
      <w:bookmarkStart w:id="3082" w:name="_Toc38891116"/>
      <w:bookmarkStart w:id="3083" w:name="_Toc39425711"/>
      <w:bookmarkStart w:id="3084" w:name="_Toc38319376"/>
      <w:bookmarkStart w:id="3085" w:name="_Toc38354922"/>
      <w:bookmarkStart w:id="3086" w:name="_Toc38891117"/>
      <w:bookmarkStart w:id="3087" w:name="_Toc39425712"/>
      <w:bookmarkStart w:id="3088" w:name="_Toc38319377"/>
      <w:bookmarkStart w:id="3089" w:name="_Toc38354923"/>
      <w:bookmarkStart w:id="3090" w:name="_Toc38891118"/>
      <w:bookmarkStart w:id="3091" w:name="_Toc39425713"/>
      <w:bookmarkStart w:id="3092" w:name="_Toc38319378"/>
      <w:bookmarkStart w:id="3093" w:name="_Toc38354924"/>
      <w:bookmarkStart w:id="3094" w:name="_Toc38891119"/>
      <w:bookmarkStart w:id="3095" w:name="_Toc39425714"/>
      <w:bookmarkStart w:id="3096" w:name="_Toc38319379"/>
      <w:bookmarkStart w:id="3097" w:name="_Toc38354925"/>
      <w:bookmarkStart w:id="3098" w:name="_Toc38891120"/>
      <w:bookmarkStart w:id="3099" w:name="_Toc39425715"/>
      <w:bookmarkStart w:id="3100" w:name="_Toc38319380"/>
      <w:bookmarkStart w:id="3101" w:name="_Toc38354926"/>
      <w:bookmarkStart w:id="3102" w:name="_Toc38891121"/>
      <w:bookmarkStart w:id="3103" w:name="_Toc39425716"/>
      <w:bookmarkStart w:id="3104" w:name="_Toc38319381"/>
      <w:bookmarkStart w:id="3105" w:name="_Toc38354927"/>
      <w:bookmarkStart w:id="3106" w:name="_Toc38891122"/>
      <w:bookmarkStart w:id="3107" w:name="_Toc39425717"/>
      <w:bookmarkStart w:id="3108" w:name="_Toc38319382"/>
      <w:bookmarkStart w:id="3109" w:name="_Toc38354928"/>
      <w:bookmarkStart w:id="3110" w:name="_Toc38891123"/>
      <w:bookmarkStart w:id="3111" w:name="_Toc39425718"/>
      <w:bookmarkStart w:id="3112" w:name="_Toc38319383"/>
      <w:bookmarkStart w:id="3113" w:name="_Toc38354929"/>
      <w:bookmarkStart w:id="3114" w:name="_Toc38891124"/>
      <w:bookmarkStart w:id="3115" w:name="_Toc39425719"/>
      <w:bookmarkStart w:id="3116" w:name="_Toc38319384"/>
      <w:bookmarkStart w:id="3117" w:name="_Toc38354930"/>
      <w:bookmarkStart w:id="3118" w:name="_Toc38891125"/>
      <w:bookmarkStart w:id="3119" w:name="_Toc39425720"/>
      <w:bookmarkStart w:id="3120" w:name="_Toc38319385"/>
      <w:bookmarkStart w:id="3121" w:name="_Toc38354931"/>
      <w:bookmarkStart w:id="3122" w:name="_Toc38891126"/>
      <w:bookmarkStart w:id="3123" w:name="_Toc39425721"/>
      <w:bookmarkStart w:id="3124" w:name="_Toc38319386"/>
      <w:bookmarkStart w:id="3125" w:name="_Toc38354932"/>
      <w:bookmarkStart w:id="3126" w:name="_Toc38891127"/>
      <w:bookmarkStart w:id="3127" w:name="_Toc39425722"/>
      <w:bookmarkStart w:id="3128" w:name="_Toc38319387"/>
      <w:bookmarkStart w:id="3129" w:name="_Toc38354933"/>
      <w:bookmarkStart w:id="3130" w:name="_Toc38891128"/>
      <w:bookmarkStart w:id="3131" w:name="_Toc39425723"/>
      <w:bookmarkStart w:id="3132" w:name="_Toc38319388"/>
      <w:bookmarkStart w:id="3133" w:name="_Toc38354934"/>
      <w:bookmarkStart w:id="3134" w:name="_Toc38891129"/>
      <w:bookmarkStart w:id="3135" w:name="_Toc39425724"/>
      <w:bookmarkStart w:id="3136" w:name="_Toc38319389"/>
      <w:bookmarkStart w:id="3137" w:name="_Toc38354935"/>
      <w:bookmarkStart w:id="3138" w:name="_Toc38891130"/>
      <w:bookmarkStart w:id="3139" w:name="_Toc39425725"/>
      <w:bookmarkStart w:id="3140" w:name="_Toc38319390"/>
      <w:bookmarkStart w:id="3141" w:name="_Toc38354936"/>
      <w:bookmarkStart w:id="3142" w:name="_Toc38891131"/>
      <w:bookmarkStart w:id="3143" w:name="_Toc39425726"/>
      <w:bookmarkStart w:id="3144" w:name="_Toc38319391"/>
      <w:bookmarkStart w:id="3145" w:name="_Toc38354937"/>
      <w:bookmarkStart w:id="3146" w:name="_Toc38891132"/>
      <w:bookmarkStart w:id="3147" w:name="_Toc39425727"/>
      <w:bookmarkStart w:id="3148" w:name="_Toc38319392"/>
      <w:bookmarkStart w:id="3149" w:name="_Toc38354938"/>
      <w:bookmarkStart w:id="3150" w:name="_Toc38891133"/>
      <w:bookmarkStart w:id="3151" w:name="_Toc39425728"/>
      <w:bookmarkStart w:id="3152" w:name="_Toc38319393"/>
      <w:bookmarkStart w:id="3153" w:name="_Toc38354939"/>
      <w:bookmarkStart w:id="3154" w:name="_Toc38891134"/>
      <w:bookmarkStart w:id="3155" w:name="_Toc39425729"/>
      <w:bookmarkStart w:id="3156" w:name="_Toc38319394"/>
      <w:bookmarkStart w:id="3157" w:name="_Toc38354940"/>
      <w:bookmarkStart w:id="3158" w:name="_Toc38891135"/>
      <w:bookmarkStart w:id="3159" w:name="_Toc39425730"/>
      <w:bookmarkStart w:id="3160" w:name="_Toc38319395"/>
      <w:bookmarkStart w:id="3161" w:name="_Toc38354941"/>
      <w:bookmarkStart w:id="3162" w:name="_Toc38891136"/>
      <w:bookmarkStart w:id="3163" w:name="_Toc39425731"/>
      <w:bookmarkStart w:id="3164" w:name="_Toc38319396"/>
      <w:bookmarkStart w:id="3165" w:name="_Toc38354942"/>
      <w:bookmarkStart w:id="3166" w:name="_Toc38891137"/>
      <w:bookmarkStart w:id="3167" w:name="_Toc39425732"/>
      <w:bookmarkStart w:id="3168" w:name="_Toc38319397"/>
      <w:bookmarkStart w:id="3169" w:name="_Toc38354943"/>
      <w:bookmarkStart w:id="3170" w:name="_Toc38891138"/>
      <w:bookmarkStart w:id="3171" w:name="_Toc39425733"/>
      <w:bookmarkStart w:id="3172" w:name="_Toc38319398"/>
      <w:bookmarkStart w:id="3173" w:name="_Toc38354944"/>
      <w:bookmarkStart w:id="3174" w:name="_Toc38891139"/>
      <w:bookmarkStart w:id="3175" w:name="_Toc39425734"/>
      <w:bookmarkStart w:id="3176" w:name="_Toc38319399"/>
      <w:bookmarkStart w:id="3177" w:name="_Toc38354945"/>
      <w:bookmarkStart w:id="3178" w:name="_Toc38891140"/>
      <w:bookmarkStart w:id="3179" w:name="_Toc39425735"/>
      <w:bookmarkStart w:id="3180" w:name="_Toc38319400"/>
      <w:bookmarkStart w:id="3181" w:name="_Toc38354946"/>
      <w:bookmarkStart w:id="3182" w:name="_Toc38891141"/>
      <w:bookmarkStart w:id="3183" w:name="_Toc39425736"/>
      <w:bookmarkStart w:id="3184" w:name="_Toc38319401"/>
      <w:bookmarkStart w:id="3185" w:name="_Toc38354947"/>
      <w:bookmarkStart w:id="3186" w:name="_Toc38891142"/>
      <w:bookmarkStart w:id="3187" w:name="_Toc39425737"/>
      <w:bookmarkStart w:id="3188" w:name="_Toc38319402"/>
      <w:bookmarkStart w:id="3189" w:name="_Toc38354948"/>
      <w:bookmarkStart w:id="3190" w:name="_Toc38891143"/>
      <w:bookmarkStart w:id="3191" w:name="_Toc39425738"/>
      <w:bookmarkStart w:id="3192" w:name="_Toc38319403"/>
      <w:bookmarkStart w:id="3193" w:name="_Toc38354949"/>
      <w:bookmarkStart w:id="3194" w:name="_Toc38891144"/>
      <w:bookmarkStart w:id="3195" w:name="_Toc39425739"/>
      <w:bookmarkStart w:id="3196" w:name="_Toc38319404"/>
      <w:bookmarkStart w:id="3197" w:name="_Toc38354950"/>
      <w:bookmarkStart w:id="3198" w:name="_Toc38891145"/>
      <w:bookmarkStart w:id="3199" w:name="_Toc39425740"/>
      <w:bookmarkStart w:id="3200" w:name="_Toc38319405"/>
      <w:bookmarkStart w:id="3201" w:name="_Toc38354951"/>
      <w:bookmarkStart w:id="3202" w:name="_Toc38891146"/>
      <w:bookmarkStart w:id="3203" w:name="_Toc39425741"/>
      <w:bookmarkStart w:id="3204" w:name="_Toc38319406"/>
      <w:bookmarkStart w:id="3205" w:name="_Toc38354952"/>
      <w:bookmarkStart w:id="3206" w:name="_Toc38891147"/>
      <w:bookmarkStart w:id="3207" w:name="_Toc39425742"/>
      <w:bookmarkStart w:id="3208" w:name="_Toc38319407"/>
      <w:bookmarkStart w:id="3209" w:name="_Toc38354953"/>
      <w:bookmarkStart w:id="3210" w:name="_Toc38891148"/>
      <w:bookmarkStart w:id="3211" w:name="_Toc39425743"/>
      <w:bookmarkStart w:id="3212" w:name="_Toc38319408"/>
      <w:bookmarkStart w:id="3213" w:name="_Toc38354954"/>
      <w:bookmarkStart w:id="3214" w:name="_Toc38891149"/>
      <w:bookmarkStart w:id="3215" w:name="_Toc39425744"/>
      <w:bookmarkStart w:id="3216" w:name="_Toc38319409"/>
      <w:bookmarkStart w:id="3217" w:name="_Toc38354955"/>
      <w:bookmarkStart w:id="3218" w:name="_Toc38891150"/>
      <w:bookmarkStart w:id="3219" w:name="_Toc39425745"/>
      <w:bookmarkStart w:id="3220" w:name="_Toc38319410"/>
      <w:bookmarkStart w:id="3221" w:name="_Toc38354956"/>
      <w:bookmarkStart w:id="3222" w:name="_Toc38891151"/>
      <w:bookmarkStart w:id="3223" w:name="_Toc39425746"/>
      <w:bookmarkStart w:id="3224" w:name="_Toc38319411"/>
      <w:bookmarkStart w:id="3225" w:name="_Toc38354957"/>
      <w:bookmarkStart w:id="3226" w:name="_Toc38891152"/>
      <w:bookmarkStart w:id="3227" w:name="_Toc39425747"/>
      <w:bookmarkStart w:id="3228" w:name="_Toc38319412"/>
      <w:bookmarkStart w:id="3229" w:name="_Toc38354958"/>
      <w:bookmarkStart w:id="3230" w:name="_Toc38891153"/>
      <w:bookmarkStart w:id="3231" w:name="_Toc39425748"/>
      <w:bookmarkStart w:id="3232" w:name="_Toc38319413"/>
      <w:bookmarkStart w:id="3233" w:name="_Toc38354959"/>
      <w:bookmarkStart w:id="3234" w:name="_Toc38891154"/>
      <w:bookmarkStart w:id="3235" w:name="_Toc39425749"/>
      <w:bookmarkStart w:id="3236" w:name="_Toc38319414"/>
      <w:bookmarkStart w:id="3237" w:name="_Toc38354960"/>
      <w:bookmarkStart w:id="3238" w:name="_Toc38891155"/>
      <w:bookmarkStart w:id="3239" w:name="_Toc39425750"/>
      <w:bookmarkStart w:id="3240" w:name="_Toc38319415"/>
      <w:bookmarkStart w:id="3241" w:name="_Toc38354961"/>
      <w:bookmarkStart w:id="3242" w:name="_Toc38891156"/>
      <w:bookmarkStart w:id="3243" w:name="_Toc39425751"/>
      <w:bookmarkStart w:id="3244" w:name="_Toc38319416"/>
      <w:bookmarkStart w:id="3245" w:name="_Toc38354962"/>
      <w:bookmarkStart w:id="3246" w:name="_Toc38891157"/>
      <w:bookmarkStart w:id="3247" w:name="_Toc39425752"/>
      <w:bookmarkStart w:id="3248" w:name="_Toc38319417"/>
      <w:bookmarkStart w:id="3249" w:name="_Toc38354963"/>
      <w:bookmarkStart w:id="3250" w:name="_Toc38891158"/>
      <w:bookmarkStart w:id="3251" w:name="_Toc39425753"/>
      <w:bookmarkStart w:id="3252" w:name="_Toc38319418"/>
      <w:bookmarkStart w:id="3253" w:name="_Toc38354964"/>
      <w:bookmarkStart w:id="3254" w:name="_Toc38891159"/>
      <w:bookmarkStart w:id="3255" w:name="_Toc39425754"/>
      <w:bookmarkStart w:id="3256" w:name="_Toc38319419"/>
      <w:bookmarkStart w:id="3257" w:name="_Toc38354965"/>
      <w:bookmarkStart w:id="3258" w:name="_Toc38891160"/>
      <w:bookmarkStart w:id="3259" w:name="_Toc39425755"/>
      <w:bookmarkStart w:id="3260" w:name="_Toc35407645"/>
      <w:bookmarkStart w:id="3261" w:name="_Toc35407646"/>
      <w:bookmarkStart w:id="3262" w:name="_Toc35407647"/>
      <w:bookmarkStart w:id="3263" w:name="_Toc35407648"/>
      <w:bookmarkStart w:id="3264" w:name="_Toc35407649"/>
      <w:bookmarkStart w:id="3265" w:name="_Toc35407650"/>
      <w:bookmarkStart w:id="3266" w:name="_Toc35407651"/>
      <w:bookmarkStart w:id="3267" w:name="_Toc35407652"/>
      <w:bookmarkStart w:id="3268" w:name="_Toc35407653"/>
      <w:bookmarkStart w:id="3269" w:name="_Toc35407654"/>
      <w:bookmarkStart w:id="3270" w:name="_Toc35407655"/>
      <w:bookmarkStart w:id="3271" w:name="_Toc35407656"/>
      <w:bookmarkStart w:id="3272" w:name="_Toc35407657"/>
      <w:bookmarkStart w:id="3273" w:name="_Toc35407658"/>
      <w:bookmarkStart w:id="3274" w:name="_Toc35407659"/>
      <w:bookmarkStart w:id="3275" w:name="_Toc35407660"/>
      <w:bookmarkStart w:id="3276" w:name="_Toc35407661"/>
      <w:bookmarkStart w:id="3277" w:name="_Toc35407662"/>
      <w:bookmarkStart w:id="3278" w:name="_Toc35407663"/>
      <w:bookmarkStart w:id="3279" w:name="_Toc35407664"/>
      <w:bookmarkStart w:id="3280" w:name="_Toc35407665"/>
      <w:bookmarkStart w:id="3281" w:name="_Toc35407666"/>
      <w:bookmarkStart w:id="3282" w:name="_Toc35407667"/>
      <w:bookmarkStart w:id="3283" w:name="_Toc35407668"/>
      <w:bookmarkStart w:id="3284" w:name="_Toc35407669"/>
      <w:bookmarkStart w:id="3285" w:name="_Toc35407670"/>
      <w:bookmarkStart w:id="3286" w:name="_Toc35407671"/>
      <w:bookmarkStart w:id="3287" w:name="_Toc35407672"/>
      <w:bookmarkStart w:id="3288" w:name="_Toc35407673"/>
      <w:bookmarkStart w:id="3289" w:name="_Toc35407674"/>
      <w:bookmarkStart w:id="3290" w:name="_Toc35407675"/>
      <w:bookmarkStart w:id="3291" w:name="_Toc35407676"/>
      <w:bookmarkStart w:id="3292" w:name="_Toc35407677"/>
      <w:bookmarkStart w:id="3293" w:name="_Toc35407678"/>
      <w:bookmarkStart w:id="3294" w:name="_Toc35407679"/>
      <w:bookmarkStart w:id="3295" w:name="_Toc35407680"/>
      <w:bookmarkStart w:id="3296" w:name="_Toc35407681"/>
      <w:bookmarkStart w:id="3297" w:name="_Toc35407682"/>
      <w:bookmarkStart w:id="3298" w:name="_Toc35407683"/>
      <w:bookmarkStart w:id="3299" w:name="_Toc38319420"/>
      <w:bookmarkStart w:id="3300" w:name="_Toc38354966"/>
      <w:bookmarkStart w:id="3301" w:name="_Toc38891161"/>
      <w:bookmarkStart w:id="3302" w:name="_Toc39425756"/>
      <w:bookmarkStart w:id="3303" w:name="_Toc38319421"/>
      <w:bookmarkStart w:id="3304" w:name="_Toc38354967"/>
      <w:bookmarkStart w:id="3305" w:name="_Toc38891162"/>
      <w:bookmarkStart w:id="3306" w:name="_Toc39425757"/>
      <w:bookmarkStart w:id="3307" w:name="_Toc38319422"/>
      <w:bookmarkStart w:id="3308" w:name="_Toc38354968"/>
      <w:bookmarkStart w:id="3309" w:name="_Toc38891163"/>
      <w:bookmarkStart w:id="3310" w:name="_Toc39425758"/>
      <w:bookmarkStart w:id="3311" w:name="_Toc38319423"/>
      <w:bookmarkStart w:id="3312" w:name="_Toc38354969"/>
      <w:bookmarkStart w:id="3313" w:name="_Toc38891164"/>
      <w:bookmarkStart w:id="3314" w:name="_Toc39425759"/>
      <w:bookmarkStart w:id="3315" w:name="_Toc38319424"/>
      <w:bookmarkStart w:id="3316" w:name="_Toc38354970"/>
      <w:bookmarkStart w:id="3317" w:name="_Toc38891165"/>
      <w:bookmarkStart w:id="3318" w:name="_Toc39425760"/>
      <w:bookmarkStart w:id="3319" w:name="_Toc38319425"/>
      <w:bookmarkStart w:id="3320" w:name="_Toc38354971"/>
      <w:bookmarkStart w:id="3321" w:name="_Toc38891166"/>
      <w:bookmarkStart w:id="3322" w:name="_Toc39425761"/>
      <w:bookmarkStart w:id="3323" w:name="_Toc38319426"/>
      <w:bookmarkStart w:id="3324" w:name="_Toc38354972"/>
      <w:bookmarkStart w:id="3325" w:name="_Toc38891167"/>
      <w:bookmarkStart w:id="3326" w:name="_Toc39425762"/>
      <w:bookmarkStart w:id="3327" w:name="_Toc38319427"/>
      <w:bookmarkStart w:id="3328" w:name="_Toc38354973"/>
      <w:bookmarkStart w:id="3329" w:name="_Toc38891168"/>
      <w:bookmarkStart w:id="3330" w:name="_Toc39425763"/>
      <w:bookmarkStart w:id="3331" w:name="_Toc38319428"/>
      <w:bookmarkStart w:id="3332" w:name="_Toc38354974"/>
      <w:bookmarkStart w:id="3333" w:name="_Toc38891169"/>
      <w:bookmarkStart w:id="3334" w:name="_Toc39425764"/>
      <w:bookmarkStart w:id="3335" w:name="_Toc38319429"/>
      <w:bookmarkStart w:id="3336" w:name="_Toc38354975"/>
      <w:bookmarkStart w:id="3337" w:name="_Toc38891170"/>
      <w:bookmarkStart w:id="3338" w:name="_Toc39425765"/>
      <w:bookmarkStart w:id="3339" w:name="_Toc38319430"/>
      <w:bookmarkStart w:id="3340" w:name="_Toc38354976"/>
      <w:bookmarkStart w:id="3341" w:name="_Toc38891171"/>
      <w:bookmarkStart w:id="3342" w:name="_Toc39425766"/>
      <w:bookmarkStart w:id="3343" w:name="_Toc38319431"/>
      <w:bookmarkStart w:id="3344" w:name="_Toc38354977"/>
      <w:bookmarkStart w:id="3345" w:name="_Toc38891172"/>
      <w:bookmarkStart w:id="3346" w:name="_Toc39425767"/>
      <w:bookmarkStart w:id="3347" w:name="_Toc38319432"/>
      <w:bookmarkStart w:id="3348" w:name="_Toc38354978"/>
      <w:bookmarkStart w:id="3349" w:name="_Toc38891173"/>
      <w:bookmarkStart w:id="3350" w:name="_Toc39425768"/>
      <w:bookmarkStart w:id="3351" w:name="_Toc38319433"/>
      <w:bookmarkStart w:id="3352" w:name="_Toc38354979"/>
      <w:bookmarkStart w:id="3353" w:name="_Toc38891174"/>
      <w:bookmarkStart w:id="3354" w:name="_Toc39425769"/>
      <w:bookmarkStart w:id="3355" w:name="_Toc38319434"/>
      <w:bookmarkStart w:id="3356" w:name="_Toc38354980"/>
      <w:bookmarkStart w:id="3357" w:name="_Toc38891175"/>
      <w:bookmarkStart w:id="3358" w:name="_Toc39425770"/>
      <w:bookmarkStart w:id="3359" w:name="_Toc38319435"/>
      <w:bookmarkStart w:id="3360" w:name="_Toc38354981"/>
      <w:bookmarkStart w:id="3361" w:name="_Toc38891176"/>
      <w:bookmarkStart w:id="3362" w:name="_Toc39425771"/>
      <w:bookmarkStart w:id="3363" w:name="_Toc38319436"/>
      <w:bookmarkStart w:id="3364" w:name="_Toc38354982"/>
      <w:bookmarkStart w:id="3365" w:name="_Toc38891177"/>
      <w:bookmarkStart w:id="3366" w:name="_Toc39425772"/>
      <w:bookmarkStart w:id="3367" w:name="_Toc38319437"/>
      <w:bookmarkStart w:id="3368" w:name="_Toc38354983"/>
      <w:bookmarkStart w:id="3369" w:name="_Toc38891178"/>
      <w:bookmarkStart w:id="3370" w:name="_Toc39425773"/>
      <w:bookmarkStart w:id="3371" w:name="_Toc38319438"/>
      <w:bookmarkStart w:id="3372" w:name="_Toc38354984"/>
      <w:bookmarkStart w:id="3373" w:name="_Toc38891179"/>
      <w:bookmarkStart w:id="3374" w:name="_Toc39425774"/>
      <w:bookmarkStart w:id="3375" w:name="_Toc38319439"/>
      <w:bookmarkStart w:id="3376" w:name="_Toc38354985"/>
      <w:bookmarkStart w:id="3377" w:name="_Toc38891180"/>
      <w:bookmarkStart w:id="3378" w:name="_Toc39425775"/>
      <w:bookmarkStart w:id="3379" w:name="_Toc38319440"/>
      <w:bookmarkStart w:id="3380" w:name="_Toc38354986"/>
      <w:bookmarkStart w:id="3381" w:name="_Toc38891181"/>
      <w:bookmarkStart w:id="3382" w:name="_Toc39425776"/>
      <w:bookmarkStart w:id="3383" w:name="_Toc38319441"/>
      <w:bookmarkStart w:id="3384" w:name="_Toc38354987"/>
      <w:bookmarkStart w:id="3385" w:name="_Toc38891182"/>
      <w:bookmarkStart w:id="3386" w:name="_Toc39425777"/>
      <w:bookmarkStart w:id="3387" w:name="_Toc38319442"/>
      <w:bookmarkStart w:id="3388" w:name="_Toc38354988"/>
      <w:bookmarkStart w:id="3389" w:name="_Toc38891183"/>
      <w:bookmarkStart w:id="3390" w:name="_Toc39425778"/>
      <w:bookmarkStart w:id="3391" w:name="_Toc38319443"/>
      <w:bookmarkStart w:id="3392" w:name="_Toc38354989"/>
      <w:bookmarkStart w:id="3393" w:name="_Toc38891184"/>
      <w:bookmarkStart w:id="3394" w:name="_Toc39425779"/>
      <w:bookmarkStart w:id="3395" w:name="_Toc38319444"/>
      <w:bookmarkStart w:id="3396" w:name="_Toc38354990"/>
      <w:bookmarkStart w:id="3397" w:name="_Toc38891185"/>
      <w:bookmarkStart w:id="3398" w:name="_Toc39425780"/>
      <w:bookmarkStart w:id="3399" w:name="_Toc38319445"/>
      <w:bookmarkStart w:id="3400" w:name="_Toc38354991"/>
      <w:bookmarkStart w:id="3401" w:name="_Toc38891186"/>
      <w:bookmarkStart w:id="3402" w:name="_Toc39425781"/>
      <w:bookmarkStart w:id="3403" w:name="_Toc38319446"/>
      <w:bookmarkStart w:id="3404" w:name="_Toc38354992"/>
      <w:bookmarkStart w:id="3405" w:name="_Toc38891187"/>
      <w:bookmarkStart w:id="3406" w:name="_Toc39425782"/>
      <w:bookmarkStart w:id="3407" w:name="_Toc38319447"/>
      <w:bookmarkStart w:id="3408" w:name="_Toc38354993"/>
      <w:bookmarkStart w:id="3409" w:name="_Toc38891188"/>
      <w:bookmarkStart w:id="3410" w:name="_Toc39425783"/>
      <w:bookmarkStart w:id="3411" w:name="_Toc38319448"/>
      <w:bookmarkStart w:id="3412" w:name="_Toc38354994"/>
      <w:bookmarkStart w:id="3413" w:name="_Toc38891189"/>
      <w:bookmarkStart w:id="3414" w:name="_Toc39425784"/>
      <w:bookmarkStart w:id="3415" w:name="_Toc38319449"/>
      <w:bookmarkStart w:id="3416" w:name="_Toc38354995"/>
      <w:bookmarkStart w:id="3417" w:name="_Toc38891190"/>
      <w:bookmarkStart w:id="3418" w:name="_Toc39425785"/>
      <w:bookmarkStart w:id="3419" w:name="_Toc38319450"/>
      <w:bookmarkStart w:id="3420" w:name="_Toc38354996"/>
      <w:bookmarkStart w:id="3421" w:name="_Toc38891191"/>
      <w:bookmarkStart w:id="3422" w:name="_Toc39425786"/>
      <w:bookmarkStart w:id="3423" w:name="_Toc38319451"/>
      <w:bookmarkStart w:id="3424" w:name="_Toc38354997"/>
      <w:bookmarkStart w:id="3425" w:name="_Toc38891192"/>
      <w:bookmarkStart w:id="3426" w:name="_Toc39425787"/>
      <w:bookmarkStart w:id="3427" w:name="_Toc38319452"/>
      <w:bookmarkStart w:id="3428" w:name="_Toc38354998"/>
      <w:bookmarkStart w:id="3429" w:name="_Toc38891193"/>
      <w:bookmarkStart w:id="3430" w:name="_Toc39425788"/>
      <w:bookmarkStart w:id="3431" w:name="_Toc38319453"/>
      <w:bookmarkStart w:id="3432" w:name="_Toc38354999"/>
      <w:bookmarkStart w:id="3433" w:name="_Toc38891194"/>
      <w:bookmarkStart w:id="3434" w:name="_Toc39425789"/>
      <w:bookmarkStart w:id="3435" w:name="_Toc38319454"/>
      <w:bookmarkStart w:id="3436" w:name="_Toc38355000"/>
      <w:bookmarkStart w:id="3437" w:name="_Toc38891195"/>
      <w:bookmarkStart w:id="3438" w:name="_Toc39425790"/>
      <w:bookmarkStart w:id="3439" w:name="_Toc38319455"/>
      <w:bookmarkStart w:id="3440" w:name="_Toc38355001"/>
      <w:bookmarkStart w:id="3441" w:name="_Toc38891196"/>
      <w:bookmarkStart w:id="3442" w:name="_Toc39425791"/>
      <w:bookmarkStart w:id="3443" w:name="_Toc38319456"/>
      <w:bookmarkStart w:id="3444" w:name="_Toc38355002"/>
      <w:bookmarkStart w:id="3445" w:name="_Toc38891197"/>
      <w:bookmarkStart w:id="3446" w:name="_Toc39425792"/>
      <w:bookmarkStart w:id="3447" w:name="_Toc38319457"/>
      <w:bookmarkStart w:id="3448" w:name="_Toc38355003"/>
      <w:bookmarkStart w:id="3449" w:name="_Toc38891198"/>
      <w:bookmarkStart w:id="3450" w:name="_Toc39425793"/>
      <w:bookmarkStart w:id="3451" w:name="_Toc38319458"/>
      <w:bookmarkStart w:id="3452" w:name="_Toc38355004"/>
      <w:bookmarkStart w:id="3453" w:name="_Toc38891199"/>
      <w:bookmarkStart w:id="3454" w:name="_Toc39425794"/>
      <w:bookmarkStart w:id="3455" w:name="_Toc38319459"/>
      <w:bookmarkStart w:id="3456" w:name="_Toc38355005"/>
      <w:bookmarkStart w:id="3457" w:name="_Toc38891200"/>
      <w:bookmarkStart w:id="3458" w:name="_Toc39425795"/>
      <w:bookmarkStart w:id="3459" w:name="_Toc38319460"/>
      <w:bookmarkStart w:id="3460" w:name="_Toc38355006"/>
      <w:bookmarkStart w:id="3461" w:name="_Toc38891201"/>
      <w:bookmarkStart w:id="3462" w:name="_Toc39425796"/>
      <w:bookmarkStart w:id="3463" w:name="_Toc38319461"/>
      <w:bookmarkStart w:id="3464" w:name="_Toc38355007"/>
      <w:bookmarkStart w:id="3465" w:name="_Toc38891202"/>
      <w:bookmarkStart w:id="3466" w:name="_Toc39425797"/>
      <w:bookmarkStart w:id="3467" w:name="_Toc38319462"/>
      <w:bookmarkStart w:id="3468" w:name="_Toc38355008"/>
      <w:bookmarkStart w:id="3469" w:name="_Toc38891203"/>
      <w:bookmarkStart w:id="3470" w:name="_Toc39425798"/>
      <w:bookmarkStart w:id="3471" w:name="_Toc38319463"/>
      <w:bookmarkStart w:id="3472" w:name="_Toc38355009"/>
      <w:bookmarkStart w:id="3473" w:name="_Toc38891204"/>
      <w:bookmarkStart w:id="3474" w:name="_Toc39425799"/>
      <w:bookmarkStart w:id="3475" w:name="_Toc38319464"/>
      <w:bookmarkStart w:id="3476" w:name="_Toc38355010"/>
      <w:bookmarkStart w:id="3477" w:name="_Toc38891205"/>
      <w:bookmarkStart w:id="3478" w:name="_Toc39425800"/>
      <w:bookmarkStart w:id="3479" w:name="_Toc38319465"/>
      <w:bookmarkStart w:id="3480" w:name="_Toc38355011"/>
      <w:bookmarkStart w:id="3481" w:name="_Toc38891206"/>
      <w:bookmarkStart w:id="3482" w:name="_Toc39425801"/>
      <w:bookmarkStart w:id="3483" w:name="_Toc38319466"/>
      <w:bookmarkStart w:id="3484" w:name="_Toc38355012"/>
      <w:bookmarkStart w:id="3485" w:name="_Toc38891207"/>
      <w:bookmarkStart w:id="3486" w:name="_Toc39425802"/>
      <w:bookmarkStart w:id="3487" w:name="_Toc38319467"/>
      <w:bookmarkStart w:id="3488" w:name="_Toc38355013"/>
      <w:bookmarkStart w:id="3489" w:name="_Toc38891208"/>
      <w:bookmarkStart w:id="3490" w:name="_Toc39425803"/>
      <w:bookmarkStart w:id="3491" w:name="_Toc38319468"/>
      <w:bookmarkStart w:id="3492" w:name="_Toc38355014"/>
      <w:bookmarkStart w:id="3493" w:name="_Toc38891209"/>
      <w:bookmarkStart w:id="3494" w:name="_Toc39425804"/>
      <w:bookmarkStart w:id="3495" w:name="_Toc38319469"/>
      <w:bookmarkStart w:id="3496" w:name="_Toc38355015"/>
      <w:bookmarkStart w:id="3497" w:name="_Toc38891210"/>
      <w:bookmarkStart w:id="3498" w:name="_Toc39425805"/>
      <w:bookmarkStart w:id="3499" w:name="_Toc38319470"/>
      <w:bookmarkStart w:id="3500" w:name="_Toc38355016"/>
      <w:bookmarkStart w:id="3501" w:name="_Toc38891211"/>
      <w:bookmarkStart w:id="3502" w:name="_Toc39425806"/>
      <w:bookmarkStart w:id="3503" w:name="_Toc38319471"/>
      <w:bookmarkStart w:id="3504" w:name="_Toc38355017"/>
      <w:bookmarkStart w:id="3505" w:name="_Toc38891212"/>
      <w:bookmarkStart w:id="3506" w:name="_Toc39425807"/>
      <w:bookmarkStart w:id="3507" w:name="_Toc38319472"/>
      <w:bookmarkStart w:id="3508" w:name="_Toc38355018"/>
      <w:bookmarkStart w:id="3509" w:name="_Toc38891213"/>
      <w:bookmarkStart w:id="3510" w:name="_Toc39425808"/>
      <w:bookmarkStart w:id="3511" w:name="_Toc38319473"/>
      <w:bookmarkStart w:id="3512" w:name="_Toc38355019"/>
      <w:bookmarkStart w:id="3513" w:name="_Toc38891214"/>
      <w:bookmarkStart w:id="3514" w:name="_Toc39425809"/>
      <w:bookmarkStart w:id="3515" w:name="_Toc38319474"/>
      <w:bookmarkStart w:id="3516" w:name="_Toc38355020"/>
      <w:bookmarkStart w:id="3517" w:name="_Toc38891215"/>
      <w:bookmarkStart w:id="3518" w:name="_Toc39425810"/>
      <w:bookmarkStart w:id="3519" w:name="_Toc38319475"/>
      <w:bookmarkStart w:id="3520" w:name="_Toc38355021"/>
      <w:bookmarkStart w:id="3521" w:name="_Toc38891216"/>
      <w:bookmarkStart w:id="3522" w:name="_Toc39425811"/>
      <w:bookmarkStart w:id="3523" w:name="_Toc38319476"/>
      <w:bookmarkStart w:id="3524" w:name="_Toc38355022"/>
      <w:bookmarkStart w:id="3525" w:name="_Toc38891217"/>
      <w:bookmarkStart w:id="3526" w:name="_Toc39425812"/>
      <w:bookmarkStart w:id="3527" w:name="_Toc38319477"/>
      <w:bookmarkStart w:id="3528" w:name="_Toc38355023"/>
      <w:bookmarkStart w:id="3529" w:name="_Toc38891218"/>
      <w:bookmarkStart w:id="3530" w:name="_Toc39425813"/>
      <w:bookmarkStart w:id="3531" w:name="_Toc38319478"/>
      <w:bookmarkStart w:id="3532" w:name="_Toc38355024"/>
      <w:bookmarkStart w:id="3533" w:name="_Toc38891219"/>
      <w:bookmarkStart w:id="3534" w:name="_Toc39425814"/>
      <w:bookmarkStart w:id="3535" w:name="_Toc38319479"/>
      <w:bookmarkStart w:id="3536" w:name="_Toc38355025"/>
      <w:bookmarkStart w:id="3537" w:name="_Toc38891220"/>
      <w:bookmarkStart w:id="3538" w:name="_Toc39425815"/>
      <w:bookmarkStart w:id="3539" w:name="_Toc38319480"/>
      <w:bookmarkStart w:id="3540" w:name="_Toc38355026"/>
      <w:bookmarkStart w:id="3541" w:name="_Toc38891221"/>
      <w:bookmarkStart w:id="3542" w:name="_Toc39425816"/>
      <w:bookmarkStart w:id="3543" w:name="_Toc38319481"/>
      <w:bookmarkStart w:id="3544" w:name="_Toc38355027"/>
      <w:bookmarkStart w:id="3545" w:name="_Toc38891222"/>
      <w:bookmarkStart w:id="3546" w:name="_Toc39425817"/>
      <w:bookmarkStart w:id="3547" w:name="_Toc38319482"/>
      <w:bookmarkStart w:id="3548" w:name="_Toc38355028"/>
      <w:bookmarkStart w:id="3549" w:name="_Toc38891223"/>
      <w:bookmarkStart w:id="3550" w:name="_Toc39425818"/>
      <w:bookmarkStart w:id="3551" w:name="_Toc38319483"/>
      <w:bookmarkStart w:id="3552" w:name="_Toc38355029"/>
      <w:bookmarkStart w:id="3553" w:name="_Toc38891224"/>
      <w:bookmarkStart w:id="3554" w:name="_Toc39425819"/>
      <w:bookmarkStart w:id="3555" w:name="_Toc38319484"/>
      <w:bookmarkStart w:id="3556" w:name="_Toc38355030"/>
      <w:bookmarkStart w:id="3557" w:name="_Toc38891225"/>
      <w:bookmarkStart w:id="3558" w:name="_Toc39425820"/>
      <w:bookmarkStart w:id="3559" w:name="_Toc38319485"/>
      <w:bookmarkStart w:id="3560" w:name="_Toc38355031"/>
      <w:bookmarkStart w:id="3561" w:name="_Toc38891226"/>
      <w:bookmarkStart w:id="3562" w:name="_Toc39425821"/>
      <w:bookmarkStart w:id="3563" w:name="_Toc38319486"/>
      <w:bookmarkStart w:id="3564" w:name="_Toc38355032"/>
      <w:bookmarkStart w:id="3565" w:name="_Toc38891227"/>
      <w:bookmarkStart w:id="3566" w:name="_Toc39425822"/>
      <w:bookmarkStart w:id="3567" w:name="_Toc38319487"/>
      <w:bookmarkStart w:id="3568" w:name="_Toc38355033"/>
      <w:bookmarkStart w:id="3569" w:name="_Toc38891228"/>
      <w:bookmarkStart w:id="3570" w:name="_Toc39425823"/>
      <w:bookmarkStart w:id="3571" w:name="_Toc38319488"/>
      <w:bookmarkStart w:id="3572" w:name="_Toc38355034"/>
      <w:bookmarkStart w:id="3573" w:name="_Toc38891229"/>
      <w:bookmarkStart w:id="3574" w:name="_Toc39425824"/>
      <w:bookmarkStart w:id="3575" w:name="_Toc38319489"/>
      <w:bookmarkStart w:id="3576" w:name="_Toc38355035"/>
      <w:bookmarkStart w:id="3577" w:name="_Toc38891230"/>
      <w:bookmarkStart w:id="3578" w:name="_Toc39425825"/>
      <w:bookmarkStart w:id="3579" w:name="_Toc38319490"/>
      <w:bookmarkStart w:id="3580" w:name="_Toc38355036"/>
      <w:bookmarkStart w:id="3581" w:name="_Toc38891231"/>
      <w:bookmarkStart w:id="3582" w:name="_Toc39425826"/>
      <w:bookmarkStart w:id="3583" w:name="_Toc38319491"/>
      <w:bookmarkStart w:id="3584" w:name="_Toc38355037"/>
      <w:bookmarkStart w:id="3585" w:name="_Toc38891232"/>
      <w:bookmarkStart w:id="3586" w:name="_Toc39425827"/>
      <w:bookmarkStart w:id="3587" w:name="_Toc38319492"/>
      <w:bookmarkStart w:id="3588" w:name="_Toc38355038"/>
      <w:bookmarkStart w:id="3589" w:name="_Toc38891233"/>
      <w:bookmarkStart w:id="3590" w:name="_Toc39425828"/>
      <w:bookmarkStart w:id="3591" w:name="_Toc38319493"/>
      <w:bookmarkStart w:id="3592" w:name="_Toc38355039"/>
      <w:bookmarkStart w:id="3593" w:name="_Toc38891234"/>
      <w:bookmarkStart w:id="3594" w:name="_Toc39425829"/>
      <w:bookmarkStart w:id="3595" w:name="_Toc38319494"/>
      <w:bookmarkStart w:id="3596" w:name="_Toc38355040"/>
      <w:bookmarkStart w:id="3597" w:name="_Toc38891235"/>
      <w:bookmarkStart w:id="3598" w:name="_Toc39425830"/>
      <w:bookmarkStart w:id="3599" w:name="_Toc38319495"/>
      <w:bookmarkStart w:id="3600" w:name="_Toc38355041"/>
      <w:bookmarkStart w:id="3601" w:name="_Toc38891236"/>
      <w:bookmarkStart w:id="3602" w:name="_Toc39425831"/>
      <w:bookmarkStart w:id="3603" w:name="_Toc38319496"/>
      <w:bookmarkStart w:id="3604" w:name="_Toc38355042"/>
      <w:bookmarkStart w:id="3605" w:name="_Toc38891237"/>
      <w:bookmarkStart w:id="3606" w:name="_Toc39425832"/>
      <w:bookmarkStart w:id="3607" w:name="_Toc38319497"/>
      <w:bookmarkStart w:id="3608" w:name="_Toc38355043"/>
      <w:bookmarkStart w:id="3609" w:name="_Toc38891238"/>
      <w:bookmarkStart w:id="3610" w:name="_Toc39425833"/>
      <w:bookmarkStart w:id="3611" w:name="_Toc38319498"/>
      <w:bookmarkStart w:id="3612" w:name="_Toc38355044"/>
      <w:bookmarkStart w:id="3613" w:name="_Toc38891239"/>
      <w:bookmarkStart w:id="3614" w:name="_Toc39425834"/>
      <w:bookmarkStart w:id="3615" w:name="_Toc38319499"/>
      <w:bookmarkStart w:id="3616" w:name="_Toc38355045"/>
      <w:bookmarkStart w:id="3617" w:name="_Toc38891240"/>
      <w:bookmarkStart w:id="3618" w:name="_Toc39425835"/>
      <w:bookmarkStart w:id="3619" w:name="_Toc38319500"/>
      <w:bookmarkStart w:id="3620" w:name="_Toc38355046"/>
      <w:bookmarkStart w:id="3621" w:name="_Toc38891241"/>
      <w:bookmarkStart w:id="3622" w:name="_Toc39425836"/>
      <w:bookmarkStart w:id="3623" w:name="_Toc38319501"/>
      <w:bookmarkStart w:id="3624" w:name="_Toc38355047"/>
      <w:bookmarkStart w:id="3625" w:name="_Toc38891242"/>
      <w:bookmarkStart w:id="3626" w:name="_Toc39425837"/>
      <w:bookmarkStart w:id="3627" w:name="_Toc38319502"/>
      <w:bookmarkStart w:id="3628" w:name="_Toc38355048"/>
      <w:bookmarkStart w:id="3629" w:name="_Toc38891243"/>
      <w:bookmarkStart w:id="3630" w:name="_Toc39425838"/>
      <w:bookmarkStart w:id="3631" w:name="_Toc38319503"/>
      <w:bookmarkStart w:id="3632" w:name="_Toc38355049"/>
      <w:bookmarkStart w:id="3633" w:name="_Toc38891244"/>
      <w:bookmarkStart w:id="3634" w:name="_Toc39425839"/>
      <w:bookmarkStart w:id="3635" w:name="_Toc38319504"/>
      <w:bookmarkStart w:id="3636" w:name="_Toc38355050"/>
      <w:bookmarkStart w:id="3637" w:name="_Toc38891245"/>
      <w:bookmarkStart w:id="3638" w:name="_Toc39425840"/>
      <w:bookmarkStart w:id="3639" w:name="_Toc38319505"/>
      <w:bookmarkStart w:id="3640" w:name="_Toc38355051"/>
      <w:bookmarkStart w:id="3641" w:name="_Toc38891246"/>
      <w:bookmarkStart w:id="3642" w:name="_Toc39425841"/>
      <w:bookmarkStart w:id="3643" w:name="_Toc38319506"/>
      <w:bookmarkStart w:id="3644" w:name="_Toc38355052"/>
      <w:bookmarkStart w:id="3645" w:name="_Toc38891247"/>
      <w:bookmarkStart w:id="3646" w:name="_Toc39425842"/>
      <w:bookmarkStart w:id="3647" w:name="_Toc38319507"/>
      <w:bookmarkStart w:id="3648" w:name="_Toc38355053"/>
      <w:bookmarkStart w:id="3649" w:name="_Toc38891248"/>
      <w:bookmarkStart w:id="3650" w:name="_Toc39425843"/>
      <w:bookmarkStart w:id="3651" w:name="_Toc38319508"/>
      <w:bookmarkStart w:id="3652" w:name="_Toc38355054"/>
      <w:bookmarkStart w:id="3653" w:name="_Toc38891249"/>
      <w:bookmarkStart w:id="3654" w:name="_Toc39425844"/>
      <w:bookmarkStart w:id="3655" w:name="_Toc38319509"/>
      <w:bookmarkStart w:id="3656" w:name="_Toc38355055"/>
      <w:bookmarkStart w:id="3657" w:name="_Toc38891250"/>
      <w:bookmarkStart w:id="3658" w:name="_Toc39425845"/>
      <w:bookmarkStart w:id="3659" w:name="_Toc38319510"/>
      <w:bookmarkStart w:id="3660" w:name="_Toc38355056"/>
      <w:bookmarkStart w:id="3661" w:name="_Toc38891251"/>
      <w:bookmarkStart w:id="3662" w:name="_Toc39425846"/>
      <w:bookmarkStart w:id="3663" w:name="_Toc38319511"/>
      <w:bookmarkStart w:id="3664" w:name="_Toc38355057"/>
      <w:bookmarkStart w:id="3665" w:name="_Toc38891252"/>
      <w:bookmarkStart w:id="3666" w:name="_Toc39425847"/>
      <w:bookmarkStart w:id="3667" w:name="_Toc38319512"/>
      <w:bookmarkStart w:id="3668" w:name="_Toc38355058"/>
      <w:bookmarkStart w:id="3669" w:name="_Toc38891253"/>
      <w:bookmarkStart w:id="3670" w:name="_Toc39425848"/>
      <w:bookmarkStart w:id="3671" w:name="_Toc38319513"/>
      <w:bookmarkStart w:id="3672" w:name="_Toc38355059"/>
      <w:bookmarkStart w:id="3673" w:name="_Toc38891254"/>
      <w:bookmarkStart w:id="3674" w:name="_Toc39425849"/>
      <w:bookmarkStart w:id="3675" w:name="_Toc38319514"/>
      <w:bookmarkStart w:id="3676" w:name="_Toc38355060"/>
      <w:bookmarkStart w:id="3677" w:name="_Toc38891255"/>
      <w:bookmarkStart w:id="3678" w:name="_Toc39425850"/>
      <w:bookmarkStart w:id="3679" w:name="_Toc38319515"/>
      <w:bookmarkStart w:id="3680" w:name="_Toc38355061"/>
      <w:bookmarkStart w:id="3681" w:name="_Toc38891256"/>
      <w:bookmarkStart w:id="3682" w:name="_Toc39425851"/>
      <w:bookmarkStart w:id="3683" w:name="_Toc38319516"/>
      <w:bookmarkStart w:id="3684" w:name="_Toc38355062"/>
      <w:bookmarkStart w:id="3685" w:name="_Toc38891257"/>
      <w:bookmarkStart w:id="3686" w:name="_Toc39425852"/>
      <w:bookmarkStart w:id="3687" w:name="_Toc38319517"/>
      <w:bookmarkStart w:id="3688" w:name="_Toc38355063"/>
      <w:bookmarkStart w:id="3689" w:name="_Toc38891258"/>
      <w:bookmarkStart w:id="3690" w:name="_Toc39425853"/>
      <w:bookmarkStart w:id="3691" w:name="_Toc38319518"/>
      <w:bookmarkStart w:id="3692" w:name="_Toc38355064"/>
      <w:bookmarkStart w:id="3693" w:name="_Toc38891259"/>
      <w:bookmarkStart w:id="3694" w:name="_Toc39425854"/>
      <w:bookmarkStart w:id="3695" w:name="_Toc38319519"/>
      <w:bookmarkStart w:id="3696" w:name="_Toc38355065"/>
      <w:bookmarkStart w:id="3697" w:name="_Toc38891260"/>
      <w:bookmarkStart w:id="3698" w:name="_Toc39425855"/>
      <w:bookmarkStart w:id="3699" w:name="_Toc38319520"/>
      <w:bookmarkStart w:id="3700" w:name="_Toc38355066"/>
      <w:bookmarkStart w:id="3701" w:name="_Toc38891261"/>
      <w:bookmarkStart w:id="3702" w:name="_Toc39425856"/>
      <w:bookmarkStart w:id="3703" w:name="_Toc38319521"/>
      <w:bookmarkStart w:id="3704" w:name="_Toc38355067"/>
      <w:bookmarkStart w:id="3705" w:name="_Toc38891262"/>
      <w:bookmarkStart w:id="3706" w:name="_Toc39425857"/>
      <w:bookmarkStart w:id="3707" w:name="_Toc38319522"/>
      <w:bookmarkStart w:id="3708" w:name="_Toc38355068"/>
      <w:bookmarkStart w:id="3709" w:name="_Toc38891263"/>
      <w:bookmarkStart w:id="3710" w:name="_Toc39425858"/>
      <w:bookmarkStart w:id="3711" w:name="_Toc38319523"/>
      <w:bookmarkStart w:id="3712" w:name="_Toc38355069"/>
      <w:bookmarkStart w:id="3713" w:name="_Toc38891264"/>
      <w:bookmarkStart w:id="3714" w:name="_Toc39425859"/>
      <w:bookmarkStart w:id="3715" w:name="_Toc38319524"/>
      <w:bookmarkStart w:id="3716" w:name="_Toc38355070"/>
      <w:bookmarkStart w:id="3717" w:name="_Toc38891265"/>
      <w:bookmarkStart w:id="3718" w:name="_Toc39425860"/>
      <w:bookmarkStart w:id="3719" w:name="_Toc38319525"/>
      <w:bookmarkStart w:id="3720" w:name="_Toc38355071"/>
      <w:bookmarkStart w:id="3721" w:name="_Toc38891266"/>
      <w:bookmarkStart w:id="3722" w:name="_Toc39425861"/>
      <w:bookmarkStart w:id="3723" w:name="_Toc38319526"/>
      <w:bookmarkStart w:id="3724" w:name="_Toc38355072"/>
      <w:bookmarkStart w:id="3725" w:name="_Toc38891267"/>
      <w:bookmarkStart w:id="3726" w:name="_Toc39425862"/>
      <w:bookmarkStart w:id="3727" w:name="_Toc38319527"/>
      <w:bookmarkStart w:id="3728" w:name="_Toc38355073"/>
      <w:bookmarkStart w:id="3729" w:name="_Toc38891268"/>
      <w:bookmarkStart w:id="3730" w:name="_Toc39425863"/>
      <w:bookmarkStart w:id="3731" w:name="_Toc38319528"/>
      <w:bookmarkStart w:id="3732" w:name="_Toc38355074"/>
      <w:bookmarkStart w:id="3733" w:name="_Toc38891269"/>
      <w:bookmarkStart w:id="3734" w:name="_Toc39425864"/>
      <w:bookmarkStart w:id="3735" w:name="_Toc38319529"/>
      <w:bookmarkStart w:id="3736" w:name="_Toc38355075"/>
      <w:bookmarkStart w:id="3737" w:name="_Toc38891270"/>
      <w:bookmarkStart w:id="3738" w:name="_Toc39425865"/>
      <w:bookmarkStart w:id="3739" w:name="_Toc38319530"/>
      <w:bookmarkStart w:id="3740" w:name="_Toc38355076"/>
      <w:bookmarkStart w:id="3741" w:name="_Toc38891271"/>
      <w:bookmarkStart w:id="3742" w:name="_Toc39425866"/>
      <w:bookmarkStart w:id="3743" w:name="_Toc38319531"/>
      <w:bookmarkStart w:id="3744" w:name="_Toc38355077"/>
      <w:bookmarkStart w:id="3745" w:name="_Toc38891272"/>
      <w:bookmarkStart w:id="3746" w:name="_Toc39425867"/>
      <w:bookmarkStart w:id="3747" w:name="_Toc38319532"/>
      <w:bookmarkStart w:id="3748" w:name="_Toc38355078"/>
      <w:bookmarkStart w:id="3749" w:name="_Toc38891273"/>
      <w:bookmarkStart w:id="3750" w:name="_Toc39425868"/>
      <w:bookmarkStart w:id="3751" w:name="_Toc35407686"/>
      <w:bookmarkStart w:id="3752" w:name="_Toc38319533"/>
      <w:bookmarkStart w:id="3753" w:name="_Toc38355079"/>
      <w:bookmarkStart w:id="3754" w:name="_Toc38891274"/>
      <w:bookmarkStart w:id="3755" w:name="_Toc39425869"/>
      <w:bookmarkStart w:id="3756" w:name="_Toc38319534"/>
      <w:bookmarkStart w:id="3757" w:name="_Toc38355080"/>
      <w:bookmarkStart w:id="3758" w:name="_Toc38891275"/>
      <w:bookmarkStart w:id="3759" w:name="_Toc39425870"/>
      <w:bookmarkStart w:id="3760" w:name="_Toc38319535"/>
      <w:bookmarkStart w:id="3761" w:name="_Toc38355081"/>
      <w:bookmarkStart w:id="3762" w:name="_Toc38891276"/>
      <w:bookmarkStart w:id="3763" w:name="_Toc39425871"/>
      <w:bookmarkStart w:id="3764" w:name="_Toc38319536"/>
      <w:bookmarkStart w:id="3765" w:name="_Toc38355082"/>
      <w:bookmarkStart w:id="3766" w:name="_Toc38891277"/>
      <w:bookmarkStart w:id="3767" w:name="_Toc39425872"/>
      <w:bookmarkStart w:id="3768" w:name="_Toc38319537"/>
      <w:bookmarkStart w:id="3769" w:name="_Toc38355083"/>
      <w:bookmarkStart w:id="3770" w:name="_Toc38891278"/>
      <w:bookmarkStart w:id="3771" w:name="_Toc39425873"/>
      <w:bookmarkStart w:id="3772" w:name="_Toc38319538"/>
      <w:bookmarkStart w:id="3773" w:name="_Toc38355084"/>
      <w:bookmarkStart w:id="3774" w:name="_Toc38891279"/>
      <w:bookmarkStart w:id="3775" w:name="_Toc39425874"/>
      <w:bookmarkStart w:id="3776" w:name="_Toc38319539"/>
      <w:bookmarkStart w:id="3777" w:name="_Toc38355085"/>
      <w:bookmarkStart w:id="3778" w:name="_Toc38891280"/>
      <w:bookmarkStart w:id="3779" w:name="_Toc39425875"/>
      <w:bookmarkStart w:id="3780" w:name="_Toc38319540"/>
      <w:bookmarkStart w:id="3781" w:name="_Toc38355086"/>
      <w:bookmarkStart w:id="3782" w:name="_Toc38891281"/>
      <w:bookmarkStart w:id="3783" w:name="_Toc39425876"/>
      <w:bookmarkStart w:id="3784" w:name="_Toc38319541"/>
      <w:bookmarkStart w:id="3785" w:name="_Toc38355087"/>
      <w:bookmarkStart w:id="3786" w:name="_Toc38891282"/>
      <w:bookmarkStart w:id="3787" w:name="_Toc39425877"/>
      <w:bookmarkStart w:id="3788" w:name="_Toc38319542"/>
      <w:bookmarkStart w:id="3789" w:name="_Toc38355088"/>
      <w:bookmarkStart w:id="3790" w:name="_Toc38891283"/>
      <w:bookmarkStart w:id="3791" w:name="_Toc39425878"/>
      <w:bookmarkStart w:id="3792" w:name="_Toc38319543"/>
      <w:bookmarkStart w:id="3793" w:name="_Toc38355089"/>
      <w:bookmarkStart w:id="3794" w:name="_Toc38891284"/>
      <w:bookmarkStart w:id="3795" w:name="_Toc39425879"/>
      <w:bookmarkStart w:id="3796" w:name="_Toc38319544"/>
      <w:bookmarkStart w:id="3797" w:name="_Toc38355090"/>
      <w:bookmarkStart w:id="3798" w:name="_Toc38891285"/>
      <w:bookmarkStart w:id="3799" w:name="_Toc39425880"/>
      <w:bookmarkStart w:id="3800" w:name="_Toc38319545"/>
      <w:bookmarkStart w:id="3801" w:name="_Toc38355091"/>
      <w:bookmarkStart w:id="3802" w:name="_Toc38891286"/>
      <w:bookmarkStart w:id="3803" w:name="_Toc39425881"/>
      <w:bookmarkStart w:id="3804" w:name="_Toc38319546"/>
      <w:bookmarkStart w:id="3805" w:name="_Toc38355092"/>
      <w:bookmarkStart w:id="3806" w:name="_Toc38891287"/>
      <w:bookmarkStart w:id="3807" w:name="_Toc39425882"/>
      <w:bookmarkStart w:id="3808" w:name="_Toc35407688"/>
      <w:bookmarkStart w:id="3809" w:name="_Toc35407689"/>
      <w:bookmarkStart w:id="3810" w:name="_Toc38319547"/>
      <w:bookmarkStart w:id="3811" w:name="_Toc38355093"/>
      <w:bookmarkStart w:id="3812" w:name="_Toc38891288"/>
      <w:bookmarkStart w:id="3813" w:name="_Toc39425883"/>
      <w:bookmarkStart w:id="3814" w:name="_Toc38319548"/>
      <w:bookmarkStart w:id="3815" w:name="_Toc38355094"/>
      <w:bookmarkStart w:id="3816" w:name="_Toc38891289"/>
      <w:bookmarkStart w:id="3817" w:name="_Toc39425884"/>
      <w:bookmarkStart w:id="3818" w:name="_Toc38319549"/>
      <w:bookmarkStart w:id="3819" w:name="_Toc38355095"/>
      <w:bookmarkStart w:id="3820" w:name="_Toc38891290"/>
      <w:bookmarkStart w:id="3821" w:name="_Toc39425885"/>
      <w:bookmarkStart w:id="3822" w:name="_Toc38319550"/>
      <w:bookmarkStart w:id="3823" w:name="_Toc38355096"/>
      <w:bookmarkStart w:id="3824" w:name="_Toc38891291"/>
      <w:bookmarkStart w:id="3825" w:name="_Toc39425886"/>
      <w:bookmarkStart w:id="3826" w:name="_Toc38319551"/>
      <w:bookmarkStart w:id="3827" w:name="_Toc38355097"/>
      <w:bookmarkStart w:id="3828" w:name="_Toc38891292"/>
      <w:bookmarkStart w:id="3829" w:name="_Toc39425887"/>
      <w:bookmarkStart w:id="3830" w:name="_Toc38319552"/>
      <w:bookmarkStart w:id="3831" w:name="_Toc38355098"/>
      <w:bookmarkStart w:id="3832" w:name="_Toc38891293"/>
      <w:bookmarkStart w:id="3833" w:name="_Toc39425888"/>
      <w:bookmarkStart w:id="3834" w:name="_Toc38319553"/>
      <w:bookmarkStart w:id="3835" w:name="_Toc38355099"/>
      <w:bookmarkStart w:id="3836" w:name="_Toc38891294"/>
      <w:bookmarkStart w:id="3837" w:name="_Toc39425889"/>
      <w:bookmarkStart w:id="3838" w:name="_Toc38319554"/>
      <w:bookmarkStart w:id="3839" w:name="_Toc38355100"/>
      <w:bookmarkStart w:id="3840" w:name="_Toc38891295"/>
      <w:bookmarkStart w:id="3841" w:name="_Toc39425890"/>
      <w:bookmarkStart w:id="3842" w:name="_Toc38319555"/>
      <w:bookmarkStart w:id="3843" w:name="_Toc38355101"/>
      <w:bookmarkStart w:id="3844" w:name="_Toc38891296"/>
      <w:bookmarkStart w:id="3845" w:name="_Toc39425891"/>
      <w:bookmarkStart w:id="3846" w:name="_Toc38319556"/>
      <w:bookmarkStart w:id="3847" w:name="_Toc38355102"/>
      <w:bookmarkStart w:id="3848" w:name="_Toc38891297"/>
      <w:bookmarkStart w:id="3849" w:name="_Toc39425892"/>
      <w:bookmarkStart w:id="3850" w:name="_Toc38319557"/>
      <w:bookmarkStart w:id="3851" w:name="_Toc38355103"/>
      <w:bookmarkStart w:id="3852" w:name="_Toc38891298"/>
      <w:bookmarkStart w:id="3853" w:name="_Toc39425893"/>
      <w:bookmarkStart w:id="3854" w:name="_Toc38319558"/>
      <w:bookmarkStart w:id="3855" w:name="_Toc38355104"/>
      <w:bookmarkStart w:id="3856" w:name="_Toc38891299"/>
      <w:bookmarkStart w:id="3857" w:name="_Toc39425894"/>
      <w:bookmarkStart w:id="3858" w:name="_Toc38319559"/>
      <w:bookmarkStart w:id="3859" w:name="_Toc38355105"/>
      <w:bookmarkStart w:id="3860" w:name="_Toc38891300"/>
      <w:bookmarkStart w:id="3861" w:name="_Toc39425895"/>
      <w:bookmarkStart w:id="3862" w:name="_Toc38319560"/>
      <w:bookmarkStart w:id="3863" w:name="_Toc38355106"/>
      <w:bookmarkStart w:id="3864" w:name="_Toc38891301"/>
      <w:bookmarkStart w:id="3865" w:name="_Toc39425896"/>
      <w:bookmarkStart w:id="3866" w:name="_Toc38319561"/>
      <w:bookmarkStart w:id="3867" w:name="_Toc38355107"/>
      <w:bookmarkStart w:id="3868" w:name="_Toc38891302"/>
      <w:bookmarkStart w:id="3869" w:name="_Toc39425897"/>
      <w:bookmarkStart w:id="3870" w:name="_Toc38319562"/>
      <w:bookmarkStart w:id="3871" w:name="_Toc38355108"/>
      <w:bookmarkStart w:id="3872" w:name="_Toc38891303"/>
      <w:bookmarkStart w:id="3873" w:name="_Toc39425898"/>
      <w:bookmarkStart w:id="3874" w:name="_Toc38319563"/>
      <w:bookmarkStart w:id="3875" w:name="_Toc38355109"/>
      <w:bookmarkStart w:id="3876" w:name="_Toc38891304"/>
      <w:bookmarkStart w:id="3877" w:name="_Toc39425899"/>
      <w:bookmarkStart w:id="3878" w:name="_Toc38319564"/>
      <w:bookmarkStart w:id="3879" w:name="_Toc38355110"/>
      <w:bookmarkStart w:id="3880" w:name="_Toc38891305"/>
      <w:bookmarkStart w:id="3881" w:name="_Toc39425900"/>
      <w:bookmarkStart w:id="3882" w:name="_Toc38319565"/>
      <w:bookmarkStart w:id="3883" w:name="_Toc38355111"/>
      <w:bookmarkStart w:id="3884" w:name="_Toc38891306"/>
      <w:bookmarkStart w:id="3885" w:name="_Toc39425901"/>
      <w:bookmarkStart w:id="3886" w:name="_Toc38319566"/>
      <w:bookmarkStart w:id="3887" w:name="_Toc38355112"/>
      <w:bookmarkStart w:id="3888" w:name="_Toc38891307"/>
      <w:bookmarkStart w:id="3889" w:name="_Toc39425902"/>
      <w:bookmarkStart w:id="3890" w:name="_Toc38319567"/>
      <w:bookmarkStart w:id="3891" w:name="_Toc38355113"/>
      <w:bookmarkStart w:id="3892" w:name="_Toc38891308"/>
      <w:bookmarkStart w:id="3893" w:name="_Toc39425903"/>
      <w:bookmarkStart w:id="3894" w:name="_Toc38319568"/>
      <w:bookmarkStart w:id="3895" w:name="_Toc38355114"/>
      <w:bookmarkStart w:id="3896" w:name="_Toc38891309"/>
      <w:bookmarkStart w:id="3897" w:name="_Toc39425904"/>
      <w:bookmarkStart w:id="3898" w:name="_Toc38319569"/>
      <w:bookmarkStart w:id="3899" w:name="_Toc38355115"/>
      <w:bookmarkStart w:id="3900" w:name="_Toc38891310"/>
      <w:bookmarkStart w:id="3901" w:name="_Toc39425905"/>
      <w:bookmarkStart w:id="3902" w:name="_Toc38319570"/>
      <w:bookmarkStart w:id="3903" w:name="_Toc38355116"/>
      <w:bookmarkStart w:id="3904" w:name="_Toc38891311"/>
      <w:bookmarkStart w:id="3905" w:name="_Toc39425906"/>
      <w:bookmarkStart w:id="3906" w:name="_Toc38319571"/>
      <w:bookmarkStart w:id="3907" w:name="_Toc38355117"/>
      <w:bookmarkStart w:id="3908" w:name="_Toc38891312"/>
      <w:bookmarkStart w:id="3909" w:name="_Toc39425907"/>
      <w:bookmarkStart w:id="3910" w:name="_Toc38319572"/>
      <w:bookmarkStart w:id="3911" w:name="_Toc38355118"/>
      <w:bookmarkStart w:id="3912" w:name="_Toc38891313"/>
      <w:bookmarkStart w:id="3913" w:name="_Toc39425908"/>
      <w:bookmarkStart w:id="3914" w:name="_Toc38319573"/>
      <w:bookmarkStart w:id="3915" w:name="_Toc38355119"/>
      <w:bookmarkStart w:id="3916" w:name="_Toc38891314"/>
      <w:bookmarkStart w:id="3917" w:name="_Toc39425909"/>
      <w:bookmarkStart w:id="3918" w:name="_Toc38319574"/>
      <w:bookmarkStart w:id="3919" w:name="_Toc38355120"/>
      <w:bookmarkStart w:id="3920" w:name="_Toc38891315"/>
      <w:bookmarkStart w:id="3921" w:name="_Toc39425910"/>
      <w:bookmarkStart w:id="3922" w:name="_Toc38319575"/>
      <w:bookmarkStart w:id="3923" w:name="_Toc38355121"/>
      <w:bookmarkStart w:id="3924" w:name="_Toc38891316"/>
      <w:bookmarkStart w:id="3925" w:name="_Toc39425911"/>
      <w:bookmarkStart w:id="3926" w:name="_Toc38319576"/>
      <w:bookmarkStart w:id="3927" w:name="_Toc38355122"/>
      <w:bookmarkStart w:id="3928" w:name="_Toc38891317"/>
      <w:bookmarkStart w:id="3929" w:name="_Toc39425912"/>
      <w:bookmarkStart w:id="3930" w:name="_Toc38319577"/>
      <w:bookmarkStart w:id="3931" w:name="_Toc38355123"/>
      <w:bookmarkStart w:id="3932" w:name="_Toc38891318"/>
      <w:bookmarkStart w:id="3933" w:name="_Toc39425913"/>
      <w:bookmarkStart w:id="3934" w:name="_Toc35407692"/>
      <w:bookmarkStart w:id="3935" w:name="_Toc38319578"/>
      <w:bookmarkStart w:id="3936" w:name="_Toc38355124"/>
      <w:bookmarkStart w:id="3937" w:name="_Toc38891319"/>
      <w:bookmarkStart w:id="3938" w:name="_Toc39425914"/>
      <w:bookmarkStart w:id="3939" w:name="_Toc38319579"/>
      <w:bookmarkStart w:id="3940" w:name="_Toc38355125"/>
      <w:bookmarkStart w:id="3941" w:name="_Toc38891320"/>
      <w:bookmarkStart w:id="3942" w:name="_Toc39425915"/>
      <w:bookmarkStart w:id="3943" w:name="_Toc38319580"/>
      <w:bookmarkStart w:id="3944" w:name="_Toc38355126"/>
      <w:bookmarkStart w:id="3945" w:name="_Toc38891321"/>
      <w:bookmarkStart w:id="3946" w:name="_Toc39425916"/>
      <w:bookmarkStart w:id="3947" w:name="_Toc38319581"/>
      <w:bookmarkStart w:id="3948" w:name="_Toc38355127"/>
      <w:bookmarkStart w:id="3949" w:name="_Toc38891322"/>
      <w:bookmarkStart w:id="3950" w:name="_Toc39425917"/>
      <w:bookmarkStart w:id="3951" w:name="_Toc38319582"/>
      <w:bookmarkStart w:id="3952" w:name="_Toc38355128"/>
      <w:bookmarkStart w:id="3953" w:name="_Toc38891323"/>
      <w:bookmarkStart w:id="3954" w:name="_Toc39425918"/>
      <w:bookmarkStart w:id="3955" w:name="_Toc38319583"/>
      <w:bookmarkStart w:id="3956" w:name="_Toc38355129"/>
      <w:bookmarkStart w:id="3957" w:name="_Toc38891324"/>
      <w:bookmarkStart w:id="3958" w:name="_Toc39425919"/>
      <w:bookmarkStart w:id="3959" w:name="_Toc38319584"/>
      <w:bookmarkStart w:id="3960" w:name="_Toc38355130"/>
      <w:bookmarkStart w:id="3961" w:name="_Toc38891325"/>
      <w:bookmarkStart w:id="3962" w:name="_Toc39425920"/>
      <w:bookmarkStart w:id="3963" w:name="_Toc38319585"/>
      <w:bookmarkStart w:id="3964" w:name="_Toc38355131"/>
      <w:bookmarkStart w:id="3965" w:name="_Toc38891326"/>
      <w:bookmarkStart w:id="3966" w:name="_Toc39425921"/>
      <w:bookmarkStart w:id="3967" w:name="_Toc38319586"/>
      <w:bookmarkStart w:id="3968" w:name="_Toc38355132"/>
      <w:bookmarkStart w:id="3969" w:name="_Toc38891327"/>
      <w:bookmarkStart w:id="3970" w:name="_Toc39425922"/>
      <w:bookmarkStart w:id="3971" w:name="_Toc38319587"/>
      <w:bookmarkStart w:id="3972" w:name="_Toc38355133"/>
      <w:bookmarkStart w:id="3973" w:name="_Toc38891328"/>
      <w:bookmarkStart w:id="3974" w:name="_Toc39425923"/>
      <w:bookmarkStart w:id="3975" w:name="_Toc38319588"/>
      <w:bookmarkStart w:id="3976" w:name="_Toc38355134"/>
      <w:bookmarkStart w:id="3977" w:name="_Toc38891329"/>
      <w:bookmarkStart w:id="3978" w:name="_Toc39425924"/>
      <w:bookmarkStart w:id="3979" w:name="_Toc38319589"/>
      <w:bookmarkStart w:id="3980" w:name="_Toc38355135"/>
      <w:bookmarkStart w:id="3981" w:name="_Toc38891330"/>
      <w:bookmarkStart w:id="3982" w:name="_Toc39425925"/>
      <w:bookmarkStart w:id="3983" w:name="_Toc38319590"/>
      <w:bookmarkStart w:id="3984" w:name="_Toc38355136"/>
      <w:bookmarkStart w:id="3985" w:name="_Toc38891331"/>
      <w:bookmarkStart w:id="3986" w:name="_Toc39425926"/>
      <w:bookmarkStart w:id="3987" w:name="_Toc38319591"/>
      <w:bookmarkStart w:id="3988" w:name="_Toc38355137"/>
      <w:bookmarkStart w:id="3989" w:name="_Toc38891332"/>
      <w:bookmarkStart w:id="3990" w:name="_Toc39425927"/>
      <w:bookmarkStart w:id="3991" w:name="_Toc38319592"/>
      <w:bookmarkStart w:id="3992" w:name="_Toc38355138"/>
      <w:bookmarkStart w:id="3993" w:name="_Toc38891333"/>
      <w:bookmarkStart w:id="3994" w:name="_Toc39425928"/>
      <w:bookmarkStart w:id="3995" w:name="_Toc38319593"/>
      <w:bookmarkStart w:id="3996" w:name="_Toc38355139"/>
      <w:bookmarkStart w:id="3997" w:name="_Toc38891334"/>
      <w:bookmarkStart w:id="3998" w:name="_Toc39425929"/>
      <w:bookmarkStart w:id="3999" w:name="_Toc38319594"/>
      <w:bookmarkStart w:id="4000" w:name="_Toc38355140"/>
      <w:bookmarkStart w:id="4001" w:name="_Toc38891335"/>
      <w:bookmarkStart w:id="4002" w:name="_Toc39425930"/>
      <w:bookmarkStart w:id="4003" w:name="_Toc38319595"/>
      <w:bookmarkStart w:id="4004" w:name="_Toc38355141"/>
      <w:bookmarkStart w:id="4005" w:name="_Toc38891336"/>
      <w:bookmarkStart w:id="4006" w:name="_Toc39425931"/>
      <w:bookmarkStart w:id="4007" w:name="_Toc38319596"/>
      <w:bookmarkStart w:id="4008" w:name="_Toc38355142"/>
      <w:bookmarkStart w:id="4009" w:name="_Toc38891337"/>
      <w:bookmarkStart w:id="4010" w:name="_Toc39425932"/>
      <w:bookmarkStart w:id="4011" w:name="_Toc38319597"/>
      <w:bookmarkStart w:id="4012" w:name="_Toc38355143"/>
      <w:bookmarkStart w:id="4013" w:name="_Toc38891338"/>
      <w:bookmarkStart w:id="4014" w:name="_Toc39425933"/>
      <w:bookmarkStart w:id="4015" w:name="_Toc38319598"/>
      <w:bookmarkStart w:id="4016" w:name="_Toc38355144"/>
      <w:bookmarkStart w:id="4017" w:name="_Toc38891339"/>
      <w:bookmarkStart w:id="4018" w:name="_Toc39425934"/>
      <w:bookmarkStart w:id="4019" w:name="_Toc38319599"/>
      <w:bookmarkStart w:id="4020" w:name="_Toc38355145"/>
      <w:bookmarkStart w:id="4021" w:name="_Toc38891340"/>
      <w:bookmarkStart w:id="4022" w:name="_Toc39425935"/>
      <w:bookmarkStart w:id="4023" w:name="_Toc38319600"/>
      <w:bookmarkStart w:id="4024" w:name="_Toc38355146"/>
      <w:bookmarkStart w:id="4025" w:name="_Toc38891341"/>
      <w:bookmarkStart w:id="4026" w:name="_Toc39425936"/>
      <w:bookmarkStart w:id="4027" w:name="_Toc38319601"/>
      <w:bookmarkStart w:id="4028" w:name="_Toc38355147"/>
      <w:bookmarkStart w:id="4029" w:name="_Toc38891342"/>
      <w:bookmarkStart w:id="4030" w:name="_Toc39425937"/>
      <w:bookmarkStart w:id="4031" w:name="_Toc38319602"/>
      <w:bookmarkStart w:id="4032" w:name="_Toc38355148"/>
      <w:bookmarkStart w:id="4033" w:name="_Toc38891343"/>
      <w:bookmarkStart w:id="4034" w:name="_Toc39425938"/>
      <w:bookmarkStart w:id="4035" w:name="_Toc38319603"/>
      <w:bookmarkStart w:id="4036" w:name="_Toc38355149"/>
      <w:bookmarkStart w:id="4037" w:name="_Toc38891344"/>
      <w:bookmarkStart w:id="4038" w:name="_Toc39425939"/>
      <w:bookmarkStart w:id="4039" w:name="_Toc38319604"/>
      <w:bookmarkStart w:id="4040" w:name="_Toc38355150"/>
      <w:bookmarkStart w:id="4041" w:name="_Toc38891345"/>
      <w:bookmarkStart w:id="4042" w:name="_Toc39425940"/>
      <w:bookmarkStart w:id="4043" w:name="_Toc38319605"/>
      <w:bookmarkStart w:id="4044" w:name="_Toc38355151"/>
      <w:bookmarkStart w:id="4045" w:name="_Toc38891346"/>
      <w:bookmarkStart w:id="4046" w:name="_Toc39425941"/>
      <w:bookmarkStart w:id="4047" w:name="_Toc38319606"/>
      <w:bookmarkStart w:id="4048" w:name="_Toc38355152"/>
      <w:bookmarkStart w:id="4049" w:name="_Toc38891347"/>
      <w:bookmarkStart w:id="4050" w:name="_Toc39425942"/>
      <w:bookmarkStart w:id="4051" w:name="_Toc38319607"/>
      <w:bookmarkStart w:id="4052" w:name="_Toc38355153"/>
      <w:bookmarkStart w:id="4053" w:name="_Toc38891348"/>
      <w:bookmarkStart w:id="4054" w:name="_Toc39425943"/>
      <w:bookmarkStart w:id="4055" w:name="_Toc38319608"/>
      <w:bookmarkStart w:id="4056" w:name="_Toc38355154"/>
      <w:bookmarkStart w:id="4057" w:name="_Toc38891349"/>
      <w:bookmarkStart w:id="4058" w:name="_Toc39425944"/>
      <w:bookmarkStart w:id="4059" w:name="_Toc38319609"/>
      <w:bookmarkStart w:id="4060" w:name="_Toc38355155"/>
      <w:bookmarkStart w:id="4061" w:name="_Toc38891350"/>
      <w:bookmarkStart w:id="4062" w:name="_Toc39425945"/>
      <w:bookmarkStart w:id="4063" w:name="_Toc38319610"/>
      <w:bookmarkStart w:id="4064" w:name="_Toc38355156"/>
      <w:bookmarkStart w:id="4065" w:name="_Toc38891351"/>
      <w:bookmarkStart w:id="4066" w:name="_Toc39425946"/>
      <w:bookmarkStart w:id="4067" w:name="_Toc38319611"/>
      <w:bookmarkStart w:id="4068" w:name="_Toc38355157"/>
      <w:bookmarkStart w:id="4069" w:name="_Toc38891352"/>
      <w:bookmarkStart w:id="4070" w:name="_Toc39425947"/>
      <w:bookmarkStart w:id="4071" w:name="_Toc38319612"/>
      <w:bookmarkStart w:id="4072" w:name="_Toc38355158"/>
      <w:bookmarkStart w:id="4073" w:name="_Toc38891353"/>
      <w:bookmarkStart w:id="4074" w:name="_Toc39425948"/>
      <w:bookmarkStart w:id="4075" w:name="_Toc38319613"/>
      <w:bookmarkStart w:id="4076" w:name="_Toc38355159"/>
      <w:bookmarkStart w:id="4077" w:name="_Toc38891354"/>
      <w:bookmarkStart w:id="4078" w:name="_Toc39425949"/>
      <w:bookmarkStart w:id="4079" w:name="_Toc38319614"/>
      <w:bookmarkStart w:id="4080" w:name="_Toc38355160"/>
      <w:bookmarkStart w:id="4081" w:name="_Toc38891355"/>
      <w:bookmarkStart w:id="4082" w:name="_Toc39425950"/>
      <w:bookmarkStart w:id="4083" w:name="_Toc38319615"/>
      <w:bookmarkStart w:id="4084" w:name="_Toc38355161"/>
      <w:bookmarkStart w:id="4085" w:name="_Toc38891356"/>
      <w:bookmarkStart w:id="4086" w:name="_Toc39425951"/>
      <w:bookmarkStart w:id="4087" w:name="_Toc38319616"/>
      <w:bookmarkStart w:id="4088" w:name="_Toc38355162"/>
      <w:bookmarkStart w:id="4089" w:name="_Toc38891357"/>
      <w:bookmarkStart w:id="4090" w:name="_Toc39425952"/>
      <w:bookmarkStart w:id="4091" w:name="_Toc38319617"/>
      <w:bookmarkStart w:id="4092" w:name="_Toc38355163"/>
      <w:bookmarkStart w:id="4093" w:name="_Toc38891358"/>
      <w:bookmarkStart w:id="4094" w:name="_Toc39425953"/>
      <w:bookmarkStart w:id="4095" w:name="_Toc38319618"/>
      <w:bookmarkStart w:id="4096" w:name="_Toc38355164"/>
      <w:bookmarkStart w:id="4097" w:name="_Toc38891359"/>
      <w:bookmarkStart w:id="4098" w:name="_Toc39425954"/>
      <w:bookmarkStart w:id="4099" w:name="_Toc38319619"/>
      <w:bookmarkStart w:id="4100" w:name="_Toc38355165"/>
      <w:bookmarkStart w:id="4101" w:name="_Toc38891360"/>
      <w:bookmarkStart w:id="4102" w:name="_Toc39425955"/>
      <w:bookmarkStart w:id="4103" w:name="_Toc38319620"/>
      <w:bookmarkStart w:id="4104" w:name="_Toc38355166"/>
      <w:bookmarkStart w:id="4105" w:name="_Toc38891361"/>
      <w:bookmarkStart w:id="4106" w:name="_Toc39425956"/>
      <w:bookmarkStart w:id="4107" w:name="_Toc38319621"/>
      <w:bookmarkStart w:id="4108" w:name="_Toc38355167"/>
      <w:bookmarkStart w:id="4109" w:name="_Toc38891362"/>
      <w:bookmarkStart w:id="4110" w:name="_Toc39425957"/>
      <w:bookmarkStart w:id="4111" w:name="_Toc38319622"/>
      <w:bookmarkStart w:id="4112" w:name="_Toc38355168"/>
      <w:bookmarkStart w:id="4113" w:name="_Toc38891363"/>
      <w:bookmarkStart w:id="4114" w:name="_Toc39425958"/>
      <w:bookmarkStart w:id="4115" w:name="_Toc38319623"/>
      <w:bookmarkStart w:id="4116" w:name="_Toc38355169"/>
      <w:bookmarkStart w:id="4117" w:name="_Toc38891364"/>
      <w:bookmarkStart w:id="4118" w:name="_Toc39425959"/>
      <w:bookmarkStart w:id="4119" w:name="_Toc38319624"/>
      <w:bookmarkStart w:id="4120" w:name="_Toc38355170"/>
      <w:bookmarkStart w:id="4121" w:name="_Toc38891365"/>
      <w:bookmarkStart w:id="4122" w:name="_Toc39425960"/>
      <w:bookmarkStart w:id="4123" w:name="_Toc38319625"/>
      <w:bookmarkStart w:id="4124" w:name="_Toc38355171"/>
      <w:bookmarkStart w:id="4125" w:name="_Toc38891366"/>
      <w:bookmarkStart w:id="4126" w:name="_Toc39425961"/>
      <w:bookmarkStart w:id="4127" w:name="_Toc38319626"/>
      <w:bookmarkStart w:id="4128" w:name="_Toc38355172"/>
      <w:bookmarkStart w:id="4129" w:name="_Toc38891367"/>
      <w:bookmarkStart w:id="4130" w:name="_Toc39425962"/>
      <w:bookmarkStart w:id="4131" w:name="_Toc38319627"/>
      <w:bookmarkStart w:id="4132" w:name="_Toc38355173"/>
      <w:bookmarkStart w:id="4133" w:name="_Toc38891368"/>
      <w:bookmarkStart w:id="4134" w:name="_Toc39425963"/>
      <w:bookmarkStart w:id="4135" w:name="_Toc38319628"/>
      <w:bookmarkStart w:id="4136" w:name="_Toc38355174"/>
      <w:bookmarkStart w:id="4137" w:name="_Toc38891369"/>
      <w:bookmarkStart w:id="4138" w:name="_Toc39425964"/>
      <w:bookmarkStart w:id="4139" w:name="_Toc38319629"/>
      <w:bookmarkStart w:id="4140" w:name="_Toc38355175"/>
      <w:bookmarkStart w:id="4141" w:name="_Toc38891370"/>
      <w:bookmarkStart w:id="4142" w:name="_Toc39425965"/>
      <w:bookmarkStart w:id="4143" w:name="_Toc38319630"/>
      <w:bookmarkStart w:id="4144" w:name="_Toc38355176"/>
      <w:bookmarkStart w:id="4145" w:name="_Toc38891371"/>
      <w:bookmarkStart w:id="4146" w:name="_Toc39425966"/>
      <w:bookmarkStart w:id="4147" w:name="_Toc38319631"/>
      <w:bookmarkStart w:id="4148" w:name="_Toc38355177"/>
      <w:bookmarkStart w:id="4149" w:name="_Toc38891372"/>
      <w:bookmarkStart w:id="4150" w:name="_Toc39425967"/>
      <w:bookmarkStart w:id="4151" w:name="_Toc38319632"/>
      <w:bookmarkStart w:id="4152" w:name="_Toc38355178"/>
      <w:bookmarkStart w:id="4153" w:name="_Toc38891373"/>
      <w:bookmarkStart w:id="4154" w:name="_Toc39425968"/>
      <w:bookmarkStart w:id="4155" w:name="_Toc38319633"/>
      <w:bookmarkStart w:id="4156" w:name="_Toc38355179"/>
      <w:bookmarkStart w:id="4157" w:name="_Toc38891374"/>
      <w:bookmarkStart w:id="4158" w:name="_Toc39425969"/>
      <w:bookmarkStart w:id="4159" w:name="_Toc38319634"/>
      <w:bookmarkStart w:id="4160" w:name="_Toc38355180"/>
      <w:bookmarkStart w:id="4161" w:name="_Toc38891375"/>
      <w:bookmarkStart w:id="4162" w:name="_Toc39425970"/>
      <w:bookmarkStart w:id="4163" w:name="_Toc38319635"/>
      <w:bookmarkStart w:id="4164" w:name="_Toc38355181"/>
      <w:bookmarkStart w:id="4165" w:name="_Toc38891376"/>
      <w:bookmarkStart w:id="4166" w:name="_Toc39425971"/>
      <w:bookmarkStart w:id="4167" w:name="_Toc38319636"/>
      <w:bookmarkStart w:id="4168" w:name="_Toc38355182"/>
      <w:bookmarkStart w:id="4169" w:name="_Toc38891377"/>
      <w:bookmarkStart w:id="4170" w:name="_Toc39425972"/>
      <w:bookmarkStart w:id="4171" w:name="_Toc38319637"/>
      <w:bookmarkStart w:id="4172" w:name="_Toc38355183"/>
      <w:bookmarkStart w:id="4173" w:name="_Toc38891378"/>
      <w:bookmarkStart w:id="4174" w:name="_Toc39425973"/>
      <w:bookmarkStart w:id="4175" w:name="_Toc38319638"/>
      <w:bookmarkStart w:id="4176" w:name="_Toc38355184"/>
      <w:bookmarkStart w:id="4177" w:name="_Toc38891379"/>
      <w:bookmarkStart w:id="4178" w:name="_Toc39425974"/>
      <w:bookmarkStart w:id="4179" w:name="_Toc38319639"/>
      <w:bookmarkStart w:id="4180" w:name="_Toc38355185"/>
      <w:bookmarkStart w:id="4181" w:name="_Toc38891380"/>
      <w:bookmarkStart w:id="4182" w:name="_Toc39425975"/>
      <w:bookmarkStart w:id="4183" w:name="_Toc38319640"/>
      <w:bookmarkStart w:id="4184" w:name="_Toc38355186"/>
      <w:bookmarkStart w:id="4185" w:name="_Toc38891381"/>
      <w:bookmarkStart w:id="4186" w:name="_Toc39425976"/>
      <w:bookmarkStart w:id="4187" w:name="_Toc38319641"/>
      <w:bookmarkStart w:id="4188" w:name="_Toc38355187"/>
      <w:bookmarkStart w:id="4189" w:name="_Toc38891382"/>
      <w:bookmarkStart w:id="4190" w:name="_Toc39425977"/>
      <w:bookmarkStart w:id="4191" w:name="_Toc38319642"/>
      <w:bookmarkStart w:id="4192" w:name="_Toc38355188"/>
      <w:bookmarkStart w:id="4193" w:name="_Toc38891383"/>
      <w:bookmarkStart w:id="4194" w:name="_Toc39425978"/>
      <w:bookmarkStart w:id="4195" w:name="_Toc38319643"/>
      <w:bookmarkStart w:id="4196" w:name="_Toc38355189"/>
      <w:bookmarkStart w:id="4197" w:name="_Toc38891384"/>
      <w:bookmarkStart w:id="4198" w:name="_Toc39425979"/>
      <w:bookmarkStart w:id="4199" w:name="_Toc38319644"/>
      <w:bookmarkStart w:id="4200" w:name="_Toc38355190"/>
      <w:bookmarkStart w:id="4201" w:name="_Toc38891385"/>
      <w:bookmarkStart w:id="4202" w:name="_Toc39425980"/>
      <w:bookmarkStart w:id="4203" w:name="_Toc38319645"/>
      <w:bookmarkStart w:id="4204" w:name="_Toc38355191"/>
      <w:bookmarkStart w:id="4205" w:name="_Toc38891386"/>
      <w:bookmarkStart w:id="4206" w:name="_Toc39425981"/>
      <w:bookmarkStart w:id="4207" w:name="_Toc38319646"/>
      <w:bookmarkStart w:id="4208" w:name="_Toc38355192"/>
      <w:bookmarkStart w:id="4209" w:name="_Toc38891387"/>
      <w:bookmarkStart w:id="4210" w:name="_Toc39425982"/>
      <w:bookmarkStart w:id="4211" w:name="_Toc38319647"/>
      <w:bookmarkStart w:id="4212" w:name="_Toc38355193"/>
      <w:bookmarkStart w:id="4213" w:name="_Toc38891388"/>
      <w:bookmarkStart w:id="4214" w:name="_Toc39425983"/>
      <w:bookmarkStart w:id="4215" w:name="_Toc38319648"/>
      <w:bookmarkStart w:id="4216" w:name="_Toc38355194"/>
      <w:bookmarkStart w:id="4217" w:name="_Toc38891389"/>
      <w:bookmarkStart w:id="4218" w:name="_Toc39425984"/>
      <w:bookmarkStart w:id="4219" w:name="_Toc38319649"/>
      <w:bookmarkStart w:id="4220" w:name="_Toc38355195"/>
      <w:bookmarkStart w:id="4221" w:name="_Toc38891390"/>
      <w:bookmarkStart w:id="4222" w:name="_Toc39425985"/>
      <w:bookmarkStart w:id="4223" w:name="_Toc38319650"/>
      <w:bookmarkStart w:id="4224" w:name="_Toc38355196"/>
      <w:bookmarkStart w:id="4225" w:name="_Toc38891391"/>
      <w:bookmarkStart w:id="4226" w:name="_Toc39425986"/>
      <w:bookmarkStart w:id="4227" w:name="_Toc38319651"/>
      <w:bookmarkStart w:id="4228" w:name="_Toc38355197"/>
      <w:bookmarkStart w:id="4229" w:name="_Toc38891392"/>
      <w:bookmarkStart w:id="4230" w:name="_Toc39425987"/>
      <w:bookmarkStart w:id="4231" w:name="_Toc38319652"/>
      <w:bookmarkStart w:id="4232" w:name="_Toc38355198"/>
      <w:bookmarkStart w:id="4233" w:name="_Toc38891393"/>
      <w:bookmarkStart w:id="4234" w:name="_Toc39425988"/>
      <w:bookmarkStart w:id="4235" w:name="_Toc38319653"/>
      <w:bookmarkStart w:id="4236" w:name="_Toc38355199"/>
      <w:bookmarkStart w:id="4237" w:name="_Toc38891394"/>
      <w:bookmarkStart w:id="4238" w:name="_Toc39425989"/>
      <w:bookmarkStart w:id="4239" w:name="_Toc38319654"/>
      <w:bookmarkStart w:id="4240" w:name="_Toc38355200"/>
      <w:bookmarkStart w:id="4241" w:name="_Toc38891395"/>
      <w:bookmarkStart w:id="4242" w:name="_Toc39425990"/>
      <w:bookmarkStart w:id="4243" w:name="_Toc38319655"/>
      <w:bookmarkStart w:id="4244" w:name="_Toc38355201"/>
      <w:bookmarkStart w:id="4245" w:name="_Toc38891396"/>
      <w:bookmarkStart w:id="4246" w:name="_Toc39425991"/>
      <w:bookmarkStart w:id="4247" w:name="_Toc38319656"/>
      <w:bookmarkStart w:id="4248" w:name="_Toc38355202"/>
      <w:bookmarkStart w:id="4249" w:name="_Toc38891397"/>
      <w:bookmarkStart w:id="4250" w:name="_Toc39425992"/>
      <w:bookmarkStart w:id="4251" w:name="_Toc38319657"/>
      <w:bookmarkStart w:id="4252" w:name="_Toc38355203"/>
      <w:bookmarkStart w:id="4253" w:name="_Toc38891398"/>
      <w:bookmarkStart w:id="4254" w:name="_Toc39425993"/>
      <w:bookmarkStart w:id="4255" w:name="_Toc38319658"/>
      <w:bookmarkStart w:id="4256" w:name="_Toc38355204"/>
      <w:bookmarkStart w:id="4257" w:name="_Toc38891399"/>
      <w:bookmarkStart w:id="4258" w:name="_Toc39425994"/>
      <w:bookmarkStart w:id="4259" w:name="_Toc38319659"/>
      <w:bookmarkStart w:id="4260" w:name="_Toc38355205"/>
      <w:bookmarkStart w:id="4261" w:name="_Toc38891400"/>
      <w:bookmarkStart w:id="4262" w:name="_Toc39425995"/>
      <w:bookmarkStart w:id="4263" w:name="_Toc38319660"/>
      <w:bookmarkStart w:id="4264" w:name="_Toc38355206"/>
      <w:bookmarkStart w:id="4265" w:name="_Toc38891401"/>
      <w:bookmarkStart w:id="4266" w:name="_Toc39425996"/>
      <w:bookmarkStart w:id="4267" w:name="_Toc38319661"/>
      <w:bookmarkStart w:id="4268" w:name="_Toc38355207"/>
      <w:bookmarkStart w:id="4269" w:name="_Toc38891402"/>
      <w:bookmarkStart w:id="4270" w:name="_Toc39425997"/>
      <w:bookmarkStart w:id="4271" w:name="_Toc38319662"/>
      <w:bookmarkStart w:id="4272" w:name="_Toc38355208"/>
      <w:bookmarkStart w:id="4273" w:name="_Toc38891403"/>
      <w:bookmarkStart w:id="4274" w:name="_Toc39425998"/>
      <w:bookmarkStart w:id="4275" w:name="_Toc38319663"/>
      <w:bookmarkStart w:id="4276" w:name="_Toc38355209"/>
      <w:bookmarkStart w:id="4277" w:name="_Toc38891404"/>
      <w:bookmarkStart w:id="4278" w:name="_Toc39425999"/>
      <w:bookmarkStart w:id="4279" w:name="_Toc38319664"/>
      <w:bookmarkStart w:id="4280" w:name="_Toc38355210"/>
      <w:bookmarkStart w:id="4281" w:name="_Toc38891405"/>
      <w:bookmarkStart w:id="4282" w:name="_Toc39426000"/>
      <w:bookmarkStart w:id="4283" w:name="_Toc38319665"/>
      <w:bookmarkStart w:id="4284" w:name="_Toc38355211"/>
      <w:bookmarkStart w:id="4285" w:name="_Toc38891406"/>
      <w:bookmarkStart w:id="4286" w:name="_Toc39426001"/>
      <w:bookmarkStart w:id="4287" w:name="_Toc38319666"/>
      <w:bookmarkStart w:id="4288" w:name="_Toc38355212"/>
      <w:bookmarkStart w:id="4289" w:name="_Toc38891407"/>
      <w:bookmarkStart w:id="4290" w:name="_Toc39426002"/>
      <w:bookmarkStart w:id="4291" w:name="_Toc38319667"/>
      <w:bookmarkStart w:id="4292" w:name="_Toc38355213"/>
      <w:bookmarkStart w:id="4293" w:name="_Toc38891408"/>
      <w:bookmarkStart w:id="4294" w:name="_Toc39426003"/>
      <w:bookmarkStart w:id="4295" w:name="_Toc38319668"/>
      <w:bookmarkStart w:id="4296" w:name="_Toc38355214"/>
      <w:bookmarkStart w:id="4297" w:name="_Toc38891409"/>
      <w:bookmarkStart w:id="4298" w:name="_Toc39426004"/>
      <w:bookmarkStart w:id="4299" w:name="_Toc38319669"/>
      <w:bookmarkStart w:id="4300" w:name="_Toc38355215"/>
      <w:bookmarkStart w:id="4301" w:name="_Toc38891410"/>
      <w:bookmarkStart w:id="4302" w:name="_Toc39426005"/>
      <w:bookmarkStart w:id="4303" w:name="_Toc38319670"/>
      <w:bookmarkStart w:id="4304" w:name="_Toc38355216"/>
      <w:bookmarkStart w:id="4305" w:name="_Toc38891411"/>
      <w:bookmarkStart w:id="4306" w:name="_Toc39426006"/>
      <w:bookmarkStart w:id="4307" w:name="_Toc38319671"/>
      <w:bookmarkStart w:id="4308" w:name="_Toc38355217"/>
      <w:bookmarkStart w:id="4309" w:name="_Toc38891412"/>
      <w:bookmarkStart w:id="4310" w:name="_Toc39426007"/>
      <w:bookmarkStart w:id="4311" w:name="_Toc38319672"/>
      <w:bookmarkStart w:id="4312" w:name="_Toc38355218"/>
      <w:bookmarkStart w:id="4313" w:name="_Toc38891413"/>
      <w:bookmarkStart w:id="4314" w:name="_Toc39426008"/>
      <w:bookmarkStart w:id="4315" w:name="_Toc38319673"/>
      <w:bookmarkStart w:id="4316" w:name="_Toc38355219"/>
      <w:bookmarkStart w:id="4317" w:name="_Toc38891414"/>
      <w:bookmarkStart w:id="4318" w:name="_Toc39426009"/>
      <w:bookmarkStart w:id="4319" w:name="_Toc38319674"/>
      <w:bookmarkStart w:id="4320" w:name="_Toc38355220"/>
      <w:bookmarkStart w:id="4321" w:name="_Toc38891415"/>
      <w:bookmarkStart w:id="4322" w:name="_Toc39426010"/>
      <w:bookmarkStart w:id="4323" w:name="_Toc38319675"/>
      <w:bookmarkStart w:id="4324" w:name="_Toc38355221"/>
      <w:bookmarkStart w:id="4325" w:name="_Toc38891416"/>
      <w:bookmarkStart w:id="4326" w:name="_Toc39426011"/>
      <w:bookmarkStart w:id="4327" w:name="_Toc38319676"/>
      <w:bookmarkStart w:id="4328" w:name="_Toc38355222"/>
      <w:bookmarkStart w:id="4329" w:name="_Toc38891417"/>
      <w:bookmarkStart w:id="4330" w:name="_Toc39426012"/>
      <w:bookmarkStart w:id="4331" w:name="_Toc38319677"/>
      <w:bookmarkStart w:id="4332" w:name="_Toc38355223"/>
      <w:bookmarkStart w:id="4333" w:name="_Toc38891418"/>
      <w:bookmarkStart w:id="4334" w:name="_Toc39426013"/>
      <w:bookmarkStart w:id="4335" w:name="_Toc38319678"/>
      <w:bookmarkStart w:id="4336" w:name="_Toc38355224"/>
      <w:bookmarkStart w:id="4337" w:name="_Toc38891419"/>
      <w:bookmarkStart w:id="4338" w:name="_Toc39426014"/>
      <w:bookmarkStart w:id="4339" w:name="_Toc29659001"/>
      <w:bookmarkStart w:id="4340" w:name="_Toc29723398"/>
      <w:bookmarkStart w:id="4341" w:name="_Toc38319679"/>
      <w:bookmarkStart w:id="4342" w:name="_Toc38355225"/>
      <w:bookmarkStart w:id="4343" w:name="_Toc38891420"/>
      <w:bookmarkStart w:id="4344" w:name="_Toc39426015"/>
      <w:bookmarkStart w:id="4345" w:name="_Toc21505869"/>
      <w:bookmarkStart w:id="4346" w:name="_Toc21510015"/>
      <w:bookmarkStart w:id="4347" w:name="_Toc21531959"/>
      <w:bookmarkStart w:id="4348" w:name="_Toc21535205"/>
      <w:bookmarkStart w:id="4349" w:name="_Toc21520219"/>
      <w:bookmarkStart w:id="4350" w:name="_Toc21521355"/>
      <w:bookmarkStart w:id="4351" w:name="_Toc38319680"/>
      <w:bookmarkStart w:id="4352" w:name="_Toc38355226"/>
      <w:bookmarkStart w:id="4353" w:name="_Toc38891421"/>
      <w:bookmarkStart w:id="4354" w:name="_Toc39426016"/>
      <w:bookmarkStart w:id="4355" w:name="_Toc38319681"/>
      <w:bookmarkStart w:id="4356" w:name="_Toc38355227"/>
      <w:bookmarkStart w:id="4357" w:name="_Toc38891422"/>
      <w:bookmarkStart w:id="4358" w:name="_Toc39426017"/>
      <w:bookmarkStart w:id="4359" w:name="_Toc38319682"/>
      <w:bookmarkStart w:id="4360" w:name="_Toc38355228"/>
      <w:bookmarkStart w:id="4361" w:name="_Toc38891423"/>
      <w:bookmarkStart w:id="4362" w:name="_Toc39426018"/>
      <w:bookmarkStart w:id="4363" w:name="_Toc38319683"/>
      <w:bookmarkStart w:id="4364" w:name="_Toc38355229"/>
      <w:bookmarkStart w:id="4365" w:name="_Toc38891424"/>
      <w:bookmarkStart w:id="4366" w:name="_Toc39426019"/>
      <w:bookmarkStart w:id="4367" w:name="_Toc338608772"/>
      <w:bookmarkStart w:id="4368" w:name="_Toc338608774"/>
      <w:bookmarkStart w:id="4369" w:name="_Toc24167875"/>
      <w:bookmarkStart w:id="4370" w:name="_Toc24168931"/>
      <w:bookmarkStart w:id="4371" w:name="_Toc38319684"/>
      <w:bookmarkStart w:id="4372" w:name="_Toc38355230"/>
      <w:bookmarkStart w:id="4373" w:name="_Toc38891425"/>
      <w:bookmarkStart w:id="4374" w:name="_Toc39426020"/>
      <w:bookmarkStart w:id="4375" w:name="_Toc38319685"/>
      <w:bookmarkStart w:id="4376" w:name="_Toc38355231"/>
      <w:bookmarkStart w:id="4377" w:name="_Toc38891426"/>
      <w:bookmarkStart w:id="4378" w:name="_Toc39426021"/>
      <w:bookmarkStart w:id="4379" w:name="_Toc38319686"/>
      <w:bookmarkStart w:id="4380" w:name="_Toc38355232"/>
      <w:bookmarkStart w:id="4381" w:name="_Toc38891427"/>
      <w:bookmarkStart w:id="4382" w:name="_Toc39426022"/>
      <w:bookmarkStart w:id="4383" w:name="_Toc38319687"/>
      <w:bookmarkStart w:id="4384" w:name="_Toc38355233"/>
      <w:bookmarkStart w:id="4385" w:name="_Toc38891428"/>
      <w:bookmarkStart w:id="4386" w:name="_Toc39426023"/>
      <w:bookmarkStart w:id="4387" w:name="_Toc38319688"/>
      <w:bookmarkStart w:id="4388" w:name="_Toc38355234"/>
      <w:bookmarkStart w:id="4389" w:name="_Toc38891429"/>
      <w:bookmarkStart w:id="4390" w:name="_Toc39426024"/>
      <w:bookmarkStart w:id="4391" w:name="_Toc38319689"/>
      <w:bookmarkStart w:id="4392" w:name="_Toc38355235"/>
      <w:bookmarkStart w:id="4393" w:name="_Toc38891430"/>
      <w:bookmarkStart w:id="4394" w:name="_Toc39426025"/>
      <w:bookmarkStart w:id="4395" w:name="_Toc38319690"/>
      <w:bookmarkStart w:id="4396" w:name="_Toc38355236"/>
      <w:bookmarkStart w:id="4397" w:name="_Toc38891431"/>
      <w:bookmarkStart w:id="4398" w:name="_Toc39426026"/>
      <w:bookmarkStart w:id="4399" w:name="_Toc38319691"/>
      <w:bookmarkStart w:id="4400" w:name="_Toc38355237"/>
      <w:bookmarkStart w:id="4401" w:name="_Toc38891432"/>
      <w:bookmarkStart w:id="4402" w:name="_Toc39426027"/>
      <w:bookmarkStart w:id="4403" w:name="_Toc38319692"/>
      <w:bookmarkStart w:id="4404" w:name="_Toc38355238"/>
      <w:bookmarkStart w:id="4405" w:name="_Toc38891433"/>
      <w:bookmarkStart w:id="4406" w:name="_Toc39426028"/>
      <w:bookmarkStart w:id="4407" w:name="_Toc38319693"/>
      <w:bookmarkStart w:id="4408" w:name="_Toc38355239"/>
      <w:bookmarkStart w:id="4409" w:name="_Toc38891434"/>
      <w:bookmarkStart w:id="4410" w:name="_Toc39426029"/>
      <w:bookmarkStart w:id="4411" w:name="_Toc38319694"/>
      <w:bookmarkStart w:id="4412" w:name="_Toc38355240"/>
      <w:bookmarkStart w:id="4413" w:name="_Toc38891435"/>
      <w:bookmarkStart w:id="4414" w:name="_Toc39426030"/>
      <w:bookmarkStart w:id="4415" w:name="_Toc38319695"/>
      <w:bookmarkStart w:id="4416" w:name="_Toc38355241"/>
      <w:bookmarkStart w:id="4417" w:name="_Toc38891436"/>
      <w:bookmarkStart w:id="4418" w:name="_Toc39426031"/>
      <w:bookmarkStart w:id="4419" w:name="_Toc38319720"/>
      <w:bookmarkStart w:id="4420" w:name="_Toc38355266"/>
      <w:bookmarkStart w:id="4421" w:name="_Toc38891461"/>
      <w:bookmarkStart w:id="4422" w:name="_Toc39426056"/>
      <w:bookmarkStart w:id="4423" w:name="_Toc38319721"/>
      <w:bookmarkStart w:id="4424" w:name="_Toc38355267"/>
      <w:bookmarkStart w:id="4425" w:name="_Toc38891462"/>
      <w:bookmarkStart w:id="4426" w:name="_Toc39426057"/>
      <w:bookmarkStart w:id="4427" w:name="_Toc38319722"/>
      <w:bookmarkStart w:id="4428" w:name="_Toc38355268"/>
      <w:bookmarkStart w:id="4429" w:name="_Toc38891463"/>
      <w:bookmarkStart w:id="4430" w:name="_Toc39426058"/>
      <w:bookmarkStart w:id="4431" w:name="_Toc38319759"/>
      <w:bookmarkStart w:id="4432" w:name="_Toc38355305"/>
      <w:bookmarkStart w:id="4433" w:name="_Toc38891500"/>
      <w:bookmarkStart w:id="4434" w:name="_Toc39426095"/>
      <w:bookmarkStart w:id="4435" w:name="_Toc38319760"/>
      <w:bookmarkStart w:id="4436" w:name="_Toc38355306"/>
      <w:bookmarkStart w:id="4437" w:name="_Toc38891501"/>
      <w:bookmarkStart w:id="4438" w:name="_Toc39426096"/>
      <w:bookmarkStart w:id="4439" w:name="_Toc38319761"/>
      <w:bookmarkStart w:id="4440" w:name="_Toc38355307"/>
      <w:bookmarkStart w:id="4441" w:name="_Toc38891502"/>
      <w:bookmarkStart w:id="4442" w:name="_Toc39426097"/>
      <w:bookmarkStart w:id="4443" w:name="_Toc38319762"/>
      <w:bookmarkStart w:id="4444" w:name="_Toc38355308"/>
      <w:bookmarkStart w:id="4445" w:name="_Toc38891503"/>
      <w:bookmarkStart w:id="4446" w:name="_Toc39426098"/>
      <w:bookmarkStart w:id="4447" w:name="_Toc38319763"/>
      <w:bookmarkStart w:id="4448" w:name="_Toc38355309"/>
      <w:bookmarkStart w:id="4449" w:name="_Toc38891504"/>
      <w:bookmarkStart w:id="4450" w:name="_Toc39426099"/>
      <w:bookmarkStart w:id="4451" w:name="_Toc38319764"/>
      <w:bookmarkStart w:id="4452" w:name="_Toc38355310"/>
      <w:bookmarkStart w:id="4453" w:name="_Toc38891505"/>
      <w:bookmarkStart w:id="4454" w:name="_Toc39426100"/>
      <w:bookmarkStart w:id="4455" w:name="_Toc38319765"/>
      <w:bookmarkStart w:id="4456" w:name="_Toc38355311"/>
      <w:bookmarkStart w:id="4457" w:name="_Toc38891506"/>
      <w:bookmarkStart w:id="4458" w:name="_Toc39426101"/>
      <w:bookmarkStart w:id="4459" w:name="_Toc38319766"/>
      <w:bookmarkStart w:id="4460" w:name="_Toc38355312"/>
      <w:bookmarkStart w:id="4461" w:name="_Toc38891507"/>
      <w:bookmarkStart w:id="4462" w:name="_Toc39426102"/>
      <w:bookmarkStart w:id="4463" w:name="_Toc22727479"/>
      <w:bookmarkStart w:id="4464" w:name="_Toc22728252"/>
      <w:bookmarkStart w:id="4465" w:name="_Toc22728986"/>
      <w:bookmarkStart w:id="4466" w:name="_Toc22790490"/>
      <w:bookmarkStart w:id="4467" w:name="_Toc22727483"/>
      <w:bookmarkStart w:id="4468" w:name="_Toc22728256"/>
      <w:bookmarkStart w:id="4469" w:name="_Toc22728990"/>
      <w:bookmarkStart w:id="4470" w:name="_Toc22790494"/>
      <w:bookmarkStart w:id="4471" w:name="_Toc22006965"/>
      <w:bookmarkStart w:id="4472" w:name="_Toc22033244"/>
      <w:bookmarkStart w:id="4473" w:name="_Toc38319767"/>
      <w:bookmarkStart w:id="4474" w:name="_Toc38355313"/>
      <w:bookmarkStart w:id="4475" w:name="_Toc38891508"/>
      <w:bookmarkStart w:id="4476" w:name="_Toc39426103"/>
      <w:bookmarkStart w:id="4477" w:name="_Toc38319768"/>
      <w:bookmarkStart w:id="4478" w:name="_Toc38355314"/>
      <w:bookmarkStart w:id="4479" w:name="_Toc38891509"/>
      <w:bookmarkStart w:id="4480" w:name="_Toc39426104"/>
      <w:bookmarkStart w:id="4481" w:name="_Ref38318384"/>
      <w:bookmarkStart w:id="4482" w:name="_Toc5218164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7"/>
      <w:bookmarkEnd w:id="2258"/>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4"/>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bookmarkEnd w:id="2290"/>
      <w:bookmarkEnd w:id="2291"/>
      <w:bookmarkEnd w:id="2292"/>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bookmarkEnd w:id="2307"/>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bookmarkEnd w:id="2364"/>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79"/>
      <w:bookmarkEnd w:id="2380"/>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bookmarkEnd w:id="2422"/>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bookmarkEnd w:id="2439"/>
      <w:bookmarkEnd w:id="2440"/>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bookmarkEnd w:id="2455"/>
      <w:bookmarkEnd w:id="2456"/>
      <w:bookmarkEnd w:id="2457"/>
      <w:bookmarkEnd w:id="2458"/>
      <w:bookmarkEnd w:id="2459"/>
      <w:bookmarkEnd w:id="2460"/>
      <w:bookmarkEnd w:id="2461"/>
      <w:bookmarkEnd w:id="2462"/>
      <w:bookmarkEnd w:id="2463"/>
      <w:bookmarkEnd w:id="2464"/>
      <w:bookmarkEnd w:id="2465"/>
      <w:bookmarkEnd w:id="2466"/>
      <w:bookmarkEnd w:id="2467"/>
      <w:bookmarkEnd w:id="2468"/>
      <w:bookmarkEnd w:id="2469"/>
      <w:bookmarkEnd w:id="2470"/>
      <w:bookmarkEnd w:id="2471"/>
      <w:bookmarkEnd w:id="2472"/>
      <w:bookmarkEnd w:id="2473"/>
      <w:bookmarkEnd w:id="2474"/>
      <w:bookmarkEnd w:id="2475"/>
      <w:bookmarkEnd w:id="2476"/>
      <w:bookmarkEnd w:id="2477"/>
      <w:bookmarkEnd w:id="2478"/>
      <w:bookmarkEnd w:id="2479"/>
      <w:bookmarkEnd w:id="2480"/>
      <w:bookmarkEnd w:id="2481"/>
      <w:bookmarkEnd w:id="2482"/>
      <w:bookmarkEnd w:id="2483"/>
      <w:bookmarkEnd w:id="2484"/>
      <w:bookmarkEnd w:id="2485"/>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16"/>
      <w:bookmarkEnd w:id="2517"/>
      <w:bookmarkEnd w:id="2518"/>
      <w:bookmarkEnd w:id="2519"/>
      <w:bookmarkEnd w:id="2520"/>
      <w:bookmarkEnd w:id="2521"/>
      <w:bookmarkEnd w:id="2522"/>
      <w:bookmarkEnd w:id="2523"/>
      <w:bookmarkEnd w:id="2524"/>
      <w:bookmarkEnd w:id="2525"/>
      <w:bookmarkEnd w:id="2526"/>
      <w:bookmarkEnd w:id="2527"/>
      <w:bookmarkEnd w:id="2528"/>
      <w:bookmarkEnd w:id="2529"/>
      <w:bookmarkEnd w:id="2530"/>
      <w:bookmarkEnd w:id="2531"/>
      <w:bookmarkEnd w:id="2532"/>
      <w:bookmarkEnd w:id="2533"/>
      <w:bookmarkEnd w:id="2534"/>
      <w:bookmarkEnd w:id="2535"/>
      <w:bookmarkEnd w:id="2536"/>
      <w:bookmarkEnd w:id="2537"/>
      <w:bookmarkEnd w:id="2538"/>
      <w:bookmarkEnd w:id="2539"/>
      <w:bookmarkEnd w:id="2540"/>
      <w:bookmarkEnd w:id="2541"/>
      <w:bookmarkEnd w:id="2542"/>
      <w:bookmarkEnd w:id="2543"/>
      <w:bookmarkEnd w:id="2544"/>
      <w:bookmarkEnd w:id="2545"/>
      <w:bookmarkEnd w:id="2546"/>
      <w:bookmarkEnd w:id="2547"/>
      <w:bookmarkEnd w:id="2548"/>
      <w:bookmarkEnd w:id="2549"/>
      <w:bookmarkEnd w:id="2550"/>
      <w:bookmarkEnd w:id="2551"/>
      <w:bookmarkEnd w:id="2552"/>
      <w:bookmarkEnd w:id="2553"/>
      <w:bookmarkEnd w:id="2554"/>
      <w:bookmarkEnd w:id="2555"/>
      <w:bookmarkEnd w:id="2556"/>
      <w:bookmarkEnd w:id="2557"/>
      <w:bookmarkEnd w:id="2558"/>
      <w:bookmarkEnd w:id="2559"/>
      <w:bookmarkEnd w:id="2560"/>
      <w:bookmarkEnd w:id="2561"/>
      <w:bookmarkEnd w:id="2562"/>
      <w:bookmarkEnd w:id="2563"/>
      <w:bookmarkEnd w:id="2564"/>
      <w:bookmarkEnd w:id="2565"/>
      <w:bookmarkEnd w:id="2566"/>
      <w:bookmarkEnd w:id="2567"/>
      <w:bookmarkEnd w:id="2568"/>
      <w:bookmarkEnd w:id="2569"/>
      <w:bookmarkEnd w:id="2570"/>
      <w:bookmarkEnd w:id="2571"/>
      <w:bookmarkEnd w:id="2572"/>
      <w:bookmarkEnd w:id="2573"/>
      <w:bookmarkEnd w:id="2574"/>
      <w:bookmarkEnd w:id="2575"/>
      <w:bookmarkEnd w:id="2576"/>
      <w:bookmarkEnd w:id="2577"/>
      <w:bookmarkEnd w:id="2578"/>
      <w:bookmarkEnd w:id="2579"/>
      <w:bookmarkEnd w:id="2580"/>
      <w:bookmarkEnd w:id="2581"/>
      <w:bookmarkEnd w:id="2582"/>
      <w:bookmarkEnd w:id="2583"/>
      <w:bookmarkEnd w:id="2584"/>
      <w:bookmarkEnd w:id="2585"/>
      <w:bookmarkEnd w:id="2586"/>
      <w:bookmarkEnd w:id="2587"/>
      <w:bookmarkEnd w:id="2588"/>
      <w:bookmarkEnd w:id="2589"/>
      <w:bookmarkEnd w:id="2590"/>
      <w:bookmarkEnd w:id="2591"/>
      <w:bookmarkEnd w:id="2592"/>
      <w:bookmarkEnd w:id="2593"/>
      <w:bookmarkEnd w:id="2594"/>
      <w:bookmarkEnd w:id="2595"/>
      <w:bookmarkEnd w:id="2596"/>
      <w:bookmarkEnd w:id="2597"/>
      <w:bookmarkEnd w:id="2598"/>
      <w:bookmarkEnd w:id="2599"/>
      <w:bookmarkEnd w:id="2600"/>
      <w:bookmarkEnd w:id="2601"/>
      <w:bookmarkEnd w:id="2602"/>
      <w:bookmarkEnd w:id="2603"/>
      <w:bookmarkEnd w:id="2604"/>
      <w:bookmarkEnd w:id="2605"/>
      <w:bookmarkEnd w:id="2606"/>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bookmarkEnd w:id="2621"/>
      <w:bookmarkEnd w:id="2622"/>
      <w:bookmarkEnd w:id="2623"/>
      <w:bookmarkEnd w:id="2624"/>
      <w:bookmarkEnd w:id="2625"/>
      <w:bookmarkEnd w:id="2626"/>
      <w:bookmarkEnd w:id="2627"/>
      <w:bookmarkEnd w:id="2628"/>
      <w:bookmarkEnd w:id="2629"/>
      <w:bookmarkEnd w:id="2630"/>
      <w:bookmarkEnd w:id="2631"/>
      <w:bookmarkEnd w:id="2632"/>
      <w:bookmarkEnd w:id="2633"/>
      <w:bookmarkEnd w:id="2634"/>
      <w:bookmarkEnd w:id="2635"/>
      <w:bookmarkEnd w:id="2636"/>
      <w:bookmarkEnd w:id="2637"/>
      <w:bookmarkEnd w:id="2638"/>
      <w:bookmarkEnd w:id="2639"/>
      <w:bookmarkEnd w:id="2640"/>
      <w:bookmarkEnd w:id="2641"/>
      <w:bookmarkEnd w:id="2642"/>
      <w:bookmarkEnd w:id="2643"/>
      <w:bookmarkEnd w:id="2644"/>
      <w:bookmarkEnd w:id="2645"/>
      <w:bookmarkEnd w:id="2646"/>
      <w:bookmarkEnd w:id="2647"/>
      <w:bookmarkEnd w:id="2648"/>
      <w:bookmarkEnd w:id="2649"/>
      <w:bookmarkEnd w:id="2650"/>
      <w:bookmarkEnd w:id="2651"/>
      <w:bookmarkEnd w:id="2652"/>
      <w:bookmarkEnd w:id="2653"/>
      <w:bookmarkEnd w:id="2654"/>
      <w:bookmarkEnd w:id="2655"/>
      <w:bookmarkEnd w:id="2656"/>
      <w:bookmarkEnd w:id="2657"/>
      <w:bookmarkEnd w:id="2658"/>
      <w:bookmarkEnd w:id="2659"/>
      <w:bookmarkEnd w:id="2660"/>
      <w:bookmarkEnd w:id="2661"/>
      <w:bookmarkEnd w:id="2662"/>
      <w:bookmarkEnd w:id="2663"/>
      <w:bookmarkEnd w:id="2664"/>
      <w:bookmarkEnd w:id="2665"/>
      <w:bookmarkEnd w:id="2666"/>
      <w:bookmarkEnd w:id="2667"/>
      <w:bookmarkEnd w:id="2668"/>
      <w:bookmarkEnd w:id="2669"/>
      <w:bookmarkEnd w:id="2670"/>
      <w:bookmarkEnd w:id="2671"/>
      <w:bookmarkEnd w:id="2672"/>
      <w:bookmarkEnd w:id="2673"/>
      <w:bookmarkEnd w:id="2674"/>
      <w:bookmarkEnd w:id="2675"/>
      <w:bookmarkEnd w:id="2676"/>
      <w:bookmarkEnd w:id="2677"/>
      <w:bookmarkEnd w:id="2678"/>
      <w:bookmarkEnd w:id="2679"/>
      <w:bookmarkEnd w:id="2680"/>
      <w:bookmarkEnd w:id="2681"/>
      <w:bookmarkEnd w:id="2682"/>
      <w:bookmarkEnd w:id="2683"/>
      <w:bookmarkEnd w:id="2684"/>
      <w:bookmarkEnd w:id="2685"/>
      <w:bookmarkEnd w:id="2686"/>
      <w:bookmarkEnd w:id="2687"/>
      <w:bookmarkEnd w:id="2688"/>
      <w:bookmarkEnd w:id="2689"/>
      <w:bookmarkEnd w:id="2690"/>
      <w:bookmarkEnd w:id="2691"/>
      <w:bookmarkEnd w:id="2692"/>
      <w:bookmarkEnd w:id="2693"/>
      <w:bookmarkEnd w:id="2694"/>
      <w:bookmarkEnd w:id="2695"/>
      <w:bookmarkEnd w:id="2696"/>
      <w:bookmarkEnd w:id="2697"/>
      <w:bookmarkEnd w:id="2698"/>
      <w:bookmarkEnd w:id="2699"/>
      <w:bookmarkEnd w:id="2700"/>
      <w:bookmarkEnd w:id="2701"/>
      <w:bookmarkEnd w:id="2702"/>
      <w:bookmarkEnd w:id="2703"/>
      <w:bookmarkEnd w:id="2704"/>
      <w:bookmarkEnd w:id="2705"/>
      <w:bookmarkEnd w:id="2706"/>
      <w:bookmarkEnd w:id="2707"/>
      <w:bookmarkEnd w:id="2708"/>
      <w:bookmarkEnd w:id="2709"/>
      <w:bookmarkEnd w:id="2710"/>
      <w:bookmarkEnd w:id="2711"/>
      <w:bookmarkEnd w:id="2712"/>
      <w:bookmarkEnd w:id="2713"/>
      <w:bookmarkEnd w:id="2714"/>
      <w:bookmarkEnd w:id="2715"/>
      <w:bookmarkEnd w:id="2716"/>
      <w:bookmarkEnd w:id="2717"/>
      <w:bookmarkEnd w:id="2718"/>
      <w:bookmarkEnd w:id="2719"/>
      <w:bookmarkEnd w:id="2720"/>
      <w:bookmarkEnd w:id="2721"/>
      <w:bookmarkEnd w:id="2722"/>
      <w:bookmarkEnd w:id="2723"/>
      <w:bookmarkEnd w:id="2724"/>
      <w:bookmarkEnd w:id="2725"/>
      <w:bookmarkEnd w:id="2726"/>
      <w:bookmarkEnd w:id="2727"/>
      <w:bookmarkEnd w:id="2728"/>
      <w:bookmarkEnd w:id="2729"/>
      <w:bookmarkEnd w:id="2730"/>
      <w:bookmarkEnd w:id="2731"/>
      <w:bookmarkEnd w:id="2732"/>
      <w:bookmarkEnd w:id="2733"/>
      <w:bookmarkEnd w:id="2734"/>
      <w:bookmarkEnd w:id="2735"/>
      <w:bookmarkEnd w:id="2736"/>
      <w:bookmarkEnd w:id="2737"/>
      <w:bookmarkEnd w:id="2738"/>
      <w:bookmarkEnd w:id="2739"/>
      <w:bookmarkEnd w:id="2740"/>
      <w:bookmarkEnd w:id="2741"/>
      <w:bookmarkEnd w:id="2742"/>
      <w:bookmarkEnd w:id="2743"/>
      <w:bookmarkEnd w:id="2744"/>
      <w:bookmarkEnd w:id="2745"/>
      <w:bookmarkEnd w:id="2746"/>
      <w:bookmarkEnd w:id="2747"/>
      <w:bookmarkEnd w:id="2748"/>
      <w:bookmarkEnd w:id="2749"/>
      <w:bookmarkEnd w:id="2750"/>
      <w:bookmarkEnd w:id="2751"/>
      <w:bookmarkEnd w:id="2752"/>
      <w:bookmarkEnd w:id="2753"/>
      <w:bookmarkEnd w:id="2754"/>
      <w:bookmarkEnd w:id="2755"/>
      <w:bookmarkEnd w:id="2756"/>
      <w:bookmarkEnd w:id="2757"/>
      <w:bookmarkEnd w:id="2758"/>
      <w:bookmarkEnd w:id="2759"/>
      <w:bookmarkEnd w:id="2760"/>
      <w:bookmarkEnd w:id="2761"/>
      <w:bookmarkEnd w:id="2762"/>
      <w:bookmarkEnd w:id="2763"/>
      <w:bookmarkEnd w:id="2764"/>
      <w:bookmarkEnd w:id="2765"/>
      <w:bookmarkEnd w:id="2766"/>
      <w:bookmarkEnd w:id="2767"/>
      <w:bookmarkEnd w:id="2768"/>
      <w:bookmarkEnd w:id="2769"/>
      <w:bookmarkEnd w:id="2770"/>
      <w:bookmarkEnd w:id="2771"/>
      <w:bookmarkEnd w:id="2772"/>
      <w:bookmarkEnd w:id="2773"/>
      <w:bookmarkEnd w:id="2774"/>
      <w:bookmarkEnd w:id="2775"/>
      <w:bookmarkEnd w:id="2776"/>
      <w:bookmarkEnd w:id="2777"/>
      <w:bookmarkEnd w:id="2778"/>
      <w:bookmarkEnd w:id="2779"/>
      <w:bookmarkEnd w:id="2780"/>
      <w:bookmarkEnd w:id="2781"/>
      <w:bookmarkEnd w:id="2782"/>
      <w:bookmarkEnd w:id="2783"/>
      <w:bookmarkEnd w:id="2784"/>
      <w:bookmarkEnd w:id="2785"/>
      <w:bookmarkEnd w:id="2786"/>
      <w:bookmarkEnd w:id="2787"/>
      <w:bookmarkEnd w:id="2788"/>
      <w:bookmarkEnd w:id="2789"/>
      <w:bookmarkEnd w:id="2790"/>
      <w:bookmarkEnd w:id="2791"/>
      <w:bookmarkEnd w:id="2792"/>
      <w:bookmarkEnd w:id="2793"/>
      <w:bookmarkEnd w:id="2794"/>
      <w:bookmarkEnd w:id="2795"/>
      <w:bookmarkEnd w:id="2796"/>
      <w:bookmarkEnd w:id="2797"/>
      <w:bookmarkEnd w:id="2798"/>
      <w:bookmarkEnd w:id="2799"/>
      <w:bookmarkEnd w:id="2800"/>
      <w:bookmarkEnd w:id="2801"/>
      <w:bookmarkEnd w:id="2802"/>
      <w:bookmarkEnd w:id="2803"/>
      <w:bookmarkEnd w:id="2804"/>
      <w:bookmarkEnd w:id="2805"/>
      <w:bookmarkEnd w:id="2806"/>
      <w:bookmarkEnd w:id="2807"/>
      <w:bookmarkEnd w:id="2808"/>
      <w:bookmarkEnd w:id="2809"/>
      <w:bookmarkEnd w:id="2810"/>
      <w:bookmarkEnd w:id="2811"/>
      <w:bookmarkEnd w:id="2812"/>
      <w:bookmarkEnd w:id="2813"/>
      <w:bookmarkEnd w:id="2814"/>
      <w:bookmarkEnd w:id="2815"/>
      <w:bookmarkEnd w:id="2816"/>
      <w:bookmarkEnd w:id="2817"/>
      <w:bookmarkEnd w:id="2818"/>
      <w:bookmarkEnd w:id="2819"/>
      <w:bookmarkEnd w:id="2820"/>
      <w:bookmarkEnd w:id="2821"/>
      <w:bookmarkEnd w:id="2822"/>
      <w:bookmarkEnd w:id="2823"/>
      <w:bookmarkEnd w:id="2824"/>
      <w:bookmarkEnd w:id="2825"/>
      <w:bookmarkEnd w:id="2826"/>
      <w:bookmarkEnd w:id="2827"/>
      <w:bookmarkEnd w:id="2828"/>
      <w:bookmarkEnd w:id="2829"/>
      <w:bookmarkEnd w:id="2830"/>
      <w:bookmarkEnd w:id="2831"/>
      <w:bookmarkEnd w:id="2832"/>
      <w:bookmarkEnd w:id="2833"/>
      <w:bookmarkEnd w:id="2834"/>
      <w:bookmarkEnd w:id="2835"/>
      <w:bookmarkEnd w:id="2836"/>
      <w:bookmarkEnd w:id="2837"/>
      <w:bookmarkEnd w:id="2838"/>
      <w:bookmarkEnd w:id="2839"/>
      <w:bookmarkEnd w:id="2840"/>
      <w:bookmarkEnd w:id="2841"/>
      <w:bookmarkEnd w:id="2842"/>
      <w:bookmarkEnd w:id="2843"/>
      <w:bookmarkEnd w:id="2844"/>
      <w:bookmarkEnd w:id="2845"/>
      <w:bookmarkEnd w:id="2846"/>
      <w:bookmarkEnd w:id="2847"/>
      <w:bookmarkEnd w:id="2848"/>
      <w:bookmarkEnd w:id="2849"/>
      <w:bookmarkEnd w:id="2850"/>
      <w:bookmarkEnd w:id="2851"/>
      <w:bookmarkEnd w:id="2852"/>
      <w:bookmarkEnd w:id="2853"/>
      <w:bookmarkEnd w:id="2854"/>
      <w:bookmarkEnd w:id="2855"/>
      <w:bookmarkEnd w:id="2856"/>
      <w:bookmarkEnd w:id="2857"/>
      <w:bookmarkEnd w:id="2858"/>
      <w:bookmarkEnd w:id="2859"/>
      <w:bookmarkEnd w:id="2860"/>
      <w:bookmarkEnd w:id="2861"/>
      <w:bookmarkEnd w:id="2862"/>
      <w:bookmarkEnd w:id="2863"/>
      <w:bookmarkEnd w:id="2864"/>
      <w:bookmarkEnd w:id="2865"/>
      <w:bookmarkEnd w:id="2866"/>
      <w:bookmarkEnd w:id="2867"/>
      <w:bookmarkEnd w:id="2868"/>
      <w:bookmarkEnd w:id="2869"/>
      <w:bookmarkEnd w:id="2870"/>
      <w:bookmarkEnd w:id="2871"/>
      <w:bookmarkEnd w:id="2872"/>
      <w:bookmarkEnd w:id="2873"/>
      <w:bookmarkEnd w:id="2874"/>
      <w:bookmarkEnd w:id="2875"/>
      <w:bookmarkEnd w:id="2876"/>
      <w:bookmarkEnd w:id="2877"/>
      <w:bookmarkEnd w:id="2878"/>
      <w:bookmarkEnd w:id="2879"/>
      <w:bookmarkEnd w:id="2880"/>
      <w:bookmarkEnd w:id="2881"/>
      <w:bookmarkEnd w:id="2882"/>
      <w:bookmarkEnd w:id="2883"/>
      <w:bookmarkEnd w:id="2884"/>
      <w:bookmarkEnd w:id="2885"/>
      <w:bookmarkEnd w:id="2886"/>
      <w:bookmarkEnd w:id="2887"/>
      <w:bookmarkEnd w:id="2888"/>
      <w:bookmarkEnd w:id="2889"/>
      <w:bookmarkEnd w:id="2890"/>
      <w:bookmarkEnd w:id="2891"/>
      <w:bookmarkEnd w:id="2892"/>
      <w:bookmarkEnd w:id="2893"/>
      <w:bookmarkEnd w:id="2894"/>
      <w:bookmarkEnd w:id="2895"/>
      <w:bookmarkEnd w:id="2896"/>
      <w:bookmarkEnd w:id="2897"/>
      <w:bookmarkEnd w:id="2898"/>
      <w:bookmarkEnd w:id="2899"/>
      <w:bookmarkEnd w:id="2900"/>
      <w:bookmarkEnd w:id="2901"/>
      <w:bookmarkEnd w:id="2902"/>
      <w:bookmarkEnd w:id="2903"/>
      <w:bookmarkEnd w:id="2904"/>
      <w:bookmarkEnd w:id="2905"/>
      <w:bookmarkEnd w:id="2906"/>
      <w:bookmarkEnd w:id="2907"/>
      <w:bookmarkEnd w:id="2908"/>
      <w:bookmarkEnd w:id="2909"/>
      <w:bookmarkEnd w:id="2910"/>
      <w:bookmarkEnd w:id="2911"/>
      <w:bookmarkEnd w:id="2912"/>
      <w:bookmarkEnd w:id="2913"/>
      <w:bookmarkEnd w:id="2914"/>
      <w:bookmarkEnd w:id="2915"/>
      <w:bookmarkEnd w:id="2916"/>
      <w:bookmarkEnd w:id="2917"/>
      <w:bookmarkEnd w:id="2918"/>
      <w:bookmarkEnd w:id="2919"/>
      <w:bookmarkEnd w:id="2920"/>
      <w:bookmarkEnd w:id="2921"/>
      <w:bookmarkEnd w:id="2922"/>
      <w:bookmarkEnd w:id="2923"/>
      <w:bookmarkEnd w:id="2924"/>
      <w:bookmarkEnd w:id="2925"/>
      <w:bookmarkEnd w:id="2926"/>
      <w:bookmarkEnd w:id="2927"/>
      <w:bookmarkEnd w:id="2928"/>
      <w:bookmarkEnd w:id="2929"/>
      <w:bookmarkEnd w:id="2930"/>
      <w:bookmarkEnd w:id="2931"/>
      <w:bookmarkEnd w:id="2932"/>
      <w:bookmarkEnd w:id="2933"/>
      <w:bookmarkEnd w:id="2934"/>
      <w:bookmarkEnd w:id="2935"/>
      <w:bookmarkEnd w:id="2936"/>
      <w:bookmarkEnd w:id="2937"/>
      <w:bookmarkEnd w:id="2938"/>
      <w:bookmarkEnd w:id="2939"/>
      <w:bookmarkEnd w:id="2940"/>
      <w:bookmarkEnd w:id="2941"/>
      <w:bookmarkEnd w:id="2942"/>
      <w:bookmarkEnd w:id="2943"/>
      <w:bookmarkEnd w:id="2944"/>
      <w:bookmarkEnd w:id="2945"/>
      <w:bookmarkEnd w:id="2946"/>
      <w:bookmarkEnd w:id="2947"/>
      <w:bookmarkEnd w:id="2948"/>
      <w:bookmarkEnd w:id="2949"/>
      <w:bookmarkEnd w:id="2950"/>
      <w:bookmarkEnd w:id="2951"/>
      <w:bookmarkEnd w:id="2952"/>
      <w:bookmarkEnd w:id="2953"/>
      <w:bookmarkEnd w:id="2954"/>
      <w:bookmarkEnd w:id="2955"/>
      <w:bookmarkEnd w:id="2956"/>
      <w:bookmarkEnd w:id="2957"/>
      <w:bookmarkEnd w:id="2958"/>
      <w:bookmarkEnd w:id="2959"/>
      <w:bookmarkEnd w:id="2960"/>
      <w:bookmarkEnd w:id="2961"/>
      <w:bookmarkEnd w:id="2962"/>
      <w:bookmarkEnd w:id="2963"/>
      <w:bookmarkEnd w:id="2964"/>
      <w:bookmarkEnd w:id="2965"/>
      <w:bookmarkEnd w:id="2966"/>
      <w:bookmarkEnd w:id="2967"/>
      <w:bookmarkEnd w:id="2968"/>
      <w:bookmarkEnd w:id="2969"/>
      <w:bookmarkEnd w:id="2970"/>
      <w:bookmarkEnd w:id="2971"/>
      <w:bookmarkEnd w:id="2972"/>
      <w:bookmarkEnd w:id="2973"/>
      <w:bookmarkEnd w:id="2974"/>
      <w:bookmarkEnd w:id="2975"/>
      <w:bookmarkEnd w:id="2976"/>
      <w:bookmarkEnd w:id="2977"/>
      <w:bookmarkEnd w:id="2978"/>
      <w:bookmarkEnd w:id="2979"/>
      <w:bookmarkEnd w:id="2980"/>
      <w:bookmarkEnd w:id="2981"/>
      <w:bookmarkEnd w:id="2982"/>
      <w:bookmarkEnd w:id="2983"/>
      <w:bookmarkEnd w:id="2984"/>
      <w:bookmarkEnd w:id="2985"/>
      <w:bookmarkEnd w:id="2986"/>
      <w:bookmarkEnd w:id="2987"/>
      <w:bookmarkEnd w:id="2988"/>
      <w:bookmarkEnd w:id="2989"/>
      <w:bookmarkEnd w:id="2990"/>
      <w:bookmarkEnd w:id="2991"/>
      <w:bookmarkEnd w:id="2992"/>
      <w:bookmarkEnd w:id="2993"/>
      <w:bookmarkEnd w:id="2994"/>
      <w:bookmarkEnd w:id="2995"/>
      <w:bookmarkEnd w:id="2996"/>
      <w:bookmarkEnd w:id="2997"/>
      <w:bookmarkEnd w:id="2998"/>
      <w:bookmarkEnd w:id="2999"/>
      <w:bookmarkEnd w:id="3000"/>
      <w:bookmarkEnd w:id="3001"/>
      <w:bookmarkEnd w:id="3002"/>
      <w:bookmarkEnd w:id="3003"/>
      <w:bookmarkEnd w:id="3004"/>
      <w:bookmarkEnd w:id="3005"/>
      <w:bookmarkEnd w:id="3006"/>
      <w:bookmarkEnd w:id="3007"/>
      <w:bookmarkEnd w:id="3008"/>
      <w:bookmarkEnd w:id="3009"/>
      <w:bookmarkEnd w:id="3010"/>
      <w:bookmarkEnd w:id="3011"/>
      <w:bookmarkEnd w:id="3012"/>
      <w:bookmarkEnd w:id="3013"/>
      <w:bookmarkEnd w:id="3014"/>
      <w:bookmarkEnd w:id="3015"/>
      <w:bookmarkEnd w:id="3016"/>
      <w:bookmarkEnd w:id="3017"/>
      <w:bookmarkEnd w:id="3018"/>
      <w:bookmarkEnd w:id="3019"/>
      <w:bookmarkEnd w:id="3020"/>
      <w:bookmarkEnd w:id="3021"/>
      <w:bookmarkEnd w:id="3022"/>
      <w:bookmarkEnd w:id="3023"/>
      <w:bookmarkEnd w:id="3024"/>
      <w:bookmarkEnd w:id="3025"/>
      <w:bookmarkEnd w:id="3026"/>
      <w:bookmarkEnd w:id="3027"/>
      <w:bookmarkEnd w:id="3028"/>
      <w:bookmarkEnd w:id="3029"/>
      <w:bookmarkEnd w:id="3030"/>
      <w:bookmarkEnd w:id="3031"/>
      <w:bookmarkEnd w:id="3032"/>
      <w:bookmarkEnd w:id="3033"/>
      <w:bookmarkEnd w:id="3034"/>
      <w:bookmarkEnd w:id="3035"/>
      <w:bookmarkEnd w:id="3036"/>
      <w:bookmarkEnd w:id="3037"/>
      <w:bookmarkEnd w:id="3038"/>
      <w:bookmarkEnd w:id="3039"/>
      <w:bookmarkEnd w:id="3040"/>
      <w:bookmarkEnd w:id="3041"/>
      <w:bookmarkEnd w:id="3042"/>
      <w:bookmarkEnd w:id="3043"/>
      <w:bookmarkEnd w:id="3044"/>
      <w:bookmarkEnd w:id="3045"/>
      <w:bookmarkEnd w:id="3046"/>
      <w:bookmarkEnd w:id="3047"/>
      <w:bookmarkEnd w:id="3048"/>
      <w:bookmarkEnd w:id="3049"/>
      <w:bookmarkEnd w:id="3050"/>
      <w:bookmarkEnd w:id="3051"/>
      <w:bookmarkEnd w:id="3052"/>
      <w:bookmarkEnd w:id="3053"/>
      <w:bookmarkEnd w:id="3054"/>
      <w:bookmarkEnd w:id="3055"/>
      <w:bookmarkEnd w:id="3056"/>
      <w:bookmarkEnd w:id="3057"/>
      <w:bookmarkEnd w:id="3058"/>
      <w:bookmarkEnd w:id="3059"/>
      <w:bookmarkEnd w:id="3060"/>
      <w:bookmarkEnd w:id="3061"/>
      <w:bookmarkEnd w:id="3062"/>
      <w:bookmarkEnd w:id="3063"/>
      <w:bookmarkEnd w:id="3064"/>
      <w:bookmarkEnd w:id="3065"/>
      <w:bookmarkEnd w:id="3066"/>
      <w:bookmarkEnd w:id="3067"/>
      <w:bookmarkEnd w:id="3068"/>
      <w:bookmarkEnd w:id="3069"/>
      <w:bookmarkEnd w:id="3070"/>
      <w:bookmarkEnd w:id="3071"/>
      <w:bookmarkEnd w:id="3072"/>
      <w:bookmarkEnd w:id="3073"/>
      <w:bookmarkEnd w:id="3074"/>
      <w:bookmarkEnd w:id="3075"/>
      <w:bookmarkEnd w:id="3076"/>
      <w:bookmarkEnd w:id="3077"/>
      <w:bookmarkEnd w:id="3078"/>
      <w:bookmarkEnd w:id="3079"/>
      <w:bookmarkEnd w:id="3080"/>
      <w:bookmarkEnd w:id="3081"/>
      <w:bookmarkEnd w:id="3082"/>
      <w:bookmarkEnd w:id="3083"/>
      <w:bookmarkEnd w:id="3084"/>
      <w:bookmarkEnd w:id="3085"/>
      <w:bookmarkEnd w:id="3086"/>
      <w:bookmarkEnd w:id="3087"/>
      <w:bookmarkEnd w:id="3088"/>
      <w:bookmarkEnd w:id="3089"/>
      <w:bookmarkEnd w:id="3090"/>
      <w:bookmarkEnd w:id="3091"/>
      <w:bookmarkEnd w:id="3092"/>
      <w:bookmarkEnd w:id="3093"/>
      <w:bookmarkEnd w:id="3094"/>
      <w:bookmarkEnd w:id="3095"/>
      <w:bookmarkEnd w:id="3096"/>
      <w:bookmarkEnd w:id="3097"/>
      <w:bookmarkEnd w:id="3098"/>
      <w:bookmarkEnd w:id="3099"/>
      <w:bookmarkEnd w:id="3100"/>
      <w:bookmarkEnd w:id="3101"/>
      <w:bookmarkEnd w:id="3102"/>
      <w:bookmarkEnd w:id="3103"/>
      <w:bookmarkEnd w:id="3104"/>
      <w:bookmarkEnd w:id="3105"/>
      <w:bookmarkEnd w:id="3106"/>
      <w:bookmarkEnd w:id="3107"/>
      <w:bookmarkEnd w:id="3108"/>
      <w:bookmarkEnd w:id="3109"/>
      <w:bookmarkEnd w:id="3110"/>
      <w:bookmarkEnd w:id="3111"/>
      <w:bookmarkEnd w:id="3112"/>
      <w:bookmarkEnd w:id="3113"/>
      <w:bookmarkEnd w:id="3114"/>
      <w:bookmarkEnd w:id="3115"/>
      <w:bookmarkEnd w:id="3116"/>
      <w:bookmarkEnd w:id="3117"/>
      <w:bookmarkEnd w:id="3118"/>
      <w:bookmarkEnd w:id="3119"/>
      <w:bookmarkEnd w:id="3120"/>
      <w:bookmarkEnd w:id="3121"/>
      <w:bookmarkEnd w:id="3122"/>
      <w:bookmarkEnd w:id="3123"/>
      <w:bookmarkEnd w:id="3124"/>
      <w:bookmarkEnd w:id="3125"/>
      <w:bookmarkEnd w:id="3126"/>
      <w:bookmarkEnd w:id="3127"/>
      <w:bookmarkEnd w:id="3128"/>
      <w:bookmarkEnd w:id="3129"/>
      <w:bookmarkEnd w:id="3130"/>
      <w:bookmarkEnd w:id="3131"/>
      <w:bookmarkEnd w:id="3132"/>
      <w:bookmarkEnd w:id="3133"/>
      <w:bookmarkEnd w:id="3134"/>
      <w:bookmarkEnd w:id="3135"/>
      <w:bookmarkEnd w:id="3136"/>
      <w:bookmarkEnd w:id="3137"/>
      <w:bookmarkEnd w:id="3138"/>
      <w:bookmarkEnd w:id="3139"/>
      <w:bookmarkEnd w:id="3140"/>
      <w:bookmarkEnd w:id="3141"/>
      <w:bookmarkEnd w:id="3142"/>
      <w:bookmarkEnd w:id="3143"/>
      <w:bookmarkEnd w:id="3144"/>
      <w:bookmarkEnd w:id="3145"/>
      <w:bookmarkEnd w:id="3146"/>
      <w:bookmarkEnd w:id="3147"/>
      <w:bookmarkEnd w:id="3148"/>
      <w:bookmarkEnd w:id="3149"/>
      <w:bookmarkEnd w:id="3150"/>
      <w:bookmarkEnd w:id="3151"/>
      <w:bookmarkEnd w:id="3152"/>
      <w:bookmarkEnd w:id="3153"/>
      <w:bookmarkEnd w:id="3154"/>
      <w:bookmarkEnd w:id="3155"/>
      <w:bookmarkEnd w:id="3156"/>
      <w:bookmarkEnd w:id="3157"/>
      <w:bookmarkEnd w:id="3158"/>
      <w:bookmarkEnd w:id="3159"/>
      <w:bookmarkEnd w:id="3160"/>
      <w:bookmarkEnd w:id="3161"/>
      <w:bookmarkEnd w:id="3162"/>
      <w:bookmarkEnd w:id="3163"/>
      <w:bookmarkEnd w:id="3164"/>
      <w:bookmarkEnd w:id="3165"/>
      <w:bookmarkEnd w:id="3166"/>
      <w:bookmarkEnd w:id="3167"/>
      <w:bookmarkEnd w:id="3168"/>
      <w:bookmarkEnd w:id="3169"/>
      <w:bookmarkEnd w:id="3170"/>
      <w:bookmarkEnd w:id="3171"/>
      <w:bookmarkEnd w:id="3172"/>
      <w:bookmarkEnd w:id="3173"/>
      <w:bookmarkEnd w:id="3174"/>
      <w:bookmarkEnd w:id="3175"/>
      <w:bookmarkEnd w:id="3176"/>
      <w:bookmarkEnd w:id="3177"/>
      <w:bookmarkEnd w:id="3178"/>
      <w:bookmarkEnd w:id="3179"/>
      <w:bookmarkEnd w:id="3180"/>
      <w:bookmarkEnd w:id="3181"/>
      <w:bookmarkEnd w:id="3182"/>
      <w:bookmarkEnd w:id="3183"/>
      <w:bookmarkEnd w:id="3184"/>
      <w:bookmarkEnd w:id="3185"/>
      <w:bookmarkEnd w:id="3186"/>
      <w:bookmarkEnd w:id="3187"/>
      <w:bookmarkEnd w:id="3188"/>
      <w:bookmarkEnd w:id="3189"/>
      <w:bookmarkEnd w:id="3190"/>
      <w:bookmarkEnd w:id="3191"/>
      <w:bookmarkEnd w:id="3192"/>
      <w:bookmarkEnd w:id="3193"/>
      <w:bookmarkEnd w:id="3194"/>
      <w:bookmarkEnd w:id="3195"/>
      <w:bookmarkEnd w:id="3196"/>
      <w:bookmarkEnd w:id="3197"/>
      <w:bookmarkEnd w:id="3198"/>
      <w:bookmarkEnd w:id="3199"/>
      <w:bookmarkEnd w:id="3200"/>
      <w:bookmarkEnd w:id="3201"/>
      <w:bookmarkEnd w:id="3202"/>
      <w:bookmarkEnd w:id="3203"/>
      <w:bookmarkEnd w:id="3204"/>
      <w:bookmarkEnd w:id="3205"/>
      <w:bookmarkEnd w:id="3206"/>
      <w:bookmarkEnd w:id="3207"/>
      <w:bookmarkEnd w:id="3208"/>
      <w:bookmarkEnd w:id="3209"/>
      <w:bookmarkEnd w:id="3210"/>
      <w:bookmarkEnd w:id="3211"/>
      <w:bookmarkEnd w:id="3212"/>
      <w:bookmarkEnd w:id="3213"/>
      <w:bookmarkEnd w:id="3214"/>
      <w:bookmarkEnd w:id="3215"/>
      <w:bookmarkEnd w:id="3216"/>
      <w:bookmarkEnd w:id="3217"/>
      <w:bookmarkEnd w:id="3218"/>
      <w:bookmarkEnd w:id="3219"/>
      <w:bookmarkEnd w:id="3220"/>
      <w:bookmarkEnd w:id="3221"/>
      <w:bookmarkEnd w:id="3222"/>
      <w:bookmarkEnd w:id="3223"/>
      <w:bookmarkEnd w:id="3224"/>
      <w:bookmarkEnd w:id="3225"/>
      <w:bookmarkEnd w:id="3226"/>
      <w:bookmarkEnd w:id="3227"/>
      <w:bookmarkEnd w:id="3228"/>
      <w:bookmarkEnd w:id="3229"/>
      <w:bookmarkEnd w:id="3230"/>
      <w:bookmarkEnd w:id="3231"/>
      <w:bookmarkEnd w:id="3232"/>
      <w:bookmarkEnd w:id="3233"/>
      <w:bookmarkEnd w:id="3234"/>
      <w:bookmarkEnd w:id="3235"/>
      <w:bookmarkEnd w:id="3236"/>
      <w:bookmarkEnd w:id="3237"/>
      <w:bookmarkEnd w:id="3238"/>
      <w:bookmarkEnd w:id="3239"/>
      <w:bookmarkEnd w:id="3240"/>
      <w:bookmarkEnd w:id="3241"/>
      <w:bookmarkEnd w:id="3242"/>
      <w:bookmarkEnd w:id="3243"/>
      <w:bookmarkEnd w:id="3244"/>
      <w:bookmarkEnd w:id="3245"/>
      <w:bookmarkEnd w:id="3246"/>
      <w:bookmarkEnd w:id="3247"/>
      <w:bookmarkEnd w:id="3248"/>
      <w:bookmarkEnd w:id="3249"/>
      <w:bookmarkEnd w:id="3250"/>
      <w:bookmarkEnd w:id="3251"/>
      <w:bookmarkEnd w:id="3252"/>
      <w:bookmarkEnd w:id="3253"/>
      <w:bookmarkEnd w:id="3254"/>
      <w:bookmarkEnd w:id="3255"/>
      <w:bookmarkEnd w:id="3256"/>
      <w:bookmarkEnd w:id="3257"/>
      <w:bookmarkEnd w:id="3258"/>
      <w:bookmarkEnd w:id="3259"/>
      <w:bookmarkEnd w:id="3260"/>
      <w:bookmarkEnd w:id="3261"/>
      <w:bookmarkEnd w:id="3262"/>
      <w:bookmarkEnd w:id="3263"/>
      <w:bookmarkEnd w:id="3264"/>
      <w:bookmarkEnd w:id="3265"/>
      <w:bookmarkEnd w:id="3266"/>
      <w:bookmarkEnd w:id="3267"/>
      <w:bookmarkEnd w:id="3268"/>
      <w:bookmarkEnd w:id="3269"/>
      <w:bookmarkEnd w:id="3270"/>
      <w:bookmarkEnd w:id="3271"/>
      <w:bookmarkEnd w:id="3272"/>
      <w:bookmarkEnd w:id="3273"/>
      <w:bookmarkEnd w:id="3274"/>
      <w:bookmarkEnd w:id="3275"/>
      <w:bookmarkEnd w:id="3276"/>
      <w:bookmarkEnd w:id="3277"/>
      <w:bookmarkEnd w:id="3278"/>
      <w:bookmarkEnd w:id="3279"/>
      <w:bookmarkEnd w:id="3280"/>
      <w:bookmarkEnd w:id="3281"/>
      <w:bookmarkEnd w:id="3282"/>
      <w:bookmarkEnd w:id="3283"/>
      <w:bookmarkEnd w:id="3284"/>
      <w:bookmarkEnd w:id="3285"/>
      <w:bookmarkEnd w:id="3286"/>
      <w:bookmarkEnd w:id="3287"/>
      <w:bookmarkEnd w:id="3288"/>
      <w:bookmarkEnd w:id="3289"/>
      <w:bookmarkEnd w:id="3290"/>
      <w:bookmarkEnd w:id="3291"/>
      <w:bookmarkEnd w:id="3292"/>
      <w:bookmarkEnd w:id="3293"/>
      <w:bookmarkEnd w:id="3294"/>
      <w:bookmarkEnd w:id="3295"/>
      <w:bookmarkEnd w:id="3296"/>
      <w:bookmarkEnd w:id="3297"/>
      <w:bookmarkEnd w:id="3298"/>
      <w:bookmarkEnd w:id="3299"/>
      <w:bookmarkEnd w:id="3300"/>
      <w:bookmarkEnd w:id="3301"/>
      <w:bookmarkEnd w:id="3302"/>
      <w:bookmarkEnd w:id="3303"/>
      <w:bookmarkEnd w:id="3304"/>
      <w:bookmarkEnd w:id="3305"/>
      <w:bookmarkEnd w:id="3306"/>
      <w:bookmarkEnd w:id="3307"/>
      <w:bookmarkEnd w:id="3308"/>
      <w:bookmarkEnd w:id="3309"/>
      <w:bookmarkEnd w:id="3310"/>
      <w:bookmarkEnd w:id="3311"/>
      <w:bookmarkEnd w:id="3312"/>
      <w:bookmarkEnd w:id="3313"/>
      <w:bookmarkEnd w:id="3314"/>
      <w:bookmarkEnd w:id="3315"/>
      <w:bookmarkEnd w:id="3316"/>
      <w:bookmarkEnd w:id="3317"/>
      <w:bookmarkEnd w:id="3318"/>
      <w:bookmarkEnd w:id="3319"/>
      <w:bookmarkEnd w:id="3320"/>
      <w:bookmarkEnd w:id="3321"/>
      <w:bookmarkEnd w:id="3322"/>
      <w:bookmarkEnd w:id="3323"/>
      <w:bookmarkEnd w:id="3324"/>
      <w:bookmarkEnd w:id="3325"/>
      <w:bookmarkEnd w:id="3326"/>
      <w:bookmarkEnd w:id="3327"/>
      <w:bookmarkEnd w:id="3328"/>
      <w:bookmarkEnd w:id="3329"/>
      <w:bookmarkEnd w:id="3330"/>
      <w:bookmarkEnd w:id="3331"/>
      <w:bookmarkEnd w:id="3332"/>
      <w:bookmarkEnd w:id="3333"/>
      <w:bookmarkEnd w:id="3334"/>
      <w:bookmarkEnd w:id="3335"/>
      <w:bookmarkEnd w:id="3336"/>
      <w:bookmarkEnd w:id="3337"/>
      <w:bookmarkEnd w:id="3338"/>
      <w:bookmarkEnd w:id="3339"/>
      <w:bookmarkEnd w:id="3340"/>
      <w:bookmarkEnd w:id="3341"/>
      <w:bookmarkEnd w:id="3342"/>
      <w:bookmarkEnd w:id="3343"/>
      <w:bookmarkEnd w:id="3344"/>
      <w:bookmarkEnd w:id="3345"/>
      <w:bookmarkEnd w:id="3346"/>
      <w:bookmarkEnd w:id="3347"/>
      <w:bookmarkEnd w:id="3348"/>
      <w:bookmarkEnd w:id="3349"/>
      <w:bookmarkEnd w:id="3350"/>
      <w:bookmarkEnd w:id="3351"/>
      <w:bookmarkEnd w:id="3352"/>
      <w:bookmarkEnd w:id="3353"/>
      <w:bookmarkEnd w:id="3354"/>
      <w:bookmarkEnd w:id="3355"/>
      <w:bookmarkEnd w:id="3356"/>
      <w:bookmarkEnd w:id="3357"/>
      <w:bookmarkEnd w:id="3358"/>
      <w:bookmarkEnd w:id="3359"/>
      <w:bookmarkEnd w:id="3360"/>
      <w:bookmarkEnd w:id="3361"/>
      <w:bookmarkEnd w:id="3362"/>
      <w:bookmarkEnd w:id="3363"/>
      <w:bookmarkEnd w:id="3364"/>
      <w:bookmarkEnd w:id="3365"/>
      <w:bookmarkEnd w:id="3366"/>
      <w:bookmarkEnd w:id="3367"/>
      <w:bookmarkEnd w:id="3368"/>
      <w:bookmarkEnd w:id="3369"/>
      <w:bookmarkEnd w:id="3370"/>
      <w:bookmarkEnd w:id="3371"/>
      <w:bookmarkEnd w:id="3372"/>
      <w:bookmarkEnd w:id="3373"/>
      <w:bookmarkEnd w:id="3374"/>
      <w:bookmarkEnd w:id="3375"/>
      <w:bookmarkEnd w:id="3376"/>
      <w:bookmarkEnd w:id="3377"/>
      <w:bookmarkEnd w:id="3378"/>
      <w:bookmarkEnd w:id="3379"/>
      <w:bookmarkEnd w:id="3380"/>
      <w:bookmarkEnd w:id="3381"/>
      <w:bookmarkEnd w:id="3382"/>
      <w:bookmarkEnd w:id="3383"/>
      <w:bookmarkEnd w:id="3384"/>
      <w:bookmarkEnd w:id="3385"/>
      <w:bookmarkEnd w:id="3386"/>
      <w:bookmarkEnd w:id="3387"/>
      <w:bookmarkEnd w:id="3388"/>
      <w:bookmarkEnd w:id="3389"/>
      <w:bookmarkEnd w:id="3390"/>
      <w:bookmarkEnd w:id="3391"/>
      <w:bookmarkEnd w:id="3392"/>
      <w:bookmarkEnd w:id="3393"/>
      <w:bookmarkEnd w:id="3394"/>
      <w:bookmarkEnd w:id="3395"/>
      <w:bookmarkEnd w:id="3396"/>
      <w:bookmarkEnd w:id="3397"/>
      <w:bookmarkEnd w:id="3398"/>
      <w:bookmarkEnd w:id="3399"/>
      <w:bookmarkEnd w:id="3400"/>
      <w:bookmarkEnd w:id="3401"/>
      <w:bookmarkEnd w:id="3402"/>
      <w:bookmarkEnd w:id="3403"/>
      <w:bookmarkEnd w:id="3404"/>
      <w:bookmarkEnd w:id="3405"/>
      <w:bookmarkEnd w:id="3406"/>
      <w:bookmarkEnd w:id="3407"/>
      <w:bookmarkEnd w:id="3408"/>
      <w:bookmarkEnd w:id="3409"/>
      <w:bookmarkEnd w:id="3410"/>
      <w:bookmarkEnd w:id="3411"/>
      <w:bookmarkEnd w:id="3412"/>
      <w:bookmarkEnd w:id="3413"/>
      <w:bookmarkEnd w:id="3414"/>
      <w:bookmarkEnd w:id="3415"/>
      <w:bookmarkEnd w:id="3416"/>
      <w:bookmarkEnd w:id="3417"/>
      <w:bookmarkEnd w:id="3418"/>
      <w:bookmarkEnd w:id="3419"/>
      <w:bookmarkEnd w:id="3420"/>
      <w:bookmarkEnd w:id="3421"/>
      <w:bookmarkEnd w:id="3422"/>
      <w:bookmarkEnd w:id="3423"/>
      <w:bookmarkEnd w:id="3424"/>
      <w:bookmarkEnd w:id="3425"/>
      <w:bookmarkEnd w:id="3426"/>
      <w:bookmarkEnd w:id="3427"/>
      <w:bookmarkEnd w:id="3428"/>
      <w:bookmarkEnd w:id="3429"/>
      <w:bookmarkEnd w:id="3430"/>
      <w:bookmarkEnd w:id="3431"/>
      <w:bookmarkEnd w:id="3432"/>
      <w:bookmarkEnd w:id="3433"/>
      <w:bookmarkEnd w:id="3434"/>
      <w:bookmarkEnd w:id="3435"/>
      <w:bookmarkEnd w:id="3436"/>
      <w:bookmarkEnd w:id="3437"/>
      <w:bookmarkEnd w:id="3438"/>
      <w:bookmarkEnd w:id="3439"/>
      <w:bookmarkEnd w:id="3440"/>
      <w:bookmarkEnd w:id="3441"/>
      <w:bookmarkEnd w:id="3442"/>
      <w:bookmarkEnd w:id="3443"/>
      <w:bookmarkEnd w:id="3444"/>
      <w:bookmarkEnd w:id="3445"/>
      <w:bookmarkEnd w:id="3446"/>
      <w:bookmarkEnd w:id="3447"/>
      <w:bookmarkEnd w:id="3448"/>
      <w:bookmarkEnd w:id="3449"/>
      <w:bookmarkEnd w:id="3450"/>
      <w:bookmarkEnd w:id="3451"/>
      <w:bookmarkEnd w:id="3452"/>
      <w:bookmarkEnd w:id="3453"/>
      <w:bookmarkEnd w:id="3454"/>
      <w:bookmarkEnd w:id="3455"/>
      <w:bookmarkEnd w:id="3456"/>
      <w:bookmarkEnd w:id="3457"/>
      <w:bookmarkEnd w:id="3458"/>
      <w:bookmarkEnd w:id="3459"/>
      <w:bookmarkEnd w:id="3460"/>
      <w:bookmarkEnd w:id="3461"/>
      <w:bookmarkEnd w:id="3462"/>
      <w:bookmarkEnd w:id="3463"/>
      <w:bookmarkEnd w:id="3464"/>
      <w:bookmarkEnd w:id="3465"/>
      <w:bookmarkEnd w:id="3466"/>
      <w:bookmarkEnd w:id="3467"/>
      <w:bookmarkEnd w:id="3468"/>
      <w:bookmarkEnd w:id="3469"/>
      <w:bookmarkEnd w:id="3470"/>
      <w:bookmarkEnd w:id="3471"/>
      <w:bookmarkEnd w:id="3472"/>
      <w:bookmarkEnd w:id="3473"/>
      <w:bookmarkEnd w:id="3474"/>
      <w:bookmarkEnd w:id="3475"/>
      <w:bookmarkEnd w:id="3476"/>
      <w:bookmarkEnd w:id="3477"/>
      <w:bookmarkEnd w:id="3478"/>
      <w:bookmarkEnd w:id="3479"/>
      <w:bookmarkEnd w:id="3480"/>
      <w:bookmarkEnd w:id="3481"/>
      <w:bookmarkEnd w:id="3482"/>
      <w:bookmarkEnd w:id="3483"/>
      <w:bookmarkEnd w:id="3484"/>
      <w:bookmarkEnd w:id="3485"/>
      <w:bookmarkEnd w:id="3486"/>
      <w:bookmarkEnd w:id="3487"/>
      <w:bookmarkEnd w:id="3488"/>
      <w:bookmarkEnd w:id="3489"/>
      <w:bookmarkEnd w:id="3490"/>
      <w:bookmarkEnd w:id="3491"/>
      <w:bookmarkEnd w:id="3492"/>
      <w:bookmarkEnd w:id="3493"/>
      <w:bookmarkEnd w:id="3494"/>
      <w:bookmarkEnd w:id="3495"/>
      <w:bookmarkEnd w:id="3496"/>
      <w:bookmarkEnd w:id="3497"/>
      <w:bookmarkEnd w:id="3498"/>
      <w:bookmarkEnd w:id="3499"/>
      <w:bookmarkEnd w:id="3500"/>
      <w:bookmarkEnd w:id="3501"/>
      <w:bookmarkEnd w:id="3502"/>
      <w:bookmarkEnd w:id="3503"/>
      <w:bookmarkEnd w:id="3504"/>
      <w:bookmarkEnd w:id="3505"/>
      <w:bookmarkEnd w:id="3506"/>
      <w:bookmarkEnd w:id="3507"/>
      <w:bookmarkEnd w:id="3508"/>
      <w:bookmarkEnd w:id="3509"/>
      <w:bookmarkEnd w:id="3510"/>
      <w:bookmarkEnd w:id="3511"/>
      <w:bookmarkEnd w:id="3512"/>
      <w:bookmarkEnd w:id="3513"/>
      <w:bookmarkEnd w:id="3514"/>
      <w:bookmarkEnd w:id="3515"/>
      <w:bookmarkEnd w:id="3516"/>
      <w:bookmarkEnd w:id="3517"/>
      <w:bookmarkEnd w:id="3518"/>
      <w:bookmarkEnd w:id="3519"/>
      <w:bookmarkEnd w:id="3520"/>
      <w:bookmarkEnd w:id="3521"/>
      <w:bookmarkEnd w:id="3522"/>
      <w:bookmarkEnd w:id="3523"/>
      <w:bookmarkEnd w:id="3524"/>
      <w:bookmarkEnd w:id="3525"/>
      <w:bookmarkEnd w:id="3526"/>
      <w:bookmarkEnd w:id="3527"/>
      <w:bookmarkEnd w:id="3528"/>
      <w:bookmarkEnd w:id="3529"/>
      <w:bookmarkEnd w:id="3530"/>
      <w:bookmarkEnd w:id="3531"/>
      <w:bookmarkEnd w:id="3532"/>
      <w:bookmarkEnd w:id="3533"/>
      <w:bookmarkEnd w:id="3534"/>
      <w:bookmarkEnd w:id="3535"/>
      <w:bookmarkEnd w:id="3536"/>
      <w:bookmarkEnd w:id="3537"/>
      <w:bookmarkEnd w:id="3538"/>
      <w:bookmarkEnd w:id="3539"/>
      <w:bookmarkEnd w:id="3540"/>
      <w:bookmarkEnd w:id="3541"/>
      <w:bookmarkEnd w:id="3542"/>
      <w:bookmarkEnd w:id="3543"/>
      <w:bookmarkEnd w:id="3544"/>
      <w:bookmarkEnd w:id="3545"/>
      <w:bookmarkEnd w:id="3546"/>
      <w:bookmarkEnd w:id="3547"/>
      <w:bookmarkEnd w:id="3548"/>
      <w:bookmarkEnd w:id="3549"/>
      <w:bookmarkEnd w:id="3550"/>
      <w:bookmarkEnd w:id="3551"/>
      <w:bookmarkEnd w:id="3552"/>
      <w:bookmarkEnd w:id="3553"/>
      <w:bookmarkEnd w:id="3554"/>
      <w:bookmarkEnd w:id="3555"/>
      <w:bookmarkEnd w:id="3556"/>
      <w:bookmarkEnd w:id="3557"/>
      <w:bookmarkEnd w:id="3558"/>
      <w:bookmarkEnd w:id="3559"/>
      <w:bookmarkEnd w:id="3560"/>
      <w:bookmarkEnd w:id="3561"/>
      <w:bookmarkEnd w:id="3562"/>
      <w:bookmarkEnd w:id="3563"/>
      <w:bookmarkEnd w:id="3564"/>
      <w:bookmarkEnd w:id="3565"/>
      <w:bookmarkEnd w:id="3566"/>
      <w:bookmarkEnd w:id="3567"/>
      <w:bookmarkEnd w:id="3568"/>
      <w:bookmarkEnd w:id="3569"/>
      <w:bookmarkEnd w:id="3570"/>
      <w:bookmarkEnd w:id="3571"/>
      <w:bookmarkEnd w:id="3572"/>
      <w:bookmarkEnd w:id="3573"/>
      <w:bookmarkEnd w:id="3574"/>
      <w:bookmarkEnd w:id="3575"/>
      <w:bookmarkEnd w:id="3576"/>
      <w:bookmarkEnd w:id="3577"/>
      <w:bookmarkEnd w:id="3578"/>
      <w:bookmarkEnd w:id="3579"/>
      <w:bookmarkEnd w:id="3580"/>
      <w:bookmarkEnd w:id="3581"/>
      <w:bookmarkEnd w:id="3582"/>
      <w:bookmarkEnd w:id="3583"/>
      <w:bookmarkEnd w:id="3584"/>
      <w:bookmarkEnd w:id="3585"/>
      <w:bookmarkEnd w:id="3586"/>
      <w:bookmarkEnd w:id="3587"/>
      <w:bookmarkEnd w:id="3588"/>
      <w:bookmarkEnd w:id="3589"/>
      <w:bookmarkEnd w:id="3590"/>
      <w:bookmarkEnd w:id="3591"/>
      <w:bookmarkEnd w:id="3592"/>
      <w:bookmarkEnd w:id="3593"/>
      <w:bookmarkEnd w:id="3594"/>
      <w:bookmarkEnd w:id="3595"/>
      <w:bookmarkEnd w:id="3596"/>
      <w:bookmarkEnd w:id="3597"/>
      <w:bookmarkEnd w:id="3598"/>
      <w:bookmarkEnd w:id="3599"/>
      <w:bookmarkEnd w:id="3600"/>
      <w:bookmarkEnd w:id="3601"/>
      <w:bookmarkEnd w:id="3602"/>
      <w:bookmarkEnd w:id="3603"/>
      <w:bookmarkEnd w:id="3604"/>
      <w:bookmarkEnd w:id="3605"/>
      <w:bookmarkEnd w:id="3606"/>
      <w:bookmarkEnd w:id="3607"/>
      <w:bookmarkEnd w:id="3608"/>
      <w:bookmarkEnd w:id="3609"/>
      <w:bookmarkEnd w:id="3610"/>
      <w:bookmarkEnd w:id="3611"/>
      <w:bookmarkEnd w:id="3612"/>
      <w:bookmarkEnd w:id="3613"/>
      <w:bookmarkEnd w:id="3614"/>
      <w:bookmarkEnd w:id="3615"/>
      <w:bookmarkEnd w:id="3616"/>
      <w:bookmarkEnd w:id="3617"/>
      <w:bookmarkEnd w:id="3618"/>
      <w:bookmarkEnd w:id="3619"/>
      <w:bookmarkEnd w:id="3620"/>
      <w:bookmarkEnd w:id="3621"/>
      <w:bookmarkEnd w:id="3622"/>
      <w:bookmarkEnd w:id="3623"/>
      <w:bookmarkEnd w:id="3624"/>
      <w:bookmarkEnd w:id="3625"/>
      <w:bookmarkEnd w:id="3626"/>
      <w:bookmarkEnd w:id="3627"/>
      <w:bookmarkEnd w:id="3628"/>
      <w:bookmarkEnd w:id="3629"/>
      <w:bookmarkEnd w:id="3630"/>
      <w:bookmarkEnd w:id="3631"/>
      <w:bookmarkEnd w:id="3632"/>
      <w:bookmarkEnd w:id="3633"/>
      <w:bookmarkEnd w:id="3634"/>
      <w:bookmarkEnd w:id="3635"/>
      <w:bookmarkEnd w:id="3636"/>
      <w:bookmarkEnd w:id="3637"/>
      <w:bookmarkEnd w:id="3638"/>
      <w:bookmarkEnd w:id="3639"/>
      <w:bookmarkEnd w:id="3640"/>
      <w:bookmarkEnd w:id="3641"/>
      <w:bookmarkEnd w:id="3642"/>
      <w:bookmarkEnd w:id="3643"/>
      <w:bookmarkEnd w:id="3644"/>
      <w:bookmarkEnd w:id="3645"/>
      <w:bookmarkEnd w:id="3646"/>
      <w:bookmarkEnd w:id="3647"/>
      <w:bookmarkEnd w:id="3648"/>
      <w:bookmarkEnd w:id="3649"/>
      <w:bookmarkEnd w:id="3650"/>
      <w:bookmarkEnd w:id="3651"/>
      <w:bookmarkEnd w:id="3652"/>
      <w:bookmarkEnd w:id="3653"/>
      <w:bookmarkEnd w:id="3654"/>
      <w:bookmarkEnd w:id="3655"/>
      <w:bookmarkEnd w:id="3656"/>
      <w:bookmarkEnd w:id="3657"/>
      <w:bookmarkEnd w:id="3658"/>
      <w:bookmarkEnd w:id="3659"/>
      <w:bookmarkEnd w:id="3660"/>
      <w:bookmarkEnd w:id="3661"/>
      <w:bookmarkEnd w:id="3662"/>
      <w:bookmarkEnd w:id="3663"/>
      <w:bookmarkEnd w:id="3664"/>
      <w:bookmarkEnd w:id="3665"/>
      <w:bookmarkEnd w:id="3666"/>
      <w:bookmarkEnd w:id="3667"/>
      <w:bookmarkEnd w:id="3668"/>
      <w:bookmarkEnd w:id="3669"/>
      <w:bookmarkEnd w:id="3670"/>
      <w:bookmarkEnd w:id="3671"/>
      <w:bookmarkEnd w:id="3672"/>
      <w:bookmarkEnd w:id="3673"/>
      <w:bookmarkEnd w:id="3674"/>
      <w:bookmarkEnd w:id="3675"/>
      <w:bookmarkEnd w:id="3676"/>
      <w:bookmarkEnd w:id="3677"/>
      <w:bookmarkEnd w:id="3678"/>
      <w:bookmarkEnd w:id="3679"/>
      <w:bookmarkEnd w:id="3680"/>
      <w:bookmarkEnd w:id="3681"/>
      <w:bookmarkEnd w:id="3682"/>
      <w:bookmarkEnd w:id="3683"/>
      <w:bookmarkEnd w:id="3684"/>
      <w:bookmarkEnd w:id="3685"/>
      <w:bookmarkEnd w:id="3686"/>
      <w:bookmarkEnd w:id="3687"/>
      <w:bookmarkEnd w:id="3688"/>
      <w:bookmarkEnd w:id="3689"/>
      <w:bookmarkEnd w:id="3690"/>
      <w:bookmarkEnd w:id="3691"/>
      <w:bookmarkEnd w:id="3692"/>
      <w:bookmarkEnd w:id="3693"/>
      <w:bookmarkEnd w:id="3694"/>
      <w:bookmarkEnd w:id="3695"/>
      <w:bookmarkEnd w:id="3696"/>
      <w:bookmarkEnd w:id="3697"/>
      <w:bookmarkEnd w:id="3698"/>
      <w:bookmarkEnd w:id="3699"/>
      <w:bookmarkEnd w:id="3700"/>
      <w:bookmarkEnd w:id="3701"/>
      <w:bookmarkEnd w:id="3702"/>
      <w:bookmarkEnd w:id="3703"/>
      <w:bookmarkEnd w:id="3704"/>
      <w:bookmarkEnd w:id="3705"/>
      <w:bookmarkEnd w:id="3706"/>
      <w:bookmarkEnd w:id="3707"/>
      <w:bookmarkEnd w:id="3708"/>
      <w:bookmarkEnd w:id="3709"/>
      <w:bookmarkEnd w:id="3710"/>
      <w:bookmarkEnd w:id="3711"/>
      <w:bookmarkEnd w:id="3712"/>
      <w:bookmarkEnd w:id="3713"/>
      <w:bookmarkEnd w:id="3714"/>
      <w:bookmarkEnd w:id="3715"/>
      <w:bookmarkEnd w:id="3716"/>
      <w:bookmarkEnd w:id="3717"/>
      <w:bookmarkEnd w:id="3718"/>
      <w:bookmarkEnd w:id="3719"/>
      <w:bookmarkEnd w:id="3720"/>
      <w:bookmarkEnd w:id="3721"/>
      <w:bookmarkEnd w:id="3722"/>
      <w:bookmarkEnd w:id="3723"/>
      <w:bookmarkEnd w:id="3724"/>
      <w:bookmarkEnd w:id="3725"/>
      <w:bookmarkEnd w:id="3726"/>
      <w:bookmarkEnd w:id="3727"/>
      <w:bookmarkEnd w:id="3728"/>
      <w:bookmarkEnd w:id="3729"/>
      <w:bookmarkEnd w:id="3730"/>
      <w:bookmarkEnd w:id="3731"/>
      <w:bookmarkEnd w:id="3732"/>
      <w:bookmarkEnd w:id="3733"/>
      <w:bookmarkEnd w:id="3734"/>
      <w:bookmarkEnd w:id="3735"/>
      <w:bookmarkEnd w:id="3736"/>
      <w:bookmarkEnd w:id="3737"/>
      <w:bookmarkEnd w:id="3738"/>
      <w:bookmarkEnd w:id="3739"/>
      <w:bookmarkEnd w:id="3740"/>
      <w:bookmarkEnd w:id="3741"/>
      <w:bookmarkEnd w:id="3742"/>
      <w:bookmarkEnd w:id="3743"/>
      <w:bookmarkEnd w:id="3744"/>
      <w:bookmarkEnd w:id="3745"/>
      <w:bookmarkEnd w:id="3746"/>
      <w:bookmarkEnd w:id="3747"/>
      <w:bookmarkEnd w:id="3748"/>
      <w:bookmarkEnd w:id="3749"/>
      <w:bookmarkEnd w:id="3750"/>
      <w:bookmarkEnd w:id="3751"/>
      <w:bookmarkEnd w:id="3752"/>
      <w:bookmarkEnd w:id="3753"/>
      <w:bookmarkEnd w:id="3754"/>
      <w:bookmarkEnd w:id="3755"/>
      <w:bookmarkEnd w:id="3756"/>
      <w:bookmarkEnd w:id="3757"/>
      <w:bookmarkEnd w:id="3758"/>
      <w:bookmarkEnd w:id="3759"/>
      <w:bookmarkEnd w:id="3760"/>
      <w:bookmarkEnd w:id="3761"/>
      <w:bookmarkEnd w:id="3762"/>
      <w:bookmarkEnd w:id="3763"/>
      <w:bookmarkEnd w:id="3764"/>
      <w:bookmarkEnd w:id="3765"/>
      <w:bookmarkEnd w:id="3766"/>
      <w:bookmarkEnd w:id="3767"/>
      <w:bookmarkEnd w:id="3768"/>
      <w:bookmarkEnd w:id="3769"/>
      <w:bookmarkEnd w:id="3770"/>
      <w:bookmarkEnd w:id="3771"/>
      <w:bookmarkEnd w:id="3772"/>
      <w:bookmarkEnd w:id="3773"/>
      <w:bookmarkEnd w:id="3774"/>
      <w:bookmarkEnd w:id="3775"/>
      <w:bookmarkEnd w:id="3776"/>
      <w:bookmarkEnd w:id="3777"/>
      <w:bookmarkEnd w:id="3778"/>
      <w:bookmarkEnd w:id="3779"/>
      <w:bookmarkEnd w:id="3780"/>
      <w:bookmarkEnd w:id="3781"/>
      <w:bookmarkEnd w:id="3782"/>
      <w:bookmarkEnd w:id="3783"/>
      <w:bookmarkEnd w:id="3784"/>
      <w:bookmarkEnd w:id="3785"/>
      <w:bookmarkEnd w:id="3786"/>
      <w:bookmarkEnd w:id="3787"/>
      <w:bookmarkEnd w:id="3788"/>
      <w:bookmarkEnd w:id="3789"/>
      <w:bookmarkEnd w:id="3790"/>
      <w:bookmarkEnd w:id="3791"/>
      <w:bookmarkEnd w:id="3792"/>
      <w:bookmarkEnd w:id="3793"/>
      <w:bookmarkEnd w:id="3794"/>
      <w:bookmarkEnd w:id="3795"/>
      <w:bookmarkEnd w:id="3796"/>
      <w:bookmarkEnd w:id="3797"/>
      <w:bookmarkEnd w:id="3798"/>
      <w:bookmarkEnd w:id="3799"/>
      <w:bookmarkEnd w:id="3800"/>
      <w:bookmarkEnd w:id="3801"/>
      <w:bookmarkEnd w:id="3802"/>
      <w:bookmarkEnd w:id="3803"/>
      <w:bookmarkEnd w:id="3804"/>
      <w:bookmarkEnd w:id="3805"/>
      <w:bookmarkEnd w:id="3806"/>
      <w:bookmarkEnd w:id="3807"/>
      <w:bookmarkEnd w:id="3808"/>
      <w:bookmarkEnd w:id="3809"/>
      <w:bookmarkEnd w:id="3810"/>
      <w:bookmarkEnd w:id="3811"/>
      <w:bookmarkEnd w:id="3812"/>
      <w:bookmarkEnd w:id="3813"/>
      <w:bookmarkEnd w:id="3814"/>
      <w:bookmarkEnd w:id="3815"/>
      <w:bookmarkEnd w:id="3816"/>
      <w:bookmarkEnd w:id="3817"/>
      <w:bookmarkEnd w:id="3818"/>
      <w:bookmarkEnd w:id="3819"/>
      <w:bookmarkEnd w:id="3820"/>
      <w:bookmarkEnd w:id="3821"/>
      <w:bookmarkEnd w:id="3822"/>
      <w:bookmarkEnd w:id="3823"/>
      <w:bookmarkEnd w:id="3824"/>
      <w:bookmarkEnd w:id="3825"/>
      <w:bookmarkEnd w:id="3826"/>
      <w:bookmarkEnd w:id="3827"/>
      <w:bookmarkEnd w:id="3828"/>
      <w:bookmarkEnd w:id="3829"/>
      <w:bookmarkEnd w:id="3830"/>
      <w:bookmarkEnd w:id="3831"/>
      <w:bookmarkEnd w:id="3832"/>
      <w:bookmarkEnd w:id="3833"/>
      <w:bookmarkEnd w:id="3834"/>
      <w:bookmarkEnd w:id="3835"/>
      <w:bookmarkEnd w:id="3836"/>
      <w:bookmarkEnd w:id="3837"/>
      <w:bookmarkEnd w:id="3838"/>
      <w:bookmarkEnd w:id="3839"/>
      <w:bookmarkEnd w:id="3840"/>
      <w:bookmarkEnd w:id="3841"/>
      <w:bookmarkEnd w:id="3842"/>
      <w:bookmarkEnd w:id="3843"/>
      <w:bookmarkEnd w:id="3844"/>
      <w:bookmarkEnd w:id="3845"/>
      <w:bookmarkEnd w:id="3846"/>
      <w:bookmarkEnd w:id="3847"/>
      <w:bookmarkEnd w:id="3848"/>
      <w:bookmarkEnd w:id="3849"/>
      <w:bookmarkEnd w:id="3850"/>
      <w:bookmarkEnd w:id="3851"/>
      <w:bookmarkEnd w:id="3852"/>
      <w:bookmarkEnd w:id="3853"/>
      <w:bookmarkEnd w:id="3854"/>
      <w:bookmarkEnd w:id="3855"/>
      <w:bookmarkEnd w:id="3856"/>
      <w:bookmarkEnd w:id="3857"/>
      <w:bookmarkEnd w:id="3858"/>
      <w:bookmarkEnd w:id="3859"/>
      <w:bookmarkEnd w:id="3860"/>
      <w:bookmarkEnd w:id="3861"/>
      <w:bookmarkEnd w:id="3862"/>
      <w:bookmarkEnd w:id="3863"/>
      <w:bookmarkEnd w:id="3864"/>
      <w:bookmarkEnd w:id="3865"/>
      <w:bookmarkEnd w:id="3866"/>
      <w:bookmarkEnd w:id="3867"/>
      <w:bookmarkEnd w:id="3868"/>
      <w:bookmarkEnd w:id="3869"/>
      <w:bookmarkEnd w:id="3870"/>
      <w:bookmarkEnd w:id="3871"/>
      <w:bookmarkEnd w:id="3872"/>
      <w:bookmarkEnd w:id="3873"/>
      <w:bookmarkEnd w:id="3874"/>
      <w:bookmarkEnd w:id="3875"/>
      <w:bookmarkEnd w:id="3876"/>
      <w:bookmarkEnd w:id="3877"/>
      <w:bookmarkEnd w:id="3878"/>
      <w:bookmarkEnd w:id="3879"/>
      <w:bookmarkEnd w:id="3880"/>
      <w:bookmarkEnd w:id="3881"/>
      <w:bookmarkEnd w:id="3882"/>
      <w:bookmarkEnd w:id="3883"/>
      <w:bookmarkEnd w:id="3884"/>
      <w:bookmarkEnd w:id="3885"/>
      <w:bookmarkEnd w:id="3886"/>
      <w:bookmarkEnd w:id="3887"/>
      <w:bookmarkEnd w:id="3888"/>
      <w:bookmarkEnd w:id="3889"/>
      <w:bookmarkEnd w:id="3890"/>
      <w:bookmarkEnd w:id="3891"/>
      <w:bookmarkEnd w:id="3892"/>
      <w:bookmarkEnd w:id="3893"/>
      <w:bookmarkEnd w:id="3894"/>
      <w:bookmarkEnd w:id="3895"/>
      <w:bookmarkEnd w:id="3896"/>
      <w:bookmarkEnd w:id="3897"/>
      <w:bookmarkEnd w:id="3898"/>
      <w:bookmarkEnd w:id="3899"/>
      <w:bookmarkEnd w:id="3900"/>
      <w:bookmarkEnd w:id="3901"/>
      <w:bookmarkEnd w:id="3902"/>
      <w:bookmarkEnd w:id="3903"/>
      <w:bookmarkEnd w:id="3904"/>
      <w:bookmarkEnd w:id="3905"/>
      <w:bookmarkEnd w:id="3906"/>
      <w:bookmarkEnd w:id="3907"/>
      <w:bookmarkEnd w:id="3908"/>
      <w:bookmarkEnd w:id="3909"/>
      <w:bookmarkEnd w:id="3910"/>
      <w:bookmarkEnd w:id="3911"/>
      <w:bookmarkEnd w:id="3912"/>
      <w:bookmarkEnd w:id="3913"/>
      <w:bookmarkEnd w:id="3914"/>
      <w:bookmarkEnd w:id="3915"/>
      <w:bookmarkEnd w:id="3916"/>
      <w:bookmarkEnd w:id="3917"/>
      <w:bookmarkEnd w:id="3918"/>
      <w:bookmarkEnd w:id="3919"/>
      <w:bookmarkEnd w:id="3920"/>
      <w:bookmarkEnd w:id="3921"/>
      <w:bookmarkEnd w:id="3922"/>
      <w:bookmarkEnd w:id="3923"/>
      <w:bookmarkEnd w:id="3924"/>
      <w:bookmarkEnd w:id="3925"/>
      <w:bookmarkEnd w:id="3926"/>
      <w:bookmarkEnd w:id="3927"/>
      <w:bookmarkEnd w:id="3928"/>
      <w:bookmarkEnd w:id="3929"/>
      <w:bookmarkEnd w:id="3930"/>
      <w:bookmarkEnd w:id="3931"/>
      <w:bookmarkEnd w:id="3932"/>
      <w:bookmarkEnd w:id="3933"/>
      <w:bookmarkEnd w:id="3934"/>
      <w:bookmarkEnd w:id="3935"/>
      <w:bookmarkEnd w:id="3936"/>
      <w:bookmarkEnd w:id="3937"/>
      <w:bookmarkEnd w:id="3938"/>
      <w:bookmarkEnd w:id="3939"/>
      <w:bookmarkEnd w:id="3940"/>
      <w:bookmarkEnd w:id="3941"/>
      <w:bookmarkEnd w:id="3942"/>
      <w:bookmarkEnd w:id="3943"/>
      <w:bookmarkEnd w:id="3944"/>
      <w:bookmarkEnd w:id="3945"/>
      <w:bookmarkEnd w:id="3946"/>
      <w:bookmarkEnd w:id="3947"/>
      <w:bookmarkEnd w:id="3948"/>
      <w:bookmarkEnd w:id="3949"/>
      <w:bookmarkEnd w:id="3950"/>
      <w:bookmarkEnd w:id="3951"/>
      <w:bookmarkEnd w:id="3952"/>
      <w:bookmarkEnd w:id="3953"/>
      <w:bookmarkEnd w:id="3954"/>
      <w:bookmarkEnd w:id="3955"/>
      <w:bookmarkEnd w:id="3956"/>
      <w:bookmarkEnd w:id="3957"/>
      <w:bookmarkEnd w:id="3958"/>
      <w:bookmarkEnd w:id="3959"/>
      <w:bookmarkEnd w:id="3960"/>
      <w:bookmarkEnd w:id="3961"/>
      <w:bookmarkEnd w:id="3962"/>
      <w:bookmarkEnd w:id="3963"/>
      <w:bookmarkEnd w:id="3964"/>
      <w:bookmarkEnd w:id="3965"/>
      <w:bookmarkEnd w:id="3966"/>
      <w:bookmarkEnd w:id="3967"/>
      <w:bookmarkEnd w:id="3968"/>
      <w:bookmarkEnd w:id="3969"/>
      <w:bookmarkEnd w:id="3970"/>
      <w:bookmarkEnd w:id="3971"/>
      <w:bookmarkEnd w:id="3972"/>
      <w:bookmarkEnd w:id="3973"/>
      <w:bookmarkEnd w:id="3974"/>
      <w:bookmarkEnd w:id="3975"/>
      <w:bookmarkEnd w:id="3976"/>
      <w:bookmarkEnd w:id="3977"/>
      <w:bookmarkEnd w:id="3978"/>
      <w:bookmarkEnd w:id="3979"/>
      <w:bookmarkEnd w:id="3980"/>
      <w:bookmarkEnd w:id="3981"/>
      <w:bookmarkEnd w:id="3982"/>
      <w:bookmarkEnd w:id="3983"/>
      <w:bookmarkEnd w:id="3984"/>
      <w:bookmarkEnd w:id="3985"/>
      <w:bookmarkEnd w:id="3986"/>
      <w:bookmarkEnd w:id="3987"/>
      <w:bookmarkEnd w:id="3988"/>
      <w:bookmarkEnd w:id="3989"/>
      <w:bookmarkEnd w:id="3990"/>
      <w:bookmarkEnd w:id="3991"/>
      <w:bookmarkEnd w:id="3992"/>
      <w:bookmarkEnd w:id="3993"/>
      <w:bookmarkEnd w:id="3994"/>
      <w:bookmarkEnd w:id="3995"/>
      <w:bookmarkEnd w:id="3996"/>
      <w:bookmarkEnd w:id="3997"/>
      <w:bookmarkEnd w:id="3998"/>
      <w:bookmarkEnd w:id="3999"/>
      <w:bookmarkEnd w:id="4000"/>
      <w:bookmarkEnd w:id="4001"/>
      <w:bookmarkEnd w:id="4002"/>
      <w:bookmarkEnd w:id="4003"/>
      <w:bookmarkEnd w:id="4004"/>
      <w:bookmarkEnd w:id="4005"/>
      <w:bookmarkEnd w:id="4006"/>
      <w:bookmarkEnd w:id="4007"/>
      <w:bookmarkEnd w:id="4008"/>
      <w:bookmarkEnd w:id="4009"/>
      <w:bookmarkEnd w:id="4010"/>
      <w:bookmarkEnd w:id="4011"/>
      <w:bookmarkEnd w:id="4012"/>
      <w:bookmarkEnd w:id="4013"/>
      <w:bookmarkEnd w:id="4014"/>
      <w:bookmarkEnd w:id="4015"/>
      <w:bookmarkEnd w:id="4016"/>
      <w:bookmarkEnd w:id="4017"/>
      <w:bookmarkEnd w:id="4018"/>
      <w:bookmarkEnd w:id="4019"/>
      <w:bookmarkEnd w:id="4020"/>
      <w:bookmarkEnd w:id="4021"/>
      <w:bookmarkEnd w:id="4022"/>
      <w:bookmarkEnd w:id="4023"/>
      <w:bookmarkEnd w:id="4024"/>
      <w:bookmarkEnd w:id="4025"/>
      <w:bookmarkEnd w:id="4026"/>
      <w:bookmarkEnd w:id="4027"/>
      <w:bookmarkEnd w:id="4028"/>
      <w:bookmarkEnd w:id="4029"/>
      <w:bookmarkEnd w:id="4030"/>
      <w:bookmarkEnd w:id="4031"/>
      <w:bookmarkEnd w:id="4032"/>
      <w:bookmarkEnd w:id="4033"/>
      <w:bookmarkEnd w:id="4034"/>
      <w:bookmarkEnd w:id="4035"/>
      <w:bookmarkEnd w:id="4036"/>
      <w:bookmarkEnd w:id="4037"/>
      <w:bookmarkEnd w:id="4038"/>
      <w:bookmarkEnd w:id="4039"/>
      <w:bookmarkEnd w:id="4040"/>
      <w:bookmarkEnd w:id="4041"/>
      <w:bookmarkEnd w:id="4042"/>
      <w:bookmarkEnd w:id="4043"/>
      <w:bookmarkEnd w:id="4044"/>
      <w:bookmarkEnd w:id="4045"/>
      <w:bookmarkEnd w:id="4046"/>
      <w:bookmarkEnd w:id="4047"/>
      <w:bookmarkEnd w:id="4048"/>
      <w:bookmarkEnd w:id="4049"/>
      <w:bookmarkEnd w:id="4050"/>
      <w:bookmarkEnd w:id="4051"/>
      <w:bookmarkEnd w:id="4052"/>
      <w:bookmarkEnd w:id="4053"/>
      <w:bookmarkEnd w:id="4054"/>
      <w:bookmarkEnd w:id="4055"/>
      <w:bookmarkEnd w:id="4056"/>
      <w:bookmarkEnd w:id="4057"/>
      <w:bookmarkEnd w:id="4058"/>
      <w:bookmarkEnd w:id="4059"/>
      <w:bookmarkEnd w:id="4060"/>
      <w:bookmarkEnd w:id="4061"/>
      <w:bookmarkEnd w:id="4062"/>
      <w:bookmarkEnd w:id="4063"/>
      <w:bookmarkEnd w:id="4064"/>
      <w:bookmarkEnd w:id="4065"/>
      <w:bookmarkEnd w:id="4066"/>
      <w:bookmarkEnd w:id="4067"/>
      <w:bookmarkEnd w:id="4068"/>
      <w:bookmarkEnd w:id="4069"/>
      <w:bookmarkEnd w:id="4070"/>
      <w:bookmarkEnd w:id="4071"/>
      <w:bookmarkEnd w:id="4072"/>
      <w:bookmarkEnd w:id="4073"/>
      <w:bookmarkEnd w:id="4074"/>
      <w:bookmarkEnd w:id="4075"/>
      <w:bookmarkEnd w:id="4076"/>
      <w:bookmarkEnd w:id="4077"/>
      <w:bookmarkEnd w:id="4078"/>
      <w:bookmarkEnd w:id="4079"/>
      <w:bookmarkEnd w:id="4080"/>
      <w:bookmarkEnd w:id="4081"/>
      <w:bookmarkEnd w:id="4082"/>
      <w:bookmarkEnd w:id="4083"/>
      <w:bookmarkEnd w:id="4084"/>
      <w:bookmarkEnd w:id="4085"/>
      <w:bookmarkEnd w:id="4086"/>
      <w:bookmarkEnd w:id="4087"/>
      <w:bookmarkEnd w:id="4088"/>
      <w:bookmarkEnd w:id="4089"/>
      <w:bookmarkEnd w:id="4090"/>
      <w:bookmarkEnd w:id="4091"/>
      <w:bookmarkEnd w:id="4092"/>
      <w:bookmarkEnd w:id="4093"/>
      <w:bookmarkEnd w:id="4094"/>
      <w:bookmarkEnd w:id="4095"/>
      <w:bookmarkEnd w:id="4096"/>
      <w:bookmarkEnd w:id="4097"/>
      <w:bookmarkEnd w:id="4098"/>
      <w:bookmarkEnd w:id="4099"/>
      <w:bookmarkEnd w:id="4100"/>
      <w:bookmarkEnd w:id="4101"/>
      <w:bookmarkEnd w:id="4102"/>
      <w:bookmarkEnd w:id="4103"/>
      <w:bookmarkEnd w:id="4104"/>
      <w:bookmarkEnd w:id="4105"/>
      <w:bookmarkEnd w:id="4106"/>
      <w:bookmarkEnd w:id="4107"/>
      <w:bookmarkEnd w:id="4108"/>
      <w:bookmarkEnd w:id="4109"/>
      <w:bookmarkEnd w:id="4110"/>
      <w:bookmarkEnd w:id="4111"/>
      <w:bookmarkEnd w:id="4112"/>
      <w:bookmarkEnd w:id="4113"/>
      <w:bookmarkEnd w:id="4114"/>
      <w:bookmarkEnd w:id="4115"/>
      <w:bookmarkEnd w:id="4116"/>
      <w:bookmarkEnd w:id="4117"/>
      <w:bookmarkEnd w:id="4118"/>
      <w:bookmarkEnd w:id="4119"/>
      <w:bookmarkEnd w:id="4120"/>
      <w:bookmarkEnd w:id="4121"/>
      <w:bookmarkEnd w:id="4122"/>
      <w:bookmarkEnd w:id="4123"/>
      <w:bookmarkEnd w:id="4124"/>
      <w:bookmarkEnd w:id="4125"/>
      <w:bookmarkEnd w:id="4126"/>
      <w:bookmarkEnd w:id="4127"/>
      <w:bookmarkEnd w:id="4128"/>
      <w:bookmarkEnd w:id="4129"/>
      <w:bookmarkEnd w:id="4130"/>
      <w:bookmarkEnd w:id="4131"/>
      <w:bookmarkEnd w:id="4132"/>
      <w:bookmarkEnd w:id="4133"/>
      <w:bookmarkEnd w:id="4134"/>
      <w:bookmarkEnd w:id="4135"/>
      <w:bookmarkEnd w:id="4136"/>
      <w:bookmarkEnd w:id="4137"/>
      <w:bookmarkEnd w:id="4138"/>
      <w:bookmarkEnd w:id="4139"/>
      <w:bookmarkEnd w:id="4140"/>
      <w:bookmarkEnd w:id="4141"/>
      <w:bookmarkEnd w:id="4142"/>
      <w:bookmarkEnd w:id="4143"/>
      <w:bookmarkEnd w:id="4144"/>
      <w:bookmarkEnd w:id="4145"/>
      <w:bookmarkEnd w:id="4146"/>
      <w:bookmarkEnd w:id="4147"/>
      <w:bookmarkEnd w:id="4148"/>
      <w:bookmarkEnd w:id="4149"/>
      <w:bookmarkEnd w:id="4150"/>
      <w:bookmarkEnd w:id="4151"/>
      <w:bookmarkEnd w:id="4152"/>
      <w:bookmarkEnd w:id="4153"/>
      <w:bookmarkEnd w:id="4154"/>
      <w:bookmarkEnd w:id="4155"/>
      <w:bookmarkEnd w:id="4156"/>
      <w:bookmarkEnd w:id="4157"/>
      <w:bookmarkEnd w:id="4158"/>
      <w:bookmarkEnd w:id="4159"/>
      <w:bookmarkEnd w:id="4160"/>
      <w:bookmarkEnd w:id="4161"/>
      <w:bookmarkEnd w:id="4162"/>
      <w:bookmarkEnd w:id="4163"/>
      <w:bookmarkEnd w:id="4164"/>
      <w:bookmarkEnd w:id="4165"/>
      <w:bookmarkEnd w:id="4166"/>
      <w:bookmarkEnd w:id="4167"/>
      <w:bookmarkEnd w:id="4168"/>
      <w:bookmarkEnd w:id="4169"/>
      <w:bookmarkEnd w:id="4170"/>
      <w:bookmarkEnd w:id="4171"/>
      <w:bookmarkEnd w:id="4172"/>
      <w:bookmarkEnd w:id="4173"/>
      <w:bookmarkEnd w:id="4174"/>
      <w:bookmarkEnd w:id="4175"/>
      <w:bookmarkEnd w:id="4176"/>
      <w:bookmarkEnd w:id="4177"/>
      <w:bookmarkEnd w:id="4178"/>
      <w:bookmarkEnd w:id="4179"/>
      <w:bookmarkEnd w:id="4180"/>
      <w:bookmarkEnd w:id="4181"/>
      <w:bookmarkEnd w:id="4182"/>
      <w:bookmarkEnd w:id="4183"/>
      <w:bookmarkEnd w:id="4184"/>
      <w:bookmarkEnd w:id="4185"/>
      <w:bookmarkEnd w:id="4186"/>
      <w:bookmarkEnd w:id="4187"/>
      <w:bookmarkEnd w:id="4188"/>
      <w:bookmarkEnd w:id="4189"/>
      <w:bookmarkEnd w:id="4190"/>
      <w:bookmarkEnd w:id="4191"/>
      <w:bookmarkEnd w:id="4192"/>
      <w:bookmarkEnd w:id="4193"/>
      <w:bookmarkEnd w:id="4194"/>
      <w:bookmarkEnd w:id="4195"/>
      <w:bookmarkEnd w:id="4196"/>
      <w:bookmarkEnd w:id="4197"/>
      <w:bookmarkEnd w:id="4198"/>
      <w:bookmarkEnd w:id="4199"/>
      <w:bookmarkEnd w:id="4200"/>
      <w:bookmarkEnd w:id="4201"/>
      <w:bookmarkEnd w:id="4202"/>
      <w:bookmarkEnd w:id="4203"/>
      <w:bookmarkEnd w:id="4204"/>
      <w:bookmarkEnd w:id="4205"/>
      <w:bookmarkEnd w:id="4206"/>
      <w:bookmarkEnd w:id="4207"/>
      <w:bookmarkEnd w:id="4208"/>
      <w:bookmarkEnd w:id="4209"/>
      <w:bookmarkEnd w:id="4210"/>
      <w:bookmarkEnd w:id="4211"/>
      <w:bookmarkEnd w:id="4212"/>
      <w:bookmarkEnd w:id="4213"/>
      <w:bookmarkEnd w:id="4214"/>
      <w:bookmarkEnd w:id="4215"/>
      <w:bookmarkEnd w:id="4216"/>
      <w:bookmarkEnd w:id="4217"/>
      <w:bookmarkEnd w:id="4218"/>
      <w:bookmarkEnd w:id="4219"/>
      <w:bookmarkEnd w:id="4220"/>
      <w:bookmarkEnd w:id="4221"/>
      <w:bookmarkEnd w:id="4222"/>
      <w:bookmarkEnd w:id="4223"/>
      <w:bookmarkEnd w:id="4224"/>
      <w:bookmarkEnd w:id="4225"/>
      <w:bookmarkEnd w:id="4226"/>
      <w:bookmarkEnd w:id="4227"/>
      <w:bookmarkEnd w:id="4228"/>
      <w:bookmarkEnd w:id="4229"/>
      <w:bookmarkEnd w:id="4230"/>
      <w:bookmarkEnd w:id="4231"/>
      <w:bookmarkEnd w:id="4232"/>
      <w:bookmarkEnd w:id="4233"/>
      <w:bookmarkEnd w:id="4234"/>
      <w:bookmarkEnd w:id="4235"/>
      <w:bookmarkEnd w:id="4236"/>
      <w:bookmarkEnd w:id="4237"/>
      <w:bookmarkEnd w:id="4238"/>
      <w:bookmarkEnd w:id="4239"/>
      <w:bookmarkEnd w:id="4240"/>
      <w:bookmarkEnd w:id="4241"/>
      <w:bookmarkEnd w:id="4242"/>
      <w:bookmarkEnd w:id="4243"/>
      <w:bookmarkEnd w:id="4244"/>
      <w:bookmarkEnd w:id="4245"/>
      <w:bookmarkEnd w:id="4246"/>
      <w:bookmarkEnd w:id="4247"/>
      <w:bookmarkEnd w:id="4248"/>
      <w:bookmarkEnd w:id="4249"/>
      <w:bookmarkEnd w:id="4250"/>
      <w:bookmarkEnd w:id="4251"/>
      <w:bookmarkEnd w:id="4252"/>
      <w:bookmarkEnd w:id="4253"/>
      <w:bookmarkEnd w:id="4254"/>
      <w:bookmarkEnd w:id="4255"/>
      <w:bookmarkEnd w:id="4256"/>
      <w:bookmarkEnd w:id="4257"/>
      <w:bookmarkEnd w:id="4258"/>
      <w:bookmarkEnd w:id="4259"/>
      <w:bookmarkEnd w:id="4260"/>
      <w:bookmarkEnd w:id="4261"/>
      <w:bookmarkEnd w:id="4262"/>
      <w:bookmarkEnd w:id="4263"/>
      <w:bookmarkEnd w:id="4264"/>
      <w:bookmarkEnd w:id="4265"/>
      <w:bookmarkEnd w:id="4266"/>
      <w:bookmarkEnd w:id="4267"/>
      <w:bookmarkEnd w:id="4268"/>
      <w:bookmarkEnd w:id="4269"/>
      <w:bookmarkEnd w:id="4270"/>
      <w:bookmarkEnd w:id="4271"/>
      <w:bookmarkEnd w:id="4272"/>
      <w:bookmarkEnd w:id="4273"/>
      <w:bookmarkEnd w:id="4274"/>
      <w:bookmarkEnd w:id="4275"/>
      <w:bookmarkEnd w:id="4276"/>
      <w:bookmarkEnd w:id="4277"/>
      <w:bookmarkEnd w:id="4278"/>
      <w:bookmarkEnd w:id="4279"/>
      <w:bookmarkEnd w:id="4280"/>
      <w:bookmarkEnd w:id="4281"/>
      <w:bookmarkEnd w:id="4282"/>
      <w:bookmarkEnd w:id="4283"/>
      <w:bookmarkEnd w:id="4284"/>
      <w:bookmarkEnd w:id="4285"/>
      <w:bookmarkEnd w:id="4286"/>
      <w:bookmarkEnd w:id="4287"/>
      <w:bookmarkEnd w:id="4288"/>
      <w:bookmarkEnd w:id="4289"/>
      <w:bookmarkEnd w:id="4290"/>
      <w:bookmarkEnd w:id="4291"/>
      <w:bookmarkEnd w:id="4292"/>
      <w:bookmarkEnd w:id="4293"/>
      <w:bookmarkEnd w:id="4294"/>
      <w:bookmarkEnd w:id="4295"/>
      <w:bookmarkEnd w:id="4296"/>
      <w:bookmarkEnd w:id="4297"/>
      <w:bookmarkEnd w:id="4298"/>
      <w:bookmarkEnd w:id="4299"/>
      <w:bookmarkEnd w:id="4300"/>
      <w:bookmarkEnd w:id="4301"/>
      <w:bookmarkEnd w:id="4302"/>
      <w:bookmarkEnd w:id="4303"/>
      <w:bookmarkEnd w:id="4304"/>
      <w:bookmarkEnd w:id="4305"/>
      <w:bookmarkEnd w:id="4306"/>
      <w:bookmarkEnd w:id="4307"/>
      <w:bookmarkEnd w:id="4308"/>
      <w:bookmarkEnd w:id="4309"/>
      <w:bookmarkEnd w:id="4310"/>
      <w:bookmarkEnd w:id="4311"/>
      <w:bookmarkEnd w:id="4312"/>
      <w:bookmarkEnd w:id="4313"/>
      <w:bookmarkEnd w:id="4314"/>
      <w:bookmarkEnd w:id="4315"/>
      <w:bookmarkEnd w:id="4316"/>
      <w:bookmarkEnd w:id="4317"/>
      <w:bookmarkEnd w:id="4318"/>
      <w:bookmarkEnd w:id="4319"/>
      <w:bookmarkEnd w:id="4320"/>
      <w:bookmarkEnd w:id="4321"/>
      <w:bookmarkEnd w:id="4322"/>
      <w:bookmarkEnd w:id="4323"/>
      <w:bookmarkEnd w:id="4324"/>
      <w:bookmarkEnd w:id="4325"/>
      <w:bookmarkEnd w:id="4326"/>
      <w:bookmarkEnd w:id="4327"/>
      <w:bookmarkEnd w:id="4328"/>
      <w:bookmarkEnd w:id="4329"/>
      <w:bookmarkEnd w:id="4330"/>
      <w:bookmarkEnd w:id="4331"/>
      <w:bookmarkEnd w:id="4332"/>
      <w:bookmarkEnd w:id="4333"/>
      <w:bookmarkEnd w:id="4334"/>
      <w:bookmarkEnd w:id="4335"/>
      <w:bookmarkEnd w:id="4336"/>
      <w:bookmarkEnd w:id="4337"/>
      <w:bookmarkEnd w:id="4338"/>
      <w:bookmarkEnd w:id="4339"/>
      <w:bookmarkEnd w:id="4340"/>
      <w:bookmarkEnd w:id="4341"/>
      <w:bookmarkEnd w:id="4342"/>
      <w:bookmarkEnd w:id="4343"/>
      <w:bookmarkEnd w:id="4344"/>
      <w:bookmarkEnd w:id="4345"/>
      <w:bookmarkEnd w:id="4346"/>
      <w:bookmarkEnd w:id="4347"/>
      <w:bookmarkEnd w:id="4348"/>
      <w:bookmarkEnd w:id="4349"/>
      <w:bookmarkEnd w:id="4350"/>
      <w:bookmarkEnd w:id="4351"/>
      <w:bookmarkEnd w:id="4352"/>
      <w:bookmarkEnd w:id="4353"/>
      <w:bookmarkEnd w:id="4354"/>
      <w:bookmarkEnd w:id="4355"/>
      <w:bookmarkEnd w:id="4356"/>
      <w:bookmarkEnd w:id="4357"/>
      <w:bookmarkEnd w:id="4358"/>
      <w:bookmarkEnd w:id="4359"/>
      <w:bookmarkEnd w:id="4360"/>
      <w:bookmarkEnd w:id="4361"/>
      <w:bookmarkEnd w:id="4362"/>
      <w:bookmarkEnd w:id="4363"/>
      <w:bookmarkEnd w:id="4364"/>
      <w:bookmarkEnd w:id="4365"/>
      <w:bookmarkEnd w:id="4366"/>
      <w:bookmarkEnd w:id="4367"/>
      <w:bookmarkEnd w:id="4368"/>
      <w:bookmarkEnd w:id="4369"/>
      <w:bookmarkEnd w:id="4370"/>
      <w:bookmarkEnd w:id="4371"/>
      <w:bookmarkEnd w:id="4372"/>
      <w:bookmarkEnd w:id="4373"/>
      <w:bookmarkEnd w:id="4374"/>
      <w:bookmarkEnd w:id="4375"/>
      <w:bookmarkEnd w:id="4376"/>
      <w:bookmarkEnd w:id="4377"/>
      <w:bookmarkEnd w:id="4378"/>
      <w:bookmarkEnd w:id="4379"/>
      <w:bookmarkEnd w:id="4380"/>
      <w:bookmarkEnd w:id="4381"/>
      <w:bookmarkEnd w:id="4382"/>
      <w:bookmarkEnd w:id="4383"/>
      <w:bookmarkEnd w:id="4384"/>
      <w:bookmarkEnd w:id="4385"/>
      <w:bookmarkEnd w:id="4386"/>
      <w:bookmarkEnd w:id="4387"/>
      <w:bookmarkEnd w:id="4388"/>
      <w:bookmarkEnd w:id="4389"/>
      <w:bookmarkEnd w:id="4390"/>
      <w:bookmarkEnd w:id="4391"/>
      <w:bookmarkEnd w:id="4392"/>
      <w:bookmarkEnd w:id="4393"/>
      <w:bookmarkEnd w:id="4394"/>
      <w:bookmarkEnd w:id="4395"/>
      <w:bookmarkEnd w:id="4396"/>
      <w:bookmarkEnd w:id="4397"/>
      <w:bookmarkEnd w:id="4398"/>
      <w:bookmarkEnd w:id="4399"/>
      <w:bookmarkEnd w:id="4400"/>
      <w:bookmarkEnd w:id="4401"/>
      <w:bookmarkEnd w:id="4402"/>
      <w:bookmarkEnd w:id="4403"/>
      <w:bookmarkEnd w:id="4404"/>
      <w:bookmarkEnd w:id="4405"/>
      <w:bookmarkEnd w:id="4406"/>
      <w:bookmarkEnd w:id="4407"/>
      <w:bookmarkEnd w:id="4408"/>
      <w:bookmarkEnd w:id="4409"/>
      <w:bookmarkEnd w:id="4410"/>
      <w:bookmarkEnd w:id="4411"/>
      <w:bookmarkEnd w:id="4412"/>
      <w:bookmarkEnd w:id="4413"/>
      <w:bookmarkEnd w:id="4414"/>
      <w:bookmarkEnd w:id="4415"/>
      <w:bookmarkEnd w:id="4416"/>
      <w:bookmarkEnd w:id="4417"/>
      <w:bookmarkEnd w:id="4418"/>
      <w:bookmarkEnd w:id="4419"/>
      <w:bookmarkEnd w:id="4420"/>
      <w:bookmarkEnd w:id="4421"/>
      <w:bookmarkEnd w:id="4422"/>
      <w:bookmarkEnd w:id="4423"/>
      <w:bookmarkEnd w:id="4424"/>
      <w:bookmarkEnd w:id="4425"/>
      <w:bookmarkEnd w:id="4426"/>
      <w:bookmarkEnd w:id="4427"/>
      <w:bookmarkEnd w:id="4428"/>
      <w:bookmarkEnd w:id="4429"/>
      <w:bookmarkEnd w:id="4430"/>
      <w:bookmarkEnd w:id="4431"/>
      <w:bookmarkEnd w:id="4432"/>
      <w:bookmarkEnd w:id="4433"/>
      <w:bookmarkEnd w:id="4434"/>
      <w:bookmarkEnd w:id="4435"/>
      <w:bookmarkEnd w:id="4436"/>
      <w:bookmarkEnd w:id="4437"/>
      <w:bookmarkEnd w:id="4438"/>
      <w:bookmarkEnd w:id="4439"/>
      <w:bookmarkEnd w:id="4440"/>
      <w:bookmarkEnd w:id="4441"/>
      <w:bookmarkEnd w:id="4442"/>
      <w:bookmarkEnd w:id="4443"/>
      <w:bookmarkEnd w:id="4444"/>
      <w:bookmarkEnd w:id="4445"/>
      <w:bookmarkEnd w:id="4446"/>
      <w:bookmarkEnd w:id="4447"/>
      <w:bookmarkEnd w:id="4448"/>
      <w:bookmarkEnd w:id="4449"/>
      <w:bookmarkEnd w:id="4450"/>
      <w:bookmarkEnd w:id="4451"/>
      <w:bookmarkEnd w:id="4452"/>
      <w:bookmarkEnd w:id="4453"/>
      <w:bookmarkEnd w:id="4454"/>
      <w:bookmarkEnd w:id="4455"/>
      <w:bookmarkEnd w:id="4456"/>
      <w:bookmarkEnd w:id="4457"/>
      <w:bookmarkEnd w:id="4458"/>
      <w:bookmarkEnd w:id="4459"/>
      <w:bookmarkEnd w:id="4460"/>
      <w:bookmarkEnd w:id="4461"/>
      <w:bookmarkEnd w:id="4462"/>
      <w:bookmarkEnd w:id="4463"/>
      <w:bookmarkEnd w:id="4464"/>
      <w:bookmarkEnd w:id="4465"/>
      <w:bookmarkEnd w:id="4466"/>
      <w:bookmarkEnd w:id="4467"/>
      <w:bookmarkEnd w:id="4468"/>
      <w:bookmarkEnd w:id="4469"/>
      <w:bookmarkEnd w:id="4470"/>
      <w:bookmarkEnd w:id="4471"/>
      <w:bookmarkEnd w:id="4472"/>
      <w:bookmarkEnd w:id="4473"/>
      <w:bookmarkEnd w:id="4474"/>
      <w:bookmarkEnd w:id="4475"/>
      <w:bookmarkEnd w:id="4476"/>
      <w:bookmarkEnd w:id="4477"/>
      <w:bookmarkEnd w:id="4478"/>
      <w:bookmarkEnd w:id="4479"/>
      <w:bookmarkEnd w:id="4480"/>
      <w:r w:rsidRPr="00A52AB8">
        <w:rPr>
          <w:color w:val="000000" w:themeColor="text1"/>
        </w:rPr>
        <w:t>Parsing process</w:t>
      </w:r>
      <w:bookmarkEnd w:id="4481"/>
      <w:bookmarkEnd w:id="4482"/>
    </w:p>
    <w:p w14:paraId="21EA7C91" w14:textId="77777777" w:rsidR="005062B4" w:rsidRPr="00A52AB8" w:rsidRDefault="005062B4" w:rsidP="00CD7999">
      <w:pPr>
        <w:pStyle w:val="Heading2"/>
        <w:rPr>
          <w:color w:val="000000" w:themeColor="text1"/>
        </w:rPr>
      </w:pPr>
      <w:bookmarkStart w:id="4483" w:name="_Ref45106838"/>
      <w:bookmarkStart w:id="4484" w:name="_Ref45106854"/>
      <w:bookmarkStart w:id="4485" w:name="_Toc52181644"/>
      <w:r w:rsidRPr="00A52AB8">
        <w:rPr>
          <w:color w:val="000000" w:themeColor="text1"/>
        </w:rPr>
        <w:t>General</w:t>
      </w:r>
      <w:bookmarkEnd w:id="4483"/>
      <w:bookmarkEnd w:id="4484"/>
      <w:bookmarkEnd w:id="4485"/>
    </w:p>
    <w:p w14:paraId="3BB98E4F" w14:textId="77777777" w:rsidR="005062B4" w:rsidRPr="00A52AB8" w:rsidRDefault="005062B4" w:rsidP="005062B4">
      <w:pPr>
        <w:rPr>
          <w:color w:val="000000" w:themeColor="text1"/>
        </w:rPr>
      </w:pPr>
      <w:r w:rsidRPr="00A52AB8">
        <w:rPr>
          <w:color w:val="000000" w:themeColor="text1"/>
        </w:rPr>
        <w:t>Inputs to this process are bits from the bitstream</w:t>
      </w:r>
    </w:p>
    <w:p w14:paraId="5895390D" w14:textId="77777777" w:rsidR="005062B4" w:rsidRPr="00A52AB8" w:rsidRDefault="005062B4" w:rsidP="005062B4">
      <w:pPr>
        <w:rPr>
          <w:color w:val="000000" w:themeColor="text1"/>
        </w:rPr>
      </w:pPr>
      <w:r w:rsidRPr="00A52AB8">
        <w:rPr>
          <w:color w:val="000000" w:themeColor="text1"/>
        </w:rPr>
        <w:t>Outputs of this process are syntax element values.</w:t>
      </w:r>
    </w:p>
    <w:p w14:paraId="6FBA8515" w14:textId="2D93A819" w:rsidR="005062B4" w:rsidRPr="00A52AB8" w:rsidRDefault="005062B4" w:rsidP="005062B4">
      <w:pPr>
        <w:rPr>
          <w:color w:val="000000" w:themeColor="text1"/>
        </w:rPr>
      </w:pPr>
      <w:r w:rsidRPr="00A52AB8">
        <w:rPr>
          <w:color w:val="000000" w:themeColor="text1"/>
        </w:rPr>
        <w:t xml:space="preserve">This process is invoked when the descriptor of a syntax element in the syntax tables is equal to ue(v) or se(v) (see </w:t>
      </w:r>
      <w:r w:rsidR="00406A86" w:rsidRPr="00A52AB8">
        <w:rPr>
          <w:color w:val="000000" w:themeColor="text1"/>
        </w:rPr>
        <w:t>subclause</w:t>
      </w:r>
      <w:r w:rsidR="005A6EF4" w:rsidRPr="00A52AB8">
        <w:rPr>
          <w:color w:val="000000" w:themeColor="text1"/>
        </w:rPr>
        <w:t> </w:t>
      </w:r>
      <w:r w:rsidR="00C711CA" w:rsidRPr="00496A4D">
        <w:rPr>
          <w:color w:val="000000" w:themeColor="text1"/>
        </w:rPr>
        <w:fldChar w:fldCharType="begin"/>
      </w:r>
      <w:r w:rsidR="00C711CA" w:rsidRPr="00A52AB8">
        <w:rPr>
          <w:color w:val="000000" w:themeColor="text1"/>
        </w:rPr>
        <w:instrText xml:space="preserve"> REF _Ref39813813 \r \h </w:instrText>
      </w:r>
      <w:r w:rsidR="00CA5401" w:rsidRPr="00A52AB8">
        <w:rPr>
          <w:color w:val="000000" w:themeColor="text1"/>
        </w:rPr>
        <w:instrText xml:space="preserve"> \* MERGEFORMAT </w:instrText>
      </w:r>
      <w:r w:rsidR="00C711CA" w:rsidRPr="00496A4D">
        <w:rPr>
          <w:color w:val="000000" w:themeColor="text1"/>
        </w:rPr>
      </w:r>
      <w:r w:rsidR="00C711CA" w:rsidRPr="00496A4D">
        <w:rPr>
          <w:color w:val="000000" w:themeColor="text1"/>
        </w:rPr>
        <w:fldChar w:fldCharType="separate"/>
      </w:r>
      <w:r w:rsidR="00507A67">
        <w:rPr>
          <w:color w:val="000000" w:themeColor="text1"/>
        </w:rPr>
        <w:t>14.2</w:t>
      </w:r>
      <w:r w:rsidR="00C711CA" w:rsidRPr="00496A4D">
        <w:rPr>
          <w:color w:val="000000" w:themeColor="text1"/>
        </w:rPr>
        <w:fldChar w:fldCharType="end"/>
      </w:r>
      <w:r w:rsidRPr="00A52AB8">
        <w:rPr>
          <w:color w:val="000000" w:themeColor="text1"/>
        </w:rPr>
        <w:t>).</w:t>
      </w:r>
    </w:p>
    <w:p w14:paraId="61905CE8" w14:textId="77777777" w:rsidR="005062B4" w:rsidRPr="00A52AB8" w:rsidRDefault="005062B4" w:rsidP="00CD7999">
      <w:pPr>
        <w:pStyle w:val="Heading2"/>
        <w:rPr>
          <w:color w:val="000000" w:themeColor="text1"/>
        </w:rPr>
      </w:pPr>
      <w:bookmarkStart w:id="4486" w:name="_Ref39811754"/>
      <w:bookmarkStart w:id="4487" w:name="_Ref39811776"/>
      <w:bookmarkStart w:id="4488" w:name="_Ref39813813"/>
      <w:bookmarkStart w:id="4489" w:name="_Toc52181645"/>
      <w:r w:rsidRPr="00A52AB8">
        <w:rPr>
          <w:color w:val="000000" w:themeColor="text1"/>
        </w:rPr>
        <w:t>Parsing process for 0-th order Exp-Golomb codes</w:t>
      </w:r>
      <w:bookmarkEnd w:id="4486"/>
      <w:bookmarkEnd w:id="4487"/>
      <w:bookmarkEnd w:id="4488"/>
      <w:bookmarkEnd w:id="4489"/>
    </w:p>
    <w:p w14:paraId="7A4907DF" w14:textId="77777777" w:rsidR="005062B4" w:rsidRPr="00A52AB8" w:rsidRDefault="005062B4" w:rsidP="005062B4">
      <w:pPr>
        <w:pStyle w:val="Heading3"/>
      </w:pPr>
      <w:bookmarkStart w:id="4490" w:name="_Toc52181646"/>
      <w:r w:rsidRPr="00A52AB8">
        <w:t>General</w:t>
      </w:r>
      <w:bookmarkEnd w:id="4490"/>
    </w:p>
    <w:p w14:paraId="5EBFDCD0" w14:textId="77777777" w:rsidR="005062B4" w:rsidRPr="00A52AB8" w:rsidRDefault="005062B4" w:rsidP="005062B4">
      <w:pPr>
        <w:rPr>
          <w:color w:val="000000" w:themeColor="text1"/>
        </w:rPr>
      </w:pPr>
      <w:r w:rsidRPr="00A52AB8">
        <w:rPr>
          <w:color w:val="000000" w:themeColor="text1"/>
        </w:rPr>
        <w:t>This process is invoked when the descriptor of a syntax element in the syntax tables is equal to ue(v) or se(v).</w:t>
      </w:r>
    </w:p>
    <w:p w14:paraId="0186F97F" w14:textId="77777777" w:rsidR="005062B4" w:rsidRPr="00A52AB8" w:rsidRDefault="005062B4" w:rsidP="005062B4">
      <w:pPr>
        <w:rPr>
          <w:color w:val="000000" w:themeColor="text1"/>
        </w:rPr>
      </w:pPr>
      <w:r w:rsidRPr="00A52AB8">
        <w:rPr>
          <w:color w:val="000000" w:themeColor="text1"/>
        </w:rPr>
        <w:t>Inputs to this process are bits from the bitstream.</w:t>
      </w:r>
    </w:p>
    <w:p w14:paraId="321E4020" w14:textId="77777777" w:rsidR="005062B4" w:rsidRPr="00A52AB8" w:rsidRDefault="005062B4" w:rsidP="005062B4">
      <w:pPr>
        <w:rPr>
          <w:color w:val="000000" w:themeColor="text1"/>
        </w:rPr>
      </w:pPr>
      <w:r w:rsidRPr="00A52AB8">
        <w:rPr>
          <w:color w:val="000000" w:themeColor="text1"/>
        </w:rPr>
        <w:t>Outputs of this process are syntax element values.</w:t>
      </w:r>
    </w:p>
    <w:p w14:paraId="4D8ECDF0" w14:textId="77777777" w:rsidR="005062B4" w:rsidRPr="00A52AB8" w:rsidRDefault="005062B4" w:rsidP="005062B4">
      <w:pPr>
        <w:rPr>
          <w:color w:val="000000" w:themeColor="text1"/>
        </w:rPr>
      </w:pPr>
      <w:r w:rsidRPr="00A52AB8">
        <w:rPr>
          <w:color w:val="000000" w:themeColor="text1"/>
        </w:rPr>
        <w:t>Syntax elements coded as ue(v) or se(v) are Exp-Golomb-coded. The parsing process for these syntax elements begins with reading the bits starting at the current location in the bitstream up to and including the first non-zero bit and counting the number of leading bits that are equal to 0. This process is specified as follows:</w:t>
      </w:r>
    </w:p>
    <w:p w14:paraId="7A7F4C02" w14:textId="5BB30DEC" w:rsidR="005062B4" w:rsidRPr="00A52AB8" w:rsidRDefault="00BB59C2" w:rsidP="00406C76">
      <w:r w:rsidRPr="00A52AB8">
        <w:tab/>
      </w:r>
      <w:r w:rsidR="005062B4" w:rsidRPr="00A52AB8">
        <w:t>leadingZeroBits</w:t>
      </w:r>
      <w:r w:rsidR="00D47707" w:rsidRPr="00A52AB8">
        <w:t> = </w:t>
      </w:r>
      <w:r w:rsidR="005062B4" w:rsidRPr="00A52AB8">
        <w:t>−1</w:t>
      </w:r>
      <w:r w:rsidR="007E1E3B" w:rsidRPr="00A52AB8">
        <w:br/>
      </w:r>
      <w:r w:rsidRPr="00A52AB8">
        <w:tab/>
      </w:r>
      <w:r w:rsidR="005062B4" w:rsidRPr="00A52AB8">
        <w:t>for(</w:t>
      </w:r>
      <w:r w:rsidRPr="00A52AB8">
        <w:t> </w:t>
      </w:r>
      <w:r w:rsidR="005062B4" w:rsidRPr="00A52AB8">
        <w:t>b</w:t>
      </w:r>
      <w:r w:rsidR="00D47707" w:rsidRPr="00A52AB8">
        <w:t> = </w:t>
      </w:r>
      <w:r w:rsidR="005062B4" w:rsidRPr="00A52AB8">
        <w:t>0;</w:t>
      </w:r>
      <w:r w:rsidRPr="00A52AB8">
        <w:t> </w:t>
      </w:r>
      <w:r w:rsidR="005062B4" w:rsidRPr="00A52AB8">
        <w:t>!b;</w:t>
      </w:r>
      <w:r w:rsidRPr="00A52AB8">
        <w:t> </w:t>
      </w:r>
      <w:r w:rsidR="005062B4" w:rsidRPr="00A52AB8">
        <w:t>leadingZeroBits</w:t>
      </w:r>
      <w:r w:rsidR="00006CCF" w:rsidRPr="00A52AB8">
        <w:t>++ )</w:t>
      </w:r>
      <w:r w:rsidR="005062B4" w:rsidRPr="00A52AB8">
        <w:tab/>
      </w:r>
      <w:r w:rsidR="007E1E3B" w:rsidRPr="00A52AB8">
        <w:tab/>
      </w:r>
      <w:r w:rsidR="007E1E3B" w:rsidRPr="00A52AB8">
        <w:tab/>
      </w:r>
      <w:r w:rsidR="007E1E3B" w:rsidRPr="00A52AB8">
        <w:tab/>
      </w:r>
      <w:r w:rsidR="005062B4" w:rsidRPr="00A52AB8">
        <w:t>(</w:t>
      </w:r>
      <w:r w:rsidR="005062B4" w:rsidRPr="00496A4D">
        <w:fldChar w:fldCharType="begin"/>
      </w:r>
      <w:r w:rsidR="005062B4" w:rsidRPr="00A52AB8">
        <w:instrText xml:space="preserve"> </w:instrText>
      </w:r>
      <w:r w:rsidR="00646520" w:rsidRPr="00A52AB8">
        <w:instrText>SEQ Equation \* ARABIC \n</w:instrText>
      </w:r>
      <w:r w:rsidR="005062B4" w:rsidRPr="00A52AB8">
        <w:instrText xml:space="preserve"> </w:instrText>
      </w:r>
      <w:r w:rsidR="005062B4" w:rsidRPr="00496A4D">
        <w:fldChar w:fldCharType="separate"/>
      </w:r>
      <w:r w:rsidR="00507A67">
        <w:rPr>
          <w:noProof/>
        </w:rPr>
        <w:t>166</w:t>
      </w:r>
      <w:r w:rsidR="005062B4" w:rsidRPr="00496A4D">
        <w:fldChar w:fldCharType="end"/>
      </w:r>
      <w:r w:rsidR="005062B4" w:rsidRPr="00A52AB8">
        <w:t>)</w:t>
      </w:r>
      <w:r w:rsidR="005062B4" w:rsidRPr="00A52AB8">
        <w:br/>
      </w:r>
      <w:r w:rsidR="005062B4" w:rsidRPr="00A52AB8">
        <w:tab/>
      </w:r>
      <w:r w:rsidRPr="00A52AB8">
        <w:tab/>
      </w:r>
      <w:r w:rsidR="005062B4" w:rsidRPr="00A52AB8">
        <w:t>b</w:t>
      </w:r>
      <w:r w:rsidR="00D47707" w:rsidRPr="00A52AB8">
        <w:t> = </w:t>
      </w:r>
      <w:r w:rsidR="005062B4" w:rsidRPr="00A52AB8">
        <w:t>read_bits( 1 )</w:t>
      </w:r>
    </w:p>
    <w:p w14:paraId="0093ECC1" w14:textId="77777777" w:rsidR="005062B4" w:rsidRPr="00A52AB8" w:rsidRDefault="005062B4" w:rsidP="005062B4">
      <w:pPr>
        <w:rPr>
          <w:color w:val="000000" w:themeColor="text1"/>
        </w:rPr>
      </w:pPr>
      <w:r w:rsidRPr="00A52AB8">
        <w:rPr>
          <w:color w:val="000000" w:themeColor="text1"/>
        </w:rPr>
        <w:t>The variable codeNum is then assigned as follows:</w:t>
      </w:r>
    </w:p>
    <w:p w14:paraId="45EE5DB0" w14:textId="63F06F93" w:rsidR="005062B4" w:rsidRPr="00A52AB8" w:rsidRDefault="005C2DB6" w:rsidP="00406C76">
      <w:r w:rsidRPr="00A52AB8">
        <w:tab/>
      </w:r>
      <w:r w:rsidR="005062B4" w:rsidRPr="00A52AB8">
        <w:t>codeNum</w:t>
      </w:r>
      <w:r w:rsidR="00D47707" w:rsidRPr="00A52AB8">
        <w:t> = </w:t>
      </w:r>
      <w:r w:rsidR="005062B4" w:rsidRPr="00A52AB8">
        <w:t>2</w:t>
      </w:r>
      <w:r w:rsidR="005062B4" w:rsidRPr="00A52AB8">
        <w:rPr>
          <w:vertAlign w:val="superscript"/>
        </w:rPr>
        <w:t>leadingZeroBits</w:t>
      </w:r>
      <w:r w:rsidRPr="00A52AB8">
        <w:t> – </w:t>
      </w:r>
      <w:r w:rsidR="005062B4" w:rsidRPr="00A52AB8">
        <w:t>1</w:t>
      </w:r>
      <w:r w:rsidRPr="00A52AB8">
        <w:t> </w:t>
      </w:r>
      <w:r w:rsidR="005062B4" w:rsidRPr="00A52AB8">
        <w:t>+</w:t>
      </w:r>
      <w:r w:rsidRPr="00A52AB8">
        <w:t> </w:t>
      </w:r>
      <w:r w:rsidR="005062B4" w:rsidRPr="00A52AB8">
        <w:t>read_bits( leadingZeroBits )</w:t>
      </w:r>
      <w:r w:rsidR="005062B4" w:rsidRPr="00A52AB8">
        <w:tab/>
        <w:t>(</w:t>
      </w:r>
      <w:r w:rsidR="005062B4" w:rsidRPr="00496A4D">
        <w:fldChar w:fldCharType="begin"/>
      </w:r>
      <w:r w:rsidR="005062B4" w:rsidRPr="00A52AB8">
        <w:instrText xml:space="preserve"> </w:instrText>
      </w:r>
      <w:r w:rsidR="00646520" w:rsidRPr="00A52AB8">
        <w:instrText>SEQ Equation \* ARABIC \n</w:instrText>
      </w:r>
      <w:r w:rsidR="005062B4" w:rsidRPr="00A52AB8">
        <w:instrText xml:space="preserve"> </w:instrText>
      </w:r>
      <w:r w:rsidR="005062B4" w:rsidRPr="00496A4D">
        <w:fldChar w:fldCharType="separate"/>
      </w:r>
      <w:r w:rsidR="00507A67">
        <w:rPr>
          <w:noProof/>
        </w:rPr>
        <w:t>167</w:t>
      </w:r>
      <w:r w:rsidR="005062B4" w:rsidRPr="00496A4D">
        <w:fldChar w:fldCharType="end"/>
      </w:r>
      <w:r w:rsidR="005062B4" w:rsidRPr="00A52AB8">
        <w:t>)</w:t>
      </w:r>
    </w:p>
    <w:p w14:paraId="648CFDE8" w14:textId="77777777" w:rsidR="005062B4" w:rsidRPr="00A52AB8" w:rsidRDefault="005062B4" w:rsidP="005062B4">
      <w:pPr>
        <w:rPr>
          <w:color w:val="000000" w:themeColor="text1"/>
        </w:rPr>
      </w:pPr>
      <w:r w:rsidRPr="00A52AB8">
        <w:rPr>
          <w:color w:val="000000" w:themeColor="text1"/>
        </w:rPr>
        <w:t>where the value returned from read_bits( leadingZeroBits ) is interpreted as a binary representation of an unsigned integer with the most significant bit written first.</w:t>
      </w:r>
    </w:p>
    <w:p w14:paraId="0FF591D7" w14:textId="2AAAD2A2" w:rsidR="005062B4" w:rsidRPr="00A52AB8" w:rsidRDefault="00CF1000" w:rsidP="005062B4">
      <w:pPr>
        <w:rPr>
          <w:color w:val="000000" w:themeColor="text1"/>
        </w:rPr>
      </w:pPr>
      <w:r w:rsidRPr="00496A4D">
        <w:rPr>
          <w:color w:val="000000" w:themeColor="text1"/>
        </w:rPr>
        <w:fldChar w:fldCharType="begin"/>
      </w:r>
      <w:r w:rsidRPr="00A52AB8">
        <w:rPr>
          <w:color w:val="000000" w:themeColor="text1"/>
        </w:rPr>
        <w:instrText xml:space="preserve"> REF _Ref45106039 \h </w:instrText>
      </w:r>
      <w:r w:rsidR="00CA5401"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sidRPr="00A52AB8">
        <w:t xml:space="preserve">Table </w:t>
      </w:r>
      <w:r w:rsidR="00507A67">
        <w:t>12</w:t>
      </w:r>
      <w:r w:rsidRPr="00496A4D">
        <w:rPr>
          <w:color w:val="000000" w:themeColor="text1"/>
        </w:rPr>
        <w:fldChar w:fldCharType="end"/>
      </w:r>
      <w:r w:rsidRPr="00A52AB8">
        <w:rPr>
          <w:color w:val="000000" w:themeColor="text1"/>
        </w:rPr>
        <w:t xml:space="preserve"> </w:t>
      </w:r>
      <w:r w:rsidR="005062B4" w:rsidRPr="00A52AB8">
        <w:rPr>
          <w:color w:val="000000" w:themeColor="text1"/>
        </w:rPr>
        <w:t>illustrates the structure of the Exp-Golomb code by separating the bit string into "prefix" and "suffix" bits. The "prefix" bits are those bits that are parsed as specified above for the computation of leadingZeroBits and are shown as either 0 or 1 in the bit string column</w:t>
      </w:r>
      <w:r w:rsidR="00845A6B" w:rsidRPr="00A52AB8">
        <w:rPr>
          <w:color w:val="000000" w:themeColor="text1"/>
        </w:rPr>
        <w:t xml:space="preserve"> of </w:t>
      </w:r>
      <w:r w:rsidR="00845A6B" w:rsidRPr="00496A4D">
        <w:rPr>
          <w:color w:val="000000" w:themeColor="text1"/>
        </w:rPr>
        <w:fldChar w:fldCharType="begin"/>
      </w:r>
      <w:r w:rsidR="00845A6B" w:rsidRPr="00A52AB8">
        <w:rPr>
          <w:color w:val="000000" w:themeColor="text1"/>
        </w:rPr>
        <w:instrText xml:space="preserve"> REF _Ref45106039 \h </w:instrText>
      </w:r>
      <w:r w:rsidR="00CA5401" w:rsidRPr="00A52AB8">
        <w:rPr>
          <w:color w:val="000000" w:themeColor="text1"/>
        </w:rPr>
        <w:instrText xml:space="preserve"> \* MERGEFORMAT </w:instrText>
      </w:r>
      <w:r w:rsidR="00845A6B" w:rsidRPr="00496A4D">
        <w:rPr>
          <w:color w:val="000000" w:themeColor="text1"/>
        </w:rPr>
      </w:r>
      <w:r w:rsidR="00845A6B" w:rsidRPr="00496A4D">
        <w:rPr>
          <w:color w:val="000000" w:themeColor="text1"/>
        </w:rPr>
        <w:fldChar w:fldCharType="separate"/>
      </w:r>
      <w:r w:rsidR="00507A67" w:rsidRPr="00A52AB8">
        <w:t xml:space="preserve">Table </w:t>
      </w:r>
      <w:r w:rsidR="00507A67">
        <w:t>12</w:t>
      </w:r>
      <w:r w:rsidR="00845A6B" w:rsidRPr="00496A4D">
        <w:rPr>
          <w:color w:val="000000" w:themeColor="text1"/>
        </w:rPr>
        <w:fldChar w:fldCharType="end"/>
      </w:r>
      <w:r w:rsidR="005062B4" w:rsidRPr="00A52AB8">
        <w:rPr>
          <w:color w:val="000000" w:themeColor="text1"/>
        </w:rPr>
        <w:t>. The "suffix" bits are those bits that are parsed in the computation of codeNum and are shown as x</w:t>
      </w:r>
      <w:r w:rsidR="005062B4" w:rsidRPr="00A52AB8">
        <w:rPr>
          <w:color w:val="000000" w:themeColor="text1"/>
          <w:vertAlign w:val="subscript"/>
        </w:rPr>
        <w:t>i</w:t>
      </w:r>
      <w:r w:rsidR="005062B4" w:rsidRPr="00A52AB8">
        <w:rPr>
          <w:color w:val="000000" w:themeColor="text1"/>
        </w:rPr>
        <w:t xml:space="preserve"> in </w:t>
      </w:r>
      <w:r w:rsidR="00845A6B" w:rsidRPr="00496A4D">
        <w:rPr>
          <w:color w:val="000000" w:themeColor="text1"/>
        </w:rPr>
        <w:fldChar w:fldCharType="begin"/>
      </w:r>
      <w:r w:rsidR="00845A6B" w:rsidRPr="00A52AB8">
        <w:rPr>
          <w:color w:val="000000" w:themeColor="text1"/>
        </w:rPr>
        <w:instrText xml:space="preserve"> REF _Ref45106039 \h </w:instrText>
      </w:r>
      <w:r w:rsidR="00CA5401" w:rsidRPr="00A52AB8">
        <w:rPr>
          <w:color w:val="000000" w:themeColor="text1"/>
        </w:rPr>
        <w:instrText xml:space="preserve"> \* MERGEFORMAT </w:instrText>
      </w:r>
      <w:r w:rsidR="00845A6B" w:rsidRPr="00496A4D">
        <w:rPr>
          <w:color w:val="000000" w:themeColor="text1"/>
        </w:rPr>
      </w:r>
      <w:r w:rsidR="00845A6B" w:rsidRPr="00496A4D">
        <w:rPr>
          <w:color w:val="000000" w:themeColor="text1"/>
        </w:rPr>
        <w:fldChar w:fldCharType="separate"/>
      </w:r>
      <w:r w:rsidR="00507A67" w:rsidRPr="00A52AB8">
        <w:t xml:space="preserve">Table </w:t>
      </w:r>
      <w:r w:rsidR="00507A67">
        <w:t>12</w:t>
      </w:r>
      <w:r w:rsidR="00845A6B" w:rsidRPr="00496A4D">
        <w:rPr>
          <w:color w:val="000000" w:themeColor="text1"/>
        </w:rPr>
        <w:fldChar w:fldCharType="end"/>
      </w:r>
      <w:r w:rsidR="00845A6B" w:rsidRPr="00A52AB8">
        <w:rPr>
          <w:color w:val="000000" w:themeColor="text1"/>
        </w:rPr>
        <w:t xml:space="preserve">, </w:t>
      </w:r>
      <w:r w:rsidR="005062B4" w:rsidRPr="00A52AB8">
        <w:rPr>
          <w:color w:val="000000" w:themeColor="text1"/>
        </w:rPr>
        <w:t>with i in the range of 0 to leadingZeroBits − 1, inclusive. Each x</w:t>
      </w:r>
      <w:r w:rsidR="005062B4" w:rsidRPr="00A52AB8">
        <w:rPr>
          <w:color w:val="000000" w:themeColor="text1"/>
          <w:vertAlign w:val="subscript"/>
        </w:rPr>
        <w:t>i</w:t>
      </w:r>
      <w:r w:rsidR="005062B4" w:rsidRPr="00A52AB8">
        <w:rPr>
          <w:color w:val="000000" w:themeColor="text1"/>
        </w:rPr>
        <w:t xml:space="preserve"> is equal to either 0 or 1.</w:t>
      </w:r>
    </w:p>
    <w:p w14:paraId="5AE88F70" w14:textId="6F6898AA" w:rsidR="006C08BB" w:rsidRPr="00A52AB8" w:rsidRDefault="006C08BB" w:rsidP="00792CFF">
      <w:pPr>
        <w:pStyle w:val="Caption"/>
        <w:rPr>
          <w:rFonts w:ascii="Cambria" w:hAnsi="Cambria"/>
          <w:color w:val="000000" w:themeColor="text1"/>
        </w:rPr>
      </w:pPr>
      <w:bookmarkStart w:id="4491" w:name="_Ref45106039"/>
      <w:bookmarkStart w:id="4492" w:name="_Ref45106038"/>
      <w:r w:rsidRPr="00A52AB8">
        <w:rPr>
          <w:rFonts w:ascii="Cambria" w:hAnsi="Cambria"/>
        </w:rPr>
        <w:t xml:space="preserve">Table </w:t>
      </w:r>
      <w:r w:rsidRPr="00496A4D">
        <w:rPr>
          <w:rFonts w:ascii="Cambria" w:hAnsi="Cambria"/>
        </w:rPr>
        <w:fldChar w:fldCharType="begin"/>
      </w:r>
      <w:r w:rsidRPr="00A52AB8">
        <w:rPr>
          <w:rFonts w:ascii="Cambria" w:hAnsi="Cambria"/>
        </w:rPr>
        <w:instrText xml:space="preserve"> SEQ Table \* ARABIC </w:instrText>
      </w:r>
      <w:r w:rsidR="00221F10" w:rsidRPr="00A52AB8">
        <w:rPr>
          <w:rFonts w:ascii="Cambria" w:hAnsi="Cambria"/>
        </w:rPr>
        <w:instrText>\n</w:instrText>
      </w:r>
      <w:r w:rsidRPr="00496A4D">
        <w:rPr>
          <w:rFonts w:ascii="Cambria" w:hAnsi="Cambria"/>
        </w:rPr>
        <w:fldChar w:fldCharType="separate"/>
      </w:r>
      <w:r w:rsidR="00507A67">
        <w:rPr>
          <w:rFonts w:ascii="Cambria" w:hAnsi="Cambria"/>
          <w:noProof/>
        </w:rPr>
        <w:t>12</w:t>
      </w:r>
      <w:r w:rsidRPr="00496A4D">
        <w:rPr>
          <w:rFonts w:ascii="Cambria" w:hAnsi="Cambria"/>
        </w:rPr>
        <w:fldChar w:fldCharType="end"/>
      </w:r>
      <w:bookmarkEnd w:id="4491"/>
      <w:r w:rsidR="001604C8" w:rsidRPr="00A52AB8">
        <w:rPr>
          <w:rFonts w:ascii="Cambria" w:hAnsi="Cambria" w:cs="Calibri"/>
          <w:bCs w:val="0"/>
        </w:rPr>
        <w:t> </w:t>
      </w:r>
      <w:r w:rsidR="001604C8" w:rsidRPr="00A52AB8">
        <w:rPr>
          <w:rFonts w:ascii="Cambria" w:hAnsi="Cambria"/>
        </w:rPr>
        <w:t>– </w:t>
      </w:r>
      <w:r w:rsidRPr="00A52AB8">
        <w:rPr>
          <w:rFonts w:ascii="Cambria" w:eastAsiaTheme="minorEastAsia" w:hAnsi="Cambria"/>
          <w:color w:val="000000" w:themeColor="text1"/>
          <w:lang w:eastAsia="ja-JP"/>
        </w:rPr>
        <w:t>Bit strings with "prefix" and "suffix" bits and assignment to codeNum ranges</w:t>
      </w:r>
      <w:bookmarkEnd w:id="4492"/>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92"/>
        <w:gridCol w:w="1764"/>
      </w:tblGrid>
      <w:tr w:rsidR="005062B4" w:rsidRPr="00A52AB8" w14:paraId="005D65C7" w14:textId="77777777" w:rsidTr="001B0754">
        <w:trPr>
          <w:jc w:val="center"/>
        </w:trPr>
        <w:tc>
          <w:tcPr>
            <w:tcW w:w="0" w:type="auto"/>
            <w:tcMar>
              <w:left w:w="115" w:type="dxa"/>
              <w:right w:w="115" w:type="dxa"/>
            </w:tcMar>
          </w:tcPr>
          <w:p w14:paraId="26D3AD95" w14:textId="77777777" w:rsidR="005062B4" w:rsidRPr="00A52AB8" w:rsidRDefault="005062B4" w:rsidP="001B0754">
            <w:pPr>
              <w:pStyle w:val="TableText"/>
              <w:keepNext/>
              <w:jc w:val="center"/>
              <w:rPr>
                <w:rFonts w:ascii="Cambria" w:hAnsi="Cambria"/>
                <w:b/>
                <w:bCs/>
                <w:color w:val="000000" w:themeColor="text1"/>
              </w:rPr>
            </w:pPr>
            <w:r w:rsidRPr="00A52AB8">
              <w:rPr>
                <w:rFonts w:ascii="Cambria" w:hAnsi="Cambria"/>
                <w:b/>
                <w:bCs/>
                <w:color w:val="000000" w:themeColor="text1"/>
              </w:rPr>
              <w:t>Bit string form</w:t>
            </w:r>
          </w:p>
        </w:tc>
        <w:tc>
          <w:tcPr>
            <w:tcW w:w="0" w:type="auto"/>
            <w:tcMar>
              <w:left w:w="115" w:type="dxa"/>
              <w:right w:w="115" w:type="dxa"/>
            </w:tcMar>
          </w:tcPr>
          <w:p w14:paraId="21B6E434" w14:textId="77777777" w:rsidR="005062B4" w:rsidRPr="00A52AB8" w:rsidRDefault="005062B4" w:rsidP="001B0754">
            <w:pPr>
              <w:pStyle w:val="TableText"/>
              <w:keepNext/>
              <w:jc w:val="center"/>
              <w:rPr>
                <w:rFonts w:ascii="Cambria" w:hAnsi="Cambria"/>
                <w:b/>
                <w:bCs/>
                <w:color w:val="000000" w:themeColor="text1"/>
              </w:rPr>
            </w:pPr>
            <w:r w:rsidRPr="00A52AB8">
              <w:rPr>
                <w:rFonts w:ascii="Cambria" w:hAnsi="Cambria"/>
                <w:b/>
                <w:bCs/>
                <w:color w:val="000000" w:themeColor="text1"/>
              </w:rPr>
              <w:t>Range of codeNum</w:t>
            </w:r>
          </w:p>
        </w:tc>
      </w:tr>
      <w:tr w:rsidR="005062B4" w:rsidRPr="00A52AB8" w14:paraId="62087A51" w14:textId="77777777" w:rsidTr="001B0754">
        <w:trPr>
          <w:jc w:val="center"/>
        </w:trPr>
        <w:tc>
          <w:tcPr>
            <w:tcW w:w="0" w:type="auto"/>
            <w:tcMar>
              <w:left w:w="115" w:type="dxa"/>
              <w:right w:w="115" w:type="dxa"/>
            </w:tcMar>
          </w:tcPr>
          <w:p w14:paraId="1A163054" w14:textId="77777777" w:rsidR="005062B4" w:rsidRPr="00A52AB8" w:rsidRDefault="005062B4" w:rsidP="001B0754">
            <w:pPr>
              <w:pStyle w:val="TableText"/>
              <w:keepNext/>
              <w:jc w:val="center"/>
              <w:rPr>
                <w:rFonts w:ascii="Cambria" w:hAnsi="Cambria"/>
                <w:color w:val="000000" w:themeColor="text1"/>
              </w:rPr>
            </w:pPr>
            <w:r w:rsidRPr="00A52AB8">
              <w:rPr>
                <w:rFonts w:ascii="Cambria" w:hAnsi="Cambria"/>
                <w:color w:val="000000" w:themeColor="text1"/>
              </w:rPr>
              <w:t>1</w:t>
            </w:r>
          </w:p>
        </w:tc>
        <w:tc>
          <w:tcPr>
            <w:tcW w:w="0" w:type="auto"/>
            <w:tcMar>
              <w:left w:w="115" w:type="dxa"/>
              <w:right w:w="115" w:type="dxa"/>
            </w:tcMar>
          </w:tcPr>
          <w:p w14:paraId="6048C05C" w14:textId="77777777" w:rsidR="005062B4" w:rsidRPr="00A52AB8" w:rsidRDefault="005062B4" w:rsidP="001B0754">
            <w:pPr>
              <w:pStyle w:val="TableText"/>
              <w:keepNext/>
              <w:jc w:val="center"/>
              <w:rPr>
                <w:rFonts w:ascii="Cambria" w:hAnsi="Cambria"/>
                <w:color w:val="000000" w:themeColor="text1"/>
              </w:rPr>
            </w:pPr>
            <w:r w:rsidRPr="00A52AB8">
              <w:rPr>
                <w:rFonts w:ascii="Cambria" w:hAnsi="Cambria"/>
                <w:color w:val="000000" w:themeColor="text1"/>
              </w:rPr>
              <w:t>0</w:t>
            </w:r>
          </w:p>
        </w:tc>
      </w:tr>
      <w:tr w:rsidR="005062B4" w:rsidRPr="00A52AB8" w14:paraId="34AB88EF" w14:textId="77777777" w:rsidTr="001B0754">
        <w:trPr>
          <w:jc w:val="center"/>
        </w:trPr>
        <w:tc>
          <w:tcPr>
            <w:tcW w:w="0" w:type="auto"/>
            <w:tcMar>
              <w:left w:w="115" w:type="dxa"/>
              <w:right w:w="115" w:type="dxa"/>
            </w:tcMar>
          </w:tcPr>
          <w:p w14:paraId="7A49733A" w14:textId="77777777" w:rsidR="005062B4" w:rsidRPr="00A52AB8" w:rsidRDefault="005062B4" w:rsidP="001B0754">
            <w:pPr>
              <w:pStyle w:val="TableText"/>
              <w:keepNext/>
              <w:jc w:val="center"/>
              <w:rPr>
                <w:rFonts w:ascii="Cambria" w:hAnsi="Cambria"/>
                <w:color w:val="000000" w:themeColor="text1"/>
              </w:rPr>
            </w:pPr>
            <w:r w:rsidRPr="00A52AB8">
              <w:rPr>
                <w:rFonts w:ascii="Cambria" w:hAnsi="Cambria"/>
                <w:color w:val="000000" w:themeColor="text1"/>
              </w:rPr>
              <w:t>0 1 x</w:t>
            </w:r>
            <w:r w:rsidRPr="00A52AB8">
              <w:rPr>
                <w:rFonts w:ascii="Cambria" w:hAnsi="Cambria"/>
                <w:color w:val="000000" w:themeColor="text1"/>
                <w:vertAlign w:val="subscript"/>
              </w:rPr>
              <w:t>0</w:t>
            </w:r>
          </w:p>
        </w:tc>
        <w:tc>
          <w:tcPr>
            <w:tcW w:w="0" w:type="auto"/>
            <w:tcMar>
              <w:left w:w="115" w:type="dxa"/>
              <w:right w:w="115" w:type="dxa"/>
            </w:tcMar>
          </w:tcPr>
          <w:p w14:paraId="6ED6774C" w14:textId="77777777" w:rsidR="005062B4" w:rsidRPr="00A52AB8" w:rsidRDefault="005062B4" w:rsidP="001B0754">
            <w:pPr>
              <w:pStyle w:val="TableText"/>
              <w:keepNext/>
              <w:jc w:val="center"/>
              <w:rPr>
                <w:rFonts w:ascii="Cambria" w:hAnsi="Cambria"/>
                <w:color w:val="000000" w:themeColor="text1"/>
              </w:rPr>
            </w:pPr>
            <w:r w:rsidRPr="00A52AB8">
              <w:rPr>
                <w:rFonts w:ascii="Cambria" w:hAnsi="Cambria"/>
                <w:color w:val="000000" w:themeColor="text1"/>
              </w:rPr>
              <w:t>1..2</w:t>
            </w:r>
          </w:p>
        </w:tc>
      </w:tr>
      <w:tr w:rsidR="005062B4" w:rsidRPr="00A52AB8" w14:paraId="4244C458" w14:textId="77777777" w:rsidTr="001B0754">
        <w:trPr>
          <w:jc w:val="center"/>
        </w:trPr>
        <w:tc>
          <w:tcPr>
            <w:tcW w:w="0" w:type="auto"/>
            <w:tcMar>
              <w:left w:w="115" w:type="dxa"/>
              <w:right w:w="115" w:type="dxa"/>
            </w:tcMar>
          </w:tcPr>
          <w:p w14:paraId="33B10913" w14:textId="77777777" w:rsidR="005062B4" w:rsidRPr="00A52AB8" w:rsidRDefault="005062B4" w:rsidP="001B0754">
            <w:pPr>
              <w:pStyle w:val="TableText"/>
              <w:keepNext/>
              <w:jc w:val="center"/>
              <w:rPr>
                <w:rFonts w:ascii="Cambria" w:hAnsi="Cambria"/>
                <w:color w:val="000000" w:themeColor="text1"/>
              </w:rPr>
            </w:pPr>
            <w:r w:rsidRPr="00A52AB8">
              <w:rPr>
                <w:rFonts w:ascii="Cambria" w:hAnsi="Cambria"/>
                <w:color w:val="000000" w:themeColor="text1"/>
              </w:rPr>
              <w:t>0 0 1 x</w:t>
            </w:r>
            <w:r w:rsidRPr="00A52AB8">
              <w:rPr>
                <w:rFonts w:ascii="Cambria" w:hAnsi="Cambria"/>
                <w:color w:val="000000" w:themeColor="text1"/>
                <w:vertAlign w:val="subscript"/>
              </w:rPr>
              <w:t>1</w:t>
            </w:r>
            <w:r w:rsidRPr="00A52AB8">
              <w:rPr>
                <w:rFonts w:ascii="Cambria" w:hAnsi="Cambria"/>
                <w:color w:val="000000" w:themeColor="text1"/>
              </w:rPr>
              <w:t> x</w:t>
            </w:r>
            <w:r w:rsidRPr="00A52AB8">
              <w:rPr>
                <w:rFonts w:ascii="Cambria" w:hAnsi="Cambria"/>
                <w:color w:val="000000" w:themeColor="text1"/>
                <w:vertAlign w:val="subscript"/>
              </w:rPr>
              <w:t>0</w:t>
            </w:r>
          </w:p>
        </w:tc>
        <w:tc>
          <w:tcPr>
            <w:tcW w:w="0" w:type="auto"/>
            <w:tcMar>
              <w:left w:w="115" w:type="dxa"/>
              <w:right w:w="115" w:type="dxa"/>
            </w:tcMar>
          </w:tcPr>
          <w:p w14:paraId="29B5E5FC" w14:textId="77777777" w:rsidR="005062B4" w:rsidRPr="00A52AB8" w:rsidRDefault="005062B4" w:rsidP="001B0754">
            <w:pPr>
              <w:pStyle w:val="TableText"/>
              <w:keepNext/>
              <w:jc w:val="center"/>
              <w:rPr>
                <w:rFonts w:ascii="Cambria" w:hAnsi="Cambria"/>
                <w:color w:val="000000" w:themeColor="text1"/>
              </w:rPr>
            </w:pPr>
            <w:r w:rsidRPr="00A52AB8">
              <w:rPr>
                <w:rFonts w:ascii="Cambria" w:hAnsi="Cambria"/>
                <w:color w:val="000000" w:themeColor="text1"/>
              </w:rPr>
              <w:t>3..6</w:t>
            </w:r>
          </w:p>
        </w:tc>
      </w:tr>
      <w:tr w:rsidR="005062B4" w:rsidRPr="00A52AB8" w14:paraId="6869A05C" w14:textId="77777777" w:rsidTr="001B0754">
        <w:trPr>
          <w:jc w:val="center"/>
        </w:trPr>
        <w:tc>
          <w:tcPr>
            <w:tcW w:w="0" w:type="auto"/>
            <w:tcMar>
              <w:left w:w="115" w:type="dxa"/>
              <w:right w:w="115" w:type="dxa"/>
            </w:tcMar>
          </w:tcPr>
          <w:p w14:paraId="632D4EF7" w14:textId="77777777" w:rsidR="005062B4" w:rsidRPr="00A52AB8" w:rsidRDefault="005062B4" w:rsidP="001B0754">
            <w:pPr>
              <w:pStyle w:val="TableText"/>
              <w:keepNext/>
              <w:jc w:val="center"/>
              <w:rPr>
                <w:rFonts w:ascii="Cambria" w:hAnsi="Cambria"/>
                <w:color w:val="000000" w:themeColor="text1"/>
              </w:rPr>
            </w:pPr>
            <w:r w:rsidRPr="00A52AB8">
              <w:rPr>
                <w:rFonts w:ascii="Cambria" w:hAnsi="Cambria"/>
                <w:color w:val="000000" w:themeColor="text1"/>
              </w:rPr>
              <w:t>0 0 0 1 x</w:t>
            </w:r>
            <w:r w:rsidRPr="00A52AB8">
              <w:rPr>
                <w:rFonts w:ascii="Cambria" w:hAnsi="Cambria"/>
                <w:color w:val="000000" w:themeColor="text1"/>
                <w:vertAlign w:val="subscript"/>
              </w:rPr>
              <w:t>2</w:t>
            </w:r>
            <w:r w:rsidRPr="00A52AB8">
              <w:rPr>
                <w:rFonts w:ascii="Cambria" w:hAnsi="Cambria"/>
                <w:color w:val="000000" w:themeColor="text1"/>
              </w:rPr>
              <w:t xml:space="preserve"> x</w:t>
            </w:r>
            <w:r w:rsidRPr="00A52AB8">
              <w:rPr>
                <w:rFonts w:ascii="Cambria" w:hAnsi="Cambria"/>
                <w:color w:val="000000" w:themeColor="text1"/>
                <w:vertAlign w:val="subscript"/>
              </w:rPr>
              <w:t>1</w:t>
            </w:r>
            <w:r w:rsidRPr="00A52AB8">
              <w:rPr>
                <w:rFonts w:ascii="Cambria" w:hAnsi="Cambria"/>
                <w:color w:val="000000" w:themeColor="text1"/>
              </w:rPr>
              <w:t> x</w:t>
            </w:r>
            <w:r w:rsidRPr="00A52AB8">
              <w:rPr>
                <w:rFonts w:ascii="Cambria" w:hAnsi="Cambria"/>
                <w:color w:val="000000" w:themeColor="text1"/>
                <w:vertAlign w:val="subscript"/>
              </w:rPr>
              <w:t>0</w:t>
            </w:r>
          </w:p>
        </w:tc>
        <w:tc>
          <w:tcPr>
            <w:tcW w:w="0" w:type="auto"/>
            <w:tcMar>
              <w:left w:w="115" w:type="dxa"/>
              <w:right w:w="115" w:type="dxa"/>
            </w:tcMar>
          </w:tcPr>
          <w:p w14:paraId="5C3B4241" w14:textId="77777777" w:rsidR="005062B4" w:rsidRPr="00A52AB8" w:rsidRDefault="005062B4" w:rsidP="001B0754">
            <w:pPr>
              <w:pStyle w:val="TableText"/>
              <w:keepNext/>
              <w:jc w:val="center"/>
              <w:rPr>
                <w:rFonts w:ascii="Cambria" w:hAnsi="Cambria"/>
                <w:color w:val="000000" w:themeColor="text1"/>
              </w:rPr>
            </w:pPr>
            <w:r w:rsidRPr="00A52AB8">
              <w:rPr>
                <w:rFonts w:ascii="Cambria" w:hAnsi="Cambria"/>
                <w:color w:val="000000" w:themeColor="text1"/>
              </w:rPr>
              <w:t>7..14</w:t>
            </w:r>
          </w:p>
        </w:tc>
      </w:tr>
      <w:tr w:rsidR="005062B4" w:rsidRPr="00A52AB8" w14:paraId="3CCE0B38" w14:textId="77777777" w:rsidTr="001B0754">
        <w:trPr>
          <w:jc w:val="center"/>
        </w:trPr>
        <w:tc>
          <w:tcPr>
            <w:tcW w:w="0" w:type="auto"/>
            <w:tcMar>
              <w:left w:w="115" w:type="dxa"/>
              <w:right w:w="115" w:type="dxa"/>
            </w:tcMar>
          </w:tcPr>
          <w:p w14:paraId="3739E714" w14:textId="77777777" w:rsidR="005062B4" w:rsidRPr="00A52AB8" w:rsidRDefault="005062B4" w:rsidP="001B0754">
            <w:pPr>
              <w:pStyle w:val="TableText"/>
              <w:keepNext/>
              <w:jc w:val="center"/>
              <w:rPr>
                <w:rFonts w:ascii="Cambria" w:hAnsi="Cambria"/>
                <w:color w:val="000000" w:themeColor="text1"/>
              </w:rPr>
            </w:pPr>
            <w:r w:rsidRPr="00A52AB8">
              <w:rPr>
                <w:rFonts w:ascii="Cambria" w:hAnsi="Cambria"/>
                <w:color w:val="000000" w:themeColor="text1"/>
              </w:rPr>
              <w:t>0 0 0 0 1 x</w:t>
            </w:r>
            <w:r w:rsidRPr="00A52AB8">
              <w:rPr>
                <w:rFonts w:ascii="Cambria" w:hAnsi="Cambria"/>
                <w:color w:val="000000" w:themeColor="text1"/>
                <w:vertAlign w:val="subscript"/>
              </w:rPr>
              <w:t>3</w:t>
            </w:r>
            <w:r w:rsidRPr="00A52AB8">
              <w:rPr>
                <w:rFonts w:ascii="Cambria" w:hAnsi="Cambria"/>
                <w:color w:val="000000" w:themeColor="text1"/>
              </w:rPr>
              <w:t> x</w:t>
            </w:r>
            <w:r w:rsidRPr="00A52AB8">
              <w:rPr>
                <w:rFonts w:ascii="Cambria" w:hAnsi="Cambria"/>
                <w:color w:val="000000" w:themeColor="text1"/>
                <w:vertAlign w:val="subscript"/>
              </w:rPr>
              <w:t>2</w:t>
            </w:r>
            <w:r w:rsidRPr="00A52AB8">
              <w:rPr>
                <w:rFonts w:ascii="Cambria" w:hAnsi="Cambria"/>
                <w:color w:val="000000" w:themeColor="text1"/>
              </w:rPr>
              <w:t> x</w:t>
            </w:r>
            <w:r w:rsidRPr="00A52AB8">
              <w:rPr>
                <w:rFonts w:ascii="Cambria" w:hAnsi="Cambria"/>
                <w:color w:val="000000" w:themeColor="text1"/>
                <w:vertAlign w:val="subscript"/>
              </w:rPr>
              <w:t>1</w:t>
            </w:r>
            <w:r w:rsidRPr="00A52AB8">
              <w:rPr>
                <w:rFonts w:ascii="Cambria" w:hAnsi="Cambria"/>
                <w:color w:val="000000" w:themeColor="text1"/>
              </w:rPr>
              <w:t> x</w:t>
            </w:r>
            <w:r w:rsidRPr="00A52AB8">
              <w:rPr>
                <w:rFonts w:ascii="Cambria" w:hAnsi="Cambria"/>
                <w:color w:val="000000" w:themeColor="text1"/>
                <w:vertAlign w:val="subscript"/>
              </w:rPr>
              <w:t>0</w:t>
            </w:r>
          </w:p>
        </w:tc>
        <w:tc>
          <w:tcPr>
            <w:tcW w:w="0" w:type="auto"/>
            <w:tcMar>
              <w:left w:w="115" w:type="dxa"/>
              <w:right w:w="115" w:type="dxa"/>
            </w:tcMar>
          </w:tcPr>
          <w:p w14:paraId="4362B532" w14:textId="77777777" w:rsidR="005062B4" w:rsidRPr="00A52AB8" w:rsidRDefault="005062B4" w:rsidP="001B0754">
            <w:pPr>
              <w:pStyle w:val="TableText"/>
              <w:keepNext/>
              <w:jc w:val="center"/>
              <w:rPr>
                <w:rFonts w:ascii="Cambria" w:hAnsi="Cambria"/>
                <w:color w:val="000000" w:themeColor="text1"/>
              </w:rPr>
            </w:pPr>
            <w:r w:rsidRPr="00A52AB8">
              <w:rPr>
                <w:rFonts w:ascii="Cambria" w:hAnsi="Cambria"/>
                <w:color w:val="000000" w:themeColor="text1"/>
              </w:rPr>
              <w:t>15..30</w:t>
            </w:r>
          </w:p>
        </w:tc>
      </w:tr>
      <w:tr w:rsidR="005062B4" w:rsidRPr="00A52AB8" w14:paraId="52B5DB4F" w14:textId="77777777" w:rsidTr="001B0754">
        <w:trPr>
          <w:jc w:val="center"/>
        </w:trPr>
        <w:tc>
          <w:tcPr>
            <w:tcW w:w="0" w:type="auto"/>
            <w:tcMar>
              <w:left w:w="115" w:type="dxa"/>
              <w:right w:w="115" w:type="dxa"/>
            </w:tcMar>
          </w:tcPr>
          <w:p w14:paraId="479124D5" w14:textId="77777777" w:rsidR="005062B4" w:rsidRPr="00A52AB8" w:rsidRDefault="005062B4" w:rsidP="001B0754">
            <w:pPr>
              <w:pStyle w:val="TableText"/>
              <w:keepNext/>
              <w:jc w:val="center"/>
              <w:rPr>
                <w:rFonts w:ascii="Cambria" w:hAnsi="Cambria"/>
                <w:color w:val="000000" w:themeColor="text1"/>
              </w:rPr>
            </w:pPr>
            <w:r w:rsidRPr="00A52AB8">
              <w:rPr>
                <w:rFonts w:ascii="Cambria" w:hAnsi="Cambria"/>
              </w:rPr>
              <w:t>0 0 0 0 0 1</w:t>
            </w:r>
            <w:r w:rsidRPr="00A52AB8">
              <w:rPr>
                <w:rFonts w:ascii="Cambria" w:hAnsi="Cambria"/>
                <w:color w:val="000000" w:themeColor="text1"/>
              </w:rPr>
              <w:t> x</w:t>
            </w:r>
            <w:r w:rsidRPr="00A52AB8">
              <w:rPr>
                <w:rFonts w:ascii="Cambria" w:hAnsi="Cambria"/>
                <w:color w:val="000000" w:themeColor="text1"/>
                <w:vertAlign w:val="subscript"/>
              </w:rPr>
              <w:t>4</w:t>
            </w:r>
            <w:r w:rsidRPr="00A52AB8">
              <w:rPr>
                <w:rFonts w:ascii="Cambria" w:hAnsi="Cambria"/>
                <w:color w:val="000000" w:themeColor="text1"/>
              </w:rPr>
              <w:t> x</w:t>
            </w:r>
            <w:r w:rsidRPr="00A52AB8">
              <w:rPr>
                <w:rFonts w:ascii="Cambria" w:hAnsi="Cambria"/>
                <w:color w:val="000000" w:themeColor="text1"/>
                <w:vertAlign w:val="subscript"/>
              </w:rPr>
              <w:t>3</w:t>
            </w:r>
            <w:r w:rsidRPr="00A52AB8">
              <w:rPr>
                <w:rFonts w:ascii="Cambria" w:hAnsi="Cambria"/>
                <w:color w:val="000000" w:themeColor="text1"/>
              </w:rPr>
              <w:t> x</w:t>
            </w:r>
            <w:r w:rsidRPr="00A52AB8">
              <w:rPr>
                <w:rFonts w:ascii="Cambria" w:hAnsi="Cambria"/>
                <w:color w:val="000000" w:themeColor="text1"/>
                <w:vertAlign w:val="subscript"/>
              </w:rPr>
              <w:t>2</w:t>
            </w:r>
            <w:r w:rsidRPr="00A52AB8">
              <w:rPr>
                <w:rFonts w:ascii="Cambria" w:hAnsi="Cambria"/>
                <w:color w:val="000000" w:themeColor="text1"/>
              </w:rPr>
              <w:t> x</w:t>
            </w:r>
            <w:r w:rsidRPr="00A52AB8">
              <w:rPr>
                <w:rFonts w:ascii="Cambria" w:hAnsi="Cambria"/>
                <w:color w:val="000000" w:themeColor="text1"/>
                <w:vertAlign w:val="subscript"/>
              </w:rPr>
              <w:t>1</w:t>
            </w:r>
            <w:r w:rsidRPr="00A52AB8">
              <w:rPr>
                <w:rFonts w:ascii="Cambria" w:hAnsi="Cambria"/>
                <w:color w:val="000000" w:themeColor="text1"/>
              </w:rPr>
              <w:t> x</w:t>
            </w:r>
            <w:r w:rsidRPr="00A52AB8">
              <w:rPr>
                <w:rFonts w:ascii="Cambria" w:hAnsi="Cambria"/>
                <w:color w:val="000000" w:themeColor="text1"/>
                <w:vertAlign w:val="subscript"/>
              </w:rPr>
              <w:t>0</w:t>
            </w:r>
          </w:p>
        </w:tc>
        <w:tc>
          <w:tcPr>
            <w:tcW w:w="0" w:type="auto"/>
            <w:tcMar>
              <w:left w:w="115" w:type="dxa"/>
              <w:right w:w="115" w:type="dxa"/>
            </w:tcMar>
          </w:tcPr>
          <w:p w14:paraId="263ECFC7" w14:textId="77777777" w:rsidR="005062B4" w:rsidRPr="00A52AB8" w:rsidRDefault="005062B4" w:rsidP="001B0754">
            <w:pPr>
              <w:pStyle w:val="TableText"/>
              <w:keepNext/>
              <w:jc w:val="center"/>
              <w:rPr>
                <w:rFonts w:ascii="Cambria" w:hAnsi="Cambria"/>
                <w:color w:val="000000" w:themeColor="text1"/>
              </w:rPr>
            </w:pPr>
            <w:r w:rsidRPr="00A52AB8">
              <w:rPr>
                <w:rFonts w:ascii="Cambria" w:hAnsi="Cambria"/>
                <w:color w:val="000000" w:themeColor="text1"/>
              </w:rPr>
              <w:t>31..62</w:t>
            </w:r>
          </w:p>
        </w:tc>
      </w:tr>
      <w:tr w:rsidR="005062B4" w:rsidRPr="00A52AB8" w14:paraId="62DF2CEC" w14:textId="77777777" w:rsidTr="001B0754">
        <w:trPr>
          <w:jc w:val="center"/>
        </w:trPr>
        <w:tc>
          <w:tcPr>
            <w:tcW w:w="0" w:type="auto"/>
            <w:tcMar>
              <w:left w:w="115" w:type="dxa"/>
              <w:right w:w="115" w:type="dxa"/>
            </w:tcMar>
          </w:tcPr>
          <w:p w14:paraId="25AB539F" w14:textId="77777777" w:rsidR="005062B4" w:rsidRPr="00A52AB8" w:rsidRDefault="005062B4" w:rsidP="001B0754">
            <w:pPr>
              <w:pStyle w:val="TableText"/>
              <w:jc w:val="center"/>
              <w:rPr>
                <w:rFonts w:ascii="Cambria" w:hAnsi="Cambria"/>
                <w:color w:val="000000" w:themeColor="text1"/>
              </w:rPr>
            </w:pPr>
            <w:r w:rsidRPr="00A52AB8">
              <w:rPr>
                <w:rFonts w:ascii="Cambria" w:hAnsi="Cambria"/>
                <w:color w:val="000000" w:themeColor="text1"/>
              </w:rPr>
              <w:t>...</w:t>
            </w:r>
          </w:p>
        </w:tc>
        <w:tc>
          <w:tcPr>
            <w:tcW w:w="0" w:type="auto"/>
            <w:tcMar>
              <w:left w:w="115" w:type="dxa"/>
              <w:right w:w="115" w:type="dxa"/>
            </w:tcMar>
          </w:tcPr>
          <w:p w14:paraId="38B3C025" w14:textId="77777777" w:rsidR="005062B4" w:rsidRPr="00A52AB8" w:rsidRDefault="005062B4" w:rsidP="001B0754">
            <w:pPr>
              <w:pStyle w:val="TableText"/>
              <w:jc w:val="center"/>
              <w:rPr>
                <w:rFonts w:ascii="Cambria" w:hAnsi="Cambria"/>
                <w:color w:val="000000" w:themeColor="text1"/>
              </w:rPr>
            </w:pPr>
            <w:r w:rsidRPr="00A52AB8">
              <w:rPr>
                <w:rFonts w:ascii="Cambria" w:hAnsi="Cambria"/>
                <w:color w:val="000000" w:themeColor="text1"/>
              </w:rPr>
              <w:t>...</w:t>
            </w:r>
          </w:p>
        </w:tc>
      </w:tr>
    </w:tbl>
    <w:p w14:paraId="26CB3FA4" w14:textId="21181B4D" w:rsidR="005062B4" w:rsidRPr="00A52AB8" w:rsidRDefault="00CF1000" w:rsidP="00CD7999">
      <w:pPr>
        <w:keepNext/>
        <w:keepLines/>
        <w:spacing w:before="120"/>
        <w:rPr>
          <w:color w:val="000000" w:themeColor="text1"/>
        </w:rPr>
      </w:pPr>
      <w:r w:rsidRPr="00496A4D">
        <w:rPr>
          <w:color w:val="000000" w:themeColor="text1"/>
        </w:rPr>
        <w:fldChar w:fldCharType="begin"/>
      </w:r>
      <w:r w:rsidRPr="00A52AB8">
        <w:rPr>
          <w:color w:val="000000" w:themeColor="text1"/>
        </w:rPr>
        <w:instrText xml:space="preserve"> REF _Ref45106041 \h </w:instrText>
      </w:r>
      <w:r w:rsidR="00CA5401"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sidRPr="00A52AB8">
        <w:t xml:space="preserve">Table </w:t>
      </w:r>
      <w:r w:rsidR="00507A67">
        <w:t>13</w:t>
      </w:r>
      <w:r w:rsidRPr="00496A4D">
        <w:rPr>
          <w:color w:val="000000" w:themeColor="text1"/>
        </w:rPr>
        <w:fldChar w:fldCharType="end"/>
      </w:r>
      <w:r w:rsidRPr="00A52AB8">
        <w:rPr>
          <w:color w:val="000000" w:themeColor="text1"/>
        </w:rPr>
        <w:t xml:space="preserve"> </w:t>
      </w:r>
      <w:r w:rsidR="005062B4" w:rsidRPr="00A52AB8">
        <w:rPr>
          <w:color w:val="000000" w:themeColor="text1"/>
        </w:rPr>
        <w:t>illustrates explicitly the assignment of bit strings to codeNum values.</w:t>
      </w:r>
    </w:p>
    <w:p w14:paraId="5E552B40" w14:textId="01DFCAB8" w:rsidR="006C08BB" w:rsidRPr="00A52AB8" w:rsidRDefault="006C08BB" w:rsidP="00221F10">
      <w:pPr>
        <w:pStyle w:val="Caption"/>
        <w:rPr>
          <w:rFonts w:ascii="Cambria" w:hAnsi="Cambria"/>
        </w:rPr>
      </w:pPr>
      <w:bookmarkStart w:id="4493" w:name="_Ref45106041"/>
      <w:bookmarkStart w:id="4494" w:name="_Ref45106040"/>
      <w:r w:rsidRPr="00A52AB8">
        <w:rPr>
          <w:rFonts w:ascii="Cambria" w:hAnsi="Cambria"/>
        </w:rPr>
        <w:t xml:space="preserve">Table </w:t>
      </w:r>
      <w:r w:rsidRPr="00496A4D">
        <w:rPr>
          <w:rFonts w:ascii="Cambria" w:hAnsi="Cambria"/>
        </w:rPr>
        <w:fldChar w:fldCharType="begin"/>
      </w:r>
      <w:r w:rsidRPr="00A52AB8">
        <w:rPr>
          <w:rFonts w:ascii="Cambria" w:hAnsi="Cambria"/>
        </w:rPr>
        <w:instrText xml:space="preserve"> SEQ Table \* ARABIC </w:instrText>
      </w:r>
      <w:r w:rsidR="00221F10" w:rsidRPr="00A52AB8">
        <w:rPr>
          <w:rFonts w:ascii="Cambria" w:hAnsi="Cambria"/>
        </w:rPr>
        <w:instrText>\n</w:instrText>
      </w:r>
      <w:r w:rsidRPr="00496A4D">
        <w:rPr>
          <w:rFonts w:ascii="Cambria" w:hAnsi="Cambria"/>
        </w:rPr>
        <w:fldChar w:fldCharType="separate"/>
      </w:r>
      <w:r w:rsidR="00507A67">
        <w:rPr>
          <w:rFonts w:ascii="Cambria" w:hAnsi="Cambria"/>
          <w:noProof/>
        </w:rPr>
        <w:t>13</w:t>
      </w:r>
      <w:r w:rsidRPr="00496A4D">
        <w:rPr>
          <w:rFonts w:ascii="Cambria" w:hAnsi="Cambria"/>
        </w:rPr>
        <w:fldChar w:fldCharType="end"/>
      </w:r>
      <w:bookmarkEnd w:id="4493"/>
      <w:r w:rsidR="001604C8" w:rsidRPr="00A52AB8">
        <w:rPr>
          <w:rFonts w:ascii="Cambria" w:hAnsi="Cambria" w:cs="Calibri"/>
          <w:bCs w:val="0"/>
        </w:rPr>
        <w:t> </w:t>
      </w:r>
      <w:r w:rsidR="001604C8" w:rsidRPr="00A52AB8">
        <w:rPr>
          <w:rFonts w:ascii="Cambria" w:hAnsi="Cambria"/>
        </w:rPr>
        <w:t>– </w:t>
      </w:r>
      <w:r w:rsidRPr="00A52AB8">
        <w:rPr>
          <w:rFonts w:ascii="Cambria" w:hAnsi="Cambria"/>
        </w:rPr>
        <w:t>Exp-Golomb bit strings and codeNum in explicit form and used as ue(v)</w:t>
      </w:r>
      <w:bookmarkEnd w:id="4494"/>
    </w:p>
    <w:tbl>
      <w:tblPr>
        <w:tblW w:w="33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22"/>
        <w:gridCol w:w="1576"/>
      </w:tblGrid>
      <w:tr w:rsidR="005062B4" w:rsidRPr="00A52AB8" w14:paraId="3D01011E" w14:textId="77777777" w:rsidTr="001B0754">
        <w:trPr>
          <w:jc w:val="center"/>
        </w:trPr>
        <w:tc>
          <w:tcPr>
            <w:tcW w:w="0" w:type="auto"/>
          </w:tcPr>
          <w:p w14:paraId="04692AB1" w14:textId="77777777" w:rsidR="005062B4" w:rsidRPr="00A52AB8" w:rsidRDefault="005062B4" w:rsidP="001B0754">
            <w:pPr>
              <w:pStyle w:val="TableText"/>
              <w:keepNext/>
              <w:jc w:val="center"/>
              <w:rPr>
                <w:rFonts w:ascii="Cambria" w:hAnsi="Cambria"/>
                <w:b/>
                <w:bCs/>
                <w:color w:val="000000" w:themeColor="text1"/>
              </w:rPr>
            </w:pPr>
            <w:r w:rsidRPr="00A52AB8">
              <w:rPr>
                <w:rFonts w:ascii="Cambria" w:hAnsi="Cambria"/>
                <w:b/>
                <w:bCs/>
                <w:color w:val="000000" w:themeColor="text1"/>
              </w:rPr>
              <w:t>Bit string</w:t>
            </w:r>
          </w:p>
        </w:tc>
        <w:tc>
          <w:tcPr>
            <w:tcW w:w="0" w:type="auto"/>
          </w:tcPr>
          <w:p w14:paraId="5197861E" w14:textId="77777777" w:rsidR="005062B4" w:rsidRPr="00A52AB8" w:rsidRDefault="005062B4" w:rsidP="001B0754">
            <w:pPr>
              <w:pStyle w:val="TableText"/>
              <w:keepNext/>
              <w:jc w:val="center"/>
              <w:rPr>
                <w:rFonts w:ascii="Cambria" w:hAnsi="Cambria"/>
                <w:b/>
                <w:bCs/>
                <w:color w:val="000000" w:themeColor="text1"/>
              </w:rPr>
            </w:pPr>
            <w:r w:rsidRPr="00A52AB8">
              <w:rPr>
                <w:rFonts w:ascii="Cambria" w:hAnsi="Cambria"/>
                <w:b/>
                <w:bCs/>
                <w:color w:val="000000" w:themeColor="text1"/>
              </w:rPr>
              <w:t>codeNum</w:t>
            </w:r>
          </w:p>
        </w:tc>
      </w:tr>
      <w:tr w:rsidR="005062B4" w:rsidRPr="00A52AB8" w14:paraId="46E18615" w14:textId="77777777" w:rsidTr="001B0754">
        <w:trPr>
          <w:jc w:val="center"/>
        </w:trPr>
        <w:tc>
          <w:tcPr>
            <w:tcW w:w="0" w:type="auto"/>
          </w:tcPr>
          <w:p w14:paraId="6A94BC07" w14:textId="77777777" w:rsidR="005062B4" w:rsidRPr="00A52AB8" w:rsidRDefault="005062B4" w:rsidP="001B0754">
            <w:pPr>
              <w:pStyle w:val="TableText"/>
              <w:keepNext/>
              <w:jc w:val="center"/>
              <w:rPr>
                <w:rFonts w:ascii="Cambria" w:hAnsi="Cambria"/>
                <w:color w:val="000000" w:themeColor="text1"/>
              </w:rPr>
            </w:pPr>
            <w:r w:rsidRPr="00A52AB8">
              <w:rPr>
                <w:rFonts w:ascii="Cambria" w:hAnsi="Cambria"/>
                <w:color w:val="000000" w:themeColor="text1"/>
              </w:rPr>
              <w:t>1</w:t>
            </w:r>
          </w:p>
        </w:tc>
        <w:tc>
          <w:tcPr>
            <w:tcW w:w="0" w:type="auto"/>
          </w:tcPr>
          <w:p w14:paraId="66FE5A77" w14:textId="77777777" w:rsidR="005062B4" w:rsidRPr="00A52AB8" w:rsidRDefault="005062B4" w:rsidP="001B0754">
            <w:pPr>
              <w:pStyle w:val="TableText"/>
              <w:keepNext/>
              <w:jc w:val="center"/>
              <w:rPr>
                <w:rFonts w:ascii="Cambria" w:hAnsi="Cambria" w:cs="Courier New"/>
                <w:color w:val="000000" w:themeColor="text1"/>
              </w:rPr>
            </w:pPr>
            <w:r w:rsidRPr="00A52AB8">
              <w:rPr>
                <w:rFonts w:ascii="Cambria" w:hAnsi="Cambria"/>
                <w:color w:val="000000" w:themeColor="text1"/>
              </w:rPr>
              <w:t>0</w:t>
            </w:r>
          </w:p>
        </w:tc>
      </w:tr>
      <w:tr w:rsidR="005062B4" w:rsidRPr="00A52AB8" w14:paraId="0382F51F" w14:textId="77777777" w:rsidTr="001B0754">
        <w:trPr>
          <w:jc w:val="center"/>
        </w:trPr>
        <w:tc>
          <w:tcPr>
            <w:tcW w:w="0" w:type="auto"/>
          </w:tcPr>
          <w:p w14:paraId="54E1C153" w14:textId="77777777" w:rsidR="005062B4" w:rsidRPr="00A52AB8" w:rsidRDefault="005062B4" w:rsidP="001B0754">
            <w:pPr>
              <w:pStyle w:val="TableText"/>
              <w:keepNext/>
              <w:jc w:val="center"/>
              <w:rPr>
                <w:rFonts w:ascii="Cambria" w:hAnsi="Cambria"/>
                <w:color w:val="000000" w:themeColor="text1"/>
              </w:rPr>
            </w:pPr>
            <w:r w:rsidRPr="00A52AB8">
              <w:rPr>
                <w:rFonts w:ascii="Cambria" w:hAnsi="Cambria"/>
                <w:color w:val="000000" w:themeColor="text1"/>
              </w:rPr>
              <w:t>0 1 0</w:t>
            </w:r>
          </w:p>
        </w:tc>
        <w:tc>
          <w:tcPr>
            <w:tcW w:w="0" w:type="auto"/>
          </w:tcPr>
          <w:p w14:paraId="73C263FE" w14:textId="77777777" w:rsidR="005062B4" w:rsidRPr="00A52AB8" w:rsidRDefault="005062B4" w:rsidP="001B0754">
            <w:pPr>
              <w:pStyle w:val="TableText"/>
              <w:keepNext/>
              <w:jc w:val="center"/>
              <w:rPr>
                <w:rFonts w:ascii="Cambria" w:hAnsi="Cambria" w:cs="Courier New"/>
                <w:color w:val="000000" w:themeColor="text1"/>
              </w:rPr>
            </w:pPr>
            <w:r w:rsidRPr="00A52AB8">
              <w:rPr>
                <w:rFonts w:ascii="Cambria" w:hAnsi="Cambria"/>
                <w:color w:val="000000" w:themeColor="text1"/>
              </w:rPr>
              <w:t>1</w:t>
            </w:r>
          </w:p>
        </w:tc>
      </w:tr>
      <w:tr w:rsidR="005062B4" w:rsidRPr="00A52AB8" w14:paraId="5BA5C316" w14:textId="77777777" w:rsidTr="001B0754">
        <w:trPr>
          <w:jc w:val="center"/>
        </w:trPr>
        <w:tc>
          <w:tcPr>
            <w:tcW w:w="0" w:type="auto"/>
          </w:tcPr>
          <w:p w14:paraId="520264D3" w14:textId="77777777" w:rsidR="005062B4" w:rsidRPr="00A52AB8" w:rsidRDefault="005062B4" w:rsidP="001B0754">
            <w:pPr>
              <w:pStyle w:val="TableText"/>
              <w:keepNext/>
              <w:jc w:val="center"/>
              <w:rPr>
                <w:rFonts w:ascii="Cambria" w:hAnsi="Cambria"/>
                <w:color w:val="000000" w:themeColor="text1"/>
              </w:rPr>
            </w:pPr>
            <w:r w:rsidRPr="00A52AB8">
              <w:rPr>
                <w:rFonts w:ascii="Cambria" w:hAnsi="Cambria"/>
                <w:color w:val="000000" w:themeColor="text1"/>
              </w:rPr>
              <w:t>0 1 1</w:t>
            </w:r>
          </w:p>
        </w:tc>
        <w:tc>
          <w:tcPr>
            <w:tcW w:w="0" w:type="auto"/>
          </w:tcPr>
          <w:p w14:paraId="40E2E631" w14:textId="77777777" w:rsidR="005062B4" w:rsidRPr="00A52AB8" w:rsidRDefault="005062B4" w:rsidP="001B0754">
            <w:pPr>
              <w:pStyle w:val="TableText"/>
              <w:keepNext/>
              <w:jc w:val="center"/>
              <w:rPr>
                <w:rFonts w:ascii="Cambria" w:hAnsi="Cambria" w:cs="Courier New"/>
                <w:color w:val="000000" w:themeColor="text1"/>
              </w:rPr>
            </w:pPr>
            <w:r w:rsidRPr="00A52AB8">
              <w:rPr>
                <w:rFonts w:ascii="Cambria" w:hAnsi="Cambria"/>
                <w:color w:val="000000" w:themeColor="text1"/>
              </w:rPr>
              <w:t>2</w:t>
            </w:r>
          </w:p>
        </w:tc>
      </w:tr>
      <w:tr w:rsidR="005062B4" w:rsidRPr="00A52AB8" w14:paraId="5A048321" w14:textId="77777777" w:rsidTr="001B0754">
        <w:trPr>
          <w:jc w:val="center"/>
        </w:trPr>
        <w:tc>
          <w:tcPr>
            <w:tcW w:w="0" w:type="auto"/>
          </w:tcPr>
          <w:p w14:paraId="013A024E" w14:textId="77777777" w:rsidR="005062B4" w:rsidRPr="00A52AB8" w:rsidRDefault="005062B4" w:rsidP="001B0754">
            <w:pPr>
              <w:pStyle w:val="TableText"/>
              <w:keepNext/>
              <w:jc w:val="center"/>
              <w:rPr>
                <w:rFonts w:ascii="Cambria" w:hAnsi="Cambria"/>
                <w:color w:val="000000" w:themeColor="text1"/>
              </w:rPr>
            </w:pPr>
            <w:r w:rsidRPr="00A52AB8">
              <w:rPr>
                <w:rFonts w:ascii="Cambria" w:hAnsi="Cambria"/>
                <w:color w:val="000000" w:themeColor="text1"/>
              </w:rPr>
              <w:t>0 0 1 0 0</w:t>
            </w:r>
          </w:p>
        </w:tc>
        <w:tc>
          <w:tcPr>
            <w:tcW w:w="0" w:type="auto"/>
          </w:tcPr>
          <w:p w14:paraId="29771F9D" w14:textId="77777777" w:rsidR="005062B4" w:rsidRPr="00A52AB8" w:rsidRDefault="005062B4" w:rsidP="001B0754">
            <w:pPr>
              <w:pStyle w:val="TableText"/>
              <w:keepNext/>
              <w:jc w:val="center"/>
              <w:rPr>
                <w:rFonts w:ascii="Cambria" w:hAnsi="Cambria" w:cs="Courier New"/>
                <w:color w:val="000000" w:themeColor="text1"/>
              </w:rPr>
            </w:pPr>
            <w:r w:rsidRPr="00A52AB8">
              <w:rPr>
                <w:rFonts w:ascii="Cambria" w:hAnsi="Cambria"/>
                <w:color w:val="000000" w:themeColor="text1"/>
              </w:rPr>
              <w:t>3</w:t>
            </w:r>
          </w:p>
        </w:tc>
      </w:tr>
      <w:tr w:rsidR="005062B4" w:rsidRPr="00A52AB8" w14:paraId="47E07485" w14:textId="77777777" w:rsidTr="001B0754">
        <w:trPr>
          <w:jc w:val="center"/>
        </w:trPr>
        <w:tc>
          <w:tcPr>
            <w:tcW w:w="0" w:type="auto"/>
          </w:tcPr>
          <w:p w14:paraId="7A277E0F" w14:textId="77777777" w:rsidR="005062B4" w:rsidRPr="00A52AB8" w:rsidRDefault="005062B4" w:rsidP="001B0754">
            <w:pPr>
              <w:pStyle w:val="TableText"/>
              <w:keepNext/>
              <w:jc w:val="center"/>
              <w:rPr>
                <w:rFonts w:ascii="Cambria" w:hAnsi="Cambria"/>
                <w:color w:val="000000" w:themeColor="text1"/>
              </w:rPr>
            </w:pPr>
            <w:r w:rsidRPr="00A52AB8">
              <w:rPr>
                <w:rFonts w:ascii="Cambria" w:hAnsi="Cambria"/>
                <w:color w:val="000000" w:themeColor="text1"/>
              </w:rPr>
              <w:t>0 0 1 0 1</w:t>
            </w:r>
          </w:p>
        </w:tc>
        <w:tc>
          <w:tcPr>
            <w:tcW w:w="0" w:type="auto"/>
          </w:tcPr>
          <w:p w14:paraId="581C11B7" w14:textId="77777777" w:rsidR="005062B4" w:rsidRPr="00A52AB8" w:rsidRDefault="005062B4" w:rsidP="001B0754">
            <w:pPr>
              <w:pStyle w:val="TableText"/>
              <w:keepNext/>
              <w:jc w:val="center"/>
              <w:rPr>
                <w:rFonts w:ascii="Cambria" w:hAnsi="Cambria" w:cs="Courier New"/>
                <w:color w:val="000000" w:themeColor="text1"/>
              </w:rPr>
            </w:pPr>
            <w:r w:rsidRPr="00A52AB8">
              <w:rPr>
                <w:rFonts w:ascii="Cambria" w:hAnsi="Cambria"/>
                <w:color w:val="000000" w:themeColor="text1"/>
              </w:rPr>
              <w:t>4</w:t>
            </w:r>
          </w:p>
        </w:tc>
      </w:tr>
      <w:tr w:rsidR="005062B4" w:rsidRPr="00A52AB8" w14:paraId="31028F72" w14:textId="77777777" w:rsidTr="001B0754">
        <w:trPr>
          <w:jc w:val="center"/>
        </w:trPr>
        <w:tc>
          <w:tcPr>
            <w:tcW w:w="0" w:type="auto"/>
          </w:tcPr>
          <w:p w14:paraId="08E2E065" w14:textId="77777777" w:rsidR="005062B4" w:rsidRPr="00A52AB8" w:rsidRDefault="005062B4" w:rsidP="001B0754">
            <w:pPr>
              <w:pStyle w:val="TableText"/>
              <w:keepNext/>
              <w:jc w:val="center"/>
              <w:rPr>
                <w:rFonts w:ascii="Cambria" w:hAnsi="Cambria"/>
                <w:color w:val="000000" w:themeColor="text1"/>
              </w:rPr>
            </w:pPr>
            <w:r w:rsidRPr="00A52AB8">
              <w:rPr>
                <w:rFonts w:ascii="Cambria" w:hAnsi="Cambria"/>
                <w:color w:val="000000" w:themeColor="text1"/>
              </w:rPr>
              <w:t>0 0 1 1 0</w:t>
            </w:r>
          </w:p>
        </w:tc>
        <w:tc>
          <w:tcPr>
            <w:tcW w:w="0" w:type="auto"/>
          </w:tcPr>
          <w:p w14:paraId="02C74083" w14:textId="77777777" w:rsidR="005062B4" w:rsidRPr="00A52AB8" w:rsidRDefault="005062B4" w:rsidP="001B0754">
            <w:pPr>
              <w:pStyle w:val="TableText"/>
              <w:keepNext/>
              <w:jc w:val="center"/>
              <w:rPr>
                <w:rFonts w:ascii="Cambria" w:hAnsi="Cambria" w:cs="Courier New"/>
                <w:color w:val="000000" w:themeColor="text1"/>
              </w:rPr>
            </w:pPr>
            <w:r w:rsidRPr="00A52AB8">
              <w:rPr>
                <w:rFonts w:ascii="Cambria" w:hAnsi="Cambria"/>
                <w:color w:val="000000" w:themeColor="text1"/>
              </w:rPr>
              <w:t>5</w:t>
            </w:r>
          </w:p>
        </w:tc>
      </w:tr>
      <w:tr w:rsidR="005062B4" w:rsidRPr="00A52AB8" w14:paraId="04C96607" w14:textId="77777777" w:rsidTr="001B0754">
        <w:trPr>
          <w:jc w:val="center"/>
        </w:trPr>
        <w:tc>
          <w:tcPr>
            <w:tcW w:w="0" w:type="auto"/>
          </w:tcPr>
          <w:p w14:paraId="4A45E88D" w14:textId="77777777" w:rsidR="005062B4" w:rsidRPr="00A52AB8" w:rsidRDefault="005062B4" w:rsidP="001B0754">
            <w:pPr>
              <w:pStyle w:val="TableText"/>
              <w:keepNext/>
              <w:jc w:val="center"/>
              <w:rPr>
                <w:rFonts w:ascii="Cambria" w:hAnsi="Cambria"/>
                <w:color w:val="000000" w:themeColor="text1"/>
              </w:rPr>
            </w:pPr>
            <w:r w:rsidRPr="00A52AB8">
              <w:rPr>
                <w:rFonts w:ascii="Cambria" w:hAnsi="Cambria"/>
                <w:color w:val="000000" w:themeColor="text1"/>
              </w:rPr>
              <w:t>0 0 1 1 1</w:t>
            </w:r>
          </w:p>
        </w:tc>
        <w:tc>
          <w:tcPr>
            <w:tcW w:w="0" w:type="auto"/>
          </w:tcPr>
          <w:p w14:paraId="76F7356C" w14:textId="77777777" w:rsidR="005062B4" w:rsidRPr="00A52AB8" w:rsidRDefault="005062B4" w:rsidP="001B0754">
            <w:pPr>
              <w:pStyle w:val="TableText"/>
              <w:keepNext/>
              <w:jc w:val="center"/>
              <w:rPr>
                <w:rFonts w:ascii="Cambria" w:hAnsi="Cambria" w:cs="Courier New"/>
                <w:color w:val="000000" w:themeColor="text1"/>
              </w:rPr>
            </w:pPr>
            <w:r w:rsidRPr="00A52AB8">
              <w:rPr>
                <w:rFonts w:ascii="Cambria" w:hAnsi="Cambria"/>
                <w:color w:val="000000" w:themeColor="text1"/>
              </w:rPr>
              <w:t>6</w:t>
            </w:r>
          </w:p>
        </w:tc>
      </w:tr>
      <w:tr w:rsidR="005062B4" w:rsidRPr="00A52AB8" w14:paraId="6FD4619A" w14:textId="77777777" w:rsidTr="001B0754">
        <w:trPr>
          <w:jc w:val="center"/>
        </w:trPr>
        <w:tc>
          <w:tcPr>
            <w:tcW w:w="0" w:type="auto"/>
          </w:tcPr>
          <w:p w14:paraId="3D5BBC56" w14:textId="77777777" w:rsidR="005062B4" w:rsidRPr="00A52AB8" w:rsidRDefault="005062B4" w:rsidP="001B0754">
            <w:pPr>
              <w:pStyle w:val="TableText"/>
              <w:keepNext/>
              <w:jc w:val="center"/>
              <w:rPr>
                <w:rFonts w:ascii="Cambria" w:hAnsi="Cambria"/>
                <w:color w:val="000000" w:themeColor="text1"/>
              </w:rPr>
            </w:pPr>
            <w:r w:rsidRPr="00A52AB8">
              <w:rPr>
                <w:rFonts w:ascii="Cambria" w:hAnsi="Cambria"/>
                <w:color w:val="000000" w:themeColor="text1"/>
              </w:rPr>
              <w:t>0 0 0 1 0 0 0</w:t>
            </w:r>
          </w:p>
        </w:tc>
        <w:tc>
          <w:tcPr>
            <w:tcW w:w="0" w:type="auto"/>
          </w:tcPr>
          <w:p w14:paraId="03550603" w14:textId="77777777" w:rsidR="005062B4" w:rsidRPr="00A52AB8" w:rsidRDefault="005062B4" w:rsidP="001B0754">
            <w:pPr>
              <w:pStyle w:val="TableText"/>
              <w:keepNext/>
              <w:jc w:val="center"/>
              <w:rPr>
                <w:rFonts w:ascii="Cambria" w:hAnsi="Cambria" w:cs="Courier New"/>
                <w:color w:val="000000" w:themeColor="text1"/>
              </w:rPr>
            </w:pPr>
            <w:r w:rsidRPr="00A52AB8">
              <w:rPr>
                <w:rFonts w:ascii="Cambria" w:hAnsi="Cambria"/>
                <w:color w:val="000000" w:themeColor="text1"/>
              </w:rPr>
              <w:t>7</w:t>
            </w:r>
          </w:p>
        </w:tc>
      </w:tr>
      <w:tr w:rsidR="005062B4" w:rsidRPr="00A52AB8" w14:paraId="283B05E2" w14:textId="77777777" w:rsidTr="001B0754">
        <w:trPr>
          <w:jc w:val="center"/>
        </w:trPr>
        <w:tc>
          <w:tcPr>
            <w:tcW w:w="0" w:type="auto"/>
          </w:tcPr>
          <w:p w14:paraId="41B139D9" w14:textId="77777777" w:rsidR="005062B4" w:rsidRPr="00A52AB8" w:rsidRDefault="005062B4" w:rsidP="001B0754">
            <w:pPr>
              <w:pStyle w:val="TableText"/>
              <w:keepNext/>
              <w:jc w:val="center"/>
              <w:rPr>
                <w:rFonts w:ascii="Cambria" w:hAnsi="Cambria"/>
                <w:color w:val="000000" w:themeColor="text1"/>
              </w:rPr>
            </w:pPr>
            <w:r w:rsidRPr="00A52AB8">
              <w:rPr>
                <w:rFonts w:ascii="Cambria" w:hAnsi="Cambria"/>
                <w:color w:val="000000" w:themeColor="text1"/>
              </w:rPr>
              <w:t>0 0 0 1 0 0 1</w:t>
            </w:r>
          </w:p>
        </w:tc>
        <w:tc>
          <w:tcPr>
            <w:tcW w:w="0" w:type="auto"/>
          </w:tcPr>
          <w:p w14:paraId="47050FC6" w14:textId="77777777" w:rsidR="005062B4" w:rsidRPr="00A52AB8" w:rsidRDefault="005062B4" w:rsidP="001B0754">
            <w:pPr>
              <w:pStyle w:val="TableText"/>
              <w:keepNext/>
              <w:jc w:val="center"/>
              <w:rPr>
                <w:rFonts w:ascii="Cambria" w:hAnsi="Cambria" w:cs="Courier New"/>
                <w:color w:val="000000" w:themeColor="text1"/>
              </w:rPr>
            </w:pPr>
            <w:r w:rsidRPr="00A52AB8">
              <w:rPr>
                <w:rFonts w:ascii="Cambria" w:hAnsi="Cambria"/>
                <w:color w:val="000000" w:themeColor="text1"/>
              </w:rPr>
              <w:t>8</w:t>
            </w:r>
          </w:p>
        </w:tc>
      </w:tr>
      <w:tr w:rsidR="005062B4" w:rsidRPr="00A52AB8" w14:paraId="3937D2EF" w14:textId="77777777" w:rsidTr="001B0754">
        <w:trPr>
          <w:jc w:val="center"/>
        </w:trPr>
        <w:tc>
          <w:tcPr>
            <w:tcW w:w="0" w:type="auto"/>
          </w:tcPr>
          <w:p w14:paraId="7B5D789A" w14:textId="77777777" w:rsidR="005062B4" w:rsidRPr="00A52AB8" w:rsidRDefault="005062B4" w:rsidP="001B0754">
            <w:pPr>
              <w:pStyle w:val="TableText"/>
              <w:keepNext/>
              <w:jc w:val="center"/>
              <w:rPr>
                <w:rFonts w:ascii="Cambria" w:hAnsi="Cambria"/>
                <w:color w:val="000000" w:themeColor="text1"/>
              </w:rPr>
            </w:pPr>
            <w:r w:rsidRPr="00A52AB8">
              <w:rPr>
                <w:rFonts w:ascii="Cambria" w:hAnsi="Cambria"/>
                <w:color w:val="000000" w:themeColor="text1"/>
              </w:rPr>
              <w:t>0 0 0 1 0 1 0</w:t>
            </w:r>
          </w:p>
        </w:tc>
        <w:tc>
          <w:tcPr>
            <w:tcW w:w="0" w:type="auto"/>
          </w:tcPr>
          <w:p w14:paraId="4BE8B36A" w14:textId="77777777" w:rsidR="005062B4" w:rsidRPr="00A52AB8" w:rsidRDefault="005062B4" w:rsidP="001B0754">
            <w:pPr>
              <w:pStyle w:val="TableText"/>
              <w:keepNext/>
              <w:jc w:val="center"/>
              <w:rPr>
                <w:rFonts w:ascii="Cambria" w:hAnsi="Cambria" w:cs="Courier New"/>
                <w:color w:val="000000" w:themeColor="text1"/>
              </w:rPr>
            </w:pPr>
            <w:r w:rsidRPr="00A52AB8">
              <w:rPr>
                <w:rFonts w:ascii="Cambria" w:hAnsi="Cambria"/>
                <w:color w:val="000000" w:themeColor="text1"/>
              </w:rPr>
              <w:t>9</w:t>
            </w:r>
          </w:p>
        </w:tc>
      </w:tr>
      <w:tr w:rsidR="005062B4" w:rsidRPr="00A52AB8" w14:paraId="613DBE83" w14:textId="77777777" w:rsidTr="001B0754">
        <w:trPr>
          <w:jc w:val="center"/>
        </w:trPr>
        <w:tc>
          <w:tcPr>
            <w:tcW w:w="0" w:type="auto"/>
          </w:tcPr>
          <w:p w14:paraId="2DA3E41B" w14:textId="77777777" w:rsidR="005062B4" w:rsidRPr="00A52AB8" w:rsidRDefault="005062B4" w:rsidP="001B0754">
            <w:pPr>
              <w:pStyle w:val="TableText"/>
              <w:keepLines w:val="0"/>
              <w:jc w:val="center"/>
              <w:rPr>
                <w:rFonts w:ascii="Cambria" w:hAnsi="Cambria"/>
                <w:color w:val="000000" w:themeColor="text1"/>
              </w:rPr>
            </w:pPr>
            <w:r w:rsidRPr="00A52AB8">
              <w:rPr>
                <w:rFonts w:ascii="Cambria" w:hAnsi="Cambria"/>
                <w:color w:val="000000" w:themeColor="text1"/>
              </w:rPr>
              <w:t>...</w:t>
            </w:r>
          </w:p>
        </w:tc>
        <w:tc>
          <w:tcPr>
            <w:tcW w:w="0" w:type="auto"/>
          </w:tcPr>
          <w:p w14:paraId="0372AC04" w14:textId="77777777" w:rsidR="005062B4" w:rsidRPr="00A52AB8" w:rsidRDefault="005062B4" w:rsidP="001B0754">
            <w:pPr>
              <w:pStyle w:val="TableText"/>
              <w:keepLines w:val="0"/>
              <w:jc w:val="center"/>
              <w:rPr>
                <w:rFonts w:ascii="Cambria" w:hAnsi="Cambria"/>
                <w:color w:val="000000" w:themeColor="text1"/>
              </w:rPr>
            </w:pPr>
            <w:r w:rsidRPr="00A52AB8">
              <w:rPr>
                <w:rFonts w:ascii="Cambria" w:hAnsi="Cambria"/>
                <w:color w:val="000000" w:themeColor="text1"/>
              </w:rPr>
              <w:t>...</w:t>
            </w:r>
          </w:p>
        </w:tc>
      </w:tr>
    </w:tbl>
    <w:p w14:paraId="7C0586EF" w14:textId="77777777" w:rsidR="005062B4" w:rsidRPr="00A52AB8" w:rsidRDefault="005062B4" w:rsidP="00BE0021">
      <w:pPr>
        <w:spacing w:before="120"/>
        <w:rPr>
          <w:color w:val="000000" w:themeColor="text1"/>
        </w:rPr>
      </w:pPr>
      <w:r w:rsidRPr="00A52AB8">
        <w:rPr>
          <w:color w:val="000000" w:themeColor="text1"/>
        </w:rPr>
        <w:t>Depending on the descriptor, the value of a syntax element is derived as follows:</w:t>
      </w:r>
    </w:p>
    <w:p w14:paraId="7B168C10" w14:textId="7D394DFA" w:rsidR="005062B4" w:rsidRPr="00A52AB8" w:rsidRDefault="005062B4"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If the syntax element is coded as ue(v), the value of the syntax element is equal to codeNum.</w:t>
      </w:r>
    </w:p>
    <w:p w14:paraId="2B082ACA" w14:textId="7C404221" w:rsidR="005062B4" w:rsidRPr="00A52AB8" w:rsidRDefault="005062B4"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Otherwise (the syntax element is coded as se(v)), the value of the syntax element is derived by invoking the mapping process for signed Exp-Golomb codes as specified in </w:t>
      </w:r>
      <w:r w:rsidR="00406A86" w:rsidRPr="00A52AB8">
        <w:rPr>
          <w:color w:val="000000" w:themeColor="text1"/>
        </w:rPr>
        <w:t>subclause</w:t>
      </w:r>
      <w:r w:rsidR="001726ED" w:rsidRPr="00A52AB8">
        <w:rPr>
          <w:color w:val="000000" w:themeColor="text1"/>
        </w:rPr>
        <w:t> </w:t>
      </w:r>
      <w:r w:rsidR="001726ED" w:rsidRPr="00496A4D">
        <w:rPr>
          <w:color w:val="000000" w:themeColor="text1"/>
        </w:rPr>
        <w:fldChar w:fldCharType="begin"/>
      </w:r>
      <w:r w:rsidR="001726ED" w:rsidRPr="00A52AB8">
        <w:rPr>
          <w:color w:val="000000" w:themeColor="text1"/>
        </w:rPr>
        <w:instrText xml:space="preserve"> REF _Ref45572261 \w \h </w:instrText>
      </w:r>
      <w:r w:rsidR="00CA5401" w:rsidRPr="00A52AB8">
        <w:rPr>
          <w:color w:val="000000" w:themeColor="text1"/>
        </w:rPr>
        <w:instrText xml:space="preserve"> \* MERGEFORMAT </w:instrText>
      </w:r>
      <w:r w:rsidR="001726ED" w:rsidRPr="00496A4D">
        <w:rPr>
          <w:color w:val="000000" w:themeColor="text1"/>
        </w:rPr>
      </w:r>
      <w:r w:rsidR="001726ED" w:rsidRPr="00496A4D">
        <w:rPr>
          <w:color w:val="000000" w:themeColor="text1"/>
        </w:rPr>
        <w:fldChar w:fldCharType="separate"/>
      </w:r>
      <w:r w:rsidR="00507A67">
        <w:rPr>
          <w:color w:val="000000" w:themeColor="text1"/>
        </w:rPr>
        <w:t>14.2.2</w:t>
      </w:r>
      <w:r w:rsidR="001726ED" w:rsidRPr="00496A4D">
        <w:rPr>
          <w:color w:val="000000" w:themeColor="text1"/>
        </w:rPr>
        <w:fldChar w:fldCharType="end"/>
      </w:r>
      <w:r w:rsidRPr="00A52AB8">
        <w:rPr>
          <w:color w:val="000000" w:themeColor="text1"/>
        </w:rPr>
        <w:t xml:space="preserve"> with codeNum as input.</w:t>
      </w:r>
    </w:p>
    <w:p w14:paraId="735E4D4A" w14:textId="77777777" w:rsidR="005062B4" w:rsidRPr="00A52AB8" w:rsidRDefault="005062B4" w:rsidP="005062B4">
      <w:pPr>
        <w:pStyle w:val="Heading3"/>
      </w:pPr>
      <w:bookmarkStart w:id="4495" w:name="_Toc46301670"/>
      <w:bookmarkStart w:id="4496" w:name="_Toc46302495"/>
      <w:bookmarkStart w:id="4497" w:name="_Toc45530314"/>
      <w:bookmarkStart w:id="4498" w:name="_Toc46301671"/>
      <w:bookmarkStart w:id="4499" w:name="_Toc46302496"/>
      <w:bookmarkStart w:id="4500" w:name="_Ref45572261"/>
      <w:bookmarkStart w:id="4501" w:name="_Toc52181647"/>
      <w:bookmarkEnd w:id="4495"/>
      <w:bookmarkEnd w:id="4496"/>
      <w:bookmarkEnd w:id="4497"/>
      <w:bookmarkEnd w:id="4498"/>
      <w:bookmarkEnd w:id="4499"/>
      <w:r w:rsidRPr="00A52AB8">
        <w:t>Mapping process for signed Exp-Golomb codes</w:t>
      </w:r>
      <w:bookmarkEnd w:id="4500"/>
      <w:bookmarkEnd w:id="4501"/>
    </w:p>
    <w:p w14:paraId="03C7FBC9" w14:textId="599B8F90" w:rsidR="005062B4" w:rsidRPr="00A52AB8" w:rsidRDefault="005062B4" w:rsidP="00CD7999">
      <w:pPr>
        <w:rPr>
          <w:color w:val="000000" w:themeColor="text1"/>
        </w:rPr>
      </w:pPr>
      <w:r w:rsidRPr="00A52AB8">
        <w:rPr>
          <w:color w:val="000000" w:themeColor="text1"/>
        </w:rPr>
        <w:t xml:space="preserve">Input to this process is codeNum as specified in </w:t>
      </w:r>
      <w:r w:rsidR="00406A86" w:rsidRPr="00A52AB8">
        <w:rPr>
          <w:color w:val="000000" w:themeColor="text1"/>
        </w:rPr>
        <w:t>subclause</w:t>
      </w:r>
      <w:r w:rsidR="00CF1000" w:rsidRPr="00A52AB8">
        <w:rPr>
          <w:color w:val="000000" w:themeColor="text1"/>
        </w:rPr>
        <w:t xml:space="preserve"> </w:t>
      </w:r>
      <w:r w:rsidR="00CF1000" w:rsidRPr="00496A4D">
        <w:rPr>
          <w:color w:val="000000" w:themeColor="text1"/>
        </w:rPr>
        <w:fldChar w:fldCharType="begin"/>
      </w:r>
      <w:r w:rsidR="00CF1000" w:rsidRPr="00A52AB8">
        <w:rPr>
          <w:color w:val="000000" w:themeColor="text1"/>
        </w:rPr>
        <w:instrText xml:space="preserve"> REF _Ref45106854 \r \h </w:instrText>
      </w:r>
      <w:r w:rsidR="00CA5401" w:rsidRPr="00A52AB8">
        <w:rPr>
          <w:color w:val="000000" w:themeColor="text1"/>
        </w:rPr>
        <w:instrText xml:space="preserve"> \* MERGEFORMAT </w:instrText>
      </w:r>
      <w:r w:rsidR="00CF1000" w:rsidRPr="00496A4D">
        <w:rPr>
          <w:color w:val="000000" w:themeColor="text1"/>
        </w:rPr>
      </w:r>
      <w:r w:rsidR="00CF1000" w:rsidRPr="00496A4D">
        <w:rPr>
          <w:color w:val="000000" w:themeColor="text1"/>
        </w:rPr>
        <w:fldChar w:fldCharType="separate"/>
      </w:r>
      <w:r w:rsidR="00507A67">
        <w:rPr>
          <w:color w:val="000000" w:themeColor="text1"/>
        </w:rPr>
        <w:t>14.1</w:t>
      </w:r>
      <w:r w:rsidR="00CF1000" w:rsidRPr="00496A4D">
        <w:rPr>
          <w:color w:val="000000" w:themeColor="text1"/>
        </w:rPr>
        <w:fldChar w:fldCharType="end"/>
      </w:r>
      <w:r w:rsidR="00CF1000" w:rsidRPr="00A52AB8">
        <w:rPr>
          <w:color w:val="000000" w:themeColor="text1"/>
        </w:rPr>
        <w:t>.</w:t>
      </w:r>
    </w:p>
    <w:p w14:paraId="2A12F0B7" w14:textId="77777777" w:rsidR="005062B4" w:rsidRPr="00A52AB8" w:rsidRDefault="005062B4" w:rsidP="005062B4">
      <w:pPr>
        <w:rPr>
          <w:color w:val="000000" w:themeColor="text1"/>
        </w:rPr>
      </w:pPr>
      <w:r w:rsidRPr="00A52AB8">
        <w:rPr>
          <w:color w:val="000000" w:themeColor="text1"/>
        </w:rPr>
        <w:t>Output of this process is a value of a syntax element coded as se(v).</w:t>
      </w:r>
    </w:p>
    <w:p w14:paraId="33A953C7" w14:textId="199BE2B0" w:rsidR="005062B4" w:rsidRPr="00A52AB8" w:rsidRDefault="005062B4" w:rsidP="005062B4">
      <w:pPr>
        <w:widowControl w:val="0"/>
        <w:rPr>
          <w:color w:val="000000" w:themeColor="text1"/>
          <w:lang w:eastAsia="ja-JP"/>
        </w:rPr>
      </w:pPr>
      <w:r w:rsidRPr="00A52AB8">
        <w:rPr>
          <w:color w:val="000000" w:themeColor="text1"/>
        </w:rPr>
        <w:t xml:space="preserve">The syntax element is assigned to the codeNum by ordering the syntax element by its absolute value in increasing order and representing the positive value for a given absolute value with the lower codeNum. </w:t>
      </w:r>
      <w:r w:rsidR="00CF1000" w:rsidRPr="00496A4D">
        <w:rPr>
          <w:color w:val="000000" w:themeColor="text1"/>
        </w:rPr>
        <w:fldChar w:fldCharType="begin"/>
      </w:r>
      <w:r w:rsidR="00CF1000" w:rsidRPr="00A52AB8">
        <w:rPr>
          <w:color w:val="000000" w:themeColor="text1"/>
        </w:rPr>
        <w:instrText xml:space="preserve"> REF _Ref45106170 \h </w:instrText>
      </w:r>
      <w:r w:rsidR="00CA5401" w:rsidRPr="00A52AB8">
        <w:rPr>
          <w:color w:val="000000" w:themeColor="text1"/>
        </w:rPr>
        <w:instrText xml:space="preserve"> \* MERGEFORMAT </w:instrText>
      </w:r>
      <w:r w:rsidR="00CF1000" w:rsidRPr="00496A4D">
        <w:rPr>
          <w:color w:val="000000" w:themeColor="text1"/>
        </w:rPr>
      </w:r>
      <w:r w:rsidR="00CF1000" w:rsidRPr="00496A4D">
        <w:rPr>
          <w:color w:val="000000" w:themeColor="text1"/>
        </w:rPr>
        <w:fldChar w:fldCharType="separate"/>
      </w:r>
      <w:r w:rsidR="00507A67" w:rsidRPr="00A52AB8">
        <w:t xml:space="preserve">Table </w:t>
      </w:r>
      <w:r w:rsidR="00507A67">
        <w:t>14</w:t>
      </w:r>
      <w:r w:rsidR="00CF1000" w:rsidRPr="00496A4D">
        <w:rPr>
          <w:color w:val="000000" w:themeColor="text1"/>
        </w:rPr>
        <w:fldChar w:fldCharType="end"/>
      </w:r>
      <w:r w:rsidRPr="00A52AB8">
        <w:rPr>
          <w:color w:val="000000" w:themeColor="text1"/>
        </w:rPr>
        <w:t xml:space="preserve"> provides the assignment rule.</w:t>
      </w:r>
    </w:p>
    <w:p w14:paraId="01FFD516" w14:textId="6592DFFB" w:rsidR="006C08BB" w:rsidRPr="00A52AB8" w:rsidRDefault="006C08BB" w:rsidP="00792CFF">
      <w:pPr>
        <w:pStyle w:val="Caption"/>
        <w:rPr>
          <w:rFonts w:ascii="Cambria" w:hAnsi="Cambria"/>
        </w:rPr>
      </w:pPr>
      <w:bookmarkStart w:id="4502" w:name="_Ref45106170"/>
      <w:r w:rsidRPr="00A52AB8">
        <w:rPr>
          <w:rFonts w:ascii="Cambria" w:hAnsi="Cambria"/>
        </w:rPr>
        <w:t xml:space="preserve">Table </w:t>
      </w:r>
      <w:r w:rsidRPr="00496A4D">
        <w:rPr>
          <w:rFonts w:ascii="Cambria" w:hAnsi="Cambria"/>
        </w:rPr>
        <w:fldChar w:fldCharType="begin"/>
      </w:r>
      <w:r w:rsidRPr="00A52AB8">
        <w:rPr>
          <w:rFonts w:ascii="Cambria" w:hAnsi="Cambria"/>
        </w:rPr>
        <w:instrText xml:space="preserve"> SEQ Table \* ARABIC</w:instrText>
      </w:r>
      <w:r w:rsidR="00221F10" w:rsidRPr="00A52AB8">
        <w:rPr>
          <w:rFonts w:ascii="Cambria" w:hAnsi="Cambria"/>
        </w:rPr>
        <w:instrText xml:space="preserve"> \n</w:instrText>
      </w:r>
      <w:r w:rsidRPr="00496A4D">
        <w:rPr>
          <w:rFonts w:ascii="Cambria" w:hAnsi="Cambria"/>
        </w:rPr>
        <w:fldChar w:fldCharType="separate"/>
      </w:r>
      <w:r w:rsidR="00507A67">
        <w:rPr>
          <w:rFonts w:ascii="Cambria" w:hAnsi="Cambria"/>
          <w:noProof/>
        </w:rPr>
        <w:t>14</w:t>
      </w:r>
      <w:r w:rsidRPr="00496A4D">
        <w:rPr>
          <w:rFonts w:ascii="Cambria" w:hAnsi="Cambria"/>
        </w:rPr>
        <w:fldChar w:fldCharType="end"/>
      </w:r>
      <w:bookmarkEnd w:id="4502"/>
      <w:r w:rsidR="001604C8" w:rsidRPr="00A52AB8">
        <w:rPr>
          <w:rFonts w:ascii="Cambria" w:hAnsi="Cambria" w:cs="Calibri"/>
          <w:bCs w:val="0"/>
        </w:rPr>
        <w:t> </w:t>
      </w:r>
      <w:r w:rsidR="001604C8" w:rsidRPr="00A52AB8">
        <w:rPr>
          <w:rFonts w:ascii="Cambria" w:hAnsi="Cambria"/>
        </w:rPr>
        <w:t>– </w:t>
      </w:r>
      <w:r w:rsidRPr="00A52AB8">
        <w:rPr>
          <w:rFonts w:ascii="Cambria" w:hAnsi="Cambria"/>
        </w:rPr>
        <w:t>Assignment of syntax element to codeNum</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96"/>
        <w:gridCol w:w="1966"/>
      </w:tblGrid>
      <w:tr w:rsidR="005062B4" w:rsidRPr="00A52AB8" w14:paraId="2FE5278A" w14:textId="77777777" w:rsidTr="001B0754">
        <w:trPr>
          <w:jc w:val="center"/>
        </w:trPr>
        <w:tc>
          <w:tcPr>
            <w:tcW w:w="0" w:type="auto"/>
          </w:tcPr>
          <w:p w14:paraId="4E9E4DA9" w14:textId="77777777" w:rsidR="005062B4" w:rsidRPr="00A52AB8" w:rsidRDefault="005062B4" w:rsidP="001B0754">
            <w:pPr>
              <w:pStyle w:val="TableText"/>
              <w:keepNext/>
              <w:jc w:val="center"/>
              <w:rPr>
                <w:rFonts w:ascii="Cambria" w:hAnsi="Cambria"/>
                <w:b/>
                <w:bCs/>
                <w:color w:val="000000" w:themeColor="text1"/>
              </w:rPr>
            </w:pPr>
            <w:r w:rsidRPr="00A52AB8">
              <w:rPr>
                <w:rFonts w:ascii="Cambria" w:hAnsi="Cambria"/>
                <w:b/>
                <w:bCs/>
                <w:color w:val="000000" w:themeColor="text1"/>
              </w:rPr>
              <w:t>codeNum</w:t>
            </w:r>
          </w:p>
        </w:tc>
        <w:tc>
          <w:tcPr>
            <w:tcW w:w="0" w:type="auto"/>
          </w:tcPr>
          <w:p w14:paraId="2A162DBB" w14:textId="77777777" w:rsidR="005062B4" w:rsidRPr="00A52AB8" w:rsidRDefault="005062B4" w:rsidP="001B0754">
            <w:pPr>
              <w:pStyle w:val="TableText"/>
              <w:keepNext/>
              <w:jc w:val="center"/>
              <w:rPr>
                <w:rFonts w:ascii="Cambria" w:hAnsi="Cambria"/>
                <w:b/>
                <w:bCs/>
                <w:color w:val="000000" w:themeColor="text1"/>
              </w:rPr>
            </w:pPr>
            <w:r w:rsidRPr="00A52AB8">
              <w:rPr>
                <w:rFonts w:ascii="Cambria" w:hAnsi="Cambria"/>
                <w:b/>
                <w:bCs/>
                <w:color w:val="000000" w:themeColor="text1"/>
              </w:rPr>
              <w:t>syntax element value</w:t>
            </w:r>
          </w:p>
        </w:tc>
      </w:tr>
      <w:tr w:rsidR="005062B4" w:rsidRPr="00A52AB8" w14:paraId="76A3F8D4" w14:textId="77777777" w:rsidTr="001B0754">
        <w:trPr>
          <w:jc w:val="center"/>
        </w:trPr>
        <w:tc>
          <w:tcPr>
            <w:tcW w:w="0" w:type="auto"/>
          </w:tcPr>
          <w:p w14:paraId="052AB35A" w14:textId="77777777" w:rsidR="005062B4" w:rsidRPr="00A52AB8" w:rsidRDefault="005062B4" w:rsidP="001B0754">
            <w:pPr>
              <w:pStyle w:val="TableText"/>
              <w:keepNext/>
              <w:jc w:val="center"/>
              <w:rPr>
                <w:rFonts w:ascii="Cambria" w:hAnsi="Cambria"/>
                <w:color w:val="000000" w:themeColor="text1"/>
              </w:rPr>
            </w:pPr>
            <w:r w:rsidRPr="00A52AB8">
              <w:rPr>
                <w:rFonts w:ascii="Cambria" w:hAnsi="Cambria"/>
                <w:color w:val="000000" w:themeColor="text1"/>
              </w:rPr>
              <w:t>0</w:t>
            </w:r>
          </w:p>
        </w:tc>
        <w:tc>
          <w:tcPr>
            <w:tcW w:w="0" w:type="auto"/>
          </w:tcPr>
          <w:p w14:paraId="522F2B7B" w14:textId="77777777" w:rsidR="005062B4" w:rsidRPr="00A52AB8" w:rsidRDefault="005062B4" w:rsidP="001B0754">
            <w:pPr>
              <w:pStyle w:val="TableText"/>
              <w:keepNext/>
              <w:jc w:val="center"/>
              <w:rPr>
                <w:rFonts w:ascii="Cambria" w:hAnsi="Cambria"/>
                <w:color w:val="000000" w:themeColor="text1"/>
              </w:rPr>
            </w:pPr>
            <w:r w:rsidRPr="00A52AB8">
              <w:rPr>
                <w:rFonts w:ascii="Cambria" w:hAnsi="Cambria"/>
                <w:color w:val="000000" w:themeColor="text1"/>
              </w:rPr>
              <w:t>0</w:t>
            </w:r>
          </w:p>
        </w:tc>
      </w:tr>
      <w:tr w:rsidR="005062B4" w:rsidRPr="00A52AB8" w14:paraId="4992AFED" w14:textId="77777777" w:rsidTr="001B0754">
        <w:trPr>
          <w:jc w:val="center"/>
        </w:trPr>
        <w:tc>
          <w:tcPr>
            <w:tcW w:w="0" w:type="auto"/>
          </w:tcPr>
          <w:p w14:paraId="0B8DD37B" w14:textId="77777777" w:rsidR="005062B4" w:rsidRPr="00A52AB8" w:rsidRDefault="005062B4" w:rsidP="001B0754">
            <w:pPr>
              <w:pStyle w:val="TableText"/>
              <w:keepNext/>
              <w:jc w:val="center"/>
              <w:rPr>
                <w:rFonts w:ascii="Cambria" w:hAnsi="Cambria"/>
                <w:color w:val="000000" w:themeColor="text1"/>
              </w:rPr>
            </w:pPr>
            <w:r w:rsidRPr="00A52AB8">
              <w:rPr>
                <w:rFonts w:ascii="Cambria" w:hAnsi="Cambria"/>
                <w:color w:val="000000" w:themeColor="text1"/>
              </w:rPr>
              <w:t>1</w:t>
            </w:r>
          </w:p>
        </w:tc>
        <w:tc>
          <w:tcPr>
            <w:tcW w:w="0" w:type="auto"/>
          </w:tcPr>
          <w:p w14:paraId="5AF6CFE7" w14:textId="77777777" w:rsidR="005062B4" w:rsidRPr="00A52AB8" w:rsidRDefault="005062B4" w:rsidP="001B0754">
            <w:pPr>
              <w:pStyle w:val="TableText"/>
              <w:keepNext/>
              <w:jc w:val="center"/>
              <w:rPr>
                <w:rFonts w:ascii="Cambria" w:hAnsi="Cambria"/>
                <w:color w:val="000000" w:themeColor="text1"/>
              </w:rPr>
            </w:pPr>
            <w:r w:rsidRPr="00A52AB8">
              <w:rPr>
                <w:rFonts w:ascii="Cambria" w:hAnsi="Cambria"/>
                <w:color w:val="000000" w:themeColor="text1"/>
              </w:rPr>
              <w:t>1</w:t>
            </w:r>
          </w:p>
        </w:tc>
      </w:tr>
      <w:tr w:rsidR="005062B4" w:rsidRPr="00A52AB8" w14:paraId="14E9BF62" w14:textId="77777777" w:rsidTr="001B0754">
        <w:trPr>
          <w:jc w:val="center"/>
        </w:trPr>
        <w:tc>
          <w:tcPr>
            <w:tcW w:w="0" w:type="auto"/>
          </w:tcPr>
          <w:p w14:paraId="1B73FD3A" w14:textId="77777777" w:rsidR="005062B4" w:rsidRPr="00A52AB8" w:rsidRDefault="005062B4" w:rsidP="001B0754">
            <w:pPr>
              <w:pStyle w:val="TableText"/>
              <w:keepNext/>
              <w:jc w:val="center"/>
              <w:rPr>
                <w:rFonts w:ascii="Cambria" w:hAnsi="Cambria"/>
                <w:color w:val="000000" w:themeColor="text1"/>
              </w:rPr>
            </w:pPr>
            <w:r w:rsidRPr="00A52AB8">
              <w:rPr>
                <w:rFonts w:ascii="Cambria" w:hAnsi="Cambria"/>
                <w:color w:val="000000" w:themeColor="text1"/>
              </w:rPr>
              <w:t>2</w:t>
            </w:r>
          </w:p>
        </w:tc>
        <w:tc>
          <w:tcPr>
            <w:tcW w:w="0" w:type="auto"/>
          </w:tcPr>
          <w:p w14:paraId="4BC663A6" w14:textId="77777777" w:rsidR="005062B4" w:rsidRPr="00A52AB8" w:rsidRDefault="005062B4" w:rsidP="001B0754">
            <w:pPr>
              <w:pStyle w:val="TableText"/>
              <w:keepNext/>
              <w:jc w:val="center"/>
              <w:rPr>
                <w:rFonts w:ascii="Cambria" w:hAnsi="Cambria"/>
                <w:color w:val="000000" w:themeColor="text1"/>
              </w:rPr>
            </w:pPr>
            <w:r w:rsidRPr="00A52AB8">
              <w:rPr>
                <w:rFonts w:ascii="Cambria" w:hAnsi="Cambria"/>
                <w:color w:val="000000" w:themeColor="text1"/>
              </w:rPr>
              <w:t>−1</w:t>
            </w:r>
          </w:p>
        </w:tc>
      </w:tr>
      <w:tr w:rsidR="005062B4" w:rsidRPr="00A52AB8" w14:paraId="01451FDA" w14:textId="77777777" w:rsidTr="001B0754">
        <w:trPr>
          <w:jc w:val="center"/>
        </w:trPr>
        <w:tc>
          <w:tcPr>
            <w:tcW w:w="0" w:type="auto"/>
          </w:tcPr>
          <w:p w14:paraId="665FD18A" w14:textId="77777777" w:rsidR="005062B4" w:rsidRPr="00A52AB8" w:rsidRDefault="005062B4" w:rsidP="001B0754">
            <w:pPr>
              <w:pStyle w:val="TableText"/>
              <w:keepNext/>
              <w:jc w:val="center"/>
              <w:rPr>
                <w:rFonts w:ascii="Cambria" w:hAnsi="Cambria"/>
                <w:color w:val="000000" w:themeColor="text1"/>
              </w:rPr>
            </w:pPr>
            <w:r w:rsidRPr="00A52AB8">
              <w:rPr>
                <w:rFonts w:ascii="Cambria" w:hAnsi="Cambria"/>
                <w:color w:val="000000" w:themeColor="text1"/>
              </w:rPr>
              <w:t>3</w:t>
            </w:r>
          </w:p>
        </w:tc>
        <w:tc>
          <w:tcPr>
            <w:tcW w:w="0" w:type="auto"/>
          </w:tcPr>
          <w:p w14:paraId="04F68B28" w14:textId="77777777" w:rsidR="005062B4" w:rsidRPr="00A52AB8" w:rsidRDefault="005062B4" w:rsidP="001B0754">
            <w:pPr>
              <w:pStyle w:val="TableText"/>
              <w:keepNext/>
              <w:jc w:val="center"/>
              <w:rPr>
                <w:rFonts w:ascii="Cambria" w:hAnsi="Cambria"/>
                <w:color w:val="000000" w:themeColor="text1"/>
              </w:rPr>
            </w:pPr>
            <w:r w:rsidRPr="00A52AB8">
              <w:rPr>
                <w:rFonts w:ascii="Cambria" w:hAnsi="Cambria"/>
                <w:color w:val="000000" w:themeColor="text1"/>
              </w:rPr>
              <w:t>2</w:t>
            </w:r>
          </w:p>
        </w:tc>
      </w:tr>
      <w:tr w:rsidR="005062B4" w:rsidRPr="00A52AB8" w14:paraId="74330DAB" w14:textId="77777777" w:rsidTr="001B0754">
        <w:trPr>
          <w:jc w:val="center"/>
        </w:trPr>
        <w:tc>
          <w:tcPr>
            <w:tcW w:w="0" w:type="auto"/>
          </w:tcPr>
          <w:p w14:paraId="53E3A903" w14:textId="77777777" w:rsidR="005062B4" w:rsidRPr="00A52AB8" w:rsidRDefault="005062B4" w:rsidP="001B0754">
            <w:pPr>
              <w:pStyle w:val="TableText"/>
              <w:keepNext/>
              <w:jc w:val="center"/>
              <w:rPr>
                <w:rFonts w:ascii="Cambria" w:hAnsi="Cambria"/>
                <w:color w:val="000000" w:themeColor="text1"/>
              </w:rPr>
            </w:pPr>
            <w:r w:rsidRPr="00A52AB8">
              <w:rPr>
                <w:rFonts w:ascii="Cambria" w:hAnsi="Cambria"/>
                <w:color w:val="000000" w:themeColor="text1"/>
              </w:rPr>
              <w:t>4</w:t>
            </w:r>
          </w:p>
        </w:tc>
        <w:tc>
          <w:tcPr>
            <w:tcW w:w="0" w:type="auto"/>
          </w:tcPr>
          <w:p w14:paraId="5FD7C87B" w14:textId="77777777" w:rsidR="005062B4" w:rsidRPr="00A52AB8" w:rsidRDefault="005062B4" w:rsidP="001B0754">
            <w:pPr>
              <w:pStyle w:val="TableText"/>
              <w:keepNext/>
              <w:jc w:val="center"/>
              <w:rPr>
                <w:rFonts w:ascii="Cambria" w:hAnsi="Cambria"/>
                <w:color w:val="000000" w:themeColor="text1"/>
              </w:rPr>
            </w:pPr>
            <w:r w:rsidRPr="00A52AB8">
              <w:rPr>
                <w:rFonts w:ascii="Cambria" w:hAnsi="Cambria"/>
                <w:color w:val="000000" w:themeColor="text1"/>
              </w:rPr>
              <w:t>−2</w:t>
            </w:r>
          </w:p>
        </w:tc>
      </w:tr>
      <w:tr w:rsidR="005062B4" w:rsidRPr="00A52AB8" w14:paraId="707F5CF6" w14:textId="77777777" w:rsidTr="001B0754">
        <w:trPr>
          <w:jc w:val="center"/>
        </w:trPr>
        <w:tc>
          <w:tcPr>
            <w:tcW w:w="0" w:type="auto"/>
          </w:tcPr>
          <w:p w14:paraId="65A0440B" w14:textId="77777777" w:rsidR="005062B4" w:rsidRPr="00A52AB8" w:rsidRDefault="005062B4" w:rsidP="001B0754">
            <w:pPr>
              <w:pStyle w:val="TableText"/>
              <w:keepNext/>
              <w:jc w:val="center"/>
              <w:rPr>
                <w:rFonts w:ascii="Cambria" w:hAnsi="Cambria"/>
                <w:color w:val="000000" w:themeColor="text1"/>
              </w:rPr>
            </w:pPr>
            <w:r w:rsidRPr="00A52AB8">
              <w:rPr>
                <w:rFonts w:ascii="Cambria" w:hAnsi="Cambria"/>
                <w:color w:val="000000" w:themeColor="text1"/>
              </w:rPr>
              <w:t>5</w:t>
            </w:r>
          </w:p>
        </w:tc>
        <w:tc>
          <w:tcPr>
            <w:tcW w:w="0" w:type="auto"/>
          </w:tcPr>
          <w:p w14:paraId="505F3BA1" w14:textId="77777777" w:rsidR="005062B4" w:rsidRPr="00A52AB8" w:rsidRDefault="005062B4" w:rsidP="001B0754">
            <w:pPr>
              <w:pStyle w:val="TableText"/>
              <w:keepNext/>
              <w:jc w:val="center"/>
              <w:rPr>
                <w:rFonts w:ascii="Cambria" w:hAnsi="Cambria"/>
                <w:color w:val="000000" w:themeColor="text1"/>
              </w:rPr>
            </w:pPr>
            <w:r w:rsidRPr="00A52AB8">
              <w:rPr>
                <w:rFonts w:ascii="Cambria" w:hAnsi="Cambria"/>
                <w:color w:val="000000" w:themeColor="text1"/>
              </w:rPr>
              <w:t>3</w:t>
            </w:r>
          </w:p>
        </w:tc>
      </w:tr>
      <w:tr w:rsidR="005062B4" w:rsidRPr="00A52AB8" w14:paraId="330318A8" w14:textId="77777777" w:rsidTr="001B0754">
        <w:trPr>
          <w:jc w:val="center"/>
        </w:trPr>
        <w:tc>
          <w:tcPr>
            <w:tcW w:w="0" w:type="auto"/>
          </w:tcPr>
          <w:p w14:paraId="611E4286" w14:textId="77777777" w:rsidR="005062B4" w:rsidRPr="00A52AB8" w:rsidRDefault="005062B4" w:rsidP="001B0754">
            <w:pPr>
              <w:pStyle w:val="TableText"/>
              <w:keepNext/>
              <w:jc w:val="center"/>
              <w:rPr>
                <w:rFonts w:ascii="Cambria" w:hAnsi="Cambria"/>
                <w:color w:val="000000" w:themeColor="text1"/>
              </w:rPr>
            </w:pPr>
            <w:r w:rsidRPr="00A52AB8">
              <w:rPr>
                <w:rFonts w:ascii="Cambria" w:hAnsi="Cambria"/>
                <w:color w:val="000000" w:themeColor="text1"/>
              </w:rPr>
              <w:t>6</w:t>
            </w:r>
          </w:p>
        </w:tc>
        <w:tc>
          <w:tcPr>
            <w:tcW w:w="0" w:type="auto"/>
          </w:tcPr>
          <w:p w14:paraId="60EB03F1" w14:textId="77777777" w:rsidR="005062B4" w:rsidRPr="00A52AB8" w:rsidRDefault="005062B4" w:rsidP="001B0754">
            <w:pPr>
              <w:pStyle w:val="TableText"/>
              <w:keepNext/>
              <w:jc w:val="center"/>
              <w:rPr>
                <w:rFonts w:ascii="Cambria" w:hAnsi="Cambria"/>
                <w:color w:val="000000" w:themeColor="text1"/>
              </w:rPr>
            </w:pPr>
            <w:r w:rsidRPr="00A52AB8">
              <w:rPr>
                <w:rFonts w:ascii="Cambria" w:hAnsi="Cambria"/>
                <w:color w:val="000000" w:themeColor="text1"/>
              </w:rPr>
              <w:t>−3</w:t>
            </w:r>
          </w:p>
        </w:tc>
      </w:tr>
      <w:tr w:rsidR="005062B4" w:rsidRPr="00A52AB8" w14:paraId="08BD8F56" w14:textId="77777777" w:rsidTr="001B0754">
        <w:trPr>
          <w:jc w:val="center"/>
        </w:trPr>
        <w:tc>
          <w:tcPr>
            <w:tcW w:w="0" w:type="auto"/>
          </w:tcPr>
          <w:p w14:paraId="18D5B249" w14:textId="77777777" w:rsidR="005062B4" w:rsidRPr="00A52AB8" w:rsidRDefault="005062B4" w:rsidP="001B0754">
            <w:pPr>
              <w:pStyle w:val="TableText"/>
              <w:keepNext/>
              <w:jc w:val="center"/>
              <w:rPr>
                <w:rFonts w:ascii="Cambria" w:hAnsi="Cambria"/>
                <w:color w:val="000000" w:themeColor="text1"/>
              </w:rPr>
            </w:pPr>
            <w:r w:rsidRPr="00A52AB8">
              <w:rPr>
                <w:rFonts w:ascii="Cambria" w:hAnsi="Cambria"/>
                <w:color w:val="000000" w:themeColor="text1"/>
              </w:rPr>
              <w:t>k</w:t>
            </w:r>
          </w:p>
        </w:tc>
        <w:tc>
          <w:tcPr>
            <w:tcW w:w="0" w:type="auto"/>
          </w:tcPr>
          <w:p w14:paraId="59255869" w14:textId="77777777" w:rsidR="005062B4" w:rsidRPr="00A52AB8" w:rsidRDefault="001726ED">
            <w:pPr>
              <w:pStyle w:val="TableText"/>
              <w:keepNext/>
              <w:jc w:val="center"/>
              <w:rPr>
                <w:rFonts w:ascii="Cambria" w:hAnsi="Cambria"/>
                <w:color w:val="000000" w:themeColor="text1"/>
              </w:rPr>
            </w:pPr>
            <w:r w:rsidRPr="00A52AB8">
              <w:rPr>
                <w:rFonts w:ascii="Cambria" w:hAnsi="Cambria"/>
                <w:color w:val="000000" w:themeColor="text1"/>
              </w:rPr>
              <w:t>( (k + 1) / 2 ) * </w:t>
            </w:r>
            <w:r w:rsidR="005062B4" w:rsidRPr="00A52AB8">
              <w:rPr>
                <w:rFonts w:ascii="Cambria" w:hAnsi="Cambria"/>
                <w:color w:val="000000" w:themeColor="text1"/>
              </w:rPr>
              <w:t>(−1)</w:t>
            </w:r>
            <w:r w:rsidR="005062B4" w:rsidRPr="00A52AB8">
              <w:rPr>
                <w:rFonts w:ascii="Cambria" w:hAnsi="Cambria"/>
                <w:color w:val="000000" w:themeColor="text1"/>
                <w:vertAlign w:val="superscript"/>
              </w:rPr>
              <w:t>k + 1</w:t>
            </w:r>
          </w:p>
        </w:tc>
      </w:tr>
    </w:tbl>
    <w:p w14:paraId="407385C4" w14:textId="77777777" w:rsidR="00535D94" w:rsidRPr="00A52AB8" w:rsidRDefault="00364D13">
      <w:pPr>
        <w:pStyle w:val="ANNEX"/>
        <w:numPr>
          <w:ilvl w:val="0"/>
          <w:numId w:val="14"/>
        </w:numPr>
        <w:rPr>
          <w:color w:val="000000" w:themeColor="text1"/>
        </w:rPr>
      </w:pPr>
      <w:bookmarkStart w:id="4503" w:name="_Toc450303222"/>
      <w:bookmarkStart w:id="4504" w:name="_Toc9996972"/>
      <w:bookmarkStart w:id="4505" w:name="_Toc438968655"/>
      <w:bookmarkStart w:id="4506" w:name="_Toc443461103"/>
      <w:bookmarkStart w:id="4507" w:name="_Toc353342675"/>
      <w:bookmarkEnd w:id="1511"/>
      <w:r w:rsidRPr="00A52AB8">
        <w:rPr>
          <w:color w:val="000000" w:themeColor="text1"/>
        </w:rPr>
        <w:br/>
      </w:r>
      <w:bookmarkStart w:id="4508" w:name="_Ref38898728"/>
      <w:bookmarkStart w:id="4509" w:name="_Toc52181648"/>
      <w:r w:rsidRPr="00A52AB8">
        <w:rPr>
          <w:color w:val="000000" w:themeColor="text1"/>
        </w:rPr>
        <w:t>(normative)</w:t>
      </w:r>
      <w:r w:rsidR="00535D94" w:rsidRPr="00A52AB8">
        <w:rPr>
          <w:color w:val="000000" w:themeColor="text1"/>
        </w:rPr>
        <w:br/>
      </w:r>
      <w:bookmarkStart w:id="4510" w:name="_Ref21508199"/>
      <w:bookmarkStart w:id="4511" w:name="_Ref21509350"/>
      <w:r w:rsidR="00535D94" w:rsidRPr="00A52AB8">
        <w:rPr>
          <w:color w:val="000000" w:themeColor="text1"/>
        </w:rPr>
        <w:t>Profiles, tiers, and levels</w:t>
      </w:r>
      <w:bookmarkEnd w:id="4508"/>
      <w:bookmarkEnd w:id="4509"/>
      <w:bookmarkEnd w:id="4510"/>
      <w:bookmarkEnd w:id="4511"/>
    </w:p>
    <w:p w14:paraId="2ADF8540" w14:textId="77777777" w:rsidR="00535D94" w:rsidRPr="00A52AB8" w:rsidRDefault="00535D94">
      <w:pPr>
        <w:pStyle w:val="a2"/>
        <w:numPr>
          <w:ilvl w:val="1"/>
          <w:numId w:val="14"/>
        </w:numPr>
        <w:tabs>
          <w:tab w:val="num" w:pos="4613"/>
        </w:tabs>
        <w:rPr>
          <w:color w:val="000000" w:themeColor="text1"/>
        </w:rPr>
      </w:pPr>
      <w:bookmarkStart w:id="4512" w:name="_Ref38318418"/>
      <w:bookmarkStart w:id="4513" w:name="_Toc52181649"/>
      <w:r w:rsidRPr="00A52AB8">
        <w:rPr>
          <w:color w:val="000000" w:themeColor="text1"/>
        </w:rPr>
        <w:t>Overview of profiles, tiers, and levels</w:t>
      </w:r>
      <w:bookmarkEnd w:id="4512"/>
      <w:bookmarkEnd w:id="4513"/>
    </w:p>
    <w:p w14:paraId="5C07A1F2" w14:textId="647C7D11" w:rsidR="00535D94" w:rsidRPr="00A52AB8" w:rsidRDefault="00535D94">
      <w:pPr>
        <w:rPr>
          <w:rFonts w:cs="Calibri"/>
        </w:rPr>
      </w:pPr>
      <w:r w:rsidRPr="00A52AB8">
        <w:rPr>
          <w:rFonts w:cs="Calibri"/>
        </w:rPr>
        <w:t>Profiles, tiers, and levels specify restrictions on the bitstreams and hence limits on the capabilities needed to decode the bitstreams. Profiles, tiers, and levels may also be used to indicate interoperability points between individual decoder implementations.</w:t>
      </w:r>
    </w:p>
    <w:p w14:paraId="2BDC9582" w14:textId="77777777" w:rsidR="00535D94" w:rsidRPr="00A52AB8" w:rsidRDefault="00535D94">
      <w:pPr>
        <w:rPr>
          <w:rFonts w:cs="Calibri"/>
        </w:rPr>
      </w:pPr>
      <w:r w:rsidRPr="00A52AB8">
        <w:rPr>
          <w:rFonts w:cs="Calibri"/>
        </w:rPr>
        <w:t>Each profile specifies a subset of algorithmic features and limits that shall be supported by all decoders conforming to that profile.</w:t>
      </w:r>
    </w:p>
    <w:p w14:paraId="486078D6" w14:textId="77777777" w:rsidR="00535D94" w:rsidRPr="00A52AB8" w:rsidRDefault="00535D94">
      <w:pPr>
        <w:rPr>
          <w:rFonts w:cs="Calibri"/>
        </w:rPr>
      </w:pPr>
      <w:r w:rsidRPr="00A52AB8">
        <w:rPr>
          <w:rFonts w:cs="Calibri"/>
        </w:rPr>
        <w:t xml:space="preserve">Each level of a tier specifies a set of limits on the values that may be taken by the syntax elements of </w:t>
      </w:r>
      <w:r w:rsidR="001905CC" w:rsidRPr="00A52AB8">
        <w:rPr>
          <w:rFonts w:cs="Calibri"/>
        </w:rPr>
        <w:t>this document</w:t>
      </w:r>
      <w:r w:rsidRPr="00A52AB8">
        <w:rPr>
          <w:rFonts w:cs="Calibri"/>
        </w:rPr>
        <w:t>. The same set of tier and level definitions is used with all profiles, but individual implementations may support a different tier and within a tier a different level for each supported profile. For any given profile, a level of a tier generally corresponds to a particular decoder processing load and memory capability.</w:t>
      </w:r>
    </w:p>
    <w:p w14:paraId="38089710" w14:textId="18645B35" w:rsidR="00535D94" w:rsidRPr="00A52AB8" w:rsidRDefault="00535D94">
      <w:pPr>
        <w:rPr>
          <w:rFonts w:cs="Calibri"/>
        </w:rPr>
      </w:pPr>
      <w:r w:rsidRPr="00A52AB8">
        <w:rPr>
          <w:rFonts w:cs="Calibri"/>
        </w:rPr>
        <w:t xml:space="preserve">Capabilities of </w:t>
      </w:r>
      <w:r w:rsidR="00463CF8" w:rsidRPr="00A52AB8">
        <w:rPr>
          <w:rFonts w:cs="Calibri"/>
        </w:rPr>
        <w:t>V3C</w:t>
      </w:r>
      <w:r w:rsidRPr="00A52AB8">
        <w:rPr>
          <w:rFonts w:cs="Calibri"/>
        </w:rPr>
        <w:t xml:space="preserve"> decoders conforming to </w:t>
      </w:r>
      <w:r w:rsidR="001905CC" w:rsidRPr="00A52AB8">
        <w:rPr>
          <w:rFonts w:cs="Calibri"/>
        </w:rPr>
        <w:t xml:space="preserve">this </w:t>
      </w:r>
      <w:r w:rsidR="00BE4FA3" w:rsidRPr="00A52AB8">
        <w:rPr>
          <w:rFonts w:cs="Calibri"/>
        </w:rPr>
        <w:t xml:space="preserve">version of this </w:t>
      </w:r>
      <w:r w:rsidR="001905CC" w:rsidRPr="00A52AB8">
        <w:rPr>
          <w:rFonts w:cs="Calibri"/>
        </w:rPr>
        <w:t>document</w:t>
      </w:r>
      <w:r w:rsidRPr="00A52AB8">
        <w:rPr>
          <w:rFonts w:cs="Calibri"/>
        </w:rPr>
        <w:t xml:space="preserve"> are specified in terms of the ability to decode </w:t>
      </w:r>
      <w:r w:rsidR="00463CF8" w:rsidRPr="00A52AB8">
        <w:rPr>
          <w:rFonts w:cs="Calibri"/>
        </w:rPr>
        <w:t>V3C</w:t>
      </w:r>
      <w:r w:rsidRPr="00A52AB8">
        <w:rPr>
          <w:rFonts w:cs="Calibri"/>
        </w:rPr>
        <w:t xml:space="preserve"> </w:t>
      </w:r>
      <w:r w:rsidR="00D843AF" w:rsidRPr="00A52AB8">
        <w:rPr>
          <w:rFonts w:cs="Calibri"/>
        </w:rPr>
        <w:t>bit</w:t>
      </w:r>
      <w:r w:rsidRPr="00A52AB8">
        <w:rPr>
          <w:rFonts w:cs="Calibri"/>
        </w:rPr>
        <w:t xml:space="preserve">streams </w:t>
      </w:r>
      <w:r w:rsidR="00D843AF" w:rsidRPr="00A52AB8">
        <w:rPr>
          <w:rFonts w:cs="Calibri"/>
        </w:rPr>
        <w:t xml:space="preserve">or collection of V3C sub-bitstreams </w:t>
      </w:r>
      <w:r w:rsidRPr="00A52AB8">
        <w:rPr>
          <w:rFonts w:cs="Calibri"/>
        </w:rPr>
        <w:t>conforming to the constraints of profiles, tiers</w:t>
      </w:r>
      <w:r w:rsidR="00FF7CF5" w:rsidRPr="00A52AB8">
        <w:rPr>
          <w:rFonts w:cs="Calibri"/>
        </w:rPr>
        <w:t>,</w:t>
      </w:r>
      <w:r w:rsidRPr="00A52AB8">
        <w:rPr>
          <w:rFonts w:cs="Calibri"/>
        </w:rPr>
        <w:t xml:space="preserve"> and levels specified in this annex and other annexes. When expressing the capabilities of a decoder for a specified profile, the tier and level supported for that profile should also be expressed.</w:t>
      </w:r>
    </w:p>
    <w:p w14:paraId="362B4944" w14:textId="15AB9459" w:rsidR="00E95AB0" w:rsidRPr="00A52AB8" w:rsidRDefault="00535D94" w:rsidP="00743B88">
      <w:pPr>
        <w:pStyle w:val="Note1"/>
        <w:rPr>
          <w:rFonts w:ascii="Cambria" w:hAnsi="Cambria"/>
        </w:rPr>
      </w:pPr>
      <w:r w:rsidRPr="00A52AB8">
        <w:rPr>
          <w:rFonts w:ascii="Cambria" w:hAnsi="Cambria"/>
        </w:rPr>
        <w:t>NOTE</w:t>
      </w:r>
      <w:r w:rsidR="00D45AB7" w:rsidRPr="00A52AB8">
        <w:rPr>
          <w:rFonts w:ascii="Cambria" w:hAnsi="Cambria"/>
        </w:rPr>
        <w:t> </w:t>
      </w:r>
      <w:r w:rsidRPr="00A52AB8">
        <w:rPr>
          <w:rFonts w:ascii="Cambria" w:hAnsi="Cambria"/>
        </w:rPr>
        <w:t>–</w:t>
      </w:r>
      <w:r w:rsidR="00D45AB7" w:rsidRPr="00A52AB8">
        <w:rPr>
          <w:rFonts w:ascii="Cambria" w:hAnsi="Cambria"/>
        </w:rPr>
        <w:t> </w:t>
      </w:r>
      <w:r w:rsidRPr="00A52AB8">
        <w:rPr>
          <w:rFonts w:ascii="Cambria" w:hAnsi="Cambria"/>
        </w:rPr>
        <w:t xml:space="preserve">The term “decode” in this context </w:t>
      </w:r>
      <w:r w:rsidR="00A37948" w:rsidRPr="00A52AB8">
        <w:rPr>
          <w:rFonts w:ascii="Cambria" w:hAnsi="Cambria"/>
        </w:rPr>
        <w:t xml:space="preserve">can </w:t>
      </w:r>
      <w:r w:rsidRPr="00A52AB8">
        <w:rPr>
          <w:rFonts w:ascii="Cambria" w:hAnsi="Cambria"/>
        </w:rPr>
        <w:t>include the reconstruction in 3D space</w:t>
      </w:r>
      <w:r w:rsidR="009E34CD" w:rsidRPr="00A52AB8">
        <w:rPr>
          <w:rFonts w:ascii="Cambria" w:hAnsi="Cambria"/>
        </w:rPr>
        <w:t>,</w:t>
      </w:r>
      <w:r w:rsidRPr="00A52AB8">
        <w:rPr>
          <w:rFonts w:ascii="Cambria" w:hAnsi="Cambria"/>
        </w:rPr>
        <w:t xml:space="preserve"> </w:t>
      </w:r>
      <w:r w:rsidR="009E34CD" w:rsidRPr="00A52AB8">
        <w:rPr>
          <w:rFonts w:ascii="Cambria" w:hAnsi="Cambria"/>
        </w:rPr>
        <w:t>i</w:t>
      </w:r>
      <w:r w:rsidRPr="00A52AB8">
        <w:rPr>
          <w:rFonts w:ascii="Cambria" w:hAnsi="Cambria"/>
        </w:rPr>
        <w:t xml:space="preserve">.e. “decode” </w:t>
      </w:r>
      <w:r w:rsidR="00A37948" w:rsidRPr="00A52AB8">
        <w:rPr>
          <w:rFonts w:ascii="Cambria" w:hAnsi="Cambria"/>
        </w:rPr>
        <w:t xml:space="preserve">can </w:t>
      </w:r>
      <w:r w:rsidRPr="00A52AB8">
        <w:rPr>
          <w:rFonts w:ascii="Cambria" w:hAnsi="Cambria"/>
        </w:rPr>
        <w:t xml:space="preserve">refer to only decoding the 2D video </w:t>
      </w:r>
      <w:r w:rsidR="00D92538" w:rsidRPr="00A52AB8">
        <w:rPr>
          <w:rFonts w:ascii="Cambria" w:hAnsi="Cambria"/>
        </w:rPr>
        <w:t>sub-bit</w:t>
      </w:r>
      <w:r w:rsidRPr="00A52AB8">
        <w:rPr>
          <w:rFonts w:ascii="Cambria" w:hAnsi="Cambria"/>
        </w:rPr>
        <w:t xml:space="preserve">streams (i.e. geometry, occupancy, attribute(s)) and the associated </w:t>
      </w:r>
      <w:r w:rsidR="009E34CD" w:rsidRPr="00A52AB8">
        <w:rPr>
          <w:rFonts w:ascii="Cambria" w:hAnsi="Cambria"/>
        </w:rPr>
        <w:t xml:space="preserve">atlas </w:t>
      </w:r>
      <w:r w:rsidR="00D92538" w:rsidRPr="00A52AB8">
        <w:rPr>
          <w:rFonts w:ascii="Cambria" w:hAnsi="Cambria"/>
        </w:rPr>
        <w:t>sub-</w:t>
      </w:r>
      <w:r w:rsidR="009E34CD" w:rsidRPr="00A52AB8">
        <w:rPr>
          <w:rFonts w:ascii="Cambria" w:hAnsi="Cambria"/>
        </w:rPr>
        <w:t>bitstream</w:t>
      </w:r>
      <w:r w:rsidRPr="00A52AB8">
        <w:rPr>
          <w:rFonts w:ascii="Cambria" w:hAnsi="Cambria"/>
        </w:rPr>
        <w:t xml:space="preserve">, or it </w:t>
      </w:r>
      <w:r w:rsidR="000B255B" w:rsidRPr="00A52AB8">
        <w:rPr>
          <w:rFonts w:ascii="Cambria" w:hAnsi="Cambria"/>
        </w:rPr>
        <w:t xml:space="preserve">can </w:t>
      </w:r>
      <w:r w:rsidRPr="00A52AB8">
        <w:rPr>
          <w:rFonts w:ascii="Cambria" w:hAnsi="Cambria"/>
        </w:rPr>
        <w:t>include further reconstruction into 3D space. The respective steps included in the “decoding” are specified for each profile.</w:t>
      </w:r>
    </w:p>
    <w:p w14:paraId="6829A374" w14:textId="26CA26AC" w:rsidR="00E95AB0" w:rsidRPr="00A52AB8" w:rsidRDefault="00E95AB0" w:rsidP="00E95AB0">
      <w:r w:rsidRPr="00A52AB8">
        <w:t xml:space="preserve">In this annex, phrases like "the bitstream" should be intepreted as "the </w:t>
      </w:r>
      <w:r w:rsidR="00885AD4" w:rsidRPr="00A52AB8">
        <w:t xml:space="preserve">V3C </w:t>
      </w:r>
      <w:r w:rsidRPr="00A52AB8">
        <w:t>bitstream of the operation point", and phrases like "coded atlas access unit n" should be interpreted as "coded atlas access unit n in the bitstream of the operation point”, where "the operation point" is the operation point with which the profile, tier, or level is associated with.</w:t>
      </w:r>
    </w:p>
    <w:p w14:paraId="2D83F0B7" w14:textId="306A83E9" w:rsidR="00E95AB0" w:rsidRPr="00A52AB8" w:rsidRDefault="00E95AB0" w:rsidP="00E95AB0">
      <w:r w:rsidRPr="00A52AB8">
        <w:t>The variables HtidOP and TemporalID</w:t>
      </w:r>
      <w:r w:rsidR="00C7178F" w:rsidRPr="00A52AB8">
        <w:t>, which indicate the highest temporal layer present in an atlas sub</w:t>
      </w:r>
      <w:r w:rsidR="00C7178F" w:rsidRPr="00A52AB8">
        <w:noBreakHyphen/>
        <w:t>bitstream and the temporal ID of an atlas sub-bitstream, respectively,</w:t>
      </w:r>
      <w:r w:rsidRPr="00A52AB8">
        <w:t xml:space="preserve"> shall be equal to 0 in this version of the document.</w:t>
      </w:r>
    </w:p>
    <w:p w14:paraId="17186E89" w14:textId="58F53B04" w:rsidR="00E95AB0" w:rsidRPr="00A52AB8" w:rsidRDefault="00D16A33" w:rsidP="00743B88">
      <w:r w:rsidRPr="00A52AB8">
        <w:t>For e</w:t>
      </w:r>
      <w:r w:rsidR="00E95AB0" w:rsidRPr="00A52AB8">
        <w:t>ach</w:t>
      </w:r>
      <w:r w:rsidR="004C468A" w:rsidRPr="00A52AB8">
        <w:t xml:space="preserve"> </w:t>
      </w:r>
      <w:r w:rsidR="00E95AB0" w:rsidRPr="00A52AB8">
        <w:t xml:space="preserve">operation point identified by HtidOP, the profile, tier, and level information </w:t>
      </w:r>
      <w:r w:rsidRPr="00A52AB8">
        <w:t xml:space="preserve">are </w:t>
      </w:r>
      <w:r w:rsidR="00E95AB0" w:rsidRPr="00A52AB8">
        <w:t xml:space="preserve">indicated by a </w:t>
      </w:r>
      <w:r w:rsidR="00E95AB0" w:rsidRPr="00A52AB8">
        <w:rPr>
          <w:rFonts w:cs="Calibri"/>
        </w:rPr>
        <w:t>combination of syntax elements</w:t>
      </w:r>
      <w:r w:rsidRPr="00A52AB8">
        <w:rPr>
          <w:rFonts w:cs="Calibri"/>
        </w:rPr>
        <w:t>, including</w:t>
      </w:r>
      <w:r w:rsidR="00E95AB0" w:rsidRPr="00A52AB8">
        <w:rPr>
          <w:rFonts w:cs="Calibri"/>
        </w:rPr>
        <w:t xml:space="preserve"> ptl_profile_codec_group_idc and ptl_profile_toolset_idc</w:t>
      </w:r>
      <w:r w:rsidR="00E95AB0" w:rsidRPr="00A52AB8">
        <w:t xml:space="preserve">, </w:t>
      </w:r>
      <w:r w:rsidRPr="00A52AB8">
        <w:t xml:space="preserve">that are </w:t>
      </w:r>
      <w:r w:rsidR="00E95AB0" w:rsidRPr="00A52AB8">
        <w:t>found in or derived from the profile_tier_level( ) syntax structure in the VPS, if available, or determined through</w:t>
      </w:r>
      <w:r w:rsidR="00C61E38" w:rsidRPr="00A52AB8">
        <w:t xml:space="preserve"> </w:t>
      </w:r>
      <w:r w:rsidR="00E95AB0" w:rsidRPr="00A52AB8">
        <w:t>external means.</w:t>
      </w:r>
    </w:p>
    <w:p w14:paraId="32576970" w14:textId="77777777" w:rsidR="00535D94" w:rsidRPr="00A52AB8" w:rsidRDefault="00D47EDB" w:rsidP="008F2A42">
      <w:pPr>
        <w:pStyle w:val="a2"/>
        <w:numPr>
          <w:ilvl w:val="1"/>
          <w:numId w:val="14"/>
        </w:numPr>
        <w:tabs>
          <w:tab w:val="left" w:pos="3960"/>
          <w:tab w:val="num" w:pos="4613"/>
        </w:tabs>
        <w:rPr>
          <w:rFonts w:cs="Calibri"/>
        </w:rPr>
      </w:pPr>
      <w:bookmarkStart w:id="4514" w:name="_Toc50721514"/>
      <w:bookmarkStart w:id="4515" w:name="_Toc50723482"/>
      <w:bookmarkStart w:id="4516" w:name="_Toc50938911"/>
      <w:bookmarkStart w:id="4517" w:name="_Ref38318433"/>
      <w:bookmarkStart w:id="4518" w:name="_Toc52181650"/>
      <w:bookmarkEnd w:id="4514"/>
      <w:bookmarkEnd w:id="4515"/>
      <w:bookmarkEnd w:id="4516"/>
      <w:r w:rsidRPr="00A52AB8">
        <w:rPr>
          <w:color w:val="000000" w:themeColor="text1"/>
        </w:rPr>
        <w:t>P</w:t>
      </w:r>
      <w:r w:rsidR="00535D94" w:rsidRPr="00A52AB8">
        <w:rPr>
          <w:color w:val="000000" w:themeColor="text1"/>
        </w:rPr>
        <w:t>rofile, tier</w:t>
      </w:r>
      <w:r w:rsidR="00D843AF" w:rsidRPr="00A52AB8">
        <w:rPr>
          <w:color w:val="000000" w:themeColor="text1"/>
        </w:rPr>
        <w:t>,</w:t>
      </w:r>
      <w:r w:rsidR="00535D94" w:rsidRPr="00A52AB8">
        <w:rPr>
          <w:color w:val="000000" w:themeColor="text1"/>
        </w:rPr>
        <w:t xml:space="preserve"> and level structure</w:t>
      </w:r>
      <w:bookmarkEnd w:id="4517"/>
      <w:bookmarkEnd w:id="4518"/>
    </w:p>
    <w:p w14:paraId="312CDFAE" w14:textId="4B752381" w:rsidR="00C84D2A" w:rsidRPr="00A52AB8" w:rsidRDefault="00CE34CB" w:rsidP="00007BE2">
      <w:pPr>
        <w:keepNext/>
        <w:rPr>
          <w:rFonts w:cs="Calibri"/>
        </w:rPr>
      </w:pPr>
      <w:r w:rsidRPr="00A52AB8">
        <w:rPr>
          <w:rFonts w:cs="Calibri"/>
        </w:rPr>
        <w:t xml:space="preserve">V3C </w:t>
      </w:r>
      <w:r w:rsidR="00535D94" w:rsidRPr="00A52AB8">
        <w:rPr>
          <w:rFonts w:cs="Calibri"/>
        </w:rPr>
        <w:t>profiles follow a structured and flexible definition to allow for clearly identif</w:t>
      </w:r>
      <w:r w:rsidR="00D92538" w:rsidRPr="00A52AB8">
        <w:rPr>
          <w:rFonts w:cs="Calibri"/>
        </w:rPr>
        <w:t>y</w:t>
      </w:r>
      <w:r w:rsidR="00535D94" w:rsidRPr="00A52AB8">
        <w:rPr>
          <w:rFonts w:cs="Calibri"/>
        </w:rPr>
        <w:t>ing two distinct conformance points</w:t>
      </w:r>
      <w:r w:rsidR="008D4E30" w:rsidRPr="00A52AB8">
        <w:rPr>
          <w:rFonts w:cs="Calibri"/>
        </w:rPr>
        <w:t xml:space="preserve">. These conformance points are </w:t>
      </w:r>
      <w:r w:rsidR="00535D94" w:rsidRPr="00A52AB8">
        <w:rPr>
          <w:rFonts w:cs="Calibri"/>
        </w:rPr>
        <w:t>illustrated in the decoding block diagram shown in</w:t>
      </w:r>
      <w:r w:rsidR="00C84D2A" w:rsidRPr="00A52AB8">
        <w:rPr>
          <w:rFonts w:cs="Calibri"/>
        </w:rPr>
        <w:t xml:space="preserve"> </w:t>
      </w:r>
      <w:r w:rsidR="00C84D2A" w:rsidRPr="00496A4D">
        <w:rPr>
          <w:rFonts w:cs="Calibri"/>
        </w:rPr>
        <w:fldChar w:fldCharType="begin"/>
      </w:r>
      <w:r w:rsidR="00C84D2A" w:rsidRPr="00A52AB8">
        <w:rPr>
          <w:rFonts w:cs="Calibri"/>
        </w:rPr>
        <w:instrText xml:space="preserve"> REF _Ref49189940 \h </w:instrText>
      </w:r>
      <w:r w:rsidR="00007BE2" w:rsidRPr="00A52AB8">
        <w:rPr>
          <w:rFonts w:cs="Calibri"/>
        </w:rPr>
        <w:instrText xml:space="preserve"> \* MERGEFORMAT </w:instrText>
      </w:r>
      <w:r w:rsidR="00C84D2A" w:rsidRPr="00496A4D">
        <w:rPr>
          <w:rFonts w:cs="Calibri"/>
        </w:rPr>
      </w:r>
      <w:r w:rsidR="00C84D2A" w:rsidRPr="00496A4D">
        <w:rPr>
          <w:rFonts w:cs="Calibri"/>
        </w:rPr>
        <w:fldChar w:fldCharType="separate"/>
      </w:r>
      <w:r w:rsidR="00507A67" w:rsidRPr="00A52AB8">
        <w:rPr>
          <w:rFonts w:cs="Calibri"/>
        </w:rPr>
        <w:t xml:space="preserve">Figure </w:t>
      </w:r>
      <w:r w:rsidR="00507A67" w:rsidRPr="00507A67">
        <w:rPr>
          <w:rFonts w:cs="Calibri"/>
          <w:bCs/>
        </w:rPr>
        <w:t>A-</w:t>
      </w:r>
      <w:r w:rsidR="00507A67">
        <w:rPr>
          <w:rFonts w:cs="Calibri"/>
          <w:bCs/>
        </w:rPr>
        <w:t>1</w:t>
      </w:r>
      <w:r w:rsidR="00C84D2A" w:rsidRPr="00496A4D">
        <w:rPr>
          <w:rFonts w:cs="Calibri"/>
        </w:rPr>
        <w:fldChar w:fldCharType="end"/>
      </w:r>
      <w:r w:rsidR="00C84D2A" w:rsidRPr="00A52AB8">
        <w:rPr>
          <w:rFonts w:cs="Calibri"/>
        </w:rPr>
        <w:t>.</w:t>
      </w:r>
    </w:p>
    <w:p w14:paraId="3EF02F79" w14:textId="017593F4" w:rsidR="00C84D2A" w:rsidRPr="00A52AB8" w:rsidRDefault="001777CB" w:rsidP="004A7026">
      <w:pPr>
        <w:jc w:val="center"/>
        <w:rPr>
          <w:rFonts w:cs="Calibri"/>
        </w:rPr>
      </w:pPr>
      <w:r w:rsidRPr="00A52AB8">
        <w:rPr>
          <w:rFonts w:cs="Calibri"/>
        </w:rPr>
        <w:t xml:space="preserve"> </w:t>
      </w:r>
      <w:r w:rsidRPr="00496A4D">
        <w:rPr>
          <w:noProof/>
        </w:rPr>
        <w:drawing>
          <wp:inline distT="0" distB="0" distL="0" distR="0" wp14:anchorId="13D2B540" wp14:editId="7706B4E6">
            <wp:extent cx="5673079" cy="6468454"/>
            <wp:effectExtent l="0" t="0" r="444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673079" cy="6468454"/>
                    </a:xfrm>
                    <a:prstGeom prst="rect">
                      <a:avLst/>
                    </a:prstGeom>
                    <a:noFill/>
                    <a:ln>
                      <a:noFill/>
                    </a:ln>
                  </pic:spPr>
                </pic:pic>
              </a:graphicData>
            </a:graphic>
          </wp:inline>
        </w:drawing>
      </w:r>
    </w:p>
    <w:p w14:paraId="4F9A416E" w14:textId="649E7932" w:rsidR="00C84D2A" w:rsidRPr="00A52AB8" w:rsidRDefault="00C84D2A" w:rsidP="00C84D2A">
      <w:pPr>
        <w:pStyle w:val="Caption"/>
        <w:rPr>
          <w:rFonts w:ascii="Cambria" w:hAnsi="Cambria"/>
          <w:bCs w:val="0"/>
        </w:rPr>
      </w:pPr>
      <w:bookmarkStart w:id="4519" w:name="_Ref49189940"/>
      <w:r w:rsidRPr="00A52AB8">
        <w:rPr>
          <w:rFonts w:ascii="Cambria" w:hAnsi="Cambria" w:cs="Calibri"/>
        </w:rPr>
        <w:t xml:space="preserve">Figure </w:t>
      </w:r>
      <w:r w:rsidRPr="00A52AB8">
        <w:rPr>
          <w:rFonts w:ascii="Cambria" w:hAnsi="Cambria" w:cs="Calibri"/>
          <w:bCs w:val="0"/>
        </w:rPr>
        <w:t>A-</w:t>
      </w:r>
      <w:r w:rsidRPr="00496A4D">
        <w:rPr>
          <w:rFonts w:ascii="Cambria" w:hAnsi="Cambria" w:cs="Calibri"/>
          <w:bCs w:val="0"/>
        </w:rPr>
        <w:fldChar w:fldCharType="begin"/>
      </w:r>
      <w:r w:rsidRPr="00A52AB8">
        <w:rPr>
          <w:rFonts w:ascii="Cambria" w:hAnsi="Cambria" w:cs="Calibri"/>
          <w:bCs w:val="0"/>
        </w:rPr>
        <w:instrText xml:space="preserve"> SEQ Figure \* ARABIC \r 1</w:instrText>
      </w:r>
      <w:r w:rsidRPr="00496A4D">
        <w:rPr>
          <w:rFonts w:ascii="Cambria" w:hAnsi="Cambria" w:cs="Calibri"/>
          <w:bCs w:val="0"/>
        </w:rPr>
        <w:fldChar w:fldCharType="separate"/>
      </w:r>
      <w:r w:rsidR="00507A67">
        <w:rPr>
          <w:rFonts w:ascii="Cambria" w:hAnsi="Cambria" w:cs="Calibri"/>
          <w:bCs w:val="0"/>
          <w:noProof/>
        </w:rPr>
        <w:t>1</w:t>
      </w:r>
      <w:r w:rsidRPr="00496A4D">
        <w:rPr>
          <w:rFonts w:ascii="Cambria" w:hAnsi="Cambria" w:cs="Calibri"/>
          <w:bCs w:val="0"/>
        </w:rPr>
        <w:fldChar w:fldCharType="end"/>
      </w:r>
      <w:bookmarkEnd w:id="4519"/>
      <w:r w:rsidRPr="00A52AB8">
        <w:rPr>
          <w:rFonts w:ascii="Cambria" w:hAnsi="Cambria" w:cs="Calibri"/>
          <w:bCs w:val="0"/>
        </w:rPr>
        <w:t> </w:t>
      </w:r>
      <w:r w:rsidRPr="00A52AB8">
        <w:rPr>
          <w:rFonts w:ascii="Cambria" w:hAnsi="Cambria"/>
        </w:rPr>
        <w:t>– </w:t>
      </w:r>
      <w:r w:rsidRPr="00A52AB8">
        <w:rPr>
          <w:rFonts w:ascii="Cambria" w:hAnsi="Cambria" w:cs="Calibri"/>
          <w:bCs w:val="0"/>
        </w:rPr>
        <w:t>V3C decoding block diagram with decoding conformance points A and B</w:t>
      </w:r>
    </w:p>
    <w:p w14:paraId="2B7BECFB" w14:textId="77777777" w:rsidR="0050235C" w:rsidRPr="00A52AB8" w:rsidRDefault="00535D94">
      <w:pPr>
        <w:rPr>
          <w:rFonts w:cs="Calibri"/>
        </w:rPr>
      </w:pPr>
      <w:r w:rsidRPr="00A52AB8">
        <w:rPr>
          <w:rFonts w:cs="Calibri"/>
        </w:rPr>
        <w:t>The first conformance point</w:t>
      </w:r>
      <w:r w:rsidR="008D4E30" w:rsidRPr="00A52AB8">
        <w:rPr>
          <w:rFonts w:cs="Calibri"/>
        </w:rPr>
        <w:t xml:space="preserve">, </w:t>
      </w:r>
      <w:r w:rsidRPr="00A52AB8">
        <w:rPr>
          <w:rFonts w:cs="Calibri"/>
        </w:rPr>
        <w:t>point A</w:t>
      </w:r>
      <w:r w:rsidR="008D4E30" w:rsidRPr="00A52AB8">
        <w:rPr>
          <w:rFonts w:cs="Calibri"/>
        </w:rPr>
        <w:t>,</w:t>
      </w:r>
      <w:r w:rsidRPr="00A52AB8">
        <w:rPr>
          <w:rFonts w:cs="Calibri"/>
        </w:rPr>
        <w:t xml:space="preserve"> covers the decoded video </w:t>
      </w:r>
      <w:r w:rsidR="008D4E30" w:rsidRPr="00A52AB8">
        <w:rPr>
          <w:rFonts w:cs="Calibri"/>
        </w:rPr>
        <w:t>sub-bit</w:t>
      </w:r>
      <w:r w:rsidRPr="00A52AB8">
        <w:rPr>
          <w:rFonts w:cs="Calibri"/>
        </w:rPr>
        <w:t>streams</w:t>
      </w:r>
      <w:r w:rsidR="00CE34CB" w:rsidRPr="00A52AB8">
        <w:rPr>
          <w:rFonts w:cs="Calibri"/>
        </w:rPr>
        <w:t xml:space="preserve"> and</w:t>
      </w:r>
      <w:r w:rsidRPr="00A52AB8">
        <w:rPr>
          <w:rFonts w:cs="Calibri"/>
        </w:rPr>
        <w:t xml:space="preserve"> </w:t>
      </w:r>
      <w:r w:rsidR="008D4E30" w:rsidRPr="00A52AB8">
        <w:rPr>
          <w:rFonts w:cs="Calibri"/>
        </w:rPr>
        <w:t>atlas</w:t>
      </w:r>
      <w:r w:rsidRPr="00A52AB8">
        <w:rPr>
          <w:rFonts w:cs="Calibri"/>
        </w:rPr>
        <w:t xml:space="preserve"> </w:t>
      </w:r>
      <w:r w:rsidR="008D4E30" w:rsidRPr="00A52AB8">
        <w:rPr>
          <w:rFonts w:cs="Calibri"/>
        </w:rPr>
        <w:t>sub-bitstream</w:t>
      </w:r>
      <w:r w:rsidR="002E7440" w:rsidRPr="00A52AB8">
        <w:rPr>
          <w:rFonts w:cs="Calibri"/>
        </w:rPr>
        <w:t>.</w:t>
      </w:r>
      <w:r w:rsidR="008D4E30" w:rsidRPr="00A52AB8">
        <w:rPr>
          <w:rFonts w:cs="Calibri"/>
        </w:rPr>
        <w:t xml:space="preserve"> </w:t>
      </w:r>
      <w:r w:rsidR="002E7440" w:rsidRPr="00A52AB8">
        <w:rPr>
          <w:rFonts w:cs="Calibri"/>
        </w:rPr>
        <w:t xml:space="preserve">It also covers the derived </w:t>
      </w:r>
      <w:r w:rsidRPr="00A52AB8">
        <w:rPr>
          <w:rFonts w:cs="Calibri"/>
        </w:rPr>
        <w:t>block to patch map</w:t>
      </w:r>
      <w:r w:rsidR="002E7440" w:rsidRPr="00A52AB8">
        <w:rPr>
          <w:rFonts w:cs="Calibri"/>
        </w:rPr>
        <w:t xml:space="preserve"> information. It does not, however, cover</w:t>
      </w:r>
      <w:r w:rsidRPr="00A52AB8">
        <w:rPr>
          <w:rFonts w:cs="Calibri"/>
        </w:rPr>
        <w:t xml:space="preserve"> </w:t>
      </w:r>
      <w:r w:rsidR="002E7440" w:rsidRPr="00A52AB8">
        <w:rPr>
          <w:rFonts w:cs="Calibri"/>
        </w:rPr>
        <w:t xml:space="preserve">the </w:t>
      </w:r>
      <w:r w:rsidRPr="00A52AB8">
        <w:rPr>
          <w:rFonts w:cs="Calibri"/>
        </w:rPr>
        <w:t>reconstruction</w:t>
      </w:r>
      <w:r w:rsidR="002E7440" w:rsidRPr="00A52AB8">
        <w:rPr>
          <w:rFonts w:cs="Calibri"/>
        </w:rPr>
        <w:t xml:space="preserve"> process</w:t>
      </w:r>
      <w:r w:rsidRPr="00A52AB8">
        <w:rPr>
          <w:rFonts w:cs="Calibri"/>
        </w:rPr>
        <w:t>.</w:t>
      </w:r>
    </w:p>
    <w:p w14:paraId="2A9058A9" w14:textId="77777777" w:rsidR="0050235C" w:rsidRPr="00A52AB8" w:rsidRDefault="00535D94">
      <w:pPr>
        <w:rPr>
          <w:rFonts w:cs="Calibri"/>
        </w:rPr>
      </w:pPr>
      <w:r w:rsidRPr="00A52AB8">
        <w:rPr>
          <w:rFonts w:cs="Calibri"/>
        </w:rPr>
        <w:t>The second conformance point</w:t>
      </w:r>
      <w:r w:rsidR="002E7440" w:rsidRPr="00A52AB8">
        <w:rPr>
          <w:rFonts w:cs="Calibri"/>
        </w:rPr>
        <w:t xml:space="preserve">, </w:t>
      </w:r>
      <w:r w:rsidRPr="00A52AB8">
        <w:rPr>
          <w:rFonts w:cs="Calibri"/>
        </w:rPr>
        <w:t>point B</w:t>
      </w:r>
      <w:r w:rsidR="002E7440" w:rsidRPr="00A52AB8">
        <w:rPr>
          <w:rFonts w:cs="Calibri"/>
        </w:rPr>
        <w:t>,</w:t>
      </w:r>
      <w:r w:rsidRPr="00A52AB8">
        <w:rPr>
          <w:rFonts w:cs="Calibri"/>
        </w:rPr>
        <w:t xml:space="preserve"> </w:t>
      </w:r>
      <w:r w:rsidR="002E7440" w:rsidRPr="00A52AB8">
        <w:rPr>
          <w:rFonts w:cs="Calibri"/>
        </w:rPr>
        <w:t>covers the reconstruction process</w:t>
      </w:r>
      <w:r w:rsidRPr="00A52AB8">
        <w:rPr>
          <w:rFonts w:cs="Calibri"/>
        </w:rPr>
        <w:t>.</w:t>
      </w:r>
    </w:p>
    <w:p w14:paraId="290D19F5" w14:textId="2F6EC172" w:rsidR="00AE5947" w:rsidRPr="00A52AB8" w:rsidRDefault="00AE5947" w:rsidP="00AE5947">
      <w:r w:rsidRPr="00A52AB8">
        <w:rPr>
          <w:rFonts w:cs="Calibri"/>
        </w:rPr>
        <w:t>A V3C profile decoding capability is defined by a combination of syntax elements ptl_profile_codec_group_idc and ptl_profile_toolset_idc</w:t>
      </w:r>
      <w:r w:rsidR="009A4189" w:rsidRPr="00A52AB8">
        <w:rPr>
          <w:rFonts w:cs="Calibri"/>
        </w:rPr>
        <w:t xml:space="preserve"> that are present in the VPS or </w:t>
      </w:r>
      <w:r w:rsidR="00B171F2" w:rsidRPr="00A52AB8">
        <w:rPr>
          <w:rFonts w:cs="Calibri"/>
        </w:rPr>
        <w:t>obtained</w:t>
      </w:r>
      <w:r w:rsidR="009A4189" w:rsidRPr="00A52AB8">
        <w:rPr>
          <w:rFonts w:cs="Calibri"/>
        </w:rPr>
        <w:t xml:space="preserve"> through external means if the VPS is </w:t>
      </w:r>
      <w:r w:rsidR="00B171F2" w:rsidRPr="00A52AB8">
        <w:rPr>
          <w:rFonts w:cs="Calibri"/>
        </w:rPr>
        <w:t>un</w:t>
      </w:r>
      <w:r w:rsidR="009A4189" w:rsidRPr="00A52AB8">
        <w:rPr>
          <w:rFonts w:cs="Calibri"/>
        </w:rPr>
        <w:t>available.</w:t>
      </w:r>
      <w:r w:rsidRPr="00A52AB8">
        <w:rPr>
          <w:rFonts w:cs="Calibri"/>
        </w:rPr>
        <w:t xml:space="preserve"> A V3C profile reconstruction capability is optionally defined by ptl_profile_reconstruction_idc, as shown in</w:t>
      </w:r>
      <w:r w:rsidR="002E7F47" w:rsidRPr="00A52AB8">
        <w:rPr>
          <w:rFonts w:cs="Calibri"/>
        </w:rPr>
        <w:t xml:space="preserve"> </w:t>
      </w:r>
      <w:r w:rsidR="002E7F47" w:rsidRPr="00496A4D">
        <w:rPr>
          <w:rFonts w:cs="Calibri"/>
        </w:rPr>
        <w:fldChar w:fldCharType="begin"/>
      </w:r>
      <w:r w:rsidR="002E7F47" w:rsidRPr="00A52AB8">
        <w:rPr>
          <w:rFonts w:cs="Calibri"/>
        </w:rPr>
        <w:instrText xml:space="preserve"> REF _Ref49257463 \h </w:instrText>
      </w:r>
      <w:r w:rsidR="00007BE2" w:rsidRPr="00A52AB8">
        <w:rPr>
          <w:rFonts w:cs="Calibri"/>
        </w:rPr>
        <w:instrText xml:space="preserve"> \* MERGEFORMAT </w:instrText>
      </w:r>
      <w:r w:rsidR="002E7F47" w:rsidRPr="00496A4D">
        <w:rPr>
          <w:rFonts w:cs="Calibri"/>
        </w:rPr>
      </w:r>
      <w:r w:rsidR="002E7F47" w:rsidRPr="00496A4D">
        <w:rPr>
          <w:rFonts w:cs="Calibri"/>
        </w:rPr>
        <w:fldChar w:fldCharType="separate"/>
      </w:r>
      <w:r w:rsidR="00507A67" w:rsidRPr="00A52AB8">
        <w:rPr>
          <w:rFonts w:cs="Calibri"/>
        </w:rPr>
        <w:t xml:space="preserve">Figure </w:t>
      </w:r>
      <w:r w:rsidR="00507A67" w:rsidRPr="00507A67">
        <w:rPr>
          <w:rFonts w:cs="Calibri"/>
          <w:bCs/>
        </w:rPr>
        <w:t>A-</w:t>
      </w:r>
      <w:r w:rsidR="00507A67">
        <w:rPr>
          <w:rFonts w:cs="Calibri"/>
          <w:bCs/>
        </w:rPr>
        <w:t>2</w:t>
      </w:r>
      <w:r w:rsidR="002E7F47" w:rsidRPr="00496A4D">
        <w:rPr>
          <w:rFonts w:cs="Calibri"/>
        </w:rPr>
        <w:fldChar w:fldCharType="end"/>
      </w:r>
      <w:r w:rsidRPr="00A52AB8">
        <w:rPr>
          <w:rFonts w:cs="Calibri"/>
        </w:rPr>
        <w:t>.</w:t>
      </w:r>
    </w:p>
    <w:p w14:paraId="76A993A2" w14:textId="77777777" w:rsidR="00535D94" w:rsidRPr="00A52AB8" w:rsidRDefault="00535D94">
      <w:pPr>
        <w:tabs>
          <w:tab w:val="clear" w:pos="403"/>
        </w:tabs>
        <w:spacing w:after="120" w:line="240" w:lineRule="auto"/>
        <w:rPr>
          <w:rFonts w:cs="Calibri"/>
        </w:rPr>
      </w:pPr>
      <w:r w:rsidRPr="00A52AB8">
        <w:rPr>
          <w:rFonts w:cs="Calibri"/>
        </w:rPr>
        <w:t xml:space="preserve">The first two profile components </w:t>
      </w:r>
      <w:r w:rsidR="004A0E4C" w:rsidRPr="00A52AB8">
        <w:rPr>
          <w:rFonts w:cs="Calibri"/>
        </w:rPr>
        <w:t xml:space="preserve">together </w:t>
      </w:r>
      <w:r w:rsidRPr="00A52AB8">
        <w:rPr>
          <w:rFonts w:cs="Calibri"/>
        </w:rPr>
        <w:t>describe</w:t>
      </w:r>
      <w:r w:rsidR="004A0E4C" w:rsidRPr="00A52AB8">
        <w:rPr>
          <w:rFonts w:cs="Calibri"/>
        </w:rPr>
        <w:t xml:space="preserve"> </w:t>
      </w:r>
      <w:r w:rsidRPr="00A52AB8">
        <w:rPr>
          <w:rFonts w:cs="Calibri"/>
        </w:rPr>
        <w:t xml:space="preserve">conformance point A. </w:t>
      </w:r>
      <w:r w:rsidR="004A0E4C" w:rsidRPr="00A52AB8">
        <w:rPr>
          <w:rFonts w:cs="Calibri"/>
        </w:rPr>
        <w:t xml:space="preserve">More specifically, they </w:t>
      </w:r>
      <w:r w:rsidRPr="00A52AB8">
        <w:rPr>
          <w:rFonts w:cs="Calibri"/>
        </w:rPr>
        <w:t>describe the supported:</w:t>
      </w:r>
    </w:p>
    <w:p w14:paraId="6291A091" w14:textId="098A62D8" w:rsidR="00535D94" w:rsidRPr="00A52AB8" w:rsidRDefault="00535D94"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video </w:t>
      </w:r>
      <w:r w:rsidR="00D843AF" w:rsidRPr="00A52AB8">
        <w:rPr>
          <w:color w:val="000000" w:themeColor="text1"/>
        </w:rPr>
        <w:t>de</w:t>
      </w:r>
      <w:r w:rsidRPr="00A52AB8">
        <w:rPr>
          <w:color w:val="000000" w:themeColor="text1"/>
        </w:rPr>
        <w:t xml:space="preserve">coding specifications and their profiles (e.g., </w:t>
      </w:r>
      <w:r w:rsidR="00386809" w:rsidRPr="00A52AB8">
        <w:rPr>
          <w:color w:val="000000" w:themeColor="text1"/>
        </w:rPr>
        <w:t xml:space="preserve">Progressive </w:t>
      </w:r>
      <w:r w:rsidRPr="00A52AB8">
        <w:rPr>
          <w:color w:val="000000" w:themeColor="text1"/>
        </w:rPr>
        <w:t>High</w:t>
      </w:r>
      <w:r w:rsidR="00630045" w:rsidRPr="00A52AB8">
        <w:rPr>
          <w:color w:val="000000" w:themeColor="text1"/>
        </w:rPr>
        <w:t xml:space="preserve"> as specified </w:t>
      </w:r>
      <w:r w:rsidR="00D85AEB" w:rsidRPr="00A52AB8">
        <w:rPr>
          <w:color w:val="000000" w:themeColor="text1"/>
        </w:rPr>
        <w:t xml:space="preserve">in </w:t>
      </w:r>
      <w:r w:rsidR="00630045" w:rsidRPr="00A52AB8">
        <w:rPr>
          <w:color w:val="000000" w:themeColor="text1"/>
        </w:rPr>
        <w:t>ISO/IEC 14496-10</w:t>
      </w:r>
      <w:r w:rsidR="0032202C" w:rsidRPr="00A52AB8">
        <w:rPr>
          <w:color w:val="000000" w:themeColor="text1"/>
        </w:rPr>
        <w:t>:</w:t>
      </w:r>
      <w:r w:rsidR="00996A70" w:rsidRPr="00A52AB8">
        <w:rPr>
          <w:color w:val="000000" w:themeColor="text1"/>
        </w:rPr>
        <w:t>2014:Annex A</w:t>
      </w:r>
      <w:r w:rsidRPr="00A52AB8">
        <w:rPr>
          <w:color w:val="000000" w:themeColor="text1"/>
        </w:rPr>
        <w:t>, Main</w:t>
      </w:r>
      <w:r w:rsidR="00A51EAC" w:rsidRPr="00A52AB8">
        <w:rPr>
          <w:color w:val="000000" w:themeColor="text1"/>
        </w:rPr>
        <w:t xml:space="preserve"> or </w:t>
      </w:r>
      <w:r w:rsidRPr="00A52AB8">
        <w:rPr>
          <w:color w:val="000000" w:themeColor="text1"/>
        </w:rPr>
        <w:t xml:space="preserve">Main 10 </w:t>
      </w:r>
      <w:r w:rsidR="0013245A" w:rsidRPr="00A52AB8">
        <w:rPr>
          <w:color w:val="000000" w:themeColor="text1"/>
        </w:rPr>
        <w:t>as specified in ISO/IEC </w:t>
      </w:r>
      <w:r w:rsidR="00996A70" w:rsidRPr="00A52AB8">
        <w:rPr>
          <w:color w:val="000000" w:themeColor="text1"/>
        </w:rPr>
        <w:t>23008-2</w:t>
      </w:r>
      <w:r w:rsidR="008F3529" w:rsidRPr="00A52AB8">
        <w:rPr>
          <w:color w:val="000000" w:themeColor="text1"/>
        </w:rPr>
        <w:t>:20</w:t>
      </w:r>
      <w:r w:rsidR="0034446B" w:rsidRPr="00A52AB8">
        <w:rPr>
          <w:color w:val="000000" w:themeColor="text1"/>
        </w:rPr>
        <w:t>20</w:t>
      </w:r>
      <w:r w:rsidR="008F3529" w:rsidRPr="00A52AB8">
        <w:rPr>
          <w:color w:val="000000" w:themeColor="text1"/>
        </w:rPr>
        <w:t>:Annex A</w:t>
      </w:r>
      <w:r w:rsidRPr="00A52AB8">
        <w:rPr>
          <w:color w:val="000000" w:themeColor="text1"/>
        </w:rPr>
        <w:t xml:space="preserve">), referred to as the </w:t>
      </w:r>
      <w:r w:rsidRPr="00A52AB8">
        <w:rPr>
          <w:b/>
          <w:bCs/>
          <w:color w:val="000000" w:themeColor="text1"/>
        </w:rPr>
        <w:t>CodecGroup</w:t>
      </w:r>
      <w:r w:rsidRPr="00A52AB8">
        <w:rPr>
          <w:color w:val="000000" w:themeColor="text1"/>
        </w:rPr>
        <w:t xml:space="preserve"> profile component, and</w:t>
      </w:r>
    </w:p>
    <w:p w14:paraId="07C9B81D" w14:textId="77777777" w:rsidR="009B746F" w:rsidRPr="00A52AB8" w:rsidRDefault="00123371"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V3C </w:t>
      </w:r>
      <w:r w:rsidR="00535D94" w:rsidRPr="00A52AB8">
        <w:rPr>
          <w:color w:val="000000" w:themeColor="text1"/>
        </w:rPr>
        <w:t xml:space="preserve">specific tools (e.g., use of </w:t>
      </w:r>
      <w:r w:rsidR="00386809" w:rsidRPr="00A52AB8">
        <w:rPr>
          <w:color w:val="000000" w:themeColor="text1"/>
        </w:rPr>
        <w:t>EOM and PLR</w:t>
      </w:r>
      <w:r w:rsidR="00535D94" w:rsidRPr="00A52AB8">
        <w:rPr>
          <w:color w:val="000000" w:themeColor="text1"/>
        </w:rPr>
        <w:t xml:space="preserve"> etc), referred to as the </w:t>
      </w:r>
      <w:r w:rsidR="00535D94" w:rsidRPr="00A52AB8">
        <w:rPr>
          <w:b/>
          <w:bCs/>
          <w:color w:val="000000" w:themeColor="text1"/>
        </w:rPr>
        <w:t>Toolset</w:t>
      </w:r>
      <w:r w:rsidR="00535D94" w:rsidRPr="00A52AB8">
        <w:rPr>
          <w:color w:val="000000" w:themeColor="text1"/>
        </w:rPr>
        <w:t xml:space="preserve"> profile component. The </w:t>
      </w:r>
      <w:r w:rsidR="00535D94" w:rsidRPr="00A52AB8">
        <w:rPr>
          <w:b/>
          <w:bCs/>
          <w:color w:val="000000" w:themeColor="text1"/>
        </w:rPr>
        <w:t>Toolset</w:t>
      </w:r>
      <w:r w:rsidR="00535D94" w:rsidRPr="00A52AB8">
        <w:rPr>
          <w:color w:val="000000" w:themeColor="text1"/>
        </w:rPr>
        <w:t xml:space="preserve"> profile component describes the bitstream syntax structure.</w:t>
      </w:r>
    </w:p>
    <w:p w14:paraId="46F7E015" w14:textId="0CC61FD8" w:rsidR="0050235C" w:rsidRPr="00A52AB8" w:rsidRDefault="00535D94">
      <w:pPr>
        <w:tabs>
          <w:tab w:val="clear" w:pos="403"/>
        </w:tabs>
        <w:spacing w:after="120" w:line="240" w:lineRule="auto"/>
        <w:rPr>
          <w:rFonts w:cs="Calibri"/>
        </w:rPr>
      </w:pPr>
      <w:r w:rsidRPr="00A52AB8">
        <w:rPr>
          <w:rFonts w:cs="Calibri"/>
        </w:rPr>
        <w:t xml:space="preserve">The third profile component describes conformance point B, specifying the </w:t>
      </w:r>
      <w:r w:rsidR="00BF1E40" w:rsidRPr="00A52AB8">
        <w:rPr>
          <w:rFonts w:cs="Calibri"/>
        </w:rPr>
        <w:t xml:space="preserve">pre-reconstruction, </w:t>
      </w:r>
      <w:r w:rsidRPr="00A52AB8">
        <w:rPr>
          <w:rFonts w:cs="Calibri"/>
        </w:rPr>
        <w:t>reconstruction</w:t>
      </w:r>
      <w:r w:rsidR="00BF1E40" w:rsidRPr="00A52AB8">
        <w:rPr>
          <w:rFonts w:cs="Calibri"/>
        </w:rPr>
        <w:t xml:space="preserve">, </w:t>
      </w:r>
      <w:r w:rsidR="00821A45" w:rsidRPr="00A52AB8">
        <w:rPr>
          <w:lang w:eastAsia="ja-JP"/>
        </w:rPr>
        <w:t>post-reconstruction, and adaptation</w:t>
      </w:r>
      <w:r w:rsidR="00821A45" w:rsidRPr="00A52AB8">
        <w:rPr>
          <w:rFonts w:cs="Calibri"/>
        </w:rPr>
        <w:t xml:space="preserve"> </w:t>
      </w:r>
      <w:r w:rsidRPr="00A52AB8">
        <w:rPr>
          <w:rFonts w:cs="Calibri"/>
        </w:rPr>
        <w:t xml:space="preserve">tools supported or recommended to achieve conformance in </w:t>
      </w:r>
      <w:r w:rsidR="00C7178F" w:rsidRPr="00A52AB8">
        <w:rPr>
          <w:rFonts w:cs="Calibri"/>
        </w:rPr>
        <w:t xml:space="preserve">terms of </w:t>
      </w:r>
      <w:r w:rsidRPr="00A52AB8">
        <w:rPr>
          <w:rFonts w:cs="Calibri"/>
        </w:rPr>
        <w:t xml:space="preserve">3D reconstruction. This is referred to as the </w:t>
      </w:r>
      <w:r w:rsidRPr="00A52AB8">
        <w:rPr>
          <w:rFonts w:cs="Calibri"/>
          <w:b/>
        </w:rPr>
        <w:t>Reconstruction</w:t>
      </w:r>
      <w:r w:rsidRPr="00A52AB8">
        <w:rPr>
          <w:rFonts w:cs="Calibri"/>
        </w:rPr>
        <w:t xml:space="preserve"> profile component.</w:t>
      </w:r>
    </w:p>
    <w:p w14:paraId="26DEA641" w14:textId="4B07C682" w:rsidR="0050235C" w:rsidRPr="00A52AB8" w:rsidRDefault="00535D94">
      <w:pPr>
        <w:tabs>
          <w:tab w:val="clear" w:pos="403"/>
        </w:tabs>
        <w:spacing w:line="240" w:lineRule="auto"/>
        <w:rPr>
          <w:rFonts w:cs="Calibri"/>
        </w:rPr>
      </w:pPr>
      <w:r w:rsidRPr="00A52AB8">
        <w:rPr>
          <w:rFonts w:cs="Calibri"/>
        </w:rPr>
        <w:t>Together</w:t>
      </w:r>
      <w:r w:rsidR="00634F2F" w:rsidRPr="00A52AB8">
        <w:rPr>
          <w:rFonts w:cs="Calibri"/>
        </w:rPr>
        <w:t>,</w:t>
      </w:r>
      <w:r w:rsidRPr="00A52AB8">
        <w:rPr>
          <w:rFonts w:cs="Calibri"/>
        </w:rPr>
        <w:t xml:space="preserve"> these profile components form </w:t>
      </w:r>
      <w:r w:rsidR="006F0430" w:rsidRPr="00A52AB8">
        <w:rPr>
          <w:rFonts w:cs="Calibri"/>
        </w:rPr>
        <w:t xml:space="preserve">a </w:t>
      </w:r>
      <w:r w:rsidR="0030015F" w:rsidRPr="00A52AB8">
        <w:rPr>
          <w:rFonts w:cs="Calibri"/>
        </w:rPr>
        <w:t>V3C</w:t>
      </w:r>
      <w:r w:rsidRPr="00A52AB8">
        <w:rPr>
          <w:rFonts w:cs="Calibri"/>
        </w:rPr>
        <w:t xml:space="preserve"> profile,</w:t>
      </w:r>
      <w:r w:rsidR="006F0430" w:rsidRPr="00A52AB8">
        <w:rPr>
          <w:rFonts w:cs="Calibri"/>
        </w:rPr>
        <w:t xml:space="preserve"> which </w:t>
      </w:r>
      <w:r w:rsidRPr="00A52AB8">
        <w:rPr>
          <w:rFonts w:cs="Calibri"/>
        </w:rPr>
        <w:t>follo</w:t>
      </w:r>
      <w:r w:rsidR="006F0430" w:rsidRPr="00A52AB8">
        <w:rPr>
          <w:rFonts w:cs="Calibri"/>
        </w:rPr>
        <w:t>ws</w:t>
      </w:r>
      <w:r w:rsidRPr="00A52AB8">
        <w:rPr>
          <w:rFonts w:cs="Calibri"/>
        </w:rPr>
        <w:t xml:space="preserve"> the naming convention </w:t>
      </w:r>
      <w:r w:rsidRPr="00A52AB8">
        <w:rPr>
          <w:rFonts w:cs="Calibri"/>
          <w:b/>
        </w:rPr>
        <w:t>CodecGroup Toolset Reconstruction</w:t>
      </w:r>
      <w:r w:rsidRPr="00A52AB8">
        <w:rPr>
          <w:rFonts w:cs="Calibri"/>
        </w:rPr>
        <w:t>. For example, taking the first blocks of</w:t>
      </w:r>
      <w:r w:rsidR="002E7F47" w:rsidRPr="00A52AB8">
        <w:rPr>
          <w:rFonts w:cs="Calibri"/>
        </w:rPr>
        <w:t xml:space="preserve"> </w:t>
      </w:r>
      <w:r w:rsidR="002E7F47" w:rsidRPr="00496A4D">
        <w:rPr>
          <w:rFonts w:cs="Calibri"/>
        </w:rPr>
        <w:fldChar w:fldCharType="begin"/>
      </w:r>
      <w:r w:rsidR="002E7F47" w:rsidRPr="00A52AB8">
        <w:rPr>
          <w:rFonts w:cs="Calibri"/>
        </w:rPr>
        <w:instrText xml:space="preserve"> REF _Ref49257463 \h </w:instrText>
      </w:r>
      <w:r w:rsidR="00007BE2" w:rsidRPr="00A52AB8">
        <w:rPr>
          <w:rFonts w:cs="Calibri"/>
        </w:rPr>
        <w:instrText xml:space="preserve"> \* MERGEFORMAT </w:instrText>
      </w:r>
      <w:r w:rsidR="002E7F47" w:rsidRPr="00496A4D">
        <w:rPr>
          <w:rFonts w:cs="Calibri"/>
        </w:rPr>
      </w:r>
      <w:r w:rsidR="002E7F47" w:rsidRPr="00496A4D">
        <w:rPr>
          <w:rFonts w:cs="Calibri"/>
        </w:rPr>
        <w:fldChar w:fldCharType="separate"/>
      </w:r>
      <w:r w:rsidR="00507A67" w:rsidRPr="00A52AB8">
        <w:rPr>
          <w:rFonts w:cs="Calibri"/>
        </w:rPr>
        <w:t xml:space="preserve">Figure </w:t>
      </w:r>
      <w:r w:rsidR="00507A67" w:rsidRPr="00507A67">
        <w:rPr>
          <w:rFonts w:cs="Calibri"/>
          <w:bCs/>
        </w:rPr>
        <w:t>A-</w:t>
      </w:r>
      <w:r w:rsidR="00507A67">
        <w:rPr>
          <w:rFonts w:cs="Calibri"/>
          <w:bCs/>
        </w:rPr>
        <w:t>2</w:t>
      </w:r>
      <w:r w:rsidR="002E7F47" w:rsidRPr="00496A4D">
        <w:rPr>
          <w:rFonts w:cs="Calibri"/>
        </w:rPr>
        <w:fldChar w:fldCharType="end"/>
      </w:r>
      <w:r w:rsidRPr="00A52AB8">
        <w:rPr>
          <w:rFonts w:cs="Calibri"/>
        </w:rPr>
        <w:t xml:space="preserve">, the resulting </w:t>
      </w:r>
      <w:r w:rsidR="001B6977" w:rsidRPr="00A52AB8">
        <w:rPr>
          <w:rFonts w:cs="Calibri"/>
        </w:rPr>
        <w:t>V3C</w:t>
      </w:r>
      <w:r w:rsidRPr="00A52AB8">
        <w:rPr>
          <w:rFonts w:cs="Calibri"/>
        </w:rPr>
        <w:t xml:space="preserve"> profile is named </w:t>
      </w:r>
      <w:r w:rsidR="00634F2F" w:rsidRPr="00A52AB8">
        <w:rPr>
          <w:rFonts w:cs="Calibri"/>
        </w:rPr>
        <w:t xml:space="preserve">as </w:t>
      </w:r>
      <w:r w:rsidRPr="00A52AB8">
        <w:rPr>
          <w:rFonts w:cs="Calibri"/>
          <w:b/>
        </w:rPr>
        <w:t xml:space="preserve">AVC </w:t>
      </w:r>
      <w:r w:rsidR="00A95281" w:rsidRPr="00A52AB8">
        <w:rPr>
          <w:rFonts w:cs="Calibri"/>
          <w:b/>
        </w:rPr>
        <w:t>V-PCC Basic</w:t>
      </w:r>
      <w:r w:rsidRPr="00A52AB8">
        <w:rPr>
          <w:rFonts w:cs="Calibri"/>
          <w:b/>
        </w:rPr>
        <w:t xml:space="preserve"> Rec0</w:t>
      </w:r>
      <w:r w:rsidRPr="00A52AB8">
        <w:rPr>
          <w:rFonts w:cs="Calibri"/>
          <w:b/>
          <w:i/>
        </w:rPr>
        <w:t>.</w:t>
      </w:r>
    </w:p>
    <w:p w14:paraId="7C8D8EB7" w14:textId="2E5C52BB" w:rsidR="00535D94" w:rsidRPr="00A52AB8" w:rsidRDefault="000B15D5">
      <w:pPr>
        <w:jc w:val="center"/>
      </w:pPr>
      <w:r w:rsidRPr="00496A4D">
        <w:rPr>
          <w:noProof/>
        </w:rPr>
        <w:drawing>
          <wp:inline distT="0" distB="0" distL="0" distR="0" wp14:anchorId="3395766E" wp14:editId="07ED2F15">
            <wp:extent cx="4565598" cy="856283"/>
            <wp:effectExtent l="0" t="0" r="0"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4660347" cy="874053"/>
                    </a:xfrm>
                    <a:prstGeom prst="rect">
                      <a:avLst/>
                    </a:prstGeom>
                  </pic:spPr>
                </pic:pic>
              </a:graphicData>
            </a:graphic>
          </wp:inline>
        </w:drawing>
      </w:r>
    </w:p>
    <w:p w14:paraId="251F6899" w14:textId="26BFD9BD" w:rsidR="002E7F47" w:rsidRPr="00A52AB8" w:rsidRDefault="002E7F47" w:rsidP="002E7F47">
      <w:pPr>
        <w:pStyle w:val="Caption"/>
        <w:rPr>
          <w:rFonts w:ascii="Cambria" w:hAnsi="Cambria"/>
          <w:bCs w:val="0"/>
        </w:rPr>
      </w:pPr>
      <w:bookmarkStart w:id="4520" w:name="_Ref49257463"/>
      <w:bookmarkStart w:id="4521" w:name="_Ref21431496"/>
      <w:r w:rsidRPr="00A52AB8">
        <w:rPr>
          <w:rFonts w:ascii="Cambria" w:hAnsi="Cambria" w:cs="Calibri"/>
        </w:rPr>
        <w:t xml:space="preserve">Figure </w:t>
      </w:r>
      <w:r w:rsidRPr="00A52AB8">
        <w:rPr>
          <w:rFonts w:ascii="Cambria" w:hAnsi="Cambria" w:cs="Calibri"/>
          <w:bCs w:val="0"/>
        </w:rPr>
        <w:t>A-</w:t>
      </w:r>
      <w:r w:rsidRPr="00496A4D">
        <w:rPr>
          <w:rFonts w:ascii="Cambria" w:hAnsi="Cambria" w:cs="Calibri"/>
          <w:bCs w:val="0"/>
        </w:rPr>
        <w:fldChar w:fldCharType="begin"/>
      </w:r>
      <w:r w:rsidRPr="00A52AB8">
        <w:rPr>
          <w:rFonts w:ascii="Cambria" w:hAnsi="Cambria" w:cs="Calibri"/>
          <w:bCs w:val="0"/>
        </w:rPr>
        <w:instrText xml:space="preserve"> SEQ Figure \* ARABIC</w:instrText>
      </w:r>
      <w:r w:rsidRPr="00496A4D">
        <w:rPr>
          <w:rFonts w:ascii="Cambria" w:hAnsi="Cambria" w:cs="Calibri"/>
          <w:bCs w:val="0"/>
        </w:rPr>
        <w:fldChar w:fldCharType="separate"/>
      </w:r>
      <w:r w:rsidR="00507A67">
        <w:rPr>
          <w:rFonts w:ascii="Cambria" w:hAnsi="Cambria" w:cs="Calibri"/>
          <w:bCs w:val="0"/>
          <w:noProof/>
        </w:rPr>
        <w:t>2</w:t>
      </w:r>
      <w:r w:rsidRPr="00496A4D">
        <w:rPr>
          <w:rFonts w:ascii="Cambria" w:hAnsi="Cambria" w:cs="Calibri"/>
          <w:bCs w:val="0"/>
        </w:rPr>
        <w:fldChar w:fldCharType="end"/>
      </w:r>
      <w:bookmarkEnd w:id="4520"/>
      <w:r w:rsidRPr="00A52AB8">
        <w:rPr>
          <w:rFonts w:ascii="Cambria" w:hAnsi="Cambria" w:cs="Calibri"/>
          <w:bCs w:val="0"/>
        </w:rPr>
        <w:t> </w:t>
      </w:r>
      <w:r w:rsidRPr="00A52AB8">
        <w:rPr>
          <w:rFonts w:ascii="Cambria" w:hAnsi="Cambria"/>
        </w:rPr>
        <w:t>– </w:t>
      </w:r>
      <w:r w:rsidRPr="00A52AB8">
        <w:rPr>
          <w:rFonts w:ascii="Cambria" w:hAnsi="Cambria" w:cs="Calibri"/>
          <w:bCs w:val="0"/>
        </w:rPr>
        <w:t>V3C profile, tier, and level structure</w:t>
      </w:r>
    </w:p>
    <w:bookmarkEnd w:id="4521"/>
    <w:p w14:paraId="3521249E" w14:textId="21C61F95" w:rsidR="00A05A13" w:rsidRPr="00A52AB8" w:rsidRDefault="00546CDE">
      <w:pPr>
        <w:tabs>
          <w:tab w:val="clear" w:pos="403"/>
        </w:tabs>
        <w:spacing w:line="240" w:lineRule="auto"/>
        <w:rPr>
          <w:rFonts w:cs="Calibri"/>
        </w:rPr>
      </w:pPr>
      <w:r w:rsidRPr="00A52AB8">
        <w:rPr>
          <w:rFonts w:cs="Calibri"/>
        </w:rPr>
        <w:t xml:space="preserve">Conformance can be specified for a single </w:t>
      </w:r>
      <w:r w:rsidR="009626EC" w:rsidRPr="00A52AB8">
        <w:rPr>
          <w:rFonts w:cs="Calibri"/>
        </w:rPr>
        <w:t>V3C</w:t>
      </w:r>
      <w:r w:rsidRPr="00A52AB8">
        <w:rPr>
          <w:rFonts w:cs="Calibri"/>
        </w:rPr>
        <w:t xml:space="preserve"> bitstream, as </w:t>
      </w:r>
      <w:r w:rsidR="00E2470A" w:rsidRPr="00A52AB8">
        <w:rPr>
          <w:rFonts w:cs="Calibri"/>
        </w:rPr>
        <w:t xml:space="preserve">defined </w:t>
      </w:r>
      <w:r w:rsidRPr="00A52AB8">
        <w:rPr>
          <w:rFonts w:cs="Calibri"/>
        </w:rPr>
        <w:t xml:space="preserve">in </w:t>
      </w:r>
      <w:r w:rsidRPr="00496A4D">
        <w:rPr>
          <w:rFonts w:cs="Calibri"/>
        </w:rPr>
        <w:fldChar w:fldCharType="begin"/>
      </w:r>
      <w:r w:rsidRPr="00A52AB8">
        <w:rPr>
          <w:rFonts w:cs="Calibri"/>
        </w:rPr>
        <w:instrText xml:space="preserve"> REF _Ref5894532 \r \h </w:instrText>
      </w:r>
      <w:r w:rsidR="00025423" w:rsidRPr="00A52AB8">
        <w:rPr>
          <w:rFonts w:cs="Calibri"/>
        </w:rPr>
        <w:instrText xml:space="preserve"> \* MERGEFORMAT </w:instrText>
      </w:r>
      <w:r w:rsidRPr="00496A4D">
        <w:rPr>
          <w:rFonts w:cs="Calibri"/>
        </w:rPr>
      </w:r>
      <w:r w:rsidRPr="00496A4D">
        <w:rPr>
          <w:rFonts w:cs="Calibri"/>
        </w:rPr>
        <w:fldChar w:fldCharType="separate"/>
      </w:r>
      <w:r w:rsidR="00507A67">
        <w:rPr>
          <w:rFonts w:cs="Calibri"/>
        </w:rPr>
        <w:t>Annex C</w:t>
      </w:r>
      <w:r w:rsidRPr="00496A4D">
        <w:rPr>
          <w:rFonts w:cs="Calibri"/>
        </w:rPr>
        <w:fldChar w:fldCharType="end"/>
      </w:r>
      <w:r w:rsidRPr="00A52AB8">
        <w:rPr>
          <w:rFonts w:cs="Calibri"/>
        </w:rPr>
        <w:t xml:space="preserve">, or </w:t>
      </w:r>
      <w:r w:rsidR="00A05A13" w:rsidRPr="00A52AB8">
        <w:rPr>
          <w:rFonts w:cs="Calibri"/>
        </w:rPr>
        <w:t xml:space="preserve">for </w:t>
      </w:r>
      <w:r w:rsidRPr="00A52AB8">
        <w:rPr>
          <w:rFonts w:cs="Calibri"/>
        </w:rPr>
        <w:t xml:space="preserve">a collection of </w:t>
      </w:r>
      <w:r w:rsidR="00D0608C" w:rsidRPr="00A52AB8">
        <w:rPr>
          <w:rFonts w:cs="Calibri"/>
        </w:rPr>
        <w:t>V3C</w:t>
      </w:r>
      <w:r w:rsidRPr="00A52AB8">
        <w:rPr>
          <w:rFonts w:cs="Calibri"/>
        </w:rPr>
        <w:t xml:space="preserve"> sub-bitstreams</w:t>
      </w:r>
      <w:r w:rsidR="00A05A13" w:rsidRPr="00A52AB8">
        <w:rPr>
          <w:rFonts w:cs="Calibri"/>
        </w:rPr>
        <w:t xml:space="preserve"> that are associated with each other and provide information f</w:t>
      </w:r>
      <w:r w:rsidRPr="00A52AB8">
        <w:rPr>
          <w:rFonts w:cs="Calibri"/>
        </w:rPr>
        <w:t>o</w:t>
      </w:r>
      <w:r w:rsidR="00A05A13" w:rsidRPr="00A52AB8">
        <w:rPr>
          <w:rFonts w:cs="Calibri"/>
        </w:rPr>
        <w:t>r</w:t>
      </w:r>
      <w:r w:rsidRPr="00A52AB8">
        <w:rPr>
          <w:rFonts w:cs="Calibri"/>
        </w:rPr>
        <w:t xml:space="preserve"> </w:t>
      </w:r>
      <w:r w:rsidR="00A05A13" w:rsidRPr="00A52AB8">
        <w:rPr>
          <w:rFonts w:cs="Calibri"/>
        </w:rPr>
        <w:t xml:space="preserve">the </w:t>
      </w:r>
      <w:r w:rsidRPr="00A52AB8">
        <w:rPr>
          <w:rFonts w:cs="Calibri"/>
        </w:rPr>
        <w:t>reconstruct</w:t>
      </w:r>
      <w:r w:rsidR="00A05A13" w:rsidRPr="00A52AB8">
        <w:rPr>
          <w:rFonts w:cs="Calibri"/>
        </w:rPr>
        <w:t xml:space="preserve">ion of </w:t>
      </w:r>
      <w:r w:rsidRPr="00A52AB8">
        <w:rPr>
          <w:rFonts w:cs="Calibri"/>
        </w:rPr>
        <w:t xml:space="preserve">a </w:t>
      </w:r>
      <w:r w:rsidR="00CB0225" w:rsidRPr="00A52AB8">
        <w:rPr>
          <w:rFonts w:cs="Calibri"/>
        </w:rPr>
        <w:t xml:space="preserve">sequence of </w:t>
      </w:r>
      <w:r w:rsidR="007432BA" w:rsidRPr="00A52AB8">
        <w:rPr>
          <w:rFonts w:cs="Calibri"/>
        </w:rPr>
        <w:t>volumetric</w:t>
      </w:r>
      <w:r w:rsidR="00E2470A" w:rsidRPr="00A52AB8">
        <w:rPr>
          <w:rFonts w:cs="Calibri"/>
        </w:rPr>
        <w:t xml:space="preserve"> frame</w:t>
      </w:r>
      <w:r w:rsidR="00CB0225" w:rsidRPr="00A52AB8">
        <w:rPr>
          <w:rFonts w:cs="Calibri"/>
        </w:rPr>
        <w:t>s</w:t>
      </w:r>
      <w:r w:rsidRPr="00A52AB8">
        <w:rPr>
          <w:rFonts w:cs="Calibri"/>
        </w:rPr>
        <w:t>.</w:t>
      </w:r>
    </w:p>
    <w:p w14:paraId="5386A19B" w14:textId="3D5A1DD9" w:rsidR="00546CDE" w:rsidRPr="00A52AB8" w:rsidRDefault="00E2470A">
      <w:pPr>
        <w:tabs>
          <w:tab w:val="clear" w:pos="403"/>
        </w:tabs>
        <w:spacing w:line="240" w:lineRule="auto"/>
        <w:rPr>
          <w:rFonts w:cs="Calibri"/>
        </w:rPr>
      </w:pPr>
      <w:r w:rsidRPr="00A52AB8">
        <w:rPr>
          <w:rFonts w:cs="Calibri"/>
        </w:rPr>
        <w:t xml:space="preserve">A V3C bitstream may consist of </w:t>
      </w:r>
      <w:r w:rsidR="00486946" w:rsidRPr="00A52AB8">
        <w:rPr>
          <w:rFonts w:cs="Calibri"/>
        </w:rPr>
        <w:t>one or more</w:t>
      </w:r>
      <w:r w:rsidRPr="00A52AB8">
        <w:rPr>
          <w:rFonts w:cs="Calibri"/>
        </w:rPr>
        <w:t xml:space="preserve"> atlas sub</w:t>
      </w:r>
      <w:r w:rsidRPr="00A52AB8">
        <w:rPr>
          <w:rFonts w:cs="Calibri"/>
        </w:rPr>
        <w:noBreakHyphen/>
        <w:t>bitstream</w:t>
      </w:r>
      <w:r w:rsidR="00486946" w:rsidRPr="00A52AB8">
        <w:rPr>
          <w:rFonts w:cs="Calibri"/>
        </w:rPr>
        <w:t>s</w:t>
      </w:r>
      <w:r w:rsidRPr="00A52AB8">
        <w:rPr>
          <w:rFonts w:cs="Calibri"/>
        </w:rPr>
        <w:t xml:space="preserve">, </w:t>
      </w:r>
      <w:r w:rsidR="00486946" w:rsidRPr="00A52AB8">
        <w:rPr>
          <w:rFonts w:cs="Calibri"/>
        </w:rPr>
        <w:t>and each atlas</w:t>
      </w:r>
      <w:r w:rsidRPr="00A52AB8">
        <w:rPr>
          <w:rFonts w:cs="Calibri"/>
        </w:rPr>
        <w:t xml:space="preserve"> may include additional sub-bitstreams</w:t>
      </w:r>
      <w:r w:rsidR="009032FD" w:rsidRPr="00A52AB8">
        <w:rPr>
          <w:rFonts w:cs="Calibri"/>
        </w:rPr>
        <w:t>, such a</w:t>
      </w:r>
      <w:r w:rsidR="006E2E95" w:rsidRPr="00A52AB8">
        <w:rPr>
          <w:rFonts w:cs="Calibri"/>
        </w:rPr>
        <w:t>s an</w:t>
      </w:r>
      <w:r w:rsidR="009032FD" w:rsidRPr="00A52AB8">
        <w:rPr>
          <w:rFonts w:cs="Calibri"/>
        </w:rPr>
        <w:t xml:space="preserve"> </w:t>
      </w:r>
      <w:r w:rsidR="006D534F" w:rsidRPr="00A52AB8">
        <w:rPr>
          <w:rFonts w:cs="Calibri"/>
        </w:rPr>
        <w:t>occupancy</w:t>
      </w:r>
      <w:r w:rsidR="006E2E95" w:rsidRPr="00A52AB8">
        <w:rPr>
          <w:rFonts w:cs="Calibri"/>
        </w:rPr>
        <w:t xml:space="preserve"> sub-bitstream</w:t>
      </w:r>
      <w:r w:rsidR="006D534F" w:rsidRPr="00A52AB8">
        <w:rPr>
          <w:rFonts w:cs="Calibri"/>
        </w:rPr>
        <w:t xml:space="preserve">, </w:t>
      </w:r>
      <w:r w:rsidR="006E2E95" w:rsidRPr="00A52AB8">
        <w:rPr>
          <w:rFonts w:cs="Calibri"/>
        </w:rPr>
        <w:t xml:space="preserve">0 or more </w:t>
      </w:r>
      <w:r w:rsidR="006D534F" w:rsidRPr="00A52AB8">
        <w:rPr>
          <w:rFonts w:cs="Calibri"/>
        </w:rPr>
        <w:t>geometry map</w:t>
      </w:r>
      <w:r w:rsidR="006E2E95" w:rsidRPr="00A52AB8">
        <w:rPr>
          <w:rFonts w:cs="Calibri"/>
        </w:rPr>
        <w:t xml:space="preserve"> sub-bitstreams, and 0 or more</w:t>
      </w:r>
      <w:r w:rsidR="006D534F" w:rsidRPr="00A52AB8">
        <w:rPr>
          <w:rFonts w:cs="Calibri"/>
        </w:rPr>
        <w:t xml:space="preserve"> </w:t>
      </w:r>
      <w:r w:rsidR="006E2E95" w:rsidRPr="00A52AB8">
        <w:rPr>
          <w:rFonts w:cs="Calibri"/>
        </w:rPr>
        <w:t>a</w:t>
      </w:r>
      <w:r w:rsidR="006D534F" w:rsidRPr="00A52AB8">
        <w:rPr>
          <w:rFonts w:cs="Calibri"/>
        </w:rPr>
        <w:t xml:space="preserve">ttributes </w:t>
      </w:r>
      <w:r w:rsidR="006E2E95" w:rsidRPr="00A52AB8">
        <w:rPr>
          <w:rFonts w:cs="Calibri"/>
        </w:rPr>
        <w:t>of different type.</w:t>
      </w:r>
    </w:p>
    <w:p w14:paraId="6EF299D6" w14:textId="010B4611" w:rsidR="00535D94" w:rsidRPr="00A52AB8" w:rsidRDefault="00535D94">
      <w:pPr>
        <w:spacing w:line="240" w:lineRule="auto"/>
        <w:rPr>
          <w:rFonts w:cs="Calibri"/>
        </w:rPr>
      </w:pPr>
      <w:r w:rsidRPr="00A52AB8">
        <w:rPr>
          <w:rFonts w:cs="Calibri"/>
        </w:rPr>
        <w:t xml:space="preserve">Any </w:t>
      </w:r>
      <w:r w:rsidR="00D0608C" w:rsidRPr="00A52AB8">
        <w:rPr>
          <w:rFonts w:cs="Calibri"/>
        </w:rPr>
        <w:t>V3C</w:t>
      </w:r>
      <w:r w:rsidRPr="00A52AB8">
        <w:rPr>
          <w:rFonts w:cs="Calibri"/>
        </w:rPr>
        <w:t xml:space="preserve"> bitstream</w:t>
      </w:r>
      <w:r w:rsidR="007333BC" w:rsidRPr="00A52AB8">
        <w:rPr>
          <w:rFonts w:cs="Calibri"/>
        </w:rPr>
        <w:t xml:space="preserve">, collection of </w:t>
      </w:r>
      <w:r w:rsidR="00D0608C" w:rsidRPr="00A52AB8">
        <w:rPr>
          <w:rFonts w:cs="Calibri"/>
        </w:rPr>
        <w:t>V3C</w:t>
      </w:r>
      <w:r w:rsidR="007333BC" w:rsidRPr="00A52AB8">
        <w:rPr>
          <w:rFonts w:cs="Calibri"/>
        </w:rPr>
        <w:t xml:space="preserve"> sub-bitstreams,</w:t>
      </w:r>
      <w:r w:rsidRPr="00A52AB8">
        <w:rPr>
          <w:rFonts w:cs="Calibri"/>
        </w:rPr>
        <w:t xml:space="preserve"> or </w:t>
      </w:r>
      <w:r w:rsidR="00D0608C" w:rsidRPr="00A52AB8">
        <w:rPr>
          <w:rFonts w:cs="Calibri"/>
        </w:rPr>
        <w:t>V3C</w:t>
      </w:r>
      <w:r w:rsidRPr="00A52AB8">
        <w:rPr>
          <w:rFonts w:cs="Calibri"/>
        </w:rPr>
        <w:t xml:space="preserve"> decoder can claim </w:t>
      </w:r>
      <w:r w:rsidR="006A6E64" w:rsidRPr="00A52AB8">
        <w:rPr>
          <w:rFonts w:cs="Calibri"/>
        </w:rPr>
        <w:t xml:space="preserve">support of both </w:t>
      </w:r>
      <w:r w:rsidRPr="00A52AB8">
        <w:rPr>
          <w:rFonts w:cs="Calibri"/>
        </w:rPr>
        <w:t>conformance point</w:t>
      </w:r>
      <w:r w:rsidR="00634F2F" w:rsidRPr="00A52AB8">
        <w:rPr>
          <w:rFonts w:cs="Calibri"/>
        </w:rPr>
        <w:t xml:space="preserve"> A and </w:t>
      </w:r>
      <w:r w:rsidR="006A6E64" w:rsidRPr="00A52AB8">
        <w:rPr>
          <w:rFonts w:cs="Calibri"/>
        </w:rPr>
        <w:t xml:space="preserve">conformance </w:t>
      </w:r>
      <w:r w:rsidR="00634F2F" w:rsidRPr="00A52AB8">
        <w:rPr>
          <w:rFonts w:cs="Calibri"/>
        </w:rPr>
        <w:t>point B</w:t>
      </w:r>
      <w:r w:rsidRPr="00A52AB8">
        <w:rPr>
          <w:rFonts w:cs="Calibri"/>
        </w:rPr>
        <w:t>. However, indicating conformance point A is mandatory, while</w:t>
      </w:r>
      <w:r w:rsidR="00634F2F" w:rsidRPr="00A52AB8">
        <w:rPr>
          <w:rFonts w:cs="Calibri"/>
        </w:rPr>
        <w:t xml:space="preserve"> conformance</w:t>
      </w:r>
      <w:r w:rsidRPr="00A52AB8">
        <w:rPr>
          <w:rFonts w:cs="Calibri"/>
        </w:rPr>
        <w:t xml:space="preserve"> point B</w:t>
      </w:r>
      <w:r w:rsidR="00E62492" w:rsidRPr="00A52AB8">
        <w:rPr>
          <w:rFonts w:cs="Calibri"/>
        </w:rPr>
        <w:t xml:space="preserve"> </w:t>
      </w:r>
      <w:r w:rsidRPr="00A52AB8">
        <w:rPr>
          <w:rFonts w:cs="Calibri"/>
        </w:rPr>
        <w:t>is optional. For example:</w:t>
      </w:r>
    </w:p>
    <w:p w14:paraId="6C04A179" w14:textId="4ABF5076" w:rsidR="00535D94" w:rsidRPr="00A52AB8" w:rsidRDefault="00535D94"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b/>
          <w:bCs/>
          <w:color w:val="000000" w:themeColor="text1"/>
        </w:rPr>
        <w:t xml:space="preserve">AVC </w:t>
      </w:r>
      <w:r w:rsidR="00A95281" w:rsidRPr="00A52AB8">
        <w:rPr>
          <w:b/>
          <w:bCs/>
          <w:color w:val="000000" w:themeColor="text1"/>
        </w:rPr>
        <w:t>V-PCC Basic</w:t>
      </w:r>
      <w:r w:rsidRPr="00A52AB8">
        <w:rPr>
          <w:color w:val="000000" w:themeColor="text1"/>
        </w:rPr>
        <w:t xml:space="preserve">, is a valid profile </w:t>
      </w:r>
      <w:r w:rsidR="006A6E64" w:rsidRPr="00A52AB8">
        <w:rPr>
          <w:color w:val="000000" w:themeColor="text1"/>
        </w:rPr>
        <w:t xml:space="preserve">that clearly </w:t>
      </w:r>
      <w:r w:rsidRPr="00A52AB8">
        <w:rPr>
          <w:color w:val="000000" w:themeColor="text1"/>
        </w:rPr>
        <w:t>indicate</w:t>
      </w:r>
      <w:r w:rsidR="006A6E64" w:rsidRPr="00A52AB8">
        <w:rPr>
          <w:color w:val="000000" w:themeColor="text1"/>
        </w:rPr>
        <w:t>s</w:t>
      </w:r>
      <w:r w:rsidRPr="00A52AB8">
        <w:rPr>
          <w:color w:val="000000" w:themeColor="text1"/>
        </w:rPr>
        <w:t xml:space="preserve"> </w:t>
      </w:r>
      <w:r w:rsidR="006A6E64" w:rsidRPr="00A52AB8">
        <w:rPr>
          <w:color w:val="000000" w:themeColor="text1"/>
        </w:rPr>
        <w:t xml:space="preserve">its CodecGroup and Toolset profile components </w:t>
      </w:r>
      <w:r w:rsidR="00D13629" w:rsidRPr="00A52AB8">
        <w:rPr>
          <w:color w:val="000000" w:themeColor="text1"/>
        </w:rPr>
        <w:t xml:space="preserve">while providing no indication of a </w:t>
      </w:r>
      <w:r w:rsidR="006A6E64" w:rsidRPr="00A52AB8">
        <w:rPr>
          <w:color w:val="000000" w:themeColor="text1"/>
        </w:rPr>
        <w:t>R</w:t>
      </w:r>
      <w:r w:rsidRPr="00A52AB8">
        <w:rPr>
          <w:color w:val="000000" w:themeColor="text1"/>
        </w:rPr>
        <w:t>econstruction</w:t>
      </w:r>
      <w:r w:rsidR="00D13629" w:rsidRPr="00A52AB8">
        <w:rPr>
          <w:color w:val="000000" w:themeColor="text1"/>
        </w:rPr>
        <w:t xml:space="preserve"> profile</w:t>
      </w:r>
      <w:r w:rsidR="006A6E64" w:rsidRPr="00A52AB8">
        <w:rPr>
          <w:color w:val="000000" w:themeColor="text1"/>
        </w:rPr>
        <w:t xml:space="preserve"> component</w:t>
      </w:r>
      <w:r w:rsidRPr="00A52AB8">
        <w:rPr>
          <w:color w:val="000000" w:themeColor="text1"/>
        </w:rPr>
        <w:t>.</w:t>
      </w:r>
    </w:p>
    <w:p w14:paraId="08B38D2E" w14:textId="1D4EC6F6" w:rsidR="00535D94" w:rsidRPr="00A52AB8" w:rsidRDefault="00535D94"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b/>
          <w:bCs/>
          <w:color w:val="000000" w:themeColor="text1"/>
        </w:rPr>
        <w:t xml:space="preserve">AVC </w:t>
      </w:r>
      <w:r w:rsidR="00A95281" w:rsidRPr="00A52AB8">
        <w:rPr>
          <w:b/>
          <w:bCs/>
          <w:color w:val="000000" w:themeColor="text1"/>
        </w:rPr>
        <w:t>V-PCC Basic</w:t>
      </w:r>
      <w:r w:rsidRPr="00A52AB8">
        <w:rPr>
          <w:b/>
          <w:bCs/>
          <w:color w:val="000000" w:themeColor="text1"/>
        </w:rPr>
        <w:t xml:space="preserve"> Rec0</w:t>
      </w:r>
      <w:r w:rsidRPr="00A52AB8">
        <w:rPr>
          <w:color w:val="000000" w:themeColor="text1"/>
        </w:rPr>
        <w:t xml:space="preserve">, is a valid profile </w:t>
      </w:r>
      <w:r w:rsidR="006A6E64" w:rsidRPr="00A52AB8">
        <w:rPr>
          <w:color w:val="000000" w:themeColor="text1"/>
        </w:rPr>
        <w:t xml:space="preserve">that clearly indicates its CodecGroup and Toolset profile components while also indicating support of a Reconstruction profile component that provides for </w:t>
      </w:r>
      <w:r w:rsidRPr="00A52AB8">
        <w:rPr>
          <w:color w:val="000000" w:themeColor="text1"/>
        </w:rPr>
        <w:t>elementary 3D reconstruction.</w:t>
      </w:r>
    </w:p>
    <w:p w14:paraId="6B3BD8AD" w14:textId="77777777" w:rsidR="00535D94" w:rsidRPr="00A52AB8" w:rsidRDefault="00535D94"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b/>
          <w:bCs/>
          <w:color w:val="000000" w:themeColor="text1"/>
        </w:rPr>
        <w:t>AVC Rec0</w:t>
      </w:r>
      <w:r w:rsidRPr="00A52AB8">
        <w:rPr>
          <w:color w:val="000000" w:themeColor="text1"/>
        </w:rPr>
        <w:t>, is NOT a valid profile as the Toolset information is missing.</w:t>
      </w:r>
    </w:p>
    <w:p w14:paraId="71F4632D" w14:textId="77777777" w:rsidR="00535D94" w:rsidRPr="00A52AB8" w:rsidRDefault="00A95281"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b/>
          <w:bCs/>
          <w:color w:val="000000" w:themeColor="text1"/>
        </w:rPr>
        <w:t>V-PCC Basic</w:t>
      </w:r>
      <w:r w:rsidR="00535D94" w:rsidRPr="00A52AB8">
        <w:rPr>
          <w:b/>
          <w:bCs/>
          <w:color w:val="000000" w:themeColor="text1"/>
        </w:rPr>
        <w:t xml:space="preserve"> Rec0</w:t>
      </w:r>
      <w:r w:rsidR="00535D94" w:rsidRPr="00A52AB8">
        <w:rPr>
          <w:color w:val="000000" w:themeColor="text1"/>
        </w:rPr>
        <w:t>, is NOT a valid profile as the CodecGroup information is missing.</w:t>
      </w:r>
    </w:p>
    <w:p w14:paraId="1E2AE5A2" w14:textId="198BD21B" w:rsidR="00535D94" w:rsidRPr="00A52AB8" w:rsidRDefault="00535D94">
      <w:pPr>
        <w:tabs>
          <w:tab w:val="clear" w:pos="403"/>
        </w:tabs>
        <w:spacing w:line="240" w:lineRule="auto"/>
        <w:rPr>
          <w:rFonts w:cs="Calibri"/>
        </w:rPr>
      </w:pPr>
      <w:r w:rsidRPr="00A52AB8">
        <w:rPr>
          <w:rFonts w:cs="Calibri"/>
        </w:rPr>
        <w:t xml:space="preserve">To indicate profile conformance of a </w:t>
      </w:r>
      <w:r w:rsidR="00D42A18" w:rsidRPr="00A52AB8">
        <w:rPr>
          <w:rFonts w:cs="Calibri"/>
        </w:rPr>
        <w:t xml:space="preserve">bitstream or decoder </w:t>
      </w:r>
      <w:r w:rsidRPr="00A52AB8">
        <w:rPr>
          <w:rFonts w:cs="Calibri"/>
        </w:rPr>
        <w:t xml:space="preserve">at conformance point A, it is </w:t>
      </w:r>
      <w:r w:rsidR="00D42A18" w:rsidRPr="00A52AB8">
        <w:rPr>
          <w:rFonts w:cs="Calibri"/>
        </w:rPr>
        <w:t xml:space="preserve">only </w:t>
      </w:r>
      <w:r w:rsidRPr="00A52AB8">
        <w:rPr>
          <w:rFonts w:cs="Calibri"/>
        </w:rPr>
        <w:t xml:space="preserve">needed to </w:t>
      </w:r>
      <w:r w:rsidR="00D42A18" w:rsidRPr="00A52AB8">
        <w:rPr>
          <w:rFonts w:cs="Calibri"/>
        </w:rPr>
        <w:t xml:space="preserve">consider </w:t>
      </w:r>
      <w:r w:rsidRPr="00A52AB8">
        <w:rPr>
          <w:rFonts w:cs="Calibri"/>
        </w:rPr>
        <w:t xml:space="preserve">the CodecGroup and Toolset profile components. Decoders conforming to a </w:t>
      </w:r>
      <w:r w:rsidR="00ED3CC6" w:rsidRPr="00A52AB8">
        <w:rPr>
          <w:rFonts w:cs="Calibri"/>
        </w:rPr>
        <w:t>V3C</w:t>
      </w:r>
      <w:r w:rsidRPr="00A52AB8">
        <w:rPr>
          <w:rFonts w:cs="Calibri"/>
        </w:rPr>
        <w:t xml:space="preserve"> profile at conformance point A (identified by </w:t>
      </w:r>
      <w:r w:rsidR="009B401F" w:rsidRPr="00A52AB8">
        <w:rPr>
          <w:rFonts w:cs="Calibri"/>
        </w:rPr>
        <w:t xml:space="preserve">syntax elements </w:t>
      </w:r>
      <w:r w:rsidRPr="00A52AB8">
        <w:rPr>
          <w:rFonts w:cs="Calibri"/>
        </w:rPr>
        <w:t xml:space="preserve">ptl_profile_codec_group_idc and ptl_profile_toolset_idc) at a specific level (identified by a specific value of </w:t>
      </w:r>
      <w:r w:rsidR="009B401F" w:rsidRPr="00A52AB8">
        <w:rPr>
          <w:rFonts w:cs="Calibri"/>
        </w:rPr>
        <w:t xml:space="preserve">syntax element </w:t>
      </w:r>
      <w:r w:rsidRPr="00A52AB8">
        <w:rPr>
          <w:rFonts w:cs="Calibri"/>
        </w:rPr>
        <w:t xml:space="preserve">ptl_level_idc) of a specific tier (identified by a specific value of </w:t>
      </w:r>
      <w:r w:rsidR="009B401F" w:rsidRPr="00A52AB8">
        <w:rPr>
          <w:rFonts w:cs="Calibri"/>
        </w:rPr>
        <w:t xml:space="preserve">syntax element </w:t>
      </w:r>
      <w:r w:rsidRPr="00A52AB8">
        <w:rPr>
          <w:rFonts w:cs="Calibri"/>
        </w:rPr>
        <w:t xml:space="preserve">ptl_tier_flag) shall be capable of decoding all </w:t>
      </w:r>
      <w:r w:rsidR="00ED3CC6" w:rsidRPr="00A52AB8">
        <w:rPr>
          <w:rFonts w:cs="Calibri"/>
        </w:rPr>
        <w:t>V3C</w:t>
      </w:r>
      <w:r w:rsidRPr="00A52AB8">
        <w:rPr>
          <w:rFonts w:cs="Calibri"/>
        </w:rPr>
        <w:t xml:space="preserve"> bitstreams</w:t>
      </w:r>
      <w:r w:rsidR="00EE267D" w:rsidRPr="00A52AB8">
        <w:rPr>
          <w:rFonts w:cs="Calibri"/>
        </w:rPr>
        <w:t xml:space="preserve"> or </w:t>
      </w:r>
      <w:r w:rsidR="00546CDE" w:rsidRPr="00A52AB8">
        <w:rPr>
          <w:rFonts w:cs="Calibri"/>
        </w:rPr>
        <w:t xml:space="preserve">collection of </w:t>
      </w:r>
      <w:r w:rsidR="00ED3CC6" w:rsidRPr="00A52AB8">
        <w:rPr>
          <w:rFonts w:cs="Calibri"/>
        </w:rPr>
        <w:t>V3C</w:t>
      </w:r>
      <w:r w:rsidR="00546CDE" w:rsidRPr="00A52AB8">
        <w:rPr>
          <w:rFonts w:cs="Calibri"/>
        </w:rPr>
        <w:t xml:space="preserve"> </w:t>
      </w:r>
      <w:r w:rsidR="00EE267D" w:rsidRPr="00A52AB8">
        <w:rPr>
          <w:rFonts w:cs="Calibri"/>
        </w:rPr>
        <w:t>sub-bitstreams</w:t>
      </w:r>
      <w:r w:rsidRPr="00A52AB8">
        <w:rPr>
          <w:rFonts w:cs="Calibri"/>
        </w:rPr>
        <w:t xml:space="preserve">, according </w:t>
      </w:r>
      <w:r w:rsidR="00EE267D" w:rsidRPr="00A52AB8">
        <w:rPr>
          <w:rFonts w:cs="Calibri"/>
        </w:rPr>
        <w:t xml:space="preserve">to </w:t>
      </w:r>
      <w:r w:rsidR="00684310" w:rsidRPr="00A52AB8">
        <w:rPr>
          <w:rFonts w:cs="Calibri"/>
        </w:rPr>
        <w:t>Clause</w:t>
      </w:r>
      <w:r w:rsidRPr="00A52AB8">
        <w:rPr>
          <w:rFonts w:cs="Calibri"/>
        </w:rPr>
        <w:t xml:space="preserve"> </w:t>
      </w:r>
      <w:r w:rsidR="006C28AF" w:rsidRPr="00496A4D">
        <w:rPr>
          <w:rFonts w:cs="Calibri"/>
        </w:rPr>
        <w:fldChar w:fldCharType="begin"/>
      </w:r>
      <w:r w:rsidR="006C28AF" w:rsidRPr="00A52AB8">
        <w:rPr>
          <w:rFonts w:cs="Calibri"/>
        </w:rPr>
        <w:instrText xml:space="preserve"> REF _Ref389779808 \r \h </w:instrText>
      </w:r>
      <w:r w:rsidR="00CA5401" w:rsidRPr="00A52AB8">
        <w:rPr>
          <w:rFonts w:cs="Calibri"/>
        </w:rPr>
        <w:instrText xml:space="preserve"> \* MERGEFORMAT </w:instrText>
      </w:r>
      <w:r w:rsidR="006C28AF" w:rsidRPr="00496A4D">
        <w:rPr>
          <w:rFonts w:cs="Calibri"/>
        </w:rPr>
      </w:r>
      <w:r w:rsidR="006C28AF" w:rsidRPr="00496A4D">
        <w:rPr>
          <w:rFonts w:cs="Calibri"/>
        </w:rPr>
        <w:fldChar w:fldCharType="separate"/>
      </w:r>
      <w:r w:rsidR="00507A67">
        <w:rPr>
          <w:rFonts w:cs="Calibri"/>
        </w:rPr>
        <w:t>9</w:t>
      </w:r>
      <w:r w:rsidR="006C28AF" w:rsidRPr="00496A4D">
        <w:rPr>
          <w:rFonts w:cs="Calibri"/>
        </w:rPr>
        <w:fldChar w:fldCharType="end"/>
      </w:r>
      <w:r w:rsidRPr="00A52AB8">
        <w:rPr>
          <w:rFonts w:cs="Calibri"/>
        </w:rPr>
        <w:t>, for which all of the following conditions apply:</w:t>
      </w:r>
    </w:p>
    <w:p w14:paraId="6EB83B6F" w14:textId="0E35DC30" w:rsidR="00535D94" w:rsidRPr="00A52AB8" w:rsidRDefault="00535D94"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The </w:t>
      </w:r>
      <w:r w:rsidR="00923384" w:rsidRPr="00A52AB8">
        <w:rPr>
          <w:color w:val="000000" w:themeColor="text1"/>
        </w:rPr>
        <w:t>V3C</w:t>
      </w:r>
      <w:r w:rsidR="00546CDE" w:rsidRPr="00A52AB8">
        <w:rPr>
          <w:color w:val="000000" w:themeColor="text1"/>
        </w:rPr>
        <w:t xml:space="preserve"> </w:t>
      </w:r>
      <w:r w:rsidRPr="00A52AB8">
        <w:rPr>
          <w:color w:val="000000" w:themeColor="text1"/>
        </w:rPr>
        <w:t xml:space="preserve">bitstream </w:t>
      </w:r>
      <w:r w:rsidR="00546CDE" w:rsidRPr="00A52AB8">
        <w:rPr>
          <w:color w:val="000000" w:themeColor="text1"/>
        </w:rPr>
        <w:t xml:space="preserve">or the collection of </w:t>
      </w:r>
      <w:r w:rsidR="00923384" w:rsidRPr="00A52AB8">
        <w:rPr>
          <w:color w:val="000000" w:themeColor="text1"/>
        </w:rPr>
        <w:t>V3C</w:t>
      </w:r>
      <w:r w:rsidR="00546CDE" w:rsidRPr="00A52AB8">
        <w:rPr>
          <w:color w:val="000000" w:themeColor="text1"/>
        </w:rPr>
        <w:t xml:space="preserve"> sub-bitstreams are </w:t>
      </w:r>
      <w:r w:rsidRPr="00A52AB8">
        <w:rPr>
          <w:color w:val="000000" w:themeColor="text1"/>
        </w:rPr>
        <w:t>indicated to conform to the supported CodecGroup and Toolset profile components</w:t>
      </w:r>
      <w:r w:rsidR="002573B2" w:rsidRPr="00A52AB8">
        <w:rPr>
          <w:color w:val="000000" w:themeColor="text1"/>
        </w:rPr>
        <w:t xml:space="preserve">, as indicated in </w:t>
      </w:r>
      <w:r w:rsidR="0014023C" w:rsidRPr="00A52AB8">
        <w:rPr>
          <w:color w:val="000000" w:themeColor="text1"/>
        </w:rPr>
        <w:t>sub</w:t>
      </w:r>
      <w:r w:rsidR="002573B2" w:rsidRPr="00A52AB8">
        <w:rPr>
          <w:color w:val="000000" w:themeColor="text1"/>
        </w:rPr>
        <w:t xml:space="preserve">clauses </w:t>
      </w:r>
      <w:r w:rsidR="00D301DC" w:rsidRPr="00496A4D">
        <w:rPr>
          <w:color w:val="000000" w:themeColor="text1"/>
        </w:rPr>
        <w:fldChar w:fldCharType="begin"/>
      </w:r>
      <w:r w:rsidR="00D301DC" w:rsidRPr="00A52AB8">
        <w:rPr>
          <w:color w:val="000000" w:themeColor="text1"/>
        </w:rPr>
        <w:instrText xml:space="preserve"> REF _Ref33612007 \n \h </w:instrText>
      </w:r>
      <w:r w:rsidR="00CA5401" w:rsidRPr="00A52AB8">
        <w:rPr>
          <w:color w:val="000000" w:themeColor="text1"/>
        </w:rPr>
        <w:instrText xml:space="preserve"> \* MERGEFORMAT </w:instrText>
      </w:r>
      <w:r w:rsidR="00D301DC" w:rsidRPr="00496A4D">
        <w:rPr>
          <w:color w:val="000000" w:themeColor="text1"/>
        </w:rPr>
      </w:r>
      <w:r w:rsidR="00D301DC" w:rsidRPr="00496A4D">
        <w:rPr>
          <w:color w:val="000000" w:themeColor="text1"/>
        </w:rPr>
        <w:fldChar w:fldCharType="separate"/>
      </w:r>
      <w:r w:rsidR="00507A67">
        <w:rPr>
          <w:color w:val="000000" w:themeColor="text1"/>
        </w:rPr>
        <w:t>A.3</w:t>
      </w:r>
      <w:r w:rsidR="00D301DC" w:rsidRPr="00496A4D">
        <w:rPr>
          <w:color w:val="000000" w:themeColor="text1"/>
        </w:rPr>
        <w:fldChar w:fldCharType="end"/>
      </w:r>
      <w:r w:rsidR="00D301DC" w:rsidRPr="00A52AB8">
        <w:rPr>
          <w:color w:val="000000" w:themeColor="text1"/>
        </w:rPr>
        <w:t xml:space="preserve"> </w:t>
      </w:r>
      <w:r w:rsidR="002573B2" w:rsidRPr="00A52AB8">
        <w:rPr>
          <w:color w:val="000000" w:themeColor="text1"/>
        </w:rPr>
        <w:t xml:space="preserve">(CodecGroup) and </w:t>
      </w:r>
      <w:r w:rsidR="00D301DC" w:rsidRPr="00496A4D">
        <w:rPr>
          <w:color w:val="000000" w:themeColor="text1"/>
        </w:rPr>
        <w:fldChar w:fldCharType="begin"/>
      </w:r>
      <w:r w:rsidR="00D301DC" w:rsidRPr="00A52AB8">
        <w:rPr>
          <w:color w:val="000000" w:themeColor="text1"/>
        </w:rPr>
        <w:instrText xml:space="preserve"> REF _Ref33612019 \n \h </w:instrText>
      </w:r>
      <w:r w:rsidR="00CA5401" w:rsidRPr="00A52AB8">
        <w:rPr>
          <w:color w:val="000000" w:themeColor="text1"/>
        </w:rPr>
        <w:instrText xml:space="preserve"> \* MERGEFORMAT </w:instrText>
      </w:r>
      <w:r w:rsidR="00D301DC" w:rsidRPr="00496A4D">
        <w:rPr>
          <w:color w:val="000000" w:themeColor="text1"/>
        </w:rPr>
      </w:r>
      <w:r w:rsidR="00D301DC" w:rsidRPr="00496A4D">
        <w:rPr>
          <w:color w:val="000000" w:themeColor="text1"/>
        </w:rPr>
        <w:fldChar w:fldCharType="separate"/>
      </w:r>
      <w:r w:rsidR="00507A67">
        <w:rPr>
          <w:color w:val="000000" w:themeColor="text1"/>
        </w:rPr>
        <w:t>A.4</w:t>
      </w:r>
      <w:r w:rsidR="00D301DC" w:rsidRPr="00496A4D">
        <w:rPr>
          <w:color w:val="000000" w:themeColor="text1"/>
        </w:rPr>
        <w:fldChar w:fldCharType="end"/>
      </w:r>
      <w:r w:rsidR="00714290" w:rsidRPr="00A52AB8">
        <w:rPr>
          <w:color w:val="000000" w:themeColor="text1"/>
        </w:rPr>
        <w:t xml:space="preserve"> </w:t>
      </w:r>
      <w:r w:rsidR="002573B2" w:rsidRPr="00A52AB8">
        <w:rPr>
          <w:color w:val="000000" w:themeColor="text1"/>
        </w:rPr>
        <w:t>(Toolset).</w:t>
      </w:r>
    </w:p>
    <w:p w14:paraId="07CB967A" w14:textId="73C6C063" w:rsidR="0050235C" w:rsidRPr="00A52AB8" w:rsidRDefault="009B401F"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The </w:t>
      </w:r>
      <w:r w:rsidR="00923384" w:rsidRPr="00A52AB8">
        <w:rPr>
          <w:color w:val="000000" w:themeColor="text1"/>
        </w:rPr>
        <w:t>V3C</w:t>
      </w:r>
      <w:r w:rsidRPr="00A52AB8">
        <w:rPr>
          <w:color w:val="000000" w:themeColor="text1"/>
        </w:rPr>
        <w:t xml:space="preserve"> bitstream or the collection of </w:t>
      </w:r>
      <w:r w:rsidR="00923384" w:rsidRPr="00A52AB8">
        <w:rPr>
          <w:color w:val="000000" w:themeColor="text1"/>
        </w:rPr>
        <w:t>V3C</w:t>
      </w:r>
      <w:r w:rsidRPr="00A52AB8">
        <w:rPr>
          <w:color w:val="000000" w:themeColor="text1"/>
        </w:rPr>
        <w:t xml:space="preserve"> sub-bitstreams are </w:t>
      </w:r>
      <w:r w:rsidR="00535D94" w:rsidRPr="00A52AB8">
        <w:rPr>
          <w:color w:val="000000" w:themeColor="text1"/>
        </w:rPr>
        <w:t>indicated to conform to a level that is lower than or equal to the specified level</w:t>
      </w:r>
      <w:r w:rsidR="00255828" w:rsidRPr="00A52AB8">
        <w:rPr>
          <w:color w:val="000000" w:themeColor="text1"/>
        </w:rPr>
        <w:t xml:space="preserve">, as indicated in </w:t>
      </w:r>
      <w:r w:rsidR="00406A86" w:rsidRPr="00A52AB8">
        <w:rPr>
          <w:color w:val="000000" w:themeColor="text1"/>
        </w:rPr>
        <w:t>subclause</w:t>
      </w:r>
      <w:r w:rsidR="00D301DC" w:rsidRPr="00A52AB8">
        <w:rPr>
          <w:color w:val="000000" w:themeColor="text1"/>
        </w:rPr>
        <w:t xml:space="preserve"> </w:t>
      </w:r>
      <w:r w:rsidR="00D301DC" w:rsidRPr="00496A4D">
        <w:rPr>
          <w:color w:val="000000" w:themeColor="text1"/>
        </w:rPr>
        <w:fldChar w:fldCharType="begin"/>
      </w:r>
      <w:r w:rsidR="00D301DC" w:rsidRPr="00A52AB8">
        <w:rPr>
          <w:color w:val="000000" w:themeColor="text1"/>
        </w:rPr>
        <w:instrText xml:space="preserve"> REF _Ref33612046 \n \h </w:instrText>
      </w:r>
      <w:r w:rsidR="00CA5401" w:rsidRPr="00A52AB8">
        <w:rPr>
          <w:color w:val="000000" w:themeColor="text1"/>
        </w:rPr>
        <w:instrText xml:space="preserve"> \* MERGEFORMAT </w:instrText>
      </w:r>
      <w:r w:rsidR="00D301DC" w:rsidRPr="00496A4D">
        <w:rPr>
          <w:color w:val="000000" w:themeColor="text1"/>
        </w:rPr>
      </w:r>
      <w:r w:rsidR="00D301DC" w:rsidRPr="00496A4D">
        <w:rPr>
          <w:color w:val="000000" w:themeColor="text1"/>
        </w:rPr>
        <w:fldChar w:fldCharType="separate"/>
      </w:r>
      <w:r w:rsidR="00507A67">
        <w:rPr>
          <w:color w:val="000000" w:themeColor="text1"/>
        </w:rPr>
        <w:t>A.6</w:t>
      </w:r>
      <w:r w:rsidR="00D301DC" w:rsidRPr="00496A4D">
        <w:rPr>
          <w:color w:val="000000" w:themeColor="text1"/>
        </w:rPr>
        <w:fldChar w:fldCharType="end"/>
      </w:r>
      <w:r w:rsidR="00392559" w:rsidRPr="00A52AB8">
        <w:rPr>
          <w:color w:val="000000" w:themeColor="text1"/>
        </w:rPr>
        <w:t>.</w:t>
      </w:r>
    </w:p>
    <w:p w14:paraId="513A8465" w14:textId="7528EAC0" w:rsidR="005A3D8C" w:rsidRPr="00A52AB8" w:rsidRDefault="009B401F"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The </w:t>
      </w:r>
      <w:r w:rsidR="00923384" w:rsidRPr="00A52AB8">
        <w:rPr>
          <w:color w:val="000000" w:themeColor="text1"/>
        </w:rPr>
        <w:t>V3C</w:t>
      </w:r>
      <w:r w:rsidRPr="00A52AB8">
        <w:rPr>
          <w:color w:val="000000" w:themeColor="text1"/>
        </w:rPr>
        <w:t xml:space="preserve"> bitstream or the collection of </w:t>
      </w:r>
      <w:r w:rsidR="00923384" w:rsidRPr="00A52AB8">
        <w:rPr>
          <w:color w:val="000000" w:themeColor="text1"/>
        </w:rPr>
        <w:t>V3C</w:t>
      </w:r>
      <w:r w:rsidRPr="00A52AB8">
        <w:rPr>
          <w:color w:val="000000" w:themeColor="text1"/>
        </w:rPr>
        <w:t xml:space="preserve"> sub-bitstreams are</w:t>
      </w:r>
      <w:r w:rsidRPr="00A52AB8" w:rsidDel="009B401F">
        <w:rPr>
          <w:color w:val="000000" w:themeColor="text1"/>
        </w:rPr>
        <w:t xml:space="preserve"> </w:t>
      </w:r>
      <w:r w:rsidR="00535D94" w:rsidRPr="00A52AB8">
        <w:rPr>
          <w:color w:val="000000" w:themeColor="text1"/>
        </w:rPr>
        <w:t>indicated to conform to a tier that is lower than or equal to the specified tier</w:t>
      </w:r>
      <w:r w:rsidR="00A90482" w:rsidRPr="00A52AB8">
        <w:rPr>
          <w:color w:val="000000" w:themeColor="text1"/>
        </w:rPr>
        <w:t xml:space="preserve">, as indicated in </w:t>
      </w:r>
      <w:r w:rsidR="00406A86" w:rsidRPr="00A52AB8">
        <w:rPr>
          <w:color w:val="000000" w:themeColor="text1"/>
        </w:rPr>
        <w:t>subclause</w:t>
      </w:r>
      <w:r w:rsidR="00714290" w:rsidRPr="00A52AB8">
        <w:rPr>
          <w:color w:val="000000" w:themeColor="text1"/>
        </w:rPr>
        <w:t xml:space="preserve"> </w:t>
      </w:r>
      <w:r w:rsidR="00D301DC" w:rsidRPr="00496A4D">
        <w:rPr>
          <w:color w:val="000000" w:themeColor="text1"/>
        </w:rPr>
        <w:fldChar w:fldCharType="begin"/>
      </w:r>
      <w:r w:rsidR="00D301DC" w:rsidRPr="00A52AB8">
        <w:rPr>
          <w:color w:val="000000" w:themeColor="text1"/>
        </w:rPr>
        <w:instrText xml:space="preserve"> REF _Ref33612033 \n \h </w:instrText>
      </w:r>
      <w:r w:rsidR="00CA5401" w:rsidRPr="00A52AB8">
        <w:rPr>
          <w:color w:val="000000" w:themeColor="text1"/>
        </w:rPr>
        <w:instrText xml:space="preserve"> \* MERGEFORMAT </w:instrText>
      </w:r>
      <w:r w:rsidR="00D301DC" w:rsidRPr="00496A4D">
        <w:rPr>
          <w:color w:val="000000" w:themeColor="text1"/>
        </w:rPr>
      </w:r>
      <w:r w:rsidR="00D301DC" w:rsidRPr="00496A4D">
        <w:rPr>
          <w:color w:val="000000" w:themeColor="text1"/>
        </w:rPr>
        <w:fldChar w:fldCharType="separate"/>
      </w:r>
      <w:r w:rsidR="00507A67">
        <w:rPr>
          <w:color w:val="000000" w:themeColor="text1"/>
        </w:rPr>
        <w:t>A.6</w:t>
      </w:r>
      <w:r w:rsidR="00D301DC" w:rsidRPr="00496A4D">
        <w:rPr>
          <w:color w:val="000000" w:themeColor="text1"/>
        </w:rPr>
        <w:fldChar w:fldCharType="end"/>
      </w:r>
      <w:r w:rsidR="00A90482" w:rsidRPr="00A52AB8">
        <w:rPr>
          <w:color w:val="000000" w:themeColor="text1"/>
        </w:rPr>
        <w:t>.</w:t>
      </w:r>
    </w:p>
    <w:p w14:paraId="08C570EF" w14:textId="71DFEB98" w:rsidR="00B02167" w:rsidRPr="00A52AB8" w:rsidRDefault="00B02167" w:rsidP="00B02167">
      <w:pPr>
        <w:tabs>
          <w:tab w:val="clear" w:pos="403"/>
        </w:tabs>
        <w:spacing w:line="240" w:lineRule="auto"/>
        <w:rPr>
          <w:rFonts w:cs="Calibri"/>
        </w:rPr>
      </w:pPr>
      <w:r w:rsidRPr="00A52AB8">
        <w:rPr>
          <w:rFonts w:cs="Calibri"/>
        </w:rPr>
        <w:t xml:space="preserve">A decoder may support and may be able to conform to multiple reconstruction profiles as specified in subclause </w:t>
      </w:r>
      <w:r w:rsidRPr="00496A4D">
        <w:rPr>
          <w:rFonts w:cs="Calibri"/>
        </w:rPr>
        <w:fldChar w:fldCharType="begin"/>
      </w:r>
      <w:r w:rsidRPr="00A52AB8">
        <w:rPr>
          <w:rFonts w:cs="Calibri"/>
        </w:rPr>
        <w:instrText xml:space="preserve"> REF _Ref44323325 \r \h  \* MERGEFORMAT </w:instrText>
      </w:r>
      <w:r w:rsidRPr="00496A4D">
        <w:rPr>
          <w:rFonts w:cs="Calibri"/>
        </w:rPr>
      </w:r>
      <w:r w:rsidRPr="00496A4D">
        <w:rPr>
          <w:rFonts w:cs="Calibri"/>
        </w:rPr>
        <w:fldChar w:fldCharType="separate"/>
      </w:r>
      <w:r w:rsidR="00507A67">
        <w:rPr>
          <w:rFonts w:cs="Calibri"/>
        </w:rPr>
        <w:t>A.5</w:t>
      </w:r>
      <w:r w:rsidRPr="00496A4D">
        <w:rPr>
          <w:rFonts w:cs="Calibri"/>
        </w:rPr>
        <w:fldChar w:fldCharType="end"/>
      </w:r>
      <w:r w:rsidRPr="00A52AB8">
        <w:rPr>
          <w:rFonts w:cs="Calibri"/>
        </w:rPr>
        <w:t xml:space="preserve">. However, the reconstruction profile a decoder selects to operate in, is outside the scope of this document. When a decoder claims to be operating at a particular </w:t>
      </w:r>
      <w:r w:rsidRPr="00A52AB8">
        <w:t>conformance point B</w:t>
      </w:r>
      <w:r w:rsidR="00E62492" w:rsidRPr="00A52AB8">
        <w:t>,</w:t>
      </w:r>
      <w:r w:rsidRPr="00A52AB8">
        <w:t xml:space="preserve"> it shall be capable of reconstructing a volumetric frame according to the reconstruction recommendations specified by that profile.</w:t>
      </w:r>
    </w:p>
    <w:p w14:paraId="11F9C481" w14:textId="77777777" w:rsidR="00535D94" w:rsidRPr="00A52AB8" w:rsidRDefault="00535D94">
      <w:pPr>
        <w:pStyle w:val="a2"/>
        <w:numPr>
          <w:ilvl w:val="1"/>
          <w:numId w:val="14"/>
        </w:numPr>
        <w:tabs>
          <w:tab w:val="num" w:pos="4613"/>
        </w:tabs>
      </w:pPr>
      <w:bookmarkStart w:id="4522" w:name="_Toc45105460"/>
      <w:bookmarkStart w:id="4523" w:name="_Toc45530319"/>
      <w:bookmarkStart w:id="4524" w:name="_Toc46301676"/>
      <w:bookmarkStart w:id="4525" w:name="_Toc46302501"/>
      <w:bookmarkStart w:id="4526" w:name="_Toc45105461"/>
      <w:bookmarkStart w:id="4527" w:name="_Toc45530320"/>
      <w:bookmarkStart w:id="4528" w:name="_Toc46301677"/>
      <w:bookmarkStart w:id="4529" w:name="_Toc46302502"/>
      <w:bookmarkStart w:id="4530" w:name="_Toc45105462"/>
      <w:bookmarkStart w:id="4531" w:name="_Toc45530321"/>
      <w:bookmarkStart w:id="4532" w:name="_Toc46301678"/>
      <w:bookmarkStart w:id="4533" w:name="_Toc46302503"/>
      <w:bookmarkStart w:id="4534" w:name="_Toc21447940"/>
      <w:bookmarkStart w:id="4535" w:name="_Toc21505877"/>
      <w:bookmarkStart w:id="4536" w:name="_Toc21510023"/>
      <w:bookmarkStart w:id="4537" w:name="_Toc21531967"/>
      <w:bookmarkStart w:id="4538" w:name="_Toc21535213"/>
      <w:bookmarkStart w:id="4539" w:name="_Toc21520227"/>
      <w:bookmarkStart w:id="4540" w:name="_Toc21521363"/>
      <w:bookmarkStart w:id="4541" w:name="_Toc21447941"/>
      <w:bookmarkStart w:id="4542" w:name="_Toc21505878"/>
      <w:bookmarkStart w:id="4543" w:name="_Toc21510024"/>
      <w:bookmarkStart w:id="4544" w:name="_Toc21531968"/>
      <w:bookmarkStart w:id="4545" w:name="_Toc21535214"/>
      <w:bookmarkStart w:id="4546" w:name="_Toc21520228"/>
      <w:bookmarkStart w:id="4547" w:name="_Toc21521364"/>
      <w:bookmarkStart w:id="4548" w:name="_Toc21447942"/>
      <w:bookmarkStart w:id="4549" w:name="_Toc21505879"/>
      <w:bookmarkStart w:id="4550" w:name="_Toc21510025"/>
      <w:bookmarkStart w:id="4551" w:name="_Toc21531969"/>
      <w:bookmarkStart w:id="4552" w:name="_Toc21535215"/>
      <w:bookmarkStart w:id="4553" w:name="_Toc21520229"/>
      <w:bookmarkStart w:id="4554" w:name="_Toc21521365"/>
      <w:bookmarkStart w:id="4555" w:name="_Toc21447943"/>
      <w:bookmarkStart w:id="4556" w:name="_Toc21505880"/>
      <w:bookmarkStart w:id="4557" w:name="_Toc21510026"/>
      <w:bookmarkStart w:id="4558" w:name="_Toc21531970"/>
      <w:bookmarkStart w:id="4559" w:name="_Toc21535216"/>
      <w:bookmarkStart w:id="4560" w:name="_Toc21520230"/>
      <w:bookmarkStart w:id="4561" w:name="_Toc21521366"/>
      <w:bookmarkStart w:id="4562" w:name="_Toc21447944"/>
      <w:bookmarkStart w:id="4563" w:name="_Toc21505881"/>
      <w:bookmarkStart w:id="4564" w:name="_Toc21510027"/>
      <w:bookmarkStart w:id="4565" w:name="_Toc21531971"/>
      <w:bookmarkStart w:id="4566" w:name="_Toc21535217"/>
      <w:bookmarkStart w:id="4567" w:name="_Toc21520231"/>
      <w:bookmarkStart w:id="4568" w:name="_Toc21521367"/>
      <w:bookmarkStart w:id="4569" w:name="_Toc21447945"/>
      <w:bookmarkStart w:id="4570" w:name="_Toc21505882"/>
      <w:bookmarkStart w:id="4571" w:name="_Toc21510028"/>
      <w:bookmarkStart w:id="4572" w:name="_Toc21531972"/>
      <w:bookmarkStart w:id="4573" w:name="_Toc21535218"/>
      <w:bookmarkStart w:id="4574" w:name="_Toc21520232"/>
      <w:bookmarkStart w:id="4575" w:name="_Toc21521368"/>
      <w:bookmarkStart w:id="4576" w:name="_Toc21447946"/>
      <w:bookmarkStart w:id="4577" w:name="_Toc21505883"/>
      <w:bookmarkStart w:id="4578" w:name="_Toc21510029"/>
      <w:bookmarkStart w:id="4579" w:name="_Toc21531973"/>
      <w:bookmarkStart w:id="4580" w:name="_Toc21535219"/>
      <w:bookmarkStart w:id="4581" w:name="_Toc21520233"/>
      <w:bookmarkStart w:id="4582" w:name="_Toc21521369"/>
      <w:bookmarkStart w:id="4583" w:name="_Toc21447947"/>
      <w:bookmarkStart w:id="4584" w:name="_Toc21505884"/>
      <w:bookmarkStart w:id="4585" w:name="_Toc21510030"/>
      <w:bookmarkStart w:id="4586" w:name="_Toc21531974"/>
      <w:bookmarkStart w:id="4587" w:name="_Toc21535220"/>
      <w:bookmarkStart w:id="4588" w:name="_Toc21520234"/>
      <w:bookmarkStart w:id="4589" w:name="_Toc21521370"/>
      <w:bookmarkStart w:id="4590" w:name="_Toc21447948"/>
      <w:bookmarkStart w:id="4591" w:name="_Toc21505885"/>
      <w:bookmarkStart w:id="4592" w:name="_Toc21510031"/>
      <w:bookmarkStart w:id="4593" w:name="_Toc21531975"/>
      <w:bookmarkStart w:id="4594" w:name="_Toc21535221"/>
      <w:bookmarkStart w:id="4595" w:name="_Toc21520235"/>
      <w:bookmarkStart w:id="4596" w:name="_Toc21521371"/>
      <w:bookmarkStart w:id="4597" w:name="_Ref33612007"/>
      <w:bookmarkStart w:id="4598" w:name="_Toc52181651"/>
      <w:bookmarkEnd w:id="4522"/>
      <w:bookmarkEnd w:id="4523"/>
      <w:bookmarkEnd w:id="4524"/>
      <w:bookmarkEnd w:id="4525"/>
      <w:bookmarkEnd w:id="4526"/>
      <w:bookmarkEnd w:id="4527"/>
      <w:bookmarkEnd w:id="4528"/>
      <w:bookmarkEnd w:id="4529"/>
      <w:bookmarkEnd w:id="4530"/>
      <w:bookmarkEnd w:id="4531"/>
      <w:bookmarkEnd w:id="4532"/>
      <w:bookmarkEnd w:id="4533"/>
      <w:bookmarkEnd w:id="4534"/>
      <w:bookmarkEnd w:id="4535"/>
      <w:bookmarkEnd w:id="4536"/>
      <w:bookmarkEnd w:id="4537"/>
      <w:bookmarkEnd w:id="4538"/>
      <w:bookmarkEnd w:id="4539"/>
      <w:bookmarkEnd w:id="4540"/>
      <w:bookmarkEnd w:id="4541"/>
      <w:bookmarkEnd w:id="4542"/>
      <w:bookmarkEnd w:id="4543"/>
      <w:bookmarkEnd w:id="4544"/>
      <w:bookmarkEnd w:id="4545"/>
      <w:bookmarkEnd w:id="4546"/>
      <w:bookmarkEnd w:id="4547"/>
      <w:bookmarkEnd w:id="4548"/>
      <w:bookmarkEnd w:id="4549"/>
      <w:bookmarkEnd w:id="4550"/>
      <w:bookmarkEnd w:id="4551"/>
      <w:bookmarkEnd w:id="4552"/>
      <w:bookmarkEnd w:id="4553"/>
      <w:bookmarkEnd w:id="4554"/>
      <w:bookmarkEnd w:id="4555"/>
      <w:bookmarkEnd w:id="4556"/>
      <w:bookmarkEnd w:id="4557"/>
      <w:bookmarkEnd w:id="4558"/>
      <w:bookmarkEnd w:id="4559"/>
      <w:bookmarkEnd w:id="4560"/>
      <w:bookmarkEnd w:id="4561"/>
      <w:bookmarkEnd w:id="4562"/>
      <w:bookmarkEnd w:id="4563"/>
      <w:bookmarkEnd w:id="4564"/>
      <w:bookmarkEnd w:id="4565"/>
      <w:bookmarkEnd w:id="4566"/>
      <w:bookmarkEnd w:id="4567"/>
      <w:bookmarkEnd w:id="4568"/>
      <w:bookmarkEnd w:id="4569"/>
      <w:bookmarkEnd w:id="4570"/>
      <w:bookmarkEnd w:id="4571"/>
      <w:bookmarkEnd w:id="4572"/>
      <w:bookmarkEnd w:id="4573"/>
      <w:bookmarkEnd w:id="4574"/>
      <w:bookmarkEnd w:id="4575"/>
      <w:bookmarkEnd w:id="4576"/>
      <w:bookmarkEnd w:id="4577"/>
      <w:bookmarkEnd w:id="4578"/>
      <w:bookmarkEnd w:id="4579"/>
      <w:bookmarkEnd w:id="4580"/>
      <w:bookmarkEnd w:id="4581"/>
      <w:bookmarkEnd w:id="4582"/>
      <w:bookmarkEnd w:id="4583"/>
      <w:bookmarkEnd w:id="4584"/>
      <w:bookmarkEnd w:id="4585"/>
      <w:bookmarkEnd w:id="4586"/>
      <w:bookmarkEnd w:id="4587"/>
      <w:bookmarkEnd w:id="4588"/>
      <w:bookmarkEnd w:id="4589"/>
      <w:bookmarkEnd w:id="4590"/>
      <w:bookmarkEnd w:id="4591"/>
      <w:bookmarkEnd w:id="4592"/>
      <w:bookmarkEnd w:id="4593"/>
      <w:bookmarkEnd w:id="4594"/>
      <w:bookmarkEnd w:id="4595"/>
      <w:bookmarkEnd w:id="4596"/>
      <w:r w:rsidRPr="00A52AB8">
        <w:t>CodecGroup profile components</w:t>
      </w:r>
      <w:bookmarkEnd w:id="4597"/>
      <w:bookmarkEnd w:id="4598"/>
    </w:p>
    <w:p w14:paraId="66A40900" w14:textId="6E18D04C" w:rsidR="0050235C" w:rsidRPr="00A52AB8" w:rsidRDefault="005A3D8C">
      <w:r w:rsidRPr="00496A4D">
        <w:fldChar w:fldCharType="begin"/>
      </w:r>
      <w:r w:rsidRPr="00A52AB8">
        <w:instrText xml:space="preserve"> REF _Ref21442028 \h  \* MERGEFORMAT </w:instrText>
      </w:r>
      <w:r w:rsidRPr="00496A4D">
        <w:fldChar w:fldCharType="separate"/>
      </w:r>
      <w:r w:rsidR="00507A67" w:rsidRPr="00507A67">
        <w:t>Table A-1</w:t>
      </w:r>
      <w:r w:rsidRPr="00496A4D">
        <w:fldChar w:fldCharType="end"/>
      </w:r>
      <w:r w:rsidR="00535D94" w:rsidRPr="00A52AB8">
        <w:t xml:space="preserve"> provides a list of </w:t>
      </w:r>
      <w:r w:rsidR="00D428EE" w:rsidRPr="00A52AB8">
        <w:t>defined</w:t>
      </w:r>
      <w:r w:rsidR="00535D94" w:rsidRPr="00A52AB8">
        <w:t xml:space="preserve"> CodecGroup profile components for </w:t>
      </w:r>
      <w:r w:rsidR="007A6854" w:rsidRPr="00A52AB8">
        <w:t>V3C</w:t>
      </w:r>
      <w:r w:rsidR="002573B2" w:rsidRPr="00A52AB8">
        <w:t xml:space="preserve"> and respectively the allowed values for syntax element ptl_profile_codec_group_idc.</w:t>
      </w:r>
    </w:p>
    <w:p w14:paraId="76B5BC06" w14:textId="7619DF36" w:rsidR="00535D94" w:rsidRPr="00A52AB8" w:rsidRDefault="00BD5E20">
      <w:pPr>
        <w:jc w:val="center"/>
        <w:rPr>
          <w:b/>
          <w:bCs/>
          <w:sz w:val="21"/>
          <w:szCs w:val="18"/>
        </w:rPr>
      </w:pPr>
      <w:bookmarkStart w:id="4599" w:name="_Ref21442028"/>
      <w:r w:rsidRPr="00A52AB8">
        <w:rPr>
          <w:b/>
        </w:rPr>
        <w:t>Table A</w:t>
      </w:r>
      <w:r w:rsidR="005A3D8C" w:rsidRPr="00A52AB8">
        <w:rPr>
          <w:b/>
        </w:rPr>
        <w:t>-</w:t>
      </w:r>
      <w:r w:rsidRPr="00496A4D">
        <w:rPr>
          <w:b/>
        </w:rPr>
        <w:fldChar w:fldCharType="begin"/>
      </w:r>
      <w:r w:rsidRPr="00A52AB8">
        <w:rPr>
          <w:b/>
        </w:rPr>
        <w:instrText xml:space="preserve"> SEQ Table \* ARABIC </w:instrText>
      </w:r>
      <w:r w:rsidR="005A3D8C" w:rsidRPr="00A52AB8">
        <w:rPr>
          <w:b/>
        </w:rPr>
        <w:instrText>\r1</w:instrText>
      </w:r>
      <w:r w:rsidRPr="00496A4D">
        <w:rPr>
          <w:b/>
        </w:rPr>
        <w:fldChar w:fldCharType="separate"/>
      </w:r>
      <w:r w:rsidR="00507A67">
        <w:rPr>
          <w:b/>
          <w:noProof/>
        </w:rPr>
        <w:t>1</w:t>
      </w:r>
      <w:r w:rsidRPr="00496A4D">
        <w:rPr>
          <w:b/>
        </w:rPr>
        <w:fldChar w:fldCharType="end"/>
      </w:r>
      <w:bookmarkEnd w:id="4599"/>
      <w:r w:rsidR="001604C8" w:rsidRPr="00A52AB8">
        <w:rPr>
          <w:rFonts w:cs="Calibri"/>
          <w:bCs/>
        </w:rPr>
        <w:t> </w:t>
      </w:r>
      <w:r w:rsidR="001604C8" w:rsidRPr="00A52AB8">
        <w:t>– </w:t>
      </w:r>
      <w:r w:rsidR="00535D94" w:rsidRPr="00A52AB8">
        <w:rPr>
          <w:b/>
          <w:bCs/>
          <w:sz w:val="21"/>
          <w:szCs w:val="21"/>
        </w:rPr>
        <w:t>Available CodecGroup profile components</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8" w:type="dxa"/>
          <w:left w:w="115" w:type="dxa"/>
          <w:bottom w:w="58" w:type="dxa"/>
          <w:right w:w="115" w:type="dxa"/>
        </w:tblCellMar>
        <w:tblLook w:val="04A0" w:firstRow="1" w:lastRow="0" w:firstColumn="1" w:lastColumn="0" w:noHBand="0" w:noVBand="1"/>
      </w:tblPr>
      <w:tblGrid>
        <w:gridCol w:w="3003"/>
        <w:gridCol w:w="3370"/>
        <w:gridCol w:w="3369"/>
      </w:tblGrid>
      <w:tr w:rsidR="00F9665A" w:rsidRPr="00A52AB8" w14:paraId="61AA7268" w14:textId="77777777" w:rsidTr="00D451D4">
        <w:trPr>
          <w:trHeight w:val="90"/>
          <w:jc w:val="center"/>
        </w:trPr>
        <w:tc>
          <w:tcPr>
            <w:tcW w:w="1541" w:type="pct"/>
            <w:vAlign w:val="center"/>
            <w:hideMark/>
          </w:tcPr>
          <w:p w14:paraId="34FB24AC" w14:textId="77777777" w:rsidR="00F9665A" w:rsidRPr="00A52AB8" w:rsidRDefault="00F9665A">
            <w:pPr>
              <w:autoSpaceDE w:val="0"/>
              <w:autoSpaceDN w:val="0"/>
              <w:adjustRightInd w:val="0"/>
              <w:spacing w:after="0"/>
              <w:jc w:val="center"/>
              <w:rPr>
                <w:rFonts w:eastAsia="Times New Roman"/>
                <w:b/>
                <w:color w:val="000000"/>
                <w:sz w:val="20"/>
                <w:szCs w:val="20"/>
              </w:rPr>
            </w:pPr>
            <w:r w:rsidRPr="00A52AB8">
              <w:rPr>
                <w:rFonts w:eastAsia="Times New Roman"/>
                <w:b/>
                <w:color w:val="000000"/>
                <w:sz w:val="20"/>
                <w:szCs w:val="20"/>
              </w:rPr>
              <w:t>CodecGroup</w:t>
            </w:r>
          </w:p>
        </w:tc>
        <w:tc>
          <w:tcPr>
            <w:tcW w:w="1729" w:type="pct"/>
            <w:vAlign w:val="center"/>
            <w:hideMark/>
          </w:tcPr>
          <w:p w14:paraId="21BAA2F1" w14:textId="77777777" w:rsidR="00F9665A" w:rsidRPr="00A52AB8" w:rsidRDefault="00F9665A">
            <w:pPr>
              <w:autoSpaceDE w:val="0"/>
              <w:autoSpaceDN w:val="0"/>
              <w:adjustRightInd w:val="0"/>
              <w:spacing w:after="0"/>
              <w:jc w:val="center"/>
              <w:rPr>
                <w:rFonts w:eastAsia="Times New Roman"/>
                <w:color w:val="000000"/>
                <w:sz w:val="20"/>
                <w:szCs w:val="20"/>
              </w:rPr>
            </w:pPr>
            <w:r w:rsidRPr="00A52AB8">
              <w:rPr>
                <w:rFonts w:eastAsia="Times New Roman"/>
                <w:b/>
                <w:color w:val="000000" w:themeColor="text1"/>
                <w:sz w:val="20"/>
                <w:szCs w:val="20"/>
              </w:rPr>
              <w:t>ptl_profile</w:t>
            </w:r>
            <w:r w:rsidRPr="00A52AB8">
              <w:rPr>
                <w:rFonts w:eastAsia="Times New Roman"/>
                <w:b/>
                <w:color w:val="000000" w:themeColor="text1"/>
                <w:sz w:val="20"/>
                <w:szCs w:val="20"/>
                <w:lang w:eastAsia="ja-JP"/>
              </w:rPr>
              <w:t>_codec_group_idc</w:t>
            </w:r>
          </w:p>
        </w:tc>
        <w:tc>
          <w:tcPr>
            <w:tcW w:w="1729" w:type="pct"/>
            <w:vAlign w:val="center"/>
          </w:tcPr>
          <w:p w14:paraId="1009C3D5" w14:textId="77777777" w:rsidR="00F9665A" w:rsidRPr="00A52AB8" w:rsidRDefault="00F9665A" w:rsidP="00792CFF">
            <w:pPr>
              <w:spacing w:after="0" w:line="240" w:lineRule="auto"/>
              <w:jc w:val="center"/>
              <w:rPr>
                <w:rFonts w:eastAsia="Times New Roman"/>
                <w:b/>
                <w:bCs/>
                <w:color w:val="000000" w:themeColor="text1"/>
                <w:sz w:val="20"/>
                <w:szCs w:val="20"/>
              </w:rPr>
            </w:pPr>
            <w:r w:rsidRPr="00A52AB8">
              <w:rPr>
                <w:b/>
                <w:bCs/>
                <w:sz w:val="20"/>
                <w:szCs w:val="20"/>
              </w:rPr>
              <w:t>4CC code</w:t>
            </w:r>
          </w:p>
        </w:tc>
      </w:tr>
      <w:tr w:rsidR="00F9665A" w:rsidRPr="00A52AB8" w14:paraId="71E2F084" w14:textId="77777777" w:rsidTr="00D451D4">
        <w:trPr>
          <w:trHeight w:val="90"/>
          <w:jc w:val="center"/>
        </w:trPr>
        <w:tc>
          <w:tcPr>
            <w:tcW w:w="1541" w:type="pct"/>
            <w:vAlign w:val="center"/>
            <w:hideMark/>
          </w:tcPr>
          <w:p w14:paraId="62F3EA2D" w14:textId="77777777" w:rsidR="00F9665A" w:rsidRPr="00A52AB8" w:rsidRDefault="00F9665A">
            <w:pPr>
              <w:autoSpaceDE w:val="0"/>
              <w:autoSpaceDN w:val="0"/>
              <w:adjustRightInd w:val="0"/>
              <w:spacing w:after="0"/>
              <w:jc w:val="center"/>
              <w:rPr>
                <w:rFonts w:eastAsia="Times New Roman"/>
                <w:color w:val="000000"/>
                <w:sz w:val="20"/>
                <w:szCs w:val="20"/>
              </w:rPr>
            </w:pPr>
            <w:r w:rsidRPr="00A52AB8">
              <w:rPr>
                <w:rFonts w:eastAsia="Times New Roman"/>
                <w:color w:val="000000"/>
                <w:sz w:val="20"/>
                <w:szCs w:val="20"/>
              </w:rPr>
              <w:t>AVC Progressive High</w:t>
            </w:r>
          </w:p>
        </w:tc>
        <w:tc>
          <w:tcPr>
            <w:tcW w:w="1729" w:type="pct"/>
            <w:vAlign w:val="center"/>
            <w:hideMark/>
          </w:tcPr>
          <w:p w14:paraId="426BBDDA" w14:textId="77777777" w:rsidR="00F9665A" w:rsidRPr="00A52AB8" w:rsidRDefault="00F9665A">
            <w:pPr>
              <w:autoSpaceDE w:val="0"/>
              <w:autoSpaceDN w:val="0"/>
              <w:adjustRightInd w:val="0"/>
              <w:spacing w:after="0"/>
              <w:jc w:val="center"/>
              <w:rPr>
                <w:rFonts w:eastAsia="Times New Roman"/>
                <w:color w:val="000000"/>
                <w:sz w:val="20"/>
                <w:szCs w:val="20"/>
              </w:rPr>
            </w:pPr>
            <w:r w:rsidRPr="00A52AB8">
              <w:rPr>
                <w:rFonts w:eastAsia="Times New Roman"/>
                <w:color w:val="000000"/>
                <w:sz w:val="20"/>
                <w:szCs w:val="20"/>
              </w:rPr>
              <w:t>0</w:t>
            </w:r>
          </w:p>
        </w:tc>
        <w:tc>
          <w:tcPr>
            <w:tcW w:w="1729" w:type="pct"/>
            <w:vAlign w:val="center"/>
          </w:tcPr>
          <w:p w14:paraId="3A5F378D" w14:textId="77777777" w:rsidR="00F9665A" w:rsidRPr="00A52AB8" w:rsidRDefault="00F9665A">
            <w:pPr>
              <w:autoSpaceDE w:val="0"/>
              <w:autoSpaceDN w:val="0"/>
              <w:adjustRightInd w:val="0"/>
              <w:spacing w:after="0"/>
              <w:jc w:val="center"/>
              <w:rPr>
                <w:rFonts w:eastAsia="Times New Roman"/>
                <w:color w:val="000000"/>
                <w:sz w:val="20"/>
                <w:szCs w:val="20"/>
              </w:rPr>
            </w:pPr>
            <w:r w:rsidRPr="00A52AB8">
              <w:rPr>
                <w:rFonts w:eastAsia="Times New Roman"/>
                <w:color w:val="000000"/>
                <w:sz w:val="20"/>
                <w:szCs w:val="20"/>
              </w:rPr>
              <w:t>'avc3'</w:t>
            </w:r>
          </w:p>
        </w:tc>
      </w:tr>
      <w:tr w:rsidR="00F9665A" w:rsidRPr="00A52AB8" w14:paraId="4B216074" w14:textId="77777777" w:rsidTr="00D451D4">
        <w:trPr>
          <w:trHeight w:val="90"/>
          <w:jc w:val="center"/>
        </w:trPr>
        <w:tc>
          <w:tcPr>
            <w:tcW w:w="1541" w:type="pct"/>
            <w:vAlign w:val="center"/>
            <w:hideMark/>
          </w:tcPr>
          <w:p w14:paraId="2A31DF0E" w14:textId="77777777" w:rsidR="00F9665A" w:rsidRPr="00A52AB8" w:rsidRDefault="00F9665A">
            <w:pPr>
              <w:autoSpaceDE w:val="0"/>
              <w:autoSpaceDN w:val="0"/>
              <w:adjustRightInd w:val="0"/>
              <w:spacing w:after="0"/>
              <w:jc w:val="center"/>
              <w:rPr>
                <w:rFonts w:eastAsia="Times New Roman"/>
                <w:color w:val="000000"/>
                <w:sz w:val="20"/>
                <w:szCs w:val="20"/>
              </w:rPr>
            </w:pPr>
            <w:r w:rsidRPr="00A52AB8">
              <w:rPr>
                <w:rFonts w:eastAsia="Times New Roman"/>
                <w:color w:val="000000"/>
                <w:sz w:val="20"/>
                <w:szCs w:val="20"/>
              </w:rPr>
              <w:t>HEVC Main10</w:t>
            </w:r>
          </w:p>
        </w:tc>
        <w:tc>
          <w:tcPr>
            <w:tcW w:w="1729" w:type="pct"/>
            <w:vAlign w:val="center"/>
            <w:hideMark/>
          </w:tcPr>
          <w:p w14:paraId="5646F387" w14:textId="77777777" w:rsidR="00F9665A" w:rsidRPr="00A52AB8" w:rsidRDefault="00F9665A">
            <w:pPr>
              <w:autoSpaceDE w:val="0"/>
              <w:autoSpaceDN w:val="0"/>
              <w:adjustRightInd w:val="0"/>
              <w:spacing w:after="0"/>
              <w:jc w:val="center"/>
              <w:rPr>
                <w:rFonts w:eastAsia="Times New Roman"/>
                <w:color w:val="000000"/>
                <w:sz w:val="20"/>
                <w:szCs w:val="20"/>
              </w:rPr>
            </w:pPr>
            <w:r w:rsidRPr="00A52AB8">
              <w:rPr>
                <w:rFonts w:eastAsia="Times New Roman"/>
                <w:color w:val="000000"/>
                <w:sz w:val="20"/>
                <w:szCs w:val="20"/>
              </w:rPr>
              <w:t>1</w:t>
            </w:r>
          </w:p>
        </w:tc>
        <w:tc>
          <w:tcPr>
            <w:tcW w:w="1729" w:type="pct"/>
            <w:vAlign w:val="center"/>
          </w:tcPr>
          <w:p w14:paraId="7AF95AE8" w14:textId="77777777" w:rsidR="00F9665A" w:rsidRPr="00A52AB8" w:rsidRDefault="00A1269C">
            <w:pPr>
              <w:autoSpaceDE w:val="0"/>
              <w:autoSpaceDN w:val="0"/>
              <w:adjustRightInd w:val="0"/>
              <w:spacing w:after="0"/>
              <w:jc w:val="center"/>
              <w:rPr>
                <w:rFonts w:eastAsia="Times New Roman"/>
                <w:color w:val="000000"/>
                <w:sz w:val="20"/>
                <w:szCs w:val="20"/>
              </w:rPr>
            </w:pPr>
            <w:r w:rsidRPr="00A52AB8">
              <w:rPr>
                <w:sz w:val="20"/>
                <w:szCs w:val="20"/>
              </w:rPr>
              <w:t>'hev1'</w:t>
            </w:r>
          </w:p>
        </w:tc>
      </w:tr>
      <w:tr w:rsidR="00F9665A" w:rsidRPr="00A52AB8" w14:paraId="0166E7A8" w14:textId="77777777" w:rsidTr="00D451D4">
        <w:trPr>
          <w:trHeight w:val="90"/>
          <w:jc w:val="center"/>
        </w:trPr>
        <w:tc>
          <w:tcPr>
            <w:tcW w:w="1541" w:type="pct"/>
            <w:vAlign w:val="center"/>
          </w:tcPr>
          <w:p w14:paraId="5A7E2AD0" w14:textId="77777777" w:rsidR="00F9665A" w:rsidRPr="00A52AB8" w:rsidRDefault="00F9665A">
            <w:pPr>
              <w:autoSpaceDE w:val="0"/>
              <w:autoSpaceDN w:val="0"/>
              <w:adjustRightInd w:val="0"/>
              <w:spacing w:after="0"/>
              <w:jc w:val="center"/>
              <w:rPr>
                <w:rFonts w:eastAsia="Times New Roman"/>
                <w:color w:val="000000"/>
                <w:sz w:val="20"/>
                <w:szCs w:val="20"/>
              </w:rPr>
            </w:pPr>
            <w:r w:rsidRPr="00A52AB8">
              <w:rPr>
                <w:rFonts w:eastAsia="Times New Roman"/>
                <w:color w:val="000000"/>
                <w:sz w:val="20"/>
                <w:szCs w:val="20"/>
              </w:rPr>
              <w:t>HEVC444</w:t>
            </w:r>
          </w:p>
        </w:tc>
        <w:tc>
          <w:tcPr>
            <w:tcW w:w="1729" w:type="pct"/>
            <w:vAlign w:val="center"/>
          </w:tcPr>
          <w:p w14:paraId="353D6440" w14:textId="77777777" w:rsidR="00F9665A" w:rsidRPr="00A52AB8" w:rsidRDefault="00F9665A">
            <w:pPr>
              <w:autoSpaceDE w:val="0"/>
              <w:autoSpaceDN w:val="0"/>
              <w:adjustRightInd w:val="0"/>
              <w:spacing w:after="0"/>
              <w:jc w:val="center"/>
              <w:rPr>
                <w:rFonts w:eastAsia="Times New Roman"/>
                <w:color w:val="000000"/>
                <w:sz w:val="20"/>
                <w:szCs w:val="20"/>
              </w:rPr>
            </w:pPr>
            <w:r w:rsidRPr="00A52AB8">
              <w:rPr>
                <w:rFonts w:eastAsia="Times New Roman"/>
                <w:color w:val="000000"/>
                <w:sz w:val="20"/>
                <w:szCs w:val="20"/>
              </w:rPr>
              <w:t>2</w:t>
            </w:r>
          </w:p>
        </w:tc>
        <w:tc>
          <w:tcPr>
            <w:tcW w:w="1729" w:type="pct"/>
            <w:vAlign w:val="center"/>
          </w:tcPr>
          <w:p w14:paraId="0F3BBA4D" w14:textId="77777777" w:rsidR="00F9665A" w:rsidRPr="00A52AB8" w:rsidRDefault="00A1269C">
            <w:pPr>
              <w:autoSpaceDE w:val="0"/>
              <w:autoSpaceDN w:val="0"/>
              <w:adjustRightInd w:val="0"/>
              <w:spacing w:after="0"/>
              <w:jc w:val="center"/>
              <w:rPr>
                <w:rFonts w:eastAsia="Times New Roman"/>
                <w:color w:val="000000"/>
                <w:sz w:val="20"/>
                <w:szCs w:val="20"/>
              </w:rPr>
            </w:pPr>
            <w:r w:rsidRPr="00A52AB8">
              <w:rPr>
                <w:sz w:val="20"/>
                <w:szCs w:val="20"/>
              </w:rPr>
              <w:t>'hev1'</w:t>
            </w:r>
          </w:p>
        </w:tc>
      </w:tr>
      <w:tr w:rsidR="000F4983" w:rsidRPr="00A52AB8" w14:paraId="714278FB" w14:textId="77777777" w:rsidTr="00D451D4">
        <w:trPr>
          <w:trHeight w:val="90"/>
          <w:jc w:val="center"/>
        </w:trPr>
        <w:tc>
          <w:tcPr>
            <w:tcW w:w="1541" w:type="pct"/>
            <w:vAlign w:val="center"/>
          </w:tcPr>
          <w:p w14:paraId="63D1B6AD" w14:textId="77777777" w:rsidR="000F4983" w:rsidRPr="00A52AB8" w:rsidRDefault="00520B7F">
            <w:pPr>
              <w:autoSpaceDE w:val="0"/>
              <w:autoSpaceDN w:val="0"/>
              <w:adjustRightInd w:val="0"/>
              <w:spacing w:after="0"/>
              <w:jc w:val="center"/>
              <w:rPr>
                <w:rFonts w:eastAsia="Times New Roman"/>
                <w:color w:val="000000"/>
                <w:sz w:val="20"/>
                <w:szCs w:val="20"/>
              </w:rPr>
            </w:pPr>
            <w:r w:rsidRPr="00A52AB8">
              <w:rPr>
                <w:rFonts w:eastAsia="Times New Roman"/>
                <w:color w:val="000000"/>
                <w:sz w:val="20"/>
                <w:szCs w:val="20"/>
              </w:rPr>
              <w:t>VVC Main10</w:t>
            </w:r>
          </w:p>
        </w:tc>
        <w:tc>
          <w:tcPr>
            <w:tcW w:w="1729" w:type="pct"/>
            <w:vAlign w:val="center"/>
          </w:tcPr>
          <w:p w14:paraId="7F59EFD9" w14:textId="77777777" w:rsidR="000F4983" w:rsidRPr="00A52AB8" w:rsidRDefault="00520B7F">
            <w:pPr>
              <w:autoSpaceDE w:val="0"/>
              <w:autoSpaceDN w:val="0"/>
              <w:adjustRightInd w:val="0"/>
              <w:spacing w:after="0"/>
              <w:jc w:val="center"/>
              <w:rPr>
                <w:rFonts w:eastAsia="Times New Roman"/>
                <w:color w:val="000000"/>
                <w:sz w:val="20"/>
                <w:szCs w:val="20"/>
              </w:rPr>
            </w:pPr>
            <w:r w:rsidRPr="00A52AB8">
              <w:rPr>
                <w:rFonts w:eastAsia="Times New Roman"/>
                <w:color w:val="000000"/>
                <w:sz w:val="20"/>
                <w:szCs w:val="20"/>
              </w:rPr>
              <w:t>3</w:t>
            </w:r>
          </w:p>
        </w:tc>
        <w:tc>
          <w:tcPr>
            <w:tcW w:w="1729" w:type="pct"/>
            <w:vAlign w:val="center"/>
          </w:tcPr>
          <w:p w14:paraId="38535DCE" w14:textId="77777777" w:rsidR="000F4983" w:rsidRPr="00A52AB8" w:rsidRDefault="003C3CE5">
            <w:pPr>
              <w:autoSpaceDE w:val="0"/>
              <w:autoSpaceDN w:val="0"/>
              <w:adjustRightInd w:val="0"/>
              <w:spacing w:after="0"/>
              <w:jc w:val="center"/>
              <w:rPr>
                <w:sz w:val="20"/>
                <w:szCs w:val="20"/>
              </w:rPr>
            </w:pPr>
            <w:r w:rsidRPr="00A52AB8">
              <w:rPr>
                <w:sz w:val="20"/>
                <w:szCs w:val="20"/>
              </w:rPr>
              <w:t>'vvc1'</w:t>
            </w:r>
          </w:p>
        </w:tc>
      </w:tr>
      <w:tr w:rsidR="008C6A4E" w:rsidRPr="00A52AB8" w14:paraId="799804E9" w14:textId="77777777" w:rsidTr="00D451D4">
        <w:trPr>
          <w:trHeight w:val="90"/>
          <w:jc w:val="center"/>
        </w:trPr>
        <w:tc>
          <w:tcPr>
            <w:tcW w:w="1541" w:type="pct"/>
            <w:vAlign w:val="center"/>
          </w:tcPr>
          <w:p w14:paraId="1E282A86" w14:textId="77777777" w:rsidR="008C6A4E" w:rsidRPr="00A52AB8" w:rsidRDefault="003B651A">
            <w:pPr>
              <w:autoSpaceDE w:val="0"/>
              <w:autoSpaceDN w:val="0"/>
              <w:adjustRightInd w:val="0"/>
              <w:spacing w:after="0"/>
              <w:jc w:val="center"/>
              <w:rPr>
                <w:rFonts w:eastAsia="Times New Roman"/>
                <w:color w:val="000000"/>
                <w:sz w:val="20"/>
                <w:szCs w:val="20"/>
              </w:rPr>
            </w:pPr>
            <w:r w:rsidRPr="00A52AB8">
              <w:rPr>
                <w:rFonts w:eastAsia="Times New Roman"/>
                <w:color w:val="000000"/>
                <w:sz w:val="20"/>
                <w:szCs w:val="20"/>
              </w:rPr>
              <w:t>Reserved</w:t>
            </w:r>
          </w:p>
        </w:tc>
        <w:tc>
          <w:tcPr>
            <w:tcW w:w="1729" w:type="pct"/>
            <w:vAlign w:val="center"/>
          </w:tcPr>
          <w:p w14:paraId="05F41B8B" w14:textId="77777777" w:rsidR="008C6A4E" w:rsidRPr="00A52AB8" w:rsidRDefault="00422EAF">
            <w:pPr>
              <w:autoSpaceDE w:val="0"/>
              <w:autoSpaceDN w:val="0"/>
              <w:adjustRightInd w:val="0"/>
              <w:spacing w:after="0"/>
              <w:jc w:val="center"/>
              <w:rPr>
                <w:rFonts w:eastAsia="Times New Roman"/>
                <w:color w:val="000000"/>
                <w:sz w:val="20"/>
                <w:szCs w:val="20"/>
              </w:rPr>
            </w:pPr>
            <w:r w:rsidRPr="00A52AB8">
              <w:rPr>
                <w:rFonts w:eastAsia="Times New Roman"/>
                <w:color w:val="000000"/>
                <w:sz w:val="20"/>
                <w:szCs w:val="20"/>
              </w:rPr>
              <w:t>4..126</w:t>
            </w:r>
          </w:p>
        </w:tc>
        <w:tc>
          <w:tcPr>
            <w:tcW w:w="1729" w:type="pct"/>
            <w:vAlign w:val="center"/>
          </w:tcPr>
          <w:p w14:paraId="00D15434" w14:textId="77777777" w:rsidR="008C6A4E" w:rsidRPr="00A52AB8" w:rsidRDefault="005331DC">
            <w:pPr>
              <w:autoSpaceDE w:val="0"/>
              <w:autoSpaceDN w:val="0"/>
              <w:adjustRightInd w:val="0"/>
              <w:spacing w:after="0"/>
              <w:jc w:val="center"/>
              <w:rPr>
                <w:sz w:val="20"/>
                <w:szCs w:val="20"/>
              </w:rPr>
            </w:pPr>
            <w:r w:rsidRPr="00A52AB8">
              <w:rPr>
                <w:sz w:val="20"/>
                <w:szCs w:val="20"/>
              </w:rPr>
              <w:t>–</w:t>
            </w:r>
          </w:p>
        </w:tc>
      </w:tr>
      <w:tr w:rsidR="00F9665A" w:rsidRPr="00A52AB8" w14:paraId="10DA5D27" w14:textId="77777777" w:rsidTr="00D451D4">
        <w:trPr>
          <w:trHeight w:val="90"/>
          <w:jc w:val="center"/>
        </w:trPr>
        <w:tc>
          <w:tcPr>
            <w:tcW w:w="1541" w:type="pct"/>
            <w:vAlign w:val="center"/>
          </w:tcPr>
          <w:p w14:paraId="58015D6C" w14:textId="77777777" w:rsidR="00F9665A" w:rsidRPr="00A52AB8" w:rsidRDefault="00F9665A">
            <w:pPr>
              <w:autoSpaceDE w:val="0"/>
              <w:autoSpaceDN w:val="0"/>
              <w:adjustRightInd w:val="0"/>
              <w:spacing w:after="0"/>
              <w:jc w:val="center"/>
              <w:rPr>
                <w:rFonts w:eastAsia="Times New Roman"/>
                <w:color w:val="000000"/>
                <w:sz w:val="20"/>
                <w:szCs w:val="20"/>
              </w:rPr>
            </w:pPr>
            <w:r w:rsidRPr="00A52AB8">
              <w:rPr>
                <w:rFonts w:eastAsia="Times New Roman"/>
                <w:color w:val="000000"/>
                <w:sz w:val="20"/>
                <w:szCs w:val="20"/>
              </w:rPr>
              <w:t>MP4RA</w:t>
            </w:r>
          </w:p>
        </w:tc>
        <w:tc>
          <w:tcPr>
            <w:tcW w:w="1729" w:type="pct"/>
            <w:vAlign w:val="center"/>
          </w:tcPr>
          <w:p w14:paraId="4769EA80" w14:textId="77777777" w:rsidR="00F9665A" w:rsidRPr="00A52AB8" w:rsidRDefault="00422EAF">
            <w:pPr>
              <w:autoSpaceDE w:val="0"/>
              <w:autoSpaceDN w:val="0"/>
              <w:adjustRightInd w:val="0"/>
              <w:spacing w:after="0"/>
              <w:jc w:val="center"/>
              <w:rPr>
                <w:rFonts w:eastAsia="Times New Roman"/>
                <w:color w:val="000000"/>
                <w:sz w:val="20"/>
                <w:szCs w:val="20"/>
              </w:rPr>
            </w:pPr>
            <w:r w:rsidRPr="00A52AB8">
              <w:rPr>
                <w:rFonts w:eastAsia="Times New Roman"/>
                <w:color w:val="000000"/>
                <w:sz w:val="20"/>
                <w:szCs w:val="20"/>
              </w:rPr>
              <w:t>127</w:t>
            </w:r>
          </w:p>
        </w:tc>
        <w:tc>
          <w:tcPr>
            <w:tcW w:w="1729" w:type="pct"/>
            <w:vAlign w:val="center"/>
          </w:tcPr>
          <w:p w14:paraId="45560A6A" w14:textId="04AB658D" w:rsidR="00F9665A" w:rsidRPr="00A52AB8" w:rsidRDefault="00A1269C">
            <w:pPr>
              <w:autoSpaceDE w:val="0"/>
              <w:autoSpaceDN w:val="0"/>
              <w:adjustRightInd w:val="0"/>
              <w:spacing w:after="0"/>
              <w:jc w:val="center"/>
              <w:rPr>
                <w:rFonts w:eastAsia="Times New Roman"/>
                <w:color w:val="000000"/>
                <w:sz w:val="20"/>
                <w:szCs w:val="20"/>
              </w:rPr>
            </w:pPr>
            <w:r w:rsidRPr="00A52AB8">
              <w:rPr>
                <w:rFonts w:eastAsia="Times New Roman"/>
                <w:color w:val="000000"/>
                <w:sz w:val="20"/>
                <w:szCs w:val="20"/>
              </w:rPr>
              <w:t xml:space="preserve">provided by </w:t>
            </w:r>
            <w:r w:rsidRPr="00A52AB8">
              <w:rPr>
                <w:sz w:val="20"/>
                <w:szCs w:val="20"/>
              </w:rPr>
              <w:t>component codec mapping SEI message</w:t>
            </w:r>
            <w:r w:rsidRPr="00A52AB8">
              <w:rPr>
                <w:rFonts w:eastAsia="Times New Roman"/>
                <w:color w:val="000000"/>
                <w:sz w:val="20"/>
                <w:szCs w:val="20"/>
              </w:rPr>
              <w:t xml:space="preserve"> </w:t>
            </w:r>
            <w:r w:rsidRPr="00A52AB8">
              <w:rPr>
                <w:bCs/>
                <w:sz w:val="20"/>
                <w:szCs w:val="20"/>
              </w:rPr>
              <w:t>(</w:t>
            </w:r>
            <w:r w:rsidRPr="00496A4D">
              <w:rPr>
                <w:bCs/>
                <w:sz w:val="20"/>
                <w:szCs w:val="20"/>
              </w:rPr>
              <w:fldChar w:fldCharType="begin"/>
            </w:r>
            <w:r w:rsidRPr="00A52AB8">
              <w:rPr>
                <w:bCs/>
                <w:sz w:val="20"/>
                <w:szCs w:val="20"/>
              </w:rPr>
              <w:instrText xml:space="preserve"> REF _Ref21444040 \r \h  \* MERGEFORMAT </w:instrText>
            </w:r>
            <w:r w:rsidRPr="00496A4D">
              <w:rPr>
                <w:bCs/>
                <w:sz w:val="20"/>
                <w:szCs w:val="20"/>
              </w:rPr>
            </w:r>
            <w:r w:rsidRPr="00496A4D">
              <w:rPr>
                <w:bCs/>
                <w:sz w:val="20"/>
                <w:szCs w:val="20"/>
              </w:rPr>
              <w:fldChar w:fldCharType="separate"/>
            </w:r>
            <w:r w:rsidR="00507A67">
              <w:rPr>
                <w:bCs/>
                <w:sz w:val="20"/>
                <w:szCs w:val="20"/>
              </w:rPr>
              <w:t>F.2.11</w:t>
            </w:r>
            <w:r w:rsidRPr="00496A4D">
              <w:rPr>
                <w:bCs/>
                <w:sz w:val="20"/>
                <w:szCs w:val="20"/>
              </w:rPr>
              <w:fldChar w:fldCharType="end"/>
            </w:r>
            <w:r w:rsidRPr="00A52AB8">
              <w:rPr>
                <w:bCs/>
                <w:sz w:val="20"/>
                <w:szCs w:val="20"/>
              </w:rPr>
              <w:t>)</w:t>
            </w:r>
          </w:p>
        </w:tc>
      </w:tr>
    </w:tbl>
    <w:p w14:paraId="24345013" w14:textId="7E3EC54E" w:rsidR="00535D94" w:rsidRPr="00A52AB8" w:rsidRDefault="005A3D8C" w:rsidP="00792CFF">
      <w:pPr>
        <w:spacing w:before="240"/>
      </w:pPr>
      <w:r w:rsidRPr="00496A4D">
        <w:fldChar w:fldCharType="begin"/>
      </w:r>
      <w:r w:rsidRPr="00A52AB8">
        <w:instrText xml:space="preserve"> REF _Ref21442197 \h  \* MERGEFORMAT </w:instrText>
      </w:r>
      <w:r w:rsidRPr="00496A4D">
        <w:fldChar w:fldCharType="separate"/>
      </w:r>
      <w:r w:rsidR="00507A67" w:rsidRPr="00507A67">
        <w:t>Table A-2</w:t>
      </w:r>
      <w:r w:rsidRPr="00496A4D">
        <w:fldChar w:fldCharType="end"/>
      </w:r>
      <w:r w:rsidRPr="00A52AB8">
        <w:t xml:space="preserve"> </w:t>
      </w:r>
      <w:r w:rsidR="00535D94" w:rsidRPr="00A52AB8">
        <w:t>provides a list of the supported codec functionalities for each CodecGroup profile component.</w:t>
      </w:r>
    </w:p>
    <w:p w14:paraId="05F0B782" w14:textId="7EB2C125" w:rsidR="00535D94" w:rsidRPr="00A52AB8" w:rsidRDefault="00BD5E20" w:rsidP="00157D0C">
      <w:pPr>
        <w:keepNext/>
        <w:keepLines/>
        <w:jc w:val="center"/>
        <w:rPr>
          <w:b/>
          <w:bCs/>
          <w:sz w:val="21"/>
          <w:szCs w:val="21"/>
        </w:rPr>
      </w:pPr>
      <w:bookmarkStart w:id="4600" w:name="_Ref21442197"/>
      <w:r w:rsidRPr="00A52AB8">
        <w:rPr>
          <w:b/>
        </w:rPr>
        <w:t>Table A</w:t>
      </w:r>
      <w:r w:rsidR="005A3D8C" w:rsidRPr="00A52AB8">
        <w:rPr>
          <w:b/>
        </w:rPr>
        <w:t>-</w:t>
      </w:r>
      <w:r w:rsidRPr="00496A4D">
        <w:rPr>
          <w:b/>
        </w:rPr>
        <w:fldChar w:fldCharType="begin"/>
      </w:r>
      <w:r w:rsidRPr="00A52AB8">
        <w:rPr>
          <w:b/>
        </w:rPr>
        <w:instrText xml:space="preserve"> SEQ Table \* ARABIC \s 1 </w:instrText>
      </w:r>
      <w:r w:rsidRPr="00496A4D">
        <w:rPr>
          <w:b/>
        </w:rPr>
        <w:fldChar w:fldCharType="separate"/>
      </w:r>
      <w:r w:rsidR="00507A67">
        <w:rPr>
          <w:b/>
          <w:noProof/>
        </w:rPr>
        <w:t>2</w:t>
      </w:r>
      <w:r w:rsidRPr="00496A4D">
        <w:rPr>
          <w:b/>
        </w:rPr>
        <w:fldChar w:fldCharType="end"/>
      </w:r>
      <w:bookmarkEnd w:id="4600"/>
      <w:r w:rsidR="001604C8" w:rsidRPr="00A52AB8">
        <w:rPr>
          <w:rFonts w:cs="Calibri"/>
          <w:bCs/>
        </w:rPr>
        <w:t> </w:t>
      </w:r>
      <w:r w:rsidR="001604C8" w:rsidRPr="00A52AB8">
        <w:t>– </w:t>
      </w:r>
      <w:r w:rsidR="00535D94" w:rsidRPr="00A52AB8">
        <w:rPr>
          <w:b/>
          <w:bCs/>
          <w:sz w:val="21"/>
          <w:szCs w:val="21"/>
        </w:rPr>
        <w:t>CodecGroup profile component supported functionality</w:t>
      </w:r>
    </w:p>
    <w:tbl>
      <w:tblPr>
        <w:tblStyle w:val="TableGrid"/>
        <w:tblW w:w="10293" w:type="dxa"/>
        <w:tblLayout w:type="fixed"/>
        <w:tblCellMar>
          <w:left w:w="0" w:type="dxa"/>
          <w:right w:w="0" w:type="dxa"/>
        </w:tblCellMar>
        <w:tblLook w:val="04A0" w:firstRow="1" w:lastRow="0" w:firstColumn="1" w:lastColumn="0" w:noHBand="0" w:noVBand="1"/>
      </w:tblPr>
      <w:tblGrid>
        <w:gridCol w:w="937"/>
        <w:gridCol w:w="937"/>
        <w:gridCol w:w="560"/>
        <w:gridCol w:w="561"/>
        <w:gridCol w:w="690"/>
        <w:gridCol w:w="433"/>
        <w:gridCol w:w="561"/>
        <w:gridCol w:w="561"/>
        <w:gridCol w:w="567"/>
        <w:gridCol w:w="567"/>
        <w:gridCol w:w="567"/>
        <w:gridCol w:w="709"/>
        <w:gridCol w:w="567"/>
        <w:gridCol w:w="688"/>
        <w:gridCol w:w="450"/>
        <w:gridCol w:w="376"/>
        <w:gridCol w:w="562"/>
      </w:tblGrid>
      <w:tr w:rsidR="009E7CFA" w:rsidRPr="00A52AB8" w14:paraId="75119509" w14:textId="77777777" w:rsidTr="00007BE2">
        <w:trPr>
          <w:trHeight w:val="235"/>
        </w:trPr>
        <w:tc>
          <w:tcPr>
            <w:tcW w:w="937" w:type="dxa"/>
            <w:vAlign w:val="center"/>
          </w:tcPr>
          <w:p w14:paraId="7EBC9817" w14:textId="77777777" w:rsidR="009E7CFA" w:rsidRPr="00A52AB8" w:rsidRDefault="009E7CFA" w:rsidP="002140BB">
            <w:pPr>
              <w:keepNext/>
              <w:keepLines/>
              <w:spacing w:after="0" w:line="240" w:lineRule="auto"/>
              <w:jc w:val="center"/>
              <w:rPr>
                <w:b/>
                <w:bCs/>
                <w:sz w:val="20"/>
                <w:szCs w:val="20"/>
              </w:rPr>
            </w:pPr>
          </w:p>
        </w:tc>
        <w:tc>
          <w:tcPr>
            <w:tcW w:w="937" w:type="dxa"/>
            <w:vAlign w:val="center"/>
          </w:tcPr>
          <w:p w14:paraId="2423AE75" w14:textId="77777777" w:rsidR="009E7CFA" w:rsidRPr="00A52AB8" w:rsidRDefault="009E7CFA" w:rsidP="002140BB">
            <w:pPr>
              <w:keepNext/>
              <w:keepLines/>
              <w:spacing w:after="0" w:line="240" w:lineRule="auto"/>
              <w:jc w:val="center"/>
              <w:rPr>
                <w:b/>
                <w:bCs/>
                <w:sz w:val="20"/>
                <w:szCs w:val="20"/>
              </w:rPr>
            </w:pPr>
          </w:p>
        </w:tc>
        <w:tc>
          <w:tcPr>
            <w:tcW w:w="1811" w:type="dxa"/>
            <w:gridSpan w:val="3"/>
            <w:vAlign w:val="center"/>
          </w:tcPr>
          <w:p w14:paraId="07E87AFA" w14:textId="77777777" w:rsidR="009E7CFA" w:rsidRPr="00A52AB8" w:rsidRDefault="009E7CFA" w:rsidP="002140BB">
            <w:pPr>
              <w:keepNext/>
              <w:keepLines/>
              <w:spacing w:after="0" w:line="240" w:lineRule="auto"/>
              <w:jc w:val="center"/>
              <w:rPr>
                <w:b/>
                <w:bCs/>
                <w:sz w:val="20"/>
                <w:szCs w:val="20"/>
              </w:rPr>
            </w:pPr>
            <w:r w:rsidRPr="00A52AB8">
              <w:rPr>
                <w:rFonts w:eastAsia="Times New Roman"/>
                <w:color w:val="000000"/>
                <w:sz w:val="20"/>
                <w:szCs w:val="20"/>
              </w:rPr>
              <w:t>AVC Progressive High</w:t>
            </w:r>
          </w:p>
        </w:tc>
        <w:tc>
          <w:tcPr>
            <w:tcW w:w="1555" w:type="dxa"/>
            <w:gridSpan w:val="3"/>
            <w:vAlign w:val="center"/>
          </w:tcPr>
          <w:p w14:paraId="7CC26C55" w14:textId="77777777" w:rsidR="009E7CFA" w:rsidRPr="00A52AB8" w:rsidRDefault="009E7CFA" w:rsidP="002140BB">
            <w:pPr>
              <w:keepNext/>
              <w:keepLines/>
              <w:spacing w:after="0" w:line="240" w:lineRule="auto"/>
              <w:jc w:val="center"/>
              <w:rPr>
                <w:b/>
                <w:bCs/>
                <w:sz w:val="20"/>
                <w:szCs w:val="20"/>
              </w:rPr>
            </w:pPr>
            <w:r w:rsidRPr="00A52AB8">
              <w:rPr>
                <w:rFonts w:eastAsia="Times New Roman"/>
                <w:color w:val="000000"/>
                <w:sz w:val="20"/>
                <w:szCs w:val="20"/>
              </w:rPr>
              <w:t>HEVC Main10</w:t>
            </w:r>
          </w:p>
        </w:tc>
        <w:tc>
          <w:tcPr>
            <w:tcW w:w="1701" w:type="dxa"/>
            <w:gridSpan w:val="3"/>
            <w:vAlign w:val="center"/>
          </w:tcPr>
          <w:p w14:paraId="49C2FCD4" w14:textId="77777777" w:rsidR="009E7CFA" w:rsidRPr="00A52AB8" w:rsidRDefault="009E7CFA" w:rsidP="002140BB">
            <w:pPr>
              <w:keepNext/>
              <w:keepLines/>
              <w:spacing w:after="0" w:line="240" w:lineRule="auto"/>
              <w:jc w:val="center"/>
              <w:rPr>
                <w:b/>
                <w:bCs/>
                <w:sz w:val="20"/>
                <w:szCs w:val="20"/>
              </w:rPr>
            </w:pPr>
            <w:r w:rsidRPr="00A52AB8">
              <w:rPr>
                <w:rFonts w:eastAsia="Times New Roman"/>
                <w:color w:val="000000"/>
                <w:sz w:val="20"/>
                <w:szCs w:val="20"/>
              </w:rPr>
              <w:t>HEVC444</w:t>
            </w:r>
          </w:p>
        </w:tc>
        <w:tc>
          <w:tcPr>
            <w:tcW w:w="1964" w:type="dxa"/>
            <w:gridSpan w:val="3"/>
            <w:vAlign w:val="center"/>
          </w:tcPr>
          <w:p w14:paraId="586A25E9" w14:textId="77777777" w:rsidR="009E7CFA" w:rsidRPr="00A52AB8" w:rsidRDefault="00B71F25" w:rsidP="00B71F25">
            <w:pPr>
              <w:keepNext/>
              <w:keepLines/>
              <w:spacing w:after="0" w:line="240" w:lineRule="auto"/>
              <w:jc w:val="center"/>
              <w:rPr>
                <w:rFonts w:eastAsia="Times New Roman"/>
                <w:color w:val="000000"/>
                <w:sz w:val="20"/>
                <w:szCs w:val="20"/>
              </w:rPr>
            </w:pPr>
            <w:r w:rsidRPr="00A52AB8">
              <w:rPr>
                <w:rFonts w:eastAsia="Times New Roman"/>
                <w:color w:val="000000"/>
                <w:sz w:val="20"/>
                <w:szCs w:val="20"/>
              </w:rPr>
              <w:t>VVC Main 10</w:t>
            </w:r>
          </w:p>
        </w:tc>
        <w:tc>
          <w:tcPr>
            <w:tcW w:w="1388" w:type="dxa"/>
            <w:gridSpan w:val="3"/>
            <w:vAlign w:val="center"/>
          </w:tcPr>
          <w:p w14:paraId="7B3D2DC3" w14:textId="77777777" w:rsidR="009E7CFA" w:rsidRPr="00A52AB8" w:rsidRDefault="009E7CFA" w:rsidP="002140BB">
            <w:pPr>
              <w:keepNext/>
              <w:keepLines/>
              <w:spacing w:after="0" w:line="240" w:lineRule="auto"/>
              <w:jc w:val="center"/>
              <w:rPr>
                <w:b/>
                <w:bCs/>
                <w:sz w:val="20"/>
                <w:szCs w:val="20"/>
              </w:rPr>
            </w:pPr>
            <w:r w:rsidRPr="00A52AB8">
              <w:rPr>
                <w:rFonts w:eastAsia="Times New Roman"/>
                <w:color w:val="000000"/>
                <w:sz w:val="20"/>
                <w:szCs w:val="20"/>
              </w:rPr>
              <w:t>MP4RA</w:t>
            </w:r>
          </w:p>
        </w:tc>
      </w:tr>
      <w:tr w:rsidR="00B71F25" w:rsidRPr="00A52AB8" w14:paraId="2EE11C5B" w14:textId="77777777" w:rsidTr="00007BE2">
        <w:trPr>
          <w:cantSplit/>
          <w:trHeight w:val="1430"/>
        </w:trPr>
        <w:tc>
          <w:tcPr>
            <w:tcW w:w="937" w:type="dxa"/>
            <w:textDirection w:val="btLr"/>
            <w:vAlign w:val="center"/>
          </w:tcPr>
          <w:p w14:paraId="3E8F7C92" w14:textId="77777777" w:rsidR="009E7CFA" w:rsidRPr="00A52AB8" w:rsidRDefault="009E7CFA" w:rsidP="002140BB">
            <w:pPr>
              <w:keepNext/>
              <w:keepLines/>
              <w:spacing w:after="0" w:line="240" w:lineRule="auto"/>
              <w:ind w:left="113" w:right="113"/>
              <w:jc w:val="center"/>
              <w:rPr>
                <w:b/>
                <w:bCs/>
                <w:sz w:val="20"/>
                <w:szCs w:val="20"/>
              </w:rPr>
            </w:pPr>
          </w:p>
        </w:tc>
        <w:tc>
          <w:tcPr>
            <w:tcW w:w="937" w:type="dxa"/>
            <w:textDirection w:val="tbRl"/>
            <w:vAlign w:val="center"/>
          </w:tcPr>
          <w:p w14:paraId="21AAC216" w14:textId="77777777" w:rsidR="009E7CFA" w:rsidRPr="00A52AB8" w:rsidRDefault="009E7CFA" w:rsidP="002140BB">
            <w:pPr>
              <w:keepNext/>
              <w:keepLines/>
              <w:spacing w:after="0" w:line="240" w:lineRule="auto"/>
              <w:ind w:left="113" w:right="113"/>
              <w:jc w:val="center"/>
              <w:rPr>
                <w:sz w:val="20"/>
                <w:szCs w:val="20"/>
              </w:rPr>
            </w:pPr>
            <w:r w:rsidRPr="00A52AB8">
              <w:rPr>
                <w:sz w:val="20"/>
                <w:szCs w:val="20"/>
              </w:rPr>
              <w:t>Capability</w:t>
            </w:r>
          </w:p>
        </w:tc>
        <w:tc>
          <w:tcPr>
            <w:tcW w:w="560" w:type="dxa"/>
            <w:textDirection w:val="tbRl"/>
            <w:vAlign w:val="center"/>
          </w:tcPr>
          <w:p w14:paraId="2EE47FB0" w14:textId="77777777" w:rsidR="009E7CFA" w:rsidRPr="00A52AB8" w:rsidRDefault="009E7CFA" w:rsidP="00B71F25">
            <w:pPr>
              <w:keepNext/>
              <w:keepLines/>
              <w:spacing w:after="0" w:line="240" w:lineRule="auto"/>
              <w:ind w:left="113" w:right="113"/>
              <w:jc w:val="center"/>
              <w:rPr>
                <w:sz w:val="20"/>
                <w:szCs w:val="20"/>
              </w:rPr>
            </w:pPr>
            <w:r w:rsidRPr="00A52AB8">
              <w:rPr>
                <w:sz w:val="20"/>
                <w:szCs w:val="20"/>
              </w:rPr>
              <w:t>Occupancy</w:t>
            </w:r>
          </w:p>
        </w:tc>
        <w:tc>
          <w:tcPr>
            <w:tcW w:w="561" w:type="dxa"/>
            <w:textDirection w:val="tbRl"/>
            <w:vAlign w:val="center"/>
          </w:tcPr>
          <w:p w14:paraId="0F035789" w14:textId="77777777" w:rsidR="009E7CFA" w:rsidRPr="00A52AB8" w:rsidRDefault="009E7CFA" w:rsidP="00B71F25">
            <w:pPr>
              <w:keepNext/>
              <w:keepLines/>
              <w:spacing w:after="0" w:line="240" w:lineRule="auto"/>
              <w:ind w:left="113" w:right="113"/>
              <w:jc w:val="center"/>
              <w:rPr>
                <w:sz w:val="20"/>
                <w:szCs w:val="20"/>
              </w:rPr>
            </w:pPr>
            <w:r w:rsidRPr="00A52AB8">
              <w:rPr>
                <w:sz w:val="20"/>
                <w:szCs w:val="20"/>
              </w:rPr>
              <w:t>Geometry</w:t>
            </w:r>
          </w:p>
        </w:tc>
        <w:tc>
          <w:tcPr>
            <w:tcW w:w="690" w:type="dxa"/>
            <w:textDirection w:val="tbRl"/>
            <w:vAlign w:val="center"/>
          </w:tcPr>
          <w:p w14:paraId="0E41D905" w14:textId="77777777" w:rsidR="009E7CFA" w:rsidRPr="00A52AB8" w:rsidRDefault="009E7CFA" w:rsidP="00113861">
            <w:pPr>
              <w:keepNext/>
              <w:keepLines/>
              <w:spacing w:after="0" w:line="240" w:lineRule="auto"/>
              <w:ind w:left="113" w:right="113"/>
              <w:jc w:val="center"/>
              <w:rPr>
                <w:sz w:val="20"/>
                <w:szCs w:val="20"/>
              </w:rPr>
            </w:pPr>
            <w:r w:rsidRPr="00A52AB8">
              <w:rPr>
                <w:sz w:val="20"/>
                <w:szCs w:val="20"/>
              </w:rPr>
              <w:t>Attributes</w:t>
            </w:r>
          </w:p>
        </w:tc>
        <w:tc>
          <w:tcPr>
            <w:tcW w:w="433" w:type="dxa"/>
            <w:textDirection w:val="tbRl"/>
            <w:vAlign w:val="center"/>
          </w:tcPr>
          <w:p w14:paraId="0F2F5BC7" w14:textId="77777777" w:rsidR="009E7CFA" w:rsidRPr="00A52AB8" w:rsidRDefault="009E7CFA">
            <w:pPr>
              <w:keepNext/>
              <w:keepLines/>
              <w:spacing w:after="0" w:line="240" w:lineRule="auto"/>
              <w:ind w:left="113" w:right="113"/>
              <w:jc w:val="center"/>
              <w:rPr>
                <w:sz w:val="20"/>
                <w:szCs w:val="20"/>
              </w:rPr>
            </w:pPr>
            <w:r w:rsidRPr="00A52AB8">
              <w:rPr>
                <w:sz w:val="20"/>
                <w:szCs w:val="20"/>
              </w:rPr>
              <w:t>Occupancy</w:t>
            </w:r>
          </w:p>
        </w:tc>
        <w:tc>
          <w:tcPr>
            <w:tcW w:w="561" w:type="dxa"/>
            <w:textDirection w:val="tbRl"/>
            <w:vAlign w:val="center"/>
          </w:tcPr>
          <w:p w14:paraId="26E0954C" w14:textId="77777777" w:rsidR="009E7CFA" w:rsidRPr="00A52AB8" w:rsidRDefault="009E7CFA">
            <w:pPr>
              <w:keepNext/>
              <w:keepLines/>
              <w:spacing w:after="0" w:line="240" w:lineRule="auto"/>
              <w:ind w:left="113" w:right="113"/>
              <w:jc w:val="center"/>
              <w:rPr>
                <w:sz w:val="20"/>
                <w:szCs w:val="20"/>
              </w:rPr>
            </w:pPr>
            <w:r w:rsidRPr="00A52AB8">
              <w:rPr>
                <w:sz w:val="20"/>
                <w:szCs w:val="20"/>
              </w:rPr>
              <w:t>Geometry</w:t>
            </w:r>
          </w:p>
        </w:tc>
        <w:tc>
          <w:tcPr>
            <w:tcW w:w="561" w:type="dxa"/>
            <w:textDirection w:val="tbRl"/>
            <w:vAlign w:val="center"/>
          </w:tcPr>
          <w:p w14:paraId="10CC3A56" w14:textId="77777777" w:rsidR="009E7CFA" w:rsidRPr="00A52AB8" w:rsidRDefault="009E7CFA">
            <w:pPr>
              <w:keepNext/>
              <w:keepLines/>
              <w:spacing w:after="0" w:line="240" w:lineRule="auto"/>
              <w:ind w:left="113" w:right="113"/>
              <w:jc w:val="center"/>
              <w:rPr>
                <w:sz w:val="20"/>
                <w:szCs w:val="20"/>
              </w:rPr>
            </w:pPr>
            <w:r w:rsidRPr="00A52AB8">
              <w:rPr>
                <w:sz w:val="20"/>
                <w:szCs w:val="20"/>
              </w:rPr>
              <w:t>Attributes</w:t>
            </w:r>
          </w:p>
        </w:tc>
        <w:tc>
          <w:tcPr>
            <w:tcW w:w="567" w:type="dxa"/>
            <w:textDirection w:val="tbRl"/>
            <w:vAlign w:val="center"/>
          </w:tcPr>
          <w:p w14:paraId="05E6B1CA" w14:textId="77777777" w:rsidR="009E7CFA" w:rsidRPr="00A52AB8" w:rsidRDefault="009E7CFA">
            <w:pPr>
              <w:keepNext/>
              <w:keepLines/>
              <w:spacing w:after="0" w:line="240" w:lineRule="auto"/>
              <w:ind w:left="113" w:right="113"/>
              <w:jc w:val="center"/>
              <w:rPr>
                <w:sz w:val="20"/>
                <w:szCs w:val="20"/>
              </w:rPr>
            </w:pPr>
            <w:r w:rsidRPr="00A52AB8">
              <w:rPr>
                <w:sz w:val="20"/>
                <w:szCs w:val="20"/>
              </w:rPr>
              <w:t>Occupancy</w:t>
            </w:r>
          </w:p>
        </w:tc>
        <w:tc>
          <w:tcPr>
            <w:tcW w:w="567" w:type="dxa"/>
            <w:textDirection w:val="tbRl"/>
            <w:vAlign w:val="center"/>
          </w:tcPr>
          <w:p w14:paraId="7E3F3CDD" w14:textId="77777777" w:rsidR="009E7CFA" w:rsidRPr="00A52AB8" w:rsidRDefault="009E7CFA">
            <w:pPr>
              <w:keepNext/>
              <w:keepLines/>
              <w:spacing w:after="0" w:line="240" w:lineRule="auto"/>
              <w:ind w:left="113" w:right="113"/>
              <w:jc w:val="center"/>
              <w:rPr>
                <w:sz w:val="20"/>
                <w:szCs w:val="20"/>
              </w:rPr>
            </w:pPr>
            <w:r w:rsidRPr="00A52AB8">
              <w:rPr>
                <w:sz w:val="20"/>
                <w:szCs w:val="20"/>
              </w:rPr>
              <w:t>Geometry</w:t>
            </w:r>
          </w:p>
        </w:tc>
        <w:tc>
          <w:tcPr>
            <w:tcW w:w="567" w:type="dxa"/>
            <w:textDirection w:val="tbRl"/>
            <w:vAlign w:val="center"/>
          </w:tcPr>
          <w:p w14:paraId="5B0EEA1D" w14:textId="77777777" w:rsidR="009E7CFA" w:rsidRPr="00A52AB8" w:rsidRDefault="009E7CFA">
            <w:pPr>
              <w:keepNext/>
              <w:keepLines/>
              <w:spacing w:after="0" w:line="240" w:lineRule="auto"/>
              <w:ind w:left="113" w:right="113"/>
              <w:jc w:val="center"/>
              <w:rPr>
                <w:sz w:val="20"/>
                <w:szCs w:val="20"/>
              </w:rPr>
            </w:pPr>
            <w:r w:rsidRPr="00A52AB8">
              <w:rPr>
                <w:sz w:val="20"/>
                <w:szCs w:val="20"/>
              </w:rPr>
              <w:t>Attributes</w:t>
            </w:r>
          </w:p>
        </w:tc>
        <w:tc>
          <w:tcPr>
            <w:tcW w:w="709" w:type="dxa"/>
            <w:textDirection w:val="tbRl"/>
            <w:vAlign w:val="center"/>
          </w:tcPr>
          <w:p w14:paraId="66382FE0" w14:textId="77777777" w:rsidR="009E7CFA" w:rsidRPr="00A52AB8" w:rsidRDefault="00B71F25">
            <w:pPr>
              <w:keepNext/>
              <w:keepLines/>
              <w:spacing w:after="0" w:line="240" w:lineRule="auto"/>
              <w:ind w:left="113" w:right="113"/>
              <w:jc w:val="center"/>
              <w:rPr>
                <w:sz w:val="20"/>
                <w:szCs w:val="20"/>
              </w:rPr>
            </w:pPr>
            <w:r w:rsidRPr="00A52AB8">
              <w:rPr>
                <w:sz w:val="20"/>
                <w:szCs w:val="20"/>
              </w:rPr>
              <w:t>Occupancy</w:t>
            </w:r>
          </w:p>
        </w:tc>
        <w:tc>
          <w:tcPr>
            <w:tcW w:w="567" w:type="dxa"/>
            <w:textDirection w:val="tbRl"/>
            <w:vAlign w:val="center"/>
          </w:tcPr>
          <w:p w14:paraId="1491A04F" w14:textId="77777777" w:rsidR="009E7CFA" w:rsidRPr="00A52AB8" w:rsidRDefault="00B71F25">
            <w:pPr>
              <w:keepNext/>
              <w:keepLines/>
              <w:spacing w:after="0" w:line="240" w:lineRule="auto"/>
              <w:ind w:left="113" w:right="113"/>
              <w:jc w:val="center"/>
              <w:rPr>
                <w:sz w:val="20"/>
                <w:szCs w:val="20"/>
              </w:rPr>
            </w:pPr>
            <w:r w:rsidRPr="00A52AB8">
              <w:rPr>
                <w:sz w:val="20"/>
                <w:szCs w:val="20"/>
              </w:rPr>
              <w:t>Geometry</w:t>
            </w:r>
          </w:p>
        </w:tc>
        <w:tc>
          <w:tcPr>
            <w:tcW w:w="688" w:type="dxa"/>
            <w:textDirection w:val="tbRl"/>
            <w:vAlign w:val="center"/>
          </w:tcPr>
          <w:p w14:paraId="31BFBACF" w14:textId="77777777" w:rsidR="009E7CFA" w:rsidRPr="00A52AB8" w:rsidRDefault="00B71F25">
            <w:pPr>
              <w:keepNext/>
              <w:keepLines/>
              <w:spacing w:after="0" w:line="240" w:lineRule="auto"/>
              <w:ind w:left="113" w:right="113"/>
              <w:jc w:val="center"/>
              <w:rPr>
                <w:sz w:val="20"/>
                <w:szCs w:val="20"/>
              </w:rPr>
            </w:pPr>
            <w:r w:rsidRPr="00A52AB8">
              <w:rPr>
                <w:sz w:val="20"/>
                <w:szCs w:val="20"/>
              </w:rPr>
              <w:t>Attributes</w:t>
            </w:r>
          </w:p>
        </w:tc>
        <w:tc>
          <w:tcPr>
            <w:tcW w:w="450" w:type="dxa"/>
            <w:textDirection w:val="tbRl"/>
            <w:vAlign w:val="center"/>
          </w:tcPr>
          <w:p w14:paraId="236E7550" w14:textId="77777777" w:rsidR="009E7CFA" w:rsidRPr="00A52AB8" w:rsidRDefault="009E7CFA">
            <w:pPr>
              <w:keepNext/>
              <w:keepLines/>
              <w:spacing w:after="0" w:line="240" w:lineRule="auto"/>
              <w:ind w:left="113" w:right="113"/>
              <w:jc w:val="center"/>
              <w:rPr>
                <w:sz w:val="20"/>
                <w:szCs w:val="20"/>
              </w:rPr>
            </w:pPr>
            <w:r w:rsidRPr="00A52AB8">
              <w:rPr>
                <w:sz w:val="20"/>
                <w:szCs w:val="20"/>
              </w:rPr>
              <w:t>Occupancy</w:t>
            </w:r>
          </w:p>
        </w:tc>
        <w:tc>
          <w:tcPr>
            <w:tcW w:w="376" w:type="dxa"/>
            <w:textDirection w:val="tbRl"/>
            <w:vAlign w:val="center"/>
          </w:tcPr>
          <w:p w14:paraId="5F9736EE" w14:textId="77777777" w:rsidR="009E7CFA" w:rsidRPr="00A52AB8" w:rsidRDefault="009E7CFA">
            <w:pPr>
              <w:keepNext/>
              <w:keepLines/>
              <w:spacing w:after="0" w:line="240" w:lineRule="auto"/>
              <w:ind w:left="113" w:right="113"/>
              <w:jc w:val="center"/>
              <w:rPr>
                <w:sz w:val="20"/>
                <w:szCs w:val="20"/>
              </w:rPr>
            </w:pPr>
            <w:r w:rsidRPr="00A52AB8">
              <w:rPr>
                <w:sz w:val="20"/>
                <w:szCs w:val="20"/>
              </w:rPr>
              <w:t>Geometry</w:t>
            </w:r>
          </w:p>
        </w:tc>
        <w:tc>
          <w:tcPr>
            <w:tcW w:w="562" w:type="dxa"/>
            <w:textDirection w:val="tbRl"/>
            <w:vAlign w:val="center"/>
          </w:tcPr>
          <w:p w14:paraId="4723437E" w14:textId="77777777" w:rsidR="009E7CFA" w:rsidRPr="00A52AB8" w:rsidRDefault="009E7CFA">
            <w:pPr>
              <w:keepNext/>
              <w:keepLines/>
              <w:spacing w:after="0" w:line="240" w:lineRule="auto"/>
              <w:ind w:left="113" w:right="113"/>
              <w:jc w:val="center"/>
              <w:rPr>
                <w:sz w:val="20"/>
                <w:szCs w:val="20"/>
              </w:rPr>
            </w:pPr>
            <w:r w:rsidRPr="00A52AB8">
              <w:rPr>
                <w:sz w:val="20"/>
                <w:szCs w:val="20"/>
              </w:rPr>
              <w:t>Attributes</w:t>
            </w:r>
          </w:p>
        </w:tc>
      </w:tr>
      <w:tr w:rsidR="002B45E1" w:rsidRPr="00A52AB8" w14:paraId="7F5AB253" w14:textId="77777777" w:rsidTr="00007BE2">
        <w:trPr>
          <w:trHeight w:hRule="exact" w:val="411"/>
        </w:trPr>
        <w:tc>
          <w:tcPr>
            <w:tcW w:w="937" w:type="dxa"/>
            <w:vMerge w:val="restart"/>
            <w:textDirection w:val="btLr"/>
            <w:vAlign w:val="center"/>
          </w:tcPr>
          <w:p w14:paraId="0D0991E6" w14:textId="77777777" w:rsidR="002B45E1" w:rsidRPr="00A52AB8" w:rsidRDefault="002B45E1" w:rsidP="002B45E1">
            <w:pPr>
              <w:keepNext/>
              <w:keepLines/>
              <w:spacing w:after="0" w:line="240" w:lineRule="auto"/>
              <w:ind w:left="113" w:right="113"/>
              <w:jc w:val="center"/>
              <w:rPr>
                <w:bCs/>
                <w:sz w:val="20"/>
                <w:szCs w:val="20"/>
              </w:rPr>
            </w:pPr>
            <w:r w:rsidRPr="00A52AB8">
              <w:rPr>
                <w:bCs/>
                <w:sz w:val="20"/>
                <w:szCs w:val="20"/>
              </w:rPr>
              <w:t>Chroma format</w:t>
            </w:r>
          </w:p>
        </w:tc>
        <w:tc>
          <w:tcPr>
            <w:tcW w:w="937" w:type="dxa"/>
            <w:vAlign w:val="center"/>
          </w:tcPr>
          <w:p w14:paraId="432ED8EE" w14:textId="77777777" w:rsidR="002B45E1" w:rsidRPr="00A52AB8" w:rsidRDefault="002B45E1" w:rsidP="002B45E1">
            <w:pPr>
              <w:keepNext/>
              <w:keepLines/>
              <w:spacing w:after="0" w:line="240" w:lineRule="auto"/>
              <w:jc w:val="center"/>
              <w:rPr>
                <w:bCs/>
                <w:sz w:val="20"/>
                <w:szCs w:val="20"/>
              </w:rPr>
            </w:pPr>
            <w:r w:rsidRPr="00A52AB8">
              <w:rPr>
                <w:bCs/>
                <w:sz w:val="20"/>
                <w:szCs w:val="20"/>
              </w:rPr>
              <w:t>Mono</w:t>
            </w:r>
          </w:p>
        </w:tc>
        <w:tc>
          <w:tcPr>
            <w:tcW w:w="560" w:type="dxa"/>
          </w:tcPr>
          <w:p w14:paraId="7744FB06" w14:textId="77777777" w:rsidR="002B45E1" w:rsidRPr="00A52AB8" w:rsidRDefault="002B45E1" w:rsidP="002B45E1">
            <w:pPr>
              <w:keepNext/>
              <w:keepLines/>
              <w:spacing w:after="0" w:line="240" w:lineRule="auto"/>
              <w:jc w:val="center"/>
              <w:rPr>
                <w:b/>
                <w:bCs/>
                <w:sz w:val="20"/>
                <w:szCs w:val="20"/>
              </w:rPr>
            </w:pPr>
          </w:p>
        </w:tc>
        <w:tc>
          <w:tcPr>
            <w:tcW w:w="561" w:type="dxa"/>
          </w:tcPr>
          <w:p w14:paraId="2C5F09D8" w14:textId="77777777" w:rsidR="002B45E1" w:rsidRPr="00A52AB8" w:rsidRDefault="002B45E1" w:rsidP="002B45E1">
            <w:pPr>
              <w:keepNext/>
              <w:keepLines/>
              <w:spacing w:after="0" w:line="240" w:lineRule="auto"/>
              <w:jc w:val="center"/>
              <w:rPr>
                <w:b/>
                <w:bCs/>
                <w:sz w:val="20"/>
                <w:szCs w:val="20"/>
              </w:rPr>
            </w:pPr>
          </w:p>
        </w:tc>
        <w:tc>
          <w:tcPr>
            <w:tcW w:w="690" w:type="dxa"/>
          </w:tcPr>
          <w:p w14:paraId="55097643" w14:textId="77777777" w:rsidR="002B45E1" w:rsidRPr="00A52AB8" w:rsidRDefault="002B45E1" w:rsidP="002B45E1">
            <w:pPr>
              <w:keepNext/>
              <w:keepLines/>
              <w:spacing w:after="0" w:line="240" w:lineRule="auto"/>
              <w:jc w:val="center"/>
              <w:rPr>
                <w:b/>
                <w:bCs/>
                <w:sz w:val="20"/>
                <w:szCs w:val="20"/>
              </w:rPr>
            </w:pPr>
          </w:p>
        </w:tc>
        <w:tc>
          <w:tcPr>
            <w:tcW w:w="433" w:type="dxa"/>
          </w:tcPr>
          <w:p w14:paraId="670ADD87" w14:textId="77777777" w:rsidR="002B45E1" w:rsidRPr="00A52AB8" w:rsidRDefault="002B45E1" w:rsidP="002B45E1">
            <w:pPr>
              <w:keepNext/>
              <w:keepLines/>
              <w:spacing w:after="0" w:line="240" w:lineRule="auto"/>
              <w:jc w:val="center"/>
              <w:rPr>
                <w:b/>
                <w:bCs/>
                <w:sz w:val="20"/>
                <w:szCs w:val="20"/>
              </w:rPr>
            </w:pPr>
          </w:p>
        </w:tc>
        <w:tc>
          <w:tcPr>
            <w:tcW w:w="561" w:type="dxa"/>
          </w:tcPr>
          <w:p w14:paraId="26E1612E" w14:textId="77777777" w:rsidR="002B45E1" w:rsidRPr="00A52AB8" w:rsidRDefault="002B45E1" w:rsidP="002B45E1">
            <w:pPr>
              <w:keepNext/>
              <w:keepLines/>
              <w:spacing w:after="0" w:line="240" w:lineRule="auto"/>
              <w:jc w:val="center"/>
              <w:rPr>
                <w:b/>
                <w:bCs/>
                <w:sz w:val="20"/>
                <w:szCs w:val="20"/>
              </w:rPr>
            </w:pPr>
          </w:p>
        </w:tc>
        <w:tc>
          <w:tcPr>
            <w:tcW w:w="561" w:type="dxa"/>
          </w:tcPr>
          <w:p w14:paraId="2F59F316" w14:textId="77777777" w:rsidR="002B45E1" w:rsidRPr="00A52AB8" w:rsidRDefault="002B45E1" w:rsidP="002B45E1">
            <w:pPr>
              <w:keepNext/>
              <w:keepLines/>
              <w:spacing w:after="0" w:line="240" w:lineRule="auto"/>
              <w:jc w:val="center"/>
              <w:rPr>
                <w:b/>
                <w:bCs/>
                <w:sz w:val="20"/>
                <w:szCs w:val="20"/>
              </w:rPr>
            </w:pPr>
          </w:p>
        </w:tc>
        <w:tc>
          <w:tcPr>
            <w:tcW w:w="567" w:type="dxa"/>
          </w:tcPr>
          <w:p w14:paraId="28CF5083" w14:textId="77777777" w:rsidR="002B45E1" w:rsidRPr="00A52AB8" w:rsidRDefault="002B45E1" w:rsidP="002B45E1">
            <w:pPr>
              <w:keepNext/>
              <w:keepLines/>
              <w:spacing w:after="0" w:line="240" w:lineRule="auto"/>
              <w:jc w:val="center"/>
              <w:rPr>
                <w:b/>
                <w:bCs/>
                <w:sz w:val="20"/>
                <w:szCs w:val="20"/>
              </w:rPr>
            </w:pPr>
            <w:r w:rsidRPr="00A52AB8">
              <w:rPr>
                <w:rFonts w:ascii="Segoe UI Symbol" w:hAnsi="Segoe UI Symbol" w:cs="Segoe UI Symbol"/>
                <w:color w:val="000000"/>
                <w:sz w:val="28"/>
                <w:szCs w:val="28"/>
              </w:rPr>
              <w:t>✓</w:t>
            </w:r>
          </w:p>
        </w:tc>
        <w:tc>
          <w:tcPr>
            <w:tcW w:w="567" w:type="dxa"/>
          </w:tcPr>
          <w:p w14:paraId="345069F0" w14:textId="77777777" w:rsidR="002B45E1" w:rsidRPr="00A52AB8" w:rsidRDefault="002B45E1" w:rsidP="002B45E1">
            <w:pPr>
              <w:keepNext/>
              <w:keepLines/>
              <w:spacing w:after="0" w:line="240" w:lineRule="auto"/>
              <w:jc w:val="center"/>
              <w:rPr>
                <w:b/>
                <w:bCs/>
                <w:sz w:val="20"/>
                <w:szCs w:val="20"/>
              </w:rPr>
            </w:pPr>
            <w:r w:rsidRPr="00A52AB8">
              <w:rPr>
                <w:rFonts w:ascii="Segoe UI Symbol" w:hAnsi="Segoe UI Symbol" w:cs="Segoe UI Symbol"/>
                <w:color w:val="000000"/>
                <w:sz w:val="28"/>
                <w:szCs w:val="28"/>
              </w:rPr>
              <w:t>✓</w:t>
            </w:r>
          </w:p>
        </w:tc>
        <w:tc>
          <w:tcPr>
            <w:tcW w:w="567" w:type="dxa"/>
          </w:tcPr>
          <w:p w14:paraId="0BFCE672" w14:textId="77777777" w:rsidR="002B45E1" w:rsidRPr="00A52AB8" w:rsidRDefault="002B45E1" w:rsidP="002B45E1">
            <w:pPr>
              <w:keepNext/>
              <w:keepLines/>
              <w:spacing w:after="0" w:line="240" w:lineRule="auto"/>
              <w:jc w:val="center"/>
              <w:rPr>
                <w:b/>
                <w:bCs/>
                <w:sz w:val="20"/>
                <w:szCs w:val="20"/>
              </w:rPr>
            </w:pPr>
            <w:r w:rsidRPr="00A52AB8">
              <w:rPr>
                <w:rFonts w:ascii="Segoe UI Symbol" w:hAnsi="Segoe UI Symbol" w:cs="Segoe UI Symbol"/>
                <w:color w:val="000000"/>
                <w:sz w:val="28"/>
                <w:szCs w:val="28"/>
              </w:rPr>
              <w:t>✓</w:t>
            </w:r>
          </w:p>
        </w:tc>
        <w:tc>
          <w:tcPr>
            <w:tcW w:w="709" w:type="dxa"/>
          </w:tcPr>
          <w:p w14:paraId="0021571E" w14:textId="48E82E62" w:rsidR="002B45E1" w:rsidRPr="00A52AB8" w:rsidRDefault="002B45E1" w:rsidP="002B45E1">
            <w:pPr>
              <w:keepNext/>
              <w:keepLines/>
              <w:spacing w:after="0" w:line="240" w:lineRule="auto"/>
              <w:jc w:val="center"/>
              <w:rPr>
                <w:sz w:val="20"/>
                <w:szCs w:val="20"/>
              </w:rPr>
            </w:pPr>
            <w:r w:rsidRPr="00A52AB8">
              <w:rPr>
                <w:rFonts w:ascii="Segoe UI Symbol" w:hAnsi="Segoe UI Symbol" w:cs="Segoe UI Symbol"/>
                <w:color w:val="000000"/>
                <w:sz w:val="28"/>
                <w:szCs w:val="28"/>
              </w:rPr>
              <w:t>✓</w:t>
            </w:r>
          </w:p>
        </w:tc>
        <w:tc>
          <w:tcPr>
            <w:tcW w:w="567" w:type="dxa"/>
          </w:tcPr>
          <w:p w14:paraId="1A17DA1D" w14:textId="0E482F69" w:rsidR="002B45E1" w:rsidRPr="00A52AB8" w:rsidRDefault="002B45E1" w:rsidP="002B45E1">
            <w:pPr>
              <w:keepNext/>
              <w:keepLines/>
              <w:spacing w:after="0" w:line="240" w:lineRule="auto"/>
              <w:jc w:val="center"/>
              <w:rPr>
                <w:sz w:val="20"/>
                <w:szCs w:val="20"/>
              </w:rPr>
            </w:pPr>
            <w:r w:rsidRPr="00A52AB8">
              <w:rPr>
                <w:rFonts w:ascii="Segoe UI Symbol" w:hAnsi="Segoe UI Symbol" w:cs="Segoe UI Symbol"/>
                <w:color w:val="000000"/>
                <w:sz w:val="28"/>
                <w:szCs w:val="28"/>
              </w:rPr>
              <w:t>✓</w:t>
            </w:r>
          </w:p>
        </w:tc>
        <w:tc>
          <w:tcPr>
            <w:tcW w:w="688" w:type="dxa"/>
          </w:tcPr>
          <w:p w14:paraId="20175791" w14:textId="024F7F67" w:rsidR="002B45E1" w:rsidRPr="00A52AB8" w:rsidRDefault="002B45E1" w:rsidP="002B45E1">
            <w:pPr>
              <w:keepNext/>
              <w:keepLines/>
              <w:spacing w:after="0" w:line="240" w:lineRule="auto"/>
              <w:jc w:val="center"/>
              <w:rPr>
                <w:sz w:val="20"/>
                <w:szCs w:val="20"/>
              </w:rPr>
            </w:pPr>
            <w:r w:rsidRPr="00A52AB8">
              <w:rPr>
                <w:rFonts w:ascii="Segoe UI Symbol" w:hAnsi="Segoe UI Symbol" w:cs="Segoe UI Symbol"/>
                <w:color w:val="000000"/>
                <w:sz w:val="28"/>
                <w:szCs w:val="28"/>
              </w:rPr>
              <w:t>✓</w:t>
            </w:r>
          </w:p>
        </w:tc>
        <w:tc>
          <w:tcPr>
            <w:tcW w:w="450" w:type="dxa"/>
          </w:tcPr>
          <w:p w14:paraId="3A870D08" w14:textId="77777777" w:rsidR="002B45E1" w:rsidRPr="00A52AB8" w:rsidRDefault="002B45E1" w:rsidP="002B45E1">
            <w:pPr>
              <w:keepNext/>
              <w:keepLines/>
              <w:spacing w:after="0" w:line="240" w:lineRule="auto"/>
              <w:jc w:val="center"/>
              <w:rPr>
                <w:b/>
                <w:bCs/>
                <w:sz w:val="20"/>
                <w:szCs w:val="20"/>
              </w:rPr>
            </w:pPr>
            <w:r w:rsidRPr="00A52AB8">
              <w:rPr>
                <w:sz w:val="20"/>
                <w:szCs w:val="20"/>
              </w:rPr>
              <w:t>‒</w:t>
            </w:r>
          </w:p>
        </w:tc>
        <w:tc>
          <w:tcPr>
            <w:tcW w:w="376" w:type="dxa"/>
          </w:tcPr>
          <w:p w14:paraId="6A0BB02A" w14:textId="77777777" w:rsidR="002B45E1" w:rsidRPr="00A52AB8" w:rsidRDefault="002B45E1" w:rsidP="002B45E1">
            <w:pPr>
              <w:keepNext/>
              <w:keepLines/>
              <w:spacing w:after="0" w:line="240" w:lineRule="auto"/>
              <w:jc w:val="center"/>
              <w:rPr>
                <w:sz w:val="20"/>
                <w:szCs w:val="20"/>
              </w:rPr>
            </w:pPr>
            <w:r w:rsidRPr="00A52AB8">
              <w:rPr>
                <w:sz w:val="20"/>
                <w:szCs w:val="20"/>
              </w:rPr>
              <w:t>‒</w:t>
            </w:r>
          </w:p>
        </w:tc>
        <w:tc>
          <w:tcPr>
            <w:tcW w:w="562" w:type="dxa"/>
          </w:tcPr>
          <w:p w14:paraId="5D72274E" w14:textId="77777777" w:rsidR="002B45E1" w:rsidRPr="00A52AB8" w:rsidRDefault="002B45E1" w:rsidP="002B45E1">
            <w:pPr>
              <w:keepNext/>
              <w:keepLines/>
              <w:spacing w:after="0" w:line="240" w:lineRule="auto"/>
              <w:jc w:val="center"/>
              <w:rPr>
                <w:b/>
                <w:bCs/>
                <w:sz w:val="20"/>
                <w:szCs w:val="20"/>
              </w:rPr>
            </w:pPr>
            <w:r w:rsidRPr="00A52AB8">
              <w:rPr>
                <w:sz w:val="20"/>
                <w:szCs w:val="20"/>
              </w:rPr>
              <w:t>‒</w:t>
            </w:r>
          </w:p>
        </w:tc>
      </w:tr>
      <w:tr w:rsidR="009E7CFA" w:rsidRPr="00A52AB8" w14:paraId="54494F49" w14:textId="77777777" w:rsidTr="00007BE2">
        <w:trPr>
          <w:trHeight w:hRule="exact" w:val="411"/>
        </w:trPr>
        <w:tc>
          <w:tcPr>
            <w:tcW w:w="937" w:type="dxa"/>
            <w:vMerge/>
            <w:textDirection w:val="btLr"/>
            <w:vAlign w:val="center"/>
          </w:tcPr>
          <w:p w14:paraId="557815EF" w14:textId="77777777" w:rsidR="009E7CFA" w:rsidRPr="00A52AB8" w:rsidRDefault="009E7CFA" w:rsidP="002140BB">
            <w:pPr>
              <w:keepNext/>
              <w:keepLines/>
              <w:spacing w:after="0" w:line="240" w:lineRule="auto"/>
              <w:ind w:left="113" w:right="113"/>
              <w:jc w:val="center"/>
              <w:rPr>
                <w:bCs/>
                <w:sz w:val="20"/>
                <w:szCs w:val="20"/>
              </w:rPr>
            </w:pPr>
          </w:p>
        </w:tc>
        <w:tc>
          <w:tcPr>
            <w:tcW w:w="937" w:type="dxa"/>
            <w:vAlign w:val="center"/>
          </w:tcPr>
          <w:p w14:paraId="7AEE4E5B" w14:textId="77777777" w:rsidR="009E7CFA" w:rsidRPr="00A52AB8" w:rsidRDefault="009E7CFA" w:rsidP="002140BB">
            <w:pPr>
              <w:keepNext/>
              <w:keepLines/>
              <w:spacing w:after="0" w:line="240" w:lineRule="auto"/>
              <w:jc w:val="center"/>
              <w:rPr>
                <w:bCs/>
                <w:sz w:val="20"/>
                <w:szCs w:val="20"/>
              </w:rPr>
            </w:pPr>
            <w:r w:rsidRPr="00A52AB8">
              <w:rPr>
                <w:bCs/>
                <w:sz w:val="20"/>
                <w:szCs w:val="20"/>
              </w:rPr>
              <w:t>4:2:0</w:t>
            </w:r>
          </w:p>
        </w:tc>
        <w:tc>
          <w:tcPr>
            <w:tcW w:w="560" w:type="dxa"/>
          </w:tcPr>
          <w:p w14:paraId="234105C7" w14:textId="77777777" w:rsidR="009E7CFA" w:rsidRPr="00A52AB8" w:rsidRDefault="009E7CFA" w:rsidP="002140BB">
            <w:pPr>
              <w:keepNext/>
              <w:keepLines/>
              <w:tabs>
                <w:tab w:val="clear" w:pos="403"/>
              </w:tabs>
              <w:spacing w:after="0" w:line="240" w:lineRule="auto"/>
              <w:jc w:val="center"/>
              <w:rPr>
                <w:rFonts w:cs="Calibri"/>
                <w:color w:val="000000"/>
                <w:sz w:val="28"/>
                <w:szCs w:val="28"/>
              </w:rPr>
            </w:pPr>
            <w:r w:rsidRPr="00A52AB8">
              <w:rPr>
                <w:rFonts w:ascii="Segoe UI Symbol" w:hAnsi="Segoe UI Symbol" w:cs="Segoe UI Symbol"/>
                <w:color w:val="000000"/>
                <w:sz w:val="28"/>
                <w:szCs w:val="28"/>
              </w:rPr>
              <w:t>✓</w:t>
            </w:r>
          </w:p>
        </w:tc>
        <w:tc>
          <w:tcPr>
            <w:tcW w:w="561" w:type="dxa"/>
          </w:tcPr>
          <w:p w14:paraId="10875B91" w14:textId="77777777" w:rsidR="009E7CFA" w:rsidRPr="00A52AB8" w:rsidRDefault="009E7CFA" w:rsidP="002140BB">
            <w:pPr>
              <w:keepNext/>
              <w:keepLines/>
              <w:spacing w:after="0" w:line="240" w:lineRule="auto"/>
              <w:jc w:val="center"/>
              <w:rPr>
                <w:b/>
                <w:bCs/>
                <w:sz w:val="20"/>
                <w:szCs w:val="20"/>
              </w:rPr>
            </w:pPr>
            <w:r w:rsidRPr="00A52AB8">
              <w:rPr>
                <w:rFonts w:ascii="Segoe UI Symbol" w:hAnsi="Segoe UI Symbol" w:cs="Segoe UI Symbol"/>
                <w:color w:val="000000"/>
                <w:sz w:val="28"/>
                <w:szCs w:val="28"/>
              </w:rPr>
              <w:t>✓</w:t>
            </w:r>
          </w:p>
        </w:tc>
        <w:tc>
          <w:tcPr>
            <w:tcW w:w="690" w:type="dxa"/>
          </w:tcPr>
          <w:p w14:paraId="33D08CF6" w14:textId="77777777" w:rsidR="009E7CFA" w:rsidRPr="00A52AB8" w:rsidRDefault="009E7CFA" w:rsidP="002140BB">
            <w:pPr>
              <w:keepNext/>
              <w:keepLines/>
              <w:spacing w:after="0" w:line="240" w:lineRule="auto"/>
              <w:jc w:val="center"/>
              <w:rPr>
                <w:b/>
                <w:bCs/>
                <w:sz w:val="20"/>
                <w:szCs w:val="20"/>
              </w:rPr>
            </w:pPr>
            <w:r w:rsidRPr="00A52AB8">
              <w:rPr>
                <w:rFonts w:ascii="Segoe UI Symbol" w:hAnsi="Segoe UI Symbol" w:cs="Segoe UI Symbol"/>
                <w:color w:val="000000"/>
                <w:sz w:val="28"/>
                <w:szCs w:val="28"/>
              </w:rPr>
              <w:t>✓</w:t>
            </w:r>
          </w:p>
        </w:tc>
        <w:tc>
          <w:tcPr>
            <w:tcW w:w="433" w:type="dxa"/>
          </w:tcPr>
          <w:p w14:paraId="62BC978D" w14:textId="77777777" w:rsidR="009E7CFA" w:rsidRPr="00A52AB8" w:rsidRDefault="009E7CFA" w:rsidP="002140BB">
            <w:pPr>
              <w:keepNext/>
              <w:keepLines/>
              <w:spacing w:after="0" w:line="240" w:lineRule="auto"/>
              <w:jc w:val="center"/>
              <w:rPr>
                <w:b/>
                <w:bCs/>
                <w:sz w:val="20"/>
                <w:szCs w:val="20"/>
              </w:rPr>
            </w:pPr>
            <w:r w:rsidRPr="00A52AB8">
              <w:rPr>
                <w:rFonts w:ascii="Segoe UI Symbol" w:hAnsi="Segoe UI Symbol" w:cs="Segoe UI Symbol"/>
                <w:color w:val="000000"/>
                <w:sz w:val="28"/>
                <w:szCs w:val="28"/>
              </w:rPr>
              <w:t>✓</w:t>
            </w:r>
          </w:p>
        </w:tc>
        <w:tc>
          <w:tcPr>
            <w:tcW w:w="561" w:type="dxa"/>
          </w:tcPr>
          <w:p w14:paraId="780EE26C" w14:textId="77777777" w:rsidR="009E7CFA" w:rsidRPr="00A52AB8" w:rsidRDefault="009E7CFA" w:rsidP="002140BB">
            <w:pPr>
              <w:keepNext/>
              <w:keepLines/>
              <w:spacing w:after="0" w:line="240" w:lineRule="auto"/>
              <w:jc w:val="center"/>
              <w:rPr>
                <w:b/>
                <w:bCs/>
                <w:sz w:val="20"/>
                <w:szCs w:val="20"/>
              </w:rPr>
            </w:pPr>
            <w:r w:rsidRPr="00A52AB8">
              <w:rPr>
                <w:rFonts w:ascii="Segoe UI Symbol" w:hAnsi="Segoe UI Symbol" w:cs="Segoe UI Symbol"/>
                <w:color w:val="000000"/>
                <w:sz w:val="28"/>
                <w:szCs w:val="28"/>
              </w:rPr>
              <w:t>✓</w:t>
            </w:r>
          </w:p>
        </w:tc>
        <w:tc>
          <w:tcPr>
            <w:tcW w:w="561" w:type="dxa"/>
          </w:tcPr>
          <w:p w14:paraId="6E114025" w14:textId="77777777" w:rsidR="009E7CFA" w:rsidRPr="00A52AB8" w:rsidRDefault="009E7CFA" w:rsidP="002140BB">
            <w:pPr>
              <w:keepNext/>
              <w:keepLines/>
              <w:spacing w:after="0" w:line="240" w:lineRule="auto"/>
              <w:jc w:val="center"/>
              <w:rPr>
                <w:b/>
                <w:bCs/>
                <w:sz w:val="20"/>
                <w:szCs w:val="20"/>
              </w:rPr>
            </w:pPr>
            <w:r w:rsidRPr="00A52AB8">
              <w:rPr>
                <w:rFonts w:ascii="Segoe UI Symbol" w:hAnsi="Segoe UI Symbol" w:cs="Segoe UI Symbol"/>
                <w:color w:val="000000"/>
                <w:sz w:val="28"/>
                <w:szCs w:val="28"/>
              </w:rPr>
              <w:t>✓</w:t>
            </w:r>
          </w:p>
        </w:tc>
        <w:tc>
          <w:tcPr>
            <w:tcW w:w="567" w:type="dxa"/>
          </w:tcPr>
          <w:p w14:paraId="26D6AF79" w14:textId="77777777" w:rsidR="009E7CFA" w:rsidRPr="00A52AB8" w:rsidRDefault="009E7CFA" w:rsidP="002140BB">
            <w:pPr>
              <w:keepNext/>
              <w:keepLines/>
              <w:spacing w:after="0" w:line="240" w:lineRule="auto"/>
              <w:jc w:val="center"/>
              <w:rPr>
                <w:b/>
                <w:bCs/>
                <w:sz w:val="20"/>
                <w:szCs w:val="20"/>
              </w:rPr>
            </w:pPr>
            <w:r w:rsidRPr="00A52AB8">
              <w:rPr>
                <w:rFonts w:ascii="Segoe UI Symbol" w:hAnsi="Segoe UI Symbol" w:cs="Segoe UI Symbol"/>
                <w:color w:val="000000"/>
                <w:sz w:val="28"/>
                <w:szCs w:val="28"/>
              </w:rPr>
              <w:t>✓</w:t>
            </w:r>
          </w:p>
        </w:tc>
        <w:tc>
          <w:tcPr>
            <w:tcW w:w="567" w:type="dxa"/>
          </w:tcPr>
          <w:p w14:paraId="15167B51" w14:textId="77777777" w:rsidR="009E7CFA" w:rsidRPr="00A52AB8" w:rsidRDefault="009E7CFA" w:rsidP="002140BB">
            <w:pPr>
              <w:keepNext/>
              <w:keepLines/>
              <w:spacing w:after="0" w:line="240" w:lineRule="auto"/>
              <w:jc w:val="center"/>
              <w:rPr>
                <w:b/>
                <w:bCs/>
                <w:sz w:val="20"/>
                <w:szCs w:val="20"/>
              </w:rPr>
            </w:pPr>
            <w:r w:rsidRPr="00A52AB8">
              <w:rPr>
                <w:rFonts w:ascii="Segoe UI Symbol" w:hAnsi="Segoe UI Symbol" w:cs="Segoe UI Symbol"/>
                <w:color w:val="000000"/>
                <w:sz w:val="28"/>
                <w:szCs w:val="28"/>
              </w:rPr>
              <w:t>✓</w:t>
            </w:r>
          </w:p>
        </w:tc>
        <w:tc>
          <w:tcPr>
            <w:tcW w:w="567" w:type="dxa"/>
          </w:tcPr>
          <w:p w14:paraId="1A859B69" w14:textId="77777777" w:rsidR="009E7CFA" w:rsidRPr="00A52AB8" w:rsidRDefault="009E7CFA" w:rsidP="002140BB">
            <w:pPr>
              <w:keepNext/>
              <w:keepLines/>
              <w:spacing w:after="0" w:line="240" w:lineRule="auto"/>
              <w:jc w:val="center"/>
              <w:rPr>
                <w:b/>
                <w:bCs/>
                <w:sz w:val="20"/>
                <w:szCs w:val="20"/>
              </w:rPr>
            </w:pPr>
            <w:r w:rsidRPr="00A52AB8">
              <w:rPr>
                <w:rFonts w:ascii="Segoe UI Symbol" w:hAnsi="Segoe UI Symbol" w:cs="Segoe UI Symbol"/>
                <w:color w:val="000000"/>
                <w:sz w:val="28"/>
                <w:szCs w:val="28"/>
              </w:rPr>
              <w:t>✓</w:t>
            </w:r>
          </w:p>
        </w:tc>
        <w:tc>
          <w:tcPr>
            <w:tcW w:w="709" w:type="dxa"/>
          </w:tcPr>
          <w:p w14:paraId="12A7BB7A" w14:textId="77777777" w:rsidR="009E7CFA" w:rsidRPr="00A52AB8" w:rsidRDefault="00D46B2D" w:rsidP="002140BB">
            <w:pPr>
              <w:keepNext/>
              <w:keepLines/>
              <w:spacing w:after="0" w:line="240" w:lineRule="auto"/>
              <w:jc w:val="center"/>
              <w:rPr>
                <w:sz w:val="20"/>
                <w:szCs w:val="20"/>
              </w:rPr>
            </w:pPr>
            <w:r w:rsidRPr="00A52AB8">
              <w:rPr>
                <w:rFonts w:ascii="Segoe UI Symbol" w:hAnsi="Segoe UI Symbol" w:cs="Segoe UI Symbol"/>
                <w:color w:val="000000"/>
                <w:sz w:val="28"/>
                <w:szCs w:val="28"/>
              </w:rPr>
              <w:t>✓</w:t>
            </w:r>
          </w:p>
        </w:tc>
        <w:tc>
          <w:tcPr>
            <w:tcW w:w="567" w:type="dxa"/>
          </w:tcPr>
          <w:p w14:paraId="47CFF0DD" w14:textId="77777777" w:rsidR="009E7CFA" w:rsidRPr="00A52AB8" w:rsidRDefault="00D46B2D" w:rsidP="002140BB">
            <w:pPr>
              <w:keepNext/>
              <w:keepLines/>
              <w:spacing w:after="0" w:line="240" w:lineRule="auto"/>
              <w:jc w:val="center"/>
              <w:rPr>
                <w:sz w:val="20"/>
                <w:szCs w:val="20"/>
              </w:rPr>
            </w:pPr>
            <w:r w:rsidRPr="00A52AB8">
              <w:rPr>
                <w:rFonts w:ascii="Segoe UI Symbol" w:hAnsi="Segoe UI Symbol" w:cs="Segoe UI Symbol"/>
                <w:color w:val="000000"/>
                <w:sz w:val="28"/>
                <w:szCs w:val="28"/>
              </w:rPr>
              <w:t>✓</w:t>
            </w:r>
          </w:p>
        </w:tc>
        <w:tc>
          <w:tcPr>
            <w:tcW w:w="688" w:type="dxa"/>
          </w:tcPr>
          <w:p w14:paraId="0F583B4F" w14:textId="77777777" w:rsidR="009E7CFA" w:rsidRPr="00A52AB8" w:rsidRDefault="00D46B2D" w:rsidP="002140BB">
            <w:pPr>
              <w:keepNext/>
              <w:keepLines/>
              <w:spacing w:after="0" w:line="240" w:lineRule="auto"/>
              <w:jc w:val="center"/>
              <w:rPr>
                <w:sz w:val="20"/>
                <w:szCs w:val="20"/>
              </w:rPr>
            </w:pPr>
            <w:r w:rsidRPr="00A52AB8">
              <w:rPr>
                <w:rFonts w:ascii="Segoe UI Symbol" w:hAnsi="Segoe UI Symbol" w:cs="Segoe UI Symbol"/>
                <w:color w:val="000000"/>
                <w:sz w:val="28"/>
                <w:szCs w:val="28"/>
              </w:rPr>
              <w:t>✓</w:t>
            </w:r>
          </w:p>
        </w:tc>
        <w:tc>
          <w:tcPr>
            <w:tcW w:w="450" w:type="dxa"/>
          </w:tcPr>
          <w:p w14:paraId="46E80430" w14:textId="77777777" w:rsidR="009E7CFA" w:rsidRPr="00A52AB8" w:rsidRDefault="009E7CFA" w:rsidP="002140BB">
            <w:pPr>
              <w:keepNext/>
              <w:keepLines/>
              <w:spacing w:after="0" w:line="240" w:lineRule="auto"/>
              <w:jc w:val="center"/>
              <w:rPr>
                <w:b/>
                <w:bCs/>
                <w:sz w:val="20"/>
                <w:szCs w:val="20"/>
              </w:rPr>
            </w:pPr>
            <w:r w:rsidRPr="00A52AB8">
              <w:rPr>
                <w:sz w:val="20"/>
                <w:szCs w:val="20"/>
              </w:rPr>
              <w:t>‒</w:t>
            </w:r>
          </w:p>
        </w:tc>
        <w:tc>
          <w:tcPr>
            <w:tcW w:w="376" w:type="dxa"/>
          </w:tcPr>
          <w:p w14:paraId="4DF59202" w14:textId="77777777" w:rsidR="009E7CFA" w:rsidRPr="00A52AB8" w:rsidRDefault="009E7CFA" w:rsidP="002140BB">
            <w:pPr>
              <w:keepNext/>
              <w:keepLines/>
              <w:spacing w:after="0" w:line="240" w:lineRule="auto"/>
              <w:jc w:val="center"/>
              <w:rPr>
                <w:b/>
                <w:bCs/>
                <w:sz w:val="20"/>
                <w:szCs w:val="20"/>
              </w:rPr>
            </w:pPr>
            <w:r w:rsidRPr="00A52AB8">
              <w:rPr>
                <w:sz w:val="20"/>
                <w:szCs w:val="20"/>
              </w:rPr>
              <w:t>‒</w:t>
            </w:r>
          </w:p>
        </w:tc>
        <w:tc>
          <w:tcPr>
            <w:tcW w:w="562" w:type="dxa"/>
          </w:tcPr>
          <w:p w14:paraId="60EF3822" w14:textId="77777777" w:rsidR="009E7CFA" w:rsidRPr="00A52AB8" w:rsidRDefault="009E7CFA" w:rsidP="002140BB">
            <w:pPr>
              <w:keepNext/>
              <w:keepLines/>
              <w:spacing w:after="0" w:line="240" w:lineRule="auto"/>
              <w:jc w:val="center"/>
              <w:rPr>
                <w:b/>
                <w:bCs/>
                <w:sz w:val="20"/>
                <w:szCs w:val="20"/>
              </w:rPr>
            </w:pPr>
            <w:r w:rsidRPr="00A52AB8">
              <w:rPr>
                <w:sz w:val="20"/>
                <w:szCs w:val="20"/>
              </w:rPr>
              <w:t>‒</w:t>
            </w:r>
          </w:p>
        </w:tc>
      </w:tr>
      <w:tr w:rsidR="009E7CFA" w:rsidRPr="00A52AB8" w14:paraId="70DD0402" w14:textId="77777777" w:rsidTr="00007BE2">
        <w:trPr>
          <w:trHeight w:hRule="exact" w:val="411"/>
        </w:trPr>
        <w:tc>
          <w:tcPr>
            <w:tcW w:w="937" w:type="dxa"/>
            <w:vMerge/>
            <w:textDirection w:val="btLr"/>
            <w:vAlign w:val="center"/>
          </w:tcPr>
          <w:p w14:paraId="1B7382AE" w14:textId="77777777" w:rsidR="009E7CFA" w:rsidRPr="00A52AB8" w:rsidRDefault="009E7CFA" w:rsidP="002140BB">
            <w:pPr>
              <w:keepNext/>
              <w:keepLines/>
              <w:spacing w:after="0" w:line="240" w:lineRule="auto"/>
              <w:ind w:left="113" w:right="113"/>
              <w:jc w:val="center"/>
              <w:rPr>
                <w:bCs/>
                <w:sz w:val="20"/>
                <w:szCs w:val="20"/>
              </w:rPr>
            </w:pPr>
          </w:p>
        </w:tc>
        <w:tc>
          <w:tcPr>
            <w:tcW w:w="937" w:type="dxa"/>
            <w:vAlign w:val="center"/>
          </w:tcPr>
          <w:p w14:paraId="39691AEA" w14:textId="77777777" w:rsidR="009E7CFA" w:rsidRPr="00A52AB8" w:rsidRDefault="009E7CFA" w:rsidP="002140BB">
            <w:pPr>
              <w:keepNext/>
              <w:keepLines/>
              <w:spacing w:after="0" w:line="240" w:lineRule="auto"/>
              <w:jc w:val="center"/>
              <w:rPr>
                <w:bCs/>
                <w:sz w:val="20"/>
                <w:szCs w:val="20"/>
              </w:rPr>
            </w:pPr>
            <w:r w:rsidRPr="00A52AB8">
              <w:rPr>
                <w:bCs/>
                <w:sz w:val="20"/>
                <w:szCs w:val="20"/>
              </w:rPr>
              <w:t>4:4:4</w:t>
            </w:r>
          </w:p>
        </w:tc>
        <w:tc>
          <w:tcPr>
            <w:tcW w:w="560" w:type="dxa"/>
          </w:tcPr>
          <w:p w14:paraId="103A4459" w14:textId="77777777" w:rsidR="009E7CFA" w:rsidRPr="00A52AB8" w:rsidRDefault="009E7CFA" w:rsidP="002140BB">
            <w:pPr>
              <w:keepNext/>
              <w:keepLines/>
              <w:spacing w:after="0" w:line="240" w:lineRule="auto"/>
              <w:jc w:val="center"/>
              <w:rPr>
                <w:b/>
                <w:bCs/>
                <w:sz w:val="20"/>
                <w:szCs w:val="20"/>
              </w:rPr>
            </w:pPr>
          </w:p>
        </w:tc>
        <w:tc>
          <w:tcPr>
            <w:tcW w:w="561" w:type="dxa"/>
          </w:tcPr>
          <w:p w14:paraId="265CCCCC" w14:textId="77777777" w:rsidR="009E7CFA" w:rsidRPr="00A52AB8" w:rsidRDefault="009E7CFA" w:rsidP="002140BB">
            <w:pPr>
              <w:keepNext/>
              <w:keepLines/>
              <w:spacing w:after="0" w:line="240" w:lineRule="auto"/>
              <w:jc w:val="center"/>
              <w:rPr>
                <w:b/>
                <w:bCs/>
                <w:sz w:val="20"/>
                <w:szCs w:val="20"/>
              </w:rPr>
            </w:pPr>
          </w:p>
        </w:tc>
        <w:tc>
          <w:tcPr>
            <w:tcW w:w="690" w:type="dxa"/>
          </w:tcPr>
          <w:p w14:paraId="51296601" w14:textId="77777777" w:rsidR="009E7CFA" w:rsidRPr="00A52AB8" w:rsidRDefault="009E7CFA" w:rsidP="002140BB">
            <w:pPr>
              <w:keepNext/>
              <w:keepLines/>
              <w:spacing w:after="0" w:line="240" w:lineRule="auto"/>
              <w:jc w:val="center"/>
              <w:rPr>
                <w:b/>
                <w:bCs/>
                <w:sz w:val="20"/>
                <w:szCs w:val="20"/>
              </w:rPr>
            </w:pPr>
          </w:p>
        </w:tc>
        <w:tc>
          <w:tcPr>
            <w:tcW w:w="433" w:type="dxa"/>
          </w:tcPr>
          <w:p w14:paraId="3C3B2189" w14:textId="77777777" w:rsidR="009E7CFA" w:rsidRPr="00A52AB8" w:rsidRDefault="009E7CFA" w:rsidP="002140BB">
            <w:pPr>
              <w:keepNext/>
              <w:keepLines/>
              <w:spacing w:after="0" w:line="240" w:lineRule="auto"/>
              <w:jc w:val="center"/>
              <w:rPr>
                <w:b/>
                <w:bCs/>
                <w:sz w:val="20"/>
                <w:szCs w:val="20"/>
              </w:rPr>
            </w:pPr>
          </w:p>
        </w:tc>
        <w:tc>
          <w:tcPr>
            <w:tcW w:w="561" w:type="dxa"/>
          </w:tcPr>
          <w:p w14:paraId="43825132" w14:textId="77777777" w:rsidR="009E7CFA" w:rsidRPr="00A52AB8" w:rsidRDefault="009E7CFA" w:rsidP="002140BB">
            <w:pPr>
              <w:keepNext/>
              <w:keepLines/>
              <w:spacing w:after="0" w:line="240" w:lineRule="auto"/>
              <w:jc w:val="center"/>
              <w:rPr>
                <w:b/>
                <w:bCs/>
                <w:sz w:val="20"/>
                <w:szCs w:val="20"/>
              </w:rPr>
            </w:pPr>
          </w:p>
        </w:tc>
        <w:tc>
          <w:tcPr>
            <w:tcW w:w="561" w:type="dxa"/>
          </w:tcPr>
          <w:p w14:paraId="7971CF7D" w14:textId="77777777" w:rsidR="009E7CFA" w:rsidRPr="00A52AB8" w:rsidRDefault="009E7CFA" w:rsidP="002140BB">
            <w:pPr>
              <w:keepNext/>
              <w:keepLines/>
              <w:spacing w:after="0" w:line="240" w:lineRule="auto"/>
              <w:jc w:val="center"/>
              <w:rPr>
                <w:b/>
                <w:bCs/>
                <w:sz w:val="20"/>
                <w:szCs w:val="20"/>
              </w:rPr>
            </w:pPr>
          </w:p>
        </w:tc>
        <w:tc>
          <w:tcPr>
            <w:tcW w:w="567" w:type="dxa"/>
          </w:tcPr>
          <w:p w14:paraId="1E31F6EF" w14:textId="77777777" w:rsidR="009E7CFA" w:rsidRPr="00A52AB8" w:rsidRDefault="009E7CFA" w:rsidP="002140BB">
            <w:pPr>
              <w:keepNext/>
              <w:keepLines/>
              <w:spacing w:after="0" w:line="240" w:lineRule="auto"/>
              <w:jc w:val="center"/>
              <w:rPr>
                <w:b/>
                <w:bCs/>
                <w:sz w:val="20"/>
                <w:szCs w:val="20"/>
              </w:rPr>
            </w:pPr>
          </w:p>
        </w:tc>
        <w:tc>
          <w:tcPr>
            <w:tcW w:w="567" w:type="dxa"/>
          </w:tcPr>
          <w:p w14:paraId="7DDAE080" w14:textId="77777777" w:rsidR="009E7CFA" w:rsidRPr="00A52AB8" w:rsidRDefault="009E7CFA" w:rsidP="002140BB">
            <w:pPr>
              <w:keepNext/>
              <w:keepLines/>
              <w:spacing w:after="0" w:line="240" w:lineRule="auto"/>
              <w:jc w:val="center"/>
              <w:rPr>
                <w:b/>
                <w:bCs/>
                <w:sz w:val="20"/>
                <w:szCs w:val="20"/>
              </w:rPr>
            </w:pPr>
          </w:p>
        </w:tc>
        <w:tc>
          <w:tcPr>
            <w:tcW w:w="567" w:type="dxa"/>
          </w:tcPr>
          <w:p w14:paraId="50E378BF" w14:textId="77777777" w:rsidR="009E7CFA" w:rsidRPr="00A52AB8" w:rsidRDefault="009E7CFA" w:rsidP="002140BB">
            <w:pPr>
              <w:keepNext/>
              <w:keepLines/>
              <w:spacing w:after="0" w:line="240" w:lineRule="auto"/>
              <w:jc w:val="center"/>
              <w:rPr>
                <w:b/>
                <w:bCs/>
                <w:sz w:val="20"/>
                <w:szCs w:val="20"/>
              </w:rPr>
            </w:pPr>
            <w:r w:rsidRPr="00A52AB8">
              <w:rPr>
                <w:rFonts w:ascii="Segoe UI Symbol" w:hAnsi="Segoe UI Symbol" w:cs="Segoe UI Symbol"/>
                <w:color w:val="000000"/>
                <w:sz w:val="28"/>
                <w:szCs w:val="28"/>
              </w:rPr>
              <w:t>✓</w:t>
            </w:r>
          </w:p>
        </w:tc>
        <w:tc>
          <w:tcPr>
            <w:tcW w:w="709" w:type="dxa"/>
          </w:tcPr>
          <w:p w14:paraId="419C271B" w14:textId="77777777" w:rsidR="009E7CFA" w:rsidRPr="00A52AB8" w:rsidRDefault="009E7CFA" w:rsidP="002140BB">
            <w:pPr>
              <w:keepNext/>
              <w:keepLines/>
              <w:spacing w:after="0" w:line="240" w:lineRule="auto"/>
              <w:jc w:val="center"/>
              <w:rPr>
                <w:sz w:val="20"/>
                <w:szCs w:val="20"/>
              </w:rPr>
            </w:pPr>
          </w:p>
        </w:tc>
        <w:tc>
          <w:tcPr>
            <w:tcW w:w="567" w:type="dxa"/>
          </w:tcPr>
          <w:p w14:paraId="1E9509FB" w14:textId="77777777" w:rsidR="009E7CFA" w:rsidRPr="00A52AB8" w:rsidRDefault="009E7CFA" w:rsidP="002140BB">
            <w:pPr>
              <w:keepNext/>
              <w:keepLines/>
              <w:spacing w:after="0" w:line="240" w:lineRule="auto"/>
              <w:jc w:val="center"/>
              <w:rPr>
                <w:sz w:val="20"/>
                <w:szCs w:val="20"/>
              </w:rPr>
            </w:pPr>
          </w:p>
        </w:tc>
        <w:tc>
          <w:tcPr>
            <w:tcW w:w="688" w:type="dxa"/>
          </w:tcPr>
          <w:p w14:paraId="56ACAD7C" w14:textId="77777777" w:rsidR="009E7CFA" w:rsidRPr="00A52AB8" w:rsidRDefault="009E7CFA" w:rsidP="002140BB">
            <w:pPr>
              <w:keepNext/>
              <w:keepLines/>
              <w:spacing w:after="0" w:line="240" w:lineRule="auto"/>
              <w:jc w:val="center"/>
              <w:rPr>
                <w:sz w:val="20"/>
                <w:szCs w:val="20"/>
              </w:rPr>
            </w:pPr>
          </w:p>
        </w:tc>
        <w:tc>
          <w:tcPr>
            <w:tcW w:w="450" w:type="dxa"/>
          </w:tcPr>
          <w:p w14:paraId="39885CF1" w14:textId="77777777" w:rsidR="009E7CFA" w:rsidRPr="00A52AB8" w:rsidRDefault="009E7CFA" w:rsidP="002140BB">
            <w:pPr>
              <w:keepNext/>
              <w:keepLines/>
              <w:spacing w:after="0" w:line="240" w:lineRule="auto"/>
              <w:jc w:val="center"/>
              <w:rPr>
                <w:b/>
                <w:bCs/>
                <w:sz w:val="20"/>
                <w:szCs w:val="20"/>
              </w:rPr>
            </w:pPr>
            <w:r w:rsidRPr="00A52AB8">
              <w:rPr>
                <w:sz w:val="20"/>
                <w:szCs w:val="20"/>
              </w:rPr>
              <w:t>‒</w:t>
            </w:r>
          </w:p>
        </w:tc>
        <w:tc>
          <w:tcPr>
            <w:tcW w:w="376" w:type="dxa"/>
          </w:tcPr>
          <w:p w14:paraId="3F625CCC" w14:textId="77777777" w:rsidR="009E7CFA" w:rsidRPr="00A52AB8" w:rsidRDefault="009E7CFA" w:rsidP="002140BB">
            <w:pPr>
              <w:keepNext/>
              <w:keepLines/>
              <w:spacing w:after="0" w:line="240" w:lineRule="auto"/>
              <w:jc w:val="center"/>
              <w:rPr>
                <w:b/>
                <w:bCs/>
                <w:sz w:val="20"/>
                <w:szCs w:val="20"/>
              </w:rPr>
            </w:pPr>
            <w:r w:rsidRPr="00A52AB8">
              <w:rPr>
                <w:sz w:val="20"/>
                <w:szCs w:val="20"/>
              </w:rPr>
              <w:t>‒</w:t>
            </w:r>
          </w:p>
        </w:tc>
        <w:tc>
          <w:tcPr>
            <w:tcW w:w="562" w:type="dxa"/>
          </w:tcPr>
          <w:p w14:paraId="3B8ED062" w14:textId="77777777" w:rsidR="009E7CFA" w:rsidRPr="00A52AB8" w:rsidRDefault="009E7CFA" w:rsidP="002140BB">
            <w:pPr>
              <w:keepNext/>
              <w:keepLines/>
              <w:spacing w:after="0" w:line="240" w:lineRule="auto"/>
              <w:jc w:val="center"/>
              <w:rPr>
                <w:b/>
                <w:bCs/>
                <w:sz w:val="20"/>
                <w:szCs w:val="20"/>
              </w:rPr>
            </w:pPr>
            <w:r w:rsidRPr="00A52AB8">
              <w:rPr>
                <w:sz w:val="20"/>
                <w:szCs w:val="20"/>
              </w:rPr>
              <w:t>‒</w:t>
            </w:r>
          </w:p>
        </w:tc>
      </w:tr>
      <w:tr w:rsidR="009E7CFA" w:rsidRPr="00A52AB8" w14:paraId="0A7C269A" w14:textId="77777777" w:rsidTr="00007BE2">
        <w:trPr>
          <w:trHeight w:hRule="exact" w:val="411"/>
        </w:trPr>
        <w:tc>
          <w:tcPr>
            <w:tcW w:w="937" w:type="dxa"/>
            <w:vMerge w:val="restart"/>
            <w:textDirection w:val="btLr"/>
            <w:vAlign w:val="center"/>
          </w:tcPr>
          <w:p w14:paraId="69EFBAB5" w14:textId="77777777" w:rsidR="009E7CFA" w:rsidRPr="00A52AB8" w:rsidRDefault="009E7CFA" w:rsidP="002140BB">
            <w:pPr>
              <w:keepNext/>
              <w:keepLines/>
              <w:spacing w:after="0" w:line="240" w:lineRule="auto"/>
              <w:ind w:left="113" w:right="113"/>
              <w:jc w:val="center"/>
              <w:rPr>
                <w:bCs/>
                <w:sz w:val="20"/>
                <w:szCs w:val="20"/>
              </w:rPr>
            </w:pPr>
            <w:r w:rsidRPr="00A52AB8">
              <w:rPr>
                <w:bCs/>
                <w:sz w:val="20"/>
                <w:szCs w:val="20"/>
              </w:rPr>
              <w:t>Bit</w:t>
            </w:r>
            <w:r w:rsidR="00C514C6" w:rsidRPr="00A52AB8">
              <w:rPr>
                <w:bCs/>
                <w:sz w:val="20"/>
                <w:szCs w:val="20"/>
              </w:rPr>
              <w:t xml:space="preserve"> </w:t>
            </w:r>
            <w:r w:rsidRPr="00A52AB8">
              <w:rPr>
                <w:bCs/>
                <w:sz w:val="20"/>
                <w:szCs w:val="20"/>
              </w:rPr>
              <w:t>depth</w:t>
            </w:r>
          </w:p>
        </w:tc>
        <w:tc>
          <w:tcPr>
            <w:tcW w:w="937" w:type="dxa"/>
            <w:vAlign w:val="center"/>
          </w:tcPr>
          <w:p w14:paraId="2CDAA6DE" w14:textId="77777777" w:rsidR="009E7CFA" w:rsidRPr="00A52AB8" w:rsidRDefault="009E7CFA" w:rsidP="002140BB">
            <w:pPr>
              <w:keepNext/>
              <w:keepLines/>
              <w:spacing w:after="0" w:line="240" w:lineRule="auto"/>
              <w:jc w:val="center"/>
              <w:rPr>
                <w:bCs/>
                <w:sz w:val="20"/>
                <w:szCs w:val="20"/>
              </w:rPr>
            </w:pPr>
            <w:r w:rsidRPr="00A52AB8">
              <w:rPr>
                <w:bCs/>
                <w:sz w:val="20"/>
                <w:szCs w:val="20"/>
              </w:rPr>
              <w:t>8 bit</w:t>
            </w:r>
          </w:p>
        </w:tc>
        <w:tc>
          <w:tcPr>
            <w:tcW w:w="560" w:type="dxa"/>
          </w:tcPr>
          <w:p w14:paraId="5B4068D1" w14:textId="77777777" w:rsidR="009E7CFA" w:rsidRPr="00A52AB8" w:rsidRDefault="009E7CFA" w:rsidP="002140BB">
            <w:pPr>
              <w:keepNext/>
              <w:keepLines/>
              <w:spacing w:after="0" w:line="240" w:lineRule="auto"/>
              <w:jc w:val="center"/>
              <w:rPr>
                <w:b/>
                <w:bCs/>
                <w:sz w:val="20"/>
                <w:szCs w:val="20"/>
              </w:rPr>
            </w:pPr>
            <w:r w:rsidRPr="00A52AB8">
              <w:rPr>
                <w:rFonts w:ascii="Segoe UI Symbol" w:hAnsi="Segoe UI Symbol" w:cs="Segoe UI Symbol"/>
                <w:color w:val="000000"/>
                <w:sz w:val="28"/>
                <w:szCs w:val="28"/>
              </w:rPr>
              <w:t>✓</w:t>
            </w:r>
          </w:p>
        </w:tc>
        <w:tc>
          <w:tcPr>
            <w:tcW w:w="561" w:type="dxa"/>
          </w:tcPr>
          <w:p w14:paraId="5101EF6B" w14:textId="77777777" w:rsidR="009E7CFA" w:rsidRPr="00A52AB8" w:rsidRDefault="009E7CFA" w:rsidP="002140BB">
            <w:pPr>
              <w:keepNext/>
              <w:keepLines/>
              <w:spacing w:after="0" w:line="240" w:lineRule="auto"/>
              <w:jc w:val="center"/>
              <w:rPr>
                <w:b/>
                <w:bCs/>
                <w:sz w:val="20"/>
                <w:szCs w:val="20"/>
              </w:rPr>
            </w:pPr>
            <w:r w:rsidRPr="00A52AB8">
              <w:rPr>
                <w:rFonts w:ascii="Segoe UI Symbol" w:hAnsi="Segoe UI Symbol" w:cs="Segoe UI Symbol"/>
                <w:color w:val="000000"/>
                <w:sz w:val="28"/>
                <w:szCs w:val="28"/>
              </w:rPr>
              <w:t>✓</w:t>
            </w:r>
          </w:p>
        </w:tc>
        <w:tc>
          <w:tcPr>
            <w:tcW w:w="690" w:type="dxa"/>
          </w:tcPr>
          <w:p w14:paraId="524ABF60" w14:textId="77777777" w:rsidR="009E7CFA" w:rsidRPr="00A52AB8" w:rsidRDefault="009E7CFA" w:rsidP="002140BB">
            <w:pPr>
              <w:keepNext/>
              <w:keepLines/>
              <w:spacing w:after="0" w:line="240" w:lineRule="auto"/>
              <w:jc w:val="center"/>
              <w:rPr>
                <w:b/>
                <w:bCs/>
                <w:sz w:val="20"/>
                <w:szCs w:val="20"/>
              </w:rPr>
            </w:pPr>
            <w:r w:rsidRPr="00A52AB8">
              <w:rPr>
                <w:rFonts w:ascii="Segoe UI Symbol" w:hAnsi="Segoe UI Symbol" w:cs="Segoe UI Symbol"/>
                <w:color w:val="000000"/>
                <w:sz w:val="28"/>
                <w:szCs w:val="28"/>
              </w:rPr>
              <w:t>✓</w:t>
            </w:r>
          </w:p>
        </w:tc>
        <w:tc>
          <w:tcPr>
            <w:tcW w:w="433" w:type="dxa"/>
          </w:tcPr>
          <w:p w14:paraId="189CA81C" w14:textId="77777777" w:rsidR="009E7CFA" w:rsidRPr="00A52AB8" w:rsidRDefault="009E7CFA" w:rsidP="002140BB">
            <w:pPr>
              <w:keepNext/>
              <w:keepLines/>
              <w:spacing w:after="0" w:line="240" w:lineRule="auto"/>
              <w:jc w:val="center"/>
              <w:rPr>
                <w:b/>
                <w:bCs/>
                <w:sz w:val="20"/>
                <w:szCs w:val="20"/>
              </w:rPr>
            </w:pPr>
            <w:r w:rsidRPr="00A52AB8">
              <w:rPr>
                <w:rFonts w:ascii="Segoe UI Symbol" w:hAnsi="Segoe UI Symbol" w:cs="Segoe UI Symbol"/>
                <w:color w:val="000000"/>
                <w:sz w:val="28"/>
                <w:szCs w:val="28"/>
              </w:rPr>
              <w:t>✓</w:t>
            </w:r>
          </w:p>
        </w:tc>
        <w:tc>
          <w:tcPr>
            <w:tcW w:w="561" w:type="dxa"/>
          </w:tcPr>
          <w:p w14:paraId="4CE9F2AB" w14:textId="77777777" w:rsidR="009E7CFA" w:rsidRPr="00A52AB8" w:rsidRDefault="009E7CFA" w:rsidP="002140BB">
            <w:pPr>
              <w:keepNext/>
              <w:keepLines/>
              <w:spacing w:after="0" w:line="240" w:lineRule="auto"/>
              <w:jc w:val="center"/>
              <w:rPr>
                <w:b/>
                <w:bCs/>
                <w:sz w:val="20"/>
                <w:szCs w:val="20"/>
              </w:rPr>
            </w:pPr>
            <w:r w:rsidRPr="00A52AB8">
              <w:rPr>
                <w:rFonts w:ascii="Segoe UI Symbol" w:hAnsi="Segoe UI Symbol" w:cs="Segoe UI Symbol"/>
                <w:color w:val="000000"/>
                <w:sz w:val="28"/>
                <w:szCs w:val="28"/>
              </w:rPr>
              <w:t>✓</w:t>
            </w:r>
          </w:p>
        </w:tc>
        <w:tc>
          <w:tcPr>
            <w:tcW w:w="561" w:type="dxa"/>
          </w:tcPr>
          <w:p w14:paraId="460F6250" w14:textId="77777777" w:rsidR="009E7CFA" w:rsidRPr="00A52AB8" w:rsidRDefault="009E7CFA" w:rsidP="002140BB">
            <w:pPr>
              <w:keepNext/>
              <w:keepLines/>
              <w:spacing w:after="0" w:line="240" w:lineRule="auto"/>
              <w:jc w:val="center"/>
              <w:rPr>
                <w:b/>
                <w:bCs/>
                <w:sz w:val="20"/>
                <w:szCs w:val="20"/>
              </w:rPr>
            </w:pPr>
            <w:r w:rsidRPr="00A52AB8">
              <w:rPr>
                <w:rFonts w:ascii="Segoe UI Symbol" w:hAnsi="Segoe UI Symbol" w:cs="Segoe UI Symbol"/>
                <w:color w:val="000000"/>
                <w:sz w:val="28"/>
                <w:szCs w:val="28"/>
              </w:rPr>
              <w:t>✓</w:t>
            </w:r>
          </w:p>
        </w:tc>
        <w:tc>
          <w:tcPr>
            <w:tcW w:w="567" w:type="dxa"/>
          </w:tcPr>
          <w:p w14:paraId="573B68E2" w14:textId="77777777" w:rsidR="009E7CFA" w:rsidRPr="00A52AB8" w:rsidRDefault="009E7CFA" w:rsidP="002140BB">
            <w:pPr>
              <w:keepNext/>
              <w:keepLines/>
              <w:spacing w:after="0" w:line="240" w:lineRule="auto"/>
              <w:jc w:val="center"/>
              <w:rPr>
                <w:b/>
                <w:bCs/>
                <w:sz w:val="20"/>
                <w:szCs w:val="20"/>
              </w:rPr>
            </w:pPr>
            <w:r w:rsidRPr="00A52AB8">
              <w:rPr>
                <w:rFonts w:ascii="Segoe UI Symbol" w:hAnsi="Segoe UI Symbol" w:cs="Segoe UI Symbol"/>
                <w:color w:val="000000"/>
                <w:sz w:val="28"/>
                <w:szCs w:val="28"/>
              </w:rPr>
              <w:t>✓</w:t>
            </w:r>
          </w:p>
        </w:tc>
        <w:tc>
          <w:tcPr>
            <w:tcW w:w="567" w:type="dxa"/>
          </w:tcPr>
          <w:p w14:paraId="1D338D6E" w14:textId="77777777" w:rsidR="009E7CFA" w:rsidRPr="00A52AB8" w:rsidRDefault="009E7CFA" w:rsidP="002140BB">
            <w:pPr>
              <w:keepNext/>
              <w:keepLines/>
              <w:spacing w:after="0" w:line="240" w:lineRule="auto"/>
              <w:jc w:val="center"/>
              <w:rPr>
                <w:b/>
                <w:bCs/>
                <w:sz w:val="20"/>
                <w:szCs w:val="20"/>
              </w:rPr>
            </w:pPr>
            <w:r w:rsidRPr="00A52AB8">
              <w:rPr>
                <w:rFonts w:ascii="Segoe UI Symbol" w:hAnsi="Segoe UI Symbol" w:cs="Segoe UI Symbol"/>
                <w:color w:val="000000"/>
                <w:sz w:val="28"/>
                <w:szCs w:val="28"/>
              </w:rPr>
              <w:t>✓</w:t>
            </w:r>
          </w:p>
        </w:tc>
        <w:tc>
          <w:tcPr>
            <w:tcW w:w="567" w:type="dxa"/>
          </w:tcPr>
          <w:p w14:paraId="5DC57AF1" w14:textId="77777777" w:rsidR="009E7CFA" w:rsidRPr="00A52AB8" w:rsidRDefault="009E7CFA" w:rsidP="002140BB">
            <w:pPr>
              <w:keepNext/>
              <w:keepLines/>
              <w:spacing w:after="0" w:line="240" w:lineRule="auto"/>
              <w:jc w:val="center"/>
              <w:rPr>
                <w:b/>
                <w:bCs/>
                <w:sz w:val="20"/>
                <w:szCs w:val="20"/>
              </w:rPr>
            </w:pPr>
            <w:r w:rsidRPr="00A52AB8">
              <w:rPr>
                <w:rFonts w:ascii="Segoe UI Symbol" w:hAnsi="Segoe UI Symbol" w:cs="Segoe UI Symbol"/>
                <w:color w:val="000000"/>
                <w:sz w:val="28"/>
                <w:szCs w:val="28"/>
              </w:rPr>
              <w:t>✓</w:t>
            </w:r>
          </w:p>
        </w:tc>
        <w:tc>
          <w:tcPr>
            <w:tcW w:w="709" w:type="dxa"/>
          </w:tcPr>
          <w:p w14:paraId="7C0A626A" w14:textId="77777777" w:rsidR="009E7CFA" w:rsidRPr="00A52AB8" w:rsidRDefault="00D46B2D" w:rsidP="002140BB">
            <w:pPr>
              <w:keepNext/>
              <w:keepLines/>
              <w:spacing w:after="0" w:line="240" w:lineRule="auto"/>
              <w:jc w:val="center"/>
              <w:rPr>
                <w:sz w:val="20"/>
                <w:szCs w:val="20"/>
              </w:rPr>
            </w:pPr>
            <w:r w:rsidRPr="00A52AB8">
              <w:rPr>
                <w:rFonts w:ascii="Segoe UI Symbol" w:hAnsi="Segoe UI Symbol" w:cs="Segoe UI Symbol"/>
                <w:color w:val="000000"/>
                <w:sz w:val="28"/>
                <w:szCs w:val="28"/>
              </w:rPr>
              <w:t>✓</w:t>
            </w:r>
          </w:p>
        </w:tc>
        <w:tc>
          <w:tcPr>
            <w:tcW w:w="567" w:type="dxa"/>
          </w:tcPr>
          <w:p w14:paraId="356E67CE" w14:textId="77777777" w:rsidR="009E7CFA" w:rsidRPr="00A52AB8" w:rsidRDefault="00D46B2D" w:rsidP="002140BB">
            <w:pPr>
              <w:keepNext/>
              <w:keepLines/>
              <w:spacing w:after="0" w:line="240" w:lineRule="auto"/>
              <w:jc w:val="center"/>
              <w:rPr>
                <w:sz w:val="20"/>
                <w:szCs w:val="20"/>
              </w:rPr>
            </w:pPr>
            <w:r w:rsidRPr="00A52AB8">
              <w:rPr>
                <w:rFonts w:ascii="Segoe UI Symbol" w:hAnsi="Segoe UI Symbol" w:cs="Segoe UI Symbol"/>
                <w:color w:val="000000"/>
                <w:sz w:val="28"/>
                <w:szCs w:val="28"/>
              </w:rPr>
              <w:t>✓</w:t>
            </w:r>
          </w:p>
        </w:tc>
        <w:tc>
          <w:tcPr>
            <w:tcW w:w="688" w:type="dxa"/>
          </w:tcPr>
          <w:p w14:paraId="679127DE" w14:textId="77777777" w:rsidR="009E7CFA" w:rsidRPr="00A52AB8" w:rsidRDefault="00D46B2D" w:rsidP="002140BB">
            <w:pPr>
              <w:keepNext/>
              <w:keepLines/>
              <w:spacing w:after="0" w:line="240" w:lineRule="auto"/>
              <w:jc w:val="center"/>
              <w:rPr>
                <w:sz w:val="20"/>
                <w:szCs w:val="20"/>
              </w:rPr>
            </w:pPr>
            <w:r w:rsidRPr="00A52AB8">
              <w:rPr>
                <w:rFonts w:ascii="Segoe UI Symbol" w:hAnsi="Segoe UI Symbol" w:cs="Segoe UI Symbol"/>
                <w:color w:val="000000"/>
                <w:sz w:val="28"/>
                <w:szCs w:val="28"/>
              </w:rPr>
              <w:t>✓</w:t>
            </w:r>
          </w:p>
        </w:tc>
        <w:tc>
          <w:tcPr>
            <w:tcW w:w="450" w:type="dxa"/>
          </w:tcPr>
          <w:p w14:paraId="46B36E47" w14:textId="77777777" w:rsidR="009E7CFA" w:rsidRPr="00A52AB8" w:rsidRDefault="009E7CFA" w:rsidP="002140BB">
            <w:pPr>
              <w:keepNext/>
              <w:keepLines/>
              <w:spacing w:after="0" w:line="240" w:lineRule="auto"/>
              <w:jc w:val="center"/>
              <w:rPr>
                <w:b/>
                <w:bCs/>
                <w:sz w:val="20"/>
                <w:szCs w:val="20"/>
              </w:rPr>
            </w:pPr>
            <w:r w:rsidRPr="00A52AB8">
              <w:rPr>
                <w:sz w:val="20"/>
                <w:szCs w:val="20"/>
              </w:rPr>
              <w:t>‒</w:t>
            </w:r>
          </w:p>
        </w:tc>
        <w:tc>
          <w:tcPr>
            <w:tcW w:w="376" w:type="dxa"/>
          </w:tcPr>
          <w:p w14:paraId="6C9A7295" w14:textId="77777777" w:rsidR="009E7CFA" w:rsidRPr="00A52AB8" w:rsidRDefault="009E7CFA" w:rsidP="002140BB">
            <w:pPr>
              <w:keepNext/>
              <w:keepLines/>
              <w:spacing w:after="0" w:line="240" w:lineRule="auto"/>
              <w:jc w:val="center"/>
              <w:rPr>
                <w:b/>
                <w:bCs/>
                <w:sz w:val="20"/>
                <w:szCs w:val="20"/>
              </w:rPr>
            </w:pPr>
            <w:r w:rsidRPr="00A52AB8">
              <w:rPr>
                <w:sz w:val="20"/>
                <w:szCs w:val="20"/>
              </w:rPr>
              <w:t>‒</w:t>
            </w:r>
          </w:p>
        </w:tc>
        <w:tc>
          <w:tcPr>
            <w:tcW w:w="562" w:type="dxa"/>
          </w:tcPr>
          <w:p w14:paraId="7C2AA155" w14:textId="77777777" w:rsidR="009E7CFA" w:rsidRPr="00A52AB8" w:rsidRDefault="009E7CFA" w:rsidP="002140BB">
            <w:pPr>
              <w:keepNext/>
              <w:keepLines/>
              <w:spacing w:after="0" w:line="240" w:lineRule="auto"/>
              <w:jc w:val="center"/>
              <w:rPr>
                <w:b/>
                <w:bCs/>
                <w:sz w:val="20"/>
                <w:szCs w:val="20"/>
              </w:rPr>
            </w:pPr>
            <w:r w:rsidRPr="00A52AB8">
              <w:rPr>
                <w:sz w:val="20"/>
                <w:szCs w:val="20"/>
              </w:rPr>
              <w:t>‒</w:t>
            </w:r>
          </w:p>
        </w:tc>
      </w:tr>
      <w:tr w:rsidR="009E7CFA" w:rsidRPr="00A52AB8" w14:paraId="6DA38824" w14:textId="77777777" w:rsidTr="00007BE2">
        <w:trPr>
          <w:trHeight w:hRule="exact" w:val="626"/>
        </w:trPr>
        <w:tc>
          <w:tcPr>
            <w:tcW w:w="937" w:type="dxa"/>
            <w:vMerge/>
            <w:textDirection w:val="btLr"/>
            <w:vAlign w:val="center"/>
          </w:tcPr>
          <w:p w14:paraId="57E1AB00" w14:textId="77777777" w:rsidR="009E7CFA" w:rsidRPr="00A52AB8" w:rsidRDefault="009E7CFA" w:rsidP="002140BB">
            <w:pPr>
              <w:keepNext/>
              <w:keepLines/>
              <w:spacing w:after="0" w:line="240" w:lineRule="auto"/>
              <w:ind w:left="113" w:right="113"/>
              <w:jc w:val="center"/>
              <w:rPr>
                <w:bCs/>
                <w:sz w:val="20"/>
                <w:szCs w:val="20"/>
              </w:rPr>
            </w:pPr>
          </w:p>
        </w:tc>
        <w:tc>
          <w:tcPr>
            <w:tcW w:w="937" w:type="dxa"/>
            <w:vAlign w:val="center"/>
          </w:tcPr>
          <w:p w14:paraId="0769FCAA" w14:textId="77777777" w:rsidR="009E7CFA" w:rsidRPr="00A52AB8" w:rsidRDefault="009E7CFA" w:rsidP="002140BB">
            <w:pPr>
              <w:keepNext/>
              <w:keepLines/>
              <w:spacing w:after="0" w:line="240" w:lineRule="auto"/>
              <w:jc w:val="center"/>
              <w:rPr>
                <w:bCs/>
                <w:sz w:val="20"/>
                <w:szCs w:val="20"/>
              </w:rPr>
            </w:pPr>
            <w:r w:rsidRPr="00A52AB8">
              <w:rPr>
                <w:bCs/>
                <w:sz w:val="20"/>
                <w:szCs w:val="20"/>
              </w:rPr>
              <w:t>10 bit</w:t>
            </w:r>
          </w:p>
        </w:tc>
        <w:tc>
          <w:tcPr>
            <w:tcW w:w="560" w:type="dxa"/>
          </w:tcPr>
          <w:p w14:paraId="080EBB2F" w14:textId="77777777" w:rsidR="009E7CFA" w:rsidRPr="00A52AB8" w:rsidRDefault="009E7CFA" w:rsidP="002140BB">
            <w:pPr>
              <w:keepNext/>
              <w:keepLines/>
              <w:spacing w:after="0" w:line="240" w:lineRule="auto"/>
              <w:jc w:val="center"/>
              <w:rPr>
                <w:b/>
                <w:bCs/>
                <w:sz w:val="20"/>
                <w:szCs w:val="20"/>
              </w:rPr>
            </w:pPr>
          </w:p>
        </w:tc>
        <w:tc>
          <w:tcPr>
            <w:tcW w:w="561" w:type="dxa"/>
          </w:tcPr>
          <w:p w14:paraId="382FC11B" w14:textId="77777777" w:rsidR="009E7CFA" w:rsidRPr="00A52AB8" w:rsidRDefault="009E7CFA" w:rsidP="002140BB">
            <w:pPr>
              <w:keepNext/>
              <w:keepLines/>
              <w:spacing w:after="0" w:line="240" w:lineRule="auto"/>
              <w:jc w:val="center"/>
              <w:rPr>
                <w:b/>
                <w:bCs/>
                <w:sz w:val="20"/>
                <w:szCs w:val="20"/>
              </w:rPr>
            </w:pPr>
          </w:p>
        </w:tc>
        <w:tc>
          <w:tcPr>
            <w:tcW w:w="690" w:type="dxa"/>
          </w:tcPr>
          <w:p w14:paraId="1B100A25" w14:textId="77777777" w:rsidR="009E7CFA" w:rsidRPr="00A52AB8" w:rsidRDefault="009E7CFA" w:rsidP="002140BB">
            <w:pPr>
              <w:keepNext/>
              <w:keepLines/>
              <w:spacing w:after="0" w:line="240" w:lineRule="auto"/>
              <w:jc w:val="center"/>
              <w:rPr>
                <w:b/>
                <w:bCs/>
                <w:sz w:val="20"/>
                <w:szCs w:val="20"/>
              </w:rPr>
            </w:pPr>
          </w:p>
        </w:tc>
        <w:tc>
          <w:tcPr>
            <w:tcW w:w="433" w:type="dxa"/>
          </w:tcPr>
          <w:p w14:paraId="5161DF0B" w14:textId="77777777" w:rsidR="009E7CFA" w:rsidRPr="00A52AB8" w:rsidRDefault="009E7CFA" w:rsidP="002140BB">
            <w:pPr>
              <w:keepNext/>
              <w:keepLines/>
              <w:spacing w:after="0" w:line="240" w:lineRule="auto"/>
              <w:jc w:val="center"/>
              <w:rPr>
                <w:b/>
                <w:bCs/>
                <w:sz w:val="20"/>
                <w:szCs w:val="20"/>
              </w:rPr>
            </w:pPr>
            <w:r w:rsidRPr="00A52AB8">
              <w:rPr>
                <w:rFonts w:ascii="Segoe UI Symbol" w:hAnsi="Segoe UI Symbol" w:cs="Segoe UI Symbol"/>
                <w:color w:val="000000"/>
                <w:sz w:val="28"/>
                <w:szCs w:val="28"/>
              </w:rPr>
              <w:t>✓</w:t>
            </w:r>
          </w:p>
        </w:tc>
        <w:tc>
          <w:tcPr>
            <w:tcW w:w="561" w:type="dxa"/>
          </w:tcPr>
          <w:p w14:paraId="32B68C47" w14:textId="77777777" w:rsidR="009E7CFA" w:rsidRPr="00A52AB8" w:rsidRDefault="009E7CFA" w:rsidP="002140BB">
            <w:pPr>
              <w:keepNext/>
              <w:keepLines/>
              <w:spacing w:after="0" w:line="240" w:lineRule="auto"/>
              <w:jc w:val="center"/>
              <w:rPr>
                <w:b/>
                <w:bCs/>
                <w:sz w:val="20"/>
                <w:szCs w:val="20"/>
              </w:rPr>
            </w:pPr>
            <w:r w:rsidRPr="00A52AB8">
              <w:rPr>
                <w:rFonts w:ascii="Segoe UI Symbol" w:hAnsi="Segoe UI Symbol" w:cs="Segoe UI Symbol"/>
                <w:color w:val="000000"/>
                <w:sz w:val="28"/>
                <w:szCs w:val="28"/>
              </w:rPr>
              <w:t>✓</w:t>
            </w:r>
          </w:p>
        </w:tc>
        <w:tc>
          <w:tcPr>
            <w:tcW w:w="561" w:type="dxa"/>
          </w:tcPr>
          <w:p w14:paraId="20304D1F" w14:textId="77777777" w:rsidR="009E7CFA" w:rsidRPr="00A52AB8" w:rsidRDefault="009E7CFA" w:rsidP="002140BB">
            <w:pPr>
              <w:keepNext/>
              <w:keepLines/>
              <w:spacing w:after="0" w:line="240" w:lineRule="auto"/>
              <w:jc w:val="center"/>
              <w:rPr>
                <w:b/>
                <w:bCs/>
                <w:sz w:val="20"/>
                <w:szCs w:val="20"/>
              </w:rPr>
            </w:pPr>
            <w:r w:rsidRPr="00A52AB8">
              <w:rPr>
                <w:rFonts w:ascii="Segoe UI Symbol" w:hAnsi="Segoe UI Symbol" w:cs="Segoe UI Symbol"/>
                <w:color w:val="000000"/>
                <w:sz w:val="28"/>
                <w:szCs w:val="28"/>
              </w:rPr>
              <w:t>✓</w:t>
            </w:r>
          </w:p>
        </w:tc>
        <w:tc>
          <w:tcPr>
            <w:tcW w:w="567" w:type="dxa"/>
          </w:tcPr>
          <w:p w14:paraId="780B631E" w14:textId="77777777" w:rsidR="009E7CFA" w:rsidRPr="00A52AB8" w:rsidRDefault="009E7CFA" w:rsidP="002140BB">
            <w:pPr>
              <w:keepNext/>
              <w:keepLines/>
              <w:spacing w:after="0" w:line="240" w:lineRule="auto"/>
              <w:jc w:val="center"/>
              <w:rPr>
                <w:b/>
                <w:bCs/>
                <w:sz w:val="20"/>
                <w:szCs w:val="20"/>
              </w:rPr>
            </w:pPr>
            <w:r w:rsidRPr="00A52AB8">
              <w:rPr>
                <w:rFonts w:ascii="Segoe UI Symbol" w:hAnsi="Segoe UI Symbol" w:cs="Segoe UI Symbol"/>
                <w:color w:val="000000"/>
                <w:sz w:val="28"/>
                <w:szCs w:val="28"/>
              </w:rPr>
              <w:t>✓</w:t>
            </w:r>
          </w:p>
        </w:tc>
        <w:tc>
          <w:tcPr>
            <w:tcW w:w="567" w:type="dxa"/>
          </w:tcPr>
          <w:p w14:paraId="67E67354" w14:textId="77777777" w:rsidR="009E7CFA" w:rsidRPr="00A52AB8" w:rsidRDefault="009E7CFA" w:rsidP="002140BB">
            <w:pPr>
              <w:keepNext/>
              <w:keepLines/>
              <w:spacing w:after="0" w:line="240" w:lineRule="auto"/>
              <w:jc w:val="center"/>
              <w:rPr>
                <w:b/>
                <w:bCs/>
                <w:sz w:val="20"/>
                <w:szCs w:val="20"/>
              </w:rPr>
            </w:pPr>
            <w:r w:rsidRPr="00A52AB8">
              <w:rPr>
                <w:rFonts w:ascii="Segoe UI Symbol" w:hAnsi="Segoe UI Symbol" w:cs="Segoe UI Symbol"/>
                <w:color w:val="000000"/>
                <w:sz w:val="28"/>
                <w:szCs w:val="28"/>
              </w:rPr>
              <w:t>✓</w:t>
            </w:r>
          </w:p>
        </w:tc>
        <w:tc>
          <w:tcPr>
            <w:tcW w:w="567" w:type="dxa"/>
          </w:tcPr>
          <w:p w14:paraId="0EE33A0E" w14:textId="77777777" w:rsidR="009E7CFA" w:rsidRPr="00A52AB8" w:rsidRDefault="009E7CFA" w:rsidP="002140BB">
            <w:pPr>
              <w:keepNext/>
              <w:keepLines/>
              <w:spacing w:after="0" w:line="240" w:lineRule="auto"/>
              <w:jc w:val="center"/>
              <w:rPr>
                <w:b/>
                <w:bCs/>
                <w:sz w:val="20"/>
                <w:szCs w:val="20"/>
              </w:rPr>
            </w:pPr>
            <w:r w:rsidRPr="00A52AB8">
              <w:rPr>
                <w:rFonts w:ascii="Segoe UI Symbol" w:hAnsi="Segoe UI Symbol" w:cs="Segoe UI Symbol"/>
                <w:color w:val="000000"/>
                <w:sz w:val="28"/>
                <w:szCs w:val="28"/>
              </w:rPr>
              <w:t>✓</w:t>
            </w:r>
          </w:p>
        </w:tc>
        <w:tc>
          <w:tcPr>
            <w:tcW w:w="709" w:type="dxa"/>
          </w:tcPr>
          <w:p w14:paraId="3E36EB13" w14:textId="77777777" w:rsidR="009E7CFA" w:rsidRPr="00A52AB8" w:rsidRDefault="00D46B2D" w:rsidP="002140BB">
            <w:pPr>
              <w:keepNext/>
              <w:keepLines/>
              <w:spacing w:after="0" w:line="240" w:lineRule="auto"/>
              <w:jc w:val="center"/>
              <w:rPr>
                <w:sz w:val="20"/>
                <w:szCs w:val="20"/>
              </w:rPr>
            </w:pPr>
            <w:r w:rsidRPr="00A52AB8">
              <w:rPr>
                <w:rFonts w:ascii="Segoe UI Symbol" w:hAnsi="Segoe UI Symbol" w:cs="Segoe UI Symbol"/>
                <w:color w:val="000000"/>
                <w:sz w:val="28"/>
                <w:szCs w:val="28"/>
              </w:rPr>
              <w:t>✓</w:t>
            </w:r>
          </w:p>
        </w:tc>
        <w:tc>
          <w:tcPr>
            <w:tcW w:w="567" w:type="dxa"/>
          </w:tcPr>
          <w:p w14:paraId="5BE51663" w14:textId="77777777" w:rsidR="009E7CFA" w:rsidRPr="00A52AB8" w:rsidRDefault="00D46B2D" w:rsidP="002140BB">
            <w:pPr>
              <w:keepNext/>
              <w:keepLines/>
              <w:spacing w:after="0" w:line="240" w:lineRule="auto"/>
              <w:jc w:val="center"/>
              <w:rPr>
                <w:sz w:val="20"/>
                <w:szCs w:val="20"/>
              </w:rPr>
            </w:pPr>
            <w:r w:rsidRPr="00A52AB8">
              <w:rPr>
                <w:rFonts w:ascii="Segoe UI Symbol" w:hAnsi="Segoe UI Symbol" w:cs="Segoe UI Symbol"/>
                <w:color w:val="000000"/>
                <w:sz w:val="28"/>
                <w:szCs w:val="28"/>
              </w:rPr>
              <w:t>✓</w:t>
            </w:r>
          </w:p>
        </w:tc>
        <w:tc>
          <w:tcPr>
            <w:tcW w:w="688" w:type="dxa"/>
          </w:tcPr>
          <w:p w14:paraId="7E98AFAC" w14:textId="77777777" w:rsidR="009E7CFA" w:rsidRPr="00A52AB8" w:rsidRDefault="00D46B2D" w:rsidP="002140BB">
            <w:pPr>
              <w:keepNext/>
              <w:keepLines/>
              <w:spacing w:after="0" w:line="240" w:lineRule="auto"/>
              <w:jc w:val="center"/>
              <w:rPr>
                <w:sz w:val="20"/>
                <w:szCs w:val="20"/>
              </w:rPr>
            </w:pPr>
            <w:r w:rsidRPr="00A52AB8">
              <w:rPr>
                <w:rFonts w:ascii="Segoe UI Symbol" w:hAnsi="Segoe UI Symbol" w:cs="Segoe UI Symbol"/>
                <w:color w:val="000000"/>
                <w:sz w:val="28"/>
                <w:szCs w:val="28"/>
              </w:rPr>
              <w:t>✓</w:t>
            </w:r>
          </w:p>
        </w:tc>
        <w:tc>
          <w:tcPr>
            <w:tcW w:w="450" w:type="dxa"/>
          </w:tcPr>
          <w:p w14:paraId="42986646" w14:textId="77777777" w:rsidR="009E7CFA" w:rsidRPr="00A52AB8" w:rsidRDefault="009E7CFA" w:rsidP="002140BB">
            <w:pPr>
              <w:keepNext/>
              <w:keepLines/>
              <w:spacing w:after="0" w:line="240" w:lineRule="auto"/>
              <w:jc w:val="center"/>
              <w:rPr>
                <w:b/>
                <w:bCs/>
                <w:sz w:val="20"/>
                <w:szCs w:val="20"/>
              </w:rPr>
            </w:pPr>
            <w:r w:rsidRPr="00A52AB8">
              <w:rPr>
                <w:sz w:val="20"/>
                <w:szCs w:val="20"/>
              </w:rPr>
              <w:t>‒</w:t>
            </w:r>
          </w:p>
        </w:tc>
        <w:tc>
          <w:tcPr>
            <w:tcW w:w="376" w:type="dxa"/>
          </w:tcPr>
          <w:p w14:paraId="6B9870F5" w14:textId="77777777" w:rsidR="009E7CFA" w:rsidRPr="00A52AB8" w:rsidRDefault="009E7CFA" w:rsidP="002140BB">
            <w:pPr>
              <w:keepNext/>
              <w:keepLines/>
              <w:spacing w:after="0" w:line="240" w:lineRule="auto"/>
              <w:jc w:val="center"/>
              <w:rPr>
                <w:b/>
                <w:bCs/>
                <w:sz w:val="20"/>
                <w:szCs w:val="20"/>
              </w:rPr>
            </w:pPr>
            <w:r w:rsidRPr="00A52AB8">
              <w:rPr>
                <w:sz w:val="20"/>
                <w:szCs w:val="20"/>
              </w:rPr>
              <w:t>‒</w:t>
            </w:r>
          </w:p>
        </w:tc>
        <w:tc>
          <w:tcPr>
            <w:tcW w:w="562" w:type="dxa"/>
          </w:tcPr>
          <w:p w14:paraId="52324590" w14:textId="77777777" w:rsidR="009E7CFA" w:rsidRPr="00A52AB8" w:rsidRDefault="009E7CFA" w:rsidP="002140BB">
            <w:pPr>
              <w:keepNext/>
              <w:keepLines/>
              <w:spacing w:after="0" w:line="240" w:lineRule="auto"/>
              <w:jc w:val="center"/>
              <w:rPr>
                <w:b/>
                <w:bCs/>
                <w:sz w:val="20"/>
                <w:szCs w:val="20"/>
              </w:rPr>
            </w:pPr>
            <w:r w:rsidRPr="00A52AB8">
              <w:rPr>
                <w:sz w:val="20"/>
                <w:szCs w:val="20"/>
              </w:rPr>
              <w:t>‒</w:t>
            </w:r>
          </w:p>
        </w:tc>
      </w:tr>
      <w:tr w:rsidR="009E7CFA" w:rsidRPr="00A52AB8" w14:paraId="65D4F099" w14:textId="77777777" w:rsidTr="00007BE2">
        <w:trPr>
          <w:trHeight w:hRule="exact" w:val="1083"/>
        </w:trPr>
        <w:tc>
          <w:tcPr>
            <w:tcW w:w="937" w:type="dxa"/>
            <w:vMerge w:val="restart"/>
            <w:textDirection w:val="btLr"/>
            <w:vAlign w:val="center"/>
          </w:tcPr>
          <w:p w14:paraId="35AABD52" w14:textId="77777777" w:rsidR="009E7CFA" w:rsidRPr="00A52AB8" w:rsidRDefault="009E7CFA" w:rsidP="002140BB">
            <w:pPr>
              <w:keepNext/>
              <w:keepLines/>
              <w:spacing w:after="0" w:line="240" w:lineRule="auto"/>
              <w:ind w:left="113" w:right="113"/>
              <w:jc w:val="center"/>
              <w:rPr>
                <w:bCs/>
                <w:sz w:val="20"/>
                <w:szCs w:val="20"/>
              </w:rPr>
            </w:pPr>
            <w:r w:rsidRPr="00A52AB8">
              <w:rPr>
                <w:bCs/>
                <w:sz w:val="20"/>
                <w:szCs w:val="20"/>
              </w:rPr>
              <w:t>Video coding specification</w:t>
            </w:r>
          </w:p>
        </w:tc>
        <w:tc>
          <w:tcPr>
            <w:tcW w:w="937" w:type="dxa"/>
            <w:vAlign w:val="center"/>
          </w:tcPr>
          <w:p w14:paraId="722DD086" w14:textId="77777777" w:rsidR="009E7CFA" w:rsidRPr="00A52AB8" w:rsidRDefault="009E7CFA" w:rsidP="002140BB">
            <w:pPr>
              <w:keepNext/>
              <w:keepLines/>
              <w:spacing w:after="0" w:line="240" w:lineRule="auto"/>
              <w:jc w:val="center"/>
              <w:rPr>
                <w:bCs/>
                <w:sz w:val="20"/>
                <w:szCs w:val="20"/>
              </w:rPr>
            </w:pPr>
            <w:r w:rsidRPr="00A52AB8">
              <w:rPr>
                <w:bCs/>
                <w:sz w:val="20"/>
                <w:szCs w:val="20"/>
              </w:rPr>
              <w:t>name</w:t>
            </w:r>
          </w:p>
        </w:tc>
        <w:tc>
          <w:tcPr>
            <w:tcW w:w="1811" w:type="dxa"/>
            <w:gridSpan w:val="3"/>
            <w:vAlign w:val="center"/>
          </w:tcPr>
          <w:p w14:paraId="62A5876F" w14:textId="77777777" w:rsidR="009E7CFA" w:rsidRPr="00A52AB8" w:rsidRDefault="009E7CFA" w:rsidP="002140BB">
            <w:pPr>
              <w:keepNext/>
              <w:keepLines/>
              <w:spacing w:after="0" w:line="240" w:lineRule="auto"/>
              <w:jc w:val="center"/>
              <w:rPr>
                <w:bCs/>
                <w:sz w:val="20"/>
                <w:szCs w:val="20"/>
              </w:rPr>
            </w:pPr>
            <w:r w:rsidRPr="00A52AB8">
              <w:rPr>
                <w:bCs/>
                <w:sz w:val="20"/>
                <w:szCs w:val="20"/>
              </w:rPr>
              <w:t>ISO/IEC 14496-10</w:t>
            </w:r>
          </w:p>
        </w:tc>
        <w:tc>
          <w:tcPr>
            <w:tcW w:w="3256" w:type="dxa"/>
            <w:gridSpan w:val="6"/>
            <w:vAlign w:val="center"/>
          </w:tcPr>
          <w:p w14:paraId="034996C1" w14:textId="77777777" w:rsidR="009E7CFA" w:rsidRPr="00A52AB8" w:rsidRDefault="009E7CFA" w:rsidP="002140BB">
            <w:pPr>
              <w:keepNext/>
              <w:keepLines/>
              <w:spacing w:after="0" w:line="240" w:lineRule="auto"/>
              <w:jc w:val="center"/>
              <w:rPr>
                <w:bCs/>
                <w:sz w:val="20"/>
                <w:szCs w:val="20"/>
              </w:rPr>
            </w:pPr>
            <w:r w:rsidRPr="00A52AB8">
              <w:rPr>
                <w:bCs/>
                <w:sz w:val="20"/>
                <w:szCs w:val="20"/>
              </w:rPr>
              <w:t>ISO/IEC 23008-2</w:t>
            </w:r>
          </w:p>
        </w:tc>
        <w:tc>
          <w:tcPr>
            <w:tcW w:w="1964" w:type="dxa"/>
            <w:gridSpan w:val="3"/>
            <w:vAlign w:val="center"/>
          </w:tcPr>
          <w:p w14:paraId="39290D08" w14:textId="48BE9319" w:rsidR="009E7CFA" w:rsidRPr="00A52AB8" w:rsidRDefault="00DC0EEC" w:rsidP="00DC0EEC">
            <w:pPr>
              <w:keepNext/>
              <w:keepLines/>
              <w:spacing w:after="0" w:line="240" w:lineRule="auto"/>
              <w:jc w:val="center"/>
              <w:rPr>
                <w:bCs/>
                <w:sz w:val="20"/>
                <w:szCs w:val="20"/>
              </w:rPr>
            </w:pPr>
            <w:r w:rsidRPr="00A52AB8">
              <w:rPr>
                <w:bCs/>
                <w:sz w:val="20"/>
                <w:szCs w:val="20"/>
              </w:rPr>
              <w:t xml:space="preserve">ISO/IEC </w:t>
            </w:r>
            <w:r w:rsidR="00C66DAF" w:rsidRPr="00A52AB8">
              <w:rPr>
                <w:bCs/>
                <w:sz w:val="20"/>
                <w:szCs w:val="20"/>
              </w:rPr>
              <w:t xml:space="preserve">DIS </w:t>
            </w:r>
            <w:r w:rsidRPr="00A52AB8">
              <w:rPr>
                <w:bCs/>
                <w:sz w:val="20"/>
                <w:szCs w:val="20"/>
              </w:rPr>
              <w:t>23090-3</w:t>
            </w:r>
            <w:r w:rsidR="00090300" w:rsidRPr="00A52AB8">
              <w:rPr>
                <w:rStyle w:val="FootnoteReference"/>
                <w:bCs/>
                <w:szCs w:val="20"/>
              </w:rPr>
              <w:footnoteReference w:id="5"/>
            </w:r>
          </w:p>
        </w:tc>
        <w:tc>
          <w:tcPr>
            <w:tcW w:w="1388" w:type="dxa"/>
            <w:gridSpan w:val="3"/>
            <w:vAlign w:val="center"/>
          </w:tcPr>
          <w:p w14:paraId="76E5B81C" w14:textId="0E214666" w:rsidR="009E7CFA" w:rsidRPr="00A52AB8" w:rsidRDefault="009E7CFA" w:rsidP="002140BB">
            <w:pPr>
              <w:keepNext/>
              <w:keepLines/>
              <w:spacing w:after="0" w:line="240" w:lineRule="auto"/>
              <w:jc w:val="center"/>
              <w:rPr>
                <w:bCs/>
                <w:sz w:val="20"/>
                <w:szCs w:val="20"/>
              </w:rPr>
            </w:pPr>
            <w:r w:rsidRPr="00A52AB8">
              <w:rPr>
                <w:bCs/>
                <w:sz w:val="20"/>
                <w:szCs w:val="20"/>
              </w:rPr>
              <w:t>As defined by a component codec mapping</w:t>
            </w:r>
            <w:r w:rsidR="009A4F6F" w:rsidRPr="00A52AB8">
              <w:rPr>
                <w:bCs/>
                <w:sz w:val="20"/>
                <w:szCs w:val="20"/>
              </w:rPr>
              <w:t xml:space="preserve"> </w:t>
            </w:r>
            <w:r w:rsidRPr="00A52AB8">
              <w:rPr>
                <w:bCs/>
                <w:sz w:val="20"/>
                <w:szCs w:val="20"/>
              </w:rPr>
              <w:t>SEI (</w:t>
            </w:r>
            <w:r w:rsidRPr="00496A4D">
              <w:rPr>
                <w:bCs/>
                <w:sz w:val="20"/>
                <w:szCs w:val="20"/>
              </w:rPr>
              <w:fldChar w:fldCharType="begin"/>
            </w:r>
            <w:r w:rsidRPr="00A52AB8">
              <w:rPr>
                <w:bCs/>
                <w:sz w:val="20"/>
                <w:szCs w:val="20"/>
              </w:rPr>
              <w:instrText xml:space="preserve"> REF _Ref21444040 \r \h  \* MERGEFORMAT </w:instrText>
            </w:r>
            <w:r w:rsidRPr="00496A4D">
              <w:rPr>
                <w:bCs/>
                <w:sz w:val="20"/>
                <w:szCs w:val="20"/>
              </w:rPr>
            </w:r>
            <w:r w:rsidRPr="00496A4D">
              <w:rPr>
                <w:bCs/>
                <w:sz w:val="20"/>
                <w:szCs w:val="20"/>
              </w:rPr>
              <w:fldChar w:fldCharType="separate"/>
            </w:r>
            <w:r w:rsidR="00507A67">
              <w:rPr>
                <w:bCs/>
                <w:sz w:val="20"/>
                <w:szCs w:val="20"/>
              </w:rPr>
              <w:t>F.2.11</w:t>
            </w:r>
            <w:r w:rsidRPr="00496A4D">
              <w:rPr>
                <w:bCs/>
                <w:sz w:val="20"/>
                <w:szCs w:val="20"/>
              </w:rPr>
              <w:fldChar w:fldCharType="end"/>
            </w:r>
            <w:r w:rsidRPr="00A52AB8">
              <w:rPr>
                <w:bCs/>
                <w:sz w:val="20"/>
                <w:szCs w:val="20"/>
              </w:rPr>
              <w:t>)</w:t>
            </w:r>
          </w:p>
        </w:tc>
      </w:tr>
      <w:tr w:rsidR="009E7CFA" w:rsidRPr="00A52AB8" w14:paraId="77E65B85" w14:textId="77777777" w:rsidTr="00007BE2">
        <w:tblPrEx>
          <w:tblCellMar>
            <w:left w:w="108" w:type="dxa"/>
            <w:right w:w="108" w:type="dxa"/>
          </w:tblCellMar>
        </w:tblPrEx>
        <w:trPr>
          <w:trHeight w:hRule="exact" w:val="1095"/>
        </w:trPr>
        <w:tc>
          <w:tcPr>
            <w:tcW w:w="937" w:type="dxa"/>
            <w:vMerge/>
            <w:vAlign w:val="center"/>
          </w:tcPr>
          <w:p w14:paraId="351F031C" w14:textId="77777777" w:rsidR="009E7CFA" w:rsidRPr="00A52AB8" w:rsidRDefault="009E7CFA" w:rsidP="002140BB">
            <w:pPr>
              <w:keepNext/>
              <w:keepLines/>
              <w:spacing w:after="0" w:line="240" w:lineRule="auto"/>
              <w:jc w:val="center"/>
              <w:rPr>
                <w:bCs/>
                <w:sz w:val="20"/>
                <w:szCs w:val="20"/>
              </w:rPr>
            </w:pPr>
          </w:p>
        </w:tc>
        <w:tc>
          <w:tcPr>
            <w:tcW w:w="937" w:type="dxa"/>
            <w:vAlign w:val="center"/>
          </w:tcPr>
          <w:p w14:paraId="01C727BC" w14:textId="77777777" w:rsidR="009E7CFA" w:rsidRPr="00A52AB8" w:rsidRDefault="009E7CFA" w:rsidP="002140BB">
            <w:pPr>
              <w:keepNext/>
              <w:keepLines/>
              <w:spacing w:after="0" w:line="240" w:lineRule="auto"/>
              <w:jc w:val="center"/>
              <w:rPr>
                <w:bCs/>
                <w:sz w:val="20"/>
                <w:szCs w:val="20"/>
              </w:rPr>
            </w:pPr>
            <w:r w:rsidRPr="00A52AB8">
              <w:rPr>
                <w:bCs/>
                <w:sz w:val="20"/>
                <w:szCs w:val="20"/>
              </w:rPr>
              <w:t>profile</w:t>
            </w:r>
          </w:p>
        </w:tc>
        <w:tc>
          <w:tcPr>
            <w:tcW w:w="1811" w:type="dxa"/>
            <w:gridSpan w:val="3"/>
            <w:vAlign w:val="center"/>
          </w:tcPr>
          <w:p w14:paraId="504C139D" w14:textId="6F6DD684" w:rsidR="009E7CFA" w:rsidRPr="00A52AB8" w:rsidRDefault="009E7CFA" w:rsidP="002140BB">
            <w:pPr>
              <w:keepNext/>
              <w:keepLines/>
              <w:spacing w:after="0" w:line="240" w:lineRule="auto"/>
              <w:jc w:val="center"/>
              <w:rPr>
                <w:bCs/>
                <w:sz w:val="20"/>
                <w:szCs w:val="20"/>
              </w:rPr>
            </w:pPr>
            <w:r w:rsidRPr="00A52AB8">
              <w:rPr>
                <w:bCs/>
                <w:sz w:val="20"/>
                <w:szCs w:val="20"/>
              </w:rPr>
              <w:t>Progressive High as specified in ISO/IEC 14496</w:t>
            </w:r>
            <w:r w:rsidR="00291A3D" w:rsidRPr="00A52AB8">
              <w:rPr>
                <w:bCs/>
                <w:sz w:val="20"/>
                <w:szCs w:val="20"/>
              </w:rPr>
              <w:noBreakHyphen/>
            </w:r>
            <w:r w:rsidRPr="00A52AB8">
              <w:rPr>
                <w:bCs/>
                <w:sz w:val="20"/>
                <w:szCs w:val="20"/>
              </w:rPr>
              <w:t>10</w:t>
            </w:r>
          </w:p>
        </w:tc>
        <w:tc>
          <w:tcPr>
            <w:tcW w:w="1555" w:type="dxa"/>
            <w:gridSpan w:val="3"/>
            <w:vAlign w:val="center"/>
          </w:tcPr>
          <w:p w14:paraId="11995059" w14:textId="63CB7273" w:rsidR="009E7CFA" w:rsidRPr="00A52AB8" w:rsidRDefault="009E7CFA" w:rsidP="002140BB">
            <w:pPr>
              <w:keepNext/>
              <w:keepLines/>
              <w:spacing w:after="0" w:line="240" w:lineRule="auto"/>
              <w:jc w:val="center"/>
              <w:rPr>
                <w:bCs/>
                <w:sz w:val="20"/>
                <w:szCs w:val="20"/>
              </w:rPr>
            </w:pPr>
            <w:r w:rsidRPr="00A52AB8">
              <w:rPr>
                <w:bCs/>
                <w:sz w:val="20"/>
                <w:szCs w:val="20"/>
              </w:rPr>
              <w:t>Main 10 as specified in ISO/IEC 23008</w:t>
            </w:r>
            <w:r w:rsidR="00291A3D" w:rsidRPr="00A52AB8">
              <w:rPr>
                <w:bCs/>
                <w:sz w:val="20"/>
                <w:szCs w:val="20"/>
              </w:rPr>
              <w:noBreakHyphen/>
            </w:r>
            <w:r w:rsidRPr="00A52AB8">
              <w:rPr>
                <w:bCs/>
                <w:sz w:val="20"/>
                <w:szCs w:val="20"/>
              </w:rPr>
              <w:t>2</w:t>
            </w:r>
          </w:p>
        </w:tc>
        <w:tc>
          <w:tcPr>
            <w:tcW w:w="1701" w:type="dxa"/>
            <w:gridSpan w:val="3"/>
            <w:vAlign w:val="center"/>
          </w:tcPr>
          <w:p w14:paraId="41AC1670" w14:textId="0EF28038" w:rsidR="009E7CFA" w:rsidRPr="00A52AB8" w:rsidRDefault="009E7CFA" w:rsidP="002140BB">
            <w:pPr>
              <w:keepNext/>
              <w:keepLines/>
              <w:spacing w:after="0" w:line="240" w:lineRule="auto"/>
              <w:jc w:val="center"/>
              <w:rPr>
                <w:bCs/>
                <w:sz w:val="20"/>
                <w:szCs w:val="20"/>
              </w:rPr>
            </w:pPr>
            <w:r w:rsidRPr="00A52AB8">
              <w:rPr>
                <w:bCs/>
                <w:sz w:val="20"/>
                <w:szCs w:val="20"/>
              </w:rPr>
              <w:t>Main 4:4:4 10 as specified in ISO/IEC 23008</w:t>
            </w:r>
            <w:r w:rsidR="00291A3D" w:rsidRPr="00A52AB8">
              <w:rPr>
                <w:bCs/>
                <w:sz w:val="20"/>
                <w:szCs w:val="20"/>
              </w:rPr>
              <w:noBreakHyphen/>
            </w:r>
            <w:r w:rsidRPr="00A52AB8">
              <w:rPr>
                <w:bCs/>
                <w:sz w:val="20"/>
                <w:szCs w:val="20"/>
              </w:rPr>
              <w:t>2</w:t>
            </w:r>
          </w:p>
        </w:tc>
        <w:tc>
          <w:tcPr>
            <w:tcW w:w="1964" w:type="dxa"/>
            <w:gridSpan w:val="3"/>
            <w:vAlign w:val="center"/>
          </w:tcPr>
          <w:p w14:paraId="01E591B2" w14:textId="521DF907" w:rsidR="009E7CFA" w:rsidRPr="00A52AB8" w:rsidRDefault="009D5368" w:rsidP="009D5368">
            <w:pPr>
              <w:keepNext/>
              <w:keepLines/>
              <w:spacing w:after="0" w:line="240" w:lineRule="auto"/>
              <w:jc w:val="center"/>
              <w:rPr>
                <w:sz w:val="20"/>
                <w:szCs w:val="20"/>
              </w:rPr>
            </w:pPr>
            <w:r w:rsidRPr="00A52AB8">
              <w:rPr>
                <w:rFonts w:eastAsia="Times New Roman"/>
                <w:color w:val="000000"/>
                <w:sz w:val="20"/>
                <w:szCs w:val="20"/>
              </w:rPr>
              <w:t xml:space="preserve">VVC Main 10 </w:t>
            </w:r>
            <w:r w:rsidRPr="00A52AB8">
              <w:rPr>
                <w:bCs/>
                <w:sz w:val="20"/>
                <w:szCs w:val="20"/>
              </w:rPr>
              <w:t xml:space="preserve">as specified in ISO/IEC </w:t>
            </w:r>
            <w:r w:rsidR="00C66DAF" w:rsidRPr="00A52AB8">
              <w:rPr>
                <w:bCs/>
                <w:sz w:val="20"/>
                <w:szCs w:val="20"/>
              </w:rPr>
              <w:t xml:space="preserve">DIS </w:t>
            </w:r>
            <w:r w:rsidRPr="00A52AB8">
              <w:rPr>
                <w:bCs/>
                <w:sz w:val="20"/>
                <w:szCs w:val="20"/>
              </w:rPr>
              <w:t>23090</w:t>
            </w:r>
            <w:r w:rsidR="00291A3D" w:rsidRPr="00A52AB8">
              <w:rPr>
                <w:bCs/>
                <w:sz w:val="20"/>
                <w:szCs w:val="20"/>
              </w:rPr>
              <w:noBreakHyphen/>
            </w:r>
            <w:r w:rsidRPr="00A52AB8">
              <w:rPr>
                <w:bCs/>
                <w:sz w:val="20"/>
                <w:szCs w:val="20"/>
              </w:rPr>
              <w:t>3</w:t>
            </w:r>
          </w:p>
        </w:tc>
        <w:tc>
          <w:tcPr>
            <w:tcW w:w="1388" w:type="dxa"/>
            <w:gridSpan w:val="3"/>
            <w:vAlign w:val="center"/>
          </w:tcPr>
          <w:p w14:paraId="5F130652" w14:textId="77777777" w:rsidR="009E7CFA" w:rsidRPr="00A52AB8" w:rsidRDefault="009E7CFA" w:rsidP="002140BB">
            <w:pPr>
              <w:keepNext/>
              <w:keepLines/>
              <w:spacing w:after="0" w:line="240" w:lineRule="auto"/>
              <w:jc w:val="center"/>
              <w:rPr>
                <w:bCs/>
                <w:sz w:val="20"/>
                <w:szCs w:val="20"/>
              </w:rPr>
            </w:pPr>
            <w:r w:rsidRPr="00A52AB8">
              <w:rPr>
                <w:sz w:val="20"/>
                <w:szCs w:val="20"/>
              </w:rPr>
              <w:t>‒</w:t>
            </w:r>
          </w:p>
        </w:tc>
      </w:tr>
    </w:tbl>
    <w:p w14:paraId="5B51E517" w14:textId="77D73484" w:rsidR="00DE0937" w:rsidRPr="00A52AB8" w:rsidRDefault="00DE0937">
      <w:pPr>
        <w:spacing w:before="240"/>
      </w:pPr>
      <w:r w:rsidRPr="00A52AB8">
        <w:t xml:space="preserve">A tick mark in the </w:t>
      </w:r>
      <w:r w:rsidR="00D8401F" w:rsidRPr="00496A4D">
        <w:fldChar w:fldCharType="begin"/>
      </w:r>
      <w:r w:rsidR="00D8401F" w:rsidRPr="00A52AB8">
        <w:instrText xml:space="preserve"> REF _Ref21442197 \h  \* MERGEFORMAT </w:instrText>
      </w:r>
      <w:r w:rsidR="00D8401F" w:rsidRPr="00496A4D">
        <w:fldChar w:fldCharType="separate"/>
      </w:r>
      <w:r w:rsidR="00507A67" w:rsidRPr="00507A67">
        <w:t>Table A-2</w:t>
      </w:r>
      <w:r w:rsidR="00D8401F" w:rsidRPr="00496A4D">
        <w:fldChar w:fldCharType="end"/>
      </w:r>
      <w:r w:rsidR="00D8401F" w:rsidRPr="00A52AB8">
        <w:t xml:space="preserve"> </w:t>
      </w:r>
      <w:r w:rsidRPr="00A52AB8">
        <w:t xml:space="preserve">indicates that a particular feature is supported by the defined profile. A dash symbol, i.e. "‒", indicates that support of a particular feature is specified by means outside </w:t>
      </w:r>
      <w:r w:rsidR="001905CC" w:rsidRPr="00A52AB8">
        <w:t>this document</w:t>
      </w:r>
      <w:r w:rsidRPr="00A52AB8">
        <w:t>.</w:t>
      </w:r>
    </w:p>
    <w:p w14:paraId="6FCE9339" w14:textId="1883123B" w:rsidR="00535D94" w:rsidRPr="00A52AB8" w:rsidRDefault="00535D94">
      <w:pPr>
        <w:spacing w:before="240"/>
      </w:pPr>
      <w:r w:rsidRPr="00A52AB8">
        <w:t xml:space="preserve">All video </w:t>
      </w:r>
      <w:r w:rsidR="00BB150A" w:rsidRPr="00A52AB8">
        <w:t>sub-</w:t>
      </w:r>
      <w:r w:rsidRPr="00A52AB8">
        <w:t xml:space="preserve">bitstreams of a </w:t>
      </w:r>
      <w:r w:rsidR="007A6854" w:rsidRPr="00A52AB8">
        <w:t>V3C</w:t>
      </w:r>
      <w:r w:rsidRPr="00A52AB8">
        <w:t xml:space="preserve"> bitstream </w:t>
      </w:r>
      <w:r w:rsidR="00BB150A" w:rsidRPr="00A52AB8">
        <w:t xml:space="preserve">or a collection of </w:t>
      </w:r>
      <w:r w:rsidR="007A6854" w:rsidRPr="00A52AB8">
        <w:t>V3C</w:t>
      </w:r>
      <w:r w:rsidR="00BB150A" w:rsidRPr="00A52AB8">
        <w:t xml:space="preserve"> sub-bitstreams </w:t>
      </w:r>
      <w:r w:rsidRPr="00A52AB8">
        <w:t xml:space="preserve">conform to the stream format </w:t>
      </w:r>
      <w:r w:rsidR="00BB150A" w:rsidRPr="00A52AB8">
        <w:t xml:space="preserve">indicated in the component codec mapping SEI </w:t>
      </w:r>
      <w:r w:rsidR="00BB150A" w:rsidRPr="00A52AB8">
        <w:rPr>
          <w:bCs/>
        </w:rPr>
        <w:t>(</w:t>
      </w:r>
      <w:r w:rsidR="00BB150A" w:rsidRPr="00496A4D">
        <w:rPr>
          <w:bCs/>
        </w:rPr>
        <w:fldChar w:fldCharType="begin"/>
      </w:r>
      <w:r w:rsidR="00BB150A" w:rsidRPr="00A52AB8">
        <w:rPr>
          <w:bCs/>
        </w:rPr>
        <w:instrText xml:space="preserve"> REF _Ref21444040 \r \h  \* MERGEFORMAT </w:instrText>
      </w:r>
      <w:r w:rsidR="00BB150A" w:rsidRPr="00496A4D">
        <w:rPr>
          <w:bCs/>
        </w:rPr>
      </w:r>
      <w:r w:rsidR="00BB150A" w:rsidRPr="00496A4D">
        <w:rPr>
          <w:bCs/>
        </w:rPr>
        <w:fldChar w:fldCharType="separate"/>
      </w:r>
      <w:r w:rsidR="00507A67">
        <w:rPr>
          <w:bCs/>
        </w:rPr>
        <w:t>F.2.11</w:t>
      </w:r>
      <w:r w:rsidR="00BB150A" w:rsidRPr="00496A4D">
        <w:rPr>
          <w:bCs/>
        </w:rPr>
        <w:fldChar w:fldCharType="end"/>
      </w:r>
      <w:r w:rsidR="00836DF3" w:rsidRPr="00A52AB8">
        <w:rPr>
          <w:bCs/>
        </w:rPr>
        <w:t>)</w:t>
      </w:r>
      <w:r w:rsidRPr="00A52AB8">
        <w:t>.</w:t>
      </w:r>
    </w:p>
    <w:p w14:paraId="62F2D2D0" w14:textId="1655D8F3" w:rsidR="006133D6" w:rsidRPr="00A52AB8" w:rsidRDefault="006133D6" w:rsidP="006133D6">
      <w:pPr>
        <w:spacing w:before="240"/>
      </w:pPr>
      <w:r w:rsidRPr="00A52AB8">
        <w:t xml:space="preserve">For ptl_profile_codec_group_idc equal </w:t>
      </w:r>
      <w:r w:rsidR="00FC1324" w:rsidRPr="00A52AB8">
        <w:t xml:space="preserve">to </w:t>
      </w:r>
      <w:r w:rsidRPr="00A52AB8">
        <w:t xml:space="preserve">0, all video sub-bitstreams shall conform to the stream format identified by 4CC code equal to 'avc3'. The codec ids associated with all video sub-bitstreams in the active VPS are inferred to be mapped to 'avc3'. The component codec mapping SEI message </w:t>
      </w:r>
      <w:r w:rsidRPr="00A52AB8">
        <w:rPr>
          <w:bCs/>
        </w:rPr>
        <w:t>(</w:t>
      </w:r>
      <w:r w:rsidRPr="00496A4D">
        <w:rPr>
          <w:bCs/>
        </w:rPr>
        <w:fldChar w:fldCharType="begin"/>
      </w:r>
      <w:r w:rsidRPr="00A52AB8">
        <w:rPr>
          <w:bCs/>
        </w:rPr>
        <w:instrText xml:space="preserve"> REF _Ref21444040 \r \h  \* MERGEFORMAT </w:instrText>
      </w:r>
      <w:r w:rsidRPr="00496A4D">
        <w:rPr>
          <w:bCs/>
        </w:rPr>
      </w:r>
      <w:r w:rsidRPr="00496A4D">
        <w:rPr>
          <w:bCs/>
        </w:rPr>
        <w:fldChar w:fldCharType="separate"/>
      </w:r>
      <w:r w:rsidR="00507A67">
        <w:rPr>
          <w:bCs/>
        </w:rPr>
        <w:t>F.2.11</w:t>
      </w:r>
      <w:r w:rsidRPr="00496A4D">
        <w:rPr>
          <w:bCs/>
        </w:rPr>
        <w:fldChar w:fldCharType="end"/>
      </w:r>
      <w:r w:rsidRPr="00A52AB8">
        <w:rPr>
          <w:bCs/>
        </w:rPr>
        <w:t>)</w:t>
      </w:r>
      <w:r w:rsidRPr="00A52AB8">
        <w:t>, when present, shall also indicate the value of ‘avc3’ for all instances j of ccm_codec_4cc[</w:t>
      </w:r>
      <w:r w:rsidR="00F96474" w:rsidRPr="00A52AB8">
        <w:t> </w:t>
      </w:r>
      <w:r w:rsidRPr="00A52AB8">
        <w:t>j</w:t>
      </w:r>
      <w:r w:rsidR="00F96474" w:rsidRPr="00A52AB8">
        <w:t> </w:t>
      </w:r>
      <w:r w:rsidRPr="00A52AB8">
        <w:t>] present in this SEI message.</w:t>
      </w:r>
    </w:p>
    <w:p w14:paraId="188E5EFD" w14:textId="576A6794" w:rsidR="006133D6" w:rsidRPr="00A52AB8" w:rsidRDefault="006133D6" w:rsidP="006133D6">
      <w:pPr>
        <w:spacing w:before="240"/>
      </w:pPr>
      <w:r w:rsidRPr="00A52AB8">
        <w:t xml:space="preserve">For ptl_profile_codec_group_idc equal </w:t>
      </w:r>
      <w:r w:rsidR="00E62492" w:rsidRPr="00A52AB8">
        <w:t xml:space="preserve">to </w:t>
      </w:r>
      <w:r w:rsidRPr="00A52AB8">
        <w:t xml:space="preserve">1 </w:t>
      </w:r>
      <w:r w:rsidR="00E62492" w:rsidRPr="00A52AB8">
        <w:t xml:space="preserve">or </w:t>
      </w:r>
      <w:r w:rsidRPr="00A52AB8">
        <w:t xml:space="preserve">2, all video sub-bitstreams shall conform to the stream format identified by 4CC code equal to 'hev1'. The codec ids associated with all video sub-bitstreams in the active VPS are inferred to be mapped to 'hev1'. The component codec mapping SEI message </w:t>
      </w:r>
      <w:r w:rsidRPr="00A52AB8">
        <w:rPr>
          <w:bCs/>
        </w:rPr>
        <w:t>(</w:t>
      </w:r>
      <w:r w:rsidRPr="00496A4D">
        <w:rPr>
          <w:bCs/>
        </w:rPr>
        <w:fldChar w:fldCharType="begin"/>
      </w:r>
      <w:r w:rsidRPr="00A52AB8">
        <w:rPr>
          <w:bCs/>
        </w:rPr>
        <w:instrText xml:space="preserve"> REF _Ref21444040 \r \h  \* MERGEFORMAT </w:instrText>
      </w:r>
      <w:r w:rsidRPr="00496A4D">
        <w:rPr>
          <w:bCs/>
        </w:rPr>
      </w:r>
      <w:r w:rsidRPr="00496A4D">
        <w:rPr>
          <w:bCs/>
        </w:rPr>
        <w:fldChar w:fldCharType="separate"/>
      </w:r>
      <w:r w:rsidR="00507A67">
        <w:rPr>
          <w:bCs/>
        </w:rPr>
        <w:t>F.2.11</w:t>
      </w:r>
      <w:r w:rsidRPr="00496A4D">
        <w:rPr>
          <w:bCs/>
        </w:rPr>
        <w:fldChar w:fldCharType="end"/>
      </w:r>
      <w:r w:rsidRPr="00A52AB8">
        <w:rPr>
          <w:bCs/>
        </w:rPr>
        <w:t>)</w:t>
      </w:r>
      <w:r w:rsidRPr="00A52AB8">
        <w:t>, when present, shall also indicate the value of ‘hev1' for all instances j of ccm_codec_4cc[</w:t>
      </w:r>
      <w:r w:rsidR="00F96474" w:rsidRPr="00A52AB8">
        <w:t> </w:t>
      </w:r>
      <w:r w:rsidRPr="00A52AB8">
        <w:t>j</w:t>
      </w:r>
      <w:r w:rsidR="00F96474" w:rsidRPr="00A52AB8">
        <w:t> </w:t>
      </w:r>
      <w:r w:rsidRPr="00A52AB8">
        <w:t>] present in this SEI message.</w:t>
      </w:r>
    </w:p>
    <w:p w14:paraId="28DED931" w14:textId="35326253" w:rsidR="001D4760" w:rsidRPr="00A52AB8" w:rsidRDefault="001D4760" w:rsidP="006133D6">
      <w:pPr>
        <w:spacing w:before="240"/>
      </w:pPr>
      <w:r w:rsidRPr="00A52AB8">
        <w:t xml:space="preserve">For ptl_profile_codec_group_idc equal </w:t>
      </w:r>
      <w:r w:rsidR="00FC1324" w:rsidRPr="00A52AB8">
        <w:t xml:space="preserve">to </w:t>
      </w:r>
      <w:r w:rsidRPr="00A52AB8">
        <w:t>3, all video sub-bitstreams shall conform to the stream format identified by 4CC code equal to 'vvc1'. The codec ids associated with all video sub-bitstreams in the active VPS are inferred to be mapped to 'vvc1'. The component codec mapping SEI message (</w:t>
      </w:r>
      <w:r w:rsidR="00B2761F" w:rsidRPr="00496A4D">
        <w:rPr>
          <w:bCs/>
        </w:rPr>
        <w:fldChar w:fldCharType="begin"/>
      </w:r>
      <w:r w:rsidR="00B2761F" w:rsidRPr="00A52AB8">
        <w:rPr>
          <w:bCs/>
        </w:rPr>
        <w:instrText xml:space="preserve"> REF _Ref21444040 \r \h  \* MERGEFORMAT </w:instrText>
      </w:r>
      <w:r w:rsidR="00B2761F" w:rsidRPr="00496A4D">
        <w:rPr>
          <w:bCs/>
        </w:rPr>
      </w:r>
      <w:r w:rsidR="00B2761F" w:rsidRPr="00496A4D">
        <w:rPr>
          <w:bCs/>
        </w:rPr>
        <w:fldChar w:fldCharType="separate"/>
      </w:r>
      <w:r w:rsidR="00507A67">
        <w:rPr>
          <w:bCs/>
        </w:rPr>
        <w:t>F.2.11</w:t>
      </w:r>
      <w:r w:rsidR="00B2761F" w:rsidRPr="00496A4D">
        <w:rPr>
          <w:bCs/>
        </w:rPr>
        <w:fldChar w:fldCharType="end"/>
      </w:r>
      <w:r w:rsidRPr="00A52AB8">
        <w:t>), when present, shall also indicate the value of ‘vvc1' for all instances j of ccm_codec_4cc[</w:t>
      </w:r>
      <w:r w:rsidR="00805681" w:rsidRPr="00A52AB8">
        <w:t> </w:t>
      </w:r>
      <w:r w:rsidRPr="00A52AB8">
        <w:t>j</w:t>
      </w:r>
      <w:r w:rsidR="00805681" w:rsidRPr="00A52AB8">
        <w:t> </w:t>
      </w:r>
      <w:r w:rsidRPr="00A52AB8">
        <w:t>] present in this SEI message.</w:t>
      </w:r>
    </w:p>
    <w:p w14:paraId="083EF902" w14:textId="472D2F73" w:rsidR="006133D6" w:rsidRPr="00A52AB8" w:rsidRDefault="006133D6" w:rsidP="006133D6">
      <w:pPr>
        <w:spacing w:before="240"/>
      </w:pPr>
      <w:r w:rsidRPr="00A52AB8">
        <w:t xml:space="preserve">For ptl_profile_codec_group_idc equal </w:t>
      </w:r>
      <w:r w:rsidR="00FC1324" w:rsidRPr="00A52AB8">
        <w:t xml:space="preserve">to </w:t>
      </w:r>
      <w:r w:rsidR="00904A85" w:rsidRPr="00A52AB8">
        <w:t>127</w:t>
      </w:r>
      <w:r w:rsidR="00FC1324" w:rsidRPr="00A52AB8">
        <w:t>,</w:t>
      </w:r>
      <w:r w:rsidR="00904A85" w:rsidRPr="00A52AB8">
        <w:t xml:space="preserve"> </w:t>
      </w:r>
      <w:r w:rsidRPr="00A52AB8">
        <w:t xml:space="preserve">a video sub-bitstream of </w:t>
      </w:r>
      <w:r w:rsidR="00FC1324" w:rsidRPr="00A52AB8">
        <w:t xml:space="preserve">an </w:t>
      </w:r>
      <w:r w:rsidR="00C175F4" w:rsidRPr="00A52AB8">
        <w:t xml:space="preserve">atlas with atlas ID </w:t>
      </w:r>
      <w:r w:rsidR="00FC1324" w:rsidRPr="00A52AB8">
        <w:t xml:space="preserve">equal to </w:t>
      </w:r>
      <w:r w:rsidRPr="00A52AB8">
        <w:t>atlasI</w:t>
      </w:r>
      <w:r w:rsidR="0085297A" w:rsidRPr="00A52AB8">
        <w:t>D</w:t>
      </w:r>
      <w:r w:rsidRPr="00A52AB8">
        <w:t xml:space="preserve"> that is associated with a particular codec</w:t>
      </w:r>
      <w:r w:rsidR="007D3509" w:rsidRPr="00A52AB8">
        <w:t xml:space="preserve"> </w:t>
      </w:r>
      <w:r w:rsidR="00BA5CF8" w:rsidRPr="00A52AB8">
        <w:t>id</w:t>
      </w:r>
      <w:r w:rsidR="007D3509" w:rsidRPr="00A52AB8">
        <w:t xml:space="preserve"> </w:t>
      </w:r>
      <w:r w:rsidRPr="00A52AB8">
        <w:t>codecID, where codecID may correspond to the value of oi_occupancy_codec_id[</w:t>
      </w:r>
      <w:r w:rsidR="00A02232" w:rsidRPr="00A52AB8">
        <w:t> </w:t>
      </w:r>
      <w:r w:rsidRPr="00A52AB8">
        <w:t>atlasI</w:t>
      </w:r>
      <w:r w:rsidR="00E51B47" w:rsidRPr="00A52AB8">
        <w:t>D</w:t>
      </w:r>
      <w:r w:rsidR="00A02232" w:rsidRPr="00A52AB8">
        <w:t> </w:t>
      </w:r>
      <w:r w:rsidRPr="00A52AB8">
        <w:t>], gi_geometry_codec_id[</w:t>
      </w:r>
      <w:r w:rsidR="00E51B47" w:rsidRPr="00A52AB8">
        <w:t> </w:t>
      </w:r>
      <w:r w:rsidRPr="00A52AB8">
        <w:t>atlasI</w:t>
      </w:r>
      <w:r w:rsidR="00E51B47" w:rsidRPr="00A52AB8">
        <w:t>D</w:t>
      </w:r>
      <w:r w:rsidR="00A02232" w:rsidRPr="00A52AB8">
        <w:t> </w:t>
      </w:r>
      <w:r w:rsidRPr="00A52AB8">
        <w:t>], gi_auxiliary_geometry_codec_id[</w:t>
      </w:r>
      <w:r w:rsidR="0085297A" w:rsidRPr="00A52AB8">
        <w:t> </w:t>
      </w:r>
      <w:r w:rsidRPr="00A52AB8">
        <w:t>atlasI</w:t>
      </w:r>
      <w:r w:rsidR="0085297A" w:rsidRPr="00A52AB8">
        <w:t>D</w:t>
      </w:r>
      <w:r w:rsidR="00A02232" w:rsidRPr="00A52AB8">
        <w:t> </w:t>
      </w:r>
      <w:r w:rsidRPr="00A52AB8">
        <w:t>], ai_attribute_codec_id[</w:t>
      </w:r>
      <w:r w:rsidR="00E51B47" w:rsidRPr="00A52AB8">
        <w:t> </w:t>
      </w:r>
      <w:r w:rsidRPr="00A52AB8">
        <w:t>atlasI</w:t>
      </w:r>
      <w:r w:rsidR="0085297A" w:rsidRPr="00A52AB8">
        <w:t>D</w:t>
      </w:r>
      <w:r w:rsidR="00E51B47" w:rsidRPr="00A52AB8">
        <w:t> </w:t>
      </w:r>
      <w:r w:rsidRPr="00A52AB8">
        <w:t>][</w:t>
      </w:r>
      <w:r w:rsidR="00E51B47" w:rsidRPr="00A52AB8">
        <w:t> </w:t>
      </w:r>
      <w:r w:rsidR="00F96474" w:rsidRPr="00A52AB8">
        <w:t>i </w:t>
      </w:r>
      <w:r w:rsidRPr="00A52AB8">
        <w:t>], and ai_auxiliary_attribute_codec_id[</w:t>
      </w:r>
      <w:r w:rsidR="00E51B47" w:rsidRPr="00A52AB8">
        <w:t> </w:t>
      </w:r>
      <w:r w:rsidRPr="00A52AB8">
        <w:t>atlasI</w:t>
      </w:r>
      <w:r w:rsidR="00E51B47" w:rsidRPr="00A52AB8">
        <w:t>D </w:t>
      </w:r>
      <w:r w:rsidRPr="00A52AB8">
        <w:t>][</w:t>
      </w:r>
      <w:r w:rsidR="0085297A" w:rsidRPr="00A52AB8">
        <w:t> i </w:t>
      </w:r>
      <w:r w:rsidRPr="00A52AB8">
        <w:t>] depending on the type of the video, i.e. occupancy, geometry, auxiliary geometry, attribute with index i, or auxiliary attribute with index i, shall conform to the stream format indicated by the value of ccm_codec_4cc[</w:t>
      </w:r>
      <w:r w:rsidR="00E51B47" w:rsidRPr="00A52AB8">
        <w:t> </w:t>
      </w:r>
      <w:r w:rsidRPr="00A52AB8">
        <w:t>codecID</w:t>
      </w:r>
      <w:r w:rsidR="00E51B47" w:rsidRPr="00A52AB8">
        <w:t> </w:t>
      </w:r>
      <w:r w:rsidRPr="00A52AB8">
        <w:t>] as defined in the component codec mapping SEI message</w:t>
      </w:r>
      <w:r w:rsidR="00FC1324" w:rsidRPr="00A52AB8">
        <w:t xml:space="preserve"> </w:t>
      </w:r>
      <w:r w:rsidRPr="00A52AB8">
        <w:rPr>
          <w:bCs/>
        </w:rPr>
        <w:t>(</w:t>
      </w:r>
      <w:r w:rsidRPr="00496A4D">
        <w:rPr>
          <w:bCs/>
        </w:rPr>
        <w:fldChar w:fldCharType="begin"/>
      </w:r>
      <w:r w:rsidRPr="00A52AB8">
        <w:rPr>
          <w:bCs/>
        </w:rPr>
        <w:instrText xml:space="preserve"> REF _Ref21444040 \r \h  \* MERGEFORMAT </w:instrText>
      </w:r>
      <w:r w:rsidRPr="00496A4D">
        <w:rPr>
          <w:bCs/>
        </w:rPr>
      </w:r>
      <w:r w:rsidRPr="00496A4D">
        <w:rPr>
          <w:bCs/>
        </w:rPr>
        <w:fldChar w:fldCharType="separate"/>
      </w:r>
      <w:r w:rsidR="00507A67">
        <w:rPr>
          <w:bCs/>
        </w:rPr>
        <w:t>F.2.11</w:t>
      </w:r>
      <w:r w:rsidRPr="00496A4D">
        <w:rPr>
          <w:bCs/>
        </w:rPr>
        <w:fldChar w:fldCharType="end"/>
      </w:r>
      <w:r w:rsidRPr="00A52AB8">
        <w:rPr>
          <w:bCs/>
        </w:rPr>
        <w:t>)</w:t>
      </w:r>
      <w:r w:rsidRPr="00A52AB8">
        <w:t>.</w:t>
      </w:r>
    </w:p>
    <w:p w14:paraId="72E36AC9" w14:textId="6D59A9D1" w:rsidR="006133D6" w:rsidRPr="00A52AB8" w:rsidRDefault="006133D6" w:rsidP="006133D6">
      <w:pPr>
        <w:spacing w:before="240"/>
      </w:pPr>
      <w:r w:rsidRPr="00A52AB8">
        <w:t xml:space="preserve">When stream format is identified by </w:t>
      </w:r>
      <w:r w:rsidR="00FC1324" w:rsidRPr="00A52AB8">
        <w:t xml:space="preserve">a </w:t>
      </w:r>
      <w:r w:rsidRPr="00A52AB8">
        <w:t xml:space="preserve">4CC code defined in ISO/IEC 14496-15, the number of bytes that indicate the NAL unit length, NALUnitLength, </w:t>
      </w:r>
      <w:r w:rsidR="00AB1E7D" w:rsidRPr="00A52AB8">
        <w:t xml:space="preserve">defined in ISO/IEC 14496-15 </w:t>
      </w:r>
      <w:r w:rsidRPr="00A52AB8">
        <w:t>as being equal to the field LengthSizeMinusOne</w:t>
      </w:r>
      <w:r w:rsidR="00E44E8C" w:rsidRPr="00A52AB8">
        <w:t> </w:t>
      </w:r>
      <w:r w:rsidRPr="00A52AB8">
        <w:t>+</w:t>
      </w:r>
      <w:r w:rsidR="00E44E8C" w:rsidRPr="00A52AB8">
        <w:t> </w:t>
      </w:r>
      <w:r w:rsidRPr="00A52AB8">
        <w:t>1, shall be equal to 4.</w:t>
      </w:r>
    </w:p>
    <w:p w14:paraId="19848F8B" w14:textId="77777777" w:rsidR="00535D94" w:rsidRPr="00A52AB8" w:rsidRDefault="00535D94">
      <w:pPr>
        <w:rPr>
          <w:lang w:eastAsia="ja-JP"/>
        </w:rPr>
      </w:pPr>
      <w:r w:rsidRPr="00A52AB8">
        <w:t xml:space="preserve">The use of the MP4RA CodecGroup profile component is not meant as an interoperability point. Conformance to this profile can be specified by means outside </w:t>
      </w:r>
      <w:r w:rsidR="001905CC" w:rsidRPr="00A52AB8">
        <w:t>this document</w:t>
      </w:r>
      <w:r w:rsidRPr="00A52AB8">
        <w:t>.</w:t>
      </w:r>
    </w:p>
    <w:p w14:paraId="0D8377FA" w14:textId="77777777" w:rsidR="00535D94" w:rsidRPr="00A52AB8" w:rsidRDefault="007A6854">
      <w:pPr>
        <w:pStyle w:val="a2"/>
        <w:numPr>
          <w:ilvl w:val="1"/>
          <w:numId w:val="14"/>
        </w:numPr>
        <w:tabs>
          <w:tab w:val="num" w:pos="4613"/>
        </w:tabs>
      </w:pPr>
      <w:bookmarkStart w:id="4601" w:name="_Ref33612019"/>
      <w:bookmarkStart w:id="4602" w:name="_Toc52181652"/>
      <w:r w:rsidRPr="00A52AB8">
        <w:t>T</w:t>
      </w:r>
      <w:r w:rsidR="00535D94" w:rsidRPr="00A52AB8">
        <w:t>oolset profile components</w:t>
      </w:r>
      <w:bookmarkEnd w:id="4601"/>
      <w:bookmarkEnd w:id="4602"/>
    </w:p>
    <w:p w14:paraId="079E794E" w14:textId="7A204E9B" w:rsidR="00CA3851" w:rsidRPr="00A52AB8" w:rsidRDefault="00C9791F">
      <w:pPr>
        <w:rPr>
          <w:lang w:eastAsia="ja-JP"/>
        </w:rPr>
      </w:pPr>
      <w:r w:rsidRPr="00496A4D">
        <w:rPr>
          <w:lang w:eastAsia="ja-JP"/>
        </w:rPr>
        <w:fldChar w:fldCharType="begin"/>
      </w:r>
      <w:r w:rsidRPr="00A52AB8">
        <w:rPr>
          <w:lang w:eastAsia="ja-JP"/>
        </w:rPr>
        <w:instrText xml:space="preserve"> REF _Ref21445081 \h  \* MERGEFORMAT </w:instrText>
      </w:r>
      <w:r w:rsidRPr="00496A4D">
        <w:rPr>
          <w:lang w:eastAsia="ja-JP"/>
        </w:rPr>
      </w:r>
      <w:r w:rsidRPr="00496A4D">
        <w:rPr>
          <w:lang w:eastAsia="ja-JP"/>
        </w:rPr>
        <w:fldChar w:fldCharType="separate"/>
      </w:r>
      <w:r w:rsidR="00507A67" w:rsidRPr="00507A67">
        <w:t>Table A-3</w:t>
      </w:r>
      <w:r w:rsidRPr="00496A4D">
        <w:rPr>
          <w:lang w:eastAsia="ja-JP"/>
        </w:rPr>
        <w:fldChar w:fldCharType="end"/>
      </w:r>
      <w:r w:rsidRPr="00A52AB8">
        <w:rPr>
          <w:lang w:eastAsia="ja-JP"/>
        </w:rPr>
        <w:t xml:space="preserve"> </w:t>
      </w:r>
      <w:r w:rsidR="00535D94" w:rsidRPr="00A52AB8">
        <w:rPr>
          <w:lang w:eastAsia="ja-JP"/>
        </w:rPr>
        <w:t xml:space="preserve">provides a list of </w:t>
      </w:r>
      <w:r w:rsidR="00D428EE" w:rsidRPr="00A52AB8">
        <w:rPr>
          <w:lang w:eastAsia="ja-JP"/>
        </w:rPr>
        <w:t xml:space="preserve">defined </w:t>
      </w:r>
      <w:r w:rsidR="00535D94" w:rsidRPr="00A52AB8">
        <w:rPr>
          <w:lang w:eastAsia="ja-JP"/>
        </w:rPr>
        <w:t>toolset profile component</w:t>
      </w:r>
      <w:r w:rsidR="002D477C" w:rsidRPr="00A52AB8">
        <w:rPr>
          <w:lang w:eastAsia="ja-JP"/>
        </w:rPr>
        <w:t>s</w:t>
      </w:r>
      <w:r w:rsidR="00FC1324" w:rsidRPr="00A52AB8">
        <w:rPr>
          <w:lang w:eastAsia="ja-JP"/>
        </w:rPr>
        <w:t xml:space="preserve"> </w:t>
      </w:r>
      <w:r w:rsidR="00C41D4C" w:rsidRPr="00A52AB8">
        <w:rPr>
          <w:lang w:eastAsia="ja-JP"/>
        </w:rPr>
        <w:t xml:space="preserve">for V3C </w:t>
      </w:r>
      <w:r w:rsidR="002D477C" w:rsidRPr="00A52AB8">
        <w:rPr>
          <w:lang w:eastAsia="ja-JP"/>
        </w:rPr>
        <w:t xml:space="preserve">and their corresponding identifying syntax element </w:t>
      </w:r>
      <w:r w:rsidR="00FC1324" w:rsidRPr="00A52AB8">
        <w:rPr>
          <w:lang w:eastAsia="ja-JP"/>
        </w:rPr>
        <w:t>value</w:t>
      </w:r>
      <w:r w:rsidR="00535D94" w:rsidRPr="00A52AB8">
        <w:rPr>
          <w:lang w:eastAsia="ja-JP"/>
        </w:rPr>
        <w:t>s</w:t>
      </w:r>
      <w:r w:rsidR="002D477C" w:rsidRPr="00A52AB8">
        <w:rPr>
          <w:lang w:eastAsia="ja-JP"/>
        </w:rPr>
        <w:t>, e.g. ptl_profile_toolset_idc and ptc_one_v3c_frame_only flag, that are</w:t>
      </w:r>
      <w:r w:rsidR="00535D94" w:rsidRPr="00A52AB8">
        <w:rPr>
          <w:lang w:eastAsia="ja-JP"/>
        </w:rPr>
        <w:t xml:space="preserve"> </w:t>
      </w:r>
      <w:r w:rsidR="00FC1324" w:rsidRPr="00A52AB8">
        <w:rPr>
          <w:lang w:eastAsia="ja-JP"/>
        </w:rPr>
        <w:t xml:space="preserve">defined </w:t>
      </w:r>
      <w:r w:rsidR="002D477C" w:rsidRPr="00A52AB8">
        <w:rPr>
          <w:lang w:eastAsia="ja-JP"/>
        </w:rPr>
        <w:t>for use by</w:t>
      </w:r>
      <w:r w:rsidR="00FC1324" w:rsidRPr="00A52AB8">
        <w:rPr>
          <w:lang w:eastAsia="ja-JP"/>
        </w:rPr>
        <w:t xml:space="preserve"> this document</w:t>
      </w:r>
      <w:r w:rsidR="002573B2" w:rsidRPr="00A52AB8">
        <w:t>.</w:t>
      </w:r>
      <w:r w:rsidR="00CA3851" w:rsidRPr="00A52AB8">
        <w:rPr>
          <w:lang w:eastAsia="ja-JP"/>
        </w:rPr>
        <w:t xml:space="preserve"> </w:t>
      </w:r>
      <w:r w:rsidR="002D477C" w:rsidRPr="00A52AB8">
        <w:rPr>
          <w:lang w:eastAsia="ja-JP"/>
        </w:rPr>
        <w:t xml:space="preserve">The syntax element ptl_profile_toolset_idc provides the primary definition of a toolset profile. However, additional syntax elements, such as </w:t>
      </w:r>
      <w:r w:rsidR="002D477C" w:rsidRPr="00A52AB8">
        <w:rPr>
          <w:bCs/>
          <w:color w:val="000000" w:themeColor="text1"/>
        </w:rPr>
        <w:t xml:space="preserve">ptc_one_v3c_frame_only_flag, can indicate additional characteristics or restrictions of a defined profile. In the case of ptc_one_v3c_frame_only_flag, this syntax element indicates that such a profile can only support a single V3C frame. </w:t>
      </w:r>
      <w:r w:rsidR="004C4C00" w:rsidRPr="00A52AB8">
        <w:rPr>
          <w:lang w:eastAsia="ja-JP"/>
        </w:rPr>
        <w:t xml:space="preserve">Reserved values of ptl_profile_toolset_idc </w:t>
      </w:r>
      <w:r w:rsidR="004C4C00" w:rsidRPr="00A52AB8">
        <w:rPr>
          <w:bCs/>
          <w:color w:val="000000" w:themeColor="text1"/>
        </w:rPr>
        <w:t>are reserved for future use by ISO/IEC and shall not be present in</w:t>
      </w:r>
      <w:r w:rsidR="00754E36" w:rsidRPr="00A52AB8">
        <w:rPr>
          <w:bCs/>
          <w:color w:val="000000" w:themeColor="text1"/>
        </w:rPr>
        <w:t xml:space="preserve"> V3C</w:t>
      </w:r>
      <w:r w:rsidR="004C4C00" w:rsidRPr="00A52AB8">
        <w:rPr>
          <w:bCs/>
          <w:color w:val="000000" w:themeColor="text1"/>
        </w:rPr>
        <w:t xml:space="preserve"> bitstreams conforming to this version of this document.</w:t>
      </w:r>
      <w:r w:rsidR="00ED1B83" w:rsidRPr="00A52AB8">
        <w:rPr>
          <w:bCs/>
          <w:color w:val="000000" w:themeColor="text1"/>
        </w:rPr>
        <w:t xml:space="preserve"> The</w:t>
      </w:r>
      <w:r w:rsidR="002D477C" w:rsidRPr="00A52AB8">
        <w:rPr>
          <w:bCs/>
          <w:color w:val="000000" w:themeColor="text1"/>
        </w:rPr>
        <w:t xml:space="preserve"> defined</w:t>
      </w:r>
      <w:r w:rsidR="00ED1B83" w:rsidRPr="00A52AB8">
        <w:rPr>
          <w:bCs/>
          <w:color w:val="000000" w:themeColor="text1"/>
        </w:rPr>
        <w:t xml:space="preserve"> profiles </w:t>
      </w:r>
      <w:r w:rsidR="002D477C" w:rsidRPr="00A52AB8">
        <w:rPr>
          <w:bCs/>
          <w:color w:val="000000" w:themeColor="text1"/>
        </w:rPr>
        <w:t xml:space="preserve">in </w:t>
      </w:r>
      <w:r w:rsidR="002D477C" w:rsidRPr="00496A4D">
        <w:rPr>
          <w:bCs/>
          <w:color w:val="000000" w:themeColor="text1"/>
        </w:rPr>
        <w:fldChar w:fldCharType="begin"/>
      </w:r>
      <w:r w:rsidR="002D477C" w:rsidRPr="00A52AB8">
        <w:rPr>
          <w:bCs/>
          <w:color w:val="000000" w:themeColor="text1"/>
        </w:rPr>
        <w:instrText xml:space="preserve"> REF _Ref21445081 \h  \* MERGEFORMAT </w:instrText>
      </w:r>
      <w:r w:rsidR="002D477C" w:rsidRPr="00496A4D">
        <w:rPr>
          <w:bCs/>
          <w:color w:val="000000" w:themeColor="text1"/>
        </w:rPr>
      </w:r>
      <w:r w:rsidR="002D477C" w:rsidRPr="00496A4D">
        <w:rPr>
          <w:bCs/>
          <w:color w:val="000000" w:themeColor="text1"/>
        </w:rPr>
        <w:fldChar w:fldCharType="separate"/>
      </w:r>
      <w:r w:rsidR="00507A67" w:rsidRPr="00507A67">
        <w:rPr>
          <w:bCs/>
        </w:rPr>
        <w:t>Table A-3</w:t>
      </w:r>
      <w:r w:rsidR="002D477C" w:rsidRPr="00496A4D">
        <w:rPr>
          <w:bCs/>
          <w:color w:val="000000" w:themeColor="text1"/>
        </w:rPr>
        <w:fldChar w:fldCharType="end"/>
      </w:r>
      <w:r w:rsidR="002D477C" w:rsidRPr="00A52AB8">
        <w:rPr>
          <w:bCs/>
          <w:color w:val="000000" w:themeColor="text1"/>
        </w:rPr>
        <w:t xml:space="preserve"> </w:t>
      </w:r>
      <w:r w:rsidR="00ED1B83" w:rsidRPr="00A52AB8">
        <w:rPr>
          <w:bCs/>
          <w:color w:val="000000" w:themeColor="text1"/>
        </w:rPr>
        <w:t>are also characterized as either dynamic or static, depending on whether they are targeting dynamic or static, i.e. single, volumetric frame applications.</w:t>
      </w:r>
    </w:p>
    <w:p w14:paraId="65A063C0" w14:textId="24CA156F" w:rsidR="00535D94" w:rsidRPr="00A52AB8" w:rsidRDefault="00BD5E20">
      <w:pPr>
        <w:jc w:val="center"/>
        <w:rPr>
          <w:b/>
          <w:bCs/>
          <w:sz w:val="21"/>
          <w:szCs w:val="18"/>
        </w:rPr>
      </w:pPr>
      <w:bookmarkStart w:id="4603" w:name="_Ref21445081"/>
      <w:r w:rsidRPr="00A52AB8">
        <w:rPr>
          <w:b/>
        </w:rPr>
        <w:t>Table A</w:t>
      </w:r>
      <w:r w:rsidR="00C9791F" w:rsidRPr="00A52AB8">
        <w:rPr>
          <w:b/>
        </w:rPr>
        <w:t>-</w:t>
      </w:r>
      <w:r w:rsidRPr="00496A4D">
        <w:rPr>
          <w:b/>
        </w:rPr>
        <w:fldChar w:fldCharType="begin"/>
      </w:r>
      <w:r w:rsidRPr="00A52AB8">
        <w:rPr>
          <w:b/>
        </w:rPr>
        <w:instrText xml:space="preserve"> SEQ Table \* ARABIC \s 1 </w:instrText>
      </w:r>
      <w:r w:rsidRPr="00496A4D">
        <w:rPr>
          <w:b/>
        </w:rPr>
        <w:fldChar w:fldCharType="separate"/>
      </w:r>
      <w:r w:rsidR="00507A67">
        <w:rPr>
          <w:b/>
          <w:noProof/>
        </w:rPr>
        <w:t>3</w:t>
      </w:r>
      <w:r w:rsidRPr="00496A4D">
        <w:rPr>
          <w:b/>
        </w:rPr>
        <w:fldChar w:fldCharType="end"/>
      </w:r>
      <w:bookmarkEnd w:id="4603"/>
      <w:r w:rsidR="001604C8" w:rsidRPr="00A52AB8">
        <w:rPr>
          <w:rFonts w:cs="Calibri"/>
          <w:bCs/>
        </w:rPr>
        <w:t> </w:t>
      </w:r>
      <w:r w:rsidR="001604C8" w:rsidRPr="00A52AB8">
        <w:t>– </w:t>
      </w:r>
      <w:r w:rsidR="00535D94" w:rsidRPr="00A52AB8">
        <w:rPr>
          <w:b/>
          <w:bCs/>
          <w:sz w:val="21"/>
          <w:szCs w:val="21"/>
        </w:rPr>
        <w:t>Available toolset profile components</w:t>
      </w:r>
    </w:p>
    <w:tbl>
      <w:tblPr>
        <w:tblW w:w="93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01"/>
        <w:gridCol w:w="2821"/>
        <w:gridCol w:w="2771"/>
        <w:gridCol w:w="1380"/>
      </w:tblGrid>
      <w:tr w:rsidR="00ED1B83" w:rsidRPr="00A52AB8" w14:paraId="65B35462" w14:textId="72C116A4" w:rsidTr="00ED1B83">
        <w:trPr>
          <w:trHeight w:val="90"/>
          <w:jc w:val="center"/>
        </w:trPr>
        <w:tc>
          <w:tcPr>
            <w:tcW w:w="2401" w:type="dxa"/>
            <w:hideMark/>
          </w:tcPr>
          <w:p w14:paraId="39A43C39" w14:textId="77777777" w:rsidR="00ED1B83" w:rsidRPr="00A52AB8" w:rsidRDefault="00ED1B83" w:rsidP="00ED1B83">
            <w:pPr>
              <w:autoSpaceDE w:val="0"/>
              <w:autoSpaceDN w:val="0"/>
              <w:adjustRightInd w:val="0"/>
              <w:spacing w:after="0" w:line="240" w:lineRule="auto"/>
              <w:jc w:val="center"/>
              <w:rPr>
                <w:rFonts w:eastAsia="Times New Roman"/>
                <w:color w:val="000000"/>
                <w:sz w:val="20"/>
                <w:szCs w:val="20"/>
              </w:rPr>
            </w:pPr>
            <w:r w:rsidRPr="00A52AB8">
              <w:rPr>
                <w:rFonts w:eastAsia="Times New Roman"/>
                <w:b/>
                <w:color w:val="000000" w:themeColor="text1"/>
                <w:sz w:val="20"/>
                <w:szCs w:val="20"/>
              </w:rPr>
              <w:t>ptl_profile_toolset_idc</w:t>
            </w:r>
          </w:p>
        </w:tc>
        <w:tc>
          <w:tcPr>
            <w:tcW w:w="2821" w:type="dxa"/>
          </w:tcPr>
          <w:p w14:paraId="57636BD9" w14:textId="7144BB6D" w:rsidR="00ED1B83" w:rsidRPr="00A52AB8" w:rsidRDefault="00ED1B83" w:rsidP="00ED1B83">
            <w:pPr>
              <w:autoSpaceDE w:val="0"/>
              <w:autoSpaceDN w:val="0"/>
              <w:adjustRightInd w:val="0"/>
              <w:spacing w:after="0" w:line="240" w:lineRule="auto"/>
              <w:jc w:val="center"/>
              <w:rPr>
                <w:rFonts w:eastAsia="Times New Roman"/>
                <w:b/>
                <w:color w:val="000000"/>
                <w:sz w:val="20"/>
                <w:szCs w:val="20"/>
              </w:rPr>
            </w:pPr>
            <w:r w:rsidRPr="00A52AB8">
              <w:rPr>
                <w:b/>
                <w:color w:val="000000" w:themeColor="text1"/>
                <w:sz w:val="20"/>
                <w:szCs w:val="20"/>
              </w:rPr>
              <w:t>ptc_one_v3c_frame_only_flag</w:t>
            </w:r>
          </w:p>
        </w:tc>
        <w:tc>
          <w:tcPr>
            <w:tcW w:w="2771" w:type="dxa"/>
          </w:tcPr>
          <w:p w14:paraId="11F2CF6E" w14:textId="7C4E36C0" w:rsidR="00ED1B83" w:rsidRPr="00A52AB8" w:rsidRDefault="00ED1B83" w:rsidP="00ED1B83">
            <w:pPr>
              <w:autoSpaceDE w:val="0"/>
              <w:autoSpaceDN w:val="0"/>
              <w:adjustRightInd w:val="0"/>
              <w:spacing w:after="0" w:line="240" w:lineRule="auto"/>
              <w:jc w:val="center"/>
              <w:rPr>
                <w:rFonts w:eastAsia="Times New Roman"/>
                <w:b/>
                <w:color w:val="000000"/>
                <w:sz w:val="20"/>
                <w:szCs w:val="20"/>
              </w:rPr>
            </w:pPr>
            <w:r w:rsidRPr="00A52AB8">
              <w:rPr>
                <w:rFonts w:eastAsia="Times New Roman"/>
                <w:b/>
                <w:color w:val="000000"/>
                <w:sz w:val="20"/>
                <w:szCs w:val="20"/>
              </w:rPr>
              <w:t>Toolset profile component</w:t>
            </w:r>
          </w:p>
        </w:tc>
        <w:tc>
          <w:tcPr>
            <w:tcW w:w="1380" w:type="dxa"/>
          </w:tcPr>
          <w:p w14:paraId="25C8DE5F" w14:textId="0A49268F" w:rsidR="00ED1B83" w:rsidRPr="00A52AB8" w:rsidRDefault="00ED1B83" w:rsidP="00ED1B83">
            <w:pPr>
              <w:autoSpaceDE w:val="0"/>
              <w:autoSpaceDN w:val="0"/>
              <w:adjustRightInd w:val="0"/>
              <w:spacing w:after="0" w:line="240" w:lineRule="auto"/>
              <w:jc w:val="center"/>
              <w:rPr>
                <w:rFonts w:eastAsia="Times New Roman"/>
                <w:b/>
                <w:color w:val="000000"/>
                <w:sz w:val="20"/>
                <w:szCs w:val="20"/>
              </w:rPr>
            </w:pPr>
            <w:r w:rsidRPr="00A52AB8">
              <w:rPr>
                <w:rFonts w:eastAsia="Times New Roman"/>
                <w:b/>
                <w:color w:val="000000"/>
                <w:sz w:val="20"/>
                <w:szCs w:val="20"/>
              </w:rPr>
              <w:t>Type</w:t>
            </w:r>
          </w:p>
        </w:tc>
      </w:tr>
      <w:tr w:rsidR="00ED1B83" w:rsidRPr="00A52AB8" w14:paraId="1B697E00" w14:textId="1A5C2FEC" w:rsidTr="00007BE2">
        <w:trPr>
          <w:trHeight w:val="90"/>
          <w:jc w:val="center"/>
        </w:trPr>
        <w:tc>
          <w:tcPr>
            <w:tcW w:w="2401" w:type="dxa"/>
            <w:vMerge w:val="restart"/>
            <w:vAlign w:val="center"/>
            <w:hideMark/>
          </w:tcPr>
          <w:p w14:paraId="768D2AFA" w14:textId="09A1C648" w:rsidR="00ED1B83" w:rsidRPr="00A52AB8" w:rsidRDefault="00ED1B83" w:rsidP="0078284A">
            <w:pPr>
              <w:autoSpaceDE w:val="0"/>
              <w:autoSpaceDN w:val="0"/>
              <w:adjustRightInd w:val="0"/>
              <w:spacing w:after="0" w:line="240" w:lineRule="auto"/>
              <w:jc w:val="center"/>
              <w:rPr>
                <w:rFonts w:eastAsia="Times New Roman"/>
                <w:color w:val="000000"/>
                <w:sz w:val="20"/>
                <w:szCs w:val="20"/>
              </w:rPr>
            </w:pPr>
            <w:r w:rsidRPr="00A52AB8">
              <w:rPr>
                <w:rFonts w:eastAsia="Times New Roman"/>
                <w:color w:val="000000"/>
                <w:sz w:val="20"/>
                <w:szCs w:val="20"/>
              </w:rPr>
              <w:t>0</w:t>
            </w:r>
          </w:p>
        </w:tc>
        <w:tc>
          <w:tcPr>
            <w:tcW w:w="2821" w:type="dxa"/>
            <w:vAlign w:val="center"/>
          </w:tcPr>
          <w:p w14:paraId="0F9DD5E8" w14:textId="74D72EC5" w:rsidR="00ED1B83" w:rsidRPr="00A52AB8" w:rsidRDefault="00ED1B83" w:rsidP="0041195E">
            <w:pPr>
              <w:autoSpaceDE w:val="0"/>
              <w:autoSpaceDN w:val="0"/>
              <w:adjustRightInd w:val="0"/>
              <w:spacing w:after="0" w:line="240" w:lineRule="auto"/>
              <w:jc w:val="center"/>
              <w:rPr>
                <w:rFonts w:eastAsia="Times New Roman"/>
                <w:color w:val="000000"/>
                <w:sz w:val="20"/>
                <w:szCs w:val="20"/>
              </w:rPr>
            </w:pPr>
            <w:r w:rsidRPr="00A52AB8">
              <w:rPr>
                <w:rFonts w:eastAsia="Times New Roman"/>
                <w:color w:val="000000"/>
                <w:sz w:val="20"/>
                <w:szCs w:val="20"/>
              </w:rPr>
              <w:t>0</w:t>
            </w:r>
          </w:p>
        </w:tc>
        <w:tc>
          <w:tcPr>
            <w:tcW w:w="2771" w:type="dxa"/>
            <w:vAlign w:val="center"/>
          </w:tcPr>
          <w:p w14:paraId="15711121" w14:textId="461B0BDF" w:rsidR="00ED1B83" w:rsidRPr="00A52AB8" w:rsidRDefault="00ED1B83">
            <w:pPr>
              <w:autoSpaceDE w:val="0"/>
              <w:autoSpaceDN w:val="0"/>
              <w:adjustRightInd w:val="0"/>
              <w:spacing w:after="0" w:line="240" w:lineRule="auto"/>
              <w:jc w:val="center"/>
              <w:rPr>
                <w:rFonts w:eastAsia="Times New Roman"/>
                <w:color w:val="000000"/>
                <w:sz w:val="20"/>
                <w:szCs w:val="20"/>
              </w:rPr>
            </w:pPr>
            <w:r w:rsidRPr="00A52AB8">
              <w:rPr>
                <w:rFonts w:eastAsia="Times New Roman"/>
                <w:color w:val="000000"/>
                <w:sz w:val="20"/>
                <w:szCs w:val="20"/>
              </w:rPr>
              <w:t>V-PCC Basic</w:t>
            </w:r>
            <w:r w:rsidRPr="00A52AB8">
              <w:rPr>
                <w:rFonts w:eastAsia="Times New Roman"/>
                <w:color w:val="000000"/>
                <w:sz w:val="20"/>
                <w:szCs w:val="20"/>
              </w:rPr>
              <w:br/>
            </w:r>
            <w:r w:rsidRPr="00A52AB8" w:rsidDel="00ED1B83">
              <w:rPr>
                <w:rFonts w:eastAsia="Times New Roman"/>
                <w:color w:val="000000"/>
                <w:sz w:val="20"/>
                <w:szCs w:val="20"/>
              </w:rPr>
              <w:t xml:space="preserve"> </w:t>
            </w:r>
            <w:r w:rsidRPr="00A52AB8">
              <w:rPr>
                <w:sz w:val="20"/>
                <w:szCs w:val="20"/>
              </w:rPr>
              <w:t xml:space="preserve">/* Specified in </w:t>
            </w:r>
            <w:r w:rsidRPr="00496A4D">
              <w:rPr>
                <w:sz w:val="20"/>
                <w:szCs w:val="20"/>
              </w:rPr>
              <w:fldChar w:fldCharType="begin"/>
            </w:r>
            <w:r w:rsidRPr="00A52AB8">
              <w:rPr>
                <w:sz w:val="20"/>
                <w:szCs w:val="20"/>
              </w:rPr>
              <w:instrText xml:space="preserve"> REF _Ref44433898 \r \h  \* MERGEFORMAT </w:instrText>
            </w:r>
            <w:r w:rsidRPr="00496A4D">
              <w:rPr>
                <w:sz w:val="20"/>
                <w:szCs w:val="20"/>
              </w:rPr>
            </w:r>
            <w:r w:rsidRPr="00496A4D">
              <w:rPr>
                <w:sz w:val="20"/>
                <w:szCs w:val="20"/>
              </w:rPr>
              <w:fldChar w:fldCharType="separate"/>
            </w:r>
            <w:r w:rsidR="00507A67">
              <w:rPr>
                <w:sz w:val="20"/>
                <w:szCs w:val="20"/>
              </w:rPr>
              <w:t>Annex H</w:t>
            </w:r>
            <w:r w:rsidRPr="00496A4D">
              <w:rPr>
                <w:sz w:val="20"/>
                <w:szCs w:val="20"/>
              </w:rPr>
              <w:fldChar w:fldCharType="end"/>
            </w:r>
            <w:r w:rsidRPr="00A52AB8">
              <w:rPr>
                <w:sz w:val="20"/>
                <w:szCs w:val="20"/>
              </w:rPr>
              <w:t>*/</w:t>
            </w:r>
          </w:p>
        </w:tc>
        <w:tc>
          <w:tcPr>
            <w:tcW w:w="1380" w:type="dxa"/>
            <w:vAlign w:val="center"/>
          </w:tcPr>
          <w:p w14:paraId="0C373AE7" w14:textId="29394A0E" w:rsidR="00ED1B83" w:rsidRPr="00A52AB8" w:rsidRDefault="00ED1B83">
            <w:pPr>
              <w:autoSpaceDE w:val="0"/>
              <w:autoSpaceDN w:val="0"/>
              <w:adjustRightInd w:val="0"/>
              <w:spacing w:after="0" w:line="240" w:lineRule="auto"/>
              <w:jc w:val="center"/>
              <w:rPr>
                <w:rFonts w:eastAsia="Times New Roman"/>
                <w:color w:val="000000"/>
                <w:sz w:val="20"/>
                <w:szCs w:val="20"/>
              </w:rPr>
            </w:pPr>
            <w:r w:rsidRPr="00A52AB8">
              <w:rPr>
                <w:rFonts w:eastAsia="Times New Roman"/>
                <w:color w:val="000000"/>
                <w:sz w:val="20"/>
                <w:szCs w:val="20"/>
              </w:rPr>
              <w:t>Dynamic</w:t>
            </w:r>
          </w:p>
        </w:tc>
      </w:tr>
      <w:tr w:rsidR="00ED1B83" w:rsidRPr="00A52AB8" w14:paraId="057DD658" w14:textId="77777777" w:rsidTr="00007BE2">
        <w:trPr>
          <w:trHeight w:val="90"/>
          <w:jc w:val="center"/>
        </w:trPr>
        <w:tc>
          <w:tcPr>
            <w:tcW w:w="2401" w:type="dxa"/>
            <w:vMerge/>
            <w:vAlign w:val="center"/>
          </w:tcPr>
          <w:p w14:paraId="1141658B" w14:textId="77777777" w:rsidR="00ED1B83" w:rsidRPr="00A52AB8" w:rsidRDefault="00ED1B83">
            <w:pPr>
              <w:autoSpaceDE w:val="0"/>
              <w:autoSpaceDN w:val="0"/>
              <w:adjustRightInd w:val="0"/>
              <w:spacing w:after="0" w:line="240" w:lineRule="auto"/>
              <w:jc w:val="center"/>
              <w:rPr>
                <w:rFonts w:eastAsia="Times New Roman"/>
                <w:color w:val="000000"/>
                <w:sz w:val="20"/>
                <w:szCs w:val="20"/>
              </w:rPr>
            </w:pPr>
          </w:p>
        </w:tc>
        <w:tc>
          <w:tcPr>
            <w:tcW w:w="2821" w:type="dxa"/>
            <w:vAlign w:val="center"/>
          </w:tcPr>
          <w:p w14:paraId="3EF1119A" w14:textId="7E2A243D" w:rsidR="00ED1B83" w:rsidRPr="00A52AB8" w:rsidRDefault="00ED1B83">
            <w:pPr>
              <w:autoSpaceDE w:val="0"/>
              <w:autoSpaceDN w:val="0"/>
              <w:adjustRightInd w:val="0"/>
              <w:spacing w:after="0" w:line="240" w:lineRule="auto"/>
              <w:jc w:val="center"/>
              <w:rPr>
                <w:rFonts w:eastAsia="Times New Roman"/>
                <w:color w:val="000000"/>
                <w:sz w:val="20"/>
                <w:szCs w:val="20"/>
              </w:rPr>
            </w:pPr>
            <w:r w:rsidRPr="00A52AB8">
              <w:rPr>
                <w:rFonts w:eastAsia="Times New Roman"/>
                <w:color w:val="000000"/>
                <w:sz w:val="20"/>
                <w:szCs w:val="20"/>
              </w:rPr>
              <w:t>1</w:t>
            </w:r>
          </w:p>
        </w:tc>
        <w:tc>
          <w:tcPr>
            <w:tcW w:w="2771" w:type="dxa"/>
            <w:vAlign w:val="center"/>
          </w:tcPr>
          <w:p w14:paraId="0F167CDC" w14:textId="11ED22AC" w:rsidR="00ED1B83" w:rsidRPr="00A52AB8" w:rsidRDefault="00ED1B83">
            <w:pPr>
              <w:autoSpaceDE w:val="0"/>
              <w:autoSpaceDN w:val="0"/>
              <w:adjustRightInd w:val="0"/>
              <w:spacing w:after="0" w:line="240" w:lineRule="auto"/>
              <w:jc w:val="center"/>
              <w:rPr>
                <w:rFonts w:eastAsia="Times New Roman"/>
                <w:color w:val="000000"/>
                <w:sz w:val="20"/>
                <w:szCs w:val="20"/>
              </w:rPr>
            </w:pPr>
            <w:r w:rsidRPr="00A52AB8">
              <w:rPr>
                <w:rFonts w:eastAsia="Times New Roman"/>
                <w:color w:val="000000"/>
                <w:sz w:val="20"/>
                <w:szCs w:val="20"/>
              </w:rPr>
              <w:t>V-PCC Basic Still</w:t>
            </w:r>
            <w:r w:rsidRPr="00A52AB8">
              <w:rPr>
                <w:rFonts w:eastAsia="Times New Roman"/>
                <w:color w:val="000000"/>
                <w:sz w:val="20"/>
                <w:szCs w:val="20"/>
              </w:rPr>
              <w:br/>
            </w:r>
            <w:r w:rsidRPr="00A52AB8">
              <w:rPr>
                <w:sz w:val="20"/>
                <w:szCs w:val="20"/>
              </w:rPr>
              <w:t xml:space="preserve">/* Specified in </w:t>
            </w:r>
            <w:r w:rsidRPr="00496A4D">
              <w:rPr>
                <w:sz w:val="20"/>
                <w:szCs w:val="20"/>
              </w:rPr>
              <w:fldChar w:fldCharType="begin"/>
            </w:r>
            <w:r w:rsidRPr="00A52AB8">
              <w:rPr>
                <w:sz w:val="20"/>
                <w:szCs w:val="20"/>
              </w:rPr>
              <w:instrText xml:space="preserve"> REF _Ref44433898 \r \h  \* MERGEFORMAT </w:instrText>
            </w:r>
            <w:r w:rsidRPr="00496A4D">
              <w:rPr>
                <w:sz w:val="20"/>
                <w:szCs w:val="20"/>
              </w:rPr>
            </w:r>
            <w:r w:rsidRPr="00496A4D">
              <w:rPr>
                <w:sz w:val="20"/>
                <w:szCs w:val="20"/>
              </w:rPr>
              <w:fldChar w:fldCharType="separate"/>
            </w:r>
            <w:r w:rsidR="00507A67">
              <w:rPr>
                <w:sz w:val="20"/>
                <w:szCs w:val="20"/>
              </w:rPr>
              <w:t>Annex H</w:t>
            </w:r>
            <w:r w:rsidRPr="00496A4D">
              <w:rPr>
                <w:sz w:val="20"/>
                <w:szCs w:val="20"/>
              </w:rPr>
              <w:fldChar w:fldCharType="end"/>
            </w:r>
            <w:r w:rsidRPr="00A52AB8">
              <w:rPr>
                <w:sz w:val="20"/>
                <w:szCs w:val="20"/>
              </w:rPr>
              <w:t>*/</w:t>
            </w:r>
          </w:p>
        </w:tc>
        <w:tc>
          <w:tcPr>
            <w:tcW w:w="1380" w:type="dxa"/>
            <w:vAlign w:val="center"/>
          </w:tcPr>
          <w:p w14:paraId="27E7E42E" w14:textId="7447FFA9" w:rsidR="00ED1B83" w:rsidRPr="00A52AB8" w:rsidRDefault="00ED1B83">
            <w:pPr>
              <w:autoSpaceDE w:val="0"/>
              <w:autoSpaceDN w:val="0"/>
              <w:adjustRightInd w:val="0"/>
              <w:spacing w:after="0" w:line="240" w:lineRule="auto"/>
              <w:jc w:val="center"/>
              <w:rPr>
                <w:rFonts w:eastAsia="Times New Roman"/>
                <w:color w:val="000000"/>
                <w:sz w:val="20"/>
                <w:szCs w:val="20"/>
              </w:rPr>
            </w:pPr>
            <w:r w:rsidRPr="00A52AB8">
              <w:rPr>
                <w:rFonts w:eastAsia="Times New Roman"/>
                <w:color w:val="000000"/>
                <w:sz w:val="20"/>
                <w:szCs w:val="20"/>
              </w:rPr>
              <w:t>Static</w:t>
            </w:r>
          </w:p>
        </w:tc>
      </w:tr>
      <w:tr w:rsidR="00ED1B83" w:rsidRPr="00A52AB8" w14:paraId="505FFF47" w14:textId="73EAD1D5" w:rsidTr="00007BE2">
        <w:trPr>
          <w:trHeight w:val="90"/>
          <w:jc w:val="center"/>
        </w:trPr>
        <w:tc>
          <w:tcPr>
            <w:tcW w:w="2401" w:type="dxa"/>
            <w:vMerge w:val="restart"/>
            <w:vAlign w:val="center"/>
          </w:tcPr>
          <w:p w14:paraId="3D2A97D8" w14:textId="50968157" w:rsidR="00ED1B83" w:rsidRPr="00A52AB8" w:rsidRDefault="00ED1B83" w:rsidP="0078284A">
            <w:pPr>
              <w:autoSpaceDE w:val="0"/>
              <w:autoSpaceDN w:val="0"/>
              <w:adjustRightInd w:val="0"/>
              <w:spacing w:after="0" w:line="240" w:lineRule="auto"/>
              <w:jc w:val="center"/>
              <w:rPr>
                <w:rFonts w:eastAsia="Times New Roman"/>
                <w:color w:val="000000"/>
                <w:sz w:val="20"/>
                <w:szCs w:val="20"/>
              </w:rPr>
            </w:pPr>
            <w:r w:rsidRPr="00A52AB8">
              <w:rPr>
                <w:rFonts w:eastAsia="Times New Roman"/>
                <w:color w:val="000000"/>
                <w:sz w:val="20"/>
                <w:szCs w:val="20"/>
              </w:rPr>
              <w:t>1</w:t>
            </w:r>
          </w:p>
        </w:tc>
        <w:tc>
          <w:tcPr>
            <w:tcW w:w="2821" w:type="dxa"/>
            <w:vAlign w:val="center"/>
          </w:tcPr>
          <w:p w14:paraId="5E311A19" w14:textId="04AA1C8F" w:rsidR="00ED1B83" w:rsidRPr="00A52AB8" w:rsidRDefault="00ED1B83" w:rsidP="0041195E">
            <w:pPr>
              <w:autoSpaceDE w:val="0"/>
              <w:autoSpaceDN w:val="0"/>
              <w:adjustRightInd w:val="0"/>
              <w:spacing w:after="0" w:line="240" w:lineRule="auto"/>
              <w:jc w:val="center"/>
              <w:rPr>
                <w:rFonts w:eastAsia="Times New Roman"/>
                <w:color w:val="000000"/>
                <w:sz w:val="20"/>
                <w:szCs w:val="20"/>
              </w:rPr>
            </w:pPr>
            <w:r w:rsidRPr="00A52AB8">
              <w:rPr>
                <w:rFonts w:eastAsia="Times New Roman"/>
                <w:color w:val="000000"/>
                <w:sz w:val="20"/>
                <w:szCs w:val="20"/>
              </w:rPr>
              <w:t>0</w:t>
            </w:r>
          </w:p>
        </w:tc>
        <w:tc>
          <w:tcPr>
            <w:tcW w:w="2771" w:type="dxa"/>
            <w:vAlign w:val="center"/>
          </w:tcPr>
          <w:p w14:paraId="3A39DF5B" w14:textId="2FB389D4" w:rsidR="00ED1B83" w:rsidRPr="00A52AB8" w:rsidRDefault="00ED1B83">
            <w:pPr>
              <w:autoSpaceDE w:val="0"/>
              <w:autoSpaceDN w:val="0"/>
              <w:adjustRightInd w:val="0"/>
              <w:spacing w:after="0" w:line="240" w:lineRule="auto"/>
              <w:jc w:val="center"/>
              <w:rPr>
                <w:rFonts w:eastAsia="Times New Roman"/>
                <w:color w:val="000000"/>
                <w:sz w:val="20"/>
                <w:szCs w:val="20"/>
              </w:rPr>
            </w:pPr>
            <w:r w:rsidRPr="00A52AB8">
              <w:rPr>
                <w:rFonts w:eastAsia="Times New Roman"/>
                <w:color w:val="000000"/>
                <w:sz w:val="20"/>
                <w:szCs w:val="20"/>
              </w:rPr>
              <w:t>V-PCC Extended</w:t>
            </w:r>
            <w:r w:rsidRPr="00A52AB8">
              <w:rPr>
                <w:rFonts w:eastAsia="Times New Roman"/>
                <w:color w:val="000000"/>
                <w:sz w:val="20"/>
                <w:szCs w:val="20"/>
              </w:rPr>
              <w:br/>
            </w:r>
            <w:r w:rsidRPr="00A52AB8">
              <w:rPr>
                <w:sz w:val="20"/>
                <w:szCs w:val="20"/>
              </w:rPr>
              <w:t xml:space="preserve">/* Specified in </w:t>
            </w:r>
            <w:r w:rsidRPr="00496A4D">
              <w:rPr>
                <w:sz w:val="20"/>
                <w:szCs w:val="20"/>
              </w:rPr>
              <w:fldChar w:fldCharType="begin"/>
            </w:r>
            <w:r w:rsidRPr="00A52AB8">
              <w:rPr>
                <w:sz w:val="20"/>
                <w:szCs w:val="20"/>
              </w:rPr>
              <w:instrText xml:space="preserve"> REF _Ref44433898 \r \h  \* MERGEFORMAT </w:instrText>
            </w:r>
            <w:r w:rsidRPr="00496A4D">
              <w:rPr>
                <w:sz w:val="20"/>
                <w:szCs w:val="20"/>
              </w:rPr>
            </w:r>
            <w:r w:rsidRPr="00496A4D">
              <w:rPr>
                <w:sz w:val="20"/>
                <w:szCs w:val="20"/>
              </w:rPr>
              <w:fldChar w:fldCharType="separate"/>
            </w:r>
            <w:r w:rsidR="00507A67">
              <w:rPr>
                <w:sz w:val="20"/>
                <w:szCs w:val="20"/>
              </w:rPr>
              <w:t>Annex H</w:t>
            </w:r>
            <w:r w:rsidRPr="00496A4D">
              <w:rPr>
                <w:sz w:val="20"/>
                <w:szCs w:val="20"/>
              </w:rPr>
              <w:fldChar w:fldCharType="end"/>
            </w:r>
            <w:r w:rsidRPr="00A52AB8">
              <w:rPr>
                <w:sz w:val="20"/>
                <w:szCs w:val="20"/>
              </w:rPr>
              <w:t>*/</w:t>
            </w:r>
          </w:p>
        </w:tc>
        <w:tc>
          <w:tcPr>
            <w:tcW w:w="1380" w:type="dxa"/>
            <w:vAlign w:val="center"/>
          </w:tcPr>
          <w:p w14:paraId="00AF0204" w14:textId="12429E6C" w:rsidR="00ED1B83" w:rsidRPr="00A52AB8" w:rsidRDefault="00ED1B83">
            <w:pPr>
              <w:autoSpaceDE w:val="0"/>
              <w:autoSpaceDN w:val="0"/>
              <w:adjustRightInd w:val="0"/>
              <w:spacing w:after="0" w:line="240" w:lineRule="auto"/>
              <w:jc w:val="center"/>
              <w:rPr>
                <w:rFonts w:eastAsia="Times New Roman"/>
                <w:color w:val="000000"/>
                <w:sz w:val="20"/>
                <w:szCs w:val="20"/>
              </w:rPr>
            </w:pPr>
            <w:r w:rsidRPr="00A52AB8">
              <w:rPr>
                <w:rFonts w:eastAsia="Times New Roman"/>
                <w:color w:val="000000"/>
                <w:sz w:val="20"/>
                <w:szCs w:val="20"/>
              </w:rPr>
              <w:t>Dynamic</w:t>
            </w:r>
          </w:p>
        </w:tc>
      </w:tr>
      <w:tr w:rsidR="00ED1B83" w:rsidRPr="00A52AB8" w14:paraId="0DBE664A" w14:textId="77777777" w:rsidTr="00007BE2">
        <w:trPr>
          <w:trHeight w:val="90"/>
          <w:jc w:val="center"/>
        </w:trPr>
        <w:tc>
          <w:tcPr>
            <w:tcW w:w="2401" w:type="dxa"/>
            <w:vMerge/>
            <w:vAlign w:val="center"/>
          </w:tcPr>
          <w:p w14:paraId="1DC2E10B" w14:textId="77777777" w:rsidR="00ED1B83" w:rsidRPr="00A52AB8" w:rsidRDefault="00ED1B83">
            <w:pPr>
              <w:autoSpaceDE w:val="0"/>
              <w:autoSpaceDN w:val="0"/>
              <w:adjustRightInd w:val="0"/>
              <w:spacing w:after="0" w:line="240" w:lineRule="auto"/>
              <w:jc w:val="center"/>
              <w:rPr>
                <w:rFonts w:eastAsia="Times New Roman"/>
                <w:color w:val="000000"/>
                <w:sz w:val="20"/>
                <w:szCs w:val="20"/>
              </w:rPr>
            </w:pPr>
          </w:p>
        </w:tc>
        <w:tc>
          <w:tcPr>
            <w:tcW w:w="2821" w:type="dxa"/>
            <w:vAlign w:val="center"/>
          </w:tcPr>
          <w:p w14:paraId="584034E4" w14:textId="0D163B98" w:rsidR="00ED1B83" w:rsidRPr="00A52AB8" w:rsidRDefault="00ED1B83">
            <w:pPr>
              <w:autoSpaceDE w:val="0"/>
              <w:autoSpaceDN w:val="0"/>
              <w:adjustRightInd w:val="0"/>
              <w:spacing w:after="0" w:line="240" w:lineRule="auto"/>
              <w:jc w:val="center"/>
              <w:rPr>
                <w:rFonts w:eastAsia="Times New Roman"/>
                <w:color w:val="000000"/>
                <w:sz w:val="20"/>
                <w:szCs w:val="20"/>
              </w:rPr>
            </w:pPr>
            <w:r w:rsidRPr="00A52AB8">
              <w:rPr>
                <w:rFonts w:eastAsia="Times New Roman"/>
                <w:color w:val="000000"/>
                <w:sz w:val="20"/>
                <w:szCs w:val="20"/>
              </w:rPr>
              <w:t>1</w:t>
            </w:r>
          </w:p>
        </w:tc>
        <w:tc>
          <w:tcPr>
            <w:tcW w:w="2771" w:type="dxa"/>
            <w:vAlign w:val="center"/>
          </w:tcPr>
          <w:p w14:paraId="3239FD20" w14:textId="4DA2A062" w:rsidR="00ED1B83" w:rsidRPr="00A52AB8" w:rsidRDefault="00ED1B83">
            <w:pPr>
              <w:autoSpaceDE w:val="0"/>
              <w:autoSpaceDN w:val="0"/>
              <w:adjustRightInd w:val="0"/>
              <w:spacing w:after="0" w:line="240" w:lineRule="auto"/>
              <w:jc w:val="center"/>
              <w:rPr>
                <w:rFonts w:eastAsia="Times New Roman"/>
                <w:color w:val="000000"/>
                <w:sz w:val="20"/>
                <w:szCs w:val="20"/>
              </w:rPr>
            </w:pPr>
            <w:r w:rsidRPr="00A52AB8">
              <w:rPr>
                <w:rFonts w:eastAsia="Times New Roman"/>
                <w:color w:val="000000"/>
                <w:sz w:val="20"/>
                <w:szCs w:val="20"/>
              </w:rPr>
              <w:t>V-PCC Extended Still</w:t>
            </w:r>
            <w:r w:rsidRPr="00A52AB8">
              <w:rPr>
                <w:rFonts w:eastAsia="Times New Roman"/>
                <w:color w:val="000000"/>
                <w:sz w:val="20"/>
                <w:szCs w:val="20"/>
              </w:rPr>
              <w:br/>
            </w:r>
            <w:r w:rsidRPr="00A52AB8">
              <w:rPr>
                <w:sz w:val="20"/>
                <w:szCs w:val="20"/>
              </w:rPr>
              <w:t xml:space="preserve">/* Specified in </w:t>
            </w:r>
            <w:r w:rsidRPr="00496A4D">
              <w:rPr>
                <w:sz w:val="20"/>
                <w:szCs w:val="20"/>
              </w:rPr>
              <w:fldChar w:fldCharType="begin"/>
            </w:r>
            <w:r w:rsidRPr="00A52AB8">
              <w:rPr>
                <w:sz w:val="20"/>
                <w:szCs w:val="20"/>
              </w:rPr>
              <w:instrText xml:space="preserve"> REF _Ref44433898 \r \h  \* MERGEFORMAT </w:instrText>
            </w:r>
            <w:r w:rsidRPr="00496A4D">
              <w:rPr>
                <w:sz w:val="20"/>
                <w:szCs w:val="20"/>
              </w:rPr>
            </w:r>
            <w:r w:rsidRPr="00496A4D">
              <w:rPr>
                <w:sz w:val="20"/>
                <w:szCs w:val="20"/>
              </w:rPr>
              <w:fldChar w:fldCharType="separate"/>
            </w:r>
            <w:r w:rsidR="00507A67">
              <w:rPr>
                <w:sz w:val="20"/>
                <w:szCs w:val="20"/>
              </w:rPr>
              <w:t>Annex H</w:t>
            </w:r>
            <w:r w:rsidRPr="00496A4D">
              <w:rPr>
                <w:sz w:val="20"/>
                <w:szCs w:val="20"/>
              </w:rPr>
              <w:fldChar w:fldCharType="end"/>
            </w:r>
            <w:r w:rsidRPr="00A52AB8">
              <w:rPr>
                <w:sz w:val="20"/>
                <w:szCs w:val="20"/>
              </w:rPr>
              <w:t>*/</w:t>
            </w:r>
          </w:p>
        </w:tc>
        <w:tc>
          <w:tcPr>
            <w:tcW w:w="1380" w:type="dxa"/>
            <w:vAlign w:val="center"/>
          </w:tcPr>
          <w:p w14:paraId="75B0767C" w14:textId="045B34CB" w:rsidR="00ED1B83" w:rsidRPr="00A52AB8" w:rsidRDefault="00ED1B83">
            <w:pPr>
              <w:autoSpaceDE w:val="0"/>
              <w:autoSpaceDN w:val="0"/>
              <w:adjustRightInd w:val="0"/>
              <w:spacing w:after="0" w:line="240" w:lineRule="auto"/>
              <w:jc w:val="center"/>
              <w:rPr>
                <w:rFonts w:eastAsia="Times New Roman"/>
                <w:color w:val="000000"/>
                <w:sz w:val="20"/>
                <w:szCs w:val="20"/>
              </w:rPr>
            </w:pPr>
            <w:r w:rsidRPr="00A52AB8">
              <w:rPr>
                <w:rFonts w:eastAsia="Times New Roman"/>
                <w:color w:val="000000"/>
                <w:sz w:val="20"/>
                <w:szCs w:val="20"/>
              </w:rPr>
              <w:t>Static</w:t>
            </w:r>
          </w:p>
        </w:tc>
      </w:tr>
      <w:tr w:rsidR="00EB25C5" w:rsidRPr="00A52AB8" w14:paraId="6B6865AD" w14:textId="77777777" w:rsidTr="00ED1B83">
        <w:trPr>
          <w:trHeight w:val="90"/>
          <w:jc w:val="center"/>
        </w:trPr>
        <w:tc>
          <w:tcPr>
            <w:tcW w:w="2401" w:type="dxa"/>
          </w:tcPr>
          <w:p w14:paraId="0429274B" w14:textId="3B9DA2AB" w:rsidR="00EB25C5" w:rsidRPr="00A52AB8" w:rsidRDefault="00EB25C5" w:rsidP="00ED1B83">
            <w:pPr>
              <w:autoSpaceDE w:val="0"/>
              <w:autoSpaceDN w:val="0"/>
              <w:adjustRightInd w:val="0"/>
              <w:spacing w:after="0" w:line="240" w:lineRule="auto"/>
              <w:jc w:val="center"/>
              <w:rPr>
                <w:rFonts w:eastAsia="Times New Roman"/>
                <w:color w:val="000000"/>
                <w:sz w:val="20"/>
                <w:szCs w:val="20"/>
              </w:rPr>
            </w:pPr>
            <w:r w:rsidRPr="00A52AB8">
              <w:rPr>
                <w:rFonts w:eastAsia="Times New Roman"/>
                <w:color w:val="000000"/>
                <w:sz w:val="20"/>
                <w:szCs w:val="20"/>
              </w:rPr>
              <w:t>64</w:t>
            </w:r>
          </w:p>
        </w:tc>
        <w:tc>
          <w:tcPr>
            <w:tcW w:w="2821" w:type="dxa"/>
          </w:tcPr>
          <w:p w14:paraId="39D512A8" w14:textId="29765A25" w:rsidR="00EB25C5" w:rsidRPr="00A52AB8" w:rsidRDefault="00EB25C5" w:rsidP="00ED1B83">
            <w:pPr>
              <w:autoSpaceDE w:val="0"/>
              <w:autoSpaceDN w:val="0"/>
              <w:adjustRightInd w:val="0"/>
              <w:spacing w:after="0" w:line="240" w:lineRule="auto"/>
              <w:jc w:val="center"/>
              <w:rPr>
                <w:rFonts w:eastAsia="Times New Roman"/>
                <w:color w:val="000000"/>
                <w:sz w:val="20"/>
                <w:szCs w:val="20"/>
              </w:rPr>
            </w:pPr>
            <w:r w:rsidRPr="00A52AB8">
              <w:rPr>
                <w:rFonts w:eastAsia="Times New Roman"/>
                <w:color w:val="000000"/>
                <w:sz w:val="20"/>
                <w:szCs w:val="20"/>
              </w:rPr>
              <w:t>0</w:t>
            </w:r>
          </w:p>
        </w:tc>
        <w:tc>
          <w:tcPr>
            <w:tcW w:w="2771" w:type="dxa"/>
          </w:tcPr>
          <w:p w14:paraId="3E398987" w14:textId="666E2FDC" w:rsidR="00EB25C5" w:rsidRPr="00A52AB8" w:rsidRDefault="00EB25C5" w:rsidP="00ED1B83">
            <w:pPr>
              <w:autoSpaceDE w:val="0"/>
              <w:autoSpaceDN w:val="0"/>
              <w:adjustRightInd w:val="0"/>
              <w:spacing w:after="0" w:line="240" w:lineRule="auto"/>
              <w:jc w:val="center"/>
              <w:rPr>
                <w:rFonts w:eastAsia="Times New Roman"/>
                <w:color w:val="000000"/>
                <w:sz w:val="20"/>
                <w:szCs w:val="20"/>
              </w:rPr>
            </w:pPr>
            <w:r w:rsidRPr="00A52AB8">
              <w:rPr>
                <w:rFonts w:eastAsia="Times New Roman"/>
                <w:color w:val="000000"/>
                <w:sz w:val="20"/>
                <w:szCs w:val="20"/>
              </w:rPr>
              <w:t>MIV Main</w:t>
            </w:r>
            <w:r w:rsidRPr="00A52AB8">
              <w:rPr>
                <w:rFonts w:eastAsia="Times New Roman"/>
                <w:color w:val="000000"/>
                <w:sz w:val="20"/>
                <w:szCs w:val="20"/>
              </w:rPr>
              <w:br/>
              <w:t>/* Specified in ISO/IEC 23090-12 */</w:t>
            </w:r>
          </w:p>
        </w:tc>
        <w:tc>
          <w:tcPr>
            <w:tcW w:w="1380" w:type="dxa"/>
          </w:tcPr>
          <w:p w14:paraId="405DD95C" w14:textId="5CF693F2" w:rsidR="00EB25C5" w:rsidRPr="00A52AB8" w:rsidRDefault="00EB25C5" w:rsidP="00ED1B83">
            <w:pPr>
              <w:autoSpaceDE w:val="0"/>
              <w:autoSpaceDN w:val="0"/>
              <w:adjustRightInd w:val="0"/>
              <w:spacing w:after="0" w:line="240" w:lineRule="auto"/>
              <w:jc w:val="center"/>
              <w:rPr>
                <w:rFonts w:eastAsia="Times New Roman"/>
                <w:color w:val="000000"/>
                <w:sz w:val="20"/>
                <w:szCs w:val="20"/>
              </w:rPr>
            </w:pPr>
            <w:r w:rsidRPr="00A52AB8">
              <w:rPr>
                <w:rFonts w:eastAsia="Times New Roman"/>
                <w:color w:val="000000"/>
                <w:sz w:val="20"/>
                <w:szCs w:val="20"/>
              </w:rPr>
              <w:t>Dynamic</w:t>
            </w:r>
          </w:p>
        </w:tc>
      </w:tr>
      <w:tr w:rsidR="00ED1B83" w:rsidRPr="00A52AB8" w14:paraId="0B271379" w14:textId="736664DB" w:rsidTr="00ED1B83">
        <w:trPr>
          <w:trHeight w:val="90"/>
          <w:jc w:val="center"/>
        </w:trPr>
        <w:tc>
          <w:tcPr>
            <w:tcW w:w="2401" w:type="dxa"/>
          </w:tcPr>
          <w:p w14:paraId="42AF6FDF" w14:textId="6BFBD55E" w:rsidR="00ED1B83" w:rsidRPr="00A52AB8" w:rsidRDefault="00ED1B83" w:rsidP="00ED1B83">
            <w:pPr>
              <w:autoSpaceDE w:val="0"/>
              <w:autoSpaceDN w:val="0"/>
              <w:adjustRightInd w:val="0"/>
              <w:spacing w:after="0" w:line="240" w:lineRule="auto"/>
              <w:jc w:val="center"/>
              <w:rPr>
                <w:rFonts w:eastAsia="Times New Roman"/>
                <w:color w:val="000000"/>
                <w:sz w:val="20"/>
                <w:szCs w:val="20"/>
              </w:rPr>
            </w:pPr>
            <w:r w:rsidRPr="00A52AB8">
              <w:rPr>
                <w:rFonts w:eastAsia="Times New Roman"/>
                <w:color w:val="000000"/>
                <w:sz w:val="20"/>
                <w:szCs w:val="20"/>
              </w:rPr>
              <w:t>2..255</w:t>
            </w:r>
          </w:p>
        </w:tc>
        <w:tc>
          <w:tcPr>
            <w:tcW w:w="2821" w:type="dxa"/>
          </w:tcPr>
          <w:p w14:paraId="040214D4" w14:textId="3A04F74F" w:rsidR="00ED1B83" w:rsidRPr="00A52AB8" w:rsidRDefault="00ED1B83" w:rsidP="00ED1B83">
            <w:pPr>
              <w:autoSpaceDE w:val="0"/>
              <w:autoSpaceDN w:val="0"/>
              <w:adjustRightInd w:val="0"/>
              <w:spacing w:after="0" w:line="240" w:lineRule="auto"/>
              <w:jc w:val="center"/>
              <w:rPr>
                <w:rFonts w:eastAsia="Times New Roman"/>
                <w:color w:val="000000"/>
                <w:sz w:val="20"/>
                <w:szCs w:val="20"/>
              </w:rPr>
            </w:pPr>
            <w:r w:rsidRPr="00A52AB8">
              <w:rPr>
                <w:rFonts w:eastAsia="Times New Roman"/>
                <w:color w:val="000000"/>
                <w:sz w:val="20"/>
                <w:szCs w:val="20"/>
              </w:rPr>
              <w:t>-</w:t>
            </w:r>
          </w:p>
        </w:tc>
        <w:tc>
          <w:tcPr>
            <w:tcW w:w="2771" w:type="dxa"/>
          </w:tcPr>
          <w:p w14:paraId="30DF938B" w14:textId="4A9F604E" w:rsidR="00ED1B83" w:rsidRPr="00A52AB8" w:rsidRDefault="00ED1B83" w:rsidP="00ED1B83">
            <w:pPr>
              <w:autoSpaceDE w:val="0"/>
              <w:autoSpaceDN w:val="0"/>
              <w:adjustRightInd w:val="0"/>
              <w:spacing w:after="0" w:line="240" w:lineRule="auto"/>
              <w:jc w:val="center"/>
              <w:rPr>
                <w:rFonts w:eastAsia="Times New Roman"/>
                <w:color w:val="000000"/>
                <w:sz w:val="20"/>
                <w:szCs w:val="20"/>
              </w:rPr>
            </w:pPr>
            <w:r w:rsidRPr="00A52AB8">
              <w:rPr>
                <w:rFonts w:eastAsia="Times New Roman"/>
                <w:color w:val="000000"/>
                <w:sz w:val="20"/>
                <w:szCs w:val="20"/>
              </w:rPr>
              <w:t>Reserved</w:t>
            </w:r>
          </w:p>
        </w:tc>
        <w:tc>
          <w:tcPr>
            <w:tcW w:w="1380" w:type="dxa"/>
          </w:tcPr>
          <w:p w14:paraId="2324562A" w14:textId="6B9067F0" w:rsidR="00ED1B83" w:rsidRPr="00A52AB8" w:rsidRDefault="00ED1B83" w:rsidP="00ED1B83">
            <w:pPr>
              <w:autoSpaceDE w:val="0"/>
              <w:autoSpaceDN w:val="0"/>
              <w:adjustRightInd w:val="0"/>
              <w:spacing w:after="0" w:line="240" w:lineRule="auto"/>
              <w:jc w:val="center"/>
              <w:rPr>
                <w:rFonts w:eastAsia="Times New Roman"/>
                <w:color w:val="000000"/>
                <w:sz w:val="20"/>
                <w:szCs w:val="20"/>
              </w:rPr>
            </w:pPr>
            <w:r w:rsidRPr="00A52AB8">
              <w:rPr>
                <w:rFonts w:eastAsia="Times New Roman"/>
                <w:color w:val="000000"/>
                <w:sz w:val="20"/>
                <w:szCs w:val="20"/>
              </w:rPr>
              <w:t>-</w:t>
            </w:r>
          </w:p>
        </w:tc>
      </w:tr>
    </w:tbl>
    <w:p w14:paraId="4C27C809" w14:textId="77777777" w:rsidR="00535D94" w:rsidRPr="00A52AB8" w:rsidRDefault="001736E6">
      <w:pPr>
        <w:pStyle w:val="a2"/>
        <w:numPr>
          <w:ilvl w:val="1"/>
          <w:numId w:val="14"/>
        </w:numPr>
        <w:tabs>
          <w:tab w:val="num" w:pos="4613"/>
        </w:tabs>
      </w:pPr>
      <w:bookmarkStart w:id="4604" w:name="_Toc21447951"/>
      <w:bookmarkStart w:id="4605" w:name="_Toc21505888"/>
      <w:bookmarkStart w:id="4606" w:name="_Toc21510034"/>
      <w:bookmarkStart w:id="4607" w:name="_Toc21531978"/>
      <w:bookmarkStart w:id="4608" w:name="_Toc21535224"/>
      <w:bookmarkStart w:id="4609" w:name="_Toc21520238"/>
      <w:bookmarkStart w:id="4610" w:name="_Toc21521374"/>
      <w:bookmarkStart w:id="4611" w:name="_Toc21447952"/>
      <w:bookmarkStart w:id="4612" w:name="_Toc21505889"/>
      <w:bookmarkStart w:id="4613" w:name="_Toc21510035"/>
      <w:bookmarkStart w:id="4614" w:name="_Toc21531979"/>
      <w:bookmarkStart w:id="4615" w:name="_Toc21535225"/>
      <w:bookmarkStart w:id="4616" w:name="_Toc21520239"/>
      <w:bookmarkStart w:id="4617" w:name="_Toc21521375"/>
      <w:bookmarkStart w:id="4618" w:name="_Toc38891547"/>
      <w:bookmarkStart w:id="4619" w:name="_Toc39426142"/>
      <w:bookmarkStart w:id="4620" w:name="_Toc38891548"/>
      <w:bookmarkStart w:id="4621" w:name="_Toc39426143"/>
      <w:bookmarkStart w:id="4622" w:name="_Toc38891549"/>
      <w:bookmarkStart w:id="4623" w:name="_Toc39426144"/>
      <w:bookmarkStart w:id="4624" w:name="_Toc38891550"/>
      <w:bookmarkStart w:id="4625" w:name="_Toc39426145"/>
      <w:bookmarkStart w:id="4626" w:name="_Toc38891553"/>
      <w:bookmarkStart w:id="4627" w:name="_Toc39426148"/>
      <w:bookmarkStart w:id="4628" w:name="_Toc38891600"/>
      <w:bookmarkStart w:id="4629" w:name="_Toc39426195"/>
      <w:bookmarkStart w:id="4630" w:name="_Toc38891601"/>
      <w:bookmarkStart w:id="4631" w:name="_Toc39426196"/>
      <w:bookmarkStart w:id="4632" w:name="_Toc38891602"/>
      <w:bookmarkStart w:id="4633" w:name="_Toc39426197"/>
      <w:bookmarkStart w:id="4634" w:name="_Toc38891603"/>
      <w:bookmarkStart w:id="4635" w:name="_Toc39426198"/>
      <w:bookmarkStart w:id="4636" w:name="_Toc38891604"/>
      <w:bookmarkStart w:id="4637" w:name="_Toc39426199"/>
      <w:bookmarkStart w:id="4638" w:name="_Toc38891605"/>
      <w:bookmarkStart w:id="4639" w:name="_Toc39426200"/>
      <w:bookmarkStart w:id="4640" w:name="_Toc38891606"/>
      <w:bookmarkStart w:id="4641" w:name="_Toc39426201"/>
      <w:bookmarkStart w:id="4642" w:name="_Toc38891607"/>
      <w:bookmarkStart w:id="4643" w:name="_Toc39426202"/>
      <w:bookmarkStart w:id="4644" w:name="_Toc38891608"/>
      <w:bookmarkStart w:id="4645" w:name="_Toc39426203"/>
      <w:bookmarkStart w:id="4646" w:name="_Toc38891609"/>
      <w:bookmarkStart w:id="4647" w:name="_Toc39426204"/>
      <w:bookmarkStart w:id="4648" w:name="_Toc38891610"/>
      <w:bookmarkStart w:id="4649" w:name="_Toc39426205"/>
      <w:bookmarkStart w:id="4650" w:name="_Toc38891611"/>
      <w:bookmarkStart w:id="4651" w:name="_Toc39426206"/>
      <w:bookmarkStart w:id="4652" w:name="_Toc35407705"/>
      <w:bookmarkStart w:id="4653" w:name="_Toc21447954"/>
      <w:bookmarkStart w:id="4654" w:name="_Toc21505891"/>
      <w:bookmarkStart w:id="4655" w:name="_Toc21510037"/>
      <w:bookmarkStart w:id="4656" w:name="_Toc21531981"/>
      <w:bookmarkStart w:id="4657" w:name="_Toc21535227"/>
      <w:bookmarkStart w:id="4658" w:name="_Toc21520241"/>
      <w:bookmarkStart w:id="4659" w:name="_Toc21521377"/>
      <w:bookmarkStart w:id="4660" w:name="_Toc21447955"/>
      <w:bookmarkStart w:id="4661" w:name="_Toc21505892"/>
      <w:bookmarkStart w:id="4662" w:name="_Toc21510038"/>
      <w:bookmarkStart w:id="4663" w:name="_Toc21531982"/>
      <w:bookmarkStart w:id="4664" w:name="_Toc21535228"/>
      <w:bookmarkStart w:id="4665" w:name="_Toc21520242"/>
      <w:bookmarkStart w:id="4666" w:name="_Toc21521378"/>
      <w:bookmarkStart w:id="4667" w:name="_Toc21447956"/>
      <w:bookmarkStart w:id="4668" w:name="_Toc21505893"/>
      <w:bookmarkStart w:id="4669" w:name="_Toc21510039"/>
      <w:bookmarkStart w:id="4670" w:name="_Toc21531983"/>
      <w:bookmarkStart w:id="4671" w:name="_Toc21535229"/>
      <w:bookmarkStart w:id="4672" w:name="_Toc21520243"/>
      <w:bookmarkStart w:id="4673" w:name="_Toc21521379"/>
      <w:bookmarkStart w:id="4674" w:name="_Toc21447961"/>
      <w:bookmarkStart w:id="4675" w:name="_Toc21505898"/>
      <w:bookmarkStart w:id="4676" w:name="_Toc21510044"/>
      <w:bookmarkStart w:id="4677" w:name="_Toc21531988"/>
      <w:bookmarkStart w:id="4678" w:name="_Toc21535234"/>
      <w:bookmarkStart w:id="4679" w:name="_Toc21520248"/>
      <w:bookmarkStart w:id="4680" w:name="_Toc21521384"/>
      <w:bookmarkStart w:id="4681" w:name="_Toc21447962"/>
      <w:bookmarkStart w:id="4682" w:name="_Toc21505899"/>
      <w:bookmarkStart w:id="4683" w:name="_Toc21510045"/>
      <w:bookmarkStart w:id="4684" w:name="_Toc21531989"/>
      <w:bookmarkStart w:id="4685" w:name="_Toc21535235"/>
      <w:bookmarkStart w:id="4686" w:name="_Toc21520249"/>
      <w:bookmarkStart w:id="4687" w:name="_Toc21521385"/>
      <w:bookmarkStart w:id="4688" w:name="_Toc21447963"/>
      <w:bookmarkStart w:id="4689" w:name="_Toc21505900"/>
      <w:bookmarkStart w:id="4690" w:name="_Toc21510046"/>
      <w:bookmarkStart w:id="4691" w:name="_Toc21531990"/>
      <w:bookmarkStart w:id="4692" w:name="_Toc21535236"/>
      <w:bookmarkStart w:id="4693" w:name="_Toc21520250"/>
      <w:bookmarkStart w:id="4694" w:name="_Toc21521386"/>
      <w:bookmarkStart w:id="4695" w:name="_Ref44323325"/>
      <w:bookmarkStart w:id="4696" w:name="_Ref44436130"/>
      <w:bookmarkStart w:id="4697" w:name="_Toc52181653"/>
      <w:bookmarkEnd w:id="4604"/>
      <w:bookmarkEnd w:id="4605"/>
      <w:bookmarkEnd w:id="4606"/>
      <w:bookmarkEnd w:id="4607"/>
      <w:bookmarkEnd w:id="4608"/>
      <w:bookmarkEnd w:id="4609"/>
      <w:bookmarkEnd w:id="4610"/>
      <w:bookmarkEnd w:id="4611"/>
      <w:bookmarkEnd w:id="4612"/>
      <w:bookmarkEnd w:id="4613"/>
      <w:bookmarkEnd w:id="4614"/>
      <w:bookmarkEnd w:id="4615"/>
      <w:bookmarkEnd w:id="4616"/>
      <w:bookmarkEnd w:id="4617"/>
      <w:bookmarkEnd w:id="4618"/>
      <w:bookmarkEnd w:id="4619"/>
      <w:bookmarkEnd w:id="4620"/>
      <w:bookmarkEnd w:id="4621"/>
      <w:bookmarkEnd w:id="4622"/>
      <w:bookmarkEnd w:id="4623"/>
      <w:bookmarkEnd w:id="4624"/>
      <w:bookmarkEnd w:id="4625"/>
      <w:bookmarkEnd w:id="4626"/>
      <w:bookmarkEnd w:id="4627"/>
      <w:bookmarkEnd w:id="4628"/>
      <w:bookmarkEnd w:id="4629"/>
      <w:bookmarkEnd w:id="4630"/>
      <w:bookmarkEnd w:id="4631"/>
      <w:bookmarkEnd w:id="4632"/>
      <w:bookmarkEnd w:id="4633"/>
      <w:bookmarkEnd w:id="4634"/>
      <w:bookmarkEnd w:id="4635"/>
      <w:bookmarkEnd w:id="4636"/>
      <w:bookmarkEnd w:id="4637"/>
      <w:bookmarkEnd w:id="4638"/>
      <w:bookmarkEnd w:id="4639"/>
      <w:bookmarkEnd w:id="4640"/>
      <w:bookmarkEnd w:id="4641"/>
      <w:bookmarkEnd w:id="4642"/>
      <w:bookmarkEnd w:id="4643"/>
      <w:bookmarkEnd w:id="4644"/>
      <w:bookmarkEnd w:id="4645"/>
      <w:bookmarkEnd w:id="4646"/>
      <w:bookmarkEnd w:id="4647"/>
      <w:bookmarkEnd w:id="4648"/>
      <w:bookmarkEnd w:id="4649"/>
      <w:bookmarkEnd w:id="4650"/>
      <w:bookmarkEnd w:id="4651"/>
      <w:bookmarkEnd w:id="4652"/>
      <w:bookmarkEnd w:id="4653"/>
      <w:bookmarkEnd w:id="4654"/>
      <w:bookmarkEnd w:id="4655"/>
      <w:bookmarkEnd w:id="4656"/>
      <w:bookmarkEnd w:id="4657"/>
      <w:bookmarkEnd w:id="4658"/>
      <w:bookmarkEnd w:id="4659"/>
      <w:bookmarkEnd w:id="4660"/>
      <w:bookmarkEnd w:id="4661"/>
      <w:bookmarkEnd w:id="4662"/>
      <w:bookmarkEnd w:id="4663"/>
      <w:bookmarkEnd w:id="4664"/>
      <w:bookmarkEnd w:id="4665"/>
      <w:bookmarkEnd w:id="4666"/>
      <w:bookmarkEnd w:id="4667"/>
      <w:bookmarkEnd w:id="4668"/>
      <w:bookmarkEnd w:id="4669"/>
      <w:bookmarkEnd w:id="4670"/>
      <w:bookmarkEnd w:id="4671"/>
      <w:bookmarkEnd w:id="4672"/>
      <w:bookmarkEnd w:id="4673"/>
      <w:bookmarkEnd w:id="4674"/>
      <w:bookmarkEnd w:id="4675"/>
      <w:bookmarkEnd w:id="4676"/>
      <w:bookmarkEnd w:id="4677"/>
      <w:bookmarkEnd w:id="4678"/>
      <w:bookmarkEnd w:id="4679"/>
      <w:bookmarkEnd w:id="4680"/>
      <w:bookmarkEnd w:id="4681"/>
      <w:bookmarkEnd w:id="4682"/>
      <w:bookmarkEnd w:id="4683"/>
      <w:bookmarkEnd w:id="4684"/>
      <w:bookmarkEnd w:id="4685"/>
      <w:bookmarkEnd w:id="4686"/>
      <w:bookmarkEnd w:id="4687"/>
      <w:bookmarkEnd w:id="4688"/>
      <w:bookmarkEnd w:id="4689"/>
      <w:bookmarkEnd w:id="4690"/>
      <w:bookmarkEnd w:id="4691"/>
      <w:bookmarkEnd w:id="4692"/>
      <w:bookmarkEnd w:id="4693"/>
      <w:bookmarkEnd w:id="4694"/>
      <w:r w:rsidRPr="00A52AB8">
        <w:t>R</w:t>
      </w:r>
      <w:r w:rsidR="00535D94" w:rsidRPr="00A52AB8">
        <w:t>econstruction profile components</w:t>
      </w:r>
      <w:bookmarkEnd w:id="4695"/>
      <w:bookmarkEnd w:id="4696"/>
      <w:bookmarkEnd w:id="4697"/>
    </w:p>
    <w:p w14:paraId="44913552" w14:textId="2316AC9C" w:rsidR="0050235C" w:rsidRPr="00A52AB8" w:rsidRDefault="00B8605C">
      <w:pPr>
        <w:rPr>
          <w:lang w:eastAsia="ja-JP"/>
        </w:rPr>
      </w:pPr>
      <w:r w:rsidRPr="00496A4D">
        <w:rPr>
          <w:lang w:eastAsia="ja-JP"/>
        </w:rPr>
        <w:fldChar w:fldCharType="begin"/>
      </w:r>
      <w:r w:rsidRPr="00A52AB8">
        <w:rPr>
          <w:lang w:eastAsia="ja-JP"/>
        </w:rPr>
        <w:instrText xml:space="preserve"> REF _Ref21446912 \h  \* MERGEFORMAT </w:instrText>
      </w:r>
      <w:r w:rsidRPr="00496A4D">
        <w:rPr>
          <w:lang w:eastAsia="ja-JP"/>
        </w:rPr>
      </w:r>
      <w:r w:rsidRPr="00496A4D">
        <w:rPr>
          <w:lang w:eastAsia="ja-JP"/>
        </w:rPr>
        <w:fldChar w:fldCharType="separate"/>
      </w:r>
      <w:r w:rsidR="00507A67" w:rsidRPr="00507A67">
        <w:rPr>
          <w:lang w:eastAsia="ja-JP"/>
        </w:rPr>
        <w:t>Table A-4</w:t>
      </w:r>
      <w:r w:rsidRPr="00496A4D">
        <w:rPr>
          <w:lang w:eastAsia="ja-JP"/>
        </w:rPr>
        <w:fldChar w:fldCharType="end"/>
      </w:r>
      <w:r w:rsidRPr="00A52AB8">
        <w:rPr>
          <w:lang w:eastAsia="ja-JP"/>
        </w:rPr>
        <w:t xml:space="preserve"> </w:t>
      </w:r>
      <w:r w:rsidR="00535D94" w:rsidRPr="00A52AB8">
        <w:rPr>
          <w:lang w:eastAsia="ja-JP"/>
        </w:rPr>
        <w:t xml:space="preserve">provides a list of </w:t>
      </w:r>
      <w:r w:rsidR="00D428EE" w:rsidRPr="00A52AB8">
        <w:rPr>
          <w:lang w:eastAsia="ja-JP"/>
        </w:rPr>
        <w:t>defined</w:t>
      </w:r>
      <w:r w:rsidR="00535D94" w:rsidRPr="00A52AB8">
        <w:rPr>
          <w:lang w:eastAsia="ja-JP"/>
        </w:rPr>
        <w:t xml:space="preserve"> reconstruction profile components for </w:t>
      </w:r>
      <w:r w:rsidR="001736E6" w:rsidRPr="00A52AB8">
        <w:rPr>
          <w:lang w:eastAsia="ja-JP"/>
        </w:rPr>
        <w:t>V3C</w:t>
      </w:r>
      <w:r w:rsidR="005A2F21" w:rsidRPr="00A52AB8">
        <w:rPr>
          <w:lang w:eastAsia="ja-JP"/>
        </w:rPr>
        <w:t xml:space="preserve"> </w:t>
      </w:r>
      <w:r w:rsidR="005A2F21" w:rsidRPr="00A52AB8">
        <w:t xml:space="preserve">and </w:t>
      </w:r>
      <w:r w:rsidR="00C41D4C" w:rsidRPr="00A52AB8">
        <w:t xml:space="preserve">of </w:t>
      </w:r>
      <w:r w:rsidR="005A2F21" w:rsidRPr="00A52AB8">
        <w:t>the allowed values for syntax element ptl_profile_reconstruction_idc</w:t>
      </w:r>
      <w:r w:rsidR="00535D94" w:rsidRPr="00A52AB8">
        <w:rPr>
          <w:lang w:eastAsia="ja-JP"/>
        </w:rPr>
        <w:t>.</w:t>
      </w:r>
      <w:r w:rsidR="00EA1C6B" w:rsidRPr="00A52AB8">
        <w:rPr>
          <w:lang w:eastAsia="ja-JP"/>
        </w:rPr>
        <w:t xml:space="preserve"> </w:t>
      </w:r>
      <w:r w:rsidR="004C4C00" w:rsidRPr="00A52AB8">
        <w:rPr>
          <w:lang w:eastAsia="ja-JP"/>
        </w:rPr>
        <w:t>Values of ptl_profile_reconstruction_idc in the range of 0 to 254, inclusive, may be specified by a</w:t>
      </w:r>
      <w:r w:rsidR="00FD453C" w:rsidRPr="00A52AB8">
        <w:rPr>
          <w:lang w:eastAsia="ja-JP"/>
        </w:rPr>
        <w:t xml:space="preserve"> V3C</w:t>
      </w:r>
      <w:r w:rsidR="004C4C00" w:rsidRPr="00A52AB8">
        <w:rPr>
          <w:lang w:eastAsia="ja-JP"/>
        </w:rPr>
        <w:t xml:space="preserve"> application and may depend on the value of ptl_profile_toolset_idc. For example, for the case of ptl_profile_toolset_idc equal to 0 or 1, which indicates a V-PCC application, subclause </w:t>
      </w:r>
      <w:r w:rsidR="004C4C00" w:rsidRPr="00496A4D">
        <w:rPr>
          <w:lang w:eastAsia="ja-JP"/>
        </w:rPr>
        <w:fldChar w:fldCharType="begin"/>
      </w:r>
      <w:r w:rsidR="004C4C00" w:rsidRPr="00A52AB8">
        <w:rPr>
          <w:lang w:eastAsia="ja-JP"/>
        </w:rPr>
        <w:instrText xml:space="preserve"> REF _Ref49766685 \n \h </w:instrText>
      </w:r>
      <w:r w:rsidR="00007BE2" w:rsidRPr="00A52AB8">
        <w:rPr>
          <w:lang w:eastAsia="ja-JP"/>
        </w:rPr>
        <w:instrText xml:space="preserve"> \* MERGEFORMAT </w:instrText>
      </w:r>
      <w:r w:rsidR="004C4C00" w:rsidRPr="00496A4D">
        <w:rPr>
          <w:lang w:eastAsia="ja-JP"/>
        </w:rPr>
      </w:r>
      <w:r w:rsidR="004C4C00" w:rsidRPr="00496A4D">
        <w:rPr>
          <w:lang w:eastAsia="ja-JP"/>
        </w:rPr>
        <w:fldChar w:fldCharType="separate"/>
      </w:r>
      <w:r w:rsidR="00507A67">
        <w:rPr>
          <w:lang w:eastAsia="ja-JP"/>
        </w:rPr>
        <w:t>H.15.5</w:t>
      </w:r>
      <w:r w:rsidR="004C4C00" w:rsidRPr="00496A4D">
        <w:rPr>
          <w:lang w:eastAsia="ja-JP"/>
        </w:rPr>
        <w:fldChar w:fldCharType="end"/>
      </w:r>
      <w:r w:rsidR="004C4C00" w:rsidRPr="00A52AB8">
        <w:rPr>
          <w:lang w:eastAsia="ja-JP"/>
        </w:rPr>
        <w:t xml:space="preserve"> specifies reconstruction profiles appropriate for that application.</w:t>
      </w:r>
    </w:p>
    <w:p w14:paraId="5C1D4D20" w14:textId="3DFA40B5" w:rsidR="004C4C00" w:rsidRPr="00A52AB8" w:rsidRDefault="004C4C00">
      <w:pPr>
        <w:rPr>
          <w:lang w:eastAsia="ja-JP"/>
        </w:rPr>
      </w:pPr>
      <w:r w:rsidRPr="00A52AB8">
        <w:t xml:space="preserve">For the Rec </w:t>
      </w:r>
      <w:r w:rsidRPr="00A52AB8">
        <w:rPr>
          <w:rFonts w:eastAsia="Times New Roman"/>
          <w:color w:val="000000"/>
        </w:rPr>
        <w:t>Unconstrained reconstruction profile, the reconstruction process is outside the scope of this document.</w:t>
      </w:r>
    </w:p>
    <w:p w14:paraId="6F8C91DD" w14:textId="2532014C" w:rsidR="00535D94" w:rsidRPr="00A52AB8" w:rsidRDefault="00BD5E20" w:rsidP="00D451D4">
      <w:pPr>
        <w:keepNext/>
        <w:jc w:val="center"/>
        <w:rPr>
          <w:b/>
          <w:bCs/>
          <w:sz w:val="21"/>
          <w:szCs w:val="18"/>
        </w:rPr>
      </w:pPr>
      <w:bookmarkStart w:id="4698" w:name="_Ref21446912"/>
      <w:bookmarkStart w:id="4699" w:name="_Ref46496290"/>
      <w:r w:rsidRPr="00A52AB8">
        <w:rPr>
          <w:b/>
        </w:rPr>
        <w:t>Table A</w:t>
      </w:r>
      <w:r w:rsidR="00CA3851" w:rsidRPr="00A52AB8">
        <w:rPr>
          <w:b/>
        </w:rPr>
        <w:t>-</w:t>
      </w:r>
      <w:r w:rsidRPr="00496A4D">
        <w:rPr>
          <w:b/>
        </w:rPr>
        <w:fldChar w:fldCharType="begin"/>
      </w:r>
      <w:r w:rsidRPr="00A52AB8">
        <w:rPr>
          <w:b/>
        </w:rPr>
        <w:instrText xml:space="preserve"> SEQ Table \* ARABIC \s 1 </w:instrText>
      </w:r>
      <w:r w:rsidRPr="00496A4D">
        <w:rPr>
          <w:b/>
        </w:rPr>
        <w:fldChar w:fldCharType="separate"/>
      </w:r>
      <w:r w:rsidR="00507A67">
        <w:rPr>
          <w:b/>
          <w:noProof/>
        </w:rPr>
        <w:t>4</w:t>
      </w:r>
      <w:r w:rsidRPr="00496A4D">
        <w:rPr>
          <w:b/>
        </w:rPr>
        <w:fldChar w:fldCharType="end"/>
      </w:r>
      <w:bookmarkEnd w:id="4698"/>
      <w:r w:rsidR="001604C8" w:rsidRPr="00A52AB8">
        <w:rPr>
          <w:rFonts w:cs="Calibri"/>
          <w:bCs/>
        </w:rPr>
        <w:t> </w:t>
      </w:r>
      <w:r w:rsidR="001604C8" w:rsidRPr="00A52AB8">
        <w:t>– </w:t>
      </w:r>
      <w:r w:rsidR="00D72687" w:rsidRPr="00A52AB8">
        <w:rPr>
          <w:b/>
          <w:bCs/>
          <w:sz w:val="21"/>
          <w:szCs w:val="21"/>
        </w:rPr>
        <w:t>Defined</w:t>
      </w:r>
      <w:r w:rsidR="00535D94" w:rsidRPr="00A52AB8">
        <w:rPr>
          <w:b/>
          <w:bCs/>
          <w:sz w:val="21"/>
          <w:szCs w:val="21"/>
        </w:rPr>
        <w:t xml:space="preserve"> reconstruction profile components</w:t>
      </w:r>
      <w:bookmarkEnd w:id="4699"/>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98"/>
        <w:gridCol w:w="3152"/>
      </w:tblGrid>
      <w:tr w:rsidR="004C4C00" w:rsidRPr="00A52AB8" w14:paraId="40E6FBBA" w14:textId="1C1C1F36" w:rsidTr="004C4C00">
        <w:trPr>
          <w:trHeight w:val="90"/>
          <w:jc w:val="center"/>
        </w:trPr>
        <w:tc>
          <w:tcPr>
            <w:tcW w:w="3598" w:type="dxa"/>
            <w:hideMark/>
          </w:tcPr>
          <w:p w14:paraId="5C6C46DA" w14:textId="77777777" w:rsidR="004C4C00" w:rsidRPr="00A52AB8" w:rsidRDefault="004C4C00">
            <w:pPr>
              <w:autoSpaceDE w:val="0"/>
              <w:autoSpaceDN w:val="0"/>
              <w:adjustRightInd w:val="0"/>
              <w:spacing w:after="0"/>
              <w:jc w:val="center"/>
              <w:rPr>
                <w:rFonts w:eastAsia="Times New Roman"/>
                <w:color w:val="000000"/>
                <w:sz w:val="20"/>
                <w:szCs w:val="20"/>
              </w:rPr>
            </w:pPr>
            <w:r w:rsidRPr="00A52AB8">
              <w:rPr>
                <w:rFonts w:eastAsia="Times New Roman"/>
                <w:b/>
                <w:color w:val="000000" w:themeColor="text1"/>
                <w:sz w:val="20"/>
                <w:szCs w:val="20"/>
              </w:rPr>
              <w:t>ptl_profile</w:t>
            </w:r>
            <w:r w:rsidRPr="00A52AB8">
              <w:rPr>
                <w:rFonts w:eastAsia="Times New Roman"/>
                <w:b/>
                <w:color w:val="000000" w:themeColor="text1"/>
                <w:sz w:val="20"/>
                <w:szCs w:val="20"/>
                <w:lang w:eastAsia="ja-JP"/>
              </w:rPr>
              <w:t>_reconstruction_idc</w:t>
            </w:r>
          </w:p>
        </w:tc>
        <w:tc>
          <w:tcPr>
            <w:tcW w:w="3152" w:type="dxa"/>
          </w:tcPr>
          <w:p w14:paraId="7DE62937" w14:textId="0344C629" w:rsidR="004C4C00" w:rsidRPr="00A52AB8" w:rsidRDefault="004C4C00">
            <w:pPr>
              <w:autoSpaceDE w:val="0"/>
              <w:autoSpaceDN w:val="0"/>
              <w:adjustRightInd w:val="0"/>
              <w:spacing w:after="0"/>
              <w:jc w:val="center"/>
              <w:rPr>
                <w:rFonts w:eastAsia="Times New Roman"/>
                <w:b/>
                <w:color w:val="000000" w:themeColor="text1"/>
                <w:sz w:val="20"/>
                <w:szCs w:val="20"/>
              </w:rPr>
            </w:pPr>
            <w:r w:rsidRPr="00A52AB8">
              <w:rPr>
                <w:rFonts w:eastAsia="Times New Roman"/>
                <w:b/>
                <w:color w:val="000000"/>
                <w:sz w:val="20"/>
                <w:szCs w:val="20"/>
              </w:rPr>
              <w:t>Reconstruction</w:t>
            </w:r>
            <w:r w:rsidRPr="00A52AB8">
              <w:rPr>
                <w:rFonts w:eastAsia="Times New Roman"/>
                <w:b/>
                <w:color w:val="000000"/>
                <w:sz w:val="20"/>
                <w:szCs w:val="20"/>
              </w:rPr>
              <w:br/>
              <w:t>profile component</w:t>
            </w:r>
          </w:p>
        </w:tc>
      </w:tr>
      <w:tr w:rsidR="004C4C00" w:rsidRPr="00A52AB8" w14:paraId="6038763E" w14:textId="67421AF2" w:rsidTr="004C4C00">
        <w:trPr>
          <w:trHeight w:val="90"/>
          <w:jc w:val="center"/>
        </w:trPr>
        <w:tc>
          <w:tcPr>
            <w:tcW w:w="3598" w:type="dxa"/>
            <w:hideMark/>
          </w:tcPr>
          <w:p w14:paraId="43604B60" w14:textId="59C3DD50" w:rsidR="004C4C00" w:rsidRPr="00A52AB8" w:rsidRDefault="004C4C00">
            <w:pPr>
              <w:autoSpaceDE w:val="0"/>
              <w:autoSpaceDN w:val="0"/>
              <w:adjustRightInd w:val="0"/>
              <w:spacing w:after="0"/>
              <w:jc w:val="center"/>
              <w:rPr>
                <w:rFonts w:eastAsia="Times New Roman"/>
                <w:color w:val="000000"/>
                <w:sz w:val="20"/>
                <w:szCs w:val="20"/>
              </w:rPr>
            </w:pPr>
            <w:r w:rsidRPr="00A52AB8">
              <w:rPr>
                <w:sz w:val="20"/>
                <w:szCs w:val="20"/>
              </w:rPr>
              <w:t>0..254</w:t>
            </w:r>
          </w:p>
        </w:tc>
        <w:tc>
          <w:tcPr>
            <w:tcW w:w="3152" w:type="dxa"/>
          </w:tcPr>
          <w:p w14:paraId="6E109598" w14:textId="1B20B6E3" w:rsidR="004C4C00" w:rsidRPr="00A52AB8" w:rsidRDefault="004C4C00">
            <w:pPr>
              <w:autoSpaceDE w:val="0"/>
              <w:autoSpaceDN w:val="0"/>
              <w:adjustRightInd w:val="0"/>
              <w:spacing w:after="0"/>
              <w:jc w:val="center"/>
              <w:rPr>
                <w:rFonts w:eastAsia="Times New Roman"/>
                <w:color w:val="000000"/>
                <w:sz w:val="20"/>
                <w:szCs w:val="20"/>
              </w:rPr>
            </w:pPr>
            <w:r w:rsidRPr="00A52AB8">
              <w:rPr>
                <w:rFonts w:eastAsia="Times New Roman"/>
                <w:color w:val="000000"/>
                <w:sz w:val="20"/>
                <w:szCs w:val="20"/>
              </w:rPr>
              <w:t>Application dependent</w:t>
            </w:r>
          </w:p>
        </w:tc>
      </w:tr>
      <w:tr w:rsidR="004C4C00" w:rsidRPr="00A52AB8" w14:paraId="29DC3B44" w14:textId="1435A122" w:rsidTr="004C4C00">
        <w:trPr>
          <w:trHeight w:val="90"/>
          <w:jc w:val="center"/>
        </w:trPr>
        <w:tc>
          <w:tcPr>
            <w:tcW w:w="3598" w:type="dxa"/>
          </w:tcPr>
          <w:p w14:paraId="1EB89296" w14:textId="04DA5BA8" w:rsidR="004C4C00" w:rsidRPr="00A52AB8" w:rsidRDefault="004C4C00">
            <w:pPr>
              <w:autoSpaceDE w:val="0"/>
              <w:autoSpaceDN w:val="0"/>
              <w:adjustRightInd w:val="0"/>
              <w:spacing w:after="0"/>
              <w:jc w:val="center"/>
              <w:rPr>
                <w:rFonts w:eastAsia="Times New Roman"/>
                <w:color w:val="000000"/>
                <w:sz w:val="20"/>
                <w:szCs w:val="20"/>
              </w:rPr>
            </w:pPr>
            <w:r w:rsidRPr="00A52AB8">
              <w:rPr>
                <w:rFonts w:eastAsia="Times New Roman"/>
                <w:color w:val="000000"/>
                <w:sz w:val="20"/>
                <w:szCs w:val="20"/>
              </w:rPr>
              <w:t>255</w:t>
            </w:r>
          </w:p>
        </w:tc>
        <w:tc>
          <w:tcPr>
            <w:tcW w:w="3152" w:type="dxa"/>
          </w:tcPr>
          <w:p w14:paraId="6873593C" w14:textId="565FA23D" w:rsidR="004C4C00" w:rsidRPr="00A52AB8" w:rsidRDefault="004C4C00">
            <w:pPr>
              <w:autoSpaceDE w:val="0"/>
              <w:autoSpaceDN w:val="0"/>
              <w:adjustRightInd w:val="0"/>
              <w:spacing w:after="0"/>
              <w:jc w:val="center"/>
              <w:rPr>
                <w:rFonts w:eastAsia="Times New Roman"/>
                <w:color w:val="000000"/>
                <w:sz w:val="20"/>
                <w:szCs w:val="20"/>
              </w:rPr>
            </w:pPr>
            <w:r w:rsidRPr="00A52AB8">
              <w:rPr>
                <w:rFonts w:eastAsia="Times New Roman"/>
                <w:color w:val="000000"/>
                <w:sz w:val="20"/>
                <w:szCs w:val="20"/>
              </w:rPr>
              <w:t>Rec Unconstrained</w:t>
            </w:r>
          </w:p>
        </w:tc>
      </w:tr>
    </w:tbl>
    <w:p w14:paraId="47F37DB8" w14:textId="77777777" w:rsidR="00535D94" w:rsidRPr="00A52AB8" w:rsidRDefault="00535D94">
      <w:pPr>
        <w:pStyle w:val="a2"/>
        <w:numPr>
          <w:ilvl w:val="1"/>
          <w:numId w:val="14"/>
        </w:numPr>
        <w:tabs>
          <w:tab w:val="num" w:pos="4613"/>
        </w:tabs>
      </w:pPr>
      <w:bookmarkStart w:id="4700" w:name="_Ref33612033"/>
      <w:bookmarkStart w:id="4701" w:name="_Ref33612046"/>
      <w:bookmarkStart w:id="4702" w:name="_Ref49259466"/>
      <w:bookmarkStart w:id="4703" w:name="_Toc52181654"/>
      <w:r w:rsidRPr="00A52AB8">
        <w:t xml:space="preserve">Tiers and </w:t>
      </w:r>
      <w:r w:rsidR="00400EDC" w:rsidRPr="00A52AB8">
        <w:t>l</w:t>
      </w:r>
      <w:r w:rsidRPr="00A52AB8">
        <w:t>evels</w:t>
      </w:r>
      <w:bookmarkEnd w:id="4700"/>
      <w:bookmarkEnd w:id="4701"/>
      <w:bookmarkEnd w:id="4702"/>
      <w:bookmarkEnd w:id="4703"/>
    </w:p>
    <w:p w14:paraId="632AD502" w14:textId="77777777" w:rsidR="00587178" w:rsidRPr="00A52AB8" w:rsidRDefault="00587178" w:rsidP="00A252B5">
      <w:pPr>
        <w:pStyle w:val="a2"/>
        <w:numPr>
          <w:ilvl w:val="2"/>
          <w:numId w:val="14"/>
        </w:numPr>
      </w:pPr>
      <w:bookmarkStart w:id="4704" w:name="_Toc52181655"/>
      <w:r w:rsidRPr="00A52AB8">
        <w:t>General tier and level limits</w:t>
      </w:r>
      <w:bookmarkEnd w:id="4704"/>
    </w:p>
    <w:p w14:paraId="461A6973" w14:textId="5A6210DD" w:rsidR="0050235C" w:rsidRPr="00A52AB8" w:rsidRDefault="00B1498E" w:rsidP="00792CFF">
      <w:pPr>
        <w:rPr>
          <w:lang w:eastAsia="ja-JP"/>
        </w:rPr>
      </w:pPr>
      <w:r w:rsidRPr="00A52AB8">
        <w:rPr>
          <w:lang w:eastAsia="ja-JP"/>
        </w:rPr>
        <w:t>For purposes of comparison of tier capabilities, the tier with ptl_tier_flag equal to 0 is considered to be a lower tier than the tier with ptl_tier_flag equal to 1.</w:t>
      </w:r>
    </w:p>
    <w:p w14:paraId="4A4FCD43" w14:textId="11B77544" w:rsidR="00C65AF2" w:rsidRPr="00A52AB8" w:rsidRDefault="00B1498E">
      <w:pPr>
        <w:rPr>
          <w:lang w:eastAsia="ja-JP"/>
        </w:rPr>
      </w:pPr>
      <w:r w:rsidRPr="00A52AB8">
        <w:rPr>
          <w:lang w:eastAsia="ja-JP"/>
        </w:rPr>
        <w:t>For purposes of comparison of level capabilities, a particular level of a specific tier is considered to be a lower level than some other level of the same tier when the value of the ptl_level_idc of the particular level is less than that of the other level.</w:t>
      </w:r>
    </w:p>
    <w:p w14:paraId="72824E31" w14:textId="77777777" w:rsidR="00587178" w:rsidRPr="00A52AB8" w:rsidRDefault="00587178" w:rsidP="00587178">
      <w:pPr>
        <w:rPr>
          <w:lang w:eastAsia="ja-JP"/>
        </w:rPr>
      </w:pPr>
      <w:r w:rsidRPr="00A52AB8">
        <w:rPr>
          <w:lang w:eastAsia="ja-JP"/>
        </w:rPr>
        <w:t>The following is specified for expressing the constraints in this annex:</w:t>
      </w:r>
    </w:p>
    <w:p w14:paraId="0BFE9940" w14:textId="478B6171" w:rsidR="00587178" w:rsidRPr="00A52AB8" w:rsidRDefault="0058717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Let </w:t>
      </w:r>
      <w:r w:rsidR="00346C69" w:rsidRPr="00A52AB8">
        <w:rPr>
          <w:color w:val="000000" w:themeColor="text1"/>
        </w:rPr>
        <w:t xml:space="preserve">atlas coded </w:t>
      </w:r>
      <w:r w:rsidRPr="00A52AB8">
        <w:rPr>
          <w:color w:val="000000" w:themeColor="text1"/>
        </w:rPr>
        <w:t>access unit n be the n-th access unit in decoding order, with the first access unit being access unit 0 (i.e., the 0-th access unit).</w:t>
      </w:r>
    </w:p>
    <w:p w14:paraId="4149F202" w14:textId="77777777" w:rsidR="00587178" w:rsidRPr="00A52AB8" w:rsidRDefault="00587178" w:rsidP="00587178">
      <w:pPr>
        <w:rPr>
          <w:lang w:eastAsia="ja-JP"/>
        </w:rPr>
      </w:pPr>
      <w:r w:rsidRPr="00A52AB8">
        <w:rPr>
          <w:lang w:eastAsia="ja-JP"/>
        </w:rPr>
        <w:t>Let atlas n be the coded atlas or the corresponding decoded atlas of access unit n.</w:t>
      </w:r>
    </w:p>
    <w:p w14:paraId="4CD614B0" w14:textId="71B22D8E" w:rsidR="00587178" w:rsidRPr="00A52AB8" w:rsidRDefault="00935B3E" w:rsidP="00587178">
      <w:pPr>
        <w:rPr>
          <w:lang w:eastAsia="ja-JP"/>
        </w:rPr>
      </w:pPr>
      <w:r w:rsidRPr="00A52AB8">
        <w:rPr>
          <w:lang w:eastAsia="ja-JP"/>
        </w:rPr>
        <w:t xml:space="preserve">When a specified level is not level 8.5, </w:t>
      </w:r>
      <w:r w:rsidR="00774121" w:rsidRPr="00A52AB8">
        <w:rPr>
          <w:lang w:eastAsia="ja-JP"/>
        </w:rPr>
        <w:t xml:space="preserve">V3C </w:t>
      </w:r>
      <w:r w:rsidR="0000637B" w:rsidRPr="00A52AB8">
        <w:rPr>
          <w:lang w:eastAsia="ja-JP"/>
        </w:rPr>
        <w:t xml:space="preserve">bitstreams </w:t>
      </w:r>
      <w:r w:rsidR="00587178" w:rsidRPr="00A52AB8">
        <w:rPr>
          <w:lang w:eastAsia="ja-JP"/>
        </w:rPr>
        <w:t xml:space="preserve">conforming to </w:t>
      </w:r>
      <w:r w:rsidR="009473F3" w:rsidRPr="00A52AB8">
        <w:rPr>
          <w:lang w:eastAsia="ja-JP"/>
        </w:rPr>
        <w:t xml:space="preserve">all </w:t>
      </w:r>
      <w:r w:rsidR="00587178" w:rsidRPr="00A52AB8">
        <w:rPr>
          <w:lang w:eastAsia="ja-JP"/>
        </w:rPr>
        <w:t>profile</w:t>
      </w:r>
      <w:r w:rsidR="009473F3" w:rsidRPr="00A52AB8">
        <w:rPr>
          <w:lang w:eastAsia="ja-JP"/>
        </w:rPr>
        <w:t>s</w:t>
      </w:r>
      <w:r w:rsidR="00587178" w:rsidRPr="00A52AB8">
        <w:rPr>
          <w:lang w:eastAsia="ja-JP"/>
        </w:rPr>
        <w:t xml:space="preserve"> </w:t>
      </w:r>
      <w:r w:rsidR="009473F3" w:rsidRPr="00A52AB8">
        <w:rPr>
          <w:lang w:eastAsia="ja-JP"/>
        </w:rPr>
        <w:t xml:space="preserve">specified in this document </w:t>
      </w:r>
      <w:r w:rsidR="00587178" w:rsidRPr="00A52AB8">
        <w:rPr>
          <w:lang w:eastAsia="ja-JP"/>
        </w:rPr>
        <w:t xml:space="preserve">at a specified tier and level shall obey the following constraints for each </w:t>
      </w:r>
      <w:r w:rsidR="00B307DF" w:rsidRPr="00A52AB8">
        <w:rPr>
          <w:lang w:eastAsia="ja-JP"/>
        </w:rPr>
        <w:t>atlas</w:t>
      </w:r>
      <w:r w:rsidR="00774121" w:rsidRPr="00A52AB8">
        <w:rPr>
          <w:lang w:eastAsia="ja-JP"/>
        </w:rPr>
        <w:t xml:space="preserve"> </w:t>
      </w:r>
      <w:r w:rsidR="00B307DF" w:rsidRPr="00A52AB8">
        <w:rPr>
          <w:lang w:eastAsia="ja-JP"/>
        </w:rPr>
        <w:t>sub-</w:t>
      </w:r>
      <w:r w:rsidR="00587178" w:rsidRPr="00A52AB8">
        <w:rPr>
          <w:lang w:eastAsia="ja-JP"/>
        </w:rPr>
        <w:t>bitstream conformance test as specified in </w:t>
      </w:r>
      <w:r w:rsidR="005E2C56" w:rsidRPr="00496A4D">
        <w:rPr>
          <w:lang w:eastAsia="ja-JP"/>
        </w:rPr>
        <w:fldChar w:fldCharType="begin"/>
      </w:r>
      <w:r w:rsidR="005E2C56" w:rsidRPr="00A52AB8">
        <w:rPr>
          <w:lang w:eastAsia="ja-JP"/>
        </w:rPr>
        <w:instrText xml:space="preserve"> REF _Ref47861695 \n \h </w:instrText>
      </w:r>
      <w:r w:rsidR="00851254" w:rsidRPr="00A52AB8">
        <w:rPr>
          <w:lang w:eastAsia="ja-JP"/>
        </w:rPr>
        <w:instrText xml:space="preserve"> \* MERGEFORMAT </w:instrText>
      </w:r>
      <w:r w:rsidR="005E2C56" w:rsidRPr="00496A4D">
        <w:rPr>
          <w:lang w:eastAsia="ja-JP"/>
        </w:rPr>
      </w:r>
      <w:r w:rsidR="005E2C56" w:rsidRPr="00496A4D">
        <w:rPr>
          <w:lang w:eastAsia="ja-JP"/>
        </w:rPr>
        <w:fldChar w:fldCharType="separate"/>
      </w:r>
      <w:r w:rsidR="00507A67">
        <w:rPr>
          <w:lang w:eastAsia="ja-JP"/>
        </w:rPr>
        <w:t>Annex E</w:t>
      </w:r>
      <w:r w:rsidR="005E2C56" w:rsidRPr="00496A4D">
        <w:rPr>
          <w:lang w:eastAsia="ja-JP"/>
        </w:rPr>
        <w:fldChar w:fldCharType="end"/>
      </w:r>
      <w:r w:rsidR="00587178" w:rsidRPr="00A52AB8">
        <w:rPr>
          <w:lang w:eastAsia="ja-JP"/>
        </w:rPr>
        <w:t>:</w:t>
      </w:r>
    </w:p>
    <w:p w14:paraId="4BE4753C" w14:textId="2D7C46BD" w:rsidR="00587178" w:rsidRPr="00A52AB8" w:rsidRDefault="00985A77" w:rsidP="00587178">
      <w:pPr>
        <w:pStyle w:val="ListParagraph"/>
        <w:numPr>
          <w:ilvl w:val="0"/>
          <w:numId w:val="310"/>
        </w:numPr>
        <w:ind w:leftChars="0"/>
        <w:rPr>
          <w:lang w:eastAsia="ja-JP"/>
        </w:rPr>
      </w:pPr>
      <w:r w:rsidRPr="00A52AB8">
        <w:rPr>
          <w:lang w:eastAsia="ja-JP"/>
        </w:rPr>
        <w:t xml:space="preserve">AspsFrameSize </w:t>
      </w:r>
      <w:r w:rsidR="00587178" w:rsidRPr="00A52AB8">
        <w:rPr>
          <w:lang w:eastAsia="ja-JP"/>
        </w:rPr>
        <w:t>shall be less than or equal to MaxAtlasSize, where MaxAtlasSize is specified in</w:t>
      </w:r>
      <w:r w:rsidR="00801CCF" w:rsidRPr="00A52AB8">
        <w:rPr>
          <w:lang w:eastAsia="ja-JP"/>
        </w:rPr>
        <w:t xml:space="preserve"> </w:t>
      </w:r>
      <w:r w:rsidR="00122992" w:rsidRPr="00496A4D">
        <w:rPr>
          <w:lang w:eastAsia="ja-JP"/>
        </w:rPr>
        <w:fldChar w:fldCharType="begin"/>
      </w:r>
      <w:r w:rsidR="00122992" w:rsidRPr="00A52AB8">
        <w:rPr>
          <w:lang w:eastAsia="ja-JP"/>
        </w:rPr>
        <w:instrText xml:space="preserve"> REF _Ref21429412 \h  \* MERGEFORMAT </w:instrText>
      </w:r>
      <w:r w:rsidR="00122992" w:rsidRPr="00496A4D">
        <w:rPr>
          <w:lang w:eastAsia="ja-JP"/>
        </w:rPr>
      </w:r>
      <w:r w:rsidR="00122992" w:rsidRPr="00496A4D">
        <w:rPr>
          <w:lang w:eastAsia="ja-JP"/>
        </w:rPr>
        <w:fldChar w:fldCharType="separate"/>
      </w:r>
      <w:r w:rsidR="00507A67" w:rsidRPr="00A52AB8">
        <w:t>Table A-</w:t>
      </w:r>
      <w:r w:rsidR="00507A67">
        <w:t>6</w:t>
      </w:r>
      <w:r w:rsidR="00122992" w:rsidRPr="00496A4D">
        <w:rPr>
          <w:lang w:eastAsia="ja-JP"/>
        </w:rPr>
        <w:fldChar w:fldCharType="end"/>
      </w:r>
      <w:r w:rsidR="00587178" w:rsidRPr="00A52AB8">
        <w:rPr>
          <w:lang w:eastAsia="ja-JP"/>
        </w:rPr>
        <w:t>.</w:t>
      </w:r>
    </w:p>
    <w:p w14:paraId="16725BB6" w14:textId="79094152" w:rsidR="00587178" w:rsidRPr="00A52AB8" w:rsidRDefault="00587178" w:rsidP="00587178">
      <w:pPr>
        <w:pStyle w:val="ListParagraph"/>
        <w:numPr>
          <w:ilvl w:val="0"/>
          <w:numId w:val="310"/>
        </w:numPr>
        <w:ind w:leftChars="0"/>
        <w:rPr>
          <w:lang w:eastAsia="ja-JP"/>
        </w:rPr>
      </w:pPr>
      <w:r w:rsidRPr="00A52AB8">
        <w:rPr>
          <w:lang w:eastAsia="ja-JP"/>
        </w:rPr>
        <w:t>vps_map_count_minus1</w:t>
      </w:r>
      <w:r w:rsidR="00963194" w:rsidRPr="00A52AB8">
        <w:rPr>
          <w:lang w:eastAsia="ja-JP"/>
        </w:rPr>
        <w:t> + 1</w:t>
      </w:r>
      <w:r w:rsidRPr="00A52AB8">
        <w:rPr>
          <w:lang w:eastAsia="ja-JP"/>
        </w:rPr>
        <w:t xml:space="preserve"> shall be less than or equal to LevelMapCount, where LevelMapCount is specified in </w:t>
      </w:r>
      <w:r w:rsidRPr="00496A4D">
        <w:rPr>
          <w:lang w:eastAsia="ja-JP"/>
        </w:rPr>
        <w:fldChar w:fldCharType="begin"/>
      </w:r>
      <w:r w:rsidRPr="00A52AB8">
        <w:rPr>
          <w:lang w:eastAsia="ja-JP"/>
        </w:rPr>
        <w:instrText xml:space="preserve"> REF _Ref21427355 \h  \* MERGEFORMAT </w:instrText>
      </w:r>
      <w:r w:rsidRPr="00496A4D">
        <w:rPr>
          <w:lang w:eastAsia="ja-JP"/>
        </w:rPr>
      </w:r>
      <w:r w:rsidRPr="00496A4D">
        <w:rPr>
          <w:lang w:eastAsia="ja-JP"/>
        </w:rPr>
        <w:fldChar w:fldCharType="separate"/>
      </w:r>
      <w:r w:rsidR="00507A67" w:rsidRPr="00A52AB8">
        <w:t>Table A-</w:t>
      </w:r>
      <w:r w:rsidR="00507A67">
        <w:t>5</w:t>
      </w:r>
      <w:r w:rsidRPr="00496A4D">
        <w:rPr>
          <w:lang w:eastAsia="ja-JP"/>
        </w:rPr>
        <w:fldChar w:fldCharType="end"/>
      </w:r>
      <w:r w:rsidRPr="00A52AB8">
        <w:rPr>
          <w:lang w:eastAsia="ja-JP"/>
        </w:rPr>
        <w:t>.</w:t>
      </w:r>
    </w:p>
    <w:p w14:paraId="3C351196" w14:textId="42B5753B" w:rsidR="00587178" w:rsidRPr="00A52AB8" w:rsidRDefault="00587178" w:rsidP="00587178">
      <w:pPr>
        <w:pStyle w:val="ListParagraph"/>
        <w:numPr>
          <w:ilvl w:val="0"/>
          <w:numId w:val="310"/>
        </w:numPr>
        <w:ind w:leftChars="0"/>
        <w:rPr>
          <w:lang w:eastAsia="ja-JP"/>
        </w:rPr>
      </w:pPr>
      <w:r w:rsidRPr="00A52AB8">
        <w:rPr>
          <w:lang w:eastAsia="ja-JP"/>
        </w:rPr>
        <w:t xml:space="preserve">ai_attribute_count shall be less than or equal to MaxNumAttributeCount, where MaxNumAttributeCount is specified in </w:t>
      </w:r>
      <w:r w:rsidRPr="00496A4D">
        <w:rPr>
          <w:lang w:eastAsia="ja-JP"/>
        </w:rPr>
        <w:fldChar w:fldCharType="begin"/>
      </w:r>
      <w:r w:rsidRPr="00A52AB8">
        <w:rPr>
          <w:lang w:eastAsia="ja-JP"/>
        </w:rPr>
        <w:instrText xml:space="preserve"> REF _Ref21427355 \h  \* MERGEFORMAT </w:instrText>
      </w:r>
      <w:r w:rsidRPr="00496A4D">
        <w:rPr>
          <w:lang w:eastAsia="ja-JP"/>
        </w:rPr>
      </w:r>
      <w:r w:rsidRPr="00496A4D">
        <w:rPr>
          <w:lang w:eastAsia="ja-JP"/>
        </w:rPr>
        <w:fldChar w:fldCharType="separate"/>
      </w:r>
      <w:r w:rsidR="00507A67" w:rsidRPr="00A52AB8">
        <w:t>Table A-</w:t>
      </w:r>
      <w:r w:rsidR="00507A67">
        <w:t>5</w:t>
      </w:r>
      <w:r w:rsidRPr="00496A4D">
        <w:rPr>
          <w:lang w:eastAsia="ja-JP"/>
        </w:rPr>
        <w:fldChar w:fldCharType="end"/>
      </w:r>
      <w:r w:rsidRPr="00A52AB8">
        <w:rPr>
          <w:lang w:eastAsia="ja-JP"/>
        </w:rPr>
        <w:t>.</w:t>
      </w:r>
    </w:p>
    <w:p w14:paraId="5AF0715F" w14:textId="65911929" w:rsidR="00587178" w:rsidRPr="00A52AB8" w:rsidRDefault="00587178" w:rsidP="00587178">
      <w:pPr>
        <w:pStyle w:val="ListParagraph"/>
        <w:numPr>
          <w:ilvl w:val="0"/>
          <w:numId w:val="310"/>
        </w:numPr>
        <w:ind w:leftChars="0"/>
        <w:rPr>
          <w:lang w:eastAsia="ja-JP"/>
        </w:rPr>
      </w:pPr>
      <w:r w:rsidRPr="00A52AB8">
        <w:rPr>
          <w:lang w:eastAsia="ja-JP"/>
        </w:rPr>
        <w:t>ai_attribute_dimension_minus1</w:t>
      </w:r>
      <w:r w:rsidR="00963194" w:rsidRPr="00A52AB8">
        <w:rPr>
          <w:lang w:eastAsia="ja-JP"/>
        </w:rPr>
        <w:t> + 1</w:t>
      </w:r>
      <w:r w:rsidRPr="00A52AB8">
        <w:rPr>
          <w:lang w:eastAsia="ja-JP"/>
        </w:rPr>
        <w:t xml:space="preserve"> shall be less than or equal to MaxNumAttributeDims, where MaxNumAttributeDims is specified in </w:t>
      </w:r>
      <w:r w:rsidRPr="00496A4D">
        <w:rPr>
          <w:lang w:eastAsia="ja-JP"/>
        </w:rPr>
        <w:fldChar w:fldCharType="begin"/>
      </w:r>
      <w:r w:rsidRPr="00A52AB8">
        <w:rPr>
          <w:lang w:eastAsia="ja-JP"/>
        </w:rPr>
        <w:instrText xml:space="preserve"> REF _Ref21427355 \h  \* MERGEFORMAT </w:instrText>
      </w:r>
      <w:r w:rsidRPr="00496A4D">
        <w:rPr>
          <w:lang w:eastAsia="ja-JP"/>
        </w:rPr>
      </w:r>
      <w:r w:rsidRPr="00496A4D">
        <w:rPr>
          <w:lang w:eastAsia="ja-JP"/>
        </w:rPr>
        <w:fldChar w:fldCharType="separate"/>
      </w:r>
      <w:r w:rsidR="00507A67" w:rsidRPr="00A52AB8">
        <w:t>Table A-</w:t>
      </w:r>
      <w:r w:rsidR="00507A67">
        <w:t>5</w:t>
      </w:r>
      <w:r w:rsidRPr="00496A4D">
        <w:rPr>
          <w:lang w:eastAsia="ja-JP"/>
        </w:rPr>
        <w:fldChar w:fldCharType="end"/>
      </w:r>
      <w:r w:rsidRPr="00A52AB8">
        <w:rPr>
          <w:lang w:eastAsia="ja-JP"/>
        </w:rPr>
        <w:t>.</w:t>
      </w:r>
    </w:p>
    <w:p w14:paraId="553A2719" w14:textId="47410CD7" w:rsidR="00587178" w:rsidRPr="00A52AB8" w:rsidRDefault="00587178" w:rsidP="00A252B5">
      <w:pPr>
        <w:numPr>
          <w:ilvl w:val="0"/>
          <w:numId w:val="310"/>
        </w:numPr>
      </w:pPr>
      <w:r w:rsidRPr="00A52AB8">
        <w:rPr>
          <w:lang w:eastAsia="ja-JP"/>
        </w:rPr>
        <w:t>afti_num_tiles_in_atlas_frame_minus1</w:t>
      </w:r>
      <w:r w:rsidR="009473F3" w:rsidRPr="00A52AB8">
        <w:rPr>
          <w:lang w:eastAsia="ja-JP"/>
        </w:rPr>
        <w:t> </w:t>
      </w:r>
      <w:r w:rsidRPr="00A52AB8">
        <w:rPr>
          <w:lang w:eastAsia="ja-JP"/>
        </w:rPr>
        <w:t>+</w:t>
      </w:r>
      <w:r w:rsidR="009473F3" w:rsidRPr="00A52AB8">
        <w:rPr>
          <w:lang w:eastAsia="ja-JP"/>
        </w:rPr>
        <w:t> </w:t>
      </w:r>
      <w:r w:rsidRPr="00A52AB8">
        <w:rPr>
          <w:lang w:eastAsia="ja-JP"/>
        </w:rPr>
        <w:t xml:space="preserve">1 shall be less than MaxNumTiles is specified in </w:t>
      </w:r>
      <w:r w:rsidR="00860A03" w:rsidRPr="00496A4D">
        <w:rPr>
          <w:lang w:eastAsia="ja-JP"/>
        </w:rPr>
        <w:fldChar w:fldCharType="begin"/>
      </w:r>
      <w:r w:rsidR="00860A03" w:rsidRPr="00A52AB8">
        <w:rPr>
          <w:lang w:eastAsia="ja-JP"/>
        </w:rPr>
        <w:instrText xml:space="preserve"> REF _Ref21429412 \h </w:instrText>
      </w:r>
      <w:r w:rsidR="006371AA" w:rsidRPr="00A52AB8">
        <w:rPr>
          <w:lang w:eastAsia="ja-JP"/>
        </w:rPr>
        <w:instrText xml:space="preserve"> \* MERGEFORMAT </w:instrText>
      </w:r>
      <w:r w:rsidR="00860A03" w:rsidRPr="00496A4D">
        <w:rPr>
          <w:lang w:eastAsia="ja-JP"/>
        </w:rPr>
      </w:r>
      <w:r w:rsidR="00860A03" w:rsidRPr="00496A4D">
        <w:rPr>
          <w:lang w:eastAsia="ja-JP"/>
        </w:rPr>
        <w:fldChar w:fldCharType="separate"/>
      </w:r>
      <w:r w:rsidR="00507A67" w:rsidRPr="00A52AB8">
        <w:t>Table A-</w:t>
      </w:r>
      <w:r w:rsidR="00507A67">
        <w:t>6</w:t>
      </w:r>
      <w:r w:rsidR="00860A03" w:rsidRPr="00496A4D">
        <w:rPr>
          <w:lang w:eastAsia="ja-JP"/>
        </w:rPr>
        <w:fldChar w:fldCharType="end"/>
      </w:r>
      <w:r w:rsidRPr="00A52AB8">
        <w:rPr>
          <w:lang w:eastAsia="ja-JP"/>
        </w:rPr>
        <w:t>.</w:t>
      </w:r>
      <w:r w:rsidRPr="00A52AB8">
        <w:rPr>
          <w:lang w:eastAsia="ja-JP"/>
        </w:rPr>
        <w:tab/>
      </w:r>
    </w:p>
    <w:p w14:paraId="32FABEE7" w14:textId="059E1F7F" w:rsidR="00A278E7" w:rsidRPr="00A52AB8" w:rsidRDefault="00807B08" w:rsidP="00A252B5">
      <w:pPr>
        <w:numPr>
          <w:ilvl w:val="0"/>
          <w:numId w:val="310"/>
        </w:numPr>
      </w:pPr>
      <w:r w:rsidRPr="00A52AB8">
        <w:t>When the current atlas frame is an IDR coded atlas ath_atlas_frm_order_cnt_lsb shall be equal to 0.</w:t>
      </w:r>
    </w:p>
    <w:p w14:paraId="587A6F12" w14:textId="77777777" w:rsidR="00587178" w:rsidRPr="00A52AB8" w:rsidRDefault="00587178" w:rsidP="00587178">
      <w:pPr>
        <w:pStyle w:val="a2"/>
        <w:numPr>
          <w:ilvl w:val="2"/>
          <w:numId w:val="14"/>
        </w:numPr>
      </w:pPr>
      <w:bookmarkStart w:id="4705" w:name="_Toc52181656"/>
      <w:r w:rsidRPr="00A52AB8">
        <w:t>Profile specific level limits for the V3C dynamic profiles</w:t>
      </w:r>
      <w:bookmarkEnd w:id="4705"/>
    </w:p>
    <w:p w14:paraId="6CAE719F" w14:textId="3D24AFB5" w:rsidR="001F7C04" w:rsidRPr="00A52AB8" w:rsidRDefault="00B1498E">
      <w:pPr>
        <w:rPr>
          <w:lang w:eastAsia="ja-JP"/>
        </w:rPr>
      </w:pPr>
      <w:r w:rsidRPr="00A52AB8">
        <w:rPr>
          <w:lang w:eastAsia="ja-JP"/>
        </w:rPr>
        <w:t xml:space="preserve">A tier and level to which </w:t>
      </w:r>
      <w:r w:rsidR="00B307DF" w:rsidRPr="00A52AB8">
        <w:rPr>
          <w:lang w:eastAsia="ja-JP"/>
        </w:rPr>
        <w:t xml:space="preserve">V3C </w:t>
      </w:r>
      <w:r w:rsidRPr="00A52AB8">
        <w:rPr>
          <w:lang w:eastAsia="ja-JP"/>
        </w:rPr>
        <w:t xml:space="preserve">bitstream conforms are indicated by the syntax elements </w:t>
      </w:r>
      <w:r w:rsidR="00C65AF2" w:rsidRPr="00A52AB8">
        <w:rPr>
          <w:lang w:eastAsia="ja-JP"/>
        </w:rPr>
        <w:t>ptl</w:t>
      </w:r>
      <w:r w:rsidRPr="00A52AB8">
        <w:rPr>
          <w:lang w:eastAsia="ja-JP"/>
        </w:rPr>
        <w:t xml:space="preserve">_tier_flag and </w:t>
      </w:r>
      <w:r w:rsidR="00C65AF2" w:rsidRPr="00A52AB8">
        <w:rPr>
          <w:lang w:eastAsia="ja-JP"/>
        </w:rPr>
        <w:t>ptl</w:t>
      </w:r>
      <w:r w:rsidRPr="00A52AB8">
        <w:rPr>
          <w:lang w:eastAsia="ja-JP"/>
        </w:rPr>
        <w:t>_level_idc</w:t>
      </w:r>
      <w:r w:rsidR="00C65AF2" w:rsidRPr="00A52AB8">
        <w:rPr>
          <w:lang w:eastAsia="ja-JP"/>
        </w:rPr>
        <w:t xml:space="preserve">. </w:t>
      </w:r>
      <w:r w:rsidR="001F7C04" w:rsidRPr="00A52AB8">
        <w:rPr>
          <w:lang w:eastAsia="ja-JP"/>
        </w:rPr>
        <w:t>ptl_level_idc shall be set equal to a value of 30 times the level number specified in</w:t>
      </w:r>
      <w:r w:rsidR="002414D0" w:rsidRPr="00A52AB8">
        <w:rPr>
          <w:lang w:eastAsia="ja-JP"/>
        </w:rPr>
        <w:t xml:space="preserve"> </w:t>
      </w:r>
      <w:r w:rsidR="002414D0" w:rsidRPr="00496A4D">
        <w:rPr>
          <w:lang w:eastAsia="ja-JP"/>
        </w:rPr>
        <w:fldChar w:fldCharType="begin"/>
      </w:r>
      <w:r w:rsidR="002414D0" w:rsidRPr="00A52AB8">
        <w:rPr>
          <w:lang w:eastAsia="ja-JP"/>
        </w:rPr>
        <w:instrText xml:space="preserve"> REF _Ref21427355 \h </w:instrText>
      </w:r>
      <w:r w:rsidR="00007BE2" w:rsidRPr="00A52AB8">
        <w:rPr>
          <w:lang w:eastAsia="ja-JP"/>
        </w:rPr>
        <w:instrText xml:space="preserve"> \* MERGEFORMAT </w:instrText>
      </w:r>
      <w:r w:rsidR="002414D0" w:rsidRPr="00496A4D">
        <w:rPr>
          <w:lang w:eastAsia="ja-JP"/>
        </w:rPr>
      </w:r>
      <w:r w:rsidR="002414D0" w:rsidRPr="00496A4D">
        <w:rPr>
          <w:lang w:eastAsia="ja-JP"/>
        </w:rPr>
        <w:fldChar w:fldCharType="separate"/>
      </w:r>
      <w:r w:rsidR="00507A67" w:rsidRPr="00A52AB8">
        <w:t>Table A-</w:t>
      </w:r>
      <w:r w:rsidR="00507A67">
        <w:t>5</w:t>
      </w:r>
      <w:r w:rsidR="002414D0" w:rsidRPr="00496A4D">
        <w:rPr>
          <w:lang w:eastAsia="ja-JP"/>
        </w:rPr>
        <w:fldChar w:fldCharType="end"/>
      </w:r>
      <w:r w:rsidR="001F7C04" w:rsidRPr="00A52AB8">
        <w:rPr>
          <w:lang w:eastAsia="ja-JP"/>
        </w:rPr>
        <w:t>.</w:t>
      </w:r>
    </w:p>
    <w:p w14:paraId="7B49D8B8" w14:textId="3BE54284" w:rsidR="001F7C04" w:rsidRPr="00A52AB8" w:rsidRDefault="00BD5E20" w:rsidP="00366915">
      <w:pPr>
        <w:pStyle w:val="Tabletitle0"/>
        <w:keepNext/>
      </w:pPr>
      <w:bookmarkStart w:id="4706" w:name="_Ref21427355"/>
      <w:r w:rsidRPr="00A52AB8">
        <w:t>Table A</w:t>
      </w:r>
      <w:r w:rsidR="00CA3851" w:rsidRPr="00A52AB8">
        <w:t>-</w:t>
      </w:r>
      <w:r w:rsidRPr="00496A4D">
        <w:fldChar w:fldCharType="begin"/>
      </w:r>
      <w:r w:rsidRPr="00A52AB8">
        <w:instrText xml:space="preserve"> SEQ Table \* ARABIC \s 1 </w:instrText>
      </w:r>
      <w:r w:rsidRPr="00496A4D">
        <w:fldChar w:fldCharType="separate"/>
      </w:r>
      <w:r w:rsidR="00507A67">
        <w:rPr>
          <w:noProof/>
        </w:rPr>
        <w:t>5</w:t>
      </w:r>
      <w:r w:rsidRPr="00496A4D">
        <w:fldChar w:fldCharType="end"/>
      </w:r>
      <w:bookmarkEnd w:id="4706"/>
      <w:r w:rsidR="001604C8" w:rsidRPr="00A52AB8">
        <w:rPr>
          <w:rFonts w:cs="Calibri"/>
          <w:bCs/>
        </w:rPr>
        <w:t> </w:t>
      </w:r>
      <w:r w:rsidR="001604C8" w:rsidRPr="00A52AB8">
        <w:t>– </w:t>
      </w:r>
      <w:r w:rsidRPr="00A52AB8">
        <w:rPr>
          <w:sz w:val="21"/>
          <w:szCs w:val="18"/>
        </w:rPr>
        <w:t xml:space="preserve">General </w:t>
      </w:r>
      <w:r w:rsidR="0050322B" w:rsidRPr="00A52AB8">
        <w:rPr>
          <w:sz w:val="21"/>
          <w:szCs w:val="18"/>
        </w:rPr>
        <w:t xml:space="preserve">V3C </w:t>
      </w:r>
      <w:r w:rsidR="002A7E9D" w:rsidRPr="00A52AB8">
        <w:rPr>
          <w:sz w:val="21"/>
          <w:szCs w:val="18"/>
        </w:rPr>
        <w:t xml:space="preserve">or </w:t>
      </w:r>
      <w:r w:rsidR="001D7F9E" w:rsidRPr="00A52AB8">
        <w:rPr>
          <w:sz w:val="21"/>
          <w:szCs w:val="18"/>
        </w:rPr>
        <w:t xml:space="preserve">VPS </w:t>
      </w:r>
      <w:r w:rsidR="002A7E9D" w:rsidRPr="00A52AB8">
        <w:rPr>
          <w:sz w:val="21"/>
          <w:szCs w:val="18"/>
        </w:rPr>
        <w:t xml:space="preserve">related </w:t>
      </w:r>
      <w:r w:rsidR="001D7F9E" w:rsidRPr="00A52AB8">
        <w:rPr>
          <w:sz w:val="21"/>
          <w:szCs w:val="18"/>
        </w:rPr>
        <w:t>level</w:t>
      </w:r>
      <w:r w:rsidRPr="00A52AB8">
        <w:rPr>
          <w:sz w:val="21"/>
          <w:szCs w:val="21"/>
        </w:rPr>
        <w:t xml:space="preserve"> limits</w:t>
      </w:r>
    </w:p>
    <w:tbl>
      <w:tblPr>
        <w:tblStyle w:val="TableGrid"/>
        <w:tblW w:w="4779" w:type="pct"/>
        <w:jc w:val="center"/>
        <w:tblCellMar>
          <w:top w:w="86" w:type="dxa"/>
          <w:left w:w="86" w:type="dxa"/>
          <w:bottom w:w="86" w:type="dxa"/>
          <w:right w:w="86" w:type="dxa"/>
        </w:tblCellMar>
        <w:tblLook w:val="04A0" w:firstRow="1" w:lastRow="0" w:firstColumn="1" w:lastColumn="0" w:noHBand="0" w:noVBand="1"/>
      </w:tblPr>
      <w:tblGrid>
        <w:gridCol w:w="484"/>
        <w:gridCol w:w="1257"/>
        <w:gridCol w:w="1147"/>
        <w:gridCol w:w="1147"/>
        <w:gridCol w:w="1147"/>
        <w:gridCol w:w="1075"/>
        <w:gridCol w:w="1074"/>
        <w:gridCol w:w="660"/>
        <w:gridCol w:w="660"/>
        <w:gridCol w:w="660"/>
      </w:tblGrid>
      <w:tr w:rsidR="00D6434B" w:rsidRPr="00A52AB8" w14:paraId="7CC6A84D" w14:textId="77777777" w:rsidTr="003B372E">
        <w:trPr>
          <w:cantSplit/>
          <w:trHeight w:val="3572"/>
          <w:jc w:val="center"/>
        </w:trPr>
        <w:tc>
          <w:tcPr>
            <w:tcW w:w="280" w:type="pct"/>
            <w:textDirection w:val="tbRl"/>
            <w:vAlign w:val="center"/>
          </w:tcPr>
          <w:p w14:paraId="5B0C03B4" w14:textId="77777777" w:rsidR="0031349F" w:rsidRPr="00A52AB8" w:rsidRDefault="0031349F" w:rsidP="0031349F">
            <w:pPr>
              <w:spacing w:after="0" w:line="240" w:lineRule="auto"/>
              <w:ind w:left="113" w:right="113"/>
              <w:jc w:val="center"/>
              <w:rPr>
                <w:b/>
                <w:bCs/>
                <w:sz w:val="20"/>
                <w:szCs w:val="20"/>
                <w:lang w:eastAsia="ja-JP"/>
              </w:rPr>
            </w:pPr>
            <w:r w:rsidRPr="00A52AB8">
              <w:rPr>
                <w:b/>
                <w:bCs/>
                <w:sz w:val="20"/>
                <w:szCs w:val="20"/>
                <w:lang w:eastAsia="ja-JP"/>
              </w:rPr>
              <w:t>Level</w:t>
            </w:r>
          </w:p>
        </w:tc>
        <w:tc>
          <w:tcPr>
            <w:tcW w:w="675" w:type="pct"/>
            <w:textDirection w:val="tbRl"/>
            <w:vAlign w:val="center"/>
          </w:tcPr>
          <w:p w14:paraId="76F6E9C7" w14:textId="77777777" w:rsidR="0031349F" w:rsidRPr="00A52AB8" w:rsidRDefault="0031349F" w:rsidP="0031349F">
            <w:pPr>
              <w:spacing w:after="0" w:line="240" w:lineRule="auto"/>
              <w:ind w:left="113" w:right="113"/>
              <w:jc w:val="center"/>
              <w:rPr>
                <w:rFonts w:eastAsia="Times New Roman" w:cs="Calibri"/>
                <w:b/>
                <w:bCs/>
                <w:sz w:val="20"/>
                <w:szCs w:val="20"/>
              </w:rPr>
            </w:pPr>
            <w:r w:rsidRPr="00A52AB8">
              <w:rPr>
                <w:rFonts w:eastAsia="Times New Roman"/>
                <w:b/>
                <w:bCs/>
                <w:color w:val="000000"/>
                <w:sz w:val="20"/>
                <w:szCs w:val="20"/>
              </w:rPr>
              <w:t xml:space="preserve">Max # </w:t>
            </w:r>
            <w:r w:rsidRPr="00A52AB8">
              <w:rPr>
                <w:rFonts w:eastAsia="Times New Roman" w:cs="Calibri"/>
                <w:b/>
                <w:bCs/>
                <w:sz w:val="20"/>
                <w:szCs w:val="20"/>
              </w:rPr>
              <w:t>of PROJECTED points per second</w:t>
            </w:r>
          </w:p>
          <w:p w14:paraId="79736BE1" w14:textId="680237BE" w:rsidR="0031349F" w:rsidRPr="00A52AB8" w:rsidRDefault="0031349F" w:rsidP="0031349F">
            <w:pPr>
              <w:spacing w:after="0" w:line="240" w:lineRule="auto"/>
              <w:ind w:left="113" w:right="113"/>
              <w:jc w:val="center"/>
              <w:rPr>
                <w:rFonts w:eastAsia="Times New Roman"/>
                <w:b/>
                <w:bCs/>
                <w:color w:val="000000"/>
                <w:sz w:val="20"/>
                <w:szCs w:val="20"/>
              </w:rPr>
            </w:pPr>
            <w:r w:rsidRPr="00A52AB8">
              <w:rPr>
                <w:b/>
                <w:bCs/>
                <w:sz w:val="20"/>
                <w:szCs w:val="20"/>
                <w:lang w:eastAsia="ja-JP"/>
              </w:rPr>
              <w:t>Max</w:t>
            </w:r>
            <w:r w:rsidR="006B764B" w:rsidRPr="00A52AB8">
              <w:rPr>
                <w:b/>
                <w:bCs/>
                <w:sz w:val="20"/>
                <w:szCs w:val="20"/>
                <w:lang w:eastAsia="ja-JP"/>
              </w:rPr>
              <w:t>NumProj</w:t>
            </w:r>
            <w:r w:rsidRPr="00A52AB8">
              <w:rPr>
                <w:b/>
                <w:bCs/>
                <w:sz w:val="20"/>
                <w:szCs w:val="20"/>
                <w:lang w:eastAsia="ja-JP"/>
              </w:rPr>
              <w:t>PointsPerSec</w:t>
            </w:r>
          </w:p>
        </w:tc>
        <w:tc>
          <w:tcPr>
            <w:tcW w:w="616" w:type="pct"/>
            <w:textDirection w:val="tbRl"/>
            <w:vAlign w:val="center"/>
          </w:tcPr>
          <w:p w14:paraId="5BFE88DA" w14:textId="77777777" w:rsidR="0031349F" w:rsidRPr="00A52AB8" w:rsidRDefault="0031349F" w:rsidP="0031349F">
            <w:pPr>
              <w:spacing w:after="0" w:line="240" w:lineRule="auto"/>
              <w:ind w:left="113" w:right="113"/>
              <w:jc w:val="center"/>
              <w:rPr>
                <w:rFonts w:eastAsia="Times New Roman" w:cs="Calibri"/>
                <w:b/>
                <w:bCs/>
                <w:sz w:val="20"/>
                <w:szCs w:val="20"/>
              </w:rPr>
            </w:pPr>
            <w:r w:rsidRPr="00A52AB8">
              <w:rPr>
                <w:rFonts w:eastAsia="Times New Roman"/>
                <w:b/>
                <w:bCs/>
                <w:color w:val="000000"/>
                <w:sz w:val="20"/>
                <w:szCs w:val="20"/>
              </w:rPr>
              <w:t xml:space="preserve">Max # </w:t>
            </w:r>
            <w:r w:rsidRPr="00A52AB8">
              <w:rPr>
                <w:rFonts w:eastAsia="Times New Roman" w:cs="Calibri"/>
                <w:b/>
                <w:bCs/>
                <w:sz w:val="20"/>
                <w:szCs w:val="20"/>
              </w:rPr>
              <w:t>of EOM points per second</w:t>
            </w:r>
          </w:p>
          <w:p w14:paraId="4ED5059C" w14:textId="77777777" w:rsidR="0031349F" w:rsidRPr="00A52AB8" w:rsidRDefault="0031349F" w:rsidP="0031349F">
            <w:pPr>
              <w:spacing w:after="0" w:line="240" w:lineRule="auto"/>
              <w:ind w:left="113" w:right="113"/>
              <w:jc w:val="center"/>
              <w:rPr>
                <w:rFonts w:eastAsia="Times New Roman"/>
                <w:b/>
                <w:bCs/>
                <w:color w:val="000000"/>
                <w:sz w:val="20"/>
                <w:szCs w:val="20"/>
              </w:rPr>
            </w:pPr>
            <w:r w:rsidRPr="00A52AB8">
              <w:rPr>
                <w:b/>
                <w:bCs/>
                <w:sz w:val="20"/>
                <w:szCs w:val="20"/>
                <w:lang w:eastAsia="ja-JP"/>
              </w:rPr>
              <w:t>MaxNumEOMPointsPerSec</w:t>
            </w:r>
          </w:p>
        </w:tc>
        <w:tc>
          <w:tcPr>
            <w:tcW w:w="616" w:type="pct"/>
            <w:textDirection w:val="tbRl"/>
            <w:vAlign w:val="center"/>
          </w:tcPr>
          <w:p w14:paraId="5D451985" w14:textId="77777777" w:rsidR="0031349F" w:rsidRPr="00A52AB8" w:rsidRDefault="0031349F" w:rsidP="0031349F">
            <w:pPr>
              <w:spacing w:after="0" w:line="240" w:lineRule="auto"/>
              <w:ind w:left="113" w:right="113"/>
              <w:jc w:val="center"/>
              <w:rPr>
                <w:rFonts w:eastAsia="Times New Roman" w:cs="Calibri"/>
                <w:b/>
                <w:bCs/>
                <w:sz w:val="20"/>
                <w:szCs w:val="20"/>
              </w:rPr>
            </w:pPr>
            <w:r w:rsidRPr="00A52AB8">
              <w:rPr>
                <w:rFonts w:eastAsia="Times New Roman"/>
                <w:b/>
                <w:bCs/>
                <w:color w:val="000000"/>
                <w:sz w:val="20"/>
                <w:szCs w:val="20"/>
              </w:rPr>
              <w:t xml:space="preserve">Max # </w:t>
            </w:r>
            <w:r w:rsidRPr="00A52AB8">
              <w:rPr>
                <w:rFonts w:eastAsia="Times New Roman" w:cs="Calibri"/>
                <w:b/>
                <w:bCs/>
                <w:sz w:val="20"/>
                <w:szCs w:val="20"/>
              </w:rPr>
              <w:t>of RAW points per second</w:t>
            </w:r>
          </w:p>
          <w:p w14:paraId="3EF0FA14" w14:textId="77777777" w:rsidR="0031349F" w:rsidRPr="00A52AB8" w:rsidRDefault="0031349F" w:rsidP="0031349F">
            <w:pPr>
              <w:spacing w:after="0" w:line="240" w:lineRule="auto"/>
              <w:ind w:left="113" w:right="113"/>
              <w:jc w:val="center"/>
              <w:rPr>
                <w:rFonts w:eastAsia="Times New Roman"/>
                <w:b/>
                <w:bCs/>
                <w:color w:val="000000"/>
                <w:sz w:val="20"/>
                <w:szCs w:val="20"/>
              </w:rPr>
            </w:pPr>
            <w:r w:rsidRPr="00A52AB8">
              <w:rPr>
                <w:b/>
                <w:bCs/>
                <w:sz w:val="20"/>
                <w:szCs w:val="20"/>
                <w:lang w:eastAsia="ja-JP"/>
              </w:rPr>
              <w:t>MaxNumRawPointsPerSec</w:t>
            </w:r>
          </w:p>
        </w:tc>
        <w:tc>
          <w:tcPr>
            <w:tcW w:w="616" w:type="pct"/>
            <w:textDirection w:val="tbRl"/>
            <w:vAlign w:val="center"/>
          </w:tcPr>
          <w:p w14:paraId="3DB6A749" w14:textId="77777777" w:rsidR="0031349F" w:rsidRPr="00A52AB8" w:rsidRDefault="0031349F" w:rsidP="0031349F">
            <w:pPr>
              <w:spacing w:after="0" w:line="240" w:lineRule="auto"/>
              <w:ind w:left="113" w:right="113"/>
              <w:jc w:val="center"/>
              <w:rPr>
                <w:rFonts w:eastAsia="Times New Roman" w:cs="Calibri"/>
                <w:b/>
                <w:bCs/>
                <w:sz w:val="20"/>
                <w:szCs w:val="20"/>
              </w:rPr>
            </w:pPr>
            <w:r w:rsidRPr="00A52AB8">
              <w:rPr>
                <w:rFonts w:eastAsia="Times New Roman"/>
                <w:b/>
                <w:bCs/>
                <w:color w:val="000000"/>
                <w:sz w:val="20"/>
                <w:szCs w:val="20"/>
              </w:rPr>
              <w:t xml:space="preserve">Max # </w:t>
            </w:r>
            <w:r w:rsidRPr="00A52AB8">
              <w:rPr>
                <w:rFonts w:eastAsia="Times New Roman" w:cs="Calibri"/>
                <w:b/>
                <w:bCs/>
                <w:sz w:val="20"/>
                <w:szCs w:val="20"/>
              </w:rPr>
              <w:t>of PROJECTED points per atlas</w:t>
            </w:r>
          </w:p>
          <w:p w14:paraId="233C6314" w14:textId="3821623E" w:rsidR="0031349F" w:rsidRPr="00A52AB8" w:rsidRDefault="0031349F" w:rsidP="0031349F">
            <w:pPr>
              <w:spacing w:after="0" w:line="240" w:lineRule="auto"/>
              <w:ind w:left="113" w:right="113"/>
              <w:jc w:val="center"/>
              <w:rPr>
                <w:rFonts w:eastAsia="Times New Roman"/>
                <w:b/>
                <w:bCs/>
                <w:color w:val="000000"/>
                <w:sz w:val="20"/>
                <w:szCs w:val="20"/>
              </w:rPr>
            </w:pPr>
            <w:r w:rsidRPr="00A52AB8">
              <w:rPr>
                <w:rFonts w:eastAsia="Times New Roman" w:cs="Calibri"/>
                <w:b/>
                <w:bCs/>
                <w:sz w:val="20"/>
                <w:szCs w:val="20"/>
              </w:rPr>
              <w:t>Max</w:t>
            </w:r>
            <w:r w:rsidR="006B764B" w:rsidRPr="00A52AB8">
              <w:rPr>
                <w:rFonts w:eastAsia="Times New Roman" w:cs="Calibri"/>
                <w:b/>
                <w:bCs/>
                <w:sz w:val="20"/>
                <w:szCs w:val="20"/>
              </w:rPr>
              <w:t>NumProj</w:t>
            </w:r>
            <w:r w:rsidRPr="00A52AB8">
              <w:rPr>
                <w:rFonts w:eastAsia="Times New Roman" w:cs="Calibri"/>
                <w:b/>
                <w:bCs/>
                <w:sz w:val="20"/>
                <w:szCs w:val="20"/>
              </w:rPr>
              <w:t>Points</w:t>
            </w:r>
          </w:p>
        </w:tc>
        <w:tc>
          <w:tcPr>
            <w:tcW w:w="597" w:type="pct"/>
            <w:textDirection w:val="tbRl"/>
            <w:vAlign w:val="center"/>
          </w:tcPr>
          <w:p w14:paraId="5EB1BBA6" w14:textId="77777777" w:rsidR="0031349F" w:rsidRPr="00A52AB8" w:rsidRDefault="0031349F" w:rsidP="0031349F">
            <w:pPr>
              <w:spacing w:after="0" w:line="240" w:lineRule="auto"/>
              <w:ind w:left="113" w:right="113"/>
              <w:jc w:val="center"/>
              <w:rPr>
                <w:rFonts w:eastAsia="Times New Roman"/>
                <w:b/>
                <w:bCs/>
                <w:color w:val="000000"/>
                <w:sz w:val="20"/>
                <w:szCs w:val="20"/>
              </w:rPr>
            </w:pPr>
            <w:r w:rsidRPr="00A52AB8">
              <w:rPr>
                <w:rFonts w:eastAsia="Times New Roman"/>
                <w:b/>
                <w:bCs/>
                <w:color w:val="000000"/>
                <w:sz w:val="20"/>
                <w:szCs w:val="20"/>
              </w:rPr>
              <w:t>Max # EOM points per atlas</w:t>
            </w:r>
          </w:p>
          <w:p w14:paraId="6378B0C9" w14:textId="77777777" w:rsidR="0031349F" w:rsidRPr="00A52AB8" w:rsidRDefault="0031349F" w:rsidP="0031349F">
            <w:pPr>
              <w:spacing w:after="0" w:line="240" w:lineRule="auto"/>
              <w:ind w:left="113" w:right="113"/>
              <w:jc w:val="center"/>
              <w:rPr>
                <w:rFonts w:eastAsia="Times New Roman"/>
                <w:b/>
                <w:bCs/>
                <w:color w:val="000000"/>
                <w:sz w:val="20"/>
                <w:szCs w:val="20"/>
              </w:rPr>
            </w:pPr>
            <w:r w:rsidRPr="00A52AB8">
              <w:rPr>
                <w:rFonts w:eastAsia="Times New Roman"/>
                <w:b/>
                <w:bCs/>
                <w:color w:val="000000"/>
                <w:sz w:val="20"/>
                <w:szCs w:val="20"/>
              </w:rPr>
              <w:t>MaxNumEOMPoints</w:t>
            </w:r>
          </w:p>
        </w:tc>
        <w:tc>
          <w:tcPr>
            <w:tcW w:w="596" w:type="pct"/>
            <w:textDirection w:val="tbRl"/>
            <w:vAlign w:val="center"/>
          </w:tcPr>
          <w:p w14:paraId="2822F4EC" w14:textId="77777777" w:rsidR="0031349F" w:rsidRPr="00A52AB8" w:rsidRDefault="0031349F" w:rsidP="0031349F">
            <w:pPr>
              <w:spacing w:after="0" w:line="240" w:lineRule="auto"/>
              <w:ind w:left="113" w:right="113"/>
              <w:jc w:val="center"/>
              <w:rPr>
                <w:rFonts w:eastAsia="Times New Roman"/>
                <w:b/>
                <w:bCs/>
                <w:color w:val="000000"/>
                <w:sz w:val="20"/>
                <w:szCs w:val="20"/>
              </w:rPr>
            </w:pPr>
            <w:r w:rsidRPr="00A52AB8">
              <w:rPr>
                <w:rFonts w:eastAsia="Times New Roman"/>
                <w:b/>
                <w:bCs/>
                <w:color w:val="000000"/>
                <w:sz w:val="20"/>
                <w:szCs w:val="20"/>
              </w:rPr>
              <w:t>Max # RAW points per atlas</w:t>
            </w:r>
          </w:p>
          <w:p w14:paraId="601ADCC5" w14:textId="77777777" w:rsidR="0031349F" w:rsidRPr="00A52AB8" w:rsidRDefault="0031349F" w:rsidP="0031349F">
            <w:pPr>
              <w:spacing w:after="0" w:line="240" w:lineRule="auto"/>
              <w:ind w:left="113" w:right="113"/>
              <w:jc w:val="center"/>
              <w:rPr>
                <w:rFonts w:eastAsia="Times New Roman"/>
                <w:b/>
                <w:bCs/>
                <w:color w:val="000000"/>
                <w:sz w:val="20"/>
                <w:szCs w:val="20"/>
              </w:rPr>
            </w:pPr>
            <w:r w:rsidRPr="00A52AB8">
              <w:rPr>
                <w:rFonts w:eastAsia="Times New Roman"/>
                <w:b/>
                <w:bCs/>
                <w:color w:val="000000"/>
                <w:sz w:val="20"/>
                <w:szCs w:val="20"/>
              </w:rPr>
              <w:t>MaxNumRawPoints</w:t>
            </w:r>
          </w:p>
        </w:tc>
        <w:tc>
          <w:tcPr>
            <w:tcW w:w="348" w:type="pct"/>
            <w:textDirection w:val="tbRl"/>
            <w:vAlign w:val="center"/>
          </w:tcPr>
          <w:p w14:paraId="01946602" w14:textId="77777777" w:rsidR="0031349F" w:rsidRPr="00A52AB8" w:rsidRDefault="0031349F" w:rsidP="0031349F">
            <w:pPr>
              <w:spacing w:after="0" w:line="240" w:lineRule="auto"/>
              <w:ind w:left="113" w:right="113"/>
              <w:jc w:val="center"/>
              <w:rPr>
                <w:rFonts w:eastAsia="Times New Roman"/>
                <w:b/>
                <w:bCs/>
                <w:color w:val="000000"/>
                <w:sz w:val="20"/>
                <w:szCs w:val="20"/>
              </w:rPr>
            </w:pPr>
            <w:r w:rsidRPr="00A52AB8">
              <w:rPr>
                <w:rFonts w:eastAsia="Times New Roman"/>
                <w:b/>
                <w:bCs/>
                <w:color w:val="000000"/>
                <w:sz w:val="20"/>
                <w:szCs w:val="20"/>
              </w:rPr>
              <w:t>Max # of maps</w:t>
            </w:r>
          </w:p>
          <w:p w14:paraId="351A188B" w14:textId="77777777" w:rsidR="0031349F" w:rsidRPr="00A52AB8" w:rsidRDefault="0031349F" w:rsidP="0031349F">
            <w:pPr>
              <w:spacing w:after="0" w:line="240" w:lineRule="auto"/>
              <w:ind w:left="113" w:right="113"/>
              <w:jc w:val="center"/>
              <w:rPr>
                <w:b/>
                <w:bCs/>
                <w:sz w:val="20"/>
                <w:szCs w:val="20"/>
                <w:lang w:eastAsia="ja-JP"/>
              </w:rPr>
            </w:pPr>
            <w:r w:rsidRPr="00A52AB8">
              <w:rPr>
                <w:b/>
                <w:bCs/>
                <w:sz w:val="20"/>
                <w:szCs w:val="20"/>
                <w:lang w:eastAsia="ja-JP"/>
              </w:rPr>
              <w:t>LevelMapCount</w:t>
            </w:r>
          </w:p>
        </w:tc>
        <w:tc>
          <w:tcPr>
            <w:tcW w:w="348" w:type="pct"/>
            <w:textDirection w:val="tbRl"/>
            <w:vAlign w:val="center"/>
          </w:tcPr>
          <w:p w14:paraId="452C60B7" w14:textId="77777777" w:rsidR="0031349F" w:rsidRPr="00A52AB8" w:rsidRDefault="0031349F" w:rsidP="0031349F">
            <w:pPr>
              <w:spacing w:after="0" w:line="240" w:lineRule="auto"/>
              <w:ind w:left="113" w:right="113"/>
              <w:jc w:val="center"/>
              <w:rPr>
                <w:rFonts w:eastAsia="Times New Roman"/>
                <w:b/>
                <w:bCs/>
                <w:color w:val="000000"/>
                <w:sz w:val="20"/>
                <w:szCs w:val="20"/>
              </w:rPr>
            </w:pPr>
            <w:r w:rsidRPr="00A52AB8">
              <w:rPr>
                <w:rFonts w:eastAsia="Times New Roman"/>
                <w:b/>
                <w:bCs/>
                <w:color w:val="000000"/>
                <w:sz w:val="20"/>
                <w:szCs w:val="20"/>
              </w:rPr>
              <w:t>Max # of attributes</w:t>
            </w:r>
          </w:p>
          <w:p w14:paraId="5287381D" w14:textId="77777777" w:rsidR="0031349F" w:rsidRPr="00A52AB8" w:rsidRDefault="0031349F" w:rsidP="0031349F">
            <w:pPr>
              <w:spacing w:after="0" w:line="240" w:lineRule="auto"/>
              <w:ind w:left="113" w:right="113"/>
              <w:jc w:val="center"/>
              <w:rPr>
                <w:rFonts w:eastAsia="Times New Roman"/>
                <w:b/>
                <w:bCs/>
                <w:color w:val="000000"/>
                <w:sz w:val="20"/>
                <w:szCs w:val="20"/>
              </w:rPr>
            </w:pPr>
            <w:r w:rsidRPr="00A52AB8">
              <w:rPr>
                <w:rFonts w:eastAsia="Times New Roman"/>
                <w:b/>
                <w:bCs/>
                <w:color w:val="000000"/>
                <w:sz w:val="20"/>
                <w:szCs w:val="20"/>
              </w:rPr>
              <w:t>MaxNumAttributeCount</w:t>
            </w:r>
          </w:p>
        </w:tc>
        <w:tc>
          <w:tcPr>
            <w:tcW w:w="309" w:type="pct"/>
            <w:textDirection w:val="tbRl"/>
            <w:vAlign w:val="center"/>
          </w:tcPr>
          <w:p w14:paraId="28809AC9" w14:textId="77777777" w:rsidR="0031349F" w:rsidRPr="00A52AB8" w:rsidRDefault="0031349F" w:rsidP="0031349F">
            <w:pPr>
              <w:spacing w:after="0" w:line="240" w:lineRule="auto"/>
              <w:ind w:left="113" w:right="113"/>
              <w:jc w:val="center"/>
              <w:rPr>
                <w:rFonts w:eastAsia="Times New Roman"/>
                <w:b/>
                <w:bCs/>
                <w:color w:val="000000"/>
                <w:sz w:val="20"/>
                <w:szCs w:val="20"/>
              </w:rPr>
            </w:pPr>
            <w:r w:rsidRPr="00A52AB8">
              <w:rPr>
                <w:rFonts w:eastAsia="Times New Roman"/>
                <w:b/>
                <w:bCs/>
                <w:color w:val="000000"/>
                <w:sz w:val="20"/>
                <w:szCs w:val="20"/>
              </w:rPr>
              <w:t>Max # of attribute dimensions</w:t>
            </w:r>
          </w:p>
          <w:p w14:paraId="68BEDA39" w14:textId="77777777" w:rsidR="0031349F" w:rsidRPr="00A52AB8" w:rsidRDefault="0031349F" w:rsidP="0031349F">
            <w:pPr>
              <w:spacing w:after="0" w:line="240" w:lineRule="auto"/>
              <w:ind w:left="113" w:right="113"/>
              <w:jc w:val="center"/>
              <w:rPr>
                <w:rFonts w:eastAsia="Times New Roman"/>
                <w:b/>
                <w:bCs/>
                <w:color w:val="000000"/>
                <w:sz w:val="20"/>
                <w:szCs w:val="20"/>
              </w:rPr>
            </w:pPr>
            <w:r w:rsidRPr="00A52AB8">
              <w:rPr>
                <w:rFonts w:eastAsia="Times New Roman"/>
                <w:b/>
                <w:bCs/>
                <w:color w:val="000000"/>
                <w:sz w:val="20"/>
                <w:szCs w:val="20"/>
              </w:rPr>
              <w:t>MaxNumAttributeDims</w:t>
            </w:r>
          </w:p>
        </w:tc>
      </w:tr>
      <w:tr w:rsidR="00D6434B" w:rsidRPr="00A52AB8" w14:paraId="09EEC442" w14:textId="77777777" w:rsidTr="003B372E">
        <w:trPr>
          <w:jc w:val="center"/>
        </w:trPr>
        <w:tc>
          <w:tcPr>
            <w:tcW w:w="280" w:type="pct"/>
            <w:vAlign w:val="center"/>
          </w:tcPr>
          <w:p w14:paraId="6C338BE1" w14:textId="77777777" w:rsidR="0031349F" w:rsidRPr="00A52AB8" w:rsidRDefault="0031349F" w:rsidP="0031349F">
            <w:pPr>
              <w:spacing w:after="0" w:line="240" w:lineRule="auto"/>
              <w:jc w:val="center"/>
              <w:rPr>
                <w:sz w:val="20"/>
                <w:szCs w:val="20"/>
                <w:lang w:eastAsia="ja-JP"/>
              </w:rPr>
            </w:pPr>
            <w:r w:rsidRPr="00A52AB8">
              <w:rPr>
                <w:sz w:val="20"/>
                <w:szCs w:val="20"/>
                <w:lang w:eastAsia="ja-JP"/>
              </w:rPr>
              <w:t>1.0</w:t>
            </w:r>
          </w:p>
        </w:tc>
        <w:tc>
          <w:tcPr>
            <w:tcW w:w="675" w:type="pct"/>
            <w:vAlign w:val="center"/>
          </w:tcPr>
          <w:p w14:paraId="108A24F6" w14:textId="77777777" w:rsidR="0031349F" w:rsidRPr="00A52AB8" w:rsidRDefault="0031349F" w:rsidP="0031349F">
            <w:pPr>
              <w:spacing w:after="0" w:line="240" w:lineRule="auto"/>
              <w:jc w:val="center"/>
              <w:rPr>
                <w:sz w:val="20"/>
                <w:szCs w:val="20"/>
                <w:lang w:eastAsia="ja-JP"/>
              </w:rPr>
            </w:pPr>
            <w:r w:rsidRPr="00A52AB8">
              <w:rPr>
                <w:rFonts w:eastAsia="Times New Roman" w:cs="Calibri"/>
                <w:sz w:val="20"/>
                <w:szCs w:val="20"/>
              </w:rPr>
              <w:t>30 000 000</w:t>
            </w:r>
          </w:p>
        </w:tc>
        <w:tc>
          <w:tcPr>
            <w:tcW w:w="616" w:type="pct"/>
            <w:vAlign w:val="center"/>
          </w:tcPr>
          <w:p w14:paraId="1EB8AC57" w14:textId="77777777" w:rsidR="0031349F" w:rsidRPr="00A52AB8" w:rsidRDefault="0031349F" w:rsidP="0031349F">
            <w:pPr>
              <w:spacing w:after="0" w:line="240" w:lineRule="auto"/>
              <w:jc w:val="center"/>
              <w:rPr>
                <w:sz w:val="20"/>
                <w:szCs w:val="20"/>
                <w:lang w:eastAsia="ja-JP"/>
              </w:rPr>
            </w:pPr>
            <w:r w:rsidRPr="00A52AB8">
              <w:rPr>
                <w:sz w:val="20"/>
                <w:szCs w:val="20"/>
                <w:lang w:eastAsia="ja-JP"/>
              </w:rPr>
              <w:t>1 500 000</w:t>
            </w:r>
          </w:p>
        </w:tc>
        <w:tc>
          <w:tcPr>
            <w:tcW w:w="616" w:type="pct"/>
            <w:vAlign w:val="center"/>
          </w:tcPr>
          <w:p w14:paraId="2DB83736" w14:textId="77777777" w:rsidR="0031349F" w:rsidRPr="00A52AB8" w:rsidRDefault="0031349F" w:rsidP="0031349F">
            <w:pPr>
              <w:spacing w:after="0" w:line="240" w:lineRule="auto"/>
              <w:jc w:val="center"/>
              <w:rPr>
                <w:sz w:val="20"/>
                <w:szCs w:val="20"/>
                <w:lang w:eastAsia="ja-JP"/>
              </w:rPr>
            </w:pPr>
            <w:r w:rsidRPr="00A52AB8">
              <w:rPr>
                <w:sz w:val="20"/>
                <w:szCs w:val="20"/>
                <w:lang w:eastAsia="ja-JP"/>
              </w:rPr>
              <w:t>1 500 000</w:t>
            </w:r>
          </w:p>
        </w:tc>
        <w:tc>
          <w:tcPr>
            <w:tcW w:w="616" w:type="pct"/>
            <w:vAlign w:val="center"/>
          </w:tcPr>
          <w:p w14:paraId="0F2ACF8A" w14:textId="77777777" w:rsidR="0031349F" w:rsidRPr="00A52AB8" w:rsidRDefault="0031349F" w:rsidP="0031349F">
            <w:pPr>
              <w:spacing w:after="0" w:line="240" w:lineRule="auto"/>
              <w:jc w:val="center"/>
              <w:rPr>
                <w:sz w:val="20"/>
                <w:szCs w:val="20"/>
                <w:lang w:eastAsia="ja-JP"/>
              </w:rPr>
            </w:pPr>
            <w:r w:rsidRPr="00A52AB8">
              <w:rPr>
                <w:sz w:val="20"/>
                <w:szCs w:val="20"/>
                <w:lang w:eastAsia="ja-JP"/>
              </w:rPr>
              <w:t>1 000 000</w:t>
            </w:r>
          </w:p>
        </w:tc>
        <w:tc>
          <w:tcPr>
            <w:tcW w:w="597" w:type="pct"/>
            <w:vAlign w:val="center"/>
          </w:tcPr>
          <w:p w14:paraId="78688818" w14:textId="77777777" w:rsidR="0031349F" w:rsidRPr="00A52AB8" w:rsidRDefault="0031349F" w:rsidP="0031349F">
            <w:pPr>
              <w:spacing w:after="0" w:line="240" w:lineRule="auto"/>
              <w:jc w:val="center"/>
              <w:rPr>
                <w:sz w:val="20"/>
                <w:szCs w:val="20"/>
                <w:lang w:eastAsia="ja-JP"/>
              </w:rPr>
            </w:pPr>
            <w:r w:rsidRPr="00A52AB8">
              <w:rPr>
                <w:sz w:val="20"/>
                <w:szCs w:val="20"/>
                <w:lang w:eastAsia="ja-JP"/>
              </w:rPr>
              <w:t>50 000</w:t>
            </w:r>
          </w:p>
        </w:tc>
        <w:tc>
          <w:tcPr>
            <w:tcW w:w="596" w:type="pct"/>
            <w:vAlign w:val="center"/>
          </w:tcPr>
          <w:p w14:paraId="5D39EBF1" w14:textId="77777777" w:rsidR="0031349F" w:rsidRPr="00A52AB8" w:rsidRDefault="0031349F" w:rsidP="0031349F">
            <w:pPr>
              <w:spacing w:after="0" w:line="240" w:lineRule="auto"/>
              <w:jc w:val="center"/>
              <w:rPr>
                <w:sz w:val="20"/>
                <w:szCs w:val="20"/>
                <w:lang w:eastAsia="ja-JP"/>
              </w:rPr>
            </w:pPr>
            <w:r w:rsidRPr="00A52AB8">
              <w:rPr>
                <w:sz w:val="20"/>
                <w:szCs w:val="20"/>
                <w:lang w:eastAsia="ja-JP"/>
              </w:rPr>
              <w:t>50 000</w:t>
            </w:r>
          </w:p>
        </w:tc>
        <w:tc>
          <w:tcPr>
            <w:tcW w:w="348" w:type="pct"/>
            <w:vAlign w:val="center"/>
          </w:tcPr>
          <w:p w14:paraId="121D53B2" w14:textId="77777777" w:rsidR="0031349F" w:rsidRPr="00A52AB8" w:rsidRDefault="0031349F" w:rsidP="0031349F">
            <w:pPr>
              <w:spacing w:after="0" w:line="240" w:lineRule="auto"/>
              <w:jc w:val="center"/>
              <w:rPr>
                <w:sz w:val="20"/>
                <w:szCs w:val="20"/>
                <w:lang w:eastAsia="ja-JP"/>
              </w:rPr>
            </w:pPr>
            <w:r w:rsidRPr="00A52AB8">
              <w:rPr>
                <w:sz w:val="20"/>
                <w:szCs w:val="20"/>
                <w:lang w:eastAsia="ja-JP"/>
              </w:rPr>
              <w:t>2</w:t>
            </w:r>
          </w:p>
        </w:tc>
        <w:tc>
          <w:tcPr>
            <w:tcW w:w="348" w:type="pct"/>
            <w:vAlign w:val="center"/>
          </w:tcPr>
          <w:p w14:paraId="0A2090A9" w14:textId="77777777" w:rsidR="0031349F" w:rsidRPr="00A52AB8" w:rsidRDefault="0031349F" w:rsidP="0031349F">
            <w:pPr>
              <w:spacing w:after="0" w:line="240" w:lineRule="auto"/>
              <w:jc w:val="center"/>
              <w:rPr>
                <w:sz w:val="20"/>
                <w:szCs w:val="20"/>
                <w:lang w:eastAsia="ja-JP"/>
              </w:rPr>
            </w:pPr>
            <w:r w:rsidRPr="00A52AB8">
              <w:rPr>
                <w:sz w:val="20"/>
                <w:szCs w:val="20"/>
                <w:lang w:eastAsia="ja-JP"/>
              </w:rPr>
              <w:t>1</w:t>
            </w:r>
          </w:p>
        </w:tc>
        <w:tc>
          <w:tcPr>
            <w:tcW w:w="309" w:type="pct"/>
            <w:vAlign w:val="center"/>
          </w:tcPr>
          <w:p w14:paraId="1E5A5154" w14:textId="77777777" w:rsidR="0031349F" w:rsidRPr="00A52AB8" w:rsidRDefault="0031349F" w:rsidP="0031349F">
            <w:pPr>
              <w:spacing w:after="0" w:line="240" w:lineRule="auto"/>
              <w:jc w:val="center"/>
              <w:rPr>
                <w:sz w:val="20"/>
                <w:szCs w:val="20"/>
                <w:lang w:eastAsia="ja-JP"/>
              </w:rPr>
            </w:pPr>
            <w:r w:rsidRPr="00A52AB8">
              <w:rPr>
                <w:sz w:val="20"/>
                <w:szCs w:val="20"/>
                <w:lang w:eastAsia="ja-JP"/>
              </w:rPr>
              <w:t>3</w:t>
            </w:r>
          </w:p>
        </w:tc>
      </w:tr>
      <w:tr w:rsidR="00D6434B" w:rsidRPr="00A52AB8" w14:paraId="60EDB937" w14:textId="77777777" w:rsidTr="003B372E">
        <w:trPr>
          <w:jc w:val="center"/>
        </w:trPr>
        <w:tc>
          <w:tcPr>
            <w:tcW w:w="280" w:type="pct"/>
            <w:vAlign w:val="center"/>
          </w:tcPr>
          <w:p w14:paraId="27EBC90E" w14:textId="77777777" w:rsidR="0031349F" w:rsidRPr="00A52AB8" w:rsidRDefault="0031349F" w:rsidP="0031349F">
            <w:pPr>
              <w:spacing w:after="0" w:line="240" w:lineRule="auto"/>
              <w:jc w:val="center"/>
              <w:rPr>
                <w:sz w:val="20"/>
                <w:szCs w:val="20"/>
                <w:lang w:eastAsia="ja-JP"/>
              </w:rPr>
            </w:pPr>
            <w:r w:rsidRPr="00A52AB8">
              <w:rPr>
                <w:sz w:val="20"/>
                <w:szCs w:val="20"/>
                <w:lang w:eastAsia="ja-JP"/>
              </w:rPr>
              <w:t>1.5</w:t>
            </w:r>
          </w:p>
        </w:tc>
        <w:tc>
          <w:tcPr>
            <w:tcW w:w="675" w:type="pct"/>
            <w:vAlign w:val="center"/>
          </w:tcPr>
          <w:p w14:paraId="1B8CF6F4" w14:textId="77777777" w:rsidR="0031349F" w:rsidRPr="00A52AB8" w:rsidRDefault="0031349F" w:rsidP="0031349F">
            <w:pPr>
              <w:spacing w:after="0" w:line="240" w:lineRule="auto"/>
              <w:jc w:val="center"/>
              <w:rPr>
                <w:sz w:val="20"/>
                <w:szCs w:val="20"/>
                <w:lang w:eastAsia="ja-JP"/>
              </w:rPr>
            </w:pPr>
            <w:r w:rsidRPr="00A52AB8">
              <w:rPr>
                <w:rFonts w:eastAsia="Times New Roman" w:cs="Calibri"/>
                <w:sz w:val="20"/>
                <w:szCs w:val="20"/>
              </w:rPr>
              <w:t>60 000 000</w:t>
            </w:r>
          </w:p>
        </w:tc>
        <w:tc>
          <w:tcPr>
            <w:tcW w:w="616" w:type="pct"/>
            <w:vAlign w:val="center"/>
          </w:tcPr>
          <w:p w14:paraId="09EAB274" w14:textId="77777777" w:rsidR="0031349F" w:rsidRPr="00A52AB8" w:rsidRDefault="0031349F" w:rsidP="0031349F">
            <w:pPr>
              <w:spacing w:after="0" w:line="240" w:lineRule="auto"/>
              <w:jc w:val="center"/>
              <w:rPr>
                <w:sz w:val="20"/>
                <w:szCs w:val="20"/>
                <w:lang w:eastAsia="ja-JP"/>
              </w:rPr>
            </w:pPr>
            <w:r w:rsidRPr="00A52AB8">
              <w:rPr>
                <w:sz w:val="20"/>
                <w:szCs w:val="20"/>
                <w:lang w:eastAsia="ja-JP"/>
              </w:rPr>
              <w:t>3 000 000</w:t>
            </w:r>
          </w:p>
        </w:tc>
        <w:tc>
          <w:tcPr>
            <w:tcW w:w="616" w:type="pct"/>
            <w:vAlign w:val="center"/>
          </w:tcPr>
          <w:p w14:paraId="0BCCCE61" w14:textId="77777777" w:rsidR="0031349F" w:rsidRPr="00A52AB8" w:rsidRDefault="0031349F" w:rsidP="0031349F">
            <w:pPr>
              <w:spacing w:after="0" w:line="240" w:lineRule="auto"/>
              <w:jc w:val="center"/>
              <w:rPr>
                <w:sz w:val="20"/>
                <w:szCs w:val="20"/>
                <w:lang w:eastAsia="ja-JP"/>
              </w:rPr>
            </w:pPr>
            <w:r w:rsidRPr="00A52AB8">
              <w:rPr>
                <w:sz w:val="20"/>
                <w:szCs w:val="20"/>
                <w:lang w:eastAsia="ja-JP"/>
              </w:rPr>
              <w:t>3 000 000</w:t>
            </w:r>
          </w:p>
        </w:tc>
        <w:tc>
          <w:tcPr>
            <w:tcW w:w="616" w:type="pct"/>
            <w:vAlign w:val="center"/>
          </w:tcPr>
          <w:p w14:paraId="4B162898" w14:textId="77777777" w:rsidR="0031349F" w:rsidRPr="00A52AB8" w:rsidRDefault="0031349F" w:rsidP="0031349F">
            <w:pPr>
              <w:spacing w:after="0" w:line="240" w:lineRule="auto"/>
              <w:jc w:val="center"/>
              <w:rPr>
                <w:sz w:val="20"/>
                <w:szCs w:val="20"/>
                <w:lang w:eastAsia="ja-JP"/>
              </w:rPr>
            </w:pPr>
            <w:r w:rsidRPr="00A52AB8">
              <w:rPr>
                <w:sz w:val="20"/>
                <w:szCs w:val="20"/>
                <w:lang w:eastAsia="ja-JP"/>
              </w:rPr>
              <w:t>2 000 000</w:t>
            </w:r>
          </w:p>
        </w:tc>
        <w:tc>
          <w:tcPr>
            <w:tcW w:w="597" w:type="pct"/>
            <w:vAlign w:val="center"/>
          </w:tcPr>
          <w:p w14:paraId="2C202264" w14:textId="77777777" w:rsidR="0031349F" w:rsidRPr="00A52AB8" w:rsidRDefault="0031349F" w:rsidP="0031349F">
            <w:pPr>
              <w:spacing w:after="0" w:line="240" w:lineRule="auto"/>
              <w:jc w:val="center"/>
              <w:rPr>
                <w:sz w:val="20"/>
                <w:szCs w:val="20"/>
                <w:lang w:eastAsia="ja-JP"/>
              </w:rPr>
            </w:pPr>
            <w:r w:rsidRPr="00A52AB8">
              <w:rPr>
                <w:sz w:val="20"/>
                <w:szCs w:val="20"/>
                <w:lang w:eastAsia="ja-JP"/>
              </w:rPr>
              <w:t>100 000</w:t>
            </w:r>
          </w:p>
        </w:tc>
        <w:tc>
          <w:tcPr>
            <w:tcW w:w="596" w:type="pct"/>
            <w:vAlign w:val="center"/>
          </w:tcPr>
          <w:p w14:paraId="67D421A1" w14:textId="77777777" w:rsidR="0031349F" w:rsidRPr="00A52AB8" w:rsidRDefault="0031349F" w:rsidP="0031349F">
            <w:pPr>
              <w:spacing w:after="0" w:line="240" w:lineRule="auto"/>
              <w:jc w:val="center"/>
              <w:rPr>
                <w:sz w:val="20"/>
                <w:szCs w:val="20"/>
                <w:lang w:eastAsia="ja-JP"/>
              </w:rPr>
            </w:pPr>
            <w:r w:rsidRPr="00A52AB8">
              <w:rPr>
                <w:sz w:val="20"/>
                <w:szCs w:val="20"/>
                <w:lang w:eastAsia="ja-JP"/>
              </w:rPr>
              <w:t>100 000</w:t>
            </w:r>
          </w:p>
        </w:tc>
        <w:tc>
          <w:tcPr>
            <w:tcW w:w="348" w:type="pct"/>
            <w:vAlign w:val="center"/>
          </w:tcPr>
          <w:p w14:paraId="501B0C62" w14:textId="77777777" w:rsidR="0031349F" w:rsidRPr="00A52AB8" w:rsidRDefault="0031349F" w:rsidP="0031349F">
            <w:pPr>
              <w:spacing w:after="0" w:line="240" w:lineRule="auto"/>
              <w:jc w:val="center"/>
              <w:rPr>
                <w:sz w:val="20"/>
                <w:szCs w:val="20"/>
                <w:lang w:eastAsia="ja-JP"/>
              </w:rPr>
            </w:pPr>
            <w:r w:rsidRPr="00A52AB8">
              <w:rPr>
                <w:sz w:val="20"/>
                <w:szCs w:val="20"/>
                <w:lang w:eastAsia="ja-JP"/>
              </w:rPr>
              <w:t>2</w:t>
            </w:r>
          </w:p>
        </w:tc>
        <w:tc>
          <w:tcPr>
            <w:tcW w:w="348" w:type="pct"/>
            <w:vAlign w:val="center"/>
          </w:tcPr>
          <w:p w14:paraId="38B6DED9" w14:textId="77777777" w:rsidR="0031349F" w:rsidRPr="00A52AB8" w:rsidRDefault="0031349F" w:rsidP="0031349F">
            <w:pPr>
              <w:spacing w:after="0" w:line="240" w:lineRule="auto"/>
              <w:jc w:val="center"/>
              <w:rPr>
                <w:sz w:val="20"/>
                <w:szCs w:val="20"/>
                <w:lang w:eastAsia="ja-JP"/>
              </w:rPr>
            </w:pPr>
            <w:r w:rsidRPr="00A52AB8">
              <w:rPr>
                <w:sz w:val="20"/>
                <w:szCs w:val="20"/>
                <w:lang w:eastAsia="ja-JP"/>
              </w:rPr>
              <w:t>3</w:t>
            </w:r>
          </w:p>
        </w:tc>
        <w:tc>
          <w:tcPr>
            <w:tcW w:w="309" w:type="pct"/>
            <w:vAlign w:val="center"/>
          </w:tcPr>
          <w:p w14:paraId="5A8FFD1A" w14:textId="77777777" w:rsidR="0031349F" w:rsidRPr="00A52AB8" w:rsidRDefault="0031349F" w:rsidP="0031349F">
            <w:pPr>
              <w:spacing w:after="0" w:line="240" w:lineRule="auto"/>
              <w:jc w:val="center"/>
              <w:rPr>
                <w:sz w:val="20"/>
                <w:szCs w:val="20"/>
                <w:lang w:eastAsia="ja-JP"/>
              </w:rPr>
            </w:pPr>
            <w:r w:rsidRPr="00A52AB8">
              <w:rPr>
                <w:sz w:val="20"/>
                <w:szCs w:val="20"/>
                <w:lang w:eastAsia="ja-JP"/>
              </w:rPr>
              <w:t>3</w:t>
            </w:r>
          </w:p>
        </w:tc>
      </w:tr>
      <w:tr w:rsidR="00D6434B" w:rsidRPr="00A52AB8" w14:paraId="5D8A5B09" w14:textId="77777777" w:rsidTr="003B372E">
        <w:trPr>
          <w:jc w:val="center"/>
        </w:trPr>
        <w:tc>
          <w:tcPr>
            <w:tcW w:w="280" w:type="pct"/>
            <w:vAlign w:val="center"/>
          </w:tcPr>
          <w:p w14:paraId="1AE76CF7" w14:textId="77777777" w:rsidR="0031349F" w:rsidRPr="00A52AB8" w:rsidRDefault="0031349F" w:rsidP="0031349F">
            <w:pPr>
              <w:spacing w:after="0" w:line="240" w:lineRule="auto"/>
              <w:jc w:val="center"/>
              <w:rPr>
                <w:sz w:val="20"/>
                <w:szCs w:val="20"/>
                <w:lang w:eastAsia="ja-JP"/>
              </w:rPr>
            </w:pPr>
            <w:r w:rsidRPr="00A52AB8">
              <w:rPr>
                <w:sz w:val="20"/>
                <w:szCs w:val="20"/>
                <w:lang w:eastAsia="ja-JP"/>
              </w:rPr>
              <w:t>2.0</w:t>
            </w:r>
          </w:p>
        </w:tc>
        <w:tc>
          <w:tcPr>
            <w:tcW w:w="675" w:type="pct"/>
            <w:vAlign w:val="center"/>
          </w:tcPr>
          <w:p w14:paraId="3B4C0E7B" w14:textId="77777777" w:rsidR="0031349F" w:rsidRPr="00A52AB8" w:rsidRDefault="0031349F" w:rsidP="0031349F">
            <w:pPr>
              <w:spacing w:after="0" w:line="240" w:lineRule="auto"/>
              <w:jc w:val="center"/>
              <w:rPr>
                <w:rFonts w:eastAsia="Times New Roman" w:cs="Calibri"/>
                <w:sz w:val="20"/>
                <w:szCs w:val="20"/>
              </w:rPr>
            </w:pPr>
            <w:r w:rsidRPr="00A52AB8">
              <w:rPr>
                <w:rFonts w:eastAsia="Times New Roman" w:cs="Calibri"/>
                <w:sz w:val="20"/>
                <w:szCs w:val="20"/>
              </w:rPr>
              <w:t>120 000 000</w:t>
            </w:r>
          </w:p>
        </w:tc>
        <w:tc>
          <w:tcPr>
            <w:tcW w:w="616" w:type="pct"/>
            <w:vAlign w:val="center"/>
          </w:tcPr>
          <w:p w14:paraId="6FD45AD9" w14:textId="77777777" w:rsidR="0031349F" w:rsidRPr="00A52AB8" w:rsidRDefault="0031349F" w:rsidP="0031349F">
            <w:pPr>
              <w:spacing w:after="0" w:line="240" w:lineRule="auto"/>
              <w:jc w:val="center"/>
              <w:rPr>
                <w:sz w:val="20"/>
                <w:szCs w:val="20"/>
                <w:lang w:eastAsia="ja-JP"/>
              </w:rPr>
            </w:pPr>
            <w:r w:rsidRPr="00A52AB8">
              <w:rPr>
                <w:sz w:val="20"/>
                <w:szCs w:val="20"/>
                <w:lang w:eastAsia="ja-JP"/>
              </w:rPr>
              <w:t>6 000 000</w:t>
            </w:r>
          </w:p>
        </w:tc>
        <w:tc>
          <w:tcPr>
            <w:tcW w:w="616" w:type="pct"/>
            <w:vAlign w:val="center"/>
          </w:tcPr>
          <w:p w14:paraId="40AE32B0" w14:textId="77777777" w:rsidR="0031349F" w:rsidRPr="00A52AB8" w:rsidRDefault="0031349F" w:rsidP="0031349F">
            <w:pPr>
              <w:spacing w:after="0" w:line="240" w:lineRule="auto"/>
              <w:jc w:val="center"/>
              <w:rPr>
                <w:sz w:val="20"/>
                <w:szCs w:val="20"/>
                <w:lang w:eastAsia="ja-JP"/>
              </w:rPr>
            </w:pPr>
            <w:r w:rsidRPr="00A52AB8">
              <w:rPr>
                <w:sz w:val="20"/>
                <w:szCs w:val="20"/>
                <w:lang w:eastAsia="ja-JP"/>
              </w:rPr>
              <w:t>6 000 000</w:t>
            </w:r>
          </w:p>
        </w:tc>
        <w:tc>
          <w:tcPr>
            <w:tcW w:w="616" w:type="pct"/>
            <w:vAlign w:val="center"/>
          </w:tcPr>
          <w:p w14:paraId="75DB6D84" w14:textId="77777777" w:rsidR="0031349F" w:rsidRPr="00A52AB8" w:rsidRDefault="0031349F" w:rsidP="0031349F">
            <w:pPr>
              <w:spacing w:after="0" w:line="240" w:lineRule="auto"/>
              <w:jc w:val="center"/>
              <w:rPr>
                <w:sz w:val="20"/>
                <w:szCs w:val="20"/>
                <w:lang w:eastAsia="ja-JP"/>
              </w:rPr>
            </w:pPr>
            <w:r w:rsidRPr="00A52AB8">
              <w:rPr>
                <w:sz w:val="20"/>
                <w:szCs w:val="20"/>
                <w:lang w:eastAsia="ja-JP"/>
              </w:rPr>
              <w:t>4 000 000</w:t>
            </w:r>
          </w:p>
        </w:tc>
        <w:tc>
          <w:tcPr>
            <w:tcW w:w="597" w:type="pct"/>
            <w:vAlign w:val="center"/>
          </w:tcPr>
          <w:p w14:paraId="7E054A26" w14:textId="77777777" w:rsidR="0031349F" w:rsidRPr="00A52AB8" w:rsidRDefault="0031349F" w:rsidP="0031349F">
            <w:pPr>
              <w:spacing w:after="0" w:line="240" w:lineRule="auto"/>
              <w:jc w:val="center"/>
              <w:rPr>
                <w:sz w:val="20"/>
                <w:szCs w:val="20"/>
                <w:lang w:eastAsia="ja-JP"/>
              </w:rPr>
            </w:pPr>
            <w:r w:rsidRPr="00A52AB8">
              <w:rPr>
                <w:sz w:val="20"/>
                <w:szCs w:val="20"/>
                <w:lang w:eastAsia="ja-JP"/>
              </w:rPr>
              <w:t>200 000</w:t>
            </w:r>
          </w:p>
        </w:tc>
        <w:tc>
          <w:tcPr>
            <w:tcW w:w="596" w:type="pct"/>
            <w:vAlign w:val="center"/>
          </w:tcPr>
          <w:p w14:paraId="2BFA94E8" w14:textId="77777777" w:rsidR="0031349F" w:rsidRPr="00A52AB8" w:rsidRDefault="0031349F" w:rsidP="0031349F">
            <w:pPr>
              <w:spacing w:after="0" w:line="240" w:lineRule="auto"/>
              <w:jc w:val="center"/>
              <w:rPr>
                <w:sz w:val="20"/>
                <w:szCs w:val="20"/>
                <w:lang w:eastAsia="ja-JP"/>
              </w:rPr>
            </w:pPr>
            <w:r w:rsidRPr="00A52AB8">
              <w:rPr>
                <w:sz w:val="20"/>
                <w:szCs w:val="20"/>
                <w:lang w:eastAsia="ja-JP"/>
              </w:rPr>
              <w:t>200 000</w:t>
            </w:r>
          </w:p>
        </w:tc>
        <w:tc>
          <w:tcPr>
            <w:tcW w:w="348" w:type="pct"/>
            <w:vAlign w:val="center"/>
          </w:tcPr>
          <w:p w14:paraId="472F60EC" w14:textId="77777777" w:rsidR="0031349F" w:rsidRPr="00A52AB8" w:rsidRDefault="0031349F" w:rsidP="0031349F">
            <w:pPr>
              <w:spacing w:after="0" w:line="240" w:lineRule="auto"/>
              <w:jc w:val="center"/>
              <w:rPr>
                <w:sz w:val="20"/>
                <w:szCs w:val="20"/>
                <w:lang w:eastAsia="ja-JP"/>
              </w:rPr>
            </w:pPr>
            <w:r w:rsidRPr="00A52AB8">
              <w:rPr>
                <w:sz w:val="20"/>
                <w:szCs w:val="20"/>
                <w:lang w:eastAsia="ja-JP"/>
              </w:rPr>
              <w:t>4</w:t>
            </w:r>
          </w:p>
        </w:tc>
        <w:tc>
          <w:tcPr>
            <w:tcW w:w="348" w:type="pct"/>
            <w:vAlign w:val="center"/>
          </w:tcPr>
          <w:p w14:paraId="7FA61300" w14:textId="77777777" w:rsidR="0031349F" w:rsidRPr="00A52AB8" w:rsidRDefault="0031349F" w:rsidP="0031349F">
            <w:pPr>
              <w:spacing w:after="0" w:line="240" w:lineRule="auto"/>
              <w:jc w:val="center"/>
              <w:rPr>
                <w:sz w:val="20"/>
                <w:szCs w:val="20"/>
                <w:lang w:eastAsia="ja-JP"/>
              </w:rPr>
            </w:pPr>
            <w:r w:rsidRPr="00A52AB8">
              <w:rPr>
                <w:sz w:val="20"/>
                <w:szCs w:val="20"/>
                <w:lang w:eastAsia="ja-JP"/>
              </w:rPr>
              <w:t>4</w:t>
            </w:r>
          </w:p>
        </w:tc>
        <w:tc>
          <w:tcPr>
            <w:tcW w:w="309" w:type="pct"/>
            <w:vAlign w:val="center"/>
          </w:tcPr>
          <w:p w14:paraId="2133DBF7" w14:textId="77777777" w:rsidR="0031349F" w:rsidRPr="00A52AB8" w:rsidRDefault="0031349F" w:rsidP="0031349F">
            <w:pPr>
              <w:spacing w:after="0" w:line="240" w:lineRule="auto"/>
              <w:jc w:val="center"/>
              <w:rPr>
                <w:sz w:val="20"/>
                <w:szCs w:val="20"/>
                <w:lang w:eastAsia="ja-JP"/>
              </w:rPr>
            </w:pPr>
            <w:r w:rsidRPr="00A52AB8">
              <w:rPr>
                <w:sz w:val="20"/>
                <w:szCs w:val="20"/>
                <w:lang w:eastAsia="ja-JP"/>
              </w:rPr>
              <w:t>3</w:t>
            </w:r>
          </w:p>
        </w:tc>
      </w:tr>
      <w:tr w:rsidR="00D6434B" w:rsidRPr="00A52AB8" w14:paraId="6ABF6636" w14:textId="77777777" w:rsidTr="003B372E">
        <w:trPr>
          <w:jc w:val="center"/>
        </w:trPr>
        <w:tc>
          <w:tcPr>
            <w:tcW w:w="280" w:type="pct"/>
            <w:vAlign w:val="center"/>
          </w:tcPr>
          <w:p w14:paraId="1FD34CFA" w14:textId="77777777" w:rsidR="0031349F" w:rsidRPr="00A52AB8" w:rsidRDefault="0031349F" w:rsidP="0031349F">
            <w:pPr>
              <w:spacing w:after="0" w:line="240" w:lineRule="auto"/>
              <w:jc w:val="center"/>
              <w:rPr>
                <w:sz w:val="20"/>
                <w:szCs w:val="20"/>
                <w:lang w:eastAsia="ja-JP"/>
              </w:rPr>
            </w:pPr>
            <w:r w:rsidRPr="00A52AB8">
              <w:rPr>
                <w:sz w:val="20"/>
                <w:szCs w:val="20"/>
                <w:lang w:eastAsia="ja-JP"/>
              </w:rPr>
              <w:t>2.5</w:t>
            </w:r>
          </w:p>
        </w:tc>
        <w:tc>
          <w:tcPr>
            <w:tcW w:w="675" w:type="pct"/>
            <w:vAlign w:val="center"/>
          </w:tcPr>
          <w:p w14:paraId="083CCB18" w14:textId="77777777" w:rsidR="0031349F" w:rsidRPr="00A52AB8" w:rsidRDefault="0031349F" w:rsidP="0031349F">
            <w:pPr>
              <w:spacing w:after="0" w:line="240" w:lineRule="auto"/>
              <w:jc w:val="center"/>
              <w:rPr>
                <w:rFonts w:eastAsia="Times New Roman" w:cs="Calibri"/>
                <w:sz w:val="20"/>
                <w:szCs w:val="20"/>
              </w:rPr>
            </w:pPr>
            <w:r w:rsidRPr="00A52AB8">
              <w:rPr>
                <w:rFonts w:eastAsia="Times New Roman" w:cs="Calibri"/>
                <w:sz w:val="20"/>
                <w:szCs w:val="20"/>
              </w:rPr>
              <w:t>240 000 000</w:t>
            </w:r>
          </w:p>
        </w:tc>
        <w:tc>
          <w:tcPr>
            <w:tcW w:w="616" w:type="pct"/>
            <w:vAlign w:val="center"/>
          </w:tcPr>
          <w:p w14:paraId="1F481B02" w14:textId="77777777" w:rsidR="0031349F" w:rsidRPr="00A52AB8" w:rsidRDefault="0031349F" w:rsidP="0031349F">
            <w:pPr>
              <w:spacing w:after="0" w:line="240" w:lineRule="auto"/>
              <w:jc w:val="center"/>
              <w:rPr>
                <w:sz w:val="20"/>
                <w:szCs w:val="20"/>
                <w:lang w:eastAsia="ja-JP"/>
              </w:rPr>
            </w:pPr>
            <w:r w:rsidRPr="00A52AB8">
              <w:rPr>
                <w:sz w:val="20"/>
                <w:szCs w:val="20"/>
                <w:lang w:eastAsia="ja-JP"/>
              </w:rPr>
              <w:t>12 000 000</w:t>
            </w:r>
          </w:p>
        </w:tc>
        <w:tc>
          <w:tcPr>
            <w:tcW w:w="616" w:type="pct"/>
            <w:vAlign w:val="center"/>
          </w:tcPr>
          <w:p w14:paraId="2C40D38D" w14:textId="77777777" w:rsidR="0031349F" w:rsidRPr="00A52AB8" w:rsidRDefault="0031349F" w:rsidP="0031349F">
            <w:pPr>
              <w:spacing w:after="0" w:line="240" w:lineRule="auto"/>
              <w:jc w:val="center"/>
              <w:rPr>
                <w:sz w:val="20"/>
                <w:szCs w:val="20"/>
                <w:lang w:eastAsia="ja-JP"/>
              </w:rPr>
            </w:pPr>
            <w:r w:rsidRPr="00A52AB8">
              <w:rPr>
                <w:sz w:val="20"/>
                <w:szCs w:val="20"/>
                <w:lang w:eastAsia="ja-JP"/>
              </w:rPr>
              <w:t>12 000 000</w:t>
            </w:r>
          </w:p>
        </w:tc>
        <w:tc>
          <w:tcPr>
            <w:tcW w:w="616" w:type="pct"/>
            <w:vAlign w:val="center"/>
          </w:tcPr>
          <w:p w14:paraId="4E008810" w14:textId="77777777" w:rsidR="0031349F" w:rsidRPr="00A52AB8" w:rsidRDefault="0031349F" w:rsidP="0031349F">
            <w:pPr>
              <w:spacing w:after="0" w:line="240" w:lineRule="auto"/>
              <w:jc w:val="center"/>
              <w:rPr>
                <w:sz w:val="20"/>
                <w:szCs w:val="20"/>
                <w:lang w:eastAsia="ja-JP"/>
              </w:rPr>
            </w:pPr>
            <w:r w:rsidRPr="00A52AB8">
              <w:rPr>
                <w:sz w:val="20"/>
                <w:szCs w:val="20"/>
                <w:lang w:eastAsia="ja-JP"/>
              </w:rPr>
              <w:t>8 000 000</w:t>
            </w:r>
          </w:p>
        </w:tc>
        <w:tc>
          <w:tcPr>
            <w:tcW w:w="597" w:type="pct"/>
            <w:vAlign w:val="center"/>
          </w:tcPr>
          <w:p w14:paraId="05709E5D" w14:textId="77777777" w:rsidR="0031349F" w:rsidRPr="00A52AB8" w:rsidRDefault="0031349F" w:rsidP="0031349F">
            <w:pPr>
              <w:spacing w:after="0" w:line="240" w:lineRule="auto"/>
              <w:jc w:val="center"/>
              <w:rPr>
                <w:sz w:val="20"/>
                <w:szCs w:val="20"/>
                <w:lang w:eastAsia="ja-JP"/>
              </w:rPr>
            </w:pPr>
            <w:r w:rsidRPr="00A52AB8">
              <w:rPr>
                <w:sz w:val="20"/>
                <w:szCs w:val="20"/>
                <w:lang w:eastAsia="ja-JP"/>
              </w:rPr>
              <w:t>400 000</w:t>
            </w:r>
          </w:p>
        </w:tc>
        <w:tc>
          <w:tcPr>
            <w:tcW w:w="596" w:type="pct"/>
            <w:vAlign w:val="center"/>
          </w:tcPr>
          <w:p w14:paraId="4C781360" w14:textId="77777777" w:rsidR="0031349F" w:rsidRPr="00A52AB8" w:rsidRDefault="0031349F" w:rsidP="0031349F">
            <w:pPr>
              <w:spacing w:after="0" w:line="240" w:lineRule="auto"/>
              <w:jc w:val="center"/>
              <w:rPr>
                <w:sz w:val="20"/>
                <w:szCs w:val="20"/>
                <w:lang w:eastAsia="ja-JP"/>
              </w:rPr>
            </w:pPr>
            <w:r w:rsidRPr="00A52AB8">
              <w:rPr>
                <w:sz w:val="20"/>
                <w:szCs w:val="20"/>
                <w:lang w:eastAsia="ja-JP"/>
              </w:rPr>
              <w:t>400 000</w:t>
            </w:r>
          </w:p>
        </w:tc>
        <w:tc>
          <w:tcPr>
            <w:tcW w:w="348" w:type="pct"/>
            <w:vAlign w:val="center"/>
          </w:tcPr>
          <w:p w14:paraId="358C2F8E" w14:textId="77777777" w:rsidR="0031349F" w:rsidRPr="00A52AB8" w:rsidRDefault="0031349F" w:rsidP="0031349F">
            <w:pPr>
              <w:spacing w:after="0" w:line="240" w:lineRule="auto"/>
              <w:jc w:val="center"/>
              <w:rPr>
                <w:sz w:val="20"/>
                <w:szCs w:val="20"/>
                <w:lang w:eastAsia="ja-JP"/>
              </w:rPr>
            </w:pPr>
            <w:r w:rsidRPr="00A52AB8">
              <w:rPr>
                <w:sz w:val="20"/>
                <w:szCs w:val="20"/>
                <w:lang w:eastAsia="ja-JP"/>
              </w:rPr>
              <w:t>4</w:t>
            </w:r>
          </w:p>
        </w:tc>
        <w:tc>
          <w:tcPr>
            <w:tcW w:w="348" w:type="pct"/>
            <w:vAlign w:val="center"/>
          </w:tcPr>
          <w:p w14:paraId="5E0920B8" w14:textId="77777777" w:rsidR="0031349F" w:rsidRPr="00A52AB8" w:rsidRDefault="0031349F" w:rsidP="0031349F">
            <w:pPr>
              <w:spacing w:after="0" w:line="240" w:lineRule="auto"/>
              <w:jc w:val="center"/>
              <w:rPr>
                <w:sz w:val="20"/>
                <w:szCs w:val="20"/>
                <w:lang w:eastAsia="ja-JP"/>
              </w:rPr>
            </w:pPr>
            <w:r w:rsidRPr="00A52AB8">
              <w:rPr>
                <w:sz w:val="20"/>
                <w:szCs w:val="20"/>
                <w:lang w:eastAsia="ja-JP"/>
              </w:rPr>
              <w:t>8</w:t>
            </w:r>
          </w:p>
        </w:tc>
        <w:tc>
          <w:tcPr>
            <w:tcW w:w="309" w:type="pct"/>
            <w:vAlign w:val="center"/>
          </w:tcPr>
          <w:p w14:paraId="1F390D49" w14:textId="77777777" w:rsidR="0031349F" w:rsidRPr="00A52AB8" w:rsidRDefault="0031349F" w:rsidP="0031349F">
            <w:pPr>
              <w:spacing w:after="0" w:line="240" w:lineRule="auto"/>
              <w:jc w:val="center"/>
              <w:rPr>
                <w:sz w:val="20"/>
                <w:szCs w:val="20"/>
                <w:lang w:eastAsia="ja-JP"/>
              </w:rPr>
            </w:pPr>
            <w:r w:rsidRPr="00A52AB8">
              <w:rPr>
                <w:sz w:val="20"/>
                <w:szCs w:val="20"/>
                <w:lang w:eastAsia="ja-JP"/>
              </w:rPr>
              <w:t>4</w:t>
            </w:r>
          </w:p>
        </w:tc>
      </w:tr>
      <w:tr w:rsidR="00D6434B" w:rsidRPr="00A52AB8" w14:paraId="5C042D81" w14:textId="77777777" w:rsidTr="003B372E">
        <w:trPr>
          <w:jc w:val="center"/>
        </w:trPr>
        <w:tc>
          <w:tcPr>
            <w:tcW w:w="280" w:type="pct"/>
            <w:vAlign w:val="center"/>
          </w:tcPr>
          <w:p w14:paraId="4BC10467" w14:textId="77777777" w:rsidR="0031349F" w:rsidRPr="00A52AB8" w:rsidRDefault="0031349F" w:rsidP="0031349F">
            <w:pPr>
              <w:spacing w:after="0" w:line="240" w:lineRule="auto"/>
              <w:jc w:val="center"/>
              <w:rPr>
                <w:sz w:val="20"/>
                <w:szCs w:val="20"/>
                <w:lang w:eastAsia="ja-JP"/>
              </w:rPr>
            </w:pPr>
            <w:r w:rsidRPr="00A52AB8">
              <w:rPr>
                <w:sz w:val="20"/>
                <w:szCs w:val="20"/>
                <w:lang w:eastAsia="ja-JP"/>
              </w:rPr>
              <w:t>3.0</w:t>
            </w:r>
          </w:p>
        </w:tc>
        <w:tc>
          <w:tcPr>
            <w:tcW w:w="675" w:type="pct"/>
            <w:vAlign w:val="center"/>
          </w:tcPr>
          <w:p w14:paraId="46D2B4A4" w14:textId="77777777" w:rsidR="0031349F" w:rsidRPr="00A52AB8" w:rsidRDefault="0031349F" w:rsidP="0031349F">
            <w:pPr>
              <w:spacing w:after="0" w:line="240" w:lineRule="auto"/>
              <w:jc w:val="center"/>
              <w:rPr>
                <w:rFonts w:eastAsia="Times New Roman" w:cs="Calibri"/>
                <w:sz w:val="20"/>
                <w:szCs w:val="20"/>
              </w:rPr>
            </w:pPr>
            <w:r w:rsidRPr="00A52AB8">
              <w:rPr>
                <w:rFonts w:eastAsia="Times New Roman" w:cs="Calibri"/>
                <w:sz w:val="20"/>
                <w:szCs w:val="20"/>
              </w:rPr>
              <w:t>480 000 000</w:t>
            </w:r>
          </w:p>
        </w:tc>
        <w:tc>
          <w:tcPr>
            <w:tcW w:w="616" w:type="pct"/>
            <w:vAlign w:val="center"/>
          </w:tcPr>
          <w:p w14:paraId="1C68CD86" w14:textId="77777777" w:rsidR="0031349F" w:rsidRPr="00A52AB8" w:rsidRDefault="0031349F" w:rsidP="0031349F">
            <w:pPr>
              <w:spacing w:after="0" w:line="240" w:lineRule="auto"/>
              <w:jc w:val="center"/>
              <w:rPr>
                <w:sz w:val="20"/>
                <w:szCs w:val="20"/>
                <w:lang w:eastAsia="ja-JP"/>
              </w:rPr>
            </w:pPr>
            <w:r w:rsidRPr="00A52AB8">
              <w:rPr>
                <w:sz w:val="20"/>
                <w:szCs w:val="20"/>
                <w:lang w:eastAsia="ja-JP"/>
              </w:rPr>
              <w:t>24</w:t>
            </w:r>
            <w:r w:rsidR="00FF3E2B" w:rsidRPr="00A52AB8">
              <w:rPr>
                <w:sz w:val="20"/>
                <w:szCs w:val="20"/>
                <w:lang w:eastAsia="ja-JP"/>
              </w:rPr>
              <w:t> 0</w:t>
            </w:r>
            <w:r w:rsidRPr="00A52AB8">
              <w:rPr>
                <w:sz w:val="20"/>
                <w:szCs w:val="20"/>
                <w:lang w:eastAsia="ja-JP"/>
              </w:rPr>
              <w:t>00 000</w:t>
            </w:r>
          </w:p>
        </w:tc>
        <w:tc>
          <w:tcPr>
            <w:tcW w:w="616" w:type="pct"/>
            <w:vAlign w:val="center"/>
          </w:tcPr>
          <w:p w14:paraId="7BA14E44" w14:textId="77777777" w:rsidR="0031349F" w:rsidRPr="00A52AB8" w:rsidRDefault="0031349F" w:rsidP="0031349F">
            <w:pPr>
              <w:spacing w:after="0" w:line="240" w:lineRule="auto"/>
              <w:jc w:val="center"/>
              <w:rPr>
                <w:sz w:val="20"/>
                <w:szCs w:val="20"/>
                <w:lang w:eastAsia="ja-JP"/>
              </w:rPr>
            </w:pPr>
            <w:r w:rsidRPr="00A52AB8">
              <w:rPr>
                <w:sz w:val="20"/>
                <w:szCs w:val="20"/>
                <w:lang w:eastAsia="ja-JP"/>
              </w:rPr>
              <w:t>24</w:t>
            </w:r>
            <w:r w:rsidR="00FF3E2B" w:rsidRPr="00A52AB8">
              <w:rPr>
                <w:sz w:val="20"/>
                <w:szCs w:val="20"/>
                <w:lang w:eastAsia="ja-JP"/>
              </w:rPr>
              <w:t> 0</w:t>
            </w:r>
            <w:r w:rsidRPr="00A52AB8">
              <w:rPr>
                <w:sz w:val="20"/>
                <w:szCs w:val="20"/>
                <w:lang w:eastAsia="ja-JP"/>
              </w:rPr>
              <w:t>00 000</w:t>
            </w:r>
          </w:p>
        </w:tc>
        <w:tc>
          <w:tcPr>
            <w:tcW w:w="616" w:type="pct"/>
            <w:vAlign w:val="center"/>
          </w:tcPr>
          <w:p w14:paraId="76447691" w14:textId="77777777" w:rsidR="0031349F" w:rsidRPr="00A52AB8" w:rsidRDefault="0031349F" w:rsidP="0031349F">
            <w:pPr>
              <w:spacing w:after="0" w:line="240" w:lineRule="auto"/>
              <w:jc w:val="center"/>
              <w:rPr>
                <w:sz w:val="20"/>
                <w:szCs w:val="20"/>
                <w:lang w:eastAsia="ja-JP"/>
              </w:rPr>
            </w:pPr>
            <w:r w:rsidRPr="00A52AB8">
              <w:rPr>
                <w:sz w:val="20"/>
                <w:szCs w:val="20"/>
                <w:lang w:eastAsia="ja-JP"/>
              </w:rPr>
              <w:t>16 000 000</w:t>
            </w:r>
          </w:p>
        </w:tc>
        <w:tc>
          <w:tcPr>
            <w:tcW w:w="597" w:type="pct"/>
            <w:vAlign w:val="center"/>
          </w:tcPr>
          <w:p w14:paraId="3B85A039" w14:textId="77777777" w:rsidR="0031349F" w:rsidRPr="00A52AB8" w:rsidRDefault="0031349F" w:rsidP="0031349F">
            <w:pPr>
              <w:spacing w:after="0" w:line="240" w:lineRule="auto"/>
              <w:jc w:val="center"/>
              <w:rPr>
                <w:sz w:val="20"/>
                <w:szCs w:val="20"/>
                <w:lang w:eastAsia="ja-JP"/>
              </w:rPr>
            </w:pPr>
            <w:r w:rsidRPr="00A52AB8">
              <w:rPr>
                <w:sz w:val="20"/>
                <w:szCs w:val="20"/>
                <w:lang w:eastAsia="ja-JP"/>
              </w:rPr>
              <w:t>800 000</w:t>
            </w:r>
          </w:p>
        </w:tc>
        <w:tc>
          <w:tcPr>
            <w:tcW w:w="596" w:type="pct"/>
            <w:vAlign w:val="center"/>
          </w:tcPr>
          <w:p w14:paraId="106074D0" w14:textId="77777777" w:rsidR="0031349F" w:rsidRPr="00A52AB8" w:rsidRDefault="0031349F" w:rsidP="0031349F">
            <w:pPr>
              <w:spacing w:after="0" w:line="240" w:lineRule="auto"/>
              <w:jc w:val="center"/>
              <w:rPr>
                <w:sz w:val="20"/>
                <w:szCs w:val="20"/>
                <w:lang w:eastAsia="ja-JP"/>
              </w:rPr>
            </w:pPr>
            <w:r w:rsidRPr="00A52AB8">
              <w:rPr>
                <w:sz w:val="20"/>
                <w:szCs w:val="20"/>
                <w:lang w:eastAsia="ja-JP"/>
              </w:rPr>
              <w:t>800 000</w:t>
            </w:r>
          </w:p>
        </w:tc>
        <w:tc>
          <w:tcPr>
            <w:tcW w:w="348" w:type="pct"/>
            <w:vAlign w:val="center"/>
          </w:tcPr>
          <w:p w14:paraId="5F6E1BB0" w14:textId="77777777" w:rsidR="0031349F" w:rsidRPr="00A52AB8" w:rsidRDefault="0031349F" w:rsidP="0031349F">
            <w:pPr>
              <w:spacing w:after="0" w:line="240" w:lineRule="auto"/>
              <w:jc w:val="center"/>
              <w:rPr>
                <w:sz w:val="20"/>
                <w:szCs w:val="20"/>
                <w:lang w:eastAsia="ja-JP"/>
              </w:rPr>
            </w:pPr>
            <w:r w:rsidRPr="00A52AB8">
              <w:rPr>
                <w:sz w:val="20"/>
                <w:szCs w:val="20"/>
                <w:lang w:eastAsia="ja-JP"/>
              </w:rPr>
              <w:t>8</w:t>
            </w:r>
          </w:p>
        </w:tc>
        <w:tc>
          <w:tcPr>
            <w:tcW w:w="348" w:type="pct"/>
            <w:vAlign w:val="center"/>
          </w:tcPr>
          <w:p w14:paraId="1E291DC2" w14:textId="77777777" w:rsidR="0031349F" w:rsidRPr="00A52AB8" w:rsidRDefault="0031349F" w:rsidP="0031349F">
            <w:pPr>
              <w:spacing w:after="0" w:line="240" w:lineRule="auto"/>
              <w:jc w:val="center"/>
              <w:rPr>
                <w:sz w:val="20"/>
                <w:szCs w:val="20"/>
                <w:lang w:eastAsia="ja-JP"/>
              </w:rPr>
            </w:pPr>
            <w:r w:rsidRPr="00A52AB8">
              <w:rPr>
                <w:sz w:val="20"/>
                <w:szCs w:val="20"/>
                <w:lang w:eastAsia="ja-JP"/>
              </w:rPr>
              <w:t>16</w:t>
            </w:r>
          </w:p>
        </w:tc>
        <w:tc>
          <w:tcPr>
            <w:tcW w:w="309" w:type="pct"/>
            <w:vAlign w:val="center"/>
          </w:tcPr>
          <w:p w14:paraId="2A6767C1" w14:textId="77777777" w:rsidR="0031349F" w:rsidRPr="00A52AB8" w:rsidRDefault="0031349F" w:rsidP="0031349F">
            <w:pPr>
              <w:spacing w:after="0" w:line="240" w:lineRule="auto"/>
              <w:jc w:val="center"/>
              <w:rPr>
                <w:sz w:val="20"/>
                <w:szCs w:val="20"/>
                <w:lang w:eastAsia="ja-JP"/>
              </w:rPr>
            </w:pPr>
            <w:r w:rsidRPr="00A52AB8">
              <w:rPr>
                <w:sz w:val="20"/>
                <w:szCs w:val="20"/>
                <w:lang w:eastAsia="ja-JP"/>
              </w:rPr>
              <w:t>5</w:t>
            </w:r>
          </w:p>
        </w:tc>
      </w:tr>
      <w:tr w:rsidR="00D6434B" w:rsidRPr="00A52AB8" w14:paraId="6A80A605" w14:textId="77777777" w:rsidTr="003B372E">
        <w:trPr>
          <w:jc w:val="center"/>
        </w:trPr>
        <w:tc>
          <w:tcPr>
            <w:tcW w:w="280" w:type="pct"/>
            <w:vAlign w:val="center"/>
          </w:tcPr>
          <w:p w14:paraId="27529843" w14:textId="77777777" w:rsidR="0031349F" w:rsidRPr="00A52AB8" w:rsidRDefault="0031349F" w:rsidP="0031349F">
            <w:pPr>
              <w:spacing w:after="0" w:line="240" w:lineRule="auto"/>
              <w:jc w:val="center"/>
              <w:rPr>
                <w:sz w:val="20"/>
                <w:szCs w:val="20"/>
                <w:lang w:eastAsia="ja-JP"/>
              </w:rPr>
            </w:pPr>
            <w:r w:rsidRPr="00A52AB8">
              <w:rPr>
                <w:sz w:val="20"/>
                <w:szCs w:val="20"/>
                <w:lang w:eastAsia="ja-JP"/>
              </w:rPr>
              <w:t>3.5</w:t>
            </w:r>
          </w:p>
        </w:tc>
        <w:tc>
          <w:tcPr>
            <w:tcW w:w="675" w:type="pct"/>
            <w:vAlign w:val="center"/>
          </w:tcPr>
          <w:p w14:paraId="26A8197C" w14:textId="77777777" w:rsidR="0031349F" w:rsidRPr="00A52AB8" w:rsidRDefault="0031349F" w:rsidP="0031349F">
            <w:pPr>
              <w:spacing w:after="0" w:line="240" w:lineRule="auto"/>
              <w:jc w:val="center"/>
              <w:rPr>
                <w:rFonts w:eastAsia="Times New Roman" w:cs="Calibri"/>
                <w:sz w:val="20"/>
                <w:szCs w:val="20"/>
              </w:rPr>
            </w:pPr>
            <w:r w:rsidRPr="00A52AB8">
              <w:rPr>
                <w:rFonts w:eastAsia="Times New Roman" w:cs="Calibri"/>
                <w:sz w:val="20"/>
                <w:szCs w:val="20"/>
              </w:rPr>
              <w:t>960 000 000</w:t>
            </w:r>
          </w:p>
        </w:tc>
        <w:tc>
          <w:tcPr>
            <w:tcW w:w="616" w:type="pct"/>
            <w:vAlign w:val="center"/>
          </w:tcPr>
          <w:p w14:paraId="19E6670B" w14:textId="77777777" w:rsidR="0031349F" w:rsidRPr="00A52AB8" w:rsidRDefault="0031349F" w:rsidP="0031349F">
            <w:pPr>
              <w:spacing w:after="0" w:line="240" w:lineRule="auto"/>
              <w:jc w:val="center"/>
              <w:rPr>
                <w:sz w:val="20"/>
                <w:szCs w:val="20"/>
                <w:lang w:eastAsia="ja-JP"/>
              </w:rPr>
            </w:pPr>
            <w:r w:rsidRPr="00A52AB8">
              <w:rPr>
                <w:sz w:val="20"/>
                <w:szCs w:val="20"/>
                <w:lang w:eastAsia="ja-JP"/>
              </w:rPr>
              <w:t>48</w:t>
            </w:r>
            <w:r w:rsidR="00FF3E2B" w:rsidRPr="00A52AB8">
              <w:rPr>
                <w:sz w:val="20"/>
                <w:szCs w:val="20"/>
                <w:lang w:eastAsia="ja-JP"/>
              </w:rPr>
              <w:t> 0</w:t>
            </w:r>
            <w:r w:rsidRPr="00A52AB8">
              <w:rPr>
                <w:sz w:val="20"/>
                <w:szCs w:val="20"/>
                <w:lang w:eastAsia="ja-JP"/>
              </w:rPr>
              <w:t>00 000</w:t>
            </w:r>
          </w:p>
        </w:tc>
        <w:tc>
          <w:tcPr>
            <w:tcW w:w="616" w:type="pct"/>
            <w:vAlign w:val="center"/>
          </w:tcPr>
          <w:p w14:paraId="370BBEEE" w14:textId="77777777" w:rsidR="0031349F" w:rsidRPr="00A52AB8" w:rsidRDefault="0031349F" w:rsidP="0031349F">
            <w:pPr>
              <w:spacing w:after="0" w:line="240" w:lineRule="auto"/>
              <w:jc w:val="center"/>
              <w:rPr>
                <w:sz w:val="20"/>
                <w:szCs w:val="20"/>
                <w:lang w:eastAsia="ja-JP"/>
              </w:rPr>
            </w:pPr>
            <w:r w:rsidRPr="00A52AB8">
              <w:rPr>
                <w:sz w:val="20"/>
                <w:szCs w:val="20"/>
                <w:lang w:eastAsia="ja-JP"/>
              </w:rPr>
              <w:t>48</w:t>
            </w:r>
            <w:r w:rsidR="00FF3E2B" w:rsidRPr="00A52AB8">
              <w:rPr>
                <w:sz w:val="20"/>
                <w:szCs w:val="20"/>
                <w:lang w:eastAsia="ja-JP"/>
              </w:rPr>
              <w:t> 0</w:t>
            </w:r>
            <w:r w:rsidRPr="00A52AB8">
              <w:rPr>
                <w:sz w:val="20"/>
                <w:szCs w:val="20"/>
                <w:lang w:eastAsia="ja-JP"/>
              </w:rPr>
              <w:t>00 000</w:t>
            </w:r>
          </w:p>
        </w:tc>
        <w:tc>
          <w:tcPr>
            <w:tcW w:w="616" w:type="pct"/>
            <w:vAlign w:val="center"/>
          </w:tcPr>
          <w:p w14:paraId="58A87133" w14:textId="77777777" w:rsidR="0031349F" w:rsidRPr="00A52AB8" w:rsidRDefault="0031349F" w:rsidP="0031349F">
            <w:pPr>
              <w:spacing w:after="0" w:line="240" w:lineRule="auto"/>
              <w:jc w:val="center"/>
              <w:rPr>
                <w:sz w:val="20"/>
                <w:szCs w:val="20"/>
                <w:lang w:eastAsia="ja-JP"/>
              </w:rPr>
            </w:pPr>
            <w:r w:rsidRPr="00A52AB8">
              <w:rPr>
                <w:sz w:val="20"/>
                <w:szCs w:val="20"/>
                <w:lang w:eastAsia="ja-JP"/>
              </w:rPr>
              <w:t>32 000 000</w:t>
            </w:r>
          </w:p>
        </w:tc>
        <w:tc>
          <w:tcPr>
            <w:tcW w:w="597" w:type="pct"/>
            <w:vAlign w:val="center"/>
          </w:tcPr>
          <w:p w14:paraId="510B88F8" w14:textId="77777777" w:rsidR="0031349F" w:rsidRPr="00A52AB8" w:rsidRDefault="0031349F" w:rsidP="0031349F">
            <w:pPr>
              <w:spacing w:after="0" w:line="240" w:lineRule="auto"/>
              <w:jc w:val="center"/>
              <w:rPr>
                <w:sz w:val="20"/>
                <w:szCs w:val="20"/>
                <w:lang w:eastAsia="ja-JP"/>
              </w:rPr>
            </w:pPr>
            <w:r w:rsidRPr="00A52AB8">
              <w:rPr>
                <w:sz w:val="20"/>
                <w:szCs w:val="20"/>
                <w:lang w:eastAsia="ja-JP"/>
              </w:rPr>
              <w:t>1 600 000</w:t>
            </w:r>
          </w:p>
        </w:tc>
        <w:tc>
          <w:tcPr>
            <w:tcW w:w="596" w:type="pct"/>
            <w:vAlign w:val="center"/>
          </w:tcPr>
          <w:p w14:paraId="42926AF5" w14:textId="77777777" w:rsidR="0031349F" w:rsidRPr="00A52AB8" w:rsidRDefault="0031349F" w:rsidP="0031349F">
            <w:pPr>
              <w:spacing w:after="0" w:line="240" w:lineRule="auto"/>
              <w:jc w:val="center"/>
              <w:rPr>
                <w:sz w:val="20"/>
                <w:szCs w:val="20"/>
                <w:lang w:eastAsia="ja-JP"/>
              </w:rPr>
            </w:pPr>
            <w:r w:rsidRPr="00A52AB8">
              <w:rPr>
                <w:sz w:val="20"/>
                <w:szCs w:val="20"/>
                <w:lang w:eastAsia="ja-JP"/>
              </w:rPr>
              <w:t>1 600 000</w:t>
            </w:r>
          </w:p>
        </w:tc>
        <w:tc>
          <w:tcPr>
            <w:tcW w:w="348" w:type="pct"/>
            <w:vAlign w:val="center"/>
          </w:tcPr>
          <w:p w14:paraId="061E232E" w14:textId="77777777" w:rsidR="0031349F" w:rsidRPr="00A52AB8" w:rsidRDefault="0031349F" w:rsidP="0031349F">
            <w:pPr>
              <w:spacing w:after="0" w:line="240" w:lineRule="auto"/>
              <w:jc w:val="center"/>
              <w:rPr>
                <w:sz w:val="20"/>
                <w:szCs w:val="20"/>
                <w:lang w:eastAsia="ja-JP"/>
              </w:rPr>
            </w:pPr>
            <w:r w:rsidRPr="00A52AB8">
              <w:rPr>
                <w:sz w:val="20"/>
                <w:szCs w:val="20"/>
                <w:lang w:eastAsia="ja-JP"/>
              </w:rPr>
              <w:t>8</w:t>
            </w:r>
          </w:p>
        </w:tc>
        <w:tc>
          <w:tcPr>
            <w:tcW w:w="348" w:type="pct"/>
            <w:vAlign w:val="center"/>
          </w:tcPr>
          <w:p w14:paraId="4D385DF2" w14:textId="77777777" w:rsidR="0031349F" w:rsidRPr="00A52AB8" w:rsidRDefault="0031349F" w:rsidP="0031349F">
            <w:pPr>
              <w:spacing w:after="0" w:line="240" w:lineRule="auto"/>
              <w:jc w:val="center"/>
              <w:rPr>
                <w:sz w:val="20"/>
                <w:szCs w:val="20"/>
                <w:lang w:eastAsia="ja-JP"/>
              </w:rPr>
            </w:pPr>
            <w:r w:rsidRPr="00A52AB8">
              <w:rPr>
                <w:sz w:val="20"/>
                <w:szCs w:val="20"/>
                <w:lang w:eastAsia="ja-JP"/>
              </w:rPr>
              <w:t>24</w:t>
            </w:r>
          </w:p>
        </w:tc>
        <w:tc>
          <w:tcPr>
            <w:tcW w:w="309" w:type="pct"/>
            <w:vAlign w:val="center"/>
          </w:tcPr>
          <w:p w14:paraId="0678FCA3" w14:textId="77777777" w:rsidR="0031349F" w:rsidRPr="00A52AB8" w:rsidRDefault="0031349F" w:rsidP="0031349F">
            <w:pPr>
              <w:spacing w:after="0" w:line="240" w:lineRule="auto"/>
              <w:jc w:val="center"/>
              <w:rPr>
                <w:sz w:val="20"/>
                <w:szCs w:val="20"/>
                <w:lang w:eastAsia="ja-JP"/>
              </w:rPr>
            </w:pPr>
            <w:r w:rsidRPr="00A52AB8">
              <w:rPr>
                <w:sz w:val="20"/>
                <w:szCs w:val="20"/>
                <w:lang w:eastAsia="ja-JP"/>
              </w:rPr>
              <w:t>6</w:t>
            </w:r>
          </w:p>
        </w:tc>
      </w:tr>
    </w:tbl>
    <w:p w14:paraId="646DFF7B" w14:textId="2969CF83" w:rsidR="00AB37DA" w:rsidRPr="00A52AB8" w:rsidRDefault="0040249A" w:rsidP="003819BE">
      <w:pPr>
        <w:spacing w:before="240"/>
        <w:rPr>
          <w:lang w:eastAsia="ja-JP"/>
        </w:rPr>
      </w:pPr>
      <w:r w:rsidRPr="00496A4D">
        <w:rPr>
          <w:lang w:eastAsia="ja-JP"/>
        </w:rPr>
        <w:fldChar w:fldCharType="begin"/>
      </w:r>
      <w:r w:rsidRPr="00A52AB8">
        <w:rPr>
          <w:lang w:eastAsia="ja-JP"/>
        </w:rPr>
        <w:instrText xml:space="preserve"> REF _Ref21427355 \h </w:instrText>
      </w:r>
      <w:r w:rsidR="00CA5401" w:rsidRPr="00A52AB8">
        <w:rPr>
          <w:lang w:eastAsia="ja-JP"/>
        </w:rPr>
        <w:instrText xml:space="preserve"> \* MERGEFORMAT </w:instrText>
      </w:r>
      <w:r w:rsidRPr="00496A4D">
        <w:rPr>
          <w:lang w:eastAsia="ja-JP"/>
        </w:rPr>
      </w:r>
      <w:r w:rsidRPr="00496A4D">
        <w:rPr>
          <w:lang w:eastAsia="ja-JP"/>
        </w:rPr>
        <w:fldChar w:fldCharType="separate"/>
      </w:r>
      <w:r w:rsidR="00507A67" w:rsidRPr="00A52AB8">
        <w:t>Table A-</w:t>
      </w:r>
      <w:r w:rsidR="00507A67">
        <w:t>5</w:t>
      </w:r>
      <w:r w:rsidRPr="00496A4D">
        <w:rPr>
          <w:lang w:eastAsia="ja-JP"/>
        </w:rPr>
        <w:fldChar w:fldCharType="end"/>
      </w:r>
      <w:r w:rsidRPr="00A52AB8">
        <w:rPr>
          <w:lang w:eastAsia="ja-JP"/>
        </w:rPr>
        <w:t xml:space="preserve"> </w:t>
      </w:r>
      <w:r w:rsidR="00AB37DA" w:rsidRPr="00A52AB8">
        <w:rPr>
          <w:lang w:eastAsia="ja-JP"/>
        </w:rPr>
        <w:t xml:space="preserve">specifies the general </w:t>
      </w:r>
      <w:r w:rsidR="0050322B" w:rsidRPr="00A52AB8">
        <w:rPr>
          <w:lang w:eastAsia="ja-JP"/>
        </w:rPr>
        <w:t>V3C</w:t>
      </w:r>
      <w:r w:rsidR="00AB37DA" w:rsidRPr="00A52AB8">
        <w:rPr>
          <w:lang w:eastAsia="ja-JP"/>
        </w:rPr>
        <w:t xml:space="preserve"> and VPS related limits for each level of each tier.</w:t>
      </w:r>
    </w:p>
    <w:p w14:paraId="4BB04A51" w14:textId="5445CD3B" w:rsidR="00357D78" w:rsidRPr="00A52AB8" w:rsidRDefault="00357D78" w:rsidP="00357D78">
      <w:r w:rsidRPr="00A52AB8">
        <w:rPr>
          <w:color w:val="000000" w:themeColor="text1"/>
        </w:rPr>
        <w:t>Let the variable t0</w:t>
      </w:r>
      <w:r w:rsidR="009065B3" w:rsidRPr="00A52AB8">
        <w:rPr>
          <w:color w:val="000000" w:themeColor="text1"/>
        </w:rPr>
        <w:t xml:space="preserve"> </w:t>
      </w:r>
      <w:r w:rsidRPr="00A52AB8">
        <w:rPr>
          <w:color w:val="000000" w:themeColor="text1"/>
        </w:rPr>
        <w:t>denote t</w:t>
      </w:r>
      <w:r w:rsidRPr="00A52AB8">
        <w:t xml:space="preserve">he time instance </w:t>
      </w:r>
      <w:r w:rsidR="00D80121" w:rsidRPr="00A52AB8">
        <w:t xml:space="preserve">in milliseconds </w:t>
      </w:r>
      <w:r w:rsidRPr="00A52AB8">
        <w:t xml:space="preserve">at which the first bit of </w:t>
      </w:r>
      <w:r w:rsidR="009065B3" w:rsidRPr="00A52AB8">
        <w:t xml:space="preserve">the </w:t>
      </w:r>
      <w:r w:rsidRPr="00A52AB8">
        <w:t>coded atlas access unit 0 begins to enter the CAB.</w:t>
      </w:r>
    </w:p>
    <w:p w14:paraId="7E6B5E1B" w14:textId="185796FF" w:rsidR="00AE3755" w:rsidRPr="00A52AB8" w:rsidRDefault="00AE3755" w:rsidP="00AE3755">
      <w:pPr>
        <w:rPr>
          <w:lang w:eastAsia="ja-JP"/>
        </w:rPr>
      </w:pPr>
      <w:r w:rsidRPr="00A52AB8">
        <w:rPr>
          <w:color w:val="000000" w:themeColor="text1"/>
        </w:rPr>
        <w:t>For any time t1 greater than or equal to t0, the</w:t>
      </w:r>
      <w:r w:rsidRPr="00A52AB8">
        <w:rPr>
          <w:lang w:eastAsia="ja-JP"/>
        </w:rPr>
        <w:t xml:space="preserve"> variables </w:t>
      </w:r>
      <w:r w:rsidRPr="00A52AB8">
        <w:rPr>
          <w:color w:val="000000" w:themeColor="text1"/>
        </w:rPr>
        <w:t>NumProjPointsPerSec, NumRawPointsPerSec, and NumEOMPointsPerSec</w:t>
      </w:r>
      <w:r w:rsidRPr="00A52AB8">
        <w:rPr>
          <w:lang w:eastAsia="ja-JP"/>
        </w:rPr>
        <w:t xml:space="preserve">, are defined and </w:t>
      </w:r>
      <w:r w:rsidRPr="00A52AB8">
        <w:rPr>
          <w:color w:val="000000" w:themeColor="text1"/>
        </w:rPr>
        <w:t>set equal to the total number of NumProjPoints,</w:t>
      </w:r>
      <w:r w:rsidRPr="00A52AB8">
        <w:t xml:space="preserve"> </w:t>
      </w:r>
      <w:r w:rsidRPr="00A52AB8">
        <w:rPr>
          <w:color w:val="000000" w:themeColor="text1"/>
        </w:rPr>
        <w:t xml:space="preserve">NumRawPoints, and NumEOMPoints, respectively, of the volumetric frames that are output </w:t>
      </w:r>
      <w:r w:rsidR="00C35E8F" w:rsidRPr="00A52AB8">
        <w:t>for all values of t, with t1 </w:t>
      </w:r>
      <w:r w:rsidR="00A234FD" w:rsidRPr="00A52AB8">
        <w:t>&lt;=</w:t>
      </w:r>
      <w:r w:rsidR="00D47707" w:rsidRPr="00A52AB8">
        <w:t> </w:t>
      </w:r>
      <w:r w:rsidR="00C35E8F" w:rsidRPr="00A52AB8">
        <w:t>t &lt; t1 + 1 000</w:t>
      </w:r>
      <w:r w:rsidR="001206A5" w:rsidRPr="00A52AB8">
        <w:rPr>
          <w:color w:val="000000" w:themeColor="text1"/>
        </w:rPr>
        <w:t xml:space="preserve">. </w:t>
      </w:r>
      <w:r w:rsidRPr="00A52AB8">
        <w:rPr>
          <w:lang w:eastAsia="ja-JP"/>
        </w:rPr>
        <w:t>NumRawPoints and NumEOMPoints are specified in subclause </w:t>
      </w:r>
      <w:r w:rsidRPr="00496A4D">
        <w:rPr>
          <w:lang w:eastAsia="ja-JP"/>
        </w:rPr>
        <w:fldChar w:fldCharType="begin"/>
      </w:r>
      <w:r w:rsidRPr="00A52AB8">
        <w:rPr>
          <w:lang w:eastAsia="ja-JP"/>
        </w:rPr>
        <w:instrText xml:space="preserve"> REF _Ref43981624 \r \h  \* MERGEFORMAT </w:instrText>
      </w:r>
      <w:r w:rsidRPr="00496A4D">
        <w:rPr>
          <w:lang w:eastAsia="ja-JP"/>
        </w:rPr>
      </w:r>
      <w:r w:rsidRPr="00496A4D">
        <w:rPr>
          <w:lang w:eastAsia="ja-JP"/>
        </w:rPr>
        <w:fldChar w:fldCharType="separate"/>
      </w:r>
      <w:r w:rsidR="00507A67">
        <w:rPr>
          <w:lang w:eastAsia="ja-JP"/>
        </w:rPr>
        <w:t>9.2.7</w:t>
      </w:r>
      <w:r w:rsidRPr="00496A4D">
        <w:rPr>
          <w:lang w:eastAsia="ja-JP"/>
        </w:rPr>
        <w:fldChar w:fldCharType="end"/>
      </w:r>
      <w:r w:rsidRPr="00A52AB8">
        <w:rPr>
          <w:lang w:eastAsia="ja-JP"/>
        </w:rPr>
        <w:t>, and NumProjPoints is specified in subclause </w:t>
      </w:r>
      <w:r w:rsidRPr="00496A4D">
        <w:rPr>
          <w:lang w:eastAsia="ja-JP"/>
        </w:rPr>
        <w:fldChar w:fldCharType="begin"/>
      </w:r>
      <w:r w:rsidRPr="00A52AB8">
        <w:rPr>
          <w:lang w:eastAsia="ja-JP"/>
        </w:rPr>
        <w:instrText xml:space="preserve"> REF _Ref41830040 \r \h  \* MERGEFORMAT </w:instrText>
      </w:r>
      <w:r w:rsidRPr="00496A4D">
        <w:rPr>
          <w:lang w:eastAsia="ja-JP"/>
        </w:rPr>
      </w:r>
      <w:r w:rsidRPr="00496A4D">
        <w:rPr>
          <w:lang w:eastAsia="ja-JP"/>
        </w:rPr>
        <w:fldChar w:fldCharType="separate"/>
      </w:r>
      <w:r w:rsidR="00507A67">
        <w:rPr>
          <w:lang w:eastAsia="ja-JP"/>
        </w:rPr>
        <w:t>B.2.2</w:t>
      </w:r>
      <w:r w:rsidRPr="00496A4D">
        <w:rPr>
          <w:lang w:eastAsia="ja-JP"/>
        </w:rPr>
        <w:fldChar w:fldCharType="end"/>
      </w:r>
      <w:r w:rsidRPr="00A52AB8">
        <w:rPr>
          <w:lang w:eastAsia="ja-JP"/>
        </w:rPr>
        <w:t>.</w:t>
      </w:r>
    </w:p>
    <w:p w14:paraId="4E4087C2" w14:textId="3CC06758" w:rsidR="0050235C" w:rsidRPr="00A52AB8" w:rsidRDefault="00AE3755" w:rsidP="0023665F">
      <w:pPr>
        <w:rPr>
          <w:lang w:eastAsia="ja-JP"/>
        </w:rPr>
      </w:pPr>
      <w:r w:rsidRPr="00A52AB8">
        <w:rPr>
          <w:color w:val="000000" w:themeColor="text1"/>
        </w:rPr>
        <w:t>For any time t1 greater than or equal to t0, the</w:t>
      </w:r>
      <w:r w:rsidRPr="00A52AB8">
        <w:rPr>
          <w:lang w:eastAsia="ja-JP"/>
        </w:rPr>
        <w:t xml:space="preserve"> variables </w:t>
      </w:r>
      <w:r w:rsidRPr="00A52AB8">
        <w:rPr>
          <w:color w:val="000000" w:themeColor="text1"/>
        </w:rPr>
        <w:t>NumProjPatchesPerSec, NumRawPatchesPerSec, and NumEOMPatchesPerSec</w:t>
      </w:r>
      <w:r w:rsidRPr="00A52AB8">
        <w:rPr>
          <w:lang w:eastAsia="ja-JP"/>
        </w:rPr>
        <w:t xml:space="preserve">, are defined and </w:t>
      </w:r>
      <w:r w:rsidRPr="00A52AB8">
        <w:rPr>
          <w:color w:val="000000" w:themeColor="text1"/>
        </w:rPr>
        <w:t xml:space="preserve">set equal to the total number of AtlasTotalNumProjPatches, AtlasTotalNumRawPatches, and AtlasTotalNumEOMPatches, respectively, of the atlas frames that are decoded </w:t>
      </w:r>
      <w:r w:rsidR="00594944" w:rsidRPr="00A52AB8">
        <w:rPr>
          <w:color w:val="000000" w:themeColor="text1"/>
        </w:rPr>
        <w:t xml:space="preserve">for </w:t>
      </w:r>
      <w:r w:rsidR="00C35E8F" w:rsidRPr="00A52AB8">
        <w:t>all values of t, with t1 </w:t>
      </w:r>
      <w:r w:rsidR="00A234FD" w:rsidRPr="00A52AB8">
        <w:t>&lt;=</w:t>
      </w:r>
      <w:r w:rsidR="00D47707" w:rsidRPr="00A52AB8">
        <w:t> </w:t>
      </w:r>
      <w:r w:rsidR="00C35E8F" w:rsidRPr="00A52AB8">
        <w:t>t &lt; t1 + 1 000</w:t>
      </w:r>
      <w:r w:rsidR="001206A5" w:rsidRPr="00A52AB8">
        <w:rPr>
          <w:color w:val="000000" w:themeColor="text1"/>
        </w:rPr>
        <w:t xml:space="preserve">. </w:t>
      </w:r>
      <w:r w:rsidRPr="00A52AB8">
        <w:rPr>
          <w:color w:val="000000" w:themeColor="text1"/>
        </w:rPr>
        <w:t>AtlasTotalNumProjPatches, AtlasTotalNumRawPatches, and AtlasTotalNumEOMPatches</w:t>
      </w:r>
      <w:r w:rsidRPr="00A52AB8">
        <w:rPr>
          <w:lang w:eastAsia="ja-JP"/>
        </w:rPr>
        <w:t xml:space="preserve"> are specified in subclause </w:t>
      </w:r>
      <w:r w:rsidRPr="00496A4D">
        <w:rPr>
          <w:lang w:eastAsia="ja-JP"/>
        </w:rPr>
        <w:fldChar w:fldCharType="begin"/>
      </w:r>
      <w:r w:rsidRPr="00A52AB8">
        <w:rPr>
          <w:lang w:eastAsia="ja-JP"/>
        </w:rPr>
        <w:instrText xml:space="preserve"> REF _Ref43981624 \r \h  \* MERGEFORMAT </w:instrText>
      </w:r>
      <w:r w:rsidRPr="00496A4D">
        <w:rPr>
          <w:lang w:eastAsia="ja-JP"/>
        </w:rPr>
      </w:r>
      <w:r w:rsidRPr="00496A4D">
        <w:rPr>
          <w:lang w:eastAsia="ja-JP"/>
        </w:rPr>
        <w:fldChar w:fldCharType="separate"/>
      </w:r>
      <w:r w:rsidR="00507A67">
        <w:rPr>
          <w:lang w:eastAsia="ja-JP"/>
        </w:rPr>
        <w:t>9.2.7</w:t>
      </w:r>
      <w:r w:rsidRPr="00496A4D">
        <w:rPr>
          <w:lang w:eastAsia="ja-JP"/>
        </w:rPr>
        <w:fldChar w:fldCharType="end"/>
      </w:r>
      <w:r w:rsidR="001206A5" w:rsidRPr="00A52AB8">
        <w:rPr>
          <w:lang w:eastAsia="ja-JP"/>
        </w:rPr>
        <w:t>.</w:t>
      </w:r>
    </w:p>
    <w:p w14:paraId="796CEC3A" w14:textId="68E4FCF0" w:rsidR="0023665F" w:rsidRPr="00A52AB8" w:rsidRDefault="00B307DF" w:rsidP="0023665F">
      <w:pPr>
        <w:rPr>
          <w:lang w:eastAsia="ja-JP"/>
        </w:rPr>
      </w:pPr>
      <w:r w:rsidRPr="00A52AB8">
        <w:rPr>
          <w:lang w:eastAsia="ja-JP"/>
        </w:rPr>
        <w:t>V3C b</w:t>
      </w:r>
      <w:r w:rsidR="001206A5" w:rsidRPr="00A52AB8">
        <w:rPr>
          <w:lang w:eastAsia="ja-JP"/>
        </w:rPr>
        <w:t xml:space="preserve">itstreams conforming to dynamic profiles at a specified tier and level shall obey the following constraints for each </w:t>
      </w:r>
      <w:r w:rsidRPr="00A52AB8">
        <w:rPr>
          <w:lang w:eastAsia="ja-JP"/>
        </w:rPr>
        <w:t xml:space="preserve">atlas </w:t>
      </w:r>
      <w:r w:rsidR="001206A5" w:rsidRPr="00A52AB8">
        <w:rPr>
          <w:lang w:eastAsia="ja-JP"/>
        </w:rPr>
        <w:t>bitstream conformance test as specified in </w:t>
      </w:r>
      <w:r w:rsidR="001206A5" w:rsidRPr="00496A4D">
        <w:rPr>
          <w:lang w:eastAsia="ja-JP"/>
        </w:rPr>
        <w:fldChar w:fldCharType="begin"/>
      </w:r>
      <w:r w:rsidR="001206A5" w:rsidRPr="00A52AB8">
        <w:rPr>
          <w:lang w:eastAsia="ja-JP"/>
        </w:rPr>
        <w:instrText xml:space="preserve"> REF _Ref47861695 \n \h  \* MERGEFORMAT </w:instrText>
      </w:r>
      <w:r w:rsidR="001206A5" w:rsidRPr="00496A4D">
        <w:rPr>
          <w:lang w:eastAsia="ja-JP"/>
        </w:rPr>
      </w:r>
      <w:r w:rsidR="001206A5" w:rsidRPr="00496A4D">
        <w:rPr>
          <w:lang w:eastAsia="ja-JP"/>
        </w:rPr>
        <w:fldChar w:fldCharType="separate"/>
      </w:r>
      <w:r w:rsidR="00507A67">
        <w:rPr>
          <w:lang w:eastAsia="ja-JP"/>
        </w:rPr>
        <w:t>Annex E</w:t>
      </w:r>
      <w:r w:rsidR="001206A5" w:rsidRPr="00496A4D">
        <w:rPr>
          <w:lang w:eastAsia="ja-JP"/>
        </w:rPr>
        <w:fldChar w:fldCharType="end"/>
      </w:r>
      <w:r w:rsidR="00AE3755" w:rsidRPr="00A52AB8">
        <w:rPr>
          <w:lang w:eastAsia="ja-JP"/>
        </w:rPr>
        <w:t>.</w:t>
      </w:r>
    </w:p>
    <w:p w14:paraId="6AEF0093" w14:textId="51D96D4E" w:rsidR="00741563" w:rsidRPr="00A52AB8" w:rsidRDefault="006B764B"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NumProj</w:t>
      </w:r>
      <w:r w:rsidR="00741563" w:rsidRPr="00A52AB8">
        <w:rPr>
          <w:color w:val="000000" w:themeColor="text1"/>
        </w:rPr>
        <w:t>Points shall be less than or equal to Max</w:t>
      </w:r>
      <w:r w:rsidRPr="00A52AB8">
        <w:rPr>
          <w:color w:val="000000" w:themeColor="text1"/>
        </w:rPr>
        <w:t>NumProj</w:t>
      </w:r>
      <w:r w:rsidR="00741563" w:rsidRPr="00A52AB8">
        <w:rPr>
          <w:color w:val="000000" w:themeColor="text1"/>
        </w:rPr>
        <w:t>Points</w:t>
      </w:r>
      <w:r w:rsidRPr="00A52AB8">
        <w:rPr>
          <w:color w:val="000000" w:themeColor="text1"/>
        </w:rPr>
        <w:t>,</w:t>
      </w:r>
    </w:p>
    <w:p w14:paraId="6DF60102" w14:textId="1D431910" w:rsidR="00741563" w:rsidRPr="00A52AB8" w:rsidRDefault="0074156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NumRawPoints shall be less than or equal to MaxNumRawPoints</w:t>
      </w:r>
      <w:r w:rsidR="006B764B" w:rsidRPr="00A52AB8">
        <w:rPr>
          <w:color w:val="000000" w:themeColor="text1"/>
        </w:rPr>
        <w:t>,</w:t>
      </w:r>
    </w:p>
    <w:p w14:paraId="1191A270" w14:textId="3225387B" w:rsidR="00741563" w:rsidRPr="00A52AB8" w:rsidRDefault="00741563" w:rsidP="0023665F">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NumEOMPoints shall be less than or equal to MaxNumEOMPoints</w:t>
      </w:r>
      <w:r w:rsidR="006B764B" w:rsidRPr="00A52AB8">
        <w:rPr>
          <w:color w:val="000000" w:themeColor="text1"/>
        </w:rPr>
        <w:t>,</w:t>
      </w:r>
    </w:p>
    <w:p w14:paraId="3A58DC6E" w14:textId="599DEC23" w:rsidR="006B764B" w:rsidRPr="00A52AB8" w:rsidRDefault="006B764B" w:rsidP="0023665F">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NumProjPointsPerSec shall be less than or equal to MaxNumProjPointsPerSec,</w:t>
      </w:r>
    </w:p>
    <w:p w14:paraId="65FFFACD" w14:textId="52A1BBA0" w:rsidR="006B764B" w:rsidRPr="00A52AB8" w:rsidRDefault="006B764B" w:rsidP="0023665F">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NumRawPointsPerSec shall be less than or equal to MaxNumRawPointsPerSec, and</w:t>
      </w:r>
    </w:p>
    <w:p w14:paraId="2E9020A7" w14:textId="36201667" w:rsidR="006B764B" w:rsidRPr="00A52AB8" w:rsidRDefault="006B764B">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NumEOMPointsPerSec shall be less than or equal to MaxNumEOMPointsPerSec</w:t>
      </w:r>
    </w:p>
    <w:p w14:paraId="1B116E25" w14:textId="5487D49E" w:rsidR="00741563" w:rsidRPr="00A52AB8" w:rsidRDefault="00741563" w:rsidP="00007BE2">
      <w:pPr>
        <w:ind w:left="403"/>
        <w:rPr>
          <w:lang w:eastAsia="ja-JP"/>
        </w:rPr>
      </w:pPr>
      <w:r w:rsidRPr="00A52AB8">
        <w:rPr>
          <w:lang w:eastAsia="ja-JP"/>
        </w:rPr>
        <w:t xml:space="preserve">where </w:t>
      </w:r>
      <w:r w:rsidRPr="00A52AB8">
        <w:t>Max</w:t>
      </w:r>
      <w:r w:rsidR="006B764B" w:rsidRPr="00A52AB8">
        <w:t>NumProj</w:t>
      </w:r>
      <w:r w:rsidRPr="00A52AB8">
        <w:t>Points, MaxNumRawPoints, MaxNumEOMPoints</w:t>
      </w:r>
      <w:r w:rsidR="006B764B" w:rsidRPr="00A52AB8">
        <w:t xml:space="preserve">, </w:t>
      </w:r>
      <w:r w:rsidR="006B764B" w:rsidRPr="00A52AB8">
        <w:rPr>
          <w:color w:val="000000" w:themeColor="text1"/>
        </w:rPr>
        <w:t>MaxNumProjPointsPerSec, MaxNumRawPointsPerSec, and MaxNumEOMPointsPerSec</w:t>
      </w:r>
      <w:r w:rsidRPr="00A52AB8">
        <w:t xml:space="preserve"> </w:t>
      </w:r>
      <w:r w:rsidRPr="00A52AB8">
        <w:rPr>
          <w:lang w:eastAsia="ja-JP"/>
        </w:rPr>
        <w:t xml:space="preserve">are specified in </w:t>
      </w:r>
      <w:r w:rsidRPr="00496A4D">
        <w:rPr>
          <w:lang w:eastAsia="ja-JP"/>
        </w:rPr>
        <w:fldChar w:fldCharType="begin"/>
      </w:r>
      <w:r w:rsidRPr="00A52AB8">
        <w:rPr>
          <w:lang w:eastAsia="ja-JP"/>
        </w:rPr>
        <w:instrText xml:space="preserve"> REF _Ref21427355 \h  \* MERGEFORMAT </w:instrText>
      </w:r>
      <w:r w:rsidRPr="00496A4D">
        <w:rPr>
          <w:lang w:eastAsia="ja-JP"/>
        </w:rPr>
      </w:r>
      <w:r w:rsidRPr="00496A4D">
        <w:rPr>
          <w:lang w:eastAsia="ja-JP"/>
        </w:rPr>
        <w:fldChar w:fldCharType="separate"/>
      </w:r>
      <w:r w:rsidR="00507A67" w:rsidRPr="00A52AB8">
        <w:t>Table A-</w:t>
      </w:r>
      <w:r w:rsidR="00507A67">
        <w:t>5</w:t>
      </w:r>
      <w:r w:rsidRPr="00496A4D">
        <w:rPr>
          <w:lang w:eastAsia="ja-JP"/>
        </w:rPr>
        <w:fldChar w:fldCharType="end"/>
      </w:r>
      <w:r w:rsidRPr="00A52AB8">
        <w:rPr>
          <w:lang w:eastAsia="ja-JP"/>
        </w:rPr>
        <w:t>.</w:t>
      </w:r>
    </w:p>
    <w:p w14:paraId="4673C311" w14:textId="453EB346" w:rsidR="00BD5E20" w:rsidRPr="00A52AB8" w:rsidRDefault="00BD5E20" w:rsidP="00007BE2">
      <w:pPr>
        <w:pStyle w:val="Tabletitle0"/>
        <w:keepNext/>
      </w:pPr>
      <w:bookmarkStart w:id="4707" w:name="_Ref21429412"/>
      <w:bookmarkStart w:id="4708" w:name="_Ref44605765"/>
      <w:r w:rsidRPr="00A52AB8">
        <w:t>Table A</w:t>
      </w:r>
      <w:r w:rsidR="00CA3851" w:rsidRPr="00A52AB8">
        <w:t>-</w:t>
      </w:r>
      <w:r w:rsidRPr="00496A4D">
        <w:fldChar w:fldCharType="begin"/>
      </w:r>
      <w:r w:rsidRPr="00A52AB8">
        <w:instrText xml:space="preserve"> SEQ Table \* ARABIC \s 1 </w:instrText>
      </w:r>
      <w:r w:rsidRPr="00496A4D">
        <w:fldChar w:fldCharType="separate"/>
      </w:r>
      <w:r w:rsidR="00507A67">
        <w:rPr>
          <w:noProof/>
        </w:rPr>
        <w:t>6</w:t>
      </w:r>
      <w:r w:rsidRPr="00496A4D">
        <w:fldChar w:fldCharType="end"/>
      </w:r>
      <w:bookmarkEnd w:id="4707"/>
      <w:r w:rsidR="001604C8" w:rsidRPr="00A52AB8">
        <w:rPr>
          <w:rFonts w:cs="Calibri"/>
          <w:bCs/>
        </w:rPr>
        <w:t> </w:t>
      </w:r>
      <w:r w:rsidR="001604C8" w:rsidRPr="00A52AB8">
        <w:t>– </w:t>
      </w:r>
      <w:r w:rsidRPr="00A52AB8">
        <w:rPr>
          <w:sz w:val="21"/>
          <w:szCs w:val="18"/>
        </w:rPr>
        <w:t xml:space="preserve">General </w:t>
      </w:r>
      <w:r w:rsidR="002A7E9D" w:rsidRPr="00A52AB8">
        <w:rPr>
          <w:sz w:val="21"/>
          <w:szCs w:val="18"/>
        </w:rPr>
        <w:t>atlas ASPS</w:t>
      </w:r>
      <w:r w:rsidR="00513A4D" w:rsidRPr="00A52AB8">
        <w:rPr>
          <w:sz w:val="21"/>
          <w:szCs w:val="18"/>
        </w:rPr>
        <w:t xml:space="preserve"> and tile</w:t>
      </w:r>
      <w:r w:rsidRPr="00A52AB8">
        <w:rPr>
          <w:sz w:val="21"/>
          <w:szCs w:val="18"/>
        </w:rPr>
        <w:t xml:space="preserve"> </w:t>
      </w:r>
      <w:r w:rsidR="002A7E9D" w:rsidRPr="00A52AB8">
        <w:rPr>
          <w:sz w:val="21"/>
          <w:szCs w:val="18"/>
        </w:rPr>
        <w:t xml:space="preserve">related </w:t>
      </w:r>
      <w:r w:rsidRPr="00A52AB8">
        <w:rPr>
          <w:sz w:val="21"/>
          <w:szCs w:val="21"/>
        </w:rPr>
        <w:t>level limits</w:t>
      </w:r>
      <w:bookmarkEnd w:id="4708"/>
    </w:p>
    <w:tbl>
      <w:tblPr>
        <w:tblStyle w:val="TableGrid"/>
        <w:tblW w:w="10027" w:type="dxa"/>
        <w:jc w:val="center"/>
        <w:tblLayout w:type="fixed"/>
        <w:tblCellMar>
          <w:top w:w="86" w:type="dxa"/>
          <w:left w:w="86" w:type="dxa"/>
          <w:bottom w:w="86" w:type="dxa"/>
          <w:right w:w="86" w:type="dxa"/>
        </w:tblCellMar>
        <w:tblLook w:val="04A0" w:firstRow="1" w:lastRow="0" w:firstColumn="1" w:lastColumn="0" w:noHBand="0" w:noVBand="1"/>
      </w:tblPr>
      <w:tblGrid>
        <w:gridCol w:w="576"/>
        <w:gridCol w:w="864"/>
        <w:gridCol w:w="864"/>
        <w:gridCol w:w="864"/>
        <w:gridCol w:w="955"/>
        <w:gridCol w:w="1008"/>
        <w:gridCol w:w="864"/>
        <w:gridCol w:w="1152"/>
        <w:gridCol w:w="1152"/>
        <w:gridCol w:w="864"/>
        <w:gridCol w:w="864"/>
      </w:tblGrid>
      <w:tr w:rsidR="00741563" w:rsidRPr="00A52AB8" w14:paraId="642E39ED" w14:textId="77777777" w:rsidTr="004A0BDE">
        <w:trPr>
          <w:cantSplit/>
          <w:trHeight w:val="2823"/>
          <w:jc w:val="center"/>
        </w:trPr>
        <w:tc>
          <w:tcPr>
            <w:tcW w:w="576" w:type="dxa"/>
            <w:textDirection w:val="tbRl"/>
            <w:vAlign w:val="center"/>
          </w:tcPr>
          <w:p w14:paraId="620F33F2" w14:textId="77777777" w:rsidR="00741563" w:rsidRPr="00A52AB8" w:rsidRDefault="00741563" w:rsidP="00741563">
            <w:pPr>
              <w:spacing w:after="0" w:line="240" w:lineRule="auto"/>
              <w:ind w:left="113" w:right="113"/>
              <w:jc w:val="center"/>
              <w:rPr>
                <w:b/>
                <w:bCs/>
                <w:sz w:val="20"/>
                <w:szCs w:val="20"/>
                <w:lang w:eastAsia="ja-JP"/>
              </w:rPr>
            </w:pPr>
            <w:r w:rsidRPr="00A52AB8">
              <w:rPr>
                <w:b/>
                <w:bCs/>
                <w:sz w:val="20"/>
                <w:szCs w:val="20"/>
                <w:lang w:eastAsia="ja-JP"/>
              </w:rPr>
              <w:t>Level</w:t>
            </w:r>
          </w:p>
        </w:tc>
        <w:tc>
          <w:tcPr>
            <w:tcW w:w="864" w:type="dxa"/>
            <w:textDirection w:val="tbRl"/>
            <w:vAlign w:val="center"/>
          </w:tcPr>
          <w:p w14:paraId="7C48C3C5" w14:textId="77777777" w:rsidR="00741563" w:rsidRPr="00A52AB8" w:rsidRDefault="00741563" w:rsidP="00741563">
            <w:pPr>
              <w:spacing w:after="0" w:line="240" w:lineRule="auto"/>
              <w:ind w:left="113" w:right="113"/>
              <w:jc w:val="center"/>
              <w:rPr>
                <w:rFonts w:eastAsia="Times New Roman"/>
                <w:b/>
                <w:bCs/>
                <w:color w:val="000000"/>
                <w:sz w:val="20"/>
                <w:szCs w:val="20"/>
              </w:rPr>
            </w:pPr>
            <w:r w:rsidRPr="00A52AB8">
              <w:rPr>
                <w:rFonts w:eastAsia="Times New Roman"/>
                <w:b/>
                <w:bCs/>
                <w:color w:val="000000"/>
                <w:sz w:val="20"/>
                <w:szCs w:val="20"/>
              </w:rPr>
              <w:t>Max # PROJECTED Patches per atlas</w:t>
            </w:r>
          </w:p>
          <w:p w14:paraId="0E8B5C3F" w14:textId="5F477460" w:rsidR="00741563" w:rsidRPr="00A52AB8" w:rsidRDefault="00741563" w:rsidP="00741563">
            <w:pPr>
              <w:spacing w:after="0" w:line="240" w:lineRule="auto"/>
              <w:ind w:left="113" w:right="113"/>
              <w:jc w:val="center"/>
              <w:rPr>
                <w:rFonts w:eastAsia="Times New Roman"/>
                <w:b/>
                <w:bCs/>
                <w:color w:val="000000"/>
                <w:sz w:val="20"/>
                <w:szCs w:val="20"/>
              </w:rPr>
            </w:pPr>
            <w:r w:rsidRPr="00A52AB8">
              <w:rPr>
                <w:rFonts w:eastAsia="Times New Roman"/>
                <w:b/>
                <w:bCs/>
                <w:color w:val="000000"/>
                <w:sz w:val="20"/>
                <w:szCs w:val="20"/>
              </w:rPr>
              <w:t>Max</w:t>
            </w:r>
            <w:r w:rsidR="006B764B" w:rsidRPr="00A52AB8">
              <w:rPr>
                <w:rFonts w:eastAsia="Times New Roman"/>
                <w:b/>
                <w:bCs/>
                <w:color w:val="000000"/>
                <w:sz w:val="20"/>
                <w:szCs w:val="20"/>
              </w:rPr>
              <w:t>NumProj</w:t>
            </w:r>
            <w:r w:rsidRPr="00A52AB8">
              <w:rPr>
                <w:rFonts w:eastAsia="Times New Roman"/>
                <w:b/>
                <w:bCs/>
                <w:color w:val="000000"/>
                <w:sz w:val="20"/>
                <w:szCs w:val="20"/>
              </w:rPr>
              <w:t>Patches</w:t>
            </w:r>
          </w:p>
        </w:tc>
        <w:tc>
          <w:tcPr>
            <w:tcW w:w="864" w:type="dxa"/>
            <w:textDirection w:val="tbRl"/>
            <w:vAlign w:val="center"/>
          </w:tcPr>
          <w:p w14:paraId="135EA426" w14:textId="77777777" w:rsidR="00741563" w:rsidRPr="00A52AB8" w:rsidRDefault="00741563" w:rsidP="00741563">
            <w:pPr>
              <w:spacing w:after="0" w:line="240" w:lineRule="auto"/>
              <w:ind w:left="113" w:right="113"/>
              <w:jc w:val="center"/>
              <w:rPr>
                <w:rFonts w:eastAsia="Times New Roman"/>
                <w:b/>
                <w:bCs/>
                <w:color w:val="000000"/>
                <w:sz w:val="20"/>
                <w:szCs w:val="20"/>
              </w:rPr>
            </w:pPr>
            <w:r w:rsidRPr="00A52AB8">
              <w:rPr>
                <w:rFonts w:eastAsia="Times New Roman"/>
                <w:b/>
                <w:bCs/>
                <w:color w:val="000000"/>
                <w:sz w:val="20"/>
                <w:szCs w:val="20"/>
              </w:rPr>
              <w:t>Max # RAW patches per atlas</w:t>
            </w:r>
          </w:p>
          <w:p w14:paraId="30CBEF51" w14:textId="77777777" w:rsidR="00741563" w:rsidRPr="00A52AB8" w:rsidRDefault="00741563" w:rsidP="00741563">
            <w:pPr>
              <w:spacing w:after="0" w:line="240" w:lineRule="auto"/>
              <w:ind w:left="113" w:right="113"/>
              <w:jc w:val="center"/>
              <w:rPr>
                <w:rFonts w:eastAsia="Times New Roman"/>
                <w:b/>
                <w:bCs/>
                <w:color w:val="000000"/>
                <w:sz w:val="20"/>
                <w:szCs w:val="20"/>
              </w:rPr>
            </w:pPr>
            <w:r w:rsidRPr="00A52AB8">
              <w:rPr>
                <w:rFonts w:eastAsia="Times New Roman"/>
                <w:b/>
                <w:bCs/>
                <w:color w:val="000000"/>
                <w:sz w:val="20"/>
                <w:szCs w:val="20"/>
              </w:rPr>
              <w:t>MaxNumRawPatches</w:t>
            </w:r>
          </w:p>
        </w:tc>
        <w:tc>
          <w:tcPr>
            <w:tcW w:w="864" w:type="dxa"/>
            <w:textDirection w:val="tbRl"/>
            <w:vAlign w:val="center"/>
          </w:tcPr>
          <w:p w14:paraId="1AA8C208" w14:textId="77777777" w:rsidR="00741563" w:rsidRPr="00A52AB8" w:rsidRDefault="00741563" w:rsidP="00741563">
            <w:pPr>
              <w:spacing w:after="0" w:line="240" w:lineRule="auto"/>
              <w:ind w:left="113" w:right="113"/>
              <w:jc w:val="center"/>
              <w:rPr>
                <w:rFonts w:eastAsia="Times New Roman"/>
                <w:b/>
                <w:bCs/>
                <w:color w:val="000000"/>
                <w:sz w:val="20"/>
                <w:szCs w:val="20"/>
              </w:rPr>
            </w:pPr>
            <w:r w:rsidRPr="00A52AB8">
              <w:rPr>
                <w:rFonts w:eastAsia="Times New Roman"/>
                <w:b/>
                <w:bCs/>
                <w:color w:val="000000"/>
                <w:sz w:val="20"/>
                <w:szCs w:val="20"/>
              </w:rPr>
              <w:t>Max # EOM patches per atlas</w:t>
            </w:r>
          </w:p>
          <w:p w14:paraId="57286AF2" w14:textId="77777777" w:rsidR="00741563" w:rsidRPr="00A52AB8" w:rsidRDefault="00741563" w:rsidP="00741563">
            <w:pPr>
              <w:spacing w:after="0" w:line="240" w:lineRule="auto"/>
              <w:ind w:left="113" w:right="113"/>
              <w:jc w:val="center"/>
              <w:rPr>
                <w:rFonts w:eastAsia="Times New Roman"/>
                <w:b/>
                <w:bCs/>
                <w:color w:val="000000"/>
                <w:sz w:val="20"/>
                <w:szCs w:val="20"/>
              </w:rPr>
            </w:pPr>
            <w:r w:rsidRPr="00A52AB8">
              <w:rPr>
                <w:rFonts w:eastAsia="Times New Roman"/>
                <w:b/>
                <w:bCs/>
                <w:color w:val="000000"/>
                <w:sz w:val="20"/>
                <w:szCs w:val="20"/>
              </w:rPr>
              <w:t>MaxNumEOMPatches</w:t>
            </w:r>
          </w:p>
        </w:tc>
        <w:tc>
          <w:tcPr>
            <w:tcW w:w="955" w:type="dxa"/>
            <w:textDirection w:val="tbRl"/>
            <w:vAlign w:val="center"/>
          </w:tcPr>
          <w:p w14:paraId="449BAF0A" w14:textId="77777777" w:rsidR="00741563" w:rsidRPr="00A52AB8" w:rsidRDefault="00741563" w:rsidP="00741563">
            <w:pPr>
              <w:spacing w:after="0" w:line="240" w:lineRule="auto"/>
              <w:ind w:left="113" w:right="113"/>
              <w:jc w:val="center"/>
              <w:rPr>
                <w:rFonts w:eastAsia="Times New Roman"/>
                <w:b/>
                <w:bCs/>
                <w:color w:val="000000"/>
                <w:sz w:val="20"/>
                <w:szCs w:val="20"/>
              </w:rPr>
            </w:pPr>
            <w:r w:rsidRPr="00A52AB8">
              <w:rPr>
                <w:rFonts w:eastAsia="Times New Roman"/>
                <w:b/>
                <w:bCs/>
                <w:color w:val="000000"/>
                <w:sz w:val="20"/>
                <w:szCs w:val="20"/>
              </w:rPr>
              <w:t>Max CAB size</w:t>
            </w:r>
          </w:p>
          <w:p w14:paraId="2396E668" w14:textId="77777777" w:rsidR="00741563" w:rsidRPr="00A52AB8" w:rsidRDefault="00741563" w:rsidP="00741563">
            <w:pPr>
              <w:spacing w:after="0" w:line="240" w:lineRule="auto"/>
              <w:ind w:left="113" w:right="113"/>
              <w:jc w:val="center"/>
              <w:rPr>
                <w:rFonts w:eastAsia="Times New Roman"/>
                <w:b/>
                <w:bCs/>
                <w:color w:val="000000"/>
                <w:sz w:val="20"/>
                <w:szCs w:val="20"/>
              </w:rPr>
            </w:pPr>
            <w:r w:rsidRPr="00A52AB8">
              <w:rPr>
                <w:rFonts w:eastAsia="Times New Roman"/>
                <w:b/>
                <w:bCs/>
                <w:color w:val="000000"/>
                <w:sz w:val="20"/>
                <w:szCs w:val="20"/>
              </w:rPr>
              <w:t>MaxCABSize</w:t>
            </w:r>
            <w:r w:rsidRPr="00A52AB8">
              <w:rPr>
                <w:rFonts w:eastAsia="Times New Roman"/>
                <w:b/>
                <w:bCs/>
                <w:color w:val="000000"/>
                <w:sz w:val="20"/>
                <w:szCs w:val="20"/>
              </w:rPr>
              <w:br/>
              <w:t>in 1 000 bits</w:t>
            </w:r>
          </w:p>
        </w:tc>
        <w:tc>
          <w:tcPr>
            <w:tcW w:w="1008" w:type="dxa"/>
            <w:textDirection w:val="tbRl"/>
            <w:vAlign w:val="center"/>
          </w:tcPr>
          <w:p w14:paraId="6F11DA1A" w14:textId="1E7C9326" w:rsidR="00741563" w:rsidRPr="00A52AB8" w:rsidRDefault="00741563" w:rsidP="00741563">
            <w:pPr>
              <w:spacing w:after="0" w:line="240" w:lineRule="auto"/>
              <w:ind w:left="113" w:right="113"/>
              <w:jc w:val="center"/>
              <w:rPr>
                <w:rFonts w:eastAsia="Times New Roman"/>
                <w:b/>
                <w:bCs/>
                <w:color w:val="000000"/>
                <w:sz w:val="20"/>
                <w:szCs w:val="20"/>
              </w:rPr>
            </w:pPr>
            <w:r w:rsidRPr="00A52AB8">
              <w:rPr>
                <w:rFonts w:eastAsia="Times New Roman"/>
                <w:b/>
                <w:bCs/>
                <w:color w:val="000000"/>
                <w:sz w:val="20"/>
                <w:szCs w:val="20"/>
              </w:rPr>
              <w:t>Max atlas bit</w:t>
            </w:r>
            <w:r w:rsidR="007445DC" w:rsidRPr="00A52AB8">
              <w:rPr>
                <w:rFonts w:eastAsia="Times New Roman"/>
                <w:b/>
                <w:bCs/>
                <w:color w:val="000000"/>
                <w:sz w:val="20"/>
                <w:szCs w:val="20"/>
              </w:rPr>
              <w:t xml:space="preserve"> </w:t>
            </w:r>
            <w:r w:rsidRPr="00A52AB8">
              <w:rPr>
                <w:rFonts w:eastAsia="Times New Roman"/>
                <w:b/>
                <w:bCs/>
                <w:color w:val="000000"/>
                <w:sz w:val="20"/>
                <w:szCs w:val="20"/>
              </w:rPr>
              <w:t>rate</w:t>
            </w:r>
          </w:p>
          <w:p w14:paraId="1AE90BBD" w14:textId="77777777" w:rsidR="00741563" w:rsidRPr="00A52AB8" w:rsidRDefault="00741563" w:rsidP="00741563">
            <w:pPr>
              <w:spacing w:after="0" w:line="240" w:lineRule="auto"/>
              <w:ind w:left="113" w:right="113"/>
              <w:jc w:val="center"/>
              <w:rPr>
                <w:rFonts w:eastAsia="Times New Roman"/>
                <w:b/>
                <w:bCs/>
                <w:color w:val="000000"/>
                <w:sz w:val="20"/>
                <w:szCs w:val="20"/>
              </w:rPr>
            </w:pPr>
            <w:r w:rsidRPr="00A52AB8">
              <w:rPr>
                <w:rFonts w:eastAsia="Times New Roman"/>
                <w:b/>
                <w:bCs/>
                <w:color w:val="000000"/>
                <w:sz w:val="20"/>
                <w:szCs w:val="20"/>
              </w:rPr>
              <w:t>MaxAtlasBR</w:t>
            </w:r>
          </w:p>
          <w:p w14:paraId="79740189" w14:textId="77777777" w:rsidR="00741563" w:rsidRPr="00A52AB8" w:rsidRDefault="00741563" w:rsidP="00741563">
            <w:pPr>
              <w:spacing w:after="0" w:line="240" w:lineRule="auto"/>
              <w:ind w:left="113" w:right="113"/>
              <w:jc w:val="center"/>
              <w:rPr>
                <w:rFonts w:eastAsia="Times New Roman"/>
                <w:b/>
                <w:bCs/>
                <w:color w:val="000000"/>
                <w:sz w:val="20"/>
                <w:szCs w:val="20"/>
              </w:rPr>
            </w:pPr>
            <w:r w:rsidRPr="00A52AB8">
              <w:rPr>
                <w:rFonts w:eastAsia="Times New Roman"/>
                <w:b/>
                <w:bCs/>
                <w:color w:val="000000"/>
                <w:sz w:val="20"/>
                <w:szCs w:val="20"/>
              </w:rPr>
              <w:t>in 1 000 bits/s</w:t>
            </w:r>
          </w:p>
        </w:tc>
        <w:tc>
          <w:tcPr>
            <w:tcW w:w="864" w:type="dxa"/>
            <w:textDirection w:val="tbRl"/>
            <w:vAlign w:val="center"/>
          </w:tcPr>
          <w:p w14:paraId="726BE797" w14:textId="77777777" w:rsidR="00741563" w:rsidRPr="00A52AB8" w:rsidRDefault="00741563" w:rsidP="00741563">
            <w:pPr>
              <w:spacing w:after="0" w:line="240" w:lineRule="auto"/>
              <w:ind w:left="113" w:right="113"/>
              <w:jc w:val="center"/>
              <w:rPr>
                <w:rFonts w:eastAsia="Times New Roman"/>
                <w:b/>
                <w:bCs/>
                <w:color w:val="000000"/>
                <w:sz w:val="20"/>
                <w:szCs w:val="20"/>
              </w:rPr>
            </w:pPr>
            <w:r w:rsidRPr="00A52AB8">
              <w:rPr>
                <w:rFonts w:eastAsia="Times New Roman"/>
                <w:b/>
                <w:bCs/>
                <w:color w:val="000000"/>
                <w:sz w:val="20"/>
                <w:szCs w:val="20"/>
              </w:rPr>
              <w:t>Max # number of tiles per atlas</w:t>
            </w:r>
          </w:p>
          <w:p w14:paraId="30A091C1" w14:textId="77777777" w:rsidR="00741563" w:rsidRPr="00A52AB8" w:rsidRDefault="00741563" w:rsidP="00741563">
            <w:pPr>
              <w:spacing w:after="0" w:line="240" w:lineRule="auto"/>
              <w:ind w:left="113" w:right="113"/>
              <w:jc w:val="center"/>
              <w:rPr>
                <w:rFonts w:eastAsia="Times New Roman"/>
                <w:b/>
                <w:bCs/>
                <w:color w:val="000000"/>
                <w:sz w:val="20"/>
                <w:szCs w:val="20"/>
              </w:rPr>
            </w:pPr>
            <w:r w:rsidRPr="00A52AB8">
              <w:rPr>
                <w:rFonts w:eastAsia="Times New Roman"/>
                <w:b/>
                <w:bCs/>
                <w:color w:val="000000"/>
                <w:sz w:val="20"/>
                <w:szCs w:val="20"/>
              </w:rPr>
              <w:t>MaxNumTiles</w:t>
            </w:r>
          </w:p>
        </w:tc>
        <w:tc>
          <w:tcPr>
            <w:tcW w:w="1152" w:type="dxa"/>
            <w:textDirection w:val="tbRl"/>
            <w:vAlign w:val="center"/>
          </w:tcPr>
          <w:p w14:paraId="1B04635F" w14:textId="77777777" w:rsidR="00741563" w:rsidRPr="00A52AB8" w:rsidRDefault="00741563" w:rsidP="00741563">
            <w:pPr>
              <w:spacing w:after="0" w:line="240" w:lineRule="auto"/>
              <w:ind w:left="113" w:right="113"/>
              <w:jc w:val="center"/>
              <w:rPr>
                <w:rFonts w:eastAsia="Times New Roman"/>
                <w:b/>
                <w:bCs/>
                <w:color w:val="000000"/>
                <w:sz w:val="20"/>
                <w:szCs w:val="20"/>
              </w:rPr>
            </w:pPr>
            <w:r w:rsidRPr="00A52AB8">
              <w:rPr>
                <w:rFonts w:eastAsia="Times New Roman"/>
                <w:b/>
                <w:bCs/>
                <w:color w:val="000000"/>
                <w:sz w:val="20"/>
                <w:szCs w:val="20"/>
              </w:rPr>
              <w:t>Max atlas size</w:t>
            </w:r>
          </w:p>
          <w:p w14:paraId="1264E737" w14:textId="77777777" w:rsidR="00741563" w:rsidRPr="00A52AB8" w:rsidRDefault="00741563" w:rsidP="00741563">
            <w:pPr>
              <w:spacing w:after="0" w:line="240" w:lineRule="auto"/>
              <w:ind w:left="113" w:right="113"/>
              <w:jc w:val="center"/>
              <w:rPr>
                <w:rFonts w:eastAsia="Times New Roman"/>
                <w:b/>
                <w:bCs/>
                <w:color w:val="000000"/>
                <w:sz w:val="20"/>
                <w:szCs w:val="20"/>
              </w:rPr>
            </w:pPr>
            <w:r w:rsidRPr="00A52AB8">
              <w:rPr>
                <w:rFonts w:eastAsia="Times New Roman" w:cs="Calibri"/>
                <w:b/>
                <w:bCs/>
                <w:sz w:val="20"/>
                <w:szCs w:val="20"/>
              </w:rPr>
              <w:t>MaxAtlasSize</w:t>
            </w:r>
          </w:p>
        </w:tc>
        <w:tc>
          <w:tcPr>
            <w:tcW w:w="1152" w:type="dxa"/>
            <w:textDirection w:val="tbRl"/>
            <w:vAlign w:val="center"/>
          </w:tcPr>
          <w:p w14:paraId="4406E932" w14:textId="77777777" w:rsidR="00741563" w:rsidRPr="00A52AB8" w:rsidRDefault="00741563" w:rsidP="00741563">
            <w:pPr>
              <w:spacing w:after="0" w:line="240" w:lineRule="auto"/>
              <w:ind w:left="113" w:right="113"/>
              <w:jc w:val="center"/>
              <w:rPr>
                <w:rFonts w:eastAsia="Times New Roman"/>
                <w:b/>
                <w:bCs/>
                <w:color w:val="000000"/>
                <w:sz w:val="20"/>
                <w:szCs w:val="20"/>
              </w:rPr>
            </w:pPr>
            <w:r w:rsidRPr="00A52AB8">
              <w:rPr>
                <w:rFonts w:eastAsia="Times New Roman"/>
                <w:b/>
                <w:bCs/>
                <w:color w:val="000000"/>
                <w:sz w:val="20"/>
                <w:szCs w:val="20"/>
              </w:rPr>
              <w:t>Max PROJECTED patch rate</w:t>
            </w:r>
          </w:p>
          <w:p w14:paraId="582CF030" w14:textId="77777777" w:rsidR="00741563" w:rsidRPr="00A52AB8" w:rsidRDefault="00741563" w:rsidP="00741563">
            <w:pPr>
              <w:spacing w:after="0" w:line="240" w:lineRule="auto"/>
              <w:ind w:left="113" w:right="113"/>
              <w:jc w:val="center"/>
              <w:rPr>
                <w:rFonts w:eastAsia="Times New Roman"/>
                <w:b/>
                <w:bCs/>
                <w:color w:val="000000"/>
                <w:sz w:val="20"/>
                <w:szCs w:val="20"/>
              </w:rPr>
            </w:pPr>
            <w:r w:rsidRPr="00A52AB8">
              <w:rPr>
                <w:rFonts w:eastAsia="Times New Roman"/>
                <w:b/>
                <w:bCs/>
                <w:color w:val="000000"/>
                <w:sz w:val="20"/>
                <w:szCs w:val="20"/>
              </w:rPr>
              <w:t>MaxProjectedPatchRate</w:t>
            </w:r>
            <w:r w:rsidRPr="00A52AB8">
              <w:rPr>
                <w:rFonts w:eastAsia="Times New Roman"/>
                <w:b/>
                <w:bCs/>
                <w:color w:val="000000"/>
                <w:sz w:val="20"/>
                <w:szCs w:val="20"/>
              </w:rPr>
              <w:br/>
            </w:r>
            <w:r w:rsidRPr="00A52AB8">
              <w:rPr>
                <w:rFonts w:eastAsia="Times New Roman" w:cs="Calibri"/>
                <w:b/>
                <w:bCs/>
                <w:sz w:val="20"/>
                <w:szCs w:val="20"/>
              </w:rPr>
              <w:t>(patches/s)</w:t>
            </w:r>
          </w:p>
        </w:tc>
        <w:tc>
          <w:tcPr>
            <w:tcW w:w="864" w:type="dxa"/>
            <w:textDirection w:val="tbRl"/>
            <w:vAlign w:val="center"/>
          </w:tcPr>
          <w:p w14:paraId="4F075726" w14:textId="77777777" w:rsidR="00741563" w:rsidRPr="00A52AB8" w:rsidRDefault="00741563" w:rsidP="00741563">
            <w:pPr>
              <w:spacing w:after="0" w:line="240" w:lineRule="auto"/>
              <w:ind w:left="113" w:right="113"/>
              <w:jc w:val="center"/>
              <w:rPr>
                <w:rFonts w:eastAsia="Times New Roman"/>
                <w:b/>
                <w:bCs/>
                <w:color w:val="000000"/>
                <w:sz w:val="20"/>
                <w:szCs w:val="20"/>
              </w:rPr>
            </w:pPr>
            <w:r w:rsidRPr="00A52AB8">
              <w:rPr>
                <w:rFonts w:eastAsia="Times New Roman"/>
                <w:b/>
                <w:bCs/>
                <w:color w:val="000000"/>
                <w:sz w:val="20"/>
                <w:szCs w:val="20"/>
              </w:rPr>
              <w:t>Max RAW patch rate</w:t>
            </w:r>
          </w:p>
          <w:p w14:paraId="67A7345A" w14:textId="77777777" w:rsidR="00741563" w:rsidRPr="00A52AB8" w:rsidRDefault="00741563" w:rsidP="00741563">
            <w:pPr>
              <w:spacing w:after="0" w:line="240" w:lineRule="auto"/>
              <w:ind w:left="113" w:right="113"/>
              <w:jc w:val="center"/>
              <w:rPr>
                <w:rFonts w:eastAsia="Times New Roman"/>
                <w:b/>
                <w:bCs/>
                <w:color w:val="000000"/>
                <w:sz w:val="20"/>
                <w:szCs w:val="20"/>
              </w:rPr>
            </w:pPr>
            <w:r w:rsidRPr="00A52AB8">
              <w:rPr>
                <w:rFonts w:eastAsia="Times New Roman"/>
                <w:b/>
                <w:bCs/>
                <w:color w:val="000000"/>
                <w:sz w:val="20"/>
                <w:szCs w:val="20"/>
              </w:rPr>
              <w:t>MaxRawPatchRate</w:t>
            </w:r>
            <w:r w:rsidRPr="00A52AB8">
              <w:rPr>
                <w:rFonts w:eastAsia="Times New Roman"/>
                <w:b/>
                <w:bCs/>
                <w:color w:val="000000"/>
                <w:sz w:val="20"/>
                <w:szCs w:val="20"/>
              </w:rPr>
              <w:br/>
            </w:r>
            <w:r w:rsidRPr="00A52AB8">
              <w:rPr>
                <w:rFonts w:eastAsia="Times New Roman" w:cs="Calibri"/>
                <w:b/>
                <w:bCs/>
                <w:sz w:val="20"/>
                <w:szCs w:val="20"/>
              </w:rPr>
              <w:t>(patches/s)</w:t>
            </w:r>
          </w:p>
        </w:tc>
        <w:tc>
          <w:tcPr>
            <w:tcW w:w="864" w:type="dxa"/>
            <w:textDirection w:val="tbRl"/>
            <w:vAlign w:val="center"/>
          </w:tcPr>
          <w:p w14:paraId="149061F3" w14:textId="77777777" w:rsidR="00741563" w:rsidRPr="00A52AB8" w:rsidRDefault="00741563" w:rsidP="00741563">
            <w:pPr>
              <w:spacing w:after="0" w:line="240" w:lineRule="auto"/>
              <w:ind w:left="113" w:right="113"/>
              <w:jc w:val="center"/>
              <w:rPr>
                <w:rFonts w:eastAsia="Times New Roman"/>
                <w:b/>
                <w:bCs/>
                <w:color w:val="000000"/>
                <w:sz w:val="20"/>
                <w:szCs w:val="20"/>
              </w:rPr>
            </w:pPr>
            <w:r w:rsidRPr="00A52AB8">
              <w:rPr>
                <w:rFonts w:eastAsia="Times New Roman"/>
                <w:b/>
                <w:bCs/>
                <w:color w:val="000000"/>
                <w:sz w:val="20"/>
                <w:szCs w:val="20"/>
              </w:rPr>
              <w:t>Max EOM patch rate</w:t>
            </w:r>
          </w:p>
          <w:p w14:paraId="020A676C" w14:textId="77777777" w:rsidR="00741563" w:rsidRPr="00A52AB8" w:rsidRDefault="00741563" w:rsidP="00741563">
            <w:pPr>
              <w:spacing w:after="0" w:line="240" w:lineRule="auto"/>
              <w:ind w:left="113" w:right="113"/>
              <w:jc w:val="center"/>
              <w:rPr>
                <w:rFonts w:eastAsia="Times New Roman"/>
                <w:b/>
                <w:bCs/>
                <w:color w:val="000000"/>
                <w:sz w:val="20"/>
                <w:szCs w:val="20"/>
              </w:rPr>
            </w:pPr>
            <w:r w:rsidRPr="00A52AB8">
              <w:rPr>
                <w:rFonts w:eastAsia="Times New Roman"/>
                <w:b/>
                <w:bCs/>
                <w:color w:val="000000"/>
                <w:sz w:val="20"/>
                <w:szCs w:val="20"/>
              </w:rPr>
              <w:t>MaxEOMPatchRate</w:t>
            </w:r>
            <w:r w:rsidRPr="00A52AB8">
              <w:rPr>
                <w:rFonts w:eastAsia="Times New Roman"/>
                <w:b/>
                <w:bCs/>
                <w:color w:val="000000"/>
                <w:sz w:val="20"/>
                <w:szCs w:val="20"/>
              </w:rPr>
              <w:br/>
            </w:r>
            <w:r w:rsidRPr="00A52AB8">
              <w:rPr>
                <w:rFonts w:eastAsia="Times New Roman" w:cs="Calibri"/>
                <w:b/>
                <w:bCs/>
                <w:sz w:val="20"/>
                <w:szCs w:val="20"/>
              </w:rPr>
              <w:t>(patches/s)</w:t>
            </w:r>
          </w:p>
        </w:tc>
      </w:tr>
      <w:tr w:rsidR="00741563" w:rsidRPr="00A52AB8" w14:paraId="49775F57" w14:textId="77777777" w:rsidTr="004A0BDE">
        <w:trPr>
          <w:jc w:val="center"/>
        </w:trPr>
        <w:tc>
          <w:tcPr>
            <w:tcW w:w="576" w:type="dxa"/>
            <w:vAlign w:val="center"/>
          </w:tcPr>
          <w:p w14:paraId="5C7132EF" w14:textId="77777777" w:rsidR="00741563" w:rsidRPr="00A52AB8" w:rsidRDefault="00741563" w:rsidP="00741563">
            <w:pPr>
              <w:spacing w:after="0" w:line="240" w:lineRule="auto"/>
              <w:jc w:val="center"/>
              <w:rPr>
                <w:sz w:val="20"/>
                <w:szCs w:val="20"/>
                <w:lang w:eastAsia="ja-JP"/>
              </w:rPr>
            </w:pPr>
            <w:r w:rsidRPr="00A52AB8">
              <w:rPr>
                <w:sz w:val="20"/>
                <w:szCs w:val="20"/>
                <w:lang w:eastAsia="ja-JP"/>
              </w:rPr>
              <w:t>1.0</w:t>
            </w:r>
          </w:p>
        </w:tc>
        <w:tc>
          <w:tcPr>
            <w:tcW w:w="864" w:type="dxa"/>
            <w:vAlign w:val="center"/>
          </w:tcPr>
          <w:p w14:paraId="7DBBD2A3" w14:textId="77777777" w:rsidR="00741563" w:rsidRPr="00A52AB8" w:rsidDel="00C672AE" w:rsidRDefault="00741563" w:rsidP="00741563">
            <w:pPr>
              <w:spacing w:after="0" w:line="240" w:lineRule="auto"/>
              <w:jc w:val="center"/>
              <w:rPr>
                <w:sz w:val="20"/>
                <w:szCs w:val="20"/>
                <w:lang w:eastAsia="ja-JP"/>
              </w:rPr>
            </w:pPr>
            <w:r w:rsidRPr="00A52AB8">
              <w:rPr>
                <w:sz w:val="20"/>
                <w:szCs w:val="20"/>
                <w:lang w:eastAsia="ja-JP"/>
              </w:rPr>
              <w:t>2 048</w:t>
            </w:r>
          </w:p>
        </w:tc>
        <w:tc>
          <w:tcPr>
            <w:tcW w:w="864" w:type="dxa"/>
            <w:vAlign w:val="center"/>
          </w:tcPr>
          <w:p w14:paraId="298CB2EC" w14:textId="77777777" w:rsidR="00741563" w:rsidRPr="00A52AB8" w:rsidRDefault="00741563" w:rsidP="00741563">
            <w:pPr>
              <w:spacing w:after="0" w:line="240" w:lineRule="auto"/>
              <w:jc w:val="center"/>
              <w:rPr>
                <w:sz w:val="20"/>
                <w:szCs w:val="20"/>
                <w:lang w:eastAsia="ja-JP"/>
              </w:rPr>
            </w:pPr>
            <w:r w:rsidRPr="00A52AB8">
              <w:rPr>
                <w:sz w:val="20"/>
                <w:szCs w:val="20"/>
                <w:lang w:eastAsia="ja-JP"/>
              </w:rPr>
              <w:t>32</w:t>
            </w:r>
          </w:p>
        </w:tc>
        <w:tc>
          <w:tcPr>
            <w:tcW w:w="864" w:type="dxa"/>
            <w:vAlign w:val="center"/>
          </w:tcPr>
          <w:p w14:paraId="15B8DD61" w14:textId="77777777" w:rsidR="00741563" w:rsidRPr="00A52AB8" w:rsidRDefault="00741563" w:rsidP="00741563">
            <w:pPr>
              <w:spacing w:after="0" w:line="240" w:lineRule="auto"/>
              <w:jc w:val="center"/>
              <w:rPr>
                <w:sz w:val="20"/>
                <w:szCs w:val="20"/>
                <w:lang w:eastAsia="ja-JP"/>
              </w:rPr>
            </w:pPr>
            <w:r w:rsidRPr="00A52AB8">
              <w:rPr>
                <w:sz w:val="20"/>
                <w:szCs w:val="20"/>
                <w:lang w:eastAsia="ja-JP"/>
              </w:rPr>
              <w:t>32</w:t>
            </w:r>
          </w:p>
        </w:tc>
        <w:tc>
          <w:tcPr>
            <w:tcW w:w="955" w:type="dxa"/>
            <w:vAlign w:val="center"/>
          </w:tcPr>
          <w:p w14:paraId="70119D50" w14:textId="77777777" w:rsidR="00741563" w:rsidRPr="00A52AB8" w:rsidRDefault="00741563" w:rsidP="00741563">
            <w:pPr>
              <w:spacing w:after="0" w:line="240" w:lineRule="auto"/>
              <w:jc w:val="center"/>
              <w:rPr>
                <w:sz w:val="20"/>
                <w:szCs w:val="20"/>
                <w:lang w:eastAsia="ja-JP"/>
              </w:rPr>
            </w:pPr>
            <w:r w:rsidRPr="00A52AB8">
              <w:rPr>
                <w:sz w:val="20"/>
                <w:szCs w:val="20"/>
                <w:lang w:eastAsia="ja-JP"/>
              </w:rPr>
              <w:t>15 000</w:t>
            </w:r>
          </w:p>
        </w:tc>
        <w:tc>
          <w:tcPr>
            <w:tcW w:w="1008" w:type="dxa"/>
            <w:vAlign w:val="center"/>
          </w:tcPr>
          <w:p w14:paraId="6ECD066A" w14:textId="77777777" w:rsidR="00741563" w:rsidRPr="00A52AB8" w:rsidRDefault="00741563" w:rsidP="00741563">
            <w:pPr>
              <w:spacing w:after="0" w:line="240" w:lineRule="auto"/>
              <w:jc w:val="center"/>
              <w:rPr>
                <w:sz w:val="20"/>
                <w:szCs w:val="20"/>
                <w:lang w:eastAsia="ja-JP"/>
              </w:rPr>
            </w:pPr>
            <w:r w:rsidRPr="00A52AB8">
              <w:rPr>
                <w:sz w:val="20"/>
                <w:szCs w:val="20"/>
                <w:lang w:eastAsia="ja-JP"/>
              </w:rPr>
              <w:t>15 000</w:t>
            </w:r>
          </w:p>
        </w:tc>
        <w:tc>
          <w:tcPr>
            <w:tcW w:w="864" w:type="dxa"/>
            <w:vAlign w:val="center"/>
          </w:tcPr>
          <w:p w14:paraId="4A7BF031" w14:textId="77777777" w:rsidR="00741563" w:rsidRPr="00A52AB8" w:rsidRDefault="00741563" w:rsidP="00741563">
            <w:pPr>
              <w:spacing w:after="0" w:line="240" w:lineRule="auto"/>
              <w:jc w:val="center"/>
              <w:rPr>
                <w:sz w:val="20"/>
                <w:szCs w:val="20"/>
                <w:lang w:eastAsia="ja-JP"/>
              </w:rPr>
            </w:pPr>
            <w:r w:rsidRPr="00A52AB8">
              <w:rPr>
                <w:sz w:val="20"/>
                <w:szCs w:val="20"/>
                <w:lang w:eastAsia="ja-JP"/>
              </w:rPr>
              <w:t>50</w:t>
            </w:r>
          </w:p>
        </w:tc>
        <w:tc>
          <w:tcPr>
            <w:tcW w:w="1152" w:type="dxa"/>
            <w:vAlign w:val="center"/>
          </w:tcPr>
          <w:p w14:paraId="0FBA5FFF" w14:textId="77777777" w:rsidR="00741563" w:rsidRPr="00A52AB8" w:rsidRDefault="00741563" w:rsidP="00741563">
            <w:pPr>
              <w:spacing w:after="0" w:line="240" w:lineRule="auto"/>
              <w:jc w:val="center"/>
              <w:rPr>
                <w:sz w:val="20"/>
                <w:szCs w:val="20"/>
                <w:lang w:eastAsia="ja-JP"/>
              </w:rPr>
            </w:pPr>
            <w:r w:rsidRPr="00A52AB8">
              <w:rPr>
                <w:sz w:val="20"/>
                <w:szCs w:val="20"/>
                <w:lang w:eastAsia="ja-JP"/>
              </w:rPr>
              <w:t>2 228 224</w:t>
            </w:r>
          </w:p>
        </w:tc>
        <w:tc>
          <w:tcPr>
            <w:tcW w:w="1152" w:type="dxa"/>
            <w:vAlign w:val="bottom"/>
          </w:tcPr>
          <w:p w14:paraId="7C016517" w14:textId="77777777" w:rsidR="00741563" w:rsidRPr="00A52AB8" w:rsidRDefault="00741563" w:rsidP="00741563">
            <w:pPr>
              <w:spacing w:after="0" w:line="240" w:lineRule="auto"/>
              <w:jc w:val="center"/>
              <w:rPr>
                <w:sz w:val="20"/>
                <w:szCs w:val="20"/>
                <w:lang w:eastAsia="ja-JP"/>
              </w:rPr>
            </w:pPr>
            <w:r w:rsidRPr="00A52AB8">
              <w:rPr>
                <w:sz w:val="20"/>
                <w:szCs w:val="20"/>
                <w:lang w:eastAsia="ja-JP"/>
              </w:rPr>
              <w:t>65 536</w:t>
            </w:r>
          </w:p>
        </w:tc>
        <w:tc>
          <w:tcPr>
            <w:tcW w:w="864" w:type="dxa"/>
            <w:vAlign w:val="bottom"/>
          </w:tcPr>
          <w:p w14:paraId="5C90310B" w14:textId="77777777" w:rsidR="00741563" w:rsidRPr="00A52AB8" w:rsidRDefault="00741563" w:rsidP="00741563">
            <w:pPr>
              <w:spacing w:after="0" w:line="240" w:lineRule="auto"/>
              <w:jc w:val="center"/>
              <w:rPr>
                <w:sz w:val="20"/>
                <w:szCs w:val="20"/>
                <w:lang w:eastAsia="ja-JP"/>
              </w:rPr>
            </w:pPr>
            <w:r w:rsidRPr="00A52AB8">
              <w:rPr>
                <w:sz w:val="20"/>
                <w:szCs w:val="20"/>
                <w:lang w:eastAsia="ja-JP"/>
              </w:rPr>
              <w:t>1 024</w:t>
            </w:r>
          </w:p>
        </w:tc>
        <w:tc>
          <w:tcPr>
            <w:tcW w:w="864" w:type="dxa"/>
            <w:vAlign w:val="bottom"/>
          </w:tcPr>
          <w:p w14:paraId="22B65F6B" w14:textId="77777777" w:rsidR="00741563" w:rsidRPr="00A52AB8" w:rsidRDefault="00741563" w:rsidP="00741563">
            <w:pPr>
              <w:spacing w:after="0" w:line="240" w:lineRule="auto"/>
              <w:jc w:val="center"/>
              <w:rPr>
                <w:sz w:val="20"/>
                <w:szCs w:val="20"/>
                <w:lang w:eastAsia="ja-JP"/>
              </w:rPr>
            </w:pPr>
            <w:r w:rsidRPr="00A52AB8">
              <w:rPr>
                <w:sz w:val="20"/>
                <w:szCs w:val="20"/>
                <w:lang w:eastAsia="ja-JP"/>
              </w:rPr>
              <w:t>1 024</w:t>
            </w:r>
          </w:p>
        </w:tc>
      </w:tr>
      <w:tr w:rsidR="00741563" w:rsidRPr="00A52AB8" w14:paraId="0964C7F9" w14:textId="77777777" w:rsidTr="004A0BDE">
        <w:trPr>
          <w:jc w:val="center"/>
        </w:trPr>
        <w:tc>
          <w:tcPr>
            <w:tcW w:w="576" w:type="dxa"/>
            <w:vAlign w:val="center"/>
          </w:tcPr>
          <w:p w14:paraId="039173C9" w14:textId="77777777" w:rsidR="00741563" w:rsidRPr="00A52AB8" w:rsidRDefault="00741563" w:rsidP="00741563">
            <w:pPr>
              <w:spacing w:after="0" w:line="240" w:lineRule="auto"/>
              <w:jc w:val="center"/>
              <w:rPr>
                <w:sz w:val="20"/>
                <w:szCs w:val="20"/>
                <w:lang w:eastAsia="ja-JP"/>
              </w:rPr>
            </w:pPr>
            <w:r w:rsidRPr="00A52AB8">
              <w:rPr>
                <w:sz w:val="20"/>
                <w:szCs w:val="20"/>
                <w:lang w:eastAsia="ja-JP"/>
              </w:rPr>
              <w:t>1.5</w:t>
            </w:r>
          </w:p>
        </w:tc>
        <w:tc>
          <w:tcPr>
            <w:tcW w:w="864" w:type="dxa"/>
            <w:vAlign w:val="center"/>
          </w:tcPr>
          <w:p w14:paraId="7E139E10" w14:textId="77777777" w:rsidR="00741563" w:rsidRPr="00A52AB8" w:rsidRDefault="00741563" w:rsidP="00741563">
            <w:pPr>
              <w:spacing w:after="0" w:line="240" w:lineRule="auto"/>
              <w:jc w:val="center"/>
              <w:rPr>
                <w:sz w:val="20"/>
                <w:szCs w:val="20"/>
                <w:lang w:eastAsia="ja-JP"/>
              </w:rPr>
            </w:pPr>
            <w:r w:rsidRPr="00A52AB8">
              <w:rPr>
                <w:sz w:val="20"/>
                <w:szCs w:val="20"/>
                <w:lang w:eastAsia="ja-JP"/>
              </w:rPr>
              <w:t>4 096</w:t>
            </w:r>
          </w:p>
        </w:tc>
        <w:tc>
          <w:tcPr>
            <w:tcW w:w="864" w:type="dxa"/>
            <w:vAlign w:val="center"/>
          </w:tcPr>
          <w:p w14:paraId="51A3C6EB" w14:textId="77777777" w:rsidR="00741563" w:rsidRPr="00A52AB8" w:rsidRDefault="00741563" w:rsidP="00741563">
            <w:pPr>
              <w:spacing w:after="0" w:line="240" w:lineRule="auto"/>
              <w:jc w:val="center"/>
              <w:rPr>
                <w:sz w:val="20"/>
                <w:szCs w:val="20"/>
                <w:lang w:eastAsia="ja-JP"/>
              </w:rPr>
            </w:pPr>
            <w:r w:rsidRPr="00A52AB8">
              <w:rPr>
                <w:sz w:val="20"/>
                <w:szCs w:val="20"/>
                <w:lang w:eastAsia="ja-JP"/>
              </w:rPr>
              <w:t>64</w:t>
            </w:r>
          </w:p>
        </w:tc>
        <w:tc>
          <w:tcPr>
            <w:tcW w:w="864" w:type="dxa"/>
            <w:vAlign w:val="center"/>
          </w:tcPr>
          <w:p w14:paraId="13130FFF" w14:textId="77777777" w:rsidR="00741563" w:rsidRPr="00A52AB8" w:rsidRDefault="00741563" w:rsidP="00741563">
            <w:pPr>
              <w:spacing w:after="0" w:line="240" w:lineRule="auto"/>
              <w:ind w:left="113" w:right="113"/>
              <w:jc w:val="center"/>
              <w:rPr>
                <w:rFonts w:eastAsia="Times New Roman"/>
                <w:color w:val="000000"/>
                <w:sz w:val="20"/>
                <w:szCs w:val="20"/>
              </w:rPr>
            </w:pPr>
            <w:r w:rsidRPr="00A52AB8">
              <w:rPr>
                <w:rFonts w:eastAsia="Times New Roman"/>
                <w:color w:val="000000"/>
                <w:sz w:val="20"/>
                <w:szCs w:val="20"/>
              </w:rPr>
              <w:t>32</w:t>
            </w:r>
          </w:p>
        </w:tc>
        <w:tc>
          <w:tcPr>
            <w:tcW w:w="955" w:type="dxa"/>
            <w:vAlign w:val="center"/>
          </w:tcPr>
          <w:p w14:paraId="5D596F52" w14:textId="77777777" w:rsidR="00741563" w:rsidRPr="00A52AB8" w:rsidRDefault="00741563" w:rsidP="00741563">
            <w:pPr>
              <w:spacing w:after="0" w:line="240" w:lineRule="auto"/>
              <w:jc w:val="center"/>
              <w:rPr>
                <w:sz w:val="20"/>
                <w:szCs w:val="20"/>
                <w:lang w:eastAsia="ja-JP"/>
              </w:rPr>
            </w:pPr>
            <w:r w:rsidRPr="00A52AB8">
              <w:rPr>
                <w:sz w:val="20"/>
                <w:szCs w:val="20"/>
                <w:lang w:eastAsia="ja-JP"/>
              </w:rPr>
              <w:t>30 000</w:t>
            </w:r>
          </w:p>
        </w:tc>
        <w:tc>
          <w:tcPr>
            <w:tcW w:w="1008" w:type="dxa"/>
            <w:vAlign w:val="center"/>
          </w:tcPr>
          <w:p w14:paraId="4B1073C8" w14:textId="77777777" w:rsidR="00741563" w:rsidRPr="00A52AB8" w:rsidRDefault="00741563" w:rsidP="00741563">
            <w:pPr>
              <w:spacing w:after="0" w:line="240" w:lineRule="auto"/>
              <w:jc w:val="center"/>
              <w:rPr>
                <w:sz w:val="20"/>
                <w:szCs w:val="20"/>
                <w:lang w:eastAsia="ja-JP"/>
              </w:rPr>
            </w:pPr>
            <w:r w:rsidRPr="00A52AB8">
              <w:rPr>
                <w:sz w:val="20"/>
                <w:szCs w:val="20"/>
                <w:lang w:eastAsia="ja-JP"/>
              </w:rPr>
              <w:t>30 000</w:t>
            </w:r>
          </w:p>
        </w:tc>
        <w:tc>
          <w:tcPr>
            <w:tcW w:w="864" w:type="dxa"/>
            <w:vAlign w:val="center"/>
          </w:tcPr>
          <w:p w14:paraId="51369513" w14:textId="77777777" w:rsidR="00741563" w:rsidRPr="00A52AB8" w:rsidRDefault="00741563" w:rsidP="00741563">
            <w:pPr>
              <w:spacing w:after="0" w:line="240" w:lineRule="auto"/>
              <w:jc w:val="center"/>
              <w:rPr>
                <w:sz w:val="20"/>
                <w:szCs w:val="20"/>
                <w:lang w:eastAsia="ja-JP"/>
              </w:rPr>
            </w:pPr>
            <w:r w:rsidRPr="00A52AB8">
              <w:rPr>
                <w:sz w:val="20"/>
                <w:szCs w:val="20"/>
                <w:lang w:eastAsia="ja-JP"/>
              </w:rPr>
              <w:t>50</w:t>
            </w:r>
          </w:p>
        </w:tc>
        <w:tc>
          <w:tcPr>
            <w:tcW w:w="1152" w:type="dxa"/>
            <w:vAlign w:val="center"/>
          </w:tcPr>
          <w:p w14:paraId="3601D671" w14:textId="77777777" w:rsidR="00741563" w:rsidRPr="00A52AB8" w:rsidRDefault="00741563" w:rsidP="00741563">
            <w:pPr>
              <w:spacing w:after="0" w:line="240" w:lineRule="auto"/>
              <w:jc w:val="center"/>
              <w:rPr>
                <w:sz w:val="20"/>
                <w:szCs w:val="20"/>
                <w:lang w:eastAsia="ja-JP"/>
              </w:rPr>
            </w:pPr>
            <w:r w:rsidRPr="00A52AB8">
              <w:rPr>
                <w:sz w:val="20"/>
                <w:szCs w:val="20"/>
                <w:lang w:eastAsia="ja-JP"/>
              </w:rPr>
              <w:t>2 228 224</w:t>
            </w:r>
          </w:p>
        </w:tc>
        <w:tc>
          <w:tcPr>
            <w:tcW w:w="1152" w:type="dxa"/>
            <w:vAlign w:val="bottom"/>
          </w:tcPr>
          <w:p w14:paraId="7F8C6D09" w14:textId="77777777" w:rsidR="00741563" w:rsidRPr="00A52AB8" w:rsidRDefault="00741563" w:rsidP="00741563">
            <w:pPr>
              <w:spacing w:after="0" w:line="240" w:lineRule="auto"/>
              <w:jc w:val="center"/>
              <w:rPr>
                <w:sz w:val="20"/>
                <w:szCs w:val="20"/>
                <w:lang w:eastAsia="ja-JP"/>
              </w:rPr>
            </w:pPr>
            <w:r w:rsidRPr="00A52AB8">
              <w:rPr>
                <w:sz w:val="20"/>
                <w:szCs w:val="20"/>
                <w:lang w:eastAsia="ja-JP"/>
              </w:rPr>
              <w:t>131 072</w:t>
            </w:r>
          </w:p>
        </w:tc>
        <w:tc>
          <w:tcPr>
            <w:tcW w:w="864" w:type="dxa"/>
            <w:vAlign w:val="bottom"/>
          </w:tcPr>
          <w:p w14:paraId="493FF71E" w14:textId="77777777" w:rsidR="00741563" w:rsidRPr="00A52AB8" w:rsidRDefault="00741563" w:rsidP="00741563">
            <w:pPr>
              <w:spacing w:after="0" w:line="240" w:lineRule="auto"/>
              <w:jc w:val="center"/>
              <w:rPr>
                <w:sz w:val="20"/>
                <w:szCs w:val="20"/>
                <w:lang w:eastAsia="ja-JP"/>
              </w:rPr>
            </w:pPr>
            <w:r w:rsidRPr="00A52AB8">
              <w:rPr>
                <w:sz w:val="20"/>
                <w:szCs w:val="20"/>
                <w:lang w:eastAsia="ja-JP"/>
              </w:rPr>
              <w:t>2 048</w:t>
            </w:r>
          </w:p>
        </w:tc>
        <w:tc>
          <w:tcPr>
            <w:tcW w:w="864" w:type="dxa"/>
            <w:vAlign w:val="bottom"/>
          </w:tcPr>
          <w:p w14:paraId="35F815B0" w14:textId="77777777" w:rsidR="00741563" w:rsidRPr="00A52AB8" w:rsidRDefault="00741563" w:rsidP="00741563">
            <w:pPr>
              <w:spacing w:after="0" w:line="240" w:lineRule="auto"/>
              <w:jc w:val="center"/>
              <w:rPr>
                <w:sz w:val="20"/>
                <w:szCs w:val="20"/>
                <w:lang w:eastAsia="ja-JP"/>
              </w:rPr>
            </w:pPr>
            <w:r w:rsidRPr="00A52AB8">
              <w:rPr>
                <w:sz w:val="20"/>
                <w:szCs w:val="20"/>
                <w:lang w:eastAsia="ja-JP"/>
              </w:rPr>
              <w:t>1 024</w:t>
            </w:r>
          </w:p>
        </w:tc>
      </w:tr>
      <w:tr w:rsidR="00741563" w:rsidRPr="00A52AB8" w14:paraId="683605FA" w14:textId="77777777" w:rsidTr="004A0BDE">
        <w:trPr>
          <w:jc w:val="center"/>
        </w:trPr>
        <w:tc>
          <w:tcPr>
            <w:tcW w:w="576" w:type="dxa"/>
            <w:vAlign w:val="center"/>
          </w:tcPr>
          <w:p w14:paraId="7A58566C" w14:textId="77777777" w:rsidR="00741563" w:rsidRPr="00A52AB8" w:rsidRDefault="00741563" w:rsidP="00741563">
            <w:pPr>
              <w:spacing w:after="0" w:line="240" w:lineRule="auto"/>
              <w:jc w:val="center"/>
              <w:rPr>
                <w:sz w:val="20"/>
                <w:szCs w:val="20"/>
                <w:lang w:eastAsia="ja-JP"/>
              </w:rPr>
            </w:pPr>
            <w:r w:rsidRPr="00A52AB8">
              <w:rPr>
                <w:sz w:val="20"/>
                <w:szCs w:val="20"/>
                <w:lang w:eastAsia="ja-JP"/>
              </w:rPr>
              <w:t>2.0</w:t>
            </w:r>
          </w:p>
        </w:tc>
        <w:tc>
          <w:tcPr>
            <w:tcW w:w="864" w:type="dxa"/>
            <w:vAlign w:val="center"/>
          </w:tcPr>
          <w:p w14:paraId="29F86B91" w14:textId="77777777" w:rsidR="00741563" w:rsidRPr="00A52AB8" w:rsidRDefault="00741563" w:rsidP="00741563">
            <w:pPr>
              <w:spacing w:after="0" w:line="240" w:lineRule="auto"/>
              <w:jc w:val="center"/>
              <w:rPr>
                <w:sz w:val="20"/>
                <w:szCs w:val="20"/>
                <w:lang w:eastAsia="ja-JP"/>
              </w:rPr>
            </w:pPr>
            <w:r w:rsidRPr="00A52AB8">
              <w:rPr>
                <w:sz w:val="20"/>
                <w:szCs w:val="20"/>
                <w:lang w:eastAsia="ja-JP"/>
              </w:rPr>
              <w:t>16 384</w:t>
            </w:r>
          </w:p>
        </w:tc>
        <w:tc>
          <w:tcPr>
            <w:tcW w:w="864" w:type="dxa"/>
            <w:vAlign w:val="center"/>
          </w:tcPr>
          <w:p w14:paraId="3A4356BE" w14:textId="77777777" w:rsidR="00741563" w:rsidRPr="00A52AB8" w:rsidRDefault="00741563" w:rsidP="00741563">
            <w:pPr>
              <w:spacing w:after="0" w:line="240" w:lineRule="auto"/>
              <w:jc w:val="center"/>
              <w:rPr>
                <w:sz w:val="20"/>
                <w:szCs w:val="20"/>
                <w:lang w:eastAsia="ja-JP"/>
              </w:rPr>
            </w:pPr>
            <w:r w:rsidRPr="00A52AB8">
              <w:rPr>
                <w:sz w:val="20"/>
                <w:szCs w:val="20"/>
                <w:lang w:eastAsia="ja-JP"/>
              </w:rPr>
              <w:t>128</w:t>
            </w:r>
          </w:p>
        </w:tc>
        <w:tc>
          <w:tcPr>
            <w:tcW w:w="864" w:type="dxa"/>
            <w:vAlign w:val="center"/>
          </w:tcPr>
          <w:p w14:paraId="44639249" w14:textId="77777777" w:rsidR="00741563" w:rsidRPr="00A52AB8" w:rsidRDefault="00741563" w:rsidP="00741563">
            <w:pPr>
              <w:spacing w:after="0" w:line="240" w:lineRule="auto"/>
              <w:jc w:val="center"/>
              <w:rPr>
                <w:sz w:val="20"/>
                <w:szCs w:val="20"/>
                <w:lang w:eastAsia="ja-JP"/>
              </w:rPr>
            </w:pPr>
            <w:r w:rsidRPr="00A52AB8">
              <w:rPr>
                <w:sz w:val="20"/>
                <w:szCs w:val="20"/>
                <w:lang w:eastAsia="ja-JP"/>
              </w:rPr>
              <w:t>64</w:t>
            </w:r>
          </w:p>
        </w:tc>
        <w:tc>
          <w:tcPr>
            <w:tcW w:w="955" w:type="dxa"/>
            <w:vAlign w:val="center"/>
          </w:tcPr>
          <w:p w14:paraId="3AEFDD80" w14:textId="77777777" w:rsidR="00741563" w:rsidRPr="00A52AB8" w:rsidRDefault="00741563" w:rsidP="00741563">
            <w:pPr>
              <w:spacing w:after="0" w:line="240" w:lineRule="auto"/>
              <w:jc w:val="center"/>
              <w:rPr>
                <w:sz w:val="20"/>
                <w:szCs w:val="20"/>
                <w:lang w:eastAsia="ja-JP"/>
              </w:rPr>
            </w:pPr>
            <w:r w:rsidRPr="00A52AB8">
              <w:rPr>
                <w:sz w:val="20"/>
                <w:szCs w:val="20"/>
                <w:lang w:eastAsia="ja-JP"/>
              </w:rPr>
              <w:t>120 000</w:t>
            </w:r>
          </w:p>
        </w:tc>
        <w:tc>
          <w:tcPr>
            <w:tcW w:w="1008" w:type="dxa"/>
            <w:vAlign w:val="center"/>
          </w:tcPr>
          <w:p w14:paraId="1F114F51" w14:textId="77777777" w:rsidR="00741563" w:rsidRPr="00A52AB8" w:rsidRDefault="00741563" w:rsidP="00741563">
            <w:pPr>
              <w:spacing w:after="0" w:line="240" w:lineRule="auto"/>
              <w:jc w:val="center"/>
              <w:rPr>
                <w:sz w:val="20"/>
                <w:szCs w:val="20"/>
                <w:lang w:eastAsia="ja-JP"/>
              </w:rPr>
            </w:pPr>
            <w:r w:rsidRPr="00A52AB8">
              <w:rPr>
                <w:sz w:val="20"/>
                <w:szCs w:val="20"/>
                <w:lang w:eastAsia="ja-JP"/>
              </w:rPr>
              <w:t>120 000</w:t>
            </w:r>
          </w:p>
        </w:tc>
        <w:tc>
          <w:tcPr>
            <w:tcW w:w="864" w:type="dxa"/>
            <w:vAlign w:val="center"/>
          </w:tcPr>
          <w:p w14:paraId="761CABC4" w14:textId="77777777" w:rsidR="00741563" w:rsidRPr="00A52AB8" w:rsidRDefault="00741563" w:rsidP="00741563">
            <w:pPr>
              <w:spacing w:after="0" w:line="240" w:lineRule="auto"/>
              <w:jc w:val="center"/>
              <w:rPr>
                <w:sz w:val="20"/>
                <w:szCs w:val="20"/>
                <w:lang w:eastAsia="ja-JP"/>
              </w:rPr>
            </w:pPr>
            <w:r w:rsidRPr="00A52AB8">
              <w:rPr>
                <w:sz w:val="20"/>
                <w:szCs w:val="20"/>
                <w:lang w:eastAsia="ja-JP"/>
              </w:rPr>
              <w:t>200</w:t>
            </w:r>
          </w:p>
        </w:tc>
        <w:tc>
          <w:tcPr>
            <w:tcW w:w="1152" w:type="dxa"/>
            <w:vAlign w:val="center"/>
          </w:tcPr>
          <w:p w14:paraId="44F67A22" w14:textId="77777777" w:rsidR="00741563" w:rsidRPr="00A52AB8" w:rsidRDefault="00741563" w:rsidP="00741563">
            <w:pPr>
              <w:spacing w:after="0" w:line="240" w:lineRule="auto"/>
              <w:jc w:val="center"/>
              <w:rPr>
                <w:sz w:val="20"/>
                <w:szCs w:val="20"/>
                <w:lang w:eastAsia="ja-JP"/>
              </w:rPr>
            </w:pPr>
            <w:r w:rsidRPr="00A52AB8">
              <w:rPr>
                <w:sz w:val="20"/>
                <w:szCs w:val="20"/>
                <w:lang w:eastAsia="ja-JP"/>
              </w:rPr>
              <w:t>8 912 896</w:t>
            </w:r>
          </w:p>
        </w:tc>
        <w:tc>
          <w:tcPr>
            <w:tcW w:w="1152" w:type="dxa"/>
            <w:vAlign w:val="bottom"/>
          </w:tcPr>
          <w:p w14:paraId="3EB854FA" w14:textId="77777777" w:rsidR="00741563" w:rsidRPr="00A52AB8" w:rsidRDefault="00741563" w:rsidP="00741563">
            <w:pPr>
              <w:spacing w:after="0" w:line="240" w:lineRule="auto"/>
              <w:jc w:val="center"/>
              <w:rPr>
                <w:sz w:val="20"/>
                <w:szCs w:val="20"/>
                <w:lang w:eastAsia="ja-JP"/>
              </w:rPr>
            </w:pPr>
            <w:r w:rsidRPr="00A52AB8">
              <w:rPr>
                <w:sz w:val="20"/>
                <w:szCs w:val="20"/>
                <w:lang w:eastAsia="ja-JP"/>
              </w:rPr>
              <w:t>524 288</w:t>
            </w:r>
          </w:p>
        </w:tc>
        <w:tc>
          <w:tcPr>
            <w:tcW w:w="864" w:type="dxa"/>
            <w:vAlign w:val="bottom"/>
          </w:tcPr>
          <w:p w14:paraId="40A0C081" w14:textId="77777777" w:rsidR="00741563" w:rsidRPr="00A52AB8" w:rsidRDefault="00741563" w:rsidP="00741563">
            <w:pPr>
              <w:spacing w:after="0" w:line="240" w:lineRule="auto"/>
              <w:jc w:val="center"/>
              <w:rPr>
                <w:sz w:val="20"/>
                <w:szCs w:val="20"/>
                <w:lang w:eastAsia="ja-JP"/>
              </w:rPr>
            </w:pPr>
            <w:r w:rsidRPr="00A52AB8">
              <w:rPr>
                <w:sz w:val="20"/>
                <w:szCs w:val="20"/>
                <w:lang w:eastAsia="ja-JP"/>
              </w:rPr>
              <w:t>4 096</w:t>
            </w:r>
          </w:p>
        </w:tc>
        <w:tc>
          <w:tcPr>
            <w:tcW w:w="864" w:type="dxa"/>
            <w:vAlign w:val="bottom"/>
          </w:tcPr>
          <w:p w14:paraId="7205EBDA" w14:textId="77777777" w:rsidR="00741563" w:rsidRPr="00A52AB8" w:rsidRDefault="00741563" w:rsidP="00741563">
            <w:pPr>
              <w:spacing w:after="0" w:line="240" w:lineRule="auto"/>
              <w:jc w:val="center"/>
              <w:rPr>
                <w:sz w:val="20"/>
                <w:szCs w:val="20"/>
                <w:lang w:eastAsia="ja-JP"/>
              </w:rPr>
            </w:pPr>
            <w:r w:rsidRPr="00A52AB8">
              <w:rPr>
                <w:sz w:val="20"/>
                <w:szCs w:val="20"/>
                <w:lang w:eastAsia="ja-JP"/>
              </w:rPr>
              <w:t>2 048</w:t>
            </w:r>
          </w:p>
        </w:tc>
      </w:tr>
      <w:tr w:rsidR="00741563" w:rsidRPr="00A52AB8" w14:paraId="1B2B744E" w14:textId="77777777" w:rsidTr="004A0BDE">
        <w:trPr>
          <w:jc w:val="center"/>
        </w:trPr>
        <w:tc>
          <w:tcPr>
            <w:tcW w:w="576" w:type="dxa"/>
            <w:vAlign w:val="center"/>
          </w:tcPr>
          <w:p w14:paraId="7B90245A" w14:textId="77777777" w:rsidR="00741563" w:rsidRPr="00A52AB8" w:rsidRDefault="00741563" w:rsidP="00741563">
            <w:pPr>
              <w:spacing w:after="0" w:line="240" w:lineRule="auto"/>
              <w:jc w:val="center"/>
              <w:rPr>
                <w:sz w:val="20"/>
                <w:szCs w:val="20"/>
                <w:lang w:eastAsia="ja-JP"/>
              </w:rPr>
            </w:pPr>
            <w:r w:rsidRPr="00A52AB8">
              <w:rPr>
                <w:sz w:val="20"/>
                <w:szCs w:val="20"/>
                <w:lang w:eastAsia="ja-JP"/>
              </w:rPr>
              <w:t>2.5</w:t>
            </w:r>
          </w:p>
        </w:tc>
        <w:tc>
          <w:tcPr>
            <w:tcW w:w="864" w:type="dxa"/>
            <w:vAlign w:val="center"/>
          </w:tcPr>
          <w:p w14:paraId="63CF9D69" w14:textId="77777777" w:rsidR="00741563" w:rsidRPr="00A52AB8" w:rsidRDefault="00741563" w:rsidP="00741563">
            <w:pPr>
              <w:spacing w:after="0" w:line="240" w:lineRule="auto"/>
              <w:jc w:val="center"/>
              <w:rPr>
                <w:sz w:val="20"/>
                <w:szCs w:val="20"/>
                <w:lang w:eastAsia="ja-JP"/>
              </w:rPr>
            </w:pPr>
            <w:r w:rsidRPr="00A52AB8">
              <w:rPr>
                <w:sz w:val="20"/>
                <w:szCs w:val="20"/>
                <w:lang w:eastAsia="ja-JP"/>
              </w:rPr>
              <w:t>32 384</w:t>
            </w:r>
          </w:p>
        </w:tc>
        <w:tc>
          <w:tcPr>
            <w:tcW w:w="864" w:type="dxa"/>
            <w:vAlign w:val="center"/>
          </w:tcPr>
          <w:p w14:paraId="2ED6A3C8" w14:textId="77777777" w:rsidR="00741563" w:rsidRPr="00A52AB8" w:rsidRDefault="00741563" w:rsidP="00741563">
            <w:pPr>
              <w:spacing w:after="0" w:line="240" w:lineRule="auto"/>
              <w:jc w:val="center"/>
              <w:rPr>
                <w:sz w:val="20"/>
                <w:szCs w:val="20"/>
                <w:lang w:eastAsia="ja-JP"/>
              </w:rPr>
            </w:pPr>
            <w:r w:rsidRPr="00A52AB8">
              <w:rPr>
                <w:sz w:val="20"/>
                <w:szCs w:val="20"/>
                <w:lang w:eastAsia="ja-JP"/>
              </w:rPr>
              <w:t>128</w:t>
            </w:r>
          </w:p>
        </w:tc>
        <w:tc>
          <w:tcPr>
            <w:tcW w:w="864" w:type="dxa"/>
            <w:vAlign w:val="center"/>
          </w:tcPr>
          <w:p w14:paraId="7B55F2F0" w14:textId="77777777" w:rsidR="00741563" w:rsidRPr="00A52AB8" w:rsidRDefault="00741563" w:rsidP="00741563">
            <w:pPr>
              <w:spacing w:after="0" w:line="240" w:lineRule="auto"/>
              <w:jc w:val="center"/>
              <w:rPr>
                <w:sz w:val="20"/>
                <w:szCs w:val="20"/>
                <w:lang w:eastAsia="ja-JP"/>
              </w:rPr>
            </w:pPr>
            <w:r w:rsidRPr="00A52AB8">
              <w:rPr>
                <w:sz w:val="20"/>
                <w:szCs w:val="20"/>
                <w:lang w:eastAsia="ja-JP"/>
              </w:rPr>
              <w:t>64</w:t>
            </w:r>
          </w:p>
        </w:tc>
        <w:tc>
          <w:tcPr>
            <w:tcW w:w="955" w:type="dxa"/>
            <w:vAlign w:val="center"/>
          </w:tcPr>
          <w:p w14:paraId="2B55E5BD" w14:textId="77777777" w:rsidR="00741563" w:rsidRPr="00A52AB8" w:rsidRDefault="00741563" w:rsidP="00741563">
            <w:pPr>
              <w:spacing w:after="0" w:line="240" w:lineRule="auto"/>
              <w:jc w:val="center"/>
              <w:rPr>
                <w:sz w:val="20"/>
                <w:szCs w:val="20"/>
                <w:lang w:eastAsia="ja-JP"/>
              </w:rPr>
            </w:pPr>
            <w:r w:rsidRPr="00A52AB8">
              <w:rPr>
                <w:sz w:val="20"/>
                <w:szCs w:val="20"/>
                <w:lang w:eastAsia="ja-JP"/>
              </w:rPr>
              <w:t>240 000</w:t>
            </w:r>
          </w:p>
        </w:tc>
        <w:tc>
          <w:tcPr>
            <w:tcW w:w="1008" w:type="dxa"/>
            <w:vAlign w:val="center"/>
          </w:tcPr>
          <w:p w14:paraId="195B4394" w14:textId="77777777" w:rsidR="00741563" w:rsidRPr="00A52AB8" w:rsidRDefault="00741563" w:rsidP="00741563">
            <w:pPr>
              <w:spacing w:after="0" w:line="240" w:lineRule="auto"/>
              <w:jc w:val="center"/>
              <w:rPr>
                <w:sz w:val="20"/>
                <w:szCs w:val="20"/>
                <w:lang w:eastAsia="ja-JP"/>
              </w:rPr>
            </w:pPr>
            <w:r w:rsidRPr="00A52AB8">
              <w:rPr>
                <w:sz w:val="20"/>
                <w:szCs w:val="20"/>
                <w:lang w:eastAsia="ja-JP"/>
              </w:rPr>
              <w:t>240 000</w:t>
            </w:r>
          </w:p>
        </w:tc>
        <w:tc>
          <w:tcPr>
            <w:tcW w:w="864" w:type="dxa"/>
            <w:vAlign w:val="center"/>
          </w:tcPr>
          <w:p w14:paraId="5D3C35EB" w14:textId="77777777" w:rsidR="00741563" w:rsidRPr="00A52AB8" w:rsidRDefault="00741563" w:rsidP="00741563">
            <w:pPr>
              <w:spacing w:after="0" w:line="240" w:lineRule="auto"/>
              <w:jc w:val="center"/>
              <w:rPr>
                <w:sz w:val="20"/>
                <w:szCs w:val="20"/>
                <w:lang w:eastAsia="ja-JP"/>
              </w:rPr>
            </w:pPr>
            <w:r w:rsidRPr="00A52AB8">
              <w:rPr>
                <w:sz w:val="20"/>
                <w:szCs w:val="20"/>
                <w:lang w:eastAsia="ja-JP"/>
              </w:rPr>
              <w:t>200</w:t>
            </w:r>
          </w:p>
        </w:tc>
        <w:tc>
          <w:tcPr>
            <w:tcW w:w="1152" w:type="dxa"/>
            <w:vAlign w:val="center"/>
          </w:tcPr>
          <w:p w14:paraId="69ED5834" w14:textId="77777777" w:rsidR="00741563" w:rsidRPr="00A52AB8" w:rsidRDefault="00741563" w:rsidP="00741563">
            <w:pPr>
              <w:spacing w:after="0" w:line="240" w:lineRule="auto"/>
              <w:jc w:val="center"/>
              <w:rPr>
                <w:sz w:val="20"/>
                <w:szCs w:val="20"/>
                <w:lang w:eastAsia="ja-JP"/>
              </w:rPr>
            </w:pPr>
            <w:r w:rsidRPr="00A52AB8">
              <w:rPr>
                <w:sz w:val="20"/>
                <w:szCs w:val="20"/>
                <w:lang w:eastAsia="ja-JP"/>
              </w:rPr>
              <w:t>8 912 896</w:t>
            </w:r>
          </w:p>
        </w:tc>
        <w:tc>
          <w:tcPr>
            <w:tcW w:w="1152" w:type="dxa"/>
            <w:vAlign w:val="bottom"/>
          </w:tcPr>
          <w:p w14:paraId="515DA8F1" w14:textId="77777777" w:rsidR="00741563" w:rsidRPr="00A52AB8" w:rsidRDefault="00741563" w:rsidP="00741563">
            <w:pPr>
              <w:spacing w:after="0" w:line="240" w:lineRule="auto"/>
              <w:jc w:val="center"/>
              <w:rPr>
                <w:sz w:val="20"/>
                <w:szCs w:val="20"/>
                <w:lang w:eastAsia="ja-JP"/>
              </w:rPr>
            </w:pPr>
            <w:r w:rsidRPr="00A52AB8">
              <w:rPr>
                <w:sz w:val="20"/>
                <w:szCs w:val="20"/>
                <w:lang w:eastAsia="ja-JP"/>
              </w:rPr>
              <w:t>1 036 288</w:t>
            </w:r>
          </w:p>
        </w:tc>
        <w:tc>
          <w:tcPr>
            <w:tcW w:w="864" w:type="dxa"/>
            <w:vAlign w:val="bottom"/>
          </w:tcPr>
          <w:p w14:paraId="11270E87" w14:textId="77777777" w:rsidR="00741563" w:rsidRPr="00A52AB8" w:rsidRDefault="00741563" w:rsidP="00741563">
            <w:pPr>
              <w:spacing w:after="0" w:line="240" w:lineRule="auto"/>
              <w:jc w:val="center"/>
              <w:rPr>
                <w:sz w:val="20"/>
                <w:szCs w:val="20"/>
                <w:lang w:eastAsia="ja-JP"/>
              </w:rPr>
            </w:pPr>
            <w:r w:rsidRPr="00A52AB8">
              <w:rPr>
                <w:sz w:val="20"/>
                <w:szCs w:val="20"/>
                <w:lang w:eastAsia="ja-JP"/>
              </w:rPr>
              <w:t>4 096</w:t>
            </w:r>
          </w:p>
        </w:tc>
        <w:tc>
          <w:tcPr>
            <w:tcW w:w="864" w:type="dxa"/>
            <w:vAlign w:val="bottom"/>
          </w:tcPr>
          <w:p w14:paraId="226516E1" w14:textId="77777777" w:rsidR="00741563" w:rsidRPr="00A52AB8" w:rsidRDefault="00741563" w:rsidP="00741563">
            <w:pPr>
              <w:spacing w:after="0" w:line="240" w:lineRule="auto"/>
              <w:jc w:val="center"/>
              <w:rPr>
                <w:sz w:val="20"/>
                <w:szCs w:val="20"/>
                <w:lang w:eastAsia="ja-JP"/>
              </w:rPr>
            </w:pPr>
            <w:r w:rsidRPr="00A52AB8">
              <w:rPr>
                <w:sz w:val="20"/>
                <w:szCs w:val="20"/>
                <w:lang w:eastAsia="ja-JP"/>
              </w:rPr>
              <w:t>2 048</w:t>
            </w:r>
          </w:p>
        </w:tc>
      </w:tr>
      <w:tr w:rsidR="00741563" w:rsidRPr="00A52AB8" w14:paraId="701C64C9" w14:textId="77777777" w:rsidTr="004A0BDE">
        <w:trPr>
          <w:jc w:val="center"/>
        </w:trPr>
        <w:tc>
          <w:tcPr>
            <w:tcW w:w="576" w:type="dxa"/>
            <w:vAlign w:val="center"/>
          </w:tcPr>
          <w:p w14:paraId="6D19A182" w14:textId="77777777" w:rsidR="00741563" w:rsidRPr="00A52AB8" w:rsidRDefault="00741563" w:rsidP="00741563">
            <w:pPr>
              <w:spacing w:after="0" w:line="240" w:lineRule="auto"/>
              <w:jc w:val="center"/>
              <w:rPr>
                <w:sz w:val="20"/>
                <w:szCs w:val="20"/>
                <w:lang w:eastAsia="ja-JP"/>
              </w:rPr>
            </w:pPr>
            <w:r w:rsidRPr="00A52AB8">
              <w:rPr>
                <w:sz w:val="20"/>
                <w:szCs w:val="20"/>
                <w:lang w:eastAsia="ja-JP"/>
              </w:rPr>
              <w:t>3.0</w:t>
            </w:r>
          </w:p>
        </w:tc>
        <w:tc>
          <w:tcPr>
            <w:tcW w:w="864" w:type="dxa"/>
            <w:vAlign w:val="center"/>
          </w:tcPr>
          <w:p w14:paraId="0B55FBE1" w14:textId="77777777" w:rsidR="00741563" w:rsidRPr="00A52AB8" w:rsidRDefault="00741563" w:rsidP="00741563">
            <w:pPr>
              <w:spacing w:after="0" w:line="240" w:lineRule="auto"/>
              <w:jc w:val="center"/>
              <w:rPr>
                <w:sz w:val="20"/>
                <w:szCs w:val="20"/>
                <w:lang w:eastAsia="ja-JP"/>
              </w:rPr>
            </w:pPr>
            <w:r w:rsidRPr="00A52AB8">
              <w:rPr>
                <w:sz w:val="20"/>
                <w:szCs w:val="20"/>
                <w:lang w:eastAsia="ja-JP"/>
              </w:rPr>
              <w:t>65 536</w:t>
            </w:r>
          </w:p>
        </w:tc>
        <w:tc>
          <w:tcPr>
            <w:tcW w:w="864" w:type="dxa"/>
            <w:vAlign w:val="center"/>
          </w:tcPr>
          <w:p w14:paraId="7CAC9FC1" w14:textId="77777777" w:rsidR="00741563" w:rsidRPr="00A52AB8" w:rsidRDefault="00741563" w:rsidP="00741563">
            <w:pPr>
              <w:spacing w:after="0" w:line="240" w:lineRule="auto"/>
              <w:jc w:val="center"/>
              <w:rPr>
                <w:sz w:val="20"/>
                <w:szCs w:val="20"/>
                <w:lang w:eastAsia="ja-JP"/>
              </w:rPr>
            </w:pPr>
            <w:r w:rsidRPr="00A52AB8">
              <w:rPr>
                <w:sz w:val="20"/>
                <w:szCs w:val="20"/>
                <w:lang w:eastAsia="ja-JP"/>
              </w:rPr>
              <w:t>512</w:t>
            </w:r>
          </w:p>
        </w:tc>
        <w:tc>
          <w:tcPr>
            <w:tcW w:w="864" w:type="dxa"/>
            <w:vAlign w:val="center"/>
          </w:tcPr>
          <w:p w14:paraId="0579B816" w14:textId="77777777" w:rsidR="00741563" w:rsidRPr="00A52AB8" w:rsidRDefault="00741563" w:rsidP="00741563">
            <w:pPr>
              <w:spacing w:after="0" w:line="240" w:lineRule="auto"/>
              <w:jc w:val="center"/>
              <w:rPr>
                <w:sz w:val="20"/>
                <w:szCs w:val="20"/>
                <w:lang w:eastAsia="ja-JP"/>
              </w:rPr>
            </w:pPr>
            <w:r w:rsidRPr="00A52AB8">
              <w:rPr>
                <w:sz w:val="20"/>
                <w:szCs w:val="20"/>
                <w:lang w:eastAsia="ja-JP"/>
              </w:rPr>
              <w:t>128</w:t>
            </w:r>
          </w:p>
        </w:tc>
        <w:tc>
          <w:tcPr>
            <w:tcW w:w="955" w:type="dxa"/>
            <w:vAlign w:val="center"/>
          </w:tcPr>
          <w:p w14:paraId="2997D8F8" w14:textId="77777777" w:rsidR="00741563" w:rsidRPr="00A52AB8" w:rsidRDefault="00741563" w:rsidP="00741563">
            <w:pPr>
              <w:spacing w:after="0" w:line="240" w:lineRule="auto"/>
              <w:jc w:val="center"/>
              <w:rPr>
                <w:sz w:val="20"/>
                <w:szCs w:val="20"/>
                <w:lang w:eastAsia="ja-JP"/>
              </w:rPr>
            </w:pPr>
            <w:r w:rsidRPr="00A52AB8">
              <w:rPr>
                <w:sz w:val="20"/>
                <w:szCs w:val="20"/>
                <w:lang w:eastAsia="ja-JP"/>
              </w:rPr>
              <w:t>480 000</w:t>
            </w:r>
          </w:p>
        </w:tc>
        <w:tc>
          <w:tcPr>
            <w:tcW w:w="1008" w:type="dxa"/>
            <w:vAlign w:val="center"/>
          </w:tcPr>
          <w:p w14:paraId="416B65AE" w14:textId="77777777" w:rsidR="00741563" w:rsidRPr="00A52AB8" w:rsidRDefault="00741563" w:rsidP="00741563">
            <w:pPr>
              <w:spacing w:after="0" w:line="240" w:lineRule="auto"/>
              <w:jc w:val="center"/>
              <w:rPr>
                <w:sz w:val="20"/>
                <w:szCs w:val="20"/>
                <w:lang w:eastAsia="ja-JP"/>
              </w:rPr>
            </w:pPr>
            <w:r w:rsidRPr="00A52AB8">
              <w:rPr>
                <w:sz w:val="20"/>
                <w:szCs w:val="20"/>
                <w:lang w:eastAsia="ja-JP"/>
              </w:rPr>
              <w:t>480 000</w:t>
            </w:r>
          </w:p>
        </w:tc>
        <w:tc>
          <w:tcPr>
            <w:tcW w:w="864" w:type="dxa"/>
            <w:vAlign w:val="center"/>
          </w:tcPr>
          <w:p w14:paraId="502897E8" w14:textId="77777777" w:rsidR="00741563" w:rsidRPr="00A52AB8" w:rsidRDefault="00741563" w:rsidP="00741563">
            <w:pPr>
              <w:spacing w:after="0" w:line="240" w:lineRule="auto"/>
              <w:jc w:val="center"/>
              <w:rPr>
                <w:sz w:val="20"/>
                <w:szCs w:val="20"/>
                <w:lang w:eastAsia="ja-JP"/>
              </w:rPr>
            </w:pPr>
            <w:r w:rsidRPr="00A52AB8">
              <w:rPr>
                <w:sz w:val="20"/>
                <w:szCs w:val="20"/>
                <w:lang w:eastAsia="ja-JP"/>
              </w:rPr>
              <w:t>500</w:t>
            </w:r>
          </w:p>
        </w:tc>
        <w:tc>
          <w:tcPr>
            <w:tcW w:w="1152" w:type="dxa"/>
            <w:vAlign w:val="center"/>
          </w:tcPr>
          <w:p w14:paraId="40587500" w14:textId="77777777" w:rsidR="00741563" w:rsidRPr="00A52AB8" w:rsidRDefault="00741563" w:rsidP="00741563">
            <w:pPr>
              <w:spacing w:after="0" w:line="240" w:lineRule="auto"/>
              <w:jc w:val="center"/>
              <w:rPr>
                <w:sz w:val="20"/>
                <w:szCs w:val="20"/>
                <w:lang w:eastAsia="ja-JP"/>
              </w:rPr>
            </w:pPr>
            <w:r w:rsidRPr="00A52AB8">
              <w:rPr>
                <w:sz w:val="20"/>
                <w:szCs w:val="20"/>
                <w:lang w:eastAsia="ja-JP"/>
              </w:rPr>
              <w:t>35 651 584</w:t>
            </w:r>
          </w:p>
        </w:tc>
        <w:tc>
          <w:tcPr>
            <w:tcW w:w="1152" w:type="dxa"/>
            <w:vAlign w:val="bottom"/>
          </w:tcPr>
          <w:p w14:paraId="1C8D530D" w14:textId="77777777" w:rsidR="00741563" w:rsidRPr="00A52AB8" w:rsidRDefault="00741563" w:rsidP="00741563">
            <w:pPr>
              <w:spacing w:after="0" w:line="240" w:lineRule="auto"/>
              <w:jc w:val="center"/>
              <w:rPr>
                <w:sz w:val="20"/>
                <w:szCs w:val="20"/>
                <w:lang w:eastAsia="ja-JP"/>
              </w:rPr>
            </w:pPr>
            <w:r w:rsidRPr="00A52AB8">
              <w:rPr>
                <w:sz w:val="20"/>
                <w:szCs w:val="20"/>
                <w:lang w:eastAsia="ja-JP"/>
              </w:rPr>
              <w:t>2 097 152</w:t>
            </w:r>
          </w:p>
        </w:tc>
        <w:tc>
          <w:tcPr>
            <w:tcW w:w="864" w:type="dxa"/>
            <w:vAlign w:val="bottom"/>
          </w:tcPr>
          <w:p w14:paraId="74B7C939" w14:textId="77777777" w:rsidR="00741563" w:rsidRPr="00A52AB8" w:rsidRDefault="00741563" w:rsidP="00741563">
            <w:pPr>
              <w:spacing w:after="0" w:line="240" w:lineRule="auto"/>
              <w:jc w:val="center"/>
              <w:rPr>
                <w:sz w:val="20"/>
                <w:szCs w:val="20"/>
                <w:lang w:eastAsia="ja-JP"/>
              </w:rPr>
            </w:pPr>
            <w:r w:rsidRPr="00A52AB8">
              <w:rPr>
                <w:sz w:val="20"/>
                <w:szCs w:val="20"/>
                <w:lang w:eastAsia="ja-JP"/>
              </w:rPr>
              <w:t>16 384</w:t>
            </w:r>
          </w:p>
        </w:tc>
        <w:tc>
          <w:tcPr>
            <w:tcW w:w="864" w:type="dxa"/>
            <w:vAlign w:val="bottom"/>
          </w:tcPr>
          <w:p w14:paraId="49AF960E" w14:textId="77777777" w:rsidR="00741563" w:rsidRPr="00A52AB8" w:rsidRDefault="00741563" w:rsidP="00741563">
            <w:pPr>
              <w:spacing w:after="0" w:line="240" w:lineRule="auto"/>
              <w:jc w:val="center"/>
              <w:rPr>
                <w:sz w:val="20"/>
                <w:szCs w:val="20"/>
                <w:lang w:eastAsia="ja-JP"/>
              </w:rPr>
            </w:pPr>
            <w:r w:rsidRPr="00A52AB8">
              <w:rPr>
                <w:sz w:val="20"/>
                <w:szCs w:val="20"/>
                <w:lang w:eastAsia="ja-JP"/>
              </w:rPr>
              <w:t>4 096</w:t>
            </w:r>
          </w:p>
        </w:tc>
      </w:tr>
      <w:tr w:rsidR="00741563" w:rsidRPr="00A52AB8" w14:paraId="273E3263" w14:textId="77777777" w:rsidTr="004A0BDE">
        <w:trPr>
          <w:jc w:val="center"/>
        </w:trPr>
        <w:tc>
          <w:tcPr>
            <w:tcW w:w="576" w:type="dxa"/>
            <w:vAlign w:val="center"/>
          </w:tcPr>
          <w:p w14:paraId="0C535AB9" w14:textId="77777777" w:rsidR="00741563" w:rsidRPr="00A52AB8" w:rsidRDefault="00741563" w:rsidP="00741563">
            <w:pPr>
              <w:spacing w:after="0" w:line="240" w:lineRule="auto"/>
              <w:jc w:val="center"/>
              <w:rPr>
                <w:sz w:val="20"/>
                <w:szCs w:val="20"/>
                <w:lang w:eastAsia="ja-JP"/>
              </w:rPr>
            </w:pPr>
            <w:r w:rsidRPr="00A52AB8">
              <w:rPr>
                <w:sz w:val="20"/>
                <w:szCs w:val="20"/>
                <w:lang w:eastAsia="ja-JP"/>
              </w:rPr>
              <w:t>3.5</w:t>
            </w:r>
          </w:p>
        </w:tc>
        <w:tc>
          <w:tcPr>
            <w:tcW w:w="864" w:type="dxa"/>
            <w:vAlign w:val="center"/>
          </w:tcPr>
          <w:p w14:paraId="74CC2DAA" w14:textId="77777777" w:rsidR="00741563" w:rsidRPr="00A52AB8" w:rsidRDefault="00741563" w:rsidP="00741563">
            <w:pPr>
              <w:spacing w:after="0" w:line="240" w:lineRule="auto"/>
              <w:jc w:val="center"/>
              <w:rPr>
                <w:sz w:val="20"/>
                <w:szCs w:val="20"/>
                <w:lang w:eastAsia="ja-JP"/>
              </w:rPr>
            </w:pPr>
            <w:r w:rsidRPr="00A52AB8">
              <w:rPr>
                <w:sz w:val="20"/>
                <w:szCs w:val="20"/>
                <w:lang w:eastAsia="ja-JP"/>
              </w:rPr>
              <w:t>65 536</w:t>
            </w:r>
          </w:p>
        </w:tc>
        <w:tc>
          <w:tcPr>
            <w:tcW w:w="864" w:type="dxa"/>
            <w:vAlign w:val="center"/>
          </w:tcPr>
          <w:p w14:paraId="5800D761" w14:textId="77777777" w:rsidR="00741563" w:rsidRPr="00A52AB8" w:rsidRDefault="00741563" w:rsidP="00741563">
            <w:pPr>
              <w:spacing w:after="0" w:line="240" w:lineRule="auto"/>
              <w:jc w:val="center"/>
              <w:rPr>
                <w:sz w:val="20"/>
                <w:szCs w:val="20"/>
                <w:lang w:eastAsia="ja-JP"/>
              </w:rPr>
            </w:pPr>
            <w:r w:rsidRPr="00A52AB8">
              <w:rPr>
                <w:sz w:val="20"/>
                <w:szCs w:val="20"/>
                <w:lang w:eastAsia="ja-JP"/>
              </w:rPr>
              <w:t>512</w:t>
            </w:r>
          </w:p>
        </w:tc>
        <w:tc>
          <w:tcPr>
            <w:tcW w:w="864" w:type="dxa"/>
            <w:vAlign w:val="center"/>
          </w:tcPr>
          <w:p w14:paraId="3353918F" w14:textId="77777777" w:rsidR="00741563" w:rsidRPr="00A52AB8" w:rsidRDefault="00741563" w:rsidP="00741563">
            <w:pPr>
              <w:spacing w:after="0" w:line="240" w:lineRule="auto"/>
              <w:jc w:val="center"/>
              <w:rPr>
                <w:sz w:val="20"/>
                <w:szCs w:val="20"/>
                <w:lang w:eastAsia="ja-JP"/>
              </w:rPr>
            </w:pPr>
            <w:r w:rsidRPr="00A52AB8">
              <w:rPr>
                <w:sz w:val="20"/>
                <w:szCs w:val="20"/>
                <w:lang w:eastAsia="ja-JP"/>
              </w:rPr>
              <w:t>512</w:t>
            </w:r>
          </w:p>
        </w:tc>
        <w:tc>
          <w:tcPr>
            <w:tcW w:w="955" w:type="dxa"/>
            <w:vAlign w:val="center"/>
          </w:tcPr>
          <w:p w14:paraId="2803F551" w14:textId="77777777" w:rsidR="00741563" w:rsidRPr="00A52AB8" w:rsidRDefault="00741563" w:rsidP="00741563">
            <w:pPr>
              <w:spacing w:after="0" w:line="240" w:lineRule="auto"/>
              <w:jc w:val="center"/>
              <w:rPr>
                <w:sz w:val="20"/>
                <w:szCs w:val="20"/>
                <w:lang w:eastAsia="ja-JP"/>
              </w:rPr>
            </w:pPr>
            <w:r w:rsidRPr="00A52AB8">
              <w:rPr>
                <w:sz w:val="20"/>
                <w:szCs w:val="20"/>
                <w:lang w:eastAsia="ja-JP"/>
              </w:rPr>
              <w:t>480 000</w:t>
            </w:r>
          </w:p>
        </w:tc>
        <w:tc>
          <w:tcPr>
            <w:tcW w:w="1008" w:type="dxa"/>
            <w:vAlign w:val="center"/>
          </w:tcPr>
          <w:p w14:paraId="3AE6DA26" w14:textId="77777777" w:rsidR="00741563" w:rsidRPr="00A52AB8" w:rsidRDefault="00741563" w:rsidP="00741563">
            <w:pPr>
              <w:spacing w:after="0" w:line="240" w:lineRule="auto"/>
              <w:jc w:val="center"/>
              <w:rPr>
                <w:sz w:val="20"/>
                <w:szCs w:val="20"/>
                <w:lang w:eastAsia="ja-JP"/>
              </w:rPr>
            </w:pPr>
            <w:r w:rsidRPr="00A52AB8">
              <w:rPr>
                <w:sz w:val="20"/>
                <w:szCs w:val="20"/>
                <w:lang w:eastAsia="ja-JP"/>
              </w:rPr>
              <w:t>480 000</w:t>
            </w:r>
          </w:p>
        </w:tc>
        <w:tc>
          <w:tcPr>
            <w:tcW w:w="864" w:type="dxa"/>
            <w:vAlign w:val="center"/>
          </w:tcPr>
          <w:p w14:paraId="454BC6B6" w14:textId="77777777" w:rsidR="00741563" w:rsidRPr="00A52AB8" w:rsidRDefault="00741563" w:rsidP="00741563">
            <w:pPr>
              <w:spacing w:after="0" w:line="240" w:lineRule="auto"/>
              <w:jc w:val="center"/>
              <w:rPr>
                <w:sz w:val="20"/>
                <w:szCs w:val="20"/>
                <w:lang w:eastAsia="ja-JP"/>
              </w:rPr>
            </w:pPr>
            <w:r w:rsidRPr="00A52AB8">
              <w:rPr>
                <w:sz w:val="20"/>
                <w:szCs w:val="20"/>
                <w:lang w:eastAsia="ja-JP"/>
              </w:rPr>
              <w:t>500</w:t>
            </w:r>
          </w:p>
        </w:tc>
        <w:tc>
          <w:tcPr>
            <w:tcW w:w="1152" w:type="dxa"/>
            <w:vAlign w:val="center"/>
          </w:tcPr>
          <w:p w14:paraId="071304F8" w14:textId="77777777" w:rsidR="00741563" w:rsidRPr="00A52AB8" w:rsidRDefault="00741563" w:rsidP="00741563">
            <w:pPr>
              <w:spacing w:after="0" w:line="240" w:lineRule="auto"/>
              <w:jc w:val="center"/>
              <w:rPr>
                <w:sz w:val="20"/>
                <w:szCs w:val="20"/>
                <w:lang w:eastAsia="ja-JP"/>
              </w:rPr>
            </w:pPr>
            <w:r w:rsidRPr="00A52AB8">
              <w:rPr>
                <w:sz w:val="20"/>
                <w:szCs w:val="20"/>
                <w:lang w:eastAsia="ja-JP"/>
              </w:rPr>
              <w:t>35 651 584</w:t>
            </w:r>
          </w:p>
        </w:tc>
        <w:tc>
          <w:tcPr>
            <w:tcW w:w="1152" w:type="dxa"/>
            <w:vAlign w:val="bottom"/>
          </w:tcPr>
          <w:p w14:paraId="7FB25131" w14:textId="77777777" w:rsidR="00741563" w:rsidRPr="00A52AB8" w:rsidRDefault="00741563" w:rsidP="00741563">
            <w:pPr>
              <w:spacing w:after="0" w:line="240" w:lineRule="auto"/>
              <w:jc w:val="center"/>
              <w:rPr>
                <w:sz w:val="20"/>
                <w:szCs w:val="20"/>
                <w:lang w:eastAsia="ja-JP"/>
              </w:rPr>
            </w:pPr>
            <w:r w:rsidRPr="00A52AB8">
              <w:rPr>
                <w:sz w:val="20"/>
                <w:szCs w:val="20"/>
                <w:lang w:eastAsia="ja-JP"/>
              </w:rPr>
              <w:t>4 194 304</w:t>
            </w:r>
          </w:p>
        </w:tc>
        <w:tc>
          <w:tcPr>
            <w:tcW w:w="864" w:type="dxa"/>
            <w:vAlign w:val="bottom"/>
          </w:tcPr>
          <w:p w14:paraId="76E1C05B" w14:textId="77777777" w:rsidR="00741563" w:rsidRPr="00A52AB8" w:rsidRDefault="00741563" w:rsidP="00741563">
            <w:pPr>
              <w:spacing w:after="0" w:line="240" w:lineRule="auto"/>
              <w:jc w:val="center"/>
              <w:rPr>
                <w:sz w:val="20"/>
                <w:szCs w:val="20"/>
                <w:lang w:eastAsia="ja-JP"/>
              </w:rPr>
            </w:pPr>
            <w:r w:rsidRPr="00A52AB8">
              <w:rPr>
                <w:sz w:val="20"/>
                <w:szCs w:val="20"/>
                <w:lang w:eastAsia="ja-JP"/>
              </w:rPr>
              <w:t>32 768</w:t>
            </w:r>
          </w:p>
        </w:tc>
        <w:tc>
          <w:tcPr>
            <w:tcW w:w="864" w:type="dxa"/>
            <w:vAlign w:val="bottom"/>
          </w:tcPr>
          <w:p w14:paraId="4D9D5121" w14:textId="77777777" w:rsidR="00741563" w:rsidRPr="00A52AB8" w:rsidRDefault="00741563" w:rsidP="00741563">
            <w:pPr>
              <w:spacing w:after="0" w:line="240" w:lineRule="auto"/>
              <w:jc w:val="center"/>
              <w:rPr>
                <w:sz w:val="20"/>
                <w:szCs w:val="20"/>
                <w:lang w:eastAsia="ja-JP"/>
              </w:rPr>
            </w:pPr>
            <w:r w:rsidRPr="00A52AB8">
              <w:rPr>
                <w:sz w:val="20"/>
                <w:szCs w:val="20"/>
                <w:lang w:eastAsia="ja-JP"/>
              </w:rPr>
              <w:t>32 768</w:t>
            </w:r>
          </w:p>
        </w:tc>
      </w:tr>
    </w:tbl>
    <w:bookmarkStart w:id="4709" w:name="_Ref21429414"/>
    <w:p w14:paraId="012C1F08" w14:textId="254D77B2" w:rsidR="0050235C" w:rsidRPr="00A52AB8" w:rsidRDefault="00354E97" w:rsidP="003819BE">
      <w:pPr>
        <w:spacing w:before="240"/>
        <w:rPr>
          <w:lang w:eastAsia="ja-JP"/>
        </w:rPr>
      </w:pPr>
      <w:r w:rsidRPr="00496A4D">
        <w:rPr>
          <w:lang w:eastAsia="ja-JP"/>
        </w:rPr>
        <w:fldChar w:fldCharType="begin"/>
      </w:r>
      <w:r w:rsidRPr="00A52AB8">
        <w:rPr>
          <w:lang w:eastAsia="ja-JP"/>
        </w:rPr>
        <w:instrText xml:space="preserve"> REF _Ref21429412 \h </w:instrText>
      </w:r>
      <w:r w:rsidR="00CA5401" w:rsidRPr="00A52AB8">
        <w:rPr>
          <w:lang w:eastAsia="ja-JP"/>
        </w:rPr>
        <w:instrText xml:space="preserve"> \* MERGEFORMAT </w:instrText>
      </w:r>
      <w:r w:rsidRPr="00496A4D">
        <w:rPr>
          <w:lang w:eastAsia="ja-JP"/>
        </w:rPr>
      </w:r>
      <w:r w:rsidRPr="00496A4D">
        <w:rPr>
          <w:lang w:eastAsia="ja-JP"/>
        </w:rPr>
        <w:fldChar w:fldCharType="separate"/>
      </w:r>
      <w:r w:rsidR="00507A67" w:rsidRPr="00A52AB8">
        <w:t>Table A-</w:t>
      </w:r>
      <w:r w:rsidR="00507A67">
        <w:t>6</w:t>
      </w:r>
      <w:r w:rsidRPr="00496A4D">
        <w:rPr>
          <w:lang w:eastAsia="ja-JP"/>
        </w:rPr>
        <w:fldChar w:fldCharType="end"/>
      </w:r>
      <w:r w:rsidRPr="00A52AB8">
        <w:rPr>
          <w:lang w:eastAsia="ja-JP"/>
        </w:rPr>
        <w:t xml:space="preserve"> specifies the atlas ASPS and tile related level limits.</w:t>
      </w:r>
    </w:p>
    <w:p w14:paraId="181FB9D0" w14:textId="1CA50135" w:rsidR="00354E97" w:rsidRPr="00A52AB8" w:rsidRDefault="00354E97" w:rsidP="003819BE">
      <w:pPr>
        <w:spacing w:before="240"/>
        <w:rPr>
          <w:color w:val="000000" w:themeColor="text1"/>
        </w:rPr>
      </w:pPr>
      <w:r w:rsidRPr="00A52AB8">
        <w:rPr>
          <w:lang w:eastAsia="ja-JP"/>
        </w:rPr>
        <w:t xml:space="preserve">The specified limits apply to all </w:t>
      </w:r>
      <w:r w:rsidRPr="00A52AB8">
        <w:rPr>
          <w:color w:val="000000" w:themeColor="text1"/>
        </w:rPr>
        <w:t xml:space="preserve">atlas </w:t>
      </w:r>
      <w:r w:rsidR="00B8075E" w:rsidRPr="00A52AB8">
        <w:rPr>
          <w:color w:val="000000" w:themeColor="text1"/>
        </w:rPr>
        <w:t>tile</w:t>
      </w:r>
      <w:r w:rsidRPr="00A52AB8">
        <w:rPr>
          <w:color w:val="000000" w:themeColor="text1"/>
        </w:rPr>
        <w:t xml:space="preserve">s forming the </w:t>
      </w:r>
      <w:r w:rsidR="00FC5BAE" w:rsidRPr="00A52AB8">
        <w:rPr>
          <w:color w:val="000000" w:themeColor="text1"/>
        </w:rPr>
        <w:t>V3C</w:t>
      </w:r>
      <w:r w:rsidRPr="00A52AB8">
        <w:rPr>
          <w:color w:val="000000" w:themeColor="text1"/>
        </w:rPr>
        <w:t xml:space="preserve"> bitstream.</w:t>
      </w:r>
    </w:p>
    <w:p w14:paraId="1DB9B2F3" w14:textId="77777777" w:rsidR="0050235C" w:rsidRPr="00A52AB8" w:rsidRDefault="0033367D" w:rsidP="0000637B">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bookmarkStart w:id="4710" w:name="_Ref33613231"/>
      <w:r w:rsidRPr="00A52AB8">
        <w:rPr>
          <w:color w:val="000000" w:themeColor="text1"/>
        </w:rPr>
        <w:t>Atlas</w:t>
      </w:r>
      <w:r w:rsidR="00D12C68" w:rsidRPr="00A52AB8">
        <w:rPr>
          <w:color w:val="000000" w:themeColor="text1"/>
        </w:rPr>
        <w:t>TotalNum</w:t>
      </w:r>
      <w:r w:rsidR="0000637B" w:rsidRPr="00A52AB8">
        <w:rPr>
          <w:color w:val="000000" w:themeColor="text1"/>
        </w:rPr>
        <w:t>ProjPatches</w:t>
      </w:r>
      <w:r w:rsidRPr="00A52AB8">
        <w:rPr>
          <w:color w:val="000000" w:themeColor="text1"/>
        </w:rPr>
        <w:t xml:space="preserve"> shall be less than or equal to Max</w:t>
      </w:r>
      <w:r w:rsidR="006B764B" w:rsidRPr="00A52AB8">
        <w:rPr>
          <w:color w:val="000000" w:themeColor="text1"/>
        </w:rPr>
        <w:t>NumProj</w:t>
      </w:r>
      <w:r w:rsidRPr="00A52AB8">
        <w:rPr>
          <w:color w:val="000000" w:themeColor="text1"/>
        </w:rPr>
        <w:t>Patches,</w:t>
      </w:r>
    </w:p>
    <w:p w14:paraId="7FB79540" w14:textId="14AF220B" w:rsidR="0000637B" w:rsidRPr="00A52AB8" w:rsidRDefault="0078284A" w:rsidP="0000637B">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Atlas</w:t>
      </w:r>
      <w:r w:rsidR="00D12C68" w:rsidRPr="00A52AB8">
        <w:rPr>
          <w:color w:val="000000" w:themeColor="text1"/>
        </w:rPr>
        <w:t>TotalNum</w:t>
      </w:r>
      <w:r w:rsidRPr="00A52AB8">
        <w:rPr>
          <w:color w:val="000000" w:themeColor="text1"/>
        </w:rPr>
        <w:t xml:space="preserve">RawPatches </w:t>
      </w:r>
      <w:r w:rsidRPr="00A52AB8">
        <w:rPr>
          <w:lang w:eastAsia="ja-JP"/>
        </w:rPr>
        <w:t>shall be less than or equal to MaxNumRawPatches,</w:t>
      </w:r>
    </w:p>
    <w:p w14:paraId="77AF68F3" w14:textId="0E022070" w:rsidR="0078284A" w:rsidRPr="00A52AB8" w:rsidRDefault="0078284A" w:rsidP="0000637B">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Atlas</w:t>
      </w:r>
      <w:r w:rsidR="00D12C68" w:rsidRPr="00A52AB8">
        <w:rPr>
          <w:color w:val="000000" w:themeColor="text1"/>
        </w:rPr>
        <w:t>TotalNum</w:t>
      </w:r>
      <w:r w:rsidRPr="00A52AB8">
        <w:rPr>
          <w:color w:val="000000" w:themeColor="text1"/>
        </w:rPr>
        <w:t xml:space="preserve">EOMPatches </w:t>
      </w:r>
      <w:r w:rsidRPr="00A52AB8">
        <w:rPr>
          <w:lang w:eastAsia="ja-JP"/>
        </w:rPr>
        <w:t>shall be less than or equal to MaxNumEOMPatches,</w:t>
      </w:r>
    </w:p>
    <w:p w14:paraId="22517EBE" w14:textId="3E4FCFE0" w:rsidR="0078284A" w:rsidRPr="00A52AB8" w:rsidRDefault="00A659D7" w:rsidP="0000637B">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Atlas</w:t>
      </w:r>
      <w:r w:rsidR="00D12C68" w:rsidRPr="00A52AB8">
        <w:rPr>
          <w:color w:val="000000" w:themeColor="text1"/>
        </w:rPr>
        <w:t>TotalNum</w:t>
      </w:r>
      <w:r w:rsidRPr="00A52AB8">
        <w:rPr>
          <w:color w:val="000000" w:themeColor="text1"/>
        </w:rPr>
        <w:t xml:space="preserve">ProjPatchesPerSec </w:t>
      </w:r>
      <w:r w:rsidRPr="00A52AB8">
        <w:rPr>
          <w:lang w:eastAsia="ja-JP"/>
        </w:rPr>
        <w:t>shall be less than or equal to MaxProjPatchesPerSec,</w:t>
      </w:r>
    </w:p>
    <w:p w14:paraId="29C366DB" w14:textId="7C536483" w:rsidR="00A659D7" w:rsidRPr="00A52AB8" w:rsidRDefault="00A659D7" w:rsidP="0000637B">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Atlas</w:t>
      </w:r>
      <w:r w:rsidR="00D12C68" w:rsidRPr="00A52AB8">
        <w:rPr>
          <w:color w:val="000000" w:themeColor="text1"/>
        </w:rPr>
        <w:t>TotalNum</w:t>
      </w:r>
      <w:r w:rsidRPr="00A52AB8">
        <w:rPr>
          <w:color w:val="000000" w:themeColor="text1"/>
        </w:rPr>
        <w:t xml:space="preserve">RawPatchesPerSec </w:t>
      </w:r>
      <w:r w:rsidRPr="00A52AB8">
        <w:rPr>
          <w:lang w:eastAsia="ja-JP"/>
        </w:rPr>
        <w:t>shall be less than or equal to MaxRawPatchesPerSec,</w:t>
      </w:r>
    </w:p>
    <w:p w14:paraId="083622CC" w14:textId="77777777" w:rsidR="0050235C" w:rsidRPr="00A52AB8" w:rsidRDefault="00A659D7" w:rsidP="0000637B">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lang w:eastAsia="ja-JP"/>
        </w:rPr>
      </w:pPr>
      <w:r w:rsidRPr="00A52AB8">
        <w:rPr>
          <w:color w:val="000000" w:themeColor="text1"/>
        </w:rPr>
        <w:t>Atlas</w:t>
      </w:r>
      <w:r w:rsidR="00D12C68" w:rsidRPr="00A52AB8">
        <w:rPr>
          <w:color w:val="000000" w:themeColor="text1"/>
        </w:rPr>
        <w:t>TotalNum</w:t>
      </w:r>
      <w:r w:rsidRPr="00A52AB8">
        <w:rPr>
          <w:color w:val="000000" w:themeColor="text1"/>
        </w:rPr>
        <w:t xml:space="preserve">EOMPatchesPerSec </w:t>
      </w:r>
      <w:r w:rsidRPr="00A52AB8">
        <w:rPr>
          <w:lang w:eastAsia="ja-JP"/>
        </w:rPr>
        <w:t>shall be less than or equal to MaxProjectedEOMPerSec, and</w:t>
      </w:r>
    </w:p>
    <w:p w14:paraId="127FC341" w14:textId="7812E708" w:rsidR="00A659D7" w:rsidRPr="00A52AB8" w:rsidRDefault="00A659D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t>afti_num_tiles_in_atlas_frame_minus1</w:t>
      </w:r>
      <w:r w:rsidR="005627AD" w:rsidRPr="00A52AB8">
        <w:t> + 1</w:t>
      </w:r>
      <w:r w:rsidRPr="00A52AB8">
        <w:t xml:space="preserve"> </w:t>
      </w:r>
      <w:r w:rsidRPr="00A52AB8">
        <w:rPr>
          <w:lang w:eastAsia="ja-JP"/>
        </w:rPr>
        <w:t>shall be less than or equal to MaxNumTiles,</w:t>
      </w:r>
    </w:p>
    <w:p w14:paraId="47F34B1C" w14:textId="405A246E" w:rsidR="0000637B" w:rsidRPr="00A52AB8" w:rsidRDefault="0000637B" w:rsidP="00007BE2">
      <w:pPr>
        <w:ind w:left="403"/>
        <w:rPr>
          <w:lang w:eastAsia="ja-JP"/>
        </w:rPr>
      </w:pPr>
      <w:r w:rsidRPr="00A52AB8">
        <w:rPr>
          <w:color w:val="000000" w:themeColor="text1"/>
        </w:rPr>
        <w:t xml:space="preserve">where MaxNumProjPatches, MaxNumRawPatches, MaxNumEOMPatches, </w:t>
      </w:r>
      <w:r w:rsidRPr="00A52AB8">
        <w:rPr>
          <w:lang w:eastAsia="ja-JP"/>
        </w:rPr>
        <w:t>MaxRawPatchesPerSec, MaxProjectedEOMPerSec</w:t>
      </w:r>
      <w:r w:rsidR="0078284A" w:rsidRPr="00A52AB8">
        <w:rPr>
          <w:lang w:eastAsia="ja-JP"/>
        </w:rPr>
        <w:t>, and MaxNumTiles</w:t>
      </w:r>
      <w:r w:rsidRPr="00A52AB8" w:rsidDel="00E47BE0">
        <w:rPr>
          <w:color w:val="000000" w:themeColor="text1"/>
        </w:rPr>
        <w:t xml:space="preserve"> </w:t>
      </w:r>
      <w:r w:rsidRPr="00A52AB8">
        <w:rPr>
          <w:color w:val="000000" w:themeColor="text1"/>
        </w:rPr>
        <w:t xml:space="preserve">are specified in </w:t>
      </w:r>
      <w:r w:rsidRPr="00496A4D">
        <w:rPr>
          <w:color w:val="000000" w:themeColor="text1"/>
        </w:rPr>
        <w:fldChar w:fldCharType="begin"/>
      </w:r>
      <w:r w:rsidRPr="00A52AB8">
        <w:rPr>
          <w:color w:val="000000" w:themeColor="text1"/>
        </w:rPr>
        <w:instrText xml:space="preserve"> REF _Ref21429412 \h  \* MERGEFORMAT </w:instrText>
      </w:r>
      <w:r w:rsidRPr="00496A4D">
        <w:rPr>
          <w:color w:val="000000" w:themeColor="text1"/>
        </w:rPr>
      </w:r>
      <w:r w:rsidRPr="00496A4D">
        <w:rPr>
          <w:color w:val="000000" w:themeColor="text1"/>
        </w:rPr>
        <w:fldChar w:fldCharType="separate"/>
      </w:r>
      <w:r w:rsidR="00507A67" w:rsidRPr="00507A67">
        <w:rPr>
          <w:color w:val="000000" w:themeColor="text1"/>
        </w:rPr>
        <w:t>Table A-6</w:t>
      </w:r>
      <w:r w:rsidRPr="00496A4D">
        <w:rPr>
          <w:color w:val="000000" w:themeColor="text1"/>
        </w:rPr>
        <w:fldChar w:fldCharType="end"/>
      </w:r>
      <w:r w:rsidRPr="00A52AB8">
        <w:rPr>
          <w:color w:val="000000" w:themeColor="text1"/>
        </w:rPr>
        <w:t>.</w:t>
      </w:r>
    </w:p>
    <w:p w14:paraId="23BCCF22" w14:textId="527BD35E" w:rsidR="00162ABA" w:rsidRPr="00A52AB8" w:rsidRDefault="00BD5E20" w:rsidP="00366915">
      <w:pPr>
        <w:pStyle w:val="Tabletitle0"/>
        <w:keepNext/>
      </w:pPr>
      <w:bookmarkStart w:id="4711" w:name="_Ref43982415"/>
      <w:bookmarkStart w:id="4712" w:name="_Ref44605767"/>
      <w:r w:rsidRPr="00A52AB8">
        <w:t>Table A</w:t>
      </w:r>
      <w:r w:rsidR="00CA3851" w:rsidRPr="00A52AB8">
        <w:t>-</w:t>
      </w:r>
      <w:r w:rsidRPr="00496A4D">
        <w:fldChar w:fldCharType="begin"/>
      </w:r>
      <w:r w:rsidRPr="00A52AB8">
        <w:instrText xml:space="preserve"> SEQ Table \* ARABIC \s 1 </w:instrText>
      </w:r>
      <w:r w:rsidRPr="00496A4D">
        <w:fldChar w:fldCharType="separate"/>
      </w:r>
      <w:r w:rsidR="00507A67">
        <w:rPr>
          <w:noProof/>
        </w:rPr>
        <w:t>7</w:t>
      </w:r>
      <w:r w:rsidRPr="00496A4D">
        <w:fldChar w:fldCharType="end"/>
      </w:r>
      <w:bookmarkEnd w:id="4709"/>
      <w:bookmarkEnd w:id="4710"/>
      <w:bookmarkEnd w:id="4711"/>
      <w:r w:rsidR="001604C8" w:rsidRPr="00A52AB8">
        <w:rPr>
          <w:rFonts w:cs="Calibri"/>
          <w:bCs/>
        </w:rPr>
        <w:t> </w:t>
      </w:r>
      <w:r w:rsidR="001604C8" w:rsidRPr="00A52AB8">
        <w:t>– </w:t>
      </w:r>
      <w:r w:rsidRPr="00A52AB8">
        <w:rPr>
          <w:sz w:val="21"/>
          <w:szCs w:val="18"/>
        </w:rPr>
        <w:t xml:space="preserve">General video bitstream </w:t>
      </w:r>
      <w:r w:rsidRPr="00A52AB8">
        <w:rPr>
          <w:sz w:val="21"/>
          <w:szCs w:val="21"/>
        </w:rPr>
        <w:t>level limits</w:t>
      </w:r>
      <w:bookmarkEnd w:id="4712"/>
    </w:p>
    <w:tbl>
      <w:tblPr>
        <w:tblStyle w:val="TableGrid"/>
        <w:tblW w:w="4863" w:type="pct"/>
        <w:jc w:val="center"/>
        <w:tblCellMar>
          <w:top w:w="86" w:type="dxa"/>
          <w:left w:w="86" w:type="dxa"/>
          <w:bottom w:w="86" w:type="dxa"/>
          <w:right w:w="86" w:type="dxa"/>
        </w:tblCellMar>
        <w:tblLook w:val="04A0" w:firstRow="1" w:lastRow="0" w:firstColumn="1" w:lastColumn="0" w:noHBand="0" w:noVBand="1"/>
      </w:tblPr>
      <w:tblGrid>
        <w:gridCol w:w="738"/>
        <w:gridCol w:w="2100"/>
        <w:gridCol w:w="2100"/>
        <w:gridCol w:w="1088"/>
        <w:gridCol w:w="1088"/>
        <w:gridCol w:w="1088"/>
        <w:gridCol w:w="1273"/>
      </w:tblGrid>
      <w:tr w:rsidR="0031349F" w:rsidRPr="00A52AB8" w14:paraId="19EF14C2" w14:textId="77777777" w:rsidTr="004B5569">
        <w:trPr>
          <w:cantSplit/>
          <w:trHeight w:val="3342"/>
          <w:jc w:val="center"/>
        </w:trPr>
        <w:tc>
          <w:tcPr>
            <w:tcW w:w="389" w:type="pct"/>
            <w:vMerge w:val="restart"/>
            <w:textDirection w:val="tbRl"/>
            <w:vAlign w:val="center"/>
          </w:tcPr>
          <w:p w14:paraId="1D631E9A" w14:textId="77777777" w:rsidR="0031349F" w:rsidRPr="00A52AB8" w:rsidRDefault="0031349F" w:rsidP="0031349F">
            <w:pPr>
              <w:spacing w:after="0" w:line="240" w:lineRule="auto"/>
              <w:ind w:left="113" w:right="113"/>
              <w:jc w:val="center"/>
              <w:rPr>
                <w:b/>
                <w:bCs/>
                <w:sz w:val="20"/>
                <w:szCs w:val="20"/>
                <w:lang w:eastAsia="ja-JP"/>
              </w:rPr>
            </w:pPr>
            <w:bookmarkStart w:id="4713" w:name="_Toc21447976"/>
            <w:bookmarkStart w:id="4714" w:name="_Toc21505915"/>
            <w:bookmarkStart w:id="4715" w:name="_Toc21510061"/>
            <w:bookmarkStart w:id="4716" w:name="_Toc21532005"/>
            <w:bookmarkStart w:id="4717" w:name="_Toc21535251"/>
            <w:bookmarkStart w:id="4718" w:name="_Toc21520266"/>
            <w:bookmarkStart w:id="4719" w:name="_Toc21521402"/>
            <w:bookmarkStart w:id="4720" w:name="_Toc21447977"/>
            <w:bookmarkStart w:id="4721" w:name="_Toc21505916"/>
            <w:bookmarkStart w:id="4722" w:name="_Toc21510062"/>
            <w:bookmarkStart w:id="4723" w:name="_Toc21532006"/>
            <w:bookmarkStart w:id="4724" w:name="_Toc21535252"/>
            <w:bookmarkStart w:id="4725" w:name="_Toc21520267"/>
            <w:bookmarkStart w:id="4726" w:name="_Toc21521403"/>
            <w:bookmarkStart w:id="4727" w:name="_Toc21447978"/>
            <w:bookmarkStart w:id="4728" w:name="_Toc21505917"/>
            <w:bookmarkStart w:id="4729" w:name="_Toc21510063"/>
            <w:bookmarkStart w:id="4730" w:name="_Toc21532007"/>
            <w:bookmarkStart w:id="4731" w:name="_Toc21535253"/>
            <w:bookmarkStart w:id="4732" w:name="_Toc21520268"/>
            <w:bookmarkStart w:id="4733" w:name="_Toc21521404"/>
            <w:bookmarkStart w:id="4734" w:name="_Toc21447979"/>
            <w:bookmarkStart w:id="4735" w:name="_Toc21505918"/>
            <w:bookmarkStart w:id="4736" w:name="_Toc21510064"/>
            <w:bookmarkStart w:id="4737" w:name="_Toc21532008"/>
            <w:bookmarkStart w:id="4738" w:name="_Toc21535254"/>
            <w:bookmarkStart w:id="4739" w:name="_Toc21520269"/>
            <w:bookmarkStart w:id="4740" w:name="_Toc21521405"/>
            <w:bookmarkStart w:id="4741" w:name="_Toc21447982"/>
            <w:bookmarkStart w:id="4742" w:name="_Toc21505921"/>
            <w:bookmarkStart w:id="4743" w:name="_Toc21510067"/>
            <w:bookmarkStart w:id="4744" w:name="_Toc21532011"/>
            <w:bookmarkStart w:id="4745" w:name="_Toc21535257"/>
            <w:bookmarkStart w:id="4746" w:name="_Toc21520272"/>
            <w:bookmarkStart w:id="4747" w:name="_Toc21521408"/>
            <w:bookmarkStart w:id="4748" w:name="_Toc21448007"/>
            <w:bookmarkStart w:id="4749" w:name="_Toc21505946"/>
            <w:bookmarkStart w:id="4750" w:name="_Toc21510092"/>
            <w:bookmarkStart w:id="4751" w:name="_Toc21532036"/>
            <w:bookmarkStart w:id="4752" w:name="_Toc21535282"/>
            <w:bookmarkStart w:id="4753" w:name="_Toc21520297"/>
            <w:bookmarkStart w:id="4754" w:name="_Toc21521433"/>
            <w:bookmarkStart w:id="4755" w:name="_Toc21448008"/>
            <w:bookmarkStart w:id="4756" w:name="_Toc21505947"/>
            <w:bookmarkStart w:id="4757" w:name="_Toc21510093"/>
            <w:bookmarkStart w:id="4758" w:name="_Toc21532037"/>
            <w:bookmarkStart w:id="4759" w:name="_Toc21535283"/>
            <w:bookmarkStart w:id="4760" w:name="_Toc21520298"/>
            <w:bookmarkStart w:id="4761" w:name="_Toc21521434"/>
            <w:bookmarkStart w:id="4762" w:name="_Toc23248822"/>
            <w:bookmarkStart w:id="4763" w:name="_Toc23248830"/>
            <w:bookmarkStart w:id="4764" w:name="_Toc443470372"/>
            <w:bookmarkStart w:id="4765" w:name="_Toc450303224"/>
            <w:bookmarkStart w:id="4766" w:name="_Toc9996979"/>
            <w:bookmarkStart w:id="4767" w:name="_Toc353342679"/>
            <w:bookmarkEnd w:id="4503"/>
            <w:bookmarkEnd w:id="4504"/>
            <w:bookmarkEnd w:id="4505"/>
            <w:bookmarkEnd w:id="4506"/>
            <w:bookmarkEnd w:id="4507"/>
            <w:bookmarkEnd w:id="4713"/>
            <w:bookmarkEnd w:id="4714"/>
            <w:bookmarkEnd w:id="4715"/>
            <w:bookmarkEnd w:id="4716"/>
            <w:bookmarkEnd w:id="4717"/>
            <w:bookmarkEnd w:id="4718"/>
            <w:bookmarkEnd w:id="4719"/>
            <w:bookmarkEnd w:id="4720"/>
            <w:bookmarkEnd w:id="4721"/>
            <w:bookmarkEnd w:id="4722"/>
            <w:bookmarkEnd w:id="4723"/>
            <w:bookmarkEnd w:id="4724"/>
            <w:bookmarkEnd w:id="4725"/>
            <w:bookmarkEnd w:id="4726"/>
            <w:bookmarkEnd w:id="4727"/>
            <w:bookmarkEnd w:id="4728"/>
            <w:bookmarkEnd w:id="4729"/>
            <w:bookmarkEnd w:id="4730"/>
            <w:bookmarkEnd w:id="4731"/>
            <w:bookmarkEnd w:id="4732"/>
            <w:bookmarkEnd w:id="4733"/>
            <w:bookmarkEnd w:id="4734"/>
            <w:bookmarkEnd w:id="4735"/>
            <w:bookmarkEnd w:id="4736"/>
            <w:bookmarkEnd w:id="4737"/>
            <w:bookmarkEnd w:id="4738"/>
            <w:bookmarkEnd w:id="4739"/>
            <w:bookmarkEnd w:id="4740"/>
            <w:bookmarkEnd w:id="4741"/>
            <w:bookmarkEnd w:id="4742"/>
            <w:bookmarkEnd w:id="4743"/>
            <w:bookmarkEnd w:id="4744"/>
            <w:bookmarkEnd w:id="4745"/>
            <w:bookmarkEnd w:id="4746"/>
            <w:bookmarkEnd w:id="4747"/>
            <w:bookmarkEnd w:id="4748"/>
            <w:bookmarkEnd w:id="4749"/>
            <w:bookmarkEnd w:id="4750"/>
            <w:bookmarkEnd w:id="4751"/>
            <w:bookmarkEnd w:id="4752"/>
            <w:bookmarkEnd w:id="4753"/>
            <w:bookmarkEnd w:id="4754"/>
            <w:bookmarkEnd w:id="4755"/>
            <w:bookmarkEnd w:id="4756"/>
            <w:bookmarkEnd w:id="4757"/>
            <w:bookmarkEnd w:id="4758"/>
            <w:bookmarkEnd w:id="4759"/>
            <w:bookmarkEnd w:id="4760"/>
            <w:bookmarkEnd w:id="4761"/>
            <w:bookmarkEnd w:id="4762"/>
            <w:bookmarkEnd w:id="4763"/>
            <w:r w:rsidRPr="00A52AB8">
              <w:rPr>
                <w:b/>
                <w:bCs/>
                <w:sz w:val="20"/>
                <w:szCs w:val="20"/>
                <w:lang w:eastAsia="ja-JP"/>
              </w:rPr>
              <w:t>Level</w:t>
            </w:r>
          </w:p>
          <w:p w14:paraId="7E99B15A" w14:textId="77777777" w:rsidR="0031349F" w:rsidRPr="00A52AB8" w:rsidRDefault="0031349F" w:rsidP="0031349F">
            <w:pPr>
              <w:spacing w:after="0" w:line="240" w:lineRule="auto"/>
              <w:jc w:val="center"/>
              <w:rPr>
                <w:b/>
                <w:bCs/>
                <w:sz w:val="20"/>
                <w:szCs w:val="20"/>
                <w:lang w:eastAsia="ja-JP"/>
              </w:rPr>
            </w:pPr>
          </w:p>
        </w:tc>
        <w:tc>
          <w:tcPr>
            <w:tcW w:w="1108" w:type="pct"/>
            <w:vMerge w:val="restart"/>
            <w:textDirection w:val="tbRl"/>
            <w:vAlign w:val="center"/>
          </w:tcPr>
          <w:p w14:paraId="2BA326F6" w14:textId="77777777" w:rsidR="0050235C" w:rsidRPr="00A52AB8" w:rsidRDefault="0031349F" w:rsidP="0031349F">
            <w:pPr>
              <w:spacing w:after="0" w:line="240" w:lineRule="auto"/>
              <w:ind w:left="113" w:right="113"/>
              <w:jc w:val="center"/>
              <w:rPr>
                <w:rFonts w:eastAsia="Times New Roman"/>
                <w:b/>
                <w:bCs/>
                <w:color w:val="000000"/>
                <w:sz w:val="20"/>
                <w:szCs w:val="20"/>
              </w:rPr>
            </w:pPr>
            <w:r w:rsidRPr="00A52AB8">
              <w:rPr>
                <w:rFonts w:eastAsia="Times New Roman"/>
                <w:b/>
                <w:bCs/>
                <w:color w:val="000000"/>
                <w:sz w:val="20"/>
                <w:szCs w:val="20"/>
              </w:rPr>
              <w:t xml:space="preserve">Max </w:t>
            </w:r>
            <w:r w:rsidR="0033367D" w:rsidRPr="00A52AB8">
              <w:rPr>
                <w:rFonts w:eastAsia="Times New Roman"/>
                <w:b/>
                <w:bCs/>
                <w:color w:val="000000"/>
                <w:sz w:val="20"/>
                <w:szCs w:val="20"/>
              </w:rPr>
              <w:t xml:space="preserve">luma picture </w:t>
            </w:r>
            <w:r w:rsidRPr="00A52AB8">
              <w:rPr>
                <w:rFonts w:eastAsia="Times New Roman"/>
                <w:b/>
                <w:bCs/>
                <w:color w:val="000000"/>
                <w:sz w:val="20"/>
                <w:szCs w:val="20"/>
              </w:rPr>
              <w:t>size in</w:t>
            </w:r>
          </w:p>
          <w:p w14:paraId="4E8B2A0B" w14:textId="1FE191CD" w:rsidR="0031349F" w:rsidRPr="00A52AB8" w:rsidRDefault="0031349F" w:rsidP="0031349F">
            <w:pPr>
              <w:spacing w:after="0" w:line="240" w:lineRule="auto"/>
              <w:ind w:left="113" w:right="113"/>
              <w:jc w:val="center"/>
              <w:rPr>
                <w:rFonts w:eastAsia="Times New Roman"/>
                <w:b/>
                <w:bCs/>
                <w:color w:val="000000"/>
                <w:sz w:val="20"/>
                <w:szCs w:val="20"/>
              </w:rPr>
            </w:pPr>
            <w:r w:rsidRPr="00A52AB8">
              <w:rPr>
                <w:rFonts w:eastAsia="Times New Roman" w:cs="Calibri"/>
                <w:b/>
                <w:bCs/>
                <w:sz w:val="20"/>
                <w:szCs w:val="20"/>
              </w:rPr>
              <w:t>Max</w:t>
            </w:r>
            <w:r w:rsidR="00F11088" w:rsidRPr="00A52AB8">
              <w:rPr>
                <w:rFonts w:eastAsia="Times New Roman" w:cs="Calibri"/>
                <w:b/>
                <w:bCs/>
                <w:sz w:val="20"/>
                <w:szCs w:val="20"/>
              </w:rPr>
              <w:t>Picture</w:t>
            </w:r>
            <w:r w:rsidRPr="00A52AB8">
              <w:rPr>
                <w:rFonts w:eastAsia="Times New Roman" w:cs="Calibri"/>
                <w:b/>
                <w:bCs/>
                <w:sz w:val="20"/>
                <w:szCs w:val="20"/>
              </w:rPr>
              <w:t>Size</w:t>
            </w:r>
            <w:r w:rsidR="0033367D" w:rsidRPr="00A52AB8">
              <w:rPr>
                <w:rFonts w:eastAsia="Times New Roman" w:cs="Calibri"/>
                <w:b/>
                <w:bCs/>
                <w:sz w:val="20"/>
                <w:szCs w:val="20"/>
              </w:rPr>
              <w:t xml:space="preserve"> (</w:t>
            </w:r>
            <w:r w:rsidR="0033367D" w:rsidRPr="00A52AB8">
              <w:rPr>
                <w:rFonts w:eastAsia="Times New Roman"/>
                <w:b/>
                <w:bCs/>
                <w:color w:val="000000"/>
                <w:sz w:val="20"/>
                <w:szCs w:val="20"/>
              </w:rPr>
              <w:t>samples)</w:t>
            </w:r>
          </w:p>
        </w:tc>
        <w:tc>
          <w:tcPr>
            <w:tcW w:w="1108" w:type="pct"/>
            <w:vMerge w:val="restart"/>
            <w:textDirection w:val="tbRl"/>
            <w:vAlign w:val="center"/>
          </w:tcPr>
          <w:p w14:paraId="4BD8C129" w14:textId="77777777" w:rsidR="00A0659C" w:rsidRPr="00A52AB8" w:rsidRDefault="0031349F" w:rsidP="00A0659C">
            <w:pPr>
              <w:spacing w:after="0" w:line="240" w:lineRule="auto"/>
              <w:ind w:left="113" w:right="113"/>
              <w:jc w:val="center"/>
              <w:rPr>
                <w:rFonts w:eastAsia="Times New Roman"/>
                <w:b/>
                <w:bCs/>
                <w:color w:val="000000"/>
                <w:sz w:val="20"/>
                <w:szCs w:val="20"/>
              </w:rPr>
            </w:pPr>
            <w:r w:rsidRPr="00A52AB8">
              <w:rPr>
                <w:rFonts w:eastAsia="Times New Roman"/>
                <w:b/>
                <w:bCs/>
                <w:color w:val="000000"/>
                <w:sz w:val="20"/>
                <w:szCs w:val="20"/>
              </w:rPr>
              <w:t>Max aggregate luma sample rate MaxAggregateLumaSr</w:t>
            </w:r>
          </w:p>
          <w:p w14:paraId="55772194" w14:textId="77777777" w:rsidR="0031349F" w:rsidRPr="00A52AB8" w:rsidRDefault="0031349F" w:rsidP="003B372E">
            <w:pPr>
              <w:spacing w:after="0" w:line="240" w:lineRule="auto"/>
              <w:ind w:left="113" w:right="113"/>
              <w:jc w:val="center"/>
              <w:rPr>
                <w:rFonts w:eastAsia="Times New Roman"/>
                <w:b/>
                <w:bCs/>
                <w:color w:val="000000"/>
                <w:sz w:val="20"/>
                <w:szCs w:val="20"/>
              </w:rPr>
            </w:pPr>
            <w:r w:rsidRPr="00A52AB8">
              <w:rPr>
                <w:rFonts w:eastAsia="Times New Roman"/>
                <w:b/>
                <w:bCs/>
                <w:color w:val="000000"/>
                <w:sz w:val="20"/>
                <w:szCs w:val="20"/>
              </w:rPr>
              <w:t>(sample</w:t>
            </w:r>
            <w:r w:rsidR="0033367D" w:rsidRPr="00A52AB8">
              <w:rPr>
                <w:rFonts w:eastAsia="Times New Roman"/>
                <w:b/>
                <w:bCs/>
                <w:color w:val="000000"/>
                <w:sz w:val="20"/>
                <w:szCs w:val="20"/>
              </w:rPr>
              <w:t>s</w:t>
            </w:r>
            <w:r w:rsidRPr="00A52AB8">
              <w:rPr>
                <w:rFonts w:eastAsia="Times New Roman"/>
                <w:b/>
                <w:bCs/>
                <w:color w:val="000000"/>
                <w:sz w:val="20"/>
                <w:szCs w:val="20"/>
              </w:rPr>
              <w:t xml:space="preserve">/sec) </w:t>
            </w:r>
          </w:p>
        </w:tc>
        <w:tc>
          <w:tcPr>
            <w:tcW w:w="1148" w:type="pct"/>
            <w:gridSpan w:val="2"/>
            <w:textDirection w:val="tbRl"/>
            <w:vAlign w:val="center"/>
          </w:tcPr>
          <w:p w14:paraId="565002E1" w14:textId="77777777" w:rsidR="0031349F" w:rsidRPr="00A52AB8" w:rsidRDefault="0031349F" w:rsidP="0031349F">
            <w:pPr>
              <w:spacing w:after="0" w:line="240" w:lineRule="auto"/>
              <w:ind w:left="113" w:right="113"/>
              <w:jc w:val="center"/>
              <w:rPr>
                <w:rFonts w:eastAsia="Times New Roman"/>
                <w:b/>
                <w:bCs/>
                <w:color w:val="000000"/>
                <w:sz w:val="20"/>
                <w:szCs w:val="20"/>
              </w:rPr>
            </w:pPr>
            <w:r w:rsidRPr="00A52AB8">
              <w:rPr>
                <w:rFonts w:eastAsia="Times New Roman"/>
                <w:b/>
                <w:bCs/>
                <w:color w:val="000000"/>
                <w:sz w:val="20"/>
                <w:szCs w:val="20"/>
              </w:rPr>
              <w:t>Max # 1000 bits/s per video stream</w:t>
            </w:r>
          </w:p>
          <w:p w14:paraId="568B62F4" w14:textId="510BAEF6" w:rsidR="0031349F" w:rsidRPr="00A52AB8" w:rsidRDefault="007445DC" w:rsidP="0031349F">
            <w:pPr>
              <w:spacing w:after="0" w:line="240" w:lineRule="auto"/>
              <w:ind w:left="113" w:right="113"/>
              <w:jc w:val="center"/>
              <w:rPr>
                <w:rFonts w:eastAsia="Times New Roman"/>
                <w:b/>
                <w:bCs/>
                <w:color w:val="000000"/>
                <w:sz w:val="20"/>
                <w:szCs w:val="20"/>
              </w:rPr>
            </w:pPr>
            <w:r w:rsidRPr="00A52AB8">
              <w:rPr>
                <w:rFonts w:eastAsia="Times New Roman"/>
                <w:b/>
                <w:bCs/>
                <w:color w:val="000000"/>
                <w:sz w:val="20"/>
                <w:szCs w:val="20"/>
              </w:rPr>
              <w:t>MaxBitRatePerStream</w:t>
            </w:r>
          </w:p>
        </w:tc>
        <w:tc>
          <w:tcPr>
            <w:tcW w:w="1246" w:type="pct"/>
            <w:gridSpan w:val="2"/>
            <w:textDirection w:val="tbRl"/>
            <w:vAlign w:val="center"/>
          </w:tcPr>
          <w:p w14:paraId="6C0AE438" w14:textId="77777777" w:rsidR="0050235C" w:rsidRPr="00A52AB8" w:rsidRDefault="0031349F" w:rsidP="0031349F">
            <w:pPr>
              <w:spacing w:after="0" w:line="240" w:lineRule="auto"/>
              <w:ind w:left="113" w:right="113"/>
              <w:jc w:val="center"/>
              <w:rPr>
                <w:rFonts w:eastAsia="Times New Roman"/>
                <w:b/>
                <w:bCs/>
                <w:color w:val="000000"/>
                <w:sz w:val="20"/>
                <w:szCs w:val="20"/>
              </w:rPr>
            </w:pPr>
            <w:r w:rsidRPr="00A52AB8">
              <w:rPr>
                <w:rFonts w:eastAsia="Times New Roman"/>
                <w:b/>
                <w:bCs/>
                <w:color w:val="000000"/>
                <w:sz w:val="20"/>
                <w:szCs w:val="20"/>
              </w:rPr>
              <w:t>Max aggregate # 1000 bits/s</w:t>
            </w:r>
          </w:p>
          <w:p w14:paraId="4D3C35F7" w14:textId="2D1A7BC4" w:rsidR="0031349F" w:rsidRPr="00A52AB8" w:rsidRDefault="0031349F" w:rsidP="0031349F">
            <w:pPr>
              <w:spacing w:after="0" w:line="240" w:lineRule="auto"/>
              <w:ind w:left="113" w:right="113"/>
              <w:jc w:val="center"/>
              <w:rPr>
                <w:rFonts w:eastAsia="Times New Roman"/>
                <w:b/>
                <w:bCs/>
                <w:color w:val="000000"/>
                <w:sz w:val="20"/>
                <w:szCs w:val="20"/>
              </w:rPr>
            </w:pPr>
            <w:r w:rsidRPr="00A52AB8">
              <w:rPr>
                <w:rFonts w:eastAsia="Times New Roman"/>
                <w:b/>
                <w:bCs/>
                <w:color w:val="000000"/>
                <w:sz w:val="20"/>
                <w:szCs w:val="20"/>
              </w:rPr>
              <w:t>MaxAggregateBit</w:t>
            </w:r>
            <w:r w:rsidR="007445DC" w:rsidRPr="00A52AB8">
              <w:rPr>
                <w:rFonts w:eastAsia="Times New Roman"/>
                <w:b/>
                <w:bCs/>
                <w:color w:val="000000"/>
                <w:sz w:val="20"/>
                <w:szCs w:val="20"/>
              </w:rPr>
              <w:t>R</w:t>
            </w:r>
            <w:r w:rsidRPr="00A52AB8">
              <w:rPr>
                <w:rFonts w:eastAsia="Times New Roman"/>
                <w:b/>
                <w:bCs/>
                <w:color w:val="000000"/>
                <w:sz w:val="20"/>
                <w:szCs w:val="20"/>
              </w:rPr>
              <w:t>ate</w:t>
            </w:r>
          </w:p>
        </w:tc>
      </w:tr>
      <w:tr w:rsidR="0031349F" w:rsidRPr="00A52AB8" w14:paraId="1B826A89" w14:textId="77777777" w:rsidTr="004B5569">
        <w:trPr>
          <w:jc w:val="center"/>
        </w:trPr>
        <w:tc>
          <w:tcPr>
            <w:tcW w:w="389" w:type="pct"/>
            <w:vMerge/>
            <w:vAlign w:val="center"/>
          </w:tcPr>
          <w:p w14:paraId="03FC09A8" w14:textId="77777777" w:rsidR="0031349F" w:rsidRPr="00A52AB8" w:rsidRDefault="0031349F" w:rsidP="0031349F">
            <w:pPr>
              <w:spacing w:after="0" w:line="240" w:lineRule="auto"/>
              <w:jc w:val="center"/>
              <w:rPr>
                <w:sz w:val="20"/>
                <w:szCs w:val="20"/>
                <w:lang w:eastAsia="ja-JP"/>
              </w:rPr>
            </w:pPr>
          </w:p>
        </w:tc>
        <w:tc>
          <w:tcPr>
            <w:tcW w:w="1108" w:type="pct"/>
            <w:vMerge/>
          </w:tcPr>
          <w:p w14:paraId="770B27D4" w14:textId="77777777" w:rsidR="0031349F" w:rsidRPr="00A52AB8" w:rsidRDefault="0031349F" w:rsidP="0031349F">
            <w:pPr>
              <w:spacing w:after="0" w:line="240" w:lineRule="auto"/>
              <w:jc w:val="center"/>
              <w:rPr>
                <w:sz w:val="20"/>
                <w:szCs w:val="20"/>
                <w:lang w:eastAsia="ja-JP"/>
              </w:rPr>
            </w:pPr>
          </w:p>
        </w:tc>
        <w:tc>
          <w:tcPr>
            <w:tcW w:w="1108" w:type="pct"/>
            <w:vMerge/>
            <w:vAlign w:val="center"/>
          </w:tcPr>
          <w:p w14:paraId="0203D9E5" w14:textId="77777777" w:rsidR="0031349F" w:rsidRPr="00A52AB8" w:rsidRDefault="0031349F" w:rsidP="0031349F">
            <w:pPr>
              <w:spacing w:after="0" w:line="240" w:lineRule="auto"/>
              <w:jc w:val="center"/>
              <w:rPr>
                <w:sz w:val="20"/>
                <w:szCs w:val="20"/>
                <w:lang w:eastAsia="ja-JP"/>
              </w:rPr>
            </w:pPr>
          </w:p>
        </w:tc>
        <w:tc>
          <w:tcPr>
            <w:tcW w:w="574" w:type="pct"/>
            <w:vAlign w:val="center"/>
          </w:tcPr>
          <w:p w14:paraId="68CACCA1" w14:textId="77777777" w:rsidR="0031349F" w:rsidRPr="00A52AB8" w:rsidRDefault="0031349F" w:rsidP="0031349F">
            <w:pPr>
              <w:spacing w:after="0" w:line="240" w:lineRule="auto"/>
              <w:jc w:val="center"/>
              <w:rPr>
                <w:sz w:val="20"/>
                <w:szCs w:val="20"/>
                <w:lang w:eastAsia="ja-JP"/>
              </w:rPr>
            </w:pPr>
            <w:r w:rsidRPr="00A52AB8">
              <w:rPr>
                <w:sz w:val="20"/>
                <w:szCs w:val="20"/>
                <w:lang w:eastAsia="ja-JP"/>
              </w:rPr>
              <w:t>MT</w:t>
            </w:r>
          </w:p>
        </w:tc>
        <w:tc>
          <w:tcPr>
            <w:tcW w:w="574" w:type="pct"/>
          </w:tcPr>
          <w:p w14:paraId="47191D4C" w14:textId="77777777" w:rsidR="0031349F" w:rsidRPr="00A52AB8" w:rsidDel="005248BF" w:rsidRDefault="0031349F" w:rsidP="0031349F">
            <w:pPr>
              <w:spacing w:after="0" w:line="240" w:lineRule="auto"/>
              <w:jc w:val="center"/>
              <w:rPr>
                <w:sz w:val="20"/>
                <w:szCs w:val="20"/>
                <w:lang w:eastAsia="ja-JP"/>
              </w:rPr>
            </w:pPr>
            <w:r w:rsidRPr="00A52AB8">
              <w:rPr>
                <w:sz w:val="20"/>
                <w:szCs w:val="20"/>
                <w:lang w:eastAsia="ja-JP"/>
              </w:rPr>
              <w:t>HT</w:t>
            </w:r>
          </w:p>
        </w:tc>
        <w:tc>
          <w:tcPr>
            <w:tcW w:w="574" w:type="pct"/>
            <w:vAlign w:val="center"/>
          </w:tcPr>
          <w:p w14:paraId="2985D12A" w14:textId="77777777" w:rsidR="0031349F" w:rsidRPr="00A52AB8" w:rsidRDefault="0031349F" w:rsidP="0031349F">
            <w:pPr>
              <w:spacing w:after="0" w:line="240" w:lineRule="auto"/>
              <w:jc w:val="center"/>
              <w:rPr>
                <w:sz w:val="20"/>
                <w:szCs w:val="20"/>
                <w:lang w:eastAsia="ja-JP"/>
              </w:rPr>
            </w:pPr>
            <w:r w:rsidRPr="00A52AB8">
              <w:rPr>
                <w:sz w:val="20"/>
                <w:szCs w:val="20"/>
                <w:lang w:eastAsia="ja-JP"/>
              </w:rPr>
              <w:t>MT</w:t>
            </w:r>
          </w:p>
        </w:tc>
        <w:tc>
          <w:tcPr>
            <w:tcW w:w="672" w:type="pct"/>
          </w:tcPr>
          <w:p w14:paraId="0DB608F5" w14:textId="77777777" w:rsidR="0031349F" w:rsidRPr="00A52AB8" w:rsidDel="005248BF" w:rsidRDefault="0031349F" w:rsidP="0031349F">
            <w:pPr>
              <w:spacing w:after="0" w:line="240" w:lineRule="auto"/>
              <w:jc w:val="center"/>
              <w:rPr>
                <w:sz w:val="20"/>
                <w:szCs w:val="20"/>
                <w:lang w:eastAsia="ja-JP"/>
              </w:rPr>
            </w:pPr>
            <w:r w:rsidRPr="00A52AB8">
              <w:rPr>
                <w:sz w:val="20"/>
                <w:szCs w:val="20"/>
                <w:lang w:eastAsia="ja-JP"/>
              </w:rPr>
              <w:t>HT</w:t>
            </w:r>
          </w:p>
        </w:tc>
      </w:tr>
      <w:tr w:rsidR="0031349F" w:rsidRPr="00A52AB8" w14:paraId="5FA416C5" w14:textId="77777777" w:rsidTr="003B372E">
        <w:trPr>
          <w:jc w:val="center"/>
        </w:trPr>
        <w:tc>
          <w:tcPr>
            <w:tcW w:w="389" w:type="pct"/>
            <w:vAlign w:val="center"/>
          </w:tcPr>
          <w:p w14:paraId="753DC0D7" w14:textId="77777777" w:rsidR="0031349F" w:rsidRPr="00A52AB8" w:rsidRDefault="0031349F" w:rsidP="0031349F">
            <w:pPr>
              <w:spacing w:after="0" w:line="240" w:lineRule="auto"/>
              <w:jc w:val="center"/>
              <w:rPr>
                <w:sz w:val="20"/>
                <w:szCs w:val="20"/>
                <w:lang w:eastAsia="ja-JP"/>
              </w:rPr>
            </w:pPr>
            <w:r w:rsidRPr="00A52AB8">
              <w:rPr>
                <w:sz w:val="20"/>
                <w:szCs w:val="20"/>
                <w:lang w:eastAsia="ja-JP"/>
              </w:rPr>
              <w:t>1.0</w:t>
            </w:r>
          </w:p>
        </w:tc>
        <w:tc>
          <w:tcPr>
            <w:tcW w:w="1108" w:type="pct"/>
            <w:vAlign w:val="center"/>
          </w:tcPr>
          <w:p w14:paraId="5D1BE559" w14:textId="77777777" w:rsidR="0031349F" w:rsidRPr="00A52AB8" w:rsidRDefault="0031349F" w:rsidP="0031349F">
            <w:pPr>
              <w:spacing w:after="0" w:line="240" w:lineRule="auto"/>
              <w:jc w:val="center"/>
              <w:rPr>
                <w:sz w:val="20"/>
                <w:szCs w:val="20"/>
                <w:lang w:eastAsia="ja-JP"/>
              </w:rPr>
            </w:pPr>
            <w:r w:rsidRPr="00A52AB8">
              <w:rPr>
                <w:sz w:val="20"/>
                <w:szCs w:val="20"/>
                <w:lang w:eastAsia="ja-JP"/>
              </w:rPr>
              <w:t>2 228 224</w:t>
            </w:r>
          </w:p>
        </w:tc>
        <w:tc>
          <w:tcPr>
            <w:tcW w:w="1108" w:type="pct"/>
            <w:vAlign w:val="center"/>
          </w:tcPr>
          <w:p w14:paraId="123A813E" w14:textId="77777777" w:rsidR="0031349F" w:rsidRPr="00A52AB8" w:rsidRDefault="0031349F" w:rsidP="0031349F">
            <w:pPr>
              <w:spacing w:after="0" w:line="240" w:lineRule="auto"/>
              <w:jc w:val="center"/>
              <w:rPr>
                <w:sz w:val="20"/>
                <w:szCs w:val="20"/>
                <w:lang w:eastAsia="ja-JP"/>
              </w:rPr>
            </w:pPr>
            <w:r w:rsidRPr="00A52AB8">
              <w:rPr>
                <w:sz w:val="20"/>
                <w:szCs w:val="20"/>
                <w:lang w:eastAsia="ja-JP"/>
              </w:rPr>
              <w:t>133 693 440</w:t>
            </w:r>
          </w:p>
        </w:tc>
        <w:tc>
          <w:tcPr>
            <w:tcW w:w="574" w:type="pct"/>
            <w:vAlign w:val="center"/>
          </w:tcPr>
          <w:p w14:paraId="697CEF4D" w14:textId="77777777" w:rsidR="0031349F" w:rsidRPr="00A52AB8" w:rsidRDefault="0031349F" w:rsidP="0031349F">
            <w:pPr>
              <w:spacing w:after="0" w:line="240" w:lineRule="auto"/>
              <w:jc w:val="center"/>
              <w:rPr>
                <w:sz w:val="20"/>
                <w:szCs w:val="20"/>
                <w:lang w:eastAsia="ja-JP"/>
              </w:rPr>
            </w:pPr>
            <w:r w:rsidRPr="00A52AB8">
              <w:rPr>
                <w:sz w:val="20"/>
                <w:szCs w:val="20"/>
                <w:lang w:eastAsia="ja-JP"/>
              </w:rPr>
              <w:t>12 000</w:t>
            </w:r>
          </w:p>
        </w:tc>
        <w:tc>
          <w:tcPr>
            <w:tcW w:w="574" w:type="pct"/>
            <w:vAlign w:val="center"/>
          </w:tcPr>
          <w:p w14:paraId="78F55D9F" w14:textId="77777777" w:rsidR="0031349F" w:rsidRPr="00A52AB8" w:rsidRDefault="0031349F" w:rsidP="0031349F">
            <w:pPr>
              <w:spacing w:after="0" w:line="240" w:lineRule="auto"/>
              <w:jc w:val="center"/>
              <w:rPr>
                <w:sz w:val="20"/>
                <w:szCs w:val="20"/>
                <w:lang w:eastAsia="ja-JP"/>
              </w:rPr>
            </w:pPr>
            <w:r w:rsidRPr="00A52AB8">
              <w:rPr>
                <w:sz w:val="20"/>
                <w:szCs w:val="20"/>
                <w:lang w:eastAsia="ja-JP"/>
              </w:rPr>
              <w:t>30 000</w:t>
            </w:r>
          </w:p>
        </w:tc>
        <w:tc>
          <w:tcPr>
            <w:tcW w:w="574" w:type="pct"/>
            <w:vAlign w:val="center"/>
          </w:tcPr>
          <w:p w14:paraId="7815983E" w14:textId="77777777" w:rsidR="0031349F" w:rsidRPr="00A52AB8" w:rsidRDefault="0031349F" w:rsidP="0031349F">
            <w:pPr>
              <w:spacing w:after="0" w:line="240" w:lineRule="auto"/>
              <w:jc w:val="center"/>
              <w:rPr>
                <w:sz w:val="20"/>
                <w:szCs w:val="20"/>
                <w:lang w:eastAsia="ja-JP"/>
              </w:rPr>
            </w:pPr>
            <w:r w:rsidRPr="00A52AB8">
              <w:rPr>
                <w:sz w:val="20"/>
                <w:szCs w:val="20"/>
                <w:lang w:eastAsia="ja-JP"/>
              </w:rPr>
              <w:t>25 000</w:t>
            </w:r>
          </w:p>
        </w:tc>
        <w:tc>
          <w:tcPr>
            <w:tcW w:w="672" w:type="pct"/>
          </w:tcPr>
          <w:p w14:paraId="6F7E698C" w14:textId="77777777" w:rsidR="0031349F" w:rsidRPr="00A52AB8" w:rsidRDefault="0031349F" w:rsidP="0031349F">
            <w:pPr>
              <w:spacing w:after="0" w:line="240" w:lineRule="auto"/>
              <w:jc w:val="center"/>
              <w:rPr>
                <w:sz w:val="20"/>
                <w:szCs w:val="20"/>
                <w:lang w:eastAsia="ja-JP"/>
              </w:rPr>
            </w:pPr>
            <w:r w:rsidRPr="00A52AB8">
              <w:rPr>
                <w:sz w:val="20"/>
                <w:szCs w:val="20"/>
                <w:lang w:eastAsia="ja-JP"/>
              </w:rPr>
              <w:t>100 000</w:t>
            </w:r>
          </w:p>
        </w:tc>
      </w:tr>
      <w:tr w:rsidR="0031349F" w:rsidRPr="00A52AB8" w14:paraId="2CDDF40D" w14:textId="77777777" w:rsidTr="003B372E">
        <w:trPr>
          <w:jc w:val="center"/>
        </w:trPr>
        <w:tc>
          <w:tcPr>
            <w:tcW w:w="389" w:type="pct"/>
            <w:vAlign w:val="center"/>
          </w:tcPr>
          <w:p w14:paraId="350A6799" w14:textId="77777777" w:rsidR="0031349F" w:rsidRPr="00A52AB8" w:rsidRDefault="0031349F" w:rsidP="0031349F">
            <w:pPr>
              <w:spacing w:after="0" w:line="240" w:lineRule="auto"/>
              <w:jc w:val="center"/>
              <w:rPr>
                <w:sz w:val="20"/>
                <w:szCs w:val="20"/>
                <w:lang w:eastAsia="ja-JP"/>
              </w:rPr>
            </w:pPr>
            <w:r w:rsidRPr="00A52AB8">
              <w:rPr>
                <w:sz w:val="20"/>
                <w:szCs w:val="20"/>
                <w:lang w:eastAsia="ja-JP"/>
              </w:rPr>
              <w:t>1.5</w:t>
            </w:r>
          </w:p>
        </w:tc>
        <w:tc>
          <w:tcPr>
            <w:tcW w:w="1108" w:type="pct"/>
            <w:vAlign w:val="center"/>
          </w:tcPr>
          <w:p w14:paraId="6B351EDD" w14:textId="77777777" w:rsidR="0031349F" w:rsidRPr="00A52AB8" w:rsidRDefault="0031349F" w:rsidP="0031349F">
            <w:pPr>
              <w:spacing w:after="0" w:line="240" w:lineRule="auto"/>
              <w:jc w:val="center"/>
              <w:rPr>
                <w:sz w:val="20"/>
                <w:szCs w:val="20"/>
                <w:lang w:eastAsia="ja-JP"/>
              </w:rPr>
            </w:pPr>
            <w:r w:rsidRPr="00A52AB8">
              <w:rPr>
                <w:sz w:val="20"/>
                <w:szCs w:val="20"/>
                <w:lang w:eastAsia="ja-JP"/>
              </w:rPr>
              <w:t>2 228 224</w:t>
            </w:r>
          </w:p>
        </w:tc>
        <w:tc>
          <w:tcPr>
            <w:tcW w:w="1108" w:type="pct"/>
            <w:vAlign w:val="center"/>
          </w:tcPr>
          <w:p w14:paraId="6FEDECA8" w14:textId="77777777" w:rsidR="0031349F" w:rsidRPr="00A52AB8" w:rsidRDefault="0031349F" w:rsidP="0031349F">
            <w:pPr>
              <w:spacing w:after="0" w:line="240" w:lineRule="auto"/>
              <w:jc w:val="center"/>
              <w:rPr>
                <w:sz w:val="20"/>
                <w:szCs w:val="20"/>
                <w:lang w:eastAsia="ja-JP"/>
              </w:rPr>
            </w:pPr>
            <w:r w:rsidRPr="00A52AB8">
              <w:rPr>
                <w:sz w:val="20"/>
                <w:szCs w:val="20"/>
                <w:lang w:eastAsia="ja-JP"/>
              </w:rPr>
              <w:t>267 386 880</w:t>
            </w:r>
          </w:p>
        </w:tc>
        <w:tc>
          <w:tcPr>
            <w:tcW w:w="574" w:type="pct"/>
            <w:vAlign w:val="center"/>
          </w:tcPr>
          <w:p w14:paraId="159CEA49" w14:textId="77777777" w:rsidR="0031349F" w:rsidRPr="00A52AB8" w:rsidRDefault="0031349F" w:rsidP="0031349F">
            <w:pPr>
              <w:spacing w:after="0" w:line="240" w:lineRule="auto"/>
              <w:jc w:val="center"/>
              <w:rPr>
                <w:sz w:val="20"/>
                <w:szCs w:val="20"/>
                <w:lang w:eastAsia="ja-JP"/>
              </w:rPr>
            </w:pPr>
            <w:r w:rsidRPr="00A52AB8">
              <w:rPr>
                <w:sz w:val="20"/>
                <w:szCs w:val="20"/>
                <w:lang w:eastAsia="ja-JP"/>
              </w:rPr>
              <w:t>20 000</w:t>
            </w:r>
          </w:p>
        </w:tc>
        <w:tc>
          <w:tcPr>
            <w:tcW w:w="574" w:type="pct"/>
            <w:vAlign w:val="center"/>
          </w:tcPr>
          <w:p w14:paraId="3FD4B2BC" w14:textId="77777777" w:rsidR="0031349F" w:rsidRPr="00A52AB8" w:rsidRDefault="0031349F" w:rsidP="0031349F">
            <w:pPr>
              <w:spacing w:after="0" w:line="240" w:lineRule="auto"/>
              <w:jc w:val="center"/>
              <w:rPr>
                <w:sz w:val="20"/>
                <w:szCs w:val="20"/>
                <w:lang w:eastAsia="ja-JP"/>
              </w:rPr>
            </w:pPr>
            <w:r w:rsidRPr="00A52AB8">
              <w:rPr>
                <w:sz w:val="20"/>
                <w:szCs w:val="20"/>
                <w:lang w:eastAsia="ja-JP"/>
              </w:rPr>
              <w:t>50 000</w:t>
            </w:r>
          </w:p>
        </w:tc>
        <w:tc>
          <w:tcPr>
            <w:tcW w:w="574" w:type="pct"/>
            <w:vAlign w:val="center"/>
          </w:tcPr>
          <w:p w14:paraId="5DD9A352" w14:textId="77777777" w:rsidR="0031349F" w:rsidRPr="00A52AB8" w:rsidRDefault="0031349F" w:rsidP="0031349F">
            <w:pPr>
              <w:spacing w:after="0" w:line="240" w:lineRule="auto"/>
              <w:jc w:val="center"/>
              <w:rPr>
                <w:sz w:val="20"/>
                <w:szCs w:val="20"/>
                <w:lang w:eastAsia="ja-JP"/>
              </w:rPr>
            </w:pPr>
            <w:r w:rsidRPr="00A52AB8">
              <w:rPr>
                <w:sz w:val="20"/>
                <w:szCs w:val="20"/>
                <w:lang w:eastAsia="ja-JP"/>
              </w:rPr>
              <w:t>40 000</w:t>
            </w:r>
          </w:p>
        </w:tc>
        <w:tc>
          <w:tcPr>
            <w:tcW w:w="672" w:type="pct"/>
          </w:tcPr>
          <w:p w14:paraId="015B7681" w14:textId="77777777" w:rsidR="0031349F" w:rsidRPr="00A52AB8" w:rsidRDefault="0031349F" w:rsidP="0031349F">
            <w:pPr>
              <w:spacing w:after="0" w:line="240" w:lineRule="auto"/>
              <w:jc w:val="center"/>
              <w:rPr>
                <w:sz w:val="20"/>
                <w:szCs w:val="20"/>
                <w:lang w:eastAsia="ja-JP"/>
              </w:rPr>
            </w:pPr>
            <w:r w:rsidRPr="00A52AB8">
              <w:rPr>
                <w:sz w:val="20"/>
                <w:szCs w:val="20"/>
                <w:lang w:eastAsia="ja-JP"/>
              </w:rPr>
              <w:t>160 000</w:t>
            </w:r>
          </w:p>
        </w:tc>
      </w:tr>
      <w:tr w:rsidR="0031349F" w:rsidRPr="00A52AB8" w14:paraId="10576467" w14:textId="77777777" w:rsidTr="003B372E">
        <w:trPr>
          <w:jc w:val="center"/>
        </w:trPr>
        <w:tc>
          <w:tcPr>
            <w:tcW w:w="389" w:type="pct"/>
            <w:vAlign w:val="center"/>
          </w:tcPr>
          <w:p w14:paraId="59E8719C" w14:textId="77777777" w:rsidR="0031349F" w:rsidRPr="00A52AB8" w:rsidRDefault="0031349F" w:rsidP="0031349F">
            <w:pPr>
              <w:spacing w:after="0" w:line="240" w:lineRule="auto"/>
              <w:jc w:val="center"/>
              <w:rPr>
                <w:sz w:val="20"/>
                <w:szCs w:val="20"/>
                <w:lang w:eastAsia="ja-JP"/>
              </w:rPr>
            </w:pPr>
            <w:r w:rsidRPr="00A52AB8">
              <w:rPr>
                <w:sz w:val="20"/>
                <w:szCs w:val="20"/>
                <w:lang w:eastAsia="ja-JP"/>
              </w:rPr>
              <w:t>2.0</w:t>
            </w:r>
          </w:p>
        </w:tc>
        <w:tc>
          <w:tcPr>
            <w:tcW w:w="1108" w:type="pct"/>
            <w:vAlign w:val="center"/>
          </w:tcPr>
          <w:p w14:paraId="455B5FAD" w14:textId="77777777" w:rsidR="0031349F" w:rsidRPr="00A52AB8" w:rsidRDefault="0031349F" w:rsidP="0031349F">
            <w:pPr>
              <w:spacing w:after="0" w:line="240" w:lineRule="auto"/>
              <w:jc w:val="center"/>
              <w:rPr>
                <w:rFonts w:eastAsia="Times New Roman" w:cs="Calibri"/>
                <w:sz w:val="20"/>
                <w:szCs w:val="20"/>
              </w:rPr>
            </w:pPr>
            <w:r w:rsidRPr="00A52AB8">
              <w:rPr>
                <w:sz w:val="20"/>
                <w:szCs w:val="20"/>
                <w:lang w:eastAsia="ja-JP"/>
              </w:rPr>
              <w:t>8 912 896</w:t>
            </w:r>
          </w:p>
        </w:tc>
        <w:tc>
          <w:tcPr>
            <w:tcW w:w="1108" w:type="pct"/>
            <w:vAlign w:val="center"/>
          </w:tcPr>
          <w:p w14:paraId="5D724484" w14:textId="77777777" w:rsidR="0031349F" w:rsidRPr="00A52AB8" w:rsidRDefault="0031349F" w:rsidP="0031349F">
            <w:pPr>
              <w:spacing w:after="0" w:line="240" w:lineRule="auto"/>
              <w:jc w:val="center"/>
              <w:rPr>
                <w:rFonts w:eastAsia="Times New Roman" w:cs="Calibri"/>
                <w:color w:val="FF0000"/>
                <w:sz w:val="20"/>
                <w:szCs w:val="20"/>
              </w:rPr>
            </w:pPr>
            <w:r w:rsidRPr="00A52AB8">
              <w:rPr>
                <w:sz w:val="20"/>
                <w:szCs w:val="20"/>
                <w:lang w:eastAsia="ja-JP"/>
              </w:rPr>
              <w:t>534 773 760</w:t>
            </w:r>
          </w:p>
        </w:tc>
        <w:tc>
          <w:tcPr>
            <w:tcW w:w="574" w:type="pct"/>
            <w:vAlign w:val="center"/>
          </w:tcPr>
          <w:p w14:paraId="03BB5F89" w14:textId="77777777" w:rsidR="0031349F" w:rsidRPr="00A52AB8" w:rsidRDefault="0031349F" w:rsidP="0031349F">
            <w:pPr>
              <w:spacing w:after="0" w:line="240" w:lineRule="auto"/>
              <w:jc w:val="center"/>
              <w:rPr>
                <w:sz w:val="20"/>
                <w:szCs w:val="20"/>
                <w:lang w:eastAsia="ja-JP"/>
              </w:rPr>
            </w:pPr>
            <w:r w:rsidRPr="00A52AB8">
              <w:rPr>
                <w:sz w:val="20"/>
                <w:szCs w:val="20"/>
                <w:lang w:eastAsia="ja-JP"/>
              </w:rPr>
              <w:t>25 000</w:t>
            </w:r>
          </w:p>
        </w:tc>
        <w:tc>
          <w:tcPr>
            <w:tcW w:w="574" w:type="pct"/>
          </w:tcPr>
          <w:p w14:paraId="464CCD9B" w14:textId="77777777" w:rsidR="0031349F" w:rsidRPr="00A52AB8" w:rsidRDefault="0031349F" w:rsidP="0031349F">
            <w:pPr>
              <w:spacing w:after="0" w:line="240" w:lineRule="auto"/>
              <w:jc w:val="center"/>
              <w:rPr>
                <w:sz w:val="20"/>
                <w:szCs w:val="20"/>
                <w:lang w:eastAsia="ja-JP"/>
              </w:rPr>
            </w:pPr>
            <w:r w:rsidRPr="00A52AB8">
              <w:rPr>
                <w:sz w:val="20"/>
                <w:szCs w:val="20"/>
                <w:lang w:eastAsia="ja-JP"/>
              </w:rPr>
              <w:t>100 000</w:t>
            </w:r>
          </w:p>
        </w:tc>
        <w:tc>
          <w:tcPr>
            <w:tcW w:w="574" w:type="pct"/>
            <w:vAlign w:val="center"/>
          </w:tcPr>
          <w:p w14:paraId="0B788E0D" w14:textId="77777777" w:rsidR="0031349F" w:rsidRPr="00A52AB8" w:rsidRDefault="0031349F" w:rsidP="0031349F">
            <w:pPr>
              <w:spacing w:after="0" w:line="240" w:lineRule="auto"/>
              <w:jc w:val="center"/>
              <w:rPr>
                <w:sz w:val="20"/>
                <w:szCs w:val="20"/>
                <w:lang w:eastAsia="ja-JP"/>
              </w:rPr>
            </w:pPr>
            <w:r w:rsidRPr="00A52AB8">
              <w:rPr>
                <w:sz w:val="20"/>
                <w:szCs w:val="20"/>
                <w:lang w:eastAsia="ja-JP"/>
              </w:rPr>
              <w:t>60 000</w:t>
            </w:r>
          </w:p>
        </w:tc>
        <w:tc>
          <w:tcPr>
            <w:tcW w:w="672" w:type="pct"/>
          </w:tcPr>
          <w:p w14:paraId="2AEE3AED" w14:textId="77777777" w:rsidR="0031349F" w:rsidRPr="00A52AB8" w:rsidRDefault="0031349F" w:rsidP="0031349F">
            <w:pPr>
              <w:spacing w:after="0" w:line="240" w:lineRule="auto"/>
              <w:jc w:val="center"/>
              <w:rPr>
                <w:sz w:val="20"/>
                <w:szCs w:val="20"/>
                <w:lang w:eastAsia="ja-JP"/>
              </w:rPr>
            </w:pPr>
            <w:r w:rsidRPr="00A52AB8">
              <w:rPr>
                <w:sz w:val="20"/>
                <w:szCs w:val="20"/>
                <w:lang w:eastAsia="ja-JP"/>
              </w:rPr>
              <w:t>240 000</w:t>
            </w:r>
          </w:p>
        </w:tc>
      </w:tr>
      <w:tr w:rsidR="0031349F" w:rsidRPr="00A52AB8" w14:paraId="5154BDB3" w14:textId="77777777" w:rsidTr="003B372E">
        <w:trPr>
          <w:jc w:val="center"/>
        </w:trPr>
        <w:tc>
          <w:tcPr>
            <w:tcW w:w="389" w:type="pct"/>
            <w:vAlign w:val="center"/>
          </w:tcPr>
          <w:p w14:paraId="03B36FC8" w14:textId="77777777" w:rsidR="0031349F" w:rsidRPr="00A52AB8" w:rsidRDefault="0031349F" w:rsidP="0031349F">
            <w:pPr>
              <w:spacing w:after="0" w:line="240" w:lineRule="auto"/>
              <w:jc w:val="center"/>
              <w:rPr>
                <w:sz w:val="20"/>
                <w:szCs w:val="20"/>
                <w:lang w:eastAsia="ja-JP"/>
              </w:rPr>
            </w:pPr>
            <w:r w:rsidRPr="00A52AB8">
              <w:rPr>
                <w:sz w:val="20"/>
                <w:szCs w:val="20"/>
                <w:lang w:eastAsia="ja-JP"/>
              </w:rPr>
              <w:t>2.5</w:t>
            </w:r>
          </w:p>
        </w:tc>
        <w:tc>
          <w:tcPr>
            <w:tcW w:w="1108" w:type="pct"/>
            <w:vAlign w:val="center"/>
          </w:tcPr>
          <w:p w14:paraId="15D3ED27" w14:textId="77777777" w:rsidR="0031349F" w:rsidRPr="00A52AB8" w:rsidRDefault="0031349F" w:rsidP="0031349F">
            <w:pPr>
              <w:spacing w:after="0" w:line="240" w:lineRule="auto"/>
              <w:jc w:val="center"/>
              <w:rPr>
                <w:rFonts w:eastAsia="Times New Roman" w:cs="Calibri"/>
                <w:sz w:val="20"/>
                <w:szCs w:val="20"/>
              </w:rPr>
            </w:pPr>
            <w:r w:rsidRPr="00A52AB8">
              <w:rPr>
                <w:sz w:val="20"/>
                <w:szCs w:val="20"/>
                <w:lang w:eastAsia="ja-JP"/>
              </w:rPr>
              <w:t>8 912 896</w:t>
            </w:r>
          </w:p>
        </w:tc>
        <w:tc>
          <w:tcPr>
            <w:tcW w:w="1108" w:type="pct"/>
            <w:vAlign w:val="center"/>
          </w:tcPr>
          <w:p w14:paraId="7E3DAC0F" w14:textId="77777777" w:rsidR="0031349F" w:rsidRPr="00A52AB8" w:rsidRDefault="0031349F" w:rsidP="0031349F">
            <w:pPr>
              <w:spacing w:after="0" w:line="240" w:lineRule="auto"/>
              <w:jc w:val="center"/>
              <w:rPr>
                <w:rFonts w:eastAsia="Times New Roman" w:cs="Calibri"/>
                <w:sz w:val="20"/>
                <w:szCs w:val="20"/>
              </w:rPr>
            </w:pPr>
            <w:r w:rsidRPr="00A52AB8">
              <w:rPr>
                <w:rFonts w:eastAsia="Times New Roman" w:cs="Calibri"/>
                <w:sz w:val="20"/>
                <w:szCs w:val="20"/>
              </w:rPr>
              <w:t>1 069 547 520</w:t>
            </w:r>
          </w:p>
        </w:tc>
        <w:tc>
          <w:tcPr>
            <w:tcW w:w="574" w:type="pct"/>
            <w:vAlign w:val="center"/>
          </w:tcPr>
          <w:p w14:paraId="1EFEB2D0" w14:textId="77777777" w:rsidR="0031349F" w:rsidRPr="00A52AB8" w:rsidRDefault="0031349F" w:rsidP="0031349F">
            <w:pPr>
              <w:spacing w:after="0" w:line="240" w:lineRule="auto"/>
              <w:jc w:val="center"/>
              <w:rPr>
                <w:sz w:val="20"/>
                <w:szCs w:val="20"/>
                <w:lang w:eastAsia="ja-JP"/>
              </w:rPr>
            </w:pPr>
            <w:r w:rsidRPr="00A52AB8">
              <w:rPr>
                <w:sz w:val="20"/>
                <w:szCs w:val="20"/>
                <w:lang w:eastAsia="ja-JP"/>
              </w:rPr>
              <w:t>60 000</w:t>
            </w:r>
          </w:p>
        </w:tc>
        <w:tc>
          <w:tcPr>
            <w:tcW w:w="574" w:type="pct"/>
          </w:tcPr>
          <w:p w14:paraId="2C1E96AD" w14:textId="77777777" w:rsidR="0031349F" w:rsidRPr="00A52AB8" w:rsidRDefault="0031349F" w:rsidP="0031349F">
            <w:pPr>
              <w:spacing w:after="0" w:line="240" w:lineRule="auto"/>
              <w:jc w:val="center"/>
              <w:rPr>
                <w:sz w:val="20"/>
                <w:szCs w:val="20"/>
                <w:lang w:eastAsia="ja-JP"/>
              </w:rPr>
            </w:pPr>
            <w:r w:rsidRPr="00A52AB8">
              <w:rPr>
                <w:sz w:val="20"/>
                <w:szCs w:val="20"/>
                <w:lang w:eastAsia="ja-JP"/>
              </w:rPr>
              <w:t>240 000</w:t>
            </w:r>
          </w:p>
        </w:tc>
        <w:tc>
          <w:tcPr>
            <w:tcW w:w="574" w:type="pct"/>
            <w:vAlign w:val="center"/>
          </w:tcPr>
          <w:p w14:paraId="2C873EC5" w14:textId="77777777" w:rsidR="0031349F" w:rsidRPr="00A52AB8" w:rsidRDefault="0031349F" w:rsidP="0031349F">
            <w:pPr>
              <w:spacing w:after="0" w:line="240" w:lineRule="auto"/>
              <w:jc w:val="center"/>
              <w:rPr>
                <w:sz w:val="20"/>
                <w:szCs w:val="20"/>
                <w:lang w:eastAsia="ja-JP"/>
              </w:rPr>
            </w:pPr>
            <w:r w:rsidRPr="00A52AB8">
              <w:rPr>
                <w:sz w:val="20"/>
                <w:szCs w:val="20"/>
                <w:lang w:eastAsia="ja-JP"/>
              </w:rPr>
              <w:t>120 000</w:t>
            </w:r>
          </w:p>
        </w:tc>
        <w:tc>
          <w:tcPr>
            <w:tcW w:w="672" w:type="pct"/>
          </w:tcPr>
          <w:p w14:paraId="5B7FCFD3" w14:textId="77777777" w:rsidR="0031349F" w:rsidRPr="00A52AB8" w:rsidRDefault="0031349F" w:rsidP="0031349F">
            <w:pPr>
              <w:spacing w:after="0" w:line="240" w:lineRule="auto"/>
              <w:jc w:val="center"/>
              <w:rPr>
                <w:sz w:val="20"/>
                <w:szCs w:val="20"/>
                <w:lang w:eastAsia="ja-JP"/>
              </w:rPr>
            </w:pPr>
            <w:r w:rsidRPr="00A52AB8">
              <w:rPr>
                <w:sz w:val="20"/>
                <w:szCs w:val="20"/>
                <w:lang w:eastAsia="ja-JP"/>
              </w:rPr>
              <w:t>480 000</w:t>
            </w:r>
          </w:p>
        </w:tc>
      </w:tr>
      <w:tr w:rsidR="0031349F" w:rsidRPr="00A52AB8" w14:paraId="0C91AFF3" w14:textId="77777777" w:rsidTr="003B372E">
        <w:trPr>
          <w:jc w:val="center"/>
        </w:trPr>
        <w:tc>
          <w:tcPr>
            <w:tcW w:w="389" w:type="pct"/>
            <w:vAlign w:val="center"/>
          </w:tcPr>
          <w:p w14:paraId="3AFE5305" w14:textId="77777777" w:rsidR="0031349F" w:rsidRPr="00A52AB8" w:rsidRDefault="0031349F" w:rsidP="0031349F">
            <w:pPr>
              <w:spacing w:after="0" w:line="240" w:lineRule="auto"/>
              <w:jc w:val="center"/>
              <w:rPr>
                <w:sz w:val="20"/>
                <w:szCs w:val="20"/>
                <w:lang w:eastAsia="ja-JP"/>
              </w:rPr>
            </w:pPr>
            <w:r w:rsidRPr="00A52AB8">
              <w:rPr>
                <w:sz w:val="20"/>
                <w:szCs w:val="20"/>
                <w:lang w:eastAsia="ja-JP"/>
              </w:rPr>
              <w:t>3.0</w:t>
            </w:r>
          </w:p>
        </w:tc>
        <w:tc>
          <w:tcPr>
            <w:tcW w:w="1108" w:type="pct"/>
            <w:vAlign w:val="center"/>
          </w:tcPr>
          <w:p w14:paraId="49C3BC3C" w14:textId="77777777" w:rsidR="0031349F" w:rsidRPr="00A52AB8" w:rsidRDefault="0031349F" w:rsidP="0031349F">
            <w:pPr>
              <w:spacing w:after="0" w:line="240" w:lineRule="auto"/>
              <w:jc w:val="center"/>
              <w:rPr>
                <w:rFonts w:eastAsia="Times New Roman" w:cs="Calibri"/>
                <w:sz w:val="20"/>
                <w:szCs w:val="20"/>
              </w:rPr>
            </w:pPr>
            <w:r w:rsidRPr="00A52AB8">
              <w:rPr>
                <w:sz w:val="20"/>
                <w:szCs w:val="20"/>
                <w:lang w:eastAsia="ja-JP"/>
              </w:rPr>
              <w:t>35 651 584</w:t>
            </w:r>
          </w:p>
        </w:tc>
        <w:tc>
          <w:tcPr>
            <w:tcW w:w="1108" w:type="pct"/>
            <w:vAlign w:val="center"/>
          </w:tcPr>
          <w:p w14:paraId="75192655" w14:textId="77777777" w:rsidR="0031349F" w:rsidRPr="00A52AB8" w:rsidRDefault="0031349F" w:rsidP="0031349F">
            <w:pPr>
              <w:spacing w:after="0" w:line="240" w:lineRule="auto"/>
              <w:jc w:val="center"/>
              <w:rPr>
                <w:rFonts w:eastAsia="Times New Roman" w:cs="Calibri"/>
                <w:sz w:val="20"/>
                <w:szCs w:val="20"/>
              </w:rPr>
            </w:pPr>
            <w:r w:rsidRPr="00A52AB8">
              <w:rPr>
                <w:rFonts w:eastAsia="Times New Roman" w:cs="Calibri"/>
                <w:sz w:val="20"/>
                <w:szCs w:val="20"/>
              </w:rPr>
              <w:t>2 139 095 040</w:t>
            </w:r>
          </w:p>
        </w:tc>
        <w:tc>
          <w:tcPr>
            <w:tcW w:w="574" w:type="pct"/>
            <w:vAlign w:val="center"/>
          </w:tcPr>
          <w:p w14:paraId="60E0713B" w14:textId="77777777" w:rsidR="0031349F" w:rsidRPr="00A52AB8" w:rsidRDefault="0031349F" w:rsidP="0031349F">
            <w:pPr>
              <w:spacing w:after="0" w:line="240" w:lineRule="auto"/>
              <w:jc w:val="center"/>
              <w:rPr>
                <w:sz w:val="20"/>
                <w:szCs w:val="20"/>
                <w:lang w:eastAsia="ja-JP"/>
              </w:rPr>
            </w:pPr>
            <w:r w:rsidRPr="00A52AB8">
              <w:rPr>
                <w:sz w:val="20"/>
                <w:szCs w:val="20"/>
                <w:lang w:eastAsia="ja-JP"/>
              </w:rPr>
              <w:t>60 000</w:t>
            </w:r>
          </w:p>
        </w:tc>
        <w:tc>
          <w:tcPr>
            <w:tcW w:w="574" w:type="pct"/>
          </w:tcPr>
          <w:p w14:paraId="1D64C312" w14:textId="77777777" w:rsidR="0031349F" w:rsidRPr="00A52AB8" w:rsidRDefault="0031349F" w:rsidP="0031349F">
            <w:pPr>
              <w:spacing w:after="0" w:line="240" w:lineRule="auto"/>
              <w:jc w:val="center"/>
              <w:rPr>
                <w:sz w:val="20"/>
                <w:szCs w:val="20"/>
                <w:lang w:eastAsia="ja-JP"/>
              </w:rPr>
            </w:pPr>
            <w:r w:rsidRPr="00A52AB8">
              <w:rPr>
                <w:sz w:val="20"/>
                <w:szCs w:val="20"/>
                <w:lang w:eastAsia="ja-JP"/>
              </w:rPr>
              <w:t>240 000</w:t>
            </w:r>
          </w:p>
        </w:tc>
        <w:tc>
          <w:tcPr>
            <w:tcW w:w="574" w:type="pct"/>
            <w:vAlign w:val="center"/>
          </w:tcPr>
          <w:p w14:paraId="3D9C4CD3" w14:textId="77777777" w:rsidR="0031349F" w:rsidRPr="00A52AB8" w:rsidRDefault="0031349F" w:rsidP="0031349F">
            <w:pPr>
              <w:spacing w:after="0" w:line="240" w:lineRule="auto"/>
              <w:jc w:val="center"/>
              <w:rPr>
                <w:sz w:val="20"/>
                <w:szCs w:val="20"/>
                <w:lang w:eastAsia="ja-JP"/>
              </w:rPr>
            </w:pPr>
            <w:r w:rsidRPr="00A52AB8">
              <w:rPr>
                <w:sz w:val="20"/>
                <w:szCs w:val="20"/>
                <w:lang w:eastAsia="ja-JP"/>
              </w:rPr>
              <w:t>120 000</w:t>
            </w:r>
          </w:p>
        </w:tc>
        <w:tc>
          <w:tcPr>
            <w:tcW w:w="672" w:type="pct"/>
          </w:tcPr>
          <w:p w14:paraId="303C18D7" w14:textId="77777777" w:rsidR="0031349F" w:rsidRPr="00A52AB8" w:rsidRDefault="0031349F" w:rsidP="0031349F">
            <w:pPr>
              <w:spacing w:after="0" w:line="240" w:lineRule="auto"/>
              <w:jc w:val="center"/>
              <w:rPr>
                <w:sz w:val="20"/>
                <w:szCs w:val="20"/>
                <w:lang w:eastAsia="ja-JP"/>
              </w:rPr>
            </w:pPr>
            <w:r w:rsidRPr="00A52AB8">
              <w:rPr>
                <w:sz w:val="20"/>
                <w:szCs w:val="20"/>
                <w:lang w:eastAsia="ja-JP"/>
              </w:rPr>
              <w:t>480 000</w:t>
            </w:r>
          </w:p>
        </w:tc>
      </w:tr>
      <w:tr w:rsidR="0031349F" w:rsidRPr="00A52AB8" w14:paraId="439BE3AA" w14:textId="77777777" w:rsidTr="003B372E">
        <w:trPr>
          <w:jc w:val="center"/>
        </w:trPr>
        <w:tc>
          <w:tcPr>
            <w:tcW w:w="389" w:type="pct"/>
            <w:vAlign w:val="center"/>
          </w:tcPr>
          <w:p w14:paraId="4C17A776" w14:textId="77777777" w:rsidR="0031349F" w:rsidRPr="00A52AB8" w:rsidRDefault="0031349F" w:rsidP="0031349F">
            <w:pPr>
              <w:spacing w:after="0" w:line="240" w:lineRule="auto"/>
              <w:jc w:val="center"/>
              <w:rPr>
                <w:sz w:val="20"/>
                <w:szCs w:val="20"/>
                <w:lang w:eastAsia="ja-JP"/>
              </w:rPr>
            </w:pPr>
            <w:r w:rsidRPr="00A52AB8">
              <w:rPr>
                <w:sz w:val="20"/>
                <w:szCs w:val="20"/>
                <w:lang w:eastAsia="ja-JP"/>
              </w:rPr>
              <w:t>3.5</w:t>
            </w:r>
          </w:p>
        </w:tc>
        <w:tc>
          <w:tcPr>
            <w:tcW w:w="1108" w:type="pct"/>
            <w:vAlign w:val="center"/>
          </w:tcPr>
          <w:p w14:paraId="42803DD2" w14:textId="77777777" w:rsidR="0031349F" w:rsidRPr="00A52AB8" w:rsidRDefault="0031349F" w:rsidP="0031349F">
            <w:pPr>
              <w:spacing w:after="0" w:line="240" w:lineRule="auto"/>
              <w:jc w:val="center"/>
              <w:rPr>
                <w:rFonts w:eastAsia="Times New Roman" w:cs="Calibri"/>
                <w:sz w:val="20"/>
                <w:szCs w:val="20"/>
              </w:rPr>
            </w:pPr>
            <w:r w:rsidRPr="00A52AB8">
              <w:rPr>
                <w:sz w:val="20"/>
                <w:szCs w:val="20"/>
                <w:lang w:eastAsia="ja-JP"/>
              </w:rPr>
              <w:t>35 651 584</w:t>
            </w:r>
          </w:p>
        </w:tc>
        <w:tc>
          <w:tcPr>
            <w:tcW w:w="1108" w:type="pct"/>
            <w:vAlign w:val="center"/>
          </w:tcPr>
          <w:p w14:paraId="4CD086F7" w14:textId="77777777" w:rsidR="0031349F" w:rsidRPr="00A52AB8" w:rsidRDefault="0031349F" w:rsidP="0031349F">
            <w:pPr>
              <w:spacing w:after="0" w:line="240" w:lineRule="auto"/>
              <w:jc w:val="center"/>
              <w:rPr>
                <w:rFonts w:eastAsia="Times New Roman" w:cs="Calibri"/>
                <w:sz w:val="20"/>
                <w:szCs w:val="20"/>
              </w:rPr>
            </w:pPr>
            <w:r w:rsidRPr="00A52AB8">
              <w:rPr>
                <w:rFonts w:eastAsia="Times New Roman" w:cs="Calibri"/>
                <w:sz w:val="20"/>
                <w:szCs w:val="20"/>
              </w:rPr>
              <w:t>4 278 190 080</w:t>
            </w:r>
          </w:p>
        </w:tc>
        <w:tc>
          <w:tcPr>
            <w:tcW w:w="574" w:type="pct"/>
            <w:vAlign w:val="center"/>
          </w:tcPr>
          <w:p w14:paraId="76D69E39" w14:textId="77777777" w:rsidR="0031349F" w:rsidRPr="00A52AB8" w:rsidRDefault="0031349F" w:rsidP="0031349F">
            <w:pPr>
              <w:spacing w:after="0" w:line="240" w:lineRule="auto"/>
              <w:jc w:val="center"/>
              <w:rPr>
                <w:sz w:val="20"/>
                <w:szCs w:val="20"/>
                <w:lang w:eastAsia="ja-JP"/>
              </w:rPr>
            </w:pPr>
            <w:r w:rsidRPr="00A52AB8">
              <w:rPr>
                <w:sz w:val="20"/>
                <w:szCs w:val="20"/>
                <w:lang w:eastAsia="ja-JP"/>
              </w:rPr>
              <w:t>240 000</w:t>
            </w:r>
          </w:p>
        </w:tc>
        <w:tc>
          <w:tcPr>
            <w:tcW w:w="574" w:type="pct"/>
          </w:tcPr>
          <w:p w14:paraId="2280F183" w14:textId="77777777" w:rsidR="0031349F" w:rsidRPr="00A52AB8" w:rsidRDefault="0031349F" w:rsidP="0031349F">
            <w:pPr>
              <w:spacing w:after="0" w:line="240" w:lineRule="auto"/>
              <w:jc w:val="center"/>
              <w:rPr>
                <w:sz w:val="20"/>
                <w:szCs w:val="20"/>
                <w:lang w:eastAsia="ja-JP"/>
              </w:rPr>
            </w:pPr>
            <w:r w:rsidRPr="00A52AB8">
              <w:rPr>
                <w:sz w:val="20"/>
                <w:szCs w:val="20"/>
                <w:lang w:eastAsia="ja-JP"/>
              </w:rPr>
              <w:t>800 000</w:t>
            </w:r>
          </w:p>
        </w:tc>
        <w:tc>
          <w:tcPr>
            <w:tcW w:w="574" w:type="pct"/>
            <w:vAlign w:val="center"/>
          </w:tcPr>
          <w:p w14:paraId="47BDEB5B" w14:textId="77777777" w:rsidR="0031349F" w:rsidRPr="00A52AB8" w:rsidRDefault="0031349F" w:rsidP="0031349F">
            <w:pPr>
              <w:spacing w:after="0" w:line="240" w:lineRule="auto"/>
              <w:jc w:val="center"/>
              <w:rPr>
                <w:sz w:val="20"/>
                <w:szCs w:val="20"/>
                <w:lang w:eastAsia="ja-JP"/>
              </w:rPr>
            </w:pPr>
            <w:r w:rsidRPr="00A52AB8">
              <w:rPr>
                <w:sz w:val="20"/>
                <w:szCs w:val="20"/>
                <w:lang w:eastAsia="ja-JP"/>
              </w:rPr>
              <w:t>480 000</w:t>
            </w:r>
          </w:p>
        </w:tc>
        <w:tc>
          <w:tcPr>
            <w:tcW w:w="672" w:type="pct"/>
          </w:tcPr>
          <w:p w14:paraId="5BFAE7CF" w14:textId="77777777" w:rsidR="0031349F" w:rsidRPr="00A52AB8" w:rsidRDefault="0031349F" w:rsidP="0031349F">
            <w:pPr>
              <w:spacing w:after="0" w:line="240" w:lineRule="auto"/>
              <w:jc w:val="center"/>
              <w:rPr>
                <w:sz w:val="20"/>
                <w:szCs w:val="20"/>
                <w:lang w:eastAsia="ja-JP"/>
              </w:rPr>
            </w:pPr>
            <w:r w:rsidRPr="00A52AB8">
              <w:rPr>
                <w:sz w:val="20"/>
                <w:szCs w:val="20"/>
                <w:lang w:eastAsia="ja-JP"/>
              </w:rPr>
              <w:t>1 600 000</w:t>
            </w:r>
          </w:p>
        </w:tc>
      </w:tr>
    </w:tbl>
    <w:p w14:paraId="30D70755" w14:textId="756821A3" w:rsidR="007334B0" w:rsidRPr="00A52AB8" w:rsidRDefault="00DE047B" w:rsidP="003819BE">
      <w:pPr>
        <w:spacing w:before="240"/>
        <w:rPr>
          <w:color w:val="000000" w:themeColor="text1"/>
        </w:rPr>
      </w:pPr>
      <w:r w:rsidRPr="00496A4D">
        <w:rPr>
          <w:lang w:eastAsia="ja-JP"/>
        </w:rPr>
        <w:fldChar w:fldCharType="begin"/>
      </w:r>
      <w:r w:rsidRPr="00A52AB8">
        <w:rPr>
          <w:lang w:eastAsia="ja-JP"/>
        </w:rPr>
        <w:instrText xml:space="preserve"> REF _Ref43982415 \h </w:instrText>
      </w:r>
      <w:r w:rsidR="00CA5401" w:rsidRPr="00A52AB8">
        <w:rPr>
          <w:lang w:eastAsia="ja-JP"/>
        </w:rPr>
        <w:instrText xml:space="preserve"> \* MERGEFORMAT </w:instrText>
      </w:r>
      <w:r w:rsidRPr="00496A4D">
        <w:rPr>
          <w:lang w:eastAsia="ja-JP"/>
        </w:rPr>
      </w:r>
      <w:r w:rsidRPr="00496A4D">
        <w:rPr>
          <w:lang w:eastAsia="ja-JP"/>
        </w:rPr>
        <w:fldChar w:fldCharType="separate"/>
      </w:r>
      <w:r w:rsidR="00507A67" w:rsidRPr="00A52AB8">
        <w:t>Table A-</w:t>
      </w:r>
      <w:r w:rsidR="00507A67">
        <w:t>7</w:t>
      </w:r>
      <w:r w:rsidRPr="00496A4D">
        <w:rPr>
          <w:lang w:eastAsia="ja-JP"/>
        </w:rPr>
        <w:fldChar w:fldCharType="end"/>
      </w:r>
      <w:r w:rsidRPr="00A52AB8">
        <w:rPr>
          <w:lang w:eastAsia="ja-JP"/>
        </w:rPr>
        <w:t xml:space="preserve"> </w:t>
      </w:r>
      <w:r w:rsidR="007334B0" w:rsidRPr="00A52AB8">
        <w:rPr>
          <w:lang w:eastAsia="ja-JP"/>
        </w:rPr>
        <w:t>specifies the general video bitstream level limits</w:t>
      </w:r>
      <w:r w:rsidR="007334B0" w:rsidRPr="00A52AB8">
        <w:rPr>
          <w:color w:val="000000" w:themeColor="text1"/>
        </w:rPr>
        <w:t>.</w:t>
      </w:r>
    </w:p>
    <w:p w14:paraId="16E2C42A" w14:textId="77777777" w:rsidR="0050235C" w:rsidRPr="00A52AB8" w:rsidRDefault="001666D9" w:rsidP="001666D9">
      <w:r w:rsidRPr="00A52AB8">
        <w:t xml:space="preserve">For </w:t>
      </w:r>
      <w:r w:rsidR="00A659D7" w:rsidRPr="00A52AB8">
        <w:t xml:space="preserve">example, when </w:t>
      </w:r>
      <w:r w:rsidRPr="00A52AB8">
        <w:t xml:space="preserve">ptl_profile_codec_group_idc </w:t>
      </w:r>
      <w:r w:rsidR="00A659D7" w:rsidRPr="00A52AB8">
        <w:t xml:space="preserve">is </w:t>
      </w:r>
      <w:r w:rsidRPr="00A52AB8">
        <w:t xml:space="preserve">equal </w:t>
      </w:r>
      <w:r w:rsidR="00A659D7" w:rsidRPr="00A52AB8">
        <w:t xml:space="preserve">to </w:t>
      </w:r>
      <w:r w:rsidRPr="00A52AB8">
        <w:t>0</w:t>
      </w:r>
      <w:r w:rsidR="00A659D7" w:rsidRPr="00A52AB8">
        <w:t>,</w:t>
      </w:r>
      <w:r w:rsidRPr="00A52AB8">
        <w:t xml:space="preserve"> </w:t>
      </w:r>
      <w:r w:rsidR="00A659D7" w:rsidRPr="00A52AB8">
        <w:t xml:space="preserve">the </w:t>
      </w:r>
      <w:r w:rsidRPr="00A52AB8">
        <w:t xml:space="preserve">maximum sample rate of a single video sub-bitstream is specified in </w:t>
      </w:r>
      <w:r w:rsidRPr="00A52AB8">
        <w:rPr>
          <w:color w:val="000000" w:themeColor="text1"/>
        </w:rPr>
        <w:t>ISO/</w:t>
      </w:r>
      <w:r w:rsidR="0034446B" w:rsidRPr="00A52AB8">
        <w:rPr>
          <w:color w:val="000000" w:themeColor="text1"/>
        </w:rPr>
        <w:t>IEC </w:t>
      </w:r>
      <w:r w:rsidRPr="00A52AB8">
        <w:rPr>
          <w:color w:val="000000" w:themeColor="text1"/>
        </w:rPr>
        <w:t>14496-10</w:t>
      </w:r>
      <w:r w:rsidR="008F4660" w:rsidRPr="00A52AB8">
        <w:rPr>
          <w:color w:val="000000" w:themeColor="text1"/>
        </w:rPr>
        <w:t>:201</w:t>
      </w:r>
      <w:r w:rsidR="0034446B" w:rsidRPr="00A52AB8">
        <w:rPr>
          <w:color w:val="000000" w:themeColor="text1"/>
        </w:rPr>
        <w:t>4:Table A-1 as MaxMBPS * MaxFS</w:t>
      </w:r>
      <w:r w:rsidR="003330DD" w:rsidRPr="00A52AB8">
        <w:t>.</w:t>
      </w:r>
      <w:r w:rsidRPr="00A52AB8">
        <w:rPr>
          <w:lang w:eastAsia="ja-JP"/>
        </w:rPr>
        <w:t xml:space="preserve"> </w:t>
      </w:r>
      <w:r w:rsidR="0041195E" w:rsidRPr="00A52AB8">
        <w:t xml:space="preserve">When </w:t>
      </w:r>
      <w:r w:rsidRPr="00A52AB8">
        <w:t xml:space="preserve">ptl_profile_codec_group_idc </w:t>
      </w:r>
      <w:r w:rsidR="0041195E" w:rsidRPr="00A52AB8">
        <w:t xml:space="preserve">is </w:t>
      </w:r>
      <w:r w:rsidRPr="00A52AB8">
        <w:t xml:space="preserve">equal </w:t>
      </w:r>
      <w:r w:rsidR="0041195E" w:rsidRPr="00A52AB8">
        <w:t xml:space="preserve">to </w:t>
      </w:r>
      <w:r w:rsidRPr="00A52AB8">
        <w:t xml:space="preserve">1 </w:t>
      </w:r>
      <w:r w:rsidR="0041195E" w:rsidRPr="00A52AB8">
        <w:t xml:space="preserve">or equal to </w:t>
      </w:r>
      <w:r w:rsidRPr="00A52AB8">
        <w:t>2</w:t>
      </w:r>
      <w:r w:rsidR="0041195E" w:rsidRPr="00A52AB8">
        <w:t>, the</w:t>
      </w:r>
      <w:r w:rsidRPr="00A52AB8">
        <w:t xml:space="preserve"> maximum sample rate of a single video sub-bitstream is specified </w:t>
      </w:r>
      <w:r w:rsidR="008F4660" w:rsidRPr="00A52AB8">
        <w:t xml:space="preserve">as </w:t>
      </w:r>
      <w:r w:rsidR="003B4C8F" w:rsidRPr="00A52AB8">
        <w:t xml:space="preserve">MaxLumaSr </w:t>
      </w:r>
      <w:r w:rsidRPr="00A52AB8">
        <w:t xml:space="preserve">in </w:t>
      </w:r>
      <w:r w:rsidRPr="00A52AB8">
        <w:rPr>
          <w:color w:val="000000" w:themeColor="text1"/>
        </w:rPr>
        <w:t>ISO/</w:t>
      </w:r>
      <w:r w:rsidR="0034446B" w:rsidRPr="00A52AB8">
        <w:rPr>
          <w:color w:val="000000" w:themeColor="text1"/>
        </w:rPr>
        <w:t>IEC </w:t>
      </w:r>
      <w:r w:rsidRPr="00A52AB8">
        <w:rPr>
          <w:color w:val="000000" w:themeColor="text1"/>
        </w:rPr>
        <w:t>23008-2</w:t>
      </w:r>
      <w:r w:rsidR="00C50A5E" w:rsidRPr="00A52AB8">
        <w:rPr>
          <w:color w:val="000000" w:themeColor="text1"/>
        </w:rPr>
        <w:t>:20</w:t>
      </w:r>
      <w:r w:rsidR="0034446B" w:rsidRPr="00A52AB8">
        <w:rPr>
          <w:color w:val="000000" w:themeColor="text1"/>
        </w:rPr>
        <w:t>20</w:t>
      </w:r>
      <w:r w:rsidR="00C50A5E" w:rsidRPr="00A52AB8">
        <w:rPr>
          <w:color w:val="000000" w:themeColor="text1"/>
        </w:rPr>
        <w:t>:</w:t>
      </w:r>
      <w:r w:rsidR="0034446B" w:rsidRPr="00A52AB8">
        <w:t>Table </w:t>
      </w:r>
      <w:r w:rsidR="00C50A5E" w:rsidRPr="00A52AB8">
        <w:t>A</w:t>
      </w:r>
      <w:r w:rsidR="003B4C8F" w:rsidRPr="00A52AB8">
        <w:t>-7</w:t>
      </w:r>
      <w:r w:rsidRPr="00A52AB8">
        <w:rPr>
          <w:color w:val="000000" w:themeColor="text1"/>
        </w:rPr>
        <w:t xml:space="preserve">. </w:t>
      </w:r>
      <w:r w:rsidR="0041195E" w:rsidRPr="00A52AB8">
        <w:t xml:space="preserve">When </w:t>
      </w:r>
      <w:r w:rsidRPr="00A52AB8">
        <w:t xml:space="preserve">ptl_profile_codec_group_idc </w:t>
      </w:r>
      <w:r w:rsidR="0041195E" w:rsidRPr="00A52AB8">
        <w:t xml:space="preserve">is </w:t>
      </w:r>
      <w:r w:rsidRPr="00A52AB8">
        <w:t xml:space="preserve">equal </w:t>
      </w:r>
      <w:r w:rsidR="0041195E" w:rsidRPr="00A52AB8">
        <w:t xml:space="preserve">to </w:t>
      </w:r>
      <w:r w:rsidR="0034446B" w:rsidRPr="00A52AB8">
        <w:t>127</w:t>
      </w:r>
      <w:r w:rsidR="0041195E" w:rsidRPr="00A52AB8">
        <w:t xml:space="preserve">, the definition of the </w:t>
      </w:r>
      <w:r w:rsidRPr="00A52AB8">
        <w:t>maximum sample rate of a single video sub-bitstream is outside the scope of this document.</w:t>
      </w:r>
    </w:p>
    <w:p w14:paraId="47F9729C" w14:textId="67B7A568" w:rsidR="004172B7" w:rsidRPr="00A52AB8" w:rsidRDefault="004172B7" w:rsidP="004172B7">
      <w:r w:rsidRPr="00A52AB8">
        <w:rPr>
          <w:color w:val="000000" w:themeColor="text1"/>
        </w:rPr>
        <w:t>Let the variable t0 to denote t</w:t>
      </w:r>
      <w:r w:rsidRPr="00A52AB8">
        <w:t>he time instance</w:t>
      </w:r>
      <w:r w:rsidR="004161A6" w:rsidRPr="00A52AB8">
        <w:t xml:space="preserve"> in milliseconds</w:t>
      </w:r>
      <w:r w:rsidRPr="00A52AB8">
        <w:t xml:space="preserve"> when the first bit across all V3C video sub-bitstreams is encountered.</w:t>
      </w:r>
    </w:p>
    <w:p w14:paraId="0B516EDC" w14:textId="069E4577" w:rsidR="00707684" w:rsidRPr="00A52AB8" w:rsidRDefault="00707684" w:rsidP="00707684">
      <w:pPr>
        <w:tabs>
          <w:tab w:val="left" w:pos="6210"/>
        </w:tabs>
        <w:rPr>
          <w:color w:val="000000" w:themeColor="text1"/>
        </w:rPr>
      </w:pPr>
      <w:r w:rsidRPr="00A52AB8">
        <w:rPr>
          <w:color w:val="000000" w:themeColor="text1"/>
        </w:rPr>
        <w:t>For any time t1 greater than or equal to t0, the bit rate for each individual V3C video sub-bitstream, V3CVideoBitRate, is</w:t>
      </w:r>
      <w:r w:rsidRPr="00A52AB8">
        <w:rPr>
          <w:lang w:eastAsia="ja-JP"/>
        </w:rPr>
        <w:t xml:space="preserve"> defined and </w:t>
      </w:r>
      <w:r w:rsidRPr="00A52AB8">
        <w:rPr>
          <w:color w:val="000000" w:themeColor="text1"/>
        </w:rPr>
        <w:t xml:space="preserve">set equal to the total number of decoded bits for the individual V3C video sub-bitstream for </w:t>
      </w:r>
      <w:r w:rsidRPr="00A52AB8">
        <w:t>all values of t, with t1 &lt;= t &lt; t1 + 1 000</w:t>
      </w:r>
      <w:r w:rsidRPr="00A52AB8">
        <w:rPr>
          <w:color w:val="000000" w:themeColor="text1"/>
        </w:rPr>
        <w:t>.</w:t>
      </w:r>
    </w:p>
    <w:p w14:paraId="00DB96B7" w14:textId="427B6E09" w:rsidR="00707684" w:rsidRPr="00A52AB8" w:rsidRDefault="00707684" w:rsidP="00707684">
      <w:pPr>
        <w:rPr>
          <w:lang w:eastAsia="ja-JP"/>
        </w:rPr>
      </w:pPr>
      <w:r w:rsidRPr="00A52AB8">
        <w:rPr>
          <w:lang w:eastAsia="ja-JP"/>
        </w:rPr>
        <w:t xml:space="preserve">It is a requirement of V3C bitstream conformance that </w:t>
      </w:r>
      <w:r w:rsidRPr="00A52AB8">
        <w:rPr>
          <w:color w:val="000000" w:themeColor="text1"/>
        </w:rPr>
        <w:t xml:space="preserve">V3CVideoBitrate is less than or equal to </w:t>
      </w:r>
      <w:r w:rsidRPr="00A52AB8">
        <w:rPr>
          <w:lang w:eastAsia="ja-JP"/>
        </w:rPr>
        <w:t xml:space="preserve">MaxBitRatePerStream, as specified in </w:t>
      </w:r>
      <w:r w:rsidRPr="00496A4D">
        <w:rPr>
          <w:lang w:eastAsia="ja-JP"/>
        </w:rPr>
        <w:fldChar w:fldCharType="begin"/>
      </w:r>
      <w:r w:rsidRPr="00A52AB8">
        <w:rPr>
          <w:lang w:eastAsia="ja-JP"/>
        </w:rPr>
        <w:instrText xml:space="preserve"> REF _Ref43982415 \h  </w:instrText>
      </w:r>
      <w:r w:rsidR="008F69D5" w:rsidRPr="00A52AB8">
        <w:rPr>
          <w:lang w:eastAsia="ja-JP"/>
        </w:rPr>
        <w:instrText xml:space="preserve"> \* MERGEFORMAT </w:instrText>
      </w:r>
      <w:r w:rsidRPr="00496A4D">
        <w:rPr>
          <w:lang w:eastAsia="ja-JP"/>
        </w:rPr>
      </w:r>
      <w:r w:rsidRPr="00496A4D">
        <w:rPr>
          <w:lang w:eastAsia="ja-JP"/>
        </w:rPr>
        <w:fldChar w:fldCharType="separate"/>
      </w:r>
      <w:r w:rsidR="00507A67" w:rsidRPr="00A52AB8">
        <w:t>Table A-</w:t>
      </w:r>
      <w:r w:rsidR="00507A67">
        <w:t>7</w:t>
      </w:r>
      <w:r w:rsidRPr="00496A4D">
        <w:rPr>
          <w:lang w:eastAsia="ja-JP"/>
        </w:rPr>
        <w:fldChar w:fldCharType="end"/>
      </w:r>
      <w:r w:rsidRPr="00A52AB8">
        <w:rPr>
          <w:lang w:eastAsia="ja-JP"/>
        </w:rPr>
        <w:t>, for all individual V3C video sub-bitstreams</w:t>
      </w:r>
      <w:r w:rsidRPr="00A52AB8">
        <w:t>.</w:t>
      </w:r>
    </w:p>
    <w:p w14:paraId="0B2BDD95" w14:textId="746970EA" w:rsidR="005627AD" w:rsidRPr="00A52AB8" w:rsidRDefault="005627AD" w:rsidP="00D451D4">
      <w:pPr>
        <w:tabs>
          <w:tab w:val="left" w:pos="6210"/>
        </w:tabs>
      </w:pPr>
      <w:r w:rsidRPr="00A52AB8">
        <w:rPr>
          <w:color w:val="000000" w:themeColor="text1"/>
        </w:rPr>
        <w:t xml:space="preserve">For any time t1 greater than or equal to t0, the </w:t>
      </w:r>
      <w:r w:rsidRPr="00A52AB8">
        <w:rPr>
          <w:lang w:eastAsia="ja-JP"/>
        </w:rPr>
        <w:t>aggregate sample rate, AggregateLumaSr, and</w:t>
      </w:r>
      <w:r w:rsidRPr="00A52AB8">
        <w:rPr>
          <w:color w:val="000000" w:themeColor="text1"/>
        </w:rPr>
        <w:t xml:space="preserve"> t</w:t>
      </w:r>
      <w:r w:rsidRPr="00A52AB8">
        <w:rPr>
          <w:lang w:eastAsia="ja-JP"/>
        </w:rPr>
        <w:t xml:space="preserve">he aggregate bit rate, AggregateBitRate, are defined and </w:t>
      </w:r>
      <w:r w:rsidRPr="00A52AB8">
        <w:rPr>
          <w:color w:val="000000" w:themeColor="text1"/>
        </w:rPr>
        <w:t xml:space="preserve">set equal to the total number of decoded luma samples and the total number of decoded bits, respectively, across all video components </w:t>
      </w:r>
      <w:r w:rsidR="00594944" w:rsidRPr="00A52AB8">
        <w:rPr>
          <w:color w:val="000000" w:themeColor="text1"/>
        </w:rPr>
        <w:t xml:space="preserve">for </w:t>
      </w:r>
      <w:r w:rsidR="00C35E8F" w:rsidRPr="00A52AB8">
        <w:t>all values of t, with t1 </w:t>
      </w:r>
      <w:r w:rsidR="00A234FD" w:rsidRPr="00A52AB8">
        <w:t>&lt;=</w:t>
      </w:r>
      <w:r w:rsidR="00D47707" w:rsidRPr="00A52AB8">
        <w:t> </w:t>
      </w:r>
      <w:r w:rsidR="00C35E8F" w:rsidRPr="00A52AB8">
        <w:t>t &lt; t1 + 1 000</w:t>
      </w:r>
      <w:r w:rsidR="004161A6" w:rsidRPr="00A52AB8">
        <w:rPr>
          <w:color w:val="000000" w:themeColor="text1"/>
        </w:rPr>
        <w:t>.</w:t>
      </w:r>
    </w:p>
    <w:p w14:paraId="62BC8899" w14:textId="16A7452A" w:rsidR="00B423E0" w:rsidRPr="00A52AB8" w:rsidRDefault="00B423E0" w:rsidP="001666D9">
      <w:pPr>
        <w:rPr>
          <w:lang w:eastAsia="ja-JP"/>
        </w:rPr>
      </w:pPr>
      <w:r w:rsidRPr="00A52AB8">
        <w:rPr>
          <w:lang w:eastAsia="ja-JP"/>
        </w:rPr>
        <w:t xml:space="preserve">It is a requirement of </w:t>
      </w:r>
      <w:r w:rsidR="00B307DF" w:rsidRPr="00A52AB8">
        <w:rPr>
          <w:lang w:eastAsia="ja-JP"/>
        </w:rPr>
        <w:t xml:space="preserve">V3C </w:t>
      </w:r>
      <w:r w:rsidRPr="00A52AB8">
        <w:rPr>
          <w:lang w:eastAsia="ja-JP"/>
        </w:rPr>
        <w:t xml:space="preserve">bitstream conformance that </w:t>
      </w:r>
      <w:r w:rsidRPr="00A52AB8">
        <w:rPr>
          <w:color w:val="000000" w:themeColor="text1"/>
        </w:rPr>
        <w:t>AggregateLumaSr and Aggregate</w:t>
      </w:r>
      <w:r w:rsidR="005249C6" w:rsidRPr="00A52AB8">
        <w:rPr>
          <w:color w:val="000000" w:themeColor="text1"/>
        </w:rPr>
        <w:t>BitRate</w:t>
      </w:r>
      <w:r w:rsidRPr="00A52AB8">
        <w:rPr>
          <w:color w:val="000000" w:themeColor="text1"/>
        </w:rPr>
        <w:t xml:space="preserve"> are less than or equal to </w:t>
      </w:r>
      <w:r w:rsidR="007445DC" w:rsidRPr="00A52AB8">
        <w:rPr>
          <w:lang w:eastAsia="ja-JP"/>
        </w:rPr>
        <w:t>MaxAggregateLumaSr</w:t>
      </w:r>
      <w:r w:rsidR="005249C6" w:rsidRPr="00A52AB8">
        <w:rPr>
          <w:lang w:eastAsia="ja-JP"/>
        </w:rPr>
        <w:t xml:space="preserve"> and MaxAggregateBitRate, respectively</w:t>
      </w:r>
      <w:r w:rsidR="007445DC" w:rsidRPr="00A52AB8">
        <w:rPr>
          <w:lang w:eastAsia="ja-JP"/>
        </w:rPr>
        <w:t xml:space="preserve">, as specified in </w:t>
      </w:r>
      <w:r w:rsidR="007445DC" w:rsidRPr="00496A4D">
        <w:rPr>
          <w:lang w:eastAsia="ja-JP"/>
        </w:rPr>
        <w:fldChar w:fldCharType="begin"/>
      </w:r>
      <w:r w:rsidR="007445DC" w:rsidRPr="00A52AB8">
        <w:rPr>
          <w:lang w:eastAsia="ja-JP"/>
        </w:rPr>
        <w:instrText xml:space="preserve"> REF _Ref43982415 \h  \* MERGEFORMAT </w:instrText>
      </w:r>
      <w:r w:rsidR="007445DC" w:rsidRPr="00496A4D">
        <w:rPr>
          <w:lang w:eastAsia="ja-JP"/>
        </w:rPr>
      </w:r>
      <w:r w:rsidR="007445DC" w:rsidRPr="00496A4D">
        <w:rPr>
          <w:lang w:eastAsia="ja-JP"/>
        </w:rPr>
        <w:fldChar w:fldCharType="separate"/>
      </w:r>
      <w:r w:rsidR="00507A67" w:rsidRPr="00A52AB8">
        <w:t>Table A-</w:t>
      </w:r>
      <w:r w:rsidR="00507A67">
        <w:t>7</w:t>
      </w:r>
      <w:r w:rsidR="007445DC" w:rsidRPr="00496A4D">
        <w:rPr>
          <w:lang w:eastAsia="ja-JP"/>
        </w:rPr>
        <w:fldChar w:fldCharType="end"/>
      </w:r>
      <w:r w:rsidRPr="00A52AB8">
        <w:t>.</w:t>
      </w:r>
    </w:p>
    <w:p w14:paraId="5F01DA00" w14:textId="1B386960" w:rsidR="001666D9" w:rsidRPr="00A52AB8" w:rsidRDefault="00C13C01">
      <w:r w:rsidRPr="00A52AB8">
        <w:rPr>
          <w:lang w:eastAsia="ja-JP"/>
        </w:rPr>
        <w:t xml:space="preserve">For each video sub-bistream, the </w:t>
      </w:r>
      <w:r w:rsidR="001666D9" w:rsidRPr="00A52AB8">
        <w:rPr>
          <w:lang w:eastAsia="ja-JP"/>
        </w:rPr>
        <w:t>coded picture buffer size</w:t>
      </w:r>
      <w:r w:rsidRPr="00A52AB8">
        <w:rPr>
          <w:lang w:eastAsia="ja-JP"/>
        </w:rPr>
        <w:t xml:space="preserve"> </w:t>
      </w:r>
      <w:r w:rsidR="001666D9" w:rsidRPr="00A52AB8">
        <w:rPr>
          <w:lang w:eastAsia="ja-JP"/>
        </w:rPr>
        <w:t xml:space="preserve">shall be less than or equal </w:t>
      </w:r>
      <w:r w:rsidRPr="00A52AB8">
        <w:rPr>
          <w:lang w:eastAsia="ja-JP"/>
        </w:rPr>
        <w:t>to the maximum coded picture buffer size, as specified by the corresponding video codec specification. For example, w</w:t>
      </w:r>
      <w:r w:rsidRPr="00A52AB8">
        <w:t xml:space="preserve">hen </w:t>
      </w:r>
      <w:r w:rsidR="001666D9" w:rsidRPr="00A52AB8">
        <w:t xml:space="preserve">ptl_profile_codec_group_idc </w:t>
      </w:r>
      <w:r w:rsidRPr="00A52AB8">
        <w:t xml:space="preserve">is </w:t>
      </w:r>
      <w:r w:rsidR="001666D9" w:rsidRPr="00A52AB8">
        <w:t xml:space="preserve">equal </w:t>
      </w:r>
      <w:r w:rsidRPr="00A52AB8">
        <w:t xml:space="preserve">to </w:t>
      </w:r>
      <w:r w:rsidR="001666D9" w:rsidRPr="00A52AB8">
        <w:t>0</w:t>
      </w:r>
      <w:r w:rsidRPr="00A52AB8">
        <w:t>,</w:t>
      </w:r>
      <w:r w:rsidR="001666D9" w:rsidRPr="00A52AB8">
        <w:t xml:space="preserve"> </w:t>
      </w:r>
      <w:r w:rsidRPr="00A52AB8">
        <w:t xml:space="preserve">the maximum coded picture buffer size is identified by a variable </w:t>
      </w:r>
      <w:r w:rsidR="001666D9" w:rsidRPr="00A52AB8">
        <w:rPr>
          <w:lang w:eastAsia="ja-JP"/>
        </w:rPr>
        <w:t>MaxCPB</w:t>
      </w:r>
      <w:r w:rsidR="001666D9" w:rsidRPr="00A52AB8">
        <w:t xml:space="preserve"> specified in </w:t>
      </w:r>
      <w:r w:rsidR="001666D9" w:rsidRPr="00A52AB8">
        <w:rPr>
          <w:color w:val="000000" w:themeColor="text1"/>
        </w:rPr>
        <w:t>ISO/</w:t>
      </w:r>
      <w:r w:rsidRPr="00A52AB8">
        <w:rPr>
          <w:color w:val="000000" w:themeColor="text1"/>
        </w:rPr>
        <w:t>IEC </w:t>
      </w:r>
      <w:r w:rsidR="001666D9" w:rsidRPr="00A52AB8">
        <w:rPr>
          <w:color w:val="000000" w:themeColor="text1"/>
        </w:rPr>
        <w:t>14496-10</w:t>
      </w:r>
      <w:r w:rsidR="009C2590" w:rsidRPr="00A52AB8">
        <w:rPr>
          <w:color w:val="000000" w:themeColor="text1"/>
        </w:rPr>
        <w:t>:2014:</w:t>
      </w:r>
      <w:r w:rsidRPr="00A52AB8">
        <w:t>Table A-1</w:t>
      </w:r>
      <w:r w:rsidR="001666D9" w:rsidRPr="00A52AB8">
        <w:rPr>
          <w:color w:val="000000" w:themeColor="text1"/>
        </w:rPr>
        <w:t>.</w:t>
      </w:r>
      <w:r w:rsidR="001666D9" w:rsidRPr="00A52AB8">
        <w:rPr>
          <w:lang w:eastAsia="ja-JP"/>
        </w:rPr>
        <w:t xml:space="preserve"> </w:t>
      </w:r>
      <w:r w:rsidRPr="00A52AB8">
        <w:t xml:space="preserve">When </w:t>
      </w:r>
      <w:r w:rsidR="001666D9" w:rsidRPr="00A52AB8">
        <w:t xml:space="preserve">ptl_profile_codec_group_idc </w:t>
      </w:r>
      <w:r w:rsidRPr="00A52AB8">
        <w:t xml:space="preserve">is </w:t>
      </w:r>
      <w:r w:rsidR="001666D9" w:rsidRPr="00A52AB8">
        <w:t xml:space="preserve">equal </w:t>
      </w:r>
      <w:r w:rsidRPr="00A52AB8">
        <w:t xml:space="preserve">to </w:t>
      </w:r>
      <w:r w:rsidR="001666D9" w:rsidRPr="00A52AB8">
        <w:t xml:space="preserve">1 </w:t>
      </w:r>
      <w:r w:rsidRPr="00A52AB8">
        <w:t xml:space="preserve">or equal to </w:t>
      </w:r>
      <w:r w:rsidR="001666D9" w:rsidRPr="00A52AB8">
        <w:t>2</w:t>
      </w:r>
      <w:r w:rsidRPr="00A52AB8">
        <w:t>,</w:t>
      </w:r>
      <w:r w:rsidR="001666D9" w:rsidRPr="00A52AB8">
        <w:t xml:space="preserve"> </w:t>
      </w:r>
      <w:r w:rsidRPr="00A52AB8">
        <w:t xml:space="preserve">the maximum coded picture buffer size is also identified by a variable </w:t>
      </w:r>
      <w:r w:rsidR="001666D9" w:rsidRPr="00A52AB8">
        <w:rPr>
          <w:lang w:eastAsia="ja-JP"/>
        </w:rPr>
        <w:t xml:space="preserve">MaxCPB </w:t>
      </w:r>
      <w:r w:rsidR="001666D9" w:rsidRPr="00A52AB8">
        <w:t xml:space="preserve">specified in </w:t>
      </w:r>
      <w:r w:rsidR="001666D9" w:rsidRPr="00A52AB8">
        <w:rPr>
          <w:color w:val="000000" w:themeColor="text1"/>
        </w:rPr>
        <w:t>ISO/IEC</w:t>
      </w:r>
      <w:r w:rsidRPr="00A52AB8">
        <w:rPr>
          <w:color w:val="000000" w:themeColor="text1"/>
        </w:rPr>
        <w:t> </w:t>
      </w:r>
      <w:r w:rsidR="001666D9" w:rsidRPr="00A52AB8">
        <w:rPr>
          <w:color w:val="000000" w:themeColor="text1"/>
        </w:rPr>
        <w:t>23008-2</w:t>
      </w:r>
      <w:r w:rsidR="009C2590" w:rsidRPr="00A52AB8">
        <w:rPr>
          <w:color w:val="000000" w:themeColor="text1"/>
        </w:rPr>
        <w:t>:</w:t>
      </w:r>
      <w:r w:rsidR="0034446B" w:rsidRPr="00A52AB8">
        <w:rPr>
          <w:color w:val="000000" w:themeColor="text1"/>
        </w:rPr>
        <w:t>2020</w:t>
      </w:r>
      <w:r w:rsidR="009C2590" w:rsidRPr="00A52AB8">
        <w:rPr>
          <w:color w:val="000000" w:themeColor="text1"/>
        </w:rPr>
        <w:t>:</w:t>
      </w:r>
      <w:r w:rsidRPr="00A52AB8">
        <w:t>Annex </w:t>
      </w:r>
      <w:r w:rsidR="009C2590" w:rsidRPr="00A52AB8">
        <w:t>A</w:t>
      </w:r>
      <w:r w:rsidR="001666D9" w:rsidRPr="00A52AB8">
        <w:rPr>
          <w:color w:val="000000" w:themeColor="text1"/>
        </w:rPr>
        <w:t xml:space="preserve">. </w:t>
      </w:r>
      <w:r w:rsidRPr="00A52AB8">
        <w:t xml:space="preserve">When </w:t>
      </w:r>
      <w:r w:rsidR="001666D9" w:rsidRPr="00A52AB8">
        <w:t xml:space="preserve">ptl_profile_codec_group_idc </w:t>
      </w:r>
      <w:r w:rsidRPr="00A52AB8">
        <w:t xml:space="preserve">is </w:t>
      </w:r>
      <w:r w:rsidR="001666D9" w:rsidRPr="00A52AB8">
        <w:t>equal</w:t>
      </w:r>
      <w:r w:rsidR="00587178" w:rsidRPr="00A52AB8">
        <w:t xml:space="preserve"> to</w:t>
      </w:r>
      <w:r w:rsidR="001666D9" w:rsidRPr="00A52AB8">
        <w:t xml:space="preserve"> </w:t>
      </w:r>
      <w:r w:rsidR="00E04635" w:rsidRPr="00A52AB8">
        <w:t>127</w:t>
      </w:r>
      <w:r w:rsidRPr="00A52AB8">
        <w:t>,</w:t>
      </w:r>
      <w:r w:rsidR="001666D9" w:rsidRPr="00A52AB8">
        <w:t xml:space="preserve"> </w:t>
      </w:r>
      <w:r w:rsidRPr="00A52AB8">
        <w:t xml:space="preserve">the </w:t>
      </w:r>
      <w:r w:rsidR="00D30213" w:rsidRPr="00A52AB8">
        <w:t xml:space="preserve">derivation </w:t>
      </w:r>
      <w:r w:rsidRPr="00A52AB8">
        <w:t xml:space="preserve">of </w:t>
      </w:r>
      <w:r w:rsidR="00D30213" w:rsidRPr="00A52AB8">
        <w:t xml:space="preserve">the </w:t>
      </w:r>
      <w:r w:rsidRPr="00A52AB8">
        <w:rPr>
          <w:lang w:eastAsia="ja-JP"/>
        </w:rPr>
        <w:t>maximum coded picture buffer size</w:t>
      </w:r>
      <w:r w:rsidR="001666D9" w:rsidRPr="00A52AB8">
        <w:t xml:space="preserve"> is outside the scope of </w:t>
      </w:r>
      <w:r w:rsidR="00B455AC" w:rsidRPr="00A52AB8">
        <w:t>this document</w:t>
      </w:r>
      <w:r w:rsidR="001666D9" w:rsidRPr="00A52AB8">
        <w:t>.</w:t>
      </w:r>
    </w:p>
    <w:p w14:paraId="65152371" w14:textId="77777777" w:rsidR="003D29D5" w:rsidRPr="00A52AB8" w:rsidRDefault="003D29D5" w:rsidP="003D29D5">
      <w:pPr>
        <w:rPr>
          <w:lang w:eastAsia="ja-JP"/>
        </w:rPr>
      </w:pPr>
      <w:r w:rsidRPr="00A52AB8">
        <w:rPr>
          <w:lang w:eastAsia="ja-JP"/>
        </w:rPr>
        <w:t xml:space="preserve">The following </w:t>
      </w:r>
      <w:r w:rsidR="004341C4" w:rsidRPr="00A52AB8">
        <w:rPr>
          <w:lang w:eastAsia="ja-JP"/>
        </w:rPr>
        <w:t xml:space="preserve">variables are </w:t>
      </w:r>
      <w:r w:rsidRPr="00A52AB8">
        <w:rPr>
          <w:lang w:eastAsia="ja-JP"/>
        </w:rPr>
        <w:t>specified:</w:t>
      </w:r>
    </w:p>
    <w:p w14:paraId="76FD8009" w14:textId="77777777" w:rsidR="003D29D5" w:rsidRPr="00A52AB8" w:rsidRDefault="003D29D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Let the variable fR be set equal to 1 </w:t>
      </w:r>
      <w:r w:rsidRPr="00A52AB8">
        <w:rPr>
          <w:color w:val="000000" w:themeColor="text1"/>
        </w:rPr>
        <w:sym w:font="Symbol" w:char="F0B8"/>
      </w:r>
      <w:r w:rsidRPr="00A52AB8">
        <w:rPr>
          <w:color w:val="000000" w:themeColor="text1"/>
        </w:rPr>
        <w:t> </w:t>
      </w:r>
      <w:r w:rsidR="0035711B" w:rsidRPr="00A52AB8">
        <w:rPr>
          <w:color w:val="000000" w:themeColor="text1"/>
        </w:rPr>
        <w:t>1 0</w:t>
      </w:r>
      <w:r w:rsidRPr="00A52AB8">
        <w:rPr>
          <w:color w:val="000000" w:themeColor="text1"/>
        </w:rPr>
        <w:t>00.</w:t>
      </w:r>
    </w:p>
    <w:p w14:paraId="7625DF3D" w14:textId="77777777" w:rsidR="00073EC9" w:rsidRPr="00A52AB8" w:rsidRDefault="0058717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Let the variable Max</w:t>
      </w:r>
      <w:r w:rsidR="0033367D" w:rsidRPr="00A52AB8">
        <w:rPr>
          <w:color w:val="000000" w:themeColor="text1"/>
        </w:rPr>
        <w:t>Patch</w:t>
      </w:r>
      <w:r w:rsidRPr="00A52AB8">
        <w:rPr>
          <w:color w:val="000000" w:themeColor="text1"/>
        </w:rPr>
        <w:t>Size, which represents the maximum total number of b</w:t>
      </w:r>
      <w:r w:rsidR="0033367D" w:rsidRPr="00A52AB8">
        <w:rPr>
          <w:color w:val="000000" w:themeColor="text1"/>
        </w:rPr>
        <w:t>y</w:t>
      </w:r>
      <w:r w:rsidRPr="00A52AB8">
        <w:rPr>
          <w:color w:val="000000" w:themeColor="text1"/>
        </w:rPr>
        <w:t>t</w:t>
      </w:r>
      <w:r w:rsidR="0033367D" w:rsidRPr="00A52AB8">
        <w:rPr>
          <w:color w:val="000000" w:themeColor="text1"/>
        </w:rPr>
        <w:t>e</w:t>
      </w:r>
      <w:r w:rsidRPr="00A52AB8">
        <w:rPr>
          <w:color w:val="000000" w:themeColor="text1"/>
        </w:rPr>
        <w:t xml:space="preserve">s that is expected to be associated with all decoded elements in a patch, be equal to </w:t>
      </w:r>
      <w:r w:rsidR="0033367D" w:rsidRPr="00A52AB8">
        <w:rPr>
          <w:color w:val="000000" w:themeColor="text1"/>
        </w:rPr>
        <w:t>40</w:t>
      </w:r>
      <w:r w:rsidRPr="00A52AB8">
        <w:rPr>
          <w:color w:val="000000" w:themeColor="text1"/>
        </w:rPr>
        <w:t xml:space="preserve"> b</w:t>
      </w:r>
      <w:r w:rsidR="0033367D" w:rsidRPr="00A52AB8">
        <w:rPr>
          <w:color w:val="000000" w:themeColor="text1"/>
        </w:rPr>
        <w:t>y</w:t>
      </w:r>
      <w:r w:rsidRPr="00A52AB8">
        <w:rPr>
          <w:color w:val="000000" w:themeColor="text1"/>
        </w:rPr>
        <w:t>t</w:t>
      </w:r>
      <w:r w:rsidR="0033367D" w:rsidRPr="00A52AB8">
        <w:rPr>
          <w:color w:val="000000" w:themeColor="text1"/>
        </w:rPr>
        <w:t>e</w:t>
      </w:r>
      <w:r w:rsidRPr="00A52AB8">
        <w:rPr>
          <w:color w:val="000000" w:themeColor="text1"/>
        </w:rPr>
        <w:t>s</w:t>
      </w:r>
      <w:r w:rsidR="00B4747C" w:rsidRPr="00A52AB8">
        <w:rPr>
          <w:color w:val="000000" w:themeColor="text1"/>
        </w:rPr>
        <w:t>.</w:t>
      </w:r>
    </w:p>
    <w:p w14:paraId="25F21EAC" w14:textId="457AD2EF" w:rsidR="00073EC9" w:rsidRPr="00A52AB8" w:rsidRDefault="00073EC9"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Let the variable aR</w:t>
      </w:r>
      <w:r w:rsidR="00D47707" w:rsidRPr="00A52AB8">
        <w:rPr>
          <w:color w:val="000000" w:themeColor="text1"/>
        </w:rPr>
        <w:t> = </w:t>
      </w:r>
      <w:r w:rsidR="004271AD" w:rsidRPr="00A52AB8">
        <w:rPr>
          <w:lang w:eastAsia="ja-JP"/>
        </w:rPr>
        <w:t>AspsFrameSize </w:t>
      </w:r>
      <w:r w:rsidRPr="00A52AB8">
        <w:rPr>
          <w:color w:val="000000" w:themeColor="text1"/>
        </w:rPr>
        <w:sym w:font="Symbol" w:char="F0B8"/>
      </w:r>
      <w:r w:rsidRPr="00A52AB8">
        <w:rPr>
          <w:color w:val="000000" w:themeColor="text1"/>
        </w:rPr>
        <w:t> MaxAggregateLumaSr.</w:t>
      </w:r>
    </w:p>
    <w:p w14:paraId="548F7B88" w14:textId="7C4D8A39" w:rsidR="00587178" w:rsidRPr="00A52AB8" w:rsidRDefault="0058717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Let access unit n be the n-th access unit in decoding order, with the first access unit being access unit</w:t>
      </w:r>
      <w:r w:rsidR="00E04635" w:rsidRPr="00A52AB8">
        <w:rPr>
          <w:color w:val="000000" w:themeColor="text1"/>
        </w:rPr>
        <w:t> </w:t>
      </w:r>
      <w:r w:rsidRPr="00A52AB8">
        <w:rPr>
          <w:color w:val="000000" w:themeColor="text1"/>
        </w:rPr>
        <w:t>0 (i.e., the 0-th access unit).</w:t>
      </w:r>
    </w:p>
    <w:p w14:paraId="1F830273" w14:textId="77777777" w:rsidR="00587178" w:rsidRPr="00A52AB8" w:rsidRDefault="0058717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Let atlas n be the coded atlas or the corresponding decoded atlas of access unit n.</w:t>
      </w:r>
    </w:p>
    <w:p w14:paraId="5D679605" w14:textId="77777777" w:rsidR="00706331" w:rsidRPr="00A52AB8" w:rsidRDefault="00706331"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Let the variable MaxNumSubLayersMinus1 be equal to 0.</w:t>
      </w:r>
    </w:p>
    <w:p w14:paraId="69F33853" w14:textId="77777777" w:rsidR="004341C4" w:rsidRPr="00A52AB8" w:rsidRDefault="00E04866" w:rsidP="002D4E3F">
      <w:pPr>
        <w:rPr>
          <w:lang w:eastAsia="ja-JP"/>
        </w:rPr>
      </w:pPr>
      <w:r w:rsidRPr="00A52AB8">
        <w:rPr>
          <w:lang w:eastAsia="ja-JP"/>
        </w:rPr>
        <w:t>Then</w:t>
      </w:r>
      <w:r w:rsidR="00B40C81" w:rsidRPr="00A52AB8">
        <w:rPr>
          <w:lang w:eastAsia="ja-JP"/>
        </w:rPr>
        <w:t xml:space="preserve"> the</w:t>
      </w:r>
      <w:r w:rsidR="004341C4" w:rsidRPr="00A52AB8">
        <w:rPr>
          <w:lang w:eastAsia="ja-JP"/>
        </w:rPr>
        <w:t xml:space="preserve"> following constraints </w:t>
      </w:r>
      <w:r w:rsidR="003D7818" w:rsidRPr="00A52AB8">
        <w:rPr>
          <w:lang w:eastAsia="ja-JP"/>
        </w:rPr>
        <w:t>a</w:t>
      </w:r>
      <w:r w:rsidR="00301311" w:rsidRPr="00A52AB8">
        <w:rPr>
          <w:lang w:eastAsia="ja-JP"/>
        </w:rPr>
        <w:t>pply</w:t>
      </w:r>
      <w:r w:rsidR="004341C4" w:rsidRPr="00A52AB8">
        <w:rPr>
          <w:lang w:eastAsia="ja-JP"/>
        </w:rPr>
        <w:t>:</w:t>
      </w:r>
    </w:p>
    <w:p w14:paraId="32C4AF2E" w14:textId="77777777" w:rsidR="00587178" w:rsidRPr="00A52AB8" w:rsidRDefault="00587178" w:rsidP="00007BE2">
      <w:pPr>
        <w:numPr>
          <w:ilvl w:val="0"/>
          <w:numId w:val="334"/>
        </w:numPr>
        <w:ind w:left="754" w:hanging="357"/>
        <w:rPr>
          <w:lang w:eastAsia="ja-JP"/>
        </w:rPr>
      </w:pPr>
      <w:r w:rsidRPr="00A52AB8">
        <w:rPr>
          <w:lang w:eastAsia="ja-JP"/>
        </w:rPr>
        <w:t>The value of asps_max_dec_atlas_frame_buffering_minus1 + 1 shall be less than or equal to 16.</w:t>
      </w:r>
    </w:p>
    <w:p w14:paraId="3E81482F" w14:textId="53C04325" w:rsidR="00587178" w:rsidRPr="00A52AB8" w:rsidRDefault="00587178" w:rsidP="00007BE2">
      <w:pPr>
        <w:numPr>
          <w:ilvl w:val="0"/>
          <w:numId w:val="334"/>
        </w:numPr>
        <w:ind w:left="754" w:hanging="357"/>
        <w:rPr>
          <w:lang w:eastAsia="ja-JP"/>
        </w:rPr>
      </w:pPr>
      <w:r w:rsidRPr="00A52AB8">
        <w:rPr>
          <w:lang w:eastAsia="ja-JP"/>
        </w:rPr>
        <w:t>For the ACL HRD parameters, CabSize</w:t>
      </w:r>
      <w:r w:rsidR="00316B1F" w:rsidRPr="00A52AB8">
        <w:rPr>
          <w:lang w:eastAsia="ja-JP"/>
        </w:rPr>
        <w:t>[ 1 ]</w:t>
      </w:r>
      <w:r w:rsidR="00E453A5" w:rsidRPr="00A52AB8">
        <w:rPr>
          <w:color w:val="000000" w:themeColor="text1"/>
        </w:rPr>
        <w:t>[ </w:t>
      </w:r>
      <w:r w:rsidR="00E95AB0" w:rsidRPr="00A52AB8">
        <w:rPr>
          <w:color w:val="000000" w:themeColor="text1"/>
        </w:rPr>
        <w:t>HtidOP</w:t>
      </w:r>
      <w:r w:rsidR="00E453A5" w:rsidRPr="00A52AB8">
        <w:rPr>
          <w:color w:val="000000" w:themeColor="text1"/>
        </w:rPr>
        <w:t> ]</w:t>
      </w:r>
      <w:r w:rsidRPr="00A52AB8">
        <w:rPr>
          <w:lang w:eastAsia="ja-JP"/>
        </w:rPr>
        <w:t>[ i ] shall be less than or equal to MaxCABSize for at least one value of i in the range of 0 to hrd_cab_cnt_minus1</w:t>
      </w:r>
      <w:r w:rsidR="00E453A5" w:rsidRPr="00A52AB8">
        <w:rPr>
          <w:color w:val="000000" w:themeColor="text1"/>
        </w:rPr>
        <w:t>[ </w:t>
      </w:r>
      <w:r w:rsidR="00E95AB0" w:rsidRPr="00A52AB8">
        <w:rPr>
          <w:color w:val="000000" w:themeColor="text1"/>
        </w:rPr>
        <w:t>HtidOP</w:t>
      </w:r>
      <w:r w:rsidR="00E453A5" w:rsidRPr="00A52AB8">
        <w:rPr>
          <w:color w:val="000000" w:themeColor="text1"/>
        </w:rPr>
        <w:t> ]</w:t>
      </w:r>
      <w:r w:rsidRPr="00A52AB8">
        <w:rPr>
          <w:lang w:eastAsia="ja-JP"/>
        </w:rPr>
        <w:t>, inclusive, where CabSize</w:t>
      </w:r>
      <w:r w:rsidR="00316B1F" w:rsidRPr="00A52AB8">
        <w:rPr>
          <w:lang w:eastAsia="ja-JP"/>
        </w:rPr>
        <w:t>[ 1 ]</w:t>
      </w:r>
      <w:r w:rsidR="00E453A5" w:rsidRPr="00A52AB8">
        <w:rPr>
          <w:color w:val="000000" w:themeColor="text1"/>
        </w:rPr>
        <w:t>[ </w:t>
      </w:r>
      <w:r w:rsidR="00E95AB0" w:rsidRPr="00A52AB8">
        <w:rPr>
          <w:color w:val="000000" w:themeColor="text1"/>
        </w:rPr>
        <w:t>HtidOP</w:t>
      </w:r>
      <w:r w:rsidR="00E453A5" w:rsidRPr="00A52AB8">
        <w:rPr>
          <w:color w:val="000000" w:themeColor="text1"/>
        </w:rPr>
        <w:t> ]</w:t>
      </w:r>
      <w:r w:rsidRPr="00A52AB8">
        <w:rPr>
          <w:lang w:eastAsia="ja-JP"/>
        </w:rPr>
        <w:t xml:space="preserve">[ i ] is specified in </w:t>
      </w:r>
      <w:r w:rsidR="00684310" w:rsidRPr="00A52AB8">
        <w:rPr>
          <w:lang w:eastAsia="ja-JP"/>
        </w:rPr>
        <w:t>sub</w:t>
      </w:r>
      <w:r w:rsidRPr="00A52AB8">
        <w:rPr>
          <w:lang w:eastAsia="ja-JP"/>
        </w:rPr>
        <w:t>clause </w:t>
      </w:r>
      <w:r w:rsidR="00E453A5" w:rsidRPr="00496A4D">
        <w:rPr>
          <w:lang w:eastAsia="ja-JP"/>
        </w:rPr>
        <w:fldChar w:fldCharType="begin"/>
      </w:r>
      <w:r w:rsidR="00E453A5" w:rsidRPr="00A52AB8">
        <w:rPr>
          <w:lang w:eastAsia="ja-JP"/>
        </w:rPr>
        <w:instrText xml:space="preserve"> REF _Ref21520767 \r \h </w:instrText>
      </w:r>
      <w:r w:rsidR="007478BA" w:rsidRPr="00A52AB8">
        <w:rPr>
          <w:lang w:eastAsia="ja-JP"/>
        </w:rPr>
        <w:instrText xml:space="preserve"> \* MERGEFORMAT </w:instrText>
      </w:r>
      <w:r w:rsidR="00E453A5" w:rsidRPr="00496A4D">
        <w:rPr>
          <w:lang w:eastAsia="ja-JP"/>
        </w:rPr>
      </w:r>
      <w:r w:rsidR="00E453A5" w:rsidRPr="00496A4D">
        <w:rPr>
          <w:lang w:eastAsia="ja-JP"/>
        </w:rPr>
        <w:fldChar w:fldCharType="separate"/>
      </w:r>
      <w:r w:rsidR="00507A67">
        <w:rPr>
          <w:lang w:eastAsia="ja-JP"/>
        </w:rPr>
        <w:t>G.3.3</w:t>
      </w:r>
      <w:r w:rsidR="00E453A5" w:rsidRPr="00496A4D">
        <w:rPr>
          <w:lang w:eastAsia="ja-JP"/>
        </w:rPr>
        <w:fldChar w:fldCharType="end"/>
      </w:r>
      <w:r w:rsidRPr="00A52AB8">
        <w:rPr>
          <w:lang w:eastAsia="ja-JP"/>
        </w:rPr>
        <w:t xml:space="preserve"> based on parameters selected as specified in </w:t>
      </w:r>
      <w:r w:rsidR="00684310" w:rsidRPr="00A52AB8">
        <w:rPr>
          <w:lang w:eastAsia="ja-JP"/>
        </w:rPr>
        <w:t>sub</w:t>
      </w:r>
      <w:r w:rsidRPr="00A52AB8">
        <w:rPr>
          <w:lang w:eastAsia="ja-JP"/>
        </w:rPr>
        <w:t>clause </w:t>
      </w:r>
      <w:r w:rsidR="00D174DE" w:rsidRPr="00496A4D">
        <w:rPr>
          <w:lang w:eastAsia="ja-JP"/>
        </w:rPr>
        <w:fldChar w:fldCharType="begin"/>
      </w:r>
      <w:r w:rsidR="00D174DE" w:rsidRPr="00A52AB8">
        <w:rPr>
          <w:lang w:eastAsia="ja-JP"/>
        </w:rPr>
        <w:instrText xml:space="preserve"> REF _Ref21515777 \n \h </w:instrText>
      </w:r>
      <w:r w:rsidR="00851254" w:rsidRPr="00A52AB8">
        <w:rPr>
          <w:lang w:eastAsia="ja-JP"/>
        </w:rPr>
        <w:instrText xml:space="preserve"> \* MERGEFORMAT </w:instrText>
      </w:r>
      <w:r w:rsidR="00D174DE" w:rsidRPr="00496A4D">
        <w:rPr>
          <w:lang w:eastAsia="ja-JP"/>
        </w:rPr>
      </w:r>
      <w:r w:rsidR="00D174DE" w:rsidRPr="00496A4D">
        <w:rPr>
          <w:lang w:eastAsia="ja-JP"/>
        </w:rPr>
        <w:fldChar w:fldCharType="separate"/>
      </w:r>
      <w:r w:rsidR="00507A67">
        <w:rPr>
          <w:lang w:eastAsia="ja-JP"/>
        </w:rPr>
        <w:t>E.1</w:t>
      </w:r>
      <w:r w:rsidR="00D174DE" w:rsidRPr="00496A4D">
        <w:rPr>
          <w:lang w:eastAsia="ja-JP"/>
        </w:rPr>
        <w:fldChar w:fldCharType="end"/>
      </w:r>
      <w:r w:rsidRPr="00A52AB8">
        <w:rPr>
          <w:lang w:eastAsia="ja-JP"/>
        </w:rPr>
        <w:t xml:space="preserve"> and MaxCABSize is specified in </w:t>
      </w:r>
      <w:r w:rsidRPr="00496A4D">
        <w:rPr>
          <w:lang w:eastAsia="ja-JP"/>
        </w:rPr>
        <w:fldChar w:fldCharType="begin"/>
      </w:r>
      <w:r w:rsidRPr="00A52AB8">
        <w:rPr>
          <w:lang w:eastAsia="ja-JP"/>
        </w:rPr>
        <w:instrText xml:space="preserve"> REF _Ref21427355 \h </w:instrText>
      </w:r>
      <w:r w:rsidR="006371AA" w:rsidRPr="00A52AB8">
        <w:rPr>
          <w:lang w:eastAsia="ja-JP"/>
        </w:rPr>
        <w:instrText xml:space="preserve"> \* MERGEFORMAT </w:instrText>
      </w:r>
      <w:r w:rsidRPr="00496A4D">
        <w:rPr>
          <w:lang w:eastAsia="ja-JP"/>
        </w:rPr>
      </w:r>
      <w:r w:rsidRPr="00496A4D">
        <w:rPr>
          <w:lang w:eastAsia="ja-JP"/>
        </w:rPr>
        <w:fldChar w:fldCharType="separate"/>
      </w:r>
      <w:r w:rsidR="00507A67" w:rsidRPr="00A52AB8">
        <w:t>Table A-</w:t>
      </w:r>
      <w:r w:rsidR="00507A67">
        <w:t>5</w:t>
      </w:r>
      <w:r w:rsidRPr="00496A4D">
        <w:rPr>
          <w:lang w:eastAsia="ja-JP"/>
        </w:rPr>
        <w:fldChar w:fldCharType="end"/>
      </w:r>
      <w:r w:rsidRPr="00A52AB8">
        <w:rPr>
          <w:lang w:eastAsia="ja-JP"/>
        </w:rPr>
        <w:t xml:space="preserve"> in bits.</w:t>
      </w:r>
    </w:p>
    <w:p w14:paraId="00BB1010" w14:textId="2F953147" w:rsidR="00587178" w:rsidRPr="00A52AB8" w:rsidRDefault="00587178" w:rsidP="00007BE2">
      <w:pPr>
        <w:numPr>
          <w:ilvl w:val="0"/>
          <w:numId w:val="334"/>
        </w:numPr>
        <w:ind w:left="754" w:hanging="357"/>
        <w:rPr>
          <w:lang w:eastAsia="ja-JP"/>
        </w:rPr>
      </w:pPr>
      <w:r w:rsidRPr="00A52AB8">
        <w:rPr>
          <w:lang w:eastAsia="ja-JP"/>
        </w:rPr>
        <w:t>For the NAL HRD parameters, CabSize</w:t>
      </w:r>
      <w:r w:rsidR="00316B1F" w:rsidRPr="00A52AB8">
        <w:rPr>
          <w:lang w:eastAsia="ja-JP"/>
        </w:rPr>
        <w:t>[ 0 ]</w:t>
      </w:r>
      <w:r w:rsidR="00E453A5" w:rsidRPr="00A52AB8">
        <w:rPr>
          <w:color w:val="000000" w:themeColor="text1"/>
        </w:rPr>
        <w:t>[ </w:t>
      </w:r>
      <w:r w:rsidR="00E95AB0" w:rsidRPr="00A52AB8">
        <w:rPr>
          <w:color w:val="000000" w:themeColor="text1"/>
        </w:rPr>
        <w:t>HtidOP</w:t>
      </w:r>
      <w:r w:rsidR="00E453A5" w:rsidRPr="00A52AB8">
        <w:rPr>
          <w:color w:val="000000" w:themeColor="text1"/>
        </w:rPr>
        <w:t> ]</w:t>
      </w:r>
      <w:r w:rsidRPr="00A52AB8">
        <w:rPr>
          <w:lang w:eastAsia="ja-JP"/>
        </w:rPr>
        <w:t>[ i ] shall be less than or equal to MaxCABSize for at least one value of i in the range of 0 to hrd_cab_cnt_minus1</w:t>
      </w:r>
      <w:r w:rsidR="00E453A5" w:rsidRPr="00A52AB8">
        <w:rPr>
          <w:color w:val="000000" w:themeColor="text1"/>
        </w:rPr>
        <w:t>[ </w:t>
      </w:r>
      <w:r w:rsidR="00E95AB0" w:rsidRPr="00A52AB8">
        <w:rPr>
          <w:color w:val="000000" w:themeColor="text1"/>
        </w:rPr>
        <w:t>HtidOP</w:t>
      </w:r>
      <w:r w:rsidR="00E453A5" w:rsidRPr="00A52AB8">
        <w:rPr>
          <w:color w:val="000000" w:themeColor="text1"/>
        </w:rPr>
        <w:t> ]</w:t>
      </w:r>
      <w:r w:rsidRPr="00A52AB8">
        <w:rPr>
          <w:lang w:eastAsia="ja-JP"/>
        </w:rPr>
        <w:t>, inclusive, where CabSize</w:t>
      </w:r>
      <w:r w:rsidR="00316B1F" w:rsidRPr="00A52AB8">
        <w:rPr>
          <w:lang w:eastAsia="ja-JP"/>
        </w:rPr>
        <w:t>[ 0 ]</w:t>
      </w:r>
      <w:r w:rsidR="00E453A5" w:rsidRPr="00A52AB8">
        <w:rPr>
          <w:color w:val="000000" w:themeColor="text1"/>
        </w:rPr>
        <w:t>[ </w:t>
      </w:r>
      <w:r w:rsidR="00E95AB0" w:rsidRPr="00A52AB8">
        <w:rPr>
          <w:color w:val="000000" w:themeColor="text1"/>
        </w:rPr>
        <w:t>HtidOP</w:t>
      </w:r>
      <w:r w:rsidR="00E453A5" w:rsidRPr="00A52AB8">
        <w:rPr>
          <w:color w:val="000000" w:themeColor="text1"/>
        </w:rPr>
        <w:t> ]</w:t>
      </w:r>
      <w:r w:rsidRPr="00A52AB8">
        <w:rPr>
          <w:lang w:eastAsia="ja-JP"/>
        </w:rPr>
        <w:t xml:space="preserve">[ i ] is specified in </w:t>
      </w:r>
      <w:r w:rsidR="00E453A5" w:rsidRPr="00A52AB8">
        <w:rPr>
          <w:lang w:eastAsia="ja-JP"/>
        </w:rPr>
        <w:t>subclause </w:t>
      </w:r>
      <w:r w:rsidR="00E453A5" w:rsidRPr="00496A4D">
        <w:rPr>
          <w:lang w:eastAsia="ja-JP"/>
        </w:rPr>
        <w:fldChar w:fldCharType="begin"/>
      </w:r>
      <w:r w:rsidR="00E453A5" w:rsidRPr="00A52AB8">
        <w:rPr>
          <w:lang w:eastAsia="ja-JP"/>
        </w:rPr>
        <w:instrText xml:space="preserve"> REF _Ref21520767 \r \h </w:instrText>
      </w:r>
      <w:r w:rsidR="007478BA" w:rsidRPr="00A52AB8">
        <w:rPr>
          <w:lang w:eastAsia="ja-JP"/>
        </w:rPr>
        <w:instrText xml:space="preserve"> \* MERGEFORMAT </w:instrText>
      </w:r>
      <w:r w:rsidR="00E453A5" w:rsidRPr="00496A4D">
        <w:rPr>
          <w:lang w:eastAsia="ja-JP"/>
        </w:rPr>
      </w:r>
      <w:r w:rsidR="00E453A5" w:rsidRPr="00496A4D">
        <w:rPr>
          <w:lang w:eastAsia="ja-JP"/>
        </w:rPr>
        <w:fldChar w:fldCharType="separate"/>
      </w:r>
      <w:r w:rsidR="00507A67">
        <w:rPr>
          <w:lang w:eastAsia="ja-JP"/>
        </w:rPr>
        <w:t>G.3.3</w:t>
      </w:r>
      <w:r w:rsidR="00E453A5" w:rsidRPr="00496A4D">
        <w:rPr>
          <w:lang w:eastAsia="ja-JP"/>
        </w:rPr>
        <w:fldChar w:fldCharType="end"/>
      </w:r>
      <w:r w:rsidR="00D531E1" w:rsidRPr="00A52AB8">
        <w:rPr>
          <w:lang w:eastAsia="ja-JP"/>
        </w:rPr>
        <w:t xml:space="preserve"> </w:t>
      </w:r>
      <w:r w:rsidRPr="00A52AB8">
        <w:rPr>
          <w:lang w:eastAsia="ja-JP"/>
        </w:rPr>
        <w:t xml:space="preserve">based on parameters selected as specified in </w:t>
      </w:r>
      <w:r w:rsidR="00684310" w:rsidRPr="00A52AB8">
        <w:rPr>
          <w:lang w:eastAsia="ja-JP"/>
        </w:rPr>
        <w:t>sub</w:t>
      </w:r>
      <w:r w:rsidRPr="00A52AB8">
        <w:rPr>
          <w:lang w:eastAsia="ja-JP"/>
        </w:rPr>
        <w:t>clause</w:t>
      </w:r>
      <w:r w:rsidR="00D531E1" w:rsidRPr="00A52AB8">
        <w:rPr>
          <w:lang w:eastAsia="ja-JP"/>
        </w:rPr>
        <w:t> </w:t>
      </w:r>
      <w:r w:rsidR="00D531E1" w:rsidRPr="00496A4D">
        <w:rPr>
          <w:lang w:eastAsia="ja-JP"/>
        </w:rPr>
        <w:fldChar w:fldCharType="begin"/>
      </w:r>
      <w:r w:rsidR="00D531E1" w:rsidRPr="00A52AB8">
        <w:rPr>
          <w:lang w:eastAsia="ja-JP"/>
        </w:rPr>
        <w:instrText xml:space="preserve"> REF _Ref21515777 \n \h </w:instrText>
      </w:r>
      <w:r w:rsidR="00851254" w:rsidRPr="00A52AB8">
        <w:rPr>
          <w:lang w:eastAsia="ja-JP"/>
        </w:rPr>
        <w:instrText xml:space="preserve"> \* MERGEFORMAT </w:instrText>
      </w:r>
      <w:r w:rsidR="00D531E1" w:rsidRPr="00496A4D">
        <w:rPr>
          <w:lang w:eastAsia="ja-JP"/>
        </w:rPr>
      </w:r>
      <w:r w:rsidR="00D531E1" w:rsidRPr="00496A4D">
        <w:rPr>
          <w:lang w:eastAsia="ja-JP"/>
        </w:rPr>
        <w:fldChar w:fldCharType="separate"/>
      </w:r>
      <w:r w:rsidR="00507A67">
        <w:rPr>
          <w:lang w:eastAsia="ja-JP"/>
        </w:rPr>
        <w:t>E.1</w:t>
      </w:r>
      <w:r w:rsidR="00D531E1" w:rsidRPr="00496A4D">
        <w:rPr>
          <w:lang w:eastAsia="ja-JP"/>
        </w:rPr>
        <w:fldChar w:fldCharType="end"/>
      </w:r>
      <w:r w:rsidRPr="00A52AB8">
        <w:rPr>
          <w:lang w:eastAsia="ja-JP"/>
        </w:rPr>
        <w:t xml:space="preserve"> and MaxCABSize is specified in </w:t>
      </w:r>
      <w:r w:rsidRPr="00496A4D">
        <w:rPr>
          <w:lang w:eastAsia="ja-JP"/>
        </w:rPr>
        <w:fldChar w:fldCharType="begin"/>
      </w:r>
      <w:r w:rsidRPr="00A52AB8">
        <w:rPr>
          <w:lang w:eastAsia="ja-JP"/>
        </w:rPr>
        <w:instrText xml:space="preserve"> REF _Ref21442028 \h  \* MERGEFORMAT </w:instrText>
      </w:r>
      <w:r w:rsidRPr="00496A4D">
        <w:rPr>
          <w:lang w:eastAsia="ja-JP"/>
        </w:rPr>
      </w:r>
      <w:r w:rsidRPr="00496A4D">
        <w:rPr>
          <w:lang w:eastAsia="ja-JP"/>
        </w:rPr>
        <w:fldChar w:fldCharType="separate"/>
      </w:r>
      <w:r w:rsidR="00507A67" w:rsidRPr="00507A67">
        <w:rPr>
          <w:lang w:eastAsia="ja-JP"/>
        </w:rPr>
        <w:t>Table A-1</w:t>
      </w:r>
      <w:r w:rsidRPr="00496A4D">
        <w:rPr>
          <w:lang w:eastAsia="ja-JP"/>
        </w:rPr>
        <w:fldChar w:fldCharType="end"/>
      </w:r>
      <w:r w:rsidRPr="00A52AB8">
        <w:rPr>
          <w:lang w:eastAsia="ja-JP"/>
        </w:rPr>
        <w:t xml:space="preserve"> in bits.</w:t>
      </w:r>
    </w:p>
    <w:p w14:paraId="2363F940" w14:textId="7B7B6956" w:rsidR="00587178" w:rsidRPr="00A52AB8" w:rsidRDefault="00587178" w:rsidP="00007BE2">
      <w:pPr>
        <w:numPr>
          <w:ilvl w:val="0"/>
          <w:numId w:val="334"/>
        </w:numPr>
        <w:ind w:left="754" w:hanging="357"/>
        <w:rPr>
          <w:lang w:eastAsia="ja-JP"/>
        </w:rPr>
      </w:pPr>
      <w:r w:rsidRPr="00A52AB8">
        <w:rPr>
          <w:lang w:eastAsia="ja-JP"/>
        </w:rPr>
        <w:t>The nominal removal time of a</w:t>
      </w:r>
      <w:r w:rsidR="00D67C10" w:rsidRPr="00A52AB8">
        <w:rPr>
          <w:lang w:eastAsia="ja-JP"/>
        </w:rPr>
        <w:t xml:space="preserve"> coded</w:t>
      </w:r>
      <w:r w:rsidRPr="00A52AB8">
        <w:rPr>
          <w:lang w:eastAsia="ja-JP"/>
        </w:rPr>
        <w:t xml:space="preserve"> atlas access unit n (with n greater than 0) from the CAB, as specified in </w:t>
      </w:r>
      <w:r w:rsidR="00684310" w:rsidRPr="00A52AB8">
        <w:rPr>
          <w:lang w:eastAsia="ja-JP"/>
        </w:rPr>
        <w:t>sub</w:t>
      </w:r>
      <w:r w:rsidRPr="00A52AB8">
        <w:rPr>
          <w:lang w:eastAsia="ja-JP"/>
        </w:rPr>
        <w:t>clause </w:t>
      </w:r>
      <w:r w:rsidR="00ED6CDC" w:rsidRPr="00496A4D">
        <w:rPr>
          <w:lang w:eastAsia="ja-JP"/>
        </w:rPr>
        <w:fldChar w:fldCharType="begin"/>
      </w:r>
      <w:r w:rsidR="00ED6CDC" w:rsidRPr="00A52AB8">
        <w:rPr>
          <w:lang w:eastAsia="ja-JP"/>
        </w:rPr>
        <w:instrText xml:space="preserve"> REF _Ref21511739 \n \h </w:instrText>
      </w:r>
      <w:r w:rsidR="00851254" w:rsidRPr="00A52AB8">
        <w:rPr>
          <w:lang w:eastAsia="ja-JP"/>
        </w:rPr>
        <w:instrText xml:space="preserve"> \* MERGEFORMAT </w:instrText>
      </w:r>
      <w:r w:rsidR="00ED6CDC" w:rsidRPr="00496A4D">
        <w:rPr>
          <w:lang w:eastAsia="ja-JP"/>
        </w:rPr>
      </w:r>
      <w:r w:rsidR="00ED6CDC" w:rsidRPr="00496A4D">
        <w:rPr>
          <w:lang w:eastAsia="ja-JP"/>
        </w:rPr>
        <w:fldChar w:fldCharType="separate"/>
      </w:r>
      <w:r w:rsidR="00507A67">
        <w:rPr>
          <w:lang w:eastAsia="ja-JP"/>
        </w:rPr>
        <w:t>E.2.3</w:t>
      </w:r>
      <w:r w:rsidR="00ED6CDC" w:rsidRPr="00496A4D">
        <w:rPr>
          <w:lang w:eastAsia="ja-JP"/>
        </w:rPr>
        <w:fldChar w:fldCharType="end"/>
      </w:r>
      <w:r w:rsidR="00A62437" w:rsidRPr="00A52AB8">
        <w:rPr>
          <w:lang w:eastAsia="ja-JP"/>
        </w:rPr>
        <w:t>,</w:t>
      </w:r>
      <w:r w:rsidRPr="00A52AB8">
        <w:rPr>
          <w:lang w:eastAsia="ja-JP"/>
        </w:rPr>
        <w:t xml:space="preserve"> shall satisfy the constraint that Au</w:t>
      </w:r>
      <w:r w:rsidRPr="00A52AB8">
        <w:rPr>
          <w:iCs/>
          <w:lang w:eastAsia="ja-JP"/>
        </w:rPr>
        <w:t>NominalRemovalTime[</w:t>
      </w:r>
      <w:r w:rsidRPr="00A52AB8">
        <w:rPr>
          <w:lang w:eastAsia="ja-JP"/>
        </w:rPr>
        <w:t> </w:t>
      </w:r>
      <w:r w:rsidRPr="00A52AB8">
        <w:rPr>
          <w:iCs/>
          <w:lang w:eastAsia="ja-JP"/>
        </w:rPr>
        <w:t>n ]</w:t>
      </w:r>
      <w:r w:rsidRPr="00A52AB8">
        <w:rPr>
          <w:lang w:eastAsia="ja-JP"/>
        </w:rPr>
        <w:t> − Au</w:t>
      </w:r>
      <w:r w:rsidRPr="00A52AB8">
        <w:rPr>
          <w:iCs/>
          <w:lang w:eastAsia="ja-JP"/>
        </w:rPr>
        <w:t>CabRemovalTime[</w:t>
      </w:r>
      <w:r w:rsidRPr="00A52AB8">
        <w:rPr>
          <w:lang w:eastAsia="ja-JP"/>
        </w:rPr>
        <w:t> </w:t>
      </w:r>
      <w:r w:rsidRPr="00A52AB8">
        <w:rPr>
          <w:iCs/>
          <w:lang w:eastAsia="ja-JP"/>
        </w:rPr>
        <w:t>n − 1 ]</w:t>
      </w:r>
      <w:r w:rsidRPr="00A52AB8">
        <w:rPr>
          <w:lang w:eastAsia="ja-JP"/>
        </w:rPr>
        <w:t xml:space="preserve"> is greater than or equal to Max( aR, fR ).</w:t>
      </w:r>
    </w:p>
    <w:p w14:paraId="4D5DD202" w14:textId="31E9D770" w:rsidR="00587178" w:rsidRPr="00A52AB8" w:rsidRDefault="00587178" w:rsidP="00007BE2">
      <w:pPr>
        <w:numPr>
          <w:ilvl w:val="0"/>
          <w:numId w:val="334"/>
        </w:numPr>
        <w:ind w:left="754" w:hanging="357"/>
        <w:rPr>
          <w:lang w:eastAsia="ja-JP"/>
        </w:rPr>
      </w:pPr>
      <w:r w:rsidRPr="00A52AB8">
        <w:rPr>
          <w:lang w:eastAsia="ja-JP"/>
        </w:rPr>
        <w:t xml:space="preserve">The difference between consecutive output times of atlases from the DAB, as specified in </w:t>
      </w:r>
      <w:r w:rsidR="00DE435B" w:rsidRPr="00A52AB8">
        <w:rPr>
          <w:lang w:eastAsia="ja-JP"/>
        </w:rPr>
        <w:t>sub</w:t>
      </w:r>
      <w:r w:rsidRPr="00A52AB8">
        <w:rPr>
          <w:lang w:eastAsia="ja-JP"/>
        </w:rPr>
        <w:t>clause </w:t>
      </w:r>
      <w:r w:rsidRPr="00496A4D">
        <w:rPr>
          <w:lang w:eastAsia="ja-JP"/>
        </w:rPr>
        <w:fldChar w:fldCharType="begin"/>
      </w:r>
      <w:r w:rsidRPr="00A52AB8">
        <w:rPr>
          <w:lang w:eastAsia="ja-JP"/>
        </w:rPr>
        <w:instrText xml:space="preserve"> REF _Ref21511748 \r \h  \* MERGEFORMAT </w:instrText>
      </w:r>
      <w:r w:rsidRPr="00496A4D">
        <w:rPr>
          <w:lang w:eastAsia="ja-JP"/>
        </w:rPr>
      </w:r>
      <w:r w:rsidRPr="00496A4D">
        <w:rPr>
          <w:lang w:eastAsia="ja-JP"/>
        </w:rPr>
        <w:fldChar w:fldCharType="separate"/>
      </w:r>
      <w:r w:rsidR="00507A67">
        <w:rPr>
          <w:lang w:eastAsia="ja-JP"/>
        </w:rPr>
        <w:t>E.3.3</w:t>
      </w:r>
      <w:r w:rsidRPr="00496A4D">
        <w:rPr>
          <w:lang w:eastAsia="ja-JP"/>
        </w:rPr>
        <w:fldChar w:fldCharType="end"/>
      </w:r>
      <w:r w:rsidRPr="00A52AB8">
        <w:rPr>
          <w:lang w:eastAsia="ja-JP"/>
        </w:rPr>
        <w:t>, shall satisfy the constraint that DabOutputInterval[ </w:t>
      </w:r>
      <w:r w:rsidRPr="00A52AB8">
        <w:rPr>
          <w:iCs/>
          <w:lang w:eastAsia="ja-JP"/>
        </w:rPr>
        <w:t>n</w:t>
      </w:r>
      <w:r w:rsidRPr="00A52AB8">
        <w:rPr>
          <w:lang w:eastAsia="ja-JP"/>
        </w:rPr>
        <w:t xml:space="preserve"> ] is greater than or equal to Max( aR, fR ) provided that </w:t>
      </w:r>
      <w:r w:rsidRPr="00A52AB8">
        <w:rPr>
          <w:iCs/>
          <w:lang w:eastAsia="ja-JP"/>
        </w:rPr>
        <w:t xml:space="preserve">atlas is not the last atlas of the </w:t>
      </w:r>
      <w:r w:rsidR="00885AD4" w:rsidRPr="00A52AB8">
        <w:rPr>
          <w:iCs/>
          <w:lang w:eastAsia="ja-JP"/>
        </w:rPr>
        <w:t xml:space="preserve">atlas </w:t>
      </w:r>
      <w:r w:rsidRPr="00A52AB8">
        <w:rPr>
          <w:iCs/>
          <w:lang w:eastAsia="ja-JP"/>
        </w:rPr>
        <w:t>bitstream that is output</w:t>
      </w:r>
      <w:r w:rsidRPr="00A52AB8">
        <w:rPr>
          <w:lang w:eastAsia="ja-JP"/>
        </w:rPr>
        <w:t>.</w:t>
      </w:r>
    </w:p>
    <w:p w14:paraId="234E8031" w14:textId="0FF11374" w:rsidR="00587178" w:rsidRPr="00A52AB8" w:rsidRDefault="00587178" w:rsidP="00007BE2">
      <w:pPr>
        <w:numPr>
          <w:ilvl w:val="0"/>
          <w:numId w:val="334"/>
        </w:numPr>
        <w:ind w:left="754" w:hanging="357"/>
        <w:rPr>
          <w:lang w:eastAsia="ja-JP"/>
        </w:rPr>
      </w:pPr>
      <w:r w:rsidRPr="00A52AB8">
        <w:rPr>
          <w:lang w:eastAsia="ja-JP"/>
        </w:rPr>
        <w:t>For the ACL HRD parameters, BitRate</w:t>
      </w:r>
      <w:r w:rsidR="006668AF" w:rsidRPr="00A52AB8">
        <w:rPr>
          <w:lang w:eastAsia="ja-JP"/>
        </w:rPr>
        <w:t>[ 1 ]</w:t>
      </w:r>
      <w:r w:rsidR="00E453A5" w:rsidRPr="00A52AB8">
        <w:rPr>
          <w:color w:val="000000" w:themeColor="text1"/>
        </w:rPr>
        <w:t>[ </w:t>
      </w:r>
      <w:r w:rsidR="00E95AB0" w:rsidRPr="00A52AB8">
        <w:rPr>
          <w:color w:val="000000" w:themeColor="text1"/>
        </w:rPr>
        <w:t>HtidOP</w:t>
      </w:r>
      <w:r w:rsidR="00E453A5" w:rsidRPr="00A52AB8">
        <w:rPr>
          <w:color w:val="000000" w:themeColor="text1"/>
        </w:rPr>
        <w:t> ]</w:t>
      </w:r>
      <w:r w:rsidRPr="00A52AB8">
        <w:rPr>
          <w:lang w:eastAsia="ja-JP"/>
        </w:rPr>
        <w:t>[ i ] shall be less than or equal to Max</w:t>
      </w:r>
      <w:r w:rsidR="00860A03" w:rsidRPr="00A52AB8">
        <w:rPr>
          <w:lang w:eastAsia="ja-JP"/>
        </w:rPr>
        <w:t>Atlas</w:t>
      </w:r>
      <w:r w:rsidRPr="00A52AB8">
        <w:rPr>
          <w:lang w:eastAsia="ja-JP"/>
        </w:rPr>
        <w:t>BR for at least one value of i in the range of 0 to hrd_cab_cnt_minus1</w:t>
      </w:r>
      <w:r w:rsidR="00E453A5" w:rsidRPr="00A52AB8">
        <w:rPr>
          <w:color w:val="000000" w:themeColor="text1"/>
        </w:rPr>
        <w:t>[ </w:t>
      </w:r>
      <w:r w:rsidR="00E95AB0" w:rsidRPr="00A52AB8">
        <w:rPr>
          <w:color w:val="000000" w:themeColor="text1"/>
        </w:rPr>
        <w:t>HtidOP</w:t>
      </w:r>
      <w:r w:rsidR="00E453A5" w:rsidRPr="00A52AB8">
        <w:rPr>
          <w:color w:val="000000" w:themeColor="text1"/>
        </w:rPr>
        <w:t> ]</w:t>
      </w:r>
      <w:r w:rsidRPr="00A52AB8">
        <w:rPr>
          <w:lang w:eastAsia="ja-JP"/>
        </w:rPr>
        <w:t>, inclusive, where BitRate</w:t>
      </w:r>
      <w:r w:rsidR="006668AF" w:rsidRPr="00A52AB8">
        <w:rPr>
          <w:lang w:eastAsia="ja-JP"/>
        </w:rPr>
        <w:t>[ 1 ]</w:t>
      </w:r>
      <w:r w:rsidR="00E453A5" w:rsidRPr="00A52AB8">
        <w:rPr>
          <w:color w:val="000000" w:themeColor="text1"/>
        </w:rPr>
        <w:t>[ </w:t>
      </w:r>
      <w:r w:rsidR="00E95AB0" w:rsidRPr="00A52AB8">
        <w:rPr>
          <w:color w:val="000000" w:themeColor="text1"/>
        </w:rPr>
        <w:t>HtidOP</w:t>
      </w:r>
      <w:r w:rsidR="00E453A5" w:rsidRPr="00A52AB8">
        <w:rPr>
          <w:color w:val="000000" w:themeColor="text1"/>
        </w:rPr>
        <w:t> ]</w:t>
      </w:r>
      <w:r w:rsidRPr="00A52AB8">
        <w:rPr>
          <w:lang w:eastAsia="ja-JP"/>
        </w:rPr>
        <w:t xml:space="preserve">[ i ] is specified in </w:t>
      </w:r>
      <w:r w:rsidR="00684310" w:rsidRPr="00A52AB8">
        <w:rPr>
          <w:lang w:eastAsia="ja-JP"/>
        </w:rPr>
        <w:t>sub</w:t>
      </w:r>
      <w:r w:rsidRPr="00A52AB8">
        <w:rPr>
          <w:lang w:eastAsia="ja-JP"/>
        </w:rPr>
        <w:t>clause </w:t>
      </w:r>
      <w:r w:rsidRPr="00496A4D">
        <w:rPr>
          <w:lang w:eastAsia="ja-JP"/>
        </w:rPr>
        <w:fldChar w:fldCharType="begin"/>
      </w:r>
      <w:r w:rsidRPr="00A52AB8">
        <w:rPr>
          <w:lang w:eastAsia="ja-JP"/>
        </w:rPr>
        <w:instrText xml:space="preserve"> REF _Ref21520767 \r \h </w:instrText>
      </w:r>
      <w:r w:rsidR="006371AA" w:rsidRPr="00A52AB8">
        <w:rPr>
          <w:lang w:eastAsia="ja-JP"/>
        </w:rPr>
        <w:instrText xml:space="preserve"> \* MERGEFORMAT </w:instrText>
      </w:r>
      <w:r w:rsidRPr="00496A4D">
        <w:rPr>
          <w:lang w:eastAsia="ja-JP"/>
        </w:rPr>
      </w:r>
      <w:r w:rsidRPr="00496A4D">
        <w:rPr>
          <w:lang w:eastAsia="ja-JP"/>
        </w:rPr>
        <w:fldChar w:fldCharType="separate"/>
      </w:r>
      <w:r w:rsidR="00507A67">
        <w:rPr>
          <w:lang w:eastAsia="ja-JP"/>
        </w:rPr>
        <w:t>G.3.3</w:t>
      </w:r>
      <w:r w:rsidRPr="00496A4D">
        <w:rPr>
          <w:lang w:eastAsia="ja-JP"/>
        </w:rPr>
        <w:fldChar w:fldCharType="end"/>
      </w:r>
      <w:r w:rsidRPr="00A52AB8">
        <w:rPr>
          <w:lang w:eastAsia="ja-JP"/>
        </w:rPr>
        <w:t xml:space="preserve"> based on parameters selected as specified in </w:t>
      </w:r>
      <w:r w:rsidR="00684310" w:rsidRPr="00A52AB8">
        <w:rPr>
          <w:lang w:eastAsia="ja-JP"/>
        </w:rPr>
        <w:t>sub</w:t>
      </w:r>
      <w:r w:rsidRPr="00A52AB8">
        <w:rPr>
          <w:lang w:eastAsia="ja-JP"/>
        </w:rPr>
        <w:t>clause </w:t>
      </w:r>
      <w:r w:rsidR="00FF2C26" w:rsidRPr="00496A4D">
        <w:rPr>
          <w:lang w:eastAsia="ja-JP"/>
        </w:rPr>
        <w:fldChar w:fldCharType="begin"/>
      </w:r>
      <w:r w:rsidR="00FF2C26" w:rsidRPr="00A52AB8">
        <w:rPr>
          <w:lang w:eastAsia="ja-JP"/>
        </w:rPr>
        <w:instrText xml:space="preserve"> REF _Ref21515777 \n \h </w:instrText>
      </w:r>
      <w:r w:rsidR="00851254" w:rsidRPr="00A52AB8">
        <w:rPr>
          <w:lang w:eastAsia="ja-JP"/>
        </w:rPr>
        <w:instrText xml:space="preserve"> \* MERGEFORMAT </w:instrText>
      </w:r>
      <w:r w:rsidR="00FF2C26" w:rsidRPr="00496A4D">
        <w:rPr>
          <w:lang w:eastAsia="ja-JP"/>
        </w:rPr>
      </w:r>
      <w:r w:rsidR="00FF2C26" w:rsidRPr="00496A4D">
        <w:rPr>
          <w:lang w:eastAsia="ja-JP"/>
        </w:rPr>
        <w:fldChar w:fldCharType="separate"/>
      </w:r>
      <w:r w:rsidR="00507A67">
        <w:rPr>
          <w:lang w:eastAsia="ja-JP"/>
        </w:rPr>
        <w:t>E.1</w:t>
      </w:r>
      <w:r w:rsidR="00FF2C26" w:rsidRPr="00496A4D">
        <w:rPr>
          <w:lang w:eastAsia="ja-JP"/>
        </w:rPr>
        <w:fldChar w:fldCharType="end"/>
      </w:r>
      <w:r w:rsidRPr="00A52AB8">
        <w:rPr>
          <w:lang w:eastAsia="ja-JP"/>
        </w:rPr>
        <w:t xml:space="preserve"> and Max</w:t>
      </w:r>
      <w:r w:rsidR="00860A03" w:rsidRPr="00A52AB8">
        <w:rPr>
          <w:lang w:eastAsia="ja-JP"/>
        </w:rPr>
        <w:t>Atlas</w:t>
      </w:r>
      <w:r w:rsidRPr="00A52AB8">
        <w:rPr>
          <w:lang w:eastAsia="ja-JP"/>
        </w:rPr>
        <w:t>BR is specified in</w:t>
      </w:r>
      <w:r w:rsidR="006A3425" w:rsidRPr="00A52AB8">
        <w:rPr>
          <w:lang w:eastAsia="ja-JP"/>
        </w:rPr>
        <w:t xml:space="preserve"> </w:t>
      </w:r>
      <w:r w:rsidRPr="00496A4D">
        <w:rPr>
          <w:lang w:eastAsia="ja-JP"/>
        </w:rPr>
        <w:fldChar w:fldCharType="begin"/>
      </w:r>
      <w:r w:rsidRPr="00A52AB8">
        <w:rPr>
          <w:lang w:eastAsia="ja-JP"/>
        </w:rPr>
        <w:instrText xml:space="preserve"> REF _Ref21429412 \h </w:instrText>
      </w:r>
      <w:r w:rsidR="006371AA" w:rsidRPr="00A52AB8">
        <w:rPr>
          <w:lang w:eastAsia="ja-JP"/>
        </w:rPr>
        <w:instrText xml:space="preserve"> \* MERGEFORMAT </w:instrText>
      </w:r>
      <w:r w:rsidRPr="00496A4D">
        <w:rPr>
          <w:lang w:eastAsia="ja-JP"/>
        </w:rPr>
      </w:r>
      <w:r w:rsidRPr="00496A4D">
        <w:rPr>
          <w:lang w:eastAsia="ja-JP"/>
        </w:rPr>
        <w:fldChar w:fldCharType="separate"/>
      </w:r>
      <w:r w:rsidR="00507A67" w:rsidRPr="00A52AB8">
        <w:t>Table A-</w:t>
      </w:r>
      <w:r w:rsidR="00507A67">
        <w:t>6</w:t>
      </w:r>
      <w:r w:rsidRPr="00496A4D">
        <w:rPr>
          <w:lang w:eastAsia="ja-JP"/>
        </w:rPr>
        <w:fldChar w:fldCharType="end"/>
      </w:r>
      <w:r w:rsidRPr="00A52AB8">
        <w:rPr>
          <w:lang w:eastAsia="ja-JP"/>
        </w:rPr>
        <w:t>.</w:t>
      </w:r>
    </w:p>
    <w:p w14:paraId="61F2A92B" w14:textId="1AE9D68B" w:rsidR="00A27D5B" w:rsidRPr="00A52AB8" w:rsidRDefault="00587178" w:rsidP="00007BE2">
      <w:pPr>
        <w:numPr>
          <w:ilvl w:val="0"/>
          <w:numId w:val="334"/>
        </w:numPr>
        <w:ind w:left="754" w:hanging="357"/>
        <w:rPr>
          <w:lang w:eastAsia="ja-JP"/>
        </w:rPr>
      </w:pPr>
      <w:r w:rsidRPr="00A52AB8">
        <w:rPr>
          <w:lang w:eastAsia="ja-JP"/>
        </w:rPr>
        <w:t>For the NAL HRD parameters, BitRate</w:t>
      </w:r>
      <w:r w:rsidR="006668AF" w:rsidRPr="00A52AB8">
        <w:rPr>
          <w:lang w:eastAsia="ja-JP"/>
        </w:rPr>
        <w:t>[ 0 ]</w:t>
      </w:r>
      <w:r w:rsidR="00E453A5" w:rsidRPr="00A52AB8">
        <w:rPr>
          <w:color w:val="000000" w:themeColor="text1"/>
        </w:rPr>
        <w:t>[ </w:t>
      </w:r>
      <w:r w:rsidR="00E95AB0" w:rsidRPr="00A52AB8">
        <w:rPr>
          <w:color w:val="000000" w:themeColor="text1"/>
        </w:rPr>
        <w:t>HtidOP</w:t>
      </w:r>
      <w:r w:rsidR="00E453A5" w:rsidRPr="00A52AB8">
        <w:rPr>
          <w:color w:val="000000" w:themeColor="text1"/>
        </w:rPr>
        <w:t> ]</w:t>
      </w:r>
      <w:r w:rsidRPr="00A52AB8">
        <w:rPr>
          <w:lang w:eastAsia="ja-JP"/>
        </w:rPr>
        <w:t>[ i ] shall be less than or equal to Max</w:t>
      </w:r>
      <w:r w:rsidR="00860A03" w:rsidRPr="00A52AB8">
        <w:rPr>
          <w:lang w:eastAsia="ja-JP"/>
        </w:rPr>
        <w:t>Atlas</w:t>
      </w:r>
      <w:r w:rsidRPr="00A52AB8">
        <w:rPr>
          <w:lang w:eastAsia="ja-JP"/>
        </w:rPr>
        <w:t>BR for at least one value of i in the range of 0 to hrd_cab_cnt_minus1</w:t>
      </w:r>
      <w:r w:rsidR="00E453A5" w:rsidRPr="00A52AB8">
        <w:rPr>
          <w:color w:val="000000" w:themeColor="text1"/>
        </w:rPr>
        <w:t>[ </w:t>
      </w:r>
      <w:r w:rsidR="00E95AB0" w:rsidRPr="00A52AB8">
        <w:rPr>
          <w:color w:val="000000" w:themeColor="text1"/>
        </w:rPr>
        <w:t>HtidOP</w:t>
      </w:r>
      <w:r w:rsidR="00E453A5" w:rsidRPr="00A52AB8">
        <w:rPr>
          <w:color w:val="000000" w:themeColor="text1"/>
        </w:rPr>
        <w:t> ]</w:t>
      </w:r>
      <w:r w:rsidRPr="00A52AB8">
        <w:rPr>
          <w:lang w:eastAsia="ja-JP"/>
        </w:rPr>
        <w:t>, inclusive, where BitRate</w:t>
      </w:r>
      <w:r w:rsidR="006668AF" w:rsidRPr="00A52AB8">
        <w:rPr>
          <w:lang w:eastAsia="ja-JP"/>
        </w:rPr>
        <w:t>[ 0 ]</w:t>
      </w:r>
      <w:r w:rsidR="00E453A5" w:rsidRPr="00A52AB8">
        <w:rPr>
          <w:color w:val="000000" w:themeColor="text1"/>
        </w:rPr>
        <w:t>[ </w:t>
      </w:r>
      <w:r w:rsidR="00E95AB0" w:rsidRPr="00A52AB8">
        <w:rPr>
          <w:color w:val="000000" w:themeColor="text1"/>
        </w:rPr>
        <w:t>HtidOP</w:t>
      </w:r>
      <w:r w:rsidR="00E453A5" w:rsidRPr="00A52AB8">
        <w:rPr>
          <w:color w:val="000000" w:themeColor="text1"/>
        </w:rPr>
        <w:t> ]</w:t>
      </w:r>
      <w:r w:rsidRPr="00A52AB8">
        <w:rPr>
          <w:lang w:eastAsia="ja-JP"/>
        </w:rPr>
        <w:t xml:space="preserve">[ i ] is specified in </w:t>
      </w:r>
      <w:r w:rsidR="00684310" w:rsidRPr="00A52AB8">
        <w:rPr>
          <w:lang w:eastAsia="ja-JP"/>
        </w:rPr>
        <w:t>sub</w:t>
      </w:r>
      <w:r w:rsidRPr="00A52AB8">
        <w:rPr>
          <w:lang w:eastAsia="ja-JP"/>
        </w:rPr>
        <w:t>clause </w:t>
      </w:r>
      <w:r w:rsidRPr="00496A4D">
        <w:rPr>
          <w:lang w:eastAsia="ja-JP"/>
        </w:rPr>
        <w:fldChar w:fldCharType="begin"/>
      </w:r>
      <w:r w:rsidRPr="00A52AB8">
        <w:rPr>
          <w:lang w:eastAsia="ja-JP"/>
        </w:rPr>
        <w:instrText xml:space="preserve"> REF _Ref330938596 \r \h </w:instrText>
      </w:r>
      <w:r w:rsidR="006371AA" w:rsidRPr="00A52AB8">
        <w:rPr>
          <w:lang w:eastAsia="ja-JP"/>
        </w:rPr>
        <w:instrText xml:space="preserve"> \* MERGEFORMAT </w:instrText>
      </w:r>
      <w:r w:rsidRPr="00496A4D">
        <w:rPr>
          <w:lang w:eastAsia="ja-JP"/>
        </w:rPr>
      </w:r>
      <w:r w:rsidRPr="00496A4D">
        <w:rPr>
          <w:lang w:eastAsia="ja-JP"/>
        </w:rPr>
        <w:fldChar w:fldCharType="separate"/>
      </w:r>
      <w:r w:rsidR="00507A67">
        <w:rPr>
          <w:lang w:eastAsia="ja-JP"/>
        </w:rPr>
        <w:t>G.3.3</w:t>
      </w:r>
      <w:r w:rsidRPr="00496A4D">
        <w:rPr>
          <w:lang w:eastAsia="ja-JP"/>
        </w:rPr>
        <w:fldChar w:fldCharType="end"/>
      </w:r>
      <w:r w:rsidRPr="00A52AB8">
        <w:rPr>
          <w:lang w:eastAsia="ja-JP"/>
        </w:rPr>
        <w:t xml:space="preserve"> based on parameters selected as specified in </w:t>
      </w:r>
      <w:r w:rsidR="00684310" w:rsidRPr="00A52AB8">
        <w:rPr>
          <w:lang w:eastAsia="ja-JP"/>
        </w:rPr>
        <w:t>sub</w:t>
      </w:r>
      <w:r w:rsidRPr="00A52AB8">
        <w:rPr>
          <w:lang w:eastAsia="ja-JP"/>
        </w:rPr>
        <w:t>clause </w:t>
      </w:r>
      <w:r w:rsidR="006124B7" w:rsidRPr="00496A4D">
        <w:rPr>
          <w:lang w:eastAsia="ja-JP"/>
        </w:rPr>
        <w:fldChar w:fldCharType="begin"/>
      </w:r>
      <w:r w:rsidR="006124B7" w:rsidRPr="00A52AB8">
        <w:rPr>
          <w:lang w:eastAsia="ja-JP"/>
        </w:rPr>
        <w:instrText xml:space="preserve"> REF _Ref21515777 \n \h </w:instrText>
      </w:r>
      <w:r w:rsidR="00851254" w:rsidRPr="00A52AB8">
        <w:rPr>
          <w:lang w:eastAsia="ja-JP"/>
        </w:rPr>
        <w:instrText xml:space="preserve"> \* MERGEFORMAT </w:instrText>
      </w:r>
      <w:r w:rsidR="006124B7" w:rsidRPr="00496A4D">
        <w:rPr>
          <w:lang w:eastAsia="ja-JP"/>
        </w:rPr>
      </w:r>
      <w:r w:rsidR="006124B7" w:rsidRPr="00496A4D">
        <w:rPr>
          <w:lang w:eastAsia="ja-JP"/>
        </w:rPr>
        <w:fldChar w:fldCharType="separate"/>
      </w:r>
      <w:r w:rsidR="00507A67">
        <w:rPr>
          <w:lang w:eastAsia="ja-JP"/>
        </w:rPr>
        <w:t>E.1</w:t>
      </w:r>
      <w:r w:rsidR="006124B7" w:rsidRPr="00496A4D">
        <w:rPr>
          <w:lang w:eastAsia="ja-JP"/>
        </w:rPr>
        <w:fldChar w:fldCharType="end"/>
      </w:r>
      <w:r w:rsidRPr="00A52AB8">
        <w:rPr>
          <w:lang w:eastAsia="ja-JP"/>
        </w:rPr>
        <w:t xml:space="preserve"> and Max</w:t>
      </w:r>
      <w:r w:rsidR="00860A03" w:rsidRPr="00A52AB8">
        <w:rPr>
          <w:lang w:eastAsia="ja-JP"/>
        </w:rPr>
        <w:t>Atlas</w:t>
      </w:r>
      <w:r w:rsidRPr="00A52AB8">
        <w:rPr>
          <w:lang w:eastAsia="ja-JP"/>
        </w:rPr>
        <w:t>BR is specified in</w:t>
      </w:r>
      <w:r w:rsidR="00E453A5" w:rsidRPr="00A52AB8">
        <w:rPr>
          <w:lang w:eastAsia="ja-JP"/>
        </w:rPr>
        <w:t xml:space="preserve"> </w:t>
      </w:r>
      <w:r w:rsidRPr="00496A4D">
        <w:rPr>
          <w:lang w:eastAsia="ja-JP"/>
        </w:rPr>
        <w:fldChar w:fldCharType="begin"/>
      </w:r>
      <w:r w:rsidRPr="00A52AB8">
        <w:rPr>
          <w:lang w:eastAsia="ja-JP"/>
        </w:rPr>
        <w:instrText xml:space="preserve"> REF _Ref43982415 \h </w:instrText>
      </w:r>
      <w:r w:rsidR="006371AA" w:rsidRPr="00A52AB8">
        <w:rPr>
          <w:lang w:eastAsia="ja-JP"/>
        </w:rPr>
        <w:instrText xml:space="preserve"> \* MERGEFORMAT </w:instrText>
      </w:r>
      <w:r w:rsidRPr="00496A4D">
        <w:rPr>
          <w:lang w:eastAsia="ja-JP"/>
        </w:rPr>
      </w:r>
      <w:r w:rsidRPr="00496A4D">
        <w:rPr>
          <w:lang w:eastAsia="ja-JP"/>
        </w:rPr>
        <w:fldChar w:fldCharType="separate"/>
      </w:r>
      <w:r w:rsidR="00507A67" w:rsidRPr="00A52AB8">
        <w:t>Table A-</w:t>
      </w:r>
      <w:r w:rsidR="00507A67">
        <w:t>7</w:t>
      </w:r>
      <w:r w:rsidRPr="00496A4D">
        <w:rPr>
          <w:lang w:eastAsia="ja-JP"/>
        </w:rPr>
        <w:fldChar w:fldCharType="end"/>
      </w:r>
      <w:r w:rsidRPr="00A52AB8">
        <w:rPr>
          <w:lang w:eastAsia="ja-JP"/>
        </w:rPr>
        <w:t>.</w:t>
      </w:r>
    </w:p>
    <w:p w14:paraId="430FFCE8" w14:textId="0BD9A5B2" w:rsidR="009B6E4D" w:rsidRPr="00A52AB8" w:rsidRDefault="002E4C8F" w:rsidP="00A27D5B">
      <w:pPr>
        <w:numPr>
          <w:ilvl w:val="0"/>
          <w:numId w:val="334"/>
        </w:numPr>
        <w:ind w:left="806" w:hanging="403"/>
        <w:rPr>
          <w:lang w:eastAsia="ja-JP"/>
        </w:rPr>
      </w:pPr>
      <w:r w:rsidRPr="00A52AB8">
        <w:rPr>
          <w:lang w:eastAsia="ja-JP"/>
        </w:rPr>
        <w:t xml:space="preserve">For </w:t>
      </w:r>
      <w:r w:rsidR="009B6E4D" w:rsidRPr="00A52AB8">
        <w:rPr>
          <w:lang w:eastAsia="ja-JP"/>
        </w:rPr>
        <w:t>coded atlas access unit</w:t>
      </w:r>
      <w:r w:rsidRPr="00A52AB8">
        <w:rPr>
          <w:lang w:eastAsia="ja-JP"/>
        </w:rPr>
        <w:t xml:space="preserve"> 0, l</w:t>
      </w:r>
      <w:r w:rsidR="004161A6" w:rsidRPr="00A52AB8">
        <w:rPr>
          <w:lang w:eastAsia="ja-JP"/>
        </w:rPr>
        <w:t>et the variable</w:t>
      </w:r>
      <w:r w:rsidR="00A27D5B" w:rsidRPr="00A52AB8">
        <w:rPr>
          <w:lang w:eastAsia="ja-JP"/>
        </w:rPr>
        <w:t>s</w:t>
      </w:r>
      <w:r w:rsidR="004161A6" w:rsidRPr="00A52AB8">
        <w:rPr>
          <w:lang w:eastAsia="ja-JP"/>
        </w:rPr>
        <w:t xml:space="preserve"> </w:t>
      </w:r>
      <w:r w:rsidR="00A27D5B" w:rsidRPr="00A52AB8">
        <w:rPr>
          <w:lang w:eastAsia="ja-JP"/>
        </w:rPr>
        <w:t>maxNumPatches</w:t>
      </w:r>
      <w:r w:rsidR="005D77FA" w:rsidRPr="00A52AB8">
        <w:rPr>
          <w:lang w:eastAsia="ja-JP"/>
        </w:rPr>
        <w:t>, maxPatchBytes,</w:t>
      </w:r>
      <w:r w:rsidR="00A27D5B" w:rsidRPr="00A52AB8">
        <w:rPr>
          <w:lang w:eastAsia="ja-JP"/>
        </w:rPr>
        <w:t xml:space="preserve"> and </w:t>
      </w:r>
      <w:r w:rsidR="005D77FA" w:rsidRPr="00A52AB8">
        <w:rPr>
          <w:lang w:eastAsia="ja-JP"/>
        </w:rPr>
        <w:t>nB</w:t>
      </w:r>
      <w:r w:rsidR="004161A6" w:rsidRPr="00A52AB8">
        <w:rPr>
          <w:lang w:eastAsia="ja-JP"/>
        </w:rPr>
        <w:t xml:space="preserve"> be </w:t>
      </w:r>
      <w:r w:rsidR="00A27D5B" w:rsidRPr="00A52AB8">
        <w:rPr>
          <w:lang w:eastAsia="ja-JP"/>
        </w:rPr>
        <w:t>defined</w:t>
      </w:r>
      <w:r w:rsidR="004161A6" w:rsidRPr="00A52AB8">
        <w:rPr>
          <w:lang w:eastAsia="ja-JP"/>
        </w:rPr>
        <w:t xml:space="preserve"> as follows:</w:t>
      </w:r>
    </w:p>
    <w:p w14:paraId="0410A650" w14:textId="6C97E3BF" w:rsidR="002E4C8F" w:rsidRPr="00A52AB8" w:rsidRDefault="00A27D5B" w:rsidP="008F2A42">
      <w:pPr>
        <w:ind w:left="403"/>
        <w:rPr>
          <w:lang w:eastAsia="ja-JP"/>
        </w:rPr>
      </w:pPr>
      <w:r w:rsidRPr="00A52AB8">
        <w:rPr>
          <w:lang w:eastAsia="ja-JP"/>
        </w:rPr>
        <w:tab/>
      </w:r>
      <w:r w:rsidR="009B6E4D" w:rsidRPr="00A52AB8">
        <w:rPr>
          <w:lang w:eastAsia="ja-JP"/>
        </w:rPr>
        <w:tab/>
      </w:r>
      <w:r w:rsidRPr="00A52AB8">
        <w:rPr>
          <w:lang w:eastAsia="ja-JP"/>
        </w:rPr>
        <w:t>maxNumPatches</w:t>
      </w:r>
      <w:r w:rsidR="00D47707" w:rsidRPr="00A52AB8">
        <w:rPr>
          <w:lang w:eastAsia="ja-JP"/>
        </w:rPr>
        <w:t> = </w:t>
      </w:r>
      <w:r w:rsidRPr="00A52AB8">
        <w:rPr>
          <w:lang w:eastAsia="ja-JP"/>
        </w:rPr>
        <w:t>MaxNumProjPatches + MaxNumRawPatches + MaxNumEOMPatches</w:t>
      </w:r>
      <w:r w:rsidRPr="00A52AB8">
        <w:rPr>
          <w:lang w:eastAsia="ja-JP"/>
        </w:rPr>
        <w:br/>
      </w:r>
      <w:r w:rsidRPr="00A52AB8">
        <w:rPr>
          <w:lang w:eastAsia="ja-JP"/>
        </w:rPr>
        <w:tab/>
      </w:r>
      <w:r w:rsidR="009B6E4D" w:rsidRPr="00A52AB8">
        <w:rPr>
          <w:lang w:eastAsia="ja-JP"/>
        </w:rPr>
        <w:tab/>
      </w:r>
      <w:r w:rsidRPr="00A52AB8">
        <w:rPr>
          <w:lang w:eastAsia="ja-JP"/>
        </w:rPr>
        <w:t>maxPatchB</w:t>
      </w:r>
      <w:r w:rsidR="009B6E4D" w:rsidRPr="00A52AB8">
        <w:rPr>
          <w:lang w:eastAsia="ja-JP"/>
        </w:rPr>
        <w:t>ytes</w:t>
      </w:r>
      <w:r w:rsidR="00D47707" w:rsidRPr="00A52AB8">
        <w:rPr>
          <w:lang w:eastAsia="ja-JP"/>
        </w:rPr>
        <w:t> = </w:t>
      </w:r>
      <w:r w:rsidR="009B6E4D" w:rsidRPr="00A52AB8">
        <w:rPr>
          <w:lang w:eastAsia="ja-JP"/>
        </w:rPr>
        <w:t>MaxPatchRate * MaxPatchSize</w:t>
      </w:r>
      <w:r w:rsidRPr="00A52AB8">
        <w:rPr>
          <w:lang w:eastAsia="ja-JP"/>
        </w:rPr>
        <w:br/>
      </w:r>
      <w:r w:rsidRPr="00A52AB8">
        <w:rPr>
          <w:lang w:eastAsia="ja-JP"/>
        </w:rPr>
        <w:tab/>
      </w:r>
      <w:r w:rsidR="009B6E4D" w:rsidRPr="00A52AB8">
        <w:rPr>
          <w:lang w:eastAsia="ja-JP"/>
        </w:rPr>
        <w:tab/>
      </w:r>
      <w:r w:rsidR="005D77FA" w:rsidRPr="00A52AB8">
        <w:rPr>
          <w:lang w:eastAsia="ja-JP"/>
        </w:rPr>
        <w:t>nB</w:t>
      </w:r>
      <w:r w:rsidR="00D47707" w:rsidRPr="00A52AB8">
        <w:rPr>
          <w:lang w:eastAsia="ja-JP"/>
        </w:rPr>
        <w:t> = </w:t>
      </w:r>
      <w:r w:rsidR="004161A6" w:rsidRPr="00A52AB8">
        <w:rPr>
          <w:lang w:eastAsia="ja-JP"/>
        </w:rPr>
        <w:t>Max( </w:t>
      </w:r>
      <w:r w:rsidRPr="00A52AB8">
        <w:rPr>
          <w:lang w:eastAsia="ja-JP"/>
        </w:rPr>
        <w:t>maxNumPatches</w:t>
      </w:r>
      <w:r w:rsidR="004161A6" w:rsidRPr="00A52AB8">
        <w:rPr>
          <w:lang w:eastAsia="ja-JP"/>
        </w:rPr>
        <w:t>, fR * MaxPatchRate ) </w:t>
      </w:r>
      <w:r w:rsidRPr="00A52AB8">
        <w:rPr>
          <w:lang w:eastAsia="ja-JP"/>
        </w:rPr>
        <w:t>+</w:t>
      </w:r>
      <w:r w:rsidR="004161A6" w:rsidRPr="00A52AB8">
        <w:rPr>
          <w:lang w:eastAsia="ja-JP"/>
        </w:rPr>
        <w:br/>
      </w:r>
      <w:r w:rsidR="004161A6" w:rsidRPr="00A52AB8">
        <w:rPr>
          <w:lang w:eastAsia="ja-JP"/>
        </w:rPr>
        <w:tab/>
      </w:r>
      <w:r w:rsidR="009B6E4D" w:rsidRPr="00A52AB8">
        <w:rPr>
          <w:lang w:eastAsia="ja-JP"/>
        </w:rPr>
        <w:tab/>
      </w:r>
      <w:r w:rsidR="009B6E4D" w:rsidRPr="00A52AB8">
        <w:rPr>
          <w:lang w:eastAsia="ja-JP"/>
        </w:rPr>
        <w:tab/>
        <w:t>maxPatchBytes </w:t>
      </w:r>
      <w:r w:rsidR="004161A6" w:rsidRPr="00A52AB8">
        <w:rPr>
          <w:lang w:eastAsia="ja-JP"/>
        </w:rPr>
        <w:t>* ( AuCabRemovalTime[ 0 ] − AuNominalRemovalTime[ 0 ] )</w:t>
      </w:r>
    </w:p>
    <w:p w14:paraId="01E43CD9" w14:textId="3C3B2444" w:rsidR="002E4C8F" w:rsidRPr="00A52AB8" w:rsidRDefault="002E4C8F" w:rsidP="008F2A42">
      <w:pPr>
        <w:ind w:left="754"/>
        <w:rPr>
          <w:lang w:eastAsia="ja-JP"/>
        </w:rPr>
      </w:pPr>
      <w:r w:rsidRPr="00A52AB8">
        <w:rPr>
          <w:lang w:eastAsia="ja-JP"/>
        </w:rPr>
        <w:t>where the value</w:t>
      </w:r>
      <w:r w:rsidR="009B6E4D" w:rsidRPr="00A52AB8">
        <w:rPr>
          <w:lang w:eastAsia="ja-JP"/>
        </w:rPr>
        <w:t>s</w:t>
      </w:r>
      <w:r w:rsidRPr="00A52AB8">
        <w:rPr>
          <w:lang w:eastAsia="ja-JP"/>
        </w:rPr>
        <w:t xml:space="preserve"> of </w:t>
      </w:r>
      <w:r w:rsidR="009B6E4D" w:rsidRPr="00A52AB8">
        <w:rPr>
          <w:lang w:eastAsia="ja-JP"/>
        </w:rPr>
        <w:t>MaxNumProjPatches, MaxNumRawPatches, MaxNumEOMPatches</w:t>
      </w:r>
      <w:r w:rsidRPr="00A52AB8">
        <w:rPr>
          <w:lang w:eastAsia="ja-JP"/>
        </w:rPr>
        <w:t xml:space="preserve">, </w:t>
      </w:r>
      <w:r w:rsidR="009B6E4D" w:rsidRPr="00A52AB8">
        <w:rPr>
          <w:lang w:eastAsia="ja-JP"/>
        </w:rPr>
        <w:t xml:space="preserve">and </w:t>
      </w:r>
      <w:r w:rsidRPr="00A52AB8">
        <w:rPr>
          <w:lang w:eastAsia="ja-JP"/>
        </w:rPr>
        <w:t xml:space="preserve">MaxPatchRate are specified in </w:t>
      </w:r>
      <w:r w:rsidRPr="00496A4D">
        <w:rPr>
          <w:lang w:eastAsia="ja-JP"/>
        </w:rPr>
        <w:fldChar w:fldCharType="begin"/>
      </w:r>
      <w:r w:rsidRPr="00A52AB8">
        <w:rPr>
          <w:lang w:eastAsia="ja-JP"/>
        </w:rPr>
        <w:instrText xml:space="preserve"> REF _Ref21429412 \h  \* MERGEFORMAT </w:instrText>
      </w:r>
      <w:r w:rsidRPr="00496A4D">
        <w:rPr>
          <w:lang w:eastAsia="ja-JP"/>
        </w:rPr>
      </w:r>
      <w:r w:rsidRPr="00496A4D">
        <w:rPr>
          <w:lang w:eastAsia="ja-JP"/>
        </w:rPr>
        <w:fldChar w:fldCharType="separate"/>
      </w:r>
      <w:r w:rsidR="00507A67" w:rsidRPr="00A52AB8">
        <w:rPr>
          <w:lang w:eastAsia="ja-JP"/>
        </w:rPr>
        <w:t>Table A-</w:t>
      </w:r>
      <w:r w:rsidR="00507A67">
        <w:rPr>
          <w:lang w:eastAsia="ja-JP"/>
        </w:rPr>
        <w:t>6</w:t>
      </w:r>
      <w:r w:rsidRPr="00496A4D">
        <w:rPr>
          <w:lang w:eastAsia="ja-JP"/>
        </w:rPr>
        <w:fldChar w:fldCharType="end"/>
      </w:r>
      <w:r w:rsidRPr="00A52AB8">
        <w:rPr>
          <w:lang w:eastAsia="ja-JP"/>
        </w:rPr>
        <w:t>.</w:t>
      </w:r>
    </w:p>
    <w:p w14:paraId="190CC9FE" w14:textId="1F353C2A" w:rsidR="0050060D" w:rsidRPr="00A52AB8" w:rsidRDefault="0050060D" w:rsidP="008F2A42">
      <w:pPr>
        <w:ind w:left="754"/>
        <w:rPr>
          <w:lang w:eastAsia="ja-JP"/>
        </w:rPr>
      </w:pPr>
      <w:r w:rsidRPr="00A52AB8">
        <w:rPr>
          <w:lang w:eastAsia="ja-JP"/>
        </w:rPr>
        <w:t>The sum of the NumB</w:t>
      </w:r>
      <w:r w:rsidR="00D8479F" w:rsidRPr="00A52AB8">
        <w:rPr>
          <w:lang w:eastAsia="ja-JP"/>
        </w:rPr>
        <w:t>ytes</w:t>
      </w:r>
      <w:r w:rsidRPr="00A52AB8">
        <w:rPr>
          <w:lang w:eastAsia="ja-JP"/>
        </w:rPr>
        <w:t xml:space="preserve">InNalUnit variables for </w:t>
      </w:r>
      <w:r w:rsidR="009B6E4D" w:rsidRPr="00A52AB8">
        <w:rPr>
          <w:lang w:eastAsia="ja-JP"/>
        </w:rPr>
        <w:t xml:space="preserve">coded atlas </w:t>
      </w:r>
      <w:r w:rsidRPr="00A52AB8">
        <w:rPr>
          <w:lang w:eastAsia="ja-JP"/>
        </w:rPr>
        <w:t>access unit 0 shall be less than or equal to</w:t>
      </w:r>
      <w:r w:rsidR="009B6E4D" w:rsidRPr="00A52AB8">
        <w:rPr>
          <w:lang w:eastAsia="ja-JP"/>
        </w:rPr>
        <w:t xml:space="preserve"> </w:t>
      </w:r>
      <w:r w:rsidR="005D77FA" w:rsidRPr="00A52AB8">
        <w:rPr>
          <w:lang w:eastAsia="ja-JP"/>
        </w:rPr>
        <w:t>nB</w:t>
      </w:r>
      <w:r w:rsidRPr="00A52AB8">
        <w:rPr>
          <w:lang w:eastAsia="ja-JP"/>
        </w:rPr>
        <w:t>.</w:t>
      </w:r>
    </w:p>
    <w:p w14:paraId="7F01B1DE" w14:textId="64AC9E77" w:rsidR="009B6E4D" w:rsidRPr="00A52AB8" w:rsidRDefault="009B6E4D" w:rsidP="009B6E4D">
      <w:pPr>
        <w:numPr>
          <w:ilvl w:val="0"/>
          <w:numId w:val="334"/>
        </w:numPr>
        <w:ind w:left="754" w:hanging="357"/>
        <w:rPr>
          <w:lang w:eastAsia="ja-JP"/>
        </w:rPr>
      </w:pPr>
      <w:r w:rsidRPr="00A52AB8">
        <w:rPr>
          <w:lang w:eastAsia="ja-JP"/>
        </w:rPr>
        <w:t>For coded atlas access unit n, with n greater than 0, l</w:t>
      </w:r>
      <w:r w:rsidR="00EF0114" w:rsidRPr="00A52AB8">
        <w:rPr>
          <w:lang w:eastAsia="ja-JP"/>
        </w:rPr>
        <w:t>et</w:t>
      </w:r>
      <w:r w:rsidRPr="00A52AB8">
        <w:rPr>
          <w:lang w:eastAsia="ja-JP"/>
        </w:rPr>
        <w:t xml:space="preserve"> the variable</w:t>
      </w:r>
      <w:r w:rsidR="005D77FA" w:rsidRPr="00A52AB8">
        <w:rPr>
          <w:lang w:eastAsia="ja-JP"/>
        </w:rPr>
        <w:t>s</w:t>
      </w:r>
      <w:r w:rsidRPr="00A52AB8">
        <w:rPr>
          <w:lang w:eastAsia="ja-JP"/>
        </w:rPr>
        <w:t xml:space="preserve"> </w:t>
      </w:r>
      <w:r w:rsidR="005D77FA" w:rsidRPr="00A52AB8">
        <w:rPr>
          <w:lang w:eastAsia="ja-JP"/>
        </w:rPr>
        <w:t xml:space="preserve">maxPatchBytes and </w:t>
      </w:r>
      <w:r w:rsidRPr="00A52AB8">
        <w:rPr>
          <w:lang w:eastAsia="ja-JP"/>
        </w:rPr>
        <w:t>nB be defined as follows:</w:t>
      </w:r>
    </w:p>
    <w:p w14:paraId="359C9D88" w14:textId="6894FD88" w:rsidR="005D77FA" w:rsidRPr="00A52AB8" w:rsidRDefault="005D77FA" w:rsidP="005D77FA">
      <w:pPr>
        <w:ind w:left="1209"/>
        <w:rPr>
          <w:lang w:eastAsia="ja-JP"/>
        </w:rPr>
      </w:pPr>
      <w:r w:rsidRPr="00A52AB8">
        <w:rPr>
          <w:lang w:eastAsia="ja-JP"/>
        </w:rPr>
        <w:tab/>
        <w:t>maxPatchBytes</w:t>
      </w:r>
      <w:r w:rsidR="00D47707" w:rsidRPr="00A52AB8">
        <w:rPr>
          <w:lang w:eastAsia="ja-JP"/>
        </w:rPr>
        <w:t> = </w:t>
      </w:r>
      <w:r w:rsidRPr="00A52AB8">
        <w:rPr>
          <w:lang w:eastAsia="ja-JP"/>
        </w:rPr>
        <w:t>MaxPatchRate * MaxPatchSize</w:t>
      </w:r>
      <w:r w:rsidRPr="00A52AB8">
        <w:rPr>
          <w:lang w:eastAsia="ja-JP"/>
        </w:rPr>
        <w:br/>
      </w:r>
      <w:r w:rsidR="00EF0114" w:rsidRPr="00A52AB8">
        <w:rPr>
          <w:lang w:eastAsia="ja-JP"/>
        </w:rPr>
        <w:t>nB</w:t>
      </w:r>
      <w:r w:rsidR="00D47707" w:rsidRPr="00A52AB8">
        <w:rPr>
          <w:lang w:eastAsia="ja-JP"/>
        </w:rPr>
        <w:t> = </w:t>
      </w:r>
      <w:r w:rsidRPr="00A52AB8">
        <w:rPr>
          <w:lang w:eastAsia="ja-JP"/>
        </w:rPr>
        <w:t>maxPatchBytes </w:t>
      </w:r>
      <w:r w:rsidR="00EF0114" w:rsidRPr="00A52AB8">
        <w:rPr>
          <w:lang w:eastAsia="ja-JP"/>
        </w:rPr>
        <w:t>* ( AuCabRemovalTime[ n ] − AuCabRemovalTime[ n − 1 ] )</w:t>
      </w:r>
    </w:p>
    <w:p w14:paraId="51209010" w14:textId="551226A6" w:rsidR="005D77FA" w:rsidRPr="00A52AB8" w:rsidRDefault="005D77FA" w:rsidP="008F2A42">
      <w:pPr>
        <w:ind w:left="806"/>
        <w:rPr>
          <w:lang w:eastAsia="ja-JP"/>
        </w:rPr>
      </w:pPr>
      <w:r w:rsidRPr="00A52AB8">
        <w:rPr>
          <w:lang w:eastAsia="ja-JP"/>
        </w:rPr>
        <w:t>where MaxPatchRate</w:t>
      </w:r>
      <w:r w:rsidR="00816339" w:rsidRPr="00A52AB8">
        <w:rPr>
          <w:lang w:eastAsia="ja-JP"/>
        </w:rPr>
        <w:t xml:space="preserve"> </w:t>
      </w:r>
      <w:r w:rsidRPr="00A52AB8">
        <w:rPr>
          <w:lang w:eastAsia="ja-JP"/>
        </w:rPr>
        <w:t xml:space="preserve">is specified in </w:t>
      </w:r>
      <w:r w:rsidRPr="00496A4D">
        <w:rPr>
          <w:lang w:eastAsia="ja-JP"/>
        </w:rPr>
        <w:fldChar w:fldCharType="begin"/>
      </w:r>
      <w:r w:rsidRPr="00A52AB8">
        <w:rPr>
          <w:lang w:eastAsia="ja-JP"/>
        </w:rPr>
        <w:instrText xml:space="preserve"> REF _Ref21429412 \h  \* MERGEFORMAT </w:instrText>
      </w:r>
      <w:r w:rsidRPr="00496A4D">
        <w:rPr>
          <w:lang w:eastAsia="ja-JP"/>
        </w:rPr>
      </w:r>
      <w:r w:rsidRPr="00496A4D">
        <w:rPr>
          <w:lang w:eastAsia="ja-JP"/>
        </w:rPr>
        <w:fldChar w:fldCharType="separate"/>
      </w:r>
      <w:r w:rsidR="00507A67" w:rsidRPr="00A52AB8">
        <w:rPr>
          <w:lang w:eastAsia="ja-JP"/>
        </w:rPr>
        <w:t>Table A-</w:t>
      </w:r>
      <w:r w:rsidR="00507A67">
        <w:rPr>
          <w:lang w:eastAsia="ja-JP"/>
        </w:rPr>
        <w:t>6</w:t>
      </w:r>
      <w:r w:rsidRPr="00496A4D">
        <w:rPr>
          <w:lang w:eastAsia="ja-JP"/>
        </w:rPr>
        <w:fldChar w:fldCharType="end"/>
      </w:r>
      <w:r w:rsidRPr="00A52AB8">
        <w:rPr>
          <w:lang w:eastAsia="ja-JP"/>
        </w:rPr>
        <w:t>.</w:t>
      </w:r>
    </w:p>
    <w:p w14:paraId="1AADD3C4" w14:textId="10F17353" w:rsidR="0050060D" w:rsidRDefault="0050060D" w:rsidP="008F2A42">
      <w:pPr>
        <w:ind w:left="806"/>
        <w:rPr>
          <w:lang w:eastAsia="ja-JP"/>
        </w:rPr>
      </w:pPr>
      <w:r w:rsidRPr="00A52AB8">
        <w:rPr>
          <w:lang w:eastAsia="ja-JP"/>
        </w:rPr>
        <w:t xml:space="preserve">The sum of the NumBytesInNalUnit variables for access unit n shall be less than or equal to </w:t>
      </w:r>
      <w:r w:rsidR="00A83A95" w:rsidRPr="00A52AB8">
        <w:rPr>
          <w:lang w:eastAsia="ja-JP"/>
        </w:rPr>
        <w:t>nB</w:t>
      </w:r>
      <w:r w:rsidR="005D77FA" w:rsidRPr="00A52AB8">
        <w:rPr>
          <w:lang w:eastAsia="ja-JP"/>
        </w:rPr>
        <w:t>.</w:t>
      </w:r>
    </w:p>
    <w:p w14:paraId="0957E6A8" w14:textId="77777777" w:rsidR="00CA2168" w:rsidRDefault="00CA2168" w:rsidP="00CA2168">
      <w:pPr>
        <w:pStyle w:val="a2"/>
        <w:numPr>
          <w:ilvl w:val="1"/>
          <w:numId w:val="14"/>
        </w:numPr>
        <w:tabs>
          <w:tab w:val="clear" w:pos="806"/>
          <w:tab w:val="clear" w:pos="1210"/>
          <w:tab w:val="clear" w:pos="1613"/>
          <w:tab w:val="clear" w:pos="2016"/>
          <w:tab w:val="clear" w:pos="2419"/>
          <w:tab w:val="clear" w:pos="2822"/>
          <w:tab w:val="clear" w:pos="3226"/>
          <w:tab w:val="clear" w:pos="3629"/>
          <w:tab w:val="clear" w:pos="4032"/>
          <w:tab w:val="clear" w:pos="4435"/>
          <w:tab w:val="clear" w:pos="9677"/>
          <w:tab w:val="num" w:pos="4613"/>
        </w:tabs>
      </w:pPr>
      <w:bookmarkStart w:id="4768" w:name="_Toc48570888"/>
      <w:bookmarkStart w:id="4769" w:name="_Toc49424453"/>
      <w:bookmarkStart w:id="4770" w:name="_Toc52181657"/>
      <w:r>
        <w:t>Decoder instantiations</w:t>
      </w:r>
      <w:bookmarkEnd w:id="4768"/>
      <w:bookmarkEnd w:id="4769"/>
      <w:bookmarkEnd w:id="4770"/>
    </w:p>
    <w:p w14:paraId="0C387BEC" w14:textId="77777777" w:rsidR="00CA2168" w:rsidRDefault="00CA2168" w:rsidP="00CA2168">
      <w:pPr>
        <w:rPr>
          <w:noProof/>
          <w:lang w:eastAsia="ja-JP"/>
        </w:rPr>
      </w:pPr>
      <w:r>
        <w:rPr>
          <w:noProof/>
          <w:lang w:eastAsia="ja-JP"/>
        </w:rPr>
        <w:t>Conforming bitstreams shall obey the following constraint:</w:t>
      </w:r>
    </w:p>
    <w:p w14:paraId="6DF6CBBF" w14:textId="65BF73BA" w:rsidR="00CA2168" w:rsidRDefault="00CA2168" w:rsidP="00CA2168">
      <w:pPr>
        <w:ind w:left="360"/>
        <w:rPr>
          <w:noProof/>
          <w:lang w:eastAsia="ja-JP"/>
        </w:rPr>
      </w:pPr>
      <w:r>
        <w:rPr>
          <w:noProof/>
          <w:lang w:eastAsia="ja-JP"/>
        </w:rPr>
        <w:t xml:space="preserve">NumDecodes shall be less than or equal to MaxDecodes specified in </w:t>
      </w:r>
      <w:r w:rsidRPr="0044255C">
        <w:rPr>
          <w:noProof/>
          <w:lang w:eastAsia="ja-JP"/>
        </w:rPr>
        <w:fldChar w:fldCharType="begin"/>
      </w:r>
      <w:r w:rsidRPr="0044255C">
        <w:rPr>
          <w:noProof/>
          <w:lang w:eastAsia="ja-JP"/>
        </w:rPr>
        <w:instrText xml:space="preserve"> REF _Ref48912648 \h  \* MERGEFORMAT </w:instrText>
      </w:r>
      <w:r w:rsidRPr="0044255C">
        <w:rPr>
          <w:noProof/>
          <w:lang w:eastAsia="ja-JP"/>
        </w:rPr>
      </w:r>
      <w:r w:rsidRPr="0044255C">
        <w:rPr>
          <w:noProof/>
          <w:lang w:eastAsia="ja-JP"/>
        </w:rPr>
        <w:fldChar w:fldCharType="separate"/>
      </w:r>
      <w:r w:rsidR="00507A67" w:rsidRPr="0068485C">
        <w:t>Table A</w:t>
      </w:r>
      <w:r w:rsidR="00507A67" w:rsidRPr="00AF5C41">
        <w:t>-</w:t>
      </w:r>
      <w:r w:rsidR="00507A67">
        <w:t>8</w:t>
      </w:r>
      <w:r w:rsidRPr="0044255C">
        <w:rPr>
          <w:noProof/>
          <w:lang w:eastAsia="ja-JP"/>
        </w:rPr>
        <w:fldChar w:fldCharType="end"/>
      </w:r>
      <w:r>
        <w:rPr>
          <w:noProof/>
          <w:lang w:eastAsia="ja-JP"/>
        </w:rPr>
        <w:t xml:space="preserve">, for values of </w:t>
      </w:r>
      <w:r w:rsidRPr="004835A6">
        <w:rPr>
          <w:noProof/>
          <w:lang w:eastAsia="ja-JP"/>
        </w:rPr>
        <w:t>ptl_max_decodes_idc in the range of 0 .. 9</w:t>
      </w:r>
      <w:r>
        <w:rPr>
          <w:noProof/>
          <w:lang w:eastAsia="ja-JP"/>
        </w:rPr>
        <w:t xml:space="preserve">. </w:t>
      </w:r>
    </w:p>
    <w:p w14:paraId="2FF35560" w14:textId="77777777" w:rsidR="00CA2168" w:rsidRDefault="00CA2168" w:rsidP="00CA2168">
      <w:pPr>
        <w:rPr>
          <w:lang w:eastAsia="ja-JP"/>
        </w:rPr>
      </w:pPr>
      <w:r w:rsidRPr="004835A6">
        <w:rPr>
          <w:noProof/>
          <w:lang w:eastAsia="ja-JP"/>
        </w:rPr>
        <w:t xml:space="preserve">ptl_max_decodes_idc equal to 15 does </w:t>
      </w:r>
      <w:r>
        <w:rPr>
          <w:noProof/>
          <w:lang w:eastAsia="ja-JP"/>
        </w:rPr>
        <w:t xml:space="preserve">not </w:t>
      </w:r>
      <w:r w:rsidRPr="004835A6">
        <w:rPr>
          <w:noProof/>
          <w:lang w:eastAsia="ja-JP"/>
        </w:rPr>
        <w:t xml:space="preserve">indicate a constraint. ptl_max_decodes_idc </w:t>
      </w:r>
      <w:r>
        <w:rPr>
          <w:noProof/>
          <w:lang w:eastAsia="ja-JP"/>
        </w:rPr>
        <w:t>v</w:t>
      </w:r>
      <w:r w:rsidRPr="004835A6">
        <w:rPr>
          <w:noProof/>
          <w:lang w:eastAsia="ja-JP"/>
        </w:rPr>
        <w:t xml:space="preserve">alues in the range of 10..14 are reserved for future use by ISO/IEC and shall not be present in bitstreams conforming to this version of this </w:t>
      </w:r>
      <w:r>
        <w:rPr>
          <w:noProof/>
          <w:lang w:eastAsia="ja-JP"/>
        </w:rPr>
        <w:t>s</w:t>
      </w:r>
      <w:r w:rsidRPr="004835A6">
        <w:rPr>
          <w:noProof/>
          <w:lang w:eastAsia="ja-JP"/>
        </w:rPr>
        <w:t>pecification.</w:t>
      </w:r>
    </w:p>
    <w:p w14:paraId="251F0870" w14:textId="77777777" w:rsidR="00CA2168" w:rsidRDefault="00CA2168" w:rsidP="00CA2168">
      <w:pPr>
        <w:rPr>
          <w:lang w:eastAsia="ja-JP"/>
        </w:rPr>
      </w:pPr>
      <w:r>
        <w:rPr>
          <w:lang w:eastAsia="ja-JP"/>
        </w:rPr>
        <w:t>Variable NumDecodes is derived as follows:</w:t>
      </w:r>
    </w:p>
    <w:p w14:paraId="32936BE2" w14:textId="6D0B3E68" w:rsidR="00CA2168" w:rsidRDefault="00CA2168" w:rsidP="00CA2168">
      <w:pPr>
        <w:tabs>
          <w:tab w:val="clear" w:pos="403"/>
        </w:tabs>
        <w:ind w:left="215"/>
        <w:jc w:val="left"/>
        <w:rPr>
          <w:lang w:eastAsia="ja-JP"/>
        </w:rPr>
      </w:pPr>
      <w:r>
        <w:rPr>
          <w:lang w:eastAsia="ja-JP"/>
        </w:rPr>
        <w:t>NumDecodes = 0</w:t>
      </w:r>
      <w:r>
        <w:rPr>
          <w:lang w:eastAsia="ja-JP"/>
        </w:rPr>
        <w:br/>
        <w:t>for(</w:t>
      </w:r>
      <w:r w:rsidRPr="00E55088">
        <w:rPr>
          <w:noProof/>
          <w:color w:val="000000" w:themeColor="text1"/>
        </w:rPr>
        <w:t> </w:t>
      </w:r>
      <w:r>
        <w:rPr>
          <w:lang w:eastAsia="ja-JP"/>
        </w:rPr>
        <w:t>j = 0; j &lt; vps_atlas_count_minus1 + 1; j++ ) {</w:t>
      </w:r>
      <w:r>
        <w:rPr>
          <w:lang w:eastAsia="ja-JP"/>
        </w:rPr>
        <w:br/>
      </w:r>
      <w:r>
        <w:rPr>
          <w:lang w:eastAsia="ja-JP"/>
        </w:rPr>
        <w:tab/>
        <w:t>NumDecodes</w:t>
      </w:r>
      <w:bookmarkStart w:id="4771" w:name="_Hlk48913185"/>
      <w:r w:rsidRPr="00E55088">
        <w:rPr>
          <w:noProof/>
          <w:color w:val="000000" w:themeColor="text1"/>
        </w:rPr>
        <w:t> </w:t>
      </w:r>
      <w:bookmarkEnd w:id="4771"/>
      <w:r w:rsidRPr="00E55088">
        <w:rPr>
          <w:noProof/>
          <w:color w:val="000000" w:themeColor="text1"/>
        </w:rPr>
        <w:t> </w:t>
      </w:r>
      <w:r>
        <w:rPr>
          <w:lang w:eastAsia="ja-JP"/>
        </w:rPr>
        <w:t>+=</w:t>
      </w:r>
      <w:r w:rsidRPr="00E55088">
        <w:rPr>
          <w:noProof/>
          <w:color w:val="000000" w:themeColor="text1"/>
        </w:rPr>
        <w:t>  </w:t>
      </w:r>
      <w:r>
        <w:rPr>
          <w:lang w:eastAsia="ja-JP"/>
        </w:rPr>
        <w:t>vps_auxiliary_video_present_flag[</w:t>
      </w:r>
      <w:r w:rsidRPr="00E55088">
        <w:rPr>
          <w:noProof/>
          <w:color w:val="000000" w:themeColor="text1"/>
        </w:rPr>
        <w:t> </w:t>
      </w:r>
      <w:r>
        <w:rPr>
          <w:lang w:eastAsia="ja-JP"/>
        </w:rPr>
        <w:t>j</w:t>
      </w:r>
      <w:r w:rsidRPr="00E55088">
        <w:rPr>
          <w:noProof/>
          <w:color w:val="000000" w:themeColor="text1"/>
        </w:rPr>
        <w:t> </w:t>
      </w:r>
      <w:r>
        <w:rPr>
          <w:lang w:eastAsia="ja-JP"/>
        </w:rPr>
        <w:t>]</w:t>
      </w:r>
      <w:r>
        <w:rPr>
          <w:lang w:eastAsia="ja-JP"/>
        </w:rPr>
        <w:br/>
      </w:r>
      <w:r>
        <w:rPr>
          <w:lang w:eastAsia="ja-JP"/>
        </w:rPr>
        <w:tab/>
        <w:t>NumDecodes</w:t>
      </w:r>
      <w:r w:rsidRPr="00E55088">
        <w:rPr>
          <w:noProof/>
          <w:color w:val="000000" w:themeColor="text1"/>
        </w:rPr>
        <w:t>  </w:t>
      </w:r>
      <w:r>
        <w:rPr>
          <w:lang w:eastAsia="ja-JP"/>
        </w:rPr>
        <w:t>+=</w:t>
      </w:r>
      <w:r w:rsidRPr="00E55088">
        <w:rPr>
          <w:noProof/>
          <w:color w:val="000000" w:themeColor="text1"/>
        </w:rPr>
        <w:t>  </w:t>
      </w:r>
      <w:r>
        <w:rPr>
          <w:lang w:eastAsia="ja-JP"/>
        </w:rPr>
        <w:t>vps_occupancy_video_present_flag[</w:t>
      </w:r>
      <w:r w:rsidRPr="00E55088">
        <w:rPr>
          <w:noProof/>
          <w:color w:val="000000" w:themeColor="text1"/>
        </w:rPr>
        <w:t> </w:t>
      </w:r>
      <w:r>
        <w:rPr>
          <w:lang w:eastAsia="ja-JP"/>
        </w:rPr>
        <w:t>j</w:t>
      </w:r>
      <w:r w:rsidRPr="00E55088">
        <w:rPr>
          <w:noProof/>
          <w:color w:val="000000" w:themeColor="text1"/>
        </w:rPr>
        <w:t> </w:t>
      </w:r>
      <w:r>
        <w:rPr>
          <w:lang w:eastAsia="ja-JP"/>
        </w:rPr>
        <w:t>]</w:t>
      </w:r>
      <w:r>
        <w:rPr>
          <w:lang w:eastAsia="ja-JP"/>
        </w:rPr>
        <w:br/>
      </w:r>
      <w:r>
        <w:rPr>
          <w:lang w:eastAsia="ja-JP"/>
        </w:rPr>
        <w:tab/>
        <w:t>NumDecodes</w:t>
      </w:r>
      <w:r w:rsidRPr="00E55088">
        <w:rPr>
          <w:noProof/>
          <w:color w:val="000000" w:themeColor="text1"/>
        </w:rPr>
        <w:t>  </w:t>
      </w:r>
      <w:r>
        <w:rPr>
          <w:lang w:eastAsia="ja-JP"/>
        </w:rPr>
        <w:t>+=</w:t>
      </w:r>
      <w:r w:rsidRPr="00E55088">
        <w:rPr>
          <w:noProof/>
          <w:color w:val="000000" w:themeColor="text1"/>
        </w:rPr>
        <w:t>  </w:t>
      </w:r>
      <w:r>
        <w:rPr>
          <w:lang w:eastAsia="ja-JP"/>
        </w:rPr>
        <w:t>vps_geometry_video_present_flag[</w:t>
      </w:r>
      <w:r w:rsidRPr="00E55088">
        <w:rPr>
          <w:noProof/>
          <w:color w:val="000000" w:themeColor="text1"/>
        </w:rPr>
        <w:t> </w:t>
      </w:r>
      <w:r>
        <w:rPr>
          <w:lang w:eastAsia="ja-JP"/>
        </w:rPr>
        <w:t>j</w:t>
      </w:r>
      <w:r w:rsidRPr="00E55088">
        <w:rPr>
          <w:noProof/>
          <w:color w:val="000000" w:themeColor="text1"/>
        </w:rPr>
        <w:t> </w:t>
      </w:r>
      <w:r>
        <w:rPr>
          <w:lang w:eastAsia="ja-JP"/>
        </w:rPr>
        <w:t>]</w:t>
      </w:r>
      <w:r w:rsidRPr="00E55088">
        <w:rPr>
          <w:noProof/>
          <w:color w:val="000000" w:themeColor="text1"/>
        </w:rPr>
        <w:t> </w:t>
      </w:r>
      <w:r>
        <w:rPr>
          <w:lang w:eastAsia="ja-JP"/>
        </w:rPr>
        <w:t>*</w:t>
      </w:r>
      <w:r w:rsidRPr="00E55088">
        <w:rPr>
          <w:noProof/>
          <w:color w:val="000000" w:themeColor="text1"/>
        </w:rPr>
        <w:t> </w:t>
      </w:r>
      <w:r>
        <w:rPr>
          <w:lang w:eastAsia="ja-JP"/>
        </w:rPr>
        <w:t>(vps_map_count_minus1[</w:t>
      </w:r>
      <w:r w:rsidRPr="00E55088">
        <w:rPr>
          <w:noProof/>
          <w:color w:val="000000" w:themeColor="text1"/>
        </w:rPr>
        <w:t> </w:t>
      </w:r>
      <w:r>
        <w:rPr>
          <w:lang w:eastAsia="ja-JP"/>
        </w:rPr>
        <w:t>j</w:t>
      </w:r>
      <w:r w:rsidRPr="00E55088">
        <w:rPr>
          <w:noProof/>
          <w:color w:val="000000" w:themeColor="text1"/>
        </w:rPr>
        <w:t> </w:t>
      </w:r>
      <w:r>
        <w:rPr>
          <w:lang w:eastAsia="ja-JP"/>
        </w:rPr>
        <w:t>]</w:t>
      </w:r>
      <w:r w:rsidRPr="00E55088">
        <w:rPr>
          <w:noProof/>
          <w:color w:val="000000" w:themeColor="text1"/>
        </w:rPr>
        <w:t> </w:t>
      </w:r>
      <w:r>
        <w:rPr>
          <w:lang w:eastAsia="ja-JP"/>
        </w:rPr>
        <w:t>+</w:t>
      </w:r>
      <w:r w:rsidRPr="00E55088">
        <w:rPr>
          <w:noProof/>
          <w:color w:val="000000" w:themeColor="text1"/>
        </w:rPr>
        <w:t> </w:t>
      </w:r>
      <w:r>
        <w:rPr>
          <w:lang w:eastAsia="ja-JP"/>
        </w:rPr>
        <w:t>1)</w:t>
      </w:r>
      <w:r>
        <w:rPr>
          <w:lang w:eastAsia="ja-JP"/>
        </w:rPr>
        <w:br/>
      </w:r>
      <w:r>
        <w:rPr>
          <w:lang w:eastAsia="ja-JP"/>
        </w:rPr>
        <w:tab/>
        <w:t>if (</w:t>
      </w:r>
      <w:r w:rsidRPr="00E55088">
        <w:rPr>
          <w:noProof/>
          <w:color w:val="000000" w:themeColor="text1"/>
        </w:rPr>
        <w:t> </w:t>
      </w:r>
      <w:r>
        <w:rPr>
          <w:lang w:eastAsia="ja-JP"/>
        </w:rPr>
        <w:t>vps_attribute_video_present_flag[</w:t>
      </w:r>
      <w:r w:rsidRPr="00E55088">
        <w:rPr>
          <w:noProof/>
          <w:color w:val="000000" w:themeColor="text1"/>
        </w:rPr>
        <w:t> </w:t>
      </w:r>
      <w:r>
        <w:rPr>
          <w:lang w:eastAsia="ja-JP"/>
        </w:rPr>
        <w:t>j</w:t>
      </w:r>
      <w:r w:rsidRPr="00E55088">
        <w:rPr>
          <w:noProof/>
          <w:color w:val="000000" w:themeColor="text1"/>
        </w:rPr>
        <w:t> </w:t>
      </w:r>
      <w:r>
        <w:rPr>
          <w:lang w:eastAsia="ja-JP"/>
        </w:rPr>
        <w:t>] )</w:t>
      </w:r>
      <w:r>
        <w:rPr>
          <w:lang w:eastAsia="ja-JP"/>
        </w:rPr>
        <w:br/>
      </w:r>
      <w:r>
        <w:rPr>
          <w:lang w:eastAsia="ja-JP"/>
        </w:rPr>
        <w:tab/>
      </w:r>
      <w:r>
        <w:rPr>
          <w:lang w:eastAsia="ja-JP"/>
        </w:rPr>
        <w:tab/>
      </w:r>
      <w:r>
        <w:rPr>
          <w:lang w:eastAsia="ja-JP"/>
        </w:rPr>
        <w:tab/>
        <w:t>NumDecodes</w:t>
      </w:r>
      <w:r w:rsidRPr="00E55088">
        <w:rPr>
          <w:noProof/>
          <w:color w:val="000000" w:themeColor="text1"/>
        </w:rPr>
        <w:t>  </w:t>
      </w:r>
      <w:r>
        <w:rPr>
          <w:lang w:eastAsia="ja-JP"/>
        </w:rPr>
        <w:t>+=</w:t>
      </w:r>
      <w:r w:rsidRPr="00E55088">
        <w:rPr>
          <w:noProof/>
          <w:color w:val="000000" w:themeColor="text1"/>
        </w:rPr>
        <w:t>  </w:t>
      </w:r>
      <w:r>
        <w:rPr>
          <w:lang w:eastAsia="ja-JP"/>
        </w:rPr>
        <w:t>ai_attribute_count[</w:t>
      </w:r>
      <w:r w:rsidRPr="00E55088">
        <w:rPr>
          <w:noProof/>
          <w:color w:val="000000" w:themeColor="text1"/>
        </w:rPr>
        <w:t> </w:t>
      </w:r>
      <w:r>
        <w:rPr>
          <w:lang w:eastAsia="ja-JP"/>
        </w:rPr>
        <w:t>j</w:t>
      </w:r>
      <w:r w:rsidRPr="00E55088">
        <w:rPr>
          <w:noProof/>
          <w:color w:val="000000" w:themeColor="text1"/>
        </w:rPr>
        <w:t> </w:t>
      </w:r>
      <w:r>
        <w:rPr>
          <w:lang w:eastAsia="ja-JP"/>
        </w:rPr>
        <w:t>]</w:t>
      </w:r>
      <w:r w:rsidRPr="00E55088">
        <w:rPr>
          <w:noProof/>
          <w:color w:val="000000" w:themeColor="text1"/>
        </w:rPr>
        <w:t> </w:t>
      </w:r>
      <w:r>
        <w:rPr>
          <w:lang w:eastAsia="ja-JP"/>
        </w:rPr>
        <w:t>*</w:t>
      </w:r>
      <w:r w:rsidRPr="00E55088">
        <w:rPr>
          <w:noProof/>
          <w:color w:val="000000" w:themeColor="text1"/>
        </w:rPr>
        <w:t> </w:t>
      </w:r>
      <w:r>
        <w:rPr>
          <w:lang w:eastAsia="ja-JP"/>
        </w:rPr>
        <w:t>(</w:t>
      </w:r>
      <w:r w:rsidRPr="00E55088">
        <w:rPr>
          <w:noProof/>
          <w:color w:val="000000" w:themeColor="text1"/>
        </w:rPr>
        <w:t> </w:t>
      </w:r>
      <w:r>
        <w:rPr>
          <w:lang w:eastAsia="ja-JP"/>
        </w:rPr>
        <w:t>vps_map_count_minus1[</w:t>
      </w:r>
      <w:r w:rsidRPr="00E55088">
        <w:rPr>
          <w:noProof/>
          <w:color w:val="000000" w:themeColor="text1"/>
        </w:rPr>
        <w:t> </w:t>
      </w:r>
      <w:r>
        <w:rPr>
          <w:lang w:eastAsia="ja-JP"/>
        </w:rPr>
        <w:t>j</w:t>
      </w:r>
      <w:r w:rsidRPr="00E55088">
        <w:rPr>
          <w:noProof/>
          <w:color w:val="000000" w:themeColor="text1"/>
        </w:rPr>
        <w:t> </w:t>
      </w:r>
      <w:r>
        <w:rPr>
          <w:lang w:eastAsia="ja-JP"/>
        </w:rPr>
        <w:t>]</w:t>
      </w:r>
      <w:r w:rsidRPr="00E55088">
        <w:rPr>
          <w:noProof/>
          <w:color w:val="000000" w:themeColor="text1"/>
        </w:rPr>
        <w:t> </w:t>
      </w:r>
      <w:r>
        <w:rPr>
          <w:lang w:eastAsia="ja-JP"/>
        </w:rPr>
        <w:t>+</w:t>
      </w:r>
      <w:r w:rsidRPr="00E55088">
        <w:rPr>
          <w:noProof/>
          <w:color w:val="000000" w:themeColor="text1"/>
        </w:rPr>
        <w:t> </w:t>
      </w:r>
      <w:r>
        <w:rPr>
          <w:lang w:eastAsia="ja-JP"/>
        </w:rPr>
        <w:t>1</w:t>
      </w:r>
      <w:r w:rsidRPr="00E55088">
        <w:rPr>
          <w:noProof/>
          <w:color w:val="000000" w:themeColor="text1"/>
        </w:rPr>
        <w:t> </w:t>
      </w:r>
      <w:r>
        <w:rPr>
          <w:lang w:eastAsia="ja-JP"/>
        </w:rPr>
        <w:t>)</w:t>
      </w:r>
      <w:r>
        <w:rPr>
          <w:lang w:eastAsia="ja-JP"/>
        </w:rPr>
        <w:br/>
      </w:r>
      <w:r>
        <w:rPr>
          <w:lang w:eastAsia="ja-JP"/>
        </w:rPr>
        <w:tab/>
        <w:t>NumDecodes</w:t>
      </w:r>
      <w:r w:rsidRPr="00E55088">
        <w:rPr>
          <w:noProof/>
          <w:color w:val="000000" w:themeColor="text1"/>
        </w:rPr>
        <w:t>  </w:t>
      </w:r>
      <w:r>
        <w:rPr>
          <w:lang w:eastAsia="ja-JP"/>
        </w:rPr>
        <w:t>−=</w:t>
      </w:r>
      <w:r w:rsidRPr="00E55088">
        <w:rPr>
          <w:noProof/>
          <w:color w:val="000000" w:themeColor="text1"/>
        </w:rPr>
        <w:t>  </w:t>
      </w:r>
      <w:r w:rsidR="00312142">
        <w:rPr>
          <w:lang w:eastAsia="ja-JP"/>
        </w:rPr>
        <w:t>vps</w:t>
      </w:r>
      <w:r>
        <w:rPr>
          <w:lang w:eastAsia="ja-JP"/>
        </w:rPr>
        <w:t>_packed_video_present_flag[</w:t>
      </w:r>
      <w:r w:rsidRPr="00E55088">
        <w:rPr>
          <w:noProof/>
          <w:color w:val="000000" w:themeColor="text1"/>
        </w:rPr>
        <w:t> </w:t>
      </w:r>
      <w:r>
        <w:rPr>
          <w:lang w:eastAsia="ja-JP"/>
        </w:rPr>
        <w:t>j</w:t>
      </w:r>
      <w:r w:rsidRPr="00E55088">
        <w:rPr>
          <w:noProof/>
          <w:color w:val="000000" w:themeColor="text1"/>
        </w:rPr>
        <w:t> </w:t>
      </w:r>
      <w:r>
        <w:rPr>
          <w:lang w:eastAsia="ja-JP"/>
        </w:rPr>
        <w:t>]</w:t>
      </w:r>
      <w:r w:rsidRPr="00E55088">
        <w:rPr>
          <w:noProof/>
          <w:color w:val="000000" w:themeColor="text1"/>
        </w:rPr>
        <w:t> </w:t>
      </w:r>
      <w:r>
        <w:rPr>
          <w:lang w:eastAsia="ja-JP"/>
        </w:rPr>
        <w:t>?</w:t>
      </w:r>
      <w:r w:rsidRPr="00E55088">
        <w:rPr>
          <w:noProof/>
          <w:color w:val="000000" w:themeColor="text1"/>
        </w:rPr>
        <w:t> </w:t>
      </w:r>
      <w:r>
        <w:rPr>
          <w:lang w:eastAsia="ja-JP"/>
        </w:rPr>
        <w:t>pi</w:t>
      </w:r>
      <w:r w:rsidR="0040677A">
        <w:rPr>
          <w:lang w:eastAsia="ja-JP"/>
        </w:rPr>
        <w:t>n</w:t>
      </w:r>
      <w:r>
        <w:rPr>
          <w:lang w:eastAsia="ja-JP"/>
        </w:rPr>
        <w:t>_regions_count_minus1[</w:t>
      </w:r>
      <w:r w:rsidRPr="00E55088">
        <w:rPr>
          <w:noProof/>
          <w:color w:val="000000" w:themeColor="text1"/>
        </w:rPr>
        <w:t> </w:t>
      </w:r>
      <w:r>
        <w:rPr>
          <w:lang w:eastAsia="ja-JP"/>
        </w:rPr>
        <w:t>j</w:t>
      </w:r>
      <w:r w:rsidRPr="00E55088">
        <w:rPr>
          <w:noProof/>
          <w:color w:val="000000" w:themeColor="text1"/>
        </w:rPr>
        <w:t> </w:t>
      </w:r>
      <w:r>
        <w:rPr>
          <w:lang w:eastAsia="ja-JP"/>
        </w:rPr>
        <w:t>]</w:t>
      </w:r>
      <w:r w:rsidRPr="00E55088">
        <w:rPr>
          <w:noProof/>
          <w:color w:val="000000" w:themeColor="text1"/>
        </w:rPr>
        <w:t> </w:t>
      </w:r>
      <w:r>
        <w:rPr>
          <w:lang w:eastAsia="ja-JP"/>
        </w:rPr>
        <w:t>:</w:t>
      </w:r>
      <w:r w:rsidRPr="00E55088">
        <w:rPr>
          <w:noProof/>
          <w:color w:val="000000" w:themeColor="text1"/>
        </w:rPr>
        <w:t> </w:t>
      </w:r>
      <w:r>
        <w:rPr>
          <w:lang w:eastAsia="ja-JP"/>
        </w:rPr>
        <w:t>0</w:t>
      </w:r>
      <w:r>
        <w:rPr>
          <w:lang w:eastAsia="ja-JP"/>
        </w:rPr>
        <w:br/>
        <w:t>}</w:t>
      </w:r>
    </w:p>
    <w:p w14:paraId="5C9E839C" w14:textId="249806A6" w:rsidR="00CA2168" w:rsidRDefault="00CA2168" w:rsidP="00CA2168">
      <w:pPr>
        <w:pStyle w:val="Caption"/>
        <w:rPr>
          <w:noProof/>
        </w:rPr>
      </w:pPr>
      <w:bookmarkStart w:id="4772" w:name="_Ref48912648"/>
      <w:r w:rsidRPr="0068485C">
        <w:t>Table A</w:t>
      </w:r>
      <w:r w:rsidRPr="00AF5C41">
        <w:t>-</w:t>
      </w:r>
      <w:r w:rsidRPr="0068485C">
        <w:fldChar w:fldCharType="begin"/>
      </w:r>
      <w:r w:rsidRPr="00A1254B">
        <w:instrText xml:space="preserve"> SEQ Table \* ARABIC \s 1 </w:instrText>
      </w:r>
      <w:r w:rsidRPr="0068485C">
        <w:fldChar w:fldCharType="separate"/>
      </w:r>
      <w:r w:rsidR="00507A67">
        <w:rPr>
          <w:noProof/>
        </w:rPr>
        <w:t>8</w:t>
      </w:r>
      <w:r w:rsidRPr="0068485C">
        <w:fldChar w:fldCharType="end"/>
      </w:r>
      <w:bookmarkEnd w:id="4772"/>
      <w:r>
        <w:t>:</w:t>
      </w:r>
      <w:r w:rsidRPr="005C26E9">
        <w:rPr>
          <w:noProof/>
          <w:szCs w:val="18"/>
        </w:rPr>
        <w:t xml:space="preserve"> </w:t>
      </w:r>
      <w:r>
        <w:rPr>
          <w:noProof/>
        </w:rPr>
        <w:t>Mapping of ptl_max_decodes_idc to MaxDecodes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8" w:type="dxa"/>
          <w:left w:w="115" w:type="dxa"/>
          <w:bottom w:w="58" w:type="dxa"/>
          <w:right w:w="115" w:type="dxa"/>
        </w:tblCellMar>
        <w:tblLook w:val="04A0" w:firstRow="1" w:lastRow="0" w:firstColumn="1" w:lastColumn="0" w:noHBand="0" w:noVBand="1"/>
      </w:tblPr>
      <w:tblGrid>
        <w:gridCol w:w="2819"/>
        <w:gridCol w:w="2761"/>
      </w:tblGrid>
      <w:tr w:rsidR="00CA2168" w:rsidRPr="005C26E9" w14:paraId="6CECA1FE" w14:textId="77777777" w:rsidTr="00312142">
        <w:trPr>
          <w:trHeight w:val="90"/>
          <w:jc w:val="center"/>
        </w:trPr>
        <w:tc>
          <w:tcPr>
            <w:tcW w:w="2819" w:type="dxa"/>
            <w:shd w:val="clear" w:color="auto" w:fill="auto"/>
            <w:hideMark/>
          </w:tcPr>
          <w:p w14:paraId="482BCE97" w14:textId="77777777" w:rsidR="00CA2168" w:rsidRPr="00786C33" w:rsidRDefault="00CA2168" w:rsidP="00312142">
            <w:pPr>
              <w:autoSpaceDE w:val="0"/>
              <w:autoSpaceDN w:val="0"/>
              <w:adjustRightInd w:val="0"/>
              <w:jc w:val="center"/>
              <w:rPr>
                <w:rFonts w:eastAsia="Times New Roman"/>
                <w:b/>
                <w:noProof/>
                <w:color w:val="000000"/>
                <w:sz w:val="20"/>
                <w:szCs w:val="20"/>
                <w:lang w:val="fr-FR"/>
              </w:rPr>
            </w:pPr>
            <w:r w:rsidRPr="00786C33">
              <w:rPr>
                <w:rFonts w:eastAsia="Times New Roman"/>
                <w:b/>
                <w:noProof/>
                <w:color w:val="000000" w:themeColor="text1"/>
                <w:sz w:val="20"/>
                <w:szCs w:val="20"/>
                <w:lang w:val="fr-FR"/>
              </w:rPr>
              <w:t>ptl</w:t>
            </w:r>
            <w:r w:rsidRPr="00786C33">
              <w:rPr>
                <w:rFonts w:eastAsia="Times New Roman"/>
                <w:b/>
                <w:noProof/>
                <w:color w:val="000000" w:themeColor="text1"/>
                <w:sz w:val="20"/>
                <w:szCs w:val="20"/>
                <w:lang w:val="fr-FR" w:eastAsia="ja-JP"/>
              </w:rPr>
              <w:t>_max_decodes_idc</w:t>
            </w:r>
          </w:p>
        </w:tc>
        <w:tc>
          <w:tcPr>
            <w:tcW w:w="2761" w:type="dxa"/>
            <w:shd w:val="clear" w:color="auto" w:fill="auto"/>
            <w:hideMark/>
          </w:tcPr>
          <w:p w14:paraId="53A1454E" w14:textId="77777777" w:rsidR="00CA2168" w:rsidRPr="00062388" w:rsidRDefault="00CA2168" w:rsidP="00312142">
            <w:pPr>
              <w:autoSpaceDE w:val="0"/>
              <w:autoSpaceDN w:val="0"/>
              <w:adjustRightInd w:val="0"/>
              <w:jc w:val="center"/>
              <w:rPr>
                <w:rFonts w:eastAsia="Times New Roman"/>
                <w:noProof/>
                <w:color w:val="000000"/>
                <w:sz w:val="20"/>
                <w:szCs w:val="20"/>
              </w:rPr>
            </w:pPr>
            <w:r w:rsidRPr="00062388">
              <w:rPr>
                <w:rFonts w:eastAsia="Times New Roman"/>
                <w:b/>
                <w:noProof/>
                <w:color w:val="000000" w:themeColor="text1"/>
                <w:sz w:val="20"/>
                <w:szCs w:val="20"/>
              </w:rPr>
              <w:t>MaxDecodes</w:t>
            </w:r>
          </w:p>
        </w:tc>
      </w:tr>
      <w:tr w:rsidR="00CA2168" w:rsidRPr="005C26E9" w14:paraId="7E41CDCC" w14:textId="77777777" w:rsidTr="00312142">
        <w:trPr>
          <w:trHeight w:val="90"/>
          <w:jc w:val="center"/>
        </w:trPr>
        <w:tc>
          <w:tcPr>
            <w:tcW w:w="2819" w:type="dxa"/>
            <w:shd w:val="clear" w:color="auto" w:fill="auto"/>
          </w:tcPr>
          <w:p w14:paraId="4D0F7340" w14:textId="77777777" w:rsidR="00CA2168" w:rsidRPr="00062388" w:rsidRDefault="00CA2168" w:rsidP="00312142">
            <w:pPr>
              <w:autoSpaceDE w:val="0"/>
              <w:autoSpaceDN w:val="0"/>
              <w:adjustRightInd w:val="0"/>
              <w:jc w:val="center"/>
              <w:rPr>
                <w:rFonts w:eastAsia="Times New Roman"/>
                <w:noProof/>
                <w:color w:val="000000"/>
                <w:sz w:val="20"/>
                <w:szCs w:val="20"/>
              </w:rPr>
            </w:pPr>
            <w:r w:rsidRPr="00D47DDF">
              <w:rPr>
                <w:rFonts w:eastAsia="Times New Roman"/>
                <w:noProof/>
                <w:color w:val="000000"/>
                <w:sz w:val="20"/>
                <w:szCs w:val="20"/>
              </w:rPr>
              <w:t>0</w:t>
            </w:r>
          </w:p>
        </w:tc>
        <w:tc>
          <w:tcPr>
            <w:tcW w:w="2761" w:type="dxa"/>
            <w:shd w:val="clear" w:color="auto" w:fill="auto"/>
            <w:hideMark/>
          </w:tcPr>
          <w:p w14:paraId="64C54054" w14:textId="77777777" w:rsidR="00CA2168" w:rsidRPr="00062388" w:rsidRDefault="00CA2168" w:rsidP="00312142">
            <w:pPr>
              <w:autoSpaceDE w:val="0"/>
              <w:autoSpaceDN w:val="0"/>
              <w:adjustRightInd w:val="0"/>
              <w:jc w:val="center"/>
              <w:rPr>
                <w:rFonts w:eastAsia="Times New Roman"/>
                <w:noProof/>
                <w:color w:val="000000"/>
                <w:sz w:val="20"/>
                <w:szCs w:val="20"/>
              </w:rPr>
            </w:pPr>
            <w:r w:rsidRPr="00062388">
              <w:rPr>
                <w:rFonts w:eastAsia="Times New Roman"/>
                <w:noProof/>
                <w:color w:val="000000"/>
                <w:sz w:val="20"/>
                <w:szCs w:val="20"/>
              </w:rPr>
              <w:t>1</w:t>
            </w:r>
          </w:p>
        </w:tc>
      </w:tr>
      <w:tr w:rsidR="00CA2168" w:rsidRPr="005C26E9" w14:paraId="4E67C4EF" w14:textId="77777777" w:rsidTr="00312142">
        <w:trPr>
          <w:trHeight w:val="90"/>
          <w:jc w:val="center"/>
        </w:trPr>
        <w:tc>
          <w:tcPr>
            <w:tcW w:w="2819" w:type="dxa"/>
            <w:shd w:val="clear" w:color="auto" w:fill="auto"/>
          </w:tcPr>
          <w:p w14:paraId="3D8111E8" w14:textId="77777777" w:rsidR="00CA2168" w:rsidRPr="00062388" w:rsidRDefault="00CA2168" w:rsidP="00312142">
            <w:pPr>
              <w:autoSpaceDE w:val="0"/>
              <w:autoSpaceDN w:val="0"/>
              <w:adjustRightInd w:val="0"/>
              <w:jc w:val="center"/>
              <w:rPr>
                <w:rFonts w:eastAsia="Times New Roman"/>
                <w:noProof/>
                <w:color w:val="000000"/>
                <w:sz w:val="20"/>
                <w:szCs w:val="20"/>
              </w:rPr>
            </w:pPr>
            <w:r w:rsidRPr="00D47DDF">
              <w:rPr>
                <w:rFonts w:eastAsia="Times New Roman"/>
                <w:noProof/>
                <w:color w:val="000000"/>
                <w:sz w:val="20"/>
                <w:szCs w:val="20"/>
              </w:rPr>
              <w:t>1</w:t>
            </w:r>
          </w:p>
        </w:tc>
        <w:tc>
          <w:tcPr>
            <w:tcW w:w="2761" w:type="dxa"/>
            <w:shd w:val="clear" w:color="auto" w:fill="auto"/>
            <w:hideMark/>
          </w:tcPr>
          <w:p w14:paraId="1B98C26E" w14:textId="77777777" w:rsidR="00CA2168" w:rsidRPr="00062388" w:rsidRDefault="00CA2168" w:rsidP="00312142">
            <w:pPr>
              <w:autoSpaceDE w:val="0"/>
              <w:autoSpaceDN w:val="0"/>
              <w:adjustRightInd w:val="0"/>
              <w:jc w:val="center"/>
              <w:rPr>
                <w:rFonts w:eastAsia="Times New Roman"/>
                <w:noProof/>
                <w:color w:val="000000"/>
                <w:sz w:val="20"/>
                <w:szCs w:val="20"/>
              </w:rPr>
            </w:pPr>
            <w:r w:rsidRPr="00062388">
              <w:rPr>
                <w:rFonts w:eastAsia="Times New Roman"/>
                <w:noProof/>
                <w:color w:val="000000"/>
                <w:sz w:val="20"/>
                <w:szCs w:val="20"/>
              </w:rPr>
              <w:t>2</w:t>
            </w:r>
          </w:p>
        </w:tc>
      </w:tr>
      <w:tr w:rsidR="00CA2168" w:rsidRPr="005C26E9" w14:paraId="7C4A0533" w14:textId="77777777" w:rsidTr="00312142">
        <w:trPr>
          <w:trHeight w:val="90"/>
          <w:jc w:val="center"/>
        </w:trPr>
        <w:tc>
          <w:tcPr>
            <w:tcW w:w="2819" w:type="dxa"/>
            <w:shd w:val="clear" w:color="auto" w:fill="auto"/>
          </w:tcPr>
          <w:p w14:paraId="7DFAEFE5" w14:textId="77777777" w:rsidR="00CA2168" w:rsidRPr="00062388" w:rsidRDefault="00CA2168" w:rsidP="00312142">
            <w:pPr>
              <w:autoSpaceDE w:val="0"/>
              <w:autoSpaceDN w:val="0"/>
              <w:adjustRightInd w:val="0"/>
              <w:jc w:val="center"/>
              <w:rPr>
                <w:rFonts w:eastAsia="Times New Roman"/>
                <w:noProof/>
                <w:color w:val="000000"/>
                <w:sz w:val="20"/>
                <w:szCs w:val="20"/>
              </w:rPr>
            </w:pPr>
            <w:r w:rsidRPr="00D47DDF">
              <w:rPr>
                <w:rFonts w:eastAsia="Times New Roman"/>
                <w:noProof/>
                <w:color w:val="000000"/>
                <w:sz w:val="20"/>
                <w:szCs w:val="20"/>
              </w:rPr>
              <w:t>2</w:t>
            </w:r>
          </w:p>
        </w:tc>
        <w:tc>
          <w:tcPr>
            <w:tcW w:w="2761" w:type="dxa"/>
            <w:shd w:val="clear" w:color="auto" w:fill="auto"/>
          </w:tcPr>
          <w:p w14:paraId="1ED213B0" w14:textId="77777777" w:rsidR="00CA2168" w:rsidRPr="00062388" w:rsidRDefault="00CA2168" w:rsidP="00312142">
            <w:pPr>
              <w:autoSpaceDE w:val="0"/>
              <w:autoSpaceDN w:val="0"/>
              <w:adjustRightInd w:val="0"/>
              <w:jc w:val="center"/>
              <w:rPr>
                <w:rFonts w:eastAsia="Times New Roman"/>
                <w:noProof/>
                <w:color w:val="000000"/>
                <w:sz w:val="20"/>
                <w:szCs w:val="20"/>
              </w:rPr>
            </w:pPr>
            <w:r w:rsidRPr="00062388">
              <w:rPr>
                <w:rFonts w:eastAsia="Times New Roman"/>
                <w:noProof/>
                <w:color w:val="000000"/>
                <w:sz w:val="20"/>
                <w:szCs w:val="20"/>
              </w:rPr>
              <w:t>3</w:t>
            </w:r>
          </w:p>
        </w:tc>
      </w:tr>
      <w:tr w:rsidR="00CA2168" w:rsidRPr="005C26E9" w14:paraId="4792CC9C" w14:textId="77777777" w:rsidTr="00312142">
        <w:trPr>
          <w:trHeight w:val="90"/>
          <w:jc w:val="center"/>
        </w:trPr>
        <w:tc>
          <w:tcPr>
            <w:tcW w:w="2819" w:type="dxa"/>
            <w:shd w:val="clear" w:color="auto" w:fill="auto"/>
          </w:tcPr>
          <w:p w14:paraId="3EB6738F" w14:textId="77777777" w:rsidR="00CA2168" w:rsidRPr="00062388" w:rsidRDefault="00CA2168" w:rsidP="00312142">
            <w:pPr>
              <w:autoSpaceDE w:val="0"/>
              <w:autoSpaceDN w:val="0"/>
              <w:adjustRightInd w:val="0"/>
              <w:jc w:val="center"/>
              <w:rPr>
                <w:rFonts w:eastAsia="Times New Roman"/>
                <w:noProof/>
                <w:color w:val="000000"/>
                <w:sz w:val="20"/>
                <w:szCs w:val="20"/>
              </w:rPr>
            </w:pPr>
            <w:r w:rsidRPr="00D47DDF">
              <w:rPr>
                <w:rFonts w:eastAsia="Times New Roman"/>
                <w:noProof/>
                <w:color w:val="000000"/>
                <w:sz w:val="20"/>
                <w:szCs w:val="20"/>
              </w:rPr>
              <w:t>3</w:t>
            </w:r>
          </w:p>
        </w:tc>
        <w:tc>
          <w:tcPr>
            <w:tcW w:w="2761" w:type="dxa"/>
            <w:shd w:val="clear" w:color="auto" w:fill="auto"/>
          </w:tcPr>
          <w:p w14:paraId="787BFC81" w14:textId="77777777" w:rsidR="00CA2168" w:rsidRPr="00062388" w:rsidRDefault="00CA2168" w:rsidP="00312142">
            <w:pPr>
              <w:autoSpaceDE w:val="0"/>
              <w:autoSpaceDN w:val="0"/>
              <w:adjustRightInd w:val="0"/>
              <w:jc w:val="center"/>
              <w:rPr>
                <w:rFonts w:eastAsia="Times New Roman"/>
                <w:noProof/>
                <w:color w:val="000000"/>
                <w:sz w:val="20"/>
                <w:szCs w:val="20"/>
              </w:rPr>
            </w:pPr>
            <w:r w:rsidRPr="00062388">
              <w:rPr>
                <w:rFonts w:eastAsia="Times New Roman"/>
                <w:noProof/>
                <w:color w:val="000000"/>
                <w:sz w:val="20"/>
                <w:szCs w:val="20"/>
              </w:rPr>
              <w:t>4</w:t>
            </w:r>
          </w:p>
        </w:tc>
      </w:tr>
      <w:tr w:rsidR="00CA2168" w:rsidRPr="005C26E9" w14:paraId="210F355C" w14:textId="77777777" w:rsidTr="00312142">
        <w:trPr>
          <w:trHeight w:val="90"/>
          <w:jc w:val="center"/>
        </w:trPr>
        <w:tc>
          <w:tcPr>
            <w:tcW w:w="2819" w:type="dxa"/>
            <w:shd w:val="clear" w:color="auto" w:fill="auto"/>
          </w:tcPr>
          <w:p w14:paraId="65C05E4D" w14:textId="77777777" w:rsidR="00CA2168" w:rsidRPr="00062388" w:rsidRDefault="00CA2168" w:rsidP="00312142">
            <w:pPr>
              <w:autoSpaceDE w:val="0"/>
              <w:autoSpaceDN w:val="0"/>
              <w:adjustRightInd w:val="0"/>
              <w:jc w:val="center"/>
              <w:rPr>
                <w:rFonts w:eastAsia="Times New Roman"/>
                <w:noProof/>
                <w:color w:val="000000"/>
                <w:sz w:val="20"/>
                <w:szCs w:val="20"/>
              </w:rPr>
            </w:pPr>
            <w:r w:rsidRPr="00D47DDF">
              <w:rPr>
                <w:rFonts w:eastAsia="Times New Roman"/>
                <w:noProof/>
                <w:color w:val="000000"/>
                <w:sz w:val="20"/>
                <w:szCs w:val="20"/>
              </w:rPr>
              <w:t>4</w:t>
            </w:r>
          </w:p>
        </w:tc>
        <w:tc>
          <w:tcPr>
            <w:tcW w:w="2761" w:type="dxa"/>
            <w:shd w:val="clear" w:color="auto" w:fill="auto"/>
          </w:tcPr>
          <w:p w14:paraId="1FEEA3D0" w14:textId="77777777" w:rsidR="00CA2168" w:rsidRPr="00062388" w:rsidRDefault="00CA2168" w:rsidP="00312142">
            <w:pPr>
              <w:autoSpaceDE w:val="0"/>
              <w:autoSpaceDN w:val="0"/>
              <w:adjustRightInd w:val="0"/>
              <w:jc w:val="center"/>
              <w:rPr>
                <w:rFonts w:eastAsia="Times New Roman"/>
                <w:noProof/>
                <w:color w:val="000000"/>
                <w:sz w:val="20"/>
                <w:szCs w:val="20"/>
              </w:rPr>
            </w:pPr>
            <w:r w:rsidRPr="00062388">
              <w:rPr>
                <w:rFonts w:eastAsia="Times New Roman"/>
                <w:noProof/>
                <w:color w:val="000000"/>
                <w:sz w:val="20"/>
                <w:szCs w:val="20"/>
              </w:rPr>
              <w:t>6</w:t>
            </w:r>
          </w:p>
        </w:tc>
      </w:tr>
      <w:tr w:rsidR="00CA2168" w:rsidRPr="005C26E9" w14:paraId="49896E8D" w14:textId="77777777" w:rsidTr="00312142">
        <w:trPr>
          <w:trHeight w:val="90"/>
          <w:jc w:val="center"/>
        </w:trPr>
        <w:tc>
          <w:tcPr>
            <w:tcW w:w="2819" w:type="dxa"/>
            <w:shd w:val="clear" w:color="auto" w:fill="auto"/>
          </w:tcPr>
          <w:p w14:paraId="5F7ED93F" w14:textId="77777777" w:rsidR="00CA2168" w:rsidRPr="00062388" w:rsidRDefault="00CA2168" w:rsidP="00312142">
            <w:pPr>
              <w:autoSpaceDE w:val="0"/>
              <w:autoSpaceDN w:val="0"/>
              <w:adjustRightInd w:val="0"/>
              <w:jc w:val="center"/>
              <w:rPr>
                <w:rFonts w:eastAsia="Times New Roman"/>
                <w:noProof/>
                <w:color w:val="000000"/>
                <w:sz w:val="20"/>
                <w:szCs w:val="20"/>
              </w:rPr>
            </w:pPr>
            <w:r w:rsidRPr="00D47DDF">
              <w:rPr>
                <w:rFonts w:eastAsia="Times New Roman"/>
                <w:noProof/>
                <w:color w:val="000000"/>
                <w:sz w:val="20"/>
                <w:szCs w:val="20"/>
              </w:rPr>
              <w:t>5</w:t>
            </w:r>
          </w:p>
        </w:tc>
        <w:tc>
          <w:tcPr>
            <w:tcW w:w="2761" w:type="dxa"/>
            <w:shd w:val="clear" w:color="auto" w:fill="auto"/>
          </w:tcPr>
          <w:p w14:paraId="20612306" w14:textId="77777777" w:rsidR="00CA2168" w:rsidRPr="00062388" w:rsidRDefault="00CA2168" w:rsidP="00312142">
            <w:pPr>
              <w:autoSpaceDE w:val="0"/>
              <w:autoSpaceDN w:val="0"/>
              <w:adjustRightInd w:val="0"/>
              <w:jc w:val="center"/>
              <w:rPr>
                <w:rFonts w:eastAsia="Times New Roman"/>
                <w:noProof/>
                <w:color w:val="000000"/>
                <w:sz w:val="20"/>
                <w:szCs w:val="20"/>
              </w:rPr>
            </w:pPr>
            <w:r w:rsidRPr="00062388">
              <w:rPr>
                <w:rFonts w:eastAsia="Times New Roman"/>
                <w:noProof/>
                <w:color w:val="000000"/>
                <w:sz w:val="20"/>
                <w:szCs w:val="20"/>
              </w:rPr>
              <w:t>8</w:t>
            </w:r>
          </w:p>
        </w:tc>
      </w:tr>
      <w:tr w:rsidR="00CA2168" w:rsidRPr="005C26E9" w14:paraId="0B480FCA" w14:textId="77777777" w:rsidTr="00312142">
        <w:trPr>
          <w:trHeight w:val="90"/>
          <w:jc w:val="center"/>
        </w:trPr>
        <w:tc>
          <w:tcPr>
            <w:tcW w:w="2819" w:type="dxa"/>
            <w:shd w:val="clear" w:color="auto" w:fill="auto"/>
          </w:tcPr>
          <w:p w14:paraId="3862FB1A" w14:textId="77777777" w:rsidR="00CA2168" w:rsidRPr="00062388" w:rsidRDefault="00CA2168" w:rsidP="00312142">
            <w:pPr>
              <w:autoSpaceDE w:val="0"/>
              <w:autoSpaceDN w:val="0"/>
              <w:adjustRightInd w:val="0"/>
              <w:jc w:val="center"/>
              <w:rPr>
                <w:rFonts w:eastAsia="Times New Roman"/>
                <w:noProof/>
                <w:color w:val="000000"/>
                <w:sz w:val="20"/>
                <w:szCs w:val="20"/>
              </w:rPr>
            </w:pPr>
            <w:r w:rsidRPr="00D47DDF">
              <w:rPr>
                <w:rFonts w:eastAsia="Times New Roman"/>
                <w:noProof/>
                <w:color w:val="000000"/>
                <w:sz w:val="20"/>
                <w:szCs w:val="20"/>
              </w:rPr>
              <w:t>6</w:t>
            </w:r>
          </w:p>
        </w:tc>
        <w:tc>
          <w:tcPr>
            <w:tcW w:w="2761" w:type="dxa"/>
            <w:shd w:val="clear" w:color="auto" w:fill="auto"/>
          </w:tcPr>
          <w:p w14:paraId="4847F328" w14:textId="77777777" w:rsidR="00CA2168" w:rsidRPr="00062388" w:rsidRDefault="00CA2168" w:rsidP="00312142">
            <w:pPr>
              <w:autoSpaceDE w:val="0"/>
              <w:autoSpaceDN w:val="0"/>
              <w:adjustRightInd w:val="0"/>
              <w:jc w:val="center"/>
              <w:rPr>
                <w:rFonts w:eastAsia="Times New Roman"/>
                <w:noProof/>
                <w:color w:val="000000"/>
                <w:sz w:val="20"/>
                <w:szCs w:val="20"/>
              </w:rPr>
            </w:pPr>
            <w:r w:rsidRPr="00062388">
              <w:rPr>
                <w:rFonts w:eastAsia="Times New Roman"/>
                <w:noProof/>
                <w:color w:val="000000"/>
                <w:sz w:val="20"/>
                <w:szCs w:val="20"/>
              </w:rPr>
              <w:t>12</w:t>
            </w:r>
          </w:p>
        </w:tc>
      </w:tr>
      <w:tr w:rsidR="00CA2168" w:rsidRPr="005C26E9" w14:paraId="0863E649" w14:textId="77777777" w:rsidTr="00312142">
        <w:trPr>
          <w:trHeight w:val="90"/>
          <w:jc w:val="center"/>
        </w:trPr>
        <w:tc>
          <w:tcPr>
            <w:tcW w:w="2819" w:type="dxa"/>
            <w:shd w:val="clear" w:color="auto" w:fill="auto"/>
          </w:tcPr>
          <w:p w14:paraId="66926C15" w14:textId="77777777" w:rsidR="00CA2168" w:rsidRPr="00062388" w:rsidRDefault="00CA2168" w:rsidP="00312142">
            <w:pPr>
              <w:autoSpaceDE w:val="0"/>
              <w:autoSpaceDN w:val="0"/>
              <w:adjustRightInd w:val="0"/>
              <w:jc w:val="center"/>
              <w:rPr>
                <w:rFonts w:eastAsia="Times New Roman"/>
                <w:noProof/>
                <w:color w:val="000000"/>
                <w:sz w:val="20"/>
                <w:szCs w:val="20"/>
              </w:rPr>
            </w:pPr>
            <w:r w:rsidRPr="00D47DDF">
              <w:rPr>
                <w:rFonts w:eastAsia="Times New Roman"/>
                <w:noProof/>
                <w:color w:val="000000"/>
                <w:sz w:val="20"/>
                <w:szCs w:val="20"/>
              </w:rPr>
              <w:t>7</w:t>
            </w:r>
          </w:p>
        </w:tc>
        <w:tc>
          <w:tcPr>
            <w:tcW w:w="2761" w:type="dxa"/>
            <w:shd w:val="clear" w:color="auto" w:fill="auto"/>
          </w:tcPr>
          <w:p w14:paraId="1A494835" w14:textId="77777777" w:rsidR="00CA2168" w:rsidRPr="00062388" w:rsidRDefault="00CA2168" w:rsidP="00312142">
            <w:pPr>
              <w:autoSpaceDE w:val="0"/>
              <w:autoSpaceDN w:val="0"/>
              <w:adjustRightInd w:val="0"/>
              <w:jc w:val="center"/>
              <w:rPr>
                <w:rFonts w:eastAsia="Times New Roman"/>
                <w:noProof/>
                <w:color w:val="000000"/>
                <w:sz w:val="20"/>
                <w:szCs w:val="20"/>
              </w:rPr>
            </w:pPr>
            <w:r w:rsidRPr="00062388">
              <w:rPr>
                <w:rFonts w:eastAsia="Times New Roman"/>
                <w:noProof/>
                <w:color w:val="000000"/>
                <w:sz w:val="20"/>
                <w:szCs w:val="20"/>
              </w:rPr>
              <w:t>16</w:t>
            </w:r>
          </w:p>
        </w:tc>
      </w:tr>
      <w:tr w:rsidR="00CA2168" w:rsidRPr="005C26E9" w14:paraId="5EDA288B" w14:textId="77777777" w:rsidTr="00312142">
        <w:trPr>
          <w:trHeight w:val="90"/>
          <w:jc w:val="center"/>
        </w:trPr>
        <w:tc>
          <w:tcPr>
            <w:tcW w:w="2819" w:type="dxa"/>
            <w:shd w:val="clear" w:color="auto" w:fill="auto"/>
          </w:tcPr>
          <w:p w14:paraId="7B862781" w14:textId="77777777" w:rsidR="00CA2168" w:rsidRPr="00062388" w:rsidRDefault="00CA2168" w:rsidP="00312142">
            <w:pPr>
              <w:autoSpaceDE w:val="0"/>
              <w:autoSpaceDN w:val="0"/>
              <w:adjustRightInd w:val="0"/>
              <w:jc w:val="center"/>
              <w:rPr>
                <w:rFonts w:eastAsia="Times New Roman"/>
                <w:noProof/>
                <w:color w:val="000000"/>
                <w:sz w:val="20"/>
                <w:szCs w:val="20"/>
              </w:rPr>
            </w:pPr>
            <w:r w:rsidRPr="00D47DDF">
              <w:rPr>
                <w:rFonts w:eastAsia="Times New Roman"/>
                <w:noProof/>
                <w:color w:val="000000"/>
                <w:sz w:val="20"/>
                <w:szCs w:val="20"/>
              </w:rPr>
              <w:t>8</w:t>
            </w:r>
          </w:p>
        </w:tc>
        <w:tc>
          <w:tcPr>
            <w:tcW w:w="2761" w:type="dxa"/>
            <w:shd w:val="clear" w:color="auto" w:fill="auto"/>
          </w:tcPr>
          <w:p w14:paraId="64A6676A" w14:textId="77777777" w:rsidR="00CA2168" w:rsidRPr="00062388" w:rsidRDefault="00CA2168" w:rsidP="00312142">
            <w:pPr>
              <w:autoSpaceDE w:val="0"/>
              <w:autoSpaceDN w:val="0"/>
              <w:adjustRightInd w:val="0"/>
              <w:jc w:val="center"/>
              <w:rPr>
                <w:rFonts w:eastAsia="Times New Roman"/>
                <w:noProof/>
                <w:color w:val="000000"/>
                <w:sz w:val="20"/>
                <w:szCs w:val="20"/>
              </w:rPr>
            </w:pPr>
            <w:r w:rsidRPr="00062388">
              <w:rPr>
                <w:rFonts w:eastAsia="Times New Roman"/>
                <w:noProof/>
                <w:color w:val="000000"/>
                <w:sz w:val="20"/>
                <w:szCs w:val="20"/>
              </w:rPr>
              <w:t>24</w:t>
            </w:r>
          </w:p>
        </w:tc>
      </w:tr>
      <w:tr w:rsidR="00CA2168" w:rsidRPr="005C26E9" w14:paraId="6E4D8BA8" w14:textId="77777777" w:rsidTr="00312142">
        <w:trPr>
          <w:trHeight w:val="90"/>
          <w:jc w:val="center"/>
        </w:trPr>
        <w:tc>
          <w:tcPr>
            <w:tcW w:w="2819" w:type="dxa"/>
            <w:shd w:val="clear" w:color="auto" w:fill="auto"/>
          </w:tcPr>
          <w:p w14:paraId="725250EF" w14:textId="77777777" w:rsidR="00CA2168" w:rsidRPr="00062388" w:rsidRDefault="00CA2168" w:rsidP="00312142">
            <w:pPr>
              <w:autoSpaceDE w:val="0"/>
              <w:autoSpaceDN w:val="0"/>
              <w:adjustRightInd w:val="0"/>
              <w:jc w:val="center"/>
              <w:rPr>
                <w:rFonts w:eastAsia="Times New Roman"/>
                <w:noProof/>
                <w:color w:val="000000"/>
                <w:sz w:val="20"/>
                <w:szCs w:val="20"/>
              </w:rPr>
            </w:pPr>
            <w:r w:rsidRPr="00D47DDF">
              <w:rPr>
                <w:rFonts w:eastAsia="Times New Roman"/>
                <w:noProof/>
                <w:color w:val="000000"/>
                <w:sz w:val="20"/>
                <w:szCs w:val="20"/>
              </w:rPr>
              <w:t>9</w:t>
            </w:r>
          </w:p>
        </w:tc>
        <w:tc>
          <w:tcPr>
            <w:tcW w:w="2761" w:type="dxa"/>
            <w:shd w:val="clear" w:color="auto" w:fill="auto"/>
          </w:tcPr>
          <w:p w14:paraId="5AF7C501" w14:textId="77777777" w:rsidR="00CA2168" w:rsidRPr="00062388" w:rsidRDefault="00CA2168" w:rsidP="00312142">
            <w:pPr>
              <w:autoSpaceDE w:val="0"/>
              <w:autoSpaceDN w:val="0"/>
              <w:adjustRightInd w:val="0"/>
              <w:jc w:val="center"/>
              <w:rPr>
                <w:rFonts w:eastAsia="Times New Roman"/>
                <w:noProof/>
                <w:color w:val="000000"/>
                <w:sz w:val="20"/>
                <w:szCs w:val="20"/>
              </w:rPr>
            </w:pPr>
            <w:r w:rsidRPr="00062388">
              <w:rPr>
                <w:rFonts w:eastAsia="Times New Roman"/>
                <w:noProof/>
                <w:color w:val="000000"/>
                <w:sz w:val="20"/>
                <w:szCs w:val="20"/>
              </w:rPr>
              <w:t>32</w:t>
            </w:r>
          </w:p>
        </w:tc>
      </w:tr>
      <w:tr w:rsidR="00CA2168" w:rsidRPr="005C26E9" w14:paraId="40EE829C" w14:textId="77777777" w:rsidTr="00312142">
        <w:trPr>
          <w:trHeight w:val="90"/>
          <w:jc w:val="center"/>
        </w:trPr>
        <w:tc>
          <w:tcPr>
            <w:tcW w:w="2819" w:type="dxa"/>
            <w:shd w:val="clear" w:color="auto" w:fill="auto"/>
          </w:tcPr>
          <w:p w14:paraId="2FF39322" w14:textId="77777777" w:rsidR="00CA2168" w:rsidRPr="00062388" w:rsidRDefault="00CA2168" w:rsidP="00312142">
            <w:pPr>
              <w:autoSpaceDE w:val="0"/>
              <w:autoSpaceDN w:val="0"/>
              <w:adjustRightInd w:val="0"/>
              <w:jc w:val="center"/>
              <w:rPr>
                <w:rFonts w:eastAsia="Times New Roman"/>
                <w:noProof/>
                <w:color w:val="000000"/>
                <w:sz w:val="20"/>
                <w:szCs w:val="20"/>
              </w:rPr>
            </w:pPr>
            <w:r w:rsidRPr="00D47DDF">
              <w:rPr>
                <w:rFonts w:eastAsia="Times New Roman"/>
                <w:noProof/>
                <w:color w:val="000000"/>
                <w:sz w:val="20"/>
                <w:szCs w:val="20"/>
              </w:rPr>
              <w:t>10..14</w:t>
            </w:r>
          </w:p>
        </w:tc>
        <w:tc>
          <w:tcPr>
            <w:tcW w:w="2761" w:type="dxa"/>
            <w:shd w:val="clear" w:color="auto" w:fill="auto"/>
          </w:tcPr>
          <w:p w14:paraId="2E6056CB" w14:textId="77777777" w:rsidR="00CA2168" w:rsidRPr="00062388" w:rsidRDefault="00CA2168" w:rsidP="00312142">
            <w:pPr>
              <w:autoSpaceDE w:val="0"/>
              <w:autoSpaceDN w:val="0"/>
              <w:adjustRightInd w:val="0"/>
              <w:jc w:val="center"/>
              <w:rPr>
                <w:rFonts w:eastAsia="Times New Roman"/>
                <w:noProof/>
                <w:color w:val="000000"/>
                <w:sz w:val="20"/>
                <w:szCs w:val="20"/>
              </w:rPr>
            </w:pPr>
            <w:r w:rsidRPr="00062388">
              <w:rPr>
                <w:rFonts w:eastAsia="Times New Roman"/>
                <w:noProof/>
                <w:color w:val="000000"/>
                <w:sz w:val="20"/>
                <w:szCs w:val="20"/>
              </w:rPr>
              <w:t>Reserved</w:t>
            </w:r>
          </w:p>
        </w:tc>
      </w:tr>
      <w:tr w:rsidR="00CA2168" w:rsidRPr="005C26E9" w14:paraId="4364EAE5" w14:textId="77777777" w:rsidTr="00312142">
        <w:trPr>
          <w:trHeight w:val="90"/>
          <w:jc w:val="center"/>
        </w:trPr>
        <w:tc>
          <w:tcPr>
            <w:tcW w:w="2819" w:type="dxa"/>
            <w:shd w:val="clear" w:color="auto" w:fill="auto"/>
          </w:tcPr>
          <w:p w14:paraId="191584D9" w14:textId="77777777" w:rsidR="00CA2168" w:rsidRPr="00D47DDF" w:rsidRDefault="00CA2168" w:rsidP="00312142">
            <w:pPr>
              <w:autoSpaceDE w:val="0"/>
              <w:autoSpaceDN w:val="0"/>
              <w:adjustRightInd w:val="0"/>
              <w:jc w:val="center"/>
              <w:rPr>
                <w:rFonts w:eastAsia="Times New Roman"/>
                <w:noProof/>
                <w:color w:val="000000"/>
                <w:sz w:val="20"/>
                <w:szCs w:val="20"/>
              </w:rPr>
            </w:pPr>
            <w:r w:rsidRPr="00B02EAD">
              <w:rPr>
                <w:rFonts w:eastAsia="Times New Roman"/>
                <w:noProof/>
                <w:color w:val="000000"/>
                <w:sz w:val="20"/>
                <w:szCs w:val="20"/>
              </w:rPr>
              <w:t>15</w:t>
            </w:r>
          </w:p>
        </w:tc>
        <w:tc>
          <w:tcPr>
            <w:tcW w:w="2761" w:type="dxa"/>
            <w:shd w:val="clear" w:color="auto" w:fill="auto"/>
          </w:tcPr>
          <w:p w14:paraId="69963B11" w14:textId="77777777" w:rsidR="00CA2168" w:rsidRPr="00D47DDF" w:rsidRDefault="00CA2168" w:rsidP="00312142">
            <w:pPr>
              <w:autoSpaceDE w:val="0"/>
              <w:autoSpaceDN w:val="0"/>
              <w:adjustRightInd w:val="0"/>
              <w:jc w:val="center"/>
              <w:rPr>
                <w:rFonts w:eastAsia="Times New Roman"/>
                <w:noProof/>
                <w:color w:val="000000"/>
                <w:sz w:val="20"/>
                <w:szCs w:val="20"/>
              </w:rPr>
            </w:pPr>
            <w:r w:rsidRPr="00B02EAD">
              <w:rPr>
                <w:rFonts w:eastAsia="Times New Roman"/>
                <w:noProof/>
                <w:color w:val="000000"/>
                <w:sz w:val="20"/>
                <w:szCs w:val="20"/>
              </w:rPr>
              <w:t>Unconstrained</w:t>
            </w:r>
          </w:p>
        </w:tc>
      </w:tr>
    </w:tbl>
    <w:p w14:paraId="19E1DFEA" w14:textId="77777777" w:rsidR="00CA2168" w:rsidRPr="00A52AB8" w:rsidRDefault="00CA2168" w:rsidP="008F2A42">
      <w:pPr>
        <w:ind w:left="806"/>
        <w:rPr>
          <w:lang w:eastAsia="ja-JP"/>
        </w:rPr>
      </w:pPr>
    </w:p>
    <w:p w14:paraId="7B7A3527" w14:textId="77777777" w:rsidR="0027118D" w:rsidRPr="00A52AB8" w:rsidRDefault="0027118D">
      <w:pPr>
        <w:pStyle w:val="ANNEX"/>
        <w:numPr>
          <w:ilvl w:val="0"/>
          <w:numId w:val="14"/>
        </w:numPr>
        <w:rPr>
          <w:color w:val="000000" w:themeColor="text1"/>
        </w:rPr>
      </w:pPr>
      <w:bookmarkStart w:id="4773" w:name="_Toc50119491"/>
      <w:bookmarkStart w:id="4774" w:name="_Toc50154339"/>
      <w:bookmarkStart w:id="4775" w:name="_Toc50154781"/>
      <w:bookmarkStart w:id="4776" w:name="_Toc50200400"/>
      <w:bookmarkStart w:id="4777" w:name="_Toc50237916"/>
      <w:bookmarkStart w:id="4778" w:name="_Toc50119492"/>
      <w:bookmarkStart w:id="4779" w:name="_Toc50154340"/>
      <w:bookmarkStart w:id="4780" w:name="_Toc50154782"/>
      <w:bookmarkStart w:id="4781" w:name="_Toc50200401"/>
      <w:bookmarkStart w:id="4782" w:name="_Toc50237917"/>
      <w:bookmarkEnd w:id="4773"/>
      <w:bookmarkEnd w:id="4774"/>
      <w:bookmarkEnd w:id="4775"/>
      <w:bookmarkEnd w:id="4776"/>
      <w:bookmarkEnd w:id="4777"/>
      <w:bookmarkEnd w:id="4778"/>
      <w:bookmarkEnd w:id="4779"/>
      <w:bookmarkEnd w:id="4780"/>
      <w:bookmarkEnd w:id="4781"/>
      <w:bookmarkEnd w:id="4782"/>
      <w:r w:rsidRPr="00A52AB8">
        <w:rPr>
          <w:color w:val="000000" w:themeColor="text1"/>
        </w:rPr>
        <w:br/>
      </w:r>
      <w:bookmarkStart w:id="4783" w:name="_Ref38561253"/>
      <w:bookmarkStart w:id="4784" w:name="_Ref39815675"/>
      <w:bookmarkStart w:id="4785" w:name="_Toc52181658"/>
      <w:r w:rsidR="000C28F5" w:rsidRPr="00A52AB8">
        <w:rPr>
          <w:color w:val="000000" w:themeColor="text1"/>
        </w:rPr>
        <w:t>(informative)</w:t>
      </w:r>
      <w:r w:rsidRPr="00A52AB8">
        <w:rPr>
          <w:color w:val="000000" w:themeColor="text1"/>
        </w:rPr>
        <w:br/>
      </w:r>
      <w:bookmarkStart w:id="4786" w:name="_Ref38310059"/>
      <w:r w:rsidRPr="00A52AB8">
        <w:rPr>
          <w:color w:val="000000" w:themeColor="text1"/>
        </w:rPr>
        <w:t>Post-decoding conversion to nominal video formats</w:t>
      </w:r>
      <w:bookmarkEnd w:id="4783"/>
      <w:bookmarkEnd w:id="4784"/>
      <w:bookmarkEnd w:id="4785"/>
      <w:bookmarkEnd w:id="4786"/>
    </w:p>
    <w:p w14:paraId="1A561EC5" w14:textId="77777777" w:rsidR="00E84325" w:rsidRPr="00A52AB8" w:rsidRDefault="008350A9" w:rsidP="00E84325">
      <w:pPr>
        <w:pStyle w:val="a2"/>
        <w:numPr>
          <w:ilvl w:val="1"/>
          <w:numId w:val="14"/>
        </w:numPr>
        <w:tabs>
          <w:tab w:val="num" w:pos="4613"/>
        </w:tabs>
        <w:rPr>
          <w:color w:val="000000" w:themeColor="text1"/>
        </w:rPr>
      </w:pPr>
      <w:bookmarkStart w:id="4787" w:name="_Toc46301806"/>
      <w:bookmarkStart w:id="4788" w:name="_Toc46302631"/>
      <w:bookmarkStart w:id="4789" w:name="_Toc42730132"/>
      <w:bookmarkStart w:id="4790" w:name="_Toc45105591"/>
      <w:bookmarkStart w:id="4791" w:name="_Toc45530450"/>
      <w:bookmarkStart w:id="4792" w:name="_Toc46301807"/>
      <w:bookmarkStart w:id="4793" w:name="_Toc46302632"/>
      <w:bookmarkStart w:id="4794" w:name="_Toc42730133"/>
      <w:bookmarkStart w:id="4795" w:name="_Toc45105592"/>
      <w:bookmarkStart w:id="4796" w:name="_Toc45530451"/>
      <w:bookmarkStart w:id="4797" w:name="_Toc46301808"/>
      <w:bookmarkStart w:id="4798" w:name="_Toc46302633"/>
      <w:bookmarkStart w:id="4799" w:name="_Toc38891739"/>
      <w:bookmarkStart w:id="4800" w:name="_Toc39426333"/>
      <w:bookmarkStart w:id="4801" w:name="_Ref29739742"/>
      <w:bookmarkStart w:id="4802" w:name="_Toc52181659"/>
      <w:bookmarkEnd w:id="4787"/>
      <w:bookmarkEnd w:id="4788"/>
      <w:bookmarkEnd w:id="4789"/>
      <w:bookmarkEnd w:id="4790"/>
      <w:bookmarkEnd w:id="4791"/>
      <w:bookmarkEnd w:id="4792"/>
      <w:bookmarkEnd w:id="4793"/>
      <w:bookmarkEnd w:id="4794"/>
      <w:bookmarkEnd w:id="4795"/>
      <w:bookmarkEnd w:id="4796"/>
      <w:bookmarkEnd w:id="4797"/>
      <w:bookmarkEnd w:id="4798"/>
      <w:bookmarkEnd w:id="4799"/>
      <w:bookmarkEnd w:id="4800"/>
      <w:r w:rsidRPr="00A52AB8">
        <w:rPr>
          <w:color w:val="000000" w:themeColor="text1"/>
        </w:rPr>
        <w:t>General</w:t>
      </w:r>
      <w:bookmarkEnd w:id="4801"/>
      <w:bookmarkEnd w:id="4802"/>
    </w:p>
    <w:p w14:paraId="74E719F2" w14:textId="500DBBD3" w:rsidR="0071119B" w:rsidRPr="00A52AB8" w:rsidRDefault="008350A9">
      <w:pPr>
        <w:rPr>
          <w:lang w:eastAsia="ja-JP"/>
        </w:rPr>
      </w:pPr>
      <w:r w:rsidRPr="00A52AB8">
        <w:rPr>
          <w:lang w:eastAsia="ja-JP"/>
        </w:rPr>
        <w:t xml:space="preserve">The video frames provided by </w:t>
      </w:r>
      <w:r w:rsidR="00FB0CDC" w:rsidRPr="00A52AB8">
        <w:rPr>
          <w:lang w:eastAsia="ja-JP"/>
        </w:rPr>
        <w:t xml:space="preserve">the </w:t>
      </w:r>
      <w:r w:rsidRPr="00A52AB8">
        <w:rPr>
          <w:lang w:eastAsia="ja-JP"/>
        </w:rPr>
        <w:t xml:space="preserve">decoder may require </w:t>
      </w:r>
      <w:r w:rsidRPr="00A52AB8">
        <w:rPr>
          <w:color w:val="000000" w:themeColor="text1"/>
        </w:rPr>
        <w:t xml:space="preserve">additional processing steps before </w:t>
      </w:r>
      <w:r w:rsidR="0071119B" w:rsidRPr="00A52AB8">
        <w:rPr>
          <w:color w:val="000000" w:themeColor="text1"/>
        </w:rPr>
        <w:t xml:space="preserve">being input to </w:t>
      </w:r>
      <w:r w:rsidRPr="00A52AB8">
        <w:rPr>
          <w:color w:val="000000" w:themeColor="text1"/>
        </w:rPr>
        <w:t>the reconstruction process. Such processing step</w:t>
      </w:r>
      <w:r w:rsidR="00FB0CDC" w:rsidRPr="00A52AB8">
        <w:rPr>
          <w:color w:val="000000" w:themeColor="text1"/>
        </w:rPr>
        <w:t>s</w:t>
      </w:r>
      <w:r w:rsidRPr="00A52AB8">
        <w:rPr>
          <w:color w:val="000000" w:themeColor="text1"/>
        </w:rPr>
        <w:t xml:space="preserve"> may </w:t>
      </w:r>
      <w:r w:rsidR="00FB0CDC" w:rsidRPr="00A52AB8">
        <w:rPr>
          <w:color w:val="000000" w:themeColor="text1"/>
        </w:rPr>
        <w:t>include</w:t>
      </w:r>
      <w:r w:rsidRPr="00A52AB8">
        <w:rPr>
          <w:color w:val="000000" w:themeColor="text1"/>
        </w:rPr>
        <w:t xml:space="preserve"> conver</w:t>
      </w:r>
      <w:r w:rsidR="00FB0CDC" w:rsidRPr="00A52AB8">
        <w:rPr>
          <w:color w:val="000000" w:themeColor="text1"/>
        </w:rPr>
        <w:t>sion of</w:t>
      </w:r>
      <w:r w:rsidRPr="00A52AB8">
        <w:rPr>
          <w:color w:val="000000" w:themeColor="text1"/>
        </w:rPr>
        <w:t xml:space="preserve"> the decoded video frames to a nominal format (e.g. a nominal resolution, bit</w:t>
      </w:r>
      <w:r w:rsidR="00086DC7" w:rsidRPr="00A52AB8">
        <w:rPr>
          <w:color w:val="000000" w:themeColor="text1"/>
        </w:rPr>
        <w:t xml:space="preserve"> </w:t>
      </w:r>
      <w:r w:rsidRPr="00A52AB8">
        <w:rPr>
          <w:color w:val="000000" w:themeColor="text1"/>
        </w:rPr>
        <w:t xml:space="preserve">depth, chroma </w:t>
      </w:r>
      <w:r w:rsidR="00803875" w:rsidRPr="00A52AB8">
        <w:rPr>
          <w:color w:val="000000" w:themeColor="text1"/>
        </w:rPr>
        <w:t>format</w:t>
      </w:r>
      <w:r w:rsidRPr="00A52AB8">
        <w:rPr>
          <w:color w:val="000000" w:themeColor="text1"/>
        </w:rPr>
        <w:t xml:space="preserve">, etc.) or </w:t>
      </w:r>
      <w:r w:rsidR="00FB0CDC" w:rsidRPr="00A52AB8">
        <w:rPr>
          <w:color w:val="000000" w:themeColor="text1"/>
        </w:rPr>
        <w:t xml:space="preserve">a </w:t>
      </w:r>
      <w:r w:rsidRPr="00A52AB8">
        <w:rPr>
          <w:color w:val="000000" w:themeColor="text1"/>
        </w:rPr>
        <w:t>conversion operation (e.g. map extraction, multi-dimension</w:t>
      </w:r>
      <w:r w:rsidR="00FB0CDC" w:rsidRPr="00A52AB8">
        <w:rPr>
          <w:color w:val="000000" w:themeColor="text1"/>
        </w:rPr>
        <w:t>al</w:t>
      </w:r>
      <w:r w:rsidRPr="00A52AB8">
        <w:rPr>
          <w:color w:val="000000" w:themeColor="text1"/>
        </w:rPr>
        <w:t xml:space="preserve"> attribute pa</w:t>
      </w:r>
      <w:r w:rsidR="00FB0CDC" w:rsidRPr="00A52AB8">
        <w:rPr>
          <w:color w:val="000000" w:themeColor="text1"/>
        </w:rPr>
        <w:t>ck</w:t>
      </w:r>
      <w:r w:rsidRPr="00A52AB8">
        <w:rPr>
          <w:color w:val="000000" w:themeColor="text1"/>
        </w:rPr>
        <w:t>ing, etc.)</w:t>
      </w:r>
      <w:r w:rsidR="003D78A6" w:rsidRPr="00A52AB8">
        <w:rPr>
          <w:color w:val="000000" w:themeColor="text1"/>
        </w:rPr>
        <w:t xml:space="preserve">, as described in </w:t>
      </w:r>
      <w:r w:rsidR="00172633" w:rsidRPr="00A52AB8">
        <w:rPr>
          <w:color w:val="000000" w:themeColor="text1"/>
        </w:rPr>
        <w:t>subclause </w:t>
      </w:r>
      <w:r w:rsidR="003D78A6" w:rsidRPr="00496A4D">
        <w:rPr>
          <w:color w:val="000000" w:themeColor="text1"/>
        </w:rPr>
        <w:fldChar w:fldCharType="begin"/>
      </w:r>
      <w:r w:rsidR="003D78A6" w:rsidRPr="00A52AB8">
        <w:rPr>
          <w:color w:val="000000" w:themeColor="text1"/>
        </w:rPr>
        <w:instrText xml:space="preserve"> REF _Ref41560808 \r \h </w:instrText>
      </w:r>
      <w:r w:rsidR="00CA5401" w:rsidRPr="00A52AB8">
        <w:rPr>
          <w:color w:val="000000" w:themeColor="text1"/>
        </w:rPr>
        <w:instrText xml:space="preserve"> \* MERGEFORMAT </w:instrText>
      </w:r>
      <w:r w:rsidR="003D78A6" w:rsidRPr="00496A4D">
        <w:rPr>
          <w:color w:val="000000" w:themeColor="text1"/>
        </w:rPr>
      </w:r>
      <w:r w:rsidR="003D78A6" w:rsidRPr="00496A4D">
        <w:rPr>
          <w:color w:val="000000" w:themeColor="text1"/>
        </w:rPr>
        <w:fldChar w:fldCharType="separate"/>
      </w:r>
      <w:r w:rsidR="00507A67">
        <w:rPr>
          <w:color w:val="000000" w:themeColor="text1"/>
        </w:rPr>
        <w:t>B.2</w:t>
      </w:r>
      <w:r w:rsidR="003D78A6" w:rsidRPr="00496A4D">
        <w:rPr>
          <w:color w:val="000000" w:themeColor="text1"/>
        </w:rPr>
        <w:fldChar w:fldCharType="end"/>
      </w:r>
      <w:r w:rsidRPr="00A52AB8">
        <w:rPr>
          <w:color w:val="000000" w:themeColor="text1"/>
        </w:rPr>
        <w:t xml:space="preserve">. </w:t>
      </w:r>
      <w:r w:rsidR="00B171F2" w:rsidRPr="00A52AB8">
        <w:rPr>
          <w:color w:val="000000" w:themeColor="text1"/>
        </w:rPr>
        <w:t xml:space="preserve">This clause provides informative methods of how to perform such </w:t>
      </w:r>
      <w:r w:rsidRPr="00A52AB8">
        <w:rPr>
          <w:color w:val="000000" w:themeColor="text1"/>
        </w:rPr>
        <w:t>processing steps</w:t>
      </w:r>
      <w:r w:rsidR="00B171F2" w:rsidRPr="00A52AB8">
        <w:rPr>
          <w:color w:val="000000" w:themeColor="text1"/>
        </w:rPr>
        <w:t>. These</w:t>
      </w:r>
      <w:r w:rsidR="00237381" w:rsidRPr="00A52AB8">
        <w:rPr>
          <w:color w:val="000000" w:themeColor="text1"/>
        </w:rPr>
        <w:t xml:space="preserve"> may be substituted by alternative processes</w:t>
      </w:r>
      <w:r w:rsidR="00B171F2" w:rsidRPr="00A52AB8">
        <w:rPr>
          <w:color w:val="000000" w:themeColor="text1"/>
        </w:rPr>
        <w:t>,</w:t>
      </w:r>
      <w:r w:rsidR="00237381" w:rsidRPr="00A52AB8">
        <w:rPr>
          <w:color w:val="000000" w:themeColor="text1"/>
        </w:rPr>
        <w:t xml:space="preserve"> </w:t>
      </w:r>
      <w:r w:rsidR="00B171F2" w:rsidRPr="00A52AB8">
        <w:rPr>
          <w:color w:val="000000" w:themeColor="text1"/>
        </w:rPr>
        <w:t xml:space="preserve">which are outside of the scope of this document, that </w:t>
      </w:r>
      <w:r w:rsidR="00FB0CDC" w:rsidRPr="00A52AB8">
        <w:rPr>
          <w:color w:val="000000" w:themeColor="text1"/>
        </w:rPr>
        <w:t xml:space="preserve">may </w:t>
      </w:r>
      <w:r w:rsidR="00237381" w:rsidRPr="00A52AB8">
        <w:rPr>
          <w:color w:val="000000" w:themeColor="text1"/>
        </w:rPr>
        <w:t>produce similar visual quality. The defin</w:t>
      </w:r>
      <w:r w:rsidR="00FB0CDC" w:rsidRPr="00A52AB8">
        <w:rPr>
          <w:color w:val="000000" w:themeColor="text1"/>
        </w:rPr>
        <w:t>iti</w:t>
      </w:r>
      <w:r w:rsidR="00237381" w:rsidRPr="00A52AB8">
        <w:rPr>
          <w:color w:val="000000" w:themeColor="text1"/>
        </w:rPr>
        <w:t>on of similar visual quality is outside the scope of this document</w:t>
      </w:r>
      <w:r w:rsidRPr="00A52AB8">
        <w:rPr>
          <w:color w:val="000000" w:themeColor="text1"/>
        </w:rPr>
        <w:t>. However</w:t>
      </w:r>
      <w:r w:rsidR="00FF7AD9" w:rsidRPr="00A52AB8">
        <w:rPr>
          <w:color w:val="000000" w:themeColor="text1"/>
        </w:rPr>
        <w:t>,</w:t>
      </w:r>
      <w:r w:rsidRPr="00A52AB8">
        <w:rPr>
          <w:color w:val="000000" w:themeColor="text1"/>
        </w:rPr>
        <w:t xml:space="preserve"> for purposes of conformance to point B</w:t>
      </w:r>
      <w:r w:rsidRPr="00A52AB8">
        <w:rPr>
          <w:lang w:eastAsia="ja-JP"/>
        </w:rPr>
        <w:t xml:space="preserve"> and as </w:t>
      </w:r>
      <w:r w:rsidR="008B3813" w:rsidRPr="00A52AB8">
        <w:rPr>
          <w:lang w:eastAsia="ja-JP"/>
        </w:rPr>
        <w:t xml:space="preserve">an </w:t>
      </w:r>
      <w:r w:rsidRPr="00A52AB8">
        <w:rPr>
          <w:lang w:eastAsia="ja-JP"/>
        </w:rPr>
        <w:t>informative example</w:t>
      </w:r>
      <w:r w:rsidR="00237381" w:rsidRPr="00A52AB8">
        <w:rPr>
          <w:lang w:eastAsia="ja-JP"/>
        </w:rPr>
        <w:t>,</w:t>
      </w:r>
      <w:r w:rsidRPr="00A52AB8">
        <w:rPr>
          <w:lang w:eastAsia="ja-JP"/>
        </w:rPr>
        <w:t xml:space="preserve"> a </w:t>
      </w:r>
      <w:r w:rsidRPr="00A52AB8">
        <w:rPr>
          <w:color w:val="000000" w:themeColor="text1"/>
        </w:rPr>
        <w:t>post</w:t>
      </w:r>
      <w:r w:rsidR="00EA46AA" w:rsidRPr="00A52AB8">
        <w:rPr>
          <w:color w:val="000000" w:themeColor="text1"/>
        </w:rPr>
        <w:noBreakHyphen/>
      </w:r>
      <w:r w:rsidRPr="00A52AB8">
        <w:rPr>
          <w:color w:val="000000" w:themeColor="text1"/>
        </w:rPr>
        <w:t>decoding</w:t>
      </w:r>
      <w:r w:rsidRPr="00A52AB8">
        <w:rPr>
          <w:lang w:eastAsia="ja-JP"/>
        </w:rPr>
        <w:t xml:space="preserve"> operation flow is presented </w:t>
      </w:r>
      <w:r w:rsidR="008B3813" w:rsidRPr="00A52AB8">
        <w:rPr>
          <w:lang w:eastAsia="ja-JP"/>
        </w:rPr>
        <w:t>i</w:t>
      </w:r>
      <w:r w:rsidRPr="00A52AB8">
        <w:rPr>
          <w:lang w:eastAsia="ja-JP"/>
        </w:rPr>
        <w:t>n</w:t>
      </w:r>
      <w:r w:rsidR="00582CD0" w:rsidRPr="00A52AB8">
        <w:rPr>
          <w:lang w:eastAsia="ja-JP"/>
        </w:rPr>
        <w:t xml:space="preserve"> </w:t>
      </w:r>
      <w:r w:rsidR="00582CD0" w:rsidRPr="00496A4D">
        <w:rPr>
          <w:lang w:eastAsia="ja-JP"/>
        </w:rPr>
        <w:fldChar w:fldCharType="begin"/>
      </w:r>
      <w:r w:rsidR="00582CD0" w:rsidRPr="00A52AB8">
        <w:rPr>
          <w:lang w:eastAsia="ja-JP"/>
        </w:rPr>
        <w:instrText xml:space="preserve"> REF _Ref49257880 \h </w:instrText>
      </w:r>
      <w:r w:rsidR="00007BE2" w:rsidRPr="00A52AB8">
        <w:rPr>
          <w:lang w:eastAsia="ja-JP"/>
        </w:rPr>
        <w:instrText xml:space="preserve"> \* MERGEFORMAT </w:instrText>
      </w:r>
      <w:r w:rsidR="00582CD0" w:rsidRPr="00496A4D">
        <w:rPr>
          <w:lang w:eastAsia="ja-JP"/>
        </w:rPr>
      </w:r>
      <w:r w:rsidR="00582CD0" w:rsidRPr="00496A4D">
        <w:rPr>
          <w:lang w:eastAsia="ja-JP"/>
        </w:rPr>
        <w:fldChar w:fldCharType="separate"/>
      </w:r>
      <w:r w:rsidR="00507A67" w:rsidRPr="00A52AB8">
        <w:rPr>
          <w:rFonts w:cs="Calibri"/>
        </w:rPr>
        <w:t xml:space="preserve">Figure </w:t>
      </w:r>
      <w:r w:rsidR="00507A67" w:rsidRPr="00507A67">
        <w:rPr>
          <w:rFonts w:cs="Calibri"/>
          <w:bCs/>
        </w:rPr>
        <w:t>B-</w:t>
      </w:r>
      <w:r w:rsidR="00507A67">
        <w:rPr>
          <w:rFonts w:cs="Calibri"/>
          <w:bCs/>
        </w:rPr>
        <w:t>1</w:t>
      </w:r>
      <w:r w:rsidR="00582CD0" w:rsidRPr="00496A4D">
        <w:rPr>
          <w:lang w:eastAsia="ja-JP"/>
        </w:rPr>
        <w:fldChar w:fldCharType="end"/>
      </w:r>
      <w:r w:rsidRPr="00A52AB8">
        <w:rPr>
          <w:lang w:eastAsia="ja-JP"/>
        </w:rPr>
        <w:t xml:space="preserve">. The order of processing steps may not necessarily be </w:t>
      </w:r>
      <w:r w:rsidR="0071119B" w:rsidRPr="00A52AB8">
        <w:rPr>
          <w:lang w:eastAsia="ja-JP"/>
        </w:rPr>
        <w:t>the same as</w:t>
      </w:r>
      <w:r w:rsidRPr="00A52AB8">
        <w:rPr>
          <w:lang w:eastAsia="ja-JP"/>
        </w:rPr>
        <w:t xml:space="preserve"> presented </w:t>
      </w:r>
      <w:r w:rsidR="0071119B" w:rsidRPr="00A52AB8">
        <w:rPr>
          <w:lang w:eastAsia="ja-JP"/>
        </w:rPr>
        <w:t>in</w:t>
      </w:r>
      <w:r w:rsidR="00582CD0" w:rsidRPr="00A52AB8">
        <w:rPr>
          <w:lang w:eastAsia="ja-JP"/>
        </w:rPr>
        <w:t xml:space="preserve"> </w:t>
      </w:r>
      <w:r w:rsidR="00582CD0" w:rsidRPr="00496A4D">
        <w:rPr>
          <w:lang w:eastAsia="ja-JP"/>
        </w:rPr>
        <w:fldChar w:fldCharType="begin"/>
      </w:r>
      <w:r w:rsidR="00582CD0" w:rsidRPr="00A52AB8">
        <w:rPr>
          <w:lang w:eastAsia="ja-JP"/>
        </w:rPr>
        <w:instrText xml:space="preserve"> REF _Ref49257880 \h </w:instrText>
      </w:r>
      <w:r w:rsidR="00007BE2" w:rsidRPr="00A52AB8">
        <w:rPr>
          <w:lang w:eastAsia="ja-JP"/>
        </w:rPr>
        <w:instrText xml:space="preserve"> \* MERGEFORMAT </w:instrText>
      </w:r>
      <w:r w:rsidR="00582CD0" w:rsidRPr="00496A4D">
        <w:rPr>
          <w:lang w:eastAsia="ja-JP"/>
        </w:rPr>
      </w:r>
      <w:r w:rsidR="00582CD0" w:rsidRPr="00496A4D">
        <w:rPr>
          <w:lang w:eastAsia="ja-JP"/>
        </w:rPr>
        <w:fldChar w:fldCharType="separate"/>
      </w:r>
      <w:r w:rsidR="00507A67" w:rsidRPr="00A52AB8">
        <w:rPr>
          <w:rFonts w:cs="Calibri"/>
        </w:rPr>
        <w:t xml:space="preserve">Figure </w:t>
      </w:r>
      <w:r w:rsidR="00507A67" w:rsidRPr="00507A67">
        <w:rPr>
          <w:rFonts w:cs="Calibri"/>
          <w:bCs/>
        </w:rPr>
        <w:t>B-</w:t>
      </w:r>
      <w:r w:rsidR="00507A67">
        <w:rPr>
          <w:rFonts w:cs="Calibri"/>
          <w:bCs/>
        </w:rPr>
        <w:t>1</w:t>
      </w:r>
      <w:r w:rsidR="00582CD0" w:rsidRPr="00496A4D">
        <w:rPr>
          <w:lang w:eastAsia="ja-JP"/>
        </w:rPr>
        <w:fldChar w:fldCharType="end"/>
      </w:r>
      <w:r w:rsidR="00237381" w:rsidRPr="00A52AB8">
        <w:rPr>
          <w:lang w:eastAsia="ja-JP"/>
        </w:rPr>
        <w:t>.</w:t>
      </w:r>
    </w:p>
    <w:p w14:paraId="560DDDAB" w14:textId="189A6B2E" w:rsidR="004A1BDF" w:rsidRPr="00A52AB8" w:rsidRDefault="004A1BDF" w:rsidP="004A1BDF">
      <w:pPr>
        <w:rPr>
          <w:color w:val="000000" w:themeColor="text1"/>
        </w:rPr>
      </w:pPr>
      <w:r w:rsidRPr="00A52AB8">
        <w:rPr>
          <w:color w:val="000000" w:themeColor="text1"/>
        </w:rPr>
        <w:t xml:space="preserve">The processes described in </w:t>
      </w:r>
      <w:r w:rsidRPr="00496A4D">
        <w:rPr>
          <w:color w:val="000000" w:themeColor="text1"/>
        </w:rPr>
        <w:fldChar w:fldCharType="begin"/>
      </w:r>
      <w:r w:rsidRPr="00A52AB8">
        <w:rPr>
          <w:color w:val="000000" w:themeColor="text1"/>
        </w:rPr>
        <w:instrText xml:space="preserve"> REF _Ref38561253 \n \h   </w:instrText>
      </w:r>
      <w:r w:rsidR="008F69D5"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Annex B</w:t>
      </w:r>
      <w:r w:rsidRPr="00496A4D">
        <w:rPr>
          <w:color w:val="000000" w:themeColor="text1"/>
        </w:rPr>
        <w:fldChar w:fldCharType="end"/>
      </w:r>
      <w:r w:rsidRPr="00A52AB8">
        <w:rPr>
          <w:color w:val="000000" w:themeColor="text1"/>
        </w:rPr>
        <w:t xml:space="preserve"> are invoked for decoded video components associated </w:t>
      </w:r>
      <w:r w:rsidRPr="00A52AB8">
        <w:t xml:space="preserve">with the same atlas ID, </w:t>
      </w:r>
      <w:r w:rsidRPr="00A52AB8">
        <w:rPr>
          <w:color w:val="000000" w:themeColor="text1"/>
        </w:rPr>
        <w:t xml:space="preserve">identified by variable ConvAtlasID, which is set equal to vuh_atlas_id </w:t>
      </w:r>
      <w:r w:rsidRPr="00A52AB8">
        <w:t>or determined through external means if the V3C unit header is unavailable</w:t>
      </w:r>
      <w:r w:rsidRPr="00A52AB8">
        <w:rPr>
          <w:color w:val="000000" w:themeColor="text1"/>
        </w:rPr>
        <w:t>.</w:t>
      </w:r>
    </w:p>
    <w:p w14:paraId="2F9E5E0B" w14:textId="00E55F47" w:rsidR="000E5116" w:rsidRPr="00A52AB8" w:rsidRDefault="000E5116" w:rsidP="004A1BDF">
      <w:pPr>
        <w:rPr>
          <w:color w:val="000000" w:themeColor="text1"/>
        </w:rPr>
      </w:pPr>
      <w:r w:rsidRPr="00A52AB8">
        <w:rPr>
          <w:lang w:eastAsia="ja-JP"/>
        </w:rPr>
        <w:t xml:space="preserve">The video frames provided by the decoder may require </w:t>
      </w:r>
      <w:r w:rsidRPr="00A52AB8">
        <w:rPr>
          <w:color w:val="000000" w:themeColor="text1"/>
        </w:rPr>
        <w:t xml:space="preserve">additional processing steps before the reconstruction process. Such processing steps may include unpacking of the decoded video frames to a seperate geometry, attribute and/or occupancy frames, as described in Annex </w:t>
      </w:r>
      <w:r w:rsidRPr="00496A4D">
        <w:rPr>
          <w:color w:val="000000" w:themeColor="text1"/>
        </w:rPr>
        <w:fldChar w:fldCharType="begin"/>
      </w:r>
      <w:r w:rsidRPr="00A52AB8">
        <w:rPr>
          <w:color w:val="000000" w:themeColor="text1"/>
        </w:rPr>
        <w:instrText xml:space="preserve"> REF _Ref44921124 \r \h </w:instrText>
      </w:r>
      <w:r w:rsidRPr="00496A4D">
        <w:rPr>
          <w:color w:val="000000" w:themeColor="text1"/>
        </w:rPr>
      </w:r>
      <w:r w:rsidRPr="00496A4D">
        <w:rPr>
          <w:color w:val="000000" w:themeColor="text1"/>
        </w:rPr>
        <w:fldChar w:fldCharType="separate"/>
      </w:r>
      <w:r w:rsidR="00507A67">
        <w:rPr>
          <w:color w:val="000000" w:themeColor="text1"/>
        </w:rPr>
        <w:t>B.4</w:t>
      </w:r>
      <w:r w:rsidRPr="00496A4D">
        <w:rPr>
          <w:color w:val="000000" w:themeColor="text1"/>
        </w:rPr>
        <w:fldChar w:fldCharType="end"/>
      </w:r>
      <w:r w:rsidRPr="00A52AB8">
        <w:rPr>
          <w:color w:val="000000" w:themeColor="text1"/>
        </w:rPr>
        <w:t>.</w:t>
      </w:r>
    </w:p>
    <w:p w14:paraId="7A63A8C6" w14:textId="621A525D" w:rsidR="000E5116" w:rsidRPr="00A52AB8" w:rsidRDefault="000E5116" w:rsidP="004A1BDF">
      <w:pPr>
        <w:rPr>
          <w:color w:val="000000" w:themeColor="text1"/>
        </w:rPr>
      </w:pPr>
      <w:r w:rsidRPr="00A52AB8">
        <w:rPr>
          <w:color w:val="000000" w:themeColor="text1"/>
          <w:highlight w:val="yellow"/>
        </w:rPr>
        <w:t>[Ed.(BK): Above paragraph is copied verbatim from ISO/IEC CD 23090-12 and needs to be integrated in Annex B.1 or Annex B.2.]</w:t>
      </w:r>
    </w:p>
    <w:p w14:paraId="7D7B0E91" w14:textId="61562E92" w:rsidR="004A1BDF" w:rsidRPr="00A52AB8" w:rsidRDefault="004A1BDF">
      <w:pPr>
        <w:rPr>
          <w:lang w:eastAsia="ja-JP"/>
        </w:rPr>
      </w:pPr>
      <w:r w:rsidRPr="00A52AB8">
        <w:rPr>
          <w:color w:val="000000" w:themeColor="text1"/>
        </w:rPr>
        <w:t xml:space="preserve">This clause takes as inputs </w:t>
      </w:r>
      <w:r w:rsidRPr="00A52AB8">
        <w:t xml:space="preserve">the syntax elements and upper-case variables from clauses </w:t>
      </w:r>
      <w:r w:rsidRPr="00496A4D">
        <w:fldChar w:fldCharType="begin"/>
      </w:r>
      <w:r w:rsidRPr="00A52AB8">
        <w:instrText xml:space="preserve"> REF _Ref326740334 \r \h   </w:instrText>
      </w:r>
      <w:r w:rsidR="008F69D5" w:rsidRPr="00A52AB8">
        <w:instrText xml:space="preserve"> \* MERGEFORMAT </w:instrText>
      </w:r>
      <w:r w:rsidRPr="00496A4D">
        <w:fldChar w:fldCharType="separate"/>
      </w:r>
      <w:r w:rsidR="00507A67">
        <w:t>8</w:t>
      </w:r>
      <w:r w:rsidRPr="00496A4D">
        <w:fldChar w:fldCharType="end"/>
      </w:r>
      <w:r w:rsidRPr="00A52AB8">
        <w:t xml:space="preserve"> and </w:t>
      </w:r>
      <w:r w:rsidRPr="00496A4D">
        <w:fldChar w:fldCharType="begin"/>
      </w:r>
      <w:r w:rsidRPr="00A52AB8">
        <w:instrText xml:space="preserve"> REF _Ref389779808 \r \h   </w:instrText>
      </w:r>
      <w:r w:rsidR="008F69D5" w:rsidRPr="00A52AB8">
        <w:instrText xml:space="preserve"> \* MERGEFORMAT </w:instrText>
      </w:r>
      <w:r w:rsidRPr="00496A4D">
        <w:fldChar w:fldCharType="separate"/>
      </w:r>
      <w:r w:rsidR="00507A67">
        <w:t>9</w:t>
      </w:r>
      <w:r w:rsidRPr="00496A4D">
        <w:fldChar w:fldCharType="end"/>
      </w:r>
      <w:r w:rsidRPr="00A52AB8">
        <w:t>.</w:t>
      </w:r>
    </w:p>
    <w:p w14:paraId="56B7EB18" w14:textId="16B807BC" w:rsidR="00A06B05" w:rsidRPr="00A52AB8" w:rsidRDefault="00C837A4" w:rsidP="004A7026">
      <w:pPr>
        <w:keepNext/>
        <w:jc w:val="center"/>
        <w:rPr>
          <w:lang w:eastAsia="ja-JP"/>
        </w:rPr>
      </w:pPr>
      <w:r w:rsidRPr="00496A4D">
        <w:rPr>
          <w:noProof/>
        </w:rPr>
        <w:drawing>
          <wp:inline distT="0" distB="0" distL="0" distR="0" wp14:anchorId="707A0C7B" wp14:editId="26617B46">
            <wp:extent cx="5133315" cy="8643202"/>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172324" cy="8708883"/>
                    </a:xfrm>
                    <a:prstGeom prst="rect">
                      <a:avLst/>
                    </a:prstGeom>
                    <a:noFill/>
                    <a:ln>
                      <a:noFill/>
                    </a:ln>
                  </pic:spPr>
                </pic:pic>
              </a:graphicData>
            </a:graphic>
          </wp:inline>
        </w:drawing>
      </w:r>
    </w:p>
    <w:p w14:paraId="191C9A3F" w14:textId="11FF0548" w:rsidR="00582CD0" w:rsidRPr="00A52AB8" w:rsidRDefault="00582CD0" w:rsidP="00404008">
      <w:pPr>
        <w:pStyle w:val="Caption"/>
        <w:keepNext w:val="0"/>
        <w:rPr>
          <w:rFonts w:ascii="Cambria" w:hAnsi="Cambria"/>
          <w:bCs w:val="0"/>
        </w:rPr>
      </w:pPr>
      <w:bookmarkStart w:id="4803" w:name="_Ref49257880"/>
      <w:bookmarkStart w:id="4804" w:name="_Ref41571686"/>
      <w:r w:rsidRPr="00A52AB8">
        <w:rPr>
          <w:rFonts w:ascii="Cambria" w:hAnsi="Cambria" w:cs="Calibri"/>
        </w:rPr>
        <w:t xml:space="preserve">Figure </w:t>
      </w:r>
      <w:r w:rsidRPr="00A52AB8">
        <w:rPr>
          <w:rFonts w:ascii="Cambria" w:hAnsi="Cambria" w:cs="Calibri"/>
          <w:bCs w:val="0"/>
        </w:rPr>
        <w:t>B-</w:t>
      </w:r>
      <w:r w:rsidRPr="00496A4D">
        <w:rPr>
          <w:rFonts w:ascii="Cambria" w:hAnsi="Cambria" w:cs="Calibri"/>
          <w:bCs w:val="0"/>
        </w:rPr>
        <w:fldChar w:fldCharType="begin"/>
      </w:r>
      <w:r w:rsidRPr="00A52AB8">
        <w:rPr>
          <w:rFonts w:ascii="Cambria" w:hAnsi="Cambria" w:cs="Calibri"/>
          <w:bCs w:val="0"/>
        </w:rPr>
        <w:instrText xml:space="preserve"> SEQ Figure \* ARABIC \r 1</w:instrText>
      </w:r>
      <w:r w:rsidRPr="00496A4D">
        <w:rPr>
          <w:rFonts w:ascii="Cambria" w:hAnsi="Cambria" w:cs="Calibri"/>
          <w:bCs w:val="0"/>
        </w:rPr>
        <w:fldChar w:fldCharType="separate"/>
      </w:r>
      <w:r w:rsidR="00507A67">
        <w:rPr>
          <w:rFonts w:ascii="Cambria" w:hAnsi="Cambria" w:cs="Calibri"/>
          <w:bCs w:val="0"/>
          <w:noProof/>
        </w:rPr>
        <w:t>1</w:t>
      </w:r>
      <w:r w:rsidRPr="00496A4D">
        <w:rPr>
          <w:rFonts w:ascii="Cambria" w:hAnsi="Cambria" w:cs="Calibri"/>
          <w:bCs w:val="0"/>
        </w:rPr>
        <w:fldChar w:fldCharType="end"/>
      </w:r>
      <w:bookmarkEnd w:id="4803"/>
      <w:r w:rsidRPr="00A52AB8">
        <w:rPr>
          <w:rFonts w:ascii="Cambria" w:hAnsi="Cambria" w:cs="Calibri"/>
          <w:bCs w:val="0"/>
        </w:rPr>
        <w:t> </w:t>
      </w:r>
      <w:r w:rsidRPr="00A52AB8">
        <w:rPr>
          <w:rFonts w:ascii="Cambria" w:hAnsi="Cambria"/>
        </w:rPr>
        <w:t>– Post-processing conversion for a V3C bitstream with a single atlas</w:t>
      </w:r>
    </w:p>
    <w:p w14:paraId="0208A0F6" w14:textId="77777777" w:rsidR="00D136E3" w:rsidRPr="00A52AB8" w:rsidRDefault="00D136E3" w:rsidP="00D136E3">
      <w:pPr>
        <w:pStyle w:val="a2"/>
        <w:numPr>
          <w:ilvl w:val="1"/>
          <w:numId w:val="19"/>
        </w:numPr>
      </w:pPr>
      <w:bookmarkStart w:id="4805" w:name="_Toc51366580"/>
      <w:bookmarkStart w:id="4806" w:name="_Toc51366581"/>
      <w:bookmarkStart w:id="4807" w:name="_Toc49349894"/>
      <w:bookmarkStart w:id="4808" w:name="_Toc49349895"/>
      <w:bookmarkStart w:id="4809" w:name="_Toc46301810"/>
      <w:bookmarkStart w:id="4810" w:name="_Toc46302635"/>
      <w:bookmarkStart w:id="4811" w:name="_Toc46301811"/>
      <w:bookmarkStart w:id="4812" w:name="_Toc46302636"/>
      <w:bookmarkStart w:id="4813" w:name="_Toc46301812"/>
      <w:bookmarkStart w:id="4814" w:name="_Toc46302637"/>
      <w:bookmarkStart w:id="4815" w:name="_Toc46301813"/>
      <w:bookmarkStart w:id="4816" w:name="_Toc46302638"/>
      <w:bookmarkStart w:id="4817" w:name="_Toc46301814"/>
      <w:bookmarkStart w:id="4818" w:name="_Toc46302639"/>
      <w:bookmarkStart w:id="4819" w:name="_Toc46301815"/>
      <w:bookmarkStart w:id="4820" w:name="_Toc46302640"/>
      <w:bookmarkStart w:id="4821" w:name="_Toc38891747"/>
      <w:bookmarkStart w:id="4822" w:name="_Toc39426341"/>
      <w:bookmarkStart w:id="4823" w:name="_Toc38891748"/>
      <w:bookmarkStart w:id="4824" w:name="_Toc39426342"/>
      <w:bookmarkStart w:id="4825" w:name="_Toc38891749"/>
      <w:bookmarkStart w:id="4826" w:name="_Toc39426343"/>
      <w:bookmarkStart w:id="4827" w:name="_Toc38891750"/>
      <w:bookmarkStart w:id="4828" w:name="_Toc39426344"/>
      <w:bookmarkStart w:id="4829" w:name="_Toc38891751"/>
      <w:bookmarkStart w:id="4830" w:name="_Toc39426345"/>
      <w:bookmarkStart w:id="4831" w:name="_Ref41560808"/>
      <w:bookmarkStart w:id="4832" w:name="_Ref39746084"/>
      <w:bookmarkStart w:id="4833" w:name="_Ref33629393"/>
      <w:bookmarkStart w:id="4834" w:name="_Toc52181660"/>
      <w:bookmarkEnd w:id="4804"/>
      <w:bookmarkEnd w:id="4805"/>
      <w:bookmarkEnd w:id="4806"/>
      <w:bookmarkEnd w:id="4807"/>
      <w:bookmarkEnd w:id="4808"/>
      <w:bookmarkEnd w:id="4809"/>
      <w:bookmarkEnd w:id="4810"/>
      <w:bookmarkEnd w:id="4811"/>
      <w:bookmarkEnd w:id="4812"/>
      <w:bookmarkEnd w:id="4813"/>
      <w:bookmarkEnd w:id="4814"/>
      <w:bookmarkEnd w:id="4815"/>
      <w:bookmarkEnd w:id="4816"/>
      <w:bookmarkEnd w:id="4817"/>
      <w:bookmarkEnd w:id="4818"/>
      <w:bookmarkEnd w:id="4819"/>
      <w:bookmarkEnd w:id="4820"/>
      <w:bookmarkEnd w:id="4821"/>
      <w:bookmarkEnd w:id="4822"/>
      <w:bookmarkEnd w:id="4823"/>
      <w:bookmarkEnd w:id="4824"/>
      <w:bookmarkEnd w:id="4825"/>
      <w:bookmarkEnd w:id="4826"/>
      <w:bookmarkEnd w:id="4827"/>
      <w:bookmarkEnd w:id="4828"/>
      <w:bookmarkEnd w:id="4829"/>
      <w:bookmarkEnd w:id="4830"/>
      <w:r w:rsidRPr="00A52AB8">
        <w:t>Nominal format</w:t>
      </w:r>
      <w:r w:rsidR="000D1BD8" w:rsidRPr="00A52AB8">
        <w:t xml:space="preserve"> conversion</w:t>
      </w:r>
      <w:bookmarkEnd w:id="4831"/>
      <w:bookmarkEnd w:id="4832"/>
      <w:bookmarkEnd w:id="4834"/>
    </w:p>
    <w:p w14:paraId="2013A48F" w14:textId="77777777" w:rsidR="000D1BD8" w:rsidRPr="00A52AB8" w:rsidRDefault="000D1BD8" w:rsidP="00EE3D19">
      <w:pPr>
        <w:pStyle w:val="a4"/>
        <w:numPr>
          <w:ilvl w:val="2"/>
          <w:numId w:val="19"/>
        </w:numPr>
        <w:outlineLvl w:val="2"/>
      </w:pPr>
      <w:r w:rsidRPr="00A52AB8">
        <w:t>General</w:t>
      </w:r>
    </w:p>
    <w:p w14:paraId="2C9CB55B" w14:textId="7076842C" w:rsidR="00D136E3" w:rsidRPr="00A52AB8" w:rsidRDefault="00FD0D09" w:rsidP="00D136E3">
      <w:pPr>
        <w:rPr>
          <w:rFonts w:cs="Calibri"/>
        </w:rPr>
      </w:pPr>
      <w:r w:rsidRPr="00A52AB8">
        <w:rPr>
          <w:rFonts w:cs="Calibri"/>
        </w:rPr>
        <w:t>The n</w:t>
      </w:r>
      <w:r w:rsidR="00D136E3" w:rsidRPr="00A52AB8">
        <w:rPr>
          <w:rFonts w:cs="Calibri"/>
        </w:rPr>
        <w:t xml:space="preserve">ominal format refers collectively to </w:t>
      </w:r>
      <w:r w:rsidR="00CF7DA7" w:rsidRPr="00A52AB8">
        <w:rPr>
          <w:rFonts w:cs="Calibri"/>
        </w:rPr>
        <w:t xml:space="preserve">the </w:t>
      </w:r>
      <w:r w:rsidR="00D136E3" w:rsidRPr="00A52AB8">
        <w:rPr>
          <w:rFonts w:cs="Calibri"/>
        </w:rPr>
        <w:t>nominal bit</w:t>
      </w:r>
      <w:r w:rsidR="00227C2B" w:rsidRPr="00A52AB8">
        <w:rPr>
          <w:rFonts w:cs="Calibri"/>
        </w:rPr>
        <w:t xml:space="preserve"> </w:t>
      </w:r>
      <w:r w:rsidR="00D136E3" w:rsidRPr="00A52AB8">
        <w:rPr>
          <w:rFonts w:cs="Calibri"/>
        </w:rPr>
        <w:t>d</w:t>
      </w:r>
      <w:r w:rsidR="00CF7DA7" w:rsidRPr="00A52AB8">
        <w:rPr>
          <w:rFonts w:cs="Calibri"/>
        </w:rPr>
        <w:t>e</w:t>
      </w:r>
      <w:r w:rsidR="00D136E3" w:rsidRPr="00A52AB8">
        <w:rPr>
          <w:rFonts w:cs="Calibri"/>
        </w:rPr>
        <w:t>pth, resolution</w:t>
      </w:r>
      <w:r w:rsidR="00CF7DA7" w:rsidRPr="00A52AB8">
        <w:rPr>
          <w:rFonts w:cs="Calibri"/>
        </w:rPr>
        <w:t>, chroma format</w:t>
      </w:r>
      <w:r w:rsidR="00D136E3" w:rsidRPr="00A52AB8">
        <w:rPr>
          <w:rFonts w:cs="Calibri"/>
        </w:rPr>
        <w:t>,</w:t>
      </w:r>
      <w:r w:rsidR="00CF7DA7" w:rsidRPr="00A52AB8">
        <w:rPr>
          <w:rFonts w:cs="Calibri"/>
        </w:rPr>
        <w:t xml:space="preserve"> and</w:t>
      </w:r>
      <w:r w:rsidR="00C51666" w:rsidRPr="00A52AB8">
        <w:rPr>
          <w:rFonts w:cs="Calibri"/>
        </w:rPr>
        <w:t xml:space="preserve"> </w:t>
      </w:r>
      <w:r w:rsidR="004E3BEE" w:rsidRPr="00A52AB8">
        <w:rPr>
          <w:rFonts w:cs="Calibri"/>
        </w:rPr>
        <w:t>composition time index</w:t>
      </w:r>
      <w:r w:rsidR="00CA63D8" w:rsidRPr="00A52AB8">
        <w:rPr>
          <w:rFonts w:cs="Calibri"/>
        </w:rPr>
        <w:t xml:space="preserve"> that the </w:t>
      </w:r>
      <w:r w:rsidR="00403789" w:rsidRPr="00A52AB8">
        <w:rPr>
          <w:rFonts w:cs="Calibri"/>
        </w:rPr>
        <w:t>decoded</w:t>
      </w:r>
      <w:r w:rsidR="00CA63D8" w:rsidRPr="00A52AB8">
        <w:rPr>
          <w:rFonts w:cs="Calibri"/>
        </w:rPr>
        <w:t xml:space="preserve"> videos shou</w:t>
      </w:r>
      <w:r w:rsidR="0071119B" w:rsidRPr="00A52AB8">
        <w:rPr>
          <w:rFonts w:cs="Calibri"/>
        </w:rPr>
        <w:t>ld</w:t>
      </w:r>
      <w:r w:rsidR="00CA63D8" w:rsidRPr="00A52AB8">
        <w:rPr>
          <w:rFonts w:cs="Calibri"/>
        </w:rPr>
        <w:t xml:space="preserve"> be converted to</w:t>
      </w:r>
      <w:r w:rsidR="00D136E3" w:rsidRPr="00A52AB8">
        <w:rPr>
          <w:rFonts w:cs="Calibri"/>
        </w:rPr>
        <w:t>.</w:t>
      </w:r>
    </w:p>
    <w:p w14:paraId="214F86DD" w14:textId="047DC444" w:rsidR="00CF7DA7" w:rsidRPr="00A52AB8" w:rsidRDefault="005878EA" w:rsidP="00D136E3">
      <w:pPr>
        <w:rPr>
          <w:color w:val="000000" w:themeColor="text1"/>
        </w:rPr>
      </w:pPr>
      <w:r w:rsidRPr="00A52AB8">
        <w:rPr>
          <w:color w:val="000000" w:themeColor="text1"/>
        </w:rPr>
        <w:t xml:space="preserve">Each video sub-bitstream is associated with a </w:t>
      </w:r>
      <w:r w:rsidR="00D136E3" w:rsidRPr="00A52AB8">
        <w:rPr>
          <w:rFonts w:cs="Calibri"/>
        </w:rPr>
        <w:t xml:space="preserve">nominal </w:t>
      </w:r>
      <w:r w:rsidR="00D136E3" w:rsidRPr="00A52AB8">
        <w:rPr>
          <w:color w:val="000000" w:themeColor="text1"/>
        </w:rPr>
        <w:t>bit</w:t>
      </w:r>
      <w:r w:rsidR="004D6246" w:rsidRPr="00A52AB8">
        <w:rPr>
          <w:color w:val="000000" w:themeColor="text1"/>
        </w:rPr>
        <w:t xml:space="preserve"> </w:t>
      </w:r>
      <w:r w:rsidR="00D136E3" w:rsidRPr="00A52AB8">
        <w:rPr>
          <w:color w:val="000000" w:themeColor="text1"/>
        </w:rPr>
        <w:t>depth</w:t>
      </w:r>
      <w:r w:rsidRPr="00A52AB8">
        <w:rPr>
          <w:color w:val="000000" w:themeColor="text1"/>
        </w:rPr>
        <w:t>, which is the target bit depth that all operations for reconstruction are expected to be performed in</w:t>
      </w:r>
      <w:r w:rsidR="008334E2" w:rsidRPr="00A52AB8">
        <w:rPr>
          <w:color w:val="000000" w:themeColor="text1"/>
        </w:rPr>
        <w:t xml:space="preserve">. The nominal bit depth for </w:t>
      </w:r>
      <w:r w:rsidRPr="00A52AB8">
        <w:rPr>
          <w:color w:val="000000" w:themeColor="text1"/>
        </w:rPr>
        <w:t xml:space="preserve">the </w:t>
      </w:r>
      <w:r w:rsidR="008334E2" w:rsidRPr="00A52AB8">
        <w:rPr>
          <w:color w:val="000000" w:themeColor="text1"/>
        </w:rPr>
        <w:t>occupancy</w:t>
      </w:r>
      <w:r w:rsidRPr="00A52AB8">
        <w:rPr>
          <w:color w:val="000000" w:themeColor="text1"/>
        </w:rPr>
        <w:t xml:space="preserve"> component</w:t>
      </w:r>
      <w:r w:rsidR="000D1BD8" w:rsidRPr="00A52AB8">
        <w:rPr>
          <w:color w:val="000000" w:themeColor="text1"/>
        </w:rPr>
        <w:t xml:space="preserve">, </w:t>
      </w:r>
      <w:r w:rsidR="00BF0095" w:rsidRPr="00A52AB8">
        <w:rPr>
          <w:color w:val="000000" w:themeColor="text1"/>
        </w:rPr>
        <w:t>O</w:t>
      </w:r>
      <w:r w:rsidR="000D1BD8" w:rsidRPr="00A52AB8">
        <w:rPr>
          <w:color w:val="000000" w:themeColor="text1"/>
        </w:rPr>
        <w:t>ccBit</w:t>
      </w:r>
      <w:r w:rsidR="00AD0CC0" w:rsidRPr="00A52AB8">
        <w:rPr>
          <w:color w:val="000000" w:themeColor="text1"/>
        </w:rPr>
        <w:t>D</w:t>
      </w:r>
      <w:r w:rsidR="000D1BD8" w:rsidRPr="00A52AB8">
        <w:rPr>
          <w:color w:val="000000" w:themeColor="text1"/>
        </w:rPr>
        <w:t>epthN</w:t>
      </w:r>
      <w:r w:rsidR="00734798" w:rsidRPr="00A52AB8">
        <w:rPr>
          <w:color w:val="000000" w:themeColor="text1"/>
        </w:rPr>
        <w:t>F</w:t>
      </w:r>
      <w:r w:rsidR="000D1BD8" w:rsidRPr="00A52AB8">
        <w:rPr>
          <w:color w:val="000000" w:themeColor="text1"/>
        </w:rPr>
        <w:t>,</w:t>
      </w:r>
      <w:r w:rsidR="00D136E3" w:rsidRPr="00A52AB8">
        <w:rPr>
          <w:color w:val="000000" w:themeColor="text1"/>
        </w:rPr>
        <w:t xml:space="preserve"> is </w:t>
      </w:r>
      <w:r w:rsidR="00986EA2" w:rsidRPr="00A52AB8">
        <w:rPr>
          <w:color w:val="000000" w:themeColor="text1"/>
        </w:rPr>
        <w:t xml:space="preserve">set equal to </w:t>
      </w:r>
      <w:r w:rsidR="00D136E3" w:rsidRPr="00A52AB8">
        <w:rPr>
          <w:color w:val="000000" w:themeColor="text1"/>
        </w:rPr>
        <w:t>oi_occupancy</w:t>
      </w:r>
      <w:r w:rsidR="00E17778" w:rsidRPr="00A52AB8">
        <w:rPr>
          <w:color w:val="000000" w:themeColor="text1"/>
        </w:rPr>
        <w:t>_</w:t>
      </w:r>
      <w:r w:rsidR="00D136E3" w:rsidRPr="00A52AB8">
        <w:rPr>
          <w:color w:val="000000" w:themeColor="text1"/>
        </w:rPr>
        <w:t>2d_bit</w:t>
      </w:r>
      <w:r w:rsidR="00C514C6" w:rsidRPr="00A52AB8">
        <w:rPr>
          <w:color w:val="000000" w:themeColor="text1"/>
        </w:rPr>
        <w:t>_</w:t>
      </w:r>
      <w:r w:rsidR="00D136E3" w:rsidRPr="00A52AB8">
        <w:rPr>
          <w:color w:val="000000" w:themeColor="text1"/>
        </w:rPr>
        <w:t>depth_minus1</w:t>
      </w:r>
      <w:r w:rsidR="00DB7AD8" w:rsidRPr="00A52AB8">
        <w:rPr>
          <w:color w:val="000000" w:themeColor="text1"/>
        </w:rPr>
        <w:t>[ </w:t>
      </w:r>
      <w:r w:rsidR="00FF3A2E" w:rsidRPr="00A52AB8">
        <w:rPr>
          <w:color w:val="000000" w:themeColor="text1"/>
        </w:rPr>
        <w:t>ConvAtlasID</w:t>
      </w:r>
      <w:r w:rsidR="00DB7AD8" w:rsidRPr="00A52AB8">
        <w:rPr>
          <w:color w:val="000000" w:themeColor="text1"/>
        </w:rPr>
        <w:t> ]</w:t>
      </w:r>
      <w:r w:rsidR="00227C2B" w:rsidRPr="00A52AB8">
        <w:rPr>
          <w:color w:val="000000" w:themeColor="text1"/>
        </w:rPr>
        <w:t> </w:t>
      </w:r>
      <w:r w:rsidR="00D136E3" w:rsidRPr="00A52AB8">
        <w:rPr>
          <w:color w:val="000000" w:themeColor="text1"/>
        </w:rPr>
        <w:t>+</w:t>
      </w:r>
      <w:r w:rsidR="00227C2B" w:rsidRPr="00A52AB8">
        <w:rPr>
          <w:color w:val="000000" w:themeColor="text1"/>
        </w:rPr>
        <w:t> </w:t>
      </w:r>
      <w:r w:rsidR="00D136E3" w:rsidRPr="00A52AB8">
        <w:rPr>
          <w:color w:val="000000" w:themeColor="text1"/>
        </w:rPr>
        <w:t xml:space="preserve">1. </w:t>
      </w:r>
      <w:r w:rsidR="008334E2" w:rsidRPr="00A52AB8">
        <w:rPr>
          <w:rFonts w:cs="Calibri"/>
        </w:rPr>
        <w:t>T</w:t>
      </w:r>
      <w:r w:rsidR="00DF21A9" w:rsidRPr="00A52AB8">
        <w:rPr>
          <w:rFonts w:cs="Calibri"/>
        </w:rPr>
        <w:t xml:space="preserve">he </w:t>
      </w:r>
      <w:r w:rsidR="008334E2" w:rsidRPr="00A52AB8">
        <w:rPr>
          <w:rFonts w:cs="Calibri"/>
        </w:rPr>
        <w:t xml:space="preserve">nominal bit depth for </w:t>
      </w:r>
      <w:r w:rsidRPr="00A52AB8">
        <w:rPr>
          <w:rFonts w:cs="Calibri"/>
        </w:rPr>
        <w:t xml:space="preserve">each </w:t>
      </w:r>
      <w:r w:rsidR="00D136E3" w:rsidRPr="00A52AB8">
        <w:rPr>
          <w:color w:val="000000" w:themeColor="text1"/>
        </w:rPr>
        <w:t>geometry video</w:t>
      </w:r>
      <w:r w:rsidRPr="00A52AB8">
        <w:rPr>
          <w:color w:val="000000" w:themeColor="text1"/>
        </w:rPr>
        <w:t xml:space="preserve"> component</w:t>
      </w:r>
      <w:r w:rsidR="00111939" w:rsidRPr="00A52AB8">
        <w:rPr>
          <w:color w:val="000000" w:themeColor="text1"/>
        </w:rPr>
        <w:t xml:space="preserve">, </w:t>
      </w:r>
      <w:r w:rsidR="00BF0095" w:rsidRPr="00A52AB8">
        <w:rPr>
          <w:color w:val="000000" w:themeColor="text1"/>
        </w:rPr>
        <w:t>G</w:t>
      </w:r>
      <w:r w:rsidR="00111939" w:rsidRPr="00A52AB8">
        <w:rPr>
          <w:color w:val="000000" w:themeColor="text1"/>
        </w:rPr>
        <w:t>eo</w:t>
      </w:r>
      <w:r w:rsidR="00734798" w:rsidRPr="00A52AB8">
        <w:rPr>
          <w:color w:val="000000" w:themeColor="text1"/>
        </w:rPr>
        <w:t>BitDepthNF</w:t>
      </w:r>
      <w:r w:rsidR="002C7E78" w:rsidRPr="00A52AB8">
        <w:rPr>
          <w:color w:val="000000" w:themeColor="text1"/>
        </w:rPr>
        <w:t>,</w:t>
      </w:r>
      <w:r w:rsidR="00D136E3" w:rsidRPr="00A52AB8">
        <w:rPr>
          <w:color w:val="000000" w:themeColor="text1"/>
        </w:rPr>
        <w:t xml:space="preserve"> is </w:t>
      </w:r>
      <w:r w:rsidR="00986EA2" w:rsidRPr="00A52AB8">
        <w:rPr>
          <w:color w:val="000000" w:themeColor="text1"/>
        </w:rPr>
        <w:t xml:space="preserve">set equal to </w:t>
      </w:r>
      <w:r w:rsidR="00D136E3" w:rsidRPr="00A52AB8">
        <w:rPr>
          <w:color w:val="000000" w:themeColor="text1"/>
        </w:rPr>
        <w:t>gi_geometry</w:t>
      </w:r>
      <w:r w:rsidR="00E17778" w:rsidRPr="00A52AB8">
        <w:rPr>
          <w:color w:val="000000" w:themeColor="text1"/>
        </w:rPr>
        <w:t>_</w:t>
      </w:r>
      <w:r w:rsidR="00D136E3" w:rsidRPr="00A52AB8">
        <w:rPr>
          <w:color w:val="000000" w:themeColor="text1"/>
        </w:rPr>
        <w:t>2d_bit</w:t>
      </w:r>
      <w:r w:rsidR="00BD1BF4" w:rsidRPr="00A52AB8">
        <w:rPr>
          <w:color w:val="000000" w:themeColor="text1"/>
        </w:rPr>
        <w:t>_</w:t>
      </w:r>
      <w:r w:rsidR="00D136E3" w:rsidRPr="00A52AB8">
        <w:rPr>
          <w:color w:val="000000" w:themeColor="text1"/>
        </w:rPr>
        <w:t>depth_minus1</w:t>
      </w:r>
      <w:r w:rsidR="00DB7AD8" w:rsidRPr="00A52AB8">
        <w:rPr>
          <w:color w:val="000000" w:themeColor="text1"/>
        </w:rPr>
        <w:t>[ </w:t>
      </w:r>
      <w:r w:rsidR="00240CF2" w:rsidRPr="00A52AB8">
        <w:rPr>
          <w:color w:val="000000" w:themeColor="text1"/>
        </w:rPr>
        <w:t>ConvAtlasID</w:t>
      </w:r>
      <w:r w:rsidR="00DB7AD8" w:rsidRPr="00A52AB8">
        <w:rPr>
          <w:color w:val="000000" w:themeColor="text1"/>
        </w:rPr>
        <w:t> ]</w:t>
      </w:r>
      <w:r w:rsidR="00227C2B" w:rsidRPr="00A52AB8">
        <w:rPr>
          <w:color w:val="000000" w:themeColor="text1"/>
        </w:rPr>
        <w:t> </w:t>
      </w:r>
      <w:r w:rsidR="00D136E3" w:rsidRPr="00A52AB8">
        <w:rPr>
          <w:color w:val="000000" w:themeColor="text1"/>
        </w:rPr>
        <w:t>+</w:t>
      </w:r>
      <w:r w:rsidR="00227C2B" w:rsidRPr="00A52AB8">
        <w:rPr>
          <w:color w:val="000000" w:themeColor="text1"/>
        </w:rPr>
        <w:t> </w:t>
      </w:r>
      <w:r w:rsidR="00D136E3" w:rsidRPr="00A52AB8">
        <w:rPr>
          <w:color w:val="000000" w:themeColor="text1"/>
        </w:rPr>
        <w:t xml:space="preserve">1. </w:t>
      </w:r>
      <w:r w:rsidRPr="00A52AB8">
        <w:rPr>
          <w:color w:val="000000" w:themeColor="text1"/>
        </w:rPr>
        <w:t xml:space="preserve">Finally, </w:t>
      </w:r>
      <w:r w:rsidRPr="00A52AB8">
        <w:rPr>
          <w:rFonts w:cs="Calibri"/>
        </w:rPr>
        <w:t>t</w:t>
      </w:r>
      <w:r w:rsidR="00DF21A9" w:rsidRPr="00A52AB8">
        <w:rPr>
          <w:rFonts w:cs="Calibri"/>
        </w:rPr>
        <w:t xml:space="preserve">he </w:t>
      </w:r>
      <w:r w:rsidR="008334E2" w:rsidRPr="00A52AB8">
        <w:rPr>
          <w:rFonts w:cs="Calibri"/>
        </w:rPr>
        <w:t xml:space="preserve">nominal bit depth for </w:t>
      </w:r>
      <w:r w:rsidRPr="00A52AB8">
        <w:rPr>
          <w:rFonts w:cs="Calibri"/>
        </w:rPr>
        <w:t xml:space="preserve">each </w:t>
      </w:r>
      <w:r w:rsidR="00D136E3" w:rsidRPr="00A52AB8">
        <w:rPr>
          <w:color w:val="000000" w:themeColor="text1"/>
        </w:rPr>
        <w:t xml:space="preserve">attribute video </w:t>
      </w:r>
      <w:r w:rsidRPr="00A52AB8">
        <w:rPr>
          <w:color w:val="000000" w:themeColor="text1"/>
        </w:rPr>
        <w:t xml:space="preserve">component </w:t>
      </w:r>
      <w:r w:rsidR="00D136E3" w:rsidRPr="00A52AB8">
        <w:rPr>
          <w:color w:val="000000" w:themeColor="text1"/>
        </w:rPr>
        <w:t>with attribute index attrIdx</w:t>
      </w:r>
      <w:r w:rsidR="002C7E78" w:rsidRPr="00A52AB8">
        <w:rPr>
          <w:color w:val="000000" w:themeColor="text1"/>
        </w:rPr>
        <w:t xml:space="preserve">, </w:t>
      </w:r>
      <w:r w:rsidR="00BF0095" w:rsidRPr="00A52AB8">
        <w:rPr>
          <w:color w:val="000000" w:themeColor="text1"/>
        </w:rPr>
        <w:t>A</w:t>
      </w:r>
      <w:r w:rsidR="002C7E78" w:rsidRPr="00A52AB8">
        <w:rPr>
          <w:color w:val="000000" w:themeColor="text1"/>
        </w:rPr>
        <w:t>ttr</w:t>
      </w:r>
      <w:r w:rsidR="00734798" w:rsidRPr="00A52AB8">
        <w:rPr>
          <w:color w:val="000000" w:themeColor="text1"/>
        </w:rPr>
        <w:t>BitDepthNF</w:t>
      </w:r>
      <w:r w:rsidR="002C7E78" w:rsidRPr="00A52AB8">
        <w:rPr>
          <w:color w:val="000000" w:themeColor="text1"/>
        </w:rPr>
        <w:t>[ att</w:t>
      </w:r>
      <w:r w:rsidR="00DF21A9" w:rsidRPr="00A52AB8">
        <w:rPr>
          <w:color w:val="000000" w:themeColor="text1"/>
        </w:rPr>
        <w:t>r</w:t>
      </w:r>
      <w:r w:rsidR="002C7E78" w:rsidRPr="00A52AB8">
        <w:rPr>
          <w:color w:val="000000" w:themeColor="text1"/>
        </w:rPr>
        <w:t>Idx ],</w:t>
      </w:r>
      <w:r w:rsidR="00D136E3" w:rsidRPr="00A52AB8">
        <w:rPr>
          <w:color w:val="000000" w:themeColor="text1"/>
        </w:rPr>
        <w:t xml:space="preserve"> is </w:t>
      </w:r>
      <w:r w:rsidR="00986EA2" w:rsidRPr="00A52AB8">
        <w:rPr>
          <w:color w:val="000000" w:themeColor="text1"/>
        </w:rPr>
        <w:t xml:space="preserve">set equal to </w:t>
      </w:r>
      <w:r w:rsidR="00D136E3" w:rsidRPr="00A52AB8">
        <w:rPr>
          <w:color w:val="000000" w:themeColor="text1"/>
        </w:rPr>
        <w:t>ai_attribute</w:t>
      </w:r>
      <w:r w:rsidR="00E17778" w:rsidRPr="00A52AB8">
        <w:rPr>
          <w:color w:val="000000" w:themeColor="text1"/>
        </w:rPr>
        <w:t>_</w:t>
      </w:r>
      <w:r w:rsidR="00D136E3" w:rsidRPr="00A52AB8">
        <w:rPr>
          <w:color w:val="000000" w:themeColor="text1"/>
        </w:rPr>
        <w:t>2d_bit</w:t>
      </w:r>
      <w:r w:rsidR="00BD1BF4" w:rsidRPr="00A52AB8">
        <w:rPr>
          <w:color w:val="000000" w:themeColor="text1"/>
        </w:rPr>
        <w:t>_</w:t>
      </w:r>
      <w:r w:rsidR="00D136E3" w:rsidRPr="00A52AB8">
        <w:rPr>
          <w:color w:val="000000" w:themeColor="text1"/>
        </w:rPr>
        <w:t>depth_minus1</w:t>
      </w:r>
      <w:r w:rsidR="00DB7AD8" w:rsidRPr="00A52AB8">
        <w:rPr>
          <w:color w:val="000000" w:themeColor="text1"/>
        </w:rPr>
        <w:t>[ </w:t>
      </w:r>
      <w:r w:rsidR="00A27B2E" w:rsidRPr="00A52AB8">
        <w:rPr>
          <w:color w:val="000000" w:themeColor="text1"/>
        </w:rPr>
        <w:t>ConvAtlasID</w:t>
      </w:r>
      <w:r w:rsidR="00DB7AD8" w:rsidRPr="00A52AB8">
        <w:rPr>
          <w:color w:val="000000" w:themeColor="text1"/>
        </w:rPr>
        <w:t> ]</w:t>
      </w:r>
      <w:r w:rsidR="00D136E3" w:rsidRPr="00A52AB8">
        <w:rPr>
          <w:color w:val="000000" w:themeColor="text1"/>
        </w:rPr>
        <w:t>[ attrIdx ]</w:t>
      </w:r>
      <w:r w:rsidR="00227C2B" w:rsidRPr="00A52AB8">
        <w:rPr>
          <w:color w:val="000000" w:themeColor="text1"/>
        </w:rPr>
        <w:t> </w:t>
      </w:r>
      <w:r w:rsidR="00D136E3" w:rsidRPr="00A52AB8">
        <w:rPr>
          <w:color w:val="000000" w:themeColor="text1"/>
        </w:rPr>
        <w:t>+</w:t>
      </w:r>
      <w:r w:rsidR="00227C2B" w:rsidRPr="00A52AB8">
        <w:rPr>
          <w:color w:val="000000" w:themeColor="text1"/>
        </w:rPr>
        <w:t> </w:t>
      </w:r>
      <w:r w:rsidR="00D136E3" w:rsidRPr="00A52AB8">
        <w:rPr>
          <w:color w:val="000000" w:themeColor="text1"/>
        </w:rPr>
        <w:t>1.</w:t>
      </w:r>
    </w:p>
    <w:p w14:paraId="02F59AF7" w14:textId="01B05314" w:rsidR="000D1BD8" w:rsidRPr="00A52AB8" w:rsidRDefault="00DF21A9" w:rsidP="00D136E3">
      <w:pPr>
        <w:rPr>
          <w:rFonts w:cs="Calibri"/>
        </w:rPr>
      </w:pPr>
      <w:r w:rsidRPr="00A52AB8">
        <w:rPr>
          <w:color w:val="000000" w:themeColor="text1"/>
        </w:rPr>
        <w:t>The n</w:t>
      </w:r>
      <w:r w:rsidR="00D136E3" w:rsidRPr="00A52AB8">
        <w:rPr>
          <w:color w:val="000000" w:themeColor="text1"/>
        </w:rPr>
        <w:t xml:space="preserve">ominal frame resolution for </w:t>
      </w:r>
      <w:r w:rsidR="002C7E78" w:rsidRPr="00A52AB8">
        <w:rPr>
          <w:color w:val="000000" w:themeColor="text1"/>
        </w:rPr>
        <w:t>non-auxiliary</w:t>
      </w:r>
      <w:r w:rsidR="00D136E3" w:rsidRPr="00A52AB8">
        <w:rPr>
          <w:color w:val="000000" w:themeColor="text1"/>
        </w:rPr>
        <w:t xml:space="preserve"> video</w:t>
      </w:r>
      <w:r w:rsidR="00645520" w:rsidRPr="00A52AB8">
        <w:rPr>
          <w:color w:val="000000" w:themeColor="text1"/>
        </w:rPr>
        <w:t xml:space="preserve"> component</w:t>
      </w:r>
      <w:r w:rsidR="00D136E3" w:rsidRPr="00A52AB8">
        <w:rPr>
          <w:color w:val="000000" w:themeColor="text1"/>
        </w:rPr>
        <w:t>s is defined by the nominal width</w:t>
      </w:r>
      <w:r w:rsidR="004601B3" w:rsidRPr="00A52AB8">
        <w:rPr>
          <w:color w:val="000000" w:themeColor="text1"/>
        </w:rPr>
        <w:t xml:space="preserve">, </w:t>
      </w:r>
      <w:r w:rsidR="00BF0095" w:rsidRPr="00A52AB8">
        <w:rPr>
          <w:color w:val="000000" w:themeColor="text1"/>
        </w:rPr>
        <w:t>V</w:t>
      </w:r>
      <w:r w:rsidR="004601B3" w:rsidRPr="00A52AB8">
        <w:rPr>
          <w:color w:val="000000" w:themeColor="text1"/>
        </w:rPr>
        <w:t>ideoWidth</w:t>
      </w:r>
      <w:r w:rsidR="00734798" w:rsidRPr="00A52AB8">
        <w:rPr>
          <w:color w:val="000000" w:themeColor="text1"/>
        </w:rPr>
        <w:t>NF</w:t>
      </w:r>
      <w:r w:rsidR="004601B3" w:rsidRPr="00A52AB8">
        <w:rPr>
          <w:color w:val="000000" w:themeColor="text1"/>
        </w:rPr>
        <w:t>,</w:t>
      </w:r>
      <w:r w:rsidR="00D136E3" w:rsidRPr="00A52AB8">
        <w:rPr>
          <w:color w:val="000000" w:themeColor="text1"/>
        </w:rPr>
        <w:t xml:space="preserve"> </w:t>
      </w:r>
      <w:r w:rsidR="00986EA2" w:rsidRPr="00A52AB8">
        <w:rPr>
          <w:color w:val="000000" w:themeColor="text1"/>
        </w:rPr>
        <w:t xml:space="preserve">set equal to </w:t>
      </w:r>
      <w:r w:rsidR="00D136E3" w:rsidRPr="00A52AB8">
        <w:rPr>
          <w:color w:val="000000" w:themeColor="text1"/>
        </w:rPr>
        <w:t xml:space="preserve">asps_frame_width, and </w:t>
      </w:r>
      <w:r w:rsidR="005C1B61" w:rsidRPr="00A52AB8">
        <w:rPr>
          <w:color w:val="000000" w:themeColor="text1"/>
        </w:rPr>
        <w:t xml:space="preserve">the </w:t>
      </w:r>
      <w:r w:rsidR="00D136E3" w:rsidRPr="00A52AB8">
        <w:rPr>
          <w:color w:val="000000" w:themeColor="text1"/>
        </w:rPr>
        <w:t>nominal height</w:t>
      </w:r>
      <w:r w:rsidR="004601B3" w:rsidRPr="00A52AB8">
        <w:rPr>
          <w:color w:val="000000" w:themeColor="text1"/>
        </w:rPr>
        <w:t xml:space="preserve">, </w:t>
      </w:r>
      <w:r w:rsidR="00BF0095" w:rsidRPr="00A52AB8">
        <w:rPr>
          <w:color w:val="000000" w:themeColor="text1"/>
        </w:rPr>
        <w:t>V</w:t>
      </w:r>
      <w:r w:rsidR="004601B3" w:rsidRPr="00A52AB8">
        <w:rPr>
          <w:color w:val="000000" w:themeColor="text1"/>
        </w:rPr>
        <w:t>ideoHeight</w:t>
      </w:r>
      <w:r w:rsidR="00734798" w:rsidRPr="00A52AB8">
        <w:rPr>
          <w:color w:val="000000" w:themeColor="text1"/>
        </w:rPr>
        <w:t>NF</w:t>
      </w:r>
      <w:r w:rsidR="004601B3" w:rsidRPr="00A52AB8">
        <w:rPr>
          <w:color w:val="000000" w:themeColor="text1"/>
        </w:rPr>
        <w:t>,</w:t>
      </w:r>
      <w:r w:rsidR="00D136E3" w:rsidRPr="00A52AB8">
        <w:rPr>
          <w:color w:val="000000" w:themeColor="text1"/>
        </w:rPr>
        <w:t xml:space="preserve"> </w:t>
      </w:r>
      <w:r w:rsidR="00986EA2" w:rsidRPr="00A52AB8">
        <w:rPr>
          <w:color w:val="000000" w:themeColor="text1"/>
        </w:rPr>
        <w:t xml:space="preserve">set equal to </w:t>
      </w:r>
      <w:r w:rsidR="00D136E3" w:rsidRPr="00A52AB8">
        <w:rPr>
          <w:color w:val="000000" w:themeColor="text1"/>
        </w:rPr>
        <w:t xml:space="preserve">asps_frame_height. </w:t>
      </w:r>
      <w:r w:rsidRPr="00A52AB8">
        <w:rPr>
          <w:color w:val="000000" w:themeColor="text1"/>
        </w:rPr>
        <w:t>The n</w:t>
      </w:r>
      <w:r w:rsidR="00D136E3" w:rsidRPr="00A52AB8">
        <w:rPr>
          <w:color w:val="000000" w:themeColor="text1"/>
        </w:rPr>
        <w:t>ominal frame resolution for auxiliary video</w:t>
      </w:r>
      <w:r w:rsidR="00645520" w:rsidRPr="00A52AB8">
        <w:rPr>
          <w:color w:val="000000" w:themeColor="text1"/>
        </w:rPr>
        <w:t xml:space="preserve"> component</w:t>
      </w:r>
      <w:r w:rsidR="00D136E3" w:rsidRPr="00A52AB8">
        <w:rPr>
          <w:color w:val="000000" w:themeColor="text1"/>
        </w:rPr>
        <w:t>s is defined by the nominal width</w:t>
      </w:r>
      <w:r w:rsidR="00705CFF" w:rsidRPr="00A52AB8">
        <w:rPr>
          <w:color w:val="000000" w:themeColor="text1"/>
        </w:rPr>
        <w:t xml:space="preserve"> and height </w:t>
      </w:r>
      <w:r w:rsidR="00D136E3" w:rsidRPr="00A52AB8">
        <w:rPr>
          <w:color w:val="000000" w:themeColor="text1"/>
        </w:rPr>
        <w:t>specified by the variable</w:t>
      </w:r>
      <w:r w:rsidR="00546E2E" w:rsidRPr="00A52AB8">
        <w:rPr>
          <w:color w:val="000000" w:themeColor="text1"/>
        </w:rPr>
        <w:t>s</w:t>
      </w:r>
      <w:r w:rsidR="00D136E3" w:rsidRPr="00A52AB8">
        <w:rPr>
          <w:color w:val="000000" w:themeColor="text1"/>
        </w:rPr>
        <w:t xml:space="preserve"> </w:t>
      </w:r>
      <w:r w:rsidR="007D654F" w:rsidRPr="00A52AB8">
        <w:rPr>
          <w:color w:val="000000" w:themeColor="text1"/>
        </w:rPr>
        <w:t>AuxVideoWidth</w:t>
      </w:r>
      <w:r w:rsidR="00734798" w:rsidRPr="00A52AB8">
        <w:rPr>
          <w:color w:val="000000" w:themeColor="text1"/>
        </w:rPr>
        <w:t>NF</w:t>
      </w:r>
      <w:r w:rsidR="0076253E" w:rsidRPr="00A52AB8">
        <w:rPr>
          <w:color w:val="000000" w:themeColor="text1"/>
        </w:rPr>
        <w:t xml:space="preserve"> and </w:t>
      </w:r>
      <w:r w:rsidR="007D654F" w:rsidRPr="00A52AB8">
        <w:rPr>
          <w:color w:val="000000" w:themeColor="text1"/>
        </w:rPr>
        <w:t>AuxVideoHeight</w:t>
      </w:r>
      <w:r w:rsidR="00734798" w:rsidRPr="00A52AB8">
        <w:rPr>
          <w:color w:val="000000" w:themeColor="text1"/>
        </w:rPr>
        <w:t>NF</w:t>
      </w:r>
      <w:r w:rsidR="00705CFF" w:rsidRPr="00A52AB8">
        <w:rPr>
          <w:color w:val="000000" w:themeColor="text1"/>
        </w:rPr>
        <w:t>, respectiv</w:t>
      </w:r>
      <w:r w:rsidR="004E3BEE" w:rsidRPr="00A52AB8">
        <w:rPr>
          <w:color w:val="000000" w:themeColor="text1"/>
        </w:rPr>
        <w:t>e</w:t>
      </w:r>
      <w:r w:rsidR="00705CFF" w:rsidRPr="00A52AB8">
        <w:rPr>
          <w:color w:val="000000" w:themeColor="text1"/>
        </w:rPr>
        <w:t>ly</w:t>
      </w:r>
      <w:r w:rsidR="00D136E3" w:rsidRPr="00A52AB8">
        <w:rPr>
          <w:color w:val="000000" w:themeColor="text1"/>
        </w:rPr>
        <w:t>.</w:t>
      </w:r>
    </w:p>
    <w:p w14:paraId="23469E92" w14:textId="77777777" w:rsidR="00CF7DA7" w:rsidRPr="00A52AB8" w:rsidRDefault="000D1BD8" w:rsidP="00D136E3">
      <w:pPr>
        <w:rPr>
          <w:color w:val="000000" w:themeColor="text1"/>
        </w:rPr>
      </w:pPr>
      <w:r w:rsidRPr="00A52AB8">
        <w:rPr>
          <w:rFonts w:cs="Calibri"/>
        </w:rPr>
        <w:t xml:space="preserve">The nominal chroma format is </w:t>
      </w:r>
      <w:r w:rsidR="00DF21A9" w:rsidRPr="00A52AB8">
        <w:rPr>
          <w:rFonts w:cs="Calibri"/>
        </w:rPr>
        <w:t>defined to be</w:t>
      </w:r>
      <w:r w:rsidRPr="00A52AB8">
        <w:rPr>
          <w:rFonts w:cs="Calibri"/>
        </w:rPr>
        <w:t xml:space="preserve"> 4:4:4.</w:t>
      </w:r>
    </w:p>
    <w:p w14:paraId="673DFA4A" w14:textId="30900548" w:rsidR="00CF7DA7" w:rsidRPr="00A52AB8" w:rsidRDefault="00C51666" w:rsidP="00D136E3">
      <w:pPr>
        <w:rPr>
          <w:color w:val="000000" w:themeColor="text1"/>
        </w:rPr>
      </w:pPr>
      <w:r w:rsidRPr="00A52AB8">
        <w:rPr>
          <w:color w:val="000000" w:themeColor="text1"/>
        </w:rPr>
        <w:t xml:space="preserve">The nominal </w:t>
      </w:r>
      <w:r w:rsidR="004E3BEE" w:rsidRPr="00A52AB8">
        <w:rPr>
          <w:color w:val="000000" w:themeColor="text1"/>
        </w:rPr>
        <w:t xml:space="preserve">composition time </w:t>
      </w:r>
      <w:r w:rsidRPr="00A52AB8">
        <w:rPr>
          <w:color w:val="000000" w:themeColor="text1"/>
        </w:rPr>
        <w:t xml:space="preserve">is defined </w:t>
      </w:r>
      <w:r w:rsidR="00986EA2" w:rsidRPr="00A52AB8">
        <w:rPr>
          <w:color w:val="000000" w:themeColor="text1"/>
        </w:rPr>
        <w:t xml:space="preserve">based on </w:t>
      </w:r>
      <w:r w:rsidRPr="00A52AB8">
        <w:rPr>
          <w:color w:val="000000" w:themeColor="text1"/>
        </w:rPr>
        <w:t xml:space="preserve">the </w:t>
      </w:r>
      <w:r w:rsidR="00986EA2" w:rsidRPr="00A52AB8">
        <w:rPr>
          <w:color w:val="000000" w:themeColor="text1"/>
        </w:rPr>
        <w:t xml:space="preserve">timing information of the </w:t>
      </w:r>
      <w:r w:rsidRPr="00A52AB8">
        <w:rPr>
          <w:color w:val="000000" w:themeColor="text1"/>
        </w:rPr>
        <w:t>atlas sub-bitstream</w:t>
      </w:r>
      <w:r w:rsidR="00DF21A9" w:rsidRPr="00A52AB8">
        <w:rPr>
          <w:color w:val="000000" w:themeColor="text1"/>
        </w:rPr>
        <w:t xml:space="preserve"> and </w:t>
      </w:r>
      <w:r w:rsidRPr="00A52AB8">
        <w:rPr>
          <w:color w:val="000000" w:themeColor="text1"/>
        </w:rPr>
        <w:t xml:space="preserve">specified by </w:t>
      </w:r>
      <w:r w:rsidR="004E3BEE" w:rsidRPr="00A52AB8">
        <w:rPr>
          <w:color w:val="000000" w:themeColor="text1"/>
        </w:rPr>
        <w:t xml:space="preserve">the </w:t>
      </w:r>
      <w:r w:rsidR="002E401A" w:rsidRPr="00A52AB8">
        <w:rPr>
          <w:color w:val="000000" w:themeColor="text1"/>
        </w:rPr>
        <w:t xml:space="preserve">decoded </w:t>
      </w:r>
      <w:r w:rsidR="004E3BEE" w:rsidRPr="00A52AB8">
        <w:rPr>
          <w:color w:val="000000" w:themeColor="text1"/>
        </w:rPr>
        <w:t>atlas composition time</w:t>
      </w:r>
      <w:r w:rsidR="002E401A" w:rsidRPr="00A52AB8">
        <w:rPr>
          <w:color w:val="000000" w:themeColor="text1"/>
        </w:rPr>
        <w:t>,</w:t>
      </w:r>
      <w:r w:rsidR="004E3BEE" w:rsidRPr="00A52AB8">
        <w:rPr>
          <w:color w:val="000000" w:themeColor="text1"/>
        </w:rPr>
        <w:t xml:space="preserve"> </w:t>
      </w:r>
      <w:r w:rsidR="002E401A" w:rsidRPr="00A52AB8">
        <w:rPr>
          <w:color w:val="000000" w:themeColor="text1"/>
        </w:rPr>
        <w:t>DecAtlasCompTime</w:t>
      </w:r>
      <w:r w:rsidRPr="00A52AB8">
        <w:rPr>
          <w:color w:val="000000" w:themeColor="text1"/>
        </w:rPr>
        <w:t>.</w:t>
      </w:r>
      <w:r w:rsidR="00986EA2" w:rsidRPr="00A52AB8">
        <w:rPr>
          <w:color w:val="000000" w:themeColor="text1"/>
        </w:rPr>
        <w:t xml:space="preserve"> The </w:t>
      </w:r>
      <w:r w:rsidR="00607F8A" w:rsidRPr="00A52AB8">
        <w:rPr>
          <w:color w:val="000000" w:themeColor="text1"/>
        </w:rPr>
        <w:t xml:space="preserve">timing information of the atlas sub-bitstream </w:t>
      </w:r>
      <w:r w:rsidR="00986EA2" w:rsidRPr="00A52AB8">
        <w:rPr>
          <w:color w:val="000000" w:themeColor="text1"/>
        </w:rPr>
        <w:t>may be provided either in the bitstream or by external means not specified in this document.</w:t>
      </w:r>
      <w:r w:rsidR="00607F8A" w:rsidRPr="00A52AB8">
        <w:rPr>
          <w:color w:val="000000" w:themeColor="text1"/>
        </w:rPr>
        <w:t xml:space="preserve"> For example, for V3C bitstreams encapsulated in the ISO media file format, the composition time for the atlas sub-bitstream is indicated according to ISO/IEC </w:t>
      </w:r>
      <w:r w:rsidR="00C350BB" w:rsidRPr="00A52AB8">
        <w:rPr>
          <w:color w:val="000000" w:themeColor="text1"/>
        </w:rPr>
        <w:t xml:space="preserve">DIS </w:t>
      </w:r>
      <w:r w:rsidR="00607F8A" w:rsidRPr="00A52AB8">
        <w:rPr>
          <w:color w:val="000000" w:themeColor="text1"/>
        </w:rPr>
        <w:t>23090-10.</w:t>
      </w:r>
    </w:p>
    <w:p w14:paraId="06BCE902" w14:textId="013B02B9" w:rsidR="00D612A3" w:rsidRPr="00A52AB8" w:rsidRDefault="00D612A3" w:rsidP="00D136E3">
      <w:pPr>
        <w:rPr>
          <w:color w:val="000000" w:themeColor="text1"/>
        </w:rPr>
      </w:pPr>
      <w:r w:rsidRPr="00A52AB8">
        <w:rPr>
          <w:color w:val="000000" w:themeColor="text1"/>
        </w:rPr>
        <w:t>The conversion processes to the nominal format are defined as follows:</w:t>
      </w:r>
    </w:p>
    <w:p w14:paraId="5BCF6BCE" w14:textId="7DA9322A" w:rsidR="00D612A3" w:rsidRPr="00A52AB8" w:rsidRDefault="007637D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f</w:t>
      </w:r>
      <w:r w:rsidR="00D612A3" w:rsidRPr="00A52AB8">
        <w:rPr>
          <w:color w:val="000000" w:themeColor="text1"/>
        </w:rPr>
        <w:t xml:space="preserve">or </w:t>
      </w:r>
      <w:r w:rsidR="00734798" w:rsidRPr="00A52AB8">
        <w:rPr>
          <w:color w:val="000000" w:themeColor="text1"/>
        </w:rPr>
        <w:t xml:space="preserve">the </w:t>
      </w:r>
      <w:r w:rsidR="00D612A3" w:rsidRPr="00A52AB8">
        <w:rPr>
          <w:color w:val="000000" w:themeColor="text1"/>
        </w:rPr>
        <w:t>occupancy video</w:t>
      </w:r>
      <w:r w:rsidR="00734798" w:rsidRPr="00A52AB8">
        <w:rPr>
          <w:color w:val="000000" w:themeColor="text1"/>
        </w:rPr>
        <w:t xml:space="preserve"> component</w:t>
      </w:r>
      <w:r w:rsidR="00D612A3" w:rsidRPr="00A52AB8">
        <w:rPr>
          <w:color w:val="000000" w:themeColor="text1"/>
        </w:rPr>
        <w:t xml:space="preserve"> subclause</w:t>
      </w:r>
      <w:r w:rsidR="00172633" w:rsidRPr="00A52AB8">
        <w:rPr>
          <w:color w:val="000000" w:themeColor="text1"/>
        </w:rPr>
        <w:t> </w:t>
      </w:r>
      <w:r w:rsidR="00D612A3" w:rsidRPr="00496A4D">
        <w:rPr>
          <w:color w:val="000000" w:themeColor="text1"/>
        </w:rPr>
        <w:fldChar w:fldCharType="begin"/>
      </w:r>
      <w:r w:rsidR="00D612A3" w:rsidRPr="00A52AB8">
        <w:rPr>
          <w:color w:val="000000" w:themeColor="text1"/>
        </w:rPr>
        <w:instrText xml:space="preserve"> REF _Ref41830040 \r \h  \* MERGEFORMAT </w:instrText>
      </w:r>
      <w:r w:rsidR="00D612A3" w:rsidRPr="00496A4D">
        <w:rPr>
          <w:color w:val="000000" w:themeColor="text1"/>
        </w:rPr>
      </w:r>
      <w:r w:rsidR="00D612A3" w:rsidRPr="00496A4D">
        <w:rPr>
          <w:color w:val="000000" w:themeColor="text1"/>
        </w:rPr>
        <w:fldChar w:fldCharType="separate"/>
      </w:r>
      <w:r w:rsidR="00507A67">
        <w:rPr>
          <w:color w:val="000000" w:themeColor="text1"/>
        </w:rPr>
        <w:t>B.2.2</w:t>
      </w:r>
      <w:r w:rsidR="00D612A3" w:rsidRPr="00496A4D">
        <w:rPr>
          <w:color w:val="000000" w:themeColor="text1"/>
        </w:rPr>
        <w:fldChar w:fldCharType="end"/>
      </w:r>
      <w:r w:rsidR="00D612A3" w:rsidRPr="00A52AB8">
        <w:rPr>
          <w:color w:val="000000" w:themeColor="text1"/>
        </w:rPr>
        <w:t xml:space="preserve"> is invoked</w:t>
      </w:r>
      <w:r w:rsidRPr="00A52AB8">
        <w:rPr>
          <w:color w:val="000000" w:themeColor="text1"/>
        </w:rPr>
        <w:t>,</w:t>
      </w:r>
    </w:p>
    <w:p w14:paraId="3EC52E21" w14:textId="2FDCC36D" w:rsidR="00D612A3" w:rsidRPr="00A52AB8" w:rsidRDefault="007637D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f</w:t>
      </w:r>
      <w:r w:rsidR="00D612A3" w:rsidRPr="00A52AB8">
        <w:rPr>
          <w:color w:val="000000" w:themeColor="text1"/>
        </w:rPr>
        <w:t xml:space="preserve">or </w:t>
      </w:r>
      <w:r w:rsidR="00734798" w:rsidRPr="00A52AB8">
        <w:rPr>
          <w:color w:val="000000" w:themeColor="text1"/>
        </w:rPr>
        <w:t xml:space="preserve">the </w:t>
      </w:r>
      <w:r w:rsidR="00D612A3" w:rsidRPr="00A52AB8">
        <w:rPr>
          <w:color w:val="000000" w:themeColor="text1"/>
        </w:rPr>
        <w:t>geometry video</w:t>
      </w:r>
      <w:r w:rsidR="00734798" w:rsidRPr="00A52AB8">
        <w:rPr>
          <w:color w:val="000000" w:themeColor="text1"/>
        </w:rPr>
        <w:t xml:space="preserve"> component</w:t>
      </w:r>
      <w:r w:rsidR="00D612A3" w:rsidRPr="00A52AB8">
        <w:rPr>
          <w:color w:val="000000" w:themeColor="text1"/>
        </w:rPr>
        <w:t xml:space="preserve"> subclause</w:t>
      </w:r>
      <w:r w:rsidR="00172633" w:rsidRPr="00A52AB8">
        <w:rPr>
          <w:color w:val="000000" w:themeColor="text1"/>
        </w:rPr>
        <w:t> </w:t>
      </w:r>
      <w:r w:rsidR="00D612A3" w:rsidRPr="00496A4D">
        <w:rPr>
          <w:color w:val="000000" w:themeColor="text1"/>
        </w:rPr>
        <w:fldChar w:fldCharType="begin"/>
      </w:r>
      <w:r w:rsidR="00D612A3" w:rsidRPr="00A52AB8">
        <w:rPr>
          <w:color w:val="000000" w:themeColor="text1"/>
        </w:rPr>
        <w:instrText xml:space="preserve"> REF _Ref38537950 \r \h  \* MERGEFORMAT </w:instrText>
      </w:r>
      <w:r w:rsidR="00D612A3" w:rsidRPr="00496A4D">
        <w:rPr>
          <w:color w:val="000000" w:themeColor="text1"/>
        </w:rPr>
      </w:r>
      <w:r w:rsidR="00D612A3" w:rsidRPr="00496A4D">
        <w:rPr>
          <w:color w:val="000000" w:themeColor="text1"/>
        </w:rPr>
        <w:fldChar w:fldCharType="separate"/>
      </w:r>
      <w:r w:rsidR="00507A67">
        <w:rPr>
          <w:color w:val="000000" w:themeColor="text1"/>
        </w:rPr>
        <w:t>B.2.3</w:t>
      </w:r>
      <w:r w:rsidR="00D612A3" w:rsidRPr="00496A4D">
        <w:rPr>
          <w:color w:val="000000" w:themeColor="text1"/>
        </w:rPr>
        <w:fldChar w:fldCharType="end"/>
      </w:r>
      <w:r w:rsidR="00D612A3" w:rsidRPr="00A52AB8">
        <w:rPr>
          <w:color w:val="000000" w:themeColor="text1"/>
        </w:rPr>
        <w:t xml:space="preserve"> is invoked</w:t>
      </w:r>
      <w:r w:rsidRPr="00A52AB8">
        <w:rPr>
          <w:color w:val="000000" w:themeColor="text1"/>
        </w:rPr>
        <w:t>,</w:t>
      </w:r>
    </w:p>
    <w:p w14:paraId="3D0D2001" w14:textId="551DBDF5" w:rsidR="00734798" w:rsidRPr="00A52AB8" w:rsidRDefault="007637D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i</w:t>
      </w:r>
      <w:r w:rsidR="00D612A3" w:rsidRPr="00A52AB8">
        <w:rPr>
          <w:color w:val="000000" w:themeColor="text1"/>
        </w:rPr>
        <w:t xml:space="preserve">f </w:t>
      </w:r>
      <w:r w:rsidR="00734798" w:rsidRPr="00A52AB8">
        <w:rPr>
          <w:color w:val="000000" w:themeColor="text1"/>
        </w:rPr>
        <w:t xml:space="preserve">the </w:t>
      </w:r>
      <w:r w:rsidR="00D612A3" w:rsidRPr="00A52AB8">
        <w:rPr>
          <w:color w:val="000000" w:themeColor="text1"/>
        </w:rPr>
        <w:t>auxiliary geometry video</w:t>
      </w:r>
      <w:r w:rsidR="00734798" w:rsidRPr="00A52AB8">
        <w:rPr>
          <w:color w:val="000000" w:themeColor="text1"/>
        </w:rPr>
        <w:t xml:space="preserve"> component</w:t>
      </w:r>
      <w:r w:rsidR="00D612A3" w:rsidRPr="00A52AB8">
        <w:rPr>
          <w:color w:val="000000" w:themeColor="text1"/>
        </w:rPr>
        <w:t xml:space="preserve"> is present, for the auxiliary geometry video</w:t>
      </w:r>
      <w:r w:rsidR="00734798" w:rsidRPr="00A52AB8">
        <w:rPr>
          <w:color w:val="000000" w:themeColor="text1"/>
        </w:rPr>
        <w:t xml:space="preserve"> component</w:t>
      </w:r>
      <w:r w:rsidR="00D612A3" w:rsidRPr="00A52AB8">
        <w:rPr>
          <w:color w:val="000000" w:themeColor="text1"/>
        </w:rPr>
        <w:t xml:space="preserve"> subclause</w:t>
      </w:r>
      <w:r w:rsidR="00172633" w:rsidRPr="00A52AB8">
        <w:rPr>
          <w:color w:val="000000" w:themeColor="text1"/>
        </w:rPr>
        <w:t> </w:t>
      </w:r>
      <w:r w:rsidR="00D612A3" w:rsidRPr="00496A4D">
        <w:rPr>
          <w:color w:val="000000" w:themeColor="text1"/>
        </w:rPr>
        <w:fldChar w:fldCharType="begin"/>
      </w:r>
      <w:r w:rsidR="00D612A3" w:rsidRPr="00A52AB8">
        <w:rPr>
          <w:color w:val="000000" w:themeColor="text1"/>
        </w:rPr>
        <w:instrText xml:space="preserve"> REF _Ref38538024 \r \h  \* MERGEFORMAT </w:instrText>
      </w:r>
      <w:r w:rsidR="00D612A3" w:rsidRPr="00496A4D">
        <w:rPr>
          <w:color w:val="000000" w:themeColor="text1"/>
        </w:rPr>
      </w:r>
      <w:r w:rsidR="00D612A3" w:rsidRPr="00496A4D">
        <w:rPr>
          <w:color w:val="000000" w:themeColor="text1"/>
        </w:rPr>
        <w:fldChar w:fldCharType="separate"/>
      </w:r>
      <w:r w:rsidR="00507A67">
        <w:rPr>
          <w:color w:val="000000" w:themeColor="text1"/>
        </w:rPr>
        <w:t>B.2.4</w:t>
      </w:r>
      <w:r w:rsidR="00D612A3" w:rsidRPr="00496A4D">
        <w:rPr>
          <w:color w:val="000000" w:themeColor="text1"/>
        </w:rPr>
        <w:fldChar w:fldCharType="end"/>
      </w:r>
      <w:r w:rsidR="00D612A3" w:rsidRPr="00A52AB8">
        <w:rPr>
          <w:color w:val="000000" w:themeColor="text1"/>
        </w:rPr>
        <w:t xml:space="preserve"> is invoked</w:t>
      </w:r>
      <w:r w:rsidRPr="00A52AB8">
        <w:rPr>
          <w:color w:val="000000" w:themeColor="text1"/>
        </w:rPr>
        <w:t>,</w:t>
      </w:r>
      <w:r w:rsidR="008449D1" w:rsidRPr="00A52AB8">
        <w:rPr>
          <w:color w:val="000000" w:themeColor="text1"/>
        </w:rPr>
        <w:t xml:space="preserve"> and</w:t>
      </w:r>
    </w:p>
    <w:p w14:paraId="1FF611F7" w14:textId="0C1C238F" w:rsidR="00734798" w:rsidRPr="00A52AB8" w:rsidRDefault="007637D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w</w:t>
      </w:r>
      <w:r w:rsidR="00D612A3" w:rsidRPr="00A52AB8">
        <w:rPr>
          <w:color w:val="000000" w:themeColor="text1"/>
        </w:rPr>
        <w:t xml:space="preserve">hen </w:t>
      </w:r>
      <w:r w:rsidR="00646405" w:rsidRPr="00A52AB8">
        <w:rPr>
          <w:color w:val="000000" w:themeColor="text1"/>
        </w:rPr>
        <w:t xml:space="preserve">the number of attributes is greater than zero, i.e. </w:t>
      </w:r>
      <w:r w:rsidR="00734798" w:rsidRPr="00A52AB8">
        <w:rPr>
          <w:color w:val="000000" w:themeColor="text1"/>
        </w:rPr>
        <w:t xml:space="preserve">ai_attribute_count[ ConvAtlasID ] </w:t>
      </w:r>
      <w:r w:rsidR="00D612A3" w:rsidRPr="00A52AB8">
        <w:rPr>
          <w:color w:val="000000" w:themeColor="text1"/>
        </w:rPr>
        <w:t>is greater than zero</w:t>
      </w:r>
      <w:r w:rsidR="00646405" w:rsidRPr="00A52AB8">
        <w:rPr>
          <w:color w:val="000000" w:themeColor="text1"/>
        </w:rPr>
        <w:t xml:space="preserve"> or determined through external means if the VPS is not available</w:t>
      </w:r>
      <w:r w:rsidR="00734798" w:rsidRPr="00A52AB8">
        <w:rPr>
          <w:color w:val="000000" w:themeColor="text1"/>
        </w:rPr>
        <w:t>, then:</w:t>
      </w:r>
    </w:p>
    <w:p w14:paraId="17D5FB9E" w14:textId="230689EE" w:rsidR="00D612A3" w:rsidRPr="00A52AB8" w:rsidRDefault="00D612A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for each attribute video</w:t>
      </w:r>
      <w:r w:rsidR="00734798" w:rsidRPr="00A52AB8">
        <w:rPr>
          <w:color w:val="000000" w:themeColor="text1"/>
        </w:rPr>
        <w:t xml:space="preserve"> component</w:t>
      </w:r>
      <w:r w:rsidRPr="00A52AB8">
        <w:rPr>
          <w:color w:val="000000" w:themeColor="text1"/>
        </w:rPr>
        <w:t xml:space="preserve"> subclause</w:t>
      </w:r>
      <w:r w:rsidR="00172633" w:rsidRPr="00A52AB8">
        <w:rPr>
          <w:color w:val="000000" w:themeColor="text1"/>
        </w:rPr>
        <w:t> </w:t>
      </w:r>
      <w:r w:rsidRPr="00496A4D">
        <w:rPr>
          <w:color w:val="000000" w:themeColor="text1"/>
        </w:rPr>
        <w:fldChar w:fldCharType="begin"/>
      </w:r>
      <w:r w:rsidRPr="00A52AB8">
        <w:rPr>
          <w:color w:val="000000" w:themeColor="text1"/>
        </w:rPr>
        <w:instrText xml:space="preserve"> REF _Ref38537953 \r \h  \* MERGEFORMAT </w:instrText>
      </w:r>
      <w:r w:rsidRPr="00496A4D">
        <w:rPr>
          <w:color w:val="000000" w:themeColor="text1"/>
        </w:rPr>
      </w:r>
      <w:r w:rsidRPr="00496A4D">
        <w:rPr>
          <w:color w:val="000000" w:themeColor="text1"/>
        </w:rPr>
        <w:fldChar w:fldCharType="separate"/>
      </w:r>
      <w:r w:rsidR="00507A67">
        <w:rPr>
          <w:color w:val="000000" w:themeColor="text1"/>
        </w:rPr>
        <w:t>B.2.5</w:t>
      </w:r>
      <w:r w:rsidRPr="00496A4D">
        <w:rPr>
          <w:color w:val="000000" w:themeColor="text1"/>
        </w:rPr>
        <w:fldChar w:fldCharType="end"/>
      </w:r>
      <w:r w:rsidRPr="00A52AB8">
        <w:rPr>
          <w:color w:val="000000" w:themeColor="text1"/>
        </w:rPr>
        <w:t xml:space="preserve"> is invoked</w:t>
      </w:r>
      <w:r w:rsidR="008449D1" w:rsidRPr="00A52AB8">
        <w:rPr>
          <w:color w:val="000000" w:themeColor="text1"/>
        </w:rPr>
        <w:t xml:space="preserve"> and</w:t>
      </w:r>
    </w:p>
    <w:p w14:paraId="0722A0BD" w14:textId="33A36530" w:rsidR="00D612A3" w:rsidRPr="00A52AB8" w:rsidRDefault="008449D1"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i</w:t>
      </w:r>
      <w:r w:rsidR="00D612A3" w:rsidRPr="00A52AB8">
        <w:rPr>
          <w:color w:val="000000" w:themeColor="text1"/>
        </w:rPr>
        <w:t xml:space="preserve">f auxiliary attribute video </w:t>
      </w:r>
      <w:r w:rsidR="00734798" w:rsidRPr="00A52AB8">
        <w:rPr>
          <w:color w:val="000000" w:themeColor="text1"/>
        </w:rPr>
        <w:t xml:space="preserve">component </w:t>
      </w:r>
      <w:r w:rsidR="00D612A3" w:rsidRPr="00A52AB8">
        <w:rPr>
          <w:color w:val="000000" w:themeColor="text1"/>
        </w:rPr>
        <w:t xml:space="preserve">is present, for </w:t>
      </w:r>
      <w:r w:rsidR="00734798" w:rsidRPr="00A52AB8">
        <w:rPr>
          <w:color w:val="000000" w:themeColor="text1"/>
        </w:rPr>
        <w:t xml:space="preserve">each </w:t>
      </w:r>
      <w:r w:rsidR="00D612A3" w:rsidRPr="00A52AB8">
        <w:rPr>
          <w:color w:val="000000" w:themeColor="text1"/>
        </w:rPr>
        <w:t xml:space="preserve">auxiliary </w:t>
      </w:r>
      <w:r w:rsidR="00D31A92" w:rsidRPr="00A52AB8">
        <w:rPr>
          <w:color w:val="000000" w:themeColor="text1"/>
        </w:rPr>
        <w:t xml:space="preserve">attribute </w:t>
      </w:r>
      <w:r w:rsidR="00D612A3" w:rsidRPr="00A52AB8">
        <w:rPr>
          <w:color w:val="000000" w:themeColor="text1"/>
        </w:rPr>
        <w:t>video</w:t>
      </w:r>
      <w:r w:rsidR="00734798" w:rsidRPr="00A52AB8">
        <w:rPr>
          <w:color w:val="000000" w:themeColor="text1"/>
        </w:rPr>
        <w:t xml:space="preserve"> component,</w:t>
      </w:r>
      <w:r w:rsidR="00D612A3" w:rsidRPr="00A52AB8">
        <w:rPr>
          <w:color w:val="000000" w:themeColor="text1"/>
        </w:rPr>
        <w:t xml:space="preserve"> subclause</w:t>
      </w:r>
      <w:r w:rsidR="00172633" w:rsidRPr="00A52AB8">
        <w:rPr>
          <w:color w:val="000000" w:themeColor="text1"/>
        </w:rPr>
        <w:t> </w:t>
      </w:r>
      <w:r w:rsidR="00D612A3" w:rsidRPr="00496A4D">
        <w:rPr>
          <w:color w:val="000000" w:themeColor="text1"/>
        </w:rPr>
        <w:fldChar w:fldCharType="begin"/>
      </w:r>
      <w:r w:rsidR="00D612A3" w:rsidRPr="00A52AB8">
        <w:rPr>
          <w:color w:val="000000" w:themeColor="text1"/>
        </w:rPr>
        <w:instrText xml:space="preserve"> REF _Ref38537954 \r \h  \* MERGEFORMAT </w:instrText>
      </w:r>
      <w:r w:rsidR="00D612A3" w:rsidRPr="00496A4D">
        <w:rPr>
          <w:color w:val="000000" w:themeColor="text1"/>
        </w:rPr>
      </w:r>
      <w:r w:rsidR="00D612A3" w:rsidRPr="00496A4D">
        <w:rPr>
          <w:color w:val="000000" w:themeColor="text1"/>
        </w:rPr>
        <w:fldChar w:fldCharType="separate"/>
      </w:r>
      <w:r w:rsidR="00507A67">
        <w:rPr>
          <w:color w:val="000000" w:themeColor="text1"/>
        </w:rPr>
        <w:t>B.2.6</w:t>
      </w:r>
      <w:r w:rsidR="00D612A3" w:rsidRPr="00496A4D">
        <w:rPr>
          <w:color w:val="000000" w:themeColor="text1"/>
        </w:rPr>
        <w:fldChar w:fldCharType="end"/>
      </w:r>
      <w:r w:rsidR="00D612A3" w:rsidRPr="00A52AB8">
        <w:rPr>
          <w:color w:val="000000" w:themeColor="text1"/>
        </w:rPr>
        <w:t xml:space="preserve"> is invoked</w:t>
      </w:r>
      <w:r w:rsidR="007637D3" w:rsidRPr="00A52AB8">
        <w:rPr>
          <w:color w:val="000000" w:themeColor="text1"/>
        </w:rPr>
        <w:t>.</w:t>
      </w:r>
    </w:p>
    <w:p w14:paraId="2CDA989B" w14:textId="439C29C1" w:rsidR="004A266D" w:rsidRPr="00A52AB8" w:rsidRDefault="004A266D">
      <w:pPr>
        <w:pStyle w:val="Note1"/>
        <w:rPr>
          <w:rFonts w:ascii="Cambria" w:hAnsi="Cambria"/>
        </w:rPr>
      </w:pPr>
      <w:r w:rsidRPr="00A52AB8">
        <w:rPr>
          <w:rFonts w:ascii="Cambria" w:hAnsi="Cambria"/>
        </w:rPr>
        <w:t>NOTE</w:t>
      </w:r>
      <w:r w:rsidR="000A73A6" w:rsidRPr="00A52AB8">
        <w:rPr>
          <w:rFonts w:ascii="Cambria" w:hAnsi="Cambria"/>
        </w:rPr>
        <w:t> </w:t>
      </w:r>
      <w:r w:rsidRPr="00A52AB8">
        <w:rPr>
          <w:rFonts w:ascii="Cambria" w:hAnsi="Cambria"/>
        </w:rPr>
        <w:t>–</w:t>
      </w:r>
      <w:r w:rsidR="000A73A6" w:rsidRPr="00A52AB8">
        <w:rPr>
          <w:rFonts w:ascii="Cambria" w:hAnsi="Cambria"/>
        </w:rPr>
        <w:t> </w:t>
      </w:r>
      <w:r w:rsidRPr="00A52AB8">
        <w:rPr>
          <w:rFonts w:ascii="Cambria" w:hAnsi="Cambria"/>
        </w:rPr>
        <w:t xml:space="preserve">For checking conformance point B </w:t>
      </w:r>
      <w:r w:rsidR="00781BA5" w:rsidRPr="00A52AB8">
        <w:rPr>
          <w:rFonts w:ascii="Cambria" w:hAnsi="Cambria"/>
        </w:rPr>
        <w:t xml:space="preserve">it is recommended to follow </w:t>
      </w:r>
      <w:r w:rsidRPr="00A52AB8">
        <w:rPr>
          <w:rFonts w:ascii="Cambria" w:hAnsi="Cambria"/>
        </w:rPr>
        <w:t xml:space="preserve">the order of processes as described in this </w:t>
      </w:r>
      <w:r w:rsidR="00781BA5" w:rsidRPr="00A52AB8">
        <w:rPr>
          <w:rFonts w:ascii="Cambria" w:hAnsi="Cambria"/>
        </w:rPr>
        <w:t>subclause</w:t>
      </w:r>
      <w:r w:rsidR="00084616" w:rsidRPr="00A52AB8">
        <w:rPr>
          <w:rFonts w:ascii="Cambria" w:hAnsi="Cambria"/>
        </w:rPr>
        <w:t>.</w:t>
      </w:r>
      <w:r w:rsidRPr="00A52AB8">
        <w:rPr>
          <w:rFonts w:ascii="Cambria" w:hAnsi="Cambria"/>
        </w:rPr>
        <w:t xml:space="preserve"> </w:t>
      </w:r>
      <w:r w:rsidR="00781BA5" w:rsidRPr="00A52AB8">
        <w:rPr>
          <w:rFonts w:ascii="Cambria" w:hAnsi="Cambria"/>
        </w:rPr>
        <w:t>T</w:t>
      </w:r>
      <w:r w:rsidRPr="00A52AB8">
        <w:rPr>
          <w:rFonts w:ascii="Cambria" w:hAnsi="Cambria"/>
        </w:rPr>
        <w:t xml:space="preserve">he output of this process can also be achieved by a different combination of processes or variations of the processes described in this </w:t>
      </w:r>
      <w:r w:rsidR="00781BA5" w:rsidRPr="00A52AB8">
        <w:rPr>
          <w:rFonts w:ascii="Cambria" w:hAnsi="Cambria"/>
        </w:rPr>
        <w:t>subclause</w:t>
      </w:r>
      <w:r w:rsidRPr="00A52AB8">
        <w:rPr>
          <w:rFonts w:ascii="Cambria" w:hAnsi="Cambria"/>
        </w:rPr>
        <w:t xml:space="preserve">. The specification and order described in this </w:t>
      </w:r>
      <w:r w:rsidR="00781BA5" w:rsidRPr="00A52AB8">
        <w:rPr>
          <w:rFonts w:ascii="Cambria" w:hAnsi="Cambria"/>
        </w:rPr>
        <w:t xml:space="preserve">subclause </w:t>
      </w:r>
      <w:r w:rsidRPr="00A52AB8">
        <w:rPr>
          <w:rFonts w:ascii="Cambria" w:hAnsi="Cambria"/>
        </w:rPr>
        <w:t>is informative only.</w:t>
      </w:r>
    </w:p>
    <w:p w14:paraId="591D4EC5" w14:textId="77777777" w:rsidR="00D56F3C" w:rsidRPr="00A52AB8" w:rsidRDefault="0003372C" w:rsidP="00EE3D19">
      <w:pPr>
        <w:pStyle w:val="a4"/>
        <w:numPr>
          <w:ilvl w:val="2"/>
          <w:numId w:val="19"/>
        </w:numPr>
        <w:outlineLvl w:val="2"/>
      </w:pPr>
      <w:bookmarkStart w:id="4835" w:name="_Toc45105596"/>
      <w:bookmarkStart w:id="4836" w:name="_Toc45530455"/>
      <w:bookmarkStart w:id="4837" w:name="_Toc46301818"/>
      <w:bookmarkStart w:id="4838" w:name="_Toc46302643"/>
      <w:bookmarkStart w:id="4839" w:name="_Toc45105597"/>
      <w:bookmarkStart w:id="4840" w:name="_Toc45530456"/>
      <w:bookmarkStart w:id="4841" w:name="_Toc46301819"/>
      <w:bookmarkStart w:id="4842" w:name="_Toc46302644"/>
      <w:bookmarkStart w:id="4843" w:name="_Toc45105598"/>
      <w:bookmarkStart w:id="4844" w:name="_Toc45530457"/>
      <w:bookmarkStart w:id="4845" w:name="_Toc46301820"/>
      <w:bookmarkStart w:id="4846" w:name="_Toc46302645"/>
      <w:bookmarkStart w:id="4847" w:name="_Ref38535461"/>
      <w:bookmarkStart w:id="4848" w:name="_Ref41830040"/>
      <w:bookmarkEnd w:id="4835"/>
      <w:bookmarkEnd w:id="4836"/>
      <w:bookmarkEnd w:id="4837"/>
      <w:bookmarkEnd w:id="4838"/>
      <w:bookmarkEnd w:id="4839"/>
      <w:bookmarkEnd w:id="4840"/>
      <w:bookmarkEnd w:id="4841"/>
      <w:bookmarkEnd w:id="4842"/>
      <w:bookmarkEnd w:id="4843"/>
      <w:bookmarkEnd w:id="4844"/>
      <w:bookmarkEnd w:id="4845"/>
      <w:bookmarkEnd w:id="4846"/>
      <w:r w:rsidRPr="00A52AB8">
        <w:t>Occupancy</w:t>
      </w:r>
      <w:r w:rsidR="00D56F3C" w:rsidRPr="00A52AB8">
        <w:t xml:space="preserve"> </w:t>
      </w:r>
      <w:bookmarkEnd w:id="4847"/>
      <w:r w:rsidR="00D56F3C" w:rsidRPr="00A52AB8">
        <w:t>nominal format conversion</w:t>
      </w:r>
      <w:bookmarkEnd w:id="4848"/>
    </w:p>
    <w:p w14:paraId="6D0BFD7F" w14:textId="5E21B2AD" w:rsidR="00B03B46" w:rsidRPr="00A52AB8" w:rsidRDefault="002E401A" w:rsidP="00D56F3C">
      <w:pPr>
        <w:rPr>
          <w:lang w:eastAsia="ja-JP"/>
        </w:rPr>
      </w:pPr>
      <w:r w:rsidRPr="00A52AB8">
        <w:rPr>
          <w:lang w:eastAsia="ja-JP"/>
        </w:rPr>
        <w:t>This process converts the decode</w:t>
      </w:r>
      <w:r w:rsidR="00646405" w:rsidRPr="00A52AB8">
        <w:rPr>
          <w:lang w:eastAsia="ja-JP"/>
        </w:rPr>
        <w:t>d</w:t>
      </w:r>
      <w:r w:rsidRPr="00A52AB8">
        <w:rPr>
          <w:lang w:eastAsia="ja-JP"/>
        </w:rPr>
        <w:t xml:space="preserve"> occupancy </w:t>
      </w:r>
      <w:r w:rsidR="00D334C0" w:rsidRPr="00A52AB8">
        <w:rPr>
          <w:lang w:eastAsia="ja-JP"/>
        </w:rPr>
        <w:t>frames</w:t>
      </w:r>
      <w:r w:rsidR="002A682D" w:rsidRPr="00A52AB8">
        <w:rPr>
          <w:lang w:eastAsia="ja-JP"/>
        </w:rPr>
        <w:t>,</w:t>
      </w:r>
      <w:r w:rsidR="001B7A87" w:rsidRPr="00A52AB8">
        <w:rPr>
          <w:lang w:eastAsia="ja-JP"/>
        </w:rPr>
        <w:t xml:space="preserve"> </w:t>
      </w:r>
      <w:r w:rsidR="001B7A87" w:rsidRPr="00A52AB8">
        <w:rPr>
          <w:color w:val="000000" w:themeColor="text1"/>
        </w:rPr>
        <w:t>DecOccFrames</w:t>
      </w:r>
      <w:r w:rsidR="002A682D" w:rsidRPr="00A52AB8">
        <w:rPr>
          <w:color w:val="000000" w:themeColor="text1"/>
        </w:rPr>
        <w:t>,</w:t>
      </w:r>
      <w:r w:rsidRPr="00A52AB8">
        <w:rPr>
          <w:lang w:eastAsia="ja-JP"/>
        </w:rPr>
        <w:t xml:space="preserve"> to </w:t>
      </w:r>
      <w:r w:rsidR="00646405" w:rsidRPr="00A52AB8">
        <w:rPr>
          <w:lang w:eastAsia="ja-JP"/>
        </w:rPr>
        <w:t xml:space="preserve">the </w:t>
      </w:r>
      <w:r w:rsidRPr="00A52AB8">
        <w:rPr>
          <w:lang w:eastAsia="ja-JP"/>
        </w:rPr>
        <w:t>nominal format.</w:t>
      </w:r>
    </w:p>
    <w:p w14:paraId="1E63B208" w14:textId="72D0E50C" w:rsidR="001211B4" w:rsidRPr="00A52AB8" w:rsidRDefault="00430A6E" w:rsidP="00430A6E">
      <w:pPr>
        <w:rPr>
          <w:lang w:eastAsia="ja-JP"/>
        </w:rPr>
      </w:pPr>
      <w:r w:rsidRPr="00A52AB8">
        <w:rPr>
          <w:lang w:eastAsia="ja-JP"/>
        </w:rPr>
        <w:t xml:space="preserve">Let the variables </w:t>
      </w:r>
      <w:r w:rsidR="00D67B5A" w:rsidRPr="00A52AB8">
        <w:rPr>
          <w:lang w:eastAsia="ja-JP"/>
        </w:rPr>
        <w:t>o</w:t>
      </w:r>
      <w:r w:rsidR="002242B8" w:rsidRPr="00A52AB8">
        <w:rPr>
          <w:lang w:eastAsia="ja-JP"/>
        </w:rPr>
        <w:t>cc</w:t>
      </w:r>
      <w:r w:rsidR="00D67B5A" w:rsidRPr="00A52AB8">
        <w:rPr>
          <w:lang w:eastAsia="ja-JP"/>
        </w:rPr>
        <w:t>Num</w:t>
      </w:r>
      <w:r w:rsidR="002242B8" w:rsidRPr="00A52AB8">
        <w:rPr>
          <w:lang w:eastAsia="ja-JP"/>
        </w:rPr>
        <w:t xml:space="preserve">Comp, </w:t>
      </w:r>
      <w:r w:rsidRPr="00A52AB8">
        <w:rPr>
          <w:lang w:eastAsia="ja-JP"/>
        </w:rPr>
        <w:t>occMSBAlignFlag</w:t>
      </w:r>
      <w:r w:rsidR="009E1CC1" w:rsidRPr="00A52AB8">
        <w:rPr>
          <w:lang w:eastAsia="ja-JP"/>
        </w:rPr>
        <w:t>,</w:t>
      </w:r>
      <w:r w:rsidRPr="00A52AB8">
        <w:rPr>
          <w:lang w:eastAsia="ja-JP"/>
        </w:rPr>
        <w:t xml:space="preserve"> and </w:t>
      </w:r>
      <w:r w:rsidRPr="00A52AB8">
        <w:rPr>
          <w:color w:val="000000" w:themeColor="text1"/>
        </w:rPr>
        <w:t>occThreshold</w:t>
      </w:r>
      <w:r w:rsidRPr="00A52AB8">
        <w:rPr>
          <w:lang w:eastAsia="ja-JP"/>
        </w:rPr>
        <w:t xml:space="preserve"> </w:t>
      </w:r>
      <w:r w:rsidR="001211B4" w:rsidRPr="00A52AB8">
        <w:rPr>
          <w:lang w:eastAsia="ja-JP"/>
        </w:rPr>
        <w:t>be set as follows:</w:t>
      </w:r>
    </w:p>
    <w:p w14:paraId="2FCE521D" w14:textId="2F44BBF7" w:rsidR="00430A6E" w:rsidRPr="00A52AB8" w:rsidRDefault="001211B4" w:rsidP="00430A6E">
      <w:pPr>
        <w:rPr>
          <w:lang w:eastAsia="ja-JP"/>
        </w:rPr>
      </w:pPr>
      <w:r w:rsidRPr="00A52AB8">
        <w:rPr>
          <w:lang w:eastAsia="ja-JP"/>
        </w:rPr>
        <w:tab/>
        <w:t>occNumComp = 1</w:t>
      </w:r>
      <w:r w:rsidRPr="00A52AB8">
        <w:rPr>
          <w:lang w:eastAsia="ja-JP"/>
        </w:rPr>
        <w:br/>
      </w:r>
      <w:r w:rsidRPr="00A52AB8">
        <w:rPr>
          <w:lang w:eastAsia="ja-JP"/>
        </w:rPr>
        <w:tab/>
        <w:t>occMSBAlignFlag = </w:t>
      </w:r>
      <w:r w:rsidRPr="00A52AB8">
        <w:rPr>
          <w:color w:val="000000" w:themeColor="text1"/>
        </w:rPr>
        <w:t>oi_occupancy_MSB_align_flag[ ConvAtlasID ]</w:t>
      </w:r>
      <w:r w:rsidRPr="00A52AB8">
        <w:rPr>
          <w:color w:val="000000" w:themeColor="text1"/>
        </w:rPr>
        <w:br/>
      </w:r>
      <w:r w:rsidRPr="00A52AB8">
        <w:rPr>
          <w:color w:val="000000" w:themeColor="text1"/>
        </w:rPr>
        <w:tab/>
        <w:t>occThreshold = </w:t>
      </w:r>
      <w:r w:rsidR="00430A6E" w:rsidRPr="00A52AB8">
        <w:rPr>
          <w:color w:val="000000" w:themeColor="text1"/>
        </w:rPr>
        <w:t xml:space="preserve"> oi_lossy_occupancy_compression_threshold[ ConvAtlasID ]</w:t>
      </w:r>
    </w:p>
    <w:p w14:paraId="06514974" w14:textId="77777777" w:rsidR="00D56F3C" w:rsidRPr="00A52AB8" w:rsidRDefault="00D56F3C" w:rsidP="00D56F3C">
      <w:pPr>
        <w:rPr>
          <w:lang w:eastAsia="ja-JP"/>
        </w:rPr>
      </w:pPr>
      <w:r w:rsidRPr="00A52AB8">
        <w:rPr>
          <w:lang w:eastAsia="ja-JP"/>
        </w:rPr>
        <w:t xml:space="preserve">Output of this process </w:t>
      </w:r>
      <w:r w:rsidR="00283B70" w:rsidRPr="00A52AB8">
        <w:rPr>
          <w:lang w:eastAsia="ja-JP"/>
        </w:rPr>
        <w:t>is</w:t>
      </w:r>
      <w:r w:rsidRPr="00A52AB8">
        <w:rPr>
          <w:lang w:eastAsia="ja-JP"/>
        </w:rPr>
        <w:t>:</w:t>
      </w:r>
    </w:p>
    <w:p w14:paraId="0DF6FF7E" w14:textId="029884DD" w:rsidR="00FF7AD9" w:rsidRPr="00A52AB8" w:rsidRDefault="00FF7AD9"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bookmarkStart w:id="4849" w:name="_Hlk45640216"/>
      <w:r w:rsidRPr="00A52AB8">
        <w:rPr>
          <w:color w:val="000000" w:themeColor="text1"/>
        </w:rPr>
        <w:t>the 4D array OccFrame</w:t>
      </w:r>
      <w:r w:rsidR="00153EEE" w:rsidRPr="00A52AB8">
        <w:rPr>
          <w:color w:val="000000" w:themeColor="text1"/>
        </w:rPr>
        <w:t>s</w:t>
      </w:r>
      <w:r w:rsidRPr="00A52AB8">
        <w:rPr>
          <w:color w:val="000000" w:themeColor="text1"/>
        </w:rPr>
        <w:t xml:space="preserve">NF, </w:t>
      </w:r>
      <w:r w:rsidR="009E1CC1" w:rsidRPr="00A52AB8">
        <w:rPr>
          <w:color w:val="000000" w:themeColor="text1"/>
        </w:rPr>
        <w:t xml:space="preserve">indicating </w:t>
      </w:r>
      <w:r w:rsidRPr="00A52AB8">
        <w:rPr>
          <w:color w:val="000000" w:themeColor="text1"/>
        </w:rPr>
        <w:t xml:space="preserve">the decoded occupancy frames in </w:t>
      </w:r>
      <w:r w:rsidR="00646405" w:rsidRPr="00A52AB8">
        <w:rPr>
          <w:color w:val="000000" w:themeColor="text1"/>
        </w:rPr>
        <w:t xml:space="preserve">the </w:t>
      </w:r>
      <w:r w:rsidRPr="00A52AB8">
        <w:rPr>
          <w:color w:val="000000" w:themeColor="text1"/>
        </w:rPr>
        <w:t xml:space="preserve">nominal format, where the dimensions </w:t>
      </w:r>
      <w:r w:rsidR="009A654C" w:rsidRPr="00A52AB8">
        <w:rPr>
          <w:color w:val="000000" w:themeColor="text1"/>
        </w:rPr>
        <w:t xml:space="preserve">correspond to </w:t>
      </w:r>
      <w:r w:rsidRPr="00A52AB8">
        <w:rPr>
          <w:color w:val="000000" w:themeColor="text1"/>
        </w:rPr>
        <w:t xml:space="preserve">the </w:t>
      </w:r>
      <w:r w:rsidR="009A654C" w:rsidRPr="00A52AB8">
        <w:rPr>
          <w:color w:val="000000" w:themeColor="text1"/>
        </w:rPr>
        <w:t>occupancy video frame index</w:t>
      </w:r>
      <w:r w:rsidRPr="00A52AB8">
        <w:rPr>
          <w:color w:val="000000" w:themeColor="text1"/>
        </w:rPr>
        <w:t>, the component</w:t>
      </w:r>
      <w:r w:rsidR="001022E8" w:rsidRPr="00A52AB8">
        <w:rPr>
          <w:color w:val="000000" w:themeColor="text1"/>
        </w:rPr>
        <w:t xml:space="preserve"> index</w:t>
      </w:r>
      <w:r w:rsidRPr="00A52AB8">
        <w:rPr>
          <w:color w:val="000000" w:themeColor="text1"/>
        </w:rPr>
        <w:t xml:space="preserve">, the </w:t>
      </w:r>
      <w:r w:rsidR="001022E8" w:rsidRPr="00A52AB8">
        <w:rPr>
          <w:color w:val="000000" w:themeColor="text1"/>
        </w:rPr>
        <w:t>row</w:t>
      </w:r>
      <w:r w:rsidR="009A654C" w:rsidRPr="00A52AB8">
        <w:rPr>
          <w:color w:val="000000" w:themeColor="text1"/>
        </w:rPr>
        <w:t xml:space="preserve"> index, </w:t>
      </w:r>
      <w:r w:rsidRPr="00A52AB8">
        <w:rPr>
          <w:color w:val="000000" w:themeColor="text1"/>
        </w:rPr>
        <w:t xml:space="preserve">and the </w:t>
      </w:r>
      <w:r w:rsidR="001022E8" w:rsidRPr="00A52AB8">
        <w:rPr>
          <w:color w:val="000000" w:themeColor="text1"/>
        </w:rPr>
        <w:t xml:space="preserve">column </w:t>
      </w:r>
      <w:r w:rsidR="009A654C" w:rsidRPr="00A52AB8">
        <w:rPr>
          <w:color w:val="000000" w:themeColor="text1"/>
        </w:rPr>
        <w:t>index</w:t>
      </w:r>
      <w:r w:rsidR="00CA4352" w:rsidRPr="00A52AB8">
        <w:rPr>
          <w:color w:val="000000" w:themeColor="text1"/>
        </w:rPr>
        <w:t>, respectively</w:t>
      </w:r>
      <w:r w:rsidRPr="00A52AB8">
        <w:rPr>
          <w:color w:val="000000" w:themeColor="text1"/>
        </w:rPr>
        <w:t>.</w:t>
      </w:r>
    </w:p>
    <w:bookmarkEnd w:id="4849"/>
    <w:p w14:paraId="5D7F9EB4" w14:textId="7AEBC29A" w:rsidR="00D56F3C" w:rsidRPr="00A52AB8" w:rsidRDefault="00D56F3C" w:rsidP="00D56F3C">
      <w:pPr>
        <w:rPr>
          <w:lang w:eastAsia="ja-JP"/>
        </w:rPr>
      </w:pPr>
      <w:r w:rsidRPr="00A52AB8">
        <w:rPr>
          <w:lang w:eastAsia="ja-JP"/>
        </w:rPr>
        <w:t xml:space="preserve">To convert the </w:t>
      </w:r>
      <w:r w:rsidR="00646405" w:rsidRPr="00A52AB8">
        <w:rPr>
          <w:lang w:eastAsia="ja-JP"/>
        </w:rPr>
        <w:t xml:space="preserve">decoded </w:t>
      </w:r>
      <w:r w:rsidR="0003372C" w:rsidRPr="00A52AB8">
        <w:rPr>
          <w:lang w:eastAsia="ja-JP"/>
        </w:rPr>
        <w:t>occupancy</w:t>
      </w:r>
      <w:r w:rsidR="00DA2144" w:rsidRPr="00A52AB8">
        <w:rPr>
          <w:lang w:eastAsia="ja-JP"/>
        </w:rPr>
        <w:t xml:space="preserve"> </w:t>
      </w:r>
      <w:r w:rsidR="00646405" w:rsidRPr="00A52AB8">
        <w:rPr>
          <w:lang w:eastAsia="ja-JP"/>
        </w:rPr>
        <w:t xml:space="preserve">video </w:t>
      </w:r>
      <w:r w:rsidRPr="00A52AB8">
        <w:rPr>
          <w:lang w:eastAsia="ja-JP"/>
        </w:rPr>
        <w:t xml:space="preserve">to </w:t>
      </w:r>
      <w:r w:rsidR="00646405" w:rsidRPr="00A52AB8">
        <w:rPr>
          <w:lang w:eastAsia="ja-JP"/>
        </w:rPr>
        <w:t xml:space="preserve">the </w:t>
      </w:r>
      <w:r w:rsidRPr="00A52AB8">
        <w:rPr>
          <w:lang w:eastAsia="ja-JP"/>
        </w:rPr>
        <w:t xml:space="preserve">nominal format, </w:t>
      </w:r>
      <w:r w:rsidR="00EC3F2D" w:rsidRPr="00A52AB8">
        <w:rPr>
          <w:lang w:eastAsia="ja-JP"/>
        </w:rPr>
        <w:t>several processing steps may need to be performed depending on the original format of the decoded video. In particular:</w:t>
      </w:r>
    </w:p>
    <w:p w14:paraId="076A9217" w14:textId="7269C6A3" w:rsidR="00D56F3C" w:rsidRPr="00A52AB8" w:rsidRDefault="00D56F3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To convert the bit</w:t>
      </w:r>
      <w:r w:rsidR="00E875F2" w:rsidRPr="00A52AB8">
        <w:rPr>
          <w:color w:val="000000" w:themeColor="text1"/>
        </w:rPr>
        <w:t xml:space="preserve"> </w:t>
      </w:r>
      <w:r w:rsidRPr="00A52AB8">
        <w:rPr>
          <w:color w:val="000000" w:themeColor="text1"/>
        </w:rPr>
        <w:t xml:space="preserve">depth of the </w:t>
      </w:r>
      <w:r w:rsidR="007D45C4" w:rsidRPr="00A52AB8">
        <w:rPr>
          <w:color w:val="000000" w:themeColor="text1"/>
        </w:rPr>
        <w:t xml:space="preserve">decoded occupancy </w:t>
      </w:r>
      <w:r w:rsidR="00BF0095" w:rsidRPr="00A52AB8">
        <w:rPr>
          <w:color w:val="000000" w:themeColor="text1"/>
        </w:rPr>
        <w:t xml:space="preserve">video </w:t>
      </w:r>
      <w:r w:rsidR="007D45C4" w:rsidRPr="00A52AB8">
        <w:rPr>
          <w:color w:val="000000" w:themeColor="text1"/>
        </w:rPr>
        <w:t>frames</w:t>
      </w:r>
      <w:r w:rsidRPr="00A52AB8">
        <w:rPr>
          <w:color w:val="000000" w:themeColor="text1"/>
        </w:rPr>
        <w:t xml:space="preserve"> to the required nominal bit</w:t>
      </w:r>
      <w:r w:rsidR="00E875F2" w:rsidRPr="00A52AB8">
        <w:rPr>
          <w:color w:val="000000" w:themeColor="text1"/>
        </w:rPr>
        <w:t xml:space="preserve"> </w:t>
      </w:r>
      <w:r w:rsidRPr="00A52AB8">
        <w:rPr>
          <w:color w:val="000000" w:themeColor="text1"/>
        </w:rPr>
        <w:t xml:space="preserve">depth, </w:t>
      </w:r>
      <w:r w:rsidR="000500C8" w:rsidRPr="00A52AB8">
        <w:rPr>
          <w:color w:val="000000" w:themeColor="text1"/>
        </w:rPr>
        <w:t>subclause</w:t>
      </w:r>
      <w:r w:rsidR="00172633" w:rsidRPr="00A52AB8">
        <w:rPr>
          <w:color w:val="000000" w:themeColor="text1"/>
        </w:rPr>
        <w:t> </w:t>
      </w:r>
      <w:r w:rsidR="003D113D" w:rsidRPr="00496A4D">
        <w:rPr>
          <w:color w:val="000000" w:themeColor="text1"/>
        </w:rPr>
        <w:fldChar w:fldCharType="begin"/>
      </w:r>
      <w:r w:rsidR="003D113D" w:rsidRPr="00A52AB8">
        <w:rPr>
          <w:color w:val="000000" w:themeColor="text1"/>
        </w:rPr>
        <w:instrText xml:space="preserve"> REF _Ref47888149 \r \h </w:instrText>
      </w:r>
      <w:r w:rsidR="00851254" w:rsidRPr="00A52AB8">
        <w:rPr>
          <w:color w:val="000000" w:themeColor="text1"/>
        </w:rPr>
        <w:instrText xml:space="preserve"> \* MERGEFORMAT </w:instrText>
      </w:r>
      <w:r w:rsidR="003D113D" w:rsidRPr="00496A4D">
        <w:rPr>
          <w:color w:val="000000" w:themeColor="text1"/>
        </w:rPr>
      </w:r>
      <w:r w:rsidR="003D113D" w:rsidRPr="00496A4D">
        <w:rPr>
          <w:color w:val="000000" w:themeColor="text1"/>
        </w:rPr>
        <w:fldChar w:fldCharType="separate"/>
      </w:r>
      <w:r w:rsidR="00507A67">
        <w:rPr>
          <w:color w:val="000000" w:themeColor="text1"/>
        </w:rPr>
        <w:t>B.3.2</w:t>
      </w:r>
      <w:r w:rsidR="003D113D" w:rsidRPr="00496A4D">
        <w:rPr>
          <w:color w:val="000000" w:themeColor="text1"/>
        </w:rPr>
        <w:fldChar w:fldCharType="end"/>
      </w:r>
      <w:r w:rsidRPr="00A52AB8">
        <w:rPr>
          <w:color w:val="000000" w:themeColor="text1"/>
        </w:rPr>
        <w:t xml:space="preserve"> is </w:t>
      </w:r>
      <w:r w:rsidR="002D133A" w:rsidRPr="00A52AB8">
        <w:rPr>
          <w:color w:val="000000" w:themeColor="text1"/>
        </w:rPr>
        <w:t>invoked</w:t>
      </w:r>
      <w:r w:rsidRPr="00A52AB8">
        <w:rPr>
          <w:color w:val="000000" w:themeColor="text1"/>
        </w:rPr>
        <w:t xml:space="preserve"> </w:t>
      </w:r>
      <w:r w:rsidR="00C31287" w:rsidRPr="00A52AB8">
        <w:rPr>
          <w:color w:val="000000" w:themeColor="text1"/>
        </w:rPr>
        <w:t xml:space="preserve">for </w:t>
      </w:r>
      <w:r w:rsidRPr="00A52AB8">
        <w:rPr>
          <w:color w:val="000000" w:themeColor="text1"/>
        </w:rPr>
        <w:t>each frame</w:t>
      </w:r>
      <w:r w:rsidR="00732BEE" w:rsidRPr="00A52AB8">
        <w:rPr>
          <w:color w:val="000000" w:themeColor="text1"/>
        </w:rPr>
        <w:t xml:space="preserve"> </w:t>
      </w:r>
      <w:r w:rsidR="00646405" w:rsidRPr="00A52AB8">
        <w:rPr>
          <w:color w:val="000000" w:themeColor="text1"/>
        </w:rPr>
        <w:t>index frameIdx,</w:t>
      </w:r>
      <w:r w:rsidR="00225BF0" w:rsidRPr="00A52AB8">
        <w:rPr>
          <w:color w:val="000000" w:themeColor="text1"/>
        </w:rPr>
        <w:t xml:space="preserve"> </w:t>
      </w:r>
      <w:r w:rsidR="00063D0E" w:rsidRPr="00A52AB8">
        <w:rPr>
          <w:color w:val="000000" w:themeColor="text1"/>
        </w:rPr>
        <w:t xml:space="preserve">with </w:t>
      </w:r>
      <w:r w:rsidR="00473B2B" w:rsidRPr="00A52AB8">
        <w:rPr>
          <w:color w:val="000000" w:themeColor="text1"/>
        </w:rPr>
        <w:t xml:space="preserve">variables </w:t>
      </w:r>
      <w:r w:rsidR="000500C8" w:rsidRPr="00A52AB8">
        <w:rPr>
          <w:color w:val="000000" w:themeColor="text1"/>
        </w:rPr>
        <w:t>D</w:t>
      </w:r>
      <w:r w:rsidRPr="00A52AB8">
        <w:rPr>
          <w:color w:val="000000" w:themeColor="text1"/>
        </w:rPr>
        <w:t>ecOccBit</w:t>
      </w:r>
      <w:r w:rsidR="00AD0CC0" w:rsidRPr="00A52AB8">
        <w:rPr>
          <w:color w:val="000000" w:themeColor="text1"/>
        </w:rPr>
        <w:t>D</w:t>
      </w:r>
      <w:r w:rsidRPr="00A52AB8">
        <w:rPr>
          <w:color w:val="000000" w:themeColor="text1"/>
        </w:rPr>
        <w:t xml:space="preserve">epth[ frameIdx ], </w:t>
      </w:r>
      <w:r w:rsidR="00732BEE" w:rsidRPr="00A52AB8">
        <w:rPr>
          <w:color w:val="000000" w:themeColor="text1"/>
        </w:rPr>
        <w:t xml:space="preserve">DecOccHeight[ frameIdx ], </w:t>
      </w:r>
      <w:r w:rsidR="000500C8" w:rsidRPr="00A52AB8">
        <w:rPr>
          <w:color w:val="000000" w:themeColor="text1"/>
        </w:rPr>
        <w:t>DecOccWidth</w:t>
      </w:r>
      <w:r w:rsidRPr="00A52AB8">
        <w:rPr>
          <w:color w:val="000000" w:themeColor="text1"/>
        </w:rPr>
        <w:t xml:space="preserve">[ frameIdx ], </w:t>
      </w:r>
      <w:r w:rsidR="00732BEE" w:rsidRPr="00A52AB8">
        <w:rPr>
          <w:color w:val="000000" w:themeColor="text1"/>
        </w:rPr>
        <w:t>O</w:t>
      </w:r>
      <w:r w:rsidR="00C31287" w:rsidRPr="00A52AB8">
        <w:rPr>
          <w:color w:val="000000" w:themeColor="text1"/>
        </w:rPr>
        <w:t>ccBitDepthN</w:t>
      </w:r>
      <w:r w:rsidR="00734798" w:rsidRPr="00A52AB8">
        <w:rPr>
          <w:color w:val="000000" w:themeColor="text1"/>
        </w:rPr>
        <w:t>F</w:t>
      </w:r>
      <w:r w:rsidR="00C31287" w:rsidRPr="00A52AB8">
        <w:rPr>
          <w:color w:val="000000" w:themeColor="text1"/>
        </w:rPr>
        <w:t xml:space="preserve">, and </w:t>
      </w:r>
      <w:r w:rsidR="00063D0E" w:rsidRPr="00A52AB8">
        <w:rPr>
          <w:color w:val="000000" w:themeColor="text1"/>
        </w:rPr>
        <w:t>occMSBAlignFlag</w:t>
      </w:r>
      <w:r w:rsidR="000500C8" w:rsidRPr="00A52AB8">
        <w:rPr>
          <w:color w:val="000000" w:themeColor="text1"/>
        </w:rPr>
        <w:t>,</w:t>
      </w:r>
      <w:r w:rsidR="00473B2B" w:rsidRPr="00A52AB8">
        <w:rPr>
          <w:color w:val="000000" w:themeColor="text1"/>
        </w:rPr>
        <w:t xml:space="preserve"> and array DecOccFrames[ frameIdx ][ 0 ]</w:t>
      </w:r>
      <w:r w:rsidR="00C31287" w:rsidRPr="00A52AB8">
        <w:rPr>
          <w:color w:val="000000" w:themeColor="text1"/>
        </w:rPr>
        <w:t xml:space="preserve"> as inputs</w:t>
      </w:r>
      <w:r w:rsidRPr="00A52AB8">
        <w:rPr>
          <w:color w:val="000000" w:themeColor="text1"/>
        </w:rPr>
        <w:t>.</w:t>
      </w:r>
      <w:r w:rsidR="00E875F2" w:rsidRPr="00A52AB8">
        <w:rPr>
          <w:color w:val="000000" w:themeColor="text1"/>
        </w:rPr>
        <w:t xml:space="preserve"> The output of this process is the decoded occupancy frame</w:t>
      </w:r>
      <w:r w:rsidR="00CA7F40" w:rsidRPr="00A52AB8">
        <w:rPr>
          <w:color w:val="000000" w:themeColor="text1"/>
        </w:rPr>
        <w:t xml:space="preserve"> at the nominal bit depth</w:t>
      </w:r>
      <w:r w:rsidR="00E875F2" w:rsidRPr="00A52AB8">
        <w:rPr>
          <w:color w:val="000000" w:themeColor="text1"/>
        </w:rPr>
        <w:t xml:space="preserve">, </w:t>
      </w:r>
      <w:r w:rsidR="00CA7F40" w:rsidRPr="00A52AB8">
        <w:rPr>
          <w:color w:val="000000" w:themeColor="text1"/>
        </w:rPr>
        <w:t>d</w:t>
      </w:r>
      <w:r w:rsidR="00E875F2" w:rsidRPr="00A52AB8">
        <w:rPr>
          <w:color w:val="000000" w:themeColor="text1"/>
        </w:rPr>
        <w:t>ecOccFrame</w:t>
      </w:r>
      <w:r w:rsidR="007033D6" w:rsidRPr="00A52AB8">
        <w:rPr>
          <w:color w:val="000000" w:themeColor="text1"/>
        </w:rPr>
        <w:t>s</w:t>
      </w:r>
      <w:r w:rsidR="00CA7F40" w:rsidRPr="00A52AB8">
        <w:rPr>
          <w:color w:val="000000" w:themeColor="text1"/>
        </w:rPr>
        <w:t>NBD</w:t>
      </w:r>
      <w:r w:rsidR="00E875F2" w:rsidRPr="00A52AB8">
        <w:rPr>
          <w:color w:val="000000" w:themeColor="text1"/>
        </w:rPr>
        <w:t>[ frameIdx ]</w:t>
      </w:r>
      <w:r w:rsidR="00732BEE" w:rsidRPr="00A52AB8">
        <w:rPr>
          <w:color w:val="000000" w:themeColor="text1"/>
        </w:rPr>
        <w:t>[ 0 ]</w:t>
      </w:r>
      <w:r w:rsidR="00E875F2" w:rsidRPr="00A52AB8">
        <w:rPr>
          <w:color w:val="000000" w:themeColor="text1"/>
        </w:rPr>
        <w:t>.</w:t>
      </w:r>
    </w:p>
    <w:p w14:paraId="1E733DFF" w14:textId="2801D8F4" w:rsidR="00D56F3C" w:rsidRPr="00A52AB8" w:rsidRDefault="00D56F3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To convert the </w:t>
      </w:r>
      <w:r w:rsidR="000500C8" w:rsidRPr="00A52AB8">
        <w:rPr>
          <w:color w:val="000000" w:themeColor="text1"/>
        </w:rPr>
        <w:t xml:space="preserve">occupancy frames </w:t>
      </w:r>
      <w:r w:rsidRPr="00A52AB8">
        <w:rPr>
          <w:color w:val="000000" w:themeColor="text1"/>
        </w:rPr>
        <w:t xml:space="preserve">to the nominal frame resolution, </w:t>
      </w:r>
      <w:r w:rsidR="000500C8" w:rsidRPr="00A52AB8">
        <w:rPr>
          <w:color w:val="000000" w:themeColor="text1"/>
        </w:rPr>
        <w:t>subclause</w:t>
      </w:r>
      <w:r w:rsidR="00172633" w:rsidRPr="00A52AB8">
        <w:rPr>
          <w:color w:val="000000" w:themeColor="text1"/>
        </w:rPr>
        <w:t> </w:t>
      </w:r>
      <w:r w:rsidRPr="00496A4D">
        <w:rPr>
          <w:color w:val="000000" w:themeColor="text1"/>
        </w:rPr>
        <w:fldChar w:fldCharType="begin"/>
      </w:r>
      <w:r w:rsidRPr="00A52AB8">
        <w:rPr>
          <w:color w:val="000000" w:themeColor="text1"/>
        </w:rPr>
        <w:instrText xml:space="preserve"> REF _Ref39656686 \r \h </w:instrText>
      </w:r>
      <w:r w:rsidR="00925B34"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B.3.3</w:t>
      </w:r>
      <w:r w:rsidRPr="00496A4D">
        <w:rPr>
          <w:color w:val="000000" w:themeColor="text1"/>
        </w:rPr>
        <w:fldChar w:fldCharType="end"/>
      </w:r>
      <w:r w:rsidRPr="00A52AB8">
        <w:rPr>
          <w:color w:val="000000" w:themeColor="text1"/>
        </w:rPr>
        <w:t xml:space="preserve"> is </w:t>
      </w:r>
      <w:r w:rsidR="002D133A" w:rsidRPr="00A52AB8">
        <w:rPr>
          <w:color w:val="000000" w:themeColor="text1"/>
        </w:rPr>
        <w:t>invoked</w:t>
      </w:r>
      <w:r w:rsidRPr="00A52AB8">
        <w:rPr>
          <w:color w:val="000000" w:themeColor="text1"/>
        </w:rPr>
        <w:t xml:space="preserve"> </w:t>
      </w:r>
      <w:r w:rsidR="00063D0E" w:rsidRPr="00A52AB8">
        <w:rPr>
          <w:color w:val="000000" w:themeColor="text1"/>
        </w:rPr>
        <w:t xml:space="preserve">for each frame index frameIdx, with </w:t>
      </w:r>
      <w:r w:rsidR="00473B2B" w:rsidRPr="00A52AB8">
        <w:rPr>
          <w:color w:val="000000" w:themeColor="text1"/>
        </w:rPr>
        <w:t xml:space="preserve">variables </w:t>
      </w:r>
      <w:r w:rsidR="00063D0E" w:rsidRPr="00A52AB8">
        <w:rPr>
          <w:color w:val="000000" w:themeColor="text1"/>
        </w:rPr>
        <w:t xml:space="preserve">DecOccHeight[ frameIdx ], </w:t>
      </w:r>
      <w:r w:rsidR="005418EC" w:rsidRPr="00A52AB8">
        <w:rPr>
          <w:color w:val="000000" w:themeColor="text1"/>
        </w:rPr>
        <w:t>DecOccWidth</w:t>
      </w:r>
      <w:r w:rsidRPr="00A52AB8">
        <w:rPr>
          <w:color w:val="000000" w:themeColor="text1"/>
        </w:rPr>
        <w:t xml:space="preserve">[ frameIdx ], </w:t>
      </w:r>
      <w:r w:rsidR="00063D0E" w:rsidRPr="00A52AB8">
        <w:rPr>
          <w:color w:val="000000" w:themeColor="text1"/>
        </w:rPr>
        <w:t>V</w:t>
      </w:r>
      <w:r w:rsidR="00CA7F40" w:rsidRPr="00A52AB8">
        <w:rPr>
          <w:color w:val="000000" w:themeColor="text1"/>
        </w:rPr>
        <w:t>ideoHeightNF</w:t>
      </w:r>
      <w:r w:rsidR="00694EC2" w:rsidRPr="00A52AB8">
        <w:rPr>
          <w:color w:val="000000" w:themeColor="text1"/>
        </w:rPr>
        <w:t xml:space="preserve">, and </w:t>
      </w:r>
      <w:r w:rsidR="00063D0E" w:rsidRPr="00A52AB8">
        <w:rPr>
          <w:color w:val="000000" w:themeColor="text1"/>
        </w:rPr>
        <w:t>V</w:t>
      </w:r>
      <w:r w:rsidR="00CA7F40" w:rsidRPr="00A52AB8">
        <w:rPr>
          <w:color w:val="000000" w:themeColor="text1"/>
        </w:rPr>
        <w:t>ideoWidthNF</w:t>
      </w:r>
      <w:r w:rsidR="00063D0E" w:rsidRPr="00A52AB8">
        <w:rPr>
          <w:color w:val="000000" w:themeColor="text1"/>
        </w:rPr>
        <w:t xml:space="preserve">, </w:t>
      </w:r>
      <w:r w:rsidR="00473B2B" w:rsidRPr="00A52AB8">
        <w:rPr>
          <w:color w:val="000000" w:themeColor="text1"/>
        </w:rPr>
        <w:t xml:space="preserve">and array decOccFramesNBD[ frameIdx ][ 0 ] </w:t>
      </w:r>
      <w:r w:rsidR="00063D0E" w:rsidRPr="00A52AB8">
        <w:rPr>
          <w:color w:val="000000" w:themeColor="text1"/>
        </w:rPr>
        <w:t>as inputs</w:t>
      </w:r>
      <w:r w:rsidRPr="00A52AB8">
        <w:rPr>
          <w:color w:val="000000" w:themeColor="text1"/>
        </w:rPr>
        <w:t>.</w:t>
      </w:r>
      <w:r w:rsidR="00ED5A10" w:rsidRPr="00A52AB8">
        <w:rPr>
          <w:color w:val="000000" w:themeColor="text1"/>
        </w:rPr>
        <w:t xml:space="preserve"> The output of this process is the decoded occupan</w:t>
      </w:r>
      <w:r w:rsidR="00694EC2" w:rsidRPr="00A52AB8">
        <w:rPr>
          <w:color w:val="000000" w:themeColor="text1"/>
        </w:rPr>
        <w:t>c</w:t>
      </w:r>
      <w:r w:rsidR="00ED5A10" w:rsidRPr="00A52AB8">
        <w:rPr>
          <w:color w:val="000000" w:themeColor="text1"/>
        </w:rPr>
        <w:t xml:space="preserve">y frame </w:t>
      </w:r>
      <w:r w:rsidR="005418EC" w:rsidRPr="00A52AB8">
        <w:rPr>
          <w:color w:val="000000" w:themeColor="text1"/>
        </w:rPr>
        <w:t xml:space="preserve">at the </w:t>
      </w:r>
      <w:r w:rsidR="00ED5A10" w:rsidRPr="00A52AB8">
        <w:rPr>
          <w:color w:val="000000" w:themeColor="text1"/>
        </w:rPr>
        <w:t xml:space="preserve">nominal resolution, </w:t>
      </w:r>
      <w:r w:rsidR="00CA7F40" w:rsidRPr="00A52AB8">
        <w:rPr>
          <w:color w:val="000000" w:themeColor="text1"/>
        </w:rPr>
        <w:t>d</w:t>
      </w:r>
      <w:r w:rsidR="00ED5A10" w:rsidRPr="00A52AB8">
        <w:rPr>
          <w:color w:val="000000" w:themeColor="text1"/>
        </w:rPr>
        <w:t>ecOccFrame</w:t>
      </w:r>
      <w:r w:rsidR="007033D6" w:rsidRPr="00A52AB8">
        <w:rPr>
          <w:color w:val="000000" w:themeColor="text1"/>
        </w:rPr>
        <w:t>s</w:t>
      </w:r>
      <w:r w:rsidR="00734798" w:rsidRPr="00A52AB8">
        <w:rPr>
          <w:color w:val="000000" w:themeColor="text1"/>
        </w:rPr>
        <w:t>N</w:t>
      </w:r>
      <w:r w:rsidR="00CA7F40" w:rsidRPr="00A52AB8">
        <w:rPr>
          <w:color w:val="000000" w:themeColor="text1"/>
        </w:rPr>
        <w:t>R</w:t>
      </w:r>
      <w:r w:rsidR="00ED5A10" w:rsidRPr="00A52AB8">
        <w:rPr>
          <w:color w:val="000000" w:themeColor="text1"/>
        </w:rPr>
        <w:t>[ frameIdx ]</w:t>
      </w:r>
      <w:r w:rsidR="00063D0E" w:rsidRPr="00A52AB8">
        <w:rPr>
          <w:color w:val="000000" w:themeColor="text1"/>
        </w:rPr>
        <w:t>[ 0 ]</w:t>
      </w:r>
      <w:r w:rsidR="00ED5A10" w:rsidRPr="00A52AB8">
        <w:rPr>
          <w:color w:val="000000" w:themeColor="text1"/>
        </w:rPr>
        <w:t>.</w:t>
      </w:r>
    </w:p>
    <w:p w14:paraId="4761BBEC" w14:textId="3CC55C5E" w:rsidR="00141285" w:rsidRPr="00A52AB8" w:rsidRDefault="00E3691B"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T</w:t>
      </w:r>
      <w:r w:rsidR="00141285" w:rsidRPr="00A52AB8">
        <w:rPr>
          <w:color w:val="000000" w:themeColor="text1"/>
        </w:rPr>
        <w:t xml:space="preserve">o identify </w:t>
      </w:r>
      <w:r w:rsidR="00F01824" w:rsidRPr="00A52AB8">
        <w:rPr>
          <w:color w:val="000000" w:themeColor="text1"/>
        </w:rPr>
        <w:t>missing frames</w:t>
      </w:r>
      <w:r w:rsidR="00330AA5" w:rsidRPr="00A52AB8">
        <w:rPr>
          <w:color w:val="000000" w:themeColor="text1"/>
        </w:rPr>
        <w:t xml:space="preserve"> in the sequence</w:t>
      </w:r>
      <w:r w:rsidR="00F01824" w:rsidRPr="00A52AB8">
        <w:rPr>
          <w:color w:val="000000" w:themeColor="text1"/>
        </w:rPr>
        <w:t xml:space="preserve"> and re-order the input</w:t>
      </w:r>
      <w:r w:rsidR="0010592C" w:rsidRPr="00A52AB8">
        <w:rPr>
          <w:color w:val="000000" w:themeColor="text1"/>
        </w:rPr>
        <w:t>,</w:t>
      </w:r>
      <w:r w:rsidR="00330AA5" w:rsidRPr="00A52AB8">
        <w:rPr>
          <w:color w:val="000000" w:themeColor="text1"/>
        </w:rPr>
        <w:t xml:space="preserve"> </w:t>
      </w:r>
      <w:r w:rsidR="00F73C67" w:rsidRPr="00A52AB8">
        <w:rPr>
          <w:color w:val="000000" w:themeColor="text1"/>
        </w:rPr>
        <w:t>subclause</w:t>
      </w:r>
      <w:r w:rsidR="00172633" w:rsidRPr="00A52AB8">
        <w:rPr>
          <w:color w:val="000000" w:themeColor="text1"/>
        </w:rPr>
        <w:t> </w:t>
      </w:r>
      <w:r w:rsidR="00330AA5" w:rsidRPr="00496A4D">
        <w:rPr>
          <w:color w:val="000000" w:themeColor="text1"/>
        </w:rPr>
        <w:fldChar w:fldCharType="begin"/>
      </w:r>
      <w:r w:rsidR="00330AA5" w:rsidRPr="00A52AB8">
        <w:rPr>
          <w:color w:val="000000" w:themeColor="text1"/>
        </w:rPr>
        <w:instrText xml:space="preserve"> REF _Ref41282299 \r \h  \* MERGEFORMAT </w:instrText>
      </w:r>
      <w:r w:rsidR="00330AA5" w:rsidRPr="00496A4D">
        <w:rPr>
          <w:color w:val="000000" w:themeColor="text1"/>
        </w:rPr>
      </w:r>
      <w:r w:rsidR="00330AA5" w:rsidRPr="00496A4D">
        <w:rPr>
          <w:color w:val="000000" w:themeColor="text1"/>
        </w:rPr>
        <w:fldChar w:fldCharType="separate"/>
      </w:r>
      <w:r w:rsidR="00507A67">
        <w:rPr>
          <w:color w:val="000000" w:themeColor="text1"/>
        </w:rPr>
        <w:t>B.3.4.1</w:t>
      </w:r>
      <w:r w:rsidR="00330AA5" w:rsidRPr="00496A4D">
        <w:rPr>
          <w:color w:val="000000" w:themeColor="text1"/>
        </w:rPr>
        <w:fldChar w:fldCharType="end"/>
      </w:r>
      <w:r w:rsidR="00330AA5" w:rsidRPr="00A52AB8">
        <w:rPr>
          <w:color w:val="000000" w:themeColor="text1"/>
        </w:rPr>
        <w:t xml:space="preserve"> is invoked with </w:t>
      </w:r>
      <w:r w:rsidR="00473B2B" w:rsidRPr="00A52AB8">
        <w:rPr>
          <w:color w:val="000000" w:themeColor="text1"/>
        </w:rPr>
        <w:t xml:space="preserve">variables </w:t>
      </w:r>
      <w:r w:rsidR="00F73C67" w:rsidRPr="00A52AB8">
        <w:rPr>
          <w:color w:val="000000" w:themeColor="text1"/>
        </w:rPr>
        <w:t xml:space="preserve">NumDecOccFrames, </w:t>
      </w:r>
      <w:r w:rsidR="009D5D40" w:rsidRPr="00A52AB8">
        <w:rPr>
          <w:color w:val="000000" w:themeColor="text1"/>
        </w:rPr>
        <w:t>o</w:t>
      </w:r>
      <w:r w:rsidR="00117B9D" w:rsidRPr="00A52AB8">
        <w:rPr>
          <w:color w:val="000000" w:themeColor="text1"/>
        </w:rPr>
        <w:t>cc</w:t>
      </w:r>
      <w:r w:rsidR="009D5D40" w:rsidRPr="00A52AB8">
        <w:rPr>
          <w:color w:val="000000" w:themeColor="text1"/>
        </w:rPr>
        <w:t>Num</w:t>
      </w:r>
      <w:r w:rsidR="00117B9D" w:rsidRPr="00A52AB8">
        <w:rPr>
          <w:color w:val="000000" w:themeColor="text1"/>
        </w:rPr>
        <w:t>Comp</w:t>
      </w:r>
      <w:r w:rsidR="00F73C67" w:rsidRPr="00A52AB8">
        <w:rPr>
          <w:color w:val="000000" w:themeColor="text1"/>
        </w:rPr>
        <w:t xml:space="preserve">, </w:t>
      </w:r>
      <w:r w:rsidR="00135DFA" w:rsidRPr="00A52AB8">
        <w:rPr>
          <w:color w:val="000000" w:themeColor="text1"/>
        </w:rPr>
        <w:t>VideoHeightNF</w:t>
      </w:r>
      <w:r w:rsidR="00F73C67" w:rsidRPr="00A52AB8">
        <w:rPr>
          <w:color w:val="000000" w:themeColor="text1"/>
        </w:rPr>
        <w:t xml:space="preserve">, </w:t>
      </w:r>
      <w:r w:rsidR="00473B2B" w:rsidRPr="00A52AB8">
        <w:rPr>
          <w:color w:val="000000" w:themeColor="text1"/>
        </w:rPr>
        <w:t xml:space="preserve">and </w:t>
      </w:r>
      <w:r w:rsidR="00135DFA" w:rsidRPr="00A52AB8">
        <w:rPr>
          <w:color w:val="000000" w:themeColor="text1"/>
        </w:rPr>
        <w:t>VideoWidthNF</w:t>
      </w:r>
      <w:r w:rsidR="00F73C67" w:rsidRPr="00A52AB8">
        <w:rPr>
          <w:color w:val="000000" w:themeColor="text1"/>
        </w:rPr>
        <w:t xml:space="preserve">, </w:t>
      </w:r>
      <w:r w:rsidR="00473B2B" w:rsidRPr="00A52AB8">
        <w:rPr>
          <w:color w:val="000000" w:themeColor="text1"/>
        </w:rPr>
        <w:t xml:space="preserve">and arrays </w:t>
      </w:r>
      <w:r w:rsidR="00135DFA" w:rsidRPr="00A52AB8">
        <w:rPr>
          <w:color w:val="000000" w:themeColor="text1"/>
        </w:rPr>
        <w:t>decOccFrame</w:t>
      </w:r>
      <w:r w:rsidR="007033D6" w:rsidRPr="00A52AB8">
        <w:rPr>
          <w:color w:val="000000" w:themeColor="text1"/>
        </w:rPr>
        <w:t>s</w:t>
      </w:r>
      <w:r w:rsidR="00135DFA" w:rsidRPr="00A52AB8">
        <w:rPr>
          <w:color w:val="000000" w:themeColor="text1"/>
        </w:rPr>
        <w:t xml:space="preserve">NR, </w:t>
      </w:r>
      <w:r w:rsidR="00134549" w:rsidRPr="00A52AB8">
        <w:rPr>
          <w:color w:val="000000" w:themeColor="text1"/>
        </w:rPr>
        <w:t>DecOccOutOrdIdx</w:t>
      </w:r>
      <w:r w:rsidR="00330AA5" w:rsidRPr="00A52AB8">
        <w:rPr>
          <w:color w:val="000000" w:themeColor="text1"/>
        </w:rPr>
        <w:t xml:space="preserve">, </w:t>
      </w:r>
      <w:r w:rsidR="00F73C67" w:rsidRPr="00A52AB8">
        <w:rPr>
          <w:color w:val="000000" w:themeColor="text1"/>
        </w:rPr>
        <w:t>and D</w:t>
      </w:r>
      <w:r w:rsidR="00330AA5" w:rsidRPr="00A52AB8">
        <w:rPr>
          <w:color w:val="000000" w:themeColor="text1"/>
        </w:rPr>
        <w:t>ecOccCompTime</w:t>
      </w:r>
      <w:r w:rsidR="00473B2B" w:rsidRPr="00A52AB8">
        <w:rPr>
          <w:color w:val="000000" w:themeColor="text1"/>
        </w:rPr>
        <w:t xml:space="preserve"> as inputs</w:t>
      </w:r>
      <w:r w:rsidR="00330AA5" w:rsidRPr="00A52AB8">
        <w:rPr>
          <w:color w:val="000000" w:themeColor="text1"/>
        </w:rPr>
        <w:t xml:space="preserve">. The outputs of this process are the </w:t>
      </w:r>
      <w:r w:rsidR="00CA7F40" w:rsidRPr="00A52AB8">
        <w:rPr>
          <w:color w:val="000000" w:themeColor="text1"/>
        </w:rPr>
        <w:t>number of frames</w:t>
      </w:r>
      <w:r w:rsidR="00CF265D" w:rsidRPr="00A52AB8">
        <w:rPr>
          <w:color w:val="000000" w:themeColor="text1"/>
        </w:rPr>
        <w:t xml:space="preserve"> being output</w:t>
      </w:r>
      <w:r w:rsidR="00CA7F40" w:rsidRPr="00A52AB8">
        <w:rPr>
          <w:color w:val="000000" w:themeColor="text1"/>
        </w:rPr>
        <w:t xml:space="preserve">, numOutOrdOccFrames, the </w:t>
      </w:r>
      <w:r w:rsidR="00330AA5" w:rsidRPr="00A52AB8">
        <w:rPr>
          <w:color w:val="000000" w:themeColor="text1"/>
        </w:rPr>
        <w:t>decoded occupancy frame</w:t>
      </w:r>
      <w:r w:rsidR="00117B9D" w:rsidRPr="00A52AB8">
        <w:rPr>
          <w:color w:val="000000" w:themeColor="text1"/>
        </w:rPr>
        <w:t>s</w:t>
      </w:r>
      <w:r w:rsidR="00330AA5" w:rsidRPr="00A52AB8">
        <w:rPr>
          <w:color w:val="000000" w:themeColor="text1"/>
        </w:rPr>
        <w:t xml:space="preserve"> </w:t>
      </w:r>
      <w:r w:rsidR="00926C24" w:rsidRPr="00A52AB8">
        <w:rPr>
          <w:color w:val="000000" w:themeColor="text1"/>
        </w:rPr>
        <w:t>ordered according to the output order index</w:t>
      </w:r>
      <w:r w:rsidR="00330AA5" w:rsidRPr="00A52AB8">
        <w:rPr>
          <w:color w:val="000000" w:themeColor="text1"/>
        </w:rPr>
        <w:t xml:space="preserve">, </w:t>
      </w:r>
      <w:r w:rsidR="00CA7F40" w:rsidRPr="00A52AB8">
        <w:rPr>
          <w:color w:val="000000" w:themeColor="text1"/>
        </w:rPr>
        <w:t>d</w:t>
      </w:r>
      <w:r w:rsidR="00330AA5" w:rsidRPr="00A52AB8">
        <w:rPr>
          <w:color w:val="000000" w:themeColor="text1"/>
        </w:rPr>
        <w:t>ecOccFrame</w:t>
      </w:r>
      <w:r w:rsidR="007033D6" w:rsidRPr="00A52AB8">
        <w:rPr>
          <w:color w:val="000000" w:themeColor="text1"/>
        </w:rPr>
        <w:t>s</w:t>
      </w:r>
      <w:r w:rsidR="00117B9D" w:rsidRPr="00A52AB8">
        <w:rPr>
          <w:color w:val="000000" w:themeColor="text1"/>
        </w:rPr>
        <w:t>O</w:t>
      </w:r>
      <w:r w:rsidR="00734798" w:rsidRPr="00A52AB8">
        <w:rPr>
          <w:color w:val="000000" w:themeColor="text1"/>
        </w:rPr>
        <w:t>NF</w:t>
      </w:r>
      <w:r w:rsidR="00330AA5" w:rsidRPr="00A52AB8">
        <w:rPr>
          <w:color w:val="000000" w:themeColor="text1"/>
        </w:rPr>
        <w:t xml:space="preserve">, a </w:t>
      </w:r>
      <w:r w:rsidR="001211B4" w:rsidRPr="00A52AB8">
        <w:rPr>
          <w:color w:val="000000" w:themeColor="text1"/>
        </w:rPr>
        <w:t xml:space="preserve">1D array, framePresent, indicating </w:t>
      </w:r>
      <w:r w:rsidR="00330AA5" w:rsidRPr="00A52AB8">
        <w:rPr>
          <w:color w:val="000000" w:themeColor="text1"/>
        </w:rPr>
        <w:t xml:space="preserve">the presence of a frame, and </w:t>
      </w:r>
      <w:r w:rsidR="001211B4" w:rsidRPr="00A52AB8">
        <w:rPr>
          <w:color w:val="000000" w:themeColor="text1"/>
        </w:rPr>
        <w:t xml:space="preserve">a 1D array, decOccCompTimeONF, indicating </w:t>
      </w:r>
      <w:r w:rsidR="00330AA5" w:rsidRPr="00A52AB8">
        <w:rPr>
          <w:color w:val="000000" w:themeColor="text1"/>
        </w:rPr>
        <w:t>the composition time</w:t>
      </w:r>
      <w:r w:rsidR="001211B4" w:rsidRPr="00A52AB8">
        <w:rPr>
          <w:color w:val="000000" w:themeColor="text1"/>
        </w:rPr>
        <w:t xml:space="preserve"> of each frame ordered according to the </w:t>
      </w:r>
      <w:r w:rsidR="00330AA5" w:rsidRPr="00A52AB8">
        <w:rPr>
          <w:color w:val="000000" w:themeColor="text1"/>
        </w:rPr>
        <w:t>output order</w:t>
      </w:r>
      <w:r w:rsidR="001211B4" w:rsidRPr="00A52AB8">
        <w:rPr>
          <w:color w:val="000000" w:themeColor="text1"/>
        </w:rPr>
        <w:t xml:space="preserve"> index</w:t>
      </w:r>
      <w:r w:rsidR="00330AA5" w:rsidRPr="00A52AB8">
        <w:rPr>
          <w:color w:val="000000" w:themeColor="text1"/>
        </w:rPr>
        <w:t>.</w:t>
      </w:r>
    </w:p>
    <w:p w14:paraId="0B7C8973" w14:textId="04B85AAE" w:rsidR="00552A71" w:rsidRPr="00A52AB8" w:rsidRDefault="00D56F3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To align the composition times of the</w:t>
      </w:r>
      <w:r w:rsidR="00225BF0" w:rsidRPr="00A52AB8">
        <w:rPr>
          <w:color w:val="000000" w:themeColor="text1"/>
        </w:rPr>
        <w:t xml:space="preserve"> </w:t>
      </w:r>
      <w:r w:rsidRPr="00A52AB8">
        <w:rPr>
          <w:color w:val="000000" w:themeColor="text1"/>
        </w:rPr>
        <w:t xml:space="preserve">decoded </w:t>
      </w:r>
      <w:r w:rsidR="0003372C" w:rsidRPr="00A52AB8">
        <w:rPr>
          <w:color w:val="000000" w:themeColor="text1"/>
        </w:rPr>
        <w:t>occupancy</w:t>
      </w:r>
      <w:r w:rsidRPr="00A52AB8">
        <w:rPr>
          <w:color w:val="000000" w:themeColor="text1"/>
        </w:rPr>
        <w:t xml:space="preserve"> </w:t>
      </w:r>
      <w:r w:rsidR="002F1762" w:rsidRPr="00A52AB8">
        <w:rPr>
          <w:color w:val="000000" w:themeColor="text1"/>
        </w:rPr>
        <w:t xml:space="preserve">frames </w:t>
      </w:r>
      <w:r w:rsidR="00CA7F40" w:rsidRPr="00A52AB8">
        <w:rPr>
          <w:color w:val="000000" w:themeColor="text1"/>
        </w:rPr>
        <w:t xml:space="preserve">in output order </w:t>
      </w:r>
      <w:r w:rsidRPr="00A52AB8">
        <w:rPr>
          <w:color w:val="000000" w:themeColor="text1"/>
        </w:rPr>
        <w:t xml:space="preserve">and the decoded atlas frames, </w:t>
      </w:r>
      <w:r w:rsidR="00172633" w:rsidRPr="00A52AB8">
        <w:rPr>
          <w:color w:val="000000" w:themeColor="text1"/>
        </w:rPr>
        <w:t>subclause </w:t>
      </w:r>
      <w:r w:rsidRPr="00496A4D">
        <w:rPr>
          <w:color w:val="000000" w:themeColor="text1"/>
        </w:rPr>
        <w:fldChar w:fldCharType="begin"/>
      </w:r>
      <w:r w:rsidRPr="00A52AB8">
        <w:rPr>
          <w:color w:val="000000" w:themeColor="text1"/>
        </w:rPr>
        <w:instrText xml:space="preserve"> REF _Ref41282304 \r \h </w:instrText>
      </w:r>
      <w:r w:rsidR="00CA5401"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B.3.4.2</w:t>
      </w:r>
      <w:r w:rsidRPr="00496A4D">
        <w:rPr>
          <w:color w:val="000000" w:themeColor="text1"/>
        </w:rPr>
        <w:fldChar w:fldCharType="end"/>
      </w:r>
      <w:r w:rsidRPr="00A52AB8">
        <w:rPr>
          <w:color w:val="000000" w:themeColor="text1"/>
        </w:rPr>
        <w:t xml:space="preserve"> is </w:t>
      </w:r>
      <w:r w:rsidR="002D133A" w:rsidRPr="00A52AB8">
        <w:rPr>
          <w:color w:val="000000" w:themeColor="text1"/>
        </w:rPr>
        <w:t>invoked</w:t>
      </w:r>
      <w:r w:rsidRPr="00A52AB8">
        <w:rPr>
          <w:color w:val="000000" w:themeColor="text1"/>
        </w:rPr>
        <w:t xml:space="preserve"> with </w:t>
      </w:r>
      <w:r w:rsidR="00473B2B" w:rsidRPr="00A52AB8">
        <w:rPr>
          <w:color w:val="000000" w:themeColor="text1"/>
        </w:rPr>
        <w:t xml:space="preserve">variables </w:t>
      </w:r>
      <w:r w:rsidR="00C30A51" w:rsidRPr="00A52AB8">
        <w:rPr>
          <w:color w:val="000000" w:themeColor="text1"/>
        </w:rPr>
        <w:t>NumDecAtlasFrames</w:t>
      </w:r>
      <w:r w:rsidR="00CA7F40" w:rsidRPr="00A52AB8">
        <w:rPr>
          <w:color w:val="000000" w:themeColor="text1"/>
        </w:rPr>
        <w:t>, numOutOrdOccFrames</w:t>
      </w:r>
      <w:r w:rsidR="00686AF9" w:rsidRPr="00A52AB8">
        <w:rPr>
          <w:color w:val="000000" w:themeColor="text1"/>
        </w:rPr>
        <w:t xml:space="preserve">, </w:t>
      </w:r>
      <w:r w:rsidR="009D5D40" w:rsidRPr="00A52AB8">
        <w:rPr>
          <w:color w:val="000000" w:themeColor="text1"/>
        </w:rPr>
        <w:t>o</w:t>
      </w:r>
      <w:r w:rsidR="00CA7F40" w:rsidRPr="00A52AB8">
        <w:rPr>
          <w:color w:val="000000" w:themeColor="text1"/>
        </w:rPr>
        <w:t>cc</w:t>
      </w:r>
      <w:r w:rsidR="009D5D40" w:rsidRPr="00A52AB8">
        <w:rPr>
          <w:color w:val="000000" w:themeColor="text1"/>
        </w:rPr>
        <w:t>Num</w:t>
      </w:r>
      <w:r w:rsidR="00CA7F40" w:rsidRPr="00A52AB8">
        <w:rPr>
          <w:color w:val="000000" w:themeColor="text1"/>
        </w:rPr>
        <w:t xml:space="preserve">Comp, </w:t>
      </w:r>
      <w:r w:rsidR="006757F8" w:rsidRPr="00A52AB8">
        <w:rPr>
          <w:color w:val="000000" w:themeColor="text1"/>
        </w:rPr>
        <w:t>V</w:t>
      </w:r>
      <w:r w:rsidR="00CA7F40" w:rsidRPr="00A52AB8">
        <w:rPr>
          <w:color w:val="000000" w:themeColor="text1"/>
        </w:rPr>
        <w:t xml:space="preserve">ideoHeightNF, </w:t>
      </w:r>
      <w:r w:rsidR="00473B2B" w:rsidRPr="00A52AB8">
        <w:rPr>
          <w:color w:val="000000" w:themeColor="text1"/>
        </w:rPr>
        <w:t xml:space="preserve">and </w:t>
      </w:r>
      <w:r w:rsidR="006757F8" w:rsidRPr="00A52AB8">
        <w:rPr>
          <w:color w:val="000000" w:themeColor="text1"/>
        </w:rPr>
        <w:t>V</w:t>
      </w:r>
      <w:r w:rsidR="00CA7F40" w:rsidRPr="00A52AB8">
        <w:rPr>
          <w:color w:val="000000" w:themeColor="text1"/>
        </w:rPr>
        <w:t xml:space="preserve">ideoWidthNF, </w:t>
      </w:r>
      <w:r w:rsidR="00473B2B" w:rsidRPr="00A52AB8">
        <w:rPr>
          <w:color w:val="000000" w:themeColor="text1"/>
        </w:rPr>
        <w:t xml:space="preserve">and arrays DecAtlasOutOrdIdx, DecAtlasCompTime, </w:t>
      </w:r>
      <w:r w:rsidR="006757F8" w:rsidRPr="00A52AB8">
        <w:rPr>
          <w:color w:val="000000" w:themeColor="text1"/>
        </w:rPr>
        <w:t>decOccFrame</w:t>
      </w:r>
      <w:r w:rsidR="007033D6" w:rsidRPr="00A52AB8">
        <w:rPr>
          <w:color w:val="000000" w:themeColor="text1"/>
        </w:rPr>
        <w:t>s</w:t>
      </w:r>
      <w:r w:rsidR="006757F8" w:rsidRPr="00A52AB8">
        <w:rPr>
          <w:color w:val="000000" w:themeColor="text1"/>
        </w:rPr>
        <w:t xml:space="preserve">ONF, </w:t>
      </w:r>
      <w:r w:rsidR="00CA7F40" w:rsidRPr="00A52AB8">
        <w:rPr>
          <w:color w:val="000000" w:themeColor="text1"/>
        </w:rPr>
        <w:t>decOccCompTimeONF</w:t>
      </w:r>
      <w:r w:rsidRPr="00A52AB8">
        <w:rPr>
          <w:color w:val="000000" w:themeColor="text1"/>
        </w:rPr>
        <w:t>,</w:t>
      </w:r>
      <w:r w:rsidR="00686AF9" w:rsidRPr="00A52AB8">
        <w:rPr>
          <w:color w:val="000000" w:themeColor="text1"/>
        </w:rPr>
        <w:t xml:space="preserve"> </w:t>
      </w:r>
      <w:r w:rsidR="00CA7F40" w:rsidRPr="00A52AB8">
        <w:rPr>
          <w:color w:val="000000" w:themeColor="text1"/>
        </w:rPr>
        <w:t>and f</w:t>
      </w:r>
      <w:r w:rsidR="00686AF9" w:rsidRPr="00A52AB8">
        <w:rPr>
          <w:color w:val="000000" w:themeColor="text1"/>
        </w:rPr>
        <w:t>ramePresent</w:t>
      </w:r>
      <w:r w:rsidR="00473B2B" w:rsidRPr="00A52AB8">
        <w:rPr>
          <w:color w:val="000000" w:themeColor="text1"/>
        </w:rPr>
        <w:t xml:space="preserve"> as inputs</w:t>
      </w:r>
      <w:r w:rsidRPr="00A52AB8">
        <w:rPr>
          <w:color w:val="000000" w:themeColor="text1"/>
        </w:rPr>
        <w:t>.</w:t>
      </w:r>
      <w:r w:rsidR="002D133A" w:rsidRPr="00A52AB8">
        <w:rPr>
          <w:color w:val="000000" w:themeColor="text1"/>
        </w:rPr>
        <w:t xml:space="preserve"> </w:t>
      </w:r>
      <w:r w:rsidR="00ED5A10" w:rsidRPr="00A52AB8">
        <w:rPr>
          <w:color w:val="000000" w:themeColor="text1"/>
        </w:rPr>
        <w:t>The output</w:t>
      </w:r>
      <w:r w:rsidR="00FB0C88" w:rsidRPr="00A52AB8">
        <w:rPr>
          <w:color w:val="000000" w:themeColor="text1"/>
        </w:rPr>
        <w:t>s</w:t>
      </w:r>
      <w:r w:rsidR="00ED5A10" w:rsidRPr="00A52AB8">
        <w:rPr>
          <w:color w:val="000000" w:themeColor="text1"/>
        </w:rPr>
        <w:t xml:space="preserve"> of this process </w:t>
      </w:r>
      <w:r w:rsidR="00FB0C88" w:rsidRPr="00A52AB8">
        <w:rPr>
          <w:color w:val="000000" w:themeColor="text1"/>
        </w:rPr>
        <w:t>are the number of frames</w:t>
      </w:r>
      <w:r w:rsidR="00CF265D" w:rsidRPr="00A52AB8">
        <w:rPr>
          <w:color w:val="000000" w:themeColor="text1"/>
        </w:rPr>
        <w:t xml:space="preserve"> being output</w:t>
      </w:r>
      <w:r w:rsidR="00FB0C88" w:rsidRPr="00A52AB8">
        <w:rPr>
          <w:color w:val="000000" w:themeColor="text1"/>
        </w:rPr>
        <w:t>, rangeCompTimeI</w:t>
      </w:r>
      <w:r w:rsidR="00C30A51" w:rsidRPr="00A52AB8">
        <w:rPr>
          <w:color w:val="000000" w:themeColor="text1"/>
        </w:rPr>
        <w:t>d</w:t>
      </w:r>
      <w:r w:rsidR="00FB0C88" w:rsidRPr="00A52AB8">
        <w:rPr>
          <w:color w:val="000000" w:themeColor="text1"/>
        </w:rPr>
        <w:t>x, the output composition time</w:t>
      </w:r>
      <w:r w:rsidR="0007070E" w:rsidRPr="00A52AB8">
        <w:rPr>
          <w:color w:val="000000" w:themeColor="text1"/>
        </w:rPr>
        <w:t xml:space="preserve"> of each frame</w:t>
      </w:r>
      <w:r w:rsidR="00FB0C88" w:rsidRPr="00A52AB8">
        <w:rPr>
          <w:color w:val="000000" w:themeColor="text1"/>
        </w:rPr>
        <w:t xml:space="preserve">, occCompTime, and </w:t>
      </w:r>
      <w:r w:rsidR="00ED5A10" w:rsidRPr="00A52AB8">
        <w:rPr>
          <w:color w:val="000000" w:themeColor="text1"/>
        </w:rPr>
        <w:t>a sequence of frames</w:t>
      </w:r>
      <w:r w:rsidR="00686AF9" w:rsidRPr="00A52AB8">
        <w:rPr>
          <w:color w:val="000000" w:themeColor="text1"/>
        </w:rPr>
        <w:t xml:space="preserve"> in the nominal format</w:t>
      </w:r>
      <w:r w:rsidR="00FB0C88" w:rsidRPr="00A52AB8">
        <w:rPr>
          <w:color w:val="000000" w:themeColor="text1"/>
        </w:rPr>
        <w:t xml:space="preserve"> aligned with the decoded atlas composition time</w:t>
      </w:r>
      <w:r w:rsidR="00ED5A10" w:rsidRPr="00A52AB8">
        <w:rPr>
          <w:color w:val="000000" w:themeColor="text1"/>
        </w:rPr>
        <w:t xml:space="preserve">, </w:t>
      </w:r>
      <w:r w:rsidR="00A41E21" w:rsidRPr="00A52AB8">
        <w:rPr>
          <w:color w:val="000000" w:themeColor="text1"/>
        </w:rPr>
        <w:t>O</w:t>
      </w:r>
      <w:r w:rsidR="00ED5A10" w:rsidRPr="00A52AB8">
        <w:rPr>
          <w:color w:val="000000" w:themeColor="text1"/>
        </w:rPr>
        <w:t>ccFrame</w:t>
      </w:r>
      <w:r w:rsidR="00153EEE" w:rsidRPr="00A52AB8">
        <w:rPr>
          <w:color w:val="000000" w:themeColor="text1"/>
        </w:rPr>
        <w:t>s</w:t>
      </w:r>
      <w:r w:rsidR="00ED5A10" w:rsidRPr="00A52AB8">
        <w:rPr>
          <w:color w:val="000000" w:themeColor="text1"/>
        </w:rPr>
        <w:t>N</w:t>
      </w:r>
      <w:r w:rsidR="007219B7" w:rsidRPr="00A52AB8">
        <w:rPr>
          <w:color w:val="000000" w:themeColor="text1"/>
        </w:rPr>
        <w:t>F</w:t>
      </w:r>
      <w:r w:rsidR="00ED5A10" w:rsidRPr="00A52AB8">
        <w:rPr>
          <w:color w:val="000000" w:themeColor="text1"/>
        </w:rPr>
        <w:t>.</w:t>
      </w:r>
    </w:p>
    <w:p w14:paraId="2AD1279A" w14:textId="2D8A185B" w:rsidR="00225BF0" w:rsidRPr="00A52AB8" w:rsidRDefault="007219B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If asps_eom_patch_enabled_flag is equal to 0, to convert the</w:t>
      </w:r>
      <w:r w:rsidR="006757F8" w:rsidRPr="00A52AB8">
        <w:rPr>
          <w:color w:val="000000" w:themeColor="text1"/>
        </w:rPr>
        <w:t xml:space="preserve"> sample values in</w:t>
      </w:r>
      <w:r w:rsidRPr="00A52AB8">
        <w:rPr>
          <w:color w:val="000000" w:themeColor="text1"/>
        </w:rPr>
        <w:t xml:space="preserve"> </w:t>
      </w:r>
      <w:r w:rsidR="00974DA4" w:rsidRPr="00A52AB8">
        <w:rPr>
          <w:color w:val="000000" w:themeColor="text1"/>
        </w:rPr>
        <w:t xml:space="preserve">the </w:t>
      </w:r>
      <w:r w:rsidRPr="00A52AB8">
        <w:rPr>
          <w:color w:val="000000" w:themeColor="text1"/>
        </w:rPr>
        <w:t>decoded occupancy frames to binary values,</w:t>
      </w:r>
      <w:r w:rsidRPr="00A52AB8" w:rsidDel="007219B7">
        <w:rPr>
          <w:color w:val="000000" w:themeColor="text1"/>
        </w:rPr>
        <w:t xml:space="preserve"> </w:t>
      </w:r>
      <w:r w:rsidR="00172633" w:rsidRPr="00A52AB8">
        <w:rPr>
          <w:color w:val="000000" w:themeColor="text1"/>
        </w:rPr>
        <w:t>subclause </w:t>
      </w:r>
      <w:r w:rsidR="00225BF0" w:rsidRPr="00496A4D">
        <w:rPr>
          <w:color w:val="000000" w:themeColor="text1"/>
        </w:rPr>
        <w:fldChar w:fldCharType="begin"/>
      </w:r>
      <w:r w:rsidR="00225BF0" w:rsidRPr="00A52AB8">
        <w:rPr>
          <w:color w:val="000000" w:themeColor="text1"/>
        </w:rPr>
        <w:instrText xml:space="preserve"> REF _Ref41553452 \r \h  \* MERGEFORMAT </w:instrText>
      </w:r>
      <w:r w:rsidR="00225BF0" w:rsidRPr="00496A4D">
        <w:rPr>
          <w:color w:val="000000" w:themeColor="text1"/>
        </w:rPr>
      </w:r>
      <w:r w:rsidR="00225BF0" w:rsidRPr="00496A4D">
        <w:rPr>
          <w:color w:val="000000" w:themeColor="text1"/>
        </w:rPr>
        <w:fldChar w:fldCharType="separate"/>
      </w:r>
      <w:r w:rsidR="00507A67">
        <w:rPr>
          <w:color w:val="000000" w:themeColor="text1"/>
        </w:rPr>
        <w:t>B.3.9</w:t>
      </w:r>
      <w:r w:rsidR="00225BF0" w:rsidRPr="00496A4D">
        <w:rPr>
          <w:color w:val="000000" w:themeColor="text1"/>
        </w:rPr>
        <w:fldChar w:fldCharType="end"/>
      </w:r>
      <w:r w:rsidR="00225BF0" w:rsidRPr="00A52AB8">
        <w:rPr>
          <w:color w:val="000000" w:themeColor="text1"/>
        </w:rPr>
        <w:t xml:space="preserve"> is invoked for each</w:t>
      </w:r>
      <w:r w:rsidR="00122992" w:rsidRPr="00A52AB8">
        <w:rPr>
          <w:color w:val="000000" w:themeColor="text1"/>
        </w:rPr>
        <w:t xml:space="preserve"> frame index frameIdx, </w:t>
      </w:r>
      <w:r w:rsidR="00473B2B" w:rsidRPr="00A52AB8">
        <w:rPr>
          <w:color w:val="000000" w:themeColor="text1"/>
        </w:rPr>
        <w:t xml:space="preserve">with variables </w:t>
      </w:r>
      <w:r w:rsidR="00142DAC" w:rsidRPr="00A52AB8">
        <w:rPr>
          <w:color w:val="000000" w:themeColor="text1"/>
        </w:rPr>
        <w:t xml:space="preserve">occThreshold, </w:t>
      </w:r>
      <w:r w:rsidR="006757F8" w:rsidRPr="00A52AB8">
        <w:rPr>
          <w:color w:val="000000" w:themeColor="text1"/>
        </w:rPr>
        <w:t>O</w:t>
      </w:r>
      <w:r w:rsidRPr="00A52AB8">
        <w:rPr>
          <w:color w:val="000000" w:themeColor="text1"/>
        </w:rPr>
        <w:t>ccBitDepthN</w:t>
      </w:r>
      <w:r w:rsidR="00734798" w:rsidRPr="00A52AB8">
        <w:rPr>
          <w:color w:val="000000" w:themeColor="text1"/>
        </w:rPr>
        <w:t>F</w:t>
      </w:r>
      <w:r w:rsidR="00225BF0" w:rsidRPr="00A52AB8">
        <w:rPr>
          <w:color w:val="000000" w:themeColor="text1"/>
        </w:rPr>
        <w:t xml:space="preserve">, </w:t>
      </w:r>
      <w:r w:rsidR="006757F8" w:rsidRPr="00A52AB8">
        <w:rPr>
          <w:color w:val="000000" w:themeColor="text1"/>
        </w:rPr>
        <w:t xml:space="preserve">VideoHeightNF, </w:t>
      </w:r>
      <w:r w:rsidR="00473B2B" w:rsidRPr="00A52AB8">
        <w:rPr>
          <w:color w:val="000000" w:themeColor="text1"/>
        </w:rPr>
        <w:t xml:space="preserve">and </w:t>
      </w:r>
      <w:r w:rsidR="006757F8" w:rsidRPr="00A52AB8">
        <w:rPr>
          <w:color w:val="000000" w:themeColor="text1"/>
        </w:rPr>
        <w:t>V</w:t>
      </w:r>
      <w:r w:rsidRPr="00A52AB8">
        <w:rPr>
          <w:color w:val="000000" w:themeColor="text1"/>
        </w:rPr>
        <w:t>ideoWidthN</w:t>
      </w:r>
      <w:r w:rsidR="00734798" w:rsidRPr="00A52AB8">
        <w:rPr>
          <w:color w:val="000000" w:themeColor="text1"/>
        </w:rPr>
        <w:t>F</w:t>
      </w:r>
      <w:r w:rsidRPr="00A52AB8">
        <w:rPr>
          <w:color w:val="000000" w:themeColor="text1"/>
        </w:rPr>
        <w:t xml:space="preserve">, </w:t>
      </w:r>
      <w:r w:rsidR="006757F8" w:rsidRPr="00A52AB8">
        <w:rPr>
          <w:color w:val="000000" w:themeColor="text1"/>
        </w:rPr>
        <w:t xml:space="preserve">and </w:t>
      </w:r>
      <w:r w:rsidR="00473B2B" w:rsidRPr="00A52AB8">
        <w:rPr>
          <w:color w:val="000000" w:themeColor="text1"/>
        </w:rPr>
        <w:t xml:space="preserve">array </w:t>
      </w:r>
      <w:r w:rsidR="00142DAC" w:rsidRPr="00A52AB8">
        <w:rPr>
          <w:color w:val="000000" w:themeColor="text1"/>
        </w:rPr>
        <w:t>OccFramesNF</w:t>
      </w:r>
      <w:r w:rsidR="00122992" w:rsidRPr="00A52AB8">
        <w:rPr>
          <w:color w:val="000000" w:themeColor="text1"/>
        </w:rPr>
        <w:t>[ frameIdx ][ 0 ]</w:t>
      </w:r>
      <w:r w:rsidR="00142DAC" w:rsidRPr="00A52AB8" w:rsidDel="006757F8">
        <w:rPr>
          <w:color w:val="000000" w:themeColor="text1"/>
        </w:rPr>
        <w:t xml:space="preserve"> </w:t>
      </w:r>
      <w:r w:rsidR="00225BF0" w:rsidRPr="00A52AB8">
        <w:rPr>
          <w:color w:val="000000" w:themeColor="text1"/>
        </w:rPr>
        <w:t>as input</w:t>
      </w:r>
      <w:r w:rsidR="00473B2B" w:rsidRPr="00A52AB8">
        <w:rPr>
          <w:color w:val="000000" w:themeColor="text1"/>
        </w:rPr>
        <w:t>s</w:t>
      </w:r>
      <w:r w:rsidR="00225BF0" w:rsidRPr="00A52AB8">
        <w:rPr>
          <w:color w:val="000000" w:themeColor="text1"/>
        </w:rPr>
        <w:t xml:space="preserve">. The output of this process is the </w:t>
      </w:r>
      <w:r w:rsidRPr="00A52AB8">
        <w:rPr>
          <w:color w:val="000000" w:themeColor="text1"/>
        </w:rPr>
        <w:t>updated occupancy</w:t>
      </w:r>
      <w:r w:rsidR="00225BF0" w:rsidRPr="00A52AB8">
        <w:rPr>
          <w:color w:val="000000" w:themeColor="text1"/>
        </w:rPr>
        <w:t xml:space="preserve"> frame,</w:t>
      </w:r>
      <w:r w:rsidRPr="00A52AB8">
        <w:rPr>
          <w:color w:val="000000" w:themeColor="text1"/>
        </w:rPr>
        <w:t xml:space="preserve"> </w:t>
      </w:r>
      <w:r w:rsidR="00A41E21" w:rsidRPr="00A52AB8">
        <w:rPr>
          <w:color w:val="000000" w:themeColor="text1"/>
        </w:rPr>
        <w:t>O</w:t>
      </w:r>
      <w:r w:rsidR="00225BF0" w:rsidRPr="00A52AB8">
        <w:rPr>
          <w:color w:val="000000" w:themeColor="text1"/>
        </w:rPr>
        <w:t>ccFrame</w:t>
      </w:r>
      <w:r w:rsidR="00153EEE" w:rsidRPr="00A52AB8">
        <w:rPr>
          <w:color w:val="000000" w:themeColor="text1"/>
        </w:rPr>
        <w:t>s</w:t>
      </w:r>
      <w:r w:rsidRPr="00A52AB8">
        <w:rPr>
          <w:color w:val="000000" w:themeColor="text1"/>
        </w:rPr>
        <w:t>NF</w:t>
      </w:r>
      <w:r w:rsidR="00122992" w:rsidRPr="00A52AB8">
        <w:rPr>
          <w:color w:val="000000" w:themeColor="text1"/>
        </w:rPr>
        <w:t>[ frameIdx ][ 0 ]</w:t>
      </w:r>
      <w:r w:rsidR="00225BF0" w:rsidRPr="00A52AB8">
        <w:rPr>
          <w:color w:val="000000" w:themeColor="text1"/>
        </w:rPr>
        <w:t>, containing binary values only.</w:t>
      </w:r>
    </w:p>
    <w:p w14:paraId="4C4FC1F8" w14:textId="7AF45FEB" w:rsidR="00225BF0" w:rsidRPr="00A52AB8" w:rsidRDefault="00225BF0" w:rsidP="00E860C4">
      <w:pPr>
        <w:pStyle w:val="Note1"/>
        <w:rPr>
          <w:rFonts w:ascii="Cambria" w:hAnsi="Cambria"/>
        </w:rPr>
      </w:pPr>
      <w:r w:rsidRPr="00A52AB8">
        <w:rPr>
          <w:rFonts w:ascii="Cambria" w:hAnsi="Cambria"/>
        </w:rPr>
        <w:t>NOTE </w:t>
      </w:r>
      <w:r w:rsidRPr="00496A4D">
        <w:rPr>
          <w:rFonts w:ascii="Cambria" w:hAnsi="Cambria"/>
        </w:rPr>
        <w:fldChar w:fldCharType="begin"/>
      </w:r>
      <w:r w:rsidRPr="00A52AB8">
        <w:rPr>
          <w:rFonts w:ascii="Cambria" w:hAnsi="Cambria"/>
        </w:rPr>
        <w:instrText xml:space="preserve"> SEQ NoteCounter \s 9 \* MERGEFORMAT </w:instrText>
      </w:r>
      <w:r w:rsidRPr="00496A4D">
        <w:rPr>
          <w:rFonts w:ascii="Cambria" w:hAnsi="Cambria"/>
        </w:rPr>
        <w:fldChar w:fldCharType="separate"/>
      </w:r>
      <w:r w:rsidR="00507A67">
        <w:rPr>
          <w:rFonts w:ascii="Cambria" w:hAnsi="Cambria"/>
          <w:noProof/>
        </w:rPr>
        <w:t>1</w:t>
      </w:r>
      <w:r w:rsidRPr="00496A4D">
        <w:rPr>
          <w:rFonts w:ascii="Cambria" w:hAnsi="Cambria"/>
        </w:rPr>
        <w:fldChar w:fldCharType="end"/>
      </w:r>
      <w:r w:rsidRPr="00A52AB8">
        <w:rPr>
          <w:rFonts w:ascii="Cambria" w:hAnsi="Cambria"/>
        </w:rPr>
        <w:t xml:space="preserve"> – In an alternative implementation, a decoder may perform the thresholding process </w:t>
      </w:r>
      <w:r w:rsidR="007219B7" w:rsidRPr="00A52AB8">
        <w:rPr>
          <w:rFonts w:ascii="Cambria" w:hAnsi="Cambria"/>
        </w:rPr>
        <w:t>before</w:t>
      </w:r>
      <w:r w:rsidRPr="00A52AB8">
        <w:rPr>
          <w:rFonts w:ascii="Cambria" w:hAnsi="Cambria"/>
        </w:rPr>
        <w:t xml:space="preserve"> the occupancy was upscaled to the nominal resolution.</w:t>
      </w:r>
    </w:p>
    <w:p w14:paraId="43B1C915" w14:textId="7958161B" w:rsidR="00552A71" w:rsidRPr="00A52AB8" w:rsidRDefault="00552A71">
      <w:pPr>
        <w:rPr>
          <w:lang w:eastAsia="ja-JP"/>
        </w:rPr>
      </w:pPr>
      <w:r w:rsidRPr="00A52AB8">
        <w:rPr>
          <w:color w:val="000000" w:themeColor="text1"/>
        </w:rPr>
        <w:t xml:space="preserve">Given </w:t>
      </w:r>
      <w:r w:rsidR="00A41E21" w:rsidRPr="00A52AB8">
        <w:rPr>
          <w:color w:val="000000" w:themeColor="text1"/>
        </w:rPr>
        <w:t>O</w:t>
      </w:r>
      <w:r w:rsidRPr="00A52AB8">
        <w:rPr>
          <w:color w:val="000000" w:themeColor="text1"/>
        </w:rPr>
        <w:t>ccFrame</w:t>
      </w:r>
      <w:r w:rsidR="00153EEE" w:rsidRPr="00A52AB8">
        <w:rPr>
          <w:color w:val="000000" w:themeColor="text1"/>
        </w:rPr>
        <w:t>s</w:t>
      </w:r>
      <w:r w:rsidRPr="00A52AB8">
        <w:rPr>
          <w:color w:val="000000" w:themeColor="text1"/>
        </w:rPr>
        <w:t>N</w:t>
      </w:r>
      <w:r w:rsidR="00225BF0" w:rsidRPr="00A52AB8">
        <w:rPr>
          <w:color w:val="000000" w:themeColor="text1"/>
        </w:rPr>
        <w:t>F</w:t>
      </w:r>
      <w:r w:rsidRPr="00A52AB8">
        <w:rPr>
          <w:color w:val="000000" w:themeColor="text1"/>
        </w:rPr>
        <w:t xml:space="preserve">, the variable </w:t>
      </w:r>
      <w:r w:rsidR="006B764B" w:rsidRPr="00A52AB8">
        <w:rPr>
          <w:lang w:eastAsia="ja-JP"/>
        </w:rPr>
        <w:t>NumProj</w:t>
      </w:r>
      <w:r w:rsidRPr="00A52AB8">
        <w:rPr>
          <w:lang w:eastAsia="ja-JP"/>
        </w:rPr>
        <w:t>Points is derived as follows:</w:t>
      </w:r>
    </w:p>
    <w:p w14:paraId="167C0F56" w14:textId="620139B2" w:rsidR="00552A71" w:rsidRPr="00A52AB8" w:rsidRDefault="00920800" w:rsidP="00E860C4">
      <w:pPr>
        <w:rPr>
          <w:color w:val="000000" w:themeColor="text1"/>
        </w:rPr>
      </w:pPr>
      <w:r w:rsidRPr="00A52AB8">
        <w:rPr>
          <w:lang w:eastAsia="ja-JP"/>
        </w:rPr>
        <w:tab/>
      </w:r>
      <w:r w:rsidR="006B764B" w:rsidRPr="00A52AB8">
        <w:rPr>
          <w:lang w:eastAsia="ja-JP"/>
        </w:rPr>
        <w:t>NumProj</w:t>
      </w:r>
      <w:r w:rsidR="00552A71" w:rsidRPr="00A52AB8">
        <w:rPr>
          <w:lang w:eastAsia="ja-JP"/>
        </w:rPr>
        <w:t>Points</w:t>
      </w:r>
      <w:r w:rsidR="00D47707" w:rsidRPr="00A52AB8">
        <w:rPr>
          <w:lang w:eastAsia="ja-JP"/>
        </w:rPr>
        <w:t> = </w:t>
      </w:r>
      <w:r w:rsidR="00552A71" w:rsidRPr="00A52AB8">
        <w:rPr>
          <w:lang w:eastAsia="ja-JP"/>
        </w:rPr>
        <w:t>0</w:t>
      </w:r>
      <w:r w:rsidR="00552A71" w:rsidRPr="00A52AB8">
        <w:rPr>
          <w:lang w:eastAsia="ja-JP"/>
        </w:rPr>
        <w:br/>
      </w:r>
      <w:r w:rsidR="00552A71" w:rsidRPr="00A52AB8">
        <w:rPr>
          <w:lang w:eastAsia="ja-JP"/>
        </w:rPr>
        <w:tab/>
        <w:t>for ( y</w:t>
      </w:r>
      <w:r w:rsidR="00D47707" w:rsidRPr="00A52AB8">
        <w:rPr>
          <w:lang w:eastAsia="ja-JP"/>
        </w:rPr>
        <w:t> = </w:t>
      </w:r>
      <w:r w:rsidR="00552A71" w:rsidRPr="00A52AB8">
        <w:rPr>
          <w:lang w:eastAsia="ja-JP"/>
        </w:rPr>
        <w:t>0; y &lt; asps_frame_height; y</w:t>
      </w:r>
      <w:r w:rsidR="00006CCF" w:rsidRPr="00A52AB8">
        <w:rPr>
          <w:lang w:eastAsia="ja-JP"/>
        </w:rPr>
        <w:t>++ )</w:t>
      </w:r>
      <w:r w:rsidR="00552A71" w:rsidRPr="00A52AB8">
        <w:rPr>
          <w:lang w:eastAsia="ja-JP"/>
        </w:rPr>
        <w:br/>
      </w:r>
      <w:r w:rsidR="00552A71" w:rsidRPr="00A52AB8">
        <w:rPr>
          <w:lang w:eastAsia="ja-JP"/>
        </w:rPr>
        <w:tab/>
      </w:r>
      <w:r w:rsidR="00552A71" w:rsidRPr="00A52AB8">
        <w:rPr>
          <w:lang w:eastAsia="ja-JP"/>
        </w:rPr>
        <w:tab/>
        <w:t>for( x</w:t>
      </w:r>
      <w:r w:rsidR="00D47707" w:rsidRPr="00A52AB8">
        <w:rPr>
          <w:lang w:eastAsia="ja-JP"/>
        </w:rPr>
        <w:t> = </w:t>
      </w:r>
      <w:r w:rsidR="00552A71" w:rsidRPr="00A52AB8">
        <w:rPr>
          <w:lang w:eastAsia="ja-JP"/>
        </w:rPr>
        <w:t>0; x &lt; asps_frame_width; x</w:t>
      </w:r>
      <w:r w:rsidR="00006CCF" w:rsidRPr="00A52AB8">
        <w:rPr>
          <w:lang w:eastAsia="ja-JP"/>
        </w:rPr>
        <w:t>++ )</w:t>
      </w:r>
      <w:r w:rsidR="00552A71" w:rsidRPr="00A52AB8">
        <w:rPr>
          <w:lang w:eastAsia="ja-JP"/>
        </w:rPr>
        <w:br/>
      </w:r>
      <w:r w:rsidR="00552A71" w:rsidRPr="00A52AB8">
        <w:rPr>
          <w:lang w:eastAsia="ja-JP"/>
        </w:rPr>
        <w:tab/>
      </w:r>
      <w:r w:rsidR="00552A71" w:rsidRPr="00A52AB8">
        <w:rPr>
          <w:lang w:eastAsia="ja-JP"/>
        </w:rPr>
        <w:tab/>
      </w:r>
      <w:r w:rsidR="00552A71" w:rsidRPr="00A52AB8">
        <w:rPr>
          <w:lang w:eastAsia="ja-JP"/>
        </w:rPr>
        <w:tab/>
        <w:t>if( </w:t>
      </w:r>
      <w:r w:rsidR="00FB0C88" w:rsidRPr="00A52AB8">
        <w:rPr>
          <w:lang w:eastAsia="ja-JP"/>
        </w:rPr>
        <w:t>O</w:t>
      </w:r>
      <w:r w:rsidR="00552A71" w:rsidRPr="00A52AB8">
        <w:rPr>
          <w:lang w:eastAsia="ja-JP"/>
        </w:rPr>
        <w:t>ccFrame</w:t>
      </w:r>
      <w:r w:rsidR="00153EEE" w:rsidRPr="00A52AB8">
        <w:rPr>
          <w:lang w:eastAsia="ja-JP"/>
        </w:rPr>
        <w:t>s</w:t>
      </w:r>
      <w:r w:rsidR="00552A71" w:rsidRPr="00A52AB8">
        <w:rPr>
          <w:lang w:eastAsia="ja-JP"/>
        </w:rPr>
        <w:t>N</w:t>
      </w:r>
      <w:r w:rsidR="00225BF0" w:rsidRPr="00A52AB8">
        <w:rPr>
          <w:lang w:eastAsia="ja-JP"/>
        </w:rPr>
        <w:t>F</w:t>
      </w:r>
      <w:r w:rsidR="00552A71" w:rsidRPr="00A52AB8">
        <w:rPr>
          <w:lang w:eastAsia="ja-JP"/>
        </w:rPr>
        <w:t>[ compTimeIdx ][ 0 ]</w:t>
      </w:r>
      <w:r w:rsidR="004B7314" w:rsidRPr="00A52AB8">
        <w:rPr>
          <w:lang w:eastAsia="ja-JP"/>
        </w:rPr>
        <w:t>[ y ][ x ]</w:t>
      </w:r>
      <w:r w:rsidR="00552A71" w:rsidRPr="00A52AB8">
        <w:rPr>
          <w:lang w:eastAsia="ja-JP"/>
        </w:rPr>
        <w:t> </w:t>
      </w:r>
      <w:r w:rsidR="00E963F3" w:rsidRPr="00A52AB8">
        <w:rPr>
          <w:lang w:eastAsia="ja-JP"/>
        </w:rPr>
        <w:t>!=</w:t>
      </w:r>
      <w:r w:rsidR="00D47707" w:rsidRPr="00A52AB8">
        <w:rPr>
          <w:lang w:eastAsia="ja-JP"/>
        </w:rPr>
        <w:t> </w:t>
      </w:r>
      <w:r w:rsidR="00552A71" w:rsidRPr="00A52AB8">
        <w:rPr>
          <w:lang w:eastAsia="ja-JP"/>
        </w:rPr>
        <w:t>0 )</w:t>
      </w:r>
      <w:r w:rsidR="00552A71" w:rsidRPr="00A52AB8">
        <w:rPr>
          <w:lang w:eastAsia="ja-JP"/>
        </w:rPr>
        <w:br/>
      </w:r>
      <w:r w:rsidR="00552A71" w:rsidRPr="00A52AB8">
        <w:rPr>
          <w:lang w:eastAsia="ja-JP"/>
        </w:rPr>
        <w:tab/>
      </w:r>
      <w:r w:rsidR="00552A71" w:rsidRPr="00A52AB8">
        <w:rPr>
          <w:lang w:eastAsia="ja-JP"/>
        </w:rPr>
        <w:tab/>
      </w:r>
      <w:r w:rsidR="00552A71" w:rsidRPr="00A52AB8">
        <w:rPr>
          <w:lang w:eastAsia="ja-JP"/>
        </w:rPr>
        <w:tab/>
      </w:r>
      <w:r w:rsidR="00552A71" w:rsidRPr="00A52AB8">
        <w:rPr>
          <w:lang w:eastAsia="ja-JP"/>
        </w:rPr>
        <w:tab/>
      </w:r>
      <w:r w:rsidR="006B764B" w:rsidRPr="00A52AB8">
        <w:rPr>
          <w:lang w:eastAsia="ja-JP"/>
        </w:rPr>
        <w:t>NumProj</w:t>
      </w:r>
      <w:r w:rsidR="00552A71" w:rsidRPr="00A52AB8">
        <w:rPr>
          <w:lang w:eastAsia="ja-JP"/>
        </w:rPr>
        <w:t>Points</w:t>
      </w:r>
      <w:r w:rsidR="008768E9" w:rsidRPr="00A52AB8">
        <w:rPr>
          <w:lang w:eastAsia="ja-JP"/>
        </w:rPr>
        <w:t>++</w:t>
      </w:r>
      <w:r w:rsidR="00F302EF" w:rsidRPr="00A52AB8">
        <w:rPr>
          <w:lang w:eastAsia="ja-JP"/>
        </w:rPr>
        <w:br/>
      </w:r>
      <w:r w:rsidR="00F302EF" w:rsidRPr="00A52AB8">
        <w:rPr>
          <w:lang w:eastAsia="ja-JP"/>
        </w:rPr>
        <w:br/>
      </w:r>
      <w:r w:rsidRPr="00A52AB8">
        <w:rPr>
          <w:lang w:eastAsia="ja-JP"/>
        </w:rPr>
        <w:tab/>
        <w:t>projectedPointsScale</w:t>
      </w:r>
      <w:r w:rsidR="00D47707" w:rsidRPr="00A52AB8">
        <w:rPr>
          <w:lang w:eastAsia="ja-JP"/>
        </w:rPr>
        <w:t> = </w:t>
      </w:r>
      <w:r w:rsidR="0070654A" w:rsidRPr="00A52AB8">
        <w:rPr>
          <w:lang w:eastAsia="ja-JP"/>
        </w:rPr>
        <w:t>asps_map_count_minus1 + 1</w:t>
      </w:r>
      <w:r w:rsidR="00552A71" w:rsidRPr="00A52AB8">
        <w:rPr>
          <w:lang w:eastAsia="ja-JP"/>
        </w:rPr>
        <w:br/>
      </w:r>
      <w:r w:rsidRPr="00A52AB8">
        <w:rPr>
          <w:lang w:eastAsia="ja-JP"/>
        </w:rPr>
        <w:tab/>
      </w:r>
      <w:r w:rsidR="00552A71" w:rsidRPr="00A52AB8">
        <w:rPr>
          <w:lang w:eastAsia="ja-JP"/>
        </w:rPr>
        <w:t>for ( i</w:t>
      </w:r>
      <w:r w:rsidR="00D47707" w:rsidRPr="00A52AB8">
        <w:rPr>
          <w:lang w:eastAsia="ja-JP"/>
        </w:rPr>
        <w:t> = </w:t>
      </w:r>
      <w:r w:rsidR="00552A71" w:rsidRPr="00A52AB8">
        <w:rPr>
          <w:lang w:eastAsia="ja-JP"/>
        </w:rPr>
        <w:t>0; i &lt; asps_map_count_minus1+1; i</w:t>
      </w:r>
      <w:r w:rsidR="00006CCF" w:rsidRPr="00A52AB8">
        <w:rPr>
          <w:lang w:eastAsia="ja-JP"/>
        </w:rPr>
        <w:t>++ </w:t>
      </w:r>
      <w:r w:rsidR="008F1F82" w:rsidRPr="00A52AB8">
        <w:rPr>
          <w:lang w:eastAsia="ja-JP"/>
        </w:rPr>
        <w:t>) {</w:t>
      </w:r>
      <w:r w:rsidRPr="00A52AB8">
        <w:rPr>
          <w:lang w:eastAsia="ja-JP"/>
        </w:rPr>
        <w:br/>
      </w:r>
      <w:r w:rsidRPr="00A52AB8">
        <w:rPr>
          <w:lang w:eastAsia="ja-JP"/>
        </w:rPr>
        <w:tab/>
      </w:r>
      <w:r w:rsidRPr="00A52AB8">
        <w:rPr>
          <w:lang w:eastAsia="ja-JP"/>
        </w:rPr>
        <w:tab/>
        <w:t>addPoints</w:t>
      </w:r>
      <w:r w:rsidR="00D47707" w:rsidRPr="00A52AB8">
        <w:rPr>
          <w:lang w:eastAsia="ja-JP"/>
        </w:rPr>
        <w:t> = </w:t>
      </w:r>
      <w:r w:rsidRPr="00A52AB8">
        <w:rPr>
          <w:lang w:eastAsia="ja-JP"/>
        </w:rPr>
        <w:t>( asps_map_pixel_deinterleaving_flag[ i ] !=0 </w:t>
      </w:r>
      <w:r w:rsidR="00D004C2" w:rsidRPr="00A52AB8">
        <w:rPr>
          <w:lang w:eastAsia="ja-JP"/>
        </w:rPr>
        <w:t>)</w:t>
      </w:r>
      <w:r w:rsidR="008768E9" w:rsidRPr="00A52AB8">
        <w:rPr>
          <w:lang w:eastAsia="ja-JP"/>
        </w:rPr>
        <w:t> || </w:t>
      </w:r>
      <w:r w:rsidR="00D004C2" w:rsidRPr="00A52AB8">
        <w:rPr>
          <w:lang w:eastAsia="ja-JP"/>
        </w:rPr>
        <w:t>(</w:t>
      </w:r>
      <w:r w:rsidRPr="00A52AB8">
        <w:rPr>
          <w:lang w:eastAsia="ja-JP"/>
        </w:rPr>
        <w:t> </w:t>
      </w:r>
      <w:r w:rsidRPr="00A52AB8">
        <w:rPr>
          <w:bCs/>
          <w:color w:val="000000" w:themeColor="text1"/>
        </w:rPr>
        <w:t>plri_map_present_flag</w:t>
      </w:r>
      <w:r w:rsidRPr="00A52AB8">
        <w:rPr>
          <w:color w:val="000000" w:themeColor="text1"/>
        </w:rPr>
        <w:t>[ i ]</w:t>
      </w:r>
      <w:r w:rsidRPr="00A52AB8">
        <w:rPr>
          <w:lang w:eastAsia="ja-JP"/>
        </w:rPr>
        <w:t> !=0 )</w:t>
      </w:r>
      <w:r w:rsidR="00552A71" w:rsidRPr="00A52AB8">
        <w:rPr>
          <w:lang w:eastAsia="ja-JP"/>
        </w:rPr>
        <w:br/>
      </w:r>
      <w:r w:rsidR="00552A71" w:rsidRPr="00A52AB8">
        <w:rPr>
          <w:lang w:eastAsia="ja-JP"/>
        </w:rPr>
        <w:tab/>
      </w:r>
      <w:r w:rsidRPr="00A52AB8">
        <w:rPr>
          <w:lang w:eastAsia="ja-JP"/>
        </w:rPr>
        <w:tab/>
        <w:t>projectedPointsScale</w:t>
      </w:r>
      <w:r w:rsidR="0070654A" w:rsidRPr="00A52AB8">
        <w:rPr>
          <w:lang w:eastAsia="ja-JP"/>
        </w:rPr>
        <w:t> </w:t>
      </w:r>
      <w:r w:rsidR="00A234FD" w:rsidRPr="00A52AB8">
        <w:rPr>
          <w:lang w:eastAsia="ja-JP"/>
        </w:rPr>
        <w:t>+=</w:t>
      </w:r>
      <w:r w:rsidR="00D47707" w:rsidRPr="00A52AB8">
        <w:rPr>
          <w:lang w:eastAsia="ja-JP"/>
        </w:rPr>
        <w:t> </w:t>
      </w:r>
      <w:r w:rsidRPr="00A52AB8">
        <w:rPr>
          <w:lang w:eastAsia="ja-JP"/>
        </w:rPr>
        <w:t>addPoints</w:t>
      </w:r>
      <w:r w:rsidRPr="00A52AB8">
        <w:rPr>
          <w:lang w:eastAsia="ja-JP"/>
        </w:rPr>
        <w:br/>
      </w:r>
      <w:r w:rsidRPr="00A52AB8">
        <w:rPr>
          <w:lang w:eastAsia="ja-JP"/>
        </w:rPr>
        <w:tab/>
        <w:t>}</w:t>
      </w:r>
      <w:r w:rsidR="0070654A" w:rsidRPr="00A52AB8">
        <w:rPr>
          <w:lang w:eastAsia="ja-JP"/>
        </w:rPr>
        <w:br/>
      </w:r>
      <w:r w:rsidRPr="00A52AB8">
        <w:rPr>
          <w:lang w:eastAsia="ja-JP"/>
        </w:rPr>
        <w:tab/>
      </w:r>
      <w:r w:rsidR="006B764B" w:rsidRPr="00A52AB8">
        <w:rPr>
          <w:lang w:eastAsia="ja-JP"/>
        </w:rPr>
        <w:t>NumProj</w:t>
      </w:r>
      <w:r w:rsidR="00552A71" w:rsidRPr="00A52AB8">
        <w:rPr>
          <w:lang w:eastAsia="ja-JP"/>
        </w:rPr>
        <w:t>Points </w:t>
      </w:r>
      <w:r w:rsidR="00D47707" w:rsidRPr="00A52AB8">
        <w:rPr>
          <w:lang w:eastAsia="ja-JP"/>
        </w:rPr>
        <w:t>= </w:t>
      </w:r>
      <w:r w:rsidR="00974DA4" w:rsidRPr="00A52AB8">
        <w:rPr>
          <w:lang w:eastAsia="ja-JP"/>
        </w:rPr>
        <w:t>NumProjPoints *</w:t>
      </w:r>
      <w:r w:rsidR="00974DA4" w:rsidRPr="00A52AB8">
        <w:t> </w:t>
      </w:r>
      <w:r w:rsidRPr="00A52AB8">
        <w:rPr>
          <w:lang w:eastAsia="ja-JP"/>
        </w:rPr>
        <w:t>projectedPointsScale</w:t>
      </w:r>
    </w:p>
    <w:p w14:paraId="2FEAA13D" w14:textId="77777777" w:rsidR="00D56F3C" w:rsidRPr="00A52AB8" w:rsidRDefault="00D56F3C" w:rsidP="00EE3D19">
      <w:pPr>
        <w:pStyle w:val="a4"/>
        <w:numPr>
          <w:ilvl w:val="2"/>
          <w:numId w:val="19"/>
        </w:numPr>
        <w:outlineLvl w:val="2"/>
      </w:pPr>
      <w:bookmarkStart w:id="4850" w:name="_Ref38537950"/>
      <w:r w:rsidRPr="00A52AB8">
        <w:t>Geometry nominal format conversion</w:t>
      </w:r>
      <w:bookmarkEnd w:id="4850"/>
    </w:p>
    <w:p w14:paraId="10301B51" w14:textId="42B3F6A7" w:rsidR="00D36B4A" w:rsidRPr="00A52AB8" w:rsidRDefault="00890C8F" w:rsidP="00D36B4A">
      <w:pPr>
        <w:rPr>
          <w:lang w:eastAsia="ja-JP"/>
        </w:rPr>
      </w:pPr>
      <w:r w:rsidRPr="00A52AB8">
        <w:rPr>
          <w:lang w:eastAsia="ja-JP"/>
        </w:rPr>
        <w:t>This process converts the decode</w:t>
      </w:r>
      <w:r w:rsidR="00C54743" w:rsidRPr="00A52AB8">
        <w:rPr>
          <w:lang w:eastAsia="ja-JP"/>
        </w:rPr>
        <w:t>d</w:t>
      </w:r>
      <w:r w:rsidRPr="00A52AB8">
        <w:rPr>
          <w:lang w:eastAsia="ja-JP"/>
        </w:rPr>
        <w:t xml:space="preserve"> geometry </w:t>
      </w:r>
      <w:r w:rsidR="00D334C0" w:rsidRPr="00A52AB8">
        <w:rPr>
          <w:lang w:eastAsia="ja-JP"/>
        </w:rPr>
        <w:t>frames</w:t>
      </w:r>
      <w:r w:rsidR="008A0504" w:rsidRPr="00A52AB8">
        <w:rPr>
          <w:lang w:eastAsia="ja-JP"/>
        </w:rPr>
        <w:t>,</w:t>
      </w:r>
      <w:r w:rsidRPr="00A52AB8">
        <w:rPr>
          <w:lang w:eastAsia="ja-JP"/>
        </w:rPr>
        <w:t xml:space="preserve"> </w:t>
      </w:r>
      <w:r w:rsidR="001B7A87" w:rsidRPr="00A52AB8">
        <w:rPr>
          <w:color w:val="000000" w:themeColor="text1"/>
        </w:rPr>
        <w:t>DecGeoFrames</w:t>
      </w:r>
      <w:r w:rsidR="008A0504" w:rsidRPr="00A52AB8">
        <w:rPr>
          <w:color w:val="000000" w:themeColor="text1"/>
        </w:rPr>
        <w:t>,</w:t>
      </w:r>
      <w:r w:rsidR="001B7A87" w:rsidRPr="00A52AB8">
        <w:rPr>
          <w:lang w:eastAsia="ja-JP"/>
        </w:rPr>
        <w:t xml:space="preserve"> </w:t>
      </w:r>
      <w:r w:rsidRPr="00A52AB8">
        <w:rPr>
          <w:lang w:eastAsia="ja-JP"/>
        </w:rPr>
        <w:t xml:space="preserve">to </w:t>
      </w:r>
      <w:r w:rsidR="00974DA4" w:rsidRPr="00A52AB8">
        <w:rPr>
          <w:lang w:eastAsia="ja-JP"/>
        </w:rPr>
        <w:t xml:space="preserve">the </w:t>
      </w:r>
      <w:r w:rsidRPr="00A52AB8">
        <w:rPr>
          <w:lang w:eastAsia="ja-JP"/>
        </w:rPr>
        <w:t>nominal format.</w:t>
      </w:r>
    </w:p>
    <w:p w14:paraId="3BDEBA13" w14:textId="77777777" w:rsidR="001211B4" w:rsidRPr="00A52AB8" w:rsidRDefault="00D36B4A" w:rsidP="00D36B4A">
      <w:pPr>
        <w:rPr>
          <w:lang w:eastAsia="ja-JP"/>
        </w:rPr>
      </w:pPr>
      <w:r w:rsidRPr="00A52AB8">
        <w:rPr>
          <w:lang w:eastAsia="ja-JP"/>
        </w:rPr>
        <w:t xml:space="preserve">Let the variables geoNumComp, geoMultipleMapsPresentFlag, geoMapCount, and geoMSBAlignFlag, be </w:t>
      </w:r>
      <w:r w:rsidR="001211B4" w:rsidRPr="00A52AB8">
        <w:rPr>
          <w:lang w:eastAsia="ja-JP"/>
        </w:rPr>
        <w:t>set as follows:</w:t>
      </w:r>
    </w:p>
    <w:p w14:paraId="36A4056D" w14:textId="5E6A99CD" w:rsidR="00D36B4A" w:rsidRPr="00A52AB8" w:rsidRDefault="001211B4">
      <w:pPr>
        <w:rPr>
          <w:color w:val="000000" w:themeColor="text1"/>
        </w:rPr>
      </w:pPr>
      <w:r w:rsidRPr="00A52AB8">
        <w:rPr>
          <w:lang w:eastAsia="ja-JP"/>
        </w:rPr>
        <w:tab/>
        <w:t>geoNumComp = 1</w:t>
      </w:r>
      <w:r w:rsidRPr="00A52AB8">
        <w:rPr>
          <w:lang w:eastAsia="ja-JP"/>
        </w:rPr>
        <w:br/>
      </w:r>
      <w:r w:rsidRPr="00A52AB8">
        <w:rPr>
          <w:lang w:eastAsia="ja-JP"/>
        </w:rPr>
        <w:tab/>
        <w:t>geoMultipleMapsPresentFlag = </w:t>
      </w:r>
      <w:r w:rsidRPr="00A52AB8">
        <w:rPr>
          <w:color w:val="000000" w:themeColor="text1"/>
        </w:rPr>
        <w:t>vps_multiple_map_streams_present_flag[ ConvAtlasID ]</w:t>
      </w:r>
      <w:r w:rsidRPr="00A52AB8">
        <w:rPr>
          <w:lang w:eastAsia="ja-JP"/>
        </w:rPr>
        <w:br/>
      </w:r>
      <w:r w:rsidRPr="00A52AB8">
        <w:rPr>
          <w:lang w:eastAsia="ja-JP"/>
        </w:rPr>
        <w:tab/>
        <w:t>geoMapCount = </w:t>
      </w:r>
      <w:r w:rsidRPr="00A52AB8">
        <w:rPr>
          <w:color w:val="000000" w:themeColor="text1"/>
        </w:rPr>
        <w:t>vps_map_count_minus1[ ConvAtlasID ] + 1</w:t>
      </w:r>
      <w:r w:rsidRPr="00A52AB8">
        <w:rPr>
          <w:lang w:eastAsia="ja-JP"/>
        </w:rPr>
        <w:br/>
      </w:r>
      <w:r w:rsidRPr="00A52AB8">
        <w:rPr>
          <w:lang w:eastAsia="ja-JP"/>
        </w:rPr>
        <w:tab/>
        <w:t>geoMSBAlignFlag = </w:t>
      </w:r>
      <w:r w:rsidR="00D36B4A" w:rsidRPr="00A52AB8">
        <w:rPr>
          <w:color w:val="000000" w:themeColor="text1"/>
        </w:rPr>
        <w:t>gi_geometry_MSB_align_flag[ ConvAtlasID ]</w:t>
      </w:r>
    </w:p>
    <w:p w14:paraId="4AFA752C" w14:textId="578DF8F8" w:rsidR="00D06E4D" w:rsidRPr="00A52AB8" w:rsidRDefault="00D06E4D" w:rsidP="00D06E4D">
      <w:pPr>
        <w:rPr>
          <w:color w:val="000000" w:themeColor="text1"/>
        </w:rPr>
      </w:pPr>
      <w:r w:rsidRPr="00A52AB8">
        <w:rPr>
          <w:color w:val="000000" w:themeColor="text1"/>
        </w:rPr>
        <w:t>Let the 1D array geoMapAbsCodingFlag</w:t>
      </w:r>
      <w:r w:rsidR="00993B7A" w:rsidRPr="00A52AB8">
        <w:rPr>
          <w:color w:val="000000" w:themeColor="text1"/>
        </w:rPr>
        <w:t xml:space="preserve"> be set as follows:</w:t>
      </w:r>
    </w:p>
    <w:p w14:paraId="65CFB1B0" w14:textId="01817562" w:rsidR="00993B7A" w:rsidRPr="00A52AB8" w:rsidRDefault="00993B7A" w:rsidP="00D06E4D">
      <w:r w:rsidRPr="00A52AB8">
        <w:tab/>
        <w:t>for( c = 0; c &lt; </w:t>
      </w:r>
      <w:r w:rsidRPr="00A52AB8">
        <w:rPr>
          <w:lang w:eastAsia="ja-JP"/>
        </w:rPr>
        <w:t>geoMapCount</w:t>
      </w:r>
      <w:r w:rsidRPr="00A52AB8">
        <w:t>; c++ ) {</w:t>
      </w:r>
      <w:r w:rsidRPr="00A52AB8">
        <w:br/>
      </w:r>
      <w:r w:rsidRPr="00A52AB8">
        <w:tab/>
      </w:r>
      <w:r w:rsidRPr="00A52AB8">
        <w:tab/>
      </w:r>
      <w:r w:rsidRPr="00A52AB8">
        <w:rPr>
          <w:color w:val="000000" w:themeColor="text1"/>
        </w:rPr>
        <w:t>geoMapAbsCodingFlag</w:t>
      </w:r>
      <w:r w:rsidRPr="00A52AB8">
        <w:t>[ c ] = </w:t>
      </w:r>
      <w:r w:rsidRPr="00A52AB8">
        <w:rPr>
          <w:color w:val="000000" w:themeColor="text1"/>
        </w:rPr>
        <w:t>vps_map_absolute_coding_enabled_flag[ ConvAtlasID ]</w:t>
      </w:r>
      <w:r w:rsidRPr="00A52AB8">
        <w:t>[ c ]</w:t>
      </w:r>
      <w:r w:rsidRPr="00A52AB8">
        <w:br/>
      </w:r>
      <w:r w:rsidRPr="00A52AB8">
        <w:tab/>
        <w:t>}</w:t>
      </w:r>
    </w:p>
    <w:p w14:paraId="711471F1" w14:textId="77777777" w:rsidR="00D56F3C" w:rsidRPr="00A52AB8" w:rsidRDefault="00D56F3C" w:rsidP="00D56F3C">
      <w:pPr>
        <w:rPr>
          <w:lang w:eastAsia="ja-JP"/>
        </w:rPr>
      </w:pPr>
      <w:r w:rsidRPr="00A52AB8">
        <w:rPr>
          <w:lang w:eastAsia="ja-JP"/>
        </w:rPr>
        <w:t xml:space="preserve">Output of this process </w:t>
      </w:r>
      <w:r w:rsidR="001A2B4D" w:rsidRPr="00A52AB8">
        <w:rPr>
          <w:lang w:eastAsia="ja-JP"/>
        </w:rPr>
        <w:t>is</w:t>
      </w:r>
      <w:r w:rsidRPr="00A52AB8">
        <w:rPr>
          <w:lang w:eastAsia="ja-JP"/>
        </w:rPr>
        <w:t>:</w:t>
      </w:r>
    </w:p>
    <w:p w14:paraId="18E68DE8" w14:textId="30ECE9EA" w:rsidR="00890C8F" w:rsidRPr="00A52AB8" w:rsidRDefault="00890C8F"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the 5D array GeoFrame</w:t>
      </w:r>
      <w:r w:rsidR="00153EEE" w:rsidRPr="00A52AB8">
        <w:rPr>
          <w:color w:val="000000" w:themeColor="text1"/>
        </w:rPr>
        <w:t>s</w:t>
      </w:r>
      <w:r w:rsidRPr="00A52AB8">
        <w:rPr>
          <w:color w:val="000000" w:themeColor="text1"/>
        </w:rPr>
        <w:t xml:space="preserve">NF, the decoded geometry frames in </w:t>
      </w:r>
      <w:r w:rsidR="0065222A" w:rsidRPr="00A52AB8">
        <w:rPr>
          <w:color w:val="000000" w:themeColor="text1"/>
        </w:rPr>
        <w:t xml:space="preserve">the </w:t>
      </w:r>
      <w:r w:rsidRPr="00A52AB8">
        <w:rPr>
          <w:color w:val="000000" w:themeColor="text1"/>
        </w:rPr>
        <w:t>nominal format, where the dimensions correspond to the map index, the geometry video frame index, the components, the column index, and the row index of the frames.</w:t>
      </w:r>
    </w:p>
    <w:p w14:paraId="7686B752" w14:textId="796224AE" w:rsidR="00D56F3C" w:rsidRPr="00A52AB8" w:rsidRDefault="00222330" w:rsidP="007656E5">
      <w:pPr>
        <w:pStyle w:val="Note1"/>
        <w:rPr>
          <w:rFonts w:ascii="Cambria" w:hAnsi="Cambria"/>
        </w:rPr>
      </w:pPr>
      <w:r w:rsidRPr="00A52AB8">
        <w:rPr>
          <w:rFonts w:ascii="Cambria" w:hAnsi="Cambria"/>
        </w:rPr>
        <w:t>NOTE </w:t>
      </w:r>
      <w:r w:rsidRPr="00496A4D">
        <w:rPr>
          <w:rFonts w:ascii="Cambria" w:hAnsi="Cambria"/>
        </w:rPr>
        <w:fldChar w:fldCharType="begin"/>
      </w:r>
      <w:r w:rsidRPr="00A52AB8">
        <w:rPr>
          <w:rFonts w:ascii="Cambria" w:hAnsi="Cambria"/>
        </w:rPr>
        <w:instrText xml:space="preserve"> SEQ NoteCounter \r 1 \s 9 \* MERGEFORMAT </w:instrText>
      </w:r>
      <w:r w:rsidRPr="00496A4D">
        <w:rPr>
          <w:rFonts w:ascii="Cambria" w:hAnsi="Cambria"/>
        </w:rPr>
        <w:fldChar w:fldCharType="separate"/>
      </w:r>
      <w:r w:rsidR="00507A67">
        <w:rPr>
          <w:rFonts w:ascii="Cambria" w:hAnsi="Cambria"/>
          <w:noProof/>
        </w:rPr>
        <w:t>1</w:t>
      </w:r>
      <w:r w:rsidRPr="00496A4D">
        <w:rPr>
          <w:rFonts w:ascii="Cambria" w:hAnsi="Cambria"/>
        </w:rPr>
        <w:fldChar w:fldCharType="end"/>
      </w:r>
      <w:r w:rsidRPr="00A52AB8">
        <w:rPr>
          <w:rFonts w:ascii="Cambria" w:hAnsi="Cambria"/>
        </w:rPr>
        <w:t> – The order of processes or variations of the processes described in this Annex is informative only. The maps are first separated and then converted. The conver</w:t>
      </w:r>
      <w:r w:rsidR="00585987" w:rsidRPr="00A52AB8">
        <w:rPr>
          <w:rFonts w:ascii="Cambria" w:hAnsi="Cambria"/>
        </w:rPr>
        <w:t>s</w:t>
      </w:r>
      <w:r w:rsidRPr="00A52AB8">
        <w:rPr>
          <w:rFonts w:ascii="Cambria" w:hAnsi="Cambria"/>
        </w:rPr>
        <w:t>ion may happen before the map separation, right after decoding.</w:t>
      </w:r>
    </w:p>
    <w:p w14:paraId="2933C811" w14:textId="7F7A3033" w:rsidR="00D56F3C" w:rsidRPr="00A52AB8" w:rsidRDefault="00D56F3C" w:rsidP="00D56F3C">
      <w:pPr>
        <w:rPr>
          <w:lang w:eastAsia="ja-JP"/>
        </w:rPr>
      </w:pPr>
      <w:r w:rsidRPr="00A52AB8">
        <w:rPr>
          <w:lang w:eastAsia="ja-JP"/>
        </w:rPr>
        <w:t xml:space="preserve">To convert the </w:t>
      </w:r>
      <w:r w:rsidR="00EC3F2D" w:rsidRPr="00A52AB8">
        <w:rPr>
          <w:lang w:eastAsia="ja-JP"/>
        </w:rPr>
        <w:t xml:space="preserve">decoded </w:t>
      </w:r>
      <w:r w:rsidRPr="00A52AB8">
        <w:rPr>
          <w:lang w:eastAsia="ja-JP"/>
        </w:rPr>
        <w:t xml:space="preserve">geometry </w:t>
      </w:r>
      <w:r w:rsidR="00EC3F2D" w:rsidRPr="00A52AB8">
        <w:rPr>
          <w:lang w:eastAsia="ja-JP"/>
        </w:rPr>
        <w:t xml:space="preserve">video </w:t>
      </w:r>
      <w:r w:rsidRPr="00A52AB8">
        <w:rPr>
          <w:lang w:eastAsia="ja-JP"/>
        </w:rPr>
        <w:t xml:space="preserve">to </w:t>
      </w:r>
      <w:r w:rsidR="00190E21" w:rsidRPr="00A52AB8">
        <w:rPr>
          <w:lang w:eastAsia="ja-JP"/>
        </w:rPr>
        <w:t xml:space="preserve">the </w:t>
      </w:r>
      <w:r w:rsidRPr="00A52AB8">
        <w:rPr>
          <w:lang w:eastAsia="ja-JP"/>
        </w:rPr>
        <w:t xml:space="preserve">nominal format, </w:t>
      </w:r>
      <w:r w:rsidR="00EC3F2D" w:rsidRPr="00A52AB8">
        <w:rPr>
          <w:lang w:eastAsia="ja-JP"/>
        </w:rPr>
        <w:t>several processing steps may need to be performed depending on the original format of the decoded video. In particular:</w:t>
      </w:r>
    </w:p>
    <w:p w14:paraId="00B2B3D3" w14:textId="629ACC80" w:rsidR="00D56F3C" w:rsidRPr="00A52AB8" w:rsidRDefault="00D56F3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To convert the bit</w:t>
      </w:r>
      <w:r w:rsidR="00A32CB6" w:rsidRPr="00A52AB8">
        <w:rPr>
          <w:color w:val="000000" w:themeColor="text1"/>
        </w:rPr>
        <w:t xml:space="preserve"> </w:t>
      </w:r>
      <w:r w:rsidRPr="00A52AB8">
        <w:rPr>
          <w:color w:val="000000" w:themeColor="text1"/>
        </w:rPr>
        <w:t xml:space="preserve">depth of the geometry </w:t>
      </w:r>
      <w:r w:rsidR="0048367F" w:rsidRPr="00A52AB8">
        <w:rPr>
          <w:color w:val="000000" w:themeColor="text1"/>
        </w:rPr>
        <w:t xml:space="preserve">frame </w:t>
      </w:r>
      <w:r w:rsidRPr="00A52AB8">
        <w:rPr>
          <w:color w:val="000000" w:themeColor="text1"/>
        </w:rPr>
        <w:t>to the required nominal bit</w:t>
      </w:r>
      <w:r w:rsidR="00A32CB6" w:rsidRPr="00A52AB8">
        <w:rPr>
          <w:color w:val="000000" w:themeColor="text1"/>
        </w:rPr>
        <w:t xml:space="preserve"> </w:t>
      </w:r>
      <w:r w:rsidRPr="00A52AB8">
        <w:rPr>
          <w:color w:val="000000" w:themeColor="text1"/>
        </w:rPr>
        <w:t xml:space="preserve">depth resolution, </w:t>
      </w:r>
      <w:r w:rsidR="00291D71" w:rsidRPr="00A52AB8">
        <w:rPr>
          <w:color w:val="000000" w:themeColor="text1"/>
        </w:rPr>
        <w:t>subclause </w:t>
      </w:r>
      <w:r w:rsidR="003D113D" w:rsidRPr="00496A4D">
        <w:rPr>
          <w:color w:val="000000" w:themeColor="text1"/>
        </w:rPr>
        <w:fldChar w:fldCharType="begin"/>
      </w:r>
      <w:r w:rsidR="003D113D" w:rsidRPr="00A52AB8">
        <w:rPr>
          <w:color w:val="000000" w:themeColor="text1"/>
        </w:rPr>
        <w:instrText xml:space="preserve"> REF _Ref47888150 \r \h </w:instrText>
      </w:r>
      <w:r w:rsidR="00851254" w:rsidRPr="00A52AB8">
        <w:rPr>
          <w:color w:val="000000" w:themeColor="text1"/>
        </w:rPr>
        <w:instrText xml:space="preserve"> \* MERGEFORMAT </w:instrText>
      </w:r>
      <w:r w:rsidR="003D113D" w:rsidRPr="00496A4D">
        <w:rPr>
          <w:color w:val="000000" w:themeColor="text1"/>
        </w:rPr>
      </w:r>
      <w:r w:rsidR="003D113D" w:rsidRPr="00496A4D">
        <w:rPr>
          <w:color w:val="000000" w:themeColor="text1"/>
        </w:rPr>
        <w:fldChar w:fldCharType="separate"/>
      </w:r>
      <w:r w:rsidR="00507A67">
        <w:rPr>
          <w:color w:val="000000" w:themeColor="text1"/>
        </w:rPr>
        <w:t>B.3.2</w:t>
      </w:r>
      <w:r w:rsidR="003D113D" w:rsidRPr="00496A4D">
        <w:rPr>
          <w:color w:val="000000" w:themeColor="text1"/>
        </w:rPr>
        <w:fldChar w:fldCharType="end"/>
      </w:r>
      <w:r w:rsidRPr="00A52AB8">
        <w:rPr>
          <w:color w:val="000000" w:themeColor="text1"/>
        </w:rPr>
        <w:t xml:space="preserve"> </w:t>
      </w:r>
      <w:r w:rsidR="00D343AA" w:rsidRPr="00A52AB8">
        <w:rPr>
          <w:color w:val="000000" w:themeColor="text1"/>
        </w:rPr>
        <w:t xml:space="preserve">is invoked for </w:t>
      </w:r>
      <w:r w:rsidR="009C0473" w:rsidRPr="00A52AB8">
        <w:rPr>
          <w:color w:val="000000" w:themeColor="text1"/>
        </w:rPr>
        <w:t xml:space="preserve">each </w:t>
      </w:r>
      <w:r w:rsidR="00FF7C27" w:rsidRPr="00A52AB8">
        <w:rPr>
          <w:color w:val="000000" w:themeColor="text1"/>
        </w:rPr>
        <w:t>map index</w:t>
      </w:r>
      <w:r w:rsidR="00281416" w:rsidRPr="00A52AB8">
        <w:rPr>
          <w:color w:val="000000" w:themeColor="text1"/>
        </w:rPr>
        <w:t>,</w:t>
      </w:r>
      <w:r w:rsidR="009C0473" w:rsidRPr="00A52AB8">
        <w:rPr>
          <w:color w:val="000000" w:themeColor="text1"/>
        </w:rPr>
        <w:t xml:space="preserve"> mapIdx</w:t>
      </w:r>
      <w:r w:rsidR="00281416" w:rsidRPr="00A52AB8">
        <w:rPr>
          <w:color w:val="000000" w:themeColor="text1"/>
        </w:rPr>
        <w:t>,</w:t>
      </w:r>
      <w:r w:rsidR="009C6F42" w:rsidRPr="00A52AB8">
        <w:rPr>
          <w:color w:val="000000" w:themeColor="text1"/>
        </w:rPr>
        <w:t xml:space="preserve"> and each </w:t>
      </w:r>
      <w:r w:rsidR="00D304A0" w:rsidRPr="00A52AB8">
        <w:rPr>
          <w:color w:val="000000" w:themeColor="text1"/>
        </w:rPr>
        <w:t>frame</w:t>
      </w:r>
      <w:r w:rsidR="009C6F42" w:rsidRPr="00A52AB8">
        <w:rPr>
          <w:color w:val="000000" w:themeColor="text1"/>
        </w:rPr>
        <w:t xml:space="preserve"> index</w:t>
      </w:r>
      <w:r w:rsidR="00281416" w:rsidRPr="00A52AB8">
        <w:rPr>
          <w:color w:val="000000" w:themeColor="text1"/>
        </w:rPr>
        <w:t>,</w:t>
      </w:r>
      <w:r w:rsidR="009C6F42" w:rsidRPr="00A52AB8">
        <w:rPr>
          <w:color w:val="000000" w:themeColor="text1"/>
        </w:rPr>
        <w:t xml:space="preserve"> </w:t>
      </w:r>
      <w:r w:rsidR="00D304A0" w:rsidRPr="00A52AB8">
        <w:rPr>
          <w:color w:val="000000" w:themeColor="text1"/>
        </w:rPr>
        <w:t>frame</w:t>
      </w:r>
      <w:r w:rsidR="009C6F42" w:rsidRPr="00A52AB8">
        <w:rPr>
          <w:color w:val="000000" w:themeColor="text1"/>
        </w:rPr>
        <w:t>Idx</w:t>
      </w:r>
      <w:r w:rsidR="00D343AA" w:rsidRPr="00A52AB8">
        <w:rPr>
          <w:color w:val="000000" w:themeColor="text1"/>
        </w:rPr>
        <w:t>, with</w:t>
      </w:r>
      <w:r w:rsidRPr="00A52AB8">
        <w:rPr>
          <w:color w:val="000000" w:themeColor="text1"/>
        </w:rPr>
        <w:t xml:space="preserve"> </w:t>
      </w:r>
      <w:r w:rsidR="00BD636C" w:rsidRPr="00A52AB8">
        <w:rPr>
          <w:color w:val="000000" w:themeColor="text1"/>
        </w:rPr>
        <w:t xml:space="preserve">variables </w:t>
      </w:r>
      <w:r w:rsidR="009F12A5" w:rsidRPr="00A52AB8">
        <w:rPr>
          <w:color w:val="000000" w:themeColor="text1"/>
        </w:rPr>
        <w:t>DecGeoBitDepth</w:t>
      </w:r>
      <w:r w:rsidRPr="00A52AB8">
        <w:rPr>
          <w:color w:val="000000" w:themeColor="text1"/>
        </w:rPr>
        <w:t>[ mapIdx ][ </w:t>
      </w:r>
      <w:r w:rsidR="007D0DE0" w:rsidRPr="00A52AB8">
        <w:rPr>
          <w:color w:val="000000" w:themeColor="text1"/>
        </w:rPr>
        <w:t>frameIdx </w:t>
      </w:r>
      <w:r w:rsidRPr="00A52AB8">
        <w:rPr>
          <w:color w:val="000000" w:themeColor="text1"/>
        </w:rPr>
        <w:t xml:space="preserve">], </w:t>
      </w:r>
      <w:r w:rsidR="00D50246" w:rsidRPr="00A52AB8">
        <w:rPr>
          <w:color w:val="000000" w:themeColor="text1"/>
        </w:rPr>
        <w:t>DecGeoHeight[ mapIdx ][ </w:t>
      </w:r>
      <w:r w:rsidR="00126425" w:rsidRPr="00A52AB8">
        <w:rPr>
          <w:color w:val="000000" w:themeColor="text1"/>
        </w:rPr>
        <w:t>frame</w:t>
      </w:r>
      <w:r w:rsidR="00D50246" w:rsidRPr="00A52AB8">
        <w:rPr>
          <w:color w:val="000000" w:themeColor="text1"/>
        </w:rPr>
        <w:t xml:space="preserve">Idx ], </w:t>
      </w:r>
      <w:r w:rsidR="009F12A5" w:rsidRPr="00A52AB8">
        <w:rPr>
          <w:color w:val="000000" w:themeColor="text1"/>
        </w:rPr>
        <w:t>DecGeo</w:t>
      </w:r>
      <w:r w:rsidR="00E91149" w:rsidRPr="00A52AB8">
        <w:rPr>
          <w:color w:val="000000" w:themeColor="text1"/>
        </w:rPr>
        <w:t>Width</w:t>
      </w:r>
      <w:r w:rsidRPr="00A52AB8">
        <w:rPr>
          <w:color w:val="000000" w:themeColor="text1"/>
        </w:rPr>
        <w:t>[ mapIdx ][ </w:t>
      </w:r>
      <w:r w:rsidR="00126425" w:rsidRPr="00A52AB8">
        <w:rPr>
          <w:color w:val="000000" w:themeColor="text1"/>
        </w:rPr>
        <w:t>frame</w:t>
      </w:r>
      <w:r w:rsidR="0044005D" w:rsidRPr="00A52AB8">
        <w:rPr>
          <w:color w:val="000000" w:themeColor="text1"/>
        </w:rPr>
        <w:t>Idx</w:t>
      </w:r>
      <w:r w:rsidRPr="00A52AB8">
        <w:rPr>
          <w:color w:val="000000" w:themeColor="text1"/>
        </w:rPr>
        <w:t xml:space="preserve"> ], </w:t>
      </w:r>
      <w:r w:rsidR="00E91149" w:rsidRPr="00A52AB8">
        <w:rPr>
          <w:color w:val="000000" w:themeColor="text1"/>
        </w:rPr>
        <w:t>GeoBitDepthNF</w:t>
      </w:r>
      <w:r w:rsidRPr="00A52AB8">
        <w:rPr>
          <w:color w:val="000000" w:themeColor="text1"/>
        </w:rPr>
        <w:t xml:space="preserve">, and </w:t>
      </w:r>
      <w:r w:rsidR="000C320F" w:rsidRPr="00A52AB8">
        <w:rPr>
          <w:color w:val="000000" w:themeColor="text1"/>
        </w:rPr>
        <w:t>geoMSBAlignFlag</w:t>
      </w:r>
      <w:r w:rsidR="00D50246" w:rsidRPr="00A52AB8">
        <w:rPr>
          <w:color w:val="000000" w:themeColor="text1"/>
        </w:rPr>
        <w:t xml:space="preserve">, </w:t>
      </w:r>
      <w:r w:rsidR="00BD636C" w:rsidRPr="00A52AB8">
        <w:rPr>
          <w:color w:val="000000" w:themeColor="text1"/>
        </w:rPr>
        <w:t xml:space="preserve">and array DecGeoFrames[ mapIdx ][ frameIdx ][ 0 ] </w:t>
      </w:r>
      <w:r w:rsidR="00D50246" w:rsidRPr="00A52AB8">
        <w:rPr>
          <w:color w:val="000000" w:themeColor="text1"/>
        </w:rPr>
        <w:t>as inputs</w:t>
      </w:r>
      <w:r w:rsidRPr="00A52AB8">
        <w:rPr>
          <w:color w:val="000000" w:themeColor="text1"/>
        </w:rPr>
        <w:t xml:space="preserve">. </w:t>
      </w:r>
      <w:r w:rsidR="00A32CB6" w:rsidRPr="00A52AB8">
        <w:rPr>
          <w:color w:val="000000" w:themeColor="text1"/>
        </w:rPr>
        <w:t xml:space="preserve">Output of this process is the decoded geometry frame </w:t>
      </w:r>
      <w:r w:rsidR="009D20E9" w:rsidRPr="00A52AB8">
        <w:rPr>
          <w:color w:val="000000" w:themeColor="text1"/>
        </w:rPr>
        <w:t xml:space="preserve">at the </w:t>
      </w:r>
      <w:r w:rsidR="00A32CB6" w:rsidRPr="00A52AB8">
        <w:rPr>
          <w:color w:val="000000" w:themeColor="text1"/>
        </w:rPr>
        <w:t xml:space="preserve">nominal bit depth, </w:t>
      </w:r>
      <w:r w:rsidR="00F179C2" w:rsidRPr="00A52AB8">
        <w:rPr>
          <w:color w:val="000000" w:themeColor="text1"/>
        </w:rPr>
        <w:t>dec</w:t>
      </w:r>
      <w:r w:rsidR="00F0676C" w:rsidRPr="00A52AB8">
        <w:rPr>
          <w:color w:val="000000" w:themeColor="text1"/>
        </w:rPr>
        <w:t>Geo</w:t>
      </w:r>
      <w:r w:rsidR="00F179C2" w:rsidRPr="00A52AB8">
        <w:rPr>
          <w:color w:val="000000" w:themeColor="text1"/>
        </w:rPr>
        <w:t>Frame</w:t>
      </w:r>
      <w:r w:rsidR="007D6D40" w:rsidRPr="00A52AB8">
        <w:rPr>
          <w:color w:val="000000" w:themeColor="text1"/>
        </w:rPr>
        <w:t>s</w:t>
      </w:r>
      <w:r w:rsidR="00F179C2" w:rsidRPr="00A52AB8">
        <w:rPr>
          <w:color w:val="000000" w:themeColor="text1"/>
        </w:rPr>
        <w:t>NBD</w:t>
      </w:r>
      <w:r w:rsidR="00A32CB6" w:rsidRPr="00A52AB8">
        <w:rPr>
          <w:color w:val="000000" w:themeColor="text1"/>
        </w:rPr>
        <w:t>[ mapIdx ][ </w:t>
      </w:r>
      <w:r w:rsidR="004076C3" w:rsidRPr="00A52AB8">
        <w:rPr>
          <w:color w:val="000000" w:themeColor="text1"/>
        </w:rPr>
        <w:t>frame</w:t>
      </w:r>
      <w:r w:rsidR="00CB7CE2" w:rsidRPr="00A52AB8">
        <w:rPr>
          <w:color w:val="000000" w:themeColor="text1"/>
        </w:rPr>
        <w:t>Idx</w:t>
      </w:r>
      <w:r w:rsidR="00A32CB6" w:rsidRPr="00A52AB8">
        <w:rPr>
          <w:color w:val="000000" w:themeColor="text1"/>
        </w:rPr>
        <w:t> ][ 0 ].</w:t>
      </w:r>
    </w:p>
    <w:p w14:paraId="62A95CDF" w14:textId="1F608BCA" w:rsidR="00D56F3C" w:rsidRPr="00A52AB8" w:rsidRDefault="00D56F3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To convert the frame resolution of the geometry </w:t>
      </w:r>
      <w:r w:rsidR="0048367F" w:rsidRPr="00A52AB8">
        <w:rPr>
          <w:color w:val="000000" w:themeColor="text1"/>
        </w:rPr>
        <w:t xml:space="preserve">frame </w:t>
      </w:r>
      <w:r w:rsidRPr="00A52AB8">
        <w:rPr>
          <w:color w:val="000000" w:themeColor="text1"/>
        </w:rPr>
        <w:t xml:space="preserve">to the required nominal frame resolution, </w:t>
      </w:r>
      <w:r w:rsidR="00291D71" w:rsidRPr="00A52AB8">
        <w:rPr>
          <w:color w:val="000000" w:themeColor="text1"/>
        </w:rPr>
        <w:t>subclause </w:t>
      </w:r>
      <w:r w:rsidRPr="00496A4D">
        <w:rPr>
          <w:color w:val="000000" w:themeColor="text1"/>
        </w:rPr>
        <w:fldChar w:fldCharType="begin"/>
      </w:r>
      <w:r w:rsidRPr="00A52AB8">
        <w:rPr>
          <w:color w:val="000000" w:themeColor="text1"/>
        </w:rPr>
        <w:instrText xml:space="preserve"> REF _Ref39656686 \r \h </w:instrText>
      </w:r>
      <w:r w:rsidR="00CA5401"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B.3.3</w:t>
      </w:r>
      <w:r w:rsidRPr="00496A4D">
        <w:rPr>
          <w:color w:val="000000" w:themeColor="text1"/>
        </w:rPr>
        <w:fldChar w:fldCharType="end"/>
      </w:r>
      <w:r w:rsidRPr="00A52AB8">
        <w:rPr>
          <w:color w:val="000000" w:themeColor="text1"/>
        </w:rPr>
        <w:t xml:space="preserve"> </w:t>
      </w:r>
      <w:r w:rsidR="00200648" w:rsidRPr="00A52AB8">
        <w:rPr>
          <w:color w:val="000000" w:themeColor="text1"/>
        </w:rPr>
        <w:t xml:space="preserve">is invoked for </w:t>
      </w:r>
      <w:r w:rsidR="006D3E8F" w:rsidRPr="00A52AB8">
        <w:rPr>
          <w:color w:val="000000" w:themeColor="text1"/>
        </w:rPr>
        <w:t>each map index</w:t>
      </w:r>
      <w:r w:rsidR="0048367F" w:rsidRPr="00A52AB8">
        <w:rPr>
          <w:color w:val="000000" w:themeColor="text1"/>
        </w:rPr>
        <w:t>,</w:t>
      </w:r>
      <w:r w:rsidR="006D3E8F" w:rsidRPr="00A52AB8">
        <w:rPr>
          <w:color w:val="000000" w:themeColor="text1"/>
        </w:rPr>
        <w:t xml:space="preserve"> mapIdx</w:t>
      </w:r>
      <w:r w:rsidR="0048367F" w:rsidRPr="00A52AB8">
        <w:rPr>
          <w:color w:val="000000" w:themeColor="text1"/>
        </w:rPr>
        <w:t>,</w:t>
      </w:r>
      <w:r w:rsidR="008752B8" w:rsidRPr="00A52AB8">
        <w:rPr>
          <w:color w:val="000000" w:themeColor="text1"/>
        </w:rPr>
        <w:t xml:space="preserve"> and each </w:t>
      </w:r>
      <w:r w:rsidR="0048367F" w:rsidRPr="00A52AB8">
        <w:rPr>
          <w:color w:val="000000" w:themeColor="text1"/>
        </w:rPr>
        <w:t>frame</w:t>
      </w:r>
      <w:r w:rsidR="008752B8" w:rsidRPr="00A52AB8">
        <w:rPr>
          <w:color w:val="000000" w:themeColor="text1"/>
        </w:rPr>
        <w:t xml:space="preserve"> index</w:t>
      </w:r>
      <w:r w:rsidR="0048367F" w:rsidRPr="00A52AB8">
        <w:rPr>
          <w:color w:val="000000" w:themeColor="text1"/>
        </w:rPr>
        <w:t>,</w:t>
      </w:r>
      <w:r w:rsidR="008752B8" w:rsidRPr="00A52AB8">
        <w:rPr>
          <w:color w:val="000000" w:themeColor="text1"/>
        </w:rPr>
        <w:t xml:space="preserve"> </w:t>
      </w:r>
      <w:r w:rsidR="0048367F" w:rsidRPr="00A52AB8">
        <w:rPr>
          <w:color w:val="000000" w:themeColor="text1"/>
        </w:rPr>
        <w:t>frame</w:t>
      </w:r>
      <w:r w:rsidR="008752B8" w:rsidRPr="00A52AB8">
        <w:rPr>
          <w:color w:val="000000" w:themeColor="text1"/>
        </w:rPr>
        <w:t>Idx</w:t>
      </w:r>
      <w:r w:rsidR="00200648" w:rsidRPr="00A52AB8">
        <w:rPr>
          <w:color w:val="000000" w:themeColor="text1"/>
        </w:rPr>
        <w:t>, with</w:t>
      </w:r>
      <w:r w:rsidR="00200648" w:rsidRPr="00A52AB8" w:rsidDel="00200648">
        <w:rPr>
          <w:color w:val="000000" w:themeColor="text1"/>
        </w:rPr>
        <w:t xml:space="preserve"> </w:t>
      </w:r>
      <w:r w:rsidR="00BD636C" w:rsidRPr="00A52AB8">
        <w:rPr>
          <w:color w:val="000000" w:themeColor="text1"/>
        </w:rPr>
        <w:t xml:space="preserve">variables </w:t>
      </w:r>
      <w:r w:rsidR="001A3C8B" w:rsidRPr="00A52AB8">
        <w:rPr>
          <w:color w:val="000000" w:themeColor="text1"/>
        </w:rPr>
        <w:t>D</w:t>
      </w:r>
      <w:r w:rsidRPr="00A52AB8">
        <w:rPr>
          <w:color w:val="000000" w:themeColor="text1"/>
        </w:rPr>
        <w:t>ecGeoHeight[ mapIdx ][ </w:t>
      </w:r>
      <w:r w:rsidR="009D20E9" w:rsidRPr="00A52AB8">
        <w:rPr>
          <w:color w:val="000000" w:themeColor="text1"/>
        </w:rPr>
        <w:t>frame</w:t>
      </w:r>
      <w:r w:rsidR="00CB7CE2" w:rsidRPr="00A52AB8">
        <w:rPr>
          <w:color w:val="000000" w:themeColor="text1"/>
        </w:rPr>
        <w:t>Idx</w:t>
      </w:r>
      <w:r w:rsidRPr="00A52AB8">
        <w:rPr>
          <w:color w:val="000000" w:themeColor="text1"/>
        </w:rPr>
        <w:t xml:space="preserve"> ], </w:t>
      </w:r>
      <w:r w:rsidR="008C2BE5" w:rsidRPr="00A52AB8">
        <w:rPr>
          <w:color w:val="000000" w:themeColor="text1"/>
        </w:rPr>
        <w:t>DecGeoWidth[ mapIdx ][ </w:t>
      </w:r>
      <w:r w:rsidR="009D20E9" w:rsidRPr="00A52AB8">
        <w:rPr>
          <w:color w:val="000000" w:themeColor="text1"/>
        </w:rPr>
        <w:t>frame</w:t>
      </w:r>
      <w:r w:rsidR="008C2BE5" w:rsidRPr="00A52AB8">
        <w:rPr>
          <w:color w:val="000000" w:themeColor="text1"/>
        </w:rPr>
        <w:t>Idx ], VideoHeightNF, and V</w:t>
      </w:r>
      <w:r w:rsidR="008150BB" w:rsidRPr="00A52AB8">
        <w:rPr>
          <w:color w:val="000000" w:themeColor="text1"/>
        </w:rPr>
        <w:t>ideoWidth</w:t>
      </w:r>
      <w:r w:rsidR="00734798" w:rsidRPr="00A52AB8">
        <w:rPr>
          <w:color w:val="000000" w:themeColor="text1"/>
        </w:rPr>
        <w:t>NF</w:t>
      </w:r>
      <w:r w:rsidRPr="00A52AB8">
        <w:rPr>
          <w:color w:val="000000" w:themeColor="text1"/>
        </w:rPr>
        <w:t>,</w:t>
      </w:r>
      <w:r w:rsidR="008C2BE5" w:rsidRPr="00A52AB8">
        <w:rPr>
          <w:color w:val="000000" w:themeColor="text1"/>
        </w:rPr>
        <w:t xml:space="preserve"> </w:t>
      </w:r>
      <w:r w:rsidR="00BD636C" w:rsidRPr="00A52AB8">
        <w:rPr>
          <w:color w:val="000000" w:themeColor="text1"/>
        </w:rPr>
        <w:t xml:space="preserve">and array decGeoFramesNBD[ mapIdx ][ frameIdx ][ 0 ] </w:t>
      </w:r>
      <w:r w:rsidR="008C2BE5" w:rsidRPr="00A52AB8">
        <w:rPr>
          <w:color w:val="000000" w:themeColor="text1"/>
        </w:rPr>
        <w:t>as inputs</w:t>
      </w:r>
      <w:r w:rsidRPr="00A52AB8">
        <w:rPr>
          <w:color w:val="000000" w:themeColor="text1"/>
        </w:rPr>
        <w:t xml:space="preserve">. </w:t>
      </w:r>
      <w:r w:rsidR="00A32CB6" w:rsidRPr="00A52AB8">
        <w:rPr>
          <w:color w:val="000000" w:themeColor="text1"/>
        </w:rPr>
        <w:t xml:space="preserve">Output of this process is </w:t>
      </w:r>
      <w:r w:rsidR="00BD636C" w:rsidRPr="00A52AB8">
        <w:rPr>
          <w:color w:val="000000" w:themeColor="text1"/>
        </w:rPr>
        <w:t>the</w:t>
      </w:r>
      <w:r w:rsidR="00A32CB6" w:rsidRPr="00A52AB8">
        <w:rPr>
          <w:color w:val="000000" w:themeColor="text1"/>
        </w:rPr>
        <w:t xml:space="preserve"> decoded geometry frame </w:t>
      </w:r>
      <w:r w:rsidR="009D20E9" w:rsidRPr="00A52AB8">
        <w:rPr>
          <w:color w:val="000000" w:themeColor="text1"/>
        </w:rPr>
        <w:t xml:space="preserve">at the </w:t>
      </w:r>
      <w:r w:rsidR="00A32CB6" w:rsidRPr="00A52AB8">
        <w:rPr>
          <w:color w:val="000000" w:themeColor="text1"/>
        </w:rPr>
        <w:t>nominal resolution, decGeoFrame</w:t>
      </w:r>
      <w:r w:rsidR="007D6D40" w:rsidRPr="00A52AB8">
        <w:rPr>
          <w:color w:val="000000" w:themeColor="text1"/>
        </w:rPr>
        <w:t>s</w:t>
      </w:r>
      <w:r w:rsidR="00734798" w:rsidRPr="00A52AB8">
        <w:rPr>
          <w:color w:val="000000" w:themeColor="text1"/>
        </w:rPr>
        <w:t>N</w:t>
      </w:r>
      <w:r w:rsidR="00B66DE9" w:rsidRPr="00A52AB8">
        <w:rPr>
          <w:color w:val="000000" w:themeColor="text1"/>
        </w:rPr>
        <w:t>R</w:t>
      </w:r>
      <w:r w:rsidR="00A32CB6" w:rsidRPr="00A52AB8">
        <w:rPr>
          <w:color w:val="000000" w:themeColor="text1"/>
        </w:rPr>
        <w:t>[ mapIdx ][ </w:t>
      </w:r>
      <w:r w:rsidR="009D20E9" w:rsidRPr="00A52AB8">
        <w:rPr>
          <w:color w:val="000000" w:themeColor="text1"/>
        </w:rPr>
        <w:t>frame</w:t>
      </w:r>
      <w:r w:rsidR="00CB7CE2" w:rsidRPr="00A52AB8">
        <w:rPr>
          <w:color w:val="000000" w:themeColor="text1"/>
        </w:rPr>
        <w:t>Idx</w:t>
      </w:r>
      <w:r w:rsidR="00A32CB6" w:rsidRPr="00A52AB8">
        <w:rPr>
          <w:color w:val="000000" w:themeColor="text1"/>
        </w:rPr>
        <w:t> ][ 0 ]</w:t>
      </w:r>
      <w:r w:rsidR="004D40A5" w:rsidRPr="00A52AB8">
        <w:rPr>
          <w:color w:val="000000" w:themeColor="text1"/>
        </w:rPr>
        <w:t>.</w:t>
      </w:r>
    </w:p>
    <w:p w14:paraId="6FC00E37" w14:textId="79875EC5" w:rsidR="007D2339" w:rsidRPr="00A52AB8" w:rsidRDefault="007D2339"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To extract the maps, subclause </w:t>
      </w:r>
      <w:r w:rsidRPr="00496A4D">
        <w:rPr>
          <w:color w:val="000000" w:themeColor="text1"/>
        </w:rPr>
        <w:fldChar w:fldCharType="begin"/>
      </w:r>
      <w:r w:rsidRPr="00A52AB8">
        <w:rPr>
          <w:color w:val="000000" w:themeColor="text1"/>
        </w:rPr>
        <w:instrText xml:space="preserve"> REF _Ref39746085 \r \h  \* MERGEFORMAT </w:instrText>
      </w:r>
      <w:r w:rsidRPr="00496A4D">
        <w:rPr>
          <w:color w:val="000000" w:themeColor="text1"/>
        </w:rPr>
      </w:r>
      <w:r w:rsidRPr="00496A4D">
        <w:rPr>
          <w:color w:val="000000" w:themeColor="text1"/>
        </w:rPr>
        <w:fldChar w:fldCharType="separate"/>
      </w:r>
      <w:r w:rsidR="00507A67">
        <w:rPr>
          <w:color w:val="000000" w:themeColor="text1"/>
        </w:rPr>
        <w:t>B.3.1</w:t>
      </w:r>
      <w:r w:rsidRPr="00496A4D">
        <w:rPr>
          <w:color w:val="000000" w:themeColor="text1"/>
        </w:rPr>
        <w:fldChar w:fldCharType="end"/>
      </w:r>
      <w:r w:rsidRPr="00A52AB8">
        <w:rPr>
          <w:color w:val="000000" w:themeColor="text1"/>
        </w:rPr>
        <w:t xml:space="preserve"> is invoked, with </w:t>
      </w:r>
      <w:r w:rsidR="00BD636C" w:rsidRPr="00A52AB8">
        <w:rPr>
          <w:color w:val="000000" w:themeColor="text1"/>
        </w:rPr>
        <w:t xml:space="preserve">variables </w:t>
      </w:r>
      <w:r w:rsidRPr="00A52AB8">
        <w:rPr>
          <w:color w:val="000000" w:themeColor="text1"/>
        </w:rPr>
        <w:t xml:space="preserve">geoMultipleMapsPresentFlag, geoMapCount, geoNumComp, </w:t>
      </w:r>
      <w:r w:rsidR="00212520" w:rsidRPr="00A52AB8">
        <w:rPr>
          <w:color w:val="000000" w:themeColor="text1"/>
        </w:rPr>
        <w:t>VideoHeightNF</w:t>
      </w:r>
      <w:r w:rsidRPr="00A52AB8">
        <w:rPr>
          <w:color w:val="000000" w:themeColor="text1"/>
        </w:rPr>
        <w:t xml:space="preserve">, </w:t>
      </w:r>
      <w:r w:rsidR="00BD636C" w:rsidRPr="00A52AB8">
        <w:rPr>
          <w:color w:val="000000" w:themeColor="text1"/>
        </w:rPr>
        <w:t xml:space="preserve">and </w:t>
      </w:r>
      <w:r w:rsidR="00212520" w:rsidRPr="00A52AB8">
        <w:rPr>
          <w:color w:val="000000" w:themeColor="text1"/>
        </w:rPr>
        <w:t>VideoWidthNF</w:t>
      </w:r>
      <w:r w:rsidRPr="00A52AB8">
        <w:rPr>
          <w:color w:val="000000" w:themeColor="text1"/>
        </w:rPr>
        <w:t xml:space="preserve">, </w:t>
      </w:r>
      <w:r w:rsidR="00BD636C" w:rsidRPr="00A52AB8">
        <w:rPr>
          <w:color w:val="000000" w:themeColor="text1"/>
        </w:rPr>
        <w:t xml:space="preserve">and arrays </w:t>
      </w:r>
      <w:r w:rsidR="00794FBB" w:rsidRPr="00A52AB8">
        <w:rPr>
          <w:color w:val="000000" w:themeColor="text1"/>
        </w:rPr>
        <w:t xml:space="preserve">NumDecGeoFrames, </w:t>
      </w:r>
      <w:r w:rsidR="00212520" w:rsidRPr="00A52AB8">
        <w:rPr>
          <w:color w:val="000000" w:themeColor="text1"/>
        </w:rPr>
        <w:t>decGeoFrame</w:t>
      </w:r>
      <w:r w:rsidR="007D6D40" w:rsidRPr="00A52AB8">
        <w:rPr>
          <w:color w:val="000000" w:themeColor="text1"/>
        </w:rPr>
        <w:t>s</w:t>
      </w:r>
      <w:r w:rsidR="00212520" w:rsidRPr="00A52AB8">
        <w:rPr>
          <w:color w:val="000000" w:themeColor="text1"/>
        </w:rPr>
        <w:t>NR</w:t>
      </w:r>
      <w:r w:rsidRPr="00A52AB8">
        <w:rPr>
          <w:color w:val="000000" w:themeColor="text1"/>
        </w:rPr>
        <w:t>, DecGeoOutOrdIdx, and DecGeoCompTime as inputs. Outputs of this process are the number of frames</w:t>
      </w:r>
      <w:r w:rsidR="00CF265D" w:rsidRPr="00A52AB8">
        <w:rPr>
          <w:color w:val="000000" w:themeColor="text1"/>
        </w:rPr>
        <w:t xml:space="preserve"> being output</w:t>
      </w:r>
      <w:r w:rsidRPr="00A52AB8">
        <w:rPr>
          <w:color w:val="000000" w:themeColor="text1"/>
        </w:rPr>
        <w:t xml:space="preserve">, rangeOutOrdIdx, the decoded </w:t>
      </w:r>
      <w:r w:rsidR="00CC2297" w:rsidRPr="00A52AB8">
        <w:rPr>
          <w:color w:val="000000" w:themeColor="text1"/>
        </w:rPr>
        <w:t xml:space="preserve">nominal resolution </w:t>
      </w:r>
      <w:r w:rsidR="001B5CEB" w:rsidRPr="00A52AB8">
        <w:rPr>
          <w:color w:val="000000" w:themeColor="text1"/>
        </w:rPr>
        <w:t xml:space="preserve">geometry </w:t>
      </w:r>
      <w:r w:rsidRPr="00A52AB8">
        <w:rPr>
          <w:color w:val="000000" w:themeColor="text1"/>
        </w:rPr>
        <w:t xml:space="preserve">frames </w:t>
      </w:r>
      <w:r w:rsidR="00926C24" w:rsidRPr="00A52AB8">
        <w:rPr>
          <w:color w:val="000000" w:themeColor="text1"/>
        </w:rPr>
        <w:t>ordered according to the output order index</w:t>
      </w:r>
      <w:r w:rsidRPr="00A52AB8">
        <w:rPr>
          <w:color w:val="000000" w:themeColor="text1"/>
        </w:rPr>
        <w:t>, decGeoFrame</w:t>
      </w:r>
      <w:r w:rsidR="007D6D40" w:rsidRPr="00A52AB8">
        <w:rPr>
          <w:color w:val="000000" w:themeColor="text1"/>
        </w:rPr>
        <w:t>s</w:t>
      </w:r>
      <w:r w:rsidRPr="00A52AB8">
        <w:rPr>
          <w:color w:val="000000" w:themeColor="text1"/>
        </w:rPr>
        <w:t xml:space="preserve">ONF, </w:t>
      </w:r>
      <w:r w:rsidR="0012200A" w:rsidRPr="00A52AB8">
        <w:rPr>
          <w:color w:val="000000" w:themeColor="text1"/>
        </w:rPr>
        <w:t>a</w:t>
      </w:r>
      <w:r w:rsidR="00993B7A" w:rsidRPr="00A52AB8">
        <w:rPr>
          <w:color w:val="000000" w:themeColor="text1"/>
        </w:rPr>
        <w:t xml:space="preserve"> 1D array</w:t>
      </w:r>
      <w:r w:rsidR="0012200A" w:rsidRPr="00A52AB8">
        <w:rPr>
          <w:color w:val="000000" w:themeColor="text1"/>
        </w:rPr>
        <w:t>, framePresent,</w:t>
      </w:r>
      <w:r w:rsidR="00993B7A" w:rsidRPr="00A52AB8">
        <w:rPr>
          <w:color w:val="000000" w:themeColor="text1"/>
        </w:rPr>
        <w:t xml:space="preserve"> </w:t>
      </w:r>
      <w:r w:rsidRPr="00A52AB8">
        <w:rPr>
          <w:color w:val="000000" w:themeColor="text1"/>
        </w:rPr>
        <w:t>indicat</w:t>
      </w:r>
      <w:r w:rsidR="0012200A" w:rsidRPr="00A52AB8">
        <w:rPr>
          <w:color w:val="000000" w:themeColor="text1"/>
        </w:rPr>
        <w:t>ing</w:t>
      </w:r>
      <w:r w:rsidRPr="00A52AB8">
        <w:rPr>
          <w:color w:val="000000" w:themeColor="text1"/>
        </w:rPr>
        <w:t xml:space="preserve"> if a frame is present, and</w:t>
      </w:r>
      <w:r w:rsidR="0012200A" w:rsidRPr="00A52AB8">
        <w:rPr>
          <w:color w:val="000000" w:themeColor="text1"/>
        </w:rPr>
        <w:t xml:space="preserve"> a 1D array, decGeoCompTime, indicating</w:t>
      </w:r>
      <w:r w:rsidRPr="00A52AB8">
        <w:rPr>
          <w:color w:val="000000" w:themeColor="text1"/>
        </w:rPr>
        <w:t xml:space="preserve"> the composition time </w:t>
      </w:r>
      <w:r w:rsidR="0012200A" w:rsidRPr="00A52AB8">
        <w:rPr>
          <w:color w:val="000000" w:themeColor="text1"/>
        </w:rPr>
        <w:t xml:space="preserve">of each frame </w:t>
      </w:r>
      <w:r w:rsidR="00993B7A" w:rsidRPr="00A52AB8">
        <w:rPr>
          <w:color w:val="000000" w:themeColor="text1"/>
        </w:rPr>
        <w:t xml:space="preserve">ordered according to </w:t>
      </w:r>
      <w:r w:rsidRPr="00A52AB8">
        <w:rPr>
          <w:color w:val="000000" w:themeColor="text1"/>
        </w:rPr>
        <w:t>the output order index.</w:t>
      </w:r>
    </w:p>
    <w:p w14:paraId="165CD233" w14:textId="47EC8C2C" w:rsidR="00D56F3C" w:rsidRPr="00A52AB8" w:rsidRDefault="00D56F3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To align the composition times of the decoded geometry</w:t>
      </w:r>
      <w:r w:rsidR="00CC2297" w:rsidRPr="00A52AB8">
        <w:rPr>
          <w:color w:val="000000" w:themeColor="text1"/>
        </w:rPr>
        <w:t xml:space="preserve"> </w:t>
      </w:r>
      <w:r w:rsidRPr="00A52AB8">
        <w:rPr>
          <w:color w:val="000000" w:themeColor="text1"/>
        </w:rPr>
        <w:t xml:space="preserve">and the decoded atlas frames, </w:t>
      </w:r>
      <w:r w:rsidR="00D36A35" w:rsidRPr="00A52AB8">
        <w:rPr>
          <w:color w:val="000000" w:themeColor="text1"/>
        </w:rPr>
        <w:t>subclause </w:t>
      </w:r>
      <w:r w:rsidRPr="00496A4D">
        <w:rPr>
          <w:color w:val="000000" w:themeColor="text1"/>
        </w:rPr>
        <w:fldChar w:fldCharType="begin"/>
      </w:r>
      <w:r w:rsidRPr="00A52AB8">
        <w:rPr>
          <w:color w:val="000000" w:themeColor="text1"/>
        </w:rPr>
        <w:instrText xml:space="preserve"> REF _Ref41282304 \r \h </w:instrText>
      </w:r>
      <w:r w:rsidR="00CA5401"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B.3.4.2</w:t>
      </w:r>
      <w:r w:rsidRPr="00496A4D">
        <w:rPr>
          <w:color w:val="000000" w:themeColor="text1"/>
        </w:rPr>
        <w:fldChar w:fldCharType="end"/>
      </w:r>
      <w:r w:rsidRPr="00A52AB8">
        <w:rPr>
          <w:color w:val="000000" w:themeColor="text1"/>
        </w:rPr>
        <w:t xml:space="preserve"> </w:t>
      </w:r>
      <w:r w:rsidR="00167787" w:rsidRPr="00A52AB8">
        <w:rPr>
          <w:color w:val="000000" w:themeColor="text1"/>
        </w:rPr>
        <w:t>is invoked</w:t>
      </w:r>
      <w:r w:rsidR="008752B8" w:rsidRPr="00A52AB8">
        <w:rPr>
          <w:color w:val="000000" w:themeColor="text1"/>
        </w:rPr>
        <w:t xml:space="preserve"> for each map index</w:t>
      </w:r>
      <w:r w:rsidR="00EE4B87" w:rsidRPr="00A52AB8">
        <w:rPr>
          <w:color w:val="000000" w:themeColor="text1"/>
        </w:rPr>
        <w:t>,</w:t>
      </w:r>
      <w:r w:rsidR="008752B8" w:rsidRPr="00A52AB8">
        <w:rPr>
          <w:color w:val="000000" w:themeColor="text1"/>
        </w:rPr>
        <w:t xml:space="preserve"> mapIdx</w:t>
      </w:r>
      <w:r w:rsidR="00167787" w:rsidRPr="00A52AB8">
        <w:rPr>
          <w:color w:val="000000" w:themeColor="text1"/>
        </w:rPr>
        <w:t xml:space="preserve">, </w:t>
      </w:r>
      <w:r w:rsidR="00D0454A" w:rsidRPr="00A52AB8">
        <w:rPr>
          <w:color w:val="000000" w:themeColor="text1"/>
        </w:rPr>
        <w:t xml:space="preserve">with </w:t>
      </w:r>
      <w:r w:rsidR="00BD636C" w:rsidRPr="00A52AB8">
        <w:rPr>
          <w:color w:val="000000" w:themeColor="text1"/>
        </w:rPr>
        <w:t xml:space="preserve">variables </w:t>
      </w:r>
      <w:r w:rsidR="00D0454A" w:rsidRPr="00A52AB8">
        <w:rPr>
          <w:color w:val="000000" w:themeColor="text1"/>
        </w:rPr>
        <w:t xml:space="preserve">NumDecAtlasFrames, </w:t>
      </w:r>
      <w:r w:rsidR="004C574A" w:rsidRPr="00A52AB8">
        <w:rPr>
          <w:color w:val="000000" w:themeColor="text1"/>
        </w:rPr>
        <w:t>rangeOutOrdIdx</w:t>
      </w:r>
      <w:r w:rsidR="00D0454A" w:rsidRPr="00A52AB8">
        <w:rPr>
          <w:color w:val="000000" w:themeColor="text1"/>
        </w:rPr>
        <w:t xml:space="preserve">[ mapIdx ], geoNumComp, VideoHeightNF, </w:t>
      </w:r>
      <w:r w:rsidR="00BD636C" w:rsidRPr="00A52AB8">
        <w:rPr>
          <w:color w:val="000000" w:themeColor="text1"/>
        </w:rPr>
        <w:t xml:space="preserve">and </w:t>
      </w:r>
      <w:r w:rsidR="00D0454A" w:rsidRPr="00A52AB8">
        <w:rPr>
          <w:color w:val="000000" w:themeColor="text1"/>
        </w:rPr>
        <w:t xml:space="preserve">VideoWidthNF, </w:t>
      </w:r>
      <w:r w:rsidR="00BD636C" w:rsidRPr="00A52AB8">
        <w:rPr>
          <w:color w:val="000000" w:themeColor="text1"/>
        </w:rPr>
        <w:t xml:space="preserve">and arrays DecAtlasOutOrdIdx, DecAtlasCompTime, </w:t>
      </w:r>
      <w:r w:rsidR="00D0454A" w:rsidRPr="00A52AB8">
        <w:rPr>
          <w:color w:val="000000" w:themeColor="text1"/>
        </w:rPr>
        <w:t>decGeoFrame</w:t>
      </w:r>
      <w:r w:rsidR="007D6D40" w:rsidRPr="00A52AB8">
        <w:rPr>
          <w:color w:val="000000" w:themeColor="text1"/>
        </w:rPr>
        <w:t>s</w:t>
      </w:r>
      <w:r w:rsidR="00D0454A" w:rsidRPr="00A52AB8">
        <w:rPr>
          <w:color w:val="000000" w:themeColor="text1"/>
        </w:rPr>
        <w:t>ONF[</w:t>
      </w:r>
      <w:r w:rsidR="00A92293" w:rsidRPr="00A52AB8">
        <w:rPr>
          <w:color w:val="000000" w:themeColor="text1"/>
        </w:rPr>
        <w:t> </w:t>
      </w:r>
      <w:r w:rsidR="00D0454A" w:rsidRPr="00A52AB8">
        <w:rPr>
          <w:color w:val="000000" w:themeColor="text1"/>
        </w:rPr>
        <w:t>mapIdx</w:t>
      </w:r>
      <w:r w:rsidR="00A92293" w:rsidRPr="00A52AB8">
        <w:rPr>
          <w:color w:val="000000" w:themeColor="text1"/>
        </w:rPr>
        <w:t> </w:t>
      </w:r>
      <w:r w:rsidR="00D0454A" w:rsidRPr="00A52AB8">
        <w:rPr>
          <w:color w:val="000000" w:themeColor="text1"/>
        </w:rPr>
        <w:t>], decGeoCompTimeONF</w:t>
      </w:r>
      <w:r w:rsidR="00A92293" w:rsidRPr="00A52AB8">
        <w:rPr>
          <w:color w:val="000000" w:themeColor="text1"/>
        </w:rPr>
        <w:t>[ mapIdx ]</w:t>
      </w:r>
      <w:r w:rsidR="00D0454A" w:rsidRPr="00A52AB8">
        <w:rPr>
          <w:color w:val="000000" w:themeColor="text1"/>
        </w:rPr>
        <w:t>, and framePresent</w:t>
      </w:r>
      <w:r w:rsidR="00A92293" w:rsidRPr="00A52AB8">
        <w:rPr>
          <w:color w:val="000000" w:themeColor="text1"/>
        </w:rPr>
        <w:t>[ mapIdx ]</w:t>
      </w:r>
      <w:r w:rsidR="00BD636C" w:rsidRPr="00A52AB8">
        <w:rPr>
          <w:color w:val="000000" w:themeColor="text1"/>
        </w:rPr>
        <w:t xml:space="preserve"> as inputs</w:t>
      </w:r>
      <w:r w:rsidR="00D0454A" w:rsidRPr="00A52AB8">
        <w:rPr>
          <w:color w:val="000000" w:themeColor="text1"/>
        </w:rPr>
        <w:t>. The outputs of this process are the number of frames</w:t>
      </w:r>
      <w:r w:rsidR="00CF265D" w:rsidRPr="00A52AB8">
        <w:rPr>
          <w:color w:val="000000" w:themeColor="text1"/>
        </w:rPr>
        <w:t xml:space="preserve"> being output</w:t>
      </w:r>
      <w:r w:rsidR="00D0454A" w:rsidRPr="00A52AB8">
        <w:rPr>
          <w:color w:val="000000" w:themeColor="text1"/>
        </w:rPr>
        <w:t>, rangeCompTimeIdx, the output composition time</w:t>
      </w:r>
      <w:r w:rsidR="0007070E" w:rsidRPr="00A52AB8">
        <w:rPr>
          <w:color w:val="000000" w:themeColor="text1"/>
        </w:rPr>
        <w:t xml:space="preserve"> of each frame</w:t>
      </w:r>
      <w:r w:rsidR="00D0454A" w:rsidRPr="00A52AB8">
        <w:rPr>
          <w:color w:val="000000" w:themeColor="text1"/>
        </w:rPr>
        <w:t xml:space="preserve">, </w:t>
      </w:r>
      <w:r w:rsidR="00A92293" w:rsidRPr="00A52AB8">
        <w:rPr>
          <w:color w:val="000000" w:themeColor="text1"/>
        </w:rPr>
        <w:t>geo</w:t>
      </w:r>
      <w:r w:rsidR="00D0454A" w:rsidRPr="00A52AB8">
        <w:rPr>
          <w:color w:val="000000" w:themeColor="text1"/>
        </w:rPr>
        <w:t>CompTime</w:t>
      </w:r>
      <w:r w:rsidR="00F20BC1" w:rsidRPr="00A52AB8">
        <w:rPr>
          <w:color w:val="000000" w:themeColor="text1"/>
        </w:rPr>
        <w:t>[ mapIdx ]</w:t>
      </w:r>
      <w:r w:rsidR="00D0454A" w:rsidRPr="00A52AB8">
        <w:rPr>
          <w:color w:val="000000" w:themeColor="text1"/>
        </w:rPr>
        <w:t xml:space="preserve">, and a sequence of frames in the nominal format aligned with the decoded atlas composition time, </w:t>
      </w:r>
      <w:r w:rsidR="00A92293" w:rsidRPr="00A52AB8">
        <w:rPr>
          <w:color w:val="000000" w:themeColor="text1"/>
        </w:rPr>
        <w:t>Geo</w:t>
      </w:r>
      <w:r w:rsidR="00D0454A" w:rsidRPr="00A52AB8">
        <w:rPr>
          <w:color w:val="000000" w:themeColor="text1"/>
        </w:rPr>
        <w:t>Frame</w:t>
      </w:r>
      <w:r w:rsidR="007D6D40" w:rsidRPr="00A52AB8">
        <w:rPr>
          <w:color w:val="000000" w:themeColor="text1"/>
        </w:rPr>
        <w:t>s</w:t>
      </w:r>
      <w:r w:rsidR="00D0454A" w:rsidRPr="00A52AB8">
        <w:rPr>
          <w:color w:val="000000" w:themeColor="text1"/>
        </w:rPr>
        <w:t>NF</w:t>
      </w:r>
      <w:r w:rsidR="00A92293" w:rsidRPr="00A52AB8">
        <w:rPr>
          <w:color w:val="000000" w:themeColor="text1"/>
        </w:rPr>
        <w:t>[ mapIdx ]</w:t>
      </w:r>
      <w:r w:rsidR="00CD6C4B" w:rsidRPr="00A52AB8">
        <w:rPr>
          <w:color w:val="000000" w:themeColor="text1"/>
        </w:rPr>
        <w:t>.</w:t>
      </w:r>
    </w:p>
    <w:p w14:paraId="01F89EC9" w14:textId="6352123F" w:rsidR="00D56F3C" w:rsidRPr="00A52AB8" w:rsidRDefault="00D56F3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To </w:t>
      </w:r>
      <w:r w:rsidR="008150BB" w:rsidRPr="00A52AB8">
        <w:rPr>
          <w:color w:val="000000" w:themeColor="text1"/>
        </w:rPr>
        <w:t>synthesize the maps of</w:t>
      </w:r>
      <w:r w:rsidRPr="00A52AB8">
        <w:rPr>
          <w:color w:val="000000" w:themeColor="text1"/>
        </w:rPr>
        <w:t xml:space="preserve"> the geometry, </w:t>
      </w:r>
      <w:r w:rsidR="00D36A35" w:rsidRPr="00A52AB8">
        <w:rPr>
          <w:color w:val="000000" w:themeColor="text1"/>
        </w:rPr>
        <w:t>subclause</w:t>
      </w:r>
      <w:r w:rsidR="00291D71" w:rsidRPr="00A52AB8">
        <w:rPr>
          <w:color w:val="000000" w:themeColor="text1"/>
        </w:rPr>
        <w:t> </w:t>
      </w:r>
      <w:r w:rsidRPr="00496A4D">
        <w:rPr>
          <w:color w:val="000000" w:themeColor="text1"/>
        </w:rPr>
        <w:fldChar w:fldCharType="begin"/>
      </w:r>
      <w:r w:rsidRPr="00A52AB8">
        <w:rPr>
          <w:color w:val="000000" w:themeColor="text1"/>
        </w:rPr>
        <w:instrText xml:space="preserve"> REF _Ref39768371 \r \h </w:instrText>
      </w:r>
      <w:r w:rsidR="00CA5401"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B.3.7</w:t>
      </w:r>
      <w:r w:rsidRPr="00496A4D">
        <w:rPr>
          <w:color w:val="000000" w:themeColor="text1"/>
        </w:rPr>
        <w:fldChar w:fldCharType="end"/>
      </w:r>
      <w:r w:rsidRPr="00A52AB8">
        <w:rPr>
          <w:color w:val="000000" w:themeColor="text1"/>
        </w:rPr>
        <w:t xml:space="preserve"> </w:t>
      </w:r>
      <w:r w:rsidR="00CF5586" w:rsidRPr="00A52AB8">
        <w:rPr>
          <w:color w:val="000000" w:themeColor="text1"/>
        </w:rPr>
        <w:t>is invoked with</w:t>
      </w:r>
      <w:r w:rsidR="00CF5586" w:rsidRPr="00A52AB8" w:rsidDel="00CF5586">
        <w:rPr>
          <w:color w:val="000000" w:themeColor="text1"/>
        </w:rPr>
        <w:t xml:space="preserve"> </w:t>
      </w:r>
      <w:r w:rsidR="00BD636C" w:rsidRPr="00A52AB8">
        <w:rPr>
          <w:color w:val="000000" w:themeColor="text1"/>
        </w:rPr>
        <w:t xml:space="preserve">variables </w:t>
      </w:r>
      <w:r w:rsidR="00C7189D" w:rsidRPr="00A52AB8">
        <w:rPr>
          <w:color w:val="000000" w:themeColor="text1"/>
        </w:rPr>
        <w:t>geoMultipleMapsPresentFlag</w:t>
      </w:r>
      <w:r w:rsidR="00735754" w:rsidRPr="00A52AB8">
        <w:rPr>
          <w:color w:val="000000" w:themeColor="text1"/>
        </w:rPr>
        <w:t xml:space="preserve">, geoMapCount, rangeCompTimeIdx, </w:t>
      </w:r>
      <w:r w:rsidR="009955A9" w:rsidRPr="00A52AB8">
        <w:rPr>
          <w:color w:val="000000" w:themeColor="text1"/>
        </w:rPr>
        <w:t xml:space="preserve">GeoBitDepthNF, </w:t>
      </w:r>
      <w:r w:rsidR="00735754" w:rsidRPr="00A52AB8">
        <w:rPr>
          <w:color w:val="000000" w:themeColor="text1"/>
        </w:rPr>
        <w:t xml:space="preserve">geoNumComp, </w:t>
      </w:r>
      <w:r w:rsidR="009955A9" w:rsidRPr="00A52AB8">
        <w:rPr>
          <w:color w:val="000000" w:themeColor="text1"/>
        </w:rPr>
        <w:t xml:space="preserve">VideoHeightNF, </w:t>
      </w:r>
      <w:r w:rsidR="00BD636C" w:rsidRPr="00A52AB8">
        <w:rPr>
          <w:color w:val="000000" w:themeColor="text1"/>
        </w:rPr>
        <w:t xml:space="preserve">and </w:t>
      </w:r>
      <w:r w:rsidR="009955A9" w:rsidRPr="00A52AB8">
        <w:rPr>
          <w:color w:val="000000" w:themeColor="text1"/>
        </w:rPr>
        <w:t>VideoWidthNF</w:t>
      </w:r>
      <w:r w:rsidR="00735754" w:rsidRPr="00A52AB8">
        <w:rPr>
          <w:color w:val="000000" w:themeColor="text1"/>
        </w:rPr>
        <w:t xml:space="preserve">, </w:t>
      </w:r>
      <w:r w:rsidR="00BD636C" w:rsidRPr="00A52AB8">
        <w:rPr>
          <w:color w:val="000000" w:themeColor="text1"/>
        </w:rPr>
        <w:t xml:space="preserve">and arrays </w:t>
      </w:r>
      <w:r w:rsidR="00735754" w:rsidRPr="00A52AB8">
        <w:rPr>
          <w:color w:val="000000" w:themeColor="text1"/>
        </w:rPr>
        <w:t xml:space="preserve">GeoFramesNF and </w:t>
      </w:r>
      <w:r w:rsidR="00C7189D" w:rsidRPr="00A52AB8">
        <w:rPr>
          <w:color w:val="000000" w:themeColor="text1"/>
        </w:rPr>
        <w:t>geoMapAbsCodingFlag</w:t>
      </w:r>
      <w:r w:rsidR="00BD636C" w:rsidRPr="00A52AB8">
        <w:rPr>
          <w:color w:val="000000" w:themeColor="text1"/>
        </w:rPr>
        <w:t xml:space="preserve"> as inputs</w:t>
      </w:r>
      <w:r w:rsidR="00CD6C4B" w:rsidRPr="00A52AB8">
        <w:rPr>
          <w:color w:val="000000" w:themeColor="text1"/>
        </w:rPr>
        <w:t xml:space="preserve">. The output of this process is the </w:t>
      </w:r>
      <w:r w:rsidR="00CF5586" w:rsidRPr="00A52AB8">
        <w:rPr>
          <w:color w:val="000000" w:themeColor="text1"/>
        </w:rPr>
        <w:t xml:space="preserve">updated </w:t>
      </w:r>
      <w:r w:rsidR="00CD6C4B" w:rsidRPr="00A52AB8">
        <w:rPr>
          <w:color w:val="000000" w:themeColor="text1"/>
        </w:rPr>
        <w:t xml:space="preserve">decoded geometry frame in </w:t>
      </w:r>
      <w:r w:rsidR="0071441E" w:rsidRPr="00A52AB8">
        <w:rPr>
          <w:color w:val="000000" w:themeColor="text1"/>
        </w:rPr>
        <w:t xml:space="preserve">the </w:t>
      </w:r>
      <w:r w:rsidR="00CD6C4B" w:rsidRPr="00A52AB8">
        <w:rPr>
          <w:color w:val="000000" w:themeColor="text1"/>
        </w:rPr>
        <w:t xml:space="preserve">nominal format, </w:t>
      </w:r>
      <w:r w:rsidR="00CF5586" w:rsidRPr="00A52AB8">
        <w:rPr>
          <w:color w:val="000000" w:themeColor="text1"/>
        </w:rPr>
        <w:t>GeoFrame</w:t>
      </w:r>
      <w:r w:rsidR="007D6D40" w:rsidRPr="00A52AB8">
        <w:rPr>
          <w:color w:val="000000" w:themeColor="text1"/>
        </w:rPr>
        <w:t>s</w:t>
      </w:r>
      <w:r w:rsidR="00CF5586" w:rsidRPr="00A52AB8">
        <w:rPr>
          <w:color w:val="000000" w:themeColor="text1"/>
        </w:rPr>
        <w:t>NF</w:t>
      </w:r>
      <w:r w:rsidR="00751A9F" w:rsidRPr="00A52AB8">
        <w:rPr>
          <w:color w:val="000000" w:themeColor="text1"/>
        </w:rPr>
        <w:t>, containing synthesized geometry values</w:t>
      </w:r>
      <w:r w:rsidR="00CD6C4B" w:rsidRPr="00A52AB8">
        <w:rPr>
          <w:color w:val="000000" w:themeColor="text1"/>
        </w:rPr>
        <w:t>.</w:t>
      </w:r>
    </w:p>
    <w:p w14:paraId="39F03799" w14:textId="77777777" w:rsidR="00D56F3C" w:rsidRPr="00A52AB8" w:rsidRDefault="00D56F3C" w:rsidP="00EE3D19">
      <w:pPr>
        <w:pStyle w:val="a4"/>
        <w:numPr>
          <w:ilvl w:val="2"/>
          <w:numId w:val="19"/>
        </w:numPr>
        <w:outlineLvl w:val="2"/>
      </w:pPr>
      <w:r w:rsidRPr="00A52AB8">
        <w:t>Auxiliary g</w:t>
      </w:r>
      <w:bookmarkStart w:id="4851" w:name="_Ref38538024"/>
      <w:r w:rsidRPr="00A52AB8">
        <w:t xml:space="preserve">eometry </w:t>
      </w:r>
      <w:bookmarkEnd w:id="4851"/>
      <w:r w:rsidRPr="00A52AB8">
        <w:t>nominal format conversion</w:t>
      </w:r>
    </w:p>
    <w:p w14:paraId="60CDBD81" w14:textId="50C05CC2" w:rsidR="00CB1CD7" w:rsidRPr="00A52AB8" w:rsidRDefault="00CB1CD7" w:rsidP="00CB1CD7">
      <w:pPr>
        <w:rPr>
          <w:lang w:eastAsia="ja-JP"/>
        </w:rPr>
      </w:pPr>
      <w:r w:rsidRPr="00A52AB8">
        <w:rPr>
          <w:lang w:eastAsia="ja-JP"/>
        </w:rPr>
        <w:t xml:space="preserve">This process converts the decoded auxiliary geometry </w:t>
      </w:r>
      <w:r w:rsidR="00D334C0" w:rsidRPr="00A52AB8">
        <w:rPr>
          <w:lang w:eastAsia="ja-JP"/>
        </w:rPr>
        <w:t>frames</w:t>
      </w:r>
      <w:r w:rsidR="000925C2" w:rsidRPr="00A52AB8">
        <w:rPr>
          <w:lang w:eastAsia="ja-JP"/>
        </w:rPr>
        <w:t>,</w:t>
      </w:r>
      <w:r w:rsidR="0019624E" w:rsidRPr="00A52AB8">
        <w:rPr>
          <w:lang w:eastAsia="ja-JP"/>
        </w:rPr>
        <w:t xml:space="preserve"> </w:t>
      </w:r>
      <w:r w:rsidR="0019624E" w:rsidRPr="00A52AB8">
        <w:rPr>
          <w:color w:val="000000" w:themeColor="text1"/>
        </w:rPr>
        <w:t>DecGeoAuxFrames</w:t>
      </w:r>
      <w:r w:rsidR="000925C2" w:rsidRPr="00A52AB8">
        <w:rPr>
          <w:color w:val="000000" w:themeColor="text1"/>
        </w:rPr>
        <w:t>,</w:t>
      </w:r>
      <w:r w:rsidRPr="00A52AB8">
        <w:rPr>
          <w:lang w:eastAsia="ja-JP"/>
        </w:rPr>
        <w:t xml:space="preserve"> to </w:t>
      </w:r>
      <w:r w:rsidR="00FA621E" w:rsidRPr="00A52AB8">
        <w:rPr>
          <w:lang w:eastAsia="ja-JP"/>
        </w:rPr>
        <w:t xml:space="preserve">the </w:t>
      </w:r>
      <w:r w:rsidRPr="00A52AB8">
        <w:rPr>
          <w:lang w:eastAsia="ja-JP"/>
        </w:rPr>
        <w:t>nominal format.</w:t>
      </w:r>
    </w:p>
    <w:p w14:paraId="66013149" w14:textId="77777777" w:rsidR="00926C24" w:rsidRPr="00A52AB8" w:rsidRDefault="00CB1CD7" w:rsidP="00CB1CD7">
      <w:pPr>
        <w:rPr>
          <w:lang w:eastAsia="ja-JP"/>
        </w:rPr>
      </w:pPr>
      <w:r w:rsidRPr="00A52AB8">
        <w:rPr>
          <w:lang w:eastAsia="ja-JP"/>
        </w:rPr>
        <w:t>Let the variables geo</w:t>
      </w:r>
      <w:r w:rsidR="000E0C4D" w:rsidRPr="00A52AB8">
        <w:rPr>
          <w:lang w:eastAsia="ja-JP"/>
        </w:rPr>
        <w:t>Aux</w:t>
      </w:r>
      <w:r w:rsidRPr="00A52AB8">
        <w:rPr>
          <w:lang w:eastAsia="ja-JP"/>
        </w:rPr>
        <w:t>NumComp</w:t>
      </w:r>
      <w:r w:rsidR="00470C09" w:rsidRPr="00A52AB8">
        <w:rPr>
          <w:lang w:eastAsia="ja-JP"/>
        </w:rPr>
        <w:t xml:space="preserve"> </w:t>
      </w:r>
      <w:r w:rsidRPr="00A52AB8">
        <w:rPr>
          <w:lang w:eastAsia="ja-JP"/>
        </w:rPr>
        <w:t xml:space="preserve">and geoMSBAlignFlag, be </w:t>
      </w:r>
      <w:r w:rsidR="00926C24" w:rsidRPr="00A52AB8">
        <w:rPr>
          <w:lang w:eastAsia="ja-JP"/>
        </w:rPr>
        <w:t>set as follows:</w:t>
      </w:r>
    </w:p>
    <w:p w14:paraId="1BCDD5BC" w14:textId="1AE62580" w:rsidR="00CB1CD7" w:rsidRPr="00A52AB8" w:rsidRDefault="00926C24" w:rsidP="00CB1CD7">
      <w:pPr>
        <w:rPr>
          <w:lang w:eastAsia="ja-JP"/>
        </w:rPr>
      </w:pPr>
      <w:r w:rsidRPr="00A52AB8">
        <w:rPr>
          <w:lang w:eastAsia="ja-JP"/>
        </w:rPr>
        <w:tab/>
        <w:t>geoAuxNumComp = 1</w:t>
      </w:r>
      <w:r w:rsidRPr="00A52AB8">
        <w:rPr>
          <w:lang w:eastAsia="ja-JP"/>
        </w:rPr>
        <w:br/>
      </w:r>
      <w:r w:rsidRPr="00A52AB8">
        <w:rPr>
          <w:lang w:eastAsia="ja-JP"/>
        </w:rPr>
        <w:tab/>
        <w:t>geoMSBAlignFlag = </w:t>
      </w:r>
      <w:r w:rsidR="00CB1CD7" w:rsidRPr="00A52AB8">
        <w:rPr>
          <w:color w:val="000000" w:themeColor="text1"/>
        </w:rPr>
        <w:t>gi_geometry_MSB_align_flag[ ConvAtlasID ]</w:t>
      </w:r>
    </w:p>
    <w:p w14:paraId="03291C61" w14:textId="77777777" w:rsidR="00D56F3C" w:rsidRPr="00A52AB8" w:rsidRDefault="00D56F3C" w:rsidP="00D56F3C">
      <w:pPr>
        <w:rPr>
          <w:lang w:eastAsia="ja-JP"/>
        </w:rPr>
      </w:pPr>
      <w:r w:rsidRPr="00A52AB8">
        <w:rPr>
          <w:lang w:eastAsia="ja-JP"/>
        </w:rPr>
        <w:t xml:space="preserve">Output of this process </w:t>
      </w:r>
      <w:r w:rsidR="00B84A19" w:rsidRPr="00A52AB8">
        <w:rPr>
          <w:lang w:eastAsia="ja-JP"/>
        </w:rPr>
        <w:t>is</w:t>
      </w:r>
      <w:r w:rsidRPr="00A52AB8">
        <w:rPr>
          <w:lang w:eastAsia="ja-JP"/>
        </w:rPr>
        <w:t>:</w:t>
      </w:r>
    </w:p>
    <w:p w14:paraId="7E2EA916" w14:textId="55E42983" w:rsidR="00C7771A" w:rsidRPr="00A52AB8" w:rsidRDefault="00C7771A"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the 4D array GeoAuxFrame</w:t>
      </w:r>
      <w:r w:rsidR="00153EEE" w:rsidRPr="00A52AB8">
        <w:rPr>
          <w:color w:val="000000" w:themeColor="text1"/>
        </w:rPr>
        <w:t>s</w:t>
      </w:r>
      <w:r w:rsidRPr="00A52AB8">
        <w:rPr>
          <w:color w:val="000000" w:themeColor="text1"/>
        </w:rPr>
        <w:t xml:space="preserve">NF, the decoded geometry frames in </w:t>
      </w:r>
      <w:r w:rsidR="0065222A" w:rsidRPr="00A52AB8">
        <w:rPr>
          <w:color w:val="000000" w:themeColor="text1"/>
        </w:rPr>
        <w:t xml:space="preserve">the </w:t>
      </w:r>
      <w:r w:rsidRPr="00A52AB8">
        <w:rPr>
          <w:color w:val="000000" w:themeColor="text1"/>
        </w:rPr>
        <w:t>nominal format, where the dimensions correspond to the geometry video frame index, the components, the column index, and the row index of the frames.</w:t>
      </w:r>
    </w:p>
    <w:p w14:paraId="385DE0DA" w14:textId="4444FABB" w:rsidR="00D56F3C" w:rsidRPr="00A52AB8" w:rsidRDefault="00D56F3C" w:rsidP="00C50EA0">
      <w:pPr>
        <w:pStyle w:val="Note1"/>
        <w:rPr>
          <w:rFonts w:ascii="Cambria" w:hAnsi="Cambria"/>
        </w:rPr>
      </w:pPr>
      <w:r w:rsidRPr="00A52AB8">
        <w:rPr>
          <w:rFonts w:ascii="Cambria" w:hAnsi="Cambria"/>
        </w:rPr>
        <w:t>NOTE </w:t>
      </w:r>
      <w:r w:rsidRPr="00496A4D">
        <w:rPr>
          <w:rFonts w:ascii="Cambria" w:hAnsi="Cambria"/>
        </w:rPr>
        <w:fldChar w:fldCharType="begin"/>
      </w:r>
      <w:r w:rsidRPr="00A52AB8">
        <w:rPr>
          <w:rFonts w:ascii="Cambria" w:hAnsi="Cambria"/>
        </w:rPr>
        <w:instrText xml:space="preserve"> SEQ NoteCounter \s 9 \* MERGEFORMAT </w:instrText>
      </w:r>
      <w:r w:rsidRPr="00496A4D">
        <w:rPr>
          <w:rFonts w:ascii="Cambria" w:hAnsi="Cambria"/>
        </w:rPr>
        <w:fldChar w:fldCharType="separate"/>
      </w:r>
      <w:r w:rsidR="00507A67">
        <w:rPr>
          <w:rFonts w:ascii="Cambria" w:hAnsi="Cambria"/>
          <w:noProof/>
        </w:rPr>
        <w:t>2</w:t>
      </w:r>
      <w:r w:rsidRPr="00496A4D">
        <w:rPr>
          <w:rFonts w:ascii="Cambria" w:hAnsi="Cambria"/>
        </w:rPr>
        <w:fldChar w:fldCharType="end"/>
      </w:r>
      <w:r w:rsidRPr="00A52AB8">
        <w:rPr>
          <w:rFonts w:ascii="Cambria" w:hAnsi="Cambria"/>
        </w:rPr>
        <w:t> –</w:t>
      </w:r>
      <w:r w:rsidR="00D45AB7" w:rsidRPr="00A52AB8">
        <w:rPr>
          <w:rFonts w:ascii="Cambria" w:hAnsi="Cambria"/>
        </w:rPr>
        <w:t> </w:t>
      </w:r>
      <w:r w:rsidR="00A4773F" w:rsidRPr="00A52AB8">
        <w:rPr>
          <w:rFonts w:ascii="Cambria" w:hAnsi="Cambria"/>
        </w:rPr>
        <w:t>The output of this process can also be achieved by a different combination of processes or variations of the processes described in this Annex. The specification and order described in this Annex is informative only.</w:t>
      </w:r>
    </w:p>
    <w:p w14:paraId="0487EC15" w14:textId="6815E234" w:rsidR="00D56F3C" w:rsidRPr="00A52AB8" w:rsidRDefault="00D56F3C" w:rsidP="00D56F3C">
      <w:pPr>
        <w:rPr>
          <w:lang w:eastAsia="ja-JP"/>
        </w:rPr>
      </w:pPr>
      <w:r w:rsidRPr="00A52AB8">
        <w:rPr>
          <w:lang w:eastAsia="ja-JP"/>
        </w:rPr>
        <w:t xml:space="preserve">To convert the </w:t>
      </w:r>
      <w:r w:rsidR="00EC3F2D" w:rsidRPr="00A52AB8">
        <w:rPr>
          <w:lang w:eastAsia="ja-JP"/>
        </w:rPr>
        <w:t xml:space="preserve">decoded </w:t>
      </w:r>
      <w:r w:rsidRPr="00A52AB8">
        <w:rPr>
          <w:lang w:eastAsia="ja-JP"/>
        </w:rPr>
        <w:t xml:space="preserve">auxiliary geometry </w:t>
      </w:r>
      <w:r w:rsidR="00EC3F2D" w:rsidRPr="00A52AB8">
        <w:rPr>
          <w:lang w:eastAsia="ja-JP"/>
        </w:rPr>
        <w:t xml:space="preserve">video </w:t>
      </w:r>
      <w:r w:rsidRPr="00A52AB8">
        <w:rPr>
          <w:lang w:eastAsia="ja-JP"/>
        </w:rPr>
        <w:t xml:space="preserve">to </w:t>
      </w:r>
      <w:r w:rsidR="00FA621E" w:rsidRPr="00A52AB8">
        <w:rPr>
          <w:lang w:eastAsia="ja-JP"/>
        </w:rPr>
        <w:t xml:space="preserve">the </w:t>
      </w:r>
      <w:r w:rsidRPr="00A52AB8">
        <w:rPr>
          <w:lang w:eastAsia="ja-JP"/>
        </w:rPr>
        <w:t>nominal format</w:t>
      </w:r>
      <w:r w:rsidR="00EC3F2D" w:rsidRPr="00A52AB8">
        <w:rPr>
          <w:lang w:eastAsia="ja-JP"/>
        </w:rPr>
        <w:t>, several processing steps may need to be performed depending on the original format of the decoded video. In particular:</w:t>
      </w:r>
    </w:p>
    <w:p w14:paraId="6D788FC8" w14:textId="16A6ECCE" w:rsidR="00D56F3C" w:rsidRPr="00A52AB8" w:rsidRDefault="00D56F3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To convert the bit</w:t>
      </w:r>
      <w:r w:rsidR="00E13EDC" w:rsidRPr="00A52AB8">
        <w:rPr>
          <w:color w:val="000000" w:themeColor="text1"/>
        </w:rPr>
        <w:t xml:space="preserve"> </w:t>
      </w:r>
      <w:r w:rsidRPr="00A52AB8">
        <w:rPr>
          <w:color w:val="000000" w:themeColor="text1"/>
        </w:rPr>
        <w:t>depth of the auxiliary geometry to the required nominal bit</w:t>
      </w:r>
      <w:r w:rsidR="00E13EDC" w:rsidRPr="00A52AB8">
        <w:rPr>
          <w:color w:val="000000" w:themeColor="text1"/>
        </w:rPr>
        <w:t xml:space="preserve"> </w:t>
      </w:r>
      <w:r w:rsidRPr="00A52AB8">
        <w:rPr>
          <w:color w:val="000000" w:themeColor="text1"/>
        </w:rPr>
        <w:t xml:space="preserve">depth resolution, </w:t>
      </w:r>
      <w:r w:rsidR="00B0497F" w:rsidRPr="00A52AB8">
        <w:rPr>
          <w:color w:val="000000" w:themeColor="text1"/>
        </w:rPr>
        <w:t>subclause </w:t>
      </w:r>
      <w:r w:rsidR="003D113D" w:rsidRPr="00496A4D">
        <w:rPr>
          <w:color w:val="000000" w:themeColor="text1"/>
        </w:rPr>
        <w:fldChar w:fldCharType="begin"/>
      </w:r>
      <w:r w:rsidR="003D113D" w:rsidRPr="00A52AB8">
        <w:rPr>
          <w:color w:val="000000" w:themeColor="text1"/>
        </w:rPr>
        <w:instrText xml:space="preserve"> REF _Ref47888150 \r \h </w:instrText>
      </w:r>
      <w:r w:rsidR="00851254" w:rsidRPr="00A52AB8">
        <w:rPr>
          <w:color w:val="000000" w:themeColor="text1"/>
        </w:rPr>
        <w:instrText xml:space="preserve"> \* MERGEFORMAT </w:instrText>
      </w:r>
      <w:r w:rsidR="003D113D" w:rsidRPr="00496A4D">
        <w:rPr>
          <w:color w:val="000000" w:themeColor="text1"/>
        </w:rPr>
      </w:r>
      <w:r w:rsidR="003D113D" w:rsidRPr="00496A4D">
        <w:rPr>
          <w:color w:val="000000" w:themeColor="text1"/>
        </w:rPr>
        <w:fldChar w:fldCharType="separate"/>
      </w:r>
      <w:r w:rsidR="00507A67">
        <w:rPr>
          <w:color w:val="000000" w:themeColor="text1"/>
        </w:rPr>
        <w:t>B.3.2</w:t>
      </w:r>
      <w:r w:rsidR="003D113D" w:rsidRPr="00496A4D">
        <w:rPr>
          <w:color w:val="000000" w:themeColor="text1"/>
        </w:rPr>
        <w:fldChar w:fldCharType="end"/>
      </w:r>
      <w:r w:rsidR="003D113D" w:rsidRPr="00A52AB8">
        <w:rPr>
          <w:color w:val="000000" w:themeColor="text1"/>
        </w:rPr>
        <w:t xml:space="preserve"> </w:t>
      </w:r>
      <w:r w:rsidR="00116062" w:rsidRPr="00A52AB8">
        <w:rPr>
          <w:color w:val="000000" w:themeColor="text1"/>
        </w:rPr>
        <w:t>is invoked for each</w:t>
      </w:r>
      <w:r w:rsidRPr="00A52AB8">
        <w:rPr>
          <w:color w:val="000000" w:themeColor="text1"/>
        </w:rPr>
        <w:t xml:space="preserve"> frame </w:t>
      </w:r>
      <w:r w:rsidR="00116062" w:rsidRPr="00A52AB8">
        <w:rPr>
          <w:color w:val="000000" w:themeColor="text1"/>
        </w:rPr>
        <w:t xml:space="preserve">index frameIdx, with </w:t>
      </w:r>
      <w:r w:rsidR="0017061E" w:rsidRPr="00A52AB8">
        <w:rPr>
          <w:color w:val="000000" w:themeColor="text1"/>
        </w:rPr>
        <w:t xml:space="preserve">variables </w:t>
      </w:r>
      <w:r w:rsidR="00116062" w:rsidRPr="00A52AB8">
        <w:rPr>
          <w:color w:val="000000" w:themeColor="text1"/>
        </w:rPr>
        <w:t>DecGeoAuxBitDepth[ frameIdx ], DecGeoAuxHeight[ frameIdx ], Dec</w:t>
      </w:r>
      <w:r w:rsidR="00CD3D1A" w:rsidRPr="00A52AB8">
        <w:rPr>
          <w:color w:val="000000" w:themeColor="text1"/>
        </w:rPr>
        <w:t>GeoAux</w:t>
      </w:r>
      <w:r w:rsidR="00116062" w:rsidRPr="00A52AB8">
        <w:rPr>
          <w:color w:val="000000" w:themeColor="text1"/>
        </w:rPr>
        <w:t xml:space="preserve">Width[ frameIdx ], </w:t>
      </w:r>
      <w:r w:rsidR="000313A0" w:rsidRPr="00A52AB8">
        <w:rPr>
          <w:color w:val="000000" w:themeColor="text1"/>
        </w:rPr>
        <w:t>GeoBitDepthNF</w:t>
      </w:r>
      <w:r w:rsidR="00116062" w:rsidRPr="00A52AB8">
        <w:rPr>
          <w:color w:val="000000" w:themeColor="text1"/>
        </w:rPr>
        <w:t xml:space="preserve">, and </w:t>
      </w:r>
      <w:r w:rsidR="000313A0" w:rsidRPr="00A52AB8">
        <w:rPr>
          <w:color w:val="000000" w:themeColor="text1"/>
        </w:rPr>
        <w:t>geoMSBAlignFlag</w:t>
      </w:r>
      <w:r w:rsidR="00116062" w:rsidRPr="00A52AB8">
        <w:rPr>
          <w:color w:val="000000" w:themeColor="text1"/>
        </w:rPr>
        <w:t xml:space="preserve">, </w:t>
      </w:r>
      <w:r w:rsidR="0017061E" w:rsidRPr="00A52AB8">
        <w:rPr>
          <w:color w:val="000000" w:themeColor="text1"/>
        </w:rPr>
        <w:t xml:space="preserve">and array DecGeoAuxFrames[ frameIdx ][ 0 ] </w:t>
      </w:r>
      <w:r w:rsidR="00116062" w:rsidRPr="00A52AB8">
        <w:rPr>
          <w:color w:val="000000" w:themeColor="text1"/>
        </w:rPr>
        <w:t>as inputs.</w:t>
      </w:r>
      <w:r w:rsidR="000313A0" w:rsidRPr="00A52AB8">
        <w:rPr>
          <w:color w:val="000000" w:themeColor="text1"/>
        </w:rPr>
        <w:t xml:space="preserve"> </w:t>
      </w:r>
      <w:r w:rsidR="00E13EDC" w:rsidRPr="00A52AB8">
        <w:rPr>
          <w:color w:val="000000" w:themeColor="text1"/>
        </w:rPr>
        <w:t xml:space="preserve">The output of this process is </w:t>
      </w:r>
      <w:r w:rsidR="00B050C9" w:rsidRPr="00A52AB8">
        <w:rPr>
          <w:color w:val="000000" w:themeColor="text1"/>
        </w:rPr>
        <w:t xml:space="preserve">the </w:t>
      </w:r>
      <w:r w:rsidR="00E13EDC" w:rsidRPr="00A52AB8">
        <w:rPr>
          <w:color w:val="000000" w:themeColor="text1"/>
        </w:rPr>
        <w:t xml:space="preserve">decoded auxiliary geometry frame </w:t>
      </w:r>
      <w:r w:rsidR="0071441E" w:rsidRPr="00A52AB8">
        <w:rPr>
          <w:color w:val="000000" w:themeColor="text1"/>
        </w:rPr>
        <w:t xml:space="preserve">at the </w:t>
      </w:r>
      <w:r w:rsidR="00E13EDC" w:rsidRPr="00A52AB8">
        <w:rPr>
          <w:color w:val="000000" w:themeColor="text1"/>
        </w:rPr>
        <w:t>nominal bit depth, decGeoAuxFrame</w:t>
      </w:r>
      <w:r w:rsidR="00FB7914" w:rsidRPr="00A52AB8">
        <w:rPr>
          <w:color w:val="000000" w:themeColor="text1"/>
        </w:rPr>
        <w:t>s</w:t>
      </w:r>
      <w:r w:rsidR="002661B9" w:rsidRPr="00A52AB8">
        <w:rPr>
          <w:color w:val="000000" w:themeColor="text1"/>
        </w:rPr>
        <w:t>NBD</w:t>
      </w:r>
      <w:r w:rsidR="00E13EDC" w:rsidRPr="00A52AB8">
        <w:rPr>
          <w:color w:val="000000" w:themeColor="text1"/>
        </w:rPr>
        <w:t>[ frameIdx ][ 0 ].</w:t>
      </w:r>
    </w:p>
    <w:p w14:paraId="4530E7AA" w14:textId="09D31106" w:rsidR="00D56F3C" w:rsidRPr="00A52AB8" w:rsidRDefault="00D56F3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To convert the frame resolution of the auxiliary geometry to the required nominal frame resolution, </w:t>
      </w:r>
      <w:r w:rsidR="00B0497F" w:rsidRPr="00A52AB8">
        <w:rPr>
          <w:color w:val="000000" w:themeColor="text1"/>
        </w:rPr>
        <w:t>subclause </w:t>
      </w:r>
      <w:r w:rsidRPr="00496A4D">
        <w:rPr>
          <w:color w:val="000000" w:themeColor="text1"/>
        </w:rPr>
        <w:fldChar w:fldCharType="begin"/>
      </w:r>
      <w:r w:rsidRPr="00A52AB8">
        <w:rPr>
          <w:color w:val="000000" w:themeColor="text1"/>
        </w:rPr>
        <w:instrText xml:space="preserve"> REF _Ref39656686 \r \h </w:instrText>
      </w:r>
      <w:r w:rsidR="00CA5401"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B.3.3</w:t>
      </w:r>
      <w:r w:rsidRPr="00496A4D">
        <w:rPr>
          <w:color w:val="000000" w:themeColor="text1"/>
        </w:rPr>
        <w:fldChar w:fldCharType="end"/>
      </w:r>
      <w:r w:rsidRPr="00A52AB8">
        <w:rPr>
          <w:color w:val="000000" w:themeColor="text1"/>
        </w:rPr>
        <w:t xml:space="preserve"> </w:t>
      </w:r>
      <w:r w:rsidR="002661B9" w:rsidRPr="00A52AB8">
        <w:rPr>
          <w:color w:val="000000" w:themeColor="text1"/>
        </w:rPr>
        <w:t xml:space="preserve">is invoked for each frame index frameIdx, with </w:t>
      </w:r>
      <w:r w:rsidR="0017061E" w:rsidRPr="00A52AB8">
        <w:rPr>
          <w:color w:val="000000" w:themeColor="text1"/>
        </w:rPr>
        <w:t xml:space="preserve">variables </w:t>
      </w:r>
      <w:r w:rsidR="002661B9" w:rsidRPr="00A52AB8">
        <w:rPr>
          <w:color w:val="000000" w:themeColor="text1"/>
        </w:rPr>
        <w:t>Dec</w:t>
      </w:r>
      <w:r w:rsidR="00813909" w:rsidRPr="00A52AB8">
        <w:rPr>
          <w:color w:val="000000" w:themeColor="text1"/>
        </w:rPr>
        <w:t>GeoAux</w:t>
      </w:r>
      <w:r w:rsidR="002661B9" w:rsidRPr="00A52AB8">
        <w:rPr>
          <w:color w:val="000000" w:themeColor="text1"/>
        </w:rPr>
        <w:t>Height[ frameIdx ], Dec</w:t>
      </w:r>
      <w:r w:rsidR="00813909" w:rsidRPr="00A52AB8">
        <w:rPr>
          <w:color w:val="000000" w:themeColor="text1"/>
        </w:rPr>
        <w:t>GeoAux</w:t>
      </w:r>
      <w:r w:rsidR="002661B9" w:rsidRPr="00A52AB8">
        <w:rPr>
          <w:color w:val="000000" w:themeColor="text1"/>
        </w:rPr>
        <w:t xml:space="preserve">Width[ frameIdx ], </w:t>
      </w:r>
      <w:r w:rsidR="007D654F" w:rsidRPr="00A52AB8">
        <w:rPr>
          <w:color w:val="000000" w:themeColor="text1"/>
        </w:rPr>
        <w:t>AuxVideoWidth</w:t>
      </w:r>
      <w:r w:rsidR="00734798" w:rsidRPr="00A52AB8">
        <w:rPr>
          <w:color w:val="000000" w:themeColor="text1"/>
        </w:rPr>
        <w:t>NF</w:t>
      </w:r>
      <w:r w:rsidRPr="00A52AB8">
        <w:rPr>
          <w:color w:val="000000" w:themeColor="text1"/>
        </w:rPr>
        <w:t xml:space="preserve">, </w:t>
      </w:r>
      <w:r w:rsidR="0017061E" w:rsidRPr="00A52AB8">
        <w:rPr>
          <w:color w:val="000000" w:themeColor="text1"/>
        </w:rPr>
        <w:t xml:space="preserve">and </w:t>
      </w:r>
      <w:r w:rsidR="007D654F" w:rsidRPr="00A52AB8">
        <w:rPr>
          <w:color w:val="000000" w:themeColor="text1"/>
        </w:rPr>
        <w:t>AuxVideoHeight</w:t>
      </w:r>
      <w:r w:rsidR="00734798" w:rsidRPr="00A52AB8">
        <w:rPr>
          <w:color w:val="000000" w:themeColor="text1"/>
        </w:rPr>
        <w:t>NF</w:t>
      </w:r>
      <w:r w:rsidR="002661B9" w:rsidRPr="00A52AB8">
        <w:rPr>
          <w:color w:val="000000" w:themeColor="text1"/>
        </w:rPr>
        <w:t>,</w:t>
      </w:r>
      <w:r w:rsidR="0017061E" w:rsidRPr="00A52AB8">
        <w:rPr>
          <w:color w:val="000000" w:themeColor="text1"/>
        </w:rPr>
        <w:t xml:space="preserve"> and array decGeoAuxFramesNBD[ frameIdx ][ 0 ]</w:t>
      </w:r>
      <w:r w:rsidR="002661B9" w:rsidRPr="00A52AB8">
        <w:rPr>
          <w:color w:val="000000" w:themeColor="text1"/>
        </w:rPr>
        <w:t xml:space="preserve"> as inputs</w:t>
      </w:r>
      <w:r w:rsidRPr="00A52AB8">
        <w:rPr>
          <w:color w:val="000000" w:themeColor="text1"/>
        </w:rPr>
        <w:t xml:space="preserve">. </w:t>
      </w:r>
      <w:r w:rsidR="00E13EDC" w:rsidRPr="00A52AB8">
        <w:rPr>
          <w:color w:val="000000" w:themeColor="text1"/>
        </w:rPr>
        <w:t xml:space="preserve">The output of this process is </w:t>
      </w:r>
      <w:r w:rsidR="0017061E" w:rsidRPr="00A52AB8">
        <w:rPr>
          <w:color w:val="000000" w:themeColor="text1"/>
        </w:rPr>
        <w:t>the</w:t>
      </w:r>
      <w:r w:rsidR="00E13EDC" w:rsidRPr="00A52AB8">
        <w:rPr>
          <w:color w:val="000000" w:themeColor="text1"/>
        </w:rPr>
        <w:t xml:space="preserve"> decoded </w:t>
      </w:r>
      <w:r w:rsidR="005E3D91" w:rsidRPr="00A52AB8">
        <w:rPr>
          <w:color w:val="000000" w:themeColor="text1"/>
        </w:rPr>
        <w:t>auxiliary</w:t>
      </w:r>
      <w:r w:rsidR="00E13EDC" w:rsidRPr="00A52AB8">
        <w:rPr>
          <w:color w:val="000000" w:themeColor="text1"/>
        </w:rPr>
        <w:t xml:space="preserve"> geometry frame </w:t>
      </w:r>
      <w:r w:rsidR="0071441E" w:rsidRPr="00A52AB8">
        <w:rPr>
          <w:color w:val="000000" w:themeColor="text1"/>
        </w:rPr>
        <w:t xml:space="preserve">at the </w:t>
      </w:r>
      <w:r w:rsidR="00E13EDC" w:rsidRPr="00A52AB8">
        <w:rPr>
          <w:color w:val="000000" w:themeColor="text1"/>
        </w:rPr>
        <w:t>nominal resolution, decGeoAuxFrame</w:t>
      </w:r>
      <w:r w:rsidR="00FB7914" w:rsidRPr="00A52AB8">
        <w:rPr>
          <w:color w:val="000000" w:themeColor="text1"/>
        </w:rPr>
        <w:t>s</w:t>
      </w:r>
      <w:r w:rsidR="00734798" w:rsidRPr="00A52AB8">
        <w:rPr>
          <w:color w:val="000000" w:themeColor="text1"/>
        </w:rPr>
        <w:t>N</w:t>
      </w:r>
      <w:r w:rsidR="000925C2" w:rsidRPr="00A52AB8">
        <w:rPr>
          <w:color w:val="000000" w:themeColor="text1"/>
        </w:rPr>
        <w:t>R</w:t>
      </w:r>
      <w:r w:rsidR="00E13EDC" w:rsidRPr="00A52AB8">
        <w:rPr>
          <w:color w:val="000000" w:themeColor="text1"/>
        </w:rPr>
        <w:t>[ frameIdx ][ 0 ].</w:t>
      </w:r>
    </w:p>
    <w:p w14:paraId="00342FEA" w14:textId="2E2E7FE7" w:rsidR="00D56F3C" w:rsidRPr="00A52AB8" w:rsidRDefault="00D56F3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To convert the auxiliary geometry frame order defined by frameIdx, to the required output order defined by ordIdx, </w:t>
      </w:r>
      <w:r w:rsidR="00B0497F" w:rsidRPr="00A52AB8">
        <w:rPr>
          <w:color w:val="000000" w:themeColor="text1"/>
        </w:rPr>
        <w:t>subclause </w:t>
      </w:r>
      <w:r w:rsidRPr="00496A4D">
        <w:rPr>
          <w:color w:val="000000" w:themeColor="text1"/>
        </w:rPr>
        <w:fldChar w:fldCharType="begin"/>
      </w:r>
      <w:r w:rsidRPr="00A52AB8">
        <w:rPr>
          <w:color w:val="000000" w:themeColor="text1"/>
        </w:rPr>
        <w:instrText xml:space="preserve"> REF _Ref41282299 \r \h </w:instrText>
      </w:r>
      <w:r w:rsidR="00CA5401"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B.3.4.1</w:t>
      </w:r>
      <w:r w:rsidRPr="00496A4D">
        <w:rPr>
          <w:color w:val="000000" w:themeColor="text1"/>
        </w:rPr>
        <w:fldChar w:fldCharType="end"/>
      </w:r>
      <w:r w:rsidRPr="00A52AB8">
        <w:rPr>
          <w:color w:val="000000" w:themeColor="text1"/>
        </w:rPr>
        <w:t xml:space="preserve"> </w:t>
      </w:r>
      <w:r w:rsidR="007847A2" w:rsidRPr="00A52AB8">
        <w:rPr>
          <w:color w:val="000000" w:themeColor="text1"/>
        </w:rPr>
        <w:t xml:space="preserve">is invoked with </w:t>
      </w:r>
      <w:r w:rsidR="0017061E" w:rsidRPr="00A52AB8">
        <w:rPr>
          <w:color w:val="000000" w:themeColor="text1"/>
        </w:rPr>
        <w:t xml:space="preserve">variables </w:t>
      </w:r>
      <w:r w:rsidR="007847A2" w:rsidRPr="00A52AB8">
        <w:rPr>
          <w:color w:val="000000" w:themeColor="text1"/>
        </w:rPr>
        <w:t xml:space="preserve">NumDecGeoAuxFrames, geoAuxNumComp, </w:t>
      </w:r>
      <w:r w:rsidR="001D0D26" w:rsidRPr="00A52AB8">
        <w:rPr>
          <w:color w:val="000000" w:themeColor="text1"/>
        </w:rPr>
        <w:t>AuxVideoHeightNF</w:t>
      </w:r>
      <w:r w:rsidR="007847A2" w:rsidRPr="00A52AB8">
        <w:rPr>
          <w:color w:val="000000" w:themeColor="text1"/>
        </w:rPr>
        <w:t xml:space="preserve">, </w:t>
      </w:r>
      <w:r w:rsidR="0017061E" w:rsidRPr="00A52AB8">
        <w:rPr>
          <w:color w:val="000000" w:themeColor="text1"/>
        </w:rPr>
        <w:t xml:space="preserve">and </w:t>
      </w:r>
      <w:r w:rsidR="001D0D26" w:rsidRPr="00A52AB8">
        <w:rPr>
          <w:color w:val="000000" w:themeColor="text1"/>
        </w:rPr>
        <w:t>AuxVideoWidthNF</w:t>
      </w:r>
      <w:r w:rsidR="007847A2" w:rsidRPr="00A52AB8">
        <w:rPr>
          <w:color w:val="000000" w:themeColor="text1"/>
        </w:rPr>
        <w:t xml:space="preserve">, </w:t>
      </w:r>
      <w:r w:rsidR="0017061E" w:rsidRPr="00A52AB8">
        <w:rPr>
          <w:color w:val="000000" w:themeColor="text1"/>
        </w:rPr>
        <w:t xml:space="preserve">and arrays </w:t>
      </w:r>
      <w:r w:rsidR="007847A2" w:rsidRPr="00A52AB8">
        <w:rPr>
          <w:color w:val="000000" w:themeColor="text1"/>
        </w:rPr>
        <w:t>decGeoAuxFrame</w:t>
      </w:r>
      <w:r w:rsidR="00FB7914" w:rsidRPr="00A52AB8">
        <w:rPr>
          <w:color w:val="000000" w:themeColor="text1"/>
        </w:rPr>
        <w:t>s</w:t>
      </w:r>
      <w:r w:rsidR="007847A2" w:rsidRPr="00A52AB8">
        <w:rPr>
          <w:color w:val="000000" w:themeColor="text1"/>
        </w:rPr>
        <w:t>NR, DecGeoAuxOutOr</w:t>
      </w:r>
      <w:r w:rsidR="00FE19A3" w:rsidRPr="00A52AB8">
        <w:rPr>
          <w:color w:val="000000" w:themeColor="text1"/>
        </w:rPr>
        <w:t>d</w:t>
      </w:r>
      <w:r w:rsidR="007847A2" w:rsidRPr="00A52AB8">
        <w:rPr>
          <w:color w:val="000000" w:themeColor="text1"/>
        </w:rPr>
        <w:t>Idx, and DecGeoAuxCompTime</w:t>
      </w:r>
      <w:r w:rsidR="0017061E" w:rsidRPr="00A52AB8">
        <w:rPr>
          <w:color w:val="000000" w:themeColor="text1"/>
        </w:rPr>
        <w:t xml:space="preserve"> as inputs</w:t>
      </w:r>
      <w:r w:rsidR="007847A2" w:rsidRPr="00A52AB8">
        <w:rPr>
          <w:color w:val="000000" w:themeColor="text1"/>
        </w:rPr>
        <w:t>. The outputs of this process are the number of frames</w:t>
      </w:r>
      <w:r w:rsidR="00CF265D" w:rsidRPr="00A52AB8">
        <w:rPr>
          <w:color w:val="000000" w:themeColor="text1"/>
        </w:rPr>
        <w:t xml:space="preserve"> being output</w:t>
      </w:r>
      <w:r w:rsidR="007847A2" w:rsidRPr="00A52AB8">
        <w:rPr>
          <w:color w:val="000000" w:themeColor="text1"/>
        </w:rPr>
        <w:t>, numOutOrd</w:t>
      </w:r>
      <w:r w:rsidR="00872DE9" w:rsidRPr="00A52AB8">
        <w:rPr>
          <w:color w:val="000000" w:themeColor="text1"/>
        </w:rPr>
        <w:t>GeoAux</w:t>
      </w:r>
      <w:r w:rsidR="007847A2" w:rsidRPr="00A52AB8">
        <w:rPr>
          <w:color w:val="000000" w:themeColor="text1"/>
        </w:rPr>
        <w:t xml:space="preserve">Frames, the decoded </w:t>
      </w:r>
      <w:r w:rsidR="00872DE9" w:rsidRPr="00A52AB8">
        <w:rPr>
          <w:color w:val="000000" w:themeColor="text1"/>
        </w:rPr>
        <w:t xml:space="preserve">auxiliary geometry </w:t>
      </w:r>
      <w:r w:rsidR="007847A2" w:rsidRPr="00A52AB8">
        <w:rPr>
          <w:color w:val="000000" w:themeColor="text1"/>
        </w:rPr>
        <w:t xml:space="preserve">frames </w:t>
      </w:r>
      <w:r w:rsidR="0007070E" w:rsidRPr="00A52AB8">
        <w:rPr>
          <w:color w:val="000000" w:themeColor="text1"/>
        </w:rPr>
        <w:t>ordered according to the output order index, decGeoAuxFramesONF,</w:t>
      </w:r>
      <w:r w:rsidR="0007070E" w:rsidRPr="00A52AB8" w:rsidDel="0007070E">
        <w:rPr>
          <w:color w:val="000000" w:themeColor="text1"/>
        </w:rPr>
        <w:t xml:space="preserve"> </w:t>
      </w:r>
      <w:r w:rsidR="0007070E" w:rsidRPr="00A52AB8">
        <w:rPr>
          <w:color w:val="000000" w:themeColor="text1"/>
        </w:rPr>
        <w:t xml:space="preserve">a 1D array, framePresent, indicating </w:t>
      </w:r>
      <w:r w:rsidR="007847A2" w:rsidRPr="00A52AB8">
        <w:rPr>
          <w:color w:val="000000" w:themeColor="text1"/>
        </w:rPr>
        <w:t xml:space="preserve">the presence of a frame, and </w:t>
      </w:r>
      <w:r w:rsidR="0007070E" w:rsidRPr="00A52AB8">
        <w:rPr>
          <w:color w:val="000000" w:themeColor="text1"/>
        </w:rPr>
        <w:t>a 1D array, decGeoAuxCompTimeONF, indicating the composition time of each frame ordered according to the output order index</w:t>
      </w:r>
      <w:r w:rsidR="00E13EDC" w:rsidRPr="00A52AB8">
        <w:rPr>
          <w:color w:val="000000" w:themeColor="text1"/>
        </w:rPr>
        <w:t>.</w:t>
      </w:r>
    </w:p>
    <w:p w14:paraId="6D1EDE99" w14:textId="5A9F6C75" w:rsidR="00D56F3C" w:rsidRPr="00A52AB8" w:rsidRDefault="002F176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To align the composition times of the decoded auxiliary geometry frames in output order and the decoded atlas frames</w:t>
      </w:r>
      <w:r w:rsidR="00D56F3C" w:rsidRPr="00A52AB8">
        <w:rPr>
          <w:color w:val="000000" w:themeColor="text1"/>
        </w:rPr>
        <w:t xml:space="preserve">, </w:t>
      </w:r>
      <w:r w:rsidR="00B0497F" w:rsidRPr="00A52AB8">
        <w:rPr>
          <w:color w:val="000000" w:themeColor="text1"/>
        </w:rPr>
        <w:t>subclause </w:t>
      </w:r>
      <w:r w:rsidR="00D56F3C" w:rsidRPr="00496A4D">
        <w:rPr>
          <w:color w:val="000000" w:themeColor="text1"/>
        </w:rPr>
        <w:fldChar w:fldCharType="begin"/>
      </w:r>
      <w:r w:rsidR="00D56F3C" w:rsidRPr="00A52AB8">
        <w:rPr>
          <w:color w:val="000000" w:themeColor="text1"/>
        </w:rPr>
        <w:instrText xml:space="preserve"> REF _Ref41282304 \r \h </w:instrText>
      </w:r>
      <w:r w:rsidR="00CA5401" w:rsidRPr="00A52AB8">
        <w:rPr>
          <w:color w:val="000000" w:themeColor="text1"/>
        </w:rPr>
        <w:instrText xml:space="preserve"> \* MERGEFORMAT </w:instrText>
      </w:r>
      <w:r w:rsidR="00D56F3C" w:rsidRPr="00496A4D">
        <w:rPr>
          <w:color w:val="000000" w:themeColor="text1"/>
        </w:rPr>
      </w:r>
      <w:r w:rsidR="00D56F3C" w:rsidRPr="00496A4D">
        <w:rPr>
          <w:color w:val="000000" w:themeColor="text1"/>
        </w:rPr>
        <w:fldChar w:fldCharType="separate"/>
      </w:r>
      <w:r w:rsidR="00507A67">
        <w:rPr>
          <w:color w:val="000000" w:themeColor="text1"/>
        </w:rPr>
        <w:t>B.3.4.2</w:t>
      </w:r>
      <w:r w:rsidR="00D56F3C" w:rsidRPr="00496A4D">
        <w:rPr>
          <w:color w:val="000000" w:themeColor="text1"/>
        </w:rPr>
        <w:fldChar w:fldCharType="end"/>
      </w:r>
      <w:r w:rsidR="00D56F3C" w:rsidRPr="00A52AB8">
        <w:rPr>
          <w:color w:val="000000" w:themeColor="text1"/>
        </w:rPr>
        <w:t xml:space="preserve"> </w:t>
      </w:r>
      <w:r w:rsidR="00832343" w:rsidRPr="00A52AB8">
        <w:rPr>
          <w:color w:val="000000" w:themeColor="text1"/>
        </w:rPr>
        <w:t xml:space="preserve">is invoked with </w:t>
      </w:r>
      <w:r w:rsidR="0017061E" w:rsidRPr="00A52AB8">
        <w:rPr>
          <w:color w:val="000000" w:themeColor="text1"/>
        </w:rPr>
        <w:t xml:space="preserve">variables </w:t>
      </w:r>
      <w:r w:rsidR="00832343" w:rsidRPr="00A52AB8">
        <w:rPr>
          <w:color w:val="000000" w:themeColor="text1"/>
        </w:rPr>
        <w:t>NumDecAtlasFrames, numOutOrd</w:t>
      </w:r>
      <w:r w:rsidR="002C65F1" w:rsidRPr="00A52AB8">
        <w:rPr>
          <w:color w:val="000000" w:themeColor="text1"/>
        </w:rPr>
        <w:t>GeoAux</w:t>
      </w:r>
      <w:r w:rsidR="00832343" w:rsidRPr="00A52AB8">
        <w:rPr>
          <w:color w:val="000000" w:themeColor="text1"/>
        </w:rPr>
        <w:t xml:space="preserve">Frames, </w:t>
      </w:r>
      <w:r w:rsidR="002C65F1" w:rsidRPr="00A52AB8">
        <w:rPr>
          <w:color w:val="000000" w:themeColor="text1"/>
        </w:rPr>
        <w:t>geoAux</w:t>
      </w:r>
      <w:r w:rsidR="00832343" w:rsidRPr="00A52AB8">
        <w:rPr>
          <w:color w:val="000000" w:themeColor="text1"/>
        </w:rPr>
        <w:t xml:space="preserve">NumComp, </w:t>
      </w:r>
      <w:r w:rsidR="001D0D26" w:rsidRPr="00A52AB8">
        <w:rPr>
          <w:color w:val="000000" w:themeColor="text1"/>
        </w:rPr>
        <w:t>AuxVideoHeightNF</w:t>
      </w:r>
      <w:r w:rsidR="00832343" w:rsidRPr="00A52AB8">
        <w:rPr>
          <w:color w:val="000000" w:themeColor="text1"/>
        </w:rPr>
        <w:t xml:space="preserve">, </w:t>
      </w:r>
      <w:r w:rsidR="0017061E" w:rsidRPr="00A52AB8">
        <w:rPr>
          <w:color w:val="000000" w:themeColor="text1"/>
        </w:rPr>
        <w:t xml:space="preserve">and </w:t>
      </w:r>
      <w:r w:rsidR="001D0D26" w:rsidRPr="00A52AB8">
        <w:rPr>
          <w:color w:val="000000" w:themeColor="text1"/>
        </w:rPr>
        <w:t>AuxVideoWidthNF</w:t>
      </w:r>
      <w:r w:rsidR="00832343" w:rsidRPr="00A52AB8">
        <w:rPr>
          <w:color w:val="000000" w:themeColor="text1"/>
        </w:rPr>
        <w:t xml:space="preserve">, </w:t>
      </w:r>
      <w:r w:rsidR="0017061E" w:rsidRPr="00A52AB8">
        <w:rPr>
          <w:color w:val="000000" w:themeColor="text1"/>
        </w:rPr>
        <w:t xml:space="preserve">and arrays DecAtlasOutOrdIdx, DecAtlasCompTime, </w:t>
      </w:r>
      <w:r w:rsidR="00832343" w:rsidRPr="00A52AB8">
        <w:rPr>
          <w:color w:val="000000" w:themeColor="text1"/>
        </w:rPr>
        <w:t>dec</w:t>
      </w:r>
      <w:r w:rsidR="002C65F1" w:rsidRPr="00A52AB8">
        <w:rPr>
          <w:color w:val="000000" w:themeColor="text1"/>
        </w:rPr>
        <w:t>GeoAux</w:t>
      </w:r>
      <w:r w:rsidR="00832343" w:rsidRPr="00A52AB8">
        <w:rPr>
          <w:color w:val="000000" w:themeColor="text1"/>
        </w:rPr>
        <w:t>Frame</w:t>
      </w:r>
      <w:r w:rsidR="00FB7914" w:rsidRPr="00A52AB8">
        <w:rPr>
          <w:color w:val="000000" w:themeColor="text1"/>
        </w:rPr>
        <w:t>s</w:t>
      </w:r>
      <w:r w:rsidR="00832343" w:rsidRPr="00A52AB8">
        <w:rPr>
          <w:color w:val="000000" w:themeColor="text1"/>
        </w:rPr>
        <w:t>ONF, dec</w:t>
      </w:r>
      <w:r w:rsidR="00636092" w:rsidRPr="00A52AB8">
        <w:rPr>
          <w:color w:val="000000" w:themeColor="text1"/>
        </w:rPr>
        <w:t>GeoAux</w:t>
      </w:r>
      <w:r w:rsidR="00832343" w:rsidRPr="00A52AB8">
        <w:rPr>
          <w:color w:val="000000" w:themeColor="text1"/>
        </w:rPr>
        <w:t>CompTimeONF, and framePresent</w:t>
      </w:r>
      <w:r w:rsidR="0017061E" w:rsidRPr="00A52AB8">
        <w:rPr>
          <w:color w:val="000000" w:themeColor="text1"/>
        </w:rPr>
        <w:t xml:space="preserve"> as inputs</w:t>
      </w:r>
      <w:r w:rsidR="00832343" w:rsidRPr="00A52AB8">
        <w:rPr>
          <w:color w:val="000000" w:themeColor="text1"/>
        </w:rPr>
        <w:t>. The outputs of this process are the number of frames, rangeCompTimeIdx, the output composition time</w:t>
      </w:r>
      <w:r w:rsidR="0007070E" w:rsidRPr="00A52AB8">
        <w:rPr>
          <w:color w:val="000000" w:themeColor="text1"/>
        </w:rPr>
        <w:t xml:space="preserve"> of each frame</w:t>
      </w:r>
      <w:r w:rsidR="00832343" w:rsidRPr="00A52AB8">
        <w:rPr>
          <w:color w:val="000000" w:themeColor="text1"/>
        </w:rPr>
        <w:t xml:space="preserve">, </w:t>
      </w:r>
      <w:r w:rsidR="00636092" w:rsidRPr="00A52AB8">
        <w:rPr>
          <w:color w:val="000000" w:themeColor="text1"/>
        </w:rPr>
        <w:t>auxGeo</w:t>
      </w:r>
      <w:r w:rsidR="00832343" w:rsidRPr="00A52AB8">
        <w:rPr>
          <w:color w:val="000000" w:themeColor="text1"/>
        </w:rPr>
        <w:t xml:space="preserve">CompTime, and a sequence of frames in the nominal format aligned with the decoded atlas composition time, </w:t>
      </w:r>
      <w:r w:rsidR="00636092" w:rsidRPr="00A52AB8">
        <w:rPr>
          <w:color w:val="000000" w:themeColor="text1"/>
        </w:rPr>
        <w:t>GeoAux</w:t>
      </w:r>
      <w:r w:rsidR="00832343" w:rsidRPr="00A52AB8">
        <w:rPr>
          <w:color w:val="000000" w:themeColor="text1"/>
        </w:rPr>
        <w:t>Frame</w:t>
      </w:r>
      <w:r w:rsidR="00FB7914" w:rsidRPr="00A52AB8">
        <w:rPr>
          <w:color w:val="000000" w:themeColor="text1"/>
        </w:rPr>
        <w:t>s</w:t>
      </w:r>
      <w:r w:rsidR="00832343" w:rsidRPr="00A52AB8">
        <w:rPr>
          <w:color w:val="000000" w:themeColor="text1"/>
        </w:rPr>
        <w:t>NF.</w:t>
      </w:r>
    </w:p>
    <w:p w14:paraId="544E956F" w14:textId="77777777" w:rsidR="00D56F3C" w:rsidRPr="00A52AB8" w:rsidRDefault="00D56F3C" w:rsidP="00EE3D19">
      <w:pPr>
        <w:pStyle w:val="a4"/>
        <w:numPr>
          <w:ilvl w:val="2"/>
          <w:numId w:val="19"/>
        </w:numPr>
        <w:outlineLvl w:val="2"/>
      </w:pPr>
      <w:bookmarkStart w:id="4852" w:name="_Ref38537953"/>
      <w:r w:rsidRPr="00A52AB8">
        <w:t>Attribute</w:t>
      </w:r>
      <w:bookmarkEnd w:id="4852"/>
      <w:r w:rsidRPr="00A52AB8">
        <w:t xml:space="preserve"> nominal format conversion</w:t>
      </w:r>
    </w:p>
    <w:p w14:paraId="753E72E4" w14:textId="4CE504F9" w:rsidR="00C9207C" w:rsidRPr="00A52AB8" w:rsidRDefault="00C9207C" w:rsidP="00C9207C">
      <w:pPr>
        <w:rPr>
          <w:lang w:eastAsia="ja-JP"/>
        </w:rPr>
      </w:pPr>
      <w:r w:rsidRPr="00A52AB8">
        <w:rPr>
          <w:lang w:eastAsia="ja-JP"/>
        </w:rPr>
        <w:t>This process converts the decode</w:t>
      </w:r>
      <w:r w:rsidR="00C54743" w:rsidRPr="00A52AB8">
        <w:rPr>
          <w:lang w:eastAsia="ja-JP"/>
        </w:rPr>
        <w:t>d</w:t>
      </w:r>
      <w:r w:rsidRPr="00A52AB8">
        <w:rPr>
          <w:lang w:eastAsia="ja-JP"/>
        </w:rPr>
        <w:t xml:space="preserve"> </w:t>
      </w:r>
      <w:r w:rsidR="00D334C0" w:rsidRPr="00A52AB8">
        <w:rPr>
          <w:lang w:eastAsia="ja-JP"/>
        </w:rPr>
        <w:t>attribute</w:t>
      </w:r>
      <w:r w:rsidRPr="00A52AB8">
        <w:rPr>
          <w:lang w:eastAsia="ja-JP"/>
        </w:rPr>
        <w:t xml:space="preserve"> </w:t>
      </w:r>
      <w:r w:rsidR="00D334C0" w:rsidRPr="00A52AB8">
        <w:rPr>
          <w:lang w:eastAsia="ja-JP"/>
        </w:rPr>
        <w:t>frames</w:t>
      </w:r>
      <w:r w:rsidRPr="00A52AB8">
        <w:rPr>
          <w:lang w:eastAsia="ja-JP"/>
        </w:rPr>
        <w:t xml:space="preserve"> </w:t>
      </w:r>
      <w:r w:rsidR="0019624E" w:rsidRPr="00A52AB8">
        <w:rPr>
          <w:color w:val="000000" w:themeColor="text1"/>
        </w:rPr>
        <w:t>DecAttrFrames</w:t>
      </w:r>
      <w:r w:rsidR="0019624E" w:rsidRPr="00A52AB8">
        <w:rPr>
          <w:lang w:eastAsia="ja-JP"/>
        </w:rPr>
        <w:t xml:space="preserve"> </w:t>
      </w:r>
      <w:r w:rsidRPr="00A52AB8">
        <w:rPr>
          <w:lang w:eastAsia="ja-JP"/>
        </w:rPr>
        <w:t xml:space="preserve">to </w:t>
      </w:r>
      <w:r w:rsidR="00FA621E" w:rsidRPr="00A52AB8">
        <w:rPr>
          <w:lang w:eastAsia="ja-JP"/>
        </w:rPr>
        <w:t xml:space="preserve">the </w:t>
      </w:r>
      <w:r w:rsidRPr="00A52AB8">
        <w:rPr>
          <w:lang w:eastAsia="ja-JP"/>
        </w:rPr>
        <w:t>nominal format.</w:t>
      </w:r>
    </w:p>
    <w:p w14:paraId="10B708E9" w14:textId="55B5B7A0" w:rsidR="00FC67CD" w:rsidRPr="00A52AB8" w:rsidRDefault="00FC67CD" w:rsidP="00C9207C">
      <w:pPr>
        <w:rPr>
          <w:color w:val="000000" w:themeColor="text1"/>
        </w:rPr>
      </w:pPr>
      <w:r w:rsidRPr="00A52AB8">
        <w:rPr>
          <w:color w:val="000000" w:themeColor="text1"/>
        </w:rPr>
        <w:t xml:space="preserve">The processes described below are invoked for decoded attribute frames associated </w:t>
      </w:r>
      <w:r w:rsidRPr="00A52AB8">
        <w:t xml:space="preserve">with the same attribute index, </w:t>
      </w:r>
      <w:r w:rsidRPr="00A52AB8">
        <w:rPr>
          <w:color w:val="000000" w:themeColor="text1"/>
        </w:rPr>
        <w:t xml:space="preserve">identified by variable attrIdx, which is set equal to vuh_attribute_index </w:t>
      </w:r>
      <w:r w:rsidRPr="00A52AB8">
        <w:t>or determined through external means if the V3C unit header is unavailable</w:t>
      </w:r>
      <w:r w:rsidRPr="00A52AB8">
        <w:rPr>
          <w:color w:val="000000" w:themeColor="text1"/>
        </w:rPr>
        <w:t>.</w:t>
      </w:r>
    </w:p>
    <w:p w14:paraId="17F811E5" w14:textId="77777777" w:rsidR="00A91930" w:rsidRPr="00A52AB8" w:rsidRDefault="00C9207C" w:rsidP="00C9207C">
      <w:pPr>
        <w:rPr>
          <w:lang w:eastAsia="ja-JP"/>
        </w:rPr>
      </w:pPr>
      <w:r w:rsidRPr="00A52AB8">
        <w:rPr>
          <w:lang w:eastAsia="ja-JP"/>
        </w:rPr>
        <w:t>Let the variables</w:t>
      </w:r>
      <w:r w:rsidR="00882F51" w:rsidRPr="00A52AB8">
        <w:rPr>
          <w:lang w:eastAsia="ja-JP"/>
        </w:rPr>
        <w:t xml:space="preserve">, </w:t>
      </w:r>
      <w:r w:rsidRPr="00A52AB8">
        <w:rPr>
          <w:lang w:eastAsia="ja-JP"/>
        </w:rPr>
        <w:t xml:space="preserve">attrMultipleMapsPresentFlag, attrMapCount, attrMSBAlignFlag, </w:t>
      </w:r>
      <w:r w:rsidR="009A6271" w:rsidRPr="00A52AB8">
        <w:rPr>
          <w:lang w:eastAsia="ja-JP"/>
        </w:rPr>
        <w:t xml:space="preserve">attrDim, </w:t>
      </w:r>
      <w:r w:rsidR="00DD6F15" w:rsidRPr="00A52AB8">
        <w:rPr>
          <w:lang w:eastAsia="ja-JP"/>
        </w:rPr>
        <w:t xml:space="preserve">and </w:t>
      </w:r>
      <w:r w:rsidR="004B7D20" w:rsidRPr="00A52AB8">
        <w:rPr>
          <w:lang w:eastAsia="ja-JP"/>
        </w:rPr>
        <w:t>attr</w:t>
      </w:r>
      <w:r w:rsidR="004B7D20" w:rsidRPr="00A52AB8">
        <w:rPr>
          <w:color w:val="000000" w:themeColor="text1"/>
        </w:rPr>
        <w:t>Num</w:t>
      </w:r>
      <w:r w:rsidR="00536D81" w:rsidRPr="00A52AB8">
        <w:rPr>
          <w:color w:val="000000" w:themeColor="text1"/>
        </w:rPr>
        <w:t>Part</w:t>
      </w:r>
      <w:r w:rsidR="004B7D20" w:rsidRPr="00A52AB8">
        <w:rPr>
          <w:lang w:eastAsia="ja-JP"/>
        </w:rPr>
        <w:t xml:space="preserve"> </w:t>
      </w:r>
      <w:r w:rsidRPr="00A52AB8">
        <w:rPr>
          <w:lang w:eastAsia="ja-JP"/>
        </w:rPr>
        <w:t>be</w:t>
      </w:r>
      <w:r w:rsidR="00A91930" w:rsidRPr="00A52AB8">
        <w:rPr>
          <w:lang w:eastAsia="ja-JP"/>
        </w:rPr>
        <w:t xml:space="preserve"> set as follows:</w:t>
      </w:r>
    </w:p>
    <w:p w14:paraId="5725E110" w14:textId="73364468" w:rsidR="00A91930" w:rsidRPr="00A52AB8" w:rsidRDefault="00A91930" w:rsidP="00C9207C">
      <w:pPr>
        <w:rPr>
          <w:lang w:eastAsia="ja-JP"/>
        </w:rPr>
      </w:pPr>
      <w:r w:rsidRPr="00A52AB8">
        <w:rPr>
          <w:lang w:eastAsia="ja-JP"/>
        </w:rPr>
        <w:tab/>
        <w:t>attrMultipleMapsPresentFlag = </w:t>
      </w:r>
      <w:r w:rsidRPr="00A52AB8">
        <w:rPr>
          <w:color w:val="000000" w:themeColor="text1"/>
        </w:rPr>
        <w:t>vps_multiple_map_streams_present_flag[ ConvAtlasID ]</w:t>
      </w:r>
      <w:r w:rsidRPr="00A52AB8">
        <w:rPr>
          <w:lang w:eastAsia="ja-JP"/>
        </w:rPr>
        <w:br/>
      </w:r>
      <w:r w:rsidRPr="00A52AB8">
        <w:rPr>
          <w:lang w:eastAsia="ja-JP"/>
        </w:rPr>
        <w:tab/>
        <w:t>attrMapCount = </w:t>
      </w:r>
      <w:r w:rsidRPr="00A52AB8">
        <w:rPr>
          <w:color w:val="000000" w:themeColor="text1"/>
        </w:rPr>
        <w:t>vps_map_count_minus1[ ConvAtlasID ] + 1</w:t>
      </w:r>
      <w:r w:rsidRPr="00A52AB8">
        <w:rPr>
          <w:lang w:eastAsia="ja-JP"/>
        </w:rPr>
        <w:br/>
      </w:r>
      <w:r w:rsidRPr="00A52AB8">
        <w:rPr>
          <w:lang w:eastAsia="ja-JP"/>
        </w:rPr>
        <w:tab/>
        <w:t>attrMSBAlignFlag = </w:t>
      </w:r>
      <w:r w:rsidRPr="00A52AB8">
        <w:rPr>
          <w:color w:val="000000" w:themeColor="text1"/>
        </w:rPr>
        <w:t>ai_attribute_MSB_align_flag[ ConvAtlasID ][ attrIdx ]</w:t>
      </w:r>
      <w:r w:rsidRPr="00A52AB8">
        <w:rPr>
          <w:lang w:eastAsia="ja-JP"/>
        </w:rPr>
        <w:br/>
      </w:r>
      <w:r w:rsidRPr="00A52AB8">
        <w:rPr>
          <w:lang w:eastAsia="ja-JP"/>
        </w:rPr>
        <w:tab/>
        <w:t>attrDim = </w:t>
      </w:r>
      <w:r w:rsidRPr="00A52AB8">
        <w:rPr>
          <w:color w:val="000000" w:themeColor="text1"/>
        </w:rPr>
        <w:t>ai_attribute_dimension_minus1[ ConvAtlasID ][ attrIdx ] + 1</w:t>
      </w:r>
      <w:r w:rsidRPr="00A52AB8">
        <w:rPr>
          <w:lang w:eastAsia="ja-JP"/>
        </w:rPr>
        <w:br/>
      </w:r>
      <w:r w:rsidRPr="00A52AB8">
        <w:rPr>
          <w:lang w:eastAsia="ja-JP"/>
        </w:rPr>
        <w:tab/>
        <w:t>attr</w:t>
      </w:r>
      <w:r w:rsidRPr="00A52AB8">
        <w:rPr>
          <w:color w:val="000000" w:themeColor="text1"/>
        </w:rPr>
        <w:t>NumPart</w:t>
      </w:r>
      <w:r w:rsidRPr="00A52AB8">
        <w:rPr>
          <w:lang w:eastAsia="ja-JP"/>
        </w:rPr>
        <w:t> = </w:t>
      </w:r>
      <w:r w:rsidRPr="00A52AB8">
        <w:rPr>
          <w:color w:val="000000" w:themeColor="text1"/>
        </w:rPr>
        <w:t>ai_attribute_dimension_partitions_minus1[ ConvAtlasID ][ attrIdx ] + 1</w:t>
      </w:r>
    </w:p>
    <w:p w14:paraId="7B1B513B" w14:textId="77777777" w:rsidR="00A91930" w:rsidRPr="00A52AB8" w:rsidRDefault="00205C47" w:rsidP="00C9207C">
      <w:pPr>
        <w:rPr>
          <w:lang w:eastAsia="ja-JP"/>
        </w:rPr>
      </w:pPr>
      <w:r w:rsidRPr="00A52AB8">
        <w:rPr>
          <w:color w:val="000000" w:themeColor="text1"/>
        </w:rPr>
        <w:t>Let the 1D array attr</w:t>
      </w:r>
      <w:r w:rsidR="003373B2" w:rsidRPr="00A52AB8">
        <w:rPr>
          <w:color w:val="000000" w:themeColor="text1"/>
        </w:rPr>
        <w:t>PartChannels</w:t>
      </w:r>
      <w:r w:rsidR="00B3621D" w:rsidRPr="00A52AB8">
        <w:rPr>
          <w:color w:val="000000" w:themeColor="text1"/>
        </w:rPr>
        <w:t>Minus1</w:t>
      </w:r>
      <w:r w:rsidR="00516841" w:rsidRPr="00A52AB8">
        <w:rPr>
          <w:color w:val="000000" w:themeColor="text1"/>
        </w:rPr>
        <w:t>, of size attrNumPart,</w:t>
      </w:r>
      <w:r w:rsidR="003373B2" w:rsidRPr="00A52AB8">
        <w:rPr>
          <w:color w:val="000000" w:themeColor="text1"/>
        </w:rPr>
        <w:t xml:space="preserve"> </w:t>
      </w:r>
      <w:r w:rsidR="003373B2" w:rsidRPr="00A52AB8">
        <w:rPr>
          <w:lang w:eastAsia="ja-JP"/>
        </w:rPr>
        <w:t xml:space="preserve">be </w:t>
      </w:r>
      <w:r w:rsidR="00A91930" w:rsidRPr="00A52AB8">
        <w:rPr>
          <w:lang w:eastAsia="ja-JP"/>
        </w:rPr>
        <w:t>set as follows:</w:t>
      </w:r>
    </w:p>
    <w:p w14:paraId="595889E9" w14:textId="1E463968" w:rsidR="00205C47" w:rsidRPr="00A52AB8" w:rsidRDefault="00A91930">
      <w:pPr>
        <w:rPr>
          <w:color w:val="000000" w:themeColor="text1"/>
        </w:rPr>
      </w:pPr>
      <w:r w:rsidRPr="00A52AB8">
        <w:tab/>
        <w:t>for( c = 0; c &lt; </w:t>
      </w:r>
      <w:r w:rsidRPr="00A52AB8">
        <w:rPr>
          <w:color w:val="000000" w:themeColor="text1"/>
        </w:rPr>
        <w:t>attrNumPart</w:t>
      </w:r>
      <w:r w:rsidRPr="00A52AB8">
        <w:t>; c++ ) {</w:t>
      </w:r>
      <w:r w:rsidRPr="00A52AB8">
        <w:br/>
      </w:r>
      <w:r w:rsidRPr="00A52AB8">
        <w:tab/>
      </w:r>
      <w:r w:rsidRPr="00A52AB8">
        <w:tab/>
      </w:r>
      <w:r w:rsidRPr="00A52AB8">
        <w:rPr>
          <w:color w:val="000000" w:themeColor="text1"/>
        </w:rPr>
        <w:t>attrPartChannelsMinus1</w:t>
      </w:r>
      <w:r w:rsidRPr="00A52AB8">
        <w:t>[ c ] = </w:t>
      </w:r>
      <w:r w:rsidRPr="00A52AB8">
        <w:br/>
      </w:r>
      <w:r w:rsidRPr="00A52AB8">
        <w:tab/>
      </w:r>
      <w:r w:rsidRPr="00A52AB8">
        <w:tab/>
      </w:r>
      <w:r w:rsidRPr="00A52AB8">
        <w:tab/>
      </w:r>
      <w:r w:rsidRPr="00A52AB8">
        <w:rPr>
          <w:color w:val="000000" w:themeColor="text1"/>
        </w:rPr>
        <w:t>ai_attribute_partition_channels_minus1[ ConvAtlasID ][ attrIdx ]</w:t>
      </w:r>
      <w:r w:rsidRPr="00A52AB8">
        <w:t>[ c ]</w:t>
      </w:r>
      <w:r w:rsidRPr="00A52AB8">
        <w:br/>
      </w:r>
      <w:r w:rsidRPr="00A52AB8">
        <w:tab/>
        <w:t>}</w:t>
      </w:r>
    </w:p>
    <w:p w14:paraId="7219D0B6" w14:textId="77777777" w:rsidR="00A91930" w:rsidRPr="00A52AB8" w:rsidRDefault="00516841" w:rsidP="00516841">
      <w:pPr>
        <w:rPr>
          <w:lang w:eastAsia="ja-JP"/>
        </w:rPr>
      </w:pPr>
      <w:r w:rsidRPr="00A52AB8">
        <w:rPr>
          <w:color w:val="000000" w:themeColor="text1"/>
        </w:rPr>
        <w:t xml:space="preserve">Let the 1D array attrMapAbsCodingFlag, of size </w:t>
      </w:r>
      <w:r w:rsidRPr="00A52AB8">
        <w:rPr>
          <w:lang w:eastAsia="ja-JP"/>
        </w:rPr>
        <w:t xml:space="preserve">attrMapCount, be </w:t>
      </w:r>
      <w:r w:rsidR="00A91930" w:rsidRPr="00A52AB8">
        <w:rPr>
          <w:lang w:eastAsia="ja-JP"/>
        </w:rPr>
        <w:t>set as follows:</w:t>
      </w:r>
    </w:p>
    <w:p w14:paraId="432CCA61" w14:textId="4C76AEAB" w:rsidR="00993B7A" w:rsidRPr="00A52AB8" w:rsidRDefault="00A91930">
      <w:pPr>
        <w:rPr>
          <w:color w:val="000000" w:themeColor="text1"/>
        </w:rPr>
      </w:pPr>
      <w:r w:rsidRPr="00A52AB8">
        <w:tab/>
        <w:t>for( c = 0; c &lt; </w:t>
      </w:r>
      <w:r w:rsidRPr="00A52AB8">
        <w:rPr>
          <w:lang w:eastAsia="ja-JP"/>
        </w:rPr>
        <w:t>attrMapCount</w:t>
      </w:r>
      <w:r w:rsidRPr="00A52AB8">
        <w:t>; c++ ) {</w:t>
      </w:r>
      <w:r w:rsidRPr="00A52AB8">
        <w:br/>
      </w:r>
      <w:r w:rsidRPr="00A52AB8">
        <w:tab/>
      </w:r>
      <w:r w:rsidRPr="00A52AB8">
        <w:tab/>
      </w:r>
      <w:r w:rsidRPr="00A52AB8">
        <w:rPr>
          <w:color w:val="000000" w:themeColor="text1"/>
        </w:rPr>
        <w:t>attrMapAbsCodingFlag</w:t>
      </w:r>
      <w:r w:rsidRPr="00A52AB8">
        <w:t>[ c ] = </w:t>
      </w:r>
      <w:r w:rsidRPr="00A52AB8">
        <w:br/>
      </w:r>
      <w:r w:rsidRPr="00A52AB8">
        <w:tab/>
      </w:r>
      <w:r w:rsidRPr="00A52AB8">
        <w:tab/>
      </w:r>
      <w:r w:rsidRPr="00A52AB8">
        <w:tab/>
      </w:r>
      <w:r w:rsidRPr="00A52AB8">
        <w:rPr>
          <w:rFonts w:cs="Calibri"/>
        </w:rPr>
        <w:t>AttributeMapAbsoluteCodingEnabledFlag</w:t>
      </w:r>
      <w:r w:rsidRPr="00A52AB8">
        <w:rPr>
          <w:color w:val="000000" w:themeColor="text1"/>
        </w:rPr>
        <w:t>[ ConvAtlasID ][ attrIdx ]</w:t>
      </w:r>
      <w:r w:rsidRPr="00A52AB8">
        <w:t>[ c ]</w:t>
      </w:r>
      <w:r w:rsidRPr="00A52AB8">
        <w:br/>
      </w:r>
      <w:r w:rsidRPr="00A52AB8">
        <w:tab/>
        <w:t>}</w:t>
      </w:r>
    </w:p>
    <w:p w14:paraId="5C9C812A" w14:textId="77777777" w:rsidR="00D56F3C" w:rsidRPr="00A52AB8" w:rsidRDefault="00D56F3C" w:rsidP="00D56F3C">
      <w:pPr>
        <w:rPr>
          <w:lang w:eastAsia="ja-JP"/>
        </w:rPr>
      </w:pPr>
      <w:r w:rsidRPr="00A52AB8">
        <w:rPr>
          <w:lang w:eastAsia="ja-JP"/>
        </w:rPr>
        <w:t xml:space="preserve">Output of this process </w:t>
      </w:r>
      <w:r w:rsidR="00522DCC" w:rsidRPr="00A52AB8">
        <w:rPr>
          <w:lang w:eastAsia="ja-JP"/>
        </w:rPr>
        <w:t>is</w:t>
      </w:r>
      <w:r w:rsidRPr="00A52AB8">
        <w:rPr>
          <w:lang w:eastAsia="ja-JP"/>
        </w:rPr>
        <w:t>:</w:t>
      </w:r>
    </w:p>
    <w:p w14:paraId="7B142190" w14:textId="21D26B00" w:rsidR="00D56F3C" w:rsidRPr="00A52AB8" w:rsidRDefault="00C6393B"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the 7D array AttrAuxFrame</w:t>
      </w:r>
      <w:r w:rsidR="00153EEE" w:rsidRPr="00A52AB8">
        <w:rPr>
          <w:color w:val="000000" w:themeColor="text1"/>
        </w:rPr>
        <w:t>s</w:t>
      </w:r>
      <w:r w:rsidRPr="00A52AB8">
        <w:rPr>
          <w:color w:val="000000" w:themeColor="text1"/>
        </w:rPr>
        <w:t xml:space="preserve">NF, </w:t>
      </w:r>
      <w:r w:rsidR="00E72E29" w:rsidRPr="00A52AB8">
        <w:rPr>
          <w:color w:val="000000" w:themeColor="text1"/>
        </w:rPr>
        <w:t xml:space="preserve">the decoded attribute frames in </w:t>
      </w:r>
      <w:r w:rsidR="00FA621E" w:rsidRPr="00A52AB8">
        <w:rPr>
          <w:color w:val="000000" w:themeColor="text1"/>
        </w:rPr>
        <w:t xml:space="preserve">the </w:t>
      </w:r>
      <w:r w:rsidR="00E72E29" w:rsidRPr="00A52AB8">
        <w:rPr>
          <w:color w:val="000000" w:themeColor="text1"/>
        </w:rPr>
        <w:t>nominal form</w:t>
      </w:r>
      <w:r w:rsidR="00FA621E" w:rsidRPr="00A52AB8">
        <w:rPr>
          <w:color w:val="000000" w:themeColor="text1"/>
        </w:rPr>
        <w:t>at</w:t>
      </w:r>
      <w:r w:rsidR="00E72E29" w:rsidRPr="00A52AB8">
        <w:rPr>
          <w:color w:val="000000" w:themeColor="text1"/>
        </w:rPr>
        <w:t xml:space="preserve">, </w:t>
      </w:r>
      <w:r w:rsidRPr="00A52AB8">
        <w:rPr>
          <w:color w:val="000000" w:themeColor="text1"/>
        </w:rPr>
        <w:t xml:space="preserve">where the dimensions correspond to the attribute index, </w:t>
      </w:r>
      <w:r w:rsidR="0039294A" w:rsidRPr="00A52AB8">
        <w:rPr>
          <w:color w:val="000000" w:themeColor="text1"/>
        </w:rPr>
        <w:t xml:space="preserve">the attribute partition index, </w:t>
      </w:r>
      <w:r w:rsidRPr="00A52AB8">
        <w:rPr>
          <w:color w:val="000000" w:themeColor="text1"/>
        </w:rPr>
        <w:t>the map index, the decoded attribute video frame index, the component index, the row index, and the column index, respectively</w:t>
      </w:r>
      <w:r w:rsidR="00D56F3C" w:rsidRPr="00A52AB8">
        <w:rPr>
          <w:color w:val="000000" w:themeColor="text1"/>
        </w:rPr>
        <w:t>.</w:t>
      </w:r>
    </w:p>
    <w:p w14:paraId="4E589470" w14:textId="652D0C6C" w:rsidR="00D56F3C" w:rsidRPr="00A52AB8" w:rsidRDefault="00D56F3C" w:rsidP="00C50EA0">
      <w:pPr>
        <w:pStyle w:val="Note1"/>
        <w:rPr>
          <w:rFonts w:ascii="Cambria" w:hAnsi="Cambria"/>
        </w:rPr>
      </w:pPr>
      <w:r w:rsidRPr="00A52AB8">
        <w:rPr>
          <w:rFonts w:ascii="Cambria" w:hAnsi="Cambria"/>
        </w:rPr>
        <w:t>NOTE </w:t>
      </w:r>
      <w:r w:rsidRPr="00496A4D">
        <w:rPr>
          <w:rFonts w:ascii="Cambria" w:hAnsi="Cambria"/>
        </w:rPr>
        <w:fldChar w:fldCharType="begin"/>
      </w:r>
      <w:r w:rsidRPr="00A52AB8">
        <w:rPr>
          <w:rFonts w:ascii="Cambria" w:hAnsi="Cambria"/>
        </w:rPr>
        <w:instrText xml:space="preserve"> SEQ NoteCounter \s 9 \* MERGEFORMAT </w:instrText>
      </w:r>
      <w:r w:rsidRPr="00496A4D">
        <w:rPr>
          <w:rFonts w:ascii="Cambria" w:hAnsi="Cambria"/>
        </w:rPr>
        <w:fldChar w:fldCharType="separate"/>
      </w:r>
      <w:r w:rsidR="00507A67">
        <w:rPr>
          <w:rFonts w:ascii="Cambria" w:hAnsi="Cambria"/>
          <w:noProof/>
        </w:rPr>
        <w:t>3</w:t>
      </w:r>
      <w:r w:rsidRPr="00496A4D">
        <w:rPr>
          <w:rFonts w:ascii="Cambria" w:hAnsi="Cambria"/>
        </w:rPr>
        <w:fldChar w:fldCharType="end"/>
      </w:r>
      <w:r w:rsidRPr="00A52AB8">
        <w:rPr>
          <w:rFonts w:ascii="Cambria" w:hAnsi="Cambria"/>
        </w:rPr>
        <w:t> –</w:t>
      </w:r>
      <w:r w:rsidR="00F25475" w:rsidRPr="00A52AB8">
        <w:rPr>
          <w:rFonts w:ascii="Cambria" w:hAnsi="Cambria"/>
        </w:rPr>
        <w:t> </w:t>
      </w:r>
      <w:r w:rsidR="00381B50" w:rsidRPr="00A52AB8">
        <w:rPr>
          <w:rFonts w:ascii="Cambria" w:hAnsi="Cambria"/>
        </w:rPr>
        <w:t xml:space="preserve">The order of processes or variations of the processes described in this Annex is informative only. The maps are first separated and then converted. The </w:t>
      </w:r>
      <w:r w:rsidR="00585987" w:rsidRPr="00A52AB8">
        <w:rPr>
          <w:rFonts w:ascii="Cambria" w:hAnsi="Cambria"/>
        </w:rPr>
        <w:t xml:space="preserve">conversion </w:t>
      </w:r>
      <w:r w:rsidR="00381B50" w:rsidRPr="00A52AB8">
        <w:rPr>
          <w:rFonts w:ascii="Cambria" w:hAnsi="Cambria"/>
        </w:rPr>
        <w:t>may happen before the map separation, right after decoding.</w:t>
      </w:r>
    </w:p>
    <w:p w14:paraId="374361BB" w14:textId="3A9CF261" w:rsidR="00D56F3C" w:rsidRPr="00A52AB8" w:rsidRDefault="00D56F3C" w:rsidP="00D56F3C">
      <w:pPr>
        <w:rPr>
          <w:lang w:eastAsia="ja-JP"/>
        </w:rPr>
      </w:pPr>
      <w:r w:rsidRPr="00A52AB8">
        <w:rPr>
          <w:lang w:eastAsia="ja-JP"/>
        </w:rPr>
        <w:t xml:space="preserve">To convert the </w:t>
      </w:r>
      <w:r w:rsidR="00EC3F2D" w:rsidRPr="00A52AB8">
        <w:rPr>
          <w:lang w:eastAsia="ja-JP"/>
        </w:rPr>
        <w:t xml:space="preserve">decoded </w:t>
      </w:r>
      <w:r w:rsidRPr="00A52AB8">
        <w:rPr>
          <w:lang w:eastAsia="ja-JP"/>
        </w:rPr>
        <w:t xml:space="preserve">attribute </w:t>
      </w:r>
      <w:r w:rsidR="00EC3F2D" w:rsidRPr="00A52AB8">
        <w:rPr>
          <w:lang w:eastAsia="ja-JP"/>
        </w:rPr>
        <w:t xml:space="preserve">video </w:t>
      </w:r>
      <w:r w:rsidRPr="00A52AB8">
        <w:rPr>
          <w:lang w:eastAsia="ja-JP"/>
        </w:rPr>
        <w:t xml:space="preserve">to </w:t>
      </w:r>
      <w:r w:rsidR="00FA621E" w:rsidRPr="00A52AB8">
        <w:rPr>
          <w:lang w:eastAsia="ja-JP"/>
        </w:rPr>
        <w:t xml:space="preserve">the </w:t>
      </w:r>
      <w:r w:rsidRPr="00A52AB8">
        <w:rPr>
          <w:lang w:eastAsia="ja-JP"/>
        </w:rPr>
        <w:t xml:space="preserve">nominal format, </w:t>
      </w:r>
      <w:r w:rsidR="00EC3F2D" w:rsidRPr="00A52AB8">
        <w:rPr>
          <w:lang w:eastAsia="ja-JP"/>
        </w:rPr>
        <w:t>several processing steps may need to be performed depending on the original format of the decoded video. In particular:</w:t>
      </w:r>
    </w:p>
    <w:p w14:paraId="792CA4FD" w14:textId="6FB57BD0" w:rsidR="00DC0985" w:rsidRPr="00A52AB8" w:rsidRDefault="00DC098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To convert the bit depth of the attribute </w:t>
      </w:r>
      <w:r w:rsidR="005C661C" w:rsidRPr="00A52AB8">
        <w:rPr>
          <w:color w:val="000000" w:themeColor="text1"/>
        </w:rPr>
        <w:t>frame</w:t>
      </w:r>
      <w:r w:rsidRPr="00A52AB8">
        <w:rPr>
          <w:color w:val="000000" w:themeColor="text1"/>
        </w:rPr>
        <w:t xml:space="preserve"> to the required nominal bit depth resolution, subclause </w:t>
      </w:r>
      <w:r w:rsidRPr="00496A4D">
        <w:rPr>
          <w:color w:val="000000" w:themeColor="text1"/>
        </w:rPr>
        <w:fldChar w:fldCharType="begin"/>
      </w:r>
      <w:r w:rsidRPr="00A52AB8">
        <w:rPr>
          <w:color w:val="000000" w:themeColor="text1"/>
        </w:rPr>
        <w:instrText xml:space="preserve"> REF _Ref47888150 \r \h  \* MERGEFORMAT </w:instrText>
      </w:r>
      <w:r w:rsidRPr="00496A4D">
        <w:rPr>
          <w:color w:val="000000" w:themeColor="text1"/>
        </w:rPr>
      </w:r>
      <w:r w:rsidRPr="00496A4D">
        <w:rPr>
          <w:color w:val="000000" w:themeColor="text1"/>
        </w:rPr>
        <w:fldChar w:fldCharType="separate"/>
      </w:r>
      <w:r w:rsidR="00507A67">
        <w:rPr>
          <w:color w:val="000000" w:themeColor="text1"/>
        </w:rPr>
        <w:t>B.3.2</w:t>
      </w:r>
      <w:r w:rsidRPr="00496A4D">
        <w:rPr>
          <w:color w:val="000000" w:themeColor="text1"/>
        </w:rPr>
        <w:fldChar w:fldCharType="end"/>
      </w:r>
      <w:r w:rsidRPr="00A52AB8">
        <w:rPr>
          <w:color w:val="000000" w:themeColor="text1"/>
        </w:rPr>
        <w:t xml:space="preserve"> is invoked </w:t>
      </w:r>
      <w:r w:rsidR="00495CCA" w:rsidRPr="00A52AB8">
        <w:rPr>
          <w:color w:val="000000" w:themeColor="text1"/>
        </w:rPr>
        <w:t xml:space="preserve">for </w:t>
      </w:r>
      <w:r w:rsidR="00C23C27" w:rsidRPr="00A52AB8">
        <w:rPr>
          <w:color w:val="000000" w:themeColor="text1"/>
        </w:rPr>
        <w:t>each</w:t>
      </w:r>
      <w:r w:rsidR="00495CCA" w:rsidRPr="00A52AB8">
        <w:rPr>
          <w:color w:val="000000" w:themeColor="text1"/>
        </w:rPr>
        <w:t xml:space="preserve"> attribute partition index</w:t>
      </w:r>
      <w:r w:rsidR="009A1153" w:rsidRPr="00A52AB8">
        <w:rPr>
          <w:color w:val="000000" w:themeColor="text1"/>
        </w:rPr>
        <w:t>,</w:t>
      </w:r>
      <w:r w:rsidR="00495CCA" w:rsidRPr="00A52AB8">
        <w:rPr>
          <w:color w:val="000000" w:themeColor="text1"/>
        </w:rPr>
        <w:t xml:space="preserve"> partIdx, </w:t>
      </w:r>
      <w:r w:rsidR="005E6B53" w:rsidRPr="00A52AB8">
        <w:rPr>
          <w:color w:val="000000" w:themeColor="text1"/>
        </w:rPr>
        <w:t>each map index</w:t>
      </w:r>
      <w:r w:rsidR="009A1153" w:rsidRPr="00A52AB8">
        <w:rPr>
          <w:color w:val="000000" w:themeColor="text1"/>
        </w:rPr>
        <w:t>,</w:t>
      </w:r>
      <w:r w:rsidR="005E6B53" w:rsidRPr="00A52AB8">
        <w:rPr>
          <w:color w:val="000000" w:themeColor="text1"/>
        </w:rPr>
        <w:t xml:space="preserve"> mapIdx</w:t>
      </w:r>
      <w:r w:rsidR="00495CCA" w:rsidRPr="00A52AB8">
        <w:rPr>
          <w:color w:val="000000" w:themeColor="text1"/>
        </w:rPr>
        <w:t>,</w:t>
      </w:r>
      <w:r w:rsidR="005E6B53" w:rsidRPr="00A52AB8">
        <w:rPr>
          <w:color w:val="000000" w:themeColor="text1"/>
        </w:rPr>
        <w:t xml:space="preserve"> each </w:t>
      </w:r>
      <w:r w:rsidR="009A1153" w:rsidRPr="00A52AB8">
        <w:rPr>
          <w:color w:val="000000" w:themeColor="text1"/>
        </w:rPr>
        <w:t>frame</w:t>
      </w:r>
      <w:r w:rsidR="005E6B53" w:rsidRPr="00A52AB8">
        <w:rPr>
          <w:color w:val="000000" w:themeColor="text1"/>
        </w:rPr>
        <w:t xml:space="preserve"> index</w:t>
      </w:r>
      <w:r w:rsidR="009A1153" w:rsidRPr="00A52AB8">
        <w:rPr>
          <w:color w:val="000000" w:themeColor="text1"/>
        </w:rPr>
        <w:t>,</w:t>
      </w:r>
      <w:r w:rsidR="005E6B53" w:rsidRPr="00A52AB8">
        <w:rPr>
          <w:color w:val="000000" w:themeColor="text1"/>
        </w:rPr>
        <w:t xml:space="preserve"> </w:t>
      </w:r>
      <w:r w:rsidR="009A1153" w:rsidRPr="00A52AB8">
        <w:rPr>
          <w:color w:val="000000" w:themeColor="text1"/>
        </w:rPr>
        <w:t>frame</w:t>
      </w:r>
      <w:r w:rsidR="005E6B53" w:rsidRPr="00A52AB8">
        <w:rPr>
          <w:color w:val="000000" w:themeColor="text1"/>
        </w:rPr>
        <w:t>Idx</w:t>
      </w:r>
      <w:r w:rsidR="00D217A2" w:rsidRPr="00A52AB8">
        <w:rPr>
          <w:color w:val="000000" w:themeColor="text1"/>
        </w:rPr>
        <w:t>,</w:t>
      </w:r>
      <w:r w:rsidR="003E0499" w:rsidRPr="00A52AB8">
        <w:rPr>
          <w:color w:val="000000" w:themeColor="text1"/>
        </w:rPr>
        <w:t xml:space="preserve"> and each component index</w:t>
      </w:r>
      <w:r w:rsidR="009A1153" w:rsidRPr="00A52AB8">
        <w:rPr>
          <w:color w:val="000000" w:themeColor="text1"/>
        </w:rPr>
        <w:t>,</w:t>
      </w:r>
      <w:r w:rsidR="003E0499" w:rsidRPr="00A52AB8">
        <w:rPr>
          <w:color w:val="000000" w:themeColor="text1"/>
        </w:rPr>
        <w:t xml:space="preserve"> compIdx,</w:t>
      </w:r>
      <w:r w:rsidRPr="00A52AB8">
        <w:rPr>
          <w:color w:val="000000" w:themeColor="text1"/>
        </w:rPr>
        <w:t xml:space="preserve"> with </w:t>
      </w:r>
      <w:r w:rsidR="00DD6F15" w:rsidRPr="00A52AB8">
        <w:rPr>
          <w:color w:val="000000" w:themeColor="text1"/>
        </w:rPr>
        <w:t xml:space="preserve">variables </w:t>
      </w:r>
      <w:r w:rsidRPr="00A52AB8">
        <w:rPr>
          <w:color w:val="000000" w:themeColor="text1"/>
        </w:rPr>
        <w:t>Dec</w:t>
      </w:r>
      <w:r w:rsidR="00E14D0A" w:rsidRPr="00A52AB8">
        <w:rPr>
          <w:color w:val="000000" w:themeColor="text1"/>
        </w:rPr>
        <w:t>Attr</w:t>
      </w:r>
      <w:r w:rsidRPr="00A52AB8">
        <w:rPr>
          <w:color w:val="000000" w:themeColor="text1"/>
        </w:rPr>
        <w:t>BitDepth</w:t>
      </w:r>
      <w:r w:rsidR="00AA4FDB" w:rsidRPr="00A52AB8">
        <w:rPr>
          <w:color w:val="000000" w:themeColor="text1"/>
        </w:rPr>
        <w:t>[ attrIdx ][ partIdx ][ mapIdx ][ </w:t>
      </w:r>
      <w:r w:rsidR="009A1153" w:rsidRPr="00A52AB8">
        <w:rPr>
          <w:color w:val="000000" w:themeColor="text1"/>
        </w:rPr>
        <w:t>frame</w:t>
      </w:r>
      <w:r w:rsidR="00AA4FDB" w:rsidRPr="00A52AB8">
        <w:rPr>
          <w:color w:val="000000" w:themeColor="text1"/>
        </w:rPr>
        <w:t>Idx ]</w:t>
      </w:r>
      <w:r w:rsidRPr="00A52AB8">
        <w:rPr>
          <w:color w:val="000000" w:themeColor="text1"/>
        </w:rPr>
        <w:t>, Dec</w:t>
      </w:r>
      <w:r w:rsidR="00E14D0A" w:rsidRPr="00A52AB8">
        <w:rPr>
          <w:color w:val="000000" w:themeColor="text1"/>
        </w:rPr>
        <w:t>Attr</w:t>
      </w:r>
      <w:r w:rsidRPr="00A52AB8">
        <w:rPr>
          <w:color w:val="000000" w:themeColor="text1"/>
        </w:rPr>
        <w:t>Height</w:t>
      </w:r>
      <w:r w:rsidR="00AA4FDB" w:rsidRPr="00A52AB8">
        <w:rPr>
          <w:color w:val="000000" w:themeColor="text1"/>
        </w:rPr>
        <w:t>[ attrIdx ][ partIdx ][ mapIdx ][ </w:t>
      </w:r>
      <w:r w:rsidR="009A1153" w:rsidRPr="00A52AB8">
        <w:rPr>
          <w:color w:val="000000" w:themeColor="text1"/>
        </w:rPr>
        <w:t>frame</w:t>
      </w:r>
      <w:r w:rsidR="00AA4FDB" w:rsidRPr="00A52AB8">
        <w:rPr>
          <w:color w:val="000000" w:themeColor="text1"/>
        </w:rPr>
        <w:t>Idx ]</w:t>
      </w:r>
      <w:r w:rsidRPr="00A52AB8">
        <w:rPr>
          <w:color w:val="000000" w:themeColor="text1"/>
        </w:rPr>
        <w:t>, Dec</w:t>
      </w:r>
      <w:r w:rsidR="00E14D0A" w:rsidRPr="00A52AB8">
        <w:rPr>
          <w:color w:val="000000" w:themeColor="text1"/>
        </w:rPr>
        <w:t>Attr</w:t>
      </w:r>
      <w:r w:rsidRPr="00A52AB8">
        <w:rPr>
          <w:color w:val="000000" w:themeColor="text1"/>
        </w:rPr>
        <w:t>Width</w:t>
      </w:r>
      <w:r w:rsidR="00AA4FDB" w:rsidRPr="00A52AB8">
        <w:rPr>
          <w:color w:val="000000" w:themeColor="text1"/>
        </w:rPr>
        <w:t>[ attrIdx ][ partIdx ][ mapIdx ][ </w:t>
      </w:r>
      <w:r w:rsidR="009A1153" w:rsidRPr="00A52AB8">
        <w:rPr>
          <w:color w:val="000000" w:themeColor="text1"/>
        </w:rPr>
        <w:t>frame</w:t>
      </w:r>
      <w:r w:rsidR="00AA4FDB" w:rsidRPr="00A52AB8">
        <w:rPr>
          <w:color w:val="000000" w:themeColor="text1"/>
        </w:rPr>
        <w:t>Idx ]</w:t>
      </w:r>
      <w:r w:rsidRPr="00A52AB8">
        <w:rPr>
          <w:color w:val="000000" w:themeColor="text1"/>
        </w:rPr>
        <w:t xml:space="preserve">, </w:t>
      </w:r>
      <w:r w:rsidR="00E14D0A" w:rsidRPr="00A52AB8">
        <w:rPr>
          <w:color w:val="000000" w:themeColor="text1"/>
        </w:rPr>
        <w:t>Attr</w:t>
      </w:r>
      <w:r w:rsidRPr="00A52AB8">
        <w:rPr>
          <w:color w:val="000000" w:themeColor="text1"/>
        </w:rPr>
        <w:t>BitDepthNF</w:t>
      </w:r>
      <w:r w:rsidR="00584500" w:rsidRPr="00A52AB8">
        <w:rPr>
          <w:color w:val="000000" w:themeColor="text1"/>
        </w:rPr>
        <w:t>[ attrIdx ]</w:t>
      </w:r>
      <w:r w:rsidRPr="00A52AB8">
        <w:rPr>
          <w:color w:val="000000" w:themeColor="text1"/>
        </w:rPr>
        <w:t xml:space="preserve">, and </w:t>
      </w:r>
      <w:r w:rsidR="00E14D0A" w:rsidRPr="00A52AB8">
        <w:rPr>
          <w:color w:val="000000" w:themeColor="text1"/>
        </w:rPr>
        <w:t>attr</w:t>
      </w:r>
      <w:r w:rsidRPr="00A52AB8">
        <w:rPr>
          <w:color w:val="000000" w:themeColor="text1"/>
        </w:rPr>
        <w:t>MSBAlignFlag,</w:t>
      </w:r>
      <w:r w:rsidR="00DD6F15" w:rsidRPr="00A52AB8">
        <w:rPr>
          <w:color w:val="000000" w:themeColor="text1"/>
        </w:rPr>
        <w:t xml:space="preserve"> and array DecAttrFrames[ attrIdx ][ partIdx ][ mapIdx ][ frameIdx ][ compIdx ]</w:t>
      </w:r>
      <w:r w:rsidRPr="00A52AB8">
        <w:rPr>
          <w:color w:val="000000" w:themeColor="text1"/>
        </w:rPr>
        <w:t xml:space="preserve"> as inputs. Output of this process is the decoded </w:t>
      </w:r>
      <w:r w:rsidR="00E14D0A" w:rsidRPr="00A52AB8">
        <w:rPr>
          <w:color w:val="000000" w:themeColor="text1"/>
        </w:rPr>
        <w:t>attribute</w:t>
      </w:r>
      <w:r w:rsidRPr="00A52AB8">
        <w:rPr>
          <w:color w:val="000000" w:themeColor="text1"/>
        </w:rPr>
        <w:t xml:space="preserve"> frame </w:t>
      </w:r>
      <w:r w:rsidR="009A1153" w:rsidRPr="00A52AB8">
        <w:rPr>
          <w:color w:val="000000" w:themeColor="text1"/>
        </w:rPr>
        <w:t>at the</w:t>
      </w:r>
      <w:r w:rsidRPr="00A52AB8">
        <w:rPr>
          <w:color w:val="000000" w:themeColor="text1"/>
        </w:rPr>
        <w:t xml:space="preserve"> nominal bit depth, dec</w:t>
      </w:r>
      <w:r w:rsidR="00E14D0A" w:rsidRPr="00A52AB8">
        <w:rPr>
          <w:color w:val="000000" w:themeColor="text1"/>
        </w:rPr>
        <w:t>Attr</w:t>
      </w:r>
      <w:r w:rsidRPr="00A52AB8">
        <w:rPr>
          <w:color w:val="000000" w:themeColor="text1"/>
        </w:rPr>
        <w:t>Frame</w:t>
      </w:r>
      <w:r w:rsidR="00804654" w:rsidRPr="00A52AB8">
        <w:rPr>
          <w:color w:val="000000" w:themeColor="text1"/>
        </w:rPr>
        <w:t>s</w:t>
      </w:r>
      <w:r w:rsidRPr="00A52AB8">
        <w:rPr>
          <w:color w:val="000000" w:themeColor="text1"/>
        </w:rPr>
        <w:t>NBD</w:t>
      </w:r>
      <w:r w:rsidR="0020647A" w:rsidRPr="00A52AB8">
        <w:rPr>
          <w:color w:val="000000" w:themeColor="text1"/>
        </w:rPr>
        <w:t>[ attrIdx ][ partIdx ]</w:t>
      </w:r>
      <w:r w:rsidR="00AA4FDB" w:rsidRPr="00A52AB8">
        <w:rPr>
          <w:color w:val="000000" w:themeColor="text1"/>
        </w:rPr>
        <w:t>[ mapIdx ]</w:t>
      </w:r>
      <w:r w:rsidRPr="00A52AB8">
        <w:rPr>
          <w:color w:val="000000" w:themeColor="text1"/>
        </w:rPr>
        <w:t>[ </w:t>
      </w:r>
      <w:r w:rsidR="009A1153" w:rsidRPr="00A52AB8">
        <w:rPr>
          <w:color w:val="000000" w:themeColor="text1"/>
        </w:rPr>
        <w:t>frame</w:t>
      </w:r>
      <w:r w:rsidRPr="00A52AB8">
        <w:rPr>
          <w:color w:val="000000" w:themeColor="text1"/>
        </w:rPr>
        <w:t>Idx ][ </w:t>
      </w:r>
      <w:r w:rsidR="0020647A" w:rsidRPr="00A52AB8">
        <w:rPr>
          <w:color w:val="000000" w:themeColor="text1"/>
        </w:rPr>
        <w:t>compIdx</w:t>
      </w:r>
      <w:r w:rsidRPr="00A52AB8">
        <w:rPr>
          <w:color w:val="000000" w:themeColor="text1"/>
        </w:rPr>
        <w:t> ].</w:t>
      </w:r>
    </w:p>
    <w:p w14:paraId="3636D7D2" w14:textId="7F0F8115" w:rsidR="007C4EBB" w:rsidRPr="00A52AB8" w:rsidRDefault="007C4EBB"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To convert the chroma format of the attribute </w:t>
      </w:r>
      <w:r w:rsidR="005C661C" w:rsidRPr="00A52AB8">
        <w:rPr>
          <w:color w:val="000000" w:themeColor="text1"/>
        </w:rPr>
        <w:t>frame</w:t>
      </w:r>
      <w:r w:rsidRPr="00A52AB8">
        <w:rPr>
          <w:color w:val="000000" w:themeColor="text1"/>
        </w:rPr>
        <w:t xml:space="preserve"> with attributes type DecAttrType[ attrIdx ] equal to ATTR_TEXTURE, to the required nominal chroma format, subclause </w:t>
      </w:r>
      <w:r w:rsidRPr="00496A4D">
        <w:rPr>
          <w:color w:val="000000" w:themeColor="text1"/>
        </w:rPr>
        <w:fldChar w:fldCharType="begin"/>
      </w:r>
      <w:r w:rsidRPr="00A52AB8">
        <w:rPr>
          <w:color w:val="000000" w:themeColor="text1"/>
        </w:rPr>
        <w:instrText xml:space="preserve"> REF _Ref39770232 \r \h  \* MERGEFORMAT </w:instrText>
      </w:r>
      <w:r w:rsidRPr="00496A4D">
        <w:rPr>
          <w:color w:val="000000" w:themeColor="text1"/>
        </w:rPr>
      </w:r>
      <w:r w:rsidRPr="00496A4D">
        <w:rPr>
          <w:color w:val="000000" w:themeColor="text1"/>
        </w:rPr>
        <w:fldChar w:fldCharType="separate"/>
      </w:r>
      <w:r w:rsidR="00507A67">
        <w:rPr>
          <w:color w:val="000000" w:themeColor="text1"/>
        </w:rPr>
        <w:t>B.3.6</w:t>
      </w:r>
      <w:r w:rsidRPr="00496A4D">
        <w:rPr>
          <w:color w:val="000000" w:themeColor="text1"/>
        </w:rPr>
        <w:fldChar w:fldCharType="end"/>
      </w:r>
      <w:r w:rsidRPr="00A52AB8">
        <w:rPr>
          <w:color w:val="000000" w:themeColor="text1"/>
        </w:rPr>
        <w:t xml:space="preserve"> </w:t>
      </w:r>
      <w:r w:rsidR="005C661C" w:rsidRPr="00A52AB8">
        <w:rPr>
          <w:color w:val="000000" w:themeColor="text1"/>
        </w:rPr>
        <w:t>is invoked for each attribute partition index, partIdx, each map index, mapIdx, and each frame index, frameIdx</w:t>
      </w:r>
      <w:r w:rsidR="004F571F" w:rsidRPr="00A52AB8">
        <w:rPr>
          <w:color w:val="000000" w:themeColor="text1"/>
        </w:rPr>
        <w:t>, with</w:t>
      </w:r>
      <w:r w:rsidRPr="00A52AB8">
        <w:rPr>
          <w:color w:val="000000" w:themeColor="text1"/>
        </w:rPr>
        <w:t xml:space="preserve"> </w:t>
      </w:r>
      <w:r w:rsidR="00794FBB" w:rsidRPr="00A52AB8">
        <w:rPr>
          <w:color w:val="000000" w:themeColor="text1"/>
        </w:rPr>
        <w:t xml:space="preserve">variables </w:t>
      </w:r>
      <w:r w:rsidR="00A141A0" w:rsidRPr="00A52AB8">
        <w:rPr>
          <w:color w:val="000000" w:themeColor="text1"/>
        </w:rPr>
        <w:t xml:space="preserve">DecAttrHeight[ attrIdx ][ partIdx ][ mapIdx ][ frameIdx ], DecAttrWidth[ attrIdx ][ partIdx ][ mapIdx ][ frameIdx ], AttrBitDepthNF[ attrIdx ], </w:t>
      </w:r>
      <w:r w:rsidR="002D1AC3" w:rsidRPr="00A52AB8">
        <w:rPr>
          <w:color w:val="000000" w:themeColor="text1"/>
        </w:rPr>
        <w:t>DecAttrChromaFormat[ attrIdx ][ partIdx ][ mapIdx ][ frameIdx ]</w:t>
      </w:r>
      <w:r w:rsidR="00A141A0" w:rsidRPr="00A52AB8">
        <w:rPr>
          <w:color w:val="000000" w:themeColor="text1"/>
        </w:rPr>
        <w:t>,</w:t>
      </w:r>
      <w:r w:rsidR="002D1AC3" w:rsidRPr="00A52AB8">
        <w:rPr>
          <w:color w:val="000000" w:themeColor="text1"/>
        </w:rPr>
        <w:t xml:space="preserve"> </w:t>
      </w:r>
      <w:r w:rsidR="00794FBB" w:rsidRPr="00A52AB8">
        <w:rPr>
          <w:color w:val="000000" w:themeColor="text1"/>
        </w:rPr>
        <w:t xml:space="preserve">and </w:t>
      </w:r>
      <w:r w:rsidR="00DF535A" w:rsidRPr="00A52AB8">
        <w:rPr>
          <w:color w:val="000000" w:themeColor="text1"/>
        </w:rPr>
        <w:t>DecAttrChromaSamplingPosition</w:t>
      </w:r>
      <w:r w:rsidR="002D1AC3" w:rsidRPr="00A52AB8">
        <w:rPr>
          <w:color w:val="000000" w:themeColor="text1"/>
        </w:rPr>
        <w:t>[ attrIdx ][ partIdx ][ mapIdx ][ frameIdx ]</w:t>
      </w:r>
      <w:r w:rsidR="00794FBB" w:rsidRPr="00A52AB8">
        <w:rPr>
          <w:color w:val="000000" w:themeColor="text1"/>
        </w:rPr>
        <w:t>, and array decAttrFramesNBD[ attrIdx ][ partIdx ][ mapIdx ][ frameIdx ]</w:t>
      </w:r>
      <w:r w:rsidR="00DF535A" w:rsidRPr="00A52AB8">
        <w:rPr>
          <w:color w:val="000000" w:themeColor="text1"/>
        </w:rPr>
        <w:t xml:space="preserve"> </w:t>
      </w:r>
      <w:r w:rsidR="004F571F" w:rsidRPr="00A52AB8">
        <w:rPr>
          <w:color w:val="000000" w:themeColor="text1"/>
        </w:rPr>
        <w:t>as inputs</w:t>
      </w:r>
      <w:r w:rsidRPr="00A52AB8">
        <w:rPr>
          <w:color w:val="000000" w:themeColor="text1"/>
        </w:rPr>
        <w:t xml:space="preserve">. The output of this process is </w:t>
      </w:r>
      <w:r w:rsidR="00794FBB" w:rsidRPr="00A52AB8">
        <w:rPr>
          <w:color w:val="000000" w:themeColor="text1"/>
        </w:rPr>
        <w:t xml:space="preserve">the </w:t>
      </w:r>
      <w:r w:rsidRPr="00A52AB8">
        <w:rPr>
          <w:color w:val="000000" w:themeColor="text1"/>
        </w:rPr>
        <w:t xml:space="preserve">decoded attribute frame with </w:t>
      </w:r>
      <w:r w:rsidR="00FA621E" w:rsidRPr="00A52AB8">
        <w:rPr>
          <w:color w:val="000000" w:themeColor="text1"/>
        </w:rPr>
        <w:t xml:space="preserve">a </w:t>
      </w:r>
      <w:r w:rsidRPr="00A52AB8">
        <w:rPr>
          <w:color w:val="000000" w:themeColor="text1"/>
        </w:rPr>
        <w:t>4:4:4 colour format, decAttrFrame</w:t>
      </w:r>
      <w:r w:rsidR="00804654" w:rsidRPr="00A52AB8">
        <w:rPr>
          <w:color w:val="000000" w:themeColor="text1"/>
        </w:rPr>
        <w:t>s</w:t>
      </w:r>
      <w:r w:rsidR="0031464D" w:rsidRPr="00A52AB8">
        <w:rPr>
          <w:color w:val="000000" w:themeColor="text1"/>
        </w:rPr>
        <w:t>NCF</w:t>
      </w:r>
      <w:r w:rsidRPr="00A52AB8">
        <w:rPr>
          <w:color w:val="000000" w:themeColor="text1"/>
        </w:rPr>
        <w:t>[ attrIdx ][ mapIdx ][ </w:t>
      </w:r>
      <w:r w:rsidR="00794FBB" w:rsidRPr="00A52AB8">
        <w:rPr>
          <w:color w:val="000000" w:themeColor="text1"/>
        </w:rPr>
        <w:t>frameIdx </w:t>
      </w:r>
      <w:r w:rsidRPr="00A52AB8">
        <w:rPr>
          <w:color w:val="000000" w:themeColor="text1"/>
        </w:rPr>
        <w:t>]</w:t>
      </w:r>
    </w:p>
    <w:p w14:paraId="40C28455" w14:textId="48732867" w:rsidR="00DC0985" w:rsidRPr="00A52AB8" w:rsidRDefault="00DC098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To convert the frame resolution of the </w:t>
      </w:r>
      <w:r w:rsidR="00D217A2" w:rsidRPr="00A52AB8">
        <w:rPr>
          <w:color w:val="000000" w:themeColor="text1"/>
        </w:rPr>
        <w:t>attribute</w:t>
      </w:r>
      <w:r w:rsidRPr="00A52AB8">
        <w:rPr>
          <w:color w:val="000000" w:themeColor="text1"/>
        </w:rPr>
        <w:t xml:space="preserve"> </w:t>
      </w:r>
      <w:r w:rsidR="00937119" w:rsidRPr="00A52AB8">
        <w:rPr>
          <w:color w:val="000000" w:themeColor="text1"/>
        </w:rPr>
        <w:t>frame</w:t>
      </w:r>
      <w:r w:rsidRPr="00A52AB8">
        <w:rPr>
          <w:color w:val="000000" w:themeColor="text1"/>
        </w:rPr>
        <w:t xml:space="preserve"> to the required nominal frame resolution, subclause </w:t>
      </w:r>
      <w:r w:rsidRPr="00496A4D">
        <w:rPr>
          <w:color w:val="000000" w:themeColor="text1"/>
        </w:rPr>
        <w:fldChar w:fldCharType="begin"/>
      </w:r>
      <w:r w:rsidRPr="00A52AB8">
        <w:rPr>
          <w:color w:val="000000" w:themeColor="text1"/>
        </w:rPr>
        <w:instrText xml:space="preserve"> REF _Ref39656686 \r \h  \* MERGEFORMAT </w:instrText>
      </w:r>
      <w:r w:rsidRPr="00496A4D">
        <w:rPr>
          <w:color w:val="000000" w:themeColor="text1"/>
        </w:rPr>
      </w:r>
      <w:r w:rsidRPr="00496A4D">
        <w:rPr>
          <w:color w:val="000000" w:themeColor="text1"/>
        </w:rPr>
        <w:fldChar w:fldCharType="separate"/>
      </w:r>
      <w:r w:rsidR="00507A67">
        <w:rPr>
          <w:color w:val="000000" w:themeColor="text1"/>
        </w:rPr>
        <w:t>B.3.3</w:t>
      </w:r>
      <w:r w:rsidRPr="00496A4D">
        <w:rPr>
          <w:color w:val="000000" w:themeColor="text1"/>
        </w:rPr>
        <w:fldChar w:fldCharType="end"/>
      </w:r>
      <w:r w:rsidRPr="00A52AB8">
        <w:rPr>
          <w:color w:val="000000" w:themeColor="text1"/>
        </w:rPr>
        <w:t xml:space="preserve"> is invoked </w:t>
      </w:r>
      <w:r w:rsidR="00C23C27" w:rsidRPr="00A52AB8">
        <w:rPr>
          <w:color w:val="000000" w:themeColor="text1"/>
        </w:rPr>
        <w:t>for each attribute partition index</w:t>
      </w:r>
      <w:r w:rsidR="00937119" w:rsidRPr="00A52AB8">
        <w:rPr>
          <w:color w:val="000000" w:themeColor="text1"/>
        </w:rPr>
        <w:t>,</w:t>
      </w:r>
      <w:r w:rsidR="00C23C27" w:rsidRPr="00A52AB8">
        <w:rPr>
          <w:color w:val="000000" w:themeColor="text1"/>
        </w:rPr>
        <w:t xml:space="preserve"> partIdx, each map index</w:t>
      </w:r>
      <w:r w:rsidR="00937119" w:rsidRPr="00A52AB8">
        <w:rPr>
          <w:color w:val="000000" w:themeColor="text1"/>
        </w:rPr>
        <w:t>,</w:t>
      </w:r>
      <w:r w:rsidR="00C23C27" w:rsidRPr="00A52AB8">
        <w:rPr>
          <w:color w:val="000000" w:themeColor="text1"/>
        </w:rPr>
        <w:t xml:space="preserve"> mapIdx, each </w:t>
      </w:r>
      <w:r w:rsidR="00937119" w:rsidRPr="00A52AB8">
        <w:rPr>
          <w:color w:val="000000" w:themeColor="text1"/>
        </w:rPr>
        <w:t>frame</w:t>
      </w:r>
      <w:r w:rsidR="00C23C27" w:rsidRPr="00A52AB8">
        <w:rPr>
          <w:color w:val="000000" w:themeColor="text1"/>
        </w:rPr>
        <w:t xml:space="preserve"> index </w:t>
      </w:r>
      <w:r w:rsidR="00937119" w:rsidRPr="00A52AB8">
        <w:rPr>
          <w:color w:val="000000" w:themeColor="text1"/>
        </w:rPr>
        <w:t>frame</w:t>
      </w:r>
      <w:r w:rsidR="00C23C27" w:rsidRPr="00A52AB8">
        <w:rPr>
          <w:color w:val="000000" w:themeColor="text1"/>
        </w:rPr>
        <w:t>Idx, and each component index</w:t>
      </w:r>
      <w:r w:rsidR="00937119" w:rsidRPr="00A52AB8">
        <w:rPr>
          <w:color w:val="000000" w:themeColor="text1"/>
        </w:rPr>
        <w:t>,</w:t>
      </w:r>
      <w:r w:rsidR="00C23C27" w:rsidRPr="00A52AB8">
        <w:rPr>
          <w:color w:val="000000" w:themeColor="text1"/>
        </w:rPr>
        <w:t xml:space="preserve"> compIdx</w:t>
      </w:r>
      <w:r w:rsidRPr="00A52AB8">
        <w:rPr>
          <w:color w:val="000000" w:themeColor="text1"/>
        </w:rPr>
        <w:t>, with</w:t>
      </w:r>
      <w:r w:rsidRPr="00A52AB8" w:rsidDel="00200648">
        <w:rPr>
          <w:color w:val="000000" w:themeColor="text1"/>
        </w:rPr>
        <w:t xml:space="preserve"> </w:t>
      </w:r>
      <w:r w:rsidR="00794FBB" w:rsidRPr="00A52AB8">
        <w:rPr>
          <w:color w:val="000000" w:themeColor="text1"/>
        </w:rPr>
        <w:t xml:space="preserve">variables </w:t>
      </w:r>
      <w:r w:rsidRPr="00A52AB8">
        <w:rPr>
          <w:color w:val="000000" w:themeColor="text1"/>
        </w:rPr>
        <w:t>Dec</w:t>
      </w:r>
      <w:r w:rsidR="00D217A2" w:rsidRPr="00A52AB8">
        <w:rPr>
          <w:color w:val="000000" w:themeColor="text1"/>
        </w:rPr>
        <w:t>Attr</w:t>
      </w:r>
      <w:r w:rsidRPr="00A52AB8">
        <w:rPr>
          <w:color w:val="000000" w:themeColor="text1"/>
        </w:rPr>
        <w:t>Height</w:t>
      </w:r>
      <w:r w:rsidR="005F4A8D" w:rsidRPr="00A52AB8">
        <w:rPr>
          <w:color w:val="000000" w:themeColor="text1"/>
        </w:rPr>
        <w:t>[ attrIdx ][ partIdx ][ mapIdx ][ </w:t>
      </w:r>
      <w:r w:rsidR="00937119" w:rsidRPr="00A52AB8">
        <w:rPr>
          <w:color w:val="000000" w:themeColor="text1"/>
        </w:rPr>
        <w:t>frame</w:t>
      </w:r>
      <w:r w:rsidR="005F4A8D" w:rsidRPr="00A52AB8">
        <w:rPr>
          <w:color w:val="000000" w:themeColor="text1"/>
        </w:rPr>
        <w:t>Idx ]</w:t>
      </w:r>
      <w:r w:rsidRPr="00A52AB8">
        <w:rPr>
          <w:color w:val="000000" w:themeColor="text1"/>
        </w:rPr>
        <w:t>, Dec</w:t>
      </w:r>
      <w:r w:rsidR="00D217A2" w:rsidRPr="00A52AB8">
        <w:rPr>
          <w:color w:val="000000" w:themeColor="text1"/>
        </w:rPr>
        <w:t>Attr</w:t>
      </w:r>
      <w:r w:rsidRPr="00A52AB8">
        <w:rPr>
          <w:color w:val="000000" w:themeColor="text1"/>
        </w:rPr>
        <w:t>Width</w:t>
      </w:r>
      <w:r w:rsidR="005F4A8D" w:rsidRPr="00A52AB8">
        <w:rPr>
          <w:color w:val="000000" w:themeColor="text1"/>
        </w:rPr>
        <w:t>[ attrIdx ][ partIdx ][ mapIdx ][ </w:t>
      </w:r>
      <w:r w:rsidR="00937119" w:rsidRPr="00A52AB8">
        <w:rPr>
          <w:color w:val="000000" w:themeColor="text1"/>
        </w:rPr>
        <w:t>frame</w:t>
      </w:r>
      <w:r w:rsidR="005F4A8D" w:rsidRPr="00A52AB8">
        <w:rPr>
          <w:color w:val="000000" w:themeColor="text1"/>
        </w:rPr>
        <w:t>Idx ]</w:t>
      </w:r>
      <w:r w:rsidRPr="00A52AB8">
        <w:rPr>
          <w:color w:val="000000" w:themeColor="text1"/>
        </w:rPr>
        <w:t xml:space="preserve">, VideoHeightNF, and VideoWidthNF, </w:t>
      </w:r>
      <w:r w:rsidR="00794FBB" w:rsidRPr="00A52AB8">
        <w:rPr>
          <w:color w:val="000000" w:themeColor="text1"/>
        </w:rPr>
        <w:t xml:space="preserve">and array decAttrFramesNCF[ attrIdx ][ partIdx ][ mapIdx ][ frameIdx ][ compIdx ] </w:t>
      </w:r>
      <w:r w:rsidRPr="00A52AB8">
        <w:rPr>
          <w:color w:val="000000" w:themeColor="text1"/>
        </w:rPr>
        <w:t xml:space="preserve">as inputs. Output of this process is </w:t>
      </w:r>
      <w:r w:rsidR="00794FBB" w:rsidRPr="00A52AB8">
        <w:rPr>
          <w:color w:val="000000" w:themeColor="text1"/>
        </w:rPr>
        <w:t xml:space="preserve">the </w:t>
      </w:r>
      <w:r w:rsidRPr="00A52AB8">
        <w:rPr>
          <w:color w:val="000000" w:themeColor="text1"/>
        </w:rPr>
        <w:t xml:space="preserve">decoded </w:t>
      </w:r>
      <w:r w:rsidR="00D217A2" w:rsidRPr="00A52AB8">
        <w:rPr>
          <w:color w:val="000000" w:themeColor="text1"/>
        </w:rPr>
        <w:t>attribute</w:t>
      </w:r>
      <w:r w:rsidRPr="00A52AB8">
        <w:rPr>
          <w:color w:val="000000" w:themeColor="text1"/>
        </w:rPr>
        <w:t xml:space="preserve"> frame with nominal resolution, dec</w:t>
      </w:r>
      <w:r w:rsidR="00D217A2" w:rsidRPr="00A52AB8">
        <w:rPr>
          <w:color w:val="000000" w:themeColor="text1"/>
        </w:rPr>
        <w:t>Attr</w:t>
      </w:r>
      <w:r w:rsidRPr="00A52AB8">
        <w:rPr>
          <w:color w:val="000000" w:themeColor="text1"/>
        </w:rPr>
        <w:t>Frame</w:t>
      </w:r>
      <w:r w:rsidR="00804654" w:rsidRPr="00A52AB8">
        <w:rPr>
          <w:color w:val="000000" w:themeColor="text1"/>
        </w:rPr>
        <w:t>s</w:t>
      </w:r>
      <w:r w:rsidRPr="00A52AB8">
        <w:rPr>
          <w:color w:val="000000" w:themeColor="text1"/>
        </w:rPr>
        <w:t>N</w:t>
      </w:r>
      <w:r w:rsidR="003E617D" w:rsidRPr="00A52AB8">
        <w:rPr>
          <w:color w:val="000000" w:themeColor="text1"/>
        </w:rPr>
        <w:t>R</w:t>
      </w:r>
      <w:r w:rsidR="005F4A8D" w:rsidRPr="00A52AB8">
        <w:rPr>
          <w:color w:val="000000" w:themeColor="text1"/>
        </w:rPr>
        <w:t>[ attrIdx ][ partIdx ][ mapIdx ][ </w:t>
      </w:r>
      <w:r w:rsidR="00937119" w:rsidRPr="00A52AB8">
        <w:rPr>
          <w:color w:val="000000" w:themeColor="text1"/>
        </w:rPr>
        <w:t>frame</w:t>
      </w:r>
      <w:r w:rsidR="005F4A8D" w:rsidRPr="00A52AB8">
        <w:rPr>
          <w:color w:val="000000" w:themeColor="text1"/>
        </w:rPr>
        <w:t>Idx ]</w:t>
      </w:r>
      <w:r w:rsidR="001D0D26" w:rsidRPr="00A52AB8">
        <w:rPr>
          <w:color w:val="000000" w:themeColor="text1"/>
        </w:rPr>
        <w:t>[ compIdx ]</w:t>
      </w:r>
      <w:r w:rsidRPr="00A52AB8">
        <w:rPr>
          <w:color w:val="000000" w:themeColor="text1"/>
        </w:rPr>
        <w:t>.</w:t>
      </w:r>
    </w:p>
    <w:p w14:paraId="20865088" w14:textId="6411DA92" w:rsidR="00752756" w:rsidRPr="00A52AB8" w:rsidRDefault="0075275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To extract the maps, subclause </w:t>
      </w:r>
      <w:r w:rsidRPr="00496A4D">
        <w:rPr>
          <w:color w:val="000000" w:themeColor="text1"/>
        </w:rPr>
        <w:fldChar w:fldCharType="begin"/>
      </w:r>
      <w:r w:rsidRPr="00A52AB8">
        <w:rPr>
          <w:color w:val="000000" w:themeColor="text1"/>
        </w:rPr>
        <w:instrText xml:space="preserve"> REF _Ref39746085 \r \h  \* MERGEFORMAT </w:instrText>
      </w:r>
      <w:r w:rsidRPr="00496A4D">
        <w:rPr>
          <w:color w:val="000000" w:themeColor="text1"/>
        </w:rPr>
      </w:r>
      <w:r w:rsidRPr="00496A4D">
        <w:rPr>
          <w:color w:val="000000" w:themeColor="text1"/>
        </w:rPr>
        <w:fldChar w:fldCharType="separate"/>
      </w:r>
      <w:r w:rsidR="00507A67">
        <w:rPr>
          <w:color w:val="000000" w:themeColor="text1"/>
        </w:rPr>
        <w:t>B.3.1</w:t>
      </w:r>
      <w:r w:rsidRPr="00496A4D">
        <w:rPr>
          <w:color w:val="000000" w:themeColor="text1"/>
        </w:rPr>
        <w:fldChar w:fldCharType="end"/>
      </w:r>
      <w:r w:rsidRPr="00A52AB8">
        <w:rPr>
          <w:color w:val="000000" w:themeColor="text1"/>
        </w:rPr>
        <w:t xml:space="preserve"> </w:t>
      </w:r>
      <w:r w:rsidR="009F0127" w:rsidRPr="00A52AB8">
        <w:rPr>
          <w:color w:val="000000" w:themeColor="text1"/>
        </w:rPr>
        <w:t>is invoked for each attribute partition index, partIdx</w:t>
      </w:r>
      <w:r w:rsidRPr="00A52AB8">
        <w:rPr>
          <w:color w:val="000000" w:themeColor="text1"/>
        </w:rPr>
        <w:t xml:space="preserve">, with </w:t>
      </w:r>
      <w:r w:rsidR="00794FBB" w:rsidRPr="00A52AB8">
        <w:rPr>
          <w:color w:val="000000" w:themeColor="text1"/>
        </w:rPr>
        <w:t xml:space="preserve">variables </w:t>
      </w:r>
      <w:r w:rsidRPr="00A52AB8">
        <w:rPr>
          <w:color w:val="000000" w:themeColor="text1"/>
        </w:rPr>
        <w:t xml:space="preserve">attrMultipleMapsPresentFlag, attrMapCount, </w:t>
      </w:r>
      <w:r w:rsidR="00496C36" w:rsidRPr="00A52AB8">
        <w:rPr>
          <w:color w:val="000000" w:themeColor="text1"/>
        </w:rPr>
        <w:t>DecA</w:t>
      </w:r>
      <w:r w:rsidRPr="00A52AB8">
        <w:rPr>
          <w:color w:val="000000" w:themeColor="text1"/>
        </w:rPr>
        <w:t xml:space="preserve">ttrNumComp[ attrIdx ][ partIdx ], </w:t>
      </w:r>
      <w:r w:rsidR="00CD2AAD" w:rsidRPr="00A52AB8">
        <w:rPr>
          <w:color w:val="000000" w:themeColor="text1"/>
        </w:rPr>
        <w:t>VideoHeightNF</w:t>
      </w:r>
      <w:r w:rsidRPr="00A52AB8">
        <w:rPr>
          <w:color w:val="000000" w:themeColor="text1"/>
        </w:rPr>
        <w:t xml:space="preserve">, </w:t>
      </w:r>
      <w:r w:rsidR="00934FBC" w:rsidRPr="00A52AB8">
        <w:rPr>
          <w:color w:val="000000" w:themeColor="text1"/>
        </w:rPr>
        <w:t xml:space="preserve">and </w:t>
      </w:r>
      <w:r w:rsidR="00CD2AAD" w:rsidRPr="00A52AB8">
        <w:rPr>
          <w:color w:val="000000" w:themeColor="text1"/>
        </w:rPr>
        <w:t>VideoWidthNF</w:t>
      </w:r>
      <w:r w:rsidRPr="00A52AB8">
        <w:rPr>
          <w:color w:val="000000" w:themeColor="text1"/>
        </w:rPr>
        <w:t xml:space="preserve">, </w:t>
      </w:r>
      <w:r w:rsidR="00934FBC" w:rsidRPr="00A52AB8">
        <w:rPr>
          <w:color w:val="000000" w:themeColor="text1"/>
        </w:rPr>
        <w:t xml:space="preserve">and arrays NumDecAttrFrames[ attrIdx ][ partIdx ], decAttrFramesNR[ attrIdx ][ partIdx ], </w:t>
      </w:r>
      <w:r w:rsidRPr="00A52AB8">
        <w:rPr>
          <w:color w:val="000000" w:themeColor="text1"/>
        </w:rPr>
        <w:t>DecAttrOutOrderIdx[ attrIdx ][ partIdx ], and DecAttrCompTime[ attrIdx ][ partIdx ]</w:t>
      </w:r>
      <w:r w:rsidR="00934FBC" w:rsidRPr="00A52AB8">
        <w:rPr>
          <w:color w:val="000000" w:themeColor="text1"/>
        </w:rPr>
        <w:t xml:space="preserve"> as inputs</w:t>
      </w:r>
      <w:r w:rsidRPr="00A52AB8">
        <w:rPr>
          <w:color w:val="000000" w:themeColor="text1"/>
        </w:rPr>
        <w:t>. Outputs of this process are the number of frames</w:t>
      </w:r>
      <w:r w:rsidR="00CF265D" w:rsidRPr="00A52AB8">
        <w:rPr>
          <w:color w:val="000000" w:themeColor="text1"/>
        </w:rPr>
        <w:t xml:space="preserve"> being output</w:t>
      </w:r>
      <w:r w:rsidRPr="00A52AB8">
        <w:rPr>
          <w:color w:val="000000" w:themeColor="text1"/>
        </w:rPr>
        <w:t xml:space="preserve">, rangeOutOrdIdx[ attrIdx ][ partIdx ], the decoded </w:t>
      </w:r>
      <w:r w:rsidR="001A1A8E" w:rsidRPr="00A52AB8">
        <w:rPr>
          <w:color w:val="000000" w:themeColor="text1"/>
        </w:rPr>
        <w:t xml:space="preserve">attribute </w:t>
      </w:r>
      <w:r w:rsidRPr="00A52AB8">
        <w:rPr>
          <w:color w:val="000000" w:themeColor="text1"/>
        </w:rPr>
        <w:t xml:space="preserve">frames </w:t>
      </w:r>
      <w:r w:rsidR="001238BC" w:rsidRPr="00A52AB8">
        <w:rPr>
          <w:color w:val="000000" w:themeColor="text1"/>
        </w:rPr>
        <w:t>ordered according to the output order index</w:t>
      </w:r>
      <w:r w:rsidRPr="00A52AB8">
        <w:rPr>
          <w:color w:val="000000" w:themeColor="text1"/>
        </w:rPr>
        <w:t>, decAttrFrame</w:t>
      </w:r>
      <w:r w:rsidR="00804654" w:rsidRPr="00A52AB8">
        <w:rPr>
          <w:color w:val="000000" w:themeColor="text1"/>
        </w:rPr>
        <w:t>s</w:t>
      </w:r>
      <w:r w:rsidRPr="00A52AB8">
        <w:rPr>
          <w:color w:val="000000" w:themeColor="text1"/>
        </w:rPr>
        <w:t xml:space="preserve">ONF[ attrIdx ][ partIdx ], a </w:t>
      </w:r>
      <w:r w:rsidR="001238BC" w:rsidRPr="00A52AB8">
        <w:rPr>
          <w:color w:val="000000" w:themeColor="text1"/>
        </w:rPr>
        <w:t xml:space="preserve">1D array, framePresent[attrIdx][ partIdx ], indicating </w:t>
      </w:r>
      <w:r w:rsidRPr="00A52AB8">
        <w:rPr>
          <w:color w:val="000000" w:themeColor="text1"/>
        </w:rPr>
        <w:t xml:space="preserve">if a </w:t>
      </w:r>
      <w:r w:rsidR="00001611" w:rsidRPr="00A52AB8">
        <w:rPr>
          <w:color w:val="000000" w:themeColor="text1"/>
        </w:rPr>
        <w:t>frame</w:t>
      </w:r>
      <w:r w:rsidRPr="00A52AB8">
        <w:rPr>
          <w:color w:val="000000" w:themeColor="text1"/>
        </w:rPr>
        <w:t xml:space="preserve"> is present, and </w:t>
      </w:r>
      <w:r w:rsidR="001238BC" w:rsidRPr="00A52AB8">
        <w:rPr>
          <w:color w:val="000000" w:themeColor="text1"/>
        </w:rPr>
        <w:t xml:space="preserve">a 1D array, decAttrCompTime[ attrIdx ][ partIdx ], indicating </w:t>
      </w:r>
      <w:r w:rsidRPr="00A52AB8">
        <w:rPr>
          <w:color w:val="000000" w:themeColor="text1"/>
        </w:rPr>
        <w:t xml:space="preserve">the composition time </w:t>
      </w:r>
      <w:r w:rsidR="001238BC" w:rsidRPr="00A52AB8">
        <w:rPr>
          <w:color w:val="000000" w:themeColor="text1"/>
        </w:rPr>
        <w:t>of each frame ordered according to the output order index</w:t>
      </w:r>
      <w:r w:rsidRPr="00A52AB8">
        <w:rPr>
          <w:color w:val="000000" w:themeColor="text1"/>
        </w:rPr>
        <w:t>.</w:t>
      </w:r>
    </w:p>
    <w:p w14:paraId="066560F9" w14:textId="0951EC62" w:rsidR="005A3888" w:rsidRPr="00A52AB8" w:rsidRDefault="005A388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To align the composition times of the decoded </w:t>
      </w:r>
      <w:r w:rsidR="00FA621E" w:rsidRPr="00A52AB8">
        <w:rPr>
          <w:color w:val="000000" w:themeColor="text1"/>
        </w:rPr>
        <w:t>attributes</w:t>
      </w:r>
      <w:r w:rsidRPr="00A52AB8">
        <w:rPr>
          <w:color w:val="000000" w:themeColor="text1"/>
        </w:rPr>
        <w:t xml:space="preserve"> and the decoded atlas frames, subclause </w:t>
      </w:r>
      <w:r w:rsidRPr="00496A4D">
        <w:rPr>
          <w:color w:val="000000" w:themeColor="text1"/>
        </w:rPr>
        <w:fldChar w:fldCharType="begin"/>
      </w:r>
      <w:r w:rsidRPr="00A52AB8">
        <w:rPr>
          <w:color w:val="000000" w:themeColor="text1"/>
        </w:rPr>
        <w:instrText xml:space="preserve"> REF _Ref41282304 \r \h  \* MERGEFORMAT </w:instrText>
      </w:r>
      <w:r w:rsidRPr="00496A4D">
        <w:rPr>
          <w:color w:val="000000" w:themeColor="text1"/>
        </w:rPr>
      </w:r>
      <w:r w:rsidRPr="00496A4D">
        <w:rPr>
          <w:color w:val="000000" w:themeColor="text1"/>
        </w:rPr>
        <w:fldChar w:fldCharType="separate"/>
      </w:r>
      <w:r w:rsidR="00507A67">
        <w:rPr>
          <w:color w:val="000000" w:themeColor="text1"/>
        </w:rPr>
        <w:t>B.3.4.2</w:t>
      </w:r>
      <w:r w:rsidRPr="00496A4D">
        <w:rPr>
          <w:color w:val="000000" w:themeColor="text1"/>
        </w:rPr>
        <w:fldChar w:fldCharType="end"/>
      </w:r>
      <w:r w:rsidRPr="00A52AB8">
        <w:rPr>
          <w:color w:val="000000" w:themeColor="text1"/>
        </w:rPr>
        <w:t xml:space="preserve"> is invoked for</w:t>
      </w:r>
      <w:r w:rsidR="00A2565F" w:rsidRPr="00A52AB8">
        <w:rPr>
          <w:color w:val="000000" w:themeColor="text1"/>
        </w:rPr>
        <w:t xml:space="preserve"> each attribute partition index, partIdx, and</w:t>
      </w:r>
      <w:r w:rsidRPr="00A52AB8">
        <w:rPr>
          <w:color w:val="000000" w:themeColor="text1"/>
        </w:rPr>
        <w:t xml:space="preserve"> each map index</w:t>
      </w:r>
      <w:r w:rsidR="00A2565F" w:rsidRPr="00A52AB8">
        <w:rPr>
          <w:color w:val="000000" w:themeColor="text1"/>
        </w:rPr>
        <w:t>,</w:t>
      </w:r>
      <w:r w:rsidRPr="00A52AB8">
        <w:rPr>
          <w:color w:val="000000" w:themeColor="text1"/>
        </w:rPr>
        <w:t xml:space="preserve"> mapIdx, with </w:t>
      </w:r>
      <w:r w:rsidR="00597B95" w:rsidRPr="00A52AB8">
        <w:rPr>
          <w:color w:val="000000" w:themeColor="text1"/>
        </w:rPr>
        <w:t xml:space="preserve">variables </w:t>
      </w:r>
      <w:r w:rsidRPr="00A52AB8">
        <w:rPr>
          <w:color w:val="000000" w:themeColor="text1"/>
        </w:rPr>
        <w:t xml:space="preserve">NumDecAtlasFrames, </w:t>
      </w:r>
      <w:r w:rsidR="00A2565F" w:rsidRPr="00A52AB8">
        <w:rPr>
          <w:color w:val="000000" w:themeColor="text1"/>
        </w:rPr>
        <w:t>rangeOutOrdIdx[ attrIdx ][ partIdx ]</w:t>
      </w:r>
      <w:r w:rsidRPr="00A52AB8">
        <w:rPr>
          <w:color w:val="000000" w:themeColor="text1"/>
        </w:rPr>
        <w:t xml:space="preserve">[ mapIdx ], </w:t>
      </w:r>
      <w:r w:rsidR="00FD61D6" w:rsidRPr="00A52AB8">
        <w:rPr>
          <w:color w:val="000000" w:themeColor="text1"/>
        </w:rPr>
        <w:t>DecAttr</w:t>
      </w:r>
      <w:r w:rsidRPr="00A52AB8">
        <w:rPr>
          <w:color w:val="000000" w:themeColor="text1"/>
        </w:rPr>
        <w:t>NumComp</w:t>
      </w:r>
      <w:r w:rsidR="00FD61D6" w:rsidRPr="00A52AB8">
        <w:rPr>
          <w:color w:val="000000" w:themeColor="text1"/>
        </w:rPr>
        <w:t>[ attrIdx ][ partIdx ][ mapIdx ]</w:t>
      </w:r>
      <w:r w:rsidRPr="00A52AB8">
        <w:rPr>
          <w:color w:val="000000" w:themeColor="text1"/>
        </w:rPr>
        <w:t xml:space="preserve">, VideoHeightNF, </w:t>
      </w:r>
      <w:r w:rsidR="00597B95" w:rsidRPr="00A52AB8">
        <w:rPr>
          <w:color w:val="000000" w:themeColor="text1"/>
        </w:rPr>
        <w:t xml:space="preserve">and </w:t>
      </w:r>
      <w:r w:rsidRPr="00A52AB8">
        <w:rPr>
          <w:color w:val="000000" w:themeColor="text1"/>
        </w:rPr>
        <w:t xml:space="preserve">VideoWidthNF, </w:t>
      </w:r>
      <w:r w:rsidR="00597B95" w:rsidRPr="00A52AB8">
        <w:rPr>
          <w:color w:val="000000" w:themeColor="text1"/>
        </w:rPr>
        <w:t xml:space="preserve">and arrays DecAtlasOutOrdIdx, DecAtlasCompTime, </w:t>
      </w:r>
      <w:r w:rsidRPr="00A52AB8">
        <w:rPr>
          <w:color w:val="000000" w:themeColor="text1"/>
        </w:rPr>
        <w:t>dec</w:t>
      </w:r>
      <w:r w:rsidR="00FD61D6" w:rsidRPr="00A52AB8">
        <w:rPr>
          <w:color w:val="000000" w:themeColor="text1"/>
        </w:rPr>
        <w:t>Attr</w:t>
      </w:r>
      <w:r w:rsidRPr="00A52AB8">
        <w:rPr>
          <w:color w:val="000000" w:themeColor="text1"/>
        </w:rPr>
        <w:t>Frame</w:t>
      </w:r>
      <w:r w:rsidR="00804654" w:rsidRPr="00A52AB8">
        <w:rPr>
          <w:color w:val="000000" w:themeColor="text1"/>
        </w:rPr>
        <w:t>s</w:t>
      </w:r>
      <w:r w:rsidRPr="00A52AB8">
        <w:rPr>
          <w:color w:val="000000" w:themeColor="text1"/>
        </w:rPr>
        <w:t>ONF</w:t>
      </w:r>
      <w:r w:rsidR="00FD61D6" w:rsidRPr="00A52AB8">
        <w:rPr>
          <w:color w:val="000000" w:themeColor="text1"/>
        </w:rPr>
        <w:t>[ attrIdx ][ partIdx ]</w:t>
      </w:r>
      <w:r w:rsidRPr="00A52AB8">
        <w:rPr>
          <w:color w:val="000000" w:themeColor="text1"/>
        </w:rPr>
        <w:t>[ mapIdx ], dec</w:t>
      </w:r>
      <w:r w:rsidR="003F02E3" w:rsidRPr="00A52AB8">
        <w:rPr>
          <w:color w:val="000000" w:themeColor="text1"/>
        </w:rPr>
        <w:t>Attr</w:t>
      </w:r>
      <w:r w:rsidRPr="00A52AB8">
        <w:rPr>
          <w:color w:val="000000" w:themeColor="text1"/>
        </w:rPr>
        <w:t>CompTimeONF</w:t>
      </w:r>
      <w:r w:rsidR="003F02E3" w:rsidRPr="00A52AB8">
        <w:rPr>
          <w:color w:val="000000" w:themeColor="text1"/>
        </w:rPr>
        <w:t>[ attrIdx ][ partIdx ]</w:t>
      </w:r>
      <w:r w:rsidRPr="00A52AB8">
        <w:rPr>
          <w:color w:val="000000" w:themeColor="text1"/>
        </w:rPr>
        <w:t>[ mapIdx ], and framePresent</w:t>
      </w:r>
      <w:r w:rsidR="003F02E3" w:rsidRPr="00A52AB8">
        <w:rPr>
          <w:color w:val="000000" w:themeColor="text1"/>
        </w:rPr>
        <w:t>[ attrIdx ][ partIdx ]</w:t>
      </w:r>
      <w:r w:rsidRPr="00A52AB8">
        <w:rPr>
          <w:color w:val="000000" w:themeColor="text1"/>
        </w:rPr>
        <w:t>[ mapIdx ]</w:t>
      </w:r>
      <w:r w:rsidR="001D0D26" w:rsidRPr="00A52AB8">
        <w:rPr>
          <w:color w:val="000000" w:themeColor="text1"/>
        </w:rPr>
        <w:t xml:space="preserve"> as inputs</w:t>
      </w:r>
      <w:r w:rsidRPr="00A52AB8">
        <w:rPr>
          <w:color w:val="000000" w:themeColor="text1"/>
        </w:rPr>
        <w:t>. The outputs of this process are the number of frames</w:t>
      </w:r>
      <w:r w:rsidR="00CF265D" w:rsidRPr="00A52AB8">
        <w:rPr>
          <w:color w:val="000000" w:themeColor="text1"/>
        </w:rPr>
        <w:t xml:space="preserve"> being output</w:t>
      </w:r>
      <w:r w:rsidRPr="00A52AB8">
        <w:rPr>
          <w:color w:val="000000" w:themeColor="text1"/>
        </w:rPr>
        <w:t>, rangeCompTimeIdx</w:t>
      </w:r>
      <w:r w:rsidR="003F02E3" w:rsidRPr="00A52AB8">
        <w:rPr>
          <w:color w:val="000000" w:themeColor="text1"/>
        </w:rPr>
        <w:t>[ attrIdx ]</w:t>
      </w:r>
      <w:r w:rsidRPr="00A52AB8">
        <w:rPr>
          <w:color w:val="000000" w:themeColor="text1"/>
        </w:rPr>
        <w:t>, the output composition time</w:t>
      </w:r>
      <w:r w:rsidR="001238BC" w:rsidRPr="00A52AB8">
        <w:rPr>
          <w:color w:val="000000" w:themeColor="text1"/>
        </w:rPr>
        <w:t xml:space="preserve"> of each frame</w:t>
      </w:r>
      <w:r w:rsidRPr="00A52AB8">
        <w:rPr>
          <w:color w:val="000000" w:themeColor="text1"/>
        </w:rPr>
        <w:t xml:space="preserve">, </w:t>
      </w:r>
      <w:r w:rsidR="00F20BC1" w:rsidRPr="00A52AB8">
        <w:rPr>
          <w:color w:val="000000" w:themeColor="text1"/>
        </w:rPr>
        <w:t>attr</w:t>
      </w:r>
      <w:r w:rsidRPr="00A52AB8">
        <w:rPr>
          <w:color w:val="000000" w:themeColor="text1"/>
        </w:rPr>
        <w:t>CompTime</w:t>
      </w:r>
      <w:r w:rsidR="00F20BC1" w:rsidRPr="00A52AB8">
        <w:rPr>
          <w:color w:val="000000" w:themeColor="text1"/>
        </w:rPr>
        <w:t>[ attrIdx ][ partIdx ][ mapIdx ]</w:t>
      </w:r>
      <w:r w:rsidRPr="00A52AB8">
        <w:rPr>
          <w:color w:val="000000" w:themeColor="text1"/>
        </w:rPr>
        <w:t xml:space="preserve">, and a sequence of frames in the nominal format aligned with the decoded atlas composition time, </w:t>
      </w:r>
      <w:r w:rsidR="001A0657" w:rsidRPr="00A52AB8">
        <w:rPr>
          <w:color w:val="000000" w:themeColor="text1"/>
        </w:rPr>
        <w:t>decA</w:t>
      </w:r>
      <w:r w:rsidR="00CC4068" w:rsidRPr="00A52AB8">
        <w:rPr>
          <w:color w:val="000000" w:themeColor="text1"/>
        </w:rPr>
        <w:t>ttr</w:t>
      </w:r>
      <w:r w:rsidRPr="00A52AB8">
        <w:rPr>
          <w:color w:val="000000" w:themeColor="text1"/>
        </w:rPr>
        <w:t>Frame</w:t>
      </w:r>
      <w:r w:rsidR="00804654" w:rsidRPr="00A52AB8">
        <w:rPr>
          <w:color w:val="000000" w:themeColor="text1"/>
        </w:rPr>
        <w:t>s</w:t>
      </w:r>
      <w:r w:rsidR="007432F1" w:rsidRPr="00A52AB8">
        <w:rPr>
          <w:color w:val="000000" w:themeColor="text1"/>
        </w:rPr>
        <w:t>A</w:t>
      </w:r>
      <w:r w:rsidRPr="00A52AB8">
        <w:rPr>
          <w:color w:val="000000" w:themeColor="text1"/>
        </w:rPr>
        <w:t>NF</w:t>
      </w:r>
      <w:r w:rsidR="00384645" w:rsidRPr="00A52AB8">
        <w:rPr>
          <w:color w:val="000000" w:themeColor="text1"/>
        </w:rPr>
        <w:t>[ attrIdx ][ partIdx ]</w:t>
      </w:r>
      <w:r w:rsidRPr="00A52AB8">
        <w:rPr>
          <w:color w:val="000000" w:themeColor="text1"/>
        </w:rPr>
        <w:t>[ mapIdx ].</w:t>
      </w:r>
    </w:p>
    <w:p w14:paraId="633E49F9" w14:textId="630CCD6A" w:rsidR="00D56F3C" w:rsidRPr="00A52AB8" w:rsidRDefault="00D56F3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To perform dimension packing of attributes, </w:t>
      </w:r>
      <w:r w:rsidR="00B0497F" w:rsidRPr="00A52AB8">
        <w:rPr>
          <w:color w:val="000000" w:themeColor="text1"/>
        </w:rPr>
        <w:t>subclause </w:t>
      </w:r>
      <w:r w:rsidR="00A35CDC" w:rsidRPr="00496A4D">
        <w:rPr>
          <w:color w:val="000000" w:themeColor="text1"/>
        </w:rPr>
        <w:fldChar w:fldCharType="begin"/>
      </w:r>
      <w:r w:rsidR="00A35CDC" w:rsidRPr="00A52AB8">
        <w:rPr>
          <w:color w:val="000000" w:themeColor="text1"/>
        </w:rPr>
        <w:instrText xml:space="preserve"> REF _Ref49965048 \r \h </w:instrText>
      </w:r>
      <w:r w:rsidR="003D4946" w:rsidRPr="00A52AB8">
        <w:rPr>
          <w:color w:val="000000" w:themeColor="text1"/>
        </w:rPr>
        <w:instrText xml:space="preserve"> \* MERGEFORMAT </w:instrText>
      </w:r>
      <w:r w:rsidR="00A35CDC" w:rsidRPr="00496A4D">
        <w:rPr>
          <w:color w:val="000000" w:themeColor="text1"/>
        </w:rPr>
      </w:r>
      <w:r w:rsidR="00A35CDC" w:rsidRPr="00496A4D">
        <w:rPr>
          <w:color w:val="000000" w:themeColor="text1"/>
        </w:rPr>
        <w:fldChar w:fldCharType="separate"/>
      </w:r>
      <w:r w:rsidR="00507A67">
        <w:rPr>
          <w:color w:val="000000" w:themeColor="text1"/>
        </w:rPr>
        <w:t>B.3.5.1</w:t>
      </w:r>
      <w:r w:rsidR="00A35CDC" w:rsidRPr="00496A4D">
        <w:rPr>
          <w:color w:val="000000" w:themeColor="text1"/>
        </w:rPr>
        <w:fldChar w:fldCharType="end"/>
      </w:r>
      <w:r w:rsidRPr="00A52AB8">
        <w:rPr>
          <w:color w:val="000000" w:themeColor="text1"/>
        </w:rPr>
        <w:t xml:space="preserve"> </w:t>
      </w:r>
      <w:r w:rsidR="001A0657" w:rsidRPr="00A52AB8">
        <w:rPr>
          <w:color w:val="000000" w:themeColor="text1"/>
        </w:rPr>
        <w:t xml:space="preserve">is invoked, with </w:t>
      </w:r>
      <w:r w:rsidR="00597B95" w:rsidRPr="00A52AB8">
        <w:rPr>
          <w:color w:val="000000" w:themeColor="text1"/>
        </w:rPr>
        <w:t xml:space="preserve">variables </w:t>
      </w:r>
      <w:r w:rsidR="00536D81" w:rsidRPr="00A52AB8">
        <w:rPr>
          <w:color w:val="000000" w:themeColor="text1"/>
        </w:rPr>
        <w:t xml:space="preserve">attrNumPart, attrMapCount, </w:t>
      </w:r>
      <w:r w:rsidR="00656F7A" w:rsidRPr="00A52AB8">
        <w:rPr>
          <w:color w:val="000000" w:themeColor="text1"/>
        </w:rPr>
        <w:t>rangeCompTimeIdx[ attrIdx ],</w:t>
      </w:r>
      <w:r w:rsidR="00A35CDC" w:rsidRPr="00A52AB8">
        <w:rPr>
          <w:color w:val="000000" w:themeColor="text1"/>
        </w:rPr>
        <w:t xml:space="preserve"> (attrDim-(attrNumPart-1)),</w:t>
      </w:r>
      <w:r w:rsidR="00C77E4D" w:rsidRPr="00A52AB8">
        <w:rPr>
          <w:color w:val="000000" w:themeColor="text1"/>
        </w:rPr>
        <w:t xml:space="preserve"> </w:t>
      </w:r>
      <w:r w:rsidR="00A35CDC" w:rsidRPr="00A52AB8">
        <w:rPr>
          <w:color w:val="000000" w:themeColor="text1"/>
        </w:rPr>
        <w:t>VideoHeightNF, VideoWidthNF,</w:t>
      </w:r>
      <w:r w:rsidR="00A35CDC" w:rsidRPr="00A52AB8" w:rsidDel="001A0657">
        <w:rPr>
          <w:color w:val="000000" w:themeColor="text1"/>
        </w:rPr>
        <w:t xml:space="preserve"> </w:t>
      </w:r>
      <w:r w:rsidR="00597B95" w:rsidRPr="00A52AB8">
        <w:rPr>
          <w:color w:val="000000" w:themeColor="text1"/>
        </w:rPr>
        <w:t xml:space="preserve">and attrDim, and arrays </w:t>
      </w:r>
      <w:r w:rsidR="001A0657" w:rsidRPr="00A52AB8">
        <w:rPr>
          <w:color w:val="000000" w:themeColor="text1"/>
        </w:rPr>
        <w:t>decAttrFrame</w:t>
      </w:r>
      <w:r w:rsidR="00804654" w:rsidRPr="00A52AB8">
        <w:rPr>
          <w:color w:val="000000" w:themeColor="text1"/>
        </w:rPr>
        <w:t>s</w:t>
      </w:r>
      <w:r w:rsidR="001A0657" w:rsidRPr="00A52AB8">
        <w:rPr>
          <w:color w:val="000000" w:themeColor="text1"/>
        </w:rPr>
        <w:t>ANF</w:t>
      </w:r>
      <w:r w:rsidRPr="00A52AB8">
        <w:rPr>
          <w:color w:val="000000" w:themeColor="text1"/>
        </w:rPr>
        <w:t>[ attrIdx ]</w:t>
      </w:r>
      <w:r w:rsidR="001A0657" w:rsidRPr="00A52AB8">
        <w:rPr>
          <w:color w:val="000000" w:themeColor="text1"/>
        </w:rPr>
        <w:t xml:space="preserve">, </w:t>
      </w:r>
      <w:r w:rsidR="00A35CDC" w:rsidRPr="00A52AB8">
        <w:rPr>
          <w:color w:val="000000" w:themeColor="text1"/>
        </w:rPr>
        <w:t xml:space="preserve">and </w:t>
      </w:r>
      <w:r w:rsidR="001D0D26" w:rsidRPr="00A52AB8">
        <w:rPr>
          <w:color w:val="000000" w:themeColor="text1"/>
        </w:rPr>
        <w:t xml:space="preserve">attrPartChannelsMinus1 </w:t>
      </w:r>
      <w:r w:rsidR="001A0657" w:rsidRPr="00A52AB8">
        <w:rPr>
          <w:color w:val="000000" w:themeColor="text1"/>
        </w:rPr>
        <w:t>as input</w:t>
      </w:r>
      <w:r w:rsidR="008337C9" w:rsidRPr="00A52AB8">
        <w:rPr>
          <w:color w:val="000000" w:themeColor="text1"/>
        </w:rPr>
        <w:t>. The output of this process</w:t>
      </w:r>
      <w:r w:rsidR="002412C6" w:rsidRPr="00A52AB8">
        <w:rPr>
          <w:color w:val="000000" w:themeColor="text1"/>
        </w:rPr>
        <w:t xml:space="preserve"> is a </w:t>
      </w:r>
      <w:r w:rsidR="00A35CDC" w:rsidRPr="00A52AB8">
        <w:rPr>
          <w:color w:val="000000" w:themeColor="text1"/>
        </w:rPr>
        <w:t xml:space="preserve">sequence of </w:t>
      </w:r>
      <w:r w:rsidR="002412C6" w:rsidRPr="00A52AB8">
        <w:rPr>
          <w:color w:val="000000" w:themeColor="text1"/>
        </w:rPr>
        <w:t>attribute frame</w:t>
      </w:r>
      <w:r w:rsidR="00A35CDC" w:rsidRPr="00A52AB8">
        <w:rPr>
          <w:color w:val="000000" w:themeColor="text1"/>
        </w:rPr>
        <w:t>s</w:t>
      </w:r>
      <w:r w:rsidR="00812087" w:rsidRPr="00A52AB8">
        <w:rPr>
          <w:color w:val="000000" w:themeColor="text1"/>
        </w:rPr>
        <w:t xml:space="preserve"> with merged partitions</w:t>
      </w:r>
      <w:r w:rsidR="00C7189D" w:rsidRPr="00A52AB8">
        <w:rPr>
          <w:color w:val="000000" w:themeColor="text1"/>
        </w:rPr>
        <w:t xml:space="preserve"> at the nominal format</w:t>
      </w:r>
      <w:r w:rsidR="002412C6" w:rsidRPr="00A52AB8">
        <w:rPr>
          <w:color w:val="000000" w:themeColor="text1"/>
        </w:rPr>
        <w:t>, AttrFrame</w:t>
      </w:r>
      <w:r w:rsidR="00804654" w:rsidRPr="00A52AB8">
        <w:rPr>
          <w:color w:val="000000" w:themeColor="text1"/>
        </w:rPr>
        <w:t>s</w:t>
      </w:r>
      <w:r w:rsidR="00C7189D" w:rsidRPr="00A52AB8">
        <w:rPr>
          <w:color w:val="000000" w:themeColor="text1"/>
        </w:rPr>
        <w:t>NF</w:t>
      </w:r>
      <w:r w:rsidR="002412C6" w:rsidRPr="00A52AB8">
        <w:rPr>
          <w:color w:val="000000" w:themeColor="text1"/>
        </w:rPr>
        <w:t>[ attrIdx ].</w:t>
      </w:r>
    </w:p>
    <w:p w14:paraId="5132880C" w14:textId="64B5BF0B" w:rsidR="00D56F3C" w:rsidRPr="00A52AB8" w:rsidRDefault="00C7189D"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To synthesize the maps of the attribute, subclause </w:t>
      </w:r>
      <w:r w:rsidRPr="00496A4D">
        <w:rPr>
          <w:color w:val="000000" w:themeColor="text1"/>
        </w:rPr>
        <w:fldChar w:fldCharType="begin"/>
      </w:r>
      <w:r w:rsidRPr="00A52AB8">
        <w:rPr>
          <w:color w:val="000000" w:themeColor="text1"/>
        </w:rPr>
        <w:instrText xml:space="preserve"> REF _Ref39770166 \r \h  \* MERGEFORMAT </w:instrText>
      </w:r>
      <w:r w:rsidRPr="00496A4D">
        <w:rPr>
          <w:color w:val="000000" w:themeColor="text1"/>
        </w:rPr>
      </w:r>
      <w:r w:rsidRPr="00496A4D">
        <w:rPr>
          <w:color w:val="000000" w:themeColor="text1"/>
        </w:rPr>
        <w:fldChar w:fldCharType="separate"/>
      </w:r>
      <w:r w:rsidR="00507A67">
        <w:rPr>
          <w:color w:val="000000" w:themeColor="text1"/>
        </w:rPr>
        <w:t>B.3.8</w:t>
      </w:r>
      <w:r w:rsidRPr="00496A4D">
        <w:rPr>
          <w:color w:val="000000" w:themeColor="text1"/>
        </w:rPr>
        <w:fldChar w:fldCharType="end"/>
      </w:r>
      <w:r w:rsidRPr="00A52AB8">
        <w:rPr>
          <w:color w:val="000000" w:themeColor="text1"/>
        </w:rPr>
        <w:t xml:space="preserve"> is invoked with</w:t>
      </w:r>
      <w:r w:rsidRPr="00A52AB8" w:rsidDel="00CF5586">
        <w:rPr>
          <w:color w:val="000000" w:themeColor="text1"/>
        </w:rPr>
        <w:t xml:space="preserve"> </w:t>
      </w:r>
      <w:r w:rsidR="00597B95" w:rsidRPr="00A52AB8">
        <w:rPr>
          <w:color w:val="000000" w:themeColor="text1"/>
        </w:rPr>
        <w:t xml:space="preserve">variables </w:t>
      </w:r>
      <w:r w:rsidRPr="00A52AB8">
        <w:rPr>
          <w:color w:val="000000" w:themeColor="text1"/>
        </w:rPr>
        <w:t xml:space="preserve">attrMultipleMapsPresentFlag, attrMapCount, rangeCompTimeIdx[ attrIdx ], AttrBitDepthNF[ attrIdx ], attrDim[ attrIdx ], VideoHeightNF, </w:t>
      </w:r>
      <w:r w:rsidR="00597B95" w:rsidRPr="00A52AB8">
        <w:rPr>
          <w:color w:val="000000" w:themeColor="text1"/>
        </w:rPr>
        <w:t xml:space="preserve">and </w:t>
      </w:r>
      <w:r w:rsidRPr="00A52AB8">
        <w:rPr>
          <w:color w:val="000000" w:themeColor="text1"/>
        </w:rPr>
        <w:t xml:space="preserve">VideoWidthNF, </w:t>
      </w:r>
      <w:r w:rsidR="00597B95" w:rsidRPr="00A52AB8">
        <w:rPr>
          <w:color w:val="000000" w:themeColor="text1"/>
        </w:rPr>
        <w:t xml:space="preserve">and arrays </w:t>
      </w:r>
      <w:r w:rsidRPr="00A52AB8">
        <w:rPr>
          <w:color w:val="000000" w:themeColor="text1"/>
        </w:rPr>
        <w:t>AttrFramesNF[ attrIdx ] and AttributeMapAbsoluteCodingEnabledFlag[ ConvAtlasID ][ attrIdx ]</w:t>
      </w:r>
      <w:r w:rsidR="00597B95" w:rsidRPr="00A52AB8">
        <w:rPr>
          <w:color w:val="000000" w:themeColor="text1"/>
        </w:rPr>
        <w:t xml:space="preserve"> as inputs</w:t>
      </w:r>
      <w:r w:rsidRPr="00A52AB8">
        <w:rPr>
          <w:color w:val="000000" w:themeColor="text1"/>
        </w:rPr>
        <w:t>. The output of this process is the updated decoded attribute frame in the nominal format, AttrFramesNF[ attrIdx ], containing synthesized attribute values.</w:t>
      </w:r>
    </w:p>
    <w:p w14:paraId="1A9A0E93" w14:textId="77777777" w:rsidR="00D56F3C" w:rsidRPr="00A52AB8" w:rsidRDefault="00D56F3C" w:rsidP="00EE3D19">
      <w:pPr>
        <w:pStyle w:val="a4"/>
        <w:numPr>
          <w:ilvl w:val="2"/>
          <w:numId w:val="19"/>
        </w:numPr>
        <w:outlineLvl w:val="2"/>
      </w:pPr>
      <w:r w:rsidRPr="00A52AB8">
        <w:t>Auxiliary attribute</w:t>
      </w:r>
      <w:bookmarkStart w:id="4853" w:name="_Ref38537954"/>
      <w:r w:rsidRPr="00A52AB8">
        <w:t xml:space="preserve"> </w:t>
      </w:r>
      <w:bookmarkEnd w:id="4853"/>
      <w:r w:rsidRPr="00A52AB8">
        <w:t>nominal format conversion</w:t>
      </w:r>
    </w:p>
    <w:p w14:paraId="44CB5B06" w14:textId="1F4A41AA" w:rsidR="00BE1674" w:rsidRPr="00A52AB8" w:rsidRDefault="00BE1674" w:rsidP="00BE1674">
      <w:pPr>
        <w:rPr>
          <w:lang w:eastAsia="ja-JP"/>
        </w:rPr>
      </w:pPr>
      <w:r w:rsidRPr="00A52AB8">
        <w:rPr>
          <w:lang w:eastAsia="ja-JP"/>
        </w:rPr>
        <w:t>This process converts the decode</w:t>
      </w:r>
      <w:r w:rsidR="00255A40" w:rsidRPr="00A52AB8">
        <w:rPr>
          <w:lang w:eastAsia="ja-JP"/>
        </w:rPr>
        <w:t>d</w:t>
      </w:r>
      <w:r w:rsidRPr="00A52AB8">
        <w:rPr>
          <w:lang w:eastAsia="ja-JP"/>
        </w:rPr>
        <w:t xml:space="preserve"> auxiliary attribute frames </w:t>
      </w:r>
      <w:r w:rsidR="0019624E" w:rsidRPr="00A52AB8">
        <w:rPr>
          <w:color w:val="000000" w:themeColor="text1"/>
        </w:rPr>
        <w:t>DecAttrAuxFrames</w:t>
      </w:r>
      <w:r w:rsidR="0019624E" w:rsidRPr="00A52AB8">
        <w:rPr>
          <w:lang w:eastAsia="ja-JP"/>
        </w:rPr>
        <w:t xml:space="preserve"> </w:t>
      </w:r>
      <w:r w:rsidRPr="00A52AB8">
        <w:rPr>
          <w:lang w:eastAsia="ja-JP"/>
        </w:rPr>
        <w:t xml:space="preserve">to </w:t>
      </w:r>
      <w:r w:rsidR="00E424C5" w:rsidRPr="00A52AB8">
        <w:rPr>
          <w:lang w:eastAsia="ja-JP"/>
        </w:rPr>
        <w:t xml:space="preserve">the </w:t>
      </w:r>
      <w:r w:rsidRPr="00A52AB8">
        <w:rPr>
          <w:lang w:eastAsia="ja-JP"/>
        </w:rPr>
        <w:t>nominal format.</w:t>
      </w:r>
    </w:p>
    <w:p w14:paraId="7E7C36C9" w14:textId="77777777" w:rsidR="0050235C" w:rsidRPr="00A52AB8" w:rsidRDefault="00BE1674" w:rsidP="00BE1674">
      <w:pPr>
        <w:rPr>
          <w:color w:val="000000" w:themeColor="text1"/>
        </w:rPr>
      </w:pPr>
      <w:r w:rsidRPr="00A52AB8">
        <w:rPr>
          <w:color w:val="000000" w:themeColor="text1"/>
        </w:rPr>
        <w:t xml:space="preserve">The processes described below are invoked for decoded </w:t>
      </w:r>
      <w:r w:rsidR="0090422D" w:rsidRPr="00A52AB8">
        <w:rPr>
          <w:lang w:eastAsia="ja-JP"/>
        </w:rPr>
        <w:t xml:space="preserve">auxiliary </w:t>
      </w:r>
      <w:r w:rsidRPr="00A52AB8">
        <w:rPr>
          <w:color w:val="000000" w:themeColor="text1"/>
        </w:rPr>
        <w:t xml:space="preserve">attribute frames associated </w:t>
      </w:r>
      <w:r w:rsidRPr="00A52AB8">
        <w:t xml:space="preserve">with the same attribute index, </w:t>
      </w:r>
      <w:r w:rsidRPr="00A52AB8">
        <w:rPr>
          <w:color w:val="000000" w:themeColor="text1"/>
        </w:rPr>
        <w:t xml:space="preserve">identified by variable attrIdx, which is set equal to vuh_attribute_index </w:t>
      </w:r>
      <w:r w:rsidRPr="00A52AB8">
        <w:t>or determined through external means if the V3C unit header is unavailable</w:t>
      </w:r>
      <w:r w:rsidRPr="00A52AB8">
        <w:rPr>
          <w:color w:val="000000" w:themeColor="text1"/>
        </w:rPr>
        <w:t>.</w:t>
      </w:r>
    </w:p>
    <w:p w14:paraId="6AC28183" w14:textId="77777777" w:rsidR="00A91930" w:rsidRPr="00A52AB8" w:rsidRDefault="00BE1674" w:rsidP="00BE1674">
      <w:pPr>
        <w:rPr>
          <w:lang w:eastAsia="ja-JP"/>
        </w:rPr>
      </w:pPr>
      <w:r w:rsidRPr="00A52AB8">
        <w:rPr>
          <w:lang w:eastAsia="ja-JP"/>
        </w:rPr>
        <w:t>Let the variable</w:t>
      </w:r>
      <w:r w:rsidR="006A1939" w:rsidRPr="00A52AB8">
        <w:rPr>
          <w:lang w:eastAsia="ja-JP"/>
        </w:rPr>
        <w:t xml:space="preserve"> </w:t>
      </w:r>
      <w:r w:rsidRPr="00A52AB8">
        <w:rPr>
          <w:lang w:eastAsia="ja-JP"/>
        </w:rPr>
        <w:t>attrMSBAlignFlag</w:t>
      </w:r>
      <w:r w:rsidR="00DF58BC" w:rsidRPr="00A52AB8">
        <w:rPr>
          <w:lang w:eastAsia="ja-JP"/>
        </w:rPr>
        <w:t>, attrDim, and attr</w:t>
      </w:r>
      <w:r w:rsidR="00DF58BC" w:rsidRPr="00A52AB8">
        <w:rPr>
          <w:color w:val="000000" w:themeColor="text1"/>
        </w:rPr>
        <w:t>NumPart</w:t>
      </w:r>
      <w:r w:rsidR="006A1939" w:rsidRPr="00A52AB8">
        <w:rPr>
          <w:lang w:eastAsia="ja-JP"/>
        </w:rPr>
        <w:t xml:space="preserve"> </w:t>
      </w:r>
      <w:r w:rsidRPr="00A52AB8">
        <w:rPr>
          <w:lang w:eastAsia="ja-JP"/>
        </w:rPr>
        <w:t xml:space="preserve">be </w:t>
      </w:r>
      <w:r w:rsidR="00A91930" w:rsidRPr="00A52AB8">
        <w:rPr>
          <w:lang w:eastAsia="ja-JP"/>
        </w:rPr>
        <w:t>set as follows:</w:t>
      </w:r>
    </w:p>
    <w:p w14:paraId="041B07DB" w14:textId="52AD5188" w:rsidR="00BE1674" w:rsidRPr="00A52AB8" w:rsidRDefault="00A91930" w:rsidP="00BE1674">
      <w:pPr>
        <w:rPr>
          <w:color w:val="000000" w:themeColor="text1"/>
        </w:rPr>
      </w:pPr>
      <w:r w:rsidRPr="00A52AB8">
        <w:rPr>
          <w:lang w:eastAsia="ja-JP"/>
        </w:rPr>
        <w:tab/>
        <w:t>attrMSBAlignFlag = </w:t>
      </w:r>
      <w:r w:rsidR="0007070E" w:rsidRPr="00A52AB8">
        <w:rPr>
          <w:color w:val="000000" w:themeColor="text1"/>
        </w:rPr>
        <w:t>ai_attribute_MSB_align_flag[ ConvAtlasID ][ attrIdx ]</w:t>
      </w:r>
      <w:r w:rsidRPr="00A52AB8">
        <w:rPr>
          <w:lang w:eastAsia="ja-JP"/>
        </w:rPr>
        <w:br/>
      </w:r>
      <w:r w:rsidRPr="00A52AB8">
        <w:rPr>
          <w:lang w:eastAsia="ja-JP"/>
        </w:rPr>
        <w:tab/>
        <w:t>attrDim = </w:t>
      </w:r>
      <w:r w:rsidR="0007070E" w:rsidRPr="00A52AB8">
        <w:rPr>
          <w:color w:val="000000" w:themeColor="text1"/>
        </w:rPr>
        <w:t>ai_attribute_</w:t>
      </w:r>
      <w:r w:rsidR="0007070E" w:rsidRPr="00A52AB8">
        <w:rPr>
          <w:lang w:eastAsia="ja-JP"/>
        </w:rPr>
        <w:t>dimension</w:t>
      </w:r>
      <w:r w:rsidR="0007070E" w:rsidRPr="00A52AB8">
        <w:rPr>
          <w:color w:val="000000" w:themeColor="text1"/>
        </w:rPr>
        <w:t>_minus1[ ConvAtlasID ][ attrIdx ] +1</w:t>
      </w:r>
      <w:r w:rsidRPr="00A52AB8">
        <w:rPr>
          <w:lang w:eastAsia="ja-JP"/>
        </w:rPr>
        <w:br/>
      </w:r>
      <w:r w:rsidRPr="00A52AB8">
        <w:rPr>
          <w:lang w:eastAsia="ja-JP"/>
        </w:rPr>
        <w:tab/>
        <w:t>attr</w:t>
      </w:r>
      <w:r w:rsidRPr="00A52AB8">
        <w:rPr>
          <w:color w:val="000000" w:themeColor="text1"/>
        </w:rPr>
        <w:t>NumPart</w:t>
      </w:r>
      <w:r w:rsidRPr="00A52AB8">
        <w:rPr>
          <w:lang w:eastAsia="ja-JP"/>
        </w:rPr>
        <w:t> = </w:t>
      </w:r>
      <w:r w:rsidR="00DF58BC" w:rsidRPr="00A52AB8">
        <w:rPr>
          <w:color w:val="000000" w:themeColor="text1"/>
        </w:rPr>
        <w:t>ai_attribute_dimension_partitions_minus1[ ConvAtlasID ][ attrIdx ] +1</w:t>
      </w:r>
    </w:p>
    <w:p w14:paraId="2CD55088" w14:textId="77777777" w:rsidR="0007070E" w:rsidRPr="00A52AB8" w:rsidRDefault="00DF58BC" w:rsidP="009F7C49">
      <w:pPr>
        <w:rPr>
          <w:lang w:eastAsia="ja-JP"/>
        </w:rPr>
      </w:pPr>
      <w:r w:rsidRPr="00A52AB8">
        <w:rPr>
          <w:lang w:eastAsia="ja-JP"/>
        </w:rPr>
        <w:t xml:space="preserve">Let the 1D array attrPartChannelsMinus1, of size attrNumPart, be </w:t>
      </w:r>
      <w:r w:rsidR="0007070E" w:rsidRPr="00A52AB8">
        <w:rPr>
          <w:lang w:eastAsia="ja-JP"/>
        </w:rPr>
        <w:t>set as follows:</w:t>
      </w:r>
    </w:p>
    <w:p w14:paraId="667D1EB2" w14:textId="77777777" w:rsidR="0007070E" w:rsidRPr="00A52AB8" w:rsidRDefault="0007070E" w:rsidP="0007070E">
      <w:pPr>
        <w:rPr>
          <w:color w:val="000000" w:themeColor="text1"/>
        </w:rPr>
      </w:pPr>
      <w:r w:rsidRPr="00A52AB8">
        <w:tab/>
        <w:t>for( c = 0; c &lt; </w:t>
      </w:r>
      <w:r w:rsidRPr="00A52AB8">
        <w:rPr>
          <w:color w:val="000000" w:themeColor="text1"/>
        </w:rPr>
        <w:t>attrNumPart</w:t>
      </w:r>
      <w:r w:rsidRPr="00A52AB8">
        <w:t>; c++ ) {</w:t>
      </w:r>
      <w:r w:rsidRPr="00A52AB8">
        <w:br/>
      </w:r>
      <w:r w:rsidRPr="00A52AB8">
        <w:tab/>
      </w:r>
      <w:r w:rsidRPr="00A52AB8">
        <w:tab/>
      </w:r>
      <w:r w:rsidRPr="00A52AB8">
        <w:rPr>
          <w:color w:val="000000" w:themeColor="text1"/>
        </w:rPr>
        <w:t>attrPartChannelsMinus1</w:t>
      </w:r>
      <w:r w:rsidRPr="00A52AB8">
        <w:t>[ c ] = </w:t>
      </w:r>
      <w:r w:rsidRPr="00A52AB8">
        <w:br/>
      </w:r>
      <w:r w:rsidRPr="00A52AB8">
        <w:tab/>
      </w:r>
      <w:r w:rsidRPr="00A52AB8">
        <w:tab/>
      </w:r>
      <w:r w:rsidRPr="00A52AB8">
        <w:tab/>
      </w:r>
      <w:r w:rsidRPr="00A52AB8">
        <w:rPr>
          <w:color w:val="000000" w:themeColor="text1"/>
        </w:rPr>
        <w:t>ai_attribute_partition_channels_minus1[ ConvAtlasID ][ attrIdx ]</w:t>
      </w:r>
      <w:r w:rsidRPr="00A52AB8">
        <w:t>[ c ]</w:t>
      </w:r>
      <w:r w:rsidRPr="00A52AB8">
        <w:br/>
      </w:r>
      <w:r w:rsidRPr="00A52AB8">
        <w:tab/>
        <w:t>}</w:t>
      </w:r>
    </w:p>
    <w:p w14:paraId="289643C9" w14:textId="77777777" w:rsidR="00D56F3C" w:rsidRPr="00A52AB8" w:rsidRDefault="00D56F3C" w:rsidP="00D56F3C">
      <w:pPr>
        <w:rPr>
          <w:lang w:eastAsia="ja-JP"/>
        </w:rPr>
      </w:pPr>
      <w:r w:rsidRPr="00A52AB8">
        <w:rPr>
          <w:lang w:eastAsia="ja-JP"/>
        </w:rPr>
        <w:t xml:space="preserve">Output of this process </w:t>
      </w:r>
      <w:r w:rsidR="00BD2502" w:rsidRPr="00A52AB8">
        <w:rPr>
          <w:lang w:eastAsia="ja-JP"/>
        </w:rPr>
        <w:t>is</w:t>
      </w:r>
      <w:r w:rsidRPr="00A52AB8">
        <w:rPr>
          <w:lang w:eastAsia="ja-JP"/>
        </w:rPr>
        <w:t>:</w:t>
      </w:r>
    </w:p>
    <w:p w14:paraId="27B35076" w14:textId="7ADC3206" w:rsidR="00D56F3C" w:rsidRPr="00A52AB8" w:rsidRDefault="00CF629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the 6D array AttrAuxFrames</w:t>
      </w:r>
      <w:r w:rsidR="00193E97" w:rsidRPr="00A52AB8">
        <w:rPr>
          <w:color w:val="000000" w:themeColor="text1"/>
        </w:rPr>
        <w:t>NF</w:t>
      </w:r>
      <w:r w:rsidRPr="00A52AB8">
        <w:rPr>
          <w:color w:val="000000" w:themeColor="text1"/>
        </w:rPr>
        <w:t xml:space="preserve">, the decoded auxiliary attribute frames in </w:t>
      </w:r>
      <w:r w:rsidR="00E424C5" w:rsidRPr="00A52AB8">
        <w:rPr>
          <w:color w:val="000000" w:themeColor="text1"/>
        </w:rPr>
        <w:t xml:space="preserve">the </w:t>
      </w:r>
      <w:r w:rsidRPr="00A52AB8">
        <w:rPr>
          <w:color w:val="000000" w:themeColor="text1"/>
        </w:rPr>
        <w:t>nominal form</w:t>
      </w:r>
      <w:r w:rsidR="00E424C5" w:rsidRPr="00A52AB8">
        <w:rPr>
          <w:color w:val="000000" w:themeColor="text1"/>
        </w:rPr>
        <w:t>at</w:t>
      </w:r>
      <w:r w:rsidRPr="00A52AB8">
        <w:rPr>
          <w:color w:val="000000" w:themeColor="text1"/>
        </w:rPr>
        <w:t>, where the dimensions correspond to the attribute index, the attribute partition index, the decoded attribute video frame index, the component index, the row index, and the column index, respectively</w:t>
      </w:r>
      <w:r w:rsidR="00D56F3C" w:rsidRPr="00A52AB8">
        <w:rPr>
          <w:color w:val="000000" w:themeColor="text1"/>
        </w:rPr>
        <w:t>.</w:t>
      </w:r>
    </w:p>
    <w:p w14:paraId="25227B90" w14:textId="5C22CDD2" w:rsidR="00D56F3C" w:rsidRPr="00A52AB8" w:rsidRDefault="00D56F3C" w:rsidP="00C50EA0">
      <w:pPr>
        <w:pStyle w:val="Note1"/>
        <w:rPr>
          <w:rFonts w:ascii="Cambria" w:hAnsi="Cambria"/>
        </w:rPr>
      </w:pPr>
      <w:r w:rsidRPr="00A52AB8">
        <w:rPr>
          <w:rFonts w:ascii="Cambria" w:hAnsi="Cambria"/>
        </w:rPr>
        <w:t>NOTE </w:t>
      </w:r>
      <w:r w:rsidRPr="00496A4D">
        <w:rPr>
          <w:rFonts w:ascii="Cambria" w:hAnsi="Cambria"/>
        </w:rPr>
        <w:fldChar w:fldCharType="begin"/>
      </w:r>
      <w:r w:rsidRPr="00A52AB8">
        <w:rPr>
          <w:rFonts w:ascii="Cambria" w:hAnsi="Cambria"/>
        </w:rPr>
        <w:instrText xml:space="preserve"> SEQ NoteCounter \s 9 \* MERGEFORMAT </w:instrText>
      </w:r>
      <w:r w:rsidRPr="00496A4D">
        <w:rPr>
          <w:rFonts w:ascii="Cambria" w:hAnsi="Cambria"/>
        </w:rPr>
        <w:fldChar w:fldCharType="separate"/>
      </w:r>
      <w:r w:rsidR="00507A67">
        <w:rPr>
          <w:rFonts w:ascii="Cambria" w:hAnsi="Cambria"/>
          <w:noProof/>
        </w:rPr>
        <w:t>4</w:t>
      </w:r>
      <w:r w:rsidRPr="00496A4D">
        <w:rPr>
          <w:rFonts w:ascii="Cambria" w:hAnsi="Cambria"/>
        </w:rPr>
        <w:fldChar w:fldCharType="end"/>
      </w:r>
      <w:r w:rsidRPr="00A52AB8">
        <w:rPr>
          <w:rFonts w:ascii="Cambria" w:hAnsi="Cambria"/>
        </w:rPr>
        <w:t> –</w:t>
      </w:r>
      <w:r w:rsidR="00F25475" w:rsidRPr="00A52AB8">
        <w:rPr>
          <w:rFonts w:ascii="Cambria" w:hAnsi="Cambria"/>
        </w:rPr>
        <w:t> </w:t>
      </w:r>
      <w:r w:rsidRPr="00A52AB8">
        <w:rPr>
          <w:rFonts w:ascii="Cambria" w:hAnsi="Cambria"/>
        </w:rPr>
        <w:t xml:space="preserve">The output of </w:t>
      </w:r>
      <w:r w:rsidR="000945F2" w:rsidRPr="00A52AB8">
        <w:rPr>
          <w:rFonts w:ascii="Cambria" w:hAnsi="Cambria"/>
        </w:rPr>
        <w:t xml:space="preserve">this </w:t>
      </w:r>
      <w:r w:rsidRPr="00A52AB8">
        <w:rPr>
          <w:rFonts w:ascii="Cambria" w:hAnsi="Cambria"/>
        </w:rPr>
        <w:t xml:space="preserve">process can </w:t>
      </w:r>
      <w:r w:rsidR="00E62EA1" w:rsidRPr="00A52AB8">
        <w:rPr>
          <w:rFonts w:ascii="Cambria" w:hAnsi="Cambria"/>
        </w:rPr>
        <w:t xml:space="preserve">also </w:t>
      </w:r>
      <w:r w:rsidRPr="00A52AB8">
        <w:rPr>
          <w:rFonts w:ascii="Cambria" w:hAnsi="Cambria"/>
        </w:rPr>
        <w:t>be achieved by a different combination of processes or variations of the processes described in this Annex</w:t>
      </w:r>
      <w:r w:rsidR="00E62EA1" w:rsidRPr="00A52AB8">
        <w:rPr>
          <w:rFonts w:ascii="Cambria" w:hAnsi="Cambria"/>
        </w:rPr>
        <w:t>.</w:t>
      </w:r>
      <w:r w:rsidRPr="00A52AB8">
        <w:rPr>
          <w:rFonts w:ascii="Cambria" w:hAnsi="Cambria"/>
        </w:rPr>
        <w:t xml:space="preserve"> </w:t>
      </w:r>
      <w:r w:rsidR="00E62EA1" w:rsidRPr="00A52AB8">
        <w:rPr>
          <w:rFonts w:ascii="Cambria" w:hAnsi="Cambria"/>
        </w:rPr>
        <w:t>T</w:t>
      </w:r>
      <w:r w:rsidRPr="00A52AB8">
        <w:rPr>
          <w:rFonts w:ascii="Cambria" w:hAnsi="Cambria"/>
        </w:rPr>
        <w:t>he specification and order described in this Annex is informative only.</w:t>
      </w:r>
    </w:p>
    <w:p w14:paraId="36EAFBBC" w14:textId="0E9755B0" w:rsidR="00D56F3C" w:rsidRPr="00A52AB8" w:rsidRDefault="00D56F3C" w:rsidP="00D56F3C">
      <w:pPr>
        <w:rPr>
          <w:lang w:eastAsia="ja-JP"/>
        </w:rPr>
      </w:pPr>
      <w:r w:rsidRPr="00A52AB8">
        <w:rPr>
          <w:lang w:eastAsia="ja-JP"/>
        </w:rPr>
        <w:t xml:space="preserve">To convert the </w:t>
      </w:r>
      <w:r w:rsidR="00EC3F2D" w:rsidRPr="00A52AB8">
        <w:rPr>
          <w:lang w:eastAsia="ja-JP"/>
        </w:rPr>
        <w:t xml:space="preserve">decoded </w:t>
      </w:r>
      <w:r w:rsidRPr="00A52AB8">
        <w:rPr>
          <w:lang w:eastAsia="ja-JP"/>
        </w:rPr>
        <w:t xml:space="preserve">auxiliary attribute </w:t>
      </w:r>
      <w:r w:rsidR="00EC3F2D" w:rsidRPr="00A52AB8">
        <w:rPr>
          <w:lang w:eastAsia="ja-JP"/>
        </w:rPr>
        <w:t xml:space="preserve">video </w:t>
      </w:r>
      <w:r w:rsidRPr="00A52AB8">
        <w:rPr>
          <w:lang w:eastAsia="ja-JP"/>
        </w:rPr>
        <w:t xml:space="preserve">to </w:t>
      </w:r>
      <w:r w:rsidR="00EC3F2D" w:rsidRPr="00A52AB8">
        <w:rPr>
          <w:lang w:eastAsia="ja-JP"/>
        </w:rPr>
        <w:t xml:space="preserve">the </w:t>
      </w:r>
      <w:r w:rsidRPr="00A52AB8">
        <w:rPr>
          <w:lang w:eastAsia="ja-JP"/>
        </w:rPr>
        <w:t>nominal format</w:t>
      </w:r>
      <w:r w:rsidR="00EC3F2D" w:rsidRPr="00A52AB8">
        <w:rPr>
          <w:lang w:eastAsia="ja-JP"/>
        </w:rPr>
        <w:t>, several processing steps may need to be performed depending on the original format of the decoded video. In particular:</w:t>
      </w:r>
    </w:p>
    <w:p w14:paraId="21E2783B" w14:textId="0CA42467" w:rsidR="00AE070B" w:rsidRPr="00A52AB8" w:rsidRDefault="00D56F3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To convert the bit</w:t>
      </w:r>
      <w:r w:rsidR="00812087" w:rsidRPr="00A52AB8">
        <w:rPr>
          <w:color w:val="000000" w:themeColor="text1"/>
        </w:rPr>
        <w:t xml:space="preserve"> </w:t>
      </w:r>
      <w:r w:rsidRPr="00A52AB8">
        <w:rPr>
          <w:color w:val="000000" w:themeColor="text1"/>
        </w:rPr>
        <w:t xml:space="preserve">depth of the </w:t>
      </w:r>
      <w:r w:rsidR="00193E97" w:rsidRPr="00A52AB8">
        <w:rPr>
          <w:color w:val="000000" w:themeColor="text1"/>
        </w:rPr>
        <w:t xml:space="preserve">decoded </w:t>
      </w:r>
      <w:r w:rsidRPr="00A52AB8">
        <w:rPr>
          <w:color w:val="000000" w:themeColor="text1"/>
        </w:rPr>
        <w:t xml:space="preserve">auxiliary attribute </w:t>
      </w:r>
      <w:r w:rsidR="00193E97" w:rsidRPr="00A52AB8">
        <w:rPr>
          <w:color w:val="000000" w:themeColor="text1"/>
        </w:rPr>
        <w:t xml:space="preserve">video frames </w:t>
      </w:r>
      <w:r w:rsidRPr="00A52AB8">
        <w:rPr>
          <w:color w:val="000000" w:themeColor="text1"/>
        </w:rPr>
        <w:t>to the required nominal bit</w:t>
      </w:r>
      <w:r w:rsidR="00812087" w:rsidRPr="00A52AB8">
        <w:rPr>
          <w:color w:val="000000" w:themeColor="text1"/>
        </w:rPr>
        <w:t xml:space="preserve"> </w:t>
      </w:r>
      <w:r w:rsidRPr="00A52AB8">
        <w:rPr>
          <w:color w:val="000000" w:themeColor="text1"/>
        </w:rPr>
        <w:t xml:space="preserve">depth, </w:t>
      </w:r>
      <w:r w:rsidR="00B0497F" w:rsidRPr="00A52AB8">
        <w:rPr>
          <w:color w:val="000000" w:themeColor="text1"/>
        </w:rPr>
        <w:t>subclause </w:t>
      </w:r>
      <w:r w:rsidR="003D113D" w:rsidRPr="00496A4D">
        <w:rPr>
          <w:color w:val="000000" w:themeColor="text1"/>
        </w:rPr>
        <w:fldChar w:fldCharType="begin"/>
      </w:r>
      <w:r w:rsidR="003D113D" w:rsidRPr="00A52AB8">
        <w:rPr>
          <w:color w:val="000000" w:themeColor="text1"/>
        </w:rPr>
        <w:instrText xml:space="preserve"> REF _Ref47888150 \r \h </w:instrText>
      </w:r>
      <w:r w:rsidR="00851254" w:rsidRPr="00A52AB8">
        <w:rPr>
          <w:color w:val="000000" w:themeColor="text1"/>
        </w:rPr>
        <w:instrText xml:space="preserve"> \* MERGEFORMAT </w:instrText>
      </w:r>
      <w:r w:rsidR="003D113D" w:rsidRPr="00496A4D">
        <w:rPr>
          <w:color w:val="000000" w:themeColor="text1"/>
        </w:rPr>
      </w:r>
      <w:r w:rsidR="003D113D" w:rsidRPr="00496A4D">
        <w:rPr>
          <w:color w:val="000000" w:themeColor="text1"/>
        </w:rPr>
        <w:fldChar w:fldCharType="separate"/>
      </w:r>
      <w:r w:rsidR="00507A67">
        <w:rPr>
          <w:color w:val="000000" w:themeColor="text1"/>
        </w:rPr>
        <w:t>B.3.2</w:t>
      </w:r>
      <w:r w:rsidR="003D113D" w:rsidRPr="00496A4D">
        <w:rPr>
          <w:color w:val="000000" w:themeColor="text1"/>
        </w:rPr>
        <w:fldChar w:fldCharType="end"/>
      </w:r>
      <w:r w:rsidR="003D113D" w:rsidRPr="00A52AB8">
        <w:rPr>
          <w:color w:val="000000" w:themeColor="text1"/>
        </w:rPr>
        <w:t xml:space="preserve"> </w:t>
      </w:r>
      <w:r w:rsidR="00AE070B" w:rsidRPr="00A52AB8">
        <w:rPr>
          <w:color w:val="000000" w:themeColor="text1"/>
        </w:rPr>
        <w:t xml:space="preserve">is invoked for each </w:t>
      </w:r>
      <w:r w:rsidR="00303AB9" w:rsidRPr="00A52AB8">
        <w:rPr>
          <w:color w:val="000000" w:themeColor="text1"/>
        </w:rPr>
        <w:t>partition index partIdx</w:t>
      </w:r>
      <w:r w:rsidR="007D67AC" w:rsidRPr="00A52AB8">
        <w:rPr>
          <w:color w:val="000000" w:themeColor="text1"/>
        </w:rPr>
        <w:t xml:space="preserve">, each </w:t>
      </w:r>
      <w:r w:rsidR="00AE070B" w:rsidRPr="00A52AB8">
        <w:rPr>
          <w:color w:val="000000" w:themeColor="text1"/>
        </w:rPr>
        <w:t>frame index frameIdx</w:t>
      </w:r>
      <w:r w:rsidR="007D67AC" w:rsidRPr="00A52AB8">
        <w:rPr>
          <w:color w:val="000000" w:themeColor="text1"/>
        </w:rPr>
        <w:t>, and each component index compIdx</w:t>
      </w:r>
      <w:r w:rsidR="00AE070B" w:rsidRPr="00A52AB8">
        <w:rPr>
          <w:color w:val="000000" w:themeColor="text1"/>
        </w:rPr>
        <w:t xml:space="preserve">, with </w:t>
      </w:r>
      <w:r w:rsidR="00597B95" w:rsidRPr="00A52AB8">
        <w:rPr>
          <w:color w:val="000000" w:themeColor="text1"/>
        </w:rPr>
        <w:t xml:space="preserve">variables </w:t>
      </w:r>
      <w:r w:rsidR="00AE070B" w:rsidRPr="00A52AB8">
        <w:rPr>
          <w:color w:val="000000" w:themeColor="text1"/>
        </w:rPr>
        <w:t>Dec</w:t>
      </w:r>
      <w:r w:rsidR="00207998" w:rsidRPr="00A52AB8">
        <w:rPr>
          <w:color w:val="000000" w:themeColor="text1"/>
        </w:rPr>
        <w:t>AttrAux</w:t>
      </w:r>
      <w:r w:rsidR="00AE070B" w:rsidRPr="00A52AB8">
        <w:rPr>
          <w:color w:val="000000" w:themeColor="text1"/>
        </w:rPr>
        <w:t>BitDepth</w:t>
      </w:r>
      <w:r w:rsidR="009A2C40" w:rsidRPr="00A52AB8">
        <w:rPr>
          <w:color w:val="000000" w:themeColor="text1"/>
        </w:rPr>
        <w:t>[ attrIdx ][ partIdx ][ frameIdx ]</w:t>
      </w:r>
      <w:r w:rsidR="00AE070B" w:rsidRPr="00A52AB8">
        <w:rPr>
          <w:color w:val="000000" w:themeColor="text1"/>
        </w:rPr>
        <w:t>, Dec</w:t>
      </w:r>
      <w:r w:rsidR="00207998" w:rsidRPr="00A52AB8">
        <w:rPr>
          <w:color w:val="000000" w:themeColor="text1"/>
        </w:rPr>
        <w:t>AttrAux</w:t>
      </w:r>
      <w:r w:rsidR="00AE070B" w:rsidRPr="00A52AB8">
        <w:rPr>
          <w:color w:val="000000" w:themeColor="text1"/>
        </w:rPr>
        <w:t>Height</w:t>
      </w:r>
      <w:r w:rsidR="009A2C40" w:rsidRPr="00A52AB8">
        <w:rPr>
          <w:color w:val="000000" w:themeColor="text1"/>
        </w:rPr>
        <w:t>[ attrIdx ][ partIdx ][ frameIdx ]</w:t>
      </w:r>
      <w:r w:rsidR="00AE070B" w:rsidRPr="00A52AB8">
        <w:rPr>
          <w:color w:val="000000" w:themeColor="text1"/>
        </w:rPr>
        <w:t>, Dec</w:t>
      </w:r>
      <w:r w:rsidR="00207998" w:rsidRPr="00A52AB8">
        <w:rPr>
          <w:color w:val="000000" w:themeColor="text1"/>
        </w:rPr>
        <w:t>AttrAux</w:t>
      </w:r>
      <w:r w:rsidR="00AE070B" w:rsidRPr="00A52AB8">
        <w:rPr>
          <w:color w:val="000000" w:themeColor="text1"/>
        </w:rPr>
        <w:t>Width</w:t>
      </w:r>
      <w:r w:rsidR="009A2C40" w:rsidRPr="00A52AB8">
        <w:rPr>
          <w:color w:val="000000" w:themeColor="text1"/>
        </w:rPr>
        <w:t>[ attrIdx ][ partIdx ][ frameIdx ]</w:t>
      </w:r>
      <w:r w:rsidR="00AE070B" w:rsidRPr="00A52AB8">
        <w:rPr>
          <w:color w:val="000000" w:themeColor="text1"/>
        </w:rPr>
        <w:t xml:space="preserve">, </w:t>
      </w:r>
      <w:r w:rsidR="00207998" w:rsidRPr="00A52AB8">
        <w:rPr>
          <w:color w:val="000000" w:themeColor="text1"/>
        </w:rPr>
        <w:t>Attr</w:t>
      </w:r>
      <w:r w:rsidR="00AE070B" w:rsidRPr="00A52AB8">
        <w:rPr>
          <w:color w:val="000000" w:themeColor="text1"/>
        </w:rPr>
        <w:t>BitDepthNF</w:t>
      </w:r>
      <w:r w:rsidR="00FA0EF4" w:rsidRPr="00A52AB8">
        <w:rPr>
          <w:color w:val="000000" w:themeColor="text1"/>
        </w:rPr>
        <w:t>[ attrIdx ]</w:t>
      </w:r>
      <w:r w:rsidR="00AE070B" w:rsidRPr="00A52AB8">
        <w:rPr>
          <w:color w:val="000000" w:themeColor="text1"/>
        </w:rPr>
        <w:t xml:space="preserve">, and </w:t>
      </w:r>
      <w:r w:rsidR="00243821" w:rsidRPr="00A52AB8">
        <w:rPr>
          <w:color w:val="000000" w:themeColor="text1"/>
        </w:rPr>
        <w:t>attrMSBAlignFlag</w:t>
      </w:r>
      <w:r w:rsidR="00AE070B" w:rsidRPr="00A52AB8">
        <w:rPr>
          <w:color w:val="000000" w:themeColor="text1"/>
        </w:rPr>
        <w:t xml:space="preserve">, </w:t>
      </w:r>
      <w:r w:rsidR="00597B95" w:rsidRPr="00A52AB8">
        <w:rPr>
          <w:color w:val="000000" w:themeColor="text1"/>
        </w:rPr>
        <w:t xml:space="preserve">and array DecAttrAuxFrames[ attrIdx ][ partIdx ][ frameIdx ][ compIdx ] </w:t>
      </w:r>
      <w:r w:rsidR="00AE070B" w:rsidRPr="00A52AB8">
        <w:rPr>
          <w:color w:val="000000" w:themeColor="text1"/>
        </w:rPr>
        <w:t xml:space="preserve">as inputs. The output of this process is the decoded auxiliary </w:t>
      </w:r>
      <w:r w:rsidR="00CB763E" w:rsidRPr="00A52AB8">
        <w:rPr>
          <w:color w:val="000000" w:themeColor="text1"/>
        </w:rPr>
        <w:t>attribute</w:t>
      </w:r>
      <w:r w:rsidR="00AE070B" w:rsidRPr="00A52AB8">
        <w:rPr>
          <w:color w:val="000000" w:themeColor="text1"/>
        </w:rPr>
        <w:t xml:space="preserve"> frame </w:t>
      </w:r>
      <w:r w:rsidR="00193E97" w:rsidRPr="00A52AB8">
        <w:rPr>
          <w:color w:val="000000" w:themeColor="text1"/>
        </w:rPr>
        <w:t xml:space="preserve">at the </w:t>
      </w:r>
      <w:r w:rsidR="00AE070B" w:rsidRPr="00A52AB8">
        <w:rPr>
          <w:color w:val="000000" w:themeColor="text1"/>
        </w:rPr>
        <w:t>nominal bit depth, dec</w:t>
      </w:r>
      <w:r w:rsidR="00243821" w:rsidRPr="00A52AB8">
        <w:rPr>
          <w:color w:val="000000" w:themeColor="text1"/>
        </w:rPr>
        <w:t>Attr</w:t>
      </w:r>
      <w:r w:rsidR="00AE070B" w:rsidRPr="00A52AB8">
        <w:rPr>
          <w:color w:val="000000" w:themeColor="text1"/>
        </w:rPr>
        <w:t>AuxFrameNBD</w:t>
      </w:r>
      <w:r w:rsidR="00243821" w:rsidRPr="00A52AB8">
        <w:rPr>
          <w:color w:val="000000" w:themeColor="text1"/>
        </w:rPr>
        <w:t>[ attrIdx ][ partIdx ][ frameIdx ][ </w:t>
      </w:r>
      <w:r w:rsidR="001D0D26" w:rsidRPr="00A52AB8">
        <w:rPr>
          <w:color w:val="000000" w:themeColor="text1"/>
        </w:rPr>
        <w:t>frameIdx </w:t>
      </w:r>
      <w:r w:rsidR="00243821" w:rsidRPr="00A52AB8">
        <w:rPr>
          <w:color w:val="000000" w:themeColor="text1"/>
        </w:rPr>
        <w:t>]</w:t>
      </w:r>
      <w:r w:rsidR="00AE070B" w:rsidRPr="00A52AB8">
        <w:rPr>
          <w:color w:val="000000" w:themeColor="text1"/>
        </w:rPr>
        <w:t>.</w:t>
      </w:r>
    </w:p>
    <w:p w14:paraId="102F988A" w14:textId="180D4AB2" w:rsidR="005B45F6" w:rsidRPr="00A52AB8" w:rsidRDefault="005B45F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To convert the chroma format of the auxiliary attribute frame with attribute type DecAttrAuxType[ attrIdx ] equal to ATTR_TEXTURE, to the required nominal chroma format, subclause </w:t>
      </w:r>
      <w:r w:rsidRPr="00496A4D">
        <w:rPr>
          <w:color w:val="000000" w:themeColor="text1"/>
        </w:rPr>
        <w:fldChar w:fldCharType="begin"/>
      </w:r>
      <w:r w:rsidRPr="00A52AB8">
        <w:rPr>
          <w:color w:val="000000" w:themeColor="text1"/>
        </w:rPr>
        <w:instrText xml:space="preserve"> REF _Ref39770232 \r \h  \* MERGEFORMAT </w:instrText>
      </w:r>
      <w:r w:rsidRPr="00496A4D">
        <w:rPr>
          <w:color w:val="000000" w:themeColor="text1"/>
        </w:rPr>
      </w:r>
      <w:r w:rsidRPr="00496A4D">
        <w:rPr>
          <w:color w:val="000000" w:themeColor="text1"/>
        </w:rPr>
        <w:fldChar w:fldCharType="separate"/>
      </w:r>
      <w:r w:rsidR="00507A67">
        <w:rPr>
          <w:color w:val="000000" w:themeColor="text1"/>
        </w:rPr>
        <w:t>B.3.6</w:t>
      </w:r>
      <w:r w:rsidRPr="00496A4D">
        <w:rPr>
          <w:color w:val="000000" w:themeColor="text1"/>
        </w:rPr>
        <w:fldChar w:fldCharType="end"/>
      </w:r>
      <w:r w:rsidRPr="00A52AB8">
        <w:rPr>
          <w:color w:val="000000" w:themeColor="text1"/>
        </w:rPr>
        <w:t xml:space="preserve"> is invoked for each attribute partition index, partIdx, and each frame index, frameIdx, with </w:t>
      </w:r>
      <w:r w:rsidR="00597B95" w:rsidRPr="00A52AB8">
        <w:rPr>
          <w:color w:val="000000" w:themeColor="text1"/>
        </w:rPr>
        <w:t xml:space="preserve">variables </w:t>
      </w:r>
      <w:r w:rsidRPr="00A52AB8">
        <w:rPr>
          <w:color w:val="000000" w:themeColor="text1"/>
        </w:rPr>
        <w:t>DecAttrAuxHeight[ attrIdx ][ partIdx ][ frameIdx ], DecAttrAuxWidth[ attrIdx ][ partIdx ][ frameIdx ], AttrBitDepthNF[ attrIdx ], DecAttrAuxChromaFormat[ attrIdx ][ partIdx ][ frameIdx ],</w:t>
      </w:r>
      <w:r w:rsidR="00597B95" w:rsidRPr="00A52AB8">
        <w:rPr>
          <w:color w:val="000000" w:themeColor="text1"/>
        </w:rPr>
        <w:t xml:space="preserve"> and</w:t>
      </w:r>
      <w:r w:rsidRPr="00A52AB8">
        <w:rPr>
          <w:color w:val="000000" w:themeColor="text1"/>
        </w:rPr>
        <w:t xml:space="preserve"> DecAttrAuxChromaSamplingPosition[ attrIdx ][ partIdx ][ frameIdx ]</w:t>
      </w:r>
      <w:r w:rsidR="00597B95" w:rsidRPr="00A52AB8">
        <w:rPr>
          <w:color w:val="000000" w:themeColor="text1"/>
        </w:rPr>
        <w:t>, and array decAttrAuxFrameNBD[ attrIdx ][ partIdx ][ frameIdx ]</w:t>
      </w:r>
      <w:r w:rsidRPr="00A52AB8">
        <w:rPr>
          <w:color w:val="000000" w:themeColor="text1"/>
        </w:rPr>
        <w:t xml:space="preserve"> as inputs. The output of this process is a decoded auxiliary attribute frame with 4:4:4 colour format, decAttrAuxFrameNCF[ attrIdx ][ mapIdx ][ compTimeIdx ].</w:t>
      </w:r>
    </w:p>
    <w:p w14:paraId="527485C6" w14:textId="4B9A161E" w:rsidR="00705245" w:rsidRPr="00A52AB8" w:rsidRDefault="00705245" w:rsidP="00E860C4">
      <w:pPr>
        <w:pStyle w:val="Note1"/>
        <w:rPr>
          <w:rFonts w:ascii="Cambria" w:hAnsi="Cambria"/>
        </w:rPr>
      </w:pPr>
      <w:r w:rsidRPr="00A52AB8">
        <w:rPr>
          <w:rFonts w:ascii="Cambria" w:hAnsi="Cambria"/>
        </w:rPr>
        <w:t>NOTE </w:t>
      </w:r>
      <w:r w:rsidRPr="00496A4D">
        <w:rPr>
          <w:rFonts w:ascii="Cambria" w:hAnsi="Cambria"/>
        </w:rPr>
        <w:fldChar w:fldCharType="begin"/>
      </w:r>
      <w:r w:rsidRPr="00A52AB8">
        <w:rPr>
          <w:rFonts w:ascii="Cambria" w:hAnsi="Cambria"/>
        </w:rPr>
        <w:instrText xml:space="preserve"> SEQ NoteCounter \s 9 \* MERGEFORMAT </w:instrText>
      </w:r>
      <w:r w:rsidRPr="00496A4D">
        <w:rPr>
          <w:rFonts w:ascii="Cambria" w:hAnsi="Cambria"/>
        </w:rPr>
        <w:fldChar w:fldCharType="separate"/>
      </w:r>
      <w:r w:rsidR="00507A67">
        <w:rPr>
          <w:rFonts w:ascii="Cambria" w:hAnsi="Cambria"/>
          <w:noProof/>
        </w:rPr>
        <w:t>5</w:t>
      </w:r>
      <w:r w:rsidRPr="00496A4D">
        <w:rPr>
          <w:rFonts w:ascii="Cambria" w:hAnsi="Cambria"/>
        </w:rPr>
        <w:fldChar w:fldCharType="end"/>
      </w:r>
      <w:r w:rsidRPr="00A52AB8">
        <w:rPr>
          <w:rFonts w:ascii="Cambria" w:hAnsi="Cambria"/>
        </w:rPr>
        <w:t> – When asps_pixel_deinterleaving_enabled_flag is equal to 1, the chroma format conversion process described in subclause </w:t>
      </w:r>
      <w:r w:rsidRPr="00496A4D">
        <w:rPr>
          <w:rFonts w:ascii="Cambria" w:hAnsi="Cambria"/>
        </w:rPr>
        <w:fldChar w:fldCharType="begin"/>
      </w:r>
      <w:r w:rsidRPr="00A52AB8">
        <w:rPr>
          <w:rFonts w:ascii="Cambria" w:hAnsi="Cambria"/>
        </w:rPr>
        <w:instrText xml:space="preserve"> REF _Ref39770232 \r \h  \* MERGEFORMAT </w:instrText>
      </w:r>
      <w:r w:rsidRPr="00496A4D">
        <w:rPr>
          <w:rFonts w:ascii="Cambria" w:hAnsi="Cambria"/>
        </w:rPr>
      </w:r>
      <w:r w:rsidRPr="00496A4D">
        <w:rPr>
          <w:rFonts w:ascii="Cambria" w:hAnsi="Cambria"/>
        </w:rPr>
        <w:fldChar w:fldCharType="separate"/>
      </w:r>
      <w:r w:rsidR="00507A67">
        <w:rPr>
          <w:rFonts w:ascii="Cambria" w:hAnsi="Cambria"/>
        </w:rPr>
        <w:t>B.3.6</w:t>
      </w:r>
      <w:r w:rsidRPr="00496A4D">
        <w:rPr>
          <w:rFonts w:ascii="Cambria" w:hAnsi="Cambria"/>
        </w:rPr>
        <w:fldChar w:fldCharType="end"/>
      </w:r>
      <w:r w:rsidRPr="00A52AB8">
        <w:rPr>
          <w:rFonts w:ascii="Cambria" w:hAnsi="Cambria"/>
        </w:rPr>
        <w:t xml:space="preserve"> may not work as intended or produce the desired visual quality.</w:t>
      </w:r>
    </w:p>
    <w:p w14:paraId="6D60C042" w14:textId="0E77030A" w:rsidR="00D56F3C" w:rsidRPr="00A52AB8" w:rsidRDefault="00D56F3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To convert the frame resolution of the </w:t>
      </w:r>
      <w:r w:rsidR="00083CAE" w:rsidRPr="00A52AB8">
        <w:rPr>
          <w:color w:val="000000" w:themeColor="text1"/>
        </w:rPr>
        <w:t xml:space="preserve">auxiliary </w:t>
      </w:r>
      <w:r w:rsidRPr="00A52AB8">
        <w:rPr>
          <w:color w:val="000000" w:themeColor="text1"/>
        </w:rPr>
        <w:t xml:space="preserve">attribute to the required nominal frame resolution, </w:t>
      </w:r>
      <w:r w:rsidR="00B0497F" w:rsidRPr="00A52AB8">
        <w:rPr>
          <w:color w:val="000000" w:themeColor="text1"/>
        </w:rPr>
        <w:t>subclause </w:t>
      </w:r>
      <w:r w:rsidRPr="00496A4D">
        <w:rPr>
          <w:color w:val="000000" w:themeColor="text1"/>
        </w:rPr>
        <w:fldChar w:fldCharType="begin"/>
      </w:r>
      <w:r w:rsidRPr="00A52AB8">
        <w:rPr>
          <w:color w:val="000000" w:themeColor="text1"/>
        </w:rPr>
        <w:instrText xml:space="preserve"> REF _Ref39656686 \r \h </w:instrText>
      </w:r>
      <w:r w:rsidR="00CA5401"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B.3.3</w:t>
      </w:r>
      <w:r w:rsidRPr="00496A4D">
        <w:rPr>
          <w:color w:val="000000" w:themeColor="text1"/>
        </w:rPr>
        <w:fldChar w:fldCharType="end"/>
      </w:r>
      <w:r w:rsidRPr="00A52AB8">
        <w:rPr>
          <w:color w:val="000000" w:themeColor="text1"/>
        </w:rPr>
        <w:t xml:space="preserve"> </w:t>
      </w:r>
      <w:r w:rsidR="00813909" w:rsidRPr="00A52AB8">
        <w:rPr>
          <w:color w:val="000000" w:themeColor="text1"/>
        </w:rPr>
        <w:t>is invoked for each partition index</w:t>
      </w:r>
      <w:r w:rsidR="005B45F6" w:rsidRPr="00A52AB8">
        <w:rPr>
          <w:color w:val="000000" w:themeColor="text1"/>
        </w:rPr>
        <w:t>,</w:t>
      </w:r>
      <w:r w:rsidR="00813909" w:rsidRPr="00A52AB8">
        <w:rPr>
          <w:color w:val="000000" w:themeColor="text1"/>
        </w:rPr>
        <w:t xml:space="preserve"> partIdx</w:t>
      </w:r>
      <w:r w:rsidR="007D67AC" w:rsidRPr="00A52AB8">
        <w:rPr>
          <w:color w:val="000000" w:themeColor="text1"/>
        </w:rPr>
        <w:t xml:space="preserve">, </w:t>
      </w:r>
      <w:r w:rsidR="00813909" w:rsidRPr="00A52AB8">
        <w:rPr>
          <w:color w:val="000000" w:themeColor="text1"/>
        </w:rPr>
        <w:t>each frame index</w:t>
      </w:r>
      <w:r w:rsidR="005B45F6" w:rsidRPr="00A52AB8">
        <w:rPr>
          <w:color w:val="000000" w:themeColor="text1"/>
        </w:rPr>
        <w:t>,</w:t>
      </w:r>
      <w:r w:rsidR="00813909" w:rsidRPr="00A52AB8">
        <w:rPr>
          <w:color w:val="000000" w:themeColor="text1"/>
        </w:rPr>
        <w:t xml:space="preserve"> frameIdx,</w:t>
      </w:r>
      <w:r w:rsidR="007D67AC" w:rsidRPr="00A52AB8">
        <w:rPr>
          <w:color w:val="000000" w:themeColor="text1"/>
        </w:rPr>
        <w:t xml:space="preserve"> and each component index</w:t>
      </w:r>
      <w:r w:rsidR="005B45F6" w:rsidRPr="00A52AB8">
        <w:rPr>
          <w:color w:val="000000" w:themeColor="text1"/>
        </w:rPr>
        <w:t>,</w:t>
      </w:r>
      <w:r w:rsidR="007D67AC" w:rsidRPr="00A52AB8">
        <w:rPr>
          <w:color w:val="000000" w:themeColor="text1"/>
        </w:rPr>
        <w:t xml:space="preserve"> compIdx</w:t>
      </w:r>
      <w:r w:rsidR="00813909" w:rsidRPr="00A52AB8">
        <w:rPr>
          <w:color w:val="000000" w:themeColor="text1"/>
        </w:rPr>
        <w:t xml:space="preserve"> with </w:t>
      </w:r>
      <w:r w:rsidR="00DF58BC" w:rsidRPr="00A52AB8">
        <w:rPr>
          <w:color w:val="000000" w:themeColor="text1"/>
        </w:rPr>
        <w:t xml:space="preserve">variables </w:t>
      </w:r>
      <w:r w:rsidR="00813909" w:rsidRPr="00A52AB8">
        <w:rPr>
          <w:color w:val="000000" w:themeColor="text1"/>
        </w:rPr>
        <w:t>Dec</w:t>
      </w:r>
      <w:r w:rsidR="00AF71A3" w:rsidRPr="00A52AB8">
        <w:rPr>
          <w:color w:val="000000" w:themeColor="text1"/>
        </w:rPr>
        <w:t>AttrAux</w:t>
      </w:r>
      <w:r w:rsidR="00813909" w:rsidRPr="00A52AB8">
        <w:rPr>
          <w:color w:val="000000" w:themeColor="text1"/>
        </w:rPr>
        <w:t>Height</w:t>
      </w:r>
      <w:r w:rsidR="00AF71A3" w:rsidRPr="00A52AB8">
        <w:rPr>
          <w:color w:val="000000" w:themeColor="text1"/>
        </w:rPr>
        <w:t>[ attrIdx ][ partIdx ]</w:t>
      </w:r>
      <w:r w:rsidR="00813909" w:rsidRPr="00A52AB8">
        <w:rPr>
          <w:color w:val="000000" w:themeColor="text1"/>
        </w:rPr>
        <w:t>[ frameIdx ], Dec</w:t>
      </w:r>
      <w:r w:rsidR="00AF71A3" w:rsidRPr="00A52AB8">
        <w:rPr>
          <w:color w:val="000000" w:themeColor="text1"/>
        </w:rPr>
        <w:t>AttrAux</w:t>
      </w:r>
      <w:r w:rsidR="00813909" w:rsidRPr="00A52AB8">
        <w:rPr>
          <w:color w:val="000000" w:themeColor="text1"/>
        </w:rPr>
        <w:t>Width</w:t>
      </w:r>
      <w:r w:rsidR="00AF71A3" w:rsidRPr="00A52AB8">
        <w:rPr>
          <w:color w:val="000000" w:themeColor="text1"/>
        </w:rPr>
        <w:t>[ attrIdx ][ partIdx ]</w:t>
      </w:r>
      <w:r w:rsidR="00813909" w:rsidRPr="00A52AB8">
        <w:rPr>
          <w:color w:val="000000" w:themeColor="text1"/>
        </w:rPr>
        <w:t xml:space="preserve">[ frameIdx ], </w:t>
      </w:r>
      <w:r w:rsidR="001D0D26" w:rsidRPr="00A52AB8">
        <w:rPr>
          <w:color w:val="000000" w:themeColor="text1"/>
        </w:rPr>
        <w:t>AuxVideoHeightNF</w:t>
      </w:r>
      <w:r w:rsidR="00813909" w:rsidRPr="00A52AB8">
        <w:rPr>
          <w:color w:val="000000" w:themeColor="text1"/>
        </w:rPr>
        <w:t xml:space="preserve">, </w:t>
      </w:r>
      <w:r w:rsidR="00DF58BC" w:rsidRPr="00A52AB8">
        <w:rPr>
          <w:color w:val="000000" w:themeColor="text1"/>
        </w:rPr>
        <w:t xml:space="preserve">and </w:t>
      </w:r>
      <w:r w:rsidR="001D0D26" w:rsidRPr="00A52AB8">
        <w:rPr>
          <w:color w:val="000000" w:themeColor="text1"/>
        </w:rPr>
        <w:t>AuxVideoWidthNF</w:t>
      </w:r>
      <w:r w:rsidR="00813909" w:rsidRPr="00A52AB8">
        <w:rPr>
          <w:color w:val="000000" w:themeColor="text1"/>
        </w:rPr>
        <w:t>,</w:t>
      </w:r>
      <w:r w:rsidR="00DF58BC" w:rsidRPr="00A52AB8">
        <w:rPr>
          <w:color w:val="000000" w:themeColor="text1"/>
        </w:rPr>
        <w:t xml:space="preserve"> and array decAttrAuxFrameNCF[ attrIdx ][ partIdx ][ frameIdx ][ compIdx ]</w:t>
      </w:r>
      <w:r w:rsidR="00813909" w:rsidRPr="00A52AB8">
        <w:rPr>
          <w:color w:val="000000" w:themeColor="text1"/>
        </w:rPr>
        <w:t xml:space="preserve"> as inputs. The output of this process is </w:t>
      </w:r>
      <w:r w:rsidR="00DF58BC" w:rsidRPr="00A52AB8">
        <w:rPr>
          <w:color w:val="000000" w:themeColor="text1"/>
        </w:rPr>
        <w:t>the</w:t>
      </w:r>
      <w:r w:rsidR="00813909" w:rsidRPr="00A52AB8">
        <w:rPr>
          <w:color w:val="000000" w:themeColor="text1"/>
        </w:rPr>
        <w:t xml:space="preserve"> decoded auxiliary </w:t>
      </w:r>
      <w:r w:rsidR="00116415" w:rsidRPr="00A52AB8">
        <w:rPr>
          <w:color w:val="000000" w:themeColor="text1"/>
        </w:rPr>
        <w:t>attribute</w:t>
      </w:r>
      <w:r w:rsidR="00813909" w:rsidRPr="00A52AB8">
        <w:rPr>
          <w:color w:val="000000" w:themeColor="text1"/>
        </w:rPr>
        <w:t xml:space="preserve"> frame </w:t>
      </w:r>
      <w:r w:rsidR="005B45F6" w:rsidRPr="00A52AB8">
        <w:rPr>
          <w:color w:val="000000" w:themeColor="text1"/>
        </w:rPr>
        <w:t>at the</w:t>
      </w:r>
      <w:r w:rsidR="00813909" w:rsidRPr="00A52AB8">
        <w:rPr>
          <w:color w:val="000000" w:themeColor="text1"/>
        </w:rPr>
        <w:t xml:space="preserve"> nominal resolution, dec</w:t>
      </w:r>
      <w:r w:rsidR="00AF71A3" w:rsidRPr="00A52AB8">
        <w:rPr>
          <w:color w:val="000000" w:themeColor="text1"/>
        </w:rPr>
        <w:t>Attr</w:t>
      </w:r>
      <w:r w:rsidR="00813909" w:rsidRPr="00A52AB8">
        <w:rPr>
          <w:color w:val="000000" w:themeColor="text1"/>
        </w:rPr>
        <w:t>AuxFrameN</w:t>
      </w:r>
      <w:r w:rsidR="004D4672" w:rsidRPr="00A52AB8">
        <w:rPr>
          <w:color w:val="000000" w:themeColor="text1"/>
        </w:rPr>
        <w:t>R</w:t>
      </w:r>
      <w:r w:rsidR="003E6B25" w:rsidRPr="00A52AB8">
        <w:rPr>
          <w:color w:val="000000" w:themeColor="text1"/>
        </w:rPr>
        <w:t>[ attrIdx ][ partIdx ]</w:t>
      </w:r>
      <w:r w:rsidR="00813909" w:rsidRPr="00A52AB8">
        <w:rPr>
          <w:color w:val="000000" w:themeColor="text1"/>
        </w:rPr>
        <w:t>[ frameIdx ][ </w:t>
      </w:r>
      <w:r w:rsidR="003E6B25" w:rsidRPr="00A52AB8">
        <w:rPr>
          <w:color w:val="000000" w:themeColor="text1"/>
        </w:rPr>
        <w:t>compIdx</w:t>
      </w:r>
      <w:r w:rsidR="00813909" w:rsidRPr="00A52AB8">
        <w:rPr>
          <w:color w:val="000000" w:themeColor="text1"/>
        </w:rPr>
        <w:t> ].</w:t>
      </w:r>
    </w:p>
    <w:p w14:paraId="33BC8B01" w14:textId="0068665D" w:rsidR="00D56F3C" w:rsidRPr="00A52AB8" w:rsidRDefault="00AB642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To identify missing frames in the sequence and re-order the input, subclause </w:t>
      </w:r>
      <w:r w:rsidRPr="00496A4D">
        <w:rPr>
          <w:color w:val="000000" w:themeColor="text1"/>
        </w:rPr>
        <w:fldChar w:fldCharType="begin"/>
      </w:r>
      <w:r w:rsidRPr="00A52AB8">
        <w:rPr>
          <w:color w:val="000000" w:themeColor="text1"/>
        </w:rPr>
        <w:instrText xml:space="preserve"> REF _Ref41282299 \r \h  \* MERGEFORMAT </w:instrText>
      </w:r>
      <w:r w:rsidRPr="00496A4D">
        <w:rPr>
          <w:color w:val="000000" w:themeColor="text1"/>
        </w:rPr>
      </w:r>
      <w:r w:rsidRPr="00496A4D">
        <w:rPr>
          <w:color w:val="000000" w:themeColor="text1"/>
        </w:rPr>
        <w:fldChar w:fldCharType="separate"/>
      </w:r>
      <w:r w:rsidR="00507A67">
        <w:rPr>
          <w:color w:val="000000" w:themeColor="text1"/>
        </w:rPr>
        <w:t>B.3.4.1</w:t>
      </w:r>
      <w:r w:rsidRPr="00496A4D">
        <w:rPr>
          <w:color w:val="000000" w:themeColor="text1"/>
        </w:rPr>
        <w:fldChar w:fldCharType="end"/>
      </w:r>
      <w:r w:rsidRPr="00A52AB8">
        <w:rPr>
          <w:color w:val="000000" w:themeColor="text1"/>
        </w:rPr>
        <w:t xml:space="preserve"> is invoked </w:t>
      </w:r>
      <w:r w:rsidR="003F0AA4" w:rsidRPr="00A52AB8">
        <w:rPr>
          <w:color w:val="000000" w:themeColor="text1"/>
        </w:rPr>
        <w:t>for each partition index partIdx</w:t>
      </w:r>
      <w:r w:rsidR="005F20AA" w:rsidRPr="00A52AB8">
        <w:rPr>
          <w:color w:val="000000" w:themeColor="text1"/>
        </w:rPr>
        <w:t xml:space="preserve">, </w:t>
      </w:r>
      <w:r w:rsidRPr="00A52AB8">
        <w:rPr>
          <w:color w:val="000000" w:themeColor="text1"/>
        </w:rPr>
        <w:t xml:space="preserve">with </w:t>
      </w:r>
      <w:r w:rsidR="00DF58BC" w:rsidRPr="00A52AB8">
        <w:rPr>
          <w:color w:val="000000" w:themeColor="text1"/>
        </w:rPr>
        <w:t xml:space="preserve">variables </w:t>
      </w:r>
      <w:r w:rsidR="007D7560" w:rsidRPr="00A52AB8">
        <w:rPr>
          <w:color w:val="000000" w:themeColor="text1"/>
        </w:rPr>
        <w:t>NumDecAttrAuxFrames</w:t>
      </w:r>
      <w:r w:rsidR="00E5484C" w:rsidRPr="00A52AB8">
        <w:rPr>
          <w:color w:val="000000" w:themeColor="text1"/>
        </w:rPr>
        <w:t>[ attrIdx ][ partIdx ]</w:t>
      </w:r>
      <w:r w:rsidR="007D7560" w:rsidRPr="00A52AB8">
        <w:rPr>
          <w:color w:val="000000" w:themeColor="text1"/>
        </w:rPr>
        <w:t>,</w:t>
      </w:r>
      <w:r w:rsidRPr="00A52AB8">
        <w:rPr>
          <w:color w:val="000000" w:themeColor="text1"/>
        </w:rPr>
        <w:t xml:space="preserve"> </w:t>
      </w:r>
      <w:r w:rsidR="00D91616" w:rsidRPr="00A52AB8">
        <w:rPr>
          <w:color w:val="000000" w:themeColor="text1"/>
        </w:rPr>
        <w:t>DecA</w:t>
      </w:r>
      <w:r w:rsidRPr="00A52AB8">
        <w:rPr>
          <w:color w:val="000000" w:themeColor="text1"/>
        </w:rPr>
        <w:t>ttrAuxNumComp</w:t>
      </w:r>
      <w:r w:rsidR="00E5484C" w:rsidRPr="00A52AB8">
        <w:rPr>
          <w:color w:val="000000" w:themeColor="text1"/>
        </w:rPr>
        <w:t>[ attrIdx ][ partIdx ]</w:t>
      </w:r>
      <w:r w:rsidRPr="00A52AB8">
        <w:rPr>
          <w:color w:val="000000" w:themeColor="text1"/>
        </w:rPr>
        <w:t>,</w:t>
      </w:r>
      <w:r w:rsidR="007D7560" w:rsidRPr="00A52AB8">
        <w:rPr>
          <w:color w:val="000000" w:themeColor="text1"/>
        </w:rPr>
        <w:t xml:space="preserve"> AuxVideoWidthNF, </w:t>
      </w:r>
      <w:r w:rsidR="00DF58BC" w:rsidRPr="00A52AB8">
        <w:rPr>
          <w:color w:val="000000" w:themeColor="text1"/>
        </w:rPr>
        <w:t xml:space="preserve">and </w:t>
      </w:r>
      <w:r w:rsidR="007D7560" w:rsidRPr="00A52AB8">
        <w:rPr>
          <w:color w:val="000000" w:themeColor="text1"/>
        </w:rPr>
        <w:t xml:space="preserve">AuxVideoHeightNF, </w:t>
      </w:r>
      <w:r w:rsidR="00DF58BC" w:rsidRPr="00A52AB8">
        <w:rPr>
          <w:color w:val="000000" w:themeColor="text1"/>
        </w:rPr>
        <w:t xml:space="preserve">and arrays </w:t>
      </w:r>
      <w:r w:rsidR="007D7560" w:rsidRPr="00A52AB8">
        <w:rPr>
          <w:color w:val="000000" w:themeColor="text1"/>
        </w:rPr>
        <w:t>decAttrAuxFrameNR, DecAttrAuxOutO</w:t>
      </w:r>
      <w:r w:rsidR="00FE19A3" w:rsidRPr="00A52AB8">
        <w:rPr>
          <w:color w:val="000000" w:themeColor="text1"/>
        </w:rPr>
        <w:t>rd</w:t>
      </w:r>
      <w:r w:rsidR="007D7560" w:rsidRPr="00A52AB8">
        <w:rPr>
          <w:color w:val="000000" w:themeColor="text1"/>
        </w:rPr>
        <w:t>Idx</w:t>
      </w:r>
      <w:r w:rsidR="004D4672" w:rsidRPr="00A52AB8">
        <w:rPr>
          <w:color w:val="000000" w:themeColor="text1"/>
        </w:rPr>
        <w:t>[ attrIdx ][ partIdx ]</w:t>
      </w:r>
      <w:r w:rsidR="007D7560" w:rsidRPr="00A52AB8">
        <w:rPr>
          <w:color w:val="000000" w:themeColor="text1"/>
        </w:rPr>
        <w:t>, and Dec</w:t>
      </w:r>
      <w:r w:rsidR="00E424C5" w:rsidRPr="00A52AB8">
        <w:rPr>
          <w:color w:val="000000" w:themeColor="text1"/>
        </w:rPr>
        <w:t>Attr</w:t>
      </w:r>
      <w:r w:rsidR="007D7560" w:rsidRPr="00A52AB8">
        <w:rPr>
          <w:color w:val="000000" w:themeColor="text1"/>
        </w:rPr>
        <w:t>AuxCompTime</w:t>
      </w:r>
      <w:r w:rsidR="004D4672" w:rsidRPr="00A52AB8">
        <w:rPr>
          <w:color w:val="000000" w:themeColor="text1"/>
        </w:rPr>
        <w:t>[ attrIdx ][ partIdx ]</w:t>
      </w:r>
      <w:r w:rsidR="00DF58BC" w:rsidRPr="00A52AB8">
        <w:rPr>
          <w:color w:val="000000" w:themeColor="text1"/>
        </w:rPr>
        <w:t xml:space="preserve"> as inputs</w:t>
      </w:r>
      <w:r w:rsidR="007D7560" w:rsidRPr="00A52AB8">
        <w:rPr>
          <w:color w:val="000000" w:themeColor="text1"/>
        </w:rPr>
        <w:t>. The outputs of this process are the number of frames</w:t>
      </w:r>
      <w:r w:rsidR="00CF265D" w:rsidRPr="00A52AB8">
        <w:rPr>
          <w:color w:val="000000" w:themeColor="text1"/>
        </w:rPr>
        <w:t xml:space="preserve"> being output</w:t>
      </w:r>
      <w:r w:rsidR="007D7560" w:rsidRPr="00A52AB8">
        <w:rPr>
          <w:color w:val="000000" w:themeColor="text1"/>
        </w:rPr>
        <w:t>, numOutOrd</w:t>
      </w:r>
      <w:r w:rsidR="00564E14" w:rsidRPr="00A52AB8">
        <w:rPr>
          <w:color w:val="000000" w:themeColor="text1"/>
        </w:rPr>
        <w:t>Attr</w:t>
      </w:r>
      <w:r w:rsidR="007D7560" w:rsidRPr="00A52AB8">
        <w:rPr>
          <w:color w:val="000000" w:themeColor="text1"/>
        </w:rPr>
        <w:t>AuxFrames</w:t>
      </w:r>
      <w:r w:rsidR="004D4672" w:rsidRPr="00A52AB8">
        <w:rPr>
          <w:color w:val="000000" w:themeColor="text1"/>
        </w:rPr>
        <w:t>[ attrIdx ][ partIdx ]</w:t>
      </w:r>
      <w:r w:rsidR="007D7560" w:rsidRPr="00A52AB8">
        <w:rPr>
          <w:color w:val="000000" w:themeColor="text1"/>
        </w:rPr>
        <w:t xml:space="preserve">, the decoded auxiliary </w:t>
      </w:r>
      <w:r w:rsidR="00564E14" w:rsidRPr="00A52AB8">
        <w:rPr>
          <w:color w:val="000000" w:themeColor="text1"/>
        </w:rPr>
        <w:t xml:space="preserve">attribute </w:t>
      </w:r>
      <w:r w:rsidR="007D7560" w:rsidRPr="00A52AB8">
        <w:rPr>
          <w:color w:val="000000" w:themeColor="text1"/>
        </w:rPr>
        <w:t>frames</w:t>
      </w:r>
      <w:r w:rsidR="001238BC" w:rsidRPr="00A52AB8">
        <w:rPr>
          <w:color w:val="000000" w:themeColor="text1"/>
        </w:rPr>
        <w:t xml:space="preserve"> ordered according to the output order index</w:t>
      </w:r>
      <w:r w:rsidR="007D7560" w:rsidRPr="00A52AB8">
        <w:rPr>
          <w:color w:val="000000" w:themeColor="text1"/>
        </w:rPr>
        <w:t>, dec</w:t>
      </w:r>
      <w:r w:rsidR="00564E14" w:rsidRPr="00A52AB8">
        <w:rPr>
          <w:color w:val="000000" w:themeColor="text1"/>
        </w:rPr>
        <w:t>Attr</w:t>
      </w:r>
      <w:r w:rsidR="007D7560" w:rsidRPr="00A52AB8">
        <w:rPr>
          <w:color w:val="000000" w:themeColor="text1"/>
        </w:rPr>
        <w:t>AuxFrameONF</w:t>
      </w:r>
      <w:r w:rsidR="004D4672" w:rsidRPr="00A52AB8">
        <w:rPr>
          <w:color w:val="000000" w:themeColor="text1"/>
        </w:rPr>
        <w:t>[ attrIdx ][ partIdx ]</w:t>
      </w:r>
      <w:r w:rsidR="007D7560" w:rsidRPr="00A52AB8">
        <w:rPr>
          <w:color w:val="000000" w:themeColor="text1"/>
        </w:rPr>
        <w:t xml:space="preserve">, a </w:t>
      </w:r>
      <w:r w:rsidR="001238BC" w:rsidRPr="00A52AB8">
        <w:rPr>
          <w:color w:val="000000" w:themeColor="text1"/>
        </w:rPr>
        <w:t xml:space="preserve">1D array, framePresent[ attrIdx ][ partIdx ], indicating </w:t>
      </w:r>
      <w:r w:rsidR="007D7560" w:rsidRPr="00A52AB8">
        <w:rPr>
          <w:color w:val="000000" w:themeColor="text1"/>
        </w:rPr>
        <w:t xml:space="preserve">the presence of a frame, and </w:t>
      </w:r>
      <w:r w:rsidR="001238BC" w:rsidRPr="00A52AB8">
        <w:rPr>
          <w:color w:val="000000" w:themeColor="text1"/>
        </w:rPr>
        <w:t xml:space="preserve">a 1D array, decAttrAuxCompTimeONF[ attrIdx ][ partIdx ], indicating </w:t>
      </w:r>
      <w:r w:rsidR="007D7560" w:rsidRPr="00A52AB8">
        <w:rPr>
          <w:color w:val="000000" w:themeColor="text1"/>
        </w:rPr>
        <w:t xml:space="preserve">the composition times of </w:t>
      </w:r>
      <w:r w:rsidR="001238BC" w:rsidRPr="00A52AB8">
        <w:rPr>
          <w:color w:val="000000" w:themeColor="text1"/>
        </w:rPr>
        <w:t>each frame ordered according to the output order index</w:t>
      </w:r>
      <w:r w:rsidR="007D7560" w:rsidRPr="00A52AB8">
        <w:rPr>
          <w:color w:val="000000" w:themeColor="text1"/>
        </w:rPr>
        <w:t>.</w:t>
      </w:r>
    </w:p>
    <w:p w14:paraId="632D75E9" w14:textId="69A34D56" w:rsidR="00D56F3C" w:rsidRPr="00A52AB8" w:rsidRDefault="00D56F3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To align the composition times of the decoded auxiliary attribute and the decoded atlas frames, </w:t>
      </w:r>
      <w:r w:rsidR="00B0497F" w:rsidRPr="00A52AB8">
        <w:rPr>
          <w:color w:val="000000" w:themeColor="text1"/>
        </w:rPr>
        <w:t>subclause </w:t>
      </w:r>
      <w:r w:rsidRPr="00496A4D">
        <w:rPr>
          <w:color w:val="000000" w:themeColor="text1"/>
        </w:rPr>
        <w:fldChar w:fldCharType="begin"/>
      </w:r>
      <w:r w:rsidRPr="00A52AB8">
        <w:rPr>
          <w:color w:val="000000" w:themeColor="text1"/>
        </w:rPr>
        <w:instrText xml:space="preserve"> REF _Ref41282304 \r \h </w:instrText>
      </w:r>
      <w:r w:rsidR="00CA5401"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B.3.4.2</w:t>
      </w:r>
      <w:r w:rsidRPr="00496A4D">
        <w:rPr>
          <w:color w:val="000000" w:themeColor="text1"/>
        </w:rPr>
        <w:fldChar w:fldCharType="end"/>
      </w:r>
      <w:r w:rsidRPr="00A52AB8">
        <w:rPr>
          <w:color w:val="000000" w:themeColor="text1"/>
        </w:rPr>
        <w:t xml:space="preserve"> </w:t>
      </w:r>
      <w:r w:rsidR="007D7560" w:rsidRPr="00A52AB8">
        <w:rPr>
          <w:color w:val="000000" w:themeColor="text1"/>
        </w:rPr>
        <w:t xml:space="preserve">is invoked </w:t>
      </w:r>
      <w:r w:rsidR="004D4672" w:rsidRPr="00A52AB8">
        <w:rPr>
          <w:color w:val="000000" w:themeColor="text1"/>
        </w:rPr>
        <w:t xml:space="preserve">for each partition index partIdx </w:t>
      </w:r>
      <w:r w:rsidR="007D7560" w:rsidRPr="00A52AB8">
        <w:rPr>
          <w:color w:val="000000" w:themeColor="text1"/>
        </w:rPr>
        <w:t xml:space="preserve">with </w:t>
      </w:r>
      <w:r w:rsidR="00DF58BC" w:rsidRPr="00A52AB8">
        <w:rPr>
          <w:color w:val="000000" w:themeColor="text1"/>
        </w:rPr>
        <w:t xml:space="preserve">variables </w:t>
      </w:r>
      <w:r w:rsidR="007D7560" w:rsidRPr="00A52AB8">
        <w:rPr>
          <w:color w:val="000000" w:themeColor="text1"/>
        </w:rPr>
        <w:t>NumDecAtlasFrames, numOutOrd</w:t>
      </w:r>
      <w:r w:rsidR="0050010C" w:rsidRPr="00A52AB8">
        <w:rPr>
          <w:color w:val="000000" w:themeColor="text1"/>
        </w:rPr>
        <w:t>Attr</w:t>
      </w:r>
      <w:r w:rsidR="007D7560" w:rsidRPr="00A52AB8">
        <w:rPr>
          <w:color w:val="000000" w:themeColor="text1"/>
        </w:rPr>
        <w:t>AuxFrames</w:t>
      </w:r>
      <w:r w:rsidR="004D4672" w:rsidRPr="00A52AB8">
        <w:rPr>
          <w:color w:val="000000" w:themeColor="text1"/>
        </w:rPr>
        <w:t>[ attrIdx ][ partIdx ]</w:t>
      </w:r>
      <w:r w:rsidR="007D7560" w:rsidRPr="00A52AB8">
        <w:rPr>
          <w:color w:val="000000" w:themeColor="text1"/>
        </w:rPr>
        <w:t xml:space="preserve">, </w:t>
      </w:r>
      <w:r w:rsidR="001D0D26" w:rsidRPr="00A52AB8">
        <w:rPr>
          <w:color w:val="000000" w:themeColor="text1"/>
        </w:rPr>
        <w:t>AuxVideoHeightNF</w:t>
      </w:r>
      <w:r w:rsidR="007D7560" w:rsidRPr="00A52AB8">
        <w:rPr>
          <w:color w:val="000000" w:themeColor="text1"/>
        </w:rPr>
        <w:t xml:space="preserve">, </w:t>
      </w:r>
      <w:r w:rsidR="00DF58BC" w:rsidRPr="00A52AB8">
        <w:rPr>
          <w:color w:val="000000" w:themeColor="text1"/>
        </w:rPr>
        <w:t xml:space="preserve">and </w:t>
      </w:r>
      <w:r w:rsidR="001D0D26" w:rsidRPr="00A52AB8">
        <w:rPr>
          <w:color w:val="000000" w:themeColor="text1"/>
        </w:rPr>
        <w:t>AuxVideoWidthNF</w:t>
      </w:r>
      <w:r w:rsidR="007D7560" w:rsidRPr="00A52AB8">
        <w:rPr>
          <w:color w:val="000000" w:themeColor="text1"/>
        </w:rPr>
        <w:t xml:space="preserve">, </w:t>
      </w:r>
      <w:r w:rsidR="00DF58BC" w:rsidRPr="00A52AB8">
        <w:rPr>
          <w:color w:val="000000" w:themeColor="text1"/>
        </w:rPr>
        <w:t xml:space="preserve">and arrays DecAtlasOutOrdIdx, DecAtlasCompTime, </w:t>
      </w:r>
      <w:r w:rsidR="007D7560" w:rsidRPr="00A52AB8">
        <w:rPr>
          <w:color w:val="000000" w:themeColor="text1"/>
        </w:rPr>
        <w:t>dec</w:t>
      </w:r>
      <w:r w:rsidR="0050010C" w:rsidRPr="00A52AB8">
        <w:rPr>
          <w:color w:val="000000" w:themeColor="text1"/>
        </w:rPr>
        <w:t>Attr</w:t>
      </w:r>
      <w:r w:rsidR="007D7560" w:rsidRPr="00A52AB8">
        <w:rPr>
          <w:color w:val="000000" w:themeColor="text1"/>
        </w:rPr>
        <w:t>AuxFrameONF</w:t>
      </w:r>
      <w:r w:rsidR="006B3D9C" w:rsidRPr="00A52AB8">
        <w:rPr>
          <w:color w:val="000000" w:themeColor="text1"/>
        </w:rPr>
        <w:t>[ attrIdx ][ partIdx ]</w:t>
      </w:r>
      <w:r w:rsidR="007D7560" w:rsidRPr="00A52AB8">
        <w:rPr>
          <w:color w:val="000000" w:themeColor="text1"/>
        </w:rPr>
        <w:t>, dec</w:t>
      </w:r>
      <w:r w:rsidR="0050010C" w:rsidRPr="00A52AB8">
        <w:rPr>
          <w:color w:val="000000" w:themeColor="text1"/>
        </w:rPr>
        <w:t>Attr</w:t>
      </w:r>
      <w:r w:rsidR="007D7560" w:rsidRPr="00A52AB8">
        <w:rPr>
          <w:color w:val="000000" w:themeColor="text1"/>
        </w:rPr>
        <w:t>AuxCompTimeONF</w:t>
      </w:r>
      <w:r w:rsidR="006B3D9C" w:rsidRPr="00A52AB8">
        <w:rPr>
          <w:color w:val="000000" w:themeColor="text1"/>
        </w:rPr>
        <w:t>[ attrIdx ][ partIdx ]</w:t>
      </w:r>
      <w:r w:rsidR="007D7560" w:rsidRPr="00A52AB8">
        <w:rPr>
          <w:color w:val="000000" w:themeColor="text1"/>
        </w:rPr>
        <w:t>, and framePresent</w:t>
      </w:r>
      <w:r w:rsidR="006B3D9C" w:rsidRPr="00A52AB8">
        <w:rPr>
          <w:color w:val="000000" w:themeColor="text1"/>
        </w:rPr>
        <w:t>[ attrIdx ][ partIdx ]</w:t>
      </w:r>
      <w:r w:rsidR="00DF58BC" w:rsidRPr="00A52AB8">
        <w:rPr>
          <w:color w:val="000000" w:themeColor="text1"/>
        </w:rPr>
        <w:t xml:space="preserve"> as inputs</w:t>
      </w:r>
      <w:r w:rsidR="007D7560" w:rsidRPr="00A52AB8">
        <w:rPr>
          <w:color w:val="000000" w:themeColor="text1"/>
        </w:rPr>
        <w:t>. The outputs of this process are the number of frames</w:t>
      </w:r>
      <w:r w:rsidR="004A1BDF" w:rsidRPr="00A52AB8">
        <w:rPr>
          <w:color w:val="000000" w:themeColor="text1"/>
        </w:rPr>
        <w:t xml:space="preserve"> being output</w:t>
      </w:r>
      <w:r w:rsidR="007D7560" w:rsidRPr="00A52AB8">
        <w:rPr>
          <w:color w:val="000000" w:themeColor="text1"/>
        </w:rPr>
        <w:t>, rangeCompTimeIdx</w:t>
      </w:r>
      <w:r w:rsidR="006B3D9C" w:rsidRPr="00A52AB8">
        <w:rPr>
          <w:color w:val="000000" w:themeColor="text1"/>
        </w:rPr>
        <w:t>[ attrIdx ]</w:t>
      </w:r>
      <w:r w:rsidR="007D7560" w:rsidRPr="00A52AB8">
        <w:rPr>
          <w:color w:val="000000" w:themeColor="text1"/>
        </w:rPr>
        <w:t>, the output composition time</w:t>
      </w:r>
      <w:r w:rsidR="001238BC" w:rsidRPr="00A52AB8">
        <w:rPr>
          <w:color w:val="000000" w:themeColor="text1"/>
        </w:rPr>
        <w:t xml:space="preserve"> of each frame</w:t>
      </w:r>
      <w:r w:rsidR="007D7560" w:rsidRPr="00A52AB8">
        <w:rPr>
          <w:color w:val="000000" w:themeColor="text1"/>
        </w:rPr>
        <w:t>, aux</w:t>
      </w:r>
      <w:r w:rsidR="0050010C" w:rsidRPr="00A52AB8">
        <w:rPr>
          <w:color w:val="000000" w:themeColor="text1"/>
        </w:rPr>
        <w:t>Attr</w:t>
      </w:r>
      <w:r w:rsidR="007D7560" w:rsidRPr="00A52AB8">
        <w:rPr>
          <w:color w:val="000000" w:themeColor="text1"/>
        </w:rPr>
        <w:t>CompTime</w:t>
      </w:r>
      <w:r w:rsidR="006B3D9C" w:rsidRPr="00A52AB8">
        <w:rPr>
          <w:color w:val="000000" w:themeColor="text1"/>
        </w:rPr>
        <w:t>[ attrIdx ][ partIdx ]</w:t>
      </w:r>
      <w:r w:rsidR="007D7560" w:rsidRPr="00A52AB8">
        <w:rPr>
          <w:color w:val="000000" w:themeColor="text1"/>
        </w:rPr>
        <w:t xml:space="preserve">, and a sequence of frames in the nominal format aligned with the decoded atlas composition time, </w:t>
      </w:r>
      <w:r w:rsidR="00DF58BC" w:rsidRPr="00A52AB8">
        <w:rPr>
          <w:color w:val="000000" w:themeColor="text1"/>
        </w:rPr>
        <w:t>dec</w:t>
      </w:r>
      <w:r w:rsidR="0050010C" w:rsidRPr="00A52AB8">
        <w:rPr>
          <w:color w:val="000000" w:themeColor="text1"/>
        </w:rPr>
        <w:t>Attr</w:t>
      </w:r>
      <w:r w:rsidR="007D7560" w:rsidRPr="00A52AB8">
        <w:rPr>
          <w:color w:val="000000" w:themeColor="text1"/>
        </w:rPr>
        <w:t>AuxFrame</w:t>
      </w:r>
      <w:r w:rsidR="00DF58BC" w:rsidRPr="00A52AB8">
        <w:rPr>
          <w:color w:val="000000" w:themeColor="text1"/>
        </w:rPr>
        <w:t>A</w:t>
      </w:r>
      <w:r w:rsidR="007D7560" w:rsidRPr="00A52AB8">
        <w:rPr>
          <w:color w:val="000000" w:themeColor="text1"/>
        </w:rPr>
        <w:t>NF</w:t>
      </w:r>
      <w:r w:rsidR="006B3D9C" w:rsidRPr="00A52AB8">
        <w:rPr>
          <w:color w:val="000000" w:themeColor="text1"/>
        </w:rPr>
        <w:t>[ attrIdx ][ partIdx ]</w:t>
      </w:r>
      <w:r w:rsidR="00812087" w:rsidRPr="00A52AB8">
        <w:rPr>
          <w:color w:val="000000" w:themeColor="text1"/>
        </w:rPr>
        <w:t>.</w:t>
      </w:r>
    </w:p>
    <w:p w14:paraId="62114F99" w14:textId="3BAFFC79" w:rsidR="00D56F3C" w:rsidRPr="00A52AB8" w:rsidRDefault="00D56F3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To perform dimension packing of </w:t>
      </w:r>
      <w:r w:rsidR="00BB65E3" w:rsidRPr="00A52AB8">
        <w:rPr>
          <w:color w:val="000000" w:themeColor="text1"/>
        </w:rPr>
        <w:t xml:space="preserve">auxiliary </w:t>
      </w:r>
      <w:r w:rsidRPr="00A52AB8">
        <w:rPr>
          <w:color w:val="000000" w:themeColor="text1"/>
        </w:rPr>
        <w:t xml:space="preserve">attributes, </w:t>
      </w:r>
      <w:r w:rsidR="00B0497F" w:rsidRPr="00A52AB8">
        <w:rPr>
          <w:color w:val="000000" w:themeColor="text1"/>
        </w:rPr>
        <w:t>subclause </w:t>
      </w:r>
      <w:r w:rsidR="00DF58BC" w:rsidRPr="00496A4D">
        <w:rPr>
          <w:color w:val="000000" w:themeColor="text1"/>
        </w:rPr>
        <w:fldChar w:fldCharType="begin"/>
      </w:r>
      <w:r w:rsidR="00DF58BC" w:rsidRPr="00A52AB8">
        <w:rPr>
          <w:color w:val="000000" w:themeColor="text1"/>
        </w:rPr>
        <w:instrText xml:space="preserve"> REF _Ref50652560 \r \h </w:instrText>
      </w:r>
      <w:r w:rsidR="007478BA" w:rsidRPr="00A52AB8">
        <w:rPr>
          <w:color w:val="000000" w:themeColor="text1"/>
        </w:rPr>
        <w:instrText xml:space="preserve"> \* MERGEFORMAT </w:instrText>
      </w:r>
      <w:r w:rsidR="00DF58BC" w:rsidRPr="00496A4D">
        <w:rPr>
          <w:color w:val="000000" w:themeColor="text1"/>
        </w:rPr>
      </w:r>
      <w:r w:rsidR="00DF58BC" w:rsidRPr="00496A4D">
        <w:rPr>
          <w:color w:val="000000" w:themeColor="text1"/>
        </w:rPr>
        <w:fldChar w:fldCharType="separate"/>
      </w:r>
      <w:r w:rsidR="00507A67">
        <w:rPr>
          <w:color w:val="000000" w:themeColor="text1"/>
        </w:rPr>
        <w:t>B.3.5.2</w:t>
      </w:r>
      <w:r w:rsidR="00DF58BC" w:rsidRPr="00496A4D">
        <w:rPr>
          <w:color w:val="000000" w:themeColor="text1"/>
        </w:rPr>
        <w:fldChar w:fldCharType="end"/>
      </w:r>
      <w:r w:rsidRPr="00A52AB8">
        <w:rPr>
          <w:color w:val="000000" w:themeColor="text1"/>
        </w:rPr>
        <w:t xml:space="preserve"> </w:t>
      </w:r>
      <w:r w:rsidR="00C32B6D" w:rsidRPr="00A52AB8">
        <w:rPr>
          <w:color w:val="000000" w:themeColor="text1"/>
        </w:rPr>
        <w:t xml:space="preserve">is invoked with </w:t>
      </w:r>
      <w:r w:rsidR="00DF58BC" w:rsidRPr="00A52AB8">
        <w:rPr>
          <w:color w:val="000000" w:themeColor="text1"/>
        </w:rPr>
        <w:t>variables attrNumPart, rangeCompTimeIdx[ attrIdx ], (attrDim-(attrNumPart-1)), VideoHeightNF, VideoWidthNF,</w:t>
      </w:r>
      <w:r w:rsidR="00DF58BC" w:rsidRPr="00A52AB8" w:rsidDel="001A0657">
        <w:rPr>
          <w:color w:val="000000" w:themeColor="text1"/>
        </w:rPr>
        <w:t xml:space="preserve"> </w:t>
      </w:r>
      <w:r w:rsidR="00DF58BC" w:rsidRPr="00A52AB8">
        <w:rPr>
          <w:color w:val="000000" w:themeColor="text1"/>
        </w:rPr>
        <w:t>and attrDim, and arrays decAttrAuxFrameANF</w:t>
      </w:r>
      <w:r w:rsidRPr="00A52AB8">
        <w:rPr>
          <w:color w:val="000000" w:themeColor="text1"/>
        </w:rPr>
        <w:t>[ attrIdx ]</w:t>
      </w:r>
      <w:r w:rsidR="00DF58BC" w:rsidRPr="00A52AB8">
        <w:rPr>
          <w:color w:val="000000" w:themeColor="text1"/>
        </w:rPr>
        <w:t xml:space="preserve"> </w:t>
      </w:r>
      <w:r w:rsidR="001D0D26" w:rsidRPr="00A52AB8">
        <w:rPr>
          <w:color w:val="000000" w:themeColor="text1"/>
        </w:rPr>
        <w:t xml:space="preserve">and </w:t>
      </w:r>
      <w:r w:rsidR="00DF58BC" w:rsidRPr="00A52AB8">
        <w:rPr>
          <w:color w:val="000000" w:themeColor="text1"/>
        </w:rPr>
        <w:t>attrPartChannels as input</w:t>
      </w:r>
      <w:r w:rsidR="00812087" w:rsidRPr="00A52AB8">
        <w:rPr>
          <w:color w:val="000000" w:themeColor="text1"/>
        </w:rPr>
        <w:t xml:space="preserve">. The output of this process is a decoded auxiliary attribute frame with merged partitions, </w:t>
      </w:r>
      <w:r w:rsidR="00DF58BC" w:rsidRPr="00A52AB8">
        <w:rPr>
          <w:color w:val="000000" w:themeColor="text1"/>
        </w:rPr>
        <w:t>AttrAuxFramesNF</w:t>
      </w:r>
      <w:r w:rsidR="00812087" w:rsidRPr="00A52AB8">
        <w:rPr>
          <w:color w:val="000000" w:themeColor="text1"/>
        </w:rPr>
        <w:t>[ attrIdx ].</w:t>
      </w:r>
    </w:p>
    <w:p w14:paraId="00567E7A" w14:textId="77777777" w:rsidR="005A2B6A" w:rsidRPr="00A52AB8" w:rsidRDefault="005A2B6A" w:rsidP="005C26E9">
      <w:pPr>
        <w:pStyle w:val="a2"/>
        <w:numPr>
          <w:ilvl w:val="1"/>
          <w:numId w:val="19"/>
        </w:numPr>
      </w:pPr>
      <w:bookmarkStart w:id="4854" w:name="_Toc52181661"/>
      <w:r w:rsidRPr="00A52AB8">
        <w:t>Conversion operations</w:t>
      </w:r>
      <w:bookmarkEnd w:id="4854"/>
    </w:p>
    <w:p w14:paraId="113EC266" w14:textId="77777777" w:rsidR="008972DF" w:rsidRPr="00A52AB8" w:rsidRDefault="008972DF" w:rsidP="008972DF">
      <w:pPr>
        <w:pStyle w:val="a3"/>
        <w:numPr>
          <w:ilvl w:val="2"/>
          <w:numId w:val="14"/>
        </w:numPr>
      </w:pPr>
      <w:bookmarkStart w:id="4855" w:name="_Ref39746085"/>
      <w:bookmarkStart w:id="4856" w:name="_Toc52181662"/>
      <w:r w:rsidRPr="00A52AB8">
        <w:t>Map Extraction</w:t>
      </w:r>
      <w:bookmarkEnd w:id="4855"/>
      <w:bookmarkEnd w:id="4856"/>
    </w:p>
    <w:p w14:paraId="2FB47FC0" w14:textId="77777777" w:rsidR="008972DF" w:rsidRPr="00A52AB8" w:rsidRDefault="008972DF" w:rsidP="003819BE">
      <w:pPr>
        <w:rPr>
          <w:lang w:eastAsia="ja-JP"/>
        </w:rPr>
      </w:pPr>
      <w:r w:rsidRPr="00A52AB8">
        <w:rPr>
          <w:lang w:eastAsia="ja-JP"/>
        </w:rPr>
        <w:t>Inputs to this process are:</w:t>
      </w:r>
    </w:p>
    <w:p w14:paraId="3A95AF8A" w14:textId="21A77053" w:rsidR="00F44597" w:rsidRPr="00A52AB8" w:rsidRDefault="00B86F8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w:t>
      </w:r>
      <w:r w:rsidR="00221608" w:rsidRPr="00A52AB8">
        <w:rPr>
          <w:color w:val="000000" w:themeColor="text1"/>
        </w:rPr>
        <w:t xml:space="preserve">variable </w:t>
      </w:r>
      <w:r w:rsidR="007F11D8" w:rsidRPr="00A52AB8">
        <w:rPr>
          <w:color w:val="000000" w:themeColor="text1"/>
        </w:rPr>
        <w:t>multipleMapStreamsPresent</w:t>
      </w:r>
      <w:r w:rsidR="00116D30" w:rsidRPr="00A52AB8">
        <w:rPr>
          <w:color w:val="000000" w:themeColor="text1"/>
        </w:rPr>
        <w:t>Flag</w:t>
      </w:r>
      <w:r w:rsidR="0022500B" w:rsidRPr="00A52AB8">
        <w:rPr>
          <w:color w:val="000000" w:themeColor="text1"/>
        </w:rPr>
        <w:t>,</w:t>
      </w:r>
      <w:r w:rsidR="00221608" w:rsidRPr="00A52AB8">
        <w:rPr>
          <w:color w:val="000000" w:themeColor="text1"/>
        </w:rPr>
        <w:t xml:space="preserve"> indicating the presence of multiple streams,</w:t>
      </w:r>
    </w:p>
    <w:p w14:paraId="1B7C156E" w14:textId="2F8CE8E9" w:rsidR="008C4CBF" w:rsidRPr="00A52AB8" w:rsidRDefault="0022160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variable</w:t>
      </w:r>
      <w:r w:rsidR="00B86F83" w:rsidRPr="00A52AB8">
        <w:rPr>
          <w:color w:val="000000" w:themeColor="text1"/>
        </w:rPr>
        <w:t xml:space="preserve"> map</w:t>
      </w:r>
      <w:r w:rsidR="007F11D8" w:rsidRPr="00A52AB8">
        <w:rPr>
          <w:color w:val="000000" w:themeColor="text1"/>
        </w:rPr>
        <w:t>C</w:t>
      </w:r>
      <w:r w:rsidR="00B86F83" w:rsidRPr="00A52AB8">
        <w:rPr>
          <w:color w:val="000000" w:themeColor="text1"/>
        </w:rPr>
        <w:t>ount</w:t>
      </w:r>
      <w:r w:rsidR="0022500B" w:rsidRPr="00A52AB8">
        <w:rPr>
          <w:color w:val="000000" w:themeColor="text1"/>
        </w:rPr>
        <w:t>,</w:t>
      </w:r>
      <w:r w:rsidRPr="00A52AB8">
        <w:rPr>
          <w:color w:val="000000" w:themeColor="text1"/>
        </w:rPr>
        <w:t xml:space="preserve"> indicating the number of maps</w:t>
      </w:r>
    </w:p>
    <w:p w14:paraId="658EAC90" w14:textId="77777777" w:rsidR="00221608" w:rsidRPr="00A52AB8" w:rsidRDefault="0022160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variable iNumComp, indicating the number of components for each frame,</w:t>
      </w:r>
    </w:p>
    <w:p w14:paraId="2D7EF218" w14:textId="14C0F2C2" w:rsidR="00221608" w:rsidRPr="00A52AB8" w:rsidRDefault="0022160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w:t>
      </w:r>
      <w:r w:rsidR="00827561" w:rsidRPr="00A52AB8">
        <w:rPr>
          <w:color w:val="000000" w:themeColor="text1"/>
        </w:rPr>
        <w:t>variable</w:t>
      </w:r>
      <w:r w:rsidRPr="00A52AB8">
        <w:rPr>
          <w:color w:val="000000" w:themeColor="text1"/>
        </w:rPr>
        <w:t xml:space="preserve"> iHeight,</w:t>
      </w:r>
      <w:r w:rsidRPr="00A52AB8" w:rsidDel="00631134">
        <w:rPr>
          <w:color w:val="000000" w:themeColor="text1"/>
        </w:rPr>
        <w:t xml:space="preserve"> </w:t>
      </w:r>
      <w:r w:rsidRPr="00A52AB8">
        <w:rPr>
          <w:color w:val="000000" w:themeColor="text1"/>
        </w:rPr>
        <w:t>indicating the height of each frame,</w:t>
      </w:r>
    </w:p>
    <w:p w14:paraId="18FAB8C2" w14:textId="79426F9E" w:rsidR="00221608" w:rsidRPr="00A52AB8" w:rsidRDefault="0022160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w:t>
      </w:r>
      <w:r w:rsidR="00827561" w:rsidRPr="00A52AB8">
        <w:rPr>
          <w:color w:val="000000" w:themeColor="text1"/>
        </w:rPr>
        <w:t xml:space="preserve">variable </w:t>
      </w:r>
      <w:r w:rsidRPr="00A52AB8">
        <w:rPr>
          <w:color w:val="000000" w:themeColor="text1"/>
        </w:rPr>
        <w:t>iWidth, indicating the width of each frame,</w:t>
      </w:r>
    </w:p>
    <w:p w14:paraId="2D5F29CC" w14:textId="7CC2145C" w:rsidR="0050235C" w:rsidRPr="00A52AB8" w:rsidRDefault="00827561" w:rsidP="00827561">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1D array numFrames, of size mapCount, indicating the number of input frames,</w:t>
      </w:r>
    </w:p>
    <w:p w14:paraId="269BF378" w14:textId="7E4EBABF" w:rsidR="007F11D8" w:rsidRPr="00A52AB8" w:rsidRDefault="008972DF"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w:t>
      </w:r>
      <w:r w:rsidR="0060122B" w:rsidRPr="00A52AB8">
        <w:rPr>
          <w:color w:val="000000" w:themeColor="text1"/>
        </w:rPr>
        <w:t>5D</w:t>
      </w:r>
      <w:r w:rsidRPr="00A52AB8">
        <w:rPr>
          <w:color w:val="000000" w:themeColor="text1"/>
        </w:rPr>
        <w:t xml:space="preserve"> array input</w:t>
      </w:r>
      <w:r w:rsidR="00B86F83" w:rsidRPr="00A52AB8">
        <w:rPr>
          <w:color w:val="000000" w:themeColor="text1"/>
        </w:rPr>
        <w:t>Frame</w:t>
      </w:r>
      <w:r w:rsidR="00221608" w:rsidRPr="00A52AB8">
        <w:rPr>
          <w:color w:val="000000" w:themeColor="text1"/>
        </w:rPr>
        <w:t xml:space="preserve"> of size mapCount × numInputFrames × iNumComp × iHeight × iWidth</w:t>
      </w:r>
      <w:r w:rsidRPr="00A52AB8">
        <w:rPr>
          <w:color w:val="000000" w:themeColor="text1"/>
        </w:rPr>
        <w:t>,</w:t>
      </w:r>
    </w:p>
    <w:p w14:paraId="06ED6CC6" w14:textId="461BE325" w:rsidR="007F11D8" w:rsidRPr="00A52AB8" w:rsidRDefault="0022160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w:t>
      </w:r>
      <w:r w:rsidR="00AA3F71" w:rsidRPr="00A52AB8">
        <w:rPr>
          <w:color w:val="000000" w:themeColor="text1"/>
        </w:rPr>
        <w:t xml:space="preserve"> </w:t>
      </w:r>
      <w:r w:rsidR="0060122B" w:rsidRPr="00A52AB8">
        <w:rPr>
          <w:color w:val="000000" w:themeColor="text1"/>
        </w:rPr>
        <w:t>2D</w:t>
      </w:r>
      <w:r w:rsidR="007F11D8" w:rsidRPr="00A52AB8">
        <w:rPr>
          <w:color w:val="000000" w:themeColor="text1"/>
        </w:rPr>
        <w:t xml:space="preserve"> </w:t>
      </w:r>
      <w:r w:rsidR="00AA3F71" w:rsidRPr="00A52AB8">
        <w:rPr>
          <w:color w:val="000000" w:themeColor="text1"/>
        </w:rPr>
        <w:t xml:space="preserve">array </w:t>
      </w:r>
      <w:r w:rsidR="007F11D8" w:rsidRPr="00A52AB8">
        <w:rPr>
          <w:color w:val="000000" w:themeColor="text1"/>
        </w:rPr>
        <w:t>i</w:t>
      </w:r>
      <w:r w:rsidR="00116D30" w:rsidRPr="00A52AB8">
        <w:rPr>
          <w:color w:val="000000" w:themeColor="text1"/>
        </w:rPr>
        <w:t>Output</w:t>
      </w:r>
      <w:r w:rsidR="007F11D8" w:rsidRPr="00A52AB8">
        <w:rPr>
          <w:color w:val="000000" w:themeColor="text1"/>
        </w:rPr>
        <w:t>OrderIdx</w:t>
      </w:r>
      <w:r w:rsidRPr="00A52AB8">
        <w:rPr>
          <w:color w:val="000000" w:themeColor="text1"/>
        </w:rPr>
        <w:t>, of size mapCount × numInputFrames</w:t>
      </w:r>
      <w:r w:rsidR="007F11D8" w:rsidRPr="00A52AB8">
        <w:rPr>
          <w:color w:val="000000" w:themeColor="text1"/>
        </w:rPr>
        <w:t>,</w:t>
      </w:r>
      <w:r w:rsidR="00812FF7" w:rsidRPr="00A52AB8">
        <w:rPr>
          <w:color w:val="000000" w:themeColor="text1"/>
        </w:rPr>
        <w:t xml:space="preserve"> </w:t>
      </w:r>
      <w:r w:rsidRPr="00A52AB8">
        <w:rPr>
          <w:color w:val="000000" w:themeColor="text1"/>
        </w:rPr>
        <w:t>indicating the output order index</w:t>
      </w:r>
      <w:r w:rsidR="00827561" w:rsidRPr="00A52AB8">
        <w:rPr>
          <w:color w:val="000000" w:themeColor="text1"/>
        </w:rPr>
        <w:t>, and</w:t>
      </w:r>
    </w:p>
    <w:p w14:paraId="0494D303" w14:textId="77777777" w:rsidR="001D0D26" w:rsidRPr="00A52AB8" w:rsidRDefault="0022160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2D array </w:t>
      </w:r>
      <w:r w:rsidR="007F11D8" w:rsidRPr="00A52AB8">
        <w:rPr>
          <w:color w:val="000000" w:themeColor="text1"/>
        </w:rPr>
        <w:t>iCompTime</w:t>
      </w:r>
      <w:r w:rsidRPr="00A52AB8">
        <w:rPr>
          <w:color w:val="000000" w:themeColor="text1"/>
        </w:rPr>
        <w:t>, of size</w:t>
      </w:r>
      <w:r w:rsidR="007F11D8" w:rsidRPr="00A52AB8">
        <w:rPr>
          <w:color w:val="000000" w:themeColor="text1"/>
        </w:rPr>
        <w:t> </w:t>
      </w:r>
      <w:r w:rsidRPr="00A52AB8">
        <w:rPr>
          <w:color w:val="000000" w:themeColor="text1"/>
        </w:rPr>
        <w:t>mapCount × numInputFrames </w:t>
      </w:r>
      <w:r w:rsidR="007F11D8" w:rsidRPr="00A52AB8">
        <w:rPr>
          <w:color w:val="000000" w:themeColor="text1"/>
        </w:rPr>
        <w:t>,</w:t>
      </w:r>
      <w:r w:rsidRPr="00A52AB8">
        <w:rPr>
          <w:color w:val="000000" w:themeColor="text1"/>
        </w:rPr>
        <w:t xml:space="preserve"> indicating the composition time</w:t>
      </w:r>
      <w:r w:rsidR="001D0D26" w:rsidRPr="00A52AB8">
        <w:rPr>
          <w:color w:val="000000" w:themeColor="text1"/>
        </w:rPr>
        <w:t>,</w:t>
      </w:r>
    </w:p>
    <w:p w14:paraId="5D72AC43" w14:textId="5C6FDEF3" w:rsidR="007F11D8" w:rsidRPr="00A52AB8" w:rsidRDefault="001D0D26" w:rsidP="009F7C49">
      <w:p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806"/>
        <w:textAlignment w:val="baseline"/>
        <w:rPr>
          <w:color w:val="000000" w:themeColor="text1"/>
        </w:rPr>
      </w:pPr>
      <w:r w:rsidRPr="00A52AB8">
        <w:rPr>
          <w:color w:val="000000" w:themeColor="text1"/>
        </w:rPr>
        <w:t>where numInputFrames is the maximum value of the numFrames array</w:t>
      </w:r>
      <w:r w:rsidR="00221608" w:rsidRPr="00A52AB8">
        <w:rPr>
          <w:color w:val="000000" w:themeColor="text1"/>
        </w:rPr>
        <w:t>.</w:t>
      </w:r>
    </w:p>
    <w:p w14:paraId="633FD2AC" w14:textId="77777777" w:rsidR="0050235C" w:rsidRPr="00A52AB8" w:rsidRDefault="008972DF" w:rsidP="003819BE">
      <w:pPr>
        <w:rPr>
          <w:lang w:eastAsia="ja-JP"/>
        </w:rPr>
      </w:pPr>
      <w:r w:rsidRPr="00A52AB8">
        <w:rPr>
          <w:lang w:eastAsia="ja-JP"/>
        </w:rPr>
        <w:t>Output</w:t>
      </w:r>
      <w:r w:rsidR="00060230" w:rsidRPr="00A52AB8">
        <w:rPr>
          <w:lang w:eastAsia="ja-JP"/>
        </w:rPr>
        <w:t>s</w:t>
      </w:r>
      <w:r w:rsidRPr="00A52AB8">
        <w:rPr>
          <w:lang w:eastAsia="ja-JP"/>
        </w:rPr>
        <w:t xml:space="preserve"> of this process </w:t>
      </w:r>
      <w:r w:rsidR="00E66EAB" w:rsidRPr="00A52AB8">
        <w:rPr>
          <w:lang w:eastAsia="ja-JP"/>
        </w:rPr>
        <w:t>are</w:t>
      </w:r>
      <w:r w:rsidRPr="00A52AB8">
        <w:rPr>
          <w:lang w:eastAsia="ja-JP"/>
        </w:rPr>
        <w:t>:</w:t>
      </w:r>
    </w:p>
    <w:p w14:paraId="54C629B7" w14:textId="36D34D0E" w:rsidR="00AA3F71" w:rsidRPr="00A52AB8" w:rsidRDefault="00AA3F71"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w:t>
      </w:r>
      <w:r w:rsidR="00E66EAB" w:rsidRPr="00A52AB8">
        <w:rPr>
          <w:color w:val="000000" w:themeColor="text1"/>
        </w:rPr>
        <w:t xml:space="preserve">1D </w:t>
      </w:r>
      <w:r w:rsidRPr="00A52AB8">
        <w:rPr>
          <w:color w:val="000000" w:themeColor="text1"/>
        </w:rPr>
        <w:t>array rangeOrdIdx</w:t>
      </w:r>
      <w:r w:rsidR="0023644B" w:rsidRPr="00A52AB8">
        <w:rPr>
          <w:color w:val="000000" w:themeColor="text1"/>
        </w:rPr>
        <w:t>, of size mapCount</w:t>
      </w:r>
      <w:r w:rsidRPr="00A52AB8">
        <w:rPr>
          <w:color w:val="000000" w:themeColor="text1"/>
        </w:rPr>
        <w:t>,</w:t>
      </w:r>
      <w:r w:rsidR="0023644B" w:rsidRPr="00A52AB8">
        <w:rPr>
          <w:color w:val="000000" w:themeColor="text1"/>
        </w:rPr>
        <w:t xml:space="preserve"> indicating </w:t>
      </w:r>
      <w:r w:rsidR="00C527F7" w:rsidRPr="00A52AB8">
        <w:rPr>
          <w:color w:val="000000" w:themeColor="text1"/>
        </w:rPr>
        <w:t>the number of frames of each map</w:t>
      </w:r>
      <w:r w:rsidR="0023644B" w:rsidRPr="00A52AB8">
        <w:rPr>
          <w:color w:val="000000" w:themeColor="text1"/>
        </w:rPr>
        <w:t>,</w:t>
      </w:r>
    </w:p>
    <w:p w14:paraId="70545DCD" w14:textId="5021AB56" w:rsidR="0050235C" w:rsidRPr="00A52AB8" w:rsidRDefault="00A633A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w:t>
      </w:r>
      <w:r w:rsidR="0060122B" w:rsidRPr="00A52AB8">
        <w:rPr>
          <w:color w:val="000000" w:themeColor="text1"/>
        </w:rPr>
        <w:t>5D</w:t>
      </w:r>
      <w:r w:rsidRPr="00A52AB8">
        <w:rPr>
          <w:color w:val="000000" w:themeColor="text1"/>
        </w:rPr>
        <w:t xml:space="preserve"> array outputSamples</w:t>
      </w:r>
      <w:r w:rsidR="0023644B" w:rsidRPr="00A52AB8">
        <w:rPr>
          <w:color w:val="000000" w:themeColor="text1"/>
        </w:rPr>
        <w:t>,</w:t>
      </w:r>
      <w:r w:rsidR="00C527F7" w:rsidRPr="00A52AB8">
        <w:rPr>
          <w:color w:val="000000" w:themeColor="text1"/>
        </w:rPr>
        <w:t xml:space="preserve"> of size </w:t>
      </w:r>
      <w:r w:rsidR="0023644B" w:rsidRPr="00A52AB8">
        <w:rPr>
          <w:color w:val="000000" w:themeColor="text1"/>
        </w:rPr>
        <w:t>mapCount × </w:t>
      </w:r>
      <w:r w:rsidR="001D0D26" w:rsidRPr="00A52AB8">
        <w:rPr>
          <w:color w:val="000000" w:themeColor="text1"/>
        </w:rPr>
        <w:t>numOutputFrames </w:t>
      </w:r>
      <w:r w:rsidR="0023644B" w:rsidRPr="00A52AB8">
        <w:rPr>
          <w:color w:val="000000" w:themeColor="text1"/>
        </w:rPr>
        <w:t>× iNumComp × iHeight × iWidth,</w:t>
      </w:r>
    </w:p>
    <w:p w14:paraId="3BC950A1" w14:textId="36B6E107" w:rsidR="00065A15" w:rsidRPr="00A52AB8" w:rsidRDefault="00A633A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w:t>
      </w:r>
      <w:r w:rsidR="0060122B" w:rsidRPr="00A52AB8">
        <w:rPr>
          <w:color w:val="000000" w:themeColor="text1"/>
        </w:rPr>
        <w:t xml:space="preserve">2D </w:t>
      </w:r>
      <w:r w:rsidRPr="00A52AB8">
        <w:rPr>
          <w:color w:val="000000" w:themeColor="text1"/>
        </w:rPr>
        <w:t xml:space="preserve">array </w:t>
      </w:r>
      <w:r w:rsidR="00317011" w:rsidRPr="00A52AB8">
        <w:rPr>
          <w:color w:val="000000" w:themeColor="text1"/>
        </w:rPr>
        <w:t>framePresent</w:t>
      </w:r>
      <w:r w:rsidR="0023644B" w:rsidRPr="00A52AB8">
        <w:rPr>
          <w:color w:val="000000" w:themeColor="text1"/>
        </w:rPr>
        <w:t>,</w:t>
      </w:r>
      <w:r w:rsidR="00C527F7" w:rsidRPr="00A52AB8">
        <w:rPr>
          <w:color w:val="000000" w:themeColor="text1"/>
        </w:rPr>
        <w:t xml:space="preserve"> of size</w:t>
      </w:r>
      <w:r w:rsidR="0023644B" w:rsidRPr="00A52AB8">
        <w:rPr>
          <w:color w:val="000000" w:themeColor="text1"/>
        </w:rPr>
        <w:t xml:space="preserve"> mapCount × </w:t>
      </w:r>
      <w:r w:rsidR="001D0D26" w:rsidRPr="00A52AB8">
        <w:rPr>
          <w:color w:val="000000" w:themeColor="text1"/>
        </w:rPr>
        <w:t>numOutputFrames</w:t>
      </w:r>
      <w:r w:rsidR="00C527F7" w:rsidRPr="00A52AB8">
        <w:rPr>
          <w:color w:val="000000" w:themeColor="text1"/>
        </w:rPr>
        <w:t xml:space="preserve">, indicating the presence of a </w:t>
      </w:r>
      <w:r w:rsidR="00317011" w:rsidRPr="00A52AB8">
        <w:rPr>
          <w:color w:val="000000" w:themeColor="text1"/>
        </w:rPr>
        <w:t>frame</w:t>
      </w:r>
      <w:r w:rsidR="0023644B" w:rsidRPr="00A52AB8">
        <w:rPr>
          <w:color w:val="000000" w:themeColor="text1"/>
        </w:rPr>
        <w:t>,</w:t>
      </w:r>
    </w:p>
    <w:p w14:paraId="19EA6BDE" w14:textId="20E39AC4" w:rsidR="001D0D26" w:rsidRPr="00A52AB8" w:rsidRDefault="00A633A3" w:rsidP="003D4946">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w:t>
      </w:r>
      <w:r w:rsidR="0060122B" w:rsidRPr="00A52AB8">
        <w:rPr>
          <w:color w:val="000000" w:themeColor="text1"/>
        </w:rPr>
        <w:t>2D</w:t>
      </w:r>
      <w:r w:rsidRPr="00A52AB8">
        <w:rPr>
          <w:color w:val="000000" w:themeColor="text1"/>
        </w:rPr>
        <w:t xml:space="preserve"> array outputCompTime</w:t>
      </w:r>
      <w:r w:rsidR="0023644B" w:rsidRPr="00A52AB8">
        <w:rPr>
          <w:color w:val="000000" w:themeColor="text1"/>
        </w:rPr>
        <w:t>, of size mapCount × </w:t>
      </w:r>
      <w:r w:rsidR="001D0D26" w:rsidRPr="00A52AB8">
        <w:rPr>
          <w:color w:val="000000" w:themeColor="text1"/>
        </w:rPr>
        <w:t>numOutputFrames</w:t>
      </w:r>
      <w:r w:rsidR="0023644B" w:rsidRPr="00A52AB8">
        <w:rPr>
          <w:color w:val="000000" w:themeColor="text1"/>
        </w:rPr>
        <w:t>, indicating the composition time of each frame</w:t>
      </w:r>
      <w:r w:rsidR="001D0D26" w:rsidRPr="00A52AB8">
        <w:rPr>
          <w:color w:val="000000" w:themeColor="text1"/>
        </w:rPr>
        <w:t>,</w:t>
      </w:r>
    </w:p>
    <w:p w14:paraId="3527023C" w14:textId="63BCC74B" w:rsidR="008972DF" w:rsidRPr="00A52AB8" w:rsidRDefault="001D0D26" w:rsidP="009F7C49">
      <w:pPr>
        <w:pStyle w:val="ListParagraph"/>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textAlignment w:val="baseline"/>
        <w:rPr>
          <w:color w:val="000000" w:themeColor="text1"/>
        </w:rPr>
      </w:pPr>
      <w:r w:rsidRPr="00A52AB8">
        <w:rPr>
          <w:color w:val="000000" w:themeColor="text1"/>
        </w:rPr>
        <w:t>where numOutputFrames is the maximum value of the array rangeOrdIdx</w:t>
      </w:r>
      <w:r w:rsidR="008972DF" w:rsidRPr="00A52AB8">
        <w:rPr>
          <w:color w:val="000000" w:themeColor="text1"/>
        </w:rPr>
        <w:t>.</w:t>
      </w:r>
    </w:p>
    <w:p w14:paraId="5F3D18D5" w14:textId="74886814" w:rsidR="0007175F" w:rsidRPr="00A52AB8" w:rsidRDefault="0007175F" w:rsidP="00007BE2">
      <w:pPr>
        <w:rPr>
          <w:lang w:eastAsia="ja-JP"/>
        </w:rPr>
      </w:pPr>
      <w:r w:rsidRPr="00A52AB8">
        <w:rPr>
          <w:lang w:eastAsia="ja-JP"/>
        </w:rPr>
        <w:t>The map extraction process is performed as follows:</w:t>
      </w:r>
    </w:p>
    <w:p w14:paraId="348D9828" w14:textId="15A7ABAA" w:rsidR="00A32CB6" w:rsidRPr="00A52AB8" w:rsidRDefault="0060122B" w:rsidP="003819BE">
      <w:pPr>
        <w:rPr>
          <w:lang w:eastAsia="ja-JP"/>
        </w:rPr>
      </w:pPr>
      <w:bookmarkStart w:id="4857" w:name="_Hlk40949046"/>
      <w:r w:rsidRPr="00A52AB8">
        <w:rPr>
          <w:color w:val="000000" w:themeColor="text1"/>
        </w:rPr>
        <w:tab/>
      </w:r>
      <w:r w:rsidR="00A145F8" w:rsidRPr="00A52AB8">
        <w:rPr>
          <w:color w:val="000000" w:themeColor="text1"/>
        </w:rPr>
        <w:t>for( i</w:t>
      </w:r>
      <w:r w:rsidR="00D47707" w:rsidRPr="00A52AB8">
        <w:rPr>
          <w:color w:val="000000" w:themeColor="text1"/>
        </w:rPr>
        <w:t> = </w:t>
      </w:r>
      <w:r w:rsidR="00A145F8" w:rsidRPr="00A52AB8">
        <w:rPr>
          <w:color w:val="000000" w:themeColor="text1"/>
        </w:rPr>
        <w:t>0; i &lt; map</w:t>
      </w:r>
      <w:r w:rsidR="00812FF7" w:rsidRPr="00A52AB8">
        <w:rPr>
          <w:color w:val="000000" w:themeColor="text1"/>
        </w:rPr>
        <w:t>C</w:t>
      </w:r>
      <w:r w:rsidR="00A145F8" w:rsidRPr="00A52AB8">
        <w:rPr>
          <w:color w:val="000000" w:themeColor="text1"/>
        </w:rPr>
        <w:t>ount; i</w:t>
      </w:r>
      <w:r w:rsidR="00006CCF" w:rsidRPr="00A52AB8">
        <w:rPr>
          <w:color w:val="000000" w:themeColor="text1"/>
        </w:rPr>
        <w:t>++ )</w:t>
      </w:r>
      <w:r w:rsidR="00044CFF" w:rsidRPr="00A52AB8">
        <w:rPr>
          <w:color w:val="000000" w:themeColor="text1"/>
        </w:rPr>
        <w:br/>
      </w:r>
      <w:r w:rsidR="00044CFF" w:rsidRPr="00A52AB8">
        <w:rPr>
          <w:color w:val="000000" w:themeColor="text1"/>
        </w:rPr>
        <w:tab/>
      </w:r>
      <w:r w:rsidRPr="00A52AB8">
        <w:rPr>
          <w:color w:val="000000" w:themeColor="text1"/>
        </w:rPr>
        <w:tab/>
      </w:r>
      <w:r w:rsidR="00AA3F71" w:rsidRPr="00A52AB8">
        <w:rPr>
          <w:color w:val="000000" w:themeColor="text1"/>
        </w:rPr>
        <w:t>rangeOrdIdx</w:t>
      </w:r>
      <w:r w:rsidR="00A145F8" w:rsidRPr="00A52AB8">
        <w:rPr>
          <w:color w:val="000000" w:themeColor="text1"/>
        </w:rPr>
        <w:t>[ i ]</w:t>
      </w:r>
      <w:r w:rsidR="00D47707" w:rsidRPr="00A52AB8">
        <w:rPr>
          <w:color w:val="000000" w:themeColor="text1"/>
        </w:rPr>
        <w:t> = </w:t>
      </w:r>
      <w:r w:rsidR="00A145F8" w:rsidRPr="00A52AB8">
        <w:rPr>
          <w:color w:val="000000" w:themeColor="text1"/>
        </w:rPr>
        <w:t>0</w:t>
      </w:r>
      <w:r w:rsidR="00827561" w:rsidRPr="00A52AB8">
        <w:rPr>
          <w:color w:val="000000" w:themeColor="text1"/>
        </w:rPr>
        <w:br/>
      </w:r>
      <w:r w:rsidR="00A145F8" w:rsidRPr="00A52AB8">
        <w:rPr>
          <w:color w:val="000000" w:themeColor="text1"/>
        </w:rPr>
        <w:tab/>
        <w:t>if(</w:t>
      </w:r>
      <w:r w:rsidR="00044CFF" w:rsidRPr="00A52AB8">
        <w:rPr>
          <w:color w:val="000000" w:themeColor="text1"/>
        </w:rPr>
        <w:t> </w:t>
      </w:r>
      <w:r w:rsidR="00812FF7" w:rsidRPr="00A52AB8">
        <w:rPr>
          <w:color w:val="000000" w:themeColor="text1"/>
        </w:rPr>
        <w:t>mapCount – 1</w:t>
      </w:r>
      <w:r w:rsidR="008768E9" w:rsidRPr="00A52AB8">
        <w:rPr>
          <w:color w:val="000000" w:themeColor="text1"/>
        </w:rPr>
        <w:t> </w:t>
      </w:r>
      <w:r w:rsidR="00726AAE" w:rsidRPr="00A52AB8">
        <w:rPr>
          <w:color w:val="000000" w:themeColor="text1"/>
        </w:rPr>
        <w:t>==</w:t>
      </w:r>
      <w:r w:rsidR="00D47707" w:rsidRPr="00A52AB8">
        <w:rPr>
          <w:color w:val="000000" w:themeColor="text1"/>
        </w:rPr>
        <w:t> </w:t>
      </w:r>
      <w:r w:rsidR="00A145F8" w:rsidRPr="00A52AB8">
        <w:rPr>
          <w:color w:val="000000" w:themeColor="text1"/>
        </w:rPr>
        <w:t>0</w:t>
      </w:r>
      <w:r w:rsidR="00044CFF" w:rsidRPr="00A52AB8">
        <w:rPr>
          <w:color w:val="000000" w:themeColor="text1"/>
        </w:rPr>
        <w:t> </w:t>
      </w:r>
      <w:r w:rsidR="00900B12" w:rsidRPr="00A52AB8">
        <w:rPr>
          <w:color w:val="000000" w:themeColor="text1"/>
        </w:rPr>
        <w:t>) {</w:t>
      </w:r>
      <w:r w:rsidR="00044CFF" w:rsidRPr="00A52AB8">
        <w:rPr>
          <w:color w:val="000000" w:themeColor="text1"/>
        </w:rPr>
        <w:br/>
      </w:r>
      <w:r w:rsidR="00827561" w:rsidRPr="00A52AB8">
        <w:rPr>
          <w:color w:val="000000" w:themeColor="text1"/>
        </w:rPr>
        <w:tab/>
      </w:r>
      <w:r w:rsidR="00827561" w:rsidRPr="00A52AB8">
        <w:rPr>
          <w:color w:val="000000" w:themeColor="text1"/>
        </w:rPr>
        <w:tab/>
        <w:t>for( f</w:t>
      </w:r>
      <w:r w:rsidR="00D47707" w:rsidRPr="00A52AB8">
        <w:rPr>
          <w:color w:val="000000" w:themeColor="text1"/>
        </w:rPr>
        <w:t> = </w:t>
      </w:r>
      <w:r w:rsidR="00827561" w:rsidRPr="00A52AB8">
        <w:rPr>
          <w:color w:val="000000" w:themeColor="text1"/>
        </w:rPr>
        <w:t>0; f &lt; numFrames[ 0 ]; f++ </w:t>
      </w:r>
      <w:r w:rsidR="00900B12" w:rsidRPr="00A52AB8">
        <w:rPr>
          <w:color w:val="000000" w:themeColor="text1"/>
        </w:rPr>
        <w:t>) {</w:t>
      </w:r>
      <w:r w:rsidR="00827561" w:rsidRPr="00A52AB8">
        <w:rPr>
          <w:color w:val="000000" w:themeColor="text1"/>
        </w:rPr>
        <w:br/>
      </w:r>
      <w:r w:rsidR="00A145F8" w:rsidRPr="00A52AB8">
        <w:rPr>
          <w:color w:val="000000" w:themeColor="text1"/>
        </w:rPr>
        <w:tab/>
      </w:r>
      <w:r w:rsidR="00A145F8" w:rsidRPr="00A52AB8">
        <w:rPr>
          <w:color w:val="000000" w:themeColor="text1"/>
        </w:rPr>
        <w:tab/>
      </w:r>
      <w:r w:rsidRPr="00A52AB8">
        <w:rPr>
          <w:color w:val="000000" w:themeColor="text1"/>
        </w:rPr>
        <w:tab/>
      </w:r>
      <w:r w:rsidR="00A145F8" w:rsidRPr="00A52AB8">
        <w:rPr>
          <w:color w:val="000000" w:themeColor="text1"/>
        </w:rPr>
        <w:t>g</w:t>
      </w:r>
      <w:r w:rsidR="00D47707" w:rsidRPr="00A52AB8">
        <w:rPr>
          <w:color w:val="000000" w:themeColor="text1"/>
        </w:rPr>
        <w:t> = </w:t>
      </w:r>
      <w:r w:rsidR="00065A15" w:rsidRPr="00A52AB8">
        <w:rPr>
          <w:color w:val="000000" w:themeColor="text1"/>
        </w:rPr>
        <w:t>i</w:t>
      </w:r>
      <w:r w:rsidR="0050706D" w:rsidRPr="00A52AB8">
        <w:rPr>
          <w:color w:val="000000" w:themeColor="text1"/>
        </w:rPr>
        <w:t>Output</w:t>
      </w:r>
      <w:r w:rsidR="00065A15" w:rsidRPr="00A52AB8">
        <w:rPr>
          <w:color w:val="000000" w:themeColor="text1"/>
        </w:rPr>
        <w:t>OrderIdx</w:t>
      </w:r>
      <w:r w:rsidR="00D770D3" w:rsidRPr="00A52AB8">
        <w:rPr>
          <w:color w:val="000000" w:themeColor="text1"/>
        </w:rPr>
        <w:t>[ 0 ]</w:t>
      </w:r>
      <w:r w:rsidR="00A145F8" w:rsidRPr="00A52AB8">
        <w:rPr>
          <w:color w:val="000000" w:themeColor="text1"/>
        </w:rPr>
        <w:t>[ f</w:t>
      </w:r>
      <w:r w:rsidR="00044CFF" w:rsidRPr="00A52AB8">
        <w:rPr>
          <w:color w:val="000000" w:themeColor="text1"/>
        </w:rPr>
        <w:t> </w:t>
      </w:r>
      <w:r w:rsidR="00A145F8" w:rsidRPr="00A52AB8">
        <w:rPr>
          <w:color w:val="000000" w:themeColor="text1"/>
        </w:rPr>
        <w:t>]</w:t>
      </w:r>
      <w:r w:rsidR="00044CFF" w:rsidRPr="00A52AB8">
        <w:rPr>
          <w:color w:val="000000" w:themeColor="text1"/>
        </w:rPr>
        <w:br/>
      </w:r>
      <w:r w:rsidR="00A145F8" w:rsidRPr="00A52AB8">
        <w:rPr>
          <w:color w:val="000000" w:themeColor="text1"/>
        </w:rPr>
        <w:tab/>
      </w:r>
      <w:r w:rsidR="00A145F8" w:rsidRPr="00A52AB8">
        <w:rPr>
          <w:color w:val="000000" w:themeColor="text1"/>
        </w:rPr>
        <w:tab/>
      </w:r>
      <w:r w:rsidRPr="00A52AB8">
        <w:rPr>
          <w:color w:val="000000" w:themeColor="text1"/>
        </w:rPr>
        <w:tab/>
      </w:r>
      <w:r w:rsidR="00A145F8" w:rsidRPr="00A52AB8">
        <w:rPr>
          <w:color w:val="000000" w:themeColor="text1"/>
        </w:rPr>
        <w:t>for(</w:t>
      </w:r>
      <w:r w:rsidR="00044CFF" w:rsidRPr="00A52AB8">
        <w:rPr>
          <w:color w:val="000000" w:themeColor="text1"/>
        </w:rPr>
        <w:t> </w:t>
      </w:r>
      <w:r w:rsidR="00A145F8" w:rsidRPr="00A52AB8">
        <w:rPr>
          <w:color w:val="000000" w:themeColor="text1"/>
        </w:rPr>
        <w:t>i</w:t>
      </w:r>
      <w:r w:rsidR="00D47707" w:rsidRPr="00A52AB8">
        <w:rPr>
          <w:color w:val="000000" w:themeColor="text1"/>
        </w:rPr>
        <w:t> = </w:t>
      </w:r>
      <w:r w:rsidR="00AA3F71" w:rsidRPr="00A52AB8">
        <w:rPr>
          <w:color w:val="000000" w:themeColor="text1"/>
        </w:rPr>
        <w:t>rangeOrdIdx</w:t>
      </w:r>
      <w:r w:rsidR="0006494C" w:rsidRPr="00A52AB8">
        <w:rPr>
          <w:color w:val="000000" w:themeColor="text1"/>
        </w:rPr>
        <w:t>[ </w:t>
      </w:r>
      <w:r w:rsidR="00D770D3" w:rsidRPr="00A52AB8">
        <w:rPr>
          <w:color w:val="000000" w:themeColor="text1"/>
        </w:rPr>
        <w:t>0 ]</w:t>
      </w:r>
      <w:r w:rsidR="00A145F8" w:rsidRPr="00A52AB8">
        <w:rPr>
          <w:color w:val="000000" w:themeColor="text1"/>
        </w:rPr>
        <w:t>;</w:t>
      </w:r>
      <w:r w:rsidR="00044CFF" w:rsidRPr="00A52AB8">
        <w:rPr>
          <w:color w:val="000000" w:themeColor="text1"/>
        </w:rPr>
        <w:t> </w:t>
      </w:r>
      <w:r w:rsidR="00A145F8" w:rsidRPr="00A52AB8">
        <w:rPr>
          <w:color w:val="000000" w:themeColor="text1"/>
        </w:rPr>
        <w:t>i</w:t>
      </w:r>
      <w:r w:rsidR="00044CFF" w:rsidRPr="00A52AB8">
        <w:rPr>
          <w:color w:val="000000" w:themeColor="text1"/>
        </w:rPr>
        <w:t> </w:t>
      </w:r>
      <w:r w:rsidR="00A145F8" w:rsidRPr="00A52AB8">
        <w:rPr>
          <w:color w:val="000000" w:themeColor="text1"/>
        </w:rPr>
        <w:t>&lt;</w:t>
      </w:r>
      <w:r w:rsidR="00044CFF" w:rsidRPr="00A52AB8">
        <w:rPr>
          <w:color w:val="000000" w:themeColor="text1"/>
        </w:rPr>
        <w:t> </w:t>
      </w:r>
      <w:r w:rsidR="00A145F8" w:rsidRPr="00A52AB8">
        <w:rPr>
          <w:color w:val="000000" w:themeColor="text1"/>
        </w:rPr>
        <w:t>g;</w:t>
      </w:r>
      <w:r w:rsidR="00044CFF" w:rsidRPr="00A52AB8">
        <w:rPr>
          <w:color w:val="000000" w:themeColor="text1"/>
        </w:rPr>
        <w:t> </w:t>
      </w:r>
      <w:r w:rsidR="00A145F8" w:rsidRPr="00A52AB8">
        <w:rPr>
          <w:color w:val="000000" w:themeColor="text1"/>
        </w:rPr>
        <w:t>i</w:t>
      </w:r>
      <w:r w:rsidR="00006CCF" w:rsidRPr="00A52AB8">
        <w:rPr>
          <w:color w:val="000000" w:themeColor="text1"/>
        </w:rPr>
        <w:t>++ )</w:t>
      </w:r>
      <w:r w:rsidR="00044CFF" w:rsidRPr="00A52AB8">
        <w:rPr>
          <w:color w:val="000000" w:themeColor="text1"/>
        </w:rPr>
        <w:br/>
      </w:r>
      <w:r w:rsidR="00A145F8" w:rsidRPr="00A52AB8">
        <w:rPr>
          <w:color w:val="000000" w:themeColor="text1"/>
        </w:rPr>
        <w:tab/>
      </w:r>
      <w:r w:rsidR="00A145F8" w:rsidRPr="00A52AB8">
        <w:rPr>
          <w:color w:val="000000" w:themeColor="text1"/>
        </w:rPr>
        <w:tab/>
      </w:r>
      <w:r w:rsidR="00A145F8" w:rsidRPr="00A52AB8">
        <w:rPr>
          <w:color w:val="000000" w:themeColor="text1"/>
        </w:rPr>
        <w:tab/>
      </w:r>
      <w:r w:rsidRPr="00A52AB8">
        <w:rPr>
          <w:color w:val="000000" w:themeColor="text1"/>
        </w:rPr>
        <w:tab/>
      </w:r>
      <w:r w:rsidR="00317011" w:rsidRPr="00A52AB8">
        <w:rPr>
          <w:color w:val="000000" w:themeColor="text1"/>
        </w:rPr>
        <w:t>framePresent</w:t>
      </w:r>
      <w:r w:rsidR="00D770D3" w:rsidRPr="00A52AB8">
        <w:rPr>
          <w:color w:val="000000" w:themeColor="text1"/>
        </w:rPr>
        <w:t>[ 0 ]</w:t>
      </w:r>
      <w:r w:rsidR="00A145F8" w:rsidRPr="00A52AB8">
        <w:rPr>
          <w:color w:val="000000" w:themeColor="text1"/>
        </w:rPr>
        <w:t>[ i ]</w:t>
      </w:r>
      <w:r w:rsidR="00D47707" w:rsidRPr="00A52AB8">
        <w:rPr>
          <w:color w:val="000000" w:themeColor="text1"/>
        </w:rPr>
        <w:t> = </w:t>
      </w:r>
      <w:r w:rsidR="00A145F8" w:rsidRPr="00A52AB8">
        <w:rPr>
          <w:color w:val="000000" w:themeColor="text1"/>
        </w:rPr>
        <w:t>0</w:t>
      </w:r>
      <w:r w:rsidR="00044CFF" w:rsidRPr="00A52AB8">
        <w:rPr>
          <w:color w:val="000000" w:themeColor="text1"/>
        </w:rPr>
        <w:br/>
      </w:r>
      <w:r w:rsidR="00A145F8" w:rsidRPr="00A52AB8">
        <w:rPr>
          <w:color w:val="000000" w:themeColor="text1"/>
        </w:rPr>
        <w:tab/>
      </w:r>
      <w:r w:rsidR="00A145F8" w:rsidRPr="00A52AB8">
        <w:rPr>
          <w:color w:val="000000" w:themeColor="text1"/>
        </w:rPr>
        <w:tab/>
      </w:r>
      <w:r w:rsidRPr="00A52AB8">
        <w:rPr>
          <w:color w:val="000000" w:themeColor="text1"/>
        </w:rPr>
        <w:tab/>
      </w:r>
      <w:r w:rsidR="00317011" w:rsidRPr="00A52AB8">
        <w:rPr>
          <w:color w:val="000000" w:themeColor="text1"/>
        </w:rPr>
        <w:t>framePresent</w:t>
      </w:r>
      <w:r w:rsidR="00D770D3" w:rsidRPr="00A52AB8">
        <w:rPr>
          <w:color w:val="000000" w:themeColor="text1"/>
        </w:rPr>
        <w:t>[ 0 ]</w:t>
      </w:r>
      <w:r w:rsidR="00A145F8" w:rsidRPr="00A52AB8">
        <w:rPr>
          <w:color w:val="000000" w:themeColor="text1"/>
        </w:rPr>
        <w:t>[ g ]</w:t>
      </w:r>
      <w:r w:rsidR="00D47707" w:rsidRPr="00A52AB8">
        <w:rPr>
          <w:color w:val="000000" w:themeColor="text1"/>
        </w:rPr>
        <w:t> = </w:t>
      </w:r>
      <w:r w:rsidR="00A145F8" w:rsidRPr="00A52AB8">
        <w:rPr>
          <w:color w:val="000000" w:themeColor="text1"/>
        </w:rPr>
        <w:t>1</w:t>
      </w:r>
      <w:r w:rsidR="00044CFF" w:rsidRPr="00A52AB8">
        <w:rPr>
          <w:color w:val="000000" w:themeColor="text1"/>
        </w:rPr>
        <w:br/>
      </w:r>
      <w:r w:rsidR="00A145F8" w:rsidRPr="00A52AB8">
        <w:rPr>
          <w:color w:val="000000" w:themeColor="text1"/>
        </w:rPr>
        <w:tab/>
      </w:r>
      <w:r w:rsidR="00A145F8" w:rsidRPr="00A52AB8">
        <w:rPr>
          <w:color w:val="000000" w:themeColor="text1"/>
        </w:rPr>
        <w:tab/>
      </w:r>
      <w:r w:rsidRPr="00A52AB8">
        <w:rPr>
          <w:color w:val="000000" w:themeColor="text1"/>
        </w:rPr>
        <w:tab/>
      </w:r>
      <w:r w:rsidR="00AA3F71" w:rsidRPr="00A52AB8">
        <w:rPr>
          <w:color w:val="000000" w:themeColor="text1"/>
        </w:rPr>
        <w:t>rangeOrdIdx</w:t>
      </w:r>
      <w:r w:rsidR="0006494C" w:rsidRPr="00A52AB8">
        <w:rPr>
          <w:color w:val="000000" w:themeColor="text1"/>
        </w:rPr>
        <w:t>[ </w:t>
      </w:r>
      <w:r w:rsidR="00D770D3" w:rsidRPr="00A52AB8">
        <w:rPr>
          <w:color w:val="000000" w:themeColor="text1"/>
        </w:rPr>
        <w:t>0 ]</w:t>
      </w:r>
      <w:r w:rsidR="00D47707" w:rsidRPr="00A52AB8">
        <w:rPr>
          <w:color w:val="000000" w:themeColor="text1"/>
        </w:rPr>
        <w:t> = </w:t>
      </w:r>
      <w:r w:rsidR="00A145F8" w:rsidRPr="00A52AB8">
        <w:rPr>
          <w:color w:val="000000" w:themeColor="text1"/>
        </w:rPr>
        <w:t>g</w:t>
      </w:r>
      <w:r w:rsidR="00044CFF" w:rsidRPr="00A52AB8">
        <w:rPr>
          <w:color w:val="000000" w:themeColor="text1"/>
        </w:rPr>
        <w:t> </w:t>
      </w:r>
      <w:r w:rsidR="00A145F8" w:rsidRPr="00A52AB8">
        <w:rPr>
          <w:color w:val="000000" w:themeColor="text1"/>
        </w:rPr>
        <w:t>+</w:t>
      </w:r>
      <w:r w:rsidR="00044CFF" w:rsidRPr="00A52AB8">
        <w:rPr>
          <w:color w:val="000000" w:themeColor="text1"/>
        </w:rPr>
        <w:t> </w:t>
      </w:r>
      <w:r w:rsidR="00A145F8" w:rsidRPr="00A52AB8">
        <w:rPr>
          <w:color w:val="000000" w:themeColor="text1"/>
        </w:rPr>
        <w:t>1</w:t>
      </w:r>
      <w:r w:rsidR="00044CFF" w:rsidRPr="00A52AB8">
        <w:rPr>
          <w:color w:val="000000" w:themeColor="text1"/>
        </w:rPr>
        <w:br/>
      </w:r>
      <w:r w:rsidR="00A145F8" w:rsidRPr="00A52AB8">
        <w:rPr>
          <w:color w:val="000000" w:themeColor="text1"/>
        </w:rPr>
        <w:tab/>
      </w:r>
      <w:r w:rsidR="00A145F8" w:rsidRPr="00A52AB8">
        <w:rPr>
          <w:color w:val="000000" w:themeColor="text1"/>
        </w:rPr>
        <w:tab/>
      </w:r>
      <w:r w:rsidRPr="00A52AB8">
        <w:rPr>
          <w:color w:val="000000" w:themeColor="text1"/>
        </w:rPr>
        <w:tab/>
      </w:r>
      <w:r w:rsidR="00A145F8" w:rsidRPr="00A52AB8">
        <w:rPr>
          <w:color w:val="000000" w:themeColor="text1"/>
        </w:rPr>
        <w:t>outputCompTime</w:t>
      </w:r>
      <w:r w:rsidR="00D770D3" w:rsidRPr="00A52AB8">
        <w:rPr>
          <w:color w:val="000000" w:themeColor="text1"/>
        </w:rPr>
        <w:t>[ 0 ]</w:t>
      </w:r>
      <w:r w:rsidR="00A145F8" w:rsidRPr="00A52AB8">
        <w:rPr>
          <w:color w:val="000000" w:themeColor="text1"/>
        </w:rPr>
        <w:t>[ g ]</w:t>
      </w:r>
      <w:r w:rsidR="00D47707" w:rsidRPr="00A52AB8">
        <w:rPr>
          <w:color w:val="000000" w:themeColor="text1"/>
        </w:rPr>
        <w:t> = </w:t>
      </w:r>
      <w:r w:rsidR="00A145F8" w:rsidRPr="00A52AB8">
        <w:rPr>
          <w:color w:val="000000" w:themeColor="text1"/>
        </w:rPr>
        <w:t>inputCompTime</w:t>
      </w:r>
      <w:r w:rsidR="00D770D3" w:rsidRPr="00A52AB8">
        <w:rPr>
          <w:color w:val="000000" w:themeColor="text1"/>
        </w:rPr>
        <w:t>[ 0 ]</w:t>
      </w:r>
      <w:r w:rsidR="00A145F8" w:rsidRPr="00A52AB8">
        <w:rPr>
          <w:color w:val="000000" w:themeColor="text1"/>
        </w:rPr>
        <w:t>[ f ]</w:t>
      </w:r>
      <w:r w:rsidR="00044CFF" w:rsidRPr="00A52AB8">
        <w:rPr>
          <w:color w:val="000000" w:themeColor="text1"/>
        </w:rPr>
        <w:br/>
      </w:r>
      <w:r w:rsidR="00044CFF" w:rsidRPr="00A52AB8">
        <w:rPr>
          <w:color w:val="000000" w:themeColor="text1"/>
        </w:rPr>
        <w:tab/>
      </w:r>
      <w:r w:rsidR="00044CFF" w:rsidRPr="00A52AB8">
        <w:rPr>
          <w:color w:val="000000" w:themeColor="text1"/>
        </w:rPr>
        <w:tab/>
      </w:r>
      <w:r w:rsidRPr="00A52AB8">
        <w:rPr>
          <w:color w:val="000000" w:themeColor="text1"/>
        </w:rPr>
        <w:tab/>
      </w:r>
      <w:r w:rsidR="00044CFF" w:rsidRPr="00A52AB8">
        <w:rPr>
          <w:color w:val="000000" w:themeColor="text1"/>
        </w:rPr>
        <w:t>f</w:t>
      </w:r>
      <w:r w:rsidR="00A145F8" w:rsidRPr="00A52AB8">
        <w:rPr>
          <w:color w:val="000000" w:themeColor="text1"/>
        </w:rPr>
        <w:t>or(</w:t>
      </w:r>
      <w:bookmarkStart w:id="4858" w:name="_Hlk39737399"/>
      <w:r w:rsidR="00A145F8" w:rsidRPr="00A52AB8">
        <w:rPr>
          <w:color w:val="000000" w:themeColor="text1"/>
        </w:rPr>
        <w:t> </w:t>
      </w:r>
      <w:bookmarkEnd w:id="4858"/>
      <w:r w:rsidR="00A145F8" w:rsidRPr="00A52AB8">
        <w:rPr>
          <w:color w:val="000000" w:themeColor="text1"/>
        </w:rPr>
        <w:t>c</w:t>
      </w:r>
      <w:r w:rsidR="00D47707" w:rsidRPr="00A52AB8">
        <w:rPr>
          <w:color w:val="000000" w:themeColor="text1"/>
        </w:rPr>
        <w:t> = </w:t>
      </w:r>
      <w:r w:rsidR="00A145F8" w:rsidRPr="00A52AB8">
        <w:rPr>
          <w:color w:val="000000" w:themeColor="text1"/>
        </w:rPr>
        <w:t>0; c &lt; </w:t>
      </w:r>
      <w:r w:rsidR="0023644B" w:rsidRPr="00A52AB8">
        <w:rPr>
          <w:color w:val="000000" w:themeColor="text1"/>
        </w:rPr>
        <w:t>iN</w:t>
      </w:r>
      <w:r w:rsidR="00A145F8" w:rsidRPr="00A52AB8">
        <w:rPr>
          <w:color w:val="000000" w:themeColor="text1"/>
        </w:rPr>
        <w:t>umComp; c</w:t>
      </w:r>
      <w:r w:rsidR="00006CCF" w:rsidRPr="00A52AB8">
        <w:rPr>
          <w:color w:val="000000" w:themeColor="text1"/>
        </w:rPr>
        <w:t>++ )</w:t>
      </w:r>
      <w:r w:rsidR="00044CFF" w:rsidRPr="00A52AB8">
        <w:rPr>
          <w:color w:val="000000" w:themeColor="text1"/>
        </w:rPr>
        <w:br/>
      </w:r>
      <w:r w:rsidR="00044CFF" w:rsidRPr="00A52AB8">
        <w:rPr>
          <w:color w:val="000000" w:themeColor="text1"/>
        </w:rPr>
        <w:tab/>
      </w:r>
      <w:r w:rsidR="00044CFF" w:rsidRPr="00A52AB8">
        <w:rPr>
          <w:color w:val="000000" w:themeColor="text1"/>
        </w:rPr>
        <w:tab/>
      </w:r>
      <w:r w:rsidR="00A145F8" w:rsidRPr="00A52AB8">
        <w:rPr>
          <w:color w:val="000000" w:themeColor="text1"/>
        </w:rPr>
        <w:tab/>
      </w:r>
      <w:r w:rsidRPr="00A52AB8">
        <w:rPr>
          <w:color w:val="000000" w:themeColor="text1"/>
        </w:rPr>
        <w:tab/>
      </w:r>
      <w:r w:rsidR="00A145F8" w:rsidRPr="00A52AB8">
        <w:rPr>
          <w:color w:val="000000" w:themeColor="text1"/>
        </w:rPr>
        <w:t>for( y</w:t>
      </w:r>
      <w:r w:rsidR="00D47707" w:rsidRPr="00A52AB8">
        <w:rPr>
          <w:color w:val="000000" w:themeColor="text1"/>
        </w:rPr>
        <w:t> = </w:t>
      </w:r>
      <w:r w:rsidR="00A145F8" w:rsidRPr="00A52AB8">
        <w:rPr>
          <w:color w:val="000000" w:themeColor="text1"/>
        </w:rPr>
        <w:t>0; y &lt; iHeight; y</w:t>
      </w:r>
      <w:r w:rsidR="00006CCF" w:rsidRPr="00A52AB8">
        <w:rPr>
          <w:color w:val="000000" w:themeColor="text1"/>
        </w:rPr>
        <w:t>++ )</w:t>
      </w:r>
      <w:r w:rsidR="00044CFF" w:rsidRPr="00A52AB8">
        <w:rPr>
          <w:color w:val="000000" w:themeColor="text1"/>
        </w:rPr>
        <w:br/>
      </w:r>
      <w:r w:rsidR="00044CFF" w:rsidRPr="00A52AB8">
        <w:rPr>
          <w:color w:val="000000" w:themeColor="text1"/>
        </w:rPr>
        <w:tab/>
      </w:r>
      <w:r w:rsidR="00A145F8" w:rsidRPr="00A52AB8">
        <w:rPr>
          <w:color w:val="000000" w:themeColor="text1"/>
        </w:rPr>
        <w:tab/>
      </w:r>
      <w:r w:rsidR="00A145F8" w:rsidRPr="00A52AB8">
        <w:rPr>
          <w:color w:val="000000" w:themeColor="text1"/>
        </w:rPr>
        <w:tab/>
      </w:r>
      <w:r w:rsidR="00044CFF" w:rsidRPr="00A52AB8">
        <w:rPr>
          <w:color w:val="000000" w:themeColor="text1"/>
        </w:rPr>
        <w:tab/>
      </w:r>
      <w:r w:rsidRPr="00A52AB8">
        <w:rPr>
          <w:color w:val="000000" w:themeColor="text1"/>
        </w:rPr>
        <w:tab/>
      </w:r>
      <w:r w:rsidR="00A145F8" w:rsidRPr="00A52AB8">
        <w:rPr>
          <w:color w:val="000000" w:themeColor="text1"/>
        </w:rPr>
        <w:t>for( x</w:t>
      </w:r>
      <w:r w:rsidR="00D47707" w:rsidRPr="00A52AB8">
        <w:rPr>
          <w:color w:val="000000" w:themeColor="text1"/>
        </w:rPr>
        <w:t> = </w:t>
      </w:r>
      <w:r w:rsidR="00A145F8" w:rsidRPr="00A52AB8">
        <w:rPr>
          <w:color w:val="000000" w:themeColor="text1"/>
        </w:rPr>
        <w:t>0; x &lt; iWidth; x</w:t>
      </w:r>
      <w:r w:rsidR="00006CCF" w:rsidRPr="00A52AB8">
        <w:rPr>
          <w:color w:val="000000" w:themeColor="text1"/>
        </w:rPr>
        <w:t>++ )</w:t>
      </w:r>
      <w:r w:rsidR="00044CFF" w:rsidRPr="00A52AB8">
        <w:rPr>
          <w:color w:val="000000" w:themeColor="text1"/>
        </w:rPr>
        <w:br/>
      </w:r>
      <w:r w:rsidR="00A145F8" w:rsidRPr="00A52AB8">
        <w:rPr>
          <w:color w:val="000000" w:themeColor="text1"/>
        </w:rPr>
        <w:tab/>
      </w:r>
      <w:r w:rsidR="00044CFF" w:rsidRPr="00A52AB8">
        <w:rPr>
          <w:color w:val="000000" w:themeColor="text1"/>
        </w:rPr>
        <w:tab/>
      </w:r>
      <w:r w:rsidR="00A145F8" w:rsidRPr="00A52AB8">
        <w:rPr>
          <w:color w:val="000000" w:themeColor="text1"/>
        </w:rPr>
        <w:tab/>
      </w:r>
      <w:r w:rsidR="00A145F8" w:rsidRPr="00A52AB8">
        <w:rPr>
          <w:color w:val="000000" w:themeColor="text1"/>
        </w:rPr>
        <w:tab/>
      </w:r>
      <w:r w:rsidRPr="00A52AB8">
        <w:rPr>
          <w:color w:val="000000" w:themeColor="text1"/>
        </w:rPr>
        <w:tab/>
      </w:r>
      <w:r w:rsidR="00044CFF" w:rsidRPr="00A52AB8">
        <w:rPr>
          <w:color w:val="000000" w:themeColor="text1"/>
        </w:rPr>
        <w:tab/>
      </w:r>
      <w:r w:rsidR="00A145F8" w:rsidRPr="00A52AB8">
        <w:rPr>
          <w:color w:val="000000" w:themeColor="text1"/>
        </w:rPr>
        <w:t>outputSamples[</w:t>
      </w:r>
      <w:r w:rsidR="00044CFF" w:rsidRPr="00A52AB8">
        <w:rPr>
          <w:color w:val="000000" w:themeColor="text1"/>
        </w:rPr>
        <w:t> </w:t>
      </w:r>
      <w:r w:rsidR="00A145F8" w:rsidRPr="00A52AB8">
        <w:rPr>
          <w:color w:val="000000" w:themeColor="text1"/>
        </w:rPr>
        <w:t>0</w:t>
      </w:r>
      <w:r w:rsidR="00044CFF" w:rsidRPr="00A52AB8">
        <w:rPr>
          <w:color w:val="000000" w:themeColor="text1"/>
        </w:rPr>
        <w:t> </w:t>
      </w:r>
      <w:r w:rsidR="00A145F8" w:rsidRPr="00A52AB8">
        <w:rPr>
          <w:color w:val="000000" w:themeColor="text1"/>
        </w:rPr>
        <w:t>][ g ][ c ]</w:t>
      </w:r>
      <w:r w:rsidR="004B7314" w:rsidRPr="00A52AB8">
        <w:rPr>
          <w:color w:val="000000" w:themeColor="text1"/>
        </w:rPr>
        <w:t>[ y ][ x ]</w:t>
      </w:r>
      <w:r w:rsidR="00D47707" w:rsidRPr="00A52AB8">
        <w:rPr>
          <w:color w:val="000000" w:themeColor="text1"/>
        </w:rPr>
        <w:t> = </w:t>
      </w:r>
      <w:r w:rsidR="00A145F8" w:rsidRPr="00A52AB8">
        <w:rPr>
          <w:color w:val="000000" w:themeColor="text1"/>
        </w:rPr>
        <w:t>inputSamples[</w:t>
      </w:r>
      <w:r w:rsidR="00044CFF" w:rsidRPr="00A52AB8">
        <w:rPr>
          <w:color w:val="000000" w:themeColor="text1"/>
        </w:rPr>
        <w:t> </w:t>
      </w:r>
      <w:r w:rsidR="00A145F8" w:rsidRPr="00A52AB8">
        <w:rPr>
          <w:color w:val="000000" w:themeColor="text1"/>
        </w:rPr>
        <w:t>0</w:t>
      </w:r>
      <w:r w:rsidR="00044CFF" w:rsidRPr="00A52AB8">
        <w:rPr>
          <w:color w:val="000000" w:themeColor="text1"/>
        </w:rPr>
        <w:t> </w:t>
      </w:r>
      <w:r w:rsidR="00A145F8" w:rsidRPr="00A52AB8">
        <w:rPr>
          <w:color w:val="000000" w:themeColor="text1"/>
        </w:rPr>
        <w:t>][ f ][ c ]</w:t>
      </w:r>
      <w:r w:rsidR="004B7314" w:rsidRPr="00A52AB8">
        <w:rPr>
          <w:color w:val="000000" w:themeColor="text1"/>
        </w:rPr>
        <w:t>[ y ][ x ]</w:t>
      </w:r>
      <w:r w:rsidR="00827561" w:rsidRPr="00A52AB8">
        <w:rPr>
          <w:color w:val="000000" w:themeColor="text1"/>
        </w:rPr>
        <w:br/>
      </w:r>
      <w:r w:rsidR="00827561" w:rsidRPr="00A52AB8">
        <w:rPr>
          <w:color w:val="000000" w:themeColor="text1"/>
        </w:rPr>
        <w:tab/>
      </w:r>
      <w:r w:rsidR="00827561" w:rsidRPr="00A52AB8">
        <w:rPr>
          <w:color w:val="000000" w:themeColor="text1"/>
        </w:rPr>
        <w:tab/>
        <w:t>}</w:t>
      </w:r>
      <w:r w:rsidR="00044CFF" w:rsidRPr="00A52AB8">
        <w:rPr>
          <w:color w:val="000000" w:themeColor="text1"/>
        </w:rPr>
        <w:br/>
      </w:r>
      <w:r w:rsidR="00044CFF" w:rsidRPr="00A52AB8">
        <w:rPr>
          <w:color w:val="000000" w:themeColor="text1"/>
        </w:rPr>
        <w:tab/>
      </w:r>
      <w:r w:rsidR="0023721F" w:rsidRPr="00A52AB8">
        <w:rPr>
          <w:color w:val="000000" w:themeColor="text1"/>
        </w:rPr>
        <w:t>} else {</w:t>
      </w:r>
      <w:r w:rsidR="00044CFF" w:rsidRPr="00A52AB8">
        <w:rPr>
          <w:color w:val="000000" w:themeColor="text1"/>
        </w:rPr>
        <w:br/>
      </w:r>
      <w:r w:rsidR="00A145F8" w:rsidRPr="00A52AB8">
        <w:rPr>
          <w:color w:val="000000" w:themeColor="text1"/>
        </w:rPr>
        <w:tab/>
      </w:r>
      <w:r w:rsidR="00A145F8" w:rsidRPr="00A52AB8">
        <w:rPr>
          <w:color w:val="000000" w:themeColor="text1"/>
        </w:rPr>
        <w:tab/>
        <w:t>if( </w:t>
      </w:r>
      <w:r w:rsidR="00812FF7" w:rsidRPr="00A52AB8">
        <w:rPr>
          <w:color w:val="000000" w:themeColor="text1"/>
        </w:rPr>
        <w:t>multipleMapStreamsPresent</w:t>
      </w:r>
      <w:r w:rsidR="00F404FE" w:rsidRPr="00A52AB8">
        <w:rPr>
          <w:color w:val="000000" w:themeColor="text1"/>
        </w:rPr>
        <w:t>Flag</w:t>
      </w:r>
      <w:r w:rsidR="008768E9" w:rsidRPr="00A52AB8">
        <w:rPr>
          <w:color w:val="000000" w:themeColor="text1"/>
        </w:rPr>
        <w:t> </w:t>
      </w:r>
      <w:r w:rsidR="00726AAE" w:rsidRPr="00A52AB8">
        <w:rPr>
          <w:color w:val="000000" w:themeColor="text1"/>
        </w:rPr>
        <w:t>==</w:t>
      </w:r>
      <w:r w:rsidR="00D47707" w:rsidRPr="00A52AB8">
        <w:rPr>
          <w:color w:val="000000" w:themeColor="text1"/>
        </w:rPr>
        <w:t> </w:t>
      </w:r>
      <w:r w:rsidR="00A145F8" w:rsidRPr="00A52AB8">
        <w:rPr>
          <w:color w:val="000000" w:themeColor="text1"/>
        </w:rPr>
        <w:t>0 </w:t>
      </w:r>
      <w:r w:rsidR="008F1F82" w:rsidRPr="00A52AB8">
        <w:rPr>
          <w:color w:val="000000" w:themeColor="text1"/>
        </w:rPr>
        <w:t>) {</w:t>
      </w:r>
      <w:r w:rsidR="00044CFF" w:rsidRPr="00A52AB8">
        <w:rPr>
          <w:color w:val="000000" w:themeColor="text1"/>
        </w:rPr>
        <w:br/>
      </w:r>
      <w:r w:rsidR="00827561" w:rsidRPr="00A52AB8">
        <w:rPr>
          <w:color w:val="000000" w:themeColor="text1"/>
        </w:rPr>
        <w:tab/>
      </w:r>
      <w:r w:rsidR="00827561" w:rsidRPr="00A52AB8">
        <w:rPr>
          <w:color w:val="000000" w:themeColor="text1"/>
        </w:rPr>
        <w:tab/>
      </w:r>
      <w:r w:rsidR="00827561" w:rsidRPr="00A52AB8">
        <w:rPr>
          <w:color w:val="000000" w:themeColor="text1"/>
        </w:rPr>
        <w:tab/>
        <w:t>for( f</w:t>
      </w:r>
      <w:r w:rsidR="00D47707" w:rsidRPr="00A52AB8">
        <w:rPr>
          <w:color w:val="000000" w:themeColor="text1"/>
        </w:rPr>
        <w:t> = </w:t>
      </w:r>
      <w:r w:rsidR="00827561" w:rsidRPr="00A52AB8">
        <w:rPr>
          <w:color w:val="000000" w:themeColor="text1"/>
        </w:rPr>
        <w:t>0; f &lt; numFrames[ 0 ]; f++ </w:t>
      </w:r>
      <w:r w:rsidR="00900B12" w:rsidRPr="00A52AB8">
        <w:rPr>
          <w:color w:val="000000" w:themeColor="text1"/>
        </w:rPr>
        <w:t>) {</w:t>
      </w:r>
      <w:r w:rsidR="00827561" w:rsidRPr="00A52AB8">
        <w:rPr>
          <w:color w:val="000000" w:themeColor="text1"/>
        </w:rPr>
        <w:br/>
      </w:r>
      <w:r w:rsidR="00A145F8" w:rsidRPr="00A52AB8">
        <w:rPr>
          <w:color w:val="000000" w:themeColor="text1"/>
        </w:rPr>
        <w:tab/>
      </w:r>
      <w:r w:rsidR="00A145F8" w:rsidRPr="00A52AB8">
        <w:rPr>
          <w:color w:val="000000" w:themeColor="text1"/>
        </w:rPr>
        <w:tab/>
      </w:r>
      <w:r w:rsidRPr="00A52AB8">
        <w:rPr>
          <w:color w:val="000000" w:themeColor="text1"/>
        </w:rPr>
        <w:tab/>
      </w:r>
      <w:r w:rsidR="00A145F8" w:rsidRPr="00A52AB8">
        <w:rPr>
          <w:color w:val="000000" w:themeColor="text1"/>
        </w:rPr>
        <w:tab/>
        <w:t>g</w:t>
      </w:r>
      <w:r w:rsidR="00D47707" w:rsidRPr="00A52AB8">
        <w:rPr>
          <w:color w:val="000000" w:themeColor="text1"/>
        </w:rPr>
        <w:t> = </w:t>
      </w:r>
      <w:r w:rsidR="00065A15" w:rsidRPr="00A52AB8">
        <w:rPr>
          <w:color w:val="000000" w:themeColor="text1"/>
        </w:rPr>
        <w:t>i</w:t>
      </w:r>
      <w:r w:rsidR="00F404FE" w:rsidRPr="00A52AB8">
        <w:rPr>
          <w:color w:val="000000" w:themeColor="text1"/>
        </w:rPr>
        <w:t>Output</w:t>
      </w:r>
      <w:r w:rsidR="00065A15" w:rsidRPr="00A52AB8">
        <w:rPr>
          <w:color w:val="000000" w:themeColor="text1"/>
        </w:rPr>
        <w:t>OrderIdx</w:t>
      </w:r>
      <w:r w:rsidR="00D770D3" w:rsidRPr="00A52AB8">
        <w:rPr>
          <w:color w:val="000000" w:themeColor="text1"/>
        </w:rPr>
        <w:t>[ 0 ]</w:t>
      </w:r>
      <w:r w:rsidR="00A145F8" w:rsidRPr="00A52AB8">
        <w:rPr>
          <w:color w:val="000000" w:themeColor="text1"/>
        </w:rPr>
        <w:t>[ f</w:t>
      </w:r>
      <w:r w:rsidR="00044CFF" w:rsidRPr="00A52AB8">
        <w:rPr>
          <w:color w:val="000000" w:themeColor="text1"/>
        </w:rPr>
        <w:t> </w:t>
      </w:r>
      <w:r w:rsidR="00A145F8" w:rsidRPr="00A52AB8">
        <w:rPr>
          <w:color w:val="000000" w:themeColor="text1"/>
        </w:rPr>
        <w:t>]</w:t>
      </w:r>
      <w:r w:rsidR="00044CFF" w:rsidRPr="00A52AB8">
        <w:rPr>
          <w:color w:val="000000" w:themeColor="text1"/>
        </w:rPr>
        <w:t> </w:t>
      </w:r>
      <w:r w:rsidR="00A145F8" w:rsidRPr="00A52AB8">
        <w:rPr>
          <w:color w:val="000000" w:themeColor="text1"/>
        </w:rPr>
        <w:t>/</w:t>
      </w:r>
      <w:r w:rsidR="00044CFF" w:rsidRPr="00A52AB8">
        <w:rPr>
          <w:color w:val="000000" w:themeColor="text1"/>
        </w:rPr>
        <w:t> </w:t>
      </w:r>
      <w:r w:rsidR="00A145F8" w:rsidRPr="00A52AB8">
        <w:rPr>
          <w:color w:val="000000" w:themeColor="text1"/>
        </w:rPr>
        <w:t>(</w:t>
      </w:r>
      <w:r w:rsidR="00044CFF" w:rsidRPr="00A52AB8">
        <w:rPr>
          <w:color w:val="000000" w:themeColor="text1"/>
        </w:rPr>
        <w:t> </w:t>
      </w:r>
      <w:r w:rsidR="00A145F8" w:rsidRPr="00A52AB8">
        <w:rPr>
          <w:color w:val="000000" w:themeColor="text1"/>
        </w:rPr>
        <w:t>vps_map_count_minus1[ </w:t>
      </w:r>
      <w:r w:rsidR="008C595D" w:rsidRPr="00A52AB8">
        <w:rPr>
          <w:color w:val="000000" w:themeColor="text1"/>
        </w:rPr>
        <w:t>ConvAtlasID</w:t>
      </w:r>
      <w:r w:rsidR="00A145F8" w:rsidRPr="00A52AB8">
        <w:rPr>
          <w:color w:val="000000" w:themeColor="text1"/>
        </w:rPr>
        <w:t> ]</w:t>
      </w:r>
      <w:r w:rsidR="00044CFF" w:rsidRPr="00A52AB8">
        <w:rPr>
          <w:color w:val="000000" w:themeColor="text1"/>
        </w:rPr>
        <w:t> </w:t>
      </w:r>
      <w:r w:rsidR="00A145F8" w:rsidRPr="00A52AB8">
        <w:rPr>
          <w:color w:val="000000" w:themeColor="text1"/>
        </w:rPr>
        <w:t>+</w:t>
      </w:r>
      <w:r w:rsidR="00044CFF" w:rsidRPr="00A52AB8">
        <w:rPr>
          <w:color w:val="000000" w:themeColor="text1"/>
        </w:rPr>
        <w:t> </w:t>
      </w:r>
      <w:r w:rsidR="00A145F8" w:rsidRPr="00A52AB8">
        <w:rPr>
          <w:color w:val="000000" w:themeColor="text1"/>
        </w:rPr>
        <w:t>1</w:t>
      </w:r>
      <w:r w:rsidR="00044CFF" w:rsidRPr="00A52AB8">
        <w:rPr>
          <w:color w:val="000000" w:themeColor="text1"/>
        </w:rPr>
        <w:t> </w:t>
      </w:r>
      <w:r w:rsidR="00A145F8" w:rsidRPr="00A52AB8">
        <w:rPr>
          <w:color w:val="000000" w:themeColor="text1"/>
        </w:rPr>
        <w:t>)</w:t>
      </w:r>
      <w:r w:rsidR="00044CFF" w:rsidRPr="00A52AB8">
        <w:rPr>
          <w:color w:val="000000" w:themeColor="text1"/>
        </w:rPr>
        <w:br/>
      </w:r>
      <w:r w:rsidR="00A145F8" w:rsidRPr="00A52AB8">
        <w:rPr>
          <w:color w:val="000000" w:themeColor="text1"/>
        </w:rPr>
        <w:tab/>
      </w:r>
      <w:r w:rsidR="00A145F8" w:rsidRPr="00A52AB8">
        <w:rPr>
          <w:color w:val="000000" w:themeColor="text1"/>
        </w:rPr>
        <w:tab/>
      </w:r>
      <w:r w:rsidRPr="00A52AB8">
        <w:rPr>
          <w:color w:val="000000" w:themeColor="text1"/>
        </w:rPr>
        <w:tab/>
      </w:r>
      <w:r w:rsidR="00A145F8" w:rsidRPr="00A52AB8">
        <w:rPr>
          <w:color w:val="000000" w:themeColor="text1"/>
        </w:rPr>
        <w:tab/>
        <w:t>m</w:t>
      </w:r>
      <w:r w:rsidR="00D47707" w:rsidRPr="00A52AB8">
        <w:rPr>
          <w:color w:val="000000" w:themeColor="text1"/>
        </w:rPr>
        <w:t> = </w:t>
      </w:r>
      <w:r w:rsidR="00065A15" w:rsidRPr="00A52AB8">
        <w:rPr>
          <w:color w:val="000000" w:themeColor="text1"/>
        </w:rPr>
        <w:t>i</w:t>
      </w:r>
      <w:r w:rsidR="00F404FE" w:rsidRPr="00A52AB8">
        <w:rPr>
          <w:color w:val="000000" w:themeColor="text1"/>
        </w:rPr>
        <w:t>Output</w:t>
      </w:r>
      <w:r w:rsidR="00065A15" w:rsidRPr="00A52AB8">
        <w:rPr>
          <w:color w:val="000000" w:themeColor="text1"/>
        </w:rPr>
        <w:t>OrderIdx</w:t>
      </w:r>
      <w:r w:rsidR="00D770D3" w:rsidRPr="00A52AB8">
        <w:rPr>
          <w:color w:val="000000" w:themeColor="text1"/>
        </w:rPr>
        <w:t>[ 0 ]</w:t>
      </w:r>
      <w:r w:rsidR="00A145F8" w:rsidRPr="00A52AB8">
        <w:rPr>
          <w:color w:val="000000" w:themeColor="text1"/>
        </w:rPr>
        <w:t>[ f</w:t>
      </w:r>
      <w:r w:rsidR="00044CFF" w:rsidRPr="00A52AB8">
        <w:rPr>
          <w:color w:val="000000" w:themeColor="text1"/>
        </w:rPr>
        <w:t> </w:t>
      </w:r>
      <w:r w:rsidR="00A145F8" w:rsidRPr="00A52AB8">
        <w:rPr>
          <w:color w:val="000000" w:themeColor="text1"/>
        </w:rPr>
        <w:t>]</w:t>
      </w:r>
      <w:r w:rsidR="00044CFF" w:rsidRPr="00A52AB8">
        <w:rPr>
          <w:color w:val="000000" w:themeColor="text1"/>
        </w:rPr>
        <w:t> </w:t>
      </w:r>
      <w:r w:rsidR="00A145F8" w:rsidRPr="00A52AB8">
        <w:rPr>
          <w:color w:val="000000" w:themeColor="text1"/>
        </w:rPr>
        <w:t>%</w:t>
      </w:r>
      <w:r w:rsidR="00044CFF" w:rsidRPr="00A52AB8">
        <w:rPr>
          <w:color w:val="000000" w:themeColor="text1"/>
        </w:rPr>
        <w:t> </w:t>
      </w:r>
      <w:r w:rsidR="00A145F8" w:rsidRPr="00A52AB8">
        <w:rPr>
          <w:color w:val="000000" w:themeColor="text1"/>
        </w:rPr>
        <w:t>(</w:t>
      </w:r>
      <w:r w:rsidR="00044CFF" w:rsidRPr="00A52AB8">
        <w:rPr>
          <w:color w:val="000000" w:themeColor="text1"/>
        </w:rPr>
        <w:t> </w:t>
      </w:r>
      <w:r w:rsidR="00A145F8" w:rsidRPr="00A52AB8">
        <w:rPr>
          <w:color w:val="000000" w:themeColor="text1"/>
        </w:rPr>
        <w:t>vps_map_count_minus1[ </w:t>
      </w:r>
      <w:r w:rsidR="008C595D" w:rsidRPr="00A52AB8">
        <w:rPr>
          <w:color w:val="000000" w:themeColor="text1"/>
        </w:rPr>
        <w:t>ConvAtlasID</w:t>
      </w:r>
      <w:r w:rsidR="00A145F8" w:rsidRPr="00A52AB8">
        <w:rPr>
          <w:color w:val="000000" w:themeColor="text1"/>
        </w:rPr>
        <w:t> ]</w:t>
      </w:r>
      <w:r w:rsidR="00044CFF" w:rsidRPr="00A52AB8">
        <w:rPr>
          <w:color w:val="000000" w:themeColor="text1"/>
        </w:rPr>
        <w:t> </w:t>
      </w:r>
      <w:r w:rsidR="00A145F8" w:rsidRPr="00A52AB8">
        <w:rPr>
          <w:color w:val="000000" w:themeColor="text1"/>
        </w:rPr>
        <w:t>+</w:t>
      </w:r>
      <w:r w:rsidR="00044CFF" w:rsidRPr="00A52AB8">
        <w:rPr>
          <w:color w:val="000000" w:themeColor="text1"/>
        </w:rPr>
        <w:t> </w:t>
      </w:r>
      <w:r w:rsidR="00A145F8" w:rsidRPr="00A52AB8">
        <w:rPr>
          <w:color w:val="000000" w:themeColor="text1"/>
        </w:rPr>
        <w:t>1</w:t>
      </w:r>
      <w:r w:rsidR="00044CFF" w:rsidRPr="00A52AB8">
        <w:rPr>
          <w:color w:val="000000" w:themeColor="text1"/>
        </w:rPr>
        <w:t> </w:t>
      </w:r>
      <w:r w:rsidR="00A145F8" w:rsidRPr="00A52AB8">
        <w:rPr>
          <w:color w:val="000000" w:themeColor="text1"/>
        </w:rPr>
        <w:t>)</w:t>
      </w:r>
      <w:r w:rsidR="00044CFF" w:rsidRPr="00A52AB8">
        <w:rPr>
          <w:color w:val="000000" w:themeColor="text1"/>
        </w:rPr>
        <w:br/>
      </w:r>
      <w:r w:rsidR="00A145F8" w:rsidRPr="00A52AB8">
        <w:rPr>
          <w:color w:val="000000" w:themeColor="text1"/>
        </w:rPr>
        <w:tab/>
      </w:r>
      <w:r w:rsidR="00A145F8" w:rsidRPr="00A52AB8">
        <w:rPr>
          <w:color w:val="000000" w:themeColor="text1"/>
        </w:rPr>
        <w:tab/>
      </w:r>
      <w:r w:rsidRPr="00A52AB8">
        <w:rPr>
          <w:color w:val="000000" w:themeColor="text1"/>
        </w:rPr>
        <w:tab/>
      </w:r>
      <w:r w:rsidR="00A145F8" w:rsidRPr="00A52AB8">
        <w:rPr>
          <w:color w:val="000000" w:themeColor="text1"/>
        </w:rPr>
        <w:tab/>
        <w:t>for(</w:t>
      </w:r>
      <w:r w:rsidR="00044CFF" w:rsidRPr="00A52AB8">
        <w:rPr>
          <w:color w:val="000000" w:themeColor="text1"/>
        </w:rPr>
        <w:t> </w:t>
      </w:r>
      <w:r w:rsidR="00A145F8" w:rsidRPr="00A52AB8">
        <w:rPr>
          <w:color w:val="000000" w:themeColor="text1"/>
        </w:rPr>
        <w:t>i</w:t>
      </w:r>
      <w:r w:rsidR="00D47707" w:rsidRPr="00A52AB8">
        <w:rPr>
          <w:color w:val="000000" w:themeColor="text1"/>
        </w:rPr>
        <w:t> = </w:t>
      </w:r>
      <w:r w:rsidR="00AA3F71" w:rsidRPr="00A52AB8">
        <w:rPr>
          <w:color w:val="000000" w:themeColor="text1"/>
        </w:rPr>
        <w:t>rangeOrdIdx</w:t>
      </w:r>
      <w:r w:rsidR="0006494C" w:rsidRPr="00A52AB8">
        <w:rPr>
          <w:color w:val="000000" w:themeColor="text1"/>
        </w:rPr>
        <w:t>[ </w:t>
      </w:r>
      <w:r w:rsidR="00A145F8" w:rsidRPr="00A52AB8">
        <w:rPr>
          <w:color w:val="000000" w:themeColor="text1"/>
        </w:rPr>
        <w:t>m ];</w:t>
      </w:r>
      <w:r w:rsidR="00044CFF" w:rsidRPr="00A52AB8">
        <w:rPr>
          <w:color w:val="000000" w:themeColor="text1"/>
        </w:rPr>
        <w:t> </w:t>
      </w:r>
      <w:r w:rsidR="00A145F8" w:rsidRPr="00A52AB8">
        <w:rPr>
          <w:color w:val="000000" w:themeColor="text1"/>
        </w:rPr>
        <w:t>i</w:t>
      </w:r>
      <w:r w:rsidR="00044CFF" w:rsidRPr="00A52AB8">
        <w:rPr>
          <w:color w:val="000000" w:themeColor="text1"/>
        </w:rPr>
        <w:t> </w:t>
      </w:r>
      <w:r w:rsidR="00A145F8" w:rsidRPr="00A52AB8">
        <w:rPr>
          <w:color w:val="000000" w:themeColor="text1"/>
        </w:rPr>
        <w:t>&lt;</w:t>
      </w:r>
      <w:r w:rsidR="00044CFF" w:rsidRPr="00A52AB8">
        <w:rPr>
          <w:color w:val="000000" w:themeColor="text1"/>
        </w:rPr>
        <w:t> </w:t>
      </w:r>
      <w:r w:rsidR="00A145F8" w:rsidRPr="00A52AB8">
        <w:rPr>
          <w:color w:val="000000" w:themeColor="text1"/>
        </w:rPr>
        <w:t>g;</w:t>
      </w:r>
      <w:r w:rsidR="00044CFF" w:rsidRPr="00A52AB8">
        <w:rPr>
          <w:color w:val="000000" w:themeColor="text1"/>
        </w:rPr>
        <w:t> </w:t>
      </w:r>
      <w:r w:rsidR="00A145F8" w:rsidRPr="00A52AB8">
        <w:rPr>
          <w:color w:val="000000" w:themeColor="text1"/>
        </w:rPr>
        <w:t>i</w:t>
      </w:r>
      <w:r w:rsidR="00006CCF" w:rsidRPr="00A52AB8">
        <w:rPr>
          <w:color w:val="000000" w:themeColor="text1"/>
        </w:rPr>
        <w:t>++ )</w:t>
      </w:r>
      <w:r w:rsidR="00044CFF" w:rsidRPr="00A52AB8">
        <w:rPr>
          <w:color w:val="000000" w:themeColor="text1"/>
        </w:rPr>
        <w:br/>
      </w:r>
      <w:r w:rsidR="00A145F8" w:rsidRPr="00A52AB8">
        <w:rPr>
          <w:color w:val="000000" w:themeColor="text1"/>
        </w:rPr>
        <w:tab/>
      </w:r>
      <w:r w:rsidR="00A145F8" w:rsidRPr="00A52AB8">
        <w:rPr>
          <w:color w:val="000000" w:themeColor="text1"/>
        </w:rPr>
        <w:tab/>
      </w:r>
      <w:r w:rsidRPr="00A52AB8">
        <w:rPr>
          <w:color w:val="000000" w:themeColor="text1"/>
        </w:rPr>
        <w:tab/>
      </w:r>
      <w:r w:rsidR="00A145F8" w:rsidRPr="00A52AB8">
        <w:rPr>
          <w:color w:val="000000" w:themeColor="text1"/>
        </w:rPr>
        <w:tab/>
      </w:r>
      <w:r w:rsidR="00A145F8" w:rsidRPr="00A52AB8">
        <w:rPr>
          <w:color w:val="000000" w:themeColor="text1"/>
        </w:rPr>
        <w:tab/>
      </w:r>
      <w:r w:rsidR="00317011" w:rsidRPr="00A52AB8">
        <w:rPr>
          <w:color w:val="000000" w:themeColor="text1"/>
        </w:rPr>
        <w:t>framePresent</w:t>
      </w:r>
      <w:r w:rsidR="00A145F8" w:rsidRPr="00A52AB8">
        <w:rPr>
          <w:color w:val="000000" w:themeColor="text1"/>
        </w:rPr>
        <w:t>[ m ][ i ]</w:t>
      </w:r>
      <w:r w:rsidR="00D47707" w:rsidRPr="00A52AB8">
        <w:rPr>
          <w:color w:val="000000" w:themeColor="text1"/>
        </w:rPr>
        <w:t> = </w:t>
      </w:r>
      <w:r w:rsidR="00A145F8" w:rsidRPr="00A52AB8">
        <w:rPr>
          <w:color w:val="000000" w:themeColor="text1"/>
        </w:rPr>
        <w:t>0</w:t>
      </w:r>
      <w:r w:rsidR="00044CFF" w:rsidRPr="00A52AB8">
        <w:rPr>
          <w:color w:val="000000" w:themeColor="text1"/>
        </w:rPr>
        <w:br/>
      </w:r>
      <w:r w:rsidR="00A145F8" w:rsidRPr="00A52AB8">
        <w:rPr>
          <w:color w:val="000000" w:themeColor="text1"/>
        </w:rPr>
        <w:tab/>
      </w:r>
      <w:r w:rsidR="00A145F8" w:rsidRPr="00A52AB8">
        <w:rPr>
          <w:color w:val="000000" w:themeColor="text1"/>
        </w:rPr>
        <w:tab/>
      </w:r>
      <w:r w:rsidRPr="00A52AB8">
        <w:rPr>
          <w:color w:val="000000" w:themeColor="text1"/>
        </w:rPr>
        <w:tab/>
      </w:r>
      <w:r w:rsidR="00A145F8" w:rsidRPr="00A52AB8">
        <w:rPr>
          <w:color w:val="000000" w:themeColor="text1"/>
        </w:rPr>
        <w:tab/>
      </w:r>
      <w:r w:rsidR="00317011" w:rsidRPr="00A52AB8">
        <w:rPr>
          <w:color w:val="000000" w:themeColor="text1"/>
        </w:rPr>
        <w:t>framePresent</w:t>
      </w:r>
      <w:r w:rsidR="00A145F8" w:rsidRPr="00A52AB8">
        <w:rPr>
          <w:color w:val="000000" w:themeColor="text1"/>
        </w:rPr>
        <w:t>[ m ][ g ]</w:t>
      </w:r>
      <w:r w:rsidR="00D47707" w:rsidRPr="00A52AB8">
        <w:rPr>
          <w:color w:val="000000" w:themeColor="text1"/>
        </w:rPr>
        <w:t> = </w:t>
      </w:r>
      <w:r w:rsidR="00A145F8" w:rsidRPr="00A52AB8">
        <w:rPr>
          <w:color w:val="000000" w:themeColor="text1"/>
        </w:rPr>
        <w:t>1</w:t>
      </w:r>
      <w:r w:rsidR="00044CFF" w:rsidRPr="00A52AB8">
        <w:rPr>
          <w:color w:val="000000" w:themeColor="text1"/>
        </w:rPr>
        <w:br/>
      </w:r>
      <w:r w:rsidR="00A145F8" w:rsidRPr="00A52AB8">
        <w:rPr>
          <w:color w:val="000000" w:themeColor="text1"/>
        </w:rPr>
        <w:tab/>
      </w:r>
      <w:r w:rsidR="00A145F8" w:rsidRPr="00A52AB8">
        <w:rPr>
          <w:color w:val="000000" w:themeColor="text1"/>
        </w:rPr>
        <w:tab/>
      </w:r>
      <w:r w:rsidRPr="00A52AB8">
        <w:rPr>
          <w:color w:val="000000" w:themeColor="text1"/>
        </w:rPr>
        <w:tab/>
      </w:r>
      <w:r w:rsidR="00A145F8" w:rsidRPr="00A52AB8">
        <w:rPr>
          <w:color w:val="000000" w:themeColor="text1"/>
        </w:rPr>
        <w:tab/>
      </w:r>
      <w:r w:rsidR="00AA3F71" w:rsidRPr="00A52AB8">
        <w:rPr>
          <w:color w:val="000000" w:themeColor="text1"/>
        </w:rPr>
        <w:t>rangeOrdIdx</w:t>
      </w:r>
      <w:r w:rsidR="0006494C" w:rsidRPr="00A52AB8">
        <w:rPr>
          <w:color w:val="000000" w:themeColor="text1"/>
        </w:rPr>
        <w:t>[ </w:t>
      </w:r>
      <w:r w:rsidR="00A145F8" w:rsidRPr="00A52AB8">
        <w:rPr>
          <w:color w:val="000000" w:themeColor="text1"/>
        </w:rPr>
        <w:t>m ]</w:t>
      </w:r>
      <w:r w:rsidR="00D47707" w:rsidRPr="00A52AB8">
        <w:rPr>
          <w:color w:val="000000" w:themeColor="text1"/>
        </w:rPr>
        <w:t> = </w:t>
      </w:r>
      <w:r w:rsidR="00A145F8" w:rsidRPr="00A52AB8">
        <w:rPr>
          <w:color w:val="000000" w:themeColor="text1"/>
        </w:rPr>
        <w:t>g</w:t>
      </w:r>
      <w:r w:rsidR="00044CFF" w:rsidRPr="00A52AB8">
        <w:rPr>
          <w:color w:val="000000" w:themeColor="text1"/>
        </w:rPr>
        <w:t> </w:t>
      </w:r>
      <w:r w:rsidR="00A145F8" w:rsidRPr="00A52AB8">
        <w:rPr>
          <w:color w:val="000000" w:themeColor="text1"/>
        </w:rPr>
        <w:t>+</w:t>
      </w:r>
      <w:r w:rsidR="00044CFF" w:rsidRPr="00A52AB8">
        <w:rPr>
          <w:color w:val="000000" w:themeColor="text1"/>
        </w:rPr>
        <w:t> </w:t>
      </w:r>
      <w:r w:rsidR="00A145F8" w:rsidRPr="00A52AB8">
        <w:rPr>
          <w:color w:val="000000" w:themeColor="text1"/>
        </w:rPr>
        <w:t>1</w:t>
      </w:r>
      <w:r w:rsidR="00044CFF" w:rsidRPr="00A52AB8">
        <w:rPr>
          <w:color w:val="000000" w:themeColor="text1"/>
        </w:rPr>
        <w:br/>
      </w:r>
      <w:r w:rsidR="00A145F8" w:rsidRPr="00A52AB8">
        <w:rPr>
          <w:color w:val="000000" w:themeColor="text1"/>
        </w:rPr>
        <w:tab/>
      </w:r>
      <w:r w:rsidR="00A145F8" w:rsidRPr="00A52AB8">
        <w:rPr>
          <w:color w:val="000000" w:themeColor="text1"/>
        </w:rPr>
        <w:tab/>
      </w:r>
      <w:r w:rsidRPr="00A52AB8">
        <w:rPr>
          <w:color w:val="000000" w:themeColor="text1"/>
        </w:rPr>
        <w:tab/>
      </w:r>
      <w:r w:rsidR="00A145F8" w:rsidRPr="00A52AB8">
        <w:rPr>
          <w:color w:val="000000" w:themeColor="text1"/>
        </w:rPr>
        <w:tab/>
        <w:t>outputCompTime[ m ][ g ]</w:t>
      </w:r>
      <w:r w:rsidR="00D47707" w:rsidRPr="00A52AB8">
        <w:rPr>
          <w:color w:val="000000" w:themeColor="text1"/>
        </w:rPr>
        <w:t> = </w:t>
      </w:r>
      <w:r w:rsidR="00A145F8" w:rsidRPr="00A52AB8">
        <w:rPr>
          <w:color w:val="000000" w:themeColor="text1"/>
        </w:rPr>
        <w:t>iCompTime[</w:t>
      </w:r>
      <w:r w:rsidR="00044CFF" w:rsidRPr="00A52AB8">
        <w:rPr>
          <w:color w:val="000000" w:themeColor="text1"/>
        </w:rPr>
        <w:t> </w:t>
      </w:r>
      <w:r w:rsidR="00A145F8" w:rsidRPr="00A52AB8">
        <w:rPr>
          <w:color w:val="000000" w:themeColor="text1"/>
        </w:rPr>
        <w:t>0</w:t>
      </w:r>
      <w:r w:rsidR="00044CFF" w:rsidRPr="00A52AB8">
        <w:rPr>
          <w:color w:val="000000" w:themeColor="text1"/>
        </w:rPr>
        <w:t> </w:t>
      </w:r>
      <w:r w:rsidR="00A145F8" w:rsidRPr="00A52AB8">
        <w:rPr>
          <w:color w:val="000000" w:themeColor="text1"/>
        </w:rPr>
        <w:t>][</w:t>
      </w:r>
      <w:r w:rsidR="00044CFF" w:rsidRPr="00A52AB8">
        <w:rPr>
          <w:color w:val="000000" w:themeColor="text1"/>
        </w:rPr>
        <w:t> </w:t>
      </w:r>
      <w:r w:rsidR="00A145F8" w:rsidRPr="00A52AB8">
        <w:rPr>
          <w:color w:val="000000" w:themeColor="text1"/>
        </w:rPr>
        <w:t>f</w:t>
      </w:r>
      <w:r w:rsidR="00044CFF" w:rsidRPr="00A52AB8">
        <w:rPr>
          <w:color w:val="000000" w:themeColor="text1"/>
        </w:rPr>
        <w:t> </w:t>
      </w:r>
      <w:r w:rsidR="00A145F8" w:rsidRPr="00A52AB8">
        <w:rPr>
          <w:color w:val="000000" w:themeColor="text1"/>
        </w:rPr>
        <w:t>]</w:t>
      </w:r>
      <w:r w:rsidR="00044CFF" w:rsidRPr="00A52AB8">
        <w:rPr>
          <w:color w:val="000000" w:themeColor="text1"/>
        </w:rPr>
        <w:br/>
      </w:r>
      <w:r w:rsidR="00A145F8" w:rsidRPr="00A52AB8">
        <w:rPr>
          <w:color w:val="000000" w:themeColor="text1"/>
        </w:rPr>
        <w:tab/>
      </w:r>
      <w:r w:rsidR="00A145F8" w:rsidRPr="00A52AB8">
        <w:rPr>
          <w:color w:val="000000" w:themeColor="text1"/>
        </w:rPr>
        <w:tab/>
      </w:r>
      <w:r w:rsidRPr="00A52AB8">
        <w:rPr>
          <w:color w:val="000000" w:themeColor="text1"/>
        </w:rPr>
        <w:tab/>
      </w:r>
      <w:r w:rsidR="00A145F8" w:rsidRPr="00A52AB8">
        <w:rPr>
          <w:color w:val="000000" w:themeColor="text1"/>
        </w:rPr>
        <w:tab/>
        <w:t>for( c</w:t>
      </w:r>
      <w:r w:rsidR="00D47707" w:rsidRPr="00A52AB8">
        <w:rPr>
          <w:color w:val="000000" w:themeColor="text1"/>
        </w:rPr>
        <w:t> = </w:t>
      </w:r>
      <w:r w:rsidR="00A145F8" w:rsidRPr="00A52AB8">
        <w:rPr>
          <w:color w:val="000000" w:themeColor="text1"/>
        </w:rPr>
        <w:t>0; c &lt; </w:t>
      </w:r>
      <w:r w:rsidR="00F404FE" w:rsidRPr="00A52AB8">
        <w:rPr>
          <w:color w:val="000000" w:themeColor="text1"/>
        </w:rPr>
        <w:t>iN</w:t>
      </w:r>
      <w:r w:rsidR="00A145F8" w:rsidRPr="00A52AB8">
        <w:rPr>
          <w:color w:val="000000" w:themeColor="text1"/>
        </w:rPr>
        <w:t>umComp; c</w:t>
      </w:r>
      <w:r w:rsidR="00006CCF" w:rsidRPr="00A52AB8">
        <w:rPr>
          <w:color w:val="000000" w:themeColor="text1"/>
        </w:rPr>
        <w:t>++ )</w:t>
      </w:r>
      <w:r w:rsidR="00044CFF" w:rsidRPr="00A52AB8">
        <w:rPr>
          <w:color w:val="000000" w:themeColor="text1"/>
        </w:rPr>
        <w:br/>
      </w:r>
      <w:r w:rsidR="00A145F8" w:rsidRPr="00A52AB8">
        <w:rPr>
          <w:color w:val="000000" w:themeColor="text1"/>
        </w:rPr>
        <w:tab/>
      </w:r>
      <w:r w:rsidR="00A145F8" w:rsidRPr="00A52AB8">
        <w:rPr>
          <w:color w:val="000000" w:themeColor="text1"/>
        </w:rPr>
        <w:tab/>
      </w:r>
      <w:r w:rsidRPr="00A52AB8">
        <w:rPr>
          <w:color w:val="000000" w:themeColor="text1"/>
        </w:rPr>
        <w:tab/>
      </w:r>
      <w:r w:rsidR="00A145F8" w:rsidRPr="00A52AB8">
        <w:rPr>
          <w:color w:val="000000" w:themeColor="text1"/>
        </w:rPr>
        <w:tab/>
      </w:r>
      <w:r w:rsidR="00A145F8" w:rsidRPr="00A52AB8">
        <w:rPr>
          <w:color w:val="000000" w:themeColor="text1"/>
        </w:rPr>
        <w:tab/>
        <w:t>for( y</w:t>
      </w:r>
      <w:r w:rsidR="00D47707" w:rsidRPr="00A52AB8">
        <w:rPr>
          <w:color w:val="000000" w:themeColor="text1"/>
        </w:rPr>
        <w:t> = </w:t>
      </w:r>
      <w:r w:rsidR="00A145F8" w:rsidRPr="00A52AB8">
        <w:rPr>
          <w:color w:val="000000" w:themeColor="text1"/>
        </w:rPr>
        <w:t>0; y &lt; iHeight; y</w:t>
      </w:r>
      <w:r w:rsidR="00006CCF" w:rsidRPr="00A52AB8">
        <w:rPr>
          <w:color w:val="000000" w:themeColor="text1"/>
        </w:rPr>
        <w:t>++ )</w:t>
      </w:r>
      <w:r w:rsidR="00044CFF" w:rsidRPr="00A52AB8">
        <w:rPr>
          <w:color w:val="000000" w:themeColor="text1"/>
        </w:rPr>
        <w:br/>
      </w:r>
      <w:r w:rsidR="00A145F8" w:rsidRPr="00A52AB8">
        <w:rPr>
          <w:color w:val="000000" w:themeColor="text1"/>
        </w:rPr>
        <w:tab/>
      </w:r>
      <w:r w:rsidR="00A145F8" w:rsidRPr="00A52AB8">
        <w:rPr>
          <w:color w:val="000000" w:themeColor="text1"/>
        </w:rPr>
        <w:tab/>
      </w:r>
      <w:r w:rsidRPr="00A52AB8">
        <w:rPr>
          <w:color w:val="000000" w:themeColor="text1"/>
        </w:rPr>
        <w:tab/>
      </w:r>
      <w:r w:rsidR="00A145F8" w:rsidRPr="00A52AB8">
        <w:rPr>
          <w:color w:val="000000" w:themeColor="text1"/>
        </w:rPr>
        <w:tab/>
      </w:r>
      <w:r w:rsidR="00A145F8" w:rsidRPr="00A52AB8">
        <w:rPr>
          <w:color w:val="000000" w:themeColor="text1"/>
        </w:rPr>
        <w:tab/>
      </w:r>
      <w:r w:rsidR="00A145F8" w:rsidRPr="00A52AB8">
        <w:rPr>
          <w:color w:val="000000" w:themeColor="text1"/>
        </w:rPr>
        <w:tab/>
        <w:t>for( x</w:t>
      </w:r>
      <w:r w:rsidR="00D47707" w:rsidRPr="00A52AB8">
        <w:rPr>
          <w:color w:val="000000" w:themeColor="text1"/>
        </w:rPr>
        <w:t> = </w:t>
      </w:r>
      <w:r w:rsidR="00A145F8" w:rsidRPr="00A52AB8">
        <w:rPr>
          <w:color w:val="000000" w:themeColor="text1"/>
        </w:rPr>
        <w:t>0; x &lt; iWidth; x</w:t>
      </w:r>
      <w:r w:rsidR="00006CCF" w:rsidRPr="00A52AB8">
        <w:rPr>
          <w:color w:val="000000" w:themeColor="text1"/>
        </w:rPr>
        <w:t>++ )</w:t>
      </w:r>
      <w:r w:rsidR="00044CFF" w:rsidRPr="00A52AB8">
        <w:rPr>
          <w:color w:val="000000" w:themeColor="text1"/>
        </w:rPr>
        <w:br/>
      </w:r>
      <w:r w:rsidR="00A145F8" w:rsidRPr="00A52AB8">
        <w:rPr>
          <w:color w:val="000000" w:themeColor="text1"/>
        </w:rPr>
        <w:tab/>
      </w:r>
      <w:r w:rsidR="00A145F8" w:rsidRPr="00A52AB8">
        <w:rPr>
          <w:color w:val="000000" w:themeColor="text1"/>
        </w:rPr>
        <w:tab/>
      </w:r>
      <w:r w:rsidRPr="00A52AB8">
        <w:rPr>
          <w:color w:val="000000" w:themeColor="text1"/>
        </w:rPr>
        <w:tab/>
      </w:r>
      <w:r w:rsidR="00A145F8" w:rsidRPr="00A52AB8">
        <w:rPr>
          <w:color w:val="000000" w:themeColor="text1"/>
        </w:rPr>
        <w:tab/>
      </w:r>
      <w:r w:rsidR="00A145F8" w:rsidRPr="00A52AB8">
        <w:rPr>
          <w:color w:val="000000" w:themeColor="text1"/>
        </w:rPr>
        <w:tab/>
      </w:r>
      <w:r w:rsidR="00A145F8" w:rsidRPr="00A52AB8">
        <w:rPr>
          <w:color w:val="000000" w:themeColor="text1"/>
        </w:rPr>
        <w:tab/>
      </w:r>
      <w:r w:rsidR="00A145F8" w:rsidRPr="00A52AB8">
        <w:rPr>
          <w:color w:val="000000" w:themeColor="text1"/>
        </w:rPr>
        <w:tab/>
        <w:t>outputSamples[ m ][ g ][ c ]</w:t>
      </w:r>
      <w:r w:rsidR="004B7314" w:rsidRPr="00A52AB8">
        <w:rPr>
          <w:color w:val="000000" w:themeColor="text1"/>
        </w:rPr>
        <w:t>[ y ][ x ]</w:t>
      </w:r>
      <w:r w:rsidR="00A145F8" w:rsidRPr="00A52AB8">
        <w:rPr>
          <w:color w:val="000000" w:themeColor="text1"/>
        </w:rPr>
        <w:t> =</w:t>
      </w:r>
      <w:r w:rsidR="00044CFF" w:rsidRPr="00A52AB8">
        <w:rPr>
          <w:color w:val="000000" w:themeColor="text1"/>
        </w:rPr>
        <w:br/>
      </w:r>
      <w:r w:rsidR="00A145F8" w:rsidRPr="00A52AB8">
        <w:rPr>
          <w:color w:val="000000" w:themeColor="text1"/>
        </w:rPr>
        <w:tab/>
      </w:r>
      <w:r w:rsidR="00A145F8" w:rsidRPr="00A52AB8">
        <w:rPr>
          <w:color w:val="000000" w:themeColor="text1"/>
        </w:rPr>
        <w:tab/>
      </w:r>
      <w:r w:rsidRPr="00A52AB8">
        <w:rPr>
          <w:color w:val="000000" w:themeColor="text1"/>
        </w:rPr>
        <w:tab/>
      </w:r>
      <w:r w:rsidR="00A145F8" w:rsidRPr="00A52AB8">
        <w:rPr>
          <w:color w:val="000000" w:themeColor="text1"/>
        </w:rPr>
        <w:tab/>
      </w:r>
      <w:r w:rsidR="00A145F8" w:rsidRPr="00A52AB8">
        <w:rPr>
          <w:color w:val="000000" w:themeColor="text1"/>
        </w:rPr>
        <w:tab/>
      </w:r>
      <w:r w:rsidR="00A145F8" w:rsidRPr="00A52AB8">
        <w:rPr>
          <w:color w:val="000000" w:themeColor="text1"/>
        </w:rPr>
        <w:tab/>
      </w:r>
      <w:r w:rsidR="00A145F8" w:rsidRPr="00A52AB8">
        <w:rPr>
          <w:color w:val="000000" w:themeColor="text1"/>
        </w:rPr>
        <w:tab/>
      </w:r>
      <w:r w:rsidR="00A145F8" w:rsidRPr="00A52AB8">
        <w:rPr>
          <w:color w:val="000000" w:themeColor="text1"/>
        </w:rPr>
        <w:tab/>
      </w:r>
      <w:r w:rsidR="00A145F8" w:rsidRPr="00A52AB8">
        <w:rPr>
          <w:color w:val="000000" w:themeColor="text1"/>
        </w:rPr>
        <w:tab/>
        <w:t>inputSamples</w:t>
      </w:r>
      <w:bookmarkStart w:id="4859" w:name="_Hlk45665976"/>
      <w:r w:rsidR="00A145F8" w:rsidRPr="00A52AB8">
        <w:rPr>
          <w:color w:val="000000" w:themeColor="text1"/>
        </w:rPr>
        <w:t>[0][ f ]</w:t>
      </w:r>
      <w:bookmarkEnd w:id="4859"/>
      <w:r w:rsidR="00A145F8" w:rsidRPr="00A52AB8">
        <w:rPr>
          <w:color w:val="000000" w:themeColor="text1"/>
        </w:rPr>
        <w:t>[ c ]</w:t>
      </w:r>
      <w:r w:rsidR="004B7314" w:rsidRPr="00A52AB8">
        <w:rPr>
          <w:color w:val="000000" w:themeColor="text1"/>
        </w:rPr>
        <w:t>[ y ][ x ]</w:t>
      </w:r>
      <w:r w:rsidR="00827561" w:rsidRPr="00A52AB8">
        <w:rPr>
          <w:color w:val="000000" w:themeColor="text1"/>
        </w:rPr>
        <w:br/>
      </w:r>
      <w:r w:rsidR="00827561" w:rsidRPr="00A52AB8">
        <w:rPr>
          <w:color w:val="000000" w:themeColor="text1"/>
        </w:rPr>
        <w:tab/>
      </w:r>
      <w:r w:rsidR="00827561" w:rsidRPr="00A52AB8">
        <w:rPr>
          <w:color w:val="000000" w:themeColor="text1"/>
        </w:rPr>
        <w:tab/>
      </w:r>
      <w:r w:rsidR="00827561" w:rsidRPr="00A52AB8">
        <w:rPr>
          <w:color w:val="000000" w:themeColor="text1"/>
        </w:rPr>
        <w:tab/>
        <w:t>}</w:t>
      </w:r>
      <w:r w:rsidR="00044CFF" w:rsidRPr="00A52AB8">
        <w:rPr>
          <w:color w:val="000000" w:themeColor="text1"/>
        </w:rPr>
        <w:br/>
      </w:r>
      <w:r w:rsidR="00A145F8" w:rsidRPr="00A52AB8">
        <w:rPr>
          <w:color w:val="000000" w:themeColor="text1"/>
        </w:rPr>
        <w:tab/>
      </w:r>
      <w:r w:rsidR="00A145F8" w:rsidRPr="00A52AB8">
        <w:rPr>
          <w:color w:val="000000" w:themeColor="text1"/>
        </w:rPr>
        <w:tab/>
      </w:r>
      <w:r w:rsidR="0023721F" w:rsidRPr="00A52AB8">
        <w:rPr>
          <w:color w:val="000000" w:themeColor="text1"/>
        </w:rPr>
        <w:t>} else {</w:t>
      </w:r>
      <w:r w:rsidR="00044CFF" w:rsidRPr="00A52AB8">
        <w:rPr>
          <w:color w:val="000000" w:themeColor="text1"/>
        </w:rPr>
        <w:br/>
      </w:r>
      <w:r w:rsidR="00A145F8" w:rsidRPr="00A52AB8">
        <w:rPr>
          <w:color w:val="000000" w:themeColor="text1"/>
        </w:rPr>
        <w:tab/>
      </w:r>
      <w:r w:rsidR="00A145F8" w:rsidRPr="00A52AB8">
        <w:rPr>
          <w:color w:val="000000" w:themeColor="text1"/>
        </w:rPr>
        <w:tab/>
      </w:r>
      <w:r w:rsidR="00A145F8" w:rsidRPr="00A52AB8">
        <w:rPr>
          <w:color w:val="000000" w:themeColor="text1"/>
        </w:rPr>
        <w:tab/>
        <w:t>for( m</w:t>
      </w:r>
      <w:r w:rsidR="00D47707" w:rsidRPr="00A52AB8">
        <w:rPr>
          <w:color w:val="000000" w:themeColor="text1"/>
        </w:rPr>
        <w:t> = </w:t>
      </w:r>
      <w:r w:rsidR="00A145F8" w:rsidRPr="00A52AB8">
        <w:rPr>
          <w:color w:val="000000" w:themeColor="text1"/>
        </w:rPr>
        <w:t>0; m </w:t>
      </w:r>
      <w:r w:rsidR="00A234FD" w:rsidRPr="00A52AB8">
        <w:rPr>
          <w:color w:val="000000" w:themeColor="text1"/>
        </w:rPr>
        <w:t>&lt;=</w:t>
      </w:r>
      <w:r w:rsidR="00D47707" w:rsidRPr="00A52AB8">
        <w:rPr>
          <w:color w:val="000000" w:themeColor="text1"/>
        </w:rPr>
        <w:t> </w:t>
      </w:r>
      <w:r w:rsidR="00A145F8" w:rsidRPr="00A52AB8">
        <w:rPr>
          <w:color w:val="000000" w:themeColor="text1"/>
        </w:rPr>
        <w:t>vps_map_count_minus1[ </w:t>
      </w:r>
      <w:r w:rsidR="008C595D" w:rsidRPr="00A52AB8">
        <w:rPr>
          <w:color w:val="000000" w:themeColor="text1"/>
        </w:rPr>
        <w:t>ConvAtlasID</w:t>
      </w:r>
      <w:r w:rsidR="00A145F8" w:rsidRPr="00A52AB8">
        <w:rPr>
          <w:color w:val="000000" w:themeColor="text1"/>
        </w:rPr>
        <w:t> ]; m</w:t>
      </w:r>
      <w:r w:rsidR="00006CCF" w:rsidRPr="00A52AB8">
        <w:rPr>
          <w:color w:val="000000" w:themeColor="text1"/>
        </w:rPr>
        <w:t>++ </w:t>
      </w:r>
      <w:r w:rsidR="008F1F82" w:rsidRPr="00A52AB8">
        <w:rPr>
          <w:color w:val="000000" w:themeColor="text1"/>
        </w:rPr>
        <w:t>) {</w:t>
      </w:r>
      <w:r w:rsidR="00044CFF" w:rsidRPr="00A52AB8">
        <w:rPr>
          <w:color w:val="000000" w:themeColor="text1"/>
        </w:rPr>
        <w:br/>
      </w:r>
      <w:r w:rsidR="00827561" w:rsidRPr="00A52AB8">
        <w:rPr>
          <w:color w:val="000000" w:themeColor="text1"/>
        </w:rPr>
        <w:tab/>
      </w:r>
      <w:r w:rsidR="00827561" w:rsidRPr="00A52AB8">
        <w:rPr>
          <w:color w:val="000000" w:themeColor="text1"/>
        </w:rPr>
        <w:tab/>
      </w:r>
      <w:r w:rsidR="00827561" w:rsidRPr="00A52AB8">
        <w:rPr>
          <w:color w:val="000000" w:themeColor="text1"/>
        </w:rPr>
        <w:tab/>
      </w:r>
      <w:r w:rsidR="00827561" w:rsidRPr="00A52AB8">
        <w:rPr>
          <w:color w:val="000000" w:themeColor="text1"/>
        </w:rPr>
        <w:tab/>
        <w:t>for( f</w:t>
      </w:r>
      <w:r w:rsidR="00D47707" w:rsidRPr="00A52AB8">
        <w:rPr>
          <w:color w:val="000000" w:themeColor="text1"/>
        </w:rPr>
        <w:t> = </w:t>
      </w:r>
      <w:r w:rsidR="00827561" w:rsidRPr="00A52AB8">
        <w:rPr>
          <w:color w:val="000000" w:themeColor="text1"/>
        </w:rPr>
        <w:t>0; f &lt; numFrames[ m ]; f++ </w:t>
      </w:r>
      <w:r w:rsidR="00900B12" w:rsidRPr="00A52AB8">
        <w:rPr>
          <w:color w:val="000000" w:themeColor="text1"/>
        </w:rPr>
        <w:t>) {</w:t>
      </w:r>
      <w:r w:rsidR="00827561" w:rsidRPr="00A52AB8">
        <w:rPr>
          <w:color w:val="000000" w:themeColor="text1"/>
        </w:rPr>
        <w:br/>
      </w:r>
      <w:r w:rsidR="00A145F8" w:rsidRPr="00A52AB8">
        <w:rPr>
          <w:color w:val="000000" w:themeColor="text1"/>
        </w:rPr>
        <w:tab/>
      </w:r>
      <w:r w:rsidR="00A145F8" w:rsidRPr="00A52AB8">
        <w:rPr>
          <w:color w:val="000000" w:themeColor="text1"/>
        </w:rPr>
        <w:tab/>
      </w:r>
      <w:r w:rsidRPr="00A52AB8">
        <w:rPr>
          <w:color w:val="000000" w:themeColor="text1"/>
        </w:rPr>
        <w:tab/>
      </w:r>
      <w:r w:rsidR="00A145F8" w:rsidRPr="00A52AB8">
        <w:rPr>
          <w:color w:val="000000" w:themeColor="text1"/>
        </w:rPr>
        <w:tab/>
      </w:r>
      <w:r w:rsidR="00A145F8" w:rsidRPr="00A52AB8">
        <w:rPr>
          <w:color w:val="000000" w:themeColor="text1"/>
        </w:rPr>
        <w:tab/>
        <w:t>g</w:t>
      </w:r>
      <w:r w:rsidR="00D47707" w:rsidRPr="00A52AB8">
        <w:rPr>
          <w:color w:val="000000" w:themeColor="text1"/>
        </w:rPr>
        <w:t> = </w:t>
      </w:r>
      <w:r w:rsidR="00065A15" w:rsidRPr="00A52AB8">
        <w:rPr>
          <w:color w:val="000000" w:themeColor="text1"/>
        </w:rPr>
        <w:t>inputOrderIdx</w:t>
      </w:r>
      <w:r w:rsidR="00A145F8" w:rsidRPr="00A52AB8">
        <w:rPr>
          <w:color w:val="000000" w:themeColor="text1"/>
        </w:rPr>
        <w:t>[ m ][ f]</w:t>
      </w:r>
      <w:r w:rsidR="00044CFF" w:rsidRPr="00A52AB8">
        <w:rPr>
          <w:color w:val="000000" w:themeColor="text1"/>
        </w:rPr>
        <w:br/>
      </w:r>
      <w:r w:rsidR="00A145F8" w:rsidRPr="00A52AB8">
        <w:rPr>
          <w:color w:val="000000" w:themeColor="text1"/>
        </w:rPr>
        <w:tab/>
      </w:r>
      <w:r w:rsidR="00A145F8" w:rsidRPr="00A52AB8">
        <w:rPr>
          <w:color w:val="000000" w:themeColor="text1"/>
        </w:rPr>
        <w:tab/>
      </w:r>
      <w:r w:rsidRPr="00A52AB8">
        <w:rPr>
          <w:color w:val="000000" w:themeColor="text1"/>
        </w:rPr>
        <w:tab/>
      </w:r>
      <w:r w:rsidR="00A145F8" w:rsidRPr="00A52AB8">
        <w:rPr>
          <w:color w:val="000000" w:themeColor="text1"/>
        </w:rPr>
        <w:tab/>
      </w:r>
      <w:r w:rsidR="00A145F8" w:rsidRPr="00A52AB8">
        <w:rPr>
          <w:color w:val="000000" w:themeColor="text1"/>
        </w:rPr>
        <w:tab/>
        <w:t>for(</w:t>
      </w:r>
      <w:r w:rsidR="00044CFF" w:rsidRPr="00A52AB8">
        <w:rPr>
          <w:color w:val="000000" w:themeColor="text1"/>
        </w:rPr>
        <w:t> </w:t>
      </w:r>
      <w:r w:rsidR="00A145F8" w:rsidRPr="00A52AB8">
        <w:rPr>
          <w:color w:val="000000" w:themeColor="text1"/>
        </w:rPr>
        <w:t>i</w:t>
      </w:r>
      <w:r w:rsidR="00D47707" w:rsidRPr="00A52AB8">
        <w:rPr>
          <w:color w:val="000000" w:themeColor="text1"/>
        </w:rPr>
        <w:t> = </w:t>
      </w:r>
      <w:r w:rsidR="00AA3F71" w:rsidRPr="00A52AB8">
        <w:rPr>
          <w:color w:val="000000" w:themeColor="text1"/>
        </w:rPr>
        <w:t>rangeOrdIdx</w:t>
      </w:r>
      <w:r w:rsidR="0006494C" w:rsidRPr="00A52AB8">
        <w:rPr>
          <w:color w:val="000000" w:themeColor="text1"/>
        </w:rPr>
        <w:t>[ </w:t>
      </w:r>
      <w:r w:rsidR="00A145F8" w:rsidRPr="00A52AB8">
        <w:rPr>
          <w:color w:val="000000" w:themeColor="text1"/>
        </w:rPr>
        <w:t>m ];</w:t>
      </w:r>
      <w:r w:rsidR="00044CFF" w:rsidRPr="00A52AB8">
        <w:rPr>
          <w:color w:val="000000" w:themeColor="text1"/>
        </w:rPr>
        <w:t> </w:t>
      </w:r>
      <w:r w:rsidR="00A145F8" w:rsidRPr="00A52AB8">
        <w:rPr>
          <w:color w:val="000000" w:themeColor="text1"/>
        </w:rPr>
        <w:t>i</w:t>
      </w:r>
      <w:r w:rsidR="00044CFF" w:rsidRPr="00A52AB8">
        <w:rPr>
          <w:color w:val="000000" w:themeColor="text1"/>
        </w:rPr>
        <w:t> </w:t>
      </w:r>
      <w:r w:rsidR="00A145F8" w:rsidRPr="00A52AB8">
        <w:rPr>
          <w:color w:val="000000" w:themeColor="text1"/>
        </w:rPr>
        <w:t>&lt;</w:t>
      </w:r>
      <w:r w:rsidR="00044CFF" w:rsidRPr="00A52AB8">
        <w:rPr>
          <w:color w:val="000000" w:themeColor="text1"/>
        </w:rPr>
        <w:t> </w:t>
      </w:r>
      <w:r w:rsidR="00A145F8" w:rsidRPr="00A52AB8">
        <w:rPr>
          <w:color w:val="000000" w:themeColor="text1"/>
        </w:rPr>
        <w:t>g;</w:t>
      </w:r>
      <w:r w:rsidR="00044CFF" w:rsidRPr="00A52AB8">
        <w:rPr>
          <w:color w:val="000000" w:themeColor="text1"/>
        </w:rPr>
        <w:t> </w:t>
      </w:r>
      <w:r w:rsidR="00A145F8" w:rsidRPr="00A52AB8">
        <w:rPr>
          <w:color w:val="000000" w:themeColor="text1"/>
        </w:rPr>
        <w:t>i</w:t>
      </w:r>
      <w:r w:rsidR="00006CCF" w:rsidRPr="00A52AB8">
        <w:rPr>
          <w:color w:val="000000" w:themeColor="text1"/>
        </w:rPr>
        <w:t>++ )</w:t>
      </w:r>
      <w:r w:rsidR="00044CFF" w:rsidRPr="00A52AB8">
        <w:rPr>
          <w:color w:val="000000" w:themeColor="text1"/>
        </w:rPr>
        <w:br/>
      </w:r>
      <w:r w:rsidR="00A145F8" w:rsidRPr="00A52AB8">
        <w:rPr>
          <w:color w:val="000000" w:themeColor="text1"/>
        </w:rPr>
        <w:tab/>
      </w:r>
      <w:r w:rsidR="00A145F8" w:rsidRPr="00A52AB8">
        <w:rPr>
          <w:color w:val="000000" w:themeColor="text1"/>
        </w:rPr>
        <w:tab/>
      </w:r>
      <w:r w:rsidRPr="00A52AB8">
        <w:rPr>
          <w:color w:val="000000" w:themeColor="text1"/>
        </w:rPr>
        <w:tab/>
      </w:r>
      <w:r w:rsidR="00A145F8" w:rsidRPr="00A52AB8">
        <w:rPr>
          <w:color w:val="000000" w:themeColor="text1"/>
        </w:rPr>
        <w:tab/>
      </w:r>
      <w:r w:rsidR="00A145F8" w:rsidRPr="00A52AB8">
        <w:rPr>
          <w:color w:val="000000" w:themeColor="text1"/>
        </w:rPr>
        <w:tab/>
      </w:r>
      <w:r w:rsidR="00A145F8" w:rsidRPr="00A52AB8">
        <w:rPr>
          <w:color w:val="000000" w:themeColor="text1"/>
        </w:rPr>
        <w:tab/>
      </w:r>
      <w:r w:rsidR="00317011" w:rsidRPr="00A52AB8">
        <w:rPr>
          <w:color w:val="000000" w:themeColor="text1"/>
        </w:rPr>
        <w:t>framePresent</w:t>
      </w:r>
      <w:r w:rsidR="00A145F8" w:rsidRPr="00A52AB8">
        <w:rPr>
          <w:color w:val="000000" w:themeColor="text1"/>
        </w:rPr>
        <w:t>[ m ][ i ]</w:t>
      </w:r>
      <w:r w:rsidR="00D47707" w:rsidRPr="00A52AB8">
        <w:rPr>
          <w:color w:val="000000" w:themeColor="text1"/>
        </w:rPr>
        <w:t> = </w:t>
      </w:r>
      <w:r w:rsidR="00A145F8" w:rsidRPr="00A52AB8">
        <w:rPr>
          <w:color w:val="000000" w:themeColor="text1"/>
        </w:rPr>
        <w:t>0</w:t>
      </w:r>
      <w:r w:rsidR="00C61E38" w:rsidRPr="00A52AB8">
        <w:rPr>
          <w:color w:val="000000" w:themeColor="text1"/>
        </w:rPr>
        <w:br/>
      </w:r>
      <w:r w:rsidR="00A145F8" w:rsidRPr="00A52AB8">
        <w:rPr>
          <w:color w:val="000000" w:themeColor="text1"/>
        </w:rPr>
        <w:tab/>
      </w:r>
      <w:r w:rsidR="00A145F8" w:rsidRPr="00A52AB8">
        <w:rPr>
          <w:color w:val="000000" w:themeColor="text1"/>
        </w:rPr>
        <w:tab/>
      </w:r>
      <w:r w:rsidRPr="00A52AB8">
        <w:rPr>
          <w:color w:val="000000" w:themeColor="text1"/>
        </w:rPr>
        <w:tab/>
      </w:r>
      <w:r w:rsidR="00A145F8" w:rsidRPr="00A52AB8">
        <w:rPr>
          <w:color w:val="000000" w:themeColor="text1"/>
        </w:rPr>
        <w:tab/>
      </w:r>
      <w:r w:rsidR="00A145F8" w:rsidRPr="00A52AB8">
        <w:rPr>
          <w:color w:val="000000" w:themeColor="text1"/>
        </w:rPr>
        <w:tab/>
      </w:r>
      <w:r w:rsidR="00317011" w:rsidRPr="00A52AB8">
        <w:rPr>
          <w:color w:val="000000" w:themeColor="text1"/>
        </w:rPr>
        <w:t>framePresent</w:t>
      </w:r>
      <w:r w:rsidR="00A145F8" w:rsidRPr="00A52AB8">
        <w:rPr>
          <w:color w:val="000000" w:themeColor="text1"/>
        </w:rPr>
        <w:t>[ m ][ g ]</w:t>
      </w:r>
      <w:r w:rsidR="00D47707" w:rsidRPr="00A52AB8">
        <w:rPr>
          <w:color w:val="000000" w:themeColor="text1"/>
        </w:rPr>
        <w:t> = </w:t>
      </w:r>
      <w:r w:rsidR="00A145F8" w:rsidRPr="00A52AB8">
        <w:rPr>
          <w:color w:val="000000" w:themeColor="text1"/>
        </w:rPr>
        <w:t>1</w:t>
      </w:r>
      <w:r w:rsidR="00044CFF" w:rsidRPr="00A52AB8">
        <w:rPr>
          <w:color w:val="000000" w:themeColor="text1"/>
        </w:rPr>
        <w:br/>
      </w:r>
      <w:r w:rsidR="00A145F8" w:rsidRPr="00A52AB8">
        <w:rPr>
          <w:color w:val="000000" w:themeColor="text1"/>
        </w:rPr>
        <w:tab/>
      </w:r>
      <w:r w:rsidR="00A145F8" w:rsidRPr="00A52AB8">
        <w:rPr>
          <w:color w:val="000000" w:themeColor="text1"/>
        </w:rPr>
        <w:tab/>
      </w:r>
      <w:r w:rsidRPr="00A52AB8">
        <w:rPr>
          <w:color w:val="000000" w:themeColor="text1"/>
        </w:rPr>
        <w:tab/>
      </w:r>
      <w:r w:rsidR="00A145F8" w:rsidRPr="00A52AB8">
        <w:rPr>
          <w:color w:val="000000" w:themeColor="text1"/>
        </w:rPr>
        <w:tab/>
      </w:r>
      <w:r w:rsidR="00A145F8" w:rsidRPr="00A52AB8">
        <w:rPr>
          <w:color w:val="000000" w:themeColor="text1"/>
        </w:rPr>
        <w:tab/>
      </w:r>
      <w:r w:rsidR="00AA3F71" w:rsidRPr="00A52AB8">
        <w:rPr>
          <w:color w:val="000000" w:themeColor="text1"/>
        </w:rPr>
        <w:t>rangeOrdIdx</w:t>
      </w:r>
      <w:r w:rsidR="0006494C" w:rsidRPr="00A52AB8">
        <w:rPr>
          <w:color w:val="000000" w:themeColor="text1"/>
        </w:rPr>
        <w:t>[ </w:t>
      </w:r>
      <w:r w:rsidR="00A145F8" w:rsidRPr="00A52AB8">
        <w:rPr>
          <w:color w:val="000000" w:themeColor="text1"/>
        </w:rPr>
        <w:t>m ]</w:t>
      </w:r>
      <w:r w:rsidR="00D47707" w:rsidRPr="00A52AB8">
        <w:rPr>
          <w:color w:val="000000" w:themeColor="text1"/>
        </w:rPr>
        <w:t> = </w:t>
      </w:r>
      <w:r w:rsidR="00A145F8" w:rsidRPr="00A52AB8">
        <w:rPr>
          <w:color w:val="000000" w:themeColor="text1"/>
        </w:rPr>
        <w:t>g</w:t>
      </w:r>
      <w:r w:rsidR="00044CFF" w:rsidRPr="00A52AB8">
        <w:rPr>
          <w:color w:val="000000" w:themeColor="text1"/>
        </w:rPr>
        <w:t> </w:t>
      </w:r>
      <w:r w:rsidR="00A145F8" w:rsidRPr="00A52AB8">
        <w:rPr>
          <w:color w:val="000000" w:themeColor="text1"/>
        </w:rPr>
        <w:t>+</w:t>
      </w:r>
      <w:r w:rsidR="00044CFF" w:rsidRPr="00A52AB8">
        <w:rPr>
          <w:color w:val="000000" w:themeColor="text1"/>
        </w:rPr>
        <w:t> </w:t>
      </w:r>
      <w:r w:rsidR="00A145F8" w:rsidRPr="00A52AB8">
        <w:rPr>
          <w:color w:val="000000" w:themeColor="text1"/>
        </w:rPr>
        <w:t>1</w:t>
      </w:r>
      <w:r w:rsidR="00044CFF" w:rsidRPr="00A52AB8">
        <w:rPr>
          <w:color w:val="000000" w:themeColor="text1"/>
        </w:rPr>
        <w:br/>
      </w:r>
      <w:r w:rsidR="00A145F8" w:rsidRPr="00A52AB8">
        <w:rPr>
          <w:color w:val="000000" w:themeColor="text1"/>
        </w:rPr>
        <w:tab/>
      </w:r>
      <w:r w:rsidR="00A145F8" w:rsidRPr="00A52AB8">
        <w:rPr>
          <w:color w:val="000000" w:themeColor="text1"/>
        </w:rPr>
        <w:tab/>
      </w:r>
      <w:r w:rsidRPr="00A52AB8">
        <w:rPr>
          <w:color w:val="000000" w:themeColor="text1"/>
        </w:rPr>
        <w:tab/>
      </w:r>
      <w:r w:rsidR="00A145F8" w:rsidRPr="00A52AB8">
        <w:rPr>
          <w:color w:val="000000" w:themeColor="text1"/>
        </w:rPr>
        <w:tab/>
      </w:r>
      <w:r w:rsidR="00A145F8" w:rsidRPr="00A52AB8">
        <w:rPr>
          <w:color w:val="000000" w:themeColor="text1"/>
        </w:rPr>
        <w:tab/>
        <w:t>outputCompTime[ m ][ g ]</w:t>
      </w:r>
      <w:r w:rsidR="00D47707" w:rsidRPr="00A52AB8">
        <w:rPr>
          <w:color w:val="000000" w:themeColor="text1"/>
        </w:rPr>
        <w:t> = </w:t>
      </w:r>
      <w:r w:rsidR="00A145F8" w:rsidRPr="00A52AB8">
        <w:rPr>
          <w:color w:val="000000" w:themeColor="text1"/>
        </w:rPr>
        <w:t>iCompTime[ i ][ f ]</w:t>
      </w:r>
      <w:r w:rsidR="00044CFF" w:rsidRPr="00A52AB8">
        <w:rPr>
          <w:color w:val="000000" w:themeColor="text1"/>
        </w:rPr>
        <w:br/>
      </w:r>
      <w:r w:rsidR="00A145F8" w:rsidRPr="00A52AB8">
        <w:rPr>
          <w:color w:val="000000" w:themeColor="text1"/>
        </w:rPr>
        <w:tab/>
      </w:r>
      <w:r w:rsidR="00A145F8" w:rsidRPr="00A52AB8">
        <w:rPr>
          <w:color w:val="000000" w:themeColor="text1"/>
        </w:rPr>
        <w:tab/>
      </w:r>
      <w:r w:rsidRPr="00A52AB8">
        <w:rPr>
          <w:color w:val="000000" w:themeColor="text1"/>
        </w:rPr>
        <w:tab/>
      </w:r>
      <w:r w:rsidR="00A145F8" w:rsidRPr="00A52AB8">
        <w:rPr>
          <w:color w:val="000000" w:themeColor="text1"/>
        </w:rPr>
        <w:tab/>
      </w:r>
      <w:r w:rsidR="00A145F8" w:rsidRPr="00A52AB8">
        <w:rPr>
          <w:color w:val="000000" w:themeColor="text1"/>
        </w:rPr>
        <w:tab/>
        <w:t>for( c</w:t>
      </w:r>
      <w:r w:rsidR="00D47707" w:rsidRPr="00A52AB8">
        <w:rPr>
          <w:color w:val="000000" w:themeColor="text1"/>
        </w:rPr>
        <w:t> = </w:t>
      </w:r>
      <w:r w:rsidR="00A145F8" w:rsidRPr="00A52AB8">
        <w:rPr>
          <w:color w:val="000000" w:themeColor="text1"/>
        </w:rPr>
        <w:t>0; c &lt;</w:t>
      </w:r>
      <w:r w:rsidR="0023644B" w:rsidRPr="00A52AB8">
        <w:rPr>
          <w:color w:val="000000" w:themeColor="text1"/>
        </w:rPr>
        <w:t> </w:t>
      </w:r>
      <w:r w:rsidR="00F404FE" w:rsidRPr="00A52AB8">
        <w:rPr>
          <w:color w:val="000000" w:themeColor="text1"/>
        </w:rPr>
        <w:t>iN</w:t>
      </w:r>
      <w:r w:rsidR="00A145F8" w:rsidRPr="00A52AB8">
        <w:rPr>
          <w:color w:val="000000" w:themeColor="text1"/>
        </w:rPr>
        <w:t>umComp; c</w:t>
      </w:r>
      <w:r w:rsidR="00006CCF" w:rsidRPr="00A52AB8">
        <w:rPr>
          <w:color w:val="000000" w:themeColor="text1"/>
        </w:rPr>
        <w:t>++ )</w:t>
      </w:r>
      <w:r w:rsidR="00044CFF" w:rsidRPr="00A52AB8">
        <w:rPr>
          <w:color w:val="000000" w:themeColor="text1"/>
        </w:rPr>
        <w:br/>
      </w:r>
      <w:r w:rsidR="00A145F8" w:rsidRPr="00A52AB8">
        <w:rPr>
          <w:color w:val="000000" w:themeColor="text1"/>
        </w:rPr>
        <w:tab/>
      </w:r>
      <w:r w:rsidR="00A145F8" w:rsidRPr="00A52AB8">
        <w:rPr>
          <w:color w:val="000000" w:themeColor="text1"/>
        </w:rPr>
        <w:tab/>
      </w:r>
      <w:r w:rsidRPr="00A52AB8">
        <w:rPr>
          <w:color w:val="000000" w:themeColor="text1"/>
        </w:rPr>
        <w:tab/>
      </w:r>
      <w:r w:rsidR="00A145F8" w:rsidRPr="00A52AB8">
        <w:rPr>
          <w:color w:val="000000" w:themeColor="text1"/>
        </w:rPr>
        <w:tab/>
      </w:r>
      <w:r w:rsidR="00A145F8" w:rsidRPr="00A52AB8">
        <w:rPr>
          <w:color w:val="000000" w:themeColor="text1"/>
        </w:rPr>
        <w:tab/>
      </w:r>
      <w:r w:rsidR="00A145F8" w:rsidRPr="00A52AB8">
        <w:rPr>
          <w:color w:val="000000" w:themeColor="text1"/>
        </w:rPr>
        <w:tab/>
        <w:t>for( y</w:t>
      </w:r>
      <w:r w:rsidR="00D47707" w:rsidRPr="00A52AB8">
        <w:rPr>
          <w:color w:val="000000" w:themeColor="text1"/>
        </w:rPr>
        <w:t> = </w:t>
      </w:r>
      <w:r w:rsidR="00A145F8" w:rsidRPr="00A52AB8">
        <w:rPr>
          <w:color w:val="000000" w:themeColor="text1"/>
        </w:rPr>
        <w:t>0; y &lt; iHeight; y</w:t>
      </w:r>
      <w:r w:rsidR="00006CCF" w:rsidRPr="00A52AB8">
        <w:rPr>
          <w:color w:val="000000" w:themeColor="text1"/>
        </w:rPr>
        <w:t>++ )</w:t>
      </w:r>
      <w:r w:rsidR="00044CFF" w:rsidRPr="00A52AB8">
        <w:rPr>
          <w:color w:val="000000" w:themeColor="text1"/>
        </w:rPr>
        <w:br/>
      </w:r>
      <w:r w:rsidR="00A145F8" w:rsidRPr="00A52AB8">
        <w:rPr>
          <w:color w:val="000000" w:themeColor="text1"/>
        </w:rPr>
        <w:tab/>
      </w:r>
      <w:r w:rsidR="00A145F8" w:rsidRPr="00A52AB8">
        <w:rPr>
          <w:color w:val="000000" w:themeColor="text1"/>
        </w:rPr>
        <w:tab/>
      </w:r>
      <w:r w:rsidR="00A145F8" w:rsidRPr="00A52AB8">
        <w:rPr>
          <w:color w:val="000000" w:themeColor="text1"/>
        </w:rPr>
        <w:tab/>
      </w:r>
      <w:r w:rsidRPr="00A52AB8">
        <w:rPr>
          <w:color w:val="000000" w:themeColor="text1"/>
        </w:rPr>
        <w:tab/>
      </w:r>
      <w:r w:rsidR="00A145F8" w:rsidRPr="00A52AB8">
        <w:rPr>
          <w:color w:val="000000" w:themeColor="text1"/>
        </w:rPr>
        <w:tab/>
      </w:r>
      <w:r w:rsidR="00A145F8" w:rsidRPr="00A52AB8">
        <w:rPr>
          <w:color w:val="000000" w:themeColor="text1"/>
        </w:rPr>
        <w:tab/>
      </w:r>
      <w:r w:rsidR="00A145F8" w:rsidRPr="00A52AB8">
        <w:rPr>
          <w:color w:val="000000" w:themeColor="text1"/>
        </w:rPr>
        <w:tab/>
        <w:t>for( x</w:t>
      </w:r>
      <w:r w:rsidR="00D47707" w:rsidRPr="00A52AB8">
        <w:rPr>
          <w:color w:val="000000" w:themeColor="text1"/>
        </w:rPr>
        <w:t> = </w:t>
      </w:r>
      <w:r w:rsidR="00A145F8" w:rsidRPr="00A52AB8">
        <w:rPr>
          <w:color w:val="000000" w:themeColor="text1"/>
        </w:rPr>
        <w:t>0; x &lt; iWidth; x</w:t>
      </w:r>
      <w:r w:rsidR="00006CCF" w:rsidRPr="00A52AB8">
        <w:rPr>
          <w:color w:val="000000" w:themeColor="text1"/>
        </w:rPr>
        <w:t>++ )</w:t>
      </w:r>
      <w:r w:rsidR="00044CFF" w:rsidRPr="00A52AB8">
        <w:rPr>
          <w:color w:val="000000" w:themeColor="text1"/>
        </w:rPr>
        <w:br/>
      </w:r>
      <w:r w:rsidR="00A145F8" w:rsidRPr="00A52AB8">
        <w:rPr>
          <w:color w:val="000000" w:themeColor="text1"/>
        </w:rPr>
        <w:tab/>
      </w:r>
      <w:r w:rsidR="00A145F8" w:rsidRPr="00A52AB8">
        <w:rPr>
          <w:color w:val="000000" w:themeColor="text1"/>
        </w:rPr>
        <w:tab/>
      </w:r>
      <w:r w:rsidR="00A145F8" w:rsidRPr="00A52AB8">
        <w:rPr>
          <w:color w:val="000000" w:themeColor="text1"/>
        </w:rPr>
        <w:tab/>
      </w:r>
      <w:r w:rsidRPr="00A52AB8">
        <w:rPr>
          <w:color w:val="000000" w:themeColor="text1"/>
        </w:rPr>
        <w:tab/>
      </w:r>
      <w:r w:rsidR="00A145F8" w:rsidRPr="00A52AB8">
        <w:rPr>
          <w:color w:val="000000" w:themeColor="text1"/>
        </w:rPr>
        <w:tab/>
      </w:r>
      <w:r w:rsidR="00A145F8" w:rsidRPr="00A52AB8">
        <w:rPr>
          <w:color w:val="000000" w:themeColor="text1"/>
        </w:rPr>
        <w:tab/>
      </w:r>
      <w:r w:rsidR="00A145F8" w:rsidRPr="00A52AB8">
        <w:rPr>
          <w:color w:val="000000" w:themeColor="text1"/>
        </w:rPr>
        <w:tab/>
      </w:r>
      <w:r w:rsidR="00A145F8" w:rsidRPr="00A52AB8">
        <w:rPr>
          <w:color w:val="000000" w:themeColor="text1"/>
        </w:rPr>
        <w:tab/>
        <w:t>outputSamples[ m ][ g ][ c ]</w:t>
      </w:r>
      <w:r w:rsidR="004B7314" w:rsidRPr="00A52AB8">
        <w:rPr>
          <w:color w:val="000000" w:themeColor="text1"/>
        </w:rPr>
        <w:t>[ y ][ x ]</w:t>
      </w:r>
      <w:r w:rsidR="00A145F8" w:rsidRPr="00A52AB8">
        <w:rPr>
          <w:color w:val="000000" w:themeColor="text1"/>
        </w:rPr>
        <w:t> =</w:t>
      </w:r>
      <w:r w:rsidR="00044CFF" w:rsidRPr="00A52AB8">
        <w:rPr>
          <w:color w:val="000000" w:themeColor="text1"/>
        </w:rPr>
        <w:br/>
      </w:r>
      <w:r w:rsidR="00A145F8" w:rsidRPr="00A52AB8">
        <w:rPr>
          <w:color w:val="000000" w:themeColor="text1"/>
        </w:rPr>
        <w:tab/>
      </w:r>
      <w:r w:rsidR="00A145F8" w:rsidRPr="00A52AB8">
        <w:rPr>
          <w:color w:val="000000" w:themeColor="text1"/>
        </w:rPr>
        <w:tab/>
      </w:r>
      <w:r w:rsidR="00A145F8" w:rsidRPr="00A52AB8">
        <w:rPr>
          <w:color w:val="000000" w:themeColor="text1"/>
        </w:rPr>
        <w:tab/>
      </w:r>
      <w:r w:rsidRPr="00A52AB8">
        <w:rPr>
          <w:color w:val="000000" w:themeColor="text1"/>
        </w:rPr>
        <w:tab/>
      </w:r>
      <w:r w:rsidR="00A145F8" w:rsidRPr="00A52AB8">
        <w:rPr>
          <w:color w:val="000000" w:themeColor="text1"/>
        </w:rPr>
        <w:tab/>
      </w:r>
      <w:r w:rsidR="00A145F8" w:rsidRPr="00A52AB8">
        <w:rPr>
          <w:color w:val="000000" w:themeColor="text1"/>
        </w:rPr>
        <w:tab/>
      </w:r>
      <w:r w:rsidR="00A145F8" w:rsidRPr="00A52AB8">
        <w:rPr>
          <w:color w:val="000000" w:themeColor="text1"/>
        </w:rPr>
        <w:tab/>
      </w:r>
      <w:r w:rsidR="00A145F8" w:rsidRPr="00A52AB8">
        <w:rPr>
          <w:color w:val="000000" w:themeColor="text1"/>
        </w:rPr>
        <w:tab/>
      </w:r>
      <w:r w:rsidR="00A145F8" w:rsidRPr="00A52AB8">
        <w:rPr>
          <w:color w:val="000000" w:themeColor="text1"/>
        </w:rPr>
        <w:tab/>
      </w:r>
      <w:r w:rsidR="00A145F8" w:rsidRPr="00A52AB8">
        <w:rPr>
          <w:color w:val="000000" w:themeColor="text1"/>
        </w:rPr>
        <w:tab/>
        <w:t>inputSamples[ m ][ f ][ c ]</w:t>
      </w:r>
      <w:r w:rsidR="004B7314" w:rsidRPr="00A52AB8">
        <w:rPr>
          <w:color w:val="000000" w:themeColor="text1"/>
        </w:rPr>
        <w:t>[ y ][ x ]</w:t>
      </w:r>
      <w:r w:rsidR="00827561" w:rsidRPr="00A52AB8">
        <w:rPr>
          <w:color w:val="000000" w:themeColor="text1"/>
        </w:rPr>
        <w:br/>
      </w:r>
      <w:r w:rsidR="00827561" w:rsidRPr="00A52AB8">
        <w:rPr>
          <w:color w:val="000000" w:themeColor="text1"/>
        </w:rPr>
        <w:tab/>
      </w:r>
      <w:r w:rsidR="00827561" w:rsidRPr="00A52AB8">
        <w:rPr>
          <w:color w:val="000000" w:themeColor="text1"/>
        </w:rPr>
        <w:tab/>
      </w:r>
      <w:r w:rsidR="00827561" w:rsidRPr="00A52AB8">
        <w:rPr>
          <w:color w:val="000000" w:themeColor="text1"/>
        </w:rPr>
        <w:tab/>
      </w:r>
      <w:r w:rsidR="00827561" w:rsidRPr="00A52AB8">
        <w:rPr>
          <w:color w:val="000000" w:themeColor="text1"/>
        </w:rPr>
        <w:tab/>
        <w:t>}</w:t>
      </w:r>
      <w:r w:rsidR="00044CFF" w:rsidRPr="00A52AB8">
        <w:rPr>
          <w:color w:val="000000" w:themeColor="text1"/>
        </w:rPr>
        <w:br/>
      </w:r>
      <w:r w:rsidR="00A145F8" w:rsidRPr="00A52AB8">
        <w:rPr>
          <w:color w:val="000000" w:themeColor="text1"/>
        </w:rPr>
        <w:tab/>
      </w:r>
      <w:r w:rsidR="00A145F8" w:rsidRPr="00A52AB8">
        <w:rPr>
          <w:color w:val="000000" w:themeColor="text1"/>
        </w:rPr>
        <w:tab/>
      </w:r>
      <w:r w:rsidRPr="00A52AB8">
        <w:rPr>
          <w:color w:val="000000" w:themeColor="text1"/>
        </w:rPr>
        <w:tab/>
      </w:r>
      <w:r w:rsidR="00A145F8" w:rsidRPr="00A52AB8">
        <w:rPr>
          <w:color w:val="000000" w:themeColor="text1"/>
        </w:rPr>
        <w:t>}</w:t>
      </w:r>
      <w:r w:rsidR="00044CFF" w:rsidRPr="00A52AB8">
        <w:rPr>
          <w:color w:val="000000" w:themeColor="text1"/>
        </w:rPr>
        <w:br/>
      </w:r>
      <w:r w:rsidR="00A145F8" w:rsidRPr="00A52AB8">
        <w:rPr>
          <w:color w:val="000000" w:themeColor="text1"/>
        </w:rPr>
        <w:tab/>
      </w:r>
      <w:r w:rsidRPr="00A52AB8">
        <w:rPr>
          <w:color w:val="000000" w:themeColor="text1"/>
        </w:rPr>
        <w:tab/>
      </w:r>
      <w:r w:rsidR="00A145F8" w:rsidRPr="00A52AB8">
        <w:rPr>
          <w:color w:val="000000" w:themeColor="text1"/>
        </w:rPr>
        <w:t>}</w:t>
      </w:r>
      <w:r w:rsidR="00044CFF" w:rsidRPr="00A52AB8">
        <w:rPr>
          <w:color w:val="000000" w:themeColor="text1"/>
        </w:rPr>
        <w:br/>
      </w:r>
      <w:r w:rsidRPr="00A52AB8">
        <w:rPr>
          <w:lang w:eastAsia="ja-JP"/>
        </w:rPr>
        <w:tab/>
      </w:r>
      <w:r w:rsidR="00A145F8" w:rsidRPr="00A52AB8">
        <w:rPr>
          <w:lang w:eastAsia="ja-JP"/>
        </w:rPr>
        <w:t>}</w:t>
      </w:r>
      <w:bookmarkEnd w:id="4857"/>
    </w:p>
    <w:p w14:paraId="371300A3" w14:textId="77777777" w:rsidR="00957277" w:rsidRPr="00A52AB8" w:rsidRDefault="0037369A" w:rsidP="005A2B6A">
      <w:pPr>
        <w:pStyle w:val="a3"/>
        <w:numPr>
          <w:ilvl w:val="2"/>
          <w:numId w:val="19"/>
        </w:numPr>
      </w:pPr>
      <w:bookmarkStart w:id="4860" w:name="_Ref47888149"/>
      <w:bookmarkStart w:id="4861" w:name="_Ref47888150"/>
      <w:bookmarkStart w:id="4862" w:name="_Toc52181663"/>
      <w:bookmarkEnd w:id="4833"/>
      <w:r w:rsidRPr="00A52AB8">
        <w:t>Bit</w:t>
      </w:r>
      <w:r w:rsidR="00BD1BF4" w:rsidRPr="00A52AB8">
        <w:t xml:space="preserve"> </w:t>
      </w:r>
      <w:r w:rsidRPr="00A52AB8">
        <w:t>depth conversion</w:t>
      </w:r>
      <w:bookmarkEnd w:id="4860"/>
      <w:bookmarkEnd w:id="4861"/>
      <w:bookmarkEnd w:id="4862"/>
    </w:p>
    <w:p w14:paraId="6F0C3957" w14:textId="77777777" w:rsidR="00957277" w:rsidRPr="00A52AB8" w:rsidRDefault="00957277" w:rsidP="003819BE">
      <w:pPr>
        <w:rPr>
          <w:lang w:eastAsia="ja-JP"/>
        </w:rPr>
      </w:pPr>
      <w:r w:rsidRPr="00A52AB8">
        <w:rPr>
          <w:lang w:eastAsia="ja-JP"/>
        </w:rPr>
        <w:t>Inputs to this process are:</w:t>
      </w:r>
    </w:p>
    <w:p w14:paraId="3E7F07C4" w14:textId="4A08A760" w:rsidR="003B53E9" w:rsidRPr="00A52AB8" w:rsidRDefault="003B53E9"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variable</w:t>
      </w:r>
      <w:r w:rsidR="00957277" w:rsidRPr="00A52AB8">
        <w:rPr>
          <w:color w:val="000000" w:themeColor="text1"/>
        </w:rPr>
        <w:t xml:space="preserve"> </w:t>
      </w:r>
      <w:r w:rsidR="00BD1BF4" w:rsidRPr="00A52AB8">
        <w:rPr>
          <w:color w:val="000000" w:themeColor="text1"/>
        </w:rPr>
        <w:t>inputBitDepth</w:t>
      </w:r>
      <w:r w:rsidR="00957277" w:rsidRPr="00A52AB8">
        <w:rPr>
          <w:color w:val="000000" w:themeColor="text1"/>
        </w:rPr>
        <w:t xml:space="preserve">, </w:t>
      </w:r>
      <w:r w:rsidRPr="00A52AB8">
        <w:rPr>
          <w:color w:val="000000" w:themeColor="text1"/>
        </w:rPr>
        <w:t>indicating the bit depth of inputSamples</w:t>
      </w:r>
      <w:r w:rsidR="000705EA" w:rsidRPr="00A52AB8">
        <w:rPr>
          <w:color w:val="000000" w:themeColor="text1"/>
        </w:rPr>
        <w:t>,</w:t>
      </w:r>
    </w:p>
    <w:p w14:paraId="51D4C2E9" w14:textId="77777777" w:rsidR="0050235C" w:rsidRPr="00A52AB8" w:rsidRDefault="003B53E9"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variable </w:t>
      </w:r>
      <w:r w:rsidR="00732BEE" w:rsidRPr="00A52AB8">
        <w:rPr>
          <w:color w:val="000000" w:themeColor="text1"/>
        </w:rPr>
        <w:t xml:space="preserve">inputHeight, </w:t>
      </w:r>
      <w:r w:rsidRPr="00A52AB8">
        <w:rPr>
          <w:color w:val="000000" w:themeColor="text1"/>
        </w:rPr>
        <w:t>indicating the height of inputSamples</w:t>
      </w:r>
      <w:r w:rsidR="000705EA" w:rsidRPr="00A52AB8">
        <w:rPr>
          <w:color w:val="000000" w:themeColor="text1"/>
        </w:rPr>
        <w:t>,</w:t>
      </w:r>
    </w:p>
    <w:p w14:paraId="22DAF81A" w14:textId="77777777" w:rsidR="0050235C" w:rsidRPr="00A52AB8" w:rsidRDefault="003B53E9"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variable</w:t>
      </w:r>
      <w:r w:rsidR="00957277" w:rsidRPr="00A52AB8">
        <w:rPr>
          <w:color w:val="000000" w:themeColor="text1"/>
        </w:rPr>
        <w:t xml:space="preserve"> inputWidth, </w:t>
      </w:r>
      <w:r w:rsidRPr="00A52AB8">
        <w:rPr>
          <w:color w:val="000000" w:themeColor="text1"/>
        </w:rPr>
        <w:t>indicating the width of inputSamples</w:t>
      </w:r>
      <w:r w:rsidR="000705EA" w:rsidRPr="00A52AB8">
        <w:rPr>
          <w:color w:val="000000" w:themeColor="text1"/>
        </w:rPr>
        <w:t>,</w:t>
      </w:r>
    </w:p>
    <w:p w14:paraId="7855C22D" w14:textId="77777777" w:rsidR="0050235C" w:rsidRPr="00A52AB8" w:rsidRDefault="003B53E9"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variable</w:t>
      </w:r>
      <w:r w:rsidR="00957277" w:rsidRPr="00A52AB8">
        <w:rPr>
          <w:color w:val="000000" w:themeColor="text1"/>
        </w:rPr>
        <w:t xml:space="preserve"> </w:t>
      </w:r>
      <w:r w:rsidR="00BD1BF4" w:rsidRPr="00A52AB8">
        <w:rPr>
          <w:color w:val="000000" w:themeColor="text1"/>
        </w:rPr>
        <w:t>nominalBitDepth</w:t>
      </w:r>
      <w:r w:rsidR="00957277" w:rsidRPr="00A52AB8">
        <w:rPr>
          <w:color w:val="000000" w:themeColor="text1"/>
        </w:rPr>
        <w:t xml:space="preserve">, </w:t>
      </w:r>
      <w:r w:rsidRPr="00A52AB8">
        <w:rPr>
          <w:color w:val="000000" w:themeColor="text1"/>
        </w:rPr>
        <w:t>indicating the nominal bit depth</w:t>
      </w:r>
      <w:r w:rsidR="000705EA" w:rsidRPr="00A52AB8">
        <w:rPr>
          <w:color w:val="000000" w:themeColor="text1"/>
        </w:rPr>
        <w:t>,</w:t>
      </w:r>
    </w:p>
    <w:p w14:paraId="0C09FAF4" w14:textId="04B023E9" w:rsidR="00957277" w:rsidRPr="00A52AB8" w:rsidRDefault="003B53E9"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variable </w:t>
      </w:r>
      <w:r w:rsidR="00957277" w:rsidRPr="00A52AB8">
        <w:rPr>
          <w:color w:val="000000" w:themeColor="text1"/>
        </w:rPr>
        <w:t>alignmentFlag</w:t>
      </w:r>
      <w:r w:rsidRPr="00A52AB8">
        <w:rPr>
          <w:color w:val="000000" w:themeColor="text1"/>
        </w:rPr>
        <w:t>, indicating the MSB alignment</w:t>
      </w:r>
      <w:r w:rsidR="00747BF5" w:rsidRPr="00A52AB8">
        <w:rPr>
          <w:color w:val="000000" w:themeColor="text1"/>
        </w:rPr>
        <w:t>, and</w:t>
      </w:r>
    </w:p>
    <w:p w14:paraId="62B2A158" w14:textId="0149CDF9" w:rsidR="00747BF5" w:rsidRPr="00A52AB8" w:rsidRDefault="00747BF5" w:rsidP="00747BF5">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2D array inputSamples, of size inputHeight × inputWidth.</w:t>
      </w:r>
    </w:p>
    <w:p w14:paraId="6767DE1C" w14:textId="77777777" w:rsidR="0050235C" w:rsidRPr="00A52AB8" w:rsidRDefault="00957277" w:rsidP="003819BE">
      <w:pPr>
        <w:rPr>
          <w:lang w:eastAsia="ja-JP"/>
        </w:rPr>
      </w:pPr>
      <w:r w:rsidRPr="00A52AB8">
        <w:rPr>
          <w:lang w:eastAsia="ja-JP"/>
        </w:rPr>
        <w:t>Ou</w:t>
      </w:r>
      <w:r w:rsidR="00A057D9" w:rsidRPr="00A52AB8">
        <w:rPr>
          <w:lang w:eastAsia="ja-JP"/>
        </w:rPr>
        <w:t>t</w:t>
      </w:r>
      <w:r w:rsidRPr="00A52AB8">
        <w:rPr>
          <w:lang w:eastAsia="ja-JP"/>
        </w:rPr>
        <w:t>put of this process is:</w:t>
      </w:r>
    </w:p>
    <w:p w14:paraId="23FD687E" w14:textId="0D072D77" w:rsidR="00957277" w:rsidRPr="00A52AB8" w:rsidRDefault="0095727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w:t>
      </w:r>
      <w:r w:rsidR="00DA6ABF" w:rsidRPr="00A52AB8">
        <w:rPr>
          <w:color w:val="000000" w:themeColor="text1"/>
        </w:rPr>
        <w:t>2D</w:t>
      </w:r>
      <w:r w:rsidRPr="00A52AB8">
        <w:rPr>
          <w:color w:val="000000" w:themeColor="text1"/>
        </w:rPr>
        <w:t xml:space="preserve"> array outputSamples</w:t>
      </w:r>
      <w:r w:rsidR="00170FBD" w:rsidRPr="00A52AB8">
        <w:rPr>
          <w:color w:val="000000" w:themeColor="text1"/>
        </w:rPr>
        <w:t xml:space="preserve"> of size inputWidth × inputHeight</w:t>
      </w:r>
      <w:r w:rsidRPr="00A52AB8">
        <w:rPr>
          <w:color w:val="000000" w:themeColor="text1"/>
        </w:rPr>
        <w:t>.</w:t>
      </w:r>
    </w:p>
    <w:p w14:paraId="4B9E815D" w14:textId="77777777" w:rsidR="00957277" w:rsidRPr="00A52AB8" w:rsidRDefault="00957277" w:rsidP="003819BE">
      <w:pPr>
        <w:rPr>
          <w:lang w:eastAsia="ja-JP"/>
        </w:rPr>
      </w:pPr>
      <w:r w:rsidRPr="00A52AB8">
        <w:rPr>
          <w:lang w:eastAsia="ja-JP"/>
        </w:rPr>
        <w:t>The variable bit</w:t>
      </w:r>
      <w:r w:rsidR="00BD1BF4" w:rsidRPr="00A52AB8">
        <w:rPr>
          <w:lang w:eastAsia="ja-JP"/>
        </w:rPr>
        <w:t>D</w:t>
      </w:r>
      <w:r w:rsidRPr="00A52AB8">
        <w:rPr>
          <w:lang w:eastAsia="ja-JP"/>
        </w:rPr>
        <w:t>epthDifference is derived as follows:</w:t>
      </w:r>
    </w:p>
    <w:p w14:paraId="1AD5B397" w14:textId="0446ABCA" w:rsidR="00957277" w:rsidRPr="00A52AB8" w:rsidRDefault="00BD1BF4"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bitDepthDifference</w:t>
      </w:r>
      <w:r w:rsidR="00D47707" w:rsidRPr="00A52AB8">
        <w:rPr>
          <w:color w:val="000000" w:themeColor="text1"/>
        </w:rPr>
        <w:t> = </w:t>
      </w:r>
      <w:r w:rsidRPr="00A52AB8">
        <w:rPr>
          <w:color w:val="000000" w:themeColor="text1"/>
        </w:rPr>
        <w:t>inputBitDepth </w:t>
      </w:r>
      <w:r w:rsidR="00957277" w:rsidRPr="00A52AB8">
        <w:rPr>
          <w:color w:val="000000" w:themeColor="text1"/>
        </w:rPr>
        <w:t>– </w:t>
      </w:r>
      <w:r w:rsidRPr="00A52AB8">
        <w:rPr>
          <w:color w:val="000000" w:themeColor="text1"/>
        </w:rPr>
        <w:t>nominalBitDepth</w:t>
      </w:r>
    </w:p>
    <w:p w14:paraId="1357636D" w14:textId="77777777" w:rsidR="00957277" w:rsidRPr="00A52AB8" w:rsidRDefault="00957277" w:rsidP="003819BE">
      <w:r w:rsidRPr="00A52AB8">
        <w:rPr>
          <w:lang w:eastAsia="ja-JP"/>
        </w:rPr>
        <w:t>Then the array outputSamples is generated in the following manner:</w:t>
      </w:r>
    </w:p>
    <w:p w14:paraId="1A8E0F96" w14:textId="70F8DF01" w:rsidR="00957277" w:rsidRPr="00A52AB8" w:rsidRDefault="00DA6ABF" w:rsidP="003819BE">
      <w:pPr>
        <w:rPr>
          <w:lang w:eastAsia="ja-JP"/>
        </w:rPr>
      </w:pPr>
      <w:r w:rsidRPr="00A52AB8">
        <w:rPr>
          <w:color w:val="000000" w:themeColor="text1"/>
        </w:rPr>
        <w:tab/>
      </w:r>
      <w:r w:rsidR="00957277" w:rsidRPr="00A52AB8">
        <w:rPr>
          <w:color w:val="000000" w:themeColor="text1"/>
        </w:rPr>
        <w:t>if(</w:t>
      </w:r>
      <w:r w:rsidR="00747BF5" w:rsidRPr="00A52AB8">
        <w:rPr>
          <w:color w:val="000000" w:themeColor="text1"/>
        </w:rPr>
        <w:t> </w:t>
      </w:r>
      <w:r w:rsidR="00957277" w:rsidRPr="00A52AB8">
        <w:rPr>
          <w:color w:val="000000" w:themeColor="text1"/>
        </w:rPr>
        <w:t>( </w:t>
      </w:r>
      <w:r w:rsidR="00BD1BF4" w:rsidRPr="00A52AB8">
        <w:rPr>
          <w:color w:val="000000" w:themeColor="text1"/>
        </w:rPr>
        <w:t>bitDepthDifference </w:t>
      </w:r>
      <w:r w:rsidR="00957277" w:rsidRPr="00A52AB8">
        <w:rPr>
          <w:color w:val="000000" w:themeColor="text1"/>
        </w:rPr>
        <w:t>&gt; 0 )</w:t>
      </w:r>
      <w:r w:rsidR="008768E9" w:rsidRPr="00A52AB8">
        <w:rPr>
          <w:color w:val="000000" w:themeColor="text1"/>
        </w:rPr>
        <w:t> &amp;&amp; </w:t>
      </w:r>
      <w:r w:rsidR="00957277" w:rsidRPr="00A52AB8">
        <w:rPr>
          <w:color w:val="000000" w:themeColor="text1"/>
        </w:rPr>
        <w:t>( alignmentFlag</w:t>
      </w:r>
      <w:r w:rsidR="008768E9" w:rsidRPr="00A52AB8">
        <w:rPr>
          <w:color w:val="000000" w:themeColor="text1"/>
        </w:rPr>
        <w:t> </w:t>
      </w:r>
      <w:r w:rsidR="00726AAE" w:rsidRPr="00A52AB8">
        <w:rPr>
          <w:color w:val="000000" w:themeColor="text1"/>
        </w:rPr>
        <w:t>==</w:t>
      </w:r>
      <w:r w:rsidR="00D47707" w:rsidRPr="00A52AB8">
        <w:rPr>
          <w:color w:val="000000" w:themeColor="text1"/>
        </w:rPr>
        <w:t> </w:t>
      </w:r>
      <w:r w:rsidR="00957277" w:rsidRPr="00A52AB8">
        <w:rPr>
          <w:color w:val="000000" w:themeColor="text1"/>
        </w:rPr>
        <w:t>1</w:t>
      </w:r>
      <w:r w:rsidR="00747BF5" w:rsidRPr="00A52AB8">
        <w:rPr>
          <w:color w:val="000000" w:themeColor="text1"/>
        </w:rPr>
        <w:t> </w:t>
      </w:r>
      <w:r w:rsidR="00957277" w:rsidRPr="00A52AB8">
        <w:rPr>
          <w:color w:val="000000" w:themeColor="text1"/>
        </w:rPr>
        <w:t>)</w:t>
      </w:r>
      <w:r w:rsidR="00747BF5" w:rsidRPr="00A52AB8">
        <w:rPr>
          <w:color w:val="000000" w:themeColor="text1"/>
        </w:rPr>
        <w:t> </w:t>
      </w:r>
      <w:r w:rsidR="008F1F82" w:rsidRPr="00A52AB8">
        <w:rPr>
          <w:color w:val="000000" w:themeColor="text1"/>
        </w:rPr>
        <w:t>) {</w:t>
      </w:r>
      <w:r w:rsidR="00E875F2" w:rsidRPr="00A52AB8">
        <w:rPr>
          <w:color w:val="000000" w:themeColor="text1"/>
        </w:rPr>
        <w:br/>
      </w:r>
      <w:r w:rsidR="00957277" w:rsidRPr="00A52AB8">
        <w:rPr>
          <w:color w:val="000000" w:themeColor="text1"/>
        </w:rPr>
        <w:tab/>
      </w:r>
      <w:r w:rsidRPr="00A52AB8">
        <w:rPr>
          <w:color w:val="000000" w:themeColor="text1"/>
        </w:rPr>
        <w:tab/>
      </w:r>
      <w:r w:rsidR="00957277" w:rsidRPr="00A52AB8">
        <w:rPr>
          <w:color w:val="000000" w:themeColor="text1"/>
        </w:rPr>
        <w:t>for( y=0; y &lt; inputHeight; y</w:t>
      </w:r>
      <w:r w:rsidR="00006CCF" w:rsidRPr="00A52AB8">
        <w:rPr>
          <w:color w:val="000000" w:themeColor="text1"/>
        </w:rPr>
        <w:t>++ )</w:t>
      </w:r>
      <w:r w:rsidR="00957277" w:rsidRPr="00A52AB8">
        <w:rPr>
          <w:color w:val="000000" w:themeColor="text1"/>
        </w:rPr>
        <w:br/>
      </w:r>
      <w:r w:rsidR="00957277" w:rsidRPr="00A52AB8">
        <w:rPr>
          <w:color w:val="000000" w:themeColor="text1"/>
        </w:rPr>
        <w:tab/>
      </w:r>
      <w:r w:rsidRPr="00A52AB8">
        <w:rPr>
          <w:color w:val="000000" w:themeColor="text1"/>
        </w:rPr>
        <w:tab/>
      </w:r>
      <w:r w:rsidR="00957277" w:rsidRPr="00A52AB8">
        <w:rPr>
          <w:color w:val="000000" w:themeColor="text1"/>
        </w:rPr>
        <w:tab/>
        <w:t>for( x=0; x &lt; inputWidth; x</w:t>
      </w:r>
      <w:r w:rsidR="00006CCF" w:rsidRPr="00A52AB8">
        <w:rPr>
          <w:color w:val="000000" w:themeColor="text1"/>
        </w:rPr>
        <w:t>++ )</w:t>
      </w:r>
      <w:r w:rsidR="00E875F2" w:rsidRPr="00A52AB8">
        <w:rPr>
          <w:color w:val="000000" w:themeColor="text1"/>
        </w:rPr>
        <w:br/>
      </w:r>
      <w:r w:rsidR="00957277" w:rsidRPr="00A52AB8">
        <w:rPr>
          <w:color w:val="000000" w:themeColor="text1"/>
        </w:rPr>
        <w:tab/>
      </w:r>
      <w:r w:rsidRPr="00A52AB8">
        <w:rPr>
          <w:color w:val="000000" w:themeColor="text1"/>
        </w:rPr>
        <w:tab/>
      </w:r>
      <w:r w:rsidR="00957277" w:rsidRPr="00A52AB8">
        <w:rPr>
          <w:color w:val="000000" w:themeColor="text1"/>
        </w:rPr>
        <w:tab/>
      </w:r>
      <w:r w:rsidR="00957277" w:rsidRPr="00A52AB8">
        <w:rPr>
          <w:color w:val="000000" w:themeColor="text1"/>
        </w:rPr>
        <w:tab/>
        <w:t>outputSamples</w:t>
      </w:r>
      <w:r w:rsidR="004B7314" w:rsidRPr="00A52AB8">
        <w:t>[ y ][ x ]</w:t>
      </w:r>
      <w:r w:rsidR="00D47707" w:rsidRPr="00A52AB8">
        <w:t> = </w:t>
      </w:r>
      <w:r w:rsidR="00957277" w:rsidRPr="00A52AB8">
        <w:t>( inputSamples</w:t>
      </w:r>
      <w:r w:rsidR="004B7314" w:rsidRPr="00A52AB8">
        <w:t>[ y ][ x ]</w:t>
      </w:r>
      <w:r w:rsidR="00957277" w:rsidRPr="00A52AB8">
        <w:t> &gt;&gt; </w:t>
      </w:r>
      <w:r w:rsidR="00BD1BF4" w:rsidRPr="00A52AB8">
        <w:rPr>
          <w:color w:val="000000" w:themeColor="text1"/>
        </w:rPr>
        <w:t>bitDepthDifference</w:t>
      </w:r>
      <w:r w:rsidR="00957277" w:rsidRPr="00A52AB8">
        <w:t>)</w:t>
      </w:r>
      <w:r w:rsidR="00E875F2" w:rsidRPr="00A52AB8">
        <w:br/>
      </w:r>
      <w:r w:rsidRPr="00A52AB8">
        <w:tab/>
      </w:r>
      <w:r w:rsidR="00957277" w:rsidRPr="00A52AB8">
        <w:t>}</w:t>
      </w:r>
      <w:r w:rsidR="00E875F2" w:rsidRPr="00A52AB8">
        <w:br/>
      </w:r>
      <w:r w:rsidRPr="00A52AB8">
        <w:tab/>
      </w:r>
      <w:r w:rsidR="00957277" w:rsidRPr="00A52AB8">
        <w:t>else</w:t>
      </w:r>
      <w:r w:rsidR="006A6C9A" w:rsidRPr="00A52AB8">
        <w:t> </w:t>
      </w:r>
      <w:r w:rsidR="00957277" w:rsidRPr="00A52AB8">
        <w:rPr>
          <w:color w:val="000000" w:themeColor="text1"/>
        </w:rPr>
        <w:t>if(</w:t>
      </w:r>
      <w:r w:rsidR="00747BF5" w:rsidRPr="00A52AB8">
        <w:rPr>
          <w:color w:val="000000" w:themeColor="text1"/>
        </w:rPr>
        <w:t> </w:t>
      </w:r>
      <w:r w:rsidR="00957277" w:rsidRPr="00A52AB8">
        <w:rPr>
          <w:color w:val="000000" w:themeColor="text1"/>
        </w:rPr>
        <w:t>( </w:t>
      </w:r>
      <w:r w:rsidR="00BD1BF4" w:rsidRPr="00A52AB8">
        <w:rPr>
          <w:color w:val="000000" w:themeColor="text1"/>
        </w:rPr>
        <w:t>bitDepthDifference </w:t>
      </w:r>
      <w:r w:rsidR="00957277" w:rsidRPr="00A52AB8">
        <w:rPr>
          <w:color w:val="000000" w:themeColor="text1"/>
        </w:rPr>
        <w:t>&gt; 0 )</w:t>
      </w:r>
      <w:r w:rsidR="00747BF5" w:rsidRPr="00A52AB8">
        <w:rPr>
          <w:color w:val="000000" w:themeColor="text1"/>
        </w:rPr>
        <w:t> </w:t>
      </w:r>
      <w:r w:rsidR="008F1F82" w:rsidRPr="00A52AB8">
        <w:rPr>
          <w:color w:val="000000" w:themeColor="text1"/>
        </w:rPr>
        <w:t>) {</w:t>
      </w:r>
      <w:r w:rsidR="006A6C9A" w:rsidRPr="00A52AB8">
        <w:rPr>
          <w:color w:val="000000" w:themeColor="text1"/>
        </w:rPr>
        <w:br/>
      </w:r>
      <w:r w:rsidRPr="00A52AB8">
        <w:tab/>
      </w:r>
      <w:r w:rsidR="00957277" w:rsidRPr="00A52AB8">
        <w:rPr>
          <w:color w:val="000000" w:themeColor="text1"/>
        </w:rPr>
        <w:tab/>
        <w:t>for( y=0; y &lt; inputHeight; y</w:t>
      </w:r>
      <w:r w:rsidR="00006CCF" w:rsidRPr="00A52AB8">
        <w:rPr>
          <w:color w:val="000000" w:themeColor="text1"/>
        </w:rPr>
        <w:t>++ )</w:t>
      </w:r>
      <w:r w:rsidR="00957277" w:rsidRPr="00A52AB8">
        <w:rPr>
          <w:color w:val="000000" w:themeColor="text1"/>
        </w:rPr>
        <w:br/>
      </w:r>
      <w:r w:rsidRPr="00A52AB8">
        <w:rPr>
          <w:color w:val="000000" w:themeColor="text1"/>
        </w:rPr>
        <w:tab/>
      </w:r>
      <w:r w:rsidR="00957277" w:rsidRPr="00A52AB8">
        <w:rPr>
          <w:color w:val="000000" w:themeColor="text1"/>
        </w:rPr>
        <w:tab/>
      </w:r>
      <w:r w:rsidR="00957277" w:rsidRPr="00A52AB8">
        <w:rPr>
          <w:color w:val="000000" w:themeColor="text1"/>
        </w:rPr>
        <w:tab/>
        <w:t>for( x=0; x &lt; inputWidth; x</w:t>
      </w:r>
      <w:r w:rsidR="00006CCF" w:rsidRPr="00A52AB8">
        <w:rPr>
          <w:color w:val="000000" w:themeColor="text1"/>
        </w:rPr>
        <w:t>++ )</w:t>
      </w:r>
      <w:r w:rsidR="006A6C9A" w:rsidRPr="00A52AB8">
        <w:rPr>
          <w:color w:val="000000" w:themeColor="text1"/>
        </w:rPr>
        <w:br/>
      </w:r>
      <w:r w:rsidRPr="00A52AB8">
        <w:rPr>
          <w:color w:val="000000" w:themeColor="text1"/>
        </w:rPr>
        <w:tab/>
      </w:r>
      <w:r w:rsidR="00957277" w:rsidRPr="00A52AB8">
        <w:rPr>
          <w:color w:val="000000" w:themeColor="text1"/>
        </w:rPr>
        <w:tab/>
      </w:r>
      <w:r w:rsidR="00957277" w:rsidRPr="00A52AB8">
        <w:rPr>
          <w:color w:val="000000" w:themeColor="text1"/>
        </w:rPr>
        <w:tab/>
      </w:r>
      <w:r w:rsidR="00957277" w:rsidRPr="00A52AB8">
        <w:rPr>
          <w:color w:val="000000" w:themeColor="text1"/>
        </w:rPr>
        <w:tab/>
        <w:t>outputSamples</w:t>
      </w:r>
      <w:r w:rsidR="004B7314" w:rsidRPr="00A52AB8">
        <w:t>[ y ][ x ]</w:t>
      </w:r>
      <w:r w:rsidR="00D47707" w:rsidRPr="00A52AB8">
        <w:t> = </w:t>
      </w:r>
      <w:r w:rsidR="00957277" w:rsidRPr="00A52AB8">
        <w:t>Min( inputSamples</w:t>
      </w:r>
      <w:r w:rsidR="004B7314" w:rsidRPr="00A52AB8">
        <w:t>[ y ][ x ]</w:t>
      </w:r>
      <w:r w:rsidR="00957277" w:rsidRPr="00A52AB8">
        <w:t>, (</w:t>
      </w:r>
      <w:r w:rsidR="00295663" w:rsidRPr="00A52AB8">
        <w:t> </w:t>
      </w:r>
      <w:r w:rsidR="00957277" w:rsidRPr="00A52AB8">
        <w:t>1 &lt;&lt;</w:t>
      </w:r>
      <w:r w:rsidR="00766CC9" w:rsidRPr="00A52AB8">
        <w:t> </w:t>
      </w:r>
      <w:r w:rsidR="00BD1BF4" w:rsidRPr="00A52AB8">
        <w:rPr>
          <w:color w:val="000000" w:themeColor="text1"/>
        </w:rPr>
        <w:t>nominalBitDepth</w:t>
      </w:r>
      <w:r w:rsidR="00BD1BF4" w:rsidRPr="00A52AB8">
        <w:t> </w:t>
      </w:r>
      <w:r w:rsidR="00957277" w:rsidRPr="00A52AB8">
        <w:t>) – 1 )</w:t>
      </w:r>
      <w:r w:rsidR="006A6C9A" w:rsidRPr="00A52AB8">
        <w:br/>
      </w:r>
      <w:r w:rsidRPr="00A52AB8">
        <w:tab/>
      </w:r>
      <w:r w:rsidR="00957277" w:rsidRPr="00A52AB8">
        <w:t>}</w:t>
      </w:r>
      <w:r w:rsidR="00747BF5" w:rsidRPr="00A52AB8">
        <w:t> </w:t>
      </w:r>
      <w:r w:rsidR="00957277" w:rsidRPr="00A52AB8">
        <w:t>else</w:t>
      </w:r>
      <w:r w:rsidR="006A6C9A" w:rsidRPr="00A52AB8">
        <w:t> </w:t>
      </w:r>
      <w:r w:rsidR="00957277" w:rsidRPr="00A52AB8">
        <w:rPr>
          <w:color w:val="000000" w:themeColor="text1"/>
        </w:rPr>
        <w:t>if( alignmentFlag</w:t>
      </w:r>
      <w:r w:rsidR="008768E9" w:rsidRPr="00A52AB8">
        <w:rPr>
          <w:color w:val="000000" w:themeColor="text1"/>
        </w:rPr>
        <w:t> </w:t>
      </w:r>
      <w:r w:rsidR="00726AAE" w:rsidRPr="00A52AB8">
        <w:rPr>
          <w:color w:val="000000" w:themeColor="text1"/>
        </w:rPr>
        <w:t>==</w:t>
      </w:r>
      <w:r w:rsidR="00D47707" w:rsidRPr="00A52AB8">
        <w:rPr>
          <w:color w:val="000000" w:themeColor="text1"/>
        </w:rPr>
        <w:t> </w:t>
      </w:r>
      <w:r w:rsidR="00957277" w:rsidRPr="00A52AB8">
        <w:rPr>
          <w:color w:val="000000" w:themeColor="text1"/>
        </w:rPr>
        <w:t>1 </w:t>
      </w:r>
      <w:r w:rsidR="008F1F82" w:rsidRPr="00A52AB8">
        <w:rPr>
          <w:color w:val="000000" w:themeColor="text1"/>
        </w:rPr>
        <w:t>) {</w:t>
      </w:r>
      <w:r w:rsidR="006A6C9A" w:rsidRPr="00A52AB8">
        <w:rPr>
          <w:color w:val="000000" w:themeColor="text1"/>
        </w:rPr>
        <w:br/>
      </w:r>
      <w:r w:rsidRPr="00A52AB8">
        <w:rPr>
          <w:color w:val="000000" w:themeColor="text1"/>
        </w:rPr>
        <w:tab/>
      </w:r>
      <w:r w:rsidR="00957277" w:rsidRPr="00A52AB8">
        <w:rPr>
          <w:color w:val="000000" w:themeColor="text1"/>
        </w:rPr>
        <w:tab/>
        <w:t>for( y=0; y &lt; inputHeight; y</w:t>
      </w:r>
      <w:r w:rsidR="00006CCF" w:rsidRPr="00A52AB8">
        <w:rPr>
          <w:color w:val="000000" w:themeColor="text1"/>
        </w:rPr>
        <w:t>++ )</w:t>
      </w:r>
      <w:r w:rsidR="00957277" w:rsidRPr="00A52AB8">
        <w:rPr>
          <w:color w:val="000000" w:themeColor="text1"/>
        </w:rPr>
        <w:br/>
      </w:r>
      <w:r w:rsidRPr="00A52AB8">
        <w:rPr>
          <w:color w:val="000000" w:themeColor="text1"/>
        </w:rPr>
        <w:tab/>
      </w:r>
      <w:r w:rsidR="00957277" w:rsidRPr="00A52AB8">
        <w:rPr>
          <w:color w:val="000000" w:themeColor="text1"/>
        </w:rPr>
        <w:tab/>
      </w:r>
      <w:r w:rsidR="00957277" w:rsidRPr="00A52AB8">
        <w:rPr>
          <w:color w:val="000000" w:themeColor="text1"/>
        </w:rPr>
        <w:tab/>
        <w:t>for( x=0; x &lt; inputWidth; x</w:t>
      </w:r>
      <w:r w:rsidR="00006CCF" w:rsidRPr="00A52AB8">
        <w:rPr>
          <w:color w:val="000000" w:themeColor="text1"/>
        </w:rPr>
        <w:t>++ )</w:t>
      </w:r>
      <w:r w:rsidR="006A6C9A" w:rsidRPr="00A52AB8">
        <w:rPr>
          <w:color w:val="000000" w:themeColor="text1"/>
        </w:rPr>
        <w:br/>
      </w:r>
      <w:r w:rsidRPr="00A52AB8">
        <w:rPr>
          <w:color w:val="000000" w:themeColor="text1"/>
        </w:rPr>
        <w:tab/>
      </w:r>
      <w:r w:rsidR="00957277" w:rsidRPr="00A52AB8">
        <w:rPr>
          <w:color w:val="000000" w:themeColor="text1"/>
        </w:rPr>
        <w:tab/>
      </w:r>
      <w:r w:rsidR="00957277" w:rsidRPr="00A52AB8">
        <w:rPr>
          <w:color w:val="000000" w:themeColor="text1"/>
        </w:rPr>
        <w:tab/>
      </w:r>
      <w:r w:rsidR="00957277" w:rsidRPr="00A52AB8">
        <w:rPr>
          <w:color w:val="000000" w:themeColor="text1"/>
        </w:rPr>
        <w:tab/>
        <w:t>outputSamples</w:t>
      </w:r>
      <w:r w:rsidR="004B7314" w:rsidRPr="00A52AB8">
        <w:t>[ y ][ x ]</w:t>
      </w:r>
      <w:r w:rsidR="00D47707" w:rsidRPr="00A52AB8">
        <w:t> = </w:t>
      </w:r>
      <w:r w:rsidR="00957277" w:rsidRPr="00A52AB8">
        <w:t>( inputSamples</w:t>
      </w:r>
      <w:r w:rsidR="004B7314" w:rsidRPr="00A52AB8">
        <w:t>[ y ][ x ]</w:t>
      </w:r>
      <w:r w:rsidR="00957277" w:rsidRPr="00A52AB8">
        <w:t> &lt;&lt;</w:t>
      </w:r>
      <w:r w:rsidR="00766CC9" w:rsidRPr="00A52AB8">
        <w:t> </w:t>
      </w:r>
      <w:r w:rsidR="00957277" w:rsidRPr="00A52AB8">
        <w:t>(-</w:t>
      </w:r>
      <w:r w:rsidR="00BD1BF4" w:rsidRPr="00A52AB8">
        <w:rPr>
          <w:color w:val="000000" w:themeColor="text1"/>
        </w:rPr>
        <w:t>bitDepthDifference</w:t>
      </w:r>
      <w:r w:rsidR="00957277" w:rsidRPr="00A52AB8">
        <w:t>) )</w:t>
      </w:r>
      <w:r w:rsidR="006A6C9A" w:rsidRPr="00A52AB8">
        <w:br/>
      </w:r>
      <w:r w:rsidRPr="00A52AB8">
        <w:tab/>
      </w:r>
      <w:r w:rsidR="0023721F" w:rsidRPr="00A52AB8">
        <w:t>} else {</w:t>
      </w:r>
      <w:r w:rsidR="006A6C9A" w:rsidRPr="00A52AB8">
        <w:rPr>
          <w:color w:val="000000" w:themeColor="text1"/>
        </w:rPr>
        <w:br/>
      </w:r>
      <w:r w:rsidRPr="00A52AB8">
        <w:rPr>
          <w:color w:val="000000" w:themeColor="text1"/>
        </w:rPr>
        <w:tab/>
      </w:r>
      <w:r w:rsidR="00957277" w:rsidRPr="00A52AB8">
        <w:rPr>
          <w:color w:val="000000" w:themeColor="text1"/>
        </w:rPr>
        <w:tab/>
        <w:t>for( y=0; y &lt; inputHeight; y</w:t>
      </w:r>
      <w:r w:rsidR="00006CCF" w:rsidRPr="00A52AB8">
        <w:rPr>
          <w:color w:val="000000" w:themeColor="text1"/>
        </w:rPr>
        <w:t>++ )</w:t>
      </w:r>
      <w:r w:rsidR="00957277" w:rsidRPr="00A52AB8">
        <w:rPr>
          <w:color w:val="000000" w:themeColor="text1"/>
        </w:rPr>
        <w:br/>
      </w:r>
      <w:r w:rsidRPr="00A52AB8">
        <w:rPr>
          <w:color w:val="000000" w:themeColor="text1"/>
        </w:rPr>
        <w:tab/>
      </w:r>
      <w:r w:rsidR="00957277" w:rsidRPr="00A52AB8">
        <w:rPr>
          <w:color w:val="000000" w:themeColor="text1"/>
        </w:rPr>
        <w:tab/>
      </w:r>
      <w:r w:rsidR="00957277" w:rsidRPr="00A52AB8">
        <w:rPr>
          <w:color w:val="000000" w:themeColor="text1"/>
        </w:rPr>
        <w:tab/>
        <w:t>for( x=0; x &lt; inputWidth; x</w:t>
      </w:r>
      <w:r w:rsidR="00006CCF" w:rsidRPr="00A52AB8">
        <w:rPr>
          <w:color w:val="000000" w:themeColor="text1"/>
        </w:rPr>
        <w:t>++ )</w:t>
      </w:r>
      <w:r w:rsidR="006A6C9A" w:rsidRPr="00A52AB8">
        <w:rPr>
          <w:color w:val="000000" w:themeColor="text1"/>
        </w:rPr>
        <w:br/>
      </w:r>
      <w:r w:rsidRPr="00A52AB8">
        <w:rPr>
          <w:color w:val="000000" w:themeColor="text1"/>
        </w:rPr>
        <w:tab/>
      </w:r>
      <w:r w:rsidR="00957277" w:rsidRPr="00A52AB8">
        <w:rPr>
          <w:color w:val="000000" w:themeColor="text1"/>
        </w:rPr>
        <w:tab/>
      </w:r>
      <w:r w:rsidR="00957277" w:rsidRPr="00A52AB8">
        <w:rPr>
          <w:color w:val="000000" w:themeColor="text1"/>
        </w:rPr>
        <w:tab/>
      </w:r>
      <w:r w:rsidR="00957277" w:rsidRPr="00A52AB8">
        <w:rPr>
          <w:color w:val="000000" w:themeColor="text1"/>
        </w:rPr>
        <w:tab/>
        <w:t>outputSamples</w:t>
      </w:r>
      <w:r w:rsidR="004B7314" w:rsidRPr="00A52AB8">
        <w:t>[ y ][ x ]</w:t>
      </w:r>
      <w:r w:rsidR="00D47707" w:rsidRPr="00A52AB8">
        <w:t> = </w:t>
      </w:r>
      <w:r w:rsidR="00957277" w:rsidRPr="00A52AB8">
        <w:t>inputSamples</w:t>
      </w:r>
      <w:r w:rsidR="004B7314" w:rsidRPr="00A52AB8">
        <w:t>[ y ][ x ]</w:t>
      </w:r>
      <w:r w:rsidR="006A6C9A" w:rsidRPr="00A52AB8">
        <w:br/>
      </w:r>
      <w:r w:rsidRPr="00A52AB8">
        <w:rPr>
          <w:lang w:eastAsia="ja-JP"/>
        </w:rPr>
        <w:tab/>
      </w:r>
      <w:r w:rsidR="00957277" w:rsidRPr="00A52AB8">
        <w:rPr>
          <w:lang w:eastAsia="ja-JP"/>
        </w:rPr>
        <w:t>}</w:t>
      </w:r>
    </w:p>
    <w:p w14:paraId="56F8AFCD" w14:textId="77777777" w:rsidR="00957277" w:rsidRPr="00A52AB8" w:rsidRDefault="0037369A" w:rsidP="005A2B6A">
      <w:pPr>
        <w:pStyle w:val="a3"/>
        <w:numPr>
          <w:ilvl w:val="2"/>
          <w:numId w:val="19"/>
        </w:numPr>
      </w:pPr>
      <w:bookmarkStart w:id="4863" w:name="_Toc35407718"/>
      <w:bookmarkStart w:id="4864" w:name="_Ref38176627"/>
      <w:bookmarkStart w:id="4865" w:name="_Ref38185830"/>
      <w:bookmarkStart w:id="4866" w:name="_Ref38889942"/>
      <w:bookmarkStart w:id="4867" w:name="_Ref39059799"/>
      <w:bookmarkStart w:id="4868" w:name="_Ref39656686"/>
      <w:bookmarkStart w:id="4869" w:name="_Toc52181664"/>
      <w:r w:rsidRPr="00A52AB8">
        <w:t>R</w:t>
      </w:r>
      <w:r w:rsidR="00D136E3" w:rsidRPr="00A52AB8">
        <w:t>esolution</w:t>
      </w:r>
      <w:bookmarkEnd w:id="4863"/>
      <w:bookmarkEnd w:id="4864"/>
      <w:bookmarkEnd w:id="4865"/>
      <w:bookmarkEnd w:id="4866"/>
      <w:bookmarkEnd w:id="4867"/>
      <w:bookmarkEnd w:id="4868"/>
      <w:r w:rsidR="00D136E3" w:rsidRPr="00A52AB8" w:rsidDel="00D136E3">
        <w:t xml:space="preserve"> </w:t>
      </w:r>
      <w:r w:rsidRPr="00A52AB8">
        <w:t>conversion</w:t>
      </w:r>
      <w:bookmarkEnd w:id="4869"/>
    </w:p>
    <w:p w14:paraId="1D7D4229" w14:textId="77777777" w:rsidR="00D136E3" w:rsidRPr="00A52AB8" w:rsidRDefault="00D136E3" w:rsidP="003819BE">
      <w:pPr>
        <w:rPr>
          <w:lang w:eastAsia="ja-JP"/>
        </w:rPr>
      </w:pPr>
      <w:r w:rsidRPr="00A52AB8">
        <w:rPr>
          <w:lang w:eastAsia="ja-JP"/>
        </w:rPr>
        <w:t>Inputs to this process are:</w:t>
      </w:r>
    </w:p>
    <w:p w14:paraId="4A3A378F" w14:textId="68388233" w:rsidR="0039388F" w:rsidRPr="00A52AB8" w:rsidRDefault="0039388F"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variable</w:t>
      </w:r>
      <w:r w:rsidR="0050706D" w:rsidRPr="00A52AB8">
        <w:rPr>
          <w:color w:val="000000" w:themeColor="text1"/>
        </w:rPr>
        <w:t xml:space="preserve"> inputHeight</w:t>
      </w:r>
      <w:r w:rsidR="00FF7468" w:rsidRPr="00A52AB8">
        <w:rPr>
          <w:color w:val="000000" w:themeColor="text1"/>
        </w:rPr>
        <w:t>, indicating the height of inputSamples</w:t>
      </w:r>
    </w:p>
    <w:p w14:paraId="695FEDF1" w14:textId="0BC8C413" w:rsidR="00D136E3" w:rsidRPr="00A52AB8" w:rsidRDefault="0039388F"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variable </w:t>
      </w:r>
      <w:r w:rsidR="00D136E3" w:rsidRPr="00A52AB8">
        <w:rPr>
          <w:color w:val="000000" w:themeColor="text1"/>
        </w:rPr>
        <w:t>inputWidth</w:t>
      </w:r>
      <w:r w:rsidR="00FF7468" w:rsidRPr="00A52AB8">
        <w:rPr>
          <w:color w:val="000000" w:themeColor="text1"/>
        </w:rPr>
        <w:t>, indicating the width of inputSamples</w:t>
      </w:r>
    </w:p>
    <w:p w14:paraId="257A143B" w14:textId="77C5296D" w:rsidR="00D136E3" w:rsidRPr="00A52AB8" w:rsidRDefault="0039388F"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variable </w:t>
      </w:r>
      <w:r w:rsidR="00D136E3" w:rsidRPr="00A52AB8">
        <w:rPr>
          <w:color w:val="000000" w:themeColor="text1"/>
        </w:rPr>
        <w:t>nominalHeight</w:t>
      </w:r>
      <w:r w:rsidRPr="00A52AB8">
        <w:rPr>
          <w:color w:val="000000" w:themeColor="text1"/>
        </w:rPr>
        <w:t>, indicating the nominal height</w:t>
      </w:r>
      <w:r w:rsidR="00747BF5" w:rsidRPr="00A52AB8">
        <w:rPr>
          <w:color w:val="000000" w:themeColor="text1"/>
        </w:rPr>
        <w:t>, and</w:t>
      </w:r>
    </w:p>
    <w:p w14:paraId="0470040C" w14:textId="77777777" w:rsidR="001D0D26" w:rsidRPr="00A52AB8" w:rsidRDefault="001D0D26" w:rsidP="001D0D26">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variable nominalWidth, indicating the nominal width,</w:t>
      </w:r>
    </w:p>
    <w:p w14:paraId="7F8BEE06" w14:textId="61D3243F" w:rsidR="00747BF5" w:rsidRPr="00A52AB8" w:rsidRDefault="00747BF5" w:rsidP="00747BF5">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2D array inputSamples, of size inputHeight × inputWidth.</w:t>
      </w:r>
    </w:p>
    <w:p w14:paraId="79DE8A3B" w14:textId="77777777" w:rsidR="0050235C" w:rsidRPr="00A52AB8" w:rsidRDefault="00D136E3" w:rsidP="003819BE">
      <w:pPr>
        <w:rPr>
          <w:lang w:eastAsia="ja-JP"/>
        </w:rPr>
      </w:pPr>
      <w:r w:rsidRPr="00A52AB8">
        <w:rPr>
          <w:lang w:eastAsia="ja-JP"/>
        </w:rPr>
        <w:t>Output of this process is:</w:t>
      </w:r>
    </w:p>
    <w:p w14:paraId="1FC8DF0D" w14:textId="16C0B4A3" w:rsidR="00D136E3" w:rsidRPr="00A52AB8" w:rsidRDefault="00D136E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w:t>
      </w:r>
      <w:r w:rsidR="006405B6" w:rsidRPr="00A52AB8">
        <w:rPr>
          <w:color w:val="000000" w:themeColor="text1"/>
        </w:rPr>
        <w:t>2D</w:t>
      </w:r>
      <w:r w:rsidRPr="00A52AB8">
        <w:rPr>
          <w:color w:val="000000" w:themeColor="text1"/>
        </w:rPr>
        <w:t xml:space="preserve"> array outputSamples</w:t>
      </w:r>
      <w:r w:rsidR="006405B6" w:rsidRPr="00A52AB8">
        <w:rPr>
          <w:color w:val="000000" w:themeColor="text1"/>
        </w:rPr>
        <w:t xml:space="preserve"> of size nominalHeight × nominalWidth</w:t>
      </w:r>
      <w:r w:rsidRPr="00A52AB8">
        <w:rPr>
          <w:color w:val="000000" w:themeColor="text1"/>
        </w:rPr>
        <w:t>.</w:t>
      </w:r>
    </w:p>
    <w:p w14:paraId="22EB04C2" w14:textId="77777777" w:rsidR="0050235C" w:rsidRPr="00A52AB8" w:rsidRDefault="00D136E3" w:rsidP="003819BE">
      <w:pPr>
        <w:rPr>
          <w:lang w:eastAsia="ja-JP"/>
        </w:rPr>
      </w:pPr>
      <w:r w:rsidRPr="00A52AB8">
        <w:rPr>
          <w:lang w:eastAsia="ja-JP"/>
        </w:rPr>
        <w:t>The variables scaleY and scaleX are derived as follows:</w:t>
      </w:r>
    </w:p>
    <w:p w14:paraId="3E4AFC5D" w14:textId="5F3EFE0F" w:rsidR="00D136E3" w:rsidRPr="00A52AB8" w:rsidRDefault="00DA67ED" w:rsidP="003819BE">
      <w:r w:rsidRPr="00A52AB8">
        <w:rPr>
          <w:color w:val="000000" w:themeColor="text1"/>
        </w:rPr>
        <w:tab/>
      </w:r>
      <w:r w:rsidR="00D136E3" w:rsidRPr="00A52AB8">
        <w:rPr>
          <w:color w:val="000000" w:themeColor="text1"/>
        </w:rPr>
        <w:t>scaleY</w:t>
      </w:r>
      <w:r w:rsidR="00D47707" w:rsidRPr="00A52AB8">
        <w:rPr>
          <w:color w:val="000000" w:themeColor="text1"/>
        </w:rPr>
        <w:t> = </w:t>
      </w:r>
      <w:r w:rsidR="00D136E3" w:rsidRPr="00A52AB8">
        <w:rPr>
          <w:color w:val="000000" w:themeColor="text1"/>
        </w:rPr>
        <w:t>inputHeight </w:t>
      </w:r>
      <w:r w:rsidR="00D136E3" w:rsidRPr="00A52AB8">
        <w:sym w:font="Symbol" w:char="F0B8"/>
      </w:r>
      <w:r w:rsidR="00D136E3" w:rsidRPr="00A52AB8">
        <w:rPr>
          <w:color w:val="000000" w:themeColor="text1"/>
        </w:rPr>
        <w:t> nominalHeight</w:t>
      </w:r>
      <w:r w:rsidR="00BE5FFE" w:rsidRPr="00A52AB8">
        <w:rPr>
          <w:color w:val="000000" w:themeColor="text1"/>
        </w:rPr>
        <w:br/>
      </w:r>
      <w:r w:rsidRPr="00A52AB8">
        <w:tab/>
      </w:r>
      <w:r w:rsidR="00D136E3" w:rsidRPr="00A52AB8">
        <w:t>scaleX</w:t>
      </w:r>
      <w:r w:rsidR="00D47707" w:rsidRPr="00A52AB8">
        <w:t> = </w:t>
      </w:r>
      <w:r w:rsidR="00D136E3" w:rsidRPr="00A52AB8">
        <w:t>inputWidth </w:t>
      </w:r>
      <w:r w:rsidR="00D136E3" w:rsidRPr="00A52AB8">
        <w:sym w:font="Symbol" w:char="F0B8"/>
      </w:r>
      <w:r w:rsidR="00D136E3" w:rsidRPr="00A52AB8">
        <w:t> nominalWidth</w:t>
      </w:r>
    </w:p>
    <w:p w14:paraId="5DC053F9" w14:textId="77777777" w:rsidR="00D136E3" w:rsidRPr="00A52AB8" w:rsidRDefault="00D136E3" w:rsidP="003819BE">
      <w:r w:rsidRPr="00A52AB8">
        <w:rPr>
          <w:lang w:eastAsia="ja-JP"/>
        </w:rPr>
        <w:t xml:space="preserve">Then the array outputSamples is generated </w:t>
      </w:r>
      <w:r w:rsidR="00295663" w:rsidRPr="00A52AB8">
        <w:rPr>
          <w:lang w:eastAsia="ja-JP"/>
        </w:rPr>
        <w:t>as follows</w:t>
      </w:r>
      <w:r w:rsidRPr="00A52AB8">
        <w:rPr>
          <w:lang w:eastAsia="ja-JP"/>
        </w:rPr>
        <w:t>:</w:t>
      </w:r>
    </w:p>
    <w:p w14:paraId="7961CDE7" w14:textId="0EA56A3B" w:rsidR="006A28B0" w:rsidRPr="00A52AB8" w:rsidRDefault="00DA67ED" w:rsidP="00007BE2">
      <w:pPr>
        <w:tabs>
          <w:tab w:val="clear" w:pos="403"/>
        </w:tabs>
        <w:spacing w:line="240" w:lineRule="auto"/>
      </w:pPr>
      <w:r w:rsidRPr="00A52AB8">
        <w:rPr>
          <w:color w:val="000000" w:themeColor="text1"/>
        </w:rPr>
        <w:tab/>
      </w:r>
      <w:r w:rsidR="00D136E3" w:rsidRPr="00A52AB8">
        <w:rPr>
          <w:color w:val="000000" w:themeColor="text1"/>
        </w:rPr>
        <w:t>for( y=0; y &lt; nominalHeight; y</w:t>
      </w:r>
      <w:r w:rsidR="00006CCF" w:rsidRPr="00A52AB8">
        <w:rPr>
          <w:color w:val="000000" w:themeColor="text1"/>
        </w:rPr>
        <w:t>++ )</w:t>
      </w:r>
      <w:r w:rsidR="00D136E3" w:rsidRPr="00A52AB8">
        <w:rPr>
          <w:color w:val="000000" w:themeColor="text1"/>
        </w:rPr>
        <w:br/>
      </w:r>
      <w:r w:rsidR="00D136E3" w:rsidRPr="00A52AB8">
        <w:rPr>
          <w:color w:val="000000" w:themeColor="text1"/>
        </w:rPr>
        <w:tab/>
      </w:r>
      <w:r w:rsidRPr="00A52AB8">
        <w:rPr>
          <w:color w:val="000000" w:themeColor="text1"/>
        </w:rPr>
        <w:tab/>
      </w:r>
      <w:r w:rsidR="00D136E3" w:rsidRPr="00A52AB8">
        <w:rPr>
          <w:color w:val="000000" w:themeColor="text1"/>
        </w:rPr>
        <w:t>for( x=0; x &lt; nominalWidth; x</w:t>
      </w:r>
      <w:r w:rsidR="00006CCF" w:rsidRPr="00A52AB8">
        <w:rPr>
          <w:color w:val="000000" w:themeColor="text1"/>
        </w:rPr>
        <w:t>++ )</w:t>
      </w:r>
      <w:r w:rsidR="00BE5FFE" w:rsidRPr="00A52AB8">
        <w:rPr>
          <w:color w:val="000000" w:themeColor="text1"/>
        </w:rPr>
        <w:br/>
      </w:r>
      <w:r w:rsidR="00D136E3" w:rsidRPr="00A52AB8">
        <w:rPr>
          <w:color w:val="000000" w:themeColor="text1"/>
        </w:rPr>
        <w:tab/>
      </w:r>
      <w:r w:rsidR="00D136E3" w:rsidRPr="00A52AB8">
        <w:rPr>
          <w:color w:val="000000" w:themeColor="text1"/>
        </w:rPr>
        <w:tab/>
      </w:r>
      <w:r w:rsidRPr="00A52AB8">
        <w:rPr>
          <w:color w:val="000000" w:themeColor="text1"/>
        </w:rPr>
        <w:tab/>
      </w:r>
      <w:r w:rsidR="00D136E3" w:rsidRPr="00A52AB8">
        <w:rPr>
          <w:color w:val="000000" w:themeColor="text1"/>
        </w:rPr>
        <w:t>outputSamples</w:t>
      </w:r>
      <w:r w:rsidR="004B7314" w:rsidRPr="00A52AB8">
        <w:t>[ y ][ x ]</w:t>
      </w:r>
      <w:r w:rsidR="00D47707" w:rsidRPr="00A52AB8">
        <w:t> = </w:t>
      </w:r>
      <w:r w:rsidR="00D136E3" w:rsidRPr="00A52AB8">
        <w:t>inputSamples[ Floor( y </w:t>
      </w:r>
      <w:r w:rsidR="00D136E3" w:rsidRPr="00A52AB8">
        <w:rPr>
          <w:color w:val="000000" w:themeColor="text1"/>
        </w:rPr>
        <w:t>*</w:t>
      </w:r>
      <w:r w:rsidR="00D136E3" w:rsidRPr="00A52AB8">
        <w:t> </w:t>
      </w:r>
      <w:r w:rsidR="00D136E3" w:rsidRPr="00A52AB8">
        <w:rPr>
          <w:color w:val="000000" w:themeColor="text1"/>
        </w:rPr>
        <w:t>scaleY</w:t>
      </w:r>
      <w:r w:rsidR="00D136E3" w:rsidRPr="00A52AB8">
        <w:t> ) ]</w:t>
      </w:r>
      <w:r w:rsidR="0006494C" w:rsidRPr="00A52AB8">
        <w:t>[ </w:t>
      </w:r>
      <w:r w:rsidR="00D136E3" w:rsidRPr="00A52AB8">
        <w:t>Floor( x </w:t>
      </w:r>
      <w:r w:rsidR="00D136E3" w:rsidRPr="00A52AB8">
        <w:rPr>
          <w:color w:val="000000" w:themeColor="text1"/>
        </w:rPr>
        <w:t>*</w:t>
      </w:r>
      <w:r w:rsidR="00D136E3" w:rsidRPr="00A52AB8">
        <w:t> </w:t>
      </w:r>
      <w:r w:rsidR="00D136E3" w:rsidRPr="00A52AB8">
        <w:rPr>
          <w:color w:val="000000" w:themeColor="text1"/>
        </w:rPr>
        <w:t>scaleX</w:t>
      </w:r>
      <w:r w:rsidR="00D136E3" w:rsidRPr="00A52AB8">
        <w:t> ) ]</w:t>
      </w:r>
    </w:p>
    <w:p w14:paraId="38250344" w14:textId="16FD5A16" w:rsidR="006A28B0" w:rsidRPr="00A52AB8" w:rsidRDefault="00994860" w:rsidP="002D4E3F">
      <w:pPr>
        <w:pStyle w:val="Note1"/>
        <w:rPr>
          <w:rFonts w:ascii="Cambria" w:hAnsi="Cambria"/>
        </w:rPr>
      </w:pPr>
      <w:r w:rsidRPr="00A52AB8">
        <w:rPr>
          <w:rFonts w:ascii="Cambria" w:hAnsi="Cambria"/>
        </w:rPr>
        <w:t>NOTE</w:t>
      </w:r>
      <w:r w:rsidR="002D0248" w:rsidRPr="00A52AB8">
        <w:rPr>
          <w:rFonts w:ascii="Cambria" w:hAnsi="Cambria"/>
        </w:rPr>
        <w:t> </w:t>
      </w:r>
      <w:r w:rsidR="006A28B0" w:rsidRPr="00A52AB8">
        <w:rPr>
          <w:rFonts w:ascii="Cambria" w:hAnsi="Cambria"/>
        </w:rPr>
        <w:t>–</w:t>
      </w:r>
      <w:r w:rsidR="002D0248" w:rsidRPr="00A52AB8">
        <w:rPr>
          <w:rFonts w:ascii="Cambria" w:hAnsi="Cambria"/>
        </w:rPr>
        <w:t> </w:t>
      </w:r>
      <w:r w:rsidR="006A28B0" w:rsidRPr="00A52AB8">
        <w:rPr>
          <w:rFonts w:ascii="Cambria" w:hAnsi="Cambria"/>
        </w:rPr>
        <w:t>In the above process pixel replication is used. A more sophisticated resampling process may be used. For example, the upsampling process using the filters specified in ISO/IEC 23008-2:20</w:t>
      </w:r>
      <w:r w:rsidR="0034446B" w:rsidRPr="00A52AB8">
        <w:rPr>
          <w:rFonts w:ascii="Cambria" w:hAnsi="Cambria"/>
        </w:rPr>
        <w:t>20</w:t>
      </w:r>
      <w:r w:rsidR="006A28B0" w:rsidRPr="00A52AB8">
        <w:rPr>
          <w:rFonts w:ascii="Cambria" w:hAnsi="Cambria"/>
        </w:rPr>
        <w:t>:H.8.1.4.2.2 can be used. Other filters such as La</w:t>
      </w:r>
      <w:r w:rsidR="00593A48" w:rsidRPr="00A52AB8">
        <w:rPr>
          <w:rFonts w:ascii="Cambria" w:hAnsi="Cambria"/>
        </w:rPr>
        <w:t>n</w:t>
      </w:r>
      <w:r w:rsidR="006A28B0" w:rsidRPr="00A52AB8">
        <w:rPr>
          <w:rFonts w:ascii="Cambria" w:hAnsi="Cambria"/>
        </w:rPr>
        <w:t>c</w:t>
      </w:r>
      <w:r w:rsidR="00593A48" w:rsidRPr="00A52AB8">
        <w:rPr>
          <w:rFonts w:ascii="Cambria" w:hAnsi="Cambria"/>
        </w:rPr>
        <w:t>zos can also be used.</w:t>
      </w:r>
    </w:p>
    <w:p w14:paraId="7EFB145A" w14:textId="77777777" w:rsidR="00957277" w:rsidRPr="00A52AB8" w:rsidRDefault="0037369A" w:rsidP="005A2B6A">
      <w:pPr>
        <w:pStyle w:val="a3"/>
        <w:numPr>
          <w:ilvl w:val="2"/>
          <w:numId w:val="19"/>
        </w:numPr>
      </w:pPr>
      <w:bookmarkStart w:id="4870" w:name="_Ref39746083"/>
      <w:bookmarkStart w:id="4871" w:name="_Toc52181665"/>
      <w:r w:rsidRPr="00A52AB8">
        <w:t xml:space="preserve">Output </w:t>
      </w:r>
      <w:r w:rsidR="00863F01" w:rsidRPr="00A52AB8">
        <w:t>composition time</w:t>
      </w:r>
      <w:r w:rsidRPr="00A52AB8">
        <w:t xml:space="preserve"> conversion</w:t>
      </w:r>
      <w:bookmarkEnd w:id="4870"/>
      <w:bookmarkEnd w:id="4871"/>
    </w:p>
    <w:p w14:paraId="0148B9EF" w14:textId="77777777" w:rsidR="005573C4" w:rsidRPr="00A52AB8" w:rsidRDefault="001E4D4E" w:rsidP="00EE3D19">
      <w:pPr>
        <w:pStyle w:val="a3"/>
        <w:numPr>
          <w:ilvl w:val="3"/>
          <w:numId w:val="19"/>
        </w:numPr>
        <w:outlineLvl w:val="3"/>
      </w:pPr>
      <w:bookmarkStart w:id="4872" w:name="_Ref41282299"/>
      <w:bookmarkStart w:id="4873" w:name="_Toc52181666"/>
      <w:r w:rsidRPr="00A52AB8">
        <w:t>Output order conversio</w:t>
      </w:r>
      <w:r w:rsidR="00542F46" w:rsidRPr="00A52AB8">
        <w:t>n</w:t>
      </w:r>
      <w:bookmarkEnd w:id="4872"/>
      <w:bookmarkEnd w:id="4873"/>
    </w:p>
    <w:p w14:paraId="5E11B567" w14:textId="77777777" w:rsidR="00717B4A" w:rsidRPr="00A52AB8" w:rsidRDefault="00717B4A" w:rsidP="003819BE">
      <w:pPr>
        <w:rPr>
          <w:lang w:eastAsia="ja-JP"/>
        </w:rPr>
      </w:pPr>
      <w:r w:rsidRPr="00A52AB8">
        <w:rPr>
          <w:lang w:eastAsia="ja-JP"/>
        </w:rPr>
        <w:t>Inputs to this process are:</w:t>
      </w:r>
    </w:p>
    <w:p w14:paraId="17801B83" w14:textId="77777777" w:rsidR="0050235C" w:rsidRPr="00A52AB8" w:rsidRDefault="00951230"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w:t>
      </w:r>
      <w:r w:rsidR="00926F47" w:rsidRPr="00A52AB8">
        <w:rPr>
          <w:color w:val="000000" w:themeColor="text1"/>
        </w:rPr>
        <w:t xml:space="preserve"> </w:t>
      </w:r>
      <w:r w:rsidRPr="00A52AB8">
        <w:rPr>
          <w:color w:val="000000" w:themeColor="text1"/>
        </w:rPr>
        <w:t xml:space="preserve">variable numInputFrames, indicating the </w:t>
      </w:r>
      <w:r w:rsidR="00926F47" w:rsidRPr="00A52AB8">
        <w:rPr>
          <w:color w:val="000000" w:themeColor="text1"/>
        </w:rPr>
        <w:t>number of input frames,</w:t>
      </w:r>
    </w:p>
    <w:p w14:paraId="594D0305" w14:textId="2D224A10" w:rsidR="00631134" w:rsidRPr="00A52AB8" w:rsidRDefault="00951230"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w:t>
      </w:r>
      <w:r w:rsidR="00631134" w:rsidRPr="00A52AB8">
        <w:rPr>
          <w:color w:val="000000" w:themeColor="text1"/>
        </w:rPr>
        <w:t xml:space="preserve"> variable iNumComp, </w:t>
      </w:r>
      <w:r w:rsidRPr="00A52AB8">
        <w:rPr>
          <w:color w:val="000000" w:themeColor="text1"/>
        </w:rPr>
        <w:t>indicating</w:t>
      </w:r>
      <w:r w:rsidR="00631134" w:rsidRPr="00A52AB8">
        <w:rPr>
          <w:color w:val="000000" w:themeColor="text1"/>
        </w:rPr>
        <w:t xml:space="preserve"> the number of components for each frame,</w:t>
      </w:r>
    </w:p>
    <w:p w14:paraId="48A55C54" w14:textId="4F058EC4" w:rsidR="00631134" w:rsidRPr="00A52AB8" w:rsidRDefault="00951230"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w:t>
      </w:r>
      <w:r w:rsidR="00631134" w:rsidRPr="00A52AB8">
        <w:rPr>
          <w:color w:val="000000" w:themeColor="text1"/>
        </w:rPr>
        <w:t xml:space="preserve"> variable iHeight,</w:t>
      </w:r>
      <w:r w:rsidR="00631134" w:rsidRPr="00A52AB8" w:rsidDel="00631134">
        <w:rPr>
          <w:color w:val="000000" w:themeColor="text1"/>
        </w:rPr>
        <w:t xml:space="preserve"> </w:t>
      </w:r>
      <w:r w:rsidRPr="00A52AB8">
        <w:rPr>
          <w:color w:val="000000" w:themeColor="text1"/>
        </w:rPr>
        <w:t xml:space="preserve">indicating </w:t>
      </w:r>
      <w:r w:rsidR="00631134" w:rsidRPr="00A52AB8">
        <w:rPr>
          <w:color w:val="000000" w:themeColor="text1"/>
        </w:rPr>
        <w:t>the height of each frame,</w:t>
      </w:r>
    </w:p>
    <w:p w14:paraId="6237BFB9" w14:textId="570D53A6" w:rsidR="00683C52" w:rsidRPr="00A52AB8" w:rsidRDefault="00951230"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w:t>
      </w:r>
      <w:r w:rsidR="00631134" w:rsidRPr="00A52AB8">
        <w:rPr>
          <w:color w:val="000000" w:themeColor="text1"/>
        </w:rPr>
        <w:t xml:space="preserve"> variable iWidth, </w:t>
      </w:r>
      <w:r w:rsidRPr="00A52AB8">
        <w:rPr>
          <w:color w:val="000000" w:themeColor="text1"/>
        </w:rPr>
        <w:t xml:space="preserve">indicating </w:t>
      </w:r>
      <w:r w:rsidR="00631134" w:rsidRPr="00A52AB8">
        <w:rPr>
          <w:color w:val="000000" w:themeColor="text1"/>
        </w:rPr>
        <w:t>the width of each frame</w:t>
      </w:r>
      <w:r w:rsidRPr="00A52AB8">
        <w:rPr>
          <w:color w:val="000000" w:themeColor="text1"/>
        </w:rPr>
        <w:t>,</w:t>
      </w:r>
    </w:p>
    <w:p w14:paraId="0AD3E174" w14:textId="3D31263B" w:rsidR="00631134" w:rsidRPr="00A52AB8" w:rsidRDefault="00683C5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w:t>
      </w:r>
      <w:r w:rsidR="00951230" w:rsidRPr="00A52AB8">
        <w:rPr>
          <w:color w:val="000000" w:themeColor="text1"/>
        </w:rPr>
        <w:t>4D</w:t>
      </w:r>
      <w:r w:rsidRPr="00A52AB8">
        <w:rPr>
          <w:color w:val="000000" w:themeColor="text1"/>
        </w:rPr>
        <w:t xml:space="preserve"> array inputFrame</w:t>
      </w:r>
      <w:r w:rsidR="00E4086A" w:rsidRPr="00A52AB8">
        <w:rPr>
          <w:color w:val="000000" w:themeColor="text1"/>
        </w:rPr>
        <w:t>s</w:t>
      </w:r>
      <w:r w:rsidR="00951230" w:rsidRPr="00A52AB8">
        <w:rPr>
          <w:color w:val="000000" w:themeColor="text1"/>
        </w:rPr>
        <w:t>, of size numInputFrames × iNumComp × iHeight × iWidth</w:t>
      </w:r>
    </w:p>
    <w:p w14:paraId="0B020069" w14:textId="02A947D7" w:rsidR="0063715A" w:rsidRPr="00A52AB8" w:rsidRDefault="00951230"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w:t>
      </w:r>
      <w:r w:rsidR="00B7660C" w:rsidRPr="00A52AB8">
        <w:rPr>
          <w:color w:val="000000" w:themeColor="text1"/>
        </w:rPr>
        <w:t xml:space="preserve"> </w:t>
      </w:r>
      <w:r w:rsidRPr="00A52AB8">
        <w:rPr>
          <w:color w:val="000000" w:themeColor="text1"/>
        </w:rPr>
        <w:t xml:space="preserve">1D </w:t>
      </w:r>
      <w:r w:rsidR="00B7660C" w:rsidRPr="00A52AB8">
        <w:rPr>
          <w:color w:val="000000" w:themeColor="text1"/>
        </w:rPr>
        <w:t>array</w:t>
      </w:r>
      <w:r w:rsidRPr="00A52AB8">
        <w:rPr>
          <w:color w:val="000000" w:themeColor="text1"/>
        </w:rPr>
        <w:t xml:space="preserve"> </w:t>
      </w:r>
      <w:r w:rsidR="00631134" w:rsidRPr="00A52AB8">
        <w:rPr>
          <w:color w:val="000000" w:themeColor="text1"/>
        </w:rPr>
        <w:t xml:space="preserve">outOrdIdx, </w:t>
      </w:r>
      <w:r w:rsidRPr="00A52AB8">
        <w:rPr>
          <w:color w:val="000000" w:themeColor="text1"/>
        </w:rPr>
        <w:t xml:space="preserve">of size numInputFrames, indicating </w:t>
      </w:r>
      <w:r w:rsidR="00717B4A" w:rsidRPr="00A52AB8">
        <w:rPr>
          <w:color w:val="000000" w:themeColor="text1"/>
        </w:rPr>
        <w:t>the output order index</w:t>
      </w:r>
      <w:r w:rsidR="00631134" w:rsidRPr="00A52AB8">
        <w:rPr>
          <w:color w:val="000000" w:themeColor="text1"/>
        </w:rPr>
        <w:t xml:space="preserve"> of each frame</w:t>
      </w:r>
      <w:r w:rsidR="000116CC" w:rsidRPr="00A52AB8">
        <w:rPr>
          <w:color w:val="000000" w:themeColor="text1"/>
        </w:rPr>
        <w:t>, and</w:t>
      </w:r>
    </w:p>
    <w:p w14:paraId="4B9357C9" w14:textId="10CA94C1" w:rsidR="00717B4A" w:rsidRPr="00A52AB8" w:rsidRDefault="00951230"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1D array </w:t>
      </w:r>
      <w:r w:rsidR="00631134" w:rsidRPr="00A52AB8">
        <w:rPr>
          <w:color w:val="000000" w:themeColor="text1"/>
        </w:rPr>
        <w:t xml:space="preserve">iCompTime, </w:t>
      </w:r>
      <w:r w:rsidRPr="00A52AB8">
        <w:rPr>
          <w:color w:val="000000" w:themeColor="text1"/>
        </w:rPr>
        <w:t xml:space="preserve">of size numInputFrames, </w:t>
      </w:r>
      <w:r w:rsidR="00631134" w:rsidRPr="00A52AB8">
        <w:rPr>
          <w:color w:val="000000" w:themeColor="text1"/>
        </w:rPr>
        <w:t>indicat</w:t>
      </w:r>
      <w:r w:rsidRPr="00A52AB8">
        <w:rPr>
          <w:color w:val="000000" w:themeColor="text1"/>
        </w:rPr>
        <w:t xml:space="preserve">ing </w:t>
      </w:r>
      <w:r w:rsidR="00717B4A" w:rsidRPr="00A52AB8">
        <w:rPr>
          <w:color w:val="000000" w:themeColor="text1"/>
        </w:rPr>
        <w:t>the composition time of each frame</w:t>
      </w:r>
      <w:r w:rsidR="000116CC" w:rsidRPr="00A52AB8">
        <w:rPr>
          <w:color w:val="000000" w:themeColor="text1"/>
        </w:rPr>
        <w:t>.</w:t>
      </w:r>
    </w:p>
    <w:p w14:paraId="6E5258F5" w14:textId="77777777" w:rsidR="0050235C" w:rsidRPr="00A52AB8" w:rsidRDefault="00717B4A" w:rsidP="003819BE">
      <w:pPr>
        <w:rPr>
          <w:lang w:eastAsia="ja-JP"/>
        </w:rPr>
      </w:pPr>
      <w:r w:rsidRPr="00A52AB8">
        <w:rPr>
          <w:lang w:eastAsia="ja-JP"/>
        </w:rPr>
        <w:t>Output</w:t>
      </w:r>
      <w:r w:rsidR="00951230" w:rsidRPr="00A52AB8">
        <w:rPr>
          <w:lang w:eastAsia="ja-JP"/>
        </w:rPr>
        <w:t>s</w:t>
      </w:r>
      <w:r w:rsidRPr="00A52AB8">
        <w:rPr>
          <w:lang w:eastAsia="ja-JP"/>
        </w:rPr>
        <w:t xml:space="preserve"> of this process </w:t>
      </w:r>
      <w:r w:rsidR="00951230" w:rsidRPr="00A52AB8">
        <w:rPr>
          <w:lang w:eastAsia="ja-JP"/>
        </w:rPr>
        <w:t>are</w:t>
      </w:r>
      <w:r w:rsidRPr="00A52AB8">
        <w:rPr>
          <w:lang w:eastAsia="ja-JP"/>
        </w:rPr>
        <w:t>:</w:t>
      </w:r>
    </w:p>
    <w:p w14:paraId="7B87C44D" w14:textId="28AC1FF2" w:rsidR="00B7660C" w:rsidRPr="00A52AB8" w:rsidRDefault="00951230"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variable rangeOrdIdx, indicating the </w:t>
      </w:r>
      <w:r w:rsidR="00B7660C" w:rsidRPr="00A52AB8">
        <w:rPr>
          <w:color w:val="000000" w:themeColor="text1"/>
        </w:rPr>
        <w:t xml:space="preserve">number of </w:t>
      </w:r>
      <w:r w:rsidRPr="00A52AB8">
        <w:rPr>
          <w:color w:val="000000" w:themeColor="text1"/>
        </w:rPr>
        <w:t xml:space="preserve">output </w:t>
      </w:r>
      <w:r w:rsidR="00B7660C" w:rsidRPr="00A52AB8">
        <w:rPr>
          <w:color w:val="000000" w:themeColor="text1"/>
        </w:rPr>
        <w:t>frames</w:t>
      </w:r>
      <w:r w:rsidR="006975B4" w:rsidRPr="00A52AB8">
        <w:rPr>
          <w:color w:val="000000" w:themeColor="text1"/>
        </w:rPr>
        <w:t>,</w:t>
      </w:r>
    </w:p>
    <w:p w14:paraId="641C32B8" w14:textId="3781BD8C" w:rsidR="0063715A" w:rsidRPr="00A52AB8" w:rsidRDefault="001E4D4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w:t>
      </w:r>
      <w:r w:rsidR="00951230" w:rsidRPr="00A52AB8">
        <w:rPr>
          <w:color w:val="000000" w:themeColor="text1"/>
        </w:rPr>
        <w:t xml:space="preserve">4D array </w:t>
      </w:r>
      <w:r w:rsidRPr="00A52AB8">
        <w:rPr>
          <w:color w:val="000000" w:themeColor="text1"/>
        </w:rPr>
        <w:t>outputFrame</w:t>
      </w:r>
      <w:r w:rsidR="00951230" w:rsidRPr="00A52AB8">
        <w:rPr>
          <w:color w:val="000000" w:themeColor="text1"/>
        </w:rPr>
        <w:t>s, of size rangeOrdIdx × iNumComp × iHeight × iWidth</w:t>
      </w:r>
    </w:p>
    <w:p w14:paraId="28D29D6E" w14:textId="181F7104" w:rsidR="0063715A" w:rsidRPr="00A52AB8" w:rsidRDefault="00717B4A"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w:t>
      </w:r>
      <w:r w:rsidR="00951230" w:rsidRPr="00A52AB8">
        <w:rPr>
          <w:color w:val="000000" w:themeColor="text1"/>
        </w:rPr>
        <w:t xml:space="preserve">1D </w:t>
      </w:r>
      <w:r w:rsidRPr="00A52AB8">
        <w:rPr>
          <w:color w:val="000000" w:themeColor="text1"/>
        </w:rPr>
        <w:t xml:space="preserve">array </w:t>
      </w:r>
      <w:r w:rsidR="00951230" w:rsidRPr="00A52AB8">
        <w:rPr>
          <w:color w:val="000000" w:themeColor="text1"/>
        </w:rPr>
        <w:t xml:space="preserve">framePresent, of size rangeOrdIdx, </w:t>
      </w:r>
      <w:r w:rsidRPr="00A52AB8">
        <w:rPr>
          <w:color w:val="000000" w:themeColor="text1"/>
        </w:rPr>
        <w:t>indicating the presence of a frame,</w:t>
      </w:r>
      <w:r w:rsidR="00747BF5" w:rsidRPr="00A52AB8">
        <w:rPr>
          <w:color w:val="000000" w:themeColor="text1"/>
        </w:rPr>
        <w:t xml:space="preserve"> and</w:t>
      </w:r>
    </w:p>
    <w:p w14:paraId="32EE3D9C" w14:textId="1CEDBEBF" w:rsidR="00542F46" w:rsidRPr="00A52AB8" w:rsidRDefault="00717B4A"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w:t>
      </w:r>
      <w:r w:rsidR="00951230" w:rsidRPr="00A52AB8">
        <w:rPr>
          <w:color w:val="000000" w:themeColor="text1"/>
        </w:rPr>
        <w:t xml:space="preserve">1D </w:t>
      </w:r>
      <w:r w:rsidRPr="00A52AB8">
        <w:rPr>
          <w:color w:val="000000" w:themeColor="text1"/>
        </w:rPr>
        <w:t xml:space="preserve">array </w:t>
      </w:r>
      <w:r w:rsidR="00951230" w:rsidRPr="00A52AB8">
        <w:rPr>
          <w:color w:val="000000" w:themeColor="text1"/>
        </w:rPr>
        <w:t xml:space="preserve">outputCompTime, of size rangeOrdIdx, indicating </w:t>
      </w:r>
      <w:r w:rsidRPr="00A52AB8">
        <w:rPr>
          <w:color w:val="000000" w:themeColor="text1"/>
        </w:rPr>
        <w:t>the composition time of each frame</w:t>
      </w:r>
      <w:r w:rsidR="00951230" w:rsidRPr="00A52AB8">
        <w:rPr>
          <w:color w:val="000000" w:themeColor="text1"/>
        </w:rPr>
        <w:t>.</w:t>
      </w:r>
    </w:p>
    <w:p w14:paraId="327DBC81" w14:textId="2DC23EC5" w:rsidR="00E4086A" w:rsidRPr="00A52AB8" w:rsidRDefault="00951230" w:rsidP="003819BE">
      <w:pPr>
        <w:rPr>
          <w:color w:val="000000" w:themeColor="text1"/>
        </w:rPr>
      </w:pPr>
      <w:r w:rsidRPr="00A52AB8">
        <w:rPr>
          <w:color w:val="000000" w:themeColor="text1"/>
        </w:rPr>
        <w:t xml:space="preserve">This process </w:t>
      </w:r>
      <w:r w:rsidR="00E4086A" w:rsidRPr="00A52AB8">
        <w:rPr>
          <w:color w:val="000000" w:themeColor="text1"/>
        </w:rPr>
        <w:t>copies the input frames to an output structure according to their output order index</w:t>
      </w:r>
      <w:r w:rsidR="00135DFA" w:rsidRPr="00A52AB8">
        <w:rPr>
          <w:color w:val="000000" w:themeColor="text1"/>
        </w:rPr>
        <w:t xml:space="preserve"> and assigns </w:t>
      </w:r>
      <w:r w:rsidR="005A3328" w:rsidRPr="00A52AB8">
        <w:rPr>
          <w:color w:val="000000" w:themeColor="text1"/>
        </w:rPr>
        <w:t xml:space="preserve">to </w:t>
      </w:r>
      <w:r w:rsidR="00135DFA" w:rsidRPr="00A52AB8">
        <w:rPr>
          <w:color w:val="000000" w:themeColor="text1"/>
        </w:rPr>
        <w:t>them a composition time</w:t>
      </w:r>
      <w:r w:rsidR="00E4086A" w:rsidRPr="00A52AB8">
        <w:rPr>
          <w:color w:val="000000" w:themeColor="text1"/>
        </w:rPr>
        <w:t>. It also generates a list identifying any missing frames.</w:t>
      </w:r>
      <w:r w:rsidR="00135DFA" w:rsidRPr="00A52AB8">
        <w:rPr>
          <w:color w:val="000000" w:themeColor="text1"/>
        </w:rPr>
        <w:t xml:space="preserve"> The following applies:</w:t>
      </w:r>
    </w:p>
    <w:p w14:paraId="37141745" w14:textId="054315BB" w:rsidR="00116D30" w:rsidRPr="00A52AB8" w:rsidRDefault="00D03B7E" w:rsidP="003819BE">
      <w:pPr>
        <w:rPr>
          <w:lang w:eastAsia="ja-JP"/>
        </w:rPr>
      </w:pPr>
      <w:r w:rsidRPr="00A52AB8">
        <w:rPr>
          <w:color w:val="000000" w:themeColor="text1"/>
        </w:rPr>
        <w:tab/>
      </w:r>
      <w:r w:rsidR="00B7660C" w:rsidRPr="00A52AB8">
        <w:rPr>
          <w:color w:val="000000" w:themeColor="text1"/>
        </w:rPr>
        <w:t>rangeOrdIdx</w:t>
      </w:r>
      <w:r w:rsidR="00D47707" w:rsidRPr="00A52AB8">
        <w:rPr>
          <w:lang w:eastAsia="ja-JP"/>
        </w:rPr>
        <w:t> = </w:t>
      </w:r>
      <w:r w:rsidR="00717B4A" w:rsidRPr="00A52AB8">
        <w:rPr>
          <w:lang w:eastAsia="ja-JP"/>
        </w:rPr>
        <w:t>0</w:t>
      </w:r>
      <w:r w:rsidR="00BE5FFE" w:rsidRPr="00A52AB8">
        <w:rPr>
          <w:lang w:eastAsia="ja-JP"/>
        </w:rPr>
        <w:br/>
      </w:r>
      <w:r w:rsidRPr="00A52AB8">
        <w:rPr>
          <w:lang w:eastAsia="ja-JP"/>
        </w:rPr>
        <w:tab/>
      </w:r>
      <w:r w:rsidR="00717B4A" w:rsidRPr="00A52AB8">
        <w:rPr>
          <w:lang w:eastAsia="ja-JP"/>
        </w:rPr>
        <w:t>for(</w:t>
      </w:r>
      <w:r w:rsidR="00BE5FFE" w:rsidRPr="00A52AB8">
        <w:rPr>
          <w:lang w:eastAsia="ja-JP"/>
        </w:rPr>
        <w:t> </w:t>
      </w:r>
      <w:r w:rsidR="00717B4A" w:rsidRPr="00A52AB8">
        <w:rPr>
          <w:lang w:eastAsia="ja-JP"/>
        </w:rPr>
        <w:t>f</w:t>
      </w:r>
      <w:r w:rsidR="00D47707" w:rsidRPr="00A52AB8">
        <w:rPr>
          <w:lang w:eastAsia="ja-JP"/>
        </w:rPr>
        <w:t> = </w:t>
      </w:r>
      <w:r w:rsidR="00717B4A" w:rsidRPr="00A52AB8">
        <w:rPr>
          <w:lang w:eastAsia="ja-JP"/>
        </w:rPr>
        <w:t>0; f &lt; numFrames; f</w:t>
      </w:r>
      <w:r w:rsidR="00006CCF" w:rsidRPr="00A52AB8">
        <w:rPr>
          <w:lang w:eastAsia="ja-JP"/>
        </w:rPr>
        <w:t>++ </w:t>
      </w:r>
      <w:r w:rsidR="008F1F82" w:rsidRPr="00A52AB8">
        <w:rPr>
          <w:lang w:eastAsia="ja-JP"/>
        </w:rPr>
        <w:t>) {</w:t>
      </w:r>
      <w:r w:rsidR="00BE5FFE" w:rsidRPr="00A52AB8">
        <w:rPr>
          <w:lang w:eastAsia="ja-JP"/>
        </w:rPr>
        <w:br/>
      </w:r>
      <w:r w:rsidRPr="00A52AB8">
        <w:rPr>
          <w:lang w:eastAsia="ja-JP"/>
        </w:rPr>
        <w:tab/>
      </w:r>
      <w:r w:rsidR="00717B4A" w:rsidRPr="00A52AB8">
        <w:rPr>
          <w:lang w:eastAsia="ja-JP"/>
        </w:rPr>
        <w:tab/>
      </w:r>
      <w:r w:rsidR="00BD3AC0" w:rsidRPr="00A52AB8">
        <w:rPr>
          <w:color w:val="000000" w:themeColor="text1"/>
        </w:rPr>
        <w:t>ordIdx</w:t>
      </w:r>
      <w:r w:rsidR="00D47707" w:rsidRPr="00A52AB8">
        <w:rPr>
          <w:lang w:eastAsia="ja-JP"/>
        </w:rPr>
        <w:t> = </w:t>
      </w:r>
      <w:r w:rsidR="00E4086A" w:rsidRPr="00A52AB8">
        <w:t>outOrdIdx</w:t>
      </w:r>
      <w:r w:rsidR="00D770D3" w:rsidRPr="00A52AB8">
        <w:rPr>
          <w:lang w:eastAsia="ja-JP"/>
        </w:rPr>
        <w:t>[ 0 ]</w:t>
      </w:r>
      <w:r w:rsidR="00717B4A" w:rsidRPr="00A52AB8">
        <w:rPr>
          <w:lang w:eastAsia="ja-JP"/>
        </w:rPr>
        <w:t>[ f</w:t>
      </w:r>
      <w:r w:rsidR="00BE5FFE" w:rsidRPr="00A52AB8">
        <w:rPr>
          <w:lang w:eastAsia="ja-JP"/>
        </w:rPr>
        <w:t> </w:t>
      </w:r>
      <w:r w:rsidR="00717B4A" w:rsidRPr="00A52AB8">
        <w:rPr>
          <w:lang w:eastAsia="ja-JP"/>
        </w:rPr>
        <w:t>]</w:t>
      </w:r>
      <w:r w:rsidRPr="00A52AB8">
        <w:rPr>
          <w:lang w:eastAsia="ja-JP"/>
        </w:rPr>
        <w:br/>
      </w:r>
      <w:r w:rsidRPr="00A52AB8">
        <w:rPr>
          <w:lang w:eastAsia="ja-JP"/>
        </w:rPr>
        <w:br/>
      </w:r>
      <w:r w:rsidRPr="00A52AB8">
        <w:rPr>
          <w:lang w:eastAsia="ja-JP"/>
        </w:rPr>
        <w:tab/>
      </w:r>
      <w:r w:rsidR="00717B4A" w:rsidRPr="00A52AB8">
        <w:rPr>
          <w:lang w:eastAsia="ja-JP"/>
        </w:rPr>
        <w:tab/>
        <w:t>for(</w:t>
      </w:r>
      <w:r w:rsidR="00BE5FFE" w:rsidRPr="00A52AB8">
        <w:rPr>
          <w:lang w:eastAsia="ja-JP"/>
        </w:rPr>
        <w:t> </w:t>
      </w:r>
      <w:r w:rsidR="00717B4A" w:rsidRPr="00A52AB8">
        <w:rPr>
          <w:lang w:eastAsia="ja-JP"/>
        </w:rPr>
        <w:t>i</w:t>
      </w:r>
      <w:r w:rsidR="00D47707" w:rsidRPr="00A52AB8">
        <w:rPr>
          <w:lang w:eastAsia="ja-JP"/>
        </w:rPr>
        <w:t> = </w:t>
      </w:r>
      <w:r w:rsidR="006975B4" w:rsidRPr="00A52AB8">
        <w:rPr>
          <w:color w:val="000000" w:themeColor="text1"/>
        </w:rPr>
        <w:t>rangeOrdIdx</w:t>
      </w:r>
      <w:r w:rsidR="006975B4" w:rsidRPr="00A52AB8">
        <w:rPr>
          <w:lang w:eastAsia="ja-JP"/>
        </w:rPr>
        <w:t> </w:t>
      </w:r>
      <w:r w:rsidR="00717B4A" w:rsidRPr="00A52AB8">
        <w:rPr>
          <w:lang w:eastAsia="ja-JP"/>
        </w:rPr>
        <w:t>;</w:t>
      </w:r>
      <w:r w:rsidR="00BE5FFE" w:rsidRPr="00A52AB8">
        <w:rPr>
          <w:lang w:eastAsia="ja-JP"/>
        </w:rPr>
        <w:t> </w:t>
      </w:r>
      <w:r w:rsidR="00717B4A" w:rsidRPr="00A52AB8">
        <w:rPr>
          <w:lang w:eastAsia="ja-JP"/>
        </w:rPr>
        <w:t>i</w:t>
      </w:r>
      <w:r w:rsidR="00BE5FFE" w:rsidRPr="00A52AB8">
        <w:rPr>
          <w:lang w:eastAsia="ja-JP"/>
        </w:rPr>
        <w:t> </w:t>
      </w:r>
      <w:r w:rsidR="00717B4A" w:rsidRPr="00A52AB8">
        <w:rPr>
          <w:lang w:eastAsia="ja-JP"/>
        </w:rPr>
        <w:t>&lt;</w:t>
      </w:r>
      <w:r w:rsidR="00BE5FFE" w:rsidRPr="00A52AB8">
        <w:rPr>
          <w:lang w:eastAsia="ja-JP"/>
        </w:rPr>
        <w:t> </w:t>
      </w:r>
      <w:r w:rsidR="00BD3AC0" w:rsidRPr="00A52AB8">
        <w:rPr>
          <w:color w:val="000000" w:themeColor="text1"/>
        </w:rPr>
        <w:t>ordIdx</w:t>
      </w:r>
      <w:r w:rsidR="00717B4A" w:rsidRPr="00A52AB8">
        <w:rPr>
          <w:lang w:eastAsia="ja-JP"/>
        </w:rPr>
        <w:t>;</w:t>
      </w:r>
      <w:r w:rsidR="00BE5FFE" w:rsidRPr="00A52AB8">
        <w:rPr>
          <w:lang w:eastAsia="ja-JP"/>
        </w:rPr>
        <w:t> </w:t>
      </w:r>
      <w:r w:rsidR="00717B4A" w:rsidRPr="00A52AB8">
        <w:rPr>
          <w:lang w:eastAsia="ja-JP"/>
        </w:rPr>
        <w:t>i</w:t>
      </w:r>
      <w:r w:rsidR="00006CCF" w:rsidRPr="00A52AB8">
        <w:rPr>
          <w:lang w:eastAsia="ja-JP"/>
        </w:rPr>
        <w:t>++ )</w:t>
      </w:r>
      <w:r w:rsidR="00BE5FFE" w:rsidRPr="00A52AB8">
        <w:rPr>
          <w:lang w:eastAsia="ja-JP"/>
        </w:rPr>
        <w:br/>
      </w:r>
      <w:r w:rsidRPr="00A52AB8">
        <w:rPr>
          <w:lang w:eastAsia="ja-JP"/>
        </w:rPr>
        <w:tab/>
      </w:r>
      <w:r w:rsidR="00717B4A" w:rsidRPr="00A52AB8">
        <w:rPr>
          <w:lang w:eastAsia="ja-JP"/>
        </w:rPr>
        <w:tab/>
      </w:r>
      <w:r w:rsidR="00717B4A" w:rsidRPr="00A52AB8">
        <w:rPr>
          <w:lang w:eastAsia="ja-JP"/>
        </w:rPr>
        <w:tab/>
        <w:t>framePresent[ i ]</w:t>
      </w:r>
      <w:r w:rsidR="00D47707" w:rsidRPr="00A52AB8">
        <w:rPr>
          <w:lang w:eastAsia="ja-JP"/>
        </w:rPr>
        <w:t> = </w:t>
      </w:r>
      <w:r w:rsidR="00717B4A" w:rsidRPr="00A52AB8">
        <w:rPr>
          <w:lang w:eastAsia="ja-JP"/>
        </w:rPr>
        <w:t>0</w:t>
      </w:r>
      <w:r w:rsidR="00C61E38" w:rsidRPr="00A52AB8">
        <w:rPr>
          <w:lang w:eastAsia="ja-JP"/>
        </w:rPr>
        <w:br/>
      </w:r>
      <w:r w:rsidRPr="00A52AB8">
        <w:rPr>
          <w:lang w:eastAsia="ja-JP"/>
        </w:rPr>
        <w:br/>
      </w:r>
      <w:r w:rsidRPr="00A52AB8">
        <w:rPr>
          <w:lang w:eastAsia="ja-JP"/>
        </w:rPr>
        <w:tab/>
      </w:r>
      <w:r w:rsidR="00717B4A" w:rsidRPr="00A52AB8">
        <w:rPr>
          <w:lang w:eastAsia="ja-JP"/>
        </w:rPr>
        <w:tab/>
        <w:t>framePresent[ </w:t>
      </w:r>
      <w:r w:rsidR="00BD3AC0" w:rsidRPr="00A52AB8">
        <w:rPr>
          <w:color w:val="000000" w:themeColor="text1"/>
        </w:rPr>
        <w:t>ordIdx</w:t>
      </w:r>
      <w:r w:rsidR="00717B4A" w:rsidRPr="00A52AB8">
        <w:rPr>
          <w:lang w:eastAsia="ja-JP"/>
        </w:rPr>
        <w:t> ]</w:t>
      </w:r>
      <w:r w:rsidR="00D47707" w:rsidRPr="00A52AB8">
        <w:rPr>
          <w:lang w:eastAsia="ja-JP"/>
        </w:rPr>
        <w:t> = </w:t>
      </w:r>
      <w:r w:rsidR="00717B4A" w:rsidRPr="00A52AB8">
        <w:rPr>
          <w:lang w:eastAsia="ja-JP"/>
        </w:rPr>
        <w:t>1</w:t>
      </w:r>
      <w:r w:rsidR="00BE5FFE" w:rsidRPr="00A52AB8">
        <w:rPr>
          <w:lang w:eastAsia="ja-JP"/>
        </w:rPr>
        <w:br/>
      </w:r>
      <w:r w:rsidRPr="00A52AB8">
        <w:rPr>
          <w:lang w:eastAsia="ja-JP"/>
        </w:rPr>
        <w:tab/>
      </w:r>
      <w:r w:rsidR="00717B4A" w:rsidRPr="00A52AB8">
        <w:rPr>
          <w:lang w:eastAsia="ja-JP"/>
        </w:rPr>
        <w:tab/>
        <w:t>outputCompTime[ </w:t>
      </w:r>
      <w:r w:rsidR="00BD3AC0" w:rsidRPr="00A52AB8">
        <w:rPr>
          <w:color w:val="000000" w:themeColor="text1"/>
        </w:rPr>
        <w:t>ordIdx </w:t>
      </w:r>
      <w:r w:rsidR="00717B4A" w:rsidRPr="00A52AB8">
        <w:rPr>
          <w:lang w:eastAsia="ja-JP"/>
        </w:rPr>
        <w:t>]</w:t>
      </w:r>
      <w:r w:rsidR="00D47707" w:rsidRPr="00A52AB8">
        <w:rPr>
          <w:lang w:eastAsia="ja-JP"/>
        </w:rPr>
        <w:t> = </w:t>
      </w:r>
      <w:r w:rsidR="00717B4A" w:rsidRPr="00A52AB8">
        <w:rPr>
          <w:lang w:eastAsia="ja-JP"/>
        </w:rPr>
        <w:t>iCompTime[ f ]</w:t>
      </w:r>
      <w:r w:rsidR="00BE5FFE" w:rsidRPr="00A52AB8">
        <w:rPr>
          <w:lang w:eastAsia="ja-JP"/>
        </w:rPr>
        <w:br/>
      </w:r>
      <w:r w:rsidRPr="00A52AB8">
        <w:rPr>
          <w:lang w:eastAsia="ja-JP"/>
        </w:rPr>
        <w:tab/>
      </w:r>
      <w:r w:rsidR="001E4D4E" w:rsidRPr="00A52AB8">
        <w:rPr>
          <w:lang w:eastAsia="ja-JP"/>
        </w:rPr>
        <w:tab/>
        <w:t>for( c=0; c &lt; </w:t>
      </w:r>
      <w:r w:rsidR="00EE657F" w:rsidRPr="00A52AB8">
        <w:rPr>
          <w:lang w:eastAsia="ja-JP"/>
        </w:rPr>
        <w:t>iN</w:t>
      </w:r>
      <w:r w:rsidR="001E4D4E" w:rsidRPr="00A52AB8">
        <w:rPr>
          <w:lang w:eastAsia="ja-JP"/>
        </w:rPr>
        <w:t>umComp; c</w:t>
      </w:r>
      <w:r w:rsidR="00006CCF" w:rsidRPr="00A52AB8">
        <w:rPr>
          <w:lang w:eastAsia="ja-JP"/>
        </w:rPr>
        <w:t>++ </w:t>
      </w:r>
      <w:r w:rsidR="008F1F82" w:rsidRPr="00A52AB8">
        <w:rPr>
          <w:lang w:eastAsia="ja-JP"/>
        </w:rPr>
        <w:t>) {</w:t>
      </w:r>
      <w:r w:rsidR="00BE5FFE" w:rsidRPr="00A52AB8">
        <w:rPr>
          <w:lang w:eastAsia="ja-JP"/>
        </w:rPr>
        <w:br/>
      </w:r>
      <w:r w:rsidRPr="00A52AB8">
        <w:rPr>
          <w:lang w:eastAsia="ja-JP"/>
        </w:rPr>
        <w:tab/>
      </w:r>
      <w:r w:rsidR="001E4D4E" w:rsidRPr="00A52AB8">
        <w:rPr>
          <w:lang w:eastAsia="ja-JP"/>
        </w:rPr>
        <w:tab/>
      </w:r>
      <w:r w:rsidR="001E4D4E" w:rsidRPr="00A52AB8">
        <w:rPr>
          <w:lang w:eastAsia="ja-JP"/>
        </w:rPr>
        <w:tab/>
        <w:t>for( y=0; y &lt; iHeight; y</w:t>
      </w:r>
      <w:r w:rsidR="00006CCF" w:rsidRPr="00A52AB8">
        <w:rPr>
          <w:lang w:eastAsia="ja-JP"/>
        </w:rPr>
        <w:t>++ </w:t>
      </w:r>
      <w:r w:rsidR="008F1F82" w:rsidRPr="00A52AB8">
        <w:rPr>
          <w:lang w:eastAsia="ja-JP"/>
        </w:rPr>
        <w:t>) {</w:t>
      </w:r>
      <w:r w:rsidR="00BE5FFE" w:rsidRPr="00A52AB8">
        <w:rPr>
          <w:lang w:eastAsia="ja-JP"/>
        </w:rPr>
        <w:br/>
      </w:r>
      <w:r w:rsidRPr="00A52AB8">
        <w:rPr>
          <w:lang w:eastAsia="ja-JP"/>
        </w:rPr>
        <w:tab/>
      </w:r>
      <w:r w:rsidR="001E4D4E" w:rsidRPr="00A52AB8">
        <w:rPr>
          <w:lang w:eastAsia="ja-JP"/>
        </w:rPr>
        <w:tab/>
      </w:r>
      <w:r w:rsidR="001E4D4E" w:rsidRPr="00A52AB8">
        <w:rPr>
          <w:lang w:eastAsia="ja-JP"/>
        </w:rPr>
        <w:tab/>
      </w:r>
      <w:r w:rsidR="001E4D4E" w:rsidRPr="00A52AB8">
        <w:rPr>
          <w:lang w:eastAsia="ja-JP"/>
        </w:rPr>
        <w:tab/>
        <w:t>for( x=0; x &lt; iWidth; x</w:t>
      </w:r>
      <w:r w:rsidR="00006CCF" w:rsidRPr="00A52AB8">
        <w:rPr>
          <w:lang w:eastAsia="ja-JP"/>
        </w:rPr>
        <w:t>++ </w:t>
      </w:r>
      <w:r w:rsidR="008F1F82" w:rsidRPr="00A52AB8">
        <w:rPr>
          <w:lang w:eastAsia="ja-JP"/>
        </w:rPr>
        <w:t>) {</w:t>
      </w:r>
      <w:r w:rsidR="00BE5FFE" w:rsidRPr="00A52AB8">
        <w:rPr>
          <w:lang w:eastAsia="ja-JP"/>
        </w:rPr>
        <w:br/>
      </w:r>
      <w:r w:rsidRPr="00A52AB8">
        <w:rPr>
          <w:lang w:eastAsia="ja-JP"/>
        </w:rPr>
        <w:tab/>
      </w:r>
      <w:r w:rsidR="001E4D4E" w:rsidRPr="00A52AB8">
        <w:rPr>
          <w:lang w:eastAsia="ja-JP"/>
        </w:rPr>
        <w:tab/>
      </w:r>
      <w:r w:rsidR="001E4D4E" w:rsidRPr="00A52AB8">
        <w:rPr>
          <w:lang w:eastAsia="ja-JP"/>
        </w:rPr>
        <w:tab/>
      </w:r>
      <w:r w:rsidR="001E4D4E" w:rsidRPr="00A52AB8">
        <w:rPr>
          <w:lang w:eastAsia="ja-JP"/>
        </w:rPr>
        <w:tab/>
      </w:r>
      <w:r w:rsidR="001E4D4E" w:rsidRPr="00A52AB8">
        <w:rPr>
          <w:lang w:eastAsia="ja-JP"/>
        </w:rPr>
        <w:tab/>
        <w:t>outputFrame</w:t>
      </w:r>
      <w:r w:rsidR="00E4086A" w:rsidRPr="00A52AB8">
        <w:rPr>
          <w:lang w:eastAsia="ja-JP"/>
        </w:rPr>
        <w:t>s</w:t>
      </w:r>
      <w:r w:rsidR="001E4D4E" w:rsidRPr="00A52AB8">
        <w:rPr>
          <w:lang w:eastAsia="ja-JP"/>
        </w:rPr>
        <w:t>[ </w:t>
      </w:r>
      <w:r w:rsidR="00BD3AC0" w:rsidRPr="00A52AB8">
        <w:rPr>
          <w:color w:val="000000" w:themeColor="text1"/>
        </w:rPr>
        <w:t>ordIdx</w:t>
      </w:r>
      <w:r w:rsidR="001E4D4E" w:rsidRPr="00A52AB8">
        <w:rPr>
          <w:lang w:eastAsia="ja-JP"/>
        </w:rPr>
        <w:t> ][ c ]</w:t>
      </w:r>
      <w:r w:rsidR="004B7314" w:rsidRPr="00A52AB8">
        <w:rPr>
          <w:lang w:eastAsia="ja-JP"/>
        </w:rPr>
        <w:t>[ y ][ x ]</w:t>
      </w:r>
      <w:r w:rsidR="00D47707" w:rsidRPr="00A52AB8">
        <w:rPr>
          <w:lang w:eastAsia="ja-JP"/>
        </w:rPr>
        <w:t> = </w:t>
      </w:r>
      <w:r w:rsidR="001E4D4E" w:rsidRPr="00A52AB8">
        <w:rPr>
          <w:lang w:eastAsia="ja-JP"/>
        </w:rPr>
        <w:t>inputFrame</w:t>
      </w:r>
      <w:r w:rsidR="00E4086A" w:rsidRPr="00A52AB8">
        <w:rPr>
          <w:lang w:eastAsia="ja-JP"/>
        </w:rPr>
        <w:t>s</w:t>
      </w:r>
      <w:r w:rsidR="001E4D4E" w:rsidRPr="00A52AB8">
        <w:rPr>
          <w:lang w:eastAsia="ja-JP"/>
        </w:rPr>
        <w:t>[ f ][ c ]</w:t>
      </w:r>
      <w:r w:rsidR="004B7314" w:rsidRPr="00A52AB8">
        <w:rPr>
          <w:lang w:eastAsia="ja-JP"/>
        </w:rPr>
        <w:t>[ y ][ x ]</w:t>
      </w:r>
      <w:r w:rsidR="006975B4" w:rsidRPr="00A52AB8">
        <w:rPr>
          <w:lang w:eastAsia="ja-JP"/>
        </w:rPr>
        <w:br/>
      </w:r>
      <w:r w:rsidRPr="00A52AB8">
        <w:rPr>
          <w:lang w:eastAsia="ja-JP"/>
        </w:rPr>
        <w:tab/>
      </w:r>
      <w:r w:rsidR="006975B4" w:rsidRPr="00A52AB8">
        <w:rPr>
          <w:lang w:eastAsia="ja-JP"/>
        </w:rPr>
        <w:tab/>
      </w:r>
      <w:r w:rsidR="006975B4" w:rsidRPr="00A52AB8">
        <w:rPr>
          <w:lang w:eastAsia="ja-JP"/>
        </w:rPr>
        <w:tab/>
      </w:r>
      <w:r w:rsidR="006975B4" w:rsidRPr="00A52AB8">
        <w:rPr>
          <w:lang w:eastAsia="ja-JP"/>
        </w:rPr>
        <w:tab/>
        <w:t>}</w:t>
      </w:r>
      <w:r w:rsidR="006975B4" w:rsidRPr="00A52AB8">
        <w:rPr>
          <w:lang w:eastAsia="ja-JP"/>
        </w:rPr>
        <w:br/>
      </w:r>
      <w:r w:rsidRPr="00A52AB8">
        <w:rPr>
          <w:lang w:eastAsia="ja-JP"/>
        </w:rPr>
        <w:tab/>
      </w:r>
      <w:r w:rsidR="006975B4" w:rsidRPr="00A52AB8">
        <w:rPr>
          <w:lang w:eastAsia="ja-JP"/>
        </w:rPr>
        <w:tab/>
      </w:r>
      <w:r w:rsidR="006975B4" w:rsidRPr="00A52AB8">
        <w:rPr>
          <w:lang w:eastAsia="ja-JP"/>
        </w:rPr>
        <w:tab/>
        <w:t>}</w:t>
      </w:r>
      <w:r w:rsidR="006975B4" w:rsidRPr="00A52AB8">
        <w:rPr>
          <w:lang w:eastAsia="ja-JP"/>
        </w:rPr>
        <w:br/>
      </w:r>
      <w:r w:rsidRPr="00A52AB8">
        <w:rPr>
          <w:lang w:eastAsia="ja-JP"/>
        </w:rPr>
        <w:tab/>
      </w:r>
      <w:r w:rsidR="006975B4" w:rsidRPr="00A52AB8">
        <w:rPr>
          <w:lang w:eastAsia="ja-JP"/>
        </w:rPr>
        <w:tab/>
        <w:t>}</w:t>
      </w:r>
      <w:r w:rsidRPr="00A52AB8">
        <w:rPr>
          <w:lang w:eastAsia="ja-JP"/>
        </w:rPr>
        <w:br/>
      </w:r>
      <w:r w:rsidRPr="00A52AB8">
        <w:rPr>
          <w:lang w:eastAsia="ja-JP"/>
        </w:rPr>
        <w:br/>
      </w:r>
      <w:r w:rsidR="00AB1D91" w:rsidRPr="00A52AB8">
        <w:rPr>
          <w:lang w:eastAsia="ja-JP"/>
        </w:rPr>
        <w:tab/>
      </w:r>
      <w:r w:rsidRPr="00A52AB8">
        <w:rPr>
          <w:lang w:eastAsia="ja-JP"/>
        </w:rPr>
        <w:tab/>
      </w:r>
      <w:r w:rsidR="006975B4" w:rsidRPr="00A52AB8">
        <w:rPr>
          <w:color w:val="000000" w:themeColor="text1"/>
        </w:rPr>
        <w:t>rangeOrdIdx</w:t>
      </w:r>
      <w:r w:rsidR="00D47707" w:rsidRPr="00A52AB8">
        <w:rPr>
          <w:lang w:eastAsia="ja-JP"/>
        </w:rPr>
        <w:t> = </w:t>
      </w:r>
      <w:r w:rsidR="00BD3AC0" w:rsidRPr="00A52AB8">
        <w:rPr>
          <w:color w:val="000000" w:themeColor="text1"/>
        </w:rPr>
        <w:t>ordIdx</w:t>
      </w:r>
      <w:r w:rsidR="00BE5FFE" w:rsidRPr="00A52AB8">
        <w:rPr>
          <w:lang w:eastAsia="ja-JP"/>
        </w:rPr>
        <w:t> </w:t>
      </w:r>
      <w:r w:rsidR="00AB1D91" w:rsidRPr="00A52AB8">
        <w:rPr>
          <w:lang w:eastAsia="ja-JP"/>
        </w:rPr>
        <w:t>+</w:t>
      </w:r>
      <w:r w:rsidR="00BE5FFE" w:rsidRPr="00A52AB8">
        <w:rPr>
          <w:lang w:eastAsia="ja-JP"/>
        </w:rPr>
        <w:t> </w:t>
      </w:r>
      <w:r w:rsidR="00AB1D91" w:rsidRPr="00A52AB8">
        <w:rPr>
          <w:lang w:eastAsia="ja-JP"/>
        </w:rPr>
        <w:t>1</w:t>
      </w:r>
      <w:r w:rsidR="00602C37" w:rsidRPr="00A52AB8">
        <w:rPr>
          <w:lang w:eastAsia="ja-JP"/>
        </w:rPr>
        <w:br/>
      </w:r>
      <w:r w:rsidRPr="00A52AB8">
        <w:rPr>
          <w:lang w:eastAsia="ja-JP"/>
        </w:rPr>
        <w:tab/>
      </w:r>
      <w:r w:rsidR="00116D30" w:rsidRPr="00A52AB8">
        <w:rPr>
          <w:lang w:eastAsia="ja-JP"/>
        </w:rPr>
        <w:t>}</w:t>
      </w:r>
    </w:p>
    <w:p w14:paraId="18CD73EE" w14:textId="598A2A68" w:rsidR="00542F46" w:rsidRPr="00A52AB8" w:rsidRDefault="00542F46" w:rsidP="00EE3D19">
      <w:pPr>
        <w:pStyle w:val="a3"/>
        <w:numPr>
          <w:ilvl w:val="3"/>
          <w:numId w:val="19"/>
        </w:numPr>
        <w:outlineLvl w:val="3"/>
      </w:pPr>
      <w:bookmarkStart w:id="4874" w:name="_Ref41282304"/>
      <w:bookmarkStart w:id="4875" w:name="_Toc52181667"/>
      <w:r w:rsidRPr="00A52AB8">
        <w:t xml:space="preserve">Atlas composition time </w:t>
      </w:r>
      <w:r w:rsidR="00A100D4" w:rsidRPr="00A52AB8">
        <w:t>alignment</w:t>
      </w:r>
      <w:bookmarkEnd w:id="4874"/>
      <w:bookmarkEnd w:id="4875"/>
    </w:p>
    <w:p w14:paraId="1CE53E57" w14:textId="77777777" w:rsidR="00542F46" w:rsidRPr="00A52AB8" w:rsidRDefault="00542F46">
      <w:pPr>
        <w:rPr>
          <w:lang w:eastAsia="ja-JP"/>
        </w:rPr>
      </w:pPr>
      <w:bookmarkStart w:id="4876" w:name="_Hlk40950539"/>
      <w:r w:rsidRPr="00A52AB8">
        <w:rPr>
          <w:lang w:eastAsia="ja-JP"/>
        </w:rPr>
        <w:t>Inputs to this process are:</w:t>
      </w:r>
    </w:p>
    <w:p w14:paraId="691ADB33" w14:textId="2CC96D0A" w:rsidR="009D47CA" w:rsidRPr="00A52AB8" w:rsidRDefault="005A332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variable numAtlFrm, indicating </w:t>
      </w:r>
      <w:r w:rsidR="009D47CA" w:rsidRPr="00A52AB8">
        <w:rPr>
          <w:color w:val="000000" w:themeColor="text1"/>
        </w:rPr>
        <w:t>the number of atlas frames,</w:t>
      </w:r>
    </w:p>
    <w:p w14:paraId="3E279CBD" w14:textId="38615815" w:rsidR="009D47CA" w:rsidRPr="00A52AB8" w:rsidRDefault="005A332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variable numInFrames, indicating </w:t>
      </w:r>
      <w:r w:rsidR="009D47CA" w:rsidRPr="00A52AB8">
        <w:rPr>
          <w:color w:val="000000" w:themeColor="text1"/>
        </w:rPr>
        <w:t>the number of input frames,</w:t>
      </w:r>
    </w:p>
    <w:p w14:paraId="1920546D" w14:textId="77777777" w:rsidR="005A3328" w:rsidRPr="00A52AB8" w:rsidRDefault="005A332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variable iNumComp, indicating the number of components for each frame,</w:t>
      </w:r>
    </w:p>
    <w:p w14:paraId="08539060" w14:textId="77777777" w:rsidR="005A3328" w:rsidRPr="00A52AB8" w:rsidRDefault="005A332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variable iHeight,</w:t>
      </w:r>
      <w:r w:rsidRPr="00A52AB8" w:rsidDel="00631134">
        <w:rPr>
          <w:color w:val="000000" w:themeColor="text1"/>
        </w:rPr>
        <w:t xml:space="preserve"> </w:t>
      </w:r>
      <w:r w:rsidRPr="00A52AB8">
        <w:rPr>
          <w:color w:val="000000" w:themeColor="text1"/>
        </w:rPr>
        <w:t>indicating the height of each frame,</w:t>
      </w:r>
    </w:p>
    <w:p w14:paraId="08D65DE3" w14:textId="77777777" w:rsidR="005A3328" w:rsidRPr="00A52AB8" w:rsidRDefault="005A332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variable iWidth, indicating the width of each frame,</w:t>
      </w:r>
    </w:p>
    <w:p w14:paraId="3EDF51B1" w14:textId="77777777" w:rsidR="00747BF5" w:rsidRPr="00A52AB8" w:rsidRDefault="00747BF5" w:rsidP="00747BF5">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1D array atlasOutOrdIdx, of size numAtlFrm, indicating the atlas output order index,</w:t>
      </w:r>
    </w:p>
    <w:p w14:paraId="184DCFC4" w14:textId="77777777" w:rsidR="00747BF5" w:rsidRPr="00A52AB8" w:rsidRDefault="00747BF5" w:rsidP="00747BF5">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1D array atlasCompTime, of size numAtlFrm, indicating the atlas composition time,</w:t>
      </w:r>
    </w:p>
    <w:p w14:paraId="6E54FCED" w14:textId="18C1F533" w:rsidR="0050235C" w:rsidRPr="00A52AB8" w:rsidRDefault="00542F4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w:t>
      </w:r>
      <w:r w:rsidR="005A3328" w:rsidRPr="00A52AB8">
        <w:rPr>
          <w:color w:val="000000" w:themeColor="text1"/>
        </w:rPr>
        <w:t xml:space="preserve">4D </w:t>
      </w:r>
      <w:r w:rsidRPr="00A52AB8">
        <w:rPr>
          <w:color w:val="000000" w:themeColor="text1"/>
        </w:rPr>
        <w:t>array inputFrame</w:t>
      </w:r>
      <w:r w:rsidR="005A3328" w:rsidRPr="00A52AB8">
        <w:rPr>
          <w:color w:val="000000" w:themeColor="text1"/>
        </w:rPr>
        <w:t>s</w:t>
      </w:r>
      <w:r w:rsidRPr="00A52AB8">
        <w:rPr>
          <w:color w:val="000000" w:themeColor="text1"/>
        </w:rPr>
        <w:t xml:space="preserve">, </w:t>
      </w:r>
      <w:r w:rsidR="005A3328" w:rsidRPr="00A52AB8">
        <w:rPr>
          <w:color w:val="000000" w:themeColor="text1"/>
        </w:rPr>
        <w:t>of size numInFrames × iNumComp × iHeight × iWidth</w:t>
      </w:r>
    </w:p>
    <w:p w14:paraId="125848D3" w14:textId="63E86058" w:rsidR="0050235C" w:rsidRPr="00A52AB8" w:rsidRDefault="005A332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1D array iCompTime, of size numInFrames, indicating the composition time of each frame</w:t>
      </w:r>
      <w:r w:rsidR="001702F1" w:rsidRPr="00A52AB8">
        <w:rPr>
          <w:color w:val="000000" w:themeColor="text1"/>
        </w:rPr>
        <w:t>, and</w:t>
      </w:r>
    </w:p>
    <w:p w14:paraId="63A9216A" w14:textId="64C5005C" w:rsidR="00542F46" w:rsidRPr="00A52AB8" w:rsidRDefault="005A332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bookmarkStart w:id="4877" w:name="_Hlk41249790"/>
      <w:r w:rsidRPr="00A52AB8">
        <w:rPr>
          <w:color w:val="000000" w:themeColor="text1"/>
        </w:rPr>
        <w:t xml:space="preserve">a 1D array framePresent, of size numInFrames, indicating </w:t>
      </w:r>
      <w:r w:rsidR="000303DE" w:rsidRPr="00A52AB8">
        <w:rPr>
          <w:color w:val="000000" w:themeColor="text1"/>
        </w:rPr>
        <w:t>the presence of a frame</w:t>
      </w:r>
      <w:r w:rsidR="001702F1" w:rsidRPr="00A52AB8">
        <w:rPr>
          <w:color w:val="000000" w:themeColor="text1"/>
        </w:rPr>
        <w:t>.</w:t>
      </w:r>
      <w:bookmarkEnd w:id="4877"/>
    </w:p>
    <w:p w14:paraId="5A20BD8C" w14:textId="77777777" w:rsidR="0050235C" w:rsidRPr="00A52AB8" w:rsidRDefault="00542F46" w:rsidP="003819BE">
      <w:pPr>
        <w:rPr>
          <w:lang w:eastAsia="ja-JP"/>
        </w:rPr>
      </w:pPr>
      <w:r w:rsidRPr="00A52AB8">
        <w:rPr>
          <w:lang w:eastAsia="ja-JP"/>
        </w:rPr>
        <w:t>Output</w:t>
      </w:r>
      <w:r w:rsidR="00B7660C" w:rsidRPr="00A52AB8">
        <w:rPr>
          <w:lang w:eastAsia="ja-JP"/>
        </w:rPr>
        <w:t>s</w:t>
      </w:r>
      <w:r w:rsidRPr="00A52AB8">
        <w:rPr>
          <w:lang w:eastAsia="ja-JP"/>
        </w:rPr>
        <w:t xml:space="preserve"> of this process </w:t>
      </w:r>
      <w:r w:rsidR="00B7660C" w:rsidRPr="00A52AB8">
        <w:rPr>
          <w:lang w:eastAsia="ja-JP"/>
        </w:rPr>
        <w:t>are</w:t>
      </w:r>
      <w:r w:rsidRPr="00A52AB8">
        <w:rPr>
          <w:lang w:eastAsia="ja-JP"/>
        </w:rPr>
        <w:t>:</w:t>
      </w:r>
    </w:p>
    <w:p w14:paraId="201CDB53" w14:textId="5FEE758E" w:rsidR="00E90CD2" w:rsidRPr="00A52AB8" w:rsidRDefault="005A332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variable rangeCompTimeI</w:t>
      </w:r>
      <w:r w:rsidR="00C30A51" w:rsidRPr="00A52AB8">
        <w:rPr>
          <w:color w:val="000000" w:themeColor="text1"/>
        </w:rPr>
        <w:t>d</w:t>
      </w:r>
      <w:r w:rsidRPr="00A52AB8">
        <w:rPr>
          <w:color w:val="000000" w:themeColor="text1"/>
        </w:rPr>
        <w:t xml:space="preserve">x, indicating the number of output frames </w:t>
      </w:r>
      <w:r w:rsidR="00E90CD2" w:rsidRPr="00A52AB8">
        <w:rPr>
          <w:color w:val="000000" w:themeColor="text1"/>
        </w:rPr>
        <w:t>the number of frames,</w:t>
      </w:r>
    </w:p>
    <w:p w14:paraId="714349E0" w14:textId="77777777" w:rsidR="0050235C" w:rsidRPr="00A52AB8" w:rsidRDefault="005A332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4D array outputFrames, of size rangeCompTimeI</w:t>
      </w:r>
      <w:r w:rsidR="00C30A51" w:rsidRPr="00A52AB8">
        <w:rPr>
          <w:color w:val="000000" w:themeColor="text1"/>
        </w:rPr>
        <w:t>d</w:t>
      </w:r>
      <w:r w:rsidRPr="00A52AB8">
        <w:rPr>
          <w:color w:val="000000" w:themeColor="text1"/>
        </w:rPr>
        <w:t>x × iNumComp × iHeight × iWidth</w:t>
      </w:r>
    </w:p>
    <w:p w14:paraId="590991EA" w14:textId="35149274" w:rsidR="00E90CD2" w:rsidRPr="00A52AB8" w:rsidRDefault="005A332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1D array outputCompTime, of size rangeCompTimeI</w:t>
      </w:r>
      <w:r w:rsidR="00C30A51" w:rsidRPr="00A52AB8">
        <w:rPr>
          <w:color w:val="000000" w:themeColor="text1"/>
        </w:rPr>
        <w:t>d</w:t>
      </w:r>
      <w:r w:rsidRPr="00A52AB8">
        <w:rPr>
          <w:color w:val="000000" w:themeColor="text1"/>
        </w:rPr>
        <w:t>x, indicating the composition time of each frame.</w:t>
      </w:r>
    </w:p>
    <w:p w14:paraId="67FB943D" w14:textId="27AC5079" w:rsidR="005A3328" w:rsidRPr="00A52AB8" w:rsidRDefault="005A3328" w:rsidP="00E860C4">
      <w:pPr>
        <w:pStyle w:val="ListParagraph"/>
        <w:ind w:leftChars="0" w:left="0"/>
        <w:rPr>
          <w:color w:val="000000" w:themeColor="text1"/>
        </w:rPr>
      </w:pPr>
      <w:r w:rsidRPr="00A52AB8">
        <w:rPr>
          <w:color w:val="000000" w:themeColor="text1"/>
        </w:rPr>
        <w:t xml:space="preserve">This process copies the input frames to an output structure according to the relationship of their </w:t>
      </w:r>
      <w:r w:rsidR="009A3C29" w:rsidRPr="00A52AB8">
        <w:rPr>
          <w:color w:val="000000" w:themeColor="text1"/>
        </w:rPr>
        <w:t>composition time to that of the atlas. It then re-</w:t>
      </w:r>
      <w:r w:rsidRPr="00A52AB8">
        <w:rPr>
          <w:color w:val="000000" w:themeColor="text1"/>
        </w:rPr>
        <w:t xml:space="preserve">assigns to them the composition time of the atlas. </w:t>
      </w:r>
      <w:r w:rsidR="009A3C29" w:rsidRPr="00A52AB8">
        <w:rPr>
          <w:color w:val="000000" w:themeColor="text1"/>
        </w:rPr>
        <w:t>In particular, t</w:t>
      </w:r>
      <w:r w:rsidRPr="00A52AB8">
        <w:rPr>
          <w:color w:val="000000" w:themeColor="text1"/>
        </w:rPr>
        <w:t>he following applies:</w:t>
      </w:r>
    </w:p>
    <w:p w14:paraId="7501BB03" w14:textId="2AF3D607" w:rsidR="00C30A51" w:rsidRPr="00A52AB8" w:rsidRDefault="004C14CB" w:rsidP="00C30A51">
      <w:r w:rsidRPr="00A52AB8">
        <w:rPr>
          <w:color w:val="000000" w:themeColor="text1"/>
        </w:rPr>
        <w:tab/>
      </w:r>
      <w:r w:rsidR="00C54B61" w:rsidRPr="00A52AB8">
        <w:rPr>
          <w:color w:val="000000" w:themeColor="text1"/>
        </w:rPr>
        <w:t>rangeComp</w:t>
      </w:r>
      <w:r w:rsidR="00C30A51" w:rsidRPr="00A52AB8">
        <w:rPr>
          <w:color w:val="000000" w:themeColor="text1"/>
        </w:rPr>
        <w:t>TimeIdx</w:t>
      </w:r>
      <w:r w:rsidR="00D47707" w:rsidRPr="00A52AB8">
        <w:rPr>
          <w:color w:val="000000" w:themeColor="text1"/>
        </w:rPr>
        <w:t> = </w:t>
      </w:r>
      <w:r w:rsidR="00542F46" w:rsidRPr="00A52AB8">
        <w:rPr>
          <w:color w:val="000000" w:themeColor="text1"/>
        </w:rPr>
        <w:t>0</w:t>
      </w:r>
      <w:r w:rsidR="00E90CD2" w:rsidRPr="00A52AB8">
        <w:rPr>
          <w:color w:val="000000" w:themeColor="text1"/>
        </w:rPr>
        <w:br/>
      </w:r>
      <w:r w:rsidRPr="00A52AB8">
        <w:rPr>
          <w:color w:val="000000" w:themeColor="text1"/>
        </w:rPr>
        <w:tab/>
      </w:r>
      <w:r w:rsidR="002E7630" w:rsidRPr="00A52AB8">
        <w:t>input</w:t>
      </w:r>
      <w:r w:rsidR="00C30A51" w:rsidRPr="00A52AB8">
        <w:t>OrdIdx</w:t>
      </w:r>
      <w:r w:rsidR="00D47707" w:rsidRPr="00A52AB8">
        <w:t> = </w:t>
      </w:r>
      <w:r w:rsidR="00542F46" w:rsidRPr="00A52AB8">
        <w:t>0</w:t>
      </w:r>
      <w:r w:rsidR="00E90CD2" w:rsidRPr="00A52AB8">
        <w:br/>
      </w:r>
      <w:r w:rsidRPr="00A52AB8">
        <w:tab/>
      </w:r>
      <w:r w:rsidR="00542F46" w:rsidRPr="00A52AB8">
        <w:t>for( i=0; i &lt; num</w:t>
      </w:r>
      <w:r w:rsidR="00B2308D" w:rsidRPr="00A52AB8">
        <w:t>AtlFrm</w:t>
      </w:r>
      <w:r w:rsidR="00542F46" w:rsidRPr="00A52AB8">
        <w:t>; i</w:t>
      </w:r>
      <w:r w:rsidR="00006CCF" w:rsidRPr="00A52AB8">
        <w:t>++ </w:t>
      </w:r>
      <w:r w:rsidR="008F1F82" w:rsidRPr="00A52AB8">
        <w:t>) {</w:t>
      </w:r>
      <w:r w:rsidR="001E33B5" w:rsidRPr="00A52AB8">
        <w:tab/>
      </w:r>
      <w:r w:rsidR="00C30A51" w:rsidRPr="00A52AB8">
        <w:br/>
      </w:r>
      <w:r w:rsidRPr="00A52AB8">
        <w:tab/>
      </w:r>
      <w:r w:rsidR="00B37159" w:rsidRPr="00A52AB8">
        <w:tab/>
      </w:r>
      <w:r w:rsidR="00B2308D" w:rsidRPr="00A52AB8">
        <w:t>comp</w:t>
      </w:r>
      <w:r w:rsidR="00C30A51" w:rsidRPr="00A52AB8">
        <w:t>TimeIdx</w:t>
      </w:r>
      <w:r w:rsidR="00D47707" w:rsidRPr="00A52AB8">
        <w:t> = </w:t>
      </w:r>
      <w:r w:rsidR="009A3C29" w:rsidRPr="00A52AB8">
        <w:t>atlasOutOrdIdx[</w:t>
      </w:r>
      <w:r w:rsidR="00B2308D" w:rsidRPr="00A52AB8">
        <w:t> </w:t>
      </w:r>
      <w:r w:rsidR="00270374" w:rsidRPr="00A52AB8">
        <w:t>i </w:t>
      </w:r>
      <w:r w:rsidR="009A3C29" w:rsidRPr="00A52AB8">
        <w:t>]</w:t>
      </w:r>
      <w:r w:rsidR="00BE5FFE" w:rsidRPr="00A52AB8">
        <w:br/>
      </w:r>
      <w:r w:rsidRPr="00A52AB8">
        <w:tab/>
      </w:r>
      <w:r w:rsidR="00B37159" w:rsidRPr="00A52AB8">
        <w:tab/>
      </w:r>
      <w:r w:rsidR="00C30A51" w:rsidRPr="00A52AB8">
        <w:t>compTime</w:t>
      </w:r>
      <w:r w:rsidR="00D47707" w:rsidRPr="00A52AB8">
        <w:t> = </w:t>
      </w:r>
      <w:r w:rsidR="00542F46" w:rsidRPr="00A52AB8">
        <w:t>atlasCompTime[ </w:t>
      </w:r>
      <w:r w:rsidR="008904C1" w:rsidRPr="00A52AB8">
        <w:t>i</w:t>
      </w:r>
      <w:r w:rsidR="00542F46" w:rsidRPr="00A52AB8">
        <w:t> ]</w:t>
      </w:r>
      <w:r w:rsidRPr="00A52AB8">
        <w:br/>
      </w:r>
      <w:r w:rsidRPr="00A52AB8">
        <w:br/>
      </w:r>
      <w:r w:rsidRPr="00A52AB8">
        <w:tab/>
      </w:r>
      <w:r w:rsidR="00B37159" w:rsidRPr="00A52AB8">
        <w:tab/>
      </w:r>
      <w:r w:rsidR="00003EFA" w:rsidRPr="00A52AB8">
        <w:t>foundCompositionTime</w:t>
      </w:r>
      <w:r w:rsidR="00D47707" w:rsidRPr="00A52AB8">
        <w:t> = </w:t>
      </w:r>
      <w:r w:rsidR="002E7630" w:rsidRPr="00A52AB8">
        <w:t>0</w:t>
      </w:r>
      <w:r w:rsidR="00003EFA" w:rsidRPr="00A52AB8">
        <w:br/>
      </w:r>
      <w:r w:rsidR="00B37159" w:rsidRPr="00A52AB8">
        <w:tab/>
      </w:r>
      <w:r w:rsidRPr="00A52AB8">
        <w:tab/>
      </w:r>
      <w:r w:rsidR="002E7630" w:rsidRPr="00A52AB8">
        <w:t>while</w:t>
      </w:r>
      <w:r w:rsidR="00AE0610" w:rsidRPr="00A52AB8">
        <w:t>(</w:t>
      </w:r>
      <w:r w:rsidR="00747BF5" w:rsidRPr="00A52AB8">
        <w:t> </w:t>
      </w:r>
      <w:r w:rsidR="002E7630" w:rsidRPr="00A52AB8">
        <w:t>(</w:t>
      </w:r>
      <w:r w:rsidR="00AE0610" w:rsidRPr="00A52AB8">
        <w:t> input</w:t>
      </w:r>
      <w:r w:rsidR="00C30A51" w:rsidRPr="00A52AB8">
        <w:t>OrdIdx</w:t>
      </w:r>
      <w:r w:rsidR="00AE0610" w:rsidRPr="00A52AB8">
        <w:t> &lt;numInFrames ) &amp;&amp; (</w:t>
      </w:r>
      <w:r w:rsidR="00BE5FFE" w:rsidRPr="00A52AB8">
        <w:t> </w:t>
      </w:r>
      <w:r w:rsidR="002E7630" w:rsidRPr="00A52AB8">
        <w:t>foundCompositionTime</w:t>
      </w:r>
      <w:r w:rsidR="008768E9" w:rsidRPr="00A52AB8">
        <w:t> </w:t>
      </w:r>
      <w:r w:rsidR="00726AAE" w:rsidRPr="00A52AB8">
        <w:t>==</w:t>
      </w:r>
      <w:r w:rsidR="00D47707" w:rsidRPr="00A52AB8">
        <w:t> </w:t>
      </w:r>
      <w:r w:rsidR="002E7630" w:rsidRPr="00A52AB8">
        <w:t>0</w:t>
      </w:r>
      <w:r w:rsidR="00BE5FFE" w:rsidRPr="00A52AB8">
        <w:t> </w:t>
      </w:r>
      <w:r w:rsidR="002E7630" w:rsidRPr="00A52AB8">
        <w:t>)</w:t>
      </w:r>
      <w:r w:rsidR="00747BF5" w:rsidRPr="00A52AB8">
        <w:t> </w:t>
      </w:r>
      <w:r w:rsidR="008F1F82" w:rsidRPr="00A52AB8">
        <w:t>) {</w:t>
      </w:r>
      <w:r w:rsidR="00C30A51" w:rsidRPr="00A52AB8">
        <w:br/>
      </w:r>
      <w:r w:rsidR="004844B8" w:rsidRPr="00A52AB8">
        <w:tab/>
      </w:r>
      <w:r w:rsidRPr="00A52AB8">
        <w:tab/>
      </w:r>
      <w:r w:rsidR="004844B8" w:rsidRPr="00A52AB8">
        <w:tab/>
      </w:r>
      <w:r w:rsidR="002E7630" w:rsidRPr="00A52AB8">
        <w:t>skipFrames</w:t>
      </w:r>
      <w:r w:rsidR="00D47707" w:rsidRPr="00A52AB8">
        <w:t> = </w:t>
      </w:r>
      <w:r w:rsidR="002E7630" w:rsidRPr="00A52AB8">
        <w:t>0</w:t>
      </w:r>
      <w:r w:rsidR="00C61E38" w:rsidRPr="00A52AB8">
        <w:br/>
      </w:r>
      <w:r w:rsidR="002E7630" w:rsidRPr="00A52AB8">
        <w:tab/>
      </w:r>
      <w:r w:rsidRPr="00A52AB8">
        <w:tab/>
      </w:r>
      <w:r w:rsidR="00B37159" w:rsidRPr="00A52AB8">
        <w:tab/>
      </w:r>
      <w:r w:rsidR="002E7630" w:rsidRPr="00A52AB8">
        <w:t>while(</w:t>
      </w:r>
      <w:r w:rsidR="00C54B61" w:rsidRPr="00A52AB8">
        <w:t> ( ( input</w:t>
      </w:r>
      <w:r w:rsidR="00C30A51" w:rsidRPr="00A52AB8">
        <w:t>OrdIdx</w:t>
      </w:r>
      <w:r w:rsidR="00C54B61" w:rsidRPr="00A52AB8">
        <w:t>+ skipFrames </w:t>
      </w:r>
      <w:r w:rsidR="00E90CD2" w:rsidRPr="00A52AB8">
        <w:t>+ 1 </w:t>
      </w:r>
      <w:r w:rsidR="00C54B61" w:rsidRPr="00A52AB8">
        <w:t>) &lt;</w:t>
      </w:r>
      <w:r w:rsidR="00C30A51" w:rsidRPr="00A52AB8">
        <w:t> </w:t>
      </w:r>
      <w:r w:rsidR="00C54B61" w:rsidRPr="00A52AB8">
        <w:t>numInFrames ) &amp;&amp;</w:t>
      </w:r>
      <w:r w:rsidR="00C61E38" w:rsidRPr="00A52AB8">
        <w:br/>
      </w:r>
      <w:r w:rsidR="00C54B61" w:rsidRPr="00A52AB8">
        <w:tab/>
      </w:r>
      <w:r w:rsidRPr="00A52AB8">
        <w:tab/>
      </w:r>
      <w:r w:rsidR="00C54B61" w:rsidRPr="00A52AB8">
        <w:tab/>
      </w:r>
      <w:r w:rsidR="00C54B61" w:rsidRPr="00A52AB8">
        <w:tab/>
        <w:t>( </w:t>
      </w:r>
      <w:r w:rsidR="002E7630" w:rsidRPr="00A52AB8">
        <w:t>framePresent[</w:t>
      </w:r>
      <w:r w:rsidR="00BE5FFE" w:rsidRPr="00A52AB8">
        <w:t> </w:t>
      </w:r>
      <w:r w:rsidR="002E7630" w:rsidRPr="00A52AB8">
        <w:t>input</w:t>
      </w:r>
      <w:r w:rsidR="00C30A51" w:rsidRPr="00A52AB8">
        <w:t>OrdIdx</w:t>
      </w:r>
      <w:r w:rsidR="00BE5FFE" w:rsidRPr="00A52AB8">
        <w:t> </w:t>
      </w:r>
      <w:r w:rsidR="002E7630" w:rsidRPr="00A52AB8">
        <w:t>+</w:t>
      </w:r>
      <w:r w:rsidR="00BE5FFE" w:rsidRPr="00A52AB8">
        <w:t> </w:t>
      </w:r>
      <w:r w:rsidR="002E7630" w:rsidRPr="00A52AB8">
        <w:t>skipFrames</w:t>
      </w:r>
      <w:r w:rsidR="00BE5FFE" w:rsidRPr="00A52AB8">
        <w:t> </w:t>
      </w:r>
      <w:r w:rsidR="002E7630" w:rsidRPr="00A52AB8">
        <w:t>]</w:t>
      </w:r>
      <w:r w:rsidR="008768E9" w:rsidRPr="00A52AB8">
        <w:t> </w:t>
      </w:r>
      <w:r w:rsidR="00726AAE" w:rsidRPr="00A52AB8">
        <w:t>==</w:t>
      </w:r>
      <w:r w:rsidR="00D47707" w:rsidRPr="00A52AB8">
        <w:t> </w:t>
      </w:r>
      <w:r w:rsidR="002E7630" w:rsidRPr="00A52AB8">
        <w:t>0</w:t>
      </w:r>
      <w:r w:rsidR="00BE5FFE" w:rsidRPr="00A52AB8">
        <w:t> </w:t>
      </w:r>
      <w:r w:rsidR="002E7630" w:rsidRPr="00A52AB8">
        <w:t>)</w:t>
      </w:r>
      <w:r w:rsidR="00C54B61" w:rsidRPr="00A52AB8">
        <w:t> )</w:t>
      </w:r>
      <w:r w:rsidR="00BE5FFE" w:rsidRPr="00A52AB8">
        <w:br/>
      </w:r>
      <w:r w:rsidR="002E7630" w:rsidRPr="00A52AB8">
        <w:tab/>
      </w:r>
      <w:r w:rsidRPr="00A52AB8">
        <w:tab/>
      </w:r>
      <w:r w:rsidR="002E7630" w:rsidRPr="00A52AB8">
        <w:tab/>
      </w:r>
      <w:r w:rsidR="00B37159" w:rsidRPr="00A52AB8">
        <w:tab/>
      </w:r>
      <w:r w:rsidR="002E7630" w:rsidRPr="00A52AB8">
        <w:t>skipFrames</w:t>
      </w:r>
      <w:r w:rsidR="00D47707" w:rsidRPr="00A52AB8">
        <w:t> = </w:t>
      </w:r>
      <w:r w:rsidR="002E7630" w:rsidRPr="00A52AB8">
        <w:t>skipFrames</w:t>
      </w:r>
      <w:r w:rsidR="00BE5FFE" w:rsidRPr="00A52AB8">
        <w:t> </w:t>
      </w:r>
      <w:r w:rsidR="002E7630" w:rsidRPr="00A52AB8">
        <w:t>+</w:t>
      </w:r>
      <w:r w:rsidR="00BE5FFE" w:rsidRPr="00A52AB8">
        <w:t> </w:t>
      </w:r>
      <w:r w:rsidR="002E7630" w:rsidRPr="00A52AB8">
        <w:t>1</w:t>
      </w:r>
    </w:p>
    <w:p w14:paraId="14E70503" w14:textId="26E7FCC0" w:rsidR="00D136E3" w:rsidRPr="00A52AB8" w:rsidRDefault="00E90CD2" w:rsidP="00E860C4">
      <w:r w:rsidRPr="00A52AB8">
        <w:tab/>
      </w:r>
      <w:r w:rsidR="004C14CB" w:rsidRPr="00A52AB8">
        <w:tab/>
      </w:r>
      <w:r w:rsidRPr="00A52AB8">
        <w:tab/>
        <w:t>input</w:t>
      </w:r>
      <w:r w:rsidR="00C30A51" w:rsidRPr="00A52AB8">
        <w:t>OrdIdx</w:t>
      </w:r>
      <w:r w:rsidR="00D47707" w:rsidRPr="00A52AB8">
        <w:t> = </w:t>
      </w:r>
      <w:r w:rsidRPr="00A52AB8">
        <w:t>input</w:t>
      </w:r>
      <w:r w:rsidR="00C30A51" w:rsidRPr="00A52AB8">
        <w:t>OrdIdx</w:t>
      </w:r>
      <w:r w:rsidRPr="00A52AB8">
        <w:t> + skipFrames</w:t>
      </w:r>
      <w:r w:rsidRPr="00A52AB8">
        <w:br/>
      </w:r>
      <w:r w:rsidR="002E7630" w:rsidRPr="00A52AB8">
        <w:tab/>
      </w:r>
      <w:r w:rsidR="004C14CB" w:rsidRPr="00A52AB8">
        <w:tab/>
      </w:r>
      <w:r w:rsidR="00B37159" w:rsidRPr="00A52AB8">
        <w:tab/>
      </w:r>
      <w:r w:rsidR="002E7630" w:rsidRPr="00A52AB8">
        <w:t>if(</w:t>
      </w:r>
      <w:r w:rsidR="00BE5FFE" w:rsidRPr="00A52AB8">
        <w:t> </w:t>
      </w:r>
      <w:r w:rsidR="002E7630" w:rsidRPr="00A52AB8">
        <w:t>iCompTime[</w:t>
      </w:r>
      <w:r w:rsidR="00BE5FFE" w:rsidRPr="00A52AB8">
        <w:t> </w:t>
      </w:r>
      <w:r w:rsidR="002E7630" w:rsidRPr="00A52AB8">
        <w:t>input</w:t>
      </w:r>
      <w:r w:rsidR="00C30A51" w:rsidRPr="00A52AB8">
        <w:t>OrdIdx</w:t>
      </w:r>
      <w:r w:rsidR="00BE5FFE" w:rsidRPr="00A52AB8">
        <w:t> </w:t>
      </w:r>
      <w:r w:rsidR="002E7630" w:rsidRPr="00A52AB8">
        <w:t>]</w:t>
      </w:r>
      <w:r w:rsidR="008768E9" w:rsidRPr="00A52AB8">
        <w:t> </w:t>
      </w:r>
      <w:r w:rsidR="00726AAE" w:rsidRPr="00A52AB8">
        <w:t>==</w:t>
      </w:r>
      <w:r w:rsidR="00D47707" w:rsidRPr="00A52AB8">
        <w:t> </w:t>
      </w:r>
      <w:r w:rsidR="00C30A51" w:rsidRPr="00A52AB8">
        <w:t>compTime </w:t>
      </w:r>
      <w:r w:rsidR="008F1F82" w:rsidRPr="00A52AB8">
        <w:t>) {</w:t>
      </w:r>
      <w:r w:rsidR="00003EFA" w:rsidRPr="00A52AB8">
        <w:br/>
      </w:r>
      <w:r w:rsidR="002E7630" w:rsidRPr="00A52AB8">
        <w:tab/>
      </w:r>
      <w:r w:rsidR="004C14CB" w:rsidRPr="00A52AB8">
        <w:tab/>
      </w:r>
      <w:r w:rsidR="002E7630" w:rsidRPr="00A52AB8">
        <w:tab/>
      </w:r>
      <w:r w:rsidR="00B37159" w:rsidRPr="00A52AB8">
        <w:tab/>
      </w:r>
      <w:r w:rsidR="002E7630" w:rsidRPr="00A52AB8">
        <w:t>foundCompositionTime</w:t>
      </w:r>
      <w:r w:rsidR="00D47707" w:rsidRPr="00A52AB8">
        <w:t> = </w:t>
      </w:r>
      <w:r w:rsidR="002E7630" w:rsidRPr="00A52AB8">
        <w:t>1</w:t>
      </w:r>
      <w:r w:rsidR="00BE5FFE" w:rsidRPr="00A52AB8">
        <w:br/>
      </w:r>
      <w:r w:rsidR="002E7630" w:rsidRPr="00A52AB8">
        <w:tab/>
      </w:r>
      <w:r w:rsidR="004C14CB" w:rsidRPr="00A52AB8">
        <w:tab/>
      </w:r>
      <w:r w:rsidR="002E7630" w:rsidRPr="00A52AB8">
        <w:tab/>
      </w:r>
      <w:r w:rsidR="00B37159" w:rsidRPr="00A52AB8">
        <w:tab/>
      </w:r>
      <w:r w:rsidR="00C54B61" w:rsidRPr="00A52AB8">
        <w:t>savedI</w:t>
      </w:r>
      <w:r w:rsidR="002E7630" w:rsidRPr="00A52AB8">
        <w:t>nput</w:t>
      </w:r>
      <w:r w:rsidR="00C30A51" w:rsidRPr="00A52AB8">
        <w:t>OrdIdx</w:t>
      </w:r>
      <w:r w:rsidR="00D47707" w:rsidRPr="00A52AB8">
        <w:t> = </w:t>
      </w:r>
      <w:r w:rsidR="002E7630" w:rsidRPr="00A52AB8">
        <w:t>input</w:t>
      </w:r>
      <w:r w:rsidR="00C30A51" w:rsidRPr="00A52AB8">
        <w:t>OrdIdx</w:t>
      </w:r>
      <w:r w:rsidRPr="00A52AB8" w:rsidDel="00E90CD2">
        <w:t xml:space="preserve"> </w:t>
      </w:r>
      <w:r w:rsidR="00BE5FFE" w:rsidRPr="00A52AB8">
        <w:br/>
      </w:r>
      <w:r w:rsidR="002E7630" w:rsidRPr="00A52AB8">
        <w:tab/>
      </w:r>
      <w:r w:rsidR="004C14CB" w:rsidRPr="00A52AB8">
        <w:tab/>
      </w:r>
      <w:r w:rsidR="00B37159" w:rsidRPr="00A52AB8">
        <w:tab/>
      </w:r>
      <w:r w:rsidR="0023721F" w:rsidRPr="00A52AB8">
        <w:t>} else {</w:t>
      </w:r>
      <w:r w:rsidR="00BE5FFE" w:rsidRPr="00A52AB8">
        <w:br/>
      </w:r>
      <w:r w:rsidR="002E7630" w:rsidRPr="00A52AB8">
        <w:tab/>
      </w:r>
      <w:r w:rsidR="004C14CB" w:rsidRPr="00A52AB8">
        <w:tab/>
      </w:r>
      <w:r w:rsidR="002E7630" w:rsidRPr="00A52AB8">
        <w:tab/>
      </w:r>
      <w:r w:rsidR="00B37159" w:rsidRPr="00A52AB8">
        <w:tab/>
      </w:r>
      <w:r w:rsidR="002E7630" w:rsidRPr="00A52AB8">
        <w:t>if(</w:t>
      </w:r>
      <w:r w:rsidR="00BE5FFE" w:rsidRPr="00A52AB8">
        <w:t> </w:t>
      </w:r>
      <w:r w:rsidR="002E7630" w:rsidRPr="00A52AB8">
        <w:t>iCompTime[</w:t>
      </w:r>
      <w:r w:rsidR="00BE5FFE" w:rsidRPr="00A52AB8">
        <w:t> </w:t>
      </w:r>
      <w:r w:rsidR="002E7630" w:rsidRPr="00A52AB8">
        <w:t>input</w:t>
      </w:r>
      <w:r w:rsidR="00C30A51" w:rsidRPr="00A52AB8">
        <w:t>OrdIdx</w:t>
      </w:r>
      <w:r w:rsidR="00BE5FFE" w:rsidRPr="00A52AB8">
        <w:t> </w:t>
      </w:r>
      <w:r w:rsidR="002E7630" w:rsidRPr="00A52AB8">
        <w:t>]</w:t>
      </w:r>
      <w:r w:rsidR="00BE5FFE" w:rsidRPr="00A52AB8">
        <w:t> </w:t>
      </w:r>
      <w:r w:rsidR="002E7630" w:rsidRPr="00A52AB8">
        <w:t>&gt;</w:t>
      </w:r>
      <w:r w:rsidR="00BE5FFE" w:rsidRPr="00A52AB8">
        <w:t> </w:t>
      </w:r>
      <w:r w:rsidR="00C30A51" w:rsidRPr="00A52AB8">
        <w:t>compTime </w:t>
      </w:r>
      <w:r w:rsidR="002E7630" w:rsidRPr="00A52AB8">
        <w:t>)</w:t>
      </w:r>
      <w:r w:rsidR="00C30A51" w:rsidRPr="00A52AB8">
        <w:br/>
      </w:r>
      <w:r w:rsidR="002E7630" w:rsidRPr="00A52AB8">
        <w:tab/>
      </w:r>
      <w:r w:rsidR="004C14CB" w:rsidRPr="00A52AB8">
        <w:tab/>
      </w:r>
      <w:r w:rsidR="002E7630" w:rsidRPr="00A52AB8">
        <w:tab/>
      </w:r>
      <w:r w:rsidR="002E7630" w:rsidRPr="00A52AB8">
        <w:tab/>
      </w:r>
      <w:r w:rsidR="00B37159" w:rsidRPr="00A52AB8">
        <w:tab/>
      </w:r>
      <w:r w:rsidR="002E7630" w:rsidRPr="00A52AB8">
        <w:t>foundCompositionTime</w:t>
      </w:r>
      <w:r w:rsidR="00D47707" w:rsidRPr="00A52AB8">
        <w:t> = </w:t>
      </w:r>
      <w:r w:rsidR="002E7630" w:rsidRPr="00A52AB8">
        <w:t>1</w:t>
      </w:r>
      <w:r w:rsidR="00C54B61" w:rsidRPr="00A52AB8">
        <w:t xml:space="preserve"> </w:t>
      </w:r>
      <w:r w:rsidR="00BE5FFE" w:rsidRPr="00A52AB8">
        <w:br/>
      </w:r>
      <w:r w:rsidR="002E7630" w:rsidRPr="00A52AB8">
        <w:tab/>
      </w:r>
      <w:r w:rsidR="004C14CB" w:rsidRPr="00A52AB8">
        <w:tab/>
      </w:r>
      <w:r w:rsidR="00B37159" w:rsidRPr="00A52AB8">
        <w:tab/>
      </w:r>
      <w:r w:rsidR="00C54B61" w:rsidRPr="00A52AB8">
        <w:tab/>
      </w:r>
      <w:r w:rsidR="002E7630" w:rsidRPr="00A52AB8">
        <w:t>else</w:t>
      </w:r>
      <w:r w:rsidR="00C54B61" w:rsidRPr="00A52AB8">
        <w:t> {</w:t>
      </w:r>
      <w:r w:rsidR="00C30A51" w:rsidRPr="00A52AB8">
        <w:br/>
      </w:r>
      <w:r w:rsidR="00C54B61" w:rsidRPr="00A52AB8">
        <w:tab/>
      </w:r>
      <w:r w:rsidR="004C14CB" w:rsidRPr="00A52AB8">
        <w:tab/>
      </w:r>
      <w:r w:rsidR="00C54B61" w:rsidRPr="00A52AB8">
        <w:tab/>
      </w:r>
      <w:r w:rsidR="00C54B61" w:rsidRPr="00A52AB8">
        <w:tab/>
      </w:r>
      <w:r w:rsidR="00C54B61" w:rsidRPr="00A52AB8">
        <w:tab/>
        <w:t>savedInput</w:t>
      </w:r>
      <w:r w:rsidR="00C30A51" w:rsidRPr="00A52AB8">
        <w:t>OrdIdx</w:t>
      </w:r>
      <w:r w:rsidR="00D47707" w:rsidRPr="00A52AB8">
        <w:t> = </w:t>
      </w:r>
      <w:r w:rsidR="00C54B61" w:rsidRPr="00A52AB8">
        <w:t>input</w:t>
      </w:r>
      <w:r w:rsidR="00C30A51" w:rsidRPr="00A52AB8">
        <w:t>OrdIdx</w:t>
      </w:r>
      <w:r w:rsidR="00C61E38" w:rsidRPr="00A52AB8">
        <w:br/>
      </w:r>
      <w:r w:rsidR="002E7630" w:rsidRPr="00A52AB8">
        <w:tab/>
      </w:r>
      <w:r w:rsidR="004C14CB" w:rsidRPr="00A52AB8">
        <w:tab/>
      </w:r>
      <w:r w:rsidR="002E7630" w:rsidRPr="00A52AB8">
        <w:tab/>
      </w:r>
      <w:r w:rsidR="002E7630" w:rsidRPr="00A52AB8">
        <w:tab/>
      </w:r>
      <w:r w:rsidR="00B37159" w:rsidRPr="00A52AB8">
        <w:tab/>
      </w:r>
      <w:r w:rsidR="002E7630" w:rsidRPr="00A52AB8">
        <w:t>input</w:t>
      </w:r>
      <w:r w:rsidR="00C30A51" w:rsidRPr="00A52AB8">
        <w:t>OrdIdx</w:t>
      </w:r>
      <w:r w:rsidR="00D47707" w:rsidRPr="00A52AB8">
        <w:t> = </w:t>
      </w:r>
      <w:r w:rsidR="002E7630" w:rsidRPr="00A52AB8">
        <w:t>input</w:t>
      </w:r>
      <w:r w:rsidR="00C30A51" w:rsidRPr="00A52AB8">
        <w:t>OrdIdx</w:t>
      </w:r>
      <w:r w:rsidR="00BE5FFE" w:rsidRPr="00A52AB8">
        <w:t> </w:t>
      </w:r>
      <w:r w:rsidR="00AE0610" w:rsidRPr="00A52AB8">
        <w:t>+1</w:t>
      </w:r>
      <w:r w:rsidR="00C54B61" w:rsidRPr="00A52AB8">
        <w:br/>
      </w:r>
      <w:r w:rsidR="00C54B61" w:rsidRPr="00A52AB8">
        <w:tab/>
      </w:r>
      <w:r w:rsidR="004C14CB" w:rsidRPr="00A52AB8">
        <w:tab/>
      </w:r>
      <w:r w:rsidR="00C54B61" w:rsidRPr="00A52AB8">
        <w:tab/>
      </w:r>
      <w:r w:rsidR="00C54B61" w:rsidRPr="00A52AB8">
        <w:tab/>
        <w:t>}</w:t>
      </w:r>
      <w:r w:rsidR="00BE5FFE" w:rsidRPr="00A52AB8">
        <w:br/>
      </w:r>
      <w:r w:rsidR="002E7630" w:rsidRPr="00A52AB8">
        <w:tab/>
      </w:r>
      <w:r w:rsidR="004C14CB" w:rsidRPr="00A52AB8">
        <w:tab/>
      </w:r>
      <w:r w:rsidR="00B37159" w:rsidRPr="00A52AB8">
        <w:tab/>
      </w:r>
      <w:r w:rsidR="002E7630" w:rsidRPr="00A52AB8">
        <w:t>}</w:t>
      </w:r>
      <w:r w:rsidR="00BE5FFE" w:rsidRPr="00A52AB8">
        <w:br/>
      </w:r>
      <w:r w:rsidR="00B37159" w:rsidRPr="00A52AB8">
        <w:tab/>
      </w:r>
      <w:r w:rsidR="004C14CB" w:rsidRPr="00A52AB8">
        <w:tab/>
      </w:r>
      <w:r w:rsidR="002E7630" w:rsidRPr="00A52AB8">
        <w:t>}</w:t>
      </w:r>
      <w:r w:rsidR="004C14CB" w:rsidRPr="00A52AB8">
        <w:br/>
      </w:r>
      <w:r w:rsidR="004C14CB" w:rsidRPr="00A52AB8">
        <w:br/>
      </w:r>
      <w:r w:rsidR="00B37159" w:rsidRPr="00A52AB8">
        <w:tab/>
      </w:r>
      <w:r w:rsidR="004C14CB" w:rsidRPr="00A52AB8">
        <w:tab/>
      </w:r>
      <w:r w:rsidR="002E7630" w:rsidRPr="00A52AB8">
        <w:t>for(</w:t>
      </w:r>
      <w:r w:rsidR="00BE5FFE" w:rsidRPr="00A52AB8">
        <w:t> </w:t>
      </w:r>
      <w:r w:rsidR="002E7630" w:rsidRPr="00A52AB8">
        <w:t>i</w:t>
      </w:r>
      <w:r w:rsidR="00D47707" w:rsidRPr="00A52AB8">
        <w:t> = </w:t>
      </w:r>
      <w:r w:rsidR="00C54B61" w:rsidRPr="00A52AB8">
        <w:t>rangeComp</w:t>
      </w:r>
      <w:r w:rsidR="00C30A51" w:rsidRPr="00A52AB8">
        <w:t>TimeIdx</w:t>
      </w:r>
      <w:r w:rsidR="002E7630" w:rsidRPr="00A52AB8">
        <w:t>;</w:t>
      </w:r>
      <w:r w:rsidR="00BE5FFE" w:rsidRPr="00A52AB8">
        <w:t> </w:t>
      </w:r>
      <w:r w:rsidR="002E7630" w:rsidRPr="00A52AB8">
        <w:t>i</w:t>
      </w:r>
      <w:r w:rsidR="00BE5FFE" w:rsidRPr="00A52AB8">
        <w:t> </w:t>
      </w:r>
      <w:r w:rsidR="00A234FD" w:rsidRPr="00A52AB8">
        <w:t>&lt;=</w:t>
      </w:r>
      <w:r w:rsidR="00D47707" w:rsidRPr="00A52AB8">
        <w:t> </w:t>
      </w:r>
      <w:r w:rsidR="002E7630" w:rsidRPr="00A52AB8">
        <w:t>comp</w:t>
      </w:r>
      <w:r w:rsidR="00C30A51" w:rsidRPr="00A52AB8">
        <w:t>TimeIdx</w:t>
      </w:r>
      <w:r w:rsidR="002E7630" w:rsidRPr="00A52AB8">
        <w:t>;</w:t>
      </w:r>
      <w:r w:rsidR="00BE5FFE" w:rsidRPr="00A52AB8">
        <w:t> </w:t>
      </w:r>
      <w:r w:rsidR="002E7630" w:rsidRPr="00A52AB8">
        <w:t>i</w:t>
      </w:r>
      <w:r w:rsidR="00006CCF" w:rsidRPr="00A52AB8">
        <w:t>++ </w:t>
      </w:r>
      <w:r w:rsidR="008F1F82" w:rsidRPr="00A52AB8">
        <w:t>) {</w:t>
      </w:r>
      <w:r w:rsidR="00B7660C" w:rsidRPr="00A52AB8">
        <w:br/>
      </w:r>
      <w:r w:rsidR="00B7660C" w:rsidRPr="00A52AB8">
        <w:tab/>
      </w:r>
      <w:r w:rsidR="004C14CB" w:rsidRPr="00A52AB8">
        <w:tab/>
      </w:r>
      <w:r w:rsidR="00B7660C" w:rsidRPr="00A52AB8">
        <w:tab/>
        <w:t>outputCompTime[ i ]</w:t>
      </w:r>
      <w:r w:rsidR="00D47707" w:rsidRPr="00A52AB8">
        <w:t> = </w:t>
      </w:r>
      <w:r w:rsidR="00C30A51" w:rsidRPr="00A52AB8">
        <w:t>c</w:t>
      </w:r>
      <w:r w:rsidR="00B7660C" w:rsidRPr="00A52AB8">
        <w:t>ompTime</w:t>
      </w:r>
      <w:r w:rsidR="00BE5FFE" w:rsidRPr="00A52AB8">
        <w:br/>
      </w:r>
      <w:r w:rsidR="00542F46" w:rsidRPr="00A52AB8">
        <w:tab/>
      </w:r>
      <w:r w:rsidR="004C14CB" w:rsidRPr="00A52AB8">
        <w:tab/>
      </w:r>
      <w:r w:rsidR="00B37159" w:rsidRPr="00A52AB8">
        <w:tab/>
      </w:r>
      <w:r w:rsidR="00542F46" w:rsidRPr="00A52AB8">
        <w:t>for( c=0; c &lt; </w:t>
      </w:r>
      <w:r w:rsidR="00752D48" w:rsidRPr="00A52AB8">
        <w:t>iN</w:t>
      </w:r>
      <w:r w:rsidR="00542F46" w:rsidRPr="00A52AB8">
        <w:t>umComp; c</w:t>
      </w:r>
      <w:r w:rsidR="00006CCF" w:rsidRPr="00A52AB8">
        <w:t>++ </w:t>
      </w:r>
      <w:r w:rsidR="008F1F82" w:rsidRPr="00A52AB8">
        <w:t>) {</w:t>
      </w:r>
      <w:r w:rsidR="00542F46" w:rsidRPr="00A52AB8">
        <w:br/>
      </w:r>
      <w:r w:rsidR="00542F46" w:rsidRPr="00A52AB8">
        <w:tab/>
      </w:r>
      <w:r w:rsidR="004C14CB" w:rsidRPr="00A52AB8">
        <w:tab/>
      </w:r>
      <w:r w:rsidR="00542F46" w:rsidRPr="00A52AB8">
        <w:tab/>
      </w:r>
      <w:r w:rsidR="00B37159" w:rsidRPr="00A52AB8">
        <w:tab/>
      </w:r>
      <w:r w:rsidR="00542F46" w:rsidRPr="00A52AB8">
        <w:t>for( y=0; y &lt; iHeight; y</w:t>
      </w:r>
      <w:r w:rsidR="00006CCF" w:rsidRPr="00A52AB8">
        <w:t>++ </w:t>
      </w:r>
      <w:r w:rsidR="008F1F82" w:rsidRPr="00A52AB8">
        <w:t>) {</w:t>
      </w:r>
      <w:r w:rsidR="00542F46" w:rsidRPr="00A52AB8">
        <w:br/>
      </w:r>
      <w:r w:rsidR="00542F46" w:rsidRPr="00A52AB8">
        <w:tab/>
      </w:r>
      <w:r w:rsidR="004C14CB" w:rsidRPr="00A52AB8">
        <w:tab/>
      </w:r>
      <w:r w:rsidR="00542F46" w:rsidRPr="00A52AB8">
        <w:tab/>
      </w:r>
      <w:r w:rsidR="00542F46" w:rsidRPr="00A52AB8">
        <w:tab/>
      </w:r>
      <w:r w:rsidR="00B37159" w:rsidRPr="00A52AB8">
        <w:tab/>
      </w:r>
      <w:r w:rsidR="00542F46" w:rsidRPr="00A52AB8">
        <w:t>for( x=0; x &lt; iWidth; x</w:t>
      </w:r>
      <w:r w:rsidR="00006CCF" w:rsidRPr="00A52AB8">
        <w:t>++ </w:t>
      </w:r>
      <w:r w:rsidR="008F1F82" w:rsidRPr="00A52AB8">
        <w:t>) {</w:t>
      </w:r>
      <w:r w:rsidR="00BE5FFE" w:rsidRPr="00A52AB8">
        <w:br/>
      </w:r>
      <w:r w:rsidR="00542F46" w:rsidRPr="00A52AB8">
        <w:tab/>
      </w:r>
      <w:r w:rsidR="004C14CB" w:rsidRPr="00A52AB8">
        <w:tab/>
      </w:r>
      <w:r w:rsidR="00542F46" w:rsidRPr="00A52AB8">
        <w:tab/>
      </w:r>
      <w:r w:rsidR="00542F46" w:rsidRPr="00A52AB8">
        <w:tab/>
      </w:r>
      <w:r w:rsidR="00542F46" w:rsidRPr="00A52AB8">
        <w:tab/>
      </w:r>
      <w:r w:rsidR="00B37159" w:rsidRPr="00A52AB8">
        <w:tab/>
      </w:r>
      <w:r w:rsidR="00542F46" w:rsidRPr="00A52AB8">
        <w:t>outputSamples[ </w:t>
      </w:r>
      <w:r w:rsidR="006D666E" w:rsidRPr="00A52AB8">
        <w:t>i</w:t>
      </w:r>
      <w:r w:rsidR="00270374" w:rsidRPr="00A52AB8">
        <w:t> </w:t>
      </w:r>
      <w:r w:rsidR="00542F46" w:rsidRPr="00A52AB8">
        <w:t>][ c ]</w:t>
      </w:r>
      <w:r w:rsidR="004B7314" w:rsidRPr="00A52AB8">
        <w:t>[ y ][ x ]</w:t>
      </w:r>
      <w:r w:rsidR="00542F46" w:rsidRPr="00A52AB8">
        <w:t> =</w:t>
      </w:r>
      <w:r w:rsidR="00C61E38" w:rsidRPr="00A52AB8">
        <w:br/>
      </w:r>
      <w:r w:rsidR="00C54B61" w:rsidRPr="00A52AB8">
        <w:tab/>
      </w:r>
      <w:r w:rsidR="004C14CB" w:rsidRPr="00A52AB8">
        <w:tab/>
      </w:r>
      <w:r w:rsidR="00C54B61" w:rsidRPr="00A52AB8">
        <w:tab/>
      </w:r>
      <w:r w:rsidR="00C54B61" w:rsidRPr="00A52AB8">
        <w:tab/>
      </w:r>
      <w:r w:rsidR="00C54B61" w:rsidRPr="00A52AB8">
        <w:tab/>
      </w:r>
      <w:r w:rsidR="00C54B61" w:rsidRPr="00A52AB8">
        <w:tab/>
      </w:r>
      <w:r w:rsidR="00C54B61" w:rsidRPr="00A52AB8">
        <w:tab/>
      </w:r>
      <w:r w:rsidR="00542F46" w:rsidRPr="00A52AB8">
        <w:t>inputSamples[ </w:t>
      </w:r>
      <w:r w:rsidR="00C54B61" w:rsidRPr="00A52AB8">
        <w:t>savedInput</w:t>
      </w:r>
      <w:r w:rsidR="00C30A51" w:rsidRPr="00A52AB8">
        <w:t>OrdIdx</w:t>
      </w:r>
      <w:r w:rsidR="00C54B61" w:rsidRPr="00A52AB8">
        <w:t> </w:t>
      </w:r>
      <w:r w:rsidR="00542F46" w:rsidRPr="00A52AB8">
        <w:t>][ c ]</w:t>
      </w:r>
      <w:r w:rsidR="004B7314" w:rsidRPr="00A52AB8">
        <w:t>[ y ][ x ]</w:t>
      </w:r>
      <w:r w:rsidR="00B7660C" w:rsidRPr="00A52AB8">
        <w:br/>
      </w:r>
      <w:r w:rsidR="00B7660C" w:rsidRPr="00A52AB8">
        <w:tab/>
      </w:r>
      <w:r w:rsidR="004C14CB" w:rsidRPr="00A52AB8">
        <w:tab/>
      </w:r>
      <w:r w:rsidR="00B7660C" w:rsidRPr="00A52AB8">
        <w:tab/>
      </w:r>
      <w:r w:rsidR="00B7660C" w:rsidRPr="00A52AB8">
        <w:tab/>
      </w:r>
      <w:r w:rsidR="00B7660C" w:rsidRPr="00A52AB8">
        <w:tab/>
        <w:t>}</w:t>
      </w:r>
      <w:r w:rsidR="00B7660C" w:rsidRPr="00A52AB8">
        <w:br/>
      </w:r>
      <w:r w:rsidR="00B7660C" w:rsidRPr="00A52AB8">
        <w:tab/>
      </w:r>
      <w:r w:rsidR="004C14CB" w:rsidRPr="00A52AB8">
        <w:tab/>
      </w:r>
      <w:r w:rsidR="00B7660C" w:rsidRPr="00A52AB8">
        <w:tab/>
      </w:r>
      <w:r w:rsidR="00B7660C" w:rsidRPr="00A52AB8">
        <w:tab/>
        <w:t>}</w:t>
      </w:r>
      <w:r w:rsidR="00C30A51" w:rsidRPr="00A52AB8">
        <w:br/>
      </w:r>
      <w:r w:rsidR="00B7660C" w:rsidRPr="00A52AB8">
        <w:tab/>
      </w:r>
      <w:r w:rsidR="004C14CB" w:rsidRPr="00A52AB8">
        <w:tab/>
      </w:r>
      <w:r w:rsidR="00B7660C" w:rsidRPr="00A52AB8">
        <w:tab/>
        <w:t>}</w:t>
      </w:r>
      <w:r w:rsidR="00C30A51" w:rsidRPr="00A52AB8">
        <w:br/>
      </w:r>
      <w:r w:rsidR="00B7660C" w:rsidRPr="00A52AB8">
        <w:tab/>
      </w:r>
      <w:r w:rsidR="004C14CB" w:rsidRPr="00A52AB8">
        <w:tab/>
      </w:r>
      <w:r w:rsidR="00B7660C" w:rsidRPr="00A52AB8">
        <w:t>}</w:t>
      </w:r>
      <w:r w:rsidR="004C14CB" w:rsidRPr="00A52AB8">
        <w:br/>
      </w:r>
      <w:r w:rsidR="004C14CB" w:rsidRPr="00A52AB8">
        <w:br/>
      </w:r>
      <w:r w:rsidR="00B37159" w:rsidRPr="00A52AB8">
        <w:tab/>
      </w:r>
      <w:r w:rsidR="004C14CB" w:rsidRPr="00A52AB8">
        <w:tab/>
      </w:r>
      <w:r w:rsidR="00C54B61" w:rsidRPr="00A52AB8">
        <w:t>rangeComp</w:t>
      </w:r>
      <w:r w:rsidR="00C30A51" w:rsidRPr="00A52AB8">
        <w:t>TimeIdx</w:t>
      </w:r>
      <w:r w:rsidR="00D47707" w:rsidRPr="00A52AB8">
        <w:t> = </w:t>
      </w:r>
      <w:r w:rsidR="006D666E" w:rsidRPr="00A52AB8">
        <w:t>comp</w:t>
      </w:r>
      <w:r w:rsidR="00C30A51" w:rsidRPr="00A52AB8">
        <w:t>TimeIdx</w:t>
      </w:r>
      <w:r w:rsidR="001702F1" w:rsidRPr="00A52AB8">
        <w:t> </w:t>
      </w:r>
      <w:r w:rsidR="006D666E" w:rsidRPr="00A52AB8">
        <w:t>+</w:t>
      </w:r>
      <w:r w:rsidR="001702F1" w:rsidRPr="00A52AB8">
        <w:t> </w:t>
      </w:r>
      <w:r w:rsidR="006D666E" w:rsidRPr="00A52AB8">
        <w:t>1</w:t>
      </w:r>
      <w:r w:rsidR="001702F1" w:rsidRPr="00A52AB8">
        <w:br/>
      </w:r>
      <w:r w:rsidR="004C14CB" w:rsidRPr="00A52AB8">
        <w:tab/>
      </w:r>
      <w:r w:rsidR="006D666E" w:rsidRPr="00A52AB8">
        <w:t>}</w:t>
      </w:r>
      <w:bookmarkEnd w:id="4876"/>
    </w:p>
    <w:p w14:paraId="71E35069" w14:textId="6572B892" w:rsidR="0050235C" w:rsidRPr="00A52AB8" w:rsidRDefault="009C2C6B" w:rsidP="000B2FD6">
      <w:pPr>
        <w:spacing w:before="120" w:line="240" w:lineRule="auto"/>
        <w:rPr>
          <w:lang w:eastAsia="ja-JP"/>
        </w:rPr>
      </w:pPr>
      <w:r w:rsidRPr="00A52AB8">
        <w:rPr>
          <w:lang w:eastAsia="ja-JP"/>
        </w:rPr>
        <w:t>Two</w:t>
      </w:r>
      <w:r w:rsidR="000B2FD6" w:rsidRPr="00A52AB8">
        <w:rPr>
          <w:lang w:eastAsia="ja-JP"/>
        </w:rPr>
        <w:t xml:space="preserve"> informative example</w:t>
      </w:r>
      <w:r w:rsidRPr="00A52AB8">
        <w:rPr>
          <w:lang w:eastAsia="ja-JP"/>
        </w:rPr>
        <w:t>s</w:t>
      </w:r>
      <w:r w:rsidRPr="00A52AB8">
        <w:t xml:space="preserve"> </w:t>
      </w:r>
      <w:r w:rsidR="00A100D4" w:rsidRPr="00A52AB8">
        <w:t xml:space="preserve">of alignment </w:t>
      </w:r>
      <w:r w:rsidRPr="00A52AB8">
        <w:t xml:space="preserve">of the composition times of the decoded video component are </w:t>
      </w:r>
      <w:r w:rsidR="000B2FD6" w:rsidRPr="00A52AB8">
        <w:rPr>
          <w:lang w:eastAsia="ja-JP"/>
        </w:rPr>
        <w:t>presented in</w:t>
      </w:r>
      <w:r w:rsidRPr="00A52AB8">
        <w:rPr>
          <w:lang w:eastAsia="ja-JP"/>
        </w:rPr>
        <w:t xml:space="preserve"> </w:t>
      </w:r>
      <w:r w:rsidR="00C801E0" w:rsidRPr="00496A4D">
        <w:rPr>
          <w:lang w:eastAsia="ja-JP"/>
        </w:rPr>
        <w:fldChar w:fldCharType="begin"/>
      </w:r>
      <w:r w:rsidR="00C801E0" w:rsidRPr="00A52AB8">
        <w:rPr>
          <w:lang w:eastAsia="ja-JP"/>
        </w:rPr>
        <w:instrText xml:space="preserve"> REF _Ref49345786 \h </w:instrText>
      </w:r>
      <w:r w:rsidR="00007BE2" w:rsidRPr="00A52AB8">
        <w:rPr>
          <w:lang w:eastAsia="ja-JP"/>
        </w:rPr>
        <w:instrText xml:space="preserve"> \* MERGEFORMAT </w:instrText>
      </w:r>
      <w:r w:rsidR="00C801E0" w:rsidRPr="00496A4D">
        <w:rPr>
          <w:lang w:eastAsia="ja-JP"/>
        </w:rPr>
      </w:r>
      <w:r w:rsidR="00C801E0" w:rsidRPr="00496A4D">
        <w:rPr>
          <w:lang w:eastAsia="ja-JP"/>
        </w:rPr>
        <w:fldChar w:fldCharType="separate"/>
      </w:r>
      <w:r w:rsidR="00507A67" w:rsidRPr="00A52AB8">
        <w:rPr>
          <w:rFonts w:cs="Calibri"/>
        </w:rPr>
        <w:t xml:space="preserve">Figure </w:t>
      </w:r>
      <w:r w:rsidR="00507A67" w:rsidRPr="00507A67">
        <w:rPr>
          <w:rFonts w:cs="Calibri"/>
          <w:bCs/>
        </w:rPr>
        <w:t>B-</w:t>
      </w:r>
      <w:r w:rsidR="00507A67">
        <w:rPr>
          <w:rFonts w:cs="Calibri"/>
          <w:bCs/>
        </w:rPr>
        <w:t>2</w:t>
      </w:r>
      <w:r w:rsidR="00C801E0" w:rsidRPr="00496A4D">
        <w:rPr>
          <w:lang w:eastAsia="ja-JP"/>
        </w:rPr>
        <w:fldChar w:fldCharType="end"/>
      </w:r>
      <w:r w:rsidR="00C801E0" w:rsidRPr="00A52AB8">
        <w:rPr>
          <w:lang w:eastAsia="ja-JP"/>
        </w:rPr>
        <w:t xml:space="preserve"> and </w:t>
      </w:r>
      <w:r w:rsidR="00C801E0" w:rsidRPr="00496A4D">
        <w:rPr>
          <w:lang w:eastAsia="ja-JP"/>
        </w:rPr>
        <w:fldChar w:fldCharType="begin"/>
      </w:r>
      <w:r w:rsidR="00C801E0" w:rsidRPr="00A52AB8">
        <w:rPr>
          <w:lang w:eastAsia="ja-JP"/>
        </w:rPr>
        <w:instrText xml:space="preserve"> REF _Ref49345795 \h </w:instrText>
      </w:r>
      <w:r w:rsidR="00007BE2" w:rsidRPr="00A52AB8">
        <w:rPr>
          <w:lang w:eastAsia="ja-JP"/>
        </w:rPr>
        <w:instrText xml:space="preserve"> \* MERGEFORMAT </w:instrText>
      </w:r>
      <w:r w:rsidR="00C801E0" w:rsidRPr="00496A4D">
        <w:rPr>
          <w:lang w:eastAsia="ja-JP"/>
        </w:rPr>
      </w:r>
      <w:r w:rsidR="00C801E0" w:rsidRPr="00496A4D">
        <w:rPr>
          <w:lang w:eastAsia="ja-JP"/>
        </w:rPr>
        <w:fldChar w:fldCharType="separate"/>
      </w:r>
      <w:r w:rsidR="00507A67" w:rsidRPr="00A52AB8">
        <w:rPr>
          <w:rFonts w:cs="Calibri"/>
        </w:rPr>
        <w:t xml:space="preserve">Figure </w:t>
      </w:r>
      <w:r w:rsidR="00507A67" w:rsidRPr="00507A67">
        <w:rPr>
          <w:rFonts w:cs="Calibri"/>
          <w:bCs/>
        </w:rPr>
        <w:t>B-</w:t>
      </w:r>
      <w:r w:rsidR="00507A67">
        <w:rPr>
          <w:rFonts w:cs="Calibri"/>
          <w:bCs/>
        </w:rPr>
        <w:t>3</w:t>
      </w:r>
      <w:r w:rsidR="00C801E0" w:rsidRPr="00496A4D">
        <w:rPr>
          <w:lang w:eastAsia="ja-JP"/>
        </w:rPr>
        <w:fldChar w:fldCharType="end"/>
      </w:r>
      <w:r w:rsidR="000B2FD6" w:rsidRPr="00A52AB8">
        <w:rPr>
          <w:lang w:eastAsia="ja-JP"/>
        </w:rPr>
        <w:t>.</w:t>
      </w:r>
    </w:p>
    <w:p w14:paraId="238100BD" w14:textId="77777777" w:rsidR="0050235C" w:rsidRPr="00A52AB8" w:rsidRDefault="0004465F" w:rsidP="00007BE2">
      <w:pPr>
        <w:keepNext/>
        <w:spacing w:before="120" w:line="240" w:lineRule="auto"/>
      </w:pPr>
      <w:r w:rsidRPr="00496A4D">
        <w:rPr>
          <w:noProof/>
        </w:rPr>
        <w:drawing>
          <wp:inline distT="0" distB="0" distL="0" distR="0" wp14:anchorId="4C76561A" wp14:editId="59499397">
            <wp:extent cx="5920145" cy="2805270"/>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925065" cy="2807601"/>
                    </a:xfrm>
                    <a:prstGeom prst="rect">
                      <a:avLst/>
                    </a:prstGeom>
                    <a:noFill/>
                    <a:ln>
                      <a:noFill/>
                    </a:ln>
                  </pic:spPr>
                </pic:pic>
              </a:graphicData>
            </a:graphic>
          </wp:inline>
        </w:drawing>
      </w:r>
    </w:p>
    <w:p w14:paraId="16E058FF" w14:textId="0186207D" w:rsidR="00C5433E" w:rsidRPr="00A52AB8" w:rsidRDefault="001B390B" w:rsidP="00D26830">
      <w:pPr>
        <w:pStyle w:val="Caption"/>
        <w:keepNext w:val="0"/>
        <w:jc w:val="both"/>
        <w:rPr>
          <w:rFonts w:ascii="Cambria" w:hAnsi="Cambria"/>
        </w:rPr>
      </w:pPr>
      <w:bookmarkStart w:id="4878" w:name="_Ref49345786"/>
      <w:r w:rsidRPr="00A52AB8">
        <w:rPr>
          <w:rFonts w:ascii="Cambria" w:hAnsi="Cambria" w:cs="Calibri"/>
        </w:rPr>
        <w:t xml:space="preserve">Figure </w:t>
      </w:r>
      <w:r w:rsidRPr="00A52AB8">
        <w:rPr>
          <w:rFonts w:ascii="Cambria" w:hAnsi="Cambria" w:cs="Calibri"/>
          <w:bCs w:val="0"/>
        </w:rPr>
        <w:t>B-</w:t>
      </w:r>
      <w:r w:rsidRPr="00496A4D">
        <w:rPr>
          <w:rFonts w:ascii="Cambria" w:hAnsi="Cambria" w:cs="Calibri"/>
          <w:bCs w:val="0"/>
        </w:rPr>
        <w:fldChar w:fldCharType="begin"/>
      </w:r>
      <w:r w:rsidRPr="00A52AB8">
        <w:rPr>
          <w:rFonts w:ascii="Cambria" w:hAnsi="Cambria" w:cs="Calibri"/>
          <w:bCs w:val="0"/>
        </w:rPr>
        <w:instrText xml:space="preserve"> SEQ Figure \* ARABIC </w:instrText>
      </w:r>
      <w:r w:rsidRPr="00496A4D">
        <w:rPr>
          <w:rFonts w:ascii="Cambria" w:hAnsi="Cambria" w:cs="Calibri"/>
          <w:bCs w:val="0"/>
        </w:rPr>
        <w:fldChar w:fldCharType="separate"/>
      </w:r>
      <w:r w:rsidR="00507A67">
        <w:rPr>
          <w:rFonts w:ascii="Cambria" w:hAnsi="Cambria" w:cs="Calibri"/>
          <w:bCs w:val="0"/>
          <w:noProof/>
        </w:rPr>
        <w:t>2</w:t>
      </w:r>
      <w:r w:rsidRPr="00496A4D">
        <w:rPr>
          <w:rFonts w:ascii="Cambria" w:hAnsi="Cambria" w:cs="Calibri"/>
          <w:bCs w:val="0"/>
        </w:rPr>
        <w:fldChar w:fldCharType="end"/>
      </w:r>
      <w:bookmarkEnd w:id="4878"/>
      <w:r w:rsidRPr="00A52AB8">
        <w:rPr>
          <w:rFonts w:ascii="Cambria" w:hAnsi="Cambria" w:cs="Calibri"/>
          <w:bCs w:val="0"/>
        </w:rPr>
        <w:t> </w:t>
      </w:r>
      <w:r w:rsidRPr="00A52AB8">
        <w:rPr>
          <w:rFonts w:ascii="Cambria" w:hAnsi="Cambria"/>
        </w:rPr>
        <w:t>– </w:t>
      </w:r>
      <w:r w:rsidR="00051155" w:rsidRPr="00A52AB8">
        <w:rPr>
          <w:rFonts w:ascii="Cambria" w:hAnsi="Cambria"/>
        </w:rPr>
        <w:t xml:space="preserve">An example of </w:t>
      </w:r>
      <w:r w:rsidR="00A100D4" w:rsidRPr="00A52AB8">
        <w:rPr>
          <w:rFonts w:ascii="Cambria" w:hAnsi="Cambria"/>
        </w:rPr>
        <w:t xml:space="preserve">alignment </w:t>
      </w:r>
      <w:r w:rsidR="00335642" w:rsidRPr="00A52AB8">
        <w:rPr>
          <w:rFonts w:ascii="Cambria" w:hAnsi="Cambria"/>
        </w:rPr>
        <w:t xml:space="preserve">of the composition times of the decoded </w:t>
      </w:r>
      <w:r w:rsidR="00E01931" w:rsidRPr="00A52AB8">
        <w:rPr>
          <w:rFonts w:ascii="Cambria" w:hAnsi="Cambria"/>
        </w:rPr>
        <w:t>video component</w:t>
      </w:r>
      <w:r w:rsidR="00335642" w:rsidRPr="00A52AB8">
        <w:rPr>
          <w:rFonts w:ascii="Cambria" w:hAnsi="Cambria"/>
        </w:rPr>
        <w:t xml:space="preserve"> </w:t>
      </w:r>
      <w:r w:rsidR="00E01931" w:rsidRPr="00A52AB8">
        <w:rPr>
          <w:rFonts w:ascii="Cambria" w:hAnsi="Cambria"/>
        </w:rPr>
        <w:t xml:space="preserve">with </w:t>
      </w:r>
      <w:r w:rsidR="006A7854" w:rsidRPr="00A52AB8">
        <w:rPr>
          <w:rFonts w:ascii="Cambria" w:hAnsi="Cambria"/>
        </w:rPr>
        <w:t xml:space="preserve">different </w:t>
      </w:r>
      <w:r w:rsidR="00E01931" w:rsidRPr="00A52AB8">
        <w:rPr>
          <w:rFonts w:ascii="Cambria" w:hAnsi="Cambria"/>
        </w:rPr>
        <w:t xml:space="preserve">frame rate </w:t>
      </w:r>
      <w:r w:rsidR="00335642" w:rsidRPr="00A52AB8">
        <w:rPr>
          <w:rFonts w:ascii="Cambria" w:hAnsi="Cambria"/>
        </w:rPr>
        <w:t>and the decoded atlas frames</w:t>
      </w:r>
    </w:p>
    <w:p w14:paraId="2DAD584F" w14:textId="77777777" w:rsidR="0050235C" w:rsidRPr="00A52AB8" w:rsidRDefault="0004465F" w:rsidP="002D4E3F">
      <w:pPr>
        <w:spacing w:after="0" w:line="240" w:lineRule="auto"/>
      </w:pPr>
      <w:r w:rsidRPr="00A52AB8">
        <w:t xml:space="preserve"> </w:t>
      </w:r>
      <w:r w:rsidRPr="00496A4D">
        <w:rPr>
          <w:noProof/>
        </w:rPr>
        <w:drawing>
          <wp:inline distT="0" distB="0" distL="0" distR="0" wp14:anchorId="2A8DC41C" wp14:editId="1BA94183">
            <wp:extent cx="6192520" cy="3002915"/>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6192520" cy="3002915"/>
                    </a:xfrm>
                    <a:prstGeom prst="rect">
                      <a:avLst/>
                    </a:prstGeom>
                    <a:noFill/>
                    <a:ln>
                      <a:noFill/>
                    </a:ln>
                  </pic:spPr>
                </pic:pic>
              </a:graphicData>
            </a:graphic>
          </wp:inline>
        </w:drawing>
      </w:r>
    </w:p>
    <w:p w14:paraId="4ACAFFCF" w14:textId="78A73C84" w:rsidR="00C5433E" w:rsidRPr="00A52AB8" w:rsidRDefault="001B390B" w:rsidP="001B390B">
      <w:pPr>
        <w:pStyle w:val="Caption"/>
        <w:jc w:val="both"/>
        <w:rPr>
          <w:rFonts w:ascii="Cambria" w:hAnsi="Cambria"/>
        </w:rPr>
      </w:pPr>
      <w:bookmarkStart w:id="4879" w:name="_Ref49345795"/>
      <w:r w:rsidRPr="00A52AB8">
        <w:rPr>
          <w:rFonts w:ascii="Cambria" w:hAnsi="Cambria" w:cs="Calibri"/>
        </w:rPr>
        <w:t xml:space="preserve">Figure </w:t>
      </w:r>
      <w:r w:rsidRPr="00A52AB8">
        <w:rPr>
          <w:rFonts w:ascii="Cambria" w:hAnsi="Cambria" w:cs="Calibri"/>
          <w:bCs w:val="0"/>
        </w:rPr>
        <w:t>B-</w:t>
      </w:r>
      <w:r w:rsidRPr="00496A4D">
        <w:rPr>
          <w:rFonts w:ascii="Cambria" w:hAnsi="Cambria" w:cs="Calibri"/>
          <w:bCs w:val="0"/>
        </w:rPr>
        <w:fldChar w:fldCharType="begin"/>
      </w:r>
      <w:r w:rsidRPr="00A52AB8">
        <w:rPr>
          <w:rFonts w:ascii="Cambria" w:hAnsi="Cambria" w:cs="Calibri"/>
          <w:bCs w:val="0"/>
        </w:rPr>
        <w:instrText xml:space="preserve"> SEQ Figure \* ARABIC </w:instrText>
      </w:r>
      <w:r w:rsidRPr="00496A4D">
        <w:rPr>
          <w:rFonts w:ascii="Cambria" w:hAnsi="Cambria" w:cs="Calibri"/>
          <w:bCs w:val="0"/>
        </w:rPr>
        <w:fldChar w:fldCharType="separate"/>
      </w:r>
      <w:r w:rsidR="00507A67">
        <w:rPr>
          <w:rFonts w:ascii="Cambria" w:hAnsi="Cambria" w:cs="Calibri"/>
          <w:bCs w:val="0"/>
          <w:noProof/>
        </w:rPr>
        <w:t>3</w:t>
      </w:r>
      <w:r w:rsidRPr="00496A4D">
        <w:rPr>
          <w:rFonts w:ascii="Cambria" w:hAnsi="Cambria" w:cs="Calibri"/>
          <w:bCs w:val="0"/>
        </w:rPr>
        <w:fldChar w:fldCharType="end"/>
      </w:r>
      <w:bookmarkEnd w:id="4879"/>
      <w:r w:rsidRPr="00A52AB8">
        <w:rPr>
          <w:rFonts w:ascii="Cambria" w:hAnsi="Cambria" w:cs="Calibri"/>
          <w:bCs w:val="0"/>
        </w:rPr>
        <w:t> </w:t>
      </w:r>
      <w:r w:rsidRPr="00A52AB8">
        <w:rPr>
          <w:rFonts w:ascii="Cambria" w:hAnsi="Cambria"/>
        </w:rPr>
        <w:t>– </w:t>
      </w:r>
      <w:r w:rsidR="00E01931" w:rsidRPr="00A52AB8">
        <w:rPr>
          <w:rFonts w:ascii="Cambria" w:hAnsi="Cambria"/>
        </w:rPr>
        <w:t xml:space="preserve">An example of </w:t>
      </w:r>
      <w:r w:rsidR="00A100D4" w:rsidRPr="00A52AB8">
        <w:rPr>
          <w:rFonts w:ascii="Cambria" w:hAnsi="Cambria"/>
        </w:rPr>
        <w:t xml:space="preserve">alignment </w:t>
      </w:r>
      <w:r w:rsidR="00E01931" w:rsidRPr="00A52AB8">
        <w:rPr>
          <w:rFonts w:ascii="Cambria" w:hAnsi="Cambria"/>
        </w:rPr>
        <w:t xml:space="preserve">of the composition times of the decoded video component </w:t>
      </w:r>
      <w:r w:rsidR="005D1BAE" w:rsidRPr="00A52AB8">
        <w:rPr>
          <w:rFonts w:ascii="Cambria" w:hAnsi="Cambria"/>
        </w:rPr>
        <w:t>containing</w:t>
      </w:r>
      <w:r w:rsidR="00E01931" w:rsidRPr="00A52AB8">
        <w:rPr>
          <w:rFonts w:ascii="Cambria" w:hAnsi="Cambria"/>
        </w:rPr>
        <w:t xml:space="preserve"> </w:t>
      </w:r>
      <w:r w:rsidR="00254F0A" w:rsidRPr="00A52AB8">
        <w:rPr>
          <w:rFonts w:ascii="Cambria" w:hAnsi="Cambria"/>
        </w:rPr>
        <w:t xml:space="preserve">pixel </w:t>
      </w:r>
      <w:r w:rsidR="00F22BD1" w:rsidRPr="00A52AB8">
        <w:rPr>
          <w:rFonts w:ascii="Cambria" w:hAnsi="Cambria"/>
        </w:rPr>
        <w:t xml:space="preserve">interleaved </w:t>
      </w:r>
      <w:r w:rsidR="00254F0A" w:rsidRPr="00A52AB8">
        <w:rPr>
          <w:rFonts w:ascii="Cambria" w:hAnsi="Cambria"/>
        </w:rPr>
        <w:t xml:space="preserve">maps </w:t>
      </w:r>
      <w:r w:rsidR="00E01931" w:rsidRPr="00A52AB8">
        <w:rPr>
          <w:rFonts w:ascii="Cambria" w:hAnsi="Cambria"/>
        </w:rPr>
        <w:t>and the decoded atlas frames</w:t>
      </w:r>
    </w:p>
    <w:p w14:paraId="68C48EEC" w14:textId="64D763AC" w:rsidR="00B86F83" w:rsidRPr="00A52AB8" w:rsidRDefault="00B86F83" w:rsidP="00EE3D19">
      <w:pPr>
        <w:pStyle w:val="a2"/>
        <w:numPr>
          <w:ilvl w:val="2"/>
          <w:numId w:val="19"/>
        </w:numPr>
        <w:outlineLvl w:val="2"/>
        <w:rPr>
          <w:color w:val="000000" w:themeColor="text1"/>
        </w:rPr>
      </w:pPr>
      <w:bookmarkStart w:id="4880" w:name="_Toc38891757"/>
      <w:bookmarkStart w:id="4881" w:name="_Toc39426354"/>
      <w:bookmarkStart w:id="4882" w:name="_Ref39746086"/>
      <w:bookmarkStart w:id="4883" w:name="_Ref38889995"/>
      <w:bookmarkStart w:id="4884" w:name="_Toc52181668"/>
      <w:bookmarkEnd w:id="4880"/>
      <w:bookmarkEnd w:id="4881"/>
      <w:r w:rsidRPr="00A52AB8">
        <w:rPr>
          <w:color w:val="000000" w:themeColor="text1"/>
        </w:rPr>
        <w:t>Attribute dimension packing</w:t>
      </w:r>
      <w:bookmarkEnd w:id="4882"/>
      <w:bookmarkEnd w:id="4884"/>
    </w:p>
    <w:p w14:paraId="69C25640" w14:textId="5E0A4679" w:rsidR="0046643B" w:rsidRPr="00EE3D19" w:rsidRDefault="0046643B" w:rsidP="00EE3D19">
      <w:pPr>
        <w:pStyle w:val="a3"/>
        <w:numPr>
          <w:ilvl w:val="3"/>
          <w:numId w:val="19"/>
        </w:numPr>
        <w:outlineLvl w:val="3"/>
      </w:pPr>
      <w:bookmarkStart w:id="4885" w:name="_Ref49965048"/>
      <w:bookmarkStart w:id="4886" w:name="_Toc52181669"/>
      <w:r w:rsidRPr="00EE3D19">
        <w:t>Attribute dimension packing process</w:t>
      </w:r>
      <w:bookmarkEnd w:id="4885"/>
      <w:bookmarkEnd w:id="4886"/>
    </w:p>
    <w:p w14:paraId="57ABF50F" w14:textId="77777777" w:rsidR="002E6E61" w:rsidRPr="00A52AB8" w:rsidRDefault="00B86F83" w:rsidP="00B86F83">
      <w:pPr>
        <w:rPr>
          <w:color w:val="000000" w:themeColor="text1"/>
        </w:rPr>
      </w:pPr>
      <w:r w:rsidRPr="00A52AB8">
        <w:rPr>
          <w:color w:val="000000" w:themeColor="text1"/>
        </w:rPr>
        <w:t>Input</w:t>
      </w:r>
      <w:r w:rsidR="002E6E61" w:rsidRPr="00A52AB8">
        <w:rPr>
          <w:color w:val="000000" w:themeColor="text1"/>
        </w:rPr>
        <w:t>s</w:t>
      </w:r>
      <w:r w:rsidRPr="00A52AB8">
        <w:rPr>
          <w:color w:val="000000" w:themeColor="text1"/>
        </w:rPr>
        <w:t xml:space="preserve"> to this process </w:t>
      </w:r>
      <w:r w:rsidR="002E6E61" w:rsidRPr="00A52AB8">
        <w:rPr>
          <w:color w:val="000000" w:themeColor="text1"/>
        </w:rPr>
        <w:t>are:</w:t>
      </w:r>
    </w:p>
    <w:p w14:paraId="5731A257" w14:textId="3617B898" w:rsidR="00075037" w:rsidRPr="00A52AB8" w:rsidRDefault="0007503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variable iNumPart, </w:t>
      </w:r>
      <w:r w:rsidR="009A6E15" w:rsidRPr="00A52AB8">
        <w:rPr>
          <w:color w:val="000000" w:themeColor="text1"/>
        </w:rPr>
        <w:t xml:space="preserve">indicating the </w:t>
      </w:r>
      <w:r w:rsidRPr="00A52AB8">
        <w:rPr>
          <w:color w:val="000000" w:themeColor="text1"/>
        </w:rPr>
        <w:t>number of dimension partitions in which an attribute has been partitioned</w:t>
      </w:r>
    </w:p>
    <w:p w14:paraId="4C5A758F" w14:textId="36A981FD" w:rsidR="00075037" w:rsidRPr="00A52AB8" w:rsidRDefault="0007503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variable iNumMaps</w:t>
      </w:r>
      <w:r w:rsidR="009A6E15" w:rsidRPr="00A52AB8">
        <w:rPr>
          <w:color w:val="000000" w:themeColor="text1"/>
        </w:rPr>
        <w:t>, indicating the number of maps</w:t>
      </w:r>
    </w:p>
    <w:p w14:paraId="451F78AC" w14:textId="7ECC0CEA" w:rsidR="002E6E61" w:rsidRPr="00A52AB8" w:rsidRDefault="00B86F8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w:t>
      </w:r>
      <w:r w:rsidR="00777469" w:rsidRPr="00A52AB8">
        <w:rPr>
          <w:color w:val="000000" w:themeColor="text1"/>
        </w:rPr>
        <w:t xml:space="preserve"> </w:t>
      </w:r>
      <w:r w:rsidR="00656F7A" w:rsidRPr="00A52AB8">
        <w:rPr>
          <w:color w:val="000000" w:themeColor="text1"/>
        </w:rPr>
        <w:t>variable</w:t>
      </w:r>
      <w:r w:rsidR="00777469" w:rsidRPr="00A52AB8">
        <w:rPr>
          <w:color w:val="000000" w:themeColor="text1"/>
        </w:rPr>
        <w:t xml:space="preserve"> </w:t>
      </w:r>
      <w:r w:rsidR="00EF66A6" w:rsidRPr="00A52AB8">
        <w:rPr>
          <w:color w:val="000000" w:themeColor="text1"/>
        </w:rPr>
        <w:t>iN</w:t>
      </w:r>
      <w:r w:rsidR="004B7D20" w:rsidRPr="00A52AB8">
        <w:rPr>
          <w:color w:val="000000" w:themeColor="text1"/>
        </w:rPr>
        <w:t>umFrames</w:t>
      </w:r>
      <w:r w:rsidR="009A6E15" w:rsidRPr="00A52AB8">
        <w:rPr>
          <w:color w:val="000000" w:themeColor="text1"/>
        </w:rPr>
        <w:t>, indicating the number of frames</w:t>
      </w:r>
    </w:p>
    <w:p w14:paraId="351AAFFC" w14:textId="77777777" w:rsidR="009A6E15" w:rsidRPr="00A52AB8" w:rsidRDefault="009A6E1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variable iNumComp, indicating the number of components for each frame,</w:t>
      </w:r>
    </w:p>
    <w:p w14:paraId="5BDE2AD7" w14:textId="77777777" w:rsidR="009A6E15" w:rsidRPr="00A52AB8" w:rsidRDefault="009A6E1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variable iHeight,</w:t>
      </w:r>
      <w:r w:rsidRPr="00A52AB8" w:rsidDel="00631134">
        <w:rPr>
          <w:color w:val="000000" w:themeColor="text1"/>
        </w:rPr>
        <w:t xml:space="preserve"> </w:t>
      </w:r>
      <w:r w:rsidRPr="00A52AB8">
        <w:rPr>
          <w:color w:val="000000" w:themeColor="text1"/>
        </w:rPr>
        <w:t>indicating the height of each frame,</w:t>
      </w:r>
    </w:p>
    <w:p w14:paraId="751E6134" w14:textId="77777777" w:rsidR="009A6E15" w:rsidRPr="00A52AB8" w:rsidRDefault="009A6E1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variable iWidth, indicating the width of each frame,</w:t>
      </w:r>
    </w:p>
    <w:p w14:paraId="1BF26BD1" w14:textId="77777777" w:rsidR="0050235C" w:rsidRPr="00A52AB8" w:rsidRDefault="00747BF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variable iAttrDim, indicating the dimensions of the attribute,</w:t>
      </w:r>
    </w:p>
    <w:p w14:paraId="00413E31" w14:textId="6E21A637" w:rsidR="0046643B" w:rsidRPr="00A52AB8" w:rsidRDefault="00B86F83" w:rsidP="00747BF5">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w:t>
      </w:r>
      <w:r w:rsidR="00DE4745" w:rsidRPr="00A52AB8">
        <w:rPr>
          <w:color w:val="000000" w:themeColor="text1"/>
        </w:rPr>
        <w:t xml:space="preserve"> </w:t>
      </w:r>
      <w:r w:rsidR="00E82E84" w:rsidRPr="00A52AB8">
        <w:rPr>
          <w:color w:val="000000" w:themeColor="text1"/>
        </w:rPr>
        <w:t>6</w:t>
      </w:r>
      <w:r w:rsidR="001D002C" w:rsidRPr="00A52AB8">
        <w:rPr>
          <w:color w:val="000000" w:themeColor="text1"/>
        </w:rPr>
        <w:t>D array</w:t>
      </w:r>
      <w:r w:rsidR="003D75D6" w:rsidRPr="00A52AB8">
        <w:rPr>
          <w:color w:val="000000" w:themeColor="text1"/>
        </w:rPr>
        <w:t>,</w:t>
      </w:r>
      <w:r w:rsidRPr="00A52AB8">
        <w:rPr>
          <w:color w:val="000000" w:themeColor="text1"/>
        </w:rPr>
        <w:t xml:space="preserve"> iFrame</w:t>
      </w:r>
      <w:r w:rsidR="003D75D6" w:rsidRPr="00A52AB8">
        <w:rPr>
          <w:color w:val="000000" w:themeColor="text1"/>
        </w:rPr>
        <w:t>s</w:t>
      </w:r>
      <w:r w:rsidR="001D002C" w:rsidRPr="00A52AB8">
        <w:rPr>
          <w:color w:val="000000" w:themeColor="text1"/>
        </w:rPr>
        <w:t xml:space="preserve">, of size </w:t>
      </w:r>
      <w:r w:rsidR="00EF66A6" w:rsidRPr="00A52AB8">
        <w:rPr>
          <w:color w:val="000000" w:themeColor="text1"/>
        </w:rPr>
        <w:t>iNumPart × iNumMaps</w:t>
      </w:r>
      <w:r w:rsidR="001C4A53" w:rsidRPr="00A52AB8">
        <w:rPr>
          <w:color w:val="000000" w:themeColor="text1"/>
        </w:rPr>
        <w:t> ×</w:t>
      </w:r>
      <w:r w:rsidR="00E82E84" w:rsidRPr="00A52AB8">
        <w:rPr>
          <w:color w:val="000000" w:themeColor="text1"/>
        </w:rPr>
        <w:t> </w:t>
      </w:r>
      <w:r w:rsidR="00EF66A6" w:rsidRPr="00A52AB8">
        <w:rPr>
          <w:color w:val="000000" w:themeColor="text1"/>
        </w:rPr>
        <w:t>iNumFrames </w:t>
      </w:r>
      <w:r w:rsidR="001D002C" w:rsidRPr="00A52AB8">
        <w:rPr>
          <w:color w:val="000000" w:themeColor="text1"/>
        </w:rPr>
        <w:t>× iNumComp × iHeight × iWidth</w:t>
      </w:r>
      <w:r w:rsidR="00747BF5" w:rsidRPr="00A52AB8">
        <w:rPr>
          <w:color w:val="000000" w:themeColor="text1"/>
        </w:rPr>
        <w:t>, and</w:t>
      </w:r>
    </w:p>
    <w:p w14:paraId="23B81D01" w14:textId="3DDF818A" w:rsidR="002E6E61" w:rsidRPr="00A52AB8" w:rsidRDefault="0046643B"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1D array iNumPartChannelsMinus1, of size iNumPart</w:t>
      </w:r>
      <w:r w:rsidR="009A6E15" w:rsidRPr="00A52AB8">
        <w:rPr>
          <w:color w:val="000000" w:themeColor="text1"/>
        </w:rPr>
        <w:t>, indicating the number of channels used in each partition</w:t>
      </w:r>
      <w:r w:rsidR="00747BF5" w:rsidRPr="00A52AB8">
        <w:rPr>
          <w:color w:val="000000" w:themeColor="text1"/>
        </w:rPr>
        <w:t>.</w:t>
      </w:r>
    </w:p>
    <w:p w14:paraId="6CE6362B" w14:textId="43B4BFDA" w:rsidR="00075037" w:rsidRPr="00A52AB8" w:rsidRDefault="00B86F83" w:rsidP="00B86F83">
      <w:pPr>
        <w:rPr>
          <w:color w:val="000000" w:themeColor="text1"/>
        </w:rPr>
      </w:pPr>
      <w:r w:rsidRPr="00A52AB8">
        <w:rPr>
          <w:color w:val="000000" w:themeColor="text1"/>
        </w:rPr>
        <w:t xml:space="preserve">Output </w:t>
      </w:r>
      <w:r w:rsidR="00060230" w:rsidRPr="00A52AB8">
        <w:rPr>
          <w:color w:val="000000" w:themeColor="text1"/>
        </w:rPr>
        <w:t xml:space="preserve">of </w:t>
      </w:r>
      <w:r w:rsidRPr="00A52AB8">
        <w:rPr>
          <w:color w:val="000000" w:themeColor="text1"/>
        </w:rPr>
        <w:t>this process is</w:t>
      </w:r>
      <w:r w:rsidR="00075037" w:rsidRPr="00A52AB8">
        <w:rPr>
          <w:color w:val="000000" w:themeColor="text1"/>
        </w:rPr>
        <w:t>:</w:t>
      </w:r>
    </w:p>
    <w:p w14:paraId="693D61F0" w14:textId="1075BF1C" w:rsidR="00B86F83" w:rsidRPr="00A52AB8" w:rsidRDefault="00B86F8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w:t>
      </w:r>
      <w:r w:rsidR="00075037" w:rsidRPr="00A52AB8">
        <w:rPr>
          <w:color w:val="000000" w:themeColor="text1"/>
        </w:rPr>
        <w:t>5D array</w:t>
      </w:r>
      <w:r w:rsidR="003D75D6" w:rsidRPr="00A52AB8">
        <w:rPr>
          <w:color w:val="000000" w:themeColor="text1"/>
        </w:rPr>
        <w:t>,</w:t>
      </w:r>
      <w:r w:rsidR="00075037" w:rsidRPr="00A52AB8">
        <w:rPr>
          <w:color w:val="000000" w:themeColor="text1"/>
        </w:rPr>
        <w:t xml:space="preserve"> </w:t>
      </w:r>
      <w:r w:rsidRPr="00A52AB8">
        <w:rPr>
          <w:color w:val="000000" w:themeColor="text1"/>
        </w:rPr>
        <w:t>oFrame</w:t>
      </w:r>
      <w:r w:rsidR="003D75D6" w:rsidRPr="00A52AB8">
        <w:rPr>
          <w:color w:val="000000" w:themeColor="text1"/>
        </w:rPr>
        <w:t>s</w:t>
      </w:r>
      <w:r w:rsidR="00075037" w:rsidRPr="00A52AB8">
        <w:rPr>
          <w:color w:val="000000" w:themeColor="text1"/>
        </w:rPr>
        <w:t>, of size iNumMaps × iNumFrames × </w:t>
      </w:r>
      <w:r w:rsidR="009A6271" w:rsidRPr="00A52AB8">
        <w:rPr>
          <w:color w:val="000000" w:themeColor="text1"/>
        </w:rPr>
        <w:t>iAttrDim</w:t>
      </w:r>
      <w:r w:rsidR="00075037" w:rsidRPr="00A52AB8">
        <w:rPr>
          <w:color w:val="000000" w:themeColor="text1"/>
        </w:rPr>
        <w:t> × inputHeight × inputWidth</w:t>
      </w:r>
      <w:r w:rsidRPr="00A52AB8">
        <w:rPr>
          <w:color w:val="000000" w:themeColor="text1"/>
        </w:rPr>
        <w:t>.</w:t>
      </w:r>
    </w:p>
    <w:p w14:paraId="4DC59BEF" w14:textId="6322BBBB" w:rsidR="00757D1A" w:rsidRPr="00A52AB8" w:rsidRDefault="00B479BD" w:rsidP="00864BA1">
      <w:pPr>
        <w:rPr>
          <w:color w:val="000000" w:themeColor="text1"/>
        </w:rPr>
      </w:pPr>
      <w:r w:rsidRPr="00A52AB8">
        <w:rPr>
          <w:lang w:eastAsia="ja-JP"/>
        </w:rPr>
        <w:t>T</w:t>
      </w:r>
      <w:r w:rsidR="00757D1A" w:rsidRPr="00A52AB8">
        <w:rPr>
          <w:lang w:eastAsia="ja-JP"/>
        </w:rPr>
        <w:t xml:space="preserve">he array </w:t>
      </w:r>
      <w:r w:rsidR="00757D1A" w:rsidRPr="00A52AB8">
        <w:rPr>
          <w:color w:val="000000" w:themeColor="text1"/>
        </w:rPr>
        <w:t>oFrames</w:t>
      </w:r>
      <w:r w:rsidR="00757D1A" w:rsidRPr="00A52AB8">
        <w:rPr>
          <w:lang w:eastAsia="ja-JP"/>
        </w:rPr>
        <w:t xml:space="preserve"> is generated as follows</w:t>
      </w:r>
      <w:r w:rsidRPr="00A52AB8">
        <w:rPr>
          <w:lang w:eastAsia="ja-JP"/>
        </w:rPr>
        <w:t>:</w:t>
      </w:r>
    </w:p>
    <w:p w14:paraId="72E32554" w14:textId="64868FA4" w:rsidR="00480601" w:rsidRPr="00A52AB8" w:rsidRDefault="007E3B4E" w:rsidP="00480601">
      <w:pPr>
        <w:rPr>
          <w:color w:val="000000" w:themeColor="text1"/>
        </w:rPr>
      </w:pPr>
      <w:r w:rsidRPr="00A52AB8">
        <w:rPr>
          <w:color w:val="000000" w:themeColor="text1"/>
        </w:rPr>
        <w:tab/>
      </w:r>
      <w:r w:rsidR="00480601" w:rsidRPr="00A52AB8">
        <w:rPr>
          <w:color w:val="000000" w:themeColor="text1"/>
        </w:rPr>
        <w:t>outComp</w:t>
      </w:r>
      <w:r w:rsidR="00473425" w:rsidRPr="00A52AB8">
        <w:rPr>
          <w:color w:val="000000" w:themeColor="text1"/>
        </w:rPr>
        <w:t> </w:t>
      </w:r>
      <w:r w:rsidR="00480601" w:rsidRPr="00A52AB8">
        <w:rPr>
          <w:color w:val="000000" w:themeColor="text1"/>
        </w:rPr>
        <w:t>= 0</w:t>
      </w:r>
      <w:r w:rsidR="00480601" w:rsidRPr="00A52AB8">
        <w:rPr>
          <w:color w:val="000000" w:themeColor="text1"/>
        </w:rPr>
        <w:br/>
      </w:r>
      <w:r w:rsidRPr="00A52AB8">
        <w:rPr>
          <w:color w:val="000000" w:themeColor="text1"/>
        </w:rPr>
        <w:tab/>
      </w:r>
      <w:r w:rsidR="003D75D6" w:rsidRPr="00A52AB8">
        <w:rPr>
          <w:color w:val="000000" w:themeColor="text1"/>
        </w:rPr>
        <w:t>for( m</w:t>
      </w:r>
      <w:r w:rsidR="00D47707" w:rsidRPr="00A52AB8">
        <w:rPr>
          <w:color w:val="000000" w:themeColor="text1"/>
        </w:rPr>
        <w:t> = </w:t>
      </w:r>
      <w:r w:rsidR="003D75D6" w:rsidRPr="00A52AB8">
        <w:rPr>
          <w:color w:val="000000" w:themeColor="text1"/>
        </w:rPr>
        <w:t>0; m &lt; iNumMap; m++</w:t>
      </w:r>
      <w:r w:rsidR="008F1F82" w:rsidRPr="00A52AB8">
        <w:rPr>
          <w:color w:val="000000" w:themeColor="text1"/>
        </w:rPr>
        <w:t>) {</w:t>
      </w:r>
      <w:r w:rsidR="003D75D6" w:rsidRPr="00A52AB8">
        <w:rPr>
          <w:color w:val="000000" w:themeColor="text1"/>
        </w:rPr>
        <w:br/>
      </w:r>
      <w:r w:rsidR="003D75D6" w:rsidRPr="00A52AB8">
        <w:rPr>
          <w:color w:val="000000" w:themeColor="text1"/>
        </w:rPr>
        <w:tab/>
      </w:r>
      <w:r w:rsidR="003D75D6" w:rsidRPr="00A52AB8">
        <w:rPr>
          <w:color w:val="000000" w:themeColor="text1"/>
        </w:rPr>
        <w:tab/>
        <w:t>for( f</w:t>
      </w:r>
      <w:r w:rsidR="00D47707" w:rsidRPr="00A52AB8">
        <w:rPr>
          <w:color w:val="000000" w:themeColor="text1"/>
        </w:rPr>
        <w:t> = </w:t>
      </w:r>
      <w:r w:rsidR="003D75D6" w:rsidRPr="00A52AB8">
        <w:rPr>
          <w:color w:val="000000" w:themeColor="text1"/>
        </w:rPr>
        <w:t>0; f &lt; iNumFrames; f++</w:t>
      </w:r>
      <w:r w:rsidR="008F1F82" w:rsidRPr="00A52AB8">
        <w:rPr>
          <w:color w:val="000000" w:themeColor="text1"/>
        </w:rPr>
        <w:t>) {</w:t>
      </w:r>
      <w:r w:rsidR="003D75D6" w:rsidRPr="00A52AB8">
        <w:rPr>
          <w:color w:val="000000" w:themeColor="text1"/>
        </w:rPr>
        <w:br/>
      </w:r>
      <w:r w:rsidR="003D75D6" w:rsidRPr="00A52AB8">
        <w:rPr>
          <w:color w:val="000000" w:themeColor="text1"/>
        </w:rPr>
        <w:tab/>
      </w:r>
      <w:r w:rsidR="003D75D6" w:rsidRPr="00A52AB8">
        <w:rPr>
          <w:color w:val="000000" w:themeColor="text1"/>
        </w:rPr>
        <w:tab/>
      </w:r>
      <w:r w:rsidR="003D75D6" w:rsidRPr="00A52AB8">
        <w:rPr>
          <w:color w:val="000000" w:themeColor="text1"/>
        </w:rPr>
        <w:tab/>
        <w:t>oCompIdx</w:t>
      </w:r>
      <w:r w:rsidR="00D47707" w:rsidRPr="00A52AB8">
        <w:rPr>
          <w:color w:val="000000" w:themeColor="text1"/>
        </w:rPr>
        <w:t> = </w:t>
      </w:r>
      <w:r w:rsidR="003D75D6" w:rsidRPr="00A52AB8">
        <w:rPr>
          <w:color w:val="000000" w:themeColor="text1"/>
        </w:rPr>
        <w:t>0</w:t>
      </w:r>
      <w:r w:rsidR="003D75D6" w:rsidRPr="00A52AB8">
        <w:rPr>
          <w:color w:val="000000" w:themeColor="text1"/>
        </w:rPr>
        <w:br/>
      </w:r>
      <w:r w:rsidR="003D75D6" w:rsidRPr="00A52AB8">
        <w:rPr>
          <w:color w:val="000000" w:themeColor="text1"/>
        </w:rPr>
        <w:tab/>
      </w:r>
      <w:r w:rsidR="003D75D6" w:rsidRPr="00A52AB8">
        <w:rPr>
          <w:color w:val="000000" w:themeColor="text1"/>
        </w:rPr>
        <w:tab/>
      </w:r>
      <w:r w:rsidR="003D75D6" w:rsidRPr="00A52AB8">
        <w:rPr>
          <w:color w:val="000000" w:themeColor="text1"/>
        </w:rPr>
        <w:tab/>
      </w:r>
      <w:r w:rsidR="00480601" w:rsidRPr="00A52AB8">
        <w:rPr>
          <w:color w:val="000000" w:themeColor="text1"/>
        </w:rPr>
        <w:t>for( </w:t>
      </w:r>
      <w:r w:rsidR="003D75D6" w:rsidRPr="00A52AB8">
        <w:rPr>
          <w:color w:val="000000" w:themeColor="text1"/>
        </w:rPr>
        <w:t>p</w:t>
      </w:r>
      <w:r w:rsidR="00D47707" w:rsidRPr="00A52AB8">
        <w:rPr>
          <w:color w:val="000000" w:themeColor="text1"/>
        </w:rPr>
        <w:t> = </w:t>
      </w:r>
      <w:r w:rsidR="00480601" w:rsidRPr="00A52AB8">
        <w:rPr>
          <w:color w:val="000000" w:themeColor="text1"/>
        </w:rPr>
        <w:t>0; </w:t>
      </w:r>
      <w:r w:rsidR="003D75D6" w:rsidRPr="00A52AB8">
        <w:rPr>
          <w:color w:val="000000" w:themeColor="text1"/>
        </w:rPr>
        <w:t>p </w:t>
      </w:r>
      <w:r w:rsidR="00480601" w:rsidRPr="00A52AB8">
        <w:rPr>
          <w:color w:val="000000" w:themeColor="text1"/>
        </w:rPr>
        <w:t>&lt; </w:t>
      </w:r>
      <w:r w:rsidR="009A6E15" w:rsidRPr="00A52AB8">
        <w:rPr>
          <w:color w:val="000000" w:themeColor="text1"/>
        </w:rPr>
        <w:t>iNumPart</w:t>
      </w:r>
      <w:r w:rsidR="00480601" w:rsidRPr="00A52AB8">
        <w:rPr>
          <w:color w:val="000000" w:themeColor="text1"/>
        </w:rPr>
        <w:t>; </w:t>
      </w:r>
      <w:r w:rsidR="003D75D6" w:rsidRPr="00A52AB8">
        <w:rPr>
          <w:color w:val="000000" w:themeColor="text1"/>
        </w:rPr>
        <w:t>p</w:t>
      </w:r>
      <w:r w:rsidR="00480601" w:rsidRPr="00A52AB8">
        <w:rPr>
          <w:color w:val="000000" w:themeColor="text1"/>
        </w:rPr>
        <w:t>++</w:t>
      </w:r>
      <w:r w:rsidR="008F1F82" w:rsidRPr="00A52AB8">
        <w:rPr>
          <w:color w:val="000000" w:themeColor="text1"/>
        </w:rPr>
        <w:t>) {</w:t>
      </w:r>
      <w:r w:rsidR="00480601" w:rsidRPr="00A52AB8">
        <w:rPr>
          <w:color w:val="000000" w:themeColor="text1"/>
        </w:rPr>
        <w:br/>
      </w:r>
      <w:r w:rsidR="00480601" w:rsidRPr="00A52AB8">
        <w:rPr>
          <w:color w:val="000000" w:themeColor="text1"/>
        </w:rPr>
        <w:tab/>
      </w:r>
      <w:r w:rsidRPr="00A52AB8">
        <w:rPr>
          <w:color w:val="000000" w:themeColor="text1"/>
        </w:rPr>
        <w:tab/>
      </w:r>
      <w:r w:rsidR="00A006FC" w:rsidRPr="00A52AB8">
        <w:rPr>
          <w:color w:val="000000" w:themeColor="text1"/>
        </w:rPr>
        <w:tab/>
      </w:r>
      <w:r w:rsidR="003D75D6" w:rsidRPr="00A52AB8">
        <w:rPr>
          <w:color w:val="000000" w:themeColor="text1"/>
        </w:rPr>
        <w:tab/>
      </w:r>
      <w:r w:rsidR="00480601" w:rsidRPr="00A52AB8">
        <w:rPr>
          <w:color w:val="000000" w:themeColor="text1"/>
        </w:rPr>
        <w:t>for( </w:t>
      </w:r>
      <w:r w:rsidR="003D75D6" w:rsidRPr="00A52AB8">
        <w:rPr>
          <w:color w:val="000000" w:themeColor="text1"/>
        </w:rPr>
        <w:t>c</w:t>
      </w:r>
      <w:r w:rsidR="00D47707" w:rsidRPr="00A52AB8">
        <w:rPr>
          <w:color w:val="000000" w:themeColor="text1"/>
        </w:rPr>
        <w:t> = </w:t>
      </w:r>
      <w:r w:rsidR="00480601" w:rsidRPr="00A52AB8">
        <w:rPr>
          <w:color w:val="000000" w:themeColor="text1"/>
        </w:rPr>
        <w:t>0; </w:t>
      </w:r>
      <w:r w:rsidR="003D75D6" w:rsidRPr="00A52AB8">
        <w:rPr>
          <w:color w:val="000000" w:themeColor="text1"/>
        </w:rPr>
        <w:t>c </w:t>
      </w:r>
      <w:r w:rsidR="00480601" w:rsidRPr="00A52AB8">
        <w:rPr>
          <w:color w:val="000000" w:themeColor="text1"/>
        </w:rPr>
        <w:t>&lt; </w:t>
      </w:r>
      <w:r w:rsidR="00A006FC" w:rsidRPr="00A52AB8">
        <w:rPr>
          <w:color w:val="000000" w:themeColor="text1"/>
        </w:rPr>
        <w:t>iNumPartChannelsMinus1</w:t>
      </w:r>
      <w:r w:rsidR="00480601" w:rsidRPr="00A52AB8">
        <w:rPr>
          <w:color w:val="000000" w:themeColor="text1"/>
        </w:rPr>
        <w:t>[ </w:t>
      </w:r>
      <w:r w:rsidR="003D75D6" w:rsidRPr="00A52AB8">
        <w:rPr>
          <w:color w:val="000000" w:themeColor="text1"/>
        </w:rPr>
        <w:t>p</w:t>
      </w:r>
      <w:r w:rsidR="00480601" w:rsidRPr="00A52AB8">
        <w:rPr>
          <w:color w:val="000000" w:themeColor="text1"/>
        </w:rPr>
        <w:t> ] + 1; </w:t>
      </w:r>
      <w:r w:rsidR="003D75D6" w:rsidRPr="00A52AB8">
        <w:rPr>
          <w:color w:val="000000" w:themeColor="text1"/>
        </w:rPr>
        <w:t>c</w:t>
      </w:r>
      <w:r w:rsidR="00006CCF" w:rsidRPr="00A52AB8">
        <w:rPr>
          <w:color w:val="000000" w:themeColor="text1"/>
        </w:rPr>
        <w:t>++ </w:t>
      </w:r>
      <w:r w:rsidR="008F1F82" w:rsidRPr="00A52AB8">
        <w:rPr>
          <w:color w:val="000000" w:themeColor="text1"/>
        </w:rPr>
        <w:t>) {</w:t>
      </w:r>
      <w:r w:rsidR="00480601" w:rsidRPr="00A52AB8">
        <w:rPr>
          <w:color w:val="000000" w:themeColor="text1"/>
        </w:rPr>
        <w:br/>
      </w:r>
      <w:r w:rsidR="00480601" w:rsidRPr="00A52AB8">
        <w:rPr>
          <w:color w:val="000000" w:themeColor="text1"/>
        </w:rPr>
        <w:tab/>
      </w:r>
      <w:r w:rsidRPr="00A52AB8">
        <w:rPr>
          <w:color w:val="000000" w:themeColor="text1"/>
        </w:rPr>
        <w:tab/>
      </w:r>
      <w:r w:rsidR="00480601" w:rsidRPr="00A52AB8">
        <w:rPr>
          <w:color w:val="000000" w:themeColor="text1"/>
        </w:rPr>
        <w:tab/>
      </w:r>
      <w:r w:rsidR="00A006FC" w:rsidRPr="00A52AB8">
        <w:rPr>
          <w:color w:val="000000" w:themeColor="text1"/>
        </w:rPr>
        <w:tab/>
      </w:r>
      <w:r w:rsidR="003D75D6" w:rsidRPr="00A52AB8">
        <w:rPr>
          <w:color w:val="000000" w:themeColor="text1"/>
        </w:rPr>
        <w:tab/>
      </w:r>
      <w:r w:rsidR="00480601" w:rsidRPr="00A52AB8">
        <w:rPr>
          <w:color w:val="000000" w:themeColor="text1"/>
        </w:rPr>
        <w:t>for( </w:t>
      </w:r>
      <w:r w:rsidR="003D75D6" w:rsidRPr="00A52AB8">
        <w:rPr>
          <w:color w:val="000000" w:themeColor="text1"/>
        </w:rPr>
        <w:t>h</w:t>
      </w:r>
      <w:r w:rsidR="00D47707" w:rsidRPr="00A52AB8">
        <w:rPr>
          <w:color w:val="000000" w:themeColor="text1"/>
        </w:rPr>
        <w:t> = </w:t>
      </w:r>
      <w:r w:rsidR="00480601" w:rsidRPr="00A52AB8">
        <w:rPr>
          <w:color w:val="000000" w:themeColor="text1"/>
        </w:rPr>
        <w:t>0; </w:t>
      </w:r>
      <w:r w:rsidR="003D75D6" w:rsidRPr="00A52AB8">
        <w:rPr>
          <w:color w:val="000000" w:themeColor="text1"/>
        </w:rPr>
        <w:t>h</w:t>
      </w:r>
      <w:r w:rsidR="00480601" w:rsidRPr="00A52AB8">
        <w:rPr>
          <w:color w:val="000000" w:themeColor="text1"/>
        </w:rPr>
        <w:t> &lt; iHeight; </w:t>
      </w:r>
      <w:r w:rsidR="003D75D6" w:rsidRPr="00A52AB8">
        <w:rPr>
          <w:color w:val="000000" w:themeColor="text1"/>
        </w:rPr>
        <w:t>h</w:t>
      </w:r>
      <w:r w:rsidR="00006CCF" w:rsidRPr="00A52AB8">
        <w:rPr>
          <w:color w:val="000000" w:themeColor="text1"/>
        </w:rPr>
        <w:t>++ </w:t>
      </w:r>
      <w:r w:rsidR="008F1F82" w:rsidRPr="00A52AB8">
        <w:rPr>
          <w:color w:val="000000" w:themeColor="text1"/>
        </w:rPr>
        <w:t>) {</w:t>
      </w:r>
      <w:r w:rsidR="00480601" w:rsidRPr="00A52AB8">
        <w:rPr>
          <w:color w:val="000000" w:themeColor="text1"/>
        </w:rPr>
        <w:br/>
      </w:r>
      <w:r w:rsidR="00480601" w:rsidRPr="00A52AB8">
        <w:rPr>
          <w:color w:val="000000" w:themeColor="text1"/>
        </w:rPr>
        <w:tab/>
      </w:r>
      <w:r w:rsidRPr="00A52AB8">
        <w:rPr>
          <w:color w:val="000000" w:themeColor="text1"/>
        </w:rPr>
        <w:tab/>
      </w:r>
      <w:r w:rsidR="00480601" w:rsidRPr="00A52AB8">
        <w:rPr>
          <w:color w:val="000000" w:themeColor="text1"/>
        </w:rPr>
        <w:tab/>
      </w:r>
      <w:r w:rsidR="00480601" w:rsidRPr="00A52AB8">
        <w:rPr>
          <w:color w:val="000000" w:themeColor="text1"/>
        </w:rPr>
        <w:tab/>
      </w:r>
      <w:r w:rsidR="00A006FC" w:rsidRPr="00A52AB8">
        <w:rPr>
          <w:color w:val="000000" w:themeColor="text1"/>
        </w:rPr>
        <w:tab/>
      </w:r>
      <w:r w:rsidR="003D75D6" w:rsidRPr="00A52AB8">
        <w:rPr>
          <w:color w:val="000000" w:themeColor="text1"/>
        </w:rPr>
        <w:tab/>
      </w:r>
      <w:r w:rsidR="00480601" w:rsidRPr="00A52AB8">
        <w:rPr>
          <w:color w:val="000000" w:themeColor="text1"/>
        </w:rPr>
        <w:t>for( </w:t>
      </w:r>
      <w:r w:rsidR="003D75D6" w:rsidRPr="00A52AB8">
        <w:rPr>
          <w:color w:val="000000" w:themeColor="text1"/>
        </w:rPr>
        <w:t>w</w:t>
      </w:r>
      <w:r w:rsidR="00D47707" w:rsidRPr="00A52AB8">
        <w:rPr>
          <w:color w:val="000000" w:themeColor="text1"/>
        </w:rPr>
        <w:t> = </w:t>
      </w:r>
      <w:r w:rsidR="00480601" w:rsidRPr="00A52AB8">
        <w:rPr>
          <w:color w:val="000000" w:themeColor="text1"/>
        </w:rPr>
        <w:t>0; </w:t>
      </w:r>
      <w:r w:rsidR="003D75D6" w:rsidRPr="00A52AB8">
        <w:rPr>
          <w:color w:val="000000" w:themeColor="text1"/>
        </w:rPr>
        <w:t>w</w:t>
      </w:r>
      <w:r w:rsidR="00480601" w:rsidRPr="00A52AB8">
        <w:rPr>
          <w:color w:val="000000" w:themeColor="text1"/>
        </w:rPr>
        <w:t> &lt; iWidth; </w:t>
      </w:r>
      <w:r w:rsidR="003D75D6" w:rsidRPr="00A52AB8">
        <w:rPr>
          <w:color w:val="000000" w:themeColor="text1"/>
        </w:rPr>
        <w:t>w</w:t>
      </w:r>
      <w:r w:rsidR="00006CCF" w:rsidRPr="00A52AB8">
        <w:rPr>
          <w:color w:val="000000" w:themeColor="text1"/>
        </w:rPr>
        <w:t>++ </w:t>
      </w:r>
      <w:r w:rsidR="008F1F82" w:rsidRPr="00A52AB8">
        <w:rPr>
          <w:color w:val="000000" w:themeColor="text1"/>
        </w:rPr>
        <w:t>) {</w:t>
      </w:r>
      <w:r w:rsidR="00480601" w:rsidRPr="00A52AB8">
        <w:rPr>
          <w:color w:val="000000" w:themeColor="text1"/>
        </w:rPr>
        <w:br/>
      </w:r>
      <w:r w:rsidR="003D75D6" w:rsidRPr="00A52AB8">
        <w:rPr>
          <w:color w:val="000000" w:themeColor="text1"/>
        </w:rPr>
        <w:tab/>
      </w:r>
      <w:r w:rsidR="00480601" w:rsidRPr="00A52AB8">
        <w:rPr>
          <w:color w:val="000000" w:themeColor="text1"/>
        </w:rPr>
        <w:tab/>
      </w:r>
      <w:r w:rsidRPr="00A52AB8">
        <w:rPr>
          <w:color w:val="000000" w:themeColor="text1"/>
        </w:rPr>
        <w:tab/>
      </w:r>
      <w:r w:rsidR="00480601" w:rsidRPr="00A52AB8">
        <w:rPr>
          <w:color w:val="000000" w:themeColor="text1"/>
        </w:rPr>
        <w:tab/>
      </w:r>
      <w:r w:rsidR="00480601" w:rsidRPr="00A52AB8">
        <w:rPr>
          <w:color w:val="000000" w:themeColor="text1"/>
        </w:rPr>
        <w:tab/>
      </w:r>
      <w:r w:rsidR="00480601" w:rsidRPr="00A52AB8">
        <w:rPr>
          <w:color w:val="000000" w:themeColor="text1"/>
        </w:rPr>
        <w:tab/>
      </w:r>
      <w:r w:rsidR="00A006FC" w:rsidRPr="00A52AB8">
        <w:rPr>
          <w:color w:val="000000" w:themeColor="text1"/>
        </w:rPr>
        <w:tab/>
      </w:r>
      <w:r w:rsidR="00480601" w:rsidRPr="00A52AB8">
        <w:rPr>
          <w:color w:val="000000" w:themeColor="text1"/>
        </w:rPr>
        <w:t>oFrame</w:t>
      </w:r>
      <w:r w:rsidR="003D75D6" w:rsidRPr="00A52AB8">
        <w:rPr>
          <w:color w:val="000000" w:themeColor="text1"/>
        </w:rPr>
        <w:t>s</w:t>
      </w:r>
      <w:r w:rsidR="00480601" w:rsidRPr="00A52AB8">
        <w:rPr>
          <w:color w:val="000000" w:themeColor="text1"/>
        </w:rPr>
        <w:t>[ </w:t>
      </w:r>
      <w:r w:rsidR="003D75D6" w:rsidRPr="00A52AB8">
        <w:rPr>
          <w:color w:val="000000" w:themeColor="text1"/>
        </w:rPr>
        <w:t>m </w:t>
      </w:r>
      <w:r w:rsidR="00480601" w:rsidRPr="00A52AB8">
        <w:rPr>
          <w:color w:val="000000" w:themeColor="text1"/>
        </w:rPr>
        <w:t>][ </w:t>
      </w:r>
      <w:r w:rsidR="003D75D6" w:rsidRPr="00A52AB8">
        <w:rPr>
          <w:color w:val="000000" w:themeColor="text1"/>
        </w:rPr>
        <w:t>f</w:t>
      </w:r>
      <w:r w:rsidR="00480601" w:rsidRPr="00A52AB8">
        <w:rPr>
          <w:color w:val="000000" w:themeColor="text1"/>
        </w:rPr>
        <w:t> ]</w:t>
      </w:r>
      <w:r w:rsidR="003D75D6" w:rsidRPr="00A52AB8">
        <w:rPr>
          <w:color w:val="000000" w:themeColor="text1"/>
        </w:rPr>
        <w:t>[ oCompIdx ]</w:t>
      </w:r>
      <w:r w:rsidR="00480601" w:rsidRPr="00A52AB8">
        <w:rPr>
          <w:color w:val="000000" w:themeColor="text1"/>
        </w:rPr>
        <w:t>[ </w:t>
      </w:r>
      <w:r w:rsidR="003D75D6" w:rsidRPr="00A52AB8">
        <w:rPr>
          <w:color w:val="000000" w:themeColor="text1"/>
        </w:rPr>
        <w:t>h</w:t>
      </w:r>
      <w:r w:rsidR="00480601" w:rsidRPr="00A52AB8">
        <w:rPr>
          <w:color w:val="000000" w:themeColor="text1"/>
        </w:rPr>
        <w:t> ][ </w:t>
      </w:r>
      <w:r w:rsidR="003D75D6" w:rsidRPr="00A52AB8">
        <w:rPr>
          <w:color w:val="000000" w:themeColor="text1"/>
        </w:rPr>
        <w:t>w</w:t>
      </w:r>
      <w:r w:rsidR="00480601" w:rsidRPr="00A52AB8">
        <w:rPr>
          <w:color w:val="000000" w:themeColor="text1"/>
        </w:rPr>
        <w:t> ] =</w:t>
      </w:r>
      <w:r w:rsidR="00C61E38" w:rsidRPr="00A52AB8">
        <w:rPr>
          <w:color w:val="000000" w:themeColor="text1"/>
        </w:rPr>
        <w:br/>
      </w:r>
      <w:r w:rsidR="003D75D6" w:rsidRPr="00A52AB8">
        <w:rPr>
          <w:color w:val="000000" w:themeColor="text1"/>
        </w:rPr>
        <w:tab/>
      </w:r>
      <w:r w:rsidR="003D75D6" w:rsidRPr="00A52AB8">
        <w:rPr>
          <w:color w:val="000000" w:themeColor="text1"/>
        </w:rPr>
        <w:tab/>
      </w:r>
      <w:r w:rsidR="003D75D6" w:rsidRPr="00A52AB8">
        <w:rPr>
          <w:color w:val="000000" w:themeColor="text1"/>
        </w:rPr>
        <w:tab/>
      </w:r>
      <w:r w:rsidR="003D75D6" w:rsidRPr="00A52AB8">
        <w:rPr>
          <w:color w:val="000000" w:themeColor="text1"/>
        </w:rPr>
        <w:tab/>
      </w:r>
      <w:r w:rsidR="003D75D6" w:rsidRPr="00A52AB8">
        <w:rPr>
          <w:color w:val="000000" w:themeColor="text1"/>
        </w:rPr>
        <w:tab/>
      </w:r>
      <w:r w:rsidR="003D75D6" w:rsidRPr="00A52AB8">
        <w:rPr>
          <w:color w:val="000000" w:themeColor="text1"/>
        </w:rPr>
        <w:tab/>
      </w:r>
      <w:r w:rsidR="003D75D6" w:rsidRPr="00A52AB8">
        <w:rPr>
          <w:color w:val="000000" w:themeColor="text1"/>
        </w:rPr>
        <w:tab/>
      </w:r>
      <w:r w:rsidR="003D75D6" w:rsidRPr="00A52AB8">
        <w:rPr>
          <w:color w:val="000000" w:themeColor="text1"/>
        </w:rPr>
        <w:tab/>
      </w:r>
      <w:r w:rsidR="00480601" w:rsidRPr="00A52AB8">
        <w:rPr>
          <w:color w:val="000000" w:themeColor="text1"/>
        </w:rPr>
        <w:t>iFrame</w:t>
      </w:r>
      <w:r w:rsidR="003D75D6" w:rsidRPr="00A52AB8">
        <w:rPr>
          <w:color w:val="000000" w:themeColor="text1"/>
        </w:rPr>
        <w:t>s[ p ]</w:t>
      </w:r>
      <w:r w:rsidR="00480601" w:rsidRPr="00A52AB8">
        <w:rPr>
          <w:color w:val="000000" w:themeColor="text1"/>
        </w:rPr>
        <w:t>[ m ]</w:t>
      </w:r>
      <w:r w:rsidR="003D75D6" w:rsidRPr="00A52AB8">
        <w:rPr>
          <w:color w:val="000000" w:themeColor="text1"/>
        </w:rPr>
        <w:t>[ f ]</w:t>
      </w:r>
      <w:r w:rsidR="00480601" w:rsidRPr="00A52AB8">
        <w:rPr>
          <w:color w:val="000000" w:themeColor="text1"/>
        </w:rPr>
        <w:t>[ </w:t>
      </w:r>
      <w:r w:rsidR="003D75D6" w:rsidRPr="00A52AB8">
        <w:rPr>
          <w:color w:val="000000" w:themeColor="text1"/>
        </w:rPr>
        <w:t>c </w:t>
      </w:r>
      <w:r w:rsidR="00480601" w:rsidRPr="00A52AB8">
        <w:rPr>
          <w:color w:val="000000" w:themeColor="text1"/>
        </w:rPr>
        <w:t>][ j ][ i ]</w:t>
      </w:r>
      <w:r w:rsidR="003D75D6" w:rsidRPr="00A52AB8">
        <w:rPr>
          <w:color w:val="000000" w:themeColor="text1"/>
        </w:rPr>
        <w:br/>
      </w:r>
      <w:r w:rsidR="003D75D6" w:rsidRPr="00A52AB8">
        <w:rPr>
          <w:color w:val="000000" w:themeColor="text1"/>
        </w:rPr>
        <w:tab/>
      </w:r>
      <w:r w:rsidR="003D75D6" w:rsidRPr="00A52AB8">
        <w:rPr>
          <w:color w:val="000000" w:themeColor="text1"/>
        </w:rPr>
        <w:tab/>
      </w:r>
      <w:r w:rsidR="003D75D6" w:rsidRPr="00A52AB8">
        <w:rPr>
          <w:color w:val="000000" w:themeColor="text1"/>
        </w:rPr>
        <w:tab/>
      </w:r>
      <w:r w:rsidR="003D75D6" w:rsidRPr="00A52AB8">
        <w:rPr>
          <w:color w:val="000000" w:themeColor="text1"/>
        </w:rPr>
        <w:tab/>
      </w:r>
      <w:r w:rsidR="003D75D6" w:rsidRPr="00A52AB8">
        <w:rPr>
          <w:color w:val="000000" w:themeColor="text1"/>
        </w:rPr>
        <w:tab/>
      </w:r>
      <w:r w:rsidR="003D75D6" w:rsidRPr="00A52AB8">
        <w:rPr>
          <w:color w:val="000000" w:themeColor="text1"/>
        </w:rPr>
        <w:tab/>
        <w:t>}</w:t>
      </w:r>
      <w:r w:rsidR="00480601" w:rsidRPr="00A52AB8">
        <w:rPr>
          <w:color w:val="000000" w:themeColor="text1"/>
        </w:rPr>
        <w:br/>
      </w:r>
      <w:r w:rsidR="00480601" w:rsidRPr="00A52AB8">
        <w:rPr>
          <w:color w:val="000000" w:themeColor="text1"/>
        </w:rPr>
        <w:tab/>
      </w:r>
      <w:r w:rsidRPr="00A52AB8">
        <w:rPr>
          <w:color w:val="000000" w:themeColor="text1"/>
        </w:rPr>
        <w:tab/>
      </w:r>
      <w:r w:rsidR="00480601" w:rsidRPr="00A52AB8">
        <w:rPr>
          <w:color w:val="000000" w:themeColor="text1"/>
        </w:rPr>
        <w:tab/>
      </w:r>
      <w:r w:rsidR="00480601" w:rsidRPr="00A52AB8">
        <w:rPr>
          <w:color w:val="000000" w:themeColor="text1"/>
        </w:rPr>
        <w:tab/>
      </w:r>
      <w:r w:rsidR="00A006FC" w:rsidRPr="00A52AB8">
        <w:rPr>
          <w:color w:val="000000" w:themeColor="text1"/>
        </w:rPr>
        <w:tab/>
      </w:r>
      <w:r w:rsidR="00480601" w:rsidRPr="00A52AB8">
        <w:rPr>
          <w:color w:val="000000" w:themeColor="text1"/>
        </w:rPr>
        <w:t>}</w:t>
      </w:r>
      <w:r w:rsidR="00480601" w:rsidRPr="00A52AB8">
        <w:rPr>
          <w:color w:val="000000" w:themeColor="text1"/>
        </w:rPr>
        <w:br/>
      </w:r>
      <w:r w:rsidRPr="00A52AB8">
        <w:rPr>
          <w:color w:val="000000" w:themeColor="text1"/>
        </w:rPr>
        <w:tab/>
      </w:r>
      <w:r w:rsidR="00480601" w:rsidRPr="00A52AB8">
        <w:rPr>
          <w:color w:val="000000" w:themeColor="text1"/>
        </w:rPr>
        <w:tab/>
      </w:r>
      <w:r w:rsidR="00480601" w:rsidRPr="00A52AB8">
        <w:rPr>
          <w:color w:val="000000" w:themeColor="text1"/>
        </w:rPr>
        <w:tab/>
      </w:r>
      <w:r w:rsidR="00A006FC" w:rsidRPr="00A52AB8">
        <w:rPr>
          <w:color w:val="000000" w:themeColor="text1"/>
        </w:rPr>
        <w:tab/>
      </w:r>
      <w:r w:rsidR="003D75D6" w:rsidRPr="00A52AB8">
        <w:rPr>
          <w:color w:val="000000" w:themeColor="text1"/>
        </w:rPr>
        <w:tab/>
      </w:r>
      <w:r w:rsidR="00480601" w:rsidRPr="00A52AB8">
        <w:rPr>
          <w:color w:val="000000" w:themeColor="text1"/>
        </w:rPr>
        <w:t>oComp</w:t>
      </w:r>
      <w:r w:rsidR="003D75D6" w:rsidRPr="00A52AB8">
        <w:rPr>
          <w:color w:val="000000" w:themeColor="text1"/>
        </w:rPr>
        <w:t>Idx</w:t>
      </w:r>
      <w:r w:rsidR="00480601" w:rsidRPr="00A52AB8">
        <w:rPr>
          <w:color w:val="000000" w:themeColor="text1"/>
        </w:rPr>
        <w:t>++</w:t>
      </w:r>
      <w:r w:rsidR="00480601" w:rsidRPr="00A52AB8">
        <w:rPr>
          <w:color w:val="000000" w:themeColor="text1"/>
        </w:rPr>
        <w:br/>
      </w:r>
      <w:r w:rsidR="00480601" w:rsidRPr="00A52AB8">
        <w:rPr>
          <w:color w:val="000000" w:themeColor="text1"/>
        </w:rPr>
        <w:tab/>
      </w:r>
      <w:r w:rsidRPr="00A52AB8">
        <w:rPr>
          <w:color w:val="000000" w:themeColor="text1"/>
        </w:rPr>
        <w:tab/>
      </w:r>
      <w:r w:rsidR="00A006FC" w:rsidRPr="00A52AB8">
        <w:rPr>
          <w:color w:val="000000" w:themeColor="text1"/>
        </w:rPr>
        <w:tab/>
      </w:r>
      <w:r w:rsidR="003D75D6" w:rsidRPr="00A52AB8">
        <w:rPr>
          <w:color w:val="000000" w:themeColor="text1"/>
        </w:rPr>
        <w:tab/>
      </w:r>
      <w:r w:rsidR="00480601" w:rsidRPr="00A52AB8">
        <w:rPr>
          <w:color w:val="000000" w:themeColor="text1"/>
        </w:rPr>
        <w:t>}</w:t>
      </w:r>
      <w:r w:rsidR="003D75D6" w:rsidRPr="00A52AB8">
        <w:rPr>
          <w:color w:val="000000" w:themeColor="text1"/>
        </w:rPr>
        <w:br/>
      </w:r>
      <w:r w:rsidR="003D75D6" w:rsidRPr="00A52AB8">
        <w:rPr>
          <w:color w:val="000000" w:themeColor="text1"/>
        </w:rPr>
        <w:tab/>
      </w:r>
      <w:r w:rsidR="003D75D6" w:rsidRPr="00A52AB8">
        <w:rPr>
          <w:color w:val="000000" w:themeColor="text1"/>
        </w:rPr>
        <w:tab/>
      </w:r>
      <w:r w:rsidR="003D75D6" w:rsidRPr="00A52AB8">
        <w:rPr>
          <w:color w:val="000000" w:themeColor="text1"/>
        </w:rPr>
        <w:tab/>
        <w:t>}</w:t>
      </w:r>
      <w:r w:rsidR="00480601" w:rsidRPr="00A52AB8">
        <w:rPr>
          <w:color w:val="000000" w:themeColor="text1"/>
        </w:rPr>
        <w:br/>
      </w:r>
      <w:r w:rsidRPr="00A52AB8">
        <w:rPr>
          <w:color w:val="000000" w:themeColor="text1"/>
        </w:rPr>
        <w:tab/>
      </w:r>
      <w:r w:rsidR="00A006FC" w:rsidRPr="00A52AB8">
        <w:rPr>
          <w:color w:val="000000" w:themeColor="text1"/>
        </w:rPr>
        <w:tab/>
      </w:r>
      <w:r w:rsidR="00480601" w:rsidRPr="00A52AB8">
        <w:rPr>
          <w:color w:val="000000" w:themeColor="text1"/>
        </w:rPr>
        <w:t>}</w:t>
      </w:r>
      <w:r w:rsidR="003D75D6" w:rsidRPr="00A52AB8">
        <w:rPr>
          <w:color w:val="000000" w:themeColor="text1"/>
        </w:rPr>
        <w:br/>
      </w:r>
      <w:r w:rsidR="003D75D6" w:rsidRPr="00A52AB8">
        <w:rPr>
          <w:color w:val="000000" w:themeColor="text1"/>
        </w:rPr>
        <w:tab/>
        <w:t>}</w:t>
      </w:r>
    </w:p>
    <w:p w14:paraId="4A069E57" w14:textId="46548358" w:rsidR="003D75D6" w:rsidRPr="00EE3D19" w:rsidRDefault="003D75D6" w:rsidP="00EE3D19">
      <w:pPr>
        <w:pStyle w:val="a3"/>
        <w:numPr>
          <w:ilvl w:val="3"/>
          <w:numId w:val="19"/>
        </w:numPr>
        <w:outlineLvl w:val="3"/>
      </w:pPr>
      <w:bookmarkStart w:id="4887" w:name="_Ref50652560"/>
      <w:bookmarkStart w:id="4888" w:name="_Toc52181670"/>
      <w:r w:rsidRPr="00EE3D19">
        <w:t>Attribute dimension packing process for an auxiliary attribute</w:t>
      </w:r>
      <w:bookmarkEnd w:id="4887"/>
      <w:bookmarkEnd w:id="4888"/>
    </w:p>
    <w:p w14:paraId="7AF55DF9" w14:textId="77777777" w:rsidR="003D75D6" w:rsidRPr="00A52AB8" w:rsidRDefault="003D75D6" w:rsidP="003D75D6">
      <w:pPr>
        <w:rPr>
          <w:color w:val="000000" w:themeColor="text1"/>
        </w:rPr>
      </w:pPr>
      <w:r w:rsidRPr="00A52AB8">
        <w:rPr>
          <w:color w:val="000000" w:themeColor="text1"/>
        </w:rPr>
        <w:t>Inputs to this process are:</w:t>
      </w:r>
    </w:p>
    <w:p w14:paraId="050FB76D" w14:textId="32C873D6" w:rsidR="003D75D6" w:rsidRPr="00A52AB8" w:rsidRDefault="003D75D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variable iNumPart, indicating the number of dimension partitions in which an attribute has been partitioned</w:t>
      </w:r>
    </w:p>
    <w:p w14:paraId="46FC9262" w14:textId="77777777" w:rsidR="003D75D6" w:rsidRPr="00A52AB8" w:rsidRDefault="003D75D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variable iNumFrames, indicating the number of frames</w:t>
      </w:r>
    </w:p>
    <w:p w14:paraId="6288A5DF" w14:textId="77777777" w:rsidR="003D75D6" w:rsidRPr="00A52AB8" w:rsidRDefault="003D75D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variable iNumComp, indicating the number of components for each frame,</w:t>
      </w:r>
    </w:p>
    <w:p w14:paraId="2F5047E9" w14:textId="77777777" w:rsidR="003D75D6" w:rsidRPr="00A52AB8" w:rsidRDefault="003D75D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variable iHeight,</w:t>
      </w:r>
      <w:r w:rsidRPr="00A52AB8" w:rsidDel="00631134">
        <w:rPr>
          <w:color w:val="000000" w:themeColor="text1"/>
        </w:rPr>
        <w:t xml:space="preserve"> </w:t>
      </w:r>
      <w:r w:rsidRPr="00A52AB8">
        <w:rPr>
          <w:color w:val="000000" w:themeColor="text1"/>
        </w:rPr>
        <w:t>indicating the height of each frame,</w:t>
      </w:r>
    </w:p>
    <w:p w14:paraId="35E37EB3" w14:textId="47FBD695" w:rsidR="003D75D6" w:rsidRPr="00A52AB8" w:rsidRDefault="003D75D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variable iWidth, indicating the width of each frame,</w:t>
      </w:r>
    </w:p>
    <w:p w14:paraId="2363FB68" w14:textId="15F8F9BB" w:rsidR="00747BF5" w:rsidRPr="00A52AB8" w:rsidRDefault="00747BF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variable iAttrDim, indicating the dimensions of the attribute,</w:t>
      </w:r>
    </w:p>
    <w:p w14:paraId="225619BA" w14:textId="737665DC" w:rsidR="003D75D6" w:rsidRPr="00A52AB8" w:rsidRDefault="003D75D6" w:rsidP="00747BF5">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5D array, iFrames, of size iNumPart × iNumFrames × iNumComp × iHeight × iWidth</w:t>
      </w:r>
      <w:r w:rsidR="00747BF5" w:rsidRPr="00A52AB8">
        <w:rPr>
          <w:color w:val="000000" w:themeColor="text1"/>
        </w:rPr>
        <w:t>, and</w:t>
      </w:r>
    </w:p>
    <w:p w14:paraId="5C25BBAD" w14:textId="01E9B1E3" w:rsidR="003D75D6" w:rsidRPr="00A52AB8" w:rsidRDefault="003D75D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1D array iNumPartChannelsMinus1, of size iNumPart, indicating the number of channels used in each partition</w:t>
      </w:r>
      <w:r w:rsidR="00747BF5" w:rsidRPr="00A52AB8">
        <w:rPr>
          <w:color w:val="000000" w:themeColor="text1"/>
        </w:rPr>
        <w:t>.</w:t>
      </w:r>
    </w:p>
    <w:p w14:paraId="2E9DC426" w14:textId="0830D502" w:rsidR="003D75D6" w:rsidRPr="00A52AB8" w:rsidRDefault="003D75D6" w:rsidP="003D75D6">
      <w:pPr>
        <w:rPr>
          <w:color w:val="000000" w:themeColor="text1"/>
        </w:rPr>
      </w:pPr>
      <w:r w:rsidRPr="00A52AB8">
        <w:rPr>
          <w:color w:val="000000" w:themeColor="text1"/>
        </w:rPr>
        <w:t xml:space="preserve">Output </w:t>
      </w:r>
      <w:r w:rsidR="00060230" w:rsidRPr="00A52AB8">
        <w:rPr>
          <w:color w:val="000000" w:themeColor="text1"/>
        </w:rPr>
        <w:t xml:space="preserve">of </w:t>
      </w:r>
      <w:r w:rsidRPr="00A52AB8">
        <w:rPr>
          <w:color w:val="000000" w:themeColor="text1"/>
        </w:rPr>
        <w:t>this process is:</w:t>
      </w:r>
    </w:p>
    <w:p w14:paraId="757AB9A6" w14:textId="6DEE6DDF" w:rsidR="003D75D6" w:rsidRPr="00A52AB8" w:rsidRDefault="003D75D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 a 4D array, oFrames, of size iNumFrames × iAttrDim × inputHeight × inputWidth.</w:t>
      </w:r>
    </w:p>
    <w:p w14:paraId="6EF9EF88" w14:textId="221497EA" w:rsidR="001D1299" w:rsidRPr="00A52AB8" w:rsidRDefault="001D1299" w:rsidP="00007BE2">
      <w:pPr>
        <w:rPr>
          <w:color w:val="000000" w:themeColor="text1"/>
        </w:rPr>
      </w:pPr>
      <w:r w:rsidRPr="00A52AB8">
        <w:rPr>
          <w:color w:val="000000" w:themeColor="text1"/>
        </w:rPr>
        <w:t>The array oFrames is generated as follows:</w:t>
      </w:r>
    </w:p>
    <w:p w14:paraId="0030F8F7" w14:textId="688F58C6" w:rsidR="003D75D6" w:rsidRPr="00A52AB8" w:rsidRDefault="003D75D6" w:rsidP="003D75D6">
      <w:pPr>
        <w:rPr>
          <w:color w:val="000000" w:themeColor="text1"/>
        </w:rPr>
      </w:pPr>
      <w:r w:rsidRPr="00A52AB8">
        <w:rPr>
          <w:color w:val="000000" w:themeColor="text1"/>
        </w:rPr>
        <w:tab/>
        <w:t>outComp =</w:t>
      </w:r>
      <w:r w:rsidRPr="00A52AB8">
        <w:rPr>
          <w:color w:val="000000" w:themeColor="text1"/>
        </w:rPr>
        <w:tab/>
        <w:t> 0</w:t>
      </w:r>
      <w:r w:rsidRPr="00A52AB8">
        <w:rPr>
          <w:color w:val="000000" w:themeColor="text1"/>
        </w:rPr>
        <w:br/>
      </w:r>
      <w:r w:rsidRPr="00A52AB8">
        <w:rPr>
          <w:color w:val="000000" w:themeColor="text1"/>
        </w:rPr>
        <w:tab/>
        <w:t>for( f</w:t>
      </w:r>
      <w:r w:rsidR="00D47707" w:rsidRPr="00A52AB8">
        <w:rPr>
          <w:color w:val="000000" w:themeColor="text1"/>
        </w:rPr>
        <w:t> = </w:t>
      </w:r>
      <w:r w:rsidRPr="00A52AB8">
        <w:rPr>
          <w:color w:val="000000" w:themeColor="text1"/>
        </w:rPr>
        <w:t>0; f &lt; iNumFrames; f++</w:t>
      </w:r>
      <w:r w:rsidR="008F1F82" w:rsidRPr="00A52AB8">
        <w:rPr>
          <w:color w:val="000000" w:themeColor="text1"/>
        </w:rPr>
        <w:t>) {</w:t>
      </w:r>
      <w:r w:rsidRPr="00A52AB8">
        <w:rPr>
          <w:color w:val="000000" w:themeColor="text1"/>
        </w:rPr>
        <w:br/>
      </w:r>
      <w:r w:rsidRPr="00A52AB8">
        <w:rPr>
          <w:color w:val="000000" w:themeColor="text1"/>
        </w:rPr>
        <w:tab/>
      </w:r>
      <w:r w:rsidRPr="00A52AB8">
        <w:rPr>
          <w:color w:val="000000" w:themeColor="text1"/>
        </w:rPr>
        <w:tab/>
        <w:t>oCompIdx</w:t>
      </w:r>
      <w:r w:rsidR="00D47707" w:rsidRPr="00A52AB8">
        <w:rPr>
          <w:color w:val="000000" w:themeColor="text1"/>
        </w:rPr>
        <w:t> = </w:t>
      </w:r>
      <w:r w:rsidRPr="00A52AB8">
        <w:rPr>
          <w:color w:val="000000" w:themeColor="text1"/>
        </w:rPr>
        <w:t>0</w:t>
      </w:r>
      <w:r w:rsidRPr="00A52AB8">
        <w:rPr>
          <w:color w:val="000000" w:themeColor="text1"/>
        </w:rPr>
        <w:br/>
      </w:r>
      <w:r w:rsidRPr="00A52AB8">
        <w:rPr>
          <w:color w:val="000000" w:themeColor="text1"/>
        </w:rPr>
        <w:tab/>
      </w:r>
      <w:r w:rsidRPr="00A52AB8">
        <w:rPr>
          <w:color w:val="000000" w:themeColor="text1"/>
        </w:rPr>
        <w:tab/>
        <w:t>for( p</w:t>
      </w:r>
      <w:r w:rsidR="00D47707" w:rsidRPr="00A52AB8">
        <w:rPr>
          <w:color w:val="000000" w:themeColor="text1"/>
        </w:rPr>
        <w:t> = </w:t>
      </w:r>
      <w:r w:rsidRPr="00A52AB8">
        <w:rPr>
          <w:color w:val="000000" w:themeColor="text1"/>
        </w:rPr>
        <w:t>0; p &lt; iNumPart; p++</w:t>
      </w:r>
      <w:r w:rsidR="008F1F82" w:rsidRPr="00A52AB8">
        <w:rPr>
          <w:color w:val="000000" w:themeColor="text1"/>
        </w:rPr>
        <w:t>) {</w:t>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t>for( c</w:t>
      </w:r>
      <w:r w:rsidR="00D47707" w:rsidRPr="00A52AB8">
        <w:rPr>
          <w:color w:val="000000" w:themeColor="text1"/>
        </w:rPr>
        <w:t> = </w:t>
      </w:r>
      <w:r w:rsidRPr="00A52AB8">
        <w:rPr>
          <w:color w:val="000000" w:themeColor="text1"/>
        </w:rPr>
        <w:t>0; c &lt; iNumPartChannelsMinus1[ p ] + 1; c++ </w:t>
      </w:r>
      <w:r w:rsidR="008F1F82" w:rsidRPr="00A52AB8">
        <w:rPr>
          <w:color w:val="000000" w:themeColor="text1"/>
        </w:rPr>
        <w:t>) {</w:t>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t>for( h</w:t>
      </w:r>
      <w:r w:rsidR="00D47707" w:rsidRPr="00A52AB8">
        <w:rPr>
          <w:color w:val="000000" w:themeColor="text1"/>
        </w:rPr>
        <w:t> = </w:t>
      </w:r>
      <w:r w:rsidRPr="00A52AB8">
        <w:rPr>
          <w:color w:val="000000" w:themeColor="text1"/>
        </w:rPr>
        <w:t>0; h &lt; iHeight; h++ </w:t>
      </w:r>
      <w:r w:rsidR="008F1F82" w:rsidRPr="00A52AB8">
        <w:rPr>
          <w:color w:val="000000" w:themeColor="text1"/>
        </w:rPr>
        <w:t>) {</w:t>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t>for( w</w:t>
      </w:r>
      <w:r w:rsidR="00D47707" w:rsidRPr="00A52AB8">
        <w:rPr>
          <w:color w:val="000000" w:themeColor="text1"/>
        </w:rPr>
        <w:t> = </w:t>
      </w:r>
      <w:r w:rsidRPr="00A52AB8">
        <w:rPr>
          <w:color w:val="000000" w:themeColor="text1"/>
        </w:rPr>
        <w:t>0; w &lt; iWidth; w++ </w:t>
      </w:r>
      <w:r w:rsidR="008F1F82" w:rsidRPr="00A52AB8">
        <w:rPr>
          <w:color w:val="000000" w:themeColor="text1"/>
        </w:rPr>
        <w:t>) {</w:t>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t>oFrames[ f ][ oCompIdx ][ h ][ w ] =</w:t>
      </w:r>
      <w:r w:rsidR="00C61E38"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t>iFrames[ p ][ f ][ c ][ j ][ i ]</w:t>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t>}</w:t>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t>}</w:t>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t>oCompIdx++</w:t>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t>}</w:t>
      </w:r>
      <w:r w:rsidRPr="00A52AB8">
        <w:rPr>
          <w:color w:val="000000" w:themeColor="text1"/>
        </w:rPr>
        <w:br/>
      </w:r>
      <w:r w:rsidRPr="00A52AB8">
        <w:rPr>
          <w:color w:val="000000" w:themeColor="text1"/>
        </w:rPr>
        <w:tab/>
      </w:r>
      <w:r w:rsidRPr="00A52AB8">
        <w:rPr>
          <w:color w:val="000000" w:themeColor="text1"/>
        </w:rPr>
        <w:tab/>
        <w:t>}</w:t>
      </w:r>
      <w:r w:rsidRPr="00A52AB8">
        <w:rPr>
          <w:color w:val="000000" w:themeColor="text1"/>
        </w:rPr>
        <w:br/>
      </w:r>
      <w:r w:rsidRPr="00A52AB8">
        <w:rPr>
          <w:color w:val="000000" w:themeColor="text1"/>
        </w:rPr>
        <w:tab/>
        <w:t>}</w:t>
      </w:r>
    </w:p>
    <w:p w14:paraId="0F1BEBFF" w14:textId="77777777" w:rsidR="00D136E3" w:rsidRPr="00A52AB8" w:rsidRDefault="0037369A" w:rsidP="002D4E3F">
      <w:pPr>
        <w:pStyle w:val="a2"/>
        <w:numPr>
          <w:ilvl w:val="2"/>
          <w:numId w:val="14"/>
        </w:numPr>
        <w:rPr>
          <w:color w:val="000000" w:themeColor="text1"/>
        </w:rPr>
      </w:pPr>
      <w:bookmarkStart w:id="4889" w:name="_Toc47886610"/>
      <w:bookmarkStart w:id="4890" w:name="_Toc47887018"/>
      <w:bookmarkStart w:id="4891" w:name="_Toc47887426"/>
      <w:bookmarkStart w:id="4892" w:name="_Toc47887834"/>
      <w:bookmarkStart w:id="4893" w:name="_Toc47951920"/>
      <w:bookmarkStart w:id="4894" w:name="_Toc47982987"/>
      <w:bookmarkStart w:id="4895" w:name="_Ref39770232"/>
      <w:bookmarkStart w:id="4896" w:name="_Toc52181671"/>
      <w:bookmarkEnd w:id="4889"/>
      <w:bookmarkEnd w:id="4890"/>
      <w:bookmarkEnd w:id="4891"/>
      <w:bookmarkEnd w:id="4892"/>
      <w:bookmarkEnd w:id="4893"/>
      <w:bookmarkEnd w:id="4894"/>
      <w:r w:rsidRPr="00A52AB8">
        <w:rPr>
          <w:color w:val="000000" w:themeColor="text1"/>
        </w:rPr>
        <w:t>C</w:t>
      </w:r>
      <w:r w:rsidR="00D136E3" w:rsidRPr="00A52AB8">
        <w:rPr>
          <w:color w:val="000000" w:themeColor="text1"/>
        </w:rPr>
        <w:t>hroma up</w:t>
      </w:r>
      <w:r w:rsidR="00817500" w:rsidRPr="00A52AB8">
        <w:rPr>
          <w:color w:val="000000" w:themeColor="text1"/>
        </w:rPr>
        <w:t>-</w:t>
      </w:r>
      <w:r w:rsidR="00D136E3" w:rsidRPr="00A52AB8">
        <w:rPr>
          <w:color w:val="000000" w:themeColor="text1"/>
        </w:rPr>
        <w:t>sampling</w:t>
      </w:r>
      <w:bookmarkEnd w:id="4883"/>
      <w:bookmarkEnd w:id="4895"/>
      <w:bookmarkEnd w:id="4896"/>
    </w:p>
    <w:p w14:paraId="44047FE1" w14:textId="008667B9" w:rsidR="0050235C" w:rsidRPr="00A52AB8" w:rsidRDefault="00455F9E" w:rsidP="00455F9E">
      <w:pPr>
        <w:pStyle w:val="ListParagraph"/>
        <w:ind w:leftChars="0" w:left="0"/>
        <w:rPr>
          <w:color w:val="000000" w:themeColor="text1"/>
        </w:rPr>
      </w:pPr>
      <w:r w:rsidRPr="00A52AB8">
        <w:rPr>
          <w:color w:val="000000" w:themeColor="text1"/>
        </w:rPr>
        <w:t xml:space="preserve">This process </w:t>
      </w:r>
      <w:r w:rsidR="00473425" w:rsidRPr="00A52AB8">
        <w:rPr>
          <w:color w:val="000000" w:themeColor="text1"/>
        </w:rPr>
        <w:t xml:space="preserve">can be </w:t>
      </w:r>
      <w:r w:rsidRPr="00A52AB8">
        <w:rPr>
          <w:color w:val="000000" w:themeColor="text1"/>
        </w:rPr>
        <w:t xml:space="preserve">invoked when an attribute </w:t>
      </w:r>
      <w:r w:rsidR="0050447C" w:rsidRPr="00A52AB8">
        <w:rPr>
          <w:color w:val="000000" w:themeColor="text1"/>
        </w:rPr>
        <w:t>with identifier</w:t>
      </w:r>
      <w:r w:rsidRPr="00A52AB8">
        <w:rPr>
          <w:color w:val="000000" w:themeColor="text1"/>
        </w:rPr>
        <w:t xml:space="preserve"> </w:t>
      </w:r>
      <w:r w:rsidR="0050447C" w:rsidRPr="00A52AB8">
        <w:rPr>
          <w:color w:val="000000" w:themeColor="text1"/>
        </w:rPr>
        <w:t>ATTR_TEXTURE</w:t>
      </w:r>
      <w:r w:rsidRPr="00A52AB8">
        <w:rPr>
          <w:color w:val="000000" w:themeColor="text1"/>
        </w:rPr>
        <w:t xml:space="preserve"> has three components with a chroma format indicated by decAttrChromaFormat other than 4:4:4, </w:t>
      </w:r>
      <w:r w:rsidR="00214A0A" w:rsidRPr="00A52AB8">
        <w:rPr>
          <w:color w:val="000000" w:themeColor="text1"/>
        </w:rPr>
        <w:t xml:space="preserve">and the reconstruction system has selected to perform chroma format conversion </w:t>
      </w:r>
      <w:r w:rsidRPr="00A52AB8">
        <w:rPr>
          <w:color w:val="000000" w:themeColor="text1"/>
        </w:rPr>
        <w:t>to a 4:4:4 chroma format</w:t>
      </w:r>
      <w:r w:rsidR="00276ED3" w:rsidRPr="00A52AB8">
        <w:rPr>
          <w:color w:val="000000" w:themeColor="text1"/>
        </w:rPr>
        <w:t>.</w:t>
      </w:r>
    </w:p>
    <w:p w14:paraId="5D0F48AB" w14:textId="44463A61" w:rsidR="00214A0A" w:rsidRPr="00A52AB8" w:rsidRDefault="00781BA5" w:rsidP="00E00821">
      <w:pPr>
        <w:pStyle w:val="Note1"/>
        <w:rPr>
          <w:rFonts w:ascii="Cambria" w:hAnsi="Cambria"/>
        </w:rPr>
      </w:pPr>
      <w:r w:rsidRPr="00A52AB8">
        <w:rPr>
          <w:rFonts w:ascii="Cambria" w:hAnsi="Cambria"/>
        </w:rPr>
        <w:t>NOTE </w:t>
      </w:r>
      <w:r w:rsidR="00E00821" w:rsidRPr="00496A4D">
        <w:rPr>
          <w:rFonts w:ascii="Cambria" w:hAnsi="Cambria"/>
        </w:rPr>
        <w:fldChar w:fldCharType="begin"/>
      </w:r>
      <w:r w:rsidR="00E00821" w:rsidRPr="00A52AB8">
        <w:rPr>
          <w:rFonts w:ascii="Cambria" w:hAnsi="Cambria"/>
        </w:rPr>
        <w:instrText xml:space="preserve"> SEQ NoteCounter \r 1 \* MERGEFORMAT </w:instrText>
      </w:r>
      <w:r w:rsidR="00E00821" w:rsidRPr="00496A4D">
        <w:rPr>
          <w:rFonts w:ascii="Cambria" w:hAnsi="Cambria"/>
        </w:rPr>
        <w:fldChar w:fldCharType="separate"/>
      </w:r>
      <w:r w:rsidR="00507A67">
        <w:rPr>
          <w:rFonts w:ascii="Cambria" w:hAnsi="Cambria"/>
          <w:noProof/>
        </w:rPr>
        <w:t>1</w:t>
      </w:r>
      <w:r w:rsidR="00E00821" w:rsidRPr="00496A4D">
        <w:rPr>
          <w:rFonts w:ascii="Cambria" w:hAnsi="Cambria"/>
        </w:rPr>
        <w:fldChar w:fldCharType="end"/>
      </w:r>
      <w:r w:rsidRPr="00A52AB8">
        <w:rPr>
          <w:rFonts w:ascii="Cambria" w:hAnsi="Cambria"/>
        </w:rPr>
        <w:t> – This process may also be invoked for an individual partition of an attribute with identifier ATTR_TEXTURE when that partition has three components with a chroma format indicated by decAttrChromaFormat other than 4:4:4.</w:t>
      </w:r>
    </w:p>
    <w:p w14:paraId="2E63A110" w14:textId="77777777" w:rsidR="00214A0A" w:rsidRPr="00A52AB8" w:rsidRDefault="00214A0A" w:rsidP="00214A0A">
      <w:pPr>
        <w:rPr>
          <w:lang w:eastAsia="ko-KR"/>
        </w:rPr>
      </w:pPr>
      <w:r w:rsidRPr="00A52AB8">
        <w:rPr>
          <w:lang w:eastAsia="ko-KR"/>
        </w:rPr>
        <w:t>Inputs to this process are:</w:t>
      </w:r>
    </w:p>
    <w:p w14:paraId="566D6675" w14:textId="50C430DB" w:rsidR="00B85DAC" w:rsidRPr="00A52AB8" w:rsidRDefault="00B85DA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variable</w:t>
      </w:r>
      <w:r w:rsidR="00214A0A" w:rsidRPr="00A52AB8">
        <w:rPr>
          <w:color w:val="000000" w:themeColor="text1"/>
        </w:rPr>
        <w:t xml:space="preserve"> inputHeight,</w:t>
      </w:r>
      <w:r w:rsidRPr="00A52AB8" w:rsidDel="00B85DAC">
        <w:rPr>
          <w:color w:val="000000" w:themeColor="text1"/>
        </w:rPr>
        <w:t xml:space="preserve"> </w:t>
      </w:r>
      <w:r w:rsidRPr="00A52AB8">
        <w:rPr>
          <w:color w:val="000000" w:themeColor="text1"/>
        </w:rPr>
        <w:t>indicating the height</w:t>
      </w:r>
      <w:r w:rsidR="00473425" w:rsidRPr="00A52AB8">
        <w:rPr>
          <w:color w:val="000000" w:themeColor="text1"/>
        </w:rPr>
        <w:t xml:space="preserve"> of inputChromaSamples</w:t>
      </w:r>
      <w:r w:rsidRPr="00A52AB8">
        <w:rPr>
          <w:color w:val="000000" w:themeColor="text1"/>
        </w:rPr>
        <w:t>,</w:t>
      </w:r>
    </w:p>
    <w:p w14:paraId="3F26AD97" w14:textId="40EE546F" w:rsidR="00214A0A" w:rsidRPr="00A52AB8" w:rsidRDefault="00B85DA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variable </w:t>
      </w:r>
      <w:r w:rsidR="00214A0A" w:rsidRPr="00A52AB8">
        <w:rPr>
          <w:color w:val="000000" w:themeColor="text1"/>
        </w:rPr>
        <w:t>inputWidth</w:t>
      </w:r>
      <w:r w:rsidRPr="00A52AB8">
        <w:rPr>
          <w:color w:val="000000" w:themeColor="text1"/>
        </w:rPr>
        <w:t>,</w:t>
      </w:r>
      <w:r w:rsidRPr="00A52AB8" w:rsidDel="00B85DAC">
        <w:rPr>
          <w:color w:val="000000" w:themeColor="text1"/>
        </w:rPr>
        <w:t xml:space="preserve"> </w:t>
      </w:r>
      <w:r w:rsidRPr="00A52AB8">
        <w:rPr>
          <w:color w:val="000000" w:themeColor="text1"/>
        </w:rPr>
        <w:t>indicating the width of inputChromaSamples,</w:t>
      </w:r>
    </w:p>
    <w:p w14:paraId="49DE5E56" w14:textId="1E163C7C" w:rsidR="00214A0A" w:rsidRPr="00A52AB8" w:rsidRDefault="00B85DA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variable </w:t>
      </w:r>
      <w:r w:rsidR="00214A0A" w:rsidRPr="00A52AB8">
        <w:rPr>
          <w:color w:val="000000" w:themeColor="text1"/>
        </w:rPr>
        <w:t>nominalBitDepth</w:t>
      </w:r>
      <w:r w:rsidRPr="00A52AB8">
        <w:rPr>
          <w:color w:val="000000" w:themeColor="text1"/>
        </w:rPr>
        <w:t>, indicating the chroma bit depth,</w:t>
      </w:r>
    </w:p>
    <w:p w14:paraId="61008ADD" w14:textId="77777777" w:rsidR="0050235C" w:rsidRPr="00A52AB8" w:rsidRDefault="002D1AC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variable chromaFormat,</w:t>
      </w:r>
    </w:p>
    <w:p w14:paraId="23A92C79" w14:textId="3F45CEEB" w:rsidR="00473425" w:rsidRPr="00A52AB8" w:rsidRDefault="002D1AC3" w:rsidP="00743B88">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variable chromaSamplingPosition</w:t>
      </w:r>
      <w:r w:rsidR="00747BF5" w:rsidRPr="00A52AB8">
        <w:rPr>
          <w:color w:val="000000" w:themeColor="text1"/>
        </w:rPr>
        <w:t>, and</w:t>
      </w:r>
    </w:p>
    <w:p w14:paraId="4CF7C902" w14:textId="7BDC3AF5" w:rsidR="00747BF5" w:rsidRPr="00A52AB8" w:rsidRDefault="00747BF5" w:rsidP="00D451D4">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3D array inputChromaSamples, of size iNumComp × inputHeight × inputWidth.</w:t>
      </w:r>
    </w:p>
    <w:p w14:paraId="5635E904" w14:textId="77777777" w:rsidR="0050235C" w:rsidRPr="00A52AB8" w:rsidRDefault="00214A0A">
      <w:p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textAlignment w:val="baseline"/>
        <w:rPr>
          <w:lang w:eastAsia="ko-KR"/>
        </w:rPr>
      </w:pPr>
      <w:r w:rsidRPr="00A52AB8">
        <w:rPr>
          <w:lang w:eastAsia="ko-KR"/>
        </w:rPr>
        <w:t>Output of this process is</w:t>
      </w:r>
      <w:r w:rsidR="00D575DC" w:rsidRPr="00A52AB8">
        <w:rPr>
          <w:lang w:eastAsia="ko-KR"/>
        </w:rPr>
        <w:t>:</w:t>
      </w:r>
    </w:p>
    <w:p w14:paraId="72D5D2F8" w14:textId="741FD560" w:rsidR="00214A0A" w:rsidRPr="00A52AB8" w:rsidRDefault="00214A0A"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w:t>
      </w:r>
      <w:r w:rsidR="00747BF5" w:rsidRPr="00A52AB8">
        <w:rPr>
          <w:color w:val="000000" w:themeColor="text1"/>
        </w:rPr>
        <w:t>3</w:t>
      </w:r>
      <w:r w:rsidR="00420079" w:rsidRPr="00A52AB8">
        <w:rPr>
          <w:color w:val="000000" w:themeColor="text1"/>
        </w:rPr>
        <w:t>D</w:t>
      </w:r>
      <w:r w:rsidRPr="00A52AB8">
        <w:rPr>
          <w:color w:val="000000" w:themeColor="text1"/>
        </w:rPr>
        <w:t xml:space="preserve"> array</w:t>
      </w:r>
      <w:r w:rsidR="00747BF5" w:rsidRPr="00A52AB8">
        <w:rPr>
          <w:color w:val="000000" w:themeColor="text1"/>
        </w:rPr>
        <w:t xml:space="preserve"> outputChromaSamples</w:t>
      </w:r>
      <w:r w:rsidR="00D575DC" w:rsidRPr="00A52AB8">
        <w:rPr>
          <w:color w:val="000000" w:themeColor="text1"/>
        </w:rPr>
        <w:t xml:space="preserve">, of size </w:t>
      </w:r>
      <w:r w:rsidR="00747BF5" w:rsidRPr="00A52AB8">
        <w:rPr>
          <w:color w:val="000000" w:themeColor="text1"/>
        </w:rPr>
        <w:t>iNumComp × inputHeight × inputWidth</w:t>
      </w:r>
      <w:r w:rsidR="00D575DC" w:rsidRPr="00A52AB8">
        <w:rPr>
          <w:color w:val="000000" w:themeColor="text1"/>
        </w:rPr>
        <w:t>,</w:t>
      </w:r>
      <w:r w:rsidRPr="00A52AB8">
        <w:rPr>
          <w:color w:val="000000" w:themeColor="text1"/>
        </w:rPr>
        <w:t xml:space="preserve"> of up</w:t>
      </w:r>
      <w:r w:rsidR="00473425" w:rsidRPr="00A52AB8">
        <w:rPr>
          <w:color w:val="000000" w:themeColor="text1"/>
        </w:rPr>
        <w:noBreakHyphen/>
      </w:r>
      <w:r w:rsidRPr="00A52AB8">
        <w:rPr>
          <w:color w:val="000000" w:themeColor="text1"/>
        </w:rPr>
        <w:t>sampled chroma values.</w:t>
      </w:r>
    </w:p>
    <w:p w14:paraId="21A99B70" w14:textId="25AF34B2" w:rsidR="00273489" w:rsidRPr="00A52AB8" w:rsidRDefault="00273489" w:rsidP="00214A0A">
      <w:pPr>
        <w:rPr>
          <w:lang w:eastAsia="ko-KR"/>
        </w:rPr>
      </w:pPr>
      <w:r w:rsidRPr="00A52AB8">
        <w:rPr>
          <w:lang w:eastAsia="ko-KR"/>
        </w:rPr>
        <w:t xml:space="preserve">Assuming that the </w:t>
      </w:r>
      <w:r w:rsidRPr="00A52AB8">
        <w:rPr>
          <w:color w:val="000000" w:themeColor="text1"/>
        </w:rPr>
        <w:t xml:space="preserve">chromaFormat </w:t>
      </w:r>
      <w:r w:rsidR="0077442A" w:rsidRPr="00A52AB8">
        <w:rPr>
          <w:color w:val="000000" w:themeColor="text1"/>
        </w:rPr>
        <w:t xml:space="preserve">indicates </w:t>
      </w:r>
      <w:r w:rsidR="00D90231" w:rsidRPr="00A52AB8">
        <w:rPr>
          <w:color w:val="000000" w:themeColor="text1"/>
        </w:rPr>
        <w:t xml:space="preserve">the 4:2:0 </w:t>
      </w:r>
      <w:r w:rsidR="0077442A" w:rsidRPr="00A52AB8">
        <w:rPr>
          <w:color w:val="000000" w:themeColor="text1"/>
        </w:rPr>
        <w:t xml:space="preserve">chroma format </w:t>
      </w:r>
      <w:r w:rsidRPr="00A52AB8">
        <w:rPr>
          <w:color w:val="000000" w:themeColor="text1"/>
        </w:rPr>
        <w:t>and the chromaSamplingPosition is equal to 0</w:t>
      </w:r>
      <w:r w:rsidR="0077442A" w:rsidRPr="00A52AB8">
        <w:rPr>
          <w:color w:val="000000" w:themeColor="text1"/>
        </w:rPr>
        <w:t>,</w:t>
      </w:r>
      <w:r w:rsidRPr="00A52AB8">
        <w:rPr>
          <w:color w:val="000000" w:themeColor="text1"/>
        </w:rPr>
        <w:t xml:space="preserve"> an example </w:t>
      </w:r>
      <w:r w:rsidR="0077442A" w:rsidRPr="00A52AB8">
        <w:rPr>
          <w:color w:val="000000" w:themeColor="text1"/>
        </w:rPr>
        <w:t>chroma conversion process is specified as follows:</w:t>
      </w:r>
    </w:p>
    <w:p w14:paraId="100B6A1C" w14:textId="46073C27" w:rsidR="00214A0A" w:rsidRPr="00A52AB8" w:rsidRDefault="0003589C" w:rsidP="00F01345">
      <w:pPr>
        <w:rPr>
          <w:b/>
          <w:color w:val="000000" w:themeColor="text1"/>
        </w:rPr>
      </w:pPr>
      <w:r w:rsidRPr="00496A4D">
        <w:rPr>
          <w:color w:val="000000" w:themeColor="text1"/>
        </w:rPr>
        <w:fldChar w:fldCharType="begin"/>
      </w:r>
      <w:r w:rsidRPr="00A52AB8">
        <w:rPr>
          <w:color w:val="000000" w:themeColor="text1"/>
        </w:rPr>
        <w:instrText xml:space="preserve"> REF _Ref48315162 \h  \* MERGEFORMAT </w:instrText>
      </w:r>
      <w:r w:rsidRPr="00496A4D">
        <w:rPr>
          <w:color w:val="000000" w:themeColor="text1"/>
        </w:rPr>
      </w:r>
      <w:r w:rsidRPr="00496A4D">
        <w:rPr>
          <w:color w:val="000000" w:themeColor="text1"/>
        </w:rPr>
        <w:fldChar w:fldCharType="separate"/>
      </w:r>
      <w:r w:rsidR="00507A67" w:rsidRPr="00507A67">
        <w:t>Table B-1</w:t>
      </w:r>
      <w:r w:rsidRPr="00496A4D">
        <w:rPr>
          <w:color w:val="000000" w:themeColor="text1"/>
        </w:rPr>
        <w:fldChar w:fldCharType="end"/>
      </w:r>
      <w:r w:rsidR="00214A0A" w:rsidRPr="00A52AB8">
        <w:rPr>
          <w:color w:val="000000" w:themeColor="text1"/>
        </w:rPr>
        <w:t xml:space="preserve"> specifies the 4-tap filter coefficients f</w:t>
      </w:r>
      <w:r w:rsidR="00214A0A" w:rsidRPr="00A52AB8">
        <w:rPr>
          <w:color w:val="000000" w:themeColor="text1"/>
          <w:vertAlign w:val="subscript"/>
        </w:rPr>
        <w:t>C</w:t>
      </w:r>
      <w:r w:rsidR="00214A0A" w:rsidRPr="00A52AB8">
        <w:rPr>
          <w:color w:val="000000" w:themeColor="text1"/>
        </w:rPr>
        <w:t>[ p, x ] with p</w:t>
      </w:r>
      <w:r w:rsidR="00D47707" w:rsidRPr="00A52AB8">
        <w:rPr>
          <w:color w:val="000000" w:themeColor="text1"/>
        </w:rPr>
        <w:t> = </w:t>
      </w:r>
      <w:r w:rsidR="00214A0A" w:rsidRPr="00A52AB8">
        <w:rPr>
          <w:color w:val="000000" w:themeColor="text1"/>
        </w:rPr>
        <w:t>0..1 and x</w:t>
      </w:r>
      <w:r w:rsidR="00D47707" w:rsidRPr="00A52AB8">
        <w:rPr>
          <w:color w:val="000000" w:themeColor="text1"/>
        </w:rPr>
        <w:t> = </w:t>
      </w:r>
      <w:r w:rsidR="00214A0A" w:rsidRPr="00A52AB8">
        <w:rPr>
          <w:color w:val="000000" w:themeColor="text1"/>
        </w:rPr>
        <w:t>0..3 that is used for up</w:t>
      </w:r>
      <w:r w:rsidR="00473425" w:rsidRPr="00A52AB8">
        <w:rPr>
          <w:color w:val="000000" w:themeColor="text1"/>
        </w:rPr>
        <w:noBreakHyphen/>
      </w:r>
      <w:r w:rsidR="00214A0A" w:rsidRPr="00A52AB8">
        <w:rPr>
          <w:color w:val="000000" w:themeColor="text1"/>
        </w:rPr>
        <w:t>sam</w:t>
      </w:r>
      <w:r w:rsidR="00F22BD1" w:rsidRPr="00A52AB8">
        <w:rPr>
          <w:color w:val="000000" w:themeColor="text1"/>
        </w:rPr>
        <w:t>p</w:t>
      </w:r>
      <w:r w:rsidR="00214A0A" w:rsidRPr="00A52AB8">
        <w:rPr>
          <w:color w:val="000000" w:themeColor="text1"/>
        </w:rPr>
        <w:t>ling by a factor of 2. The same filter is applied both vertically and horizontally.</w:t>
      </w:r>
    </w:p>
    <w:p w14:paraId="20F26AF2" w14:textId="14D7BD40" w:rsidR="00D136E3" w:rsidRPr="00A52AB8" w:rsidRDefault="001E5EE6" w:rsidP="00D136E3">
      <w:pPr>
        <w:jc w:val="center"/>
      </w:pPr>
      <w:bookmarkStart w:id="4897" w:name="_Ref47360797"/>
      <w:bookmarkStart w:id="4898" w:name="_Ref48315162"/>
      <w:r w:rsidRPr="00A52AB8">
        <w:rPr>
          <w:b/>
          <w:bCs/>
        </w:rPr>
        <w:t>Table</w:t>
      </w:r>
      <w:bookmarkEnd w:id="4897"/>
      <w:r w:rsidRPr="00A52AB8">
        <w:rPr>
          <w:b/>
          <w:bCs/>
        </w:rPr>
        <w:t xml:space="preserve"> B-</w:t>
      </w:r>
      <w:r w:rsidRPr="00496A4D">
        <w:rPr>
          <w:b/>
          <w:bCs/>
        </w:rPr>
        <w:fldChar w:fldCharType="begin"/>
      </w:r>
      <w:r w:rsidRPr="00A52AB8">
        <w:rPr>
          <w:b/>
          <w:bCs/>
        </w:rPr>
        <w:instrText xml:space="preserve"> SEQ Table \* ARABIC \r 1</w:instrText>
      </w:r>
      <w:r w:rsidRPr="00496A4D">
        <w:rPr>
          <w:b/>
          <w:bCs/>
        </w:rPr>
        <w:fldChar w:fldCharType="separate"/>
      </w:r>
      <w:r w:rsidR="00507A67">
        <w:rPr>
          <w:b/>
          <w:bCs/>
          <w:noProof/>
        </w:rPr>
        <w:t>1</w:t>
      </w:r>
      <w:r w:rsidRPr="00496A4D">
        <w:rPr>
          <w:b/>
          <w:bCs/>
        </w:rPr>
        <w:fldChar w:fldCharType="end"/>
      </w:r>
      <w:bookmarkEnd w:id="4898"/>
      <w:r w:rsidR="001604C8" w:rsidRPr="00A52AB8">
        <w:rPr>
          <w:rFonts w:cs="Calibri"/>
          <w:bCs/>
        </w:rPr>
        <w:t> </w:t>
      </w:r>
      <w:r w:rsidR="001604C8" w:rsidRPr="00A52AB8">
        <w:t>– </w:t>
      </w:r>
      <w:r w:rsidR="00D136E3" w:rsidRPr="00A52AB8">
        <w:rPr>
          <w:b/>
          <w:bCs/>
          <w:sz w:val="21"/>
          <w:szCs w:val="21"/>
        </w:rPr>
        <w:t>4-phase chroma resampling filter</w:t>
      </w:r>
    </w:p>
    <w:tbl>
      <w:tblPr>
        <w:tblStyle w:val="TableGrid"/>
        <w:tblW w:w="0" w:type="auto"/>
        <w:jc w:val="center"/>
        <w:tblLook w:val="04A0" w:firstRow="1" w:lastRow="0" w:firstColumn="1" w:lastColumn="0" w:noHBand="0" w:noVBand="1"/>
      </w:tblPr>
      <w:tblGrid>
        <w:gridCol w:w="998"/>
        <w:gridCol w:w="974"/>
        <w:gridCol w:w="974"/>
        <w:gridCol w:w="974"/>
        <w:gridCol w:w="974"/>
      </w:tblGrid>
      <w:tr w:rsidR="00D136E3" w:rsidRPr="00A52AB8" w14:paraId="22D2BAC4" w14:textId="77777777" w:rsidTr="00D136E3">
        <w:trPr>
          <w:jc w:val="center"/>
        </w:trPr>
        <w:tc>
          <w:tcPr>
            <w:tcW w:w="0" w:type="auto"/>
            <w:vMerge w:val="restart"/>
            <w:vAlign w:val="center"/>
          </w:tcPr>
          <w:p w14:paraId="0EFD974A" w14:textId="77777777" w:rsidR="00D136E3" w:rsidRPr="00A52AB8" w:rsidRDefault="00D136E3" w:rsidP="00D136E3">
            <w:pPr>
              <w:tabs>
                <w:tab w:val="clear" w:pos="403"/>
                <w:tab w:val="left" w:pos="720"/>
              </w:tabs>
              <w:spacing w:after="0" w:line="240" w:lineRule="auto"/>
              <w:contextualSpacing/>
              <w:jc w:val="center"/>
              <w:rPr>
                <w:rFonts w:cs="Calibri"/>
                <w:b/>
              </w:rPr>
            </w:pPr>
            <w:r w:rsidRPr="00A52AB8">
              <w:rPr>
                <w:rFonts w:cs="Calibri"/>
                <w:b/>
              </w:rPr>
              <w:t>Phase p</w:t>
            </w:r>
          </w:p>
        </w:tc>
        <w:tc>
          <w:tcPr>
            <w:tcW w:w="0" w:type="auto"/>
            <w:gridSpan w:val="4"/>
            <w:vAlign w:val="center"/>
          </w:tcPr>
          <w:p w14:paraId="31A1AF66" w14:textId="77777777" w:rsidR="00D136E3" w:rsidRPr="00A52AB8" w:rsidRDefault="00D136E3" w:rsidP="00D136E3">
            <w:pPr>
              <w:tabs>
                <w:tab w:val="clear" w:pos="403"/>
                <w:tab w:val="left" w:pos="720"/>
              </w:tabs>
              <w:spacing w:after="0" w:line="240" w:lineRule="auto"/>
              <w:contextualSpacing/>
              <w:jc w:val="center"/>
              <w:rPr>
                <w:rFonts w:cs="Calibri"/>
                <w:b/>
              </w:rPr>
            </w:pPr>
            <w:r w:rsidRPr="00A52AB8">
              <w:rPr>
                <w:rFonts w:cs="Calibri"/>
                <w:b/>
              </w:rPr>
              <w:t>Interpolation coefficients</w:t>
            </w:r>
          </w:p>
        </w:tc>
      </w:tr>
      <w:tr w:rsidR="00D136E3" w:rsidRPr="00A52AB8" w14:paraId="70B50F89" w14:textId="77777777" w:rsidTr="00D136E3">
        <w:trPr>
          <w:jc w:val="center"/>
        </w:trPr>
        <w:tc>
          <w:tcPr>
            <w:tcW w:w="0" w:type="auto"/>
            <w:vMerge/>
            <w:vAlign w:val="center"/>
          </w:tcPr>
          <w:p w14:paraId="0953BB76" w14:textId="77777777" w:rsidR="00D136E3" w:rsidRPr="00A52AB8" w:rsidRDefault="00D136E3" w:rsidP="00D136E3">
            <w:pPr>
              <w:tabs>
                <w:tab w:val="clear" w:pos="403"/>
                <w:tab w:val="left" w:pos="720"/>
              </w:tabs>
              <w:spacing w:after="0" w:line="240" w:lineRule="auto"/>
              <w:contextualSpacing/>
              <w:jc w:val="center"/>
              <w:rPr>
                <w:rFonts w:cs="Calibri"/>
                <w:b/>
              </w:rPr>
            </w:pPr>
          </w:p>
        </w:tc>
        <w:tc>
          <w:tcPr>
            <w:tcW w:w="0" w:type="auto"/>
            <w:vAlign w:val="center"/>
          </w:tcPr>
          <w:p w14:paraId="6C4B5191" w14:textId="77777777" w:rsidR="00D136E3" w:rsidRPr="00A52AB8" w:rsidRDefault="00D136E3" w:rsidP="00D136E3">
            <w:pPr>
              <w:tabs>
                <w:tab w:val="clear" w:pos="403"/>
                <w:tab w:val="left" w:pos="720"/>
              </w:tabs>
              <w:spacing w:after="0" w:line="240" w:lineRule="auto"/>
              <w:contextualSpacing/>
              <w:jc w:val="center"/>
              <w:rPr>
                <w:rFonts w:cs="Calibri"/>
                <w:b/>
              </w:rPr>
            </w:pPr>
            <w:r w:rsidRPr="00A52AB8">
              <w:rPr>
                <w:rFonts w:cs="Calibri"/>
                <w:b/>
              </w:rPr>
              <w:t>f</w:t>
            </w:r>
            <w:r w:rsidRPr="00A52AB8">
              <w:rPr>
                <w:rFonts w:cs="Calibri"/>
                <w:b/>
                <w:vertAlign w:val="subscript"/>
              </w:rPr>
              <w:t>c</w:t>
            </w:r>
            <w:r w:rsidRPr="00A52AB8">
              <w:rPr>
                <w:rFonts w:cs="Calibri"/>
                <w:b/>
              </w:rPr>
              <w:t>[</w:t>
            </w:r>
            <w:r w:rsidR="00B708DD" w:rsidRPr="00A52AB8">
              <w:rPr>
                <w:rFonts w:cs="Calibri"/>
                <w:b/>
              </w:rPr>
              <w:t> </w:t>
            </w:r>
            <w:r w:rsidRPr="00A52AB8">
              <w:rPr>
                <w:rFonts w:cs="Calibri"/>
                <w:b/>
              </w:rPr>
              <w:t>p,</w:t>
            </w:r>
            <w:r w:rsidR="00B708DD" w:rsidRPr="00A52AB8">
              <w:rPr>
                <w:rFonts w:cs="Calibri"/>
                <w:b/>
              </w:rPr>
              <w:t> </w:t>
            </w:r>
            <w:r w:rsidR="00214A0A" w:rsidRPr="00A52AB8">
              <w:rPr>
                <w:rFonts w:cs="Calibri"/>
                <w:b/>
              </w:rPr>
              <w:t>0</w:t>
            </w:r>
            <w:r w:rsidR="00B708DD" w:rsidRPr="00A52AB8">
              <w:rPr>
                <w:rFonts w:cs="Calibri"/>
                <w:b/>
              </w:rPr>
              <w:t> </w:t>
            </w:r>
            <w:r w:rsidRPr="00A52AB8">
              <w:rPr>
                <w:rFonts w:cs="Calibri"/>
                <w:b/>
              </w:rPr>
              <w:t>]</w:t>
            </w:r>
          </w:p>
        </w:tc>
        <w:tc>
          <w:tcPr>
            <w:tcW w:w="0" w:type="auto"/>
            <w:vAlign w:val="center"/>
          </w:tcPr>
          <w:p w14:paraId="20850E41" w14:textId="77777777" w:rsidR="00D136E3" w:rsidRPr="00A52AB8" w:rsidRDefault="00D136E3" w:rsidP="00D136E3">
            <w:pPr>
              <w:tabs>
                <w:tab w:val="clear" w:pos="403"/>
                <w:tab w:val="left" w:pos="720"/>
              </w:tabs>
              <w:spacing w:after="0" w:line="240" w:lineRule="auto"/>
              <w:contextualSpacing/>
              <w:jc w:val="center"/>
              <w:rPr>
                <w:rFonts w:cs="Calibri"/>
                <w:b/>
              </w:rPr>
            </w:pPr>
            <w:r w:rsidRPr="00A52AB8">
              <w:rPr>
                <w:rFonts w:cs="Calibri"/>
                <w:b/>
              </w:rPr>
              <w:t>f</w:t>
            </w:r>
            <w:r w:rsidRPr="00A52AB8">
              <w:rPr>
                <w:rFonts w:cs="Calibri"/>
                <w:b/>
                <w:vertAlign w:val="subscript"/>
              </w:rPr>
              <w:t>c</w:t>
            </w:r>
            <w:r w:rsidRPr="00A52AB8">
              <w:rPr>
                <w:rFonts w:cs="Calibri"/>
                <w:b/>
              </w:rPr>
              <w:t>[</w:t>
            </w:r>
            <w:r w:rsidR="00B708DD" w:rsidRPr="00A52AB8">
              <w:rPr>
                <w:rFonts w:cs="Calibri"/>
                <w:b/>
              </w:rPr>
              <w:t> </w:t>
            </w:r>
            <w:r w:rsidRPr="00A52AB8">
              <w:rPr>
                <w:rFonts w:cs="Calibri"/>
                <w:b/>
              </w:rPr>
              <w:t>p,</w:t>
            </w:r>
            <w:r w:rsidR="00B708DD" w:rsidRPr="00A52AB8">
              <w:rPr>
                <w:rFonts w:cs="Calibri"/>
                <w:b/>
              </w:rPr>
              <w:t> </w:t>
            </w:r>
            <w:r w:rsidR="00214A0A" w:rsidRPr="00A52AB8">
              <w:rPr>
                <w:rFonts w:cs="Calibri"/>
                <w:b/>
              </w:rPr>
              <w:t>1</w:t>
            </w:r>
            <w:r w:rsidR="00B708DD" w:rsidRPr="00A52AB8">
              <w:rPr>
                <w:rFonts w:cs="Calibri"/>
                <w:b/>
              </w:rPr>
              <w:t> </w:t>
            </w:r>
            <w:r w:rsidRPr="00A52AB8">
              <w:rPr>
                <w:rFonts w:cs="Calibri"/>
                <w:b/>
              </w:rPr>
              <w:t>]</w:t>
            </w:r>
          </w:p>
        </w:tc>
        <w:tc>
          <w:tcPr>
            <w:tcW w:w="0" w:type="auto"/>
            <w:vAlign w:val="center"/>
          </w:tcPr>
          <w:p w14:paraId="2B80A0B7" w14:textId="77777777" w:rsidR="00D136E3" w:rsidRPr="00A52AB8" w:rsidRDefault="00D136E3" w:rsidP="00D136E3">
            <w:pPr>
              <w:tabs>
                <w:tab w:val="clear" w:pos="403"/>
                <w:tab w:val="left" w:pos="720"/>
              </w:tabs>
              <w:spacing w:after="0" w:line="240" w:lineRule="auto"/>
              <w:contextualSpacing/>
              <w:jc w:val="center"/>
              <w:rPr>
                <w:rFonts w:cs="Calibri"/>
                <w:b/>
              </w:rPr>
            </w:pPr>
            <w:r w:rsidRPr="00A52AB8">
              <w:rPr>
                <w:rFonts w:cs="Calibri"/>
                <w:b/>
              </w:rPr>
              <w:t>f</w:t>
            </w:r>
            <w:r w:rsidRPr="00A52AB8">
              <w:rPr>
                <w:rFonts w:cs="Calibri"/>
                <w:b/>
                <w:vertAlign w:val="subscript"/>
              </w:rPr>
              <w:t>c</w:t>
            </w:r>
            <w:r w:rsidRPr="00A52AB8">
              <w:rPr>
                <w:rFonts w:cs="Calibri"/>
                <w:b/>
              </w:rPr>
              <w:t>[</w:t>
            </w:r>
            <w:r w:rsidR="00B708DD" w:rsidRPr="00A52AB8">
              <w:rPr>
                <w:rFonts w:cs="Calibri"/>
                <w:b/>
              </w:rPr>
              <w:t> </w:t>
            </w:r>
            <w:r w:rsidRPr="00A52AB8">
              <w:rPr>
                <w:rFonts w:cs="Calibri"/>
                <w:b/>
              </w:rPr>
              <w:t>p,</w:t>
            </w:r>
            <w:r w:rsidR="00B708DD" w:rsidRPr="00A52AB8">
              <w:rPr>
                <w:rFonts w:cs="Calibri"/>
                <w:b/>
              </w:rPr>
              <w:t> </w:t>
            </w:r>
            <w:r w:rsidR="00214A0A" w:rsidRPr="00A52AB8">
              <w:rPr>
                <w:rFonts w:cs="Calibri"/>
                <w:b/>
              </w:rPr>
              <w:t>2</w:t>
            </w:r>
            <w:r w:rsidR="00B708DD" w:rsidRPr="00A52AB8">
              <w:rPr>
                <w:rFonts w:cs="Calibri"/>
                <w:b/>
              </w:rPr>
              <w:t> </w:t>
            </w:r>
            <w:r w:rsidRPr="00A52AB8">
              <w:rPr>
                <w:rFonts w:cs="Calibri"/>
                <w:b/>
              </w:rPr>
              <w:t>]</w:t>
            </w:r>
          </w:p>
        </w:tc>
        <w:tc>
          <w:tcPr>
            <w:tcW w:w="0" w:type="auto"/>
            <w:vAlign w:val="center"/>
          </w:tcPr>
          <w:p w14:paraId="00A262CD" w14:textId="77777777" w:rsidR="00D136E3" w:rsidRPr="00A52AB8" w:rsidRDefault="00D136E3" w:rsidP="00D136E3">
            <w:pPr>
              <w:tabs>
                <w:tab w:val="clear" w:pos="403"/>
                <w:tab w:val="left" w:pos="720"/>
              </w:tabs>
              <w:spacing w:after="0" w:line="240" w:lineRule="auto"/>
              <w:contextualSpacing/>
              <w:jc w:val="center"/>
              <w:rPr>
                <w:rFonts w:cs="Calibri"/>
                <w:b/>
              </w:rPr>
            </w:pPr>
            <w:r w:rsidRPr="00A52AB8">
              <w:rPr>
                <w:rFonts w:cs="Calibri"/>
                <w:b/>
              </w:rPr>
              <w:t>f</w:t>
            </w:r>
            <w:r w:rsidRPr="00A52AB8">
              <w:rPr>
                <w:rFonts w:cs="Calibri"/>
                <w:b/>
                <w:vertAlign w:val="subscript"/>
              </w:rPr>
              <w:t>c</w:t>
            </w:r>
            <w:r w:rsidRPr="00A52AB8">
              <w:rPr>
                <w:rFonts w:cs="Calibri"/>
                <w:b/>
              </w:rPr>
              <w:t>[</w:t>
            </w:r>
            <w:r w:rsidR="00B708DD" w:rsidRPr="00A52AB8">
              <w:rPr>
                <w:rFonts w:cs="Calibri"/>
                <w:b/>
              </w:rPr>
              <w:t> </w:t>
            </w:r>
            <w:r w:rsidRPr="00A52AB8">
              <w:rPr>
                <w:rFonts w:cs="Calibri"/>
                <w:b/>
              </w:rPr>
              <w:t>p,</w:t>
            </w:r>
            <w:r w:rsidR="00B708DD" w:rsidRPr="00A52AB8">
              <w:rPr>
                <w:rFonts w:cs="Calibri"/>
                <w:b/>
              </w:rPr>
              <w:t> </w:t>
            </w:r>
            <w:r w:rsidR="00214A0A" w:rsidRPr="00A52AB8">
              <w:rPr>
                <w:rFonts w:cs="Calibri"/>
                <w:b/>
              </w:rPr>
              <w:t>3</w:t>
            </w:r>
            <w:r w:rsidR="00B708DD" w:rsidRPr="00A52AB8">
              <w:rPr>
                <w:rFonts w:cs="Calibri"/>
                <w:b/>
              </w:rPr>
              <w:t> </w:t>
            </w:r>
            <w:r w:rsidRPr="00A52AB8">
              <w:rPr>
                <w:rFonts w:cs="Calibri"/>
                <w:b/>
              </w:rPr>
              <w:t>]</w:t>
            </w:r>
          </w:p>
        </w:tc>
      </w:tr>
      <w:tr w:rsidR="00D136E3" w:rsidRPr="00A52AB8" w14:paraId="0802FFC7" w14:textId="77777777" w:rsidTr="00D136E3">
        <w:trPr>
          <w:jc w:val="center"/>
        </w:trPr>
        <w:tc>
          <w:tcPr>
            <w:tcW w:w="0" w:type="auto"/>
            <w:vAlign w:val="center"/>
          </w:tcPr>
          <w:p w14:paraId="6D21FC65" w14:textId="77777777" w:rsidR="00D136E3" w:rsidRPr="00A52AB8" w:rsidRDefault="00D136E3" w:rsidP="00D136E3">
            <w:pPr>
              <w:tabs>
                <w:tab w:val="clear" w:pos="403"/>
                <w:tab w:val="left" w:pos="720"/>
              </w:tabs>
              <w:spacing w:after="0" w:line="240" w:lineRule="auto"/>
              <w:contextualSpacing/>
              <w:jc w:val="center"/>
              <w:rPr>
                <w:rFonts w:cs="Calibri"/>
              </w:rPr>
            </w:pPr>
            <w:r w:rsidRPr="00A52AB8">
              <w:rPr>
                <w:rFonts w:cs="Calibri"/>
              </w:rPr>
              <w:t>0</w:t>
            </w:r>
          </w:p>
        </w:tc>
        <w:tc>
          <w:tcPr>
            <w:tcW w:w="0" w:type="auto"/>
            <w:vAlign w:val="center"/>
          </w:tcPr>
          <w:p w14:paraId="4BDC9D36" w14:textId="77777777" w:rsidR="00D136E3" w:rsidRPr="00A52AB8" w:rsidRDefault="00D136E3" w:rsidP="00D136E3">
            <w:pPr>
              <w:tabs>
                <w:tab w:val="clear" w:pos="403"/>
                <w:tab w:val="left" w:pos="720"/>
              </w:tabs>
              <w:spacing w:after="0" w:line="240" w:lineRule="auto"/>
              <w:contextualSpacing/>
              <w:jc w:val="center"/>
              <w:rPr>
                <w:rFonts w:cs="Calibri"/>
              </w:rPr>
            </w:pPr>
            <w:r w:rsidRPr="00A52AB8">
              <w:rPr>
                <w:rFonts w:cs="Calibri"/>
              </w:rPr>
              <w:t>0</w:t>
            </w:r>
          </w:p>
        </w:tc>
        <w:tc>
          <w:tcPr>
            <w:tcW w:w="0" w:type="auto"/>
            <w:vAlign w:val="center"/>
          </w:tcPr>
          <w:p w14:paraId="6987F775" w14:textId="77777777" w:rsidR="00D136E3" w:rsidRPr="00A52AB8" w:rsidRDefault="00817500" w:rsidP="00D136E3">
            <w:pPr>
              <w:tabs>
                <w:tab w:val="clear" w:pos="403"/>
                <w:tab w:val="left" w:pos="720"/>
              </w:tabs>
              <w:spacing w:after="0" w:line="240" w:lineRule="auto"/>
              <w:contextualSpacing/>
              <w:jc w:val="center"/>
              <w:rPr>
                <w:rFonts w:cs="Calibri"/>
              </w:rPr>
            </w:pPr>
            <w:r w:rsidRPr="00A52AB8">
              <w:rPr>
                <w:rFonts w:cs="Calibri"/>
              </w:rPr>
              <w:t>1</w:t>
            </w:r>
            <w:r w:rsidR="00786345" w:rsidRPr="00A52AB8">
              <w:rPr>
                <w:rFonts w:cs="Calibri"/>
              </w:rPr>
              <w:t>6</w:t>
            </w:r>
          </w:p>
        </w:tc>
        <w:tc>
          <w:tcPr>
            <w:tcW w:w="0" w:type="auto"/>
            <w:vAlign w:val="center"/>
          </w:tcPr>
          <w:p w14:paraId="202D315A" w14:textId="77777777" w:rsidR="00D136E3" w:rsidRPr="00A52AB8" w:rsidRDefault="00D136E3" w:rsidP="00D136E3">
            <w:pPr>
              <w:tabs>
                <w:tab w:val="clear" w:pos="403"/>
                <w:tab w:val="left" w:pos="720"/>
              </w:tabs>
              <w:spacing w:after="0" w:line="240" w:lineRule="auto"/>
              <w:contextualSpacing/>
              <w:jc w:val="center"/>
              <w:rPr>
                <w:rFonts w:cs="Calibri"/>
              </w:rPr>
            </w:pPr>
            <w:r w:rsidRPr="00A52AB8">
              <w:rPr>
                <w:rFonts w:cs="Calibri"/>
              </w:rPr>
              <w:t>0</w:t>
            </w:r>
          </w:p>
        </w:tc>
        <w:tc>
          <w:tcPr>
            <w:tcW w:w="0" w:type="auto"/>
            <w:vAlign w:val="center"/>
          </w:tcPr>
          <w:p w14:paraId="00CB081D" w14:textId="77777777" w:rsidR="00D136E3" w:rsidRPr="00A52AB8" w:rsidRDefault="00D136E3" w:rsidP="00D136E3">
            <w:pPr>
              <w:tabs>
                <w:tab w:val="clear" w:pos="403"/>
                <w:tab w:val="left" w:pos="720"/>
              </w:tabs>
              <w:spacing w:after="0" w:line="240" w:lineRule="auto"/>
              <w:contextualSpacing/>
              <w:jc w:val="center"/>
              <w:rPr>
                <w:rFonts w:cs="Calibri"/>
              </w:rPr>
            </w:pPr>
            <w:r w:rsidRPr="00A52AB8">
              <w:rPr>
                <w:rFonts w:cs="Calibri"/>
              </w:rPr>
              <w:t>0</w:t>
            </w:r>
          </w:p>
        </w:tc>
      </w:tr>
      <w:tr w:rsidR="00D136E3" w:rsidRPr="00A52AB8" w14:paraId="3ABF7008" w14:textId="77777777" w:rsidTr="00D136E3">
        <w:trPr>
          <w:jc w:val="center"/>
        </w:trPr>
        <w:tc>
          <w:tcPr>
            <w:tcW w:w="0" w:type="auto"/>
            <w:vAlign w:val="center"/>
          </w:tcPr>
          <w:p w14:paraId="761B3475" w14:textId="77777777" w:rsidR="00D136E3" w:rsidRPr="00A52AB8" w:rsidRDefault="00D136E3" w:rsidP="00D136E3">
            <w:pPr>
              <w:tabs>
                <w:tab w:val="clear" w:pos="403"/>
                <w:tab w:val="left" w:pos="720"/>
              </w:tabs>
              <w:spacing w:after="0" w:line="240" w:lineRule="auto"/>
              <w:contextualSpacing/>
              <w:jc w:val="center"/>
              <w:rPr>
                <w:rFonts w:cs="Calibri"/>
              </w:rPr>
            </w:pPr>
            <w:r w:rsidRPr="00A52AB8">
              <w:rPr>
                <w:rFonts w:cs="Calibri"/>
              </w:rPr>
              <w:t>1</w:t>
            </w:r>
          </w:p>
        </w:tc>
        <w:tc>
          <w:tcPr>
            <w:tcW w:w="0" w:type="auto"/>
            <w:vAlign w:val="center"/>
          </w:tcPr>
          <w:p w14:paraId="0CB85692" w14:textId="77777777" w:rsidR="00D136E3" w:rsidRPr="00A52AB8" w:rsidRDefault="00D136E3" w:rsidP="00D136E3">
            <w:pPr>
              <w:tabs>
                <w:tab w:val="clear" w:pos="403"/>
                <w:tab w:val="left" w:pos="720"/>
              </w:tabs>
              <w:spacing w:after="0" w:line="240" w:lineRule="auto"/>
              <w:contextualSpacing/>
              <w:jc w:val="center"/>
              <w:rPr>
                <w:rFonts w:cs="Calibri"/>
              </w:rPr>
            </w:pPr>
            <w:r w:rsidRPr="00A52AB8">
              <w:rPr>
                <w:rFonts w:cs="Calibri"/>
              </w:rPr>
              <w:t>−1</w:t>
            </w:r>
          </w:p>
        </w:tc>
        <w:tc>
          <w:tcPr>
            <w:tcW w:w="0" w:type="auto"/>
            <w:vAlign w:val="center"/>
          </w:tcPr>
          <w:p w14:paraId="16DDC3AF" w14:textId="77777777" w:rsidR="00D136E3" w:rsidRPr="00A52AB8" w:rsidRDefault="00817500" w:rsidP="00D136E3">
            <w:pPr>
              <w:tabs>
                <w:tab w:val="clear" w:pos="403"/>
                <w:tab w:val="left" w:pos="720"/>
              </w:tabs>
              <w:spacing w:after="0" w:line="240" w:lineRule="auto"/>
              <w:contextualSpacing/>
              <w:jc w:val="center"/>
              <w:rPr>
                <w:rFonts w:cs="Calibri"/>
              </w:rPr>
            </w:pPr>
            <w:r w:rsidRPr="00A52AB8">
              <w:rPr>
                <w:rFonts w:cs="Calibri"/>
              </w:rPr>
              <w:t>9</w:t>
            </w:r>
          </w:p>
        </w:tc>
        <w:tc>
          <w:tcPr>
            <w:tcW w:w="0" w:type="auto"/>
            <w:vAlign w:val="center"/>
          </w:tcPr>
          <w:p w14:paraId="54A8BD3B" w14:textId="77777777" w:rsidR="00D136E3" w:rsidRPr="00A52AB8" w:rsidRDefault="00817500" w:rsidP="00D136E3">
            <w:pPr>
              <w:tabs>
                <w:tab w:val="clear" w:pos="403"/>
                <w:tab w:val="left" w:pos="720"/>
              </w:tabs>
              <w:spacing w:after="0" w:line="240" w:lineRule="auto"/>
              <w:contextualSpacing/>
              <w:jc w:val="center"/>
              <w:rPr>
                <w:rFonts w:cs="Calibri"/>
              </w:rPr>
            </w:pPr>
            <w:r w:rsidRPr="00A52AB8">
              <w:rPr>
                <w:rFonts w:cs="Calibri"/>
              </w:rPr>
              <w:t>9</w:t>
            </w:r>
          </w:p>
        </w:tc>
        <w:tc>
          <w:tcPr>
            <w:tcW w:w="0" w:type="auto"/>
            <w:vAlign w:val="center"/>
          </w:tcPr>
          <w:p w14:paraId="68706429" w14:textId="77777777" w:rsidR="00D136E3" w:rsidRPr="00A52AB8" w:rsidRDefault="00D136E3" w:rsidP="00D136E3">
            <w:pPr>
              <w:tabs>
                <w:tab w:val="clear" w:pos="403"/>
                <w:tab w:val="left" w:pos="720"/>
              </w:tabs>
              <w:spacing w:after="0" w:line="240" w:lineRule="auto"/>
              <w:contextualSpacing/>
              <w:jc w:val="center"/>
              <w:rPr>
                <w:rFonts w:cs="Calibri"/>
              </w:rPr>
            </w:pPr>
            <w:r w:rsidRPr="00A52AB8">
              <w:rPr>
                <w:rFonts w:cs="Calibri"/>
              </w:rPr>
              <w:t>−</w:t>
            </w:r>
            <w:r w:rsidR="00817500" w:rsidRPr="00A52AB8">
              <w:rPr>
                <w:rFonts w:cs="Calibri"/>
              </w:rPr>
              <w:t>1</w:t>
            </w:r>
          </w:p>
        </w:tc>
      </w:tr>
    </w:tbl>
    <w:p w14:paraId="5D39B567" w14:textId="4D32906D" w:rsidR="006D4EAE" w:rsidRPr="00A52AB8" w:rsidRDefault="00B708DD" w:rsidP="002D4E3F">
      <w:pPr>
        <w:pStyle w:val="Note1"/>
        <w:rPr>
          <w:rFonts w:ascii="Cambria" w:hAnsi="Cambria"/>
        </w:rPr>
      </w:pPr>
      <w:r w:rsidRPr="00A52AB8">
        <w:rPr>
          <w:rFonts w:ascii="Cambria" w:hAnsi="Cambria"/>
        </w:rPr>
        <w:t>NOTE</w:t>
      </w:r>
      <w:r w:rsidR="00527CFB" w:rsidRPr="00A52AB8">
        <w:rPr>
          <w:rFonts w:ascii="Cambria" w:hAnsi="Cambria"/>
        </w:rPr>
        <w:t> </w:t>
      </w:r>
      <w:r w:rsidR="00E00821" w:rsidRPr="00496A4D">
        <w:rPr>
          <w:rFonts w:ascii="Cambria" w:hAnsi="Cambria"/>
        </w:rPr>
        <w:fldChar w:fldCharType="begin"/>
      </w:r>
      <w:r w:rsidR="00E00821" w:rsidRPr="00A52AB8">
        <w:rPr>
          <w:rFonts w:ascii="Cambria" w:hAnsi="Cambria"/>
        </w:rPr>
        <w:instrText xml:space="preserve"> SEQ NoteCounter \s 9 \* MERGEFORMAT </w:instrText>
      </w:r>
      <w:r w:rsidR="00E00821" w:rsidRPr="00496A4D">
        <w:rPr>
          <w:rFonts w:ascii="Cambria" w:hAnsi="Cambria"/>
        </w:rPr>
        <w:fldChar w:fldCharType="separate"/>
      </w:r>
      <w:r w:rsidR="00507A67">
        <w:rPr>
          <w:rFonts w:ascii="Cambria" w:hAnsi="Cambria"/>
          <w:noProof/>
        </w:rPr>
        <w:t>2</w:t>
      </w:r>
      <w:r w:rsidR="00E00821" w:rsidRPr="00496A4D">
        <w:rPr>
          <w:rFonts w:ascii="Cambria" w:hAnsi="Cambria"/>
        </w:rPr>
        <w:fldChar w:fldCharType="end"/>
      </w:r>
      <w:r w:rsidR="00781BA5" w:rsidRPr="00A52AB8">
        <w:rPr>
          <w:rFonts w:ascii="Cambria" w:hAnsi="Cambria"/>
        </w:rPr>
        <w:t> </w:t>
      </w:r>
      <w:r w:rsidRPr="00A52AB8">
        <w:rPr>
          <w:rFonts w:ascii="Cambria" w:hAnsi="Cambria"/>
        </w:rPr>
        <w:t>– This is essentially a "Lanczos 2" filter. Higher-precision and higher-order filters could potentially be used, especially when up-sampling content of very high quality or with no compression.</w:t>
      </w:r>
    </w:p>
    <w:p w14:paraId="2275D4E5" w14:textId="77777777" w:rsidR="000115F5" w:rsidRPr="00A52AB8" w:rsidRDefault="000115F5" w:rsidP="000115F5">
      <w:r w:rsidRPr="00A52AB8">
        <w:t>The chroma values are up-sampled as follows:</w:t>
      </w:r>
    </w:p>
    <w:p w14:paraId="1D751123" w14:textId="6647D576" w:rsidR="000115F5" w:rsidRPr="00A52AB8" w:rsidRDefault="000115F5" w:rsidP="000115F5">
      <w:r w:rsidRPr="00A52AB8">
        <w:tab/>
      </w:r>
      <w:r w:rsidRPr="00A52AB8">
        <w:rPr>
          <w:rFonts w:eastAsia="Malgun Gothic"/>
          <w:lang w:eastAsia="ko-KR"/>
        </w:rPr>
        <w:t>shift</w:t>
      </w:r>
      <w:r w:rsidR="00D47707" w:rsidRPr="00A52AB8">
        <w:rPr>
          <w:rFonts w:eastAsia="Malgun Gothic"/>
          <w:lang w:eastAsia="ko-KR"/>
        </w:rPr>
        <w:t> = </w:t>
      </w:r>
      <w:r w:rsidRPr="00A52AB8">
        <w:rPr>
          <w:rFonts w:eastAsia="Malgun Gothic"/>
          <w:lang w:eastAsia="ko-KR"/>
        </w:rPr>
        <w:t>8</w:t>
      </w:r>
      <w:r w:rsidR="00C61E38" w:rsidRPr="00A52AB8">
        <w:rPr>
          <w:rFonts w:eastAsia="Malgun Gothic"/>
          <w:lang w:eastAsia="ko-KR"/>
        </w:rPr>
        <w:br/>
      </w:r>
      <w:r w:rsidRPr="00A52AB8">
        <w:rPr>
          <w:rFonts w:eastAsia="Malgun Gothic"/>
          <w:lang w:eastAsia="ko-KR"/>
        </w:rPr>
        <w:tab/>
        <w:t>offset</w:t>
      </w:r>
      <w:r w:rsidR="00D47707" w:rsidRPr="00A52AB8">
        <w:rPr>
          <w:rFonts w:eastAsia="Malgun Gothic"/>
          <w:lang w:eastAsia="ko-KR"/>
        </w:rPr>
        <w:t> = </w:t>
      </w:r>
      <w:r w:rsidRPr="00A52AB8">
        <w:rPr>
          <w:rFonts w:eastAsia="Malgun Gothic"/>
          <w:lang w:eastAsia="ko-KR"/>
        </w:rPr>
        <w:t>1 &lt;&lt; ( shift − 1 )</w:t>
      </w:r>
      <w:r w:rsidRPr="00A52AB8">
        <w:br/>
      </w:r>
      <w:r w:rsidRPr="00A52AB8">
        <w:tab/>
        <w:t>for( c</w:t>
      </w:r>
      <w:r w:rsidR="00D47707" w:rsidRPr="00A52AB8">
        <w:t> = </w:t>
      </w:r>
      <w:r w:rsidRPr="00A52AB8">
        <w:t>1; c &lt; 3 ; c++ </w:t>
      </w:r>
      <w:r w:rsidR="008F1F82" w:rsidRPr="00A52AB8">
        <w:t>) {</w:t>
      </w:r>
      <w:r w:rsidRPr="00A52AB8">
        <w:tab/>
      </w:r>
      <w:r w:rsidRPr="00A52AB8">
        <w:tab/>
        <w:t>for( y</w:t>
      </w:r>
      <w:r w:rsidR="00D47707" w:rsidRPr="00A52AB8">
        <w:t> = </w:t>
      </w:r>
      <w:r w:rsidRPr="00A52AB8">
        <w:t>0; y &lt; </w:t>
      </w:r>
      <w:r w:rsidRPr="00A52AB8">
        <w:rPr>
          <w:color w:val="000000" w:themeColor="text1"/>
        </w:rPr>
        <w:t>inputHeight</w:t>
      </w:r>
      <w:r w:rsidRPr="00A52AB8">
        <w:t> ; y++ </w:t>
      </w:r>
      <w:r w:rsidR="008F1F82" w:rsidRPr="00A52AB8">
        <w:t>) {</w:t>
      </w:r>
      <w:r w:rsidRPr="00A52AB8">
        <w:br/>
      </w:r>
      <w:r w:rsidRPr="00A52AB8">
        <w:tab/>
      </w:r>
      <w:r w:rsidRPr="00A52AB8">
        <w:tab/>
      </w:r>
      <w:r w:rsidRPr="00A52AB8">
        <w:tab/>
        <w:t>yRef</w:t>
      </w:r>
      <w:r w:rsidR="00D47707" w:rsidRPr="00A52AB8">
        <w:t> = </w:t>
      </w:r>
      <w:r w:rsidRPr="00A52AB8">
        <w:t>( y &gt;&gt; 1 )</w:t>
      </w:r>
      <w:r w:rsidRPr="00A52AB8">
        <w:br/>
      </w:r>
      <w:r w:rsidRPr="00A52AB8">
        <w:tab/>
      </w:r>
      <w:r w:rsidRPr="00A52AB8">
        <w:tab/>
      </w:r>
      <w:r w:rsidRPr="00A52AB8">
        <w:tab/>
        <w:t>yPhase</w:t>
      </w:r>
      <w:r w:rsidR="00D47707" w:rsidRPr="00A52AB8">
        <w:t> = </w:t>
      </w:r>
      <w:r w:rsidRPr="00A52AB8">
        <w:t>y % 2</w:t>
      </w:r>
      <w:r w:rsidRPr="00A52AB8">
        <w:br/>
      </w:r>
      <w:r w:rsidRPr="00A52AB8">
        <w:tab/>
      </w:r>
      <w:r w:rsidRPr="00A52AB8">
        <w:tab/>
      </w:r>
      <w:r w:rsidRPr="00A52AB8">
        <w:tab/>
        <w:t>for( x</w:t>
      </w:r>
      <w:r w:rsidR="00D47707" w:rsidRPr="00A52AB8">
        <w:t> = </w:t>
      </w:r>
      <w:r w:rsidRPr="00A52AB8">
        <w:t>0; x &lt; </w:t>
      </w:r>
      <w:r w:rsidRPr="00A52AB8">
        <w:rPr>
          <w:color w:val="000000" w:themeColor="text1"/>
        </w:rPr>
        <w:t>inputWidth</w:t>
      </w:r>
      <w:r w:rsidRPr="00A52AB8">
        <w:t> ; x++ </w:t>
      </w:r>
      <w:r w:rsidR="008F1F82" w:rsidRPr="00A52AB8">
        <w:t>) {</w:t>
      </w:r>
      <w:r w:rsidRPr="00A52AB8">
        <w:br/>
      </w:r>
      <w:r w:rsidRPr="00A52AB8">
        <w:tab/>
      </w:r>
      <w:r w:rsidRPr="00A52AB8">
        <w:tab/>
      </w:r>
      <w:r w:rsidRPr="00A52AB8">
        <w:tab/>
      </w:r>
      <w:r w:rsidRPr="00A52AB8">
        <w:tab/>
        <w:t>xRef</w:t>
      </w:r>
      <w:r w:rsidR="00D47707" w:rsidRPr="00A52AB8">
        <w:t> = </w:t>
      </w:r>
      <w:r w:rsidRPr="00A52AB8">
        <w:t>( x &gt;&gt; 1 )</w:t>
      </w:r>
      <w:r w:rsidRPr="00A52AB8">
        <w:br/>
      </w:r>
      <w:r w:rsidRPr="00A52AB8">
        <w:tab/>
      </w:r>
      <w:r w:rsidRPr="00A52AB8">
        <w:tab/>
      </w:r>
      <w:r w:rsidRPr="00A52AB8">
        <w:tab/>
      </w:r>
      <w:r w:rsidRPr="00A52AB8">
        <w:tab/>
        <w:t>xPhase</w:t>
      </w:r>
      <w:r w:rsidR="00D47707" w:rsidRPr="00A52AB8">
        <w:t> = </w:t>
      </w:r>
      <w:r w:rsidRPr="00A52AB8">
        <w:t>x % 2</w:t>
      </w:r>
      <w:r w:rsidRPr="00A52AB8">
        <w:br/>
      </w:r>
      <w:r w:rsidRPr="00A52AB8">
        <w:tab/>
      </w:r>
      <w:r w:rsidRPr="00A52AB8">
        <w:tab/>
      </w:r>
      <w:r w:rsidRPr="00A52AB8">
        <w:tab/>
      </w:r>
      <w:r w:rsidRPr="00A52AB8">
        <w:tab/>
        <w:t>usChromaSample</w:t>
      </w:r>
      <w:r w:rsidR="00D47707" w:rsidRPr="00A52AB8">
        <w:t> = </w:t>
      </w:r>
      <w:r w:rsidRPr="00A52AB8">
        <w:t>0</w:t>
      </w:r>
      <w:r w:rsidRPr="00A52AB8">
        <w:br/>
      </w:r>
      <w:r w:rsidRPr="00A52AB8">
        <w:tab/>
      </w:r>
      <w:r w:rsidRPr="00A52AB8">
        <w:tab/>
      </w:r>
      <w:r w:rsidRPr="00A52AB8">
        <w:tab/>
      </w:r>
      <w:r w:rsidRPr="00A52AB8">
        <w:tab/>
        <w:t>for( n</w:t>
      </w:r>
      <w:r w:rsidR="00D47707" w:rsidRPr="00A52AB8">
        <w:t> = </w:t>
      </w:r>
      <w:r w:rsidRPr="00A52AB8">
        <w:t>0; n &lt; </w:t>
      </w:r>
      <w:r w:rsidRPr="00A52AB8">
        <w:rPr>
          <w:color w:val="000000" w:themeColor="text1"/>
        </w:rPr>
        <w:t>4</w:t>
      </w:r>
      <w:r w:rsidRPr="00A52AB8">
        <w:t>; n++ </w:t>
      </w:r>
      <w:r w:rsidR="008F1F82" w:rsidRPr="00A52AB8">
        <w:t>) {</w:t>
      </w:r>
      <w:r w:rsidRPr="00A52AB8">
        <w:br/>
      </w:r>
      <w:r w:rsidRPr="00A52AB8">
        <w:tab/>
      </w:r>
      <w:r w:rsidRPr="00A52AB8">
        <w:tab/>
      </w:r>
      <w:r w:rsidRPr="00A52AB8">
        <w:tab/>
      </w:r>
      <w:r w:rsidRPr="00A52AB8">
        <w:tab/>
      </w:r>
      <w:r w:rsidRPr="00A52AB8">
        <w:tab/>
        <w:t>yPos</w:t>
      </w:r>
      <w:r w:rsidR="00D47707" w:rsidRPr="00A52AB8">
        <w:t> = </w:t>
      </w:r>
      <w:r w:rsidRPr="00A52AB8">
        <w:t>Clip3( 0, ( inputHeight &gt;&gt; 2 ) − 1, yRef + n – 1 )</w:t>
      </w:r>
      <w:r w:rsidRPr="00A52AB8">
        <w:br/>
      </w:r>
      <w:r w:rsidRPr="00A52AB8">
        <w:tab/>
      </w:r>
      <w:r w:rsidRPr="00A52AB8">
        <w:tab/>
      </w:r>
      <w:r w:rsidRPr="00A52AB8">
        <w:tab/>
      </w:r>
      <w:r w:rsidRPr="00A52AB8">
        <w:tab/>
      </w:r>
      <w:r w:rsidRPr="00A52AB8">
        <w:tab/>
        <w:t>temp</w:t>
      </w:r>
      <w:r w:rsidR="00D47707" w:rsidRPr="00A52AB8">
        <w:t> = </w:t>
      </w:r>
      <w:r w:rsidRPr="00A52AB8">
        <w:t>0</w:t>
      </w:r>
      <w:r w:rsidRPr="00A52AB8">
        <w:br/>
      </w:r>
      <w:r w:rsidRPr="00A52AB8">
        <w:tab/>
      </w:r>
      <w:r w:rsidRPr="00A52AB8">
        <w:tab/>
      </w:r>
      <w:r w:rsidRPr="00A52AB8">
        <w:tab/>
      </w:r>
      <w:r w:rsidRPr="00A52AB8">
        <w:tab/>
      </w:r>
      <w:r w:rsidRPr="00A52AB8">
        <w:tab/>
        <w:t>for( m</w:t>
      </w:r>
      <w:r w:rsidR="00D47707" w:rsidRPr="00A52AB8">
        <w:t> = </w:t>
      </w:r>
      <w:r w:rsidRPr="00A52AB8">
        <w:t>0; m &lt; </w:t>
      </w:r>
      <w:r w:rsidRPr="00A52AB8">
        <w:rPr>
          <w:color w:val="000000" w:themeColor="text1"/>
        </w:rPr>
        <w:t>4</w:t>
      </w:r>
      <w:r w:rsidRPr="00A52AB8">
        <w:t>; m++ </w:t>
      </w:r>
      <w:r w:rsidR="008F1F82" w:rsidRPr="00A52AB8">
        <w:t>) {</w:t>
      </w:r>
      <w:r w:rsidRPr="00A52AB8">
        <w:br/>
      </w:r>
      <w:r w:rsidRPr="00A52AB8">
        <w:tab/>
      </w:r>
      <w:r w:rsidRPr="00A52AB8">
        <w:tab/>
      </w:r>
      <w:r w:rsidRPr="00A52AB8">
        <w:tab/>
      </w:r>
      <w:r w:rsidRPr="00A52AB8">
        <w:tab/>
      </w:r>
      <w:r w:rsidRPr="00A52AB8">
        <w:tab/>
      </w:r>
      <w:r w:rsidRPr="00A52AB8">
        <w:tab/>
        <w:t>xPos</w:t>
      </w:r>
      <w:r w:rsidR="00D47707" w:rsidRPr="00A52AB8">
        <w:t> = </w:t>
      </w:r>
      <w:r w:rsidRPr="00A52AB8">
        <w:t>Clip3( 0, ( inputWidth &gt;&gt; 2 ) − 1, xRef + m – 1 )</w:t>
      </w:r>
      <w:r w:rsidRPr="00A52AB8">
        <w:br/>
      </w:r>
      <w:r w:rsidRPr="00A52AB8">
        <w:tab/>
      </w:r>
      <w:r w:rsidRPr="00A52AB8">
        <w:tab/>
      </w:r>
      <w:r w:rsidRPr="00A52AB8">
        <w:tab/>
      </w:r>
      <w:r w:rsidRPr="00A52AB8">
        <w:tab/>
      </w:r>
      <w:r w:rsidRPr="00A52AB8">
        <w:tab/>
      </w:r>
      <w:r w:rsidRPr="00A52AB8">
        <w:tab/>
        <w:t>temp </w:t>
      </w:r>
      <w:r w:rsidR="00A234FD" w:rsidRPr="00A52AB8">
        <w:t>+=</w:t>
      </w:r>
      <w:r w:rsidR="00D47707" w:rsidRPr="00A52AB8">
        <w:t> </w:t>
      </w:r>
      <w:r w:rsidRPr="00A52AB8">
        <w:t>fC[ xPhase, m ] * inputChromaSample[ c ][ yPos ][ xPos ]</w:t>
      </w:r>
      <w:r w:rsidRPr="00A52AB8">
        <w:br/>
      </w:r>
      <w:r w:rsidRPr="00A52AB8">
        <w:tab/>
      </w:r>
      <w:r w:rsidRPr="00A52AB8">
        <w:tab/>
      </w:r>
      <w:r w:rsidRPr="00A52AB8">
        <w:tab/>
      </w:r>
      <w:r w:rsidRPr="00A52AB8">
        <w:tab/>
      </w:r>
      <w:r w:rsidRPr="00A52AB8">
        <w:tab/>
        <w:t>}</w:t>
      </w:r>
      <w:r w:rsidRPr="00A52AB8">
        <w:br/>
      </w:r>
      <w:r w:rsidRPr="00A52AB8">
        <w:tab/>
      </w:r>
      <w:r w:rsidRPr="00A52AB8">
        <w:tab/>
      </w:r>
      <w:r w:rsidRPr="00A52AB8">
        <w:tab/>
      </w:r>
      <w:r w:rsidRPr="00A52AB8">
        <w:tab/>
      </w:r>
      <w:r w:rsidRPr="00A52AB8">
        <w:tab/>
        <w:t>usChromaSample </w:t>
      </w:r>
      <w:r w:rsidR="00A234FD" w:rsidRPr="00A52AB8">
        <w:t>+=</w:t>
      </w:r>
      <w:r w:rsidR="00D47707" w:rsidRPr="00A52AB8">
        <w:t> </w:t>
      </w:r>
      <w:r w:rsidRPr="00A52AB8">
        <w:t>f</w:t>
      </w:r>
      <w:r w:rsidRPr="00A52AB8">
        <w:rPr>
          <w:vertAlign w:val="subscript"/>
        </w:rPr>
        <w:t>C</w:t>
      </w:r>
      <w:r w:rsidRPr="00A52AB8">
        <w:t>[ yPhase, 0 ] * temp</w:t>
      </w:r>
      <w:r w:rsidRPr="00A52AB8">
        <w:br/>
      </w:r>
      <w:r w:rsidRPr="00A52AB8">
        <w:tab/>
      </w:r>
      <w:r w:rsidRPr="00A52AB8">
        <w:tab/>
      </w:r>
      <w:r w:rsidRPr="00A52AB8">
        <w:tab/>
      </w:r>
      <w:r w:rsidRPr="00A52AB8">
        <w:tab/>
        <w:t>}</w:t>
      </w:r>
      <w:r w:rsidRPr="00A52AB8">
        <w:br/>
      </w:r>
      <w:r w:rsidRPr="00A52AB8">
        <w:tab/>
      </w:r>
      <w:r w:rsidRPr="00A52AB8">
        <w:tab/>
      </w:r>
      <w:r w:rsidRPr="00A52AB8">
        <w:tab/>
      </w:r>
      <w:r w:rsidRPr="00A52AB8">
        <w:tab/>
        <w:t>usChromaSample</w:t>
      </w:r>
      <w:r w:rsidR="00D47707" w:rsidRPr="00A52AB8">
        <w:t> = </w:t>
      </w:r>
      <w:r w:rsidRPr="00A52AB8">
        <w:t>( usChromaSample + offset ) &gt;&gt; shift</w:t>
      </w:r>
      <w:r w:rsidRPr="00A52AB8">
        <w:br/>
      </w:r>
      <w:r w:rsidRPr="00A52AB8">
        <w:tab/>
      </w:r>
      <w:r w:rsidRPr="00A52AB8">
        <w:tab/>
      </w:r>
      <w:r w:rsidRPr="00A52AB8">
        <w:tab/>
      </w:r>
      <w:r w:rsidRPr="00A52AB8">
        <w:tab/>
        <w:t>outputChromaSample[ c ][ y ][ x ] =</w:t>
      </w:r>
      <w:r w:rsidR="00C61E38" w:rsidRPr="00A52AB8">
        <w:br/>
      </w:r>
      <w:r w:rsidRPr="00A52AB8">
        <w:tab/>
      </w:r>
      <w:r w:rsidRPr="00A52AB8">
        <w:tab/>
      </w:r>
      <w:r w:rsidRPr="00A52AB8">
        <w:tab/>
      </w:r>
      <w:r w:rsidRPr="00A52AB8">
        <w:tab/>
      </w:r>
      <w:r w:rsidRPr="00A52AB8">
        <w:tab/>
        <w:t>Clip3( 0, ( 1 &lt;&lt; nominalBitDepth ) − 1, usChromaSample )</w:t>
      </w:r>
      <w:r w:rsidRPr="00A52AB8">
        <w:br/>
      </w:r>
      <w:r w:rsidRPr="00A52AB8">
        <w:tab/>
      </w:r>
      <w:r w:rsidRPr="00A52AB8">
        <w:tab/>
      </w:r>
      <w:r w:rsidRPr="00A52AB8">
        <w:tab/>
        <w:t>}</w:t>
      </w:r>
      <w:r w:rsidRPr="00A52AB8">
        <w:br/>
      </w:r>
      <w:r w:rsidRPr="00A52AB8">
        <w:tab/>
      </w:r>
      <w:r w:rsidRPr="00A52AB8">
        <w:tab/>
        <w:t>}</w:t>
      </w:r>
      <w:r w:rsidRPr="00A52AB8">
        <w:br/>
      </w:r>
      <w:r w:rsidRPr="00A52AB8">
        <w:tab/>
        <w:t>}</w:t>
      </w:r>
      <w:r w:rsidRPr="00A52AB8">
        <w:br/>
      </w:r>
    </w:p>
    <w:p w14:paraId="6E94551F" w14:textId="2A951EC9" w:rsidR="00400035" w:rsidRPr="00A52AB8" w:rsidRDefault="00400035" w:rsidP="00E00821">
      <w:pPr>
        <w:pStyle w:val="Note1"/>
        <w:rPr>
          <w:rFonts w:ascii="Cambria" w:hAnsi="Cambria"/>
        </w:rPr>
      </w:pPr>
      <w:r w:rsidRPr="00A52AB8">
        <w:rPr>
          <w:rFonts w:ascii="Cambria" w:hAnsi="Cambria"/>
        </w:rPr>
        <w:t>NOTE</w:t>
      </w:r>
      <w:r w:rsidR="00527CFB" w:rsidRPr="00A52AB8">
        <w:rPr>
          <w:rFonts w:ascii="Cambria" w:hAnsi="Cambria"/>
        </w:rPr>
        <w:t> </w:t>
      </w:r>
      <w:r w:rsidR="00E00821" w:rsidRPr="00496A4D">
        <w:rPr>
          <w:rFonts w:ascii="Cambria" w:hAnsi="Cambria"/>
        </w:rPr>
        <w:fldChar w:fldCharType="begin"/>
      </w:r>
      <w:r w:rsidR="00E00821" w:rsidRPr="00A52AB8">
        <w:rPr>
          <w:rFonts w:ascii="Cambria" w:hAnsi="Cambria"/>
        </w:rPr>
        <w:instrText xml:space="preserve"> SEQ NoteCounter \s 9 \* MERGEFORMAT </w:instrText>
      </w:r>
      <w:r w:rsidR="00E00821" w:rsidRPr="00496A4D">
        <w:rPr>
          <w:rFonts w:ascii="Cambria" w:hAnsi="Cambria"/>
        </w:rPr>
        <w:fldChar w:fldCharType="separate"/>
      </w:r>
      <w:r w:rsidR="00507A67">
        <w:rPr>
          <w:rFonts w:ascii="Cambria" w:hAnsi="Cambria"/>
          <w:noProof/>
        </w:rPr>
        <w:t>3</w:t>
      </w:r>
      <w:r w:rsidR="00E00821" w:rsidRPr="00496A4D">
        <w:rPr>
          <w:rFonts w:ascii="Cambria" w:hAnsi="Cambria"/>
        </w:rPr>
        <w:fldChar w:fldCharType="end"/>
      </w:r>
      <w:r w:rsidRPr="00A52AB8">
        <w:rPr>
          <w:rFonts w:ascii="Cambria" w:hAnsi="Cambria"/>
        </w:rPr>
        <w:t> – Instead of clipping the chroma output to the nominal bit depth for the attribute, a point cloud reconstruction system may choose to store the attribute in 4:4:4 chroma format at a higher bit</w:t>
      </w:r>
      <w:r w:rsidR="00527CFB" w:rsidRPr="00A52AB8">
        <w:rPr>
          <w:rFonts w:ascii="Cambria" w:hAnsi="Cambria"/>
        </w:rPr>
        <w:t xml:space="preserve"> depth.</w:t>
      </w:r>
    </w:p>
    <w:p w14:paraId="0E5EB8FF" w14:textId="6CD50846" w:rsidR="00CE5585" w:rsidRPr="00A52AB8" w:rsidRDefault="00CE5585" w:rsidP="00E860C4">
      <w:pPr>
        <w:rPr>
          <w:lang w:eastAsia="ko-KR"/>
        </w:rPr>
      </w:pPr>
      <w:r w:rsidRPr="00A52AB8">
        <w:rPr>
          <w:lang w:eastAsia="ko-KR"/>
        </w:rPr>
        <w:t xml:space="preserve">For other </w:t>
      </w:r>
      <w:r w:rsidRPr="00A52AB8">
        <w:rPr>
          <w:color w:val="000000" w:themeColor="text1"/>
        </w:rPr>
        <w:t>chroma formats or chroma</w:t>
      </w:r>
      <w:r w:rsidR="001E2910" w:rsidRPr="00A52AB8">
        <w:rPr>
          <w:color w:val="000000" w:themeColor="text1"/>
        </w:rPr>
        <w:t xml:space="preserve"> s</w:t>
      </w:r>
      <w:r w:rsidRPr="00A52AB8">
        <w:rPr>
          <w:color w:val="000000" w:themeColor="text1"/>
        </w:rPr>
        <w:t>ampling</w:t>
      </w:r>
      <w:r w:rsidR="001E2910" w:rsidRPr="00A52AB8">
        <w:rPr>
          <w:color w:val="000000" w:themeColor="text1"/>
        </w:rPr>
        <w:t xml:space="preserve"> p</w:t>
      </w:r>
      <w:r w:rsidRPr="00A52AB8">
        <w:rPr>
          <w:color w:val="000000" w:themeColor="text1"/>
        </w:rPr>
        <w:t>osition</w:t>
      </w:r>
      <w:r w:rsidR="00EF23CB" w:rsidRPr="00A52AB8">
        <w:rPr>
          <w:color w:val="000000" w:themeColor="text1"/>
        </w:rPr>
        <w:t>s</w:t>
      </w:r>
      <w:r w:rsidRPr="00A52AB8">
        <w:rPr>
          <w:color w:val="000000" w:themeColor="text1"/>
        </w:rPr>
        <w:t xml:space="preserve"> different process</w:t>
      </w:r>
      <w:r w:rsidR="001E2910" w:rsidRPr="00A52AB8">
        <w:rPr>
          <w:color w:val="000000" w:themeColor="text1"/>
        </w:rPr>
        <w:t>es could be used that are outside the scope of this document.</w:t>
      </w:r>
    </w:p>
    <w:p w14:paraId="22650766" w14:textId="77777777" w:rsidR="0027118D" w:rsidRPr="00A52AB8" w:rsidRDefault="0027118D" w:rsidP="00792CFF">
      <w:pPr>
        <w:pStyle w:val="a2"/>
        <w:numPr>
          <w:ilvl w:val="2"/>
          <w:numId w:val="14"/>
        </w:numPr>
        <w:rPr>
          <w:color w:val="000000" w:themeColor="text1"/>
        </w:rPr>
      </w:pPr>
      <w:bookmarkStart w:id="4899" w:name="_Toc48750212"/>
      <w:bookmarkStart w:id="4900" w:name="_Toc48753186"/>
      <w:bookmarkStart w:id="4901" w:name="_Toc48753721"/>
      <w:bookmarkStart w:id="4902" w:name="_Toc48821127"/>
      <w:bookmarkStart w:id="4903" w:name="_Toc48822472"/>
      <w:bookmarkStart w:id="4904" w:name="_Toc49012698"/>
      <w:bookmarkStart w:id="4905" w:name="_Toc49013243"/>
      <w:bookmarkStart w:id="4906" w:name="_Toc49014360"/>
      <w:bookmarkStart w:id="4907" w:name="_Toc49095585"/>
      <w:bookmarkStart w:id="4908" w:name="_Toc48345916"/>
      <w:bookmarkStart w:id="4909" w:name="_Toc48346276"/>
      <w:bookmarkStart w:id="4910" w:name="_Toc48346636"/>
      <w:bookmarkStart w:id="4911" w:name="_Toc48346996"/>
      <w:bookmarkStart w:id="4912" w:name="_Toc48347358"/>
      <w:bookmarkStart w:id="4913" w:name="_Toc48347719"/>
      <w:bookmarkStart w:id="4914" w:name="_Toc48750213"/>
      <w:bookmarkStart w:id="4915" w:name="_Toc48753187"/>
      <w:bookmarkStart w:id="4916" w:name="_Toc48753722"/>
      <w:bookmarkStart w:id="4917" w:name="_Toc48821128"/>
      <w:bookmarkStart w:id="4918" w:name="_Toc48822473"/>
      <w:bookmarkStart w:id="4919" w:name="_Toc49012699"/>
      <w:bookmarkStart w:id="4920" w:name="_Toc49013244"/>
      <w:bookmarkStart w:id="4921" w:name="_Toc49014361"/>
      <w:bookmarkStart w:id="4922" w:name="_Toc49095586"/>
      <w:bookmarkStart w:id="4923" w:name="_Toc38891759"/>
      <w:bookmarkStart w:id="4924" w:name="_Toc39426356"/>
      <w:bookmarkStart w:id="4925" w:name="_Toc38891761"/>
      <w:bookmarkStart w:id="4926" w:name="_Toc39426358"/>
      <w:bookmarkStart w:id="4927" w:name="_Ref39746087"/>
      <w:bookmarkStart w:id="4928" w:name="_Ref39768371"/>
      <w:bookmarkStart w:id="4929" w:name="_Toc52181672"/>
      <w:bookmarkEnd w:id="4899"/>
      <w:bookmarkEnd w:id="4900"/>
      <w:bookmarkEnd w:id="4901"/>
      <w:bookmarkEnd w:id="4902"/>
      <w:bookmarkEnd w:id="4903"/>
      <w:bookmarkEnd w:id="4904"/>
      <w:bookmarkEnd w:id="4905"/>
      <w:bookmarkEnd w:id="4906"/>
      <w:bookmarkEnd w:id="4907"/>
      <w:bookmarkEnd w:id="4908"/>
      <w:bookmarkEnd w:id="4909"/>
      <w:bookmarkEnd w:id="4910"/>
      <w:bookmarkEnd w:id="4911"/>
      <w:bookmarkEnd w:id="4912"/>
      <w:bookmarkEnd w:id="4913"/>
      <w:bookmarkEnd w:id="4914"/>
      <w:bookmarkEnd w:id="4915"/>
      <w:bookmarkEnd w:id="4916"/>
      <w:bookmarkEnd w:id="4917"/>
      <w:bookmarkEnd w:id="4918"/>
      <w:bookmarkEnd w:id="4919"/>
      <w:bookmarkEnd w:id="4920"/>
      <w:bookmarkEnd w:id="4921"/>
      <w:bookmarkEnd w:id="4922"/>
      <w:bookmarkEnd w:id="4923"/>
      <w:bookmarkEnd w:id="4924"/>
      <w:bookmarkEnd w:id="4925"/>
      <w:bookmarkEnd w:id="4926"/>
      <w:r w:rsidRPr="00A52AB8">
        <w:rPr>
          <w:color w:val="000000" w:themeColor="text1"/>
        </w:rPr>
        <w:t xml:space="preserve">Geometry </w:t>
      </w:r>
      <w:r w:rsidR="00CF7DA7" w:rsidRPr="00A52AB8">
        <w:rPr>
          <w:color w:val="000000" w:themeColor="text1"/>
        </w:rPr>
        <w:t xml:space="preserve">map synthesis </w:t>
      </w:r>
      <w:r w:rsidR="003B02D5" w:rsidRPr="00A52AB8">
        <w:rPr>
          <w:color w:val="000000" w:themeColor="text1"/>
        </w:rPr>
        <w:t>p</w:t>
      </w:r>
      <w:r w:rsidR="005F6182" w:rsidRPr="00A52AB8">
        <w:rPr>
          <w:color w:val="000000" w:themeColor="text1"/>
        </w:rPr>
        <w:t>rocess</w:t>
      </w:r>
      <w:bookmarkEnd w:id="4927"/>
      <w:bookmarkEnd w:id="4928"/>
      <w:bookmarkEnd w:id="4929"/>
    </w:p>
    <w:p w14:paraId="18D99D6A" w14:textId="77777777" w:rsidR="00684171" w:rsidRPr="00A52AB8" w:rsidRDefault="00406E2E">
      <w:pPr>
        <w:rPr>
          <w:color w:val="000000" w:themeColor="text1"/>
        </w:rPr>
      </w:pPr>
      <w:r w:rsidRPr="00A52AB8">
        <w:rPr>
          <w:color w:val="000000" w:themeColor="text1"/>
        </w:rPr>
        <w:t>I</w:t>
      </w:r>
      <w:r w:rsidR="00DD3382" w:rsidRPr="00A52AB8">
        <w:rPr>
          <w:color w:val="000000" w:themeColor="text1"/>
        </w:rPr>
        <w:t>nputs to this process are</w:t>
      </w:r>
      <w:r w:rsidR="00684171" w:rsidRPr="00A52AB8">
        <w:rPr>
          <w:color w:val="000000" w:themeColor="text1"/>
        </w:rPr>
        <w:t>:</w:t>
      </w:r>
    </w:p>
    <w:p w14:paraId="1E6F6CCC" w14:textId="77777777" w:rsidR="00D06E4D" w:rsidRPr="00A52AB8" w:rsidRDefault="00D06E4D"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variable multipleMapStreamsPresentFlag, indicating the presence of multiple streams,</w:t>
      </w:r>
    </w:p>
    <w:p w14:paraId="33AD9392" w14:textId="77777777" w:rsidR="00D06E4D" w:rsidRPr="00A52AB8" w:rsidRDefault="00D06E4D"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variable mapCount, indicating the number of maps</w:t>
      </w:r>
    </w:p>
    <w:p w14:paraId="438539FC" w14:textId="77777777" w:rsidR="0050235C" w:rsidRPr="00A52AB8" w:rsidRDefault="00D06E4D"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variable numInputFrames, indicating the number of input frames,</w:t>
      </w:r>
    </w:p>
    <w:p w14:paraId="7E2913E9" w14:textId="6D391FC8" w:rsidR="008024A4" w:rsidRPr="00A52AB8" w:rsidRDefault="008024A4"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variable iBitDepth, indicating the decoded geometry frames bit depth,</w:t>
      </w:r>
    </w:p>
    <w:p w14:paraId="00A84F69" w14:textId="77777777" w:rsidR="00D06E4D" w:rsidRPr="00A52AB8" w:rsidRDefault="00D06E4D"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variable iNumComp, indicating the number of components for each frame,</w:t>
      </w:r>
    </w:p>
    <w:p w14:paraId="53FB2431" w14:textId="23069362" w:rsidR="00D06E4D" w:rsidRPr="00A52AB8" w:rsidRDefault="00D06E4D"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w:t>
      </w:r>
      <w:r w:rsidR="00804654" w:rsidRPr="00A52AB8">
        <w:rPr>
          <w:color w:val="000000" w:themeColor="text1"/>
        </w:rPr>
        <w:t>variable</w:t>
      </w:r>
      <w:r w:rsidRPr="00A52AB8">
        <w:rPr>
          <w:color w:val="000000" w:themeColor="text1"/>
        </w:rPr>
        <w:t xml:space="preserve"> iHeight,</w:t>
      </w:r>
      <w:r w:rsidRPr="00A52AB8" w:rsidDel="00631134">
        <w:rPr>
          <w:color w:val="000000" w:themeColor="text1"/>
        </w:rPr>
        <w:t xml:space="preserve"> </w:t>
      </w:r>
      <w:r w:rsidRPr="00A52AB8">
        <w:rPr>
          <w:color w:val="000000" w:themeColor="text1"/>
        </w:rPr>
        <w:t>indicating the height of each frame,</w:t>
      </w:r>
    </w:p>
    <w:p w14:paraId="64A85CB8" w14:textId="05FAF98A" w:rsidR="00D06E4D" w:rsidRPr="00A52AB8" w:rsidRDefault="00D06E4D"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w:t>
      </w:r>
      <w:r w:rsidR="00804654" w:rsidRPr="00A52AB8">
        <w:rPr>
          <w:color w:val="000000" w:themeColor="text1"/>
        </w:rPr>
        <w:t xml:space="preserve">variable </w:t>
      </w:r>
      <w:r w:rsidRPr="00A52AB8">
        <w:rPr>
          <w:color w:val="000000" w:themeColor="text1"/>
        </w:rPr>
        <w:t>iWidth, indicating the width of each frame,</w:t>
      </w:r>
    </w:p>
    <w:p w14:paraId="0326142C" w14:textId="48C2A75B" w:rsidR="008024A4" w:rsidRPr="00A52AB8" w:rsidRDefault="00D06E4D"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5D array iFrame</w:t>
      </w:r>
      <w:r w:rsidR="008024A4" w:rsidRPr="00A52AB8">
        <w:rPr>
          <w:color w:val="000000" w:themeColor="text1"/>
        </w:rPr>
        <w:t>s</w:t>
      </w:r>
      <w:r w:rsidRPr="00A52AB8">
        <w:rPr>
          <w:color w:val="000000" w:themeColor="text1"/>
        </w:rPr>
        <w:t xml:space="preserve"> of size mapCount × numInputFrames × iNumComp × iHeight × iWidth, </w:t>
      </w:r>
      <w:r w:rsidR="006A3A54" w:rsidRPr="00A52AB8">
        <w:rPr>
          <w:color w:val="000000" w:themeColor="text1"/>
        </w:rPr>
        <w:t>and</w:t>
      </w:r>
    </w:p>
    <w:p w14:paraId="73EC3458" w14:textId="53F1ADC9" w:rsidR="00237C30" w:rsidRPr="00A52AB8" w:rsidRDefault="001D52C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w:t>
      </w:r>
      <w:bookmarkStart w:id="4930" w:name="_Hlk45656490"/>
      <w:r w:rsidR="008024A4" w:rsidRPr="00A52AB8">
        <w:rPr>
          <w:color w:val="000000" w:themeColor="text1"/>
        </w:rPr>
        <w:t>1</w:t>
      </w:r>
      <w:r w:rsidRPr="00A52AB8">
        <w:rPr>
          <w:color w:val="000000" w:themeColor="text1"/>
        </w:rPr>
        <w:t>D array</w:t>
      </w:r>
      <w:r w:rsidR="004A286B" w:rsidRPr="00A52AB8">
        <w:rPr>
          <w:color w:val="000000" w:themeColor="text1"/>
        </w:rPr>
        <w:t xml:space="preserve"> </w:t>
      </w:r>
      <w:r w:rsidR="008024A4" w:rsidRPr="00A52AB8">
        <w:rPr>
          <w:color w:val="000000" w:themeColor="text1"/>
        </w:rPr>
        <w:t>mapAbsoluteCodingFlag</w:t>
      </w:r>
      <w:bookmarkEnd w:id="4930"/>
      <w:r w:rsidR="00DD3382" w:rsidRPr="00A52AB8">
        <w:rPr>
          <w:color w:val="000000" w:themeColor="text1"/>
        </w:rPr>
        <w:t xml:space="preserve">, </w:t>
      </w:r>
      <w:r w:rsidRPr="00A52AB8">
        <w:rPr>
          <w:color w:val="000000" w:themeColor="text1"/>
        </w:rPr>
        <w:t>of size mapCount</w:t>
      </w:r>
      <w:r w:rsidR="00B518DF" w:rsidRPr="00A52AB8">
        <w:rPr>
          <w:color w:val="000000" w:themeColor="text1"/>
        </w:rPr>
        <w:t>.</w:t>
      </w:r>
    </w:p>
    <w:p w14:paraId="66EB6115" w14:textId="77777777" w:rsidR="0050235C" w:rsidRPr="00A52AB8" w:rsidRDefault="00406E2E">
      <w:pPr>
        <w:rPr>
          <w:color w:val="000000" w:themeColor="text1"/>
        </w:rPr>
      </w:pPr>
      <w:r w:rsidRPr="00A52AB8">
        <w:rPr>
          <w:color w:val="000000" w:themeColor="text1"/>
        </w:rPr>
        <w:t xml:space="preserve">Output of this process </w:t>
      </w:r>
      <w:r w:rsidR="00A80A82" w:rsidRPr="00A52AB8">
        <w:rPr>
          <w:color w:val="000000" w:themeColor="text1"/>
        </w:rPr>
        <w:t>is:</w:t>
      </w:r>
    </w:p>
    <w:p w14:paraId="09887E18" w14:textId="690E5BF9" w:rsidR="00406E2E" w:rsidRPr="00A52AB8" w:rsidRDefault="000A1E49"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5D </w:t>
      </w:r>
      <w:r w:rsidR="00B00BAD" w:rsidRPr="00A52AB8">
        <w:rPr>
          <w:color w:val="000000" w:themeColor="text1"/>
        </w:rPr>
        <w:t xml:space="preserve">array </w:t>
      </w:r>
      <w:r w:rsidR="008024A4" w:rsidRPr="00A52AB8">
        <w:rPr>
          <w:color w:val="000000" w:themeColor="text1"/>
        </w:rPr>
        <w:t>o</w:t>
      </w:r>
      <w:r w:rsidRPr="00A52AB8">
        <w:rPr>
          <w:color w:val="000000" w:themeColor="text1"/>
        </w:rPr>
        <w:t>Frame</w:t>
      </w:r>
      <w:r w:rsidR="008024A4" w:rsidRPr="00A52AB8">
        <w:rPr>
          <w:color w:val="000000" w:themeColor="text1"/>
        </w:rPr>
        <w:t>s</w:t>
      </w:r>
      <w:r w:rsidRPr="00A52AB8">
        <w:rPr>
          <w:color w:val="000000" w:themeColor="text1"/>
        </w:rPr>
        <w:t>, of size</w:t>
      </w:r>
      <w:r w:rsidR="00566C35" w:rsidRPr="00A52AB8">
        <w:rPr>
          <w:color w:val="000000" w:themeColor="text1"/>
        </w:rPr>
        <w:t xml:space="preserve"> mapCount × </w:t>
      </w:r>
      <w:r w:rsidR="008024A4" w:rsidRPr="00A52AB8">
        <w:rPr>
          <w:color w:val="000000" w:themeColor="text1"/>
        </w:rPr>
        <w:t>numInputFrames </w:t>
      </w:r>
      <w:r w:rsidR="00566C35" w:rsidRPr="00A52AB8">
        <w:rPr>
          <w:color w:val="000000" w:themeColor="text1"/>
        </w:rPr>
        <w:t>× iNumComp × iHeight × iWidth</w:t>
      </w:r>
      <w:r w:rsidR="00B518DF" w:rsidRPr="00A52AB8">
        <w:rPr>
          <w:color w:val="000000" w:themeColor="text1"/>
        </w:rPr>
        <w:t>.</w:t>
      </w:r>
    </w:p>
    <w:p w14:paraId="545A2680" w14:textId="77777777" w:rsidR="005F6182" w:rsidRPr="00A52AB8" w:rsidRDefault="005F6182">
      <w:pPr>
        <w:rPr>
          <w:color w:val="000000" w:themeColor="text1"/>
        </w:rPr>
      </w:pPr>
      <w:r w:rsidRPr="00A52AB8">
        <w:rPr>
          <w:color w:val="000000" w:themeColor="text1"/>
        </w:rPr>
        <w:t xml:space="preserve">The geometry video </w:t>
      </w:r>
      <w:r w:rsidR="003E1D36" w:rsidRPr="00A52AB8">
        <w:rPr>
          <w:color w:val="000000" w:themeColor="text1"/>
        </w:rPr>
        <w:t xml:space="preserve">map synthesis </w:t>
      </w:r>
      <w:r w:rsidRPr="00A52AB8">
        <w:rPr>
          <w:color w:val="000000" w:themeColor="text1"/>
        </w:rPr>
        <w:t>process is performed as follows:</w:t>
      </w:r>
    </w:p>
    <w:p w14:paraId="2183D6CA" w14:textId="487D41F9" w:rsidR="00684171" w:rsidRPr="00A52AB8" w:rsidRDefault="000B68EA" w:rsidP="00E860C4">
      <w:pPr>
        <w:spacing w:after="120"/>
        <w:rPr>
          <w:color w:val="000000" w:themeColor="text1"/>
        </w:rPr>
      </w:pPr>
      <w:r w:rsidRPr="00A52AB8">
        <w:rPr>
          <w:color w:val="000000" w:themeColor="text1"/>
        </w:rPr>
        <w:tab/>
      </w:r>
      <w:r w:rsidR="00D06E4D" w:rsidRPr="00A52AB8">
        <w:rPr>
          <w:color w:val="000000" w:themeColor="text1"/>
        </w:rPr>
        <w:t>for( f</w:t>
      </w:r>
      <w:r w:rsidR="00D47707" w:rsidRPr="00A52AB8">
        <w:rPr>
          <w:color w:val="000000" w:themeColor="text1"/>
        </w:rPr>
        <w:t> = </w:t>
      </w:r>
      <w:r w:rsidR="00D06E4D" w:rsidRPr="00A52AB8">
        <w:rPr>
          <w:color w:val="000000" w:themeColor="text1"/>
        </w:rPr>
        <w:t>0; f &lt; </w:t>
      </w:r>
      <w:r w:rsidR="008024A4" w:rsidRPr="00A52AB8">
        <w:rPr>
          <w:color w:val="000000" w:themeColor="text1"/>
        </w:rPr>
        <w:t>numInputFrames</w:t>
      </w:r>
      <w:r w:rsidR="00D06E4D" w:rsidRPr="00A52AB8">
        <w:rPr>
          <w:color w:val="000000" w:themeColor="text1"/>
        </w:rPr>
        <w:t>; f++ </w:t>
      </w:r>
      <w:r w:rsidR="008F1F82" w:rsidRPr="00A52AB8">
        <w:rPr>
          <w:color w:val="000000" w:themeColor="text1"/>
        </w:rPr>
        <w:t>) {</w:t>
      </w:r>
      <w:r w:rsidR="00D06E4D" w:rsidRPr="00A52AB8">
        <w:rPr>
          <w:color w:val="000000" w:themeColor="text1"/>
        </w:rPr>
        <w:br/>
      </w:r>
      <w:r w:rsidR="00D06E4D" w:rsidRPr="00A52AB8">
        <w:rPr>
          <w:color w:val="000000" w:themeColor="text1"/>
        </w:rPr>
        <w:tab/>
      </w:r>
      <w:r w:rsidR="00D06E4D" w:rsidRPr="00A52AB8">
        <w:rPr>
          <w:color w:val="000000" w:themeColor="text1"/>
        </w:rPr>
        <w:tab/>
      </w:r>
      <w:r w:rsidR="00FE6214" w:rsidRPr="00A52AB8">
        <w:rPr>
          <w:color w:val="000000" w:themeColor="text1"/>
        </w:rPr>
        <w:t>if(</w:t>
      </w:r>
      <w:r w:rsidR="00AF6232" w:rsidRPr="00A52AB8">
        <w:rPr>
          <w:color w:val="000000" w:themeColor="text1"/>
        </w:rPr>
        <w:t> </w:t>
      </w:r>
      <w:r w:rsidR="00D06E4D" w:rsidRPr="00A52AB8">
        <w:rPr>
          <w:color w:val="000000" w:themeColor="text1"/>
        </w:rPr>
        <w:t>multipleMapStreamsPresentFlag</w:t>
      </w:r>
      <w:r w:rsidR="008768E9" w:rsidRPr="00A52AB8">
        <w:rPr>
          <w:color w:val="000000" w:themeColor="text1"/>
        </w:rPr>
        <w:t> </w:t>
      </w:r>
      <w:r w:rsidR="00726AAE" w:rsidRPr="00A52AB8">
        <w:rPr>
          <w:color w:val="000000" w:themeColor="text1"/>
        </w:rPr>
        <w:t>==</w:t>
      </w:r>
      <w:r w:rsidR="00D47707" w:rsidRPr="00A52AB8">
        <w:rPr>
          <w:color w:val="000000" w:themeColor="text1"/>
        </w:rPr>
        <w:t> </w:t>
      </w:r>
      <w:r w:rsidR="00C852C5" w:rsidRPr="00A52AB8">
        <w:rPr>
          <w:color w:val="000000" w:themeColor="text1"/>
        </w:rPr>
        <w:t>0</w:t>
      </w:r>
      <w:r w:rsidR="00AF6232" w:rsidRPr="00A52AB8">
        <w:rPr>
          <w:color w:val="000000" w:themeColor="text1"/>
        </w:rPr>
        <w:t> </w:t>
      </w:r>
      <w:r w:rsidR="008F1F82" w:rsidRPr="00A52AB8">
        <w:rPr>
          <w:color w:val="000000" w:themeColor="text1"/>
        </w:rPr>
        <w:t>) {</w:t>
      </w:r>
      <w:r w:rsidR="00AF6232" w:rsidRPr="00A52AB8">
        <w:rPr>
          <w:color w:val="000000" w:themeColor="text1"/>
        </w:rPr>
        <w:br/>
      </w:r>
      <w:r w:rsidR="00FE6214" w:rsidRPr="00A52AB8">
        <w:rPr>
          <w:color w:val="000000" w:themeColor="text1"/>
        </w:rPr>
        <w:tab/>
      </w:r>
      <w:r w:rsidR="00D06E4D" w:rsidRPr="00A52AB8">
        <w:rPr>
          <w:color w:val="000000" w:themeColor="text1"/>
        </w:rPr>
        <w:tab/>
      </w:r>
      <w:r w:rsidRPr="00A52AB8">
        <w:rPr>
          <w:color w:val="000000" w:themeColor="text1"/>
        </w:rPr>
        <w:tab/>
      </w:r>
      <w:r w:rsidR="00433929" w:rsidRPr="00A52AB8">
        <w:rPr>
          <w:color w:val="000000" w:themeColor="text1"/>
        </w:rPr>
        <w:t>for(</w:t>
      </w:r>
      <w:r w:rsidR="00AF6232" w:rsidRPr="00A52AB8">
        <w:rPr>
          <w:color w:val="000000" w:themeColor="text1"/>
        </w:rPr>
        <w:t> </w:t>
      </w:r>
      <w:r w:rsidR="00433929" w:rsidRPr="00A52AB8">
        <w:rPr>
          <w:color w:val="000000" w:themeColor="text1"/>
        </w:rPr>
        <w:t>i</w:t>
      </w:r>
      <w:r w:rsidR="00D47707" w:rsidRPr="00A52AB8">
        <w:rPr>
          <w:color w:val="000000" w:themeColor="text1"/>
        </w:rPr>
        <w:t> = </w:t>
      </w:r>
      <w:r w:rsidR="00433929" w:rsidRPr="00A52AB8">
        <w:rPr>
          <w:color w:val="000000" w:themeColor="text1"/>
        </w:rPr>
        <w:t>0;</w:t>
      </w:r>
      <w:r w:rsidR="00AF6232" w:rsidRPr="00A52AB8">
        <w:rPr>
          <w:color w:val="000000" w:themeColor="text1"/>
        </w:rPr>
        <w:t> </w:t>
      </w:r>
      <w:r w:rsidR="00433929" w:rsidRPr="00A52AB8">
        <w:rPr>
          <w:color w:val="000000" w:themeColor="text1"/>
        </w:rPr>
        <w:t>i</w:t>
      </w:r>
      <w:r w:rsidR="00AF6232" w:rsidRPr="00A52AB8">
        <w:rPr>
          <w:color w:val="000000" w:themeColor="text1"/>
        </w:rPr>
        <w:t> </w:t>
      </w:r>
      <w:r w:rsidR="00433929" w:rsidRPr="00A52AB8">
        <w:rPr>
          <w:color w:val="000000" w:themeColor="text1"/>
        </w:rPr>
        <w:t>&lt;</w:t>
      </w:r>
      <w:r w:rsidR="00AF6232" w:rsidRPr="00A52AB8">
        <w:rPr>
          <w:color w:val="000000" w:themeColor="text1"/>
        </w:rPr>
        <w:t> </w:t>
      </w:r>
      <w:r w:rsidR="00D06E4D" w:rsidRPr="00A52AB8">
        <w:rPr>
          <w:color w:val="000000" w:themeColor="text1"/>
        </w:rPr>
        <w:t>mapCount</w:t>
      </w:r>
      <w:r w:rsidR="00433929" w:rsidRPr="00A52AB8">
        <w:rPr>
          <w:color w:val="000000" w:themeColor="text1"/>
        </w:rPr>
        <w:t>;</w:t>
      </w:r>
      <w:r w:rsidR="00AF6232" w:rsidRPr="00A52AB8">
        <w:rPr>
          <w:color w:val="000000" w:themeColor="text1"/>
        </w:rPr>
        <w:t> </w:t>
      </w:r>
      <w:r w:rsidR="00433929" w:rsidRPr="00A52AB8">
        <w:rPr>
          <w:color w:val="000000" w:themeColor="text1"/>
        </w:rPr>
        <w:t>i</w:t>
      </w:r>
      <w:r w:rsidR="00006CCF" w:rsidRPr="00A52AB8">
        <w:rPr>
          <w:color w:val="000000" w:themeColor="text1"/>
        </w:rPr>
        <w:t>++ </w:t>
      </w:r>
      <w:r w:rsidR="008F1F82" w:rsidRPr="00A52AB8">
        <w:rPr>
          <w:color w:val="000000" w:themeColor="text1"/>
        </w:rPr>
        <w:t>) {</w:t>
      </w:r>
      <w:r w:rsidR="008024A4" w:rsidRPr="00A52AB8">
        <w:rPr>
          <w:color w:val="000000" w:themeColor="text1"/>
        </w:rPr>
        <w:br/>
      </w:r>
      <w:r w:rsidR="008024A4" w:rsidRPr="00A52AB8">
        <w:rPr>
          <w:color w:val="000000" w:themeColor="text1"/>
        </w:rPr>
        <w:tab/>
      </w:r>
      <w:r w:rsidR="008024A4" w:rsidRPr="00A52AB8">
        <w:rPr>
          <w:color w:val="000000" w:themeColor="text1"/>
        </w:rPr>
        <w:tab/>
      </w:r>
      <w:r w:rsidR="008024A4" w:rsidRPr="00A52AB8">
        <w:rPr>
          <w:color w:val="000000" w:themeColor="text1"/>
        </w:rPr>
        <w:tab/>
      </w:r>
      <w:r w:rsidR="008024A4" w:rsidRPr="00A52AB8">
        <w:rPr>
          <w:color w:val="000000" w:themeColor="text1"/>
        </w:rPr>
        <w:tab/>
        <w:t>for( c</w:t>
      </w:r>
      <w:r w:rsidR="00D47707" w:rsidRPr="00A52AB8">
        <w:rPr>
          <w:color w:val="000000" w:themeColor="text1"/>
        </w:rPr>
        <w:t> = </w:t>
      </w:r>
      <w:r w:rsidR="008024A4" w:rsidRPr="00A52AB8">
        <w:rPr>
          <w:color w:val="000000" w:themeColor="text1"/>
        </w:rPr>
        <w:t>0; c &lt; iNumComp ; y++ </w:t>
      </w:r>
      <w:r w:rsidR="008F1F82" w:rsidRPr="00A52AB8">
        <w:rPr>
          <w:color w:val="000000" w:themeColor="text1"/>
        </w:rPr>
        <w:t>) {</w:t>
      </w:r>
      <w:r w:rsidR="00AF6232" w:rsidRPr="00A52AB8">
        <w:rPr>
          <w:color w:val="000000" w:themeColor="text1"/>
        </w:rPr>
        <w:br/>
      </w:r>
      <w:r w:rsidR="00FE6214" w:rsidRPr="00A52AB8">
        <w:rPr>
          <w:color w:val="000000" w:themeColor="text1"/>
        </w:rPr>
        <w:tab/>
      </w:r>
      <w:r w:rsidRPr="00A52AB8">
        <w:rPr>
          <w:color w:val="000000" w:themeColor="text1"/>
        </w:rPr>
        <w:tab/>
      </w:r>
      <w:r w:rsidR="00D06E4D" w:rsidRPr="00A52AB8">
        <w:rPr>
          <w:color w:val="000000" w:themeColor="text1"/>
        </w:rPr>
        <w:tab/>
      </w:r>
      <w:r w:rsidR="00FE6214" w:rsidRPr="00A52AB8">
        <w:rPr>
          <w:color w:val="000000" w:themeColor="text1"/>
        </w:rPr>
        <w:tab/>
      </w:r>
      <w:r w:rsidR="008024A4" w:rsidRPr="00A52AB8">
        <w:rPr>
          <w:color w:val="000000" w:themeColor="text1"/>
        </w:rPr>
        <w:tab/>
      </w:r>
      <w:r w:rsidR="00433929" w:rsidRPr="00A52AB8">
        <w:rPr>
          <w:color w:val="000000" w:themeColor="text1"/>
        </w:rPr>
        <w:t>for(</w:t>
      </w:r>
      <w:r w:rsidR="00AF6232" w:rsidRPr="00A52AB8">
        <w:rPr>
          <w:color w:val="000000" w:themeColor="text1"/>
        </w:rPr>
        <w:t> </w:t>
      </w:r>
      <w:r w:rsidR="00433929" w:rsidRPr="00A52AB8">
        <w:rPr>
          <w:color w:val="000000" w:themeColor="text1"/>
        </w:rPr>
        <w:t>y</w:t>
      </w:r>
      <w:r w:rsidR="00D47707" w:rsidRPr="00A52AB8">
        <w:rPr>
          <w:color w:val="000000" w:themeColor="text1"/>
        </w:rPr>
        <w:t> = </w:t>
      </w:r>
      <w:r w:rsidR="00433929" w:rsidRPr="00A52AB8">
        <w:rPr>
          <w:color w:val="000000" w:themeColor="text1"/>
        </w:rPr>
        <w:t>0;</w:t>
      </w:r>
      <w:r w:rsidR="00AF6232" w:rsidRPr="00A52AB8">
        <w:rPr>
          <w:color w:val="000000" w:themeColor="text1"/>
        </w:rPr>
        <w:t> </w:t>
      </w:r>
      <w:r w:rsidR="00433929" w:rsidRPr="00A52AB8">
        <w:rPr>
          <w:color w:val="000000" w:themeColor="text1"/>
        </w:rPr>
        <w:t>y</w:t>
      </w:r>
      <w:r w:rsidR="00AF6232" w:rsidRPr="00A52AB8">
        <w:rPr>
          <w:color w:val="000000" w:themeColor="text1"/>
        </w:rPr>
        <w:t> </w:t>
      </w:r>
      <w:r w:rsidR="00433929" w:rsidRPr="00A52AB8">
        <w:rPr>
          <w:color w:val="000000" w:themeColor="text1"/>
        </w:rPr>
        <w:t>&lt;</w:t>
      </w:r>
      <w:r w:rsidR="00AF6232" w:rsidRPr="00A52AB8">
        <w:rPr>
          <w:color w:val="000000" w:themeColor="text1"/>
        </w:rPr>
        <w:t> </w:t>
      </w:r>
      <w:r w:rsidR="00237C30" w:rsidRPr="00A52AB8">
        <w:rPr>
          <w:color w:val="000000" w:themeColor="text1"/>
        </w:rPr>
        <w:t>i</w:t>
      </w:r>
      <w:r w:rsidR="00433929" w:rsidRPr="00A52AB8">
        <w:rPr>
          <w:color w:val="000000" w:themeColor="text1"/>
        </w:rPr>
        <w:t>Height ;</w:t>
      </w:r>
      <w:r w:rsidR="00AF6232" w:rsidRPr="00A52AB8">
        <w:rPr>
          <w:color w:val="000000" w:themeColor="text1"/>
        </w:rPr>
        <w:t> </w:t>
      </w:r>
      <w:r w:rsidR="00433929" w:rsidRPr="00A52AB8">
        <w:rPr>
          <w:color w:val="000000" w:themeColor="text1"/>
        </w:rPr>
        <w:t>y</w:t>
      </w:r>
      <w:r w:rsidR="00006CCF" w:rsidRPr="00A52AB8">
        <w:rPr>
          <w:color w:val="000000" w:themeColor="text1"/>
        </w:rPr>
        <w:t>++ </w:t>
      </w:r>
      <w:r w:rsidR="008F1F82" w:rsidRPr="00A52AB8">
        <w:rPr>
          <w:color w:val="000000" w:themeColor="text1"/>
        </w:rPr>
        <w:t>) {</w:t>
      </w:r>
      <w:r w:rsidR="00AF6232" w:rsidRPr="00A52AB8">
        <w:rPr>
          <w:color w:val="000000" w:themeColor="text1"/>
        </w:rPr>
        <w:br/>
      </w:r>
      <w:r w:rsidR="00FE6214" w:rsidRPr="00A52AB8">
        <w:rPr>
          <w:color w:val="000000" w:themeColor="text1"/>
        </w:rPr>
        <w:tab/>
      </w:r>
      <w:r w:rsidRPr="00A52AB8">
        <w:rPr>
          <w:color w:val="000000" w:themeColor="text1"/>
        </w:rPr>
        <w:tab/>
      </w:r>
      <w:r w:rsidR="00FE6214" w:rsidRPr="00A52AB8">
        <w:rPr>
          <w:color w:val="000000" w:themeColor="text1"/>
        </w:rPr>
        <w:tab/>
      </w:r>
      <w:r w:rsidR="00D06E4D" w:rsidRPr="00A52AB8">
        <w:rPr>
          <w:color w:val="000000" w:themeColor="text1"/>
        </w:rPr>
        <w:tab/>
      </w:r>
      <w:r w:rsidR="00FE6214" w:rsidRPr="00A52AB8">
        <w:rPr>
          <w:color w:val="000000" w:themeColor="text1"/>
        </w:rPr>
        <w:tab/>
      </w:r>
      <w:r w:rsidR="008024A4" w:rsidRPr="00A52AB8">
        <w:rPr>
          <w:color w:val="000000" w:themeColor="text1"/>
        </w:rPr>
        <w:tab/>
      </w:r>
      <w:r w:rsidR="00433929" w:rsidRPr="00A52AB8">
        <w:rPr>
          <w:color w:val="000000" w:themeColor="text1"/>
        </w:rPr>
        <w:t>for(</w:t>
      </w:r>
      <w:r w:rsidR="00AF6232" w:rsidRPr="00A52AB8">
        <w:rPr>
          <w:color w:val="000000" w:themeColor="text1"/>
        </w:rPr>
        <w:t> </w:t>
      </w:r>
      <w:r w:rsidR="00433929" w:rsidRPr="00A52AB8">
        <w:rPr>
          <w:color w:val="000000" w:themeColor="text1"/>
        </w:rPr>
        <w:t>x</w:t>
      </w:r>
      <w:r w:rsidR="00D47707" w:rsidRPr="00A52AB8">
        <w:rPr>
          <w:color w:val="000000" w:themeColor="text1"/>
        </w:rPr>
        <w:t> = </w:t>
      </w:r>
      <w:r w:rsidR="00433929" w:rsidRPr="00A52AB8">
        <w:rPr>
          <w:color w:val="000000" w:themeColor="text1"/>
        </w:rPr>
        <w:t>0;</w:t>
      </w:r>
      <w:r w:rsidR="00AF6232" w:rsidRPr="00A52AB8">
        <w:rPr>
          <w:color w:val="000000" w:themeColor="text1"/>
        </w:rPr>
        <w:t> </w:t>
      </w:r>
      <w:r w:rsidR="00433929" w:rsidRPr="00A52AB8">
        <w:rPr>
          <w:color w:val="000000" w:themeColor="text1"/>
        </w:rPr>
        <w:t>x</w:t>
      </w:r>
      <w:r w:rsidR="00AF6232" w:rsidRPr="00A52AB8">
        <w:rPr>
          <w:color w:val="000000" w:themeColor="text1"/>
        </w:rPr>
        <w:t> </w:t>
      </w:r>
      <w:r w:rsidR="00433929" w:rsidRPr="00A52AB8">
        <w:rPr>
          <w:color w:val="000000" w:themeColor="text1"/>
        </w:rPr>
        <w:t>&lt;</w:t>
      </w:r>
      <w:r w:rsidR="00AF6232" w:rsidRPr="00A52AB8">
        <w:rPr>
          <w:color w:val="000000" w:themeColor="text1"/>
        </w:rPr>
        <w:t> </w:t>
      </w:r>
      <w:r w:rsidR="00237C30" w:rsidRPr="00A52AB8">
        <w:rPr>
          <w:color w:val="000000" w:themeColor="text1"/>
        </w:rPr>
        <w:t>i</w:t>
      </w:r>
      <w:r w:rsidR="00433929" w:rsidRPr="00A52AB8">
        <w:rPr>
          <w:color w:val="000000" w:themeColor="text1"/>
        </w:rPr>
        <w:t>Width ;</w:t>
      </w:r>
      <w:r w:rsidR="00AF6232" w:rsidRPr="00A52AB8">
        <w:rPr>
          <w:color w:val="000000" w:themeColor="text1"/>
        </w:rPr>
        <w:t> </w:t>
      </w:r>
      <w:r w:rsidR="00433929" w:rsidRPr="00A52AB8">
        <w:rPr>
          <w:color w:val="000000" w:themeColor="text1"/>
        </w:rPr>
        <w:t>x</w:t>
      </w:r>
      <w:r w:rsidR="00006CCF" w:rsidRPr="00A52AB8">
        <w:rPr>
          <w:color w:val="000000" w:themeColor="text1"/>
        </w:rPr>
        <w:t>++ </w:t>
      </w:r>
      <w:r w:rsidR="008F1F82" w:rsidRPr="00A52AB8">
        <w:rPr>
          <w:color w:val="000000" w:themeColor="text1"/>
        </w:rPr>
        <w:t>) {</w:t>
      </w:r>
      <w:r w:rsidR="00AF6232" w:rsidRPr="00A52AB8">
        <w:rPr>
          <w:color w:val="000000" w:themeColor="text1"/>
        </w:rPr>
        <w:br/>
      </w:r>
      <w:r w:rsidR="00AF6232" w:rsidRPr="00A52AB8">
        <w:rPr>
          <w:color w:val="000000" w:themeColor="text1"/>
        </w:rPr>
        <w:tab/>
      </w:r>
      <w:r w:rsidRPr="00A52AB8">
        <w:rPr>
          <w:color w:val="000000" w:themeColor="text1"/>
        </w:rPr>
        <w:tab/>
      </w:r>
      <w:r w:rsidR="00433929" w:rsidRPr="00A52AB8">
        <w:rPr>
          <w:color w:val="000000" w:themeColor="text1"/>
        </w:rPr>
        <w:tab/>
      </w:r>
      <w:r w:rsidR="00B64B6E" w:rsidRPr="00A52AB8">
        <w:rPr>
          <w:color w:val="000000" w:themeColor="text1"/>
        </w:rPr>
        <w:tab/>
      </w:r>
      <w:r w:rsidR="00D06E4D" w:rsidRPr="00A52AB8">
        <w:rPr>
          <w:color w:val="000000" w:themeColor="text1"/>
        </w:rPr>
        <w:tab/>
      </w:r>
      <w:r w:rsidR="00FE6214" w:rsidRPr="00A52AB8">
        <w:rPr>
          <w:color w:val="000000" w:themeColor="text1"/>
        </w:rPr>
        <w:tab/>
      </w:r>
      <w:r w:rsidR="008024A4" w:rsidRPr="00A52AB8">
        <w:rPr>
          <w:color w:val="000000" w:themeColor="text1"/>
        </w:rPr>
        <w:tab/>
        <w:t>o</w:t>
      </w:r>
      <w:r w:rsidR="00890C8F" w:rsidRPr="00A52AB8">
        <w:rPr>
          <w:color w:val="000000" w:themeColor="text1"/>
        </w:rPr>
        <w:t>Frame</w:t>
      </w:r>
      <w:r w:rsidR="008024A4" w:rsidRPr="00A52AB8">
        <w:rPr>
          <w:color w:val="000000" w:themeColor="text1"/>
        </w:rPr>
        <w:t>s</w:t>
      </w:r>
      <w:r w:rsidR="001F4484" w:rsidRPr="00A52AB8">
        <w:rPr>
          <w:color w:val="000000" w:themeColor="text1"/>
        </w:rPr>
        <w:t>[ i ]</w:t>
      </w:r>
      <w:r w:rsidR="00B64B6E" w:rsidRPr="00A52AB8">
        <w:rPr>
          <w:color w:val="000000" w:themeColor="text1"/>
        </w:rPr>
        <w:t>[ </w:t>
      </w:r>
      <w:r w:rsidR="008024A4" w:rsidRPr="00A52AB8">
        <w:rPr>
          <w:color w:val="000000" w:themeColor="text1"/>
        </w:rPr>
        <w:t>f </w:t>
      </w:r>
      <w:r w:rsidR="00B64B6E" w:rsidRPr="00A52AB8">
        <w:rPr>
          <w:color w:val="000000" w:themeColor="text1"/>
        </w:rPr>
        <w:t>]</w:t>
      </w:r>
      <w:r w:rsidR="00D770D3" w:rsidRPr="00A52AB8">
        <w:rPr>
          <w:color w:val="000000" w:themeColor="text1"/>
        </w:rPr>
        <w:t>[ </w:t>
      </w:r>
      <w:r w:rsidR="008024A4" w:rsidRPr="00A52AB8">
        <w:rPr>
          <w:color w:val="000000" w:themeColor="text1"/>
        </w:rPr>
        <w:t>c </w:t>
      </w:r>
      <w:r w:rsidR="00D770D3" w:rsidRPr="00A52AB8">
        <w:rPr>
          <w:color w:val="000000" w:themeColor="text1"/>
        </w:rPr>
        <w:t>]</w:t>
      </w:r>
      <w:r w:rsidR="004B7314" w:rsidRPr="00A52AB8">
        <w:rPr>
          <w:color w:val="000000" w:themeColor="text1"/>
        </w:rPr>
        <w:t>[ y ][ x ]</w:t>
      </w:r>
      <w:r w:rsidR="00D47707" w:rsidRPr="00A52AB8">
        <w:rPr>
          <w:color w:val="000000" w:themeColor="text1"/>
        </w:rPr>
        <w:t> = </w:t>
      </w:r>
      <w:r w:rsidR="008024A4" w:rsidRPr="00A52AB8">
        <w:rPr>
          <w:color w:val="000000" w:themeColor="text1"/>
        </w:rPr>
        <w:t>i</w:t>
      </w:r>
      <w:r w:rsidR="00433929" w:rsidRPr="00A52AB8">
        <w:rPr>
          <w:color w:val="000000" w:themeColor="text1"/>
        </w:rPr>
        <w:t>Frame</w:t>
      </w:r>
      <w:r w:rsidR="008024A4" w:rsidRPr="00A52AB8">
        <w:rPr>
          <w:color w:val="000000" w:themeColor="text1"/>
        </w:rPr>
        <w:t>s</w:t>
      </w:r>
      <w:r w:rsidR="00C73DC9" w:rsidRPr="00A52AB8">
        <w:rPr>
          <w:color w:val="000000" w:themeColor="text1"/>
        </w:rPr>
        <w:t>[ i ]</w:t>
      </w:r>
      <w:r w:rsidR="00B64B6E" w:rsidRPr="00A52AB8">
        <w:rPr>
          <w:color w:val="000000" w:themeColor="text1"/>
        </w:rPr>
        <w:t>[ </w:t>
      </w:r>
      <w:r w:rsidR="008024A4" w:rsidRPr="00A52AB8">
        <w:rPr>
          <w:color w:val="000000" w:themeColor="text1"/>
        </w:rPr>
        <w:t>f </w:t>
      </w:r>
      <w:r w:rsidR="00B64B6E" w:rsidRPr="00A52AB8">
        <w:rPr>
          <w:color w:val="000000" w:themeColor="text1"/>
        </w:rPr>
        <w:t>]</w:t>
      </w:r>
      <w:r w:rsidR="00D770D3" w:rsidRPr="00A52AB8">
        <w:rPr>
          <w:color w:val="000000" w:themeColor="text1"/>
        </w:rPr>
        <w:t>[ </w:t>
      </w:r>
      <w:r w:rsidR="008024A4" w:rsidRPr="00A52AB8">
        <w:rPr>
          <w:color w:val="000000" w:themeColor="text1"/>
        </w:rPr>
        <w:t>c </w:t>
      </w:r>
      <w:r w:rsidR="00D770D3" w:rsidRPr="00A52AB8">
        <w:rPr>
          <w:color w:val="000000" w:themeColor="text1"/>
        </w:rPr>
        <w:t>]</w:t>
      </w:r>
      <w:r w:rsidR="004B7314" w:rsidRPr="00A52AB8">
        <w:rPr>
          <w:color w:val="000000" w:themeColor="text1"/>
        </w:rPr>
        <w:t>[ y ][ x ]</w:t>
      </w:r>
      <w:r w:rsidR="008024A4" w:rsidRPr="00A52AB8">
        <w:rPr>
          <w:color w:val="000000" w:themeColor="text1"/>
        </w:rPr>
        <w:br/>
      </w:r>
      <w:r w:rsidR="008024A4" w:rsidRPr="00A52AB8">
        <w:rPr>
          <w:color w:val="000000" w:themeColor="text1"/>
        </w:rPr>
        <w:tab/>
      </w:r>
      <w:r w:rsidR="008024A4" w:rsidRPr="00A52AB8">
        <w:rPr>
          <w:color w:val="000000" w:themeColor="text1"/>
        </w:rPr>
        <w:tab/>
      </w:r>
      <w:r w:rsidR="008024A4" w:rsidRPr="00A52AB8">
        <w:rPr>
          <w:color w:val="000000" w:themeColor="text1"/>
        </w:rPr>
        <w:tab/>
      </w:r>
      <w:r w:rsidR="008024A4" w:rsidRPr="00A52AB8">
        <w:rPr>
          <w:color w:val="000000" w:themeColor="text1"/>
        </w:rPr>
        <w:tab/>
      </w:r>
      <w:r w:rsidR="008024A4" w:rsidRPr="00A52AB8">
        <w:rPr>
          <w:color w:val="000000" w:themeColor="text1"/>
        </w:rPr>
        <w:tab/>
      </w:r>
      <w:r w:rsidR="008024A4" w:rsidRPr="00A52AB8">
        <w:rPr>
          <w:color w:val="000000" w:themeColor="text1"/>
        </w:rPr>
        <w:tab/>
        <w:t>}</w:t>
      </w:r>
      <w:r w:rsidR="008024A4" w:rsidRPr="00A52AB8">
        <w:rPr>
          <w:color w:val="000000" w:themeColor="text1"/>
        </w:rPr>
        <w:br/>
      </w:r>
      <w:r w:rsidR="008024A4" w:rsidRPr="00A52AB8">
        <w:rPr>
          <w:color w:val="000000" w:themeColor="text1"/>
        </w:rPr>
        <w:tab/>
      </w:r>
      <w:r w:rsidR="008024A4" w:rsidRPr="00A52AB8">
        <w:rPr>
          <w:color w:val="000000" w:themeColor="text1"/>
        </w:rPr>
        <w:tab/>
      </w:r>
      <w:r w:rsidR="008024A4" w:rsidRPr="00A52AB8">
        <w:rPr>
          <w:color w:val="000000" w:themeColor="text1"/>
        </w:rPr>
        <w:tab/>
      </w:r>
      <w:r w:rsidR="008024A4" w:rsidRPr="00A52AB8">
        <w:rPr>
          <w:color w:val="000000" w:themeColor="text1"/>
        </w:rPr>
        <w:tab/>
      </w:r>
      <w:r w:rsidR="008024A4" w:rsidRPr="00A52AB8">
        <w:rPr>
          <w:color w:val="000000" w:themeColor="text1"/>
        </w:rPr>
        <w:tab/>
        <w:t>}</w:t>
      </w:r>
      <w:r w:rsidR="008024A4" w:rsidRPr="00A52AB8">
        <w:rPr>
          <w:color w:val="000000" w:themeColor="text1"/>
        </w:rPr>
        <w:br/>
      </w:r>
      <w:r w:rsidR="008024A4" w:rsidRPr="00A52AB8">
        <w:rPr>
          <w:color w:val="000000" w:themeColor="text1"/>
        </w:rPr>
        <w:tab/>
      </w:r>
      <w:r w:rsidR="008024A4" w:rsidRPr="00A52AB8">
        <w:rPr>
          <w:color w:val="000000" w:themeColor="text1"/>
        </w:rPr>
        <w:tab/>
      </w:r>
      <w:r w:rsidR="008024A4" w:rsidRPr="00A52AB8">
        <w:rPr>
          <w:color w:val="000000" w:themeColor="text1"/>
        </w:rPr>
        <w:tab/>
      </w:r>
      <w:r w:rsidR="008024A4" w:rsidRPr="00A52AB8">
        <w:rPr>
          <w:color w:val="000000" w:themeColor="text1"/>
        </w:rPr>
        <w:tab/>
        <w:t>}</w:t>
      </w:r>
      <w:r w:rsidR="008024A4" w:rsidRPr="00A52AB8">
        <w:rPr>
          <w:color w:val="000000" w:themeColor="text1"/>
        </w:rPr>
        <w:br/>
      </w:r>
      <w:r w:rsidR="008024A4" w:rsidRPr="00A52AB8">
        <w:rPr>
          <w:color w:val="000000" w:themeColor="text1"/>
        </w:rPr>
        <w:tab/>
      </w:r>
      <w:r w:rsidR="008024A4" w:rsidRPr="00A52AB8">
        <w:rPr>
          <w:color w:val="000000" w:themeColor="text1"/>
        </w:rPr>
        <w:tab/>
      </w:r>
      <w:r w:rsidR="008024A4" w:rsidRPr="00A52AB8">
        <w:rPr>
          <w:color w:val="000000" w:themeColor="text1"/>
        </w:rPr>
        <w:tab/>
        <w:t>}</w:t>
      </w:r>
      <w:r w:rsidR="00AF6232" w:rsidRPr="00A52AB8">
        <w:rPr>
          <w:color w:val="000000" w:themeColor="text1"/>
        </w:rPr>
        <w:br/>
      </w:r>
      <w:r w:rsidR="00D06E4D" w:rsidRPr="00A52AB8">
        <w:rPr>
          <w:color w:val="000000" w:themeColor="text1"/>
        </w:rPr>
        <w:tab/>
      </w:r>
      <w:r w:rsidRPr="00A52AB8">
        <w:rPr>
          <w:color w:val="000000" w:themeColor="text1"/>
        </w:rPr>
        <w:tab/>
      </w:r>
      <w:r w:rsidR="0023721F" w:rsidRPr="00A52AB8">
        <w:rPr>
          <w:color w:val="000000" w:themeColor="text1"/>
        </w:rPr>
        <w:t>} else {</w:t>
      </w:r>
      <w:r w:rsidR="00AF6232" w:rsidRPr="00A52AB8">
        <w:rPr>
          <w:color w:val="000000" w:themeColor="text1"/>
        </w:rPr>
        <w:br/>
      </w:r>
      <w:r w:rsidR="00AF6232" w:rsidRPr="00A52AB8">
        <w:rPr>
          <w:color w:val="000000" w:themeColor="text1"/>
        </w:rPr>
        <w:tab/>
      </w:r>
      <w:r w:rsidR="00D06E4D" w:rsidRPr="00A52AB8">
        <w:rPr>
          <w:color w:val="000000" w:themeColor="text1"/>
        </w:rPr>
        <w:tab/>
      </w:r>
      <w:r w:rsidRPr="00A52AB8">
        <w:rPr>
          <w:color w:val="000000" w:themeColor="text1"/>
        </w:rPr>
        <w:tab/>
      </w:r>
      <w:r w:rsidR="00433929" w:rsidRPr="00A52AB8">
        <w:rPr>
          <w:color w:val="000000" w:themeColor="text1"/>
        </w:rPr>
        <w:t>geoMaxValue</w:t>
      </w:r>
      <w:r w:rsidR="00D47707" w:rsidRPr="00A52AB8">
        <w:rPr>
          <w:color w:val="000000" w:themeColor="text1"/>
        </w:rPr>
        <w:t> = </w:t>
      </w:r>
      <w:r w:rsidR="00433929" w:rsidRPr="00A52AB8">
        <w:rPr>
          <w:color w:val="000000" w:themeColor="text1"/>
        </w:rPr>
        <w:t>(</w:t>
      </w:r>
      <w:r w:rsidR="00AF6232" w:rsidRPr="00A52AB8">
        <w:rPr>
          <w:color w:val="000000" w:themeColor="text1"/>
        </w:rPr>
        <w:t> </w:t>
      </w:r>
      <w:r w:rsidR="00433929" w:rsidRPr="00A52AB8">
        <w:rPr>
          <w:color w:val="000000" w:themeColor="text1"/>
        </w:rPr>
        <w:t>1</w:t>
      </w:r>
      <w:r w:rsidR="00AF6232" w:rsidRPr="00A52AB8">
        <w:rPr>
          <w:color w:val="000000" w:themeColor="text1"/>
        </w:rPr>
        <w:t> </w:t>
      </w:r>
      <w:r w:rsidR="00433929" w:rsidRPr="00A52AB8">
        <w:rPr>
          <w:color w:val="000000" w:themeColor="text1"/>
        </w:rPr>
        <w:t>&lt;&lt;</w:t>
      </w:r>
      <w:r w:rsidR="00AF6232" w:rsidRPr="00A52AB8">
        <w:rPr>
          <w:color w:val="000000" w:themeColor="text1"/>
        </w:rPr>
        <w:t> </w:t>
      </w:r>
      <w:r w:rsidR="00237C30" w:rsidRPr="00A52AB8">
        <w:rPr>
          <w:color w:val="000000" w:themeColor="text1"/>
        </w:rPr>
        <w:t>i</w:t>
      </w:r>
      <w:r w:rsidR="00433929" w:rsidRPr="00A52AB8">
        <w:rPr>
          <w:color w:val="000000" w:themeColor="text1"/>
        </w:rPr>
        <w:t>Bit</w:t>
      </w:r>
      <w:r w:rsidR="00684171" w:rsidRPr="00A52AB8">
        <w:rPr>
          <w:color w:val="000000" w:themeColor="text1"/>
        </w:rPr>
        <w:t>D</w:t>
      </w:r>
      <w:r w:rsidR="00433929" w:rsidRPr="00A52AB8">
        <w:rPr>
          <w:color w:val="000000" w:themeColor="text1"/>
        </w:rPr>
        <w:t>epth</w:t>
      </w:r>
      <w:r w:rsidR="00AF6232" w:rsidRPr="00A52AB8">
        <w:rPr>
          <w:color w:val="000000" w:themeColor="text1"/>
        </w:rPr>
        <w:t> </w:t>
      </w:r>
      <w:r w:rsidR="00433929" w:rsidRPr="00A52AB8">
        <w:rPr>
          <w:color w:val="000000" w:themeColor="text1"/>
        </w:rPr>
        <w:t>)</w:t>
      </w:r>
      <w:r w:rsidR="00AF6232" w:rsidRPr="00A52AB8">
        <w:rPr>
          <w:color w:val="000000" w:themeColor="text1"/>
        </w:rPr>
        <w:t> </w:t>
      </w:r>
      <w:r w:rsidR="00433929" w:rsidRPr="00A52AB8">
        <w:rPr>
          <w:color w:val="000000" w:themeColor="text1"/>
        </w:rPr>
        <w:t>–</w:t>
      </w:r>
      <w:r w:rsidR="00AF6232" w:rsidRPr="00A52AB8">
        <w:rPr>
          <w:color w:val="000000" w:themeColor="text1"/>
        </w:rPr>
        <w:t> </w:t>
      </w:r>
      <w:r w:rsidR="00433929" w:rsidRPr="00A52AB8">
        <w:rPr>
          <w:color w:val="000000" w:themeColor="text1"/>
        </w:rPr>
        <w:t>1</w:t>
      </w:r>
      <w:r w:rsidR="00AF6232" w:rsidRPr="00A52AB8">
        <w:rPr>
          <w:color w:val="000000" w:themeColor="text1"/>
        </w:rPr>
        <w:br/>
      </w:r>
      <w:r w:rsidR="00AF6232" w:rsidRPr="00A52AB8">
        <w:rPr>
          <w:color w:val="000000" w:themeColor="text1"/>
        </w:rPr>
        <w:tab/>
      </w:r>
      <w:r w:rsidRPr="00A52AB8">
        <w:rPr>
          <w:color w:val="000000" w:themeColor="text1"/>
        </w:rPr>
        <w:tab/>
      </w:r>
      <w:r w:rsidR="00D06E4D" w:rsidRPr="00A52AB8">
        <w:rPr>
          <w:color w:val="000000" w:themeColor="text1"/>
        </w:rPr>
        <w:tab/>
      </w:r>
      <w:r w:rsidR="00433929" w:rsidRPr="00A52AB8">
        <w:rPr>
          <w:color w:val="000000" w:themeColor="text1"/>
        </w:rPr>
        <w:t>for(</w:t>
      </w:r>
      <w:r w:rsidR="00AF6232" w:rsidRPr="00A52AB8">
        <w:rPr>
          <w:color w:val="000000" w:themeColor="text1"/>
        </w:rPr>
        <w:t> </w:t>
      </w:r>
      <w:r w:rsidR="00433929" w:rsidRPr="00A52AB8">
        <w:rPr>
          <w:color w:val="000000" w:themeColor="text1"/>
        </w:rPr>
        <w:t>i</w:t>
      </w:r>
      <w:r w:rsidR="00D47707" w:rsidRPr="00A52AB8">
        <w:rPr>
          <w:color w:val="000000" w:themeColor="text1"/>
        </w:rPr>
        <w:t> = </w:t>
      </w:r>
      <w:r w:rsidR="00433929" w:rsidRPr="00A52AB8">
        <w:rPr>
          <w:color w:val="000000" w:themeColor="text1"/>
        </w:rPr>
        <w:t>0;</w:t>
      </w:r>
      <w:r w:rsidR="00AF6232" w:rsidRPr="00A52AB8">
        <w:rPr>
          <w:color w:val="000000" w:themeColor="text1"/>
        </w:rPr>
        <w:t> </w:t>
      </w:r>
      <w:r w:rsidR="00433929" w:rsidRPr="00A52AB8">
        <w:rPr>
          <w:color w:val="000000" w:themeColor="text1"/>
        </w:rPr>
        <w:t>i</w:t>
      </w:r>
      <w:r w:rsidR="00AF6232" w:rsidRPr="00A52AB8">
        <w:rPr>
          <w:color w:val="000000" w:themeColor="text1"/>
        </w:rPr>
        <w:t> </w:t>
      </w:r>
      <w:r w:rsidR="00433929" w:rsidRPr="00A52AB8">
        <w:rPr>
          <w:color w:val="000000" w:themeColor="text1"/>
        </w:rPr>
        <w:t>&lt;</w:t>
      </w:r>
      <w:r w:rsidR="00AF6232" w:rsidRPr="00A52AB8">
        <w:rPr>
          <w:color w:val="000000" w:themeColor="text1"/>
        </w:rPr>
        <w:t> </w:t>
      </w:r>
      <w:r w:rsidR="00D06E4D" w:rsidRPr="00A52AB8">
        <w:rPr>
          <w:color w:val="000000" w:themeColor="text1"/>
        </w:rPr>
        <w:t>mapCount</w:t>
      </w:r>
      <w:r w:rsidR="00433929" w:rsidRPr="00A52AB8">
        <w:rPr>
          <w:color w:val="000000" w:themeColor="text1"/>
        </w:rPr>
        <w:t>;</w:t>
      </w:r>
      <w:r w:rsidR="00AF6232" w:rsidRPr="00A52AB8">
        <w:rPr>
          <w:color w:val="000000" w:themeColor="text1"/>
        </w:rPr>
        <w:t> </w:t>
      </w:r>
      <w:r w:rsidR="00433929" w:rsidRPr="00A52AB8">
        <w:rPr>
          <w:color w:val="000000" w:themeColor="text1"/>
        </w:rPr>
        <w:t>i</w:t>
      </w:r>
      <w:r w:rsidR="00006CCF" w:rsidRPr="00A52AB8">
        <w:rPr>
          <w:color w:val="000000" w:themeColor="text1"/>
        </w:rPr>
        <w:t>++ </w:t>
      </w:r>
      <w:r w:rsidR="008F1F82" w:rsidRPr="00A52AB8">
        <w:rPr>
          <w:color w:val="000000" w:themeColor="text1"/>
        </w:rPr>
        <w:t>) {</w:t>
      </w:r>
      <w:r w:rsidR="00AF6232" w:rsidRPr="00A52AB8">
        <w:rPr>
          <w:color w:val="000000" w:themeColor="text1"/>
        </w:rPr>
        <w:br/>
      </w:r>
      <w:r w:rsidR="00AF6232" w:rsidRPr="00A52AB8">
        <w:rPr>
          <w:color w:val="000000" w:themeColor="text1"/>
        </w:rPr>
        <w:tab/>
      </w:r>
      <w:r w:rsidRPr="00A52AB8">
        <w:rPr>
          <w:color w:val="000000" w:themeColor="text1"/>
        </w:rPr>
        <w:tab/>
      </w:r>
      <w:r w:rsidR="00433929" w:rsidRPr="00A52AB8">
        <w:rPr>
          <w:color w:val="000000" w:themeColor="text1"/>
        </w:rPr>
        <w:tab/>
      </w:r>
      <w:r w:rsidR="00D06E4D" w:rsidRPr="00A52AB8">
        <w:rPr>
          <w:color w:val="000000" w:themeColor="text1"/>
        </w:rPr>
        <w:tab/>
      </w:r>
      <w:r w:rsidR="00433929" w:rsidRPr="00A52AB8">
        <w:rPr>
          <w:color w:val="000000" w:themeColor="text1"/>
        </w:rPr>
        <w:t>if( </w:t>
      </w:r>
      <w:r w:rsidR="008024A4" w:rsidRPr="00A52AB8">
        <w:rPr>
          <w:color w:val="000000" w:themeColor="text1"/>
        </w:rPr>
        <w:t>mapAbsoluteCodingFlag</w:t>
      </w:r>
      <w:r w:rsidR="001F4484" w:rsidRPr="00A52AB8">
        <w:rPr>
          <w:color w:val="000000" w:themeColor="text1"/>
        </w:rPr>
        <w:t>[ i ]</w:t>
      </w:r>
      <w:r w:rsidR="008768E9" w:rsidRPr="00A52AB8">
        <w:rPr>
          <w:color w:val="000000" w:themeColor="text1"/>
        </w:rPr>
        <w:t> </w:t>
      </w:r>
      <w:r w:rsidR="00726AAE" w:rsidRPr="00A52AB8">
        <w:rPr>
          <w:color w:val="000000" w:themeColor="text1"/>
        </w:rPr>
        <w:t>==</w:t>
      </w:r>
      <w:r w:rsidR="00D47707" w:rsidRPr="00A52AB8">
        <w:rPr>
          <w:color w:val="000000" w:themeColor="text1"/>
        </w:rPr>
        <w:t> </w:t>
      </w:r>
      <w:r w:rsidR="00433929" w:rsidRPr="00A52AB8">
        <w:rPr>
          <w:color w:val="000000" w:themeColor="text1"/>
        </w:rPr>
        <w:t>0</w:t>
      </w:r>
      <w:r w:rsidR="008F1F82" w:rsidRPr="00A52AB8">
        <w:rPr>
          <w:color w:val="000000" w:themeColor="text1"/>
        </w:rPr>
        <w:t>) {</w:t>
      </w:r>
      <w:r w:rsidR="00AF6232" w:rsidRPr="00A52AB8">
        <w:rPr>
          <w:color w:val="000000" w:themeColor="text1"/>
        </w:rPr>
        <w:br/>
      </w:r>
      <w:r w:rsidR="00433929" w:rsidRPr="00A52AB8">
        <w:rPr>
          <w:color w:val="000000" w:themeColor="text1"/>
        </w:rPr>
        <w:tab/>
      </w:r>
      <w:r w:rsidRPr="00A52AB8">
        <w:rPr>
          <w:color w:val="000000" w:themeColor="text1"/>
        </w:rPr>
        <w:tab/>
      </w:r>
      <w:r w:rsidR="00433929" w:rsidRPr="00A52AB8">
        <w:rPr>
          <w:color w:val="000000" w:themeColor="text1"/>
        </w:rPr>
        <w:tab/>
      </w:r>
      <w:r w:rsidR="00433929" w:rsidRPr="00A52AB8">
        <w:rPr>
          <w:color w:val="000000" w:themeColor="text1"/>
        </w:rPr>
        <w:tab/>
      </w:r>
      <w:r w:rsidR="00D06E4D" w:rsidRPr="00A52AB8">
        <w:rPr>
          <w:color w:val="000000" w:themeColor="text1"/>
        </w:rPr>
        <w:tab/>
      </w:r>
      <w:r w:rsidR="00433929" w:rsidRPr="00A52AB8">
        <w:rPr>
          <w:color w:val="000000" w:themeColor="text1"/>
        </w:rPr>
        <w:t>j</w:t>
      </w:r>
      <w:r w:rsidR="00D47707" w:rsidRPr="00A52AB8">
        <w:rPr>
          <w:color w:val="000000" w:themeColor="text1"/>
        </w:rPr>
        <w:t> = </w:t>
      </w:r>
      <w:r w:rsidR="00433929" w:rsidRPr="00A52AB8">
        <w:rPr>
          <w:color w:val="000000" w:themeColor="text1"/>
        </w:rPr>
        <w:t>MapPredictorIndex</w:t>
      </w:r>
      <w:r w:rsidR="001D5350" w:rsidRPr="00A52AB8">
        <w:rPr>
          <w:color w:val="000000" w:themeColor="text1"/>
        </w:rPr>
        <w:t>[</w:t>
      </w:r>
      <w:r w:rsidR="00433929" w:rsidRPr="00A52AB8">
        <w:rPr>
          <w:color w:val="000000" w:themeColor="text1"/>
        </w:rPr>
        <w:t> i </w:t>
      </w:r>
      <w:r w:rsidR="001D5350" w:rsidRPr="00A52AB8">
        <w:rPr>
          <w:color w:val="000000" w:themeColor="text1"/>
        </w:rPr>
        <w:t>]</w:t>
      </w:r>
      <w:r w:rsidR="008024A4" w:rsidRPr="00A52AB8">
        <w:rPr>
          <w:color w:val="000000" w:themeColor="text1"/>
        </w:rPr>
        <w:br/>
      </w:r>
      <w:r w:rsidR="008024A4" w:rsidRPr="00A52AB8">
        <w:rPr>
          <w:color w:val="000000" w:themeColor="text1"/>
        </w:rPr>
        <w:tab/>
      </w:r>
      <w:r w:rsidR="008024A4" w:rsidRPr="00A52AB8">
        <w:rPr>
          <w:color w:val="000000" w:themeColor="text1"/>
        </w:rPr>
        <w:tab/>
      </w:r>
      <w:r w:rsidR="008024A4" w:rsidRPr="00A52AB8">
        <w:rPr>
          <w:color w:val="000000" w:themeColor="text1"/>
        </w:rPr>
        <w:tab/>
      </w:r>
      <w:r w:rsidR="008024A4" w:rsidRPr="00A52AB8">
        <w:rPr>
          <w:color w:val="000000" w:themeColor="text1"/>
        </w:rPr>
        <w:tab/>
      </w:r>
      <w:r w:rsidR="008024A4" w:rsidRPr="00A52AB8">
        <w:rPr>
          <w:color w:val="000000" w:themeColor="text1"/>
        </w:rPr>
        <w:tab/>
        <w:t>for( c</w:t>
      </w:r>
      <w:r w:rsidR="00D47707" w:rsidRPr="00A52AB8">
        <w:rPr>
          <w:color w:val="000000" w:themeColor="text1"/>
        </w:rPr>
        <w:t> = </w:t>
      </w:r>
      <w:r w:rsidR="008024A4" w:rsidRPr="00A52AB8">
        <w:rPr>
          <w:color w:val="000000" w:themeColor="text1"/>
        </w:rPr>
        <w:t>0; c &lt; iNumComp ; y++ </w:t>
      </w:r>
      <w:r w:rsidR="008F1F82" w:rsidRPr="00A52AB8">
        <w:rPr>
          <w:color w:val="000000" w:themeColor="text1"/>
        </w:rPr>
        <w:t>) {</w:t>
      </w:r>
      <w:r w:rsidR="00AF6232" w:rsidRPr="00A52AB8">
        <w:rPr>
          <w:color w:val="000000" w:themeColor="text1"/>
        </w:rPr>
        <w:br/>
      </w:r>
      <w:r w:rsidR="008024A4" w:rsidRPr="00A52AB8">
        <w:rPr>
          <w:color w:val="000000" w:themeColor="text1"/>
        </w:rPr>
        <w:tab/>
      </w:r>
      <w:r w:rsidR="00AF6232" w:rsidRPr="00A52AB8">
        <w:rPr>
          <w:color w:val="000000" w:themeColor="text1"/>
        </w:rPr>
        <w:tab/>
      </w:r>
      <w:r w:rsidRPr="00A52AB8">
        <w:rPr>
          <w:color w:val="000000" w:themeColor="text1"/>
        </w:rPr>
        <w:tab/>
      </w:r>
      <w:r w:rsidR="00AF6232" w:rsidRPr="00A52AB8">
        <w:rPr>
          <w:color w:val="000000" w:themeColor="text1"/>
        </w:rPr>
        <w:tab/>
      </w:r>
      <w:r w:rsidR="00D06E4D" w:rsidRPr="00A52AB8">
        <w:rPr>
          <w:color w:val="000000" w:themeColor="text1"/>
        </w:rPr>
        <w:tab/>
      </w:r>
      <w:r w:rsidR="00AF6232" w:rsidRPr="00A52AB8">
        <w:rPr>
          <w:color w:val="000000" w:themeColor="text1"/>
        </w:rPr>
        <w:tab/>
      </w:r>
      <w:r w:rsidR="00433929" w:rsidRPr="00A52AB8">
        <w:rPr>
          <w:color w:val="000000" w:themeColor="text1"/>
        </w:rPr>
        <w:t>for</w:t>
      </w:r>
      <w:r w:rsidR="00AF6232" w:rsidRPr="00A52AB8">
        <w:rPr>
          <w:color w:val="000000" w:themeColor="text1"/>
        </w:rPr>
        <w:t>( y</w:t>
      </w:r>
      <w:r w:rsidR="00D47707" w:rsidRPr="00A52AB8">
        <w:rPr>
          <w:color w:val="000000" w:themeColor="text1"/>
        </w:rPr>
        <w:t> = </w:t>
      </w:r>
      <w:r w:rsidR="00433929" w:rsidRPr="00A52AB8">
        <w:rPr>
          <w:color w:val="000000" w:themeColor="text1"/>
        </w:rPr>
        <w:t>0</w:t>
      </w:r>
      <w:r w:rsidR="00AF6232" w:rsidRPr="00A52AB8">
        <w:rPr>
          <w:color w:val="000000" w:themeColor="text1"/>
        </w:rPr>
        <w:t>; y </w:t>
      </w:r>
      <w:r w:rsidR="00433929" w:rsidRPr="00A52AB8">
        <w:rPr>
          <w:color w:val="000000" w:themeColor="text1"/>
        </w:rPr>
        <w:t>&lt;</w:t>
      </w:r>
      <w:r w:rsidR="00AF6232" w:rsidRPr="00A52AB8">
        <w:rPr>
          <w:color w:val="000000" w:themeColor="text1"/>
        </w:rPr>
        <w:t> </w:t>
      </w:r>
      <w:r w:rsidR="00237C30" w:rsidRPr="00A52AB8">
        <w:rPr>
          <w:color w:val="000000" w:themeColor="text1"/>
        </w:rPr>
        <w:t>i</w:t>
      </w:r>
      <w:r w:rsidR="00433929" w:rsidRPr="00A52AB8">
        <w:rPr>
          <w:color w:val="000000" w:themeColor="text1"/>
        </w:rPr>
        <w:t>Height </w:t>
      </w:r>
      <w:r w:rsidR="00AF6232" w:rsidRPr="00A52AB8">
        <w:rPr>
          <w:color w:val="000000" w:themeColor="text1"/>
        </w:rPr>
        <w:t>; </w:t>
      </w:r>
      <w:r w:rsidR="00433929" w:rsidRPr="00A52AB8">
        <w:rPr>
          <w:color w:val="000000" w:themeColor="text1"/>
        </w:rPr>
        <w:t>y</w:t>
      </w:r>
      <w:r w:rsidR="00006CCF" w:rsidRPr="00A52AB8">
        <w:rPr>
          <w:color w:val="000000" w:themeColor="text1"/>
        </w:rPr>
        <w:t>++ </w:t>
      </w:r>
      <w:r w:rsidR="008F1F82" w:rsidRPr="00A52AB8">
        <w:rPr>
          <w:color w:val="000000" w:themeColor="text1"/>
        </w:rPr>
        <w:t>) {</w:t>
      </w:r>
      <w:r w:rsidR="00AF6232" w:rsidRPr="00A52AB8">
        <w:rPr>
          <w:color w:val="000000" w:themeColor="text1"/>
        </w:rPr>
        <w:br/>
      </w:r>
      <w:r w:rsidR="008024A4" w:rsidRPr="00A52AB8">
        <w:rPr>
          <w:color w:val="000000" w:themeColor="text1"/>
        </w:rPr>
        <w:tab/>
      </w:r>
      <w:r w:rsidR="00AF6232" w:rsidRPr="00A52AB8">
        <w:rPr>
          <w:color w:val="000000" w:themeColor="text1"/>
        </w:rPr>
        <w:tab/>
      </w:r>
      <w:r w:rsidRPr="00A52AB8">
        <w:rPr>
          <w:color w:val="000000" w:themeColor="text1"/>
        </w:rPr>
        <w:tab/>
      </w:r>
      <w:r w:rsidR="00AF6232" w:rsidRPr="00A52AB8">
        <w:rPr>
          <w:color w:val="000000" w:themeColor="text1"/>
        </w:rPr>
        <w:tab/>
      </w:r>
      <w:r w:rsidR="00AF6232" w:rsidRPr="00A52AB8">
        <w:rPr>
          <w:color w:val="000000" w:themeColor="text1"/>
        </w:rPr>
        <w:tab/>
      </w:r>
      <w:r w:rsidR="00D06E4D" w:rsidRPr="00A52AB8">
        <w:rPr>
          <w:color w:val="000000" w:themeColor="text1"/>
        </w:rPr>
        <w:tab/>
      </w:r>
      <w:r w:rsidR="00433929" w:rsidRPr="00A52AB8">
        <w:rPr>
          <w:color w:val="000000" w:themeColor="text1"/>
        </w:rPr>
        <w:tab/>
        <w:t>for</w:t>
      </w:r>
      <w:r w:rsidR="00AF6232" w:rsidRPr="00A52AB8">
        <w:rPr>
          <w:color w:val="000000" w:themeColor="text1"/>
        </w:rPr>
        <w:t>( x</w:t>
      </w:r>
      <w:r w:rsidR="00D47707" w:rsidRPr="00A52AB8">
        <w:rPr>
          <w:color w:val="000000" w:themeColor="text1"/>
        </w:rPr>
        <w:t> = </w:t>
      </w:r>
      <w:r w:rsidR="00433929" w:rsidRPr="00A52AB8">
        <w:rPr>
          <w:color w:val="000000" w:themeColor="text1"/>
        </w:rPr>
        <w:t>0</w:t>
      </w:r>
      <w:r w:rsidR="00AF6232" w:rsidRPr="00A52AB8">
        <w:rPr>
          <w:color w:val="000000" w:themeColor="text1"/>
        </w:rPr>
        <w:t>; x &lt; </w:t>
      </w:r>
      <w:r w:rsidR="00237C30" w:rsidRPr="00A52AB8">
        <w:rPr>
          <w:color w:val="000000" w:themeColor="text1"/>
        </w:rPr>
        <w:t>i</w:t>
      </w:r>
      <w:r w:rsidR="00433929" w:rsidRPr="00A52AB8">
        <w:rPr>
          <w:color w:val="000000" w:themeColor="text1"/>
        </w:rPr>
        <w:t>Width ;</w:t>
      </w:r>
      <w:r w:rsidR="00AF6232" w:rsidRPr="00A52AB8">
        <w:rPr>
          <w:color w:val="000000" w:themeColor="text1"/>
        </w:rPr>
        <w:t> </w:t>
      </w:r>
      <w:r w:rsidR="00433929" w:rsidRPr="00A52AB8">
        <w:rPr>
          <w:color w:val="000000" w:themeColor="text1"/>
        </w:rPr>
        <w:t>x</w:t>
      </w:r>
      <w:r w:rsidR="00006CCF" w:rsidRPr="00A52AB8">
        <w:rPr>
          <w:color w:val="000000" w:themeColor="text1"/>
        </w:rPr>
        <w:t>++ </w:t>
      </w:r>
      <w:r w:rsidR="008F1F82" w:rsidRPr="00A52AB8">
        <w:rPr>
          <w:color w:val="000000" w:themeColor="text1"/>
        </w:rPr>
        <w:t>) {</w:t>
      </w:r>
      <w:r w:rsidR="00AF6232" w:rsidRPr="00A52AB8">
        <w:rPr>
          <w:color w:val="000000" w:themeColor="text1"/>
        </w:rPr>
        <w:br/>
      </w:r>
      <w:r w:rsidR="008024A4" w:rsidRPr="00A52AB8">
        <w:rPr>
          <w:color w:val="000000" w:themeColor="text1"/>
        </w:rPr>
        <w:tab/>
      </w:r>
      <w:r w:rsidR="00AF6232" w:rsidRPr="00A52AB8">
        <w:rPr>
          <w:color w:val="000000" w:themeColor="text1"/>
        </w:rPr>
        <w:tab/>
      </w:r>
      <w:r w:rsidRPr="00A52AB8">
        <w:rPr>
          <w:color w:val="000000" w:themeColor="text1"/>
        </w:rPr>
        <w:tab/>
      </w:r>
      <w:r w:rsidR="00AF6232" w:rsidRPr="00A52AB8">
        <w:rPr>
          <w:color w:val="000000" w:themeColor="text1"/>
        </w:rPr>
        <w:tab/>
      </w:r>
      <w:r w:rsidR="00AF6232" w:rsidRPr="00A52AB8">
        <w:rPr>
          <w:color w:val="000000" w:themeColor="text1"/>
        </w:rPr>
        <w:tab/>
      </w:r>
      <w:r w:rsidR="00433929" w:rsidRPr="00A52AB8">
        <w:rPr>
          <w:color w:val="000000" w:themeColor="text1"/>
        </w:rPr>
        <w:tab/>
      </w:r>
      <w:r w:rsidR="00D06E4D" w:rsidRPr="00A52AB8">
        <w:rPr>
          <w:color w:val="000000" w:themeColor="text1"/>
        </w:rPr>
        <w:tab/>
      </w:r>
      <w:r w:rsidR="00433929" w:rsidRPr="00A52AB8">
        <w:rPr>
          <w:color w:val="000000" w:themeColor="text1"/>
        </w:rPr>
        <w:tab/>
      </w:r>
      <w:r w:rsidR="00890C8F" w:rsidRPr="00A52AB8">
        <w:rPr>
          <w:color w:val="000000" w:themeColor="text1"/>
        </w:rPr>
        <w:t>oFrame</w:t>
      </w:r>
      <w:r w:rsidR="008024A4" w:rsidRPr="00A52AB8">
        <w:rPr>
          <w:color w:val="000000" w:themeColor="text1"/>
        </w:rPr>
        <w:t>s</w:t>
      </w:r>
      <w:r w:rsidR="0006494C" w:rsidRPr="00A52AB8">
        <w:rPr>
          <w:color w:val="000000" w:themeColor="text1"/>
        </w:rPr>
        <w:t>[ </w:t>
      </w:r>
      <w:r w:rsidR="001F4484" w:rsidRPr="00A52AB8">
        <w:rPr>
          <w:color w:val="000000" w:themeColor="text1"/>
        </w:rPr>
        <w:t>i ]</w:t>
      </w:r>
      <w:r w:rsidR="00B64B6E" w:rsidRPr="00A52AB8">
        <w:rPr>
          <w:color w:val="000000" w:themeColor="text1"/>
        </w:rPr>
        <w:t>[ </w:t>
      </w:r>
      <w:r w:rsidR="008024A4" w:rsidRPr="00A52AB8">
        <w:rPr>
          <w:color w:val="000000" w:themeColor="text1"/>
        </w:rPr>
        <w:t>f </w:t>
      </w:r>
      <w:r w:rsidR="00B64B6E" w:rsidRPr="00A52AB8">
        <w:rPr>
          <w:color w:val="000000" w:themeColor="text1"/>
        </w:rPr>
        <w:t>]</w:t>
      </w:r>
      <w:r w:rsidR="00D770D3" w:rsidRPr="00A52AB8">
        <w:rPr>
          <w:color w:val="000000" w:themeColor="text1"/>
        </w:rPr>
        <w:t>[ </w:t>
      </w:r>
      <w:r w:rsidR="00370509" w:rsidRPr="00A52AB8">
        <w:rPr>
          <w:color w:val="000000" w:themeColor="text1"/>
        </w:rPr>
        <w:t>c </w:t>
      </w:r>
      <w:r w:rsidR="00D770D3" w:rsidRPr="00A52AB8">
        <w:rPr>
          <w:color w:val="000000" w:themeColor="text1"/>
        </w:rPr>
        <w:t>]</w:t>
      </w:r>
      <w:r w:rsidR="004B7314" w:rsidRPr="00A52AB8">
        <w:rPr>
          <w:color w:val="000000" w:themeColor="text1"/>
        </w:rPr>
        <w:t>[ y ][ x ]</w:t>
      </w:r>
      <w:r w:rsidR="00AF6232" w:rsidRPr="00A52AB8">
        <w:rPr>
          <w:color w:val="000000" w:themeColor="text1"/>
        </w:rPr>
        <w:t> </w:t>
      </w:r>
      <w:r w:rsidR="00433929" w:rsidRPr="00A52AB8">
        <w:rPr>
          <w:color w:val="000000" w:themeColor="text1"/>
        </w:rPr>
        <w:t>=</w:t>
      </w:r>
      <w:r w:rsidR="00C61E38" w:rsidRPr="00A52AB8">
        <w:rPr>
          <w:color w:val="000000" w:themeColor="text1"/>
        </w:rPr>
        <w:br/>
      </w:r>
      <w:r w:rsidR="008024A4" w:rsidRPr="00A52AB8">
        <w:rPr>
          <w:color w:val="000000" w:themeColor="text1"/>
        </w:rPr>
        <w:tab/>
      </w:r>
      <w:r w:rsidR="00D06E4D" w:rsidRPr="00A52AB8">
        <w:rPr>
          <w:color w:val="000000" w:themeColor="text1"/>
        </w:rPr>
        <w:tab/>
      </w:r>
      <w:r w:rsidR="00D06E4D" w:rsidRPr="00A52AB8">
        <w:rPr>
          <w:color w:val="000000" w:themeColor="text1"/>
        </w:rPr>
        <w:tab/>
      </w:r>
      <w:r w:rsidR="00D06E4D" w:rsidRPr="00A52AB8">
        <w:rPr>
          <w:color w:val="000000" w:themeColor="text1"/>
        </w:rPr>
        <w:tab/>
      </w:r>
      <w:r w:rsidR="00D06E4D" w:rsidRPr="00A52AB8">
        <w:rPr>
          <w:color w:val="000000" w:themeColor="text1"/>
        </w:rPr>
        <w:tab/>
      </w:r>
      <w:r w:rsidR="00D06E4D" w:rsidRPr="00A52AB8">
        <w:rPr>
          <w:color w:val="000000" w:themeColor="text1"/>
        </w:rPr>
        <w:tab/>
      </w:r>
      <w:r w:rsidR="00D06E4D" w:rsidRPr="00A52AB8">
        <w:rPr>
          <w:color w:val="000000" w:themeColor="text1"/>
        </w:rPr>
        <w:tab/>
      </w:r>
      <w:r w:rsidR="00D06E4D" w:rsidRPr="00A52AB8">
        <w:rPr>
          <w:color w:val="000000" w:themeColor="text1"/>
        </w:rPr>
        <w:tab/>
      </w:r>
      <w:r w:rsidR="00D06E4D" w:rsidRPr="00A52AB8">
        <w:rPr>
          <w:color w:val="000000" w:themeColor="text1"/>
        </w:rPr>
        <w:tab/>
      </w:r>
      <w:r w:rsidR="00433929" w:rsidRPr="00A52AB8">
        <w:rPr>
          <w:color w:val="000000" w:themeColor="text1"/>
        </w:rPr>
        <w:t>Clip3(</w:t>
      </w:r>
      <w:r w:rsidR="00AF6232" w:rsidRPr="00A52AB8">
        <w:rPr>
          <w:color w:val="000000" w:themeColor="text1"/>
        </w:rPr>
        <w:t> </w:t>
      </w:r>
      <w:r w:rsidR="00433929" w:rsidRPr="00A52AB8">
        <w:rPr>
          <w:color w:val="000000" w:themeColor="text1"/>
        </w:rPr>
        <w:t>0,</w:t>
      </w:r>
      <w:r w:rsidR="00AF6232" w:rsidRPr="00A52AB8">
        <w:rPr>
          <w:color w:val="000000" w:themeColor="text1"/>
        </w:rPr>
        <w:t> </w:t>
      </w:r>
      <w:r w:rsidR="00433929" w:rsidRPr="00A52AB8">
        <w:rPr>
          <w:color w:val="000000" w:themeColor="text1"/>
        </w:rPr>
        <w:t>geoMaxValue,</w:t>
      </w:r>
      <w:r w:rsidR="00AF6232" w:rsidRPr="00A52AB8">
        <w:rPr>
          <w:color w:val="000000" w:themeColor="text1"/>
        </w:rPr>
        <w:t> </w:t>
      </w:r>
      <w:r w:rsidR="008024A4" w:rsidRPr="00A52AB8">
        <w:rPr>
          <w:color w:val="000000" w:themeColor="text1"/>
        </w:rPr>
        <w:t>iFrames</w:t>
      </w:r>
      <w:r w:rsidR="001F4484" w:rsidRPr="00A52AB8">
        <w:rPr>
          <w:color w:val="000000" w:themeColor="text1"/>
        </w:rPr>
        <w:t>[ i ]</w:t>
      </w:r>
      <w:r w:rsidR="00B64B6E" w:rsidRPr="00A52AB8">
        <w:rPr>
          <w:color w:val="000000" w:themeColor="text1"/>
        </w:rPr>
        <w:t>[ </w:t>
      </w:r>
      <w:r w:rsidR="008024A4" w:rsidRPr="00A52AB8">
        <w:rPr>
          <w:color w:val="000000" w:themeColor="text1"/>
        </w:rPr>
        <w:t>f </w:t>
      </w:r>
      <w:r w:rsidR="00B64B6E" w:rsidRPr="00A52AB8">
        <w:rPr>
          <w:color w:val="000000" w:themeColor="text1"/>
        </w:rPr>
        <w:t>]</w:t>
      </w:r>
      <w:r w:rsidR="00D770D3" w:rsidRPr="00A52AB8">
        <w:rPr>
          <w:color w:val="000000" w:themeColor="text1"/>
        </w:rPr>
        <w:t>[ </w:t>
      </w:r>
      <w:r w:rsidR="00370509" w:rsidRPr="00A52AB8">
        <w:rPr>
          <w:color w:val="000000" w:themeColor="text1"/>
        </w:rPr>
        <w:t>c</w:t>
      </w:r>
      <w:r w:rsidR="00D770D3" w:rsidRPr="00A52AB8">
        <w:rPr>
          <w:color w:val="000000" w:themeColor="text1"/>
        </w:rPr>
        <w:t> ]</w:t>
      </w:r>
      <w:r w:rsidR="004B7314" w:rsidRPr="00A52AB8">
        <w:rPr>
          <w:color w:val="000000" w:themeColor="text1"/>
        </w:rPr>
        <w:t>[ y ][ x ]</w:t>
      </w:r>
      <w:r w:rsidR="00AF6232" w:rsidRPr="00A52AB8">
        <w:rPr>
          <w:color w:val="000000" w:themeColor="text1"/>
        </w:rPr>
        <w:t> </w:t>
      </w:r>
      <w:r w:rsidR="00433929" w:rsidRPr="00A52AB8">
        <w:rPr>
          <w:color w:val="000000" w:themeColor="text1"/>
        </w:rPr>
        <w:t>+</w:t>
      </w:r>
      <w:r w:rsidR="00C61E38" w:rsidRPr="00A52AB8">
        <w:rPr>
          <w:color w:val="000000" w:themeColor="text1"/>
        </w:rPr>
        <w:br/>
      </w:r>
      <w:r w:rsidR="00684171" w:rsidRPr="00A52AB8">
        <w:rPr>
          <w:color w:val="000000" w:themeColor="text1"/>
        </w:rPr>
        <w:tab/>
      </w:r>
      <w:r w:rsidR="008024A4" w:rsidRPr="00A52AB8">
        <w:rPr>
          <w:color w:val="000000" w:themeColor="text1"/>
        </w:rPr>
        <w:tab/>
      </w:r>
      <w:r w:rsidR="008024A4" w:rsidRPr="00A52AB8">
        <w:rPr>
          <w:color w:val="000000" w:themeColor="text1"/>
        </w:rPr>
        <w:tab/>
      </w:r>
      <w:r w:rsidR="00684171" w:rsidRPr="00A52AB8">
        <w:rPr>
          <w:color w:val="000000" w:themeColor="text1"/>
        </w:rPr>
        <w:tab/>
      </w:r>
      <w:r w:rsidR="00684171" w:rsidRPr="00A52AB8">
        <w:rPr>
          <w:color w:val="000000" w:themeColor="text1"/>
        </w:rPr>
        <w:tab/>
      </w:r>
      <w:r w:rsidR="00D75933" w:rsidRPr="00A52AB8">
        <w:rPr>
          <w:color w:val="000000" w:themeColor="text1"/>
        </w:rPr>
        <w:tab/>
      </w:r>
      <w:r w:rsidR="00D75933" w:rsidRPr="00A52AB8">
        <w:rPr>
          <w:color w:val="000000" w:themeColor="text1"/>
        </w:rPr>
        <w:tab/>
      </w:r>
      <w:r w:rsidR="00D75933" w:rsidRPr="00A52AB8">
        <w:rPr>
          <w:color w:val="000000" w:themeColor="text1"/>
        </w:rPr>
        <w:tab/>
      </w:r>
      <w:r w:rsidR="00D75933" w:rsidRPr="00A52AB8">
        <w:rPr>
          <w:color w:val="000000" w:themeColor="text1"/>
        </w:rPr>
        <w:tab/>
      </w:r>
      <w:r w:rsidR="00D06E4D" w:rsidRPr="00A52AB8">
        <w:rPr>
          <w:color w:val="000000" w:themeColor="text1"/>
        </w:rPr>
        <w:tab/>
      </w:r>
      <w:r w:rsidR="00917F7F" w:rsidRPr="00A52AB8">
        <w:rPr>
          <w:color w:val="000000" w:themeColor="text1"/>
        </w:rPr>
        <w:t>o</w:t>
      </w:r>
      <w:r w:rsidR="008024A4" w:rsidRPr="00A52AB8">
        <w:rPr>
          <w:color w:val="000000" w:themeColor="text1"/>
        </w:rPr>
        <w:t>Frames</w:t>
      </w:r>
      <w:r w:rsidR="001F4484" w:rsidRPr="00A52AB8">
        <w:rPr>
          <w:color w:val="000000" w:themeColor="text1"/>
        </w:rPr>
        <w:t>[ j ]</w:t>
      </w:r>
      <w:r w:rsidR="00B64B6E" w:rsidRPr="00A52AB8">
        <w:rPr>
          <w:color w:val="000000" w:themeColor="text1"/>
        </w:rPr>
        <w:t>[ </w:t>
      </w:r>
      <w:r w:rsidR="008024A4" w:rsidRPr="00A52AB8">
        <w:rPr>
          <w:color w:val="000000" w:themeColor="text1"/>
        </w:rPr>
        <w:t>f </w:t>
      </w:r>
      <w:r w:rsidR="00B64B6E" w:rsidRPr="00A52AB8">
        <w:rPr>
          <w:color w:val="000000" w:themeColor="text1"/>
        </w:rPr>
        <w:t>]</w:t>
      </w:r>
      <w:r w:rsidR="00D770D3" w:rsidRPr="00A52AB8">
        <w:rPr>
          <w:color w:val="000000" w:themeColor="text1"/>
        </w:rPr>
        <w:t>[ </w:t>
      </w:r>
      <w:r w:rsidR="00370509" w:rsidRPr="00A52AB8">
        <w:rPr>
          <w:color w:val="000000" w:themeColor="text1"/>
        </w:rPr>
        <w:t>c</w:t>
      </w:r>
      <w:r w:rsidR="00D770D3" w:rsidRPr="00A52AB8">
        <w:rPr>
          <w:color w:val="000000" w:themeColor="text1"/>
        </w:rPr>
        <w:t> ]</w:t>
      </w:r>
      <w:r w:rsidR="004B7314" w:rsidRPr="00A52AB8">
        <w:rPr>
          <w:color w:val="000000" w:themeColor="text1"/>
        </w:rPr>
        <w:t>[ y ][ x ]</w:t>
      </w:r>
      <w:r w:rsidR="00AF6232" w:rsidRPr="00A52AB8">
        <w:rPr>
          <w:color w:val="000000" w:themeColor="text1"/>
        </w:rPr>
        <w:t> </w:t>
      </w:r>
      <w:r w:rsidR="00433929" w:rsidRPr="00A52AB8">
        <w:rPr>
          <w:color w:val="000000" w:themeColor="text1"/>
        </w:rPr>
        <w:t>)</w:t>
      </w:r>
      <w:r w:rsidR="008024A4" w:rsidRPr="00A52AB8">
        <w:rPr>
          <w:color w:val="000000" w:themeColor="text1"/>
        </w:rPr>
        <w:br/>
      </w:r>
      <w:r w:rsidR="008024A4" w:rsidRPr="00A52AB8">
        <w:rPr>
          <w:color w:val="000000" w:themeColor="text1"/>
        </w:rPr>
        <w:tab/>
      </w:r>
      <w:r w:rsidR="008024A4" w:rsidRPr="00A52AB8">
        <w:rPr>
          <w:color w:val="000000" w:themeColor="text1"/>
        </w:rPr>
        <w:tab/>
      </w:r>
      <w:r w:rsidR="008024A4" w:rsidRPr="00A52AB8">
        <w:rPr>
          <w:color w:val="000000" w:themeColor="text1"/>
        </w:rPr>
        <w:tab/>
      </w:r>
      <w:r w:rsidR="008024A4" w:rsidRPr="00A52AB8">
        <w:rPr>
          <w:color w:val="000000" w:themeColor="text1"/>
        </w:rPr>
        <w:tab/>
      </w:r>
      <w:r w:rsidR="008024A4" w:rsidRPr="00A52AB8">
        <w:rPr>
          <w:color w:val="000000" w:themeColor="text1"/>
        </w:rPr>
        <w:tab/>
      </w:r>
      <w:r w:rsidR="008024A4" w:rsidRPr="00A52AB8">
        <w:rPr>
          <w:color w:val="000000" w:themeColor="text1"/>
        </w:rPr>
        <w:tab/>
      </w:r>
      <w:r w:rsidR="008024A4" w:rsidRPr="00A52AB8">
        <w:rPr>
          <w:color w:val="000000" w:themeColor="text1"/>
        </w:rPr>
        <w:tab/>
        <w:t>}</w:t>
      </w:r>
      <w:r w:rsidR="008024A4" w:rsidRPr="00A52AB8">
        <w:rPr>
          <w:color w:val="000000" w:themeColor="text1"/>
        </w:rPr>
        <w:br/>
      </w:r>
      <w:r w:rsidR="008024A4" w:rsidRPr="00A52AB8">
        <w:rPr>
          <w:color w:val="000000" w:themeColor="text1"/>
        </w:rPr>
        <w:tab/>
      </w:r>
      <w:r w:rsidR="008024A4" w:rsidRPr="00A52AB8">
        <w:rPr>
          <w:color w:val="000000" w:themeColor="text1"/>
        </w:rPr>
        <w:tab/>
      </w:r>
      <w:r w:rsidR="008024A4" w:rsidRPr="00A52AB8">
        <w:rPr>
          <w:color w:val="000000" w:themeColor="text1"/>
        </w:rPr>
        <w:tab/>
      </w:r>
      <w:r w:rsidR="008024A4" w:rsidRPr="00A52AB8">
        <w:rPr>
          <w:color w:val="000000" w:themeColor="text1"/>
        </w:rPr>
        <w:tab/>
      </w:r>
      <w:r w:rsidR="008024A4" w:rsidRPr="00A52AB8">
        <w:rPr>
          <w:color w:val="000000" w:themeColor="text1"/>
        </w:rPr>
        <w:tab/>
      </w:r>
      <w:r w:rsidR="008024A4" w:rsidRPr="00A52AB8">
        <w:rPr>
          <w:color w:val="000000" w:themeColor="text1"/>
        </w:rPr>
        <w:tab/>
        <w:t>}</w:t>
      </w:r>
      <w:r w:rsidR="008024A4" w:rsidRPr="00A52AB8">
        <w:rPr>
          <w:color w:val="000000" w:themeColor="text1"/>
        </w:rPr>
        <w:br/>
      </w:r>
      <w:r w:rsidR="008024A4" w:rsidRPr="00A52AB8">
        <w:rPr>
          <w:color w:val="000000" w:themeColor="text1"/>
        </w:rPr>
        <w:tab/>
      </w:r>
      <w:r w:rsidR="008024A4" w:rsidRPr="00A52AB8">
        <w:rPr>
          <w:color w:val="000000" w:themeColor="text1"/>
        </w:rPr>
        <w:tab/>
      </w:r>
      <w:r w:rsidR="008024A4" w:rsidRPr="00A52AB8">
        <w:rPr>
          <w:color w:val="000000" w:themeColor="text1"/>
        </w:rPr>
        <w:tab/>
      </w:r>
      <w:r w:rsidR="008024A4" w:rsidRPr="00A52AB8">
        <w:rPr>
          <w:color w:val="000000" w:themeColor="text1"/>
        </w:rPr>
        <w:tab/>
      </w:r>
      <w:r w:rsidR="008024A4" w:rsidRPr="00A52AB8">
        <w:rPr>
          <w:color w:val="000000" w:themeColor="text1"/>
        </w:rPr>
        <w:tab/>
        <w:t>}</w:t>
      </w:r>
      <w:r w:rsidR="00AF6232" w:rsidRPr="00A52AB8">
        <w:rPr>
          <w:color w:val="000000" w:themeColor="text1"/>
        </w:rPr>
        <w:br/>
      </w:r>
      <w:r w:rsidR="00684171" w:rsidRPr="00A52AB8">
        <w:rPr>
          <w:color w:val="000000" w:themeColor="text1"/>
        </w:rPr>
        <w:tab/>
      </w:r>
      <w:r w:rsidR="00D06E4D" w:rsidRPr="00A52AB8">
        <w:rPr>
          <w:color w:val="000000" w:themeColor="text1"/>
        </w:rPr>
        <w:tab/>
      </w:r>
      <w:r w:rsidRPr="00A52AB8">
        <w:rPr>
          <w:color w:val="000000" w:themeColor="text1"/>
        </w:rPr>
        <w:tab/>
      </w:r>
      <w:r w:rsidR="00684171" w:rsidRPr="00A52AB8">
        <w:rPr>
          <w:color w:val="000000" w:themeColor="text1"/>
        </w:rPr>
        <w:tab/>
      </w:r>
      <w:r w:rsidR="0023721F" w:rsidRPr="00A52AB8">
        <w:rPr>
          <w:color w:val="000000" w:themeColor="text1"/>
        </w:rPr>
        <w:t>} else {</w:t>
      </w:r>
      <w:r w:rsidR="008024A4" w:rsidRPr="00A52AB8">
        <w:rPr>
          <w:color w:val="000000" w:themeColor="text1"/>
        </w:rPr>
        <w:br/>
      </w:r>
      <w:r w:rsidR="008024A4" w:rsidRPr="00A52AB8">
        <w:rPr>
          <w:color w:val="000000" w:themeColor="text1"/>
        </w:rPr>
        <w:tab/>
      </w:r>
      <w:r w:rsidR="008024A4" w:rsidRPr="00A52AB8">
        <w:rPr>
          <w:color w:val="000000" w:themeColor="text1"/>
        </w:rPr>
        <w:tab/>
      </w:r>
      <w:r w:rsidR="008024A4" w:rsidRPr="00A52AB8">
        <w:rPr>
          <w:color w:val="000000" w:themeColor="text1"/>
        </w:rPr>
        <w:tab/>
      </w:r>
      <w:r w:rsidR="008024A4" w:rsidRPr="00A52AB8">
        <w:rPr>
          <w:color w:val="000000" w:themeColor="text1"/>
        </w:rPr>
        <w:tab/>
      </w:r>
      <w:r w:rsidR="008024A4" w:rsidRPr="00A52AB8">
        <w:rPr>
          <w:color w:val="000000" w:themeColor="text1"/>
        </w:rPr>
        <w:tab/>
        <w:t>for( c</w:t>
      </w:r>
      <w:r w:rsidR="00D47707" w:rsidRPr="00A52AB8">
        <w:rPr>
          <w:color w:val="000000" w:themeColor="text1"/>
        </w:rPr>
        <w:t> = </w:t>
      </w:r>
      <w:r w:rsidR="008024A4" w:rsidRPr="00A52AB8">
        <w:rPr>
          <w:color w:val="000000" w:themeColor="text1"/>
        </w:rPr>
        <w:t>0; c &lt; iNumComp ; y++ </w:t>
      </w:r>
      <w:r w:rsidR="008F1F82" w:rsidRPr="00A52AB8">
        <w:rPr>
          <w:color w:val="000000" w:themeColor="text1"/>
        </w:rPr>
        <w:t>) {</w:t>
      </w:r>
      <w:r w:rsidR="00AF6232" w:rsidRPr="00A52AB8">
        <w:rPr>
          <w:color w:val="000000" w:themeColor="text1"/>
        </w:rPr>
        <w:br/>
      </w:r>
      <w:r w:rsidR="008024A4" w:rsidRPr="00A52AB8">
        <w:rPr>
          <w:color w:val="000000" w:themeColor="text1"/>
        </w:rPr>
        <w:tab/>
      </w:r>
      <w:r w:rsidR="00D06E4D" w:rsidRPr="00A52AB8">
        <w:rPr>
          <w:color w:val="000000" w:themeColor="text1"/>
        </w:rPr>
        <w:tab/>
      </w:r>
      <w:r w:rsidR="00684171" w:rsidRPr="00A52AB8">
        <w:rPr>
          <w:color w:val="000000" w:themeColor="text1"/>
        </w:rPr>
        <w:tab/>
      </w:r>
      <w:r w:rsidRPr="00A52AB8">
        <w:rPr>
          <w:color w:val="000000" w:themeColor="text1"/>
        </w:rPr>
        <w:tab/>
      </w:r>
      <w:r w:rsidR="00684171" w:rsidRPr="00A52AB8">
        <w:rPr>
          <w:color w:val="000000" w:themeColor="text1"/>
        </w:rPr>
        <w:tab/>
      </w:r>
      <w:r w:rsidR="00AF6232" w:rsidRPr="00A52AB8">
        <w:rPr>
          <w:color w:val="000000" w:themeColor="text1"/>
        </w:rPr>
        <w:tab/>
      </w:r>
      <w:r w:rsidR="00433929" w:rsidRPr="00A52AB8">
        <w:rPr>
          <w:color w:val="000000" w:themeColor="text1"/>
        </w:rPr>
        <w:t>for</w:t>
      </w:r>
      <w:r w:rsidR="00AF6232" w:rsidRPr="00A52AB8">
        <w:rPr>
          <w:color w:val="000000" w:themeColor="text1"/>
        </w:rPr>
        <w:t>( y</w:t>
      </w:r>
      <w:r w:rsidR="00D47707" w:rsidRPr="00A52AB8">
        <w:rPr>
          <w:color w:val="000000" w:themeColor="text1"/>
        </w:rPr>
        <w:t> = </w:t>
      </w:r>
      <w:r w:rsidR="00433929" w:rsidRPr="00A52AB8">
        <w:rPr>
          <w:color w:val="000000" w:themeColor="text1"/>
        </w:rPr>
        <w:t>0</w:t>
      </w:r>
      <w:r w:rsidR="00AF6232" w:rsidRPr="00A52AB8">
        <w:rPr>
          <w:color w:val="000000" w:themeColor="text1"/>
        </w:rPr>
        <w:t>; y </w:t>
      </w:r>
      <w:r w:rsidR="00433929" w:rsidRPr="00A52AB8">
        <w:rPr>
          <w:color w:val="000000" w:themeColor="text1"/>
        </w:rPr>
        <w:t>&lt;</w:t>
      </w:r>
      <w:r w:rsidR="00AF6232" w:rsidRPr="00A52AB8">
        <w:rPr>
          <w:color w:val="000000" w:themeColor="text1"/>
        </w:rPr>
        <w:t> </w:t>
      </w:r>
      <w:r w:rsidR="008024A4" w:rsidRPr="00A52AB8">
        <w:rPr>
          <w:color w:val="000000" w:themeColor="text1"/>
        </w:rPr>
        <w:t>i</w:t>
      </w:r>
      <w:r w:rsidR="00433929" w:rsidRPr="00A52AB8">
        <w:rPr>
          <w:color w:val="000000" w:themeColor="text1"/>
        </w:rPr>
        <w:t>Height ;</w:t>
      </w:r>
      <w:r w:rsidR="00AF6232" w:rsidRPr="00A52AB8">
        <w:rPr>
          <w:color w:val="000000" w:themeColor="text1"/>
        </w:rPr>
        <w:t> </w:t>
      </w:r>
      <w:r w:rsidR="00433929" w:rsidRPr="00A52AB8">
        <w:rPr>
          <w:color w:val="000000" w:themeColor="text1"/>
        </w:rPr>
        <w:t>y</w:t>
      </w:r>
      <w:r w:rsidR="00006CCF" w:rsidRPr="00A52AB8">
        <w:rPr>
          <w:color w:val="000000" w:themeColor="text1"/>
        </w:rPr>
        <w:t>++ </w:t>
      </w:r>
      <w:r w:rsidR="008F1F82" w:rsidRPr="00A52AB8">
        <w:rPr>
          <w:color w:val="000000" w:themeColor="text1"/>
        </w:rPr>
        <w:t>) {</w:t>
      </w:r>
      <w:r w:rsidR="00AF6232" w:rsidRPr="00A52AB8">
        <w:rPr>
          <w:color w:val="000000" w:themeColor="text1"/>
        </w:rPr>
        <w:br/>
      </w:r>
      <w:r w:rsidR="00684171" w:rsidRPr="00A52AB8">
        <w:rPr>
          <w:color w:val="000000" w:themeColor="text1"/>
        </w:rPr>
        <w:tab/>
      </w:r>
      <w:r w:rsidR="008024A4" w:rsidRPr="00A52AB8">
        <w:rPr>
          <w:color w:val="000000" w:themeColor="text1"/>
        </w:rPr>
        <w:tab/>
      </w:r>
      <w:r w:rsidRPr="00A52AB8">
        <w:rPr>
          <w:color w:val="000000" w:themeColor="text1"/>
        </w:rPr>
        <w:tab/>
      </w:r>
      <w:r w:rsidR="00684171" w:rsidRPr="00A52AB8">
        <w:rPr>
          <w:color w:val="000000" w:themeColor="text1"/>
        </w:rPr>
        <w:tab/>
      </w:r>
      <w:r w:rsidR="00D75933" w:rsidRPr="00A52AB8">
        <w:rPr>
          <w:color w:val="000000" w:themeColor="text1"/>
        </w:rPr>
        <w:tab/>
      </w:r>
      <w:r w:rsidR="00D75933" w:rsidRPr="00A52AB8">
        <w:rPr>
          <w:color w:val="000000" w:themeColor="text1"/>
        </w:rPr>
        <w:tab/>
      </w:r>
      <w:r w:rsidR="00D06E4D" w:rsidRPr="00A52AB8">
        <w:rPr>
          <w:color w:val="000000" w:themeColor="text1"/>
        </w:rPr>
        <w:tab/>
      </w:r>
      <w:r w:rsidR="00433929" w:rsidRPr="00A52AB8">
        <w:rPr>
          <w:color w:val="000000" w:themeColor="text1"/>
        </w:rPr>
        <w:t>for</w:t>
      </w:r>
      <w:r w:rsidR="00684171" w:rsidRPr="00A52AB8">
        <w:rPr>
          <w:color w:val="000000" w:themeColor="text1"/>
        </w:rPr>
        <w:t>( x</w:t>
      </w:r>
      <w:r w:rsidR="00D47707" w:rsidRPr="00A52AB8">
        <w:rPr>
          <w:color w:val="000000" w:themeColor="text1"/>
        </w:rPr>
        <w:t> = </w:t>
      </w:r>
      <w:r w:rsidR="00433929" w:rsidRPr="00A52AB8">
        <w:rPr>
          <w:color w:val="000000" w:themeColor="text1"/>
        </w:rPr>
        <w:t>0</w:t>
      </w:r>
      <w:r w:rsidR="00684171" w:rsidRPr="00A52AB8">
        <w:rPr>
          <w:color w:val="000000" w:themeColor="text1"/>
        </w:rPr>
        <w:t>; x &lt; </w:t>
      </w:r>
      <w:r w:rsidR="008024A4" w:rsidRPr="00A52AB8">
        <w:rPr>
          <w:color w:val="000000" w:themeColor="text1"/>
        </w:rPr>
        <w:t>i</w:t>
      </w:r>
      <w:r w:rsidR="00433929" w:rsidRPr="00A52AB8">
        <w:rPr>
          <w:color w:val="000000" w:themeColor="text1"/>
        </w:rPr>
        <w:t>Width </w:t>
      </w:r>
      <w:r w:rsidR="00684171" w:rsidRPr="00A52AB8">
        <w:rPr>
          <w:color w:val="000000" w:themeColor="text1"/>
        </w:rPr>
        <w:t>; </w:t>
      </w:r>
      <w:r w:rsidR="00433929" w:rsidRPr="00A52AB8">
        <w:rPr>
          <w:color w:val="000000" w:themeColor="text1"/>
        </w:rPr>
        <w:t>x</w:t>
      </w:r>
      <w:r w:rsidR="00006CCF" w:rsidRPr="00A52AB8">
        <w:rPr>
          <w:color w:val="000000" w:themeColor="text1"/>
        </w:rPr>
        <w:t>++ </w:t>
      </w:r>
      <w:r w:rsidR="008F1F82" w:rsidRPr="00A52AB8">
        <w:rPr>
          <w:color w:val="000000" w:themeColor="text1"/>
        </w:rPr>
        <w:t>) {</w:t>
      </w:r>
      <w:r w:rsidR="00AF6232" w:rsidRPr="00A52AB8">
        <w:rPr>
          <w:color w:val="000000" w:themeColor="text1"/>
        </w:rPr>
        <w:br/>
      </w:r>
      <w:r w:rsidR="008024A4" w:rsidRPr="00A52AB8">
        <w:rPr>
          <w:color w:val="000000" w:themeColor="text1"/>
        </w:rPr>
        <w:tab/>
      </w:r>
      <w:r w:rsidR="00D75933" w:rsidRPr="00A52AB8">
        <w:rPr>
          <w:color w:val="000000" w:themeColor="text1"/>
        </w:rPr>
        <w:tab/>
      </w:r>
      <w:r w:rsidRPr="00A52AB8">
        <w:rPr>
          <w:color w:val="000000" w:themeColor="text1"/>
        </w:rPr>
        <w:tab/>
      </w:r>
      <w:r w:rsidR="00D75933" w:rsidRPr="00A52AB8">
        <w:rPr>
          <w:color w:val="000000" w:themeColor="text1"/>
        </w:rPr>
        <w:tab/>
      </w:r>
      <w:r w:rsidR="00684171" w:rsidRPr="00A52AB8">
        <w:rPr>
          <w:color w:val="000000" w:themeColor="text1"/>
        </w:rPr>
        <w:tab/>
      </w:r>
      <w:r w:rsidR="00D06E4D" w:rsidRPr="00A52AB8">
        <w:rPr>
          <w:color w:val="000000" w:themeColor="text1"/>
        </w:rPr>
        <w:tab/>
      </w:r>
      <w:r w:rsidR="00684171" w:rsidRPr="00A52AB8">
        <w:rPr>
          <w:color w:val="000000" w:themeColor="text1"/>
        </w:rPr>
        <w:tab/>
      </w:r>
      <w:r w:rsidR="00684171" w:rsidRPr="00A52AB8">
        <w:rPr>
          <w:color w:val="000000" w:themeColor="text1"/>
        </w:rPr>
        <w:tab/>
      </w:r>
      <w:r w:rsidR="00890C8F" w:rsidRPr="00A52AB8">
        <w:rPr>
          <w:color w:val="000000" w:themeColor="text1"/>
        </w:rPr>
        <w:t>oFrame</w:t>
      </w:r>
      <w:r w:rsidR="008024A4" w:rsidRPr="00A52AB8">
        <w:rPr>
          <w:color w:val="000000" w:themeColor="text1"/>
        </w:rPr>
        <w:t>s</w:t>
      </w:r>
      <w:r w:rsidR="001F4484" w:rsidRPr="00A52AB8">
        <w:rPr>
          <w:color w:val="000000" w:themeColor="text1"/>
        </w:rPr>
        <w:t>[ i ]</w:t>
      </w:r>
      <w:r w:rsidR="00433929" w:rsidRPr="00A52AB8">
        <w:rPr>
          <w:color w:val="000000" w:themeColor="text1"/>
        </w:rPr>
        <w:t>[ </w:t>
      </w:r>
      <w:r w:rsidR="008024A4" w:rsidRPr="00A52AB8">
        <w:rPr>
          <w:color w:val="000000" w:themeColor="text1"/>
        </w:rPr>
        <w:t>f </w:t>
      </w:r>
      <w:r w:rsidR="00433929" w:rsidRPr="00A52AB8">
        <w:rPr>
          <w:color w:val="000000" w:themeColor="text1"/>
        </w:rPr>
        <w:t>]</w:t>
      </w:r>
      <w:r w:rsidR="00D770D3" w:rsidRPr="00A52AB8">
        <w:rPr>
          <w:color w:val="000000" w:themeColor="text1"/>
        </w:rPr>
        <w:t>[ 0 ]</w:t>
      </w:r>
      <w:r w:rsidR="004B7314" w:rsidRPr="00A52AB8">
        <w:rPr>
          <w:color w:val="000000" w:themeColor="text1"/>
        </w:rPr>
        <w:t>[ y ][ x ]</w:t>
      </w:r>
      <w:r w:rsidR="00D47707" w:rsidRPr="00A52AB8">
        <w:rPr>
          <w:color w:val="000000" w:themeColor="text1"/>
        </w:rPr>
        <w:t> = </w:t>
      </w:r>
      <w:r w:rsidR="008024A4" w:rsidRPr="00A52AB8">
        <w:rPr>
          <w:color w:val="000000" w:themeColor="text1"/>
        </w:rPr>
        <w:t>i</w:t>
      </w:r>
      <w:r w:rsidR="00C73DC9" w:rsidRPr="00A52AB8">
        <w:rPr>
          <w:color w:val="000000" w:themeColor="text1"/>
        </w:rPr>
        <w:t>Frame</w:t>
      </w:r>
      <w:r w:rsidR="008024A4" w:rsidRPr="00A52AB8">
        <w:rPr>
          <w:color w:val="000000" w:themeColor="text1"/>
        </w:rPr>
        <w:t>s</w:t>
      </w:r>
      <w:r w:rsidR="001F4484" w:rsidRPr="00A52AB8">
        <w:rPr>
          <w:color w:val="000000" w:themeColor="text1"/>
        </w:rPr>
        <w:t>[ i ]</w:t>
      </w:r>
      <w:r w:rsidR="00433929" w:rsidRPr="00A52AB8">
        <w:rPr>
          <w:color w:val="000000" w:themeColor="text1"/>
        </w:rPr>
        <w:t>[ </w:t>
      </w:r>
      <w:r w:rsidR="008024A4" w:rsidRPr="00A52AB8">
        <w:rPr>
          <w:color w:val="000000" w:themeColor="text1"/>
        </w:rPr>
        <w:t>f </w:t>
      </w:r>
      <w:r w:rsidR="00433929" w:rsidRPr="00A52AB8">
        <w:rPr>
          <w:color w:val="000000" w:themeColor="text1"/>
        </w:rPr>
        <w:t>]</w:t>
      </w:r>
      <w:r w:rsidR="00D770D3" w:rsidRPr="00A52AB8">
        <w:rPr>
          <w:color w:val="000000" w:themeColor="text1"/>
        </w:rPr>
        <w:t>[ 0 ]</w:t>
      </w:r>
      <w:r w:rsidR="004B7314" w:rsidRPr="00A52AB8">
        <w:rPr>
          <w:color w:val="000000" w:themeColor="text1"/>
        </w:rPr>
        <w:t>[ y ][ x ]</w:t>
      </w:r>
      <w:r w:rsidR="008024A4" w:rsidRPr="00A52AB8">
        <w:rPr>
          <w:color w:val="000000" w:themeColor="text1"/>
        </w:rPr>
        <w:br/>
      </w:r>
      <w:r w:rsidR="008024A4" w:rsidRPr="00A52AB8">
        <w:rPr>
          <w:color w:val="000000" w:themeColor="text1"/>
        </w:rPr>
        <w:tab/>
      </w:r>
      <w:r w:rsidR="008024A4" w:rsidRPr="00A52AB8">
        <w:rPr>
          <w:color w:val="000000" w:themeColor="text1"/>
        </w:rPr>
        <w:tab/>
      </w:r>
      <w:r w:rsidR="008024A4" w:rsidRPr="00A52AB8">
        <w:rPr>
          <w:color w:val="000000" w:themeColor="text1"/>
        </w:rPr>
        <w:tab/>
      </w:r>
      <w:r w:rsidR="008024A4" w:rsidRPr="00A52AB8">
        <w:rPr>
          <w:color w:val="000000" w:themeColor="text1"/>
        </w:rPr>
        <w:tab/>
      </w:r>
      <w:r w:rsidR="008024A4" w:rsidRPr="00A52AB8">
        <w:rPr>
          <w:color w:val="000000" w:themeColor="text1"/>
        </w:rPr>
        <w:tab/>
      </w:r>
      <w:r w:rsidR="008024A4" w:rsidRPr="00A52AB8">
        <w:rPr>
          <w:color w:val="000000" w:themeColor="text1"/>
        </w:rPr>
        <w:tab/>
      </w:r>
      <w:r w:rsidR="008024A4" w:rsidRPr="00A52AB8">
        <w:rPr>
          <w:color w:val="000000" w:themeColor="text1"/>
        </w:rPr>
        <w:tab/>
        <w:t>}</w:t>
      </w:r>
      <w:r w:rsidR="008024A4" w:rsidRPr="00A52AB8">
        <w:rPr>
          <w:color w:val="000000" w:themeColor="text1"/>
        </w:rPr>
        <w:br/>
      </w:r>
      <w:r w:rsidR="008024A4" w:rsidRPr="00A52AB8">
        <w:rPr>
          <w:color w:val="000000" w:themeColor="text1"/>
        </w:rPr>
        <w:tab/>
      </w:r>
      <w:r w:rsidR="008024A4" w:rsidRPr="00A52AB8">
        <w:rPr>
          <w:color w:val="000000" w:themeColor="text1"/>
        </w:rPr>
        <w:tab/>
      </w:r>
      <w:r w:rsidR="008024A4" w:rsidRPr="00A52AB8">
        <w:rPr>
          <w:color w:val="000000" w:themeColor="text1"/>
        </w:rPr>
        <w:tab/>
      </w:r>
      <w:r w:rsidR="008024A4" w:rsidRPr="00A52AB8">
        <w:rPr>
          <w:color w:val="000000" w:themeColor="text1"/>
        </w:rPr>
        <w:tab/>
      </w:r>
      <w:r w:rsidR="008024A4" w:rsidRPr="00A52AB8">
        <w:rPr>
          <w:color w:val="000000" w:themeColor="text1"/>
        </w:rPr>
        <w:tab/>
      </w:r>
      <w:r w:rsidR="008024A4" w:rsidRPr="00A52AB8">
        <w:rPr>
          <w:color w:val="000000" w:themeColor="text1"/>
        </w:rPr>
        <w:tab/>
        <w:t>}</w:t>
      </w:r>
      <w:r w:rsidR="008024A4" w:rsidRPr="00A52AB8">
        <w:rPr>
          <w:color w:val="000000" w:themeColor="text1"/>
        </w:rPr>
        <w:br/>
      </w:r>
      <w:r w:rsidR="008024A4" w:rsidRPr="00A52AB8">
        <w:rPr>
          <w:color w:val="000000" w:themeColor="text1"/>
        </w:rPr>
        <w:tab/>
      </w:r>
      <w:r w:rsidR="008024A4" w:rsidRPr="00A52AB8">
        <w:rPr>
          <w:color w:val="000000" w:themeColor="text1"/>
        </w:rPr>
        <w:tab/>
      </w:r>
      <w:r w:rsidR="008024A4" w:rsidRPr="00A52AB8">
        <w:rPr>
          <w:color w:val="000000" w:themeColor="text1"/>
        </w:rPr>
        <w:tab/>
      </w:r>
      <w:r w:rsidR="008024A4" w:rsidRPr="00A52AB8">
        <w:rPr>
          <w:color w:val="000000" w:themeColor="text1"/>
        </w:rPr>
        <w:tab/>
      </w:r>
      <w:r w:rsidR="008024A4" w:rsidRPr="00A52AB8">
        <w:rPr>
          <w:color w:val="000000" w:themeColor="text1"/>
        </w:rPr>
        <w:tab/>
        <w:t>}</w:t>
      </w:r>
      <w:r w:rsidR="00AF6232" w:rsidRPr="00A52AB8">
        <w:rPr>
          <w:color w:val="000000" w:themeColor="text1"/>
        </w:rPr>
        <w:br/>
      </w:r>
      <w:r w:rsidR="00684171" w:rsidRPr="00A52AB8">
        <w:rPr>
          <w:color w:val="000000" w:themeColor="text1"/>
        </w:rPr>
        <w:tab/>
      </w:r>
      <w:r w:rsidRPr="00A52AB8">
        <w:rPr>
          <w:color w:val="000000" w:themeColor="text1"/>
        </w:rPr>
        <w:tab/>
      </w:r>
      <w:r w:rsidR="00D06E4D" w:rsidRPr="00A52AB8">
        <w:rPr>
          <w:color w:val="000000" w:themeColor="text1"/>
        </w:rPr>
        <w:tab/>
      </w:r>
      <w:r w:rsidR="00684171" w:rsidRPr="00A52AB8">
        <w:rPr>
          <w:color w:val="000000" w:themeColor="text1"/>
        </w:rPr>
        <w:tab/>
      </w:r>
      <w:r w:rsidR="00433929" w:rsidRPr="00A52AB8">
        <w:rPr>
          <w:color w:val="000000" w:themeColor="text1"/>
        </w:rPr>
        <w:t>}</w:t>
      </w:r>
      <w:r w:rsidR="00AF6232" w:rsidRPr="00A52AB8">
        <w:rPr>
          <w:color w:val="000000" w:themeColor="text1"/>
        </w:rPr>
        <w:br/>
      </w:r>
      <w:r w:rsidRPr="00A52AB8">
        <w:rPr>
          <w:color w:val="000000" w:themeColor="text1"/>
        </w:rPr>
        <w:tab/>
      </w:r>
      <w:r w:rsidR="00D06E4D" w:rsidRPr="00A52AB8">
        <w:rPr>
          <w:color w:val="000000" w:themeColor="text1"/>
        </w:rPr>
        <w:tab/>
      </w:r>
      <w:r w:rsidR="00D75933" w:rsidRPr="00A52AB8">
        <w:rPr>
          <w:color w:val="000000" w:themeColor="text1"/>
        </w:rPr>
        <w:tab/>
      </w:r>
      <w:r w:rsidR="00433929" w:rsidRPr="00A52AB8">
        <w:rPr>
          <w:color w:val="000000" w:themeColor="text1"/>
        </w:rPr>
        <w:t>}</w:t>
      </w:r>
      <w:r w:rsidR="00890C8F" w:rsidRPr="00A52AB8">
        <w:rPr>
          <w:color w:val="000000" w:themeColor="text1"/>
        </w:rPr>
        <w:br/>
      </w:r>
      <w:r w:rsidR="00D06E4D" w:rsidRPr="00A52AB8">
        <w:rPr>
          <w:color w:val="000000" w:themeColor="text1"/>
        </w:rPr>
        <w:tab/>
      </w:r>
      <w:r w:rsidRPr="00A52AB8">
        <w:rPr>
          <w:color w:val="000000" w:themeColor="text1"/>
        </w:rPr>
        <w:tab/>
      </w:r>
      <w:r w:rsidR="00D75933" w:rsidRPr="00A52AB8">
        <w:rPr>
          <w:color w:val="000000" w:themeColor="text1"/>
        </w:rPr>
        <w:t>}</w:t>
      </w:r>
      <w:r w:rsidR="00D06E4D" w:rsidRPr="00A52AB8">
        <w:rPr>
          <w:color w:val="000000" w:themeColor="text1"/>
        </w:rPr>
        <w:br/>
      </w:r>
      <w:r w:rsidR="00D06E4D" w:rsidRPr="00A52AB8">
        <w:rPr>
          <w:color w:val="000000" w:themeColor="text1"/>
        </w:rPr>
        <w:tab/>
        <w:t>}</w:t>
      </w:r>
    </w:p>
    <w:p w14:paraId="59D3D880" w14:textId="77777777" w:rsidR="004E4680" w:rsidRPr="00A52AB8" w:rsidRDefault="004E4680" w:rsidP="00792CFF">
      <w:pPr>
        <w:pStyle w:val="a2"/>
        <w:numPr>
          <w:ilvl w:val="2"/>
          <w:numId w:val="14"/>
        </w:numPr>
        <w:rPr>
          <w:color w:val="000000" w:themeColor="text1"/>
        </w:rPr>
      </w:pPr>
      <w:bookmarkStart w:id="4931" w:name="_Ref39746088"/>
      <w:bookmarkStart w:id="4932" w:name="_Ref39770166"/>
      <w:bookmarkStart w:id="4933" w:name="_Toc52181673"/>
      <w:r w:rsidRPr="00A52AB8">
        <w:rPr>
          <w:color w:val="000000" w:themeColor="text1"/>
        </w:rPr>
        <w:t xml:space="preserve">Attribute </w:t>
      </w:r>
      <w:r w:rsidR="00CF7DA7" w:rsidRPr="00A52AB8">
        <w:rPr>
          <w:color w:val="000000" w:themeColor="text1"/>
        </w:rPr>
        <w:t xml:space="preserve">map synthesis </w:t>
      </w:r>
      <w:r w:rsidRPr="00A52AB8">
        <w:rPr>
          <w:color w:val="000000" w:themeColor="text1"/>
        </w:rPr>
        <w:t>process</w:t>
      </w:r>
      <w:bookmarkEnd w:id="4931"/>
      <w:bookmarkEnd w:id="4932"/>
      <w:bookmarkEnd w:id="4933"/>
    </w:p>
    <w:p w14:paraId="4593497D" w14:textId="77777777" w:rsidR="0050235C" w:rsidRPr="00A52AB8" w:rsidRDefault="004C5B3F" w:rsidP="003667D4">
      <w:pPr>
        <w:rPr>
          <w:color w:val="000000" w:themeColor="text1"/>
        </w:rPr>
      </w:pPr>
      <w:r w:rsidRPr="00A52AB8">
        <w:rPr>
          <w:color w:val="000000" w:themeColor="text1"/>
        </w:rPr>
        <w:t>Inputs to this process are</w:t>
      </w:r>
      <w:r w:rsidR="00237C30" w:rsidRPr="00A52AB8">
        <w:rPr>
          <w:color w:val="000000" w:themeColor="text1"/>
        </w:rPr>
        <w:t>:</w:t>
      </w:r>
    </w:p>
    <w:p w14:paraId="42727B2C" w14:textId="6EF8459B" w:rsidR="00804654" w:rsidRPr="00A52AB8" w:rsidRDefault="00804654"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variable multipleMapStreamsPresentFlag, indicating the presence of multiple streams,</w:t>
      </w:r>
    </w:p>
    <w:p w14:paraId="47F3A480" w14:textId="77777777" w:rsidR="00804654" w:rsidRPr="00A52AB8" w:rsidRDefault="00804654"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variable mapCount, indicating the number of maps</w:t>
      </w:r>
    </w:p>
    <w:p w14:paraId="798A62AE" w14:textId="77777777" w:rsidR="0050235C" w:rsidRPr="00A52AB8" w:rsidRDefault="00804654"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variable numInputFrames, indicating the number of input frames,</w:t>
      </w:r>
    </w:p>
    <w:p w14:paraId="7BC57D4D" w14:textId="3E7715C1" w:rsidR="00804654" w:rsidRPr="00A52AB8" w:rsidRDefault="00804654"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variable iBitDepth, indicating the decoded geometry frames bit depth,</w:t>
      </w:r>
    </w:p>
    <w:p w14:paraId="6264DBCC" w14:textId="77777777" w:rsidR="00804654" w:rsidRPr="00A52AB8" w:rsidRDefault="00804654"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variable iNumComp, indicating the number of components for each frame,</w:t>
      </w:r>
    </w:p>
    <w:p w14:paraId="5250FF71" w14:textId="77777777" w:rsidR="00804654" w:rsidRPr="00A52AB8" w:rsidRDefault="00804654"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variable iHeight,</w:t>
      </w:r>
      <w:r w:rsidRPr="00A52AB8" w:rsidDel="00631134">
        <w:rPr>
          <w:color w:val="000000" w:themeColor="text1"/>
        </w:rPr>
        <w:t xml:space="preserve"> </w:t>
      </w:r>
      <w:r w:rsidRPr="00A52AB8">
        <w:rPr>
          <w:color w:val="000000" w:themeColor="text1"/>
        </w:rPr>
        <w:t>indicating the height of each frame,</w:t>
      </w:r>
    </w:p>
    <w:p w14:paraId="08648631" w14:textId="77777777" w:rsidR="00804654" w:rsidRPr="00A52AB8" w:rsidRDefault="00804654"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variable iWidth, indicating the width of each frame,</w:t>
      </w:r>
    </w:p>
    <w:p w14:paraId="04FD84F4" w14:textId="77777777" w:rsidR="00C7189D" w:rsidRPr="00A52AB8" w:rsidRDefault="00804654"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5D array iFrames of size mapCount × numInputFrames × iNumComp × iHeight × iWidth,</w:t>
      </w:r>
      <w:r w:rsidR="00C7189D" w:rsidRPr="00A52AB8">
        <w:rPr>
          <w:color w:val="000000" w:themeColor="text1"/>
        </w:rPr>
        <w:t xml:space="preserve"> and</w:t>
      </w:r>
    </w:p>
    <w:p w14:paraId="137CCE1C" w14:textId="5A1F442C" w:rsidR="00804654" w:rsidRPr="00A52AB8" w:rsidRDefault="00C7189D"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1D array mapAbsoluteCodingFlag, of size mapCount.</w:t>
      </w:r>
    </w:p>
    <w:p w14:paraId="77DFF2C2" w14:textId="77777777" w:rsidR="0050235C" w:rsidRPr="00A52AB8" w:rsidRDefault="00B84F29" w:rsidP="008B16C5">
      <w:pPr>
        <w:rPr>
          <w:color w:val="000000" w:themeColor="text1"/>
        </w:rPr>
      </w:pPr>
      <w:r w:rsidRPr="00A52AB8">
        <w:rPr>
          <w:color w:val="000000" w:themeColor="text1"/>
        </w:rPr>
        <w:t>Outputs of this process are</w:t>
      </w:r>
      <w:r w:rsidR="00C7189D" w:rsidRPr="00A52AB8">
        <w:rPr>
          <w:color w:val="000000" w:themeColor="text1"/>
        </w:rPr>
        <w:t>:</w:t>
      </w:r>
    </w:p>
    <w:p w14:paraId="7FEBA40E" w14:textId="4CF897AF" w:rsidR="008B16C5" w:rsidRPr="00A52AB8" w:rsidRDefault="008B16C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5D array oFrames, of size mapCount × numInputFrames × iNumComp × iHeight × iWidth.</w:t>
      </w:r>
    </w:p>
    <w:p w14:paraId="7FE57001" w14:textId="4070BF32" w:rsidR="00376DCD" w:rsidRPr="00A52AB8" w:rsidRDefault="0066080A">
      <w:pPr>
        <w:tabs>
          <w:tab w:val="clear" w:pos="403"/>
        </w:tabs>
        <w:spacing w:after="120"/>
        <w:jc w:val="left"/>
        <w:rPr>
          <w:color w:val="000000" w:themeColor="text1"/>
        </w:rPr>
      </w:pPr>
      <w:r w:rsidRPr="00A52AB8">
        <w:rPr>
          <w:color w:val="000000" w:themeColor="text1"/>
        </w:rPr>
        <w:t>The attribute video map synthesis process is performed as follows</w:t>
      </w:r>
      <w:r w:rsidR="00376DCD" w:rsidRPr="00A52AB8">
        <w:rPr>
          <w:color w:val="000000" w:themeColor="text1"/>
        </w:rPr>
        <w:t>:</w:t>
      </w:r>
    </w:p>
    <w:p w14:paraId="42BB3AE7" w14:textId="769AC6FB" w:rsidR="003667D4" w:rsidRPr="00A52AB8" w:rsidRDefault="00370509" w:rsidP="00F01345">
      <w:pPr>
        <w:spacing w:after="120"/>
      </w:pPr>
      <w:r w:rsidRPr="00A52AB8">
        <w:rPr>
          <w:color w:val="000000" w:themeColor="text1"/>
        </w:rPr>
        <w:tab/>
        <w:t>for( f</w:t>
      </w:r>
      <w:r w:rsidR="00D47707" w:rsidRPr="00A52AB8">
        <w:rPr>
          <w:color w:val="000000" w:themeColor="text1"/>
        </w:rPr>
        <w:t> = </w:t>
      </w:r>
      <w:r w:rsidRPr="00A52AB8">
        <w:rPr>
          <w:color w:val="000000" w:themeColor="text1"/>
        </w:rPr>
        <w:t>0; f &lt; numInputFrames; f++ </w:t>
      </w:r>
      <w:r w:rsidR="008F1F82" w:rsidRPr="00A52AB8">
        <w:rPr>
          <w:color w:val="000000" w:themeColor="text1"/>
        </w:rPr>
        <w:t>) {</w:t>
      </w:r>
      <w:r w:rsidRPr="00A52AB8">
        <w:rPr>
          <w:color w:val="000000" w:themeColor="text1"/>
        </w:rPr>
        <w:br/>
      </w:r>
      <w:r w:rsidR="00331BDD" w:rsidRPr="00A52AB8">
        <w:tab/>
      </w:r>
      <w:r w:rsidR="002E6E61" w:rsidRPr="00A52AB8">
        <w:tab/>
      </w:r>
      <w:r w:rsidR="004C5B3F" w:rsidRPr="00A52AB8">
        <w:t>if(</w:t>
      </w:r>
      <w:r w:rsidR="003667D4" w:rsidRPr="00A52AB8">
        <w:t> </w:t>
      </w:r>
      <w:r w:rsidR="001169FC" w:rsidRPr="00A52AB8">
        <w:rPr>
          <w:color w:val="000000" w:themeColor="text1"/>
        </w:rPr>
        <w:t>multipleMapStreamsPresentFlag</w:t>
      </w:r>
      <w:r w:rsidR="008768E9" w:rsidRPr="00A52AB8">
        <w:t> </w:t>
      </w:r>
      <w:r w:rsidR="00726AAE" w:rsidRPr="00A52AB8">
        <w:t>==</w:t>
      </w:r>
      <w:r w:rsidR="00D47707" w:rsidRPr="00A52AB8">
        <w:t> </w:t>
      </w:r>
      <w:r w:rsidR="004C5B3F" w:rsidRPr="00A52AB8">
        <w:t>0</w:t>
      </w:r>
      <w:r w:rsidR="003667D4" w:rsidRPr="00A52AB8">
        <w:t> </w:t>
      </w:r>
      <w:r w:rsidR="008F1F82" w:rsidRPr="00A52AB8">
        <w:t>) {</w:t>
      </w:r>
      <w:r w:rsidR="003667D4" w:rsidRPr="00A52AB8">
        <w:br/>
      </w:r>
      <w:r w:rsidR="00331BDD" w:rsidRPr="00A52AB8">
        <w:tab/>
      </w:r>
      <w:r w:rsidR="003E689E" w:rsidRPr="00A52AB8">
        <w:tab/>
      </w:r>
      <w:r w:rsidR="003E689E" w:rsidRPr="00A52AB8">
        <w:tab/>
      </w:r>
      <w:r w:rsidR="004C5B3F" w:rsidRPr="00A52AB8">
        <w:t>for</w:t>
      </w:r>
      <w:r w:rsidR="00ED4436" w:rsidRPr="00A52AB8">
        <w:t>( </w:t>
      </w:r>
      <w:r w:rsidRPr="00A52AB8">
        <w:t>m</w:t>
      </w:r>
      <w:r w:rsidR="00D47707" w:rsidRPr="00A52AB8">
        <w:t> = </w:t>
      </w:r>
      <w:r w:rsidR="004C5B3F" w:rsidRPr="00A52AB8">
        <w:t>0</w:t>
      </w:r>
      <w:r w:rsidR="00ED4436" w:rsidRPr="00A52AB8">
        <w:t>; </w:t>
      </w:r>
      <w:r w:rsidRPr="00A52AB8">
        <w:t>m</w:t>
      </w:r>
      <w:r w:rsidR="00ED4436" w:rsidRPr="00A52AB8">
        <w:t> &lt; </w:t>
      </w:r>
      <w:r w:rsidRPr="00A52AB8">
        <w:rPr>
          <w:color w:val="000000" w:themeColor="text1"/>
        </w:rPr>
        <w:t>mapCount</w:t>
      </w:r>
      <w:r w:rsidR="004C5B3F" w:rsidRPr="00A52AB8">
        <w:t>;</w:t>
      </w:r>
      <w:r w:rsidR="00ED4436" w:rsidRPr="00A52AB8">
        <w:t> </w:t>
      </w:r>
      <w:r w:rsidRPr="00A52AB8">
        <w:t>m</w:t>
      </w:r>
      <w:r w:rsidR="00006CCF" w:rsidRPr="00A52AB8">
        <w:t>++ </w:t>
      </w:r>
      <w:r w:rsidR="008F1F82" w:rsidRPr="00A52AB8">
        <w:t>) {</w:t>
      </w:r>
      <w:r w:rsidR="00ED4436" w:rsidRPr="00A52AB8">
        <w:br/>
      </w:r>
      <w:r w:rsidR="00331BDD" w:rsidRPr="00A52AB8">
        <w:tab/>
      </w:r>
      <w:r w:rsidR="003E689E" w:rsidRPr="00A52AB8">
        <w:tab/>
      </w:r>
      <w:r w:rsidR="003E689E" w:rsidRPr="00A52AB8">
        <w:tab/>
      </w:r>
      <w:r w:rsidR="003E689E" w:rsidRPr="00A52AB8">
        <w:tab/>
      </w:r>
      <w:r w:rsidR="00915E15" w:rsidRPr="00A52AB8">
        <w:t>for(</w:t>
      </w:r>
      <w:r w:rsidR="00ED4436" w:rsidRPr="00A52AB8">
        <w:t> </w:t>
      </w:r>
      <w:r w:rsidRPr="00A52AB8">
        <w:t>c</w:t>
      </w:r>
      <w:r w:rsidR="00D47707" w:rsidRPr="00A52AB8">
        <w:t> = </w:t>
      </w:r>
      <w:r w:rsidR="00915E15" w:rsidRPr="00A52AB8">
        <w:t>0;</w:t>
      </w:r>
      <w:r w:rsidR="00ED4436" w:rsidRPr="00A52AB8">
        <w:t> </w:t>
      </w:r>
      <w:r w:rsidRPr="00A52AB8">
        <w:t>c</w:t>
      </w:r>
      <w:r w:rsidR="003E689E" w:rsidRPr="00A52AB8">
        <w:t> </w:t>
      </w:r>
      <w:r w:rsidR="00915E15" w:rsidRPr="00A52AB8">
        <w:t>&lt;</w:t>
      </w:r>
      <w:r w:rsidR="00ED4436" w:rsidRPr="00A52AB8">
        <w:t> </w:t>
      </w:r>
      <w:r w:rsidRPr="00A52AB8">
        <w:rPr>
          <w:color w:val="000000" w:themeColor="text1"/>
        </w:rPr>
        <w:t>iNumComp </w:t>
      </w:r>
      <w:r w:rsidR="00915E15" w:rsidRPr="00A52AB8">
        <w:t>;</w:t>
      </w:r>
      <w:r w:rsidR="003E689E" w:rsidRPr="00A52AB8">
        <w:t> </w:t>
      </w:r>
      <w:r w:rsidRPr="00A52AB8">
        <w:t>c</w:t>
      </w:r>
      <w:r w:rsidR="00006CCF" w:rsidRPr="00A52AB8">
        <w:t>++ </w:t>
      </w:r>
      <w:r w:rsidR="008F1F82" w:rsidRPr="00A52AB8">
        <w:t>) {</w:t>
      </w:r>
      <w:r w:rsidR="00ED4436" w:rsidRPr="00A52AB8">
        <w:br/>
      </w:r>
      <w:r w:rsidR="003E689E" w:rsidRPr="00A52AB8">
        <w:tab/>
      </w:r>
      <w:r w:rsidR="00331BDD" w:rsidRPr="00A52AB8">
        <w:tab/>
      </w:r>
      <w:r w:rsidR="003E689E" w:rsidRPr="00A52AB8">
        <w:tab/>
      </w:r>
      <w:r w:rsidR="003E689E" w:rsidRPr="00A52AB8">
        <w:tab/>
      </w:r>
      <w:r w:rsidR="003E689E" w:rsidRPr="00A52AB8">
        <w:tab/>
      </w:r>
      <w:r w:rsidR="004C5B3F" w:rsidRPr="00A52AB8">
        <w:t>for(</w:t>
      </w:r>
      <w:r w:rsidR="003667D4" w:rsidRPr="00A52AB8">
        <w:t> </w:t>
      </w:r>
      <w:r w:rsidR="004C5B3F" w:rsidRPr="00A52AB8">
        <w:t>y</w:t>
      </w:r>
      <w:r w:rsidR="00D47707" w:rsidRPr="00A52AB8">
        <w:t> = </w:t>
      </w:r>
      <w:r w:rsidR="004C5B3F" w:rsidRPr="00A52AB8">
        <w:t>0</w:t>
      </w:r>
      <w:r w:rsidR="003667D4" w:rsidRPr="00A52AB8">
        <w:t>; y </w:t>
      </w:r>
      <w:r w:rsidR="004C5B3F" w:rsidRPr="00A52AB8">
        <w:t>&lt;</w:t>
      </w:r>
      <w:r w:rsidR="003667D4" w:rsidRPr="00A52AB8">
        <w:t> i</w:t>
      </w:r>
      <w:r w:rsidR="004C5B3F" w:rsidRPr="00A52AB8">
        <w:t>Height ;</w:t>
      </w:r>
      <w:r w:rsidR="003667D4" w:rsidRPr="00A52AB8">
        <w:t> </w:t>
      </w:r>
      <w:r w:rsidR="004C5B3F" w:rsidRPr="00A52AB8">
        <w:t>y</w:t>
      </w:r>
      <w:r w:rsidR="00006CCF" w:rsidRPr="00A52AB8">
        <w:t>++ </w:t>
      </w:r>
      <w:r w:rsidR="008F1F82" w:rsidRPr="00A52AB8">
        <w:t>) {</w:t>
      </w:r>
      <w:r w:rsidR="00ED4436" w:rsidRPr="00A52AB8">
        <w:br/>
      </w:r>
      <w:r w:rsidR="003E689E" w:rsidRPr="00A52AB8">
        <w:tab/>
      </w:r>
      <w:r w:rsidR="003E689E" w:rsidRPr="00A52AB8">
        <w:tab/>
      </w:r>
      <w:r w:rsidR="00331BDD" w:rsidRPr="00A52AB8">
        <w:tab/>
      </w:r>
      <w:r w:rsidR="003E689E" w:rsidRPr="00A52AB8">
        <w:tab/>
      </w:r>
      <w:r w:rsidR="003E689E" w:rsidRPr="00A52AB8">
        <w:tab/>
      </w:r>
      <w:r w:rsidR="003E689E" w:rsidRPr="00A52AB8">
        <w:tab/>
      </w:r>
      <w:r w:rsidR="004C5B3F" w:rsidRPr="00A52AB8">
        <w:t>for(</w:t>
      </w:r>
      <w:r w:rsidR="003667D4" w:rsidRPr="00A52AB8">
        <w:t> </w:t>
      </w:r>
      <w:r w:rsidR="004C5B3F" w:rsidRPr="00A52AB8">
        <w:t>x</w:t>
      </w:r>
      <w:r w:rsidR="00D47707" w:rsidRPr="00A52AB8">
        <w:t> = </w:t>
      </w:r>
      <w:r w:rsidR="004C5B3F" w:rsidRPr="00A52AB8">
        <w:t>0;</w:t>
      </w:r>
      <w:r w:rsidR="003667D4" w:rsidRPr="00A52AB8">
        <w:t> </w:t>
      </w:r>
      <w:r w:rsidR="004C5B3F" w:rsidRPr="00A52AB8">
        <w:t>x</w:t>
      </w:r>
      <w:r w:rsidR="003667D4" w:rsidRPr="00A52AB8">
        <w:t> </w:t>
      </w:r>
      <w:r w:rsidR="004C5B3F" w:rsidRPr="00A52AB8">
        <w:t>&lt;</w:t>
      </w:r>
      <w:r w:rsidR="003667D4" w:rsidRPr="00A52AB8">
        <w:t> i</w:t>
      </w:r>
      <w:r w:rsidR="004C5B3F" w:rsidRPr="00A52AB8">
        <w:t>Width ;</w:t>
      </w:r>
      <w:r w:rsidR="003667D4" w:rsidRPr="00A52AB8">
        <w:t> </w:t>
      </w:r>
      <w:r w:rsidR="004C5B3F" w:rsidRPr="00A52AB8">
        <w:t>x</w:t>
      </w:r>
      <w:r w:rsidR="00006CCF" w:rsidRPr="00A52AB8">
        <w:t>++ </w:t>
      </w:r>
      <w:r w:rsidR="008F1F82" w:rsidRPr="00A52AB8">
        <w:t>) {</w:t>
      </w:r>
      <w:r w:rsidR="00ED4436" w:rsidRPr="00A52AB8">
        <w:br/>
      </w:r>
      <w:r w:rsidR="003E689E" w:rsidRPr="00A52AB8">
        <w:tab/>
      </w:r>
      <w:r w:rsidR="003E689E" w:rsidRPr="00A52AB8">
        <w:tab/>
      </w:r>
      <w:r w:rsidR="003E689E" w:rsidRPr="00A52AB8">
        <w:tab/>
      </w:r>
      <w:r w:rsidR="00331BDD" w:rsidRPr="00A52AB8">
        <w:tab/>
      </w:r>
      <w:r w:rsidR="003E689E" w:rsidRPr="00A52AB8">
        <w:tab/>
      </w:r>
      <w:r w:rsidR="003E689E" w:rsidRPr="00A52AB8">
        <w:tab/>
      </w:r>
      <w:r w:rsidR="003E689E" w:rsidRPr="00A52AB8">
        <w:tab/>
      </w:r>
      <w:r w:rsidRPr="00A52AB8">
        <w:rPr>
          <w:color w:val="000000" w:themeColor="text1"/>
        </w:rPr>
        <w:t>o</w:t>
      </w:r>
      <w:r w:rsidR="00890C8F" w:rsidRPr="00A52AB8">
        <w:rPr>
          <w:color w:val="000000" w:themeColor="text1"/>
        </w:rPr>
        <w:t>Frame</w:t>
      </w:r>
      <w:r w:rsidRPr="00A52AB8">
        <w:rPr>
          <w:color w:val="000000" w:themeColor="text1"/>
        </w:rPr>
        <w:t>s</w:t>
      </w:r>
      <w:r w:rsidR="00C73DC9" w:rsidRPr="00A52AB8">
        <w:t>[ </w:t>
      </w:r>
      <w:r w:rsidRPr="00A52AB8">
        <w:t>m</w:t>
      </w:r>
      <w:r w:rsidR="00C73DC9" w:rsidRPr="00A52AB8">
        <w:t> ][ </w:t>
      </w:r>
      <w:r w:rsidRPr="00A52AB8">
        <w:t>f </w:t>
      </w:r>
      <w:r w:rsidR="00C73DC9" w:rsidRPr="00A52AB8">
        <w:t>]</w:t>
      </w:r>
      <w:r w:rsidR="004B7314" w:rsidRPr="00A52AB8">
        <w:t>[ </w:t>
      </w:r>
      <w:r w:rsidRPr="00A52AB8">
        <w:t>c</w:t>
      </w:r>
      <w:r w:rsidR="004B7314" w:rsidRPr="00A52AB8">
        <w:t> ][ y ][ x ]</w:t>
      </w:r>
      <w:r w:rsidR="00B27762" w:rsidRPr="00A52AB8">
        <w:t> </w:t>
      </w:r>
      <w:r w:rsidR="004C5B3F" w:rsidRPr="00A52AB8">
        <w:t>=</w:t>
      </w:r>
      <w:r w:rsidRPr="00A52AB8">
        <w:t>iFrames</w:t>
      </w:r>
      <w:r w:rsidR="00C73DC9" w:rsidRPr="00A52AB8">
        <w:t>[ </w:t>
      </w:r>
      <w:r w:rsidRPr="00A52AB8">
        <w:t>m </w:t>
      </w:r>
      <w:r w:rsidR="00C73DC9" w:rsidRPr="00A52AB8">
        <w:t>][ </w:t>
      </w:r>
      <w:r w:rsidRPr="00A52AB8">
        <w:t>f </w:t>
      </w:r>
      <w:r w:rsidR="00C73DC9" w:rsidRPr="00A52AB8">
        <w:t>]</w:t>
      </w:r>
      <w:r w:rsidR="004B7314" w:rsidRPr="00A52AB8">
        <w:t>[ </w:t>
      </w:r>
      <w:r w:rsidRPr="00A52AB8">
        <w:t>c </w:t>
      </w:r>
      <w:r w:rsidR="004B7314" w:rsidRPr="00A52AB8">
        <w:t>][ y ][ x ]</w:t>
      </w:r>
      <w:r w:rsidRPr="00A52AB8">
        <w:br/>
      </w:r>
      <w:r w:rsidRPr="00A52AB8">
        <w:tab/>
      </w:r>
      <w:r w:rsidRPr="00A52AB8">
        <w:tab/>
      </w:r>
      <w:r w:rsidRPr="00A52AB8">
        <w:tab/>
      </w:r>
      <w:r w:rsidRPr="00A52AB8">
        <w:tab/>
      </w:r>
      <w:r w:rsidRPr="00A52AB8">
        <w:tab/>
      </w:r>
      <w:r w:rsidRPr="00A52AB8">
        <w:tab/>
        <w:t>}</w:t>
      </w:r>
      <w:r w:rsidRPr="00A52AB8">
        <w:br/>
      </w:r>
      <w:r w:rsidRPr="00A52AB8">
        <w:tab/>
      </w:r>
      <w:r w:rsidRPr="00A52AB8">
        <w:tab/>
      </w:r>
      <w:r w:rsidRPr="00A52AB8">
        <w:tab/>
      </w:r>
      <w:r w:rsidRPr="00A52AB8">
        <w:tab/>
      </w:r>
      <w:r w:rsidRPr="00A52AB8">
        <w:tab/>
        <w:t>}</w:t>
      </w:r>
      <w:r w:rsidRPr="00A52AB8">
        <w:br/>
      </w:r>
      <w:r w:rsidRPr="00A52AB8">
        <w:tab/>
      </w:r>
      <w:r w:rsidRPr="00A52AB8">
        <w:tab/>
      </w:r>
      <w:r w:rsidRPr="00A52AB8">
        <w:tab/>
      </w:r>
      <w:r w:rsidRPr="00A52AB8">
        <w:tab/>
        <w:t>}</w:t>
      </w:r>
      <w:r w:rsidRPr="00A52AB8">
        <w:br/>
      </w:r>
      <w:r w:rsidRPr="00A52AB8">
        <w:tab/>
      </w:r>
      <w:r w:rsidRPr="00A52AB8">
        <w:tab/>
      </w:r>
      <w:r w:rsidRPr="00A52AB8">
        <w:tab/>
        <w:t>}</w:t>
      </w:r>
      <w:r w:rsidR="003667D4" w:rsidRPr="00A52AB8">
        <w:br/>
      </w:r>
      <w:r w:rsidR="00331BDD" w:rsidRPr="00A52AB8">
        <w:tab/>
      </w:r>
      <w:r w:rsidR="003E689E" w:rsidRPr="00A52AB8">
        <w:tab/>
      </w:r>
      <w:r w:rsidR="0023721F" w:rsidRPr="00A52AB8">
        <w:t>} else {</w:t>
      </w:r>
      <w:r w:rsidR="003667D4" w:rsidRPr="00A52AB8">
        <w:br/>
      </w:r>
      <w:r w:rsidR="003E689E" w:rsidRPr="00A52AB8">
        <w:tab/>
      </w:r>
      <w:r w:rsidR="00331BDD" w:rsidRPr="00A52AB8">
        <w:tab/>
      </w:r>
      <w:r w:rsidR="003E689E" w:rsidRPr="00A52AB8">
        <w:tab/>
        <w:t>a</w:t>
      </w:r>
      <w:r w:rsidR="00ED4436" w:rsidRPr="00A52AB8">
        <w:t>ttrMaxValue</w:t>
      </w:r>
      <w:r w:rsidR="00D47707" w:rsidRPr="00A52AB8">
        <w:t> = </w:t>
      </w:r>
      <w:r w:rsidR="004C5B3F" w:rsidRPr="00A52AB8">
        <w:t>(</w:t>
      </w:r>
      <w:r w:rsidR="00ED4436" w:rsidRPr="00A52AB8">
        <w:t> 1 </w:t>
      </w:r>
      <w:r w:rsidR="004C5B3F" w:rsidRPr="00A52AB8">
        <w:t>&lt;&lt;</w:t>
      </w:r>
      <w:r w:rsidR="00ED4436" w:rsidRPr="00A52AB8">
        <w:t> </w:t>
      </w:r>
      <w:r w:rsidR="00B23C24" w:rsidRPr="00A52AB8">
        <w:t>i</w:t>
      </w:r>
      <w:r w:rsidR="004C5B3F" w:rsidRPr="00A52AB8">
        <w:t>Bit</w:t>
      </w:r>
      <w:r w:rsidR="003667D4" w:rsidRPr="00A52AB8">
        <w:t>D</w:t>
      </w:r>
      <w:r w:rsidR="004C5B3F" w:rsidRPr="00A52AB8">
        <w:t>epth</w:t>
      </w:r>
      <w:r w:rsidR="00ED4436" w:rsidRPr="00A52AB8">
        <w:t> </w:t>
      </w:r>
      <w:r w:rsidR="004C5B3F" w:rsidRPr="00A52AB8">
        <w:t>)</w:t>
      </w:r>
      <w:r w:rsidR="003667D4" w:rsidRPr="00A52AB8">
        <w:t> </w:t>
      </w:r>
      <w:r w:rsidR="004C5B3F" w:rsidRPr="00A52AB8">
        <w:t>–</w:t>
      </w:r>
      <w:r w:rsidR="003667D4" w:rsidRPr="00A52AB8">
        <w:t> </w:t>
      </w:r>
      <w:r w:rsidR="004C5B3F" w:rsidRPr="00A52AB8">
        <w:t>1</w:t>
      </w:r>
      <w:r w:rsidR="00ED4436" w:rsidRPr="00A52AB8">
        <w:br/>
      </w:r>
      <w:r w:rsidR="003E689E" w:rsidRPr="00A52AB8">
        <w:tab/>
      </w:r>
      <w:r w:rsidR="00331BDD" w:rsidRPr="00A52AB8">
        <w:tab/>
      </w:r>
      <w:r w:rsidR="003E689E" w:rsidRPr="00A52AB8">
        <w:tab/>
      </w:r>
      <w:r w:rsidR="00B27762" w:rsidRPr="00A52AB8">
        <w:t>attrOffset</w:t>
      </w:r>
      <w:r w:rsidR="00D47707" w:rsidRPr="00A52AB8">
        <w:t> = </w:t>
      </w:r>
      <w:r w:rsidR="00B27762" w:rsidRPr="00A52AB8">
        <w:t>1</w:t>
      </w:r>
      <w:r w:rsidR="003667D4" w:rsidRPr="00A52AB8">
        <w:t> </w:t>
      </w:r>
      <w:r w:rsidR="00B27762" w:rsidRPr="00A52AB8">
        <w:t>&lt;&lt;</w:t>
      </w:r>
      <w:r w:rsidR="003667D4" w:rsidRPr="00A52AB8">
        <w:t> </w:t>
      </w:r>
      <w:r w:rsidR="00B27762" w:rsidRPr="00A52AB8">
        <w:t>(</w:t>
      </w:r>
      <w:r w:rsidR="00B23C24" w:rsidRPr="00A52AB8">
        <w:t>i</w:t>
      </w:r>
      <w:r w:rsidR="003667D4" w:rsidRPr="00A52AB8">
        <w:t>BitDepth – 1 </w:t>
      </w:r>
      <w:r w:rsidR="00B27762" w:rsidRPr="00A52AB8">
        <w:t>)</w:t>
      </w:r>
      <w:r w:rsidR="003667D4" w:rsidRPr="00A52AB8">
        <w:br/>
      </w:r>
      <w:r w:rsidR="003E689E" w:rsidRPr="00A52AB8">
        <w:tab/>
      </w:r>
      <w:r w:rsidR="003E689E" w:rsidRPr="00A52AB8">
        <w:tab/>
      </w:r>
      <w:r w:rsidR="00331BDD" w:rsidRPr="00A52AB8">
        <w:tab/>
      </w:r>
      <w:r w:rsidR="004C5B3F" w:rsidRPr="00A52AB8">
        <w:t>for(</w:t>
      </w:r>
      <w:r w:rsidR="003667D4" w:rsidRPr="00A52AB8">
        <w:t> </w:t>
      </w:r>
      <w:r w:rsidR="004C5B3F" w:rsidRPr="00A52AB8">
        <w:t>i</w:t>
      </w:r>
      <w:r w:rsidR="00D47707" w:rsidRPr="00A52AB8">
        <w:t> = </w:t>
      </w:r>
      <w:r w:rsidR="004C5B3F" w:rsidRPr="00A52AB8">
        <w:t>0;</w:t>
      </w:r>
      <w:r w:rsidR="003667D4" w:rsidRPr="00A52AB8">
        <w:t> </w:t>
      </w:r>
      <w:r w:rsidR="004C5B3F" w:rsidRPr="00A52AB8">
        <w:t>i</w:t>
      </w:r>
      <w:r w:rsidR="003667D4" w:rsidRPr="00A52AB8">
        <w:t> </w:t>
      </w:r>
      <w:r w:rsidR="004C5B3F" w:rsidRPr="00A52AB8">
        <w:t>&lt;</w:t>
      </w:r>
      <w:r w:rsidR="003667D4" w:rsidRPr="00A52AB8">
        <w:t> </w:t>
      </w:r>
      <w:r w:rsidRPr="00A52AB8">
        <w:rPr>
          <w:color w:val="000000" w:themeColor="text1"/>
        </w:rPr>
        <w:t>mapCount</w:t>
      </w:r>
      <w:r w:rsidR="004C5B3F" w:rsidRPr="00A52AB8">
        <w:t>;</w:t>
      </w:r>
      <w:r w:rsidR="003667D4" w:rsidRPr="00A52AB8">
        <w:t> </w:t>
      </w:r>
      <w:r w:rsidR="004C5B3F" w:rsidRPr="00A52AB8">
        <w:t>i</w:t>
      </w:r>
      <w:r w:rsidR="00006CCF" w:rsidRPr="00A52AB8">
        <w:t>++ </w:t>
      </w:r>
      <w:r w:rsidR="008F1F82" w:rsidRPr="00A52AB8">
        <w:t>) {</w:t>
      </w:r>
      <w:r w:rsidR="003667D4" w:rsidRPr="00A52AB8">
        <w:br/>
      </w:r>
      <w:r w:rsidR="003E689E" w:rsidRPr="00A52AB8">
        <w:tab/>
      </w:r>
      <w:r w:rsidR="003E689E" w:rsidRPr="00A52AB8">
        <w:tab/>
      </w:r>
      <w:r w:rsidR="003E689E" w:rsidRPr="00A52AB8">
        <w:tab/>
      </w:r>
      <w:r w:rsidR="00331BDD" w:rsidRPr="00A52AB8">
        <w:tab/>
      </w:r>
      <w:r w:rsidR="004C5B3F" w:rsidRPr="00A52AB8">
        <w:t>if( </w:t>
      </w:r>
      <w:r w:rsidRPr="00A52AB8">
        <w:rPr>
          <w:color w:val="000000" w:themeColor="text1"/>
        </w:rPr>
        <w:t>mapAbsoluteCodingFlag</w:t>
      </w:r>
      <w:r w:rsidR="001F4484" w:rsidRPr="00A52AB8">
        <w:t>[ i ]</w:t>
      </w:r>
      <w:r w:rsidR="008768E9" w:rsidRPr="00A52AB8">
        <w:t> </w:t>
      </w:r>
      <w:r w:rsidR="00726AAE" w:rsidRPr="00A52AB8">
        <w:t>==</w:t>
      </w:r>
      <w:r w:rsidR="00D47707" w:rsidRPr="00A52AB8">
        <w:t> </w:t>
      </w:r>
      <w:r w:rsidR="004C5B3F" w:rsidRPr="00A52AB8">
        <w:t>0</w:t>
      </w:r>
      <w:r w:rsidR="003667D4" w:rsidRPr="00A52AB8">
        <w:t> </w:t>
      </w:r>
      <w:r w:rsidR="008F1F82" w:rsidRPr="00A52AB8">
        <w:t>) {</w:t>
      </w:r>
      <w:r w:rsidR="003667D4" w:rsidRPr="00A52AB8">
        <w:br/>
      </w:r>
      <w:r w:rsidR="003E689E" w:rsidRPr="00A52AB8">
        <w:tab/>
      </w:r>
      <w:r w:rsidR="003E689E" w:rsidRPr="00A52AB8">
        <w:tab/>
      </w:r>
      <w:r w:rsidR="003E689E" w:rsidRPr="00A52AB8">
        <w:tab/>
      </w:r>
      <w:r w:rsidR="003E689E" w:rsidRPr="00A52AB8">
        <w:tab/>
      </w:r>
      <w:r w:rsidR="00331BDD" w:rsidRPr="00A52AB8">
        <w:tab/>
      </w:r>
      <w:r w:rsidR="004C5B3F" w:rsidRPr="00A52AB8">
        <w:t>j</w:t>
      </w:r>
      <w:r w:rsidR="00D47707" w:rsidRPr="00A52AB8">
        <w:t> = </w:t>
      </w:r>
      <w:r w:rsidR="004C5B3F" w:rsidRPr="00A52AB8">
        <w:t>MapPredictorIndex</w:t>
      </w:r>
      <w:r w:rsidR="007D0EC8" w:rsidRPr="00A52AB8">
        <w:t>[</w:t>
      </w:r>
      <w:r w:rsidR="004C5B3F" w:rsidRPr="00A52AB8">
        <w:t> i </w:t>
      </w:r>
      <w:r w:rsidR="007D0EC8" w:rsidRPr="00A52AB8">
        <w:t>]</w:t>
      </w:r>
      <w:r w:rsidR="003667D4" w:rsidRPr="00A52AB8">
        <w:br/>
      </w:r>
      <w:r w:rsidR="003E689E" w:rsidRPr="00A52AB8">
        <w:tab/>
      </w:r>
      <w:r w:rsidR="003E689E" w:rsidRPr="00A52AB8">
        <w:tab/>
      </w:r>
      <w:r w:rsidR="003E689E" w:rsidRPr="00A52AB8">
        <w:tab/>
      </w:r>
      <w:r w:rsidR="00331BDD" w:rsidRPr="00A52AB8">
        <w:tab/>
      </w:r>
      <w:r w:rsidR="003E689E" w:rsidRPr="00A52AB8">
        <w:tab/>
      </w:r>
      <w:r w:rsidR="00EA5934" w:rsidRPr="00A52AB8">
        <w:t>for(</w:t>
      </w:r>
      <w:r w:rsidR="003667D4" w:rsidRPr="00A52AB8">
        <w:t> </w:t>
      </w:r>
      <w:r w:rsidRPr="00A52AB8">
        <w:t>c</w:t>
      </w:r>
      <w:r w:rsidR="00D47707" w:rsidRPr="00A52AB8">
        <w:t> = </w:t>
      </w:r>
      <w:r w:rsidR="00EE23D3" w:rsidRPr="00A52AB8">
        <w:t>0;</w:t>
      </w:r>
      <w:r w:rsidR="003667D4" w:rsidRPr="00A52AB8">
        <w:t> </w:t>
      </w:r>
      <w:r w:rsidRPr="00A52AB8">
        <w:t>c </w:t>
      </w:r>
      <w:r w:rsidR="00EE23D3" w:rsidRPr="00A52AB8">
        <w:t>&lt;</w:t>
      </w:r>
      <w:r w:rsidR="003667D4" w:rsidRPr="00A52AB8">
        <w:t> </w:t>
      </w:r>
      <w:r w:rsidRPr="00A52AB8">
        <w:t>iNumComp</w:t>
      </w:r>
      <w:r w:rsidR="00EE23D3" w:rsidRPr="00A52AB8">
        <w:t>;</w:t>
      </w:r>
      <w:r w:rsidR="003667D4" w:rsidRPr="00A52AB8">
        <w:t> </w:t>
      </w:r>
      <w:r w:rsidRPr="00A52AB8">
        <w:t>c</w:t>
      </w:r>
      <w:r w:rsidR="00006CCF" w:rsidRPr="00A52AB8">
        <w:t>++ )</w:t>
      </w:r>
      <w:r w:rsidR="003E689E" w:rsidRPr="00A52AB8">
        <w:br/>
      </w:r>
      <w:r w:rsidR="003E689E" w:rsidRPr="00A52AB8">
        <w:tab/>
      </w:r>
      <w:r w:rsidR="003E689E" w:rsidRPr="00A52AB8">
        <w:tab/>
      </w:r>
      <w:r w:rsidR="003E689E" w:rsidRPr="00A52AB8">
        <w:tab/>
      </w:r>
      <w:r w:rsidR="003E689E" w:rsidRPr="00A52AB8">
        <w:tab/>
      </w:r>
      <w:r w:rsidR="00331BDD" w:rsidRPr="00A52AB8">
        <w:tab/>
      </w:r>
      <w:r w:rsidR="003E689E" w:rsidRPr="00A52AB8">
        <w:tab/>
      </w:r>
      <w:r w:rsidR="00915E15" w:rsidRPr="00A52AB8">
        <w:t>for(</w:t>
      </w:r>
      <w:r w:rsidR="003667D4" w:rsidRPr="00A52AB8">
        <w:t> </w:t>
      </w:r>
      <w:r w:rsidR="00915E15" w:rsidRPr="00A52AB8">
        <w:t>y</w:t>
      </w:r>
      <w:r w:rsidR="00D47707" w:rsidRPr="00A52AB8">
        <w:t> = </w:t>
      </w:r>
      <w:r w:rsidR="00915E15" w:rsidRPr="00A52AB8">
        <w:t>0;</w:t>
      </w:r>
      <w:r w:rsidR="003667D4" w:rsidRPr="00A52AB8">
        <w:t> </w:t>
      </w:r>
      <w:r w:rsidR="00915E15" w:rsidRPr="00A52AB8">
        <w:t>y</w:t>
      </w:r>
      <w:r w:rsidR="003667D4" w:rsidRPr="00A52AB8">
        <w:t> </w:t>
      </w:r>
      <w:r w:rsidR="00915E15" w:rsidRPr="00A52AB8">
        <w:t>&lt;</w:t>
      </w:r>
      <w:r w:rsidR="003667D4" w:rsidRPr="00A52AB8">
        <w:t> i</w:t>
      </w:r>
      <w:r w:rsidR="00915E15" w:rsidRPr="00A52AB8">
        <w:t>Height ;</w:t>
      </w:r>
      <w:r w:rsidR="003667D4" w:rsidRPr="00A52AB8">
        <w:t> </w:t>
      </w:r>
      <w:r w:rsidR="00915E15" w:rsidRPr="00A52AB8">
        <w:t>y</w:t>
      </w:r>
      <w:r w:rsidR="00006CCF" w:rsidRPr="00A52AB8">
        <w:t>++ )</w:t>
      </w:r>
      <w:r w:rsidR="003667D4" w:rsidRPr="00A52AB8">
        <w:br/>
      </w:r>
      <w:r w:rsidR="003E689E" w:rsidRPr="00A52AB8">
        <w:tab/>
      </w:r>
      <w:r w:rsidR="003E689E" w:rsidRPr="00A52AB8">
        <w:tab/>
      </w:r>
      <w:r w:rsidR="003E689E" w:rsidRPr="00A52AB8">
        <w:tab/>
      </w:r>
      <w:r w:rsidR="003E689E" w:rsidRPr="00A52AB8">
        <w:tab/>
      </w:r>
      <w:r w:rsidR="003E689E" w:rsidRPr="00A52AB8">
        <w:tab/>
      </w:r>
      <w:r w:rsidR="00331BDD" w:rsidRPr="00A52AB8">
        <w:tab/>
      </w:r>
      <w:r w:rsidR="003E689E" w:rsidRPr="00A52AB8">
        <w:tab/>
      </w:r>
      <w:r w:rsidR="004C5B3F" w:rsidRPr="00A52AB8">
        <w:t>for(</w:t>
      </w:r>
      <w:r w:rsidR="003667D4" w:rsidRPr="00A52AB8">
        <w:t> </w:t>
      </w:r>
      <w:r w:rsidR="004C5B3F" w:rsidRPr="00A52AB8">
        <w:t>x</w:t>
      </w:r>
      <w:r w:rsidR="00D47707" w:rsidRPr="00A52AB8">
        <w:t> = </w:t>
      </w:r>
      <w:r w:rsidR="004C5B3F" w:rsidRPr="00A52AB8">
        <w:t>0;</w:t>
      </w:r>
      <w:r w:rsidR="003667D4" w:rsidRPr="00A52AB8">
        <w:t> </w:t>
      </w:r>
      <w:r w:rsidR="004C5B3F" w:rsidRPr="00A52AB8">
        <w:t>x</w:t>
      </w:r>
      <w:r w:rsidR="003667D4" w:rsidRPr="00A52AB8">
        <w:t> </w:t>
      </w:r>
      <w:r w:rsidR="004C5B3F" w:rsidRPr="00A52AB8">
        <w:t>&lt;</w:t>
      </w:r>
      <w:r w:rsidR="003667D4" w:rsidRPr="00A52AB8">
        <w:t> i</w:t>
      </w:r>
      <w:r w:rsidR="004C5B3F" w:rsidRPr="00A52AB8">
        <w:t>Width ;</w:t>
      </w:r>
      <w:r w:rsidR="003667D4" w:rsidRPr="00A52AB8">
        <w:t> </w:t>
      </w:r>
      <w:r w:rsidR="004C5B3F" w:rsidRPr="00A52AB8">
        <w:t>x</w:t>
      </w:r>
      <w:r w:rsidR="00006CCF" w:rsidRPr="00A52AB8">
        <w:t>++ )</w:t>
      </w:r>
      <w:r w:rsidR="003667D4" w:rsidRPr="00A52AB8">
        <w:br/>
      </w:r>
      <w:r w:rsidR="003E689E" w:rsidRPr="00A52AB8">
        <w:tab/>
      </w:r>
      <w:r w:rsidR="003E689E" w:rsidRPr="00A52AB8">
        <w:tab/>
      </w:r>
      <w:r w:rsidR="003E689E" w:rsidRPr="00A52AB8">
        <w:tab/>
      </w:r>
      <w:r w:rsidR="003E689E" w:rsidRPr="00A52AB8">
        <w:tab/>
      </w:r>
      <w:r w:rsidR="003E689E" w:rsidRPr="00A52AB8">
        <w:tab/>
      </w:r>
      <w:r w:rsidR="003E689E" w:rsidRPr="00A52AB8">
        <w:tab/>
      </w:r>
      <w:r w:rsidR="00331BDD" w:rsidRPr="00A52AB8">
        <w:tab/>
      </w:r>
      <w:r w:rsidR="003E689E" w:rsidRPr="00A52AB8">
        <w:tab/>
      </w:r>
      <w:r w:rsidRPr="00A52AB8">
        <w:rPr>
          <w:color w:val="000000" w:themeColor="text1"/>
        </w:rPr>
        <w:t>o</w:t>
      </w:r>
      <w:r w:rsidR="00890C8F" w:rsidRPr="00A52AB8">
        <w:rPr>
          <w:color w:val="000000" w:themeColor="text1"/>
        </w:rPr>
        <w:t>Frame</w:t>
      </w:r>
      <w:r w:rsidRPr="00A52AB8">
        <w:rPr>
          <w:color w:val="000000" w:themeColor="text1"/>
        </w:rPr>
        <w:t>s</w:t>
      </w:r>
      <w:r w:rsidR="00C73DC9" w:rsidRPr="00A52AB8">
        <w:t>[ i ][ </w:t>
      </w:r>
      <w:r w:rsidRPr="00A52AB8">
        <w:t>f </w:t>
      </w:r>
      <w:r w:rsidR="00C73DC9" w:rsidRPr="00A52AB8">
        <w:t>]</w:t>
      </w:r>
      <w:r w:rsidR="004B7314" w:rsidRPr="00A52AB8">
        <w:t>[ </w:t>
      </w:r>
      <w:r w:rsidRPr="00A52AB8">
        <w:t>c </w:t>
      </w:r>
      <w:r w:rsidR="004B7314" w:rsidRPr="00A52AB8">
        <w:t>][ y ][ x ]</w:t>
      </w:r>
      <w:r w:rsidR="003667D4" w:rsidRPr="00A52AB8">
        <w:t> </w:t>
      </w:r>
      <w:r w:rsidR="004C5B3F" w:rsidRPr="00A52AB8">
        <w:t>=</w:t>
      </w:r>
      <w:r w:rsidR="003667D4" w:rsidRPr="00A52AB8">
        <w:br/>
      </w:r>
      <w:r w:rsidR="003E689E" w:rsidRPr="00A52AB8">
        <w:tab/>
      </w:r>
      <w:r w:rsidR="003E689E" w:rsidRPr="00A52AB8">
        <w:tab/>
      </w:r>
      <w:r w:rsidR="003E689E" w:rsidRPr="00A52AB8">
        <w:tab/>
      </w:r>
      <w:r w:rsidR="003E689E" w:rsidRPr="00A52AB8">
        <w:tab/>
      </w:r>
      <w:r w:rsidR="003E689E" w:rsidRPr="00A52AB8">
        <w:tab/>
      </w:r>
      <w:r w:rsidR="003E689E" w:rsidRPr="00A52AB8">
        <w:tab/>
      </w:r>
      <w:r w:rsidR="003E689E" w:rsidRPr="00A52AB8">
        <w:tab/>
      </w:r>
      <w:r w:rsidR="00331BDD" w:rsidRPr="00A52AB8">
        <w:tab/>
      </w:r>
      <w:r w:rsidR="003E689E" w:rsidRPr="00A52AB8">
        <w:tab/>
      </w:r>
      <w:r w:rsidR="004C5B3F" w:rsidRPr="00A52AB8">
        <w:t>Clip3(</w:t>
      </w:r>
      <w:r w:rsidR="003667D4" w:rsidRPr="00A52AB8">
        <w:t> </w:t>
      </w:r>
      <w:r w:rsidR="004C5B3F" w:rsidRPr="00A52AB8">
        <w:t>0,</w:t>
      </w:r>
      <w:r w:rsidR="003667D4" w:rsidRPr="00A52AB8">
        <w:t> </w:t>
      </w:r>
      <w:r w:rsidR="00EA5934" w:rsidRPr="00A52AB8">
        <w:t>attr</w:t>
      </w:r>
      <w:r w:rsidR="004C5B3F" w:rsidRPr="00A52AB8">
        <w:t>MaxValue,</w:t>
      </w:r>
      <w:r w:rsidR="003667D4" w:rsidRPr="00A52AB8">
        <w:t> </w:t>
      </w:r>
      <w:r w:rsidR="00DA117C" w:rsidRPr="00A52AB8">
        <w:t>–</w:t>
      </w:r>
      <w:r w:rsidR="003667D4" w:rsidRPr="00A52AB8">
        <w:t> </w:t>
      </w:r>
      <w:r w:rsidR="00DA117C" w:rsidRPr="00A52AB8">
        <w:t>attrOffset</w:t>
      </w:r>
      <w:r w:rsidR="003667D4" w:rsidRPr="00A52AB8">
        <w:t> </w:t>
      </w:r>
      <w:r w:rsidR="00C73DC9" w:rsidRPr="00A52AB8">
        <w:t>+</w:t>
      </w:r>
      <w:r w:rsidR="003667D4" w:rsidRPr="00A52AB8">
        <w:br/>
      </w:r>
      <w:r w:rsidR="003E689E" w:rsidRPr="00A52AB8">
        <w:tab/>
      </w:r>
      <w:r w:rsidR="003E689E" w:rsidRPr="00A52AB8">
        <w:tab/>
      </w:r>
      <w:r w:rsidR="003E689E" w:rsidRPr="00A52AB8">
        <w:tab/>
      </w:r>
      <w:r w:rsidR="003E689E" w:rsidRPr="00A52AB8">
        <w:tab/>
      </w:r>
      <w:r w:rsidR="003E689E" w:rsidRPr="00A52AB8">
        <w:tab/>
      </w:r>
      <w:r w:rsidR="003E689E" w:rsidRPr="00A52AB8">
        <w:tab/>
      </w:r>
      <w:r w:rsidR="003E689E" w:rsidRPr="00A52AB8">
        <w:tab/>
      </w:r>
      <w:r w:rsidR="003E689E" w:rsidRPr="00A52AB8">
        <w:tab/>
      </w:r>
      <w:r w:rsidR="00331BDD" w:rsidRPr="00A52AB8">
        <w:tab/>
      </w:r>
      <w:r w:rsidR="003E689E" w:rsidRPr="00A52AB8">
        <w:tab/>
      </w:r>
      <w:r w:rsidR="00917F7F" w:rsidRPr="00A52AB8">
        <w:t>iFrames</w:t>
      </w:r>
      <w:r w:rsidR="00C73DC9" w:rsidRPr="00A52AB8">
        <w:t>[ i ][ </w:t>
      </w:r>
      <w:r w:rsidR="00917F7F" w:rsidRPr="00A52AB8">
        <w:t>f </w:t>
      </w:r>
      <w:r w:rsidR="00C73DC9" w:rsidRPr="00A52AB8">
        <w:t>]</w:t>
      </w:r>
      <w:r w:rsidR="004B7314" w:rsidRPr="00A52AB8">
        <w:t>[ </w:t>
      </w:r>
      <w:r w:rsidR="00917F7F" w:rsidRPr="00A52AB8">
        <w:t>c </w:t>
      </w:r>
      <w:r w:rsidR="004B7314" w:rsidRPr="00A52AB8">
        <w:t>][ y ][ x ]</w:t>
      </w:r>
      <w:r w:rsidR="003667D4" w:rsidRPr="00A52AB8">
        <w:t> </w:t>
      </w:r>
      <w:r w:rsidR="004C5B3F" w:rsidRPr="00A52AB8">
        <w:t>+</w:t>
      </w:r>
      <w:r w:rsidR="003667D4" w:rsidRPr="00A52AB8">
        <w:br/>
      </w:r>
      <w:r w:rsidR="003E689E" w:rsidRPr="00A52AB8">
        <w:tab/>
      </w:r>
      <w:r w:rsidR="003E689E" w:rsidRPr="00A52AB8">
        <w:tab/>
      </w:r>
      <w:r w:rsidR="003E689E" w:rsidRPr="00A52AB8">
        <w:tab/>
      </w:r>
      <w:r w:rsidR="003E689E" w:rsidRPr="00A52AB8">
        <w:tab/>
      </w:r>
      <w:r w:rsidR="003E689E" w:rsidRPr="00A52AB8">
        <w:tab/>
      </w:r>
      <w:r w:rsidR="003E689E" w:rsidRPr="00A52AB8">
        <w:tab/>
      </w:r>
      <w:r w:rsidR="003E689E" w:rsidRPr="00A52AB8">
        <w:tab/>
      </w:r>
      <w:r w:rsidR="003E689E" w:rsidRPr="00A52AB8">
        <w:tab/>
      </w:r>
      <w:r w:rsidR="003E689E" w:rsidRPr="00A52AB8">
        <w:tab/>
      </w:r>
      <w:r w:rsidR="00331BDD" w:rsidRPr="00A52AB8">
        <w:tab/>
      </w:r>
      <w:r w:rsidR="003E689E" w:rsidRPr="00A52AB8">
        <w:tab/>
      </w:r>
      <w:r w:rsidR="00917F7F" w:rsidRPr="00A52AB8">
        <w:t>o</w:t>
      </w:r>
      <w:r w:rsidR="00C73DC9" w:rsidRPr="00A52AB8">
        <w:t>Frame</w:t>
      </w:r>
      <w:r w:rsidR="00917F7F" w:rsidRPr="00A52AB8">
        <w:t>s</w:t>
      </w:r>
      <w:r w:rsidR="00C73DC9" w:rsidRPr="00A52AB8">
        <w:t>[ j ][ </w:t>
      </w:r>
      <w:r w:rsidR="00917F7F" w:rsidRPr="00A52AB8">
        <w:t>f </w:t>
      </w:r>
      <w:r w:rsidR="00C73DC9" w:rsidRPr="00A52AB8">
        <w:t>]</w:t>
      </w:r>
      <w:r w:rsidR="004B7314" w:rsidRPr="00A52AB8">
        <w:t>[ </w:t>
      </w:r>
      <w:r w:rsidR="00917F7F" w:rsidRPr="00A52AB8">
        <w:t>c </w:t>
      </w:r>
      <w:r w:rsidR="004B7314" w:rsidRPr="00A52AB8">
        <w:t>][ y ][ x ]</w:t>
      </w:r>
      <w:r w:rsidR="003667D4" w:rsidRPr="00A52AB8">
        <w:t> </w:t>
      </w:r>
      <w:r w:rsidR="004C5B3F" w:rsidRPr="00A52AB8">
        <w:t>)</w:t>
      </w:r>
      <w:r w:rsidR="003667D4" w:rsidRPr="00A52AB8">
        <w:br/>
      </w:r>
      <w:r w:rsidR="00331BDD" w:rsidRPr="00A52AB8">
        <w:tab/>
      </w:r>
      <w:r w:rsidR="003E689E" w:rsidRPr="00A52AB8">
        <w:tab/>
      </w:r>
      <w:r w:rsidR="003E689E" w:rsidRPr="00A52AB8">
        <w:tab/>
      </w:r>
      <w:r w:rsidR="003E689E" w:rsidRPr="00A52AB8">
        <w:tab/>
      </w:r>
      <w:r w:rsidR="0023721F" w:rsidRPr="00A52AB8">
        <w:t>} else {</w:t>
      </w:r>
      <w:r w:rsidR="003667D4" w:rsidRPr="00A52AB8">
        <w:br/>
      </w:r>
      <w:r w:rsidR="003E689E" w:rsidRPr="00A52AB8">
        <w:tab/>
      </w:r>
      <w:r w:rsidR="00331BDD" w:rsidRPr="00A52AB8">
        <w:tab/>
      </w:r>
      <w:r w:rsidR="003E689E" w:rsidRPr="00A52AB8">
        <w:tab/>
      </w:r>
      <w:r w:rsidR="003E689E" w:rsidRPr="00A52AB8">
        <w:tab/>
      </w:r>
      <w:r w:rsidR="003E689E" w:rsidRPr="00A52AB8">
        <w:tab/>
      </w:r>
      <w:r w:rsidR="00DA117C" w:rsidRPr="00A52AB8">
        <w:t>for(</w:t>
      </w:r>
      <w:r w:rsidR="003667D4" w:rsidRPr="00A52AB8">
        <w:t> </w:t>
      </w:r>
      <w:r w:rsidR="00917F7F" w:rsidRPr="00A52AB8">
        <w:t>c</w:t>
      </w:r>
      <w:r w:rsidR="00D47707" w:rsidRPr="00A52AB8">
        <w:t> = </w:t>
      </w:r>
      <w:r w:rsidR="00915E15" w:rsidRPr="00A52AB8">
        <w:t>0;</w:t>
      </w:r>
      <w:r w:rsidR="003667D4" w:rsidRPr="00A52AB8">
        <w:t> </w:t>
      </w:r>
      <w:r w:rsidR="00917F7F" w:rsidRPr="00A52AB8">
        <w:t>c </w:t>
      </w:r>
      <w:r w:rsidR="00915E15" w:rsidRPr="00A52AB8">
        <w:t>&lt;</w:t>
      </w:r>
      <w:r w:rsidR="003667D4" w:rsidRPr="00A52AB8">
        <w:t> </w:t>
      </w:r>
      <w:r w:rsidR="00917F7F" w:rsidRPr="00A52AB8">
        <w:t>iNumComp</w:t>
      </w:r>
      <w:r w:rsidR="00915E15" w:rsidRPr="00A52AB8">
        <w:t>;</w:t>
      </w:r>
      <w:r w:rsidR="003667D4" w:rsidRPr="00A52AB8">
        <w:t> </w:t>
      </w:r>
      <w:r w:rsidR="00917F7F" w:rsidRPr="00A52AB8">
        <w:t>c</w:t>
      </w:r>
      <w:r w:rsidR="00006CCF" w:rsidRPr="00A52AB8">
        <w:t>++ </w:t>
      </w:r>
      <w:r w:rsidR="008F1F82" w:rsidRPr="00A52AB8">
        <w:t>) {</w:t>
      </w:r>
      <w:r w:rsidR="003E689E" w:rsidRPr="00A52AB8">
        <w:br/>
      </w:r>
      <w:r w:rsidR="003E689E" w:rsidRPr="00A52AB8">
        <w:tab/>
      </w:r>
      <w:r w:rsidR="003E689E" w:rsidRPr="00A52AB8">
        <w:tab/>
      </w:r>
      <w:r w:rsidR="00331BDD" w:rsidRPr="00A52AB8">
        <w:tab/>
      </w:r>
      <w:r w:rsidR="003E689E" w:rsidRPr="00A52AB8">
        <w:tab/>
      </w:r>
      <w:r w:rsidR="003E689E" w:rsidRPr="00A52AB8">
        <w:tab/>
      </w:r>
      <w:r w:rsidR="003E689E" w:rsidRPr="00A52AB8">
        <w:tab/>
        <w:t>for(</w:t>
      </w:r>
      <w:r w:rsidR="003667D4" w:rsidRPr="00A52AB8">
        <w:t> </w:t>
      </w:r>
      <w:r w:rsidR="004C5B3F" w:rsidRPr="00A52AB8">
        <w:t>y</w:t>
      </w:r>
      <w:r w:rsidR="00D47707" w:rsidRPr="00A52AB8">
        <w:t> = </w:t>
      </w:r>
      <w:r w:rsidR="004C5B3F" w:rsidRPr="00A52AB8">
        <w:t>0</w:t>
      </w:r>
      <w:r w:rsidR="003667D4" w:rsidRPr="00A52AB8">
        <w:t>; y &lt; i</w:t>
      </w:r>
      <w:r w:rsidR="004C5B3F" w:rsidRPr="00A52AB8">
        <w:t>Height </w:t>
      </w:r>
      <w:r w:rsidR="003667D4" w:rsidRPr="00A52AB8">
        <w:t>; </w:t>
      </w:r>
      <w:r w:rsidR="004C5B3F" w:rsidRPr="00A52AB8">
        <w:t>y</w:t>
      </w:r>
      <w:r w:rsidR="00006CCF" w:rsidRPr="00A52AB8">
        <w:t>++ </w:t>
      </w:r>
      <w:r w:rsidR="008F1F82" w:rsidRPr="00A52AB8">
        <w:t>) {</w:t>
      </w:r>
      <w:r w:rsidR="003667D4" w:rsidRPr="00A52AB8">
        <w:br/>
      </w:r>
      <w:r w:rsidR="003E689E" w:rsidRPr="00A52AB8">
        <w:tab/>
      </w:r>
      <w:r w:rsidR="003E689E" w:rsidRPr="00A52AB8">
        <w:tab/>
      </w:r>
      <w:r w:rsidR="003E689E" w:rsidRPr="00A52AB8">
        <w:tab/>
      </w:r>
      <w:r w:rsidR="00331BDD" w:rsidRPr="00A52AB8">
        <w:tab/>
      </w:r>
      <w:r w:rsidR="003E689E" w:rsidRPr="00A52AB8">
        <w:tab/>
      </w:r>
      <w:r w:rsidR="003E689E" w:rsidRPr="00A52AB8">
        <w:tab/>
      </w:r>
      <w:r w:rsidR="003E689E" w:rsidRPr="00A52AB8">
        <w:tab/>
      </w:r>
      <w:r w:rsidR="004C5B3F" w:rsidRPr="00A52AB8">
        <w:t>for(</w:t>
      </w:r>
      <w:r w:rsidR="003667D4" w:rsidRPr="00A52AB8">
        <w:t> </w:t>
      </w:r>
      <w:r w:rsidR="004C5B3F" w:rsidRPr="00A52AB8">
        <w:t>x</w:t>
      </w:r>
      <w:r w:rsidR="00D47707" w:rsidRPr="00A52AB8">
        <w:t> = </w:t>
      </w:r>
      <w:r w:rsidR="004C5B3F" w:rsidRPr="00A52AB8">
        <w:t>0</w:t>
      </w:r>
      <w:r w:rsidR="003667D4" w:rsidRPr="00A52AB8">
        <w:t>; x &lt; i</w:t>
      </w:r>
      <w:r w:rsidR="004C5B3F" w:rsidRPr="00A52AB8">
        <w:t>Width ;</w:t>
      </w:r>
      <w:r w:rsidR="003667D4" w:rsidRPr="00A52AB8">
        <w:t> </w:t>
      </w:r>
      <w:r w:rsidR="004C5B3F" w:rsidRPr="00A52AB8">
        <w:t>x</w:t>
      </w:r>
      <w:r w:rsidR="00006CCF" w:rsidRPr="00A52AB8">
        <w:t>++ </w:t>
      </w:r>
      <w:r w:rsidR="008F1F82" w:rsidRPr="00A52AB8">
        <w:t>) {</w:t>
      </w:r>
      <w:r w:rsidR="003667D4" w:rsidRPr="00A52AB8">
        <w:br/>
      </w:r>
      <w:r w:rsidR="003E689E" w:rsidRPr="00A52AB8">
        <w:tab/>
      </w:r>
      <w:r w:rsidR="003E689E" w:rsidRPr="00A52AB8">
        <w:tab/>
      </w:r>
      <w:r w:rsidR="003E689E" w:rsidRPr="00A52AB8">
        <w:tab/>
      </w:r>
      <w:r w:rsidR="003E689E" w:rsidRPr="00A52AB8">
        <w:tab/>
      </w:r>
      <w:r w:rsidR="00331BDD" w:rsidRPr="00A52AB8">
        <w:tab/>
      </w:r>
      <w:r w:rsidR="003E689E" w:rsidRPr="00A52AB8">
        <w:tab/>
      </w:r>
      <w:r w:rsidR="003E689E" w:rsidRPr="00A52AB8">
        <w:tab/>
      </w:r>
      <w:r w:rsidR="003E689E" w:rsidRPr="00A52AB8">
        <w:tab/>
      </w:r>
      <w:r w:rsidR="00917F7F" w:rsidRPr="00A52AB8">
        <w:rPr>
          <w:color w:val="000000" w:themeColor="text1"/>
        </w:rPr>
        <w:t>o</w:t>
      </w:r>
      <w:r w:rsidR="00890C8F" w:rsidRPr="00A52AB8">
        <w:rPr>
          <w:color w:val="000000" w:themeColor="text1"/>
        </w:rPr>
        <w:t>Frame</w:t>
      </w:r>
      <w:r w:rsidR="00917F7F" w:rsidRPr="00A52AB8">
        <w:rPr>
          <w:color w:val="000000" w:themeColor="text1"/>
        </w:rPr>
        <w:t>s</w:t>
      </w:r>
      <w:r w:rsidR="00C73DC9" w:rsidRPr="00A52AB8">
        <w:t>[ i ][ </w:t>
      </w:r>
      <w:r w:rsidR="00917F7F" w:rsidRPr="00A52AB8">
        <w:t>f </w:t>
      </w:r>
      <w:r w:rsidR="00C73DC9" w:rsidRPr="00A52AB8">
        <w:t>]</w:t>
      </w:r>
      <w:r w:rsidR="004B7314" w:rsidRPr="00A52AB8">
        <w:t>[ </w:t>
      </w:r>
      <w:r w:rsidR="00917F7F" w:rsidRPr="00A52AB8">
        <w:t>c </w:t>
      </w:r>
      <w:r w:rsidR="004B7314" w:rsidRPr="00A52AB8">
        <w:t>][ y ][ x ]</w:t>
      </w:r>
      <w:r w:rsidR="00D47707" w:rsidRPr="00A52AB8">
        <w:t> = </w:t>
      </w:r>
      <w:r w:rsidR="00917F7F" w:rsidRPr="00A52AB8">
        <w:t>i</w:t>
      </w:r>
      <w:r w:rsidR="00C73DC9" w:rsidRPr="00A52AB8">
        <w:t>Frame</w:t>
      </w:r>
      <w:r w:rsidR="00917F7F" w:rsidRPr="00A52AB8">
        <w:t>s</w:t>
      </w:r>
      <w:r w:rsidR="00C73DC9" w:rsidRPr="00A52AB8">
        <w:t>[ i ][ </w:t>
      </w:r>
      <w:r w:rsidR="00917F7F" w:rsidRPr="00A52AB8">
        <w:t>f</w:t>
      </w:r>
      <w:r w:rsidR="003E1D36" w:rsidRPr="00A52AB8">
        <w:t> </w:t>
      </w:r>
      <w:r w:rsidR="00C73DC9" w:rsidRPr="00A52AB8">
        <w:t>]</w:t>
      </w:r>
      <w:r w:rsidR="004B7314" w:rsidRPr="00A52AB8">
        <w:t>[ </w:t>
      </w:r>
      <w:r w:rsidR="00917F7F" w:rsidRPr="00A52AB8">
        <w:t>c </w:t>
      </w:r>
      <w:r w:rsidR="004B7314" w:rsidRPr="00A52AB8">
        <w:t>][ y ][ x ]</w:t>
      </w:r>
      <w:r w:rsidR="00917F7F" w:rsidRPr="00A52AB8">
        <w:br/>
      </w:r>
      <w:r w:rsidR="00917F7F" w:rsidRPr="00A52AB8">
        <w:tab/>
      </w:r>
      <w:r w:rsidR="00917F7F" w:rsidRPr="00A52AB8">
        <w:tab/>
      </w:r>
      <w:r w:rsidR="00917F7F" w:rsidRPr="00A52AB8">
        <w:tab/>
      </w:r>
      <w:r w:rsidR="00917F7F" w:rsidRPr="00A52AB8">
        <w:tab/>
      </w:r>
      <w:r w:rsidR="00917F7F" w:rsidRPr="00A52AB8">
        <w:tab/>
      </w:r>
      <w:r w:rsidR="00917F7F" w:rsidRPr="00A52AB8">
        <w:tab/>
      </w:r>
      <w:r w:rsidR="00917F7F" w:rsidRPr="00A52AB8">
        <w:tab/>
        <w:t>}</w:t>
      </w:r>
      <w:r w:rsidR="00917F7F" w:rsidRPr="00A52AB8">
        <w:br/>
      </w:r>
      <w:r w:rsidR="00917F7F" w:rsidRPr="00A52AB8">
        <w:tab/>
      </w:r>
      <w:r w:rsidR="00917F7F" w:rsidRPr="00A52AB8">
        <w:tab/>
      </w:r>
      <w:r w:rsidR="00917F7F" w:rsidRPr="00A52AB8">
        <w:tab/>
      </w:r>
      <w:r w:rsidR="00917F7F" w:rsidRPr="00A52AB8">
        <w:tab/>
      </w:r>
      <w:r w:rsidR="00917F7F" w:rsidRPr="00A52AB8">
        <w:tab/>
      </w:r>
      <w:r w:rsidR="00917F7F" w:rsidRPr="00A52AB8">
        <w:tab/>
        <w:t>}</w:t>
      </w:r>
      <w:r w:rsidR="00917F7F" w:rsidRPr="00A52AB8">
        <w:br/>
      </w:r>
      <w:r w:rsidR="00917F7F" w:rsidRPr="00A52AB8">
        <w:tab/>
      </w:r>
      <w:r w:rsidR="00917F7F" w:rsidRPr="00A52AB8">
        <w:tab/>
      </w:r>
      <w:r w:rsidR="00917F7F" w:rsidRPr="00A52AB8">
        <w:tab/>
      </w:r>
      <w:r w:rsidR="00917F7F" w:rsidRPr="00A52AB8">
        <w:tab/>
      </w:r>
      <w:r w:rsidR="00917F7F" w:rsidRPr="00A52AB8">
        <w:tab/>
        <w:t>}</w:t>
      </w:r>
      <w:r w:rsidR="003667D4" w:rsidRPr="00A52AB8">
        <w:br/>
      </w:r>
      <w:r w:rsidR="003E689E" w:rsidRPr="00A52AB8">
        <w:tab/>
      </w:r>
      <w:r w:rsidR="003E689E" w:rsidRPr="00A52AB8">
        <w:tab/>
      </w:r>
      <w:r w:rsidR="003E689E" w:rsidRPr="00A52AB8">
        <w:tab/>
      </w:r>
      <w:r w:rsidR="00331BDD" w:rsidRPr="00A52AB8">
        <w:tab/>
      </w:r>
      <w:r w:rsidR="004C5B3F" w:rsidRPr="00A52AB8">
        <w:t>}</w:t>
      </w:r>
      <w:r w:rsidR="00917F7F" w:rsidRPr="00A52AB8">
        <w:br/>
      </w:r>
      <w:r w:rsidR="00917F7F" w:rsidRPr="00A52AB8">
        <w:tab/>
      </w:r>
      <w:r w:rsidR="00917F7F" w:rsidRPr="00A52AB8">
        <w:tab/>
      </w:r>
      <w:r w:rsidR="00917F7F" w:rsidRPr="00A52AB8">
        <w:tab/>
        <w:t>}</w:t>
      </w:r>
      <w:r w:rsidR="003667D4" w:rsidRPr="00A52AB8">
        <w:br/>
      </w:r>
      <w:r w:rsidR="003E689E" w:rsidRPr="00A52AB8">
        <w:tab/>
      </w:r>
      <w:r w:rsidR="00331BDD" w:rsidRPr="00A52AB8">
        <w:tab/>
      </w:r>
      <w:r w:rsidR="004C5B3F" w:rsidRPr="00A52AB8">
        <w:t>}</w:t>
      </w:r>
      <w:r w:rsidR="003E689E" w:rsidRPr="00A52AB8">
        <w:br/>
      </w:r>
      <w:r w:rsidR="00331BDD" w:rsidRPr="00A52AB8">
        <w:tab/>
      </w:r>
      <w:r w:rsidR="003E689E" w:rsidRPr="00A52AB8">
        <w:t>}</w:t>
      </w:r>
    </w:p>
    <w:p w14:paraId="23CF9479" w14:textId="77777777" w:rsidR="00C50689" w:rsidRPr="00A52AB8" w:rsidRDefault="0003372C" w:rsidP="00C50689">
      <w:pPr>
        <w:pStyle w:val="a2"/>
        <w:numPr>
          <w:ilvl w:val="2"/>
          <w:numId w:val="14"/>
        </w:numPr>
        <w:rPr>
          <w:color w:val="000000" w:themeColor="text1"/>
        </w:rPr>
      </w:pPr>
      <w:bookmarkStart w:id="4934" w:name="_Ref41553452"/>
      <w:bookmarkStart w:id="4935" w:name="_Toc52181674"/>
      <w:r w:rsidRPr="00A52AB8">
        <w:rPr>
          <w:color w:val="000000" w:themeColor="text1"/>
        </w:rPr>
        <w:t>Occupancy</w:t>
      </w:r>
      <w:r w:rsidR="00C50689" w:rsidRPr="00A52AB8">
        <w:rPr>
          <w:color w:val="000000" w:themeColor="text1"/>
        </w:rPr>
        <w:t xml:space="preserve"> thresholding process</w:t>
      </w:r>
      <w:bookmarkEnd w:id="4934"/>
      <w:bookmarkEnd w:id="4935"/>
    </w:p>
    <w:p w14:paraId="6D7FB6A7" w14:textId="77777777" w:rsidR="006A6C9A" w:rsidRPr="00A52AB8" w:rsidRDefault="006A6C9A" w:rsidP="00E860C4">
      <w:pPr>
        <w:rPr>
          <w:lang w:eastAsia="ja-JP"/>
        </w:rPr>
      </w:pPr>
      <w:r w:rsidRPr="00A52AB8">
        <w:rPr>
          <w:lang w:eastAsia="ja-JP"/>
        </w:rPr>
        <w:t>Inputs to this process are:</w:t>
      </w:r>
    </w:p>
    <w:p w14:paraId="36B4FDC2" w14:textId="77777777" w:rsidR="0050235C" w:rsidRPr="00A52AB8" w:rsidRDefault="007033D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variable inputThreshold, indicating the threshold value,</w:t>
      </w:r>
    </w:p>
    <w:p w14:paraId="1380EA62" w14:textId="6570E2AD" w:rsidR="007033D6" w:rsidRPr="00A52AB8" w:rsidRDefault="007033D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variable inputBitDepth, indicating the bit depth of inputSamples,</w:t>
      </w:r>
    </w:p>
    <w:p w14:paraId="09C364A4" w14:textId="77777777" w:rsidR="0050235C" w:rsidRPr="00A52AB8" w:rsidRDefault="007033D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variable inputHeight, indicating the height of inputSamples,</w:t>
      </w:r>
    </w:p>
    <w:p w14:paraId="221397D8" w14:textId="5877DF6E" w:rsidR="003C57B9" w:rsidRPr="00A52AB8" w:rsidRDefault="007033D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variable inputWidth, indicating the width of inputSamples</w:t>
      </w:r>
      <w:r w:rsidR="003C57B9" w:rsidRPr="00A52AB8">
        <w:rPr>
          <w:color w:val="000000" w:themeColor="text1"/>
        </w:rPr>
        <w:t>,</w:t>
      </w:r>
      <w:r w:rsidR="006A3A54" w:rsidRPr="00A52AB8">
        <w:rPr>
          <w:color w:val="000000" w:themeColor="text1"/>
        </w:rPr>
        <w:t xml:space="preserve"> and</w:t>
      </w:r>
    </w:p>
    <w:p w14:paraId="578F168F" w14:textId="6A7E4005" w:rsidR="006A6C9A" w:rsidRPr="00A52AB8" w:rsidRDefault="003C57B9"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w:t>
      </w:r>
      <w:r w:rsidRPr="00A52AB8" w:rsidDel="00331BDD">
        <w:rPr>
          <w:color w:val="000000" w:themeColor="text1"/>
        </w:rPr>
        <w:t xml:space="preserve"> </w:t>
      </w:r>
      <w:r w:rsidR="00331BDD" w:rsidRPr="00A52AB8">
        <w:rPr>
          <w:color w:val="000000" w:themeColor="text1"/>
        </w:rPr>
        <w:t>2D</w:t>
      </w:r>
      <w:r w:rsidR="006A6C9A" w:rsidRPr="00A52AB8">
        <w:rPr>
          <w:color w:val="000000" w:themeColor="text1"/>
        </w:rPr>
        <w:t xml:space="preserve"> </w:t>
      </w:r>
      <w:r w:rsidRPr="00A52AB8">
        <w:rPr>
          <w:color w:val="000000" w:themeColor="text1"/>
        </w:rPr>
        <w:t xml:space="preserve">array inputSamples, of size </w:t>
      </w:r>
      <w:r w:rsidR="00FB0C88" w:rsidRPr="00A52AB8">
        <w:rPr>
          <w:color w:val="000000" w:themeColor="text1"/>
        </w:rPr>
        <w:t>inputHeight</w:t>
      </w:r>
      <w:r w:rsidR="006A6C9A" w:rsidRPr="00A52AB8">
        <w:rPr>
          <w:color w:val="000000" w:themeColor="text1"/>
        </w:rPr>
        <w:t> × </w:t>
      </w:r>
      <w:r w:rsidR="00FB0C88" w:rsidRPr="00A52AB8">
        <w:rPr>
          <w:color w:val="000000" w:themeColor="text1"/>
        </w:rPr>
        <w:t>inputWidth</w:t>
      </w:r>
      <w:r w:rsidR="002068D3" w:rsidRPr="00A52AB8">
        <w:rPr>
          <w:color w:val="000000" w:themeColor="text1"/>
        </w:rPr>
        <w:t>.</w:t>
      </w:r>
    </w:p>
    <w:p w14:paraId="0A2CF98F" w14:textId="77777777" w:rsidR="0050235C" w:rsidRPr="00A52AB8" w:rsidRDefault="006A6C9A" w:rsidP="00E860C4">
      <w:pPr>
        <w:rPr>
          <w:color w:val="000000" w:themeColor="text1"/>
        </w:rPr>
      </w:pPr>
      <w:r w:rsidRPr="00A52AB8">
        <w:rPr>
          <w:color w:val="000000" w:themeColor="text1"/>
        </w:rPr>
        <w:t>Output of this process is:</w:t>
      </w:r>
    </w:p>
    <w:p w14:paraId="42A4553A" w14:textId="27F8ADB6" w:rsidR="006A6C9A" w:rsidRPr="00A52AB8" w:rsidRDefault="006A6C9A" w:rsidP="002068D3">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w:t>
      </w:r>
      <w:r w:rsidR="00331BDD" w:rsidRPr="00A52AB8">
        <w:rPr>
          <w:color w:val="000000" w:themeColor="text1"/>
        </w:rPr>
        <w:t>2D</w:t>
      </w:r>
      <w:r w:rsidRPr="00A52AB8">
        <w:rPr>
          <w:color w:val="000000" w:themeColor="text1"/>
        </w:rPr>
        <w:t xml:space="preserve"> </w:t>
      </w:r>
      <w:r w:rsidR="003C57B9" w:rsidRPr="00A52AB8">
        <w:rPr>
          <w:color w:val="000000" w:themeColor="text1"/>
        </w:rPr>
        <w:t xml:space="preserve">array outputSamples, of size </w:t>
      </w:r>
      <w:r w:rsidR="00FB0C88" w:rsidRPr="00A52AB8">
        <w:rPr>
          <w:color w:val="000000" w:themeColor="text1"/>
        </w:rPr>
        <w:t>inputHeight</w:t>
      </w:r>
      <w:r w:rsidRPr="00A52AB8">
        <w:rPr>
          <w:color w:val="000000" w:themeColor="text1"/>
        </w:rPr>
        <w:t> × </w:t>
      </w:r>
      <w:r w:rsidR="00FB0C88" w:rsidRPr="00A52AB8">
        <w:rPr>
          <w:color w:val="000000" w:themeColor="text1"/>
        </w:rPr>
        <w:t>inputWidth</w:t>
      </w:r>
      <w:r w:rsidRPr="00A52AB8">
        <w:rPr>
          <w:color w:val="000000" w:themeColor="text1"/>
        </w:rPr>
        <w:t>.</w:t>
      </w:r>
    </w:p>
    <w:p w14:paraId="4E421D7C" w14:textId="1B3A0411" w:rsidR="0027317E" w:rsidRPr="00A52AB8" w:rsidRDefault="0027317E" w:rsidP="00007BE2">
      <w:pPr>
        <w:rPr>
          <w:color w:val="000000" w:themeColor="text1"/>
        </w:rPr>
      </w:pPr>
      <w:r w:rsidRPr="00A52AB8">
        <w:rPr>
          <w:color w:val="000000" w:themeColor="text1"/>
        </w:rPr>
        <w:t>The occupancy thresholding process is performed as follows:</w:t>
      </w:r>
    </w:p>
    <w:p w14:paraId="35667247" w14:textId="30E551ED" w:rsidR="00C50689" w:rsidRPr="00A52AB8" w:rsidRDefault="00331BDD" w:rsidP="003819BE">
      <w:r w:rsidRPr="00A52AB8">
        <w:tab/>
      </w:r>
      <w:r w:rsidR="00C50689" w:rsidRPr="00A52AB8">
        <w:t>lossyThreshold</w:t>
      </w:r>
      <w:r w:rsidR="00D47707" w:rsidRPr="00A52AB8">
        <w:t> = </w:t>
      </w:r>
      <w:r w:rsidR="006A6C9A" w:rsidRPr="00A52AB8">
        <w:t>inputT</w:t>
      </w:r>
      <w:r w:rsidR="00C50689" w:rsidRPr="00A52AB8">
        <w:t>hreshold &lt;&lt;</w:t>
      </w:r>
      <w:r w:rsidR="006A6C9A" w:rsidRPr="00A52AB8">
        <w:t> </w:t>
      </w:r>
      <w:r w:rsidR="00C50689" w:rsidRPr="00A52AB8">
        <w:t>( </w:t>
      </w:r>
      <w:r w:rsidR="006A6C9A" w:rsidRPr="00A52AB8">
        <w:t>input</w:t>
      </w:r>
      <w:r w:rsidR="00C50689" w:rsidRPr="00A52AB8">
        <w:t>Bit</w:t>
      </w:r>
      <w:r w:rsidR="00BD1BF4" w:rsidRPr="00A52AB8">
        <w:t>D</w:t>
      </w:r>
      <w:r w:rsidR="00C50689" w:rsidRPr="00A52AB8">
        <w:t>epth – 8 )</w:t>
      </w:r>
      <w:r w:rsidRPr="00A52AB8">
        <w:br/>
      </w:r>
      <w:r w:rsidR="006A6C9A" w:rsidRPr="00A52AB8">
        <w:br/>
      </w:r>
      <w:r w:rsidRPr="00A52AB8">
        <w:tab/>
      </w:r>
      <w:r w:rsidR="00C50689" w:rsidRPr="00A52AB8">
        <w:t>for( y=0;</w:t>
      </w:r>
      <w:r w:rsidR="006A6C9A" w:rsidRPr="00A52AB8">
        <w:t> </w:t>
      </w:r>
      <w:r w:rsidR="00C50689" w:rsidRPr="00A52AB8">
        <w:t>y</w:t>
      </w:r>
      <w:r w:rsidR="006A6C9A" w:rsidRPr="00A52AB8">
        <w:t> </w:t>
      </w:r>
      <w:r w:rsidR="00C50689" w:rsidRPr="00A52AB8">
        <w:t>&lt;</w:t>
      </w:r>
      <w:r w:rsidR="006A6C9A" w:rsidRPr="00A52AB8">
        <w:t> </w:t>
      </w:r>
      <w:r w:rsidR="00BE5FFE" w:rsidRPr="00A52AB8">
        <w:t>input</w:t>
      </w:r>
      <w:r w:rsidR="00C50689" w:rsidRPr="00A52AB8">
        <w:t>Height;</w:t>
      </w:r>
      <w:r w:rsidR="006A6C9A" w:rsidRPr="00A52AB8">
        <w:t> </w:t>
      </w:r>
      <w:r w:rsidR="00C50689" w:rsidRPr="00A52AB8">
        <w:t>y</w:t>
      </w:r>
      <w:r w:rsidR="00006CCF" w:rsidRPr="00A52AB8">
        <w:t>++ )</w:t>
      </w:r>
      <w:r w:rsidR="00C50689" w:rsidRPr="00A52AB8">
        <w:br/>
      </w:r>
      <w:r w:rsidRPr="00A52AB8">
        <w:tab/>
      </w:r>
      <w:r w:rsidR="00C50689" w:rsidRPr="00A52AB8">
        <w:tab/>
        <w:t>for( x=0;</w:t>
      </w:r>
      <w:r w:rsidR="006A6C9A" w:rsidRPr="00A52AB8">
        <w:t> </w:t>
      </w:r>
      <w:r w:rsidR="00C50689" w:rsidRPr="00A52AB8">
        <w:t>x</w:t>
      </w:r>
      <w:r w:rsidR="006A6C9A" w:rsidRPr="00A52AB8">
        <w:t> </w:t>
      </w:r>
      <w:r w:rsidR="00C50689" w:rsidRPr="00A52AB8">
        <w:t>&lt;</w:t>
      </w:r>
      <w:r w:rsidR="006A6C9A" w:rsidRPr="00A52AB8">
        <w:t> </w:t>
      </w:r>
      <w:r w:rsidR="00BE5FFE" w:rsidRPr="00A52AB8">
        <w:t>input</w:t>
      </w:r>
      <w:r w:rsidR="00C50689" w:rsidRPr="00A52AB8">
        <w:t>Width;</w:t>
      </w:r>
      <w:r w:rsidR="006A6C9A" w:rsidRPr="00A52AB8">
        <w:t> </w:t>
      </w:r>
      <w:r w:rsidR="00C50689" w:rsidRPr="00A52AB8">
        <w:t>x</w:t>
      </w:r>
      <w:r w:rsidR="00006CCF" w:rsidRPr="00A52AB8">
        <w:t>++ )</w:t>
      </w:r>
      <w:r w:rsidR="00C50689" w:rsidRPr="00A52AB8">
        <w:br/>
      </w:r>
      <w:r w:rsidR="00C50689" w:rsidRPr="00A52AB8">
        <w:tab/>
      </w:r>
      <w:r w:rsidRPr="00A52AB8">
        <w:tab/>
      </w:r>
      <w:r w:rsidR="00C50689" w:rsidRPr="00A52AB8">
        <w:tab/>
        <w:t>if( </w:t>
      </w:r>
      <w:r w:rsidR="006A6C9A" w:rsidRPr="00A52AB8">
        <w:t>inputSamples</w:t>
      </w:r>
      <w:r w:rsidR="004B7314" w:rsidRPr="00A52AB8">
        <w:t>[ y ][ x ]</w:t>
      </w:r>
      <w:r w:rsidR="0081449D" w:rsidRPr="00A52AB8">
        <w:t> </w:t>
      </w:r>
      <w:r w:rsidR="00A234FD" w:rsidRPr="00A52AB8">
        <w:t>&lt;=</w:t>
      </w:r>
      <w:r w:rsidR="00D47707" w:rsidRPr="00A52AB8">
        <w:t> </w:t>
      </w:r>
      <w:r w:rsidR="00C50689" w:rsidRPr="00A52AB8">
        <w:t>lossyThreshold )</w:t>
      </w:r>
      <w:r w:rsidR="00C50689" w:rsidRPr="00A52AB8">
        <w:br/>
      </w:r>
      <w:r w:rsidR="00C50689" w:rsidRPr="00A52AB8">
        <w:tab/>
      </w:r>
      <w:r w:rsidR="00C50689" w:rsidRPr="00A52AB8">
        <w:tab/>
      </w:r>
      <w:r w:rsidRPr="00A52AB8">
        <w:tab/>
      </w:r>
      <w:r w:rsidR="00C50689" w:rsidRPr="00A52AB8">
        <w:tab/>
      </w:r>
      <w:r w:rsidR="006A6C9A" w:rsidRPr="00A52AB8">
        <w:t>outputSamples</w:t>
      </w:r>
      <w:r w:rsidR="004B7314" w:rsidRPr="00A52AB8">
        <w:t>[ y ][ x ]</w:t>
      </w:r>
      <w:r w:rsidR="00D47707" w:rsidRPr="00A52AB8">
        <w:t> = </w:t>
      </w:r>
      <w:r w:rsidR="00C50689" w:rsidRPr="00A52AB8">
        <w:t>0</w:t>
      </w:r>
      <w:r w:rsidR="00C50689" w:rsidRPr="00A52AB8">
        <w:br/>
      </w:r>
      <w:r w:rsidR="00C50689" w:rsidRPr="00A52AB8">
        <w:tab/>
      </w:r>
      <w:r w:rsidR="00C50689" w:rsidRPr="00A52AB8">
        <w:tab/>
      </w:r>
      <w:r w:rsidRPr="00A52AB8">
        <w:tab/>
      </w:r>
      <w:r w:rsidR="00C50689" w:rsidRPr="00A52AB8">
        <w:t>else</w:t>
      </w:r>
      <w:r w:rsidR="00C50689" w:rsidRPr="00A52AB8">
        <w:br/>
      </w:r>
      <w:r w:rsidR="00C50689" w:rsidRPr="00A52AB8">
        <w:tab/>
      </w:r>
      <w:r w:rsidR="00C50689" w:rsidRPr="00A52AB8">
        <w:tab/>
      </w:r>
      <w:r w:rsidR="00C50689" w:rsidRPr="00A52AB8">
        <w:tab/>
      </w:r>
      <w:r w:rsidRPr="00A52AB8">
        <w:tab/>
      </w:r>
      <w:r w:rsidR="006A6C9A" w:rsidRPr="00A52AB8">
        <w:t>outputSamples</w:t>
      </w:r>
      <w:r w:rsidR="004B7314" w:rsidRPr="00A52AB8">
        <w:t>[ y ][ x ]</w:t>
      </w:r>
      <w:r w:rsidR="00D47707" w:rsidRPr="00A52AB8">
        <w:t> = </w:t>
      </w:r>
      <w:r w:rsidR="00C50689" w:rsidRPr="00A52AB8">
        <w:t>1</w:t>
      </w:r>
    </w:p>
    <w:p w14:paraId="452BB2BF" w14:textId="7499177E" w:rsidR="000E5116" w:rsidRPr="00A52AB8" w:rsidRDefault="000E5116" w:rsidP="000E5116">
      <w:pPr>
        <w:pStyle w:val="a2"/>
        <w:numPr>
          <w:ilvl w:val="1"/>
          <w:numId w:val="14"/>
        </w:numPr>
        <w:tabs>
          <w:tab w:val="clear" w:pos="806"/>
          <w:tab w:val="clear" w:pos="1210"/>
          <w:tab w:val="clear" w:pos="1613"/>
          <w:tab w:val="clear" w:pos="2016"/>
          <w:tab w:val="clear" w:pos="2419"/>
          <w:tab w:val="clear" w:pos="2822"/>
          <w:tab w:val="clear" w:pos="3226"/>
          <w:tab w:val="clear" w:pos="3629"/>
          <w:tab w:val="clear" w:pos="4032"/>
          <w:tab w:val="clear" w:pos="4435"/>
          <w:tab w:val="clear" w:pos="9677"/>
          <w:tab w:val="num" w:pos="4613"/>
        </w:tabs>
        <w:rPr>
          <w:color w:val="000000" w:themeColor="text1"/>
        </w:rPr>
      </w:pPr>
      <w:bookmarkStart w:id="4936" w:name="_Ref44921124"/>
      <w:bookmarkStart w:id="4937" w:name="_Toc48570893"/>
      <w:bookmarkStart w:id="4938" w:name="_Toc49424458"/>
      <w:bookmarkStart w:id="4939" w:name="_Toc52181675"/>
      <w:r w:rsidRPr="00A52AB8">
        <w:rPr>
          <w:color w:val="000000" w:themeColor="text1"/>
        </w:rPr>
        <w:t>Unpacking process of a decoded packed video</w:t>
      </w:r>
      <w:bookmarkEnd w:id="4936"/>
      <w:bookmarkEnd w:id="4937"/>
      <w:bookmarkEnd w:id="4938"/>
      <w:bookmarkEnd w:id="4939"/>
    </w:p>
    <w:p w14:paraId="30273615" w14:textId="74255D95" w:rsidR="000E5116" w:rsidRDefault="000E5116" w:rsidP="00CC1144">
      <w:pPr>
        <w:rPr>
          <w:lang w:eastAsia="ja-JP"/>
        </w:rPr>
      </w:pPr>
      <w:r w:rsidRPr="00A52AB8">
        <w:rPr>
          <w:highlight w:val="yellow"/>
          <w:lang w:eastAsia="ja-JP"/>
        </w:rPr>
        <w:t xml:space="preserve">[Ed.(BK): This text is copied verbatim from ISO/IEC CD 23090-12 and needs to be </w:t>
      </w:r>
      <w:r w:rsidR="00411610">
        <w:rPr>
          <w:highlight w:val="yellow"/>
          <w:lang w:eastAsia="ja-JP"/>
        </w:rPr>
        <w:t>aligned and improved</w:t>
      </w:r>
      <w:r w:rsidRPr="00A52AB8">
        <w:rPr>
          <w:highlight w:val="yellow"/>
          <w:lang w:eastAsia="ja-JP"/>
        </w:rPr>
        <w:t>.]</w:t>
      </w:r>
    </w:p>
    <w:p w14:paraId="58841863" w14:textId="2F5D1883" w:rsidR="00411610" w:rsidRPr="00A52AB8" w:rsidRDefault="00411610" w:rsidP="00CC1144">
      <w:r w:rsidRPr="00A52AB8">
        <w:rPr>
          <w:highlight w:val="yellow"/>
          <w:lang w:eastAsia="ja-JP"/>
        </w:rPr>
        <w:t xml:space="preserve">[Ed.(BK): </w:t>
      </w:r>
      <w:r w:rsidR="00AD6B39">
        <w:rPr>
          <w:highlight w:val="yellow"/>
          <w:lang w:eastAsia="ja-JP"/>
        </w:rPr>
        <w:t>The process has to be split in sub-processes for readability</w:t>
      </w:r>
      <w:r w:rsidRPr="00A52AB8">
        <w:rPr>
          <w:highlight w:val="yellow"/>
          <w:lang w:eastAsia="ja-JP"/>
        </w:rPr>
        <w:t>.]</w:t>
      </w:r>
    </w:p>
    <w:p w14:paraId="02E34214" w14:textId="34B511C4" w:rsidR="000E5116" w:rsidRPr="00A52AB8" w:rsidRDefault="000E5116" w:rsidP="000E5116">
      <w:pPr>
        <w:rPr>
          <w:lang w:eastAsia="ja-JP"/>
        </w:rPr>
      </w:pPr>
      <w:r w:rsidRPr="00A52AB8">
        <w:rPr>
          <w:highlight w:val="yellow"/>
          <w:lang w:eastAsia="ja-JP"/>
        </w:rPr>
        <w:t>[Ed.</w:t>
      </w:r>
      <w:r w:rsidR="00EB2C0B">
        <w:rPr>
          <w:highlight w:val="yellow"/>
          <w:lang w:eastAsia="ja-JP"/>
        </w:rPr>
        <w:t xml:space="preserve"> </w:t>
      </w:r>
      <w:r w:rsidRPr="00A52AB8">
        <w:rPr>
          <w:highlight w:val="yellow"/>
          <w:lang w:eastAsia="ja-JP"/>
        </w:rPr>
        <w:t>(JB): check the derivation of the scaling factors and the use of TileOffsetX &amp; Y to determine the width and height]</w:t>
      </w:r>
    </w:p>
    <w:p w14:paraId="636AB967" w14:textId="77777777" w:rsidR="000E5116" w:rsidRPr="00A52AB8" w:rsidRDefault="000E5116" w:rsidP="000E5116">
      <w:pPr>
        <w:rPr>
          <w:color w:val="000000" w:themeColor="text1"/>
        </w:rPr>
      </w:pPr>
      <w:r w:rsidRPr="00A52AB8">
        <w:rPr>
          <w:color w:val="000000" w:themeColor="text1"/>
        </w:rPr>
        <w:t>For an atlas with ID equal to k and frame index equal to frameIdx, inputs to this process are:</w:t>
      </w:r>
    </w:p>
    <w:p w14:paraId="105790D8" w14:textId="3E0EC68F" w:rsidR="000E5116" w:rsidRPr="00A52AB8" w:rsidRDefault="000E5116" w:rsidP="000E5116">
      <w:pPr>
        <w:pStyle w:val="ListParagraph"/>
        <w:numPr>
          <w:ilvl w:val="0"/>
          <w:numId w:val="72"/>
        </w:numPr>
        <w:tabs>
          <w:tab w:val="clear" w:pos="806"/>
          <w:tab w:val="clear" w:pos="1210"/>
          <w:tab w:val="clear" w:pos="1613"/>
          <w:tab w:val="clear" w:pos="2016"/>
          <w:tab w:val="clear" w:pos="2419"/>
          <w:tab w:val="clear" w:pos="2822"/>
          <w:tab w:val="clear" w:pos="3226"/>
          <w:tab w:val="clear" w:pos="3629"/>
          <w:tab w:val="clear" w:pos="4032"/>
          <w:tab w:val="clear" w:pos="4435"/>
          <w:tab w:val="clear" w:pos="9677"/>
        </w:tabs>
        <w:ind w:leftChars="0" w:left="403" w:hanging="403"/>
        <w:rPr>
          <w:color w:val="000000" w:themeColor="text1"/>
        </w:rPr>
      </w:pPr>
      <w:r w:rsidRPr="00A52AB8">
        <w:rPr>
          <w:color w:val="000000" w:themeColor="text1"/>
        </w:rPr>
        <w:t xml:space="preserve">packed information syntax elements, as specified in clause </w:t>
      </w:r>
      <w:r w:rsidRPr="00496A4D">
        <w:rPr>
          <w:color w:val="000000" w:themeColor="text1"/>
        </w:rPr>
        <w:fldChar w:fldCharType="begin"/>
      </w:r>
      <w:r w:rsidRPr="00A52AB8">
        <w:rPr>
          <w:color w:val="000000" w:themeColor="text1"/>
        </w:rPr>
        <w:instrText xml:space="preserve"> REF _Ref48745460 \r \h </w:instrText>
      </w:r>
      <w:r w:rsidRPr="00496A4D">
        <w:rPr>
          <w:color w:val="000000" w:themeColor="text1"/>
        </w:rPr>
      </w:r>
      <w:r w:rsidRPr="00496A4D">
        <w:rPr>
          <w:color w:val="000000" w:themeColor="text1"/>
        </w:rPr>
        <w:fldChar w:fldCharType="separate"/>
      </w:r>
      <w:r w:rsidR="00507A67">
        <w:rPr>
          <w:color w:val="000000" w:themeColor="text1"/>
        </w:rPr>
        <w:t>8.3.4.7</w:t>
      </w:r>
      <w:r w:rsidRPr="00496A4D">
        <w:rPr>
          <w:color w:val="000000" w:themeColor="text1"/>
        </w:rPr>
        <w:fldChar w:fldCharType="end"/>
      </w:r>
    </w:p>
    <w:p w14:paraId="0A5C7295" w14:textId="45F32CF9" w:rsidR="000E5116" w:rsidRPr="00A52AB8" w:rsidRDefault="000E5116" w:rsidP="000E5116">
      <w:pPr>
        <w:pStyle w:val="ListParagraph"/>
        <w:numPr>
          <w:ilvl w:val="0"/>
          <w:numId w:val="72"/>
        </w:numPr>
        <w:tabs>
          <w:tab w:val="clear" w:pos="806"/>
          <w:tab w:val="clear" w:pos="1210"/>
          <w:tab w:val="clear" w:pos="1613"/>
          <w:tab w:val="clear" w:pos="2016"/>
          <w:tab w:val="clear" w:pos="2419"/>
          <w:tab w:val="clear" w:pos="2822"/>
          <w:tab w:val="clear" w:pos="3226"/>
          <w:tab w:val="clear" w:pos="3629"/>
          <w:tab w:val="clear" w:pos="4032"/>
          <w:tab w:val="clear" w:pos="4435"/>
          <w:tab w:val="clear" w:pos="9677"/>
        </w:tabs>
        <w:ind w:leftChars="0" w:left="403" w:hanging="403"/>
        <w:rPr>
          <w:color w:val="000000" w:themeColor="text1"/>
        </w:rPr>
      </w:pPr>
      <w:r w:rsidRPr="00A52AB8">
        <w:rPr>
          <w:color w:val="000000" w:themeColor="text1"/>
        </w:rPr>
        <w:t>tile information TileWidth, TileHeight, TileOffsetX, TileOffsetY,</w:t>
      </w:r>
    </w:p>
    <w:p w14:paraId="17A475E1" w14:textId="66E24FB8" w:rsidR="000E5116" w:rsidRPr="00A52AB8" w:rsidRDefault="000E5116" w:rsidP="000E5116">
      <w:pPr>
        <w:pStyle w:val="ListParagraph"/>
        <w:numPr>
          <w:ilvl w:val="0"/>
          <w:numId w:val="72"/>
        </w:numPr>
        <w:tabs>
          <w:tab w:val="clear" w:pos="806"/>
          <w:tab w:val="clear" w:pos="1210"/>
          <w:tab w:val="clear" w:pos="1613"/>
          <w:tab w:val="clear" w:pos="2016"/>
          <w:tab w:val="clear" w:pos="2419"/>
          <w:tab w:val="clear" w:pos="2822"/>
          <w:tab w:val="clear" w:pos="3226"/>
          <w:tab w:val="clear" w:pos="3629"/>
          <w:tab w:val="clear" w:pos="4032"/>
          <w:tab w:val="clear" w:pos="4435"/>
          <w:tab w:val="clear" w:pos="9677"/>
        </w:tabs>
        <w:ind w:leftChars="0" w:left="403" w:hanging="403"/>
        <w:rPr>
          <w:color w:val="000000" w:themeColor="text1"/>
        </w:rPr>
      </w:pPr>
      <w:r w:rsidRPr="00A52AB8">
        <w:rPr>
          <w:color w:val="000000" w:themeColor="text1"/>
        </w:rPr>
        <w:t xml:space="preserve">the outputs of the packed video decoding process, as specified in clause </w:t>
      </w:r>
      <w:r w:rsidRPr="00496A4D">
        <w:rPr>
          <w:color w:val="000000" w:themeColor="text1"/>
        </w:rPr>
        <w:fldChar w:fldCharType="begin"/>
      </w:r>
      <w:r w:rsidRPr="00A52AB8">
        <w:rPr>
          <w:color w:val="000000" w:themeColor="text1"/>
        </w:rPr>
        <w:instrText xml:space="preserve"> REF _Ref48913740 \r \h </w:instrText>
      </w:r>
      <w:r w:rsidRPr="00496A4D">
        <w:rPr>
          <w:color w:val="000000" w:themeColor="text1"/>
        </w:rPr>
      </w:r>
      <w:r w:rsidRPr="00496A4D">
        <w:rPr>
          <w:color w:val="000000" w:themeColor="text1"/>
        </w:rPr>
        <w:fldChar w:fldCharType="separate"/>
      </w:r>
      <w:r w:rsidR="00507A67">
        <w:rPr>
          <w:color w:val="000000" w:themeColor="text1"/>
        </w:rPr>
        <w:t>9.6</w:t>
      </w:r>
      <w:r w:rsidRPr="00496A4D">
        <w:rPr>
          <w:color w:val="000000" w:themeColor="text1"/>
        </w:rPr>
        <w:fldChar w:fldCharType="end"/>
      </w:r>
    </w:p>
    <w:p w14:paraId="1B4AF19D" w14:textId="77777777" w:rsidR="000E5116" w:rsidRPr="00A52AB8" w:rsidRDefault="000E5116" w:rsidP="000E5116">
      <w:pPr>
        <w:rPr>
          <w:color w:val="000000" w:themeColor="text1"/>
        </w:rPr>
      </w:pPr>
      <w:r w:rsidRPr="00A52AB8">
        <w:rPr>
          <w:color w:val="000000" w:themeColor="text1"/>
        </w:rPr>
        <w:t xml:space="preserve">Outputs of this process are: </w:t>
      </w:r>
    </w:p>
    <w:p w14:paraId="2523C258" w14:textId="77777777" w:rsidR="000E5116" w:rsidRPr="00A52AB8" w:rsidRDefault="000E5116" w:rsidP="000E5116">
      <w:pPr>
        <w:pStyle w:val="ListParagraph"/>
        <w:numPr>
          <w:ilvl w:val="0"/>
          <w:numId w:val="72"/>
        </w:numPr>
        <w:tabs>
          <w:tab w:val="clear" w:pos="806"/>
          <w:tab w:val="clear" w:pos="1210"/>
          <w:tab w:val="clear" w:pos="1613"/>
          <w:tab w:val="clear" w:pos="2016"/>
          <w:tab w:val="clear" w:pos="2419"/>
          <w:tab w:val="clear" w:pos="2822"/>
          <w:tab w:val="clear" w:pos="3226"/>
          <w:tab w:val="clear" w:pos="3629"/>
          <w:tab w:val="clear" w:pos="4032"/>
          <w:tab w:val="clear" w:pos="4435"/>
          <w:tab w:val="clear" w:pos="9677"/>
        </w:tabs>
        <w:ind w:leftChars="0" w:left="403" w:hanging="403"/>
        <w:rPr>
          <w:color w:val="000000" w:themeColor="text1"/>
        </w:rPr>
      </w:pPr>
      <w:r w:rsidRPr="00A52AB8">
        <w:rPr>
          <w:color w:val="000000" w:themeColor="text1"/>
        </w:rPr>
        <w:t>the decoded occupancy frame decOccFrame[ frameIdx ][ compIdx ][  ][  ], if present, and its associated information:</w:t>
      </w:r>
    </w:p>
    <w:p w14:paraId="67E3672F" w14:textId="77777777" w:rsidR="000E5116" w:rsidRPr="00A52AB8" w:rsidRDefault="000E5116" w:rsidP="000E5116">
      <w:pPr>
        <w:pStyle w:val="ListParagraph"/>
        <w:numPr>
          <w:ilvl w:val="0"/>
          <w:numId w:val="72"/>
        </w:numPr>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s>
        <w:ind w:leftChars="0" w:left="1120"/>
        <w:rPr>
          <w:color w:val="000000" w:themeColor="text1"/>
        </w:rPr>
      </w:pPr>
      <w:r w:rsidRPr="00A52AB8">
        <w:rPr>
          <w:color w:val="000000" w:themeColor="text1"/>
        </w:rPr>
        <w:t>bit depth, decOccBitDepth[ frameIdx ]</w:t>
      </w:r>
    </w:p>
    <w:p w14:paraId="19FA5F47" w14:textId="77777777" w:rsidR="000E5116" w:rsidRPr="00A52AB8" w:rsidRDefault="000E5116" w:rsidP="000E5116">
      <w:pPr>
        <w:pStyle w:val="ListParagraph"/>
        <w:numPr>
          <w:ilvl w:val="0"/>
          <w:numId w:val="72"/>
        </w:numPr>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s>
        <w:ind w:leftChars="0" w:left="1120"/>
        <w:rPr>
          <w:color w:val="000000" w:themeColor="text1"/>
        </w:rPr>
      </w:pPr>
      <w:r w:rsidRPr="00A52AB8">
        <w:rPr>
          <w:color w:val="000000" w:themeColor="text1"/>
        </w:rPr>
        <w:t>width, decOccWidth[ frameIdx ],</w:t>
      </w:r>
    </w:p>
    <w:p w14:paraId="3525DB2B" w14:textId="77777777" w:rsidR="000E5116" w:rsidRPr="00A52AB8" w:rsidRDefault="000E5116" w:rsidP="000E5116">
      <w:pPr>
        <w:pStyle w:val="ListParagraph"/>
        <w:numPr>
          <w:ilvl w:val="0"/>
          <w:numId w:val="72"/>
        </w:numPr>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s>
        <w:ind w:leftChars="0" w:left="1120"/>
        <w:rPr>
          <w:color w:val="000000" w:themeColor="text1"/>
        </w:rPr>
      </w:pPr>
      <w:r w:rsidRPr="00A52AB8">
        <w:rPr>
          <w:color w:val="000000" w:themeColor="text1"/>
        </w:rPr>
        <w:t>height, decOccHeight[ frameIdx ],</w:t>
      </w:r>
    </w:p>
    <w:p w14:paraId="0855D931" w14:textId="77777777" w:rsidR="000E5116" w:rsidRPr="00A52AB8" w:rsidRDefault="000E5116" w:rsidP="000E5116">
      <w:pPr>
        <w:pStyle w:val="ListParagraph"/>
        <w:numPr>
          <w:ilvl w:val="0"/>
          <w:numId w:val="72"/>
        </w:numPr>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s>
        <w:ind w:leftChars="0" w:left="1120"/>
        <w:rPr>
          <w:color w:val="000000" w:themeColor="text1"/>
        </w:rPr>
      </w:pPr>
      <w:r w:rsidRPr="00A52AB8">
        <w:rPr>
          <w:color w:val="000000" w:themeColor="text1"/>
        </w:rPr>
        <w:t>output order index, decOccOutOrdIdx[ frameIdx ], and</w:t>
      </w:r>
    </w:p>
    <w:p w14:paraId="6079D4BC" w14:textId="77777777" w:rsidR="000E5116" w:rsidRPr="00A52AB8" w:rsidRDefault="000E5116" w:rsidP="000E5116">
      <w:pPr>
        <w:pStyle w:val="ListParagraph"/>
        <w:numPr>
          <w:ilvl w:val="0"/>
          <w:numId w:val="72"/>
        </w:numPr>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s>
        <w:ind w:leftChars="0" w:left="1120"/>
        <w:rPr>
          <w:color w:val="000000" w:themeColor="text1"/>
        </w:rPr>
      </w:pPr>
      <w:r w:rsidRPr="00A52AB8">
        <w:rPr>
          <w:color w:val="000000" w:themeColor="text1"/>
        </w:rPr>
        <w:t>composition time, decOccCompTime[ frameIdx ]</w:t>
      </w:r>
    </w:p>
    <w:p w14:paraId="3CE32962" w14:textId="77777777" w:rsidR="000E5116" w:rsidRPr="00A52AB8" w:rsidRDefault="000E5116" w:rsidP="000E5116">
      <w:pPr>
        <w:pStyle w:val="ListParagraph"/>
        <w:numPr>
          <w:ilvl w:val="0"/>
          <w:numId w:val="72"/>
        </w:numPr>
        <w:tabs>
          <w:tab w:val="clear" w:pos="806"/>
          <w:tab w:val="clear" w:pos="1210"/>
          <w:tab w:val="clear" w:pos="1613"/>
          <w:tab w:val="clear" w:pos="2016"/>
          <w:tab w:val="clear" w:pos="2419"/>
          <w:tab w:val="clear" w:pos="2822"/>
          <w:tab w:val="clear" w:pos="3226"/>
          <w:tab w:val="clear" w:pos="3629"/>
          <w:tab w:val="clear" w:pos="4032"/>
          <w:tab w:val="clear" w:pos="4435"/>
          <w:tab w:val="clear" w:pos="9677"/>
        </w:tabs>
        <w:ind w:leftChars="0" w:left="403" w:hanging="403"/>
        <w:rPr>
          <w:color w:val="000000" w:themeColor="text1"/>
        </w:rPr>
      </w:pPr>
      <w:r w:rsidRPr="00A52AB8">
        <w:rPr>
          <w:color w:val="000000" w:themeColor="text1"/>
        </w:rPr>
        <w:t>the decoded geometry frame decGeoFrame[ mapIdx ][ frameIdx ][ compIdx ][  ][  ], if present, and its associated information</w:t>
      </w:r>
    </w:p>
    <w:p w14:paraId="71B75C75" w14:textId="77777777" w:rsidR="000E5116" w:rsidRPr="00A52AB8" w:rsidRDefault="000E5116" w:rsidP="000E5116">
      <w:pPr>
        <w:pStyle w:val="ListParagraph"/>
        <w:numPr>
          <w:ilvl w:val="0"/>
          <w:numId w:val="72"/>
        </w:numPr>
        <w:tabs>
          <w:tab w:val="clear" w:pos="806"/>
          <w:tab w:val="clear" w:pos="1210"/>
          <w:tab w:val="clear" w:pos="1613"/>
          <w:tab w:val="clear" w:pos="2016"/>
          <w:tab w:val="clear" w:pos="2419"/>
          <w:tab w:val="clear" w:pos="2822"/>
          <w:tab w:val="clear" w:pos="3226"/>
          <w:tab w:val="clear" w:pos="3629"/>
          <w:tab w:val="clear" w:pos="4032"/>
          <w:tab w:val="clear" w:pos="4435"/>
          <w:tab w:val="clear" w:pos="9677"/>
        </w:tabs>
        <w:ind w:leftChars="0" w:left="1120"/>
        <w:rPr>
          <w:color w:val="000000" w:themeColor="text1"/>
        </w:rPr>
      </w:pPr>
      <w:r w:rsidRPr="00A52AB8">
        <w:rPr>
          <w:color w:val="000000" w:themeColor="text1"/>
        </w:rPr>
        <w:t xml:space="preserve">bitdepth, decGeoBitdepth[ mapIdx ][ frameIdx ], </w:t>
      </w:r>
    </w:p>
    <w:p w14:paraId="2262D5C3" w14:textId="77777777" w:rsidR="000E5116" w:rsidRPr="00A52AB8" w:rsidRDefault="000E5116" w:rsidP="000E5116">
      <w:pPr>
        <w:pStyle w:val="ListParagraph"/>
        <w:numPr>
          <w:ilvl w:val="0"/>
          <w:numId w:val="72"/>
        </w:numPr>
        <w:tabs>
          <w:tab w:val="clear" w:pos="806"/>
          <w:tab w:val="clear" w:pos="1210"/>
          <w:tab w:val="clear" w:pos="1613"/>
          <w:tab w:val="clear" w:pos="2016"/>
          <w:tab w:val="clear" w:pos="2419"/>
          <w:tab w:val="clear" w:pos="2822"/>
          <w:tab w:val="clear" w:pos="3226"/>
          <w:tab w:val="clear" w:pos="3629"/>
          <w:tab w:val="clear" w:pos="4032"/>
          <w:tab w:val="clear" w:pos="4435"/>
          <w:tab w:val="clear" w:pos="9677"/>
        </w:tabs>
        <w:ind w:leftChars="0" w:left="1120"/>
        <w:rPr>
          <w:color w:val="000000" w:themeColor="text1"/>
        </w:rPr>
      </w:pPr>
      <w:r w:rsidRPr="00A52AB8">
        <w:rPr>
          <w:color w:val="000000" w:themeColor="text1"/>
        </w:rPr>
        <w:t xml:space="preserve">width, decGeoWidth[ mapIdx ][ frameIdx ], </w:t>
      </w:r>
    </w:p>
    <w:p w14:paraId="44AF6AFD" w14:textId="77777777" w:rsidR="000E5116" w:rsidRPr="00A52AB8" w:rsidRDefault="000E5116" w:rsidP="000E5116">
      <w:pPr>
        <w:pStyle w:val="ListParagraph"/>
        <w:numPr>
          <w:ilvl w:val="0"/>
          <w:numId w:val="72"/>
        </w:numPr>
        <w:tabs>
          <w:tab w:val="clear" w:pos="806"/>
          <w:tab w:val="clear" w:pos="1210"/>
          <w:tab w:val="clear" w:pos="1613"/>
          <w:tab w:val="clear" w:pos="2016"/>
          <w:tab w:val="clear" w:pos="2419"/>
          <w:tab w:val="clear" w:pos="2822"/>
          <w:tab w:val="clear" w:pos="3226"/>
          <w:tab w:val="clear" w:pos="3629"/>
          <w:tab w:val="clear" w:pos="4032"/>
          <w:tab w:val="clear" w:pos="4435"/>
          <w:tab w:val="clear" w:pos="9677"/>
        </w:tabs>
        <w:ind w:leftChars="0" w:left="1120"/>
        <w:rPr>
          <w:color w:val="000000" w:themeColor="text1"/>
        </w:rPr>
      </w:pPr>
      <w:r w:rsidRPr="00A52AB8">
        <w:rPr>
          <w:color w:val="000000" w:themeColor="text1"/>
        </w:rPr>
        <w:t>height, decGeoHeight[ mapIdx ][ frameIdx ],</w:t>
      </w:r>
    </w:p>
    <w:p w14:paraId="18A83AE3" w14:textId="77777777" w:rsidR="000E5116" w:rsidRPr="00A52AB8" w:rsidRDefault="000E5116" w:rsidP="000E5116">
      <w:pPr>
        <w:pStyle w:val="ListParagraph"/>
        <w:numPr>
          <w:ilvl w:val="0"/>
          <w:numId w:val="72"/>
        </w:numPr>
        <w:tabs>
          <w:tab w:val="clear" w:pos="806"/>
          <w:tab w:val="clear" w:pos="1210"/>
          <w:tab w:val="clear" w:pos="1613"/>
          <w:tab w:val="clear" w:pos="2016"/>
          <w:tab w:val="clear" w:pos="2419"/>
          <w:tab w:val="clear" w:pos="2822"/>
          <w:tab w:val="clear" w:pos="3226"/>
          <w:tab w:val="clear" w:pos="3629"/>
          <w:tab w:val="clear" w:pos="4032"/>
          <w:tab w:val="clear" w:pos="4435"/>
          <w:tab w:val="clear" w:pos="9677"/>
        </w:tabs>
        <w:ind w:leftChars="0" w:left="1120"/>
        <w:rPr>
          <w:color w:val="000000" w:themeColor="text1"/>
        </w:rPr>
      </w:pPr>
      <w:r w:rsidRPr="00A52AB8">
        <w:rPr>
          <w:color w:val="000000" w:themeColor="text1"/>
        </w:rPr>
        <w:t xml:space="preserve">output order index, decGeoOutOrdIdx[ frameIdx ], and </w:t>
      </w:r>
    </w:p>
    <w:p w14:paraId="08E7DB2E" w14:textId="77777777" w:rsidR="000E5116" w:rsidRPr="00A52AB8" w:rsidRDefault="000E5116" w:rsidP="000E5116">
      <w:pPr>
        <w:pStyle w:val="ListParagraph"/>
        <w:numPr>
          <w:ilvl w:val="0"/>
          <w:numId w:val="72"/>
        </w:numPr>
        <w:tabs>
          <w:tab w:val="clear" w:pos="806"/>
          <w:tab w:val="clear" w:pos="1210"/>
          <w:tab w:val="clear" w:pos="1613"/>
          <w:tab w:val="clear" w:pos="2016"/>
          <w:tab w:val="clear" w:pos="2419"/>
          <w:tab w:val="clear" w:pos="2822"/>
          <w:tab w:val="clear" w:pos="3226"/>
          <w:tab w:val="clear" w:pos="3629"/>
          <w:tab w:val="clear" w:pos="4032"/>
          <w:tab w:val="clear" w:pos="4435"/>
          <w:tab w:val="clear" w:pos="9677"/>
        </w:tabs>
        <w:ind w:leftChars="0" w:left="1120"/>
        <w:rPr>
          <w:color w:val="000000" w:themeColor="text1"/>
        </w:rPr>
      </w:pPr>
      <w:r w:rsidRPr="00A52AB8">
        <w:rPr>
          <w:color w:val="000000" w:themeColor="text1"/>
        </w:rPr>
        <w:t>composition time, decGeoCompTime[ frameIdx ]</w:t>
      </w:r>
    </w:p>
    <w:p w14:paraId="41D0167A" w14:textId="77777777" w:rsidR="000E5116" w:rsidRPr="00A52AB8" w:rsidRDefault="000E5116" w:rsidP="000E5116">
      <w:pPr>
        <w:pStyle w:val="ListParagraph"/>
        <w:numPr>
          <w:ilvl w:val="0"/>
          <w:numId w:val="72"/>
        </w:numPr>
        <w:tabs>
          <w:tab w:val="clear" w:pos="806"/>
          <w:tab w:val="clear" w:pos="1210"/>
          <w:tab w:val="clear" w:pos="1613"/>
          <w:tab w:val="clear" w:pos="2016"/>
          <w:tab w:val="clear" w:pos="2419"/>
          <w:tab w:val="clear" w:pos="2822"/>
          <w:tab w:val="clear" w:pos="3226"/>
          <w:tab w:val="clear" w:pos="3629"/>
          <w:tab w:val="clear" w:pos="4032"/>
          <w:tab w:val="clear" w:pos="4435"/>
          <w:tab w:val="clear" w:pos="9677"/>
        </w:tabs>
        <w:ind w:leftChars="0" w:left="403" w:hanging="403"/>
        <w:rPr>
          <w:color w:val="000000" w:themeColor="text1"/>
        </w:rPr>
      </w:pPr>
      <w:r w:rsidRPr="00A52AB8">
        <w:rPr>
          <w:color w:val="000000" w:themeColor="text1"/>
        </w:rPr>
        <w:t>the decoded auxiliary geometry frame decGeoAuxFrame[ frameIdx ][ compIdx ][  ][  ], if present, and its associated information</w:t>
      </w:r>
    </w:p>
    <w:p w14:paraId="66FB2AF2" w14:textId="77777777" w:rsidR="000E5116" w:rsidRPr="00A52AB8" w:rsidRDefault="000E5116" w:rsidP="000E5116">
      <w:pPr>
        <w:pStyle w:val="ListParagraph"/>
        <w:numPr>
          <w:ilvl w:val="0"/>
          <w:numId w:val="72"/>
        </w:numPr>
        <w:tabs>
          <w:tab w:val="clear" w:pos="806"/>
          <w:tab w:val="clear" w:pos="1210"/>
          <w:tab w:val="clear" w:pos="1613"/>
          <w:tab w:val="clear" w:pos="2016"/>
          <w:tab w:val="clear" w:pos="2419"/>
          <w:tab w:val="clear" w:pos="2822"/>
          <w:tab w:val="clear" w:pos="3226"/>
          <w:tab w:val="clear" w:pos="3629"/>
          <w:tab w:val="clear" w:pos="4032"/>
          <w:tab w:val="clear" w:pos="4435"/>
          <w:tab w:val="clear" w:pos="9677"/>
        </w:tabs>
        <w:ind w:leftChars="0" w:left="1120"/>
        <w:rPr>
          <w:color w:val="000000" w:themeColor="text1"/>
        </w:rPr>
      </w:pPr>
      <w:r w:rsidRPr="00A52AB8">
        <w:rPr>
          <w:color w:val="000000" w:themeColor="text1"/>
        </w:rPr>
        <w:t xml:space="preserve">bitdepth, decGeoAuxBitdepth[ frameIdx ], </w:t>
      </w:r>
    </w:p>
    <w:p w14:paraId="4CAB83F1" w14:textId="77777777" w:rsidR="000E5116" w:rsidRPr="00A52AB8" w:rsidRDefault="000E5116" w:rsidP="000E5116">
      <w:pPr>
        <w:pStyle w:val="ListParagraph"/>
        <w:numPr>
          <w:ilvl w:val="0"/>
          <w:numId w:val="72"/>
        </w:numPr>
        <w:tabs>
          <w:tab w:val="clear" w:pos="806"/>
          <w:tab w:val="clear" w:pos="1210"/>
          <w:tab w:val="clear" w:pos="1613"/>
          <w:tab w:val="clear" w:pos="2016"/>
          <w:tab w:val="clear" w:pos="2419"/>
          <w:tab w:val="clear" w:pos="2822"/>
          <w:tab w:val="clear" w:pos="3226"/>
          <w:tab w:val="clear" w:pos="3629"/>
          <w:tab w:val="clear" w:pos="4032"/>
          <w:tab w:val="clear" w:pos="4435"/>
          <w:tab w:val="clear" w:pos="9677"/>
        </w:tabs>
        <w:ind w:leftChars="0" w:left="1120"/>
        <w:rPr>
          <w:color w:val="000000" w:themeColor="text1"/>
        </w:rPr>
      </w:pPr>
      <w:r w:rsidRPr="00A52AB8">
        <w:rPr>
          <w:color w:val="000000" w:themeColor="text1"/>
        </w:rPr>
        <w:t xml:space="preserve">width, decGeoAuxWidth[ frameIdx ], </w:t>
      </w:r>
    </w:p>
    <w:p w14:paraId="6AF1A252" w14:textId="77777777" w:rsidR="000E5116" w:rsidRPr="00A52AB8" w:rsidRDefault="000E5116" w:rsidP="000E5116">
      <w:pPr>
        <w:pStyle w:val="ListParagraph"/>
        <w:numPr>
          <w:ilvl w:val="0"/>
          <w:numId w:val="72"/>
        </w:numPr>
        <w:tabs>
          <w:tab w:val="clear" w:pos="806"/>
          <w:tab w:val="clear" w:pos="1210"/>
          <w:tab w:val="clear" w:pos="1613"/>
          <w:tab w:val="clear" w:pos="2016"/>
          <w:tab w:val="clear" w:pos="2419"/>
          <w:tab w:val="clear" w:pos="2822"/>
          <w:tab w:val="clear" w:pos="3226"/>
          <w:tab w:val="clear" w:pos="3629"/>
          <w:tab w:val="clear" w:pos="4032"/>
          <w:tab w:val="clear" w:pos="4435"/>
          <w:tab w:val="clear" w:pos="9677"/>
        </w:tabs>
        <w:ind w:leftChars="0" w:left="1120"/>
        <w:rPr>
          <w:color w:val="000000" w:themeColor="text1"/>
        </w:rPr>
      </w:pPr>
      <w:r w:rsidRPr="00A52AB8">
        <w:rPr>
          <w:color w:val="000000" w:themeColor="text1"/>
        </w:rPr>
        <w:t xml:space="preserve">height, decGeoAuxHeight[ frameIdx ], </w:t>
      </w:r>
    </w:p>
    <w:p w14:paraId="52ED0199" w14:textId="77777777" w:rsidR="000E5116" w:rsidRPr="00A52AB8" w:rsidRDefault="000E5116" w:rsidP="000E5116">
      <w:pPr>
        <w:pStyle w:val="ListParagraph"/>
        <w:numPr>
          <w:ilvl w:val="0"/>
          <w:numId w:val="72"/>
        </w:numPr>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s>
        <w:ind w:leftChars="0" w:left="1123" w:hanging="403"/>
        <w:rPr>
          <w:color w:val="000000" w:themeColor="text1"/>
        </w:rPr>
      </w:pPr>
      <w:r w:rsidRPr="00A52AB8">
        <w:rPr>
          <w:color w:val="000000" w:themeColor="text1"/>
        </w:rPr>
        <w:t xml:space="preserve">output order index decGeoAuxOutOrdIdx[ frameIdx ], and </w:t>
      </w:r>
    </w:p>
    <w:p w14:paraId="6963344E" w14:textId="77777777" w:rsidR="000E5116" w:rsidRPr="00A52AB8" w:rsidRDefault="000E5116" w:rsidP="000E5116">
      <w:pPr>
        <w:pStyle w:val="ListParagraph"/>
        <w:numPr>
          <w:ilvl w:val="0"/>
          <w:numId w:val="72"/>
        </w:numPr>
        <w:tabs>
          <w:tab w:val="clear" w:pos="806"/>
          <w:tab w:val="clear" w:pos="1210"/>
          <w:tab w:val="clear" w:pos="1613"/>
          <w:tab w:val="clear" w:pos="2016"/>
          <w:tab w:val="clear" w:pos="2419"/>
          <w:tab w:val="clear" w:pos="2822"/>
          <w:tab w:val="clear" w:pos="3226"/>
          <w:tab w:val="clear" w:pos="3629"/>
          <w:tab w:val="clear" w:pos="4032"/>
          <w:tab w:val="clear" w:pos="4435"/>
          <w:tab w:val="clear" w:pos="9677"/>
        </w:tabs>
        <w:ind w:leftChars="0" w:left="1120"/>
        <w:rPr>
          <w:color w:val="000000" w:themeColor="text1"/>
        </w:rPr>
      </w:pPr>
      <w:r w:rsidRPr="00A52AB8">
        <w:rPr>
          <w:color w:val="000000" w:themeColor="text1"/>
        </w:rPr>
        <w:t>composition time, decGeoAuxCompTime[ frameIdx ]</w:t>
      </w:r>
    </w:p>
    <w:p w14:paraId="1DDA797E" w14:textId="77777777" w:rsidR="000E5116" w:rsidRPr="00A52AB8" w:rsidRDefault="000E5116" w:rsidP="000E5116">
      <w:pPr>
        <w:pStyle w:val="ListParagraph"/>
        <w:numPr>
          <w:ilvl w:val="0"/>
          <w:numId w:val="72"/>
        </w:numPr>
        <w:tabs>
          <w:tab w:val="clear" w:pos="806"/>
          <w:tab w:val="clear" w:pos="1210"/>
          <w:tab w:val="clear" w:pos="1613"/>
          <w:tab w:val="clear" w:pos="2016"/>
          <w:tab w:val="clear" w:pos="2419"/>
          <w:tab w:val="clear" w:pos="2822"/>
          <w:tab w:val="clear" w:pos="3226"/>
          <w:tab w:val="clear" w:pos="3629"/>
          <w:tab w:val="clear" w:pos="4032"/>
          <w:tab w:val="clear" w:pos="4435"/>
          <w:tab w:val="clear" w:pos="9677"/>
        </w:tabs>
        <w:ind w:leftChars="0" w:left="403" w:hanging="403"/>
        <w:rPr>
          <w:color w:val="000000" w:themeColor="text1"/>
        </w:rPr>
      </w:pPr>
      <w:r w:rsidRPr="00A52AB8">
        <w:rPr>
          <w:color w:val="000000" w:themeColor="text1"/>
        </w:rPr>
        <w:t xml:space="preserve">the decoded attribute frame </w:t>
      </w:r>
      <w:r w:rsidRPr="00A52AB8">
        <w:t xml:space="preserve">decAttrFrame[ attrIdx ][ mapIdx ][ partIdx ][ frameIdx ][ compIdx ][  ][  ], if present, </w:t>
      </w:r>
      <w:r w:rsidRPr="00A52AB8">
        <w:rPr>
          <w:color w:val="000000" w:themeColor="text1"/>
        </w:rPr>
        <w:t>and its associated information</w:t>
      </w:r>
    </w:p>
    <w:p w14:paraId="6173927D" w14:textId="77777777" w:rsidR="000E5116" w:rsidRPr="00A52AB8" w:rsidRDefault="000E5116" w:rsidP="000E5116">
      <w:pPr>
        <w:pStyle w:val="ListParagraph"/>
        <w:numPr>
          <w:ilvl w:val="0"/>
          <w:numId w:val="72"/>
        </w:numPr>
        <w:tabs>
          <w:tab w:val="clear" w:pos="806"/>
          <w:tab w:val="clear" w:pos="1210"/>
          <w:tab w:val="clear" w:pos="1613"/>
          <w:tab w:val="clear" w:pos="2016"/>
          <w:tab w:val="clear" w:pos="2419"/>
          <w:tab w:val="clear" w:pos="2822"/>
          <w:tab w:val="clear" w:pos="3226"/>
          <w:tab w:val="clear" w:pos="3629"/>
          <w:tab w:val="clear" w:pos="4032"/>
          <w:tab w:val="clear" w:pos="4435"/>
          <w:tab w:val="clear" w:pos="9677"/>
        </w:tabs>
        <w:ind w:leftChars="0" w:left="1120"/>
      </w:pPr>
      <w:r w:rsidRPr="00A52AB8">
        <w:t>bit depth, decAttrBitDepth[ attrIdx ][ mapIdx ][ partIdx ][ frameIdx ],</w:t>
      </w:r>
    </w:p>
    <w:p w14:paraId="29C7BCB3" w14:textId="77777777" w:rsidR="000E5116" w:rsidRPr="00A52AB8" w:rsidRDefault="000E5116" w:rsidP="000E5116">
      <w:pPr>
        <w:pStyle w:val="ListParagraph"/>
        <w:numPr>
          <w:ilvl w:val="0"/>
          <w:numId w:val="72"/>
        </w:numPr>
        <w:tabs>
          <w:tab w:val="clear" w:pos="806"/>
          <w:tab w:val="clear" w:pos="1210"/>
          <w:tab w:val="clear" w:pos="1613"/>
          <w:tab w:val="clear" w:pos="2016"/>
          <w:tab w:val="clear" w:pos="2419"/>
          <w:tab w:val="clear" w:pos="2822"/>
          <w:tab w:val="clear" w:pos="3226"/>
          <w:tab w:val="clear" w:pos="3629"/>
          <w:tab w:val="clear" w:pos="4032"/>
          <w:tab w:val="clear" w:pos="4435"/>
          <w:tab w:val="clear" w:pos="9677"/>
        </w:tabs>
        <w:ind w:leftChars="0" w:left="1120"/>
      </w:pPr>
      <w:r w:rsidRPr="00A52AB8">
        <w:t>width, decAttrWidth[ attrIdx ][ mapIdx ][ partIdx ][ frameIdx ],</w:t>
      </w:r>
    </w:p>
    <w:p w14:paraId="6E9ED918" w14:textId="77777777" w:rsidR="000E5116" w:rsidRPr="00A52AB8" w:rsidRDefault="000E5116" w:rsidP="000E5116">
      <w:pPr>
        <w:pStyle w:val="ListParagraph"/>
        <w:numPr>
          <w:ilvl w:val="0"/>
          <w:numId w:val="72"/>
        </w:numPr>
        <w:tabs>
          <w:tab w:val="clear" w:pos="806"/>
          <w:tab w:val="clear" w:pos="1210"/>
          <w:tab w:val="clear" w:pos="1613"/>
          <w:tab w:val="clear" w:pos="2016"/>
          <w:tab w:val="clear" w:pos="2419"/>
          <w:tab w:val="clear" w:pos="2822"/>
          <w:tab w:val="clear" w:pos="3226"/>
          <w:tab w:val="clear" w:pos="3629"/>
          <w:tab w:val="clear" w:pos="4032"/>
          <w:tab w:val="clear" w:pos="4435"/>
          <w:tab w:val="clear" w:pos="9677"/>
        </w:tabs>
        <w:ind w:leftChars="0" w:left="1120"/>
      </w:pPr>
      <w:r w:rsidRPr="00A52AB8">
        <w:t>height, decAttrHeight[ attrIdx ][ mapIdx ][ partIdx ][ frameIdx ],</w:t>
      </w:r>
    </w:p>
    <w:p w14:paraId="5EFB6527" w14:textId="77777777" w:rsidR="000E5116" w:rsidRPr="00A52AB8" w:rsidRDefault="000E5116" w:rsidP="000E5116">
      <w:pPr>
        <w:pStyle w:val="ListParagraph"/>
        <w:numPr>
          <w:ilvl w:val="0"/>
          <w:numId w:val="72"/>
        </w:numPr>
        <w:tabs>
          <w:tab w:val="clear" w:pos="806"/>
          <w:tab w:val="clear" w:pos="1210"/>
          <w:tab w:val="clear" w:pos="1613"/>
          <w:tab w:val="clear" w:pos="2016"/>
          <w:tab w:val="clear" w:pos="2419"/>
          <w:tab w:val="clear" w:pos="2822"/>
          <w:tab w:val="clear" w:pos="3226"/>
          <w:tab w:val="clear" w:pos="3629"/>
          <w:tab w:val="clear" w:pos="4032"/>
          <w:tab w:val="clear" w:pos="4435"/>
          <w:tab w:val="clear" w:pos="9677"/>
        </w:tabs>
        <w:ind w:leftChars="0" w:left="1120"/>
      </w:pPr>
      <w:r w:rsidRPr="00A52AB8">
        <w:t>output order index, decAttrOutOrdIdx[ frameIdx ], and</w:t>
      </w:r>
    </w:p>
    <w:p w14:paraId="6D6477AF" w14:textId="77777777" w:rsidR="000E5116" w:rsidRPr="00A52AB8" w:rsidRDefault="000E5116" w:rsidP="000E5116">
      <w:pPr>
        <w:pStyle w:val="ListParagraph"/>
        <w:numPr>
          <w:ilvl w:val="0"/>
          <w:numId w:val="72"/>
        </w:numPr>
        <w:tabs>
          <w:tab w:val="clear" w:pos="806"/>
          <w:tab w:val="clear" w:pos="1210"/>
          <w:tab w:val="clear" w:pos="1613"/>
          <w:tab w:val="clear" w:pos="2016"/>
          <w:tab w:val="clear" w:pos="2419"/>
          <w:tab w:val="clear" w:pos="2822"/>
          <w:tab w:val="clear" w:pos="3226"/>
          <w:tab w:val="clear" w:pos="3629"/>
          <w:tab w:val="clear" w:pos="4032"/>
          <w:tab w:val="clear" w:pos="4435"/>
          <w:tab w:val="clear" w:pos="9677"/>
        </w:tabs>
        <w:ind w:leftChars="0" w:left="1120"/>
      </w:pPr>
      <w:r w:rsidRPr="00A52AB8">
        <w:t>composition time, decAttrCompTime[ frameIdx ]</w:t>
      </w:r>
    </w:p>
    <w:p w14:paraId="425071B4" w14:textId="77777777" w:rsidR="000E5116" w:rsidRPr="00A52AB8" w:rsidRDefault="000E5116" w:rsidP="000E5116">
      <w:pPr>
        <w:pStyle w:val="ListParagraph"/>
        <w:numPr>
          <w:ilvl w:val="0"/>
          <w:numId w:val="72"/>
        </w:numPr>
        <w:tabs>
          <w:tab w:val="clear" w:pos="806"/>
          <w:tab w:val="clear" w:pos="1210"/>
          <w:tab w:val="clear" w:pos="1613"/>
          <w:tab w:val="clear" w:pos="2016"/>
          <w:tab w:val="clear" w:pos="2419"/>
          <w:tab w:val="clear" w:pos="2822"/>
          <w:tab w:val="clear" w:pos="3226"/>
          <w:tab w:val="clear" w:pos="3629"/>
          <w:tab w:val="clear" w:pos="4032"/>
          <w:tab w:val="clear" w:pos="4435"/>
          <w:tab w:val="clear" w:pos="9677"/>
        </w:tabs>
        <w:ind w:leftChars="0" w:left="403" w:hanging="403"/>
        <w:rPr>
          <w:color w:val="000000" w:themeColor="text1"/>
        </w:rPr>
      </w:pPr>
      <w:r w:rsidRPr="00A52AB8">
        <w:rPr>
          <w:color w:val="000000" w:themeColor="text1"/>
        </w:rPr>
        <w:t xml:space="preserve">the decoded auxiliary attribute frame </w:t>
      </w:r>
      <w:r w:rsidRPr="00A52AB8">
        <w:t xml:space="preserve">decAttrAuxFrame[ attrIdx ][ partIdx ][ frameIdx ][ compIdx ][  ][  ], if present, </w:t>
      </w:r>
      <w:r w:rsidRPr="00A52AB8">
        <w:rPr>
          <w:color w:val="000000" w:themeColor="text1"/>
        </w:rPr>
        <w:t>and its associated information</w:t>
      </w:r>
    </w:p>
    <w:p w14:paraId="2326ED6B" w14:textId="77777777" w:rsidR="000E5116" w:rsidRPr="00A52AB8" w:rsidRDefault="000E5116" w:rsidP="000E5116">
      <w:pPr>
        <w:pStyle w:val="ListParagraph"/>
        <w:numPr>
          <w:ilvl w:val="0"/>
          <w:numId w:val="72"/>
        </w:numPr>
        <w:tabs>
          <w:tab w:val="clear" w:pos="806"/>
          <w:tab w:val="clear" w:pos="1210"/>
          <w:tab w:val="clear" w:pos="1613"/>
          <w:tab w:val="clear" w:pos="2016"/>
          <w:tab w:val="clear" w:pos="2419"/>
          <w:tab w:val="clear" w:pos="2822"/>
          <w:tab w:val="clear" w:pos="3226"/>
          <w:tab w:val="clear" w:pos="3629"/>
          <w:tab w:val="clear" w:pos="4032"/>
          <w:tab w:val="clear" w:pos="4435"/>
          <w:tab w:val="clear" w:pos="9677"/>
        </w:tabs>
        <w:ind w:leftChars="0" w:left="1120"/>
      </w:pPr>
      <w:r w:rsidRPr="00A52AB8">
        <w:t>bit depth, decAttrAuxBitDepth[ attrIdx ][ partIdx ][ frameIdx ],</w:t>
      </w:r>
    </w:p>
    <w:p w14:paraId="276EF259" w14:textId="77777777" w:rsidR="000E5116" w:rsidRPr="00A52AB8" w:rsidRDefault="000E5116" w:rsidP="000E5116">
      <w:pPr>
        <w:pStyle w:val="ListParagraph"/>
        <w:numPr>
          <w:ilvl w:val="0"/>
          <w:numId w:val="72"/>
        </w:numPr>
        <w:tabs>
          <w:tab w:val="clear" w:pos="806"/>
          <w:tab w:val="clear" w:pos="1210"/>
          <w:tab w:val="clear" w:pos="1613"/>
          <w:tab w:val="clear" w:pos="2016"/>
          <w:tab w:val="clear" w:pos="2419"/>
          <w:tab w:val="clear" w:pos="2822"/>
          <w:tab w:val="clear" w:pos="3226"/>
          <w:tab w:val="clear" w:pos="3629"/>
          <w:tab w:val="clear" w:pos="4032"/>
          <w:tab w:val="clear" w:pos="4435"/>
          <w:tab w:val="clear" w:pos="9677"/>
        </w:tabs>
        <w:ind w:leftChars="0" w:left="1120"/>
      </w:pPr>
      <w:r w:rsidRPr="00A52AB8">
        <w:t>width, decAttrAuxWidth[ attrIdx ][ partIdx ][ frameIdx ],</w:t>
      </w:r>
    </w:p>
    <w:p w14:paraId="6653F6F4" w14:textId="77777777" w:rsidR="000E5116" w:rsidRPr="00A52AB8" w:rsidRDefault="000E5116" w:rsidP="000E5116">
      <w:pPr>
        <w:pStyle w:val="ListParagraph"/>
        <w:numPr>
          <w:ilvl w:val="0"/>
          <w:numId w:val="72"/>
        </w:numPr>
        <w:tabs>
          <w:tab w:val="clear" w:pos="806"/>
          <w:tab w:val="clear" w:pos="1210"/>
          <w:tab w:val="clear" w:pos="1613"/>
          <w:tab w:val="clear" w:pos="2016"/>
          <w:tab w:val="clear" w:pos="2419"/>
          <w:tab w:val="clear" w:pos="2822"/>
          <w:tab w:val="clear" w:pos="3226"/>
          <w:tab w:val="clear" w:pos="3629"/>
          <w:tab w:val="clear" w:pos="4032"/>
          <w:tab w:val="clear" w:pos="4435"/>
          <w:tab w:val="clear" w:pos="9677"/>
        </w:tabs>
        <w:ind w:leftChars="0" w:left="1120"/>
      </w:pPr>
      <w:r w:rsidRPr="00A52AB8">
        <w:t>height, decAttrAuxHeight[ attrIdx ][ partIdx ][ frameIdx ],</w:t>
      </w:r>
    </w:p>
    <w:p w14:paraId="3E35D871" w14:textId="77777777" w:rsidR="000E5116" w:rsidRPr="00A52AB8" w:rsidRDefault="000E5116" w:rsidP="000E5116">
      <w:pPr>
        <w:pStyle w:val="ListParagraph"/>
        <w:numPr>
          <w:ilvl w:val="0"/>
          <w:numId w:val="72"/>
        </w:numPr>
        <w:tabs>
          <w:tab w:val="clear" w:pos="806"/>
          <w:tab w:val="clear" w:pos="1210"/>
          <w:tab w:val="clear" w:pos="1613"/>
          <w:tab w:val="clear" w:pos="2016"/>
          <w:tab w:val="clear" w:pos="2419"/>
          <w:tab w:val="clear" w:pos="2822"/>
          <w:tab w:val="clear" w:pos="3226"/>
          <w:tab w:val="clear" w:pos="3629"/>
          <w:tab w:val="clear" w:pos="4032"/>
          <w:tab w:val="clear" w:pos="4435"/>
          <w:tab w:val="clear" w:pos="9677"/>
        </w:tabs>
        <w:ind w:leftChars="0" w:left="1120"/>
      </w:pPr>
      <w:r w:rsidRPr="00A52AB8">
        <w:t>output order index, decAttrAuxOutOrdIdx[ frameIdx ], and</w:t>
      </w:r>
    </w:p>
    <w:p w14:paraId="32BD2CCF" w14:textId="77777777" w:rsidR="000E5116" w:rsidRPr="00A52AB8" w:rsidRDefault="000E5116" w:rsidP="000E5116">
      <w:pPr>
        <w:pStyle w:val="ListParagraph"/>
        <w:numPr>
          <w:ilvl w:val="0"/>
          <w:numId w:val="72"/>
        </w:numPr>
        <w:tabs>
          <w:tab w:val="clear" w:pos="806"/>
          <w:tab w:val="clear" w:pos="1210"/>
          <w:tab w:val="clear" w:pos="1613"/>
          <w:tab w:val="clear" w:pos="2016"/>
          <w:tab w:val="clear" w:pos="2419"/>
          <w:tab w:val="clear" w:pos="2822"/>
          <w:tab w:val="clear" w:pos="3226"/>
          <w:tab w:val="clear" w:pos="3629"/>
          <w:tab w:val="clear" w:pos="4032"/>
          <w:tab w:val="clear" w:pos="4435"/>
          <w:tab w:val="clear" w:pos="9677"/>
        </w:tabs>
        <w:ind w:leftChars="0" w:left="1120"/>
      </w:pPr>
      <w:r w:rsidRPr="00A52AB8">
        <w:t>composition time, decAttrAuxCompTime[ frameIdx ],</w:t>
      </w:r>
    </w:p>
    <w:p w14:paraId="1E6CDF29" w14:textId="77777777" w:rsidR="000E5116" w:rsidRPr="00A52AB8" w:rsidRDefault="000E5116" w:rsidP="00CC1144">
      <w:pPr>
        <w:rPr>
          <w:color w:val="000000" w:themeColor="text1"/>
        </w:rPr>
      </w:pPr>
      <w:r w:rsidRPr="00A52AB8">
        <w:rPr>
          <w:color w:val="000000" w:themeColor="text1"/>
        </w:rPr>
        <w:t xml:space="preserve">To unpacked the decoded packed video frame the following process apply. </w:t>
      </w:r>
    </w:p>
    <w:p w14:paraId="51B9F931" w14:textId="77777777" w:rsidR="000E5116" w:rsidRPr="00A52AB8" w:rsidRDefault="000E5116" w:rsidP="000E5116">
      <w:pPr>
        <w:tabs>
          <w:tab w:val="left" w:pos="284"/>
          <w:tab w:val="left" w:pos="567"/>
          <w:tab w:val="left" w:pos="851"/>
          <w:tab w:val="left" w:pos="1134"/>
          <w:tab w:val="left" w:pos="1418"/>
          <w:tab w:val="left" w:pos="1701"/>
        </w:tabs>
        <w:rPr>
          <w:color w:val="000000" w:themeColor="text1"/>
        </w:rPr>
      </w:pPr>
      <w:r w:rsidRPr="00A52AB8">
        <w:rPr>
          <w:color w:val="000000" w:themeColor="text1"/>
        </w:rPr>
        <w:t xml:space="preserve">decOccWidth[ frameIdx ] = 0 </w:t>
      </w:r>
      <w:r w:rsidRPr="00A52AB8">
        <w:rPr>
          <w:color w:val="000000" w:themeColor="text1"/>
        </w:rPr>
        <w:br/>
        <w:t>decOccHeight[ frameIdx ] = 0</w:t>
      </w:r>
      <w:r w:rsidRPr="00A52AB8">
        <w:rPr>
          <w:color w:val="000000" w:themeColor="text1"/>
        </w:rPr>
        <w:br/>
        <w:t>decGeoWidth[ mapIdx ][ frameIdx ] = 0</w:t>
      </w:r>
      <w:r w:rsidRPr="00A52AB8">
        <w:rPr>
          <w:color w:val="000000" w:themeColor="text1"/>
        </w:rPr>
        <w:br/>
        <w:t>decGeoHeight[ mapIdx ][ frameIdx ] = 0</w:t>
      </w:r>
      <w:r w:rsidRPr="00A52AB8">
        <w:rPr>
          <w:color w:val="000000" w:themeColor="text1"/>
        </w:rPr>
        <w:br/>
        <w:t>decGeoAuxWidth[ frameIdx ] = 0</w:t>
      </w:r>
      <w:r w:rsidRPr="00A52AB8">
        <w:rPr>
          <w:color w:val="000000" w:themeColor="text1"/>
        </w:rPr>
        <w:br/>
        <w:t>decGeoAuxHeight[ frameIdx ] = 0</w:t>
      </w:r>
      <w:r w:rsidRPr="00A52AB8">
        <w:rPr>
          <w:color w:val="000000" w:themeColor="text1"/>
        </w:rPr>
        <w:br/>
        <w:t>decAttrWidth[ attrIdx ][ mapIdx ][ partIdx ][ frameIdx ] = 0</w:t>
      </w:r>
      <w:r w:rsidRPr="00A52AB8">
        <w:rPr>
          <w:color w:val="000000" w:themeColor="text1"/>
        </w:rPr>
        <w:br/>
        <w:t>decAttrHeight[ attrIdx ][ mapIdx ][ partIdx ][ frameIdx ] = 0</w:t>
      </w:r>
      <w:r w:rsidRPr="00A52AB8">
        <w:rPr>
          <w:color w:val="000000" w:themeColor="text1"/>
        </w:rPr>
        <w:br/>
        <w:t>decAttrAuxWidth[ frameIdx ] = 0</w:t>
      </w:r>
      <w:r w:rsidRPr="00A52AB8">
        <w:rPr>
          <w:color w:val="000000" w:themeColor="text1"/>
        </w:rPr>
        <w:br/>
        <w:t>decAttrAuxHeight[ frameIdx ] = 0</w:t>
      </w:r>
    </w:p>
    <w:p w14:paraId="6699A9B6" w14:textId="2EDC152E" w:rsidR="000E5116" w:rsidRPr="00A52AB8" w:rsidRDefault="000E5116" w:rsidP="000E5116">
      <w:pPr>
        <w:tabs>
          <w:tab w:val="clear" w:pos="403"/>
        </w:tabs>
        <w:jc w:val="left"/>
        <w:rPr>
          <w:color w:val="000000" w:themeColor="text1"/>
        </w:rPr>
      </w:pPr>
      <w:r w:rsidRPr="00A52AB8">
        <w:rPr>
          <w:color w:val="000000" w:themeColor="text1"/>
        </w:rPr>
        <w:t>for( i = 0; i &lt;= </w:t>
      </w:r>
      <w:r w:rsidR="0040677A">
        <w:rPr>
          <w:color w:val="000000" w:themeColor="text1"/>
        </w:rPr>
        <w:t>pin_</w:t>
      </w:r>
      <w:r w:rsidRPr="00A52AB8">
        <w:rPr>
          <w:color w:val="000000" w:themeColor="text1"/>
        </w:rPr>
        <w:t>num_region_minus1[ i ]; i++ ) {</w:t>
      </w:r>
      <w:r w:rsidRPr="00A52AB8">
        <w:rPr>
          <w:color w:val="000000" w:themeColor="text1"/>
        </w:rPr>
        <w:br/>
      </w:r>
      <w:r w:rsidRPr="00A52AB8">
        <w:rPr>
          <w:color w:val="000000" w:themeColor="text1"/>
        </w:rPr>
        <w:tab/>
        <w:t>mapIdx = </w:t>
      </w:r>
      <w:r w:rsidR="0040677A">
        <w:rPr>
          <w:color w:val="000000" w:themeColor="text1"/>
        </w:rPr>
        <w:t>pin_</w:t>
      </w:r>
      <w:r w:rsidRPr="00A52AB8">
        <w:rPr>
          <w:color w:val="000000" w:themeColor="text1"/>
        </w:rPr>
        <w:t>region_map_index[ k ][ i ]</w:t>
      </w:r>
      <w:r w:rsidRPr="00A52AB8">
        <w:rPr>
          <w:color w:val="000000" w:themeColor="text1"/>
        </w:rPr>
        <w:br/>
      </w:r>
      <w:r w:rsidRPr="00A52AB8">
        <w:rPr>
          <w:color w:val="000000" w:themeColor="text1"/>
        </w:rPr>
        <w:tab/>
        <w:t>attrIdx = </w:t>
      </w:r>
      <w:r w:rsidR="0040677A">
        <w:rPr>
          <w:color w:val="000000" w:themeColor="text1"/>
        </w:rPr>
        <w:t>pin_</w:t>
      </w:r>
      <w:r w:rsidRPr="00A52AB8">
        <w:rPr>
          <w:color w:val="000000" w:themeColor="text1"/>
        </w:rPr>
        <w:t>region_attr_type_id[ k ][ i ]</w:t>
      </w:r>
      <w:r w:rsidRPr="00A52AB8">
        <w:rPr>
          <w:color w:val="000000" w:themeColor="text1"/>
        </w:rPr>
        <w:br/>
      </w:r>
      <w:r w:rsidRPr="00A52AB8">
        <w:rPr>
          <w:color w:val="000000" w:themeColor="text1"/>
        </w:rPr>
        <w:tab/>
        <w:t>partIdx = </w:t>
      </w:r>
      <w:r w:rsidR="0040677A">
        <w:rPr>
          <w:color w:val="000000" w:themeColor="text1"/>
        </w:rPr>
        <w:t>pin_</w:t>
      </w:r>
      <w:r w:rsidRPr="00A52AB8">
        <w:rPr>
          <w:color w:val="000000" w:themeColor="text1"/>
        </w:rPr>
        <w:t>region_attr_partition_index[ k ][ i ]</w:t>
      </w:r>
      <w:r w:rsidRPr="00A52AB8">
        <w:rPr>
          <w:color w:val="000000" w:themeColor="text1"/>
        </w:rPr>
        <w:br/>
      </w:r>
      <w:r w:rsidRPr="00A52AB8">
        <w:rPr>
          <w:color w:val="000000" w:themeColor="text1"/>
        </w:rPr>
        <w:tab/>
        <w:t>auxDataFlag = </w:t>
      </w:r>
      <w:r w:rsidR="0040677A">
        <w:rPr>
          <w:color w:val="000000" w:themeColor="text1"/>
        </w:rPr>
        <w:t>pin_</w:t>
      </w:r>
      <w:r w:rsidRPr="00A52AB8">
        <w:rPr>
          <w:color w:val="000000" w:themeColor="text1"/>
        </w:rPr>
        <w:t>region_auxiliary_data_flag[ k ][ i ]</w:t>
      </w:r>
      <w:r w:rsidRPr="00A52AB8">
        <w:rPr>
          <w:color w:val="000000" w:themeColor="text1"/>
        </w:rPr>
        <w:br/>
      </w:r>
      <w:r w:rsidRPr="00A52AB8">
        <w:rPr>
          <w:color w:val="000000" w:themeColor="text1"/>
        </w:rPr>
        <w:tab/>
        <w:t>regionOffsetX = </w:t>
      </w:r>
      <w:r w:rsidR="0040677A">
        <w:rPr>
          <w:color w:val="000000" w:themeColor="text1"/>
        </w:rPr>
        <w:t>pin_</w:t>
      </w:r>
      <w:r w:rsidRPr="00A52AB8">
        <w:rPr>
          <w:color w:val="000000" w:themeColor="text1"/>
        </w:rPr>
        <w:t>region_top_left_x[ k ][ i ]</w:t>
      </w:r>
      <w:r w:rsidRPr="00A52AB8">
        <w:rPr>
          <w:color w:val="000000" w:themeColor="text1"/>
        </w:rPr>
        <w:br/>
      </w:r>
      <w:r w:rsidRPr="00A52AB8">
        <w:rPr>
          <w:color w:val="000000" w:themeColor="text1"/>
        </w:rPr>
        <w:tab/>
        <w:t>regionOffsetY = </w:t>
      </w:r>
      <w:r w:rsidR="0040677A">
        <w:rPr>
          <w:color w:val="000000" w:themeColor="text1"/>
        </w:rPr>
        <w:t>pin_</w:t>
      </w:r>
      <w:r w:rsidRPr="00A52AB8">
        <w:rPr>
          <w:color w:val="000000" w:themeColor="text1"/>
        </w:rPr>
        <w:t>region_top_left_y[ k ][ i ]</w:t>
      </w:r>
      <w:r w:rsidRPr="00A52AB8">
        <w:rPr>
          <w:color w:val="000000" w:themeColor="text1"/>
        </w:rPr>
        <w:br/>
      </w:r>
      <w:r w:rsidRPr="00A52AB8">
        <w:rPr>
          <w:color w:val="000000" w:themeColor="text1"/>
        </w:rPr>
        <w:tab/>
        <w:t>regionWidth = </w:t>
      </w:r>
      <w:r w:rsidR="0040677A">
        <w:rPr>
          <w:color w:val="000000" w:themeColor="text1"/>
        </w:rPr>
        <w:t>pin_</w:t>
      </w:r>
      <w:r w:rsidRPr="00A52AB8">
        <w:rPr>
          <w:color w:val="000000" w:themeColor="text1"/>
        </w:rPr>
        <w:t>region_width_minus1[ k ][ i ] + 1</w:t>
      </w:r>
      <w:r w:rsidRPr="00A52AB8">
        <w:rPr>
          <w:color w:val="000000" w:themeColor="text1"/>
        </w:rPr>
        <w:br/>
      </w:r>
      <w:r w:rsidRPr="00A52AB8">
        <w:rPr>
          <w:color w:val="000000" w:themeColor="text1"/>
        </w:rPr>
        <w:tab/>
        <w:t>regionHeight = </w:t>
      </w:r>
      <w:r w:rsidR="0040677A">
        <w:rPr>
          <w:color w:val="000000" w:themeColor="text1"/>
        </w:rPr>
        <w:t>pin_</w:t>
      </w:r>
      <w:r w:rsidRPr="00A52AB8">
        <w:rPr>
          <w:color w:val="000000" w:themeColor="text1"/>
        </w:rPr>
        <w:t>region_height_minus1[ k ][ i ] + 1</w:t>
      </w:r>
      <w:r w:rsidRPr="00A52AB8">
        <w:rPr>
          <w:color w:val="000000" w:themeColor="text1"/>
        </w:rPr>
        <w:br/>
      </w:r>
      <w:r w:rsidRPr="00A52AB8">
        <w:rPr>
          <w:color w:val="000000" w:themeColor="text1"/>
        </w:rPr>
        <w:tab/>
        <w:t>tileID = </w:t>
      </w:r>
      <w:r w:rsidR="0040677A">
        <w:rPr>
          <w:color w:val="000000" w:themeColor="text1"/>
        </w:rPr>
        <w:t>pin_</w:t>
      </w:r>
      <w:r w:rsidRPr="00A52AB8">
        <w:rPr>
          <w:color w:val="000000" w:themeColor="text1"/>
        </w:rPr>
        <w:t>region_tile_id[ k ][ i ]</w:t>
      </w:r>
      <w:r w:rsidRPr="00A52AB8">
        <w:rPr>
          <w:color w:val="000000" w:themeColor="text1"/>
        </w:rPr>
        <w:br/>
      </w:r>
      <w:r w:rsidRPr="00A52AB8">
        <w:rPr>
          <w:color w:val="000000" w:themeColor="text1"/>
        </w:rPr>
        <w:tab/>
        <w:t>tileWidth = TileWidth[ TileIdToIndex[ tileID ] ]</w:t>
      </w:r>
      <w:r w:rsidRPr="00A52AB8">
        <w:rPr>
          <w:color w:val="000000" w:themeColor="text1"/>
        </w:rPr>
        <w:br/>
      </w:r>
      <w:r w:rsidRPr="00A52AB8">
        <w:rPr>
          <w:color w:val="000000" w:themeColor="text1"/>
        </w:rPr>
        <w:tab/>
        <w:t>tileHeight = TileHeight[ TileIdToIndex[ tileID ] ]</w:t>
      </w:r>
      <w:r w:rsidRPr="00A52AB8">
        <w:rPr>
          <w:color w:val="000000" w:themeColor="text1"/>
        </w:rPr>
        <w:br/>
      </w:r>
      <w:r w:rsidRPr="00A52AB8">
        <w:rPr>
          <w:color w:val="000000" w:themeColor="text1"/>
        </w:rPr>
        <w:tab/>
      </w:r>
      <w:r w:rsidRPr="00A52AB8">
        <w:rPr>
          <w:color w:val="000000" w:themeColor="text1"/>
        </w:rPr>
        <w:br/>
      </w:r>
      <w:r w:rsidRPr="00A52AB8">
        <w:rPr>
          <w:color w:val="000000" w:themeColor="text1"/>
        </w:rPr>
        <w:tab/>
        <w:t>if( </w:t>
      </w:r>
      <w:r w:rsidR="0040677A">
        <w:rPr>
          <w:color w:val="000000" w:themeColor="text1"/>
        </w:rPr>
        <w:t>pin_</w:t>
      </w:r>
      <w:r w:rsidRPr="00A52AB8">
        <w:rPr>
          <w:color w:val="000000" w:themeColor="text1"/>
        </w:rPr>
        <w:t>region_rotation_flag[ k ][ i] = = 0 ) {</w:t>
      </w:r>
      <w:r w:rsidRPr="00A52AB8">
        <w:rPr>
          <w:color w:val="000000" w:themeColor="text1"/>
        </w:rPr>
        <w:br/>
      </w:r>
      <w:r w:rsidRPr="00A52AB8">
        <w:rPr>
          <w:color w:val="000000" w:themeColor="text1"/>
        </w:rPr>
        <w:tab/>
      </w:r>
      <w:r w:rsidRPr="00A52AB8">
        <w:rPr>
          <w:color w:val="000000" w:themeColor="text1"/>
        </w:rPr>
        <w:tab/>
        <w:t>scaleX = tileWidth / regionWidth </w:t>
      </w:r>
      <w:r w:rsidRPr="00A52AB8">
        <w:rPr>
          <w:color w:val="000000" w:themeColor="text1"/>
        </w:rPr>
        <w:br/>
      </w:r>
      <w:r w:rsidRPr="00A52AB8">
        <w:rPr>
          <w:color w:val="000000" w:themeColor="text1"/>
        </w:rPr>
        <w:tab/>
      </w:r>
      <w:r w:rsidRPr="00A52AB8">
        <w:rPr>
          <w:color w:val="000000" w:themeColor="text1"/>
        </w:rPr>
        <w:tab/>
        <w:t>scaleY = tileHeight / regionHeight </w:t>
      </w:r>
      <w:r w:rsidRPr="00A52AB8">
        <w:rPr>
          <w:color w:val="000000" w:themeColor="text1"/>
        </w:rPr>
        <w:br/>
      </w:r>
      <w:r w:rsidRPr="00A52AB8">
        <w:rPr>
          <w:color w:val="000000" w:themeColor="text1"/>
        </w:rPr>
        <w:tab/>
        <w:t>} else {</w:t>
      </w:r>
      <w:r w:rsidRPr="00A52AB8">
        <w:rPr>
          <w:color w:val="000000" w:themeColor="text1"/>
        </w:rPr>
        <w:br/>
      </w:r>
      <w:r w:rsidRPr="00A52AB8">
        <w:tab/>
      </w:r>
      <w:r w:rsidRPr="00A52AB8">
        <w:tab/>
      </w:r>
      <w:r w:rsidRPr="00A52AB8">
        <w:rPr>
          <w:color w:val="000000" w:themeColor="text1"/>
        </w:rPr>
        <w:t>scaleX = tileWidth / regionHeight </w:t>
      </w:r>
      <w:r w:rsidRPr="00A52AB8">
        <w:rPr>
          <w:color w:val="000000" w:themeColor="text1"/>
        </w:rPr>
        <w:br/>
      </w:r>
      <w:r w:rsidRPr="00A52AB8">
        <w:rPr>
          <w:color w:val="000000" w:themeColor="text1"/>
        </w:rPr>
        <w:tab/>
      </w:r>
      <w:r w:rsidRPr="00A52AB8">
        <w:rPr>
          <w:color w:val="000000" w:themeColor="text1"/>
        </w:rPr>
        <w:tab/>
        <w:t>scaleY = tileHeight / regionWidth </w:t>
      </w:r>
      <w:r w:rsidRPr="00A52AB8">
        <w:br/>
      </w:r>
      <w:r w:rsidRPr="00A52AB8">
        <w:tab/>
      </w:r>
      <w:r w:rsidRPr="00A52AB8">
        <w:rPr>
          <w:color w:val="000000" w:themeColor="text1"/>
        </w:rPr>
        <w:t>}</w:t>
      </w:r>
      <w:r w:rsidRPr="00A52AB8">
        <w:rPr>
          <w:color w:val="000000" w:themeColor="text1"/>
        </w:rPr>
        <w:br/>
      </w:r>
      <w:r w:rsidRPr="00A52AB8">
        <w:rPr>
          <w:color w:val="000000" w:themeColor="text1"/>
        </w:rPr>
        <w:tab/>
      </w:r>
      <w:r w:rsidRPr="00A52AB8">
        <w:rPr>
          <w:color w:val="000000" w:themeColor="text1"/>
        </w:rPr>
        <w:br/>
      </w:r>
      <w:r w:rsidRPr="00A52AB8">
        <w:rPr>
          <w:color w:val="000000" w:themeColor="text1"/>
        </w:rPr>
        <w:tab/>
        <w:t>offsetX = TileOffsetX[ TileIdToIndex[ tileID ] ] / scaleX </w:t>
      </w:r>
      <w:r w:rsidRPr="00A52AB8">
        <w:rPr>
          <w:color w:val="000000" w:themeColor="text1"/>
        </w:rPr>
        <w:br/>
      </w:r>
      <w:r w:rsidRPr="00A52AB8">
        <w:rPr>
          <w:color w:val="000000" w:themeColor="text1"/>
        </w:rPr>
        <w:tab/>
        <w:t>offsetY = TileOffsetY[ TileIdToIndex[ tileID ] ] / scaleY </w:t>
      </w:r>
      <w:r w:rsidRPr="00A52AB8">
        <w:rPr>
          <w:color w:val="000000" w:themeColor="text1"/>
        </w:rPr>
        <w:br/>
      </w:r>
      <w:r w:rsidRPr="00A52AB8">
        <w:rPr>
          <w:color w:val="000000" w:themeColor="text1"/>
        </w:rPr>
        <w:tab/>
      </w:r>
      <w:r w:rsidRPr="00A52AB8">
        <w:rPr>
          <w:color w:val="000000" w:themeColor="text1"/>
        </w:rPr>
        <w:br/>
      </w:r>
      <w:r w:rsidRPr="00A52AB8">
        <w:rPr>
          <w:color w:val="000000" w:themeColor="text1"/>
        </w:rPr>
        <w:tab/>
        <w:t>if( </w:t>
      </w:r>
      <w:r w:rsidR="0040677A">
        <w:rPr>
          <w:color w:val="000000" w:themeColor="text1"/>
        </w:rPr>
        <w:t>pin_</w:t>
      </w:r>
      <w:r w:rsidRPr="00A52AB8">
        <w:rPr>
          <w:color w:val="000000" w:themeColor="text1"/>
        </w:rPr>
        <w:t>region_rotation_flag[ k ][ i ] = = 0 ) {</w:t>
      </w:r>
      <w:r w:rsidRPr="00A52AB8">
        <w:rPr>
          <w:color w:val="000000" w:themeColor="text1"/>
        </w:rPr>
        <w:br/>
      </w:r>
      <w:r w:rsidRPr="00A52AB8">
        <w:rPr>
          <w:color w:val="000000" w:themeColor="text1"/>
        </w:rPr>
        <w:tab/>
      </w:r>
      <w:r w:rsidRPr="00A52AB8">
        <w:rPr>
          <w:color w:val="000000" w:themeColor="text1"/>
        </w:rPr>
        <w:tab/>
        <w:t>tempWidth = offsetX + regionWidth </w:t>
      </w:r>
      <w:r w:rsidRPr="00A52AB8">
        <w:rPr>
          <w:color w:val="000000" w:themeColor="text1"/>
        </w:rPr>
        <w:br/>
      </w:r>
      <w:r w:rsidRPr="00A52AB8">
        <w:rPr>
          <w:color w:val="000000" w:themeColor="text1"/>
        </w:rPr>
        <w:tab/>
      </w:r>
      <w:r w:rsidRPr="00A52AB8">
        <w:rPr>
          <w:color w:val="000000" w:themeColor="text1"/>
        </w:rPr>
        <w:tab/>
        <w:t>tempHeight = offsetY + regionHeight</w:t>
      </w:r>
      <w:r w:rsidRPr="00A52AB8">
        <w:rPr>
          <w:color w:val="000000" w:themeColor="text1"/>
        </w:rPr>
        <w:br/>
      </w:r>
      <w:r w:rsidRPr="00A52AB8">
        <w:rPr>
          <w:color w:val="000000" w:themeColor="text1"/>
        </w:rPr>
        <w:tab/>
        <w:t>} else {</w:t>
      </w:r>
      <w:r w:rsidRPr="00A52AB8">
        <w:rPr>
          <w:color w:val="000000" w:themeColor="text1"/>
        </w:rPr>
        <w:br/>
      </w:r>
      <w:r w:rsidRPr="00A52AB8">
        <w:rPr>
          <w:color w:val="000000" w:themeColor="text1"/>
        </w:rPr>
        <w:tab/>
      </w:r>
      <w:r w:rsidRPr="00A52AB8">
        <w:rPr>
          <w:color w:val="000000" w:themeColor="text1"/>
        </w:rPr>
        <w:tab/>
        <w:t>tempWidth = offsetX + regionHeight</w:t>
      </w:r>
      <w:r w:rsidRPr="00A52AB8">
        <w:rPr>
          <w:color w:val="000000" w:themeColor="text1"/>
        </w:rPr>
        <w:br/>
      </w:r>
      <w:r w:rsidRPr="00A52AB8">
        <w:rPr>
          <w:color w:val="000000" w:themeColor="text1"/>
        </w:rPr>
        <w:tab/>
      </w:r>
      <w:r w:rsidRPr="00A52AB8">
        <w:rPr>
          <w:color w:val="000000" w:themeColor="text1"/>
        </w:rPr>
        <w:tab/>
        <w:t>tempHeight = offsetY + regionWidth</w:t>
      </w:r>
      <w:r w:rsidRPr="00A52AB8">
        <w:rPr>
          <w:color w:val="000000" w:themeColor="text1"/>
        </w:rPr>
        <w:br/>
      </w:r>
      <w:r w:rsidRPr="00A52AB8">
        <w:rPr>
          <w:color w:val="000000" w:themeColor="text1"/>
        </w:rPr>
        <w:tab/>
        <w:t>}</w:t>
      </w:r>
      <w:r w:rsidRPr="00A52AB8">
        <w:rPr>
          <w:color w:val="000000" w:themeColor="text1"/>
        </w:rPr>
        <w:br/>
      </w:r>
      <w:r w:rsidRPr="00A52AB8">
        <w:rPr>
          <w:color w:val="000000" w:themeColor="text1"/>
        </w:rPr>
        <w:tab/>
      </w:r>
      <w:r w:rsidRPr="00A52AB8">
        <w:rPr>
          <w:color w:val="000000" w:themeColor="text1"/>
        </w:rPr>
        <w:br/>
      </w:r>
      <w:r w:rsidRPr="00A52AB8">
        <w:rPr>
          <w:color w:val="000000" w:themeColor="text1"/>
        </w:rPr>
        <w:tab/>
        <w:t>if( </w:t>
      </w:r>
      <w:r w:rsidR="0040677A">
        <w:rPr>
          <w:color w:val="000000" w:themeColor="text1"/>
        </w:rPr>
        <w:t>pin_</w:t>
      </w:r>
      <w:r w:rsidRPr="00A52AB8">
        <w:rPr>
          <w:color w:val="000000" w:themeColor="text1"/>
        </w:rPr>
        <w:t>region_type_id_minus2[ k ][ i ]</w:t>
      </w:r>
      <w:r w:rsidRPr="00A52AB8">
        <w:t> + 2 </w:t>
      </w:r>
      <w:r w:rsidRPr="00A52AB8">
        <w:rPr>
          <w:color w:val="000000" w:themeColor="text1"/>
        </w:rPr>
        <w:t>= = V3C_OVD ) {</w:t>
      </w:r>
      <w:r w:rsidRPr="00A52AB8">
        <w:rPr>
          <w:color w:val="000000" w:themeColor="text1"/>
        </w:rPr>
        <w:br/>
      </w:r>
      <w:r w:rsidRPr="00A52AB8">
        <w:rPr>
          <w:color w:val="000000" w:themeColor="text1"/>
        </w:rPr>
        <w:tab/>
      </w:r>
      <w:r w:rsidRPr="00A52AB8">
        <w:rPr>
          <w:color w:val="000000" w:themeColor="text1"/>
        </w:rPr>
        <w:tab/>
        <w:t>if( tempWidth &gt; decOccWidth[ frameIdx ] )</w:t>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t>decOccWidth[ frameIdx ] = tempWidth </w:t>
      </w:r>
      <w:r w:rsidRPr="00A52AB8">
        <w:rPr>
          <w:color w:val="000000" w:themeColor="text1"/>
        </w:rPr>
        <w:br/>
      </w:r>
      <w:r w:rsidRPr="00A52AB8">
        <w:rPr>
          <w:color w:val="000000" w:themeColor="text1"/>
        </w:rPr>
        <w:tab/>
      </w:r>
      <w:r w:rsidRPr="00A52AB8">
        <w:rPr>
          <w:color w:val="000000" w:themeColor="text1"/>
        </w:rPr>
        <w:tab/>
        <w:t>if( tempHeight &gt; decOccHeight[ frameIdx ] )</w:t>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t>decOccHeight[ frameIdx ] = tempHeight </w:t>
      </w:r>
      <w:r w:rsidRPr="00A52AB8">
        <w:rPr>
          <w:color w:val="000000" w:themeColor="text1"/>
        </w:rPr>
        <w:br/>
      </w:r>
      <w:r w:rsidRPr="00A52AB8">
        <w:rPr>
          <w:color w:val="000000" w:themeColor="text1"/>
        </w:rPr>
        <w:tab/>
        <w:t>}  else if (</w:t>
      </w:r>
      <w:r w:rsidR="0040677A">
        <w:rPr>
          <w:color w:val="000000" w:themeColor="text1"/>
        </w:rPr>
        <w:t>pin_</w:t>
      </w:r>
      <w:r w:rsidRPr="00A52AB8">
        <w:rPr>
          <w:color w:val="000000" w:themeColor="text1"/>
        </w:rPr>
        <w:t>region_type_id_minus2[ k ][ i ] +2 = = V3C_GVD &amp;&amp; auxDataFlag = = 0 ) {</w:t>
      </w:r>
      <w:r w:rsidRPr="00A52AB8">
        <w:rPr>
          <w:color w:val="000000" w:themeColor="text1"/>
        </w:rPr>
        <w:br/>
      </w:r>
      <w:r w:rsidRPr="00A52AB8">
        <w:rPr>
          <w:color w:val="000000" w:themeColor="text1"/>
        </w:rPr>
        <w:tab/>
      </w:r>
      <w:r w:rsidRPr="00A52AB8">
        <w:rPr>
          <w:color w:val="000000" w:themeColor="text1"/>
        </w:rPr>
        <w:tab/>
        <w:t>if( tempWidth &gt; decGeoWidth[ mapIdx ][ frameIdx ] )</w:t>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t>decGeoWidth[ mapIdx ][ frameIdx ] = tempWidth </w:t>
      </w:r>
      <w:r w:rsidRPr="00A52AB8">
        <w:rPr>
          <w:color w:val="000000" w:themeColor="text1"/>
        </w:rPr>
        <w:br/>
      </w:r>
      <w:r w:rsidRPr="00A52AB8">
        <w:rPr>
          <w:color w:val="000000" w:themeColor="text1"/>
        </w:rPr>
        <w:tab/>
      </w:r>
      <w:r w:rsidRPr="00A52AB8">
        <w:rPr>
          <w:color w:val="000000" w:themeColor="text1"/>
        </w:rPr>
        <w:tab/>
        <w:t>if( tempHeight &gt; decGeoHeight[ mapIdx ][ frameIdx ] )</w:t>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t>decGeoHeight[ mapIdx ][ frameIdx ] = tempHeight </w:t>
      </w:r>
      <w:r w:rsidRPr="00A52AB8">
        <w:rPr>
          <w:color w:val="000000" w:themeColor="text1"/>
        </w:rPr>
        <w:br/>
      </w:r>
      <w:r w:rsidRPr="00A52AB8">
        <w:rPr>
          <w:color w:val="000000" w:themeColor="text1"/>
        </w:rPr>
        <w:tab/>
        <w:t>}  else if (</w:t>
      </w:r>
      <w:r w:rsidR="0040677A">
        <w:rPr>
          <w:color w:val="000000" w:themeColor="text1"/>
        </w:rPr>
        <w:t>pin_</w:t>
      </w:r>
      <w:r w:rsidRPr="00A52AB8">
        <w:rPr>
          <w:color w:val="000000" w:themeColor="text1"/>
        </w:rPr>
        <w:t>region_type_id_minus2[ k ][ i ] +2 = = V3C_GVD &amp;&amp; auxDataFlag = = 1 ) {</w:t>
      </w:r>
      <w:r w:rsidRPr="00A52AB8">
        <w:rPr>
          <w:color w:val="000000" w:themeColor="text1"/>
        </w:rPr>
        <w:br/>
      </w:r>
      <w:r w:rsidRPr="00A52AB8">
        <w:rPr>
          <w:color w:val="000000" w:themeColor="text1"/>
        </w:rPr>
        <w:tab/>
      </w:r>
      <w:r w:rsidRPr="00A52AB8">
        <w:rPr>
          <w:color w:val="000000" w:themeColor="text1"/>
        </w:rPr>
        <w:tab/>
        <w:t>if( tempWidth &gt; decGeoAuxWidth[ frameIdx ] )</w:t>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t>decGeoAuxWidth[ frameIdx ] = tempWidth </w:t>
      </w:r>
      <w:r w:rsidRPr="00A52AB8">
        <w:rPr>
          <w:color w:val="000000" w:themeColor="text1"/>
        </w:rPr>
        <w:br/>
      </w:r>
      <w:r w:rsidRPr="00A52AB8">
        <w:rPr>
          <w:color w:val="000000" w:themeColor="text1"/>
        </w:rPr>
        <w:tab/>
      </w:r>
      <w:r w:rsidRPr="00A52AB8">
        <w:rPr>
          <w:color w:val="000000" w:themeColor="text1"/>
        </w:rPr>
        <w:tab/>
        <w:t>if( tempHeight &gt; decGeoAuxHeight[ frameIdx ] )</w:t>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t>decGeoAuxHeight[ frameIdx ] = tempHeight </w:t>
      </w:r>
      <w:r w:rsidRPr="00A52AB8">
        <w:rPr>
          <w:color w:val="000000" w:themeColor="text1"/>
        </w:rPr>
        <w:br/>
      </w:r>
      <w:r w:rsidRPr="00A52AB8">
        <w:rPr>
          <w:color w:val="000000" w:themeColor="text1"/>
        </w:rPr>
        <w:tab/>
        <w:t>}  else if (</w:t>
      </w:r>
      <w:r w:rsidR="0040677A">
        <w:rPr>
          <w:color w:val="000000" w:themeColor="text1"/>
        </w:rPr>
        <w:t>pin_</w:t>
      </w:r>
      <w:r w:rsidRPr="00A52AB8">
        <w:rPr>
          <w:color w:val="000000" w:themeColor="text1"/>
        </w:rPr>
        <w:t>region_type_id_minus2[ k ][ i ] +2 = = V3C_AVD &amp;&amp; auxDataFlag = = 0 ) {</w:t>
      </w:r>
      <w:r w:rsidRPr="00A52AB8">
        <w:rPr>
          <w:color w:val="000000" w:themeColor="text1"/>
        </w:rPr>
        <w:br/>
      </w:r>
      <w:r w:rsidRPr="00A52AB8">
        <w:rPr>
          <w:color w:val="000000" w:themeColor="text1"/>
        </w:rPr>
        <w:tab/>
      </w:r>
      <w:r w:rsidRPr="00A52AB8">
        <w:rPr>
          <w:color w:val="000000" w:themeColor="text1"/>
        </w:rPr>
        <w:tab/>
        <w:t>if( tempWidth &gt; decAttrWidth[ attrIdx ][ mapIdx ][ partIdx ][ frameIdx ]  )</w:t>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t>decAttrWidth[ attrIdx ][ mapIdx ][ partIdx ][ frameIdx ] = tempWidth </w:t>
      </w:r>
      <w:r w:rsidRPr="00A52AB8">
        <w:rPr>
          <w:color w:val="000000" w:themeColor="text1"/>
        </w:rPr>
        <w:br/>
      </w:r>
      <w:r w:rsidRPr="00A52AB8">
        <w:rPr>
          <w:color w:val="000000" w:themeColor="text1"/>
        </w:rPr>
        <w:tab/>
      </w:r>
      <w:r w:rsidRPr="00A52AB8">
        <w:rPr>
          <w:color w:val="000000" w:themeColor="text1"/>
        </w:rPr>
        <w:tab/>
        <w:t>if( tempHeight &gt; decAttrHeight[ attrIdx ][ mapIdx ][ partIdx ][ frameIdx ] )</w:t>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t>decAttrHeight[ attrIdx ][ mapIdx ][ partIdx ][ frameIdx ] = tempHeight </w:t>
      </w:r>
      <w:r w:rsidRPr="00A52AB8">
        <w:rPr>
          <w:color w:val="000000" w:themeColor="text1"/>
        </w:rPr>
        <w:br/>
      </w:r>
      <w:r w:rsidRPr="00A52AB8">
        <w:rPr>
          <w:color w:val="000000" w:themeColor="text1"/>
        </w:rPr>
        <w:tab/>
        <w:t>}  else if ( </w:t>
      </w:r>
      <w:r w:rsidR="0040677A">
        <w:rPr>
          <w:color w:val="000000" w:themeColor="text1"/>
        </w:rPr>
        <w:t>pin_</w:t>
      </w:r>
      <w:r w:rsidRPr="00A52AB8">
        <w:rPr>
          <w:color w:val="000000" w:themeColor="text1"/>
        </w:rPr>
        <w:t>region_type_id_minus2[ k ][ i ] +2 = = V3C_AVD &amp;&amp; auxDataFlag = = 1 ){</w:t>
      </w:r>
      <w:r w:rsidRPr="00A52AB8">
        <w:rPr>
          <w:color w:val="000000" w:themeColor="text1"/>
        </w:rPr>
        <w:br/>
      </w:r>
      <w:r w:rsidRPr="00A52AB8">
        <w:rPr>
          <w:color w:val="000000" w:themeColor="text1"/>
        </w:rPr>
        <w:tab/>
      </w:r>
      <w:r w:rsidRPr="00A52AB8">
        <w:rPr>
          <w:color w:val="000000" w:themeColor="text1"/>
        </w:rPr>
        <w:tab/>
        <w:t>if( tempWidth &gt; decAttrAuxWidth[ frameIdx ] )</w:t>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t>decAttrAuxWidth[ frameIdx ] = tempWidth </w:t>
      </w:r>
      <w:r w:rsidRPr="00A52AB8">
        <w:rPr>
          <w:color w:val="000000" w:themeColor="text1"/>
        </w:rPr>
        <w:br/>
      </w:r>
      <w:r w:rsidRPr="00A52AB8">
        <w:rPr>
          <w:color w:val="000000" w:themeColor="text1"/>
        </w:rPr>
        <w:tab/>
      </w:r>
      <w:r w:rsidRPr="00A52AB8">
        <w:rPr>
          <w:color w:val="000000" w:themeColor="text1"/>
        </w:rPr>
        <w:tab/>
        <w:t>if( tempHeight &gt; decAttrAuxHeight[ frameIdx ] )</w:t>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t>decAttrAuxHeight[ frameIdx ] = tempHeight </w:t>
      </w:r>
      <w:r w:rsidRPr="00A52AB8">
        <w:rPr>
          <w:color w:val="000000" w:themeColor="text1"/>
        </w:rPr>
        <w:br/>
      </w:r>
      <w:r w:rsidRPr="00A52AB8">
        <w:rPr>
          <w:color w:val="000000" w:themeColor="text1"/>
        </w:rPr>
        <w:tab/>
        <w:t>}</w:t>
      </w:r>
      <w:r w:rsidRPr="00A52AB8">
        <w:rPr>
          <w:color w:val="000000" w:themeColor="text1"/>
        </w:rPr>
        <w:br/>
      </w:r>
      <w:r w:rsidRPr="00A52AB8">
        <w:rPr>
          <w:color w:val="000000" w:themeColor="text1"/>
        </w:rPr>
        <w:br/>
      </w:r>
      <w:r w:rsidRPr="00A52AB8">
        <w:rPr>
          <w:color w:val="000000" w:themeColor="text1"/>
        </w:rPr>
        <w:tab/>
        <w:t>for( y = 0; y &lt; regionHeight; y++ ) {</w:t>
      </w:r>
      <w:r w:rsidRPr="00A52AB8">
        <w:rPr>
          <w:color w:val="000000" w:themeColor="text1"/>
        </w:rPr>
        <w:br/>
      </w:r>
      <w:r w:rsidRPr="00A52AB8">
        <w:rPr>
          <w:color w:val="000000" w:themeColor="text1"/>
        </w:rPr>
        <w:tab/>
      </w:r>
      <w:r w:rsidRPr="00A52AB8">
        <w:rPr>
          <w:color w:val="000000" w:themeColor="text1"/>
        </w:rPr>
        <w:tab/>
        <w:t>for( x = 0; x &lt; regionWidth ; x++ ) {</w:t>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t>for( compIdx = 0; compIdx &lt; 3 ; compIdx ++ ) {</w:t>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t xml:space="preserve">sample = decPackedFrame[ frameIdx ][ compIdx ][ regionOffsetY + y ][ regionOffsetX + x ] </w:t>
      </w:r>
      <w:r w:rsidRPr="00A52AB8">
        <w:rPr>
          <w:color w:val="000000" w:themeColor="text1"/>
        </w:rPr>
        <w:br/>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t>if( </w:t>
      </w:r>
      <w:r w:rsidR="0040677A">
        <w:rPr>
          <w:color w:val="000000" w:themeColor="text1"/>
        </w:rPr>
        <w:t>pin_</w:t>
      </w:r>
      <w:r w:rsidRPr="00A52AB8">
        <w:rPr>
          <w:color w:val="000000" w:themeColor="text1"/>
        </w:rPr>
        <w:t>region_type_id_minus2[ k ][ i ]</w:t>
      </w:r>
      <w:r w:rsidRPr="00A52AB8">
        <w:t> + 2 </w:t>
      </w:r>
      <w:r w:rsidRPr="00A52AB8">
        <w:rPr>
          <w:color w:val="000000" w:themeColor="text1"/>
        </w:rPr>
        <w:t>=  V3C_OVD &amp;&amp; compIdx = = 0 ) {</w:t>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t>if( </w:t>
      </w:r>
      <w:r w:rsidR="0040677A">
        <w:rPr>
          <w:color w:val="000000" w:themeColor="text1"/>
        </w:rPr>
        <w:t>pin_</w:t>
      </w:r>
      <w:r w:rsidRPr="00A52AB8">
        <w:rPr>
          <w:color w:val="000000" w:themeColor="text1"/>
        </w:rPr>
        <w:t>region_rotation_flag[ k ][ i] = = 0) {</w:t>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t>decOccFrame[ mapIdx ][ frameIdx ][ 0 ][ offsetY + y ][ offsetX + x ] = sample</w:t>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t>} else {</w:t>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t>decOccFrame[ mapIdx ][ frameIdx ][ 0 ][ offsetY + x ][ offsetX + y ] = sample</w:t>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t>}</w:t>
      </w:r>
      <w:r w:rsidRPr="00A52AB8">
        <w:rPr>
          <w:color w:val="000000" w:themeColor="text1"/>
        </w:rPr>
        <w:br/>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t>} else if ( </w:t>
      </w:r>
      <w:r w:rsidR="0040677A">
        <w:rPr>
          <w:color w:val="000000" w:themeColor="text1"/>
        </w:rPr>
        <w:t>pin_</w:t>
      </w:r>
      <w:r w:rsidRPr="00A52AB8">
        <w:rPr>
          <w:color w:val="000000" w:themeColor="text1"/>
        </w:rPr>
        <w:t>region_type_id_minus2[ k ][ i ] +2 = = V3C_GVD &amp;&amp; </w:t>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t>compIdx = = 0 &amp;&amp; auxDataFlag = = 0 ) {</w:t>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t>if( </w:t>
      </w:r>
      <w:r w:rsidR="0040677A">
        <w:rPr>
          <w:color w:val="000000" w:themeColor="text1"/>
        </w:rPr>
        <w:t>pin_</w:t>
      </w:r>
      <w:r w:rsidRPr="00A52AB8">
        <w:rPr>
          <w:color w:val="000000" w:themeColor="text1"/>
        </w:rPr>
        <w:t>region_rotation_flag[ k ][ i] = = 0) {</w:t>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t>decGeoFrame [ atlasIdx ][ mapIdx ][ frameIdx ][ 0 ][ offsetY + y ][ offsetX + x ] = sample</w:t>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t>} else {</w:t>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t>decGeoFrame[ atlasIdx ][ mapIdx ][ frameIdx ][ 0 ][ offsetY + x ][ offsetX + y ] = sample</w:t>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t>}</w:t>
      </w:r>
      <w:r w:rsidRPr="00A52AB8">
        <w:rPr>
          <w:color w:val="000000" w:themeColor="text1"/>
        </w:rPr>
        <w:br/>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t>} else if ( </w:t>
      </w:r>
      <w:r w:rsidR="0040677A">
        <w:rPr>
          <w:color w:val="000000" w:themeColor="text1"/>
        </w:rPr>
        <w:t>pin_</w:t>
      </w:r>
      <w:r w:rsidRPr="00A52AB8">
        <w:rPr>
          <w:color w:val="000000" w:themeColor="text1"/>
        </w:rPr>
        <w:t>region_type_id_minus2[ k ][ i ] +2 = = V3C_GVD &amp;&amp; </w:t>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t>compIdx = = 0  &amp;&amp; auxDataFlag = = 1 ){</w:t>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t>if( </w:t>
      </w:r>
      <w:r w:rsidR="0040677A">
        <w:rPr>
          <w:color w:val="000000" w:themeColor="text1"/>
        </w:rPr>
        <w:t>pin_</w:t>
      </w:r>
      <w:r w:rsidRPr="00A52AB8">
        <w:rPr>
          <w:color w:val="000000" w:themeColor="text1"/>
        </w:rPr>
        <w:t>region_rotation_flag[ k ][ i] = = 0 ) {</w:t>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t>decGeoAuxFrame[ atlasIdx ][ mapIdx ][ frameIdx ][ 0 ][ offsetY + y ][ offsetX + x ] = sample</w:t>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t>} else {</w:t>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t>decGeoAuxFrame[ atlasIdx ][ mapIdx ][ frameIdx ][ 0 ][ offsetY + x ][ offsetX + y ] = sample</w:t>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t>}</w:t>
      </w:r>
      <w:r w:rsidRPr="00A52AB8">
        <w:rPr>
          <w:color w:val="000000" w:themeColor="text1"/>
        </w:rPr>
        <w:br/>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t>} else if (</w:t>
      </w:r>
      <w:r w:rsidR="0040677A">
        <w:rPr>
          <w:color w:val="000000" w:themeColor="text1"/>
        </w:rPr>
        <w:t>pin_</w:t>
      </w:r>
      <w:r w:rsidRPr="00A52AB8">
        <w:rPr>
          <w:color w:val="000000" w:themeColor="text1"/>
        </w:rPr>
        <w:t>region_type_id_minus2[ k ][ i ] + 2 = = V3C_AVD &amp;&amp; auxDataFlag = = 0 ) {</w:t>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t>attrIdx = </w:t>
      </w:r>
      <w:r w:rsidR="0040677A">
        <w:rPr>
          <w:bCs/>
          <w:color w:val="000000" w:themeColor="text1"/>
        </w:rPr>
        <w:t>pin_</w:t>
      </w:r>
      <w:r w:rsidRPr="00A52AB8">
        <w:rPr>
          <w:bCs/>
          <w:color w:val="000000" w:themeColor="text1"/>
        </w:rPr>
        <w:t>region_attr_type_id[ k ][ i ]</w:t>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t>decAttrType[ attrIdx ] = </w:t>
      </w:r>
      <w:r w:rsidR="0040677A">
        <w:rPr>
          <w:bCs/>
          <w:color w:val="000000" w:themeColor="text1"/>
        </w:rPr>
        <w:t>pin_</w:t>
      </w:r>
      <w:r w:rsidRPr="00A52AB8">
        <w:rPr>
          <w:bCs/>
          <w:color w:val="000000" w:themeColor="text1"/>
        </w:rPr>
        <w:t>region_attr_type_id[ k ][ i ]</w:t>
      </w:r>
      <w:r w:rsidRPr="00A52AB8">
        <w:rPr>
          <w:bCs/>
          <w:color w:val="000000" w:themeColor="text1"/>
        </w:rPr>
        <w:br/>
      </w:r>
      <w:r w:rsidRPr="00A52AB8">
        <w:rPr>
          <w:bCs/>
          <w:color w:val="000000" w:themeColor="text1"/>
        </w:rPr>
        <w:tab/>
      </w:r>
      <w:r w:rsidRPr="00A52AB8">
        <w:rPr>
          <w:bCs/>
          <w:color w:val="000000" w:themeColor="text1"/>
        </w:rPr>
        <w:tab/>
      </w:r>
      <w:r w:rsidRPr="00A52AB8">
        <w:rPr>
          <w:bCs/>
          <w:color w:val="000000" w:themeColor="text1"/>
        </w:rPr>
        <w:tab/>
      </w:r>
      <w:r w:rsidRPr="00A52AB8">
        <w:rPr>
          <w:bCs/>
          <w:color w:val="000000" w:themeColor="text1"/>
        </w:rPr>
        <w:tab/>
      </w:r>
      <w:r w:rsidRPr="00A52AB8">
        <w:rPr>
          <w:bCs/>
          <w:color w:val="000000" w:themeColor="text1"/>
        </w:rPr>
        <w:tab/>
        <w:t>partIdx = </w:t>
      </w:r>
      <w:r w:rsidR="0040677A">
        <w:rPr>
          <w:bCs/>
          <w:color w:val="000000" w:themeColor="text1"/>
        </w:rPr>
        <w:t>pin_</w:t>
      </w:r>
      <w:r w:rsidRPr="00A52AB8">
        <w:rPr>
          <w:bCs/>
          <w:color w:val="000000" w:themeColor="text1"/>
        </w:rPr>
        <w:t>region_attr_partition_index[ k ][ i ]</w:t>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t>if( </w:t>
      </w:r>
      <w:r w:rsidR="0040677A">
        <w:rPr>
          <w:color w:val="000000" w:themeColor="text1"/>
        </w:rPr>
        <w:t>pin_</w:t>
      </w:r>
      <w:r w:rsidRPr="00A52AB8">
        <w:rPr>
          <w:color w:val="000000" w:themeColor="text1"/>
        </w:rPr>
        <w:t>region_rotation_flag[ k ][ i] = = 0 ) {</w:t>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t>decAttrFrame[ attrIdx ][ mapIdx ][ partIdx ][ frameIdx ][ compIdx ]</w:t>
      </w:r>
      <w:r w:rsidRPr="00A52AB8">
        <w:rPr>
          <w:bCs/>
          <w:color w:val="000000" w:themeColor="text1"/>
        </w:rPr>
        <w:br/>
      </w:r>
      <w:r w:rsidRPr="00A52AB8">
        <w:rPr>
          <w:color w:val="000000" w:themeColor="text1"/>
        </w:rPr>
        <w:t xml:space="preserve"> </w:t>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t>[ offsetY + y ][ offsetX + x ] = sample</w:t>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t xml:space="preserve">} else </w:t>
      </w:r>
      <w:r w:rsidRPr="00A52AB8" w:rsidDel="00CB3B6F">
        <w:rPr>
          <w:color w:val="000000" w:themeColor="text1"/>
        </w:rPr>
        <w:t>{</w:t>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t>decAttrFrame[ attrIdx ][ mapIdx ][ partIdx ][ frameIdx ][ compIdx ]</w:t>
      </w:r>
      <w:r w:rsidRPr="00A52AB8">
        <w:rPr>
          <w:bCs/>
          <w:color w:val="000000" w:themeColor="text1"/>
        </w:rPr>
        <w:br/>
      </w:r>
      <w:r w:rsidRPr="00A52AB8">
        <w:rPr>
          <w:color w:val="000000" w:themeColor="text1"/>
        </w:rPr>
        <w:t xml:space="preserve"> </w:t>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t>[ offsetY + x ][ offsetX + y ] = sample</w:t>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t>}</w:t>
      </w:r>
      <w:r w:rsidRPr="00A52AB8">
        <w:rPr>
          <w:color w:val="000000" w:themeColor="text1"/>
        </w:rPr>
        <w:br/>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t>} else if (</w:t>
      </w:r>
      <w:r w:rsidR="0040677A">
        <w:rPr>
          <w:color w:val="000000" w:themeColor="text1"/>
        </w:rPr>
        <w:t>pin_</w:t>
      </w:r>
      <w:r w:rsidRPr="00A52AB8">
        <w:rPr>
          <w:color w:val="000000" w:themeColor="text1"/>
        </w:rPr>
        <w:t>region_type_id_minus2[ k ][ i ] + 2 = = V3C_AVD &amp;&amp; auxDataFlag = = 0 ) {</w:t>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t>attrIdx = </w:t>
      </w:r>
      <w:r w:rsidR="0040677A">
        <w:rPr>
          <w:bCs/>
          <w:color w:val="000000" w:themeColor="text1"/>
        </w:rPr>
        <w:t>pin_</w:t>
      </w:r>
      <w:r w:rsidRPr="00A52AB8">
        <w:rPr>
          <w:bCs/>
          <w:color w:val="000000" w:themeColor="text1"/>
        </w:rPr>
        <w:t>region_attr_type_id[ k ][ i ]</w:t>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t>decAttrAuxType[ attrIdx ] = </w:t>
      </w:r>
      <w:r w:rsidR="0040677A">
        <w:rPr>
          <w:bCs/>
          <w:color w:val="000000" w:themeColor="text1"/>
        </w:rPr>
        <w:t>pin_</w:t>
      </w:r>
      <w:r w:rsidRPr="00A52AB8">
        <w:rPr>
          <w:bCs/>
          <w:color w:val="000000" w:themeColor="text1"/>
        </w:rPr>
        <w:t>region_attr_type_id[ k ][ i ]</w:t>
      </w:r>
      <w:r w:rsidRPr="00A52AB8">
        <w:rPr>
          <w:bCs/>
          <w:color w:val="000000" w:themeColor="text1"/>
        </w:rPr>
        <w:br/>
      </w:r>
      <w:r w:rsidRPr="00A52AB8">
        <w:rPr>
          <w:bCs/>
          <w:color w:val="000000" w:themeColor="text1"/>
        </w:rPr>
        <w:tab/>
      </w:r>
      <w:r w:rsidRPr="00A52AB8">
        <w:rPr>
          <w:bCs/>
          <w:color w:val="000000" w:themeColor="text1"/>
        </w:rPr>
        <w:tab/>
      </w:r>
      <w:r w:rsidRPr="00A52AB8">
        <w:rPr>
          <w:bCs/>
          <w:color w:val="000000" w:themeColor="text1"/>
        </w:rPr>
        <w:tab/>
      </w:r>
      <w:r w:rsidRPr="00A52AB8">
        <w:rPr>
          <w:bCs/>
          <w:color w:val="000000" w:themeColor="text1"/>
        </w:rPr>
        <w:tab/>
      </w:r>
      <w:r w:rsidRPr="00A52AB8">
        <w:rPr>
          <w:bCs/>
          <w:color w:val="000000" w:themeColor="text1"/>
        </w:rPr>
        <w:tab/>
        <w:t>partIdx = </w:t>
      </w:r>
      <w:r w:rsidR="0040677A">
        <w:rPr>
          <w:bCs/>
          <w:color w:val="000000" w:themeColor="text1"/>
        </w:rPr>
        <w:t>pin_</w:t>
      </w:r>
      <w:r w:rsidRPr="00A52AB8">
        <w:rPr>
          <w:bCs/>
          <w:color w:val="000000" w:themeColor="text1"/>
        </w:rPr>
        <w:t>region_attr_partition_index[ k ][ i ]</w:t>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t>if( </w:t>
      </w:r>
      <w:r w:rsidR="0040677A">
        <w:rPr>
          <w:color w:val="000000" w:themeColor="text1"/>
        </w:rPr>
        <w:t>pin_</w:t>
      </w:r>
      <w:r w:rsidRPr="00A52AB8">
        <w:rPr>
          <w:color w:val="000000" w:themeColor="text1"/>
        </w:rPr>
        <w:t>region_rotation_flag[ k ][ i] = = 0) {</w:t>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t>decAttrAuxFrame[ attrIdx ][ mapIdx ][ partIdx ][ frameIdx ][ compIdx ]</w:t>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t>[ offsetY + y ][ offsetX + x ] = sample</w:t>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t>} else {</w:t>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t xml:space="preserve">decAttrAuxFrame[ attrIdx ][ mapIdx ][ partIdx ][ frameIdx ][ compIdx ] </w:t>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t>[ offsetY + x ][ offsetX + y ] = sample</w:t>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t>}</w:t>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t>}</w:t>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t>}</w:t>
      </w:r>
      <w:r w:rsidRPr="00A52AB8">
        <w:rPr>
          <w:color w:val="000000" w:themeColor="text1"/>
        </w:rPr>
        <w:br/>
      </w:r>
      <w:r w:rsidRPr="00A52AB8">
        <w:rPr>
          <w:color w:val="000000" w:themeColor="text1"/>
        </w:rPr>
        <w:tab/>
      </w:r>
      <w:r w:rsidRPr="00A52AB8">
        <w:rPr>
          <w:color w:val="000000" w:themeColor="text1"/>
        </w:rPr>
        <w:tab/>
        <w:t>}</w:t>
      </w:r>
      <w:r w:rsidRPr="00A52AB8">
        <w:rPr>
          <w:color w:val="000000" w:themeColor="text1"/>
        </w:rPr>
        <w:br/>
      </w:r>
      <w:r w:rsidRPr="00A52AB8">
        <w:rPr>
          <w:color w:val="000000" w:themeColor="text1"/>
        </w:rPr>
        <w:tab/>
        <w:t>}</w:t>
      </w:r>
      <w:r w:rsidRPr="00A52AB8">
        <w:rPr>
          <w:color w:val="000000" w:themeColor="text1"/>
        </w:rPr>
        <w:br/>
        <w:t>}</w:t>
      </w:r>
    </w:p>
    <w:p w14:paraId="6884AE9D" w14:textId="2FD46200" w:rsidR="000E5116" w:rsidRPr="00A52AB8" w:rsidRDefault="000E5116" w:rsidP="00CC1144">
      <w:pPr>
        <w:tabs>
          <w:tab w:val="clear" w:pos="403"/>
        </w:tabs>
        <w:rPr>
          <w:color w:val="000000" w:themeColor="text1"/>
        </w:rPr>
      </w:pPr>
      <w:r w:rsidRPr="00A52AB8">
        <w:rPr>
          <w:color w:val="000000" w:themeColor="text1"/>
        </w:rPr>
        <w:t>decOccBitdepth[ frameIdx ] = decPackedBitdepth[ frameIdx ] </w:t>
      </w:r>
      <w:r w:rsidRPr="00A52AB8">
        <w:rPr>
          <w:color w:val="000000" w:themeColor="text1"/>
        </w:rPr>
        <w:br/>
        <w:t>decOccCompTime[ frameIdx ] = decPackedCompTime[ frameIdx ] </w:t>
      </w:r>
      <w:r w:rsidRPr="00A52AB8">
        <w:rPr>
          <w:color w:val="000000" w:themeColor="text1"/>
        </w:rPr>
        <w:br/>
        <w:t>decOccOutOrdIdx[ frameIdx ] = decPackedOutOrdIdx[ frameIdx ] </w:t>
      </w:r>
      <w:r w:rsidRPr="00A52AB8">
        <w:rPr>
          <w:color w:val="000000" w:themeColor="text1"/>
        </w:rPr>
        <w:br/>
      </w:r>
      <w:r w:rsidRPr="00A52AB8">
        <w:rPr>
          <w:color w:val="000000" w:themeColor="text1"/>
        </w:rPr>
        <w:br/>
        <w:t>decGeoBitdepth[ mapIdx ][ frameIdx ] = decPackedBitdepth[ frameIdx ] </w:t>
      </w:r>
      <w:r w:rsidRPr="00A52AB8">
        <w:rPr>
          <w:color w:val="000000" w:themeColor="text1"/>
        </w:rPr>
        <w:br/>
        <w:t>decGeoCompTime[ mapIdx ][ [ frameIdx ] = decPackedCompTime[ frameIdx ] </w:t>
      </w:r>
      <w:r w:rsidRPr="00A52AB8">
        <w:rPr>
          <w:color w:val="000000" w:themeColor="text1"/>
        </w:rPr>
        <w:br/>
        <w:t>decGeoOutOrdIdx[ mapIdx ][ frameIdx ] = decPackedOutOrdIdx[ frameIdx ] </w:t>
      </w:r>
      <w:r w:rsidRPr="00A52AB8">
        <w:rPr>
          <w:color w:val="000000" w:themeColor="text1"/>
        </w:rPr>
        <w:br/>
      </w:r>
      <w:r w:rsidRPr="00A52AB8">
        <w:rPr>
          <w:color w:val="000000" w:themeColor="text1"/>
        </w:rPr>
        <w:br/>
        <w:t>decGeoAuxBitdepth[ frameIdx ] = decPackedBitdepth[ frameIdx ] </w:t>
      </w:r>
      <w:r w:rsidRPr="00A52AB8">
        <w:rPr>
          <w:color w:val="000000" w:themeColor="text1"/>
        </w:rPr>
        <w:br/>
        <w:t>decGeoAuxCompTime[ frameIdx ] = decPackedCompTime[ frameIdx ] </w:t>
      </w:r>
      <w:r w:rsidRPr="00A52AB8">
        <w:rPr>
          <w:color w:val="000000" w:themeColor="text1"/>
        </w:rPr>
        <w:br/>
        <w:t>decGeoAuxOutOrdIdx[ frameIdx ] = decPackedOutOrdIdx[ frameIdx ] </w:t>
      </w:r>
      <w:r w:rsidRPr="00A52AB8">
        <w:rPr>
          <w:color w:val="000000" w:themeColor="text1"/>
        </w:rPr>
        <w:br/>
      </w:r>
      <w:r w:rsidRPr="00A52AB8">
        <w:rPr>
          <w:color w:val="000000" w:themeColor="text1"/>
        </w:rPr>
        <w:br/>
        <w:t>decAttrBitdepth[ attrIdx ][ mapIdx ][ partIdx ][ frameIdx ] = decPackedBitdepth[ frameIdx ] </w:t>
      </w:r>
      <w:r w:rsidRPr="00A52AB8">
        <w:rPr>
          <w:color w:val="000000" w:themeColor="text1"/>
        </w:rPr>
        <w:br/>
        <w:t>decAttrCompTime[ frameIdx ] = decPackedCompTime[ frameIdx ] </w:t>
      </w:r>
      <w:r w:rsidRPr="00A52AB8">
        <w:rPr>
          <w:color w:val="000000" w:themeColor="text1"/>
        </w:rPr>
        <w:br/>
        <w:t>decAttrOutOrdIdx[ frameIdx ] = decPackedOutOrdIdx[ frameIdx ] </w:t>
      </w:r>
      <w:r w:rsidRPr="00A52AB8">
        <w:rPr>
          <w:color w:val="000000" w:themeColor="text1"/>
        </w:rPr>
        <w:br/>
      </w:r>
      <w:r w:rsidRPr="00A52AB8">
        <w:rPr>
          <w:color w:val="000000" w:themeColor="text1"/>
        </w:rPr>
        <w:br/>
        <w:t>decAttrAuxBitdepth</w:t>
      </w:r>
      <w:r w:rsidRPr="00A52AB8">
        <w:t>[ attrIdx ][ partIdx ][ frameIdx ]</w:t>
      </w:r>
      <w:r w:rsidRPr="00A52AB8">
        <w:rPr>
          <w:color w:val="000000" w:themeColor="text1"/>
        </w:rPr>
        <w:t> = decPackedBitdepth[ frameIdx ] </w:t>
      </w:r>
      <w:r w:rsidRPr="00A52AB8">
        <w:rPr>
          <w:color w:val="000000" w:themeColor="text1"/>
        </w:rPr>
        <w:br/>
        <w:t>decAttrAuxCompTime[ frameIdx ] = decPackedCompTime[ frameIdx ] </w:t>
      </w:r>
      <w:r w:rsidRPr="00A52AB8">
        <w:rPr>
          <w:color w:val="000000" w:themeColor="text1"/>
        </w:rPr>
        <w:br/>
        <w:t>decAttrOutOrdIdx[ frameIdx ] = decPackedOutOrdIdx[ frameIdx ] </w:t>
      </w:r>
    </w:p>
    <w:p w14:paraId="363AF053" w14:textId="77777777" w:rsidR="006F4732" w:rsidRPr="00A52AB8" w:rsidRDefault="006F4732">
      <w:pPr>
        <w:pStyle w:val="ANNEX"/>
        <w:numPr>
          <w:ilvl w:val="0"/>
          <w:numId w:val="19"/>
        </w:numPr>
        <w:rPr>
          <w:color w:val="000000" w:themeColor="text1"/>
        </w:rPr>
      </w:pPr>
      <w:bookmarkStart w:id="4940" w:name="_Toc42730167"/>
      <w:bookmarkStart w:id="4941" w:name="_Toc45105629"/>
      <w:bookmarkStart w:id="4942" w:name="_Toc45530488"/>
      <w:bookmarkStart w:id="4943" w:name="_Toc46301851"/>
      <w:bookmarkStart w:id="4944" w:name="_Toc46302676"/>
      <w:bookmarkStart w:id="4945" w:name="_Toc42730168"/>
      <w:bookmarkStart w:id="4946" w:name="_Toc45105630"/>
      <w:bookmarkStart w:id="4947" w:name="_Toc45530489"/>
      <w:bookmarkStart w:id="4948" w:name="_Toc46301852"/>
      <w:bookmarkStart w:id="4949" w:name="_Toc46302677"/>
      <w:bookmarkEnd w:id="4940"/>
      <w:bookmarkEnd w:id="4941"/>
      <w:bookmarkEnd w:id="4942"/>
      <w:bookmarkEnd w:id="4943"/>
      <w:bookmarkEnd w:id="4944"/>
      <w:bookmarkEnd w:id="4945"/>
      <w:bookmarkEnd w:id="4946"/>
      <w:bookmarkEnd w:id="4947"/>
      <w:bookmarkEnd w:id="4948"/>
      <w:bookmarkEnd w:id="4949"/>
      <w:r w:rsidRPr="00A52AB8">
        <w:rPr>
          <w:color w:val="000000" w:themeColor="text1"/>
        </w:rPr>
        <w:br/>
      </w:r>
      <w:bookmarkStart w:id="4950" w:name="_Ref38894897"/>
      <w:bookmarkStart w:id="4951" w:name="_Toc52181676"/>
      <w:r w:rsidR="000C28F5" w:rsidRPr="00A52AB8">
        <w:rPr>
          <w:color w:val="000000" w:themeColor="text1"/>
        </w:rPr>
        <w:t>(informative)</w:t>
      </w:r>
      <w:r w:rsidRPr="00A52AB8">
        <w:rPr>
          <w:color w:val="000000" w:themeColor="text1"/>
        </w:rPr>
        <w:br/>
      </w:r>
      <w:bookmarkStart w:id="4952" w:name="_Ref5894532"/>
      <w:r w:rsidR="00FC5BAE" w:rsidRPr="00A52AB8">
        <w:rPr>
          <w:color w:val="000000" w:themeColor="text1"/>
        </w:rPr>
        <w:t>V3C</w:t>
      </w:r>
      <w:r w:rsidR="00297F40" w:rsidRPr="00A52AB8">
        <w:rPr>
          <w:color w:val="000000" w:themeColor="text1"/>
        </w:rPr>
        <w:t xml:space="preserve"> </w:t>
      </w:r>
      <w:r w:rsidR="000C28F5" w:rsidRPr="00A52AB8">
        <w:rPr>
          <w:color w:val="000000" w:themeColor="text1"/>
        </w:rPr>
        <w:t>s</w:t>
      </w:r>
      <w:r w:rsidRPr="00A52AB8">
        <w:rPr>
          <w:color w:val="000000" w:themeColor="text1"/>
        </w:rPr>
        <w:t>ample stream format</w:t>
      </w:r>
      <w:bookmarkEnd w:id="4950"/>
      <w:bookmarkEnd w:id="4951"/>
      <w:bookmarkEnd w:id="4952"/>
    </w:p>
    <w:p w14:paraId="0E227486" w14:textId="77777777" w:rsidR="006F4732" w:rsidRPr="00A52AB8" w:rsidRDefault="006F4732">
      <w:pPr>
        <w:pStyle w:val="a2"/>
        <w:numPr>
          <w:ilvl w:val="1"/>
          <w:numId w:val="19"/>
        </w:numPr>
        <w:rPr>
          <w:color w:val="000000" w:themeColor="text1"/>
        </w:rPr>
      </w:pPr>
      <w:bookmarkStart w:id="4953" w:name="_Toc38891766"/>
      <w:bookmarkStart w:id="4954" w:name="_Toc39426363"/>
      <w:bookmarkStart w:id="4955" w:name="_Toc42730170"/>
      <w:bookmarkStart w:id="4956" w:name="_Toc45105632"/>
      <w:bookmarkStart w:id="4957" w:name="_Toc45530491"/>
      <w:bookmarkStart w:id="4958" w:name="_Toc46301854"/>
      <w:bookmarkStart w:id="4959" w:name="_Toc46302679"/>
      <w:bookmarkStart w:id="4960" w:name="_Toc52181677"/>
      <w:bookmarkEnd w:id="4953"/>
      <w:bookmarkEnd w:id="4954"/>
      <w:bookmarkEnd w:id="4955"/>
      <w:bookmarkEnd w:id="4956"/>
      <w:bookmarkEnd w:id="4957"/>
      <w:bookmarkEnd w:id="4958"/>
      <w:bookmarkEnd w:id="4959"/>
      <w:r w:rsidRPr="00A52AB8">
        <w:rPr>
          <w:color w:val="000000" w:themeColor="text1"/>
        </w:rPr>
        <w:t>General</w:t>
      </w:r>
      <w:bookmarkEnd w:id="4960"/>
    </w:p>
    <w:p w14:paraId="5ADD0062" w14:textId="77777777" w:rsidR="00700C86" w:rsidRPr="00A52AB8" w:rsidRDefault="00700C86">
      <w:r w:rsidRPr="00A52AB8">
        <w:t xml:space="preserve">This annex specifies syntax and semantics of a sample stream format specified for use by applications that deliver some or all of the </w:t>
      </w:r>
      <w:r w:rsidR="00134F81" w:rsidRPr="00A52AB8">
        <w:t>V3C</w:t>
      </w:r>
      <w:r w:rsidRPr="00A52AB8">
        <w:t xml:space="preserve"> unit stream as an ordered stream of bytes or bits within which the locations of </w:t>
      </w:r>
      <w:r w:rsidR="00134F81" w:rsidRPr="00A52AB8">
        <w:t>V3C</w:t>
      </w:r>
      <w:r w:rsidRPr="00A52AB8">
        <w:t xml:space="preserve"> unit boundaries need to be identifiable from patterns in the data, such as Rec. ITU-T H.222.0 | ISO/IEC 13818-1 systems or Recommendation ITU</w:t>
      </w:r>
      <w:r w:rsidRPr="00A52AB8">
        <w:noBreakHyphen/>
        <w:t>T H.320 systems. For bit-oriented delivery, the bit order for the sample stream format is specified to start with the MSB of the first byte, proceed to the LSB of the first byte, followed by the MSB of the second byte, etc.</w:t>
      </w:r>
    </w:p>
    <w:p w14:paraId="6B64A948" w14:textId="10C593F3" w:rsidR="00700C86" w:rsidRPr="00A52AB8" w:rsidRDefault="00700C86">
      <w:r w:rsidRPr="00A52AB8">
        <w:t xml:space="preserve">The sample stream format starts with a sample stream header </w:t>
      </w:r>
      <w:r w:rsidR="00265B88" w:rsidRPr="00A52AB8">
        <w:t>and</w:t>
      </w:r>
      <w:r w:rsidRPr="00A52AB8">
        <w:t xml:space="preserve"> consists of a sequence of sample stream </w:t>
      </w:r>
      <w:r w:rsidR="00134F81" w:rsidRPr="00A52AB8">
        <w:t>V3C</w:t>
      </w:r>
      <w:r w:rsidRPr="00A52AB8">
        <w:t xml:space="preserve"> unit syntax structures. Each </w:t>
      </w:r>
      <w:r w:rsidR="00265B88" w:rsidRPr="00A52AB8">
        <w:t>sample</w:t>
      </w:r>
      <w:r w:rsidRPr="00A52AB8">
        <w:t xml:space="preserve"> stream </w:t>
      </w:r>
      <w:r w:rsidR="00134F81" w:rsidRPr="00A52AB8">
        <w:t>V3C</w:t>
      </w:r>
      <w:r w:rsidRPr="00A52AB8">
        <w:t xml:space="preserve"> unit syntax structure contains one </w:t>
      </w:r>
      <w:r w:rsidR="00265B88" w:rsidRPr="00A52AB8">
        <w:t xml:space="preserve">element, named </w:t>
      </w:r>
      <w:r w:rsidR="00265B88" w:rsidRPr="00A52AB8">
        <w:rPr>
          <w:bCs/>
        </w:rPr>
        <w:t>ssvu_</w:t>
      </w:r>
      <w:r w:rsidR="00461888" w:rsidRPr="00A52AB8">
        <w:rPr>
          <w:bCs/>
        </w:rPr>
        <w:t>v3c_</w:t>
      </w:r>
      <w:r w:rsidR="00265B88" w:rsidRPr="00A52AB8">
        <w:rPr>
          <w:bCs/>
        </w:rPr>
        <w:t>unit_size,</w:t>
      </w:r>
      <w:r w:rsidR="00265B88" w:rsidRPr="00A52AB8">
        <w:rPr>
          <w:b/>
          <w:bCs/>
        </w:rPr>
        <w:t xml:space="preserve"> </w:t>
      </w:r>
      <w:r w:rsidR="00265B88" w:rsidRPr="00A52AB8">
        <w:t>that specifies a size,</w:t>
      </w:r>
      <w:r w:rsidRPr="00A52AB8">
        <w:t xml:space="preserve"> followed by one </w:t>
      </w:r>
      <w:r w:rsidR="00461888" w:rsidRPr="00A52AB8">
        <w:t>v3c_</w:t>
      </w:r>
      <w:r w:rsidRPr="00A52AB8">
        <w:t>unit( </w:t>
      </w:r>
      <w:r w:rsidR="00265B88" w:rsidRPr="00A52AB8">
        <w:rPr>
          <w:bCs/>
        </w:rPr>
        <w:t>ssvu_</w:t>
      </w:r>
      <w:r w:rsidR="00461888" w:rsidRPr="00A52AB8">
        <w:rPr>
          <w:bCs/>
        </w:rPr>
        <w:t>v3c_</w:t>
      </w:r>
      <w:r w:rsidR="00265B88" w:rsidRPr="00A52AB8">
        <w:rPr>
          <w:bCs/>
        </w:rPr>
        <w:t>unit_size</w:t>
      </w:r>
      <w:r w:rsidR="00EE4AB0" w:rsidRPr="00A52AB8">
        <w:rPr>
          <w:bCs/>
        </w:rPr>
        <w:t> </w:t>
      </w:r>
      <w:r w:rsidRPr="00A52AB8">
        <w:t xml:space="preserve">) syntax structure. </w:t>
      </w:r>
      <w:r w:rsidR="00265B88" w:rsidRPr="00A52AB8">
        <w:t xml:space="preserve">This </w:t>
      </w:r>
      <w:r w:rsidR="00461888" w:rsidRPr="00A52AB8">
        <w:t>v3c_</w:t>
      </w:r>
      <w:r w:rsidR="00265B88" w:rsidRPr="00A52AB8">
        <w:t xml:space="preserve">unit is essentially of size </w:t>
      </w:r>
      <w:r w:rsidR="00265B88" w:rsidRPr="00A52AB8">
        <w:rPr>
          <w:bCs/>
        </w:rPr>
        <w:t>ssvu_</w:t>
      </w:r>
      <w:r w:rsidR="00461888" w:rsidRPr="00A52AB8">
        <w:rPr>
          <w:bCs/>
        </w:rPr>
        <w:t>v3c_</w:t>
      </w:r>
      <w:r w:rsidR="00265B88" w:rsidRPr="00A52AB8">
        <w:rPr>
          <w:bCs/>
        </w:rPr>
        <w:t>unit_size</w:t>
      </w:r>
      <w:r w:rsidR="00265B88" w:rsidRPr="00A52AB8">
        <w:t xml:space="preserve">. The number of bits used to encode the element </w:t>
      </w:r>
      <w:r w:rsidR="00265B88" w:rsidRPr="00A52AB8">
        <w:rPr>
          <w:bCs/>
        </w:rPr>
        <w:t>ssvu_</w:t>
      </w:r>
      <w:r w:rsidR="00461888" w:rsidRPr="00A52AB8">
        <w:rPr>
          <w:bCs/>
        </w:rPr>
        <w:t>v3c_</w:t>
      </w:r>
      <w:r w:rsidR="00265B88" w:rsidRPr="00A52AB8">
        <w:rPr>
          <w:bCs/>
        </w:rPr>
        <w:t xml:space="preserve">unit_size is specified in the </w:t>
      </w:r>
      <w:r w:rsidR="00265B88" w:rsidRPr="00A52AB8">
        <w:t>sample stream header.</w:t>
      </w:r>
    </w:p>
    <w:p w14:paraId="0FBF2EC3" w14:textId="77777777" w:rsidR="00700C86" w:rsidRPr="00A52AB8" w:rsidRDefault="00700C86">
      <w:pPr>
        <w:pStyle w:val="a2"/>
        <w:numPr>
          <w:ilvl w:val="1"/>
          <w:numId w:val="19"/>
        </w:numPr>
        <w:rPr>
          <w:color w:val="000000" w:themeColor="text1"/>
        </w:rPr>
      </w:pPr>
      <w:bookmarkStart w:id="4961" w:name="_Toc20134509"/>
      <w:bookmarkStart w:id="4962" w:name="_Toc77680603"/>
      <w:bookmarkStart w:id="4963" w:name="_Toc118289201"/>
      <w:bookmarkStart w:id="4964" w:name="_Toc226456804"/>
      <w:bookmarkStart w:id="4965" w:name="_Toc248045421"/>
      <w:bookmarkStart w:id="4966" w:name="_Toc287363872"/>
      <w:bookmarkStart w:id="4967" w:name="_Toc311220020"/>
      <w:bookmarkStart w:id="4968" w:name="_Toc317198871"/>
      <w:bookmarkStart w:id="4969" w:name="_Toc415475998"/>
      <w:bookmarkStart w:id="4970" w:name="_Toc423599273"/>
      <w:bookmarkStart w:id="4971" w:name="_Toc423601777"/>
      <w:bookmarkStart w:id="4972" w:name="_Toc501130242"/>
      <w:bookmarkStart w:id="4973" w:name="_Toc503777946"/>
      <w:bookmarkStart w:id="4974" w:name="_Toc52181678"/>
      <w:r w:rsidRPr="00A52AB8">
        <w:rPr>
          <w:color w:val="000000" w:themeColor="text1"/>
        </w:rPr>
        <w:t xml:space="preserve">Sample stream </w:t>
      </w:r>
      <w:r w:rsidR="00134F81" w:rsidRPr="00A52AB8">
        <w:rPr>
          <w:color w:val="000000" w:themeColor="text1"/>
        </w:rPr>
        <w:t>V3C</w:t>
      </w:r>
      <w:r w:rsidRPr="00A52AB8">
        <w:rPr>
          <w:color w:val="000000" w:themeColor="text1"/>
        </w:rPr>
        <w:t xml:space="preserve"> unit syntax</w:t>
      </w:r>
      <w:bookmarkEnd w:id="4961"/>
      <w:r w:rsidRPr="00A52AB8">
        <w:rPr>
          <w:color w:val="000000" w:themeColor="text1"/>
        </w:rPr>
        <w:t xml:space="preserve"> and semantics</w:t>
      </w:r>
      <w:bookmarkStart w:id="4975" w:name="_Ref58318131"/>
      <w:bookmarkStart w:id="4976" w:name="_Toc77680604"/>
      <w:bookmarkStart w:id="4977" w:name="_Toc118289202"/>
      <w:bookmarkStart w:id="4978" w:name="_Toc226456805"/>
      <w:bookmarkStart w:id="4979" w:name="_Toc248045422"/>
      <w:bookmarkStart w:id="4980" w:name="_Toc287363873"/>
      <w:bookmarkStart w:id="4981" w:name="_Toc311220021"/>
      <w:bookmarkStart w:id="4982" w:name="_Toc317198872"/>
      <w:bookmarkStart w:id="4983" w:name="_Toc415475999"/>
      <w:bookmarkStart w:id="4984" w:name="_Toc423599274"/>
      <w:bookmarkStart w:id="4985" w:name="_Toc423601778"/>
      <w:bookmarkStart w:id="4986" w:name="_Toc501130243"/>
      <w:bookmarkStart w:id="4987" w:name="_Toc503777947"/>
      <w:bookmarkEnd w:id="4962"/>
      <w:bookmarkEnd w:id="4963"/>
      <w:bookmarkEnd w:id="4964"/>
      <w:bookmarkEnd w:id="4965"/>
      <w:bookmarkEnd w:id="4966"/>
      <w:bookmarkEnd w:id="4967"/>
      <w:bookmarkEnd w:id="4968"/>
      <w:bookmarkEnd w:id="4969"/>
      <w:bookmarkEnd w:id="4970"/>
      <w:bookmarkEnd w:id="4971"/>
      <w:bookmarkEnd w:id="4972"/>
      <w:bookmarkEnd w:id="4973"/>
      <w:bookmarkEnd w:id="4974"/>
    </w:p>
    <w:p w14:paraId="3471AF34" w14:textId="77777777" w:rsidR="00700C86" w:rsidRPr="00A52AB8" w:rsidRDefault="00700C86">
      <w:pPr>
        <w:pStyle w:val="a3"/>
        <w:numPr>
          <w:ilvl w:val="2"/>
          <w:numId w:val="19"/>
        </w:numPr>
        <w:rPr>
          <w:color w:val="000000" w:themeColor="text1"/>
        </w:rPr>
      </w:pPr>
      <w:bookmarkStart w:id="4988" w:name="_Toc52181679"/>
      <w:r w:rsidRPr="00A52AB8">
        <w:t xml:space="preserve">Sample stream </w:t>
      </w:r>
      <w:r w:rsidR="00134F81" w:rsidRPr="00A52AB8">
        <w:t>V3C</w:t>
      </w:r>
      <w:r w:rsidRPr="00A52AB8">
        <w:t xml:space="preserve"> header syntax</w:t>
      </w:r>
      <w:bookmarkEnd w:id="4975"/>
      <w:bookmarkEnd w:id="4976"/>
      <w:bookmarkEnd w:id="4977"/>
      <w:bookmarkEnd w:id="4978"/>
      <w:bookmarkEnd w:id="4979"/>
      <w:bookmarkEnd w:id="4980"/>
      <w:bookmarkEnd w:id="4981"/>
      <w:bookmarkEnd w:id="4982"/>
      <w:bookmarkEnd w:id="4983"/>
      <w:bookmarkEnd w:id="4984"/>
      <w:bookmarkEnd w:id="4985"/>
      <w:bookmarkEnd w:id="4986"/>
      <w:bookmarkEnd w:id="4987"/>
      <w:bookmarkEnd w:id="4988"/>
    </w:p>
    <w:tbl>
      <w:tblPr>
        <w:tblStyle w:val="GridTable1Light"/>
        <w:tblW w:w="5000" w:type="pct"/>
        <w:tblLook w:val="0000" w:firstRow="0" w:lastRow="0" w:firstColumn="0" w:lastColumn="0" w:noHBand="0" w:noVBand="0"/>
      </w:tblPr>
      <w:tblGrid>
        <w:gridCol w:w="8411"/>
        <w:gridCol w:w="1331"/>
      </w:tblGrid>
      <w:tr w:rsidR="00700C86" w:rsidRPr="00A52AB8" w14:paraId="6F3D920E" w14:textId="77777777" w:rsidTr="00A252B5">
        <w:trPr>
          <w:trHeight w:val="92"/>
        </w:trPr>
        <w:tc>
          <w:tcPr>
            <w:tcW w:w="7921" w:type="dxa"/>
          </w:tcPr>
          <w:p w14:paraId="085B38DB" w14:textId="20270587" w:rsidR="00700C86" w:rsidRPr="00A52AB8" w:rsidRDefault="00700C86">
            <w:pPr>
              <w:pStyle w:val="Default"/>
              <w:rPr>
                <w:rFonts w:ascii="Cambria" w:hAnsi="Cambria"/>
                <w:sz w:val="20"/>
                <w:szCs w:val="20"/>
                <w:lang w:val="en-CA"/>
              </w:rPr>
            </w:pPr>
            <w:r w:rsidRPr="00A52AB8">
              <w:rPr>
                <w:rFonts w:ascii="Cambria" w:hAnsi="Cambria"/>
                <w:sz w:val="20"/>
                <w:szCs w:val="20"/>
                <w:lang w:val="en-CA"/>
              </w:rPr>
              <w:t>sample_stream_</w:t>
            </w:r>
            <w:r w:rsidR="00461888" w:rsidRPr="00A52AB8">
              <w:rPr>
                <w:rFonts w:ascii="Cambria" w:hAnsi="Cambria"/>
                <w:sz w:val="20"/>
                <w:szCs w:val="20"/>
                <w:lang w:val="en-CA"/>
              </w:rPr>
              <w:t>v3c_</w:t>
            </w:r>
            <w:r w:rsidRPr="00A52AB8">
              <w:rPr>
                <w:rFonts w:ascii="Cambria" w:hAnsi="Cambria"/>
                <w:sz w:val="20"/>
                <w:szCs w:val="20"/>
                <w:lang w:val="en-CA"/>
              </w:rPr>
              <w:t>header</w:t>
            </w:r>
            <w:r w:rsidR="00395064" w:rsidRPr="00A52AB8">
              <w:rPr>
                <w:rFonts w:ascii="Cambria" w:hAnsi="Cambria"/>
                <w:sz w:val="20"/>
                <w:szCs w:val="20"/>
                <w:lang w:val="en-CA"/>
              </w:rPr>
              <w:t>( )</w:t>
            </w:r>
            <w:r w:rsidR="008F1F82" w:rsidRPr="00A52AB8">
              <w:rPr>
                <w:rFonts w:ascii="Cambria" w:hAnsi="Cambria"/>
                <w:sz w:val="20"/>
                <w:szCs w:val="20"/>
                <w:lang w:val="en-CA"/>
              </w:rPr>
              <w:t> {</w:t>
            </w:r>
            <w:r w:rsidRPr="00A52AB8">
              <w:rPr>
                <w:rFonts w:ascii="Cambria" w:hAnsi="Cambria"/>
                <w:sz w:val="20"/>
                <w:szCs w:val="20"/>
                <w:lang w:val="en-CA"/>
              </w:rPr>
              <w:t xml:space="preserve"> </w:t>
            </w:r>
          </w:p>
        </w:tc>
        <w:tc>
          <w:tcPr>
            <w:tcW w:w="1253" w:type="dxa"/>
          </w:tcPr>
          <w:p w14:paraId="2EA0F0AB" w14:textId="77777777" w:rsidR="00700C86" w:rsidRPr="00A52AB8" w:rsidRDefault="00700C86">
            <w:pPr>
              <w:pStyle w:val="Default"/>
              <w:jc w:val="center"/>
              <w:rPr>
                <w:rFonts w:ascii="Cambria" w:hAnsi="Cambria"/>
                <w:b/>
                <w:bCs/>
                <w:sz w:val="20"/>
                <w:szCs w:val="20"/>
                <w:lang w:val="en-CA"/>
              </w:rPr>
            </w:pPr>
            <w:r w:rsidRPr="00A52AB8">
              <w:rPr>
                <w:rFonts w:ascii="Cambria" w:hAnsi="Cambria"/>
                <w:b/>
                <w:bCs/>
                <w:sz w:val="20"/>
                <w:szCs w:val="20"/>
                <w:lang w:val="en-CA"/>
              </w:rPr>
              <w:t>Descriptor</w:t>
            </w:r>
          </w:p>
        </w:tc>
      </w:tr>
      <w:tr w:rsidR="00700C86" w:rsidRPr="00A52AB8" w14:paraId="30D6AC98" w14:textId="77777777" w:rsidTr="00A252B5">
        <w:trPr>
          <w:trHeight w:val="90"/>
        </w:trPr>
        <w:tc>
          <w:tcPr>
            <w:tcW w:w="7921" w:type="dxa"/>
          </w:tcPr>
          <w:p w14:paraId="28191D4C" w14:textId="77777777" w:rsidR="00700C86" w:rsidRPr="00A52AB8" w:rsidRDefault="00700C86">
            <w:pPr>
              <w:pStyle w:val="Default"/>
              <w:rPr>
                <w:rFonts w:ascii="Cambria" w:hAnsi="Cambria"/>
                <w:sz w:val="20"/>
                <w:szCs w:val="20"/>
                <w:lang w:val="en-CA"/>
              </w:rPr>
            </w:pPr>
            <w:r w:rsidRPr="00A52AB8">
              <w:rPr>
                <w:rFonts w:ascii="Cambria" w:hAnsi="Cambria"/>
                <w:b/>
                <w:bCs/>
                <w:sz w:val="20"/>
                <w:szCs w:val="20"/>
                <w:lang w:val="en-CA"/>
              </w:rPr>
              <w:tab/>
              <w:t>ssvh_unit_size_precision_bytes_minus1</w:t>
            </w:r>
          </w:p>
        </w:tc>
        <w:tc>
          <w:tcPr>
            <w:tcW w:w="1253" w:type="dxa"/>
          </w:tcPr>
          <w:p w14:paraId="6685A9F9" w14:textId="77777777" w:rsidR="00700C86" w:rsidRPr="00A52AB8" w:rsidRDefault="00700C86">
            <w:pPr>
              <w:pStyle w:val="Default"/>
              <w:jc w:val="center"/>
              <w:rPr>
                <w:rFonts w:ascii="Cambria" w:hAnsi="Cambria"/>
                <w:sz w:val="20"/>
                <w:szCs w:val="20"/>
                <w:lang w:val="en-CA"/>
              </w:rPr>
            </w:pPr>
            <w:r w:rsidRPr="00A52AB8">
              <w:rPr>
                <w:rFonts w:ascii="Cambria" w:hAnsi="Cambria"/>
                <w:sz w:val="20"/>
                <w:szCs w:val="20"/>
                <w:lang w:val="en-CA"/>
              </w:rPr>
              <w:t>u(3)</w:t>
            </w:r>
          </w:p>
        </w:tc>
      </w:tr>
      <w:tr w:rsidR="00700C86" w:rsidRPr="00A52AB8" w14:paraId="1F83E75E" w14:textId="77777777" w:rsidTr="00A252B5">
        <w:trPr>
          <w:trHeight w:val="90"/>
        </w:trPr>
        <w:tc>
          <w:tcPr>
            <w:tcW w:w="7921" w:type="dxa"/>
          </w:tcPr>
          <w:p w14:paraId="36A815B7" w14:textId="77777777" w:rsidR="00700C86" w:rsidRPr="00A52AB8" w:rsidRDefault="00700C86">
            <w:pPr>
              <w:pStyle w:val="Default"/>
              <w:rPr>
                <w:rFonts w:ascii="Cambria" w:hAnsi="Cambria"/>
                <w:sz w:val="20"/>
                <w:szCs w:val="20"/>
                <w:lang w:val="en-CA"/>
              </w:rPr>
            </w:pPr>
            <w:r w:rsidRPr="00A52AB8">
              <w:rPr>
                <w:rFonts w:ascii="Cambria" w:hAnsi="Cambria"/>
                <w:b/>
                <w:bCs/>
                <w:sz w:val="20"/>
                <w:szCs w:val="20"/>
                <w:lang w:val="en-CA"/>
              </w:rPr>
              <w:tab/>
              <w:t>ssv</w:t>
            </w:r>
            <w:r w:rsidR="00620D6A" w:rsidRPr="00A52AB8">
              <w:rPr>
                <w:rFonts w:ascii="Cambria" w:hAnsi="Cambria"/>
                <w:b/>
                <w:bCs/>
                <w:sz w:val="20"/>
                <w:szCs w:val="20"/>
                <w:lang w:val="en-CA"/>
              </w:rPr>
              <w:t>h</w:t>
            </w:r>
            <w:r w:rsidRPr="00A52AB8">
              <w:rPr>
                <w:rFonts w:ascii="Cambria" w:hAnsi="Cambria"/>
                <w:b/>
                <w:bCs/>
                <w:sz w:val="20"/>
                <w:szCs w:val="20"/>
                <w:lang w:val="en-CA"/>
              </w:rPr>
              <w:t>_</w:t>
            </w:r>
            <w:r w:rsidR="00E73E40" w:rsidRPr="00A52AB8">
              <w:rPr>
                <w:rFonts w:ascii="Cambria" w:hAnsi="Cambria"/>
                <w:b/>
                <w:bCs/>
                <w:sz w:val="20"/>
                <w:szCs w:val="20"/>
                <w:lang w:val="en-CA"/>
              </w:rPr>
              <w:t>reserved</w:t>
            </w:r>
            <w:r w:rsidRPr="00A52AB8">
              <w:rPr>
                <w:rFonts w:ascii="Cambria" w:hAnsi="Cambria"/>
                <w:b/>
                <w:bCs/>
                <w:sz w:val="20"/>
                <w:szCs w:val="20"/>
                <w:lang w:val="en-CA"/>
              </w:rPr>
              <w:t>_</w:t>
            </w:r>
            <w:r w:rsidR="00CB7FDD" w:rsidRPr="00A52AB8">
              <w:rPr>
                <w:rFonts w:ascii="Cambria" w:hAnsi="Cambria"/>
                <w:b/>
                <w:bCs/>
                <w:sz w:val="20"/>
                <w:szCs w:val="20"/>
                <w:lang w:val="en-CA"/>
              </w:rPr>
              <w:t>zero_</w:t>
            </w:r>
            <w:r w:rsidR="00E73E40" w:rsidRPr="00A52AB8">
              <w:rPr>
                <w:rFonts w:ascii="Cambria" w:hAnsi="Cambria"/>
                <w:b/>
                <w:bCs/>
                <w:sz w:val="20"/>
                <w:szCs w:val="20"/>
                <w:lang w:val="en-CA"/>
              </w:rPr>
              <w:t>5</w:t>
            </w:r>
            <w:r w:rsidRPr="00A52AB8">
              <w:rPr>
                <w:rFonts w:ascii="Cambria" w:hAnsi="Cambria"/>
                <w:b/>
                <w:bCs/>
                <w:sz w:val="20"/>
                <w:szCs w:val="20"/>
                <w:lang w:val="en-CA"/>
              </w:rPr>
              <w:t>bits</w:t>
            </w:r>
          </w:p>
        </w:tc>
        <w:tc>
          <w:tcPr>
            <w:tcW w:w="1253" w:type="dxa"/>
          </w:tcPr>
          <w:p w14:paraId="6955E6CB" w14:textId="77777777" w:rsidR="00700C86" w:rsidRPr="00A52AB8" w:rsidRDefault="00700C86">
            <w:pPr>
              <w:pStyle w:val="Default"/>
              <w:jc w:val="center"/>
              <w:rPr>
                <w:rFonts w:ascii="Cambria" w:hAnsi="Cambria"/>
                <w:sz w:val="20"/>
                <w:szCs w:val="20"/>
                <w:lang w:val="en-CA"/>
              </w:rPr>
            </w:pPr>
            <w:r w:rsidRPr="00A52AB8">
              <w:rPr>
                <w:rFonts w:ascii="Cambria" w:hAnsi="Cambria"/>
                <w:sz w:val="20"/>
                <w:szCs w:val="20"/>
                <w:lang w:val="en-CA"/>
              </w:rPr>
              <w:t>u(5)</w:t>
            </w:r>
          </w:p>
        </w:tc>
      </w:tr>
      <w:tr w:rsidR="00700C86" w:rsidRPr="00A52AB8" w14:paraId="4462430F" w14:textId="77777777" w:rsidTr="00A252B5">
        <w:trPr>
          <w:trHeight w:val="90"/>
        </w:trPr>
        <w:tc>
          <w:tcPr>
            <w:tcW w:w="7921" w:type="dxa"/>
          </w:tcPr>
          <w:p w14:paraId="224FD106" w14:textId="77777777" w:rsidR="00700C86" w:rsidRPr="00A52AB8" w:rsidRDefault="00700C86">
            <w:pPr>
              <w:pStyle w:val="Default"/>
              <w:rPr>
                <w:rFonts w:ascii="Cambria" w:hAnsi="Cambria"/>
                <w:sz w:val="20"/>
                <w:szCs w:val="20"/>
                <w:lang w:val="en-CA"/>
              </w:rPr>
            </w:pPr>
            <w:r w:rsidRPr="00A52AB8">
              <w:rPr>
                <w:rFonts w:ascii="Cambria" w:hAnsi="Cambria"/>
                <w:sz w:val="20"/>
                <w:szCs w:val="20"/>
                <w:lang w:val="en-CA"/>
              </w:rPr>
              <w:t xml:space="preserve">} </w:t>
            </w:r>
          </w:p>
        </w:tc>
        <w:tc>
          <w:tcPr>
            <w:tcW w:w="1253" w:type="dxa"/>
          </w:tcPr>
          <w:p w14:paraId="6B129EC8" w14:textId="77777777" w:rsidR="00700C86" w:rsidRPr="00A52AB8" w:rsidRDefault="00700C86">
            <w:pPr>
              <w:pStyle w:val="Default"/>
              <w:jc w:val="center"/>
              <w:rPr>
                <w:rFonts w:ascii="Cambria" w:hAnsi="Cambria"/>
                <w:sz w:val="20"/>
                <w:szCs w:val="20"/>
                <w:lang w:val="en-CA"/>
              </w:rPr>
            </w:pPr>
          </w:p>
        </w:tc>
      </w:tr>
    </w:tbl>
    <w:p w14:paraId="08B37F94" w14:textId="77777777" w:rsidR="00700C86" w:rsidRPr="00A52AB8" w:rsidRDefault="00700C86">
      <w:pPr>
        <w:pStyle w:val="a3"/>
        <w:numPr>
          <w:ilvl w:val="2"/>
          <w:numId w:val="19"/>
        </w:numPr>
        <w:rPr>
          <w:b w:val="0"/>
        </w:rPr>
      </w:pPr>
      <w:bookmarkStart w:id="4989" w:name="_Toc52181680"/>
      <w:r w:rsidRPr="00A52AB8">
        <w:t xml:space="preserve">Sample stream </w:t>
      </w:r>
      <w:r w:rsidR="00134F81" w:rsidRPr="00A52AB8">
        <w:t>V3C</w:t>
      </w:r>
      <w:r w:rsidRPr="00A52AB8">
        <w:t xml:space="preserve"> unit syntax</w:t>
      </w:r>
      <w:bookmarkEnd w:id="4989"/>
    </w:p>
    <w:tbl>
      <w:tblPr>
        <w:tblStyle w:val="GridTable1Light"/>
        <w:tblW w:w="5000" w:type="pct"/>
        <w:tblLook w:val="0000" w:firstRow="0" w:lastRow="0" w:firstColumn="0" w:lastColumn="0" w:noHBand="0" w:noVBand="0"/>
      </w:tblPr>
      <w:tblGrid>
        <w:gridCol w:w="8411"/>
        <w:gridCol w:w="1331"/>
      </w:tblGrid>
      <w:tr w:rsidR="00700C86" w:rsidRPr="00A52AB8" w14:paraId="57362669" w14:textId="77777777" w:rsidTr="00A252B5">
        <w:trPr>
          <w:trHeight w:val="92"/>
        </w:trPr>
        <w:tc>
          <w:tcPr>
            <w:tcW w:w="7921" w:type="dxa"/>
          </w:tcPr>
          <w:p w14:paraId="6931FE2C" w14:textId="252EBB6B" w:rsidR="00700C86" w:rsidRPr="00A52AB8" w:rsidRDefault="00700C86">
            <w:pPr>
              <w:pStyle w:val="Default"/>
              <w:rPr>
                <w:rFonts w:ascii="Cambria" w:hAnsi="Cambria"/>
                <w:sz w:val="20"/>
                <w:szCs w:val="20"/>
                <w:lang w:val="en-CA"/>
              </w:rPr>
            </w:pPr>
            <w:r w:rsidRPr="00A52AB8">
              <w:rPr>
                <w:rFonts w:ascii="Cambria" w:hAnsi="Cambria"/>
                <w:sz w:val="20"/>
                <w:szCs w:val="20"/>
                <w:lang w:val="en-CA"/>
              </w:rPr>
              <w:t>sample_stream_</w:t>
            </w:r>
            <w:r w:rsidR="00461888" w:rsidRPr="00A52AB8">
              <w:rPr>
                <w:rFonts w:ascii="Cambria" w:hAnsi="Cambria"/>
                <w:sz w:val="20"/>
                <w:szCs w:val="20"/>
                <w:lang w:val="en-CA"/>
              </w:rPr>
              <w:t>v3c_</w:t>
            </w:r>
            <w:r w:rsidRPr="00A52AB8">
              <w:rPr>
                <w:rFonts w:ascii="Cambria" w:hAnsi="Cambria"/>
                <w:sz w:val="20"/>
                <w:szCs w:val="20"/>
                <w:lang w:val="en-CA"/>
              </w:rPr>
              <w:t>unit</w:t>
            </w:r>
            <w:r w:rsidR="00395064" w:rsidRPr="00A52AB8">
              <w:rPr>
                <w:rFonts w:ascii="Cambria" w:hAnsi="Cambria"/>
                <w:sz w:val="20"/>
                <w:szCs w:val="20"/>
                <w:lang w:val="en-CA"/>
              </w:rPr>
              <w:t>( )</w:t>
            </w:r>
            <w:r w:rsidR="008F1F82" w:rsidRPr="00A52AB8">
              <w:rPr>
                <w:rFonts w:ascii="Cambria" w:hAnsi="Cambria"/>
                <w:sz w:val="20"/>
                <w:szCs w:val="20"/>
                <w:lang w:val="en-CA"/>
              </w:rPr>
              <w:t> {</w:t>
            </w:r>
            <w:r w:rsidRPr="00A52AB8">
              <w:rPr>
                <w:rFonts w:ascii="Cambria" w:hAnsi="Cambria"/>
                <w:sz w:val="20"/>
                <w:szCs w:val="20"/>
                <w:lang w:val="en-CA"/>
              </w:rPr>
              <w:t xml:space="preserve"> </w:t>
            </w:r>
          </w:p>
        </w:tc>
        <w:tc>
          <w:tcPr>
            <w:tcW w:w="1253" w:type="dxa"/>
          </w:tcPr>
          <w:p w14:paraId="3DF0BAAC" w14:textId="77777777" w:rsidR="00700C86" w:rsidRPr="00A52AB8" w:rsidRDefault="00700C86">
            <w:pPr>
              <w:pStyle w:val="Default"/>
              <w:jc w:val="center"/>
              <w:rPr>
                <w:rFonts w:ascii="Cambria" w:hAnsi="Cambria"/>
                <w:b/>
                <w:bCs/>
                <w:sz w:val="20"/>
                <w:szCs w:val="20"/>
                <w:lang w:val="en-CA"/>
              </w:rPr>
            </w:pPr>
            <w:r w:rsidRPr="00A52AB8">
              <w:rPr>
                <w:rFonts w:ascii="Cambria" w:hAnsi="Cambria"/>
                <w:b/>
                <w:bCs/>
                <w:sz w:val="20"/>
                <w:szCs w:val="20"/>
                <w:lang w:val="en-CA"/>
              </w:rPr>
              <w:t>Descriptor</w:t>
            </w:r>
          </w:p>
        </w:tc>
      </w:tr>
      <w:tr w:rsidR="00700C86" w:rsidRPr="00A52AB8" w14:paraId="33903EFC" w14:textId="77777777" w:rsidTr="00A252B5">
        <w:trPr>
          <w:trHeight w:val="90"/>
        </w:trPr>
        <w:tc>
          <w:tcPr>
            <w:tcW w:w="7921" w:type="dxa"/>
          </w:tcPr>
          <w:p w14:paraId="536C6063" w14:textId="77777777" w:rsidR="00700C86" w:rsidRPr="00A52AB8" w:rsidRDefault="00700C86">
            <w:pPr>
              <w:pStyle w:val="Default"/>
              <w:rPr>
                <w:rFonts w:ascii="Cambria" w:hAnsi="Cambria"/>
                <w:sz w:val="20"/>
                <w:szCs w:val="20"/>
                <w:lang w:val="en-CA"/>
              </w:rPr>
            </w:pPr>
            <w:r w:rsidRPr="00A52AB8">
              <w:rPr>
                <w:rFonts w:ascii="Cambria" w:hAnsi="Cambria"/>
                <w:b/>
                <w:bCs/>
                <w:sz w:val="20"/>
                <w:szCs w:val="20"/>
                <w:lang w:val="en-CA"/>
              </w:rPr>
              <w:tab/>
              <w:t>ssvu_</w:t>
            </w:r>
            <w:r w:rsidR="00461888" w:rsidRPr="00A52AB8">
              <w:rPr>
                <w:rFonts w:ascii="Cambria" w:hAnsi="Cambria"/>
                <w:b/>
                <w:bCs/>
                <w:sz w:val="20"/>
                <w:szCs w:val="20"/>
                <w:lang w:val="en-CA"/>
              </w:rPr>
              <w:t>v3c_</w:t>
            </w:r>
            <w:r w:rsidRPr="00A52AB8">
              <w:rPr>
                <w:rFonts w:ascii="Cambria" w:hAnsi="Cambria"/>
                <w:b/>
                <w:bCs/>
                <w:sz w:val="20"/>
                <w:szCs w:val="20"/>
                <w:lang w:val="en-CA"/>
              </w:rPr>
              <w:t xml:space="preserve">unit_size </w:t>
            </w:r>
          </w:p>
        </w:tc>
        <w:tc>
          <w:tcPr>
            <w:tcW w:w="1253" w:type="dxa"/>
          </w:tcPr>
          <w:p w14:paraId="7FBA926C" w14:textId="77777777" w:rsidR="00700C86" w:rsidRPr="00A52AB8" w:rsidRDefault="00700C86">
            <w:pPr>
              <w:pStyle w:val="Default"/>
              <w:jc w:val="center"/>
              <w:rPr>
                <w:rFonts w:ascii="Cambria" w:hAnsi="Cambria"/>
                <w:sz w:val="20"/>
                <w:szCs w:val="20"/>
                <w:lang w:val="en-CA"/>
              </w:rPr>
            </w:pPr>
            <w:r w:rsidRPr="00A52AB8">
              <w:rPr>
                <w:rFonts w:ascii="Cambria" w:hAnsi="Cambria"/>
                <w:sz w:val="20"/>
                <w:szCs w:val="20"/>
                <w:lang w:val="en-CA"/>
              </w:rPr>
              <w:t>u(v)</w:t>
            </w:r>
          </w:p>
        </w:tc>
      </w:tr>
      <w:tr w:rsidR="00700C86" w:rsidRPr="00A52AB8" w14:paraId="7E8373AE" w14:textId="77777777" w:rsidTr="00A252B5">
        <w:trPr>
          <w:trHeight w:val="90"/>
        </w:trPr>
        <w:tc>
          <w:tcPr>
            <w:tcW w:w="7921" w:type="dxa"/>
          </w:tcPr>
          <w:p w14:paraId="3FCD05DD" w14:textId="77777777" w:rsidR="00700C86" w:rsidRPr="00A52AB8" w:rsidRDefault="00700C86">
            <w:pPr>
              <w:pStyle w:val="Default"/>
              <w:rPr>
                <w:rFonts w:ascii="Cambria" w:hAnsi="Cambria"/>
                <w:sz w:val="20"/>
                <w:szCs w:val="20"/>
                <w:lang w:val="en-CA"/>
              </w:rPr>
            </w:pPr>
            <w:r w:rsidRPr="00A52AB8">
              <w:rPr>
                <w:rFonts w:ascii="Cambria" w:hAnsi="Cambria"/>
                <w:sz w:val="20"/>
                <w:szCs w:val="20"/>
                <w:lang w:val="en-CA"/>
              </w:rPr>
              <w:tab/>
            </w:r>
            <w:r w:rsidR="00461888" w:rsidRPr="00A52AB8">
              <w:rPr>
                <w:rFonts w:ascii="Cambria" w:hAnsi="Cambria"/>
                <w:sz w:val="20"/>
                <w:szCs w:val="20"/>
                <w:lang w:val="en-CA"/>
              </w:rPr>
              <w:t>v3c_</w:t>
            </w:r>
            <w:r w:rsidRPr="00A52AB8">
              <w:rPr>
                <w:rFonts w:ascii="Cambria" w:hAnsi="Cambria"/>
                <w:sz w:val="20"/>
                <w:szCs w:val="20"/>
                <w:lang w:val="en-CA"/>
              </w:rPr>
              <w:t>unit(ssvu_</w:t>
            </w:r>
            <w:r w:rsidR="00461888" w:rsidRPr="00A52AB8">
              <w:rPr>
                <w:rFonts w:ascii="Cambria" w:hAnsi="Cambria"/>
                <w:bCs/>
                <w:sz w:val="20"/>
                <w:szCs w:val="20"/>
                <w:lang w:val="en-CA"/>
              </w:rPr>
              <w:t>v3c_</w:t>
            </w:r>
            <w:r w:rsidRPr="00A52AB8">
              <w:rPr>
                <w:rFonts w:ascii="Cambria" w:hAnsi="Cambria"/>
                <w:bCs/>
                <w:sz w:val="20"/>
                <w:szCs w:val="20"/>
                <w:lang w:val="en-CA"/>
              </w:rPr>
              <w:t>unit_size</w:t>
            </w:r>
            <w:r w:rsidRPr="00A52AB8">
              <w:rPr>
                <w:rFonts w:ascii="Cambria" w:hAnsi="Cambria"/>
                <w:b/>
                <w:bCs/>
                <w:sz w:val="20"/>
                <w:szCs w:val="20"/>
                <w:lang w:val="en-CA"/>
              </w:rPr>
              <w:t xml:space="preserve"> </w:t>
            </w:r>
            <w:r w:rsidRPr="00A52AB8">
              <w:rPr>
                <w:rFonts w:ascii="Cambria" w:hAnsi="Cambria"/>
                <w:sz w:val="20"/>
                <w:szCs w:val="20"/>
                <w:lang w:val="en-CA"/>
              </w:rPr>
              <w:t xml:space="preserve">) </w:t>
            </w:r>
          </w:p>
        </w:tc>
        <w:tc>
          <w:tcPr>
            <w:tcW w:w="1253" w:type="dxa"/>
          </w:tcPr>
          <w:p w14:paraId="3766D198" w14:textId="77777777" w:rsidR="00700C86" w:rsidRPr="00A52AB8" w:rsidRDefault="00700C86">
            <w:pPr>
              <w:pStyle w:val="Default"/>
              <w:jc w:val="center"/>
              <w:rPr>
                <w:rFonts w:ascii="Cambria" w:hAnsi="Cambria"/>
                <w:sz w:val="20"/>
                <w:szCs w:val="20"/>
                <w:lang w:val="en-CA"/>
              </w:rPr>
            </w:pPr>
          </w:p>
        </w:tc>
      </w:tr>
      <w:tr w:rsidR="00700C86" w:rsidRPr="00A52AB8" w14:paraId="572F3242" w14:textId="77777777" w:rsidTr="00A252B5">
        <w:trPr>
          <w:trHeight w:val="90"/>
        </w:trPr>
        <w:tc>
          <w:tcPr>
            <w:tcW w:w="7921" w:type="dxa"/>
          </w:tcPr>
          <w:p w14:paraId="13F9D4A6" w14:textId="77777777" w:rsidR="00700C86" w:rsidRPr="00A52AB8" w:rsidRDefault="00700C86">
            <w:pPr>
              <w:pStyle w:val="Default"/>
              <w:rPr>
                <w:rFonts w:ascii="Cambria" w:hAnsi="Cambria"/>
                <w:sz w:val="20"/>
                <w:szCs w:val="20"/>
                <w:lang w:val="en-CA"/>
              </w:rPr>
            </w:pPr>
            <w:r w:rsidRPr="00A52AB8">
              <w:rPr>
                <w:rFonts w:ascii="Cambria" w:hAnsi="Cambria"/>
                <w:sz w:val="20"/>
                <w:szCs w:val="20"/>
                <w:lang w:val="en-CA"/>
              </w:rPr>
              <w:t xml:space="preserve">} </w:t>
            </w:r>
          </w:p>
        </w:tc>
        <w:tc>
          <w:tcPr>
            <w:tcW w:w="1253" w:type="dxa"/>
          </w:tcPr>
          <w:p w14:paraId="725F9049" w14:textId="77777777" w:rsidR="00700C86" w:rsidRPr="00A52AB8" w:rsidRDefault="00700C86">
            <w:pPr>
              <w:pStyle w:val="Default"/>
              <w:jc w:val="center"/>
              <w:rPr>
                <w:rFonts w:ascii="Cambria" w:hAnsi="Cambria"/>
                <w:sz w:val="20"/>
                <w:szCs w:val="20"/>
                <w:lang w:val="en-CA"/>
              </w:rPr>
            </w:pPr>
          </w:p>
        </w:tc>
      </w:tr>
    </w:tbl>
    <w:p w14:paraId="48A803FD" w14:textId="77777777" w:rsidR="00700C86" w:rsidRPr="00A52AB8" w:rsidRDefault="00700C86">
      <w:pPr>
        <w:pStyle w:val="a3"/>
        <w:numPr>
          <w:ilvl w:val="2"/>
          <w:numId w:val="19"/>
        </w:numPr>
      </w:pPr>
      <w:bookmarkStart w:id="4990" w:name="_Toc20134510"/>
      <w:bookmarkStart w:id="4991" w:name="_Toc77680605"/>
      <w:bookmarkStart w:id="4992" w:name="_Toc118289203"/>
      <w:bookmarkStart w:id="4993" w:name="_Toc226456806"/>
      <w:bookmarkStart w:id="4994" w:name="_Toc248045423"/>
      <w:bookmarkStart w:id="4995" w:name="_Toc287363874"/>
      <w:bookmarkStart w:id="4996" w:name="_Toc311220022"/>
      <w:bookmarkStart w:id="4997" w:name="_Toc317198873"/>
      <w:bookmarkStart w:id="4998" w:name="_Toc415476000"/>
      <w:bookmarkStart w:id="4999" w:name="_Toc423599275"/>
      <w:bookmarkStart w:id="5000" w:name="_Toc423601779"/>
      <w:bookmarkStart w:id="5001" w:name="_Toc501130244"/>
      <w:bookmarkStart w:id="5002" w:name="_Toc503777948"/>
      <w:bookmarkStart w:id="5003" w:name="_Toc52181681"/>
      <w:r w:rsidRPr="00A52AB8">
        <w:t xml:space="preserve">Sample stream </w:t>
      </w:r>
      <w:r w:rsidR="00134F81" w:rsidRPr="00A52AB8">
        <w:t>V3C</w:t>
      </w:r>
      <w:r w:rsidRPr="00A52AB8">
        <w:t xml:space="preserve"> </w:t>
      </w:r>
      <w:r w:rsidR="008739C4" w:rsidRPr="00A52AB8">
        <w:t xml:space="preserve">header </w:t>
      </w:r>
      <w:r w:rsidRPr="00A52AB8">
        <w:t>semantics</w:t>
      </w:r>
      <w:bookmarkEnd w:id="4990"/>
      <w:bookmarkEnd w:id="4991"/>
      <w:bookmarkEnd w:id="4992"/>
      <w:bookmarkEnd w:id="4993"/>
      <w:bookmarkEnd w:id="4994"/>
      <w:bookmarkEnd w:id="4995"/>
      <w:bookmarkEnd w:id="4996"/>
      <w:bookmarkEnd w:id="4997"/>
      <w:bookmarkEnd w:id="4998"/>
      <w:bookmarkEnd w:id="4999"/>
      <w:bookmarkEnd w:id="5000"/>
      <w:bookmarkEnd w:id="5001"/>
      <w:bookmarkEnd w:id="5002"/>
      <w:bookmarkEnd w:id="5003"/>
    </w:p>
    <w:p w14:paraId="70ADDDF8" w14:textId="77777777" w:rsidR="001006CF" w:rsidRPr="00A52AB8" w:rsidRDefault="001006CF">
      <w:pPr>
        <w:rPr>
          <w:lang w:eastAsia="ja-JP"/>
        </w:rPr>
      </w:pPr>
      <w:r w:rsidRPr="00A52AB8">
        <w:rPr>
          <w:lang w:eastAsia="ja-JP"/>
        </w:rPr>
        <w:t xml:space="preserve">The sample stream </w:t>
      </w:r>
      <w:r w:rsidR="00134F81" w:rsidRPr="00A52AB8">
        <w:rPr>
          <w:lang w:eastAsia="ja-JP"/>
        </w:rPr>
        <w:t>V3C</w:t>
      </w:r>
      <w:r w:rsidRPr="00A52AB8">
        <w:rPr>
          <w:lang w:eastAsia="ja-JP"/>
        </w:rPr>
        <w:t xml:space="preserve"> header shall always be at the beginning of the sample stream </w:t>
      </w:r>
      <w:r w:rsidR="00134F81" w:rsidRPr="00A52AB8">
        <w:rPr>
          <w:lang w:eastAsia="ja-JP"/>
        </w:rPr>
        <w:t>V3C</w:t>
      </w:r>
      <w:r w:rsidRPr="00A52AB8">
        <w:rPr>
          <w:lang w:eastAsia="ja-JP"/>
        </w:rPr>
        <w:t xml:space="preserve"> stream.</w:t>
      </w:r>
    </w:p>
    <w:p w14:paraId="00EF355E" w14:textId="77777777" w:rsidR="0050235C" w:rsidRPr="00A52AB8" w:rsidRDefault="001006CF">
      <w:pPr>
        <w:rPr>
          <w:color w:val="000000" w:themeColor="text1"/>
        </w:rPr>
      </w:pPr>
      <w:r w:rsidRPr="00A52AB8">
        <w:rPr>
          <w:b/>
          <w:color w:val="000000" w:themeColor="text1"/>
        </w:rPr>
        <w:t>ssvh_unit_size_precision_bytes_minus1</w:t>
      </w:r>
      <w:r w:rsidRPr="00A52AB8">
        <w:rPr>
          <w:color w:val="000000" w:themeColor="text1"/>
        </w:rPr>
        <w:t xml:space="preserve"> plus 1 specifies the precision, in bytes</w:t>
      </w:r>
      <w:r w:rsidR="00CB7FDD" w:rsidRPr="00A52AB8">
        <w:rPr>
          <w:color w:val="000000" w:themeColor="text1"/>
        </w:rPr>
        <w:t>,</w:t>
      </w:r>
      <w:r w:rsidRPr="00A52AB8">
        <w:rPr>
          <w:color w:val="000000" w:themeColor="text1"/>
        </w:rPr>
        <w:t xml:space="preserve"> of the ssvu_</w:t>
      </w:r>
      <w:r w:rsidR="00461888" w:rsidRPr="00A52AB8">
        <w:rPr>
          <w:color w:val="000000" w:themeColor="text1"/>
        </w:rPr>
        <w:t>v3c_</w:t>
      </w:r>
      <w:r w:rsidRPr="00A52AB8">
        <w:rPr>
          <w:color w:val="000000" w:themeColor="text1"/>
        </w:rPr>
        <w:t xml:space="preserve">unit_size element in all sample stream </w:t>
      </w:r>
      <w:r w:rsidR="00134F81" w:rsidRPr="00A52AB8">
        <w:rPr>
          <w:color w:val="000000" w:themeColor="text1"/>
        </w:rPr>
        <w:t>V3C</w:t>
      </w:r>
      <w:r w:rsidRPr="00A52AB8">
        <w:rPr>
          <w:color w:val="000000" w:themeColor="text1"/>
        </w:rPr>
        <w:t xml:space="preserve"> units. ssvh_unit_size_precision_bytes_minus1 shall be in the range of 0 to 7.</w:t>
      </w:r>
    </w:p>
    <w:p w14:paraId="4D5FBC8A" w14:textId="77777777" w:rsidR="0050235C" w:rsidRPr="00A52AB8" w:rsidRDefault="001006CF">
      <w:pPr>
        <w:rPr>
          <w:color w:val="000000" w:themeColor="text1"/>
        </w:rPr>
      </w:pPr>
      <w:r w:rsidRPr="00A52AB8">
        <w:rPr>
          <w:b/>
          <w:bCs/>
        </w:rPr>
        <w:t>ss</w:t>
      </w:r>
      <w:r w:rsidR="00620D6A" w:rsidRPr="00A52AB8">
        <w:rPr>
          <w:b/>
          <w:bCs/>
        </w:rPr>
        <w:t>v</w:t>
      </w:r>
      <w:r w:rsidRPr="00A52AB8">
        <w:rPr>
          <w:b/>
          <w:bCs/>
        </w:rPr>
        <w:t>h_reserved_</w:t>
      </w:r>
      <w:r w:rsidR="00CB7FDD" w:rsidRPr="00A52AB8">
        <w:rPr>
          <w:b/>
          <w:bCs/>
        </w:rPr>
        <w:t>zero_</w:t>
      </w:r>
      <w:r w:rsidRPr="00A52AB8">
        <w:rPr>
          <w:b/>
          <w:bCs/>
        </w:rPr>
        <w:t>5bits</w:t>
      </w:r>
      <w:r w:rsidRPr="00A52AB8">
        <w:rPr>
          <w:color w:val="000000" w:themeColor="text1"/>
        </w:rPr>
        <w:t xml:space="preserve"> </w:t>
      </w:r>
      <w:r w:rsidR="00CB7FDD" w:rsidRPr="00A52AB8">
        <w:rPr>
          <w:color w:val="000000" w:themeColor="text1"/>
        </w:rPr>
        <w:t xml:space="preserve">shall be equal to 0 in bitstreams conforming to this version of </w:t>
      </w:r>
      <w:r w:rsidR="001905CC" w:rsidRPr="00A52AB8">
        <w:rPr>
          <w:color w:val="000000" w:themeColor="text1"/>
        </w:rPr>
        <w:t>this document</w:t>
      </w:r>
      <w:r w:rsidR="00CB7FDD" w:rsidRPr="00A52AB8">
        <w:rPr>
          <w:color w:val="000000" w:themeColor="text1"/>
        </w:rPr>
        <w:t>. Other values for sshv_reserved_zero_5bits are reserved for future use by ISO/IEC. Decoders shall ignore the value of sshv_reserved_zero_5bits</w:t>
      </w:r>
      <w:r w:rsidRPr="00A52AB8">
        <w:rPr>
          <w:color w:val="000000" w:themeColor="text1"/>
        </w:rPr>
        <w:t>.</w:t>
      </w:r>
    </w:p>
    <w:p w14:paraId="368CD9F1" w14:textId="73DF0214" w:rsidR="002300FF" w:rsidRPr="00A52AB8" w:rsidRDefault="002300FF">
      <w:pPr>
        <w:pStyle w:val="a3"/>
        <w:numPr>
          <w:ilvl w:val="2"/>
          <w:numId w:val="19"/>
        </w:numPr>
      </w:pPr>
      <w:bookmarkStart w:id="5004" w:name="_Toc52181682"/>
      <w:r w:rsidRPr="00A52AB8">
        <w:t xml:space="preserve">Sample stream </w:t>
      </w:r>
      <w:r w:rsidR="00134F81" w:rsidRPr="00A52AB8">
        <w:t>V3C</w:t>
      </w:r>
      <w:r w:rsidRPr="00A52AB8">
        <w:t xml:space="preserve"> unit semantics</w:t>
      </w:r>
      <w:bookmarkEnd w:id="5004"/>
    </w:p>
    <w:p w14:paraId="5491BC34" w14:textId="4998C370" w:rsidR="00700C86" w:rsidRPr="00A52AB8" w:rsidRDefault="00700C86">
      <w:r w:rsidRPr="00A52AB8">
        <w:t xml:space="preserve">The order of sample stream </w:t>
      </w:r>
      <w:r w:rsidR="00134F81" w:rsidRPr="00A52AB8">
        <w:t>V3C</w:t>
      </w:r>
      <w:r w:rsidRPr="00A52AB8">
        <w:t xml:space="preserve"> units in the sample stream shall follow the decoding order of the </w:t>
      </w:r>
      <w:r w:rsidR="00134F81" w:rsidRPr="00A52AB8">
        <w:t>V3C</w:t>
      </w:r>
      <w:r w:rsidRPr="00A52AB8">
        <w:t xml:space="preserve"> units contained in the sample stream </w:t>
      </w:r>
      <w:r w:rsidR="00134F81" w:rsidRPr="00A52AB8">
        <w:t>V3C</w:t>
      </w:r>
      <w:r w:rsidRPr="00A52AB8">
        <w:t xml:space="preserve"> units (see </w:t>
      </w:r>
      <w:r w:rsidR="00406A86" w:rsidRPr="00A52AB8">
        <w:t>subclause</w:t>
      </w:r>
      <w:r w:rsidR="003A2433" w:rsidRPr="00A52AB8">
        <w:t xml:space="preserve"> </w:t>
      </w:r>
      <w:r w:rsidR="007E0D6B" w:rsidRPr="00496A4D">
        <w:fldChar w:fldCharType="begin"/>
      </w:r>
      <w:r w:rsidR="007E0D6B" w:rsidRPr="00A52AB8">
        <w:instrText xml:space="preserve"> REF _Ref41393257 \r \h  \* MERGEFORMAT </w:instrText>
      </w:r>
      <w:r w:rsidR="007E0D6B" w:rsidRPr="00496A4D">
        <w:fldChar w:fldCharType="separate"/>
      </w:r>
      <w:r w:rsidR="00507A67">
        <w:t>8.4.2.5.3</w:t>
      </w:r>
      <w:r w:rsidR="007E0D6B" w:rsidRPr="00496A4D">
        <w:fldChar w:fldCharType="end"/>
      </w:r>
      <w:r w:rsidRPr="00A52AB8">
        <w:t>).</w:t>
      </w:r>
    </w:p>
    <w:p w14:paraId="75EE05EE" w14:textId="6BA185CC" w:rsidR="00CB7FDD" w:rsidRPr="00A52AB8" w:rsidRDefault="00CB7FDD">
      <w:pPr>
        <w:rPr>
          <w:color w:val="000000" w:themeColor="text1"/>
        </w:rPr>
      </w:pPr>
      <w:r w:rsidRPr="00A52AB8">
        <w:rPr>
          <w:b/>
          <w:bCs/>
        </w:rPr>
        <w:t>ssvu_</w:t>
      </w:r>
      <w:r w:rsidR="00461888" w:rsidRPr="00A52AB8">
        <w:rPr>
          <w:b/>
          <w:bCs/>
        </w:rPr>
        <w:t>v3c_</w:t>
      </w:r>
      <w:r w:rsidRPr="00A52AB8">
        <w:rPr>
          <w:b/>
          <w:bCs/>
        </w:rPr>
        <w:t xml:space="preserve">unit_size </w:t>
      </w:r>
      <w:r w:rsidRPr="00A52AB8">
        <w:rPr>
          <w:color w:val="000000" w:themeColor="text1"/>
        </w:rPr>
        <w:t xml:space="preserve">specifies the size, in bytes, of the subsequent </w:t>
      </w:r>
      <w:r w:rsidR="00461888" w:rsidRPr="00A52AB8">
        <w:rPr>
          <w:color w:val="000000" w:themeColor="text1"/>
        </w:rPr>
        <w:t>v3c_</w:t>
      </w:r>
      <w:r w:rsidRPr="00A52AB8">
        <w:rPr>
          <w:color w:val="000000" w:themeColor="text1"/>
        </w:rPr>
        <w:t xml:space="preserve">unit. The number of bits used to represent </w:t>
      </w:r>
      <w:r w:rsidRPr="00A52AB8">
        <w:rPr>
          <w:bCs/>
        </w:rPr>
        <w:t>ssvu_</w:t>
      </w:r>
      <w:r w:rsidR="00B44D43" w:rsidRPr="00A52AB8">
        <w:rPr>
          <w:bCs/>
        </w:rPr>
        <w:t>v3c_</w:t>
      </w:r>
      <w:r w:rsidRPr="00A52AB8">
        <w:rPr>
          <w:bCs/>
        </w:rPr>
        <w:t xml:space="preserve">unit_size is equal to </w:t>
      </w:r>
      <w:r w:rsidR="00CE01AE" w:rsidRPr="00A52AB8">
        <w:rPr>
          <w:bCs/>
        </w:rPr>
        <w:t>(</w:t>
      </w:r>
      <w:r w:rsidR="001000C2" w:rsidRPr="00A52AB8">
        <w:rPr>
          <w:bCs/>
        </w:rPr>
        <w:t> </w:t>
      </w:r>
      <w:r w:rsidR="00CE01AE" w:rsidRPr="00A52AB8">
        <w:rPr>
          <w:bCs/>
        </w:rPr>
        <w:t>ssvh_unit_size_precision_bytes_minus1</w:t>
      </w:r>
      <w:r w:rsidR="001000C2" w:rsidRPr="00A52AB8">
        <w:rPr>
          <w:bCs/>
        </w:rPr>
        <w:t> </w:t>
      </w:r>
      <w:r w:rsidR="00CE01AE" w:rsidRPr="00A52AB8">
        <w:rPr>
          <w:bCs/>
        </w:rPr>
        <w:t>+</w:t>
      </w:r>
      <w:r w:rsidR="001000C2" w:rsidRPr="00A52AB8">
        <w:rPr>
          <w:bCs/>
        </w:rPr>
        <w:t> </w:t>
      </w:r>
      <w:r w:rsidR="00CE01AE" w:rsidRPr="00A52AB8">
        <w:rPr>
          <w:bCs/>
        </w:rPr>
        <w:t>1</w:t>
      </w:r>
      <w:r w:rsidR="001000C2" w:rsidRPr="00A52AB8">
        <w:rPr>
          <w:bCs/>
        </w:rPr>
        <w:t> </w:t>
      </w:r>
      <w:r w:rsidR="00CE01AE" w:rsidRPr="00A52AB8">
        <w:rPr>
          <w:bCs/>
        </w:rPr>
        <w:t>)</w:t>
      </w:r>
      <w:r w:rsidR="001000C2" w:rsidRPr="00A52AB8">
        <w:rPr>
          <w:bCs/>
        </w:rPr>
        <w:t> </w:t>
      </w:r>
      <w:r w:rsidR="00CE01AE" w:rsidRPr="00A52AB8">
        <w:rPr>
          <w:bCs/>
        </w:rPr>
        <w:t>*</w:t>
      </w:r>
      <w:r w:rsidR="001000C2" w:rsidRPr="00A52AB8">
        <w:rPr>
          <w:bCs/>
        </w:rPr>
        <w:t> </w:t>
      </w:r>
      <w:r w:rsidR="00CE01AE" w:rsidRPr="00A52AB8">
        <w:rPr>
          <w:bCs/>
        </w:rPr>
        <w:t>8</w:t>
      </w:r>
      <w:r w:rsidRPr="00A52AB8">
        <w:rPr>
          <w:color w:val="000000" w:themeColor="text1"/>
        </w:rPr>
        <w:t>.</w:t>
      </w:r>
    </w:p>
    <w:p w14:paraId="47668302" w14:textId="77777777" w:rsidR="00297F40" w:rsidRPr="00A52AB8" w:rsidRDefault="00297F40">
      <w:pPr>
        <w:pStyle w:val="ANNEX"/>
        <w:numPr>
          <w:ilvl w:val="0"/>
          <w:numId w:val="19"/>
        </w:numPr>
        <w:rPr>
          <w:color w:val="000000" w:themeColor="text1"/>
        </w:rPr>
      </w:pPr>
      <w:r w:rsidRPr="00A52AB8">
        <w:rPr>
          <w:color w:val="000000" w:themeColor="text1"/>
        </w:rPr>
        <w:br/>
      </w:r>
      <w:bookmarkStart w:id="5005" w:name="_Ref38894988"/>
      <w:bookmarkStart w:id="5006" w:name="_Toc52181683"/>
      <w:r w:rsidR="004A1806" w:rsidRPr="00A52AB8">
        <w:rPr>
          <w:color w:val="000000" w:themeColor="text1"/>
        </w:rPr>
        <w:t>(normative)</w:t>
      </w:r>
      <w:r w:rsidRPr="00A52AB8">
        <w:rPr>
          <w:color w:val="000000" w:themeColor="text1"/>
        </w:rPr>
        <w:br/>
      </w:r>
      <w:bookmarkStart w:id="5007" w:name="_Ref19022738"/>
      <w:bookmarkStart w:id="5008" w:name="_Ref19025138"/>
      <w:r w:rsidRPr="00A52AB8">
        <w:rPr>
          <w:color w:val="000000" w:themeColor="text1"/>
        </w:rPr>
        <w:t xml:space="preserve">NAL </w:t>
      </w:r>
      <w:r w:rsidR="004A1806" w:rsidRPr="00A52AB8">
        <w:rPr>
          <w:color w:val="000000" w:themeColor="text1"/>
        </w:rPr>
        <w:t xml:space="preserve">sample </w:t>
      </w:r>
      <w:r w:rsidRPr="00A52AB8">
        <w:rPr>
          <w:color w:val="000000" w:themeColor="text1"/>
        </w:rPr>
        <w:t>stream format</w:t>
      </w:r>
      <w:bookmarkEnd w:id="5005"/>
      <w:bookmarkEnd w:id="5006"/>
      <w:bookmarkEnd w:id="5007"/>
      <w:bookmarkEnd w:id="5008"/>
    </w:p>
    <w:p w14:paraId="42BCADD5" w14:textId="77777777" w:rsidR="00297F40" w:rsidRPr="00A52AB8" w:rsidRDefault="00297F40">
      <w:pPr>
        <w:pStyle w:val="a2"/>
        <w:numPr>
          <w:ilvl w:val="1"/>
          <w:numId w:val="19"/>
        </w:numPr>
        <w:rPr>
          <w:color w:val="000000" w:themeColor="text1"/>
        </w:rPr>
      </w:pPr>
      <w:bookmarkStart w:id="5009" w:name="_Toc38891774"/>
      <w:bookmarkStart w:id="5010" w:name="_Toc39426371"/>
      <w:bookmarkStart w:id="5011" w:name="_Toc42730178"/>
      <w:bookmarkStart w:id="5012" w:name="_Toc45105640"/>
      <w:bookmarkStart w:id="5013" w:name="_Toc45530499"/>
      <w:bookmarkStart w:id="5014" w:name="_Toc46301862"/>
      <w:bookmarkStart w:id="5015" w:name="_Toc46302687"/>
      <w:bookmarkStart w:id="5016" w:name="_Toc52181684"/>
      <w:bookmarkEnd w:id="5009"/>
      <w:bookmarkEnd w:id="5010"/>
      <w:bookmarkEnd w:id="5011"/>
      <w:bookmarkEnd w:id="5012"/>
      <w:bookmarkEnd w:id="5013"/>
      <w:bookmarkEnd w:id="5014"/>
      <w:bookmarkEnd w:id="5015"/>
      <w:r w:rsidRPr="00A52AB8">
        <w:rPr>
          <w:color w:val="000000" w:themeColor="text1"/>
        </w:rPr>
        <w:t>General</w:t>
      </w:r>
      <w:bookmarkEnd w:id="5016"/>
    </w:p>
    <w:p w14:paraId="5B659081" w14:textId="77777777" w:rsidR="00297F40" w:rsidRPr="00A52AB8" w:rsidRDefault="00297F40">
      <w:r w:rsidRPr="00A52AB8">
        <w:t>This annex specifies syntax and semantics of a sample stream format specified for use by applications that deliver some or all of the atlas NAL unit stream as an ordered stream of bytes or bits within which the locations of atlas NAL unit boundaries need to be identifiable from patterns in the data, such as Rec. ITU-T H.222.0 | ISO/IEC 13818-1 systems or Recommendation ITU</w:t>
      </w:r>
      <w:r w:rsidRPr="00A52AB8">
        <w:noBreakHyphen/>
        <w:t>T H.320 systems. For bit-oriented delivery, the bit order for the sample stream format is specified to start with the MSB of the first byte, proceed to the LSB of the first byte, followed by the MSB of the second byte, etc.</w:t>
      </w:r>
    </w:p>
    <w:p w14:paraId="626593AE" w14:textId="06C99252" w:rsidR="00297F40" w:rsidRPr="00A52AB8" w:rsidRDefault="00297F40">
      <w:r w:rsidRPr="00A52AB8">
        <w:t xml:space="preserve">The sample stream format starts with a sample stream header and consists of a sequence of sample stream NAL unit syntax structures. Each sample stream NAL unit syntax structure contains one element, named </w:t>
      </w:r>
      <w:r w:rsidRPr="00A52AB8">
        <w:rPr>
          <w:bCs/>
        </w:rPr>
        <w:t>ssnu_nal_unit_size,</w:t>
      </w:r>
      <w:r w:rsidRPr="00A52AB8">
        <w:rPr>
          <w:b/>
          <w:bCs/>
        </w:rPr>
        <w:t xml:space="preserve"> </w:t>
      </w:r>
      <w:r w:rsidRPr="00A52AB8">
        <w:t>that specifies a size, followed by one nal_unit( </w:t>
      </w:r>
      <w:r w:rsidRPr="00A52AB8">
        <w:rPr>
          <w:bCs/>
        </w:rPr>
        <w:t>ssnu_nal_unit_size</w:t>
      </w:r>
      <w:r w:rsidR="00EE4AB0" w:rsidRPr="00A52AB8">
        <w:rPr>
          <w:bCs/>
        </w:rPr>
        <w:t> </w:t>
      </w:r>
      <w:r w:rsidRPr="00A52AB8">
        <w:t xml:space="preserve">) syntax structure. This nal_unit is essentially of size </w:t>
      </w:r>
      <w:r w:rsidRPr="00A52AB8">
        <w:rPr>
          <w:bCs/>
        </w:rPr>
        <w:t>ssnu_nal_unit_size</w:t>
      </w:r>
      <w:r w:rsidRPr="00A52AB8">
        <w:t xml:space="preserve">. The number of bits used to encode the element </w:t>
      </w:r>
      <w:r w:rsidRPr="00A52AB8">
        <w:rPr>
          <w:bCs/>
        </w:rPr>
        <w:t xml:space="preserve">ssnu_nal_unit_size is specified in the </w:t>
      </w:r>
      <w:r w:rsidRPr="00A52AB8">
        <w:t>sample stream header.</w:t>
      </w:r>
    </w:p>
    <w:p w14:paraId="6DDF6CD9" w14:textId="77777777" w:rsidR="00620D6A" w:rsidRPr="00A52AB8" w:rsidRDefault="00620D6A">
      <w:pPr>
        <w:pStyle w:val="a2"/>
        <w:numPr>
          <w:ilvl w:val="1"/>
          <w:numId w:val="19"/>
        </w:numPr>
        <w:rPr>
          <w:color w:val="000000" w:themeColor="text1"/>
        </w:rPr>
      </w:pPr>
      <w:bookmarkStart w:id="5017" w:name="_Toc52181685"/>
      <w:r w:rsidRPr="00A52AB8">
        <w:rPr>
          <w:color w:val="000000" w:themeColor="text1"/>
        </w:rPr>
        <w:t>Sample stream NAL unit syntax and semantics</w:t>
      </w:r>
      <w:bookmarkEnd w:id="5017"/>
    </w:p>
    <w:p w14:paraId="2F5FBD97" w14:textId="77777777" w:rsidR="00620D6A" w:rsidRPr="00A52AB8" w:rsidRDefault="00620D6A">
      <w:pPr>
        <w:pStyle w:val="a3"/>
        <w:numPr>
          <w:ilvl w:val="2"/>
          <w:numId w:val="19"/>
        </w:numPr>
        <w:rPr>
          <w:color w:val="000000" w:themeColor="text1"/>
        </w:rPr>
      </w:pPr>
      <w:bookmarkStart w:id="5018" w:name="_Toc52181686"/>
      <w:r w:rsidRPr="00A52AB8">
        <w:t>Sample stream NAL header syntax</w:t>
      </w:r>
      <w:bookmarkEnd w:id="5018"/>
    </w:p>
    <w:tbl>
      <w:tblPr>
        <w:tblStyle w:val="GridTable1Light"/>
        <w:tblW w:w="5000" w:type="pct"/>
        <w:tblLook w:val="0000" w:firstRow="0" w:lastRow="0" w:firstColumn="0" w:lastColumn="0" w:noHBand="0" w:noVBand="0"/>
      </w:tblPr>
      <w:tblGrid>
        <w:gridCol w:w="8411"/>
        <w:gridCol w:w="1331"/>
      </w:tblGrid>
      <w:tr w:rsidR="00620D6A" w:rsidRPr="00A52AB8" w14:paraId="6ED60956" w14:textId="77777777" w:rsidTr="00A252B5">
        <w:trPr>
          <w:trHeight w:val="92"/>
        </w:trPr>
        <w:tc>
          <w:tcPr>
            <w:tcW w:w="7921" w:type="dxa"/>
          </w:tcPr>
          <w:p w14:paraId="06F90DF8" w14:textId="6FDEBF3E" w:rsidR="00620D6A" w:rsidRPr="00A52AB8" w:rsidRDefault="00620D6A">
            <w:pPr>
              <w:pStyle w:val="Default"/>
              <w:rPr>
                <w:rFonts w:ascii="Cambria" w:hAnsi="Cambria"/>
                <w:sz w:val="20"/>
                <w:szCs w:val="20"/>
                <w:lang w:val="en-CA"/>
              </w:rPr>
            </w:pPr>
            <w:r w:rsidRPr="00A52AB8">
              <w:rPr>
                <w:rFonts w:ascii="Cambria" w:hAnsi="Cambria"/>
                <w:sz w:val="20"/>
                <w:szCs w:val="20"/>
                <w:lang w:val="en-CA"/>
              </w:rPr>
              <w:t>sample_stream_nal_header</w:t>
            </w:r>
            <w:r w:rsidR="00395064" w:rsidRPr="00A52AB8">
              <w:rPr>
                <w:rFonts w:ascii="Cambria" w:hAnsi="Cambria"/>
                <w:sz w:val="20"/>
                <w:szCs w:val="20"/>
                <w:lang w:val="en-CA"/>
              </w:rPr>
              <w:t>( )</w:t>
            </w:r>
            <w:r w:rsidR="008F1F82" w:rsidRPr="00A52AB8">
              <w:rPr>
                <w:rFonts w:ascii="Cambria" w:hAnsi="Cambria"/>
                <w:sz w:val="20"/>
                <w:szCs w:val="20"/>
                <w:lang w:val="en-CA"/>
              </w:rPr>
              <w:t> {</w:t>
            </w:r>
            <w:r w:rsidRPr="00A52AB8">
              <w:rPr>
                <w:rFonts w:ascii="Cambria" w:hAnsi="Cambria"/>
                <w:sz w:val="20"/>
                <w:szCs w:val="20"/>
                <w:lang w:val="en-CA"/>
              </w:rPr>
              <w:t xml:space="preserve"> </w:t>
            </w:r>
          </w:p>
        </w:tc>
        <w:tc>
          <w:tcPr>
            <w:tcW w:w="1253" w:type="dxa"/>
          </w:tcPr>
          <w:p w14:paraId="1B999AD8" w14:textId="77777777" w:rsidR="00620D6A" w:rsidRPr="00A52AB8" w:rsidRDefault="00620D6A">
            <w:pPr>
              <w:pStyle w:val="Default"/>
              <w:jc w:val="center"/>
              <w:rPr>
                <w:rFonts w:ascii="Cambria" w:hAnsi="Cambria"/>
                <w:b/>
                <w:bCs/>
                <w:sz w:val="20"/>
                <w:szCs w:val="20"/>
                <w:lang w:val="en-CA"/>
              </w:rPr>
            </w:pPr>
            <w:r w:rsidRPr="00A52AB8">
              <w:rPr>
                <w:rFonts w:ascii="Cambria" w:hAnsi="Cambria"/>
                <w:b/>
                <w:bCs/>
                <w:sz w:val="20"/>
                <w:szCs w:val="20"/>
                <w:lang w:val="en-CA"/>
              </w:rPr>
              <w:t>Descriptor</w:t>
            </w:r>
          </w:p>
        </w:tc>
      </w:tr>
      <w:tr w:rsidR="00620D6A" w:rsidRPr="00A52AB8" w14:paraId="3962ADAB" w14:textId="77777777" w:rsidTr="00A252B5">
        <w:trPr>
          <w:trHeight w:val="90"/>
        </w:trPr>
        <w:tc>
          <w:tcPr>
            <w:tcW w:w="7921" w:type="dxa"/>
          </w:tcPr>
          <w:p w14:paraId="24312347" w14:textId="77777777" w:rsidR="00620D6A" w:rsidRPr="00A52AB8" w:rsidRDefault="00620D6A">
            <w:pPr>
              <w:pStyle w:val="Default"/>
              <w:rPr>
                <w:rFonts w:ascii="Cambria" w:hAnsi="Cambria"/>
                <w:sz w:val="20"/>
                <w:szCs w:val="20"/>
                <w:lang w:val="en-CA"/>
              </w:rPr>
            </w:pPr>
            <w:r w:rsidRPr="00A52AB8">
              <w:rPr>
                <w:rFonts w:ascii="Cambria" w:hAnsi="Cambria"/>
                <w:b/>
                <w:bCs/>
                <w:sz w:val="20"/>
                <w:szCs w:val="20"/>
                <w:lang w:val="en-CA"/>
              </w:rPr>
              <w:tab/>
              <w:t>ssnh_unit_size_precision_bytes_minus1</w:t>
            </w:r>
          </w:p>
        </w:tc>
        <w:tc>
          <w:tcPr>
            <w:tcW w:w="1253" w:type="dxa"/>
          </w:tcPr>
          <w:p w14:paraId="0C23182A" w14:textId="77777777" w:rsidR="00620D6A" w:rsidRPr="00A52AB8" w:rsidRDefault="00620D6A">
            <w:pPr>
              <w:pStyle w:val="Default"/>
              <w:jc w:val="center"/>
              <w:rPr>
                <w:rFonts w:ascii="Cambria" w:hAnsi="Cambria"/>
                <w:sz w:val="20"/>
                <w:szCs w:val="20"/>
                <w:lang w:val="en-CA"/>
              </w:rPr>
            </w:pPr>
            <w:r w:rsidRPr="00A52AB8">
              <w:rPr>
                <w:rFonts w:ascii="Cambria" w:hAnsi="Cambria"/>
                <w:sz w:val="20"/>
                <w:szCs w:val="20"/>
                <w:lang w:val="en-CA"/>
              </w:rPr>
              <w:t>u(3)</w:t>
            </w:r>
          </w:p>
        </w:tc>
      </w:tr>
      <w:tr w:rsidR="00620D6A" w:rsidRPr="00A52AB8" w14:paraId="71BFC4BC" w14:textId="77777777" w:rsidTr="00A252B5">
        <w:trPr>
          <w:trHeight w:val="90"/>
        </w:trPr>
        <w:tc>
          <w:tcPr>
            <w:tcW w:w="7921" w:type="dxa"/>
          </w:tcPr>
          <w:p w14:paraId="19AD4B9F" w14:textId="77777777" w:rsidR="00620D6A" w:rsidRPr="00A52AB8" w:rsidRDefault="00620D6A">
            <w:pPr>
              <w:pStyle w:val="Default"/>
              <w:rPr>
                <w:rFonts w:ascii="Cambria" w:hAnsi="Cambria"/>
                <w:sz w:val="20"/>
                <w:szCs w:val="20"/>
                <w:lang w:val="en-CA"/>
              </w:rPr>
            </w:pPr>
            <w:r w:rsidRPr="00A52AB8">
              <w:rPr>
                <w:rFonts w:ascii="Cambria" w:hAnsi="Cambria"/>
                <w:b/>
                <w:bCs/>
                <w:sz w:val="20"/>
                <w:szCs w:val="20"/>
                <w:lang w:val="en-CA"/>
              </w:rPr>
              <w:tab/>
              <w:t>ssnh_reserved_zero_5bits</w:t>
            </w:r>
          </w:p>
        </w:tc>
        <w:tc>
          <w:tcPr>
            <w:tcW w:w="1253" w:type="dxa"/>
          </w:tcPr>
          <w:p w14:paraId="283AC5B7" w14:textId="77777777" w:rsidR="00620D6A" w:rsidRPr="00A52AB8" w:rsidRDefault="00620D6A">
            <w:pPr>
              <w:pStyle w:val="Default"/>
              <w:jc w:val="center"/>
              <w:rPr>
                <w:rFonts w:ascii="Cambria" w:hAnsi="Cambria"/>
                <w:sz w:val="20"/>
                <w:szCs w:val="20"/>
                <w:lang w:val="en-CA"/>
              </w:rPr>
            </w:pPr>
            <w:r w:rsidRPr="00A52AB8">
              <w:rPr>
                <w:rFonts w:ascii="Cambria" w:hAnsi="Cambria"/>
                <w:sz w:val="20"/>
                <w:szCs w:val="20"/>
                <w:lang w:val="en-CA"/>
              </w:rPr>
              <w:t>u(5)</w:t>
            </w:r>
          </w:p>
        </w:tc>
      </w:tr>
      <w:tr w:rsidR="00620D6A" w:rsidRPr="00A52AB8" w14:paraId="0DD28DA9" w14:textId="77777777" w:rsidTr="00A252B5">
        <w:trPr>
          <w:trHeight w:val="90"/>
        </w:trPr>
        <w:tc>
          <w:tcPr>
            <w:tcW w:w="7921" w:type="dxa"/>
          </w:tcPr>
          <w:p w14:paraId="64EB5688" w14:textId="77777777" w:rsidR="00620D6A" w:rsidRPr="00A52AB8" w:rsidRDefault="00620D6A">
            <w:pPr>
              <w:pStyle w:val="Default"/>
              <w:rPr>
                <w:rFonts w:ascii="Cambria" w:hAnsi="Cambria"/>
                <w:sz w:val="20"/>
                <w:szCs w:val="20"/>
                <w:lang w:val="en-CA"/>
              </w:rPr>
            </w:pPr>
            <w:r w:rsidRPr="00A52AB8">
              <w:rPr>
                <w:rFonts w:ascii="Cambria" w:hAnsi="Cambria"/>
                <w:sz w:val="20"/>
                <w:szCs w:val="20"/>
                <w:lang w:val="en-CA"/>
              </w:rPr>
              <w:t xml:space="preserve">} </w:t>
            </w:r>
          </w:p>
        </w:tc>
        <w:tc>
          <w:tcPr>
            <w:tcW w:w="1253" w:type="dxa"/>
          </w:tcPr>
          <w:p w14:paraId="33639186" w14:textId="77777777" w:rsidR="00620D6A" w:rsidRPr="00A52AB8" w:rsidRDefault="00620D6A">
            <w:pPr>
              <w:pStyle w:val="Default"/>
              <w:jc w:val="center"/>
              <w:rPr>
                <w:rFonts w:ascii="Cambria" w:hAnsi="Cambria"/>
                <w:sz w:val="20"/>
                <w:szCs w:val="20"/>
                <w:lang w:val="en-CA"/>
              </w:rPr>
            </w:pPr>
          </w:p>
        </w:tc>
      </w:tr>
    </w:tbl>
    <w:p w14:paraId="619146E9" w14:textId="77777777" w:rsidR="00620D6A" w:rsidRPr="00A52AB8" w:rsidRDefault="00620D6A">
      <w:pPr>
        <w:pStyle w:val="a3"/>
        <w:numPr>
          <w:ilvl w:val="2"/>
          <w:numId w:val="19"/>
        </w:numPr>
        <w:rPr>
          <w:b w:val="0"/>
        </w:rPr>
      </w:pPr>
      <w:bookmarkStart w:id="5019" w:name="_Toc52181687"/>
      <w:r w:rsidRPr="00A52AB8">
        <w:t>Sample stream NAL unit syntax</w:t>
      </w:r>
      <w:bookmarkEnd w:id="5019"/>
    </w:p>
    <w:tbl>
      <w:tblPr>
        <w:tblStyle w:val="GridTable1Light"/>
        <w:tblW w:w="5000" w:type="pct"/>
        <w:tblLook w:val="0000" w:firstRow="0" w:lastRow="0" w:firstColumn="0" w:lastColumn="0" w:noHBand="0" w:noVBand="0"/>
      </w:tblPr>
      <w:tblGrid>
        <w:gridCol w:w="8411"/>
        <w:gridCol w:w="1331"/>
      </w:tblGrid>
      <w:tr w:rsidR="00620D6A" w:rsidRPr="00A52AB8" w14:paraId="06BC2605" w14:textId="77777777" w:rsidTr="00A252B5">
        <w:trPr>
          <w:trHeight w:val="92"/>
        </w:trPr>
        <w:tc>
          <w:tcPr>
            <w:tcW w:w="7921" w:type="dxa"/>
          </w:tcPr>
          <w:p w14:paraId="1D5A5388" w14:textId="0883E895" w:rsidR="00620D6A" w:rsidRPr="00A52AB8" w:rsidRDefault="00620D6A">
            <w:pPr>
              <w:pStyle w:val="Default"/>
              <w:rPr>
                <w:rFonts w:ascii="Cambria" w:hAnsi="Cambria"/>
                <w:sz w:val="20"/>
                <w:szCs w:val="20"/>
                <w:lang w:val="en-CA"/>
              </w:rPr>
            </w:pPr>
            <w:r w:rsidRPr="00A52AB8">
              <w:rPr>
                <w:rFonts w:ascii="Cambria" w:hAnsi="Cambria"/>
                <w:sz w:val="20"/>
                <w:szCs w:val="20"/>
                <w:lang w:val="en-CA"/>
              </w:rPr>
              <w:t>sample_stream_nal_unit</w:t>
            </w:r>
            <w:r w:rsidR="00395064" w:rsidRPr="00A52AB8">
              <w:rPr>
                <w:rFonts w:ascii="Cambria" w:hAnsi="Cambria"/>
                <w:sz w:val="20"/>
                <w:szCs w:val="20"/>
                <w:lang w:val="en-CA"/>
              </w:rPr>
              <w:t>( )</w:t>
            </w:r>
            <w:r w:rsidR="008F1F82" w:rsidRPr="00A52AB8">
              <w:rPr>
                <w:rFonts w:ascii="Cambria" w:hAnsi="Cambria"/>
                <w:sz w:val="20"/>
                <w:szCs w:val="20"/>
                <w:lang w:val="en-CA"/>
              </w:rPr>
              <w:t> {</w:t>
            </w:r>
            <w:r w:rsidRPr="00A52AB8">
              <w:rPr>
                <w:rFonts w:ascii="Cambria" w:hAnsi="Cambria"/>
                <w:sz w:val="20"/>
                <w:szCs w:val="20"/>
                <w:lang w:val="en-CA"/>
              </w:rPr>
              <w:t xml:space="preserve"> </w:t>
            </w:r>
          </w:p>
        </w:tc>
        <w:tc>
          <w:tcPr>
            <w:tcW w:w="1253" w:type="dxa"/>
          </w:tcPr>
          <w:p w14:paraId="2D4337B0" w14:textId="77777777" w:rsidR="00620D6A" w:rsidRPr="00A52AB8" w:rsidRDefault="00620D6A">
            <w:pPr>
              <w:pStyle w:val="Default"/>
              <w:jc w:val="center"/>
              <w:rPr>
                <w:rFonts w:ascii="Cambria" w:hAnsi="Cambria"/>
                <w:b/>
                <w:bCs/>
                <w:sz w:val="20"/>
                <w:szCs w:val="20"/>
                <w:lang w:val="en-CA"/>
              </w:rPr>
            </w:pPr>
            <w:r w:rsidRPr="00A52AB8">
              <w:rPr>
                <w:rFonts w:ascii="Cambria" w:hAnsi="Cambria"/>
                <w:b/>
                <w:bCs/>
                <w:sz w:val="20"/>
                <w:szCs w:val="20"/>
                <w:lang w:val="en-CA"/>
              </w:rPr>
              <w:t>Descriptor</w:t>
            </w:r>
          </w:p>
        </w:tc>
      </w:tr>
      <w:tr w:rsidR="00620D6A" w:rsidRPr="00A52AB8" w14:paraId="4B61038B" w14:textId="77777777" w:rsidTr="00A252B5">
        <w:trPr>
          <w:trHeight w:val="90"/>
        </w:trPr>
        <w:tc>
          <w:tcPr>
            <w:tcW w:w="7921" w:type="dxa"/>
          </w:tcPr>
          <w:p w14:paraId="7B0B4170" w14:textId="77777777" w:rsidR="00620D6A" w:rsidRPr="00A52AB8" w:rsidRDefault="00620D6A">
            <w:pPr>
              <w:pStyle w:val="Default"/>
              <w:rPr>
                <w:rFonts w:ascii="Cambria" w:hAnsi="Cambria"/>
                <w:sz w:val="20"/>
                <w:szCs w:val="20"/>
                <w:lang w:val="en-CA"/>
              </w:rPr>
            </w:pPr>
            <w:r w:rsidRPr="00A52AB8">
              <w:rPr>
                <w:rFonts w:ascii="Cambria" w:hAnsi="Cambria"/>
                <w:b/>
                <w:bCs/>
                <w:sz w:val="20"/>
                <w:szCs w:val="20"/>
                <w:lang w:val="en-CA"/>
              </w:rPr>
              <w:tab/>
              <w:t xml:space="preserve">ssnu_nal_unit_size </w:t>
            </w:r>
          </w:p>
        </w:tc>
        <w:tc>
          <w:tcPr>
            <w:tcW w:w="1253" w:type="dxa"/>
          </w:tcPr>
          <w:p w14:paraId="79DA6BA8" w14:textId="77777777" w:rsidR="00620D6A" w:rsidRPr="00A52AB8" w:rsidRDefault="00620D6A">
            <w:pPr>
              <w:pStyle w:val="Default"/>
              <w:jc w:val="center"/>
              <w:rPr>
                <w:rFonts w:ascii="Cambria" w:hAnsi="Cambria"/>
                <w:sz w:val="20"/>
                <w:szCs w:val="20"/>
                <w:lang w:val="en-CA"/>
              </w:rPr>
            </w:pPr>
            <w:r w:rsidRPr="00A52AB8">
              <w:rPr>
                <w:rFonts w:ascii="Cambria" w:hAnsi="Cambria"/>
                <w:sz w:val="20"/>
                <w:szCs w:val="20"/>
                <w:lang w:val="en-CA"/>
              </w:rPr>
              <w:t>u(v)</w:t>
            </w:r>
          </w:p>
        </w:tc>
      </w:tr>
      <w:tr w:rsidR="00620D6A" w:rsidRPr="00A52AB8" w14:paraId="75C76B24" w14:textId="77777777" w:rsidTr="00A252B5">
        <w:trPr>
          <w:trHeight w:val="90"/>
        </w:trPr>
        <w:tc>
          <w:tcPr>
            <w:tcW w:w="7921" w:type="dxa"/>
          </w:tcPr>
          <w:p w14:paraId="63D1BA8B" w14:textId="77777777" w:rsidR="00620D6A" w:rsidRPr="00A52AB8" w:rsidRDefault="00620D6A">
            <w:pPr>
              <w:pStyle w:val="Default"/>
              <w:rPr>
                <w:rFonts w:ascii="Cambria" w:hAnsi="Cambria"/>
                <w:sz w:val="20"/>
                <w:szCs w:val="20"/>
                <w:lang w:val="en-CA"/>
              </w:rPr>
            </w:pPr>
            <w:r w:rsidRPr="00A52AB8">
              <w:rPr>
                <w:rFonts w:ascii="Cambria" w:hAnsi="Cambria"/>
                <w:sz w:val="20"/>
                <w:szCs w:val="20"/>
                <w:lang w:val="en-CA"/>
              </w:rPr>
              <w:tab/>
              <w:t>nal_unit(ssnu_</w:t>
            </w:r>
            <w:r w:rsidRPr="00A52AB8">
              <w:rPr>
                <w:rFonts w:ascii="Cambria" w:hAnsi="Cambria"/>
                <w:bCs/>
                <w:sz w:val="20"/>
                <w:szCs w:val="20"/>
                <w:lang w:val="en-CA"/>
              </w:rPr>
              <w:t>nal_unit_size</w:t>
            </w:r>
            <w:r w:rsidRPr="00A52AB8">
              <w:rPr>
                <w:rFonts w:ascii="Cambria" w:hAnsi="Cambria"/>
                <w:b/>
                <w:bCs/>
                <w:sz w:val="20"/>
                <w:szCs w:val="20"/>
                <w:lang w:val="en-CA"/>
              </w:rPr>
              <w:t xml:space="preserve"> </w:t>
            </w:r>
            <w:r w:rsidRPr="00A52AB8">
              <w:rPr>
                <w:rFonts w:ascii="Cambria" w:hAnsi="Cambria"/>
                <w:sz w:val="20"/>
                <w:szCs w:val="20"/>
                <w:lang w:val="en-CA"/>
              </w:rPr>
              <w:t xml:space="preserve">) </w:t>
            </w:r>
          </w:p>
        </w:tc>
        <w:tc>
          <w:tcPr>
            <w:tcW w:w="1253" w:type="dxa"/>
          </w:tcPr>
          <w:p w14:paraId="7FEE5889" w14:textId="77777777" w:rsidR="00620D6A" w:rsidRPr="00A52AB8" w:rsidRDefault="00620D6A">
            <w:pPr>
              <w:pStyle w:val="Default"/>
              <w:jc w:val="center"/>
              <w:rPr>
                <w:rFonts w:ascii="Cambria" w:hAnsi="Cambria"/>
                <w:sz w:val="20"/>
                <w:szCs w:val="20"/>
                <w:lang w:val="en-CA"/>
              </w:rPr>
            </w:pPr>
          </w:p>
        </w:tc>
      </w:tr>
      <w:tr w:rsidR="00620D6A" w:rsidRPr="00A52AB8" w14:paraId="7EB274ED" w14:textId="77777777" w:rsidTr="00A252B5">
        <w:trPr>
          <w:trHeight w:val="90"/>
        </w:trPr>
        <w:tc>
          <w:tcPr>
            <w:tcW w:w="7921" w:type="dxa"/>
          </w:tcPr>
          <w:p w14:paraId="7E662927" w14:textId="77777777" w:rsidR="00620D6A" w:rsidRPr="00A52AB8" w:rsidRDefault="00620D6A">
            <w:pPr>
              <w:pStyle w:val="Default"/>
              <w:rPr>
                <w:rFonts w:ascii="Cambria" w:hAnsi="Cambria"/>
                <w:sz w:val="20"/>
                <w:szCs w:val="20"/>
                <w:lang w:val="en-CA"/>
              </w:rPr>
            </w:pPr>
            <w:r w:rsidRPr="00A52AB8">
              <w:rPr>
                <w:rFonts w:ascii="Cambria" w:hAnsi="Cambria"/>
                <w:sz w:val="20"/>
                <w:szCs w:val="20"/>
                <w:lang w:val="en-CA"/>
              </w:rPr>
              <w:t xml:space="preserve">} </w:t>
            </w:r>
          </w:p>
        </w:tc>
        <w:tc>
          <w:tcPr>
            <w:tcW w:w="1253" w:type="dxa"/>
          </w:tcPr>
          <w:p w14:paraId="3045BEB8" w14:textId="77777777" w:rsidR="00620D6A" w:rsidRPr="00A52AB8" w:rsidRDefault="00620D6A">
            <w:pPr>
              <w:pStyle w:val="Default"/>
              <w:jc w:val="center"/>
              <w:rPr>
                <w:rFonts w:ascii="Cambria" w:hAnsi="Cambria"/>
                <w:sz w:val="20"/>
                <w:szCs w:val="20"/>
                <w:lang w:val="en-CA"/>
              </w:rPr>
            </w:pPr>
          </w:p>
        </w:tc>
      </w:tr>
    </w:tbl>
    <w:p w14:paraId="1F3CB15E" w14:textId="77777777" w:rsidR="00620D6A" w:rsidRPr="00A52AB8" w:rsidRDefault="00620D6A">
      <w:pPr>
        <w:pStyle w:val="a3"/>
        <w:numPr>
          <w:ilvl w:val="2"/>
          <w:numId w:val="19"/>
        </w:numPr>
      </w:pPr>
      <w:bookmarkStart w:id="5020" w:name="_Toc52181688"/>
      <w:r w:rsidRPr="00A52AB8">
        <w:t>Sample stream NAL header semantics</w:t>
      </w:r>
      <w:bookmarkEnd w:id="5020"/>
    </w:p>
    <w:p w14:paraId="766D33FE" w14:textId="77777777" w:rsidR="00620D6A" w:rsidRPr="00A52AB8" w:rsidRDefault="00620D6A">
      <w:pPr>
        <w:rPr>
          <w:lang w:eastAsia="ja-JP"/>
        </w:rPr>
      </w:pPr>
      <w:r w:rsidRPr="00A52AB8">
        <w:rPr>
          <w:lang w:eastAsia="ja-JP"/>
        </w:rPr>
        <w:t>The sample stream NAL header shall always be at the beginning of the NAL stream.</w:t>
      </w:r>
    </w:p>
    <w:p w14:paraId="5670971A" w14:textId="77777777" w:rsidR="00620D6A" w:rsidRPr="00A52AB8" w:rsidRDefault="00620D6A">
      <w:pPr>
        <w:rPr>
          <w:b/>
          <w:color w:val="000000" w:themeColor="text1"/>
        </w:rPr>
      </w:pPr>
      <w:r w:rsidRPr="00A52AB8">
        <w:rPr>
          <w:b/>
          <w:color w:val="000000" w:themeColor="text1"/>
        </w:rPr>
        <w:t>ssnh_unit_size_precision_bytes_minus1</w:t>
      </w:r>
      <w:r w:rsidRPr="00A52AB8">
        <w:rPr>
          <w:color w:val="000000" w:themeColor="text1"/>
        </w:rPr>
        <w:t xml:space="preserve"> plus 1 specifies the precision, in bytes, of the ssnu_nal_unit_size element in all sample stream NAL units. ssnh_unit_size_precision_bytes_minus1 shall be in the range of 0 to 7.</w:t>
      </w:r>
    </w:p>
    <w:p w14:paraId="257465B2" w14:textId="77777777" w:rsidR="0050235C" w:rsidRPr="00A52AB8" w:rsidRDefault="00620D6A">
      <w:pPr>
        <w:rPr>
          <w:color w:val="000000" w:themeColor="text1"/>
        </w:rPr>
      </w:pPr>
      <w:r w:rsidRPr="00A52AB8">
        <w:rPr>
          <w:b/>
          <w:bCs/>
        </w:rPr>
        <w:t>ssnh_reserved_zero_5bits</w:t>
      </w:r>
      <w:r w:rsidRPr="00A52AB8">
        <w:rPr>
          <w:color w:val="000000" w:themeColor="text1"/>
        </w:rPr>
        <w:t xml:space="preserve"> shall be equal to 0 in bitstreams conforming to this version of </w:t>
      </w:r>
      <w:r w:rsidR="001905CC" w:rsidRPr="00A52AB8">
        <w:rPr>
          <w:color w:val="000000" w:themeColor="text1"/>
        </w:rPr>
        <w:t>this document</w:t>
      </w:r>
      <w:r w:rsidRPr="00A52AB8">
        <w:rPr>
          <w:color w:val="000000" w:themeColor="text1"/>
        </w:rPr>
        <w:t>. Other values for ssnh_reserved_zero_5bits are reserved for future use by ISO/IEC. Decoders shall ignore the value of ssnh_reserved_zero_5bits.</w:t>
      </w:r>
    </w:p>
    <w:p w14:paraId="12BC3BF4" w14:textId="6CD0E880" w:rsidR="00620D6A" w:rsidRPr="00A52AB8" w:rsidRDefault="00620D6A">
      <w:pPr>
        <w:pStyle w:val="a3"/>
        <w:numPr>
          <w:ilvl w:val="2"/>
          <w:numId w:val="19"/>
        </w:numPr>
      </w:pPr>
      <w:bookmarkStart w:id="5021" w:name="_Toc52181689"/>
      <w:r w:rsidRPr="00A52AB8">
        <w:t>Sample stream NAL unit semantics</w:t>
      </w:r>
      <w:bookmarkEnd w:id="5021"/>
    </w:p>
    <w:p w14:paraId="5A54C3C0" w14:textId="130D5033" w:rsidR="00620D6A" w:rsidRPr="00A52AB8" w:rsidRDefault="00620D6A">
      <w:r w:rsidRPr="00A52AB8">
        <w:t xml:space="preserve">The order of sample stream NAL units in the sample stream shall follow the decoding order of the NAL units contained in the sample stream NAL units (see </w:t>
      </w:r>
      <w:r w:rsidR="00406A86" w:rsidRPr="00A52AB8">
        <w:t>subclause</w:t>
      </w:r>
      <w:r w:rsidRPr="00A52AB8">
        <w:t> </w:t>
      </w:r>
      <w:r w:rsidR="00EF6F4B" w:rsidRPr="00496A4D">
        <w:fldChar w:fldCharType="begin"/>
      </w:r>
      <w:r w:rsidR="00EF6F4B" w:rsidRPr="00A52AB8">
        <w:instrText xml:space="preserve"> REF _Ref36022522 \r \h </w:instrText>
      </w:r>
      <w:r w:rsidR="00CA5401" w:rsidRPr="00A52AB8">
        <w:instrText xml:space="preserve"> \* MERGEFORMAT </w:instrText>
      </w:r>
      <w:r w:rsidR="00EF6F4B" w:rsidRPr="00496A4D">
        <w:fldChar w:fldCharType="separate"/>
      </w:r>
      <w:r w:rsidR="00507A67">
        <w:t>8.4.5.3</w:t>
      </w:r>
      <w:r w:rsidR="00EF6F4B" w:rsidRPr="00496A4D">
        <w:fldChar w:fldCharType="end"/>
      </w:r>
      <w:r w:rsidRPr="00A52AB8">
        <w:t>). The content of each sample stream NAL unit is associated with the same</w:t>
      </w:r>
      <w:r w:rsidR="001000C2" w:rsidRPr="00A52AB8">
        <w:t xml:space="preserve"> coded atlas</w:t>
      </w:r>
      <w:r w:rsidRPr="00A52AB8">
        <w:t xml:space="preserve"> access unit as the NAL unit contained in the sample stream NAL unit (see </w:t>
      </w:r>
      <w:r w:rsidR="00406A86" w:rsidRPr="00A52AB8">
        <w:t>subclause</w:t>
      </w:r>
      <w:r w:rsidRPr="00A52AB8">
        <w:t> </w:t>
      </w:r>
      <w:r w:rsidR="00EF6F4B" w:rsidRPr="00496A4D">
        <w:fldChar w:fldCharType="begin"/>
      </w:r>
      <w:r w:rsidR="00EF6F4B" w:rsidRPr="00A52AB8">
        <w:instrText xml:space="preserve"> REF _Ref36022522 \r \h </w:instrText>
      </w:r>
      <w:r w:rsidR="00CA5401" w:rsidRPr="00A52AB8">
        <w:instrText xml:space="preserve"> \* MERGEFORMAT </w:instrText>
      </w:r>
      <w:r w:rsidR="00EF6F4B" w:rsidRPr="00496A4D">
        <w:fldChar w:fldCharType="separate"/>
      </w:r>
      <w:r w:rsidR="00507A67">
        <w:t>8.4.5.3</w:t>
      </w:r>
      <w:r w:rsidR="00EF6F4B" w:rsidRPr="00496A4D">
        <w:fldChar w:fldCharType="end"/>
      </w:r>
      <w:r w:rsidRPr="00A52AB8">
        <w:t>).</w:t>
      </w:r>
    </w:p>
    <w:p w14:paraId="05C4BF06" w14:textId="77777777" w:rsidR="0050235C" w:rsidRPr="00A52AB8" w:rsidRDefault="00620D6A">
      <w:pPr>
        <w:rPr>
          <w:color w:val="000000" w:themeColor="text1"/>
        </w:rPr>
      </w:pPr>
      <w:r w:rsidRPr="00A52AB8">
        <w:rPr>
          <w:b/>
          <w:bCs/>
        </w:rPr>
        <w:t xml:space="preserve">ssnu_nal_unit_size </w:t>
      </w:r>
      <w:r w:rsidRPr="00A52AB8">
        <w:rPr>
          <w:color w:val="000000" w:themeColor="text1"/>
        </w:rPr>
        <w:t xml:space="preserve">specifies the size, in bytes, of the subsequent NAL_unit. The number of bits used to represent </w:t>
      </w:r>
      <w:r w:rsidRPr="00A52AB8">
        <w:rPr>
          <w:bCs/>
        </w:rPr>
        <w:t>ssnu_nal_unit_size is equal to (</w:t>
      </w:r>
      <w:r w:rsidR="00E47885" w:rsidRPr="00A52AB8">
        <w:rPr>
          <w:bCs/>
        </w:rPr>
        <w:t> </w:t>
      </w:r>
      <w:r w:rsidRPr="00A52AB8">
        <w:rPr>
          <w:bCs/>
        </w:rPr>
        <w:t>ssnh_unit_size_precision_bytes_minus1</w:t>
      </w:r>
      <w:r w:rsidR="00E47885" w:rsidRPr="00A52AB8">
        <w:rPr>
          <w:bCs/>
        </w:rPr>
        <w:t> </w:t>
      </w:r>
      <w:r w:rsidRPr="00A52AB8">
        <w:rPr>
          <w:bCs/>
        </w:rPr>
        <w:t>+</w:t>
      </w:r>
      <w:r w:rsidR="00E47885" w:rsidRPr="00A52AB8">
        <w:rPr>
          <w:bCs/>
        </w:rPr>
        <w:t> </w:t>
      </w:r>
      <w:r w:rsidRPr="00A52AB8">
        <w:rPr>
          <w:bCs/>
        </w:rPr>
        <w:t>1</w:t>
      </w:r>
      <w:r w:rsidR="00E47885" w:rsidRPr="00A52AB8">
        <w:rPr>
          <w:bCs/>
        </w:rPr>
        <w:t> </w:t>
      </w:r>
      <w:r w:rsidRPr="00A52AB8">
        <w:rPr>
          <w:bCs/>
        </w:rPr>
        <w:t>)</w:t>
      </w:r>
      <w:r w:rsidR="00E47885" w:rsidRPr="00A52AB8">
        <w:rPr>
          <w:bCs/>
        </w:rPr>
        <w:t> </w:t>
      </w:r>
      <w:r w:rsidRPr="00A52AB8">
        <w:rPr>
          <w:bCs/>
        </w:rPr>
        <w:t>*</w:t>
      </w:r>
      <w:r w:rsidR="003644C6" w:rsidRPr="00A52AB8">
        <w:rPr>
          <w:bCs/>
        </w:rPr>
        <w:t> </w:t>
      </w:r>
      <w:r w:rsidRPr="00A52AB8">
        <w:rPr>
          <w:bCs/>
        </w:rPr>
        <w:t>8</w:t>
      </w:r>
      <w:r w:rsidRPr="00A52AB8">
        <w:rPr>
          <w:color w:val="000000" w:themeColor="text1"/>
        </w:rPr>
        <w:t>.</w:t>
      </w:r>
    </w:p>
    <w:p w14:paraId="25042928" w14:textId="7D6E266A" w:rsidR="006F4732" w:rsidRPr="00A52AB8" w:rsidRDefault="006F4732">
      <w:pPr>
        <w:tabs>
          <w:tab w:val="clear" w:pos="403"/>
        </w:tabs>
        <w:spacing w:after="0" w:line="240" w:lineRule="auto"/>
        <w:jc w:val="left"/>
        <w:rPr>
          <w:color w:val="000000" w:themeColor="text1"/>
        </w:rPr>
      </w:pPr>
      <w:r w:rsidRPr="00A52AB8">
        <w:rPr>
          <w:color w:val="000000" w:themeColor="text1"/>
        </w:rPr>
        <w:br w:type="page"/>
      </w:r>
    </w:p>
    <w:p w14:paraId="2BABB834" w14:textId="77777777" w:rsidR="008164D3" w:rsidRPr="00A52AB8" w:rsidRDefault="008164D3">
      <w:pPr>
        <w:pStyle w:val="ANNEX"/>
        <w:numPr>
          <w:ilvl w:val="0"/>
          <w:numId w:val="19"/>
        </w:numPr>
        <w:rPr>
          <w:color w:val="000000" w:themeColor="text1"/>
        </w:rPr>
      </w:pPr>
      <w:r w:rsidRPr="00A52AB8">
        <w:rPr>
          <w:color w:val="000000" w:themeColor="text1"/>
        </w:rPr>
        <w:br/>
      </w:r>
      <w:bookmarkStart w:id="5022" w:name="_Ref47861695"/>
      <w:bookmarkStart w:id="5023" w:name="_Ref47882108"/>
      <w:bookmarkStart w:id="5024" w:name="_Toc52181690"/>
      <w:r w:rsidR="00646270" w:rsidRPr="00A52AB8">
        <w:rPr>
          <w:color w:val="000000" w:themeColor="text1"/>
        </w:rPr>
        <w:t>(normative)</w:t>
      </w:r>
      <w:r w:rsidRPr="00A52AB8">
        <w:rPr>
          <w:color w:val="000000" w:themeColor="text1"/>
        </w:rPr>
        <w:br/>
      </w:r>
      <w:bookmarkStart w:id="5025" w:name="_Ref21527634"/>
      <w:r w:rsidR="00FD3B5D" w:rsidRPr="00A52AB8">
        <w:rPr>
          <w:color w:val="000000" w:themeColor="text1"/>
        </w:rPr>
        <w:t xml:space="preserve">Atlas </w:t>
      </w:r>
      <w:r w:rsidR="00646270" w:rsidRPr="00A52AB8">
        <w:rPr>
          <w:color w:val="000000" w:themeColor="text1"/>
        </w:rPr>
        <w:t>h</w:t>
      </w:r>
      <w:r w:rsidR="00FD3B5D" w:rsidRPr="00A52AB8">
        <w:rPr>
          <w:color w:val="000000" w:themeColor="text1"/>
        </w:rPr>
        <w:t xml:space="preserve">ypothetical </w:t>
      </w:r>
      <w:r w:rsidR="00646270" w:rsidRPr="00A52AB8">
        <w:rPr>
          <w:color w:val="000000" w:themeColor="text1"/>
        </w:rPr>
        <w:t>r</w:t>
      </w:r>
      <w:r w:rsidR="00FD3B5D" w:rsidRPr="00A52AB8">
        <w:rPr>
          <w:color w:val="000000" w:themeColor="text1"/>
        </w:rPr>
        <w:t xml:space="preserve">eference </w:t>
      </w:r>
      <w:r w:rsidR="00646270" w:rsidRPr="00A52AB8">
        <w:rPr>
          <w:color w:val="000000" w:themeColor="text1"/>
        </w:rPr>
        <w:t>d</w:t>
      </w:r>
      <w:r w:rsidR="00FD3B5D" w:rsidRPr="00A52AB8">
        <w:rPr>
          <w:color w:val="000000" w:themeColor="text1"/>
        </w:rPr>
        <w:t>ecoder</w:t>
      </w:r>
      <w:bookmarkEnd w:id="5022"/>
      <w:bookmarkEnd w:id="5023"/>
      <w:bookmarkEnd w:id="5024"/>
      <w:bookmarkEnd w:id="5025"/>
    </w:p>
    <w:p w14:paraId="75C66B9B" w14:textId="77777777" w:rsidR="008164D3" w:rsidRPr="00A52AB8" w:rsidRDefault="008164D3">
      <w:pPr>
        <w:pStyle w:val="a2"/>
        <w:numPr>
          <w:ilvl w:val="1"/>
          <w:numId w:val="19"/>
        </w:numPr>
        <w:rPr>
          <w:color w:val="000000" w:themeColor="text1"/>
        </w:rPr>
      </w:pPr>
      <w:bookmarkStart w:id="5026" w:name="_Toc38891782"/>
      <w:bookmarkStart w:id="5027" w:name="_Toc39426379"/>
      <w:bookmarkStart w:id="5028" w:name="_Toc42730186"/>
      <w:bookmarkStart w:id="5029" w:name="_Toc45105648"/>
      <w:bookmarkStart w:id="5030" w:name="_Toc45530507"/>
      <w:bookmarkStart w:id="5031" w:name="_Toc46301870"/>
      <w:bookmarkStart w:id="5032" w:name="_Toc46302695"/>
      <w:bookmarkStart w:id="5033" w:name="_Ref21515777"/>
      <w:bookmarkStart w:id="5034" w:name="_Ref21516270"/>
      <w:bookmarkStart w:id="5035" w:name="_Ref21516292"/>
      <w:bookmarkStart w:id="5036" w:name="_Ref21517038"/>
      <w:bookmarkStart w:id="5037" w:name="_Ref21517201"/>
      <w:bookmarkStart w:id="5038" w:name="_Ref21518052"/>
      <w:bookmarkStart w:id="5039" w:name="_Ref21518067"/>
      <w:bookmarkStart w:id="5040" w:name="_Ref21518085"/>
      <w:bookmarkStart w:id="5041" w:name="_Ref21518261"/>
      <w:bookmarkStart w:id="5042" w:name="_Ref21518322"/>
      <w:bookmarkStart w:id="5043" w:name="_Ref21519285"/>
      <w:bookmarkStart w:id="5044" w:name="_Toc52181691"/>
      <w:bookmarkEnd w:id="5026"/>
      <w:bookmarkEnd w:id="5027"/>
      <w:bookmarkEnd w:id="5028"/>
      <w:bookmarkEnd w:id="5029"/>
      <w:bookmarkEnd w:id="5030"/>
      <w:bookmarkEnd w:id="5031"/>
      <w:bookmarkEnd w:id="5032"/>
      <w:r w:rsidRPr="00A52AB8">
        <w:rPr>
          <w:color w:val="000000" w:themeColor="text1"/>
        </w:rPr>
        <w:t>General</w:t>
      </w:r>
      <w:bookmarkEnd w:id="5033"/>
      <w:bookmarkEnd w:id="5034"/>
      <w:bookmarkEnd w:id="5035"/>
      <w:bookmarkEnd w:id="5036"/>
      <w:bookmarkEnd w:id="5037"/>
      <w:bookmarkEnd w:id="5038"/>
      <w:bookmarkEnd w:id="5039"/>
      <w:bookmarkEnd w:id="5040"/>
      <w:bookmarkEnd w:id="5041"/>
      <w:bookmarkEnd w:id="5042"/>
      <w:bookmarkEnd w:id="5043"/>
      <w:bookmarkEnd w:id="5044"/>
    </w:p>
    <w:p w14:paraId="581B1128" w14:textId="7D24E0A9" w:rsidR="001E7DB6" w:rsidRPr="00A52AB8" w:rsidRDefault="001E7DB6">
      <w:bookmarkStart w:id="5045" w:name="_Hlk21492359"/>
      <w:bookmarkStart w:id="5046" w:name="_Toc20134513"/>
      <w:bookmarkStart w:id="5047" w:name="_Ref19432892"/>
      <w:bookmarkStart w:id="5048" w:name="_Ref19428481"/>
      <w:bookmarkStart w:id="5049" w:name="_Toc15444306"/>
      <w:bookmarkStart w:id="5050" w:name="_Toc12699181"/>
      <w:bookmarkStart w:id="5051" w:name="_Toc12684721"/>
      <w:bookmarkStart w:id="5052" w:name="_Toc12253740"/>
      <w:bookmarkStart w:id="5053" w:name="_Toc9042149"/>
      <w:r w:rsidRPr="00A52AB8">
        <w:t xml:space="preserve">This annex specifies the hypothetical reference decoder (HRD) and its use to check </w:t>
      </w:r>
      <w:r w:rsidR="003B6AC7" w:rsidRPr="00A52AB8">
        <w:t>atlas</w:t>
      </w:r>
      <w:r w:rsidRPr="00A52AB8">
        <w:t xml:space="preserve"> </w:t>
      </w:r>
      <w:r w:rsidR="00220378" w:rsidRPr="00A52AB8">
        <w:t>sub-</w:t>
      </w:r>
      <w:r w:rsidRPr="00A52AB8">
        <w:t>bitstream and decoder conformance.</w:t>
      </w:r>
      <w:r w:rsidR="00A7373D" w:rsidRPr="00A52AB8">
        <w:t xml:space="preserve"> In this section, a bitstream refers to an atlas sub-bitstream unless otherwise indicated. </w:t>
      </w:r>
    </w:p>
    <w:p w14:paraId="216E06B9" w14:textId="53BF7DFF" w:rsidR="001E7DB6" w:rsidRPr="00A52AB8" w:rsidRDefault="00E453A5">
      <w:r w:rsidRPr="00A52AB8">
        <w:t>Two types of bitstreams or bitstream subsets are subject to HRD conformance checking for this document. The first type, called a Type I bitstream, is a NAL unit stream containing the ACL NAL units and non-ACL NAL units with nal_unit_type equal to NAL_FD (filler data NAL units) for all coded atlas access units in the atlas sub-bitstream. The second type, called a Type II bitstream, is a NAL unit stream contain</w:t>
      </w:r>
      <w:r w:rsidR="00971BE8" w:rsidRPr="00A52AB8">
        <w:t>s, in addition to</w:t>
      </w:r>
      <w:r w:rsidRPr="00A52AB8">
        <w:t xml:space="preserve"> the ACL NAL units and </w:t>
      </w:r>
      <w:r w:rsidR="00342D7B" w:rsidRPr="00A52AB8">
        <w:t xml:space="preserve">and filler data NAL units for </w:t>
      </w:r>
      <w:r w:rsidRPr="00A52AB8">
        <w:t>all coded atlas access units in the atlas sub</w:t>
      </w:r>
      <w:r w:rsidR="00A7373D" w:rsidRPr="00A52AB8">
        <w:noBreakHyphen/>
      </w:r>
      <w:r w:rsidRPr="00A52AB8">
        <w:t>bitstream</w:t>
      </w:r>
      <w:r w:rsidR="00971BE8" w:rsidRPr="00A52AB8">
        <w:t>, at least one of the following:</w:t>
      </w:r>
    </w:p>
    <w:p w14:paraId="7ECDFA93" w14:textId="75A69028" w:rsidR="00342D7B" w:rsidRPr="00A52AB8" w:rsidRDefault="00342D7B" w:rsidP="00342D7B">
      <w:pPr>
        <w:pStyle w:val="ListParagraph"/>
        <w:numPr>
          <w:ilvl w:val="0"/>
          <w:numId w:val="308"/>
        </w:numPr>
        <w:ind w:leftChars="0"/>
      </w:pPr>
      <w:r w:rsidRPr="00A52AB8">
        <w:t>additional non-ACL NAL units other than filler data NAL units,</w:t>
      </w:r>
    </w:p>
    <w:p w14:paraId="66D3C5BA" w14:textId="1C1CBA61" w:rsidR="00342D7B" w:rsidRPr="00A52AB8" w:rsidRDefault="00342D7B" w:rsidP="00342D7B">
      <w:pPr>
        <w:pStyle w:val="ListParagraph"/>
        <w:numPr>
          <w:ilvl w:val="0"/>
          <w:numId w:val="308"/>
        </w:numPr>
        <w:ind w:leftChars="0"/>
      </w:pPr>
      <w:r w:rsidRPr="00A52AB8">
        <w:t>the sample stream nal header structure syntax elements, ssnh_unit_size_precision_bytes_minus1</w:t>
      </w:r>
    </w:p>
    <w:p w14:paraId="11F549CB" w14:textId="74183116" w:rsidR="00342D7B" w:rsidRPr="00A52AB8" w:rsidRDefault="00342D7B" w:rsidP="00D451D4">
      <w:pPr>
        <w:pStyle w:val="ListParagraph"/>
        <w:ind w:leftChars="0" w:left="317"/>
      </w:pPr>
      <w:r w:rsidRPr="00A52AB8">
        <w:t xml:space="preserve">and ssnh_reserved_zero_5bits, and all ssnu_nal_unit_size syntax elements that form a NAL sample stream from the NAL unit stream (as specified in </w:t>
      </w:r>
      <w:r w:rsidRPr="00496A4D">
        <w:fldChar w:fldCharType="begin"/>
      </w:r>
      <w:r w:rsidRPr="00A52AB8">
        <w:instrText xml:space="preserve"> REF _Ref38894988 \n \h </w:instrText>
      </w:r>
      <w:r w:rsidR="008F69D5" w:rsidRPr="00A52AB8">
        <w:instrText xml:space="preserve"> \* MERGEFORMAT </w:instrText>
      </w:r>
      <w:r w:rsidRPr="00496A4D">
        <w:fldChar w:fldCharType="separate"/>
      </w:r>
      <w:r w:rsidR="00507A67">
        <w:t>Annex D</w:t>
      </w:r>
      <w:r w:rsidRPr="00496A4D">
        <w:fldChar w:fldCharType="end"/>
      </w:r>
      <w:r w:rsidRPr="00A52AB8">
        <w:t xml:space="preserve">). </w:t>
      </w:r>
    </w:p>
    <w:bookmarkEnd w:id="5045"/>
    <w:p w14:paraId="15049CDC" w14:textId="08B52988" w:rsidR="001E7DB6" w:rsidRPr="00A52AB8" w:rsidRDefault="0015327C">
      <w:r w:rsidRPr="00496A4D">
        <w:fldChar w:fldCharType="begin"/>
      </w:r>
      <w:r w:rsidRPr="00A52AB8">
        <w:instrText xml:space="preserve"> REF _Ref49257883 \h </w:instrText>
      </w:r>
      <w:r w:rsidR="00007BE2" w:rsidRPr="00A52AB8">
        <w:instrText xml:space="preserve"> \* MERGEFORMAT </w:instrText>
      </w:r>
      <w:r w:rsidRPr="00496A4D">
        <w:fldChar w:fldCharType="separate"/>
      </w:r>
      <w:r w:rsidR="00507A67" w:rsidRPr="00A52AB8">
        <w:rPr>
          <w:rFonts w:cs="Calibri"/>
        </w:rPr>
        <w:t xml:space="preserve">Figure </w:t>
      </w:r>
      <w:r w:rsidR="00507A67" w:rsidRPr="00507A67">
        <w:rPr>
          <w:rFonts w:cs="Calibri"/>
          <w:bCs/>
        </w:rPr>
        <w:t>E-</w:t>
      </w:r>
      <w:r w:rsidR="00507A67">
        <w:rPr>
          <w:rFonts w:cs="Calibri"/>
          <w:bCs/>
        </w:rPr>
        <w:t>1</w:t>
      </w:r>
      <w:r w:rsidRPr="00496A4D">
        <w:fldChar w:fldCharType="end"/>
      </w:r>
      <w:r w:rsidRPr="00A52AB8">
        <w:t xml:space="preserve"> </w:t>
      </w:r>
      <w:r w:rsidR="001E7DB6" w:rsidRPr="00A52AB8">
        <w:t xml:space="preserve">shows the types of bitstream conformance points checked by the </w:t>
      </w:r>
      <w:r w:rsidR="00EC6861" w:rsidRPr="00A52AB8">
        <w:t>a</w:t>
      </w:r>
      <w:r w:rsidR="001E7DB6" w:rsidRPr="00A52AB8">
        <w:t>tlas sub-bitstream HRD.</w:t>
      </w:r>
    </w:p>
    <w:p w14:paraId="6D02597E" w14:textId="77777777" w:rsidR="00145478" w:rsidRPr="00A52AB8" w:rsidRDefault="00145478" w:rsidP="00A252B5">
      <w:pPr>
        <w:jc w:val="center"/>
      </w:pPr>
      <w:r w:rsidRPr="00496A4D">
        <w:rPr>
          <w:noProof/>
        </w:rPr>
        <w:drawing>
          <wp:inline distT="0" distB="0" distL="0" distR="0" wp14:anchorId="4743022D" wp14:editId="70B74C0A">
            <wp:extent cx="3669410" cy="1880382"/>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3690294" cy="1891084"/>
                    </a:xfrm>
                    <a:prstGeom prst="rect">
                      <a:avLst/>
                    </a:prstGeom>
                  </pic:spPr>
                </pic:pic>
              </a:graphicData>
            </a:graphic>
          </wp:inline>
        </w:drawing>
      </w:r>
    </w:p>
    <w:p w14:paraId="0E30321C" w14:textId="2E298C22" w:rsidR="001E7DB6" w:rsidRPr="00A52AB8" w:rsidRDefault="00CD634C" w:rsidP="004A7026">
      <w:pPr>
        <w:pStyle w:val="Caption"/>
        <w:keepNext w:val="0"/>
        <w:rPr>
          <w:rFonts w:ascii="Cambria" w:hAnsi="Cambria"/>
          <w:bCs w:val="0"/>
        </w:rPr>
      </w:pPr>
      <w:bookmarkStart w:id="5054" w:name="_Ref49257883"/>
      <w:bookmarkStart w:id="5055" w:name="_Ref33101618"/>
      <w:bookmarkStart w:id="5056" w:name="_Toc32860602"/>
      <w:bookmarkStart w:id="5057" w:name="_Toc503770542"/>
      <w:bookmarkStart w:id="5058" w:name="_Toc501130536"/>
      <w:bookmarkStart w:id="5059" w:name="_Toc423603383"/>
      <w:bookmarkStart w:id="5060" w:name="_Toc423602747"/>
      <w:bookmarkStart w:id="5061" w:name="_Toc415476416"/>
      <w:bookmarkStart w:id="5062" w:name="_Toc317198641"/>
      <w:bookmarkStart w:id="5063" w:name="_Toc287363914"/>
      <w:bookmarkStart w:id="5064" w:name="_Toc246350667"/>
      <w:bookmarkStart w:id="5065" w:name="_Toc77680711"/>
      <w:r w:rsidRPr="00A52AB8">
        <w:rPr>
          <w:rFonts w:ascii="Cambria" w:hAnsi="Cambria" w:cs="Calibri"/>
        </w:rPr>
        <w:t xml:space="preserve">Figure </w:t>
      </w:r>
      <w:r w:rsidRPr="00A52AB8">
        <w:rPr>
          <w:rFonts w:ascii="Cambria" w:hAnsi="Cambria" w:cs="Calibri"/>
          <w:bCs w:val="0"/>
        </w:rPr>
        <w:t>E-</w:t>
      </w:r>
      <w:r w:rsidRPr="00496A4D">
        <w:rPr>
          <w:rFonts w:ascii="Cambria" w:hAnsi="Cambria" w:cs="Calibri"/>
          <w:bCs w:val="0"/>
        </w:rPr>
        <w:fldChar w:fldCharType="begin"/>
      </w:r>
      <w:r w:rsidRPr="00A52AB8">
        <w:rPr>
          <w:rFonts w:ascii="Cambria" w:hAnsi="Cambria" w:cs="Calibri"/>
          <w:bCs w:val="0"/>
        </w:rPr>
        <w:instrText xml:space="preserve"> SEQ Figure \* ARABIC \r 1</w:instrText>
      </w:r>
      <w:r w:rsidRPr="00496A4D">
        <w:rPr>
          <w:rFonts w:ascii="Cambria" w:hAnsi="Cambria" w:cs="Calibri"/>
          <w:bCs w:val="0"/>
        </w:rPr>
        <w:fldChar w:fldCharType="separate"/>
      </w:r>
      <w:r w:rsidR="00507A67">
        <w:rPr>
          <w:rFonts w:ascii="Cambria" w:hAnsi="Cambria" w:cs="Calibri"/>
          <w:bCs w:val="0"/>
          <w:noProof/>
        </w:rPr>
        <w:t>1</w:t>
      </w:r>
      <w:r w:rsidRPr="00496A4D">
        <w:rPr>
          <w:rFonts w:ascii="Cambria" w:hAnsi="Cambria" w:cs="Calibri"/>
          <w:bCs w:val="0"/>
        </w:rPr>
        <w:fldChar w:fldCharType="end"/>
      </w:r>
      <w:bookmarkEnd w:id="5054"/>
      <w:r w:rsidRPr="00A52AB8">
        <w:rPr>
          <w:rFonts w:ascii="Cambria" w:hAnsi="Cambria" w:cs="Calibri"/>
          <w:bCs w:val="0"/>
        </w:rPr>
        <w:t> </w:t>
      </w:r>
      <w:r w:rsidRPr="00A52AB8">
        <w:rPr>
          <w:rFonts w:ascii="Cambria" w:hAnsi="Cambria"/>
        </w:rPr>
        <w:t>– Structure of atlas NAL unit streams for HRD conformance checks</w:t>
      </w:r>
      <w:bookmarkEnd w:id="5055"/>
      <w:bookmarkEnd w:id="5056"/>
      <w:bookmarkEnd w:id="5057"/>
      <w:bookmarkEnd w:id="5058"/>
      <w:bookmarkEnd w:id="5059"/>
      <w:bookmarkEnd w:id="5060"/>
      <w:bookmarkEnd w:id="5061"/>
      <w:bookmarkEnd w:id="5062"/>
      <w:bookmarkEnd w:id="5063"/>
      <w:bookmarkEnd w:id="5064"/>
      <w:bookmarkEnd w:id="5065"/>
    </w:p>
    <w:p w14:paraId="69FF0F0C" w14:textId="1D6656F0" w:rsidR="001E7DB6" w:rsidRPr="00A52AB8" w:rsidRDefault="00E453A5">
      <w:r w:rsidRPr="00A52AB8">
        <w:t xml:space="preserve">The syntax elements of non-ACL NAL units and their default values, when applicable, required for the HRD, are specified in </w:t>
      </w:r>
      <w:r w:rsidR="003144BB" w:rsidRPr="00A52AB8">
        <w:t>C</w:t>
      </w:r>
      <w:r w:rsidR="0086472B" w:rsidRPr="00A52AB8">
        <w:t>lause</w:t>
      </w:r>
      <w:r w:rsidR="001E7DB6" w:rsidRPr="00A52AB8">
        <w:t> </w:t>
      </w:r>
      <w:r w:rsidR="004461AB" w:rsidRPr="00496A4D">
        <w:fldChar w:fldCharType="begin"/>
      </w:r>
      <w:r w:rsidR="004461AB" w:rsidRPr="00A52AB8">
        <w:instrText xml:space="preserve"> REF _Ref326740334 \r \h </w:instrText>
      </w:r>
      <w:r w:rsidR="00025423" w:rsidRPr="00A52AB8">
        <w:instrText xml:space="preserve"> \* MERGEFORMAT </w:instrText>
      </w:r>
      <w:r w:rsidR="004461AB" w:rsidRPr="00496A4D">
        <w:fldChar w:fldCharType="separate"/>
      </w:r>
      <w:r w:rsidR="00507A67">
        <w:t>8</w:t>
      </w:r>
      <w:r w:rsidR="004461AB" w:rsidRPr="00496A4D">
        <w:fldChar w:fldCharType="end"/>
      </w:r>
      <w:r w:rsidR="00DD3D6F" w:rsidRPr="00A52AB8">
        <w:t xml:space="preserve">, </w:t>
      </w:r>
      <w:r w:rsidR="004461AB" w:rsidRPr="00496A4D">
        <w:fldChar w:fldCharType="begin"/>
      </w:r>
      <w:r w:rsidR="004461AB" w:rsidRPr="00A52AB8">
        <w:instrText xml:space="preserve"> REF _Ref7723976 \r \h </w:instrText>
      </w:r>
      <w:r w:rsidR="00025423" w:rsidRPr="00A52AB8">
        <w:instrText xml:space="preserve"> \* MERGEFORMAT </w:instrText>
      </w:r>
      <w:r w:rsidR="004461AB" w:rsidRPr="00496A4D">
        <w:fldChar w:fldCharType="separate"/>
      </w:r>
      <w:r w:rsidR="00507A67">
        <w:t>Annex F</w:t>
      </w:r>
      <w:r w:rsidR="004461AB" w:rsidRPr="00496A4D">
        <w:fldChar w:fldCharType="end"/>
      </w:r>
      <w:r w:rsidR="00A7373D" w:rsidRPr="00A52AB8">
        <w:t>,</w:t>
      </w:r>
      <w:r w:rsidR="00DD3D6F" w:rsidRPr="00A52AB8">
        <w:t xml:space="preserve"> and </w:t>
      </w:r>
      <w:r w:rsidR="00DD3D6F" w:rsidRPr="00496A4D">
        <w:fldChar w:fldCharType="begin"/>
      </w:r>
      <w:r w:rsidR="00DD3D6F" w:rsidRPr="00A52AB8">
        <w:instrText xml:space="preserve"> REF _Ref44624602 \n \h </w:instrText>
      </w:r>
      <w:r w:rsidR="007478BA" w:rsidRPr="00A52AB8">
        <w:instrText xml:space="preserve"> \* MERGEFORMAT </w:instrText>
      </w:r>
      <w:r w:rsidR="00DD3D6F" w:rsidRPr="00496A4D">
        <w:fldChar w:fldCharType="separate"/>
      </w:r>
      <w:r w:rsidR="00507A67">
        <w:t>Annex G</w:t>
      </w:r>
      <w:r w:rsidR="00DD3D6F" w:rsidRPr="00496A4D">
        <w:fldChar w:fldCharType="end"/>
      </w:r>
      <w:r w:rsidR="001E7DB6" w:rsidRPr="00A52AB8">
        <w:t>.</w:t>
      </w:r>
    </w:p>
    <w:p w14:paraId="4DCF972D" w14:textId="245D3F38" w:rsidR="00580671" w:rsidRPr="00A52AB8" w:rsidRDefault="001E7DB6">
      <w:r w:rsidRPr="00A52AB8">
        <w:t xml:space="preserve">Two types of HRD parameter sets (NAL HRD parameters and non-ACL HRD parameters) are used. The HRD parameter sets are signalled through the </w:t>
      </w:r>
      <w:r w:rsidR="004461AB" w:rsidRPr="00A52AB8">
        <w:t>hrd</w:t>
      </w:r>
      <w:r w:rsidRPr="00A52AB8">
        <w:t>_paramet</w:t>
      </w:r>
      <w:r w:rsidR="004461AB" w:rsidRPr="00A52AB8">
        <w:t>e</w:t>
      </w:r>
      <w:r w:rsidRPr="00A52AB8">
        <w:t>r</w:t>
      </w:r>
      <w:r w:rsidR="004461AB" w:rsidRPr="00A52AB8">
        <w:t>s</w:t>
      </w:r>
      <w:r w:rsidRPr="00A52AB8">
        <w:t xml:space="preserve">( ) syntax structure, which is part of the </w:t>
      </w:r>
      <w:r w:rsidR="004461AB" w:rsidRPr="00A52AB8">
        <w:t>VUI</w:t>
      </w:r>
      <w:r w:rsidRPr="00A52AB8">
        <w:t xml:space="preserve"> syntax structure</w:t>
      </w:r>
      <w:r w:rsidR="0016204E" w:rsidRPr="00A52AB8">
        <w:t xml:space="preserve"> </w:t>
      </w:r>
      <w:r w:rsidR="00E453A5" w:rsidRPr="00A52AB8">
        <w:t xml:space="preserve">specified </w:t>
      </w:r>
      <w:r w:rsidR="0016204E" w:rsidRPr="00A52AB8">
        <w:t xml:space="preserve">in </w:t>
      </w:r>
      <w:r w:rsidR="0016204E" w:rsidRPr="00496A4D">
        <w:fldChar w:fldCharType="begin"/>
      </w:r>
      <w:r w:rsidR="0016204E" w:rsidRPr="00A52AB8">
        <w:instrText xml:space="preserve"> REF _Ref44624602 \r \h  \* MERGEFORMAT </w:instrText>
      </w:r>
      <w:r w:rsidR="0016204E" w:rsidRPr="00496A4D">
        <w:fldChar w:fldCharType="separate"/>
      </w:r>
      <w:r w:rsidR="00507A67">
        <w:t>Annex G</w:t>
      </w:r>
      <w:r w:rsidR="0016204E" w:rsidRPr="00496A4D">
        <w:fldChar w:fldCharType="end"/>
      </w:r>
      <w:r w:rsidR="001B386F" w:rsidRPr="00A52AB8">
        <w:t xml:space="preserve"> and the buffering period SEI message specified in sub</w:t>
      </w:r>
      <w:r w:rsidR="00B95C43" w:rsidRPr="00A52AB8">
        <w:t>clauses</w:t>
      </w:r>
      <w:r w:rsidR="001B386F" w:rsidRPr="00A52AB8">
        <w:t xml:space="preserve"> </w:t>
      </w:r>
      <w:r w:rsidR="001B386F" w:rsidRPr="00496A4D">
        <w:fldChar w:fldCharType="begin"/>
      </w:r>
      <w:r w:rsidR="001B386F" w:rsidRPr="00A52AB8">
        <w:instrText xml:space="preserve"> REF _Ref49347702 \n \h </w:instrText>
      </w:r>
      <w:r w:rsidR="007478BA" w:rsidRPr="00A52AB8">
        <w:instrText xml:space="preserve"> \* MERGEFORMAT </w:instrText>
      </w:r>
      <w:r w:rsidR="001B386F" w:rsidRPr="00496A4D">
        <w:fldChar w:fldCharType="separate"/>
      </w:r>
      <w:r w:rsidR="00507A67">
        <w:t>F.2.13</w:t>
      </w:r>
      <w:r w:rsidR="001B386F" w:rsidRPr="00496A4D">
        <w:fldChar w:fldCharType="end"/>
      </w:r>
      <w:r w:rsidR="00B95C43" w:rsidRPr="00A52AB8">
        <w:t xml:space="preserve"> and </w:t>
      </w:r>
      <w:r w:rsidR="001B386F" w:rsidRPr="00496A4D">
        <w:fldChar w:fldCharType="begin"/>
      </w:r>
      <w:r w:rsidR="001B386F" w:rsidRPr="00A52AB8">
        <w:instrText xml:space="preserve"> REF _Ref50980632 \n \h </w:instrText>
      </w:r>
      <w:r w:rsidR="007478BA" w:rsidRPr="00A52AB8">
        <w:instrText xml:space="preserve"> \* MERGEFORMAT </w:instrText>
      </w:r>
      <w:r w:rsidR="001B386F" w:rsidRPr="00496A4D">
        <w:fldChar w:fldCharType="separate"/>
      </w:r>
      <w:r w:rsidR="00507A67">
        <w:t>F.3.13</w:t>
      </w:r>
      <w:r w:rsidR="001B386F" w:rsidRPr="00496A4D">
        <w:fldChar w:fldCharType="end"/>
      </w:r>
      <w:r w:rsidRPr="00A52AB8">
        <w:t>.</w:t>
      </w:r>
      <w:r w:rsidR="007041FD" w:rsidRPr="00A52AB8">
        <w:t xml:space="preserve"> </w:t>
      </w:r>
      <w:r w:rsidR="00580671" w:rsidRPr="00A52AB8">
        <w:t>The first set</w:t>
      </w:r>
      <w:r w:rsidR="007041FD" w:rsidRPr="00A52AB8">
        <w:t>, named as the entireBitstreamTestSet,</w:t>
      </w:r>
      <w:r w:rsidR="00580671" w:rsidRPr="00A52AB8">
        <w:t xml:space="preserve"> is to test conformance of the entire bitstream. The second set</w:t>
      </w:r>
      <w:r w:rsidR="007041FD" w:rsidRPr="00A52AB8">
        <w:t>, name</w:t>
      </w:r>
      <w:r w:rsidR="003A7974" w:rsidRPr="00A52AB8">
        <w:t>d</w:t>
      </w:r>
      <w:r w:rsidR="007041FD" w:rsidRPr="00A52AB8">
        <w:t xml:space="preserve"> as ACLTestSet,</w:t>
      </w:r>
      <w:r w:rsidR="00580671" w:rsidRPr="00A52AB8">
        <w:t xml:space="preserve"> is to test conformance of the bitstream </w:t>
      </w:r>
      <w:r w:rsidR="007041FD" w:rsidRPr="00A52AB8">
        <w:t>without including</w:t>
      </w:r>
      <w:r w:rsidR="00580671" w:rsidRPr="00A52AB8">
        <w:t xml:space="preserve"> non-ACL units since they </w:t>
      </w:r>
      <w:r w:rsidR="007041FD" w:rsidRPr="00A52AB8">
        <w:t>may</w:t>
      </w:r>
      <w:r w:rsidR="00580671" w:rsidRPr="00A52AB8">
        <w:t xml:space="preserve"> not impact the decoding process</w:t>
      </w:r>
      <w:r w:rsidR="007041FD" w:rsidRPr="00A52AB8">
        <w:t xml:space="preserve"> or may be provided through external means</w:t>
      </w:r>
      <w:r w:rsidR="00580671" w:rsidRPr="00A52AB8">
        <w:t>.</w:t>
      </w:r>
    </w:p>
    <w:p w14:paraId="564C1515" w14:textId="0ABFA0EA" w:rsidR="001E7DB6" w:rsidRPr="00A52AB8" w:rsidRDefault="001E7DB6">
      <w:r w:rsidRPr="00A52AB8">
        <w:t>Multiple tests may be needed for checking the conformance of a</w:t>
      </w:r>
      <w:r w:rsidR="004461AB" w:rsidRPr="00A52AB8">
        <w:t>n</w:t>
      </w:r>
      <w:r w:rsidRPr="00A52AB8">
        <w:t xml:space="preserve"> </w:t>
      </w:r>
      <w:r w:rsidR="004461AB" w:rsidRPr="00A52AB8">
        <w:t>atlas</w:t>
      </w:r>
      <w:r w:rsidRPr="00A52AB8">
        <w:t xml:space="preserve"> sub-bitstream, </w:t>
      </w:r>
      <w:r w:rsidR="00E453A5" w:rsidRPr="00A52AB8">
        <w:rPr>
          <w:color w:val="000000" w:themeColor="text1"/>
        </w:rPr>
        <w:t>AtlasBitstreamToDecode,</w:t>
      </w:r>
      <w:r w:rsidR="00E453A5" w:rsidRPr="00A52AB8">
        <w:t xml:space="preserve"> </w:t>
      </w:r>
      <w:r w:rsidRPr="00A52AB8">
        <w:t>which is referred to as the bitstream under test. For each test, the following steps apply in the order listed:</w:t>
      </w:r>
    </w:p>
    <w:p w14:paraId="51AA8718" w14:textId="7A49747D" w:rsidR="0049473B" w:rsidRPr="00A52AB8" w:rsidRDefault="001E7DB6" w:rsidP="00007BE2">
      <w:pPr>
        <w:numPr>
          <w:ilvl w:val="0"/>
          <w:numId w:val="187"/>
        </w:numPr>
        <w:ind w:left="760" w:hanging="357"/>
        <w:rPr>
          <w:color w:val="000000" w:themeColor="text1"/>
        </w:rPr>
      </w:pPr>
      <w:r w:rsidRPr="00A52AB8">
        <w:rPr>
          <w:color w:val="000000" w:themeColor="text1"/>
        </w:rPr>
        <w:t>An operation point under test, denoted as TargetOp, is set by selecting a target highest Temporal</w:t>
      </w:r>
      <w:r w:rsidR="007812ED" w:rsidRPr="00A52AB8">
        <w:rPr>
          <w:color w:val="000000" w:themeColor="text1"/>
        </w:rPr>
        <w:t xml:space="preserve">ID </w:t>
      </w:r>
      <w:r w:rsidRPr="00A52AB8">
        <w:rPr>
          <w:color w:val="000000" w:themeColor="text1"/>
        </w:rPr>
        <w:t>value OpTid</w:t>
      </w:r>
      <w:r w:rsidR="0049473B" w:rsidRPr="00A52AB8">
        <w:rPr>
          <w:color w:val="000000" w:themeColor="text1"/>
        </w:rPr>
        <w:t>.</w:t>
      </w:r>
      <w:r w:rsidR="00032E71" w:rsidRPr="00A52AB8">
        <w:rPr>
          <w:color w:val="000000" w:themeColor="text1"/>
        </w:rPr>
        <w:t xml:space="preserve"> </w:t>
      </w:r>
      <w:r w:rsidR="0090442C" w:rsidRPr="00A52AB8">
        <w:t xml:space="preserve">The value of OpTid is in the range of 0 to </w:t>
      </w:r>
      <w:r w:rsidR="0090442C" w:rsidRPr="00A52AB8">
        <w:rPr>
          <w:lang w:eastAsia="ko-KR"/>
        </w:rPr>
        <w:t>bp_max_sub_layers_minus1</w:t>
      </w:r>
      <w:r w:rsidR="0090442C" w:rsidRPr="00A52AB8">
        <w:t>, inclusive</w:t>
      </w:r>
      <w:r w:rsidR="0049473B" w:rsidRPr="00A52AB8">
        <w:t>.</w:t>
      </w:r>
      <w:r w:rsidR="0090442C" w:rsidRPr="00A52AB8">
        <w:rPr>
          <w:color w:val="000000" w:themeColor="text1"/>
        </w:rPr>
        <w:t xml:space="preserve"> </w:t>
      </w:r>
      <w:r w:rsidR="0049473B" w:rsidRPr="00A52AB8">
        <w:rPr>
          <w:color w:val="000000" w:themeColor="text1"/>
        </w:rPr>
        <w:t xml:space="preserve">The value of </w:t>
      </w:r>
      <w:r w:rsidR="0090442C" w:rsidRPr="00A52AB8">
        <w:rPr>
          <w:color w:val="000000" w:themeColor="text1"/>
        </w:rPr>
        <w:t xml:space="preserve">OpTid </w:t>
      </w:r>
      <w:r w:rsidR="0049473B" w:rsidRPr="00A52AB8">
        <w:rPr>
          <w:color w:val="000000" w:themeColor="text1"/>
        </w:rPr>
        <w:t xml:space="preserve">is such that the sub-bitstream BitstreamToDecode </w:t>
      </w:r>
      <w:r w:rsidR="00F22BD1" w:rsidRPr="00A52AB8">
        <w:rPr>
          <w:color w:val="000000" w:themeColor="text1"/>
        </w:rPr>
        <w:t xml:space="preserve">satisfy </w:t>
      </w:r>
      <w:r w:rsidR="0049473B" w:rsidRPr="00A52AB8">
        <w:rPr>
          <w:color w:val="000000" w:themeColor="text1"/>
        </w:rPr>
        <w:t>both of the following conditions:</w:t>
      </w:r>
    </w:p>
    <w:p w14:paraId="7C5F4CA8" w14:textId="0B71C819" w:rsidR="0049473B" w:rsidRPr="00A52AB8" w:rsidRDefault="0049473B" w:rsidP="0049473B">
      <w:pPr>
        <w:numPr>
          <w:ilvl w:val="1"/>
          <w:numId w:val="187"/>
        </w:numPr>
        <w:rPr>
          <w:color w:val="000000" w:themeColor="text1"/>
        </w:rPr>
      </w:pPr>
      <w:r w:rsidRPr="00A52AB8">
        <w:rPr>
          <w:color w:val="000000" w:themeColor="text1"/>
        </w:rPr>
        <w:tab/>
        <w:t>There is at least one ACL NAL unit in BitstreamToDecode with nal_layer_id equal to 0.</w:t>
      </w:r>
    </w:p>
    <w:p w14:paraId="40126AA1" w14:textId="70B8EAC4" w:rsidR="0050235C" w:rsidRPr="00A52AB8" w:rsidRDefault="0049473B" w:rsidP="00366915">
      <w:pPr>
        <w:numPr>
          <w:ilvl w:val="1"/>
          <w:numId w:val="187"/>
        </w:numPr>
        <w:rPr>
          <w:color w:val="000000" w:themeColor="text1"/>
        </w:rPr>
      </w:pPr>
      <w:r w:rsidRPr="00A52AB8">
        <w:rPr>
          <w:color w:val="000000" w:themeColor="text1"/>
        </w:rPr>
        <w:tab/>
        <w:t>There is at least one ACL NAL unit with TemporalId equal to OpTid in BitstreamToDecode.</w:t>
      </w:r>
    </w:p>
    <w:p w14:paraId="325C3E70" w14:textId="01135A5E" w:rsidR="0090442C" w:rsidRPr="00A52AB8" w:rsidRDefault="0090442C">
      <w:pPr>
        <w:numPr>
          <w:ilvl w:val="0"/>
          <w:numId w:val="187"/>
        </w:numPr>
        <w:ind w:left="760" w:hanging="357"/>
        <w:rPr>
          <w:color w:val="000000" w:themeColor="text1"/>
        </w:rPr>
      </w:pPr>
      <w:r w:rsidRPr="00A52AB8">
        <w:t>The value of Htid is set equal to opTid of TargetO</w:t>
      </w:r>
      <w:r w:rsidR="0049473B" w:rsidRPr="00A52AB8">
        <w:t>p</w:t>
      </w:r>
      <w:r w:rsidRPr="00A52AB8">
        <w:t>.</w:t>
      </w:r>
    </w:p>
    <w:p w14:paraId="65684E44" w14:textId="5E7E70AF" w:rsidR="0049473B" w:rsidRPr="00A52AB8" w:rsidRDefault="001E7DB6" w:rsidP="00007BE2">
      <w:pPr>
        <w:numPr>
          <w:ilvl w:val="0"/>
          <w:numId w:val="187"/>
        </w:numPr>
        <w:ind w:left="760" w:hanging="357"/>
        <w:rPr>
          <w:color w:val="000000" w:themeColor="text1"/>
        </w:rPr>
      </w:pPr>
      <w:bookmarkStart w:id="5066" w:name="_Ref343178728"/>
      <w:r w:rsidRPr="00A52AB8">
        <w:rPr>
          <w:color w:val="000000" w:themeColor="text1"/>
        </w:rPr>
        <w:t xml:space="preserve">The </w:t>
      </w:r>
      <w:bookmarkStart w:id="5067" w:name="_Hlk21491999"/>
      <w:r w:rsidRPr="00A52AB8">
        <w:rPr>
          <w:color w:val="000000" w:themeColor="text1"/>
        </w:rPr>
        <w:t>hrd_parameters</w:t>
      </w:r>
      <w:bookmarkEnd w:id="5067"/>
      <w:r w:rsidRPr="00A52AB8">
        <w:rPr>
          <w:color w:val="000000" w:themeColor="text1"/>
        </w:rPr>
        <w:t xml:space="preserve">( ) syntax structure in the </w:t>
      </w:r>
      <w:r w:rsidR="004461AB" w:rsidRPr="00A52AB8">
        <w:rPr>
          <w:color w:val="000000" w:themeColor="text1"/>
        </w:rPr>
        <w:t xml:space="preserve">VUI of the </w:t>
      </w:r>
      <w:r w:rsidRPr="00A52AB8">
        <w:rPr>
          <w:color w:val="000000" w:themeColor="text1"/>
        </w:rPr>
        <w:t xml:space="preserve">active ASPS (or provided through some external means not specified in </w:t>
      </w:r>
      <w:r w:rsidR="001905CC" w:rsidRPr="00A52AB8">
        <w:rPr>
          <w:color w:val="000000" w:themeColor="text1"/>
        </w:rPr>
        <w:t>this document</w:t>
      </w:r>
      <w:r w:rsidRPr="00A52AB8">
        <w:rPr>
          <w:color w:val="000000" w:themeColor="text1"/>
        </w:rPr>
        <w:t xml:space="preserve">) that applies to TargetOp is selected. </w:t>
      </w:r>
    </w:p>
    <w:p w14:paraId="0AEFFA44" w14:textId="0158832C" w:rsidR="0049473B" w:rsidRPr="00A52AB8" w:rsidRDefault="001E7DB6" w:rsidP="0049473B">
      <w:pPr>
        <w:ind w:left="760"/>
        <w:rPr>
          <w:color w:val="000000" w:themeColor="text1"/>
        </w:rPr>
      </w:pPr>
      <w:r w:rsidRPr="00A52AB8">
        <w:rPr>
          <w:color w:val="000000" w:themeColor="text1"/>
        </w:rPr>
        <w:t xml:space="preserve">Within the selected hrd_parameters( ) syntax structure, if </w:t>
      </w:r>
      <w:r w:rsidR="00157874" w:rsidRPr="00A52AB8">
        <w:rPr>
          <w:color w:val="000000" w:themeColor="text1"/>
        </w:rPr>
        <w:t>AtlasBitstreamToDecode</w:t>
      </w:r>
      <w:r w:rsidRPr="00A52AB8">
        <w:rPr>
          <w:color w:val="000000" w:themeColor="text1"/>
        </w:rPr>
        <w:t xml:space="preserve"> is a Type I bitstream</w:t>
      </w:r>
      <w:r w:rsidR="00AE6CC8" w:rsidRPr="00A52AB8">
        <w:rPr>
          <w:color w:val="000000" w:themeColor="text1"/>
        </w:rPr>
        <w:t>,</w:t>
      </w:r>
      <w:r w:rsidRPr="00A52AB8">
        <w:rPr>
          <w:color w:val="000000" w:themeColor="text1"/>
        </w:rPr>
        <w:t xml:space="preserve"> </w:t>
      </w:r>
      <w:r w:rsidR="00A6377C" w:rsidRPr="00A52AB8">
        <w:rPr>
          <w:color w:val="000000" w:themeColor="text1"/>
        </w:rPr>
        <w:t xml:space="preserve">the </w:t>
      </w:r>
      <w:r w:rsidR="0049473B" w:rsidRPr="00A52AB8">
        <w:t>hrd_sub_layer_parameters</w:t>
      </w:r>
      <w:r w:rsidR="00AE6CC8" w:rsidRPr="00A52AB8">
        <w:t>(</w:t>
      </w:r>
      <w:r w:rsidR="00D1030D" w:rsidRPr="00A52AB8">
        <w:t> </w:t>
      </w:r>
      <w:r w:rsidR="00A6377C" w:rsidRPr="00A52AB8">
        <w:t>1,</w:t>
      </w:r>
      <w:r w:rsidR="00AE6CC8" w:rsidRPr="00A52AB8">
        <w:t> Htid ) syntax structure that immediately follows the condition "if( </w:t>
      </w:r>
      <w:r w:rsidR="0049473B" w:rsidRPr="00A52AB8">
        <w:t>hrd_acl_parameters_present_flag</w:t>
      </w:r>
      <w:r w:rsidR="00AE6CC8" w:rsidRPr="00A52AB8">
        <w:t xml:space="preserve"> )" is selected </w:t>
      </w:r>
      <w:r w:rsidR="0049473B" w:rsidRPr="00A52AB8">
        <w:t xml:space="preserve">and </w:t>
      </w:r>
      <w:r w:rsidRPr="00A52AB8">
        <w:rPr>
          <w:color w:val="000000" w:themeColor="text1"/>
        </w:rPr>
        <w:t>the variable NalHrdModeFlag is set equal to 0</w:t>
      </w:r>
      <w:r w:rsidR="0049473B" w:rsidRPr="00A52AB8">
        <w:rPr>
          <w:color w:val="000000" w:themeColor="text1"/>
        </w:rPr>
        <w:t>.</w:t>
      </w:r>
    </w:p>
    <w:p w14:paraId="7D7CA228" w14:textId="445F06CA" w:rsidR="0049473B" w:rsidRPr="00A52AB8" w:rsidRDefault="0049473B" w:rsidP="0049473B">
      <w:pPr>
        <w:ind w:left="760"/>
        <w:rPr>
          <w:color w:val="000000" w:themeColor="text1"/>
        </w:rPr>
      </w:pPr>
      <w:r w:rsidRPr="00A52AB8">
        <w:rPr>
          <w:color w:val="000000" w:themeColor="text1"/>
        </w:rPr>
        <w:t>O</w:t>
      </w:r>
      <w:r w:rsidR="001E7DB6" w:rsidRPr="00A52AB8">
        <w:rPr>
          <w:color w:val="000000" w:themeColor="text1"/>
        </w:rPr>
        <w:t>therwise (</w:t>
      </w:r>
      <w:r w:rsidR="00157874" w:rsidRPr="00A52AB8">
        <w:rPr>
          <w:color w:val="000000" w:themeColor="text1"/>
        </w:rPr>
        <w:t>AtlasBitstreamToDecode</w:t>
      </w:r>
      <w:r w:rsidR="001E7DB6" w:rsidRPr="00A52AB8">
        <w:rPr>
          <w:color w:val="000000" w:themeColor="text1"/>
        </w:rPr>
        <w:t xml:space="preserve"> is a Type II bitstream)</w:t>
      </w:r>
      <w:r w:rsidRPr="00A52AB8">
        <w:rPr>
          <w:color w:val="000000" w:themeColor="text1"/>
        </w:rPr>
        <w:t>,</w:t>
      </w:r>
      <w:r w:rsidR="00AE6CC8" w:rsidRPr="00A52AB8">
        <w:rPr>
          <w:color w:val="000000" w:themeColor="text1"/>
        </w:rPr>
        <w:t xml:space="preserve"> </w:t>
      </w:r>
      <w:r w:rsidR="003A7974" w:rsidRPr="00A52AB8">
        <w:rPr>
          <w:color w:val="000000" w:themeColor="text1"/>
        </w:rPr>
        <w:t>when using the ACLTestSet, the variable</w:t>
      </w:r>
      <w:r w:rsidR="003A7974" w:rsidRPr="00A52AB8">
        <w:t xml:space="preserve"> NalHrdModeFlag</w:t>
      </w:r>
      <w:r w:rsidR="003A7974" w:rsidRPr="00A52AB8">
        <w:rPr>
          <w:color w:val="000000" w:themeColor="text1"/>
        </w:rPr>
        <w:t xml:space="preserve"> is first set to 0. Then the parameters corresponding to the </w:t>
      </w:r>
      <w:r w:rsidRPr="00A52AB8">
        <w:t>hrd_sub_layer_parameters</w:t>
      </w:r>
      <w:r w:rsidR="00AE6CC8" w:rsidRPr="00A52AB8">
        <w:t>(</w:t>
      </w:r>
      <w:r w:rsidR="00D1030D" w:rsidRPr="00A52AB8">
        <w:t> </w:t>
      </w:r>
      <w:r w:rsidR="003A7974" w:rsidRPr="00A52AB8">
        <w:t>1</w:t>
      </w:r>
      <w:r w:rsidR="00D1030D" w:rsidRPr="00A52AB8">
        <w:t>,</w:t>
      </w:r>
      <w:r w:rsidR="00AE6CC8" w:rsidRPr="00A52AB8">
        <w:t> Htid ) syntax structure that immediately follows the condition "if( </w:t>
      </w:r>
      <w:r w:rsidRPr="00A52AB8">
        <w:t>hrd_acl_parameters_present_flag</w:t>
      </w:r>
      <w:r w:rsidR="00AE6CC8" w:rsidRPr="00A52AB8">
        <w:t> )"</w:t>
      </w:r>
      <w:r w:rsidR="003A7974" w:rsidRPr="00A52AB8">
        <w:t xml:space="preserve"> are selected and used. Otherwise, when using the entireBitstreamTestSet</w:t>
      </w:r>
      <w:r w:rsidRPr="00A52AB8">
        <w:t xml:space="preserve">, </w:t>
      </w:r>
      <w:r w:rsidR="00AE6CC8" w:rsidRPr="00A52AB8">
        <w:t xml:space="preserve">the variable NalHrdModeFlag is set equal to </w:t>
      </w:r>
      <w:r w:rsidR="003A7974" w:rsidRPr="00A52AB8">
        <w:t xml:space="preserve">1 and </w:t>
      </w:r>
      <w:r w:rsidR="003A7974" w:rsidRPr="00A52AB8">
        <w:rPr>
          <w:color w:val="000000" w:themeColor="text1"/>
        </w:rPr>
        <w:t xml:space="preserve">the parameters corresponding to the </w:t>
      </w:r>
      <w:r w:rsidR="003A7974" w:rsidRPr="00A52AB8">
        <w:t>hrd_sub_layer_parameters( 0, Htid ) syntax structure that immediately follows the condition "if( hrd_nal_parameters_present_flag )" are selected and used.</w:t>
      </w:r>
    </w:p>
    <w:p w14:paraId="6B980423" w14:textId="7CA231CC" w:rsidR="001E7DB6" w:rsidRPr="00A52AB8" w:rsidRDefault="001E7DB6" w:rsidP="00366915">
      <w:pPr>
        <w:ind w:left="760"/>
        <w:rPr>
          <w:color w:val="000000" w:themeColor="text1"/>
        </w:rPr>
      </w:pPr>
      <w:r w:rsidRPr="00A52AB8">
        <w:rPr>
          <w:color w:val="000000" w:themeColor="text1"/>
        </w:rPr>
        <w:t xml:space="preserve">When </w:t>
      </w:r>
      <w:r w:rsidR="00157874" w:rsidRPr="00A52AB8">
        <w:rPr>
          <w:color w:val="000000" w:themeColor="text1"/>
        </w:rPr>
        <w:t>AtlasBitstreamToDecode</w:t>
      </w:r>
      <w:r w:rsidRPr="00A52AB8">
        <w:rPr>
          <w:color w:val="000000" w:themeColor="text1"/>
        </w:rPr>
        <w:t xml:space="preserve"> is a Type II bitstream and NalHrdModeFlag is equal to 0, all non-ACL NAL units except filler data NAL</w:t>
      </w:r>
      <w:r w:rsidR="00E453A5" w:rsidRPr="00A52AB8">
        <w:rPr>
          <w:color w:val="000000" w:themeColor="text1"/>
        </w:rPr>
        <w:t xml:space="preserve"> </w:t>
      </w:r>
      <w:r w:rsidR="0049473B" w:rsidRPr="00A52AB8">
        <w:rPr>
          <w:color w:val="000000" w:themeColor="text1"/>
        </w:rPr>
        <w:t xml:space="preserve">units </w:t>
      </w:r>
      <w:r w:rsidR="002545A3" w:rsidRPr="00A52AB8">
        <w:rPr>
          <w:color w:val="000000" w:themeColor="text1"/>
        </w:rPr>
        <w:t>and all the syntax elements that form a sample stream from the NAL unit stream</w:t>
      </w:r>
      <w:r w:rsidR="0049473B" w:rsidRPr="00A52AB8">
        <w:rPr>
          <w:color w:val="000000" w:themeColor="text1"/>
        </w:rPr>
        <w:t xml:space="preserve">, </w:t>
      </w:r>
      <w:r w:rsidR="002545A3" w:rsidRPr="00A52AB8">
        <w:rPr>
          <w:color w:val="000000" w:themeColor="text1"/>
        </w:rPr>
        <w:t xml:space="preserve">as specified in </w:t>
      </w:r>
      <w:r w:rsidR="0049473B" w:rsidRPr="00496A4D">
        <w:rPr>
          <w:color w:val="000000" w:themeColor="text1"/>
        </w:rPr>
        <w:fldChar w:fldCharType="begin"/>
      </w:r>
      <w:r w:rsidR="0049473B" w:rsidRPr="00A52AB8">
        <w:rPr>
          <w:color w:val="000000" w:themeColor="text1"/>
        </w:rPr>
        <w:instrText xml:space="preserve"> REF _Ref38894988 \n \h </w:instrText>
      </w:r>
      <w:r w:rsidR="008B1218" w:rsidRPr="00A52AB8">
        <w:rPr>
          <w:color w:val="000000" w:themeColor="text1"/>
        </w:rPr>
        <w:instrText xml:space="preserve"> \* MERGEFORMAT </w:instrText>
      </w:r>
      <w:r w:rsidR="0049473B" w:rsidRPr="00496A4D">
        <w:rPr>
          <w:color w:val="000000" w:themeColor="text1"/>
        </w:rPr>
      </w:r>
      <w:r w:rsidR="0049473B" w:rsidRPr="00496A4D">
        <w:rPr>
          <w:color w:val="000000" w:themeColor="text1"/>
        </w:rPr>
        <w:fldChar w:fldCharType="separate"/>
      </w:r>
      <w:r w:rsidR="00507A67">
        <w:rPr>
          <w:color w:val="000000" w:themeColor="text1"/>
        </w:rPr>
        <w:t>Annex D</w:t>
      </w:r>
      <w:r w:rsidR="0049473B" w:rsidRPr="00496A4D">
        <w:rPr>
          <w:color w:val="000000" w:themeColor="text1"/>
        </w:rPr>
        <w:fldChar w:fldCharType="end"/>
      </w:r>
      <w:r w:rsidR="002545A3" w:rsidRPr="00A52AB8">
        <w:rPr>
          <w:color w:val="000000" w:themeColor="text1"/>
        </w:rPr>
        <w:t>, when present,</w:t>
      </w:r>
      <w:r w:rsidRPr="00A52AB8">
        <w:rPr>
          <w:color w:val="000000" w:themeColor="text1"/>
        </w:rPr>
        <w:t xml:space="preserve"> are discarded from </w:t>
      </w:r>
      <w:r w:rsidR="00157874" w:rsidRPr="00A52AB8">
        <w:rPr>
          <w:color w:val="000000" w:themeColor="text1"/>
        </w:rPr>
        <w:t>AtlasBitstreamToDecode</w:t>
      </w:r>
      <w:r w:rsidRPr="00A52AB8">
        <w:rPr>
          <w:color w:val="000000" w:themeColor="text1"/>
        </w:rPr>
        <w:t xml:space="preserve"> and the remaining atlas bitstream is assigned to </w:t>
      </w:r>
      <w:r w:rsidR="00157874" w:rsidRPr="00A52AB8">
        <w:rPr>
          <w:color w:val="000000" w:themeColor="text1"/>
        </w:rPr>
        <w:t>AtlasBitstreamToDecode</w:t>
      </w:r>
      <w:r w:rsidRPr="00A52AB8">
        <w:rPr>
          <w:color w:val="000000" w:themeColor="text1"/>
        </w:rPr>
        <w:t>.</w:t>
      </w:r>
      <w:bookmarkEnd w:id="5066"/>
    </w:p>
    <w:p w14:paraId="735B1D2A" w14:textId="20C084CF" w:rsidR="0050235C" w:rsidRPr="00A52AB8" w:rsidRDefault="001E7DB6" w:rsidP="00007BE2">
      <w:pPr>
        <w:numPr>
          <w:ilvl w:val="0"/>
          <w:numId w:val="187"/>
        </w:numPr>
        <w:ind w:left="760" w:hanging="357"/>
        <w:rPr>
          <w:color w:val="000000" w:themeColor="text1"/>
        </w:rPr>
      </w:pPr>
      <w:bookmarkStart w:id="5068" w:name="_Ref349919179"/>
      <w:r w:rsidRPr="00A52AB8">
        <w:rPr>
          <w:color w:val="000000" w:themeColor="text1"/>
        </w:rPr>
        <w:t>A coded atlas access unit associated with a buffering period SEI message</w:t>
      </w:r>
      <w:r w:rsidR="0049473B" w:rsidRPr="00A52AB8">
        <w:rPr>
          <w:color w:val="000000" w:themeColor="text1"/>
        </w:rPr>
        <w:t xml:space="preserve">, </w:t>
      </w:r>
      <w:r w:rsidRPr="00A52AB8">
        <w:rPr>
          <w:color w:val="000000" w:themeColor="text1"/>
        </w:rPr>
        <w:t xml:space="preserve">present in </w:t>
      </w:r>
      <w:r w:rsidR="00157874" w:rsidRPr="00A52AB8">
        <w:rPr>
          <w:color w:val="000000" w:themeColor="text1"/>
        </w:rPr>
        <w:t>AtlasBitstreamToDecode</w:t>
      </w:r>
      <w:r w:rsidRPr="00A52AB8">
        <w:rPr>
          <w:color w:val="000000" w:themeColor="text1"/>
        </w:rPr>
        <w:t xml:space="preserve"> or available through external means not specified in </w:t>
      </w:r>
      <w:r w:rsidR="001905CC" w:rsidRPr="00A52AB8">
        <w:rPr>
          <w:color w:val="000000" w:themeColor="text1"/>
        </w:rPr>
        <w:t>this document</w:t>
      </w:r>
      <w:r w:rsidR="0049473B" w:rsidRPr="00A52AB8">
        <w:rPr>
          <w:color w:val="000000" w:themeColor="text1"/>
        </w:rPr>
        <w:t xml:space="preserve">, </w:t>
      </w:r>
      <w:r w:rsidRPr="00A52AB8">
        <w:rPr>
          <w:color w:val="000000" w:themeColor="text1"/>
        </w:rPr>
        <w:t>applicable to TargetOp</w:t>
      </w:r>
      <w:r w:rsidR="0049473B" w:rsidRPr="00A52AB8">
        <w:rPr>
          <w:color w:val="000000" w:themeColor="text1"/>
        </w:rPr>
        <w:t>,</w:t>
      </w:r>
      <w:r w:rsidRPr="00A52AB8">
        <w:rPr>
          <w:color w:val="000000" w:themeColor="text1"/>
        </w:rPr>
        <w:t xml:space="preserve"> is selected as the HRD initialization point and referred to as </w:t>
      </w:r>
      <w:r w:rsidR="0049473B" w:rsidRPr="00A52AB8">
        <w:rPr>
          <w:color w:val="000000" w:themeColor="text1"/>
        </w:rPr>
        <w:t xml:space="preserve">the </w:t>
      </w:r>
      <w:r w:rsidR="00D67C10" w:rsidRPr="00A52AB8">
        <w:rPr>
          <w:color w:val="000000" w:themeColor="text1"/>
        </w:rPr>
        <w:t xml:space="preserve">coded </w:t>
      </w:r>
      <w:r w:rsidRPr="00A52AB8">
        <w:rPr>
          <w:color w:val="000000" w:themeColor="text1"/>
        </w:rPr>
        <w:t>atlas access unit 0.</w:t>
      </w:r>
      <w:bookmarkEnd w:id="5068"/>
    </w:p>
    <w:p w14:paraId="47720D68" w14:textId="421A9A60" w:rsidR="0050235C" w:rsidRPr="00A52AB8" w:rsidRDefault="001E7DB6" w:rsidP="00007BE2">
      <w:pPr>
        <w:numPr>
          <w:ilvl w:val="0"/>
          <w:numId w:val="187"/>
        </w:numPr>
        <w:ind w:left="760" w:hanging="357"/>
        <w:rPr>
          <w:color w:val="000000" w:themeColor="text1"/>
        </w:rPr>
      </w:pPr>
      <w:r w:rsidRPr="00A52AB8">
        <w:rPr>
          <w:color w:val="000000" w:themeColor="text1"/>
        </w:rPr>
        <w:t xml:space="preserve">For each </w:t>
      </w:r>
      <w:r w:rsidR="00D67C10" w:rsidRPr="00A52AB8">
        <w:rPr>
          <w:color w:val="000000" w:themeColor="text1"/>
        </w:rPr>
        <w:t xml:space="preserve">coded </w:t>
      </w:r>
      <w:r w:rsidRPr="00A52AB8">
        <w:rPr>
          <w:color w:val="000000" w:themeColor="text1"/>
        </w:rPr>
        <w:t xml:space="preserve">atlas access unit in </w:t>
      </w:r>
      <w:r w:rsidR="00157874" w:rsidRPr="00A52AB8">
        <w:rPr>
          <w:color w:val="000000" w:themeColor="text1"/>
        </w:rPr>
        <w:t>AtlasBitstreamToDecode</w:t>
      </w:r>
      <w:r w:rsidRPr="00A52AB8">
        <w:rPr>
          <w:color w:val="000000" w:themeColor="text1"/>
        </w:rPr>
        <w:t xml:space="preserve"> starting from </w:t>
      </w:r>
      <w:r w:rsidR="00D67C10" w:rsidRPr="00A52AB8">
        <w:rPr>
          <w:color w:val="000000" w:themeColor="text1"/>
        </w:rPr>
        <w:t xml:space="preserve">coded </w:t>
      </w:r>
      <w:r w:rsidRPr="00A52AB8">
        <w:rPr>
          <w:color w:val="000000" w:themeColor="text1"/>
        </w:rPr>
        <w:t>atlas access unit 0, the buffering period SEI message</w:t>
      </w:r>
      <w:r w:rsidR="000A4F0E" w:rsidRPr="00A52AB8">
        <w:rPr>
          <w:color w:val="000000" w:themeColor="text1"/>
        </w:rPr>
        <w:t xml:space="preserve"> and the atlas frame timing SEI message</w:t>
      </w:r>
      <w:r w:rsidR="0049473B" w:rsidRPr="00A52AB8">
        <w:rPr>
          <w:color w:val="000000" w:themeColor="text1"/>
        </w:rPr>
        <w:t xml:space="preserve">, </w:t>
      </w:r>
      <w:r w:rsidRPr="00A52AB8">
        <w:rPr>
          <w:color w:val="000000" w:themeColor="text1"/>
        </w:rPr>
        <w:t xml:space="preserve">present in </w:t>
      </w:r>
      <w:r w:rsidR="00157874" w:rsidRPr="00A52AB8">
        <w:rPr>
          <w:color w:val="000000" w:themeColor="text1"/>
        </w:rPr>
        <w:t>AtlasBitstreamToDecode</w:t>
      </w:r>
      <w:r w:rsidRPr="00A52AB8">
        <w:rPr>
          <w:color w:val="000000" w:themeColor="text1"/>
        </w:rPr>
        <w:t xml:space="preserve"> or available through external means not specified in </w:t>
      </w:r>
      <w:r w:rsidR="001905CC" w:rsidRPr="00A52AB8">
        <w:rPr>
          <w:color w:val="000000" w:themeColor="text1"/>
        </w:rPr>
        <w:t>this document</w:t>
      </w:r>
      <w:r w:rsidR="0049473B" w:rsidRPr="00A52AB8">
        <w:rPr>
          <w:color w:val="000000" w:themeColor="text1"/>
        </w:rPr>
        <w:t>,</w:t>
      </w:r>
      <w:r w:rsidRPr="00A52AB8">
        <w:rPr>
          <w:color w:val="000000" w:themeColor="text1"/>
        </w:rPr>
        <w:t xml:space="preserve"> that </w:t>
      </w:r>
      <w:r w:rsidR="000A4F0E" w:rsidRPr="00A52AB8">
        <w:rPr>
          <w:color w:val="000000" w:themeColor="text1"/>
        </w:rPr>
        <w:t xml:space="preserve">are </w:t>
      </w:r>
      <w:r w:rsidRPr="00A52AB8">
        <w:rPr>
          <w:color w:val="000000" w:themeColor="text1"/>
        </w:rPr>
        <w:t xml:space="preserve">associated with the </w:t>
      </w:r>
      <w:r w:rsidR="00D67C10" w:rsidRPr="00A52AB8">
        <w:rPr>
          <w:color w:val="000000" w:themeColor="text1"/>
        </w:rPr>
        <w:t xml:space="preserve">coded </w:t>
      </w:r>
      <w:r w:rsidRPr="00A52AB8">
        <w:rPr>
          <w:color w:val="000000" w:themeColor="text1"/>
        </w:rPr>
        <w:t>atlas access unit and applies to TargetOp</w:t>
      </w:r>
      <w:r w:rsidR="0049473B" w:rsidRPr="00A52AB8">
        <w:rPr>
          <w:color w:val="000000" w:themeColor="text1"/>
        </w:rPr>
        <w:t>,</w:t>
      </w:r>
      <w:r w:rsidRPr="00A52AB8">
        <w:rPr>
          <w:color w:val="000000" w:themeColor="text1"/>
        </w:rPr>
        <w:t xml:space="preserve"> </w:t>
      </w:r>
      <w:r w:rsidR="000A4F0E" w:rsidRPr="00A52AB8">
        <w:rPr>
          <w:color w:val="000000" w:themeColor="text1"/>
        </w:rPr>
        <w:t xml:space="preserve">are </w:t>
      </w:r>
      <w:r w:rsidRPr="00A52AB8">
        <w:rPr>
          <w:color w:val="000000" w:themeColor="text1"/>
        </w:rPr>
        <w:t>selected.</w:t>
      </w:r>
    </w:p>
    <w:p w14:paraId="58D6FFE0" w14:textId="19F053E2" w:rsidR="001E7DB6" w:rsidRPr="00A52AB8" w:rsidRDefault="001E7DB6" w:rsidP="00007BE2">
      <w:pPr>
        <w:numPr>
          <w:ilvl w:val="0"/>
          <w:numId w:val="187"/>
        </w:numPr>
        <w:ind w:left="760" w:hanging="357"/>
        <w:rPr>
          <w:color w:val="000000" w:themeColor="text1"/>
        </w:rPr>
      </w:pPr>
      <w:r w:rsidRPr="00A52AB8">
        <w:rPr>
          <w:color w:val="000000" w:themeColor="text1"/>
        </w:rPr>
        <w:t xml:space="preserve">A value of SchedSelIdx is selected. The selected </w:t>
      </w:r>
      <w:r w:rsidR="000A4F0E" w:rsidRPr="00A52AB8">
        <w:rPr>
          <w:color w:val="000000" w:themeColor="text1"/>
        </w:rPr>
        <w:t xml:space="preserve">value of </w:t>
      </w:r>
      <w:r w:rsidRPr="00A52AB8">
        <w:rPr>
          <w:color w:val="000000" w:themeColor="text1"/>
        </w:rPr>
        <w:t xml:space="preserve">SchedSelIdx shall be in the range of 0 to </w:t>
      </w:r>
      <w:r w:rsidR="00157874" w:rsidRPr="00A52AB8">
        <w:rPr>
          <w:color w:val="000000" w:themeColor="text1"/>
        </w:rPr>
        <w:t>hrd_</w:t>
      </w:r>
      <w:r w:rsidRPr="00A52AB8">
        <w:rPr>
          <w:color w:val="000000" w:themeColor="text1"/>
        </w:rPr>
        <w:t>cab_cnt_minus1</w:t>
      </w:r>
      <w:r w:rsidR="00A86765" w:rsidRPr="00A52AB8">
        <w:rPr>
          <w:color w:val="000000" w:themeColor="text1"/>
        </w:rPr>
        <w:t>[ Htid ]</w:t>
      </w:r>
      <w:r w:rsidR="000A4F0E" w:rsidRPr="00A52AB8">
        <w:rPr>
          <w:color w:val="000000" w:themeColor="text1"/>
        </w:rPr>
        <w:t>,</w:t>
      </w:r>
      <w:r w:rsidRPr="00A52AB8">
        <w:rPr>
          <w:color w:val="000000" w:themeColor="text1"/>
        </w:rPr>
        <w:t xml:space="preserve"> inclusive, where </w:t>
      </w:r>
      <w:r w:rsidR="00157874" w:rsidRPr="00A52AB8">
        <w:rPr>
          <w:color w:val="000000" w:themeColor="text1"/>
        </w:rPr>
        <w:t>hrd_</w:t>
      </w:r>
      <w:r w:rsidRPr="00A52AB8">
        <w:rPr>
          <w:color w:val="000000" w:themeColor="text1"/>
        </w:rPr>
        <w:t>cab_cnt_minus1</w:t>
      </w:r>
      <w:r w:rsidR="00A86765" w:rsidRPr="00A52AB8">
        <w:rPr>
          <w:color w:val="000000" w:themeColor="text1"/>
        </w:rPr>
        <w:t>[ Htid ]</w:t>
      </w:r>
      <w:r w:rsidRPr="00A52AB8">
        <w:rPr>
          <w:color w:val="000000" w:themeColor="text1"/>
        </w:rPr>
        <w:t xml:space="preserve"> is found in the </w:t>
      </w:r>
      <w:r w:rsidR="00B35397" w:rsidRPr="00A52AB8">
        <w:rPr>
          <w:color w:val="000000" w:themeColor="text1"/>
        </w:rPr>
        <w:t>buffering period SEI</w:t>
      </w:r>
      <w:r w:rsidRPr="00A52AB8">
        <w:rPr>
          <w:color w:val="000000" w:themeColor="text1"/>
        </w:rPr>
        <w:t xml:space="preserve"> syntax structure</w:t>
      </w:r>
      <w:r w:rsidR="000A4F0E" w:rsidRPr="00A52AB8">
        <w:rPr>
          <w:color w:val="000000" w:themeColor="text1"/>
        </w:rPr>
        <w:t>,</w:t>
      </w:r>
      <w:r w:rsidRPr="00A52AB8">
        <w:rPr>
          <w:color w:val="000000" w:themeColor="text1"/>
        </w:rPr>
        <w:t xml:space="preserve"> as </w:t>
      </w:r>
      <w:r w:rsidR="00B35397" w:rsidRPr="00A52AB8">
        <w:rPr>
          <w:color w:val="000000" w:themeColor="text1"/>
        </w:rPr>
        <w:t xml:space="preserve">specified in </w:t>
      </w:r>
      <w:r w:rsidR="00B35397" w:rsidRPr="00496A4D">
        <w:rPr>
          <w:color w:val="000000" w:themeColor="text1"/>
        </w:rPr>
        <w:fldChar w:fldCharType="begin"/>
      </w:r>
      <w:r w:rsidR="00B35397" w:rsidRPr="00A52AB8">
        <w:rPr>
          <w:color w:val="000000" w:themeColor="text1"/>
        </w:rPr>
        <w:instrText xml:space="preserve"> REF _Ref49347702 \r \h </w:instrText>
      </w:r>
      <w:r w:rsidR="008B1218" w:rsidRPr="00A52AB8">
        <w:rPr>
          <w:color w:val="000000" w:themeColor="text1"/>
        </w:rPr>
        <w:instrText xml:space="preserve"> \* MERGEFORMAT </w:instrText>
      </w:r>
      <w:r w:rsidR="00B35397" w:rsidRPr="00496A4D">
        <w:rPr>
          <w:color w:val="000000" w:themeColor="text1"/>
        </w:rPr>
      </w:r>
      <w:r w:rsidR="00B35397" w:rsidRPr="00496A4D">
        <w:rPr>
          <w:color w:val="000000" w:themeColor="text1"/>
        </w:rPr>
        <w:fldChar w:fldCharType="separate"/>
      </w:r>
      <w:r w:rsidR="00507A67">
        <w:rPr>
          <w:color w:val="000000" w:themeColor="text1"/>
        </w:rPr>
        <w:t>F.2.13</w:t>
      </w:r>
      <w:r w:rsidR="00B35397" w:rsidRPr="00496A4D">
        <w:rPr>
          <w:color w:val="000000" w:themeColor="text1"/>
        </w:rPr>
        <w:fldChar w:fldCharType="end"/>
      </w:r>
      <w:r w:rsidRPr="00A52AB8">
        <w:rPr>
          <w:color w:val="000000" w:themeColor="text1"/>
        </w:rPr>
        <w:t>.</w:t>
      </w:r>
    </w:p>
    <w:p w14:paraId="4B232A3D" w14:textId="24A5FDEB" w:rsidR="001E7DB6" w:rsidRPr="00A52AB8" w:rsidRDefault="001E7DB6" w:rsidP="00007BE2">
      <w:pPr>
        <w:numPr>
          <w:ilvl w:val="0"/>
          <w:numId w:val="187"/>
        </w:numPr>
        <w:ind w:left="760" w:hanging="357"/>
        <w:rPr>
          <w:color w:val="000000" w:themeColor="text1"/>
        </w:rPr>
      </w:pPr>
      <w:r w:rsidRPr="00A52AB8">
        <w:rPr>
          <w:color w:val="000000" w:themeColor="text1"/>
        </w:rPr>
        <w:t>When the coded atlas frame in access unit 0 has nal_unit_type equal to NAL_CRA</w:t>
      </w:r>
      <w:r w:rsidR="00107395" w:rsidRPr="00A52AB8">
        <w:rPr>
          <w:color w:val="000000" w:themeColor="text1"/>
        </w:rPr>
        <w:t>, NAL_GCRA, NAL_BLA_W_LP, or NAL_GBLA_W_LP</w:t>
      </w:r>
      <w:r w:rsidRPr="00A52AB8">
        <w:rPr>
          <w:color w:val="000000" w:themeColor="text1"/>
        </w:rPr>
        <w:t xml:space="preserve">, and </w:t>
      </w:r>
      <w:r w:rsidR="005B2FA1" w:rsidRPr="00A52AB8">
        <w:rPr>
          <w:color w:val="000000" w:themeColor="text1"/>
        </w:rPr>
        <w:t>bp_</w:t>
      </w:r>
      <w:r w:rsidRPr="00A52AB8">
        <w:rPr>
          <w:color w:val="000000" w:themeColor="text1"/>
        </w:rPr>
        <w:t xml:space="preserve">irap_cab_params_present_flag in the selected buffering period SEI message is equal to 1, either of the following applies for </w:t>
      </w:r>
      <w:r w:rsidR="000A4F0E" w:rsidRPr="00A52AB8">
        <w:rPr>
          <w:color w:val="000000" w:themeColor="text1"/>
        </w:rPr>
        <w:t xml:space="preserve">the </w:t>
      </w:r>
      <w:r w:rsidRPr="00A52AB8">
        <w:rPr>
          <w:color w:val="000000" w:themeColor="text1"/>
        </w:rPr>
        <w:t>selection of the initial CAB removal delay and delay offset:</w:t>
      </w:r>
    </w:p>
    <w:p w14:paraId="1F183549" w14:textId="015A066C" w:rsidR="001E7DB6" w:rsidRPr="00A52AB8" w:rsidRDefault="001E7DB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 xml:space="preserve">If NalHrdModeFlag is equal to 1, the default initial CAB removal delay and </w:t>
      </w:r>
      <w:r w:rsidR="00C42E0F" w:rsidRPr="00A52AB8">
        <w:rPr>
          <w:color w:val="000000" w:themeColor="text1"/>
        </w:rPr>
        <w:t xml:space="preserve">the </w:t>
      </w:r>
      <w:r w:rsidRPr="00A52AB8">
        <w:rPr>
          <w:color w:val="000000" w:themeColor="text1"/>
        </w:rPr>
        <w:t xml:space="preserve">delay offset represented by </w:t>
      </w:r>
      <w:r w:rsidR="00C42E0F" w:rsidRPr="00A52AB8">
        <w:rPr>
          <w:color w:val="000000" w:themeColor="text1"/>
        </w:rPr>
        <w:t>bp_nal_initial_cab_removal_delay</w:t>
      </w:r>
      <w:r w:rsidR="00B35397" w:rsidRPr="00A52AB8">
        <w:t>[ </w:t>
      </w:r>
      <w:r w:rsidR="00A86765" w:rsidRPr="00A52AB8">
        <w:t>Htid</w:t>
      </w:r>
      <w:r w:rsidR="00B35397" w:rsidRPr="00A52AB8">
        <w:t> ]</w:t>
      </w:r>
      <w:r w:rsidRPr="00A52AB8">
        <w:rPr>
          <w:color w:val="000000" w:themeColor="text1"/>
        </w:rPr>
        <w:t xml:space="preserve">[ SchedSelIdx ] and </w:t>
      </w:r>
      <w:r w:rsidR="00C42E0F" w:rsidRPr="00A52AB8">
        <w:rPr>
          <w:color w:val="000000" w:themeColor="text1"/>
        </w:rPr>
        <w:t>bp_nal_initial_cab_removal_offset</w:t>
      </w:r>
      <w:r w:rsidR="00B35397" w:rsidRPr="00A52AB8">
        <w:t>[ </w:t>
      </w:r>
      <w:r w:rsidR="00E95AB0" w:rsidRPr="00A52AB8">
        <w:t>Htid</w:t>
      </w:r>
      <w:r w:rsidR="00B35397" w:rsidRPr="00A52AB8">
        <w:t> ]</w:t>
      </w:r>
      <w:r w:rsidRPr="00A52AB8">
        <w:rPr>
          <w:color w:val="000000" w:themeColor="text1"/>
        </w:rPr>
        <w:t xml:space="preserve">[ SchedSelIdx ], respectively, in the selected buffering period SEI message are selected. Otherwise, the default initial CAB removal delay and delay offset represented by </w:t>
      </w:r>
      <w:r w:rsidR="005B2FA1" w:rsidRPr="00A52AB8">
        <w:rPr>
          <w:color w:val="000000" w:themeColor="text1"/>
        </w:rPr>
        <w:t>bp_</w:t>
      </w:r>
      <w:r w:rsidRPr="00A52AB8">
        <w:rPr>
          <w:color w:val="000000" w:themeColor="text1"/>
        </w:rPr>
        <w:t>acl_initial_cab_removal_delay</w:t>
      </w:r>
      <w:r w:rsidR="00B35397" w:rsidRPr="00A52AB8">
        <w:t>[ </w:t>
      </w:r>
      <w:r w:rsidR="00A86765" w:rsidRPr="00A52AB8">
        <w:t>Htid</w:t>
      </w:r>
      <w:r w:rsidR="00B35397" w:rsidRPr="00A52AB8">
        <w:t> ]</w:t>
      </w:r>
      <w:r w:rsidRPr="00A52AB8">
        <w:rPr>
          <w:color w:val="000000" w:themeColor="text1"/>
        </w:rPr>
        <w:t xml:space="preserve">[ SchedSelIdx ] and </w:t>
      </w:r>
      <w:r w:rsidR="005B2FA1" w:rsidRPr="00A52AB8">
        <w:rPr>
          <w:color w:val="000000" w:themeColor="text1"/>
        </w:rPr>
        <w:t>bp_</w:t>
      </w:r>
      <w:r w:rsidRPr="00A52AB8">
        <w:rPr>
          <w:color w:val="000000" w:themeColor="text1"/>
        </w:rPr>
        <w:t>acl_initial_cab_removal_offset</w:t>
      </w:r>
      <w:r w:rsidR="00B35397" w:rsidRPr="00A52AB8">
        <w:t>[ </w:t>
      </w:r>
      <w:r w:rsidR="00A86765" w:rsidRPr="00A52AB8">
        <w:t>Htid</w:t>
      </w:r>
      <w:r w:rsidR="00B35397" w:rsidRPr="00A52AB8">
        <w:t> ]</w:t>
      </w:r>
      <w:r w:rsidRPr="00A52AB8">
        <w:rPr>
          <w:color w:val="000000" w:themeColor="text1"/>
        </w:rPr>
        <w:t>[ SchedSelIdx ], respectively, in the selected buffering period SEI message are selected. The variable DefaultInitCabParamsFlag is set equal to 1.</w:t>
      </w:r>
    </w:p>
    <w:p w14:paraId="7EC10429" w14:textId="2CC6DF5E" w:rsidR="001E7DB6" w:rsidRPr="00A52AB8" w:rsidRDefault="001E7DB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 xml:space="preserve">If NalHrdModeFlag is equal to 1, the alternative initial CAB removal delay and delay offset represented by </w:t>
      </w:r>
      <w:r w:rsidR="005B2FA1" w:rsidRPr="00A52AB8">
        <w:rPr>
          <w:color w:val="000000" w:themeColor="text1"/>
        </w:rPr>
        <w:t>bp_</w:t>
      </w:r>
      <w:r w:rsidRPr="00A52AB8">
        <w:rPr>
          <w:color w:val="000000" w:themeColor="text1"/>
        </w:rPr>
        <w:t>nal_initial_alt_cab_removal_delay</w:t>
      </w:r>
      <w:r w:rsidR="00B35397" w:rsidRPr="00A52AB8">
        <w:t>[ </w:t>
      </w:r>
      <w:r w:rsidR="00A86765" w:rsidRPr="00A52AB8">
        <w:t>Htid</w:t>
      </w:r>
      <w:r w:rsidR="00B35397" w:rsidRPr="00A52AB8">
        <w:t> ]</w:t>
      </w:r>
      <w:r w:rsidRPr="00A52AB8">
        <w:rPr>
          <w:color w:val="000000" w:themeColor="text1"/>
        </w:rPr>
        <w:t xml:space="preserve">[ SchedSelIdx ] and </w:t>
      </w:r>
      <w:r w:rsidR="005B2FA1" w:rsidRPr="00A52AB8">
        <w:rPr>
          <w:color w:val="000000" w:themeColor="text1"/>
        </w:rPr>
        <w:t>bp_</w:t>
      </w:r>
      <w:r w:rsidRPr="00A52AB8">
        <w:rPr>
          <w:color w:val="000000" w:themeColor="text1"/>
        </w:rPr>
        <w:t>nal_initial_alt_cab_removal_offset</w:t>
      </w:r>
      <w:r w:rsidR="00B35397" w:rsidRPr="00A52AB8">
        <w:t>[ </w:t>
      </w:r>
      <w:r w:rsidR="00A86765" w:rsidRPr="00A52AB8">
        <w:t>Htid</w:t>
      </w:r>
      <w:r w:rsidR="00B35397" w:rsidRPr="00A52AB8">
        <w:t> ]</w:t>
      </w:r>
      <w:r w:rsidRPr="00A52AB8">
        <w:rPr>
          <w:color w:val="000000" w:themeColor="text1"/>
        </w:rPr>
        <w:t xml:space="preserve">[ SchedSelIdx ], respectively, in the selected buffering period SEI message are selected. Otherwise, the alternative initial CAB removal delay and delay offset represented by </w:t>
      </w:r>
      <w:r w:rsidR="005B2FA1" w:rsidRPr="00A52AB8">
        <w:rPr>
          <w:color w:val="000000" w:themeColor="text1"/>
        </w:rPr>
        <w:t>bp_</w:t>
      </w:r>
      <w:r w:rsidRPr="00A52AB8">
        <w:rPr>
          <w:color w:val="000000" w:themeColor="text1"/>
        </w:rPr>
        <w:t>acl_initial_alt_cab_removal_delay</w:t>
      </w:r>
      <w:r w:rsidR="00B35397" w:rsidRPr="00A52AB8">
        <w:t>[ </w:t>
      </w:r>
      <w:r w:rsidR="00A86765" w:rsidRPr="00A52AB8">
        <w:t>Htid</w:t>
      </w:r>
      <w:r w:rsidR="00B35397" w:rsidRPr="00A52AB8">
        <w:t> ]</w:t>
      </w:r>
      <w:r w:rsidRPr="00A52AB8">
        <w:rPr>
          <w:color w:val="000000" w:themeColor="text1"/>
        </w:rPr>
        <w:t xml:space="preserve">[ SchedSelIdx ] and </w:t>
      </w:r>
      <w:r w:rsidR="006932A1" w:rsidRPr="00A52AB8">
        <w:rPr>
          <w:color w:val="000000" w:themeColor="text1"/>
        </w:rPr>
        <w:t>bp</w:t>
      </w:r>
      <w:r w:rsidR="005B2FA1" w:rsidRPr="00A52AB8">
        <w:rPr>
          <w:color w:val="000000" w:themeColor="text1"/>
        </w:rPr>
        <w:t>_</w:t>
      </w:r>
      <w:r w:rsidRPr="00A52AB8">
        <w:rPr>
          <w:color w:val="000000" w:themeColor="text1"/>
        </w:rPr>
        <w:t>acl_initial_alt_cab_removal_offset</w:t>
      </w:r>
      <w:r w:rsidR="00B35397" w:rsidRPr="00A52AB8">
        <w:t>[ </w:t>
      </w:r>
      <w:r w:rsidR="00A86765" w:rsidRPr="00A52AB8">
        <w:t>Htid</w:t>
      </w:r>
      <w:r w:rsidR="00B35397" w:rsidRPr="00A52AB8">
        <w:t> ]</w:t>
      </w:r>
      <w:r w:rsidRPr="00A52AB8">
        <w:rPr>
          <w:color w:val="000000" w:themeColor="text1"/>
        </w:rPr>
        <w:t xml:space="preserve">[ SchedSelIdx ], respectively, in the selected buffering period SEI message are selected. The variable DefaultInitCabParamsFlag is set equal to 0, and the RASL </w:t>
      </w:r>
      <w:r w:rsidR="000E7C0D" w:rsidRPr="00A52AB8">
        <w:rPr>
          <w:color w:val="000000" w:themeColor="text1"/>
        </w:rPr>
        <w:t xml:space="preserve">coded atlas </w:t>
      </w:r>
      <w:r w:rsidRPr="00A52AB8">
        <w:rPr>
          <w:color w:val="000000" w:themeColor="text1"/>
        </w:rPr>
        <w:t xml:space="preserve">access units associated with </w:t>
      </w:r>
      <w:r w:rsidR="000A4F0E" w:rsidRPr="00A52AB8">
        <w:rPr>
          <w:color w:val="000000" w:themeColor="text1"/>
        </w:rPr>
        <w:t xml:space="preserve">the </w:t>
      </w:r>
      <w:r w:rsidR="000E7C0D" w:rsidRPr="00A52AB8">
        <w:rPr>
          <w:color w:val="000000" w:themeColor="text1"/>
        </w:rPr>
        <w:t xml:space="preserve">coded atlas </w:t>
      </w:r>
      <w:r w:rsidRPr="00A52AB8">
        <w:rPr>
          <w:color w:val="000000" w:themeColor="text1"/>
        </w:rPr>
        <w:t xml:space="preserve">access unit 0 are discarded from </w:t>
      </w:r>
      <w:r w:rsidR="00157874" w:rsidRPr="00A52AB8">
        <w:rPr>
          <w:color w:val="000000" w:themeColor="text1"/>
        </w:rPr>
        <w:t>AtlasBitstreamToDecode</w:t>
      </w:r>
      <w:r w:rsidRPr="00A52AB8">
        <w:rPr>
          <w:color w:val="000000" w:themeColor="text1"/>
        </w:rPr>
        <w:t xml:space="preserve"> and the remaining bitstream is assigned to </w:t>
      </w:r>
      <w:r w:rsidR="00157874" w:rsidRPr="00A52AB8">
        <w:rPr>
          <w:color w:val="000000" w:themeColor="text1"/>
        </w:rPr>
        <w:t>AtlasBitstreamToDecode</w:t>
      </w:r>
      <w:r w:rsidRPr="00A52AB8">
        <w:rPr>
          <w:color w:val="000000" w:themeColor="text1"/>
        </w:rPr>
        <w:t>.</w:t>
      </w:r>
    </w:p>
    <w:p w14:paraId="4DC9A682" w14:textId="43A3D2CB" w:rsidR="001E7DB6" w:rsidRPr="00A52AB8" w:rsidRDefault="001E7DB6">
      <w:bookmarkStart w:id="5069" w:name="_Ref343176600"/>
      <w:r w:rsidRPr="00A52AB8">
        <w:t>Each conformance test consists of a combination of one option in each of the above steps. When there is more than one option for a step, for any conformance test</w:t>
      </w:r>
      <w:r w:rsidR="000A4F0E" w:rsidRPr="00A52AB8">
        <w:t>,</w:t>
      </w:r>
      <w:r w:rsidRPr="00A52AB8">
        <w:t xml:space="preserve"> only one option is chosen. All possible combinations of all the steps form the entire set of conformance tests.</w:t>
      </w:r>
      <w:bookmarkEnd w:id="5069"/>
      <w:r w:rsidRPr="00A52AB8">
        <w:t xml:space="preserve"> For each operation point under test, the number of bitstream conformance tests to be performed is equal to n0 * n1 * ( n2 * 2 + n3 ) * n4, where the values of n0, n1, n2, n3</w:t>
      </w:r>
      <w:r w:rsidR="000A4F0E" w:rsidRPr="00A52AB8">
        <w:t>,</w:t>
      </w:r>
      <w:r w:rsidRPr="00A52AB8">
        <w:t xml:space="preserve"> and n4 are specified as follows:</w:t>
      </w:r>
    </w:p>
    <w:p w14:paraId="4C05AEC1" w14:textId="77777777" w:rsidR="001E7DB6" w:rsidRPr="00A52AB8" w:rsidRDefault="001E7DB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n0 is derived as follows:</w:t>
      </w:r>
    </w:p>
    <w:p w14:paraId="110E00AD" w14:textId="77777777" w:rsidR="001E7DB6" w:rsidRPr="00A52AB8" w:rsidRDefault="001E7DB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 xml:space="preserve">If </w:t>
      </w:r>
      <w:r w:rsidR="00157874" w:rsidRPr="00A52AB8">
        <w:rPr>
          <w:color w:val="000000" w:themeColor="text1"/>
        </w:rPr>
        <w:t>AtlasBitstreamToDecode</w:t>
      </w:r>
      <w:r w:rsidRPr="00A52AB8">
        <w:rPr>
          <w:color w:val="000000" w:themeColor="text1"/>
        </w:rPr>
        <w:t xml:space="preserve"> is a Type I bitstream, n0 is equal to 1.</w:t>
      </w:r>
    </w:p>
    <w:p w14:paraId="613CA92A" w14:textId="77777777" w:rsidR="001E7DB6" w:rsidRPr="00A52AB8" w:rsidRDefault="001E7DB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Otherwise (</w:t>
      </w:r>
      <w:r w:rsidR="00157874" w:rsidRPr="00A52AB8">
        <w:rPr>
          <w:color w:val="000000" w:themeColor="text1"/>
        </w:rPr>
        <w:t>AtlasBitstreamToDecode</w:t>
      </w:r>
      <w:r w:rsidRPr="00A52AB8">
        <w:rPr>
          <w:color w:val="000000" w:themeColor="text1"/>
        </w:rPr>
        <w:t xml:space="preserve"> is a Type II bitstream), n0 is equal to 2.</w:t>
      </w:r>
    </w:p>
    <w:p w14:paraId="6F329290" w14:textId="19D8E632" w:rsidR="001E7DB6" w:rsidRPr="00A52AB8" w:rsidRDefault="001E7DB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n1 is equal to</w:t>
      </w:r>
      <w:r w:rsidR="00FF7DC4" w:rsidRPr="00A52AB8">
        <w:rPr>
          <w:color w:val="000000" w:themeColor="text1"/>
        </w:rPr>
        <w:t xml:space="preserve"> </w:t>
      </w:r>
      <w:r w:rsidR="00AD1842" w:rsidRPr="00A52AB8">
        <w:rPr>
          <w:color w:val="000000" w:themeColor="text1"/>
        </w:rPr>
        <w:t>hrd_</w:t>
      </w:r>
      <w:r w:rsidRPr="00A52AB8">
        <w:rPr>
          <w:color w:val="000000" w:themeColor="text1"/>
        </w:rPr>
        <w:t>cab_cnt_minus1</w:t>
      </w:r>
      <w:r w:rsidR="000E7C0D" w:rsidRPr="00A52AB8">
        <w:rPr>
          <w:color w:val="000000" w:themeColor="text1"/>
        </w:rPr>
        <w:t>[ Htid ]</w:t>
      </w:r>
      <w:r w:rsidRPr="00A52AB8">
        <w:rPr>
          <w:color w:val="000000" w:themeColor="text1"/>
        </w:rPr>
        <w:t> + 1.</w:t>
      </w:r>
    </w:p>
    <w:p w14:paraId="022D8425" w14:textId="72F69BF4" w:rsidR="001E7DB6" w:rsidRPr="00A52AB8" w:rsidRDefault="001E7DB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n2 is the number of </w:t>
      </w:r>
      <w:r w:rsidR="00117E6B" w:rsidRPr="00A52AB8">
        <w:rPr>
          <w:color w:val="000000" w:themeColor="text1"/>
        </w:rPr>
        <w:t xml:space="preserve">coded atlas </w:t>
      </w:r>
      <w:r w:rsidRPr="00A52AB8">
        <w:rPr>
          <w:color w:val="000000" w:themeColor="text1"/>
        </w:rPr>
        <w:t xml:space="preserve">access units in </w:t>
      </w:r>
      <w:r w:rsidR="00157874" w:rsidRPr="00A52AB8">
        <w:rPr>
          <w:color w:val="000000" w:themeColor="text1"/>
        </w:rPr>
        <w:t>AtlasBitstreamToDecode</w:t>
      </w:r>
      <w:r w:rsidRPr="00A52AB8">
        <w:rPr>
          <w:color w:val="000000" w:themeColor="text1"/>
        </w:rPr>
        <w:t xml:space="preserve"> that each is associated with a buffering period SEI message applicable to TargetOp and for each of which both of the following conditions are true:</w:t>
      </w:r>
    </w:p>
    <w:p w14:paraId="27332D39" w14:textId="4B54A584" w:rsidR="001E7DB6" w:rsidRPr="00A52AB8" w:rsidRDefault="001E7DB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nal_unit_type is equal to NAL_CRA</w:t>
      </w:r>
      <w:r w:rsidR="00107395" w:rsidRPr="00A52AB8">
        <w:rPr>
          <w:color w:val="000000" w:themeColor="text1"/>
        </w:rPr>
        <w:t>, NAL_</w:t>
      </w:r>
      <w:r w:rsidRPr="00A52AB8">
        <w:rPr>
          <w:color w:val="000000" w:themeColor="text1"/>
        </w:rPr>
        <w:t>BLA</w:t>
      </w:r>
      <w:r w:rsidR="00FA2700" w:rsidRPr="00A52AB8">
        <w:rPr>
          <w:color w:val="000000" w:themeColor="text1"/>
        </w:rPr>
        <w:t>_W_LP</w:t>
      </w:r>
      <w:r w:rsidR="00107395" w:rsidRPr="00A52AB8">
        <w:rPr>
          <w:color w:val="000000" w:themeColor="text1"/>
        </w:rPr>
        <w:t>,</w:t>
      </w:r>
      <w:r w:rsidR="005A186E" w:rsidRPr="00A52AB8">
        <w:rPr>
          <w:color w:val="000000" w:themeColor="text1"/>
        </w:rPr>
        <w:t xml:space="preserve"> NAL_</w:t>
      </w:r>
      <w:r w:rsidR="00107395" w:rsidRPr="00A52AB8">
        <w:rPr>
          <w:color w:val="000000" w:themeColor="text1"/>
        </w:rPr>
        <w:t>G</w:t>
      </w:r>
      <w:r w:rsidR="005A186E" w:rsidRPr="00A52AB8">
        <w:rPr>
          <w:color w:val="000000" w:themeColor="text1"/>
        </w:rPr>
        <w:t>CRA</w:t>
      </w:r>
      <w:r w:rsidR="00107395" w:rsidRPr="00A52AB8">
        <w:rPr>
          <w:color w:val="000000" w:themeColor="text1"/>
        </w:rPr>
        <w:t>, or NAL_G</w:t>
      </w:r>
      <w:r w:rsidR="005A186E" w:rsidRPr="00A52AB8">
        <w:rPr>
          <w:color w:val="000000" w:themeColor="text1"/>
        </w:rPr>
        <w:t>BLA</w:t>
      </w:r>
      <w:r w:rsidR="00FA2700" w:rsidRPr="00A52AB8">
        <w:rPr>
          <w:color w:val="000000" w:themeColor="text1"/>
        </w:rPr>
        <w:t>_W_LP</w:t>
      </w:r>
      <w:r w:rsidRPr="00A52AB8">
        <w:rPr>
          <w:color w:val="000000" w:themeColor="text1"/>
        </w:rPr>
        <w:t xml:space="preserve"> for the ACL NAL units.</w:t>
      </w:r>
    </w:p>
    <w:p w14:paraId="715ABCDF" w14:textId="77777777" w:rsidR="001E7DB6" w:rsidRPr="00A52AB8" w:rsidRDefault="001E7DB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pPr>
      <w:r w:rsidRPr="00A52AB8">
        <w:rPr>
          <w:color w:val="000000" w:themeColor="text1"/>
        </w:rPr>
        <w:t xml:space="preserve">The associated buffering period SEI message applicable to TargetOp has </w:t>
      </w:r>
      <w:r w:rsidR="00A055C9" w:rsidRPr="00A52AB8">
        <w:rPr>
          <w:color w:val="000000" w:themeColor="text1"/>
        </w:rPr>
        <w:t>bp_irap_cab_params_present</w:t>
      </w:r>
      <w:r w:rsidR="00A055C9" w:rsidRPr="00A52AB8">
        <w:t>_flag</w:t>
      </w:r>
      <w:r w:rsidRPr="00A52AB8">
        <w:t xml:space="preserve"> equal to 1.</w:t>
      </w:r>
    </w:p>
    <w:p w14:paraId="410CADB3" w14:textId="49106AFE" w:rsidR="001E7DB6" w:rsidRPr="00A52AB8" w:rsidRDefault="001E7DB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n3 is the number of </w:t>
      </w:r>
      <w:r w:rsidR="00117E6B" w:rsidRPr="00A52AB8">
        <w:rPr>
          <w:color w:val="000000" w:themeColor="text1"/>
        </w:rPr>
        <w:t xml:space="preserve">coded atlas </w:t>
      </w:r>
      <w:r w:rsidRPr="00A52AB8">
        <w:rPr>
          <w:color w:val="000000" w:themeColor="text1"/>
        </w:rPr>
        <w:t xml:space="preserve">access units in </w:t>
      </w:r>
      <w:r w:rsidR="00157874" w:rsidRPr="00A52AB8">
        <w:rPr>
          <w:color w:val="000000" w:themeColor="text1"/>
        </w:rPr>
        <w:t>AtlasBitstreamToDecode</w:t>
      </w:r>
      <w:r w:rsidRPr="00A52AB8">
        <w:rPr>
          <w:color w:val="000000" w:themeColor="text1"/>
        </w:rPr>
        <w:t xml:space="preserve"> that each is associated with a buffering period SEI message applicable to TargetOp and for each of which one or both of the following conditions are true:</w:t>
      </w:r>
    </w:p>
    <w:p w14:paraId="1E707B14" w14:textId="534B069B" w:rsidR="001E7DB6" w:rsidRPr="00A52AB8" w:rsidRDefault="001E7DB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 xml:space="preserve">nal_unit_type is not equal to </w:t>
      </w:r>
      <w:r w:rsidR="00FA2700" w:rsidRPr="00A52AB8">
        <w:rPr>
          <w:color w:val="000000" w:themeColor="text1"/>
        </w:rPr>
        <w:t xml:space="preserve">NAL_CRA, NAL_BLA_W_LP, </w:t>
      </w:r>
      <w:r w:rsidRPr="00A52AB8">
        <w:rPr>
          <w:color w:val="000000" w:themeColor="text1"/>
        </w:rPr>
        <w:t>NAL_GCRA</w:t>
      </w:r>
      <w:r w:rsidR="005A186E" w:rsidRPr="00A52AB8">
        <w:rPr>
          <w:color w:val="000000" w:themeColor="text1"/>
        </w:rPr>
        <w:t>,</w:t>
      </w:r>
      <w:r w:rsidR="00FA2700" w:rsidRPr="00A52AB8">
        <w:rPr>
          <w:color w:val="000000" w:themeColor="text1"/>
        </w:rPr>
        <w:t xml:space="preserve"> or </w:t>
      </w:r>
      <w:r w:rsidRPr="00A52AB8">
        <w:rPr>
          <w:color w:val="000000" w:themeColor="text1"/>
        </w:rPr>
        <w:t>NAL_GBLA</w:t>
      </w:r>
      <w:r w:rsidR="00FA2700" w:rsidRPr="00A52AB8">
        <w:rPr>
          <w:color w:val="000000" w:themeColor="text1"/>
        </w:rPr>
        <w:t>_W_LP</w:t>
      </w:r>
      <w:r w:rsidR="005A186E" w:rsidRPr="00A52AB8">
        <w:rPr>
          <w:color w:val="000000" w:themeColor="text1"/>
        </w:rPr>
        <w:t>, or</w:t>
      </w:r>
      <w:r w:rsidR="00FA2700" w:rsidRPr="00A52AB8">
        <w:rPr>
          <w:color w:val="000000" w:themeColor="text1"/>
        </w:rPr>
        <w:t xml:space="preserve"> </w:t>
      </w:r>
      <w:r w:rsidRPr="00A52AB8">
        <w:rPr>
          <w:color w:val="000000" w:themeColor="text1"/>
        </w:rPr>
        <w:t>for the ACL NAL units.</w:t>
      </w:r>
    </w:p>
    <w:p w14:paraId="5C2E79F1" w14:textId="77777777" w:rsidR="001E7DB6" w:rsidRPr="00A52AB8" w:rsidRDefault="001E7DB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 xml:space="preserve">The associated buffering period SEI message applicable to TargetOp has </w:t>
      </w:r>
      <w:r w:rsidR="00A055C9" w:rsidRPr="00A52AB8">
        <w:rPr>
          <w:color w:val="000000" w:themeColor="text1"/>
        </w:rPr>
        <w:t>bp_</w:t>
      </w:r>
      <w:r w:rsidRPr="00A52AB8">
        <w:rPr>
          <w:color w:val="000000" w:themeColor="text1"/>
        </w:rPr>
        <w:t>irap_cab_params_present_flag equal to 0.</w:t>
      </w:r>
    </w:p>
    <w:p w14:paraId="7E08FDEB" w14:textId="3103D6F2" w:rsidR="001E7DB6" w:rsidRPr="00A52AB8" w:rsidRDefault="001E7DB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n4 is equal to </w:t>
      </w:r>
      <w:r w:rsidR="00525DAF" w:rsidRPr="00A52AB8">
        <w:rPr>
          <w:color w:val="000000" w:themeColor="text1"/>
        </w:rPr>
        <w:t>1</w:t>
      </w:r>
      <w:r w:rsidRPr="00A52AB8">
        <w:rPr>
          <w:color w:val="000000" w:themeColor="text1"/>
        </w:rPr>
        <w:t>.</w:t>
      </w:r>
    </w:p>
    <w:p w14:paraId="3CFFA5F6" w14:textId="1BEADEAF" w:rsidR="001F0896" w:rsidRPr="00A52AB8" w:rsidRDefault="00E417B0" w:rsidP="008257EF">
      <w:pPr>
        <w:pStyle w:val="Note1"/>
        <w:rPr>
          <w:rFonts w:ascii="Cambria" w:hAnsi="Cambria"/>
        </w:rPr>
      </w:pPr>
      <w:r w:rsidRPr="00A52AB8">
        <w:rPr>
          <w:rFonts w:ascii="Cambria" w:hAnsi="Cambria"/>
        </w:rPr>
        <w:t>NOTE</w:t>
      </w:r>
      <w:r w:rsidR="008257EF" w:rsidRPr="00A52AB8">
        <w:rPr>
          <w:rFonts w:ascii="Cambria" w:hAnsi="Cambria"/>
        </w:rPr>
        <w:t> </w:t>
      </w:r>
      <w:r w:rsidR="008257EF" w:rsidRPr="00496A4D">
        <w:rPr>
          <w:rFonts w:ascii="Cambria" w:hAnsi="Cambria"/>
        </w:rPr>
        <w:fldChar w:fldCharType="begin"/>
      </w:r>
      <w:r w:rsidR="008257EF" w:rsidRPr="00A52AB8">
        <w:rPr>
          <w:rFonts w:ascii="Cambria" w:hAnsi="Cambria"/>
        </w:rPr>
        <w:instrText xml:space="preserve"> SEQ NoteCounter \r 1 </w:instrText>
      </w:r>
      <w:r w:rsidR="008257EF" w:rsidRPr="00496A4D">
        <w:rPr>
          <w:rFonts w:ascii="Cambria" w:hAnsi="Cambria"/>
        </w:rPr>
        <w:fldChar w:fldCharType="separate"/>
      </w:r>
      <w:r w:rsidR="00507A67">
        <w:rPr>
          <w:rFonts w:ascii="Cambria" w:hAnsi="Cambria"/>
          <w:noProof/>
        </w:rPr>
        <w:t>1</w:t>
      </w:r>
      <w:r w:rsidR="008257EF" w:rsidRPr="00496A4D">
        <w:rPr>
          <w:rFonts w:ascii="Cambria" w:hAnsi="Cambria"/>
        </w:rPr>
        <w:fldChar w:fldCharType="end"/>
      </w:r>
      <w:r w:rsidRPr="00A52AB8">
        <w:rPr>
          <w:rFonts w:ascii="Cambria" w:hAnsi="Cambria"/>
        </w:rPr>
        <w:t> –</w:t>
      </w:r>
      <w:r w:rsidR="008257EF" w:rsidRPr="00A52AB8">
        <w:rPr>
          <w:rFonts w:ascii="Cambria" w:hAnsi="Cambria"/>
        </w:rPr>
        <w:t> </w:t>
      </w:r>
      <w:r w:rsidRPr="00A52AB8">
        <w:rPr>
          <w:rFonts w:ascii="Cambria" w:hAnsi="Cambria"/>
        </w:rPr>
        <w:t xml:space="preserve">n0 corresponds to conformance tests for Type I bitstream conformance and Type II bitstream conformance. n1 corresponds to conformance tests for each CAB delivery schedule. n2 corresponds to conformance tests for bitstreams starting at each CRA coded atlas frames with associated RASL coded atlas frames and alternative initial CAB removal delay and delay offset present. These test are carried twice: once for bitstream keeping and once for bitstreams removing RASL coded atlas associated with the CRA. n3 corresponds to conformance tests for bitstreams starting at each IRAP coded atlas that is not a CRA with associated RASL coded atlas frames and alternative initial CAB removal delay and delay offset present. n4 </w:t>
      </w:r>
      <w:r w:rsidR="00525DAF" w:rsidRPr="00A52AB8">
        <w:rPr>
          <w:rFonts w:ascii="Cambria" w:hAnsi="Cambria"/>
        </w:rPr>
        <w:t>corresponds to conformance tests for access unit based conformance</w:t>
      </w:r>
      <w:r w:rsidRPr="00A52AB8">
        <w:rPr>
          <w:rFonts w:ascii="Cambria" w:hAnsi="Cambria"/>
        </w:rPr>
        <w:t>.</w:t>
      </w:r>
    </w:p>
    <w:p w14:paraId="3A022BBD" w14:textId="77777777" w:rsidR="001E7DB6" w:rsidRPr="00A52AB8" w:rsidRDefault="001E7DB6">
      <w:r w:rsidRPr="00A52AB8">
        <w:t>When AtlasBitstreamToDecode is a Type II patch bitstream, the following applies:</w:t>
      </w:r>
    </w:p>
    <w:p w14:paraId="0054C5CF" w14:textId="776D29DA" w:rsidR="001E7DB6" w:rsidRPr="00A52AB8" w:rsidRDefault="001E7DB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If the </w:t>
      </w:r>
      <w:r w:rsidR="0049473B" w:rsidRPr="00A52AB8">
        <w:rPr>
          <w:color w:val="000000" w:themeColor="text1"/>
        </w:rPr>
        <w:t>hrd_sub_layer_parameters</w:t>
      </w:r>
      <w:r w:rsidRPr="00A52AB8">
        <w:rPr>
          <w:color w:val="000000" w:themeColor="text1"/>
        </w:rPr>
        <w:t>(</w:t>
      </w:r>
      <w:r w:rsidR="00D1030D" w:rsidRPr="00A52AB8">
        <w:rPr>
          <w:color w:val="000000" w:themeColor="text1"/>
        </w:rPr>
        <w:t> </w:t>
      </w:r>
      <w:r w:rsidR="00005AB0" w:rsidRPr="00A52AB8">
        <w:rPr>
          <w:color w:val="000000" w:themeColor="text1"/>
        </w:rPr>
        <w:t>1</w:t>
      </w:r>
      <w:r w:rsidR="00D1030D" w:rsidRPr="00A52AB8">
        <w:rPr>
          <w:color w:val="000000" w:themeColor="text1"/>
        </w:rPr>
        <w:t>,</w:t>
      </w:r>
      <w:r w:rsidRPr="00A52AB8">
        <w:rPr>
          <w:color w:val="000000" w:themeColor="text1"/>
        </w:rPr>
        <w:t> </w:t>
      </w:r>
      <w:r w:rsidR="00286BCF" w:rsidRPr="00A52AB8">
        <w:rPr>
          <w:color w:val="000000" w:themeColor="text1"/>
        </w:rPr>
        <w:t>Htid </w:t>
      </w:r>
      <w:r w:rsidRPr="00A52AB8">
        <w:rPr>
          <w:color w:val="000000" w:themeColor="text1"/>
        </w:rPr>
        <w:t>) syntax structure that immediately follows the condition "if( </w:t>
      </w:r>
      <w:r w:rsidR="000A4F0E" w:rsidRPr="00A52AB8">
        <w:rPr>
          <w:color w:val="000000" w:themeColor="text1"/>
        </w:rPr>
        <w:t>hrd_acl_parameters_present_flag</w:t>
      </w:r>
      <w:r w:rsidRPr="00A52AB8">
        <w:rPr>
          <w:color w:val="000000" w:themeColor="text1"/>
        </w:rPr>
        <w:t xml:space="preserve"> )" is selected, the test is conducted at the Type I conformance point shown in </w:t>
      </w:r>
      <w:r w:rsidR="0031404A" w:rsidRPr="00496A4D">
        <w:rPr>
          <w:color w:val="000000" w:themeColor="text1"/>
        </w:rPr>
        <w:fldChar w:fldCharType="begin"/>
      </w:r>
      <w:r w:rsidR="0031404A" w:rsidRPr="00A52AB8">
        <w:rPr>
          <w:color w:val="000000" w:themeColor="text1"/>
        </w:rPr>
        <w:instrText xml:space="preserve"> REF _Ref49257883 \h </w:instrText>
      </w:r>
      <w:r w:rsidR="00B134D2" w:rsidRPr="00A52AB8">
        <w:rPr>
          <w:color w:val="000000" w:themeColor="text1"/>
        </w:rPr>
        <w:instrText xml:space="preserve"> \* MERGEFORMAT </w:instrText>
      </w:r>
      <w:r w:rsidR="0031404A" w:rsidRPr="00496A4D">
        <w:rPr>
          <w:color w:val="000000" w:themeColor="text1"/>
        </w:rPr>
      </w:r>
      <w:r w:rsidR="0031404A" w:rsidRPr="00496A4D">
        <w:rPr>
          <w:color w:val="000000" w:themeColor="text1"/>
        </w:rPr>
        <w:fldChar w:fldCharType="separate"/>
      </w:r>
      <w:r w:rsidR="00507A67" w:rsidRPr="00507A67">
        <w:rPr>
          <w:color w:val="000000" w:themeColor="text1"/>
        </w:rPr>
        <w:t>Figure E-1</w:t>
      </w:r>
      <w:r w:rsidR="0031404A" w:rsidRPr="00496A4D">
        <w:rPr>
          <w:color w:val="000000" w:themeColor="text1"/>
        </w:rPr>
        <w:fldChar w:fldCharType="end"/>
      </w:r>
      <w:r w:rsidRPr="00A52AB8">
        <w:rPr>
          <w:color w:val="000000" w:themeColor="text1"/>
        </w:rPr>
        <w:t>, and only ACL and filler data NAL units are counted for the input bit rate and CAB storage.</w:t>
      </w:r>
    </w:p>
    <w:p w14:paraId="4F354900" w14:textId="1170353C" w:rsidR="001E7DB6" w:rsidRPr="00A52AB8" w:rsidRDefault="001E7DB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Otherwise (the </w:t>
      </w:r>
      <w:r w:rsidR="0049473B" w:rsidRPr="00A52AB8">
        <w:rPr>
          <w:color w:val="000000" w:themeColor="text1"/>
        </w:rPr>
        <w:t>hrd_sub_layer_parameters</w:t>
      </w:r>
      <w:r w:rsidRPr="00A52AB8">
        <w:rPr>
          <w:color w:val="000000" w:themeColor="text1"/>
        </w:rPr>
        <w:t>(</w:t>
      </w:r>
      <w:r w:rsidR="00D1030D" w:rsidRPr="00A52AB8">
        <w:rPr>
          <w:color w:val="000000" w:themeColor="text1"/>
        </w:rPr>
        <w:t> </w:t>
      </w:r>
      <w:r w:rsidR="00005AB0" w:rsidRPr="00A52AB8">
        <w:rPr>
          <w:color w:val="000000" w:themeColor="text1"/>
        </w:rPr>
        <w:t>0</w:t>
      </w:r>
      <w:r w:rsidR="00D1030D" w:rsidRPr="00A52AB8">
        <w:rPr>
          <w:color w:val="000000" w:themeColor="text1"/>
        </w:rPr>
        <w:t>,</w:t>
      </w:r>
      <w:r w:rsidRPr="00A52AB8">
        <w:rPr>
          <w:color w:val="000000" w:themeColor="text1"/>
        </w:rPr>
        <w:t> </w:t>
      </w:r>
      <w:r w:rsidR="00286BCF" w:rsidRPr="00A52AB8">
        <w:rPr>
          <w:color w:val="000000" w:themeColor="text1"/>
        </w:rPr>
        <w:t>Htid </w:t>
      </w:r>
      <w:r w:rsidRPr="00A52AB8">
        <w:rPr>
          <w:color w:val="000000" w:themeColor="text1"/>
        </w:rPr>
        <w:t>) syntax structure that immediately follows the condition "if( </w:t>
      </w:r>
      <w:r w:rsidR="000A4F0E" w:rsidRPr="00A52AB8">
        <w:rPr>
          <w:color w:val="000000" w:themeColor="text1"/>
        </w:rPr>
        <w:t>hrd_nal_parameters_present_flag</w:t>
      </w:r>
      <w:r w:rsidRPr="00A52AB8">
        <w:rPr>
          <w:color w:val="000000" w:themeColor="text1"/>
        </w:rPr>
        <w:t> )" is selected</w:t>
      </w:r>
      <w:r w:rsidR="00EA7397" w:rsidRPr="00A52AB8">
        <w:rPr>
          <w:color w:val="000000" w:themeColor="text1"/>
        </w:rPr>
        <w:t>)</w:t>
      </w:r>
      <w:r w:rsidRPr="00A52AB8">
        <w:rPr>
          <w:color w:val="000000" w:themeColor="text1"/>
        </w:rPr>
        <w:t xml:space="preserve">, the test is conducted at the Type II conformance point shown in </w:t>
      </w:r>
      <w:r w:rsidR="0031404A" w:rsidRPr="00496A4D">
        <w:rPr>
          <w:color w:val="000000" w:themeColor="text1"/>
        </w:rPr>
        <w:fldChar w:fldCharType="begin"/>
      </w:r>
      <w:r w:rsidR="0031404A" w:rsidRPr="00A52AB8">
        <w:rPr>
          <w:color w:val="000000" w:themeColor="text1"/>
        </w:rPr>
        <w:instrText xml:space="preserve"> REF _Ref49257883 \h </w:instrText>
      </w:r>
      <w:r w:rsidR="00B134D2" w:rsidRPr="00A52AB8">
        <w:rPr>
          <w:color w:val="000000" w:themeColor="text1"/>
        </w:rPr>
        <w:instrText xml:space="preserve"> \* MERGEFORMAT </w:instrText>
      </w:r>
      <w:r w:rsidR="0031404A" w:rsidRPr="00496A4D">
        <w:rPr>
          <w:color w:val="000000" w:themeColor="text1"/>
        </w:rPr>
      </w:r>
      <w:r w:rsidR="0031404A" w:rsidRPr="00496A4D">
        <w:rPr>
          <w:color w:val="000000" w:themeColor="text1"/>
        </w:rPr>
        <w:fldChar w:fldCharType="separate"/>
      </w:r>
      <w:r w:rsidR="00507A67" w:rsidRPr="00507A67">
        <w:rPr>
          <w:color w:val="000000" w:themeColor="text1"/>
        </w:rPr>
        <w:t>Figure E-1</w:t>
      </w:r>
      <w:r w:rsidR="0031404A" w:rsidRPr="00496A4D">
        <w:rPr>
          <w:color w:val="000000" w:themeColor="text1"/>
        </w:rPr>
        <w:fldChar w:fldCharType="end"/>
      </w:r>
      <w:r w:rsidRPr="00A52AB8">
        <w:rPr>
          <w:color w:val="000000" w:themeColor="text1"/>
        </w:rPr>
        <w:t>, and all bytes of the Type II bitstream, which is a NAL unit stream, are counted for the input bit rate and CAB storage.</w:t>
      </w:r>
    </w:p>
    <w:p w14:paraId="4A3E64AF" w14:textId="5E14543F" w:rsidR="001E7DB6" w:rsidRPr="00A52AB8" w:rsidRDefault="001E7DB6">
      <w:pPr>
        <w:pStyle w:val="Note1"/>
        <w:rPr>
          <w:rFonts w:ascii="Cambria" w:hAnsi="Cambria"/>
        </w:rPr>
      </w:pPr>
      <w:r w:rsidRPr="00A52AB8">
        <w:rPr>
          <w:rFonts w:ascii="Cambria" w:hAnsi="Cambria"/>
        </w:rPr>
        <w:t>NOTE</w:t>
      </w:r>
      <w:r w:rsidR="00F25475" w:rsidRPr="00A52AB8">
        <w:rPr>
          <w:rFonts w:ascii="Cambria" w:hAnsi="Cambria"/>
        </w:rPr>
        <w:t> </w:t>
      </w:r>
      <w:r w:rsidR="008257EF" w:rsidRPr="00496A4D">
        <w:rPr>
          <w:rFonts w:ascii="Cambria" w:hAnsi="Cambria"/>
        </w:rPr>
        <w:fldChar w:fldCharType="begin"/>
      </w:r>
      <w:r w:rsidR="008257EF" w:rsidRPr="00A52AB8">
        <w:rPr>
          <w:rFonts w:ascii="Cambria" w:hAnsi="Cambria"/>
        </w:rPr>
        <w:instrText xml:space="preserve"> SEQ NoteCounter \s 9 \* MERGEFORMAT  \* MERGEFORMAT  \* MERGEFORMAT </w:instrText>
      </w:r>
      <w:r w:rsidR="008257EF" w:rsidRPr="00496A4D">
        <w:rPr>
          <w:rFonts w:ascii="Cambria" w:hAnsi="Cambria"/>
        </w:rPr>
        <w:fldChar w:fldCharType="separate"/>
      </w:r>
      <w:r w:rsidR="00507A67">
        <w:rPr>
          <w:rFonts w:ascii="Cambria" w:hAnsi="Cambria"/>
          <w:noProof/>
        </w:rPr>
        <w:t>2</w:t>
      </w:r>
      <w:r w:rsidR="008257EF" w:rsidRPr="00496A4D">
        <w:rPr>
          <w:rFonts w:ascii="Cambria" w:hAnsi="Cambria"/>
        </w:rPr>
        <w:fldChar w:fldCharType="end"/>
      </w:r>
      <w:r w:rsidR="00E417B0" w:rsidRPr="00A52AB8">
        <w:rPr>
          <w:rFonts w:ascii="Cambria" w:hAnsi="Cambria"/>
        </w:rPr>
        <w:t> </w:t>
      </w:r>
      <w:r w:rsidRPr="00A52AB8">
        <w:rPr>
          <w:rFonts w:ascii="Cambria" w:hAnsi="Cambria"/>
        </w:rPr>
        <w:t xml:space="preserve">– NAL HRD parameters established by a value of SchedSelIdx for the Type II conformance point shown in </w:t>
      </w:r>
      <w:r w:rsidR="00145478" w:rsidRPr="00A52AB8">
        <w:rPr>
          <w:rFonts w:ascii="Cambria" w:hAnsi="Cambria"/>
        </w:rPr>
        <w:br/>
      </w:r>
      <w:r w:rsidR="0031404A" w:rsidRPr="00496A4D">
        <w:rPr>
          <w:rFonts w:ascii="Cambria" w:hAnsi="Cambria"/>
        </w:rPr>
        <w:fldChar w:fldCharType="begin"/>
      </w:r>
      <w:r w:rsidR="0031404A" w:rsidRPr="00A52AB8">
        <w:rPr>
          <w:rFonts w:ascii="Cambria" w:hAnsi="Cambria"/>
        </w:rPr>
        <w:instrText xml:space="preserve"> REF _Ref49257883 \h </w:instrText>
      </w:r>
      <w:r w:rsidR="00007BE2" w:rsidRPr="00A52AB8">
        <w:rPr>
          <w:rFonts w:ascii="Cambria" w:hAnsi="Cambria"/>
        </w:rPr>
        <w:instrText xml:space="preserve"> \* MERGEFORMAT </w:instrText>
      </w:r>
      <w:r w:rsidR="0031404A" w:rsidRPr="00496A4D">
        <w:rPr>
          <w:rFonts w:ascii="Cambria" w:hAnsi="Cambria"/>
        </w:rPr>
      </w:r>
      <w:r w:rsidR="0031404A" w:rsidRPr="00496A4D">
        <w:rPr>
          <w:rFonts w:ascii="Cambria" w:hAnsi="Cambria"/>
        </w:rPr>
        <w:fldChar w:fldCharType="separate"/>
      </w:r>
      <w:r w:rsidR="00507A67" w:rsidRPr="00A52AB8">
        <w:rPr>
          <w:rFonts w:ascii="Cambria" w:hAnsi="Cambria" w:cs="Calibri"/>
        </w:rPr>
        <w:t xml:space="preserve">Figure </w:t>
      </w:r>
      <w:r w:rsidR="00507A67" w:rsidRPr="00507A67">
        <w:rPr>
          <w:rFonts w:ascii="Cambria" w:hAnsi="Cambria" w:cs="Calibri"/>
          <w:bCs/>
        </w:rPr>
        <w:t>E-</w:t>
      </w:r>
      <w:r w:rsidR="00507A67">
        <w:rPr>
          <w:rFonts w:ascii="Cambria" w:hAnsi="Cambria" w:cs="Calibri"/>
          <w:bCs/>
        </w:rPr>
        <w:t>1</w:t>
      </w:r>
      <w:r w:rsidR="0031404A" w:rsidRPr="00496A4D">
        <w:rPr>
          <w:rFonts w:ascii="Cambria" w:hAnsi="Cambria"/>
        </w:rPr>
        <w:fldChar w:fldCharType="end"/>
      </w:r>
      <w:r w:rsidR="0031404A" w:rsidRPr="00A52AB8">
        <w:rPr>
          <w:rFonts w:ascii="Cambria" w:hAnsi="Cambria"/>
        </w:rPr>
        <w:t xml:space="preserve"> </w:t>
      </w:r>
      <w:r w:rsidRPr="00A52AB8">
        <w:rPr>
          <w:rFonts w:ascii="Cambria" w:hAnsi="Cambria"/>
        </w:rPr>
        <w:t xml:space="preserve">are sufficient to also establish ACL HRD conformance for the Type I conformance point shown in </w:t>
      </w:r>
      <w:r w:rsidR="0031404A" w:rsidRPr="00496A4D">
        <w:rPr>
          <w:rFonts w:ascii="Cambria" w:hAnsi="Cambria"/>
        </w:rPr>
        <w:fldChar w:fldCharType="begin"/>
      </w:r>
      <w:r w:rsidR="0031404A" w:rsidRPr="00A52AB8">
        <w:rPr>
          <w:rFonts w:ascii="Cambria" w:hAnsi="Cambria"/>
        </w:rPr>
        <w:instrText xml:space="preserve"> REF _Ref49257883 \h </w:instrText>
      </w:r>
      <w:r w:rsidR="00007BE2" w:rsidRPr="00A52AB8">
        <w:rPr>
          <w:rFonts w:ascii="Cambria" w:hAnsi="Cambria"/>
        </w:rPr>
        <w:instrText xml:space="preserve"> \* MERGEFORMAT </w:instrText>
      </w:r>
      <w:r w:rsidR="0031404A" w:rsidRPr="00496A4D">
        <w:rPr>
          <w:rFonts w:ascii="Cambria" w:hAnsi="Cambria"/>
        </w:rPr>
      </w:r>
      <w:r w:rsidR="0031404A" w:rsidRPr="00496A4D">
        <w:rPr>
          <w:rFonts w:ascii="Cambria" w:hAnsi="Cambria"/>
        </w:rPr>
        <w:fldChar w:fldCharType="separate"/>
      </w:r>
      <w:r w:rsidR="00507A67" w:rsidRPr="00A52AB8">
        <w:rPr>
          <w:rFonts w:ascii="Cambria" w:hAnsi="Cambria" w:cs="Calibri"/>
        </w:rPr>
        <w:t xml:space="preserve">Figure </w:t>
      </w:r>
      <w:r w:rsidR="00507A67" w:rsidRPr="00507A67">
        <w:rPr>
          <w:rFonts w:ascii="Cambria" w:hAnsi="Cambria" w:cs="Calibri"/>
          <w:bCs/>
        </w:rPr>
        <w:t>E-</w:t>
      </w:r>
      <w:r w:rsidR="00507A67">
        <w:rPr>
          <w:rFonts w:ascii="Cambria" w:hAnsi="Cambria" w:cs="Calibri"/>
          <w:bCs/>
        </w:rPr>
        <w:t>1</w:t>
      </w:r>
      <w:r w:rsidR="0031404A" w:rsidRPr="00496A4D">
        <w:rPr>
          <w:rFonts w:ascii="Cambria" w:hAnsi="Cambria"/>
        </w:rPr>
        <w:fldChar w:fldCharType="end"/>
      </w:r>
      <w:r w:rsidR="0031404A" w:rsidRPr="00A52AB8">
        <w:rPr>
          <w:rFonts w:ascii="Cambria" w:hAnsi="Cambria"/>
        </w:rPr>
        <w:t xml:space="preserve"> </w:t>
      </w:r>
      <w:r w:rsidRPr="00A52AB8">
        <w:rPr>
          <w:rFonts w:ascii="Cambria" w:hAnsi="Cambria"/>
        </w:rPr>
        <w:t>for the same values of InitCabRemovalDelay</w:t>
      </w:r>
      <w:r w:rsidR="00117E6B" w:rsidRPr="00A52AB8">
        <w:rPr>
          <w:rFonts w:ascii="Cambria" w:hAnsi="Cambria"/>
        </w:rPr>
        <w:t>[ Htid ]</w:t>
      </w:r>
      <w:r w:rsidRPr="00A52AB8">
        <w:rPr>
          <w:rFonts w:ascii="Cambria" w:hAnsi="Cambria"/>
        </w:rPr>
        <w:t>[ SchedSelIdx ], BitRate</w:t>
      </w:r>
      <w:r w:rsidR="00325C0B" w:rsidRPr="00A52AB8">
        <w:rPr>
          <w:rFonts w:ascii="Cambria" w:hAnsi="Cambria"/>
        </w:rPr>
        <w:t>[ !NalHrdModeFlag ]</w:t>
      </w:r>
      <w:r w:rsidR="00117E6B" w:rsidRPr="00A52AB8">
        <w:rPr>
          <w:rFonts w:ascii="Cambria" w:hAnsi="Cambria"/>
        </w:rPr>
        <w:t>[ Htid ]</w:t>
      </w:r>
      <w:r w:rsidRPr="00A52AB8">
        <w:rPr>
          <w:rFonts w:ascii="Cambria" w:hAnsi="Cambria"/>
        </w:rPr>
        <w:t>[ SchedSelIdx ] and CabSize</w:t>
      </w:r>
      <w:r w:rsidR="00325C0B" w:rsidRPr="00A52AB8">
        <w:rPr>
          <w:rFonts w:ascii="Cambria" w:hAnsi="Cambria"/>
        </w:rPr>
        <w:t>[ !NalHrdModeFlag ]</w:t>
      </w:r>
      <w:r w:rsidR="00117E6B" w:rsidRPr="00A52AB8">
        <w:rPr>
          <w:rFonts w:ascii="Cambria" w:hAnsi="Cambria"/>
        </w:rPr>
        <w:t>[ Htid ]</w:t>
      </w:r>
      <w:r w:rsidRPr="00A52AB8">
        <w:rPr>
          <w:rFonts w:ascii="Cambria" w:hAnsi="Cambria"/>
        </w:rPr>
        <w:t>[ SchedSelIdx ] for the variable bit rate (VBR) case (</w:t>
      </w:r>
      <w:r w:rsidR="00A055C9" w:rsidRPr="00A52AB8">
        <w:rPr>
          <w:rFonts w:ascii="Cambria" w:hAnsi="Cambria"/>
        </w:rPr>
        <w:t>hrd_</w:t>
      </w:r>
      <w:r w:rsidRPr="00A52AB8">
        <w:rPr>
          <w:rFonts w:ascii="Cambria" w:hAnsi="Cambria"/>
        </w:rPr>
        <w:t>cbr_flag</w:t>
      </w:r>
      <w:r w:rsidR="00325C0B" w:rsidRPr="00A52AB8">
        <w:rPr>
          <w:rFonts w:ascii="Cambria" w:hAnsi="Cambria"/>
        </w:rPr>
        <w:t>[ !NalHrdModeFlag ]</w:t>
      </w:r>
      <w:r w:rsidR="00117E6B" w:rsidRPr="00A52AB8">
        <w:rPr>
          <w:rFonts w:ascii="Cambria" w:hAnsi="Cambria"/>
        </w:rPr>
        <w:t>[ Htid ]</w:t>
      </w:r>
      <w:r w:rsidRPr="00A52AB8">
        <w:rPr>
          <w:rFonts w:ascii="Cambria" w:hAnsi="Cambria"/>
        </w:rPr>
        <w:t xml:space="preserve">[ SchedSelIdx ] equal to 0). This is because the data flow into the Type I conformance point is a subset of the data flow into the Type II conformance point and because, for the VBR case, the CAB is allowed to become empty and stay empty until the time a next atlas </w:t>
      </w:r>
      <w:r w:rsidR="000A4F0E" w:rsidRPr="00A52AB8">
        <w:rPr>
          <w:rFonts w:ascii="Cambria" w:hAnsi="Cambria"/>
        </w:rPr>
        <w:t xml:space="preserve">frame </w:t>
      </w:r>
      <w:r w:rsidRPr="00A52AB8">
        <w:rPr>
          <w:rFonts w:ascii="Cambria" w:hAnsi="Cambria"/>
        </w:rPr>
        <w:t xml:space="preserve">is scheduled to begin to arrive. For example, when decoding a CAS </w:t>
      </w:r>
      <w:r w:rsidR="0016204E" w:rsidRPr="00A52AB8">
        <w:rPr>
          <w:rFonts w:ascii="Cambria" w:hAnsi="Cambria"/>
        </w:rPr>
        <w:t xml:space="preserve">that is associated with a CVS </w:t>
      </w:r>
      <w:r w:rsidRPr="00A52AB8">
        <w:rPr>
          <w:rFonts w:ascii="Cambria" w:hAnsi="Cambria"/>
        </w:rPr>
        <w:t>conforming to one or more of the profiles specified in </w:t>
      </w:r>
      <w:r w:rsidR="00A055C9" w:rsidRPr="00496A4D">
        <w:rPr>
          <w:rFonts w:ascii="Cambria" w:hAnsi="Cambria"/>
        </w:rPr>
        <w:fldChar w:fldCharType="begin"/>
      </w:r>
      <w:r w:rsidR="00A055C9" w:rsidRPr="00A52AB8">
        <w:rPr>
          <w:rFonts w:ascii="Cambria" w:hAnsi="Cambria"/>
        </w:rPr>
        <w:instrText xml:space="preserve"> REF _Ref21508199 \r \h </w:instrText>
      </w:r>
      <w:r w:rsidR="00025423" w:rsidRPr="00A52AB8">
        <w:rPr>
          <w:rFonts w:ascii="Cambria" w:hAnsi="Cambria"/>
        </w:rPr>
        <w:instrText xml:space="preserve"> \* MERGEFORMAT </w:instrText>
      </w:r>
      <w:r w:rsidR="00A055C9" w:rsidRPr="00496A4D">
        <w:rPr>
          <w:rFonts w:ascii="Cambria" w:hAnsi="Cambria"/>
        </w:rPr>
      </w:r>
      <w:r w:rsidR="00A055C9" w:rsidRPr="00496A4D">
        <w:rPr>
          <w:rFonts w:ascii="Cambria" w:hAnsi="Cambria"/>
        </w:rPr>
        <w:fldChar w:fldCharType="separate"/>
      </w:r>
      <w:r w:rsidR="00507A67">
        <w:rPr>
          <w:rFonts w:ascii="Cambria" w:hAnsi="Cambria"/>
        </w:rPr>
        <w:t>Annex A</w:t>
      </w:r>
      <w:r w:rsidR="00A055C9" w:rsidRPr="00496A4D">
        <w:rPr>
          <w:rFonts w:ascii="Cambria" w:hAnsi="Cambria"/>
        </w:rPr>
        <w:fldChar w:fldCharType="end"/>
      </w:r>
      <w:r w:rsidR="005A186E" w:rsidRPr="00A52AB8">
        <w:rPr>
          <w:rFonts w:ascii="Cambria" w:hAnsi="Cambria"/>
        </w:rPr>
        <w:t xml:space="preserve"> </w:t>
      </w:r>
      <w:r w:rsidRPr="00A52AB8">
        <w:rPr>
          <w:rFonts w:ascii="Cambria" w:hAnsi="Cambria"/>
        </w:rPr>
        <w:t xml:space="preserve">using the decoding process specified in </w:t>
      </w:r>
      <w:r w:rsidR="00406A86" w:rsidRPr="00A52AB8">
        <w:rPr>
          <w:rFonts w:ascii="Cambria" w:hAnsi="Cambria"/>
        </w:rPr>
        <w:t>subclause</w:t>
      </w:r>
      <w:r w:rsidR="0083155D" w:rsidRPr="00A52AB8">
        <w:rPr>
          <w:rFonts w:ascii="Cambria" w:hAnsi="Cambria"/>
        </w:rPr>
        <w:t> </w:t>
      </w:r>
      <w:r w:rsidR="0083155D" w:rsidRPr="00496A4D">
        <w:rPr>
          <w:rFonts w:ascii="Cambria" w:hAnsi="Cambria"/>
        </w:rPr>
        <w:fldChar w:fldCharType="begin"/>
      </w:r>
      <w:r w:rsidR="0083155D" w:rsidRPr="00A52AB8">
        <w:rPr>
          <w:rFonts w:ascii="Cambria" w:hAnsi="Cambria"/>
        </w:rPr>
        <w:instrText xml:space="preserve"> REF _Ref516064467 \r \h </w:instrText>
      </w:r>
      <w:r w:rsidR="00025423" w:rsidRPr="00A52AB8">
        <w:rPr>
          <w:rFonts w:ascii="Cambria" w:hAnsi="Cambria"/>
        </w:rPr>
        <w:instrText xml:space="preserve"> \* MERGEFORMAT </w:instrText>
      </w:r>
      <w:r w:rsidR="0083155D" w:rsidRPr="00496A4D">
        <w:rPr>
          <w:rFonts w:ascii="Cambria" w:hAnsi="Cambria"/>
        </w:rPr>
      </w:r>
      <w:r w:rsidR="0083155D" w:rsidRPr="00496A4D">
        <w:rPr>
          <w:rFonts w:ascii="Cambria" w:hAnsi="Cambria"/>
        </w:rPr>
        <w:fldChar w:fldCharType="separate"/>
      </w:r>
      <w:r w:rsidR="00507A67">
        <w:rPr>
          <w:rFonts w:ascii="Cambria" w:hAnsi="Cambria"/>
        </w:rPr>
        <w:t>9.2</w:t>
      </w:r>
      <w:r w:rsidR="0083155D" w:rsidRPr="00496A4D">
        <w:rPr>
          <w:rFonts w:ascii="Cambria" w:hAnsi="Cambria"/>
        </w:rPr>
        <w:fldChar w:fldCharType="end"/>
      </w:r>
      <w:r w:rsidRPr="00A52AB8">
        <w:rPr>
          <w:rFonts w:ascii="Cambria" w:hAnsi="Cambria"/>
        </w:rPr>
        <w:t>.</w:t>
      </w:r>
    </w:p>
    <w:p w14:paraId="2ED2AE02" w14:textId="005EB491" w:rsidR="0050235C" w:rsidRPr="00A52AB8" w:rsidRDefault="001E7DB6">
      <w:r w:rsidRPr="00A52AB8">
        <w:t xml:space="preserve">All </w:t>
      </w:r>
      <w:r w:rsidR="000A4F0E" w:rsidRPr="00A52AB8">
        <w:t xml:space="preserve">AAPS, </w:t>
      </w:r>
      <w:r w:rsidRPr="00A52AB8">
        <w:t>ASPSs</w:t>
      </w:r>
      <w:r w:rsidR="000A4F0E" w:rsidRPr="00A52AB8">
        <w:t>,</w:t>
      </w:r>
      <w:r w:rsidRPr="00A52AB8">
        <w:t xml:space="preserve"> and AFPSs referred to in the ACL NAL units and the corresponding buffering period and atlas </w:t>
      </w:r>
      <w:r w:rsidR="00FA2700" w:rsidRPr="00A52AB8">
        <w:t xml:space="preserve">frame </w:t>
      </w:r>
      <w:r w:rsidRPr="00A52AB8">
        <w:t xml:space="preserve">timing SEI messages shall be conveyed to the HRD, in a timely manner, either in the bitstream (by non-ACL NAL units), or by other means not specified in </w:t>
      </w:r>
      <w:r w:rsidR="001905CC" w:rsidRPr="00A52AB8">
        <w:t>this document</w:t>
      </w:r>
      <w:r w:rsidRPr="00A52AB8">
        <w:t>.</w:t>
      </w:r>
    </w:p>
    <w:p w14:paraId="3DD6E953" w14:textId="4C36E7ED" w:rsidR="001E7DB6" w:rsidRPr="00A52AB8" w:rsidRDefault="001E7DB6">
      <w:r w:rsidRPr="00A52AB8">
        <w:t xml:space="preserve">In </w:t>
      </w:r>
      <w:r w:rsidR="0083155D" w:rsidRPr="00496A4D">
        <w:fldChar w:fldCharType="begin"/>
      </w:r>
      <w:r w:rsidR="0083155D" w:rsidRPr="00A52AB8">
        <w:instrText xml:space="preserve"> REF _Ref21527634 \r \h </w:instrText>
      </w:r>
      <w:r w:rsidR="00025423" w:rsidRPr="00A52AB8">
        <w:instrText xml:space="preserve"> \* MERGEFORMAT </w:instrText>
      </w:r>
      <w:r w:rsidR="0083155D" w:rsidRPr="00496A4D">
        <w:fldChar w:fldCharType="separate"/>
      </w:r>
      <w:r w:rsidR="00507A67">
        <w:t>Annex E</w:t>
      </w:r>
      <w:r w:rsidR="0083155D" w:rsidRPr="00496A4D">
        <w:fldChar w:fldCharType="end"/>
      </w:r>
      <w:r w:rsidR="0083155D" w:rsidRPr="00A52AB8">
        <w:t xml:space="preserve"> and </w:t>
      </w:r>
      <w:r w:rsidR="0083155D" w:rsidRPr="00496A4D">
        <w:fldChar w:fldCharType="begin"/>
      </w:r>
      <w:r w:rsidR="0083155D" w:rsidRPr="00A52AB8">
        <w:instrText xml:space="preserve"> REF _Ref7723976 \r \h </w:instrText>
      </w:r>
      <w:r w:rsidR="00025423" w:rsidRPr="00A52AB8">
        <w:instrText xml:space="preserve"> \* MERGEFORMAT </w:instrText>
      </w:r>
      <w:r w:rsidR="0083155D" w:rsidRPr="00496A4D">
        <w:fldChar w:fldCharType="separate"/>
      </w:r>
      <w:r w:rsidR="00507A67">
        <w:t>Annex F</w:t>
      </w:r>
      <w:r w:rsidR="0083155D" w:rsidRPr="00496A4D">
        <w:fldChar w:fldCharType="end"/>
      </w:r>
      <w:r w:rsidRPr="00A52AB8">
        <w:t xml:space="preserve">, the specification for "presence" of non-ACL NAL units that contain </w:t>
      </w:r>
      <w:r w:rsidR="000A4F0E" w:rsidRPr="00A52AB8">
        <w:t xml:space="preserve">AAPSs, </w:t>
      </w:r>
      <w:r w:rsidRPr="00A52AB8">
        <w:t>ASPSs, AFPSs</w:t>
      </w:r>
      <w:r w:rsidR="000A06D1" w:rsidRPr="00A52AB8">
        <w:rPr>
          <w:strike/>
        </w:rPr>
        <w:t>,</w:t>
      </w:r>
      <w:r w:rsidRPr="00A52AB8">
        <w:t xml:space="preserve"> buffering period SEI messages, </w:t>
      </w:r>
      <w:r w:rsidR="000A06D1" w:rsidRPr="00A52AB8">
        <w:t xml:space="preserve">and </w:t>
      </w:r>
      <w:r w:rsidRPr="00A52AB8">
        <w:t xml:space="preserve">atlas </w:t>
      </w:r>
      <w:r w:rsidR="005A186E" w:rsidRPr="00A52AB8">
        <w:t xml:space="preserve">frame </w:t>
      </w:r>
      <w:r w:rsidRPr="00A52AB8">
        <w:t xml:space="preserve">timing SEI messages is also satisfied when those NAL units (or just some of them) are conveyed to </w:t>
      </w:r>
      <w:r w:rsidR="00107856" w:rsidRPr="00A52AB8">
        <w:t xml:space="preserve">the </w:t>
      </w:r>
      <w:r w:rsidRPr="00A52AB8">
        <w:t xml:space="preserve">atlas frame decoders (or to the HRD) by other means not specified in </w:t>
      </w:r>
      <w:r w:rsidR="001905CC" w:rsidRPr="00A52AB8">
        <w:t>this document</w:t>
      </w:r>
      <w:r w:rsidRPr="00A52AB8">
        <w:t xml:space="preserve">. For the purpose of counting bits, only the appropriate bits that are actually present in the </w:t>
      </w:r>
      <w:r w:rsidR="00107395" w:rsidRPr="00A52AB8">
        <w:t>atlas sub-</w:t>
      </w:r>
      <w:r w:rsidRPr="00A52AB8">
        <w:t>bitstream are counted.</w:t>
      </w:r>
    </w:p>
    <w:p w14:paraId="78C1E89F" w14:textId="606545CF" w:rsidR="001E7DB6" w:rsidRPr="00A52AB8" w:rsidRDefault="001E7DB6">
      <w:pPr>
        <w:pStyle w:val="Note1"/>
        <w:rPr>
          <w:rFonts w:ascii="Cambria" w:hAnsi="Cambria"/>
        </w:rPr>
      </w:pPr>
      <w:r w:rsidRPr="00A52AB8">
        <w:rPr>
          <w:rFonts w:ascii="Cambria" w:hAnsi="Cambria"/>
        </w:rPr>
        <w:t>NOTE</w:t>
      </w:r>
      <w:r w:rsidR="00F25475" w:rsidRPr="00A52AB8">
        <w:rPr>
          <w:rFonts w:ascii="Cambria" w:hAnsi="Cambria"/>
        </w:rPr>
        <w:t> </w:t>
      </w:r>
      <w:r w:rsidR="008257EF" w:rsidRPr="00496A4D">
        <w:rPr>
          <w:rFonts w:ascii="Cambria" w:hAnsi="Cambria"/>
        </w:rPr>
        <w:fldChar w:fldCharType="begin"/>
      </w:r>
      <w:r w:rsidR="008257EF" w:rsidRPr="00A52AB8">
        <w:rPr>
          <w:rFonts w:ascii="Cambria" w:hAnsi="Cambria"/>
        </w:rPr>
        <w:instrText xml:space="preserve"> SEQ NoteCounter \s 9 \* MERGEFORMAT  \* MERGEFORMAT  \* MERGEFORMAT </w:instrText>
      </w:r>
      <w:r w:rsidR="008257EF" w:rsidRPr="00496A4D">
        <w:rPr>
          <w:rFonts w:ascii="Cambria" w:hAnsi="Cambria"/>
        </w:rPr>
        <w:fldChar w:fldCharType="separate"/>
      </w:r>
      <w:r w:rsidR="00507A67">
        <w:rPr>
          <w:rFonts w:ascii="Cambria" w:hAnsi="Cambria"/>
          <w:noProof/>
        </w:rPr>
        <w:t>3</w:t>
      </w:r>
      <w:r w:rsidR="008257EF" w:rsidRPr="00496A4D">
        <w:rPr>
          <w:rFonts w:ascii="Cambria" w:hAnsi="Cambria"/>
        </w:rPr>
        <w:fldChar w:fldCharType="end"/>
      </w:r>
      <w:r w:rsidR="00E417B0" w:rsidRPr="00A52AB8">
        <w:rPr>
          <w:rFonts w:ascii="Cambria" w:hAnsi="Cambria"/>
        </w:rPr>
        <w:t> </w:t>
      </w:r>
      <w:r w:rsidRPr="00A52AB8">
        <w:rPr>
          <w:rFonts w:ascii="Cambria" w:hAnsi="Cambria"/>
        </w:rPr>
        <w:t>– As an example, synchronization of such a non-ACL NAL unit, conveyed by means other than presence in the bitstream, with the NAL units that are present in the bitstream, can be achieved by indicating two points in the bitstream, between which the non</w:t>
      </w:r>
      <w:r w:rsidRPr="00A52AB8">
        <w:rPr>
          <w:rFonts w:ascii="Cambria" w:hAnsi="Cambria"/>
        </w:rPr>
        <w:noBreakHyphen/>
        <w:t>ACL NAL unit would have been present in the bitstream, had the atlas frame encoder decided to convey it in the bitstream.</w:t>
      </w:r>
    </w:p>
    <w:p w14:paraId="420602F0" w14:textId="77777777" w:rsidR="001E7DB6" w:rsidRPr="00A52AB8" w:rsidRDefault="001E7DB6">
      <w:r w:rsidRPr="00A52AB8">
        <w:t xml:space="preserve">When the content of such a non-ACL NAL unit is conveyed for the application by some means other than presence within the bitstream, the representation of the content of the non-ACL NAL unit is not required to use the same syntax as specified in </w:t>
      </w:r>
      <w:r w:rsidR="001905CC" w:rsidRPr="00A52AB8">
        <w:t>this document</w:t>
      </w:r>
      <w:r w:rsidRPr="00A52AB8">
        <w:t>.</w:t>
      </w:r>
    </w:p>
    <w:p w14:paraId="7BAB8FAB" w14:textId="6DCB6770" w:rsidR="001E7DB6" w:rsidRPr="00A52AB8" w:rsidRDefault="001E7DB6">
      <w:pPr>
        <w:pStyle w:val="Note1"/>
        <w:rPr>
          <w:rFonts w:ascii="Cambria" w:hAnsi="Cambria"/>
        </w:rPr>
      </w:pPr>
      <w:bookmarkStart w:id="5070" w:name="_Hlk51075632"/>
      <w:r w:rsidRPr="00A52AB8">
        <w:rPr>
          <w:rFonts w:ascii="Cambria" w:hAnsi="Cambria"/>
        </w:rPr>
        <w:t>NOTE</w:t>
      </w:r>
      <w:r w:rsidR="00995CE5" w:rsidRPr="00A52AB8">
        <w:rPr>
          <w:rFonts w:ascii="Cambria" w:hAnsi="Cambria"/>
        </w:rPr>
        <w:t> </w:t>
      </w:r>
      <w:r w:rsidR="008257EF" w:rsidRPr="00496A4D">
        <w:rPr>
          <w:rFonts w:ascii="Cambria" w:hAnsi="Cambria"/>
        </w:rPr>
        <w:fldChar w:fldCharType="begin"/>
      </w:r>
      <w:r w:rsidR="008257EF" w:rsidRPr="00A52AB8">
        <w:rPr>
          <w:rFonts w:ascii="Cambria" w:hAnsi="Cambria"/>
        </w:rPr>
        <w:instrText xml:space="preserve"> SEQ NoteCounter \s 9 \* MERGEFORMAT  \* MERGEFORMAT  \* MERGEFORMAT </w:instrText>
      </w:r>
      <w:r w:rsidR="008257EF" w:rsidRPr="00496A4D">
        <w:rPr>
          <w:rFonts w:ascii="Cambria" w:hAnsi="Cambria"/>
        </w:rPr>
        <w:fldChar w:fldCharType="separate"/>
      </w:r>
      <w:r w:rsidR="00507A67">
        <w:rPr>
          <w:rFonts w:ascii="Cambria" w:hAnsi="Cambria"/>
          <w:noProof/>
        </w:rPr>
        <w:t>4</w:t>
      </w:r>
      <w:r w:rsidR="008257EF" w:rsidRPr="00496A4D">
        <w:rPr>
          <w:rFonts w:ascii="Cambria" w:hAnsi="Cambria"/>
        </w:rPr>
        <w:fldChar w:fldCharType="end"/>
      </w:r>
      <w:r w:rsidR="00E417B0" w:rsidRPr="00A52AB8">
        <w:rPr>
          <w:rFonts w:ascii="Cambria" w:hAnsi="Cambria"/>
        </w:rPr>
        <w:t> </w:t>
      </w:r>
      <w:r w:rsidRPr="00A52AB8">
        <w:rPr>
          <w:rFonts w:ascii="Cambria" w:hAnsi="Cambria"/>
        </w:rPr>
        <w:t xml:space="preserve">– When HRD information is contained within the bitstream, it is possible to verify the conformance of a bitstream to the requirements of this </w:t>
      </w:r>
      <w:r w:rsidR="00406A86" w:rsidRPr="00A52AB8">
        <w:rPr>
          <w:rFonts w:ascii="Cambria" w:hAnsi="Cambria"/>
        </w:rPr>
        <w:t>subclause</w:t>
      </w:r>
      <w:r w:rsidRPr="00A52AB8">
        <w:rPr>
          <w:rFonts w:ascii="Cambria" w:hAnsi="Cambria"/>
        </w:rPr>
        <w:t xml:space="preserve"> based solely on information contained in the bitstream. When the HRD information is not present in the bitstream, as is the case for all "stand-alone" Type I bitstreams, conformance can only be verified when the HRD data </w:t>
      </w:r>
      <w:r w:rsidR="003122DE" w:rsidRPr="00A52AB8">
        <w:rPr>
          <w:rFonts w:ascii="Cambria" w:hAnsi="Cambria"/>
        </w:rPr>
        <w:t xml:space="preserve">is </w:t>
      </w:r>
      <w:r w:rsidRPr="00A52AB8">
        <w:rPr>
          <w:rFonts w:ascii="Cambria" w:hAnsi="Cambria"/>
        </w:rPr>
        <w:t xml:space="preserve">supplied by some other means not specified in </w:t>
      </w:r>
      <w:r w:rsidR="001905CC" w:rsidRPr="00A52AB8">
        <w:rPr>
          <w:rFonts w:ascii="Cambria" w:hAnsi="Cambria"/>
        </w:rPr>
        <w:t>this document</w:t>
      </w:r>
      <w:r w:rsidRPr="00A52AB8">
        <w:rPr>
          <w:rFonts w:ascii="Cambria" w:hAnsi="Cambria"/>
        </w:rPr>
        <w:t>.</w:t>
      </w:r>
    </w:p>
    <w:bookmarkEnd w:id="5070"/>
    <w:p w14:paraId="7FB39531" w14:textId="29E69CB8" w:rsidR="00145478" w:rsidRPr="00A52AB8" w:rsidRDefault="001E7DB6">
      <w:r w:rsidRPr="00A52AB8">
        <w:t>The HRD contains a coded atlas buffer (CAB), an instantaneous decoding process, a decoded atlas buffer</w:t>
      </w:r>
      <w:r w:rsidR="00145478" w:rsidRPr="00A52AB8">
        <w:t> </w:t>
      </w:r>
      <w:r w:rsidRPr="00A52AB8">
        <w:t xml:space="preserve">(DAB), and </w:t>
      </w:r>
      <w:r w:rsidR="00475815" w:rsidRPr="00A52AB8">
        <w:t xml:space="preserve">the normative </w:t>
      </w:r>
      <w:r w:rsidRPr="00A52AB8">
        <w:t xml:space="preserve">output </w:t>
      </w:r>
      <w:r w:rsidR="00475815" w:rsidRPr="00A52AB8">
        <w:t>widow</w:t>
      </w:r>
      <w:r w:rsidRPr="00A52AB8">
        <w:t xml:space="preserve"> as shown in </w:t>
      </w:r>
      <w:r w:rsidRPr="00496A4D">
        <w:fldChar w:fldCharType="begin"/>
      </w:r>
      <w:r w:rsidRPr="00A52AB8">
        <w:instrText xml:space="preserve"> REF _Ref33101619 \h  \* MERGEFORMAT </w:instrText>
      </w:r>
      <w:r w:rsidRPr="00496A4D">
        <w:fldChar w:fldCharType="separate"/>
      </w:r>
      <w:r w:rsidR="00507A67" w:rsidRPr="00A52AB8">
        <w:t>Figure E-</w:t>
      </w:r>
      <w:r w:rsidR="00507A67">
        <w:t>2</w:t>
      </w:r>
      <w:r w:rsidRPr="00496A4D">
        <w:fldChar w:fldCharType="end"/>
      </w:r>
      <w:r w:rsidRPr="00A52AB8">
        <w:t>.</w:t>
      </w:r>
      <w:r w:rsidR="00475815" w:rsidRPr="00A52AB8">
        <w:t xml:space="preserve"> The size of t</w:t>
      </w:r>
      <w:r w:rsidR="00107395" w:rsidRPr="00A52AB8">
        <w:t xml:space="preserve">he </w:t>
      </w:r>
      <w:r w:rsidR="00475815" w:rsidRPr="00A52AB8">
        <w:t>normative output window is asps_frame_</w:t>
      </w:r>
      <w:r w:rsidR="000A06D1" w:rsidRPr="00A52AB8">
        <w:t>height </w:t>
      </w:r>
      <w:r w:rsidR="00234369" w:rsidRPr="00A52AB8">
        <w:t>×</w:t>
      </w:r>
      <w:r w:rsidR="000A06D1" w:rsidRPr="00A52AB8">
        <w:t> </w:t>
      </w:r>
      <w:r w:rsidR="00475815" w:rsidRPr="00A52AB8">
        <w:t>asps_frame_</w:t>
      </w:r>
      <w:r w:rsidR="000A06D1" w:rsidRPr="00A52AB8">
        <w:t>width</w:t>
      </w:r>
      <w:r w:rsidR="00475815" w:rsidRPr="00A52AB8">
        <w:t>.</w:t>
      </w:r>
    </w:p>
    <w:p w14:paraId="276F8598" w14:textId="77777777" w:rsidR="001E7DB6" w:rsidRPr="00A52AB8" w:rsidRDefault="00145478" w:rsidP="00A252B5">
      <w:pPr>
        <w:jc w:val="center"/>
      </w:pPr>
      <w:r w:rsidRPr="00496A4D">
        <w:rPr>
          <w:noProof/>
        </w:rPr>
        <w:drawing>
          <wp:inline distT="0" distB="0" distL="0" distR="0" wp14:anchorId="42ED17B7" wp14:editId="1CB39988">
            <wp:extent cx="3234387" cy="5800907"/>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3240882" cy="5812555"/>
                    </a:xfrm>
                    <a:prstGeom prst="rect">
                      <a:avLst/>
                    </a:prstGeom>
                  </pic:spPr>
                </pic:pic>
              </a:graphicData>
            </a:graphic>
          </wp:inline>
        </w:drawing>
      </w:r>
    </w:p>
    <w:p w14:paraId="7C64D761" w14:textId="68AF3570" w:rsidR="001E7DB6" w:rsidRPr="00A52AB8" w:rsidRDefault="000C54FE">
      <w:pPr>
        <w:pStyle w:val="Caption"/>
        <w:rPr>
          <w:rFonts w:ascii="Cambria" w:hAnsi="Cambria"/>
        </w:rPr>
      </w:pPr>
      <w:bookmarkStart w:id="5071" w:name="_Ref33101619"/>
      <w:bookmarkStart w:id="5072" w:name="_Toc32860603"/>
      <w:bookmarkStart w:id="5073" w:name="_Toc503770543"/>
      <w:bookmarkStart w:id="5074" w:name="_Toc501130537"/>
      <w:bookmarkStart w:id="5075" w:name="_Toc423603384"/>
      <w:bookmarkStart w:id="5076" w:name="_Toc423602748"/>
      <w:bookmarkStart w:id="5077" w:name="_Toc415476417"/>
      <w:bookmarkStart w:id="5078" w:name="_Toc317198642"/>
      <w:bookmarkStart w:id="5079" w:name="_Toc287363915"/>
      <w:bookmarkStart w:id="5080" w:name="_Toc246350668"/>
      <w:bookmarkStart w:id="5081" w:name="_Toc77680712"/>
      <w:r w:rsidRPr="00A52AB8">
        <w:rPr>
          <w:rFonts w:ascii="Cambria" w:hAnsi="Cambria"/>
        </w:rPr>
        <w:t xml:space="preserve">Figure </w:t>
      </w:r>
      <w:r w:rsidR="00BE019C" w:rsidRPr="00A52AB8">
        <w:rPr>
          <w:rFonts w:ascii="Cambria" w:hAnsi="Cambria"/>
        </w:rPr>
        <w:t>E</w:t>
      </w:r>
      <w:r w:rsidRPr="00A52AB8">
        <w:rPr>
          <w:rFonts w:ascii="Cambria" w:hAnsi="Cambria"/>
        </w:rPr>
        <w:t>-</w:t>
      </w:r>
      <w:r w:rsidR="00551506" w:rsidRPr="00496A4D">
        <w:rPr>
          <w:rFonts w:ascii="Cambria" w:hAnsi="Cambria"/>
        </w:rPr>
        <w:fldChar w:fldCharType="begin"/>
      </w:r>
      <w:r w:rsidR="00551506" w:rsidRPr="00A52AB8">
        <w:rPr>
          <w:rFonts w:ascii="Cambria" w:hAnsi="Cambria"/>
        </w:rPr>
        <w:instrText xml:space="preserve"> SEQ Figure \* ARABIC </w:instrText>
      </w:r>
      <w:r w:rsidR="00551506" w:rsidRPr="00496A4D">
        <w:rPr>
          <w:rFonts w:ascii="Cambria" w:hAnsi="Cambria"/>
        </w:rPr>
        <w:fldChar w:fldCharType="separate"/>
      </w:r>
      <w:r w:rsidR="00507A67">
        <w:rPr>
          <w:rFonts w:ascii="Cambria" w:hAnsi="Cambria"/>
          <w:noProof/>
        </w:rPr>
        <w:t>2</w:t>
      </w:r>
      <w:r w:rsidR="00551506" w:rsidRPr="00496A4D">
        <w:rPr>
          <w:rFonts w:ascii="Cambria" w:hAnsi="Cambria"/>
        </w:rPr>
        <w:fldChar w:fldCharType="end"/>
      </w:r>
      <w:bookmarkEnd w:id="5071"/>
      <w:r w:rsidR="006A7854" w:rsidRPr="00A52AB8">
        <w:rPr>
          <w:rFonts w:ascii="Cambria" w:hAnsi="Cambria"/>
        </w:rPr>
        <w:t> – </w:t>
      </w:r>
      <w:r w:rsidR="001E7DB6" w:rsidRPr="00A52AB8">
        <w:rPr>
          <w:rFonts w:ascii="Cambria" w:hAnsi="Cambria"/>
        </w:rPr>
        <w:t xml:space="preserve">Atlas </w:t>
      </w:r>
      <w:r w:rsidR="00790F5F" w:rsidRPr="00A52AB8">
        <w:rPr>
          <w:rFonts w:ascii="Cambria" w:hAnsi="Cambria"/>
        </w:rPr>
        <w:t>f</w:t>
      </w:r>
      <w:r w:rsidR="001E7DB6" w:rsidRPr="00A52AB8">
        <w:rPr>
          <w:rFonts w:ascii="Cambria" w:hAnsi="Cambria"/>
        </w:rPr>
        <w:t xml:space="preserve">rame HRD buffer </w:t>
      </w:r>
      <w:bookmarkEnd w:id="5072"/>
      <w:r w:rsidR="001E7DB6" w:rsidRPr="00A52AB8">
        <w:rPr>
          <w:rFonts w:ascii="Cambria" w:hAnsi="Cambria"/>
        </w:rPr>
        <w:t>model</w:t>
      </w:r>
      <w:bookmarkEnd w:id="5073"/>
      <w:bookmarkEnd w:id="5074"/>
      <w:bookmarkEnd w:id="5075"/>
      <w:bookmarkEnd w:id="5076"/>
      <w:bookmarkEnd w:id="5077"/>
      <w:bookmarkEnd w:id="5078"/>
      <w:bookmarkEnd w:id="5079"/>
      <w:bookmarkEnd w:id="5080"/>
      <w:bookmarkEnd w:id="5081"/>
    </w:p>
    <w:p w14:paraId="43A7A929" w14:textId="7EFBFE37" w:rsidR="001E7DB6" w:rsidRPr="00A52AB8" w:rsidRDefault="001E7DB6">
      <w:r w:rsidRPr="00A52AB8">
        <w:t>For each atlas bitstream conformance test, the CAB size (number of bits) is CabSize</w:t>
      </w:r>
      <w:r w:rsidR="00325C0B" w:rsidRPr="00A52AB8">
        <w:t>[ !NalHrdModeFlag ][ Htid ]</w:t>
      </w:r>
      <w:r w:rsidRPr="00A52AB8">
        <w:t xml:space="preserve">[ SchedSelIdx ] </w:t>
      </w:r>
      <w:r w:rsidRPr="00A52AB8">
        <w:rPr>
          <w:lang w:eastAsia="ko-KR"/>
        </w:rPr>
        <w:t xml:space="preserve">as specified in </w:t>
      </w:r>
      <w:r w:rsidR="00406A86" w:rsidRPr="00A52AB8">
        <w:rPr>
          <w:lang w:eastAsia="ko-KR"/>
        </w:rPr>
        <w:t>subclause</w:t>
      </w:r>
      <w:r w:rsidRPr="00A52AB8">
        <w:rPr>
          <w:lang w:eastAsia="ko-KR"/>
        </w:rPr>
        <w:t> </w:t>
      </w:r>
      <w:r w:rsidRPr="00496A4D">
        <w:rPr>
          <w:lang w:eastAsia="ko-KR"/>
        </w:rPr>
        <w:fldChar w:fldCharType="begin"/>
      </w:r>
      <w:r w:rsidRPr="00A52AB8">
        <w:rPr>
          <w:lang w:eastAsia="ko-KR"/>
        </w:rPr>
        <w:instrText xml:space="preserve"> REF _Ref330938577 \r \h  \* MERGEFORMAT </w:instrText>
      </w:r>
      <w:r w:rsidRPr="00496A4D">
        <w:rPr>
          <w:lang w:eastAsia="ko-KR"/>
        </w:rPr>
      </w:r>
      <w:r w:rsidRPr="00496A4D">
        <w:rPr>
          <w:lang w:eastAsia="ko-KR"/>
        </w:rPr>
        <w:fldChar w:fldCharType="separate"/>
      </w:r>
      <w:r w:rsidR="00507A67">
        <w:rPr>
          <w:lang w:eastAsia="ko-KR"/>
        </w:rPr>
        <w:t>G.3.3</w:t>
      </w:r>
      <w:r w:rsidRPr="00496A4D">
        <w:rPr>
          <w:lang w:eastAsia="ko-KR"/>
        </w:rPr>
        <w:fldChar w:fldCharType="end"/>
      </w:r>
      <w:r w:rsidRPr="00A52AB8">
        <w:rPr>
          <w:lang w:eastAsia="ko-KR"/>
        </w:rPr>
        <w:t xml:space="preserve">, where </w:t>
      </w:r>
      <w:r w:rsidRPr="00A52AB8">
        <w:t>SchedSelIdx</w:t>
      </w:r>
      <w:r w:rsidRPr="00A52AB8">
        <w:rPr>
          <w:lang w:eastAsia="ko-KR"/>
        </w:rPr>
        <w:t xml:space="preserve"> </w:t>
      </w:r>
      <w:r w:rsidRPr="00A52AB8">
        <w:t xml:space="preserve">and </w:t>
      </w:r>
      <w:r w:rsidRPr="00A52AB8">
        <w:rPr>
          <w:lang w:eastAsia="ko-KR"/>
        </w:rPr>
        <w:t xml:space="preserve">the HRD parameters are specified in this </w:t>
      </w:r>
      <w:r w:rsidR="00406A86" w:rsidRPr="00A52AB8">
        <w:rPr>
          <w:lang w:eastAsia="ko-KR"/>
        </w:rPr>
        <w:t>subclause</w:t>
      </w:r>
      <w:r w:rsidRPr="00A52AB8">
        <w:t>. The DAB size (number of atlas frames storage buffers) is</w:t>
      </w:r>
      <w:r w:rsidR="005610B4" w:rsidRPr="00A52AB8">
        <w:t xml:space="preserve"> asps_max_dec_atlas_frame_buffering_minus1</w:t>
      </w:r>
      <w:r w:rsidRPr="00A52AB8">
        <w:t> + 1.</w:t>
      </w:r>
    </w:p>
    <w:p w14:paraId="12116CBA" w14:textId="77777777" w:rsidR="001E7DB6" w:rsidRPr="00A52AB8" w:rsidRDefault="001E7DB6">
      <w:r w:rsidRPr="00A52AB8">
        <w:t>The following is specified for expressing the constraints in this annex:</w:t>
      </w:r>
    </w:p>
    <w:p w14:paraId="4184E573" w14:textId="61EB2162" w:rsidR="001E7DB6" w:rsidRPr="00A52AB8" w:rsidRDefault="001E7DB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Each </w:t>
      </w:r>
      <w:r w:rsidR="007841B4" w:rsidRPr="00A52AB8">
        <w:rPr>
          <w:color w:val="000000" w:themeColor="text1"/>
        </w:rPr>
        <w:t xml:space="preserve">coded atlas </w:t>
      </w:r>
      <w:r w:rsidRPr="00A52AB8">
        <w:rPr>
          <w:color w:val="000000" w:themeColor="text1"/>
        </w:rPr>
        <w:t xml:space="preserve">access unit is referred to as </w:t>
      </w:r>
      <w:r w:rsidR="00117E6B" w:rsidRPr="00A52AB8">
        <w:rPr>
          <w:color w:val="000000" w:themeColor="text1"/>
        </w:rPr>
        <w:t xml:space="preserve">coded atlas </w:t>
      </w:r>
      <w:r w:rsidRPr="00A52AB8">
        <w:rPr>
          <w:color w:val="000000" w:themeColor="text1"/>
        </w:rPr>
        <w:t xml:space="preserve">access unit n, where the number n identifies the particular </w:t>
      </w:r>
      <w:r w:rsidR="00117E6B" w:rsidRPr="00A52AB8">
        <w:rPr>
          <w:color w:val="000000" w:themeColor="text1"/>
        </w:rPr>
        <w:t xml:space="preserve">coded atlas </w:t>
      </w:r>
      <w:r w:rsidRPr="00A52AB8">
        <w:rPr>
          <w:color w:val="000000" w:themeColor="text1"/>
        </w:rPr>
        <w:t xml:space="preserve">access unit. </w:t>
      </w:r>
      <w:r w:rsidR="00117E6B" w:rsidRPr="00A52AB8">
        <w:rPr>
          <w:color w:val="000000" w:themeColor="text1"/>
        </w:rPr>
        <w:t xml:space="preserve">Coded </w:t>
      </w:r>
      <w:r w:rsidR="007841B4" w:rsidRPr="00A52AB8">
        <w:rPr>
          <w:color w:val="000000" w:themeColor="text1"/>
        </w:rPr>
        <w:t xml:space="preserve">atlas </w:t>
      </w:r>
      <w:r w:rsidR="00117E6B" w:rsidRPr="00A52AB8">
        <w:rPr>
          <w:color w:val="000000" w:themeColor="text1"/>
        </w:rPr>
        <w:t xml:space="preserve">access </w:t>
      </w:r>
      <w:r w:rsidRPr="00A52AB8">
        <w:rPr>
          <w:color w:val="000000" w:themeColor="text1"/>
        </w:rPr>
        <w:t xml:space="preserve">unit 0 is selected per step </w:t>
      </w:r>
      <w:r w:rsidR="007841B4" w:rsidRPr="00A52AB8">
        <w:rPr>
          <w:color w:val="000000" w:themeColor="text1"/>
        </w:rPr>
        <w:t xml:space="preserve">4 </w:t>
      </w:r>
      <w:r w:rsidR="00B95C43" w:rsidRPr="00A52AB8">
        <w:rPr>
          <w:color w:val="000000" w:themeColor="text1"/>
        </w:rPr>
        <w:t>as defined in this subclause</w:t>
      </w:r>
      <w:r w:rsidRPr="00A52AB8">
        <w:rPr>
          <w:color w:val="000000" w:themeColor="text1"/>
        </w:rPr>
        <w:t xml:space="preserve">. The value of n is incremented by 1 for each subsequent </w:t>
      </w:r>
      <w:r w:rsidR="00117E6B" w:rsidRPr="00A52AB8">
        <w:rPr>
          <w:color w:val="000000" w:themeColor="text1"/>
        </w:rPr>
        <w:t xml:space="preserve">coded atlas </w:t>
      </w:r>
      <w:r w:rsidRPr="00A52AB8">
        <w:rPr>
          <w:color w:val="000000" w:themeColor="text1"/>
        </w:rPr>
        <w:t>access unit in decoding order.</w:t>
      </w:r>
    </w:p>
    <w:p w14:paraId="22634A5D" w14:textId="4211DF4F" w:rsidR="001E7DB6" w:rsidRPr="00A52AB8" w:rsidRDefault="001E7DB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Atlas frame n refers to the coded atlas frame or the decoded atlas frame of </w:t>
      </w:r>
      <w:r w:rsidR="007841B4" w:rsidRPr="00A52AB8">
        <w:rPr>
          <w:color w:val="000000" w:themeColor="text1"/>
        </w:rPr>
        <w:t xml:space="preserve">coded atlas </w:t>
      </w:r>
      <w:r w:rsidRPr="00A52AB8">
        <w:rPr>
          <w:color w:val="000000" w:themeColor="text1"/>
        </w:rPr>
        <w:t>access unit n.</w:t>
      </w:r>
    </w:p>
    <w:p w14:paraId="5628A69A" w14:textId="77777777" w:rsidR="001E7DB6" w:rsidRPr="00A52AB8" w:rsidRDefault="001E7DB6">
      <w:r w:rsidRPr="00A52AB8">
        <w:t>The HRD operates as follows:</w:t>
      </w:r>
    </w:p>
    <w:p w14:paraId="708C5376" w14:textId="6BC6277C" w:rsidR="001E7DB6" w:rsidRPr="00A52AB8" w:rsidRDefault="001E7DB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The HRD is initialized at decoding unit 0, with both the CAB and the DAB being set to be empty (the DAB fullness is set equal to 0).</w:t>
      </w:r>
    </w:p>
    <w:p w14:paraId="526AB6D3" w14:textId="593792A1" w:rsidR="001E7DB6" w:rsidRPr="00A52AB8" w:rsidRDefault="001E7DB6" w:rsidP="008F2A42">
      <w:pPr>
        <w:pStyle w:val="Note1"/>
        <w:ind w:left="806"/>
        <w:rPr>
          <w:rFonts w:ascii="Cambria" w:hAnsi="Cambria"/>
        </w:rPr>
      </w:pPr>
      <w:r w:rsidRPr="00A52AB8">
        <w:rPr>
          <w:rFonts w:ascii="Cambria" w:hAnsi="Cambria"/>
        </w:rPr>
        <w:t>NOTE</w:t>
      </w:r>
      <w:r w:rsidR="00995CE5" w:rsidRPr="00A52AB8">
        <w:rPr>
          <w:rFonts w:ascii="Cambria" w:hAnsi="Cambria"/>
        </w:rPr>
        <w:t> </w:t>
      </w:r>
      <w:r w:rsidR="00534D1F" w:rsidRPr="00496A4D">
        <w:rPr>
          <w:rFonts w:ascii="Cambria" w:hAnsi="Cambria"/>
        </w:rPr>
        <w:fldChar w:fldCharType="begin"/>
      </w:r>
      <w:r w:rsidR="00534D1F" w:rsidRPr="00A52AB8">
        <w:rPr>
          <w:rFonts w:ascii="Cambria" w:hAnsi="Cambria"/>
        </w:rPr>
        <w:instrText xml:space="preserve"> SEQ NoteCounter \s 9 \* MERGEFORMAT  \* MERGEFORMAT  \* MERGEFORMAT </w:instrText>
      </w:r>
      <w:r w:rsidR="00534D1F" w:rsidRPr="00496A4D">
        <w:rPr>
          <w:rFonts w:ascii="Cambria" w:hAnsi="Cambria"/>
        </w:rPr>
        <w:fldChar w:fldCharType="separate"/>
      </w:r>
      <w:r w:rsidR="00507A67">
        <w:rPr>
          <w:rFonts w:ascii="Cambria" w:hAnsi="Cambria"/>
          <w:noProof/>
        </w:rPr>
        <w:t>5</w:t>
      </w:r>
      <w:r w:rsidR="00534D1F" w:rsidRPr="00496A4D">
        <w:rPr>
          <w:rFonts w:ascii="Cambria" w:hAnsi="Cambria"/>
        </w:rPr>
        <w:fldChar w:fldCharType="end"/>
      </w:r>
      <w:r w:rsidRPr="00A52AB8">
        <w:rPr>
          <w:rFonts w:ascii="Cambria" w:hAnsi="Cambria"/>
        </w:rPr>
        <w:t> – After initialization, the HRD is not initialized again by subsequent buffering period SEI messages.</w:t>
      </w:r>
    </w:p>
    <w:p w14:paraId="62F4984A" w14:textId="257AE6B0" w:rsidR="001E7DB6" w:rsidRPr="00A52AB8" w:rsidRDefault="001E7DB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Data associated with decoding units that flow into the CAB according to a specified arrival schedule are delivered by the hypothetical stream scheduler (HSS).</w:t>
      </w:r>
    </w:p>
    <w:p w14:paraId="5C832E57" w14:textId="76F0C5E6" w:rsidR="001E7DB6" w:rsidRPr="00A52AB8" w:rsidRDefault="001E7DB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The data associated with each decoding unit are removed and decoded instantaneously by the instantaneous decoding process at the CAB removal time of the decoding unit.</w:t>
      </w:r>
    </w:p>
    <w:p w14:paraId="2F95A92E" w14:textId="0DE51234" w:rsidR="001E7DB6" w:rsidRPr="00A52AB8" w:rsidRDefault="001E7DB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Each decoded atlas frame is placed in the DAB.</w:t>
      </w:r>
    </w:p>
    <w:p w14:paraId="1B8820EE" w14:textId="27F7FBEE" w:rsidR="001E7DB6" w:rsidRPr="00A52AB8" w:rsidRDefault="001E7DB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decoded atlas frame is removed from the DAB when it becomes no longer needed for inter prediction reference and no longer needed for output.</w:t>
      </w:r>
    </w:p>
    <w:p w14:paraId="01C73FDA" w14:textId="15097DB6" w:rsidR="0050235C" w:rsidRPr="00A52AB8" w:rsidRDefault="001E7DB6">
      <w:r w:rsidRPr="00A52AB8">
        <w:t xml:space="preserve">For each bitstream conformance test, the operation of the CAB is specified in </w:t>
      </w:r>
      <w:r w:rsidR="00406A86" w:rsidRPr="00A52AB8">
        <w:t>subclause</w:t>
      </w:r>
      <w:r w:rsidRPr="00A52AB8">
        <w:t> </w:t>
      </w:r>
      <w:r w:rsidR="00BB5875" w:rsidRPr="00496A4D">
        <w:fldChar w:fldCharType="begin"/>
      </w:r>
      <w:r w:rsidR="00BB5875" w:rsidRPr="00A52AB8">
        <w:instrText xml:space="preserve"> REF _Ref21511020 \w \h </w:instrText>
      </w:r>
      <w:r w:rsidR="00025423" w:rsidRPr="00A52AB8">
        <w:instrText xml:space="preserve"> \* MERGEFORMAT </w:instrText>
      </w:r>
      <w:r w:rsidR="00BB5875" w:rsidRPr="00496A4D">
        <w:fldChar w:fldCharType="separate"/>
      </w:r>
      <w:r w:rsidR="00507A67">
        <w:t>E.2</w:t>
      </w:r>
      <w:r w:rsidR="00BB5875" w:rsidRPr="00496A4D">
        <w:fldChar w:fldCharType="end"/>
      </w:r>
      <w:r w:rsidRPr="00A52AB8">
        <w:t xml:space="preserve">, the instantaneous decoder operation is specified in </w:t>
      </w:r>
      <w:r w:rsidR="0033411A" w:rsidRPr="00A52AB8">
        <w:t>c</w:t>
      </w:r>
      <w:r w:rsidRPr="00A52AB8">
        <w:t>lauses</w:t>
      </w:r>
      <w:r w:rsidR="004F6EB4" w:rsidRPr="00A52AB8">
        <w:t xml:space="preserve"> </w:t>
      </w:r>
      <w:r w:rsidR="0089101F" w:rsidRPr="00496A4D">
        <w:fldChar w:fldCharType="begin"/>
      </w:r>
      <w:r w:rsidR="0089101F" w:rsidRPr="00A52AB8">
        <w:instrText xml:space="preserve"> REF _Ref18670923 \w \h </w:instrText>
      </w:r>
      <w:r w:rsidR="00025423" w:rsidRPr="00A52AB8">
        <w:instrText xml:space="preserve"> \* MERGEFORMAT </w:instrText>
      </w:r>
      <w:r w:rsidR="0089101F" w:rsidRPr="00496A4D">
        <w:fldChar w:fldCharType="separate"/>
      </w:r>
      <w:r w:rsidR="00507A67">
        <w:t>2</w:t>
      </w:r>
      <w:r w:rsidR="0089101F" w:rsidRPr="00496A4D">
        <w:fldChar w:fldCharType="end"/>
      </w:r>
      <w:r w:rsidR="0089101F" w:rsidRPr="00A52AB8">
        <w:t xml:space="preserve"> through </w:t>
      </w:r>
      <w:r w:rsidR="001B0C8A" w:rsidRPr="00496A4D">
        <w:fldChar w:fldCharType="begin"/>
      </w:r>
      <w:r w:rsidR="001B0C8A" w:rsidRPr="00A52AB8">
        <w:instrText xml:space="preserve"> REF _Ref38318384 \r \h </w:instrText>
      </w:r>
      <w:r w:rsidR="00CA5401" w:rsidRPr="00A52AB8">
        <w:instrText xml:space="preserve"> \* MERGEFORMAT </w:instrText>
      </w:r>
      <w:r w:rsidR="001B0C8A" w:rsidRPr="00496A4D">
        <w:fldChar w:fldCharType="separate"/>
      </w:r>
      <w:r w:rsidR="00507A67">
        <w:t>14</w:t>
      </w:r>
      <w:r w:rsidR="001B0C8A" w:rsidRPr="00496A4D">
        <w:fldChar w:fldCharType="end"/>
      </w:r>
      <w:r w:rsidRPr="00A52AB8">
        <w:t xml:space="preserve">, </w:t>
      </w:r>
      <w:r w:rsidR="0064555A" w:rsidRPr="00A52AB8">
        <w:t xml:space="preserve">and </w:t>
      </w:r>
      <w:r w:rsidRPr="00A52AB8">
        <w:t xml:space="preserve">the operation of the DAB is specified in </w:t>
      </w:r>
      <w:r w:rsidR="00406A86" w:rsidRPr="00A52AB8">
        <w:t>subclause</w:t>
      </w:r>
      <w:r w:rsidRPr="00A52AB8">
        <w:t> </w:t>
      </w:r>
      <w:r w:rsidR="00BB5875" w:rsidRPr="00496A4D">
        <w:fldChar w:fldCharType="begin"/>
      </w:r>
      <w:r w:rsidR="00BB5875" w:rsidRPr="00A52AB8">
        <w:instrText xml:space="preserve"> REF _Ref21511038 \w \h </w:instrText>
      </w:r>
      <w:r w:rsidR="00025423" w:rsidRPr="00A52AB8">
        <w:instrText xml:space="preserve"> \* MERGEFORMAT </w:instrText>
      </w:r>
      <w:r w:rsidR="00BB5875" w:rsidRPr="00496A4D">
        <w:fldChar w:fldCharType="separate"/>
      </w:r>
      <w:r w:rsidR="00507A67">
        <w:t>E.3</w:t>
      </w:r>
      <w:r w:rsidR="00BB5875" w:rsidRPr="00496A4D">
        <w:fldChar w:fldCharType="end"/>
      </w:r>
      <w:r w:rsidR="0064555A" w:rsidRPr="00A52AB8">
        <w:t>.</w:t>
      </w:r>
    </w:p>
    <w:p w14:paraId="298A1569" w14:textId="0CB6E9E4" w:rsidR="001E7DB6" w:rsidRPr="00A52AB8" w:rsidRDefault="001E7DB6">
      <w:r w:rsidRPr="00A52AB8">
        <w:t xml:space="preserve">HSS and HRD information concerning the number of enumerated delivery schedules and their associated bit rates and buffer sizes is specified in </w:t>
      </w:r>
      <w:r w:rsidR="0046570B" w:rsidRPr="00A52AB8">
        <w:t>sub</w:t>
      </w:r>
      <w:r w:rsidRPr="00A52AB8">
        <w:t>clauses</w:t>
      </w:r>
      <w:r w:rsidR="0089101F" w:rsidRPr="00A52AB8">
        <w:t> </w:t>
      </w:r>
      <w:r w:rsidR="0089101F" w:rsidRPr="00496A4D">
        <w:fldChar w:fldCharType="begin"/>
      </w:r>
      <w:r w:rsidR="0089101F" w:rsidRPr="00A52AB8">
        <w:instrText xml:space="preserve"> REF _Ref21511319 \w \h </w:instrText>
      </w:r>
      <w:r w:rsidR="00025423" w:rsidRPr="00A52AB8">
        <w:instrText xml:space="preserve"> \* MERGEFORMAT </w:instrText>
      </w:r>
      <w:r w:rsidR="0089101F" w:rsidRPr="00496A4D">
        <w:fldChar w:fldCharType="separate"/>
      </w:r>
      <w:r w:rsidR="00507A67">
        <w:t>G.2.2</w:t>
      </w:r>
      <w:r w:rsidR="0089101F" w:rsidRPr="00496A4D">
        <w:fldChar w:fldCharType="end"/>
      </w:r>
      <w:r w:rsidRPr="00A52AB8">
        <w:t xml:space="preserve"> and</w:t>
      </w:r>
      <w:r w:rsidR="0089101F" w:rsidRPr="00A52AB8">
        <w:t xml:space="preserve"> </w:t>
      </w:r>
      <w:r w:rsidR="0089101F" w:rsidRPr="00496A4D">
        <w:fldChar w:fldCharType="begin"/>
      </w:r>
      <w:r w:rsidR="0089101F" w:rsidRPr="00A52AB8">
        <w:instrText xml:space="preserve"> REF _Ref21511327 \w \h </w:instrText>
      </w:r>
      <w:r w:rsidR="00025423" w:rsidRPr="00A52AB8">
        <w:instrText xml:space="preserve"> \* MERGEFORMAT </w:instrText>
      </w:r>
      <w:r w:rsidR="0089101F" w:rsidRPr="00496A4D">
        <w:fldChar w:fldCharType="separate"/>
      </w:r>
      <w:r w:rsidR="00507A67">
        <w:t>G.3.2</w:t>
      </w:r>
      <w:r w:rsidR="0089101F" w:rsidRPr="00496A4D">
        <w:fldChar w:fldCharType="end"/>
      </w:r>
      <w:r w:rsidRPr="00A52AB8">
        <w:t xml:space="preserve">. The HRD is initialized as specified by the buffering period SEI message specified in </w:t>
      </w:r>
      <w:r w:rsidR="007C2FFD" w:rsidRPr="00A52AB8">
        <w:t>sub</w:t>
      </w:r>
      <w:r w:rsidRPr="00A52AB8">
        <w:t>clauses </w:t>
      </w:r>
      <w:r w:rsidR="007C2FFD" w:rsidRPr="00496A4D">
        <w:fldChar w:fldCharType="begin"/>
      </w:r>
      <w:r w:rsidR="007C2FFD" w:rsidRPr="00A52AB8">
        <w:instrText xml:space="preserve"> REF _Ref49347702 \r \h </w:instrText>
      </w:r>
      <w:r w:rsidR="00007BE2" w:rsidRPr="00A52AB8">
        <w:instrText xml:space="preserve"> \* MERGEFORMAT </w:instrText>
      </w:r>
      <w:r w:rsidR="007C2FFD" w:rsidRPr="00496A4D">
        <w:fldChar w:fldCharType="separate"/>
      </w:r>
      <w:r w:rsidR="00507A67">
        <w:t>F.2.13</w:t>
      </w:r>
      <w:r w:rsidR="007C2FFD" w:rsidRPr="00496A4D">
        <w:fldChar w:fldCharType="end"/>
      </w:r>
      <w:r w:rsidR="007C2FFD" w:rsidRPr="00A52AB8">
        <w:t xml:space="preserve"> </w:t>
      </w:r>
      <w:r w:rsidRPr="00A52AB8">
        <w:t xml:space="preserve">and </w:t>
      </w:r>
      <w:r w:rsidR="007C2FFD" w:rsidRPr="00496A4D">
        <w:fldChar w:fldCharType="begin"/>
      </w:r>
      <w:r w:rsidR="007C2FFD" w:rsidRPr="00A52AB8">
        <w:instrText xml:space="preserve"> REF _Ref49515906 \r \h </w:instrText>
      </w:r>
      <w:r w:rsidR="00007BE2" w:rsidRPr="00A52AB8">
        <w:instrText xml:space="preserve"> \* MERGEFORMAT </w:instrText>
      </w:r>
      <w:r w:rsidR="007C2FFD" w:rsidRPr="00496A4D">
        <w:fldChar w:fldCharType="separate"/>
      </w:r>
      <w:r w:rsidR="00507A67">
        <w:t>F.3.13</w:t>
      </w:r>
      <w:r w:rsidR="007C2FFD" w:rsidRPr="00496A4D">
        <w:fldChar w:fldCharType="end"/>
      </w:r>
      <w:r w:rsidRPr="00A52AB8">
        <w:t xml:space="preserve">. The removal timing of decoding units from the CAB and </w:t>
      </w:r>
      <w:r w:rsidR="0064555A" w:rsidRPr="00A52AB8">
        <w:t xml:space="preserve">the </w:t>
      </w:r>
      <w:r w:rsidRPr="00A52AB8">
        <w:t xml:space="preserve">output timing of decoded </w:t>
      </w:r>
      <w:r w:rsidR="004618F1" w:rsidRPr="00A52AB8">
        <w:t>atlas</w:t>
      </w:r>
      <w:r w:rsidR="00FF7DC4" w:rsidRPr="00A52AB8">
        <w:t xml:space="preserve"> frame</w:t>
      </w:r>
      <w:r w:rsidRPr="00A52AB8">
        <w:t>s from the DAB is specified using information in atlas frame timing SEI messages</w:t>
      </w:r>
      <w:r w:rsidR="0064555A" w:rsidRPr="00A52AB8">
        <w:t>,</w:t>
      </w:r>
      <w:r w:rsidRPr="00A52AB8">
        <w:t xml:space="preserve"> </w:t>
      </w:r>
      <w:r w:rsidR="00A37F84" w:rsidRPr="00A52AB8">
        <w:t xml:space="preserve">as </w:t>
      </w:r>
      <w:r w:rsidRPr="00A52AB8">
        <w:t xml:space="preserve">specified in </w:t>
      </w:r>
      <w:r w:rsidR="0046570B" w:rsidRPr="00A52AB8">
        <w:t>sub</w:t>
      </w:r>
      <w:r w:rsidRPr="00A52AB8">
        <w:t>clause</w:t>
      </w:r>
      <w:r w:rsidR="0064555A" w:rsidRPr="00A52AB8">
        <w:t>s</w:t>
      </w:r>
      <w:r w:rsidR="00A37F84" w:rsidRPr="00A52AB8">
        <w:t> </w:t>
      </w:r>
      <w:r w:rsidR="00A37F84" w:rsidRPr="00496A4D">
        <w:fldChar w:fldCharType="begin"/>
      </w:r>
      <w:r w:rsidR="00A37F84" w:rsidRPr="00A52AB8">
        <w:instrText xml:space="preserve"> REF _Ref49347712 \r \h </w:instrText>
      </w:r>
      <w:r w:rsidR="007478BA" w:rsidRPr="00A52AB8">
        <w:instrText xml:space="preserve"> \* MERGEFORMAT </w:instrText>
      </w:r>
      <w:r w:rsidR="00A37F84" w:rsidRPr="00496A4D">
        <w:fldChar w:fldCharType="separate"/>
      </w:r>
      <w:r w:rsidR="00507A67">
        <w:t>F.2.14</w:t>
      </w:r>
      <w:r w:rsidR="00A37F84" w:rsidRPr="00496A4D">
        <w:fldChar w:fldCharType="end"/>
      </w:r>
      <w:r w:rsidR="00ED1FA5" w:rsidRPr="00A52AB8">
        <w:t xml:space="preserve"> and </w:t>
      </w:r>
      <w:r w:rsidR="00ED1FA5" w:rsidRPr="00496A4D">
        <w:fldChar w:fldCharType="begin"/>
      </w:r>
      <w:r w:rsidR="00ED1FA5" w:rsidRPr="00A52AB8">
        <w:instrText xml:space="preserve"> REF _Ref50841777 \n \h </w:instrText>
      </w:r>
      <w:r w:rsidR="007478BA" w:rsidRPr="00A52AB8">
        <w:instrText xml:space="preserve"> \* MERGEFORMAT </w:instrText>
      </w:r>
      <w:r w:rsidR="00ED1FA5" w:rsidRPr="00496A4D">
        <w:fldChar w:fldCharType="separate"/>
      </w:r>
      <w:r w:rsidR="00507A67">
        <w:t>F.3.14</w:t>
      </w:r>
      <w:r w:rsidR="00ED1FA5" w:rsidRPr="00496A4D">
        <w:fldChar w:fldCharType="end"/>
      </w:r>
      <w:r w:rsidRPr="00A52AB8">
        <w:t>. All timing information relating to a specific decoding unit shall arrive prior to the CAB removal time of the decoding unit.</w:t>
      </w:r>
    </w:p>
    <w:p w14:paraId="31641E42" w14:textId="2340889D" w:rsidR="001E7DB6" w:rsidRPr="00A52AB8" w:rsidRDefault="001E7DB6">
      <w:r w:rsidRPr="00A52AB8">
        <w:t xml:space="preserve">The requirements for atlas sub-bitstream conformance are specified in </w:t>
      </w:r>
      <w:r w:rsidR="00406A86" w:rsidRPr="00A52AB8">
        <w:t>subclause</w:t>
      </w:r>
      <w:r w:rsidRPr="00A52AB8">
        <w:t> </w:t>
      </w:r>
      <w:r w:rsidR="00FF4300" w:rsidRPr="00496A4D">
        <w:fldChar w:fldCharType="begin"/>
      </w:r>
      <w:r w:rsidR="00FF4300" w:rsidRPr="00A52AB8">
        <w:instrText xml:space="preserve"> REF _Ref21515653 \w \h </w:instrText>
      </w:r>
      <w:r w:rsidR="00025423" w:rsidRPr="00A52AB8">
        <w:instrText xml:space="preserve"> \* MERGEFORMAT </w:instrText>
      </w:r>
      <w:r w:rsidR="00FF4300" w:rsidRPr="00496A4D">
        <w:fldChar w:fldCharType="separate"/>
      </w:r>
      <w:r w:rsidR="00507A67">
        <w:t>E.4</w:t>
      </w:r>
      <w:r w:rsidR="00FF4300" w:rsidRPr="00496A4D">
        <w:fldChar w:fldCharType="end"/>
      </w:r>
      <w:r w:rsidR="0064555A" w:rsidRPr="00A52AB8">
        <w:t>,</w:t>
      </w:r>
      <w:r w:rsidR="005A186E" w:rsidRPr="00A52AB8">
        <w:t xml:space="preserve"> </w:t>
      </w:r>
      <w:r w:rsidRPr="00A52AB8">
        <w:t xml:space="preserve">and the HRD is used to check conformance of atlas sub-bitstreams as specified in </w:t>
      </w:r>
      <w:r w:rsidR="00406A86" w:rsidRPr="00A52AB8">
        <w:t>subclause</w:t>
      </w:r>
      <w:r w:rsidRPr="00A52AB8">
        <w:t xml:space="preserve"> </w:t>
      </w:r>
      <w:r w:rsidR="00EE43F7" w:rsidRPr="00496A4D">
        <w:fldChar w:fldCharType="begin"/>
      </w:r>
      <w:r w:rsidR="00EE43F7" w:rsidRPr="00A52AB8">
        <w:instrText xml:space="preserve"> REF _Ref21515777 \r \h </w:instrText>
      </w:r>
      <w:r w:rsidR="00CA5401" w:rsidRPr="00A52AB8">
        <w:instrText xml:space="preserve"> \* MERGEFORMAT </w:instrText>
      </w:r>
      <w:r w:rsidR="00EE43F7" w:rsidRPr="00496A4D">
        <w:fldChar w:fldCharType="separate"/>
      </w:r>
      <w:r w:rsidR="00507A67">
        <w:t>E.1</w:t>
      </w:r>
      <w:r w:rsidR="00EE43F7" w:rsidRPr="00496A4D">
        <w:fldChar w:fldCharType="end"/>
      </w:r>
      <w:r w:rsidR="00EE43F7" w:rsidRPr="00A52AB8">
        <w:t xml:space="preserve"> </w:t>
      </w:r>
      <w:r w:rsidRPr="00A52AB8">
        <w:t xml:space="preserve">and to check conformance of decoders as specified in </w:t>
      </w:r>
      <w:r w:rsidR="00406A86" w:rsidRPr="00A52AB8">
        <w:t>subclause</w:t>
      </w:r>
      <w:r w:rsidRPr="00A52AB8">
        <w:t> </w:t>
      </w:r>
      <w:r w:rsidRPr="00496A4D">
        <w:fldChar w:fldCharType="begin"/>
      </w:r>
      <w:r w:rsidRPr="00A52AB8">
        <w:instrText xml:space="preserve"> REF _Ref34233092 \r \h  \* MERGEFORMAT </w:instrText>
      </w:r>
      <w:r w:rsidRPr="00496A4D">
        <w:fldChar w:fldCharType="separate"/>
      </w:r>
      <w:r w:rsidR="00507A67">
        <w:t>E.5</w:t>
      </w:r>
      <w:r w:rsidRPr="00496A4D">
        <w:fldChar w:fldCharType="end"/>
      </w:r>
      <w:r w:rsidRPr="00A52AB8">
        <w:t>.</w:t>
      </w:r>
    </w:p>
    <w:p w14:paraId="68E99DE5" w14:textId="221DAB95" w:rsidR="001E7DB6" w:rsidRPr="00A52AB8" w:rsidRDefault="001E7DB6">
      <w:pPr>
        <w:pStyle w:val="Note1"/>
        <w:rPr>
          <w:rFonts w:ascii="Cambria" w:hAnsi="Cambria"/>
        </w:rPr>
      </w:pPr>
      <w:r w:rsidRPr="00A52AB8">
        <w:rPr>
          <w:rFonts w:ascii="Cambria" w:hAnsi="Cambria"/>
        </w:rPr>
        <w:t>NOTE</w:t>
      </w:r>
      <w:r w:rsidR="00995CE5" w:rsidRPr="00A52AB8">
        <w:rPr>
          <w:rFonts w:ascii="Cambria" w:hAnsi="Cambria"/>
        </w:rPr>
        <w:t> </w:t>
      </w:r>
      <w:r w:rsidR="00534D1F" w:rsidRPr="00496A4D">
        <w:rPr>
          <w:rFonts w:ascii="Cambria" w:hAnsi="Cambria"/>
        </w:rPr>
        <w:fldChar w:fldCharType="begin"/>
      </w:r>
      <w:r w:rsidR="00534D1F" w:rsidRPr="00A52AB8">
        <w:rPr>
          <w:rFonts w:ascii="Cambria" w:hAnsi="Cambria"/>
        </w:rPr>
        <w:instrText xml:space="preserve"> SEQ NoteCounter \s 9 \* MERGEFORMAT  \* MERGEFORMAT  \* MERGEFORMAT </w:instrText>
      </w:r>
      <w:r w:rsidR="00534D1F" w:rsidRPr="00496A4D">
        <w:rPr>
          <w:rFonts w:ascii="Cambria" w:hAnsi="Cambria"/>
        </w:rPr>
        <w:fldChar w:fldCharType="separate"/>
      </w:r>
      <w:r w:rsidR="00507A67">
        <w:rPr>
          <w:rFonts w:ascii="Cambria" w:hAnsi="Cambria"/>
          <w:noProof/>
        </w:rPr>
        <w:t>6</w:t>
      </w:r>
      <w:r w:rsidR="00534D1F" w:rsidRPr="00496A4D">
        <w:rPr>
          <w:rFonts w:ascii="Cambria" w:hAnsi="Cambria"/>
        </w:rPr>
        <w:fldChar w:fldCharType="end"/>
      </w:r>
      <w:r w:rsidRPr="00A52AB8">
        <w:rPr>
          <w:rFonts w:ascii="Cambria" w:hAnsi="Cambria"/>
        </w:rPr>
        <w:t xml:space="preserve"> – While conformance is guaranteed under the assumption that all “atlas frame”-rates and clocks used to generate the </w:t>
      </w:r>
      <w:bookmarkStart w:id="5082" w:name="_Hlk20243102"/>
      <w:r w:rsidRPr="00A52AB8">
        <w:rPr>
          <w:rFonts w:ascii="Cambria" w:hAnsi="Cambria"/>
        </w:rPr>
        <w:t>atlas sub-</w:t>
      </w:r>
      <w:bookmarkEnd w:id="5082"/>
      <w:r w:rsidRPr="00A52AB8">
        <w:rPr>
          <w:rFonts w:ascii="Cambria" w:hAnsi="Cambria"/>
        </w:rPr>
        <w:t xml:space="preserve">bitstream match exactly the values signalled in the atlas sub-bitstream, in a real system each of these </w:t>
      </w:r>
      <w:r w:rsidR="00A37613" w:rsidRPr="00A52AB8">
        <w:rPr>
          <w:rFonts w:ascii="Cambria" w:hAnsi="Cambria"/>
        </w:rPr>
        <w:t xml:space="preserve">can </w:t>
      </w:r>
      <w:r w:rsidRPr="00A52AB8">
        <w:rPr>
          <w:rFonts w:ascii="Cambria" w:hAnsi="Cambria"/>
        </w:rPr>
        <w:t>vary from the signalled or specified value.</w:t>
      </w:r>
    </w:p>
    <w:p w14:paraId="655B44D0" w14:textId="77777777" w:rsidR="001E7DB6" w:rsidRPr="00A52AB8" w:rsidRDefault="001E7DB6">
      <w:r w:rsidRPr="00A52AB8">
        <w:t>All the arithmetic in this annex is performed with real values, so that no rounding errors can propagate. For example, the number of bits in a CAB just prior to or after removal of a decoding unit is not necessarily an integer.</w:t>
      </w:r>
    </w:p>
    <w:p w14:paraId="796BCB9B" w14:textId="77777777" w:rsidR="001E7DB6" w:rsidRPr="00A52AB8" w:rsidRDefault="001E7DB6">
      <w:r w:rsidRPr="00A52AB8">
        <w:t xml:space="preserve">The variable </w:t>
      </w:r>
      <w:r w:rsidRPr="00A52AB8">
        <w:rPr>
          <w:iCs/>
        </w:rPr>
        <w:t>ClockTick</w:t>
      </w:r>
      <w:r w:rsidRPr="00A52AB8">
        <w:t xml:space="preserve"> is derived as follows and is called a clock tick:</w:t>
      </w:r>
    </w:p>
    <w:p w14:paraId="376EF6AA" w14:textId="59335258" w:rsidR="0097509E" w:rsidRPr="00A52AB8" w:rsidRDefault="0097509E" w:rsidP="00A252B5">
      <w:r w:rsidRPr="00A52AB8">
        <w:tab/>
      </w:r>
      <w:bookmarkStart w:id="5083" w:name="_Ref41394908"/>
      <w:r w:rsidRPr="00A52AB8">
        <w:t>ClockTick</w:t>
      </w:r>
      <w:r w:rsidR="00D47707" w:rsidRPr="00A52AB8">
        <w:t> = </w:t>
      </w:r>
      <w:r w:rsidRPr="00A52AB8">
        <w:t>vui_num_units_in_tick</w:t>
      </w:r>
      <w:r w:rsidR="00DD10B9" w:rsidRPr="00A52AB8">
        <w:t> </w:t>
      </w:r>
      <w:r w:rsidRPr="00A52AB8">
        <w:t>÷</w:t>
      </w:r>
      <w:r w:rsidR="00DD10B9" w:rsidRPr="00A52AB8">
        <w:t> </w:t>
      </w:r>
      <w:r w:rsidRPr="00A52AB8">
        <w:t>vui_time_scale</w:t>
      </w:r>
      <w:r w:rsidRPr="00A52AB8">
        <w:tab/>
      </w:r>
      <w:r w:rsidR="00453AA1" w:rsidRPr="00A52AB8">
        <w:t>(</w:t>
      </w:r>
      <w:bookmarkStart w:id="5084" w:name="clocktick_eqn"/>
      <w:bookmarkStart w:id="5085" w:name="Eqn_ClockTick"/>
      <w:r w:rsidR="00453AA1" w:rsidRPr="00A52AB8">
        <w:t>E-</w:t>
      </w:r>
      <w:r w:rsidR="00453AA1" w:rsidRPr="00496A4D">
        <w:fldChar w:fldCharType="begin"/>
      </w:r>
      <w:r w:rsidR="00453AA1" w:rsidRPr="00A52AB8">
        <w:instrText xml:space="preserve"> SEQ Equation \r 1 \* ARABIC </w:instrText>
      </w:r>
      <w:r w:rsidR="00453AA1" w:rsidRPr="00496A4D">
        <w:fldChar w:fldCharType="separate"/>
      </w:r>
      <w:r w:rsidR="00507A67">
        <w:rPr>
          <w:noProof/>
        </w:rPr>
        <w:t>1</w:t>
      </w:r>
      <w:r w:rsidR="00453AA1" w:rsidRPr="00496A4D">
        <w:fldChar w:fldCharType="end"/>
      </w:r>
      <w:bookmarkEnd w:id="5083"/>
      <w:bookmarkEnd w:id="5084"/>
      <w:bookmarkEnd w:id="5085"/>
      <w:r w:rsidR="00453AA1" w:rsidRPr="00A52AB8">
        <w:t>)</w:t>
      </w:r>
    </w:p>
    <w:p w14:paraId="36F9AD40" w14:textId="77777777" w:rsidR="001E7DB6" w:rsidRPr="00A52AB8" w:rsidRDefault="001E7DB6">
      <w:pPr>
        <w:pStyle w:val="a2"/>
        <w:numPr>
          <w:ilvl w:val="1"/>
          <w:numId w:val="19"/>
        </w:numPr>
        <w:rPr>
          <w:color w:val="000000" w:themeColor="text1"/>
        </w:rPr>
      </w:pPr>
      <w:bookmarkStart w:id="5086" w:name="_Toc24117485"/>
      <w:bookmarkStart w:id="5087" w:name="_Toc24118177"/>
      <w:bookmarkStart w:id="5088" w:name="_Toc26781849"/>
      <w:bookmarkStart w:id="5089" w:name="_Toc26872220"/>
      <w:bookmarkStart w:id="5090" w:name="_Toc29659036"/>
      <w:bookmarkStart w:id="5091" w:name="_Toc29723433"/>
      <w:bookmarkStart w:id="5092" w:name="_Ref21511020"/>
      <w:bookmarkStart w:id="5093" w:name="_Toc503777953"/>
      <w:bookmarkStart w:id="5094" w:name="_Toc501130249"/>
      <w:bookmarkStart w:id="5095" w:name="_Toc423601784"/>
      <w:bookmarkStart w:id="5096" w:name="_Toc423599280"/>
      <w:bookmarkStart w:id="5097" w:name="_Toc415476005"/>
      <w:bookmarkStart w:id="5098" w:name="_Ref347274168"/>
      <w:bookmarkStart w:id="5099" w:name="_Toc317198878"/>
      <w:bookmarkStart w:id="5100" w:name="_Toc311220026"/>
      <w:bookmarkStart w:id="5101" w:name="_Toc287363878"/>
      <w:bookmarkStart w:id="5102" w:name="_Toc248045427"/>
      <w:bookmarkStart w:id="5103" w:name="_Toc226456810"/>
      <w:bookmarkStart w:id="5104" w:name="_Toc118289207"/>
      <w:bookmarkStart w:id="5105" w:name="_Toc77680609"/>
      <w:bookmarkStart w:id="5106" w:name="_Ref36829585"/>
      <w:bookmarkStart w:id="5107" w:name="_Ref34217458"/>
      <w:bookmarkStart w:id="5108" w:name="_Toc32860488"/>
      <w:bookmarkStart w:id="5109" w:name="_Toc52181692"/>
      <w:bookmarkEnd w:id="5086"/>
      <w:bookmarkEnd w:id="5087"/>
      <w:bookmarkEnd w:id="5088"/>
      <w:bookmarkEnd w:id="5089"/>
      <w:bookmarkEnd w:id="5090"/>
      <w:bookmarkEnd w:id="5091"/>
      <w:r w:rsidRPr="00A52AB8">
        <w:rPr>
          <w:color w:val="000000" w:themeColor="text1"/>
        </w:rPr>
        <w:t>Operation of coded atlas frame buffer</w:t>
      </w:r>
      <w:bookmarkEnd w:id="5092"/>
      <w:bookmarkEnd w:id="5109"/>
    </w:p>
    <w:p w14:paraId="237853C2" w14:textId="77777777" w:rsidR="001E7DB6" w:rsidRPr="00A52AB8" w:rsidRDefault="001E7DB6">
      <w:pPr>
        <w:pStyle w:val="a3"/>
        <w:numPr>
          <w:ilvl w:val="2"/>
          <w:numId w:val="19"/>
        </w:numPr>
      </w:pPr>
      <w:bookmarkStart w:id="5110" w:name="_Toc52181693"/>
      <w:r w:rsidRPr="00A52AB8">
        <w:t>General</w:t>
      </w:r>
      <w:bookmarkEnd w:id="5110"/>
    </w:p>
    <w:p w14:paraId="5A31F558" w14:textId="1CE0334C" w:rsidR="001E7DB6" w:rsidRPr="00A52AB8" w:rsidRDefault="001E7DB6">
      <w:bookmarkStart w:id="5111" w:name="_Toc32860489"/>
      <w:bookmarkEnd w:id="5093"/>
      <w:bookmarkEnd w:id="5094"/>
      <w:bookmarkEnd w:id="5095"/>
      <w:bookmarkEnd w:id="5096"/>
      <w:bookmarkEnd w:id="5097"/>
      <w:bookmarkEnd w:id="5098"/>
      <w:bookmarkEnd w:id="5099"/>
      <w:bookmarkEnd w:id="5100"/>
      <w:bookmarkEnd w:id="5101"/>
      <w:bookmarkEnd w:id="5102"/>
      <w:bookmarkEnd w:id="5103"/>
      <w:bookmarkEnd w:id="5104"/>
      <w:bookmarkEnd w:id="5105"/>
      <w:bookmarkEnd w:id="5106"/>
      <w:bookmarkEnd w:id="5107"/>
      <w:bookmarkEnd w:id="5108"/>
      <w:r w:rsidRPr="00A52AB8">
        <w:t xml:space="preserve">The specifications in this </w:t>
      </w:r>
      <w:r w:rsidR="00406A86" w:rsidRPr="00A52AB8">
        <w:t>subclause</w:t>
      </w:r>
      <w:r w:rsidRPr="00A52AB8">
        <w:t xml:space="preserve"> apply independently to each set of coded atlas frame buffer (CAB) parameters that is present and to both the Type I and Type II conformance points shown in </w:t>
      </w:r>
      <w:r w:rsidR="00BF6FE9" w:rsidRPr="00496A4D">
        <w:fldChar w:fldCharType="begin"/>
      </w:r>
      <w:r w:rsidR="00BF6FE9" w:rsidRPr="00A52AB8">
        <w:instrText xml:space="preserve"> REF _Ref49257883 \h </w:instrText>
      </w:r>
      <w:r w:rsidR="00007BE2" w:rsidRPr="00A52AB8">
        <w:instrText xml:space="preserve"> \* MERGEFORMAT </w:instrText>
      </w:r>
      <w:r w:rsidR="00BF6FE9" w:rsidRPr="00496A4D">
        <w:fldChar w:fldCharType="separate"/>
      </w:r>
      <w:r w:rsidR="00507A67" w:rsidRPr="00A52AB8">
        <w:rPr>
          <w:rFonts w:cs="Calibri"/>
        </w:rPr>
        <w:t xml:space="preserve">Figure </w:t>
      </w:r>
      <w:r w:rsidR="00507A67" w:rsidRPr="00507A67">
        <w:rPr>
          <w:rFonts w:cs="Calibri"/>
          <w:bCs/>
        </w:rPr>
        <w:t>E-</w:t>
      </w:r>
      <w:r w:rsidR="00507A67">
        <w:rPr>
          <w:rFonts w:cs="Calibri"/>
          <w:bCs/>
        </w:rPr>
        <w:t>1</w:t>
      </w:r>
      <w:r w:rsidR="00BF6FE9" w:rsidRPr="00496A4D">
        <w:fldChar w:fldCharType="end"/>
      </w:r>
      <w:r w:rsidR="0064555A" w:rsidRPr="00A52AB8">
        <w:t>. T</w:t>
      </w:r>
      <w:r w:rsidRPr="00A52AB8">
        <w:t xml:space="preserve">he set of CAB parameters is selected as specified in </w:t>
      </w:r>
      <w:r w:rsidR="00406A86" w:rsidRPr="00A52AB8">
        <w:t>subclause</w:t>
      </w:r>
      <w:r w:rsidRPr="00A52AB8">
        <w:t> </w:t>
      </w:r>
      <w:r w:rsidR="00FF4300" w:rsidRPr="00496A4D">
        <w:fldChar w:fldCharType="begin"/>
      </w:r>
      <w:r w:rsidR="00FF4300" w:rsidRPr="00A52AB8">
        <w:instrText xml:space="preserve"> REF _Ref21515777 \w \h </w:instrText>
      </w:r>
      <w:r w:rsidR="00025423" w:rsidRPr="00A52AB8">
        <w:instrText xml:space="preserve"> \* MERGEFORMAT </w:instrText>
      </w:r>
      <w:r w:rsidR="00FF4300" w:rsidRPr="00496A4D">
        <w:fldChar w:fldCharType="separate"/>
      </w:r>
      <w:r w:rsidR="00507A67">
        <w:t>E.1</w:t>
      </w:r>
      <w:r w:rsidR="00FF4300" w:rsidRPr="00496A4D">
        <w:fldChar w:fldCharType="end"/>
      </w:r>
      <w:r w:rsidRPr="00A52AB8">
        <w:t>.</w:t>
      </w:r>
    </w:p>
    <w:p w14:paraId="499E0FD4" w14:textId="77777777" w:rsidR="001E7DB6" w:rsidRPr="00A52AB8" w:rsidRDefault="001E7DB6">
      <w:pPr>
        <w:pStyle w:val="a3"/>
        <w:numPr>
          <w:ilvl w:val="2"/>
          <w:numId w:val="19"/>
        </w:numPr>
      </w:pPr>
      <w:bookmarkStart w:id="5112" w:name="_Toc52181694"/>
      <w:r w:rsidRPr="00A52AB8">
        <w:t>Timing of decoding unit arrival</w:t>
      </w:r>
      <w:bookmarkEnd w:id="5112"/>
    </w:p>
    <w:p w14:paraId="4FD21035" w14:textId="6CB40C29" w:rsidR="001E7DB6" w:rsidRPr="00A52AB8" w:rsidRDefault="001E7DB6">
      <w:r w:rsidRPr="00A52AB8">
        <w:t xml:space="preserve">The decoding unit is considered as a </w:t>
      </w:r>
      <w:r w:rsidR="00A37F84" w:rsidRPr="00A52AB8">
        <w:t xml:space="preserve">coded atlas </w:t>
      </w:r>
      <w:r w:rsidRPr="00A52AB8">
        <w:t xml:space="preserve">access unit, for derivation of the initial and final CAB arrival times for </w:t>
      </w:r>
      <w:r w:rsidR="00A37F84" w:rsidRPr="00A52AB8">
        <w:t xml:space="preserve">coded atlas </w:t>
      </w:r>
      <w:r w:rsidRPr="00A52AB8">
        <w:t>access unit n.</w:t>
      </w:r>
    </w:p>
    <w:p w14:paraId="48C49313" w14:textId="47396A96" w:rsidR="001E7DB6" w:rsidRPr="00A52AB8" w:rsidRDefault="001E7DB6">
      <w:r w:rsidRPr="00A52AB8">
        <w:t>The variables InitCabRemovalDelay</w:t>
      </w:r>
      <w:r w:rsidR="00A37F84" w:rsidRPr="00A52AB8">
        <w:t>[ Htid ]</w:t>
      </w:r>
      <w:r w:rsidRPr="00A52AB8">
        <w:t>[ SchedSelIdx ] and InitCabRemovalDelayOffset</w:t>
      </w:r>
      <w:r w:rsidR="00A37F84" w:rsidRPr="00A52AB8">
        <w:t>[ Htid ]</w:t>
      </w:r>
      <w:r w:rsidRPr="00A52AB8">
        <w:t>[ SchedSelIdx ] are derived as follows:</w:t>
      </w:r>
    </w:p>
    <w:p w14:paraId="384B273B" w14:textId="4445AB09" w:rsidR="001A2AD9" w:rsidRPr="00A52AB8" w:rsidRDefault="001A2AD9" w:rsidP="00007BE2">
      <w:pPr>
        <w:pStyle w:val="ListParagraph"/>
        <w:numPr>
          <w:ilvl w:val="0"/>
          <w:numId w:val="308"/>
        </w:numPr>
        <w:tabs>
          <w:tab w:val="clear" w:pos="403"/>
          <w:tab w:val="clear" w:pos="2822"/>
          <w:tab w:val="clear" w:pos="3226"/>
          <w:tab w:val="clear" w:pos="3629"/>
          <w:tab w:val="clear" w:pos="4032"/>
          <w:tab w:val="clear" w:pos="4435"/>
          <w:tab w:val="clear" w:pos="9677"/>
          <w:tab w:val="left" w:pos="400"/>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If one or more of the following conditions are true, InitCabRemovalDelay</w:t>
      </w:r>
      <w:r w:rsidR="00A37F84" w:rsidRPr="00A52AB8">
        <w:t>[ Htid ]</w:t>
      </w:r>
      <w:r w:rsidRPr="00A52AB8">
        <w:rPr>
          <w:color w:val="000000" w:themeColor="text1"/>
        </w:rPr>
        <w:t>[ SchedSelIdx ] and InitCabRemovalDelayOffset</w:t>
      </w:r>
      <w:r w:rsidR="00A37F84" w:rsidRPr="00A52AB8">
        <w:t>[ Htid ]</w:t>
      </w:r>
      <w:r w:rsidRPr="00A52AB8">
        <w:rPr>
          <w:color w:val="000000" w:themeColor="text1"/>
        </w:rPr>
        <w:t xml:space="preserve">[ SchedSelIdx ] are set equal to the values of the buffering period SEI message syntax elements </w:t>
      </w:r>
      <w:r w:rsidR="005129A9" w:rsidRPr="00A52AB8">
        <w:rPr>
          <w:color w:val="000000" w:themeColor="text1"/>
        </w:rPr>
        <w:t>bp_</w:t>
      </w:r>
      <w:r w:rsidRPr="00A52AB8">
        <w:rPr>
          <w:color w:val="000000" w:themeColor="text1"/>
        </w:rPr>
        <w:t>nal_initial_alt_cab_removal_delay</w:t>
      </w:r>
      <w:r w:rsidR="00A37F84" w:rsidRPr="00A52AB8">
        <w:t>[ Htid ]</w:t>
      </w:r>
      <w:r w:rsidRPr="00A52AB8">
        <w:rPr>
          <w:color w:val="000000" w:themeColor="text1"/>
        </w:rPr>
        <w:t>[ SchedSelIdx ] and bp_nal_initial_alt_cab_removal_offset</w:t>
      </w:r>
      <w:r w:rsidR="00A37F84" w:rsidRPr="00A52AB8">
        <w:t>[ Htid ]</w:t>
      </w:r>
      <w:r w:rsidRPr="00A52AB8">
        <w:rPr>
          <w:color w:val="000000" w:themeColor="text1"/>
        </w:rPr>
        <w:t xml:space="preserve">[ SchedSelIdx ], respectively, when NalHrdModeFlag is equal to 1 or </w:t>
      </w:r>
      <w:r w:rsidR="005129A9" w:rsidRPr="00A52AB8">
        <w:rPr>
          <w:color w:val="000000" w:themeColor="text1"/>
        </w:rPr>
        <w:t>bp_</w:t>
      </w:r>
      <w:r w:rsidRPr="00A52AB8">
        <w:rPr>
          <w:color w:val="000000" w:themeColor="text1"/>
        </w:rPr>
        <w:t>acl_initial_alt_cab_removal_delay</w:t>
      </w:r>
      <w:r w:rsidR="00902CA8" w:rsidRPr="00A52AB8">
        <w:t>[ Htid ]</w:t>
      </w:r>
      <w:r w:rsidRPr="00A52AB8">
        <w:rPr>
          <w:color w:val="000000" w:themeColor="text1"/>
        </w:rPr>
        <w:t>[ SchedSelIdx ] and bp_acl_initial_alt_cab_removal_offset</w:t>
      </w:r>
      <w:r w:rsidR="00325C0B" w:rsidRPr="00A52AB8">
        <w:t>[ Htid ]</w:t>
      </w:r>
      <w:r w:rsidRPr="00A52AB8">
        <w:rPr>
          <w:color w:val="000000" w:themeColor="text1"/>
        </w:rPr>
        <w:t xml:space="preserve">[ SchedSelIdx ], respectively, when NalHrdModeFlag is equal to 0, where the buffering period SEI message syntax elements are selected as specified in </w:t>
      </w:r>
      <w:r w:rsidR="00406A86" w:rsidRPr="00A52AB8">
        <w:rPr>
          <w:color w:val="000000" w:themeColor="text1"/>
        </w:rPr>
        <w:t>subclause</w:t>
      </w:r>
      <w:r w:rsidRPr="00A52AB8">
        <w:rPr>
          <w:color w:val="000000" w:themeColor="text1"/>
        </w:rPr>
        <w:t> </w:t>
      </w:r>
      <w:r w:rsidRPr="00496A4D">
        <w:rPr>
          <w:color w:val="000000" w:themeColor="text1"/>
        </w:rPr>
        <w:fldChar w:fldCharType="begin"/>
      </w:r>
      <w:r w:rsidRPr="00A52AB8">
        <w:rPr>
          <w:color w:val="000000" w:themeColor="text1"/>
        </w:rPr>
        <w:instrText xml:space="preserve"> REF _Ref21516270 \w \h </w:instrText>
      </w:r>
      <w:r w:rsidR="00025423"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E.1</w:t>
      </w:r>
      <w:r w:rsidRPr="00496A4D">
        <w:rPr>
          <w:color w:val="000000" w:themeColor="text1"/>
        </w:rPr>
        <w:fldChar w:fldCharType="end"/>
      </w:r>
      <w:r w:rsidRPr="00A52AB8">
        <w:rPr>
          <w:color w:val="000000" w:themeColor="text1"/>
        </w:rPr>
        <w:t>:</w:t>
      </w:r>
    </w:p>
    <w:p w14:paraId="37618147" w14:textId="298CC46C" w:rsidR="00AC218F" w:rsidRPr="00A52AB8" w:rsidRDefault="00AC218F"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 xml:space="preserve">Coded atlas access unit 0 is a BLA access unit, </w:t>
      </w:r>
      <w:r w:rsidRPr="00A52AB8">
        <w:t>for which the coded atlas frame has nal_unit_type equal to NAL_BLA_W_RADL, NAL_BLA_N_LP, NAL_GBLA_W_RADL, or NAL_GBLA_N_LP and the value of bp_irap_c</w:t>
      </w:r>
      <w:r w:rsidR="002844DC" w:rsidRPr="00A52AB8">
        <w:t>a</w:t>
      </w:r>
      <w:r w:rsidRPr="00A52AB8">
        <w:t>b_params_present_flag of the buffering period SEI message is equal to 1</w:t>
      </w:r>
      <w:r w:rsidR="0064555A" w:rsidRPr="00A52AB8">
        <w:t>.</w:t>
      </w:r>
    </w:p>
    <w:p w14:paraId="362CC86B" w14:textId="1858380E" w:rsidR="001A2AD9" w:rsidRPr="00A52AB8" w:rsidRDefault="00A37F84"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Coded atlas a</w:t>
      </w:r>
      <w:r w:rsidR="001A2AD9" w:rsidRPr="00A52AB8">
        <w:rPr>
          <w:color w:val="000000" w:themeColor="text1"/>
        </w:rPr>
        <w:t>ccess unit 0 is a</w:t>
      </w:r>
      <w:r w:rsidR="00AC218F" w:rsidRPr="00A52AB8">
        <w:rPr>
          <w:color w:val="000000" w:themeColor="text1"/>
        </w:rPr>
        <w:t xml:space="preserve"> </w:t>
      </w:r>
      <w:r w:rsidR="001A2AD9" w:rsidRPr="00A52AB8">
        <w:rPr>
          <w:color w:val="000000" w:themeColor="text1"/>
        </w:rPr>
        <w:t>BLA access unit</w:t>
      </w:r>
      <w:r w:rsidR="00AC218F" w:rsidRPr="00A52AB8">
        <w:rPr>
          <w:color w:val="000000" w:themeColor="text1"/>
        </w:rPr>
        <w:t>, for which the coded picture has nal_unit_type equal to NAL_BLA_W_LP or NAL_GBLA_W_LP, or is a CRA coded atlas access unit, and the value of bp_irap_c</w:t>
      </w:r>
      <w:r w:rsidR="002844DC" w:rsidRPr="00A52AB8">
        <w:rPr>
          <w:color w:val="000000" w:themeColor="text1"/>
        </w:rPr>
        <w:t>a</w:t>
      </w:r>
      <w:r w:rsidR="00AC218F" w:rsidRPr="00A52AB8">
        <w:rPr>
          <w:color w:val="000000" w:themeColor="text1"/>
        </w:rPr>
        <w:t>b_params_present_flag of the buffering period SEI message is equal to 1 and one or more of the following conditions are true</w:t>
      </w:r>
      <w:r w:rsidR="001A2AD9" w:rsidRPr="00A52AB8">
        <w:rPr>
          <w:color w:val="000000" w:themeColor="text1"/>
        </w:rPr>
        <w:t>:</w:t>
      </w:r>
    </w:p>
    <w:p w14:paraId="56E6738B" w14:textId="77777777" w:rsidR="00C05474" w:rsidRPr="00A52AB8" w:rsidRDefault="00C05474" w:rsidP="00C05474">
      <w:pPr>
        <w:pStyle w:val="ListParagraph"/>
        <w:numPr>
          <w:ilvl w:val="0"/>
          <w:numId w:val="308"/>
        </w:numPr>
        <w:tabs>
          <w:tab w:val="clear" w:pos="403"/>
          <w:tab w:val="clear" w:pos="2822"/>
          <w:tab w:val="clear" w:pos="3226"/>
          <w:tab w:val="clear" w:pos="3629"/>
          <w:tab w:val="clear" w:pos="4032"/>
          <w:tab w:val="clear" w:pos="4435"/>
          <w:tab w:val="clear" w:pos="9677"/>
          <w:tab w:val="left" w:pos="400"/>
        </w:tabs>
        <w:overflowPunct w:val="0"/>
        <w:autoSpaceDE w:val="0"/>
        <w:autoSpaceDN w:val="0"/>
        <w:adjustRightInd w:val="0"/>
        <w:spacing w:before="136" w:after="120" w:line="240" w:lineRule="auto"/>
        <w:ind w:leftChars="0" w:left="1611" w:hanging="403"/>
        <w:textAlignment w:val="baseline"/>
        <w:rPr>
          <w:color w:val="000000" w:themeColor="text1"/>
        </w:rPr>
      </w:pPr>
      <w:r w:rsidRPr="00A52AB8">
        <w:rPr>
          <w:color w:val="000000" w:themeColor="text1"/>
        </w:rPr>
        <w:t>UseAltCabParamsFlag for coded atlas access unit 0 is equal to 1.</w:t>
      </w:r>
    </w:p>
    <w:p w14:paraId="6F117D5F" w14:textId="77777777" w:rsidR="001A2AD9" w:rsidRPr="00A52AB8" w:rsidRDefault="001A2AD9"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1" w:hanging="403"/>
        <w:textAlignment w:val="baseline"/>
        <w:rPr>
          <w:color w:val="000000" w:themeColor="text1"/>
        </w:rPr>
      </w:pPr>
      <w:r w:rsidRPr="00A52AB8">
        <w:rPr>
          <w:color w:val="000000" w:themeColor="text1"/>
        </w:rPr>
        <w:t>DefaultInitCabParamsFlag is equal to 0.</w:t>
      </w:r>
    </w:p>
    <w:p w14:paraId="0D0390D0" w14:textId="2A61A679" w:rsidR="001A2AD9" w:rsidRPr="00A52AB8" w:rsidRDefault="001A2AD9" w:rsidP="00007BE2">
      <w:pPr>
        <w:pStyle w:val="ListParagraph"/>
        <w:numPr>
          <w:ilvl w:val="0"/>
          <w:numId w:val="308"/>
        </w:numPr>
        <w:tabs>
          <w:tab w:val="clear" w:pos="403"/>
          <w:tab w:val="clear" w:pos="2822"/>
          <w:tab w:val="clear" w:pos="3226"/>
          <w:tab w:val="clear" w:pos="3629"/>
          <w:tab w:val="clear" w:pos="4032"/>
          <w:tab w:val="clear" w:pos="4435"/>
          <w:tab w:val="clear" w:pos="9677"/>
          <w:tab w:val="left" w:pos="400"/>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Otherwise, InitCabRemovalDelay</w:t>
      </w:r>
      <w:r w:rsidR="00A37F84" w:rsidRPr="00A52AB8">
        <w:t>[ Htid ]</w:t>
      </w:r>
      <w:r w:rsidRPr="00A52AB8">
        <w:rPr>
          <w:color w:val="000000" w:themeColor="text1"/>
        </w:rPr>
        <w:t>[ SchedSelIdx ] and InitCabRemovalDelayOffset</w:t>
      </w:r>
      <w:r w:rsidR="00A37F84" w:rsidRPr="00A52AB8">
        <w:t>[ Htid ]</w:t>
      </w:r>
      <w:r w:rsidRPr="00A52AB8">
        <w:rPr>
          <w:color w:val="000000" w:themeColor="text1"/>
        </w:rPr>
        <w:t>[ SchedSelIdx ] are set equal to the values of the buffering period SEI message syntax elements bp_nal_initial_cab_removal_delay</w:t>
      </w:r>
      <w:r w:rsidR="00A37F84" w:rsidRPr="00A52AB8">
        <w:t>[ Htid ]</w:t>
      </w:r>
      <w:r w:rsidRPr="00A52AB8">
        <w:rPr>
          <w:color w:val="000000" w:themeColor="text1"/>
        </w:rPr>
        <w:t>[ SchedSelIdx ] and bp_nal_initial_cab_removal_offset</w:t>
      </w:r>
      <w:r w:rsidR="00A37F84" w:rsidRPr="00A52AB8">
        <w:t>[ Htid ]</w:t>
      </w:r>
      <w:r w:rsidRPr="00A52AB8">
        <w:rPr>
          <w:color w:val="000000" w:themeColor="text1"/>
        </w:rPr>
        <w:t>[ SchedSelIdx ], respectively, when NalHrdModeFlag is equal to 1, or bp_acl_initial_cab_removal_delay</w:t>
      </w:r>
      <w:r w:rsidR="00A37F84" w:rsidRPr="00A52AB8">
        <w:t>[ Htid ]</w:t>
      </w:r>
      <w:r w:rsidRPr="00A52AB8">
        <w:rPr>
          <w:color w:val="000000" w:themeColor="text1"/>
        </w:rPr>
        <w:t>[ SchedSelIdx ] and bp_acl_initial_cab_removal_offset</w:t>
      </w:r>
      <w:r w:rsidR="00A37F84" w:rsidRPr="00A52AB8">
        <w:t>[ Htid ]</w:t>
      </w:r>
      <w:r w:rsidRPr="00A52AB8">
        <w:rPr>
          <w:color w:val="000000" w:themeColor="text1"/>
        </w:rPr>
        <w:t xml:space="preserve">[ SchedSelIdx ], respectively, when NalHrdModeFlag is equal to 0, where the buffering period SEI message syntax elements are selected as specified in </w:t>
      </w:r>
      <w:r w:rsidR="00406A86" w:rsidRPr="00A52AB8">
        <w:rPr>
          <w:color w:val="000000" w:themeColor="text1"/>
        </w:rPr>
        <w:t>subclause</w:t>
      </w:r>
      <w:r w:rsidRPr="00A52AB8">
        <w:rPr>
          <w:color w:val="000000" w:themeColor="text1"/>
        </w:rPr>
        <w:t> </w:t>
      </w:r>
      <w:r w:rsidRPr="00496A4D">
        <w:rPr>
          <w:color w:val="000000" w:themeColor="text1"/>
        </w:rPr>
        <w:fldChar w:fldCharType="begin"/>
      </w:r>
      <w:r w:rsidRPr="00A52AB8">
        <w:rPr>
          <w:color w:val="000000" w:themeColor="text1"/>
        </w:rPr>
        <w:instrText xml:space="preserve"> REF _Ref21516292 \w \h </w:instrText>
      </w:r>
      <w:r w:rsidR="00025423"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E.1</w:t>
      </w:r>
      <w:r w:rsidRPr="00496A4D">
        <w:rPr>
          <w:color w:val="000000" w:themeColor="text1"/>
        </w:rPr>
        <w:fldChar w:fldCharType="end"/>
      </w:r>
      <w:r w:rsidRPr="00A52AB8">
        <w:rPr>
          <w:color w:val="000000" w:themeColor="text1"/>
        </w:rPr>
        <w:t>.</w:t>
      </w:r>
    </w:p>
    <w:p w14:paraId="5CD7333C" w14:textId="77777777" w:rsidR="001E7DB6" w:rsidRPr="00A52AB8" w:rsidRDefault="001E7DB6">
      <w:r w:rsidRPr="00A52AB8">
        <w:t xml:space="preserve">The time at which the first bit of decoding unit m begins to enter the CAB is referred to as the </w:t>
      </w:r>
      <w:r w:rsidRPr="00A52AB8">
        <w:rPr>
          <w:iCs/>
        </w:rPr>
        <w:t>initial arrival time initArrivalTime[ m ].</w:t>
      </w:r>
    </w:p>
    <w:p w14:paraId="46D55D10" w14:textId="77777777" w:rsidR="001E7DB6" w:rsidRPr="00A52AB8" w:rsidRDefault="001E7DB6">
      <w:r w:rsidRPr="00A52AB8">
        <w:t>The initial arrival time of decoding unit m is derived as follows:</w:t>
      </w:r>
    </w:p>
    <w:p w14:paraId="0260079B" w14:textId="77777777" w:rsidR="001A2AD9" w:rsidRPr="00A52AB8" w:rsidRDefault="001A2AD9" w:rsidP="00007BE2">
      <w:pPr>
        <w:pStyle w:val="ListParagraph"/>
        <w:numPr>
          <w:ilvl w:val="0"/>
          <w:numId w:val="308"/>
        </w:numPr>
        <w:tabs>
          <w:tab w:val="clear" w:pos="403"/>
          <w:tab w:val="clear" w:pos="2822"/>
          <w:tab w:val="clear" w:pos="3226"/>
          <w:tab w:val="clear" w:pos="3629"/>
          <w:tab w:val="clear" w:pos="4032"/>
          <w:tab w:val="clear" w:pos="4435"/>
          <w:tab w:val="clear" w:pos="9677"/>
          <w:tab w:val="left" w:pos="400"/>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If the decoding unit is decoding unit 0 (i.e., when m is equal to 0), initArrivalTime</w:t>
      </w:r>
      <w:r w:rsidR="00D770D3" w:rsidRPr="00A52AB8">
        <w:rPr>
          <w:color w:val="000000" w:themeColor="text1"/>
        </w:rPr>
        <w:t>[ 0 ]</w:t>
      </w:r>
      <w:r w:rsidRPr="00A52AB8">
        <w:rPr>
          <w:color w:val="000000" w:themeColor="text1"/>
        </w:rPr>
        <w:t xml:space="preserve"> is set equal to 0.</w:t>
      </w:r>
    </w:p>
    <w:p w14:paraId="39108227" w14:textId="77777777" w:rsidR="001A2AD9" w:rsidRPr="00A52AB8" w:rsidRDefault="001A2AD9"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Otherwise (the decoding unit is decoding unit m with m &gt; 0), the following applies:</w:t>
      </w:r>
    </w:p>
    <w:p w14:paraId="495DD887" w14:textId="0B6B3C3E" w:rsidR="001A2AD9" w:rsidRPr="00A52AB8" w:rsidRDefault="001A2AD9" w:rsidP="00366915">
      <w:pPr>
        <w:ind w:left="1209"/>
      </w:pPr>
      <w:r w:rsidRPr="00A52AB8">
        <w:rPr>
          <w:color w:val="000000" w:themeColor="text1"/>
        </w:rPr>
        <w:t xml:space="preserve">If </w:t>
      </w:r>
      <w:r w:rsidR="00EE7BAB" w:rsidRPr="00A52AB8">
        <w:rPr>
          <w:color w:val="000000" w:themeColor="text1"/>
        </w:rPr>
        <w:t>hrd_cbr_flag</w:t>
      </w:r>
      <w:r w:rsidR="006377F6" w:rsidRPr="00A52AB8">
        <w:rPr>
          <w:color w:val="000000" w:themeColor="text1"/>
        </w:rPr>
        <w:t>[ !NalHrdModeFlag ]</w:t>
      </w:r>
      <w:r w:rsidR="00A37F84" w:rsidRPr="00A52AB8">
        <w:rPr>
          <w:color w:val="000000" w:themeColor="text1"/>
        </w:rPr>
        <w:t>[ Htid ]</w:t>
      </w:r>
      <w:r w:rsidRPr="00A52AB8">
        <w:rPr>
          <w:color w:val="000000" w:themeColor="text1"/>
        </w:rPr>
        <w:t>[ SchedSelIdx</w:t>
      </w:r>
      <w:r w:rsidRPr="00A52AB8">
        <w:t> ] is equal to 1, the initial arrival time for decoding unit m is equal to the final arrival time (which is derived below) of decoding unit m </w:t>
      </w:r>
      <w:r w:rsidR="0064555A" w:rsidRPr="00A52AB8">
        <w:t>–</w:t>
      </w:r>
      <w:r w:rsidRPr="00A52AB8">
        <w:t> 1, i.e.,</w:t>
      </w:r>
    </w:p>
    <w:p w14:paraId="30489307" w14:textId="6B974E76" w:rsidR="005129A9" w:rsidRPr="00A52AB8" w:rsidRDefault="005129A9" w:rsidP="00366915">
      <w:pPr>
        <w:ind w:left="1209"/>
      </w:pPr>
      <w:r w:rsidRPr="00A52AB8">
        <w:tab/>
      </w:r>
      <w:r w:rsidR="0064555A" w:rsidRPr="00A52AB8">
        <w:tab/>
      </w:r>
      <w:r w:rsidRPr="00A52AB8">
        <w:t>initArrivalTime[ m ]</w:t>
      </w:r>
      <w:r w:rsidR="00D47707" w:rsidRPr="00A52AB8">
        <w:t> = </w:t>
      </w:r>
      <w:r w:rsidRPr="00A52AB8">
        <w:t>AuFinalArrivalTime[ m − 1 ]</w:t>
      </w:r>
      <w:r w:rsidRPr="00A52AB8">
        <w:tab/>
        <w:t>(</w:t>
      </w:r>
      <w:r w:rsidR="006336C9" w:rsidRPr="00A52AB8">
        <w:t>E</w:t>
      </w:r>
      <w:r w:rsidRPr="00A52AB8">
        <w:noBreakHyphen/>
      </w:r>
      <w:r w:rsidRPr="00496A4D">
        <w:fldChar w:fldCharType="begin"/>
      </w:r>
      <w:r w:rsidRPr="00A52AB8">
        <w:instrText xml:space="preserve"> SEQ Equation \* ARABIC </w:instrText>
      </w:r>
      <w:r w:rsidRPr="00496A4D">
        <w:fldChar w:fldCharType="separate"/>
      </w:r>
      <w:r w:rsidR="00507A67">
        <w:rPr>
          <w:noProof/>
        </w:rPr>
        <w:t>2</w:t>
      </w:r>
      <w:r w:rsidRPr="00496A4D">
        <w:fldChar w:fldCharType="end"/>
      </w:r>
      <w:r w:rsidRPr="00A52AB8">
        <w:t>)</w:t>
      </w:r>
    </w:p>
    <w:p w14:paraId="6B3D412B" w14:textId="2BF2D11E" w:rsidR="001E7DB6" w:rsidRPr="00A52AB8" w:rsidRDefault="001E7DB6" w:rsidP="00366915">
      <w:p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1209"/>
        <w:textAlignment w:val="baseline"/>
        <w:rPr>
          <w:color w:val="000000" w:themeColor="text1"/>
        </w:rPr>
      </w:pPr>
      <w:r w:rsidRPr="00A52AB8">
        <w:rPr>
          <w:color w:val="000000" w:themeColor="text1"/>
        </w:rPr>
        <w:t>Otherwise (</w:t>
      </w:r>
      <w:r w:rsidR="00EE7BAB" w:rsidRPr="00A52AB8">
        <w:rPr>
          <w:color w:val="000000" w:themeColor="text1"/>
        </w:rPr>
        <w:t>hrd_cbr_flag</w:t>
      </w:r>
      <w:r w:rsidR="006377F6" w:rsidRPr="00A52AB8">
        <w:rPr>
          <w:color w:val="000000" w:themeColor="text1"/>
        </w:rPr>
        <w:t>[ !NalHrdModeFlag ]</w:t>
      </w:r>
      <w:r w:rsidR="00A37F84" w:rsidRPr="00A52AB8">
        <w:t>[ Htid ]</w:t>
      </w:r>
      <w:r w:rsidRPr="00A52AB8">
        <w:rPr>
          <w:color w:val="000000" w:themeColor="text1"/>
        </w:rPr>
        <w:t>[ SchedSelIdx ] is equal to 0), the initial arrival time for decoding unit m is derived as follows:</w:t>
      </w:r>
    </w:p>
    <w:p w14:paraId="27F9EF5B" w14:textId="721B403E" w:rsidR="005129A9" w:rsidRPr="00A52AB8" w:rsidRDefault="005129A9" w:rsidP="00366915">
      <w:pPr>
        <w:pStyle w:val="ListParagraph"/>
        <w:numPr>
          <w:ilvl w:val="0"/>
          <w:numId w:val="410"/>
        </w:numPr>
        <w:ind w:leftChars="0" w:left="1570"/>
      </w:pPr>
      <w:r w:rsidRPr="00A52AB8">
        <w:t>initArrivalTime[ m ]</w:t>
      </w:r>
      <w:r w:rsidR="00D47707" w:rsidRPr="00A52AB8">
        <w:t> = </w:t>
      </w:r>
      <w:r w:rsidR="0064555A" w:rsidRPr="00A52AB8">
        <w:br/>
      </w:r>
      <w:r w:rsidR="0064555A" w:rsidRPr="00A52AB8">
        <w:tab/>
      </w:r>
      <w:r w:rsidR="0064555A" w:rsidRPr="00A52AB8">
        <w:tab/>
      </w:r>
      <w:r w:rsidRPr="00A52AB8">
        <w:t>Max(</w:t>
      </w:r>
      <w:r w:rsidR="00E53A66" w:rsidRPr="00A52AB8">
        <w:t> </w:t>
      </w:r>
      <w:r w:rsidRPr="00A52AB8">
        <w:t>AuFinalArrivalTime[ m − 1 ],</w:t>
      </w:r>
      <w:r w:rsidR="00E53A66" w:rsidRPr="00A52AB8">
        <w:t> </w:t>
      </w:r>
      <w:r w:rsidRPr="00A52AB8">
        <w:t>initArrivalEarliestTime[ m ]</w:t>
      </w:r>
      <w:r w:rsidR="00E53A66" w:rsidRPr="00A52AB8">
        <w:t> </w:t>
      </w:r>
      <w:r w:rsidRPr="00A52AB8">
        <w:t>)</w:t>
      </w:r>
      <w:r w:rsidRPr="00A52AB8">
        <w:tab/>
        <w:t>(</w:t>
      </w:r>
      <w:r w:rsidR="006336C9" w:rsidRPr="00A52AB8">
        <w:t>E</w:t>
      </w:r>
      <w:r w:rsidRPr="00A52AB8">
        <w:noBreakHyphen/>
      </w:r>
      <w:r w:rsidRPr="00496A4D">
        <w:fldChar w:fldCharType="begin"/>
      </w:r>
      <w:r w:rsidRPr="00A52AB8">
        <w:instrText xml:space="preserve"> SEQ Equation \* ARABIC </w:instrText>
      </w:r>
      <w:r w:rsidRPr="00496A4D">
        <w:fldChar w:fldCharType="separate"/>
      </w:r>
      <w:r w:rsidR="00507A67">
        <w:rPr>
          <w:noProof/>
        </w:rPr>
        <w:t>3</w:t>
      </w:r>
      <w:r w:rsidRPr="00496A4D">
        <w:fldChar w:fldCharType="end"/>
      </w:r>
      <w:r w:rsidRPr="00A52AB8">
        <w:t>)</w:t>
      </w:r>
    </w:p>
    <w:p w14:paraId="7DEA7B00" w14:textId="789AC083" w:rsidR="0064555A" w:rsidRPr="00A52AB8" w:rsidRDefault="001E7DB6" w:rsidP="00366915">
      <w:pPr>
        <w:pStyle w:val="Equation"/>
        <w:tabs>
          <w:tab w:val="left" w:pos="1800"/>
          <w:tab w:val="left" w:pos="3510"/>
        </w:tabs>
        <w:ind w:left="1209"/>
      </w:pPr>
      <w:r w:rsidRPr="00A52AB8">
        <w:t>where i</w:t>
      </w:r>
      <w:r w:rsidRPr="00A52AB8">
        <w:rPr>
          <w:iCs/>
        </w:rPr>
        <w:t>nitArrivalEarliestTime[</w:t>
      </w:r>
      <w:r w:rsidRPr="00A52AB8">
        <w:t> m</w:t>
      </w:r>
      <w:r w:rsidRPr="00A52AB8">
        <w:rPr>
          <w:iCs/>
        </w:rPr>
        <w:t> ]</w:t>
      </w:r>
      <w:r w:rsidRPr="00A52AB8">
        <w:t xml:space="preserve"> is derived as follows:</w:t>
      </w:r>
    </w:p>
    <w:p w14:paraId="19061D56" w14:textId="504F64F0" w:rsidR="00B1395C" w:rsidRPr="00A52AB8" w:rsidRDefault="00B1395C" w:rsidP="00366915">
      <w:pPr>
        <w:pStyle w:val="Equation"/>
        <w:numPr>
          <w:ilvl w:val="0"/>
          <w:numId w:val="414"/>
        </w:numPr>
        <w:tabs>
          <w:tab w:val="left" w:pos="1800"/>
          <w:tab w:val="left" w:pos="3510"/>
        </w:tabs>
      </w:pPr>
      <w:r w:rsidRPr="00A52AB8">
        <w:t>The variable tmpNominalRemovalTime is derived as follows:</w:t>
      </w:r>
    </w:p>
    <w:p w14:paraId="1AA03274" w14:textId="471F4393" w:rsidR="005129A9" w:rsidRPr="00A52AB8" w:rsidRDefault="0071470B" w:rsidP="00366915">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2015" w:hanging="403"/>
        <w:textAlignment w:val="baseline"/>
      </w:pPr>
      <w:r w:rsidRPr="00A52AB8">
        <w:rPr>
          <w:color w:val="000000" w:themeColor="text1"/>
        </w:rPr>
        <w:tab/>
      </w:r>
      <w:r w:rsidR="005129A9" w:rsidRPr="00A52AB8">
        <w:rPr>
          <w:color w:val="000000" w:themeColor="text1"/>
        </w:rPr>
        <w:t>tmpN</w:t>
      </w:r>
      <w:r w:rsidR="005129A9" w:rsidRPr="00A52AB8">
        <w:t>ominalRemovalTime</w:t>
      </w:r>
      <w:r w:rsidR="00D47707" w:rsidRPr="00A52AB8">
        <w:t> = </w:t>
      </w:r>
      <w:r w:rsidR="005129A9" w:rsidRPr="00A52AB8">
        <w:t>AuNominalRemovalTime[ m ]</w:t>
      </w:r>
      <w:r w:rsidR="005129A9" w:rsidRPr="00A52AB8">
        <w:tab/>
      </w:r>
      <w:r w:rsidRPr="00A52AB8">
        <w:tab/>
      </w:r>
      <w:r w:rsidRPr="00A52AB8">
        <w:tab/>
      </w:r>
      <w:r w:rsidRPr="00A52AB8">
        <w:tab/>
      </w:r>
      <w:r w:rsidR="005129A9" w:rsidRPr="00A52AB8">
        <w:t>(</w:t>
      </w:r>
      <w:r w:rsidR="006336C9" w:rsidRPr="00A52AB8">
        <w:t>E</w:t>
      </w:r>
      <w:r w:rsidR="005129A9" w:rsidRPr="00A52AB8">
        <w:noBreakHyphen/>
      </w:r>
      <w:r w:rsidR="005129A9" w:rsidRPr="00496A4D">
        <w:fldChar w:fldCharType="begin"/>
      </w:r>
      <w:r w:rsidR="005129A9" w:rsidRPr="00A52AB8">
        <w:instrText xml:space="preserve"> SEQ Equation \* ARABIC </w:instrText>
      </w:r>
      <w:r w:rsidR="005129A9" w:rsidRPr="00496A4D">
        <w:fldChar w:fldCharType="separate"/>
      </w:r>
      <w:r w:rsidR="00507A67">
        <w:rPr>
          <w:noProof/>
        </w:rPr>
        <w:t>4</w:t>
      </w:r>
      <w:r w:rsidR="005129A9" w:rsidRPr="00496A4D">
        <w:fldChar w:fldCharType="end"/>
      </w:r>
      <w:r w:rsidR="005129A9" w:rsidRPr="00A52AB8">
        <w:t>)</w:t>
      </w:r>
    </w:p>
    <w:p w14:paraId="03A752EB" w14:textId="0BF6E209" w:rsidR="0064555A" w:rsidRPr="00A52AB8" w:rsidRDefault="0071470B" w:rsidP="00366915">
      <w:pPr>
        <w:tabs>
          <w:tab w:val="left" w:pos="709"/>
        </w:tabs>
        <w:ind w:left="1612"/>
      </w:pPr>
      <w:r w:rsidRPr="00A52AB8">
        <w:tab/>
      </w:r>
      <w:r w:rsidR="001E7DB6" w:rsidRPr="00A52AB8">
        <w:t>where Au</w:t>
      </w:r>
      <w:r w:rsidR="001E7DB6" w:rsidRPr="00A52AB8">
        <w:rPr>
          <w:iCs/>
        </w:rPr>
        <w:t>NominalRemovalTime[</w:t>
      </w:r>
      <w:r w:rsidR="001E7DB6" w:rsidRPr="00A52AB8">
        <w:t> m</w:t>
      </w:r>
      <w:r w:rsidR="001E7DB6" w:rsidRPr="00A52AB8">
        <w:rPr>
          <w:iCs/>
        </w:rPr>
        <w:t> ]</w:t>
      </w:r>
      <w:r w:rsidR="001E7DB6" w:rsidRPr="00A52AB8">
        <w:t xml:space="preserve"> is </w:t>
      </w:r>
      <w:r w:rsidR="001E7DB6" w:rsidRPr="00A52AB8">
        <w:rPr>
          <w:iCs/>
        </w:rPr>
        <w:t xml:space="preserve">the nominal CAB removal time of </w:t>
      </w:r>
      <w:r w:rsidR="00A37F84" w:rsidRPr="00A52AB8">
        <w:rPr>
          <w:iCs/>
        </w:rPr>
        <w:t xml:space="preserve">coded atlas </w:t>
      </w:r>
      <w:r w:rsidR="001E7DB6" w:rsidRPr="00A52AB8">
        <w:rPr>
          <w:iCs/>
        </w:rPr>
        <w:t xml:space="preserve">access </w:t>
      </w:r>
      <w:r w:rsidR="001E7DB6" w:rsidRPr="00A52AB8">
        <w:t>unit m respectively,</w:t>
      </w:r>
      <w:r w:rsidR="001E7DB6" w:rsidRPr="00A52AB8">
        <w:rPr>
          <w:iCs/>
        </w:rPr>
        <w:t xml:space="preserve"> as specified in </w:t>
      </w:r>
      <w:r w:rsidR="00406A86" w:rsidRPr="00A52AB8">
        <w:t>subclause</w:t>
      </w:r>
      <w:r w:rsidR="001E7DB6" w:rsidRPr="00A52AB8">
        <w:t> </w:t>
      </w:r>
      <w:r w:rsidR="00B1395C" w:rsidRPr="00496A4D">
        <w:fldChar w:fldCharType="begin"/>
      </w:r>
      <w:r w:rsidR="00B1395C" w:rsidRPr="00A52AB8">
        <w:instrText xml:space="preserve"> REF _Ref21516619 \w \h </w:instrText>
      </w:r>
      <w:r w:rsidR="00025423" w:rsidRPr="00A52AB8">
        <w:instrText xml:space="preserve"> \* MERGEFORMAT </w:instrText>
      </w:r>
      <w:r w:rsidR="00B1395C" w:rsidRPr="00496A4D">
        <w:fldChar w:fldCharType="separate"/>
      </w:r>
      <w:r w:rsidR="00507A67">
        <w:t>E.2.3</w:t>
      </w:r>
      <w:r w:rsidR="00B1395C" w:rsidRPr="00496A4D">
        <w:fldChar w:fldCharType="end"/>
      </w:r>
      <w:r w:rsidR="001E7DB6" w:rsidRPr="00A52AB8">
        <w:t>.</w:t>
      </w:r>
    </w:p>
    <w:p w14:paraId="6803B502" w14:textId="77777777" w:rsidR="00020B6B" w:rsidRPr="00A52AB8" w:rsidRDefault="00020B6B" w:rsidP="00366915">
      <w:pPr>
        <w:pStyle w:val="ListParagraph"/>
        <w:numPr>
          <w:ilvl w:val="3"/>
          <w:numId w:val="308"/>
        </w:numPr>
        <w:tabs>
          <w:tab w:val="left" w:pos="709"/>
        </w:tabs>
        <w:ind w:leftChars="0" w:left="1570"/>
        <w:rPr>
          <w:color w:val="000000" w:themeColor="text1"/>
        </w:rPr>
      </w:pPr>
      <w:r w:rsidRPr="00A52AB8">
        <w:rPr>
          <w:rFonts w:eastAsia="Malgun Gothic"/>
        </w:rPr>
        <w:t>If decoding unit m is not the first decoding unit of a subsequent buffering period,</w:t>
      </w:r>
      <w:r w:rsidRPr="00A52AB8">
        <w:rPr>
          <w:color w:val="000000" w:themeColor="text1"/>
        </w:rPr>
        <w:t xml:space="preserve"> initArrivalEarliestTime[ m ] is derived as follows:</w:t>
      </w:r>
    </w:p>
    <w:p w14:paraId="7143ECE2" w14:textId="54F3976A" w:rsidR="001E7DB6" w:rsidRPr="00A52AB8" w:rsidRDefault="00AC627F" w:rsidP="00366915">
      <w:pPr>
        <w:ind w:left="1209"/>
      </w:pPr>
      <w:r w:rsidRPr="00A52AB8">
        <w:tab/>
      </w:r>
      <w:r w:rsidRPr="00A52AB8">
        <w:tab/>
      </w:r>
      <w:r w:rsidR="005129A9" w:rsidRPr="00A52AB8">
        <w:t>initArrivalEarliestTime[ m ]</w:t>
      </w:r>
      <w:r w:rsidR="005A5498" w:rsidRPr="00A52AB8">
        <w:t> </w:t>
      </w:r>
      <w:r w:rsidR="005129A9" w:rsidRPr="00A52AB8">
        <w:t>=</w:t>
      </w:r>
      <w:r w:rsidRPr="00A52AB8">
        <w:t> </w:t>
      </w:r>
      <w:r w:rsidR="005129A9" w:rsidRPr="00A52AB8">
        <w:t>tmpNominalRemovalTime</w:t>
      </w:r>
      <w:r w:rsidR="005A5498" w:rsidRPr="00A52AB8">
        <w:t> </w:t>
      </w:r>
      <w:r w:rsidR="005129A9" w:rsidRPr="00A52AB8">
        <w:t>−</w:t>
      </w:r>
      <w:r w:rsidRPr="00A52AB8">
        <w:br/>
      </w:r>
      <w:r w:rsidRPr="00A52AB8">
        <w:tab/>
      </w:r>
      <w:r w:rsidRPr="00A52AB8">
        <w:tab/>
      </w:r>
      <w:r w:rsidRPr="00A52AB8">
        <w:tab/>
      </w:r>
      <w:r w:rsidR="005129A9" w:rsidRPr="00A52AB8">
        <w:t>( InitCabRemovalDelay</w:t>
      </w:r>
      <w:r w:rsidR="00A37F84" w:rsidRPr="00A52AB8">
        <w:t>[ Htid ]</w:t>
      </w:r>
      <w:r w:rsidR="005129A9" w:rsidRPr="00A52AB8">
        <w:t>[ SchedSelIdx ] +</w:t>
      </w:r>
      <w:r w:rsidR="005129A9" w:rsidRPr="00A52AB8">
        <w:br/>
      </w:r>
      <w:r w:rsidR="005129A9" w:rsidRPr="00A52AB8">
        <w:tab/>
      </w:r>
      <w:r w:rsidR="005129A9" w:rsidRPr="00A52AB8">
        <w:tab/>
      </w:r>
      <w:r w:rsidR="005A5498" w:rsidRPr="00A52AB8">
        <w:tab/>
      </w:r>
      <w:r w:rsidR="005129A9" w:rsidRPr="00A52AB8">
        <w:t>InitCabRemovalDelayOffset</w:t>
      </w:r>
      <w:r w:rsidR="00A37F84" w:rsidRPr="00A52AB8">
        <w:t>[ Htid ]</w:t>
      </w:r>
      <w:r w:rsidR="005129A9" w:rsidRPr="00A52AB8">
        <w:t>[ SchedSelIdx ]</w:t>
      </w:r>
      <w:r w:rsidR="005A5498" w:rsidRPr="00A52AB8">
        <w:t> </w:t>
      </w:r>
      <w:r w:rsidR="005129A9" w:rsidRPr="00A52AB8">
        <w:t>)</w:t>
      </w:r>
      <w:r w:rsidR="005A5498" w:rsidRPr="00A52AB8">
        <w:t> </w:t>
      </w:r>
      <w:r w:rsidR="005129A9" w:rsidRPr="00A52AB8">
        <w:t>÷</w:t>
      </w:r>
      <w:r w:rsidR="005A5498" w:rsidRPr="00A52AB8">
        <w:t> </w:t>
      </w:r>
      <w:r w:rsidR="005129A9" w:rsidRPr="00A52AB8">
        <w:t>90000</w:t>
      </w:r>
      <w:r w:rsidR="005129A9" w:rsidRPr="00A52AB8">
        <w:tab/>
        <w:t>(</w:t>
      </w:r>
      <w:r w:rsidR="006336C9" w:rsidRPr="00A52AB8">
        <w:t>E</w:t>
      </w:r>
      <w:r w:rsidR="005129A9" w:rsidRPr="00A52AB8">
        <w:noBreakHyphen/>
      </w:r>
      <w:r w:rsidR="005129A9" w:rsidRPr="00496A4D">
        <w:fldChar w:fldCharType="begin"/>
      </w:r>
      <w:r w:rsidR="005129A9" w:rsidRPr="00A52AB8">
        <w:instrText xml:space="preserve"> SEQ Equation \* ARABIC </w:instrText>
      </w:r>
      <w:r w:rsidR="005129A9" w:rsidRPr="00496A4D">
        <w:fldChar w:fldCharType="separate"/>
      </w:r>
      <w:r w:rsidR="00507A67">
        <w:rPr>
          <w:noProof/>
        </w:rPr>
        <w:t>5</w:t>
      </w:r>
      <w:r w:rsidR="005129A9" w:rsidRPr="00496A4D">
        <w:fldChar w:fldCharType="end"/>
      </w:r>
      <w:r w:rsidR="005129A9" w:rsidRPr="00A52AB8">
        <w:t>)</w:t>
      </w:r>
    </w:p>
    <w:p w14:paraId="55E38E2A" w14:textId="77777777" w:rsidR="001E7DB6" w:rsidRPr="00A52AB8" w:rsidRDefault="001E7DB6" w:rsidP="00366915">
      <w:pPr>
        <w:pStyle w:val="ListParagraph"/>
        <w:numPr>
          <w:ilvl w:val="3"/>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3"/>
        <w:textAlignment w:val="baseline"/>
        <w:rPr>
          <w:color w:val="000000" w:themeColor="text1"/>
        </w:rPr>
      </w:pPr>
      <w:r w:rsidRPr="00A52AB8">
        <w:rPr>
          <w:color w:val="000000" w:themeColor="text1"/>
        </w:rPr>
        <w:t>Otherwise (decoding unit m is the first decoding unit of a subsequent buffering period), initArrivalEarliestTime[ m ] is derived as follows:</w:t>
      </w:r>
    </w:p>
    <w:p w14:paraId="15D1C909" w14:textId="34E6745C" w:rsidR="005129A9" w:rsidRPr="00A52AB8" w:rsidRDefault="00475815" w:rsidP="00366915">
      <w:pPr>
        <w:ind w:left="1209"/>
      </w:pPr>
      <w:r w:rsidRPr="00A52AB8">
        <w:tab/>
      </w:r>
      <w:r w:rsidR="00100768" w:rsidRPr="00A52AB8">
        <w:tab/>
      </w:r>
      <w:r w:rsidR="00100768" w:rsidRPr="00A52AB8">
        <w:tab/>
      </w:r>
      <w:r w:rsidR="005129A9" w:rsidRPr="00A52AB8">
        <w:t>initArrivalEarliestTime[ m ]</w:t>
      </w:r>
      <w:r w:rsidR="005A5498" w:rsidRPr="00A52AB8">
        <w:t> </w:t>
      </w:r>
      <w:r w:rsidR="005129A9" w:rsidRPr="00A52AB8">
        <w:t>=</w:t>
      </w:r>
      <w:r w:rsidR="00AC627F" w:rsidRPr="00A52AB8">
        <w:t> </w:t>
      </w:r>
      <w:r w:rsidR="005129A9" w:rsidRPr="00A52AB8">
        <w:t>tmpNominalRemovalTime</w:t>
      </w:r>
      <w:r w:rsidR="005A5498" w:rsidRPr="00A52AB8">
        <w:t> </w:t>
      </w:r>
      <w:r w:rsidR="005129A9" w:rsidRPr="00A52AB8">
        <w:t>−</w:t>
      </w:r>
      <w:r w:rsidR="00AC627F" w:rsidRPr="00A52AB8">
        <w:br/>
      </w:r>
      <w:r w:rsidR="00AC627F" w:rsidRPr="00A52AB8">
        <w:tab/>
      </w:r>
      <w:r w:rsidR="00AC627F" w:rsidRPr="00A52AB8">
        <w:tab/>
      </w:r>
      <w:r w:rsidR="00AC627F" w:rsidRPr="00A52AB8">
        <w:tab/>
      </w:r>
      <w:r w:rsidR="00AC627F" w:rsidRPr="00A52AB8">
        <w:tab/>
      </w:r>
      <w:r w:rsidR="005129A9" w:rsidRPr="00A52AB8">
        <w:t>( InitCabRemovalDelay</w:t>
      </w:r>
      <w:r w:rsidR="00A37F84" w:rsidRPr="00A52AB8">
        <w:t>[ Htid ]</w:t>
      </w:r>
      <w:r w:rsidR="005129A9" w:rsidRPr="00A52AB8">
        <w:t>[ SchedSelIdx ]</w:t>
      </w:r>
      <w:r w:rsidR="005A5498" w:rsidRPr="00A52AB8">
        <w:t> </w:t>
      </w:r>
      <w:r w:rsidR="005129A9" w:rsidRPr="00A52AB8">
        <w:t>÷</w:t>
      </w:r>
      <w:r w:rsidR="005A5498" w:rsidRPr="00A52AB8">
        <w:t> </w:t>
      </w:r>
      <w:r w:rsidR="005129A9" w:rsidRPr="00A52AB8">
        <w:t>90000 )</w:t>
      </w:r>
      <w:r w:rsidR="005129A9" w:rsidRPr="00A52AB8">
        <w:tab/>
        <w:t>(</w:t>
      </w:r>
      <w:r w:rsidR="006336C9" w:rsidRPr="00A52AB8">
        <w:t>E</w:t>
      </w:r>
      <w:r w:rsidR="005129A9" w:rsidRPr="00A52AB8">
        <w:noBreakHyphen/>
      </w:r>
      <w:r w:rsidR="005129A9" w:rsidRPr="00496A4D">
        <w:fldChar w:fldCharType="begin"/>
      </w:r>
      <w:r w:rsidR="005129A9" w:rsidRPr="00A52AB8">
        <w:instrText xml:space="preserve"> SEQ Equation \* ARABIC </w:instrText>
      </w:r>
      <w:r w:rsidR="005129A9" w:rsidRPr="00496A4D">
        <w:fldChar w:fldCharType="separate"/>
      </w:r>
      <w:r w:rsidR="00507A67">
        <w:rPr>
          <w:noProof/>
        </w:rPr>
        <w:t>6</w:t>
      </w:r>
      <w:r w:rsidR="005129A9" w:rsidRPr="00496A4D">
        <w:fldChar w:fldCharType="end"/>
      </w:r>
      <w:r w:rsidR="005129A9" w:rsidRPr="00A52AB8">
        <w:t>)</w:t>
      </w:r>
    </w:p>
    <w:p w14:paraId="2C1A27B3" w14:textId="77777777" w:rsidR="001E7DB6" w:rsidRPr="00A52AB8" w:rsidRDefault="001E7DB6">
      <w:r w:rsidRPr="00A52AB8">
        <w:t>The final arrival time for decoding unit m is derived as follows:</w:t>
      </w:r>
    </w:p>
    <w:p w14:paraId="0271D82C" w14:textId="7BEC639C" w:rsidR="005129A9" w:rsidRPr="00A52AB8" w:rsidRDefault="005129A9" w:rsidP="00A252B5">
      <w:r w:rsidRPr="00A52AB8">
        <w:tab/>
        <w:t>AuFinalArrivalTime[ m ]</w:t>
      </w:r>
      <w:r w:rsidR="005A5498" w:rsidRPr="00A52AB8">
        <w:t> </w:t>
      </w:r>
      <w:r w:rsidRPr="00A52AB8">
        <w:t>=</w:t>
      </w:r>
      <w:r w:rsidR="005A5498" w:rsidRPr="00A52AB8">
        <w:br/>
      </w:r>
      <w:r w:rsidR="005A5498" w:rsidRPr="00A52AB8">
        <w:tab/>
      </w:r>
      <w:r w:rsidR="005A5498" w:rsidRPr="00A52AB8">
        <w:tab/>
      </w:r>
      <w:r w:rsidRPr="00A52AB8">
        <w:t>initArrivalTime[ m ]</w:t>
      </w:r>
      <w:r w:rsidR="005A5498" w:rsidRPr="00A52AB8">
        <w:t> </w:t>
      </w:r>
      <w:r w:rsidRPr="00A52AB8">
        <w:t>+</w:t>
      </w:r>
      <w:r w:rsidR="005A5498" w:rsidRPr="00A52AB8">
        <w:t> </w:t>
      </w:r>
      <w:r w:rsidRPr="00A52AB8">
        <w:t>sizeIn</w:t>
      </w:r>
      <w:r w:rsidR="00AC627F" w:rsidRPr="00A52AB8">
        <w:t>B</w:t>
      </w:r>
      <w:r w:rsidRPr="00A52AB8">
        <w:t>its[ m ]</w:t>
      </w:r>
      <w:r w:rsidR="005A5498" w:rsidRPr="00A52AB8">
        <w:t> </w:t>
      </w:r>
      <w:r w:rsidRPr="00A52AB8">
        <w:t>÷</w:t>
      </w:r>
      <w:r w:rsidR="005A5498" w:rsidRPr="00A52AB8">
        <w:t> </w:t>
      </w:r>
      <w:r w:rsidRPr="00A52AB8">
        <w:t>BitRate</w:t>
      </w:r>
      <w:r w:rsidR="006377F6" w:rsidRPr="00A52AB8">
        <w:rPr>
          <w:color w:val="000000" w:themeColor="text1"/>
        </w:rPr>
        <w:t>[ !NalHrdModeFlag ]</w:t>
      </w:r>
      <w:r w:rsidR="00A37F84" w:rsidRPr="00A52AB8">
        <w:t>[ Htid ]</w:t>
      </w:r>
      <w:r w:rsidRPr="00A52AB8">
        <w:t>[ SchedSelIdx ]</w:t>
      </w:r>
      <w:r w:rsidRPr="00A52AB8">
        <w:tab/>
        <w:t>(</w:t>
      </w:r>
      <w:r w:rsidR="006336C9" w:rsidRPr="00A52AB8">
        <w:t>E</w:t>
      </w:r>
      <w:r w:rsidRPr="00A52AB8">
        <w:noBreakHyphen/>
      </w:r>
      <w:r w:rsidRPr="00496A4D">
        <w:fldChar w:fldCharType="begin"/>
      </w:r>
      <w:r w:rsidRPr="00A52AB8">
        <w:instrText xml:space="preserve"> SEQ Equation \* ARABIC </w:instrText>
      </w:r>
      <w:r w:rsidRPr="00496A4D">
        <w:fldChar w:fldCharType="separate"/>
      </w:r>
      <w:r w:rsidR="00507A67">
        <w:rPr>
          <w:noProof/>
        </w:rPr>
        <w:t>7</w:t>
      </w:r>
      <w:r w:rsidRPr="00496A4D">
        <w:fldChar w:fldCharType="end"/>
      </w:r>
      <w:r w:rsidRPr="00A52AB8">
        <w:t>)</w:t>
      </w:r>
    </w:p>
    <w:p w14:paraId="647EB0CD" w14:textId="2B2C6971" w:rsidR="001E7DB6" w:rsidRPr="00A52AB8" w:rsidRDefault="001E7DB6">
      <w:pPr>
        <w:numPr>
          <w:ilvl w:val="12"/>
          <w:numId w:val="0"/>
        </w:numPr>
      </w:pPr>
      <w:r w:rsidRPr="00A52AB8">
        <w:t>where sizeIn</w:t>
      </w:r>
      <w:r w:rsidR="00AC627F" w:rsidRPr="00A52AB8">
        <w:t>B</w:t>
      </w:r>
      <w:r w:rsidRPr="00A52AB8">
        <w:t xml:space="preserve">its[ m ] is the size in bits of decoding unit m, counting the bits of the ACL NAL units and the filler data NAL units for the Type I conformance point or all bits of the Type II bitstream for the Type II conformance point, where the Type I and Type II conformance points are as shown in </w:t>
      </w:r>
      <w:r w:rsidR="00BF6FE9" w:rsidRPr="00496A4D">
        <w:fldChar w:fldCharType="begin"/>
      </w:r>
      <w:r w:rsidR="00BF6FE9" w:rsidRPr="00A52AB8">
        <w:instrText xml:space="preserve"> REF _Ref49257883 \h </w:instrText>
      </w:r>
      <w:r w:rsidR="00007BE2" w:rsidRPr="00A52AB8">
        <w:instrText xml:space="preserve"> \* MERGEFORMAT </w:instrText>
      </w:r>
      <w:r w:rsidR="00BF6FE9" w:rsidRPr="00496A4D">
        <w:fldChar w:fldCharType="separate"/>
      </w:r>
      <w:r w:rsidR="00507A67" w:rsidRPr="00A52AB8">
        <w:rPr>
          <w:rFonts w:cs="Calibri"/>
        </w:rPr>
        <w:t xml:space="preserve">Figure </w:t>
      </w:r>
      <w:r w:rsidR="00507A67" w:rsidRPr="00507A67">
        <w:rPr>
          <w:rFonts w:cs="Calibri"/>
          <w:bCs/>
        </w:rPr>
        <w:t>E-</w:t>
      </w:r>
      <w:r w:rsidR="00507A67">
        <w:rPr>
          <w:rFonts w:cs="Calibri"/>
          <w:bCs/>
        </w:rPr>
        <w:t>1</w:t>
      </w:r>
      <w:r w:rsidR="00BF6FE9" w:rsidRPr="00496A4D">
        <w:fldChar w:fldCharType="end"/>
      </w:r>
      <w:r w:rsidRPr="00A52AB8">
        <w:t>.</w:t>
      </w:r>
    </w:p>
    <w:p w14:paraId="6B5197BE" w14:textId="64FAAB3C" w:rsidR="001E7DB6" w:rsidRPr="00A52AB8" w:rsidRDefault="001E7DB6">
      <w:pPr>
        <w:rPr>
          <w:iCs/>
        </w:rPr>
      </w:pPr>
      <w:r w:rsidRPr="00A52AB8">
        <w:rPr>
          <w:iCs/>
        </w:rPr>
        <w:t xml:space="preserve">The values of SchedSelIdx, </w:t>
      </w:r>
      <w:r w:rsidRPr="00A52AB8">
        <w:t>BitRate</w:t>
      </w:r>
      <w:r w:rsidR="006377F6" w:rsidRPr="00A52AB8">
        <w:rPr>
          <w:color w:val="000000" w:themeColor="text1"/>
        </w:rPr>
        <w:t>[ !NalHrdModeFlag ]</w:t>
      </w:r>
      <w:r w:rsidR="00A37F84" w:rsidRPr="00A52AB8">
        <w:t>[ Htid ]</w:t>
      </w:r>
      <w:r w:rsidRPr="00A52AB8">
        <w:t>[ SchedSelIdx ]</w:t>
      </w:r>
      <w:r w:rsidR="00AC627F" w:rsidRPr="00A52AB8">
        <w:t>,</w:t>
      </w:r>
      <w:r w:rsidRPr="00A52AB8">
        <w:t xml:space="preserve"> and CabSize</w:t>
      </w:r>
      <w:r w:rsidR="006377F6" w:rsidRPr="00A52AB8">
        <w:rPr>
          <w:color w:val="000000" w:themeColor="text1"/>
        </w:rPr>
        <w:t>[ !NalHrdModeFlag ]</w:t>
      </w:r>
      <w:r w:rsidR="00A37F84" w:rsidRPr="00A52AB8">
        <w:t>[ Htid ]</w:t>
      </w:r>
      <w:r w:rsidRPr="00A52AB8">
        <w:t>[ SchedSelIdx ] are constrained as follows:</w:t>
      </w:r>
    </w:p>
    <w:p w14:paraId="34373AC0" w14:textId="76649721" w:rsidR="00020B6B" w:rsidRPr="00A52AB8" w:rsidRDefault="00020B6B" w:rsidP="00007BE2">
      <w:pPr>
        <w:pStyle w:val="ListParagraph"/>
        <w:numPr>
          <w:ilvl w:val="0"/>
          <w:numId w:val="308"/>
        </w:numPr>
        <w:tabs>
          <w:tab w:val="clear" w:pos="403"/>
          <w:tab w:val="clear" w:pos="2822"/>
          <w:tab w:val="clear" w:pos="3226"/>
          <w:tab w:val="clear" w:pos="3629"/>
          <w:tab w:val="clear" w:pos="4032"/>
          <w:tab w:val="clear" w:pos="4435"/>
          <w:tab w:val="clear" w:pos="9677"/>
          <w:tab w:val="left" w:pos="400"/>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If the content of the selected hrd_parameters( ) syntax structures for the </w:t>
      </w:r>
      <w:r w:rsidR="00F4336E" w:rsidRPr="00A52AB8">
        <w:rPr>
          <w:color w:val="000000" w:themeColor="text1"/>
        </w:rPr>
        <w:t xml:space="preserve">coded atlas </w:t>
      </w:r>
      <w:r w:rsidRPr="00A52AB8">
        <w:rPr>
          <w:color w:val="000000" w:themeColor="text1"/>
        </w:rPr>
        <w:t xml:space="preserve">access unit containing decoding unit m and the previous </w:t>
      </w:r>
      <w:r w:rsidR="00F4336E" w:rsidRPr="00A52AB8">
        <w:rPr>
          <w:color w:val="000000" w:themeColor="text1"/>
        </w:rPr>
        <w:t xml:space="preserve">coded atlas </w:t>
      </w:r>
      <w:r w:rsidRPr="00A52AB8">
        <w:rPr>
          <w:color w:val="000000" w:themeColor="text1"/>
        </w:rPr>
        <w:t xml:space="preserve">access unit differ, the HSS selects a value SchedSelIdx1 of SchedSelIdx from among the values of SchedSelIdx provided in the selected hrd_parameters( ) syntax structures for the </w:t>
      </w:r>
      <w:r w:rsidR="00F4336E" w:rsidRPr="00A52AB8">
        <w:rPr>
          <w:color w:val="000000" w:themeColor="text1"/>
        </w:rPr>
        <w:t xml:space="preserve">coded atlas </w:t>
      </w:r>
      <w:r w:rsidRPr="00A52AB8">
        <w:rPr>
          <w:color w:val="000000" w:themeColor="text1"/>
        </w:rPr>
        <w:t>access unit containing decoding unit m that results in a BitRate</w:t>
      </w:r>
      <w:r w:rsidR="006377F6" w:rsidRPr="00A52AB8">
        <w:rPr>
          <w:color w:val="000000" w:themeColor="text1"/>
        </w:rPr>
        <w:t>[ !NalHrdModeFlag ]</w:t>
      </w:r>
      <w:r w:rsidR="00F4336E" w:rsidRPr="00A52AB8">
        <w:t>[ Htid ]</w:t>
      </w:r>
      <w:r w:rsidRPr="00A52AB8">
        <w:rPr>
          <w:color w:val="000000" w:themeColor="text1"/>
        </w:rPr>
        <w:t>[ SchedSelIdx1 ] or CabSize</w:t>
      </w:r>
      <w:r w:rsidR="006377F6" w:rsidRPr="00A52AB8">
        <w:rPr>
          <w:color w:val="000000" w:themeColor="text1"/>
        </w:rPr>
        <w:t>[ !NalHrdModeFlag ]</w:t>
      </w:r>
      <w:r w:rsidR="00F4336E" w:rsidRPr="00A52AB8">
        <w:t>[ Htid ]</w:t>
      </w:r>
      <w:r w:rsidRPr="00A52AB8">
        <w:rPr>
          <w:color w:val="000000" w:themeColor="text1"/>
        </w:rPr>
        <w:t>[ SchedSelIdx1 ] for the access unit containing decoding unit m. The value of BitRate</w:t>
      </w:r>
      <w:r w:rsidR="006377F6" w:rsidRPr="00A52AB8">
        <w:rPr>
          <w:color w:val="000000" w:themeColor="text1"/>
        </w:rPr>
        <w:t>[ !NalHrdModeFlag ]</w:t>
      </w:r>
      <w:r w:rsidR="00F4336E" w:rsidRPr="00A52AB8">
        <w:t>[ Htid ]</w:t>
      </w:r>
      <w:r w:rsidRPr="00A52AB8">
        <w:rPr>
          <w:color w:val="000000" w:themeColor="text1"/>
        </w:rPr>
        <w:t>[ SchedSelIdx1 ] or CabSize</w:t>
      </w:r>
      <w:r w:rsidR="006377F6" w:rsidRPr="00A52AB8">
        <w:rPr>
          <w:color w:val="000000" w:themeColor="text1"/>
        </w:rPr>
        <w:t>[ !NalHrdModeFlag ]</w:t>
      </w:r>
      <w:r w:rsidR="00F4336E" w:rsidRPr="00A52AB8">
        <w:t>[ Htid ]</w:t>
      </w:r>
      <w:r w:rsidRPr="00A52AB8">
        <w:rPr>
          <w:color w:val="000000" w:themeColor="text1"/>
        </w:rPr>
        <w:t>[ SchedSelIdx1 ] may differ from the value of BitRate</w:t>
      </w:r>
      <w:r w:rsidR="006377F6" w:rsidRPr="00A52AB8">
        <w:rPr>
          <w:color w:val="000000" w:themeColor="text1"/>
        </w:rPr>
        <w:t>[ !NalHrdModeFlag ]</w:t>
      </w:r>
      <w:r w:rsidR="00F4336E" w:rsidRPr="00A52AB8">
        <w:t>[ Htid ]</w:t>
      </w:r>
      <w:r w:rsidRPr="00A52AB8">
        <w:rPr>
          <w:color w:val="000000" w:themeColor="text1"/>
        </w:rPr>
        <w:t>[ SchedSelIdx0 ] or CabSize</w:t>
      </w:r>
      <w:r w:rsidR="006377F6" w:rsidRPr="00A52AB8">
        <w:rPr>
          <w:color w:val="000000" w:themeColor="text1"/>
        </w:rPr>
        <w:t>[ !NalHrdModeFlag ]</w:t>
      </w:r>
      <w:r w:rsidR="00F4336E" w:rsidRPr="00A52AB8">
        <w:t>[ Htid ]</w:t>
      </w:r>
      <w:r w:rsidRPr="00A52AB8">
        <w:rPr>
          <w:color w:val="000000" w:themeColor="text1"/>
        </w:rPr>
        <w:t xml:space="preserve">[ SchedSelIdx0 ] for the value SchedSelIdx0 of SchedSelIdx that was in use for the previous </w:t>
      </w:r>
      <w:r w:rsidR="00F4336E" w:rsidRPr="00A52AB8">
        <w:rPr>
          <w:color w:val="000000" w:themeColor="text1"/>
        </w:rPr>
        <w:t xml:space="preserve">coded atlas </w:t>
      </w:r>
      <w:r w:rsidRPr="00A52AB8">
        <w:rPr>
          <w:color w:val="000000" w:themeColor="text1"/>
        </w:rPr>
        <w:t>access unit.</w:t>
      </w:r>
    </w:p>
    <w:p w14:paraId="45D5B2CA" w14:textId="1D0B4A8B" w:rsidR="00020B6B" w:rsidRPr="00A52AB8" w:rsidRDefault="00020B6B" w:rsidP="00007BE2">
      <w:pPr>
        <w:pStyle w:val="ListParagraph"/>
        <w:numPr>
          <w:ilvl w:val="0"/>
          <w:numId w:val="308"/>
        </w:numPr>
        <w:tabs>
          <w:tab w:val="clear" w:pos="403"/>
          <w:tab w:val="clear" w:pos="2822"/>
          <w:tab w:val="clear" w:pos="3226"/>
          <w:tab w:val="clear" w:pos="3629"/>
          <w:tab w:val="clear" w:pos="4032"/>
          <w:tab w:val="clear" w:pos="4435"/>
          <w:tab w:val="clear" w:pos="9677"/>
          <w:tab w:val="left" w:pos="400"/>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Otherwise, the HSS continues to operate with the previous values of SchedSelIdx, BitRate</w:t>
      </w:r>
      <w:r w:rsidR="006377F6" w:rsidRPr="00A52AB8">
        <w:rPr>
          <w:color w:val="000000" w:themeColor="text1"/>
        </w:rPr>
        <w:t>[ !NalHrdModeFlag ]</w:t>
      </w:r>
      <w:r w:rsidR="00F4336E" w:rsidRPr="00A52AB8">
        <w:t>[ Htid ]</w:t>
      </w:r>
      <w:r w:rsidRPr="00A52AB8">
        <w:rPr>
          <w:color w:val="000000" w:themeColor="text1"/>
        </w:rPr>
        <w:t>[ SchedSelIdx ]</w:t>
      </w:r>
      <w:r w:rsidR="00AC627F" w:rsidRPr="00A52AB8">
        <w:rPr>
          <w:color w:val="000000" w:themeColor="text1"/>
        </w:rPr>
        <w:t>,</w:t>
      </w:r>
      <w:r w:rsidRPr="00A52AB8">
        <w:rPr>
          <w:color w:val="000000" w:themeColor="text1"/>
        </w:rPr>
        <w:t xml:space="preserve"> and CabSize</w:t>
      </w:r>
      <w:r w:rsidR="006377F6" w:rsidRPr="00A52AB8">
        <w:rPr>
          <w:color w:val="000000" w:themeColor="text1"/>
        </w:rPr>
        <w:t>[ !NalHrdModeFlag ]</w:t>
      </w:r>
      <w:r w:rsidR="00F4336E" w:rsidRPr="00A52AB8">
        <w:t>[ Htid ]</w:t>
      </w:r>
      <w:r w:rsidRPr="00A52AB8">
        <w:rPr>
          <w:color w:val="000000" w:themeColor="text1"/>
        </w:rPr>
        <w:t>[ SchedSelIdx ].</w:t>
      </w:r>
    </w:p>
    <w:p w14:paraId="3238BD76" w14:textId="74C62603" w:rsidR="001E7DB6" w:rsidRPr="00A52AB8" w:rsidRDefault="001E7DB6">
      <w:pPr>
        <w:rPr>
          <w:iCs/>
        </w:rPr>
      </w:pPr>
      <w:r w:rsidRPr="00A52AB8">
        <w:rPr>
          <w:iCs/>
        </w:rPr>
        <w:t xml:space="preserve">When the HSS selects values of </w:t>
      </w:r>
      <w:r w:rsidRPr="00A52AB8">
        <w:t>BitRate</w:t>
      </w:r>
      <w:r w:rsidR="006377F6" w:rsidRPr="00A52AB8">
        <w:rPr>
          <w:color w:val="000000" w:themeColor="text1"/>
        </w:rPr>
        <w:t>[ !NalHrdModeFlag ]</w:t>
      </w:r>
      <w:r w:rsidR="00F4336E" w:rsidRPr="00A52AB8">
        <w:t>[ Htid ]</w:t>
      </w:r>
      <w:r w:rsidRPr="00A52AB8">
        <w:t>[ SchedSelIdx ] or CabSize</w:t>
      </w:r>
      <w:r w:rsidR="006377F6" w:rsidRPr="00A52AB8">
        <w:rPr>
          <w:color w:val="000000" w:themeColor="text1"/>
        </w:rPr>
        <w:t>[ !NalHrdModeFlag ]</w:t>
      </w:r>
      <w:r w:rsidR="00F4336E" w:rsidRPr="00A52AB8">
        <w:t>[ Htid ]</w:t>
      </w:r>
      <w:r w:rsidRPr="00A52AB8">
        <w:t>[ SchedSelIdx ] that differ from those of the previous access unit, the following applies:</w:t>
      </w:r>
    </w:p>
    <w:p w14:paraId="45C915AF" w14:textId="47E34158" w:rsidR="00020B6B" w:rsidRPr="00A52AB8" w:rsidRDefault="00020B6B" w:rsidP="00007BE2">
      <w:pPr>
        <w:pStyle w:val="ListParagraph"/>
        <w:numPr>
          <w:ilvl w:val="0"/>
          <w:numId w:val="308"/>
        </w:numPr>
        <w:tabs>
          <w:tab w:val="clear" w:pos="403"/>
          <w:tab w:val="clear" w:pos="2822"/>
          <w:tab w:val="clear" w:pos="3226"/>
          <w:tab w:val="clear" w:pos="3629"/>
          <w:tab w:val="clear" w:pos="4032"/>
          <w:tab w:val="clear" w:pos="4435"/>
          <w:tab w:val="clear" w:pos="9677"/>
          <w:tab w:val="left" w:pos="400"/>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The variable BitRate</w:t>
      </w:r>
      <w:r w:rsidR="006377F6" w:rsidRPr="00A52AB8">
        <w:rPr>
          <w:color w:val="000000" w:themeColor="text1"/>
        </w:rPr>
        <w:t>[ !NalHrdModeFlag ]</w:t>
      </w:r>
      <w:r w:rsidR="00F4336E" w:rsidRPr="00A52AB8">
        <w:t>[ Htid ]</w:t>
      </w:r>
      <w:r w:rsidRPr="00A52AB8">
        <w:rPr>
          <w:color w:val="000000" w:themeColor="text1"/>
        </w:rPr>
        <w:t xml:space="preserve">[ SchedSelIdx ] comes into effect at the initial CAB arrival time of the current </w:t>
      </w:r>
      <w:r w:rsidR="00F4336E" w:rsidRPr="00A52AB8">
        <w:rPr>
          <w:color w:val="000000" w:themeColor="text1"/>
        </w:rPr>
        <w:t xml:space="preserve">coded atlas </w:t>
      </w:r>
      <w:r w:rsidRPr="00A52AB8">
        <w:rPr>
          <w:color w:val="000000" w:themeColor="text1"/>
        </w:rPr>
        <w:t>access unit.</w:t>
      </w:r>
    </w:p>
    <w:p w14:paraId="4E51AECB" w14:textId="0B189AD6" w:rsidR="00020B6B" w:rsidRPr="00A52AB8" w:rsidRDefault="00020B6B" w:rsidP="00007BE2">
      <w:pPr>
        <w:pStyle w:val="ListParagraph"/>
        <w:numPr>
          <w:ilvl w:val="0"/>
          <w:numId w:val="308"/>
        </w:numPr>
        <w:tabs>
          <w:tab w:val="clear" w:pos="403"/>
          <w:tab w:val="clear" w:pos="2822"/>
          <w:tab w:val="clear" w:pos="3226"/>
          <w:tab w:val="clear" w:pos="3629"/>
          <w:tab w:val="clear" w:pos="4032"/>
          <w:tab w:val="clear" w:pos="4435"/>
          <w:tab w:val="clear" w:pos="9677"/>
          <w:tab w:val="left" w:pos="400"/>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The variable CabSize</w:t>
      </w:r>
      <w:r w:rsidR="006377F6" w:rsidRPr="00A52AB8">
        <w:rPr>
          <w:color w:val="000000" w:themeColor="text1"/>
        </w:rPr>
        <w:t>[ !NalHrdModeFlag ]</w:t>
      </w:r>
      <w:r w:rsidR="00F4336E" w:rsidRPr="00A52AB8">
        <w:t>[ Htid ]</w:t>
      </w:r>
      <w:r w:rsidRPr="00A52AB8">
        <w:rPr>
          <w:color w:val="000000" w:themeColor="text1"/>
        </w:rPr>
        <w:t>[ SchedSelIdx ] comes into effect as follows:</w:t>
      </w:r>
    </w:p>
    <w:p w14:paraId="2EAB81E1" w14:textId="4A872E6A" w:rsidR="00020B6B" w:rsidRPr="00A52AB8" w:rsidRDefault="00020B6B" w:rsidP="00007BE2">
      <w:pPr>
        <w:pStyle w:val="ListParagraph"/>
        <w:numPr>
          <w:ilvl w:val="0"/>
          <w:numId w:val="308"/>
        </w:numPr>
        <w:tabs>
          <w:tab w:val="clear" w:pos="403"/>
          <w:tab w:val="clear" w:pos="2822"/>
          <w:tab w:val="clear" w:pos="3226"/>
          <w:tab w:val="clear" w:pos="3629"/>
          <w:tab w:val="clear" w:pos="4032"/>
          <w:tab w:val="clear" w:pos="4435"/>
          <w:tab w:val="clear" w:pos="9677"/>
          <w:tab w:val="left" w:pos="400"/>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If the new value of CabSize</w:t>
      </w:r>
      <w:r w:rsidR="006377F6" w:rsidRPr="00A52AB8">
        <w:rPr>
          <w:color w:val="000000" w:themeColor="text1"/>
        </w:rPr>
        <w:t>[ !NalHrdModeFlag ]</w:t>
      </w:r>
      <w:r w:rsidR="00F4336E" w:rsidRPr="00A52AB8">
        <w:t>[ Htid ]</w:t>
      </w:r>
      <w:r w:rsidRPr="00A52AB8">
        <w:rPr>
          <w:color w:val="000000" w:themeColor="text1"/>
        </w:rPr>
        <w:t>[ SchedSelIdx ] is greater than the old CAB size, it comes into effect at the initial CAB arrival time of the current access unit.</w:t>
      </w:r>
    </w:p>
    <w:p w14:paraId="04A2704E" w14:textId="394AA59C" w:rsidR="001E7DB6" w:rsidRPr="00A52AB8" w:rsidRDefault="00020B6B"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Otherwise, the new value of CabSize</w:t>
      </w:r>
      <w:r w:rsidR="006377F6" w:rsidRPr="00A52AB8">
        <w:rPr>
          <w:color w:val="000000" w:themeColor="text1"/>
        </w:rPr>
        <w:t>[ !NalHrdModeFlag ]</w:t>
      </w:r>
      <w:r w:rsidR="00F4336E" w:rsidRPr="00A52AB8">
        <w:t>[ Htid ]</w:t>
      </w:r>
      <w:r w:rsidRPr="00A52AB8">
        <w:rPr>
          <w:color w:val="000000" w:themeColor="text1"/>
        </w:rPr>
        <w:t>[ SchedSelIdx ] comes into effect at the CAB removal time of the current access unit.</w:t>
      </w:r>
    </w:p>
    <w:p w14:paraId="66BB1276" w14:textId="77777777" w:rsidR="001E7DB6" w:rsidRPr="00A52AB8" w:rsidRDefault="001E7DB6">
      <w:pPr>
        <w:pStyle w:val="a3"/>
        <w:numPr>
          <w:ilvl w:val="2"/>
          <w:numId w:val="19"/>
        </w:numPr>
      </w:pPr>
      <w:bookmarkStart w:id="5113" w:name="_Ref21511739"/>
      <w:bookmarkStart w:id="5114" w:name="_Ref21516619"/>
      <w:bookmarkStart w:id="5115" w:name="_Toc52181695"/>
      <w:r w:rsidRPr="00A52AB8">
        <w:t>Timing of decoding unit removal and decoding of decoding unit</w:t>
      </w:r>
      <w:bookmarkEnd w:id="5113"/>
      <w:bookmarkEnd w:id="5114"/>
      <w:bookmarkEnd w:id="5115"/>
    </w:p>
    <w:p w14:paraId="31C02690" w14:textId="55901E5D" w:rsidR="001E7DB6" w:rsidRPr="00A52AB8" w:rsidRDefault="001E7DB6">
      <w:r w:rsidRPr="00A52AB8">
        <w:t>The variables InitCabRemovalDelay</w:t>
      </w:r>
      <w:r w:rsidR="00F4336E" w:rsidRPr="00A52AB8">
        <w:t>[ Htid ]</w:t>
      </w:r>
      <w:r w:rsidRPr="00A52AB8">
        <w:t>[ SchedSelIdx ], InitCabRemovalDelayOffset</w:t>
      </w:r>
      <w:r w:rsidR="00F4336E" w:rsidRPr="00A52AB8">
        <w:t>[ Htid ]</w:t>
      </w:r>
      <w:r w:rsidRPr="00A52AB8">
        <w:t>[ SchedSelIdx ], CabDelayOffset</w:t>
      </w:r>
      <w:r w:rsidR="00200411" w:rsidRPr="00A52AB8">
        <w:t>,</w:t>
      </w:r>
      <w:r w:rsidRPr="00A52AB8">
        <w:t xml:space="preserve"> and DabDelayOffset are derived as follows:</w:t>
      </w:r>
    </w:p>
    <w:p w14:paraId="33943928" w14:textId="627F4A43" w:rsidR="00020B6B" w:rsidRPr="00A52AB8" w:rsidRDefault="00020B6B" w:rsidP="00007BE2">
      <w:pPr>
        <w:pStyle w:val="ListParagraph"/>
        <w:numPr>
          <w:ilvl w:val="0"/>
          <w:numId w:val="308"/>
        </w:numPr>
        <w:tabs>
          <w:tab w:val="clear" w:pos="403"/>
          <w:tab w:val="clear" w:pos="2822"/>
          <w:tab w:val="clear" w:pos="3226"/>
          <w:tab w:val="clear" w:pos="3629"/>
          <w:tab w:val="clear" w:pos="4032"/>
          <w:tab w:val="clear" w:pos="4435"/>
          <w:tab w:val="clear" w:pos="9677"/>
          <w:tab w:val="left" w:pos="400"/>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If one or more of the following conditions are true, CabDelayOffset is set equal to the value of the buffering period SEI message syntax element </w:t>
      </w:r>
      <w:r w:rsidR="00E46913" w:rsidRPr="00A52AB8">
        <w:rPr>
          <w:color w:val="000000" w:themeColor="text1"/>
        </w:rPr>
        <w:t>bp_</w:t>
      </w:r>
      <w:r w:rsidRPr="00A52AB8">
        <w:rPr>
          <w:color w:val="000000" w:themeColor="text1"/>
        </w:rPr>
        <w:t>cab_delay_offset, DabDelayOffset is set equal to the value of the buffering period SEI message syntax element bp_dab_delay_offset, and InitCabRemovalDelay</w:t>
      </w:r>
      <w:r w:rsidR="00F4336E" w:rsidRPr="00A52AB8">
        <w:t>[ Htid ]</w:t>
      </w:r>
      <w:r w:rsidR="00200411" w:rsidRPr="00A52AB8">
        <w:rPr>
          <w:color w:val="000000" w:themeColor="text1"/>
        </w:rPr>
        <w:t>[ </w:t>
      </w:r>
      <w:r w:rsidRPr="00A52AB8">
        <w:rPr>
          <w:color w:val="000000" w:themeColor="text1"/>
        </w:rPr>
        <w:t>SchedSelIdx</w:t>
      </w:r>
      <w:r w:rsidR="00200411" w:rsidRPr="00A52AB8">
        <w:rPr>
          <w:color w:val="000000" w:themeColor="text1"/>
        </w:rPr>
        <w:t> </w:t>
      </w:r>
      <w:r w:rsidRPr="00A52AB8">
        <w:rPr>
          <w:color w:val="000000" w:themeColor="text1"/>
        </w:rPr>
        <w:t>] and InitCabRemovalDelayOffset</w:t>
      </w:r>
      <w:r w:rsidR="00F4336E" w:rsidRPr="00A52AB8">
        <w:t>[ Htid ]</w:t>
      </w:r>
      <w:r w:rsidRPr="00A52AB8">
        <w:rPr>
          <w:color w:val="000000" w:themeColor="text1"/>
        </w:rPr>
        <w:t>[</w:t>
      </w:r>
      <w:r w:rsidR="00200411" w:rsidRPr="00A52AB8">
        <w:rPr>
          <w:color w:val="000000" w:themeColor="text1"/>
        </w:rPr>
        <w:t> </w:t>
      </w:r>
      <w:r w:rsidRPr="00A52AB8">
        <w:rPr>
          <w:color w:val="000000" w:themeColor="text1"/>
        </w:rPr>
        <w:t>SchedSelIdx</w:t>
      </w:r>
      <w:r w:rsidR="00200411" w:rsidRPr="00A52AB8">
        <w:rPr>
          <w:color w:val="000000" w:themeColor="text1"/>
        </w:rPr>
        <w:t> </w:t>
      </w:r>
      <w:r w:rsidRPr="00A52AB8">
        <w:rPr>
          <w:color w:val="000000" w:themeColor="text1"/>
        </w:rPr>
        <w:t xml:space="preserve">] are set equal to the values of the buffering period SEI message syntax elements </w:t>
      </w:r>
      <w:r w:rsidR="005A186E" w:rsidRPr="00A52AB8">
        <w:rPr>
          <w:color w:val="000000" w:themeColor="text1"/>
        </w:rPr>
        <w:t>bp_</w:t>
      </w:r>
      <w:r w:rsidRPr="00A52AB8">
        <w:rPr>
          <w:color w:val="000000" w:themeColor="text1"/>
        </w:rPr>
        <w:t>nal_initial_alt_cab_removal_delay</w:t>
      </w:r>
      <w:r w:rsidR="00F4336E" w:rsidRPr="00A52AB8">
        <w:t>[ Htid ]</w:t>
      </w:r>
      <w:r w:rsidR="00200411" w:rsidRPr="00A52AB8">
        <w:rPr>
          <w:color w:val="000000" w:themeColor="text1"/>
        </w:rPr>
        <w:t>[ </w:t>
      </w:r>
      <w:r w:rsidRPr="00A52AB8">
        <w:rPr>
          <w:color w:val="000000" w:themeColor="text1"/>
        </w:rPr>
        <w:t>SchedSelIdx</w:t>
      </w:r>
      <w:r w:rsidR="00200411" w:rsidRPr="00A52AB8">
        <w:rPr>
          <w:color w:val="000000" w:themeColor="text1"/>
        </w:rPr>
        <w:t> </w:t>
      </w:r>
      <w:r w:rsidRPr="00A52AB8">
        <w:rPr>
          <w:color w:val="000000" w:themeColor="text1"/>
        </w:rPr>
        <w:t>] and bp_nal_initial_alt_cab_removal_offset</w:t>
      </w:r>
      <w:r w:rsidR="00F4336E" w:rsidRPr="00A52AB8">
        <w:t>[ Htid ]</w:t>
      </w:r>
      <w:r w:rsidRPr="00A52AB8">
        <w:rPr>
          <w:color w:val="000000" w:themeColor="text1"/>
        </w:rPr>
        <w:t>[</w:t>
      </w:r>
      <w:r w:rsidR="00200411" w:rsidRPr="00A52AB8">
        <w:t> </w:t>
      </w:r>
      <w:r w:rsidRPr="00A52AB8">
        <w:rPr>
          <w:color w:val="000000" w:themeColor="text1"/>
        </w:rPr>
        <w:t>SchedSelIdx</w:t>
      </w:r>
      <w:r w:rsidR="00200411" w:rsidRPr="00A52AB8">
        <w:rPr>
          <w:color w:val="000000" w:themeColor="text1"/>
        </w:rPr>
        <w:t> </w:t>
      </w:r>
      <w:r w:rsidRPr="00A52AB8">
        <w:rPr>
          <w:color w:val="000000" w:themeColor="text1"/>
        </w:rPr>
        <w:t xml:space="preserve">], respectively, when NalHrdModeFlag is equal to 1, or </w:t>
      </w:r>
      <w:r w:rsidR="005A186E" w:rsidRPr="00A52AB8">
        <w:rPr>
          <w:color w:val="000000" w:themeColor="text1"/>
        </w:rPr>
        <w:t>bp_</w:t>
      </w:r>
      <w:r w:rsidRPr="00A52AB8">
        <w:rPr>
          <w:color w:val="000000" w:themeColor="text1"/>
        </w:rPr>
        <w:t>acl_initial_alt_cab_removal_delay</w:t>
      </w:r>
      <w:r w:rsidR="00F4336E" w:rsidRPr="00A52AB8">
        <w:t>[ Htid ]</w:t>
      </w:r>
      <w:r w:rsidRPr="00A52AB8">
        <w:rPr>
          <w:color w:val="000000" w:themeColor="text1"/>
        </w:rPr>
        <w:t>[</w:t>
      </w:r>
      <w:r w:rsidR="00200411" w:rsidRPr="00A52AB8">
        <w:rPr>
          <w:color w:val="000000" w:themeColor="text1"/>
        </w:rPr>
        <w:t> </w:t>
      </w:r>
      <w:r w:rsidRPr="00A52AB8">
        <w:rPr>
          <w:color w:val="000000" w:themeColor="text1"/>
        </w:rPr>
        <w:t>SchedSelIdx</w:t>
      </w:r>
      <w:r w:rsidR="00200411" w:rsidRPr="00A52AB8">
        <w:rPr>
          <w:color w:val="000000" w:themeColor="text1"/>
        </w:rPr>
        <w:t> </w:t>
      </w:r>
      <w:r w:rsidRPr="00A52AB8">
        <w:rPr>
          <w:color w:val="000000" w:themeColor="text1"/>
        </w:rPr>
        <w:t>] and bp_acl_initial_alt_cab_removal_offset</w:t>
      </w:r>
      <w:r w:rsidR="00F4336E" w:rsidRPr="00A52AB8">
        <w:t>[ Htid ]</w:t>
      </w:r>
      <w:r w:rsidRPr="00A52AB8">
        <w:rPr>
          <w:color w:val="000000" w:themeColor="text1"/>
        </w:rPr>
        <w:t>[</w:t>
      </w:r>
      <w:r w:rsidR="00200411" w:rsidRPr="00A52AB8">
        <w:rPr>
          <w:color w:val="000000" w:themeColor="text1"/>
        </w:rPr>
        <w:t> </w:t>
      </w:r>
      <w:r w:rsidRPr="00A52AB8">
        <w:rPr>
          <w:color w:val="000000" w:themeColor="text1"/>
        </w:rPr>
        <w:t>SchedSelIdx</w:t>
      </w:r>
      <w:r w:rsidR="00200411" w:rsidRPr="00A52AB8">
        <w:rPr>
          <w:color w:val="000000" w:themeColor="text1"/>
        </w:rPr>
        <w:t> </w:t>
      </w:r>
      <w:r w:rsidRPr="00A52AB8">
        <w:rPr>
          <w:color w:val="000000" w:themeColor="text1"/>
        </w:rPr>
        <w:t xml:space="preserve">], respectively, when NalHrdModeFlag is equal to 0, where the buffering period SEI message containing the syntax elements is selected as specified in </w:t>
      </w:r>
      <w:r w:rsidR="00406A86" w:rsidRPr="00A52AB8">
        <w:rPr>
          <w:color w:val="000000" w:themeColor="text1"/>
        </w:rPr>
        <w:t>subclause</w:t>
      </w:r>
      <w:r w:rsidRPr="00A52AB8">
        <w:rPr>
          <w:color w:val="000000" w:themeColor="text1"/>
        </w:rPr>
        <w:t xml:space="preserve"> </w:t>
      </w:r>
      <w:r w:rsidRPr="00496A4D">
        <w:rPr>
          <w:color w:val="000000" w:themeColor="text1"/>
        </w:rPr>
        <w:fldChar w:fldCharType="begin"/>
      </w:r>
      <w:r w:rsidRPr="00A52AB8">
        <w:rPr>
          <w:color w:val="000000" w:themeColor="text1"/>
        </w:rPr>
        <w:instrText xml:space="preserve"> REF _Ref21517038 \w \h </w:instrText>
      </w:r>
      <w:r w:rsidR="005A186E"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E.1</w:t>
      </w:r>
      <w:r w:rsidRPr="00496A4D">
        <w:rPr>
          <w:color w:val="000000" w:themeColor="text1"/>
        </w:rPr>
        <w:fldChar w:fldCharType="end"/>
      </w:r>
      <w:r w:rsidRPr="00A52AB8">
        <w:rPr>
          <w:color w:val="000000" w:themeColor="text1"/>
        </w:rPr>
        <w:t>.</w:t>
      </w:r>
    </w:p>
    <w:p w14:paraId="22D0A4E6" w14:textId="69830F03" w:rsidR="007A36DB" w:rsidRPr="00A52AB8" w:rsidRDefault="00F4336E">
      <w:pPr>
        <w:pStyle w:val="ListParagraph"/>
        <w:numPr>
          <w:ilvl w:val="0"/>
          <w:numId w:val="308"/>
        </w:numPr>
        <w:tabs>
          <w:tab w:val="clear" w:pos="403"/>
          <w:tab w:val="clear" w:pos="2822"/>
          <w:tab w:val="clear" w:pos="3226"/>
          <w:tab w:val="clear" w:pos="3629"/>
          <w:tab w:val="clear" w:pos="4032"/>
          <w:tab w:val="clear" w:pos="4435"/>
          <w:tab w:val="clear" w:pos="9677"/>
          <w:tab w:val="left" w:pos="400"/>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Coded atlas a</w:t>
      </w:r>
      <w:r w:rsidR="00020B6B" w:rsidRPr="00A52AB8">
        <w:rPr>
          <w:color w:val="000000" w:themeColor="text1"/>
        </w:rPr>
        <w:t xml:space="preserve">ccess unit 0 is a BLA access unit for which the coded atlas has nal_unit_type </w:t>
      </w:r>
      <w:r w:rsidRPr="00A52AB8">
        <w:rPr>
          <w:color w:val="000000" w:themeColor="text1"/>
        </w:rPr>
        <w:t xml:space="preserve">is </w:t>
      </w:r>
      <w:r w:rsidR="00020B6B" w:rsidRPr="00A52AB8">
        <w:rPr>
          <w:color w:val="000000" w:themeColor="text1"/>
        </w:rPr>
        <w:t>equal to NAL_BLA_W_RADL</w:t>
      </w:r>
      <w:r w:rsidR="00BF1787" w:rsidRPr="00A52AB8">
        <w:rPr>
          <w:color w:val="000000" w:themeColor="text1"/>
        </w:rPr>
        <w:t>,</w:t>
      </w:r>
      <w:r w:rsidR="00020B6B" w:rsidRPr="00A52AB8">
        <w:rPr>
          <w:color w:val="000000" w:themeColor="text1"/>
        </w:rPr>
        <w:t xml:space="preserve"> NAL_BLA_N_LP, </w:t>
      </w:r>
      <w:r w:rsidR="00B4715C" w:rsidRPr="00A52AB8">
        <w:rPr>
          <w:color w:val="000000" w:themeColor="text1"/>
        </w:rPr>
        <w:t xml:space="preserve">NAL_GBLA_W_RADL, or NAL_GBLA_N_LP </w:t>
      </w:r>
      <w:r w:rsidR="00020B6B" w:rsidRPr="00A52AB8">
        <w:rPr>
          <w:color w:val="000000" w:themeColor="text1"/>
        </w:rPr>
        <w:t>and the value of bp_irap_cab_params_present_flag of the buffering period SEI message is equal to 1.</w:t>
      </w:r>
    </w:p>
    <w:p w14:paraId="2EB906DF" w14:textId="36603B71" w:rsidR="00020B6B" w:rsidRPr="00A52AB8" w:rsidRDefault="007A36DB" w:rsidP="00007BE2">
      <w:pPr>
        <w:pStyle w:val="ListParagraph"/>
        <w:numPr>
          <w:ilvl w:val="0"/>
          <w:numId w:val="308"/>
        </w:numPr>
        <w:tabs>
          <w:tab w:val="clear" w:pos="403"/>
          <w:tab w:val="clear" w:pos="2822"/>
          <w:tab w:val="clear" w:pos="3226"/>
          <w:tab w:val="clear" w:pos="3629"/>
          <w:tab w:val="clear" w:pos="4032"/>
          <w:tab w:val="clear" w:pos="4435"/>
          <w:tab w:val="clear" w:pos="9677"/>
          <w:tab w:val="left" w:pos="400"/>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 xml:space="preserve">Coded atlas </w:t>
      </w:r>
      <w:r w:rsidR="00020B6B" w:rsidRPr="00A52AB8">
        <w:rPr>
          <w:color w:val="000000" w:themeColor="text1"/>
        </w:rPr>
        <w:t>access unit</w:t>
      </w:r>
      <w:r w:rsidRPr="00A52AB8">
        <w:rPr>
          <w:color w:val="000000" w:themeColor="text1"/>
        </w:rPr>
        <w:t xml:space="preserve"> 0 is a BLA access unit for which the </w:t>
      </w:r>
      <w:r w:rsidR="00931117" w:rsidRPr="00A52AB8">
        <w:rPr>
          <w:color w:val="000000" w:themeColor="text1"/>
        </w:rPr>
        <w:t>coded atlas access unit</w:t>
      </w:r>
      <w:r w:rsidRPr="00A52AB8">
        <w:rPr>
          <w:color w:val="000000" w:themeColor="text1"/>
        </w:rPr>
        <w:t xml:space="preserve"> has nal_unit_type equal to </w:t>
      </w:r>
      <w:r w:rsidR="000C1ACB" w:rsidRPr="00A52AB8">
        <w:rPr>
          <w:color w:val="000000" w:themeColor="text1"/>
        </w:rPr>
        <w:t>NAL_BLA_W_LP or NAL_GBLA_W_LP,</w:t>
      </w:r>
      <w:r w:rsidRPr="00A52AB8">
        <w:rPr>
          <w:color w:val="000000" w:themeColor="text1"/>
        </w:rPr>
        <w:t xml:space="preserve"> or is a CRA coded atlas access unit </w:t>
      </w:r>
      <w:r w:rsidR="00020B6B" w:rsidRPr="00A52AB8">
        <w:rPr>
          <w:color w:val="000000" w:themeColor="text1"/>
        </w:rPr>
        <w:t>and the value of bp_irap_cab_params_present_flag of the buffering period SEI message is equal to 1, and one or more of the following conditions are true:</w:t>
      </w:r>
    </w:p>
    <w:p w14:paraId="59A397F3" w14:textId="10A53324" w:rsidR="00C05474" w:rsidRPr="00A52AB8" w:rsidRDefault="00C05474" w:rsidP="00007BE2">
      <w:pPr>
        <w:pStyle w:val="ListParagraph"/>
        <w:numPr>
          <w:ilvl w:val="0"/>
          <w:numId w:val="308"/>
        </w:numPr>
        <w:tabs>
          <w:tab w:val="clear" w:pos="403"/>
          <w:tab w:val="clear" w:pos="2822"/>
          <w:tab w:val="clear" w:pos="3226"/>
          <w:tab w:val="clear" w:pos="3629"/>
          <w:tab w:val="clear" w:pos="4032"/>
          <w:tab w:val="clear" w:pos="4435"/>
          <w:tab w:val="clear" w:pos="9677"/>
          <w:tab w:val="left" w:pos="400"/>
        </w:tabs>
        <w:overflowPunct w:val="0"/>
        <w:autoSpaceDE w:val="0"/>
        <w:autoSpaceDN w:val="0"/>
        <w:adjustRightInd w:val="0"/>
        <w:spacing w:before="136" w:after="120" w:line="240" w:lineRule="auto"/>
        <w:ind w:leftChars="0" w:left="1611" w:hanging="403"/>
        <w:textAlignment w:val="baseline"/>
        <w:rPr>
          <w:color w:val="000000" w:themeColor="text1"/>
        </w:rPr>
      </w:pPr>
      <w:r w:rsidRPr="00A52AB8">
        <w:rPr>
          <w:color w:val="000000" w:themeColor="text1"/>
        </w:rPr>
        <w:t>UseAltCabParamsFlag for coded atlas access unit 0 is equal to 1.</w:t>
      </w:r>
    </w:p>
    <w:p w14:paraId="0B495841" w14:textId="1117D06D" w:rsidR="00020B6B" w:rsidRPr="00A52AB8" w:rsidRDefault="00020B6B" w:rsidP="00007BE2">
      <w:pPr>
        <w:pStyle w:val="ListParagraph"/>
        <w:numPr>
          <w:ilvl w:val="0"/>
          <w:numId w:val="308"/>
        </w:numPr>
        <w:tabs>
          <w:tab w:val="clear" w:pos="403"/>
          <w:tab w:val="clear" w:pos="2822"/>
          <w:tab w:val="clear" w:pos="3226"/>
          <w:tab w:val="clear" w:pos="3629"/>
          <w:tab w:val="clear" w:pos="4032"/>
          <w:tab w:val="clear" w:pos="4435"/>
          <w:tab w:val="clear" w:pos="9677"/>
          <w:tab w:val="left" w:pos="400"/>
        </w:tabs>
        <w:overflowPunct w:val="0"/>
        <w:autoSpaceDE w:val="0"/>
        <w:autoSpaceDN w:val="0"/>
        <w:adjustRightInd w:val="0"/>
        <w:spacing w:before="136" w:after="120" w:line="240" w:lineRule="auto"/>
        <w:ind w:leftChars="0" w:left="1611" w:hanging="403"/>
        <w:textAlignment w:val="baseline"/>
        <w:rPr>
          <w:color w:val="000000" w:themeColor="text1"/>
        </w:rPr>
      </w:pPr>
      <w:r w:rsidRPr="00A52AB8">
        <w:rPr>
          <w:color w:val="000000" w:themeColor="text1"/>
        </w:rPr>
        <w:t>DefaultInit</w:t>
      </w:r>
      <w:r w:rsidR="005129A9" w:rsidRPr="00A52AB8">
        <w:rPr>
          <w:color w:val="000000" w:themeColor="text1"/>
        </w:rPr>
        <w:t>Cab</w:t>
      </w:r>
      <w:r w:rsidRPr="00A52AB8">
        <w:rPr>
          <w:color w:val="000000" w:themeColor="text1"/>
        </w:rPr>
        <w:t>ParamsFlag is equal to 0.</w:t>
      </w:r>
    </w:p>
    <w:p w14:paraId="17CB74C8" w14:textId="62812E53" w:rsidR="00020B6B" w:rsidRPr="00A52AB8" w:rsidRDefault="00020B6B" w:rsidP="00007BE2">
      <w:pPr>
        <w:pStyle w:val="ListParagraph"/>
        <w:numPr>
          <w:ilvl w:val="0"/>
          <w:numId w:val="308"/>
        </w:numPr>
        <w:tabs>
          <w:tab w:val="clear" w:pos="403"/>
          <w:tab w:val="clear" w:pos="2822"/>
          <w:tab w:val="clear" w:pos="3226"/>
          <w:tab w:val="clear" w:pos="3629"/>
          <w:tab w:val="clear" w:pos="4032"/>
          <w:tab w:val="clear" w:pos="4435"/>
          <w:tab w:val="clear" w:pos="9677"/>
          <w:tab w:val="left" w:pos="400"/>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Otherwise, InitCabRemovalDelay</w:t>
      </w:r>
      <w:r w:rsidR="00F4336E" w:rsidRPr="00A52AB8">
        <w:t>[ Htid ]</w:t>
      </w:r>
      <w:r w:rsidR="00F4336E" w:rsidRPr="00A52AB8">
        <w:rPr>
          <w:color w:val="000000" w:themeColor="text1"/>
        </w:rPr>
        <w:t>[ </w:t>
      </w:r>
      <w:r w:rsidRPr="00A52AB8">
        <w:rPr>
          <w:color w:val="000000" w:themeColor="text1"/>
        </w:rPr>
        <w:t>SchedSelIdx</w:t>
      </w:r>
      <w:r w:rsidR="00F4336E" w:rsidRPr="00A52AB8">
        <w:rPr>
          <w:color w:val="000000" w:themeColor="text1"/>
        </w:rPr>
        <w:t> </w:t>
      </w:r>
      <w:r w:rsidRPr="00A52AB8">
        <w:rPr>
          <w:color w:val="000000" w:themeColor="text1"/>
        </w:rPr>
        <w:t>] and InitCabRemovalDelayOffset</w:t>
      </w:r>
      <w:r w:rsidR="00F4336E" w:rsidRPr="00A52AB8">
        <w:t>[ Htid ]</w:t>
      </w:r>
      <w:r w:rsidR="00F4336E" w:rsidRPr="00A52AB8">
        <w:rPr>
          <w:color w:val="000000" w:themeColor="text1"/>
        </w:rPr>
        <w:t>[ </w:t>
      </w:r>
      <w:r w:rsidRPr="00A52AB8">
        <w:rPr>
          <w:color w:val="000000" w:themeColor="text1"/>
        </w:rPr>
        <w:t>SchedSelIdx</w:t>
      </w:r>
      <w:r w:rsidR="00F4336E" w:rsidRPr="00A52AB8">
        <w:rPr>
          <w:color w:val="000000" w:themeColor="text1"/>
        </w:rPr>
        <w:t> </w:t>
      </w:r>
      <w:r w:rsidRPr="00A52AB8">
        <w:rPr>
          <w:color w:val="000000" w:themeColor="text1"/>
        </w:rPr>
        <w:t>] are set equal to the values of the buffering period SEI message syntax elements bp_nal_initial_cab_removal_delay</w:t>
      </w:r>
      <w:r w:rsidR="00F4336E" w:rsidRPr="00A52AB8">
        <w:t>[ Htid ]</w:t>
      </w:r>
      <w:r w:rsidR="00F4336E" w:rsidRPr="00A52AB8">
        <w:rPr>
          <w:color w:val="000000" w:themeColor="text1"/>
        </w:rPr>
        <w:t>[ </w:t>
      </w:r>
      <w:r w:rsidRPr="00A52AB8">
        <w:rPr>
          <w:color w:val="000000" w:themeColor="text1"/>
        </w:rPr>
        <w:t>SchedSelIdx</w:t>
      </w:r>
      <w:r w:rsidR="00F4336E" w:rsidRPr="00A52AB8">
        <w:rPr>
          <w:color w:val="000000" w:themeColor="text1"/>
        </w:rPr>
        <w:t> </w:t>
      </w:r>
      <w:r w:rsidRPr="00A52AB8">
        <w:rPr>
          <w:color w:val="000000" w:themeColor="text1"/>
        </w:rPr>
        <w:t>] and bp_nal_initial_cab_removal_offset</w:t>
      </w:r>
      <w:r w:rsidR="00F4336E" w:rsidRPr="00A52AB8">
        <w:t>[ Htid ]</w:t>
      </w:r>
      <w:r w:rsidRPr="00A52AB8">
        <w:rPr>
          <w:color w:val="000000" w:themeColor="text1"/>
        </w:rPr>
        <w:t>[</w:t>
      </w:r>
      <w:r w:rsidR="00F4336E" w:rsidRPr="00A52AB8">
        <w:rPr>
          <w:color w:val="000000" w:themeColor="text1"/>
        </w:rPr>
        <w:t> </w:t>
      </w:r>
      <w:r w:rsidRPr="00A52AB8">
        <w:rPr>
          <w:color w:val="000000" w:themeColor="text1"/>
        </w:rPr>
        <w:t>SchedSelIdx</w:t>
      </w:r>
      <w:r w:rsidR="00F4336E" w:rsidRPr="00A52AB8">
        <w:rPr>
          <w:color w:val="000000" w:themeColor="text1"/>
        </w:rPr>
        <w:t> </w:t>
      </w:r>
      <w:r w:rsidRPr="00A52AB8">
        <w:rPr>
          <w:color w:val="000000" w:themeColor="text1"/>
        </w:rPr>
        <w:t>], respectively, when NalHrdModeFlag is equal to 1, or bp_acl_initial_cab_removal_delay</w:t>
      </w:r>
      <w:r w:rsidR="00F4336E" w:rsidRPr="00A52AB8">
        <w:t>[ Htid ]</w:t>
      </w:r>
      <w:r w:rsidR="00F4336E" w:rsidRPr="00A52AB8">
        <w:rPr>
          <w:color w:val="000000" w:themeColor="text1"/>
        </w:rPr>
        <w:t>[ </w:t>
      </w:r>
      <w:r w:rsidRPr="00A52AB8">
        <w:rPr>
          <w:color w:val="000000" w:themeColor="text1"/>
        </w:rPr>
        <w:t>SchedSelIdx</w:t>
      </w:r>
      <w:r w:rsidR="00F4336E" w:rsidRPr="00A52AB8">
        <w:rPr>
          <w:color w:val="000000" w:themeColor="text1"/>
        </w:rPr>
        <w:t> </w:t>
      </w:r>
      <w:r w:rsidRPr="00A52AB8">
        <w:rPr>
          <w:color w:val="000000" w:themeColor="text1"/>
        </w:rPr>
        <w:t>] and bp_acl_initial_cab_removal_offset</w:t>
      </w:r>
      <w:r w:rsidR="00F4336E" w:rsidRPr="00A52AB8">
        <w:t>[ Htid ]</w:t>
      </w:r>
      <w:r w:rsidRPr="00A52AB8">
        <w:rPr>
          <w:color w:val="000000" w:themeColor="text1"/>
        </w:rPr>
        <w:t>[</w:t>
      </w:r>
      <w:r w:rsidR="003452B8" w:rsidRPr="00A52AB8">
        <w:rPr>
          <w:color w:val="000000" w:themeColor="text1"/>
        </w:rPr>
        <w:t> </w:t>
      </w:r>
      <w:r w:rsidRPr="00A52AB8">
        <w:rPr>
          <w:color w:val="000000" w:themeColor="text1"/>
        </w:rPr>
        <w:t>SchedSelIdx</w:t>
      </w:r>
      <w:r w:rsidR="003452B8" w:rsidRPr="00A52AB8">
        <w:rPr>
          <w:color w:val="000000" w:themeColor="text1"/>
        </w:rPr>
        <w:t> </w:t>
      </w:r>
      <w:r w:rsidRPr="00A52AB8">
        <w:rPr>
          <w:color w:val="000000" w:themeColor="text1"/>
        </w:rPr>
        <w:t xml:space="preserve">], respectively, when NalHrdModeFlag is equal to 0, where the buffering period SEI message containing the syntax elements is selected as specified in </w:t>
      </w:r>
      <w:r w:rsidR="00406A86" w:rsidRPr="00A52AB8">
        <w:rPr>
          <w:color w:val="000000" w:themeColor="text1"/>
        </w:rPr>
        <w:t>subclause</w:t>
      </w:r>
      <w:r w:rsidRPr="00A52AB8">
        <w:rPr>
          <w:color w:val="000000" w:themeColor="text1"/>
        </w:rPr>
        <w:t xml:space="preserve"> </w:t>
      </w:r>
      <w:r w:rsidRPr="00496A4D">
        <w:rPr>
          <w:color w:val="000000" w:themeColor="text1"/>
        </w:rPr>
        <w:fldChar w:fldCharType="begin"/>
      </w:r>
      <w:r w:rsidRPr="00A52AB8">
        <w:rPr>
          <w:color w:val="000000" w:themeColor="text1"/>
        </w:rPr>
        <w:instrText xml:space="preserve"> REF _Ref21517201 \w \h </w:instrText>
      </w:r>
      <w:r w:rsidR="005A186E"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E.1</w:t>
      </w:r>
      <w:r w:rsidRPr="00496A4D">
        <w:rPr>
          <w:color w:val="000000" w:themeColor="text1"/>
        </w:rPr>
        <w:fldChar w:fldCharType="end"/>
      </w:r>
      <w:r w:rsidRPr="00A52AB8">
        <w:rPr>
          <w:color w:val="000000" w:themeColor="text1"/>
        </w:rPr>
        <w:t xml:space="preserve">, </w:t>
      </w:r>
      <w:r w:rsidR="00FB352E" w:rsidRPr="00A52AB8">
        <w:rPr>
          <w:color w:val="000000" w:themeColor="text1"/>
        </w:rPr>
        <w:t xml:space="preserve">and </w:t>
      </w:r>
      <w:r w:rsidRPr="00A52AB8">
        <w:rPr>
          <w:color w:val="000000" w:themeColor="text1"/>
        </w:rPr>
        <w:t>CabDelayOffset and D</w:t>
      </w:r>
      <w:r w:rsidR="00C820E7" w:rsidRPr="00A52AB8">
        <w:rPr>
          <w:color w:val="000000" w:themeColor="text1"/>
        </w:rPr>
        <w:t>a</w:t>
      </w:r>
      <w:r w:rsidRPr="00A52AB8">
        <w:rPr>
          <w:color w:val="000000" w:themeColor="text1"/>
        </w:rPr>
        <w:t>bDelayOffset are both set equal to 0.</w:t>
      </w:r>
    </w:p>
    <w:p w14:paraId="734BD4DA" w14:textId="2AC55AEC" w:rsidR="001E7DB6" w:rsidRPr="00A52AB8" w:rsidRDefault="001E7DB6">
      <w:pPr>
        <w:rPr>
          <w:rFonts w:eastAsia="MS Mincho"/>
        </w:rPr>
      </w:pPr>
      <w:r w:rsidRPr="00A52AB8">
        <w:rPr>
          <w:rFonts w:eastAsia="MS Mincho"/>
        </w:rPr>
        <w:t xml:space="preserve">The nominal removal time of the </w:t>
      </w:r>
      <w:r w:rsidR="00F4336E" w:rsidRPr="00A52AB8">
        <w:rPr>
          <w:rFonts w:eastAsia="MS Mincho"/>
        </w:rPr>
        <w:t xml:space="preserve">coded atlas </w:t>
      </w:r>
      <w:r w:rsidRPr="00A52AB8">
        <w:rPr>
          <w:rFonts w:eastAsia="MS Mincho"/>
        </w:rPr>
        <w:t>access unit n from the CAB is specified as follows:</w:t>
      </w:r>
    </w:p>
    <w:p w14:paraId="3F3191E0" w14:textId="3B305336" w:rsidR="00884BC8" w:rsidRPr="00A52AB8" w:rsidRDefault="00884BC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If </w:t>
      </w:r>
      <w:r w:rsidR="00F4336E" w:rsidRPr="00A52AB8">
        <w:rPr>
          <w:color w:val="000000" w:themeColor="text1"/>
        </w:rPr>
        <w:t xml:space="preserve">coded atlas </w:t>
      </w:r>
      <w:r w:rsidRPr="00A52AB8">
        <w:rPr>
          <w:color w:val="000000" w:themeColor="text1"/>
        </w:rPr>
        <w:t>access unit n is the access unit with n equal to 0 (the access unit that initializes the HRD), the nominal removal time of the access unit from the CAB is specified by:</w:t>
      </w:r>
    </w:p>
    <w:p w14:paraId="6BB620C1" w14:textId="39EA747C" w:rsidR="003452B8" w:rsidRPr="00A52AB8" w:rsidRDefault="003452B8">
      <w:pPr>
        <w:tabs>
          <w:tab w:val="right" w:pos="403"/>
          <w:tab w:val="right" w:pos="806"/>
          <w:tab w:val="right" w:pos="1210"/>
          <w:tab w:val="right" w:pos="1613"/>
        </w:tabs>
        <w:ind w:left="405"/>
      </w:pPr>
      <w:r w:rsidRPr="00A52AB8">
        <w:rPr>
          <w:iCs/>
        </w:rPr>
        <w:tab/>
      </w:r>
      <w:r w:rsidRPr="00A52AB8">
        <w:rPr>
          <w:iCs/>
        </w:rPr>
        <w:tab/>
        <w:t>AuNominalRemovalTime</w:t>
      </w:r>
      <w:r w:rsidR="00D770D3" w:rsidRPr="00A52AB8">
        <w:rPr>
          <w:iCs/>
        </w:rPr>
        <w:t>[ 0 </w:t>
      </w:r>
      <w:r w:rsidR="00F4336E" w:rsidRPr="00A52AB8">
        <w:rPr>
          <w:iCs/>
        </w:rPr>
        <w:t>]</w:t>
      </w:r>
      <w:r w:rsidR="00D47707" w:rsidRPr="00A52AB8">
        <w:rPr>
          <w:iCs/>
        </w:rPr>
        <w:t> = </w:t>
      </w:r>
      <w:r w:rsidRPr="00A52AB8">
        <w:rPr>
          <w:iCs/>
        </w:rPr>
        <w:t>InitCabRemovalDelay</w:t>
      </w:r>
      <w:r w:rsidR="00F4336E" w:rsidRPr="00A52AB8">
        <w:t>[ Htid ]</w:t>
      </w:r>
      <w:r w:rsidRPr="00A52AB8">
        <w:rPr>
          <w:iCs/>
        </w:rPr>
        <w:t>[</w:t>
      </w:r>
      <w:r w:rsidR="00F4336E" w:rsidRPr="00A52AB8">
        <w:rPr>
          <w:iCs/>
        </w:rPr>
        <w:t> </w:t>
      </w:r>
      <w:r w:rsidRPr="00A52AB8">
        <w:rPr>
          <w:iCs/>
        </w:rPr>
        <w:t>SchedSelIdx</w:t>
      </w:r>
      <w:r w:rsidR="00F4336E" w:rsidRPr="00A52AB8">
        <w:rPr>
          <w:iCs/>
        </w:rPr>
        <w:t> </w:t>
      </w:r>
      <w:r w:rsidRPr="00A52AB8">
        <w:rPr>
          <w:iCs/>
        </w:rPr>
        <w:t>] ÷ 90000</w:t>
      </w:r>
      <w:r w:rsidRPr="00A52AB8">
        <w:rPr>
          <w:iCs/>
        </w:rPr>
        <w:tab/>
        <w:t>(</w:t>
      </w:r>
      <w:r w:rsidR="0097080A" w:rsidRPr="00A52AB8">
        <w:rPr>
          <w:iCs/>
        </w:rPr>
        <w:t>E</w:t>
      </w:r>
      <w:r w:rsidRPr="00A52AB8">
        <w:rPr>
          <w:iCs/>
        </w:rPr>
        <w:noBreakHyphen/>
      </w:r>
      <w:r w:rsidRPr="00496A4D">
        <w:rPr>
          <w:iCs/>
        </w:rPr>
        <w:fldChar w:fldCharType="begin"/>
      </w:r>
      <w:r w:rsidRPr="00A52AB8">
        <w:rPr>
          <w:iCs/>
        </w:rPr>
        <w:instrText xml:space="preserve"> SEQ Equation \* ARABIC </w:instrText>
      </w:r>
      <w:r w:rsidRPr="00496A4D">
        <w:rPr>
          <w:iCs/>
        </w:rPr>
        <w:fldChar w:fldCharType="separate"/>
      </w:r>
      <w:r w:rsidR="00507A67">
        <w:rPr>
          <w:iCs/>
          <w:noProof/>
        </w:rPr>
        <w:t>8</w:t>
      </w:r>
      <w:r w:rsidRPr="00496A4D">
        <w:rPr>
          <w:iCs/>
        </w:rPr>
        <w:fldChar w:fldCharType="end"/>
      </w:r>
      <w:r w:rsidRPr="00A52AB8">
        <w:rPr>
          <w:iCs/>
        </w:rPr>
        <w:t>)</w:t>
      </w:r>
    </w:p>
    <w:p w14:paraId="67044FD0" w14:textId="082B8E86" w:rsidR="00FB352E" w:rsidRPr="00A52AB8" w:rsidRDefault="00884BC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Otherwise, the following applies:</w:t>
      </w:r>
    </w:p>
    <w:p w14:paraId="17125299" w14:textId="06FACF1B" w:rsidR="00884BC8" w:rsidRPr="00A52AB8" w:rsidRDefault="00884BC8" w:rsidP="00366915">
      <w:pPr>
        <w:pStyle w:val="ListParagraph"/>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textAlignment w:val="baseline"/>
        <w:rPr>
          <w:color w:val="000000" w:themeColor="text1"/>
        </w:rPr>
      </w:pPr>
      <w:r w:rsidRPr="00A52AB8">
        <w:rPr>
          <w:color w:val="000000" w:themeColor="text1"/>
        </w:rPr>
        <w:t xml:space="preserve">When </w:t>
      </w:r>
      <w:r w:rsidR="00F4336E" w:rsidRPr="00A52AB8">
        <w:rPr>
          <w:color w:val="000000" w:themeColor="text1"/>
        </w:rPr>
        <w:t xml:space="preserve">coded atlas </w:t>
      </w:r>
      <w:r w:rsidRPr="00A52AB8">
        <w:rPr>
          <w:color w:val="000000" w:themeColor="text1"/>
        </w:rPr>
        <w:t xml:space="preserve">access unit n is the first </w:t>
      </w:r>
      <w:r w:rsidR="00F4336E" w:rsidRPr="00A52AB8">
        <w:rPr>
          <w:color w:val="000000" w:themeColor="text1"/>
        </w:rPr>
        <w:t xml:space="preserve">coded atlas </w:t>
      </w:r>
      <w:r w:rsidRPr="00A52AB8">
        <w:rPr>
          <w:color w:val="000000" w:themeColor="text1"/>
        </w:rPr>
        <w:t>access unit of a buffering period that does not initialize the HRD, the following applies</w:t>
      </w:r>
      <w:r w:rsidR="00FB352E" w:rsidRPr="00A52AB8">
        <w:rPr>
          <w:color w:val="000000" w:themeColor="text1"/>
        </w:rPr>
        <w:t>:</w:t>
      </w:r>
    </w:p>
    <w:p w14:paraId="34F763CA" w14:textId="70344C23" w:rsidR="001E7DB6" w:rsidRPr="00A52AB8" w:rsidRDefault="001E7DB6" w:rsidP="00366915">
      <w:pPr>
        <w:pStyle w:val="Note1"/>
        <w:ind w:left="1209"/>
        <w:rPr>
          <w:rFonts w:ascii="Cambria" w:hAnsi="Cambria"/>
          <w:sz w:val="22"/>
          <w:szCs w:val="22"/>
        </w:rPr>
      </w:pPr>
      <w:r w:rsidRPr="00A52AB8">
        <w:rPr>
          <w:rFonts w:ascii="Cambria" w:hAnsi="Cambria"/>
          <w:sz w:val="22"/>
          <w:szCs w:val="22"/>
        </w:rPr>
        <w:t xml:space="preserve">The nominal removal time of the </w:t>
      </w:r>
      <w:r w:rsidR="00F4336E" w:rsidRPr="00A52AB8">
        <w:rPr>
          <w:rFonts w:ascii="Cambria" w:hAnsi="Cambria"/>
          <w:sz w:val="22"/>
          <w:szCs w:val="22"/>
        </w:rPr>
        <w:t xml:space="preserve">coded atlas </w:t>
      </w:r>
      <w:r w:rsidRPr="00A52AB8">
        <w:rPr>
          <w:rFonts w:ascii="Cambria" w:hAnsi="Cambria"/>
          <w:sz w:val="22"/>
          <w:szCs w:val="22"/>
        </w:rPr>
        <w:t>access unit n from the CAB is specified by:</w:t>
      </w:r>
    </w:p>
    <w:p w14:paraId="37CB26AD" w14:textId="649E0799" w:rsidR="0050235C" w:rsidRPr="00A52AB8" w:rsidRDefault="003452B8" w:rsidP="00366915">
      <w:pPr>
        <w:pStyle w:val="Equation"/>
        <w:tabs>
          <w:tab w:val="left" w:pos="403"/>
        </w:tabs>
        <w:ind w:left="1209"/>
        <w:rPr>
          <w:iCs/>
        </w:rPr>
      </w:pPr>
      <w:r w:rsidRPr="00A52AB8">
        <w:rPr>
          <w:iCs/>
        </w:rPr>
        <w:tab/>
        <w:t>if(</w:t>
      </w:r>
      <w:r w:rsidR="00475815" w:rsidRPr="00A52AB8">
        <w:rPr>
          <w:iCs/>
        </w:rPr>
        <w:t> </w:t>
      </w:r>
      <w:r w:rsidRPr="00A52AB8">
        <w:rPr>
          <w:iCs/>
        </w:rPr>
        <w:t>!concatenationFlag</w:t>
      </w:r>
      <w:r w:rsidR="00475815" w:rsidRPr="00A52AB8">
        <w:rPr>
          <w:iCs/>
        </w:rPr>
        <w:t> </w:t>
      </w:r>
      <w:r w:rsidR="008F1F82" w:rsidRPr="00A52AB8">
        <w:rPr>
          <w:iCs/>
        </w:rPr>
        <w:t>) {</w:t>
      </w:r>
      <w:r w:rsidRPr="00A52AB8">
        <w:rPr>
          <w:iCs/>
        </w:rPr>
        <w:br/>
      </w:r>
      <w:r w:rsidRPr="00A52AB8">
        <w:rPr>
          <w:iCs/>
        </w:rPr>
        <w:tab/>
      </w:r>
      <w:r w:rsidRPr="00A52AB8">
        <w:rPr>
          <w:iCs/>
        </w:rPr>
        <w:tab/>
      </w:r>
      <w:r w:rsidR="00C7535D" w:rsidRPr="00A52AB8">
        <w:rPr>
          <w:iCs/>
        </w:rPr>
        <w:t>baseTime</w:t>
      </w:r>
      <w:r w:rsidR="00D47707" w:rsidRPr="00A52AB8">
        <w:rPr>
          <w:iCs/>
        </w:rPr>
        <w:t> = </w:t>
      </w:r>
      <w:r w:rsidRPr="00A52AB8">
        <w:rPr>
          <w:iCs/>
        </w:rPr>
        <w:t>AuNominalRemovalTime[</w:t>
      </w:r>
      <w:r w:rsidR="00475815" w:rsidRPr="00A52AB8">
        <w:rPr>
          <w:iCs/>
        </w:rPr>
        <w:t> </w:t>
      </w:r>
      <w:r w:rsidRPr="00A52AB8">
        <w:rPr>
          <w:iCs/>
        </w:rPr>
        <w:t>firstAtlasInPrevBuffPeriod</w:t>
      </w:r>
      <w:r w:rsidR="00475815" w:rsidRPr="00A52AB8">
        <w:rPr>
          <w:iCs/>
        </w:rPr>
        <w:t> </w:t>
      </w:r>
      <w:r w:rsidRPr="00A52AB8">
        <w:rPr>
          <w:iCs/>
        </w:rPr>
        <w:t>]</w:t>
      </w:r>
      <w:r w:rsidRPr="00A52AB8">
        <w:rPr>
          <w:iCs/>
        </w:rPr>
        <w:br/>
      </w:r>
      <w:r w:rsidRPr="00A52AB8">
        <w:rPr>
          <w:iCs/>
        </w:rPr>
        <w:tab/>
      </w:r>
      <w:r w:rsidRPr="00A52AB8">
        <w:rPr>
          <w:iCs/>
        </w:rPr>
        <w:tab/>
      </w:r>
      <w:r w:rsidR="00C7535D" w:rsidRPr="00A52AB8">
        <w:rPr>
          <w:iCs/>
        </w:rPr>
        <w:t>removalDelay</w:t>
      </w:r>
      <w:r w:rsidR="00D47707" w:rsidRPr="00A52AB8">
        <w:rPr>
          <w:iCs/>
        </w:rPr>
        <w:t> = </w:t>
      </w:r>
      <w:r w:rsidRPr="00A52AB8">
        <w:rPr>
          <w:iCs/>
        </w:rPr>
        <w:t>AuCabRemovalDelayVal</w:t>
      </w:r>
      <w:r w:rsidRPr="00A52AB8">
        <w:rPr>
          <w:iCs/>
        </w:rPr>
        <w:br/>
      </w:r>
      <w:r w:rsidRPr="00A52AB8">
        <w:rPr>
          <w:iCs/>
        </w:rPr>
        <w:tab/>
      </w:r>
      <w:r w:rsidR="0023721F" w:rsidRPr="00A52AB8">
        <w:rPr>
          <w:iCs/>
        </w:rPr>
        <w:t>} else {</w:t>
      </w:r>
      <w:r w:rsidR="003B2138" w:rsidRPr="00A52AB8">
        <w:rPr>
          <w:iCs/>
        </w:rPr>
        <w:br/>
      </w:r>
      <w:r w:rsidR="003B2138" w:rsidRPr="00A52AB8">
        <w:rPr>
          <w:iCs/>
        </w:rPr>
        <w:tab/>
      </w:r>
      <w:r w:rsidR="003B2138" w:rsidRPr="00A52AB8">
        <w:rPr>
          <w:iCs/>
        </w:rPr>
        <w:tab/>
        <w:t>offsetTime</w:t>
      </w:r>
      <w:r w:rsidR="00D47707" w:rsidRPr="00A52AB8">
        <w:rPr>
          <w:iCs/>
        </w:rPr>
        <w:t> = </w:t>
      </w:r>
      <w:r w:rsidR="003B2138" w:rsidRPr="00A52AB8">
        <w:rPr>
          <w:iCs/>
        </w:rPr>
        <w:t>AuFinalArrivalTime[ n – 1 ]</w:t>
      </w:r>
      <w:r w:rsidR="00C7535D" w:rsidRPr="00A52AB8">
        <w:rPr>
          <w:iCs/>
        </w:rPr>
        <w:t> </w:t>
      </w:r>
      <w:r w:rsidR="003B2138" w:rsidRPr="00A52AB8">
        <w:rPr>
          <w:iCs/>
        </w:rPr>
        <w:t>−</w:t>
      </w:r>
      <w:r w:rsidR="00C7535D" w:rsidRPr="00A52AB8">
        <w:rPr>
          <w:iCs/>
        </w:rPr>
        <w:t> </w:t>
      </w:r>
      <w:r w:rsidR="003B2138" w:rsidRPr="00A52AB8">
        <w:rPr>
          <w:iCs/>
        </w:rPr>
        <w:t>AuNominalRemovalTime[ n – 1 ]</w:t>
      </w:r>
      <w:r w:rsidRPr="00A52AB8">
        <w:rPr>
          <w:iCs/>
        </w:rPr>
        <w:br/>
      </w:r>
      <w:r w:rsidRPr="00A52AB8">
        <w:rPr>
          <w:iCs/>
        </w:rPr>
        <w:tab/>
      </w:r>
      <w:r w:rsidRPr="00A52AB8">
        <w:rPr>
          <w:iCs/>
        </w:rPr>
        <w:tab/>
      </w:r>
      <w:r w:rsidR="003B2138" w:rsidRPr="00A52AB8">
        <w:rPr>
          <w:iCs/>
        </w:rPr>
        <w:t>baseTime</w:t>
      </w:r>
      <w:r w:rsidR="00D47707" w:rsidRPr="00A52AB8">
        <w:rPr>
          <w:iCs/>
        </w:rPr>
        <w:t> = </w:t>
      </w:r>
      <w:r w:rsidRPr="00A52AB8">
        <w:rPr>
          <w:iCs/>
        </w:rPr>
        <w:t>AuNominalRemovalTime[</w:t>
      </w:r>
      <w:r w:rsidR="00475815" w:rsidRPr="00A52AB8">
        <w:rPr>
          <w:iCs/>
        </w:rPr>
        <w:t> </w:t>
      </w:r>
      <w:r w:rsidR="00274911" w:rsidRPr="00A52AB8">
        <w:rPr>
          <w:iCs/>
        </w:rPr>
        <w:t>PrevNonDiscardableAtlasFrame</w:t>
      </w:r>
      <w:r w:rsidR="00C7535D" w:rsidRPr="00A52AB8">
        <w:rPr>
          <w:iCs/>
        </w:rPr>
        <w:t> </w:t>
      </w:r>
      <w:r w:rsidRPr="00A52AB8">
        <w:rPr>
          <w:iCs/>
        </w:rPr>
        <w:t>]</w:t>
      </w:r>
      <w:r w:rsidRPr="00A52AB8">
        <w:rPr>
          <w:iCs/>
        </w:rPr>
        <w:br/>
      </w:r>
      <w:r w:rsidRPr="00A52AB8">
        <w:rPr>
          <w:iCs/>
        </w:rPr>
        <w:tab/>
      </w:r>
      <w:r w:rsidRPr="00A52AB8">
        <w:rPr>
          <w:iCs/>
        </w:rPr>
        <w:tab/>
      </w:r>
      <w:r w:rsidR="00C7535D" w:rsidRPr="00A52AB8">
        <w:rPr>
          <w:iCs/>
        </w:rPr>
        <w:t>r</w:t>
      </w:r>
      <w:r w:rsidR="003B2138" w:rsidRPr="00A52AB8">
        <w:rPr>
          <w:iCs/>
        </w:rPr>
        <w:t>emovalDelay</w:t>
      </w:r>
      <w:r w:rsidR="00D47707" w:rsidRPr="00A52AB8">
        <w:rPr>
          <w:iCs/>
        </w:rPr>
        <w:t> = </w:t>
      </w:r>
      <w:r w:rsidRPr="00A52AB8">
        <w:rPr>
          <w:iCs/>
        </w:rPr>
        <w:t>Max(</w:t>
      </w:r>
      <w:r w:rsidR="00475815" w:rsidRPr="00A52AB8">
        <w:rPr>
          <w:iCs/>
        </w:rPr>
        <w:t> </w:t>
      </w:r>
      <w:r w:rsidRPr="00A52AB8">
        <w:rPr>
          <w:iCs/>
        </w:rPr>
        <w:t>auCabRemovalDelayDelta,</w:t>
      </w:r>
      <w:r w:rsidRPr="00A52AB8">
        <w:rPr>
          <w:iCs/>
        </w:rPr>
        <w:tab/>
        <w:t>(</w:t>
      </w:r>
      <w:r w:rsidR="0097080A" w:rsidRPr="00A52AB8">
        <w:rPr>
          <w:iCs/>
        </w:rPr>
        <w:t>E</w:t>
      </w:r>
      <w:r w:rsidRPr="00A52AB8">
        <w:rPr>
          <w:iCs/>
        </w:rPr>
        <w:noBreakHyphen/>
      </w:r>
      <w:r w:rsidRPr="00496A4D">
        <w:rPr>
          <w:iCs/>
        </w:rPr>
        <w:fldChar w:fldCharType="begin"/>
      </w:r>
      <w:r w:rsidRPr="00A52AB8">
        <w:rPr>
          <w:iCs/>
        </w:rPr>
        <w:instrText xml:space="preserve"> SEQ Equation \* ARABIC </w:instrText>
      </w:r>
      <w:r w:rsidRPr="00496A4D">
        <w:rPr>
          <w:iCs/>
        </w:rPr>
        <w:fldChar w:fldCharType="separate"/>
      </w:r>
      <w:r w:rsidR="00507A67">
        <w:rPr>
          <w:iCs/>
          <w:noProof/>
        </w:rPr>
        <w:t>9</w:t>
      </w:r>
      <w:r w:rsidRPr="00496A4D">
        <w:rPr>
          <w:iCs/>
        </w:rPr>
        <w:fldChar w:fldCharType="end"/>
      </w:r>
      <w:r w:rsidRPr="00A52AB8">
        <w:rPr>
          <w:iCs/>
        </w:rPr>
        <w:t>)</w:t>
      </w:r>
      <w:r w:rsidRPr="00A52AB8">
        <w:rPr>
          <w:iCs/>
        </w:rPr>
        <w:br/>
      </w:r>
      <w:r w:rsidRPr="00A52AB8">
        <w:rPr>
          <w:iCs/>
        </w:rPr>
        <w:tab/>
      </w:r>
      <w:r w:rsidRPr="00A52AB8">
        <w:rPr>
          <w:iCs/>
        </w:rPr>
        <w:tab/>
      </w:r>
      <w:r w:rsidR="003B2138" w:rsidRPr="00A52AB8">
        <w:rPr>
          <w:iCs/>
        </w:rPr>
        <w:tab/>
      </w:r>
      <w:r w:rsidRPr="00A52AB8">
        <w:rPr>
          <w:iCs/>
        </w:rPr>
        <w:t>Ceil(</w:t>
      </w:r>
      <w:r w:rsidR="00475815" w:rsidRPr="00A52AB8">
        <w:rPr>
          <w:iCs/>
        </w:rPr>
        <w:t> </w:t>
      </w:r>
      <w:r w:rsidRPr="00A52AB8">
        <w:rPr>
          <w:iCs/>
        </w:rPr>
        <w:t>(</w:t>
      </w:r>
      <w:r w:rsidR="00475815" w:rsidRPr="00A52AB8">
        <w:rPr>
          <w:iCs/>
        </w:rPr>
        <w:t> </w:t>
      </w:r>
      <w:r w:rsidRPr="00A52AB8">
        <w:rPr>
          <w:iCs/>
        </w:rPr>
        <w:t>InitCabRemovalDelay</w:t>
      </w:r>
      <w:r w:rsidR="00F4336E" w:rsidRPr="00A52AB8">
        <w:t>[ Htid ]</w:t>
      </w:r>
      <w:r w:rsidRPr="00A52AB8">
        <w:rPr>
          <w:iCs/>
        </w:rPr>
        <w:t>[</w:t>
      </w:r>
      <w:r w:rsidR="00475815" w:rsidRPr="00A52AB8">
        <w:rPr>
          <w:iCs/>
        </w:rPr>
        <w:t> </w:t>
      </w:r>
      <w:r w:rsidRPr="00A52AB8">
        <w:rPr>
          <w:iCs/>
        </w:rPr>
        <w:t>SchedSelIdx</w:t>
      </w:r>
      <w:r w:rsidR="00475815" w:rsidRPr="00A52AB8">
        <w:rPr>
          <w:iCs/>
        </w:rPr>
        <w:t> </w:t>
      </w:r>
      <w:r w:rsidRPr="00A52AB8">
        <w:rPr>
          <w:iCs/>
        </w:rPr>
        <w:t>]</w:t>
      </w:r>
      <w:r w:rsidR="00475815" w:rsidRPr="00A52AB8">
        <w:rPr>
          <w:iCs/>
        </w:rPr>
        <w:t> </w:t>
      </w:r>
      <w:r w:rsidRPr="00A52AB8">
        <w:rPr>
          <w:iCs/>
        </w:rPr>
        <w:t>÷</w:t>
      </w:r>
      <w:r w:rsidR="00475815" w:rsidRPr="00A52AB8">
        <w:rPr>
          <w:iCs/>
        </w:rPr>
        <w:t> </w:t>
      </w:r>
      <w:r w:rsidRPr="00A52AB8">
        <w:rPr>
          <w:iCs/>
        </w:rPr>
        <w:t>90000</w:t>
      </w:r>
      <w:r w:rsidR="00475815" w:rsidRPr="00A52AB8">
        <w:rPr>
          <w:iCs/>
        </w:rPr>
        <w:t> </w:t>
      </w:r>
      <w:r w:rsidR="003B2138" w:rsidRPr="00A52AB8">
        <w:rPr>
          <w:iCs/>
        </w:rPr>
        <w:t>+ offsetTime ) </w:t>
      </w:r>
      <w:r w:rsidR="00FB352E" w:rsidRPr="00A52AB8">
        <w:rPr>
          <w:iCs/>
        </w:rPr>
        <w:br/>
      </w:r>
      <w:r w:rsidR="00FB352E" w:rsidRPr="00A52AB8">
        <w:rPr>
          <w:iCs/>
        </w:rPr>
        <w:tab/>
      </w:r>
      <w:r w:rsidR="00FB352E" w:rsidRPr="00A52AB8">
        <w:rPr>
          <w:iCs/>
        </w:rPr>
        <w:tab/>
      </w:r>
      <w:r w:rsidR="00FB352E" w:rsidRPr="00A52AB8">
        <w:rPr>
          <w:iCs/>
        </w:rPr>
        <w:tab/>
      </w:r>
      <w:r w:rsidR="003B2138" w:rsidRPr="00A52AB8">
        <w:rPr>
          <w:iCs/>
        </w:rPr>
        <w:t>÷ ClockTick )</w:t>
      </w:r>
      <w:r w:rsidR="006E6BFA" w:rsidRPr="00A52AB8">
        <w:rPr>
          <w:iCs/>
        </w:rPr>
        <w:t> )</w:t>
      </w:r>
      <w:r w:rsidR="003B2138" w:rsidRPr="00A52AB8">
        <w:rPr>
          <w:iCs/>
        </w:rPr>
        <w:br/>
      </w:r>
      <w:r w:rsidRPr="00A52AB8">
        <w:rPr>
          <w:iCs/>
        </w:rPr>
        <w:tab/>
        <w:t>}</w:t>
      </w:r>
      <w:r w:rsidRPr="00A52AB8">
        <w:rPr>
          <w:iCs/>
        </w:rPr>
        <w:br/>
      </w:r>
      <w:r w:rsidRPr="00A52AB8">
        <w:rPr>
          <w:iCs/>
        </w:rPr>
        <w:tab/>
        <w:t>AuNominalRemovalTime(</w:t>
      </w:r>
      <w:r w:rsidR="00475815" w:rsidRPr="00A52AB8">
        <w:rPr>
          <w:iCs/>
        </w:rPr>
        <w:t> </w:t>
      </w:r>
      <w:r w:rsidRPr="00A52AB8">
        <w:rPr>
          <w:iCs/>
        </w:rPr>
        <w:t>n</w:t>
      </w:r>
      <w:r w:rsidR="00475815" w:rsidRPr="00A52AB8">
        <w:rPr>
          <w:iCs/>
        </w:rPr>
        <w:t> </w:t>
      </w:r>
      <w:r w:rsidR="003B2138" w:rsidRPr="00A52AB8">
        <w:rPr>
          <w:iCs/>
        </w:rPr>
        <w:t>)</w:t>
      </w:r>
      <w:r w:rsidR="00D47707" w:rsidRPr="00A52AB8">
        <w:rPr>
          <w:iCs/>
        </w:rPr>
        <w:t> = </w:t>
      </w:r>
      <w:r w:rsidR="003B2138" w:rsidRPr="00A52AB8">
        <w:rPr>
          <w:iCs/>
        </w:rPr>
        <w:t>ClockTick * ( </w:t>
      </w:r>
      <w:r w:rsidR="00C7535D" w:rsidRPr="00A52AB8">
        <w:rPr>
          <w:iCs/>
        </w:rPr>
        <w:t>r</w:t>
      </w:r>
      <w:r w:rsidR="003B2138" w:rsidRPr="00A52AB8">
        <w:rPr>
          <w:iCs/>
        </w:rPr>
        <w:t>emovalDelay − CabDelayOffset ) + baseTime</w:t>
      </w:r>
    </w:p>
    <w:p w14:paraId="78A48F41" w14:textId="399F4CD6" w:rsidR="001E7DB6" w:rsidRPr="00A52AB8" w:rsidRDefault="001E7DB6" w:rsidP="00366915">
      <w:pPr>
        <w:ind w:left="921"/>
      </w:pPr>
      <w:r w:rsidRPr="00A52AB8">
        <w:t>where AuNominalRemovalTime</w:t>
      </w:r>
      <w:r w:rsidR="00195915" w:rsidRPr="00A52AB8">
        <w:t>[ </w:t>
      </w:r>
      <w:r w:rsidRPr="00A52AB8">
        <w:t xml:space="preserve">firstAtlasInPrevBuffPeriod ] is the nominal removal time of the first </w:t>
      </w:r>
      <w:r w:rsidR="00F4336E" w:rsidRPr="00A52AB8">
        <w:t xml:space="preserve">coded atlas </w:t>
      </w:r>
      <w:r w:rsidRPr="00A52AB8">
        <w:t>access unit of the previous buffering period, AuNominalRemovalTime</w:t>
      </w:r>
      <w:r w:rsidR="003B2138" w:rsidRPr="00A52AB8">
        <w:t>[ </w:t>
      </w:r>
      <w:r w:rsidR="00274911" w:rsidRPr="00A52AB8">
        <w:t>PrevNonDiscardableAtlasFrame</w:t>
      </w:r>
      <w:r w:rsidR="003B2138" w:rsidRPr="00A52AB8">
        <w:t> </w:t>
      </w:r>
      <w:r w:rsidRPr="00A52AB8">
        <w:t xml:space="preserve">] is the nominal removal time of the preceding </w:t>
      </w:r>
      <w:r w:rsidR="00F4336E" w:rsidRPr="00A52AB8">
        <w:t xml:space="preserve">coded </w:t>
      </w:r>
      <w:r w:rsidRPr="00A52AB8">
        <w:t xml:space="preserve">atlas </w:t>
      </w:r>
      <w:r w:rsidR="00F4336E" w:rsidRPr="00A52AB8">
        <w:t xml:space="preserve">access unit </w:t>
      </w:r>
      <w:r w:rsidRPr="00A52AB8">
        <w:t>in decoding order with Temporal</w:t>
      </w:r>
      <w:r w:rsidR="007812ED" w:rsidRPr="00A52AB8">
        <w:t xml:space="preserve">ID </w:t>
      </w:r>
      <w:r w:rsidRPr="00A52AB8">
        <w:t>equal to 0 that is not a RASL, RADL</w:t>
      </w:r>
      <w:r w:rsidR="00FB352E" w:rsidRPr="00A52AB8">
        <w:t>,</w:t>
      </w:r>
      <w:r w:rsidRPr="00A52AB8">
        <w:t xml:space="preserve"> or </w:t>
      </w:r>
      <w:r w:rsidR="00F45B8A" w:rsidRPr="00A52AB8">
        <w:t>SLNR</w:t>
      </w:r>
      <w:r w:rsidRPr="00A52AB8">
        <w:t xml:space="preserve"> atlas</w:t>
      </w:r>
      <w:r w:rsidR="00884BC8" w:rsidRPr="00A52AB8">
        <w:t xml:space="preserve"> frame</w:t>
      </w:r>
      <w:r w:rsidRPr="00A52AB8">
        <w:t xml:space="preserve">, AuCabRemovalDelayVal is the value of AuCabRemovalDelayVal derived according to </w:t>
      </w:r>
      <w:r w:rsidR="00BC5A2A" w:rsidRPr="00A52AB8">
        <w:t>aft_au_cab_remova</w:t>
      </w:r>
      <w:r w:rsidR="00884BC8" w:rsidRPr="00A52AB8">
        <w:t>l_delay_minus1</w:t>
      </w:r>
      <w:r w:rsidR="00BC5DD8" w:rsidRPr="00A52AB8">
        <w:rPr>
          <w:color w:val="000000" w:themeColor="text1"/>
        </w:rPr>
        <w:t>[ Htid ]</w:t>
      </w:r>
      <w:r w:rsidRPr="00A52AB8">
        <w:t xml:space="preserve"> in the atlas </w:t>
      </w:r>
      <w:r w:rsidR="006F47DF" w:rsidRPr="00A52AB8">
        <w:t xml:space="preserve">frame </w:t>
      </w:r>
      <w:r w:rsidRPr="00A52AB8">
        <w:t xml:space="preserve">timing SEI message, selected as specified in </w:t>
      </w:r>
      <w:r w:rsidR="00406A86" w:rsidRPr="00A52AB8">
        <w:t>subclause</w:t>
      </w:r>
      <w:r w:rsidRPr="00A52AB8">
        <w:t xml:space="preserve"> </w:t>
      </w:r>
      <w:r w:rsidR="00274E55" w:rsidRPr="00496A4D">
        <w:fldChar w:fldCharType="begin"/>
      </w:r>
      <w:r w:rsidR="00274E55" w:rsidRPr="00A52AB8">
        <w:instrText xml:space="preserve"> REF _Ref21518052 \w \h </w:instrText>
      </w:r>
      <w:r w:rsidR="005A186E" w:rsidRPr="00A52AB8">
        <w:instrText xml:space="preserve"> \* MERGEFORMAT </w:instrText>
      </w:r>
      <w:r w:rsidR="00274E55" w:rsidRPr="00496A4D">
        <w:fldChar w:fldCharType="separate"/>
      </w:r>
      <w:r w:rsidR="00507A67">
        <w:t>E.1</w:t>
      </w:r>
      <w:r w:rsidR="00274E55" w:rsidRPr="00496A4D">
        <w:fldChar w:fldCharType="end"/>
      </w:r>
      <w:r w:rsidRPr="00A52AB8">
        <w:t xml:space="preserve">, associated with </w:t>
      </w:r>
      <w:r w:rsidR="00F4336E" w:rsidRPr="00A52AB8">
        <w:t xml:space="preserve">coded atlas </w:t>
      </w:r>
      <w:r w:rsidRPr="00A52AB8">
        <w:t xml:space="preserve">access unit n, and concatenationFlag and auCabRemovalDelayDelta are </w:t>
      </w:r>
      <w:r w:rsidR="00FB352E" w:rsidRPr="00A52AB8">
        <w:t>equal to</w:t>
      </w:r>
      <w:r w:rsidRPr="00A52AB8">
        <w:t xml:space="preserve"> </w:t>
      </w:r>
      <w:r w:rsidR="001F075B" w:rsidRPr="00A52AB8">
        <w:t>bp_concatenation_flag</w:t>
      </w:r>
      <w:r w:rsidRPr="00A52AB8">
        <w:t xml:space="preserve"> and </w:t>
      </w:r>
      <w:r w:rsidR="00C7535D" w:rsidRPr="00A52AB8">
        <w:t>( </w:t>
      </w:r>
      <w:r w:rsidR="005A186E" w:rsidRPr="00A52AB8">
        <w:t>bp_</w:t>
      </w:r>
      <w:r w:rsidRPr="00A52AB8">
        <w:t>a</w:t>
      </w:r>
      <w:r w:rsidR="005A186E" w:rsidRPr="00A52AB8">
        <w:t>tlas</w:t>
      </w:r>
      <w:r w:rsidRPr="00A52AB8">
        <w:t>_cab_removal_delay_delta_minus1</w:t>
      </w:r>
      <w:r w:rsidR="00C7535D" w:rsidRPr="00A52AB8">
        <w:t> + 1 )</w:t>
      </w:r>
      <w:r w:rsidRPr="00A52AB8">
        <w:t xml:space="preserve">, respectively, selected as specified in </w:t>
      </w:r>
      <w:r w:rsidR="00406A86" w:rsidRPr="00A52AB8">
        <w:t>subclause</w:t>
      </w:r>
      <w:r w:rsidRPr="00A52AB8">
        <w:t xml:space="preserve"> </w:t>
      </w:r>
      <w:r w:rsidR="00274E55" w:rsidRPr="00496A4D">
        <w:fldChar w:fldCharType="begin"/>
      </w:r>
      <w:r w:rsidR="00274E55" w:rsidRPr="00A52AB8">
        <w:instrText xml:space="preserve"> REF _Ref21518067 \w \h </w:instrText>
      </w:r>
      <w:r w:rsidR="005A186E" w:rsidRPr="00A52AB8">
        <w:instrText xml:space="preserve"> \* MERGEFORMAT </w:instrText>
      </w:r>
      <w:r w:rsidR="00274E55" w:rsidRPr="00496A4D">
        <w:fldChar w:fldCharType="separate"/>
      </w:r>
      <w:r w:rsidR="00507A67">
        <w:t>E.1</w:t>
      </w:r>
      <w:r w:rsidR="00274E55" w:rsidRPr="00496A4D">
        <w:fldChar w:fldCharType="end"/>
      </w:r>
      <w:r w:rsidRPr="00A52AB8">
        <w:t xml:space="preserve">, </w:t>
      </w:r>
      <w:r w:rsidR="00FB352E" w:rsidRPr="00A52AB8">
        <w:t xml:space="preserve">and </w:t>
      </w:r>
      <w:r w:rsidRPr="00A52AB8">
        <w:t xml:space="preserve">associated with </w:t>
      </w:r>
      <w:r w:rsidR="00F4336E" w:rsidRPr="00A52AB8">
        <w:t xml:space="preserve">coded atlas </w:t>
      </w:r>
      <w:r w:rsidRPr="00A52AB8">
        <w:t>access unit n.</w:t>
      </w:r>
    </w:p>
    <w:p w14:paraId="5C18A739" w14:textId="688DFFA1" w:rsidR="001E7DB6" w:rsidRPr="00A52AB8" w:rsidRDefault="001E7DB6" w:rsidP="00366915">
      <w:pPr>
        <w:ind w:left="921"/>
      </w:pPr>
      <w:r w:rsidRPr="00A52AB8">
        <w:t xml:space="preserve">After the derivation of the nominal CAB removal time and before the derivation of the DAB output time of </w:t>
      </w:r>
      <w:r w:rsidR="00F4336E" w:rsidRPr="00A52AB8">
        <w:t xml:space="preserve">coded atlas </w:t>
      </w:r>
      <w:r w:rsidRPr="00A52AB8">
        <w:t>access unit n, the values of CabDelayOffset and DabDelayOffset are updated as follows:</w:t>
      </w:r>
    </w:p>
    <w:p w14:paraId="3DC6A15F" w14:textId="301E237B" w:rsidR="00FB352E" w:rsidRPr="00A52AB8" w:rsidRDefault="00274E55" w:rsidP="00366915">
      <w:pPr>
        <w:pStyle w:val="ListParagraph"/>
        <w:numPr>
          <w:ilvl w:val="3"/>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3"/>
        <w:textAlignment w:val="baseline"/>
        <w:rPr>
          <w:color w:val="000000" w:themeColor="text1"/>
        </w:rPr>
      </w:pPr>
      <w:r w:rsidRPr="00A52AB8">
        <w:rPr>
          <w:color w:val="000000" w:themeColor="text1"/>
        </w:rPr>
        <w:t xml:space="preserve">If one or more of the following conditions are true, CabDelayOffset is set equal to the value of the buffering period SEI message syntax element </w:t>
      </w:r>
      <w:r w:rsidR="009D0FDA" w:rsidRPr="00A52AB8">
        <w:rPr>
          <w:color w:val="000000" w:themeColor="text1"/>
        </w:rPr>
        <w:t>bp_</w:t>
      </w:r>
      <w:r w:rsidRPr="00A52AB8">
        <w:rPr>
          <w:color w:val="000000" w:themeColor="text1"/>
        </w:rPr>
        <w:t xml:space="preserve">cab_delay_offset, and DabDelayOffset is set equal to the value of the buffering period SEI message syntax element bp_dab_delay_offset, where the buffering period SEI message containing the syntax elements is selected as specified in </w:t>
      </w:r>
      <w:r w:rsidR="00406A86" w:rsidRPr="00A52AB8">
        <w:rPr>
          <w:color w:val="000000" w:themeColor="text1"/>
        </w:rPr>
        <w:t>subclause</w:t>
      </w:r>
      <w:r w:rsidRPr="00A52AB8">
        <w:rPr>
          <w:color w:val="000000" w:themeColor="text1"/>
        </w:rPr>
        <w:t xml:space="preserve"> </w:t>
      </w:r>
      <w:r w:rsidRPr="00496A4D">
        <w:rPr>
          <w:color w:val="000000" w:themeColor="text1"/>
        </w:rPr>
        <w:fldChar w:fldCharType="begin"/>
      </w:r>
      <w:r w:rsidRPr="00A52AB8">
        <w:rPr>
          <w:color w:val="000000" w:themeColor="text1"/>
        </w:rPr>
        <w:instrText xml:space="preserve"> REF _Ref21518085 \w \h </w:instrText>
      </w:r>
      <w:r w:rsidR="005A186E"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E.1</w:t>
      </w:r>
      <w:r w:rsidRPr="00496A4D">
        <w:rPr>
          <w:color w:val="000000" w:themeColor="text1"/>
        </w:rPr>
        <w:fldChar w:fldCharType="end"/>
      </w:r>
      <w:r w:rsidRPr="00A52AB8">
        <w:rPr>
          <w:color w:val="000000" w:themeColor="text1"/>
        </w:rPr>
        <w:t>:</w:t>
      </w:r>
    </w:p>
    <w:p w14:paraId="6A13F1E8" w14:textId="501F10DE" w:rsidR="00FB352E" w:rsidRPr="00A52AB8" w:rsidRDefault="00F4336E" w:rsidP="00D451D4">
      <w:pPr>
        <w:pStyle w:val="ListParagraph"/>
        <w:numPr>
          <w:ilvl w:val="3"/>
          <w:numId w:val="425"/>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textAlignment w:val="baseline"/>
        <w:rPr>
          <w:color w:val="000000" w:themeColor="text1"/>
        </w:rPr>
      </w:pPr>
      <w:r w:rsidRPr="00A52AB8">
        <w:rPr>
          <w:color w:val="000000" w:themeColor="text1"/>
        </w:rPr>
        <w:t>Coded atlas a</w:t>
      </w:r>
      <w:r w:rsidR="00274E55" w:rsidRPr="00A52AB8">
        <w:rPr>
          <w:color w:val="000000" w:themeColor="text1"/>
        </w:rPr>
        <w:t xml:space="preserve">ccess unit n is a BLA access unit for which the nal_unit_type </w:t>
      </w:r>
      <w:r w:rsidRPr="00A52AB8">
        <w:rPr>
          <w:color w:val="000000" w:themeColor="text1"/>
        </w:rPr>
        <w:t xml:space="preserve">is </w:t>
      </w:r>
      <w:r w:rsidR="00274E55" w:rsidRPr="00A52AB8">
        <w:rPr>
          <w:color w:val="000000" w:themeColor="text1"/>
        </w:rPr>
        <w:t xml:space="preserve">equal to </w:t>
      </w:r>
      <w:r w:rsidR="00B4715C" w:rsidRPr="00A52AB8">
        <w:rPr>
          <w:color w:val="000000" w:themeColor="text1"/>
        </w:rPr>
        <w:t xml:space="preserve">NAL_BLA_W_RADL, NAL_GBLA_W_RADL, NAL_BLA_N_LP, or NAL_GBLA_N_LP </w:t>
      </w:r>
      <w:r w:rsidR="00274E55" w:rsidRPr="00A52AB8">
        <w:rPr>
          <w:color w:val="000000" w:themeColor="text1"/>
        </w:rPr>
        <w:t>and the value of bp_irap_cab_params_present_flag of the buffering period SEI message is equal to 1.</w:t>
      </w:r>
    </w:p>
    <w:p w14:paraId="3D2D479F" w14:textId="1AAF1247" w:rsidR="00274E55" w:rsidRPr="00A52AB8" w:rsidRDefault="00F4336E" w:rsidP="00D451D4">
      <w:pPr>
        <w:pStyle w:val="ListParagraph"/>
        <w:numPr>
          <w:ilvl w:val="3"/>
          <w:numId w:val="425"/>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textAlignment w:val="baseline"/>
        <w:rPr>
          <w:color w:val="000000" w:themeColor="text1"/>
        </w:rPr>
      </w:pPr>
      <w:r w:rsidRPr="00A52AB8">
        <w:rPr>
          <w:color w:val="000000" w:themeColor="text1"/>
        </w:rPr>
        <w:t>Coded atlas a</w:t>
      </w:r>
      <w:r w:rsidR="00274E55" w:rsidRPr="00A52AB8">
        <w:rPr>
          <w:color w:val="000000" w:themeColor="text1"/>
        </w:rPr>
        <w:t>ccess unit n is</w:t>
      </w:r>
      <w:r w:rsidR="00F45B8A" w:rsidRPr="00A52AB8">
        <w:rPr>
          <w:color w:val="000000" w:themeColor="text1"/>
        </w:rPr>
        <w:t xml:space="preserve"> </w:t>
      </w:r>
      <w:r w:rsidR="00475815" w:rsidRPr="00A52AB8">
        <w:rPr>
          <w:color w:val="000000" w:themeColor="text1"/>
        </w:rPr>
        <w:t>a</w:t>
      </w:r>
      <w:r w:rsidR="00274E55" w:rsidRPr="00A52AB8">
        <w:rPr>
          <w:color w:val="000000" w:themeColor="text1"/>
        </w:rPr>
        <w:t xml:space="preserve"> BLA access unit for which the nal_unit_type </w:t>
      </w:r>
      <w:r w:rsidRPr="00A52AB8">
        <w:rPr>
          <w:color w:val="000000" w:themeColor="text1"/>
        </w:rPr>
        <w:t xml:space="preserve">is </w:t>
      </w:r>
      <w:r w:rsidR="00274E55" w:rsidRPr="00A52AB8">
        <w:rPr>
          <w:color w:val="000000" w:themeColor="text1"/>
        </w:rPr>
        <w:t xml:space="preserve">equal to </w:t>
      </w:r>
      <w:r w:rsidR="00B25369" w:rsidRPr="00A52AB8">
        <w:rPr>
          <w:color w:val="000000" w:themeColor="text1"/>
        </w:rPr>
        <w:t>NAL_</w:t>
      </w:r>
      <w:r w:rsidR="00274E55" w:rsidRPr="00A52AB8">
        <w:rPr>
          <w:color w:val="000000" w:themeColor="text1"/>
        </w:rPr>
        <w:t>BLA_W_LP</w:t>
      </w:r>
      <w:r w:rsidR="00B25369" w:rsidRPr="00A52AB8">
        <w:rPr>
          <w:color w:val="000000" w:themeColor="text1"/>
        </w:rPr>
        <w:t xml:space="preserve"> or NAL_GBLA_W_LP</w:t>
      </w:r>
      <w:r w:rsidR="00B4715C" w:rsidRPr="00A52AB8">
        <w:rPr>
          <w:color w:val="000000" w:themeColor="text1"/>
        </w:rPr>
        <w:t>,</w:t>
      </w:r>
      <w:r w:rsidR="00274E55" w:rsidRPr="00A52AB8">
        <w:rPr>
          <w:color w:val="000000" w:themeColor="text1"/>
        </w:rPr>
        <w:t xml:space="preserve"> or is</w:t>
      </w:r>
      <w:r w:rsidR="00F45B8A" w:rsidRPr="00A52AB8">
        <w:rPr>
          <w:color w:val="000000" w:themeColor="text1"/>
        </w:rPr>
        <w:t xml:space="preserve"> </w:t>
      </w:r>
      <w:r w:rsidR="00274E55" w:rsidRPr="00A52AB8">
        <w:rPr>
          <w:color w:val="000000" w:themeColor="text1"/>
        </w:rPr>
        <w:t>a CRA access unit, and the value of bp_irap_cab_params_present_flag of the buffering period SEI message is equal to 1, and UseAltCabParamsFlag for access unit n is equal to 1.</w:t>
      </w:r>
    </w:p>
    <w:p w14:paraId="0D21614D" w14:textId="77777777" w:rsidR="00274E55" w:rsidRPr="00A52AB8" w:rsidRDefault="00274E55" w:rsidP="00366915">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56" w:hanging="403"/>
        <w:textAlignment w:val="baseline"/>
        <w:rPr>
          <w:color w:val="000000" w:themeColor="text1"/>
        </w:rPr>
      </w:pPr>
      <w:r w:rsidRPr="00A52AB8">
        <w:rPr>
          <w:color w:val="000000" w:themeColor="text1"/>
        </w:rPr>
        <w:t>Otherwise, CabDelayOffset and D</w:t>
      </w:r>
      <w:r w:rsidR="00C820E7" w:rsidRPr="00A52AB8">
        <w:rPr>
          <w:color w:val="000000" w:themeColor="text1"/>
        </w:rPr>
        <w:t>a</w:t>
      </w:r>
      <w:r w:rsidRPr="00A52AB8">
        <w:rPr>
          <w:color w:val="000000" w:themeColor="text1"/>
        </w:rPr>
        <w:t>bDelayOffset are both set equal to 0.</w:t>
      </w:r>
    </w:p>
    <w:p w14:paraId="549E85D6" w14:textId="59167C9D" w:rsidR="00274E55" w:rsidRPr="00A52AB8" w:rsidRDefault="00274E55" w:rsidP="00D451D4">
      <w:pPr>
        <w:pStyle w:val="ListParagraph"/>
        <w:numPr>
          <w:ilvl w:val="1"/>
          <w:numId w:val="308"/>
        </w:numPr>
        <w:tabs>
          <w:tab w:val="clear" w:pos="806"/>
          <w:tab w:val="clear" w:pos="2822"/>
          <w:tab w:val="clear" w:pos="3226"/>
          <w:tab w:val="clear" w:pos="3629"/>
          <w:tab w:val="clear" w:pos="4032"/>
          <w:tab w:val="clear" w:pos="4435"/>
          <w:tab w:val="clear" w:pos="9677"/>
          <w:tab w:val="left" w:pos="900"/>
        </w:tabs>
        <w:overflowPunct w:val="0"/>
        <w:autoSpaceDE w:val="0"/>
        <w:autoSpaceDN w:val="0"/>
        <w:adjustRightInd w:val="0"/>
        <w:spacing w:before="136" w:after="120" w:line="240" w:lineRule="auto"/>
        <w:ind w:leftChars="0" w:left="900" w:hanging="270"/>
        <w:textAlignment w:val="baseline"/>
        <w:rPr>
          <w:color w:val="000000" w:themeColor="text1"/>
        </w:rPr>
      </w:pPr>
      <w:r w:rsidRPr="00A52AB8">
        <w:rPr>
          <w:color w:val="000000" w:themeColor="text1"/>
        </w:rPr>
        <w:t xml:space="preserve">When </w:t>
      </w:r>
      <w:r w:rsidR="00F4336E" w:rsidRPr="00A52AB8">
        <w:rPr>
          <w:color w:val="000000" w:themeColor="text1"/>
        </w:rPr>
        <w:t xml:space="preserve">coded atlas </w:t>
      </w:r>
      <w:r w:rsidRPr="00A52AB8">
        <w:rPr>
          <w:color w:val="000000" w:themeColor="text1"/>
        </w:rPr>
        <w:t xml:space="preserve">access unit n is not the first </w:t>
      </w:r>
      <w:r w:rsidR="00F4336E" w:rsidRPr="00A52AB8">
        <w:rPr>
          <w:color w:val="000000" w:themeColor="text1"/>
        </w:rPr>
        <w:t xml:space="preserve">coded atlas </w:t>
      </w:r>
      <w:r w:rsidRPr="00A52AB8">
        <w:rPr>
          <w:color w:val="000000" w:themeColor="text1"/>
        </w:rPr>
        <w:t xml:space="preserve">access unit of a buffering period, the nominal removal time of the </w:t>
      </w:r>
      <w:r w:rsidR="00F4336E" w:rsidRPr="00A52AB8">
        <w:rPr>
          <w:color w:val="000000" w:themeColor="text1"/>
        </w:rPr>
        <w:t xml:space="preserve">coded atlas </w:t>
      </w:r>
      <w:r w:rsidRPr="00A52AB8">
        <w:rPr>
          <w:color w:val="000000" w:themeColor="text1"/>
        </w:rPr>
        <w:t>access unit n from the CAB is specified by:</w:t>
      </w:r>
    </w:p>
    <w:p w14:paraId="60814BCA" w14:textId="6EEE3E3F" w:rsidR="003452B8" w:rsidRPr="00A52AB8" w:rsidRDefault="003452B8" w:rsidP="00366915">
      <w:pPr>
        <w:ind w:left="921"/>
      </w:pPr>
      <w:r w:rsidRPr="00A52AB8">
        <w:tab/>
        <w:t>AuNominalRemovalTime</w:t>
      </w:r>
      <w:r w:rsidR="000B7FBC" w:rsidRPr="00A52AB8">
        <w:t>[ n ]</w:t>
      </w:r>
      <w:r w:rsidR="00E976E1" w:rsidRPr="00A52AB8">
        <w:t> </w:t>
      </w:r>
      <w:r w:rsidRPr="00A52AB8">
        <w:t>=</w:t>
      </w:r>
      <w:r w:rsidR="00E976E1" w:rsidRPr="00A52AB8">
        <w:br/>
      </w:r>
      <w:r w:rsidR="00E976E1" w:rsidRPr="00A52AB8">
        <w:tab/>
      </w:r>
      <w:r w:rsidR="00E976E1" w:rsidRPr="00A52AB8">
        <w:tab/>
      </w:r>
      <w:r w:rsidRPr="00A52AB8">
        <w:t>AuNominalRemovalTime</w:t>
      </w:r>
      <w:r w:rsidR="0006494C" w:rsidRPr="00A52AB8">
        <w:t>[ </w:t>
      </w:r>
      <w:r w:rsidRPr="00A52AB8">
        <w:t>firstAtlasInCurrBuffPeriod</w:t>
      </w:r>
      <w:r w:rsidR="00475815" w:rsidRPr="00A52AB8">
        <w:t> </w:t>
      </w:r>
      <w:r w:rsidRPr="00A52AB8">
        <w:t>]</w:t>
      </w:r>
      <w:r w:rsidR="00475815" w:rsidRPr="00A52AB8">
        <w:t> </w:t>
      </w:r>
      <w:r w:rsidRPr="00A52AB8">
        <w:t>+</w:t>
      </w:r>
      <w:r w:rsidR="00C61E38" w:rsidRPr="00A52AB8">
        <w:br/>
      </w:r>
      <w:r w:rsidRPr="00A52AB8">
        <w:tab/>
      </w:r>
      <w:r w:rsidR="00475815" w:rsidRPr="00A52AB8">
        <w:tab/>
      </w:r>
      <w:r w:rsidRPr="00A52AB8">
        <w:t>ClockTick</w:t>
      </w:r>
      <w:r w:rsidR="00475815" w:rsidRPr="00A52AB8">
        <w:t> </w:t>
      </w:r>
      <w:r w:rsidRPr="00A52AB8">
        <w:t>*</w:t>
      </w:r>
      <w:r w:rsidR="00475815" w:rsidRPr="00A52AB8">
        <w:t> </w:t>
      </w:r>
      <w:r w:rsidRPr="00A52AB8">
        <w:t>(</w:t>
      </w:r>
      <w:r w:rsidR="00475815" w:rsidRPr="00A52AB8">
        <w:t> </w:t>
      </w:r>
      <w:r w:rsidRPr="00A52AB8">
        <w:t>AuCabRemovalDelayVal</w:t>
      </w:r>
      <w:r w:rsidR="00475815" w:rsidRPr="00A52AB8">
        <w:t> – </w:t>
      </w:r>
      <w:r w:rsidRPr="00A52AB8">
        <w:t>CabDelayOffset</w:t>
      </w:r>
      <w:r w:rsidR="00475815" w:rsidRPr="00A52AB8">
        <w:t> </w:t>
      </w:r>
      <w:r w:rsidRPr="00A52AB8">
        <w:t>)</w:t>
      </w:r>
      <w:r w:rsidRPr="00A52AB8">
        <w:tab/>
        <w:t>(</w:t>
      </w:r>
      <w:r w:rsidR="0097080A" w:rsidRPr="00A52AB8">
        <w:t>E</w:t>
      </w:r>
      <w:r w:rsidRPr="00A52AB8">
        <w:noBreakHyphen/>
      </w:r>
      <w:r w:rsidRPr="00496A4D">
        <w:fldChar w:fldCharType="begin"/>
      </w:r>
      <w:r w:rsidRPr="00A52AB8">
        <w:instrText xml:space="preserve"> SEQ Equation \* ARABIC </w:instrText>
      </w:r>
      <w:r w:rsidRPr="00496A4D">
        <w:fldChar w:fldCharType="separate"/>
      </w:r>
      <w:r w:rsidR="00507A67">
        <w:rPr>
          <w:noProof/>
        </w:rPr>
        <w:t>10</w:t>
      </w:r>
      <w:r w:rsidRPr="00496A4D">
        <w:fldChar w:fldCharType="end"/>
      </w:r>
      <w:r w:rsidRPr="00A52AB8">
        <w:t>)</w:t>
      </w:r>
    </w:p>
    <w:p w14:paraId="5B45778C" w14:textId="04EC0974" w:rsidR="001E7DB6" w:rsidRPr="00A52AB8" w:rsidRDefault="001E7DB6" w:rsidP="00D451D4">
      <w:pPr>
        <w:ind w:left="921"/>
      </w:pPr>
      <w:r w:rsidRPr="00A52AB8">
        <w:t>where AuNominalRemovalTime[</w:t>
      </w:r>
      <w:r w:rsidR="00FB352E" w:rsidRPr="00A52AB8">
        <w:t> </w:t>
      </w:r>
      <w:r w:rsidRPr="00A52AB8">
        <w:t>firstAtlasInCurrBuffPeriod</w:t>
      </w:r>
      <w:r w:rsidR="00FB352E" w:rsidRPr="00A52AB8">
        <w:t> </w:t>
      </w:r>
      <w:r w:rsidRPr="00A52AB8">
        <w:t xml:space="preserve">] is the nominal removal time of the first access unit of the current buffering period, and AuCabRemovalDelayVal is the value of AuCabRemovalDelayVal derived according to </w:t>
      </w:r>
      <w:r w:rsidR="00BC5A2A" w:rsidRPr="00A52AB8">
        <w:t>aft_au_cab_remova</w:t>
      </w:r>
      <w:r w:rsidR="00884BC8" w:rsidRPr="00A52AB8">
        <w:t>l_delay_minus1</w:t>
      </w:r>
      <w:r w:rsidR="00BC5DD8" w:rsidRPr="00A52AB8">
        <w:rPr>
          <w:color w:val="000000" w:themeColor="text1"/>
        </w:rPr>
        <w:t>[ Htid ]</w:t>
      </w:r>
      <w:r w:rsidRPr="00A52AB8">
        <w:t xml:space="preserve"> in the atlas timing SEI message, selected as specified in </w:t>
      </w:r>
      <w:r w:rsidR="00406A86" w:rsidRPr="00A52AB8">
        <w:t>subclause</w:t>
      </w:r>
      <w:r w:rsidRPr="00A52AB8">
        <w:t xml:space="preserve"> </w:t>
      </w:r>
      <w:r w:rsidR="00274E55" w:rsidRPr="00496A4D">
        <w:fldChar w:fldCharType="begin"/>
      </w:r>
      <w:r w:rsidR="00274E55" w:rsidRPr="00A52AB8">
        <w:instrText xml:space="preserve"> REF _Ref21518261 \w \h </w:instrText>
      </w:r>
      <w:r w:rsidR="005A186E" w:rsidRPr="00A52AB8">
        <w:instrText xml:space="preserve"> \* MERGEFORMAT </w:instrText>
      </w:r>
      <w:r w:rsidR="00274E55" w:rsidRPr="00496A4D">
        <w:fldChar w:fldCharType="separate"/>
      </w:r>
      <w:r w:rsidR="00507A67">
        <w:t>E.1</w:t>
      </w:r>
      <w:r w:rsidR="00274E55" w:rsidRPr="00496A4D">
        <w:fldChar w:fldCharType="end"/>
      </w:r>
      <w:r w:rsidRPr="00A52AB8">
        <w:t xml:space="preserve">, </w:t>
      </w:r>
      <w:r w:rsidR="00FB352E" w:rsidRPr="00A52AB8">
        <w:t xml:space="preserve">and </w:t>
      </w:r>
      <w:r w:rsidRPr="00A52AB8">
        <w:t>associated with access unit n.</w:t>
      </w:r>
    </w:p>
    <w:p w14:paraId="385A6BAC" w14:textId="77777777" w:rsidR="001E7DB6" w:rsidRPr="00A52AB8" w:rsidRDefault="001E7DB6">
      <w:pPr>
        <w:pStyle w:val="a2"/>
        <w:numPr>
          <w:ilvl w:val="1"/>
          <w:numId w:val="19"/>
        </w:numPr>
      </w:pPr>
      <w:bookmarkStart w:id="5116" w:name="_Toc50668517"/>
      <w:bookmarkStart w:id="5117" w:name="_Toc50721565"/>
      <w:bookmarkStart w:id="5118" w:name="_Toc50723533"/>
      <w:bookmarkStart w:id="5119" w:name="_Toc50938962"/>
      <w:bookmarkStart w:id="5120" w:name="_Ref21510965"/>
      <w:bookmarkStart w:id="5121" w:name="_Ref21511038"/>
      <w:bookmarkStart w:id="5122" w:name="_Toc52181696"/>
      <w:bookmarkEnd w:id="5116"/>
      <w:bookmarkEnd w:id="5117"/>
      <w:bookmarkEnd w:id="5118"/>
      <w:bookmarkEnd w:id="5119"/>
      <w:r w:rsidRPr="00A52AB8">
        <w:t>Operation of the decoded atlas frame buffer</w:t>
      </w:r>
      <w:bookmarkEnd w:id="5120"/>
      <w:bookmarkEnd w:id="5121"/>
      <w:bookmarkEnd w:id="5122"/>
    </w:p>
    <w:p w14:paraId="7FE17F3F" w14:textId="77777777" w:rsidR="001E7DB6" w:rsidRPr="00A52AB8" w:rsidRDefault="001E7DB6">
      <w:pPr>
        <w:pStyle w:val="a3"/>
        <w:numPr>
          <w:ilvl w:val="2"/>
          <w:numId w:val="19"/>
        </w:numPr>
      </w:pPr>
      <w:bookmarkStart w:id="5123" w:name="_Toc52181697"/>
      <w:r w:rsidRPr="00A52AB8">
        <w:t>General</w:t>
      </w:r>
      <w:bookmarkEnd w:id="5123"/>
    </w:p>
    <w:p w14:paraId="08DB84F5" w14:textId="41CC60B8" w:rsidR="001E7DB6" w:rsidRPr="00A52AB8" w:rsidRDefault="001E7DB6">
      <w:bookmarkStart w:id="5124" w:name="_Toc32860493"/>
      <w:bookmarkStart w:id="5125" w:name="_Toc311220030"/>
      <w:bookmarkStart w:id="5126" w:name="_Toc287363882"/>
      <w:bookmarkStart w:id="5127" w:name="_Toc248045437"/>
      <w:bookmarkStart w:id="5128" w:name="_Toc226456820"/>
      <w:bookmarkStart w:id="5129" w:name="_Toc118289215"/>
      <w:bookmarkStart w:id="5130" w:name="_Toc77680619"/>
      <w:bookmarkStart w:id="5131" w:name="_Ref34217515"/>
      <w:bookmarkEnd w:id="5111"/>
      <w:r w:rsidRPr="00A52AB8">
        <w:t xml:space="preserve">The specifications in this </w:t>
      </w:r>
      <w:r w:rsidR="00406A86" w:rsidRPr="00A52AB8">
        <w:t>subclause</w:t>
      </w:r>
      <w:r w:rsidRPr="00A52AB8">
        <w:t xml:space="preserve"> apply independently to each set of decoded atlas frame buffer (DAB) parameters selected as specified in </w:t>
      </w:r>
      <w:r w:rsidR="00406A86" w:rsidRPr="00A52AB8">
        <w:t>subclause</w:t>
      </w:r>
      <w:r w:rsidRPr="00A52AB8">
        <w:t> </w:t>
      </w:r>
      <w:r w:rsidR="00274E55" w:rsidRPr="00496A4D">
        <w:fldChar w:fldCharType="begin"/>
      </w:r>
      <w:r w:rsidR="00274E55" w:rsidRPr="00A52AB8">
        <w:instrText xml:space="preserve"> REF _Ref21518322 \w \h </w:instrText>
      </w:r>
      <w:r w:rsidR="00025423" w:rsidRPr="00A52AB8">
        <w:instrText xml:space="preserve"> \* MERGEFORMAT </w:instrText>
      </w:r>
      <w:r w:rsidR="00274E55" w:rsidRPr="00496A4D">
        <w:fldChar w:fldCharType="separate"/>
      </w:r>
      <w:r w:rsidR="00507A67">
        <w:t>E.1</w:t>
      </w:r>
      <w:r w:rsidR="00274E55" w:rsidRPr="00496A4D">
        <w:fldChar w:fldCharType="end"/>
      </w:r>
      <w:r w:rsidRPr="00A52AB8">
        <w:t>.</w:t>
      </w:r>
    </w:p>
    <w:p w14:paraId="68886239" w14:textId="19CD91CE" w:rsidR="001E7DB6" w:rsidRPr="00A52AB8" w:rsidRDefault="001E7DB6">
      <w:r w:rsidRPr="00A52AB8">
        <w:t xml:space="preserve">The </w:t>
      </w:r>
      <w:r w:rsidR="00F4336E" w:rsidRPr="00A52AB8">
        <w:t>DAB</w:t>
      </w:r>
      <w:r w:rsidRPr="00A52AB8">
        <w:t xml:space="preserve"> contains atlas frame storage buffers. Each of the atlas frame storage buffers may contain a decoded atlas frame that is marked as "used for reference" or is held for future output. The processes specified in </w:t>
      </w:r>
      <w:r w:rsidR="00CF490C" w:rsidRPr="00A52AB8">
        <w:t>sub</w:t>
      </w:r>
      <w:r w:rsidRPr="00A52AB8">
        <w:t xml:space="preserve">clauses </w:t>
      </w:r>
      <w:r w:rsidR="00274E55" w:rsidRPr="00496A4D">
        <w:fldChar w:fldCharType="begin"/>
      </w:r>
      <w:r w:rsidR="00274E55" w:rsidRPr="00A52AB8">
        <w:instrText xml:space="preserve"> REF _Ref21518358 \w \h </w:instrText>
      </w:r>
      <w:r w:rsidR="00025423" w:rsidRPr="00A52AB8">
        <w:instrText xml:space="preserve"> \* MERGEFORMAT </w:instrText>
      </w:r>
      <w:r w:rsidR="00274E55" w:rsidRPr="00496A4D">
        <w:fldChar w:fldCharType="separate"/>
      </w:r>
      <w:r w:rsidR="00507A67">
        <w:t>E.3.2</w:t>
      </w:r>
      <w:r w:rsidR="00274E55" w:rsidRPr="00496A4D">
        <w:fldChar w:fldCharType="end"/>
      </w:r>
      <w:r w:rsidRPr="00A52AB8">
        <w:t xml:space="preserve"> and </w:t>
      </w:r>
      <w:r w:rsidR="00274E55" w:rsidRPr="00496A4D">
        <w:fldChar w:fldCharType="begin"/>
      </w:r>
      <w:r w:rsidR="00274E55" w:rsidRPr="00A52AB8">
        <w:instrText xml:space="preserve"> REF _Ref21518364 \w \h </w:instrText>
      </w:r>
      <w:r w:rsidR="00025423" w:rsidRPr="00A52AB8">
        <w:instrText xml:space="preserve"> \* MERGEFORMAT </w:instrText>
      </w:r>
      <w:r w:rsidR="00274E55" w:rsidRPr="00496A4D">
        <w:fldChar w:fldCharType="separate"/>
      </w:r>
      <w:r w:rsidR="00507A67">
        <w:t>E.3.3</w:t>
      </w:r>
      <w:r w:rsidR="00274E55" w:rsidRPr="00496A4D">
        <w:fldChar w:fldCharType="end"/>
      </w:r>
      <w:r w:rsidRPr="00A52AB8">
        <w:t xml:space="preserve"> are sequentially applied</w:t>
      </w:r>
      <w:r w:rsidR="00AB7193" w:rsidRPr="00A52AB8">
        <w:t>.</w:t>
      </w:r>
    </w:p>
    <w:p w14:paraId="532D1FE3" w14:textId="77777777" w:rsidR="001E7DB6" w:rsidRPr="00A52AB8" w:rsidRDefault="001E7DB6">
      <w:pPr>
        <w:pStyle w:val="a3"/>
        <w:numPr>
          <w:ilvl w:val="2"/>
          <w:numId w:val="19"/>
        </w:numPr>
      </w:pPr>
      <w:bookmarkStart w:id="5132" w:name="_Ref21518358"/>
      <w:bookmarkStart w:id="5133" w:name="_Ref21519895"/>
      <w:bookmarkStart w:id="5134" w:name="_Ref21520107"/>
      <w:bookmarkStart w:id="5135" w:name="_Toc52181698"/>
      <w:r w:rsidRPr="00A52AB8">
        <w:t>Removal of atlas frames from the DAB before decoding of the current atlas frame</w:t>
      </w:r>
      <w:bookmarkEnd w:id="5132"/>
      <w:bookmarkEnd w:id="5133"/>
      <w:bookmarkEnd w:id="5134"/>
      <w:bookmarkEnd w:id="5135"/>
    </w:p>
    <w:bookmarkEnd w:id="5124"/>
    <w:p w14:paraId="052D38FC" w14:textId="0C5CE2A8" w:rsidR="001E7DB6" w:rsidRPr="00A52AB8" w:rsidRDefault="001E7DB6">
      <w:r w:rsidRPr="00A52AB8">
        <w:t xml:space="preserve">The removal of atlas frames from the DAB before decoding of the current atlas frame (but after parsing the </w:t>
      </w:r>
      <w:r w:rsidR="00B8075E" w:rsidRPr="00A52AB8">
        <w:t>tile</w:t>
      </w:r>
      <w:r w:rsidRPr="00A52AB8">
        <w:t xml:space="preserve"> header of the first </w:t>
      </w:r>
      <w:r w:rsidR="00B8075E" w:rsidRPr="00A52AB8">
        <w:t>tile</w:t>
      </w:r>
      <w:r w:rsidRPr="00A52AB8">
        <w:t xml:space="preserve"> of the current atlas frame) happens instantaneously at the CAB removal time of the first decoding unit of </w:t>
      </w:r>
      <w:r w:rsidR="00F4336E" w:rsidRPr="00A52AB8">
        <w:t xml:space="preserve">coded atlas </w:t>
      </w:r>
      <w:r w:rsidRPr="00A52AB8">
        <w:t>access unit n (containing the current atlas frame) and proceeds as follows:</w:t>
      </w:r>
    </w:p>
    <w:p w14:paraId="14E095AA" w14:textId="7BAF595F" w:rsidR="00737784" w:rsidRPr="00A52AB8" w:rsidRDefault="00FF050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The reference atlas list (RA</w:t>
      </w:r>
      <w:r w:rsidR="00F4336E" w:rsidRPr="00A52AB8">
        <w:rPr>
          <w:color w:val="000000" w:themeColor="text1"/>
        </w:rPr>
        <w:t>F</w:t>
      </w:r>
      <w:r w:rsidRPr="00A52AB8">
        <w:rPr>
          <w:color w:val="000000" w:themeColor="text1"/>
        </w:rPr>
        <w:t>L)</w:t>
      </w:r>
      <w:r w:rsidR="006363B1" w:rsidRPr="00A52AB8">
        <w:rPr>
          <w:color w:val="000000" w:themeColor="text1"/>
        </w:rPr>
        <w:t xml:space="preserve"> construction</w:t>
      </w:r>
      <w:r w:rsidRPr="00A52AB8">
        <w:rPr>
          <w:color w:val="000000" w:themeColor="text1"/>
        </w:rPr>
        <w:t xml:space="preserve"> </w:t>
      </w:r>
      <w:r w:rsidR="00E64CE9" w:rsidRPr="00A52AB8">
        <w:rPr>
          <w:color w:val="000000" w:themeColor="text1"/>
        </w:rPr>
        <w:t xml:space="preserve">process, </w:t>
      </w:r>
      <w:r w:rsidRPr="00A52AB8">
        <w:rPr>
          <w:color w:val="000000" w:themeColor="text1"/>
        </w:rPr>
        <w:t xml:space="preserve">as specified in </w:t>
      </w:r>
      <w:r w:rsidR="00406A86" w:rsidRPr="00A52AB8">
        <w:rPr>
          <w:color w:val="000000" w:themeColor="text1"/>
        </w:rPr>
        <w:t>subclause</w:t>
      </w:r>
      <w:r w:rsidRPr="00A52AB8">
        <w:rPr>
          <w:color w:val="000000" w:themeColor="text1"/>
        </w:rPr>
        <w:t xml:space="preserve"> </w:t>
      </w:r>
      <w:r w:rsidRPr="00496A4D">
        <w:rPr>
          <w:color w:val="000000" w:themeColor="text1"/>
        </w:rPr>
        <w:fldChar w:fldCharType="begin"/>
      </w:r>
      <w:r w:rsidRPr="00A52AB8">
        <w:rPr>
          <w:color w:val="000000" w:themeColor="text1"/>
        </w:rPr>
        <w:instrText xml:space="preserve"> REF _Ref1143623 \w \h </w:instrText>
      </w:r>
      <w:r w:rsidR="00025423"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9.2.4.3</w:t>
      </w:r>
      <w:r w:rsidRPr="00496A4D">
        <w:rPr>
          <w:color w:val="000000" w:themeColor="text1"/>
        </w:rPr>
        <w:fldChar w:fldCharType="end"/>
      </w:r>
      <w:r w:rsidR="00E64CE9" w:rsidRPr="00A52AB8">
        <w:rPr>
          <w:color w:val="000000" w:themeColor="text1"/>
        </w:rPr>
        <w:t>,</w:t>
      </w:r>
      <w:r w:rsidRPr="00A52AB8">
        <w:rPr>
          <w:color w:val="000000" w:themeColor="text1"/>
        </w:rPr>
        <w:t xml:space="preserve"> </w:t>
      </w:r>
      <w:r w:rsidR="00E64CE9" w:rsidRPr="00A52AB8">
        <w:rPr>
          <w:color w:val="000000" w:themeColor="text1"/>
        </w:rPr>
        <w:t xml:space="preserve">followed by the reference atlas frame marking process, as specified in subclause </w:t>
      </w:r>
      <w:r w:rsidR="00E64CE9" w:rsidRPr="00496A4D">
        <w:rPr>
          <w:color w:val="000000" w:themeColor="text1"/>
        </w:rPr>
        <w:fldChar w:fldCharType="begin"/>
      </w:r>
      <w:r w:rsidR="00E64CE9" w:rsidRPr="00A52AB8">
        <w:rPr>
          <w:color w:val="000000" w:themeColor="text1"/>
        </w:rPr>
        <w:instrText xml:space="preserve"> REF _Ref1137376 \r \h </w:instrText>
      </w:r>
      <w:r w:rsidR="006371AA" w:rsidRPr="00A52AB8">
        <w:rPr>
          <w:color w:val="000000" w:themeColor="text1"/>
        </w:rPr>
        <w:instrText xml:space="preserve"> \* MERGEFORMAT </w:instrText>
      </w:r>
      <w:r w:rsidR="00E64CE9" w:rsidRPr="00496A4D">
        <w:rPr>
          <w:color w:val="000000" w:themeColor="text1"/>
        </w:rPr>
      </w:r>
      <w:r w:rsidR="00E64CE9" w:rsidRPr="00496A4D">
        <w:rPr>
          <w:color w:val="000000" w:themeColor="text1"/>
        </w:rPr>
        <w:fldChar w:fldCharType="separate"/>
      </w:r>
      <w:r w:rsidR="00507A67">
        <w:rPr>
          <w:color w:val="000000" w:themeColor="text1"/>
        </w:rPr>
        <w:t>9.2.4.4</w:t>
      </w:r>
      <w:r w:rsidR="00E64CE9" w:rsidRPr="00496A4D">
        <w:rPr>
          <w:color w:val="000000" w:themeColor="text1"/>
        </w:rPr>
        <w:fldChar w:fldCharType="end"/>
      </w:r>
      <w:r w:rsidR="00E64CE9" w:rsidRPr="00A52AB8">
        <w:rPr>
          <w:color w:val="000000" w:themeColor="text1"/>
        </w:rPr>
        <w:t>, are invoked.</w:t>
      </w:r>
    </w:p>
    <w:p w14:paraId="1E4C8B4E" w14:textId="743DE616" w:rsidR="00737784" w:rsidRPr="00A52AB8" w:rsidRDefault="00737784" w:rsidP="00743B88">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pPr>
      <w:r w:rsidRPr="00A52AB8">
        <w:t xml:space="preserve">When the current </w:t>
      </w:r>
      <w:r w:rsidR="001A42BF" w:rsidRPr="00A52AB8">
        <w:t>atlas frame</w:t>
      </w:r>
      <w:r w:rsidRPr="00A52AB8">
        <w:t xml:space="preserve"> is an IRAP </w:t>
      </w:r>
      <w:r w:rsidR="003D47FD" w:rsidRPr="00A52AB8">
        <w:t xml:space="preserve">coded </w:t>
      </w:r>
      <w:r w:rsidR="001A42BF" w:rsidRPr="00A52AB8">
        <w:t>atlas frame</w:t>
      </w:r>
      <w:r w:rsidRPr="00A52AB8">
        <w:t xml:space="preserve"> with </w:t>
      </w:r>
      <w:r w:rsidR="001A42BF" w:rsidRPr="00A52AB8">
        <w:t>NoOutputBeforeRecoveryFlag</w:t>
      </w:r>
      <w:r w:rsidRPr="00A52AB8">
        <w:t xml:space="preserve"> equal to 1 that is not </w:t>
      </w:r>
      <w:r w:rsidR="009D50C1" w:rsidRPr="00A52AB8">
        <w:t>atlas frame</w:t>
      </w:r>
      <w:r w:rsidRPr="00A52AB8">
        <w:t xml:space="preserve"> 0, the following ordered steps are applied:</w:t>
      </w:r>
    </w:p>
    <w:p w14:paraId="7988F1DE" w14:textId="7745CB56" w:rsidR="00737784" w:rsidRPr="00A52AB8" w:rsidRDefault="00737784" w:rsidP="00366915">
      <w:pPr>
        <w:pStyle w:val="ListParagraph"/>
        <w:numPr>
          <w:ilvl w:val="2"/>
          <w:numId w:val="308"/>
        </w:numPr>
        <w:ind w:leftChars="0" w:left="1224"/>
      </w:pPr>
      <w:r w:rsidRPr="00A52AB8">
        <w:t>The variable NoOutputOfPrior</w:t>
      </w:r>
      <w:r w:rsidR="008A7822" w:rsidRPr="00A52AB8">
        <w:t>AtlasFrame</w:t>
      </w:r>
      <w:r w:rsidRPr="00A52AB8">
        <w:t>sFlag is derived for the decoder under test as follows:</w:t>
      </w:r>
    </w:p>
    <w:p w14:paraId="5118E92C" w14:textId="14B56B39" w:rsidR="00144D32" w:rsidRPr="00A52AB8" w:rsidRDefault="00737784" w:rsidP="00366915">
      <w:pPr>
        <w:pStyle w:val="ListParagraph"/>
        <w:numPr>
          <w:ilvl w:val="0"/>
          <w:numId w:val="415"/>
        </w:numPr>
        <w:tabs>
          <w:tab w:val="clear" w:pos="403"/>
          <w:tab w:val="clear" w:pos="806"/>
          <w:tab w:val="left" w:pos="400"/>
        </w:tabs>
        <w:ind w:leftChars="0"/>
      </w:pPr>
      <w:r w:rsidRPr="00A52AB8">
        <w:t xml:space="preserve">If the current </w:t>
      </w:r>
      <w:r w:rsidR="00300B72" w:rsidRPr="00A52AB8">
        <w:t>atlas frame</w:t>
      </w:r>
      <w:r w:rsidRPr="00A52AB8">
        <w:t xml:space="preserve"> is a CRA </w:t>
      </w:r>
      <w:r w:rsidR="00300B72" w:rsidRPr="00A52AB8">
        <w:t>atlas frame</w:t>
      </w:r>
      <w:r w:rsidRPr="00A52AB8">
        <w:t xml:space="preserve">, </w:t>
      </w:r>
      <w:r w:rsidR="008A7822" w:rsidRPr="00A52AB8">
        <w:t>NoOutputOfPriorAtlasFramesFlag</w:t>
      </w:r>
      <w:r w:rsidRPr="00A52AB8">
        <w:t xml:space="preserve"> is set equal to 1 (regardless of the value of </w:t>
      </w:r>
      <w:r w:rsidR="009D50C1" w:rsidRPr="00A52AB8">
        <w:t>ath_</w:t>
      </w:r>
      <w:r w:rsidRPr="00A52AB8">
        <w:t>no_output_of_</w:t>
      </w:r>
      <w:r w:rsidR="009D50C1" w:rsidRPr="00A52AB8">
        <w:t>prior_atlas_frames</w:t>
      </w:r>
      <w:r w:rsidRPr="00A52AB8">
        <w:t>_flag).</w:t>
      </w:r>
    </w:p>
    <w:p w14:paraId="303B5649" w14:textId="21275D79" w:rsidR="00737784" w:rsidRPr="00A52AB8" w:rsidRDefault="00737784" w:rsidP="00366915">
      <w:pPr>
        <w:pStyle w:val="ListParagraph"/>
        <w:numPr>
          <w:ilvl w:val="0"/>
          <w:numId w:val="415"/>
        </w:numPr>
        <w:tabs>
          <w:tab w:val="clear" w:pos="403"/>
          <w:tab w:val="clear" w:pos="806"/>
          <w:tab w:val="left" w:pos="400"/>
        </w:tabs>
        <w:ind w:leftChars="0"/>
      </w:pPr>
      <w:r w:rsidRPr="00A52AB8">
        <w:t>Otherwise, if</w:t>
      </w:r>
      <w:r w:rsidR="009D50C1" w:rsidRPr="00A52AB8">
        <w:t xml:space="preserve"> the value of asps_frame_width, asps_frame_height, or asps_max_dec_atlas_frame_buffering_minus1 derived for the current atlas frame is different from the value of asps_frame_width, asps_frame_height, or asps_max_dec_atlas_frame_buffering_minus1, respectively, derived for the preceding atlas frame in decoding order, NoOutputOfPriorAtlasFramesFlag may (but should not) be set equal to 1 by the decoder under test, regardless of the value of ath_no_output_of_prior_atlas_frames_flag of the current coded atlas access</w:t>
      </w:r>
      <w:r w:rsidRPr="00A52AB8">
        <w:t>.</w:t>
      </w:r>
    </w:p>
    <w:p w14:paraId="4ADD398D" w14:textId="7E39A2C6" w:rsidR="00144D32" w:rsidRPr="00A52AB8" w:rsidRDefault="00737784" w:rsidP="00737784">
      <w:pPr>
        <w:pStyle w:val="Note1"/>
        <w:ind w:left="1612"/>
        <w:rPr>
          <w:rFonts w:ascii="Cambria" w:hAnsi="Cambria"/>
        </w:rPr>
      </w:pPr>
      <w:r w:rsidRPr="00A52AB8">
        <w:rPr>
          <w:rFonts w:ascii="Cambria" w:hAnsi="Cambria"/>
        </w:rPr>
        <w:t xml:space="preserve">NOTE – Although setting </w:t>
      </w:r>
      <w:r w:rsidR="008A7822" w:rsidRPr="00A52AB8">
        <w:rPr>
          <w:rFonts w:ascii="Cambria" w:hAnsi="Cambria"/>
        </w:rPr>
        <w:t>NoOutputOfPriorAtlasFramesFlag</w:t>
      </w:r>
      <w:r w:rsidRPr="00A52AB8">
        <w:rPr>
          <w:rFonts w:ascii="Cambria" w:hAnsi="Cambria"/>
        </w:rPr>
        <w:t xml:space="preserve"> equal to </w:t>
      </w:r>
      <w:r w:rsidR="00D94BD1" w:rsidRPr="00A52AB8">
        <w:rPr>
          <w:rFonts w:ascii="Cambria" w:hAnsi="Cambria"/>
        </w:rPr>
        <w:t xml:space="preserve">ath_no_output_of_prior_atlas_frames_flag </w:t>
      </w:r>
      <w:r w:rsidRPr="00A52AB8">
        <w:rPr>
          <w:rFonts w:ascii="Cambria" w:hAnsi="Cambria"/>
        </w:rPr>
        <w:t xml:space="preserve">is preferred under these conditions, the decoder under test is allowed to set </w:t>
      </w:r>
      <w:r w:rsidR="008A7822" w:rsidRPr="00A52AB8">
        <w:rPr>
          <w:rFonts w:ascii="Cambria" w:hAnsi="Cambria"/>
        </w:rPr>
        <w:t>NoOutputOfPriorAtlasFramesFlag</w:t>
      </w:r>
      <w:r w:rsidRPr="00A52AB8">
        <w:rPr>
          <w:rFonts w:ascii="Cambria" w:hAnsi="Cambria"/>
        </w:rPr>
        <w:t xml:space="preserve"> to 1 in this case.</w:t>
      </w:r>
    </w:p>
    <w:p w14:paraId="50E6AD92" w14:textId="56CEE2AF" w:rsidR="00737784" w:rsidRPr="00A52AB8" w:rsidRDefault="00737784" w:rsidP="00366915">
      <w:pPr>
        <w:pStyle w:val="Note1"/>
        <w:numPr>
          <w:ilvl w:val="0"/>
          <w:numId w:val="416"/>
        </w:numPr>
        <w:rPr>
          <w:rFonts w:ascii="Cambria" w:eastAsiaTheme="minorEastAsia" w:hAnsi="Cambria"/>
          <w:sz w:val="22"/>
          <w:szCs w:val="22"/>
        </w:rPr>
      </w:pPr>
      <w:r w:rsidRPr="00A52AB8">
        <w:rPr>
          <w:rFonts w:ascii="Cambria" w:eastAsiaTheme="minorEastAsia" w:hAnsi="Cambria"/>
          <w:sz w:val="22"/>
          <w:szCs w:val="22"/>
        </w:rPr>
        <w:t>Otherwise,</w:t>
      </w:r>
      <w:r w:rsidR="00D94BD1" w:rsidRPr="00A52AB8">
        <w:rPr>
          <w:rFonts w:ascii="Cambria" w:eastAsiaTheme="minorEastAsia" w:hAnsi="Cambria"/>
          <w:sz w:val="22"/>
          <w:szCs w:val="22"/>
        </w:rPr>
        <w:t xml:space="preserve"> </w:t>
      </w:r>
      <w:r w:rsidR="008A7822" w:rsidRPr="00A52AB8">
        <w:rPr>
          <w:rFonts w:ascii="Cambria" w:eastAsiaTheme="minorEastAsia" w:hAnsi="Cambria"/>
          <w:sz w:val="22"/>
          <w:szCs w:val="22"/>
        </w:rPr>
        <w:t>NoOutputOfPriorAtlasFramesFlag</w:t>
      </w:r>
      <w:r w:rsidRPr="00A52AB8">
        <w:rPr>
          <w:rFonts w:ascii="Cambria" w:eastAsiaTheme="minorEastAsia" w:hAnsi="Cambria"/>
          <w:sz w:val="22"/>
          <w:szCs w:val="22"/>
        </w:rPr>
        <w:t xml:space="preserve"> is set equal to </w:t>
      </w:r>
      <w:r w:rsidR="00D94BD1" w:rsidRPr="00A52AB8">
        <w:rPr>
          <w:rFonts w:ascii="Cambria" w:eastAsiaTheme="minorEastAsia" w:hAnsi="Cambria"/>
          <w:sz w:val="22"/>
          <w:szCs w:val="22"/>
        </w:rPr>
        <w:t>ath_no_output_of_prior_atlas_frames_fla</w:t>
      </w:r>
      <w:r w:rsidR="00300B72" w:rsidRPr="00A52AB8">
        <w:rPr>
          <w:rFonts w:ascii="Cambria" w:eastAsiaTheme="minorEastAsia" w:hAnsi="Cambria"/>
          <w:sz w:val="22"/>
          <w:szCs w:val="22"/>
        </w:rPr>
        <w:t>g</w:t>
      </w:r>
      <w:r w:rsidRPr="00A52AB8">
        <w:rPr>
          <w:rFonts w:ascii="Cambria" w:eastAsiaTheme="minorEastAsia" w:hAnsi="Cambria"/>
          <w:sz w:val="22"/>
          <w:szCs w:val="22"/>
        </w:rPr>
        <w:t>.</w:t>
      </w:r>
    </w:p>
    <w:p w14:paraId="3C9D880A" w14:textId="486176AF" w:rsidR="00737784" w:rsidRPr="00A52AB8" w:rsidRDefault="00737784" w:rsidP="00737784">
      <w:pPr>
        <w:ind w:left="806" w:hanging="403"/>
      </w:pPr>
      <w:r w:rsidRPr="00A52AB8">
        <w:t>2.</w:t>
      </w:r>
      <w:r w:rsidRPr="00A52AB8">
        <w:tab/>
        <w:t xml:space="preserve">The value of </w:t>
      </w:r>
      <w:r w:rsidR="008A7822" w:rsidRPr="00A52AB8">
        <w:t>NoOutputOfPriorAtlasFramesFlag</w:t>
      </w:r>
      <w:r w:rsidRPr="00A52AB8">
        <w:t xml:space="preserve"> derived for the decoder under test is applied for the HRD, such that when the value of </w:t>
      </w:r>
      <w:r w:rsidR="008A7822" w:rsidRPr="00A52AB8">
        <w:t>NoOutputOfPriorAtlasFramesFlag</w:t>
      </w:r>
      <w:r w:rsidRPr="00A52AB8">
        <w:t xml:space="preserve"> is equal to 1, all </w:t>
      </w:r>
      <w:r w:rsidR="00D94BD1" w:rsidRPr="00A52AB8">
        <w:t>atlas frame</w:t>
      </w:r>
      <w:r w:rsidRPr="00A52AB8">
        <w:t xml:space="preserve"> storage buffers in the D</w:t>
      </w:r>
      <w:r w:rsidR="00D94BD1" w:rsidRPr="00A52AB8">
        <w:t>A</w:t>
      </w:r>
      <w:r w:rsidRPr="00A52AB8">
        <w:t xml:space="preserve">B are emptied without output of the </w:t>
      </w:r>
      <w:r w:rsidR="00D94BD1" w:rsidRPr="00A52AB8">
        <w:t>atlas frames</w:t>
      </w:r>
      <w:r w:rsidRPr="00A52AB8">
        <w:t xml:space="preserve"> they contain, and the D</w:t>
      </w:r>
      <w:r w:rsidR="00D94BD1" w:rsidRPr="00A52AB8">
        <w:t>A</w:t>
      </w:r>
      <w:r w:rsidRPr="00A52AB8">
        <w:t>B fullness is set equal to 0.</w:t>
      </w:r>
    </w:p>
    <w:p w14:paraId="0278C4D9" w14:textId="682AB8AB" w:rsidR="00737784" w:rsidRPr="00A52AB8" w:rsidRDefault="00737784" w:rsidP="00737784">
      <w:pPr>
        <w:tabs>
          <w:tab w:val="clear" w:pos="403"/>
          <w:tab w:val="clear" w:pos="806"/>
          <w:tab w:val="left" w:pos="400"/>
        </w:tabs>
        <w:ind w:left="400" w:hanging="400"/>
      </w:pPr>
      <w:r w:rsidRPr="00A52AB8">
        <w:t>–</w:t>
      </w:r>
      <w:r w:rsidRPr="00A52AB8">
        <w:tab/>
        <w:t xml:space="preserve">When both of the following conditions are true for any </w:t>
      </w:r>
      <w:r w:rsidR="00D94BD1" w:rsidRPr="00A52AB8">
        <w:t>atlas frame</w:t>
      </w:r>
      <w:r w:rsidRPr="00A52AB8">
        <w:t xml:space="preserve"> k in the D</w:t>
      </w:r>
      <w:r w:rsidR="00D94BD1" w:rsidRPr="00A52AB8">
        <w:t>A</w:t>
      </w:r>
      <w:r w:rsidRPr="00A52AB8">
        <w:t xml:space="preserve">B, all such </w:t>
      </w:r>
      <w:r w:rsidR="00D94BD1" w:rsidRPr="00A52AB8">
        <w:t>atlas frame</w:t>
      </w:r>
      <w:r w:rsidRPr="00A52AB8">
        <w:t>s k in the D</w:t>
      </w:r>
      <w:r w:rsidR="00D94BD1" w:rsidRPr="00A52AB8">
        <w:t>A</w:t>
      </w:r>
      <w:r w:rsidRPr="00A52AB8">
        <w:t>B are removed from the D</w:t>
      </w:r>
      <w:r w:rsidR="00D94BD1" w:rsidRPr="00A52AB8">
        <w:t>A</w:t>
      </w:r>
      <w:r w:rsidRPr="00A52AB8">
        <w:t>B:</w:t>
      </w:r>
    </w:p>
    <w:p w14:paraId="6E246ACF" w14:textId="0C6FB6AA" w:rsidR="00737784" w:rsidRPr="00A52AB8" w:rsidRDefault="00737784" w:rsidP="00737784">
      <w:pPr>
        <w:ind w:left="806" w:hanging="403"/>
      </w:pPr>
      <w:r w:rsidRPr="00A52AB8">
        <w:t>–</w:t>
      </w:r>
      <w:r w:rsidRPr="00A52AB8">
        <w:tab/>
      </w:r>
      <w:r w:rsidR="00300B72" w:rsidRPr="00A52AB8">
        <w:t>atlas frame</w:t>
      </w:r>
      <w:r w:rsidRPr="00A52AB8">
        <w:t xml:space="preserve"> k is marked as "unused for reference".</w:t>
      </w:r>
    </w:p>
    <w:p w14:paraId="062266F7" w14:textId="59DB3787" w:rsidR="00737784" w:rsidRPr="00A52AB8" w:rsidRDefault="00737784" w:rsidP="00737784">
      <w:pPr>
        <w:ind w:left="806" w:hanging="403"/>
      </w:pPr>
      <w:r w:rsidRPr="00A52AB8">
        <w:t>–</w:t>
      </w:r>
      <w:r w:rsidR="00300B72" w:rsidRPr="00A52AB8">
        <w:tab/>
        <w:t>atlas frame k has AtlasFrameOutputFlag equal to 0 or its DAB output time is less than or equal to the CAB removal time of the first decoding unit (denoted as decoding unit m) of the current atlas frame n; i.e., DabOutputTime[ k ] is less than or equal to AuCabRemovalTime[ m ]</w:t>
      </w:r>
      <w:r w:rsidRPr="00A52AB8">
        <w:rPr>
          <w:iCs/>
        </w:rPr>
        <w:t>.</w:t>
      </w:r>
    </w:p>
    <w:p w14:paraId="70D4BB2A" w14:textId="4890ED0E" w:rsidR="00737784" w:rsidRPr="00A52AB8" w:rsidRDefault="00737784" w:rsidP="00737784">
      <w:pPr>
        <w:tabs>
          <w:tab w:val="clear" w:pos="403"/>
          <w:tab w:val="clear" w:pos="806"/>
          <w:tab w:val="left" w:pos="400"/>
        </w:tabs>
        <w:ind w:left="400" w:hanging="400"/>
      </w:pPr>
      <w:r w:rsidRPr="00A52AB8">
        <w:t>–</w:t>
      </w:r>
      <w:r w:rsidRPr="00A52AB8">
        <w:tab/>
        <w:t xml:space="preserve">For each </w:t>
      </w:r>
      <w:r w:rsidR="00300B72" w:rsidRPr="00A52AB8">
        <w:t>atlas frame</w:t>
      </w:r>
      <w:r w:rsidRPr="00A52AB8">
        <w:t xml:space="preserve"> that is removed from the D</w:t>
      </w:r>
      <w:r w:rsidR="00300B72" w:rsidRPr="00A52AB8">
        <w:t>A</w:t>
      </w:r>
      <w:r w:rsidRPr="00A52AB8">
        <w:t>B, the D</w:t>
      </w:r>
      <w:r w:rsidR="00300B72" w:rsidRPr="00A52AB8">
        <w:t>A</w:t>
      </w:r>
      <w:r w:rsidRPr="00A52AB8">
        <w:t>B fullness is decremented by one.</w:t>
      </w:r>
    </w:p>
    <w:p w14:paraId="2647D50D" w14:textId="77777777" w:rsidR="001E7DB6" w:rsidRPr="00A52AB8" w:rsidRDefault="001E7DB6">
      <w:pPr>
        <w:pStyle w:val="a3"/>
        <w:numPr>
          <w:ilvl w:val="2"/>
          <w:numId w:val="19"/>
        </w:numPr>
      </w:pPr>
      <w:bookmarkStart w:id="5136" w:name="_Toc50938966"/>
      <w:bookmarkStart w:id="5137" w:name="_Toc50938967"/>
      <w:bookmarkStart w:id="5138" w:name="_Toc50938968"/>
      <w:bookmarkStart w:id="5139" w:name="_Toc50938969"/>
      <w:bookmarkStart w:id="5140" w:name="_Toc50938970"/>
      <w:bookmarkStart w:id="5141" w:name="_Toc50938971"/>
      <w:bookmarkStart w:id="5142" w:name="_Toc50938972"/>
      <w:bookmarkStart w:id="5143" w:name="_Toc50938973"/>
      <w:bookmarkStart w:id="5144" w:name="_Toc50938974"/>
      <w:bookmarkStart w:id="5145" w:name="_Toc47886638"/>
      <w:bookmarkStart w:id="5146" w:name="_Toc47887046"/>
      <w:bookmarkStart w:id="5147" w:name="_Toc47887454"/>
      <w:bookmarkStart w:id="5148" w:name="_Toc47887862"/>
      <w:bookmarkStart w:id="5149" w:name="_Toc47951948"/>
      <w:bookmarkStart w:id="5150" w:name="_Toc47983015"/>
      <w:bookmarkStart w:id="5151" w:name="_Ref21511748"/>
      <w:bookmarkStart w:id="5152" w:name="_Ref21518364"/>
      <w:bookmarkStart w:id="5153" w:name="_Toc32860494"/>
      <w:bookmarkStart w:id="5154" w:name="_Toc52181699"/>
      <w:bookmarkEnd w:id="5136"/>
      <w:bookmarkEnd w:id="5137"/>
      <w:bookmarkEnd w:id="5138"/>
      <w:bookmarkEnd w:id="5139"/>
      <w:bookmarkEnd w:id="5140"/>
      <w:bookmarkEnd w:id="5141"/>
      <w:bookmarkEnd w:id="5142"/>
      <w:bookmarkEnd w:id="5143"/>
      <w:bookmarkEnd w:id="5144"/>
      <w:bookmarkEnd w:id="5145"/>
      <w:bookmarkEnd w:id="5146"/>
      <w:bookmarkEnd w:id="5147"/>
      <w:bookmarkEnd w:id="5148"/>
      <w:bookmarkEnd w:id="5149"/>
      <w:bookmarkEnd w:id="5150"/>
      <w:r w:rsidRPr="00A52AB8">
        <w:t>Atlas frame output</w:t>
      </w:r>
      <w:bookmarkEnd w:id="5151"/>
      <w:bookmarkEnd w:id="5152"/>
      <w:bookmarkEnd w:id="5154"/>
    </w:p>
    <w:p w14:paraId="2CC5295E" w14:textId="24620186" w:rsidR="001E7DB6" w:rsidRPr="00A52AB8" w:rsidRDefault="001E7DB6">
      <w:pPr>
        <w:tabs>
          <w:tab w:val="clear" w:pos="403"/>
          <w:tab w:val="left" w:pos="400"/>
        </w:tabs>
      </w:pPr>
      <w:bookmarkStart w:id="5155" w:name="_Hlt168807772"/>
      <w:bookmarkStart w:id="5156" w:name="_Ref36860000"/>
      <w:bookmarkStart w:id="5157" w:name="_Toc77680616"/>
      <w:bookmarkStart w:id="5158" w:name="_Toc118289214"/>
      <w:bookmarkStart w:id="5159" w:name="_Toc226456817"/>
      <w:bookmarkStart w:id="5160" w:name="_Toc248045434"/>
      <w:bookmarkStart w:id="5161" w:name="_Toc256632240"/>
      <w:bookmarkEnd w:id="5155"/>
      <w:r w:rsidRPr="00A52AB8">
        <w:t xml:space="preserve">The processes specified in this </w:t>
      </w:r>
      <w:r w:rsidR="00406A86" w:rsidRPr="00A52AB8">
        <w:t>subclause</w:t>
      </w:r>
      <w:r w:rsidRPr="00A52AB8">
        <w:t xml:space="preserve"> happen instantaneously at the CAB removal time of </w:t>
      </w:r>
      <w:r w:rsidR="00300B72" w:rsidRPr="00A52AB8">
        <w:t xml:space="preserve">the coded atlas </w:t>
      </w:r>
      <w:r w:rsidRPr="00A52AB8">
        <w:t>access unit n, Au</w:t>
      </w:r>
      <w:r w:rsidRPr="00A52AB8">
        <w:rPr>
          <w:iCs/>
        </w:rPr>
        <w:t>CabRemovalTime[</w:t>
      </w:r>
      <w:r w:rsidRPr="00A52AB8">
        <w:t> n</w:t>
      </w:r>
      <w:r w:rsidRPr="00A52AB8">
        <w:rPr>
          <w:iCs/>
        </w:rPr>
        <w:t> ]</w:t>
      </w:r>
      <w:r w:rsidRPr="00A52AB8">
        <w:t>.</w:t>
      </w:r>
    </w:p>
    <w:p w14:paraId="22D0C63B" w14:textId="58B0D6BA" w:rsidR="001E7DB6" w:rsidRPr="00A52AB8" w:rsidRDefault="001E7DB6">
      <w:pPr>
        <w:tabs>
          <w:tab w:val="clear" w:pos="403"/>
          <w:tab w:val="left" w:pos="400"/>
        </w:tabs>
      </w:pPr>
      <w:r w:rsidRPr="00A52AB8">
        <w:t>When atlas</w:t>
      </w:r>
      <w:r w:rsidR="00300B72" w:rsidRPr="00A52AB8">
        <w:t xml:space="preserve"> frame</w:t>
      </w:r>
      <w:r w:rsidRPr="00A52AB8">
        <w:t xml:space="preserve"> n has AtlasFrameOutputFlag equal to 1, its DAB output time </w:t>
      </w:r>
      <w:r w:rsidRPr="00A52AB8">
        <w:rPr>
          <w:iCs/>
        </w:rPr>
        <w:t>DabOutputTime</w:t>
      </w:r>
      <w:r w:rsidR="000B7FBC" w:rsidRPr="00A52AB8">
        <w:rPr>
          <w:iCs/>
        </w:rPr>
        <w:t>[ n ]</w:t>
      </w:r>
      <w:r w:rsidRPr="00A52AB8">
        <w:t xml:space="preserve">is derived as follows, where the variable firstAtlasFrameInBufferingPeriodFlag is equal to 1 if </w:t>
      </w:r>
      <w:r w:rsidR="00F4336E" w:rsidRPr="00A52AB8">
        <w:t xml:space="preserve">coded atlas </w:t>
      </w:r>
      <w:r w:rsidRPr="00A52AB8">
        <w:t>access unit n is the first access unit of a buffering period and 0 otherwise:</w:t>
      </w:r>
    </w:p>
    <w:p w14:paraId="3E51790F" w14:textId="037650CC" w:rsidR="003452B8" w:rsidRPr="00A52AB8" w:rsidRDefault="003452B8">
      <w:pPr>
        <w:tabs>
          <w:tab w:val="right" w:pos="403"/>
          <w:tab w:val="right" w:pos="806"/>
          <w:tab w:val="right" w:pos="1210"/>
          <w:tab w:val="right" w:pos="1613"/>
        </w:tabs>
        <w:rPr>
          <w:rFonts w:eastAsia="Malgun Gothic"/>
        </w:rPr>
      </w:pPr>
      <w:r w:rsidRPr="00A52AB8">
        <w:rPr>
          <w:iCs/>
        </w:rPr>
        <w:tab/>
      </w:r>
      <w:r w:rsidRPr="00A52AB8">
        <w:rPr>
          <w:iCs/>
        </w:rPr>
        <w:tab/>
        <w:t>DabOutputTime</w:t>
      </w:r>
      <w:r w:rsidR="000B7FBC" w:rsidRPr="00A52AB8">
        <w:rPr>
          <w:iCs/>
        </w:rPr>
        <w:t>[ n ]</w:t>
      </w:r>
      <w:r w:rsidR="00D47707" w:rsidRPr="00A52AB8">
        <w:rPr>
          <w:iCs/>
        </w:rPr>
        <w:t> = </w:t>
      </w:r>
      <w:r w:rsidRPr="00A52AB8">
        <w:rPr>
          <w:iCs/>
        </w:rPr>
        <w:t>AuCabRemovalTime</w:t>
      </w:r>
      <w:r w:rsidR="000B7FBC" w:rsidRPr="00A52AB8">
        <w:rPr>
          <w:iCs/>
        </w:rPr>
        <w:t>[ n ]</w:t>
      </w:r>
      <w:r w:rsidR="00E976E1" w:rsidRPr="00A52AB8">
        <w:rPr>
          <w:iCs/>
        </w:rPr>
        <w:t> </w:t>
      </w:r>
      <w:r w:rsidRPr="00A52AB8">
        <w:rPr>
          <w:iCs/>
        </w:rPr>
        <w:t>+</w:t>
      </w:r>
      <w:r w:rsidR="00E976E1" w:rsidRPr="00A52AB8">
        <w:rPr>
          <w:iCs/>
        </w:rPr>
        <w:t> </w:t>
      </w:r>
      <w:r w:rsidRPr="00A52AB8">
        <w:rPr>
          <w:iCs/>
        </w:rPr>
        <w:t>ClockTick</w:t>
      </w:r>
      <w:r w:rsidR="00E976E1" w:rsidRPr="00A52AB8">
        <w:rPr>
          <w:iCs/>
        </w:rPr>
        <w:t> </w:t>
      </w:r>
      <w:r w:rsidRPr="00A52AB8">
        <w:rPr>
          <w:iCs/>
        </w:rPr>
        <w:t>*</w:t>
      </w:r>
      <w:r w:rsidR="00E976E1" w:rsidRPr="00A52AB8">
        <w:rPr>
          <w:iCs/>
        </w:rPr>
        <w:t> </w:t>
      </w:r>
      <w:r w:rsidRPr="00A52AB8">
        <w:rPr>
          <w:iCs/>
        </w:rPr>
        <w:t>atlasFrameDabOutputDelay</w:t>
      </w:r>
      <w:r w:rsidRPr="00A52AB8">
        <w:rPr>
          <w:rFonts w:eastAsia="Malgun Gothic"/>
        </w:rPr>
        <w:br/>
      </w:r>
      <w:r w:rsidRPr="00A52AB8">
        <w:rPr>
          <w:iCs/>
        </w:rPr>
        <w:tab/>
      </w:r>
      <w:r w:rsidRPr="00A52AB8">
        <w:rPr>
          <w:iCs/>
        </w:rPr>
        <w:tab/>
        <w:t>if(</w:t>
      </w:r>
      <w:r w:rsidR="005F2D19" w:rsidRPr="00A52AB8">
        <w:rPr>
          <w:iCs/>
        </w:rPr>
        <w:t> </w:t>
      </w:r>
      <w:r w:rsidRPr="00A52AB8">
        <w:t>firstAtlasFrameInBufferingPeriodFlag</w:t>
      </w:r>
      <w:r w:rsidR="005F2D19" w:rsidRPr="00A52AB8">
        <w:t> </w:t>
      </w:r>
      <w:r w:rsidRPr="00A52AB8">
        <w:rPr>
          <w:iCs/>
        </w:rPr>
        <w:t>)</w:t>
      </w:r>
      <w:r w:rsidRPr="00A52AB8">
        <w:rPr>
          <w:iCs/>
        </w:rPr>
        <w:tab/>
      </w:r>
      <w:r w:rsidR="00E94FB2" w:rsidRPr="00A52AB8">
        <w:rPr>
          <w:iCs/>
        </w:rPr>
        <w:tab/>
      </w:r>
      <w:r w:rsidRPr="00A52AB8">
        <w:rPr>
          <w:iCs/>
        </w:rPr>
        <w:t>(</w:t>
      </w:r>
      <w:r w:rsidR="00AF0DE1" w:rsidRPr="00A52AB8">
        <w:rPr>
          <w:iCs/>
        </w:rPr>
        <w:t>E</w:t>
      </w:r>
      <w:r w:rsidRPr="00A52AB8">
        <w:rPr>
          <w:iCs/>
        </w:rPr>
        <w:noBreakHyphen/>
      </w:r>
      <w:r w:rsidRPr="00496A4D">
        <w:rPr>
          <w:iCs/>
        </w:rPr>
        <w:fldChar w:fldCharType="begin"/>
      </w:r>
      <w:r w:rsidRPr="00A52AB8">
        <w:rPr>
          <w:iCs/>
        </w:rPr>
        <w:instrText xml:space="preserve"> SEQ Equation \* ARABIC </w:instrText>
      </w:r>
      <w:r w:rsidRPr="00496A4D">
        <w:rPr>
          <w:iCs/>
        </w:rPr>
        <w:fldChar w:fldCharType="separate"/>
      </w:r>
      <w:r w:rsidR="00507A67">
        <w:rPr>
          <w:iCs/>
          <w:noProof/>
        </w:rPr>
        <w:t>11</w:t>
      </w:r>
      <w:r w:rsidRPr="00496A4D">
        <w:rPr>
          <w:iCs/>
        </w:rPr>
        <w:fldChar w:fldCharType="end"/>
      </w:r>
      <w:r w:rsidRPr="00A52AB8">
        <w:rPr>
          <w:iCs/>
        </w:rPr>
        <w:t>)</w:t>
      </w:r>
      <w:r w:rsidRPr="00A52AB8">
        <w:rPr>
          <w:iCs/>
        </w:rPr>
        <w:br/>
      </w:r>
      <w:r w:rsidRPr="00A52AB8">
        <w:rPr>
          <w:iCs/>
        </w:rPr>
        <w:tab/>
      </w:r>
      <w:r w:rsidRPr="00A52AB8">
        <w:rPr>
          <w:iCs/>
        </w:rPr>
        <w:tab/>
      </w:r>
      <w:r w:rsidRPr="00A52AB8">
        <w:rPr>
          <w:iCs/>
        </w:rPr>
        <w:tab/>
        <w:t>DabOutputTime</w:t>
      </w:r>
      <w:r w:rsidR="000B7FBC" w:rsidRPr="00A52AB8">
        <w:rPr>
          <w:iCs/>
        </w:rPr>
        <w:t>[ n ]</w:t>
      </w:r>
      <w:r w:rsidR="00E976E1" w:rsidRPr="00A52AB8">
        <w:t> </w:t>
      </w:r>
      <w:r w:rsidRPr="00A52AB8">
        <w:t>−</w:t>
      </w:r>
      <w:r w:rsidR="00D47707" w:rsidRPr="00A52AB8">
        <w:t>= </w:t>
      </w:r>
      <w:r w:rsidRPr="00A52AB8">
        <w:t>ClockTick</w:t>
      </w:r>
      <w:r w:rsidR="00E976E1" w:rsidRPr="00A52AB8">
        <w:t> </w:t>
      </w:r>
      <w:r w:rsidRPr="00A52AB8">
        <w:rPr>
          <w:rFonts w:cs="Lucida Console"/>
          <w:iCs/>
        </w:rPr>
        <w:t>*</w:t>
      </w:r>
      <w:r w:rsidR="00E976E1" w:rsidRPr="00A52AB8">
        <w:t> </w:t>
      </w:r>
      <w:r w:rsidRPr="00A52AB8">
        <w:t>DabDelayOffset</w:t>
      </w:r>
    </w:p>
    <w:p w14:paraId="569E140F" w14:textId="50DFE943" w:rsidR="001E7DB6" w:rsidRPr="00A52AB8" w:rsidRDefault="001E7DB6">
      <w:pPr>
        <w:rPr>
          <w:strike/>
        </w:rPr>
      </w:pPr>
      <w:r w:rsidRPr="00A52AB8">
        <w:t xml:space="preserve">where </w:t>
      </w:r>
      <w:r w:rsidRPr="00A52AB8">
        <w:rPr>
          <w:iCs/>
        </w:rPr>
        <w:t>atlasFrameDabOutputDelay</w:t>
      </w:r>
      <w:r w:rsidRPr="00A52AB8">
        <w:t xml:space="preserve"> is the value of </w:t>
      </w:r>
      <w:r w:rsidR="009D0FDA" w:rsidRPr="00A52AB8">
        <w:t>aft</w:t>
      </w:r>
      <w:r w:rsidRPr="00A52AB8">
        <w:t>_dab_output_delay</w:t>
      </w:r>
      <w:r w:rsidR="00F4336E" w:rsidRPr="00A52AB8">
        <w:t>[ Htid ]</w:t>
      </w:r>
      <w:r w:rsidRPr="00A52AB8">
        <w:t xml:space="preserve"> in the atlas frame timing SEI message associated with </w:t>
      </w:r>
      <w:r w:rsidR="00F4336E" w:rsidRPr="00A52AB8">
        <w:t xml:space="preserve">coded atlas </w:t>
      </w:r>
      <w:r w:rsidRPr="00A52AB8">
        <w:t>access unit n.</w:t>
      </w:r>
    </w:p>
    <w:p w14:paraId="0974549A" w14:textId="77777777" w:rsidR="001E7DB6" w:rsidRPr="00A52AB8" w:rsidRDefault="001E7DB6">
      <w:r w:rsidRPr="00A52AB8">
        <w:t>The output of the current atlas is specified as follows:</w:t>
      </w:r>
    </w:p>
    <w:p w14:paraId="4EDE408E" w14:textId="5EBDED84" w:rsidR="00F5416B" w:rsidRPr="00A52AB8" w:rsidRDefault="00F5416B"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If the ath_atlas_output_flag is equal to 1 for at least one atlas tile </w:t>
      </w:r>
      <w:r w:rsidR="00A41AF4" w:rsidRPr="00A52AB8">
        <w:rPr>
          <w:color w:val="000000" w:themeColor="text1"/>
        </w:rPr>
        <w:t>with tile ID equal to tileID</w:t>
      </w:r>
      <w:r w:rsidRPr="00A52AB8">
        <w:rPr>
          <w:color w:val="000000" w:themeColor="text1"/>
        </w:rPr>
        <w:t>, then the variable AtlasFrameOutputFlag is set to be equal to 1. Otherwise the variable AtlasFrameOutputFlag is set to be equal to 0.</w:t>
      </w:r>
    </w:p>
    <w:p w14:paraId="3F5F72A9" w14:textId="374DC356" w:rsidR="001E7DB6" w:rsidRPr="00A52AB8" w:rsidRDefault="001E7DB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If AtlasFrameOutputFlag is equal to 1 and DabOutputTime</w:t>
      </w:r>
      <w:r w:rsidR="000B7FBC" w:rsidRPr="00A52AB8">
        <w:rPr>
          <w:color w:val="000000" w:themeColor="text1"/>
        </w:rPr>
        <w:t>[ n ]</w:t>
      </w:r>
      <w:r w:rsidRPr="00A52AB8">
        <w:rPr>
          <w:color w:val="000000" w:themeColor="text1"/>
        </w:rPr>
        <w:t>is equal to AuCabRemovalTime[ n ], the current atlas frame is output.</w:t>
      </w:r>
    </w:p>
    <w:p w14:paraId="5AA372F7" w14:textId="27394B3A" w:rsidR="0050235C" w:rsidRPr="00A52AB8" w:rsidRDefault="001E7DB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Otherwise, if AtlasFrameOutputFlag is equal to 0, the current atlas frame is not output, but will be stored in the DAB as specified in </w:t>
      </w:r>
      <w:r w:rsidR="00406A86" w:rsidRPr="00A52AB8">
        <w:rPr>
          <w:color w:val="000000" w:themeColor="text1"/>
        </w:rPr>
        <w:t>subclause</w:t>
      </w:r>
      <w:r w:rsidRPr="00A52AB8">
        <w:rPr>
          <w:color w:val="000000" w:themeColor="text1"/>
        </w:rPr>
        <w:t> </w:t>
      </w:r>
      <w:r w:rsidR="00FF0503" w:rsidRPr="00496A4D">
        <w:rPr>
          <w:color w:val="000000" w:themeColor="text1"/>
        </w:rPr>
        <w:fldChar w:fldCharType="begin"/>
      </w:r>
      <w:r w:rsidR="00FF0503" w:rsidRPr="00A52AB8">
        <w:rPr>
          <w:color w:val="000000" w:themeColor="text1"/>
        </w:rPr>
        <w:instrText xml:space="preserve"> REF _Ref21519026 \w \h </w:instrText>
      </w:r>
      <w:r w:rsidR="00025423" w:rsidRPr="00A52AB8">
        <w:rPr>
          <w:color w:val="000000" w:themeColor="text1"/>
        </w:rPr>
        <w:instrText xml:space="preserve"> \* MERGEFORMAT </w:instrText>
      </w:r>
      <w:r w:rsidR="00FF0503" w:rsidRPr="00496A4D">
        <w:rPr>
          <w:color w:val="000000" w:themeColor="text1"/>
        </w:rPr>
      </w:r>
      <w:r w:rsidR="00FF0503" w:rsidRPr="00496A4D">
        <w:rPr>
          <w:color w:val="000000" w:themeColor="text1"/>
        </w:rPr>
        <w:fldChar w:fldCharType="separate"/>
      </w:r>
      <w:r w:rsidR="00507A67">
        <w:rPr>
          <w:color w:val="000000" w:themeColor="text1"/>
        </w:rPr>
        <w:t>E.3.4</w:t>
      </w:r>
      <w:r w:rsidR="00FF0503" w:rsidRPr="00496A4D">
        <w:rPr>
          <w:color w:val="000000" w:themeColor="text1"/>
        </w:rPr>
        <w:fldChar w:fldCharType="end"/>
      </w:r>
    </w:p>
    <w:p w14:paraId="673BA74E" w14:textId="2E47AA72" w:rsidR="001E7DB6" w:rsidRPr="00A52AB8" w:rsidRDefault="001E7DB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Otherwise (AtlasFrameOutputFlag is equal to 1 and DabOutputTime</w:t>
      </w:r>
      <w:r w:rsidR="000B7FBC" w:rsidRPr="00A52AB8">
        <w:rPr>
          <w:color w:val="000000" w:themeColor="text1"/>
        </w:rPr>
        <w:t>[ n ]</w:t>
      </w:r>
      <w:r w:rsidRPr="00A52AB8">
        <w:rPr>
          <w:color w:val="000000" w:themeColor="text1"/>
        </w:rPr>
        <w:t>is greater than AuCabRemovalTime</w:t>
      </w:r>
      <w:r w:rsidR="000B7FBC" w:rsidRPr="00A52AB8">
        <w:rPr>
          <w:color w:val="000000" w:themeColor="text1"/>
        </w:rPr>
        <w:t>[ n ]</w:t>
      </w:r>
      <w:r w:rsidRPr="00A52AB8">
        <w:rPr>
          <w:color w:val="000000" w:themeColor="text1"/>
        </w:rPr>
        <w:t xml:space="preserve">), the current atlas frame is output later and will be stored in the DAB (as specified in </w:t>
      </w:r>
      <w:r w:rsidR="00406A86" w:rsidRPr="00A52AB8">
        <w:rPr>
          <w:color w:val="000000" w:themeColor="text1"/>
        </w:rPr>
        <w:t>subclause</w:t>
      </w:r>
      <w:r w:rsidR="00FF0503" w:rsidRPr="00A52AB8">
        <w:rPr>
          <w:color w:val="000000" w:themeColor="text1"/>
        </w:rPr>
        <w:t xml:space="preserve"> </w:t>
      </w:r>
      <w:r w:rsidR="00FF0503" w:rsidRPr="00496A4D">
        <w:rPr>
          <w:color w:val="000000" w:themeColor="text1"/>
        </w:rPr>
        <w:fldChar w:fldCharType="begin"/>
      </w:r>
      <w:r w:rsidR="00FF0503" w:rsidRPr="00A52AB8">
        <w:rPr>
          <w:color w:val="000000" w:themeColor="text1"/>
        </w:rPr>
        <w:instrText xml:space="preserve"> REF _Ref21519046 \w \h </w:instrText>
      </w:r>
      <w:r w:rsidR="00025423" w:rsidRPr="00A52AB8">
        <w:rPr>
          <w:color w:val="000000" w:themeColor="text1"/>
        </w:rPr>
        <w:instrText xml:space="preserve"> \* MERGEFORMAT </w:instrText>
      </w:r>
      <w:r w:rsidR="00FF0503" w:rsidRPr="00496A4D">
        <w:rPr>
          <w:color w:val="000000" w:themeColor="text1"/>
        </w:rPr>
      </w:r>
      <w:r w:rsidR="00FF0503" w:rsidRPr="00496A4D">
        <w:rPr>
          <w:color w:val="000000" w:themeColor="text1"/>
        </w:rPr>
        <w:fldChar w:fldCharType="separate"/>
      </w:r>
      <w:r w:rsidR="00507A67">
        <w:rPr>
          <w:color w:val="000000" w:themeColor="text1"/>
        </w:rPr>
        <w:t>E.3.4</w:t>
      </w:r>
      <w:r w:rsidR="00FF0503" w:rsidRPr="00496A4D">
        <w:rPr>
          <w:color w:val="000000" w:themeColor="text1"/>
        </w:rPr>
        <w:fldChar w:fldCharType="end"/>
      </w:r>
      <w:r w:rsidRPr="00A52AB8">
        <w:rPr>
          <w:color w:val="000000" w:themeColor="text1"/>
        </w:rPr>
        <w:t>) and is output at time DabOutputTime</w:t>
      </w:r>
      <w:r w:rsidR="000B7FBC" w:rsidRPr="00A52AB8">
        <w:rPr>
          <w:color w:val="000000" w:themeColor="text1"/>
        </w:rPr>
        <w:t>[ n ]</w:t>
      </w:r>
      <w:r w:rsidRPr="00A52AB8">
        <w:rPr>
          <w:color w:val="000000" w:themeColor="text1"/>
        </w:rPr>
        <w:t>unless indicated not to be output at a time that precedes DabOutputTime[ n ].</w:t>
      </w:r>
    </w:p>
    <w:p w14:paraId="768E595D" w14:textId="77777777" w:rsidR="001E7DB6" w:rsidRPr="00A52AB8" w:rsidRDefault="001E7DB6">
      <w:r w:rsidRPr="00A52AB8">
        <w:t>When atlas frame n is</w:t>
      </w:r>
      <w:r w:rsidR="00586857" w:rsidRPr="00A52AB8">
        <w:t xml:space="preserve"> an atlas</w:t>
      </w:r>
      <w:r w:rsidRPr="00A52AB8">
        <w:t xml:space="preserve"> frame that </w:t>
      </w:r>
      <w:r w:rsidRPr="00A52AB8">
        <w:rPr>
          <w:iCs/>
        </w:rPr>
        <w:t xml:space="preserve">is output and is not the last </w:t>
      </w:r>
      <w:r w:rsidRPr="00A52AB8">
        <w:t xml:space="preserve">atlas frame </w:t>
      </w:r>
      <w:r w:rsidRPr="00A52AB8">
        <w:rPr>
          <w:iCs/>
        </w:rPr>
        <w:t>of the bitstream that is output</w:t>
      </w:r>
      <w:r w:rsidRPr="00A52AB8">
        <w:t>, the value of the variable DabOutputInterval</w:t>
      </w:r>
      <w:r w:rsidR="000B7FBC" w:rsidRPr="00A52AB8">
        <w:t>[ n ]</w:t>
      </w:r>
      <w:r w:rsidRPr="00A52AB8">
        <w:t>is derived as follows:</w:t>
      </w:r>
    </w:p>
    <w:p w14:paraId="4E07328E" w14:textId="3F2FE18A" w:rsidR="00435682" w:rsidRPr="00A52AB8" w:rsidRDefault="003A56B6" w:rsidP="00A252B5">
      <w:bookmarkStart w:id="5162" w:name="_Ref41395017"/>
      <w:r w:rsidRPr="00A52AB8">
        <w:tab/>
      </w:r>
      <w:r w:rsidR="00435682" w:rsidRPr="00A52AB8">
        <w:t>DabOutputInterval</w:t>
      </w:r>
      <w:r w:rsidR="000B7FBC" w:rsidRPr="00A52AB8">
        <w:t>[ n ]</w:t>
      </w:r>
      <w:r w:rsidRPr="00A52AB8">
        <w:t> </w:t>
      </w:r>
      <w:r w:rsidR="00435682" w:rsidRPr="00A52AB8">
        <w:t>=</w:t>
      </w:r>
      <w:r w:rsidRPr="00A52AB8">
        <w:br/>
      </w:r>
      <w:r w:rsidRPr="00A52AB8">
        <w:tab/>
      </w:r>
      <w:r w:rsidRPr="00A52AB8">
        <w:tab/>
      </w:r>
      <w:r w:rsidRPr="00A52AB8">
        <w:tab/>
      </w:r>
      <w:r w:rsidR="00435682" w:rsidRPr="00A52AB8">
        <w:t>DabOutputTime[ nextAtlasFrameInOutputOrder ]</w:t>
      </w:r>
      <w:r w:rsidRPr="00A52AB8">
        <w:t> </w:t>
      </w:r>
      <w:r w:rsidR="00435682" w:rsidRPr="00A52AB8">
        <w:t>−</w:t>
      </w:r>
      <w:r w:rsidRPr="00A52AB8">
        <w:t> </w:t>
      </w:r>
      <w:r w:rsidR="00435682" w:rsidRPr="00A52AB8">
        <w:t>DabOutputTime[ n ]</w:t>
      </w:r>
      <w:r w:rsidR="00435682" w:rsidRPr="00A52AB8">
        <w:tab/>
        <w:t>(</w:t>
      </w:r>
      <w:bookmarkStart w:id="5163" w:name="Eqn_DabOutputInterval"/>
      <w:r w:rsidR="00AF0DE1" w:rsidRPr="00A52AB8">
        <w:t>E</w:t>
      </w:r>
      <w:r w:rsidR="00435682" w:rsidRPr="00A52AB8">
        <w:noBreakHyphen/>
      </w:r>
      <w:r w:rsidR="00435682" w:rsidRPr="00496A4D">
        <w:fldChar w:fldCharType="begin"/>
      </w:r>
      <w:r w:rsidR="00435682" w:rsidRPr="00A52AB8">
        <w:instrText xml:space="preserve"> SEQ Equation \* ARABIC </w:instrText>
      </w:r>
      <w:r w:rsidR="00435682" w:rsidRPr="00496A4D">
        <w:fldChar w:fldCharType="separate"/>
      </w:r>
      <w:r w:rsidR="00507A67">
        <w:rPr>
          <w:noProof/>
        </w:rPr>
        <w:t>12</w:t>
      </w:r>
      <w:r w:rsidR="00435682" w:rsidRPr="00496A4D">
        <w:fldChar w:fldCharType="end"/>
      </w:r>
      <w:bookmarkStart w:id="5164" w:name="_Ref41391198"/>
      <w:bookmarkEnd w:id="5162"/>
      <w:bookmarkEnd w:id="5163"/>
      <w:r w:rsidR="00435682" w:rsidRPr="00A52AB8">
        <w:t>)</w:t>
      </w:r>
      <w:bookmarkEnd w:id="5164"/>
    </w:p>
    <w:p w14:paraId="052B4F7A" w14:textId="16B22DD9" w:rsidR="001E7DB6" w:rsidRPr="00A52AB8" w:rsidRDefault="001E7DB6">
      <w:r w:rsidRPr="00A52AB8">
        <w:t xml:space="preserve">where </w:t>
      </w:r>
      <w:r w:rsidRPr="00A52AB8">
        <w:rPr>
          <w:iCs/>
        </w:rPr>
        <w:t>nextAtlasFrameInOutputOrder</w:t>
      </w:r>
      <w:r w:rsidRPr="00A52AB8">
        <w:t xml:space="preserve"> is the atlas frame that follows atlas frame n in output order and has AtlasFrameOutputFlag equal to 1.</w:t>
      </w:r>
    </w:p>
    <w:p w14:paraId="69949F49" w14:textId="77777777" w:rsidR="001E7DB6" w:rsidRPr="00A52AB8" w:rsidRDefault="001E7DB6">
      <w:pPr>
        <w:pStyle w:val="a3"/>
        <w:numPr>
          <w:ilvl w:val="2"/>
          <w:numId w:val="19"/>
        </w:numPr>
      </w:pPr>
      <w:bookmarkStart w:id="5165" w:name="_Ref21519026"/>
      <w:bookmarkStart w:id="5166" w:name="_Ref21519046"/>
      <w:bookmarkStart w:id="5167" w:name="_Toc52181700"/>
      <w:r w:rsidRPr="00A52AB8">
        <w:t>Current decoded atlas frame marking and storage</w:t>
      </w:r>
      <w:bookmarkEnd w:id="5165"/>
      <w:bookmarkEnd w:id="5166"/>
      <w:bookmarkEnd w:id="5167"/>
    </w:p>
    <w:bookmarkEnd w:id="5153"/>
    <w:bookmarkEnd w:id="5156"/>
    <w:bookmarkEnd w:id="5157"/>
    <w:bookmarkEnd w:id="5158"/>
    <w:bookmarkEnd w:id="5159"/>
    <w:bookmarkEnd w:id="5160"/>
    <w:bookmarkEnd w:id="5161"/>
    <w:p w14:paraId="05AF948E" w14:textId="5A8EF7E0" w:rsidR="001E7DB6" w:rsidRPr="00A52AB8" w:rsidRDefault="001E7DB6">
      <w:r w:rsidRPr="00A52AB8">
        <w:t xml:space="preserve">The current decoded atlas frame is stored in the DAB in an empty atlas frame storage buffer, </w:t>
      </w:r>
      <w:r w:rsidR="00144D32" w:rsidRPr="00A52AB8">
        <w:t xml:space="preserve">and </w:t>
      </w:r>
      <w:r w:rsidRPr="00A52AB8">
        <w:t xml:space="preserve">the DAB fullness is incremented by one. When </w:t>
      </w:r>
      <w:r w:rsidR="00EE7BAB" w:rsidRPr="00A52AB8">
        <w:rPr>
          <w:rStyle w:val="fontstyle01"/>
          <w:rFonts w:ascii="Cambria" w:hAnsi="Cambria"/>
          <w:color w:val="000000" w:themeColor="text1"/>
          <w:sz w:val="22"/>
          <w:szCs w:val="22"/>
        </w:rPr>
        <w:t>asps_long_term_ref_atlas_frames_flag</w:t>
      </w:r>
      <w:r w:rsidR="00EE7BAB" w:rsidRPr="00A52AB8">
        <w:t xml:space="preserve"> </w:t>
      </w:r>
      <w:r w:rsidRPr="00A52AB8">
        <w:t xml:space="preserve">is equal to 1, this atlas frame is marked as "used for long-term reference". After all the </w:t>
      </w:r>
      <w:r w:rsidR="00B8075E" w:rsidRPr="00A52AB8">
        <w:t>tile</w:t>
      </w:r>
      <w:r w:rsidRPr="00A52AB8">
        <w:t>s of the current atlas frame have been decoded, this atlas frame is marked as "used for short-term reference".</w:t>
      </w:r>
    </w:p>
    <w:p w14:paraId="3BE2C7AE" w14:textId="77777777" w:rsidR="001E7DB6" w:rsidRPr="00A52AB8" w:rsidRDefault="001E7DB6">
      <w:pPr>
        <w:pStyle w:val="Note1"/>
        <w:rPr>
          <w:rFonts w:ascii="Cambria" w:hAnsi="Cambria"/>
        </w:rPr>
      </w:pPr>
      <w:r w:rsidRPr="00A52AB8">
        <w:rPr>
          <w:rFonts w:ascii="Cambria" w:hAnsi="Cambria"/>
        </w:rPr>
        <w:t xml:space="preserve">NOTE – Unless more memory than required by the level limit is available for storage of decoded atlas frames, decoders should start storing decoded parts of the current atlas frames into the DAB when the first </w:t>
      </w:r>
      <w:r w:rsidR="00B8075E" w:rsidRPr="00A52AB8">
        <w:rPr>
          <w:rFonts w:ascii="Cambria" w:hAnsi="Cambria"/>
        </w:rPr>
        <w:t>tile</w:t>
      </w:r>
      <w:r w:rsidRPr="00A52AB8">
        <w:rPr>
          <w:rFonts w:ascii="Cambria" w:hAnsi="Cambria"/>
        </w:rPr>
        <w:t xml:space="preserve"> is decoded and continue storing more decoded samples as the decoding process proceeds.</w:t>
      </w:r>
    </w:p>
    <w:p w14:paraId="06132B9E" w14:textId="77777777" w:rsidR="001E7DB6" w:rsidRPr="00A52AB8" w:rsidRDefault="001E7DB6">
      <w:pPr>
        <w:pStyle w:val="a3"/>
        <w:numPr>
          <w:ilvl w:val="2"/>
          <w:numId w:val="19"/>
        </w:numPr>
      </w:pPr>
      <w:bookmarkStart w:id="5168" w:name="_Ref50832513"/>
      <w:bookmarkStart w:id="5169" w:name="_Toc52181701"/>
      <w:r w:rsidRPr="00A52AB8">
        <w:t>Removal of atlas frames from the DAB after decoding of the current atlas frame</w:t>
      </w:r>
      <w:bookmarkEnd w:id="5168"/>
      <w:bookmarkEnd w:id="5169"/>
    </w:p>
    <w:p w14:paraId="287CF1DD" w14:textId="39048356" w:rsidR="001E7DB6" w:rsidRPr="00A52AB8" w:rsidRDefault="001E7DB6">
      <w:r w:rsidRPr="00A52AB8">
        <w:t xml:space="preserve">Immediately after decoding of the current atlas frame, at the CAB removal time of the </w:t>
      </w:r>
      <w:r w:rsidR="00F4336E" w:rsidRPr="00A52AB8">
        <w:t xml:space="preserve">coded atlas </w:t>
      </w:r>
      <w:r w:rsidRPr="00A52AB8">
        <w:t>access unit n (containing the current atlas frame), the current decoded atlas frame is removed from the DAB, and the DAB fullness is decremented by one.</w:t>
      </w:r>
    </w:p>
    <w:p w14:paraId="5C577E3B" w14:textId="77777777" w:rsidR="001E7DB6" w:rsidRPr="00A52AB8" w:rsidRDefault="001E7DB6">
      <w:pPr>
        <w:pStyle w:val="a2"/>
        <w:numPr>
          <w:ilvl w:val="1"/>
          <w:numId w:val="19"/>
        </w:numPr>
      </w:pPr>
      <w:bookmarkStart w:id="5170" w:name="_Ref21515653"/>
      <w:bookmarkStart w:id="5171" w:name="_Toc52181702"/>
      <w:r w:rsidRPr="00A52AB8">
        <w:t>Bitstream conformance</w:t>
      </w:r>
      <w:bookmarkEnd w:id="5170"/>
      <w:bookmarkEnd w:id="5171"/>
    </w:p>
    <w:p w14:paraId="23927A32" w14:textId="77777777" w:rsidR="001E7DB6" w:rsidRPr="00A52AB8" w:rsidRDefault="001E7DB6">
      <w:r w:rsidRPr="00A52AB8">
        <w:t xml:space="preserve">A bitstream of coded data conforming to </w:t>
      </w:r>
      <w:r w:rsidR="001905CC" w:rsidRPr="00A52AB8">
        <w:t>this document</w:t>
      </w:r>
      <w:r w:rsidRPr="00A52AB8">
        <w:t xml:space="preserve"> shall fulfil all requirements specified in this </w:t>
      </w:r>
      <w:r w:rsidR="00406A86" w:rsidRPr="00A52AB8">
        <w:t>subclause</w:t>
      </w:r>
      <w:r w:rsidRPr="00A52AB8">
        <w:t>.</w:t>
      </w:r>
    </w:p>
    <w:p w14:paraId="4566A50F" w14:textId="7F29AC43" w:rsidR="001E7DB6" w:rsidRPr="00A52AB8" w:rsidRDefault="001E7DB6">
      <w:r w:rsidRPr="00A52AB8">
        <w:t>The bitstream shall be constructed according to the syntax, semantics</w:t>
      </w:r>
      <w:r w:rsidR="00BB41F3" w:rsidRPr="00A52AB8">
        <w:t>,</w:t>
      </w:r>
      <w:r w:rsidRPr="00A52AB8">
        <w:t xml:space="preserve"> and constraints specified in </w:t>
      </w:r>
      <w:r w:rsidR="001905CC" w:rsidRPr="00A52AB8">
        <w:t>this document</w:t>
      </w:r>
      <w:r w:rsidRPr="00A52AB8">
        <w:t xml:space="preserve"> outside this annex.</w:t>
      </w:r>
    </w:p>
    <w:p w14:paraId="0DD70293" w14:textId="6F99F60C" w:rsidR="001E7DB6" w:rsidRPr="00A52AB8" w:rsidRDefault="001E7DB6">
      <w:r w:rsidRPr="00A52AB8">
        <w:t>The first coded atlas</w:t>
      </w:r>
      <w:r w:rsidR="00F4336E" w:rsidRPr="00A52AB8">
        <w:t xml:space="preserve"> access unit</w:t>
      </w:r>
      <w:r w:rsidRPr="00A52AB8">
        <w:t xml:space="preserve"> in a bitstream shall be an IRAP </w:t>
      </w:r>
      <w:r w:rsidR="003D47FD" w:rsidRPr="00A52AB8">
        <w:t xml:space="preserve">coded </w:t>
      </w:r>
      <w:r w:rsidRPr="00A52AB8">
        <w:t>atlas</w:t>
      </w:r>
      <w:r w:rsidR="00F73DB7" w:rsidRPr="00A52AB8">
        <w:t xml:space="preserve"> frame</w:t>
      </w:r>
      <w:r w:rsidRPr="00A52AB8">
        <w:t xml:space="preserve">, i.e., an IDR atlas frame, </w:t>
      </w:r>
      <w:r w:rsidR="00F73DB7" w:rsidRPr="00A52AB8">
        <w:t xml:space="preserve">a CRA atlas frame, </w:t>
      </w:r>
      <w:r w:rsidRPr="00A52AB8">
        <w:t xml:space="preserve">or a </w:t>
      </w:r>
      <w:r w:rsidR="00F73DB7" w:rsidRPr="00A52AB8">
        <w:t>BLA</w:t>
      </w:r>
      <w:r w:rsidRPr="00A52AB8">
        <w:t xml:space="preserve"> atlas frame.</w:t>
      </w:r>
    </w:p>
    <w:p w14:paraId="0C8A77E1" w14:textId="443040DD" w:rsidR="001E7DB6" w:rsidRPr="00A52AB8" w:rsidRDefault="001E7DB6">
      <w:r w:rsidRPr="00A52AB8">
        <w:t xml:space="preserve">The </w:t>
      </w:r>
      <w:r w:rsidR="00F4336E" w:rsidRPr="00A52AB8">
        <w:t>atlas sub-</w:t>
      </w:r>
      <w:r w:rsidRPr="00A52AB8">
        <w:t xml:space="preserve">bitstream is tested by the HRD for conformance as specified in </w:t>
      </w:r>
      <w:r w:rsidR="00406A86" w:rsidRPr="00A52AB8">
        <w:t>subclause</w:t>
      </w:r>
      <w:r w:rsidRPr="00A52AB8">
        <w:t> </w:t>
      </w:r>
      <w:r w:rsidR="00EE7BAB" w:rsidRPr="00496A4D">
        <w:fldChar w:fldCharType="begin"/>
      </w:r>
      <w:r w:rsidR="00EE7BAB" w:rsidRPr="00A52AB8">
        <w:instrText xml:space="preserve"> REF _Ref21519285 \w \h </w:instrText>
      </w:r>
      <w:r w:rsidR="00025423" w:rsidRPr="00A52AB8">
        <w:instrText xml:space="preserve"> \* MERGEFORMAT </w:instrText>
      </w:r>
      <w:r w:rsidR="00EE7BAB" w:rsidRPr="00496A4D">
        <w:fldChar w:fldCharType="separate"/>
      </w:r>
      <w:r w:rsidR="00507A67">
        <w:t>E.1</w:t>
      </w:r>
      <w:r w:rsidR="00EE7BAB" w:rsidRPr="00496A4D">
        <w:fldChar w:fldCharType="end"/>
      </w:r>
      <w:r w:rsidRPr="00A52AB8">
        <w:t>.</w:t>
      </w:r>
    </w:p>
    <w:p w14:paraId="3725A83D" w14:textId="45AEC3C7" w:rsidR="001E7DB6" w:rsidRPr="00A52AB8" w:rsidRDefault="001E7DB6">
      <w:r w:rsidRPr="00A52AB8">
        <w:t>For each current atlas frame, let the variables max</w:t>
      </w:r>
      <w:r w:rsidR="00EE7BAB" w:rsidRPr="00A52AB8">
        <w:t>AtlasFrame</w:t>
      </w:r>
      <w:r w:rsidRPr="00A52AB8">
        <w:t>OrderCnt and min</w:t>
      </w:r>
      <w:r w:rsidR="00EE7BAB" w:rsidRPr="00A52AB8">
        <w:t>AtlasFrame</w:t>
      </w:r>
      <w:r w:rsidRPr="00A52AB8">
        <w:t xml:space="preserve">OrderCnt be set equal to the maximum and the minimum, respectively, of the </w:t>
      </w:r>
      <w:r w:rsidR="003A2EB1" w:rsidRPr="00A52AB8">
        <w:t>AtlasFrmOrderCntVa</w:t>
      </w:r>
      <w:r w:rsidRPr="00A52AB8">
        <w:t>l values of the following atlas frames:</w:t>
      </w:r>
    </w:p>
    <w:p w14:paraId="3AB3FA29" w14:textId="4771637E" w:rsidR="001E7DB6" w:rsidRPr="00A52AB8" w:rsidRDefault="001E7DB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The current atlas frame.</w:t>
      </w:r>
    </w:p>
    <w:p w14:paraId="48B18502" w14:textId="5C9991E4" w:rsidR="0050235C" w:rsidRPr="00A52AB8" w:rsidRDefault="001E7DB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The previous atlas frame in decoding order</w:t>
      </w:r>
      <w:r w:rsidR="002C64F4" w:rsidRPr="00A52AB8">
        <w:t xml:space="preserve"> that has TemporalId equal to 0 and that is not a RASL, RADL, or SLNR atlas frame</w:t>
      </w:r>
    </w:p>
    <w:p w14:paraId="4025E826" w14:textId="4B7E55E1" w:rsidR="001E7DB6" w:rsidRPr="00A52AB8" w:rsidRDefault="001E7DB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The short-term reference atlas frames in the reference atlas list (RA</w:t>
      </w:r>
      <w:r w:rsidR="002C64F4" w:rsidRPr="00A52AB8">
        <w:rPr>
          <w:color w:val="000000" w:themeColor="text1"/>
        </w:rPr>
        <w:t>F</w:t>
      </w:r>
      <w:r w:rsidRPr="00A52AB8">
        <w:rPr>
          <w:color w:val="000000" w:themeColor="text1"/>
        </w:rPr>
        <w:t>L) of the current atlas frame.</w:t>
      </w:r>
    </w:p>
    <w:p w14:paraId="0947D991" w14:textId="1DBEFFF9" w:rsidR="001E7DB6" w:rsidRPr="00A52AB8" w:rsidRDefault="001E7DB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All atlas frames n that have AtlasFrameOutputFlag equal to 1, AuCabRemovalTime</w:t>
      </w:r>
      <w:r w:rsidR="000B7FBC" w:rsidRPr="00A52AB8">
        <w:rPr>
          <w:color w:val="000000" w:themeColor="text1"/>
        </w:rPr>
        <w:t>[ n ]</w:t>
      </w:r>
      <w:r w:rsidR="00AC1C60" w:rsidRPr="00A52AB8">
        <w:rPr>
          <w:color w:val="000000" w:themeColor="text1"/>
        </w:rPr>
        <w:t xml:space="preserve"> </w:t>
      </w:r>
      <w:r w:rsidRPr="00A52AB8">
        <w:rPr>
          <w:color w:val="000000" w:themeColor="text1"/>
        </w:rPr>
        <w:t>less than AuCabRemovalTime[ currAtlasFrame</w:t>
      </w:r>
      <w:r w:rsidR="00C47DB6" w:rsidRPr="00A52AB8">
        <w:rPr>
          <w:color w:val="000000" w:themeColor="text1"/>
        </w:rPr>
        <w:t> </w:t>
      </w:r>
      <w:r w:rsidRPr="00A52AB8">
        <w:rPr>
          <w:color w:val="000000" w:themeColor="text1"/>
        </w:rPr>
        <w:t>]</w:t>
      </w:r>
      <w:r w:rsidR="00AA2F65" w:rsidRPr="00A52AB8">
        <w:rPr>
          <w:color w:val="000000" w:themeColor="text1"/>
        </w:rPr>
        <w:t>,</w:t>
      </w:r>
      <w:r w:rsidRPr="00A52AB8">
        <w:rPr>
          <w:color w:val="000000" w:themeColor="text1"/>
        </w:rPr>
        <w:t xml:space="preserve"> and DabOutputTime</w:t>
      </w:r>
      <w:r w:rsidR="000B7FBC" w:rsidRPr="00A52AB8">
        <w:rPr>
          <w:color w:val="000000" w:themeColor="text1"/>
        </w:rPr>
        <w:t>[ n ]</w:t>
      </w:r>
      <w:r w:rsidR="00AA2F65" w:rsidRPr="00A52AB8">
        <w:rPr>
          <w:color w:val="000000" w:themeColor="text1"/>
        </w:rPr>
        <w:t xml:space="preserve"> </w:t>
      </w:r>
      <w:r w:rsidRPr="00A52AB8">
        <w:rPr>
          <w:color w:val="000000" w:themeColor="text1"/>
        </w:rPr>
        <w:t>greater than or equal to AuCabRemovalTime[ currAtlasFrame</w:t>
      </w:r>
      <w:r w:rsidR="00C47DB6" w:rsidRPr="00A52AB8">
        <w:rPr>
          <w:color w:val="000000" w:themeColor="text1"/>
        </w:rPr>
        <w:t> </w:t>
      </w:r>
      <w:r w:rsidRPr="00A52AB8">
        <w:rPr>
          <w:color w:val="000000" w:themeColor="text1"/>
        </w:rPr>
        <w:t>], where currAtlasFrame is the current atlas frame.</w:t>
      </w:r>
    </w:p>
    <w:p w14:paraId="24724866" w14:textId="77777777" w:rsidR="001E7DB6" w:rsidRPr="00A52AB8" w:rsidRDefault="001E7DB6">
      <w:r w:rsidRPr="00A52AB8">
        <w:t>All of the following conditions shall be fulfilled for each of the bitstream conformance tests:</w:t>
      </w:r>
    </w:p>
    <w:p w14:paraId="4F5037C9" w14:textId="44423047" w:rsidR="001E7DB6" w:rsidRPr="00A52AB8" w:rsidRDefault="001E7DB6" w:rsidP="00007BE2">
      <w:pPr>
        <w:numPr>
          <w:ilvl w:val="0"/>
          <w:numId w:val="174"/>
        </w:numPr>
        <w:tabs>
          <w:tab w:val="clear" w:pos="403"/>
          <w:tab w:val="clear" w:pos="720"/>
          <w:tab w:val="clear" w:pos="1210"/>
          <w:tab w:val="clear" w:pos="1613"/>
          <w:tab w:val="left" w:pos="600"/>
          <w:tab w:val="left" w:pos="1191"/>
          <w:tab w:val="left" w:pos="1588"/>
          <w:tab w:val="left" w:pos="1985"/>
          <w:tab w:val="num" w:pos="2300"/>
        </w:tabs>
        <w:overflowPunct w:val="0"/>
        <w:autoSpaceDE w:val="0"/>
        <w:autoSpaceDN w:val="0"/>
        <w:adjustRightInd w:val="0"/>
        <w:spacing w:before="136" w:after="120" w:line="240" w:lineRule="auto"/>
        <w:ind w:left="602" w:hanging="301"/>
      </w:pPr>
      <w:r w:rsidRPr="00A52AB8">
        <w:t xml:space="preserve">For each </w:t>
      </w:r>
      <w:r w:rsidR="00D67C10" w:rsidRPr="00A52AB8">
        <w:t xml:space="preserve">coded </w:t>
      </w:r>
      <w:r w:rsidRPr="00A52AB8">
        <w:t>atlas access unit n, with n greater than 0, associated with a buffering period SEI message, let the variable deltaTime90k</w:t>
      </w:r>
      <w:r w:rsidR="000B7FBC" w:rsidRPr="00A52AB8">
        <w:t>[ n ]</w:t>
      </w:r>
      <w:r w:rsidRPr="00A52AB8">
        <w:t>be specified as follows:</w:t>
      </w:r>
    </w:p>
    <w:p w14:paraId="537905D7" w14:textId="3DD4FA4A" w:rsidR="00435682" w:rsidRPr="00A52AB8" w:rsidRDefault="00435682" w:rsidP="00A252B5">
      <w:r w:rsidRPr="00A52AB8">
        <w:tab/>
        <w:t>deltaTime90k</w:t>
      </w:r>
      <w:r w:rsidR="000B7FBC" w:rsidRPr="00A52AB8">
        <w:t>[ n ]</w:t>
      </w:r>
      <w:r w:rsidR="00D47707" w:rsidRPr="00A52AB8">
        <w:t> = </w:t>
      </w:r>
      <w:r w:rsidRPr="00A52AB8">
        <w:t>90</w:t>
      </w:r>
      <w:r w:rsidR="00AA2F65" w:rsidRPr="00A52AB8">
        <w:t> </w:t>
      </w:r>
      <w:r w:rsidRPr="00A52AB8">
        <w:t>000</w:t>
      </w:r>
      <w:r w:rsidR="00A21A31" w:rsidRPr="00A52AB8">
        <w:t> </w:t>
      </w:r>
      <w:r w:rsidRPr="00A52AB8">
        <w:t>*</w:t>
      </w:r>
      <w:r w:rsidR="00A21A31" w:rsidRPr="00A52AB8">
        <w:t> </w:t>
      </w:r>
      <w:r w:rsidRPr="00A52AB8">
        <w:t>( AuNominalRemovalTime</w:t>
      </w:r>
      <w:r w:rsidR="000B7FBC" w:rsidRPr="00A52AB8">
        <w:t>[ n ]</w:t>
      </w:r>
      <w:r w:rsidR="00101B64" w:rsidRPr="00A52AB8">
        <w:t> </w:t>
      </w:r>
      <w:r w:rsidRPr="00A52AB8">
        <w:t>−</w:t>
      </w:r>
      <w:r w:rsidR="00101B64" w:rsidRPr="00A52AB8">
        <w:t> </w:t>
      </w:r>
      <w:r w:rsidRPr="00A52AB8">
        <w:t>AuFinalArrivalTime[ n − 1 ] )</w:t>
      </w:r>
      <w:r w:rsidRPr="00A52AB8">
        <w:tab/>
        <w:t>(</w:t>
      </w:r>
      <w:r w:rsidR="00663A64" w:rsidRPr="00A52AB8">
        <w:t>E</w:t>
      </w:r>
      <w:r w:rsidRPr="00A52AB8">
        <w:noBreakHyphen/>
      </w:r>
      <w:r w:rsidRPr="00496A4D">
        <w:fldChar w:fldCharType="begin"/>
      </w:r>
      <w:r w:rsidRPr="00A52AB8">
        <w:instrText xml:space="preserve"> SEQ Equation \* ARABIC </w:instrText>
      </w:r>
      <w:r w:rsidRPr="00496A4D">
        <w:fldChar w:fldCharType="separate"/>
      </w:r>
      <w:r w:rsidR="00507A67">
        <w:rPr>
          <w:noProof/>
        </w:rPr>
        <w:t>13</w:t>
      </w:r>
      <w:r w:rsidRPr="00496A4D">
        <w:fldChar w:fldCharType="end"/>
      </w:r>
      <w:r w:rsidRPr="00A52AB8">
        <w:t>)</w:t>
      </w:r>
    </w:p>
    <w:p w14:paraId="64E1F18E" w14:textId="7D74621B" w:rsidR="001E7DB6" w:rsidRPr="00A52AB8" w:rsidRDefault="001E7DB6" w:rsidP="00007BE2">
      <w:pPr>
        <w:pStyle w:val="Note1"/>
        <w:rPr>
          <w:rFonts w:ascii="Cambria" w:hAnsi="Cambria"/>
        </w:rPr>
      </w:pPr>
      <w:r w:rsidRPr="00A52AB8">
        <w:rPr>
          <w:rFonts w:ascii="Cambria" w:hAnsi="Cambria"/>
          <w:sz w:val="22"/>
          <w:szCs w:val="22"/>
        </w:rPr>
        <w:t>The value of InitCabRemovalDelay</w:t>
      </w:r>
      <w:r w:rsidR="00F4336E" w:rsidRPr="00A52AB8">
        <w:rPr>
          <w:rFonts w:ascii="Cambria" w:eastAsiaTheme="minorEastAsia" w:hAnsi="Cambria"/>
          <w:color w:val="000000" w:themeColor="text1"/>
          <w:sz w:val="22"/>
          <w:szCs w:val="22"/>
        </w:rPr>
        <w:t>[ Htid ]</w:t>
      </w:r>
      <w:r w:rsidRPr="00A52AB8">
        <w:rPr>
          <w:rFonts w:ascii="Cambria" w:hAnsi="Cambria"/>
          <w:sz w:val="22"/>
          <w:szCs w:val="22"/>
        </w:rPr>
        <w:t>[ SchedSelIdx ] is constrained as follows:</w:t>
      </w:r>
    </w:p>
    <w:p w14:paraId="4AFCB65E" w14:textId="4BBF17E5" w:rsidR="001E7DB6" w:rsidRPr="00A52AB8" w:rsidRDefault="001E7DB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If </w:t>
      </w:r>
      <w:r w:rsidR="00EE7BAB" w:rsidRPr="00A52AB8">
        <w:rPr>
          <w:color w:val="000000" w:themeColor="text1"/>
        </w:rPr>
        <w:t>hrd_cbr_flag</w:t>
      </w:r>
      <w:r w:rsidR="00902CA8" w:rsidRPr="00A52AB8">
        <w:rPr>
          <w:color w:val="000000" w:themeColor="text1"/>
        </w:rPr>
        <w:t>[ !NalHrdModeFlag ]</w:t>
      </w:r>
      <w:r w:rsidR="00F4336E" w:rsidRPr="00A52AB8">
        <w:rPr>
          <w:color w:val="000000" w:themeColor="text1"/>
        </w:rPr>
        <w:t>[ Htid ]</w:t>
      </w:r>
      <w:r w:rsidRPr="00A52AB8">
        <w:rPr>
          <w:color w:val="000000" w:themeColor="text1"/>
        </w:rPr>
        <w:t>[ SchedSelIdx ] is equal to 0, the following condition shall be true:</w:t>
      </w:r>
    </w:p>
    <w:p w14:paraId="5BED0F8F" w14:textId="6E9F8ECC" w:rsidR="00435682" w:rsidRPr="00A52AB8" w:rsidRDefault="00435682" w:rsidP="00A252B5">
      <w:r w:rsidRPr="00A52AB8">
        <w:tab/>
      </w:r>
      <w:r w:rsidR="009764EC" w:rsidRPr="00A52AB8">
        <w:tab/>
      </w:r>
      <w:r w:rsidRPr="00A52AB8">
        <w:t>InitCabRemovalDelay</w:t>
      </w:r>
      <w:r w:rsidR="00F4336E" w:rsidRPr="00A52AB8">
        <w:rPr>
          <w:color w:val="000000" w:themeColor="text1"/>
        </w:rPr>
        <w:t>[ Htid ]</w:t>
      </w:r>
      <w:r w:rsidRPr="00A52AB8">
        <w:t>[ SchedSelIdx </w:t>
      </w:r>
      <w:r w:rsidR="00C47DB6" w:rsidRPr="00A52AB8">
        <w:t>] </w:t>
      </w:r>
      <w:r w:rsidR="00A234FD" w:rsidRPr="00A52AB8">
        <w:t>&lt;=</w:t>
      </w:r>
      <w:r w:rsidR="00D47707" w:rsidRPr="00A52AB8">
        <w:t> </w:t>
      </w:r>
      <w:r w:rsidRPr="00A52AB8">
        <w:t>Ceil</w:t>
      </w:r>
      <w:r w:rsidR="00C47DB6" w:rsidRPr="00A52AB8">
        <w:t>( </w:t>
      </w:r>
      <w:r w:rsidRPr="00A52AB8">
        <w:t>deltaTime90k</w:t>
      </w:r>
      <w:r w:rsidR="000B7FBC" w:rsidRPr="00A52AB8">
        <w:t>[ n ]</w:t>
      </w:r>
      <w:r w:rsidR="00C47DB6" w:rsidRPr="00A52AB8">
        <w:t> </w:t>
      </w:r>
      <w:r w:rsidRPr="00A52AB8">
        <w:t>)</w:t>
      </w:r>
      <w:r w:rsidRPr="00A52AB8">
        <w:tab/>
        <w:t>(</w:t>
      </w:r>
      <w:r w:rsidR="00663A64" w:rsidRPr="00A52AB8">
        <w:t>E</w:t>
      </w:r>
      <w:r w:rsidRPr="00A52AB8">
        <w:noBreakHyphen/>
      </w:r>
      <w:r w:rsidRPr="00496A4D">
        <w:fldChar w:fldCharType="begin"/>
      </w:r>
      <w:r w:rsidRPr="00A52AB8">
        <w:instrText xml:space="preserve"> SEQ Equation \* ARABIC </w:instrText>
      </w:r>
      <w:r w:rsidRPr="00496A4D">
        <w:fldChar w:fldCharType="separate"/>
      </w:r>
      <w:r w:rsidR="00507A67">
        <w:rPr>
          <w:noProof/>
        </w:rPr>
        <w:t>14</w:t>
      </w:r>
      <w:r w:rsidRPr="00496A4D">
        <w:fldChar w:fldCharType="end"/>
      </w:r>
      <w:r w:rsidRPr="00A52AB8">
        <w:t>)</w:t>
      </w:r>
    </w:p>
    <w:p w14:paraId="307AD1DE" w14:textId="3AE7CD36" w:rsidR="001E7DB6" w:rsidRPr="00A52AB8" w:rsidRDefault="001E7DB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Otherwise (</w:t>
      </w:r>
      <w:r w:rsidR="009764EC" w:rsidRPr="00A52AB8">
        <w:rPr>
          <w:color w:val="000000" w:themeColor="text1"/>
        </w:rPr>
        <w:t> </w:t>
      </w:r>
      <w:r w:rsidR="00EE7BAB" w:rsidRPr="00A52AB8">
        <w:rPr>
          <w:color w:val="000000" w:themeColor="text1"/>
        </w:rPr>
        <w:t>hrd_cbr_flag</w:t>
      </w:r>
      <w:r w:rsidR="00902CA8" w:rsidRPr="00A52AB8">
        <w:rPr>
          <w:color w:val="000000" w:themeColor="text1"/>
        </w:rPr>
        <w:t>[ !NalHrdModeFlag ]</w:t>
      </w:r>
      <w:r w:rsidR="00F4336E" w:rsidRPr="00A52AB8">
        <w:rPr>
          <w:color w:val="000000" w:themeColor="text1"/>
        </w:rPr>
        <w:t>[ Htid ]</w:t>
      </w:r>
      <w:r w:rsidRPr="00A52AB8">
        <w:rPr>
          <w:color w:val="000000" w:themeColor="text1"/>
        </w:rPr>
        <w:t>[ SchedSelIdx ] is equal to 1</w:t>
      </w:r>
      <w:r w:rsidR="009764EC" w:rsidRPr="00A52AB8">
        <w:rPr>
          <w:color w:val="000000" w:themeColor="text1"/>
        </w:rPr>
        <w:t> </w:t>
      </w:r>
      <w:r w:rsidRPr="00A52AB8">
        <w:rPr>
          <w:color w:val="000000" w:themeColor="text1"/>
        </w:rPr>
        <w:t>), the following condition shall be true:</w:t>
      </w:r>
    </w:p>
    <w:p w14:paraId="72D20138" w14:textId="4565C5A0" w:rsidR="00435682" w:rsidRPr="00A52AB8" w:rsidRDefault="00435682" w:rsidP="00A252B5">
      <w:r w:rsidRPr="00A52AB8">
        <w:tab/>
      </w:r>
      <w:r w:rsidR="009764EC" w:rsidRPr="00A52AB8">
        <w:tab/>
      </w:r>
      <w:r w:rsidRPr="00A52AB8">
        <w:t>Floor( deltaTime90k</w:t>
      </w:r>
      <w:r w:rsidR="000B7FBC" w:rsidRPr="00A52AB8">
        <w:t>[ n </w:t>
      </w:r>
      <w:r w:rsidR="00C47DB6" w:rsidRPr="00A52AB8">
        <w:t>]) &lt;=</w:t>
      </w:r>
      <w:r w:rsidR="00C61E38" w:rsidRPr="00A52AB8">
        <w:br/>
      </w:r>
      <w:r w:rsidR="00385A12" w:rsidRPr="00A52AB8">
        <w:tab/>
      </w:r>
      <w:r w:rsidR="00385A12" w:rsidRPr="00A52AB8">
        <w:tab/>
      </w:r>
      <w:r w:rsidR="00385A12" w:rsidRPr="00A52AB8">
        <w:tab/>
      </w:r>
      <w:r w:rsidRPr="00A52AB8">
        <w:t>InitCabRemovalDelay</w:t>
      </w:r>
      <w:r w:rsidR="00F4336E" w:rsidRPr="00A52AB8">
        <w:rPr>
          <w:color w:val="000000" w:themeColor="text1"/>
        </w:rPr>
        <w:t>[ Htid ]</w:t>
      </w:r>
      <w:r w:rsidRPr="00A52AB8">
        <w:t>[ SchedSelIdx </w:t>
      </w:r>
      <w:r w:rsidR="00C47DB6" w:rsidRPr="00A52AB8">
        <w:t>] </w:t>
      </w:r>
      <w:r w:rsidR="00A234FD" w:rsidRPr="00A52AB8">
        <w:t>&lt;=</w:t>
      </w:r>
      <w:r w:rsidR="00D47707" w:rsidRPr="00A52AB8">
        <w:t> </w:t>
      </w:r>
      <w:r w:rsidRPr="00A52AB8">
        <w:t>Ceil</w:t>
      </w:r>
      <w:r w:rsidR="00C47DB6" w:rsidRPr="00A52AB8">
        <w:t>( </w:t>
      </w:r>
      <w:r w:rsidRPr="00A52AB8">
        <w:t>deltaTime90k</w:t>
      </w:r>
      <w:r w:rsidR="000B7FBC" w:rsidRPr="00A52AB8">
        <w:t>[ n ]</w:t>
      </w:r>
      <w:r w:rsidR="00C47DB6" w:rsidRPr="00A52AB8">
        <w:t> </w:t>
      </w:r>
      <w:r w:rsidRPr="00A52AB8">
        <w:t>)</w:t>
      </w:r>
      <w:r w:rsidRPr="00A52AB8">
        <w:tab/>
        <w:t>(</w:t>
      </w:r>
      <w:r w:rsidR="00663A64" w:rsidRPr="00A52AB8">
        <w:t>E</w:t>
      </w:r>
      <w:r w:rsidRPr="00A52AB8">
        <w:noBreakHyphen/>
      </w:r>
      <w:r w:rsidRPr="00496A4D">
        <w:fldChar w:fldCharType="begin"/>
      </w:r>
      <w:r w:rsidRPr="00A52AB8">
        <w:instrText xml:space="preserve"> SEQ Equation \* ARABIC </w:instrText>
      </w:r>
      <w:r w:rsidRPr="00496A4D">
        <w:fldChar w:fldCharType="separate"/>
      </w:r>
      <w:r w:rsidR="00507A67">
        <w:rPr>
          <w:noProof/>
        </w:rPr>
        <w:t>15</w:t>
      </w:r>
      <w:r w:rsidRPr="00496A4D">
        <w:fldChar w:fldCharType="end"/>
      </w:r>
      <w:r w:rsidRPr="00A52AB8">
        <w:t>)</w:t>
      </w:r>
    </w:p>
    <w:p w14:paraId="7D85BDCC" w14:textId="086E32B8" w:rsidR="001E7DB6" w:rsidRPr="00A52AB8" w:rsidRDefault="002C64F4">
      <w:pPr>
        <w:pStyle w:val="Note1"/>
        <w:rPr>
          <w:rFonts w:ascii="Cambria" w:hAnsi="Cambria"/>
        </w:rPr>
      </w:pPr>
      <w:r w:rsidRPr="00A52AB8">
        <w:rPr>
          <w:rFonts w:ascii="Cambria" w:hAnsi="Cambria"/>
        </w:rPr>
        <w:t>NOTE</w:t>
      </w:r>
      <w:r w:rsidR="00F27D5C" w:rsidRPr="00A52AB8">
        <w:rPr>
          <w:rFonts w:ascii="Cambria" w:hAnsi="Cambria"/>
        </w:rPr>
        <w:t> </w:t>
      </w:r>
      <w:r w:rsidR="00F27D5C" w:rsidRPr="00496A4D">
        <w:rPr>
          <w:rFonts w:ascii="Cambria" w:hAnsi="Cambria"/>
        </w:rPr>
        <w:fldChar w:fldCharType="begin"/>
      </w:r>
      <w:r w:rsidR="00F27D5C" w:rsidRPr="00A52AB8">
        <w:rPr>
          <w:rFonts w:ascii="Cambria" w:hAnsi="Cambria"/>
        </w:rPr>
        <w:instrText xml:space="preserve"> SEQ NoteCounter \r 1\s 9 \* MERGEFORMAT  \* MERGEFORMAT  \* MERGEFORMAT </w:instrText>
      </w:r>
      <w:r w:rsidR="00F27D5C" w:rsidRPr="00496A4D">
        <w:rPr>
          <w:rFonts w:ascii="Cambria" w:hAnsi="Cambria"/>
        </w:rPr>
        <w:fldChar w:fldCharType="separate"/>
      </w:r>
      <w:r w:rsidR="00507A67">
        <w:rPr>
          <w:rFonts w:ascii="Cambria" w:hAnsi="Cambria"/>
          <w:noProof/>
        </w:rPr>
        <w:t>1</w:t>
      </w:r>
      <w:r w:rsidR="00F27D5C" w:rsidRPr="00496A4D">
        <w:rPr>
          <w:rFonts w:ascii="Cambria" w:hAnsi="Cambria"/>
        </w:rPr>
        <w:fldChar w:fldCharType="end"/>
      </w:r>
      <w:r w:rsidR="0061288E" w:rsidRPr="00A52AB8">
        <w:rPr>
          <w:rFonts w:ascii="Cambria" w:hAnsi="Cambria"/>
        </w:rPr>
        <w:t> – </w:t>
      </w:r>
      <w:r w:rsidR="001E7DB6" w:rsidRPr="00A52AB8">
        <w:rPr>
          <w:rFonts w:ascii="Cambria" w:hAnsi="Cambria"/>
        </w:rPr>
        <w:t xml:space="preserve">The exact number of bits in the CAB at the removal time of each atlas frame </w:t>
      </w:r>
      <w:r w:rsidR="001B5576" w:rsidRPr="00A52AB8">
        <w:rPr>
          <w:rFonts w:ascii="Cambria" w:hAnsi="Cambria"/>
        </w:rPr>
        <w:t xml:space="preserve">can </w:t>
      </w:r>
      <w:r w:rsidR="001E7DB6" w:rsidRPr="00A52AB8">
        <w:rPr>
          <w:rFonts w:ascii="Cambria" w:hAnsi="Cambria"/>
        </w:rPr>
        <w:t xml:space="preserve">depend on which buffering period SEI message is selected to initialize the HRD. Encoders </w:t>
      </w:r>
      <w:r w:rsidR="00564EF6" w:rsidRPr="00A52AB8">
        <w:rPr>
          <w:rFonts w:ascii="Cambria" w:hAnsi="Cambria"/>
        </w:rPr>
        <w:t xml:space="preserve">shall </w:t>
      </w:r>
      <w:r w:rsidR="001E7DB6" w:rsidRPr="00A52AB8">
        <w:rPr>
          <w:rFonts w:ascii="Cambria" w:hAnsi="Cambria"/>
        </w:rPr>
        <w:t xml:space="preserve">take this into account to ensure that all specified constraints </w:t>
      </w:r>
      <w:r w:rsidR="00564EF6" w:rsidRPr="00A52AB8">
        <w:rPr>
          <w:rFonts w:ascii="Cambria" w:hAnsi="Cambria"/>
        </w:rPr>
        <w:t xml:space="preserve">shall </w:t>
      </w:r>
      <w:r w:rsidR="001E7DB6" w:rsidRPr="00A52AB8">
        <w:rPr>
          <w:rFonts w:ascii="Cambria" w:hAnsi="Cambria"/>
        </w:rPr>
        <w:t xml:space="preserve">be obeyed regardless of which buffering period SEI message is selected to initialize the HRD, as the HRD </w:t>
      </w:r>
      <w:r w:rsidR="001B5576" w:rsidRPr="00A52AB8">
        <w:rPr>
          <w:rFonts w:ascii="Cambria" w:hAnsi="Cambria"/>
        </w:rPr>
        <w:t xml:space="preserve">can </w:t>
      </w:r>
      <w:r w:rsidR="001E7DB6" w:rsidRPr="00A52AB8">
        <w:rPr>
          <w:rFonts w:ascii="Cambria" w:hAnsi="Cambria"/>
        </w:rPr>
        <w:t>be initialized at any one of the buffering period SEI messages.</w:t>
      </w:r>
    </w:p>
    <w:p w14:paraId="0ECF3013" w14:textId="77777777" w:rsidR="001E7DB6" w:rsidRPr="00A52AB8" w:rsidRDefault="001E7DB6" w:rsidP="001000BF">
      <w:pPr>
        <w:numPr>
          <w:ilvl w:val="0"/>
          <w:numId w:val="174"/>
        </w:numPr>
        <w:tabs>
          <w:tab w:val="clear" w:pos="403"/>
          <w:tab w:val="clear" w:pos="720"/>
          <w:tab w:val="clear" w:pos="1210"/>
          <w:tab w:val="clear" w:pos="1613"/>
          <w:tab w:val="left" w:pos="600"/>
          <w:tab w:val="left" w:pos="1191"/>
          <w:tab w:val="left" w:pos="1588"/>
          <w:tab w:val="left" w:pos="1985"/>
          <w:tab w:val="num" w:pos="2300"/>
        </w:tabs>
        <w:overflowPunct w:val="0"/>
        <w:autoSpaceDE w:val="0"/>
        <w:autoSpaceDN w:val="0"/>
        <w:adjustRightInd w:val="0"/>
        <w:spacing w:before="136" w:after="0" w:line="240" w:lineRule="auto"/>
        <w:ind w:left="600" w:hanging="300"/>
        <w:rPr>
          <w:bCs/>
          <w:iCs/>
        </w:rPr>
      </w:pPr>
      <w:r w:rsidRPr="00A52AB8">
        <w:rPr>
          <w:bCs/>
          <w:iCs/>
        </w:rPr>
        <w:t>A CAB overflow is specified as the condition in which the total number of bits in the CAB is greater than the CAB size. The CAB shall never overflow.</w:t>
      </w:r>
    </w:p>
    <w:p w14:paraId="3D741135" w14:textId="3CBA1908" w:rsidR="001E7DB6" w:rsidRPr="00A52AB8" w:rsidRDefault="001E7DB6" w:rsidP="001000BF">
      <w:pPr>
        <w:numPr>
          <w:ilvl w:val="0"/>
          <w:numId w:val="174"/>
        </w:numPr>
        <w:tabs>
          <w:tab w:val="clear" w:pos="403"/>
          <w:tab w:val="clear" w:pos="720"/>
          <w:tab w:val="clear" w:pos="1210"/>
          <w:tab w:val="clear" w:pos="1613"/>
          <w:tab w:val="left" w:pos="600"/>
          <w:tab w:val="left" w:pos="1191"/>
          <w:tab w:val="left" w:pos="1588"/>
          <w:tab w:val="left" w:pos="1985"/>
          <w:tab w:val="num" w:pos="2300"/>
        </w:tabs>
        <w:overflowPunct w:val="0"/>
        <w:autoSpaceDE w:val="0"/>
        <w:autoSpaceDN w:val="0"/>
        <w:adjustRightInd w:val="0"/>
        <w:spacing w:before="136" w:after="0" w:line="240" w:lineRule="auto"/>
        <w:ind w:left="600" w:hanging="300"/>
        <w:rPr>
          <w:bCs/>
          <w:iCs/>
        </w:rPr>
      </w:pPr>
      <w:r w:rsidRPr="00A52AB8">
        <w:rPr>
          <w:bCs/>
          <w:iCs/>
        </w:rPr>
        <w:t xml:space="preserve">When </w:t>
      </w:r>
      <w:r w:rsidR="00F4336E" w:rsidRPr="00A52AB8">
        <w:rPr>
          <w:bCs/>
          <w:iCs/>
        </w:rPr>
        <w:t>hrd_</w:t>
      </w:r>
      <w:r w:rsidRPr="00A52AB8">
        <w:rPr>
          <w:bCs/>
          <w:iCs/>
        </w:rPr>
        <w:t>low_delay_flag</w:t>
      </w:r>
      <w:r w:rsidR="00F4336E" w:rsidRPr="00A52AB8">
        <w:rPr>
          <w:color w:val="000000" w:themeColor="text1"/>
        </w:rPr>
        <w:t>[ Htid ]</w:t>
      </w:r>
      <w:r w:rsidRPr="00A52AB8">
        <w:rPr>
          <w:bCs/>
          <w:iCs/>
        </w:rPr>
        <w:t xml:space="preserve"> is equal to 0, the CAB shall never underflow. A CAB underflow is specified as follows:</w:t>
      </w:r>
    </w:p>
    <w:p w14:paraId="28C502F6" w14:textId="27BBE9D8" w:rsidR="001E7DB6" w:rsidRPr="00A52AB8" w:rsidRDefault="001E7DB6">
      <w:pPr>
        <w:pStyle w:val="enumlev1"/>
        <w:tabs>
          <w:tab w:val="clear" w:pos="794"/>
          <w:tab w:val="clear" w:pos="1191"/>
          <w:tab w:val="left" w:pos="1000"/>
        </w:tabs>
        <w:ind w:left="1000" w:hanging="400"/>
        <w:rPr>
          <w:rFonts w:ascii="Cambria" w:hAnsi="Cambria"/>
          <w:sz w:val="22"/>
          <w:szCs w:val="22"/>
        </w:rPr>
      </w:pPr>
      <w:r w:rsidRPr="00A52AB8">
        <w:rPr>
          <w:rFonts w:ascii="Cambria" w:hAnsi="Cambria"/>
          <w:bCs/>
          <w:iCs/>
          <w:sz w:val="22"/>
          <w:szCs w:val="22"/>
        </w:rPr>
        <w:t>–</w:t>
      </w:r>
      <w:r w:rsidRPr="00A52AB8">
        <w:rPr>
          <w:rFonts w:ascii="Cambria" w:hAnsi="Cambria"/>
          <w:bCs/>
          <w:iCs/>
          <w:sz w:val="22"/>
          <w:szCs w:val="22"/>
        </w:rPr>
        <w:tab/>
      </w:r>
      <w:r w:rsidRPr="00A52AB8">
        <w:rPr>
          <w:rFonts w:ascii="Cambria" w:eastAsiaTheme="minorEastAsia" w:hAnsi="Cambria"/>
          <w:color w:val="000000" w:themeColor="text1"/>
          <w:sz w:val="22"/>
          <w:szCs w:val="22"/>
        </w:rPr>
        <w:t xml:space="preserve">A CAB underflow is specified as the condition in which the nominal CAB removal time of </w:t>
      </w:r>
      <w:r w:rsidR="0045183D" w:rsidRPr="00A52AB8">
        <w:rPr>
          <w:rFonts w:ascii="Cambria" w:eastAsiaTheme="minorEastAsia" w:hAnsi="Cambria"/>
          <w:color w:val="000000" w:themeColor="text1"/>
          <w:sz w:val="22"/>
          <w:szCs w:val="22"/>
        </w:rPr>
        <w:t xml:space="preserve">the </w:t>
      </w:r>
      <w:r w:rsidR="0061288E" w:rsidRPr="00A52AB8">
        <w:rPr>
          <w:rFonts w:ascii="Cambria" w:eastAsiaTheme="minorEastAsia" w:hAnsi="Cambria"/>
          <w:color w:val="000000" w:themeColor="text1"/>
          <w:sz w:val="22"/>
          <w:szCs w:val="22"/>
        </w:rPr>
        <w:t xml:space="preserve">coded atlas </w:t>
      </w:r>
      <w:r w:rsidRPr="00A52AB8">
        <w:rPr>
          <w:rFonts w:ascii="Cambria" w:eastAsiaTheme="minorEastAsia" w:hAnsi="Cambria"/>
          <w:color w:val="000000" w:themeColor="text1"/>
          <w:sz w:val="22"/>
          <w:szCs w:val="22"/>
        </w:rPr>
        <w:t>access unit n</w:t>
      </w:r>
      <w:r w:rsidR="0045183D" w:rsidRPr="00A52AB8">
        <w:rPr>
          <w:rFonts w:ascii="Cambria" w:eastAsiaTheme="minorEastAsia" w:hAnsi="Cambria"/>
          <w:color w:val="000000" w:themeColor="text1"/>
          <w:sz w:val="22"/>
          <w:szCs w:val="22"/>
        </w:rPr>
        <w:t>,</w:t>
      </w:r>
      <w:r w:rsidRPr="00A52AB8">
        <w:rPr>
          <w:rFonts w:ascii="Cambria" w:eastAsiaTheme="minorEastAsia" w:hAnsi="Cambria"/>
          <w:color w:val="000000" w:themeColor="text1"/>
          <w:sz w:val="22"/>
          <w:szCs w:val="22"/>
        </w:rPr>
        <w:t xml:space="preserve"> AuNominalRemovalTime</w:t>
      </w:r>
      <w:r w:rsidR="000B7FBC" w:rsidRPr="00A52AB8">
        <w:rPr>
          <w:rFonts w:ascii="Cambria" w:eastAsiaTheme="minorEastAsia" w:hAnsi="Cambria"/>
          <w:color w:val="000000" w:themeColor="text1"/>
          <w:sz w:val="22"/>
          <w:szCs w:val="22"/>
        </w:rPr>
        <w:t>[ n ]</w:t>
      </w:r>
      <w:r w:rsidR="0045183D" w:rsidRPr="00A52AB8">
        <w:rPr>
          <w:rFonts w:ascii="Cambria" w:eastAsiaTheme="minorEastAsia" w:hAnsi="Cambria"/>
          <w:color w:val="000000" w:themeColor="text1"/>
          <w:sz w:val="22"/>
          <w:szCs w:val="22"/>
        </w:rPr>
        <w:t>,</w:t>
      </w:r>
      <w:r w:rsidR="009C3E18" w:rsidRPr="00A52AB8">
        <w:rPr>
          <w:rFonts w:ascii="Cambria" w:eastAsiaTheme="minorEastAsia" w:hAnsi="Cambria"/>
          <w:color w:val="000000" w:themeColor="text1"/>
          <w:sz w:val="22"/>
          <w:szCs w:val="22"/>
        </w:rPr>
        <w:t xml:space="preserve"> </w:t>
      </w:r>
      <w:r w:rsidRPr="00A52AB8">
        <w:rPr>
          <w:rFonts w:ascii="Cambria" w:eastAsiaTheme="minorEastAsia" w:hAnsi="Cambria"/>
          <w:color w:val="000000" w:themeColor="text1"/>
          <w:sz w:val="22"/>
          <w:szCs w:val="22"/>
        </w:rPr>
        <w:t xml:space="preserve">is less than the final CAB arrival time of </w:t>
      </w:r>
      <w:r w:rsidR="0045183D" w:rsidRPr="00A52AB8">
        <w:rPr>
          <w:rFonts w:ascii="Cambria" w:eastAsiaTheme="minorEastAsia" w:hAnsi="Cambria"/>
          <w:color w:val="000000" w:themeColor="text1"/>
          <w:sz w:val="22"/>
          <w:szCs w:val="22"/>
        </w:rPr>
        <w:t xml:space="preserve">the </w:t>
      </w:r>
      <w:r w:rsidR="0061288E" w:rsidRPr="00A52AB8">
        <w:rPr>
          <w:rFonts w:ascii="Cambria" w:eastAsiaTheme="minorEastAsia" w:hAnsi="Cambria"/>
          <w:color w:val="000000" w:themeColor="text1"/>
          <w:sz w:val="22"/>
          <w:szCs w:val="22"/>
        </w:rPr>
        <w:t xml:space="preserve">coded atlas </w:t>
      </w:r>
      <w:r w:rsidRPr="00A52AB8">
        <w:rPr>
          <w:rFonts w:ascii="Cambria" w:eastAsiaTheme="minorEastAsia" w:hAnsi="Cambria"/>
          <w:color w:val="000000" w:themeColor="text1"/>
          <w:sz w:val="22"/>
          <w:szCs w:val="22"/>
        </w:rPr>
        <w:t>access unit n</w:t>
      </w:r>
      <w:r w:rsidR="0045183D" w:rsidRPr="00A52AB8">
        <w:rPr>
          <w:rFonts w:ascii="Cambria" w:eastAsiaTheme="minorEastAsia" w:hAnsi="Cambria"/>
          <w:color w:val="000000" w:themeColor="text1"/>
          <w:sz w:val="22"/>
          <w:szCs w:val="22"/>
        </w:rPr>
        <w:t>,</w:t>
      </w:r>
      <w:r w:rsidRPr="00A52AB8">
        <w:rPr>
          <w:rFonts w:ascii="Cambria" w:eastAsiaTheme="minorEastAsia" w:hAnsi="Cambria"/>
          <w:color w:val="000000" w:themeColor="text1"/>
          <w:sz w:val="22"/>
          <w:szCs w:val="22"/>
        </w:rPr>
        <w:t xml:space="preserve"> AuFinalArrivalTime</w:t>
      </w:r>
      <w:r w:rsidR="000B7FBC" w:rsidRPr="00A52AB8">
        <w:rPr>
          <w:rFonts w:ascii="Cambria" w:eastAsiaTheme="minorEastAsia" w:hAnsi="Cambria"/>
          <w:color w:val="000000" w:themeColor="text1"/>
          <w:sz w:val="22"/>
          <w:szCs w:val="22"/>
        </w:rPr>
        <w:t>[ n ]</w:t>
      </w:r>
      <w:r w:rsidR="0045183D" w:rsidRPr="00A52AB8">
        <w:rPr>
          <w:rFonts w:ascii="Cambria" w:eastAsiaTheme="minorEastAsia" w:hAnsi="Cambria"/>
          <w:color w:val="000000" w:themeColor="text1"/>
          <w:sz w:val="22"/>
          <w:szCs w:val="22"/>
        </w:rPr>
        <w:t>,</w:t>
      </w:r>
      <w:r w:rsidR="009C3E18" w:rsidRPr="00A52AB8">
        <w:rPr>
          <w:rFonts w:ascii="Cambria" w:eastAsiaTheme="minorEastAsia" w:hAnsi="Cambria"/>
          <w:color w:val="000000" w:themeColor="text1"/>
          <w:sz w:val="22"/>
          <w:szCs w:val="22"/>
        </w:rPr>
        <w:t xml:space="preserve"> </w:t>
      </w:r>
      <w:r w:rsidRPr="00A52AB8">
        <w:rPr>
          <w:rFonts w:ascii="Cambria" w:eastAsiaTheme="minorEastAsia" w:hAnsi="Cambria"/>
          <w:color w:val="000000" w:themeColor="text1"/>
          <w:sz w:val="22"/>
          <w:szCs w:val="22"/>
        </w:rPr>
        <w:t>for at least one value of n.</w:t>
      </w:r>
    </w:p>
    <w:p w14:paraId="290F4FA4" w14:textId="38FB5D91" w:rsidR="001E7DB6" w:rsidRPr="00A52AB8" w:rsidRDefault="001E7DB6" w:rsidP="003B0F1F">
      <w:pPr>
        <w:numPr>
          <w:ilvl w:val="0"/>
          <w:numId w:val="174"/>
        </w:numPr>
        <w:tabs>
          <w:tab w:val="clear" w:pos="403"/>
          <w:tab w:val="clear" w:pos="720"/>
          <w:tab w:val="clear" w:pos="1210"/>
          <w:tab w:val="clear" w:pos="1613"/>
          <w:tab w:val="left" w:pos="600"/>
          <w:tab w:val="left" w:pos="1191"/>
          <w:tab w:val="left" w:pos="1588"/>
          <w:tab w:val="left" w:pos="1985"/>
          <w:tab w:val="num" w:pos="2300"/>
        </w:tabs>
        <w:overflowPunct w:val="0"/>
        <w:autoSpaceDE w:val="0"/>
        <w:autoSpaceDN w:val="0"/>
        <w:adjustRightInd w:val="0"/>
        <w:spacing w:before="136" w:after="0" w:line="240" w:lineRule="auto"/>
        <w:ind w:left="600" w:hanging="300"/>
        <w:rPr>
          <w:bCs/>
          <w:iCs/>
        </w:rPr>
      </w:pPr>
      <w:r w:rsidRPr="00A52AB8">
        <w:rPr>
          <w:bCs/>
          <w:iCs/>
        </w:rPr>
        <w:t>The nominal removal times of atlas</w:t>
      </w:r>
      <w:r w:rsidR="002A2406" w:rsidRPr="00A52AB8">
        <w:rPr>
          <w:bCs/>
          <w:iCs/>
        </w:rPr>
        <w:t xml:space="preserve"> frame</w:t>
      </w:r>
      <w:r w:rsidRPr="00A52AB8">
        <w:rPr>
          <w:bCs/>
          <w:iCs/>
        </w:rPr>
        <w:t>s from the CAB (starting from the second atlas in decoding order) shall satisfy the constraints on AuNominalRemovalTime</w:t>
      </w:r>
      <w:r w:rsidR="000B7FBC" w:rsidRPr="00A52AB8">
        <w:rPr>
          <w:bCs/>
          <w:iCs/>
        </w:rPr>
        <w:t>[ n ]</w:t>
      </w:r>
      <w:r w:rsidR="009C3E18" w:rsidRPr="00A52AB8">
        <w:rPr>
          <w:bCs/>
          <w:iCs/>
        </w:rPr>
        <w:t xml:space="preserve"> </w:t>
      </w:r>
      <w:r w:rsidRPr="00A52AB8">
        <w:rPr>
          <w:bCs/>
          <w:iCs/>
        </w:rPr>
        <w:t>and AuCabRemovalTime</w:t>
      </w:r>
      <w:r w:rsidR="000B7FBC" w:rsidRPr="00A52AB8">
        <w:rPr>
          <w:bCs/>
          <w:iCs/>
        </w:rPr>
        <w:t>[ n ]</w:t>
      </w:r>
      <w:r w:rsidR="009C3E18" w:rsidRPr="00A52AB8">
        <w:rPr>
          <w:bCs/>
          <w:iCs/>
        </w:rPr>
        <w:t xml:space="preserve"> </w:t>
      </w:r>
      <w:r w:rsidRPr="00A52AB8">
        <w:rPr>
          <w:bCs/>
          <w:iCs/>
        </w:rPr>
        <w:t>expressed in</w:t>
      </w:r>
      <w:r w:rsidR="005610B4" w:rsidRPr="00A52AB8">
        <w:t xml:space="preserve"> </w:t>
      </w:r>
      <w:r w:rsidR="005610B4" w:rsidRPr="00496A4D">
        <w:fldChar w:fldCharType="begin"/>
      </w:r>
      <w:r w:rsidR="005610B4" w:rsidRPr="00A52AB8">
        <w:instrText xml:space="preserve"> REF _Ref21508199 \w \h  \* MERGEFORMAT </w:instrText>
      </w:r>
      <w:r w:rsidR="005610B4" w:rsidRPr="00496A4D">
        <w:fldChar w:fldCharType="separate"/>
      </w:r>
      <w:r w:rsidR="00507A67">
        <w:t>Annex A</w:t>
      </w:r>
      <w:r w:rsidR="005610B4" w:rsidRPr="00496A4D">
        <w:fldChar w:fldCharType="end"/>
      </w:r>
      <w:r w:rsidRPr="00A52AB8">
        <w:rPr>
          <w:bCs/>
          <w:iCs/>
        </w:rPr>
        <w:t>.</w:t>
      </w:r>
    </w:p>
    <w:p w14:paraId="4B6F09DD" w14:textId="4CD5A0D0" w:rsidR="001E7DB6" w:rsidRPr="00A52AB8" w:rsidRDefault="001E7DB6" w:rsidP="003B0F1F">
      <w:pPr>
        <w:numPr>
          <w:ilvl w:val="0"/>
          <w:numId w:val="174"/>
        </w:numPr>
        <w:tabs>
          <w:tab w:val="clear" w:pos="403"/>
          <w:tab w:val="clear" w:pos="720"/>
          <w:tab w:val="clear" w:pos="1210"/>
          <w:tab w:val="clear" w:pos="1613"/>
          <w:tab w:val="left" w:pos="600"/>
          <w:tab w:val="left" w:pos="1191"/>
          <w:tab w:val="left" w:pos="1588"/>
          <w:tab w:val="left" w:pos="1985"/>
          <w:tab w:val="num" w:pos="2300"/>
        </w:tabs>
        <w:overflowPunct w:val="0"/>
        <w:autoSpaceDE w:val="0"/>
        <w:autoSpaceDN w:val="0"/>
        <w:adjustRightInd w:val="0"/>
        <w:spacing w:before="136" w:after="0" w:line="240" w:lineRule="auto"/>
        <w:ind w:left="600" w:hanging="300"/>
        <w:rPr>
          <w:bCs/>
          <w:iCs/>
        </w:rPr>
      </w:pPr>
      <w:r w:rsidRPr="00A52AB8">
        <w:t xml:space="preserve">For each current atlas frame, </w:t>
      </w:r>
      <w:r w:rsidRPr="00A52AB8">
        <w:rPr>
          <w:bCs/>
          <w:iCs/>
        </w:rPr>
        <w:t>after invocation of the process for removal of atlas</w:t>
      </w:r>
      <w:r w:rsidR="00606425" w:rsidRPr="00A52AB8">
        <w:rPr>
          <w:bCs/>
          <w:iCs/>
        </w:rPr>
        <w:t>e</w:t>
      </w:r>
      <w:r w:rsidRPr="00A52AB8">
        <w:rPr>
          <w:bCs/>
          <w:iCs/>
        </w:rPr>
        <w:t xml:space="preserve">s from the DAB as specified in </w:t>
      </w:r>
      <w:r w:rsidR="00406A86" w:rsidRPr="00A52AB8">
        <w:rPr>
          <w:bCs/>
          <w:iCs/>
        </w:rPr>
        <w:t>subclause</w:t>
      </w:r>
      <w:r w:rsidRPr="00A52AB8">
        <w:rPr>
          <w:bCs/>
          <w:iCs/>
        </w:rPr>
        <w:t> </w:t>
      </w:r>
      <w:r w:rsidR="005610B4" w:rsidRPr="00496A4D">
        <w:rPr>
          <w:bCs/>
          <w:iCs/>
        </w:rPr>
        <w:fldChar w:fldCharType="begin"/>
      </w:r>
      <w:r w:rsidR="005610B4" w:rsidRPr="00A52AB8">
        <w:rPr>
          <w:bCs/>
          <w:iCs/>
        </w:rPr>
        <w:instrText xml:space="preserve"> REF _Ref21519895 \w \h </w:instrText>
      </w:r>
      <w:r w:rsidR="00120245" w:rsidRPr="00A52AB8">
        <w:rPr>
          <w:bCs/>
          <w:iCs/>
        </w:rPr>
        <w:instrText xml:space="preserve"> \* MERGEFORMAT </w:instrText>
      </w:r>
      <w:r w:rsidR="005610B4" w:rsidRPr="00496A4D">
        <w:rPr>
          <w:bCs/>
          <w:iCs/>
        </w:rPr>
      </w:r>
      <w:r w:rsidR="005610B4" w:rsidRPr="00496A4D">
        <w:rPr>
          <w:bCs/>
          <w:iCs/>
        </w:rPr>
        <w:fldChar w:fldCharType="separate"/>
      </w:r>
      <w:r w:rsidR="00507A67">
        <w:rPr>
          <w:bCs/>
          <w:iCs/>
        </w:rPr>
        <w:t>E.3.2</w:t>
      </w:r>
      <w:r w:rsidR="005610B4" w:rsidRPr="00496A4D">
        <w:rPr>
          <w:bCs/>
          <w:iCs/>
        </w:rPr>
        <w:fldChar w:fldCharType="end"/>
      </w:r>
      <w:r w:rsidRPr="00A52AB8">
        <w:t>,</w:t>
      </w:r>
      <w:r w:rsidRPr="00A52AB8">
        <w:rPr>
          <w:bCs/>
          <w:iCs/>
        </w:rPr>
        <w:t xml:space="preserve"> the number of decoded atlas frames in the DAB, including all atlas frames n that are marked as "used for reference", or</w:t>
      </w:r>
      <w:r w:rsidRPr="00A52AB8">
        <w:t xml:space="preserve"> that have AtlasFrameOutputFlag equal to 1 and Au</w:t>
      </w:r>
      <w:r w:rsidRPr="00A52AB8">
        <w:rPr>
          <w:iCs/>
        </w:rPr>
        <w:t>CabRemovalTime</w:t>
      </w:r>
      <w:r w:rsidR="000B7FBC" w:rsidRPr="00A52AB8">
        <w:rPr>
          <w:iCs/>
        </w:rPr>
        <w:t>[ n ]</w:t>
      </w:r>
      <w:r w:rsidRPr="00A52AB8">
        <w:rPr>
          <w:iCs/>
        </w:rPr>
        <w:t>less than AuCabRemovalTime[</w:t>
      </w:r>
      <w:r w:rsidRPr="00A52AB8">
        <w:t> </w:t>
      </w:r>
      <w:r w:rsidRPr="00A52AB8">
        <w:rPr>
          <w:iCs/>
        </w:rPr>
        <w:t>currAtlasFrame ]</w:t>
      </w:r>
      <w:r w:rsidRPr="00A52AB8">
        <w:t xml:space="preserve">, where </w:t>
      </w:r>
      <w:r w:rsidRPr="00A52AB8">
        <w:rPr>
          <w:iCs/>
        </w:rPr>
        <w:t>currAtlasFrame</w:t>
      </w:r>
      <w:r w:rsidRPr="00A52AB8">
        <w:t xml:space="preserve"> is the current </w:t>
      </w:r>
      <w:r w:rsidRPr="00A52AB8">
        <w:rPr>
          <w:bCs/>
          <w:iCs/>
        </w:rPr>
        <w:t>atlas frame, shall be less than or equal to</w:t>
      </w:r>
      <w:r w:rsidR="00C61E38" w:rsidRPr="00A52AB8">
        <w:rPr>
          <w:bCs/>
          <w:iCs/>
        </w:rPr>
        <w:t xml:space="preserve"> </w:t>
      </w:r>
      <w:r w:rsidR="005610B4" w:rsidRPr="00A52AB8">
        <w:t>asps_max_dec_atlas_frame_buffering_minus1</w:t>
      </w:r>
      <w:r w:rsidRPr="00A52AB8">
        <w:rPr>
          <w:bCs/>
          <w:iCs/>
        </w:rPr>
        <w:t>.</w:t>
      </w:r>
    </w:p>
    <w:p w14:paraId="1C3B9717" w14:textId="707B9204" w:rsidR="009A4251" w:rsidRPr="00A52AB8" w:rsidRDefault="001E7DB6" w:rsidP="009A4251">
      <w:pPr>
        <w:numPr>
          <w:ilvl w:val="0"/>
          <w:numId w:val="174"/>
        </w:numPr>
        <w:tabs>
          <w:tab w:val="clear" w:pos="403"/>
          <w:tab w:val="clear" w:pos="720"/>
          <w:tab w:val="clear" w:pos="1210"/>
          <w:tab w:val="clear" w:pos="1613"/>
          <w:tab w:val="left" w:pos="600"/>
          <w:tab w:val="left" w:pos="1191"/>
          <w:tab w:val="left" w:pos="1588"/>
          <w:tab w:val="left" w:pos="1985"/>
          <w:tab w:val="num" w:pos="2300"/>
        </w:tabs>
        <w:overflowPunct w:val="0"/>
        <w:autoSpaceDE w:val="0"/>
        <w:autoSpaceDN w:val="0"/>
        <w:adjustRightInd w:val="0"/>
        <w:spacing w:before="136" w:after="0" w:line="240" w:lineRule="auto"/>
        <w:ind w:left="600" w:hanging="300"/>
        <w:rPr>
          <w:bCs/>
          <w:iCs/>
        </w:rPr>
      </w:pPr>
      <w:r w:rsidRPr="00A52AB8">
        <w:rPr>
          <w:bCs/>
          <w:iCs/>
        </w:rPr>
        <w:t xml:space="preserve">All reference atlas frames shall be present in the DAB when needed for prediction. Each atlas frame that has AtlasFrameOutputFlag equal to 1 shall be present in the DAB at its DAB output time unless it is removed from the DAB before its output time by one of the processes specified in </w:t>
      </w:r>
      <w:r w:rsidR="00406A86" w:rsidRPr="00A52AB8">
        <w:rPr>
          <w:bCs/>
          <w:iCs/>
        </w:rPr>
        <w:t>subclause</w:t>
      </w:r>
      <w:r w:rsidRPr="00A52AB8">
        <w:rPr>
          <w:bCs/>
          <w:iCs/>
        </w:rPr>
        <w:t> </w:t>
      </w:r>
      <w:r w:rsidR="009A4251" w:rsidRPr="00496A4D">
        <w:rPr>
          <w:bCs/>
          <w:iCs/>
        </w:rPr>
        <w:fldChar w:fldCharType="begin"/>
      </w:r>
      <w:r w:rsidR="009A4251" w:rsidRPr="00A52AB8">
        <w:rPr>
          <w:bCs/>
          <w:iCs/>
        </w:rPr>
        <w:instrText xml:space="preserve"> REF _Ref21510965 \n \h  \* MERGEFORMAT </w:instrText>
      </w:r>
      <w:r w:rsidR="009A4251" w:rsidRPr="00496A4D">
        <w:rPr>
          <w:bCs/>
          <w:iCs/>
        </w:rPr>
      </w:r>
      <w:r w:rsidR="009A4251" w:rsidRPr="00496A4D">
        <w:rPr>
          <w:bCs/>
          <w:iCs/>
        </w:rPr>
        <w:fldChar w:fldCharType="separate"/>
      </w:r>
      <w:r w:rsidR="00507A67">
        <w:rPr>
          <w:bCs/>
          <w:iCs/>
        </w:rPr>
        <w:t>E.3</w:t>
      </w:r>
      <w:r w:rsidR="009A4251" w:rsidRPr="00496A4D">
        <w:rPr>
          <w:bCs/>
          <w:iCs/>
        </w:rPr>
        <w:fldChar w:fldCharType="end"/>
      </w:r>
    </w:p>
    <w:p w14:paraId="7F6872DF" w14:textId="4AACB69D" w:rsidR="009A4251" w:rsidRPr="00A52AB8" w:rsidRDefault="009A4251" w:rsidP="00743B88">
      <w:pPr>
        <w:numPr>
          <w:ilvl w:val="0"/>
          <w:numId w:val="174"/>
        </w:numPr>
        <w:tabs>
          <w:tab w:val="clear" w:pos="403"/>
          <w:tab w:val="clear" w:pos="720"/>
          <w:tab w:val="clear" w:pos="1210"/>
          <w:tab w:val="clear" w:pos="1613"/>
          <w:tab w:val="left" w:pos="600"/>
          <w:tab w:val="left" w:pos="1191"/>
          <w:tab w:val="left" w:pos="1588"/>
          <w:tab w:val="left" w:pos="1985"/>
          <w:tab w:val="num" w:pos="2300"/>
        </w:tabs>
        <w:overflowPunct w:val="0"/>
        <w:autoSpaceDE w:val="0"/>
        <w:autoSpaceDN w:val="0"/>
        <w:adjustRightInd w:val="0"/>
        <w:spacing w:before="136" w:after="0" w:line="240" w:lineRule="auto"/>
        <w:ind w:left="600" w:hanging="300"/>
        <w:rPr>
          <w:bCs/>
          <w:iCs/>
        </w:rPr>
      </w:pPr>
      <w:r w:rsidRPr="00A52AB8">
        <w:rPr>
          <w:bCs/>
          <w:iCs/>
        </w:rPr>
        <w:t xml:space="preserve">For each current atlas frame that is not an IRAP </w:t>
      </w:r>
      <w:r w:rsidR="003D47FD" w:rsidRPr="00A52AB8">
        <w:rPr>
          <w:bCs/>
          <w:iCs/>
        </w:rPr>
        <w:t xml:space="preserve">coded </w:t>
      </w:r>
      <w:r w:rsidRPr="00A52AB8">
        <w:rPr>
          <w:bCs/>
          <w:iCs/>
        </w:rPr>
        <w:t xml:space="preserve">atlas frame with </w:t>
      </w:r>
      <w:r w:rsidR="001327CC" w:rsidRPr="00A52AB8">
        <w:rPr>
          <w:bCs/>
          <w:iCs/>
        </w:rPr>
        <w:t>NoOutputBeforeRecoveryFlag</w:t>
      </w:r>
      <w:r w:rsidRPr="00A52AB8">
        <w:rPr>
          <w:bCs/>
          <w:iCs/>
        </w:rPr>
        <w:t xml:space="preserve"> equal to 1, the value of max</w:t>
      </w:r>
      <w:r w:rsidR="001327CC" w:rsidRPr="00A52AB8">
        <w:rPr>
          <w:bCs/>
          <w:iCs/>
        </w:rPr>
        <w:t>AtlasFrameOrder</w:t>
      </w:r>
      <w:r w:rsidRPr="00A52AB8">
        <w:rPr>
          <w:bCs/>
          <w:iCs/>
        </w:rPr>
        <w:t>Cnt</w:t>
      </w:r>
      <w:r w:rsidR="001327CC" w:rsidRPr="00A52AB8">
        <w:rPr>
          <w:bCs/>
          <w:iCs/>
        </w:rPr>
        <w:t> </w:t>
      </w:r>
      <w:r w:rsidRPr="00A52AB8">
        <w:rPr>
          <w:bCs/>
          <w:iCs/>
        </w:rPr>
        <w:t>−</w:t>
      </w:r>
      <w:r w:rsidR="001327CC" w:rsidRPr="00A52AB8">
        <w:rPr>
          <w:bCs/>
          <w:iCs/>
        </w:rPr>
        <w:t> </w:t>
      </w:r>
      <w:r w:rsidRPr="00A52AB8">
        <w:rPr>
          <w:bCs/>
          <w:iCs/>
        </w:rPr>
        <w:t>min</w:t>
      </w:r>
      <w:r w:rsidR="001327CC" w:rsidRPr="00A52AB8">
        <w:rPr>
          <w:bCs/>
          <w:iCs/>
        </w:rPr>
        <w:t>AtlasFrame</w:t>
      </w:r>
      <w:r w:rsidRPr="00A52AB8">
        <w:rPr>
          <w:bCs/>
          <w:iCs/>
        </w:rPr>
        <w:t xml:space="preserve">OrderCnt shall be less than </w:t>
      </w:r>
      <w:r w:rsidR="001327CC" w:rsidRPr="00A52AB8">
        <w:rPr>
          <w:color w:val="000000" w:themeColor="text1"/>
        </w:rPr>
        <w:t>MaxAtlasFrmOrderCntLsb</w:t>
      </w:r>
      <w:r w:rsidR="001327CC" w:rsidRPr="00A52AB8">
        <w:rPr>
          <w:bCs/>
          <w:iCs/>
        </w:rPr>
        <w:t> </w:t>
      </w:r>
      <w:r w:rsidRPr="00A52AB8">
        <w:rPr>
          <w:bCs/>
          <w:iCs/>
        </w:rPr>
        <w:t>/</w:t>
      </w:r>
      <w:r w:rsidR="001327CC" w:rsidRPr="00A52AB8">
        <w:rPr>
          <w:bCs/>
          <w:iCs/>
        </w:rPr>
        <w:t> 2.</w:t>
      </w:r>
    </w:p>
    <w:p w14:paraId="390E7ECC" w14:textId="35A11BA9" w:rsidR="001E7DB6" w:rsidRPr="00A52AB8" w:rsidRDefault="001E7DB6" w:rsidP="003B0F1F">
      <w:pPr>
        <w:numPr>
          <w:ilvl w:val="0"/>
          <w:numId w:val="174"/>
        </w:numPr>
        <w:tabs>
          <w:tab w:val="clear" w:pos="403"/>
          <w:tab w:val="clear" w:pos="720"/>
          <w:tab w:val="clear" w:pos="1210"/>
          <w:tab w:val="clear" w:pos="1613"/>
          <w:tab w:val="left" w:pos="600"/>
          <w:tab w:val="left" w:pos="1191"/>
          <w:tab w:val="left" w:pos="1588"/>
          <w:tab w:val="left" w:pos="1985"/>
          <w:tab w:val="num" w:pos="2300"/>
        </w:tabs>
        <w:overflowPunct w:val="0"/>
        <w:autoSpaceDE w:val="0"/>
        <w:autoSpaceDN w:val="0"/>
        <w:adjustRightInd w:val="0"/>
        <w:spacing w:before="136" w:after="0" w:line="240" w:lineRule="auto"/>
        <w:ind w:left="600" w:hanging="300"/>
        <w:rPr>
          <w:bCs/>
          <w:iCs/>
        </w:rPr>
      </w:pPr>
      <w:r w:rsidRPr="00A52AB8">
        <w:rPr>
          <w:bCs/>
          <w:iCs/>
        </w:rPr>
        <w:t xml:space="preserve">The value of </w:t>
      </w:r>
      <w:r w:rsidRPr="00A52AB8">
        <w:t>DabOutputInterval</w:t>
      </w:r>
      <w:r w:rsidR="000B7FBC" w:rsidRPr="00A52AB8">
        <w:t>[ n ]</w:t>
      </w:r>
      <w:r w:rsidR="009C3E18" w:rsidRPr="00A52AB8">
        <w:t xml:space="preserve"> </w:t>
      </w:r>
      <w:r w:rsidRPr="00A52AB8">
        <w:rPr>
          <w:bCs/>
          <w:iCs/>
        </w:rPr>
        <w:t>as given by Equation</w:t>
      </w:r>
      <w:r w:rsidR="000E7540" w:rsidRPr="00A52AB8">
        <w:rPr>
          <w:bCs/>
          <w:iCs/>
        </w:rPr>
        <w:t xml:space="preserve"> </w:t>
      </w:r>
      <w:r w:rsidR="000E6E4F" w:rsidRPr="00496A4D">
        <w:fldChar w:fldCharType="begin"/>
      </w:r>
      <w:r w:rsidR="000E6E4F" w:rsidRPr="00A52AB8">
        <w:instrText xml:space="preserve"> REF Eqn_DabOutputInterval \h </w:instrText>
      </w:r>
      <w:r w:rsidR="006371AA" w:rsidRPr="00A52AB8">
        <w:instrText xml:space="preserve"> \* MERGEFORMAT </w:instrText>
      </w:r>
      <w:r w:rsidR="000E6E4F" w:rsidRPr="00496A4D">
        <w:fldChar w:fldCharType="separate"/>
      </w:r>
      <w:r w:rsidR="00507A67" w:rsidRPr="00A52AB8">
        <w:t>E</w:t>
      </w:r>
      <w:r w:rsidR="00507A67" w:rsidRPr="00A52AB8">
        <w:noBreakHyphen/>
      </w:r>
      <w:r w:rsidR="00507A67">
        <w:t>12</w:t>
      </w:r>
      <w:r w:rsidR="000E6E4F" w:rsidRPr="00496A4D">
        <w:fldChar w:fldCharType="end"/>
      </w:r>
      <w:r w:rsidRPr="00A52AB8">
        <w:rPr>
          <w:bCs/>
          <w:iCs/>
        </w:rPr>
        <w:t>, which is the difference between the output time of</w:t>
      </w:r>
      <w:r w:rsidR="00586857" w:rsidRPr="00A52AB8">
        <w:rPr>
          <w:bCs/>
          <w:iCs/>
        </w:rPr>
        <w:t xml:space="preserve"> an atlas</w:t>
      </w:r>
      <w:r w:rsidRPr="00A52AB8">
        <w:rPr>
          <w:bCs/>
          <w:iCs/>
        </w:rPr>
        <w:t xml:space="preserve"> frame and that of the first atlas frame following it in output order and having AtlasFrameOutputFlag equal to 1, shall satisfy the constraint expressed in </w:t>
      </w:r>
      <w:r w:rsidR="006F28A6" w:rsidRPr="00496A4D">
        <w:rPr>
          <w:bCs/>
          <w:iCs/>
        </w:rPr>
        <w:fldChar w:fldCharType="begin"/>
      </w:r>
      <w:r w:rsidR="006F28A6" w:rsidRPr="00A52AB8">
        <w:rPr>
          <w:bCs/>
          <w:iCs/>
        </w:rPr>
        <w:instrText xml:space="preserve"> REF _Ref21508199 \w \h </w:instrText>
      </w:r>
      <w:r w:rsidR="00120245" w:rsidRPr="00A52AB8">
        <w:rPr>
          <w:bCs/>
          <w:iCs/>
        </w:rPr>
        <w:instrText xml:space="preserve"> \* MERGEFORMAT </w:instrText>
      </w:r>
      <w:r w:rsidR="006F28A6" w:rsidRPr="00496A4D">
        <w:rPr>
          <w:bCs/>
          <w:iCs/>
        </w:rPr>
      </w:r>
      <w:r w:rsidR="006F28A6" w:rsidRPr="00496A4D">
        <w:rPr>
          <w:bCs/>
          <w:iCs/>
        </w:rPr>
        <w:fldChar w:fldCharType="separate"/>
      </w:r>
      <w:r w:rsidR="00507A67">
        <w:rPr>
          <w:bCs/>
          <w:iCs/>
        </w:rPr>
        <w:t>Annex A</w:t>
      </w:r>
      <w:r w:rsidR="006F28A6" w:rsidRPr="00496A4D">
        <w:rPr>
          <w:bCs/>
          <w:iCs/>
        </w:rPr>
        <w:fldChar w:fldCharType="end"/>
      </w:r>
      <w:r w:rsidR="006F28A6" w:rsidRPr="00A52AB8">
        <w:rPr>
          <w:bCs/>
          <w:iCs/>
        </w:rPr>
        <w:t xml:space="preserve"> </w:t>
      </w:r>
      <w:r w:rsidRPr="00A52AB8">
        <w:rPr>
          <w:bCs/>
          <w:iCs/>
        </w:rPr>
        <w:t>for the profile, tier</w:t>
      </w:r>
      <w:r w:rsidR="00AA2F65" w:rsidRPr="00A52AB8">
        <w:rPr>
          <w:bCs/>
          <w:iCs/>
        </w:rPr>
        <w:t>,</w:t>
      </w:r>
      <w:r w:rsidRPr="00A52AB8">
        <w:rPr>
          <w:bCs/>
          <w:iCs/>
        </w:rPr>
        <w:t xml:space="preserve"> and level specified in the bitstream</w:t>
      </w:r>
      <w:r w:rsidRPr="00A52AB8">
        <w:t xml:space="preserve"> using the decoding process specified in </w:t>
      </w:r>
      <w:r w:rsidR="00BD3996" w:rsidRPr="00A52AB8">
        <w:t>sub</w:t>
      </w:r>
      <w:r w:rsidRPr="00A52AB8">
        <w:t>clause </w:t>
      </w:r>
      <w:r w:rsidR="001E5EE6" w:rsidRPr="00496A4D">
        <w:fldChar w:fldCharType="begin"/>
      </w:r>
      <w:r w:rsidR="001E5EE6" w:rsidRPr="00A52AB8">
        <w:instrText xml:space="preserve"> REF _Ref516064467 \n \h </w:instrText>
      </w:r>
      <w:r w:rsidR="00FD3BDB" w:rsidRPr="00A52AB8">
        <w:instrText xml:space="preserve"> \* MERGEFORMAT </w:instrText>
      </w:r>
      <w:r w:rsidR="001E5EE6" w:rsidRPr="00496A4D">
        <w:fldChar w:fldCharType="separate"/>
      </w:r>
      <w:r w:rsidR="00507A67">
        <w:t>9.2</w:t>
      </w:r>
      <w:r w:rsidR="001E5EE6" w:rsidRPr="00496A4D">
        <w:fldChar w:fldCharType="end"/>
      </w:r>
      <w:r w:rsidR="00BD3996" w:rsidRPr="00A52AB8">
        <w:t>.</w:t>
      </w:r>
    </w:p>
    <w:p w14:paraId="7C2328A7" w14:textId="595C10EB" w:rsidR="001E7DB6" w:rsidRPr="00A52AB8" w:rsidRDefault="001E7DB6" w:rsidP="007656E5">
      <w:pPr>
        <w:numPr>
          <w:ilvl w:val="0"/>
          <w:numId w:val="174"/>
        </w:numPr>
        <w:tabs>
          <w:tab w:val="clear" w:pos="403"/>
          <w:tab w:val="clear" w:pos="720"/>
          <w:tab w:val="clear" w:pos="1210"/>
          <w:tab w:val="clear" w:pos="1613"/>
          <w:tab w:val="left" w:pos="600"/>
          <w:tab w:val="left" w:pos="1191"/>
          <w:tab w:val="left" w:pos="1588"/>
          <w:tab w:val="left" w:pos="1985"/>
          <w:tab w:val="num" w:pos="2300"/>
        </w:tabs>
        <w:overflowPunct w:val="0"/>
        <w:autoSpaceDE w:val="0"/>
        <w:autoSpaceDN w:val="0"/>
        <w:adjustRightInd w:val="0"/>
        <w:spacing w:before="136" w:line="240" w:lineRule="auto"/>
        <w:ind w:left="602" w:hanging="301"/>
        <w:rPr>
          <w:bCs/>
          <w:iCs/>
        </w:rPr>
      </w:pPr>
      <w:r w:rsidRPr="00A52AB8">
        <w:rPr>
          <w:bCs/>
          <w:iCs/>
        </w:rPr>
        <w:t xml:space="preserve">For any two </w:t>
      </w:r>
      <w:r w:rsidR="004618F1" w:rsidRPr="00A52AB8">
        <w:rPr>
          <w:bCs/>
          <w:iCs/>
        </w:rPr>
        <w:t>atlas</w:t>
      </w:r>
      <w:r w:rsidR="00772F18" w:rsidRPr="00A52AB8">
        <w:rPr>
          <w:bCs/>
          <w:iCs/>
        </w:rPr>
        <w:t xml:space="preserve"> frame</w:t>
      </w:r>
      <w:r w:rsidRPr="00A52AB8">
        <w:rPr>
          <w:bCs/>
          <w:iCs/>
        </w:rPr>
        <w:t>s m and n in the same C</w:t>
      </w:r>
      <w:r w:rsidR="006F28A6" w:rsidRPr="00A52AB8">
        <w:rPr>
          <w:bCs/>
          <w:iCs/>
        </w:rPr>
        <w:t>A</w:t>
      </w:r>
      <w:r w:rsidRPr="00A52AB8">
        <w:rPr>
          <w:bCs/>
          <w:iCs/>
        </w:rPr>
        <w:t xml:space="preserve">S, when DabOutputTime[ m ] is greater than DabOutputTime[ n ], the </w:t>
      </w:r>
      <w:r w:rsidR="003A2EB1" w:rsidRPr="00A52AB8">
        <w:rPr>
          <w:bCs/>
          <w:iCs/>
        </w:rPr>
        <w:t>AtlasFrmOrderCntVa</w:t>
      </w:r>
      <w:r w:rsidRPr="00A52AB8">
        <w:rPr>
          <w:bCs/>
          <w:iCs/>
        </w:rPr>
        <w:t xml:space="preserve">l of atlas frame m shall be greater than the </w:t>
      </w:r>
      <w:r w:rsidR="00D8762D" w:rsidRPr="00A52AB8">
        <w:rPr>
          <w:bCs/>
          <w:iCs/>
        </w:rPr>
        <w:t>Atlas</w:t>
      </w:r>
      <w:r w:rsidR="003A2EB1" w:rsidRPr="00A52AB8">
        <w:rPr>
          <w:bCs/>
          <w:iCs/>
        </w:rPr>
        <w:t>Frm</w:t>
      </w:r>
      <w:r w:rsidR="00D8762D" w:rsidRPr="00A52AB8">
        <w:rPr>
          <w:bCs/>
          <w:iCs/>
        </w:rPr>
        <w:t>Order</w:t>
      </w:r>
      <w:r w:rsidRPr="00A52AB8">
        <w:rPr>
          <w:bCs/>
          <w:iCs/>
        </w:rPr>
        <w:t xml:space="preserve">CntVal of atlas </w:t>
      </w:r>
      <w:r w:rsidR="00772F18" w:rsidRPr="00A52AB8">
        <w:rPr>
          <w:bCs/>
          <w:iCs/>
        </w:rPr>
        <w:t xml:space="preserve">frame </w:t>
      </w:r>
      <w:r w:rsidRPr="00A52AB8">
        <w:rPr>
          <w:bCs/>
          <w:iCs/>
        </w:rPr>
        <w:t>n.</w:t>
      </w:r>
    </w:p>
    <w:p w14:paraId="6BDB98FC" w14:textId="51ADF6E3" w:rsidR="001E7DB6" w:rsidRPr="00A52AB8" w:rsidRDefault="001E7DB6" w:rsidP="002D4E3F">
      <w:pPr>
        <w:pStyle w:val="Note1"/>
        <w:rPr>
          <w:rFonts w:ascii="Cambria" w:hAnsi="Cambria"/>
        </w:rPr>
      </w:pPr>
      <w:r w:rsidRPr="00A52AB8">
        <w:rPr>
          <w:rFonts w:ascii="Cambria" w:hAnsi="Cambria"/>
        </w:rPr>
        <w:t>NOTE </w:t>
      </w:r>
      <w:r w:rsidR="00F27D5C" w:rsidRPr="00496A4D">
        <w:rPr>
          <w:rFonts w:ascii="Cambria" w:hAnsi="Cambria"/>
        </w:rPr>
        <w:fldChar w:fldCharType="begin"/>
      </w:r>
      <w:r w:rsidR="00F27D5C" w:rsidRPr="00A52AB8">
        <w:rPr>
          <w:rFonts w:ascii="Cambria" w:hAnsi="Cambria"/>
        </w:rPr>
        <w:instrText xml:space="preserve"> SEQ NoteCounter</w:instrText>
      </w:r>
      <w:r w:rsidR="00F27D5C" w:rsidRPr="00A52AB8" w:rsidDel="00F27D5C">
        <w:rPr>
          <w:rFonts w:ascii="Cambria" w:hAnsi="Cambria"/>
        </w:rPr>
        <w:instrText xml:space="preserve"> </w:instrText>
      </w:r>
      <w:r w:rsidR="00F27D5C" w:rsidRPr="00A52AB8">
        <w:rPr>
          <w:rFonts w:ascii="Cambria" w:hAnsi="Cambria"/>
        </w:rPr>
        <w:instrText xml:space="preserve">\s 9 </w:instrText>
      </w:r>
      <w:r w:rsidR="00F27D5C" w:rsidRPr="00496A4D">
        <w:rPr>
          <w:rFonts w:ascii="Cambria" w:hAnsi="Cambria"/>
        </w:rPr>
        <w:fldChar w:fldCharType="separate"/>
      </w:r>
      <w:r w:rsidR="00507A67">
        <w:rPr>
          <w:rFonts w:ascii="Cambria" w:hAnsi="Cambria"/>
          <w:noProof/>
        </w:rPr>
        <w:t>2</w:t>
      </w:r>
      <w:r w:rsidR="00F27D5C" w:rsidRPr="00496A4D">
        <w:rPr>
          <w:rFonts w:ascii="Cambria" w:hAnsi="Cambria"/>
        </w:rPr>
        <w:fldChar w:fldCharType="end"/>
      </w:r>
      <w:r w:rsidR="00F27D5C" w:rsidRPr="00A52AB8">
        <w:rPr>
          <w:rFonts w:ascii="Cambria" w:hAnsi="Cambria"/>
        </w:rPr>
        <w:t> </w:t>
      </w:r>
      <w:r w:rsidRPr="00A52AB8">
        <w:rPr>
          <w:rFonts w:ascii="Cambria" w:hAnsi="Cambria"/>
        </w:rPr>
        <w:t xml:space="preserve">– All </w:t>
      </w:r>
      <w:r w:rsidR="004618F1" w:rsidRPr="00A52AB8">
        <w:rPr>
          <w:rFonts w:ascii="Cambria" w:hAnsi="Cambria"/>
        </w:rPr>
        <w:t>atlas</w:t>
      </w:r>
      <w:r w:rsidR="00772F18" w:rsidRPr="00A52AB8">
        <w:rPr>
          <w:rFonts w:ascii="Cambria" w:hAnsi="Cambria"/>
        </w:rPr>
        <w:t xml:space="preserve"> frame</w:t>
      </w:r>
      <w:r w:rsidRPr="00A52AB8">
        <w:rPr>
          <w:rFonts w:ascii="Cambria" w:hAnsi="Cambria"/>
        </w:rPr>
        <w:t xml:space="preserve">s of an earlier CAS in decoding order that are output are output before any </w:t>
      </w:r>
      <w:r w:rsidR="004618F1" w:rsidRPr="00A52AB8">
        <w:rPr>
          <w:rFonts w:ascii="Cambria" w:hAnsi="Cambria"/>
        </w:rPr>
        <w:t>atlas</w:t>
      </w:r>
      <w:r w:rsidR="00772F18" w:rsidRPr="00A52AB8">
        <w:rPr>
          <w:rFonts w:ascii="Cambria" w:hAnsi="Cambria"/>
        </w:rPr>
        <w:t xml:space="preserve"> frame</w:t>
      </w:r>
      <w:r w:rsidRPr="00A52AB8">
        <w:rPr>
          <w:rFonts w:ascii="Cambria" w:hAnsi="Cambria"/>
        </w:rPr>
        <w:t xml:space="preserve">s of a later CAS in decoding order. Within any particular CAS, the </w:t>
      </w:r>
      <w:r w:rsidR="004618F1" w:rsidRPr="00A52AB8">
        <w:rPr>
          <w:rFonts w:ascii="Cambria" w:hAnsi="Cambria"/>
        </w:rPr>
        <w:t>atlas</w:t>
      </w:r>
      <w:r w:rsidR="00772F18" w:rsidRPr="00A52AB8">
        <w:rPr>
          <w:rFonts w:ascii="Cambria" w:hAnsi="Cambria"/>
        </w:rPr>
        <w:t xml:space="preserve"> frame</w:t>
      </w:r>
      <w:r w:rsidRPr="00A52AB8">
        <w:rPr>
          <w:rFonts w:ascii="Cambria" w:hAnsi="Cambria"/>
        </w:rPr>
        <w:t xml:space="preserve">s that are output are output in increasing </w:t>
      </w:r>
      <w:r w:rsidR="00D8762D" w:rsidRPr="00A52AB8">
        <w:rPr>
          <w:rFonts w:ascii="Cambria" w:hAnsi="Cambria"/>
        </w:rPr>
        <w:t>Atlas</w:t>
      </w:r>
      <w:r w:rsidR="00F4336E" w:rsidRPr="00A52AB8">
        <w:rPr>
          <w:rFonts w:ascii="Cambria" w:hAnsi="Cambria"/>
        </w:rPr>
        <w:t>Frm</w:t>
      </w:r>
      <w:r w:rsidRPr="00A52AB8">
        <w:rPr>
          <w:rFonts w:ascii="Cambria" w:hAnsi="Cambria"/>
        </w:rPr>
        <w:t>OrderCntVal order.</w:t>
      </w:r>
    </w:p>
    <w:p w14:paraId="6288E15F" w14:textId="77777777" w:rsidR="001E7DB6" w:rsidRPr="00A52AB8" w:rsidRDefault="001E7DB6">
      <w:pPr>
        <w:pStyle w:val="a2"/>
        <w:numPr>
          <w:ilvl w:val="1"/>
          <w:numId w:val="19"/>
        </w:numPr>
      </w:pPr>
      <w:bookmarkStart w:id="5172" w:name="_Toc503777964"/>
      <w:bookmarkStart w:id="5173" w:name="_Toc501130260"/>
      <w:bookmarkStart w:id="5174" w:name="_Toc423601794"/>
      <w:bookmarkStart w:id="5175" w:name="_Toc423599290"/>
      <w:bookmarkStart w:id="5176" w:name="_Toc415476015"/>
      <w:bookmarkStart w:id="5177" w:name="_Toc317198883"/>
      <w:bookmarkStart w:id="5178" w:name="_Toc311220031"/>
      <w:bookmarkStart w:id="5179" w:name="_Toc287363883"/>
      <w:bookmarkStart w:id="5180" w:name="_Toc248045438"/>
      <w:bookmarkStart w:id="5181" w:name="_Toc226456821"/>
      <w:bookmarkStart w:id="5182" w:name="_Toc118289216"/>
      <w:bookmarkStart w:id="5183" w:name="_Toc77680620"/>
      <w:bookmarkStart w:id="5184" w:name="_Ref34233092"/>
      <w:bookmarkStart w:id="5185" w:name="_Toc52181703"/>
      <w:bookmarkEnd w:id="5125"/>
      <w:bookmarkEnd w:id="5126"/>
      <w:bookmarkEnd w:id="5127"/>
      <w:bookmarkEnd w:id="5128"/>
      <w:bookmarkEnd w:id="5129"/>
      <w:bookmarkEnd w:id="5130"/>
      <w:bookmarkEnd w:id="5131"/>
      <w:r w:rsidRPr="00A52AB8">
        <w:t>Decoder conformance</w:t>
      </w:r>
      <w:bookmarkEnd w:id="5185"/>
    </w:p>
    <w:p w14:paraId="383AF405" w14:textId="77777777" w:rsidR="001E7DB6" w:rsidRPr="00A52AB8" w:rsidRDefault="001E7DB6">
      <w:pPr>
        <w:pStyle w:val="a3"/>
        <w:numPr>
          <w:ilvl w:val="2"/>
          <w:numId w:val="19"/>
        </w:numPr>
      </w:pPr>
      <w:bookmarkStart w:id="5186" w:name="_Toc52181704"/>
      <w:r w:rsidRPr="00A52AB8">
        <w:t>General</w:t>
      </w:r>
      <w:bookmarkEnd w:id="5186"/>
    </w:p>
    <w:bookmarkEnd w:id="5172"/>
    <w:bookmarkEnd w:id="5173"/>
    <w:bookmarkEnd w:id="5174"/>
    <w:bookmarkEnd w:id="5175"/>
    <w:bookmarkEnd w:id="5176"/>
    <w:bookmarkEnd w:id="5177"/>
    <w:bookmarkEnd w:id="5178"/>
    <w:bookmarkEnd w:id="5179"/>
    <w:bookmarkEnd w:id="5180"/>
    <w:bookmarkEnd w:id="5181"/>
    <w:bookmarkEnd w:id="5182"/>
    <w:bookmarkEnd w:id="5183"/>
    <w:bookmarkEnd w:id="5184"/>
    <w:p w14:paraId="48B03CFB" w14:textId="77777777" w:rsidR="001E7DB6" w:rsidRPr="00A52AB8" w:rsidRDefault="001E7DB6">
      <w:r w:rsidRPr="00A52AB8">
        <w:t xml:space="preserve">A decoder conforming to </w:t>
      </w:r>
      <w:r w:rsidR="001905CC" w:rsidRPr="00A52AB8">
        <w:t>this document</w:t>
      </w:r>
      <w:r w:rsidRPr="00A52AB8">
        <w:t xml:space="preserve"> shall fulfil all requirements specified in this </w:t>
      </w:r>
      <w:r w:rsidR="00406A86" w:rsidRPr="00A52AB8">
        <w:t>subclause</w:t>
      </w:r>
      <w:r w:rsidRPr="00A52AB8">
        <w:t>.</w:t>
      </w:r>
    </w:p>
    <w:p w14:paraId="2C2048DE" w14:textId="20C569A9" w:rsidR="001E7DB6" w:rsidRPr="00A52AB8" w:rsidRDefault="001E7DB6">
      <w:r w:rsidRPr="00A52AB8">
        <w:t>A decoder claiming conformance to a specific profile, tier</w:t>
      </w:r>
      <w:r w:rsidR="00AA2F65" w:rsidRPr="00A52AB8">
        <w:t>,</w:t>
      </w:r>
      <w:r w:rsidRPr="00A52AB8">
        <w:t xml:space="preserve"> and level shall be able to successfully decode all atlas frame bitstreams that conform to the atlas frame bitstream conformance requirements specified in </w:t>
      </w:r>
      <w:r w:rsidR="00406A86" w:rsidRPr="00A52AB8">
        <w:t>subclause</w:t>
      </w:r>
      <w:r w:rsidRPr="00A52AB8">
        <w:t> </w:t>
      </w:r>
      <w:r w:rsidR="00D8762D" w:rsidRPr="00496A4D">
        <w:fldChar w:fldCharType="begin"/>
      </w:r>
      <w:r w:rsidR="00D8762D" w:rsidRPr="00A52AB8">
        <w:instrText xml:space="preserve"> REF _Ref21515653 \w \h </w:instrText>
      </w:r>
      <w:r w:rsidR="00025423" w:rsidRPr="00A52AB8">
        <w:instrText xml:space="preserve"> \* MERGEFORMAT </w:instrText>
      </w:r>
      <w:r w:rsidR="00D8762D" w:rsidRPr="00496A4D">
        <w:fldChar w:fldCharType="separate"/>
      </w:r>
      <w:r w:rsidR="00507A67">
        <w:t>E.4</w:t>
      </w:r>
      <w:r w:rsidR="00D8762D" w:rsidRPr="00496A4D">
        <w:fldChar w:fldCharType="end"/>
      </w:r>
      <w:r w:rsidRPr="00A52AB8">
        <w:t>, in the manner specified in</w:t>
      </w:r>
      <w:r w:rsidR="00D8762D" w:rsidRPr="00A52AB8">
        <w:t> </w:t>
      </w:r>
      <w:r w:rsidR="00D8762D" w:rsidRPr="00496A4D">
        <w:fldChar w:fldCharType="begin"/>
      </w:r>
      <w:r w:rsidR="00D8762D" w:rsidRPr="00A52AB8">
        <w:instrText xml:space="preserve"> REF _Ref21508199 \w \h </w:instrText>
      </w:r>
      <w:r w:rsidR="00025423" w:rsidRPr="00A52AB8">
        <w:instrText xml:space="preserve"> \* MERGEFORMAT </w:instrText>
      </w:r>
      <w:r w:rsidR="00D8762D" w:rsidRPr="00496A4D">
        <w:fldChar w:fldCharType="separate"/>
      </w:r>
      <w:r w:rsidR="00507A67">
        <w:t>Annex A</w:t>
      </w:r>
      <w:r w:rsidR="00D8762D" w:rsidRPr="00496A4D">
        <w:fldChar w:fldCharType="end"/>
      </w:r>
      <w:r w:rsidRPr="00A52AB8">
        <w:t xml:space="preserve">, provided that all </w:t>
      </w:r>
      <w:r w:rsidR="00AA2F65" w:rsidRPr="00A52AB8">
        <w:t xml:space="preserve">AAPSs, </w:t>
      </w:r>
      <w:r w:rsidRPr="00A52AB8">
        <w:t xml:space="preserve">ASPSs, and AFPSs referred to in the ACL NAL units and appropriate buffering period and atlas frame timing SEI messages are conveyed to the decoder, in a timely manner, either in the bitstream (by non-ACL NAL units), or by external means not specified in </w:t>
      </w:r>
      <w:r w:rsidR="00FD4C0B" w:rsidRPr="00A52AB8">
        <w:t>this document</w:t>
      </w:r>
      <w:r w:rsidRPr="00A52AB8">
        <w:t>.</w:t>
      </w:r>
    </w:p>
    <w:p w14:paraId="6D9844C3" w14:textId="6EB10CAA" w:rsidR="001E7DB6" w:rsidRPr="00A52AB8" w:rsidRDefault="001E7DB6">
      <w:r w:rsidRPr="00A52AB8">
        <w:t>When</w:t>
      </w:r>
      <w:r w:rsidR="00586857" w:rsidRPr="00A52AB8">
        <w:t xml:space="preserve"> an atlas</w:t>
      </w:r>
      <w:r w:rsidR="00131CE4" w:rsidRPr="00A52AB8">
        <w:t xml:space="preserve"> sub-</w:t>
      </w:r>
      <w:r w:rsidRPr="00A52AB8">
        <w:t xml:space="preserve">bitstream contains syntax elements that have values that are specified as reserved and it is specified that decoders shall ignore values of the syntax elements or NAL units containing the syntax elements having the reserved values, and the atlas </w:t>
      </w:r>
      <w:r w:rsidR="00131CE4" w:rsidRPr="00A52AB8">
        <w:t>sub-</w:t>
      </w:r>
      <w:r w:rsidRPr="00A52AB8">
        <w:t xml:space="preserve">bitstream is otherwise conforming to </w:t>
      </w:r>
      <w:r w:rsidR="00FD4C0B" w:rsidRPr="00A52AB8">
        <w:t>this document</w:t>
      </w:r>
      <w:r w:rsidRPr="00A52AB8">
        <w:t xml:space="preserve">, a conforming decoder shall decode the atlas </w:t>
      </w:r>
      <w:r w:rsidR="00131CE4" w:rsidRPr="00A52AB8">
        <w:t>sub-</w:t>
      </w:r>
      <w:r w:rsidRPr="00A52AB8">
        <w:t xml:space="preserve">bitstream in the same manner as it would decode a conforming atlas </w:t>
      </w:r>
      <w:r w:rsidR="00131CE4" w:rsidRPr="00A52AB8">
        <w:t>sub-</w:t>
      </w:r>
      <w:r w:rsidRPr="00A52AB8">
        <w:t>bitstream and shall ignore the syntax elements or the NAL units containing the syntax elements having the reserved values as specified.</w:t>
      </w:r>
    </w:p>
    <w:p w14:paraId="0592DE0F" w14:textId="77777777" w:rsidR="001E7DB6" w:rsidRPr="00A52AB8" w:rsidRDefault="001E7DB6">
      <w:r w:rsidRPr="00A52AB8">
        <w:t>There are two types of conformance that can be claimed by</w:t>
      </w:r>
      <w:r w:rsidR="00586857" w:rsidRPr="00A52AB8">
        <w:t xml:space="preserve"> an atlas</w:t>
      </w:r>
      <w:r w:rsidRPr="00A52AB8">
        <w:t xml:space="preserve"> frame decoder: output timing conformance and output order conformance.</w:t>
      </w:r>
    </w:p>
    <w:p w14:paraId="6E5DAA9B" w14:textId="6F46E615" w:rsidR="001E7DB6" w:rsidRPr="00A52AB8" w:rsidRDefault="001E7DB6">
      <w:r w:rsidRPr="00A52AB8">
        <w:t>To check conformance of</w:t>
      </w:r>
      <w:r w:rsidR="00586857" w:rsidRPr="00A52AB8">
        <w:t xml:space="preserve"> an atlas</w:t>
      </w:r>
      <w:r w:rsidRPr="00A52AB8">
        <w:t xml:space="preserve"> frame decoder, test bitstreams conforming to the claimed profile, tier and level, as specified in </w:t>
      </w:r>
      <w:r w:rsidR="00406A86" w:rsidRPr="00A52AB8">
        <w:t>subclause</w:t>
      </w:r>
      <w:r w:rsidRPr="00A52AB8">
        <w:t> </w:t>
      </w:r>
      <w:r w:rsidR="00D8762D" w:rsidRPr="00496A4D">
        <w:fldChar w:fldCharType="begin"/>
      </w:r>
      <w:r w:rsidR="00D8762D" w:rsidRPr="00A52AB8">
        <w:instrText xml:space="preserve"> REF _Ref21515653 \w \h </w:instrText>
      </w:r>
      <w:r w:rsidR="00025423" w:rsidRPr="00A52AB8">
        <w:instrText xml:space="preserve"> \* MERGEFORMAT </w:instrText>
      </w:r>
      <w:r w:rsidR="00D8762D" w:rsidRPr="00496A4D">
        <w:fldChar w:fldCharType="separate"/>
      </w:r>
      <w:r w:rsidR="00507A67">
        <w:t>E.4</w:t>
      </w:r>
      <w:r w:rsidR="00D8762D" w:rsidRPr="00496A4D">
        <w:fldChar w:fldCharType="end"/>
      </w:r>
      <w:r w:rsidRPr="00A52AB8">
        <w:t xml:space="preserve"> are delivered by a hypothetical atlas frame stream scheduler (HSS) both to the HRD and to the atlas frame decoder under test (DUT). All decoded atlas frames output by the HRD shall also be output by the DUT, each decoded atlas frame output by the DUT shall be</w:t>
      </w:r>
      <w:r w:rsidR="00586857" w:rsidRPr="00A52AB8">
        <w:t xml:space="preserve"> an atlas</w:t>
      </w:r>
      <w:r w:rsidRPr="00A52AB8">
        <w:t xml:space="preserve"> frame with </w:t>
      </w:r>
      <w:r w:rsidR="009D0FDA" w:rsidRPr="00A52AB8">
        <w:t>AtlasFrameOutputFlag</w:t>
      </w:r>
      <w:r w:rsidR="009D0FDA" w:rsidRPr="00A52AB8" w:rsidDel="009D0FDA">
        <w:t xml:space="preserve"> </w:t>
      </w:r>
      <w:r w:rsidRPr="00A52AB8">
        <w:t xml:space="preserve">equal to 1, and, for each such decoded atlas frame output by the DUT, the </w:t>
      </w:r>
      <w:r w:rsidR="0045183D" w:rsidRPr="00A52AB8">
        <w:t>information associated with</w:t>
      </w:r>
      <w:r w:rsidRPr="00A52AB8">
        <w:t xml:space="preserve"> all atlas </w:t>
      </w:r>
      <w:r w:rsidR="00131CE4" w:rsidRPr="00A52AB8">
        <w:t xml:space="preserve">tiles and patches </w:t>
      </w:r>
      <w:r w:rsidRPr="00A52AB8">
        <w:t xml:space="preserve">that are output shall be </w:t>
      </w:r>
      <w:r w:rsidR="0045183D" w:rsidRPr="00A52AB8">
        <w:t>equivalent</w:t>
      </w:r>
      <w:r w:rsidRPr="00A52AB8">
        <w:t xml:space="preserve"> to the </w:t>
      </w:r>
      <w:r w:rsidR="0045183D" w:rsidRPr="00A52AB8">
        <w:t>information associated with</w:t>
      </w:r>
      <w:r w:rsidRPr="00A52AB8">
        <w:t xml:space="preserve"> the atlas </w:t>
      </w:r>
      <w:r w:rsidR="00131CE4" w:rsidRPr="00A52AB8">
        <w:t>tiles and patches</w:t>
      </w:r>
      <w:r w:rsidRPr="00A52AB8">
        <w:t xml:space="preserve"> produced by the specified atlas frame decoding process.</w:t>
      </w:r>
    </w:p>
    <w:p w14:paraId="1A66EF40" w14:textId="177AFBD5" w:rsidR="001E7DB6" w:rsidRPr="00A52AB8" w:rsidRDefault="001E7DB6">
      <w:r w:rsidRPr="00A52AB8">
        <w:t xml:space="preserve">For output timing atlas frame decoder conformance, the HSS operates as described above, with delivery schedules selected only from the subset of values of SchedSelIdx for which the bit rate and CAB size are restricted as specified in </w:t>
      </w:r>
      <w:r w:rsidR="00D8762D" w:rsidRPr="00496A4D">
        <w:fldChar w:fldCharType="begin"/>
      </w:r>
      <w:r w:rsidR="00D8762D" w:rsidRPr="00A52AB8">
        <w:instrText xml:space="preserve"> REF _Ref21508199 \w \h </w:instrText>
      </w:r>
      <w:r w:rsidR="00025423" w:rsidRPr="00A52AB8">
        <w:instrText xml:space="preserve"> \* MERGEFORMAT </w:instrText>
      </w:r>
      <w:r w:rsidR="00D8762D" w:rsidRPr="00496A4D">
        <w:fldChar w:fldCharType="separate"/>
      </w:r>
      <w:r w:rsidR="00507A67">
        <w:t>Annex A</w:t>
      </w:r>
      <w:r w:rsidR="00D8762D" w:rsidRPr="00496A4D">
        <w:fldChar w:fldCharType="end"/>
      </w:r>
      <w:r w:rsidR="006806A9" w:rsidRPr="00A52AB8">
        <w:t xml:space="preserve"> </w:t>
      </w:r>
      <w:r w:rsidRPr="00A52AB8">
        <w:t>for the specified profile, tier</w:t>
      </w:r>
      <w:r w:rsidR="00EF260E" w:rsidRPr="00A52AB8">
        <w:t>,</w:t>
      </w:r>
      <w:r w:rsidRPr="00A52AB8">
        <w:t xml:space="preserve"> and level or with "interpolated" delivery schedules as specified below for which the bit rate and CAB size are restricted as specified in </w:t>
      </w:r>
      <w:r w:rsidR="00D8762D" w:rsidRPr="00496A4D">
        <w:fldChar w:fldCharType="begin"/>
      </w:r>
      <w:r w:rsidR="00D8762D" w:rsidRPr="00A52AB8">
        <w:instrText xml:space="preserve"> REF _Ref21508199 \w \h </w:instrText>
      </w:r>
      <w:r w:rsidR="00025423" w:rsidRPr="00A52AB8">
        <w:instrText xml:space="preserve"> \* MERGEFORMAT </w:instrText>
      </w:r>
      <w:r w:rsidR="00D8762D" w:rsidRPr="00496A4D">
        <w:fldChar w:fldCharType="separate"/>
      </w:r>
      <w:r w:rsidR="00507A67">
        <w:t>Annex A</w:t>
      </w:r>
      <w:r w:rsidR="00D8762D" w:rsidRPr="00496A4D">
        <w:fldChar w:fldCharType="end"/>
      </w:r>
      <w:r w:rsidRPr="00A52AB8">
        <w:t>. The same delivery schedule is used for both the HRD and the DUT.</w:t>
      </w:r>
    </w:p>
    <w:p w14:paraId="79F5364D" w14:textId="34FAC387" w:rsidR="001E7DB6" w:rsidRPr="00A52AB8" w:rsidRDefault="001E7DB6">
      <w:r w:rsidRPr="00A52AB8">
        <w:t xml:space="preserve">When the HRD parameters and the buffering period SEI messages are present with </w:t>
      </w:r>
      <w:r w:rsidR="00AD1842" w:rsidRPr="00A52AB8">
        <w:t>hrd_</w:t>
      </w:r>
      <w:r w:rsidRPr="00A52AB8">
        <w:t>cab_cnt_minus1</w:t>
      </w:r>
      <w:r w:rsidR="00F4336E" w:rsidRPr="00A52AB8">
        <w:rPr>
          <w:color w:val="000000" w:themeColor="text1"/>
        </w:rPr>
        <w:t>[ Htid ]</w:t>
      </w:r>
      <w:r w:rsidRPr="00A52AB8">
        <w:t xml:space="preserve"> greater than 0, the atlas frame decoder shall be capable of decoding the atlas </w:t>
      </w:r>
      <w:r w:rsidR="0060081F" w:rsidRPr="00A52AB8">
        <w:t>sub-</w:t>
      </w:r>
      <w:r w:rsidRPr="00A52AB8">
        <w:t xml:space="preserve">bitstream as delivered from the HSS operating using an "interpolated" delivery schedule specified as having peak bit rate r, CAB size </w:t>
      </w:r>
      <w:r w:rsidRPr="00A52AB8">
        <w:rPr>
          <w:iCs/>
        </w:rPr>
        <w:t>c</w:t>
      </w:r>
      <w:r w:rsidRPr="00A52AB8">
        <w:t>( </w:t>
      </w:r>
      <w:r w:rsidRPr="00A52AB8">
        <w:rPr>
          <w:iCs/>
        </w:rPr>
        <w:t>r </w:t>
      </w:r>
      <w:r w:rsidRPr="00A52AB8">
        <w:t>)</w:t>
      </w:r>
      <w:r w:rsidR="0045183D" w:rsidRPr="00A52AB8">
        <w:t>,</w:t>
      </w:r>
      <w:r w:rsidRPr="00A52AB8">
        <w:t xml:space="preserve"> and initial CAB removal delay ( f( r )</w:t>
      </w:r>
      <w:r w:rsidR="00EF260E" w:rsidRPr="00A52AB8">
        <w:t> </w:t>
      </w:r>
      <w:r w:rsidRPr="00A52AB8">
        <w:t>÷</w:t>
      </w:r>
      <w:r w:rsidR="00EF260E" w:rsidRPr="00A52AB8">
        <w:t> </w:t>
      </w:r>
      <w:r w:rsidRPr="00A52AB8">
        <w:t>r ) as follows:</w:t>
      </w:r>
    </w:p>
    <w:p w14:paraId="4F310FD3" w14:textId="2D9E8BF5" w:rsidR="00435682" w:rsidRPr="00A52AB8" w:rsidRDefault="00380F5A">
      <w:r w:rsidRPr="00A52AB8">
        <w:tab/>
      </w:r>
      <w:r w:rsidR="00435682" w:rsidRPr="00A52AB8">
        <w:t>α</w:t>
      </w:r>
      <w:r w:rsidR="00D47707" w:rsidRPr="00A52AB8">
        <w:t> = </w:t>
      </w:r>
      <w:r w:rsidR="00435682" w:rsidRPr="00A52AB8">
        <w:t>( r</w:t>
      </w:r>
      <w:r w:rsidRPr="00A52AB8">
        <w:t> </w:t>
      </w:r>
      <w:r w:rsidR="00EF260E" w:rsidRPr="00A52AB8">
        <w:t>–</w:t>
      </w:r>
      <w:r w:rsidRPr="00A52AB8">
        <w:t> </w:t>
      </w:r>
      <w:r w:rsidR="00435682" w:rsidRPr="00A52AB8">
        <w:t>BitRate</w:t>
      </w:r>
      <w:r w:rsidR="005E5B30" w:rsidRPr="00A52AB8">
        <w:t>[</w:t>
      </w:r>
      <w:r w:rsidR="005E5B30" w:rsidRPr="00A52AB8">
        <w:rPr>
          <w:color w:val="000000" w:themeColor="text1"/>
        </w:rPr>
        <w:t>[ !NalHrdModeFlag ]</w:t>
      </w:r>
      <w:r w:rsidR="00F4336E" w:rsidRPr="00A52AB8">
        <w:rPr>
          <w:color w:val="000000" w:themeColor="text1"/>
        </w:rPr>
        <w:t>[ Htid ]</w:t>
      </w:r>
      <w:r w:rsidR="00435682" w:rsidRPr="00A52AB8">
        <w:t>[ SchedSelIdx</w:t>
      </w:r>
      <w:r w:rsidRPr="00A52AB8">
        <w:t> </w:t>
      </w:r>
      <w:r w:rsidR="00EF260E" w:rsidRPr="00A52AB8">
        <w:t>–</w:t>
      </w:r>
      <w:r w:rsidRPr="00A52AB8">
        <w:t> </w:t>
      </w:r>
      <w:r w:rsidR="00435682" w:rsidRPr="00A52AB8">
        <w:t>1 ] )</w:t>
      </w:r>
      <w:r w:rsidRPr="00A52AB8">
        <w:t> </w:t>
      </w:r>
      <w:r w:rsidR="00435682" w:rsidRPr="00A52AB8">
        <w:t>÷</w:t>
      </w:r>
      <w:r w:rsidR="005715B7" w:rsidRPr="00A52AB8">
        <w:br/>
      </w:r>
      <w:r w:rsidR="005715B7" w:rsidRPr="00A52AB8">
        <w:tab/>
      </w:r>
      <w:r w:rsidR="005715B7" w:rsidRPr="00A52AB8">
        <w:tab/>
      </w:r>
      <w:r w:rsidR="00435682" w:rsidRPr="00A52AB8">
        <w:t>( BitRate</w:t>
      </w:r>
      <w:r w:rsidR="005E5B30" w:rsidRPr="00A52AB8">
        <w:rPr>
          <w:color w:val="000000" w:themeColor="text1"/>
        </w:rPr>
        <w:t>[ !NalHrdModeFlag ]</w:t>
      </w:r>
      <w:r w:rsidR="00F4336E" w:rsidRPr="00A52AB8">
        <w:rPr>
          <w:color w:val="000000" w:themeColor="text1"/>
        </w:rPr>
        <w:t>[ Htid ]</w:t>
      </w:r>
      <w:r w:rsidR="00435682" w:rsidRPr="00A52AB8">
        <w:t>[ SchedSelIdx ]</w:t>
      </w:r>
      <w:r w:rsidRPr="00A52AB8">
        <w:t> </w:t>
      </w:r>
      <w:r w:rsidR="00EF260E" w:rsidRPr="00A52AB8">
        <w:t>–</w:t>
      </w:r>
      <w:r w:rsidRPr="00A52AB8">
        <w:t> </w:t>
      </w:r>
      <w:r w:rsidR="005E5B30" w:rsidRPr="00A52AB8">
        <w:br/>
      </w:r>
      <w:r w:rsidR="005E5B30" w:rsidRPr="00A52AB8">
        <w:tab/>
      </w:r>
      <w:r w:rsidR="005E5B30" w:rsidRPr="00A52AB8">
        <w:tab/>
      </w:r>
      <w:r w:rsidR="005E5B30" w:rsidRPr="00A52AB8">
        <w:tab/>
      </w:r>
      <w:r w:rsidR="00435682" w:rsidRPr="00A52AB8">
        <w:t>BitRate</w:t>
      </w:r>
      <w:r w:rsidR="005E5B30" w:rsidRPr="00A52AB8">
        <w:rPr>
          <w:color w:val="000000" w:themeColor="text1"/>
        </w:rPr>
        <w:t>[ !NalHrdModeFlag ]</w:t>
      </w:r>
      <w:r w:rsidR="00F4336E" w:rsidRPr="00A52AB8">
        <w:rPr>
          <w:color w:val="000000" w:themeColor="text1"/>
        </w:rPr>
        <w:t>[ Htid ]</w:t>
      </w:r>
      <w:r w:rsidR="00435682" w:rsidRPr="00A52AB8">
        <w:t>[ SchedSelIdx</w:t>
      </w:r>
      <w:r w:rsidRPr="00A52AB8">
        <w:t> </w:t>
      </w:r>
      <w:r w:rsidR="00EF260E" w:rsidRPr="00A52AB8">
        <w:t>–</w:t>
      </w:r>
      <w:r w:rsidRPr="00A52AB8">
        <w:t> </w:t>
      </w:r>
      <w:r w:rsidR="00435682" w:rsidRPr="00A52AB8">
        <w:t>1 ] )</w:t>
      </w:r>
      <w:r w:rsidR="00435682" w:rsidRPr="00A52AB8">
        <w:tab/>
        <w:t>(</w:t>
      </w:r>
      <w:r w:rsidR="00C45A2D" w:rsidRPr="00A52AB8">
        <w:t>E</w:t>
      </w:r>
      <w:r w:rsidR="00435682" w:rsidRPr="00A52AB8">
        <w:noBreakHyphen/>
      </w:r>
      <w:r w:rsidR="00435682" w:rsidRPr="00496A4D">
        <w:fldChar w:fldCharType="begin"/>
      </w:r>
      <w:r w:rsidR="00435682" w:rsidRPr="00A52AB8">
        <w:instrText xml:space="preserve"> SEQ Equation \* ARABIC </w:instrText>
      </w:r>
      <w:r w:rsidR="00435682" w:rsidRPr="00496A4D">
        <w:fldChar w:fldCharType="separate"/>
      </w:r>
      <w:r w:rsidR="00507A67">
        <w:rPr>
          <w:noProof/>
        </w:rPr>
        <w:t>16</w:t>
      </w:r>
      <w:r w:rsidR="00435682" w:rsidRPr="00496A4D">
        <w:fldChar w:fldCharType="end"/>
      </w:r>
      <w:r w:rsidR="00435682" w:rsidRPr="00A52AB8">
        <w:t>)</w:t>
      </w:r>
    </w:p>
    <w:p w14:paraId="2838E234" w14:textId="5ED68111" w:rsidR="00435682" w:rsidRPr="00A52AB8" w:rsidRDefault="00380F5A">
      <w:r w:rsidRPr="00A52AB8">
        <w:tab/>
      </w:r>
      <w:r w:rsidR="00435682" w:rsidRPr="00A52AB8">
        <w:t>c( r )</w:t>
      </w:r>
      <w:r w:rsidR="00D47707" w:rsidRPr="00A52AB8">
        <w:t> = </w:t>
      </w:r>
      <w:r w:rsidR="00435682" w:rsidRPr="00A52AB8">
        <w:t>α</w:t>
      </w:r>
      <w:r w:rsidR="005715B7" w:rsidRPr="00A52AB8">
        <w:t> </w:t>
      </w:r>
      <w:r w:rsidR="00435682" w:rsidRPr="00A52AB8">
        <w:t>*</w:t>
      </w:r>
      <w:r w:rsidR="005715B7" w:rsidRPr="00A52AB8">
        <w:t> </w:t>
      </w:r>
      <w:r w:rsidR="00435682" w:rsidRPr="00A52AB8">
        <w:t>CabSize</w:t>
      </w:r>
      <w:r w:rsidR="005E5B30" w:rsidRPr="00A52AB8">
        <w:rPr>
          <w:color w:val="000000" w:themeColor="text1"/>
        </w:rPr>
        <w:t>[ !NalHrdModeFlag ]</w:t>
      </w:r>
      <w:r w:rsidR="00F4336E" w:rsidRPr="00A52AB8">
        <w:rPr>
          <w:color w:val="000000" w:themeColor="text1"/>
        </w:rPr>
        <w:t>[ Htid ]</w:t>
      </w:r>
      <w:r w:rsidR="00435682" w:rsidRPr="00A52AB8">
        <w:t>[ SchedSelIdx ]</w:t>
      </w:r>
      <w:r w:rsidR="005715B7" w:rsidRPr="00A52AB8">
        <w:t> </w:t>
      </w:r>
      <w:r w:rsidR="00435682" w:rsidRPr="00A52AB8">
        <w:t>+</w:t>
      </w:r>
      <w:r w:rsidR="005E5B30" w:rsidRPr="00A52AB8">
        <w:br/>
      </w:r>
      <w:r w:rsidR="005E5B30" w:rsidRPr="00A52AB8">
        <w:tab/>
      </w:r>
      <w:r w:rsidR="005E5B30" w:rsidRPr="00A52AB8">
        <w:tab/>
      </w:r>
      <w:r w:rsidR="005715B7" w:rsidRPr="00A52AB8">
        <w:t> </w:t>
      </w:r>
      <w:r w:rsidR="00435682" w:rsidRPr="00A52AB8">
        <w:t>( 1</w:t>
      </w:r>
      <w:r w:rsidR="005715B7" w:rsidRPr="00A52AB8">
        <w:t> </w:t>
      </w:r>
      <w:r w:rsidR="00EF260E" w:rsidRPr="00A52AB8">
        <w:t>–</w:t>
      </w:r>
      <w:r w:rsidR="005715B7" w:rsidRPr="00A52AB8">
        <w:t> </w:t>
      </w:r>
      <w:r w:rsidR="00435682" w:rsidRPr="00A52AB8">
        <w:t>α )</w:t>
      </w:r>
      <w:r w:rsidR="005715B7" w:rsidRPr="00A52AB8">
        <w:t> </w:t>
      </w:r>
      <w:r w:rsidR="00435682" w:rsidRPr="00A52AB8">
        <w:t>*</w:t>
      </w:r>
      <w:r w:rsidR="005715B7" w:rsidRPr="00A52AB8">
        <w:t> </w:t>
      </w:r>
      <w:r w:rsidR="00435682" w:rsidRPr="00A52AB8">
        <w:t>CabSize</w:t>
      </w:r>
      <w:r w:rsidR="005E5B30" w:rsidRPr="00A52AB8">
        <w:rPr>
          <w:color w:val="000000" w:themeColor="text1"/>
        </w:rPr>
        <w:t>[ !NalHrdModeFlag ]</w:t>
      </w:r>
      <w:r w:rsidR="00F4336E" w:rsidRPr="00A52AB8">
        <w:rPr>
          <w:color w:val="000000" w:themeColor="text1"/>
        </w:rPr>
        <w:t>[ Htid ]</w:t>
      </w:r>
      <w:r w:rsidR="00435682" w:rsidRPr="00A52AB8">
        <w:t>[ SchedSelIdx </w:t>
      </w:r>
      <w:r w:rsidR="00EF260E" w:rsidRPr="00A52AB8">
        <w:t>–</w:t>
      </w:r>
      <w:r w:rsidR="00435682" w:rsidRPr="00A52AB8">
        <w:t> 1 ]</w:t>
      </w:r>
      <w:r w:rsidR="00435682" w:rsidRPr="00A52AB8">
        <w:tab/>
        <w:t>(</w:t>
      </w:r>
      <w:r w:rsidR="00C45A2D" w:rsidRPr="00A52AB8">
        <w:t>E</w:t>
      </w:r>
      <w:r w:rsidR="00435682" w:rsidRPr="00A52AB8">
        <w:noBreakHyphen/>
      </w:r>
      <w:r w:rsidR="00435682" w:rsidRPr="00496A4D">
        <w:fldChar w:fldCharType="begin"/>
      </w:r>
      <w:r w:rsidR="00435682" w:rsidRPr="00A52AB8">
        <w:instrText xml:space="preserve"> SEQ Equation \* ARABIC </w:instrText>
      </w:r>
      <w:r w:rsidR="00435682" w:rsidRPr="00496A4D">
        <w:fldChar w:fldCharType="separate"/>
      </w:r>
      <w:r w:rsidR="00507A67">
        <w:rPr>
          <w:noProof/>
        </w:rPr>
        <w:t>17</w:t>
      </w:r>
      <w:r w:rsidR="00435682" w:rsidRPr="00496A4D">
        <w:fldChar w:fldCharType="end"/>
      </w:r>
      <w:r w:rsidR="00435682" w:rsidRPr="00A52AB8">
        <w:t>)</w:t>
      </w:r>
    </w:p>
    <w:p w14:paraId="294AA27C" w14:textId="70EA58E3" w:rsidR="00435682" w:rsidRPr="00A52AB8" w:rsidRDefault="00380F5A">
      <w:r w:rsidRPr="00A52AB8">
        <w:tab/>
      </w:r>
      <w:r w:rsidR="00435682" w:rsidRPr="00A52AB8">
        <w:t>f( r )</w:t>
      </w:r>
      <w:r w:rsidR="00D47707" w:rsidRPr="00A52AB8">
        <w:t> = </w:t>
      </w:r>
      <w:r w:rsidR="00435682" w:rsidRPr="00A52AB8">
        <w:t>α</w:t>
      </w:r>
      <w:r w:rsidRPr="00A52AB8">
        <w:t> </w:t>
      </w:r>
      <w:r w:rsidR="00435682" w:rsidRPr="00A52AB8">
        <w:t>*</w:t>
      </w:r>
      <w:r w:rsidRPr="00A52AB8">
        <w:t> </w:t>
      </w:r>
      <w:r w:rsidR="00435682" w:rsidRPr="00A52AB8">
        <w:t>InitCabRemovalDelay</w:t>
      </w:r>
      <w:r w:rsidR="00F4336E" w:rsidRPr="00A52AB8">
        <w:rPr>
          <w:color w:val="000000" w:themeColor="text1"/>
        </w:rPr>
        <w:t>[ Htid ]</w:t>
      </w:r>
      <w:r w:rsidR="00435682" w:rsidRPr="00A52AB8">
        <w:t>[ SchedSelIdx ]</w:t>
      </w:r>
      <w:r w:rsidRPr="00A52AB8">
        <w:t> </w:t>
      </w:r>
      <w:r w:rsidR="00435682" w:rsidRPr="00A52AB8">
        <w:t>*</w:t>
      </w:r>
      <w:r w:rsidRPr="00A52AB8">
        <w:t> </w:t>
      </w:r>
      <w:r w:rsidR="005E5B30" w:rsidRPr="00A52AB8">
        <w:br/>
      </w:r>
      <w:r w:rsidR="005E5B30" w:rsidRPr="00A52AB8">
        <w:tab/>
      </w:r>
      <w:r w:rsidR="005E5B30" w:rsidRPr="00A52AB8">
        <w:tab/>
      </w:r>
      <w:r w:rsidR="00435682" w:rsidRPr="00A52AB8">
        <w:t>BitRate</w:t>
      </w:r>
      <w:r w:rsidR="005E5B30" w:rsidRPr="00A52AB8">
        <w:rPr>
          <w:color w:val="000000" w:themeColor="text1"/>
        </w:rPr>
        <w:t>[ !NalHrdModeFlag ]</w:t>
      </w:r>
      <w:r w:rsidR="00F4336E" w:rsidRPr="00A52AB8">
        <w:rPr>
          <w:color w:val="000000" w:themeColor="text1"/>
        </w:rPr>
        <w:t>[ Htid ]</w:t>
      </w:r>
      <w:r w:rsidR="00435682" w:rsidRPr="00A52AB8">
        <w:t>[ SchedSelIdx ]</w:t>
      </w:r>
      <w:r w:rsidRPr="00A52AB8">
        <w:t> </w:t>
      </w:r>
      <w:r w:rsidR="00435682" w:rsidRPr="00A52AB8">
        <w:t>+</w:t>
      </w:r>
      <w:r w:rsidR="00C61E38" w:rsidRPr="00A52AB8">
        <w:br/>
      </w:r>
      <w:r w:rsidR="00435682" w:rsidRPr="00A52AB8">
        <w:tab/>
      </w:r>
      <w:r w:rsidR="00435682" w:rsidRPr="00A52AB8">
        <w:tab/>
        <w:t>( 1</w:t>
      </w:r>
      <w:r w:rsidRPr="00A52AB8">
        <w:t> </w:t>
      </w:r>
      <w:r w:rsidR="00EF260E" w:rsidRPr="00A52AB8">
        <w:t>–</w:t>
      </w:r>
      <w:r w:rsidRPr="00A52AB8">
        <w:t> </w:t>
      </w:r>
      <w:r w:rsidR="00435682" w:rsidRPr="00A52AB8">
        <w:t>α )</w:t>
      </w:r>
      <w:r w:rsidRPr="00A52AB8">
        <w:t> </w:t>
      </w:r>
      <w:r w:rsidR="00435682" w:rsidRPr="00A52AB8">
        <w:t>*</w:t>
      </w:r>
      <w:r w:rsidRPr="00A52AB8">
        <w:t> </w:t>
      </w:r>
      <w:r w:rsidR="00435682" w:rsidRPr="00A52AB8">
        <w:t>InitCabRemovalDelay</w:t>
      </w:r>
      <w:r w:rsidR="00F4336E" w:rsidRPr="00A52AB8">
        <w:rPr>
          <w:color w:val="000000" w:themeColor="text1"/>
        </w:rPr>
        <w:t>[ Htid ]</w:t>
      </w:r>
      <w:r w:rsidR="00435682" w:rsidRPr="00A52AB8">
        <w:t>[ SchedSelIdx</w:t>
      </w:r>
      <w:r w:rsidR="005715B7" w:rsidRPr="00A52AB8">
        <w:t> </w:t>
      </w:r>
      <w:r w:rsidR="00EF260E" w:rsidRPr="00A52AB8">
        <w:t>–</w:t>
      </w:r>
      <w:r w:rsidR="005715B7" w:rsidRPr="00A52AB8">
        <w:t> </w:t>
      </w:r>
      <w:r w:rsidR="00435682" w:rsidRPr="00A52AB8">
        <w:t>1 ]</w:t>
      </w:r>
      <w:r w:rsidR="005715B7" w:rsidRPr="00A52AB8">
        <w:t> </w:t>
      </w:r>
      <w:r w:rsidR="00435682" w:rsidRPr="00A52AB8">
        <w:t>*</w:t>
      </w:r>
      <w:r w:rsidR="00F4336E" w:rsidRPr="00A52AB8">
        <w:br/>
      </w:r>
      <w:r w:rsidR="00F4336E" w:rsidRPr="00A52AB8">
        <w:tab/>
      </w:r>
      <w:r w:rsidR="00F4336E" w:rsidRPr="00A52AB8">
        <w:tab/>
      </w:r>
      <w:r w:rsidR="00435682" w:rsidRPr="00A52AB8">
        <w:t>BitRate</w:t>
      </w:r>
      <w:r w:rsidR="005E5B30" w:rsidRPr="00A52AB8">
        <w:rPr>
          <w:color w:val="000000" w:themeColor="text1"/>
        </w:rPr>
        <w:t>[ !NalHrdModeFlag ]</w:t>
      </w:r>
      <w:r w:rsidR="00F4336E" w:rsidRPr="00A52AB8">
        <w:rPr>
          <w:color w:val="000000" w:themeColor="text1"/>
        </w:rPr>
        <w:t>[ Htid ]</w:t>
      </w:r>
      <w:r w:rsidR="00435682" w:rsidRPr="00A52AB8">
        <w:t>[ SchedSelIdx</w:t>
      </w:r>
      <w:r w:rsidR="005715B7" w:rsidRPr="00A52AB8">
        <w:t> </w:t>
      </w:r>
      <w:r w:rsidR="00EF260E" w:rsidRPr="00A52AB8">
        <w:t>–</w:t>
      </w:r>
      <w:r w:rsidR="00435682" w:rsidRPr="00A52AB8">
        <w:t> 1 ]</w:t>
      </w:r>
      <w:r w:rsidR="00F4336E" w:rsidRPr="00A52AB8">
        <w:tab/>
      </w:r>
      <w:r w:rsidR="00F4336E" w:rsidRPr="00A52AB8">
        <w:tab/>
      </w:r>
      <w:r w:rsidR="00435682" w:rsidRPr="00A52AB8">
        <w:tab/>
        <w:t>(</w:t>
      </w:r>
      <w:r w:rsidR="00C45A2D" w:rsidRPr="00A52AB8">
        <w:t>E</w:t>
      </w:r>
      <w:r w:rsidR="00435682" w:rsidRPr="00A52AB8">
        <w:noBreakHyphen/>
      </w:r>
      <w:r w:rsidR="00435682" w:rsidRPr="00496A4D">
        <w:fldChar w:fldCharType="begin"/>
      </w:r>
      <w:r w:rsidR="00435682" w:rsidRPr="00A52AB8">
        <w:instrText xml:space="preserve"> SEQ Equation \* ARABIC </w:instrText>
      </w:r>
      <w:r w:rsidR="00435682" w:rsidRPr="00496A4D">
        <w:fldChar w:fldCharType="separate"/>
      </w:r>
      <w:r w:rsidR="00507A67">
        <w:rPr>
          <w:noProof/>
        </w:rPr>
        <w:t>18</w:t>
      </w:r>
      <w:r w:rsidR="00435682" w:rsidRPr="00496A4D">
        <w:fldChar w:fldCharType="end"/>
      </w:r>
      <w:r w:rsidR="00435682" w:rsidRPr="00A52AB8">
        <w:t>)</w:t>
      </w:r>
    </w:p>
    <w:p w14:paraId="574EA133" w14:textId="376685DE" w:rsidR="00B95C43" w:rsidRPr="00A52AB8" w:rsidRDefault="001E7DB6">
      <w:r w:rsidRPr="00A52AB8">
        <w:t>for any SchedSelIdx</w:t>
      </w:r>
      <w:r w:rsidR="00AC390B" w:rsidRPr="00A52AB8">
        <w:t> </w:t>
      </w:r>
      <w:r w:rsidRPr="00A52AB8">
        <w:t>&gt;</w:t>
      </w:r>
      <w:r w:rsidR="00AC390B" w:rsidRPr="00A52AB8">
        <w:t> </w:t>
      </w:r>
      <w:r w:rsidRPr="00A52AB8">
        <w:t>0 such that</w:t>
      </w:r>
      <w:r w:rsidR="00B95C43" w:rsidRPr="00A52AB8">
        <w:t>:</w:t>
      </w:r>
    </w:p>
    <w:p w14:paraId="1212D308" w14:textId="20013ECE" w:rsidR="00B95C43" w:rsidRPr="00A52AB8" w:rsidRDefault="00B95C43">
      <w:r w:rsidRPr="00A52AB8">
        <w:rPr>
          <w:iCs/>
        </w:rPr>
        <w:tab/>
      </w:r>
      <w:r w:rsidR="001E7DB6" w:rsidRPr="00A52AB8">
        <w:rPr>
          <w:iCs/>
        </w:rPr>
        <w:t>BitRate</w:t>
      </w:r>
      <w:r w:rsidR="005E5B30" w:rsidRPr="00A52AB8">
        <w:rPr>
          <w:color w:val="000000" w:themeColor="text1"/>
        </w:rPr>
        <w:t>[ !NalHrdModeFlag ]</w:t>
      </w:r>
      <w:r w:rsidR="00F4336E" w:rsidRPr="00A52AB8">
        <w:rPr>
          <w:color w:val="000000" w:themeColor="text1"/>
        </w:rPr>
        <w:t>[ Htid ]</w:t>
      </w:r>
      <w:r w:rsidR="001E7DB6" w:rsidRPr="00A52AB8">
        <w:rPr>
          <w:iCs/>
        </w:rPr>
        <w:t>[ SchedSelIdx</w:t>
      </w:r>
      <w:r w:rsidR="00AC390B" w:rsidRPr="00A52AB8">
        <w:rPr>
          <w:iCs/>
        </w:rPr>
        <w:t> </w:t>
      </w:r>
      <w:r w:rsidR="00EF260E" w:rsidRPr="00A52AB8">
        <w:rPr>
          <w:iCs/>
        </w:rPr>
        <w:t>–</w:t>
      </w:r>
      <w:r w:rsidR="00AC390B" w:rsidRPr="00A52AB8">
        <w:rPr>
          <w:iCs/>
        </w:rPr>
        <w:t> </w:t>
      </w:r>
      <w:r w:rsidR="001E7DB6" w:rsidRPr="00A52AB8">
        <w:rPr>
          <w:iCs/>
        </w:rPr>
        <w:t>1 ]</w:t>
      </w:r>
      <w:r w:rsidR="00AC390B" w:rsidRPr="00A52AB8">
        <w:rPr>
          <w:iCs/>
        </w:rPr>
        <w:t> </w:t>
      </w:r>
      <w:r w:rsidR="00A234FD" w:rsidRPr="00A52AB8">
        <w:t>&lt;=</w:t>
      </w:r>
      <w:r w:rsidR="00D47707" w:rsidRPr="00A52AB8">
        <w:t> </w:t>
      </w:r>
      <w:r w:rsidR="001E7DB6" w:rsidRPr="00A52AB8">
        <w:t>r</w:t>
      </w:r>
      <w:r w:rsidR="00AC390B" w:rsidRPr="00A52AB8">
        <w:t> </w:t>
      </w:r>
      <w:r w:rsidR="005E5B30" w:rsidRPr="00A52AB8">
        <w:br/>
      </w:r>
      <w:r w:rsidR="005E5B30" w:rsidRPr="00A52AB8">
        <w:tab/>
      </w:r>
      <w:r w:rsidR="005E5B30" w:rsidRPr="00A52AB8">
        <w:tab/>
      </w:r>
      <w:r w:rsidR="00A234FD" w:rsidRPr="00A52AB8">
        <w:t>&lt;=</w:t>
      </w:r>
      <w:r w:rsidR="00D47707" w:rsidRPr="00A52AB8">
        <w:t> </w:t>
      </w:r>
      <w:r w:rsidR="001E7DB6" w:rsidRPr="00A52AB8">
        <w:rPr>
          <w:iCs/>
        </w:rPr>
        <w:t>BitRate</w:t>
      </w:r>
      <w:r w:rsidR="005E5B30" w:rsidRPr="00A52AB8">
        <w:rPr>
          <w:color w:val="000000" w:themeColor="text1"/>
        </w:rPr>
        <w:t>[ !NalHrdModeFlag ]</w:t>
      </w:r>
      <w:r w:rsidR="00F4336E" w:rsidRPr="00A52AB8">
        <w:rPr>
          <w:color w:val="000000" w:themeColor="text1"/>
        </w:rPr>
        <w:t>[ Htid ]</w:t>
      </w:r>
      <w:r w:rsidR="001E7DB6" w:rsidRPr="00A52AB8">
        <w:rPr>
          <w:iCs/>
        </w:rPr>
        <w:t>[ SchedSelIdx ]</w:t>
      </w:r>
      <w:r w:rsidR="001E7DB6" w:rsidRPr="00A52AB8">
        <w:t xml:space="preserve"> </w:t>
      </w:r>
    </w:p>
    <w:p w14:paraId="2F482E5D" w14:textId="4887E0C4" w:rsidR="001E7DB6" w:rsidRPr="00A52AB8" w:rsidRDefault="001E7DB6">
      <w:r w:rsidRPr="00A52AB8">
        <w:rPr>
          <w:iCs/>
        </w:rPr>
        <w:t xml:space="preserve">such that r and c( r ) </w:t>
      </w:r>
      <w:r w:rsidRPr="00A52AB8">
        <w:t xml:space="preserve">are within the limits as specified in </w:t>
      </w:r>
      <w:r w:rsidR="006806A9" w:rsidRPr="00496A4D">
        <w:fldChar w:fldCharType="begin"/>
      </w:r>
      <w:r w:rsidR="006806A9" w:rsidRPr="00A52AB8">
        <w:instrText xml:space="preserve"> REF _Ref21508199 \w \h </w:instrText>
      </w:r>
      <w:r w:rsidR="00025423" w:rsidRPr="00A52AB8">
        <w:instrText xml:space="preserve"> \* MERGEFORMAT </w:instrText>
      </w:r>
      <w:r w:rsidR="006806A9" w:rsidRPr="00496A4D">
        <w:fldChar w:fldCharType="separate"/>
      </w:r>
      <w:r w:rsidR="00507A67">
        <w:t>Annex A</w:t>
      </w:r>
      <w:r w:rsidR="006806A9" w:rsidRPr="00496A4D">
        <w:fldChar w:fldCharType="end"/>
      </w:r>
      <w:r w:rsidRPr="00A52AB8">
        <w:t xml:space="preserve"> for the maximum bit rate and buffer size for the specified profile, tier</w:t>
      </w:r>
      <w:r w:rsidR="00EF260E" w:rsidRPr="00A52AB8">
        <w:t>,</w:t>
      </w:r>
      <w:r w:rsidRPr="00A52AB8">
        <w:t xml:space="preserve"> and level.</w:t>
      </w:r>
    </w:p>
    <w:p w14:paraId="7F276BEA" w14:textId="238D8E47" w:rsidR="001E7DB6" w:rsidRPr="00A52AB8" w:rsidRDefault="001E7DB6">
      <w:pPr>
        <w:pStyle w:val="Note1"/>
        <w:rPr>
          <w:rFonts w:ascii="Cambria" w:hAnsi="Cambria"/>
        </w:rPr>
      </w:pPr>
      <w:r w:rsidRPr="00A52AB8">
        <w:rPr>
          <w:rFonts w:ascii="Cambria" w:hAnsi="Cambria"/>
        </w:rPr>
        <w:t>NOTE</w:t>
      </w:r>
      <w:r w:rsidR="002925AE" w:rsidRPr="00A52AB8">
        <w:rPr>
          <w:rFonts w:ascii="Cambria" w:hAnsi="Cambria"/>
        </w:rPr>
        <w:t> </w:t>
      </w:r>
      <w:r w:rsidR="00534D1F" w:rsidRPr="00496A4D">
        <w:rPr>
          <w:rFonts w:ascii="Cambria" w:hAnsi="Cambria"/>
        </w:rPr>
        <w:fldChar w:fldCharType="begin"/>
      </w:r>
      <w:r w:rsidR="00534D1F" w:rsidRPr="00A52AB8">
        <w:rPr>
          <w:rFonts w:ascii="Cambria" w:hAnsi="Cambria"/>
        </w:rPr>
        <w:instrText xml:space="preserve"> SEQ NoteCounter \r 1\s 9 \* MERGEFORMAT  \* MERGEFORMAT  \* MERGEFORMAT </w:instrText>
      </w:r>
      <w:r w:rsidR="00534D1F" w:rsidRPr="00496A4D">
        <w:rPr>
          <w:rFonts w:ascii="Cambria" w:hAnsi="Cambria"/>
        </w:rPr>
        <w:fldChar w:fldCharType="separate"/>
      </w:r>
      <w:r w:rsidR="00507A67">
        <w:rPr>
          <w:rFonts w:ascii="Cambria" w:hAnsi="Cambria"/>
          <w:noProof/>
        </w:rPr>
        <w:t>1</w:t>
      </w:r>
      <w:r w:rsidR="00534D1F" w:rsidRPr="00496A4D">
        <w:rPr>
          <w:rFonts w:ascii="Cambria" w:hAnsi="Cambria"/>
        </w:rPr>
        <w:fldChar w:fldCharType="end"/>
      </w:r>
      <w:r w:rsidRPr="00A52AB8">
        <w:rPr>
          <w:rFonts w:ascii="Cambria" w:hAnsi="Cambria"/>
        </w:rPr>
        <w:t> – InitCabRemovalDelay</w:t>
      </w:r>
      <w:r w:rsidR="00F4336E" w:rsidRPr="00A52AB8">
        <w:rPr>
          <w:rFonts w:ascii="Cambria" w:hAnsi="Cambria"/>
        </w:rPr>
        <w:t>[ Htid ]</w:t>
      </w:r>
      <w:r w:rsidRPr="00A52AB8">
        <w:rPr>
          <w:rFonts w:ascii="Cambria" w:hAnsi="Cambria"/>
        </w:rPr>
        <w:t>[ SchedSelIdx ] can be different from one buffering period to another and ha</w:t>
      </w:r>
      <w:r w:rsidR="00EF260E" w:rsidRPr="00A52AB8">
        <w:rPr>
          <w:rFonts w:ascii="Cambria" w:hAnsi="Cambria"/>
        </w:rPr>
        <w:t>s</w:t>
      </w:r>
      <w:r w:rsidRPr="00A52AB8">
        <w:rPr>
          <w:rFonts w:ascii="Cambria" w:hAnsi="Cambria"/>
        </w:rPr>
        <w:t xml:space="preserve"> to be re-calculated.</w:t>
      </w:r>
    </w:p>
    <w:p w14:paraId="2663F0D0" w14:textId="77777777" w:rsidR="001E7DB6" w:rsidRPr="00A52AB8" w:rsidRDefault="001E7DB6">
      <w:r w:rsidRPr="00A52AB8">
        <w:t>For output timing atlas frame decoder conformance, an HRD as described above is used and the timing (relative to the delivery time of the first bit) of atlas frame output is the same for both the HRD and the DUT up to a fixed delay.</w:t>
      </w:r>
    </w:p>
    <w:p w14:paraId="631A1854" w14:textId="77777777" w:rsidR="001E7DB6" w:rsidRPr="00A52AB8" w:rsidRDefault="001E7DB6">
      <w:r w:rsidRPr="00A52AB8">
        <w:t>For output order atlas frame decoder conformance, the following applies:</w:t>
      </w:r>
    </w:p>
    <w:p w14:paraId="7B243444" w14:textId="04B7E9DD" w:rsidR="001E7DB6" w:rsidRPr="00A52AB8" w:rsidRDefault="001E7DB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The HSS delivers the bitstream </w:t>
      </w:r>
      <w:r w:rsidR="00157874" w:rsidRPr="00A52AB8">
        <w:rPr>
          <w:color w:val="000000" w:themeColor="text1"/>
        </w:rPr>
        <w:t>AtlasBitstreamToDecode</w:t>
      </w:r>
      <w:r w:rsidRPr="00A52AB8">
        <w:rPr>
          <w:color w:val="000000" w:themeColor="text1"/>
        </w:rPr>
        <w:t xml:space="preserve"> to the DUT "by demand" from the DUT, meaning that the HSS delivers bits (in decoding order) only when the DUT requires more bits to proceed with its processing.</w:t>
      </w:r>
    </w:p>
    <w:p w14:paraId="36F6082B" w14:textId="4BBD7077" w:rsidR="001E7DB6" w:rsidRPr="00A52AB8" w:rsidRDefault="001E7DB6" w:rsidP="002D4E3F">
      <w:pPr>
        <w:pStyle w:val="Note1"/>
        <w:rPr>
          <w:rFonts w:ascii="Cambria" w:hAnsi="Cambria"/>
        </w:rPr>
      </w:pPr>
      <w:r w:rsidRPr="00A52AB8">
        <w:rPr>
          <w:rFonts w:ascii="Cambria" w:hAnsi="Cambria"/>
        </w:rPr>
        <w:t>NOTE</w:t>
      </w:r>
      <w:r w:rsidR="002925AE" w:rsidRPr="00A52AB8">
        <w:rPr>
          <w:rFonts w:ascii="Cambria" w:hAnsi="Cambria"/>
        </w:rPr>
        <w:t> </w:t>
      </w:r>
      <w:r w:rsidR="00412C44" w:rsidRPr="00496A4D">
        <w:rPr>
          <w:rFonts w:ascii="Cambria" w:hAnsi="Cambria"/>
        </w:rPr>
        <w:fldChar w:fldCharType="begin"/>
      </w:r>
      <w:r w:rsidR="00412C44" w:rsidRPr="00A52AB8">
        <w:rPr>
          <w:rFonts w:ascii="Cambria" w:hAnsi="Cambria"/>
        </w:rPr>
        <w:instrText xml:space="preserve"> SEQ NoteCounter \s 9 \* MERGEFORMAT  \* MERGEFORMAT  \* MERGEFORMAT </w:instrText>
      </w:r>
      <w:r w:rsidR="00412C44" w:rsidRPr="00496A4D">
        <w:rPr>
          <w:rFonts w:ascii="Cambria" w:hAnsi="Cambria"/>
        </w:rPr>
        <w:fldChar w:fldCharType="separate"/>
      </w:r>
      <w:r w:rsidR="00507A67">
        <w:rPr>
          <w:rFonts w:ascii="Cambria" w:hAnsi="Cambria"/>
          <w:noProof/>
        </w:rPr>
        <w:t>2</w:t>
      </w:r>
      <w:r w:rsidR="00412C44" w:rsidRPr="00496A4D">
        <w:rPr>
          <w:rFonts w:ascii="Cambria" w:hAnsi="Cambria"/>
        </w:rPr>
        <w:fldChar w:fldCharType="end"/>
      </w:r>
      <w:r w:rsidRPr="00A52AB8">
        <w:rPr>
          <w:rFonts w:ascii="Cambria" w:hAnsi="Cambria"/>
        </w:rPr>
        <w:t> – This means that for this test, the coded atlas buffer of the DUT could be as small as the size of the largest decoding unit.</w:t>
      </w:r>
    </w:p>
    <w:p w14:paraId="17A43004" w14:textId="6E58DD3C" w:rsidR="001E7DB6" w:rsidRPr="00A52AB8" w:rsidRDefault="001E7DB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modified HRD</w:t>
      </w:r>
      <w:r w:rsidR="00740C3C" w:rsidRPr="00A52AB8">
        <w:rPr>
          <w:color w:val="000000" w:themeColor="text1"/>
        </w:rPr>
        <w:t>,</w:t>
      </w:r>
      <w:r w:rsidRPr="00A52AB8">
        <w:rPr>
          <w:color w:val="000000" w:themeColor="text1"/>
        </w:rPr>
        <w:t xml:space="preserve"> as described</w:t>
      </w:r>
      <w:r w:rsidR="00E03086" w:rsidRPr="00A52AB8">
        <w:rPr>
          <w:color w:val="000000" w:themeColor="text1"/>
        </w:rPr>
        <w:t xml:space="preserve"> in subclause</w:t>
      </w:r>
      <w:r w:rsidRPr="00A52AB8">
        <w:rPr>
          <w:color w:val="000000" w:themeColor="text1"/>
        </w:rPr>
        <w:t xml:space="preserve"> </w:t>
      </w:r>
      <w:r w:rsidR="00E03086" w:rsidRPr="00496A4D">
        <w:rPr>
          <w:color w:val="000000" w:themeColor="text1"/>
        </w:rPr>
        <w:fldChar w:fldCharType="begin"/>
      </w:r>
      <w:r w:rsidR="00E03086" w:rsidRPr="00A52AB8">
        <w:rPr>
          <w:color w:val="000000" w:themeColor="text1"/>
        </w:rPr>
        <w:instrText xml:space="preserve"> REF _Ref21520853 \n \h </w:instrText>
      </w:r>
      <w:r w:rsidR="00007BE2" w:rsidRPr="00A52AB8">
        <w:rPr>
          <w:color w:val="000000" w:themeColor="text1"/>
        </w:rPr>
        <w:instrText xml:space="preserve"> \* MERGEFORMAT </w:instrText>
      </w:r>
      <w:r w:rsidR="00E03086" w:rsidRPr="00496A4D">
        <w:rPr>
          <w:color w:val="000000" w:themeColor="text1"/>
        </w:rPr>
      </w:r>
      <w:r w:rsidR="00E03086" w:rsidRPr="00496A4D">
        <w:rPr>
          <w:color w:val="000000" w:themeColor="text1"/>
        </w:rPr>
        <w:fldChar w:fldCharType="separate"/>
      </w:r>
      <w:r w:rsidR="00507A67">
        <w:rPr>
          <w:color w:val="000000" w:themeColor="text1"/>
        </w:rPr>
        <w:t>E.5.2</w:t>
      </w:r>
      <w:r w:rsidR="00E03086" w:rsidRPr="00496A4D">
        <w:rPr>
          <w:color w:val="000000" w:themeColor="text1"/>
        </w:rPr>
        <w:fldChar w:fldCharType="end"/>
      </w:r>
      <w:r w:rsidR="00740C3C" w:rsidRPr="00A52AB8">
        <w:rPr>
          <w:color w:val="000000" w:themeColor="text1"/>
        </w:rPr>
        <w:t>,</w:t>
      </w:r>
      <w:r w:rsidRPr="00A52AB8">
        <w:rPr>
          <w:color w:val="000000" w:themeColor="text1"/>
        </w:rPr>
        <w:t xml:space="preserve"> is used, and the HSS delivers the bitstream to the HRD by one of the schedules specified in the atlas frame bitstream</w:t>
      </w:r>
      <w:r w:rsidR="00740C3C" w:rsidRPr="00A52AB8">
        <w:rPr>
          <w:color w:val="000000" w:themeColor="text1"/>
        </w:rPr>
        <w:t>,</w:t>
      </w:r>
      <w:r w:rsidRPr="00A52AB8">
        <w:rPr>
          <w:color w:val="000000" w:themeColor="text1"/>
        </w:rPr>
        <w:t xml:space="preserve"> </w:t>
      </w:r>
      <w:r w:rsidR="00157874" w:rsidRPr="00A52AB8">
        <w:rPr>
          <w:color w:val="000000" w:themeColor="text1"/>
        </w:rPr>
        <w:t>AtlasBitstreamToDecode</w:t>
      </w:r>
      <w:r w:rsidR="00740C3C" w:rsidRPr="00A52AB8">
        <w:rPr>
          <w:color w:val="000000" w:themeColor="text1"/>
        </w:rPr>
        <w:t>,</w:t>
      </w:r>
      <w:r w:rsidRPr="00A52AB8">
        <w:rPr>
          <w:color w:val="000000" w:themeColor="text1"/>
        </w:rPr>
        <w:t xml:space="preserve"> such that the bit rate and CAB size are restricted as specified in </w:t>
      </w:r>
      <w:r w:rsidR="006806A9" w:rsidRPr="00496A4D">
        <w:rPr>
          <w:color w:val="000000" w:themeColor="text1"/>
        </w:rPr>
        <w:fldChar w:fldCharType="begin"/>
      </w:r>
      <w:r w:rsidR="006806A9" w:rsidRPr="00A52AB8">
        <w:rPr>
          <w:color w:val="000000" w:themeColor="text1"/>
        </w:rPr>
        <w:instrText xml:space="preserve"> REF _Ref21508199 \w \h </w:instrText>
      </w:r>
      <w:r w:rsidR="00025423" w:rsidRPr="00A52AB8">
        <w:rPr>
          <w:color w:val="000000" w:themeColor="text1"/>
        </w:rPr>
        <w:instrText xml:space="preserve"> \* MERGEFORMAT </w:instrText>
      </w:r>
      <w:r w:rsidR="006806A9" w:rsidRPr="00496A4D">
        <w:rPr>
          <w:color w:val="000000" w:themeColor="text1"/>
        </w:rPr>
      </w:r>
      <w:r w:rsidR="006806A9" w:rsidRPr="00496A4D">
        <w:rPr>
          <w:color w:val="000000" w:themeColor="text1"/>
        </w:rPr>
        <w:fldChar w:fldCharType="separate"/>
      </w:r>
      <w:r w:rsidR="00507A67">
        <w:rPr>
          <w:color w:val="000000" w:themeColor="text1"/>
        </w:rPr>
        <w:t>Annex A</w:t>
      </w:r>
      <w:r w:rsidR="006806A9" w:rsidRPr="00496A4D">
        <w:rPr>
          <w:color w:val="000000" w:themeColor="text1"/>
        </w:rPr>
        <w:fldChar w:fldCharType="end"/>
      </w:r>
      <w:r w:rsidRPr="00A52AB8">
        <w:rPr>
          <w:color w:val="000000" w:themeColor="text1"/>
        </w:rPr>
        <w:t xml:space="preserve">. The </w:t>
      </w:r>
      <w:r w:rsidR="00740C3C" w:rsidRPr="00A52AB8">
        <w:rPr>
          <w:color w:val="000000" w:themeColor="text1"/>
        </w:rPr>
        <w:t xml:space="preserve">output </w:t>
      </w:r>
      <w:r w:rsidRPr="00A52AB8">
        <w:rPr>
          <w:color w:val="000000" w:themeColor="text1"/>
        </w:rPr>
        <w:t>order of atlas frame</w:t>
      </w:r>
      <w:r w:rsidR="00740C3C" w:rsidRPr="00A52AB8">
        <w:rPr>
          <w:color w:val="000000" w:themeColor="text1"/>
        </w:rPr>
        <w:t>s</w:t>
      </w:r>
      <w:r w:rsidRPr="00A52AB8">
        <w:rPr>
          <w:color w:val="000000" w:themeColor="text1"/>
        </w:rPr>
        <w:t xml:space="preserve"> shall be the same for both the HRD and the DUT.</w:t>
      </w:r>
    </w:p>
    <w:p w14:paraId="10D2CD7E" w14:textId="11F7E01A" w:rsidR="001E7DB6" w:rsidRPr="00A52AB8" w:rsidRDefault="001E7DB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The HRD CAB size is given by CabSize</w:t>
      </w:r>
      <w:r w:rsidR="005E5B30" w:rsidRPr="00A52AB8">
        <w:rPr>
          <w:color w:val="000000" w:themeColor="text1"/>
        </w:rPr>
        <w:t>[ !NalHrdModeFlag ]</w:t>
      </w:r>
      <w:r w:rsidR="00F4336E" w:rsidRPr="00A52AB8">
        <w:rPr>
          <w:color w:val="000000" w:themeColor="text1"/>
        </w:rPr>
        <w:t>[ Htid ]</w:t>
      </w:r>
      <w:r w:rsidRPr="00A52AB8">
        <w:rPr>
          <w:color w:val="000000" w:themeColor="text1"/>
        </w:rPr>
        <w:t>[ SchedSelIdx ]</w:t>
      </w:r>
      <w:r w:rsidR="00740C3C" w:rsidRPr="00A52AB8">
        <w:rPr>
          <w:color w:val="000000" w:themeColor="text1"/>
        </w:rPr>
        <w:t>,</w:t>
      </w:r>
      <w:r w:rsidRPr="00A52AB8">
        <w:rPr>
          <w:color w:val="000000" w:themeColor="text1"/>
        </w:rPr>
        <w:t xml:space="preserve"> as specified in </w:t>
      </w:r>
      <w:r w:rsidR="00406A86" w:rsidRPr="00A52AB8">
        <w:rPr>
          <w:color w:val="000000" w:themeColor="text1"/>
        </w:rPr>
        <w:t>subclause</w:t>
      </w:r>
      <w:r w:rsidRPr="00A52AB8">
        <w:rPr>
          <w:color w:val="000000" w:themeColor="text1"/>
        </w:rPr>
        <w:t> </w:t>
      </w:r>
      <w:r w:rsidR="006806A9" w:rsidRPr="00496A4D">
        <w:rPr>
          <w:color w:val="000000" w:themeColor="text1"/>
        </w:rPr>
        <w:fldChar w:fldCharType="begin"/>
      </w:r>
      <w:r w:rsidR="006806A9" w:rsidRPr="00A52AB8">
        <w:rPr>
          <w:color w:val="000000" w:themeColor="text1"/>
        </w:rPr>
        <w:instrText xml:space="preserve"> REF _Ref21520767 \w \h </w:instrText>
      </w:r>
      <w:r w:rsidR="00025423" w:rsidRPr="00A52AB8">
        <w:rPr>
          <w:color w:val="000000" w:themeColor="text1"/>
        </w:rPr>
        <w:instrText xml:space="preserve"> \* MERGEFORMAT </w:instrText>
      </w:r>
      <w:r w:rsidR="006806A9" w:rsidRPr="00496A4D">
        <w:rPr>
          <w:color w:val="000000" w:themeColor="text1"/>
        </w:rPr>
      </w:r>
      <w:r w:rsidR="006806A9" w:rsidRPr="00496A4D">
        <w:rPr>
          <w:color w:val="000000" w:themeColor="text1"/>
        </w:rPr>
        <w:fldChar w:fldCharType="separate"/>
      </w:r>
      <w:r w:rsidR="00507A67">
        <w:rPr>
          <w:color w:val="000000" w:themeColor="text1"/>
        </w:rPr>
        <w:t>G.3.3</w:t>
      </w:r>
      <w:r w:rsidR="006806A9" w:rsidRPr="00496A4D">
        <w:rPr>
          <w:color w:val="000000" w:themeColor="text1"/>
        </w:rPr>
        <w:fldChar w:fldCharType="end"/>
      </w:r>
      <w:r w:rsidRPr="00A52AB8">
        <w:rPr>
          <w:color w:val="000000" w:themeColor="text1"/>
        </w:rPr>
        <w:t xml:space="preserve">, where SchedSelIdx and the HRD parameters are selected as specified in </w:t>
      </w:r>
      <w:r w:rsidR="00406A86" w:rsidRPr="00A52AB8">
        <w:rPr>
          <w:color w:val="000000" w:themeColor="text1"/>
        </w:rPr>
        <w:t>subclause</w:t>
      </w:r>
      <w:r w:rsidR="006806A9" w:rsidRPr="00A52AB8">
        <w:rPr>
          <w:color w:val="000000" w:themeColor="text1"/>
        </w:rPr>
        <w:t> </w:t>
      </w:r>
      <w:r w:rsidR="006806A9" w:rsidRPr="00496A4D">
        <w:rPr>
          <w:color w:val="000000" w:themeColor="text1"/>
        </w:rPr>
        <w:fldChar w:fldCharType="begin"/>
      </w:r>
      <w:r w:rsidR="006806A9" w:rsidRPr="00A52AB8">
        <w:rPr>
          <w:color w:val="000000" w:themeColor="text1"/>
        </w:rPr>
        <w:instrText xml:space="preserve"> REF _Ref21515777 \w \h </w:instrText>
      </w:r>
      <w:r w:rsidR="00025423" w:rsidRPr="00A52AB8">
        <w:rPr>
          <w:color w:val="000000" w:themeColor="text1"/>
        </w:rPr>
        <w:instrText xml:space="preserve"> \* MERGEFORMAT </w:instrText>
      </w:r>
      <w:r w:rsidR="006806A9" w:rsidRPr="00496A4D">
        <w:rPr>
          <w:color w:val="000000" w:themeColor="text1"/>
        </w:rPr>
      </w:r>
      <w:r w:rsidR="006806A9" w:rsidRPr="00496A4D">
        <w:rPr>
          <w:color w:val="000000" w:themeColor="text1"/>
        </w:rPr>
        <w:fldChar w:fldCharType="separate"/>
      </w:r>
      <w:r w:rsidR="00507A67">
        <w:rPr>
          <w:color w:val="000000" w:themeColor="text1"/>
        </w:rPr>
        <w:t>E.1</w:t>
      </w:r>
      <w:r w:rsidR="006806A9" w:rsidRPr="00496A4D">
        <w:rPr>
          <w:color w:val="000000" w:themeColor="text1"/>
        </w:rPr>
        <w:fldChar w:fldCharType="end"/>
      </w:r>
      <w:r w:rsidRPr="00A52AB8">
        <w:rPr>
          <w:color w:val="000000" w:themeColor="text1"/>
        </w:rPr>
        <w:t>. The DAB size is given by asps_max_dec_atlas_frame_buffering_minus1</w:t>
      </w:r>
      <w:r w:rsidR="005F133D" w:rsidRPr="00A52AB8">
        <w:rPr>
          <w:color w:val="000000" w:themeColor="text1"/>
        </w:rPr>
        <w:t> </w:t>
      </w:r>
      <w:r w:rsidRPr="00A52AB8">
        <w:rPr>
          <w:color w:val="000000" w:themeColor="text1"/>
        </w:rPr>
        <w:t xml:space="preserve">+ 1. Removal time from the CAB for the HRD is the final bit arrival time and decoding is immediate. The operation of the DAB of this HRD is as described in </w:t>
      </w:r>
      <w:r w:rsidR="00591C6B" w:rsidRPr="00A52AB8">
        <w:rPr>
          <w:color w:val="000000" w:themeColor="text1"/>
        </w:rPr>
        <w:t>sub</w:t>
      </w:r>
      <w:r w:rsidRPr="00A52AB8">
        <w:rPr>
          <w:color w:val="000000" w:themeColor="text1"/>
        </w:rPr>
        <w:t>clauses </w:t>
      </w:r>
      <w:r w:rsidR="006806A9" w:rsidRPr="00496A4D">
        <w:rPr>
          <w:color w:val="000000" w:themeColor="text1"/>
        </w:rPr>
        <w:fldChar w:fldCharType="begin"/>
      </w:r>
      <w:r w:rsidR="006806A9" w:rsidRPr="00A52AB8">
        <w:rPr>
          <w:color w:val="000000" w:themeColor="text1"/>
        </w:rPr>
        <w:instrText xml:space="preserve"> REF _Ref21520853 \w \h </w:instrText>
      </w:r>
      <w:r w:rsidR="00025423" w:rsidRPr="00A52AB8">
        <w:rPr>
          <w:color w:val="000000" w:themeColor="text1"/>
        </w:rPr>
        <w:instrText xml:space="preserve"> \* MERGEFORMAT </w:instrText>
      </w:r>
      <w:r w:rsidR="006806A9" w:rsidRPr="00496A4D">
        <w:rPr>
          <w:color w:val="000000" w:themeColor="text1"/>
        </w:rPr>
      </w:r>
      <w:r w:rsidR="006806A9" w:rsidRPr="00496A4D">
        <w:rPr>
          <w:color w:val="000000" w:themeColor="text1"/>
        </w:rPr>
        <w:fldChar w:fldCharType="separate"/>
      </w:r>
      <w:r w:rsidR="00507A67">
        <w:rPr>
          <w:color w:val="000000" w:themeColor="text1"/>
        </w:rPr>
        <w:t>E.5.2</w:t>
      </w:r>
      <w:r w:rsidR="006806A9" w:rsidRPr="00496A4D">
        <w:rPr>
          <w:color w:val="000000" w:themeColor="text1"/>
        </w:rPr>
        <w:fldChar w:fldCharType="end"/>
      </w:r>
      <w:r w:rsidRPr="00A52AB8">
        <w:rPr>
          <w:color w:val="000000" w:themeColor="text1"/>
        </w:rPr>
        <w:t xml:space="preserve"> through</w:t>
      </w:r>
      <w:r w:rsidR="006806A9" w:rsidRPr="00A52AB8">
        <w:rPr>
          <w:color w:val="000000" w:themeColor="text1"/>
        </w:rPr>
        <w:t xml:space="preserve"> </w:t>
      </w:r>
      <w:r w:rsidR="006806A9" w:rsidRPr="00496A4D">
        <w:rPr>
          <w:color w:val="000000" w:themeColor="text1"/>
        </w:rPr>
        <w:fldChar w:fldCharType="begin"/>
      </w:r>
      <w:r w:rsidR="006806A9" w:rsidRPr="00A52AB8">
        <w:rPr>
          <w:color w:val="000000" w:themeColor="text1"/>
        </w:rPr>
        <w:instrText xml:space="preserve"> REF _Ref21520860 \w \h </w:instrText>
      </w:r>
      <w:r w:rsidR="00025423" w:rsidRPr="00A52AB8">
        <w:rPr>
          <w:color w:val="000000" w:themeColor="text1"/>
        </w:rPr>
        <w:instrText xml:space="preserve"> \* MERGEFORMAT </w:instrText>
      </w:r>
      <w:r w:rsidR="006806A9" w:rsidRPr="00496A4D">
        <w:rPr>
          <w:color w:val="000000" w:themeColor="text1"/>
        </w:rPr>
      </w:r>
      <w:r w:rsidR="006806A9" w:rsidRPr="00496A4D">
        <w:rPr>
          <w:color w:val="000000" w:themeColor="text1"/>
        </w:rPr>
        <w:fldChar w:fldCharType="separate"/>
      </w:r>
      <w:r w:rsidR="00507A67">
        <w:rPr>
          <w:color w:val="000000" w:themeColor="text1"/>
        </w:rPr>
        <w:t>E.5.2.3</w:t>
      </w:r>
      <w:r w:rsidR="006806A9" w:rsidRPr="00496A4D">
        <w:rPr>
          <w:color w:val="000000" w:themeColor="text1"/>
        </w:rPr>
        <w:fldChar w:fldCharType="end"/>
      </w:r>
      <w:r w:rsidRPr="00A52AB8">
        <w:rPr>
          <w:color w:val="000000" w:themeColor="text1"/>
        </w:rPr>
        <w:t>.</w:t>
      </w:r>
    </w:p>
    <w:p w14:paraId="02220B8E" w14:textId="77777777" w:rsidR="001E7DB6" w:rsidRPr="00A52AB8" w:rsidRDefault="001E7DB6">
      <w:pPr>
        <w:pStyle w:val="a3"/>
        <w:numPr>
          <w:ilvl w:val="2"/>
          <w:numId w:val="19"/>
        </w:numPr>
      </w:pPr>
      <w:bookmarkStart w:id="5187" w:name="_Ref21520853"/>
      <w:bookmarkStart w:id="5188" w:name="_Toc52181705"/>
      <w:r w:rsidRPr="00A52AB8">
        <w:t>Operation of the output order DAB</w:t>
      </w:r>
      <w:bookmarkEnd w:id="5187"/>
      <w:bookmarkEnd w:id="5188"/>
    </w:p>
    <w:p w14:paraId="6F220393" w14:textId="77777777" w:rsidR="001E7DB6" w:rsidRPr="00A52AB8" w:rsidRDefault="001E7DB6">
      <w:pPr>
        <w:pStyle w:val="a4"/>
        <w:numPr>
          <w:ilvl w:val="3"/>
          <w:numId w:val="19"/>
        </w:numPr>
      </w:pPr>
      <w:r w:rsidRPr="00A52AB8">
        <w:t>General</w:t>
      </w:r>
    </w:p>
    <w:p w14:paraId="06F01911" w14:textId="1618D186" w:rsidR="001E7DB6" w:rsidRPr="00A52AB8" w:rsidRDefault="001E7DB6">
      <w:bookmarkStart w:id="5189" w:name="_Ref34218584"/>
      <w:bookmarkEnd w:id="5046"/>
      <w:bookmarkEnd w:id="5047"/>
      <w:bookmarkEnd w:id="5048"/>
      <w:bookmarkEnd w:id="5049"/>
      <w:bookmarkEnd w:id="5050"/>
      <w:bookmarkEnd w:id="5051"/>
      <w:bookmarkEnd w:id="5052"/>
      <w:bookmarkEnd w:id="5053"/>
      <w:r w:rsidRPr="00A52AB8">
        <w:t xml:space="preserve">The decoded atlas frame buffer contains atlas frame storage buffers. Each of the atlas frame storage buffers contains a decoded atlas frame that is marked as "used for reference" or is held for future output. The process for output and removal of atlas frames from the DAB before decoding of the current atlas frame as specified in </w:t>
      </w:r>
      <w:r w:rsidR="00406A86" w:rsidRPr="00A52AB8">
        <w:t>subclause</w:t>
      </w:r>
      <w:r w:rsidRPr="00A52AB8">
        <w:t> </w:t>
      </w:r>
      <w:r w:rsidR="00515450" w:rsidRPr="00496A4D">
        <w:fldChar w:fldCharType="begin"/>
      </w:r>
      <w:r w:rsidR="00515450" w:rsidRPr="00A52AB8">
        <w:instrText xml:space="preserve"> REF _Ref21520908 \w \h </w:instrText>
      </w:r>
      <w:r w:rsidR="00025423" w:rsidRPr="00A52AB8">
        <w:instrText xml:space="preserve"> \* MERGEFORMAT </w:instrText>
      </w:r>
      <w:r w:rsidR="00515450" w:rsidRPr="00496A4D">
        <w:fldChar w:fldCharType="separate"/>
      </w:r>
      <w:r w:rsidR="00507A67">
        <w:t>E.5.2.2</w:t>
      </w:r>
      <w:r w:rsidR="00515450" w:rsidRPr="00496A4D">
        <w:fldChar w:fldCharType="end"/>
      </w:r>
      <w:r w:rsidRPr="00A52AB8">
        <w:t xml:space="preserve"> is invoked, the invocation of the process for current decoded atlas frame marking and storage as specified in </w:t>
      </w:r>
      <w:r w:rsidR="00406A86" w:rsidRPr="00A52AB8">
        <w:t>subclause</w:t>
      </w:r>
      <w:r w:rsidRPr="00A52AB8">
        <w:rPr>
          <w:lang w:eastAsia="ko-KR"/>
        </w:rPr>
        <w:t> </w:t>
      </w:r>
      <w:r w:rsidR="00383ECE" w:rsidRPr="00496A4D">
        <w:rPr>
          <w:lang w:eastAsia="ko-KR"/>
        </w:rPr>
        <w:fldChar w:fldCharType="begin"/>
      </w:r>
      <w:r w:rsidR="00383ECE" w:rsidRPr="00A52AB8">
        <w:rPr>
          <w:lang w:eastAsia="ko-KR"/>
        </w:rPr>
        <w:instrText xml:space="preserve"> REF _Ref21519026 \n \h  \* MERGEFORMAT </w:instrText>
      </w:r>
      <w:r w:rsidR="00383ECE" w:rsidRPr="00496A4D">
        <w:rPr>
          <w:lang w:eastAsia="ko-KR"/>
        </w:rPr>
      </w:r>
      <w:r w:rsidR="00383ECE" w:rsidRPr="00496A4D">
        <w:rPr>
          <w:lang w:eastAsia="ko-KR"/>
        </w:rPr>
        <w:fldChar w:fldCharType="separate"/>
      </w:r>
      <w:r w:rsidR="00507A67">
        <w:rPr>
          <w:lang w:eastAsia="ko-KR"/>
        </w:rPr>
        <w:t>E.3.4</w:t>
      </w:r>
      <w:r w:rsidR="00383ECE" w:rsidRPr="00496A4D">
        <w:rPr>
          <w:lang w:eastAsia="ko-KR"/>
        </w:rPr>
        <w:fldChar w:fldCharType="end"/>
      </w:r>
      <w:r w:rsidRPr="00A52AB8">
        <w:t xml:space="preserve">, further followed by the invocation of the process for removal of </w:t>
      </w:r>
      <w:r w:rsidR="00EF260E" w:rsidRPr="00A52AB8">
        <w:t xml:space="preserve">the </w:t>
      </w:r>
      <w:r w:rsidRPr="00A52AB8">
        <w:t xml:space="preserve">atlas frame from the DAB after decoding of the current atlas frame as specified in </w:t>
      </w:r>
      <w:r w:rsidR="00406A86" w:rsidRPr="00A52AB8">
        <w:t>subclause</w:t>
      </w:r>
      <w:r w:rsidRPr="00A52AB8">
        <w:rPr>
          <w:lang w:eastAsia="ko-KR"/>
        </w:rPr>
        <w:t> </w:t>
      </w:r>
      <w:r w:rsidR="00383ECE" w:rsidRPr="00496A4D">
        <w:rPr>
          <w:lang w:eastAsia="ko-KR"/>
        </w:rPr>
        <w:fldChar w:fldCharType="begin"/>
      </w:r>
      <w:r w:rsidR="00383ECE" w:rsidRPr="00A52AB8">
        <w:rPr>
          <w:lang w:eastAsia="ko-KR"/>
        </w:rPr>
        <w:instrText xml:space="preserve"> REF _Ref50832513 \n \h  \* MERGEFORMAT </w:instrText>
      </w:r>
      <w:r w:rsidR="00383ECE" w:rsidRPr="00496A4D">
        <w:rPr>
          <w:lang w:eastAsia="ko-KR"/>
        </w:rPr>
      </w:r>
      <w:r w:rsidR="00383ECE" w:rsidRPr="00496A4D">
        <w:rPr>
          <w:lang w:eastAsia="ko-KR"/>
        </w:rPr>
        <w:fldChar w:fldCharType="separate"/>
      </w:r>
      <w:r w:rsidR="00507A67">
        <w:rPr>
          <w:lang w:eastAsia="ko-KR"/>
        </w:rPr>
        <w:t>E.3.5</w:t>
      </w:r>
      <w:r w:rsidR="00383ECE" w:rsidRPr="00496A4D">
        <w:rPr>
          <w:lang w:eastAsia="ko-KR"/>
        </w:rPr>
        <w:fldChar w:fldCharType="end"/>
      </w:r>
      <w:r w:rsidRPr="00A52AB8">
        <w:t xml:space="preserve">, and finally followed by the invocation of the process for additional bumping as specified in </w:t>
      </w:r>
      <w:r w:rsidR="00406A86" w:rsidRPr="00A52AB8">
        <w:t>subclause</w:t>
      </w:r>
      <w:r w:rsidRPr="00A52AB8">
        <w:t> </w:t>
      </w:r>
      <w:r w:rsidR="00B96064" w:rsidRPr="00496A4D">
        <w:fldChar w:fldCharType="begin"/>
      </w:r>
      <w:r w:rsidR="00B96064" w:rsidRPr="00A52AB8">
        <w:instrText xml:space="preserve"> REF _Ref21521039 \w \h </w:instrText>
      </w:r>
      <w:r w:rsidR="00025423" w:rsidRPr="00A52AB8">
        <w:instrText xml:space="preserve"> \* MERGEFORMAT </w:instrText>
      </w:r>
      <w:r w:rsidR="00B96064" w:rsidRPr="00496A4D">
        <w:fldChar w:fldCharType="separate"/>
      </w:r>
      <w:r w:rsidR="00507A67">
        <w:t>E.5.2.3</w:t>
      </w:r>
      <w:r w:rsidR="00B96064" w:rsidRPr="00496A4D">
        <w:fldChar w:fldCharType="end"/>
      </w:r>
      <w:r w:rsidRPr="00A52AB8">
        <w:t xml:space="preserve">. The "bumping" process is specified in </w:t>
      </w:r>
      <w:r w:rsidR="00406A86" w:rsidRPr="00A52AB8">
        <w:t>subclause</w:t>
      </w:r>
      <w:r w:rsidRPr="00A52AB8">
        <w:t> </w:t>
      </w:r>
      <w:r w:rsidR="00B96064" w:rsidRPr="00496A4D">
        <w:fldChar w:fldCharType="begin"/>
      </w:r>
      <w:r w:rsidR="00B96064" w:rsidRPr="00A52AB8">
        <w:instrText xml:space="preserve"> REF _Ref21520984 \w \h </w:instrText>
      </w:r>
      <w:r w:rsidR="00025423" w:rsidRPr="00A52AB8">
        <w:instrText xml:space="preserve"> \* MERGEFORMAT </w:instrText>
      </w:r>
      <w:r w:rsidR="00B96064" w:rsidRPr="00496A4D">
        <w:fldChar w:fldCharType="separate"/>
      </w:r>
      <w:r w:rsidR="00507A67">
        <w:t>E.5.2.4</w:t>
      </w:r>
      <w:r w:rsidR="00B96064" w:rsidRPr="00496A4D">
        <w:fldChar w:fldCharType="end"/>
      </w:r>
      <w:r w:rsidRPr="00A52AB8">
        <w:t xml:space="preserve"> and is invoked as specified in </w:t>
      </w:r>
      <w:r w:rsidR="00283D58" w:rsidRPr="00A52AB8">
        <w:t>sub</w:t>
      </w:r>
      <w:r w:rsidRPr="00A52AB8">
        <w:t>clauses</w:t>
      </w:r>
      <w:r w:rsidR="00383ECE" w:rsidRPr="00A52AB8">
        <w:t xml:space="preserve"> </w:t>
      </w:r>
      <w:r w:rsidR="00383ECE" w:rsidRPr="00496A4D">
        <w:fldChar w:fldCharType="begin"/>
      </w:r>
      <w:r w:rsidR="00383ECE" w:rsidRPr="00A52AB8">
        <w:instrText xml:space="preserve"> REF _Ref21520908 \n \h  \* MERGEFORMAT </w:instrText>
      </w:r>
      <w:r w:rsidR="00383ECE" w:rsidRPr="00496A4D">
        <w:fldChar w:fldCharType="separate"/>
      </w:r>
      <w:r w:rsidR="00507A67">
        <w:t>E.5.2.2</w:t>
      </w:r>
      <w:r w:rsidR="00383ECE" w:rsidRPr="00496A4D">
        <w:fldChar w:fldCharType="end"/>
      </w:r>
      <w:r w:rsidR="00383ECE" w:rsidRPr="00A52AB8">
        <w:t xml:space="preserve"> and</w:t>
      </w:r>
      <w:r w:rsidRPr="00A52AB8">
        <w:t xml:space="preserve"> </w:t>
      </w:r>
      <w:r w:rsidR="00B96064" w:rsidRPr="00496A4D">
        <w:fldChar w:fldCharType="begin"/>
      </w:r>
      <w:r w:rsidR="00B96064" w:rsidRPr="00A52AB8">
        <w:instrText xml:space="preserve"> REF _Ref21521002 \w \h </w:instrText>
      </w:r>
      <w:r w:rsidR="00025423" w:rsidRPr="00A52AB8">
        <w:instrText xml:space="preserve"> \* MERGEFORMAT </w:instrText>
      </w:r>
      <w:r w:rsidR="00B96064" w:rsidRPr="00496A4D">
        <w:fldChar w:fldCharType="separate"/>
      </w:r>
      <w:r w:rsidR="00507A67">
        <w:t>E.5.2.3</w:t>
      </w:r>
      <w:r w:rsidR="00B96064" w:rsidRPr="00496A4D">
        <w:fldChar w:fldCharType="end"/>
      </w:r>
      <w:r w:rsidRPr="00A52AB8">
        <w:t>.</w:t>
      </w:r>
    </w:p>
    <w:p w14:paraId="43FE528E" w14:textId="77777777" w:rsidR="001E7DB6" w:rsidRPr="00A52AB8" w:rsidRDefault="001E7DB6">
      <w:pPr>
        <w:pStyle w:val="a4"/>
        <w:numPr>
          <w:ilvl w:val="3"/>
          <w:numId w:val="19"/>
        </w:numPr>
      </w:pPr>
      <w:bookmarkStart w:id="5190" w:name="_Ref21520908"/>
      <w:bookmarkStart w:id="5191" w:name="_Ref21520996"/>
      <w:r w:rsidRPr="00A52AB8">
        <w:t>Output and removal of atlas frames from the DAB</w:t>
      </w:r>
      <w:bookmarkEnd w:id="5190"/>
      <w:bookmarkEnd w:id="5191"/>
    </w:p>
    <w:p w14:paraId="0EB1DFF7" w14:textId="77777777" w:rsidR="001E7DB6" w:rsidRPr="00A52AB8" w:rsidRDefault="001E7DB6">
      <w:bookmarkStart w:id="5192" w:name="_Ref81126005"/>
      <w:bookmarkStart w:id="5193" w:name="_Toc77680622"/>
      <w:bookmarkStart w:id="5194" w:name="_Toc118289218"/>
      <w:bookmarkStart w:id="5195" w:name="_Toc226456823"/>
      <w:bookmarkStart w:id="5196" w:name="_Toc248045440"/>
      <w:bookmarkStart w:id="5197" w:name="_Toc256632244"/>
      <w:r w:rsidRPr="00A52AB8">
        <w:t xml:space="preserve">The output and removal of atlas frames from the DAB before the decoding of the current atlas frame (but after parsing the </w:t>
      </w:r>
      <w:r w:rsidR="00B8075E" w:rsidRPr="00A52AB8">
        <w:t>tile</w:t>
      </w:r>
      <w:r w:rsidRPr="00A52AB8">
        <w:t xml:space="preserve"> header of the first </w:t>
      </w:r>
      <w:r w:rsidR="00B8075E" w:rsidRPr="00A52AB8">
        <w:t>tile</w:t>
      </w:r>
      <w:r w:rsidRPr="00A52AB8">
        <w:t xml:space="preserve"> of the current atlas frame) happens instantaneously when the first decoding unit of the access unit containing the current atlas frame is removed from the CAB and proceeds as follows:</w:t>
      </w:r>
    </w:p>
    <w:p w14:paraId="58E9BA0E" w14:textId="7240257D" w:rsidR="004A41B7" w:rsidRPr="00A52AB8" w:rsidRDefault="004A41B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The </w:t>
      </w:r>
      <w:r w:rsidR="009E027A" w:rsidRPr="00A52AB8">
        <w:rPr>
          <w:color w:val="000000" w:themeColor="text1"/>
        </w:rPr>
        <w:t xml:space="preserve">decoding process for </w:t>
      </w:r>
      <w:r w:rsidRPr="00A52AB8">
        <w:rPr>
          <w:color w:val="000000" w:themeColor="text1"/>
        </w:rPr>
        <w:t>RA</w:t>
      </w:r>
      <w:r w:rsidR="00F4336E" w:rsidRPr="00A52AB8">
        <w:rPr>
          <w:color w:val="000000" w:themeColor="text1"/>
        </w:rPr>
        <w:t>F</w:t>
      </w:r>
      <w:r w:rsidRPr="00A52AB8">
        <w:rPr>
          <w:color w:val="000000" w:themeColor="text1"/>
        </w:rPr>
        <w:t xml:space="preserve">L as specified in subclause </w:t>
      </w:r>
      <w:r w:rsidRPr="00496A4D">
        <w:rPr>
          <w:color w:val="000000" w:themeColor="text1"/>
        </w:rPr>
        <w:fldChar w:fldCharType="begin"/>
      </w:r>
      <w:r w:rsidRPr="00A52AB8">
        <w:rPr>
          <w:color w:val="000000" w:themeColor="text1"/>
        </w:rPr>
        <w:instrText xml:space="preserve"> REF _Ref1143623 \w \h  \* MERGEFORMAT </w:instrText>
      </w:r>
      <w:r w:rsidRPr="00496A4D">
        <w:rPr>
          <w:color w:val="000000" w:themeColor="text1"/>
        </w:rPr>
      </w:r>
      <w:r w:rsidRPr="00496A4D">
        <w:rPr>
          <w:color w:val="000000" w:themeColor="text1"/>
        </w:rPr>
        <w:fldChar w:fldCharType="separate"/>
      </w:r>
      <w:r w:rsidR="00507A67">
        <w:rPr>
          <w:color w:val="000000" w:themeColor="text1"/>
        </w:rPr>
        <w:t>9.2.4.3</w:t>
      </w:r>
      <w:r w:rsidRPr="00496A4D">
        <w:rPr>
          <w:color w:val="000000" w:themeColor="text1"/>
        </w:rPr>
        <w:fldChar w:fldCharType="end"/>
      </w:r>
      <w:r w:rsidRPr="00A52AB8">
        <w:rPr>
          <w:color w:val="000000" w:themeColor="text1"/>
        </w:rPr>
        <w:t xml:space="preserve">, </w:t>
      </w:r>
      <w:r w:rsidR="009E027A" w:rsidRPr="00A52AB8">
        <w:rPr>
          <w:color w:val="000000" w:themeColor="text1"/>
        </w:rPr>
        <w:t>is invoked.</w:t>
      </w:r>
    </w:p>
    <w:p w14:paraId="64D44BB9" w14:textId="5D5E01B4" w:rsidR="00EC21EB" w:rsidRPr="00A52AB8" w:rsidRDefault="000B596E" w:rsidP="00366915">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t xml:space="preserve">If the current picture is an IRAP </w:t>
      </w:r>
      <w:r w:rsidR="003D47FD" w:rsidRPr="00A52AB8">
        <w:t xml:space="preserve">coded </w:t>
      </w:r>
      <w:r w:rsidRPr="00A52AB8">
        <w:t xml:space="preserve">atlas frame with </w:t>
      </w:r>
      <w:r w:rsidRPr="00A52AB8">
        <w:rPr>
          <w:color w:val="000000" w:themeColor="text1"/>
        </w:rPr>
        <w:t>NoOutputOfPriorAtlasFramesFlag</w:t>
      </w:r>
      <w:r w:rsidRPr="00A52AB8">
        <w:t xml:space="preserve"> equal to 1 that is not atlas frame 0, the following ordered steps are applied</w:t>
      </w:r>
      <w:r w:rsidR="00EC21EB" w:rsidRPr="00A52AB8">
        <w:t>:</w:t>
      </w:r>
    </w:p>
    <w:p w14:paraId="2CA6B27E" w14:textId="77777777" w:rsidR="00EC21EB" w:rsidRPr="00A52AB8" w:rsidRDefault="00EC21EB" w:rsidP="00EC21EB">
      <w:pPr>
        <w:pStyle w:val="ListParagraph"/>
        <w:numPr>
          <w:ilvl w:val="0"/>
          <w:numId w:val="421"/>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textAlignment w:val="baseline"/>
        <w:rPr>
          <w:color w:val="000000" w:themeColor="text1"/>
        </w:rPr>
      </w:pPr>
      <w:r w:rsidRPr="00A52AB8">
        <w:rPr>
          <w:color w:val="000000" w:themeColor="text1"/>
        </w:rPr>
        <w:t>The variable NoOutputOfPriorAtlasFrameFlag is derived for the decoder under test as follows:</w:t>
      </w:r>
      <w:r w:rsidRPr="00A52AB8">
        <w:t xml:space="preserve"> </w:t>
      </w:r>
    </w:p>
    <w:p w14:paraId="36953049" w14:textId="511CEFC6" w:rsidR="00EC21EB" w:rsidRPr="00A52AB8" w:rsidRDefault="00EC21EB" w:rsidP="00EC21EB">
      <w:pPr>
        <w:pStyle w:val="ListParagraph"/>
        <w:numPr>
          <w:ilvl w:val="0"/>
          <w:numId w:val="422"/>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textAlignment w:val="baseline"/>
        <w:rPr>
          <w:color w:val="000000" w:themeColor="text1"/>
        </w:rPr>
      </w:pPr>
      <w:r w:rsidRPr="00A52AB8">
        <w:rPr>
          <w:color w:val="000000" w:themeColor="text1"/>
        </w:rPr>
        <w:t>If the current atlas frame is CRA atlas frame, NoOutputOfPriorAtlasFramesFlag is set equal to 1 (regardless of the value of ath_no_output_of_prior_atlas_frames_flag).</w:t>
      </w:r>
    </w:p>
    <w:p w14:paraId="5E276129" w14:textId="1514215E" w:rsidR="00EC21EB" w:rsidRPr="00A52AB8" w:rsidRDefault="00EC21EB" w:rsidP="00EC21EB">
      <w:pPr>
        <w:pStyle w:val="ListParagraph"/>
        <w:numPr>
          <w:ilvl w:val="0"/>
          <w:numId w:val="422"/>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textAlignment w:val="baseline"/>
        <w:rPr>
          <w:color w:val="000000" w:themeColor="text1"/>
        </w:rPr>
      </w:pPr>
      <w:r w:rsidRPr="00A52AB8">
        <w:rPr>
          <w:color w:val="000000" w:themeColor="text1"/>
        </w:rPr>
        <w:t>Otherwise, if the value of asps_frame_width, asps_frame_height, or asps_max_dec_atlas_frame_buffering_minus1 derived for the current atlas frame is different from the value of asps_frame_width, asps_frame_height, or asps_max_dec_atlas_frame_buffering_minus1, respectively, derived from the ASPS active for the preceding atlas, NoOutputOfPriorAtlasFramesFlag may (but should not) be set equal to 1 by the decoder under test, regardless of the value of ath_no_output_of_prior_atlas_frames_flag of the current atlas frame.</w:t>
      </w:r>
    </w:p>
    <w:p w14:paraId="4050C8CC" w14:textId="0B273269" w:rsidR="00EC21EB" w:rsidRPr="00A52AB8" w:rsidRDefault="00EC21EB" w:rsidP="00366915">
      <w:pPr>
        <w:pStyle w:val="ListParagraph"/>
        <w:numPr>
          <w:ilvl w:val="0"/>
          <w:numId w:val="422"/>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textAlignment w:val="baseline"/>
        <w:rPr>
          <w:color w:val="000000" w:themeColor="text1"/>
        </w:rPr>
      </w:pPr>
      <w:r w:rsidRPr="00A52AB8">
        <w:rPr>
          <w:color w:val="000000" w:themeColor="text1"/>
        </w:rPr>
        <w:t>Otherwise, NoOutputOfPriorAtlasFramesFlag is set equal to ath_no_output_of_prior_atlas_frames_flag if the current coded atlas access unit.</w:t>
      </w:r>
    </w:p>
    <w:p w14:paraId="14CF349A" w14:textId="13113C4D" w:rsidR="000B596E" w:rsidRPr="00A52AB8" w:rsidRDefault="004A41B7" w:rsidP="00366915">
      <w:pPr>
        <w:pStyle w:val="Note1"/>
        <w:ind w:left="1209"/>
        <w:rPr>
          <w:rFonts w:ascii="Cambria" w:hAnsi="Cambria"/>
        </w:rPr>
      </w:pPr>
      <w:r w:rsidRPr="00A52AB8">
        <w:rPr>
          <w:rFonts w:ascii="Cambria" w:hAnsi="Cambria"/>
        </w:rPr>
        <w:t>NOTE – Although, under these conditions, setting NoOutputOfPriorAtlasFramesFlag equal to ath_no_output_of_prior_atlas_frames_flag</w:t>
      </w:r>
      <w:r w:rsidRPr="00A52AB8" w:rsidDel="00696C20">
        <w:rPr>
          <w:rFonts w:ascii="Cambria" w:hAnsi="Cambria"/>
        </w:rPr>
        <w:t xml:space="preserve"> </w:t>
      </w:r>
      <w:r w:rsidRPr="00A52AB8">
        <w:rPr>
          <w:rFonts w:ascii="Cambria" w:hAnsi="Cambria"/>
        </w:rPr>
        <w:t xml:space="preserve">of the current </w:t>
      </w:r>
      <w:r w:rsidR="00F4336E" w:rsidRPr="00A52AB8">
        <w:rPr>
          <w:rFonts w:ascii="Cambria" w:hAnsi="Cambria"/>
        </w:rPr>
        <w:t xml:space="preserve">coded atlas </w:t>
      </w:r>
      <w:r w:rsidR="00C22CC6" w:rsidRPr="00A52AB8">
        <w:rPr>
          <w:rFonts w:ascii="Cambria" w:hAnsi="Cambria"/>
        </w:rPr>
        <w:t>frame</w:t>
      </w:r>
      <w:r w:rsidR="00F4336E" w:rsidRPr="00A52AB8">
        <w:rPr>
          <w:rFonts w:ascii="Cambria" w:hAnsi="Cambria"/>
        </w:rPr>
        <w:t xml:space="preserve"> </w:t>
      </w:r>
      <w:r w:rsidRPr="00A52AB8">
        <w:rPr>
          <w:rFonts w:ascii="Cambria" w:hAnsi="Cambria"/>
        </w:rPr>
        <w:t>is preferred, the decoder under test is allowed to set, in this case, NoOutputOfPriorAtlasFramesFlag equal to 1.</w:t>
      </w:r>
    </w:p>
    <w:p w14:paraId="29F92EF1" w14:textId="7CE99954" w:rsidR="00EC21EB" w:rsidRPr="00A52AB8" w:rsidRDefault="00EC21EB" w:rsidP="00EC21EB">
      <w:pPr>
        <w:pStyle w:val="ListParagraph"/>
        <w:numPr>
          <w:ilvl w:val="0"/>
          <w:numId w:val="421"/>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textAlignment w:val="baseline"/>
        <w:rPr>
          <w:color w:val="000000" w:themeColor="text1"/>
        </w:rPr>
      </w:pPr>
      <w:r w:rsidRPr="00A52AB8">
        <w:rPr>
          <w:color w:val="000000" w:themeColor="text1"/>
        </w:rPr>
        <w:t>The value of NoOutputOfPriorAtlasFramesFlag derived for the decoder under test is applied for the HRD as follows:</w:t>
      </w:r>
      <w:r w:rsidRPr="00A52AB8">
        <w:t xml:space="preserve"> </w:t>
      </w:r>
    </w:p>
    <w:p w14:paraId="46F374E8" w14:textId="174301CF" w:rsidR="001E7DB6" w:rsidRPr="00A52AB8" w:rsidRDefault="001E7DB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1" w:hanging="403"/>
        <w:textAlignment w:val="baseline"/>
        <w:rPr>
          <w:color w:val="000000" w:themeColor="text1"/>
        </w:rPr>
      </w:pPr>
      <w:r w:rsidRPr="00A52AB8">
        <w:rPr>
          <w:color w:val="000000" w:themeColor="text1"/>
        </w:rPr>
        <w:t xml:space="preserve">If NoOutputOfPriorAtlasFramesFlag is equal to 1, all atlas </w:t>
      </w:r>
      <w:r w:rsidR="00484F3A" w:rsidRPr="00A52AB8">
        <w:rPr>
          <w:color w:val="000000" w:themeColor="text1"/>
        </w:rPr>
        <w:t xml:space="preserve">frame </w:t>
      </w:r>
      <w:r w:rsidRPr="00A52AB8">
        <w:rPr>
          <w:color w:val="000000" w:themeColor="text1"/>
        </w:rPr>
        <w:t xml:space="preserve">storage buffers in the DAB are emptied without output of the atlas frames they </w:t>
      </w:r>
      <w:r w:rsidR="00D24766" w:rsidRPr="00A52AB8">
        <w:rPr>
          <w:color w:val="000000" w:themeColor="text1"/>
        </w:rPr>
        <w:t xml:space="preserve">contain, </w:t>
      </w:r>
      <w:r w:rsidRPr="00A52AB8">
        <w:rPr>
          <w:color w:val="000000" w:themeColor="text1"/>
        </w:rPr>
        <w:t>and the DAB fullness is set equal to 0.</w:t>
      </w:r>
    </w:p>
    <w:p w14:paraId="04D8CC2A" w14:textId="5443E9FE" w:rsidR="001E7DB6" w:rsidRPr="00A52AB8" w:rsidRDefault="001E7DB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1" w:hanging="403"/>
        <w:textAlignment w:val="baseline"/>
        <w:rPr>
          <w:color w:val="000000" w:themeColor="text1"/>
        </w:rPr>
      </w:pPr>
      <w:r w:rsidRPr="00A52AB8">
        <w:rPr>
          <w:color w:val="000000" w:themeColor="text1"/>
        </w:rPr>
        <w:t xml:space="preserve">Otherwise (NoOutputOfPriorAtlasFramesFlag is equal to 0), all atlas frame storage buffers containing atlas frames that </w:t>
      </w:r>
      <w:r w:rsidR="00120245" w:rsidRPr="00A52AB8">
        <w:rPr>
          <w:color w:val="000000" w:themeColor="text1"/>
        </w:rPr>
        <w:t>are</w:t>
      </w:r>
      <w:r w:rsidRPr="00A52AB8">
        <w:rPr>
          <w:color w:val="000000" w:themeColor="text1"/>
        </w:rPr>
        <w:t xml:space="preserve"> marked as "not needed for output" and "unused for reference" are emptied (without output) and all non-empty atlas frame storage buffers in the DAB are emptied by repeatedly invoking the "bumping" process specified in </w:t>
      </w:r>
      <w:r w:rsidR="00406A86" w:rsidRPr="00A52AB8">
        <w:rPr>
          <w:color w:val="000000" w:themeColor="text1"/>
        </w:rPr>
        <w:t>subclause</w:t>
      </w:r>
      <w:r w:rsidRPr="00A52AB8">
        <w:rPr>
          <w:color w:val="000000" w:themeColor="text1"/>
        </w:rPr>
        <w:t> </w:t>
      </w:r>
      <w:r w:rsidR="00B96064" w:rsidRPr="00496A4D">
        <w:rPr>
          <w:color w:val="000000" w:themeColor="text1"/>
        </w:rPr>
        <w:fldChar w:fldCharType="begin"/>
      </w:r>
      <w:r w:rsidR="00B96064" w:rsidRPr="00A52AB8">
        <w:rPr>
          <w:color w:val="000000" w:themeColor="text1"/>
        </w:rPr>
        <w:instrText xml:space="preserve"> REF _Ref21521194 \w \h </w:instrText>
      </w:r>
      <w:r w:rsidR="00025423" w:rsidRPr="00A52AB8">
        <w:rPr>
          <w:color w:val="000000" w:themeColor="text1"/>
        </w:rPr>
        <w:instrText xml:space="preserve"> \* MERGEFORMAT </w:instrText>
      </w:r>
      <w:r w:rsidR="00B96064" w:rsidRPr="00496A4D">
        <w:rPr>
          <w:color w:val="000000" w:themeColor="text1"/>
        </w:rPr>
      </w:r>
      <w:r w:rsidR="00B96064" w:rsidRPr="00496A4D">
        <w:rPr>
          <w:color w:val="000000" w:themeColor="text1"/>
        </w:rPr>
        <w:fldChar w:fldCharType="separate"/>
      </w:r>
      <w:r w:rsidR="00507A67">
        <w:rPr>
          <w:color w:val="000000" w:themeColor="text1"/>
        </w:rPr>
        <w:t>E.5.2.4</w:t>
      </w:r>
      <w:r w:rsidR="00B96064" w:rsidRPr="00496A4D">
        <w:rPr>
          <w:color w:val="000000" w:themeColor="text1"/>
        </w:rPr>
        <w:fldChar w:fldCharType="end"/>
      </w:r>
      <w:r w:rsidRPr="00A52AB8">
        <w:rPr>
          <w:color w:val="000000" w:themeColor="text1"/>
        </w:rPr>
        <w:t xml:space="preserve"> and the DAB fullness is set equal to 0.</w:t>
      </w:r>
    </w:p>
    <w:p w14:paraId="49CF4EE4" w14:textId="2D69CB4E" w:rsidR="00BE703C" w:rsidRPr="00A52AB8" w:rsidRDefault="001E7DB6" w:rsidP="00743B88">
      <w:pPr>
        <w:pStyle w:val="ListParagraph"/>
        <w:numPr>
          <w:ilvl w:val="0"/>
          <w:numId w:val="412"/>
        </w:numPr>
        <w:tabs>
          <w:tab w:val="clear" w:pos="806"/>
        </w:tabs>
        <w:ind w:leftChars="0"/>
      </w:pPr>
      <w:r w:rsidRPr="00A52AB8">
        <w:rPr>
          <w:color w:val="000000" w:themeColor="text1"/>
        </w:rPr>
        <w:t>Otherwise</w:t>
      </w:r>
      <w:r w:rsidR="00C22CC6" w:rsidRPr="00A52AB8">
        <w:rPr>
          <w:color w:val="000000" w:themeColor="text1"/>
        </w:rPr>
        <w:t xml:space="preserve"> (</w:t>
      </w:r>
      <w:r w:rsidR="00C22CC6" w:rsidRPr="00A52AB8">
        <w:t xml:space="preserve">the current atlas frame is not an IRAP </w:t>
      </w:r>
      <w:r w:rsidR="003D47FD" w:rsidRPr="00A52AB8">
        <w:t xml:space="preserve">coded </w:t>
      </w:r>
      <w:r w:rsidR="00C22CC6" w:rsidRPr="00A52AB8">
        <w:t xml:space="preserve">atlas frame with </w:t>
      </w:r>
      <w:r w:rsidR="00B231C9" w:rsidRPr="00A52AB8">
        <w:rPr>
          <w:bCs/>
          <w:iCs/>
        </w:rPr>
        <w:t>NoOutputBeforeRecoveryFlag</w:t>
      </w:r>
      <w:r w:rsidR="00C22CC6" w:rsidRPr="00A52AB8">
        <w:t xml:space="preserve"> equal to 1)</w:t>
      </w:r>
      <w:r w:rsidR="00C0329B" w:rsidRPr="00A52AB8">
        <w:rPr>
          <w:color w:val="000000" w:themeColor="text1"/>
        </w:rPr>
        <w:t xml:space="preserve">, </w:t>
      </w:r>
      <w:r w:rsidRPr="00A52AB8">
        <w:rPr>
          <w:color w:val="000000" w:themeColor="text1"/>
        </w:rPr>
        <w:t xml:space="preserve">all atlas frame storage buffers containing atlas frames which are marked as "not needed for output" and "unused for reference" are emptied (without output). For each atlas frame storage buffer that is emptied, the DAB fullness is decremented by one. </w:t>
      </w:r>
      <w:r w:rsidR="00C0329B" w:rsidRPr="00A52AB8">
        <w:rPr>
          <w:color w:val="000000" w:themeColor="text1"/>
        </w:rPr>
        <w:t>T</w:t>
      </w:r>
      <w:r w:rsidRPr="00A52AB8">
        <w:rPr>
          <w:color w:val="000000" w:themeColor="text1"/>
        </w:rPr>
        <w:t xml:space="preserve">he "bumping" process specified in </w:t>
      </w:r>
      <w:r w:rsidR="00406A86" w:rsidRPr="00A52AB8">
        <w:rPr>
          <w:color w:val="000000" w:themeColor="text1"/>
        </w:rPr>
        <w:t>subclause</w:t>
      </w:r>
      <w:r w:rsidRPr="00A52AB8">
        <w:rPr>
          <w:color w:val="000000" w:themeColor="text1"/>
        </w:rPr>
        <w:t> </w:t>
      </w:r>
      <w:r w:rsidR="00B96064" w:rsidRPr="00496A4D">
        <w:rPr>
          <w:color w:val="000000" w:themeColor="text1"/>
        </w:rPr>
        <w:fldChar w:fldCharType="begin"/>
      </w:r>
      <w:r w:rsidR="00B96064" w:rsidRPr="00A52AB8">
        <w:rPr>
          <w:color w:val="000000" w:themeColor="text1"/>
        </w:rPr>
        <w:instrText xml:space="preserve"> REF _Ref21521211 \w \h </w:instrText>
      </w:r>
      <w:r w:rsidR="00025423" w:rsidRPr="00A52AB8">
        <w:rPr>
          <w:color w:val="000000" w:themeColor="text1"/>
        </w:rPr>
        <w:instrText xml:space="preserve"> \* MERGEFORMAT </w:instrText>
      </w:r>
      <w:r w:rsidR="00B96064" w:rsidRPr="00496A4D">
        <w:rPr>
          <w:color w:val="000000" w:themeColor="text1"/>
        </w:rPr>
      </w:r>
      <w:r w:rsidR="00B96064" w:rsidRPr="00496A4D">
        <w:rPr>
          <w:color w:val="000000" w:themeColor="text1"/>
        </w:rPr>
        <w:fldChar w:fldCharType="separate"/>
      </w:r>
      <w:r w:rsidR="00507A67">
        <w:rPr>
          <w:color w:val="000000" w:themeColor="text1"/>
        </w:rPr>
        <w:t>E.5.2.4</w:t>
      </w:r>
      <w:r w:rsidR="00B96064" w:rsidRPr="00496A4D">
        <w:rPr>
          <w:color w:val="000000" w:themeColor="text1"/>
        </w:rPr>
        <w:fldChar w:fldCharType="end"/>
      </w:r>
      <w:r w:rsidRPr="00A52AB8">
        <w:rPr>
          <w:color w:val="000000" w:themeColor="text1"/>
        </w:rPr>
        <w:t xml:space="preserve"> is invoked repeatedly </w:t>
      </w:r>
      <w:r w:rsidR="00BE703C" w:rsidRPr="00A52AB8">
        <w:t xml:space="preserve">for each additional atlas frame storage buffer that is emptied, until </w:t>
      </w:r>
      <w:r w:rsidR="00BE703C" w:rsidRPr="00A52AB8">
        <w:rPr>
          <w:color w:val="000000" w:themeColor="text1"/>
        </w:rPr>
        <w:t>the number of atlas frames in the DAB is less than asps_max_dec_atlas_frame_buffering_minus1 + 1</w:t>
      </w:r>
      <w:r w:rsidR="00BE703C" w:rsidRPr="00A52AB8">
        <w:t>.</w:t>
      </w:r>
    </w:p>
    <w:p w14:paraId="54524790" w14:textId="77777777" w:rsidR="001E7DB6" w:rsidRPr="00A52AB8" w:rsidRDefault="001E7DB6">
      <w:pPr>
        <w:pStyle w:val="a4"/>
        <w:numPr>
          <w:ilvl w:val="3"/>
          <w:numId w:val="19"/>
        </w:numPr>
      </w:pPr>
      <w:bookmarkStart w:id="5198" w:name="_Toc50938984"/>
      <w:bookmarkStart w:id="5199" w:name="_Ref21520860"/>
      <w:bookmarkStart w:id="5200" w:name="_Ref21520915"/>
      <w:bookmarkStart w:id="5201" w:name="_Ref21520935"/>
      <w:bookmarkStart w:id="5202" w:name="_Ref21521002"/>
      <w:bookmarkStart w:id="5203" w:name="_Ref21521039"/>
      <w:bookmarkEnd w:id="5198"/>
      <w:r w:rsidRPr="00A52AB8">
        <w:t>Additional bumping</w:t>
      </w:r>
      <w:bookmarkEnd w:id="5199"/>
      <w:bookmarkEnd w:id="5200"/>
      <w:bookmarkEnd w:id="5201"/>
      <w:bookmarkEnd w:id="5202"/>
      <w:bookmarkEnd w:id="5203"/>
    </w:p>
    <w:p w14:paraId="73903960" w14:textId="28AC280C" w:rsidR="001E7DB6" w:rsidRPr="00A52AB8" w:rsidRDefault="001E7DB6">
      <w:bookmarkStart w:id="5204" w:name="_Toc347083759"/>
      <w:bookmarkStart w:id="5205" w:name="_Toc73966554"/>
      <w:bookmarkEnd w:id="5189"/>
      <w:bookmarkEnd w:id="5192"/>
      <w:bookmarkEnd w:id="5193"/>
      <w:bookmarkEnd w:id="5194"/>
      <w:bookmarkEnd w:id="5195"/>
      <w:bookmarkEnd w:id="5196"/>
      <w:bookmarkEnd w:id="5197"/>
      <w:bookmarkEnd w:id="5204"/>
      <w:bookmarkEnd w:id="5205"/>
      <w:r w:rsidRPr="00A52AB8">
        <w:t xml:space="preserve">The processes specified in this </w:t>
      </w:r>
      <w:r w:rsidR="00406A86" w:rsidRPr="00A52AB8">
        <w:t>subclause</w:t>
      </w:r>
      <w:r w:rsidRPr="00A52AB8">
        <w:t xml:space="preserve"> happen</w:t>
      </w:r>
      <w:r w:rsidR="00EC21EB" w:rsidRPr="00A52AB8">
        <w:tab/>
      </w:r>
      <w:r w:rsidRPr="00A52AB8">
        <w:t xml:space="preserve"> instantaneously when the last decoding unit of access unit n containing the current atlas frame is removed from the CAB.</w:t>
      </w:r>
    </w:p>
    <w:p w14:paraId="7EF5FE73" w14:textId="6F502F0E" w:rsidR="001E7DB6" w:rsidRPr="00A52AB8" w:rsidRDefault="001E7DB6">
      <w:r w:rsidRPr="00A52AB8">
        <w:t>When the current atlas frame has AtlasFrameOutputFlag equal to 1, for each atlas frame in the DAB that is marked as "needed for output" and follows the current atlas frame in output order, the associated variable AtlasFrameLatencyCount is set equal to AtlasFrameLatencyCount</w:t>
      </w:r>
      <w:r w:rsidR="00EC21EB" w:rsidRPr="00A52AB8">
        <w:t> </w:t>
      </w:r>
      <w:r w:rsidRPr="00A52AB8">
        <w:t>+ 1.</w:t>
      </w:r>
    </w:p>
    <w:p w14:paraId="3E2F753E" w14:textId="77777777" w:rsidR="001E7DB6" w:rsidRPr="00A52AB8" w:rsidRDefault="001E7DB6">
      <w:r w:rsidRPr="00A52AB8">
        <w:t>The following applies:</w:t>
      </w:r>
    </w:p>
    <w:p w14:paraId="3DB1A1EB" w14:textId="6E4DDB4B" w:rsidR="001E7DB6" w:rsidRPr="00A52AB8" w:rsidRDefault="001E7DB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If the current decoded atlas </w:t>
      </w:r>
      <w:r w:rsidR="00EC21EB" w:rsidRPr="00A52AB8">
        <w:rPr>
          <w:color w:val="000000" w:themeColor="text1"/>
        </w:rPr>
        <w:t xml:space="preserve">frame </w:t>
      </w:r>
      <w:r w:rsidRPr="00A52AB8">
        <w:rPr>
          <w:color w:val="000000" w:themeColor="text1"/>
        </w:rPr>
        <w:t>has AtlasFrameOutputFlag equal to 1, it is marked as "needed for output" and its associated variable AtlasFrameLatencyCount is set equal to 0.</w:t>
      </w:r>
    </w:p>
    <w:p w14:paraId="629D7867" w14:textId="6226C32B" w:rsidR="001E7DB6" w:rsidRPr="00A52AB8" w:rsidRDefault="001E7DB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Otherwise (the current decoded atlas frame</w:t>
      </w:r>
      <w:r w:rsidR="00EC21EB" w:rsidRPr="00A52AB8">
        <w:rPr>
          <w:color w:val="000000" w:themeColor="text1"/>
        </w:rPr>
        <w:t xml:space="preserve"> </w:t>
      </w:r>
      <w:r w:rsidRPr="00A52AB8">
        <w:rPr>
          <w:color w:val="000000" w:themeColor="text1"/>
        </w:rPr>
        <w:t>has AtlasFrameOutputFlag equal to 0), it is marked as "not needed for output".</w:t>
      </w:r>
    </w:p>
    <w:p w14:paraId="4E2104EC" w14:textId="4DAB8911" w:rsidR="001E7DB6" w:rsidRPr="00A52AB8" w:rsidRDefault="001E7DB6">
      <w:r w:rsidRPr="00A52AB8">
        <w:t xml:space="preserve">When </w:t>
      </w:r>
      <w:r w:rsidR="00774AFD" w:rsidRPr="00A52AB8">
        <w:t xml:space="preserve">the </w:t>
      </w:r>
      <w:r w:rsidRPr="00A52AB8">
        <w:t xml:space="preserve">following condition </w:t>
      </w:r>
      <w:r w:rsidR="00097BC1" w:rsidRPr="00A52AB8">
        <w:t>is</w:t>
      </w:r>
      <w:r w:rsidRPr="00A52AB8">
        <w:t xml:space="preserve"> true, the "bumping" process specified in </w:t>
      </w:r>
      <w:r w:rsidR="00406A86" w:rsidRPr="00A52AB8">
        <w:t>subclause</w:t>
      </w:r>
      <w:r w:rsidRPr="00A52AB8">
        <w:t> </w:t>
      </w:r>
      <w:r w:rsidR="00B96064" w:rsidRPr="00496A4D">
        <w:fldChar w:fldCharType="begin"/>
      </w:r>
      <w:r w:rsidR="00B96064" w:rsidRPr="00A52AB8">
        <w:instrText xml:space="preserve"> REF _Ref21521245 \w \h </w:instrText>
      </w:r>
      <w:r w:rsidR="005F133D" w:rsidRPr="00A52AB8">
        <w:instrText xml:space="preserve"> \* MERGEFORMAT </w:instrText>
      </w:r>
      <w:r w:rsidR="00B96064" w:rsidRPr="00496A4D">
        <w:fldChar w:fldCharType="separate"/>
      </w:r>
      <w:r w:rsidR="00507A67">
        <w:t>E.5.2.4</w:t>
      </w:r>
      <w:r w:rsidR="00B96064" w:rsidRPr="00496A4D">
        <w:fldChar w:fldCharType="end"/>
      </w:r>
      <w:r w:rsidRPr="00A52AB8">
        <w:t xml:space="preserve"> is invoked repeatedly until the following conditions </w:t>
      </w:r>
      <w:r w:rsidR="00B52FD4" w:rsidRPr="00A52AB8">
        <w:t>is not</w:t>
      </w:r>
      <w:r w:rsidRPr="00A52AB8">
        <w:t xml:space="preserve"> true:</w:t>
      </w:r>
    </w:p>
    <w:p w14:paraId="63C6B516" w14:textId="2098E59E" w:rsidR="001E7DB6" w:rsidRPr="00A52AB8" w:rsidRDefault="001E7DB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The number of atlas frames in the DAB that are marked as "needed for output" is greater than </w:t>
      </w:r>
      <w:r w:rsidR="008D3D86" w:rsidRPr="00A52AB8">
        <w:rPr>
          <w:color w:val="000000" w:themeColor="text1"/>
        </w:rPr>
        <w:t>asps_max_dec_atlas_frame_buffering_minus1</w:t>
      </w:r>
      <w:r w:rsidR="00B52FD4" w:rsidRPr="00A52AB8">
        <w:rPr>
          <w:color w:val="000000" w:themeColor="text1"/>
        </w:rPr>
        <w:t> + 1</w:t>
      </w:r>
      <w:r w:rsidRPr="00A52AB8">
        <w:rPr>
          <w:color w:val="000000" w:themeColor="text1"/>
        </w:rPr>
        <w:t>.</w:t>
      </w:r>
    </w:p>
    <w:p w14:paraId="591E07A6" w14:textId="77777777" w:rsidR="002D2094" w:rsidRPr="00A52AB8" w:rsidRDefault="002D2094">
      <w:pPr>
        <w:pStyle w:val="a4"/>
        <w:numPr>
          <w:ilvl w:val="3"/>
          <w:numId w:val="19"/>
        </w:numPr>
      </w:pPr>
      <w:bookmarkStart w:id="5206" w:name="_Ref21520946"/>
      <w:bookmarkStart w:id="5207" w:name="_Ref21520984"/>
      <w:bookmarkStart w:id="5208" w:name="_Ref21521194"/>
      <w:bookmarkStart w:id="5209" w:name="_Ref21521211"/>
      <w:bookmarkStart w:id="5210" w:name="_Ref21521245"/>
      <w:r w:rsidRPr="00A52AB8">
        <w:t>"Bumping" process</w:t>
      </w:r>
      <w:bookmarkEnd w:id="5206"/>
      <w:bookmarkEnd w:id="5207"/>
      <w:bookmarkEnd w:id="5208"/>
      <w:bookmarkEnd w:id="5209"/>
      <w:bookmarkEnd w:id="5210"/>
    </w:p>
    <w:p w14:paraId="70185267" w14:textId="77777777" w:rsidR="001E7DB6" w:rsidRPr="00A52AB8" w:rsidRDefault="001E7DB6">
      <w:pPr>
        <w:pStyle w:val="enumlev1"/>
        <w:ind w:left="0" w:firstLine="0"/>
        <w:rPr>
          <w:rFonts w:ascii="Cambria" w:hAnsi="Cambria"/>
          <w:sz w:val="22"/>
          <w:szCs w:val="22"/>
        </w:rPr>
      </w:pPr>
      <w:r w:rsidRPr="00A52AB8">
        <w:rPr>
          <w:rFonts w:ascii="Cambria" w:hAnsi="Cambria"/>
          <w:sz w:val="22"/>
          <w:szCs w:val="22"/>
        </w:rPr>
        <w:t>The "bumping" process consists of the following ordered steps:</w:t>
      </w:r>
    </w:p>
    <w:p w14:paraId="701E3738" w14:textId="30DF091B" w:rsidR="001E7DB6" w:rsidRPr="00A52AB8" w:rsidRDefault="001E7DB6" w:rsidP="001000BF">
      <w:pPr>
        <w:pStyle w:val="enumlev1"/>
        <w:numPr>
          <w:ilvl w:val="0"/>
          <w:numId w:val="176"/>
        </w:numPr>
        <w:tabs>
          <w:tab w:val="clear" w:pos="760"/>
          <w:tab w:val="clear" w:pos="794"/>
          <w:tab w:val="left" w:pos="600"/>
          <w:tab w:val="num" w:pos="2300"/>
        </w:tabs>
        <w:ind w:left="600"/>
        <w:textAlignment w:val="auto"/>
        <w:rPr>
          <w:rFonts w:ascii="Cambria" w:hAnsi="Cambria"/>
          <w:sz w:val="22"/>
          <w:szCs w:val="22"/>
        </w:rPr>
      </w:pPr>
      <w:r w:rsidRPr="00A52AB8">
        <w:rPr>
          <w:rFonts w:ascii="Cambria" w:hAnsi="Cambria"/>
          <w:sz w:val="22"/>
          <w:szCs w:val="22"/>
        </w:rPr>
        <w:t xml:space="preserve">The atlas frame that is first for output is selected as the one having the smallest value of </w:t>
      </w:r>
      <w:r w:rsidR="00F4336E" w:rsidRPr="00A52AB8">
        <w:rPr>
          <w:rFonts w:ascii="Cambria" w:hAnsi="Cambria"/>
          <w:sz w:val="22"/>
          <w:szCs w:val="22"/>
        </w:rPr>
        <w:t>A</w:t>
      </w:r>
      <w:r w:rsidRPr="00A52AB8">
        <w:rPr>
          <w:rFonts w:ascii="Cambria" w:hAnsi="Cambria"/>
          <w:sz w:val="22"/>
          <w:szCs w:val="22"/>
        </w:rPr>
        <w:t>tlasFr</w:t>
      </w:r>
      <w:r w:rsidR="00B52FD4" w:rsidRPr="00A52AB8">
        <w:rPr>
          <w:rFonts w:ascii="Cambria" w:hAnsi="Cambria"/>
          <w:sz w:val="22"/>
          <w:szCs w:val="22"/>
        </w:rPr>
        <w:t>m</w:t>
      </w:r>
      <w:r w:rsidRPr="00A52AB8">
        <w:rPr>
          <w:rFonts w:ascii="Cambria" w:hAnsi="Cambria"/>
          <w:sz w:val="22"/>
          <w:szCs w:val="22"/>
        </w:rPr>
        <w:t xml:space="preserve">OrderCntVal of all atlas frames in the DAB </w:t>
      </w:r>
      <w:r w:rsidR="00B95C43" w:rsidRPr="00A52AB8">
        <w:rPr>
          <w:rFonts w:ascii="Cambria" w:hAnsi="Cambria"/>
          <w:sz w:val="22"/>
          <w:szCs w:val="22"/>
        </w:rPr>
        <w:t xml:space="preserve">is </w:t>
      </w:r>
      <w:r w:rsidRPr="00A52AB8">
        <w:rPr>
          <w:rFonts w:ascii="Cambria" w:hAnsi="Cambria"/>
          <w:sz w:val="22"/>
          <w:szCs w:val="22"/>
        </w:rPr>
        <w:t>marked as "needed for output".</w:t>
      </w:r>
    </w:p>
    <w:p w14:paraId="3F9C25B9" w14:textId="06587DF8" w:rsidR="00FE1856" w:rsidRPr="00A52AB8" w:rsidRDefault="00FE1856" w:rsidP="001000BF">
      <w:pPr>
        <w:pStyle w:val="enumlev1"/>
        <w:numPr>
          <w:ilvl w:val="0"/>
          <w:numId w:val="176"/>
        </w:numPr>
        <w:tabs>
          <w:tab w:val="clear" w:pos="760"/>
          <w:tab w:val="clear" w:pos="794"/>
          <w:tab w:val="left" w:pos="600"/>
          <w:tab w:val="num" w:pos="2300"/>
        </w:tabs>
        <w:ind w:left="600"/>
        <w:textAlignment w:val="auto"/>
        <w:rPr>
          <w:rFonts w:ascii="Cambria" w:hAnsi="Cambria"/>
          <w:sz w:val="22"/>
          <w:szCs w:val="22"/>
        </w:rPr>
      </w:pPr>
      <w:r w:rsidRPr="00A52AB8">
        <w:rPr>
          <w:rFonts w:ascii="Cambria" w:hAnsi="Cambria"/>
          <w:sz w:val="22"/>
          <w:szCs w:val="22"/>
        </w:rPr>
        <w:t>The atlas frame is output, and the atlas frame is marked as "not needed for output".</w:t>
      </w:r>
    </w:p>
    <w:p w14:paraId="0BE54A78" w14:textId="3582622A" w:rsidR="00FE1856" w:rsidRPr="00A52AB8" w:rsidRDefault="00FE1856" w:rsidP="001000BF">
      <w:pPr>
        <w:pStyle w:val="enumlev1"/>
        <w:numPr>
          <w:ilvl w:val="0"/>
          <w:numId w:val="176"/>
        </w:numPr>
        <w:tabs>
          <w:tab w:val="clear" w:pos="760"/>
          <w:tab w:val="clear" w:pos="794"/>
          <w:tab w:val="left" w:pos="600"/>
          <w:tab w:val="num" w:pos="2300"/>
        </w:tabs>
        <w:ind w:left="600"/>
        <w:textAlignment w:val="auto"/>
        <w:rPr>
          <w:rFonts w:ascii="Cambria" w:hAnsi="Cambria"/>
          <w:sz w:val="22"/>
          <w:szCs w:val="22"/>
        </w:rPr>
      </w:pPr>
      <w:r w:rsidRPr="00A52AB8">
        <w:rPr>
          <w:rFonts w:ascii="Cambria" w:hAnsi="Cambria"/>
          <w:sz w:val="22"/>
          <w:szCs w:val="22"/>
        </w:rPr>
        <w:t>When the atlas frame storage buffer that included the atlas frame that was output contains an atlas frame marked as "unused for reference", the atlas frame storage buffer is emptied.</w:t>
      </w:r>
    </w:p>
    <w:p w14:paraId="52395EA5" w14:textId="729B81D6" w:rsidR="008164D3" w:rsidRPr="00A52AB8" w:rsidRDefault="001E7DB6">
      <w:pPr>
        <w:pStyle w:val="Note1"/>
        <w:rPr>
          <w:rFonts w:ascii="Cambria" w:hAnsi="Cambria"/>
        </w:rPr>
      </w:pPr>
      <w:r w:rsidRPr="00A52AB8">
        <w:rPr>
          <w:rFonts w:ascii="Cambria" w:hAnsi="Cambria"/>
        </w:rPr>
        <w:t xml:space="preserve">NOTE – For any two atlas frames atlasFrameA and atlasFrameB that belong to the same CAS and are output by the "bumping process", when atlasFrameA is output earlier than atlasFrameB, the value of </w:t>
      </w:r>
      <w:r w:rsidR="003A2EB1" w:rsidRPr="00A52AB8">
        <w:rPr>
          <w:rFonts w:ascii="Cambria" w:hAnsi="Cambria"/>
        </w:rPr>
        <w:t>AtlasFrmOrderCntVa</w:t>
      </w:r>
      <w:r w:rsidRPr="00A52AB8">
        <w:rPr>
          <w:rFonts w:ascii="Cambria" w:hAnsi="Cambria"/>
        </w:rPr>
        <w:t xml:space="preserve">l of atlasFrameA is less than the value of </w:t>
      </w:r>
      <w:r w:rsidR="003A2EB1" w:rsidRPr="00A52AB8">
        <w:rPr>
          <w:rFonts w:ascii="Cambria" w:hAnsi="Cambria"/>
        </w:rPr>
        <w:t>AtlasFrmOrderCntVa</w:t>
      </w:r>
      <w:r w:rsidRPr="00A52AB8">
        <w:rPr>
          <w:rFonts w:ascii="Cambria" w:hAnsi="Cambria"/>
        </w:rPr>
        <w:t>l of atlasFrameB.</w:t>
      </w:r>
    </w:p>
    <w:p w14:paraId="7DF0D128" w14:textId="77777777" w:rsidR="00BB7045" w:rsidRPr="00A52AB8" w:rsidRDefault="00BB7045">
      <w:pPr>
        <w:pStyle w:val="ANNEX"/>
        <w:numPr>
          <w:ilvl w:val="0"/>
          <w:numId w:val="19"/>
        </w:numPr>
        <w:rPr>
          <w:color w:val="000000" w:themeColor="text1"/>
        </w:rPr>
      </w:pPr>
      <w:r w:rsidRPr="00A52AB8">
        <w:rPr>
          <w:color w:val="000000" w:themeColor="text1"/>
        </w:rPr>
        <w:br/>
      </w:r>
      <w:bookmarkStart w:id="5211" w:name="_Toc52181706"/>
      <w:r w:rsidR="001B73C3" w:rsidRPr="00A52AB8">
        <w:rPr>
          <w:color w:val="000000" w:themeColor="text1"/>
        </w:rPr>
        <w:t>(normative)</w:t>
      </w:r>
      <w:r w:rsidRPr="00A52AB8">
        <w:rPr>
          <w:color w:val="000000" w:themeColor="text1"/>
        </w:rPr>
        <w:br/>
      </w:r>
      <w:bookmarkStart w:id="5212" w:name="_Ref7723976"/>
      <w:r w:rsidRPr="00A52AB8">
        <w:rPr>
          <w:color w:val="000000" w:themeColor="text1"/>
        </w:rPr>
        <w:t>Supplemental enhancement information</w:t>
      </w:r>
      <w:bookmarkEnd w:id="5211"/>
      <w:bookmarkEnd w:id="5212"/>
    </w:p>
    <w:p w14:paraId="1A94D6FB" w14:textId="77777777" w:rsidR="00BB7045" w:rsidRPr="00A52AB8" w:rsidRDefault="00BB7045">
      <w:pPr>
        <w:pStyle w:val="a2"/>
        <w:numPr>
          <w:ilvl w:val="1"/>
          <w:numId w:val="19"/>
        </w:numPr>
        <w:rPr>
          <w:color w:val="000000" w:themeColor="text1"/>
        </w:rPr>
      </w:pPr>
      <w:bookmarkStart w:id="5213" w:name="_Toc38891803"/>
      <w:bookmarkStart w:id="5214" w:name="_Toc39426400"/>
      <w:bookmarkStart w:id="5215" w:name="_Toc42730207"/>
      <w:bookmarkStart w:id="5216" w:name="_Toc45105669"/>
      <w:bookmarkStart w:id="5217" w:name="_Toc45530528"/>
      <w:bookmarkStart w:id="5218" w:name="_Toc46301891"/>
      <w:bookmarkStart w:id="5219" w:name="_Toc46302716"/>
      <w:bookmarkStart w:id="5220" w:name="_Ref38310292"/>
      <w:bookmarkStart w:id="5221" w:name="_Toc52181707"/>
      <w:bookmarkEnd w:id="5213"/>
      <w:bookmarkEnd w:id="5214"/>
      <w:bookmarkEnd w:id="5215"/>
      <w:bookmarkEnd w:id="5216"/>
      <w:bookmarkEnd w:id="5217"/>
      <w:bookmarkEnd w:id="5218"/>
      <w:bookmarkEnd w:id="5219"/>
      <w:r w:rsidRPr="00A52AB8">
        <w:rPr>
          <w:color w:val="000000" w:themeColor="text1"/>
        </w:rPr>
        <w:t>General</w:t>
      </w:r>
      <w:bookmarkEnd w:id="5220"/>
      <w:bookmarkEnd w:id="5221"/>
    </w:p>
    <w:p w14:paraId="5B0820F1" w14:textId="1BCEC42A" w:rsidR="00BB7045" w:rsidRPr="00A52AB8" w:rsidRDefault="00BB7045">
      <w:r w:rsidRPr="00A52AB8">
        <w:t>This annex specifies syntax and semantics for SEI message payloads</w:t>
      </w:r>
      <w:r w:rsidR="004429AA" w:rsidRPr="00A52AB8">
        <w:rPr>
          <w:color w:val="000000" w:themeColor="text1"/>
        </w:rPr>
        <w:t xml:space="preserve"> associated </w:t>
      </w:r>
      <w:r w:rsidR="004429AA" w:rsidRPr="00A52AB8">
        <w:t xml:space="preserve">with an atlas, identified with an atlas ID, </w:t>
      </w:r>
      <w:r w:rsidR="004429AA" w:rsidRPr="00A52AB8">
        <w:rPr>
          <w:color w:val="000000" w:themeColor="text1"/>
        </w:rPr>
        <w:t xml:space="preserve">SeiAtlasID, which is set equal to vuh_atlas_id </w:t>
      </w:r>
      <w:r w:rsidR="004429AA" w:rsidRPr="00A52AB8">
        <w:t>or determined through external means if the V3C unit header is unavailable</w:t>
      </w:r>
      <w:r w:rsidR="004429AA" w:rsidRPr="00A52AB8">
        <w:rPr>
          <w:color w:val="000000" w:themeColor="text1"/>
        </w:rPr>
        <w:t>.</w:t>
      </w:r>
    </w:p>
    <w:p w14:paraId="61E49B82" w14:textId="7CC63155" w:rsidR="000E2A3F" w:rsidRPr="00A52AB8" w:rsidRDefault="00BB7045">
      <w:pPr>
        <w:rPr>
          <w:color w:val="000000" w:themeColor="text1"/>
        </w:rPr>
      </w:pPr>
      <w:r w:rsidRPr="00A52AB8">
        <w:rPr>
          <w:color w:val="000000" w:themeColor="text1"/>
        </w:rPr>
        <w:t>SEI messages assist in processes related to decoding, reconstruction, display, or other purposes</w:t>
      </w:r>
      <w:r w:rsidR="004429AA" w:rsidRPr="00A52AB8">
        <w:rPr>
          <w:color w:val="000000" w:themeColor="text1"/>
        </w:rPr>
        <w:t xml:space="preserve">. </w:t>
      </w:r>
      <w:r w:rsidR="000E2A3F" w:rsidRPr="00A52AB8">
        <w:rPr>
          <w:color w:val="000000" w:themeColor="text1"/>
        </w:rPr>
        <w:t>This annex defines two types of SEI messages: essential and non-essential.</w:t>
      </w:r>
    </w:p>
    <w:p w14:paraId="1A2EC1E4" w14:textId="0D89420E" w:rsidR="000E2A3F" w:rsidRPr="00A52AB8" w:rsidRDefault="000E2A3F">
      <w:pPr>
        <w:rPr>
          <w:color w:val="000000" w:themeColor="text1"/>
        </w:rPr>
      </w:pPr>
      <w:r w:rsidRPr="00A52AB8">
        <w:rPr>
          <w:color w:val="000000" w:themeColor="text1"/>
        </w:rPr>
        <w:t xml:space="preserve">Non-essential SEI messages are not required by the decoding process. Conforming decoders are not required to process this information for output order conformance to </w:t>
      </w:r>
      <w:r w:rsidR="00FD4C0B" w:rsidRPr="00A52AB8">
        <w:rPr>
          <w:color w:val="000000" w:themeColor="text1"/>
        </w:rPr>
        <w:t>this document</w:t>
      </w:r>
      <w:r w:rsidRPr="00A52AB8">
        <w:rPr>
          <w:color w:val="000000" w:themeColor="text1"/>
        </w:rPr>
        <w:t xml:space="preserve"> (see </w:t>
      </w:r>
      <w:r w:rsidR="001D0D26" w:rsidRPr="00496A4D">
        <w:rPr>
          <w:color w:val="000000" w:themeColor="text1"/>
        </w:rPr>
        <w:fldChar w:fldCharType="begin"/>
      </w:r>
      <w:r w:rsidR="001D0D26" w:rsidRPr="00A52AB8">
        <w:rPr>
          <w:color w:val="000000" w:themeColor="text1"/>
        </w:rPr>
        <w:instrText xml:space="preserve"> REF _Ref38898728 \r \h  \* MERGEFORMAT </w:instrText>
      </w:r>
      <w:r w:rsidR="001D0D26" w:rsidRPr="00496A4D">
        <w:rPr>
          <w:color w:val="000000" w:themeColor="text1"/>
        </w:rPr>
      </w:r>
      <w:r w:rsidR="001D0D26" w:rsidRPr="00496A4D">
        <w:rPr>
          <w:color w:val="000000" w:themeColor="text1"/>
        </w:rPr>
        <w:fldChar w:fldCharType="separate"/>
      </w:r>
      <w:r w:rsidR="00507A67">
        <w:rPr>
          <w:color w:val="000000" w:themeColor="text1"/>
        </w:rPr>
        <w:t>Annex A</w:t>
      </w:r>
      <w:r w:rsidR="001D0D26" w:rsidRPr="00496A4D">
        <w:rPr>
          <w:color w:val="000000" w:themeColor="text1"/>
        </w:rPr>
        <w:fldChar w:fldCharType="end"/>
      </w:r>
      <w:r w:rsidRPr="00A52AB8">
        <w:rPr>
          <w:color w:val="000000" w:themeColor="text1"/>
        </w:rPr>
        <w:t xml:space="preserve"> for the specification of conformance).</w:t>
      </w:r>
    </w:p>
    <w:p w14:paraId="0ED0FE61" w14:textId="646A5E04" w:rsidR="00BB7045" w:rsidRPr="00A52AB8" w:rsidRDefault="00BB7045" w:rsidP="007656E5">
      <w:pPr>
        <w:tabs>
          <w:tab w:val="clear" w:pos="403"/>
        </w:tabs>
        <w:rPr>
          <w:color w:val="000000" w:themeColor="text1"/>
        </w:rPr>
      </w:pPr>
      <w:r w:rsidRPr="00A52AB8">
        <w:rPr>
          <w:color w:val="000000" w:themeColor="text1"/>
        </w:rPr>
        <w:t xml:space="preserve">In </w:t>
      </w:r>
      <w:r w:rsidR="00406A86" w:rsidRPr="00A52AB8">
        <w:rPr>
          <w:color w:val="000000" w:themeColor="text1"/>
        </w:rPr>
        <w:t>subclause</w:t>
      </w:r>
      <w:r w:rsidRPr="00A52AB8">
        <w:rPr>
          <w:color w:val="000000" w:themeColor="text1"/>
        </w:rPr>
        <w:t xml:space="preserve"> </w:t>
      </w:r>
      <w:r w:rsidR="00013614" w:rsidRPr="00496A4D">
        <w:rPr>
          <w:color w:val="000000" w:themeColor="text1"/>
        </w:rPr>
        <w:fldChar w:fldCharType="begin"/>
      </w:r>
      <w:r w:rsidR="00013614" w:rsidRPr="00A52AB8">
        <w:rPr>
          <w:color w:val="000000" w:themeColor="text1"/>
        </w:rPr>
        <w:instrText xml:space="preserve"> REF _Ref21520853 \r \h </w:instrText>
      </w:r>
      <w:r w:rsidR="006371AA" w:rsidRPr="00A52AB8">
        <w:rPr>
          <w:color w:val="000000" w:themeColor="text1"/>
        </w:rPr>
        <w:instrText xml:space="preserve"> \* MERGEFORMAT </w:instrText>
      </w:r>
      <w:r w:rsidR="00013614" w:rsidRPr="00496A4D">
        <w:rPr>
          <w:color w:val="000000" w:themeColor="text1"/>
        </w:rPr>
      </w:r>
      <w:r w:rsidR="00013614" w:rsidRPr="00496A4D">
        <w:rPr>
          <w:color w:val="000000" w:themeColor="text1"/>
        </w:rPr>
        <w:fldChar w:fldCharType="separate"/>
      </w:r>
      <w:r w:rsidR="00507A67">
        <w:rPr>
          <w:color w:val="000000" w:themeColor="text1"/>
        </w:rPr>
        <w:t>E.5.2</w:t>
      </w:r>
      <w:r w:rsidR="00013614" w:rsidRPr="00496A4D">
        <w:rPr>
          <w:color w:val="000000" w:themeColor="text1"/>
        </w:rPr>
        <w:fldChar w:fldCharType="end"/>
      </w:r>
      <w:r w:rsidR="00013614" w:rsidRPr="00A52AB8">
        <w:rPr>
          <w:color w:val="000000" w:themeColor="text1"/>
        </w:rPr>
        <w:t xml:space="preserve"> </w:t>
      </w:r>
      <w:r w:rsidRPr="00A52AB8">
        <w:rPr>
          <w:color w:val="000000" w:themeColor="text1"/>
        </w:rPr>
        <w:t xml:space="preserve">including its subclauses, specification for presence of </w:t>
      </w:r>
      <w:r w:rsidR="000E2A3F" w:rsidRPr="00A52AB8">
        <w:rPr>
          <w:color w:val="000000" w:themeColor="text1"/>
        </w:rPr>
        <w:t xml:space="preserve">non-essential </w:t>
      </w:r>
      <w:r w:rsidRPr="00A52AB8">
        <w:rPr>
          <w:color w:val="000000" w:themeColor="text1"/>
        </w:rPr>
        <w:t xml:space="preserve">SEI messages </w:t>
      </w:r>
      <w:r w:rsidR="00C42897" w:rsidRPr="00A52AB8">
        <w:rPr>
          <w:color w:val="000000" w:themeColor="text1"/>
        </w:rPr>
        <w:t>is</w:t>
      </w:r>
      <w:r w:rsidRPr="00A52AB8">
        <w:rPr>
          <w:color w:val="000000" w:themeColor="text1"/>
        </w:rPr>
        <w:t xml:space="preserve"> also satisfied when those messages (or some subset of them) are conveyed to decoders (or to the HRD) by other means not specified in </w:t>
      </w:r>
      <w:r w:rsidR="00FD4C0B" w:rsidRPr="00A52AB8">
        <w:rPr>
          <w:color w:val="000000" w:themeColor="text1"/>
        </w:rPr>
        <w:t>this document</w:t>
      </w:r>
      <w:r w:rsidRPr="00A52AB8">
        <w:rPr>
          <w:color w:val="000000" w:themeColor="text1"/>
        </w:rPr>
        <w:t xml:space="preserve">. When present in the bitstream, </w:t>
      </w:r>
      <w:r w:rsidR="000E2A3F" w:rsidRPr="00A52AB8">
        <w:rPr>
          <w:color w:val="000000" w:themeColor="text1"/>
        </w:rPr>
        <w:t xml:space="preserve">non-essential </w:t>
      </w:r>
      <w:r w:rsidRPr="00A52AB8">
        <w:rPr>
          <w:color w:val="000000" w:themeColor="text1"/>
        </w:rPr>
        <w:t xml:space="preserve">SEI messages shall obey the syntax and semantics specified in </w:t>
      </w:r>
      <w:r w:rsidR="00406A86" w:rsidRPr="00A52AB8">
        <w:rPr>
          <w:color w:val="000000" w:themeColor="text1"/>
        </w:rPr>
        <w:t>subclause</w:t>
      </w:r>
      <w:r w:rsidRPr="00A52AB8">
        <w:rPr>
          <w:color w:val="000000" w:themeColor="text1"/>
        </w:rPr>
        <w:t xml:space="preserve"> </w:t>
      </w:r>
      <w:r w:rsidR="00C42897" w:rsidRPr="00496A4D">
        <w:rPr>
          <w:color w:val="000000" w:themeColor="text1"/>
        </w:rPr>
        <w:fldChar w:fldCharType="begin"/>
      </w:r>
      <w:r w:rsidR="00C42897" w:rsidRPr="00A52AB8">
        <w:rPr>
          <w:color w:val="000000" w:themeColor="text1"/>
        </w:rPr>
        <w:instrText xml:space="preserve"> REF _Ref5888159 \r \h </w:instrText>
      </w:r>
      <w:r w:rsidR="003E3CBC" w:rsidRPr="00A52AB8">
        <w:rPr>
          <w:color w:val="000000" w:themeColor="text1"/>
        </w:rPr>
        <w:instrText xml:space="preserve"> \* MERGEFORMAT </w:instrText>
      </w:r>
      <w:r w:rsidR="00C42897" w:rsidRPr="00496A4D">
        <w:rPr>
          <w:color w:val="000000" w:themeColor="text1"/>
        </w:rPr>
      </w:r>
      <w:r w:rsidR="00C42897" w:rsidRPr="00496A4D">
        <w:rPr>
          <w:color w:val="000000" w:themeColor="text1"/>
        </w:rPr>
        <w:fldChar w:fldCharType="separate"/>
      </w:r>
      <w:r w:rsidR="00507A67">
        <w:rPr>
          <w:color w:val="000000" w:themeColor="text1"/>
        </w:rPr>
        <w:t>8.3.8</w:t>
      </w:r>
      <w:r w:rsidR="00C42897" w:rsidRPr="00496A4D">
        <w:rPr>
          <w:color w:val="000000" w:themeColor="text1"/>
        </w:rPr>
        <w:fldChar w:fldCharType="end"/>
      </w:r>
      <w:r w:rsidRPr="00A52AB8">
        <w:rPr>
          <w:color w:val="000000" w:themeColor="text1"/>
        </w:rPr>
        <w:t xml:space="preserve"> and this annex. When the content of </w:t>
      </w:r>
      <w:r w:rsidR="000E2A3F" w:rsidRPr="00A52AB8">
        <w:rPr>
          <w:color w:val="000000" w:themeColor="text1"/>
        </w:rPr>
        <w:t xml:space="preserve">a non-essential </w:t>
      </w:r>
      <w:r w:rsidRPr="00A52AB8">
        <w:rPr>
          <w:color w:val="000000" w:themeColor="text1"/>
        </w:rPr>
        <w:t>SEI message is conveyed for the application by some means other than presence within the bitstream, the representation of the content of the SEI message is not required to use the same syntax specified in this annex. For the purpose of counting bits, only the appropriate bits that are actually present in the bitstream are counted.</w:t>
      </w:r>
    </w:p>
    <w:p w14:paraId="02BB8BB6" w14:textId="6FD3F9F5" w:rsidR="000E2A3F" w:rsidRPr="00A52AB8" w:rsidRDefault="000E2A3F" w:rsidP="007656E5">
      <w:pPr>
        <w:tabs>
          <w:tab w:val="clear" w:pos="403"/>
        </w:tabs>
        <w:jc w:val="left"/>
        <w:rPr>
          <w:color w:val="000000" w:themeColor="text1"/>
        </w:rPr>
      </w:pPr>
      <w:r w:rsidRPr="00A52AB8">
        <w:rPr>
          <w:color w:val="000000" w:themeColor="text1"/>
        </w:rPr>
        <w:t xml:space="preserve">Essential SEI messages are an integral part of the </w:t>
      </w:r>
      <w:r w:rsidR="00134F81" w:rsidRPr="00A52AB8">
        <w:rPr>
          <w:color w:val="000000" w:themeColor="text1"/>
        </w:rPr>
        <w:t>V3C</w:t>
      </w:r>
      <w:r w:rsidRPr="00A52AB8">
        <w:rPr>
          <w:color w:val="000000" w:themeColor="text1"/>
        </w:rPr>
        <w:t xml:space="preserve"> bitstream and should not be removed from the bitstream. The essential SEI messages are categorized into two types</w:t>
      </w:r>
      <w:r w:rsidR="00034E75" w:rsidRPr="00A52AB8">
        <w:rPr>
          <w:color w:val="000000" w:themeColor="text1"/>
        </w:rPr>
        <w:t xml:space="preserve">, based on the conformance point </w:t>
      </w:r>
      <w:r w:rsidR="00CC07CC" w:rsidRPr="00A52AB8">
        <w:rPr>
          <w:color w:val="000000" w:themeColor="text1"/>
        </w:rPr>
        <w:t xml:space="preserve">they are related to, as specified in </w:t>
      </w:r>
      <w:r w:rsidR="00FD129E" w:rsidRPr="00496A4D">
        <w:rPr>
          <w:color w:val="000000" w:themeColor="text1"/>
        </w:rPr>
        <w:fldChar w:fldCharType="begin"/>
      </w:r>
      <w:r w:rsidR="00FD129E" w:rsidRPr="00A52AB8">
        <w:rPr>
          <w:color w:val="000000" w:themeColor="text1"/>
        </w:rPr>
        <w:instrText xml:space="preserve"> REF _Ref38898728 \r \h </w:instrText>
      </w:r>
      <w:r w:rsidR="006371AA" w:rsidRPr="00A52AB8">
        <w:rPr>
          <w:color w:val="000000" w:themeColor="text1"/>
        </w:rPr>
        <w:instrText xml:space="preserve"> \* MERGEFORMAT </w:instrText>
      </w:r>
      <w:r w:rsidR="00FD129E" w:rsidRPr="00496A4D">
        <w:rPr>
          <w:color w:val="000000" w:themeColor="text1"/>
        </w:rPr>
      </w:r>
      <w:r w:rsidR="00FD129E" w:rsidRPr="00496A4D">
        <w:rPr>
          <w:color w:val="000000" w:themeColor="text1"/>
        </w:rPr>
        <w:fldChar w:fldCharType="separate"/>
      </w:r>
      <w:r w:rsidR="00507A67">
        <w:rPr>
          <w:color w:val="000000" w:themeColor="text1"/>
        </w:rPr>
        <w:t>Annex A</w:t>
      </w:r>
      <w:r w:rsidR="00FD129E" w:rsidRPr="00496A4D">
        <w:rPr>
          <w:color w:val="000000" w:themeColor="text1"/>
        </w:rPr>
        <w:fldChar w:fldCharType="end"/>
      </w:r>
      <w:r w:rsidR="00FD129E" w:rsidRPr="00A52AB8">
        <w:rPr>
          <w:color w:val="000000" w:themeColor="text1"/>
        </w:rPr>
        <w:t>.</w:t>
      </w:r>
    </w:p>
    <w:p w14:paraId="6FEB68A1" w14:textId="77777777" w:rsidR="000E2A3F" w:rsidRPr="00A52AB8" w:rsidRDefault="008405C0">
      <w:pPr>
        <w:pStyle w:val="ListParagraph"/>
        <w:numPr>
          <w:ilvl w:val="0"/>
          <w:numId w:val="197"/>
        </w:numPr>
        <w:tabs>
          <w:tab w:val="clear" w:pos="403"/>
        </w:tabs>
        <w:spacing w:line="240" w:lineRule="auto"/>
        <w:ind w:leftChars="0"/>
        <w:rPr>
          <w:color w:val="000000" w:themeColor="text1"/>
        </w:rPr>
      </w:pPr>
      <w:r w:rsidRPr="00A52AB8">
        <w:rPr>
          <w:color w:val="000000" w:themeColor="text1"/>
        </w:rPr>
        <w:t xml:space="preserve">Conformance point </w:t>
      </w:r>
      <w:r w:rsidR="000E2A3F" w:rsidRPr="00A52AB8">
        <w:rPr>
          <w:color w:val="000000" w:themeColor="text1"/>
        </w:rPr>
        <w:t>A</w:t>
      </w:r>
      <w:r w:rsidR="00076923" w:rsidRPr="00A52AB8">
        <w:rPr>
          <w:color w:val="000000" w:themeColor="text1"/>
        </w:rPr>
        <w:t>, named as Type-A,</w:t>
      </w:r>
      <w:r w:rsidR="000E2A3F" w:rsidRPr="00A52AB8">
        <w:rPr>
          <w:color w:val="000000" w:themeColor="text1"/>
        </w:rPr>
        <w:t xml:space="preserve"> essential SEI messages: These SEIs contain information required to check bitstream conformance and for output timing decoder conformance. Every </w:t>
      </w:r>
      <w:r w:rsidR="00134F81" w:rsidRPr="00A52AB8">
        <w:rPr>
          <w:color w:val="000000" w:themeColor="text1"/>
        </w:rPr>
        <w:t>V3C</w:t>
      </w:r>
      <w:r w:rsidR="000E2A3F" w:rsidRPr="00A52AB8">
        <w:rPr>
          <w:color w:val="000000" w:themeColor="text1"/>
        </w:rPr>
        <w:t xml:space="preserve"> decoder conforming to point A should not discard any relevant Type-A essential SEI messages and shall consider them for bitstream conformance and for output timing decoder conformance.</w:t>
      </w:r>
    </w:p>
    <w:p w14:paraId="3519EC71" w14:textId="6EF0F1D3" w:rsidR="000E2A3F" w:rsidRPr="00A52AB8" w:rsidRDefault="008405C0">
      <w:pPr>
        <w:pStyle w:val="ListParagraph"/>
        <w:numPr>
          <w:ilvl w:val="0"/>
          <w:numId w:val="197"/>
        </w:numPr>
        <w:tabs>
          <w:tab w:val="clear" w:pos="403"/>
        </w:tabs>
        <w:spacing w:line="240" w:lineRule="auto"/>
        <w:ind w:leftChars="0"/>
        <w:rPr>
          <w:color w:val="000000" w:themeColor="text1"/>
        </w:rPr>
      </w:pPr>
      <w:r w:rsidRPr="00A52AB8">
        <w:rPr>
          <w:color w:val="000000" w:themeColor="text1"/>
        </w:rPr>
        <w:t xml:space="preserve">Conformance point </w:t>
      </w:r>
      <w:r w:rsidR="000E2A3F" w:rsidRPr="00A52AB8">
        <w:rPr>
          <w:color w:val="000000" w:themeColor="text1"/>
        </w:rPr>
        <w:t>B</w:t>
      </w:r>
      <w:r w:rsidR="00076923" w:rsidRPr="00A52AB8">
        <w:rPr>
          <w:color w:val="000000" w:themeColor="text1"/>
        </w:rPr>
        <w:t>, named as Type-B,</w:t>
      </w:r>
      <w:r w:rsidR="000E2A3F" w:rsidRPr="00A52AB8">
        <w:rPr>
          <w:color w:val="000000" w:themeColor="text1"/>
        </w:rPr>
        <w:t xml:space="preserve"> essential SEI messages: </w:t>
      </w:r>
      <w:r w:rsidR="00134F81" w:rsidRPr="00A52AB8">
        <w:rPr>
          <w:color w:val="000000" w:themeColor="text1"/>
        </w:rPr>
        <w:t>V3C</w:t>
      </w:r>
      <w:r w:rsidR="000E2A3F" w:rsidRPr="00A52AB8">
        <w:rPr>
          <w:color w:val="000000" w:themeColor="text1"/>
        </w:rPr>
        <w:t xml:space="preserve"> decoders that wish to conform to a particular reconstruction profile as specified in </w:t>
      </w:r>
      <w:r w:rsidR="001D0D26" w:rsidRPr="00496A4D">
        <w:rPr>
          <w:color w:val="000000" w:themeColor="text1"/>
        </w:rPr>
        <w:fldChar w:fldCharType="begin"/>
      </w:r>
      <w:r w:rsidR="001D0D26" w:rsidRPr="00A52AB8">
        <w:rPr>
          <w:color w:val="000000" w:themeColor="text1"/>
        </w:rPr>
        <w:instrText xml:space="preserve"> REF _Ref38898728 \r \h  \* MERGEFORMAT </w:instrText>
      </w:r>
      <w:r w:rsidR="001D0D26" w:rsidRPr="00496A4D">
        <w:rPr>
          <w:color w:val="000000" w:themeColor="text1"/>
        </w:rPr>
      </w:r>
      <w:r w:rsidR="001D0D26" w:rsidRPr="00496A4D">
        <w:rPr>
          <w:color w:val="000000" w:themeColor="text1"/>
        </w:rPr>
        <w:fldChar w:fldCharType="separate"/>
      </w:r>
      <w:r w:rsidR="00507A67">
        <w:rPr>
          <w:color w:val="000000" w:themeColor="text1"/>
        </w:rPr>
        <w:t>Annex A</w:t>
      </w:r>
      <w:r w:rsidR="001D0D26" w:rsidRPr="00496A4D">
        <w:rPr>
          <w:color w:val="000000" w:themeColor="text1"/>
        </w:rPr>
        <w:fldChar w:fldCharType="end"/>
      </w:r>
      <w:r w:rsidR="000E2A3F" w:rsidRPr="00A52AB8">
        <w:rPr>
          <w:color w:val="000000" w:themeColor="text1"/>
        </w:rPr>
        <w:t xml:space="preserve"> should not discard any relevant Type-B essential SEI messages and </w:t>
      </w:r>
      <w:r w:rsidR="00845B43" w:rsidRPr="00A52AB8">
        <w:rPr>
          <w:color w:val="000000" w:themeColor="text1"/>
        </w:rPr>
        <w:t xml:space="preserve">should </w:t>
      </w:r>
      <w:r w:rsidR="000E2A3F" w:rsidRPr="00A52AB8">
        <w:rPr>
          <w:color w:val="000000" w:themeColor="text1"/>
        </w:rPr>
        <w:t xml:space="preserve">consider them for </w:t>
      </w:r>
      <w:r w:rsidR="00DB74CF" w:rsidRPr="00A52AB8">
        <w:rPr>
          <w:color w:val="000000" w:themeColor="text1"/>
        </w:rPr>
        <w:t>volumetric frame</w:t>
      </w:r>
      <w:r w:rsidR="000E2A3F" w:rsidRPr="00A52AB8">
        <w:rPr>
          <w:color w:val="000000" w:themeColor="text1"/>
        </w:rPr>
        <w:t xml:space="preserve"> reconstruction and conformance purposes.</w:t>
      </w:r>
    </w:p>
    <w:p w14:paraId="3E907082" w14:textId="7B6E049D" w:rsidR="000E2A3F" w:rsidRPr="00A52AB8" w:rsidRDefault="0016292E">
      <w:pPr>
        <w:tabs>
          <w:tab w:val="clear" w:pos="403"/>
        </w:tabs>
        <w:spacing w:line="240" w:lineRule="auto"/>
        <w:jc w:val="left"/>
        <w:rPr>
          <w:color w:val="000000" w:themeColor="text1"/>
        </w:rPr>
      </w:pPr>
      <w:r w:rsidRPr="00496A4D">
        <w:rPr>
          <w:color w:val="000000" w:themeColor="text1"/>
        </w:rPr>
        <w:fldChar w:fldCharType="begin"/>
      </w:r>
      <w:r w:rsidRPr="00A52AB8">
        <w:rPr>
          <w:color w:val="000000" w:themeColor="text1"/>
        </w:rPr>
        <w:instrText xml:space="preserve"> REF _Ref46489181 \h  \* MERGEFORMAT </w:instrText>
      </w:r>
      <w:r w:rsidRPr="00496A4D">
        <w:rPr>
          <w:color w:val="000000" w:themeColor="text1"/>
        </w:rPr>
      </w:r>
      <w:r w:rsidRPr="00496A4D">
        <w:rPr>
          <w:color w:val="000000" w:themeColor="text1"/>
        </w:rPr>
        <w:fldChar w:fldCharType="separate"/>
      </w:r>
      <w:r w:rsidR="00507A67" w:rsidRPr="00A52AB8">
        <w:t>Table F-</w:t>
      </w:r>
      <w:r w:rsidR="00507A67">
        <w:t>1</w:t>
      </w:r>
      <w:r w:rsidRPr="00496A4D">
        <w:rPr>
          <w:color w:val="000000" w:themeColor="text1"/>
        </w:rPr>
        <w:fldChar w:fldCharType="end"/>
      </w:r>
      <w:r w:rsidR="000E2A3F" w:rsidRPr="00A52AB8">
        <w:rPr>
          <w:color w:val="000000" w:themeColor="text1"/>
        </w:rPr>
        <w:t xml:space="preserve"> lists the essential and non-essential SEI messages. In case of essential SEI messages, the type is also specified.</w:t>
      </w:r>
    </w:p>
    <w:p w14:paraId="463913AD" w14:textId="72D96B27" w:rsidR="00157D0C" w:rsidRPr="00A52AB8" w:rsidRDefault="00157D0C" w:rsidP="00792CFF">
      <w:pPr>
        <w:pStyle w:val="Caption"/>
        <w:rPr>
          <w:rFonts w:ascii="Cambria" w:hAnsi="Cambria"/>
        </w:rPr>
      </w:pPr>
      <w:bookmarkStart w:id="5222" w:name="_Ref46489181"/>
      <w:bookmarkStart w:id="5223" w:name="_Ref44443707"/>
      <w:r w:rsidRPr="00A52AB8">
        <w:rPr>
          <w:rFonts w:ascii="Cambria" w:hAnsi="Cambria"/>
        </w:rPr>
        <w:t>Table F-</w:t>
      </w:r>
      <w:r w:rsidRPr="00496A4D">
        <w:rPr>
          <w:rFonts w:ascii="Cambria" w:hAnsi="Cambria"/>
        </w:rPr>
        <w:fldChar w:fldCharType="begin"/>
      </w:r>
      <w:r w:rsidRPr="00A52AB8">
        <w:rPr>
          <w:rFonts w:ascii="Cambria" w:hAnsi="Cambria"/>
        </w:rPr>
        <w:instrText xml:space="preserve"> SEQ Table \* ARABIC </w:instrText>
      </w:r>
      <w:r w:rsidR="00D67C05" w:rsidRPr="00A52AB8">
        <w:rPr>
          <w:rFonts w:ascii="Cambria" w:hAnsi="Cambria"/>
        </w:rPr>
        <w:instrText>\</w:instrText>
      </w:r>
      <w:r w:rsidR="00391908" w:rsidRPr="00A52AB8">
        <w:rPr>
          <w:rFonts w:ascii="Cambria" w:hAnsi="Cambria"/>
        </w:rPr>
        <w:instrText>r 1</w:instrText>
      </w:r>
      <w:r w:rsidRPr="00496A4D">
        <w:rPr>
          <w:rFonts w:ascii="Cambria" w:hAnsi="Cambria"/>
        </w:rPr>
        <w:fldChar w:fldCharType="separate"/>
      </w:r>
      <w:r w:rsidR="00507A67">
        <w:rPr>
          <w:rFonts w:ascii="Cambria" w:hAnsi="Cambria"/>
          <w:noProof/>
        </w:rPr>
        <w:t>1</w:t>
      </w:r>
      <w:r w:rsidRPr="00496A4D">
        <w:rPr>
          <w:rFonts w:ascii="Cambria" w:hAnsi="Cambria"/>
        </w:rPr>
        <w:fldChar w:fldCharType="end"/>
      </w:r>
      <w:bookmarkEnd w:id="5222"/>
      <w:bookmarkEnd w:id="5223"/>
      <w:r w:rsidR="001604C8" w:rsidRPr="00A52AB8">
        <w:rPr>
          <w:rFonts w:ascii="Cambria" w:hAnsi="Cambria" w:cs="Calibri"/>
          <w:bCs w:val="0"/>
        </w:rPr>
        <w:t> </w:t>
      </w:r>
      <w:r w:rsidR="001604C8" w:rsidRPr="00A52AB8">
        <w:rPr>
          <w:rFonts w:ascii="Cambria" w:hAnsi="Cambria"/>
        </w:rPr>
        <w:t>– </w:t>
      </w:r>
      <w:r w:rsidR="00806BD3" w:rsidRPr="00A52AB8">
        <w:rPr>
          <w:rFonts w:ascii="Cambria" w:hAnsi="Cambria"/>
        </w:rPr>
        <w:t>The essential and non-essential SEI messages</w:t>
      </w:r>
    </w:p>
    <w:tbl>
      <w:tblPr>
        <w:tblStyle w:val="TableGrid"/>
        <w:tblW w:w="0" w:type="auto"/>
        <w:jc w:val="center"/>
        <w:tblLook w:val="04A0" w:firstRow="1" w:lastRow="0" w:firstColumn="1" w:lastColumn="0" w:noHBand="0" w:noVBand="1"/>
      </w:tblPr>
      <w:tblGrid>
        <w:gridCol w:w="4705"/>
        <w:gridCol w:w="2595"/>
        <w:gridCol w:w="2442"/>
      </w:tblGrid>
      <w:tr w:rsidR="00076923" w:rsidRPr="00A52AB8" w14:paraId="350F5588" w14:textId="77777777" w:rsidTr="002D4E3F">
        <w:trPr>
          <w:jc w:val="center"/>
        </w:trPr>
        <w:tc>
          <w:tcPr>
            <w:tcW w:w="4705" w:type="dxa"/>
            <w:vAlign w:val="center"/>
          </w:tcPr>
          <w:p w14:paraId="16B4B5A2" w14:textId="77777777" w:rsidR="00076923" w:rsidRPr="00A52AB8" w:rsidRDefault="00076923" w:rsidP="002D4E3F">
            <w:pPr>
              <w:tabs>
                <w:tab w:val="clear" w:pos="403"/>
              </w:tabs>
              <w:spacing w:before="120" w:after="120" w:line="240" w:lineRule="auto"/>
              <w:jc w:val="center"/>
              <w:rPr>
                <w:b/>
                <w:bCs/>
                <w:color w:val="000000" w:themeColor="text1"/>
                <w:sz w:val="20"/>
                <w:szCs w:val="20"/>
              </w:rPr>
            </w:pPr>
            <w:r w:rsidRPr="00A52AB8">
              <w:rPr>
                <w:b/>
                <w:bCs/>
                <w:color w:val="000000" w:themeColor="text1"/>
                <w:sz w:val="20"/>
                <w:szCs w:val="20"/>
              </w:rPr>
              <w:t>SEI message</w:t>
            </w:r>
          </w:p>
        </w:tc>
        <w:tc>
          <w:tcPr>
            <w:tcW w:w="2595" w:type="dxa"/>
            <w:vAlign w:val="center"/>
          </w:tcPr>
          <w:p w14:paraId="2DA8BCE7" w14:textId="77777777" w:rsidR="00076923" w:rsidRPr="00A52AB8" w:rsidRDefault="00076923" w:rsidP="002D4E3F">
            <w:pPr>
              <w:tabs>
                <w:tab w:val="clear" w:pos="403"/>
              </w:tabs>
              <w:spacing w:before="120" w:after="120" w:line="240" w:lineRule="auto"/>
              <w:jc w:val="center"/>
              <w:rPr>
                <w:b/>
                <w:bCs/>
                <w:color w:val="000000" w:themeColor="text1"/>
                <w:sz w:val="20"/>
                <w:szCs w:val="20"/>
              </w:rPr>
            </w:pPr>
            <w:r w:rsidRPr="00A52AB8">
              <w:rPr>
                <w:b/>
                <w:bCs/>
                <w:color w:val="000000" w:themeColor="text1"/>
                <w:sz w:val="20"/>
                <w:szCs w:val="20"/>
              </w:rPr>
              <w:t>NAL Type</w:t>
            </w:r>
          </w:p>
        </w:tc>
        <w:tc>
          <w:tcPr>
            <w:tcW w:w="2442" w:type="dxa"/>
            <w:vAlign w:val="center"/>
          </w:tcPr>
          <w:p w14:paraId="3D63B479" w14:textId="77777777" w:rsidR="00076923" w:rsidRPr="00A52AB8" w:rsidRDefault="00076923" w:rsidP="002D4E3F">
            <w:pPr>
              <w:tabs>
                <w:tab w:val="clear" w:pos="403"/>
              </w:tabs>
              <w:spacing w:before="120" w:after="120" w:line="240" w:lineRule="auto"/>
              <w:jc w:val="center"/>
              <w:rPr>
                <w:b/>
                <w:bCs/>
                <w:color w:val="000000" w:themeColor="text1"/>
                <w:sz w:val="20"/>
                <w:szCs w:val="20"/>
              </w:rPr>
            </w:pPr>
            <w:r w:rsidRPr="00A52AB8">
              <w:rPr>
                <w:b/>
                <w:bCs/>
                <w:color w:val="000000" w:themeColor="text1"/>
                <w:sz w:val="20"/>
                <w:szCs w:val="20"/>
              </w:rPr>
              <w:t>Conformance Type</w:t>
            </w:r>
          </w:p>
        </w:tc>
      </w:tr>
      <w:tr w:rsidR="00076923" w:rsidRPr="00A52AB8" w14:paraId="14D956B2" w14:textId="77777777" w:rsidTr="002D4E3F">
        <w:trPr>
          <w:jc w:val="center"/>
        </w:trPr>
        <w:tc>
          <w:tcPr>
            <w:tcW w:w="4705" w:type="dxa"/>
            <w:vAlign w:val="center"/>
          </w:tcPr>
          <w:p w14:paraId="28511880" w14:textId="77777777" w:rsidR="00076923" w:rsidRPr="00A52AB8" w:rsidRDefault="00076923" w:rsidP="002D4E3F">
            <w:pPr>
              <w:tabs>
                <w:tab w:val="clear" w:pos="403"/>
              </w:tabs>
              <w:spacing w:before="120" w:after="120" w:line="240" w:lineRule="auto"/>
              <w:jc w:val="center"/>
              <w:rPr>
                <w:color w:val="000000" w:themeColor="text1"/>
                <w:sz w:val="20"/>
                <w:szCs w:val="20"/>
              </w:rPr>
            </w:pPr>
            <w:r w:rsidRPr="00A52AB8">
              <w:rPr>
                <w:color w:val="000000" w:themeColor="text1"/>
                <w:sz w:val="20"/>
                <w:szCs w:val="20"/>
              </w:rPr>
              <w:t>Filler payload SEI</w:t>
            </w:r>
          </w:p>
        </w:tc>
        <w:tc>
          <w:tcPr>
            <w:tcW w:w="2595" w:type="dxa"/>
            <w:vAlign w:val="center"/>
          </w:tcPr>
          <w:p w14:paraId="4A25B506" w14:textId="77777777" w:rsidR="00076923" w:rsidRPr="00A52AB8" w:rsidRDefault="00076923" w:rsidP="002D4E3F">
            <w:pPr>
              <w:tabs>
                <w:tab w:val="clear" w:pos="403"/>
              </w:tabs>
              <w:spacing w:before="120" w:after="120" w:line="240" w:lineRule="auto"/>
              <w:jc w:val="center"/>
              <w:rPr>
                <w:color w:val="000000" w:themeColor="text1"/>
                <w:sz w:val="20"/>
                <w:szCs w:val="20"/>
              </w:rPr>
            </w:pPr>
            <w:r w:rsidRPr="00A52AB8">
              <w:rPr>
                <w:sz w:val="20"/>
                <w:szCs w:val="20"/>
              </w:rPr>
              <w:t>NAL_PREFIX_NSEI/</w:t>
            </w:r>
            <w:r w:rsidRPr="00A52AB8">
              <w:rPr>
                <w:color w:val="000000" w:themeColor="text1"/>
                <w:sz w:val="20"/>
                <w:szCs w:val="20"/>
              </w:rPr>
              <w:t xml:space="preserve"> NAL_SUFFIX_NSEI</w:t>
            </w:r>
          </w:p>
        </w:tc>
        <w:tc>
          <w:tcPr>
            <w:tcW w:w="2442" w:type="dxa"/>
            <w:vAlign w:val="center"/>
          </w:tcPr>
          <w:p w14:paraId="239E8ECF" w14:textId="77777777" w:rsidR="00076923" w:rsidRPr="00A52AB8" w:rsidRDefault="00AA6410" w:rsidP="002D4E3F">
            <w:pPr>
              <w:tabs>
                <w:tab w:val="clear" w:pos="403"/>
              </w:tabs>
              <w:spacing w:before="120" w:after="120" w:line="240" w:lineRule="auto"/>
              <w:jc w:val="center"/>
              <w:rPr>
                <w:sz w:val="20"/>
                <w:szCs w:val="20"/>
              </w:rPr>
            </w:pPr>
            <w:r w:rsidRPr="00A52AB8">
              <w:rPr>
                <w:color w:val="000000" w:themeColor="text1"/>
                <w:sz w:val="20"/>
                <w:szCs w:val="20"/>
              </w:rPr>
              <w:t>N/A</w:t>
            </w:r>
          </w:p>
        </w:tc>
      </w:tr>
      <w:tr w:rsidR="00076923" w:rsidRPr="00A52AB8" w14:paraId="3DBF296B" w14:textId="77777777" w:rsidTr="002D4E3F">
        <w:trPr>
          <w:jc w:val="center"/>
        </w:trPr>
        <w:tc>
          <w:tcPr>
            <w:tcW w:w="4705" w:type="dxa"/>
            <w:vAlign w:val="center"/>
          </w:tcPr>
          <w:p w14:paraId="70DFA6AE" w14:textId="77777777" w:rsidR="00076923" w:rsidRPr="00A52AB8" w:rsidRDefault="00076923" w:rsidP="002D4E3F">
            <w:pPr>
              <w:tabs>
                <w:tab w:val="clear" w:pos="403"/>
              </w:tabs>
              <w:spacing w:before="120" w:after="120" w:line="240" w:lineRule="auto"/>
              <w:jc w:val="center"/>
              <w:rPr>
                <w:color w:val="000000" w:themeColor="text1"/>
                <w:sz w:val="20"/>
                <w:szCs w:val="20"/>
              </w:rPr>
            </w:pPr>
            <w:r w:rsidRPr="00A52AB8">
              <w:rPr>
                <w:sz w:val="20"/>
                <w:szCs w:val="20"/>
              </w:rPr>
              <w:t>User data registered by Recommendation ITU-T T.35</w:t>
            </w:r>
          </w:p>
        </w:tc>
        <w:tc>
          <w:tcPr>
            <w:tcW w:w="2595" w:type="dxa"/>
            <w:vAlign w:val="center"/>
          </w:tcPr>
          <w:p w14:paraId="4F0A4E02" w14:textId="77777777" w:rsidR="00076923" w:rsidRPr="00A52AB8" w:rsidRDefault="00076923" w:rsidP="002D4E3F">
            <w:pPr>
              <w:tabs>
                <w:tab w:val="clear" w:pos="403"/>
              </w:tabs>
              <w:spacing w:before="120" w:after="120" w:line="240" w:lineRule="auto"/>
              <w:jc w:val="center"/>
              <w:rPr>
                <w:color w:val="000000" w:themeColor="text1"/>
                <w:sz w:val="20"/>
                <w:szCs w:val="20"/>
              </w:rPr>
            </w:pPr>
            <w:r w:rsidRPr="00A52AB8">
              <w:rPr>
                <w:sz w:val="20"/>
                <w:szCs w:val="20"/>
              </w:rPr>
              <w:t>NAL_PREFIX_NSEI/</w:t>
            </w:r>
            <w:r w:rsidRPr="00A52AB8">
              <w:rPr>
                <w:color w:val="000000" w:themeColor="text1"/>
                <w:sz w:val="20"/>
                <w:szCs w:val="20"/>
              </w:rPr>
              <w:t xml:space="preserve"> NAL_SUFFIX_NSEI</w:t>
            </w:r>
          </w:p>
        </w:tc>
        <w:tc>
          <w:tcPr>
            <w:tcW w:w="2442" w:type="dxa"/>
            <w:vAlign w:val="center"/>
          </w:tcPr>
          <w:p w14:paraId="595F72AD" w14:textId="77777777" w:rsidR="00076923" w:rsidRPr="00A52AB8" w:rsidRDefault="00AA6410" w:rsidP="002D4E3F">
            <w:pPr>
              <w:tabs>
                <w:tab w:val="clear" w:pos="403"/>
              </w:tabs>
              <w:spacing w:before="120" w:after="120" w:line="240" w:lineRule="auto"/>
              <w:jc w:val="center"/>
              <w:rPr>
                <w:sz w:val="20"/>
                <w:szCs w:val="20"/>
              </w:rPr>
            </w:pPr>
            <w:r w:rsidRPr="00A52AB8">
              <w:rPr>
                <w:color w:val="000000" w:themeColor="text1"/>
                <w:sz w:val="20"/>
                <w:szCs w:val="20"/>
              </w:rPr>
              <w:t>N/A</w:t>
            </w:r>
          </w:p>
        </w:tc>
      </w:tr>
      <w:tr w:rsidR="00076923" w:rsidRPr="00A52AB8" w14:paraId="611043AA" w14:textId="77777777" w:rsidTr="002D4E3F">
        <w:trPr>
          <w:jc w:val="center"/>
        </w:trPr>
        <w:tc>
          <w:tcPr>
            <w:tcW w:w="4705" w:type="dxa"/>
            <w:vAlign w:val="center"/>
          </w:tcPr>
          <w:p w14:paraId="69A4CE27" w14:textId="77777777" w:rsidR="00076923" w:rsidRPr="00A52AB8" w:rsidRDefault="00076923" w:rsidP="002D4E3F">
            <w:pPr>
              <w:tabs>
                <w:tab w:val="clear" w:pos="403"/>
              </w:tabs>
              <w:spacing w:before="120" w:after="120" w:line="240" w:lineRule="auto"/>
              <w:jc w:val="center"/>
              <w:rPr>
                <w:color w:val="000000" w:themeColor="text1"/>
                <w:sz w:val="20"/>
                <w:szCs w:val="20"/>
              </w:rPr>
            </w:pPr>
            <w:r w:rsidRPr="00A52AB8">
              <w:rPr>
                <w:sz w:val="20"/>
                <w:szCs w:val="20"/>
              </w:rPr>
              <w:t>User data unregistered</w:t>
            </w:r>
          </w:p>
        </w:tc>
        <w:tc>
          <w:tcPr>
            <w:tcW w:w="2595" w:type="dxa"/>
            <w:vAlign w:val="center"/>
          </w:tcPr>
          <w:p w14:paraId="728597AA" w14:textId="77777777" w:rsidR="00076923" w:rsidRPr="00A52AB8" w:rsidRDefault="00076923" w:rsidP="002D4E3F">
            <w:pPr>
              <w:tabs>
                <w:tab w:val="clear" w:pos="403"/>
              </w:tabs>
              <w:spacing w:before="120" w:after="120" w:line="240" w:lineRule="auto"/>
              <w:jc w:val="center"/>
              <w:rPr>
                <w:color w:val="000000" w:themeColor="text1"/>
                <w:sz w:val="20"/>
                <w:szCs w:val="20"/>
              </w:rPr>
            </w:pPr>
            <w:r w:rsidRPr="00A52AB8">
              <w:rPr>
                <w:sz w:val="20"/>
                <w:szCs w:val="20"/>
              </w:rPr>
              <w:t>NAL_PREFIX_NSEI/</w:t>
            </w:r>
            <w:r w:rsidRPr="00A52AB8">
              <w:rPr>
                <w:color w:val="000000" w:themeColor="text1"/>
                <w:sz w:val="20"/>
                <w:szCs w:val="20"/>
              </w:rPr>
              <w:t xml:space="preserve"> NAL_SUFFIX_NSEI</w:t>
            </w:r>
          </w:p>
        </w:tc>
        <w:tc>
          <w:tcPr>
            <w:tcW w:w="2442" w:type="dxa"/>
            <w:vAlign w:val="center"/>
          </w:tcPr>
          <w:p w14:paraId="0A184B5F" w14:textId="77777777" w:rsidR="00076923" w:rsidRPr="00A52AB8" w:rsidRDefault="00AA6410" w:rsidP="002D4E3F">
            <w:pPr>
              <w:tabs>
                <w:tab w:val="clear" w:pos="403"/>
              </w:tabs>
              <w:spacing w:before="120" w:after="120" w:line="240" w:lineRule="auto"/>
              <w:jc w:val="center"/>
              <w:rPr>
                <w:sz w:val="20"/>
                <w:szCs w:val="20"/>
              </w:rPr>
            </w:pPr>
            <w:r w:rsidRPr="00A52AB8">
              <w:rPr>
                <w:color w:val="000000" w:themeColor="text1"/>
                <w:sz w:val="20"/>
                <w:szCs w:val="20"/>
              </w:rPr>
              <w:t>N/A</w:t>
            </w:r>
          </w:p>
        </w:tc>
      </w:tr>
      <w:tr w:rsidR="00076923" w:rsidRPr="00A52AB8" w14:paraId="1CFAA818" w14:textId="77777777" w:rsidTr="002D4E3F">
        <w:trPr>
          <w:jc w:val="center"/>
        </w:trPr>
        <w:tc>
          <w:tcPr>
            <w:tcW w:w="4705" w:type="dxa"/>
            <w:vAlign w:val="center"/>
          </w:tcPr>
          <w:p w14:paraId="4800CDE3" w14:textId="77777777" w:rsidR="00076923" w:rsidRPr="00A52AB8" w:rsidRDefault="00076923" w:rsidP="002D4E3F">
            <w:pPr>
              <w:tabs>
                <w:tab w:val="clear" w:pos="403"/>
              </w:tabs>
              <w:spacing w:before="120" w:after="120" w:line="240" w:lineRule="auto"/>
              <w:jc w:val="center"/>
              <w:rPr>
                <w:color w:val="000000" w:themeColor="text1"/>
                <w:sz w:val="20"/>
                <w:szCs w:val="20"/>
              </w:rPr>
            </w:pPr>
            <w:r w:rsidRPr="00A52AB8">
              <w:rPr>
                <w:sz w:val="20"/>
                <w:szCs w:val="20"/>
              </w:rPr>
              <w:t>Recovery point</w:t>
            </w:r>
          </w:p>
        </w:tc>
        <w:tc>
          <w:tcPr>
            <w:tcW w:w="2595" w:type="dxa"/>
            <w:vAlign w:val="center"/>
          </w:tcPr>
          <w:p w14:paraId="61E76457" w14:textId="77777777" w:rsidR="00076923" w:rsidRPr="00A52AB8" w:rsidRDefault="00076923" w:rsidP="002D4E3F">
            <w:pPr>
              <w:tabs>
                <w:tab w:val="clear" w:pos="403"/>
              </w:tabs>
              <w:spacing w:before="120" w:after="120" w:line="240" w:lineRule="auto"/>
              <w:jc w:val="center"/>
              <w:rPr>
                <w:color w:val="000000" w:themeColor="text1"/>
                <w:sz w:val="20"/>
                <w:szCs w:val="20"/>
              </w:rPr>
            </w:pPr>
            <w:r w:rsidRPr="00A52AB8">
              <w:rPr>
                <w:sz w:val="20"/>
                <w:szCs w:val="20"/>
              </w:rPr>
              <w:t>NAL_PREFIX_NSEI</w:t>
            </w:r>
          </w:p>
        </w:tc>
        <w:tc>
          <w:tcPr>
            <w:tcW w:w="2442" w:type="dxa"/>
            <w:vAlign w:val="center"/>
          </w:tcPr>
          <w:p w14:paraId="05014682" w14:textId="77777777" w:rsidR="00076923" w:rsidRPr="00A52AB8" w:rsidRDefault="00AA6410" w:rsidP="002D4E3F">
            <w:pPr>
              <w:tabs>
                <w:tab w:val="clear" w:pos="403"/>
              </w:tabs>
              <w:spacing w:before="120" w:after="120" w:line="240" w:lineRule="auto"/>
              <w:jc w:val="center"/>
              <w:rPr>
                <w:sz w:val="20"/>
                <w:szCs w:val="20"/>
              </w:rPr>
            </w:pPr>
            <w:r w:rsidRPr="00A52AB8">
              <w:rPr>
                <w:color w:val="000000" w:themeColor="text1"/>
                <w:sz w:val="20"/>
                <w:szCs w:val="20"/>
              </w:rPr>
              <w:t>N/A</w:t>
            </w:r>
          </w:p>
        </w:tc>
      </w:tr>
      <w:tr w:rsidR="00076923" w:rsidRPr="00A52AB8" w14:paraId="5DFA89BD" w14:textId="77777777" w:rsidTr="002D4E3F">
        <w:trPr>
          <w:jc w:val="center"/>
        </w:trPr>
        <w:tc>
          <w:tcPr>
            <w:tcW w:w="4705" w:type="dxa"/>
            <w:vAlign w:val="center"/>
          </w:tcPr>
          <w:p w14:paraId="570F6367" w14:textId="2F2EF009" w:rsidR="00076923" w:rsidRPr="00A52AB8" w:rsidRDefault="00076923" w:rsidP="002D4E3F">
            <w:pPr>
              <w:tabs>
                <w:tab w:val="clear" w:pos="403"/>
              </w:tabs>
              <w:spacing w:before="120" w:after="120" w:line="240" w:lineRule="auto"/>
              <w:jc w:val="center"/>
              <w:rPr>
                <w:color w:val="000000" w:themeColor="text1"/>
                <w:sz w:val="20"/>
                <w:szCs w:val="20"/>
              </w:rPr>
            </w:pPr>
            <w:r w:rsidRPr="00A52AB8">
              <w:rPr>
                <w:sz w:val="20"/>
                <w:szCs w:val="20"/>
              </w:rPr>
              <w:t xml:space="preserve">No </w:t>
            </w:r>
            <w:r w:rsidR="00F16D7B" w:rsidRPr="00A52AB8">
              <w:rPr>
                <w:sz w:val="20"/>
                <w:szCs w:val="20"/>
              </w:rPr>
              <w:t>reconstruction</w:t>
            </w:r>
          </w:p>
        </w:tc>
        <w:tc>
          <w:tcPr>
            <w:tcW w:w="2595" w:type="dxa"/>
            <w:vAlign w:val="center"/>
          </w:tcPr>
          <w:p w14:paraId="04655996" w14:textId="77777777" w:rsidR="00076923" w:rsidRPr="00A52AB8" w:rsidRDefault="00076923" w:rsidP="002D4E3F">
            <w:pPr>
              <w:tabs>
                <w:tab w:val="clear" w:pos="403"/>
              </w:tabs>
              <w:spacing w:before="120" w:after="120" w:line="240" w:lineRule="auto"/>
              <w:jc w:val="center"/>
              <w:rPr>
                <w:color w:val="000000" w:themeColor="text1"/>
                <w:sz w:val="20"/>
                <w:szCs w:val="20"/>
              </w:rPr>
            </w:pPr>
            <w:r w:rsidRPr="00A52AB8">
              <w:rPr>
                <w:sz w:val="20"/>
                <w:szCs w:val="20"/>
              </w:rPr>
              <w:t>NAL_PREFIX_NSEI</w:t>
            </w:r>
          </w:p>
        </w:tc>
        <w:tc>
          <w:tcPr>
            <w:tcW w:w="2442" w:type="dxa"/>
            <w:vAlign w:val="center"/>
          </w:tcPr>
          <w:p w14:paraId="3F2A89F0" w14:textId="77777777" w:rsidR="00076923" w:rsidRPr="00A52AB8" w:rsidRDefault="00AA6410" w:rsidP="002D4E3F">
            <w:pPr>
              <w:tabs>
                <w:tab w:val="clear" w:pos="403"/>
              </w:tabs>
              <w:spacing w:before="120" w:after="120" w:line="240" w:lineRule="auto"/>
              <w:jc w:val="center"/>
              <w:rPr>
                <w:sz w:val="20"/>
                <w:szCs w:val="20"/>
              </w:rPr>
            </w:pPr>
            <w:r w:rsidRPr="00A52AB8">
              <w:rPr>
                <w:color w:val="000000" w:themeColor="text1"/>
                <w:sz w:val="20"/>
                <w:szCs w:val="20"/>
              </w:rPr>
              <w:t>N/A</w:t>
            </w:r>
          </w:p>
        </w:tc>
      </w:tr>
      <w:tr w:rsidR="00076923" w:rsidRPr="00A52AB8" w14:paraId="599E82C4" w14:textId="77777777" w:rsidTr="002D4E3F">
        <w:trPr>
          <w:jc w:val="center"/>
        </w:trPr>
        <w:tc>
          <w:tcPr>
            <w:tcW w:w="4705" w:type="dxa"/>
            <w:vAlign w:val="center"/>
          </w:tcPr>
          <w:p w14:paraId="6F82F16C" w14:textId="77777777" w:rsidR="00076923" w:rsidRPr="00A52AB8" w:rsidRDefault="00076923" w:rsidP="002D4E3F">
            <w:pPr>
              <w:tabs>
                <w:tab w:val="clear" w:pos="403"/>
                <w:tab w:val="left" w:pos="551"/>
              </w:tabs>
              <w:spacing w:before="120" w:after="120" w:line="240" w:lineRule="auto"/>
              <w:jc w:val="center"/>
              <w:rPr>
                <w:color w:val="000000" w:themeColor="text1"/>
                <w:sz w:val="20"/>
                <w:szCs w:val="20"/>
              </w:rPr>
            </w:pPr>
            <w:r w:rsidRPr="00A52AB8">
              <w:rPr>
                <w:sz w:val="20"/>
                <w:szCs w:val="20"/>
              </w:rPr>
              <w:t>Reserved</w:t>
            </w:r>
          </w:p>
        </w:tc>
        <w:tc>
          <w:tcPr>
            <w:tcW w:w="2595" w:type="dxa"/>
            <w:vAlign w:val="center"/>
          </w:tcPr>
          <w:p w14:paraId="0D74AD4E" w14:textId="77777777" w:rsidR="00076923" w:rsidRPr="00A52AB8" w:rsidRDefault="00076923" w:rsidP="002D4E3F">
            <w:pPr>
              <w:tabs>
                <w:tab w:val="clear" w:pos="403"/>
              </w:tabs>
              <w:spacing w:before="120" w:after="120" w:line="240" w:lineRule="auto"/>
              <w:jc w:val="center"/>
              <w:rPr>
                <w:color w:val="000000" w:themeColor="text1"/>
                <w:sz w:val="20"/>
                <w:szCs w:val="20"/>
              </w:rPr>
            </w:pPr>
            <w:r w:rsidRPr="00A52AB8">
              <w:rPr>
                <w:color w:val="000000" w:themeColor="text1"/>
                <w:sz w:val="20"/>
                <w:szCs w:val="20"/>
              </w:rPr>
              <w:t>N/A</w:t>
            </w:r>
          </w:p>
        </w:tc>
        <w:tc>
          <w:tcPr>
            <w:tcW w:w="2442" w:type="dxa"/>
            <w:vAlign w:val="center"/>
          </w:tcPr>
          <w:p w14:paraId="5029408F" w14:textId="77777777" w:rsidR="00076923" w:rsidRPr="00A52AB8" w:rsidRDefault="00AA6410" w:rsidP="002D4E3F">
            <w:pPr>
              <w:tabs>
                <w:tab w:val="clear" w:pos="403"/>
              </w:tabs>
              <w:spacing w:before="120" w:after="120" w:line="240" w:lineRule="auto"/>
              <w:jc w:val="center"/>
              <w:rPr>
                <w:color w:val="000000" w:themeColor="text1"/>
                <w:sz w:val="20"/>
                <w:szCs w:val="20"/>
              </w:rPr>
            </w:pPr>
            <w:r w:rsidRPr="00A52AB8">
              <w:rPr>
                <w:color w:val="000000" w:themeColor="text1"/>
                <w:sz w:val="20"/>
                <w:szCs w:val="20"/>
              </w:rPr>
              <w:t>N/A</w:t>
            </w:r>
          </w:p>
        </w:tc>
      </w:tr>
      <w:tr w:rsidR="00076923" w:rsidRPr="00A52AB8" w14:paraId="258B12E4" w14:textId="77777777" w:rsidTr="002D4E3F">
        <w:trPr>
          <w:jc w:val="center"/>
        </w:trPr>
        <w:tc>
          <w:tcPr>
            <w:tcW w:w="4705" w:type="dxa"/>
            <w:vAlign w:val="center"/>
          </w:tcPr>
          <w:p w14:paraId="310B8AB9" w14:textId="77777777" w:rsidR="00076923" w:rsidRPr="00A52AB8" w:rsidRDefault="00076923" w:rsidP="002D4E3F">
            <w:pPr>
              <w:tabs>
                <w:tab w:val="clear" w:pos="403"/>
              </w:tabs>
              <w:spacing w:before="120" w:after="120" w:line="240" w:lineRule="auto"/>
              <w:jc w:val="center"/>
              <w:rPr>
                <w:color w:val="000000" w:themeColor="text1"/>
                <w:sz w:val="20"/>
                <w:szCs w:val="20"/>
              </w:rPr>
            </w:pPr>
            <w:r w:rsidRPr="00A52AB8">
              <w:rPr>
                <w:sz w:val="20"/>
                <w:szCs w:val="20"/>
              </w:rPr>
              <w:t>SEI manifest</w:t>
            </w:r>
          </w:p>
        </w:tc>
        <w:tc>
          <w:tcPr>
            <w:tcW w:w="2595" w:type="dxa"/>
            <w:vAlign w:val="center"/>
          </w:tcPr>
          <w:p w14:paraId="22D595CE" w14:textId="77777777" w:rsidR="00076923" w:rsidRPr="00A52AB8" w:rsidRDefault="00076923" w:rsidP="002D4E3F">
            <w:pPr>
              <w:tabs>
                <w:tab w:val="clear" w:pos="403"/>
              </w:tabs>
              <w:spacing w:before="120" w:after="120" w:line="240" w:lineRule="auto"/>
              <w:jc w:val="center"/>
              <w:rPr>
                <w:color w:val="000000" w:themeColor="text1"/>
                <w:sz w:val="20"/>
                <w:szCs w:val="20"/>
              </w:rPr>
            </w:pPr>
            <w:r w:rsidRPr="00A52AB8">
              <w:rPr>
                <w:sz w:val="20"/>
                <w:szCs w:val="20"/>
              </w:rPr>
              <w:t>NAL_PREFIX_ESEI</w:t>
            </w:r>
          </w:p>
        </w:tc>
        <w:tc>
          <w:tcPr>
            <w:tcW w:w="2442" w:type="dxa"/>
            <w:vAlign w:val="center"/>
          </w:tcPr>
          <w:p w14:paraId="76E0B4F5" w14:textId="77777777" w:rsidR="00076923" w:rsidRPr="00A52AB8" w:rsidRDefault="00AA6410" w:rsidP="002D4E3F">
            <w:pPr>
              <w:tabs>
                <w:tab w:val="clear" w:pos="403"/>
              </w:tabs>
              <w:spacing w:before="120" w:after="120" w:line="240" w:lineRule="auto"/>
              <w:jc w:val="center"/>
              <w:rPr>
                <w:sz w:val="20"/>
                <w:szCs w:val="20"/>
              </w:rPr>
            </w:pPr>
            <w:r w:rsidRPr="00A52AB8">
              <w:rPr>
                <w:sz w:val="20"/>
                <w:szCs w:val="20"/>
              </w:rPr>
              <w:t>Type-A, Type-B</w:t>
            </w:r>
          </w:p>
        </w:tc>
      </w:tr>
      <w:tr w:rsidR="00076923" w:rsidRPr="00A52AB8" w14:paraId="583A7602" w14:textId="77777777" w:rsidTr="002D4E3F">
        <w:trPr>
          <w:jc w:val="center"/>
        </w:trPr>
        <w:tc>
          <w:tcPr>
            <w:tcW w:w="4705" w:type="dxa"/>
            <w:vAlign w:val="center"/>
          </w:tcPr>
          <w:p w14:paraId="63608047" w14:textId="77777777" w:rsidR="00076923" w:rsidRPr="00A52AB8" w:rsidRDefault="00076923" w:rsidP="002D4E3F">
            <w:pPr>
              <w:tabs>
                <w:tab w:val="clear" w:pos="403"/>
              </w:tabs>
              <w:spacing w:before="120" w:after="120" w:line="240" w:lineRule="auto"/>
              <w:jc w:val="center"/>
              <w:rPr>
                <w:sz w:val="20"/>
                <w:szCs w:val="20"/>
              </w:rPr>
            </w:pPr>
            <w:r w:rsidRPr="00A52AB8">
              <w:rPr>
                <w:sz w:val="20"/>
                <w:szCs w:val="20"/>
              </w:rPr>
              <w:t>SEI prefix indication</w:t>
            </w:r>
          </w:p>
        </w:tc>
        <w:tc>
          <w:tcPr>
            <w:tcW w:w="2595" w:type="dxa"/>
            <w:vAlign w:val="center"/>
          </w:tcPr>
          <w:p w14:paraId="082620A1" w14:textId="77777777" w:rsidR="00076923" w:rsidRPr="00A52AB8" w:rsidRDefault="00076923" w:rsidP="002D4E3F">
            <w:pPr>
              <w:tabs>
                <w:tab w:val="clear" w:pos="403"/>
              </w:tabs>
              <w:spacing w:before="120" w:after="120" w:line="240" w:lineRule="auto"/>
              <w:jc w:val="center"/>
              <w:rPr>
                <w:color w:val="000000" w:themeColor="text1"/>
                <w:sz w:val="20"/>
                <w:szCs w:val="20"/>
              </w:rPr>
            </w:pPr>
            <w:r w:rsidRPr="00A52AB8">
              <w:rPr>
                <w:sz w:val="20"/>
                <w:szCs w:val="20"/>
              </w:rPr>
              <w:t>NAL_PREFIX_ESEI</w:t>
            </w:r>
          </w:p>
        </w:tc>
        <w:tc>
          <w:tcPr>
            <w:tcW w:w="2442" w:type="dxa"/>
            <w:vAlign w:val="center"/>
          </w:tcPr>
          <w:p w14:paraId="39BE6521" w14:textId="77777777" w:rsidR="00076923" w:rsidRPr="00A52AB8" w:rsidRDefault="00AA6410" w:rsidP="002D4E3F">
            <w:pPr>
              <w:tabs>
                <w:tab w:val="clear" w:pos="403"/>
              </w:tabs>
              <w:spacing w:before="120" w:after="120" w:line="240" w:lineRule="auto"/>
              <w:jc w:val="center"/>
              <w:rPr>
                <w:sz w:val="20"/>
                <w:szCs w:val="20"/>
              </w:rPr>
            </w:pPr>
            <w:r w:rsidRPr="00A52AB8">
              <w:rPr>
                <w:sz w:val="20"/>
                <w:szCs w:val="20"/>
              </w:rPr>
              <w:t>Type-A, Type-B</w:t>
            </w:r>
          </w:p>
        </w:tc>
      </w:tr>
      <w:tr w:rsidR="00076923" w:rsidRPr="00A52AB8" w14:paraId="2CDA35E5" w14:textId="77777777" w:rsidTr="002D4E3F">
        <w:trPr>
          <w:jc w:val="center"/>
        </w:trPr>
        <w:tc>
          <w:tcPr>
            <w:tcW w:w="4705" w:type="dxa"/>
            <w:vAlign w:val="center"/>
          </w:tcPr>
          <w:p w14:paraId="6EEB6CC8" w14:textId="77777777" w:rsidR="00076923" w:rsidRPr="00A52AB8" w:rsidRDefault="00076923" w:rsidP="002D4E3F">
            <w:pPr>
              <w:tabs>
                <w:tab w:val="clear" w:pos="403"/>
              </w:tabs>
              <w:spacing w:before="120" w:after="120" w:line="240" w:lineRule="auto"/>
              <w:jc w:val="center"/>
              <w:rPr>
                <w:sz w:val="20"/>
                <w:szCs w:val="20"/>
              </w:rPr>
            </w:pPr>
            <w:r w:rsidRPr="00A52AB8">
              <w:rPr>
                <w:sz w:val="20"/>
                <w:szCs w:val="20"/>
              </w:rPr>
              <w:t>Active sub-bitstreams</w:t>
            </w:r>
          </w:p>
        </w:tc>
        <w:tc>
          <w:tcPr>
            <w:tcW w:w="2595" w:type="dxa"/>
            <w:vAlign w:val="center"/>
          </w:tcPr>
          <w:p w14:paraId="58B92AE4" w14:textId="77777777" w:rsidR="00076923" w:rsidRPr="00A52AB8" w:rsidRDefault="00076923" w:rsidP="002D4E3F">
            <w:pPr>
              <w:tabs>
                <w:tab w:val="clear" w:pos="403"/>
              </w:tabs>
              <w:spacing w:before="120" w:after="120" w:line="240" w:lineRule="auto"/>
              <w:jc w:val="center"/>
              <w:rPr>
                <w:color w:val="000000" w:themeColor="text1"/>
                <w:sz w:val="20"/>
                <w:szCs w:val="20"/>
              </w:rPr>
            </w:pPr>
            <w:r w:rsidRPr="00A52AB8">
              <w:rPr>
                <w:sz w:val="20"/>
                <w:szCs w:val="20"/>
              </w:rPr>
              <w:t>NAL_PREFIX_ESEI</w:t>
            </w:r>
          </w:p>
        </w:tc>
        <w:tc>
          <w:tcPr>
            <w:tcW w:w="2442" w:type="dxa"/>
            <w:vAlign w:val="center"/>
          </w:tcPr>
          <w:p w14:paraId="52AF5EF1" w14:textId="77777777" w:rsidR="00076923" w:rsidRPr="00A52AB8" w:rsidRDefault="00AA6410" w:rsidP="002D4E3F">
            <w:pPr>
              <w:tabs>
                <w:tab w:val="clear" w:pos="403"/>
              </w:tabs>
              <w:spacing w:before="120" w:after="120" w:line="240" w:lineRule="auto"/>
              <w:jc w:val="center"/>
              <w:rPr>
                <w:sz w:val="20"/>
                <w:szCs w:val="20"/>
              </w:rPr>
            </w:pPr>
            <w:r w:rsidRPr="00A52AB8">
              <w:rPr>
                <w:sz w:val="20"/>
                <w:szCs w:val="20"/>
              </w:rPr>
              <w:t>Type-A</w:t>
            </w:r>
          </w:p>
        </w:tc>
      </w:tr>
      <w:tr w:rsidR="00076923" w:rsidRPr="00A52AB8" w14:paraId="362CA300" w14:textId="77777777" w:rsidTr="002D4E3F">
        <w:trPr>
          <w:jc w:val="center"/>
        </w:trPr>
        <w:tc>
          <w:tcPr>
            <w:tcW w:w="4705" w:type="dxa"/>
            <w:vAlign w:val="center"/>
          </w:tcPr>
          <w:p w14:paraId="4A524CB6" w14:textId="77777777" w:rsidR="00076923" w:rsidRPr="00A52AB8" w:rsidRDefault="00076923" w:rsidP="002D4E3F">
            <w:pPr>
              <w:tabs>
                <w:tab w:val="clear" w:pos="403"/>
              </w:tabs>
              <w:spacing w:before="120" w:after="120" w:line="240" w:lineRule="auto"/>
              <w:jc w:val="center"/>
              <w:rPr>
                <w:sz w:val="20"/>
                <w:szCs w:val="20"/>
              </w:rPr>
            </w:pPr>
            <w:r w:rsidRPr="00A52AB8">
              <w:rPr>
                <w:sz w:val="20"/>
                <w:szCs w:val="20"/>
              </w:rPr>
              <w:t>Component codec mapping</w:t>
            </w:r>
          </w:p>
        </w:tc>
        <w:tc>
          <w:tcPr>
            <w:tcW w:w="2595" w:type="dxa"/>
            <w:vAlign w:val="center"/>
          </w:tcPr>
          <w:p w14:paraId="5255B6A3" w14:textId="77777777" w:rsidR="00076923" w:rsidRPr="00A52AB8" w:rsidRDefault="00076923" w:rsidP="002D4E3F">
            <w:pPr>
              <w:tabs>
                <w:tab w:val="clear" w:pos="403"/>
              </w:tabs>
              <w:spacing w:before="120" w:after="120" w:line="240" w:lineRule="auto"/>
              <w:jc w:val="center"/>
              <w:rPr>
                <w:color w:val="000000" w:themeColor="text1"/>
                <w:sz w:val="20"/>
                <w:szCs w:val="20"/>
              </w:rPr>
            </w:pPr>
            <w:r w:rsidRPr="00A52AB8">
              <w:rPr>
                <w:sz w:val="20"/>
                <w:szCs w:val="20"/>
              </w:rPr>
              <w:t>NAL_PREFIX_ESEI</w:t>
            </w:r>
          </w:p>
        </w:tc>
        <w:tc>
          <w:tcPr>
            <w:tcW w:w="2442" w:type="dxa"/>
            <w:vAlign w:val="center"/>
          </w:tcPr>
          <w:p w14:paraId="3D4C60DC" w14:textId="77777777" w:rsidR="00076923" w:rsidRPr="00A52AB8" w:rsidRDefault="00AA6410" w:rsidP="002D4E3F">
            <w:pPr>
              <w:tabs>
                <w:tab w:val="clear" w:pos="403"/>
              </w:tabs>
              <w:spacing w:before="120" w:after="120" w:line="240" w:lineRule="auto"/>
              <w:jc w:val="center"/>
              <w:rPr>
                <w:sz w:val="20"/>
                <w:szCs w:val="20"/>
              </w:rPr>
            </w:pPr>
            <w:r w:rsidRPr="00A52AB8">
              <w:rPr>
                <w:sz w:val="20"/>
                <w:szCs w:val="20"/>
              </w:rPr>
              <w:t>Type-A</w:t>
            </w:r>
          </w:p>
        </w:tc>
      </w:tr>
      <w:tr w:rsidR="00076923" w:rsidRPr="00A52AB8" w14:paraId="1E712848" w14:textId="77777777" w:rsidTr="002D4E3F">
        <w:trPr>
          <w:jc w:val="center"/>
        </w:trPr>
        <w:tc>
          <w:tcPr>
            <w:tcW w:w="4705" w:type="dxa"/>
            <w:vAlign w:val="center"/>
          </w:tcPr>
          <w:p w14:paraId="697610FD" w14:textId="77777777" w:rsidR="00076923" w:rsidRPr="00A52AB8" w:rsidRDefault="00076923" w:rsidP="002D4E3F">
            <w:pPr>
              <w:tabs>
                <w:tab w:val="clear" w:pos="403"/>
              </w:tabs>
              <w:spacing w:before="120" w:after="120" w:line="240" w:lineRule="auto"/>
              <w:jc w:val="center"/>
              <w:rPr>
                <w:sz w:val="20"/>
                <w:szCs w:val="20"/>
              </w:rPr>
            </w:pPr>
            <w:r w:rsidRPr="00A52AB8">
              <w:rPr>
                <w:sz w:val="20"/>
                <w:szCs w:val="20"/>
              </w:rPr>
              <w:t>Scene object information</w:t>
            </w:r>
          </w:p>
        </w:tc>
        <w:tc>
          <w:tcPr>
            <w:tcW w:w="2595" w:type="dxa"/>
            <w:vAlign w:val="center"/>
          </w:tcPr>
          <w:p w14:paraId="71769984" w14:textId="77777777" w:rsidR="00076923" w:rsidRPr="00A52AB8" w:rsidRDefault="00076923" w:rsidP="002D4E3F">
            <w:pPr>
              <w:tabs>
                <w:tab w:val="clear" w:pos="403"/>
              </w:tabs>
              <w:spacing w:before="120" w:after="120" w:line="240" w:lineRule="auto"/>
              <w:jc w:val="center"/>
              <w:rPr>
                <w:color w:val="000000" w:themeColor="text1"/>
                <w:sz w:val="20"/>
                <w:szCs w:val="20"/>
              </w:rPr>
            </w:pPr>
            <w:r w:rsidRPr="00A52AB8">
              <w:rPr>
                <w:sz w:val="20"/>
                <w:szCs w:val="20"/>
              </w:rPr>
              <w:t>NAL_PREFIX_NSEI</w:t>
            </w:r>
          </w:p>
        </w:tc>
        <w:tc>
          <w:tcPr>
            <w:tcW w:w="2442" w:type="dxa"/>
            <w:vAlign w:val="center"/>
          </w:tcPr>
          <w:p w14:paraId="6DEC5476" w14:textId="77777777" w:rsidR="00076923" w:rsidRPr="00A52AB8" w:rsidRDefault="00AA6410" w:rsidP="002D4E3F">
            <w:pPr>
              <w:tabs>
                <w:tab w:val="clear" w:pos="403"/>
              </w:tabs>
              <w:spacing w:before="120" w:after="120" w:line="240" w:lineRule="auto"/>
              <w:jc w:val="center"/>
              <w:rPr>
                <w:sz w:val="20"/>
                <w:szCs w:val="20"/>
              </w:rPr>
            </w:pPr>
            <w:r w:rsidRPr="00A52AB8">
              <w:rPr>
                <w:color w:val="000000" w:themeColor="text1"/>
                <w:sz w:val="20"/>
                <w:szCs w:val="20"/>
              </w:rPr>
              <w:t>N/A</w:t>
            </w:r>
          </w:p>
        </w:tc>
      </w:tr>
      <w:tr w:rsidR="00076923" w:rsidRPr="00A52AB8" w14:paraId="6A642933" w14:textId="77777777" w:rsidTr="002D4E3F">
        <w:trPr>
          <w:jc w:val="center"/>
        </w:trPr>
        <w:tc>
          <w:tcPr>
            <w:tcW w:w="4705" w:type="dxa"/>
            <w:vAlign w:val="center"/>
          </w:tcPr>
          <w:p w14:paraId="76231DE8" w14:textId="77777777" w:rsidR="00076923" w:rsidRPr="00A52AB8" w:rsidRDefault="00076923" w:rsidP="002D4E3F">
            <w:pPr>
              <w:tabs>
                <w:tab w:val="clear" w:pos="403"/>
              </w:tabs>
              <w:spacing w:before="120" w:after="120" w:line="240" w:lineRule="auto"/>
              <w:jc w:val="center"/>
              <w:rPr>
                <w:sz w:val="20"/>
                <w:szCs w:val="20"/>
              </w:rPr>
            </w:pPr>
            <w:r w:rsidRPr="00A52AB8">
              <w:rPr>
                <w:sz w:val="20"/>
                <w:szCs w:val="20"/>
              </w:rPr>
              <w:t>Object label information</w:t>
            </w:r>
          </w:p>
        </w:tc>
        <w:tc>
          <w:tcPr>
            <w:tcW w:w="2595" w:type="dxa"/>
            <w:vAlign w:val="center"/>
          </w:tcPr>
          <w:p w14:paraId="3C3F3F9F" w14:textId="77777777" w:rsidR="00076923" w:rsidRPr="00A52AB8" w:rsidRDefault="00076923" w:rsidP="002D4E3F">
            <w:pPr>
              <w:tabs>
                <w:tab w:val="clear" w:pos="403"/>
              </w:tabs>
              <w:spacing w:before="120" w:after="120" w:line="240" w:lineRule="auto"/>
              <w:jc w:val="center"/>
              <w:rPr>
                <w:color w:val="000000" w:themeColor="text1"/>
                <w:sz w:val="20"/>
                <w:szCs w:val="20"/>
              </w:rPr>
            </w:pPr>
            <w:r w:rsidRPr="00A52AB8">
              <w:rPr>
                <w:sz w:val="20"/>
                <w:szCs w:val="20"/>
              </w:rPr>
              <w:t>NAL_PREFIX_NSEI</w:t>
            </w:r>
          </w:p>
        </w:tc>
        <w:tc>
          <w:tcPr>
            <w:tcW w:w="2442" w:type="dxa"/>
            <w:vAlign w:val="center"/>
          </w:tcPr>
          <w:p w14:paraId="617897CB" w14:textId="77777777" w:rsidR="00076923" w:rsidRPr="00A52AB8" w:rsidRDefault="00F5619D" w:rsidP="002D4E3F">
            <w:pPr>
              <w:tabs>
                <w:tab w:val="clear" w:pos="403"/>
              </w:tabs>
              <w:spacing w:before="120" w:after="120" w:line="240" w:lineRule="auto"/>
              <w:jc w:val="center"/>
              <w:rPr>
                <w:sz w:val="20"/>
                <w:szCs w:val="20"/>
              </w:rPr>
            </w:pPr>
            <w:r w:rsidRPr="00A52AB8">
              <w:rPr>
                <w:color w:val="000000" w:themeColor="text1"/>
                <w:sz w:val="20"/>
                <w:szCs w:val="20"/>
              </w:rPr>
              <w:t>N/A</w:t>
            </w:r>
          </w:p>
        </w:tc>
      </w:tr>
      <w:tr w:rsidR="00076923" w:rsidRPr="00A52AB8" w14:paraId="2D300298" w14:textId="77777777" w:rsidTr="002D4E3F">
        <w:trPr>
          <w:jc w:val="center"/>
        </w:trPr>
        <w:tc>
          <w:tcPr>
            <w:tcW w:w="4705" w:type="dxa"/>
            <w:vAlign w:val="center"/>
          </w:tcPr>
          <w:p w14:paraId="1F8D7D4B" w14:textId="77777777" w:rsidR="00076923" w:rsidRPr="00A52AB8" w:rsidRDefault="00076923" w:rsidP="002D4E3F">
            <w:pPr>
              <w:tabs>
                <w:tab w:val="clear" w:pos="403"/>
              </w:tabs>
              <w:spacing w:before="120" w:after="120" w:line="240" w:lineRule="auto"/>
              <w:jc w:val="center"/>
              <w:rPr>
                <w:sz w:val="20"/>
                <w:szCs w:val="20"/>
              </w:rPr>
            </w:pPr>
            <w:r w:rsidRPr="00A52AB8">
              <w:rPr>
                <w:sz w:val="20"/>
                <w:szCs w:val="20"/>
              </w:rPr>
              <w:t>Patch information</w:t>
            </w:r>
          </w:p>
        </w:tc>
        <w:tc>
          <w:tcPr>
            <w:tcW w:w="2595" w:type="dxa"/>
            <w:vAlign w:val="center"/>
          </w:tcPr>
          <w:p w14:paraId="120C7214" w14:textId="77777777" w:rsidR="00076923" w:rsidRPr="00A52AB8" w:rsidRDefault="00076923" w:rsidP="002D4E3F">
            <w:pPr>
              <w:tabs>
                <w:tab w:val="clear" w:pos="403"/>
              </w:tabs>
              <w:spacing w:before="120" w:after="120" w:line="240" w:lineRule="auto"/>
              <w:jc w:val="center"/>
              <w:rPr>
                <w:color w:val="000000" w:themeColor="text1"/>
                <w:sz w:val="20"/>
                <w:szCs w:val="20"/>
              </w:rPr>
            </w:pPr>
            <w:r w:rsidRPr="00A52AB8">
              <w:rPr>
                <w:sz w:val="20"/>
                <w:szCs w:val="20"/>
              </w:rPr>
              <w:t>NAL_PREFIX_NSEI</w:t>
            </w:r>
          </w:p>
        </w:tc>
        <w:tc>
          <w:tcPr>
            <w:tcW w:w="2442" w:type="dxa"/>
            <w:vAlign w:val="center"/>
          </w:tcPr>
          <w:p w14:paraId="028115DA" w14:textId="77777777" w:rsidR="00076923" w:rsidRPr="00A52AB8" w:rsidRDefault="00F5619D" w:rsidP="002D4E3F">
            <w:pPr>
              <w:tabs>
                <w:tab w:val="clear" w:pos="403"/>
              </w:tabs>
              <w:spacing w:before="120" w:after="120" w:line="240" w:lineRule="auto"/>
              <w:jc w:val="center"/>
              <w:rPr>
                <w:sz w:val="20"/>
                <w:szCs w:val="20"/>
              </w:rPr>
            </w:pPr>
            <w:r w:rsidRPr="00A52AB8">
              <w:rPr>
                <w:color w:val="000000" w:themeColor="text1"/>
                <w:sz w:val="20"/>
                <w:szCs w:val="20"/>
              </w:rPr>
              <w:t>N/A</w:t>
            </w:r>
          </w:p>
        </w:tc>
      </w:tr>
      <w:tr w:rsidR="00076923" w:rsidRPr="00A52AB8" w14:paraId="00D409F3" w14:textId="77777777" w:rsidTr="002D4E3F">
        <w:trPr>
          <w:jc w:val="center"/>
        </w:trPr>
        <w:tc>
          <w:tcPr>
            <w:tcW w:w="4705" w:type="dxa"/>
            <w:vAlign w:val="center"/>
          </w:tcPr>
          <w:p w14:paraId="25E0561E" w14:textId="77777777" w:rsidR="00076923" w:rsidRPr="00A52AB8" w:rsidRDefault="00076923" w:rsidP="002D4E3F">
            <w:pPr>
              <w:tabs>
                <w:tab w:val="clear" w:pos="403"/>
              </w:tabs>
              <w:spacing w:before="120" w:after="120" w:line="240" w:lineRule="auto"/>
              <w:jc w:val="center"/>
              <w:rPr>
                <w:sz w:val="20"/>
                <w:szCs w:val="20"/>
              </w:rPr>
            </w:pPr>
            <w:r w:rsidRPr="00A52AB8">
              <w:rPr>
                <w:sz w:val="20"/>
                <w:szCs w:val="20"/>
              </w:rPr>
              <w:t>Volumetric rectangle information</w:t>
            </w:r>
          </w:p>
        </w:tc>
        <w:tc>
          <w:tcPr>
            <w:tcW w:w="2595" w:type="dxa"/>
            <w:vAlign w:val="center"/>
          </w:tcPr>
          <w:p w14:paraId="2A547FA9" w14:textId="77777777" w:rsidR="00076923" w:rsidRPr="00A52AB8" w:rsidRDefault="00076923" w:rsidP="002D4E3F">
            <w:pPr>
              <w:tabs>
                <w:tab w:val="clear" w:pos="403"/>
              </w:tabs>
              <w:spacing w:before="120" w:after="120" w:line="240" w:lineRule="auto"/>
              <w:jc w:val="center"/>
              <w:rPr>
                <w:color w:val="000000" w:themeColor="text1"/>
                <w:sz w:val="20"/>
                <w:szCs w:val="20"/>
              </w:rPr>
            </w:pPr>
            <w:r w:rsidRPr="00A52AB8">
              <w:rPr>
                <w:sz w:val="20"/>
                <w:szCs w:val="20"/>
              </w:rPr>
              <w:t>NAL_PREFIX_NSEI</w:t>
            </w:r>
          </w:p>
        </w:tc>
        <w:tc>
          <w:tcPr>
            <w:tcW w:w="2442" w:type="dxa"/>
            <w:vAlign w:val="center"/>
          </w:tcPr>
          <w:p w14:paraId="06B24A2B" w14:textId="77777777" w:rsidR="00076923" w:rsidRPr="00A52AB8" w:rsidRDefault="00F5619D" w:rsidP="002D4E3F">
            <w:pPr>
              <w:tabs>
                <w:tab w:val="clear" w:pos="403"/>
              </w:tabs>
              <w:spacing w:before="120" w:after="120" w:line="240" w:lineRule="auto"/>
              <w:jc w:val="center"/>
              <w:rPr>
                <w:sz w:val="20"/>
                <w:szCs w:val="20"/>
              </w:rPr>
            </w:pPr>
            <w:r w:rsidRPr="00A52AB8">
              <w:rPr>
                <w:color w:val="000000" w:themeColor="text1"/>
                <w:sz w:val="20"/>
                <w:szCs w:val="20"/>
              </w:rPr>
              <w:t>N/A</w:t>
            </w:r>
          </w:p>
        </w:tc>
      </w:tr>
      <w:tr w:rsidR="00076923" w:rsidRPr="00A52AB8" w14:paraId="6180ED57" w14:textId="77777777" w:rsidTr="002D4E3F">
        <w:trPr>
          <w:jc w:val="center"/>
        </w:trPr>
        <w:tc>
          <w:tcPr>
            <w:tcW w:w="4705" w:type="dxa"/>
            <w:vAlign w:val="center"/>
          </w:tcPr>
          <w:p w14:paraId="618E56D6" w14:textId="202738A4" w:rsidR="00076923" w:rsidRPr="00A52AB8" w:rsidRDefault="00076923" w:rsidP="002D4E3F">
            <w:pPr>
              <w:tabs>
                <w:tab w:val="clear" w:pos="403"/>
              </w:tabs>
              <w:spacing w:before="120" w:after="120" w:line="240" w:lineRule="auto"/>
              <w:jc w:val="center"/>
              <w:rPr>
                <w:sz w:val="20"/>
                <w:szCs w:val="20"/>
              </w:rPr>
            </w:pPr>
            <w:r w:rsidRPr="00A52AB8">
              <w:rPr>
                <w:sz w:val="20"/>
                <w:szCs w:val="20"/>
              </w:rPr>
              <w:t xml:space="preserve">Atlas </w:t>
            </w:r>
            <w:r w:rsidR="004D74F0" w:rsidRPr="00A52AB8">
              <w:rPr>
                <w:sz w:val="20"/>
                <w:szCs w:val="20"/>
              </w:rPr>
              <w:t>object association</w:t>
            </w:r>
          </w:p>
        </w:tc>
        <w:tc>
          <w:tcPr>
            <w:tcW w:w="2595" w:type="dxa"/>
            <w:vAlign w:val="center"/>
          </w:tcPr>
          <w:p w14:paraId="2CA64C5A" w14:textId="77777777" w:rsidR="00076923" w:rsidRPr="00A52AB8" w:rsidRDefault="00076923" w:rsidP="002D4E3F">
            <w:pPr>
              <w:tabs>
                <w:tab w:val="clear" w:pos="403"/>
              </w:tabs>
              <w:spacing w:before="120" w:after="120" w:line="240" w:lineRule="auto"/>
              <w:jc w:val="center"/>
              <w:rPr>
                <w:color w:val="000000" w:themeColor="text1"/>
                <w:sz w:val="20"/>
                <w:szCs w:val="20"/>
              </w:rPr>
            </w:pPr>
            <w:r w:rsidRPr="00A52AB8">
              <w:rPr>
                <w:sz w:val="20"/>
                <w:szCs w:val="20"/>
              </w:rPr>
              <w:t>NAL_PREFIX_NSEI</w:t>
            </w:r>
          </w:p>
        </w:tc>
        <w:tc>
          <w:tcPr>
            <w:tcW w:w="2442" w:type="dxa"/>
            <w:vAlign w:val="center"/>
          </w:tcPr>
          <w:p w14:paraId="02CBDA43" w14:textId="77777777" w:rsidR="00076923" w:rsidRPr="00A52AB8" w:rsidRDefault="00F5619D" w:rsidP="002D4E3F">
            <w:pPr>
              <w:tabs>
                <w:tab w:val="clear" w:pos="403"/>
              </w:tabs>
              <w:spacing w:before="120" w:after="120" w:line="240" w:lineRule="auto"/>
              <w:jc w:val="center"/>
              <w:rPr>
                <w:sz w:val="20"/>
                <w:szCs w:val="20"/>
              </w:rPr>
            </w:pPr>
            <w:r w:rsidRPr="00A52AB8">
              <w:rPr>
                <w:color w:val="000000" w:themeColor="text1"/>
                <w:sz w:val="20"/>
                <w:szCs w:val="20"/>
              </w:rPr>
              <w:t>N/A</w:t>
            </w:r>
          </w:p>
        </w:tc>
      </w:tr>
      <w:tr w:rsidR="00076923" w:rsidRPr="00A52AB8" w14:paraId="796A6895" w14:textId="77777777" w:rsidTr="002D4E3F">
        <w:trPr>
          <w:jc w:val="center"/>
        </w:trPr>
        <w:tc>
          <w:tcPr>
            <w:tcW w:w="4705" w:type="dxa"/>
            <w:vAlign w:val="center"/>
          </w:tcPr>
          <w:p w14:paraId="2A1E1ADF" w14:textId="77777777" w:rsidR="00076923" w:rsidRPr="00A52AB8" w:rsidRDefault="00076923" w:rsidP="002D4E3F">
            <w:pPr>
              <w:tabs>
                <w:tab w:val="clear" w:pos="403"/>
              </w:tabs>
              <w:spacing w:before="120" w:after="120" w:line="240" w:lineRule="auto"/>
              <w:jc w:val="center"/>
              <w:rPr>
                <w:sz w:val="20"/>
                <w:szCs w:val="20"/>
              </w:rPr>
            </w:pPr>
            <w:r w:rsidRPr="00A52AB8">
              <w:rPr>
                <w:sz w:val="20"/>
                <w:szCs w:val="20"/>
              </w:rPr>
              <w:t>Buffering period</w:t>
            </w:r>
          </w:p>
        </w:tc>
        <w:tc>
          <w:tcPr>
            <w:tcW w:w="2595" w:type="dxa"/>
            <w:vAlign w:val="center"/>
          </w:tcPr>
          <w:p w14:paraId="5FF99595" w14:textId="77777777" w:rsidR="00076923" w:rsidRPr="00A52AB8" w:rsidRDefault="00076923" w:rsidP="002D4E3F">
            <w:pPr>
              <w:tabs>
                <w:tab w:val="clear" w:pos="403"/>
              </w:tabs>
              <w:spacing w:before="120" w:after="120" w:line="240" w:lineRule="auto"/>
              <w:jc w:val="center"/>
              <w:rPr>
                <w:color w:val="000000" w:themeColor="text1"/>
                <w:sz w:val="20"/>
                <w:szCs w:val="20"/>
              </w:rPr>
            </w:pPr>
            <w:r w:rsidRPr="00A52AB8">
              <w:rPr>
                <w:sz w:val="20"/>
                <w:szCs w:val="20"/>
              </w:rPr>
              <w:t>NAL_PREFIX_ESEI</w:t>
            </w:r>
          </w:p>
        </w:tc>
        <w:tc>
          <w:tcPr>
            <w:tcW w:w="2442" w:type="dxa"/>
            <w:vAlign w:val="center"/>
          </w:tcPr>
          <w:p w14:paraId="04EC544B" w14:textId="77777777" w:rsidR="00076923" w:rsidRPr="00A52AB8" w:rsidRDefault="0044573B" w:rsidP="002D4E3F">
            <w:pPr>
              <w:tabs>
                <w:tab w:val="clear" w:pos="403"/>
              </w:tabs>
              <w:spacing w:before="120" w:after="120" w:line="240" w:lineRule="auto"/>
              <w:jc w:val="center"/>
              <w:rPr>
                <w:sz w:val="20"/>
                <w:szCs w:val="20"/>
              </w:rPr>
            </w:pPr>
            <w:r w:rsidRPr="00A52AB8">
              <w:rPr>
                <w:sz w:val="20"/>
                <w:szCs w:val="20"/>
              </w:rPr>
              <w:t>Type-A</w:t>
            </w:r>
          </w:p>
        </w:tc>
      </w:tr>
      <w:tr w:rsidR="00076923" w:rsidRPr="00A52AB8" w14:paraId="2F0BD5F6" w14:textId="77777777" w:rsidTr="002D4E3F">
        <w:trPr>
          <w:jc w:val="center"/>
        </w:trPr>
        <w:tc>
          <w:tcPr>
            <w:tcW w:w="4705" w:type="dxa"/>
            <w:vAlign w:val="center"/>
          </w:tcPr>
          <w:p w14:paraId="023B03D5" w14:textId="77777777" w:rsidR="00076923" w:rsidRPr="00A52AB8" w:rsidRDefault="00076923" w:rsidP="002D4E3F">
            <w:pPr>
              <w:tabs>
                <w:tab w:val="clear" w:pos="403"/>
              </w:tabs>
              <w:spacing w:before="120" w:after="120" w:line="240" w:lineRule="auto"/>
              <w:jc w:val="center"/>
              <w:rPr>
                <w:sz w:val="20"/>
                <w:szCs w:val="20"/>
              </w:rPr>
            </w:pPr>
            <w:r w:rsidRPr="00A52AB8">
              <w:rPr>
                <w:sz w:val="20"/>
                <w:szCs w:val="20"/>
              </w:rPr>
              <w:t>Atlas frame timing</w:t>
            </w:r>
          </w:p>
        </w:tc>
        <w:tc>
          <w:tcPr>
            <w:tcW w:w="2595" w:type="dxa"/>
            <w:vAlign w:val="center"/>
          </w:tcPr>
          <w:p w14:paraId="2D0EC4D7" w14:textId="77777777" w:rsidR="00076923" w:rsidRPr="00A52AB8" w:rsidRDefault="00076923" w:rsidP="002D4E3F">
            <w:pPr>
              <w:tabs>
                <w:tab w:val="clear" w:pos="403"/>
              </w:tabs>
              <w:spacing w:before="120" w:after="120" w:line="240" w:lineRule="auto"/>
              <w:jc w:val="center"/>
              <w:rPr>
                <w:color w:val="000000" w:themeColor="text1"/>
                <w:sz w:val="20"/>
                <w:szCs w:val="20"/>
              </w:rPr>
            </w:pPr>
            <w:r w:rsidRPr="00A52AB8">
              <w:rPr>
                <w:sz w:val="20"/>
                <w:szCs w:val="20"/>
              </w:rPr>
              <w:t>NAL_PREFIX_ESEI</w:t>
            </w:r>
          </w:p>
        </w:tc>
        <w:tc>
          <w:tcPr>
            <w:tcW w:w="2442" w:type="dxa"/>
            <w:vAlign w:val="center"/>
          </w:tcPr>
          <w:p w14:paraId="2AA24A5F" w14:textId="77777777" w:rsidR="00076923" w:rsidRPr="00A52AB8" w:rsidRDefault="0044573B" w:rsidP="002D4E3F">
            <w:pPr>
              <w:tabs>
                <w:tab w:val="clear" w:pos="403"/>
              </w:tabs>
              <w:spacing w:before="120" w:after="120" w:line="240" w:lineRule="auto"/>
              <w:jc w:val="center"/>
              <w:rPr>
                <w:sz w:val="20"/>
                <w:szCs w:val="20"/>
              </w:rPr>
            </w:pPr>
            <w:r w:rsidRPr="00A52AB8">
              <w:rPr>
                <w:sz w:val="20"/>
                <w:szCs w:val="20"/>
              </w:rPr>
              <w:t>Type-A</w:t>
            </w:r>
          </w:p>
        </w:tc>
      </w:tr>
      <w:tr w:rsidR="00076923" w:rsidRPr="00A52AB8" w14:paraId="1FE9DFA0" w14:textId="77777777" w:rsidTr="002D4E3F">
        <w:trPr>
          <w:jc w:val="center"/>
        </w:trPr>
        <w:tc>
          <w:tcPr>
            <w:tcW w:w="4705" w:type="dxa"/>
            <w:vAlign w:val="center"/>
          </w:tcPr>
          <w:p w14:paraId="741C01BA" w14:textId="77777777" w:rsidR="00076923" w:rsidRPr="00A52AB8" w:rsidRDefault="00076923" w:rsidP="002D4E3F">
            <w:pPr>
              <w:tabs>
                <w:tab w:val="clear" w:pos="403"/>
              </w:tabs>
              <w:spacing w:before="120" w:after="120" w:line="240" w:lineRule="auto"/>
              <w:jc w:val="center"/>
              <w:rPr>
                <w:sz w:val="20"/>
                <w:szCs w:val="20"/>
              </w:rPr>
            </w:pPr>
            <w:r w:rsidRPr="00A52AB8">
              <w:rPr>
                <w:sz w:val="20"/>
                <w:szCs w:val="20"/>
              </w:rPr>
              <w:t>Viewport camera parameters</w:t>
            </w:r>
          </w:p>
        </w:tc>
        <w:tc>
          <w:tcPr>
            <w:tcW w:w="2595" w:type="dxa"/>
            <w:vAlign w:val="center"/>
          </w:tcPr>
          <w:p w14:paraId="717B21B9" w14:textId="77777777" w:rsidR="00076923" w:rsidRPr="00A52AB8" w:rsidRDefault="00076923" w:rsidP="002D4E3F">
            <w:pPr>
              <w:tabs>
                <w:tab w:val="clear" w:pos="403"/>
              </w:tabs>
              <w:spacing w:before="120" w:after="120" w:line="240" w:lineRule="auto"/>
              <w:jc w:val="center"/>
              <w:rPr>
                <w:color w:val="000000" w:themeColor="text1"/>
                <w:sz w:val="20"/>
                <w:szCs w:val="20"/>
              </w:rPr>
            </w:pPr>
            <w:r w:rsidRPr="00A52AB8">
              <w:rPr>
                <w:sz w:val="20"/>
                <w:szCs w:val="20"/>
              </w:rPr>
              <w:t>NAL_PREFIX_NSEI</w:t>
            </w:r>
          </w:p>
        </w:tc>
        <w:tc>
          <w:tcPr>
            <w:tcW w:w="2442" w:type="dxa"/>
            <w:vAlign w:val="center"/>
          </w:tcPr>
          <w:p w14:paraId="1BC99871" w14:textId="77777777" w:rsidR="00076923" w:rsidRPr="00A52AB8" w:rsidRDefault="00F5619D" w:rsidP="002D4E3F">
            <w:pPr>
              <w:tabs>
                <w:tab w:val="clear" w:pos="403"/>
              </w:tabs>
              <w:spacing w:before="120" w:after="120" w:line="240" w:lineRule="auto"/>
              <w:jc w:val="center"/>
              <w:rPr>
                <w:sz w:val="20"/>
                <w:szCs w:val="20"/>
              </w:rPr>
            </w:pPr>
            <w:r w:rsidRPr="00A52AB8">
              <w:rPr>
                <w:color w:val="000000" w:themeColor="text1"/>
                <w:sz w:val="20"/>
                <w:szCs w:val="20"/>
              </w:rPr>
              <w:t>N/A</w:t>
            </w:r>
          </w:p>
        </w:tc>
      </w:tr>
      <w:tr w:rsidR="00076923" w:rsidRPr="00A52AB8" w14:paraId="44453D02" w14:textId="77777777" w:rsidTr="002D4E3F">
        <w:trPr>
          <w:jc w:val="center"/>
        </w:trPr>
        <w:tc>
          <w:tcPr>
            <w:tcW w:w="4705" w:type="dxa"/>
            <w:vAlign w:val="center"/>
          </w:tcPr>
          <w:p w14:paraId="6A34B5EB" w14:textId="77777777" w:rsidR="00076923" w:rsidRPr="00A52AB8" w:rsidRDefault="00076923" w:rsidP="002D4E3F">
            <w:pPr>
              <w:tabs>
                <w:tab w:val="clear" w:pos="403"/>
              </w:tabs>
              <w:spacing w:before="120" w:after="120" w:line="240" w:lineRule="auto"/>
              <w:jc w:val="center"/>
              <w:rPr>
                <w:sz w:val="20"/>
                <w:szCs w:val="20"/>
              </w:rPr>
            </w:pPr>
            <w:r w:rsidRPr="00A52AB8">
              <w:rPr>
                <w:sz w:val="20"/>
                <w:szCs w:val="20"/>
              </w:rPr>
              <w:t>Viewport position</w:t>
            </w:r>
          </w:p>
        </w:tc>
        <w:tc>
          <w:tcPr>
            <w:tcW w:w="2595" w:type="dxa"/>
            <w:vAlign w:val="center"/>
          </w:tcPr>
          <w:p w14:paraId="0333EC70" w14:textId="77777777" w:rsidR="00076923" w:rsidRPr="00A52AB8" w:rsidRDefault="00076923" w:rsidP="002D4E3F">
            <w:pPr>
              <w:tabs>
                <w:tab w:val="clear" w:pos="403"/>
              </w:tabs>
              <w:spacing w:before="120" w:after="120" w:line="240" w:lineRule="auto"/>
              <w:jc w:val="center"/>
              <w:rPr>
                <w:color w:val="000000" w:themeColor="text1"/>
                <w:sz w:val="20"/>
                <w:szCs w:val="20"/>
              </w:rPr>
            </w:pPr>
            <w:r w:rsidRPr="00A52AB8">
              <w:rPr>
                <w:sz w:val="20"/>
                <w:szCs w:val="20"/>
              </w:rPr>
              <w:t>NAL_PREFIX_NSEI</w:t>
            </w:r>
          </w:p>
        </w:tc>
        <w:tc>
          <w:tcPr>
            <w:tcW w:w="2442" w:type="dxa"/>
            <w:vAlign w:val="center"/>
          </w:tcPr>
          <w:p w14:paraId="7A024606" w14:textId="77777777" w:rsidR="00076923" w:rsidRPr="00A52AB8" w:rsidRDefault="00F5619D" w:rsidP="002D4E3F">
            <w:pPr>
              <w:tabs>
                <w:tab w:val="clear" w:pos="403"/>
              </w:tabs>
              <w:spacing w:before="120" w:after="120" w:line="240" w:lineRule="auto"/>
              <w:jc w:val="center"/>
              <w:rPr>
                <w:sz w:val="20"/>
                <w:szCs w:val="20"/>
              </w:rPr>
            </w:pPr>
            <w:r w:rsidRPr="00A52AB8">
              <w:rPr>
                <w:color w:val="000000" w:themeColor="text1"/>
                <w:sz w:val="20"/>
                <w:szCs w:val="20"/>
              </w:rPr>
              <w:t>N/A</w:t>
            </w:r>
          </w:p>
        </w:tc>
      </w:tr>
      <w:tr w:rsidR="00AF7BC6" w:rsidRPr="00A52AB8" w14:paraId="2BEE0B19" w14:textId="77777777" w:rsidTr="00C50E43">
        <w:trPr>
          <w:jc w:val="center"/>
        </w:trPr>
        <w:tc>
          <w:tcPr>
            <w:tcW w:w="4705" w:type="dxa"/>
            <w:vAlign w:val="center"/>
          </w:tcPr>
          <w:p w14:paraId="350DEC11" w14:textId="77777777" w:rsidR="00AF7BC6" w:rsidRPr="00A52AB8" w:rsidRDefault="00AF7BC6" w:rsidP="00C50E43">
            <w:pPr>
              <w:tabs>
                <w:tab w:val="clear" w:pos="403"/>
              </w:tabs>
              <w:spacing w:before="120" w:after="120" w:line="240" w:lineRule="auto"/>
              <w:jc w:val="center"/>
              <w:rPr>
                <w:sz w:val="20"/>
                <w:szCs w:val="20"/>
              </w:rPr>
            </w:pPr>
            <w:r w:rsidRPr="00A52AB8">
              <w:rPr>
                <w:sz w:val="20"/>
                <w:szCs w:val="20"/>
              </w:rPr>
              <w:t>Decoded atlas information hash</w:t>
            </w:r>
          </w:p>
        </w:tc>
        <w:tc>
          <w:tcPr>
            <w:tcW w:w="2595" w:type="dxa"/>
            <w:vAlign w:val="center"/>
          </w:tcPr>
          <w:p w14:paraId="72260F81" w14:textId="77777777" w:rsidR="00AF7BC6" w:rsidRPr="00A52AB8" w:rsidRDefault="00AF7BC6" w:rsidP="00C50E43">
            <w:pPr>
              <w:tabs>
                <w:tab w:val="clear" w:pos="403"/>
              </w:tabs>
              <w:spacing w:before="120" w:after="120" w:line="240" w:lineRule="auto"/>
              <w:jc w:val="center"/>
              <w:rPr>
                <w:sz w:val="20"/>
                <w:szCs w:val="20"/>
              </w:rPr>
            </w:pPr>
            <w:r w:rsidRPr="00A52AB8">
              <w:rPr>
                <w:sz w:val="20"/>
                <w:szCs w:val="20"/>
              </w:rPr>
              <w:t>NAL_SUFFIX_NSEI</w:t>
            </w:r>
          </w:p>
        </w:tc>
        <w:tc>
          <w:tcPr>
            <w:tcW w:w="2442" w:type="dxa"/>
            <w:vAlign w:val="center"/>
          </w:tcPr>
          <w:p w14:paraId="392DC512" w14:textId="77777777" w:rsidR="00AF7BC6" w:rsidRPr="00A52AB8" w:rsidRDefault="00AF7BC6" w:rsidP="00C50E43">
            <w:pPr>
              <w:tabs>
                <w:tab w:val="clear" w:pos="403"/>
              </w:tabs>
              <w:spacing w:before="120" w:after="120" w:line="240" w:lineRule="auto"/>
              <w:jc w:val="center"/>
              <w:rPr>
                <w:sz w:val="20"/>
                <w:szCs w:val="20"/>
              </w:rPr>
            </w:pPr>
            <w:r w:rsidRPr="00A52AB8">
              <w:rPr>
                <w:color w:val="000000" w:themeColor="text1"/>
                <w:sz w:val="20"/>
                <w:szCs w:val="20"/>
              </w:rPr>
              <w:t>N/A</w:t>
            </w:r>
          </w:p>
        </w:tc>
      </w:tr>
      <w:tr w:rsidR="00AF7BC6" w:rsidRPr="00A52AB8" w14:paraId="6EDF0BDA" w14:textId="77777777" w:rsidTr="00C50E43">
        <w:trPr>
          <w:jc w:val="center"/>
        </w:trPr>
        <w:tc>
          <w:tcPr>
            <w:tcW w:w="4705" w:type="dxa"/>
            <w:vAlign w:val="center"/>
          </w:tcPr>
          <w:p w14:paraId="662C8377" w14:textId="77777777" w:rsidR="00AF7BC6" w:rsidRPr="00A52AB8" w:rsidRDefault="00AF7BC6" w:rsidP="00C50E43">
            <w:pPr>
              <w:tabs>
                <w:tab w:val="clear" w:pos="403"/>
              </w:tabs>
              <w:spacing w:before="120" w:after="120" w:line="240" w:lineRule="auto"/>
              <w:jc w:val="center"/>
              <w:rPr>
                <w:sz w:val="20"/>
                <w:szCs w:val="20"/>
              </w:rPr>
            </w:pPr>
            <w:r w:rsidRPr="00A52AB8">
              <w:rPr>
                <w:sz w:val="20"/>
                <w:szCs w:val="20"/>
              </w:rPr>
              <w:t>Time code</w:t>
            </w:r>
          </w:p>
        </w:tc>
        <w:tc>
          <w:tcPr>
            <w:tcW w:w="2595" w:type="dxa"/>
            <w:vAlign w:val="center"/>
          </w:tcPr>
          <w:p w14:paraId="54BC4DB6" w14:textId="77777777" w:rsidR="00AF7BC6" w:rsidRPr="00A52AB8" w:rsidRDefault="00AF7BC6" w:rsidP="00C50E43">
            <w:pPr>
              <w:tabs>
                <w:tab w:val="clear" w:pos="403"/>
              </w:tabs>
              <w:spacing w:before="120" w:after="120" w:line="240" w:lineRule="auto"/>
              <w:jc w:val="center"/>
              <w:rPr>
                <w:sz w:val="20"/>
                <w:szCs w:val="20"/>
              </w:rPr>
            </w:pPr>
            <w:r w:rsidRPr="00A52AB8">
              <w:rPr>
                <w:sz w:val="20"/>
                <w:szCs w:val="20"/>
              </w:rPr>
              <w:t>NAL_PREFIX_NSEI</w:t>
            </w:r>
          </w:p>
        </w:tc>
        <w:tc>
          <w:tcPr>
            <w:tcW w:w="2442" w:type="dxa"/>
            <w:vAlign w:val="center"/>
          </w:tcPr>
          <w:p w14:paraId="56FE2505" w14:textId="77777777" w:rsidR="00AF7BC6" w:rsidRPr="00A52AB8" w:rsidRDefault="00AF7BC6" w:rsidP="00C50E43">
            <w:pPr>
              <w:tabs>
                <w:tab w:val="clear" w:pos="403"/>
              </w:tabs>
              <w:spacing w:before="120" w:after="120" w:line="240" w:lineRule="auto"/>
              <w:jc w:val="center"/>
              <w:rPr>
                <w:color w:val="000000" w:themeColor="text1"/>
                <w:sz w:val="20"/>
                <w:szCs w:val="20"/>
              </w:rPr>
            </w:pPr>
            <w:r w:rsidRPr="00A52AB8">
              <w:rPr>
                <w:color w:val="000000" w:themeColor="text1"/>
                <w:sz w:val="20"/>
                <w:szCs w:val="20"/>
              </w:rPr>
              <w:t>N/A</w:t>
            </w:r>
          </w:p>
        </w:tc>
      </w:tr>
      <w:tr w:rsidR="00AF7BC6" w:rsidRPr="00A52AB8" w14:paraId="3D99B77C" w14:textId="77777777" w:rsidTr="00C50E43">
        <w:trPr>
          <w:jc w:val="center"/>
        </w:trPr>
        <w:tc>
          <w:tcPr>
            <w:tcW w:w="4705" w:type="dxa"/>
            <w:vAlign w:val="center"/>
          </w:tcPr>
          <w:p w14:paraId="7A2B3ACC" w14:textId="77777777" w:rsidR="00AF7BC6" w:rsidRPr="00A52AB8" w:rsidRDefault="00AF7BC6" w:rsidP="00C50E43">
            <w:pPr>
              <w:tabs>
                <w:tab w:val="clear" w:pos="403"/>
              </w:tabs>
              <w:spacing w:before="120" w:after="120" w:line="240" w:lineRule="auto"/>
              <w:jc w:val="center"/>
              <w:rPr>
                <w:sz w:val="20"/>
                <w:szCs w:val="20"/>
              </w:rPr>
            </w:pPr>
            <w:r w:rsidRPr="00A52AB8">
              <w:rPr>
                <w:sz w:val="20"/>
                <w:szCs w:val="20"/>
              </w:rPr>
              <w:t>Attribute transformation parameters</w:t>
            </w:r>
          </w:p>
        </w:tc>
        <w:tc>
          <w:tcPr>
            <w:tcW w:w="2595" w:type="dxa"/>
            <w:vAlign w:val="center"/>
          </w:tcPr>
          <w:p w14:paraId="677B8E6E" w14:textId="77777777" w:rsidR="00AF7BC6" w:rsidRPr="00A52AB8" w:rsidRDefault="00AF7BC6" w:rsidP="00C50E43">
            <w:pPr>
              <w:tabs>
                <w:tab w:val="clear" w:pos="403"/>
              </w:tabs>
              <w:spacing w:before="120" w:after="120" w:line="240" w:lineRule="auto"/>
              <w:jc w:val="center"/>
              <w:rPr>
                <w:color w:val="000000" w:themeColor="text1"/>
                <w:sz w:val="20"/>
                <w:szCs w:val="20"/>
              </w:rPr>
            </w:pPr>
            <w:r w:rsidRPr="00A52AB8">
              <w:rPr>
                <w:sz w:val="20"/>
                <w:szCs w:val="20"/>
              </w:rPr>
              <w:t>NAL_PREFIX_NSEI</w:t>
            </w:r>
          </w:p>
        </w:tc>
        <w:tc>
          <w:tcPr>
            <w:tcW w:w="2442" w:type="dxa"/>
            <w:vAlign w:val="center"/>
          </w:tcPr>
          <w:p w14:paraId="0A140893" w14:textId="77777777" w:rsidR="00AF7BC6" w:rsidRPr="00A52AB8" w:rsidRDefault="00AF7BC6" w:rsidP="00C50E43">
            <w:pPr>
              <w:tabs>
                <w:tab w:val="clear" w:pos="403"/>
              </w:tabs>
              <w:spacing w:before="120" w:after="120" w:line="240" w:lineRule="auto"/>
              <w:jc w:val="center"/>
              <w:rPr>
                <w:sz w:val="20"/>
                <w:szCs w:val="20"/>
              </w:rPr>
            </w:pPr>
            <w:r w:rsidRPr="00A52AB8">
              <w:rPr>
                <w:sz w:val="20"/>
                <w:szCs w:val="20"/>
              </w:rPr>
              <w:t>Type-B</w:t>
            </w:r>
          </w:p>
        </w:tc>
      </w:tr>
      <w:tr w:rsidR="00076923" w:rsidRPr="00A52AB8" w14:paraId="0F9F53D5" w14:textId="77777777" w:rsidTr="002D4E3F">
        <w:trPr>
          <w:jc w:val="center"/>
        </w:trPr>
        <w:tc>
          <w:tcPr>
            <w:tcW w:w="4705" w:type="dxa"/>
            <w:vAlign w:val="center"/>
          </w:tcPr>
          <w:p w14:paraId="2F4244A1" w14:textId="77777777" w:rsidR="00076923" w:rsidRPr="00A52AB8" w:rsidRDefault="00076923" w:rsidP="002D4E3F">
            <w:pPr>
              <w:tabs>
                <w:tab w:val="clear" w:pos="403"/>
              </w:tabs>
              <w:spacing w:before="120" w:after="120" w:line="240" w:lineRule="auto"/>
              <w:jc w:val="center"/>
              <w:rPr>
                <w:sz w:val="20"/>
                <w:szCs w:val="20"/>
              </w:rPr>
            </w:pPr>
            <w:r w:rsidRPr="00A52AB8">
              <w:rPr>
                <w:sz w:val="20"/>
                <w:szCs w:val="20"/>
              </w:rPr>
              <w:t>Occupancy synthesis</w:t>
            </w:r>
          </w:p>
        </w:tc>
        <w:tc>
          <w:tcPr>
            <w:tcW w:w="2595" w:type="dxa"/>
            <w:vAlign w:val="center"/>
          </w:tcPr>
          <w:p w14:paraId="1C4F923B" w14:textId="77777777" w:rsidR="00076923" w:rsidRPr="00A52AB8" w:rsidRDefault="00076923" w:rsidP="002D4E3F">
            <w:pPr>
              <w:tabs>
                <w:tab w:val="clear" w:pos="403"/>
              </w:tabs>
              <w:spacing w:before="120" w:after="120" w:line="240" w:lineRule="auto"/>
              <w:jc w:val="center"/>
              <w:rPr>
                <w:sz w:val="20"/>
                <w:szCs w:val="20"/>
              </w:rPr>
            </w:pPr>
            <w:r w:rsidRPr="00A52AB8">
              <w:rPr>
                <w:sz w:val="20"/>
                <w:szCs w:val="20"/>
              </w:rPr>
              <w:t>NAL_PREFIX_ESEI</w:t>
            </w:r>
          </w:p>
        </w:tc>
        <w:tc>
          <w:tcPr>
            <w:tcW w:w="2442" w:type="dxa"/>
            <w:vAlign w:val="center"/>
          </w:tcPr>
          <w:p w14:paraId="33A9AEB0" w14:textId="77777777" w:rsidR="00076923" w:rsidRPr="00A52AB8" w:rsidRDefault="0044573B" w:rsidP="002D4E3F">
            <w:pPr>
              <w:tabs>
                <w:tab w:val="clear" w:pos="403"/>
              </w:tabs>
              <w:spacing w:before="120" w:after="120" w:line="240" w:lineRule="auto"/>
              <w:jc w:val="center"/>
              <w:rPr>
                <w:sz w:val="20"/>
                <w:szCs w:val="20"/>
              </w:rPr>
            </w:pPr>
            <w:r w:rsidRPr="00A52AB8">
              <w:rPr>
                <w:sz w:val="20"/>
                <w:szCs w:val="20"/>
              </w:rPr>
              <w:t>Type-B</w:t>
            </w:r>
          </w:p>
        </w:tc>
      </w:tr>
      <w:tr w:rsidR="00076923" w:rsidRPr="00A52AB8" w14:paraId="637DD49A" w14:textId="77777777" w:rsidTr="002D4E3F">
        <w:trPr>
          <w:jc w:val="center"/>
        </w:trPr>
        <w:tc>
          <w:tcPr>
            <w:tcW w:w="4705" w:type="dxa"/>
            <w:vAlign w:val="center"/>
          </w:tcPr>
          <w:p w14:paraId="6E5FC733" w14:textId="77777777" w:rsidR="00076923" w:rsidRPr="00A52AB8" w:rsidRDefault="00076923" w:rsidP="002D4E3F">
            <w:pPr>
              <w:tabs>
                <w:tab w:val="clear" w:pos="403"/>
              </w:tabs>
              <w:spacing w:before="120" w:after="120" w:line="240" w:lineRule="auto"/>
              <w:jc w:val="center"/>
              <w:rPr>
                <w:sz w:val="20"/>
                <w:szCs w:val="20"/>
              </w:rPr>
            </w:pPr>
            <w:r w:rsidRPr="00A52AB8">
              <w:rPr>
                <w:sz w:val="20"/>
                <w:szCs w:val="20"/>
              </w:rPr>
              <w:t>Geometry smoothing</w:t>
            </w:r>
          </w:p>
        </w:tc>
        <w:tc>
          <w:tcPr>
            <w:tcW w:w="2595" w:type="dxa"/>
            <w:vAlign w:val="center"/>
          </w:tcPr>
          <w:p w14:paraId="6B69F1E6" w14:textId="77777777" w:rsidR="00076923" w:rsidRPr="00A52AB8" w:rsidRDefault="00076923" w:rsidP="002D4E3F">
            <w:pPr>
              <w:tabs>
                <w:tab w:val="clear" w:pos="403"/>
              </w:tabs>
              <w:spacing w:before="120" w:after="120" w:line="240" w:lineRule="auto"/>
              <w:jc w:val="center"/>
              <w:rPr>
                <w:sz w:val="20"/>
                <w:szCs w:val="20"/>
              </w:rPr>
            </w:pPr>
            <w:r w:rsidRPr="00A52AB8">
              <w:rPr>
                <w:sz w:val="20"/>
                <w:szCs w:val="20"/>
              </w:rPr>
              <w:t>NAL_PREFIX_ESEI</w:t>
            </w:r>
          </w:p>
        </w:tc>
        <w:tc>
          <w:tcPr>
            <w:tcW w:w="2442" w:type="dxa"/>
            <w:vAlign w:val="center"/>
          </w:tcPr>
          <w:p w14:paraId="5A7206DB" w14:textId="77777777" w:rsidR="00076923" w:rsidRPr="00A52AB8" w:rsidRDefault="0044573B" w:rsidP="002D4E3F">
            <w:pPr>
              <w:tabs>
                <w:tab w:val="clear" w:pos="403"/>
              </w:tabs>
              <w:spacing w:before="120" w:after="120" w:line="240" w:lineRule="auto"/>
              <w:jc w:val="center"/>
              <w:rPr>
                <w:sz w:val="20"/>
                <w:szCs w:val="20"/>
              </w:rPr>
            </w:pPr>
            <w:r w:rsidRPr="00A52AB8">
              <w:rPr>
                <w:sz w:val="20"/>
                <w:szCs w:val="20"/>
              </w:rPr>
              <w:t xml:space="preserve">Type-B </w:t>
            </w:r>
          </w:p>
        </w:tc>
      </w:tr>
      <w:tr w:rsidR="00076923" w:rsidRPr="00A52AB8" w14:paraId="4417DD4D" w14:textId="77777777" w:rsidTr="002D4E3F">
        <w:trPr>
          <w:jc w:val="center"/>
        </w:trPr>
        <w:tc>
          <w:tcPr>
            <w:tcW w:w="4705" w:type="dxa"/>
            <w:vAlign w:val="center"/>
          </w:tcPr>
          <w:p w14:paraId="6D51F800" w14:textId="77777777" w:rsidR="00076923" w:rsidRPr="00A52AB8" w:rsidRDefault="00076923" w:rsidP="002D4E3F">
            <w:pPr>
              <w:tabs>
                <w:tab w:val="clear" w:pos="403"/>
              </w:tabs>
              <w:spacing w:before="120" w:after="120" w:line="240" w:lineRule="auto"/>
              <w:jc w:val="center"/>
              <w:rPr>
                <w:sz w:val="20"/>
                <w:szCs w:val="20"/>
              </w:rPr>
            </w:pPr>
            <w:r w:rsidRPr="00A52AB8">
              <w:rPr>
                <w:sz w:val="20"/>
                <w:szCs w:val="20"/>
              </w:rPr>
              <w:t>Attribute smoothing</w:t>
            </w:r>
          </w:p>
        </w:tc>
        <w:tc>
          <w:tcPr>
            <w:tcW w:w="2595" w:type="dxa"/>
            <w:vAlign w:val="center"/>
          </w:tcPr>
          <w:p w14:paraId="7CA412F4" w14:textId="77777777" w:rsidR="00076923" w:rsidRPr="00A52AB8" w:rsidRDefault="00076923" w:rsidP="002D4E3F">
            <w:pPr>
              <w:tabs>
                <w:tab w:val="clear" w:pos="403"/>
              </w:tabs>
              <w:spacing w:before="120" w:after="120" w:line="240" w:lineRule="auto"/>
              <w:jc w:val="center"/>
              <w:rPr>
                <w:sz w:val="20"/>
                <w:szCs w:val="20"/>
              </w:rPr>
            </w:pPr>
            <w:r w:rsidRPr="00A52AB8">
              <w:rPr>
                <w:sz w:val="20"/>
                <w:szCs w:val="20"/>
              </w:rPr>
              <w:t>NAL_PREFIX_ESEI</w:t>
            </w:r>
          </w:p>
        </w:tc>
        <w:tc>
          <w:tcPr>
            <w:tcW w:w="2442" w:type="dxa"/>
            <w:vAlign w:val="center"/>
          </w:tcPr>
          <w:p w14:paraId="3D781DB1" w14:textId="77777777" w:rsidR="00076923" w:rsidRPr="00A52AB8" w:rsidRDefault="0044573B" w:rsidP="002D4E3F">
            <w:pPr>
              <w:tabs>
                <w:tab w:val="clear" w:pos="403"/>
              </w:tabs>
              <w:spacing w:before="120" w:after="120" w:line="240" w:lineRule="auto"/>
              <w:jc w:val="center"/>
              <w:rPr>
                <w:sz w:val="20"/>
                <w:szCs w:val="20"/>
              </w:rPr>
            </w:pPr>
            <w:r w:rsidRPr="00A52AB8">
              <w:rPr>
                <w:sz w:val="20"/>
                <w:szCs w:val="20"/>
              </w:rPr>
              <w:t>Type-B</w:t>
            </w:r>
          </w:p>
        </w:tc>
      </w:tr>
    </w:tbl>
    <w:p w14:paraId="621C5823" w14:textId="77777777" w:rsidR="00C42897" w:rsidRPr="00A52AB8" w:rsidRDefault="00913E57" w:rsidP="009C6742">
      <w:pPr>
        <w:pStyle w:val="a2"/>
        <w:numPr>
          <w:ilvl w:val="1"/>
          <w:numId w:val="19"/>
        </w:numPr>
        <w:spacing w:line="240" w:lineRule="auto"/>
      </w:pPr>
      <w:bookmarkStart w:id="5224" w:name="_Toc45105671"/>
      <w:bookmarkStart w:id="5225" w:name="_Toc45530530"/>
      <w:bookmarkStart w:id="5226" w:name="_Toc46301893"/>
      <w:bookmarkStart w:id="5227" w:name="_Toc46302718"/>
      <w:bookmarkStart w:id="5228" w:name="_Toc45105672"/>
      <w:bookmarkStart w:id="5229" w:name="_Toc45530531"/>
      <w:bookmarkStart w:id="5230" w:name="_Toc46301894"/>
      <w:bookmarkStart w:id="5231" w:name="_Toc46302719"/>
      <w:bookmarkStart w:id="5232" w:name="_Ref38310473"/>
      <w:bookmarkStart w:id="5233" w:name="_Ref38310510"/>
      <w:bookmarkEnd w:id="5224"/>
      <w:bookmarkEnd w:id="5225"/>
      <w:bookmarkEnd w:id="5226"/>
      <w:bookmarkEnd w:id="5227"/>
      <w:bookmarkEnd w:id="5228"/>
      <w:bookmarkEnd w:id="5229"/>
      <w:bookmarkEnd w:id="5230"/>
      <w:bookmarkEnd w:id="5231"/>
      <w:r w:rsidRPr="00A52AB8">
        <w:tab/>
      </w:r>
      <w:bookmarkStart w:id="5234" w:name="_Toc52181708"/>
      <w:r w:rsidR="00BB7045" w:rsidRPr="00A52AB8">
        <w:t>SEI payload syntax</w:t>
      </w:r>
      <w:bookmarkEnd w:id="5232"/>
      <w:bookmarkEnd w:id="5233"/>
      <w:bookmarkEnd w:id="5234"/>
    </w:p>
    <w:p w14:paraId="746E27A1" w14:textId="77777777" w:rsidR="00C42897" w:rsidRPr="00A52AB8" w:rsidRDefault="00C42897" w:rsidP="009C6742">
      <w:pPr>
        <w:pStyle w:val="a3"/>
        <w:numPr>
          <w:ilvl w:val="2"/>
          <w:numId w:val="19"/>
        </w:numPr>
        <w:spacing w:line="240" w:lineRule="auto"/>
      </w:pPr>
      <w:bookmarkStart w:id="5235" w:name="_Ref38310422"/>
      <w:bookmarkStart w:id="5236" w:name="_Toc52181709"/>
      <w:r w:rsidRPr="00A52AB8">
        <w:t>General SEI message synta</w:t>
      </w:r>
      <w:r w:rsidR="008F2CFD" w:rsidRPr="00A52AB8">
        <w:t>x</w:t>
      </w:r>
      <w:bookmarkEnd w:id="5235"/>
      <w:bookmarkEnd w:id="5236"/>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404"/>
        <w:gridCol w:w="1338"/>
      </w:tblGrid>
      <w:tr w:rsidR="0089041C" w:rsidRPr="00A52AB8" w14:paraId="5E22BC91" w14:textId="77777777" w:rsidTr="004A0BDE">
        <w:trPr>
          <w:cantSplit/>
          <w:jc w:val="center"/>
        </w:trPr>
        <w:tc>
          <w:tcPr>
            <w:tcW w:w="8404" w:type="dxa"/>
          </w:tcPr>
          <w:p w14:paraId="40F3416D" w14:textId="557395E7" w:rsidR="0089041C" w:rsidRPr="00A52AB8" w:rsidRDefault="0089041C" w:rsidP="009C6742">
            <w:pPr>
              <w:spacing w:before="20" w:after="40" w:line="240" w:lineRule="auto"/>
              <w:rPr>
                <w:rFonts w:eastAsia="Malgun Gothic"/>
                <w:sz w:val="20"/>
              </w:rPr>
            </w:pPr>
            <w:r w:rsidRPr="00A52AB8">
              <w:rPr>
                <w:rFonts w:eastAsia="Malgun Gothic"/>
                <w:sz w:val="20"/>
              </w:rPr>
              <w:t>sei_payload( payloadType, payloadSize </w:t>
            </w:r>
            <w:r w:rsidR="008F1F82" w:rsidRPr="00A52AB8">
              <w:rPr>
                <w:rFonts w:eastAsia="Malgun Gothic"/>
                <w:sz w:val="20"/>
              </w:rPr>
              <w:t>) {</w:t>
            </w:r>
          </w:p>
        </w:tc>
        <w:tc>
          <w:tcPr>
            <w:tcW w:w="1338" w:type="dxa"/>
          </w:tcPr>
          <w:p w14:paraId="4F21C8D7" w14:textId="77777777" w:rsidR="0089041C" w:rsidRPr="00A52AB8" w:rsidRDefault="0089041C" w:rsidP="009C6742">
            <w:pPr>
              <w:spacing w:before="20" w:after="40" w:line="240" w:lineRule="auto"/>
              <w:jc w:val="center"/>
              <w:rPr>
                <w:rFonts w:eastAsia="Malgun Gothic"/>
                <w:bCs/>
                <w:sz w:val="20"/>
              </w:rPr>
            </w:pPr>
            <w:r w:rsidRPr="00A52AB8">
              <w:rPr>
                <w:rFonts w:eastAsia="Malgun Gothic"/>
                <w:b/>
                <w:bCs/>
                <w:sz w:val="20"/>
              </w:rPr>
              <w:t>Descriptor</w:t>
            </w:r>
          </w:p>
        </w:tc>
      </w:tr>
      <w:tr w:rsidR="0089041C" w:rsidRPr="00A52AB8" w14:paraId="5C04E46C" w14:textId="77777777" w:rsidTr="004A0BDE">
        <w:trPr>
          <w:cantSplit/>
          <w:jc w:val="center"/>
        </w:trPr>
        <w:tc>
          <w:tcPr>
            <w:tcW w:w="8404" w:type="dxa"/>
          </w:tcPr>
          <w:p w14:paraId="75A8E60E" w14:textId="3605041D" w:rsidR="0089041C" w:rsidRPr="00A52AB8" w:rsidRDefault="0089041C" w:rsidP="009C6742">
            <w:pPr>
              <w:spacing w:before="20" w:after="40" w:line="240" w:lineRule="auto"/>
              <w:rPr>
                <w:rFonts w:eastAsia="Malgun Gothic"/>
                <w:sz w:val="20"/>
              </w:rPr>
            </w:pPr>
            <w:r w:rsidRPr="00A52AB8">
              <w:rPr>
                <w:rFonts w:eastAsia="Malgun Gothic"/>
                <w:sz w:val="20"/>
              </w:rPr>
              <w:tab/>
              <w:t>if(</w:t>
            </w:r>
            <w:r w:rsidR="006D5156" w:rsidRPr="00A52AB8">
              <w:rPr>
                <w:rFonts w:eastAsia="Malgun Gothic"/>
                <w:sz w:val="20"/>
              </w:rPr>
              <w:t>( nal</w:t>
            </w:r>
            <w:r w:rsidRPr="00A52AB8">
              <w:rPr>
                <w:rFonts w:eastAsia="Malgun Gothic"/>
                <w:sz w:val="20"/>
              </w:rPr>
              <w:t>_unit_type</w:t>
            </w:r>
            <w:r w:rsidR="008768E9" w:rsidRPr="00A52AB8">
              <w:rPr>
                <w:rFonts w:eastAsia="Malgun Gothic"/>
                <w:sz w:val="20"/>
              </w:rPr>
              <w:t> </w:t>
            </w:r>
            <w:r w:rsidR="00726AAE" w:rsidRPr="00A52AB8">
              <w:rPr>
                <w:rFonts w:eastAsia="Malgun Gothic"/>
                <w:sz w:val="20"/>
              </w:rPr>
              <w:t>==</w:t>
            </w:r>
            <w:r w:rsidR="00D47707" w:rsidRPr="00A52AB8">
              <w:rPr>
                <w:rFonts w:eastAsia="Malgun Gothic"/>
                <w:sz w:val="20"/>
              </w:rPr>
              <w:t> </w:t>
            </w:r>
            <w:r w:rsidR="006D5156" w:rsidRPr="00A52AB8">
              <w:rPr>
                <w:color w:val="000000" w:themeColor="text1"/>
                <w:sz w:val="20"/>
                <w:szCs w:val="20"/>
              </w:rPr>
              <w:t>NAL</w:t>
            </w:r>
            <w:r w:rsidRPr="00A52AB8">
              <w:rPr>
                <w:color w:val="000000" w:themeColor="text1"/>
                <w:sz w:val="20"/>
                <w:szCs w:val="20"/>
              </w:rPr>
              <w:t>_PREFIX_</w:t>
            </w:r>
            <w:r w:rsidR="00E55C92" w:rsidRPr="00A52AB8">
              <w:rPr>
                <w:color w:val="000000" w:themeColor="text1"/>
                <w:sz w:val="20"/>
                <w:szCs w:val="20"/>
              </w:rPr>
              <w:t>N</w:t>
            </w:r>
            <w:r w:rsidRPr="00A52AB8">
              <w:rPr>
                <w:color w:val="000000" w:themeColor="text1"/>
                <w:sz w:val="20"/>
                <w:szCs w:val="20"/>
              </w:rPr>
              <w:t>SEI </w:t>
            </w:r>
            <w:r w:rsidR="006D5156" w:rsidRPr="00A52AB8">
              <w:rPr>
                <w:color w:val="000000" w:themeColor="text1"/>
                <w:sz w:val="20"/>
                <w:szCs w:val="20"/>
              </w:rPr>
              <w:t>)</w:t>
            </w:r>
            <w:r w:rsidR="008768E9" w:rsidRPr="00A52AB8">
              <w:rPr>
                <w:color w:val="000000" w:themeColor="text1"/>
                <w:sz w:val="20"/>
                <w:szCs w:val="20"/>
              </w:rPr>
              <w:t> || </w:t>
            </w:r>
            <w:r w:rsidR="006D5156" w:rsidRPr="00A52AB8">
              <w:rPr>
                <w:color w:val="000000" w:themeColor="text1"/>
                <w:sz w:val="20"/>
                <w:szCs w:val="20"/>
              </w:rPr>
              <w:t>( </w:t>
            </w:r>
            <w:r w:rsidR="006D5156" w:rsidRPr="00A52AB8">
              <w:rPr>
                <w:rFonts w:eastAsia="Malgun Gothic"/>
                <w:sz w:val="20"/>
              </w:rPr>
              <w:t>nal_unit_type</w:t>
            </w:r>
            <w:r w:rsidR="008768E9" w:rsidRPr="00A52AB8">
              <w:rPr>
                <w:rFonts w:eastAsia="Malgun Gothic"/>
                <w:sz w:val="20"/>
              </w:rPr>
              <w:t> </w:t>
            </w:r>
            <w:r w:rsidR="00726AAE" w:rsidRPr="00A52AB8">
              <w:rPr>
                <w:rFonts w:eastAsia="Malgun Gothic"/>
                <w:sz w:val="20"/>
              </w:rPr>
              <w:t>==</w:t>
            </w:r>
            <w:r w:rsidR="00D47707" w:rsidRPr="00A52AB8">
              <w:rPr>
                <w:rFonts w:eastAsia="Malgun Gothic"/>
                <w:sz w:val="20"/>
              </w:rPr>
              <w:t> </w:t>
            </w:r>
            <w:r w:rsidR="006D5156" w:rsidRPr="00A52AB8">
              <w:rPr>
                <w:color w:val="000000" w:themeColor="text1"/>
                <w:sz w:val="20"/>
                <w:szCs w:val="20"/>
              </w:rPr>
              <w:t>NAL_PREFIX_ESEI )</w:t>
            </w:r>
            <w:r w:rsidR="008F1F82" w:rsidRPr="00A52AB8">
              <w:rPr>
                <w:rFonts w:eastAsia="Malgun Gothic"/>
                <w:sz w:val="20"/>
              </w:rPr>
              <w:t>) {</w:t>
            </w:r>
          </w:p>
        </w:tc>
        <w:tc>
          <w:tcPr>
            <w:tcW w:w="1338" w:type="dxa"/>
          </w:tcPr>
          <w:p w14:paraId="6B8EB00D" w14:textId="77777777" w:rsidR="0089041C" w:rsidRPr="00A52AB8" w:rsidRDefault="0089041C" w:rsidP="009C6742">
            <w:pPr>
              <w:spacing w:before="20" w:after="40" w:line="240" w:lineRule="auto"/>
              <w:jc w:val="center"/>
              <w:rPr>
                <w:rFonts w:eastAsia="Malgun Gothic"/>
                <w:bCs/>
                <w:sz w:val="20"/>
              </w:rPr>
            </w:pPr>
          </w:p>
        </w:tc>
      </w:tr>
      <w:tr w:rsidR="0089041C" w:rsidRPr="00A52AB8" w14:paraId="4922802D" w14:textId="77777777" w:rsidTr="004A0BDE">
        <w:trPr>
          <w:cantSplit/>
          <w:jc w:val="center"/>
        </w:trPr>
        <w:tc>
          <w:tcPr>
            <w:tcW w:w="8404" w:type="dxa"/>
          </w:tcPr>
          <w:p w14:paraId="42BBED42" w14:textId="1499C5DB" w:rsidR="0089041C" w:rsidRPr="00A52AB8" w:rsidRDefault="0089041C" w:rsidP="009C6742">
            <w:pPr>
              <w:spacing w:before="20" w:after="40" w:line="240" w:lineRule="auto"/>
              <w:rPr>
                <w:rFonts w:eastAsia="Malgun Gothic"/>
                <w:sz w:val="20"/>
              </w:rPr>
            </w:pPr>
            <w:r w:rsidRPr="00A52AB8">
              <w:rPr>
                <w:rFonts w:eastAsia="Malgun Gothic"/>
                <w:sz w:val="20"/>
              </w:rPr>
              <w:tab/>
            </w:r>
            <w:r w:rsidRPr="00A52AB8">
              <w:rPr>
                <w:rFonts w:eastAsia="Malgun Gothic"/>
                <w:sz w:val="20"/>
              </w:rPr>
              <w:tab/>
              <w:t>if( payloadType</w:t>
            </w:r>
            <w:r w:rsidR="008768E9" w:rsidRPr="00A52AB8">
              <w:rPr>
                <w:rFonts w:eastAsia="Malgun Gothic"/>
                <w:sz w:val="20"/>
              </w:rPr>
              <w:t> </w:t>
            </w:r>
            <w:r w:rsidR="00726AAE" w:rsidRPr="00A52AB8">
              <w:rPr>
                <w:rFonts w:eastAsia="Malgun Gothic"/>
                <w:sz w:val="20"/>
              </w:rPr>
              <w:t>==</w:t>
            </w:r>
            <w:r w:rsidR="00D47707" w:rsidRPr="00A52AB8">
              <w:rPr>
                <w:rFonts w:eastAsia="Malgun Gothic"/>
                <w:sz w:val="20"/>
              </w:rPr>
              <w:t> </w:t>
            </w:r>
            <w:r w:rsidRPr="00A52AB8">
              <w:rPr>
                <w:rFonts w:eastAsia="Malgun Gothic"/>
                <w:sz w:val="20"/>
              </w:rPr>
              <w:t>0 )</w:t>
            </w:r>
          </w:p>
        </w:tc>
        <w:tc>
          <w:tcPr>
            <w:tcW w:w="1338" w:type="dxa"/>
          </w:tcPr>
          <w:p w14:paraId="3E89D7A4" w14:textId="77777777" w:rsidR="0089041C" w:rsidRPr="00A52AB8" w:rsidRDefault="0089041C" w:rsidP="009C6742">
            <w:pPr>
              <w:spacing w:before="20" w:after="40" w:line="240" w:lineRule="auto"/>
              <w:jc w:val="center"/>
              <w:rPr>
                <w:rFonts w:eastAsia="Malgun Gothic"/>
                <w:bCs/>
                <w:sz w:val="20"/>
              </w:rPr>
            </w:pPr>
          </w:p>
        </w:tc>
      </w:tr>
      <w:tr w:rsidR="0089041C" w:rsidRPr="00A52AB8" w14:paraId="47D40763" w14:textId="77777777" w:rsidTr="004A0BDE">
        <w:trPr>
          <w:cantSplit/>
          <w:jc w:val="center"/>
        </w:trPr>
        <w:tc>
          <w:tcPr>
            <w:tcW w:w="8404" w:type="dxa"/>
          </w:tcPr>
          <w:p w14:paraId="4B9C10C5" w14:textId="77777777" w:rsidR="0089041C" w:rsidRPr="00A52AB8" w:rsidRDefault="0089041C" w:rsidP="009C6742">
            <w:pPr>
              <w:spacing w:before="20" w:after="40" w:line="240" w:lineRule="auto"/>
              <w:rPr>
                <w:rFonts w:eastAsia="Malgun Gothic"/>
                <w:sz w:val="20"/>
              </w:rPr>
            </w:pPr>
            <w:r w:rsidRPr="00A52AB8">
              <w:rPr>
                <w:rFonts w:eastAsia="Malgun Gothic"/>
                <w:sz w:val="20"/>
              </w:rPr>
              <w:tab/>
            </w:r>
            <w:r w:rsidRPr="00A52AB8">
              <w:rPr>
                <w:rFonts w:eastAsia="Malgun Gothic"/>
                <w:sz w:val="20"/>
              </w:rPr>
              <w:tab/>
            </w:r>
            <w:r w:rsidRPr="00A52AB8">
              <w:rPr>
                <w:rFonts w:eastAsia="Malgun Gothic"/>
                <w:sz w:val="20"/>
              </w:rPr>
              <w:tab/>
              <w:t>buffering_period( payloadSize )</w:t>
            </w:r>
          </w:p>
        </w:tc>
        <w:tc>
          <w:tcPr>
            <w:tcW w:w="1338" w:type="dxa"/>
          </w:tcPr>
          <w:p w14:paraId="3D3C27EA" w14:textId="77777777" w:rsidR="0089041C" w:rsidRPr="00A52AB8" w:rsidRDefault="0089041C" w:rsidP="009C6742">
            <w:pPr>
              <w:spacing w:before="20" w:after="40" w:line="240" w:lineRule="auto"/>
              <w:jc w:val="center"/>
              <w:rPr>
                <w:rFonts w:eastAsia="Malgun Gothic"/>
                <w:bCs/>
                <w:sz w:val="20"/>
              </w:rPr>
            </w:pPr>
          </w:p>
        </w:tc>
      </w:tr>
      <w:tr w:rsidR="0089041C" w:rsidRPr="00A52AB8" w14:paraId="1FB5B9B5" w14:textId="77777777" w:rsidTr="004A0BDE">
        <w:trPr>
          <w:cantSplit/>
          <w:jc w:val="center"/>
        </w:trPr>
        <w:tc>
          <w:tcPr>
            <w:tcW w:w="8404" w:type="dxa"/>
          </w:tcPr>
          <w:p w14:paraId="2C2C3077" w14:textId="6C53D3FD" w:rsidR="0089041C" w:rsidRPr="00A52AB8" w:rsidRDefault="0089041C" w:rsidP="009C6742">
            <w:pPr>
              <w:spacing w:before="20" w:after="40" w:line="240" w:lineRule="auto"/>
              <w:rPr>
                <w:rFonts w:eastAsia="Malgun Gothic"/>
                <w:sz w:val="20"/>
              </w:rPr>
            </w:pPr>
            <w:r w:rsidRPr="00A52AB8">
              <w:rPr>
                <w:rFonts w:eastAsia="Malgun Gothic"/>
                <w:sz w:val="20"/>
              </w:rPr>
              <w:tab/>
            </w:r>
            <w:r w:rsidRPr="00A52AB8">
              <w:rPr>
                <w:rFonts w:eastAsia="Malgun Gothic"/>
                <w:sz w:val="20"/>
              </w:rPr>
              <w:tab/>
              <w:t>else if( payloadType</w:t>
            </w:r>
            <w:r w:rsidR="008768E9" w:rsidRPr="00A52AB8">
              <w:rPr>
                <w:rFonts w:eastAsia="Malgun Gothic"/>
                <w:sz w:val="20"/>
              </w:rPr>
              <w:t> </w:t>
            </w:r>
            <w:r w:rsidR="00726AAE" w:rsidRPr="00A52AB8">
              <w:rPr>
                <w:rFonts w:eastAsia="Malgun Gothic"/>
                <w:sz w:val="20"/>
              </w:rPr>
              <w:t>==</w:t>
            </w:r>
            <w:r w:rsidR="00D47707" w:rsidRPr="00A52AB8">
              <w:rPr>
                <w:rFonts w:eastAsia="Malgun Gothic"/>
                <w:sz w:val="20"/>
              </w:rPr>
              <w:t> </w:t>
            </w:r>
            <w:r w:rsidRPr="00A52AB8">
              <w:rPr>
                <w:rFonts w:eastAsia="Malgun Gothic"/>
                <w:sz w:val="20"/>
              </w:rPr>
              <w:t>1 )</w:t>
            </w:r>
          </w:p>
        </w:tc>
        <w:tc>
          <w:tcPr>
            <w:tcW w:w="1338" w:type="dxa"/>
          </w:tcPr>
          <w:p w14:paraId="364C145B" w14:textId="77777777" w:rsidR="0089041C" w:rsidRPr="00A52AB8" w:rsidRDefault="0089041C" w:rsidP="009C6742">
            <w:pPr>
              <w:spacing w:before="20" w:after="40" w:line="240" w:lineRule="auto"/>
              <w:jc w:val="center"/>
              <w:rPr>
                <w:rFonts w:eastAsia="Malgun Gothic"/>
                <w:bCs/>
                <w:sz w:val="20"/>
              </w:rPr>
            </w:pPr>
          </w:p>
        </w:tc>
      </w:tr>
      <w:tr w:rsidR="0089041C" w:rsidRPr="00A52AB8" w14:paraId="7C619CA0" w14:textId="77777777" w:rsidTr="004A0BDE">
        <w:trPr>
          <w:cantSplit/>
          <w:jc w:val="center"/>
        </w:trPr>
        <w:tc>
          <w:tcPr>
            <w:tcW w:w="8404" w:type="dxa"/>
          </w:tcPr>
          <w:p w14:paraId="19A215A5" w14:textId="77777777" w:rsidR="0089041C" w:rsidRPr="00A52AB8" w:rsidRDefault="0089041C" w:rsidP="009C6742">
            <w:pPr>
              <w:spacing w:before="20" w:after="40" w:line="240" w:lineRule="auto"/>
              <w:rPr>
                <w:rFonts w:eastAsia="Malgun Gothic"/>
                <w:sz w:val="20"/>
              </w:rPr>
            </w:pPr>
            <w:r w:rsidRPr="00A52AB8">
              <w:rPr>
                <w:rFonts w:eastAsia="Malgun Gothic"/>
                <w:sz w:val="20"/>
              </w:rPr>
              <w:tab/>
            </w:r>
            <w:r w:rsidRPr="00A52AB8">
              <w:rPr>
                <w:rFonts w:eastAsia="Malgun Gothic"/>
                <w:sz w:val="20"/>
              </w:rPr>
              <w:tab/>
            </w:r>
            <w:r w:rsidRPr="00A52AB8">
              <w:rPr>
                <w:rFonts w:eastAsia="Malgun Gothic"/>
                <w:sz w:val="20"/>
              </w:rPr>
              <w:tab/>
              <w:t>atlas_frame_timing( payloadSize )</w:t>
            </w:r>
          </w:p>
        </w:tc>
        <w:tc>
          <w:tcPr>
            <w:tcW w:w="1338" w:type="dxa"/>
          </w:tcPr>
          <w:p w14:paraId="7A2519F4" w14:textId="77777777" w:rsidR="0089041C" w:rsidRPr="00A52AB8" w:rsidRDefault="0089041C" w:rsidP="009C6742">
            <w:pPr>
              <w:spacing w:before="20" w:after="40" w:line="240" w:lineRule="auto"/>
              <w:jc w:val="center"/>
              <w:rPr>
                <w:rFonts w:eastAsia="Malgun Gothic"/>
                <w:bCs/>
                <w:sz w:val="20"/>
              </w:rPr>
            </w:pPr>
          </w:p>
        </w:tc>
      </w:tr>
      <w:tr w:rsidR="0089041C" w:rsidRPr="00A52AB8" w14:paraId="49068FC0" w14:textId="77777777" w:rsidTr="004A0BDE">
        <w:trPr>
          <w:cantSplit/>
          <w:jc w:val="center"/>
        </w:trPr>
        <w:tc>
          <w:tcPr>
            <w:tcW w:w="8404" w:type="dxa"/>
          </w:tcPr>
          <w:p w14:paraId="47C2910C" w14:textId="668272B2" w:rsidR="0089041C" w:rsidRPr="00A52AB8" w:rsidRDefault="0089041C" w:rsidP="009C6742">
            <w:pPr>
              <w:spacing w:before="20" w:after="40" w:line="240" w:lineRule="auto"/>
              <w:rPr>
                <w:rFonts w:eastAsia="Malgun Gothic"/>
                <w:sz w:val="20"/>
              </w:rPr>
            </w:pPr>
            <w:r w:rsidRPr="00A52AB8">
              <w:rPr>
                <w:rFonts w:eastAsia="Malgun Gothic"/>
                <w:sz w:val="20"/>
              </w:rPr>
              <w:tab/>
            </w:r>
            <w:r w:rsidRPr="00A52AB8">
              <w:rPr>
                <w:rFonts w:eastAsia="Malgun Gothic"/>
                <w:sz w:val="20"/>
              </w:rPr>
              <w:tab/>
              <w:t>else if( payloadType</w:t>
            </w:r>
            <w:r w:rsidR="008768E9" w:rsidRPr="00A52AB8">
              <w:rPr>
                <w:rFonts w:eastAsia="Malgun Gothic"/>
                <w:sz w:val="20"/>
              </w:rPr>
              <w:t> </w:t>
            </w:r>
            <w:r w:rsidR="00726AAE" w:rsidRPr="00A52AB8">
              <w:rPr>
                <w:rFonts w:eastAsia="Malgun Gothic"/>
                <w:sz w:val="20"/>
              </w:rPr>
              <w:t>==</w:t>
            </w:r>
            <w:r w:rsidR="00D47707" w:rsidRPr="00A52AB8">
              <w:rPr>
                <w:rFonts w:eastAsia="Malgun Gothic"/>
                <w:sz w:val="20"/>
              </w:rPr>
              <w:t> </w:t>
            </w:r>
            <w:r w:rsidRPr="00A52AB8">
              <w:rPr>
                <w:rFonts w:eastAsia="Malgun Gothic"/>
                <w:sz w:val="20"/>
              </w:rPr>
              <w:t>2 )</w:t>
            </w:r>
          </w:p>
        </w:tc>
        <w:tc>
          <w:tcPr>
            <w:tcW w:w="1338" w:type="dxa"/>
          </w:tcPr>
          <w:p w14:paraId="0E435AFF" w14:textId="77777777" w:rsidR="0089041C" w:rsidRPr="00A52AB8" w:rsidRDefault="0089041C" w:rsidP="009C6742">
            <w:pPr>
              <w:spacing w:before="20" w:after="40" w:line="240" w:lineRule="auto"/>
              <w:jc w:val="center"/>
              <w:rPr>
                <w:rFonts w:eastAsia="Malgun Gothic"/>
                <w:bCs/>
                <w:sz w:val="20"/>
              </w:rPr>
            </w:pPr>
          </w:p>
        </w:tc>
      </w:tr>
      <w:tr w:rsidR="0089041C" w:rsidRPr="00A52AB8" w14:paraId="54FC3EB6" w14:textId="77777777" w:rsidTr="004A0BDE">
        <w:trPr>
          <w:cantSplit/>
          <w:jc w:val="center"/>
        </w:trPr>
        <w:tc>
          <w:tcPr>
            <w:tcW w:w="8404" w:type="dxa"/>
          </w:tcPr>
          <w:p w14:paraId="1BC58B8C" w14:textId="77777777" w:rsidR="0089041C" w:rsidRPr="00A52AB8" w:rsidRDefault="0089041C" w:rsidP="009C6742">
            <w:pPr>
              <w:spacing w:before="20" w:after="40" w:line="240" w:lineRule="auto"/>
              <w:rPr>
                <w:rFonts w:eastAsia="Malgun Gothic"/>
                <w:sz w:val="20"/>
              </w:rPr>
            </w:pPr>
            <w:r w:rsidRPr="00A52AB8">
              <w:rPr>
                <w:rFonts w:eastAsia="Malgun Gothic"/>
                <w:sz w:val="20"/>
              </w:rPr>
              <w:tab/>
            </w:r>
            <w:r w:rsidRPr="00A52AB8">
              <w:rPr>
                <w:rFonts w:eastAsia="Malgun Gothic"/>
                <w:sz w:val="20"/>
              </w:rPr>
              <w:tab/>
            </w:r>
            <w:r w:rsidRPr="00A52AB8">
              <w:rPr>
                <w:rFonts w:eastAsia="Malgun Gothic"/>
                <w:sz w:val="20"/>
              </w:rPr>
              <w:tab/>
              <w:t>filler_payload( payloadSize )</w:t>
            </w:r>
          </w:p>
        </w:tc>
        <w:tc>
          <w:tcPr>
            <w:tcW w:w="1338" w:type="dxa"/>
          </w:tcPr>
          <w:p w14:paraId="048748B0" w14:textId="77777777" w:rsidR="0089041C" w:rsidRPr="00A52AB8" w:rsidRDefault="0089041C" w:rsidP="009C6742">
            <w:pPr>
              <w:spacing w:before="20" w:after="40" w:line="240" w:lineRule="auto"/>
              <w:jc w:val="center"/>
              <w:rPr>
                <w:rFonts w:eastAsia="Malgun Gothic"/>
                <w:bCs/>
                <w:sz w:val="20"/>
              </w:rPr>
            </w:pPr>
          </w:p>
        </w:tc>
      </w:tr>
      <w:tr w:rsidR="0089041C" w:rsidRPr="00A52AB8" w14:paraId="0F00FDAC" w14:textId="77777777" w:rsidTr="004A0BDE">
        <w:trPr>
          <w:cantSplit/>
          <w:jc w:val="center"/>
        </w:trPr>
        <w:tc>
          <w:tcPr>
            <w:tcW w:w="8404" w:type="dxa"/>
          </w:tcPr>
          <w:p w14:paraId="6BFE9D7D" w14:textId="3461B812" w:rsidR="0089041C" w:rsidRPr="00A52AB8" w:rsidRDefault="0089041C" w:rsidP="009C6742">
            <w:pPr>
              <w:spacing w:before="20" w:after="40" w:line="240" w:lineRule="auto"/>
              <w:rPr>
                <w:rFonts w:eastAsia="Malgun Gothic"/>
                <w:sz w:val="20"/>
              </w:rPr>
            </w:pPr>
            <w:r w:rsidRPr="00A52AB8">
              <w:rPr>
                <w:rFonts w:eastAsia="Malgun Gothic"/>
                <w:sz w:val="20"/>
              </w:rPr>
              <w:tab/>
            </w:r>
            <w:r w:rsidRPr="00A52AB8">
              <w:rPr>
                <w:rFonts w:eastAsia="Malgun Gothic"/>
                <w:sz w:val="20"/>
              </w:rPr>
              <w:tab/>
              <w:t>else if( payloadType</w:t>
            </w:r>
            <w:r w:rsidR="008768E9" w:rsidRPr="00A52AB8">
              <w:rPr>
                <w:rFonts w:eastAsia="Malgun Gothic"/>
                <w:sz w:val="20"/>
              </w:rPr>
              <w:t> </w:t>
            </w:r>
            <w:r w:rsidR="00726AAE" w:rsidRPr="00A52AB8">
              <w:rPr>
                <w:rFonts w:eastAsia="Malgun Gothic"/>
                <w:sz w:val="20"/>
              </w:rPr>
              <w:t>==</w:t>
            </w:r>
            <w:r w:rsidR="00D47707" w:rsidRPr="00A52AB8">
              <w:rPr>
                <w:rFonts w:eastAsia="Malgun Gothic"/>
                <w:sz w:val="20"/>
              </w:rPr>
              <w:t> </w:t>
            </w:r>
            <w:r w:rsidRPr="00A52AB8">
              <w:rPr>
                <w:rFonts w:eastAsia="Malgun Gothic"/>
                <w:sz w:val="20"/>
              </w:rPr>
              <w:t>3 )</w:t>
            </w:r>
          </w:p>
        </w:tc>
        <w:tc>
          <w:tcPr>
            <w:tcW w:w="1338" w:type="dxa"/>
          </w:tcPr>
          <w:p w14:paraId="21ECA84B" w14:textId="77777777" w:rsidR="0089041C" w:rsidRPr="00A52AB8" w:rsidRDefault="0089041C" w:rsidP="009C6742">
            <w:pPr>
              <w:spacing w:before="20" w:after="40" w:line="240" w:lineRule="auto"/>
              <w:jc w:val="center"/>
              <w:rPr>
                <w:rFonts w:eastAsia="Malgun Gothic"/>
                <w:bCs/>
                <w:sz w:val="20"/>
              </w:rPr>
            </w:pPr>
          </w:p>
        </w:tc>
      </w:tr>
      <w:tr w:rsidR="0089041C" w:rsidRPr="00A52AB8" w14:paraId="69AA4C98" w14:textId="77777777" w:rsidTr="004A0BDE">
        <w:trPr>
          <w:cantSplit/>
          <w:jc w:val="center"/>
        </w:trPr>
        <w:tc>
          <w:tcPr>
            <w:tcW w:w="8404" w:type="dxa"/>
          </w:tcPr>
          <w:p w14:paraId="34105A58" w14:textId="77777777" w:rsidR="0089041C" w:rsidRPr="00A52AB8" w:rsidRDefault="0089041C" w:rsidP="009C6742">
            <w:pPr>
              <w:spacing w:before="20" w:after="40" w:line="240" w:lineRule="auto"/>
              <w:rPr>
                <w:rFonts w:eastAsia="Malgun Gothic"/>
                <w:sz w:val="20"/>
              </w:rPr>
            </w:pPr>
            <w:r w:rsidRPr="00A52AB8">
              <w:rPr>
                <w:rFonts w:eastAsia="Malgun Gothic"/>
                <w:sz w:val="20"/>
              </w:rPr>
              <w:tab/>
            </w:r>
            <w:r w:rsidRPr="00A52AB8">
              <w:rPr>
                <w:rFonts w:eastAsia="Malgun Gothic"/>
                <w:sz w:val="20"/>
              </w:rPr>
              <w:tab/>
            </w:r>
            <w:r w:rsidRPr="00A52AB8">
              <w:rPr>
                <w:rFonts w:eastAsia="Malgun Gothic"/>
                <w:sz w:val="20"/>
              </w:rPr>
              <w:tab/>
              <w:t>user_data_registered_itu_t_t35( payloadSize )</w:t>
            </w:r>
          </w:p>
        </w:tc>
        <w:tc>
          <w:tcPr>
            <w:tcW w:w="1338" w:type="dxa"/>
          </w:tcPr>
          <w:p w14:paraId="7266B7E9" w14:textId="77777777" w:rsidR="0089041C" w:rsidRPr="00A52AB8" w:rsidRDefault="0089041C" w:rsidP="009C6742">
            <w:pPr>
              <w:spacing w:before="20" w:after="40" w:line="240" w:lineRule="auto"/>
              <w:jc w:val="center"/>
              <w:rPr>
                <w:rFonts w:eastAsia="Malgun Gothic"/>
                <w:bCs/>
                <w:sz w:val="20"/>
              </w:rPr>
            </w:pPr>
          </w:p>
        </w:tc>
      </w:tr>
      <w:tr w:rsidR="0089041C" w:rsidRPr="00A52AB8" w14:paraId="2905004A" w14:textId="77777777" w:rsidTr="004A0BDE">
        <w:trPr>
          <w:cantSplit/>
          <w:jc w:val="center"/>
        </w:trPr>
        <w:tc>
          <w:tcPr>
            <w:tcW w:w="8404" w:type="dxa"/>
          </w:tcPr>
          <w:p w14:paraId="4549533D" w14:textId="4CB3080E" w:rsidR="0089041C" w:rsidRPr="00A52AB8" w:rsidRDefault="0089041C" w:rsidP="009C6742">
            <w:pPr>
              <w:spacing w:before="20" w:after="40" w:line="240" w:lineRule="auto"/>
              <w:rPr>
                <w:rFonts w:eastAsia="Malgun Gothic"/>
                <w:sz w:val="20"/>
              </w:rPr>
            </w:pPr>
            <w:r w:rsidRPr="00A52AB8">
              <w:rPr>
                <w:rFonts w:eastAsia="Malgun Gothic"/>
                <w:sz w:val="20"/>
              </w:rPr>
              <w:tab/>
            </w:r>
            <w:r w:rsidRPr="00A52AB8">
              <w:rPr>
                <w:rFonts w:eastAsia="Malgun Gothic"/>
                <w:sz w:val="20"/>
              </w:rPr>
              <w:tab/>
              <w:t>else if( payloadType</w:t>
            </w:r>
            <w:r w:rsidR="008768E9" w:rsidRPr="00A52AB8">
              <w:rPr>
                <w:rFonts w:eastAsia="Malgun Gothic"/>
                <w:sz w:val="20"/>
              </w:rPr>
              <w:t> </w:t>
            </w:r>
            <w:r w:rsidR="00726AAE" w:rsidRPr="00A52AB8">
              <w:rPr>
                <w:rFonts w:eastAsia="Malgun Gothic"/>
                <w:sz w:val="20"/>
              </w:rPr>
              <w:t>==</w:t>
            </w:r>
            <w:r w:rsidR="00D47707" w:rsidRPr="00A52AB8">
              <w:rPr>
                <w:rFonts w:eastAsia="Malgun Gothic"/>
                <w:sz w:val="20"/>
              </w:rPr>
              <w:t> </w:t>
            </w:r>
            <w:r w:rsidRPr="00A52AB8">
              <w:rPr>
                <w:rFonts w:eastAsia="Malgun Gothic"/>
                <w:sz w:val="20"/>
              </w:rPr>
              <w:t>4 )</w:t>
            </w:r>
          </w:p>
        </w:tc>
        <w:tc>
          <w:tcPr>
            <w:tcW w:w="1338" w:type="dxa"/>
          </w:tcPr>
          <w:p w14:paraId="290B13D8" w14:textId="77777777" w:rsidR="0089041C" w:rsidRPr="00A52AB8" w:rsidRDefault="0089041C" w:rsidP="009C6742">
            <w:pPr>
              <w:spacing w:before="20" w:after="40" w:line="240" w:lineRule="auto"/>
              <w:jc w:val="center"/>
              <w:rPr>
                <w:rFonts w:eastAsia="Malgun Gothic"/>
                <w:bCs/>
                <w:sz w:val="20"/>
              </w:rPr>
            </w:pPr>
          </w:p>
        </w:tc>
      </w:tr>
      <w:tr w:rsidR="0089041C" w:rsidRPr="00A52AB8" w14:paraId="506FDC32" w14:textId="77777777" w:rsidTr="004A0BDE">
        <w:trPr>
          <w:cantSplit/>
          <w:jc w:val="center"/>
        </w:trPr>
        <w:tc>
          <w:tcPr>
            <w:tcW w:w="8404" w:type="dxa"/>
          </w:tcPr>
          <w:p w14:paraId="3FE8E0EA" w14:textId="77777777" w:rsidR="0089041C" w:rsidRPr="00A52AB8" w:rsidRDefault="0089041C" w:rsidP="009C6742">
            <w:pPr>
              <w:spacing w:before="20" w:after="40" w:line="240" w:lineRule="auto"/>
              <w:rPr>
                <w:rFonts w:eastAsia="Malgun Gothic"/>
                <w:sz w:val="20"/>
              </w:rPr>
            </w:pPr>
            <w:r w:rsidRPr="00A52AB8">
              <w:rPr>
                <w:rFonts w:eastAsia="Malgun Gothic"/>
                <w:sz w:val="20"/>
              </w:rPr>
              <w:tab/>
            </w:r>
            <w:r w:rsidRPr="00A52AB8">
              <w:rPr>
                <w:rFonts w:eastAsia="Malgun Gothic"/>
                <w:sz w:val="20"/>
              </w:rPr>
              <w:tab/>
            </w:r>
            <w:r w:rsidRPr="00A52AB8">
              <w:rPr>
                <w:rFonts w:eastAsia="Malgun Gothic"/>
                <w:sz w:val="20"/>
              </w:rPr>
              <w:tab/>
              <w:t>user_data_unregistered( payloadSize )</w:t>
            </w:r>
          </w:p>
        </w:tc>
        <w:tc>
          <w:tcPr>
            <w:tcW w:w="1338" w:type="dxa"/>
          </w:tcPr>
          <w:p w14:paraId="6409362A" w14:textId="77777777" w:rsidR="0089041C" w:rsidRPr="00A52AB8" w:rsidRDefault="0089041C" w:rsidP="009C6742">
            <w:pPr>
              <w:spacing w:before="20" w:after="40" w:line="240" w:lineRule="auto"/>
              <w:jc w:val="center"/>
              <w:rPr>
                <w:rFonts w:eastAsia="Malgun Gothic"/>
                <w:bCs/>
                <w:sz w:val="20"/>
              </w:rPr>
            </w:pPr>
          </w:p>
        </w:tc>
      </w:tr>
      <w:tr w:rsidR="0089041C" w:rsidRPr="00A52AB8" w14:paraId="033F8705" w14:textId="77777777" w:rsidTr="004A0BDE">
        <w:trPr>
          <w:cantSplit/>
          <w:jc w:val="center"/>
        </w:trPr>
        <w:tc>
          <w:tcPr>
            <w:tcW w:w="8404" w:type="dxa"/>
          </w:tcPr>
          <w:p w14:paraId="6E5F5C6D" w14:textId="06B5943F" w:rsidR="0089041C" w:rsidRPr="00A52AB8" w:rsidRDefault="0089041C" w:rsidP="009C6742">
            <w:pPr>
              <w:spacing w:before="20" w:after="40" w:line="240" w:lineRule="auto"/>
              <w:rPr>
                <w:rFonts w:eastAsia="Malgun Gothic"/>
                <w:sz w:val="20"/>
              </w:rPr>
            </w:pPr>
            <w:r w:rsidRPr="00A52AB8">
              <w:rPr>
                <w:rFonts w:eastAsia="Malgun Gothic"/>
                <w:sz w:val="20"/>
              </w:rPr>
              <w:tab/>
            </w:r>
            <w:r w:rsidRPr="00A52AB8">
              <w:rPr>
                <w:rFonts w:eastAsia="Malgun Gothic"/>
                <w:sz w:val="20"/>
              </w:rPr>
              <w:tab/>
              <w:t>else if( payloadType</w:t>
            </w:r>
            <w:r w:rsidR="008768E9" w:rsidRPr="00A52AB8">
              <w:rPr>
                <w:rFonts w:eastAsia="Malgun Gothic"/>
                <w:sz w:val="20"/>
              </w:rPr>
              <w:t> </w:t>
            </w:r>
            <w:r w:rsidR="00726AAE" w:rsidRPr="00A52AB8">
              <w:rPr>
                <w:rFonts w:eastAsia="Malgun Gothic"/>
                <w:sz w:val="20"/>
              </w:rPr>
              <w:t>==</w:t>
            </w:r>
            <w:r w:rsidR="00D47707" w:rsidRPr="00A52AB8">
              <w:rPr>
                <w:rFonts w:eastAsia="Malgun Gothic"/>
                <w:sz w:val="20"/>
              </w:rPr>
              <w:t> </w:t>
            </w:r>
            <w:r w:rsidRPr="00A52AB8">
              <w:rPr>
                <w:rFonts w:eastAsia="Malgun Gothic"/>
                <w:sz w:val="20"/>
              </w:rPr>
              <w:t>5 )</w:t>
            </w:r>
          </w:p>
        </w:tc>
        <w:tc>
          <w:tcPr>
            <w:tcW w:w="1338" w:type="dxa"/>
          </w:tcPr>
          <w:p w14:paraId="5B69C1E0" w14:textId="77777777" w:rsidR="0089041C" w:rsidRPr="00A52AB8" w:rsidRDefault="0089041C" w:rsidP="009C6742">
            <w:pPr>
              <w:spacing w:before="20" w:after="40" w:line="240" w:lineRule="auto"/>
              <w:jc w:val="center"/>
              <w:rPr>
                <w:rFonts w:eastAsia="Malgun Gothic"/>
                <w:bCs/>
                <w:sz w:val="20"/>
              </w:rPr>
            </w:pPr>
          </w:p>
        </w:tc>
      </w:tr>
      <w:tr w:rsidR="0089041C" w:rsidRPr="00A52AB8" w14:paraId="2D65F06F" w14:textId="77777777" w:rsidTr="004A0BDE">
        <w:trPr>
          <w:cantSplit/>
          <w:jc w:val="center"/>
        </w:trPr>
        <w:tc>
          <w:tcPr>
            <w:tcW w:w="8404" w:type="dxa"/>
          </w:tcPr>
          <w:p w14:paraId="372B79B9" w14:textId="77777777" w:rsidR="0089041C" w:rsidRPr="00A52AB8" w:rsidRDefault="0089041C" w:rsidP="009C6742">
            <w:pPr>
              <w:spacing w:before="20" w:after="40" w:line="240" w:lineRule="auto"/>
              <w:rPr>
                <w:rFonts w:eastAsia="Malgun Gothic"/>
                <w:sz w:val="20"/>
              </w:rPr>
            </w:pPr>
            <w:r w:rsidRPr="00A52AB8">
              <w:rPr>
                <w:rFonts w:eastAsia="Malgun Gothic"/>
                <w:sz w:val="20"/>
              </w:rPr>
              <w:tab/>
            </w:r>
            <w:r w:rsidRPr="00A52AB8">
              <w:rPr>
                <w:rFonts w:eastAsia="Malgun Gothic"/>
                <w:sz w:val="20"/>
              </w:rPr>
              <w:tab/>
            </w:r>
            <w:r w:rsidRPr="00A52AB8">
              <w:rPr>
                <w:rFonts w:eastAsia="Malgun Gothic"/>
                <w:sz w:val="20"/>
              </w:rPr>
              <w:tab/>
              <w:t>recovery_point( payloadSize )</w:t>
            </w:r>
          </w:p>
        </w:tc>
        <w:tc>
          <w:tcPr>
            <w:tcW w:w="1338" w:type="dxa"/>
          </w:tcPr>
          <w:p w14:paraId="19E97CD0" w14:textId="77777777" w:rsidR="0089041C" w:rsidRPr="00A52AB8" w:rsidRDefault="0089041C" w:rsidP="009C6742">
            <w:pPr>
              <w:spacing w:before="20" w:after="40" w:line="240" w:lineRule="auto"/>
              <w:jc w:val="center"/>
              <w:rPr>
                <w:rFonts w:eastAsia="Malgun Gothic"/>
                <w:bCs/>
                <w:sz w:val="20"/>
              </w:rPr>
            </w:pPr>
          </w:p>
        </w:tc>
      </w:tr>
      <w:tr w:rsidR="0089041C" w:rsidRPr="00A52AB8" w14:paraId="777F3164" w14:textId="77777777" w:rsidTr="004A0BDE">
        <w:trPr>
          <w:cantSplit/>
          <w:jc w:val="center"/>
        </w:trPr>
        <w:tc>
          <w:tcPr>
            <w:tcW w:w="8404" w:type="dxa"/>
          </w:tcPr>
          <w:p w14:paraId="3AC5A6FE" w14:textId="78FCF8D8" w:rsidR="0089041C" w:rsidRPr="00A52AB8" w:rsidRDefault="0089041C" w:rsidP="009C6742">
            <w:pPr>
              <w:spacing w:before="20" w:after="40" w:line="240" w:lineRule="auto"/>
              <w:rPr>
                <w:rFonts w:eastAsia="Malgun Gothic"/>
                <w:sz w:val="20"/>
              </w:rPr>
            </w:pPr>
            <w:r w:rsidRPr="00A52AB8">
              <w:rPr>
                <w:rFonts w:eastAsia="Malgun Gothic"/>
                <w:sz w:val="20"/>
              </w:rPr>
              <w:tab/>
            </w:r>
            <w:r w:rsidRPr="00A52AB8">
              <w:rPr>
                <w:rFonts w:eastAsia="Malgun Gothic"/>
                <w:sz w:val="20"/>
              </w:rPr>
              <w:tab/>
              <w:t>else if( payloadType</w:t>
            </w:r>
            <w:r w:rsidR="008768E9" w:rsidRPr="00A52AB8">
              <w:rPr>
                <w:rFonts w:eastAsia="Malgun Gothic"/>
                <w:sz w:val="20"/>
              </w:rPr>
              <w:t> </w:t>
            </w:r>
            <w:r w:rsidR="00726AAE" w:rsidRPr="00A52AB8">
              <w:rPr>
                <w:rFonts w:eastAsia="Malgun Gothic"/>
                <w:sz w:val="20"/>
              </w:rPr>
              <w:t>==</w:t>
            </w:r>
            <w:r w:rsidR="00D47707" w:rsidRPr="00A52AB8">
              <w:rPr>
                <w:rFonts w:eastAsia="Malgun Gothic"/>
                <w:sz w:val="20"/>
              </w:rPr>
              <w:t> </w:t>
            </w:r>
            <w:r w:rsidRPr="00A52AB8">
              <w:rPr>
                <w:rFonts w:eastAsia="Malgun Gothic"/>
                <w:sz w:val="20"/>
              </w:rPr>
              <w:t>6 )</w:t>
            </w:r>
          </w:p>
        </w:tc>
        <w:tc>
          <w:tcPr>
            <w:tcW w:w="1338" w:type="dxa"/>
          </w:tcPr>
          <w:p w14:paraId="4BA441DA" w14:textId="77777777" w:rsidR="0089041C" w:rsidRPr="00A52AB8" w:rsidRDefault="0089041C" w:rsidP="009C6742">
            <w:pPr>
              <w:spacing w:before="20" w:after="40" w:line="240" w:lineRule="auto"/>
              <w:jc w:val="center"/>
              <w:rPr>
                <w:rFonts w:eastAsia="Malgun Gothic"/>
                <w:bCs/>
                <w:sz w:val="20"/>
              </w:rPr>
            </w:pPr>
          </w:p>
        </w:tc>
      </w:tr>
      <w:tr w:rsidR="0089041C" w:rsidRPr="00A52AB8" w14:paraId="1BCA0737" w14:textId="77777777" w:rsidTr="004A0BDE">
        <w:trPr>
          <w:cantSplit/>
          <w:jc w:val="center"/>
        </w:trPr>
        <w:tc>
          <w:tcPr>
            <w:tcW w:w="8404" w:type="dxa"/>
          </w:tcPr>
          <w:p w14:paraId="6596CA6D" w14:textId="77777777" w:rsidR="0089041C" w:rsidRPr="00A52AB8" w:rsidRDefault="0089041C" w:rsidP="009C6742">
            <w:pPr>
              <w:spacing w:before="20" w:after="40" w:line="240" w:lineRule="auto"/>
              <w:rPr>
                <w:rFonts w:eastAsia="Malgun Gothic"/>
                <w:sz w:val="20"/>
              </w:rPr>
            </w:pPr>
            <w:r w:rsidRPr="00A52AB8">
              <w:rPr>
                <w:rFonts w:eastAsia="Malgun Gothic"/>
                <w:sz w:val="20"/>
              </w:rPr>
              <w:tab/>
            </w:r>
            <w:r w:rsidRPr="00A52AB8">
              <w:rPr>
                <w:rFonts w:eastAsia="Malgun Gothic"/>
                <w:sz w:val="20"/>
              </w:rPr>
              <w:tab/>
            </w:r>
            <w:r w:rsidRPr="00A52AB8">
              <w:rPr>
                <w:rFonts w:eastAsia="Malgun Gothic"/>
                <w:sz w:val="20"/>
              </w:rPr>
              <w:tab/>
              <w:t>no_display( payloadSize )</w:t>
            </w:r>
          </w:p>
        </w:tc>
        <w:tc>
          <w:tcPr>
            <w:tcW w:w="1338" w:type="dxa"/>
          </w:tcPr>
          <w:p w14:paraId="64E0B699" w14:textId="77777777" w:rsidR="0089041C" w:rsidRPr="00A52AB8" w:rsidRDefault="0089041C" w:rsidP="009C6742">
            <w:pPr>
              <w:spacing w:before="20" w:after="40" w:line="240" w:lineRule="auto"/>
              <w:jc w:val="center"/>
              <w:rPr>
                <w:rFonts w:eastAsia="Malgun Gothic"/>
                <w:bCs/>
                <w:sz w:val="20"/>
              </w:rPr>
            </w:pPr>
          </w:p>
        </w:tc>
      </w:tr>
      <w:tr w:rsidR="0089041C" w:rsidRPr="00A52AB8" w14:paraId="13D06229" w14:textId="77777777" w:rsidTr="004A0BDE">
        <w:trPr>
          <w:cantSplit/>
          <w:jc w:val="center"/>
        </w:trPr>
        <w:tc>
          <w:tcPr>
            <w:tcW w:w="8404" w:type="dxa"/>
          </w:tcPr>
          <w:p w14:paraId="30839795" w14:textId="7EFF053B" w:rsidR="0089041C" w:rsidRPr="00A52AB8" w:rsidRDefault="0089041C" w:rsidP="009C6742">
            <w:pPr>
              <w:spacing w:before="20" w:after="40" w:line="240" w:lineRule="auto"/>
              <w:rPr>
                <w:rFonts w:eastAsia="Malgun Gothic"/>
                <w:sz w:val="20"/>
              </w:rPr>
            </w:pPr>
            <w:r w:rsidRPr="00A52AB8">
              <w:rPr>
                <w:rFonts w:eastAsia="Malgun Gothic"/>
                <w:sz w:val="20"/>
              </w:rPr>
              <w:tab/>
            </w:r>
            <w:r w:rsidRPr="00A52AB8">
              <w:rPr>
                <w:rFonts w:eastAsia="Malgun Gothic"/>
                <w:sz w:val="20"/>
              </w:rPr>
              <w:tab/>
              <w:t>else if( payloadType</w:t>
            </w:r>
            <w:r w:rsidR="008768E9" w:rsidRPr="00A52AB8">
              <w:rPr>
                <w:rFonts w:eastAsia="Malgun Gothic"/>
                <w:sz w:val="20"/>
              </w:rPr>
              <w:t> </w:t>
            </w:r>
            <w:r w:rsidR="00726AAE" w:rsidRPr="00A52AB8">
              <w:rPr>
                <w:rFonts w:eastAsia="Malgun Gothic"/>
                <w:sz w:val="20"/>
              </w:rPr>
              <w:t>==</w:t>
            </w:r>
            <w:r w:rsidR="00D47707" w:rsidRPr="00A52AB8">
              <w:rPr>
                <w:rFonts w:eastAsia="Malgun Gothic"/>
                <w:sz w:val="20"/>
              </w:rPr>
              <w:t> </w:t>
            </w:r>
            <w:r w:rsidRPr="00A52AB8">
              <w:rPr>
                <w:rFonts w:eastAsia="Malgun Gothic"/>
                <w:sz w:val="20"/>
              </w:rPr>
              <w:t>7 )</w:t>
            </w:r>
          </w:p>
        </w:tc>
        <w:tc>
          <w:tcPr>
            <w:tcW w:w="1338" w:type="dxa"/>
          </w:tcPr>
          <w:p w14:paraId="435AF75C" w14:textId="77777777" w:rsidR="0089041C" w:rsidRPr="00A52AB8" w:rsidRDefault="0089041C" w:rsidP="009C6742">
            <w:pPr>
              <w:spacing w:before="20" w:after="40" w:line="240" w:lineRule="auto"/>
              <w:jc w:val="center"/>
              <w:rPr>
                <w:rFonts w:eastAsia="Malgun Gothic"/>
                <w:bCs/>
                <w:sz w:val="20"/>
              </w:rPr>
            </w:pPr>
          </w:p>
        </w:tc>
      </w:tr>
      <w:tr w:rsidR="0089041C" w:rsidRPr="00A52AB8" w14:paraId="039CB575" w14:textId="77777777" w:rsidTr="004A0BDE">
        <w:trPr>
          <w:cantSplit/>
          <w:jc w:val="center"/>
        </w:trPr>
        <w:tc>
          <w:tcPr>
            <w:tcW w:w="8404" w:type="dxa"/>
          </w:tcPr>
          <w:p w14:paraId="3C527B4A" w14:textId="77777777" w:rsidR="0089041C" w:rsidRPr="00A52AB8" w:rsidRDefault="0089041C" w:rsidP="009C6742">
            <w:pPr>
              <w:spacing w:before="20" w:after="40" w:line="240" w:lineRule="auto"/>
              <w:rPr>
                <w:rFonts w:eastAsia="Malgun Gothic"/>
                <w:sz w:val="20"/>
              </w:rPr>
            </w:pPr>
            <w:r w:rsidRPr="00A52AB8">
              <w:rPr>
                <w:rFonts w:eastAsia="Malgun Gothic"/>
                <w:sz w:val="20"/>
              </w:rPr>
              <w:tab/>
            </w:r>
            <w:r w:rsidRPr="00A52AB8">
              <w:rPr>
                <w:rFonts w:eastAsia="Malgun Gothic"/>
                <w:sz w:val="20"/>
              </w:rPr>
              <w:tab/>
            </w:r>
            <w:r w:rsidRPr="00A52AB8">
              <w:rPr>
                <w:rFonts w:eastAsia="Malgun Gothic"/>
                <w:sz w:val="20"/>
              </w:rPr>
              <w:tab/>
              <w:t>time_code( payloadSize )</w:t>
            </w:r>
          </w:p>
        </w:tc>
        <w:tc>
          <w:tcPr>
            <w:tcW w:w="1338" w:type="dxa"/>
          </w:tcPr>
          <w:p w14:paraId="435088CB" w14:textId="77777777" w:rsidR="0089041C" w:rsidRPr="00A52AB8" w:rsidRDefault="0089041C" w:rsidP="009C6742">
            <w:pPr>
              <w:spacing w:before="20" w:after="40" w:line="240" w:lineRule="auto"/>
              <w:jc w:val="center"/>
              <w:rPr>
                <w:rFonts w:eastAsia="Malgun Gothic"/>
                <w:bCs/>
                <w:sz w:val="20"/>
              </w:rPr>
            </w:pPr>
          </w:p>
        </w:tc>
      </w:tr>
      <w:tr w:rsidR="0089041C" w:rsidRPr="00A52AB8" w14:paraId="44C8B4D2" w14:textId="77777777" w:rsidTr="004A0BDE">
        <w:trPr>
          <w:cantSplit/>
          <w:jc w:val="center"/>
        </w:trPr>
        <w:tc>
          <w:tcPr>
            <w:tcW w:w="8404" w:type="dxa"/>
          </w:tcPr>
          <w:p w14:paraId="2DE9F796" w14:textId="65CAFF7A" w:rsidR="0089041C" w:rsidRPr="00A52AB8" w:rsidRDefault="0089041C" w:rsidP="009C6742">
            <w:pPr>
              <w:spacing w:before="20" w:after="40" w:line="240" w:lineRule="auto"/>
              <w:rPr>
                <w:rFonts w:eastAsia="Malgun Gothic"/>
                <w:sz w:val="20"/>
              </w:rPr>
            </w:pPr>
            <w:r w:rsidRPr="00A52AB8">
              <w:rPr>
                <w:rFonts w:eastAsia="Malgun Gothic"/>
                <w:sz w:val="20"/>
              </w:rPr>
              <w:tab/>
            </w:r>
            <w:r w:rsidRPr="00A52AB8">
              <w:rPr>
                <w:rFonts w:eastAsia="Malgun Gothic"/>
                <w:sz w:val="20"/>
              </w:rPr>
              <w:tab/>
              <w:t>else if( payloadType</w:t>
            </w:r>
            <w:r w:rsidR="008768E9" w:rsidRPr="00A52AB8">
              <w:rPr>
                <w:rFonts w:eastAsia="Malgun Gothic"/>
                <w:sz w:val="20"/>
              </w:rPr>
              <w:t> </w:t>
            </w:r>
            <w:r w:rsidR="00726AAE" w:rsidRPr="00A52AB8">
              <w:rPr>
                <w:rFonts w:eastAsia="Malgun Gothic"/>
                <w:sz w:val="20"/>
              </w:rPr>
              <w:t>==</w:t>
            </w:r>
            <w:r w:rsidR="00D47707" w:rsidRPr="00A52AB8">
              <w:rPr>
                <w:rFonts w:eastAsia="Malgun Gothic"/>
                <w:sz w:val="20"/>
              </w:rPr>
              <w:t> </w:t>
            </w:r>
            <w:r w:rsidR="00935078" w:rsidRPr="00A52AB8">
              <w:rPr>
                <w:rFonts w:eastAsia="Malgun Gothic"/>
                <w:sz w:val="20"/>
              </w:rPr>
              <w:t>8</w:t>
            </w:r>
            <w:r w:rsidRPr="00A52AB8">
              <w:rPr>
                <w:rFonts w:eastAsia="Malgun Gothic"/>
                <w:sz w:val="20"/>
              </w:rPr>
              <w:t> )</w:t>
            </w:r>
          </w:p>
        </w:tc>
        <w:tc>
          <w:tcPr>
            <w:tcW w:w="1338" w:type="dxa"/>
          </w:tcPr>
          <w:p w14:paraId="03CC042C" w14:textId="77777777" w:rsidR="0089041C" w:rsidRPr="00A52AB8" w:rsidRDefault="0089041C" w:rsidP="009C6742">
            <w:pPr>
              <w:spacing w:before="20" w:after="40" w:line="240" w:lineRule="auto"/>
              <w:jc w:val="center"/>
              <w:rPr>
                <w:rFonts w:eastAsia="Malgun Gothic"/>
                <w:bCs/>
                <w:sz w:val="20"/>
              </w:rPr>
            </w:pPr>
          </w:p>
        </w:tc>
      </w:tr>
      <w:tr w:rsidR="0089041C" w:rsidRPr="00A52AB8" w14:paraId="059AAC1E" w14:textId="77777777" w:rsidTr="004A0BDE">
        <w:trPr>
          <w:cantSplit/>
          <w:jc w:val="center"/>
        </w:trPr>
        <w:tc>
          <w:tcPr>
            <w:tcW w:w="8404" w:type="dxa"/>
          </w:tcPr>
          <w:p w14:paraId="62CDB5E7" w14:textId="77777777" w:rsidR="0089041C" w:rsidRPr="00A52AB8" w:rsidRDefault="0089041C" w:rsidP="009C6742">
            <w:pPr>
              <w:spacing w:before="20" w:after="40" w:line="240" w:lineRule="auto"/>
              <w:rPr>
                <w:rFonts w:eastAsia="Malgun Gothic"/>
                <w:sz w:val="20"/>
              </w:rPr>
            </w:pPr>
            <w:r w:rsidRPr="00A52AB8">
              <w:rPr>
                <w:rFonts w:eastAsia="Malgun Gothic"/>
                <w:sz w:val="20"/>
              </w:rPr>
              <w:tab/>
            </w:r>
            <w:r w:rsidRPr="00A52AB8">
              <w:rPr>
                <w:rFonts w:eastAsia="Malgun Gothic"/>
                <w:sz w:val="20"/>
              </w:rPr>
              <w:tab/>
            </w:r>
            <w:r w:rsidRPr="00A52AB8">
              <w:rPr>
                <w:rFonts w:eastAsia="Malgun Gothic"/>
                <w:sz w:val="20"/>
              </w:rPr>
              <w:tab/>
            </w:r>
            <w:r w:rsidRPr="00A52AB8">
              <w:rPr>
                <w:sz w:val="20"/>
              </w:rPr>
              <w:t>sei_manifest</w:t>
            </w:r>
            <w:r w:rsidRPr="00A52AB8">
              <w:rPr>
                <w:rFonts w:eastAsia="Malgun Gothic"/>
                <w:sz w:val="20"/>
              </w:rPr>
              <w:t>( payloadSize )</w:t>
            </w:r>
          </w:p>
        </w:tc>
        <w:tc>
          <w:tcPr>
            <w:tcW w:w="1338" w:type="dxa"/>
          </w:tcPr>
          <w:p w14:paraId="08C8420D" w14:textId="77777777" w:rsidR="0089041C" w:rsidRPr="00A52AB8" w:rsidRDefault="0089041C" w:rsidP="009C6742">
            <w:pPr>
              <w:spacing w:before="20" w:after="40" w:line="240" w:lineRule="auto"/>
              <w:jc w:val="center"/>
              <w:rPr>
                <w:rFonts w:eastAsia="Malgun Gothic"/>
                <w:bCs/>
                <w:sz w:val="20"/>
              </w:rPr>
            </w:pPr>
          </w:p>
        </w:tc>
      </w:tr>
      <w:tr w:rsidR="0089041C" w:rsidRPr="00A52AB8" w14:paraId="39C904D6" w14:textId="77777777" w:rsidTr="004A0BDE">
        <w:trPr>
          <w:cantSplit/>
          <w:jc w:val="center"/>
        </w:trPr>
        <w:tc>
          <w:tcPr>
            <w:tcW w:w="8404" w:type="dxa"/>
          </w:tcPr>
          <w:p w14:paraId="19C9A1A4" w14:textId="23D67C3F" w:rsidR="0089041C" w:rsidRPr="00A52AB8" w:rsidRDefault="0089041C" w:rsidP="009C6742">
            <w:pPr>
              <w:spacing w:before="20" w:after="40" w:line="240" w:lineRule="auto"/>
              <w:rPr>
                <w:rFonts w:eastAsia="Malgun Gothic"/>
                <w:sz w:val="20"/>
              </w:rPr>
            </w:pPr>
            <w:r w:rsidRPr="00A52AB8">
              <w:rPr>
                <w:rFonts w:eastAsia="Malgun Gothic"/>
                <w:sz w:val="20"/>
              </w:rPr>
              <w:tab/>
            </w:r>
            <w:r w:rsidRPr="00A52AB8">
              <w:rPr>
                <w:rFonts w:eastAsia="Malgun Gothic"/>
                <w:sz w:val="20"/>
              </w:rPr>
              <w:tab/>
              <w:t>else if( payloadType</w:t>
            </w:r>
            <w:r w:rsidR="008768E9" w:rsidRPr="00A52AB8">
              <w:rPr>
                <w:rFonts w:eastAsia="Malgun Gothic"/>
                <w:sz w:val="20"/>
              </w:rPr>
              <w:t> </w:t>
            </w:r>
            <w:r w:rsidR="00726AAE" w:rsidRPr="00A52AB8">
              <w:rPr>
                <w:rFonts w:eastAsia="Malgun Gothic"/>
                <w:sz w:val="20"/>
              </w:rPr>
              <w:t>==</w:t>
            </w:r>
            <w:r w:rsidR="00D47707" w:rsidRPr="00A52AB8">
              <w:rPr>
                <w:rFonts w:eastAsia="Malgun Gothic"/>
                <w:sz w:val="20"/>
              </w:rPr>
              <w:t> </w:t>
            </w:r>
            <w:r w:rsidR="00935078" w:rsidRPr="00A52AB8">
              <w:rPr>
                <w:rFonts w:eastAsia="Malgun Gothic"/>
                <w:sz w:val="20"/>
              </w:rPr>
              <w:t>9</w:t>
            </w:r>
            <w:r w:rsidRPr="00A52AB8">
              <w:rPr>
                <w:rFonts w:eastAsia="Malgun Gothic"/>
                <w:sz w:val="20"/>
              </w:rPr>
              <w:t> )</w:t>
            </w:r>
          </w:p>
        </w:tc>
        <w:tc>
          <w:tcPr>
            <w:tcW w:w="1338" w:type="dxa"/>
          </w:tcPr>
          <w:p w14:paraId="674AC088" w14:textId="77777777" w:rsidR="0089041C" w:rsidRPr="00A52AB8" w:rsidRDefault="0089041C" w:rsidP="009C6742">
            <w:pPr>
              <w:spacing w:before="20" w:after="40" w:line="240" w:lineRule="auto"/>
              <w:jc w:val="center"/>
              <w:rPr>
                <w:rFonts w:eastAsia="Malgun Gothic"/>
                <w:bCs/>
                <w:sz w:val="20"/>
              </w:rPr>
            </w:pPr>
          </w:p>
        </w:tc>
      </w:tr>
      <w:tr w:rsidR="0089041C" w:rsidRPr="00A52AB8" w14:paraId="2A7875DC" w14:textId="77777777" w:rsidTr="004A0BDE">
        <w:trPr>
          <w:cantSplit/>
          <w:jc w:val="center"/>
        </w:trPr>
        <w:tc>
          <w:tcPr>
            <w:tcW w:w="8404" w:type="dxa"/>
          </w:tcPr>
          <w:p w14:paraId="6FCB6101" w14:textId="77777777" w:rsidR="0089041C" w:rsidRPr="00A52AB8" w:rsidRDefault="0089041C" w:rsidP="009C6742">
            <w:pPr>
              <w:spacing w:before="20" w:after="40" w:line="240" w:lineRule="auto"/>
              <w:rPr>
                <w:rFonts w:eastAsia="Malgun Gothic"/>
                <w:sz w:val="20"/>
              </w:rPr>
            </w:pPr>
            <w:r w:rsidRPr="00A52AB8">
              <w:rPr>
                <w:rFonts w:eastAsia="Malgun Gothic"/>
                <w:sz w:val="20"/>
              </w:rPr>
              <w:tab/>
            </w:r>
            <w:r w:rsidRPr="00A52AB8">
              <w:rPr>
                <w:rFonts w:eastAsia="Malgun Gothic"/>
                <w:sz w:val="20"/>
              </w:rPr>
              <w:tab/>
            </w:r>
            <w:r w:rsidRPr="00A52AB8">
              <w:rPr>
                <w:rFonts w:eastAsia="Malgun Gothic"/>
                <w:sz w:val="20"/>
              </w:rPr>
              <w:tab/>
              <w:t>sei_prefix_indication( payloadSize )</w:t>
            </w:r>
          </w:p>
        </w:tc>
        <w:tc>
          <w:tcPr>
            <w:tcW w:w="1338" w:type="dxa"/>
          </w:tcPr>
          <w:p w14:paraId="68554657" w14:textId="77777777" w:rsidR="0089041C" w:rsidRPr="00A52AB8" w:rsidRDefault="0089041C" w:rsidP="009C6742">
            <w:pPr>
              <w:spacing w:before="20" w:after="40" w:line="240" w:lineRule="auto"/>
              <w:jc w:val="center"/>
              <w:rPr>
                <w:rFonts w:eastAsia="Malgun Gothic"/>
                <w:bCs/>
                <w:sz w:val="20"/>
              </w:rPr>
            </w:pPr>
          </w:p>
        </w:tc>
      </w:tr>
      <w:tr w:rsidR="0089041C" w:rsidRPr="00A52AB8" w14:paraId="65E5F876" w14:textId="77777777" w:rsidTr="004A0BDE">
        <w:trPr>
          <w:cantSplit/>
          <w:jc w:val="center"/>
        </w:trPr>
        <w:tc>
          <w:tcPr>
            <w:tcW w:w="8404" w:type="dxa"/>
          </w:tcPr>
          <w:p w14:paraId="71B35262" w14:textId="3C741154" w:rsidR="0089041C" w:rsidRPr="00A52AB8" w:rsidRDefault="0089041C" w:rsidP="009C6742">
            <w:pPr>
              <w:spacing w:before="20" w:after="40" w:line="240" w:lineRule="auto"/>
              <w:rPr>
                <w:rFonts w:eastAsia="Malgun Gothic"/>
                <w:sz w:val="20"/>
              </w:rPr>
            </w:pPr>
            <w:r w:rsidRPr="00A52AB8">
              <w:rPr>
                <w:rFonts w:eastAsia="Malgun Gothic"/>
                <w:sz w:val="20"/>
              </w:rPr>
              <w:tab/>
            </w:r>
            <w:r w:rsidRPr="00A52AB8">
              <w:rPr>
                <w:rFonts w:eastAsia="Malgun Gothic"/>
                <w:sz w:val="20"/>
              </w:rPr>
              <w:tab/>
              <w:t>else if( payloadType</w:t>
            </w:r>
            <w:r w:rsidR="008768E9" w:rsidRPr="00A52AB8">
              <w:rPr>
                <w:rFonts w:eastAsia="Malgun Gothic"/>
                <w:sz w:val="20"/>
              </w:rPr>
              <w:t> </w:t>
            </w:r>
            <w:r w:rsidR="00726AAE" w:rsidRPr="00A52AB8">
              <w:rPr>
                <w:rFonts w:eastAsia="Malgun Gothic"/>
                <w:sz w:val="20"/>
              </w:rPr>
              <w:t>==</w:t>
            </w:r>
            <w:r w:rsidR="00D47707" w:rsidRPr="00A52AB8">
              <w:rPr>
                <w:rFonts w:eastAsia="Malgun Gothic"/>
                <w:sz w:val="20"/>
              </w:rPr>
              <w:t> </w:t>
            </w:r>
            <w:r w:rsidRPr="00A52AB8">
              <w:rPr>
                <w:rFonts w:eastAsia="Malgun Gothic"/>
                <w:sz w:val="20"/>
              </w:rPr>
              <w:t>1</w:t>
            </w:r>
            <w:r w:rsidR="00935078" w:rsidRPr="00A52AB8">
              <w:rPr>
                <w:rFonts w:eastAsia="Malgun Gothic"/>
                <w:sz w:val="20"/>
              </w:rPr>
              <w:t>0</w:t>
            </w:r>
            <w:r w:rsidR="002D5C42" w:rsidRPr="00A52AB8">
              <w:rPr>
                <w:rFonts w:eastAsia="Malgun Gothic"/>
                <w:sz w:val="20"/>
              </w:rPr>
              <w:t> </w:t>
            </w:r>
            <w:r w:rsidRPr="00A52AB8">
              <w:rPr>
                <w:rFonts w:eastAsia="Malgun Gothic"/>
                <w:sz w:val="20"/>
              </w:rPr>
              <w:t>)</w:t>
            </w:r>
          </w:p>
        </w:tc>
        <w:tc>
          <w:tcPr>
            <w:tcW w:w="1338" w:type="dxa"/>
          </w:tcPr>
          <w:p w14:paraId="076C6EDE" w14:textId="77777777" w:rsidR="0089041C" w:rsidRPr="00A52AB8" w:rsidRDefault="0089041C" w:rsidP="009C6742">
            <w:pPr>
              <w:spacing w:before="20" w:after="40" w:line="240" w:lineRule="auto"/>
              <w:jc w:val="center"/>
              <w:rPr>
                <w:rFonts w:eastAsia="Malgun Gothic"/>
                <w:bCs/>
                <w:sz w:val="20"/>
              </w:rPr>
            </w:pPr>
          </w:p>
        </w:tc>
      </w:tr>
      <w:tr w:rsidR="0089041C" w:rsidRPr="00A52AB8" w14:paraId="01371E36" w14:textId="77777777" w:rsidTr="004A0BDE">
        <w:trPr>
          <w:cantSplit/>
          <w:jc w:val="center"/>
        </w:trPr>
        <w:tc>
          <w:tcPr>
            <w:tcW w:w="8404" w:type="dxa"/>
          </w:tcPr>
          <w:p w14:paraId="4279C173" w14:textId="77777777" w:rsidR="0089041C" w:rsidRPr="00A52AB8" w:rsidRDefault="0089041C" w:rsidP="009C6742">
            <w:pPr>
              <w:spacing w:before="20" w:after="40" w:line="240" w:lineRule="auto"/>
              <w:rPr>
                <w:rFonts w:eastAsia="Malgun Gothic"/>
                <w:sz w:val="20"/>
              </w:rPr>
            </w:pPr>
            <w:r w:rsidRPr="00A52AB8">
              <w:rPr>
                <w:rFonts w:eastAsia="Malgun Gothic"/>
                <w:sz w:val="20"/>
              </w:rPr>
              <w:tab/>
            </w:r>
            <w:r w:rsidRPr="00A52AB8">
              <w:rPr>
                <w:rFonts w:eastAsia="Malgun Gothic"/>
                <w:sz w:val="20"/>
              </w:rPr>
              <w:tab/>
            </w:r>
            <w:r w:rsidRPr="00A52AB8">
              <w:rPr>
                <w:rFonts w:eastAsia="Malgun Gothic"/>
                <w:sz w:val="20"/>
              </w:rPr>
              <w:tab/>
            </w:r>
            <w:r w:rsidRPr="00A52AB8">
              <w:rPr>
                <w:bCs/>
                <w:color w:val="000000" w:themeColor="text1"/>
                <w:sz w:val="20"/>
                <w:szCs w:val="20"/>
              </w:rPr>
              <w:t>active_sub</w:t>
            </w:r>
            <w:r w:rsidR="00943C50" w:rsidRPr="00A52AB8">
              <w:rPr>
                <w:bCs/>
                <w:color w:val="000000" w:themeColor="text1"/>
                <w:sz w:val="20"/>
                <w:szCs w:val="20"/>
              </w:rPr>
              <w:t>_bit</w:t>
            </w:r>
            <w:r w:rsidRPr="00A52AB8">
              <w:rPr>
                <w:bCs/>
                <w:color w:val="000000" w:themeColor="text1"/>
                <w:sz w:val="20"/>
                <w:szCs w:val="20"/>
              </w:rPr>
              <w:t>streams</w:t>
            </w:r>
            <w:r w:rsidRPr="00A52AB8">
              <w:rPr>
                <w:rFonts w:eastAsia="Malgun Gothic"/>
                <w:sz w:val="20"/>
              </w:rPr>
              <w:t>( payloadSize )</w:t>
            </w:r>
          </w:p>
        </w:tc>
        <w:tc>
          <w:tcPr>
            <w:tcW w:w="1338" w:type="dxa"/>
          </w:tcPr>
          <w:p w14:paraId="53FF38E9" w14:textId="77777777" w:rsidR="0089041C" w:rsidRPr="00A52AB8" w:rsidRDefault="0089041C" w:rsidP="009C6742">
            <w:pPr>
              <w:spacing w:before="20" w:after="40" w:line="240" w:lineRule="auto"/>
              <w:jc w:val="center"/>
              <w:rPr>
                <w:rFonts w:eastAsia="Malgun Gothic"/>
                <w:bCs/>
                <w:sz w:val="20"/>
              </w:rPr>
            </w:pPr>
          </w:p>
        </w:tc>
      </w:tr>
      <w:tr w:rsidR="0089041C" w:rsidRPr="00A52AB8" w14:paraId="0090EA27" w14:textId="77777777" w:rsidTr="004A0BDE">
        <w:trPr>
          <w:cantSplit/>
          <w:jc w:val="center"/>
        </w:trPr>
        <w:tc>
          <w:tcPr>
            <w:tcW w:w="8404" w:type="dxa"/>
          </w:tcPr>
          <w:p w14:paraId="3A8EAFBF" w14:textId="0FFA057E" w:rsidR="0089041C" w:rsidRPr="00A52AB8" w:rsidRDefault="0089041C" w:rsidP="009C6742">
            <w:pPr>
              <w:spacing w:before="20" w:after="40" w:line="240" w:lineRule="auto"/>
              <w:rPr>
                <w:rFonts w:eastAsia="Malgun Gothic"/>
                <w:sz w:val="20"/>
              </w:rPr>
            </w:pPr>
            <w:r w:rsidRPr="00A52AB8">
              <w:rPr>
                <w:rFonts w:eastAsia="Malgun Gothic"/>
                <w:sz w:val="20"/>
              </w:rPr>
              <w:tab/>
            </w:r>
            <w:r w:rsidRPr="00A52AB8">
              <w:rPr>
                <w:rFonts w:eastAsia="Malgun Gothic"/>
                <w:sz w:val="20"/>
              </w:rPr>
              <w:tab/>
              <w:t>else if( payloadType</w:t>
            </w:r>
            <w:r w:rsidR="008768E9" w:rsidRPr="00A52AB8">
              <w:rPr>
                <w:rFonts w:eastAsia="Malgun Gothic"/>
                <w:sz w:val="20"/>
              </w:rPr>
              <w:t> </w:t>
            </w:r>
            <w:r w:rsidR="00726AAE" w:rsidRPr="00A52AB8">
              <w:rPr>
                <w:rFonts w:eastAsia="Malgun Gothic"/>
                <w:sz w:val="20"/>
              </w:rPr>
              <w:t>==</w:t>
            </w:r>
            <w:r w:rsidR="00D47707" w:rsidRPr="00A52AB8">
              <w:rPr>
                <w:rFonts w:eastAsia="Malgun Gothic"/>
                <w:sz w:val="20"/>
              </w:rPr>
              <w:t> </w:t>
            </w:r>
            <w:r w:rsidRPr="00A52AB8">
              <w:rPr>
                <w:rFonts w:eastAsia="Malgun Gothic"/>
                <w:sz w:val="20"/>
              </w:rPr>
              <w:t>1</w:t>
            </w:r>
            <w:r w:rsidR="00935078" w:rsidRPr="00A52AB8">
              <w:rPr>
                <w:rFonts w:eastAsia="Malgun Gothic"/>
                <w:sz w:val="20"/>
              </w:rPr>
              <w:t>1</w:t>
            </w:r>
            <w:r w:rsidR="002D5C42" w:rsidRPr="00A52AB8">
              <w:rPr>
                <w:rFonts w:eastAsia="Malgun Gothic"/>
                <w:sz w:val="20"/>
              </w:rPr>
              <w:t> </w:t>
            </w:r>
            <w:r w:rsidRPr="00A52AB8">
              <w:rPr>
                <w:rFonts w:eastAsia="Malgun Gothic"/>
                <w:sz w:val="20"/>
              </w:rPr>
              <w:t>)</w:t>
            </w:r>
          </w:p>
        </w:tc>
        <w:tc>
          <w:tcPr>
            <w:tcW w:w="1338" w:type="dxa"/>
          </w:tcPr>
          <w:p w14:paraId="0EF8F9B9" w14:textId="77777777" w:rsidR="0089041C" w:rsidRPr="00A52AB8" w:rsidRDefault="0089041C" w:rsidP="009C6742">
            <w:pPr>
              <w:spacing w:before="20" w:after="40" w:line="240" w:lineRule="auto"/>
              <w:jc w:val="center"/>
              <w:rPr>
                <w:rFonts w:eastAsia="Malgun Gothic"/>
                <w:bCs/>
                <w:sz w:val="20"/>
              </w:rPr>
            </w:pPr>
          </w:p>
        </w:tc>
      </w:tr>
      <w:tr w:rsidR="0089041C" w:rsidRPr="00A52AB8" w14:paraId="353ECE65" w14:textId="77777777" w:rsidTr="004A0BDE">
        <w:trPr>
          <w:cantSplit/>
          <w:jc w:val="center"/>
        </w:trPr>
        <w:tc>
          <w:tcPr>
            <w:tcW w:w="8404" w:type="dxa"/>
          </w:tcPr>
          <w:p w14:paraId="527399A2" w14:textId="77777777" w:rsidR="0089041C" w:rsidRPr="00A52AB8" w:rsidRDefault="0089041C" w:rsidP="009C6742">
            <w:pPr>
              <w:spacing w:before="20" w:after="40" w:line="240" w:lineRule="auto"/>
              <w:rPr>
                <w:rFonts w:eastAsia="Malgun Gothic"/>
                <w:sz w:val="20"/>
              </w:rPr>
            </w:pPr>
            <w:r w:rsidRPr="00A52AB8">
              <w:rPr>
                <w:rFonts w:eastAsia="Malgun Gothic"/>
                <w:sz w:val="20"/>
              </w:rPr>
              <w:tab/>
            </w:r>
            <w:r w:rsidRPr="00A52AB8">
              <w:rPr>
                <w:rFonts w:eastAsia="Malgun Gothic"/>
                <w:sz w:val="20"/>
              </w:rPr>
              <w:tab/>
            </w:r>
            <w:r w:rsidRPr="00A52AB8">
              <w:rPr>
                <w:rFonts w:eastAsia="Malgun Gothic"/>
                <w:sz w:val="20"/>
              </w:rPr>
              <w:tab/>
            </w:r>
            <w:r w:rsidRPr="00A52AB8">
              <w:rPr>
                <w:bCs/>
                <w:color w:val="000000" w:themeColor="text1"/>
                <w:sz w:val="20"/>
                <w:szCs w:val="20"/>
              </w:rPr>
              <w:t>component_codec_mapping</w:t>
            </w:r>
            <w:r w:rsidRPr="00A52AB8">
              <w:rPr>
                <w:rFonts w:eastAsia="Malgun Gothic"/>
                <w:sz w:val="20"/>
              </w:rPr>
              <w:t>( payloadSize )</w:t>
            </w:r>
          </w:p>
        </w:tc>
        <w:tc>
          <w:tcPr>
            <w:tcW w:w="1338" w:type="dxa"/>
          </w:tcPr>
          <w:p w14:paraId="37D9AFEC" w14:textId="77777777" w:rsidR="0089041C" w:rsidRPr="00A52AB8" w:rsidRDefault="0089041C" w:rsidP="009C6742">
            <w:pPr>
              <w:spacing w:before="20" w:after="40" w:line="240" w:lineRule="auto"/>
              <w:jc w:val="center"/>
              <w:rPr>
                <w:rFonts w:eastAsia="Malgun Gothic"/>
                <w:bCs/>
                <w:sz w:val="20"/>
              </w:rPr>
            </w:pPr>
          </w:p>
        </w:tc>
      </w:tr>
      <w:tr w:rsidR="0089041C" w:rsidRPr="00A52AB8" w14:paraId="720702CF" w14:textId="77777777" w:rsidTr="004A0BDE">
        <w:trPr>
          <w:cantSplit/>
          <w:jc w:val="center"/>
        </w:trPr>
        <w:tc>
          <w:tcPr>
            <w:tcW w:w="8404" w:type="dxa"/>
          </w:tcPr>
          <w:p w14:paraId="4580D47B" w14:textId="042A9A37" w:rsidR="0089041C" w:rsidRPr="00A52AB8" w:rsidRDefault="0089041C" w:rsidP="009C6742">
            <w:pPr>
              <w:spacing w:before="20" w:after="40" w:line="240" w:lineRule="auto"/>
              <w:rPr>
                <w:rFonts w:eastAsia="Malgun Gothic"/>
                <w:sz w:val="20"/>
              </w:rPr>
            </w:pPr>
            <w:r w:rsidRPr="00A52AB8">
              <w:rPr>
                <w:rFonts w:eastAsia="Malgun Gothic"/>
                <w:sz w:val="20"/>
              </w:rPr>
              <w:tab/>
            </w:r>
            <w:r w:rsidRPr="00A52AB8">
              <w:rPr>
                <w:rFonts w:eastAsia="Malgun Gothic"/>
                <w:sz w:val="20"/>
              </w:rPr>
              <w:tab/>
              <w:t>else if( payloadType</w:t>
            </w:r>
            <w:r w:rsidR="008768E9" w:rsidRPr="00A52AB8">
              <w:rPr>
                <w:rFonts w:eastAsia="Malgun Gothic"/>
                <w:sz w:val="20"/>
              </w:rPr>
              <w:t> </w:t>
            </w:r>
            <w:r w:rsidR="00726AAE" w:rsidRPr="00A52AB8">
              <w:rPr>
                <w:rFonts w:eastAsia="Malgun Gothic"/>
                <w:sz w:val="20"/>
              </w:rPr>
              <w:t>==</w:t>
            </w:r>
            <w:r w:rsidR="00D47707" w:rsidRPr="00A52AB8">
              <w:rPr>
                <w:rFonts w:eastAsia="Malgun Gothic"/>
                <w:sz w:val="20"/>
              </w:rPr>
              <w:t> </w:t>
            </w:r>
            <w:r w:rsidRPr="00A52AB8">
              <w:rPr>
                <w:rFonts w:eastAsia="Malgun Gothic"/>
                <w:sz w:val="20"/>
              </w:rPr>
              <w:t>1</w:t>
            </w:r>
            <w:r w:rsidR="00935078" w:rsidRPr="00A52AB8">
              <w:rPr>
                <w:rFonts w:eastAsia="Malgun Gothic"/>
                <w:sz w:val="20"/>
              </w:rPr>
              <w:t>2</w:t>
            </w:r>
            <w:r w:rsidR="002D5C42" w:rsidRPr="00A52AB8">
              <w:rPr>
                <w:rFonts w:eastAsia="Malgun Gothic"/>
                <w:sz w:val="20"/>
              </w:rPr>
              <w:t> </w:t>
            </w:r>
            <w:r w:rsidRPr="00A52AB8">
              <w:rPr>
                <w:rFonts w:eastAsia="Malgun Gothic"/>
                <w:sz w:val="20"/>
              </w:rPr>
              <w:t>)</w:t>
            </w:r>
          </w:p>
        </w:tc>
        <w:tc>
          <w:tcPr>
            <w:tcW w:w="1338" w:type="dxa"/>
          </w:tcPr>
          <w:p w14:paraId="7A6439B6" w14:textId="77777777" w:rsidR="0089041C" w:rsidRPr="00A52AB8" w:rsidRDefault="0089041C" w:rsidP="009C6742">
            <w:pPr>
              <w:spacing w:before="20" w:after="40" w:line="240" w:lineRule="auto"/>
              <w:jc w:val="center"/>
              <w:rPr>
                <w:rFonts w:eastAsia="Malgun Gothic"/>
                <w:bCs/>
                <w:sz w:val="20"/>
              </w:rPr>
            </w:pPr>
          </w:p>
        </w:tc>
      </w:tr>
      <w:tr w:rsidR="0089041C" w:rsidRPr="00A52AB8" w14:paraId="3956D23E" w14:textId="77777777" w:rsidTr="004A0BDE">
        <w:trPr>
          <w:cantSplit/>
          <w:jc w:val="center"/>
        </w:trPr>
        <w:tc>
          <w:tcPr>
            <w:tcW w:w="8404" w:type="dxa"/>
          </w:tcPr>
          <w:p w14:paraId="1203BD9B" w14:textId="77777777" w:rsidR="0089041C" w:rsidRPr="00A52AB8" w:rsidRDefault="0089041C" w:rsidP="009C6742">
            <w:pPr>
              <w:spacing w:before="20" w:after="40" w:line="240" w:lineRule="auto"/>
              <w:rPr>
                <w:rFonts w:eastAsia="Malgun Gothic"/>
                <w:sz w:val="20"/>
              </w:rPr>
            </w:pPr>
            <w:r w:rsidRPr="00A52AB8">
              <w:rPr>
                <w:rFonts w:eastAsia="Malgun Gothic"/>
                <w:sz w:val="20"/>
              </w:rPr>
              <w:tab/>
            </w:r>
            <w:r w:rsidRPr="00A52AB8">
              <w:rPr>
                <w:rFonts w:eastAsia="Malgun Gothic"/>
                <w:sz w:val="20"/>
              </w:rPr>
              <w:tab/>
            </w:r>
            <w:r w:rsidRPr="00A52AB8">
              <w:rPr>
                <w:rFonts w:eastAsia="Malgun Gothic"/>
                <w:sz w:val="20"/>
              </w:rPr>
              <w:tab/>
            </w:r>
            <w:r w:rsidR="00760433" w:rsidRPr="00A52AB8">
              <w:rPr>
                <w:bCs/>
                <w:color w:val="000000" w:themeColor="text1"/>
                <w:sz w:val="20"/>
                <w:szCs w:val="20"/>
              </w:rPr>
              <w:t>scene_object_information(</w:t>
            </w:r>
            <w:r w:rsidR="00760433" w:rsidRPr="00A52AB8">
              <w:rPr>
                <w:rFonts w:eastAsia="Malgun Gothic"/>
                <w:sz w:val="20"/>
              </w:rPr>
              <w:t> </w:t>
            </w:r>
            <w:r w:rsidR="00760433" w:rsidRPr="00A52AB8">
              <w:rPr>
                <w:bCs/>
                <w:color w:val="000000" w:themeColor="text1"/>
                <w:sz w:val="20"/>
                <w:szCs w:val="20"/>
              </w:rPr>
              <w:t>payloadSize</w:t>
            </w:r>
            <w:r w:rsidR="00760433" w:rsidRPr="00A52AB8">
              <w:rPr>
                <w:rFonts w:eastAsia="Malgun Gothic"/>
                <w:sz w:val="20"/>
              </w:rPr>
              <w:t> </w:t>
            </w:r>
            <w:r w:rsidR="00760433" w:rsidRPr="00A52AB8">
              <w:rPr>
                <w:bCs/>
                <w:color w:val="000000" w:themeColor="text1"/>
                <w:sz w:val="20"/>
                <w:szCs w:val="20"/>
              </w:rPr>
              <w:t>)</w:t>
            </w:r>
          </w:p>
        </w:tc>
        <w:tc>
          <w:tcPr>
            <w:tcW w:w="1338" w:type="dxa"/>
          </w:tcPr>
          <w:p w14:paraId="348DA745" w14:textId="77777777" w:rsidR="0089041C" w:rsidRPr="00A52AB8" w:rsidRDefault="0089041C" w:rsidP="009C6742">
            <w:pPr>
              <w:spacing w:before="20" w:after="40" w:line="240" w:lineRule="auto"/>
              <w:jc w:val="center"/>
              <w:rPr>
                <w:rFonts w:eastAsia="Malgun Gothic"/>
                <w:bCs/>
                <w:sz w:val="20"/>
              </w:rPr>
            </w:pPr>
          </w:p>
        </w:tc>
      </w:tr>
      <w:tr w:rsidR="00FC40E8" w:rsidRPr="00A52AB8" w14:paraId="47705CF9" w14:textId="77777777" w:rsidTr="004A0BDE">
        <w:trPr>
          <w:cantSplit/>
          <w:jc w:val="center"/>
        </w:trPr>
        <w:tc>
          <w:tcPr>
            <w:tcW w:w="8404" w:type="dxa"/>
          </w:tcPr>
          <w:p w14:paraId="52CC55A3" w14:textId="2D73C7DE" w:rsidR="00FC40E8" w:rsidRPr="00A52AB8" w:rsidRDefault="002F59F2" w:rsidP="009C6742">
            <w:pPr>
              <w:spacing w:before="20" w:after="40" w:line="240" w:lineRule="auto"/>
              <w:rPr>
                <w:rFonts w:eastAsia="Malgun Gothic"/>
                <w:sz w:val="20"/>
              </w:rPr>
            </w:pPr>
            <w:r w:rsidRPr="00A52AB8">
              <w:rPr>
                <w:rFonts w:eastAsia="Malgun Gothic"/>
                <w:sz w:val="20"/>
              </w:rPr>
              <w:tab/>
            </w:r>
            <w:r w:rsidRPr="00A52AB8">
              <w:rPr>
                <w:rFonts w:eastAsia="Malgun Gothic"/>
                <w:sz w:val="20"/>
              </w:rPr>
              <w:tab/>
              <w:t>else if( payloadType</w:t>
            </w:r>
            <w:r w:rsidR="008768E9" w:rsidRPr="00A52AB8">
              <w:rPr>
                <w:rFonts w:eastAsia="Malgun Gothic"/>
                <w:sz w:val="20"/>
              </w:rPr>
              <w:t> </w:t>
            </w:r>
            <w:r w:rsidR="00726AAE" w:rsidRPr="00A52AB8">
              <w:rPr>
                <w:rFonts w:eastAsia="Malgun Gothic"/>
                <w:sz w:val="20"/>
              </w:rPr>
              <w:t>==</w:t>
            </w:r>
            <w:r w:rsidR="00D47707" w:rsidRPr="00A52AB8">
              <w:rPr>
                <w:rFonts w:eastAsia="Malgun Gothic"/>
                <w:sz w:val="20"/>
              </w:rPr>
              <w:t> </w:t>
            </w:r>
            <w:r w:rsidRPr="00A52AB8">
              <w:rPr>
                <w:rFonts w:eastAsia="Malgun Gothic"/>
                <w:sz w:val="20"/>
              </w:rPr>
              <w:t>1</w:t>
            </w:r>
            <w:r w:rsidR="00935078" w:rsidRPr="00A52AB8">
              <w:rPr>
                <w:rFonts w:eastAsia="Malgun Gothic"/>
                <w:sz w:val="20"/>
              </w:rPr>
              <w:t>3</w:t>
            </w:r>
            <w:r w:rsidRPr="00A52AB8">
              <w:rPr>
                <w:rFonts w:eastAsia="Malgun Gothic"/>
                <w:sz w:val="20"/>
              </w:rPr>
              <w:t> )</w:t>
            </w:r>
          </w:p>
        </w:tc>
        <w:tc>
          <w:tcPr>
            <w:tcW w:w="1338" w:type="dxa"/>
          </w:tcPr>
          <w:p w14:paraId="03FE2223" w14:textId="77777777" w:rsidR="00FC40E8" w:rsidRPr="00A52AB8" w:rsidRDefault="00FC40E8" w:rsidP="009C6742">
            <w:pPr>
              <w:spacing w:before="20" w:after="40" w:line="240" w:lineRule="auto"/>
              <w:jc w:val="center"/>
              <w:rPr>
                <w:rFonts w:eastAsia="Malgun Gothic"/>
                <w:bCs/>
                <w:sz w:val="20"/>
              </w:rPr>
            </w:pPr>
          </w:p>
        </w:tc>
      </w:tr>
      <w:tr w:rsidR="002F59F2" w:rsidRPr="00A52AB8" w14:paraId="720E2DF9" w14:textId="77777777" w:rsidTr="004A0BDE">
        <w:trPr>
          <w:cantSplit/>
          <w:jc w:val="center"/>
        </w:trPr>
        <w:tc>
          <w:tcPr>
            <w:tcW w:w="8404" w:type="dxa"/>
          </w:tcPr>
          <w:p w14:paraId="3CABA881" w14:textId="77777777" w:rsidR="002F59F2" w:rsidRPr="00A52AB8" w:rsidRDefault="00760433" w:rsidP="009C6742">
            <w:pPr>
              <w:spacing w:before="20" w:after="40" w:line="240" w:lineRule="auto"/>
              <w:rPr>
                <w:rFonts w:eastAsia="Malgun Gothic"/>
                <w:sz w:val="20"/>
              </w:rPr>
            </w:pPr>
            <w:r w:rsidRPr="00A52AB8">
              <w:rPr>
                <w:rFonts w:eastAsia="Malgun Gothic"/>
                <w:sz w:val="20"/>
              </w:rPr>
              <w:tab/>
            </w:r>
            <w:r w:rsidRPr="00A52AB8">
              <w:rPr>
                <w:rFonts w:eastAsia="Malgun Gothic"/>
                <w:sz w:val="20"/>
              </w:rPr>
              <w:tab/>
            </w:r>
            <w:r w:rsidRPr="00A52AB8">
              <w:rPr>
                <w:rFonts w:eastAsia="Malgun Gothic"/>
                <w:sz w:val="20"/>
              </w:rPr>
              <w:tab/>
              <w:t>object_label_information</w:t>
            </w:r>
            <w:r w:rsidR="008F2F49" w:rsidRPr="00A52AB8">
              <w:rPr>
                <w:rFonts w:eastAsia="Malgun Gothic"/>
                <w:sz w:val="20"/>
              </w:rPr>
              <w:t>( payloadSize )</w:t>
            </w:r>
          </w:p>
        </w:tc>
        <w:tc>
          <w:tcPr>
            <w:tcW w:w="1338" w:type="dxa"/>
          </w:tcPr>
          <w:p w14:paraId="206C33DB" w14:textId="77777777" w:rsidR="002F59F2" w:rsidRPr="00A52AB8" w:rsidRDefault="002F59F2" w:rsidP="009C6742">
            <w:pPr>
              <w:spacing w:before="20" w:after="40" w:line="240" w:lineRule="auto"/>
              <w:jc w:val="center"/>
              <w:rPr>
                <w:rFonts w:eastAsia="Malgun Gothic"/>
                <w:bCs/>
                <w:sz w:val="20"/>
              </w:rPr>
            </w:pPr>
          </w:p>
        </w:tc>
      </w:tr>
      <w:tr w:rsidR="002F59F2" w:rsidRPr="00A52AB8" w14:paraId="37524B80" w14:textId="77777777" w:rsidTr="004A0BDE">
        <w:trPr>
          <w:cantSplit/>
          <w:jc w:val="center"/>
        </w:trPr>
        <w:tc>
          <w:tcPr>
            <w:tcW w:w="8404" w:type="dxa"/>
          </w:tcPr>
          <w:p w14:paraId="2506AC5C" w14:textId="71E26339" w:rsidR="002F59F2" w:rsidRPr="00A52AB8" w:rsidRDefault="002F59F2" w:rsidP="009C6742">
            <w:pPr>
              <w:spacing w:before="20" w:after="40" w:line="240" w:lineRule="auto"/>
              <w:rPr>
                <w:rFonts w:eastAsia="Malgun Gothic"/>
                <w:sz w:val="20"/>
              </w:rPr>
            </w:pPr>
            <w:r w:rsidRPr="00A52AB8">
              <w:rPr>
                <w:rFonts w:eastAsia="Malgun Gothic"/>
                <w:sz w:val="20"/>
              </w:rPr>
              <w:tab/>
            </w:r>
            <w:r w:rsidRPr="00A52AB8">
              <w:rPr>
                <w:rFonts w:eastAsia="Malgun Gothic"/>
                <w:sz w:val="20"/>
              </w:rPr>
              <w:tab/>
              <w:t>else if( payloadType</w:t>
            </w:r>
            <w:r w:rsidR="008768E9" w:rsidRPr="00A52AB8">
              <w:rPr>
                <w:rFonts w:eastAsia="Malgun Gothic"/>
                <w:sz w:val="20"/>
              </w:rPr>
              <w:t> </w:t>
            </w:r>
            <w:r w:rsidR="00726AAE" w:rsidRPr="00A52AB8">
              <w:rPr>
                <w:rFonts w:eastAsia="Malgun Gothic"/>
                <w:sz w:val="20"/>
              </w:rPr>
              <w:t>==</w:t>
            </w:r>
            <w:r w:rsidR="00D47707" w:rsidRPr="00A52AB8">
              <w:rPr>
                <w:rFonts w:eastAsia="Malgun Gothic"/>
                <w:sz w:val="20"/>
              </w:rPr>
              <w:t> </w:t>
            </w:r>
            <w:r w:rsidRPr="00A52AB8">
              <w:rPr>
                <w:rFonts w:eastAsia="Malgun Gothic"/>
                <w:sz w:val="20"/>
              </w:rPr>
              <w:t>1</w:t>
            </w:r>
            <w:r w:rsidR="00935078" w:rsidRPr="00A52AB8">
              <w:rPr>
                <w:rFonts w:eastAsia="Malgun Gothic"/>
                <w:sz w:val="20"/>
              </w:rPr>
              <w:t>4</w:t>
            </w:r>
            <w:r w:rsidRPr="00A52AB8">
              <w:rPr>
                <w:rFonts w:eastAsia="Malgun Gothic"/>
                <w:sz w:val="20"/>
              </w:rPr>
              <w:t> )</w:t>
            </w:r>
          </w:p>
        </w:tc>
        <w:tc>
          <w:tcPr>
            <w:tcW w:w="1338" w:type="dxa"/>
          </w:tcPr>
          <w:p w14:paraId="0C0F057D" w14:textId="77777777" w:rsidR="002F59F2" w:rsidRPr="00A52AB8" w:rsidRDefault="002F59F2" w:rsidP="009C6742">
            <w:pPr>
              <w:spacing w:before="20" w:after="40" w:line="240" w:lineRule="auto"/>
              <w:jc w:val="center"/>
              <w:rPr>
                <w:rFonts w:eastAsia="Malgun Gothic"/>
                <w:bCs/>
                <w:sz w:val="20"/>
              </w:rPr>
            </w:pPr>
          </w:p>
        </w:tc>
      </w:tr>
      <w:tr w:rsidR="002F59F2" w:rsidRPr="00A52AB8" w14:paraId="77FF6276" w14:textId="77777777" w:rsidTr="004A0BDE">
        <w:trPr>
          <w:cantSplit/>
          <w:jc w:val="center"/>
        </w:trPr>
        <w:tc>
          <w:tcPr>
            <w:tcW w:w="8404" w:type="dxa"/>
          </w:tcPr>
          <w:p w14:paraId="6B274517" w14:textId="77777777" w:rsidR="002F59F2" w:rsidRPr="00A52AB8" w:rsidRDefault="00760433" w:rsidP="009C6742">
            <w:pPr>
              <w:spacing w:before="20" w:after="40" w:line="240" w:lineRule="auto"/>
              <w:rPr>
                <w:rFonts w:eastAsia="Malgun Gothic"/>
                <w:sz w:val="20"/>
              </w:rPr>
            </w:pPr>
            <w:r w:rsidRPr="00A52AB8">
              <w:rPr>
                <w:rFonts w:eastAsia="Malgun Gothic"/>
                <w:sz w:val="20"/>
              </w:rPr>
              <w:tab/>
            </w:r>
            <w:r w:rsidRPr="00A52AB8">
              <w:rPr>
                <w:rFonts w:eastAsia="Malgun Gothic"/>
                <w:sz w:val="20"/>
              </w:rPr>
              <w:tab/>
            </w:r>
            <w:r w:rsidRPr="00A52AB8">
              <w:rPr>
                <w:rFonts w:eastAsia="Malgun Gothic"/>
                <w:sz w:val="20"/>
              </w:rPr>
              <w:tab/>
              <w:t>patch_information</w:t>
            </w:r>
            <w:r w:rsidR="008F2F49" w:rsidRPr="00A52AB8">
              <w:rPr>
                <w:rFonts w:eastAsia="Malgun Gothic"/>
                <w:sz w:val="20"/>
              </w:rPr>
              <w:t>( payloadSize )</w:t>
            </w:r>
          </w:p>
        </w:tc>
        <w:tc>
          <w:tcPr>
            <w:tcW w:w="1338" w:type="dxa"/>
          </w:tcPr>
          <w:p w14:paraId="5C926A28" w14:textId="77777777" w:rsidR="002F59F2" w:rsidRPr="00A52AB8" w:rsidRDefault="002F59F2" w:rsidP="009C6742">
            <w:pPr>
              <w:spacing w:before="20" w:after="40" w:line="240" w:lineRule="auto"/>
              <w:jc w:val="center"/>
              <w:rPr>
                <w:rFonts w:eastAsia="Malgun Gothic"/>
                <w:bCs/>
                <w:sz w:val="20"/>
              </w:rPr>
            </w:pPr>
          </w:p>
        </w:tc>
      </w:tr>
      <w:tr w:rsidR="002F59F2" w:rsidRPr="00A52AB8" w14:paraId="0148CD1A" w14:textId="77777777" w:rsidTr="004A0BDE">
        <w:trPr>
          <w:cantSplit/>
          <w:jc w:val="center"/>
        </w:trPr>
        <w:tc>
          <w:tcPr>
            <w:tcW w:w="8404" w:type="dxa"/>
          </w:tcPr>
          <w:p w14:paraId="1B713238" w14:textId="0E3BE612" w:rsidR="002F59F2" w:rsidRPr="00A52AB8" w:rsidRDefault="002F59F2" w:rsidP="009C6742">
            <w:pPr>
              <w:spacing w:before="20" w:after="40" w:line="240" w:lineRule="auto"/>
              <w:rPr>
                <w:rFonts w:eastAsia="Malgun Gothic"/>
                <w:sz w:val="20"/>
              </w:rPr>
            </w:pPr>
            <w:r w:rsidRPr="00A52AB8">
              <w:rPr>
                <w:rFonts w:eastAsia="Malgun Gothic"/>
                <w:sz w:val="20"/>
              </w:rPr>
              <w:tab/>
            </w:r>
            <w:r w:rsidRPr="00A52AB8">
              <w:rPr>
                <w:rFonts w:eastAsia="Malgun Gothic"/>
                <w:sz w:val="20"/>
              </w:rPr>
              <w:tab/>
              <w:t>else if( payloadType</w:t>
            </w:r>
            <w:r w:rsidR="008768E9" w:rsidRPr="00A52AB8">
              <w:rPr>
                <w:rFonts w:eastAsia="Malgun Gothic"/>
                <w:sz w:val="20"/>
              </w:rPr>
              <w:t> </w:t>
            </w:r>
            <w:r w:rsidR="00726AAE" w:rsidRPr="00A52AB8">
              <w:rPr>
                <w:rFonts w:eastAsia="Malgun Gothic"/>
                <w:sz w:val="20"/>
              </w:rPr>
              <w:t>==</w:t>
            </w:r>
            <w:r w:rsidR="00D47707" w:rsidRPr="00A52AB8">
              <w:rPr>
                <w:rFonts w:eastAsia="Malgun Gothic"/>
                <w:sz w:val="20"/>
              </w:rPr>
              <w:t> </w:t>
            </w:r>
            <w:r w:rsidRPr="00A52AB8">
              <w:rPr>
                <w:rFonts w:eastAsia="Malgun Gothic"/>
                <w:sz w:val="20"/>
              </w:rPr>
              <w:t>1</w:t>
            </w:r>
            <w:r w:rsidR="00935078" w:rsidRPr="00A52AB8">
              <w:rPr>
                <w:rFonts w:eastAsia="Malgun Gothic"/>
                <w:sz w:val="20"/>
              </w:rPr>
              <w:t>5</w:t>
            </w:r>
            <w:r w:rsidRPr="00A52AB8">
              <w:rPr>
                <w:rFonts w:eastAsia="Malgun Gothic"/>
                <w:sz w:val="20"/>
              </w:rPr>
              <w:t> )</w:t>
            </w:r>
          </w:p>
        </w:tc>
        <w:tc>
          <w:tcPr>
            <w:tcW w:w="1338" w:type="dxa"/>
          </w:tcPr>
          <w:p w14:paraId="60A050CE" w14:textId="77777777" w:rsidR="002F59F2" w:rsidRPr="00A52AB8" w:rsidRDefault="002F59F2" w:rsidP="009C6742">
            <w:pPr>
              <w:spacing w:before="20" w:after="40" w:line="240" w:lineRule="auto"/>
              <w:jc w:val="center"/>
              <w:rPr>
                <w:rFonts w:eastAsia="Malgun Gothic"/>
                <w:bCs/>
                <w:sz w:val="20"/>
              </w:rPr>
            </w:pPr>
          </w:p>
        </w:tc>
      </w:tr>
      <w:tr w:rsidR="002F59F2" w:rsidRPr="00A52AB8" w14:paraId="7E8DD667" w14:textId="77777777" w:rsidTr="004A0BDE">
        <w:trPr>
          <w:cantSplit/>
          <w:jc w:val="center"/>
        </w:trPr>
        <w:tc>
          <w:tcPr>
            <w:tcW w:w="8404" w:type="dxa"/>
          </w:tcPr>
          <w:p w14:paraId="60F0FEE3" w14:textId="77777777" w:rsidR="002F59F2" w:rsidRPr="00A52AB8" w:rsidRDefault="008F2F49" w:rsidP="009C6742">
            <w:pPr>
              <w:spacing w:before="20" w:after="40" w:line="240" w:lineRule="auto"/>
              <w:rPr>
                <w:rFonts w:eastAsia="Malgun Gothic"/>
                <w:sz w:val="20"/>
              </w:rPr>
            </w:pPr>
            <w:r w:rsidRPr="00A52AB8">
              <w:rPr>
                <w:rFonts w:eastAsia="Malgun Gothic"/>
                <w:sz w:val="20"/>
              </w:rPr>
              <w:tab/>
            </w:r>
            <w:r w:rsidRPr="00A52AB8">
              <w:rPr>
                <w:rFonts w:eastAsia="Malgun Gothic"/>
                <w:sz w:val="20"/>
              </w:rPr>
              <w:tab/>
            </w:r>
            <w:r w:rsidRPr="00A52AB8">
              <w:rPr>
                <w:rFonts w:eastAsia="Malgun Gothic"/>
                <w:sz w:val="20"/>
              </w:rPr>
              <w:tab/>
              <w:t>volumetric_rectangle_information( payloadSize )</w:t>
            </w:r>
          </w:p>
        </w:tc>
        <w:tc>
          <w:tcPr>
            <w:tcW w:w="1338" w:type="dxa"/>
          </w:tcPr>
          <w:p w14:paraId="186F3D42" w14:textId="77777777" w:rsidR="002F59F2" w:rsidRPr="00A52AB8" w:rsidRDefault="002F59F2" w:rsidP="009C6742">
            <w:pPr>
              <w:spacing w:before="20" w:after="40" w:line="240" w:lineRule="auto"/>
              <w:jc w:val="center"/>
              <w:rPr>
                <w:rFonts w:eastAsia="Malgun Gothic"/>
                <w:bCs/>
                <w:sz w:val="20"/>
              </w:rPr>
            </w:pPr>
          </w:p>
        </w:tc>
      </w:tr>
      <w:tr w:rsidR="008F2F49" w:rsidRPr="00A52AB8" w14:paraId="63434925" w14:textId="77777777" w:rsidTr="004A0BDE">
        <w:trPr>
          <w:cantSplit/>
          <w:jc w:val="center"/>
        </w:trPr>
        <w:tc>
          <w:tcPr>
            <w:tcW w:w="8404" w:type="dxa"/>
          </w:tcPr>
          <w:p w14:paraId="22672DEC" w14:textId="36E1832C" w:rsidR="008F2F49" w:rsidRPr="00A52AB8" w:rsidRDefault="008F2F49" w:rsidP="009C6742">
            <w:pPr>
              <w:spacing w:before="20" w:after="40" w:line="240" w:lineRule="auto"/>
              <w:rPr>
                <w:rFonts w:eastAsia="Malgun Gothic"/>
                <w:sz w:val="20"/>
              </w:rPr>
            </w:pPr>
            <w:r w:rsidRPr="00A52AB8">
              <w:rPr>
                <w:rFonts w:eastAsia="Malgun Gothic"/>
                <w:sz w:val="20"/>
              </w:rPr>
              <w:tab/>
            </w:r>
            <w:r w:rsidRPr="00A52AB8">
              <w:rPr>
                <w:rFonts w:eastAsia="Malgun Gothic"/>
                <w:sz w:val="20"/>
              </w:rPr>
              <w:tab/>
              <w:t>else if( payloadType</w:t>
            </w:r>
            <w:r w:rsidR="008768E9" w:rsidRPr="00A52AB8">
              <w:rPr>
                <w:rFonts w:eastAsia="Malgun Gothic"/>
                <w:sz w:val="20"/>
              </w:rPr>
              <w:t> </w:t>
            </w:r>
            <w:r w:rsidR="00726AAE" w:rsidRPr="00A52AB8">
              <w:rPr>
                <w:rFonts w:eastAsia="Malgun Gothic"/>
                <w:sz w:val="20"/>
              </w:rPr>
              <w:t>==</w:t>
            </w:r>
            <w:r w:rsidR="00D47707" w:rsidRPr="00A52AB8">
              <w:rPr>
                <w:rFonts w:eastAsia="Malgun Gothic"/>
                <w:sz w:val="20"/>
              </w:rPr>
              <w:t> </w:t>
            </w:r>
            <w:r w:rsidRPr="00A52AB8">
              <w:rPr>
                <w:rFonts w:eastAsia="Malgun Gothic"/>
                <w:sz w:val="20"/>
              </w:rPr>
              <w:t>1</w:t>
            </w:r>
            <w:r w:rsidR="00935078" w:rsidRPr="00A52AB8">
              <w:rPr>
                <w:rFonts w:eastAsia="Malgun Gothic"/>
                <w:sz w:val="20"/>
              </w:rPr>
              <w:t>6</w:t>
            </w:r>
            <w:r w:rsidRPr="00A52AB8">
              <w:rPr>
                <w:rFonts w:eastAsia="Malgun Gothic"/>
                <w:sz w:val="20"/>
              </w:rPr>
              <w:t> )</w:t>
            </w:r>
          </w:p>
        </w:tc>
        <w:tc>
          <w:tcPr>
            <w:tcW w:w="1338" w:type="dxa"/>
          </w:tcPr>
          <w:p w14:paraId="6B597DFD" w14:textId="77777777" w:rsidR="008F2F49" w:rsidRPr="00A52AB8" w:rsidRDefault="008F2F49" w:rsidP="009C6742">
            <w:pPr>
              <w:spacing w:before="20" w:after="40" w:line="240" w:lineRule="auto"/>
              <w:jc w:val="center"/>
              <w:rPr>
                <w:rFonts w:eastAsia="Malgun Gothic"/>
                <w:bCs/>
                <w:sz w:val="20"/>
              </w:rPr>
            </w:pPr>
          </w:p>
        </w:tc>
      </w:tr>
      <w:tr w:rsidR="008F2F49" w:rsidRPr="00A52AB8" w14:paraId="623AABFA" w14:textId="77777777" w:rsidTr="004A0BDE">
        <w:trPr>
          <w:cantSplit/>
          <w:jc w:val="center"/>
        </w:trPr>
        <w:tc>
          <w:tcPr>
            <w:tcW w:w="8404" w:type="dxa"/>
          </w:tcPr>
          <w:p w14:paraId="275A028F" w14:textId="1BB4B1A3" w:rsidR="008F2F49" w:rsidRPr="00A52AB8" w:rsidRDefault="008F2F49" w:rsidP="009C6742">
            <w:pPr>
              <w:spacing w:before="20" w:after="40" w:line="240" w:lineRule="auto"/>
              <w:rPr>
                <w:rFonts w:eastAsia="Malgun Gothic"/>
                <w:sz w:val="20"/>
              </w:rPr>
            </w:pPr>
            <w:r w:rsidRPr="00A52AB8">
              <w:rPr>
                <w:rFonts w:eastAsia="Malgun Gothic"/>
                <w:sz w:val="20"/>
              </w:rPr>
              <w:tab/>
            </w:r>
            <w:r w:rsidRPr="00A52AB8">
              <w:rPr>
                <w:rFonts w:eastAsia="Malgun Gothic"/>
                <w:sz w:val="20"/>
              </w:rPr>
              <w:tab/>
            </w:r>
            <w:r w:rsidRPr="00A52AB8">
              <w:rPr>
                <w:rFonts w:eastAsia="Malgun Gothic"/>
                <w:sz w:val="20"/>
              </w:rPr>
              <w:tab/>
              <w:t>atlas_</w:t>
            </w:r>
            <w:r w:rsidR="0003078F" w:rsidRPr="00A52AB8">
              <w:rPr>
                <w:rFonts w:eastAsia="Malgun Gothic"/>
                <w:sz w:val="20"/>
              </w:rPr>
              <w:t>object_association</w:t>
            </w:r>
            <w:r w:rsidRPr="00A52AB8">
              <w:rPr>
                <w:rFonts w:eastAsia="Malgun Gothic"/>
                <w:sz w:val="20"/>
              </w:rPr>
              <w:t>( payloadSize )</w:t>
            </w:r>
          </w:p>
        </w:tc>
        <w:tc>
          <w:tcPr>
            <w:tcW w:w="1338" w:type="dxa"/>
          </w:tcPr>
          <w:p w14:paraId="4320F3ED" w14:textId="77777777" w:rsidR="008F2F49" w:rsidRPr="00A52AB8" w:rsidRDefault="008F2F49" w:rsidP="009C6742">
            <w:pPr>
              <w:spacing w:before="20" w:after="40" w:line="240" w:lineRule="auto"/>
              <w:jc w:val="center"/>
              <w:rPr>
                <w:rFonts w:eastAsia="Malgun Gothic"/>
                <w:bCs/>
                <w:sz w:val="20"/>
              </w:rPr>
            </w:pPr>
          </w:p>
        </w:tc>
      </w:tr>
      <w:tr w:rsidR="008F2F49" w:rsidRPr="00A52AB8" w14:paraId="7A03676B" w14:textId="77777777" w:rsidTr="004A0BDE">
        <w:trPr>
          <w:cantSplit/>
          <w:jc w:val="center"/>
        </w:trPr>
        <w:tc>
          <w:tcPr>
            <w:tcW w:w="8404" w:type="dxa"/>
          </w:tcPr>
          <w:p w14:paraId="7FE490B3" w14:textId="23B59040" w:rsidR="008F2F49" w:rsidRPr="00A52AB8" w:rsidRDefault="008F2F49" w:rsidP="009C6742">
            <w:pPr>
              <w:spacing w:before="20" w:after="40" w:line="240" w:lineRule="auto"/>
              <w:rPr>
                <w:rFonts w:eastAsia="Malgun Gothic"/>
                <w:sz w:val="20"/>
              </w:rPr>
            </w:pPr>
            <w:r w:rsidRPr="00A52AB8">
              <w:rPr>
                <w:rFonts w:eastAsia="Malgun Gothic"/>
                <w:sz w:val="20"/>
              </w:rPr>
              <w:tab/>
            </w:r>
            <w:r w:rsidRPr="00A52AB8">
              <w:rPr>
                <w:rFonts w:eastAsia="Malgun Gothic"/>
                <w:sz w:val="20"/>
              </w:rPr>
              <w:tab/>
              <w:t>else if( payloadType</w:t>
            </w:r>
            <w:r w:rsidR="008768E9" w:rsidRPr="00A52AB8">
              <w:rPr>
                <w:rFonts w:eastAsia="Malgun Gothic"/>
                <w:sz w:val="20"/>
              </w:rPr>
              <w:t> </w:t>
            </w:r>
            <w:r w:rsidR="00726AAE" w:rsidRPr="00A52AB8">
              <w:rPr>
                <w:rFonts w:eastAsia="Malgun Gothic"/>
                <w:sz w:val="20"/>
              </w:rPr>
              <w:t>==</w:t>
            </w:r>
            <w:r w:rsidR="00D47707" w:rsidRPr="00A52AB8">
              <w:rPr>
                <w:rFonts w:eastAsia="Malgun Gothic"/>
                <w:sz w:val="20"/>
              </w:rPr>
              <w:t> </w:t>
            </w:r>
            <w:r w:rsidRPr="00A52AB8">
              <w:rPr>
                <w:rFonts w:eastAsia="Malgun Gothic"/>
                <w:sz w:val="20"/>
              </w:rPr>
              <w:t>1</w:t>
            </w:r>
            <w:r w:rsidR="00935078" w:rsidRPr="00A52AB8">
              <w:rPr>
                <w:rFonts w:eastAsia="Malgun Gothic"/>
                <w:sz w:val="20"/>
              </w:rPr>
              <w:t>7</w:t>
            </w:r>
            <w:r w:rsidRPr="00A52AB8">
              <w:rPr>
                <w:rFonts w:eastAsia="Malgun Gothic"/>
                <w:sz w:val="20"/>
              </w:rPr>
              <w:t> )</w:t>
            </w:r>
          </w:p>
        </w:tc>
        <w:tc>
          <w:tcPr>
            <w:tcW w:w="1338" w:type="dxa"/>
          </w:tcPr>
          <w:p w14:paraId="7E901F08" w14:textId="77777777" w:rsidR="008F2F49" w:rsidRPr="00A52AB8" w:rsidRDefault="008F2F49" w:rsidP="009C6742">
            <w:pPr>
              <w:spacing w:before="20" w:after="40" w:line="240" w:lineRule="auto"/>
              <w:jc w:val="center"/>
              <w:rPr>
                <w:rFonts w:eastAsia="Malgun Gothic"/>
                <w:bCs/>
                <w:sz w:val="20"/>
              </w:rPr>
            </w:pPr>
          </w:p>
        </w:tc>
      </w:tr>
      <w:tr w:rsidR="008F2F49" w:rsidRPr="00A52AB8" w14:paraId="7D744C3D" w14:textId="77777777" w:rsidTr="004A0BDE">
        <w:trPr>
          <w:cantSplit/>
          <w:jc w:val="center"/>
        </w:trPr>
        <w:tc>
          <w:tcPr>
            <w:tcW w:w="8404" w:type="dxa"/>
          </w:tcPr>
          <w:p w14:paraId="6FA37B44" w14:textId="77777777" w:rsidR="008F2F49" w:rsidRPr="00A52AB8" w:rsidRDefault="008F2F49" w:rsidP="009C6742">
            <w:pPr>
              <w:spacing w:before="20" w:after="40" w:line="240" w:lineRule="auto"/>
              <w:rPr>
                <w:rFonts w:eastAsia="Malgun Gothic"/>
                <w:sz w:val="20"/>
              </w:rPr>
            </w:pPr>
            <w:r w:rsidRPr="00A52AB8">
              <w:rPr>
                <w:rFonts w:eastAsia="Malgun Gothic"/>
                <w:sz w:val="20"/>
              </w:rPr>
              <w:tab/>
            </w:r>
            <w:r w:rsidRPr="00A52AB8">
              <w:rPr>
                <w:rFonts w:eastAsia="Malgun Gothic"/>
                <w:sz w:val="20"/>
              </w:rPr>
              <w:tab/>
            </w:r>
            <w:r w:rsidRPr="00A52AB8">
              <w:rPr>
                <w:rFonts w:eastAsia="Malgun Gothic"/>
                <w:sz w:val="20"/>
              </w:rPr>
              <w:tab/>
              <w:t>viewport_camera_parameters( payloadSize )</w:t>
            </w:r>
          </w:p>
        </w:tc>
        <w:tc>
          <w:tcPr>
            <w:tcW w:w="1338" w:type="dxa"/>
          </w:tcPr>
          <w:p w14:paraId="6DBCC23B" w14:textId="77777777" w:rsidR="008F2F49" w:rsidRPr="00A52AB8" w:rsidRDefault="008F2F49" w:rsidP="009C6742">
            <w:pPr>
              <w:spacing w:before="20" w:after="40" w:line="240" w:lineRule="auto"/>
              <w:jc w:val="center"/>
              <w:rPr>
                <w:rFonts w:eastAsia="Malgun Gothic"/>
                <w:bCs/>
                <w:sz w:val="20"/>
              </w:rPr>
            </w:pPr>
          </w:p>
        </w:tc>
      </w:tr>
      <w:tr w:rsidR="008F2F49" w:rsidRPr="00A52AB8" w14:paraId="1765E706" w14:textId="77777777" w:rsidTr="004A0BDE">
        <w:trPr>
          <w:cantSplit/>
          <w:jc w:val="center"/>
        </w:trPr>
        <w:tc>
          <w:tcPr>
            <w:tcW w:w="8404" w:type="dxa"/>
          </w:tcPr>
          <w:p w14:paraId="719DB545" w14:textId="4B0F4A36" w:rsidR="008F2F49" w:rsidRPr="00A52AB8" w:rsidRDefault="008F2F49" w:rsidP="009C6742">
            <w:pPr>
              <w:spacing w:before="20" w:after="40" w:line="240" w:lineRule="auto"/>
              <w:rPr>
                <w:rFonts w:eastAsia="Malgun Gothic"/>
                <w:sz w:val="20"/>
              </w:rPr>
            </w:pPr>
            <w:r w:rsidRPr="00A52AB8">
              <w:rPr>
                <w:rFonts w:eastAsia="Malgun Gothic"/>
                <w:sz w:val="20"/>
              </w:rPr>
              <w:tab/>
            </w:r>
            <w:r w:rsidRPr="00A52AB8">
              <w:rPr>
                <w:rFonts w:eastAsia="Malgun Gothic"/>
                <w:sz w:val="20"/>
              </w:rPr>
              <w:tab/>
              <w:t>else if( payloadType</w:t>
            </w:r>
            <w:r w:rsidR="008768E9" w:rsidRPr="00A52AB8">
              <w:rPr>
                <w:rFonts w:eastAsia="Malgun Gothic"/>
                <w:sz w:val="20"/>
              </w:rPr>
              <w:t> </w:t>
            </w:r>
            <w:r w:rsidR="00726AAE" w:rsidRPr="00A52AB8">
              <w:rPr>
                <w:rFonts w:eastAsia="Malgun Gothic"/>
                <w:sz w:val="20"/>
              </w:rPr>
              <w:t>==</w:t>
            </w:r>
            <w:r w:rsidR="00D47707" w:rsidRPr="00A52AB8">
              <w:rPr>
                <w:rFonts w:eastAsia="Malgun Gothic"/>
                <w:sz w:val="20"/>
              </w:rPr>
              <w:t> </w:t>
            </w:r>
            <w:r w:rsidR="00935078" w:rsidRPr="00A52AB8">
              <w:rPr>
                <w:rFonts w:eastAsia="Malgun Gothic"/>
                <w:sz w:val="20"/>
              </w:rPr>
              <w:t>18</w:t>
            </w:r>
            <w:r w:rsidRPr="00A52AB8">
              <w:rPr>
                <w:rFonts w:eastAsia="Malgun Gothic"/>
                <w:sz w:val="20"/>
              </w:rPr>
              <w:t> )</w:t>
            </w:r>
          </w:p>
        </w:tc>
        <w:tc>
          <w:tcPr>
            <w:tcW w:w="1338" w:type="dxa"/>
          </w:tcPr>
          <w:p w14:paraId="4A4014AC" w14:textId="77777777" w:rsidR="008F2F49" w:rsidRPr="00A52AB8" w:rsidRDefault="008F2F49" w:rsidP="009C6742">
            <w:pPr>
              <w:spacing w:before="20" w:after="40" w:line="240" w:lineRule="auto"/>
              <w:jc w:val="center"/>
              <w:rPr>
                <w:rFonts w:eastAsia="Malgun Gothic"/>
                <w:bCs/>
                <w:sz w:val="20"/>
              </w:rPr>
            </w:pPr>
          </w:p>
        </w:tc>
      </w:tr>
      <w:tr w:rsidR="008F2F49" w:rsidRPr="00A52AB8" w14:paraId="70AFD085" w14:textId="77777777" w:rsidTr="004A0BDE">
        <w:trPr>
          <w:cantSplit/>
          <w:jc w:val="center"/>
        </w:trPr>
        <w:tc>
          <w:tcPr>
            <w:tcW w:w="8404" w:type="dxa"/>
          </w:tcPr>
          <w:p w14:paraId="3B5C912B" w14:textId="35B2F796" w:rsidR="008F2F49" w:rsidRPr="00A52AB8" w:rsidRDefault="008F2F49" w:rsidP="009C6742">
            <w:pPr>
              <w:spacing w:before="20" w:after="40" w:line="240" w:lineRule="auto"/>
              <w:rPr>
                <w:rFonts w:eastAsia="Malgun Gothic"/>
                <w:sz w:val="20"/>
              </w:rPr>
            </w:pPr>
            <w:r w:rsidRPr="00A52AB8">
              <w:rPr>
                <w:rFonts w:eastAsia="Malgun Gothic"/>
                <w:sz w:val="20"/>
              </w:rPr>
              <w:tab/>
            </w:r>
            <w:r w:rsidRPr="00A52AB8">
              <w:rPr>
                <w:rFonts w:eastAsia="Malgun Gothic"/>
                <w:sz w:val="20"/>
              </w:rPr>
              <w:tab/>
            </w:r>
            <w:r w:rsidRPr="00A52AB8">
              <w:rPr>
                <w:rFonts w:eastAsia="Malgun Gothic"/>
                <w:sz w:val="20"/>
              </w:rPr>
              <w:tab/>
              <w:t>viewport_position( payloadSize )</w:t>
            </w:r>
          </w:p>
        </w:tc>
        <w:tc>
          <w:tcPr>
            <w:tcW w:w="1338" w:type="dxa"/>
          </w:tcPr>
          <w:p w14:paraId="6939FD1A" w14:textId="77777777" w:rsidR="008F2F49" w:rsidRPr="00A52AB8" w:rsidRDefault="008F2F49" w:rsidP="009C6742">
            <w:pPr>
              <w:spacing w:before="20" w:after="40" w:line="240" w:lineRule="auto"/>
              <w:jc w:val="center"/>
              <w:rPr>
                <w:rFonts w:eastAsia="Malgun Gothic"/>
                <w:bCs/>
                <w:sz w:val="20"/>
              </w:rPr>
            </w:pPr>
          </w:p>
        </w:tc>
      </w:tr>
      <w:tr w:rsidR="007B51C1" w:rsidRPr="00A52AB8" w14:paraId="182DED0B" w14:textId="77777777" w:rsidTr="00C50E43">
        <w:trPr>
          <w:cantSplit/>
          <w:jc w:val="center"/>
        </w:trPr>
        <w:tc>
          <w:tcPr>
            <w:tcW w:w="8404" w:type="dxa"/>
          </w:tcPr>
          <w:p w14:paraId="6DE126F0" w14:textId="6BD3AB20" w:rsidR="007B51C1" w:rsidRPr="00A52AB8" w:rsidRDefault="007B51C1" w:rsidP="009C6742">
            <w:pPr>
              <w:spacing w:before="20" w:after="40" w:line="240" w:lineRule="auto"/>
              <w:rPr>
                <w:rFonts w:eastAsia="Malgun Gothic"/>
                <w:sz w:val="20"/>
              </w:rPr>
            </w:pPr>
            <w:r>
              <w:rPr>
                <w:rFonts w:eastAsia="Malgun Gothic"/>
                <w:sz w:val="20"/>
              </w:rPr>
              <w:tab/>
            </w:r>
            <w:r>
              <w:rPr>
                <w:rFonts w:eastAsia="Malgun Gothic"/>
                <w:sz w:val="20"/>
              </w:rPr>
              <w:tab/>
              <w:t>else if( payloadType == 19 )</w:t>
            </w:r>
          </w:p>
        </w:tc>
        <w:tc>
          <w:tcPr>
            <w:tcW w:w="1338" w:type="dxa"/>
          </w:tcPr>
          <w:p w14:paraId="719FBD4B" w14:textId="77777777" w:rsidR="007B51C1" w:rsidRPr="00A52AB8" w:rsidRDefault="007B51C1" w:rsidP="009C6742">
            <w:pPr>
              <w:spacing w:before="20" w:after="40" w:line="240" w:lineRule="auto"/>
              <w:jc w:val="center"/>
              <w:rPr>
                <w:rFonts w:eastAsia="Malgun Gothic"/>
                <w:bCs/>
                <w:sz w:val="20"/>
              </w:rPr>
            </w:pPr>
          </w:p>
        </w:tc>
      </w:tr>
      <w:tr w:rsidR="007B51C1" w:rsidRPr="00A52AB8" w14:paraId="10678F95" w14:textId="77777777" w:rsidTr="00C50E43">
        <w:trPr>
          <w:cantSplit/>
          <w:jc w:val="center"/>
        </w:trPr>
        <w:tc>
          <w:tcPr>
            <w:tcW w:w="8404" w:type="dxa"/>
          </w:tcPr>
          <w:p w14:paraId="34EB9025" w14:textId="6B90BA6E" w:rsidR="007B51C1" w:rsidRPr="00A52AB8" w:rsidRDefault="007B51C1" w:rsidP="009C6742">
            <w:pPr>
              <w:spacing w:before="20" w:after="40" w:line="240" w:lineRule="auto"/>
              <w:rPr>
                <w:rFonts w:eastAsia="Malgun Gothic"/>
                <w:sz w:val="20"/>
              </w:rPr>
            </w:pPr>
            <w:r>
              <w:rPr>
                <w:rFonts w:eastAsia="Malgun Gothic"/>
                <w:sz w:val="20"/>
              </w:rPr>
              <w:tab/>
            </w:r>
            <w:r>
              <w:rPr>
                <w:rFonts w:eastAsia="Malgun Gothic"/>
                <w:sz w:val="20"/>
              </w:rPr>
              <w:tab/>
            </w:r>
            <w:r>
              <w:rPr>
                <w:rFonts w:eastAsia="Malgun Gothic"/>
                <w:sz w:val="20"/>
              </w:rPr>
              <w:tab/>
              <w:t>packed_independent_regions( payloadSize )</w:t>
            </w:r>
          </w:p>
        </w:tc>
        <w:tc>
          <w:tcPr>
            <w:tcW w:w="1338" w:type="dxa"/>
          </w:tcPr>
          <w:p w14:paraId="4C05AA6A" w14:textId="77777777" w:rsidR="007B51C1" w:rsidRPr="00A52AB8" w:rsidRDefault="007B51C1" w:rsidP="009C6742">
            <w:pPr>
              <w:spacing w:before="20" w:after="40" w:line="240" w:lineRule="auto"/>
              <w:jc w:val="center"/>
              <w:rPr>
                <w:rFonts w:eastAsia="Malgun Gothic"/>
                <w:bCs/>
                <w:sz w:val="20"/>
              </w:rPr>
            </w:pPr>
          </w:p>
        </w:tc>
      </w:tr>
      <w:tr w:rsidR="00146982" w:rsidRPr="00A52AB8" w14:paraId="25DB3C87" w14:textId="77777777" w:rsidTr="00C50E43">
        <w:trPr>
          <w:cantSplit/>
          <w:jc w:val="center"/>
        </w:trPr>
        <w:tc>
          <w:tcPr>
            <w:tcW w:w="8404" w:type="dxa"/>
          </w:tcPr>
          <w:p w14:paraId="6FE2EDA0" w14:textId="79ECBAA6" w:rsidR="00146982" w:rsidRPr="00A52AB8" w:rsidRDefault="00146982" w:rsidP="009C6742">
            <w:pPr>
              <w:spacing w:before="20" w:after="40" w:line="240" w:lineRule="auto"/>
              <w:rPr>
                <w:rFonts w:eastAsia="Malgun Gothic"/>
                <w:sz w:val="20"/>
              </w:rPr>
            </w:pPr>
            <w:r w:rsidRPr="00A52AB8">
              <w:rPr>
                <w:rFonts w:eastAsia="Malgun Gothic"/>
                <w:sz w:val="20"/>
              </w:rPr>
              <w:tab/>
            </w:r>
            <w:r w:rsidRPr="00A52AB8">
              <w:rPr>
                <w:rFonts w:eastAsia="Malgun Gothic"/>
                <w:sz w:val="20"/>
              </w:rPr>
              <w:tab/>
              <w:t>else if( payloadType</w:t>
            </w:r>
            <w:r w:rsidR="008768E9" w:rsidRPr="00A52AB8">
              <w:rPr>
                <w:rFonts w:eastAsia="Malgun Gothic"/>
                <w:sz w:val="20"/>
              </w:rPr>
              <w:t> </w:t>
            </w:r>
            <w:r w:rsidR="00726AAE" w:rsidRPr="00A52AB8">
              <w:rPr>
                <w:rFonts w:eastAsia="Malgun Gothic"/>
                <w:sz w:val="20"/>
              </w:rPr>
              <w:t>==</w:t>
            </w:r>
            <w:r w:rsidR="00D47707" w:rsidRPr="00A52AB8">
              <w:rPr>
                <w:rFonts w:eastAsia="Malgun Gothic"/>
                <w:sz w:val="20"/>
              </w:rPr>
              <w:t> </w:t>
            </w:r>
            <w:r w:rsidRPr="00A52AB8">
              <w:rPr>
                <w:rFonts w:eastAsia="Malgun Gothic"/>
                <w:sz w:val="20"/>
              </w:rPr>
              <w:t>6</w:t>
            </w:r>
            <w:r w:rsidR="00025B44" w:rsidRPr="00A52AB8">
              <w:rPr>
                <w:rFonts w:eastAsia="Malgun Gothic"/>
                <w:sz w:val="20"/>
              </w:rPr>
              <w:t>4</w:t>
            </w:r>
            <w:r w:rsidRPr="00A52AB8">
              <w:rPr>
                <w:rFonts w:eastAsia="Malgun Gothic"/>
                <w:sz w:val="20"/>
              </w:rPr>
              <w:t> )</w:t>
            </w:r>
          </w:p>
        </w:tc>
        <w:tc>
          <w:tcPr>
            <w:tcW w:w="1338" w:type="dxa"/>
          </w:tcPr>
          <w:p w14:paraId="6FC2F91A" w14:textId="77777777" w:rsidR="00146982" w:rsidRPr="00A52AB8" w:rsidRDefault="00146982" w:rsidP="009C6742">
            <w:pPr>
              <w:spacing w:before="20" w:after="40" w:line="240" w:lineRule="auto"/>
              <w:jc w:val="center"/>
              <w:rPr>
                <w:rFonts w:eastAsia="Malgun Gothic"/>
                <w:bCs/>
                <w:sz w:val="20"/>
              </w:rPr>
            </w:pPr>
          </w:p>
        </w:tc>
      </w:tr>
      <w:tr w:rsidR="00146982" w:rsidRPr="00A52AB8" w14:paraId="318A2939" w14:textId="77777777" w:rsidTr="00C50E43">
        <w:trPr>
          <w:cantSplit/>
          <w:jc w:val="center"/>
        </w:trPr>
        <w:tc>
          <w:tcPr>
            <w:tcW w:w="8404" w:type="dxa"/>
          </w:tcPr>
          <w:p w14:paraId="66ADD80A" w14:textId="50ED7D68" w:rsidR="00146982" w:rsidRPr="00A52AB8" w:rsidRDefault="00146982" w:rsidP="009C6742">
            <w:pPr>
              <w:spacing w:before="20" w:after="40" w:line="240" w:lineRule="auto"/>
              <w:rPr>
                <w:rFonts w:eastAsia="Malgun Gothic"/>
                <w:sz w:val="20"/>
              </w:rPr>
            </w:pPr>
            <w:r w:rsidRPr="00A52AB8">
              <w:rPr>
                <w:rFonts w:eastAsia="Malgun Gothic"/>
                <w:sz w:val="20"/>
              </w:rPr>
              <w:tab/>
            </w:r>
            <w:r w:rsidRPr="00A52AB8">
              <w:rPr>
                <w:rFonts w:eastAsia="Malgun Gothic"/>
                <w:sz w:val="20"/>
              </w:rPr>
              <w:tab/>
            </w:r>
            <w:r w:rsidRPr="00A52AB8">
              <w:rPr>
                <w:rFonts w:eastAsia="Malgun Gothic"/>
                <w:sz w:val="20"/>
              </w:rPr>
              <w:tab/>
            </w:r>
            <w:r w:rsidRPr="00A52AB8">
              <w:rPr>
                <w:bCs/>
                <w:color w:val="000000" w:themeColor="text1"/>
                <w:sz w:val="20"/>
                <w:szCs w:val="20"/>
              </w:rPr>
              <w:t>attribute_transformation_params</w:t>
            </w:r>
            <w:r w:rsidRPr="00A52AB8">
              <w:rPr>
                <w:rFonts w:eastAsia="Malgun Gothic"/>
                <w:sz w:val="20"/>
              </w:rPr>
              <w:t>( payloadSize )</w:t>
            </w:r>
            <w:r w:rsidR="00092EAA" w:rsidRPr="00A52AB8">
              <w:rPr>
                <w:rFonts w:eastAsia="Malgun Gothic"/>
                <w:sz w:val="20"/>
              </w:rPr>
              <w:t xml:space="preserve"> /*</w:t>
            </w:r>
            <w:r w:rsidR="00092EAA" w:rsidRPr="00A52AB8">
              <w:rPr>
                <w:color w:val="000000" w:themeColor="text1"/>
                <w:sz w:val="20"/>
              </w:rPr>
              <w:t xml:space="preserve"> Specified in Annex H</w:t>
            </w:r>
            <w:r w:rsidR="00092EAA" w:rsidRPr="00A52AB8">
              <w:rPr>
                <w:rFonts w:eastAsia="Malgun Gothic"/>
                <w:sz w:val="20"/>
              </w:rPr>
              <w:t xml:space="preserve"> */</w:t>
            </w:r>
          </w:p>
        </w:tc>
        <w:tc>
          <w:tcPr>
            <w:tcW w:w="1338" w:type="dxa"/>
          </w:tcPr>
          <w:p w14:paraId="3645DF09" w14:textId="77777777" w:rsidR="00146982" w:rsidRPr="00A52AB8" w:rsidRDefault="00146982" w:rsidP="009C6742">
            <w:pPr>
              <w:spacing w:before="20" w:after="40" w:line="240" w:lineRule="auto"/>
              <w:jc w:val="center"/>
              <w:rPr>
                <w:rFonts w:eastAsia="Malgun Gothic"/>
                <w:bCs/>
                <w:sz w:val="20"/>
              </w:rPr>
            </w:pPr>
          </w:p>
        </w:tc>
      </w:tr>
      <w:tr w:rsidR="00616513" w:rsidRPr="00A52AB8" w14:paraId="5056A9C8" w14:textId="77777777" w:rsidTr="004A0BDE">
        <w:trPr>
          <w:cantSplit/>
          <w:jc w:val="center"/>
        </w:trPr>
        <w:tc>
          <w:tcPr>
            <w:tcW w:w="8404" w:type="dxa"/>
          </w:tcPr>
          <w:p w14:paraId="23DF64BF" w14:textId="5E300CF0" w:rsidR="00616513" w:rsidRPr="00A52AB8" w:rsidRDefault="00616513" w:rsidP="009C6742">
            <w:pPr>
              <w:spacing w:before="20" w:after="40" w:line="240" w:lineRule="auto"/>
              <w:rPr>
                <w:rFonts w:eastAsia="Malgun Gothic"/>
                <w:sz w:val="20"/>
              </w:rPr>
            </w:pPr>
            <w:r w:rsidRPr="00A52AB8">
              <w:rPr>
                <w:rFonts w:eastAsia="Malgun Gothic"/>
                <w:sz w:val="20"/>
              </w:rPr>
              <w:tab/>
            </w:r>
            <w:r w:rsidRPr="00A52AB8">
              <w:rPr>
                <w:rFonts w:eastAsia="Malgun Gothic"/>
                <w:sz w:val="20"/>
              </w:rPr>
              <w:tab/>
              <w:t>else if( payloadType</w:t>
            </w:r>
            <w:r w:rsidR="008768E9" w:rsidRPr="00A52AB8">
              <w:rPr>
                <w:rFonts w:eastAsia="Malgun Gothic"/>
                <w:sz w:val="20"/>
              </w:rPr>
              <w:t> </w:t>
            </w:r>
            <w:r w:rsidR="00726AAE" w:rsidRPr="00A52AB8">
              <w:rPr>
                <w:rFonts w:eastAsia="Malgun Gothic"/>
                <w:sz w:val="20"/>
              </w:rPr>
              <w:t>==</w:t>
            </w:r>
            <w:r w:rsidR="00D47707" w:rsidRPr="00A52AB8">
              <w:rPr>
                <w:rFonts w:eastAsia="Malgun Gothic"/>
                <w:sz w:val="20"/>
              </w:rPr>
              <w:t> </w:t>
            </w:r>
            <w:r w:rsidRPr="00A52AB8">
              <w:rPr>
                <w:rFonts w:eastAsia="Malgun Gothic"/>
                <w:sz w:val="20"/>
              </w:rPr>
              <w:t>6</w:t>
            </w:r>
            <w:r w:rsidR="00025B44" w:rsidRPr="00A52AB8">
              <w:rPr>
                <w:rFonts w:eastAsia="Malgun Gothic"/>
                <w:sz w:val="20"/>
              </w:rPr>
              <w:t>5</w:t>
            </w:r>
            <w:r w:rsidRPr="00A52AB8">
              <w:rPr>
                <w:rFonts w:eastAsia="Malgun Gothic"/>
                <w:sz w:val="20"/>
              </w:rPr>
              <w:t> )</w:t>
            </w:r>
          </w:p>
        </w:tc>
        <w:tc>
          <w:tcPr>
            <w:tcW w:w="1338" w:type="dxa"/>
          </w:tcPr>
          <w:p w14:paraId="4C28B28D" w14:textId="77777777" w:rsidR="00616513" w:rsidRPr="00A52AB8" w:rsidRDefault="00616513" w:rsidP="009C6742">
            <w:pPr>
              <w:spacing w:before="20" w:after="40" w:line="240" w:lineRule="auto"/>
              <w:jc w:val="center"/>
              <w:rPr>
                <w:rFonts w:eastAsia="Malgun Gothic"/>
                <w:bCs/>
                <w:sz w:val="20"/>
              </w:rPr>
            </w:pPr>
          </w:p>
        </w:tc>
      </w:tr>
      <w:tr w:rsidR="00616513" w:rsidRPr="00A52AB8" w14:paraId="34CAB1B0" w14:textId="77777777" w:rsidTr="004A0BDE">
        <w:trPr>
          <w:cantSplit/>
          <w:jc w:val="center"/>
        </w:trPr>
        <w:tc>
          <w:tcPr>
            <w:tcW w:w="8404" w:type="dxa"/>
          </w:tcPr>
          <w:p w14:paraId="27BC4057" w14:textId="77777777" w:rsidR="00616513" w:rsidRPr="00A52AB8" w:rsidRDefault="00616513" w:rsidP="009C6742">
            <w:pPr>
              <w:spacing w:before="20" w:after="40" w:line="240" w:lineRule="auto"/>
              <w:rPr>
                <w:rFonts w:eastAsia="Malgun Gothic"/>
                <w:sz w:val="20"/>
              </w:rPr>
            </w:pPr>
            <w:r w:rsidRPr="00A52AB8">
              <w:rPr>
                <w:rFonts w:eastAsia="Malgun Gothic"/>
                <w:sz w:val="20"/>
              </w:rPr>
              <w:tab/>
            </w:r>
            <w:r w:rsidRPr="00A52AB8">
              <w:rPr>
                <w:rFonts w:eastAsia="Malgun Gothic"/>
                <w:sz w:val="20"/>
              </w:rPr>
              <w:tab/>
            </w:r>
            <w:r w:rsidRPr="00A52AB8">
              <w:rPr>
                <w:rFonts w:eastAsia="Malgun Gothic"/>
                <w:sz w:val="20"/>
              </w:rPr>
              <w:tab/>
              <w:t>occupancy_synthesis( payloadSize ) /*</w:t>
            </w:r>
            <w:r w:rsidRPr="00A52AB8">
              <w:rPr>
                <w:color w:val="000000" w:themeColor="text1"/>
                <w:sz w:val="20"/>
              </w:rPr>
              <w:t xml:space="preserve"> Specified in Annex H</w:t>
            </w:r>
            <w:r w:rsidRPr="00A52AB8">
              <w:rPr>
                <w:rFonts w:eastAsia="Malgun Gothic"/>
                <w:sz w:val="20"/>
              </w:rPr>
              <w:t xml:space="preserve"> */</w:t>
            </w:r>
          </w:p>
        </w:tc>
        <w:tc>
          <w:tcPr>
            <w:tcW w:w="1338" w:type="dxa"/>
          </w:tcPr>
          <w:p w14:paraId="7BFD058B" w14:textId="77777777" w:rsidR="00616513" w:rsidRPr="00A52AB8" w:rsidRDefault="00616513" w:rsidP="009C6742">
            <w:pPr>
              <w:spacing w:before="20" w:after="40" w:line="240" w:lineRule="auto"/>
              <w:jc w:val="center"/>
              <w:rPr>
                <w:rFonts w:eastAsia="Malgun Gothic"/>
                <w:bCs/>
                <w:sz w:val="20"/>
              </w:rPr>
            </w:pPr>
          </w:p>
        </w:tc>
      </w:tr>
      <w:tr w:rsidR="008F2F49" w:rsidRPr="00A52AB8" w14:paraId="2417DA6E" w14:textId="77777777" w:rsidTr="004A0BDE">
        <w:trPr>
          <w:cantSplit/>
          <w:jc w:val="center"/>
        </w:trPr>
        <w:tc>
          <w:tcPr>
            <w:tcW w:w="8404" w:type="dxa"/>
          </w:tcPr>
          <w:p w14:paraId="5F0F8115" w14:textId="1F8427C1" w:rsidR="008F2F49" w:rsidRPr="00A52AB8" w:rsidRDefault="008F2F49" w:rsidP="009C6742">
            <w:pPr>
              <w:spacing w:before="20" w:after="40" w:line="240" w:lineRule="auto"/>
              <w:rPr>
                <w:rFonts w:eastAsia="Malgun Gothic"/>
                <w:sz w:val="20"/>
              </w:rPr>
            </w:pPr>
            <w:r w:rsidRPr="00A52AB8">
              <w:rPr>
                <w:rFonts w:eastAsia="Malgun Gothic"/>
                <w:sz w:val="20"/>
              </w:rPr>
              <w:tab/>
            </w:r>
            <w:r w:rsidRPr="00A52AB8">
              <w:rPr>
                <w:rFonts w:eastAsia="Malgun Gothic"/>
                <w:sz w:val="20"/>
              </w:rPr>
              <w:tab/>
              <w:t>else if( payloadType</w:t>
            </w:r>
            <w:r w:rsidR="008768E9" w:rsidRPr="00A52AB8">
              <w:rPr>
                <w:rFonts w:eastAsia="Malgun Gothic"/>
                <w:sz w:val="20"/>
              </w:rPr>
              <w:t> </w:t>
            </w:r>
            <w:r w:rsidR="00726AAE" w:rsidRPr="00A52AB8">
              <w:rPr>
                <w:rFonts w:eastAsia="Malgun Gothic"/>
                <w:sz w:val="20"/>
              </w:rPr>
              <w:t>==</w:t>
            </w:r>
            <w:r w:rsidR="00D47707" w:rsidRPr="00A52AB8">
              <w:rPr>
                <w:rFonts w:eastAsia="Malgun Gothic"/>
                <w:sz w:val="20"/>
              </w:rPr>
              <w:t> </w:t>
            </w:r>
            <w:r w:rsidRPr="00A52AB8">
              <w:rPr>
                <w:rFonts w:eastAsia="Malgun Gothic"/>
                <w:sz w:val="20"/>
              </w:rPr>
              <w:t>6</w:t>
            </w:r>
            <w:r w:rsidR="00025B44" w:rsidRPr="00A52AB8">
              <w:rPr>
                <w:rFonts w:eastAsia="Malgun Gothic"/>
                <w:sz w:val="20"/>
              </w:rPr>
              <w:t>6</w:t>
            </w:r>
            <w:r w:rsidRPr="00A52AB8">
              <w:rPr>
                <w:rFonts w:eastAsia="Malgun Gothic"/>
                <w:sz w:val="20"/>
              </w:rPr>
              <w:t> )</w:t>
            </w:r>
          </w:p>
        </w:tc>
        <w:tc>
          <w:tcPr>
            <w:tcW w:w="1338" w:type="dxa"/>
          </w:tcPr>
          <w:p w14:paraId="70D7DBCA" w14:textId="77777777" w:rsidR="008F2F49" w:rsidRPr="00A52AB8" w:rsidRDefault="008F2F49" w:rsidP="009C6742">
            <w:pPr>
              <w:spacing w:before="20" w:after="40" w:line="240" w:lineRule="auto"/>
              <w:jc w:val="center"/>
              <w:rPr>
                <w:rFonts w:eastAsia="Malgun Gothic"/>
                <w:bCs/>
                <w:sz w:val="20"/>
              </w:rPr>
            </w:pPr>
          </w:p>
        </w:tc>
      </w:tr>
      <w:tr w:rsidR="008F2F49" w:rsidRPr="00A52AB8" w14:paraId="57E26C3C" w14:textId="77777777" w:rsidTr="004A0BDE">
        <w:trPr>
          <w:cantSplit/>
          <w:jc w:val="center"/>
        </w:trPr>
        <w:tc>
          <w:tcPr>
            <w:tcW w:w="8404" w:type="dxa"/>
          </w:tcPr>
          <w:p w14:paraId="42238627" w14:textId="77777777" w:rsidR="008F2F49" w:rsidRPr="00A52AB8" w:rsidRDefault="008F2F49" w:rsidP="009C6742">
            <w:pPr>
              <w:spacing w:before="20" w:after="40" w:line="240" w:lineRule="auto"/>
              <w:rPr>
                <w:rFonts w:eastAsia="Malgun Gothic"/>
                <w:sz w:val="20"/>
              </w:rPr>
            </w:pPr>
            <w:r w:rsidRPr="00A52AB8">
              <w:rPr>
                <w:rFonts w:eastAsia="Malgun Gothic"/>
                <w:sz w:val="20"/>
              </w:rPr>
              <w:tab/>
            </w:r>
            <w:r w:rsidRPr="00A52AB8">
              <w:rPr>
                <w:rFonts w:eastAsia="Malgun Gothic"/>
                <w:sz w:val="20"/>
              </w:rPr>
              <w:tab/>
            </w:r>
            <w:r w:rsidRPr="00A52AB8">
              <w:rPr>
                <w:rFonts w:eastAsia="Malgun Gothic"/>
                <w:sz w:val="20"/>
              </w:rPr>
              <w:tab/>
              <w:t>geometry_s</w:t>
            </w:r>
            <w:r w:rsidRPr="00A52AB8">
              <w:rPr>
                <w:bCs/>
                <w:color w:val="000000" w:themeColor="text1"/>
                <w:sz w:val="20"/>
                <w:szCs w:val="20"/>
              </w:rPr>
              <w:t>moothing</w:t>
            </w:r>
            <w:r w:rsidRPr="00A52AB8">
              <w:rPr>
                <w:rFonts w:eastAsia="Malgun Gothic"/>
                <w:sz w:val="20"/>
              </w:rPr>
              <w:t>( payloadSize ) /*</w:t>
            </w:r>
            <w:r w:rsidRPr="00A52AB8">
              <w:rPr>
                <w:color w:val="000000" w:themeColor="text1"/>
                <w:sz w:val="20"/>
              </w:rPr>
              <w:t xml:space="preserve"> Specified in Annex H</w:t>
            </w:r>
            <w:r w:rsidRPr="00A52AB8">
              <w:rPr>
                <w:rFonts w:eastAsia="Malgun Gothic"/>
                <w:sz w:val="20"/>
              </w:rPr>
              <w:t xml:space="preserve"> */</w:t>
            </w:r>
          </w:p>
        </w:tc>
        <w:tc>
          <w:tcPr>
            <w:tcW w:w="1338" w:type="dxa"/>
          </w:tcPr>
          <w:p w14:paraId="67DE57FD" w14:textId="77777777" w:rsidR="008F2F49" w:rsidRPr="00A52AB8" w:rsidRDefault="008F2F49" w:rsidP="009C6742">
            <w:pPr>
              <w:spacing w:before="20" w:after="40" w:line="240" w:lineRule="auto"/>
              <w:jc w:val="center"/>
              <w:rPr>
                <w:rFonts w:eastAsia="Malgun Gothic"/>
                <w:bCs/>
                <w:sz w:val="20"/>
              </w:rPr>
            </w:pPr>
          </w:p>
        </w:tc>
      </w:tr>
      <w:tr w:rsidR="008F2F49" w:rsidRPr="00A52AB8" w14:paraId="518779D9" w14:textId="77777777" w:rsidTr="004A0BDE">
        <w:trPr>
          <w:cantSplit/>
          <w:jc w:val="center"/>
        </w:trPr>
        <w:tc>
          <w:tcPr>
            <w:tcW w:w="8404" w:type="dxa"/>
          </w:tcPr>
          <w:p w14:paraId="245F2625" w14:textId="12AB6F07" w:rsidR="008F2F49" w:rsidRPr="00A52AB8" w:rsidRDefault="008F2F49" w:rsidP="009C6742">
            <w:pPr>
              <w:spacing w:before="20" w:after="40" w:line="240" w:lineRule="auto"/>
              <w:rPr>
                <w:rFonts w:eastAsia="Malgun Gothic"/>
                <w:sz w:val="20"/>
              </w:rPr>
            </w:pPr>
            <w:r w:rsidRPr="00A52AB8">
              <w:rPr>
                <w:rFonts w:eastAsia="Malgun Gothic"/>
                <w:sz w:val="20"/>
              </w:rPr>
              <w:tab/>
            </w:r>
            <w:r w:rsidRPr="00A52AB8">
              <w:rPr>
                <w:rFonts w:eastAsia="Malgun Gothic"/>
                <w:sz w:val="20"/>
              </w:rPr>
              <w:tab/>
              <w:t>else if( payloadType</w:t>
            </w:r>
            <w:r w:rsidR="008768E9" w:rsidRPr="00A52AB8">
              <w:rPr>
                <w:rFonts w:eastAsia="Malgun Gothic"/>
                <w:sz w:val="20"/>
              </w:rPr>
              <w:t> </w:t>
            </w:r>
            <w:r w:rsidR="00726AAE" w:rsidRPr="00A52AB8">
              <w:rPr>
                <w:rFonts w:eastAsia="Malgun Gothic"/>
                <w:sz w:val="20"/>
              </w:rPr>
              <w:t>==</w:t>
            </w:r>
            <w:r w:rsidR="00D47707" w:rsidRPr="00A52AB8">
              <w:rPr>
                <w:rFonts w:eastAsia="Malgun Gothic"/>
                <w:sz w:val="20"/>
              </w:rPr>
              <w:t> </w:t>
            </w:r>
            <w:r w:rsidRPr="00A52AB8">
              <w:rPr>
                <w:rFonts w:eastAsia="Malgun Gothic"/>
                <w:sz w:val="20"/>
              </w:rPr>
              <w:t>6</w:t>
            </w:r>
            <w:r w:rsidR="00025B44" w:rsidRPr="00A52AB8">
              <w:rPr>
                <w:rFonts w:eastAsia="Malgun Gothic"/>
                <w:sz w:val="20"/>
              </w:rPr>
              <w:t>7</w:t>
            </w:r>
            <w:r w:rsidRPr="00A52AB8">
              <w:rPr>
                <w:rFonts w:eastAsia="Malgun Gothic"/>
                <w:sz w:val="20"/>
              </w:rPr>
              <w:t> )</w:t>
            </w:r>
          </w:p>
        </w:tc>
        <w:tc>
          <w:tcPr>
            <w:tcW w:w="1338" w:type="dxa"/>
          </w:tcPr>
          <w:p w14:paraId="714725F1" w14:textId="77777777" w:rsidR="008F2F49" w:rsidRPr="00A52AB8" w:rsidRDefault="008F2F49" w:rsidP="009C6742">
            <w:pPr>
              <w:spacing w:before="20" w:after="40" w:line="240" w:lineRule="auto"/>
              <w:jc w:val="center"/>
              <w:rPr>
                <w:rFonts w:eastAsia="Malgun Gothic"/>
                <w:bCs/>
                <w:sz w:val="20"/>
              </w:rPr>
            </w:pPr>
          </w:p>
        </w:tc>
      </w:tr>
      <w:tr w:rsidR="008F2F49" w:rsidRPr="00A52AB8" w14:paraId="724164CC" w14:textId="77777777" w:rsidTr="004A0BDE">
        <w:trPr>
          <w:cantSplit/>
          <w:jc w:val="center"/>
        </w:trPr>
        <w:tc>
          <w:tcPr>
            <w:tcW w:w="8404" w:type="dxa"/>
          </w:tcPr>
          <w:p w14:paraId="555A57DE" w14:textId="23902CD3" w:rsidR="008F2F49" w:rsidRPr="00A52AB8" w:rsidRDefault="008F2F49" w:rsidP="009C6742">
            <w:pPr>
              <w:spacing w:before="20" w:after="40" w:line="240" w:lineRule="auto"/>
              <w:rPr>
                <w:rFonts w:eastAsia="Malgun Gothic"/>
                <w:sz w:val="20"/>
              </w:rPr>
            </w:pPr>
            <w:r w:rsidRPr="00A52AB8">
              <w:rPr>
                <w:rFonts w:eastAsia="Malgun Gothic"/>
                <w:sz w:val="20"/>
              </w:rPr>
              <w:tab/>
            </w:r>
            <w:r w:rsidRPr="00A52AB8">
              <w:rPr>
                <w:rFonts w:eastAsia="Malgun Gothic"/>
                <w:sz w:val="20"/>
              </w:rPr>
              <w:tab/>
            </w:r>
            <w:r w:rsidRPr="00A52AB8">
              <w:rPr>
                <w:rFonts w:eastAsia="Malgun Gothic"/>
                <w:sz w:val="20"/>
              </w:rPr>
              <w:tab/>
              <w:t>attribute_s</w:t>
            </w:r>
            <w:r w:rsidRPr="00A52AB8">
              <w:rPr>
                <w:bCs/>
                <w:color w:val="000000" w:themeColor="text1"/>
                <w:sz w:val="20"/>
                <w:szCs w:val="20"/>
              </w:rPr>
              <w:t>moothing</w:t>
            </w:r>
            <w:r w:rsidRPr="00A52AB8">
              <w:rPr>
                <w:rFonts w:eastAsia="Malgun Gothic"/>
                <w:sz w:val="20"/>
              </w:rPr>
              <w:t>( payloadSize ) /*</w:t>
            </w:r>
            <w:r w:rsidRPr="00A52AB8">
              <w:rPr>
                <w:color w:val="000000" w:themeColor="text1"/>
                <w:sz w:val="20"/>
              </w:rPr>
              <w:t xml:space="preserve"> Specified in Annex H </w:t>
            </w:r>
            <w:r w:rsidRPr="00A52AB8">
              <w:rPr>
                <w:rFonts w:eastAsia="Malgun Gothic"/>
                <w:sz w:val="20"/>
              </w:rPr>
              <w:t>*/</w:t>
            </w:r>
          </w:p>
        </w:tc>
        <w:tc>
          <w:tcPr>
            <w:tcW w:w="1338" w:type="dxa"/>
          </w:tcPr>
          <w:p w14:paraId="05E9B7EB" w14:textId="77777777" w:rsidR="008F2F49" w:rsidRPr="00A52AB8" w:rsidRDefault="008F2F49" w:rsidP="009C6742">
            <w:pPr>
              <w:spacing w:before="20" w:after="40" w:line="240" w:lineRule="auto"/>
              <w:jc w:val="center"/>
              <w:rPr>
                <w:rFonts w:eastAsia="Malgun Gothic"/>
                <w:bCs/>
                <w:sz w:val="20"/>
              </w:rPr>
            </w:pPr>
          </w:p>
        </w:tc>
      </w:tr>
      <w:tr w:rsidR="0009608D" w:rsidRPr="00A52AB8" w14:paraId="0DE898F9" w14:textId="77777777" w:rsidTr="004A0BDE">
        <w:trPr>
          <w:cantSplit/>
          <w:jc w:val="center"/>
        </w:trPr>
        <w:tc>
          <w:tcPr>
            <w:tcW w:w="8404" w:type="dxa"/>
          </w:tcPr>
          <w:p w14:paraId="1E727C23" w14:textId="321A5694" w:rsidR="0009608D" w:rsidRPr="00A52AB8" w:rsidRDefault="0009608D" w:rsidP="009C6742">
            <w:pPr>
              <w:spacing w:before="20" w:after="40" w:line="240" w:lineRule="auto"/>
              <w:rPr>
                <w:rFonts w:eastAsia="Malgun Gothic"/>
                <w:sz w:val="20"/>
              </w:rPr>
            </w:pPr>
            <w:r>
              <w:rPr>
                <w:rFonts w:eastAsia="Malgun Gothic"/>
                <w:sz w:val="20"/>
              </w:rPr>
              <w:tab/>
            </w:r>
            <w:r>
              <w:rPr>
                <w:rFonts w:eastAsia="Malgun Gothic"/>
                <w:sz w:val="20"/>
              </w:rPr>
              <w:tab/>
              <w:t>else if( payloadType == </w:t>
            </w:r>
            <w:r w:rsidRPr="0009608D">
              <w:rPr>
                <w:rFonts w:eastAsia="Malgun Gothic"/>
                <w:sz w:val="20"/>
              </w:rPr>
              <w:t>128</w:t>
            </w:r>
            <w:r>
              <w:rPr>
                <w:rFonts w:eastAsia="Malgun Gothic"/>
                <w:sz w:val="20"/>
              </w:rPr>
              <w:t> )</w:t>
            </w:r>
          </w:p>
        </w:tc>
        <w:tc>
          <w:tcPr>
            <w:tcW w:w="1338" w:type="dxa"/>
          </w:tcPr>
          <w:p w14:paraId="29110B3B" w14:textId="77777777" w:rsidR="0009608D" w:rsidRPr="00A52AB8" w:rsidRDefault="0009608D" w:rsidP="009C6742">
            <w:pPr>
              <w:spacing w:before="20" w:after="40" w:line="240" w:lineRule="auto"/>
              <w:jc w:val="center"/>
              <w:rPr>
                <w:rFonts w:eastAsia="Malgun Gothic"/>
                <w:bCs/>
                <w:sz w:val="20"/>
              </w:rPr>
            </w:pPr>
          </w:p>
        </w:tc>
      </w:tr>
      <w:tr w:rsidR="0009608D" w:rsidRPr="00A52AB8" w14:paraId="756BEDE7" w14:textId="77777777" w:rsidTr="004A0BDE">
        <w:trPr>
          <w:cantSplit/>
          <w:jc w:val="center"/>
        </w:trPr>
        <w:tc>
          <w:tcPr>
            <w:tcW w:w="8404" w:type="dxa"/>
          </w:tcPr>
          <w:p w14:paraId="2F414753" w14:textId="42E3D77C" w:rsidR="0009608D" w:rsidRPr="00A52AB8" w:rsidRDefault="0009608D" w:rsidP="009C6742">
            <w:pPr>
              <w:spacing w:before="20" w:after="40" w:line="240" w:lineRule="auto"/>
              <w:rPr>
                <w:rFonts w:eastAsia="Malgun Gothic"/>
                <w:sz w:val="20"/>
              </w:rPr>
            </w:pPr>
            <w:r>
              <w:rPr>
                <w:rFonts w:eastAsia="Malgun Gothic"/>
                <w:sz w:val="20"/>
              </w:rPr>
              <w:tab/>
            </w:r>
            <w:r>
              <w:rPr>
                <w:rFonts w:eastAsia="Malgun Gothic"/>
                <w:sz w:val="20"/>
              </w:rPr>
              <w:tab/>
            </w:r>
            <w:r>
              <w:rPr>
                <w:rFonts w:eastAsia="Malgun Gothic"/>
                <w:sz w:val="20"/>
              </w:rPr>
              <w:tab/>
              <w:t>viewing_space( payloadSize ) /* Specified in ISO/IEC 23090-12 */</w:t>
            </w:r>
          </w:p>
        </w:tc>
        <w:tc>
          <w:tcPr>
            <w:tcW w:w="1338" w:type="dxa"/>
          </w:tcPr>
          <w:p w14:paraId="7659FDD6" w14:textId="77777777" w:rsidR="0009608D" w:rsidRPr="00A52AB8" w:rsidRDefault="0009608D" w:rsidP="009C6742">
            <w:pPr>
              <w:spacing w:before="20" w:after="40" w:line="240" w:lineRule="auto"/>
              <w:jc w:val="center"/>
              <w:rPr>
                <w:rFonts w:eastAsia="Malgun Gothic"/>
                <w:bCs/>
                <w:sz w:val="20"/>
              </w:rPr>
            </w:pPr>
          </w:p>
        </w:tc>
      </w:tr>
      <w:tr w:rsidR="0009608D" w:rsidRPr="00A52AB8" w14:paraId="5B36F8CE" w14:textId="77777777" w:rsidTr="004A0BDE">
        <w:trPr>
          <w:cantSplit/>
          <w:jc w:val="center"/>
        </w:trPr>
        <w:tc>
          <w:tcPr>
            <w:tcW w:w="8404" w:type="dxa"/>
          </w:tcPr>
          <w:p w14:paraId="4892BE2A" w14:textId="6EF5E015" w:rsidR="0009608D" w:rsidRPr="00A52AB8" w:rsidRDefault="0009608D" w:rsidP="009C6742">
            <w:pPr>
              <w:spacing w:before="20" w:after="40" w:line="240" w:lineRule="auto"/>
              <w:rPr>
                <w:rFonts w:eastAsia="Malgun Gothic"/>
                <w:sz w:val="20"/>
              </w:rPr>
            </w:pPr>
            <w:r>
              <w:rPr>
                <w:rFonts w:eastAsia="Malgun Gothic"/>
                <w:sz w:val="20"/>
              </w:rPr>
              <w:tab/>
            </w:r>
            <w:r>
              <w:rPr>
                <w:rFonts w:eastAsia="Malgun Gothic"/>
                <w:sz w:val="20"/>
              </w:rPr>
              <w:tab/>
              <w:t>else if( payloadType == 129 )</w:t>
            </w:r>
          </w:p>
        </w:tc>
        <w:tc>
          <w:tcPr>
            <w:tcW w:w="1338" w:type="dxa"/>
          </w:tcPr>
          <w:p w14:paraId="409625DA" w14:textId="77777777" w:rsidR="0009608D" w:rsidRPr="00A52AB8" w:rsidRDefault="0009608D" w:rsidP="009C6742">
            <w:pPr>
              <w:spacing w:before="20" w:after="40" w:line="240" w:lineRule="auto"/>
              <w:jc w:val="center"/>
              <w:rPr>
                <w:rFonts w:eastAsia="Malgun Gothic"/>
                <w:bCs/>
                <w:sz w:val="20"/>
              </w:rPr>
            </w:pPr>
          </w:p>
        </w:tc>
      </w:tr>
      <w:tr w:rsidR="0009608D" w:rsidRPr="00A52AB8" w14:paraId="3DE9A947" w14:textId="77777777" w:rsidTr="004A0BDE">
        <w:trPr>
          <w:cantSplit/>
          <w:jc w:val="center"/>
        </w:trPr>
        <w:tc>
          <w:tcPr>
            <w:tcW w:w="8404" w:type="dxa"/>
          </w:tcPr>
          <w:p w14:paraId="66F3E427" w14:textId="1956FEB7" w:rsidR="0009608D" w:rsidRPr="00A52AB8" w:rsidRDefault="0009608D" w:rsidP="009C6742">
            <w:pPr>
              <w:spacing w:before="20" w:after="40" w:line="240" w:lineRule="auto"/>
              <w:rPr>
                <w:rFonts w:eastAsia="Malgun Gothic"/>
                <w:sz w:val="20"/>
              </w:rPr>
            </w:pPr>
            <w:r>
              <w:rPr>
                <w:rFonts w:eastAsia="Malgun Gothic"/>
                <w:sz w:val="20"/>
              </w:rPr>
              <w:tab/>
            </w:r>
            <w:r>
              <w:rPr>
                <w:rFonts w:eastAsia="Malgun Gothic"/>
                <w:sz w:val="20"/>
              </w:rPr>
              <w:tab/>
            </w:r>
            <w:r>
              <w:rPr>
                <w:rFonts w:eastAsia="Malgun Gothic"/>
                <w:sz w:val="20"/>
              </w:rPr>
              <w:tab/>
              <w:t>viewing_space_handling( payloadSize ) /* Specified in ISO/IEC 2309-12 */</w:t>
            </w:r>
          </w:p>
        </w:tc>
        <w:tc>
          <w:tcPr>
            <w:tcW w:w="1338" w:type="dxa"/>
          </w:tcPr>
          <w:p w14:paraId="3584ACE5" w14:textId="77777777" w:rsidR="0009608D" w:rsidRPr="00A52AB8" w:rsidRDefault="0009608D" w:rsidP="009C6742">
            <w:pPr>
              <w:spacing w:before="20" w:after="40" w:line="240" w:lineRule="auto"/>
              <w:jc w:val="center"/>
              <w:rPr>
                <w:rFonts w:eastAsia="Malgun Gothic"/>
                <w:bCs/>
                <w:sz w:val="20"/>
              </w:rPr>
            </w:pPr>
          </w:p>
        </w:tc>
      </w:tr>
      <w:tr w:rsidR="0009608D" w:rsidRPr="00A52AB8" w14:paraId="04C524D8" w14:textId="77777777" w:rsidTr="004A0BDE">
        <w:trPr>
          <w:cantSplit/>
          <w:jc w:val="center"/>
        </w:trPr>
        <w:tc>
          <w:tcPr>
            <w:tcW w:w="8404" w:type="dxa"/>
          </w:tcPr>
          <w:p w14:paraId="480FEBB3" w14:textId="3C3BB294" w:rsidR="0009608D" w:rsidRPr="00A52AB8" w:rsidRDefault="0009608D" w:rsidP="009C6742">
            <w:pPr>
              <w:spacing w:before="20" w:after="40" w:line="240" w:lineRule="auto"/>
              <w:rPr>
                <w:rFonts w:eastAsia="Malgun Gothic"/>
                <w:sz w:val="20"/>
              </w:rPr>
            </w:pPr>
            <w:r>
              <w:rPr>
                <w:rFonts w:eastAsia="Malgun Gothic"/>
                <w:sz w:val="20"/>
              </w:rPr>
              <w:tab/>
            </w:r>
            <w:r>
              <w:rPr>
                <w:rFonts w:eastAsia="Malgun Gothic"/>
                <w:sz w:val="20"/>
              </w:rPr>
              <w:tab/>
              <w:t>else if( payloadType == 130 )</w:t>
            </w:r>
          </w:p>
        </w:tc>
        <w:tc>
          <w:tcPr>
            <w:tcW w:w="1338" w:type="dxa"/>
          </w:tcPr>
          <w:p w14:paraId="25D202E0" w14:textId="77777777" w:rsidR="0009608D" w:rsidRPr="00A52AB8" w:rsidRDefault="0009608D" w:rsidP="009C6742">
            <w:pPr>
              <w:spacing w:before="20" w:after="40" w:line="240" w:lineRule="auto"/>
              <w:jc w:val="center"/>
              <w:rPr>
                <w:rFonts w:eastAsia="Malgun Gothic"/>
                <w:bCs/>
                <w:sz w:val="20"/>
              </w:rPr>
            </w:pPr>
          </w:p>
        </w:tc>
      </w:tr>
      <w:tr w:rsidR="0009608D" w:rsidRPr="00A52AB8" w14:paraId="54CB3556" w14:textId="77777777" w:rsidTr="004A0BDE">
        <w:trPr>
          <w:cantSplit/>
          <w:jc w:val="center"/>
        </w:trPr>
        <w:tc>
          <w:tcPr>
            <w:tcW w:w="8404" w:type="dxa"/>
          </w:tcPr>
          <w:p w14:paraId="566BD052" w14:textId="72BE0A19" w:rsidR="0009608D" w:rsidRPr="00A52AB8" w:rsidRDefault="0009608D" w:rsidP="009C6742">
            <w:pPr>
              <w:spacing w:before="20" w:after="40" w:line="240" w:lineRule="auto"/>
              <w:rPr>
                <w:rFonts w:eastAsia="Malgun Gothic"/>
                <w:sz w:val="20"/>
              </w:rPr>
            </w:pPr>
            <w:r>
              <w:rPr>
                <w:rFonts w:eastAsia="Malgun Gothic"/>
                <w:sz w:val="20"/>
              </w:rPr>
              <w:tab/>
            </w:r>
            <w:r>
              <w:rPr>
                <w:rFonts w:eastAsia="Malgun Gothic"/>
                <w:sz w:val="20"/>
              </w:rPr>
              <w:tab/>
            </w:r>
            <w:r>
              <w:rPr>
                <w:rFonts w:eastAsia="Malgun Gothic"/>
                <w:sz w:val="20"/>
              </w:rPr>
              <w:tab/>
              <w:t>geometry_upscaling_parameters( payloadSize ) /* Specified in ISO/IEC 23090-12 */</w:t>
            </w:r>
          </w:p>
        </w:tc>
        <w:tc>
          <w:tcPr>
            <w:tcW w:w="1338" w:type="dxa"/>
          </w:tcPr>
          <w:p w14:paraId="0123C863" w14:textId="77777777" w:rsidR="0009608D" w:rsidRPr="00A52AB8" w:rsidRDefault="0009608D" w:rsidP="009C6742">
            <w:pPr>
              <w:spacing w:before="20" w:after="40" w:line="240" w:lineRule="auto"/>
              <w:jc w:val="center"/>
              <w:rPr>
                <w:rFonts w:eastAsia="Malgun Gothic"/>
                <w:bCs/>
                <w:sz w:val="20"/>
              </w:rPr>
            </w:pPr>
          </w:p>
        </w:tc>
      </w:tr>
      <w:tr w:rsidR="008F2F49" w:rsidRPr="00A52AB8" w14:paraId="18B45E01" w14:textId="77777777" w:rsidTr="004A0BDE">
        <w:trPr>
          <w:cantSplit/>
          <w:jc w:val="center"/>
        </w:trPr>
        <w:tc>
          <w:tcPr>
            <w:tcW w:w="8404" w:type="dxa"/>
          </w:tcPr>
          <w:p w14:paraId="51C4C950" w14:textId="77777777" w:rsidR="008F2F49" w:rsidRPr="00A52AB8" w:rsidRDefault="008F2F49" w:rsidP="009C6742">
            <w:pPr>
              <w:spacing w:before="20" w:after="40" w:line="240" w:lineRule="auto"/>
              <w:rPr>
                <w:rFonts w:eastAsia="Malgun Gothic"/>
                <w:sz w:val="20"/>
              </w:rPr>
            </w:pPr>
            <w:r w:rsidRPr="00A52AB8">
              <w:rPr>
                <w:rFonts w:eastAsia="Malgun Gothic"/>
                <w:sz w:val="20"/>
              </w:rPr>
              <w:tab/>
            </w:r>
            <w:r w:rsidRPr="00A52AB8">
              <w:rPr>
                <w:rFonts w:eastAsia="Malgun Gothic"/>
                <w:sz w:val="20"/>
              </w:rPr>
              <w:tab/>
              <w:t>else</w:t>
            </w:r>
          </w:p>
        </w:tc>
        <w:tc>
          <w:tcPr>
            <w:tcW w:w="1338" w:type="dxa"/>
          </w:tcPr>
          <w:p w14:paraId="056BEECA" w14:textId="77777777" w:rsidR="008F2F49" w:rsidRPr="00A52AB8" w:rsidRDefault="008F2F49" w:rsidP="009C6742">
            <w:pPr>
              <w:spacing w:before="20" w:after="40" w:line="240" w:lineRule="auto"/>
              <w:jc w:val="center"/>
              <w:rPr>
                <w:rFonts w:eastAsia="Malgun Gothic"/>
                <w:bCs/>
                <w:sz w:val="20"/>
              </w:rPr>
            </w:pPr>
          </w:p>
        </w:tc>
      </w:tr>
      <w:tr w:rsidR="008F2F49" w:rsidRPr="00A52AB8" w14:paraId="1190C847" w14:textId="77777777" w:rsidTr="004A0BDE">
        <w:trPr>
          <w:cantSplit/>
          <w:jc w:val="center"/>
        </w:trPr>
        <w:tc>
          <w:tcPr>
            <w:tcW w:w="8404" w:type="dxa"/>
          </w:tcPr>
          <w:p w14:paraId="5A86FCB1" w14:textId="77777777" w:rsidR="008F2F49" w:rsidRPr="00A52AB8" w:rsidRDefault="008F2F49" w:rsidP="009C6742">
            <w:pPr>
              <w:spacing w:before="20" w:after="40" w:line="240" w:lineRule="auto"/>
              <w:rPr>
                <w:rFonts w:eastAsia="Malgun Gothic"/>
                <w:sz w:val="20"/>
              </w:rPr>
            </w:pPr>
            <w:r w:rsidRPr="00A52AB8">
              <w:rPr>
                <w:rFonts w:eastAsia="Malgun Gothic"/>
                <w:sz w:val="20"/>
              </w:rPr>
              <w:tab/>
            </w:r>
            <w:r w:rsidRPr="00A52AB8">
              <w:rPr>
                <w:rFonts w:eastAsia="Malgun Gothic"/>
                <w:sz w:val="20"/>
              </w:rPr>
              <w:tab/>
            </w:r>
            <w:r w:rsidRPr="00A52AB8">
              <w:rPr>
                <w:rFonts w:eastAsia="Malgun Gothic"/>
                <w:sz w:val="20"/>
              </w:rPr>
              <w:tab/>
              <w:t>reserved_sei_message( payloadSize )</w:t>
            </w:r>
          </w:p>
        </w:tc>
        <w:tc>
          <w:tcPr>
            <w:tcW w:w="1338" w:type="dxa"/>
          </w:tcPr>
          <w:p w14:paraId="0798F236" w14:textId="77777777" w:rsidR="008F2F49" w:rsidRPr="00A52AB8" w:rsidRDefault="008F2F49" w:rsidP="009C6742">
            <w:pPr>
              <w:spacing w:before="20" w:after="40" w:line="240" w:lineRule="auto"/>
              <w:jc w:val="center"/>
              <w:rPr>
                <w:rFonts w:eastAsia="Malgun Gothic"/>
                <w:bCs/>
                <w:sz w:val="20"/>
              </w:rPr>
            </w:pPr>
          </w:p>
        </w:tc>
      </w:tr>
      <w:tr w:rsidR="008F2F49" w:rsidRPr="00A52AB8" w14:paraId="6A93B90D" w14:textId="77777777" w:rsidTr="004A0BDE">
        <w:trPr>
          <w:cantSplit/>
          <w:jc w:val="center"/>
        </w:trPr>
        <w:tc>
          <w:tcPr>
            <w:tcW w:w="8404" w:type="dxa"/>
          </w:tcPr>
          <w:p w14:paraId="7A600A48" w14:textId="77777777" w:rsidR="008F2F49" w:rsidRPr="00A52AB8" w:rsidRDefault="008F2F49" w:rsidP="009C6742">
            <w:pPr>
              <w:spacing w:before="20" w:after="40" w:line="240" w:lineRule="auto"/>
              <w:rPr>
                <w:rFonts w:eastAsia="Malgun Gothic"/>
                <w:sz w:val="20"/>
              </w:rPr>
            </w:pPr>
            <w:r w:rsidRPr="00A52AB8">
              <w:rPr>
                <w:rFonts w:eastAsia="Malgun Gothic"/>
                <w:sz w:val="20"/>
              </w:rPr>
              <w:tab/>
              <w:t>}</w:t>
            </w:r>
          </w:p>
        </w:tc>
        <w:tc>
          <w:tcPr>
            <w:tcW w:w="1338" w:type="dxa"/>
          </w:tcPr>
          <w:p w14:paraId="517758BA" w14:textId="77777777" w:rsidR="008F2F49" w:rsidRPr="00A52AB8" w:rsidRDefault="008F2F49" w:rsidP="009C6742">
            <w:pPr>
              <w:spacing w:before="20" w:after="40" w:line="240" w:lineRule="auto"/>
              <w:jc w:val="center"/>
              <w:rPr>
                <w:rFonts w:eastAsia="Malgun Gothic"/>
                <w:bCs/>
                <w:sz w:val="20"/>
              </w:rPr>
            </w:pPr>
          </w:p>
        </w:tc>
      </w:tr>
      <w:tr w:rsidR="008F2F49" w:rsidRPr="00A52AB8" w14:paraId="439CAF55" w14:textId="77777777" w:rsidTr="004A0BDE">
        <w:trPr>
          <w:cantSplit/>
          <w:jc w:val="center"/>
        </w:trPr>
        <w:tc>
          <w:tcPr>
            <w:tcW w:w="8404" w:type="dxa"/>
          </w:tcPr>
          <w:p w14:paraId="402F0DA0" w14:textId="1E2931AC" w:rsidR="008F2F49" w:rsidRPr="00A52AB8" w:rsidRDefault="008F2F49" w:rsidP="009C6742">
            <w:pPr>
              <w:spacing w:before="20" w:after="40" w:line="240" w:lineRule="auto"/>
              <w:rPr>
                <w:rFonts w:eastAsia="Malgun Gothic"/>
                <w:sz w:val="20"/>
              </w:rPr>
            </w:pPr>
            <w:r w:rsidRPr="00A52AB8">
              <w:rPr>
                <w:rFonts w:eastAsia="Malgun Gothic"/>
                <w:sz w:val="20"/>
              </w:rPr>
              <w:tab/>
              <w:t>else</w:t>
            </w:r>
            <w:r w:rsidR="00E73CCF" w:rsidRPr="00A52AB8">
              <w:rPr>
                <w:rFonts w:eastAsia="Malgun Gothic"/>
                <w:sz w:val="20"/>
              </w:rPr>
              <w:t> </w:t>
            </w:r>
            <w:r w:rsidRPr="00A52AB8">
              <w:rPr>
                <w:rFonts w:eastAsia="Malgun Gothic"/>
                <w:sz w:val="20"/>
              </w:rPr>
              <w:t>{</w:t>
            </w:r>
            <w:r w:rsidR="00E73CCF" w:rsidRPr="00A52AB8">
              <w:rPr>
                <w:rFonts w:eastAsia="Malgun Gothic"/>
                <w:sz w:val="20"/>
              </w:rPr>
              <w:t xml:space="preserve"> </w:t>
            </w:r>
            <w:r w:rsidR="00C66E38" w:rsidRPr="00A52AB8">
              <w:rPr>
                <w:rFonts w:eastAsia="Malgun Gothic"/>
                <w:sz w:val="20"/>
              </w:rPr>
              <w:tab/>
            </w:r>
            <w:r w:rsidRPr="00A52AB8">
              <w:rPr>
                <w:rFonts w:eastAsia="Malgun Gothic"/>
                <w:sz w:val="20"/>
              </w:rPr>
              <w:t>/*( nal_unit_type</w:t>
            </w:r>
            <w:r w:rsidR="008768E9" w:rsidRPr="00A52AB8">
              <w:rPr>
                <w:rFonts w:eastAsia="Malgun Gothic"/>
                <w:sz w:val="20"/>
              </w:rPr>
              <w:t> </w:t>
            </w:r>
            <w:r w:rsidR="00726AAE" w:rsidRPr="00A52AB8">
              <w:rPr>
                <w:rFonts w:eastAsia="Malgun Gothic"/>
                <w:sz w:val="20"/>
              </w:rPr>
              <w:t>==</w:t>
            </w:r>
            <w:r w:rsidR="00D47707" w:rsidRPr="00A52AB8">
              <w:rPr>
                <w:rFonts w:eastAsia="Malgun Gothic"/>
                <w:sz w:val="20"/>
              </w:rPr>
              <w:t> </w:t>
            </w:r>
            <w:r w:rsidRPr="00A52AB8">
              <w:rPr>
                <w:color w:val="000000" w:themeColor="text1"/>
                <w:sz w:val="20"/>
                <w:szCs w:val="20"/>
              </w:rPr>
              <w:t>NAL_SUFFIX_NSEI )</w:t>
            </w:r>
            <w:r w:rsidR="008768E9" w:rsidRPr="00A52AB8">
              <w:rPr>
                <w:color w:val="000000" w:themeColor="text1"/>
                <w:sz w:val="20"/>
                <w:szCs w:val="20"/>
              </w:rPr>
              <w:t> || </w:t>
            </w:r>
            <w:r w:rsidRPr="00A52AB8">
              <w:rPr>
                <w:color w:val="000000" w:themeColor="text1"/>
                <w:sz w:val="20"/>
                <w:szCs w:val="20"/>
              </w:rPr>
              <w:t>( </w:t>
            </w:r>
            <w:r w:rsidRPr="00A52AB8">
              <w:rPr>
                <w:rFonts w:eastAsia="Malgun Gothic"/>
                <w:sz w:val="20"/>
              </w:rPr>
              <w:t>nal_unit_type</w:t>
            </w:r>
            <w:r w:rsidR="008768E9" w:rsidRPr="00A52AB8">
              <w:rPr>
                <w:rFonts w:eastAsia="Malgun Gothic"/>
                <w:sz w:val="20"/>
              </w:rPr>
              <w:t> </w:t>
            </w:r>
            <w:r w:rsidR="00726AAE" w:rsidRPr="00A52AB8">
              <w:rPr>
                <w:rFonts w:eastAsia="Malgun Gothic"/>
                <w:sz w:val="20"/>
              </w:rPr>
              <w:t>==</w:t>
            </w:r>
            <w:r w:rsidR="00D47707" w:rsidRPr="00A52AB8">
              <w:rPr>
                <w:rFonts w:eastAsia="Malgun Gothic"/>
                <w:sz w:val="20"/>
              </w:rPr>
              <w:t> </w:t>
            </w:r>
            <w:r w:rsidRPr="00A52AB8">
              <w:rPr>
                <w:color w:val="000000" w:themeColor="text1"/>
                <w:sz w:val="20"/>
                <w:szCs w:val="20"/>
              </w:rPr>
              <w:t>NAL_SUFFIX_ESEI )</w:t>
            </w:r>
            <w:r w:rsidRPr="00A52AB8">
              <w:rPr>
                <w:rFonts w:eastAsia="Malgun Gothic"/>
                <w:sz w:val="20"/>
              </w:rPr>
              <w:t>*/</w:t>
            </w:r>
          </w:p>
        </w:tc>
        <w:tc>
          <w:tcPr>
            <w:tcW w:w="1338" w:type="dxa"/>
          </w:tcPr>
          <w:p w14:paraId="682A8E29" w14:textId="77777777" w:rsidR="008F2F49" w:rsidRPr="00A52AB8" w:rsidRDefault="008F2F49" w:rsidP="009C6742">
            <w:pPr>
              <w:spacing w:before="20" w:after="40" w:line="240" w:lineRule="auto"/>
              <w:jc w:val="center"/>
              <w:rPr>
                <w:rFonts w:eastAsia="Malgun Gothic"/>
                <w:bCs/>
                <w:sz w:val="20"/>
              </w:rPr>
            </w:pPr>
          </w:p>
        </w:tc>
      </w:tr>
      <w:tr w:rsidR="008F2F49" w:rsidRPr="00A52AB8" w14:paraId="76363B40" w14:textId="77777777" w:rsidTr="004A0BDE">
        <w:trPr>
          <w:cantSplit/>
          <w:jc w:val="center"/>
        </w:trPr>
        <w:tc>
          <w:tcPr>
            <w:tcW w:w="8404" w:type="dxa"/>
          </w:tcPr>
          <w:p w14:paraId="6CFF340E" w14:textId="5452C0CA" w:rsidR="008F2F49" w:rsidRPr="00A52AB8" w:rsidRDefault="008F2F49" w:rsidP="009C6742">
            <w:pPr>
              <w:spacing w:before="20" w:after="40" w:line="240" w:lineRule="auto"/>
              <w:rPr>
                <w:rFonts w:eastAsia="Malgun Gothic"/>
                <w:sz w:val="20"/>
              </w:rPr>
            </w:pPr>
            <w:r w:rsidRPr="00A52AB8">
              <w:rPr>
                <w:rFonts w:eastAsia="Malgun Gothic"/>
                <w:sz w:val="20"/>
              </w:rPr>
              <w:tab/>
            </w:r>
            <w:r w:rsidRPr="00A52AB8">
              <w:rPr>
                <w:rFonts w:eastAsia="Malgun Gothic"/>
                <w:sz w:val="20"/>
              </w:rPr>
              <w:tab/>
              <w:t>if( payloadType</w:t>
            </w:r>
            <w:r w:rsidR="008768E9" w:rsidRPr="00A52AB8">
              <w:rPr>
                <w:rFonts w:eastAsia="Malgun Gothic"/>
                <w:sz w:val="20"/>
              </w:rPr>
              <w:t> </w:t>
            </w:r>
            <w:r w:rsidR="00726AAE" w:rsidRPr="00A52AB8">
              <w:rPr>
                <w:rFonts w:eastAsia="Malgun Gothic"/>
                <w:sz w:val="20"/>
              </w:rPr>
              <w:t>==</w:t>
            </w:r>
            <w:r w:rsidR="00D47707" w:rsidRPr="00A52AB8">
              <w:rPr>
                <w:rFonts w:eastAsia="Malgun Gothic"/>
                <w:sz w:val="20"/>
              </w:rPr>
              <w:t> </w:t>
            </w:r>
            <w:r w:rsidRPr="00A52AB8">
              <w:rPr>
                <w:rFonts w:eastAsia="Malgun Gothic"/>
                <w:sz w:val="20"/>
              </w:rPr>
              <w:t>2 )</w:t>
            </w:r>
          </w:p>
        </w:tc>
        <w:tc>
          <w:tcPr>
            <w:tcW w:w="1338" w:type="dxa"/>
          </w:tcPr>
          <w:p w14:paraId="157CF7AC" w14:textId="77777777" w:rsidR="008F2F49" w:rsidRPr="00A52AB8" w:rsidRDefault="008F2F49" w:rsidP="009C6742">
            <w:pPr>
              <w:spacing w:before="20" w:after="40" w:line="240" w:lineRule="auto"/>
              <w:jc w:val="center"/>
              <w:rPr>
                <w:rFonts w:eastAsia="Malgun Gothic"/>
                <w:bCs/>
                <w:sz w:val="20"/>
              </w:rPr>
            </w:pPr>
          </w:p>
        </w:tc>
      </w:tr>
      <w:tr w:rsidR="008F2F49" w:rsidRPr="00A52AB8" w14:paraId="426E852E" w14:textId="77777777" w:rsidTr="004A0BDE">
        <w:trPr>
          <w:cantSplit/>
          <w:jc w:val="center"/>
        </w:trPr>
        <w:tc>
          <w:tcPr>
            <w:tcW w:w="8404" w:type="dxa"/>
          </w:tcPr>
          <w:p w14:paraId="198C082E" w14:textId="77777777" w:rsidR="008F2F49" w:rsidRPr="00A52AB8" w:rsidRDefault="008F2F49" w:rsidP="009C6742">
            <w:pPr>
              <w:spacing w:before="20" w:after="40" w:line="240" w:lineRule="auto"/>
              <w:rPr>
                <w:rFonts w:eastAsia="Malgun Gothic"/>
                <w:sz w:val="20"/>
              </w:rPr>
            </w:pPr>
            <w:r w:rsidRPr="00A52AB8">
              <w:rPr>
                <w:rFonts w:eastAsia="Malgun Gothic"/>
                <w:sz w:val="20"/>
              </w:rPr>
              <w:tab/>
            </w:r>
            <w:r w:rsidRPr="00A52AB8">
              <w:rPr>
                <w:rFonts w:eastAsia="Malgun Gothic"/>
                <w:sz w:val="20"/>
              </w:rPr>
              <w:tab/>
            </w:r>
            <w:r w:rsidRPr="00A52AB8">
              <w:rPr>
                <w:rFonts w:eastAsia="Malgun Gothic"/>
                <w:sz w:val="20"/>
              </w:rPr>
              <w:tab/>
              <w:t>filler_payload( payloadSize )</w:t>
            </w:r>
          </w:p>
        </w:tc>
        <w:tc>
          <w:tcPr>
            <w:tcW w:w="1338" w:type="dxa"/>
          </w:tcPr>
          <w:p w14:paraId="2C227EFD" w14:textId="77777777" w:rsidR="008F2F49" w:rsidRPr="00A52AB8" w:rsidRDefault="008F2F49" w:rsidP="009C6742">
            <w:pPr>
              <w:spacing w:before="20" w:after="40" w:line="240" w:lineRule="auto"/>
              <w:jc w:val="center"/>
              <w:rPr>
                <w:rFonts w:eastAsia="Malgun Gothic"/>
                <w:bCs/>
                <w:sz w:val="20"/>
              </w:rPr>
            </w:pPr>
          </w:p>
        </w:tc>
      </w:tr>
      <w:tr w:rsidR="008F2F49" w:rsidRPr="00A52AB8" w14:paraId="3E04CFFB" w14:textId="77777777" w:rsidTr="004A0BDE">
        <w:trPr>
          <w:cantSplit/>
          <w:jc w:val="center"/>
        </w:trPr>
        <w:tc>
          <w:tcPr>
            <w:tcW w:w="8404" w:type="dxa"/>
          </w:tcPr>
          <w:p w14:paraId="24F80450" w14:textId="6DAAB886" w:rsidR="008F2F49" w:rsidRPr="00A52AB8" w:rsidRDefault="008F2F49" w:rsidP="009C6742">
            <w:pPr>
              <w:spacing w:before="20" w:after="40" w:line="240" w:lineRule="auto"/>
              <w:rPr>
                <w:rFonts w:eastAsia="Malgun Gothic"/>
                <w:sz w:val="20"/>
              </w:rPr>
            </w:pPr>
            <w:r w:rsidRPr="00A52AB8">
              <w:rPr>
                <w:rFonts w:eastAsia="Malgun Gothic"/>
                <w:sz w:val="20"/>
              </w:rPr>
              <w:tab/>
            </w:r>
            <w:r w:rsidRPr="00A52AB8">
              <w:rPr>
                <w:rFonts w:eastAsia="Malgun Gothic"/>
                <w:sz w:val="20"/>
              </w:rPr>
              <w:tab/>
              <w:t>else if( payloadType</w:t>
            </w:r>
            <w:r w:rsidR="008768E9" w:rsidRPr="00A52AB8">
              <w:rPr>
                <w:rFonts w:eastAsia="Malgun Gothic"/>
                <w:sz w:val="20"/>
              </w:rPr>
              <w:t> </w:t>
            </w:r>
            <w:r w:rsidR="00726AAE" w:rsidRPr="00A52AB8">
              <w:rPr>
                <w:rFonts w:eastAsia="Malgun Gothic"/>
                <w:sz w:val="20"/>
              </w:rPr>
              <w:t>==</w:t>
            </w:r>
            <w:r w:rsidR="00D47707" w:rsidRPr="00A52AB8">
              <w:rPr>
                <w:rFonts w:eastAsia="Malgun Gothic"/>
                <w:sz w:val="20"/>
              </w:rPr>
              <w:t> </w:t>
            </w:r>
            <w:r w:rsidRPr="00A52AB8">
              <w:rPr>
                <w:rFonts w:eastAsia="Malgun Gothic"/>
                <w:sz w:val="20"/>
              </w:rPr>
              <w:t>3 )</w:t>
            </w:r>
          </w:p>
        </w:tc>
        <w:tc>
          <w:tcPr>
            <w:tcW w:w="1338" w:type="dxa"/>
          </w:tcPr>
          <w:p w14:paraId="59CA394B" w14:textId="77777777" w:rsidR="008F2F49" w:rsidRPr="00A52AB8" w:rsidRDefault="008F2F49" w:rsidP="009C6742">
            <w:pPr>
              <w:spacing w:before="20" w:after="40" w:line="240" w:lineRule="auto"/>
              <w:jc w:val="center"/>
              <w:rPr>
                <w:rFonts w:eastAsia="Malgun Gothic"/>
                <w:bCs/>
                <w:sz w:val="20"/>
              </w:rPr>
            </w:pPr>
          </w:p>
        </w:tc>
      </w:tr>
      <w:tr w:rsidR="008F2F49" w:rsidRPr="00A52AB8" w14:paraId="3558B293" w14:textId="77777777" w:rsidTr="004A0BDE">
        <w:trPr>
          <w:cantSplit/>
          <w:jc w:val="center"/>
        </w:trPr>
        <w:tc>
          <w:tcPr>
            <w:tcW w:w="8404" w:type="dxa"/>
          </w:tcPr>
          <w:p w14:paraId="59ABB2F0" w14:textId="77777777" w:rsidR="008F2F49" w:rsidRPr="00A52AB8" w:rsidRDefault="008F2F49" w:rsidP="009C6742">
            <w:pPr>
              <w:spacing w:before="20" w:after="40" w:line="240" w:lineRule="auto"/>
              <w:rPr>
                <w:rFonts w:eastAsia="Malgun Gothic"/>
                <w:sz w:val="20"/>
              </w:rPr>
            </w:pPr>
            <w:r w:rsidRPr="00A52AB8">
              <w:rPr>
                <w:rFonts w:eastAsia="Malgun Gothic"/>
                <w:sz w:val="20"/>
              </w:rPr>
              <w:tab/>
            </w:r>
            <w:r w:rsidRPr="00A52AB8">
              <w:rPr>
                <w:rFonts w:eastAsia="Malgun Gothic"/>
                <w:sz w:val="20"/>
              </w:rPr>
              <w:tab/>
            </w:r>
            <w:r w:rsidRPr="00A52AB8">
              <w:rPr>
                <w:rFonts w:eastAsia="Malgun Gothic"/>
                <w:sz w:val="20"/>
              </w:rPr>
              <w:tab/>
              <w:t>user_data_registered_itu_t_t35( payloadSize )</w:t>
            </w:r>
          </w:p>
        </w:tc>
        <w:tc>
          <w:tcPr>
            <w:tcW w:w="1338" w:type="dxa"/>
          </w:tcPr>
          <w:p w14:paraId="2AFC8A77" w14:textId="77777777" w:rsidR="008F2F49" w:rsidRPr="00A52AB8" w:rsidRDefault="008F2F49" w:rsidP="009C6742">
            <w:pPr>
              <w:spacing w:before="20" w:after="40" w:line="240" w:lineRule="auto"/>
              <w:jc w:val="center"/>
              <w:rPr>
                <w:rFonts w:eastAsia="Malgun Gothic"/>
                <w:bCs/>
                <w:sz w:val="20"/>
              </w:rPr>
            </w:pPr>
          </w:p>
        </w:tc>
      </w:tr>
      <w:tr w:rsidR="008F2F49" w:rsidRPr="00A52AB8" w14:paraId="2FC1DE6D" w14:textId="77777777" w:rsidTr="004A0BDE">
        <w:trPr>
          <w:cantSplit/>
          <w:jc w:val="center"/>
        </w:trPr>
        <w:tc>
          <w:tcPr>
            <w:tcW w:w="8404" w:type="dxa"/>
          </w:tcPr>
          <w:p w14:paraId="26C785D9" w14:textId="47FFBA9C" w:rsidR="008F2F49" w:rsidRPr="00A52AB8" w:rsidRDefault="008F2F49" w:rsidP="009C6742">
            <w:pPr>
              <w:spacing w:before="20" w:after="40" w:line="240" w:lineRule="auto"/>
              <w:rPr>
                <w:rFonts w:eastAsia="Malgun Gothic"/>
                <w:sz w:val="20"/>
              </w:rPr>
            </w:pPr>
            <w:r w:rsidRPr="00A52AB8">
              <w:rPr>
                <w:rFonts w:eastAsia="Malgun Gothic"/>
                <w:sz w:val="20"/>
              </w:rPr>
              <w:tab/>
            </w:r>
            <w:r w:rsidRPr="00A52AB8">
              <w:rPr>
                <w:rFonts w:eastAsia="Malgun Gothic"/>
                <w:sz w:val="20"/>
              </w:rPr>
              <w:tab/>
              <w:t>else if( payloadType</w:t>
            </w:r>
            <w:r w:rsidR="008768E9" w:rsidRPr="00A52AB8">
              <w:rPr>
                <w:rFonts w:eastAsia="Malgun Gothic"/>
                <w:sz w:val="20"/>
              </w:rPr>
              <w:t> </w:t>
            </w:r>
            <w:r w:rsidR="00726AAE" w:rsidRPr="00A52AB8">
              <w:rPr>
                <w:rFonts w:eastAsia="Malgun Gothic"/>
                <w:sz w:val="20"/>
              </w:rPr>
              <w:t>==</w:t>
            </w:r>
            <w:r w:rsidR="00D47707" w:rsidRPr="00A52AB8">
              <w:rPr>
                <w:rFonts w:eastAsia="Malgun Gothic"/>
                <w:sz w:val="20"/>
              </w:rPr>
              <w:t> </w:t>
            </w:r>
            <w:r w:rsidRPr="00A52AB8">
              <w:rPr>
                <w:rFonts w:eastAsia="Malgun Gothic"/>
                <w:sz w:val="20"/>
              </w:rPr>
              <w:t>4 )</w:t>
            </w:r>
          </w:p>
        </w:tc>
        <w:tc>
          <w:tcPr>
            <w:tcW w:w="1338" w:type="dxa"/>
          </w:tcPr>
          <w:p w14:paraId="4F66A482" w14:textId="77777777" w:rsidR="008F2F49" w:rsidRPr="00A52AB8" w:rsidRDefault="008F2F49" w:rsidP="009C6742">
            <w:pPr>
              <w:spacing w:before="20" w:after="40" w:line="240" w:lineRule="auto"/>
              <w:jc w:val="center"/>
              <w:rPr>
                <w:rFonts w:eastAsia="Malgun Gothic"/>
                <w:bCs/>
                <w:sz w:val="20"/>
              </w:rPr>
            </w:pPr>
          </w:p>
        </w:tc>
      </w:tr>
      <w:tr w:rsidR="008F2F49" w:rsidRPr="00A52AB8" w14:paraId="53BA9423" w14:textId="77777777" w:rsidTr="004A0BDE">
        <w:trPr>
          <w:cantSplit/>
          <w:jc w:val="center"/>
        </w:trPr>
        <w:tc>
          <w:tcPr>
            <w:tcW w:w="8404" w:type="dxa"/>
          </w:tcPr>
          <w:p w14:paraId="3B7ED536" w14:textId="77777777" w:rsidR="008F2F49" w:rsidRPr="00A52AB8" w:rsidRDefault="008F2F49" w:rsidP="009C6742">
            <w:pPr>
              <w:spacing w:before="20" w:after="40" w:line="240" w:lineRule="auto"/>
              <w:rPr>
                <w:rFonts w:eastAsia="Malgun Gothic"/>
                <w:sz w:val="20"/>
              </w:rPr>
            </w:pPr>
            <w:r w:rsidRPr="00A52AB8">
              <w:rPr>
                <w:rFonts w:eastAsia="Malgun Gothic"/>
                <w:sz w:val="20"/>
              </w:rPr>
              <w:tab/>
            </w:r>
            <w:r w:rsidRPr="00A52AB8">
              <w:rPr>
                <w:rFonts w:eastAsia="Malgun Gothic"/>
                <w:sz w:val="20"/>
              </w:rPr>
              <w:tab/>
            </w:r>
            <w:r w:rsidRPr="00A52AB8">
              <w:rPr>
                <w:rFonts w:eastAsia="Malgun Gothic"/>
                <w:sz w:val="20"/>
              </w:rPr>
              <w:tab/>
              <w:t>user_data_unregistered( payloadSize )</w:t>
            </w:r>
          </w:p>
        </w:tc>
        <w:tc>
          <w:tcPr>
            <w:tcW w:w="1338" w:type="dxa"/>
          </w:tcPr>
          <w:p w14:paraId="0BC65BC0" w14:textId="77777777" w:rsidR="008F2F49" w:rsidRPr="00A52AB8" w:rsidRDefault="008F2F49" w:rsidP="009C6742">
            <w:pPr>
              <w:spacing w:before="20" w:after="40" w:line="240" w:lineRule="auto"/>
              <w:jc w:val="center"/>
              <w:rPr>
                <w:rFonts w:eastAsia="Malgun Gothic"/>
                <w:bCs/>
                <w:sz w:val="20"/>
              </w:rPr>
            </w:pPr>
          </w:p>
        </w:tc>
      </w:tr>
      <w:tr w:rsidR="00D46374" w:rsidRPr="00A52AB8" w14:paraId="3F7304F9" w14:textId="77777777" w:rsidTr="004A0BDE">
        <w:trPr>
          <w:cantSplit/>
          <w:jc w:val="center"/>
        </w:trPr>
        <w:tc>
          <w:tcPr>
            <w:tcW w:w="8404" w:type="dxa"/>
          </w:tcPr>
          <w:p w14:paraId="37D1F62E" w14:textId="72C12698" w:rsidR="00D46374" w:rsidRPr="00A52AB8" w:rsidRDefault="00D46374" w:rsidP="009C6742">
            <w:pPr>
              <w:spacing w:before="20" w:after="40" w:line="240" w:lineRule="auto"/>
              <w:rPr>
                <w:rFonts w:eastAsia="Malgun Gothic"/>
                <w:sz w:val="20"/>
              </w:rPr>
            </w:pPr>
            <w:r w:rsidRPr="00A52AB8">
              <w:rPr>
                <w:rFonts w:eastAsia="Malgun Gothic"/>
                <w:sz w:val="20"/>
              </w:rPr>
              <w:tab/>
            </w:r>
            <w:r w:rsidRPr="00A52AB8">
              <w:rPr>
                <w:rFonts w:eastAsia="Malgun Gothic"/>
                <w:sz w:val="20"/>
              </w:rPr>
              <w:tab/>
              <w:t>else if( payloadType</w:t>
            </w:r>
            <w:r w:rsidR="008768E9" w:rsidRPr="00A52AB8">
              <w:rPr>
                <w:rFonts w:eastAsia="Malgun Gothic"/>
                <w:sz w:val="20"/>
              </w:rPr>
              <w:t> </w:t>
            </w:r>
            <w:r w:rsidR="00726AAE" w:rsidRPr="00A52AB8">
              <w:rPr>
                <w:rFonts w:eastAsia="Malgun Gothic"/>
                <w:sz w:val="20"/>
              </w:rPr>
              <w:t>==</w:t>
            </w:r>
            <w:r w:rsidR="00D47707" w:rsidRPr="00A52AB8">
              <w:rPr>
                <w:rFonts w:eastAsia="Malgun Gothic"/>
                <w:sz w:val="20"/>
              </w:rPr>
              <w:t> </w:t>
            </w:r>
            <w:r w:rsidR="00025B44" w:rsidRPr="00A52AB8">
              <w:rPr>
                <w:rFonts w:eastAsia="Malgun Gothic"/>
                <w:sz w:val="20"/>
              </w:rPr>
              <w:t>19</w:t>
            </w:r>
            <w:r w:rsidRPr="00A52AB8">
              <w:rPr>
                <w:rFonts w:eastAsia="Malgun Gothic"/>
                <w:sz w:val="20"/>
              </w:rPr>
              <w:t> )</w:t>
            </w:r>
          </w:p>
        </w:tc>
        <w:tc>
          <w:tcPr>
            <w:tcW w:w="1338" w:type="dxa"/>
          </w:tcPr>
          <w:p w14:paraId="0CDE1908" w14:textId="77777777" w:rsidR="00D46374" w:rsidRPr="00A52AB8" w:rsidRDefault="00D46374" w:rsidP="009C6742">
            <w:pPr>
              <w:spacing w:before="20" w:after="40" w:line="240" w:lineRule="auto"/>
              <w:jc w:val="center"/>
              <w:rPr>
                <w:rFonts w:eastAsia="Malgun Gothic"/>
                <w:bCs/>
                <w:sz w:val="20"/>
              </w:rPr>
            </w:pPr>
          </w:p>
        </w:tc>
      </w:tr>
      <w:tr w:rsidR="00D46374" w:rsidRPr="00A52AB8" w14:paraId="57BECE78" w14:textId="77777777" w:rsidTr="004A0BDE">
        <w:trPr>
          <w:cantSplit/>
          <w:jc w:val="center"/>
        </w:trPr>
        <w:tc>
          <w:tcPr>
            <w:tcW w:w="8404" w:type="dxa"/>
          </w:tcPr>
          <w:p w14:paraId="3A929FB8" w14:textId="77777777" w:rsidR="00D46374" w:rsidRPr="00A52AB8" w:rsidRDefault="00D46374" w:rsidP="009C6742">
            <w:pPr>
              <w:spacing w:before="20" w:after="40" w:line="240" w:lineRule="auto"/>
              <w:rPr>
                <w:rFonts w:eastAsia="Malgun Gothic"/>
                <w:sz w:val="20"/>
              </w:rPr>
            </w:pPr>
            <w:r w:rsidRPr="00A52AB8">
              <w:rPr>
                <w:rFonts w:eastAsia="Malgun Gothic"/>
                <w:sz w:val="20"/>
              </w:rPr>
              <w:tab/>
            </w:r>
            <w:r w:rsidRPr="00A52AB8">
              <w:rPr>
                <w:rFonts w:eastAsia="Malgun Gothic"/>
                <w:sz w:val="20"/>
              </w:rPr>
              <w:tab/>
            </w:r>
            <w:r w:rsidRPr="00A52AB8">
              <w:rPr>
                <w:rFonts w:eastAsia="Malgun Gothic"/>
                <w:sz w:val="20"/>
              </w:rPr>
              <w:tab/>
              <w:t>decoded_atlas_information_hash( payloadSize )</w:t>
            </w:r>
          </w:p>
        </w:tc>
        <w:tc>
          <w:tcPr>
            <w:tcW w:w="1338" w:type="dxa"/>
          </w:tcPr>
          <w:p w14:paraId="260638D3" w14:textId="77777777" w:rsidR="00D46374" w:rsidRPr="00A52AB8" w:rsidRDefault="00D46374" w:rsidP="009C6742">
            <w:pPr>
              <w:spacing w:before="20" w:after="40" w:line="240" w:lineRule="auto"/>
              <w:jc w:val="center"/>
              <w:rPr>
                <w:rFonts w:eastAsia="Malgun Gothic"/>
                <w:bCs/>
                <w:sz w:val="20"/>
              </w:rPr>
            </w:pPr>
          </w:p>
        </w:tc>
      </w:tr>
      <w:tr w:rsidR="00D46374" w:rsidRPr="00A52AB8" w14:paraId="06974897" w14:textId="77777777" w:rsidTr="004A0BDE">
        <w:trPr>
          <w:cantSplit/>
          <w:jc w:val="center"/>
        </w:trPr>
        <w:tc>
          <w:tcPr>
            <w:tcW w:w="8404" w:type="dxa"/>
          </w:tcPr>
          <w:p w14:paraId="4E03A6F0" w14:textId="77777777" w:rsidR="00D46374" w:rsidRPr="00A52AB8" w:rsidRDefault="00D46374" w:rsidP="009C6742">
            <w:pPr>
              <w:spacing w:before="20" w:after="40" w:line="240" w:lineRule="auto"/>
              <w:rPr>
                <w:rFonts w:eastAsia="Malgun Gothic"/>
                <w:sz w:val="20"/>
              </w:rPr>
            </w:pPr>
            <w:r w:rsidRPr="00A52AB8">
              <w:rPr>
                <w:rFonts w:eastAsia="Malgun Gothic"/>
                <w:sz w:val="20"/>
              </w:rPr>
              <w:tab/>
            </w:r>
            <w:r w:rsidRPr="00A52AB8">
              <w:rPr>
                <w:rFonts w:eastAsia="Malgun Gothic"/>
                <w:sz w:val="20"/>
              </w:rPr>
              <w:tab/>
              <w:t>else</w:t>
            </w:r>
          </w:p>
        </w:tc>
        <w:tc>
          <w:tcPr>
            <w:tcW w:w="1338" w:type="dxa"/>
          </w:tcPr>
          <w:p w14:paraId="7D281AC1" w14:textId="77777777" w:rsidR="00D46374" w:rsidRPr="00A52AB8" w:rsidRDefault="00D46374" w:rsidP="009C6742">
            <w:pPr>
              <w:spacing w:before="20" w:after="40" w:line="240" w:lineRule="auto"/>
              <w:jc w:val="center"/>
              <w:rPr>
                <w:rFonts w:eastAsia="Malgun Gothic"/>
                <w:bCs/>
                <w:sz w:val="20"/>
              </w:rPr>
            </w:pPr>
          </w:p>
        </w:tc>
      </w:tr>
      <w:tr w:rsidR="00D46374" w:rsidRPr="00A52AB8" w14:paraId="7367EA45" w14:textId="77777777" w:rsidTr="004A0BDE">
        <w:trPr>
          <w:cantSplit/>
          <w:jc w:val="center"/>
        </w:trPr>
        <w:tc>
          <w:tcPr>
            <w:tcW w:w="8404" w:type="dxa"/>
          </w:tcPr>
          <w:p w14:paraId="74C880AD" w14:textId="77777777" w:rsidR="00D46374" w:rsidRPr="00A52AB8" w:rsidRDefault="00D46374" w:rsidP="009C6742">
            <w:pPr>
              <w:spacing w:before="20" w:after="40" w:line="240" w:lineRule="auto"/>
              <w:rPr>
                <w:rFonts w:eastAsia="Malgun Gothic"/>
                <w:sz w:val="20"/>
              </w:rPr>
            </w:pPr>
            <w:r w:rsidRPr="00A52AB8">
              <w:rPr>
                <w:rFonts w:eastAsia="Malgun Gothic"/>
                <w:sz w:val="20"/>
              </w:rPr>
              <w:tab/>
            </w:r>
            <w:r w:rsidRPr="00A52AB8">
              <w:rPr>
                <w:rFonts w:eastAsia="Malgun Gothic"/>
                <w:sz w:val="20"/>
              </w:rPr>
              <w:tab/>
            </w:r>
            <w:r w:rsidRPr="00A52AB8">
              <w:rPr>
                <w:rFonts w:eastAsia="Malgun Gothic"/>
                <w:sz w:val="20"/>
              </w:rPr>
              <w:tab/>
              <w:t>reserved_sei_message( payloadSize )</w:t>
            </w:r>
          </w:p>
        </w:tc>
        <w:tc>
          <w:tcPr>
            <w:tcW w:w="1338" w:type="dxa"/>
          </w:tcPr>
          <w:p w14:paraId="4AFD530D" w14:textId="77777777" w:rsidR="00D46374" w:rsidRPr="00A52AB8" w:rsidRDefault="00D46374" w:rsidP="009C6742">
            <w:pPr>
              <w:spacing w:before="20" w:after="40" w:line="240" w:lineRule="auto"/>
              <w:jc w:val="center"/>
              <w:rPr>
                <w:rFonts w:eastAsia="Malgun Gothic"/>
                <w:bCs/>
                <w:sz w:val="20"/>
              </w:rPr>
            </w:pPr>
          </w:p>
        </w:tc>
      </w:tr>
      <w:tr w:rsidR="00D46374" w:rsidRPr="00A52AB8" w14:paraId="343C6416" w14:textId="77777777" w:rsidTr="004A0BDE">
        <w:trPr>
          <w:cantSplit/>
          <w:jc w:val="center"/>
        </w:trPr>
        <w:tc>
          <w:tcPr>
            <w:tcW w:w="8404" w:type="dxa"/>
          </w:tcPr>
          <w:p w14:paraId="74933D05" w14:textId="77777777" w:rsidR="00D46374" w:rsidRPr="00A52AB8" w:rsidRDefault="00D46374" w:rsidP="009C6742">
            <w:pPr>
              <w:spacing w:before="20" w:after="40" w:line="240" w:lineRule="auto"/>
              <w:rPr>
                <w:rFonts w:eastAsia="Malgun Gothic"/>
                <w:sz w:val="20"/>
              </w:rPr>
            </w:pPr>
            <w:r w:rsidRPr="00A52AB8">
              <w:rPr>
                <w:rFonts w:eastAsia="Malgun Gothic"/>
                <w:sz w:val="20"/>
              </w:rPr>
              <w:tab/>
              <w:t>}</w:t>
            </w:r>
          </w:p>
        </w:tc>
        <w:tc>
          <w:tcPr>
            <w:tcW w:w="1338" w:type="dxa"/>
          </w:tcPr>
          <w:p w14:paraId="4F98CEA5" w14:textId="77777777" w:rsidR="00D46374" w:rsidRPr="00A52AB8" w:rsidRDefault="00D46374" w:rsidP="009C6742">
            <w:pPr>
              <w:spacing w:before="20" w:after="40" w:line="240" w:lineRule="auto"/>
              <w:jc w:val="center"/>
              <w:rPr>
                <w:rFonts w:eastAsia="Malgun Gothic"/>
                <w:bCs/>
                <w:sz w:val="20"/>
              </w:rPr>
            </w:pPr>
          </w:p>
        </w:tc>
      </w:tr>
      <w:tr w:rsidR="00D46374" w:rsidRPr="00A52AB8" w14:paraId="232FBD19" w14:textId="77777777" w:rsidTr="004A0BDE">
        <w:trPr>
          <w:cantSplit/>
          <w:jc w:val="center"/>
        </w:trPr>
        <w:tc>
          <w:tcPr>
            <w:tcW w:w="8404" w:type="dxa"/>
          </w:tcPr>
          <w:p w14:paraId="0BD87929" w14:textId="76F28D67" w:rsidR="00D46374" w:rsidRPr="00A52AB8" w:rsidRDefault="00D46374" w:rsidP="009C6742">
            <w:pPr>
              <w:spacing w:before="20" w:after="40" w:line="240" w:lineRule="auto"/>
              <w:rPr>
                <w:rFonts w:eastAsia="Malgun Gothic"/>
                <w:sz w:val="20"/>
              </w:rPr>
            </w:pPr>
            <w:r w:rsidRPr="00A52AB8">
              <w:rPr>
                <w:rFonts w:eastAsia="Malgun Gothic"/>
                <w:sz w:val="20"/>
              </w:rPr>
              <w:tab/>
              <w:t>if( more_data_in_payload( ) </w:t>
            </w:r>
            <w:r w:rsidR="008F1F82" w:rsidRPr="00A52AB8">
              <w:rPr>
                <w:rFonts w:eastAsia="Malgun Gothic"/>
                <w:sz w:val="20"/>
              </w:rPr>
              <w:t>) {</w:t>
            </w:r>
          </w:p>
        </w:tc>
        <w:tc>
          <w:tcPr>
            <w:tcW w:w="1338" w:type="dxa"/>
          </w:tcPr>
          <w:p w14:paraId="0AACD338" w14:textId="77777777" w:rsidR="00D46374" w:rsidRPr="00A52AB8" w:rsidRDefault="00D46374" w:rsidP="009C6742">
            <w:pPr>
              <w:spacing w:before="20" w:after="40" w:line="240" w:lineRule="auto"/>
              <w:jc w:val="center"/>
              <w:rPr>
                <w:rFonts w:eastAsia="Malgun Gothic"/>
                <w:bCs/>
                <w:sz w:val="20"/>
              </w:rPr>
            </w:pPr>
          </w:p>
        </w:tc>
      </w:tr>
      <w:tr w:rsidR="00D46374" w:rsidRPr="00A52AB8" w14:paraId="266AD131" w14:textId="77777777" w:rsidTr="004A0BDE">
        <w:trPr>
          <w:cantSplit/>
          <w:jc w:val="center"/>
        </w:trPr>
        <w:tc>
          <w:tcPr>
            <w:tcW w:w="8404" w:type="dxa"/>
          </w:tcPr>
          <w:p w14:paraId="797632EF" w14:textId="77777777" w:rsidR="00D46374" w:rsidRPr="00A52AB8" w:rsidRDefault="00D46374" w:rsidP="009C6742">
            <w:pPr>
              <w:spacing w:before="20" w:after="40" w:line="240" w:lineRule="auto"/>
              <w:rPr>
                <w:rFonts w:eastAsia="Malgun Gothic"/>
                <w:sz w:val="20"/>
              </w:rPr>
            </w:pPr>
            <w:r w:rsidRPr="00A52AB8">
              <w:rPr>
                <w:rFonts w:eastAsia="Malgun Gothic"/>
                <w:sz w:val="20"/>
              </w:rPr>
              <w:tab/>
            </w:r>
            <w:r w:rsidRPr="00A52AB8">
              <w:rPr>
                <w:rFonts w:eastAsia="Malgun Gothic"/>
                <w:sz w:val="20"/>
              </w:rPr>
              <w:tab/>
              <w:t>if( payload_extension_present( ) )</w:t>
            </w:r>
          </w:p>
        </w:tc>
        <w:tc>
          <w:tcPr>
            <w:tcW w:w="1338" w:type="dxa"/>
          </w:tcPr>
          <w:p w14:paraId="468CE645" w14:textId="77777777" w:rsidR="00D46374" w:rsidRPr="00A52AB8" w:rsidRDefault="00D46374" w:rsidP="009C6742">
            <w:pPr>
              <w:spacing w:before="20" w:after="40" w:line="240" w:lineRule="auto"/>
              <w:jc w:val="center"/>
              <w:rPr>
                <w:rFonts w:eastAsia="Malgun Gothic"/>
                <w:bCs/>
                <w:sz w:val="20"/>
              </w:rPr>
            </w:pPr>
          </w:p>
        </w:tc>
      </w:tr>
      <w:tr w:rsidR="00D46374" w:rsidRPr="00A52AB8" w14:paraId="595CA7AE" w14:textId="77777777" w:rsidTr="004A0BDE">
        <w:trPr>
          <w:cantSplit/>
          <w:jc w:val="center"/>
        </w:trPr>
        <w:tc>
          <w:tcPr>
            <w:tcW w:w="8404" w:type="dxa"/>
          </w:tcPr>
          <w:p w14:paraId="6AE7FC65" w14:textId="77777777" w:rsidR="00D46374" w:rsidRPr="00A52AB8" w:rsidRDefault="00D46374" w:rsidP="009C6742">
            <w:pPr>
              <w:spacing w:before="20" w:after="40" w:line="240" w:lineRule="auto"/>
              <w:rPr>
                <w:rFonts w:eastAsia="Malgun Gothic"/>
                <w:b/>
                <w:sz w:val="20"/>
              </w:rPr>
            </w:pPr>
            <w:r w:rsidRPr="00A52AB8">
              <w:rPr>
                <w:rFonts w:eastAsia="Malgun Gothic"/>
                <w:sz w:val="20"/>
              </w:rPr>
              <w:tab/>
            </w:r>
            <w:r w:rsidRPr="00A52AB8">
              <w:rPr>
                <w:rFonts w:eastAsia="Malgun Gothic"/>
                <w:sz w:val="20"/>
              </w:rPr>
              <w:tab/>
            </w:r>
            <w:r w:rsidRPr="00A52AB8">
              <w:rPr>
                <w:rFonts w:eastAsia="Malgun Gothic"/>
                <w:sz w:val="20"/>
              </w:rPr>
              <w:tab/>
            </w:r>
            <w:r w:rsidRPr="00A52AB8">
              <w:rPr>
                <w:rFonts w:eastAsia="Malgun Gothic"/>
                <w:b/>
                <w:sz w:val="20"/>
              </w:rPr>
              <w:t>sp_reserved_payload_extension_data</w:t>
            </w:r>
          </w:p>
        </w:tc>
        <w:tc>
          <w:tcPr>
            <w:tcW w:w="1338" w:type="dxa"/>
          </w:tcPr>
          <w:p w14:paraId="60CAA65A" w14:textId="77777777" w:rsidR="00D46374" w:rsidRPr="00A52AB8" w:rsidRDefault="00D46374" w:rsidP="009C6742">
            <w:pPr>
              <w:spacing w:before="20" w:after="40" w:line="240" w:lineRule="auto"/>
              <w:jc w:val="center"/>
              <w:rPr>
                <w:rFonts w:eastAsia="Malgun Gothic"/>
                <w:bCs/>
                <w:sz w:val="20"/>
              </w:rPr>
            </w:pPr>
            <w:r w:rsidRPr="00A52AB8">
              <w:rPr>
                <w:rFonts w:eastAsia="Malgun Gothic"/>
                <w:bCs/>
                <w:sz w:val="20"/>
              </w:rPr>
              <w:t>u(v)</w:t>
            </w:r>
          </w:p>
        </w:tc>
      </w:tr>
      <w:tr w:rsidR="00D46374" w:rsidRPr="00A52AB8" w14:paraId="08F7A2CC" w14:textId="77777777" w:rsidTr="004A0BDE">
        <w:trPr>
          <w:cantSplit/>
          <w:jc w:val="center"/>
        </w:trPr>
        <w:tc>
          <w:tcPr>
            <w:tcW w:w="8404" w:type="dxa"/>
          </w:tcPr>
          <w:p w14:paraId="5299A802" w14:textId="77777777" w:rsidR="00D46374" w:rsidRPr="00A52AB8" w:rsidRDefault="00D46374" w:rsidP="009C6742">
            <w:pPr>
              <w:spacing w:before="20" w:after="40" w:line="240" w:lineRule="auto"/>
              <w:rPr>
                <w:rFonts w:eastAsia="Malgun Gothic"/>
                <w:sz w:val="20"/>
              </w:rPr>
            </w:pPr>
            <w:r w:rsidRPr="00A52AB8">
              <w:rPr>
                <w:rFonts w:eastAsia="Malgun Gothic"/>
                <w:sz w:val="20"/>
              </w:rPr>
              <w:tab/>
            </w:r>
            <w:r w:rsidRPr="00A52AB8">
              <w:rPr>
                <w:rFonts w:eastAsia="Malgun Gothic"/>
                <w:sz w:val="20"/>
              </w:rPr>
              <w:tab/>
            </w:r>
            <w:r w:rsidRPr="00A52AB8">
              <w:rPr>
                <w:color w:val="000000" w:themeColor="text1"/>
                <w:sz w:val="20"/>
                <w:szCs w:val="20"/>
              </w:rPr>
              <w:t>byte_alignment( )</w:t>
            </w:r>
          </w:p>
        </w:tc>
        <w:tc>
          <w:tcPr>
            <w:tcW w:w="1338" w:type="dxa"/>
          </w:tcPr>
          <w:p w14:paraId="6BCF40D9" w14:textId="77777777" w:rsidR="00D46374" w:rsidRPr="00A52AB8" w:rsidRDefault="00D46374" w:rsidP="009C6742">
            <w:pPr>
              <w:spacing w:before="20" w:after="40" w:line="240" w:lineRule="auto"/>
              <w:jc w:val="center"/>
              <w:rPr>
                <w:rFonts w:eastAsia="Malgun Gothic"/>
                <w:bCs/>
                <w:sz w:val="20"/>
              </w:rPr>
            </w:pPr>
          </w:p>
        </w:tc>
      </w:tr>
      <w:tr w:rsidR="00D46374" w:rsidRPr="00A52AB8" w14:paraId="60AFC3E4" w14:textId="77777777" w:rsidTr="004A0BDE">
        <w:trPr>
          <w:cantSplit/>
          <w:jc w:val="center"/>
        </w:trPr>
        <w:tc>
          <w:tcPr>
            <w:tcW w:w="8404" w:type="dxa"/>
          </w:tcPr>
          <w:p w14:paraId="1F2D1732" w14:textId="77777777" w:rsidR="00D46374" w:rsidRPr="00A52AB8" w:rsidRDefault="00D46374" w:rsidP="009C6742">
            <w:pPr>
              <w:spacing w:before="20" w:after="40" w:line="240" w:lineRule="auto"/>
              <w:rPr>
                <w:rFonts w:eastAsia="Malgun Gothic"/>
                <w:sz w:val="20"/>
              </w:rPr>
            </w:pPr>
            <w:r w:rsidRPr="00A52AB8">
              <w:rPr>
                <w:rFonts w:eastAsia="Malgun Gothic"/>
                <w:sz w:val="20"/>
              </w:rPr>
              <w:tab/>
              <w:t>}</w:t>
            </w:r>
          </w:p>
        </w:tc>
        <w:tc>
          <w:tcPr>
            <w:tcW w:w="1338" w:type="dxa"/>
          </w:tcPr>
          <w:p w14:paraId="1FDF9DA7" w14:textId="77777777" w:rsidR="00D46374" w:rsidRPr="00A52AB8" w:rsidRDefault="00D46374" w:rsidP="009C6742">
            <w:pPr>
              <w:spacing w:before="20" w:after="40" w:line="240" w:lineRule="auto"/>
              <w:jc w:val="center"/>
              <w:rPr>
                <w:rFonts w:eastAsia="Malgun Gothic"/>
                <w:bCs/>
                <w:sz w:val="20"/>
              </w:rPr>
            </w:pPr>
          </w:p>
        </w:tc>
      </w:tr>
      <w:tr w:rsidR="00D46374" w:rsidRPr="00A52AB8" w14:paraId="3E8B155A" w14:textId="77777777" w:rsidTr="004A0BDE">
        <w:trPr>
          <w:cantSplit/>
          <w:jc w:val="center"/>
        </w:trPr>
        <w:tc>
          <w:tcPr>
            <w:tcW w:w="8404" w:type="dxa"/>
          </w:tcPr>
          <w:p w14:paraId="51FAF2D2" w14:textId="77777777" w:rsidR="00D46374" w:rsidRPr="00A52AB8" w:rsidRDefault="00D46374" w:rsidP="009C6742">
            <w:pPr>
              <w:spacing w:before="20" w:after="40" w:line="240" w:lineRule="auto"/>
              <w:rPr>
                <w:rFonts w:eastAsia="Malgun Gothic"/>
                <w:sz w:val="20"/>
              </w:rPr>
            </w:pPr>
            <w:r w:rsidRPr="00A52AB8">
              <w:rPr>
                <w:rFonts w:eastAsia="Malgun Gothic"/>
                <w:sz w:val="20"/>
              </w:rPr>
              <w:t>}</w:t>
            </w:r>
          </w:p>
        </w:tc>
        <w:tc>
          <w:tcPr>
            <w:tcW w:w="1338" w:type="dxa"/>
          </w:tcPr>
          <w:p w14:paraId="234238D5" w14:textId="77777777" w:rsidR="00D46374" w:rsidRPr="00A52AB8" w:rsidRDefault="00D46374" w:rsidP="009C6742">
            <w:pPr>
              <w:spacing w:before="20" w:after="40" w:line="240" w:lineRule="auto"/>
              <w:jc w:val="center"/>
              <w:rPr>
                <w:rFonts w:eastAsia="Malgun Gothic"/>
                <w:bCs/>
                <w:sz w:val="20"/>
              </w:rPr>
            </w:pPr>
          </w:p>
        </w:tc>
      </w:tr>
    </w:tbl>
    <w:p w14:paraId="78BEEC97" w14:textId="77777777" w:rsidR="00C42897" w:rsidRPr="00A52AB8" w:rsidRDefault="00C42897" w:rsidP="009C6742">
      <w:pPr>
        <w:pStyle w:val="a3"/>
        <w:numPr>
          <w:ilvl w:val="2"/>
          <w:numId w:val="19"/>
        </w:numPr>
        <w:tabs>
          <w:tab w:val="clear" w:pos="403"/>
        </w:tabs>
        <w:spacing w:line="240" w:lineRule="auto"/>
      </w:pPr>
      <w:bookmarkStart w:id="5237" w:name="_Toc38891808"/>
      <w:bookmarkStart w:id="5238" w:name="_Toc39426405"/>
      <w:bookmarkStart w:id="5239" w:name="_Toc42730212"/>
      <w:bookmarkStart w:id="5240" w:name="_Toc45105676"/>
      <w:bookmarkStart w:id="5241" w:name="_Toc45530535"/>
      <w:bookmarkStart w:id="5242" w:name="_Toc46301898"/>
      <w:bookmarkStart w:id="5243" w:name="_Toc46302723"/>
      <w:bookmarkStart w:id="5244" w:name="_Ref49347578"/>
      <w:bookmarkStart w:id="5245" w:name="_Toc52181710"/>
      <w:bookmarkEnd w:id="5237"/>
      <w:bookmarkEnd w:id="5238"/>
      <w:bookmarkEnd w:id="5239"/>
      <w:bookmarkEnd w:id="5240"/>
      <w:bookmarkEnd w:id="5241"/>
      <w:bookmarkEnd w:id="5242"/>
      <w:bookmarkEnd w:id="5243"/>
      <w:r w:rsidRPr="00A52AB8">
        <w:t>Fil</w:t>
      </w:r>
      <w:bookmarkStart w:id="5246" w:name="_Toc317198893"/>
      <w:bookmarkStart w:id="5247" w:name="_Toc415476029"/>
      <w:bookmarkStart w:id="5248" w:name="_Toc423599304"/>
      <w:bookmarkStart w:id="5249" w:name="_Toc423601808"/>
      <w:bookmarkStart w:id="5250" w:name="_Toc501130270"/>
      <w:bookmarkStart w:id="5251" w:name="_Toc503777974"/>
      <w:r w:rsidRPr="00A52AB8">
        <w:t>ler payload SEI message syntax</w:t>
      </w:r>
      <w:bookmarkEnd w:id="5244"/>
      <w:bookmarkEnd w:id="5245"/>
      <w:bookmarkEnd w:id="5246"/>
      <w:bookmarkEnd w:id="5247"/>
      <w:bookmarkEnd w:id="5248"/>
      <w:bookmarkEnd w:id="5249"/>
      <w:bookmarkEnd w:id="5250"/>
      <w:bookmarkEnd w:id="5251"/>
    </w:p>
    <w:tbl>
      <w:tblPr>
        <w:tblW w:w="5000" w:type="pct"/>
        <w:jc w:val="center"/>
        <w:tblLayout w:type="fixed"/>
        <w:tblLook w:val="04A0" w:firstRow="1" w:lastRow="0" w:firstColumn="1" w:lastColumn="0" w:noHBand="0" w:noVBand="1"/>
      </w:tblPr>
      <w:tblGrid>
        <w:gridCol w:w="8422"/>
        <w:gridCol w:w="1314"/>
      </w:tblGrid>
      <w:tr w:rsidR="00C42897" w:rsidRPr="00A52AB8" w14:paraId="73B05BAB" w14:textId="77777777" w:rsidTr="00A252B5">
        <w:trPr>
          <w:cantSplit/>
          <w:jc w:val="center"/>
        </w:trPr>
        <w:tc>
          <w:tcPr>
            <w:tcW w:w="7921" w:type="dxa"/>
            <w:tcBorders>
              <w:top w:val="single" w:sz="6" w:space="0" w:color="auto"/>
              <w:left w:val="single" w:sz="6" w:space="0" w:color="auto"/>
              <w:bottom w:val="single" w:sz="4" w:space="0" w:color="auto"/>
              <w:right w:val="single" w:sz="6" w:space="0" w:color="auto"/>
            </w:tcBorders>
          </w:tcPr>
          <w:p w14:paraId="4F876753" w14:textId="52278FBE" w:rsidR="00C42897" w:rsidRPr="00A52AB8" w:rsidRDefault="00C42897" w:rsidP="009C6742">
            <w:pPr>
              <w:pStyle w:val="tablesyntax"/>
              <w:keepNext w:val="0"/>
              <w:keepLines w:val="0"/>
              <w:spacing w:before="20" w:after="40"/>
              <w:rPr>
                <w:rFonts w:ascii="Cambria" w:hAnsi="Cambria"/>
              </w:rPr>
            </w:pPr>
            <w:r w:rsidRPr="00A52AB8">
              <w:rPr>
                <w:rFonts w:ascii="Cambria" w:hAnsi="Cambria"/>
              </w:rPr>
              <w:t xml:space="preserve">filler_payload( payloadSize </w:t>
            </w:r>
            <w:r w:rsidR="008F1F82" w:rsidRPr="00A52AB8">
              <w:rPr>
                <w:rFonts w:ascii="Cambria" w:hAnsi="Cambria"/>
              </w:rPr>
              <w:t>) {</w:t>
            </w:r>
          </w:p>
        </w:tc>
        <w:tc>
          <w:tcPr>
            <w:tcW w:w="1236" w:type="dxa"/>
            <w:tcBorders>
              <w:top w:val="single" w:sz="6" w:space="0" w:color="auto"/>
              <w:left w:val="single" w:sz="6" w:space="0" w:color="auto"/>
              <w:bottom w:val="single" w:sz="4" w:space="0" w:color="auto"/>
              <w:right w:val="single" w:sz="6" w:space="0" w:color="auto"/>
            </w:tcBorders>
          </w:tcPr>
          <w:p w14:paraId="1893A868" w14:textId="77777777" w:rsidR="00C42897" w:rsidRPr="00A52AB8" w:rsidRDefault="00C42897" w:rsidP="009C6742">
            <w:pPr>
              <w:pStyle w:val="tableheading"/>
              <w:keepNext w:val="0"/>
              <w:keepLines w:val="0"/>
              <w:spacing w:before="20" w:after="40"/>
              <w:rPr>
                <w:rFonts w:ascii="Cambria" w:hAnsi="Cambria"/>
              </w:rPr>
            </w:pPr>
            <w:r w:rsidRPr="00A52AB8">
              <w:rPr>
                <w:rFonts w:ascii="Cambria" w:hAnsi="Cambria"/>
              </w:rPr>
              <w:t>Descriptor</w:t>
            </w:r>
          </w:p>
        </w:tc>
      </w:tr>
      <w:tr w:rsidR="00C42897" w:rsidRPr="00A52AB8" w14:paraId="33F2CDF2" w14:textId="77777777" w:rsidTr="00A252B5">
        <w:trPr>
          <w:cantSplit/>
          <w:jc w:val="center"/>
        </w:trPr>
        <w:tc>
          <w:tcPr>
            <w:tcW w:w="7921" w:type="dxa"/>
            <w:tcBorders>
              <w:top w:val="single" w:sz="6" w:space="0" w:color="auto"/>
              <w:left w:val="single" w:sz="6" w:space="0" w:color="auto"/>
              <w:bottom w:val="single" w:sz="4" w:space="0" w:color="auto"/>
              <w:right w:val="single" w:sz="6" w:space="0" w:color="auto"/>
            </w:tcBorders>
          </w:tcPr>
          <w:p w14:paraId="4FB9B0AC" w14:textId="04C7E0E3" w:rsidR="00C42897" w:rsidRPr="00A52AB8" w:rsidRDefault="00C42897" w:rsidP="009C6742">
            <w:pPr>
              <w:pStyle w:val="tablesyntax"/>
              <w:keepNext w:val="0"/>
              <w:keepLines w:val="0"/>
              <w:spacing w:before="20" w:after="40"/>
              <w:rPr>
                <w:rFonts w:ascii="Cambria" w:hAnsi="Cambria"/>
              </w:rPr>
            </w:pPr>
            <w:r w:rsidRPr="00A52AB8">
              <w:rPr>
                <w:rFonts w:ascii="Cambria" w:hAnsi="Cambria"/>
              </w:rPr>
              <w:tab/>
              <w:t>for( k</w:t>
            </w:r>
            <w:r w:rsidR="0023721F" w:rsidRPr="00A52AB8">
              <w:rPr>
                <w:rFonts w:ascii="Cambria" w:hAnsi="Cambria"/>
              </w:rPr>
              <w:t> </w:t>
            </w:r>
            <w:r w:rsidR="00D47707" w:rsidRPr="00A52AB8">
              <w:rPr>
                <w:rFonts w:ascii="Cambria" w:hAnsi="Cambria"/>
              </w:rPr>
              <w:t>= </w:t>
            </w:r>
            <w:r w:rsidRPr="00A52AB8">
              <w:rPr>
                <w:rFonts w:ascii="Cambria" w:hAnsi="Cambria"/>
              </w:rPr>
              <w:t>0; k &lt; payloadSize; k</w:t>
            </w:r>
            <w:r w:rsidR="00006CCF" w:rsidRPr="00A52AB8">
              <w:rPr>
                <w:rFonts w:ascii="Cambria" w:hAnsi="Cambria"/>
              </w:rPr>
              <w:t>++ )</w:t>
            </w:r>
          </w:p>
        </w:tc>
        <w:tc>
          <w:tcPr>
            <w:tcW w:w="1236" w:type="dxa"/>
            <w:tcBorders>
              <w:top w:val="single" w:sz="6" w:space="0" w:color="auto"/>
              <w:left w:val="single" w:sz="6" w:space="0" w:color="auto"/>
              <w:bottom w:val="single" w:sz="4" w:space="0" w:color="auto"/>
              <w:right w:val="single" w:sz="6" w:space="0" w:color="auto"/>
            </w:tcBorders>
          </w:tcPr>
          <w:p w14:paraId="21BB9293" w14:textId="77777777" w:rsidR="00C42897" w:rsidRPr="00A52AB8" w:rsidRDefault="00C42897" w:rsidP="009C6742">
            <w:pPr>
              <w:pStyle w:val="tableheading"/>
              <w:keepNext w:val="0"/>
              <w:keepLines w:val="0"/>
              <w:spacing w:before="20" w:after="40"/>
              <w:rPr>
                <w:rFonts w:ascii="Cambria" w:hAnsi="Cambria"/>
                <w:b w:val="0"/>
                <w:bCs w:val="0"/>
              </w:rPr>
            </w:pPr>
          </w:p>
        </w:tc>
      </w:tr>
      <w:tr w:rsidR="00C42897" w:rsidRPr="00A52AB8" w14:paraId="643FC487" w14:textId="77777777" w:rsidTr="00A252B5">
        <w:trPr>
          <w:cantSplit/>
          <w:jc w:val="center"/>
        </w:trPr>
        <w:tc>
          <w:tcPr>
            <w:tcW w:w="7921" w:type="dxa"/>
            <w:tcBorders>
              <w:top w:val="single" w:sz="6" w:space="0" w:color="auto"/>
              <w:left w:val="single" w:sz="6" w:space="0" w:color="auto"/>
              <w:bottom w:val="single" w:sz="4" w:space="0" w:color="auto"/>
              <w:right w:val="single" w:sz="6" w:space="0" w:color="auto"/>
            </w:tcBorders>
          </w:tcPr>
          <w:p w14:paraId="04D38DC4" w14:textId="6D145D1C" w:rsidR="00C42897" w:rsidRPr="00A52AB8" w:rsidRDefault="00C42897" w:rsidP="009C6742">
            <w:pPr>
              <w:pStyle w:val="tablesyntax"/>
              <w:keepNext w:val="0"/>
              <w:keepLines w:val="0"/>
              <w:spacing w:before="20" w:after="40"/>
              <w:rPr>
                <w:rFonts w:ascii="Cambria" w:hAnsi="Cambria"/>
              </w:rPr>
            </w:pPr>
            <w:r w:rsidRPr="00A52AB8">
              <w:rPr>
                <w:rFonts w:ascii="Cambria" w:hAnsi="Cambria"/>
              </w:rPr>
              <w:tab/>
            </w:r>
            <w:r w:rsidRPr="00A52AB8">
              <w:rPr>
                <w:rFonts w:ascii="Cambria" w:hAnsi="Cambria"/>
              </w:rPr>
              <w:tab/>
            </w:r>
            <w:r w:rsidRPr="00A52AB8">
              <w:rPr>
                <w:rFonts w:ascii="Cambria" w:hAnsi="Cambria"/>
                <w:b/>
                <w:bCs/>
              </w:rPr>
              <w:t>ff_byte</w:t>
            </w:r>
            <w:r w:rsidRPr="00A52AB8">
              <w:rPr>
                <w:rFonts w:ascii="Cambria" w:hAnsi="Cambria"/>
              </w:rPr>
              <w:t xml:space="preserve"> /* equal to 0xFF */</w:t>
            </w:r>
          </w:p>
        </w:tc>
        <w:tc>
          <w:tcPr>
            <w:tcW w:w="1236" w:type="dxa"/>
            <w:tcBorders>
              <w:top w:val="single" w:sz="6" w:space="0" w:color="auto"/>
              <w:left w:val="single" w:sz="6" w:space="0" w:color="auto"/>
              <w:bottom w:val="single" w:sz="4" w:space="0" w:color="auto"/>
              <w:right w:val="single" w:sz="6" w:space="0" w:color="auto"/>
            </w:tcBorders>
          </w:tcPr>
          <w:p w14:paraId="42F24B4E" w14:textId="77777777" w:rsidR="00C42897" w:rsidRPr="00A52AB8" w:rsidRDefault="00C42897" w:rsidP="009C6742">
            <w:pPr>
              <w:pStyle w:val="tableheading"/>
              <w:keepNext w:val="0"/>
              <w:keepLines w:val="0"/>
              <w:spacing w:before="20" w:after="40"/>
              <w:jc w:val="center"/>
              <w:rPr>
                <w:rFonts w:ascii="Cambria" w:hAnsi="Cambria"/>
                <w:b w:val="0"/>
                <w:bCs w:val="0"/>
              </w:rPr>
            </w:pPr>
            <w:r w:rsidRPr="00A52AB8">
              <w:rPr>
                <w:rFonts w:ascii="Cambria" w:hAnsi="Cambria"/>
                <w:b w:val="0"/>
                <w:bCs w:val="0"/>
              </w:rPr>
              <w:t>f(8)</w:t>
            </w:r>
          </w:p>
        </w:tc>
      </w:tr>
      <w:tr w:rsidR="00C42897" w:rsidRPr="00A52AB8" w14:paraId="4032E4FC" w14:textId="77777777" w:rsidTr="00A252B5">
        <w:trPr>
          <w:cantSplit/>
          <w:jc w:val="center"/>
        </w:trPr>
        <w:tc>
          <w:tcPr>
            <w:tcW w:w="7921" w:type="dxa"/>
            <w:tcBorders>
              <w:top w:val="single" w:sz="2" w:space="0" w:color="auto"/>
              <w:left w:val="single" w:sz="6" w:space="0" w:color="auto"/>
              <w:bottom w:val="single" w:sz="2" w:space="0" w:color="auto"/>
              <w:right w:val="single" w:sz="6" w:space="0" w:color="auto"/>
            </w:tcBorders>
          </w:tcPr>
          <w:p w14:paraId="7D635D09" w14:textId="77777777" w:rsidR="00C42897" w:rsidRPr="00A52AB8" w:rsidRDefault="00C42897" w:rsidP="009C6742">
            <w:pPr>
              <w:pStyle w:val="tablesyntax"/>
              <w:keepNext w:val="0"/>
              <w:keepLines w:val="0"/>
              <w:spacing w:before="20" w:after="40"/>
              <w:rPr>
                <w:rFonts w:ascii="Cambria" w:hAnsi="Cambria"/>
              </w:rPr>
            </w:pPr>
            <w:r w:rsidRPr="00A52AB8">
              <w:rPr>
                <w:rFonts w:ascii="Cambria" w:hAnsi="Cambria"/>
              </w:rPr>
              <w:t>}</w:t>
            </w:r>
          </w:p>
        </w:tc>
        <w:tc>
          <w:tcPr>
            <w:tcW w:w="1236" w:type="dxa"/>
            <w:tcBorders>
              <w:top w:val="single" w:sz="2" w:space="0" w:color="auto"/>
              <w:left w:val="single" w:sz="6" w:space="0" w:color="auto"/>
              <w:bottom w:val="single" w:sz="2" w:space="0" w:color="auto"/>
              <w:right w:val="single" w:sz="6" w:space="0" w:color="auto"/>
            </w:tcBorders>
          </w:tcPr>
          <w:p w14:paraId="67F514FC" w14:textId="77777777" w:rsidR="00C42897" w:rsidRPr="00A52AB8" w:rsidRDefault="00C42897" w:rsidP="009C6742">
            <w:pPr>
              <w:pStyle w:val="tablecell"/>
              <w:keepNext w:val="0"/>
              <w:keepLines w:val="0"/>
              <w:spacing w:before="20" w:after="40"/>
              <w:rPr>
                <w:rFonts w:ascii="Cambria" w:hAnsi="Cambria"/>
              </w:rPr>
            </w:pPr>
          </w:p>
        </w:tc>
      </w:tr>
    </w:tbl>
    <w:p w14:paraId="7B875E6D" w14:textId="77777777" w:rsidR="00C42897" w:rsidRPr="00A52AB8" w:rsidRDefault="00C42897" w:rsidP="009C6742">
      <w:pPr>
        <w:pStyle w:val="a3"/>
        <w:numPr>
          <w:ilvl w:val="2"/>
          <w:numId w:val="19"/>
        </w:numPr>
        <w:tabs>
          <w:tab w:val="clear" w:pos="403"/>
        </w:tabs>
        <w:spacing w:line="240" w:lineRule="auto"/>
      </w:pPr>
      <w:bookmarkStart w:id="5252" w:name="_Toc38891810"/>
      <w:bookmarkStart w:id="5253" w:name="_Toc39426407"/>
      <w:bookmarkStart w:id="5254" w:name="_Toc42730214"/>
      <w:bookmarkStart w:id="5255" w:name="_Toc45105678"/>
      <w:bookmarkStart w:id="5256" w:name="_Toc45530537"/>
      <w:bookmarkStart w:id="5257" w:name="_Toc46301900"/>
      <w:bookmarkStart w:id="5258" w:name="_Toc46302725"/>
      <w:bookmarkStart w:id="5259" w:name="_Toc317198894"/>
      <w:bookmarkStart w:id="5260" w:name="_Toc415476030"/>
      <w:bookmarkStart w:id="5261" w:name="_Toc423599305"/>
      <w:bookmarkStart w:id="5262" w:name="_Toc423601809"/>
      <w:bookmarkStart w:id="5263" w:name="_Toc501130271"/>
      <w:bookmarkStart w:id="5264" w:name="_Toc503777975"/>
      <w:bookmarkStart w:id="5265" w:name="_Ref49347590"/>
      <w:bookmarkStart w:id="5266" w:name="_Toc52181711"/>
      <w:bookmarkEnd w:id="5252"/>
      <w:bookmarkEnd w:id="5253"/>
      <w:bookmarkEnd w:id="5254"/>
      <w:bookmarkEnd w:id="5255"/>
      <w:bookmarkEnd w:id="5256"/>
      <w:bookmarkEnd w:id="5257"/>
      <w:bookmarkEnd w:id="5258"/>
      <w:r w:rsidRPr="00A52AB8">
        <w:t>User data registered by Recommendation ITU-T T.35 SEI message syntax</w:t>
      </w:r>
      <w:bookmarkEnd w:id="5259"/>
      <w:bookmarkEnd w:id="5260"/>
      <w:bookmarkEnd w:id="5261"/>
      <w:bookmarkEnd w:id="5262"/>
      <w:bookmarkEnd w:id="5263"/>
      <w:bookmarkEnd w:id="5264"/>
      <w:bookmarkEnd w:id="5265"/>
      <w:bookmarkEnd w:id="5266"/>
    </w:p>
    <w:tbl>
      <w:tblPr>
        <w:tblW w:w="5000" w:type="pct"/>
        <w:jc w:val="center"/>
        <w:tblLayout w:type="fixed"/>
        <w:tblLook w:val="04A0" w:firstRow="1" w:lastRow="0" w:firstColumn="1" w:lastColumn="0" w:noHBand="0" w:noVBand="1"/>
      </w:tblPr>
      <w:tblGrid>
        <w:gridCol w:w="8406"/>
        <w:gridCol w:w="1330"/>
      </w:tblGrid>
      <w:tr w:rsidR="00C42897" w:rsidRPr="00A52AB8" w14:paraId="6698671A" w14:textId="77777777" w:rsidTr="00A252B5">
        <w:trPr>
          <w:cantSplit/>
          <w:jc w:val="center"/>
        </w:trPr>
        <w:tc>
          <w:tcPr>
            <w:tcW w:w="7921" w:type="dxa"/>
            <w:tcBorders>
              <w:top w:val="single" w:sz="6" w:space="0" w:color="auto"/>
              <w:left w:val="single" w:sz="6" w:space="0" w:color="auto"/>
              <w:bottom w:val="single" w:sz="4" w:space="0" w:color="auto"/>
              <w:right w:val="single" w:sz="6" w:space="0" w:color="auto"/>
            </w:tcBorders>
          </w:tcPr>
          <w:p w14:paraId="133E755C" w14:textId="5DA1F333" w:rsidR="00C42897" w:rsidRPr="00A52AB8" w:rsidRDefault="00C42897" w:rsidP="009C6742">
            <w:pPr>
              <w:pStyle w:val="tablesyntax"/>
              <w:keepNext w:val="0"/>
              <w:keepLines w:val="0"/>
              <w:spacing w:before="20" w:after="40"/>
              <w:rPr>
                <w:rFonts w:ascii="Cambria" w:hAnsi="Cambria"/>
              </w:rPr>
            </w:pPr>
            <w:r w:rsidRPr="00A52AB8">
              <w:rPr>
                <w:rFonts w:ascii="Cambria" w:hAnsi="Cambria"/>
              </w:rPr>
              <w:t xml:space="preserve">user_data_registered_itu_t_t35( payloadSize </w:t>
            </w:r>
            <w:r w:rsidR="008F1F82" w:rsidRPr="00A52AB8">
              <w:rPr>
                <w:rFonts w:ascii="Cambria" w:hAnsi="Cambria"/>
              </w:rPr>
              <w:t>) {</w:t>
            </w:r>
          </w:p>
        </w:tc>
        <w:tc>
          <w:tcPr>
            <w:tcW w:w="1253" w:type="dxa"/>
            <w:tcBorders>
              <w:top w:val="single" w:sz="6" w:space="0" w:color="auto"/>
              <w:left w:val="single" w:sz="6" w:space="0" w:color="auto"/>
              <w:bottom w:val="single" w:sz="4" w:space="0" w:color="auto"/>
              <w:right w:val="single" w:sz="6" w:space="0" w:color="auto"/>
            </w:tcBorders>
          </w:tcPr>
          <w:p w14:paraId="5E290457" w14:textId="77777777" w:rsidR="00C42897" w:rsidRPr="00A52AB8" w:rsidRDefault="00C42897" w:rsidP="009C6742">
            <w:pPr>
              <w:pStyle w:val="tableheading"/>
              <w:keepNext w:val="0"/>
              <w:keepLines w:val="0"/>
              <w:spacing w:before="20" w:after="40"/>
              <w:rPr>
                <w:rFonts w:ascii="Cambria" w:hAnsi="Cambria"/>
              </w:rPr>
            </w:pPr>
            <w:r w:rsidRPr="00A52AB8">
              <w:rPr>
                <w:rFonts w:ascii="Cambria" w:hAnsi="Cambria"/>
              </w:rPr>
              <w:t>Descriptor</w:t>
            </w:r>
          </w:p>
        </w:tc>
      </w:tr>
      <w:tr w:rsidR="00C42897" w:rsidRPr="00A52AB8" w14:paraId="77BB7B5A" w14:textId="77777777" w:rsidTr="00A252B5">
        <w:trPr>
          <w:cantSplit/>
          <w:jc w:val="center"/>
        </w:trPr>
        <w:tc>
          <w:tcPr>
            <w:tcW w:w="7921" w:type="dxa"/>
            <w:tcBorders>
              <w:top w:val="single" w:sz="6" w:space="0" w:color="auto"/>
              <w:left w:val="single" w:sz="6" w:space="0" w:color="auto"/>
              <w:bottom w:val="single" w:sz="4" w:space="0" w:color="auto"/>
              <w:right w:val="single" w:sz="6" w:space="0" w:color="auto"/>
            </w:tcBorders>
          </w:tcPr>
          <w:p w14:paraId="7FB8470E" w14:textId="77777777" w:rsidR="00C42897" w:rsidRPr="00A52AB8" w:rsidRDefault="00C42897" w:rsidP="009C6742">
            <w:pPr>
              <w:pStyle w:val="tablesyntax"/>
              <w:keepNext w:val="0"/>
              <w:keepLines w:val="0"/>
              <w:spacing w:before="20" w:after="40"/>
              <w:rPr>
                <w:rFonts w:ascii="Cambria" w:hAnsi="Cambria"/>
              </w:rPr>
            </w:pPr>
            <w:r w:rsidRPr="00A52AB8">
              <w:rPr>
                <w:rFonts w:ascii="Cambria" w:hAnsi="Cambria"/>
              </w:rPr>
              <w:tab/>
            </w:r>
            <w:r w:rsidRPr="00A52AB8">
              <w:rPr>
                <w:rFonts w:ascii="Cambria" w:hAnsi="Cambria"/>
                <w:b/>
                <w:bCs/>
              </w:rPr>
              <w:t>itu_t_t35_country_code</w:t>
            </w:r>
          </w:p>
        </w:tc>
        <w:tc>
          <w:tcPr>
            <w:tcW w:w="1253" w:type="dxa"/>
            <w:tcBorders>
              <w:top w:val="single" w:sz="6" w:space="0" w:color="auto"/>
              <w:left w:val="single" w:sz="6" w:space="0" w:color="auto"/>
              <w:bottom w:val="single" w:sz="4" w:space="0" w:color="auto"/>
              <w:right w:val="single" w:sz="6" w:space="0" w:color="auto"/>
            </w:tcBorders>
          </w:tcPr>
          <w:p w14:paraId="5B8AD287" w14:textId="77777777" w:rsidR="00C42897" w:rsidRPr="00A52AB8" w:rsidRDefault="00C42897" w:rsidP="009C6742">
            <w:pPr>
              <w:pStyle w:val="tableheading"/>
              <w:keepNext w:val="0"/>
              <w:keepLines w:val="0"/>
              <w:spacing w:before="20" w:after="40"/>
              <w:jc w:val="center"/>
              <w:rPr>
                <w:rFonts w:ascii="Cambria" w:hAnsi="Cambria"/>
                <w:b w:val="0"/>
                <w:bCs w:val="0"/>
              </w:rPr>
            </w:pPr>
            <w:r w:rsidRPr="00A52AB8">
              <w:rPr>
                <w:rFonts w:ascii="Cambria" w:hAnsi="Cambria"/>
                <w:b w:val="0"/>
              </w:rPr>
              <w:t>b(8)</w:t>
            </w:r>
          </w:p>
        </w:tc>
      </w:tr>
      <w:tr w:rsidR="00C42897" w:rsidRPr="00A52AB8" w14:paraId="408972E2" w14:textId="77777777" w:rsidTr="00A252B5">
        <w:trPr>
          <w:cantSplit/>
          <w:jc w:val="center"/>
        </w:trPr>
        <w:tc>
          <w:tcPr>
            <w:tcW w:w="7921" w:type="dxa"/>
            <w:tcBorders>
              <w:top w:val="single" w:sz="6" w:space="0" w:color="auto"/>
              <w:left w:val="single" w:sz="6" w:space="0" w:color="auto"/>
              <w:bottom w:val="single" w:sz="4" w:space="0" w:color="auto"/>
              <w:right w:val="single" w:sz="6" w:space="0" w:color="auto"/>
            </w:tcBorders>
          </w:tcPr>
          <w:p w14:paraId="6E7824A1" w14:textId="40ED096E" w:rsidR="00C42897" w:rsidRPr="00A52AB8" w:rsidRDefault="00C42897" w:rsidP="009C6742">
            <w:pPr>
              <w:pStyle w:val="tablesyntax"/>
              <w:keepNext w:val="0"/>
              <w:keepLines w:val="0"/>
              <w:spacing w:before="20" w:after="40"/>
              <w:rPr>
                <w:rFonts w:ascii="Cambria" w:hAnsi="Cambria"/>
              </w:rPr>
            </w:pPr>
            <w:r w:rsidRPr="00A52AB8">
              <w:rPr>
                <w:rFonts w:ascii="Cambria" w:hAnsi="Cambria"/>
              </w:rPr>
              <w:tab/>
              <w:t>if(</w:t>
            </w:r>
            <w:r w:rsidR="00890431" w:rsidRPr="00A52AB8">
              <w:rPr>
                <w:rFonts w:ascii="Cambria" w:hAnsi="Cambria"/>
              </w:rPr>
              <w:t> </w:t>
            </w:r>
            <w:r w:rsidRPr="00A52AB8">
              <w:rPr>
                <w:rFonts w:ascii="Cambria" w:hAnsi="Cambria"/>
              </w:rPr>
              <w:t>itu_t_t35_country_code</w:t>
            </w:r>
            <w:r w:rsidR="00890431" w:rsidRPr="00A52AB8">
              <w:rPr>
                <w:rFonts w:ascii="Cambria" w:hAnsi="Cambria"/>
              </w:rPr>
              <w:t> </w:t>
            </w:r>
            <w:r w:rsidR="00E963F3" w:rsidRPr="00A52AB8">
              <w:rPr>
                <w:rFonts w:ascii="Cambria" w:hAnsi="Cambria"/>
              </w:rPr>
              <w:t>!=</w:t>
            </w:r>
            <w:r w:rsidR="00D47707" w:rsidRPr="00A52AB8">
              <w:rPr>
                <w:rFonts w:ascii="Cambria" w:hAnsi="Cambria"/>
              </w:rPr>
              <w:t> </w:t>
            </w:r>
            <w:r w:rsidRPr="00A52AB8">
              <w:rPr>
                <w:rFonts w:ascii="Cambria" w:hAnsi="Cambria"/>
              </w:rPr>
              <w:t>0xFF</w:t>
            </w:r>
            <w:r w:rsidR="00890431" w:rsidRPr="00A52AB8">
              <w:rPr>
                <w:rFonts w:ascii="Cambria" w:hAnsi="Cambria"/>
              </w:rPr>
              <w:t> </w:t>
            </w:r>
            <w:r w:rsidRPr="00A52AB8">
              <w:rPr>
                <w:rFonts w:ascii="Cambria" w:hAnsi="Cambria"/>
              </w:rPr>
              <w:t>)</w:t>
            </w:r>
          </w:p>
        </w:tc>
        <w:tc>
          <w:tcPr>
            <w:tcW w:w="1253" w:type="dxa"/>
            <w:tcBorders>
              <w:top w:val="single" w:sz="6" w:space="0" w:color="auto"/>
              <w:left w:val="single" w:sz="6" w:space="0" w:color="auto"/>
              <w:bottom w:val="single" w:sz="4" w:space="0" w:color="auto"/>
              <w:right w:val="single" w:sz="6" w:space="0" w:color="auto"/>
            </w:tcBorders>
          </w:tcPr>
          <w:p w14:paraId="122214ED" w14:textId="77777777" w:rsidR="00C42897" w:rsidRPr="00A52AB8" w:rsidRDefault="00C42897" w:rsidP="009C6742">
            <w:pPr>
              <w:pStyle w:val="tableheading"/>
              <w:keepNext w:val="0"/>
              <w:keepLines w:val="0"/>
              <w:spacing w:before="20" w:after="40"/>
              <w:rPr>
                <w:rFonts w:ascii="Cambria" w:hAnsi="Cambria"/>
                <w:b w:val="0"/>
                <w:bCs w:val="0"/>
              </w:rPr>
            </w:pPr>
          </w:p>
        </w:tc>
      </w:tr>
      <w:tr w:rsidR="00C42897" w:rsidRPr="00A52AB8" w14:paraId="40FC2607" w14:textId="77777777" w:rsidTr="00A252B5">
        <w:trPr>
          <w:cantSplit/>
          <w:jc w:val="center"/>
        </w:trPr>
        <w:tc>
          <w:tcPr>
            <w:tcW w:w="7921" w:type="dxa"/>
            <w:tcBorders>
              <w:top w:val="single" w:sz="6" w:space="0" w:color="auto"/>
              <w:left w:val="single" w:sz="6" w:space="0" w:color="auto"/>
              <w:bottom w:val="single" w:sz="4" w:space="0" w:color="auto"/>
              <w:right w:val="single" w:sz="6" w:space="0" w:color="auto"/>
            </w:tcBorders>
          </w:tcPr>
          <w:p w14:paraId="74091713" w14:textId="0082F887" w:rsidR="00C42897" w:rsidRPr="00A52AB8" w:rsidRDefault="00C42897" w:rsidP="009C6742">
            <w:pPr>
              <w:pStyle w:val="tablesyntax"/>
              <w:keepNext w:val="0"/>
              <w:keepLines w:val="0"/>
              <w:spacing w:before="20" w:after="40"/>
              <w:rPr>
                <w:rFonts w:ascii="Cambria" w:hAnsi="Cambria"/>
              </w:rPr>
            </w:pPr>
            <w:r w:rsidRPr="00A52AB8">
              <w:rPr>
                <w:rFonts w:ascii="Cambria" w:hAnsi="Cambria"/>
              </w:rPr>
              <w:tab/>
            </w:r>
            <w:r w:rsidRPr="00A52AB8">
              <w:rPr>
                <w:rFonts w:ascii="Cambria" w:hAnsi="Cambria"/>
              </w:rPr>
              <w:tab/>
              <w:t>i</w:t>
            </w:r>
            <w:r w:rsidR="0023721F" w:rsidRPr="00A52AB8">
              <w:rPr>
                <w:rFonts w:ascii="Cambria" w:hAnsi="Cambria"/>
              </w:rPr>
              <w:t> </w:t>
            </w:r>
            <w:r w:rsidR="00D47707" w:rsidRPr="00A52AB8">
              <w:rPr>
                <w:rFonts w:ascii="Cambria" w:hAnsi="Cambria"/>
              </w:rPr>
              <w:t>= </w:t>
            </w:r>
            <w:r w:rsidRPr="00A52AB8">
              <w:rPr>
                <w:rFonts w:ascii="Cambria" w:hAnsi="Cambria"/>
              </w:rPr>
              <w:t>1</w:t>
            </w:r>
          </w:p>
        </w:tc>
        <w:tc>
          <w:tcPr>
            <w:tcW w:w="1253" w:type="dxa"/>
            <w:tcBorders>
              <w:top w:val="single" w:sz="6" w:space="0" w:color="auto"/>
              <w:left w:val="single" w:sz="6" w:space="0" w:color="auto"/>
              <w:bottom w:val="single" w:sz="4" w:space="0" w:color="auto"/>
              <w:right w:val="single" w:sz="6" w:space="0" w:color="auto"/>
            </w:tcBorders>
          </w:tcPr>
          <w:p w14:paraId="1BC71EFA" w14:textId="77777777" w:rsidR="00C42897" w:rsidRPr="00A52AB8" w:rsidRDefault="00C42897" w:rsidP="009C6742">
            <w:pPr>
              <w:pStyle w:val="tableheading"/>
              <w:keepNext w:val="0"/>
              <w:keepLines w:val="0"/>
              <w:spacing w:before="20" w:after="40"/>
              <w:rPr>
                <w:rFonts w:ascii="Cambria" w:hAnsi="Cambria"/>
                <w:b w:val="0"/>
                <w:bCs w:val="0"/>
              </w:rPr>
            </w:pPr>
          </w:p>
        </w:tc>
      </w:tr>
      <w:tr w:rsidR="00C42897" w:rsidRPr="00A52AB8" w14:paraId="42EBC7E3" w14:textId="77777777" w:rsidTr="00A252B5">
        <w:trPr>
          <w:cantSplit/>
          <w:jc w:val="center"/>
        </w:trPr>
        <w:tc>
          <w:tcPr>
            <w:tcW w:w="7921" w:type="dxa"/>
            <w:tcBorders>
              <w:top w:val="single" w:sz="6" w:space="0" w:color="auto"/>
              <w:left w:val="single" w:sz="6" w:space="0" w:color="auto"/>
              <w:bottom w:val="single" w:sz="4" w:space="0" w:color="auto"/>
              <w:right w:val="single" w:sz="6" w:space="0" w:color="auto"/>
            </w:tcBorders>
          </w:tcPr>
          <w:p w14:paraId="244B9FC7" w14:textId="77777777" w:rsidR="00C42897" w:rsidRPr="00A52AB8" w:rsidRDefault="00C42897" w:rsidP="009C6742">
            <w:pPr>
              <w:pStyle w:val="tablesyntax"/>
              <w:keepNext w:val="0"/>
              <w:keepLines w:val="0"/>
              <w:spacing w:before="20" w:after="40"/>
              <w:rPr>
                <w:rFonts w:ascii="Cambria" w:hAnsi="Cambria"/>
              </w:rPr>
            </w:pPr>
            <w:r w:rsidRPr="00A52AB8">
              <w:rPr>
                <w:rFonts w:ascii="Cambria" w:hAnsi="Cambria"/>
              </w:rPr>
              <w:tab/>
              <w:t>else {</w:t>
            </w:r>
          </w:p>
        </w:tc>
        <w:tc>
          <w:tcPr>
            <w:tcW w:w="1253" w:type="dxa"/>
            <w:tcBorders>
              <w:top w:val="single" w:sz="6" w:space="0" w:color="auto"/>
              <w:left w:val="single" w:sz="6" w:space="0" w:color="auto"/>
              <w:bottom w:val="single" w:sz="4" w:space="0" w:color="auto"/>
              <w:right w:val="single" w:sz="6" w:space="0" w:color="auto"/>
            </w:tcBorders>
          </w:tcPr>
          <w:p w14:paraId="043D68D8" w14:textId="77777777" w:rsidR="00C42897" w:rsidRPr="00A52AB8" w:rsidRDefault="00C42897" w:rsidP="009C6742">
            <w:pPr>
              <w:pStyle w:val="tableheading"/>
              <w:keepNext w:val="0"/>
              <w:keepLines w:val="0"/>
              <w:spacing w:before="20" w:after="40"/>
              <w:rPr>
                <w:rFonts w:ascii="Cambria" w:hAnsi="Cambria"/>
                <w:b w:val="0"/>
                <w:bCs w:val="0"/>
              </w:rPr>
            </w:pPr>
          </w:p>
        </w:tc>
      </w:tr>
      <w:tr w:rsidR="00C42897" w:rsidRPr="00A52AB8" w14:paraId="46AC0C76" w14:textId="77777777" w:rsidTr="00A252B5">
        <w:trPr>
          <w:cantSplit/>
          <w:jc w:val="center"/>
        </w:trPr>
        <w:tc>
          <w:tcPr>
            <w:tcW w:w="7921" w:type="dxa"/>
            <w:tcBorders>
              <w:top w:val="single" w:sz="6" w:space="0" w:color="auto"/>
              <w:left w:val="single" w:sz="6" w:space="0" w:color="auto"/>
              <w:bottom w:val="single" w:sz="4" w:space="0" w:color="auto"/>
              <w:right w:val="single" w:sz="6" w:space="0" w:color="auto"/>
            </w:tcBorders>
          </w:tcPr>
          <w:p w14:paraId="6A6029C0" w14:textId="77777777" w:rsidR="00C42897" w:rsidRPr="00A52AB8" w:rsidRDefault="00C42897" w:rsidP="009C6742">
            <w:pPr>
              <w:pStyle w:val="tablesyntax"/>
              <w:keepNext w:val="0"/>
              <w:keepLines w:val="0"/>
              <w:spacing w:before="20" w:after="40"/>
              <w:rPr>
                <w:rFonts w:ascii="Cambria" w:hAnsi="Cambria"/>
              </w:rPr>
            </w:pPr>
            <w:r w:rsidRPr="00A52AB8">
              <w:rPr>
                <w:rFonts w:ascii="Cambria" w:hAnsi="Cambria"/>
              </w:rPr>
              <w:tab/>
            </w:r>
            <w:r w:rsidRPr="00A52AB8">
              <w:rPr>
                <w:rFonts w:ascii="Cambria" w:hAnsi="Cambria"/>
              </w:rPr>
              <w:tab/>
            </w:r>
            <w:r w:rsidRPr="00A52AB8">
              <w:rPr>
                <w:rFonts w:ascii="Cambria" w:hAnsi="Cambria"/>
                <w:b/>
                <w:bCs/>
              </w:rPr>
              <w:t>itu_t_t35_country_code_extension_byte</w:t>
            </w:r>
          </w:p>
        </w:tc>
        <w:tc>
          <w:tcPr>
            <w:tcW w:w="1253" w:type="dxa"/>
            <w:tcBorders>
              <w:top w:val="single" w:sz="6" w:space="0" w:color="auto"/>
              <w:left w:val="single" w:sz="6" w:space="0" w:color="auto"/>
              <w:bottom w:val="single" w:sz="4" w:space="0" w:color="auto"/>
              <w:right w:val="single" w:sz="6" w:space="0" w:color="auto"/>
            </w:tcBorders>
          </w:tcPr>
          <w:p w14:paraId="062EA63C" w14:textId="77777777" w:rsidR="00C42897" w:rsidRPr="00A52AB8" w:rsidRDefault="00C42897" w:rsidP="009C6742">
            <w:pPr>
              <w:pStyle w:val="tableheading"/>
              <w:keepNext w:val="0"/>
              <w:keepLines w:val="0"/>
              <w:spacing w:before="20" w:after="40"/>
              <w:jc w:val="center"/>
              <w:rPr>
                <w:rFonts w:ascii="Cambria" w:hAnsi="Cambria"/>
                <w:b w:val="0"/>
                <w:bCs w:val="0"/>
              </w:rPr>
            </w:pPr>
            <w:r w:rsidRPr="00A52AB8">
              <w:rPr>
                <w:rFonts w:ascii="Cambria" w:hAnsi="Cambria"/>
                <w:b w:val="0"/>
              </w:rPr>
              <w:t>b(8)</w:t>
            </w:r>
          </w:p>
        </w:tc>
      </w:tr>
      <w:tr w:rsidR="00C42897" w:rsidRPr="00A52AB8" w14:paraId="0A210BA8" w14:textId="77777777" w:rsidTr="00A252B5">
        <w:trPr>
          <w:cantSplit/>
          <w:jc w:val="center"/>
        </w:trPr>
        <w:tc>
          <w:tcPr>
            <w:tcW w:w="7921" w:type="dxa"/>
            <w:tcBorders>
              <w:top w:val="single" w:sz="6" w:space="0" w:color="auto"/>
              <w:left w:val="single" w:sz="6" w:space="0" w:color="auto"/>
              <w:bottom w:val="single" w:sz="4" w:space="0" w:color="auto"/>
              <w:right w:val="single" w:sz="6" w:space="0" w:color="auto"/>
            </w:tcBorders>
          </w:tcPr>
          <w:p w14:paraId="5166DB57" w14:textId="793B2F48" w:rsidR="00C42897" w:rsidRPr="00A52AB8" w:rsidRDefault="00C42897" w:rsidP="009C6742">
            <w:pPr>
              <w:pStyle w:val="tablesyntax"/>
              <w:keepNext w:val="0"/>
              <w:keepLines w:val="0"/>
              <w:spacing w:before="20" w:after="40"/>
              <w:rPr>
                <w:rFonts w:ascii="Cambria" w:hAnsi="Cambria"/>
              </w:rPr>
            </w:pPr>
            <w:r w:rsidRPr="00A52AB8">
              <w:rPr>
                <w:rFonts w:ascii="Cambria" w:hAnsi="Cambria"/>
              </w:rPr>
              <w:tab/>
            </w:r>
            <w:r w:rsidRPr="00A52AB8">
              <w:rPr>
                <w:rFonts w:ascii="Cambria" w:hAnsi="Cambria"/>
              </w:rPr>
              <w:tab/>
              <w:t>i</w:t>
            </w:r>
            <w:r w:rsidR="0023721F" w:rsidRPr="00A52AB8">
              <w:rPr>
                <w:rFonts w:ascii="Cambria" w:hAnsi="Cambria"/>
              </w:rPr>
              <w:t> </w:t>
            </w:r>
            <w:r w:rsidR="00D47707" w:rsidRPr="00A52AB8">
              <w:rPr>
                <w:rFonts w:ascii="Cambria" w:hAnsi="Cambria"/>
              </w:rPr>
              <w:t>= </w:t>
            </w:r>
            <w:r w:rsidRPr="00A52AB8">
              <w:rPr>
                <w:rFonts w:ascii="Cambria" w:hAnsi="Cambria"/>
              </w:rPr>
              <w:t>2</w:t>
            </w:r>
          </w:p>
        </w:tc>
        <w:tc>
          <w:tcPr>
            <w:tcW w:w="1253" w:type="dxa"/>
            <w:tcBorders>
              <w:top w:val="single" w:sz="6" w:space="0" w:color="auto"/>
              <w:left w:val="single" w:sz="6" w:space="0" w:color="auto"/>
              <w:bottom w:val="single" w:sz="4" w:space="0" w:color="auto"/>
              <w:right w:val="single" w:sz="6" w:space="0" w:color="auto"/>
            </w:tcBorders>
          </w:tcPr>
          <w:p w14:paraId="71F97597" w14:textId="77777777" w:rsidR="00C42897" w:rsidRPr="00A52AB8" w:rsidRDefault="00C42897" w:rsidP="009C6742">
            <w:pPr>
              <w:pStyle w:val="tableheading"/>
              <w:keepNext w:val="0"/>
              <w:keepLines w:val="0"/>
              <w:spacing w:before="20" w:after="40"/>
              <w:rPr>
                <w:rFonts w:ascii="Cambria" w:hAnsi="Cambria"/>
                <w:b w:val="0"/>
                <w:bCs w:val="0"/>
              </w:rPr>
            </w:pPr>
          </w:p>
        </w:tc>
      </w:tr>
      <w:tr w:rsidR="00C42897" w:rsidRPr="00A52AB8" w14:paraId="57A9F144" w14:textId="77777777" w:rsidTr="00A252B5">
        <w:trPr>
          <w:cantSplit/>
          <w:jc w:val="center"/>
        </w:trPr>
        <w:tc>
          <w:tcPr>
            <w:tcW w:w="7921" w:type="dxa"/>
            <w:tcBorders>
              <w:top w:val="single" w:sz="6" w:space="0" w:color="auto"/>
              <w:left w:val="single" w:sz="6" w:space="0" w:color="auto"/>
              <w:bottom w:val="single" w:sz="4" w:space="0" w:color="auto"/>
              <w:right w:val="single" w:sz="6" w:space="0" w:color="auto"/>
            </w:tcBorders>
          </w:tcPr>
          <w:p w14:paraId="30C8F1CA" w14:textId="77777777" w:rsidR="00C42897" w:rsidRPr="00A52AB8" w:rsidRDefault="00C42897" w:rsidP="009C6742">
            <w:pPr>
              <w:pStyle w:val="tablesyntax"/>
              <w:keepNext w:val="0"/>
              <w:keepLines w:val="0"/>
              <w:spacing w:before="20" w:after="40"/>
              <w:rPr>
                <w:rFonts w:ascii="Cambria" w:hAnsi="Cambria"/>
              </w:rPr>
            </w:pPr>
            <w:r w:rsidRPr="00A52AB8">
              <w:rPr>
                <w:rFonts w:ascii="Cambria" w:hAnsi="Cambria"/>
              </w:rPr>
              <w:tab/>
              <w:t>}</w:t>
            </w:r>
          </w:p>
        </w:tc>
        <w:tc>
          <w:tcPr>
            <w:tcW w:w="1253" w:type="dxa"/>
            <w:tcBorders>
              <w:top w:val="single" w:sz="6" w:space="0" w:color="auto"/>
              <w:left w:val="single" w:sz="6" w:space="0" w:color="auto"/>
              <w:bottom w:val="single" w:sz="4" w:space="0" w:color="auto"/>
              <w:right w:val="single" w:sz="6" w:space="0" w:color="auto"/>
            </w:tcBorders>
          </w:tcPr>
          <w:p w14:paraId="27F0B058" w14:textId="77777777" w:rsidR="00C42897" w:rsidRPr="00A52AB8" w:rsidRDefault="00C42897" w:rsidP="009C6742">
            <w:pPr>
              <w:pStyle w:val="tableheading"/>
              <w:keepNext w:val="0"/>
              <w:keepLines w:val="0"/>
              <w:spacing w:before="20" w:after="40"/>
              <w:rPr>
                <w:rFonts w:ascii="Cambria" w:hAnsi="Cambria"/>
                <w:b w:val="0"/>
                <w:bCs w:val="0"/>
              </w:rPr>
            </w:pPr>
          </w:p>
        </w:tc>
      </w:tr>
      <w:tr w:rsidR="00C42897" w:rsidRPr="00A52AB8" w14:paraId="794A1D86" w14:textId="77777777" w:rsidTr="00A252B5">
        <w:trPr>
          <w:cantSplit/>
          <w:jc w:val="center"/>
        </w:trPr>
        <w:tc>
          <w:tcPr>
            <w:tcW w:w="7921" w:type="dxa"/>
            <w:tcBorders>
              <w:top w:val="single" w:sz="6" w:space="0" w:color="auto"/>
              <w:left w:val="single" w:sz="6" w:space="0" w:color="auto"/>
              <w:bottom w:val="single" w:sz="4" w:space="0" w:color="auto"/>
              <w:right w:val="single" w:sz="6" w:space="0" w:color="auto"/>
            </w:tcBorders>
          </w:tcPr>
          <w:p w14:paraId="2D999A9E" w14:textId="77777777" w:rsidR="00C42897" w:rsidRPr="00A52AB8" w:rsidRDefault="00C42897" w:rsidP="009C6742">
            <w:pPr>
              <w:pStyle w:val="tablesyntax"/>
              <w:keepNext w:val="0"/>
              <w:keepLines w:val="0"/>
              <w:spacing w:before="20" w:after="40"/>
              <w:rPr>
                <w:rFonts w:ascii="Cambria" w:hAnsi="Cambria"/>
              </w:rPr>
            </w:pPr>
            <w:r w:rsidRPr="00A52AB8">
              <w:rPr>
                <w:rFonts w:ascii="Cambria" w:hAnsi="Cambria"/>
              </w:rPr>
              <w:tab/>
              <w:t>do {</w:t>
            </w:r>
          </w:p>
        </w:tc>
        <w:tc>
          <w:tcPr>
            <w:tcW w:w="1253" w:type="dxa"/>
            <w:tcBorders>
              <w:top w:val="single" w:sz="6" w:space="0" w:color="auto"/>
              <w:left w:val="single" w:sz="6" w:space="0" w:color="auto"/>
              <w:bottom w:val="single" w:sz="4" w:space="0" w:color="auto"/>
              <w:right w:val="single" w:sz="6" w:space="0" w:color="auto"/>
            </w:tcBorders>
          </w:tcPr>
          <w:p w14:paraId="78CD5BDD" w14:textId="77777777" w:rsidR="00C42897" w:rsidRPr="00A52AB8" w:rsidRDefault="00C42897" w:rsidP="009C6742">
            <w:pPr>
              <w:pStyle w:val="tableheading"/>
              <w:keepNext w:val="0"/>
              <w:keepLines w:val="0"/>
              <w:spacing w:before="20" w:after="40"/>
              <w:rPr>
                <w:rFonts w:ascii="Cambria" w:hAnsi="Cambria"/>
                <w:b w:val="0"/>
                <w:bCs w:val="0"/>
              </w:rPr>
            </w:pPr>
          </w:p>
        </w:tc>
      </w:tr>
      <w:tr w:rsidR="00C42897" w:rsidRPr="00A52AB8" w14:paraId="2041BF82" w14:textId="77777777" w:rsidTr="00A252B5">
        <w:trPr>
          <w:cantSplit/>
          <w:jc w:val="center"/>
        </w:trPr>
        <w:tc>
          <w:tcPr>
            <w:tcW w:w="7921" w:type="dxa"/>
            <w:tcBorders>
              <w:top w:val="single" w:sz="6" w:space="0" w:color="auto"/>
              <w:left w:val="single" w:sz="6" w:space="0" w:color="auto"/>
              <w:bottom w:val="single" w:sz="4" w:space="0" w:color="auto"/>
              <w:right w:val="single" w:sz="6" w:space="0" w:color="auto"/>
            </w:tcBorders>
          </w:tcPr>
          <w:p w14:paraId="2B5BA1C8" w14:textId="77777777" w:rsidR="00C42897" w:rsidRPr="00A52AB8" w:rsidRDefault="00C42897" w:rsidP="009C6742">
            <w:pPr>
              <w:pStyle w:val="tablesyntax"/>
              <w:keepNext w:val="0"/>
              <w:keepLines w:val="0"/>
              <w:spacing w:before="20" w:after="40"/>
              <w:rPr>
                <w:rFonts w:ascii="Cambria" w:hAnsi="Cambria"/>
              </w:rPr>
            </w:pPr>
            <w:r w:rsidRPr="00A52AB8">
              <w:rPr>
                <w:rFonts w:ascii="Cambria" w:hAnsi="Cambria"/>
              </w:rPr>
              <w:tab/>
            </w:r>
            <w:r w:rsidRPr="00A52AB8">
              <w:rPr>
                <w:rFonts w:ascii="Cambria" w:hAnsi="Cambria"/>
              </w:rPr>
              <w:tab/>
            </w:r>
            <w:r w:rsidRPr="00A52AB8">
              <w:rPr>
                <w:rFonts w:ascii="Cambria" w:hAnsi="Cambria"/>
                <w:b/>
              </w:rPr>
              <w:t>itu_t_t35_payload_byte</w:t>
            </w:r>
          </w:p>
        </w:tc>
        <w:tc>
          <w:tcPr>
            <w:tcW w:w="1253" w:type="dxa"/>
            <w:tcBorders>
              <w:top w:val="single" w:sz="6" w:space="0" w:color="auto"/>
              <w:left w:val="single" w:sz="6" w:space="0" w:color="auto"/>
              <w:bottom w:val="single" w:sz="4" w:space="0" w:color="auto"/>
              <w:right w:val="single" w:sz="6" w:space="0" w:color="auto"/>
            </w:tcBorders>
          </w:tcPr>
          <w:p w14:paraId="755A321F" w14:textId="77777777" w:rsidR="00C42897" w:rsidRPr="00A52AB8" w:rsidRDefault="00C42897" w:rsidP="009C6742">
            <w:pPr>
              <w:pStyle w:val="tableheading"/>
              <w:keepNext w:val="0"/>
              <w:keepLines w:val="0"/>
              <w:spacing w:before="20" w:after="40"/>
              <w:jc w:val="center"/>
              <w:rPr>
                <w:rFonts w:ascii="Cambria" w:hAnsi="Cambria"/>
                <w:b w:val="0"/>
                <w:bCs w:val="0"/>
              </w:rPr>
            </w:pPr>
            <w:r w:rsidRPr="00A52AB8">
              <w:rPr>
                <w:rFonts w:ascii="Cambria" w:hAnsi="Cambria"/>
                <w:b w:val="0"/>
              </w:rPr>
              <w:t>b(8)</w:t>
            </w:r>
          </w:p>
        </w:tc>
      </w:tr>
      <w:tr w:rsidR="00C42897" w:rsidRPr="00A52AB8" w14:paraId="12AE5985" w14:textId="77777777" w:rsidTr="00A252B5">
        <w:trPr>
          <w:cantSplit/>
          <w:jc w:val="center"/>
        </w:trPr>
        <w:tc>
          <w:tcPr>
            <w:tcW w:w="7921" w:type="dxa"/>
            <w:tcBorders>
              <w:top w:val="single" w:sz="6" w:space="0" w:color="auto"/>
              <w:left w:val="single" w:sz="6" w:space="0" w:color="auto"/>
              <w:bottom w:val="single" w:sz="4" w:space="0" w:color="auto"/>
              <w:right w:val="single" w:sz="6" w:space="0" w:color="auto"/>
            </w:tcBorders>
          </w:tcPr>
          <w:p w14:paraId="155C959A" w14:textId="77777777" w:rsidR="00C42897" w:rsidRPr="00A52AB8" w:rsidRDefault="00C42897" w:rsidP="009C6742">
            <w:pPr>
              <w:pStyle w:val="tablesyntax"/>
              <w:keepNext w:val="0"/>
              <w:keepLines w:val="0"/>
              <w:spacing w:before="20" w:after="40"/>
              <w:rPr>
                <w:rFonts w:ascii="Cambria" w:hAnsi="Cambria"/>
              </w:rPr>
            </w:pPr>
            <w:r w:rsidRPr="00A52AB8">
              <w:rPr>
                <w:rFonts w:ascii="Cambria" w:hAnsi="Cambria"/>
              </w:rPr>
              <w:tab/>
            </w:r>
            <w:r w:rsidRPr="00A52AB8">
              <w:rPr>
                <w:rFonts w:ascii="Cambria" w:hAnsi="Cambria"/>
              </w:rPr>
              <w:tab/>
              <w:t>i++</w:t>
            </w:r>
          </w:p>
        </w:tc>
        <w:tc>
          <w:tcPr>
            <w:tcW w:w="1253" w:type="dxa"/>
            <w:tcBorders>
              <w:top w:val="single" w:sz="6" w:space="0" w:color="auto"/>
              <w:left w:val="single" w:sz="6" w:space="0" w:color="auto"/>
              <w:bottom w:val="single" w:sz="4" w:space="0" w:color="auto"/>
              <w:right w:val="single" w:sz="6" w:space="0" w:color="auto"/>
            </w:tcBorders>
          </w:tcPr>
          <w:p w14:paraId="1BE3F157" w14:textId="77777777" w:rsidR="00C42897" w:rsidRPr="00A52AB8" w:rsidRDefault="00C42897" w:rsidP="009C6742">
            <w:pPr>
              <w:pStyle w:val="tableheading"/>
              <w:keepNext w:val="0"/>
              <w:keepLines w:val="0"/>
              <w:spacing w:before="20" w:after="40"/>
              <w:rPr>
                <w:rFonts w:ascii="Cambria" w:hAnsi="Cambria"/>
                <w:b w:val="0"/>
                <w:bCs w:val="0"/>
              </w:rPr>
            </w:pPr>
          </w:p>
        </w:tc>
      </w:tr>
      <w:tr w:rsidR="00C42897" w:rsidRPr="00A52AB8" w14:paraId="102C9FC9" w14:textId="77777777" w:rsidTr="00A252B5">
        <w:trPr>
          <w:cantSplit/>
          <w:jc w:val="center"/>
        </w:trPr>
        <w:tc>
          <w:tcPr>
            <w:tcW w:w="7921" w:type="dxa"/>
            <w:tcBorders>
              <w:top w:val="single" w:sz="6" w:space="0" w:color="auto"/>
              <w:left w:val="single" w:sz="6" w:space="0" w:color="auto"/>
              <w:bottom w:val="single" w:sz="4" w:space="0" w:color="auto"/>
              <w:right w:val="single" w:sz="6" w:space="0" w:color="auto"/>
            </w:tcBorders>
          </w:tcPr>
          <w:p w14:paraId="45ACFEA9" w14:textId="77777777" w:rsidR="00C42897" w:rsidRPr="00A52AB8" w:rsidRDefault="00C42897" w:rsidP="009C6742">
            <w:pPr>
              <w:pStyle w:val="tablesyntax"/>
              <w:keepNext w:val="0"/>
              <w:keepLines w:val="0"/>
              <w:spacing w:before="20" w:after="40"/>
              <w:rPr>
                <w:rFonts w:ascii="Cambria" w:hAnsi="Cambria"/>
              </w:rPr>
            </w:pPr>
            <w:r w:rsidRPr="00A52AB8">
              <w:rPr>
                <w:rFonts w:ascii="Cambria" w:hAnsi="Cambria"/>
              </w:rPr>
              <w:tab/>
              <w:t>} while( i &lt; payloadSize )</w:t>
            </w:r>
          </w:p>
        </w:tc>
        <w:tc>
          <w:tcPr>
            <w:tcW w:w="1253" w:type="dxa"/>
            <w:tcBorders>
              <w:top w:val="single" w:sz="6" w:space="0" w:color="auto"/>
              <w:left w:val="single" w:sz="6" w:space="0" w:color="auto"/>
              <w:bottom w:val="single" w:sz="4" w:space="0" w:color="auto"/>
              <w:right w:val="single" w:sz="6" w:space="0" w:color="auto"/>
            </w:tcBorders>
          </w:tcPr>
          <w:p w14:paraId="18B26DD7" w14:textId="77777777" w:rsidR="00C42897" w:rsidRPr="00A52AB8" w:rsidRDefault="00C42897" w:rsidP="009C6742">
            <w:pPr>
              <w:pStyle w:val="tableheading"/>
              <w:keepNext w:val="0"/>
              <w:keepLines w:val="0"/>
              <w:spacing w:before="20" w:after="40"/>
              <w:rPr>
                <w:rFonts w:ascii="Cambria" w:hAnsi="Cambria"/>
                <w:b w:val="0"/>
                <w:bCs w:val="0"/>
              </w:rPr>
            </w:pPr>
          </w:p>
        </w:tc>
      </w:tr>
      <w:tr w:rsidR="00C42897" w:rsidRPr="00A52AB8" w14:paraId="5EA4F41D" w14:textId="77777777" w:rsidTr="00A252B5">
        <w:trPr>
          <w:cantSplit/>
          <w:jc w:val="center"/>
        </w:trPr>
        <w:tc>
          <w:tcPr>
            <w:tcW w:w="7921" w:type="dxa"/>
            <w:tcBorders>
              <w:top w:val="single" w:sz="2" w:space="0" w:color="auto"/>
              <w:left w:val="single" w:sz="6" w:space="0" w:color="auto"/>
              <w:bottom w:val="single" w:sz="2" w:space="0" w:color="auto"/>
              <w:right w:val="single" w:sz="6" w:space="0" w:color="auto"/>
            </w:tcBorders>
          </w:tcPr>
          <w:p w14:paraId="1AFA8ADC" w14:textId="77777777" w:rsidR="00C42897" w:rsidRPr="00A52AB8" w:rsidRDefault="00C42897" w:rsidP="009C6742">
            <w:pPr>
              <w:pStyle w:val="tablesyntax"/>
              <w:keepNext w:val="0"/>
              <w:keepLines w:val="0"/>
              <w:spacing w:before="20" w:after="40"/>
              <w:rPr>
                <w:rFonts w:ascii="Cambria" w:hAnsi="Cambria"/>
              </w:rPr>
            </w:pPr>
            <w:r w:rsidRPr="00A52AB8">
              <w:rPr>
                <w:rFonts w:ascii="Cambria" w:hAnsi="Cambria"/>
              </w:rPr>
              <w:t>}</w:t>
            </w:r>
          </w:p>
        </w:tc>
        <w:tc>
          <w:tcPr>
            <w:tcW w:w="1253" w:type="dxa"/>
            <w:tcBorders>
              <w:top w:val="single" w:sz="2" w:space="0" w:color="auto"/>
              <w:left w:val="single" w:sz="6" w:space="0" w:color="auto"/>
              <w:bottom w:val="single" w:sz="2" w:space="0" w:color="auto"/>
              <w:right w:val="single" w:sz="6" w:space="0" w:color="auto"/>
            </w:tcBorders>
          </w:tcPr>
          <w:p w14:paraId="18ADCD2D" w14:textId="77777777" w:rsidR="00C42897" w:rsidRPr="00A52AB8" w:rsidRDefault="00C42897" w:rsidP="009C6742">
            <w:pPr>
              <w:pStyle w:val="tablecell"/>
              <w:keepNext w:val="0"/>
              <w:keepLines w:val="0"/>
              <w:spacing w:before="20" w:after="40"/>
              <w:rPr>
                <w:rFonts w:ascii="Cambria" w:hAnsi="Cambria"/>
              </w:rPr>
            </w:pPr>
          </w:p>
        </w:tc>
      </w:tr>
    </w:tbl>
    <w:p w14:paraId="7935E249" w14:textId="77777777" w:rsidR="00C42897" w:rsidRPr="00A52AB8" w:rsidRDefault="00C42897" w:rsidP="009C6742">
      <w:pPr>
        <w:pStyle w:val="a3"/>
        <w:numPr>
          <w:ilvl w:val="2"/>
          <w:numId w:val="19"/>
        </w:numPr>
        <w:tabs>
          <w:tab w:val="clear" w:pos="403"/>
        </w:tabs>
        <w:spacing w:line="240" w:lineRule="auto"/>
      </w:pPr>
      <w:bookmarkStart w:id="5267" w:name="_Toc38891812"/>
      <w:bookmarkStart w:id="5268" w:name="_Toc39426409"/>
      <w:bookmarkStart w:id="5269" w:name="_Toc42730216"/>
      <w:bookmarkStart w:id="5270" w:name="_Toc45105680"/>
      <w:bookmarkStart w:id="5271" w:name="_Toc45530539"/>
      <w:bookmarkStart w:id="5272" w:name="_Toc46301902"/>
      <w:bookmarkStart w:id="5273" w:name="_Toc46302727"/>
      <w:bookmarkStart w:id="5274" w:name="_Toc317198895"/>
      <w:bookmarkStart w:id="5275" w:name="_Toc415476031"/>
      <w:bookmarkStart w:id="5276" w:name="_Toc423599306"/>
      <w:bookmarkStart w:id="5277" w:name="_Toc423601810"/>
      <w:bookmarkStart w:id="5278" w:name="_Toc501130272"/>
      <w:bookmarkStart w:id="5279" w:name="_Toc503777976"/>
      <w:bookmarkStart w:id="5280" w:name="_Ref49347601"/>
      <w:bookmarkStart w:id="5281" w:name="_Toc52181712"/>
      <w:bookmarkEnd w:id="5267"/>
      <w:bookmarkEnd w:id="5268"/>
      <w:bookmarkEnd w:id="5269"/>
      <w:bookmarkEnd w:id="5270"/>
      <w:bookmarkEnd w:id="5271"/>
      <w:bookmarkEnd w:id="5272"/>
      <w:bookmarkEnd w:id="5273"/>
      <w:r w:rsidRPr="00A52AB8">
        <w:t>User data unregistered SEI message syntax</w:t>
      </w:r>
      <w:bookmarkEnd w:id="5274"/>
      <w:bookmarkEnd w:id="5275"/>
      <w:bookmarkEnd w:id="5276"/>
      <w:bookmarkEnd w:id="5277"/>
      <w:bookmarkEnd w:id="5278"/>
      <w:bookmarkEnd w:id="5279"/>
      <w:bookmarkEnd w:id="5280"/>
      <w:bookmarkEnd w:id="5281"/>
    </w:p>
    <w:tbl>
      <w:tblPr>
        <w:tblW w:w="5000" w:type="pct"/>
        <w:jc w:val="center"/>
        <w:tblLayout w:type="fixed"/>
        <w:tblLook w:val="04A0" w:firstRow="1" w:lastRow="0" w:firstColumn="1" w:lastColumn="0" w:noHBand="0" w:noVBand="1"/>
      </w:tblPr>
      <w:tblGrid>
        <w:gridCol w:w="8406"/>
        <w:gridCol w:w="1330"/>
      </w:tblGrid>
      <w:tr w:rsidR="00C42897" w:rsidRPr="00A52AB8" w14:paraId="013E1B97" w14:textId="77777777" w:rsidTr="00A252B5">
        <w:trPr>
          <w:cantSplit/>
          <w:jc w:val="center"/>
        </w:trPr>
        <w:tc>
          <w:tcPr>
            <w:tcW w:w="7921" w:type="dxa"/>
            <w:tcBorders>
              <w:top w:val="single" w:sz="6" w:space="0" w:color="auto"/>
              <w:left w:val="single" w:sz="6" w:space="0" w:color="auto"/>
              <w:bottom w:val="single" w:sz="4" w:space="0" w:color="auto"/>
              <w:right w:val="single" w:sz="6" w:space="0" w:color="auto"/>
            </w:tcBorders>
          </w:tcPr>
          <w:p w14:paraId="2336FDFC" w14:textId="6E91C4DB" w:rsidR="00C42897" w:rsidRPr="00A52AB8" w:rsidRDefault="00C42897" w:rsidP="009C6742">
            <w:pPr>
              <w:pStyle w:val="tablesyntax"/>
              <w:keepNext w:val="0"/>
              <w:keepLines w:val="0"/>
              <w:spacing w:before="20" w:after="40"/>
              <w:rPr>
                <w:rFonts w:ascii="Cambria" w:hAnsi="Cambria"/>
              </w:rPr>
            </w:pPr>
            <w:r w:rsidRPr="00A52AB8">
              <w:rPr>
                <w:rFonts w:ascii="Cambria" w:hAnsi="Cambria"/>
              </w:rPr>
              <w:t xml:space="preserve">user_data_unregistered( payloadSize </w:t>
            </w:r>
            <w:r w:rsidR="008F1F82" w:rsidRPr="00A52AB8">
              <w:rPr>
                <w:rFonts w:ascii="Cambria" w:hAnsi="Cambria"/>
              </w:rPr>
              <w:t>) {</w:t>
            </w:r>
          </w:p>
        </w:tc>
        <w:tc>
          <w:tcPr>
            <w:tcW w:w="1253" w:type="dxa"/>
            <w:tcBorders>
              <w:top w:val="single" w:sz="6" w:space="0" w:color="auto"/>
              <w:left w:val="single" w:sz="6" w:space="0" w:color="auto"/>
              <w:bottom w:val="single" w:sz="4" w:space="0" w:color="auto"/>
              <w:right w:val="single" w:sz="6" w:space="0" w:color="auto"/>
            </w:tcBorders>
          </w:tcPr>
          <w:p w14:paraId="0FBA82F1" w14:textId="77777777" w:rsidR="00C42897" w:rsidRPr="00A52AB8" w:rsidRDefault="00C42897" w:rsidP="009C6742">
            <w:pPr>
              <w:pStyle w:val="tableheading"/>
              <w:keepNext w:val="0"/>
              <w:keepLines w:val="0"/>
              <w:spacing w:before="20" w:after="40"/>
              <w:rPr>
                <w:rFonts w:ascii="Cambria" w:hAnsi="Cambria"/>
              </w:rPr>
            </w:pPr>
            <w:r w:rsidRPr="00A52AB8">
              <w:rPr>
                <w:rFonts w:ascii="Cambria" w:hAnsi="Cambria"/>
              </w:rPr>
              <w:t>Descriptor</w:t>
            </w:r>
          </w:p>
        </w:tc>
      </w:tr>
      <w:tr w:rsidR="00C42897" w:rsidRPr="00A52AB8" w14:paraId="18A73304" w14:textId="77777777" w:rsidTr="00A252B5">
        <w:trPr>
          <w:cantSplit/>
          <w:jc w:val="center"/>
        </w:trPr>
        <w:tc>
          <w:tcPr>
            <w:tcW w:w="7921" w:type="dxa"/>
            <w:tcBorders>
              <w:top w:val="single" w:sz="6" w:space="0" w:color="auto"/>
              <w:left w:val="single" w:sz="6" w:space="0" w:color="auto"/>
              <w:bottom w:val="single" w:sz="4" w:space="0" w:color="auto"/>
              <w:right w:val="single" w:sz="6" w:space="0" w:color="auto"/>
            </w:tcBorders>
          </w:tcPr>
          <w:p w14:paraId="46B520A2" w14:textId="77777777" w:rsidR="00C42897" w:rsidRPr="00A52AB8" w:rsidRDefault="00C42897" w:rsidP="009C6742">
            <w:pPr>
              <w:pStyle w:val="tablesyntax"/>
              <w:keepNext w:val="0"/>
              <w:keepLines w:val="0"/>
              <w:spacing w:before="20" w:after="40"/>
              <w:rPr>
                <w:rFonts w:ascii="Cambria" w:hAnsi="Cambria"/>
              </w:rPr>
            </w:pPr>
            <w:r w:rsidRPr="00A52AB8">
              <w:rPr>
                <w:rFonts w:ascii="Cambria" w:hAnsi="Cambria"/>
              </w:rPr>
              <w:tab/>
            </w:r>
            <w:r w:rsidRPr="00A52AB8">
              <w:rPr>
                <w:rFonts w:ascii="Cambria" w:hAnsi="Cambria"/>
                <w:b/>
              </w:rPr>
              <w:t>uuid_iso_iec_11578</w:t>
            </w:r>
          </w:p>
        </w:tc>
        <w:tc>
          <w:tcPr>
            <w:tcW w:w="1253" w:type="dxa"/>
            <w:tcBorders>
              <w:top w:val="single" w:sz="6" w:space="0" w:color="auto"/>
              <w:left w:val="single" w:sz="6" w:space="0" w:color="auto"/>
              <w:bottom w:val="single" w:sz="4" w:space="0" w:color="auto"/>
              <w:right w:val="single" w:sz="6" w:space="0" w:color="auto"/>
            </w:tcBorders>
          </w:tcPr>
          <w:p w14:paraId="2DB1CA36" w14:textId="77777777" w:rsidR="00C42897" w:rsidRPr="00A52AB8" w:rsidRDefault="00C42897" w:rsidP="009C6742">
            <w:pPr>
              <w:pStyle w:val="tableheading"/>
              <w:keepNext w:val="0"/>
              <w:keepLines w:val="0"/>
              <w:spacing w:before="20" w:after="40"/>
              <w:jc w:val="center"/>
              <w:rPr>
                <w:rFonts w:ascii="Cambria" w:hAnsi="Cambria"/>
                <w:b w:val="0"/>
                <w:bCs w:val="0"/>
              </w:rPr>
            </w:pPr>
            <w:r w:rsidRPr="00A52AB8">
              <w:rPr>
                <w:rFonts w:ascii="Cambria" w:hAnsi="Cambria"/>
                <w:b w:val="0"/>
              </w:rPr>
              <w:t>u(128)</w:t>
            </w:r>
          </w:p>
        </w:tc>
      </w:tr>
      <w:tr w:rsidR="00C42897" w:rsidRPr="00A52AB8" w14:paraId="3C009D17" w14:textId="77777777" w:rsidTr="00A252B5">
        <w:trPr>
          <w:cantSplit/>
          <w:jc w:val="center"/>
        </w:trPr>
        <w:tc>
          <w:tcPr>
            <w:tcW w:w="7921" w:type="dxa"/>
            <w:tcBorders>
              <w:top w:val="single" w:sz="6" w:space="0" w:color="auto"/>
              <w:left w:val="single" w:sz="6" w:space="0" w:color="auto"/>
              <w:bottom w:val="single" w:sz="4" w:space="0" w:color="auto"/>
              <w:right w:val="single" w:sz="6" w:space="0" w:color="auto"/>
            </w:tcBorders>
          </w:tcPr>
          <w:p w14:paraId="615CD92C" w14:textId="6E7B03EF" w:rsidR="00C42897" w:rsidRPr="00A52AB8" w:rsidRDefault="00C42897" w:rsidP="009C6742">
            <w:pPr>
              <w:pStyle w:val="tablesyntax"/>
              <w:keepNext w:val="0"/>
              <w:keepLines w:val="0"/>
              <w:spacing w:before="20" w:after="40"/>
              <w:rPr>
                <w:rFonts w:ascii="Cambria" w:hAnsi="Cambria"/>
              </w:rPr>
            </w:pPr>
            <w:r w:rsidRPr="00A52AB8">
              <w:rPr>
                <w:rFonts w:ascii="Cambria" w:hAnsi="Cambria"/>
              </w:rPr>
              <w:tab/>
              <w:t>for( i</w:t>
            </w:r>
            <w:r w:rsidR="0023721F" w:rsidRPr="00A52AB8">
              <w:rPr>
                <w:rFonts w:ascii="Cambria" w:hAnsi="Cambria"/>
              </w:rPr>
              <w:t> </w:t>
            </w:r>
            <w:r w:rsidR="00D47707" w:rsidRPr="00A52AB8">
              <w:rPr>
                <w:rFonts w:ascii="Cambria" w:hAnsi="Cambria"/>
              </w:rPr>
              <w:t>= </w:t>
            </w:r>
            <w:r w:rsidRPr="00A52AB8">
              <w:rPr>
                <w:rFonts w:ascii="Cambria" w:hAnsi="Cambria"/>
              </w:rPr>
              <w:t>16; i &lt; payloadSize; i</w:t>
            </w:r>
            <w:r w:rsidR="00006CCF" w:rsidRPr="00A52AB8">
              <w:rPr>
                <w:rFonts w:ascii="Cambria" w:hAnsi="Cambria"/>
              </w:rPr>
              <w:t>++ )</w:t>
            </w:r>
          </w:p>
        </w:tc>
        <w:tc>
          <w:tcPr>
            <w:tcW w:w="1253" w:type="dxa"/>
            <w:tcBorders>
              <w:top w:val="single" w:sz="6" w:space="0" w:color="auto"/>
              <w:left w:val="single" w:sz="6" w:space="0" w:color="auto"/>
              <w:bottom w:val="single" w:sz="4" w:space="0" w:color="auto"/>
              <w:right w:val="single" w:sz="6" w:space="0" w:color="auto"/>
            </w:tcBorders>
          </w:tcPr>
          <w:p w14:paraId="42045A15" w14:textId="77777777" w:rsidR="00C42897" w:rsidRPr="00A52AB8" w:rsidRDefault="00C42897" w:rsidP="009C6742">
            <w:pPr>
              <w:pStyle w:val="tableheading"/>
              <w:keepNext w:val="0"/>
              <w:keepLines w:val="0"/>
              <w:spacing w:before="20" w:after="40"/>
              <w:rPr>
                <w:rFonts w:ascii="Cambria" w:hAnsi="Cambria"/>
                <w:b w:val="0"/>
                <w:bCs w:val="0"/>
              </w:rPr>
            </w:pPr>
          </w:p>
        </w:tc>
      </w:tr>
      <w:tr w:rsidR="00C42897" w:rsidRPr="00A52AB8" w14:paraId="71A93BDD" w14:textId="77777777" w:rsidTr="00A252B5">
        <w:trPr>
          <w:cantSplit/>
          <w:jc w:val="center"/>
        </w:trPr>
        <w:tc>
          <w:tcPr>
            <w:tcW w:w="7921" w:type="dxa"/>
            <w:tcBorders>
              <w:top w:val="single" w:sz="2" w:space="0" w:color="auto"/>
              <w:left w:val="single" w:sz="6" w:space="0" w:color="auto"/>
              <w:bottom w:val="single" w:sz="2" w:space="0" w:color="auto"/>
              <w:right w:val="single" w:sz="6" w:space="0" w:color="auto"/>
            </w:tcBorders>
          </w:tcPr>
          <w:p w14:paraId="7E973D70" w14:textId="77777777" w:rsidR="00C42897" w:rsidRPr="00A52AB8" w:rsidRDefault="00C42897" w:rsidP="009C6742">
            <w:pPr>
              <w:pStyle w:val="tablesyntax"/>
              <w:keepNext w:val="0"/>
              <w:keepLines w:val="0"/>
              <w:spacing w:before="20" w:after="40"/>
              <w:rPr>
                <w:rFonts w:ascii="Cambria" w:hAnsi="Cambria"/>
              </w:rPr>
            </w:pPr>
            <w:r w:rsidRPr="00A52AB8">
              <w:rPr>
                <w:rFonts w:ascii="Cambria" w:hAnsi="Cambria"/>
              </w:rPr>
              <w:tab/>
            </w:r>
            <w:r w:rsidRPr="00A52AB8">
              <w:rPr>
                <w:rFonts w:ascii="Cambria" w:hAnsi="Cambria"/>
              </w:rPr>
              <w:tab/>
            </w:r>
            <w:r w:rsidRPr="00A52AB8">
              <w:rPr>
                <w:rFonts w:ascii="Cambria" w:hAnsi="Cambria"/>
                <w:b/>
                <w:bCs/>
              </w:rPr>
              <w:t>user_data_payload_byte</w:t>
            </w:r>
          </w:p>
        </w:tc>
        <w:tc>
          <w:tcPr>
            <w:tcW w:w="1253" w:type="dxa"/>
            <w:tcBorders>
              <w:top w:val="single" w:sz="2" w:space="0" w:color="auto"/>
              <w:left w:val="single" w:sz="6" w:space="0" w:color="auto"/>
              <w:bottom w:val="single" w:sz="2" w:space="0" w:color="auto"/>
              <w:right w:val="single" w:sz="6" w:space="0" w:color="auto"/>
            </w:tcBorders>
          </w:tcPr>
          <w:p w14:paraId="0B1CF9D6" w14:textId="77777777" w:rsidR="00C42897" w:rsidRPr="00A52AB8" w:rsidRDefault="00C42897" w:rsidP="009C6742">
            <w:pPr>
              <w:pStyle w:val="tablecell"/>
              <w:keepNext w:val="0"/>
              <w:keepLines w:val="0"/>
              <w:spacing w:before="20" w:after="40"/>
              <w:jc w:val="center"/>
              <w:rPr>
                <w:rFonts w:ascii="Cambria" w:hAnsi="Cambria"/>
              </w:rPr>
            </w:pPr>
            <w:r w:rsidRPr="00A52AB8">
              <w:rPr>
                <w:rFonts w:ascii="Cambria" w:hAnsi="Cambria"/>
              </w:rPr>
              <w:t>b(8)</w:t>
            </w:r>
          </w:p>
        </w:tc>
      </w:tr>
      <w:tr w:rsidR="00C42897" w:rsidRPr="00A52AB8" w14:paraId="28AE0328" w14:textId="77777777" w:rsidTr="00A252B5">
        <w:trPr>
          <w:cantSplit/>
          <w:jc w:val="center"/>
        </w:trPr>
        <w:tc>
          <w:tcPr>
            <w:tcW w:w="7921" w:type="dxa"/>
            <w:tcBorders>
              <w:top w:val="single" w:sz="2" w:space="0" w:color="auto"/>
              <w:left w:val="single" w:sz="6" w:space="0" w:color="auto"/>
              <w:bottom w:val="single" w:sz="2" w:space="0" w:color="auto"/>
              <w:right w:val="single" w:sz="6" w:space="0" w:color="auto"/>
            </w:tcBorders>
          </w:tcPr>
          <w:p w14:paraId="046A852D" w14:textId="77777777" w:rsidR="00C42897" w:rsidRPr="00A52AB8" w:rsidRDefault="00C42897" w:rsidP="009C6742">
            <w:pPr>
              <w:pStyle w:val="tablesyntax"/>
              <w:keepNext w:val="0"/>
              <w:keepLines w:val="0"/>
              <w:spacing w:before="20" w:after="40"/>
              <w:rPr>
                <w:rFonts w:ascii="Cambria" w:hAnsi="Cambria"/>
              </w:rPr>
            </w:pPr>
            <w:r w:rsidRPr="00A52AB8">
              <w:rPr>
                <w:rFonts w:ascii="Cambria" w:hAnsi="Cambria"/>
              </w:rPr>
              <w:t>}</w:t>
            </w:r>
          </w:p>
        </w:tc>
        <w:tc>
          <w:tcPr>
            <w:tcW w:w="1253" w:type="dxa"/>
            <w:tcBorders>
              <w:top w:val="single" w:sz="2" w:space="0" w:color="auto"/>
              <w:left w:val="single" w:sz="6" w:space="0" w:color="auto"/>
              <w:bottom w:val="single" w:sz="2" w:space="0" w:color="auto"/>
              <w:right w:val="single" w:sz="6" w:space="0" w:color="auto"/>
            </w:tcBorders>
          </w:tcPr>
          <w:p w14:paraId="0583B471" w14:textId="77777777" w:rsidR="00C42897" w:rsidRPr="00A52AB8" w:rsidRDefault="00C42897" w:rsidP="009C6742">
            <w:pPr>
              <w:pStyle w:val="tablecell"/>
              <w:keepNext w:val="0"/>
              <w:keepLines w:val="0"/>
              <w:spacing w:before="20" w:after="40"/>
              <w:rPr>
                <w:rFonts w:ascii="Cambria" w:hAnsi="Cambria"/>
              </w:rPr>
            </w:pPr>
          </w:p>
        </w:tc>
      </w:tr>
    </w:tbl>
    <w:p w14:paraId="36BBE089" w14:textId="77777777" w:rsidR="00C42897" w:rsidRPr="00A52AB8" w:rsidRDefault="00C42897" w:rsidP="009C6742">
      <w:pPr>
        <w:pStyle w:val="a3"/>
        <w:numPr>
          <w:ilvl w:val="2"/>
          <w:numId w:val="19"/>
        </w:numPr>
        <w:tabs>
          <w:tab w:val="clear" w:pos="403"/>
        </w:tabs>
        <w:spacing w:line="240" w:lineRule="auto"/>
      </w:pPr>
      <w:bookmarkStart w:id="5282" w:name="_Toc38891814"/>
      <w:bookmarkStart w:id="5283" w:name="_Toc39426411"/>
      <w:bookmarkStart w:id="5284" w:name="_Toc42730218"/>
      <w:bookmarkStart w:id="5285" w:name="_Toc45105682"/>
      <w:bookmarkStart w:id="5286" w:name="_Toc45530541"/>
      <w:bookmarkStart w:id="5287" w:name="_Toc46301904"/>
      <w:bookmarkStart w:id="5288" w:name="_Toc46302729"/>
      <w:bookmarkStart w:id="5289" w:name="_Toc317198896"/>
      <w:bookmarkStart w:id="5290" w:name="_Toc415476032"/>
      <w:bookmarkStart w:id="5291" w:name="_Toc423599307"/>
      <w:bookmarkStart w:id="5292" w:name="_Toc423601811"/>
      <w:bookmarkStart w:id="5293" w:name="_Toc501130273"/>
      <w:bookmarkStart w:id="5294" w:name="_Toc503777977"/>
      <w:bookmarkStart w:id="5295" w:name="_Ref49347611"/>
      <w:bookmarkStart w:id="5296" w:name="_Toc52181713"/>
      <w:bookmarkEnd w:id="5282"/>
      <w:bookmarkEnd w:id="5283"/>
      <w:bookmarkEnd w:id="5284"/>
      <w:bookmarkEnd w:id="5285"/>
      <w:bookmarkEnd w:id="5286"/>
      <w:bookmarkEnd w:id="5287"/>
      <w:bookmarkEnd w:id="5288"/>
      <w:r w:rsidRPr="00A52AB8">
        <w:t>Recovery point SEI message syntax</w:t>
      </w:r>
      <w:bookmarkEnd w:id="5289"/>
      <w:bookmarkEnd w:id="5290"/>
      <w:bookmarkEnd w:id="5291"/>
      <w:bookmarkEnd w:id="5292"/>
      <w:bookmarkEnd w:id="5293"/>
      <w:bookmarkEnd w:id="5294"/>
      <w:bookmarkEnd w:id="5295"/>
      <w:bookmarkEnd w:id="5296"/>
    </w:p>
    <w:tbl>
      <w:tblPr>
        <w:tblW w:w="5000" w:type="pct"/>
        <w:jc w:val="center"/>
        <w:tblLayout w:type="fixed"/>
        <w:tblLook w:val="04A0" w:firstRow="1" w:lastRow="0" w:firstColumn="1" w:lastColumn="0" w:noHBand="0" w:noVBand="1"/>
      </w:tblPr>
      <w:tblGrid>
        <w:gridCol w:w="8406"/>
        <w:gridCol w:w="1330"/>
      </w:tblGrid>
      <w:tr w:rsidR="00C42897" w:rsidRPr="00A52AB8" w14:paraId="6D22184E" w14:textId="77777777" w:rsidTr="00A252B5">
        <w:trPr>
          <w:cantSplit/>
          <w:jc w:val="center"/>
        </w:trPr>
        <w:tc>
          <w:tcPr>
            <w:tcW w:w="7921" w:type="dxa"/>
            <w:tcBorders>
              <w:top w:val="single" w:sz="6" w:space="0" w:color="auto"/>
              <w:left w:val="single" w:sz="6" w:space="0" w:color="auto"/>
              <w:bottom w:val="single" w:sz="4" w:space="0" w:color="auto"/>
              <w:right w:val="single" w:sz="6" w:space="0" w:color="auto"/>
            </w:tcBorders>
          </w:tcPr>
          <w:p w14:paraId="60A1BACA" w14:textId="0052DBF8" w:rsidR="00C42897" w:rsidRPr="00A52AB8" w:rsidRDefault="00C42897" w:rsidP="009C6742">
            <w:pPr>
              <w:pStyle w:val="tablesyntax"/>
              <w:keepNext w:val="0"/>
              <w:keepLines w:val="0"/>
              <w:spacing w:before="20" w:after="40"/>
              <w:rPr>
                <w:rFonts w:ascii="Cambria" w:hAnsi="Cambria"/>
              </w:rPr>
            </w:pPr>
            <w:r w:rsidRPr="00A52AB8">
              <w:rPr>
                <w:rFonts w:ascii="Cambria" w:hAnsi="Cambria"/>
              </w:rPr>
              <w:t>recovery_point(</w:t>
            </w:r>
            <w:r w:rsidR="0003078F" w:rsidRPr="00A52AB8">
              <w:rPr>
                <w:rFonts w:ascii="Cambria" w:hAnsi="Cambria"/>
              </w:rPr>
              <w:t> </w:t>
            </w:r>
            <w:r w:rsidRPr="00A52AB8">
              <w:rPr>
                <w:rFonts w:ascii="Cambria" w:hAnsi="Cambria"/>
              </w:rPr>
              <w:t>payloadSize</w:t>
            </w:r>
            <w:r w:rsidR="0003078F" w:rsidRPr="00A52AB8">
              <w:rPr>
                <w:rFonts w:ascii="Cambria" w:hAnsi="Cambria"/>
              </w:rPr>
              <w:t> </w:t>
            </w:r>
            <w:r w:rsidR="008F1F82" w:rsidRPr="00A52AB8">
              <w:rPr>
                <w:rFonts w:ascii="Cambria" w:hAnsi="Cambria"/>
              </w:rPr>
              <w:t>) {</w:t>
            </w:r>
          </w:p>
        </w:tc>
        <w:tc>
          <w:tcPr>
            <w:tcW w:w="1253" w:type="dxa"/>
            <w:tcBorders>
              <w:top w:val="single" w:sz="6" w:space="0" w:color="auto"/>
              <w:left w:val="single" w:sz="6" w:space="0" w:color="auto"/>
              <w:bottom w:val="single" w:sz="4" w:space="0" w:color="auto"/>
              <w:right w:val="single" w:sz="6" w:space="0" w:color="auto"/>
            </w:tcBorders>
          </w:tcPr>
          <w:p w14:paraId="3787BB1D" w14:textId="77777777" w:rsidR="00C42897" w:rsidRPr="00A52AB8" w:rsidRDefault="00C42897" w:rsidP="009C6742">
            <w:pPr>
              <w:pStyle w:val="tableheading"/>
              <w:keepNext w:val="0"/>
              <w:keepLines w:val="0"/>
              <w:spacing w:before="20" w:after="40"/>
              <w:rPr>
                <w:rFonts w:ascii="Cambria" w:hAnsi="Cambria"/>
              </w:rPr>
            </w:pPr>
            <w:r w:rsidRPr="00A52AB8">
              <w:rPr>
                <w:rFonts w:ascii="Cambria" w:hAnsi="Cambria"/>
              </w:rPr>
              <w:t>Descriptor</w:t>
            </w:r>
          </w:p>
        </w:tc>
      </w:tr>
      <w:tr w:rsidR="00C42897" w:rsidRPr="00A52AB8" w14:paraId="14FBD9D0" w14:textId="77777777" w:rsidTr="00A252B5">
        <w:trPr>
          <w:cantSplit/>
          <w:jc w:val="center"/>
        </w:trPr>
        <w:tc>
          <w:tcPr>
            <w:tcW w:w="7921" w:type="dxa"/>
            <w:tcBorders>
              <w:top w:val="single" w:sz="6" w:space="0" w:color="auto"/>
              <w:left w:val="single" w:sz="6" w:space="0" w:color="auto"/>
              <w:bottom w:val="single" w:sz="4" w:space="0" w:color="auto"/>
              <w:right w:val="single" w:sz="6" w:space="0" w:color="auto"/>
            </w:tcBorders>
          </w:tcPr>
          <w:p w14:paraId="500B6132" w14:textId="77777777" w:rsidR="00C42897" w:rsidRPr="00A52AB8" w:rsidRDefault="00C42897" w:rsidP="009C6742">
            <w:pPr>
              <w:pStyle w:val="tablesyntax"/>
              <w:keepNext w:val="0"/>
              <w:keepLines w:val="0"/>
              <w:spacing w:before="20" w:after="40"/>
              <w:rPr>
                <w:rFonts w:ascii="Cambria" w:hAnsi="Cambria"/>
              </w:rPr>
            </w:pPr>
            <w:r w:rsidRPr="00A52AB8">
              <w:rPr>
                <w:rFonts w:ascii="Cambria" w:hAnsi="Cambria"/>
                <w:b/>
                <w:bCs/>
              </w:rPr>
              <w:tab/>
            </w:r>
            <w:r w:rsidRPr="00A52AB8">
              <w:rPr>
                <w:rFonts w:ascii="Cambria" w:eastAsia="MS Mincho" w:hAnsi="Cambria"/>
                <w:b/>
                <w:bCs/>
                <w:lang w:eastAsia="ja-JP"/>
              </w:rPr>
              <w:t>recovery_</w:t>
            </w:r>
            <w:r w:rsidR="00DD23CD" w:rsidRPr="00A52AB8">
              <w:rPr>
                <w:rFonts w:ascii="Cambria" w:eastAsia="MS Mincho" w:hAnsi="Cambria"/>
                <w:b/>
                <w:bCs/>
                <w:lang w:eastAsia="ja-JP"/>
              </w:rPr>
              <w:t>afoc</w:t>
            </w:r>
            <w:r w:rsidRPr="00A52AB8">
              <w:rPr>
                <w:rFonts w:ascii="Cambria" w:eastAsia="MS Mincho" w:hAnsi="Cambria"/>
                <w:b/>
                <w:bCs/>
                <w:lang w:eastAsia="ja-JP"/>
              </w:rPr>
              <w:t>_cnt</w:t>
            </w:r>
          </w:p>
        </w:tc>
        <w:tc>
          <w:tcPr>
            <w:tcW w:w="1253" w:type="dxa"/>
            <w:tcBorders>
              <w:top w:val="single" w:sz="6" w:space="0" w:color="auto"/>
              <w:left w:val="single" w:sz="6" w:space="0" w:color="auto"/>
              <w:bottom w:val="single" w:sz="4" w:space="0" w:color="auto"/>
              <w:right w:val="single" w:sz="6" w:space="0" w:color="auto"/>
            </w:tcBorders>
          </w:tcPr>
          <w:p w14:paraId="5F9C948D" w14:textId="77777777" w:rsidR="00C42897" w:rsidRPr="00A52AB8" w:rsidRDefault="00C42897" w:rsidP="009C6742">
            <w:pPr>
              <w:pStyle w:val="tableheading"/>
              <w:keepNext w:val="0"/>
              <w:keepLines w:val="0"/>
              <w:spacing w:before="20" w:after="40"/>
              <w:jc w:val="center"/>
              <w:rPr>
                <w:rFonts w:ascii="Cambria" w:hAnsi="Cambria"/>
                <w:b w:val="0"/>
                <w:bCs w:val="0"/>
              </w:rPr>
            </w:pPr>
            <w:r w:rsidRPr="00A52AB8">
              <w:rPr>
                <w:rFonts w:ascii="Cambria" w:hAnsi="Cambria"/>
                <w:b w:val="0"/>
                <w:bCs w:val="0"/>
              </w:rPr>
              <w:t>se(v)</w:t>
            </w:r>
          </w:p>
        </w:tc>
      </w:tr>
      <w:tr w:rsidR="00C42897" w:rsidRPr="00A52AB8" w14:paraId="3FF84F4D" w14:textId="77777777" w:rsidTr="00A252B5">
        <w:trPr>
          <w:cantSplit/>
          <w:jc w:val="center"/>
        </w:trPr>
        <w:tc>
          <w:tcPr>
            <w:tcW w:w="7921" w:type="dxa"/>
            <w:tcBorders>
              <w:top w:val="single" w:sz="6" w:space="0" w:color="auto"/>
              <w:left w:val="single" w:sz="6" w:space="0" w:color="auto"/>
              <w:bottom w:val="single" w:sz="4" w:space="0" w:color="auto"/>
              <w:right w:val="single" w:sz="6" w:space="0" w:color="auto"/>
            </w:tcBorders>
          </w:tcPr>
          <w:p w14:paraId="1CDFCC51" w14:textId="77777777" w:rsidR="00C42897" w:rsidRPr="00A52AB8" w:rsidRDefault="00C42897" w:rsidP="009C6742">
            <w:pPr>
              <w:pStyle w:val="tablesyntax"/>
              <w:keepNext w:val="0"/>
              <w:keepLines w:val="0"/>
              <w:spacing w:before="20" w:after="40"/>
              <w:rPr>
                <w:rFonts w:ascii="Cambria" w:hAnsi="Cambria"/>
              </w:rPr>
            </w:pPr>
            <w:r w:rsidRPr="00A52AB8">
              <w:rPr>
                <w:rFonts w:ascii="Cambria" w:hAnsi="Cambria"/>
                <w:b/>
                <w:bCs/>
              </w:rPr>
              <w:tab/>
              <w:t>exact_match_flag</w:t>
            </w:r>
          </w:p>
        </w:tc>
        <w:tc>
          <w:tcPr>
            <w:tcW w:w="1253" w:type="dxa"/>
            <w:tcBorders>
              <w:top w:val="single" w:sz="6" w:space="0" w:color="auto"/>
              <w:left w:val="single" w:sz="6" w:space="0" w:color="auto"/>
              <w:bottom w:val="single" w:sz="4" w:space="0" w:color="auto"/>
              <w:right w:val="single" w:sz="6" w:space="0" w:color="auto"/>
            </w:tcBorders>
          </w:tcPr>
          <w:p w14:paraId="50AE0B67" w14:textId="77777777" w:rsidR="00C42897" w:rsidRPr="00A52AB8" w:rsidRDefault="00C42897" w:rsidP="009C6742">
            <w:pPr>
              <w:pStyle w:val="tableheading"/>
              <w:keepNext w:val="0"/>
              <w:keepLines w:val="0"/>
              <w:spacing w:before="20" w:after="40"/>
              <w:jc w:val="center"/>
              <w:rPr>
                <w:rFonts w:ascii="Cambria" w:hAnsi="Cambria"/>
                <w:b w:val="0"/>
                <w:bCs w:val="0"/>
              </w:rPr>
            </w:pPr>
            <w:r w:rsidRPr="00A52AB8">
              <w:rPr>
                <w:rFonts w:ascii="Cambria" w:hAnsi="Cambria"/>
                <w:b w:val="0"/>
                <w:bCs w:val="0"/>
              </w:rPr>
              <w:t>u(1)</w:t>
            </w:r>
          </w:p>
        </w:tc>
      </w:tr>
      <w:tr w:rsidR="00C42897" w:rsidRPr="00A52AB8" w14:paraId="6AE5A7F2" w14:textId="77777777" w:rsidTr="00A252B5">
        <w:trPr>
          <w:cantSplit/>
          <w:jc w:val="center"/>
        </w:trPr>
        <w:tc>
          <w:tcPr>
            <w:tcW w:w="7921" w:type="dxa"/>
            <w:tcBorders>
              <w:top w:val="single" w:sz="6" w:space="0" w:color="auto"/>
              <w:left w:val="single" w:sz="6" w:space="0" w:color="auto"/>
              <w:bottom w:val="single" w:sz="4" w:space="0" w:color="auto"/>
              <w:right w:val="single" w:sz="6" w:space="0" w:color="auto"/>
            </w:tcBorders>
          </w:tcPr>
          <w:p w14:paraId="3407117E" w14:textId="77777777" w:rsidR="00C42897" w:rsidRPr="00A52AB8" w:rsidRDefault="00C42897" w:rsidP="009C6742">
            <w:pPr>
              <w:pStyle w:val="tablesyntax"/>
              <w:keepNext w:val="0"/>
              <w:keepLines w:val="0"/>
              <w:spacing w:before="20" w:after="40"/>
              <w:rPr>
                <w:rFonts w:ascii="Cambria" w:hAnsi="Cambria"/>
              </w:rPr>
            </w:pPr>
            <w:r w:rsidRPr="00A52AB8">
              <w:rPr>
                <w:rFonts w:ascii="Cambria" w:hAnsi="Cambria"/>
                <w:b/>
                <w:bCs/>
              </w:rPr>
              <w:tab/>
              <w:t>broken_link_flag</w:t>
            </w:r>
          </w:p>
        </w:tc>
        <w:tc>
          <w:tcPr>
            <w:tcW w:w="1253" w:type="dxa"/>
            <w:tcBorders>
              <w:top w:val="single" w:sz="6" w:space="0" w:color="auto"/>
              <w:left w:val="single" w:sz="6" w:space="0" w:color="auto"/>
              <w:bottom w:val="single" w:sz="4" w:space="0" w:color="auto"/>
              <w:right w:val="single" w:sz="6" w:space="0" w:color="auto"/>
            </w:tcBorders>
          </w:tcPr>
          <w:p w14:paraId="0E36E46B" w14:textId="77777777" w:rsidR="00C42897" w:rsidRPr="00A52AB8" w:rsidRDefault="00C42897" w:rsidP="009C6742">
            <w:pPr>
              <w:pStyle w:val="tableheading"/>
              <w:keepNext w:val="0"/>
              <w:keepLines w:val="0"/>
              <w:spacing w:before="20" w:after="40"/>
              <w:jc w:val="center"/>
              <w:rPr>
                <w:rFonts w:ascii="Cambria" w:hAnsi="Cambria"/>
                <w:b w:val="0"/>
                <w:bCs w:val="0"/>
              </w:rPr>
            </w:pPr>
            <w:r w:rsidRPr="00A52AB8">
              <w:rPr>
                <w:rFonts w:ascii="Cambria" w:hAnsi="Cambria"/>
                <w:b w:val="0"/>
                <w:bCs w:val="0"/>
              </w:rPr>
              <w:t>u(1)</w:t>
            </w:r>
          </w:p>
        </w:tc>
      </w:tr>
      <w:tr w:rsidR="00C42897" w:rsidRPr="00A52AB8" w14:paraId="79B32514" w14:textId="77777777" w:rsidTr="00A252B5">
        <w:trPr>
          <w:cantSplit/>
          <w:jc w:val="center"/>
        </w:trPr>
        <w:tc>
          <w:tcPr>
            <w:tcW w:w="7921" w:type="dxa"/>
            <w:tcBorders>
              <w:top w:val="single" w:sz="2" w:space="0" w:color="auto"/>
              <w:left w:val="single" w:sz="6" w:space="0" w:color="auto"/>
              <w:bottom w:val="single" w:sz="2" w:space="0" w:color="auto"/>
              <w:right w:val="single" w:sz="6" w:space="0" w:color="auto"/>
            </w:tcBorders>
          </w:tcPr>
          <w:p w14:paraId="0768EF45" w14:textId="77777777" w:rsidR="00C42897" w:rsidRPr="00A52AB8" w:rsidRDefault="00C42897" w:rsidP="009C6742">
            <w:pPr>
              <w:pStyle w:val="tablesyntax"/>
              <w:keepNext w:val="0"/>
              <w:keepLines w:val="0"/>
              <w:spacing w:before="20" w:after="40"/>
              <w:rPr>
                <w:rFonts w:ascii="Cambria" w:hAnsi="Cambria"/>
              </w:rPr>
            </w:pPr>
            <w:r w:rsidRPr="00A52AB8">
              <w:rPr>
                <w:rFonts w:ascii="Cambria" w:hAnsi="Cambria"/>
              </w:rPr>
              <w:t>}</w:t>
            </w:r>
          </w:p>
        </w:tc>
        <w:tc>
          <w:tcPr>
            <w:tcW w:w="1253" w:type="dxa"/>
            <w:tcBorders>
              <w:top w:val="single" w:sz="2" w:space="0" w:color="auto"/>
              <w:left w:val="single" w:sz="6" w:space="0" w:color="auto"/>
              <w:bottom w:val="single" w:sz="2" w:space="0" w:color="auto"/>
              <w:right w:val="single" w:sz="6" w:space="0" w:color="auto"/>
            </w:tcBorders>
          </w:tcPr>
          <w:p w14:paraId="5FAFE363" w14:textId="77777777" w:rsidR="00C42897" w:rsidRPr="00A52AB8" w:rsidRDefault="00C42897" w:rsidP="009C6742">
            <w:pPr>
              <w:pStyle w:val="tablecell"/>
              <w:keepNext w:val="0"/>
              <w:keepLines w:val="0"/>
              <w:spacing w:before="20" w:after="40"/>
              <w:rPr>
                <w:rFonts w:ascii="Cambria" w:hAnsi="Cambria"/>
              </w:rPr>
            </w:pPr>
          </w:p>
        </w:tc>
      </w:tr>
    </w:tbl>
    <w:p w14:paraId="68A2617B" w14:textId="36BB5F83" w:rsidR="00C42897" w:rsidRPr="00A52AB8" w:rsidRDefault="00C42897" w:rsidP="009C6742">
      <w:pPr>
        <w:pStyle w:val="a3"/>
        <w:numPr>
          <w:ilvl w:val="2"/>
          <w:numId w:val="19"/>
        </w:numPr>
        <w:tabs>
          <w:tab w:val="clear" w:pos="403"/>
        </w:tabs>
        <w:spacing w:line="240" w:lineRule="auto"/>
      </w:pPr>
      <w:bookmarkStart w:id="5297" w:name="_Toc363691543"/>
      <w:bookmarkStart w:id="5298" w:name="_Toc390728267"/>
      <w:bookmarkStart w:id="5299" w:name="_Toc415476049"/>
      <w:bookmarkStart w:id="5300" w:name="_Toc423599324"/>
      <w:bookmarkStart w:id="5301" w:name="_Toc423601828"/>
      <w:bookmarkStart w:id="5302" w:name="_Toc501130291"/>
      <w:bookmarkStart w:id="5303" w:name="_Toc503777995"/>
      <w:bookmarkStart w:id="5304" w:name="_Ref49347624"/>
      <w:bookmarkStart w:id="5305" w:name="_Toc52181714"/>
      <w:r w:rsidRPr="00A52AB8">
        <w:t xml:space="preserve">No </w:t>
      </w:r>
      <w:r w:rsidR="00F16D7B" w:rsidRPr="00A52AB8">
        <w:t xml:space="preserve">reconstruction </w:t>
      </w:r>
      <w:r w:rsidRPr="00A52AB8">
        <w:t>SEI message syntax</w:t>
      </w:r>
      <w:bookmarkEnd w:id="5297"/>
      <w:bookmarkEnd w:id="5298"/>
      <w:bookmarkEnd w:id="5299"/>
      <w:bookmarkEnd w:id="5300"/>
      <w:bookmarkEnd w:id="5301"/>
      <w:bookmarkEnd w:id="5302"/>
      <w:bookmarkEnd w:id="5303"/>
      <w:bookmarkEnd w:id="5304"/>
      <w:bookmarkEnd w:id="5305"/>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411"/>
        <w:gridCol w:w="1331"/>
      </w:tblGrid>
      <w:tr w:rsidR="00C42897" w:rsidRPr="00A52AB8" w14:paraId="76C6EF47" w14:textId="77777777" w:rsidTr="00A252B5">
        <w:trPr>
          <w:cantSplit/>
          <w:jc w:val="center"/>
        </w:trPr>
        <w:tc>
          <w:tcPr>
            <w:tcW w:w="7921" w:type="dxa"/>
          </w:tcPr>
          <w:p w14:paraId="38829735" w14:textId="4D4C010D" w:rsidR="00C42897" w:rsidRPr="00A52AB8" w:rsidRDefault="00C42897" w:rsidP="009C6742">
            <w:pPr>
              <w:pStyle w:val="tablesyntax"/>
              <w:keepNext w:val="0"/>
              <w:keepLines w:val="0"/>
              <w:spacing w:before="20" w:after="40"/>
              <w:rPr>
                <w:rFonts w:ascii="Cambria" w:hAnsi="Cambria"/>
              </w:rPr>
            </w:pPr>
            <w:r w:rsidRPr="00A52AB8">
              <w:rPr>
                <w:rFonts w:ascii="Cambria" w:hAnsi="Cambria"/>
              </w:rPr>
              <w:t>no_</w:t>
            </w:r>
            <w:r w:rsidR="00F16D7B" w:rsidRPr="00A52AB8">
              <w:rPr>
                <w:rFonts w:ascii="Cambria" w:hAnsi="Cambria"/>
              </w:rPr>
              <w:t>reconstruction</w:t>
            </w:r>
            <w:r w:rsidRPr="00A52AB8">
              <w:rPr>
                <w:rFonts w:ascii="Cambria" w:hAnsi="Cambria"/>
              </w:rPr>
              <w:t>(</w:t>
            </w:r>
            <w:r w:rsidR="0003078F" w:rsidRPr="00A52AB8">
              <w:rPr>
                <w:rFonts w:ascii="Cambria" w:hAnsi="Cambria"/>
              </w:rPr>
              <w:t> </w:t>
            </w:r>
            <w:r w:rsidRPr="00A52AB8">
              <w:rPr>
                <w:rFonts w:ascii="Cambria" w:hAnsi="Cambria"/>
              </w:rPr>
              <w:t>payloadSize</w:t>
            </w:r>
            <w:r w:rsidR="0003078F" w:rsidRPr="00A52AB8">
              <w:rPr>
                <w:rFonts w:ascii="Cambria" w:hAnsi="Cambria"/>
              </w:rPr>
              <w:t> </w:t>
            </w:r>
            <w:r w:rsidR="008F1F82" w:rsidRPr="00A52AB8">
              <w:rPr>
                <w:rFonts w:ascii="Cambria" w:hAnsi="Cambria"/>
              </w:rPr>
              <w:t>) {</w:t>
            </w:r>
          </w:p>
        </w:tc>
        <w:tc>
          <w:tcPr>
            <w:tcW w:w="1253" w:type="dxa"/>
          </w:tcPr>
          <w:p w14:paraId="04EF98D6" w14:textId="77777777" w:rsidR="00C42897" w:rsidRPr="00A52AB8" w:rsidRDefault="00C42897" w:rsidP="009C6742">
            <w:pPr>
              <w:pStyle w:val="tableheading"/>
              <w:keepNext w:val="0"/>
              <w:keepLines w:val="0"/>
              <w:overflowPunct/>
              <w:autoSpaceDE/>
              <w:autoSpaceDN/>
              <w:adjustRightInd/>
              <w:spacing w:before="20" w:after="40"/>
              <w:jc w:val="center"/>
              <w:textAlignment w:val="auto"/>
              <w:rPr>
                <w:rFonts w:ascii="Cambria" w:hAnsi="Cambria"/>
                <w:b w:val="0"/>
              </w:rPr>
            </w:pPr>
            <w:r w:rsidRPr="00A52AB8">
              <w:rPr>
                <w:rFonts w:ascii="Cambria" w:hAnsi="Cambria"/>
              </w:rPr>
              <w:t>Descriptor</w:t>
            </w:r>
          </w:p>
        </w:tc>
      </w:tr>
      <w:tr w:rsidR="00C42897" w:rsidRPr="00A52AB8" w14:paraId="0D99A7FC" w14:textId="77777777" w:rsidTr="00A252B5">
        <w:trPr>
          <w:cantSplit/>
          <w:jc w:val="center"/>
        </w:trPr>
        <w:tc>
          <w:tcPr>
            <w:tcW w:w="7921" w:type="dxa"/>
          </w:tcPr>
          <w:p w14:paraId="48D67712" w14:textId="77777777" w:rsidR="00C42897" w:rsidRPr="00A52AB8" w:rsidRDefault="00C42897" w:rsidP="009C6742">
            <w:pPr>
              <w:pStyle w:val="tablesyntax"/>
              <w:keepNext w:val="0"/>
              <w:keepLines w:val="0"/>
              <w:spacing w:before="20" w:after="40"/>
              <w:rPr>
                <w:rFonts w:ascii="Cambria" w:hAnsi="Cambria"/>
                <w:bCs/>
                <w:lang w:eastAsia="ja-JP"/>
              </w:rPr>
            </w:pPr>
            <w:r w:rsidRPr="00A52AB8">
              <w:rPr>
                <w:rFonts w:ascii="Cambria" w:hAnsi="Cambria"/>
              </w:rPr>
              <w:t>}</w:t>
            </w:r>
          </w:p>
        </w:tc>
        <w:tc>
          <w:tcPr>
            <w:tcW w:w="1253" w:type="dxa"/>
          </w:tcPr>
          <w:p w14:paraId="66A2C62D" w14:textId="77777777" w:rsidR="00C42897" w:rsidRPr="00A52AB8" w:rsidRDefault="00C42897" w:rsidP="009C6742">
            <w:pPr>
              <w:pStyle w:val="tableheading"/>
              <w:keepNext w:val="0"/>
              <w:keepLines w:val="0"/>
              <w:overflowPunct/>
              <w:autoSpaceDE/>
              <w:autoSpaceDN/>
              <w:adjustRightInd/>
              <w:spacing w:before="20" w:after="40"/>
              <w:jc w:val="center"/>
              <w:textAlignment w:val="auto"/>
              <w:rPr>
                <w:rFonts w:ascii="Cambria" w:hAnsi="Cambria"/>
                <w:b w:val="0"/>
              </w:rPr>
            </w:pPr>
          </w:p>
        </w:tc>
      </w:tr>
    </w:tbl>
    <w:p w14:paraId="5ACE16C8" w14:textId="77777777" w:rsidR="00C42897" w:rsidRPr="00A52AB8" w:rsidRDefault="00C42897" w:rsidP="009C6742">
      <w:pPr>
        <w:pStyle w:val="a3"/>
        <w:numPr>
          <w:ilvl w:val="2"/>
          <w:numId w:val="19"/>
        </w:numPr>
        <w:tabs>
          <w:tab w:val="clear" w:pos="403"/>
        </w:tabs>
        <w:spacing w:line="240" w:lineRule="auto"/>
      </w:pPr>
      <w:bookmarkStart w:id="5306" w:name="_Toc38891817"/>
      <w:bookmarkStart w:id="5307" w:name="_Toc39426414"/>
      <w:bookmarkStart w:id="5308" w:name="_Toc42730221"/>
      <w:bookmarkStart w:id="5309" w:name="_Toc45105685"/>
      <w:bookmarkStart w:id="5310" w:name="_Toc45530544"/>
      <w:bookmarkStart w:id="5311" w:name="_Toc46301907"/>
      <w:bookmarkStart w:id="5312" w:name="_Toc46302732"/>
      <w:bookmarkStart w:id="5313" w:name="_Ref399007818"/>
      <w:bookmarkStart w:id="5314" w:name="_Toc415476058"/>
      <w:bookmarkStart w:id="5315" w:name="_Toc423599333"/>
      <w:bookmarkStart w:id="5316" w:name="_Toc423601837"/>
      <w:bookmarkStart w:id="5317" w:name="_Toc501130310"/>
      <w:bookmarkStart w:id="5318" w:name="_Toc503778014"/>
      <w:bookmarkStart w:id="5319" w:name="_Toc52181715"/>
      <w:bookmarkEnd w:id="5306"/>
      <w:bookmarkEnd w:id="5307"/>
      <w:bookmarkEnd w:id="5308"/>
      <w:bookmarkEnd w:id="5309"/>
      <w:bookmarkEnd w:id="5310"/>
      <w:bookmarkEnd w:id="5311"/>
      <w:bookmarkEnd w:id="5312"/>
      <w:r w:rsidRPr="00A52AB8">
        <w:t>Reserved SEI message syntax</w:t>
      </w:r>
      <w:bookmarkEnd w:id="5313"/>
      <w:bookmarkEnd w:id="5314"/>
      <w:bookmarkEnd w:id="5315"/>
      <w:bookmarkEnd w:id="5316"/>
      <w:bookmarkEnd w:id="5317"/>
      <w:bookmarkEnd w:id="5318"/>
      <w:bookmarkEnd w:id="5319"/>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411"/>
        <w:gridCol w:w="1331"/>
      </w:tblGrid>
      <w:tr w:rsidR="00C42897" w:rsidRPr="00A52AB8" w14:paraId="0B03974E" w14:textId="77777777" w:rsidTr="00A252B5">
        <w:trPr>
          <w:cantSplit/>
          <w:jc w:val="center"/>
        </w:trPr>
        <w:tc>
          <w:tcPr>
            <w:tcW w:w="7921" w:type="dxa"/>
          </w:tcPr>
          <w:p w14:paraId="2F4CE540" w14:textId="32300CB8" w:rsidR="00C42897" w:rsidRPr="00A52AB8" w:rsidRDefault="00C42897" w:rsidP="009C6742">
            <w:pPr>
              <w:pStyle w:val="tablesyntax"/>
              <w:keepNext w:val="0"/>
              <w:keepLines w:val="0"/>
              <w:spacing w:before="20" w:after="40"/>
              <w:rPr>
                <w:rFonts w:ascii="Cambria" w:hAnsi="Cambria"/>
              </w:rPr>
            </w:pPr>
            <w:r w:rsidRPr="00A52AB8">
              <w:rPr>
                <w:rFonts w:ascii="Cambria" w:hAnsi="Cambria"/>
              </w:rPr>
              <w:t>reserved_sei_message(</w:t>
            </w:r>
            <w:r w:rsidR="0003078F" w:rsidRPr="00A52AB8">
              <w:rPr>
                <w:rFonts w:ascii="Cambria" w:hAnsi="Cambria"/>
              </w:rPr>
              <w:t> </w:t>
            </w:r>
            <w:r w:rsidRPr="00A52AB8">
              <w:rPr>
                <w:rFonts w:ascii="Cambria" w:hAnsi="Cambria"/>
              </w:rPr>
              <w:t>payloadSize</w:t>
            </w:r>
            <w:r w:rsidR="0003078F" w:rsidRPr="00A52AB8">
              <w:rPr>
                <w:rFonts w:ascii="Cambria" w:hAnsi="Cambria"/>
              </w:rPr>
              <w:t> </w:t>
            </w:r>
            <w:r w:rsidR="008F1F82" w:rsidRPr="00A52AB8">
              <w:rPr>
                <w:rFonts w:ascii="Cambria" w:hAnsi="Cambria"/>
              </w:rPr>
              <w:t>) {</w:t>
            </w:r>
          </w:p>
        </w:tc>
        <w:tc>
          <w:tcPr>
            <w:tcW w:w="1253" w:type="dxa"/>
          </w:tcPr>
          <w:p w14:paraId="3403A5FD" w14:textId="77777777" w:rsidR="00C42897" w:rsidRPr="00A52AB8" w:rsidRDefault="00C42897" w:rsidP="009C6742">
            <w:pPr>
              <w:pStyle w:val="tableheading"/>
              <w:keepNext w:val="0"/>
              <w:keepLines w:val="0"/>
              <w:overflowPunct/>
              <w:autoSpaceDE/>
              <w:autoSpaceDN/>
              <w:adjustRightInd/>
              <w:spacing w:before="20" w:after="40"/>
              <w:jc w:val="left"/>
              <w:textAlignment w:val="auto"/>
              <w:rPr>
                <w:rFonts w:ascii="Cambria" w:hAnsi="Cambria"/>
                <w:b w:val="0"/>
              </w:rPr>
            </w:pPr>
            <w:r w:rsidRPr="00A52AB8">
              <w:rPr>
                <w:rFonts w:ascii="Cambria" w:hAnsi="Cambria"/>
              </w:rPr>
              <w:t>Descriptor</w:t>
            </w:r>
          </w:p>
        </w:tc>
      </w:tr>
      <w:tr w:rsidR="00C42897" w:rsidRPr="00A52AB8" w14:paraId="5C8EA3A9" w14:textId="77777777" w:rsidTr="00A252B5">
        <w:trPr>
          <w:cantSplit/>
          <w:jc w:val="center"/>
        </w:trPr>
        <w:tc>
          <w:tcPr>
            <w:tcW w:w="7921" w:type="dxa"/>
          </w:tcPr>
          <w:p w14:paraId="23D04E40" w14:textId="49571899" w:rsidR="00C42897" w:rsidRPr="00A52AB8" w:rsidRDefault="00C42897" w:rsidP="009C6742">
            <w:pPr>
              <w:pStyle w:val="tablesyntax"/>
              <w:keepNext w:val="0"/>
              <w:keepLines w:val="0"/>
              <w:spacing w:before="20" w:after="40"/>
              <w:rPr>
                <w:rFonts w:ascii="Cambria" w:hAnsi="Cambria"/>
              </w:rPr>
            </w:pPr>
            <w:r w:rsidRPr="00A52AB8">
              <w:rPr>
                <w:rFonts w:ascii="Cambria" w:hAnsi="Cambria"/>
              </w:rPr>
              <w:tab/>
              <w:t>for( i</w:t>
            </w:r>
            <w:r w:rsidR="0023721F" w:rsidRPr="00A52AB8">
              <w:rPr>
                <w:rFonts w:ascii="Cambria" w:hAnsi="Cambria"/>
              </w:rPr>
              <w:t> </w:t>
            </w:r>
            <w:r w:rsidR="00D47707" w:rsidRPr="00A52AB8">
              <w:rPr>
                <w:rFonts w:ascii="Cambria" w:hAnsi="Cambria"/>
              </w:rPr>
              <w:t>= </w:t>
            </w:r>
            <w:r w:rsidRPr="00A52AB8">
              <w:rPr>
                <w:rFonts w:ascii="Cambria" w:hAnsi="Cambria"/>
              </w:rPr>
              <w:t>0; i &lt; payloadSize; i</w:t>
            </w:r>
            <w:r w:rsidR="00006CCF" w:rsidRPr="00A52AB8">
              <w:rPr>
                <w:rFonts w:ascii="Cambria" w:hAnsi="Cambria"/>
              </w:rPr>
              <w:t>++ )</w:t>
            </w:r>
          </w:p>
        </w:tc>
        <w:tc>
          <w:tcPr>
            <w:tcW w:w="1253" w:type="dxa"/>
          </w:tcPr>
          <w:p w14:paraId="0956A899" w14:textId="77777777" w:rsidR="00C42897" w:rsidRPr="00A52AB8" w:rsidRDefault="00C42897" w:rsidP="009C6742">
            <w:pPr>
              <w:pStyle w:val="tableheading"/>
              <w:keepNext w:val="0"/>
              <w:keepLines w:val="0"/>
              <w:overflowPunct/>
              <w:autoSpaceDE/>
              <w:autoSpaceDN/>
              <w:adjustRightInd/>
              <w:spacing w:before="20" w:after="40"/>
              <w:jc w:val="center"/>
              <w:textAlignment w:val="auto"/>
              <w:rPr>
                <w:rFonts w:ascii="Cambria" w:hAnsi="Cambria"/>
                <w:b w:val="0"/>
              </w:rPr>
            </w:pPr>
          </w:p>
        </w:tc>
      </w:tr>
      <w:tr w:rsidR="00C42897" w:rsidRPr="00A52AB8" w14:paraId="36F0B24B" w14:textId="77777777" w:rsidTr="00A252B5">
        <w:trPr>
          <w:cantSplit/>
          <w:jc w:val="center"/>
        </w:trPr>
        <w:tc>
          <w:tcPr>
            <w:tcW w:w="7921" w:type="dxa"/>
          </w:tcPr>
          <w:p w14:paraId="67297F6E" w14:textId="77777777" w:rsidR="00C42897" w:rsidRPr="00A52AB8" w:rsidRDefault="00C42897" w:rsidP="009C6742">
            <w:pPr>
              <w:pStyle w:val="tablesyntax"/>
              <w:keepNext w:val="0"/>
              <w:keepLines w:val="0"/>
              <w:spacing w:before="20" w:after="40"/>
              <w:rPr>
                <w:rFonts w:ascii="Cambria" w:hAnsi="Cambria"/>
              </w:rPr>
            </w:pPr>
            <w:r w:rsidRPr="00A52AB8">
              <w:rPr>
                <w:rFonts w:ascii="Cambria" w:hAnsi="Cambria"/>
              </w:rPr>
              <w:tab/>
            </w:r>
            <w:r w:rsidRPr="00A52AB8">
              <w:rPr>
                <w:rFonts w:ascii="Cambria" w:hAnsi="Cambria"/>
              </w:rPr>
              <w:tab/>
            </w:r>
            <w:r w:rsidRPr="00A52AB8">
              <w:rPr>
                <w:rFonts w:ascii="Cambria" w:hAnsi="Cambria"/>
                <w:b/>
              </w:rPr>
              <w:t>reserved_sei_message_payload_byte</w:t>
            </w:r>
          </w:p>
        </w:tc>
        <w:tc>
          <w:tcPr>
            <w:tcW w:w="1253" w:type="dxa"/>
          </w:tcPr>
          <w:p w14:paraId="3E0A9486" w14:textId="77777777" w:rsidR="00C42897" w:rsidRPr="00A52AB8" w:rsidRDefault="00C42897" w:rsidP="009C6742">
            <w:pPr>
              <w:pStyle w:val="tableheading"/>
              <w:keepNext w:val="0"/>
              <w:keepLines w:val="0"/>
              <w:overflowPunct/>
              <w:autoSpaceDE/>
              <w:autoSpaceDN/>
              <w:adjustRightInd/>
              <w:spacing w:before="20" w:after="40"/>
              <w:jc w:val="center"/>
              <w:textAlignment w:val="auto"/>
              <w:rPr>
                <w:rFonts w:ascii="Cambria" w:hAnsi="Cambria"/>
                <w:b w:val="0"/>
              </w:rPr>
            </w:pPr>
            <w:r w:rsidRPr="00A52AB8">
              <w:rPr>
                <w:rFonts w:ascii="Cambria" w:hAnsi="Cambria"/>
                <w:b w:val="0"/>
              </w:rPr>
              <w:t>b(8)</w:t>
            </w:r>
          </w:p>
        </w:tc>
      </w:tr>
      <w:tr w:rsidR="00C42897" w:rsidRPr="00A52AB8" w14:paraId="4A12AF97" w14:textId="77777777" w:rsidTr="00A252B5">
        <w:trPr>
          <w:cantSplit/>
          <w:jc w:val="center"/>
        </w:trPr>
        <w:tc>
          <w:tcPr>
            <w:tcW w:w="7921" w:type="dxa"/>
          </w:tcPr>
          <w:p w14:paraId="4AF4CA60" w14:textId="77777777" w:rsidR="00C42897" w:rsidRPr="00A52AB8" w:rsidRDefault="00C42897" w:rsidP="009C6742">
            <w:pPr>
              <w:pStyle w:val="tablesyntax"/>
              <w:keepNext w:val="0"/>
              <w:keepLines w:val="0"/>
              <w:spacing w:before="20" w:after="40"/>
              <w:rPr>
                <w:rFonts w:ascii="Cambria" w:hAnsi="Cambria"/>
              </w:rPr>
            </w:pPr>
            <w:r w:rsidRPr="00A52AB8">
              <w:rPr>
                <w:rFonts w:ascii="Cambria" w:hAnsi="Cambria"/>
              </w:rPr>
              <w:t>}</w:t>
            </w:r>
          </w:p>
        </w:tc>
        <w:tc>
          <w:tcPr>
            <w:tcW w:w="1253" w:type="dxa"/>
          </w:tcPr>
          <w:p w14:paraId="2C04AAA1" w14:textId="77777777" w:rsidR="00C42897" w:rsidRPr="00A52AB8" w:rsidRDefault="00C42897" w:rsidP="009C6742">
            <w:pPr>
              <w:pStyle w:val="tableheading"/>
              <w:keepNext w:val="0"/>
              <w:keepLines w:val="0"/>
              <w:overflowPunct/>
              <w:autoSpaceDE/>
              <w:autoSpaceDN/>
              <w:adjustRightInd/>
              <w:spacing w:before="20" w:after="40"/>
              <w:jc w:val="center"/>
              <w:textAlignment w:val="auto"/>
              <w:rPr>
                <w:rFonts w:ascii="Cambria" w:hAnsi="Cambria"/>
                <w:b w:val="0"/>
              </w:rPr>
            </w:pPr>
          </w:p>
        </w:tc>
      </w:tr>
    </w:tbl>
    <w:p w14:paraId="49E70A2C" w14:textId="77777777" w:rsidR="00242357" w:rsidRPr="00A52AB8" w:rsidRDefault="00242357" w:rsidP="009C6742">
      <w:pPr>
        <w:pStyle w:val="a3"/>
        <w:numPr>
          <w:ilvl w:val="2"/>
          <w:numId w:val="19"/>
        </w:numPr>
        <w:tabs>
          <w:tab w:val="clear" w:pos="403"/>
        </w:tabs>
        <w:spacing w:line="240" w:lineRule="auto"/>
        <w:rPr>
          <w:b w:val="0"/>
        </w:rPr>
      </w:pPr>
      <w:bookmarkStart w:id="5320" w:name="_Toc38891819"/>
      <w:bookmarkStart w:id="5321" w:name="_Toc39426416"/>
      <w:bookmarkStart w:id="5322" w:name="_Toc42730223"/>
      <w:bookmarkStart w:id="5323" w:name="_Toc45105687"/>
      <w:bookmarkStart w:id="5324" w:name="_Toc45530546"/>
      <w:bookmarkStart w:id="5325" w:name="_Toc46301909"/>
      <w:bookmarkStart w:id="5326" w:name="_Toc46302734"/>
      <w:bookmarkStart w:id="5327" w:name="_Ref49347643"/>
      <w:bookmarkStart w:id="5328" w:name="_Toc52181716"/>
      <w:bookmarkEnd w:id="5320"/>
      <w:bookmarkEnd w:id="5321"/>
      <w:bookmarkEnd w:id="5322"/>
      <w:bookmarkEnd w:id="5323"/>
      <w:bookmarkEnd w:id="5324"/>
      <w:bookmarkEnd w:id="5325"/>
      <w:bookmarkEnd w:id="5326"/>
      <w:r w:rsidRPr="00A52AB8">
        <w:t>SEI manifest SEI message syntax</w:t>
      </w:r>
      <w:bookmarkEnd w:id="5327"/>
      <w:bookmarkEnd w:id="5328"/>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493"/>
        <w:gridCol w:w="1249"/>
      </w:tblGrid>
      <w:tr w:rsidR="00242357" w:rsidRPr="00A52AB8" w14:paraId="5116D68C" w14:textId="77777777" w:rsidTr="006E3619">
        <w:trPr>
          <w:cantSplit/>
          <w:jc w:val="center"/>
        </w:trPr>
        <w:tc>
          <w:tcPr>
            <w:tcW w:w="4359" w:type="pct"/>
          </w:tcPr>
          <w:p w14:paraId="3F7E1D6A" w14:textId="2D578B90" w:rsidR="00242357" w:rsidRPr="00A52AB8" w:rsidRDefault="00242357" w:rsidP="009C6742">
            <w:pPr>
              <w:spacing w:before="20" w:after="40" w:line="240" w:lineRule="auto"/>
              <w:rPr>
                <w:rFonts w:eastAsia="Malgun Gothic"/>
                <w:sz w:val="20"/>
              </w:rPr>
            </w:pPr>
            <w:r w:rsidRPr="00A52AB8">
              <w:rPr>
                <w:sz w:val="20"/>
              </w:rPr>
              <w:t>sei_manifest</w:t>
            </w:r>
            <w:r w:rsidRPr="00A52AB8">
              <w:rPr>
                <w:rFonts w:eastAsia="Malgun Gothic"/>
                <w:sz w:val="20"/>
              </w:rPr>
              <w:t>( payloadSize </w:t>
            </w:r>
            <w:r w:rsidR="008F1F82" w:rsidRPr="00A52AB8">
              <w:rPr>
                <w:rFonts w:eastAsia="Malgun Gothic"/>
                <w:sz w:val="20"/>
              </w:rPr>
              <w:t>) {</w:t>
            </w:r>
          </w:p>
        </w:tc>
        <w:tc>
          <w:tcPr>
            <w:tcW w:w="641" w:type="pct"/>
          </w:tcPr>
          <w:p w14:paraId="643B46C5" w14:textId="77777777" w:rsidR="00242357" w:rsidRPr="00A52AB8" w:rsidRDefault="00242357" w:rsidP="009C6742">
            <w:pPr>
              <w:spacing w:before="20" w:after="40" w:line="240" w:lineRule="auto"/>
              <w:jc w:val="center"/>
              <w:rPr>
                <w:rFonts w:eastAsia="Malgun Gothic"/>
                <w:bCs/>
                <w:sz w:val="20"/>
              </w:rPr>
            </w:pPr>
            <w:r w:rsidRPr="00A52AB8">
              <w:rPr>
                <w:rFonts w:eastAsia="Malgun Gothic"/>
                <w:b/>
                <w:bCs/>
                <w:sz w:val="20"/>
              </w:rPr>
              <w:t>Descriptor</w:t>
            </w:r>
          </w:p>
        </w:tc>
      </w:tr>
      <w:tr w:rsidR="00242357" w:rsidRPr="00A52AB8" w14:paraId="7B2EB771" w14:textId="77777777" w:rsidTr="006E3619">
        <w:trPr>
          <w:cantSplit/>
          <w:jc w:val="center"/>
        </w:trPr>
        <w:tc>
          <w:tcPr>
            <w:tcW w:w="4359" w:type="pct"/>
          </w:tcPr>
          <w:p w14:paraId="743190AC" w14:textId="77777777" w:rsidR="00242357" w:rsidRPr="00A52AB8" w:rsidRDefault="00242357" w:rsidP="009C6742">
            <w:pPr>
              <w:spacing w:before="20" w:after="40" w:line="240" w:lineRule="auto"/>
              <w:rPr>
                <w:rFonts w:eastAsia="Malgun Gothic"/>
                <w:b/>
                <w:sz w:val="20"/>
              </w:rPr>
            </w:pPr>
            <w:r w:rsidRPr="00A52AB8">
              <w:rPr>
                <w:b/>
                <w:bCs/>
                <w:sz w:val="20"/>
              </w:rPr>
              <w:tab/>
              <w:t>manifest_num_sei_msg_types</w:t>
            </w:r>
          </w:p>
        </w:tc>
        <w:tc>
          <w:tcPr>
            <w:tcW w:w="641" w:type="pct"/>
          </w:tcPr>
          <w:p w14:paraId="2C881231" w14:textId="77777777" w:rsidR="00242357" w:rsidRPr="00A52AB8" w:rsidRDefault="00242357" w:rsidP="009C6742">
            <w:pPr>
              <w:spacing w:before="20" w:after="40" w:line="240" w:lineRule="auto"/>
              <w:jc w:val="center"/>
              <w:rPr>
                <w:rFonts w:eastAsia="Malgun Gothic"/>
                <w:bCs/>
                <w:sz w:val="20"/>
              </w:rPr>
            </w:pPr>
            <w:r w:rsidRPr="00A52AB8">
              <w:rPr>
                <w:sz w:val="20"/>
              </w:rPr>
              <w:t>u(16)</w:t>
            </w:r>
          </w:p>
        </w:tc>
      </w:tr>
      <w:tr w:rsidR="00242357" w:rsidRPr="00A52AB8" w14:paraId="602F3A30" w14:textId="77777777" w:rsidTr="006E3619">
        <w:trPr>
          <w:cantSplit/>
          <w:jc w:val="center"/>
        </w:trPr>
        <w:tc>
          <w:tcPr>
            <w:tcW w:w="4359" w:type="pct"/>
          </w:tcPr>
          <w:p w14:paraId="4A405B7E" w14:textId="4E5013CC" w:rsidR="00242357" w:rsidRPr="00A52AB8" w:rsidRDefault="00242357" w:rsidP="009C6742">
            <w:pPr>
              <w:spacing w:before="20" w:after="40" w:line="240" w:lineRule="auto"/>
              <w:rPr>
                <w:rFonts w:eastAsia="Malgun Gothic"/>
                <w:b/>
                <w:sz w:val="20"/>
              </w:rPr>
            </w:pPr>
            <w:r w:rsidRPr="00A52AB8">
              <w:rPr>
                <w:sz w:val="20"/>
              </w:rPr>
              <w:tab/>
              <w:t>for( i</w:t>
            </w:r>
            <w:r w:rsidR="0023721F" w:rsidRPr="00A52AB8">
              <w:rPr>
                <w:sz w:val="20"/>
              </w:rPr>
              <w:t> </w:t>
            </w:r>
            <w:r w:rsidR="00D47707" w:rsidRPr="00A52AB8">
              <w:rPr>
                <w:sz w:val="20"/>
              </w:rPr>
              <w:t>= </w:t>
            </w:r>
            <w:r w:rsidRPr="00A52AB8">
              <w:rPr>
                <w:sz w:val="20"/>
              </w:rPr>
              <w:t>0; i &lt; manifest_num_sei_msg_types; i</w:t>
            </w:r>
            <w:r w:rsidR="00006CCF" w:rsidRPr="00A52AB8">
              <w:rPr>
                <w:sz w:val="20"/>
              </w:rPr>
              <w:t>++ </w:t>
            </w:r>
            <w:r w:rsidR="008F1F82" w:rsidRPr="00A52AB8">
              <w:rPr>
                <w:sz w:val="20"/>
              </w:rPr>
              <w:t>) {</w:t>
            </w:r>
          </w:p>
        </w:tc>
        <w:tc>
          <w:tcPr>
            <w:tcW w:w="641" w:type="pct"/>
          </w:tcPr>
          <w:p w14:paraId="2202CAEA" w14:textId="77777777" w:rsidR="00242357" w:rsidRPr="00A52AB8" w:rsidRDefault="00242357" w:rsidP="009C6742">
            <w:pPr>
              <w:spacing w:before="20" w:after="40" w:line="240" w:lineRule="auto"/>
              <w:jc w:val="center"/>
              <w:rPr>
                <w:rFonts w:eastAsia="Malgun Gothic"/>
                <w:bCs/>
                <w:sz w:val="20"/>
              </w:rPr>
            </w:pPr>
          </w:p>
        </w:tc>
      </w:tr>
      <w:tr w:rsidR="00242357" w:rsidRPr="00A52AB8" w14:paraId="78C44159" w14:textId="77777777" w:rsidTr="006E3619">
        <w:trPr>
          <w:cantSplit/>
          <w:jc w:val="center"/>
        </w:trPr>
        <w:tc>
          <w:tcPr>
            <w:tcW w:w="4359" w:type="pct"/>
          </w:tcPr>
          <w:p w14:paraId="0ED832B6" w14:textId="77777777" w:rsidR="00242357" w:rsidRPr="00A52AB8" w:rsidRDefault="00242357" w:rsidP="009C6742">
            <w:pPr>
              <w:spacing w:before="20" w:after="40" w:line="240" w:lineRule="auto"/>
              <w:rPr>
                <w:rFonts w:eastAsia="Malgun Gothic"/>
                <w:b/>
                <w:sz w:val="20"/>
              </w:rPr>
            </w:pPr>
            <w:r w:rsidRPr="00A52AB8">
              <w:rPr>
                <w:bCs/>
                <w:sz w:val="20"/>
              </w:rPr>
              <w:tab/>
            </w:r>
            <w:r w:rsidRPr="00A52AB8">
              <w:rPr>
                <w:bCs/>
                <w:sz w:val="20"/>
              </w:rPr>
              <w:tab/>
            </w:r>
            <w:r w:rsidRPr="00A52AB8">
              <w:rPr>
                <w:b/>
                <w:bCs/>
                <w:sz w:val="20"/>
              </w:rPr>
              <w:t>manifest_sei_payload_type</w:t>
            </w:r>
            <w:r w:rsidR="001F4484" w:rsidRPr="00A52AB8">
              <w:rPr>
                <w:bCs/>
                <w:sz w:val="20"/>
              </w:rPr>
              <w:t>[ i ]</w:t>
            </w:r>
          </w:p>
        </w:tc>
        <w:tc>
          <w:tcPr>
            <w:tcW w:w="641" w:type="pct"/>
          </w:tcPr>
          <w:p w14:paraId="171E197B" w14:textId="77777777" w:rsidR="00242357" w:rsidRPr="00A52AB8" w:rsidRDefault="00242357" w:rsidP="009C6742">
            <w:pPr>
              <w:spacing w:before="20" w:after="40" w:line="240" w:lineRule="auto"/>
              <w:jc w:val="center"/>
              <w:rPr>
                <w:rFonts w:eastAsia="Malgun Gothic"/>
                <w:bCs/>
                <w:sz w:val="20"/>
              </w:rPr>
            </w:pPr>
            <w:r w:rsidRPr="00A52AB8">
              <w:rPr>
                <w:sz w:val="20"/>
              </w:rPr>
              <w:t>u(16)</w:t>
            </w:r>
          </w:p>
        </w:tc>
      </w:tr>
      <w:tr w:rsidR="00242357" w:rsidRPr="00A52AB8" w14:paraId="2075B2B9" w14:textId="77777777" w:rsidTr="006E3619">
        <w:trPr>
          <w:cantSplit/>
          <w:jc w:val="center"/>
        </w:trPr>
        <w:tc>
          <w:tcPr>
            <w:tcW w:w="4359" w:type="pct"/>
          </w:tcPr>
          <w:p w14:paraId="1C0BDFFB" w14:textId="77777777" w:rsidR="00242357" w:rsidRPr="00A52AB8" w:rsidRDefault="00242357" w:rsidP="009C6742">
            <w:pPr>
              <w:spacing w:before="20" w:after="40" w:line="240" w:lineRule="auto"/>
              <w:rPr>
                <w:rFonts w:eastAsia="Malgun Gothic"/>
                <w:b/>
                <w:sz w:val="20"/>
              </w:rPr>
            </w:pPr>
            <w:r w:rsidRPr="00A52AB8">
              <w:rPr>
                <w:bCs/>
                <w:sz w:val="20"/>
              </w:rPr>
              <w:tab/>
            </w:r>
            <w:r w:rsidRPr="00A52AB8">
              <w:rPr>
                <w:bCs/>
                <w:sz w:val="20"/>
              </w:rPr>
              <w:tab/>
            </w:r>
            <w:r w:rsidRPr="00A52AB8">
              <w:rPr>
                <w:b/>
                <w:bCs/>
                <w:sz w:val="20"/>
              </w:rPr>
              <w:t>manifest_sei_description</w:t>
            </w:r>
            <w:r w:rsidR="001F4484" w:rsidRPr="00A52AB8">
              <w:rPr>
                <w:bCs/>
                <w:sz w:val="20"/>
              </w:rPr>
              <w:t>[ i ]</w:t>
            </w:r>
          </w:p>
        </w:tc>
        <w:tc>
          <w:tcPr>
            <w:tcW w:w="641" w:type="pct"/>
          </w:tcPr>
          <w:p w14:paraId="0E9C6259" w14:textId="77777777" w:rsidR="00242357" w:rsidRPr="00A52AB8" w:rsidRDefault="00242357" w:rsidP="009C6742">
            <w:pPr>
              <w:spacing w:before="20" w:after="40" w:line="240" w:lineRule="auto"/>
              <w:jc w:val="center"/>
              <w:rPr>
                <w:rFonts w:eastAsia="Malgun Gothic"/>
                <w:bCs/>
                <w:sz w:val="20"/>
              </w:rPr>
            </w:pPr>
            <w:r w:rsidRPr="00A52AB8">
              <w:rPr>
                <w:sz w:val="20"/>
              </w:rPr>
              <w:t>u(8)</w:t>
            </w:r>
          </w:p>
        </w:tc>
      </w:tr>
      <w:tr w:rsidR="00242357" w:rsidRPr="00A52AB8" w14:paraId="28627EFF" w14:textId="77777777" w:rsidTr="006E3619">
        <w:trPr>
          <w:cantSplit/>
          <w:jc w:val="center"/>
        </w:trPr>
        <w:tc>
          <w:tcPr>
            <w:tcW w:w="4359" w:type="pct"/>
          </w:tcPr>
          <w:p w14:paraId="5E561422" w14:textId="77777777" w:rsidR="00242357" w:rsidRPr="00A52AB8" w:rsidRDefault="00242357" w:rsidP="009C6742">
            <w:pPr>
              <w:spacing w:before="20" w:after="40" w:line="240" w:lineRule="auto"/>
              <w:rPr>
                <w:rFonts w:eastAsia="Malgun Gothic"/>
                <w:b/>
                <w:sz w:val="20"/>
              </w:rPr>
            </w:pPr>
            <w:r w:rsidRPr="00A52AB8">
              <w:rPr>
                <w:bCs/>
                <w:sz w:val="20"/>
              </w:rPr>
              <w:tab/>
              <w:t>}</w:t>
            </w:r>
          </w:p>
        </w:tc>
        <w:tc>
          <w:tcPr>
            <w:tcW w:w="641" w:type="pct"/>
          </w:tcPr>
          <w:p w14:paraId="274F4DA5" w14:textId="77777777" w:rsidR="00242357" w:rsidRPr="00A52AB8" w:rsidRDefault="00242357" w:rsidP="009C6742">
            <w:pPr>
              <w:spacing w:before="20" w:after="40" w:line="240" w:lineRule="auto"/>
              <w:jc w:val="center"/>
              <w:rPr>
                <w:rFonts w:eastAsia="Malgun Gothic"/>
                <w:bCs/>
                <w:sz w:val="20"/>
              </w:rPr>
            </w:pPr>
          </w:p>
        </w:tc>
      </w:tr>
      <w:tr w:rsidR="00242357" w:rsidRPr="00A52AB8" w14:paraId="28149633" w14:textId="77777777" w:rsidTr="006E3619">
        <w:trPr>
          <w:cantSplit/>
          <w:jc w:val="center"/>
        </w:trPr>
        <w:tc>
          <w:tcPr>
            <w:tcW w:w="4359" w:type="pct"/>
          </w:tcPr>
          <w:p w14:paraId="65AEBE1F" w14:textId="77777777" w:rsidR="00242357" w:rsidRPr="00A52AB8" w:rsidRDefault="00242357" w:rsidP="009C6742">
            <w:pPr>
              <w:spacing w:before="20" w:after="40" w:line="240" w:lineRule="auto"/>
              <w:rPr>
                <w:rFonts w:eastAsia="Malgun Gothic"/>
                <w:b/>
                <w:sz w:val="20"/>
              </w:rPr>
            </w:pPr>
            <w:r w:rsidRPr="00A52AB8">
              <w:rPr>
                <w:sz w:val="20"/>
              </w:rPr>
              <w:t>}</w:t>
            </w:r>
          </w:p>
        </w:tc>
        <w:tc>
          <w:tcPr>
            <w:tcW w:w="641" w:type="pct"/>
          </w:tcPr>
          <w:p w14:paraId="7BC0A205" w14:textId="77777777" w:rsidR="00242357" w:rsidRPr="00A52AB8" w:rsidRDefault="00242357" w:rsidP="009C6742">
            <w:pPr>
              <w:spacing w:before="20" w:after="40" w:line="240" w:lineRule="auto"/>
              <w:jc w:val="center"/>
              <w:rPr>
                <w:rFonts w:eastAsia="Malgun Gothic"/>
                <w:bCs/>
                <w:sz w:val="20"/>
              </w:rPr>
            </w:pPr>
          </w:p>
        </w:tc>
      </w:tr>
    </w:tbl>
    <w:p w14:paraId="38D2EA16" w14:textId="77777777" w:rsidR="00242357" w:rsidRPr="00A52AB8" w:rsidRDefault="00242357" w:rsidP="009C6742">
      <w:pPr>
        <w:pStyle w:val="a3"/>
        <w:numPr>
          <w:ilvl w:val="2"/>
          <w:numId w:val="19"/>
        </w:numPr>
        <w:tabs>
          <w:tab w:val="clear" w:pos="403"/>
        </w:tabs>
        <w:spacing w:line="240" w:lineRule="auto"/>
      </w:pPr>
      <w:bookmarkStart w:id="5329" w:name="_Toc38891821"/>
      <w:bookmarkStart w:id="5330" w:name="_Toc39426418"/>
      <w:bookmarkStart w:id="5331" w:name="_Toc42730225"/>
      <w:bookmarkStart w:id="5332" w:name="_Toc45105689"/>
      <w:bookmarkStart w:id="5333" w:name="_Toc45530548"/>
      <w:bookmarkStart w:id="5334" w:name="_Toc46301911"/>
      <w:bookmarkStart w:id="5335" w:name="_Toc46302736"/>
      <w:bookmarkStart w:id="5336" w:name="_Ref49347654"/>
      <w:bookmarkStart w:id="5337" w:name="_Toc52181717"/>
      <w:bookmarkEnd w:id="5329"/>
      <w:bookmarkEnd w:id="5330"/>
      <w:bookmarkEnd w:id="5331"/>
      <w:bookmarkEnd w:id="5332"/>
      <w:bookmarkEnd w:id="5333"/>
      <w:bookmarkEnd w:id="5334"/>
      <w:bookmarkEnd w:id="5335"/>
      <w:r w:rsidRPr="00A52AB8">
        <w:t>SEI prefix indication SEI message syntax</w:t>
      </w:r>
      <w:bookmarkEnd w:id="5336"/>
      <w:bookmarkEnd w:id="5337"/>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422"/>
        <w:gridCol w:w="1320"/>
      </w:tblGrid>
      <w:tr w:rsidR="00242357" w:rsidRPr="00A52AB8" w14:paraId="0C3327F7" w14:textId="77777777" w:rsidTr="00A252B5">
        <w:trPr>
          <w:trHeight w:val="204"/>
          <w:jc w:val="center"/>
        </w:trPr>
        <w:tc>
          <w:tcPr>
            <w:tcW w:w="7921" w:type="dxa"/>
          </w:tcPr>
          <w:p w14:paraId="0E6B1361" w14:textId="71145292" w:rsidR="00242357" w:rsidRPr="00A52AB8" w:rsidRDefault="00242357" w:rsidP="009C6742">
            <w:pPr>
              <w:spacing w:before="20" w:after="40" w:line="240" w:lineRule="auto"/>
              <w:rPr>
                <w:sz w:val="20"/>
              </w:rPr>
            </w:pPr>
            <w:r w:rsidRPr="00A52AB8">
              <w:rPr>
                <w:sz w:val="20"/>
              </w:rPr>
              <w:t>sei_prefix_indication(</w:t>
            </w:r>
            <w:r w:rsidRPr="00A52AB8">
              <w:rPr>
                <w:rFonts w:eastAsia="Malgun Gothic"/>
                <w:sz w:val="20"/>
              </w:rPr>
              <w:t> payloadSize </w:t>
            </w:r>
            <w:r w:rsidR="008F1F82" w:rsidRPr="00A52AB8">
              <w:rPr>
                <w:sz w:val="20"/>
              </w:rPr>
              <w:t>) {</w:t>
            </w:r>
          </w:p>
        </w:tc>
        <w:tc>
          <w:tcPr>
            <w:tcW w:w="1242" w:type="dxa"/>
          </w:tcPr>
          <w:p w14:paraId="3CD32B5B" w14:textId="77777777" w:rsidR="00242357" w:rsidRPr="00A52AB8" w:rsidRDefault="00242357" w:rsidP="009C6742">
            <w:pPr>
              <w:spacing w:before="20" w:after="40" w:line="240" w:lineRule="auto"/>
              <w:jc w:val="center"/>
              <w:rPr>
                <w:b/>
                <w:bCs/>
                <w:sz w:val="20"/>
              </w:rPr>
            </w:pPr>
            <w:r w:rsidRPr="00A52AB8">
              <w:rPr>
                <w:b/>
                <w:bCs/>
                <w:sz w:val="20"/>
              </w:rPr>
              <w:t>Descriptor</w:t>
            </w:r>
          </w:p>
        </w:tc>
      </w:tr>
      <w:tr w:rsidR="00242357" w:rsidRPr="00A52AB8" w14:paraId="5A88E7BD" w14:textId="77777777" w:rsidTr="00A252B5">
        <w:trPr>
          <w:trHeight w:val="204"/>
          <w:jc w:val="center"/>
        </w:trPr>
        <w:tc>
          <w:tcPr>
            <w:tcW w:w="7921" w:type="dxa"/>
          </w:tcPr>
          <w:p w14:paraId="2190E368" w14:textId="77777777" w:rsidR="00242357" w:rsidRPr="00A52AB8" w:rsidRDefault="00242357" w:rsidP="009C6742">
            <w:pPr>
              <w:spacing w:before="20" w:after="40" w:line="240" w:lineRule="auto"/>
              <w:rPr>
                <w:sz w:val="20"/>
              </w:rPr>
            </w:pPr>
            <w:r w:rsidRPr="00A52AB8">
              <w:rPr>
                <w:bCs/>
                <w:sz w:val="20"/>
              </w:rPr>
              <w:tab/>
            </w:r>
            <w:r w:rsidRPr="00A52AB8">
              <w:rPr>
                <w:b/>
                <w:bCs/>
                <w:sz w:val="20"/>
              </w:rPr>
              <w:t>prefix_sei_payload_type</w:t>
            </w:r>
          </w:p>
        </w:tc>
        <w:tc>
          <w:tcPr>
            <w:tcW w:w="1242" w:type="dxa"/>
          </w:tcPr>
          <w:p w14:paraId="4E70DADB" w14:textId="77777777" w:rsidR="00242357" w:rsidRPr="00A52AB8" w:rsidRDefault="00242357" w:rsidP="009C6742">
            <w:pPr>
              <w:spacing w:before="20" w:after="40" w:line="240" w:lineRule="auto"/>
              <w:jc w:val="center"/>
              <w:rPr>
                <w:rFonts w:eastAsia="Batang"/>
                <w:bCs/>
                <w:sz w:val="20"/>
              </w:rPr>
            </w:pPr>
            <w:r w:rsidRPr="00A52AB8">
              <w:rPr>
                <w:sz w:val="20"/>
              </w:rPr>
              <w:t>u(16)</w:t>
            </w:r>
          </w:p>
        </w:tc>
      </w:tr>
      <w:tr w:rsidR="00242357" w:rsidRPr="00A52AB8" w14:paraId="12067A94" w14:textId="77777777" w:rsidTr="00A252B5">
        <w:trPr>
          <w:trHeight w:val="204"/>
          <w:jc w:val="center"/>
        </w:trPr>
        <w:tc>
          <w:tcPr>
            <w:tcW w:w="7921" w:type="dxa"/>
          </w:tcPr>
          <w:p w14:paraId="512F11E1" w14:textId="77777777" w:rsidR="00242357" w:rsidRPr="00A52AB8" w:rsidRDefault="00242357" w:rsidP="009C6742">
            <w:pPr>
              <w:spacing w:before="20" w:after="40" w:line="240" w:lineRule="auto"/>
              <w:rPr>
                <w:rFonts w:eastAsia="Batang"/>
                <w:bCs/>
                <w:sz w:val="20"/>
                <w:lang w:eastAsia="ko-KR"/>
              </w:rPr>
            </w:pPr>
            <w:r w:rsidRPr="00A52AB8">
              <w:rPr>
                <w:bCs/>
                <w:sz w:val="20"/>
              </w:rPr>
              <w:tab/>
            </w:r>
            <w:r w:rsidRPr="00A52AB8">
              <w:rPr>
                <w:b/>
                <w:bCs/>
                <w:sz w:val="20"/>
              </w:rPr>
              <w:t>num_sei_prefix_indications_minus1</w:t>
            </w:r>
          </w:p>
        </w:tc>
        <w:tc>
          <w:tcPr>
            <w:tcW w:w="1242" w:type="dxa"/>
          </w:tcPr>
          <w:p w14:paraId="15CDC4E0" w14:textId="77777777" w:rsidR="00242357" w:rsidRPr="00A52AB8" w:rsidRDefault="00242357" w:rsidP="009C6742">
            <w:pPr>
              <w:spacing w:before="20" w:after="40" w:line="240" w:lineRule="auto"/>
              <w:jc w:val="center"/>
              <w:rPr>
                <w:rFonts w:eastAsia="Batang"/>
                <w:bCs/>
                <w:sz w:val="20"/>
              </w:rPr>
            </w:pPr>
            <w:r w:rsidRPr="00A52AB8">
              <w:rPr>
                <w:sz w:val="20"/>
              </w:rPr>
              <w:t>u(8)</w:t>
            </w:r>
          </w:p>
        </w:tc>
      </w:tr>
      <w:tr w:rsidR="00242357" w:rsidRPr="00A52AB8" w14:paraId="5E411C85" w14:textId="77777777" w:rsidTr="00A252B5">
        <w:trPr>
          <w:trHeight w:val="204"/>
          <w:jc w:val="center"/>
        </w:trPr>
        <w:tc>
          <w:tcPr>
            <w:tcW w:w="7921" w:type="dxa"/>
          </w:tcPr>
          <w:p w14:paraId="1D9931E5" w14:textId="15ACA893" w:rsidR="00242357" w:rsidRPr="00A52AB8" w:rsidRDefault="00242357" w:rsidP="009C6742">
            <w:pPr>
              <w:spacing w:before="20" w:after="40" w:line="240" w:lineRule="auto"/>
              <w:rPr>
                <w:rFonts w:eastAsia="Batang"/>
                <w:b/>
                <w:bCs/>
                <w:sz w:val="20"/>
                <w:lang w:eastAsia="ko-KR"/>
              </w:rPr>
            </w:pPr>
            <w:r w:rsidRPr="00A52AB8">
              <w:rPr>
                <w:sz w:val="20"/>
              </w:rPr>
              <w:tab/>
              <w:t>for( i</w:t>
            </w:r>
            <w:r w:rsidR="0023721F" w:rsidRPr="00A52AB8">
              <w:rPr>
                <w:sz w:val="20"/>
              </w:rPr>
              <w:t> </w:t>
            </w:r>
            <w:r w:rsidR="00D47707" w:rsidRPr="00A52AB8">
              <w:rPr>
                <w:sz w:val="20"/>
              </w:rPr>
              <w:t>= </w:t>
            </w:r>
            <w:r w:rsidRPr="00A52AB8">
              <w:rPr>
                <w:sz w:val="20"/>
              </w:rPr>
              <w:t>0; i</w:t>
            </w:r>
            <w:r w:rsidR="008768E9" w:rsidRPr="00A52AB8">
              <w:rPr>
                <w:sz w:val="20"/>
              </w:rPr>
              <w:t> </w:t>
            </w:r>
            <w:r w:rsidR="00A234FD" w:rsidRPr="00A52AB8">
              <w:rPr>
                <w:sz w:val="20"/>
              </w:rPr>
              <w:t>&lt;=</w:t>
            </w:r>
            <w:r w:rsidR="00D47707" w:rsidRPr="00A52AB8">
              <w:rPr>
                <w:sz w:val="20"/>
              </w:rPr>
              <w:t> </w:t>
            </w:r>
            <w:r w:rsidRPr="00A52AB8">
              <w:rPr>
                <w:bCs/>
                <w:sz w:val="20"/>
              </w:rPr>
              <w:t>num_sei_prefix_indications_minus1</w:t>
            </w:r>
            <w:r w:rsidRPr="00A52AB8">
              <w:rPr>
                <w:sz w:val="20"/>
              </w:rPr>
              <w:t>; i</w:t>
            </w:r>
            <w:r w:rsidR="00006CCF" w:rsidRPr="00A52AB8">
              <w:rPr>
                <w:sz w:val="20"/>
              </w:rPr>
              <w:t>++ </w:t>
            </w:r>
            <w:r w:rsidR="008F1F82" w:rsidRPr="00A52AB8">
              <w:rPr>
                <w:sz w:val="20"/>
              </w:rPr>
              <w:t>) {</w:t>
            </w:r>
          </w:p>
        </w:tc>
        <w:tc>
          <w:tcPr>
            <w:tcW w:w="1242" w:type="dxa"/>
          </w:tcPr>
          <w:p w14:paraId="191BE587" w14:textId="77777777" w:rsidR="00242357" w:rsidRPr="00A52AB8" w:rsidRDefault="00242357" w:rsidP="009C6742">
            <w:pPr>
              <w:spacing w:before="20" w:after="40" w:line="240" w:lineRule="auto"/>
              <w:jc w:val="center"/>
              <w:rPr>
                <w:rFonts w:eastAsia="Batang"/>
                <w:bCs/>
                <w:sz w:val="20"/>
              </w:rPr>
            </w:pPr>
          </w:p>
        </w:tc>
      </w:tr>
      <w:tr w:rsidR="00242357" w:rsidRPr="00A52AB8" w14:paraId="40C53917" w14:textId="77777777" w:rsidTr="00A252B5">
        <w:trPr>
          <w:trHeight w:val="204"/>
          <w:jc w:val="center"/>
        </w:trPr>
        <w:tc>
          <w:tcPr>
            <w:tcW w:w="7921" w:type="dxa"/>
          </w:tcPr>
          <w:p w14:paraId="02F0082A" w14:textId="77777777" w:rsidR="00242357" w:rsidRPr="00A52AB8" w:rsidRDefault="00242357" w:rsidP="009C6742">
            <w:pPr>
              <w:spacing w:before="20" w:after="40" w:line="240" w:lineRule="auto"/>
              <w:rPr>
                <w:rFonts w:eastAsia="Batang"/>
                <w:b/>
                <w:bCs/>
                <w:sz w:val="20"/>
                <w:lang w:eastAsia="ko-KR"/>
              </w:rPr>
            </w:pPr>
            <w:r w:rsidRPr="00A52AB8">
              <w:rPr>
                <w:b/>
                <w:bCs/>
                <w:sz w:val="20"/>
              </w:rPr>
              <w:tab/>
            </w:r>
            <w:r w:rsidRPr="00A52AB8">
              <w:rPr>
                <w:b/>
                <w:bCs/>
                <w:sz w:val="20"/>
              </w:rPr>
              <w:tab/>
              <w:t>num_bits_in_prefix_indication_minus1</w:t>
            </w:r>
            <w:r w:rsidR="001F4484" w:rsidRPr="00A52AB8">
              <w:rPr>
                <w:bCs/>
                <w:sz w:val="20"/>
              </w:rPr>
              <w:t>[ i ]</w:t>
            </w:r>
          </w:p>
        </w:tc>
        <w:tc>
          <w:tcPr>
            <w:tcW w:w="1242" w:type="dxa"/>
          </w:tcPr>
          <w:p w14:paraId="4D75F1AC" w14:textId="77777777" w:rsidR="00242357" w:rsidRPr="00A52AB8" w:rsidRDefault="00242357" w:rsidP="009C6742">
            <w:pPr>
              <w:spacing w:before="20" w:after="40" w:line="240" w:lineRule="auto"/>
              <w:jc w:val="center"/>
              <w:rPr>
                <w:rFonts w:eastAsia="Batang"/>
                <w:bCs/>
                <w:sz w:val="20"/>
              </w:rPr>
            </w:pPr>
            <w:r w:rsidRPr="00A52AB8">
              <w:rPr>
                <w:sz w:val="20"/>
              </w:rPr>
              <w:t>u(16)</w:t>
            </w:r>
          </w:p>
        </w:tc>
      </w:tr>
      <w:tr w:rsidR="00242357" w:rsidRPr="00A52AB8" w14:paraId="2917227E" w14:textId="77777777" w:rsidTr="00A252B5">
        <w:trPr>
          <w:trHeight w:val="204"/>
          <w:jc w:val="center"/>
        </w:trPr>
        <w:tc>
          <w:tcPr>
            <w:tcW w:w="7921" w:type="dxa"/>
          </w:tcPr>
          <w:p w14:paraId="692BFD85" w14:textId="525A226C" w:rsidR="00242357" w:rsidRPr="00A52AB8" w:rsidRDefault="00242357" w:rsidP="009C6742">
            <w:pPr>
              <w:spacing w:before="20" w:after="40" w:line="240" w:lineRule="auto"/>
              <w:rPr>
                <w:rFonts w:eastAsia="Batang"/>
                <w:b/>
                <w:bCs/>
                <w:sz w:val="20"/>
                <w:lang w:eastAsia="ko-KR"/>
              </w:rPr>
            </w:pPr>
            <w:r w:rsidRPr="00A52AB8">
              <w:rPr>
                <w:sz w:val="20"/>
              </w:rPr>
              <w:tab/>
            </w:r>
            <w:r w:rsidRPr="00A52AB8">
              <w:rPr>
                <w:sz w:val="20"/>
              </w:rPr>
              <w:tab/>
              <w:t>for( j</w:t>
            </w:r>
            <w:r w:rsidR="0023721F" w:rsidRPr="00A52AB8">
              <w:rPr>
                <w:sz w:val="20"/>
              </w:rPr>
              <w:t> </w:t>
            </w:r>
            <w:r w:rsidR="00D47707" w:rsidRPr="00A52AB8">
              <w:rPr>
                <w:sz w:val="20"/>
              </w:rPr>
              <w:t>= </w:t>
            </w:r>
            <w:r w:rsidRPr="00A52AB8">
              <w:rPr>
                <w:sz w:val="20"/>
              </w:rPr>
              <w:t>0; j</w:t>
            </w:r>
            <w:r w:rsidR="008768E9" w:rsidRPr="00A52AB8">
              <w:rPr>
                <w:sz w:val="20"/>
              </w:rPr>
              <w:t> </w:t>
            </w:r>
            <w:r w:rsidR="00A234FD" w:rsidRPr="00A52AB8">
              <w:rPr>
                <w:sz w:val="20"/>
              </w:rPr>
              <w:t>&lt;=</w:t>
            </w:r>
            <w:r w:rsidR="00D47707" w:rsidRPr="00A52AB8">
              <w:rPr>
                <w:sz w:val="20"/>
              </w:rPr>
              <w:t> </w:t>
            </w:r>
            <w:r w:rsidRPr="00A52AB8">
              <w:rPr>
                <w:sz w:val="20"/>
              </w:rPr>
              <w:t>num_bits_in_prefix_indication_minus1</w:t>
            </w:r>
            <w:r w:rsidR="001F4484" w:rsidRPr="00A52AB8">
              <w:rPr>
                <w:bCs/>
                <w:sz w:val="20"/>
              </w:rPr>
              <w:t>[ i ]</w:t>
            </w:r>
            <w:r w:rsidRPr="00A52AB8">
              <w:rPr>
                <w:sz w:val="20"/>
              </w:rPr>
              <w:t>; j</w:t>
            </w:r>
            <w:r w:rsidR="00006CCF" w:rsidRPr="00A52AB8">
              <w:rPr>
                <w:sz w:val="20"/>
              </w:rPr>
              <w:t>++ )</w:t>
            </w:r>
          </w:p>
        </w:tc>
        <w:tc>
          <w:tcPr>
            <w:tcW w:w="1242" w:type="dxa"/>
          </w:tcPr>
          <w:p w14:paraId="57A9D32C" w14:textId="77777777" w:rsidR="00242357" w:rsidRPr="00A52AB8" w:rsidRDefault="00242357" w:rsidP="009C6742">
            <w:pPr>
              <w:spacing w:before="20" w:after="40" w:line="240" w:lineRule="auto"/>
              <w:jc w:val="center"/>
              <w:rPr>
                <w:rFonts w:eastAsia="Batang"/>
                <w:bCs/>
                <w:sz w:val="20"/>
              </w:rPr>
            </w:pPr>
          </w:p>
        </w:tc>
      </w:tr>
      <w:tr w:rsidR="00242357" w:rsidRPr="00A52AB8" w14:paraId="3262FA07" w14:textId="77777777" w:rsidTr="00A252B5">
        <w:trPr>
          <w:trHeight w:val="204"/>
          <w:jc w:val="center"/>
        </w:trPr>
        <w:tc>
          <w:tcPr>
            <w:tcW w:w="7921" w:type="dxa"/>
          </w:tcPr>
          <w:p w14:paraId="7792F7A3" w14:textId="77777777" w:rsidR="00242357" w:rsidRPr="00A52AB8" w:rsidRDefault="00242357" w:rsidP="009C6742">
            <w:pPr>
              <w:spacing w:before="20" w:after="40" w:line="240" w:lineRule="auto"/>
              <w:rPr>
                <w:rFonts w:eastAsia="Batang"/>
                <w:b/>
                <w:bCs/>
                <w:sz w:val="20"/>
                <w:lang w:eastAsia="ko-KR"/>
              </w:rPr>
            </w:pPr>
            <w:r w:rsidRPr="00A52AB8">
              <w:rPr>
                <w:b/>
                <w:bCs/>
                <w:sz w:val="20"/>
              </w:rPr>
              <w:tab/>
            </w:r>
            <w:r w:rsidRPr="00A52AB8">
              <w:rPr>
                <w:b/>
                <w:bCs/>
                <w:sz w:val="20"/>
              </w:rPr>
              <w:tab/>
            </w:r>
            <w:r w:rsidRPr="00A52AB8">
              <w:rPr>
                <w:b/>
                <w:bCs/>
                <w:sz w:val="20"/>
              </w:rPr>
              <w:tab/>
              <w:t>sei_prefix_data_bit</w:t>
            </w:r>
            <w:r w:rsidR="001F4484" w:rsidRPr="00A52AB8">
              <w:rPr>
                <w:bCs/>
                <w:sz w:val="20"/>
              </w:rPr>
              <w:t>[ i ][ j ]</w:t>
            </w:r>
          </w:p>
        </w:tc>
        <w:tc>
          <w:tcPr>
            <w:tcW w:w="1242" w:type="dxa"/>
          </w:tcPr>
          <w:p w14:paraId="5C332D70" w14:textId="77777777" w:rsidR="00242357" w:rsidRPr="00A52AB8" w:rsidRDefault="00242357" w:rsidP="009C6742">
            <w:pPr>
              <w:spacing w:before="20" w:after="40" w:line="240" w:lineRule="auto"/>
              <w:jc w:val="center"/>
              <w:rPr>
                <w:rFonts w:eastAsia="Batang"/>
                <w:bCs/>
                <w:sz w:val="20"/>
              </w:rPr>
            </w:pPr>
            <w:r w:rsidRPr="00A52AB8">
              <w:rPr>
                <w:sz w:val="20"/>
              </w:rPr>
              <w:t>u(1)</w:t>
            </w:r>
          </w:p>
        </w:tc>
      </w:tr>
      <w:tr w:rsidR="00242357" w:rsidRPr="00A52AB8" w14:paraId="08EC592F" w14:textId="77777777" w:rsidTr="00A252B5">
        <w:trPr>
          <w:trHeight w:val="204"/>
          <w:jc w:val="center"/>
        </w:trPr>
        <w:tc>
          <w:tcPr>
            <w:tcW w:w="7921" w:type="dxa"/>
          </w:tcPr>
          <w:p w14:paraId="1A1EBE4E" w14:textId="77777777" w:rsidR="00242357" w:rsidRPr="00A52AB8" w:rsidRDefault="00242357" w:rsidP="009C6742">
            <w:pPr>
              <w:spacing w:before="20" w:after="40" w:line="240" w:lineRule="auto"/>
              <w:rPr>
                <w:rFonts w:eastAsia="Batang"/>
                <w:b/>
                <w:bCs/>
                <w:sz w:val="20"/>
                <w:lang w:eastAsia="ko-KR"/>
              </w:rPr>
            </w:pPr>
            <w:r w:rsidRPr="00A52AB8">
              <w:rPr>
                <w:bCs/>
                <w:sz w:val="20"/>
              </w:rPr>
              <w:tab/>
            </w:r>
            <w:r w:rsidRPr="00A52AB8">
              <w:rPr>
                <w:bCs/>
                <w:sz w:val="20"/>
              </w:rPr>
              <w:tab/>
            </w:r>
            <w:r w:rsidRPr="00A52AB8">
              <w:rPr>
                <w:sz w:val="20"/>
              </w:rPr>
              <w:t>while( !byte_aligned( ) )</w:t>
            </w:r>
          </w:p>
        </w:tc>
        <w:tc>
          <w:tcPr>
            <w:tcW w:w="1242" w:type="dxa"/>
          </w:tcPr>
          <w:p w14:paraId="28776F0F" w14:textId="77777777" w:rsidR="00242357" w:rsidRPr="00A52AB8" w:rsidRDefault="00242357" w:rsidP="009C6742">
            <w:pPr>
              <w:spacing w:before="20" w:after="40" w:line="240" w:lineRule="auto"/>
              <w:jc w:val="center"/>
              <w:rPr>
                <w:rFonts w:eastAsia="Batang"/>
                <w:bCs/>
                <w:sz w:val="20"/>
              </w:rPr>
            </w:pPr>
          </w:p>
        </w:tc>
      </w:tr>
      <w:tr w:rsidR="00242357" w:rsidRPr="00A52AB8" w14:paraId="275F457E" w14:textId="77777777" w:rsidTr="00A252B5">
        <w:trPr>
          <w:trHeight w:val="204"/>
          <w:jc w:val="center"/>
        </w:trPr>
        <w:tc>
          <w:tcPr>
            <w:tcW w:w="7921" w:type="dxa"/>
          </w:tcPr>
          <w:p w14:paraId="6E262588" w14:textId="77777777" w:rsidR="00242357" w:rsidRPr="00A52AB8" w:rsidRDefault="00242357" w:rsidP="009C6742">
            <w:pPr>
              <w:spacing w:before="20" w:after="40" w:line="240" w:lineRule="auto"/>
              <w:rPr>
                <w:rFonts w:eastAsia="Batang"/>
                <w:bCs/>
                <w:sz w:val="20"/>
                <w:lang w:eastAsia="ko-KR"/>
              </w:rPr>
            </w:pPr>
            <w:r w:rsidRPr="00A52AB8">
              <w:rPr>
                <w:b/>
                <w:bCs/>
                <w:sz w:val="20"/>
              </w:rPr>
              <w:tab/>
            </w:r>
            <w:r w:rsidRPr="00A52AB8">
              <w:rPr>
                <w:b/>
                <w:bCs/>
                <w:sz w:val="20"/>
              </w:rPr>
              <w:tab/>
            </w:r>
            <w:r w:rsidRPr="00A52AB8">
              <w:rPr>
                <w:b/>
                <w:bCs/>
                <w:sz w:val="20"/>
              </w:rPr>
              <w:tab/>
              <w:t>byte_</w:t>
            </w:r>
            <w:r w:rsidRPr="00A52AB8">
              <w:rPr>
                <w:b/>
                <w:sz w:val="20"/>
              </w:rPr>
              <w:t>alignment_bit_equal_to_one</w:t>
            </w:r>
            <w:r w:rsidRPr="00A52AB8">
              <w:rPr>
                <w:sz w:val="20"/>
              </w:rPr>
              <w:t xml:space="preserve"> /* equal to 1 */</w:t>
            </w:r>
          </w:p>
        </w:tc>
        <w:tc>
          <w:tcPr>
            <w:tcW w:w="1242" w:type="dxa"/>
          </w:tcPr>
          <w:p w14:paraId="487ABADB" w14:textId="77777777" w:rsidR="00242357" w:rsidRPr="00A52AB8" w:rsidRDefault="00242357" w:rsidP="009C6742">
            <w:pPr>
              <w:spacing w:before="20" w:after="40" w:line="240" w:lineRule="auto"/>
              <w:jc w:val="center"/>
              <w:rPr>
                <w:rFonts w:eastAsia="Batang"/>
                <w:bCs/>
                <w:sz w:val="20"/>
              </w:rPr>
            </w:pPr>
            <w:r w:rsidRPr="00A52AB8">
              <w:rPr>
                <w:sz w:val="20"/>
              </w:rPr>
              <w:t>f(1)</w:t>
            </w:r>
          </w:p>
        </w:tc>
      </w:tr>
      <w:tr w:rsidR="00242357" w:rsidRPr="00A52AB8" w14:paraId="4A44F47E" w14:textId="77777777" w:rsidTr="00A252B5">
        <w:trPr>
          <w:trHeight w:val="204"/>
          <w:jc w:val="center"/>
        </w:trPr>
        <w:tc>
          <w:tcPr>
            <w:tcW w:w="7921" w:type="dxa"/>
          </w:tcPr>
          <w:p w14:paraId="0CF9B5C3" w14:textId="77777777" w:rsidR="00242357" w:rsidRPr="00A52AB8" w:rsidRDefault="00242357" w:rsidP="009C6742">
            <w:pPr>
              <w:spacing w:before="20" w:after="40" w:line="240" w:lineRule="auto"/>
              <w:rPr>
                <w:rFonts w:eastAsia="Batang"/>
                <w:bCs/>
                <w:sz w:val="20"/>
                <w:lang w:eastAsia="ko-KR"/>
              </w:rPr>
            </w:pPr>
            <w:r w:rsidRPr="00A52AB8">
              <w:rPr>
                <w:bCs/>
                <w:sz w:val="20"/>
              </w:rPr>
              <w:tab/>
              <w:t>}</w:t>
            </w:r>
          </w:p>
        </w:tc>
        <w:tc>
          <w:tcPr>
            <w:tcW w:w="1242" w:type="dxa"/>
          </w:tcPr>
          <w:p w14:paraId="62BEBC26" w14:textId="77777777" w:rsidR="00242357" w:rsidRPr="00A52AB8" w:rsidRDefault="00242357" w:rsidP="009C6742">
            <w:pPr>
              <w:spacing w:before="20" w:after="40" w:line="240" w:lineRule="auto"/>
              <w:jc w:val="center"/>
              <w:rPr>
                <w:rFonts w:eastAsia="Batang"/>
                <w:bCs/>
                <w:sz w:val="20"/>
              </w:rPr>
            </w:pPr>
          </w:p>
        </w:tc>
      </w:tr>
      <w:tr w:rsidR="00242357" w:rsidRPr="00A52AB8" w14:paraId="00C1F7E4" w14:textId="77777777" w:rsidTr="00A252B5">
        <w:trPr>
          <w:trHeight w:val="204"/>
          <w:jc w:val="center"/>
        </w:trPr>
        <w:tc>
          <w:tcPr>
            <w:tcW w:w="7921" w:type="dxa"/>
          </w:tcPr>
          <w:p w14:paraId="526454D2" w14:textId="77777777" w:rsidR="00242357" w:rsidRPr="00A52AB8" w:rsidRDefault="00242357" w:rsidP="009C6742">
            <w:pPr>
              <w:spacing w:before="20" w:after="40" w:line="240" w:lineRule="auto"/>
              <w:rPr>
                <w:rFonts w:eastAsia="Batang"/>
                <w:bCs/>
                <w:sz w:val="20"/>
                <w:lang w:eastAsia="ko-KR"/>
              </w:rPr>
            </w:pPr>
            <w:r w:rsidRPr="00A52AB8">
              <w:rPr>
                <w:sz w:val="20"/>
              </w:rPr>
              <w:t>}</w:t>
            </w:r>
          </w:p>
        </w:tc>
        <w:tc>
          <w:tcPr>
            <w:tcW w:w="1242" w:type="dxa"/>
          </w:tcPr>
          <w:p w14:paraId="6E16EE54" w14:textId="77777777" w:rsidR="00242357" w:rsidRPr="00A52AB8" w:rsidRDefault="00242357" w:rsidP="009C6742">
            <w:pPr>
              <w:spacing w:before="20" w:after="40" w:line="240" w:lineRule="auto"/>
              <w:jc w:val="center"/>
              <w:rPr>
                <w:rFonts w:eastAsia="Batang"/>
                <w:bCs/>
                <w:sz w:val="20"/>
              </w:rPr>
            </w:pPr>
          </w:p>
        </w:tc>
      </w:tr>
    </w:tbl>
    <w:p w14:paraId="2C4BF15D" w14:textId="1FFBB450" w:rsidR="00940DFA" w:rsidRPr="00A52AB8" w:rsidRDefault="00940DFA" w:rsidP="009C6742">
      <w:pPr>
        <w:pStyle w:val="a3"/>
        <w:numPr>
          <w:ilvl w:val="2"/>
          <w:numId w:val="19"/>
        </w:numPr>
        <w:tabs>
          <w:tab w:val="clear" w:pos="403"/>
        </w:tabs>
        <w:spacing w:line="240" w:lineRule="auto"/>
      </w:pPr>
      <w:bookmarkStart w:id="5338" w:name="_Toc38891823"/>
      <w:bookmarkStart w:id="5339" w:name="_Toc39426420"/>
      <w:bookmarkStart w:id="5340" w:name="_Toc42730227"/>
      <w:bookmarkStart w:id="5341" w:name="_Toc45105691"/>
      <w:bookmarkStart w:id="5342" w:name="_Toc45530550"/>
      <w:bookmarkStart w:id="5343" w:name="_Toc46301913"/>
      <w:bookmarkStart w:id="5344" w:name="_Toc46302738"/>
      <w:bookmarkStart w:id="5345" w:name="_Toc38891824"/>
      <w:bookmarkStart w:id="5346" w:name="_Toc39426421"/>
      <w:bookmarkStart w:id="5347" w:name="_Toc42730228"/>
      <w:bookmarkStart w:id="5348" w:name="_Toc45105692"/>
      <w:bookmarkStart w:id="5349" w:name="_Toc45530551"/>
      <w:bookmarkStart w:id="5350" w:name="_Toc46301914"/>
      <w:bookmarkStart w:id="5351" w:name="_Toc46302739"/>
      <w:bookmarkStart w:id="5352" w:name="_Toc42730230"/>
      <w:bookmarkStart w:id="5353" w:name="_Toc45105694"/>
      <w:bookmarkStart w:id="5354" w:name="_Toc45530553"/>
      <w:bookmarkStart w:id="5355" w:name="_Toc46301916"/>
      <w:bookmarkStart w:id="5356" w:name="_Toc46302741"/>
      <w:bookmarkStart w:id="5357" w:name="_Ref49347665"/>
      <w:bookmarkStart w:id="5358" w:name="_Toc52181718"/>
      <w:bookmarkEnd w:id="5338"/>
      <w:bookmarkEnd w:id="5339"/>
      <w:bookmarkEnd w:id="5340"/>
      <w:bookmarkEnd w:id="5341"/>
      <w:bookmarkEnd w:id="5342"/>
      <w:bookmarkEnd w:id="5343"/>
      <w:bookmarkEnd w:id="5344"/>
      <w:bookmarkEnd w:id="5345"/>
      <w:bookmarkEnd w:id="5346"/>
      <w:bookmarkEnd w:id="5347"/>
      <w:bookmarkEnd w:id="5348"/>
      <w:bookmarkEnd w:id="5349"/>
      <w:bookmarkEnd w:id="5350"/>
      <w:bookmarkEnd w:id="5351"/>
      <w:bookmarkEnd w:id="5352"/>
      <w:bookmarkEnd w:id="5353"/>
      <w:bookmarkEnd w:id="5354"/>
      <w:bookmarkEnd w:id="5355"/>
      <w:bookmarkEnd w:id="5356"/>
      <w:r w:rsidRPr="00A52AB8">
        <w:t>Active sub</w:t>
      </w:r>
      <w:r w:rsidR="00943C50" w:rsidRPr="00A52AB8">
        <w:t>-bit</w:t>
      </w:r>
      <w:r w:rsidRPr="00A52AB8">
        <w:t>streams SEI message syntax</w:t>
      </w:r>
      <w:bookmarkEnd w:id="5357"/>
      <w:bookmarkEnd w:id="5358"/>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428"/>
        <w:gridCol w:w="1314"/>
      </w:tblGrid>
      <w:tr w:rsidR="00940DFA" w:rsidRPr="00A52AB8" w14:paraId="22DEF79D" w14:textId="77777777" w:rsidTr="00A252B5">
        <w:trPr>
          <w:trHeight w:val="204"/>
          <w:jc w:val="center"/>
        </w:trPr>
        <w:tc>
          <w:tcPr>
            <w:tcW w:w="7921" w:type="dxa"/>
          </w:tcPr>
          <w:p w14:paraId="78774576" w14:textId="66E75F2D" w:rsidR="00940DFA" w:rsidRPr="00A52AB8" w:rsidRDefault="00940DFA" w:rsidP="009C6742">
            <w:pPr>
              <w:spacing w:before="20" w:after="40" w:line="240" w:lineRule="auto"/>
              <w:rPr>
                <w:sz w:val="20"/>
              </w:rPr>
            </w:pPr>
            <w:r w:rsidRPr="00A52AB8">
              <w:rPr>
                <w:sz w:val="20"/>
              </w:rPr>
              <w:t>active_sub</w:t>
            </w:r>
            <w:r w:rsidR="00943C50" w:rsidRPr="00A52AB8">
              <w:rPr>
                <w:sz w:val="20"/>
              </w:rPr>
              <w:t>_bit</w:t>
            </w:r>
            <w:r w:rsidRPr="00A52AB8">
              <w:rPr>
                <w:sz w:val="20"/>
              </w:rPr>
              <w:t>streams(</w:t>
            </w:r>
            <w:r w:rsidRPr="00A52AB8">
              <w:rPr>
                <w:rFonts w:eastAsia="Malgun Gothic"/>
                <w:sz w:val="20"/>
              </w:rPr>
              <w:t> payloadSize </w:t>
            </w:r>
            <w:r w:rsidR="008F1F82" w:rsidRPr="00A52AB8">
              <w:rPr>
                <w:sz w:val="20"/>
              </w:rPr>
              <w:t>) {</w:t>
            </w:r>
          </w:p>
        </w:tc>
        <w:tc>
          <w:tcPr>
            <w:tcW w:w="1235" w:type="dxa"/>
          </w:tcPr>
          <w:p w14:paraId="12B0C76A" w14:textId="77777777" w:rsidR="00940DFA" w:rsidRPr="00A52AB8" w:rsidRDefault="00940DFA" w:rsidP="009C6742">
            <w:pPr>
              <w:spacing w:before="20" w:after="40" w:line="240" w:lineRule="auto"/>
              <w:jc w:val="center"/>
              <w:rPr>
                <w:b/>
                <w:bCs/>
                <w:sz w:val="20"/>
              </w:rPr>
            </w:pPr>
            <w:r w:rsidRPr="00A52AB8">
              <w:rPr>
                <w:b/>
                <w:bCs/>
                <w:sz w:val="20"/>
              </w:rPr>
              <w:t>Descriptor</w:t>
            </w:r>
          </w:p>
        </w:tc>
      </w:tr>
      <w:tr w:rsidR="00250289" w:rsidRPr="00A52AB8" w14:paraId="48071DC2" w14:textId="77777777" w:rsidTr="00A252B5">
        <w:trPr>
          <w:trHeight w:val="204"/>
          <w:jc w:val="center"/>
        </w:trPr>
        <w:tc>
          <w:tcPr>
            <w:tcW w:w="7921" w:type="dxa"/>
          </w:tcPr>
          <w:p w14:paraId="5ECE0E29" w14:textId="77777777" w:rsidR="00250289" w:rsidRPr="00A52AB8" w:rsidRDefault="00250289" w:rsidP="009C6742">
            <w:pPr>
              <w:spacing w:before="20" w:after="40" w:line="240" w:lineRule="auto"/>
              <w:rPr>
                <w:sz w:val="20"/>
              </w:rPr>
            </w:pPr>
            <w:r w:rsidRPr="00A52AB8">
              <w:rPr>
                <w:sz w:val="20"/>
              </w:rPr>
              <w:tab/>
            </w:r>
            <w:r w:rsidR="00943C50" w:rsidRPr="00A52AB8">
              <w:rPr>
                <w:b/>
                <w:bCs/>
                <w:sz w:val="20"/>
              </w:rPr>
              <w:t>asb</w:t>
            </w:r>
            <w:r w:rsidR="00712CED" w:rsidRPr="00A52AB8">
              <w:rPr>
                <w:b/>
                <w:bCs/>
                <w:sz w:val="20"/>
              </w:rPr>
              <w:t>_</w:t>
            </w:r>
            <w:r w:rsidRPr="00A52AB8">
              <w:rPr>
                <w:b/>
                <w:bCs/>
                <w:sz w:val="20"/>
              </w:rPr>
              <w:t>active_sub</w:t>
            </w:r>
            <w:r w:rsidR="00943C50" w:rsidRPr="00A52AB8">
              <w:rPr>
                <w:b/>
                <w:bCs/>
                <w:sz w:val="20"/>
              </w:rPr>
              <w:t>_bit</w:t>
            </w:r>
            <w:r w:rsidRPr="00A52AB8">
              <w:rPr>
                <w:b/>
                <w:bCs/>
                <w:sz w:val="20"/>
              </w:rPr>
              <w:t>streams_cancel_flag</w:t>
            </w:r>
          </w:p>
        </w:tc>
        <w:tc>
          <w:tcPr>
            <w:tcW w:w="1235" w:type="dxa"/>
          </w:tcPr>
          <w:p w14:paraId="220229B7" w14:textId="77777777" w:rsidR="00250289" w:rsidRPr="00A52AB8" w:rsidRDefault="00C93AC2" w:rsidP="009C6742">
            <w:pPr>
              <w:spacing w:before="20" w:after="40" w:line="240" w:lineRule="auto"/>
              <w:jc w:val="center"/>
              <w:rPr>
                <w:sz w:val="20"/>
              </w:rPr>
            </w:pPr>
            <w:r w:rsidRPr="00A52AB8">
              <w:rPr>
                <w:sz w:val="20"/>
              </w:rPr>
              <w:t>u(1)</w:t>
            </w:r>
          </w:p>
        </w:tc>
      </w:tr>
      <w:tr w:rsidR="00250289" w:rsidRPr="00A52AB8" w14:paraId="0FCA6F81" w14:textId="77777777" w:rsidTr="00A252B5">
        <w:trPr>
          <w:trHeight w:val="204"/>
          <w:jc w:val="center"/>
        </w:trPr>
        <w:tc>
          <w:tcPr>
            <w:tcW w:w="7921" w:type="dxa"/>
          </w:tcPr>
          <w:p w14:paraId="540D71DE" w14:textId="174D1706" w:rsidR="00250289" w:rsidRPr="00A52AB8" w:rsidRDefault="00250289" w:rsidP="009C6742">
            <w:pPr>
              <w:spacing w:before="20" w:after="40" w:line="240" w:lineRule="auto"/>
              <w:rPr>
                <w:sz w:val="20"/>
              </w:rPr>
            </w:pPr>
            <w:r w:rsidRPr="00A52AB8">
              <w:rPr>
                <w:sz w:val="20"/>
              </w:rPr>
              <w:tab/>
            </w:r>
            <w:r w:rsidR="00D63ACE" w:rsidRPr="00A52AB8">
              <w:rPr>
                <w:sz w:val="20"/>
              </w:rPr>
              <w:t>if(</w:t>
            </w:r>
            <w:r w:rsidR="00FF5682" w:rsidRPr="00A52AB8">
              <w:rPr>
                <w:sz w:val="20"/>
              </w:rPr>
              <w:t> </w:t>
            </w:r>
            <w:r w:rsidRPr="00A52AB8">
              <w:rPr>
                <w:sz w:val="20"/>
              </w:rPr>
              <w:t>!</w:t>
            </w:r>
            <w:r w:rsidR="00943C50" w:rsidRPr="00A52AB8">
              <w:rPr>
                <w:sz w:val="20"/>
              </w:rPr>
              <w:t>asb</w:t>
            </w:r>
            <w:r w:rsidR="00712CED" w:rsidRPr="00A52AB8">
              <w:rPr>
                <w:sz w:val="20"/>
              </w:rPr>
              <w:t>_</w:t>
            </w:r>
            <w:r w:rsidRPr="00A52AB8">
              <w:rPr>
                <w:sz w:val="20"/>
              </w:rPr>
              <w:t>active_sub</w:t>
            </w:r>
            <w:r w:rsidR="00943C50" w:rsidRPr="00A52AB8">
              <w:rPr>
                <w:sz w:val="20"/>
              </w:rPr>
              <w:t>_bit</w:t>
            </w:r>
            <w:r w:rsidRPr="00A52AB8">
              <w:rPr>
                <w:sz w:val="20"/>
              </w:rPr>
              <w:t>streams_cancel_flag</w:t>
            </w:r>
            <w:r w:rsidR="004E0770" w:rsidRPr="00A52AB8">
              <w:rPr>
                <w:sz w:val="20"/>
              </w:rPr>
              <w:t> </w:t>
            </w:r>
            <w:r w:rsidR="00900B12" w:rsidRPr="00A52AB8">
              <w:rPr>
                <w:sz w:val="20"/>
              </w:rPr>
              <w:t>) {</w:t>
            </w:r>
          </w:p>
        </w:tc>
        <w:tc>
          <w:tcPr>
            <w:tcW w:w="1235" w:type="dxa"/>
          </w:tcPr>
          <w:p w14:paraId="22D63C0C" w14:textId="77777777" w:rsidR="00250289" w:rsidRPr="00A52AB8" w:rsidRDefault="00250289" w:rsidP="009C6742">
            <w:pPr>
              <w:spacing w:before="20" w:after="40" w:line="240" w:lineRule="auto"/>
              <w:jc w:val="center"/>
              <w:rPr>
                <w:sz w:val="20"/>
              </w:rPr>
            </w:pPr>
          </w:p>
        </w:tc>
      </w:tr>
      <w:tr w:rsidR="00250289" w:rsidRPr="00A52AB8" w14:paraId="5BA7074C" w14:textId="77777777" w:rsidTr="00A252B5">
        <w:trPr>
          <w:trHeight w:val="204"/>
          <w:jc w:val="center"/>
        </w:trPr>
        <w:tc>
          <w:tcPr>
            <w:tcW w:w="7921" w:type="dxa"/>
          </w:tcPr>
          <w:p w14:paraId="642464DA" w14:textId="77777777" w:rsidR="00250289" w:rsidRPr="00A52AB8" w:rsidRDefault="00250289" w:rsidP="009C6742">
            <w:pPr>
              <w:spacing w:before="20" w:after="40" w:line="240" w:lineRule="auto"/>
              <w:rPr>
                <w:b/>
                <w:bCs/>
                <w:sz w:val="20"/>
              </w:rPr>
            </w:pPr>
            <w:r w:rsidRPr="00A52AB8">
              <w:rPr>
                <w:sz w:val="20"/>
              </w:rPr>
              <w:tab/>
            </w:r>
            <w:r w:rsidRPr="00A52AB8">
              <w:rPr>
                <w:sz w:val="20"/>
              </w:rPr>
              <w:tab/>
            </w:r>
            <w:r w:rsidR="00943C50" w:rsidRPr="00A52AB8">
              <w:rPr>
                <w:b/>
                <w:bCs/>
                <w:sz w:val="20"/>
              </w:rPr>
              <w:t>asb</w:t>
            </w:r>
            <w:r w:rsidR="00712CED" w:rsidRPr="00A52AB8">
              <w:rPr>
                <w:b/>
                <w:bCs/>
                <w:sz w:val="20"/>
              </w:rPr>
              <w:t>_a</w:t>
            </w:r>
            <w:r w:rsidRPr="00A52AB8">
              <w:rPr>
                <w:b/>
                <w:bCs/>
                <w:sz w:val="20"/>
              </w:rPr>
              <w:t>ctive_attributes_changes_flag</w:t>
            </w:r>
          </w:p>
        </w:tc>
        <w:tc>
          <w:tcPr>
            <w:tcW w:w="1235" w:type="dxa"/>
          </w:tcPr>
          <w:p w14:paraId="633DF9DA" w14:textId="77777777" w:rsidR="00250289" w:rsidRPr="00A52AB8" w:rsidRDefault="00250289" w:rsidP="009C6742">
            <w:pPr>
              <w:spacing w:before="20" w:after="40" w:line="240" w:lineRule="auto"/>
              <w:jc w:val="center"/>
              <w:rPr>
                <w:sz w:val="20"/>
              </w:rPr>
            </w:pPr>
            <w:r w:rsidRPr="00A52AB8">
              <w:rPr>
                <w:sz w:val="20"/>
              </w:rPr>
              <w:t>u(1)</w:t>
            </w:r>
          </w:p>
        </w:tc>
      </w:tr>
      <w:tr w:rsidR="00250289" w:rsidRPr="00A52AB8" w14:paraId="5CF599AA" w14:textId="77777777" w:rsidTr="00A252B5">
        <w:trPr>
          <w:trHeight w:val="204"/>
          <w:jc w:val="center"/>
        </w:trPr>
        <w:tc>
          <w:tcPr>
            <w:tcW w:w="7921" w:type="dxa"/>
          </w:tcPr>
          <w:p w14:paraId="31CFC60D" w14:textId="77777777" w:rsidR="00250289" w:rsidRPr="00A52AB8" w:rsidRDefault="00250289" w:rsidP="009C6742">
            <w:pPr>
              <w:spacing w:before="20" w:after="40" w:line="240" w:lineRule="auto"/>
              <w:rPr>
                <w:b/>
                <w:bCs/>
                <w:sz w:val="20"/>
              </w:rPr>
            </w:pPr>
            <w:r w:rsidRPr="00A52AB8">
              <w:rPr>
                <w:sz w:val="20"/>
              </w:rPr>
              <w:tab/>
            </w:r>
            <w:r w:rsidRPr="00A52AB8">
              <w:rPr>
                <w:sz w:val="20"/>
              </w:rPr>
              <w:tab/>
            </w:r>
            <w:r w:rsidR="00943C50" w:rsidRPr="00A52AB8">
              <w:rPr>
                <w:b/>
                <w:bCs/>
                <w:sz w:val="20"/>
              </w:rPr>
              <w:t>asb</w:t>
            </w:r>
            <w:r w:rsidR="00712CED" w:rsidRPr="00A52AB8">
              <w:rPr>
                <w:b/>
                <w:bCs/>
                <w:sz w:val="20"/>
              </w:rPr>
              <w:t>_a</w:t>
            </w:r>
            <w:r w:rsidRPr="00A52AB8">
              <w:rPr>
                <w:b/>
                <w:bCs/>
                <w:sz w:val="20"/>
              </w:rPr>
              <w:t>ctive_maps_changes_flag</w:t>
            </w:r>
          </w:p>
        </w:tc>
        <w:tc>
          <w:tcPr>
            <w:tcW w:w="1235" w:type="dxa"/>
          </w:tcPr>
          <w:p w14:paraId="0AEDB997" w14:textId="77777777" w:rsidR="00250289" w:rsidRPr="00A52AB8" w:rsidRDefault="00250289" w:rsidP="009C6742">
            <w:pPr>
              <w:spacing w:before="20" w:after="40" w:line="240" w:lineRule="auto"/>
              <w:jc w:val="center"/>
              <w:rPr>
                <w:sz w:val="20"/>
              </w:rPr>
            </w:pPr>
            <w:r w:rsidRPr="00A52AB8">
              <w:rPr>
                <w:sz w:val="20"/>
              </w:rPr>
              <w:t>u(1)</w:t>
            </w:r>
          </w:p>
        </w:tc>
      </w:tr>
      <w:tr w:rsidR="00250289" w:rsidRPr="00A52AB8" w14:paraId="764E9E76" w14:textId="77777777" w:rsidTr="00A252B5">
        <w:trPr>
          <w:trHeight w:val="204"/>
          <w:jc w:val="center"/>
        </w:trPr>
        <w:tc>
          <w:tcPr>
            <w:tcW w:w="7921" w:type="dxa"/>
          </w:tcPr>
          <w:p w14:paraId="5514F75B" w14:textId="77777777" w:rsidR="00250289" w:rsidRPr="00A52AB8" w:rsidRDefault="00250289" w:rsidP="009C6742">
            <w:pPr>
              <w:spacing w:before="20" w:after="40" w:line="240" w:lineRule="auto"/>
              <w:rPr>
                <w:sz w:val="20"/>
              </w:rPr>
            </w:pPr>
            <w:r w:rsidRPr="00A52AB8">
              <w:rPr>
                <w:sz w:val="20"/>
              </w:rPr>
              <w:tab/>
            </w:r>
            <w:r w:rsidRPr="00A52AB8">
              <w:rPr>
                <w:sz w:val="20"/>
              </w:rPr>
              <w:tab/>
            </w:r>
            <w:r w:rsidR="00943C50" w:rsidRPr="00A52AB8">
              <w:rPr>
                <w:b/>
                <w:bCs/>
                <w:sz w:val="20"/>
              </w:rPr>
              <w:t>asb</w:t>
            </w:r>
            <w:r w:rsidR="00712CED" w:rsidRPr="00A52AB8">
              <w:rPr>
                <w:b/>
                <w:bCs/>
                <w:sz w:val="20"/>
              </w:rPr>
              <w:t>_auxiliary</w:t>
            </w:r>
            <w:r w:rsidRPr="00A52AB8">
              <w:rPr>
                <w:b/>
                <w:bCs/>
                <w:sz w:val="20"/>
              </w:rPr>
              <w:t>_sub</w:t>
            </w:r>
            <w:r w:rsidR="00943C50" w:rsidRPr="00A52AB8">
              <w:rPr>
                <w:b/>
                <w:bCs/>
                <w:sz w:val="20"/>
              </w:rPr>
              <w:t>_bit</w:t>
            </w:r>
            <w:r w:rsidRPr="00A52AB8">
              <w:rPr>
                <w:b/>
                <w:bCs/>
                <w:sz w:val="20"/>
              </w:rPr>
              <w:t>streams_active_flag</w:t>
            </w:r>
          </w:p>
        </w:tc>
        <w:tc>
          <w:tcPr>
            <w:tcW w:w="1235" w:type="dxa"/>
          </w:tcPr>
          <w:p w14:paraId="20624DC7" w14:textId="77777777" w:rsidR="00250289" w:rsidRPr="00A52AB8" w:rsidRDefault="00250289" w:rsidP="009C6742">
            <w:pPr>
              <w:spacing w:before="20" w:after="40" w:line="240" w:lineRule="auto"/>
              <w:jc w:val="center"/>
              <w:rPr>
                <w:sz w:val="20"/>
              </w:rPr>
            </w:pPr>
            <w:r w:rsidRPr="00A52AB8">
              <w:rPr>
                <w:rFonts w:eastAsia="Batang"/>
                <w:bCs/>
                <w:sz w:val="20"/>
              </w:rPr>
              <w:t>u(1)</w:t>
            </w:r>
          </w:p>
        </w:tc>
      </w:tr>
      <w:tr w:rsidR="00250289" w:rsidRPr="00A52AB8" w14:paraId="243A0317" w14:textId="77777777" w:rsidTr="00A252B5">
        <w:trPr>
          <w:trHeight w:val="204"/>
          <w:jc w:val="center"/>
        </w:trPr>
        <w:tc>
          <w:tcPr>
            <w:tcW w:w="7921" w:type="dxa"/>
          </w:tcPr>
          <w:p w14:paraId="41220689" w14:textId="3030BE17" w:rsidR="00250289" w:rsidRPr="00A52AB8" w:rsidRDefault="00250289" w:rsidP="009C6742">
            <w:pPr>
              <w:spacing w:before="20" w:after="40" w:line="240" w:lineRule="auto"/>
              <w:rPr>
                <w:sz w:val="20"/>
              </w:rPr>
            </w:pPr>
            <w:r w:rsidRPr="00A52AB8">
              <w:rPr>
                <w:sz w:val="20"/>
              </w:rPr>
              <w:tab/>
            </w:r>
            <w:r w:rsidRPr="00A52AB8">
              <w:rPr>
                <w:sz w:val="20"/>
              </w:rPr>
              <w:tab/>
            </w:r>
            <w:r w:rsidR="00D63ACE" w:rsidRPr="00A52AB8">
              <w:rPr>
                <w:sz w:val="20"/>
              </w:rPr>
              <w:t>if(</w:t>
            </w:r>
            <w:r w:rsidR="001A7D2E" w:rsidRPr="00A52AB8">
              <w:rPr>
                <w:sz w:val="20"/>
              </w:rPr>
              <w:t> </w:t>
            </w:r>
            <w:r w:rsidR="00943C50" w:rsidRPr="00A52AB8">
              <w:rPr>
                <w:sz w:val="20"/>
              </w:rPr>
              <w:t>asb</w:t>
            </w:r>
            <w:r w:rsidR="00712CED" w:rsidRPr="00A52AB8">
              <w:rPr>
                <w:sz w:val="20"/>
              </w:rPr>
              <w:t>_</w:t>
            </w:r>
            <w:r w:rsidRPr="00A52AB8">
              <w:rPr>
                <w:sz w:val="20"/>
              </w:rPr>
              <w:t>active_attributes_changes_flag</w:t>
            </w:r>
            <w:r w:rsidR="001A7D2E" w:rsidRPr="00A52AB8">
              <w:rPr>
                <w:sz w:val="20"/>
              </w:rPr>
              <w:t> </w:t>
            </w:r>
            <w:r w:rsidR="00900B12" w:rsidRPr="00A52AB8">
              <w:rPr>
                <w:sz w:val="20"/>
              </w:rPr>
              <w:t>) {</w:t>
            </w:r>
          </w:p>
        </w:tc>
        <w:tc>
          <w:tcPr>
            <w:tcW w:w="1235" w:type="dxa"/>
          </w:tcPr>
          <w:p w14:paraId="51617E60" w14:textId="77777777" w:rsidR="00250289" w:rsidRPr="00A52AB8" w:rsidRDefault="00250289" w:rsidP="009C6742">
            <w:pPr>
              <w:spacing w:before="20" w:after="40" w:line="240" w:lineRule="auto"/>
              <w:jc w:val="center"/>
              <w:rPr>
                <w:sz w:val="20"/>
              </w:rPr>
            </w:pPr>
          </w:p>
        </w:tc>
      </w:tr>
      <w:tr w:rsidR="00250289" w:rsidRPr="00A52AB8" w14:paraId="3EC0D230" w14:textId="77777777" w:rsidTr="00A252B5">
        <w:trPr>
          <w:trHeight w:val="204"/>
          <w:jc w:val="center"/>
        </w:trPr>
        <w:tc>
          <w:tcPr>
            <w:tcW w:w="7921" w:type="dxa"/>
          </w:tcPr>
          <w:p w14:paraId="60955781" w14:textId="77777777" w:rsidR="00250289" w:rsidRPr="00A52AB8" w:rsidRDefault="00250289" w:rsidP="009C6742">
            <w:pPr>
              <w:spacing w:before="20" w:after="40" w:line="240" w:lineRule="auto"/>
              <w:rPr>
                <w:sz w:val="20"/>
              </w:rPr>
            </w:pPr>
            <w:r w:rsidRPr="00A52AB8">
              <w:rPr>
                <w:sz w:val="20"/>
              </w:rPr>
              <w:tab/>
            </w:r>
            <w:r w:rsidRPr="00A52AB8">
              <w:rPr>
                <w:sz w:val="20"/>
              </w:rPr>
              <w:tab/>
            </w:r>
            <w:r w:rsidRPr="00A52AB8">
              <w:rPr>
                <w:sz w:val="20"/>
              </w:rPr>
              <w:tab/>
            </w:r>
            <w:r w:rsidR="00943C50" w:rsidRPr="00A52AB8">
              <w:rPr>
                <w:b/>
                <w:bCs/>
                <w:sz w:val="20"/>
              </w:rPr>
              <w:t>asb</w:t>
            </w:r>
            <w:r w:rsidR="00712CED" w:rsidRPr="00A52AB8">
              <w:rPr>
                <w:b/>
                <w:bCs/>
                <w:sz w:val="20"/>
              </w:rPr>
              <w:t>_a</w:t>
            </w:r>
            <w:r w:rsidRPr="00A52AB8">
              <w:rPr>
                <w:b/>
                <w:bCs/>
                <w:sz w:val="20"/>
              </w:rPr>
              <w:t>ll_attributes_active_flag</w:t>
            </w:r>
          </w:p>
        </w:tc>
        <w:tc>
          <w:tcPr>
            <w:tcW w:w="1235" w:type="dxa"/>
          </w:tcPr>
          <w:p w14:paraId="5C4ADB02" w14:textId="77777777" w:rsidR="00250289" w:rsidRPr="00A52AB8" w:rsidRDefault="00250289" w:rsidP="009C6742">
            <w:pPr>
              <w:spacing w:before="20" w:after="40" w:line="240" w:lineRule="auto"/>
              <w:jc w:val="center"/>
              <w:rPr>
                <w:rFonts w:eastAsia="Batang"/>
                <w:bCs/>
                <w:sz w:val="20"/>
              </w:rPr>
            </w:pPr>
            <w:r w:rsidRPr="00A52AB8">
              <w:rPr>
                <w:sz w:val="20"/>
              </w:rPr>
              <w:t>u(1)</w:t>
            </w:r>
          </w:p>
        </w:tc>
      </w:tr>
      <w:tr w:rsidR="00250289" w:rsidRPr="00A52AB8" w14:paraId="7C2CBCE3" w14:textId="77777777" w:rsidTr="00A252B5">
        <w:trPr>
          <w:trHeight w:val="204"/>
          <w:jc w:val="center"/>
        </w:trPr>
        <w:tc>
          <w:tcPr>
            <w:tcW w:w="7921" w:type="dxa"/>
          </w:tcPr>
          <w:p w14:paraId="064C5BF3" w14:textId="503D54CF" w:rsidR="00250289" w:rsidRPr="00A52AB8" w:rsidRDefault="00250289" w:rsidP="009C6742">
            <w:pPr>
              <w:spacing w:before="20" w:after="40" w:line="240" w:lineRule="auto"/>
              <w:rPr>
                <w:rFonts w:eastAsia="Batang"/>
                <w:b/>
                <w:bCs/>
                <w:sz w:val="20"/>
                <w:lang w:eastAsia="ko-KR"/>
              </w:rPr>
            </w:pPr>
            <w:r w:rsidRPr="00A52AB8">
              <w:rPr>
                <w:sz w:val="20"/>
              </w:rPr>
              <w:tab/>
            </w:r>
            <w:r w:rsidRPr="00A52AB8">
              <w:rPr>
                <w:sz w:val="20"/>
              </w:rPr>
              <w:tab/>
            </w:r>
            <w:r w:rsidRPr="00A52AB8">
              <w:rPr>
                <w:sz w:val="20"/>
              </w:rPr>
              <w:tab/>
            </w:r>
            <w:r w:rsidR="00D63ACE" w:rsidRPr="00A52AB8">
              <w:rPr>
                <w:sz w:val="20"/>
              </w:rPr>
              <w:t>if(</w:t>
            </w:r>
            <w:r w:rsidR="001A7D2E" w:rsidRPr="00A52AB8">
              <w:rPr>
                <w:sz w:val="20"/>
              </w:rPr>
              <w:t> </w:t>
            </w:r>
            <w:r w:rsidRPr="00A52AB8">
              <w:rPr>
                <w:sz w:val="20"/>
              </w:rPr>
              <w:t>!</w:t>
            </w:r>
            <w:r w:rsidR="00943C50" w:rsidRPr="00A52AB8">
              <w:rPr>
                <w:sz w:val="20"/>
              </w:rPr>
              <w:t>asb</w:t>
            </w:r>
            <w:r w:rsidR="00712CED" w:rsidRPr="00A52AB8">
              <w:rPr>
                <w:sz w:val="20"/>
              </w:rPr>
              <w:t>_</w:t>
            </w:r>
            <w:r w:rsidRPr="00A52AB8">
              <w:rPr>
                <w:sz w:val="20"/>
              </w:rPr>
              <w:t>all_attributes_active_flag</w:t>
            </w:r>
            <w:r w:rsidR="001A7D2E" w:rsidRPr="00A52AB8">
              <w:rPr>
                <w:sz w:val="20"/>
              </w:rPr>
              <w:t> </w:t>
            </w:r>
            <w:r w:rsidR="00900B12" w:rsidRPr="00A52AB8">
              <w:rPr>
                <w:sz w:val="20"/>
              </w:rPr>
              <w:t>) {</w:t>
            </w:r>
          </w:p>
        </w:tc>
        <w:tc>
          <w:tcPr>
            <w:tcW w:w="1235" w:type="dxa"/>
          </w:tcPr>
          <w:p w14:paraId="3A702AF5" w14:textId="77777777" w:rsidR="00250289" w:rsidRPr="00A52AB8" w:rsidRDefault="00250289" w:rsidP="009C6742">
            <w:pPr>
              <w:spacing w:before="20" w:after="40" w:line="240" w:lineRule="auto"/>
              <w:jc w:val="center"/>
              <w:rPr>
                <w:rFonts w:eastAsia="Batang"/>
                <w:bCs/>
                <w:sz w:val="20"/>
              </w:rPr>
            </w:pPr>
          </w:p>
        </w:tc>
      </w:tr>
      <w:tr w:rsidR="00250289" w:rsidRPr="00A52AB8" w14:paraId="69792E47" w14:textId="77777777" w:rsidTr="00A252B5">
        <w:trPr>
          <w:trHeight w:val="204"/>
          <w:jc w:val="center"/>
        </w:trPr>
        <w:tc>
          <w:tcPr>
            <w:tcW w:w="7921" w:type="dxa"/>
          </w:tcPr>
          <w:p w14:paraId="5B574008" w14:textId="77777777" w:rsidR="00250289" w:rsidRPr="00A52AB8" w:rsidRDefault="00250289" w:rsidP="009C6742">
            <w:pPr>
              <w:spacing w:before="20" w:after="40" w:line="240" w:lineRule="auto"/>
              <w:rPr>
                <w:sz w:val="20"/>
              </w:rPr>
            </w:pPr>
            <w:r w:rsidRPr="00A52AB8">
              <w:rPr>
                <w:sz w:val="20"/>
              </w:rPr>
              <w:tab/>
            </w:r>
            <w:r w:rsidRPr="00A52AB8">
              <w:rPr>
                <w:sz w:val="20"/>
              </w:rPr>
              <w:tab/>
            </w:r>
            <w:r w:rsidRPr="00A52AB8">
              <w:rPr>
                <w:sz w:val="20"/>
              </w:rPr>
              <w:tab/>
            </w:r>
            <w:r w:rsidRPr="00A52AB8">
              <w:rPr>
                <w:sz w:val="20"/>
              </w:rPr>
              <w:tab/>
            </w:r>
            <w:r w:rsidR="00943C50" w:rsidRPr="00A52AB8">
              <w:rPr>
                <w:b/>
                <w:sz w:val="20"/>
              </w:rPr>
              <w:t>asb</w:t>
            </w:r>
            <w:r w:rsidR="00712CED" w:rsidRPr="00A52AB8">
              <w:rPr>
                <w:b/>
                <w:sz w:val="20"/>
              </w:rPr>
              <w:t>_a</w:t>
            </w:r>
            <w:r w:rsidRPr="00A52AB8">
              <w:rPr>
                <w:b/>
                <w:sz w:val="20"/>
              </w:rPr>
              <w:t>ctive_</w:t>
            </w:r>
            <w:r w:rsidRPr="00A52AB8">
              <w:rPr>
                <w:b/>
                <w:color w:val="000000" w:themeColor="text1"/>
                <w:sz w:val="20"/>
              </w:rPr>
              <w:t>attribute_count_minus1</w:t>
            </w:r>
          </w:p>
        </w:tc>
        <w:tc>
          <w:tcPr>
            <w:tcW w:w="1235" w:type="dxa"/>
          </w:tcPr>
          <w:p w14:paraId="3D405E94" w14:textId="77777777" w:rsidR="00250289" w:rsidRPr="00A52AB8" w:rsidRDefault="00250289" w:rsidP="009C6742">
            <w:pPr>
              <w:spacing w:before="20" w:after="40" w:line="240" w:lineRule="auto"/>
              <w:jc w:val="center"/>
              <w:rPr>
                <w:rFonts w:eastAsia="Batang"/>
                <w:bCs/>
                <w:sz w:val="20"/>
              </w:rPr>
            </w:pPr>
            <w:r w:rsidRPr="00A52AB8">
              <w:rPr>
                <w:sz w:val="20"/>
              </w:rPr>
              <w:t>u(7)</w:t>
            </w:r>
          </w:p>
        </w:tc>
      </w:tr>
      <w:tr w:rsidR="00250289" w:rsidRPr="00A52AB8" w14:paraId="099C0975" w14:textId="77777777" w:rsidTr="00A252B5">
        <w:trPr>
          <w:trHeight w:val="204"/>
          <w:jc w:val="center"/>
        </w:trPr>
        <w:tc>
          <w:tcPr>
            <w:tcW w:w="7921" w:type="dxa"/>
          </w:tcPr>
          <w:p w14:paraId="68F143D0" w14:textId="7C627156" w:rsidR="00250289" w:rsidRPr="00A52AB8" w:rsidRDefault="00250289" w:rsidP="009C6742">
            <w:pPr>
              <w:spacing w:before="20" w:after="40" w:line="240" w:lineRule="auto"/>
              <w:rPr>
                <w:sz w:val="20"/>
              </w:rPr>
            </w:pPr>
            <w:r w:rsidRPr="00A52AB8">
              <w:rPr>
                <w:sz w:val="20"/>
              </w:rPr>
              <w:tab/>
            </w:r>
            <w:r w:rsidRPr="00A52AB8">
              <w:rPr>
                <w:sz w:val="20"/>
              </w:rPr>
              <w:tab/>
            </w:r>
            <w:r w:rsidRPr="00A52AB8">
              <w:rPr>
                <w:sz w:val="20"/>
              </w:rPr>
              <w:tab/>
            </w:r>
            <w:r w:rsidRPr="00A52AB8">
              <w:rPr>
                <w:sz w:val="20"/>
              </w:rPr>
              <w:tab/>
            </w:r>
            <w:r w:rsidRPr="00A52AB8">
              <w:rPr>
                <w:color w:val="000000" w:themeColor="text1"/>
                <w:sz w:val="20"/>
              </w:rPr>
              <w:t>for(</w:t>
            </w:r>
            <w:r w:rsidR="006E03C5" w:rsidRPr="00A52AB8">
              <w:rPr>
                <w:color w:val="000000" w:themeColor="text1"/>
                <w:sz w:val="20"/>
              </w:rPr>
              <w:t> i</w:t>
            </w:r>
            <w:r w:rsidR="00D47707" w:rsidRPr="00A52AB8">
              <w:rPr>
                <w:color w:val="000000" w:themeColor="text1"/>
                <w:sz w:val="20"/>
              </w:rPr>
              <w:t> = </w:t>
            </w:r>
            <w:r w:rsidRPr="00A52AB8">
              <w:rPr>
                <w:color w:val="000000" w:themeColor="text1"/>
                <w:sz w:val="20"/>
              </w:rPr>
              <w:t>0;</w:t>
            </w:r>
            <w:r w:rsidR="008751C1" w:rsidRPr="00A52AB8">
              <w:rPr>
                <w:color w:val="000000" w:themeColor="text1"/>
                <w:sz w:val="20"/>
              </w:rPr>
              <w:t> </w:t>
            </w:r>
            <w:r w:rsidRPr="00A52AB8">
              <w:rPr>
                <w:color w:val="000000" w:themeColor="text1"/>
                <w:sz w:val="20"/>
              </w:rPr>
              <w:t>i</w:t>
            </w:r>
            <w:r w:rsidR="008751C1" w:rsidRPr="00A52AB8">
              <w:rPr>
                <w:color w:val="000000" w:themeColor="text1"/>
                <w:sz w:val="20"/>
              </w:rPr>
              <w:t> </w:t>
            </w:r>
            <w:r w:rsidR="00A234FD" w:rsidRPr="00A52AB8">
              <w:rPr>
                <w:color w:val="000000" w:themeColor="text1"/>
                <w:sz w:val="20"/>
              </w:rPr>
              <w:t>&lt;=</w:t>
            </w:r>
            <w:r w:rsidR="00D47707" w:rsidRPr="00A52AB8">
              <w:rPr>
                <w:color w:val="000000" w:themeColor="text1"/>
                <w:sz w:val="20"/>
              </w:rPr>
              <w:t> </w:t>
            </w:r>
            <w:r w:rsidR="00943C50" w:rsidRPr="00A52AB8">
              <w:rPr>
                <w:color w:val="000000" w:themeColor="text1"/>
                <w:sz w:val="20"/>
              </w:rPr>
              <w:t>asb</w:t>
            </w:r>
            <w:r w:rsidR="00712CED" w:rsidRPr="00A52AB8">
              <w:rPr>
                <w:color w:val="000000" w:themeColor="text1"/>
                <w:sz w:val="20"/>
              </w:rPr>
              <w:t>_a</w:t>
            </w:r>
            <w:r w:rsidRPr="00A52AB8">
              <w:rPr>
                <w:color w:val="000000" w:themeColor="text1"/>
                <w:sz w:val="20"/>
              </w:rPr>
              <w:t>ctive_attribute_count_minus1;</w:t>
            </w:r>
            <w:r w:rsidR="00B9753D" w:rsidRPr="00A52AB8">
              <w:rPr>
                <w:color w:val="000000" w:themeColor="text1"/>
                <w:sz w:val="20"/>
              </w:rPr>
              <w:t> </w:t>
            </w:r>
            <w:r w:rsidRPr="00A52AB8">
              <w:rPr>
                <w:color w:val="000000" w:themeColor="text1"/>
                <w:sz w:val="20"/>
              </w:rPr>
              <w:t>i</w:t>
            </w:r>
            <w:r w:rsidR="00006CCF" w:rsidRPr="00A52AB8">
              <w:rPr>
                <w:color w:val="000000" w:themeColor="text1"/>
                <w:sz w:val="20"/>
              </w:rPr>
              <w:t>++ )</w:t>
            </w:r>
          </w:p>
        </w:tc>
        <w:tc>
          <w:tcPr>
            <w:tcW w:w="1235" w:type="dxa"/>
          </w:tcPr>
          <w:p w14:paraId="0AC38398" w14:textId="77777777" w:rsidR="00250289" w:rsidRPr="00A52AB8" w:rsidRDefault="00250289" w:rsidP="009C6742">
            <w:pPr>
              <w:spacing w:before="20" w:after="40" w:line="240" w:lineRule="auto"/>
              <w:jc w:val="center"/>
              <w:rPr>
                <w:sz w:val="20"/>
              </w:rPr>
            </w:pPr>
          </w:p>
        </w:tc>
      </w:tr>
      <w:tr w:rsidR="00250289" w:rsidRPr="00A52AB8" w14:paraId="76F82DC5" w14:textId="77777777" w:rsidTr="00A252B5">
        <w:trPr>
          <w:trHeight w:val="204"/>
          <w:jc w:val="center"/>
        </w:trPr>
        <w:tc>
          <w:tcPr>
            <w:tcW w:w="7921" w:type="dxa"/>
          </w:tcPr>
          <w:p w14:paraId="42237990" w14:textId="752A748F" w:rsidR="00250289" w:rsidRPr="00A52AB8" w:rsidRDefault="00250289" w:rsidP="009C6742">
            <w:pPr>
              <w:spacing w:before="20" w:after="40" w:line="240" w:lineRule="auto"/>
              <w:rPr>
                <w:sz w:val="20"/>
              </w:rPr>
            </w:pPr>
            <w:r w:rsidRPr="00A52AB8">
              <w:rPr>
                <w:sz w:val="20"/>
              </w:rPr>
              <w:tab/>
            </w:r>
            <w:r w:rsidRPr="00A52AB8">
              <w:rPr>
                <w:sz w:val="20"/>
              </w:rPr>
              <w:tab/>
            </w:r>
            <w:r w:rsidRPr="00A52AB8">
              <w:rPr>
                <w:sz w:val="20"/>
              </w:rPr>
              <w:tab/>
            </w:r>
            <w:r w:rsidRPr="00A52AB8">
              <w:rPr>
                <w:sz w:val="20"/>
              </w:rPr>
              <w:tab/>
            </w:r>
            <w:r w:rsidRPr="00A52AB8">
              <w:rPr>
                <w:sz w:val="20"/>
              </w:rPr>
              <w:tab/>
            </w:r>
            <w:r w:rsidR="00943C50" w:rsidRPr="00A52AB8">
              <w:rPr>
                <w:b/>
                <w:sz w:val="20"/>
              </w:rPr>
              <w:t>asb</w:t>
            </w:r>
            <w:r w:rsidR="00712CED" w:rsidRPr="00A52AB8">
              <w:rPr>
                <w:b/>
                <w:sz w:val="20"/>
              </w:rPr>
              <w:t>_a</w:t>
            </w:r>
            <w:r w:rsidRPr="00A52AB8">
              <w:rPr>
                <w:b/>
                <w:sz w:val="20"/>
              </w:rPr>
              <w:t>ctive_</w:t>
            </w:r>
            <w:r w:rsidRPr="00A52AB8">
              <w:rPr>
                <w:b/>
                <w:bCs/>
                <w:sz w:val="20"/>
              </w:rPr>
              <w:t>attribute_idx</w:t>
            </w:r>
            <w:r w:rsidRPr="00A52AB8">
              <w:rPr>
                <w:sz w:val="20"/>
              </w:rPr>
              <w:t>[</w:t>
            </w:r>
            <w:r w:rsidR="003C61EB" w:rsidRPr="00A52AB8">
              <w:rPr>
                <w:sz w:val="20"/>
              </w:rPr>
              <w:t> </w:t>
            </w:r>
            <w:r w:rsidR="001F2828" w:rsidRPr="00A52AB8">
              <w:rPr>
                <w:sz w:val="20"/>
              </w:rPr>
              <w:t>i</w:t>
            </w:r>
            <w:r w:rsidR="003C61EB" w:rsidRPr="00A52AB8">
              <w:rPr>
                <w:sz w:val="20"/>
              </w:rPr>
              <w:t> </w:t>
            </w:r>
            <w:r w:rsidRPr="00A52AB8">
              <w:rPr>
                <w:sz w:val="20"/>
              </w:rPr>
              <w:t>]</w:t>
            </w:r>
          </w:p>
        </w:tc>
        <w:tc>
          <w:tcPr>
            <w:tcW w:w="1235" w:type="dxa"/>
          </w:tcPr>
          <w:p w14:paraId="65FB5BA8" w14:textId="77777777" w:rsidR="00250289" w:rsidRPr="00A52AB8" w:rsidRDefault="00250289" w:rsidP="009C6742">
            <w:pPr>
              <w:spacing w:before="20" w:after="40" w:line="240" w:lineRule="auto"/>
              <w:jc w:val="center"/>
              <w:rPr>
                <w:sz w:val="20"/>
              </w:rPr>
            </w:pPr>
            <w:r w:rsidRPr="00A52AB8">
              <w:rPr>
                <w:sz w:val="20"/>
              </w:rPr>
              <w:t>u(7)</w:t>
            </w:r>
          </w:p>
        </w:tc>
      </w:tr>
      <w:tr w:rsidR="00250289" w:rsidRPr="00A52AB8" w14:paraId="1103B183" w14:textId="77777777" w:rsidTr="00A252B5">
        <w:trPr>
          <w:trHeight w:val="204"/>
          <w:jc w:val="center"/>
        </w:trPr>
        <w:tc>
          <w:tcPr>
            <w:tcW w:w="7921" w:type="dxa"/>
          </w:tcPr>
          <w:p w14:paraId="2A00D46E" w14:textId="77777777" w:rsidR="00250289" w:rsidRPr="00A52AB8" w:rsidRDefault="00250289" w:rsidP="009C6742">
            <w:pPr>
              <w:spacing w:before="20" w:after="40" w:line="240" w:lineRule="auto"/>
              <w:rPr>
                <w:rFonts w:eastAsia="Batang"/>
                <w:b/>
                <w:bCs/>
                <w:sz w:val="20"/>
                <w:lang w:eastAsia="ko-KR"/>
              </w:rPr>
            </w:pPr>
            <w:r w:rsidRPr="00A52AB8">
              <w:rPr>
                <w:sz w:val="20"/>
              </w:rPr>
              <w:tab/>
            </w:r>
            <w:r w:rsidRPr="00A52AB8">
              <w:rPr>
                <w:sz w:val="20"/>
              </w:rPr>
              <w:tab/>
            </w:r>
            <w:r w:rsidRPr="00A52AB8">
              <w:rPr>
                <w:sz w:val="20"/>
              </w:rPr>
              <w:tab/>
              <w:t>}</w:t>
            </w:r>
          </w:p>
        </w:tc>
        <w:tc>
          <w:tcPr>
            <w:tcW w:w="1235" w:type="dxa"/>
          </w:tcPr>
          <w:p w14:paraId="7CE24F28" w14:textId="77777777" w:rsidR="00250289" w:rsidRPr="00A52AB8" w:rsidRDefault="00250289" w:rsidP="009C6742">
            <w:pPr>
              <w:spacing w:before="20" w:after="40" w:line="240" w:lineRule="auto"/>
              <w:jc w:val="center"/>
              <w:rPr>
                <w:rFonts w:eastAsia="Batang"/>
                <w:bCs/>
                <w:sz w:val="20"/>
              </w:rPr>
            </w:pPr>
          </w:p>
        </w:tc>
      </w:tr>
      <w:tr w:rsidR="00250289" w:rsidRPr="00A52AB8" w14:paraId="5229A3AA" w14:textId="77777777" w:rsidTr="00A252B5">
        <w:trPr>
          <w:trHeight w:val="204"/>
          <w:jc w:val="center"/>
        </w:trPr>
        <w:tc>
          <w:tcPr>
            <w:tcW w:w="7921" w:type="dxa"/>
          </w:tcPr>
          <w:p w14:paraId="55BDAB5B" w14:textId="77777777" w:rsidR="00250289" w:rsidRPr="00A52AB8" w:rsidRDefault="00250289" w:rsidP="009C6742">
            <w:pPr>
              <w:spacing w:before="20" w:after="40" w:line="240" w:lineRule="auto"/>
              <w:rPr>
                <w:sz w:val="20"/>
              </w:rPr>
            </w:pPr>
            <w:r w:rsidRPr="00A52AB8">
              <w:rPr>
                <w:sz w:val="20"/>
              </w:rPr>
              <w:tab/>
            </w:r>
            <w:r w:rsidRPr="00A52AB8">
              <w:rPr>
                <w:sz w:val="20"/>
              </w:rPr>
              <w:tab/>
              <w:t>}</w:t>
            </w:r>
          </w:p>
        </w:tc>
        <w:tc>
          <w:tcPr>
            <w:tcW w:w="1235" w:type="dxa"/>
          </w:tcPr>
          <w:p w14:paraId="6863A7CF" w14:textId="77777777" w:rsidR="00250289" w:rsidRPr="00A52AB8" w:rsidRDefault="00250289" w:rsidP="009C6742">
            <w:pPr>
              <w:spacing w:before="20" w:after="40" w:line="240" w:lineRule="auto"/>
              <w:jc w:val="center"/>
              <w:rPr>
                <w:rFonts w:eastAsia="Batang"/>
                <w:bCs/>
                <w:sz w:val="20"/>
              </w:rPr>
            </w:pPr>
          </w:p>
        </w:tc>
      </w:tr>
      <w:tr w:rsidR="00250289" w:rsidRPr="00A52AB8" w14:paraId="0B05E325" w14:textId="77777777" w:rsidTr="00A252B5">
        <w:trPr>
          <w:trHeight w:val="204"/>
          <w:jc w:val="center"/>
        </w:trPr>
        <w:tc>
          <w:tcPr>
            <w:tcW w:w="7921" w:type="dxa"/>
          </w:tcPr>
          <w:p w14:paraId="22788714" w14:textId="4188B564" w:rsidR="00250289" w:rsidRPr="00A52AB8" w:rsidRDefault="00250289" w:rsidP="009C6742">
            <w:pPr>
              <w:spacing w:before="20" w:after="40" w:line="240" w:lineRule="auto"/>
              <w:rPr>
                <w:sz w:val="20"/>
              </w:rPr>
            </w:pPr>
            <w:r w:rsidRPr="00A52AB8">
              <w:rPr>
                <w:sz w:val="20"/>
              </w:rPr>
              <w:tab/>
            </w:r>
            <w:r w:rsidRPr="00A52AB8">
              <w:rPr>
                <w:sz w:val="20"/>
              </w:rPr>
              <w:tab/>
            </w:r>
            <w:r w:rsidR="00D63ACE" w:rsidRPr="00A52AB8">
              <w:rPr>
                <w:sz w:val="20"/>
              </w:rPr>
              <w:t>if(</w:t>
            </w:r>
            <w:r w:rsidR="00F853CB" w:rsidRPr="00A52AB8">
              <w:rPr>
                <w:sz w:val="20"/>
              </w:rPr>
              <w:t> </w:t>
            </w:r>
            <w:r w:rsidR="00943C50" w:rsidRPr="00A52AB8">
              <w:rPr>
                <w:sz w:val="20"/>
              </w:rPr>
              <w:t>asb_a</w:t>
            </w:r>
            <w:r w:rsidRPr="00A52AB8">
              <w:rPr>
                <w:sz w:val="20"/>
              </w:rPr>
              <w:t>ctive_maps_changes_flag</w:t>
            </w:r>
            <w:r w:rsidR="008B2AA1" w:rsidRPr="00A52AB8">
              <w:rPr>
                <w:sz w:val="20"/>
              </w:rPr>
              <w:t> </w:t>
            </w:r>
            <w:r w:rsidR="00900B12" w:rsidRPr="00A52AB8">
              <w:rPr>
                <w:sz w:val="20"/>
              </w:rPr>
              <w:t>) {</w:t>
            </w:r>
          </w:p>
        </w:tc>
        <w:tc>
          <w:tcPr>
            <w:tcW w:w="1235" w:type="dxa"/>
          </w:tcPr>
          <w:p w14:paraId="04E2C756" w14:textId="77777777" w:rsidR="00250289" w:rsidRPr="00A52AB8" w:rsidRDefault="00250289" w:rsidP="009C6742">
            <w:pPr>
              <w:spacing w:before="20" w:after="40" w:line="240" w:lineRule="auto"/>
              <w:jc w:val="center"/>
              <w:rPr>
                <w:rFonts w:eastAsia="Batang"/>
                <w:bCs/>
                <w:sz w:val="20"/>
              </w:rPr>
            </w:pPr>
          </w:p>
        </w:tc>
      </w:tr>
      <w:tr w:rsidR="00250289" w:rsidRPr="00A52AB8" w14:paraId="0EF4580D" w14:textId="77777777" w:rsidTr="00A252B5">
        <w:trPr>
          <w:trHeight w:val="204"/>
          <w:jc w:val="center"/>
        </w:trPr>
        <w:tc>
          <w:tcPr>
            <w:tcW w:w="7921" w:type="dxa"/>
          </w:tcPr>
          <w:p w14:paraId="7BE7BF0E" w14:textId="77777777" w:rsidR="00250289" w:rsidRPr="00A52AB8" w:rsidRDefault="00250289" w:rsidP="009C6742">
            <w:pPr>
              <w:spacing w:before="20" w:after="40" w:line="240" w:lineRule="auto"/>
              <w:rPr>
                <w:b/>
                <w:bCs/>
                <w:sz w:val="20"/>
              </w:rPr>
            </w:pPr>
            <w:r w:rsidRPr="00A52AB8">
              <w:rPr>
                <w:sz w:val="20"/>
              </w:rPr>
              <w:tab/>
            </w:r>
            <w:r w:rsidRPr="00A52AB8">
              <w:rPr>
                <w:sz w:val="20"/>
              </w:rPr>
              <w:tab/>
            </w:r>
            <w:r w:rsidRPr="00A52AB8">
              <w:rPr>
                <w:sz w:val="20"/>
              </w:rPr>
              <w:tab/>
            </w:r>
            <w:r w:rsidR="00943C50" w:rsidRPr="00A52AB8">
              <w:rPr>
                <w:b/>
                <w:bCs/>
                <w:sz w:val="20"/>
              </w:rPr>
              <w:t>asb_a</w:t>
            </w:r>
            <w:r w:rsidRPr="00A52AB8">
              <w:rPr>
                <w:b/>
                <w:bCs/>
                <w:sz w:val="20"/>
              </w:rPr>
              <w:t>ll_maps_active_flag</w:t>
            </w:r>
          </w:p>
        </w:tc>
        <w:tc>
          <w:tcPr>
            <w:tcW w:w="1235" w:type="dxa"/>
          </w:tcPr>
          <w:p w14:paraId="04997A45" w14:textId="77777777" w:rsidR="00250289" w:rsidRPr="00A52AB8" w:rsidRDefault="00250289" w:rsidP="009C6742">
            <w:pPr>
              <w:spacing w:before="20" w:after="40" w:line="240" w:lineRule="auto"/>
              <w:jc w:val="center"/>
              <w:rPr>
                <w:rFonts w:eastAsia="Batang"/>
                <w:bCs/>
                <w:sz w:val="20"/>
              </w:rPr>
            </w:pPr>
            <w:r w:rsidRPr="00A52AB8">
              <w:rPr>
                <w:rFonts w:eastAsia="Batang"/>
                <w:bCs/>
                <w:sz w:val="20"/>
              </w:rPr>
              <w:t>u(1)</w:t>
            </w:r>
          </w:p>
        </w:tc>
      </w:tr>
      <w:tr w:rsidR="00250289" w:rsidRPr="00A52AB8" w14:paraId="0DEDD627" w14:textId="77777777" w:rsidTr="00A252B5">
        <w:trPr>
          <w:trHeight w:val="204"/>
          <w:jc w:val="center"/>
        </w:trPr>
        <w:tc>
          <w:tcPr>
            <w:tcW w:w="7921" w:type="dxa"/>
          </w:tcPr>
          <w:p w14:paraId="4EE299ED" w14:textId="3E300F7F" w:rsidR="00250289" w:rsidRPr="00A52AB8" w:rsidRDefault="00250289" w:rsidP="009C6742">
            <w:pPr>
              <w:spacing w:before="20" w:after="40" w:line="240" w:lineRule="auto"/>
              <w:rPr>
                <w:sz w:val="20"/>
              </w:rPr>
            </w:pPr>
            <w:r w:rsidRPr="00A52AB8">
              <w:rPr>
                <w:sz w:val="20"/>
              </w:rPr>
              <w:tab/>
            </w:r>
            <w:r w:rsidRPr="00A52AB8">
              <w:rPr>
                <w:sz w:val="20"/>
              </w:rPr>
              <w:tab/>
            </w:r>
            <w:r w:rsidRPr="00A52AB8">
              <w:rPr>
                <w:sz w:val="20"/>
              </w:rPr>
              <w:tab/>
            </w:r>
            <w:r w:rsidR="00D63ACE" w:rsidRPr="00A52AB8">
              <w:rPr>
                <w:sz w:val="20"/>
              </w:rPr>
              <w:t>if(</w:t>
            </w:r>
            <w:r w:rsidR="00830709" w:rsidRPr="00A52AB8">
              <w:rPr>
                <w:sz w:val="20"/>
              </w:rPr>
              <w:t> </w:t>
            </w:r>
            <w:r w:rsidRPr="00A52AB8">
              <w:rPr>
                <w:sz w:val="20"/>
              </w:rPr>
              <w:t>!</w:t>
            </w:r>
            <w:r w:rsidR="00943C50" w:rsidRPr="00A52AB8">
              <w:rPr>
                <w:sz w:val="20"/>
              </w:rPr>
              <w:t>asb_a</w:t>
            </w:r>
            <w:r w:rsidRPr="00A52AB8">
              <w:rPr>
                <w:sz w:val="20"/>
              </w:rPr>
              <w:t>ll_maps_active_flag</w:t>
            </w:r>
            <w:r w:rsidR="00583602" w:rsidRPr="00A52AB8">
              <w:rPr>
                <w:sz w:val="20"/>
              </w:rPr>
              <w:t> </w:t>
            </w:r>
            <w:r w:rsidR="00900B12" w:rsidRPr="00A52AB8">
              <w:rPr>
                <w:sz w:val="20"/>
              </w:rPr>
              <w:t>) {</w:t>
            </w:r>
          </w:p>
        </w:tc>
        <w:tc>
          <w:tcPr>
            <w:tcW w:w="1235" w:type="dxa"/>
          </w:tcPr>
          <w:p w14:paraId="66380392" w14:textId="77777777" w:rsidR="00250289" w:rsidRPr="00A52AB8" w:rsidRDefault="00250289" w:rsidP="009C6742">
            <w:pPr>
              <w:spacing w:before="20" w:after="40" w:line="240" w:lineRule="auto"/>
              <w:jc w:val="center"/>
              <w:rPr>
                <w:rFonts w:eastAsia="Batang"/>
                <w:bCs/>
                <w:sz w:val="20"/>
              </w:rPr>
            </w:pPr>
          </w:p>
        </w:tc>
      </w:tr>
      <w:tr w:rsidR="00250289" w:rsidRPr="00A52AB8" w14:paraId="2C3AF8B4" w14:textId="77777777" w:rsidTr="00A252B5">
        <w:trPr>
          <w:trHeight w:val="204"/>
          <w:jc w:val="center"/>
        </w:trPr>
        <w:tc>
          <w:tcPr>
            <w:tcW w:w="7921" w:type="dxa"/>
          </w:tcPr>
          <w:p w14:paraId="783D4F09" w14:textId="77777777" w:rsidR="00250289" w:rsidRPr="00A52AB8" w:rsidRDefault="00250289" w:rsidP="009C6742">
            <w:pPr>
              <w:spacing w:before="20" w:after="40" w:line="240" w:lineRule="auto"/>
              <w:rPr>
                <w:b/>
                <w:bCs/>
                <w:sz w:val="20"/>
              </w:rPr>
            </w:pPr>
            <w:r w:rsidRPr="00A52AB8">
              <w:rPr>
                <w:sz w:val="20"/>
              </w:rPr>
              <w:tab/>
            </w:r>
            <w:r w:rsidRPr="00A52AB8">
              <w:rPr>
                <w:sz w:val="20"/>
              </w:rPr>
              <w:tab/>
            </w:r>
            <w:r w:rsidRPr="00A52AB8">
              <w:rPr>
                <w:sz w:val="20"/>
              </w:rPr>
              <w:tab/>
            </w:r>
            <w:r w:rsidRPr="00A52AB8">
              <w:rPr>
                <w:sz w:val="20"/>
              </w:rPr>
              <w:tab/>
            </w:r>
            <w:r w:rsidR="00943C50" w:rsidRPr="00A52AB8">
              <w:rPr>
                <w:b/>
                <w:sz w:val="20"/>
              </w:rPr>
              <w:t>asb_a</w:t>
            </w:r>
            <w:r w:rsidRPr="00A52AB8">
              <w:rPr>
                <w:b/>
                <w:sz w:val="20"/>
              </w:rPr>
              <w:t>ctive_</w:t>
            </w:r>
            <w:r w:rsidRPr="00A52AB8">
              <w:rPr>
                <w:b/>
                <w:bCs/>
                <w:sz w:val="20"/>
              </w:rPr>
              <w:t>map_count_minus1</w:t>
            </w:r>
          </w:p>
        </w:tc>
        <w:tc>
          <w:tcPr>
            <w:tcW w:w="1235" w:type="dxa"/>
          </w:tcPr>
          <w:p w14:paraId="630E074D" w14:textId="77777777" w:rsidR="00250289" w:rsidRPr="00A52AB8" w:rsidRDefault="00250289" w:rsidP="009C6742">
            <w:pPr>
              <w:spacing w:before="20" w:after="40" w:line="240" w:lineRule="auto"/>
              <w:jc w:val="center"/>
              <w:rPr>
                <w:rFonts w:eastAsia="Batang"/>
                <w:bCs/>
                <w:sz w:val="20"/>
              </w:rPr>
            </w:pPr>
            <w:r w:rsidRPr="00A52AB8">
              <w:rPr>
                <w:rFonts w:eastAsia="Batang"/>
                <w:bCs/>
                <w:sz w:val="20"/>
              </w:rPr>
              <w:t>u(4)</w:t>
            </w:r>
          </w:p>
        </w:tc>
      </w:tr>
      <w:tr w:rsidR="00250289" w:rsidRPr="00A52AB8" w14:paraId="06AFC082" w14:textId="77777777" w:rsidTr="00A252B5">
        <w:trPr>
          <w:trHeight w:val="204"/>
          <w:jc w:val="center"/>
        </w:trPr>
        <w:tc>
          <w:tcPr>
            <w:tcW w:w="7921" w:type="dxa"/>
          </w:tcPr>
          <w:p w14:paraId="6D63E229" w14:textId="1589884E" w:rsidR="00250289" w:rsidRPr="00A52AB8" w:rsidRDefault="00250289" w:rsidP="009C6742">
            <w:pPr>
              <w:spacing w:before="20" w:after="40" w:line="240" w:lineRule="auto"/>
              <w:rPr>
                <w:sz w:val="20"/>
              </w:rPr>
            </w:pPr>
            <w:r w:rsidRPr="00A52AB8">
              <w:rPr>
                <w:sz w:val="20"/>
              </w:rPr>
              <w:tab/>
            </w:r>
            <w:r w:rsidRPr="00A52AB8">
              <w:rPr>
                <w:sz w:val="20"/>
              </w:rPr>
              <w:tab/>
            </w:r>
            <w:r w:rsidRPr="00A52AB8">
              <w:rPr>
                <w:sz w:val="20"/>
              </w:rPr>
              <w:tab/>
            </w:r>
            <w:r w:rsidRPr="00A52AB8">
              <w:rPr>
                <w:sz w:val="20"/>
              </w:rPr>
              <w:tab/>
              <w:t>for(</w:t>
            </w:r>
            <w:r w:rsidR="00504AE3" w:rsidRPr="00A52AB8">
              <w:rPr>
                <w:sz w:val="20"/>
              </w:rPr>
              <w:t> </w:t>
            </w:r>
            <w:r w:rsidRPr="00A52AB8">
              <w:rPr>
                <w:sz w:val="20"/>
              </w:rPr>
              <w:t>i</w:t>
            </w:r>
            <w:r w:rsidR="00D47707" w:rsidRPr="00A52AB8">
              <w:rPr>
                <w:sz w:val="20"/>
              </w:rPr>
              <w:t> = </w:t>
            </w:r>
            <w:r w:rsidRPr="00A52AB8">
              <w:rPr>
                <w:sz w:val="20"/>
              </w:rPr>
              <w:t>0;</w:t>
            </w:r>
            <w:r w:rsidR="00504AE3" w:rsidRPr="00A52AB8">
              <w:rPr>
                <w:sz w:val="20"/>
              </w:rPr>
              <w:t> </w:t>
            </w:r>
            <w:r w:rsidRPr="00A52AB8">
              <w:rPr>
                <w:sz w:val="20"/>
              </w:rPr>
              <w:t>i</w:t>
            </w:r>
            <w:r w:rsidR="00504AE3" w:rsidRPr="00A52AB8">
              <w:rPr>
                <w:sz w:val="20"/>
              </w:rPr>
              <w:t> </w:t>
            </w:r>
            <w:r w:rsidR="00A234FD" w:rsidRPr="00A52AB8">
              <w:rPr>
                <w:sz w:val="20"/>
              </w:rPr>
              <w:t>&lt;=</w:t>
            </w:r>
            <w:r w:rsidR="00D47707" w:rsidRPr="00A52AB8">
              <w:rPr>
                <w:sz w:val="20"/>
              </w:rPr>
              <w:t> </w:t>
            </w:r>
            <w:r w:rsidR="00943C50" w:rsidRPr="00A52AB8">
              <w:rPr>
                <w:sz w:val="20"/>
              </w:rPr>
              <w:t>asb_a</w:t>
            </w:r>
            <w:r w:rsidRPr="00A52AB8">
              <w:rPr>
                <w:sz w:val="20"/>
              </w:rPr>
              <w:t>ctive_map_count_minus1</w:t>
            </w:r>
            <w:r w:rsidR="00191C1D" w:rsidRPr="00A52AB8">
              <w:rPr>
                <w:sz w:val="20"/>
              </w:rPr>
              <w:t> </w:t>
            </w:r>
            <w:r w:rsidRPr="00A52AB8">
              <w:rPr>
                <w:sz w:val="20"/>
              </w:rPr>
              <w:t>)</w:t>
            </w:r>
          </w:p>
        </w:tc>
        <w:tc>
          <w:tcPr>
            <w:tcW w:w="1235" w:type="dxa"/>
          </w:tcPr>
          <w:p w14:paraId="2BE837C1" w14:textId="77777777" w:rsidR="00250289" w:rsidRPr="00A52AB8" w:rsidRDefault="00250289" w:rsidP="009C6742">
            <w:pPr>
              <w:spacing w:before="20" w:after="40" w:line="240" w:lineRule="auto"/>
              <w:jc w:val="center"/>
              <w:rPr>
                <w:rFonts w:eastAsia="Batang"/>
                <w:bCs/>
                <w:sz w:val="20"/>
              </w:rPr>
            </w:pPr>
          </w:p>
        </w:tc>
      </w:tr>
      <w:tr w:rsidR="00250289" w:rsidRPr="00A52AB8" w14:paraId="2BACBF27" w14:textId="77777777" w:rsidTr="00A252B5">
        <w:trPr>
          <w:trHeight w:val="204"/>
          <w:jc w:val="center"/>
        </w:trPr>
        <w:tc>
          <w:tcPr>
            <w:tcW w:w="7921" w:type="dxa"/>
          </w:tcPr>
          <w:p w14:paraId="1F78E317" w14:textId="77777777" w:rsidR="00250289" w:rsidRPr="00A52AB8" w:rsidRDefault="00250289" w:rsidP="009C6742">
            <w:pPr>
              <w:spacing w:before="20" w:after="40" w:line="240" w:lineRule="auto"/>
              <w:rPr>
                <w:sz w:val="20"/>
              </w:rPr>
            </w:pPr>
            <w:r w:rsidRPr="00A52AB8">
              <w:rPr>
                <w:sz w:val="20"/>
              </w:rPr>
              <w:tab/>
            </w:r>
            <w:r w:rsidRPr="00A52AB8">
              <w:rPr>
                <w:sz w:val="20"/>
              </w:rPr>
              <w:tab/>
            </w:r>
            <w:r w:rsidRPr="00A52AB8">
              <w:rPr>
                <w:sz w:val="20"/>
              </w:rPr>
              <w:tab/>
            </w:r>
            <w:r w:rsidRPr="00A52AB8">
              <w:rPr>
                <w:sz w:val="20"/>
              </w:rPr>
              <w:tab/>
            </w:r>
            <w:r w:rsidRPr="00A52AB8">
              <w:rPr>
                <w:sz w:val="20"/>
              </w:rPr>
              <w:tab/>
            </w:r>
            <w:r w:rsidR="00943C50" w:rsidRPr="00A52AB8">
              <w:rPr>
                <w:b/>
                <w:sz w:val="20"/>
              </w:rPr>
              <w:t>asb_a</w:t>
            </w:r>
            <w:r w:rsidRPr="00A52AB8">
              <w:rPr>
                <w:b/>
                <w:sz w:val="20"/>
              </w:rPr>
              <w:t>ctive_</w:t>
            </w:r>
            <w:r w:rsidRPr="00A52AB8">
              <w:rPr>
                <w:b/>
                <w:bCs/>
                <w:sz w:val="20"/>
              </w:rPr>
              <w:t>map_idx</w:t>
            </w:r>
            <w:r w:rsidR="001F4484" w:rsidRPr="00A52AB8">
              <w:rPr>
                <w:sz w:val="20"/>
              </w:rPr>
              <w:t>[ i ]</w:t>
            </w:r>
          </w:p>
        </w:tc>
        <w:tc>
          <w:tcPr>
            <w:tcW w:w="1235" w:type="dxa"/>
          </w:tcPr>
          <w:p w14:paraId="7BACB51B" w14:textId="77777777" w:rsidR="00250289" w:rsidRPr="00A52AB8" w:rsidRDefault="00250289" w:rsidP="009C6742">
            <w:pPr>
              <w:spacing w:before="20" w:after="40" w:line="240" w:lineRule="auto"/>
              <w:jc w:val="center"/>
              <w:rPr>
                <w:rFonts w:eastAsia="Batang"/>
                <w:bCs/>
                <w:sz w:val="20"/>
              </w:rPr>
            </w:pPr>
            <w:r w:rsidRPr="00A52AB8">
              <w:rPr>
                <w:rFonts w:eastAsia="Batang"/>
                <w:bCs/>
                <w:sz w:val="20"/>
              </w:rPr>
              <w:t>u(4)</w:t>
            </w:r>
          </w:p>
        </w:tc>
      </w:tr>
      <w:tr w:rsidR="00250289" w:rsidRPr="00A52AB8" w14:paraId="489772EE" w14:textId="77777777" w:rsidTr="00A252B5">
        <w:trPr>
          <w:trHeight w:val="204"/>
          <w:jc w:val="center"/>
        </w:trPr>
        <w:tc>
          <w:tcPr>
            <w:tcW w:w="7921" w:type="dxa"/>
          </w:tcPr>
          <w:p w14:paraId="1D2DF5D7" w14:textId="77777777" w:rsidR="00250289" w:rsidRPr="00A52AB8" w:rsidRDefault="00250289" w:rsidP="009C6742">
            <w:pPr>
              <w:spacing w:before="20" w:after="40" w:line="240" w:lineRule="auto"/>
              <w:rPr>
                <w:sz w:val="20"/>
              </w:rPr>
            </w:pPr>
            <w:r w:rsidRPr="00A52AB8">
              <w:rPr>
                <w:sz w:val="20"/>
              </w:rPr>
              <w:tab/>
            </w:r>
            <w:r w:rsidRPr="00A52AB8">
              <w:rPr>
                <w:sz w:val="20"/>
              </w:rPr>
              <w:tab/>
            </w:r>
            <w:r w:rsidRPr="00A52AB8">
              <w:rPr>
                <w:sz w:val="20"/>
              </w:rPr>
              <w:tab/>
              <w:t>}</w:t>
            </w:r>
          </w:p>
        </w:tc>
        <w:tc>
          <w:tcPr>
            <w:tcW w:w="1235" w:type="dxa"/>
          </w:tcPr>
          <w:p w14:paraId="073CF534" w14:textId="77777777" w:rsidR="00250289" w:rsidRPr="00A52AB8" w:rsidRDefault="00250289" w:rsidP="009C6742">
            <w:pPr>
              <w:spacing w:before="20" w:after="40" w:line="240" w:lineRule="auto"/>
              <w:jc w:val="center"/>
              <w:rPr>
                <w:rFonts w:eastAsia="Batang"/>
                <w:bCs/>
                <w:sz w:val="20"/>
              </w:rPr>
            </w:pPr>
          </w:p>
        </w:tc>
      </w:tr>
      <w:tr w:rsidR="00250289" w:rsidRPr="00A52AB8" w14:paraId="5BA226DA" w14:textId="77777777" w:rsidTr="00A252B5">
        <w:trPr>
          <w:trHeight w:val="204"/>
          <w:jc w:val="center"/>
        </w:trPr>
        <w:tc>
          <w:tcPr>
            <w:tcW w:w="7921" w:type="dxa"/>
          </w:tcPr>
          <w:p w14:paraId="7520E049" w14:textId="77777777" w:rsidR="00250289" w:rsidRPr="00A52AB8" w:rsidRDefault="00250289" w:rsidP="009C6742">
            <w:pPr>
              <w:spacing w:before="20" w:after="40" w:line="240" w:lineRule="auto"/>
              <w:rPr>
                <w:sz w:val="20"/>
              </w:rPr>
            </w:pPr>
            <w:r w:rsidRPr="00A52AB8">
              <w:rPr>
                <w:sz w:val="20"/>
              </w:rPr>
              <w:tab/>
            </w:r>
            <w:r w:rsidRPr="00A52AB8">
              <w:rPr>
                <w:sz w:val="20"/>
              </w:rPr>
              <w:tab/>
              <w:t>}</w:t>
            </w:r>
          </w:p>
        </w:tc>
        <w:tc>
          <w:tcPr>
            <w:tcW w:w="1235" w:type="dxa"/>
          </w:tcPr>
          <w:p w14:paraId="094949D5" w14:textId="77777777" w:rsidR="00250289" w:rsidRPr="00A52AB8" w:rsidRDefault="00250289" w:rsidP="009C6742">
            <w:pPr>
              <w:spacing w:before="20" w:after="40" w:line="240" w:lineRule="auto"/>
              <w:jc w:val="center"/>
              <w:rPr>
                <w:rFonts w:eastAsia="Batang"/>
                <w:bCs/>
                <w:sz w:val="20"/>
              </w:rPr>
            </w:pPr>
          </w:p>
        </w:tc>
      </w:tr>
      <w:tr w:rsidR="00250289" w:rsidRPr="00A52AB8" w14:paraId="21C88F11" w14:textId="77777777" w:rsidTr="00A252B5">
        <w:trPr>
          <w:trHeight w:val="204"/>
          <w:jc w:val="center"/>
        </w:trPr>
        <w:tc>
          <w:tcPr>
            <w:tcW w:w="7921" w:type="dxa"/>
          </w:tcPr>
          <w:p w14:paraId="76B9550E" w14:textId="77777777" w:rsidR="00250289" w:rsidRPr="00A52AB8" w:rsidRDefault="00250289" w:rsidP="009C6742">
            <w:pPr>
              <w:spacing w:before="20" w:after="40" w:line="240" w:lineRule="auto"/>
              <w:rPr>
                <w:sz w:val="20"/>
              </w:rPr>
            </w:pPr>
            <w:r w:rsidRPr="00A52AB8">
              <w:rPr>
                <w:sz w:val="20"/>
              </w:rPr>
              <w:tab/>
              <w:t>}</w:t>
            </w:r>
          </w:p>
        </w:tc>
        <w:tc>
          <w:tcPr>
            <w:tcW w:w="1235" w:type="dxa"/>
          </w:tcPr>
          <w:p w14:paraId="3F00EE73" w14:textId="77777777" w:rsidR="00250289" w:rsidRPr="00A52AB8" w:rsidRDefault="00250289" w:rsidP="009C6742">
            <w:pPr>
              <w:spacing w:before="20" w:after="40" w:line="240" w:lineRule="auto"/>
              <w:jc w:val="center"/>
              <w:rPr>
                <w:rFonts w:eastAsia="Batang"/>
                <w:bCs/>
                <w:sz w:val="20"/>
              </w:rPr>
            </w:pPr>
          </w:p>
        </w:tc>
      </w:tr>
      <w:tr w:rsidR="00250289" w:rsidRPr="00A52AB8" w14:paraId="3F1BCF04" w14:textId="77777777" w:rsidTr="00A252B5">
        <w:trPr>
          <w:trHeight w:val="204"/>
          <w:jc w:val="center"/>
        </w:trPr>
        <w:tc>
          <w:tcPr>
            <w:tcW w:w="7921" w:type="dxa"/>
          </w:tcPr>
          <w:p w14:paraId="26253820" w14:textId="77777777" w:rsidR="00250289" w:rsidRPr="00A52AB8" w:rsidRDefault="00250289" w:rsidP="009C6742">
            <w:pPr>
              <w:spacing w:before="20" w:after="40" w:line="240" w:lineRule="auto"/>
              <w:rPr>
                <w:sz w:val="20"/>
              </w:rPr>
            </w:pPr>
            <w:r w:rsidRPr="00A52AB8">
              <w:rPr>
                <w:sz w:val="20"/>
              </w:rPr>
              <w:t>}</w:t>
            </w:r>
          </w:p>
        </w:tc>
        <w:tc>
          <w:tcPr>
            <w:tcW w:w="1235" w:type="dxa"/>
          </w:tcPr>
          <w:p w14:paraId="7CE6D8E5" w14:textId="77777777" w:rsidR="00250289" w:rsidRPr="00A52AB8" w:rsidRDefault="00250289" w:rsidP="009C6742">
            <w:pPr>
              <w:spacing w:before="20" w:after="40" w:line="240" w:lineRule="auto"/>
              <w:jc w:val="center"/>
              <w:rPr>
                <w:rFonts w:eastAsia="Batang"/>
                <w:bCs/>
                <w:sz w:val="20"/>
              </w:rPr>
            </w:pPr>
          </w:p>
        </w:tc>
      </w:tr>
    </w:tbl>
    <w:p w14:paraId="28E18FD1" w14:textId="16411704" w:rsidR="00561C71" w:rsidRPr="00A52AB8" w:rsidRDefault="00B60B4C" w:rsidP="009C6742">
      <w:pPr>
        <w:pStyle w:val="a3"/>
        <w:numPr>
          <w:ilvl w:val="2"/>
          <w:numId w:val="19"/>
        </w:numPr>
        <w:tabs>
          <w:tab w:val="clear" w:pos="403"/>
        </w:tabs>
        <w:spacing w:line="240" w:lineRule="auto"/>
      </w:pPr>
      <w:bookmarkStart w:id="5359" w:name="_Ref21444040"/>
      <w:bookmarkStart w:id="5360" w:name="_Toc52181719"/>
      <w:r w:rsidRPr="00A52AB8">
        <w:t>Component codec mapping</w:t>
      </w:r>
      <w:r w:rsidR="00561C71" w:rsidRPr="00A52AB8">
        <w:t xml:space="preserve"> SEI message syntax</w:t>
      </w:r>
      <w:bookmarkEnd w:id="5359"/>
      <w:bookmarkEnd w:id="5360"/>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428"/>
        <w:gridCol w:w="1314"/>
      </w:tblGrid>
      <w:tr w:rsidR="00561C71" w:rsidRPr="00A52AB8" w14:paraId="22E31650" w14:textId="77777777" w:rsidTr="00A252B5">
        <w:trPr>
          <w:trHeight w:val="204"/>
          <w:jc w:val="center"/>
        </w:trPr>
        <w:tc>
          <w:tcPr>
            <w:tcW w:w="7921" w:type="dxa"/>
          </w:tcPr>
          <w:p w14:paraId="705703B7" w14:textId="583ECA16" w:rsidR="00561C71" w:rsidRPr="00A52AB8" w:rsidRDefault="00561C71" w:rsidP="009C6742">
            <w:pPr>
              <w:spacing w:before="20" w:after="40" w:line="240" w:lineRule="auto"/>
              <w:rPr>
                <w:sz w:val="20"/>
              </w:rPr>
            </w:pPr>
            <w:r w:rsidRPr="00A52AB8">
              <w:rPr>
                <w:sz w:val="20"/>
              </w:rPr>
              <w:t>component_codec_mapping(</w:t>
            </w:r>
            <w:r w:rsidRPr="00A52AB8">
              <w:rPr>
                <w:rFonts w:eastAsia="Malgun Gothic"/>
                <w:sz w:val="20"/>
              </w:rPr>
              <w:t> payloadSize </w:t>
            </w:r>
            <w:r w:rsidR="008F1F82" w:rsidRPr="00A52AB8">
              <w:rPr>
                <w:sz w:val="20"/>
              </w:rPr>
              <w:t>) {</w:t>
            </w:r>
          </w:p>
        </w:tc>
        <w:tc>
          <w:tcPr>
            <w:tcW w:w="1235" w:type="dxa"/>
          </w:tcPr>
          <w:p w14:paraId="55366590" w14:textId="77777777" w:rsidR="00561C71" w:rsidRPr="00A52AB8" w:rsidRDefault="00561C71" w:rsidP="009C6742">
            <w:pPr>
              <w:spacing w:before="20" w:after="40" w:line="240" w:lineRule="auto"/>
              <w:jc w:val="center"/>
              <w:rPr>
                <w:b/>
                <w:bCs/>
                <w:sz w:val="20"/>
              </w:rPr>
            </w:pPr>
            <w:r w:rsidRPr="00A52AB8">
              <w:rPr>
                <w:b/>
                <w:bCs/>
                <w:sz w:val="20"/>
              </w:rPr>
              <w:t>Descriptor</w:t>
            </w:r>
          </w:p>
        </w:tc>
      </w:tr>
      <w:tr w:rsidR="00C93AC2" w:rsidRPr="00A52AB8" w14:paraId="70EB5782" w14:textId="77777777" w:rsidTr="00A252B5">
        <w:trPr>
          <w:trHeight w:val="204"/>
          <w:jc w:val="center"/>
        </w:trPr>
        <w:tc>
          <w:tcPr>
            <w:tcW w:w="7921" w:type="dxa"/>
          </w:tcPr>
          <w:p w14:paraId="7CDBBC19" w14:textId="77777777" w:rsidR="00C93AC2" w:rsidRPr="00A52AB8" w:rsidRDefault="00C93AC2" w:rsidP="009C6742">
            <w:pPr>
              <w:spacing w:before="20" w:after="40" w:line="240" w:lineRule="auto"/>
              <w:rPr>
                <w:bCs/>
                <w:sz w:val="20"/>
              </w:rPr>
            </w:pPr>
            <w:r w:rsidRPr="00A52AB8">
              <w:rPr>
                <w:bCs/>
                <w:sz w:val="20"/>
              </w:rPr>
              <w:tab/>
            </w:r>
            <w:r w:rsidRPr="00A52AB8">
              <w:rPr>
                <w:b/>
                <w:sz w:val="20"/>
              </w:rPr>
              <w:t>ccm_component_codec_cancel_flag</w:t>
            </w:r>
          </w:p>
        </w:tc>
        <w:tc>
          <w:tcPr>
            <w:tcW w:w="1235" w:type="dxa"/>
          </w:tcPr>
          <w:p w14:paraId="14CBFE66" w14:textId="77777777" w:rsidR="00C93AC2" w:rsidRPr="00A52AB8" w:rsidRDefault="00C93AC2" w:rsidP="009C6742">
            <w:pPr>
              <w:spacing w:before="20" w:after="40" w:line="240" w:lineRule="auto"/>
              <w:jc w:val="center"/>
              <w:rPr>
                <w:sz w:val="20"/>
              </w:rPr>
            </w:pPr>
            <w:r w:rsidRPr="00A52AB8">
              <w:rPr>
                <w:sz w:val="20"/>
              </w:rPr>
              <w:t>u(1)</w:t>
            </w:r>
          </w:p>
        </w:tc>
      </w:tr>
      <w:tr w:rsidR="00C93AC2" w:rsidRPr="00A52AB8" w14:paraId="285540C6" w14:textId="77777777" w:rsidTr="00A252B5">
        <w:trPr>
          <w:trHeight w:val="204"/>
          <w:jc w:val="center"/>
        </w:trPr>
        <w:tc>
          <w:tcPr>
            <w:tcW w:w="7921" w:type="dxa"/>
          </w:tcPr>
          <w:p w14:paraId="0F8908DF" w14:textId="0F368227" w:rsidR="00C93AC2" w:rsidRPr="00A52AB8" w:rsidRDefault="00C93AC2" w:rsidP="009C6742">
            <w:pPr>
              <w:spacing w:before="20" w:after="40" w:line="240" w:lineRule="auto"/>
              <w:rPr>
                <w:bCs/>
                <w:sz w:val="20"/>
              </w:rPr>
            </w:pPr>
            <w:r w:rsidRPr="00A52AB8">
              <w:rPr>
                <w:bCs/>
                <w:sz w:val="20"/>
              </w:rPr>
              <w:tab/>
              <w:t>if(</w:t>
            </w:r>
            <w:r w:rsidR="00191C1D" w:rsidRPr="00A52AB8">
              <w:rPr>
                <w:sz w:val="20"/>
              </w:rPr>
              <w:t> </w:t>
            </w:r>
            <w:r w:rsidRPr="00A52AB8">
              <w:rPr>
                <w:bCs/>
                <w:sz w:val="20"/>
              </w:rPr>
              <w:t>!ccm_component_codec_cancel_flag</w:t>
            </w:r>
            <w:r w:rsidR="00191C1D" w:rsidRPr="00A52AB8">
              <w:rPr>
                <w:sz w:val="20"/>
              </w:rPr>
              <w:t> </w:t>
            </w:r>
            <w:r w:rsidR="00900B12" w:rsidRPr="00A52AB8">
              <w:rPr>
                <w:bCs/>
                <w:sz w:val="20"/>
              </w:rPr>
              <w:t>) {</w:t>
            </w:r>
          </w:p>
        </w:tc>
        <w:tc>
          <w:tcPr>
            <w:tcW w:w="1235" w:type="dxa"/>
          </w:tcPr>
          <w:p w14:paraId="17260332" w14:textId="77777777" w:rsidR="00C93AC2" w:rsidRPr="00A52AB8" w:rsidRDefault="00C93AC2" w:rsidP="009C6742">
            <w:pPr>
              <w:spacing w:before="20" w:after="40" w:line="240" w:lineRule="auto"/>
              <w:jc w:val="center"/>
              <w:rPr>
                <w:sz w:val="20"/>
              </w:rPr>
            </w:pPr>
          </w:p>
        </w:tc>
      </w:tr>
      <w:tr w:rsidR="00C93AC2" w:rsidRPr="00A52AB8" w14:paraId="7576E183" w14:textId="77777777" w:rsidTr="00A252B5">
        <w:trPr>
          <w:trHeight w:val="204"/>
          <w:jc w:val="center"/>
        </w:trPr>
        <w:tc>
          <w:tcPr>
            <w:tcW w:w="7921" w:type="dxa"/>
          </w:tcPr>
          <w:p w14:paraId="69A2BAD4" w14:textId="77777777" w:rsidR="00C93AC2" w:rsidRPr="00A52AB8" w:rsidRDefault="00C93AC2" w:rsidP="009C6742">
            <w:pPr>
              <w:spacing w:before="20" w:after="40" w:line="240" w:lineRule="auto"/>
              <w:rPr>
                <w:b/>
                <w:sz w:val="20"/>
              </w:rPr>
            </w:pPr>
            <w:r w:rsidRPr="00A52AB8">
              <w:rPr>
                <w:bCs/>
                <w:sz w:val="20"/>
              </w:rPr>
              <w:tab/>
            </w:r>
            <w:r w:rsidRPr="00A52AB8">
              <w:rPr>
                <w:bCs/>
                <w:sz w:val="20"/>
              </w:rPr>
              <w:tab/>
            </w:r>
            <w:r w:rsidRPr="00A52AB8">
              <w:rPr>
                <w:b/>
                <w:sz w:val="20"/>
              </w:rPr>
              <w:t>ccm_codec_mappings_count_minus1</w:t>
            </w:r>
          </w:p>
        </w:tc>
        <w:tc>
          <w:tcPr>
            <w:tcW w:w="1235" w:type="dxa"/>
          </w:tcPr>
          <w:p w14:paraId="22E63B1F" w14:textId="77777777" w:rsidR="00C93AC2" w:rsidRPr="00A52AB8" w:rsidRDefault="00C93AC2" w:rsidP="009C6742">
            <w:pPr>
              <w:spacing w:before="20" w:after="40" w:line="240" w:lineRule="auto"/>
              <w:jc w:val="center"/>
              <w:rPr>
                <w:sz w:val="20"/>
              </w:rPr>
            </w:pPr>
            <w:r w:rsidRPr="00A52AB8">
              <w:rPr>
                <w:sz w:val="20"/>
              </w:rPr>
              <w:t>u(8)</w:t>
            </w:r>
          </w:p>
        </w:tc>
      </w:tr>
      <w:tr w:rsidR="00C93AC2" w:rsidRPr="00A52AB8" w14:paraId="58E34FDC" w14:textId="77777777" w:rsidTr="00A252B5">
        <w:trPr>
          <w:trHeight w:val="204"/>
          <w:jc w:val="center"/>
        </w:trPr>
        <w:tc>
          <w:tcPr>
            <w:tcW w:w="7921" w:type="dxa"/>
          </w:tcPr>
          <w:p w14:paraId="6CB642D7" w14:textId="4E2C4AFF" w:rsidR="00C93AC2" w:rsidRPr="00A52AB8" w:rsidRDefault="00C93AC2" w:rsidP="009C6742">
            <w:pPr>
              <w:spacing w:before="20" w:after="40" w:line="240" w:lineRule="auto"/>
              <w:rPr>
                <w:bCs/>
                <w:sz w:val="20"/>
              </w:rPr>
            </w:pPr>
            <w:r w:rsidRPr="00A52AB8">
              <w:rPr>
                <w:bCs/>
                <w:sz w:val="20"/>
              </w:rPr>
              <w:tab/>
            </w:r>
            <w:r w:rsidRPr="00A52AB8">
              <w:rPr>
                <w:bCs/>
                <w:sz w:val="20"/>
              </w:rPr>
              <w:tab/>
              <w:t>for(</w:t>
            </w:r>
            <w:r w:rsidR="0091233C" w:rsidRPr="00A52AB8">
              <w:rPr>
                <w:sz w:val="20"/>
              </w:rPr>
              <w:t> </w:t>
            </w:r>
            <w:r w:rsidRPr="00A52AB8">
              <w:rPr>
                <w:bCs/>
                <w:sz w:val="20"/>
              </w:rPr>
              <w:t>i</w:t>
            </w:r>
            <w:r w:rsidR="00D47707" w:rsidRPr="00A52AB8">
              <w:rPr>
                <w:sz w:val="20"/>
              </w:rPr>
              <w:t> </w:t>
            </w:r>
            <w:r w:rsidR="00D47707" w:rsidRPr="00A52AB8">
              <w:rPr>
                <w:bCs/>
                <w:sz w:val="20"/>
              </w:rPr>
              <w:t>= </w:t>
            </w:r>
            <w:r w:rsidRPr="00A52AB8">
              <w:rPr>
                <w:bCs/>
                <w:sz w:val="20"/>
              </w:rPr>
              <w:t>0;</w:t>
            </w:r>
            <w:r w:rsidR="00C61E38" w:rsidRPr="00A52AB8">
              <w:rPr>
                <w:sz w:val="20"/>
              </w:rPr>
              <w:t> </w:t>
            </w:r>
            <w:r w:rsidRPr="00A52AB8">
              <w:rPr>
                <w:bCs/>
                <w:sz w:val="20"/>
              </w:rPr>
              <w:t>i</w:t>
            </w:r>
            <w:r w:rsidR="006C0A35" w:rsidRPr="00A52AB8">
              <w:rPr>
                <w:sz w:val="20"/>
              </w:rPr>
              <w:t> </w:t>
            </w:r>
            <w:r w:rsidR="00A234FD" w:rsidRPr="00A52AB8">
              <w:rPr>
                <w:bCs/>
                <w:sz w:val="20"/>
              </w:rPr>
              <w:t>&lt;=</w:t>
            </w:r>
            <w:r w:rsidR="00D47707" w:rsidRPr="00A52AB8">
              <w:rPr>
                <w:bCs/>
                <w:sz w:val="20"/>
              </w:rPr>
              <w:t> </w:t>
            </w:r>
            <w:r w:rsidRPr="00A52AB8">
              <w:rPr>
                <w:bCs/>
                <w:sz w:val="20"/>
              </w:rPr>
              <w:t>ccm_codec_mappings_count_minus1;</w:t>
            </w:r>
            <w:r w:rsidR="005A36C0" w:rsidRPr="00A52AB8">
              <w:rPr>
                <w:sz w:val="20"/>
              </w:rPr>
              <w:t> </w:t>
            </w:r>
            <w:r w:rsidRPr="00A52AB8">
              <w:rPr>
                <w:bCs/>
                <w:sz w:val="20"/>
              </w:rPr>
              <w:t>i</w:t>
            </w:r>
            <w:r w:rsidR="00006CCF" w:rsidRPr="00A52AB8">
              <w:rPr>
                <w:bCs/>
                <w:sz w:val="20"/>
              </w:rPr>
              <w:t>++ </w:t>
            </w:r>
            <w:r w:rsidR="00900B12" w:rsidRPr="00A52AB8">
              <w:rPr>
                <w:bCs/>
                <w:sz w:val="20"/>
              </w:rPr>
              <w:t>) {</w:t>
            </w:r>
          </w:p>
        </w:tc>
        <w:tc>
          <w:tcPr>
            <w:tcW w:w="1235" w:type="dxa"/>
          </w:tcPr>
          <w:p w14:paraId="272F33CF" w14:textId="77777777" w:rsidR="00C93AC2" w:rsidRPr="00A52AB8" w:rsidRDefault="00C93AC2" w:rsidP="009C6742">
            <w:pPr>
              <w:spacing w:before="20" w:after="40" w:line="240" w:lineRule="auto"/>
              <w:jc w:val="center"/>
              <w:rPr>
                <w:sz w:val="20"/>
              </w:rPr>
            </w:pPr>
          </w:p>
        </w:tc>
      </w:tr>
      <w:tr w:rsidR="00C93AC2" w:rsidRPr="00A52AB8" w14:paraId="7C574DC6" w14:textId="77777777" w:rsidTr="00A252B5">
        <w:trPr>
          <w:trHeight w:val="204"/>
          <w:jc w:val="center"/>
        </w:trPr>
        <w:tc>
          <w:tcPr>
            <w:tcW w:w="7921" w:type="dxa"/>
          </w:tcPr>
          <w:p w14:paraId="237B8596" w14:textId="77777777" w:rsidR="00C93AC2" w:rsidRPr="00A52AB8" w:rsidRDefault="00C93AC2" w:rsidP="009C6742">
            <w:pPr>
              <w:spacing w:before="20" w:after="40" w:line="240" w:lineRule="auto"/>
              <w:rPr>
                <w:bCs/>
                <w:sz w:val="20"/>
              </w:rPr>
            </w:pPr>
            <w:r w:rsidRPr="00A52AB8">
              <w:rPr>
                <w:bCs/>
                <w:sz w:val="20"/>
              </w:rPr>
              <w:tab/>
            </w:r>
            <w:r w:rsidRPr="00A52AB8">
              <w:rPr>
                <w:bCs/>
                <w:sz w:val="20"/>
              </w:rPr>
              <w:tab/>
            </w:r>
            <w:r w:rsidRPr="00A52AB8">
              <w:rPr>
                <w:bCs/>
                <w:sz w:val="20"/>
              </w:rPr>
              <w:tab/>
            </w:r>
            <w:r w:rsidRPr="00A52AB8">
              <w:rPr>
                <w:b/>
                <w:sz w:val="20"/>
              </w:rPr>
              <w:t>ccm_codec_id</w:t>
            </w:r>
          </w:p>
        </w:tc>
        <w:tc>
          <w:tcPr>
            <w:tcW w:w="1235" w:type="dxa"/>
          </w:tcPr>
          <w:p w14:paraId="54C09D17" w14:textId="77777777" w:rsidR="00C93AC2" w:rsidRPr="00A52AB8" w:rsidRDefault="00C93AC2" w:rsidP="009C6742">
            <w:pPr>
              <w:spacing w:before="20" w:after="40" w:line="240" w:lineRule="auto"/>
              <w:jc w:val="center"/>
              <w:rPr>
                <w:sz w:val="20"/>
              </w:rPr>
            </w:pPr>
            <w:r w:rsidRPr="00A52AB8">
              <w:rPr>
                <w:sz w:val="20"/>
              </w:rPr>
              <w:t>u(8)</w:t>
            </w:r>
          </w:p>
        </w:tc>
      </w:tr>
      <w:tr w:rsidR="00C93AC2" w:rsidRPr="00A52AB8" w14:paraId="4826D160" w14:textId="77777777" w:rsidTr="00A252B5">
        <w:trPr>
          <w:trHeight w:val="204"/>
          <w:jc w:val="center"/>
        </w:trPr>
        <w:tc>
          <w:tcPr>
            <w:tcW w:w="7921" w:type="dxa"/>
          </w:tcPr>
          <w:p w14:paraId="3C4F9DA4" w14:textId="77777777" w:rsidR="00C93AC2" w:rsidRPr="00A52AB8" w:rsidRDefault="00C93AC2" w:rsidP="009C6742">
            <w:pPr>
              <w:spacing w:before="20" w:after="40" w:line="240" w:lineRule="auto"/>
              <w:rPr>
                <w:bCs/>
                <w:sz w:val="20"/>
              </w:rPr>
            </w:pPr>
            <w:r w:rsidRPr="00A52AB8">
              <w:rPr>
                <w:bCs/>
                <w:sz w:val="20"/>
              </w:rPr>
              <w:tab/>
            </w:r>
            <w:r w:rsidRPr="00A52AB8">
              <w:rPr>
                <w:bCs/>
                <w:sz w:val="20"/>
              </w:rPr>
              <w:tab/>
            </w:r>
            <w:r w:rsidRPr="00A52AB8">
              <w:rPr>
                <w:bCs/>
                <w:sz w:val="20"/>
              </w:rPr>
              <w:tab/>
            </w:r>
            <w:r w:rsidRPr="00A52AB8">
              <w:rPr>
                <w:b/>
                <w:sz w:val="20"/>
              </w:rPr>
              <w:t>ccm_codec_4cc</w:t>
            </w:r>
            <w:r w:rsidRPr="00A52AB8">
              <w:rPr>
                <w:bCs/>
                <w:sz w:val="20"/>
              </w:rPr>
              <w:t>[ </w:t>
            </w:r>
            <w:r w:rsidRPr="00A52AB8">
              <w:rPr>
                <w:sz w:val="20"/>
              </w:rPr>
              <w:t>ccm_codec_id</w:t>
            </w:r>
            <w:r w:rsidRPr="00A52AB8">
              <w:rPr>
                <w:bCs/>
                <w:sz w:val="20"/>
              </w:rPr>
              <w:t> ]</w:t>
            </w:r>
          </w:p>
        </w:tc>
        <w:tc>
          <w:tcPr>
            <w:tcW w:w="1235" w:type="dxa"/>
          </w:tcPr>
          <w:p w14:paraId="555F6808" w14:textId="77777777" w:rsidR="00C93AC2" w:rsidRPr="00A52AB8" w:rsidRDefault="00C93AC2" w:rsidP="009C6742">
            <w:pPr>
              <w:spacing w:before="20" w:after="40" w:line="240" w:lineRule="auto"/>
              <w:jc w:val="center"/>
              <w:rPr>
                <w:sz w:val="20"/>
              </w:rPr>
            </w:pPr>
            <w:r w:rsidRPr="00A52AB8">
              <w:rPr>
                <w:sz w:val="20"/>
              </w:rPr>
              <w:t>st(v)</w:t>
            </w:r>
          </w:p>
        </w:tc>
      </w:tr>
      <w:tr w:rsidR="00C93AC2" w:rsidRPr="00A52AB8" w14:paraId="4E278235" w14:textId="77777777" w:rsidTr="00A252B5">
        <w:trPr>
          <w:trHeight w:val="204"/>
          <w:jc w:val="center"/>
        </w:trPr>
        <w:tc>
          <w:tcPr>
            <w:tcW w:w="7921" w:type="dxa"/>
          </w:tcPr>
          <w:p w14:paraId="143B1AE2" w14:textId="77777777" w:rsidR="00C93AC2" w:rsidRPr="00A52AB8" w:rsidRDefault="00C93AC2" w:rsidP="009C6742">
            <w:pPr>
              <w:spacing w:before="20" w:after="40" w:line="240" w:lineRule="auto"/>
              <w:rPr>
                <w:bCs/>
                <w:sz w:val="20"/>
              </w:rPr>
            </w:pPr>
            <w:r w:rsidRPr="00A52AB8">
              <w:rPr>
                <w:bCs/>
                <w:sz w:val="20"/>
              </w:rPr>
              <w:tab/>
            </w:r>
            <w:r w:rsidRPr="00A52AB8">
              <w:rPr>
                <w:bCs/>
                <w:sz w:val="20"/>
              </w:rPr>
              <w:tab/>
              <w:t>}</w:t>
            </w:r>
          </w:p>
        </w:tc>
        <w:tc>
          <w:tcPr>
            <w:tcW w:w="1235" w:type="dxa"/>
          </w:tcPr>
          <w:p w14:paraId="3A82FCC2" w14:textId="77777777" w:rsidR="00C93AC2" w:rsidRPr="00A52AB8" w:rsidRDefault="00C93AC2" w:rsidP="009C6742">
            <w:pPr>
              <w:spacing w:before="20" w:after="40" w:line="240" w:lineRule="auto"/>
              <w:jc w:val="center"/>
              <w:rPr>
                <w:sz w:val="20"/>
              </w:rPr>
            </w:pPr>
          </w:p>
        </w:tc>
      </w:tr>
      <w:tr w:rsidR="00C93AC2" w:rsidRPr="00A52AB8" w14:paraId="5D0E37F2" w14:textId="77777777" w:rsidTr="00A252B5">
        <w:trPr>
          <w:trHeight w:val="204"/>
          <w:jc w:val="center"/>
        </w:trPr>
        <w:tc>
          <w:tcPr>
            <w:tcW w:w="7921" w:type="dxa"/>
          </w:tcPr>
          <w:p w14:paraId="5CBAFC06" w14:textId="77777777" w:rsidR="00C93AC2" w:rsidRPr="00A52AB8" w:rsidRDefault="00C93AC2" w:rsidP="009C6742">
            <w:pPr>
              <w:spacing w:before="20" w:after="40" w:line="240" w:lineRule="auto"/>
              <w:rPr>
                <w:sz w:val="20"/>
              </w:rPr>
            </w:pPr>
            <w:r w:rsidRPr="00A52AB8">
              <w:rPr>
                <w:sz w:val="20"/>
              </w:rPr>
              <w:tab/>
              <w:t>}</w:t>
            </w:r>
          </w:p>
        </w:tc>
        <w:tc>
          <w:tcPr>
            <w:tcW w:w="1235" w:type="dxa"/>
          </w:tcPr>
          <w:p w14:paraId="0C636B0B" w14:textId="77777777" w:rsidR="00C93AC2" w:rsidRPr="00A52AB8" w:rsidRDefault="00C93AC2" w:rsidP="009C6742">
            <w:pPr>
              <w:spacing w:before="20" w:after="40" w:line="240" w:lineRule="auto"/>
              <w:jc w:val="center"/>
              <w:rPr>
                <w:rFonts w:eastAsia="Batang"/>
                <w:bCs/>
                <w:sz w:val="20"/>
              </w:rPr>
            </w:pPr>
            <w:r w:rsidRPr="00A52AB8">
              <w:rPr>
                <w:rFonts w:eastAsia="Batang"/>
                <w:bCs/>
                <w:sz w:val="20"/>
              </w:rPr>
              <w:tab/>
            </w:r>
          </w:p>
        </w:tc>
      </w:tr>
      <w:tr w:rsidR="00C93AC2" w:rsidRPr="00A52AB8" w14:paraId="6437AC8B" w14:textId="77777777" w:rsidTr="00A252B5">
        <w:trPr>
          <w:trHeight w:val="204"/>
          <w:jc w:val="center"/>
        </w:trPr>
        <w:tc>
          <w:tcPr>
            <w:tcW w:w="7921" w:type="dxa"/>
          </w:tcPr>
          <w:p w14:paraId="05852C8A" w14:textId="77777777" w:rsidR="00C93AC2" w:rsidRPr="00A52AB8" w:rsidRDefault="00C93AC2" w:rsidP="009C6742">
            <w:pPr>
              <w:spacing w:before="20" w:after="40" w:line="240" w:lineRule="auto"/>
              <w:rPr>
                <w:sz w:val="20"/>
              </w:rPr>
            </w:pPr>
            <w:r w:rsidRPr="00A52AB8">
              <w:rPr>
                <w:sz w:val="20"/>
              </w:rPr>
              <w:t>}</w:t>
            </w:r>
          </w:p>
        </w:tc>
        <w:tc>
          <w:tcPr>
            <w:tcW w:w="1235" w:type="dxa"/>
          </w:tcPr>
          <w:p w14:paraId="610A53A4" w14:textId="77777777" w:rsidR="00C93AC2" w:rsidRPr="00A52AB8" w:rsidRDefault="00C93AC2" w:rsidP="009C6742">
            <w:pPr>
              <w:spacing w:before="20" w:after="40" w:line="240" w:lineRule="auto"/>
              <w:jc w:val="center"/>
              <w:rPr>
                <w:rFonts w:eastAsia="Batang"/>
                <w:bCs/>
                <w:sz w:val="20"/>
              </w:rPr>
            </w:pPr>
          </w:p>
        </w:tc>
      </w:tr>
    </w:tbl>
    <w:p w14:paraId="46E334E6" w14:textId="5A1C9F89" w:rsidR="00AC64A0" w:rsidRPr="00A52AB8" w:rsidRDefault="00887F88">
      <w:pPr>
        <w:pStyle w:val="a3"/>
        <w:numPr>
          <w:ilvl w:val="2"/>
          <w:numId w:val="19"/>
        </w:numPr>
        <w:tabs>
          <w:tab w:val="clear" w:pos="403"/>
        </w:tabs>
        <w:spacing w:line="240" w:lineRule="auto"/>
        <w:rPr>
          <w:b w:val="0"/>
        </w:rPr>
      </w:pPr>
      <w:bookmarkStart w:id="5361" w:name="_Ref49347690"/>
      <w:bookmarkStart w:id="5362" w:name="_Toc52181720"/>
      <w:r w:rsidRPr="00A52AB8">
        <w:t xml:space="preserve">Volumetric </w:t>
      </w:r>
      <w:r w:rsidR="00D728FB" w:rsidRPr="00A52AB8">
        <w:t xml:space="preserve">annotation </w:t>
      </w:r>
      <w:r w:rsidR="00AC64A0" w:rsidRPr="00A52AB8">
        <w:t xml:space="preserve">SEI </w:t>
      </w:r>
      <w:r w:rsidRPr="00A52AB8">
        <w:t>message family syntax</w:t>
      </w:r>
      <w:bookmarkEnd w:id="5361"/>
      <w:bookmarkEnd w:id="5362"/>
    </w:p>
    <w:p w14:paraId="157144AF" w14:textId="248BCB71" w:rsidR="00887F88" w:rsidRPr="00A52AB8" w:rsidRDefault="00887F88" w:rsidP="009C6742">
      <w:pPr>
        <w:pStyle w:val="a4"/>
        <w:numPr>
          <w:ilvl w:val="3"/>
          <w:numId w:val="19"/>
        </w:numPr>
        <w:spacing w:line="240" w:lineRule="auto"/>
      </w:pPr>
      <w:r w:rsidRPr="00A52AB8">
        <w:t xml:space="preserve">Scene </w:t>
      </w:r>
      <w:r w:rsidR="00D728FB" w:rsidRPr="00A52AB8">
        <w:t xml:space="preserve">object information </w:t>
      </w:r>
      <w:r w:rsidRPr="00A52AB8">
        <w:t>SEI message syntax</w:t>
      </w:r>
    </w:p>
    <w:tbl>
      <w:tblPr>
        <w:tblW w:w="500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422"/>
        <w:gridCol w:w="1332"/>
      </w:tblGrid>
      <w:tr w:rsidR="00E17286" w:rsidRPr="00A52AB8" w14:paraId="122917F1" w14:textId="77777777" w:rsidTr="00007BE2">
        <w:trPr>
          <w:cantSplit/>
          <w:jc w:val="center"/>
        </w:trPr>
        <w:tc>
          <w:tcPr>
            <w:tcW w:w="8422" w:type="dxa"/>
          </w:tcPr>
          <w:p w14:paraId="35649AFB" w14:textId="1446098F" w:rsidR="00E17286" w:rsidRPr="00A52AB8" w:rsidRDefault="00E17286">
            <w:pPr>
              <w:spacing w:before="20" w:after="40" w:line="240" w:lineRule="auto"/>
              <w:rPr>
                <w:b/>
                <w:bCs/>
                <w:sz w:val="20"/>
              </w:rPr>
            </w:pPr>
            <w:r w:rsidRPr="00A52AB8">
              <w:rPr>
                <w:sz w:val="20"/>
              </w:rPr>
              <w:t>scene_object_information</w:t>
            </w:r>
            <w:r w:rsidRPr="00A52AB8">
              <w:rPr>
                <w:rFonts w:eastAsia="Malgun Gothic"/>
                <w:sz w:val="20"/>
              </w:rPr>
              <w:t>( payloadSize</w:t>
            </w:r>
            <w:r w:rsidRPr="00A52AB8">
              <w:rPr>
                <w:sz w:val="20"/>
              </w:rPr>
              <w:t> </w:t>
            </w:r>
            <w:r w:rsidR="008F1F82" w:rsidRPr="00A52AB8">
              <w:rPr>
                <w:rFonts w:eastAsia="Malgun Gothic"/>
                <w:sz w:val="20"/>
              </w:rPr>
              <w:t>) {</w:t>
            </w:r>
          </w:p>
        </w:tc>
        <w:tc>
          <w:tcPr>
            <w:tcW w:w="1332" w:type="dxa"/>
          </w:tcPr>
          <w:p w14:paraId="6F9A6BDE" w14:textId="77777777" w:rsidR="00E17286" w:rsidRPr="00A52AB8" w:rsidRDefault="00E17286">
            <w:pPr>
              <w:spacing w:before="20" w:after="40" w:line="240" w:lineRule="auto"/>
              <w:jc w:val="center"/>
              <w:rPr>
                <w:rFonts w:eastAsia="Malgun Gothic"/>
                <w:sz w:val="20"/>
              </w:rPr>
            </w:pPr>
          </w:p>
        </w:tc>
      </w:tr>
      <w:tr w:rsidR="00B206B5" w:rsidRPr="00A52AB8" w14:paraId="0D456E9F" w14:textId="77777777" w:rsidTr="00007BE2">
        <w:trPr>
          <w:cantSplit/>
          <w:jc w:val="center"/>
        </w:trPr>
        <w:tc>
          <w:tcPr>
            <w:tcW w:w="8422" w:type="dxa"/>
          </w:tcPr>
          <w:p w14:paraId="4D88286E" w14:textId="77777777" w:rsidR="00B206B5" w:rsidRPr="00A52AB8" w:rsidRDefault="00B206B5">
            <w:pPr>
              <w:spacing w:before="20" w:after="40" w:line="240" w:lineRule="auto"/>
              <w:rPr>
                <w:rFonts w:eastAsia="Malgun Gothic"/>
                <w:b/>
                <w:bCs/>
                <w:sz w:val="20"/>
              </w:rPr>
            </w:pPr>
            <w:r w:rsidRPr="00A52AB8">
              <w:rPr>
                <w:rFonts w:eastAsia="Malgun Gothic"/>
                <w:sz w:val="20"/>
              </w:rPr>
              <w:tab/>
            </w:r>
            <w:r w:rsidRPr="00A52AB8">
              <w:rPr>
                <w:rFonts w:eastAsia="Malgun Gothic"/>
                <w:b/>
                <w:bCs/>
                <w:sz w:val="20"/>
              </w:rPr>
              <w:t>soi_persistence_flag</w:t>
            </w:r>
          </w:p>
        </w:tc>
        <w:tc>
          <w:tcPr>
            <w:tcW w:w="1332" w:type="dxa"/>
          </w:tcPr>
          <w:p w14:paraId="7B83E06B" w14:textId="77777777" w:rsidR="00B206B5" w:rsidRPr="00A52AB8" w:rsidRDefault="00DF63DE">
            <w:pPr>
              <w:spacing w:before="20" w:after="40" w:line="240" w:lineRule="auto"/>
              <w:jc w:val="center"/>
              <w:rPr>
                <w:rFonts w:eastAsia="Malgun Gothic"/>
                <w:sz w:val="20"/>
              </w:rPr>
            </w:pPr>
            <w:r w:rsidRPr="00A52AB8">
              <w:rPr>
                <w:rFonts w:eastAsia="Malgun Gothic"/>
                <w:sz w:val="20"/>
              </w:rPr>
              <w:t>u(1)</w:t>
            </w:r>
          </w:p>
        </w:tc>
      </w:tr>
      <w:tr w:rsidR="00E17286" w:rsidRPr="00A52AB8" w14:paraId="339DB9DE" w14:textId="77777777" w:rsidTr="00007BE2">
        <w:trPr>
          <w:cantSplit/>
          <w:jc w:val="center"/>
        </w:trPr>
        <w:tc>
          <w:tcPr>
            <w:tcW w:w="8422" w:type="dxa"/>
          </w:tcPr>
          <w:p w14:paraId="3BB18614" w14:textId="77777777" w:rsidR="00E17286" w:rsidRPr="00A52AB8" w:rsidRDefault="00E17286">
            <w:pPr>
              <w:spacing w:before="20" w:after="40" w:line="240" w:lineRule="auto"/>
              <w:rPr>
                <w:b/>
                <w:sz w:val="20"/>
              </w:rPr>
            </w:pPr>
            <w:r w:rsidRPr="00A52AB8">
              <w:rPr>
                <w:rFonts w:eastAsia="Malgun Gothic"/>
                <w:sz w:val="20"/>
              </w:rPr>
              <w:tab/>
            </w:r>
            <w:r w:rsidRPr="00A52AB8">
              <w:rPr>
                <w:rFonts w:eastAsia="Malgun Gothic"/>
                <w:b/>
                <w:bCs/>
                <w:sz w:val="20"/>
              </w:rPr>
              <w:t>soi_</w:t>
            </w:r>
            <w:r w:rsidR="00DF63DE" w:rsidRPr="00A52AB8">
              <w:rPr>
                <w:rFonts w:eastAsia="Malgun Gothic"/>
                <w:b/>
                <w:bCs/>
                <w:sz w:val="20"/>
              </w:rPr>
              <w:t>reset</w:t>
            </w:r>
            <w:r w:rsidRPr="00A52AB8">
              <w:rPr>
                <w:rFonts w:eastAsia="Malgun Gothic"/>
                <w:b/>
                <w:bCs/>
                <w:sz w:val="20"/>
              </w:rPr>
              <w:t>_flag</w:t>
            </w:r>
          </w:p>
        </w:tc>
        <w:tc>
          <w:tcPr>
            <w:tcW w:w="1332" w:type="dxa"/>
          </w:tcPr>
          <w:p w14:paraId="24718F93" w14:textId="77777777" w:rsidR="00E17286" w:rsidRPr="00A52AB8" w:rsidRDefault="00E17286">
            <w:pPr>
              <w:spacing w:before="20" w:after="40" w:line="240" w:lineRule="auto"/>
              <w:jc w:val="center"/>
              <w:rPr>
                <w:bCs/>
                <w:sz w:val="20"/>
              </w:rPr>
            </w:pPr>
            <w:r w:rsidRPr="00A52AB8">
              <w:rPr>
                <w:rFonts w:eastAsia="Malgun Gothic"/>
                <w:sz w:val="20"/>
              </w:rPr>
              <w:t>u(1)</w:t>
            </w:r>
          </w:p>
        </w:tc>
      </w:tr>
      <w:tr w:rsidR="00E17286" w:rsidRPr="00A52AB8" w14:paraId="743E896F" w14:textId="77777777" w:rsidTr="00007BE2">
        <w:trPr>
          <w:cantSplit/>
          <w:jc w:val="center"/>
        </w:trPr>
        <w:tc>
          <w:tcPr>
            <w:tcW w:w="8422" w:type="dxa"/>
          </w:tcPr>
          <w:p w14:paraId="44F04DB8" w14:textId="77777777" w:rsidR="00E17286" w:rsidRPr="00A52AB8" w:rsidRDefault="00E17286">
            <w:pPr>
              <w:spacing w:before="20" w:after="40" w:line="240" w:lineRule="auto"/>
              <w:rPr>
                <w:b/>
                <w:bCs/>
                <w:sz w:val="20"/>
              </w:rPr>
            </w:pPr>
            <w:r w:rsidRPr="00A52AB8">
              <w:rPr>
                <w:b/>
                <w:bCs/>
                <w:sz w:val="20"/>
              </w:rPr>
              <w:tab/>
              <w:t>soi_num_object_updates</w:t>
            </w:r>
          </w:p>
        </w:tc>
        <w:tc>
          <w:tcPr>
            <w:tcW w:w="1332" w:type="dxa"/>
          </w:tcPr>
          <w:p w14:paraId="51E25E0A" w14:textId="77777777" w:rsidR="00E17286" w:rsidRPr="00A52AB8" w:rsidRDefault="00E17286">
            <w:pPr>
              <w:spacing w:before="20" w:after="40" w:line="240" w:lineRule="auto"/>
              <w:jc w:val="center"/>
              <w:rPr>
                <w:rFonts w:eastAsia="Malgun Gothic"/>
                <w:sz w:val="20"/>
              </w:rPr>
            </w:pPr>
            <w:r w:rsidRPr="00A52AB8">
              <w:rPr>
                <w:sz w:val="20"/>
              </w:rPr>
              <w:t>ue(v)</w:t>
            </w:r>
          </w:p>
        </w:tc>
      </w:tr>
      <w:tr w:rsidR="00E17286" w:rsidRPr="00A52AB8" w14:paraId="625FCBCD" w14:textId="77777777" w:rsidTr="00007BE2">
        <w:trPr>
          <w:cantSplit/>
          <w:jc w:val="center"/>
        </w:trPr>
        <w:tc>
          <w:tcPr>
            <w:tcW w:w="8422" w:type="dxa"/>
          </w:tcPr>
          <w:p w14:paraId="1E2B656E" w14:textId="5C8166FC" w:rsidR="00E17286" w:rsidRPr="00A52AB8" w:rsidRDefault="00E17286">
            <w:pPr>
              <w:spacing w:before="20" w:after="40" w:line="240" w:lineRule="auto"/>
              <w:rPr>
                <w:sz w:val="20"/>
              </w:rPr>
            </w:pPr>
            <w:r w:rsidRPr="00A52AB8">
              <w:rPr>
                <w:sz w:val="20"/>
              </w:rPr>
              <w:tab/>
            </w:r>
            <w:r w:rsidR="00D63ACE" w:rsidRPr="00A52AB8">
              <w:rPr>
                <w:sz w:val="20"/>
              </w:rPr>
              <w:t>if(</w:t>
            </w:r>
            <w:r w:rsidRPr="00A52AB8">
              <w:rPr>
                <w:sz w:val="20"/>
              </w:rPr>
              <w:t xml:space="preserve"> soi_num_object_updates</w:t>
            </w:r>
            <w:r w:rsidR="00D115AF" w:rsidRPr="00A52AB8">
              <w:rPr>
                <w:sz w:val="20"/>
              </w:rPr>
              <w:t> </w:t>
            </w:r>
            <w:r w:rsidRPr="00A52AB8">
              <w:rPr>
                <w:sz w:val="20"/>
              </w:rPr>
              <w:t>&gt;</w:t>
            </w:r>
            <w:r w:rsidR="00D115AF" w:rsidRPr="00A52AB8">
              <w:rPr>
                <w:sz w:val="20"/>
              </w:rPr>
              <w:t> </w:t>
            </w:r>
            <w:r w:rsidRPr="00A52AB8">
              <w:rPr>
                <w:sz w:val="20"/>
              </w:rPr>
              <w:t>0</w:t>
            </w:r>
            <w:r w:rsidR="00D115AF" w:rsidRPr="00A52AB8">
              <w:rPr>
                <w:sz w:val="20"/>
              </w:rPr>
              <w:t> </w:t>
            </w:r>
            <w:r w:rsidR="008F1F82" w:rsidRPr="00A52AB8">
              <w:rPr>
                <w:sz w:val="20"/>
              </w:rPr>
              <w:t>) {</w:t>
            </w:r>
          </w:p>
        </w:tc>
        <w:tc>
          <w:tcPr>
            <w:tcW w:w="1332" w:type="dxa"/>
          </w:tcPr>
          <w:p w14:paraId="01DEFB6A" w14:textId="77777777" w:rsidR="00E17286" w:rsidRPr="00A52AB8" w:rsidRDefault="00E17286">
            <w:pPr>
              <w:spacing w:before="20" w:after="40" w:line="240" w:lineRule="auto"/>
              <w:jc w:val="center"/>
              <w:rPr>
                <w:rFonts w:eastAsia="Malgun Gothic"/>
                <w:sz w:val="20"/>
              </w:rPr>
            </w:pPr>
          </w:p>
        </w:tc>
      </w:tr>
      <w:tr w:rsidR="00E17286" w:rsidRPr="00A52AB8" w14:paraId="6F37EF45" w14:textId="77777777" w:rsidTr="00007BE2">
        <w:trPr>
          <w:cantSplit/>
          <w:jc w:val="center"/>
        </w:trPr>
        <w:tc>
          <w:tcPr>
            <w:tcW w:w="8422" w:type="dxa"/>
          </w:tcPr>
          <w:p w14:paraId="101A5D75" w14:textId="77777777" w:rsidR="00E17286" w:rsidRPr="00A52AB8" w:rsidRDefault="00E17286">
            <w:pPr>
              <w:spacing w:before="20" w:after="40" w:line="240" w:lineRule="auto"/>
              <w:rPr>
                <w:b/>
                <w:bCs/>
                <w:sz w:val="20"/>
              </w:rPr>
            </w:pPr>
            <w:r w:rsidRPr="00A52AB8">
              <w:rPr>
                <w:b/>
                <w:bCs/>
                <w:sz w:val="20"/>
              </w:rPr>
              <w:tab/>
            </w:r>
            <w:r w:rsidRPr="00A52AB8">
              <w:rPr>
                <w:b/>
                <w:bCs/>
                <w:sz w:val="20"/>
              </w:rPr>
              <w:tab/>
              <w:t>soi_simple_objects_flag</w:t>
            </w:r>
          </w:p>
        </w:tc>
        <w:tc>
          <w:tcPr>
            <w:tcW w:w="1332" w:type="dxa"/>
          </w:tcPr>
          <w:p w14:paraId="5E7FFDC9" w14:textId="77777777" w:rsidR="00E17286" w:rsidRPr="00A52AB8" w:rsidRDefault="00E17286">
            <w:pPr>
              <w:spacing w:before="20" w:after="40" w:line="240" w:lineRule="auto"/>
              <w:jc w:val="center"/>
              <w:rPr>
                <w:rFonts w:eastAsia="Malgun Gothic"/>
                <w:sz w:val="20"/>
              </w:rPr>
            </w:pPr>
            <w:r w:rsidRPr="00A52AB8">
              <w:rPr>
                <w:sz w:val="20"/>
              </w:rPr>
              <w:t>u(1)</w:t>
            </w:r>
          </w:p>
        </w:tc>
      </w:tr>
      <w:tr w:rsidR="00E17286" w:rsidRPr="00A52AB8" w14:paraId="716B790F" w14:textId="77777777" w:rsidTr="00007BE2">
        <w:trPr>
          <w:cantSplit/>
          <w:jc w:val="center"/>
        </w:trPr>
        <w:tc>
          <w:tcPr>
            <w:tcW w:w="8422" w:type="dxa"/>
          </w:tcPr>
          <w:p w14:paraId="4FE30F72" w14:textId="4206E59A" w:rsidR="00E17286" w:rsidRPr="00A52AB8" w:rsidRDefault="00E17286">
            <w:pPr>
              <w:spacing w:before="20" w:after="40" w:line="240" w:lineRule="auto"/>
              <w:rPr>
                <w:sz w:val="20"/>
              </w:rPr>
            </w:pPr>
            <w:r w:rsidRPr="00A52AB8">
              <w:rPr>
                <w:sz w:val="20"/>
              </w:rPr>
              <w:tab/>
            </w:r>
            <w:r w:rsidRPr="00A52AB8">
              <w:rPr>
                <w:sz w:val="20"/>
              </w:rPr>
              <w:tab/>
            </w:r>
            <w:r w:rsidR="00D63ACE" w:rsidRPr="00A52AB8">
              <w:rPr>
                <w:sz w:val="20"/>
              </w:rPr>
              <w:t>if(</w:t>
            </w:r>
            <w:r w:rsidRPr="00A52AB8">
              <w:rPr>
                <w:sz w:val="20"/>
              </w:rPr>
              <w:t xml:space="preserve"> soi_simple_objects_flag</w:t>
            </w:r>
            <w:r w:rsidR="008768E9" w:rsidRPr="00A52AB8">
              <w:rPr>
                <w:sz w:val="20"/>
              </w:rPr>
              <w:t> </w:t>
            </w:r>
            <w:r w:rsidR="00726AAE" w:rsidRPr="00A52AB8">
              <w:rPr>
                <w:sz w:val="20"/>
              </w:rPr>
              <w:t>==</w:t>
            </w:r>
            <w:r w:rsidR="00D47707" w:rsidRPr="00A52AB8">
              <w:rPr>
                <w:sz w:val="20"/>
              </w:rPr>
              <w:t> </w:t>
            </w:r>
            <w:r w:rsidRPr="00A52AB8">
              <w:rPr>
                <w:sz w:val="20"/>
              </w:rPr>
              <w:t>0</w:t>
            </w:r>
            <w:r w:rsidR="008F1F82" w:rsidRPr="00A52AB8">
              <w:rPr>
                <w:sz w:val="20"/>
              </w:rPr>
              <w:t>) {</w:t>
            </w:r>
          </w:p>
        </w:tc>
        <w:tc>
          <w:tcPr>
            <w:tcW w:w="1332" w:type="dxa"/>
          </w:tcPr>
          <w:p w14:paraId="54D4591C" w14:textId="77777777" w:rsidR="00E17286" w:rsidRPr="00A52AB8" w:rsidRDefault="00E17286">
            <w:pPr>
              <w:spacing w:before="20" w:after="40" w:line="240" w:lineRule="auto"/>
              <w:jc w:val="center"/>
              <w:rPr>
                <w:sz w:val="20"/>
              </w:rPr>
            </w:pPr>
          </w:p>
        </w:tc>
      </w:tr>
      <w:tr w:rsidR="00E17286" w:rsidRPr="00A52AB8" w14:paraId="2D3CE99E" w14:textId="77777777" w:rsidTr="00007BE2">
        <w:trPr>
          <w:cantSplit/>
          <w:jc w:val="center"/>
        </w:trPr>
        <w:tc>
          <w:tcPr>
            <w:tcW w:w="8422" w:type="dxa"/>
          </w:tcPr>
          <w:p w14:paraId="43103840" w14:textId="77777777" w:rsidR="00E17286" w:rsidRPr="00A52AB8" w:rsidRDefault="00E17286">
            <w:pPr>
              <w:spacing w:before="20" w:after="40" w:line="240" w:lineRule="auto"/>
              <w:rPr>
                <w:rFonts w:eastAsia="Malgun Gothic"/>
                <w:b/>
                <w:sz w:val="20"/>
              </w:rPr>
            </w:pPr>
            <w:r w:rsidRPr="00A52AB8">
              <w:rPr>
                <w:b/>
                <w:bCs/>
                <w:sz w:val="20"/>
              </w:rPr>
              <w:tab/>
            </w:r>
            <w:r w:rsidRPr="00A52AB8">
              <w:rPr>
                <w:b/>
                <w:sz w:val="20"/>
              </w:rPr>
              <w:tab/>
            </w:r>
            <w:r w:rsidRPr="00A52AB8">
              <w:rPr>
                <w:b/>
                <w:sz w:val="20"/>
              </w:rPr>
              <w:tab/>
              <w:t>soi_object_label_present_flag</w:t>
            </w:r>
          </w:p>
        </w:tc>
        <w:tc>
          <w:tcPr>
            <w:tcW w:w="1332" w:type="dxa"/>
          </w:tcPr>
          <w:p w14:paraId="604AB635" w14:textId="77777777" w:rsidR="00E17286" w:rsidRPr="00A52AB8" w:rsidRDefault="00E17286">
            <w:pPr>
              <w:spacing w:before="20" w:after="40" w:line="240" w:lineRule="auto"/>
              <w:jc w:val="center"/>
              <w:rPr>
                <w:rFonts w:eastAsia="Malgun Gothic"/>
                <w:bCs/>
                <w:sz w:val="20"/>
              </w:rPr>
            </w:pPr>
            <w:r w:rsidRPr="00A52AB8">
              <w:rPr>
                <w:bCs/>
                <w:sz w:val="20"/>
              </w:rPr>
              <w:t>u(1)</w:t>
            </w:r>
          </w:p>
        </w:tc>
      </w:tr>
      <w:tr w:rsidR="00E17286" w:rsidRPr="00A52AB8" w14:paraId="2456BA7E" w14:textId="77777777" w:rsidTr="00007BE2">
        <w:trPr>
          <w:cantSplit/>
          <w:jc w:val="center"/>
        </w:trPr>
        <w:tc>
          <w:tcPr>
            <w:tcW w:w="8422" w:type="dxa"/>
          </w:tcPr>
          <w:p w14:paraId="14DB2E7D" w14:textId="77777777" w:rsidR="00E17286" w:rsidRPr="00A52AB8" w:rsidRDefault="00E17286">
            <w:pPr>
              <w:spacing w:before="20" w:after="40" w:line="240" w:lineRule="auto"/>
              <w:rPr>
                <w:b/>
                <w:bCs/>
                <w:sz w:val="20"/>
              </w:rPr>
            </w:pPr>
            <w:r w:rsidRPr="00A52AB8">
              <w:rPr>
                <w:b/>
                <w:bCs/>
                <w:sz w:val="20"/>
              </w:rPr>
              <w:tab/>
            </w:r>
            <w:r w:rsidRPr="00A52AB8">
              <w:rPr>
                <w:b/>
                <w:sz w:val="20"/>
              </w:rPr>
              <w:tab/>
            </w:r>
            <w:r w:rsidRPr="00A52AB8">
              <w:rPr>
                <w:b/>
                <w:sz w:val="20"/>
              </w:rPr>
              <w:tab/>
              <w:t>so</w:t>
            </w:r>
            <w:r w:rsidRPr="00A52AB8">
              <w:rPr>
                <w:b/>
                <w:bCs/>
                <w:sz w:val="20"/>
              </w:rPr>
              <w:t>i_priority_present_flag</w:t>
            </w:r>
          </w:p>
        </w:tc>
        <w:tc>
          <w:tcPr>
            <w:tcW w:w="1332" w:type="dxa"/>
          </w:tcPr>
          <w:p w14:paraId="37932DF4" w14:textId="77777777" w:rsidR="00E17286" w:rsidRPr="00A52AB8" w:rsidRDefault="00E17286">
            <w:pPr>
              <w:spacing w:before="20" w:after="40" w:line="240" w:lineRule="auto"/>
              <w:jc w:val="center"/>
              <w:rPr>
                <w:bCs/>
                <w:sz w:val="20"/>
              </w:rPr>
            </w:pPr>
            <w:r w:rsidRPr="00A52AB8">
              <w:rPr>
                <w:bCs/>
                <w:sz w:val="20"/>
              </w:rPr>
              <w:t>u(1)</w:t>
            </w:r>
          </w:p>
        </w:tc>
      </w:tr>
      <w:tr w:rsidR="00E17286" w:rsidRPr="00A52AB8" w14:paraId="2B328CAC" w14:textId="77777777" w:rsidTr="00007BE2">
        <w:trPr>
          <w:cantSplit/>
          <w:jc w:val="center"/>
        </w:trPr>
        <w:tc>
          <w:tcPr>
            <w:tcW w:w="8422" w:type="dxa"/>
          </w:tcPr>
          <w:p w14:paraId="2E3D26E0" w14:textId="77777777" w:rsidR="00E17286" w:rsidRPr="00A52AB8" w:rsidRDefault="00E17286">
            <w:pPr>
              <w:spacing w:before="20" w:after="40" w:line="240" w:lineRule="auto"/>
              <w:rPr>
                <w:b/>
                <w:bCs/>
                <w:sz w:val="20"/>
              </w:rPr>
            </w:pPr>
            <w:r w:rsidRPr="00A52AB8">
              <w:rPr>
                <w:b/>
                <w:bCs/>
                <w:sz w:val="20"/>
              </w:rPr>
              <w:tab/>
            </w:r>
            <w:r w:rsidRPr="00A52AB8">
              <w:rPr>
                <w:b/>
                <w:sz w:val="20"/>
              </w:rPr>
              <w:tab/>
            </w:r>
            <w:r w:rsidRPr="00A52AB8">
              <w:rPr>
                <w:b/>
                <w:sz w:val="20"/>
              </w:rPr>
              <w:tab/>
              <w:t>soi_object_hidden_present_flag</w:t>
            </w:r>
          </w:p>
        </w:tc>
        <w:tc>
          <w:tcPr>
            <w:tcW w:w="1332" w:type="dxa"/>
          </w:tcPr>
          <w:p w14:paraId="7B093491" w14:textId="77777777" w:rsidR="00E17286" w:rsidRPr="00A52AB8" w:rsidRDefault="00E17286">
            <w:pPr>
              <w:spacing w:before="20" w:after="40" w:line="240" w:lineRule="auto"/>
              <w:jc w:val="center"/>
              <w:rPr>
                <w:bCs/>
                <w:sz w:val="20"/>
              </w:rPr>
            </w:pPr>
            <w:r w:rsidRPr="00A52AB8">
              <w:rPr>
                <w:bCs/>
                <w:sz w:val="20"/>
              </w:rPr>
              <w:t>u(1)</w:t>
            </w:r>
          </w:p>
        </w:tc>
      </w:tr>
      <w:tr w:rsidR="00E17286" w:rsidRPr="00A52AB8" w14:paraId="184CFCBA" w14:textId="77777777" w:rsidTr="00007BE2">
        <w:trPr>
          <w:cantSplit/>
          <w:jc w:val="center"/>
        </w:trPr>
        <w:tc>
          <w:tcPr>
            <w:tcW w:w="8422" w:type="dxa"/>
          </w:tcPr>
          <w:p w14:paraId="4D4B6ED6" w14:textId="77777777" w:rsidR="00E17286" w:rsidRPr="00A52AB8" w:rsidRDefault="00E17286">
            <w:pPr>
              <w:spacing w:before="20" w:after="40" w:line="240" w:lineRule="auto"/>
              <w:rPr>
                <w:b/>
                <w:bCs/>
                <w:sz w:val="20"/>
              </w:rPr>
            </w:pPr>
            <w:r w:rsidRPr="00A52AB8">
              <w:rPr>
                <w:b/>
                <w:bCs/>
                <w:sz w:val="20"/>
              </w:rPr>
              <w:tab/>
            </w:r>
            <w:r w:rsidRPr="00A52AB8">
              <w:rPr>
                <w:b/>
                <w:sz w:val="20"/>
              </w:rPr>
              <w:tab/>
            </w:r>
            <w:r w:rsidRPr="00A52AB8">
              <w:rPr>
                <w:b/>
                <w:sz w:val="20"/>
              </w:rPr>
              <w:tab/>
              <w:t>soi_object_dependency_present_flag</w:t>
            </w:r>
          </w:p>
        </w:tc>
        <w:tc>
          <w:tcPr>
            <w:tcW w:w="1332" w:type="dxa"/>
          </w:tcPr>
          <w:p w14:paraId="61E7E51A" w14:textId="77777777" w:rsidR="00E17286" w:rsidRPr="00A52AB8" w:rsidRDefault="00E17286">
            <w:pPr>
              <w:spacing w:before="20" w:after="40" w:line="240" w:lineRule="auto"/>
              <w:jc w:val="center"/>
              <w:rPr>
                <w:bCs/>
                <w:sz w:val="20"/>
              </w:rPr>
            </w:pPr>
            <w:r w:rsidRPr="00A52AB8">
              <w:rPr>
                <w:bCs/>
                <w:sz w:val="20"/>
              </w:rPr>
              <w:t>u(1)</w:t>
            </w:r>
          </w:p>
        </w:tc>
      </w:tr>
      <w:tr w:rsidR="00E17286" w:rsidRPr="00A52AB8" w14:paraId="070DF6B0" w14:textId="77777777" w:rsidTr="00007BE2">
        <w:trPr>
          <w:cantSplit/>
          <w:jc w:val="center"/>
        </w:trPr>
        <w:tc>
          <w:tcPr>
            <w:tcW w:w="8422" w:type="dxa"/>
          </w:tcPr>
          <w:p w14:paraId="5C881CB9" w14:textId="77777777" w:rsidR="00E17286" w:rsidRPr="00A52AB8" w:rsidRDefault="00E17286">
            <w:pPr>
              <w:spacing w:before="20" w:after="40" w:line="240" w:lineRule="auto"/>
              <w:rPr>
                <w:b/>
                <w:bCs/>
                <w:sz w:val="20"/>
              </w:rPr>
            </w:pPr>
            <w:r w:rsidRPr="00A52AB8">
              <w:rPr>
                <w:b/>
                <w:bCs/>
                <w:sz w:val="20"/>
              </w:rPr>
              <w:tab/>
            </w:r>
            <w:r w:rsidRPr="00A52AB8">
              <w:rPr>
                <w:b/>
                <w:sz w:val="20"/>
              </w:rPr>
              <w:tab/>
            </w:r>
            <w:r w:rsidRPr="00A52AB8">
              <w:rPr>
                <w:b/>
                <w:sz w:val="20"/>
              </w:rPr>
              <w:tab/>
              <w:t>soi_visibility_cones_present_flag</w:t>
            </w:r>
          </w:p>
        </w:tc>
        <w:tc>
          <w:tcPr>
            <w:tcW w:w="1332" w:type="dxa"/>
          </w:tcPr>
          <w:p w14:paraId="6CC2C50A" w14:textId="77777777" w:rsidR="00E17286" w:rsidRPr="00A52AB8" w:rsidRDefault="00E17286">
            <w:pPr>
              <w:spacing w:before="20" w:after="40" w:line="240" w:lineRule="auto"/>
              <w:jc w:val="center"/>
              <w:rPr>
                <w:bCs/>
                <w:sz w:val="20"/>
              </w:rPr>
            </w:pPr>
            <w:r w:rsidRPr="00A52AB8">
              <w:rPr>
                <w:bCs/>
                <w:sz w:val="20"/>
              </w:rPr>
              <w:t>u(1)</w:t>
            </w:r>
          </w:p>
        </w:tc>
      </w:tr>
      <w:tr w:rsidR="00E17286" w:rsidRPr="00A52AB8" w14:paraId="3C803CCC" w14:textId="77777777" w:rsidTr="00007BE2">
        <w:trPr>
          <w:cantSplit/>
          <w:jc w:val="center"/>
        </w:trPr>
        <w:tc>
          <w:tcPr>
            <w:tcW w:w="8422" w:type="dxa"/>
          </w:tcPr>
          <w:p w14:paraId="3DBD80B3" w14:textId="77777777" w:rsidR="00E17286" w:rsidRPr="00A52AB8" w:rsidRDefault="00E17286">
            <w:pPr>
              <w:spacing w:before="20" w:after="40" w:line="240" w:lineRule="auto"/>
              <w:rPr>
                <w:sz w:val="20"/>
              </w:rPr>
            </w:pPr>
            <w:r w:rsidRPr="00A52AB8">
              <w:rPr>
                <w:b/>
                <w:bCs/>
                <w:sz w:val="20"/>
              </w:rPr>
              <w:tab/>
            </w:r>
            <w:r w:rsidRPr="00A52AB8">
              <w:rPr>
                <w:b/>
                <w:bCs/>
                <w:sz w:val="20"/>
              </w:rPr>
              <w:tab/>
            </w:r>
            <w:r w:rsidRPr="00A52AB8">
              <w:rPr>
                <w:b/>
                <w:bCs/>
                <w:sz w:val="20"/>
              </w:rPr>
              <w:tab/>
              <w:t>soi_3d_</w:t>
            </w:r>
            <w:r w:rsidRPr="00A52AB8">
              <w:rPr>
                <w:b/>
                <w:sz w:val="20"/>
              </w:rPr>
              <w:t>bounding_box_present_flag</w:t>
            </w:r>
          </w:p>
        </w:tc>
        <w:tc>
          <w:tcPr>
            <w:tcW w:w="1332" w:type="dxa"/>
          </w:tcPr>
          <w:p w14:paraId="29FF26CD" w14:textId="77777777" w:rsidR="00E17286" w:rsidRPr="00A52AB8" w:rsidRDefault="00E17286">
            <w:pPr>
              <w:spacing w:before="20" w:after="40" w:line="240" w:lineRule="auto"/>
              <w:jc w:val="center"/>
              <w:rPr>
                <w:sz w:val="20"/>
              </w:rPr>
            </w:pPr>
            <w:r w:rsidRPr="00A52AB8">
              <w:rPr>
                <w:sz w:val="20"/>
              </w:rPr>
              <w:t>u(1)</w:t>
            </w:r>
          </w:p>
        </w:tc>
      </w:tr>
      <w:tr w:rsidR="00E17286" w:rsidRPr="00A52AB8" w14:paraId="56911D0D" w14:textId="77777777" w:rsidTr="00007BE2">
        <w:trPr>
          <w:cantSplit/>
          <w:jc w:val="center"/>
        </w:trPr>
        <w:tc>
          <w:tcPr>
            <w:tcW w:w="8422" w:type="dxa"/>
          </w:tcPr>
          <w:p w14:paraId="1EA92C0A" w14:textId="77777777" w:rsidR="00E17286" w:rsidRPr="00A52AB8" w:rsidRDefault="00E17286">
            <w:pPr>
              <w:spacing w:before="20" w:after="40" w:line="240" w:lineRule="auto"/>
              <w:rPr>
                <w:sz w:val="20"/>
              </w:rPr>
            </w:pPr>
            <w:r w:rsidRPr="00A52AB8">
              <w:rPr>
                <w:sz w:val="20"/>
              </w:rPr>
              <w:tab/>
            </w:r>
            <w:r w:rsidRPr="00A52AB8">
              <w:rPr>
                <w:sz w:val="20"/>
              </w:rPr>
              <w:tab/>
            </w:r>
            <w:r w:rsidRPr="00A52AB8">
              <w:rPr>
                <w:sz w:val="20"/>
              </w:rPr>
              <w:tab/>
            </w:r>
            <w:r w:rsidRPr="00A52AB8">
              <w:rPr>
                <w:b/>
                <w:bCs/>
                <w:sz w:val="20"/>
              </w:rPr>
              <w:t>so</w:t>
            </w:r>
            <w:r w:rsidRPr="00A52AB8">
              <w:rPr>
                <w:b/>
                <w:sz w:val="20"/>
              </w:rPr>
              <w:t>i_collision_shape_present_flag</w:t>
            </w:r>
          </w:p>
        </w:tc>
        <w:tc>
          <w:tcPr>
            <w:tcW w:w="1332" w:type="dxa"/>
          </w:tcPr>
          <w:p w14:paraId="5B0B2B83" w14:textId="77777777" w:rsidR="00E17286" w:rsidRPr="00A52AB8" w:rsidRDefault="00E17286">
            <w:pPr>
              <w:spacing w:before="20" w:after="40" w:line="240" w:lineRule="auto"/>
              <w:jc w:val="center"/>
              <w:rPr>
                <w:sz w:val="20"/>
              </w:rPr>
            </w:pPr>
            <w:r w:rsidRPr="00A52AB8">
              <w:rPr>
                <w:sz w:val="20"/>
              </w:rPr>
              <w:t>u(1)</w:t>
            </w:r>
          </w:p>
        </w:tc>
      </w:tr>
      <w:tr w:rsidR="00E17286" w:rsidRPr="00A52AB8" w14:paraId="47C1A6D8" w14:textId="77777777" w:rsidTr="00007BE2">
        <w:trPr>
          <w:cantSplit/>
          <w:jc w:val="center"/>
        </w:trPr>
        <w:tc>
          <w:tcPr>
            <w:tcW w:w="8422" w:type="dxa"/>
          </w:tcPr>
          <w:p w14:paraId="18145B1C" w14:textId="77777777" w:rsidR="00E17286" w:rsidRPr="00A52AB8" w:rsidRDefault="00E17286">
            <w:pPr>
              <w:spacing w:before="20" w:after="40" w:line="240" w:lineRule="auto"/>
              <w:rPr>
                <w:sz w:val="20"/>
              </w:rPr>
            </w:pPr>
            <w:r w:rsidRPr="00A52AB8">
              <w:rPr>
                <w:sz w:val="20"/>
              </w:rPr>
              <w:tab/>
            </w:r>
            <w:r w:rsidRPr="00A52AB8">
              <w:rPr>
                <w:sz w:val="20"/>
              </w:rPr>
              <w:tab/>
            </w:r>
            <w:r w:rsidRPr="00A52AB8">
              <w:rPr>
                <w:sz w:val="20"/>
              </w:rPr>
              <w:tab/>
            </w:r>
            <w:r w:rsidRPr="00A52AB8">
              <w:rPr>
                <w:b/>
                <w:bCs/>
                <w:sz w:val="20"/>
              </w:rPr>
              <w:t>so</w:t>
            </w:r>
            <w:r w:rsidRPr="00A52AB8">
              <w:rPr>
                <w:b/>
                <w:sz w:val="20"/>
              </w:rPr>
              <w:t>i_point_style_present_flag</w:t>
            </w:r>
          </w:p>
        </w:tc>
        <w:tc>
          <w:tcPr>
            <w:tcW w:w="1332" w:type="dxa"/>
          </w:tcPr>
          <w:p w14:paraId="5FF7FD6A" w14:textId="77777777" w:rsidR="00E17286" w:rsidRPr="00A52AB8" w:rsidRDefault="00E17286">
            <w:pPr>
              <w:spacing w:before="20" w:after="40" w:line="240" w:lineRule="auto"/>
              <w:jc w:val="center"/>
              <w:rPr>
                <w:sz w:val="20"/>
              </w:rPr>
            </w:pPr>
            <w:r w:rsidRPr="00A52AB8">
              <w:rPr>
                <w:sz w:val="20"/>
              </w:rPr>
              <w:t>u(1)</w:t>
            </w:r>
          </w:p>
        </w:tc>
      </w:tr>
      <w:tr w:rsidR="00E17286" w:rsidRPr="00A52AB8" w14:paraId="3C744278" w14:textId="77777777" w:rsidTr="00007BE2">
        <w:trPr>
          <w:cantSplit/>
          <w:jc w:val="center"/>
        </w:trPr>
        <w:tc>
          <w:tcPr>
            <w:tcW w:w="8422" w:type="dxa"/>
          </w:tcPr>
          <w:p w14:paraId="6B2A966A" w14:textId="77777777" w:rsidR="00E17286" w:rsidRPr="00A52AB8" w:rsidRDefault="00E17286">
            <w:pPr>
              <w:spacing w:before="20" w:after="40" w:line="240" w:lineRule="auto"/>
              <w:rPr>
                <w:sz w:val="20"/>
              </w:rPr>
            </w:pPr>
            <w:r w:rsidRPr="00A52AB8">
              <w:rPr>
                <w:sz w:val="20"/>
              </w:rPr>
              <w:tab/>
            </w:r>
            <w:r w:rsidRPr="00A52AB8">
              <w:rPr>
                <w:sz w:val="20"/>
              </w:rPr>
              <w:tab/>
            </w:r>
            <w:r w:rsidRPr="00A52AB8">
              <w:rPr>
                <w:sz w:val="20"/>
              </w:rPr>
              <w:tab/>
            </w:r>
            <w:r w:rsidRPr="00A52AB8">
              <w:rPr>
                <w:b/>
                <w:bCs/>
                <w:sz w:val="20"/>
              </w:rPr>
              <w:t>so</w:t>
            </w:r>
            <w:r w:rsidRPr="00A52AB8">
              <w:rPr>
                <w:b/>
                <w:sz w:val="20"/>
              </w:rPr>
              <w:t>i_material_id_present_flag</w:t>
            </w:r>
          </w:p>
        </w:tc>
        <w:tc>
          <w:tcPr>
            <w:tcW w:w="1332" w:type="dxa"/>
          </w:tcPr>
          <w:p w14:paraId="5BD95A91" w14:textId="77777777" w:rsidR="00E17286" w:rsidRPr="00A52AB8" w:rsidRDefault="00E17286">
            <w:pPr>
              <w:spacing w:before="20" w:after="40" w:line="240" w:lineRule="auto"/>
              <w:jc w:val="center"/>
              <w:rPr>
                <w:sz w:val="20"/>
              </w:rPr>
            </w:pPr>
            <w:r w:rsidRPr="00A52AB8">
              <w:rPr>
                <w:sz w:val="20"/>
              </w:rPr>
              <w:t>u(1)</w:t>
            </w:r>
          </w:p>
        </w:tc>
      </w:tr>
      <w:tr w:rsidR="00E17286" w:rsidRPr="00A52AB8" w14:paraId="783CD13A" w14:textId="77777777" w:rsidTr="00007BE2">
        <w:trPr>
          <w:cantSplit/>
          <w:jc w:val="center"/>
        </w:trPr>
        <w:tc>
          <w:tcPr>
            <w:tcW w:w="8422" w:type="dxa"/>
          </w:tcPr>
          <w:p w14:paraId="5326CE9C" w14:textId="77777777" w:rsidR="00E17286" w:rsidRPr="00A52AB8" w:rsidRDefault="00E17286">
            <w:pPr>
              <w:spacing w:before="20" w:after="40" w:line="240" w:lineRule="auto"/>
              <w:rPr>
                <w:sz w:val="20"/>
              </w:rPr>
            </w:pPr>
            <w:r w:rsidRPr="00A52AB8">
              <w:rPr>
                <w:sz w:val="20"/>
              </w:rPr>
              <w:tab/>
            </w:r>
            <w:r w:rsidRPr="00A52AB8">
              <w:rPr>
                <w:sz w:val="20"/>
              </w:rPr>
              <w:tab/>
            </w:r>
            <w:r w:rsidRPr="00A52AB8">
              <w:rPr>
                <w:sz w:val="20"/>
              </w:rPr>
              <w:tab/>
            </w:r>
            <w:r w:rsidRPr="00A52AB8">
              <w:rPr>
                <w:b/>
                <w:bCs/>
                <w:sz w:val="20"/>
              </w:rPr>
              <w:t>so</w:t>
            </w:r>
            <w:r w:rsidRPr="00A52AB8">
              <w:rPr>
                <w:b/>
                <w:sz w:val="20"/>
              </w:rPr>
              <w:t>i_extension_present_flag</w:t>
            </w:r>
          </w:p>
        </w:tc>
        <w:tc>
          <w:tcPr>
            <w:tcW w:w="1332" w:type="dxa"/>
          </w:tcPr>
          <w:p w14:paraId="12D1086C" w14:textId="77777777" w:rsidR="00E17286" w:rsidRPr="00A52AB8" w:rsidRDefault="00E17286">
            <w:pPr>
              <w:spacing w:before="20" w:after="40" w:line="240" w:lineRule="auto"/>
              <w:jc w:val="center"/>
              <w:rPr>
                <w:sz w:val="20"/>
              </w:rPr>
            </w:pPr>
            <w:r w:rsidRPr="00A52AB8">
              <w:rPr>
                <w:sz w:val="20"/>
              </w:rPr>
              <w:t>u(1)</w:t>
            </w:r>
          </w:p>
        </w:tc>
      </w:tr>
      <w:tr w:rsidR="00E17286" w:rsidRPr="00A52AB8" w14:paraId="68AF82AA" w14:textId="77777777" w:rsidTr="00007BE2">
        <w:trPr>
          <w:cantSplit/>
          <w:jc w:val="center"/>
        </w:trPr>
        <w:tc>
          <w:tcPr>
            <w:tcW w:w="8422" w:type="dxa"/>
          </w:tcPr>
          <w:p w14:paraId="50338E89" w14:textId="77777777" w:rsidR="00E17286" w:rsidRPr="00A52AB8" w:rsidRDefault="00E17286">
            <w:pPr>
              <w:spacing w:before="20" w:after="40" w:line="240" w:lineRule="auto"/>
              <w:rPr>
                <w:sz w:val="20"/>
              </w:rPr>
            </w:pPr>
            <w:r w:rsidRPr="00A52AB8">
              <w:rPr>
                <w:sz w:val="20"/>
              </w:rPr>
              <w:tab/>
            </w:r>
            <w:r w:rsidRPr="00A52AB8">
              <w:rPr>
                <w:sz w:val="20"/>
              </w:rPr>
              <w:tab/>
              <w:t>}</w:t>
            </w:r>
          </w:p>
        </w:tc>
        <w:tc>
          <w:tcPr>
            <w:tcW w:w="1332" w:type="dxa"/>
          </w:tcPr>
          <w:p w14:paraId="64F01055" w14:textId="77777777" w:rsidR="00E17286" w:rsidRPr="00A52AB8" w:rsidRDefault="00E17286">
            <w:pPr>
              <w:spacing w:before="20" w:after="40" w:line="240" w:lineRule="auto"/>
              <w:jc w:val="center"/>
              <w:rPr>
                <w:sz w:val="20"/>
              </w:rPr>
            </w:pPr>
          </w:p>
        </w:tc>
      </w:tr>
      <w:tr w:rsidR="00E17286" w:rsidRPr="00A52AB8" w14:paraId="01B2D8D4" w14:textId="77777777" w:rsidTr="00007BE2">
        <w:trPr>
          <w:cantSplit/>
          <w:jc w:val="center"/>
        </w:trPr>
        <w:tc>
          <w:tcPr>
            <w:tcW w:w="8422" w:type="dxa"/>
          </w:tcPr>
          <w:p w14:paraId="3034A247" w14:textId="77777777" w:rsidR="00E17286" w:rsidRPr="00A52AB8" w:rsidRDefault="00E17286">
            <w:pPr>
              <w:spacing w:before="20" w:after="40" w:line="240" w:lineRule="auto"/>
              <w:rPr>
                <w:sz w:val="20"/>
              </w:rPr>
            </w:pPr>
            <w:r w:rsidRPr="00A52AB8">
              <w:rPr>
                <w:sz w:val="20"/>
              </w:rPr>
              <w:tab/>
            </w:r>
            <w:r w:rsidRPr="00A52AB8">
              <w:rPr>
                <w:sz w:val="20"/>
              </w:rPr>
              <w:tab/>
              <w:t>else {</w:t>
            </w:r>
          </w:p>
        </w:tc>
        <w:tc>
          <w:tcPr>
            <w:tcW w:w="1332" w:type="dxa"/>
          </w:tcPr>
          <w:p w14:paraId="6E42548F" w14:textId="77777777" w:rsidR="00E17286" w:rsidRPr="00A52AB8" w:rsidRDefault="00E17286">
            <w:pPr>
              <w:spacing w:before="20" w:after="40" w:line="240" w:lineRule="auto"/>
              <w:jc w:val="center"/>
              <w:rPr>
                <w:sz w:val="20"/>
              </w:rPr>
            </w:pPr>
          </w:p>
        </w:tc>
      </w:tr>
      <w:tr w:rsidR="00E17286" w:rsidRPr="00A52AB8" w14:paraId="29840AB9" w14:textId="77777777" w:rsidTr="00007BE2">
        <w:trPr>
          <w:cantSplit/>
          <w:jc w:val="center"/>
        </w:trPr>
        <w:tc>
          <w:tcPr>
            <w:tcW w:w="8422" w:type="dxa"/>
          </w:tcPr>
          <w:p w14:paraId="4534FFA0" w14:textId="1819FD16" w:rsidR="00E17286" w:rsidRPr="00A52AB8" w:rsidRDefault="00E17286">
            <w:pPr>
              <w:spacing w:before="20" w:after="40" w:line="240" w:lineRule="auto"/>
              <w:rPr>
                <w:sz w:val="20"/>
              </w:rPr>
            </w:pPr>
            <w:r w:rsidRPr="00A52AB8">
              <w:rPr>
                <w:sz w:val="20"/>
              </w:rPr>
              <w:tab/>
            </w:r>
            <w:r w:rsidRPr="00A52AB8">
              <w:rPr>
                <w:sz w:val="20"/>
              </w:rPr>
              <w:tab/>
            </w:r>
            <w:r w:rsidRPr="00A52AB8">
              <w:rPr>
                <w:sz w:val="20"/>
              </w:rPr>
              <w:tab/>
              <w:t>soi_object_label_present_flag</w:t>
            </w:r>
            <w:r w:rsidR="0023721F" w:rsidRPr="00A52AB8">
              <w:rPr>
                <w:sz w:val="20"/>
              </w:rPr>
              <w:t> </w:t>
            </w:r>
            <w:r w:rsidR="00D47707" w:rsidRPr="00A52AB8">
              <w:rPr>
                <w:sz w:val="20"/>
              </w:rPr>
              <w:t>= </w:t>
            </w:r>
            <w:r w:rsidRPr="00A52AB8">
              <w:rPr>
                <w:sz w:val="20"/>
              </w:rPr>
              <w:t>0</w:t>
            </w:r>
          </w:p>
        </w:tc>
        <w:tc>
          <w:tcPr>
            <w:tcW w:w="1332" w:type="dxa"/>
          </w:tcPr>
          <w:p w14:paraId="1D3F8954" w14:textId="77777777" w:rsidR="00E17286" w:rsidRPr="00A52AB8" w:rsidRDefault="00E17286">
            <w:pPr>
              <w:spacing w:before="20" w:after="40" w:line="240" w:lineRule="auto"/>
              <w:jc w:val="center"/>
              <w:rPr>
                <w:sz w:val="20"/>
              </w:rPr>
            </w:pPr>
          </w:p>
        </w:tc>
      </w:tr>
      <w:tr w:rsidR="00E17286" w:rsidRPr="00A52AB8" w14:paraId="58D41B01" w14:textId="77777777" w:rsidTr="00007BE2">
        <w:trPr>
          <w:cantSplit/>
          <w:jc w:val="center"/>
        </w:trPr>
        <w:tc>
          <w:tcPr>
            <w:tcW w:w="8422" w:type="dxa"/>
          </w:tcPr>
          <w:p w14:paraId="499C1F51" w14:textId="331AE5AD" w:rsidR="00E17286" w:rsidRPr="00A52AB8" w:rsidRDefault="00E17286">
            <w:pPr>
              <w:spacing w:before="20" w:after="40" w:line="240" w:lineRule="auto"/>
              <w:rPr>
                <w:sz w:val="20"/>
              </w:rPr>
            </w:pPr>
            <w:r w:rsidRPr="00A52AB8">
              <w:rPr>
                <w:sz w:val="20"/>
              </w:rPr>
              <w:tab/>
            </w:r>
            <w:r w:rsidRPr="00A52AB8">
              <w:rPr>
                <w:sz w:val="20"/>
              </w:rPr>
              <w:tab/>
            </w:r>
            <w:r w:rsidRPr="00A52AB8">
              <w:rPr>
                <w:sz w:val="20"/>
              </w:rPr>
              <w:tab/>
              <w:t>soi_priority_present_flag</w:t>
            </w:r>
            <w:r w:rsidR="0023721F" w:rsidRPr="00A52AB8">
              <w:rPr>
                <w:sz w:val="20"/>
              </w:rPr>
              <w:t> </w:t>
            </w:r>
            <w:r w:rsidR="00D47707" w:rsidRPr="00A52AB8">
              <w:rPr>
                <w:sz w:val="20"/>
              </w:rPr>
              <w:t>= </w:t>
            </w:r>
            <w:r w:rsidRPr="00A52AB8">
              <w:rPr>
                <w:sz w:val="20"/>
              </w:rPr>
              <w:t>0</w:t>
            </w:r>
          </w:p>
        </w:tc>
        <w:tc>
          <w:tcPr>
            <w:tcW w:w="1332" w:type="dxa"/>
          </w:tcPr>
          <w:p w14:paraId="056A448A" w14:textId="77777777" w:rsidR="00E17286" w:rsidRPr="00A52AB8" w:rsidRDefault="00E17286">
            <w:pPr>
              <w:spacing w:before="20" w:after="40" w:line="240" w:lineRule="auto"/>
              <w:jc w:val="center"/>
              <w:rPr>
                <w:sz w:val="20"/>
              </w:rPr>
            </w:pPr>
          </w:p>
        </w:tc>
      </w:tr>
      <w:tr w:rsidR="00E17286" w:rsidRPr="00A52AB8" w14:paraId="503E163F" w14:textId="77777777" w:rsidTr="00007BE2">
        <w:trPr>
          <w:cantSplit/>
          <w:jc w:val="center"/>
        </w:trPr>
        <w:tc>
          <w:tcPr>
            <w:tcW w:w="8422" w:type="dxa"/>
          </w:tcPr>
          <w:p w14:paraId="5C1CCA08" w14:textId="0CB0D091" w:rsidR="00E17286" w:rsidRPr="00A52AB8" w:rsidRDefault="00E17286">
            <w:pPr>
              <w:spacing w:before="20" w:after="40" w:line="240" w:lineRule="auto"/>
              <w:rPr>
                <w:sz w:val="20"/>
              </w:rPr>
            </w:pPr>
            <w:r w:rsidRPr="00A52AB8">
              <w:rPr>
                <w:sz w:val="20"/>
              </w:rPr>
              <w:tab/>
            </w:r>
            <w:r w:rsidRPr="00A52AB8">
              <w:rPr>
                <w:sz w:val="20"/>
              </w:rPr>
              <w:tab/>
            </w:r>
            <w:r w:rsidRPr="00A52AB8">
              <w:rPr>
                <w:sz w:val="20"/>
              </w:rPr>
              <w:tab/>
              <w:t>soi_object_hidden_present_flag</w:t>
            </w:r>
            <w:r w:rsidR="0023721F" w:rsidRPr="00A52AB8">
              <w:rPr>
                <w:sz w:val="20"/>
              </w:rPr>
              <w:t> </w:t>
            </w:r>
            <w:r w:rsidR="00D47707" w:rsidRPr="00A52AB8">
              <w:rPr>
                <w:sz w:val="20"/>
              </w:rPr>
              <w:t>= </w:t>
            </w:r>
            <w:r w:rsidRPr="00A52AB8">
              <w:rPr>
                <w:sz w:val="20"/>
              </w:rPr>
              <w:t>0</w:t>
            </w:r>
          </w:p>
        </w:tc>
        <w:tc>
          <w:tcPr>
            <w:tcW w:w="1332" w:type="dxa"/>
          </w:tcPr>
          <w:p w14:paraId="577F787C" w14:textId="77777777" w:rsidR="00E17286" w:rsidRPr="00A52AB8" w:rsidRDefault="00E17286">
            <w:pPr>
              <w:spacing w:before="20" w:after="40" w:line="240" w:lineRule="auto"/>
              <w:jc w:val="center"/>
              <w:rPr>
                <w:sz w:val="20"/>
              </w:rPr>
            </w:pPr>
          </w:p>
        </w:tc>
      </w:tr>
      <w:tr w:rsidR="00E17286" w:rsidRPr="00A52AB8" w14:paraId="51F9EFC0" w14:textId="77777777" w:rsidTr="00007BE2">
        <w:trPr>
          <w:cantSplit/>
          <w:jc w:val="center"/>
        </w:trPr>
        <w:tc>
          <w:tcPr>
            <w:tcW w:w="8422" w:type="dxa"/>
          </w:tcPr>
          <w:p w14:paraId="78E8499F" w14:textId="427179AB" w:rsidR="00E17286" w:rsidRPr="00A52AB8" w:rsidRDefault="00E17286">
            <w:pPr>
              <w:spacing w:before="20" w:after="40" w:line="240" w:lineRule="auto"/>
              <w:rPr>
                <w:sz w:val="20"/>
              </w:rPr>
            </w:pPr>
            <w:r w:rsidRPr="00A52AB8">
              <w:rPr>
                <w:sz w:val="20"/>
              </w:rPr>
              <w:tab/>
            </w:r>
            <w:r w:rsidRPr="00A52AB8">
              <w:rPr>
                <w:sz w:val="20"/>
              </w:rPr>
              <w:tab/>
            </w:r>
            <w:r w:rsidRPr="00A52AB8">
              <w:rPr>
                <w:sz w:val="20"/>
              </w:rPr>
              <w:tab/>
              <w:t>soi_object_dependency_present_flag</w:t>
            </w:r>
            <w:r w:rsidR="0023721F" w:rsidRPr="00A52AB8">
              <w:rPr>
                <w:sz w:val="20"/>
              </w:rPr>
              <w:t> </w:t>
            </w:r>
            <w:r w:rsidR="00D47707" w:rsidRPr="00A52AB8">
              <w:rPr>
                <w:sz w:val="20"/>
              </w:rPr>
              <w:t>= </w:t>
            </w:r>
            <w:r w:rsidRPr="00A52AB8">
              <w:rPr>
                <w:sz w:val="20"/>
              </w:rPr>
              <w:t>0</w:t>
            </w:r>
          </w:p>
        </w:tc>
        <w:tc>
          <w:tcPr>
            <w:tcW w:w="1332" w:type="dxa"/>
          </w:tcPr>
          <w:p w14:paraId="025D57B2" w14:textId="77777777" w:rsidR="00E17286" w:rsidRPr="00A52AB8" w:rsidRDefault="00E17286">
            <w:pPr>
              <w:spacing w:before="20" w:after="40" w:line="240" w:lineRule="auto"/>
              <w:jc w:val="center"/>
              <w:rPr>
                <w:sz w:val="20"/>
              </w:rPr>
            </w:pPr>
          </w:p>
        </w:tc>
      </w:tr>
      <w:tr w:rsidR="00E17286" w:rsidRPr="00A52AB8" w14:paraId="79121CC7" w14:textId="77777777" w:rsidTr="00007BE2">
        <w:trPr>
          <w:cantSplit/>
          <w:jc w:val="center"/>
        </w:trPr>
        <w:tc>
          <w:tcPr>
            <w:tcW w:w="8422" w:type="dxa"/>
          </w:tcPr>
          <w:p w14:paraId="7C6F7968" w14:textId="67749AB1" w:rsidR="00E17286" w:rsidRPr="00A52AB8" w:rsidRDefault="00E17286">
            <w:pPr>
              <w:spacing w:before="20" w:after="40" w:line="240" w:lineRule="auto"/>
              <w:rPr>
                <w:sz w:val="20"/>
              </w:rPr>
            </w:pPr>
            <w:r w:rsidRPr="00A52AB8">
              <w:rPr>
                <w:sz w:val="20"/>
              </w:rPr>
              <w:tab/>
            </w:r>
            <w:r w:rsidRPr="00A52AB8">
              <w:rPr>
                <w:sz w:val="20"/>
              </w:rPr>
              <w:tab/>
            </w:r>
            <w:r w:rsidRPr="00A52AB8">
              <w:rPr>
                <w:sz w:val="20"/>
              </w:rPr>
              <w:tab/>
              <w:t>soi_visibility_cones_present_flag</w:t>
            </w:r>
            <w:r w:rsidR="0023721F" w:rsidRPr="00A52AB8">
              <w:rPr>
                <w:sz w:val="20"/>
              </w:rPr>
              <w:t> </w:t>
            </w:r>
            <w:r w:rsidR="00D47707" w:rsidRPr="00A52AB8">
              <w:rPr>
                <w:sz w:val="20"/>
              </w:rPr>
              <w:t>= </w:t>
            </w:r>
            <w:r w:rsidRPr="00A52AB8">
              <w:rPr>
                <w:sz w:val="20"/>
              </w:rPr>
              <w:t>0</w:t>
            </w:r>
          </w:p>
        </w:tc>
        <w:tc>
          <w:tcPr>
            <w:tcW w:w="1332" w:type="dxa"/>
          </w:tcPr>
          <w:p w14:paraId="5B9187C3" w14:textId="77777777" w:rsidR="00E17286" w:rsidRPr="00A52AB8" w:rsidRDefault="00E17286">
            <w:pPr>
              <w:spacing w:before="20" w:after="40" w:line="240" w:lineRule="auto"/>
              <w:jc w:val="center"/>
              <w:rPr>
                <w:sz w:val="20"/>
              </w:rPr>
            </w:pPr>
          </w:p>
        </w:tc>
      </w:tr>
      <w:tr w:rsidR="00E17286" w:rsidRPr="00A52AB8" w14:paraId="5193BD4E" w14:textId="77777777" w:rsidTr="00007BE2">
        <w:trPr>
          <w:cantSplit/>
          <w:jc w:val="center"/>
        </w:trPr>
        <w:tc>
          <w:tcPr>
            <w:tcW w:w="8422" w:type="dxa"/>
          </w:tcPr>
          <w:p w14:paraId="46E6EF6F" w14:textId="0923A6A1" w:rsidR="00E17286" w:rsidRPr="00A52AB8" w:rsidRDefault="00E17286">
            <w:pPr>
              <w:spacing w:before="20" w:after="40" w:line="240" w:lineRule="auto"/>
              <w:rPr>
                <w:sz w:val="20"/>
              </w:rPr>
            </w:pPr>
            <w:r w:rsidRPr="00A52AB8">
              <w:rPr>
                <w:sz w:val="20"/>
              </w:rPr>
              <w:tab/>
            </w:r>
            <w:r w:rsidRPr="00A52AB8">
              <w:rPr>
                <w:sz w:val="20"/>
              </w:rPr>
              <w:tab/>
            </w:r>
            <w:r w:rsidRPr="00A52AB8">
              <w:rPr>
                <w:sz w:val="20"/>
              </w:rPr>
              <w:tab/>
              <w:t>soi_3d_bounding_box_present_flag</w:t>
            </w:r>
            <w:r w:rsidR="0023721F" w:rsidRPr="00A52AB8">
              <w:rPr>
                <w:sz w:val="20"/>
              </w:rPr>
              <w:t> </w:t>
            </w:r>
            <w:r w:rsidR="00D47707" w:rsidRPr="00A52AB8">
              <w:rPr>
                <w:sz w:val="20"/>
              </w:rPr>
              <w:t>= </w:t>
            </w:r>
            <w:r w:rsidRPr="00A52AB8">
              <w:rPr>
                <w:sz w:val="20"/>
              </w:rPr>
              <w:t>0</w:t>
            </w:r>
          </w:p>
        </w:tc>
        <w:tc>
          <w:tcPr>
            <w:tcW w:w="1332" w:type="dxa"/>
          </w:tcPr>
          <w:p w14:paraId="247C59F4" w14:textId="77777777" w:rsidR="00E17286" w:rsidRPr="00A52AB8" w:rsidRDefault="00E17286">
            <w:pPr>
              <w:spacing w:before="20" w:after="40" w:line="240" w:lineRule="auto"/>
              <w:jc w:val="center"/>
              <w:rPr>
                <w:sz w:val="20"/>
              </w:rPr>
            </w:pPr>
          </w:p>
        </w:tc>
      </w:tr>
      <w:tr w:rsidR="00E17286" w:rsidRPr="00A52AB8" w14:paraId="1263FB20" w14:textId="77777777" w:rsidTr="00007BE2">
        <w:trPr>
          <w:cantSplit/>
          <w:jc w:val="center"/>
        </w:trPr>
        <w:tc>
          <w:tcPr>
            <w:tcW w:w="8422" w:type="dxa"/>
          </w:tcPr>
          <w:p w14:paraId="2BD2471C" w14:textId="49193F43" w:rsidR="00E17286" w:rsidRPr="00A52AB8" w:rsidRDefault="00E17286">
            <w:pPr>
              <w:spacing w:before="20" w:after="40" w:line="240" w:lineRule="auto"/>
              <w:rPr>
                <w:bCs/>
                <w:sz w:val="20"/>
              </w:rPr>
            </w:pPr>
            <w:r w:rsidRPr="00A52AB8">
              <w:rPr>
                <w:sz w:val="20"/>
              </w:rPr>
              <w:tab/>
            </w:r>
            <w:r w:rsidRPr="00A52AB8">
              <w:rPr>
                <w:sz w:val="20"/>
              </w:rPr>
              <w:tab/>
            </w:r>
            <w:r w:rsidRPr="00A52AB8">
              <w:rPr>
                <w:sz w:val="20"/>
              </w:rPr>
              <w:tab/>
              <w:t>so</w:t>
            </w:r>
            <w:r w:rsidRPr="00A52AB8">
              <w:rPr>
                <w:bCs/>
                <w:sz w:val="20"/>
              </w:rPr>
              <w:t>i_collision_shape_present_flag</w:t>
            </w:r>
            <w:r w:rsidR="0023721F" w:rsidRPr="00A52AB8">
              <w:rPr>
                <w:bCs/>
                <w:sz w:val="20"/>
              </w:rPr>
              <w:t> </w:t>
            </w:r>
            <w:r w:rsidR="00D47707" w:rsidRPr="00A52AB8">
              <w:rPr>
                <w:bCs/>
                <w:sz w:val="20"/>
              </w:rPr>
              <w:t>= </w:t>
            </w:r>
            <w:r w:rsidRPr="00A52AB8">
              <w:rPr>
                <w:bCs/>
                <w:sz w:val="20"/>
              </w:rPr>
              <w:t>0</w:t>
            </w:r>
          </w:p>
        </w:tc>
        <w:tc>
          <w:tcPr>
            <w:tcW w:w="1332" w:type="dxa"/>
          </w:tcPr>
          <w:p w14:paraId="3CFEB49F" w14:textId="77777777" w:rsidR="00E17286" w:rsidRPr="00A52AB8" w:rsidRDefault="00E17286">
            <w:pPr>
              <w:spacing w:before="20" w:after="40" w:line="240" w:lineRule="auto"/>
              <w:jc w:val="center"/>
              <w:rPr>
                <w:sz w:val="20"/>
              </w:rPr>
            </w:pPr>
          </w:p>
        </w:tc>
      </w:tr>
      <w:tr w:rsidR="00E17286" w:rsidRPr="00A52AB8" w14:paraId="3C61E6C7" w14:textId="77777777" w:rsidTr="00007BE2">
        <w:trPr>
          <w:cantSplit/>
          <w:jc w:val="center"/>
        </w:trPr>
        <w:tc>
          <w:tcPr>
            <w:tcW w:w="8422" w:type="dxa"/>
          </w:tcPr>
          <w:p w14:paraId="20A5B96B" w14:textId="62163B6F" w:rsidR="00E17286" w:rsidRPr="00A52AB8" w:rsidRDefault="00E17286">
            <w:pPr>
              <w:spacing w:before="20" w:after="40" w:line="240" w:lineRule="auto"/>
              <w:rPr>
                <w:bCs/>
                <w:sz w:val="20"/>
              </w:rPr>
            </w:pPr>
            <w:r w:rsidRPr="00A52AB8">
              <w:rPr>
                <w:sz w:val="20"/>
              </w:rPr>
              <w:tab/>
            </w:r>
            <w:r w:rsidRPr="00A52AB8">
              <w:rPr>
                <w:sz w:val="20"/>
              </w:rPr>
              <w:tab/>
            </w:r>
            <w:r w:rsidRPr="00A52AB8">
              <w:rPr>
                <w:sz w:val="20"/>
              </w:rPr>
              <w:tab/>
              <w:t>so</w:t>
            </w:r>
            <w:r w:rsidRPr="00A52AB8">
              <w:rPr>
                <w:bCs/>
                <w:sz w:val="20"/>
              </w:rPr>
              <w:t>i_point_style_present_flag</w:t>
            </w:r>
            <w:r w:rsidR="0023721F" w:rsidRPr="00A52AB8">
              <w:rPr>
                <w:bCs/>
                <w:sz w:val="20"/>
              </w:rPr>
              <w:t> </w:t>
            </w:r>
            <w:r w:rsidR="00D47707" w:rsidRPr="00A52AB8">
              <w:rPr>
                <w:bCs/>
                <w:sz w:val="20"/>
              </w:rPr>
              <w:t>= </w:t>
            </w:r>
            <w:r w:rsidRPr="00A52AB8">
              <w:rPr>
                <w:bCs/>
                <w:sz w:val="20"/>
              </w:rPr>
              <w:t>0</w:t>
            </w:r>
          </w:p>
        </w:tc>
        <w:tc>
          <w:tcPr>
            <w:tcW w:w="1332" w:type="dxa"/>
          </w:tcPr>
          <w:p w14:paraId="10C6F998" w14:textId="77777777" w:rsidR="00E17286" w:rsidRPr="00A52AB8" w:rsidRDefault="00E17286">
            <w:pPr>
              <w:spacing w:before="20" w:after="40" w:line="240" w:lineRule="auto"/>
              <w:jc w:val="center"/>
              <w:rPr>
                <w:sz w:val="20"/>
              </w:rPr>
            </w:pPr>
          </w:p>
        </w:tc>
      </w:tr>
      <w:tr w:rsidR="00E17286" w:rsidRPr="00A52AB8" w14:paraId="6696B1F2" w14:textId="77777777" w:rsidTr="00007BE2">
        <w:trPr>
          <w:cantSplit/>
          <w:jc w:val="center"/>
        </w:trPr>
        <w:tc>
          <w:tcPr>
            <w:tcW w:w="8422" w:type="dxa"/>
          </w:tcPr>
          <w:p w14:paraId="12DF40BB" w14:textId="477978D3" w:rsidR="00E17286" w:rsidRPr="00A52AB8" w:rsidRDefault="00E17286">
            <w:pPr>
              <w:spacing w:before="20" w:after="40" w:line="240" w:lineRule="auto"/>
              <w:rPr>
                <w:bCs/>
                <w:sz w:val="20"/>
              </w:rPr>
            </w:pPr>
            <w:r w:rsidRPr="00A52AB8">
              <w:rPr>
                <w:sz w:val="20"/>
              </w:rPr>
              <w:tab/>
            </w:r>
            <w:r w:rsidRPr="00A52AB8">
              <w:rPr>
                <w:sz w:val="20"/>
              </w:rPr>
              <w:tab/>
            </w:r>
            <w:r w:rsidRPr="00A52AB8">
              <w:rPr>
                <w:sz w:val="20"/>
              </w:rPr>
              <w:tab/>
              <w:t>so</w:t>
            </w:r>
            <w:r w:rsidRPr="00A52AB8">
              <w:rPr>
                <w:bCs/>
                <w:sz w:val="20"/>
              </w:rPr>
              <w:t>i_material_id_present_flag</w:t>
            </w:r>
            <w:r w:rsidR="0023721F" w:rsidRPr="00A52AB8">
              <w:rPr>
                <w:bCs/>
                <w:sz w:val="20"/>
              </w:rPr>
              <w:t> </w:t>
            </w:r>
            <w:r w:rsidR="00D47707" w:rsidRPr="00A52AB8">
              <w:rPr>
                <w:bCs/>
                <w:sz w:val="20"/>
              </w:rPr>
              <w:t>= </w:t>
            </w:r>
            <w:r w:rsidRPr="00A52AB8">
              <w:rPr>
                <w:bCs/>
                <w:sz w:val="20"/>
              </w:rPr>
              <w:t>0</w:t>
            </w:r>
          </w:p>
        </w:tc>
        <w:tc>
          <w:tcPr>
            <w:tcW w:w="1332" w:type="dxa"/>
          </w:tcPr>
          <w:p w14:paraId="19C2F0A5" w14:textId="77777777" w:rsidR="00E17286" w:rsidRPr="00A52AB8" w:rsidRDefault="00E17286">
            <w:pPr>
              <w:spacing w:before="20" w:after="40" w:line="240" w:lineRule="auto"/>
              <w:jc w:val="center"/>
              <w:rPr>
                <w:sz w:val="20"/>
              </w:rPr>
            </w:pPr>
          </w:p>
        </w:tc>
      </w:tr>
      <w:tr w:rsidR="00E17286" w:rsidRPr="00A52AB8" w14:paraId="4CF8BE3F" w14:textId="77777777" w:rsidTr="00007BE2">
        <w:trPr>
          <w:cantSplit/>
          <w:jc w:val="center"/>
        </w:trPr>
        <w:tc>
          <w:tcPr>
            <w:tcW w:w="8422" w:type="dxa"/>
          </w:tcPr>
          <w:p w14:paraId="3E35801C" w14:textId="6A6A2849" w:rsidR="00E17286" w:rsidRPr="00A52AB8" w:rsidRDefault="00E17286">
            <w:pPr>
              <w:spacing w:before="20" w:after="40" w:line="240" w:lineRule="auto"/>
              <w:rPr>
                <w:sz w:val="20"/>
              </w:rPr>
            </w:pPr>
            <w:r w:rsidRPr="00A52AB8">
              <w:rPr>
                <w:sz w:val="20"/>
              </w:rPr>
              <w:tab/>
            </w:r>
            <w:r w:rsidRPr="00A52AB8">
              <w:rPr>
                <w:sz w:val="20"/>
              </w:rPr>
              <w:tab/>
            </w:r>
            <w:r w:rsidRPr="00A52AB8">
              <w:rPr>
                <w:sz w:val="20"/>
              </w:rPr>
              <w:tab/>
              <w:t>soi_extension_present_flag</w:t>
            </w:r>
            <w:r w:rsidR="0023721F" w:rsidRPr="00A52AB8">
              <w:rPr>
                <w:sz w:val="20"/>
              </w:rPr>
              <w:t> </w:t>
            </w:r>
            <w:r w:rsidR="00D47707" w:rsidRPr="00A52AB8">
              <w:rPr>
                <w:sz w:val="20"/>
              </w:rPr>
              <w:t>= </w:t>
            </w:r>
            <w:r w:rsidRPr="00A52AB8">
              <w:rPr>
                <w:sz w:val="20"/>
              </w:rPr>
              <w:t>0</w:t>
            </w:r>
          </w:p>
        </w:tc>
        <w:tc>
          <w:tcPr>
            <w:tcW w:w="1332" w:type="dxa"/>
          </w:tcPr>
          <w:p w14:paraId="25807AEE" w14:textId="77777777" w:rsidR="00E17286" w:rsidRPr="00A52AB8" w:rsidRDefault="00E17286">
            <w:pPr>
              <w:spacing w:before="20" w:after="40" w:line="240" w:lineRule="auto"/>
              <w:jc w:val="center"/>
              <w:rPr>
                <w:sz w:val="20"/>
              </w:rPr>
            </w:pPr>
          </w:p>
        </w:tc>
      </w:tr>
      <w:tr w:rsidR="00E17286" w:rsidRPr="00A52AB8" w14:paraId="593C0204" w14:textId="77777777" w:rsidTr="00007BE2">
        <w:trPr>
          <w:cantSplit/>
          <w:jc w:val="center"/>
        </w:trPr>
        <w:tc>
          <w:tcPr>
            <w:tcW w:w="8422" w:type="dxa"/>
          </w:tcPr>
          <w:p w14:paraId="7DA76328" w14:textId="77777777" w:rsidR="00E17286" w:rsidRPr="00A52AB8" w:rsidRDefault="00E17286">
            <w:pPr>
              <w:spacing w:before="20" w:after="40" w:line="240" w:lineRule="auto"/>
              <w:rPr>
                <w:sz w:val="20"/>
              </w:rPr>
            </w:pPr>
            <w:r w:rsidRPr="00A52AB8">
              <w:rPr>
                <w:sz w:val="20"/>
              </w:rPr>
              <w:tab/>
            </w:r>
            <w:r w:rsidRPr="00A52AB8">
              <w:rPr>
                <w:sz w:val="20"/>
              </w:rPr>
              <w:tab/>
              <w:t>}</w:t>
            </w:r>
          </w:p>
        </w:tc>
        <w:tc>
          <w:tcPr>
            <w:tcW w:w="1332" w:type="dxa"/>
          </w:tcPr>
          <w:p w14:paraId="1993E16E" w14:textId="77777777" w:rsidR="00E17286" w:rsidRPr="00A52AB8" w:rsidRDefault="00E17286">
            <w:pPr>
              <w:spacing w:before="20" w:after="40" w:line="240" w:lineRule="auto"/>
              <w:jc w:val="center"/>
              <w:rPr>
                <w:sz w:val="20"/>
              </w:rPr>
            </w:pPr>
          </w:p>
        </w:tc>
      </w:tr>
      <w:tr w:rsidR="00E17286" w:rsidRPr="00A52AB8" w14:paraId="3B3A9443" w14:textId="77777777" w:rsidTr="00007BE2">
        <w:trPr>
          <w:cantSplit/>
          <w:jc w:val="center"/>
        </w:trPr>
        <w:tc>
          <w:tcPr>
            <w:tcW w:w="8422" w:type="dxa"/>
          </w:tcPr>
          <w:p w14:paraId="6E26311C" w14:textId="059862D9" w:rsidR="00E17286" w:rsidRPr="00A52AB8" w:rsidRDefault="00E17286">
            <w:pPr>
              <w:spacing w:before="20" w:after="40" w:line="240" w:lineRule="auto"/>
              <w:rPr>
                <w:color w:val="000000" w:themeColor="text1"/>
                <w:sz w:val="20"/>
                <w:szCs w:val="20"/>
              </w:rPr>
            </w:pPr>
            <w:r w:rsidRPr="00A52AB8">
              <w:rPr>
                <w:b/>
                <w:bCs/>
                <w:sz w:val="20"/>
              </w:rPr>
              <w:tab/>
            </w:r>
            <w:r w:rsidRPr="00A52AB8">
              <w:rPr>
                <w:rFonts w:eastAsia="Malgun Gothic"/>
                <w:b/>
                <w:bCs/>
                <w:sz w:val="20"/>
              </w:rPr>
              <w:tab/>
            </w:r>
            <w:r w:rsidRPr="00A52AB8">
              <w:rPr>
                <w:color w:val="000000" w:themeColor="text1"/>
                <w:sz w:val="20"/>
                <w:szCs w:val="20"/>
              </w:rPr>
              <w:t>if(</w:t>
            </w:r>
            <w:r w:rsidR="00CF74AF" w:rsidRPr="00A52AB8">
              <w:rPr>
                <w:color w:val="000000" w:themeColor="text1"/>
                <w:sz w:val="20"/>
                <w:szCs w:val="20"/>
              </w:rPr>
              <w:t> </w:t>
            </w:r>
            <w:r w:rsidRPr="00A52AB8">
              <w:rPr>
                <w:color w:val="000000" w:themeColor="text1"/>
                <w:sz w:val="20"/>
                <w:szCs w:val="20"/>
              </w:rPr>
              <w:t>soi</w:t>
            </w:r>
            <w:r w:rsidRPr="00A52AB8">
              <w:rPr>
                <w:bCs/>
                <w:sz w:val="20"/>
              </w:rPr>
              <w:t>_3d_</w:t>
            </w:r>
            <w:r w:rsidRPr="00A52AB8">
              <w:rPr>
                <w:sz w:val="20"/>
              </w:rPr>
              <w:t>bounding_box_present_flag</w:t>
            </w:r>
            <w:r w:rsidR="00CF74AF" w:rsidRPr="00A52AB8">
              <w:rPr>
                <w:sz w:val="20"/>
              </w:rPr>
              <w:t> </w:t>
            </w:r>
            <w:r w:rsidR="008F1F82" w:rsidRPr="00A52AB8">
              <w:rPr>
                <w:sz w:val="20"/>
              </w:rPr>
              <w:t>) {</w:t>
            </w:r>
          </w:p>
        </w:tc>
        <w:tc>
          <w:tcPr>
            <w:tcW w:w="1332" w:type="dxa"/>
          </w:tcPr>
          <w:p w14:paraId="4A370152" w14:textId="77777777" w:rsidR="00E17286" w:rsidRPr="00A52AB8" w:rsidRDefault="00E17286">
            <w:pPr>
              <w:spacing w:before="20" w:after="40" w:line="240" w:lineRule="auto"/>
              <w:jc w:val="center"/>
              <w:rPr>
                <w:color w:val="000000" w:themeColor="text1"/>
                <w:sz w:val="20"/>
                <w:szCs w:val="20"/>
              </w:rPr>
            </w:pPr>
          </w:p>
        </w:tc>
      </w:tr>
      <w:tr w:rsidR="00E17286" w:rsidRPr="00A52AB8" w14:paraId="239C9BDF" w14:textId="77777777" w:rsidTr="00007BE2">
        <w:trPr>
          <w:cantSplit/>
          <w:jc w:val="center"/>
        </w:trPr>
        <w:tc>
          <w:tcPr>
            <w:tcW w:w="8422" w:type="dxa"/>
          </w:tcPr>
          <w:p w14:paraId="51569047" w14:textId="77777777" w:rsidR="00E17286" w:rsidRPr="00A52AB8" w:rsidRDefault="00E17286">
            <w:pPr>
              <w:spacing w:before="20" w:after="40" w:line="240" w:lineRule="auto"/>
              <w:rPr>
                <w:b/>
                <w:bCs/>
                <w:sz w:val="20"/>
              </w:rPr>
            </w:pPr>
            <w:r w:rsidRPr="00A52AB8">
              <w:rPr>
                <w:color w:val="000000" w:themeColor="text1"/>
                <w:sz w:val="20"/>
                <w:szCs w:val="20"/>
              </w:rPr>
              <w:tab/>
            </w:r>
            <w:r w:rsidRPr="00A52AB8">
              <w:rPr>
                <w:color w:val="000000" w:themeColor="text1"/>
                <w:sz w:val="20"/>
                <w:szCs w:val="20"/>
              </w:rPr>
              <w:tab/>
            </w:r>
            <w:r w:rsidRPr="00A52AB8">
              <w:rPr>
                <w:color w:val="000000" w:themeColor="text1"/>
                <w:sz w:val="20"/>
                <w:szCs w:val="20"/>
              </w:rPr>
              <w:tab/>
            </w:r>
            <w:r w:rsidRPr="00A52AB8">
              <w:rPr>
                <w:b/>
                <w:bCs/>
                <w:color w:val="000000" w:themeColor="text1"/>
                <w:sz w:val="20"/>
                <w:szCs w:val="20"/>
              </w:rPr>
              <w:t>soi</w:t>
            </w:r>
            <w:r w:rsidRPr="00A52AB8">
              <w:rPr>
                <w:b/>
                <w:bCs/>
                <w:sz w:val="20"/>
              </w:rPr>
              <w:t>_3d_</w:t>
            </w:r>
            <w:r w:rsidRPr="00A52AB8">
              <w:rPr>
                <w:b/>
                <w:color w:val="000000" w:themeColor="text1"/>
                <w:sz w:val="20"/>
                <w:szCs w:val="20"/>
              </w:rPr>
              <w:t>bounding_box_scale_log2</w:t>
            </w:r>
          </w:p>
        </w:tc>
        <w:tc>
          <w:tcPr>
            <w:tcW w:w="1332" w:type="dxa"/>
          </w:tcPr>
          <w:p w14:paraId="00E9C7A4" w14:textId="77777777" w:rsidR="00E17286" w:rsidRPr="00A52AB8" w:rsidRDefault="00E17286">
            <w:pPr>
              <w:spacing w:before="20" w:after="40" w:line="240" w:lineRule="auto"/>
              <w:jc w:val="center"/>
              <w:rPr>
                <w:bCs/>
                <w:sz w:val="20"/>
              </w:rPr>
            </w:pPr>
            <w:r w:rsidRPr="00A52AB8">
              <w:rPr>
                <w:color w:val="000000" w:themeColor="text1"/>
                <w:sz w:val="20"/>
                <w:szCs w:val="20"/>
              </w:rPr>
              <w:t>u(5)</w:t>
            </w:r>
          </w:p>
        </w:tc>
      </w:tr>
      <w:tr w:rsidR="00E17286" w:rsidRPr="00A52AB8" w14:paraId="1977FAE4" w14:textId="77777777" w:rsidTr="00007BE2">
        <w:trPr>
          <w:cantSplit/>
          <w:jc w:val="center"/>
        </w:trPr>
        <w:tc>
          <w:tcPr>
            <w:tcW w:w="8422" w:type="dxa"/>
          </w:tcPr>
          <w:p w14:paraId="4E3071BF" w14:textId="77777777" w:rsidR="00E17286" w:rsidRPr="00A52AB8" w:rsidRDefault="00E17286">
            <w:pPr>
              <w:spacing w:before="20" w:after="40" w:line="240" w:lineRule="auto"/>
              <w:rPr>
                <w:b/>
                <w:bCs/>
                <w:sz w:val="20"/>
              </w:rPr>
            </w:pPr>
            <w:r w:rsidRPr="00A52AB8">
              <w:rPr>
                <w:color w:val="000000" w:themeColor="text1"/>
                <w:sz w:val="20"/>
                <w:szCs w:val="20"/>
              </w:rPr>
              <w:tab/>
            </w:r>
            <w:r w:rsidRPr="00A52AB8">
              <w:rPr>
                <w:color w:val="000000" w:themeColor="text1"/>
                <w:sz w:val="20"/>
                <w:szCs w:val="20"/>
              </w:rPr>
              <w:tab/>
              <w:t>}</w:t>
            </w:r>
          </w:p>
        </w:tc>
        <w:tc>
          <w:tcPr>
            <w:tcW w:w="1332" w:type="dxa"/>
          </w:tcPr>
          <w:p w14:paraId="338892E4" w14:textId="77777777" w:rsidR="00E17286" w:rsidRPr="00A52AB8" w:rsidRDefault="00E17286">
            <w:pPr>
              <w:spacing w:before="20" w:after="40" w:line="240" w:lineRule="auto"/>
              <w:jc w:val="center"/>
              <w:rPr>
                <w:bCs/>
                <w:sz w:val="20"/>
              </w:rPr>
            </w:pPr>
          </w:p>
        </w:tc>
      </w:tr>
      <w:tr w:rsidR="00E17286" w:rsidRPr="00A52AB8" w14:paraId="55396769" w14:textId="77777777" w:rsidTr="00007BE2">
        <w:trPr>
          <w:cantSplit/>
          <w:trHeight w:val="152"/>
          <w:jc w:val="center"/>
        </w:trPr>
        <w:tc>
          <w:tcPr>
            <w:tcW w:w="8422" w:type="dxa"/>
          </w:tcPr>
          <w:p w14:paraId="2AE0A9F0" w14:textId="15E5C6D1" w:rsidR="00E17286" w:rsidRPr="00A52AB8" w:rsidRDefault="00E17286">
            <w:pPr>
              <w:spacing w:before="20" w:after="40" w:line="240" w:lineRule="auto"/>
              <w:rPr>
                <w:b/>
                <w:bCs/>
                <w:sz w:val="20"/>
                <w:szCs w:val="20"/>
              </w:rPr>
            </w:pPr>
            <w:r w:rsidRPr="00A52AB8">
              <w:rPr>
                <w:sz w:val="20"/>
                <w:szCs w:val="20"/>
              </w:rPr>
              <w:tab/>
            </w:r>
            <w:r w:rsidRPr="00A52AB8">
              <w:rPr>
                <w:sz w:val="20"/>
                <w:szCs w:val="20"/>
              </w:rPr>
              <w:tab/>
            </w:r>
            <w:r w:rsidRPr="00A52AB8">
              <w:rPr>
                <w:b/>
                <w:bCs/>
                <w:sz w:val="20"/>
                <w:szCs w:val="20"/>
              </w:rPr>
              <w:t>soi_log2_max_object_idx_updated</w:t>
            </w:r>
            <w:r w:rsidR="000D5E12" w:rsidRPr="00A52AB8">
              <w:rPr>
                <w:b/>
                <w:bCs/>
                <w:sz w:val="20"/>
                <w:szCs w:val="20"/>
              </w:rPr>
              <w:t>_minus1</w:t>
            </w:r>
          </w:p>
        </w:tc>
        <w:tc>
          <w:tcPr>
            <w:tcW w:w="1332" w:type="dxa"/>
          </w:tcPr>
          <w:p w14:paraId="07E41D01" w14:textId="77777777" w:rsidR="00E17286" w:rsidRPr="00A52AB8" w:rsidRDefault="00E17286">
            <w:pPr>
              <w:spacing w:before="20" w:after="40" w:line="240" w:lineRule="auto"/>
              <w:jc w:val="center"/>
              <w:rPr>
                <w:rFonts w:eastAsia="Malgun Gothic"/>
                <w:sz w:val="20"/>
                <w:szCs w:val="20"/>
              </w:rPr>
            </w:pPr>
            <w:r w:rsidRPr="00A52AB8">
              <w:rPr>
                <w:rFonts w:eastAsia="Malgun Gothic"/>
                <w:sz w:val="20"/>
                <w:szCs w:val="20"/>
              </w:rPr>
              <w:t>u(5)</w:t>
            </w:r>
          </w:p>
        </w:tc>
      </w:tr>
      <w:tr w:rsidR="00E17286" w:rsidRPr="00A52AB8" w14:paraId="29E83E2B" w14:textId="77777777" w:rsidTr="00007BE2">
        <w:trPr>
          <w:cantSplit/>
          <w:jc w:val="center"/>
        </w:trPr>
        <w:tc>
          <w:tcPr>
            <w:tcW w:w="8422" w:type="dxa"/>
          </w:tcPr>
          <w:p w14:paraId="1640FBE4" w14:textId="77777777" w:rsidR="00E17286" w:rsidRPr="00A52AB8" w:rsidRDefault="00E17286">
            <w:pPr>
              <w:spacing w:before="20" w:after="40" w:line="240" w:lineRule="auto"/>
              <w:rPr>
                <w:sz w:val="20"/>
                <w:szCs w:val="20"/>
              </w:rPr>
            </w:pPr>
            <w:r w:rsidRPr="00A52AB8">
              <w:rPr>
                <w:sz w:val="20"/>
                <w:szCs w:val="20"/>
              </w:rPr>
              <w:tab/>
            </w:r>
            <w:r w:rsidRPr="00A52AB8">
              <w:rPr>
                <w:sz w:val="20"/>
                <w:szCs w:val="20"/>
              </w:rPr>
              <w:tab/>
            </w:r>
            <w:r w:rsidRPr="00A52AB8">
              <w:rPr>
                <w:color w:val="000000" w:themeColor="text1"/>
                <w:sz w:val="20"/>
                <w:szCs w:val="20"/>
              </w:rPr>
              <w:t>if( </w:t>
            </w:r>
            <w:r w:rsidRPr="00A52AB8">
              <w:rPr>
                <w:sz w:val="20"/>
                <w:szCs w:val="20"/>
              </w:rPr>
              <w:t>soi_object_dependency_present_flag )</w:t>
            </w:r>
          </w:p>
        </w:tc>
        <w:tc>
          <w:tcPr>
            <w:tcW w:w="1332" w:type="dxa"/>
          </w:tcPr>
          <w:p w14:paraId="560C1E03" w14:textId="77777777" w:rsidR="00E17286" w:rsidRPr="00A52AB8" w:rsidRDefault="00E17286">
            <w:pPr>
              <w:spacing w:before="20" w:after="40" w:line="240" w:lineRule="auto"/>
              <w:jc w:val="center"/>
              <w:rPr>
                <w:rFonts w:eastAsia="Malgun Gothic"/>
                <w:sz w:val="20"/>
                <w:szCs w:val="20"/>
              </w:rPr>
            </w:pPr>
          </w:p>
        </w:tc>
      </w:tr>
      <w:tr w:rsidR="00E17286" w:rsidRPr="00A52AB8" w14:paraId="206128AA" w14:textId="77777777" w:rsidTr="00007BE2">
        <w:trPr>
          <w:cantSplit/>
          <w:trHeight w:val="251"/>
          <w:jc w:val="center"/>
        </w:trPr>
        <w:tc>
          <w:tcPr>
            <w:tcW w:w="8422" w:type="dxa"/>
          </w:tcPr>
          <w:p w14:paraId="4DA5D2BC" w14:textId="77777777" w:rsidR="00E17286" w:rsidRPr="00A52AB8" w:rsidRDefault="00E17286">
            <w:pPr>
              <w:spacing w:before="20" w:after="40" w:line="240" w:lineRule="auto"/>
              <w:rPr>
                <w:b/>
                <w:bCs/>
                <w:sz w:val="20"/>
                <w:szCs w:val="20"/>
              </w:rPr>
            </w:pPr>
            <w:r w:rsidRPr="00A52AB8">
              <w:rPr>
                <w:b/>
                <w:bCs/>
                <w:sz w:val="20"/>
                <w:szCs w:val="20"/>
              </w:rPr>
              <w:tab/>
            </w:r>
            <w:r w:rsidRPr="00A52AB8">
              <w:rPr>
                <w:b/>
                <w:bCs/>
                <w:sz w:val="20"/>
                <w:szCs w:val="20"/>
              </w:rPr>
              <w:tab/>
            </w:r>
            <w:r w:rsidRPr="00A52AB8">
              <w:rPr>
                <w:b/>
                <w:bCs/>
                <w:sz w:val="20"/>
                <w:szCs w:val="20"/>
              </w:rPr>
              <w:tab/>
              <w:t>soi_log2_max_object_dependency_idx</w:t>
            </w:r>
          </w:p>
        </w:tc>
        <w:tc>
          <w:tcPr>
            <w:tcW w:w="1332" w:type="dxa"/>
          </w:tcPr>
          <w:p w14:paraId="6D924B57" w14:textId="77777777" w:rsidR="00E17286" w:rsidRPr="00A52AB8" w:rsidRDefault="00E17286">
            <w:pPr>
              <w:spacing w:before="20" w:after="40" w:line="240" w:lineRule="auto"/>
              <w:jc w:val="center"/>
              <w:rPr>
                <w:rFonts w:eastAsia="Malgun Gothic"/>
                <w:sz w:val="20"/>
                <w:szCs w:val="20"/>
              </w:rPr>
            </w:pPr>
            <w:r w:rsidRPr="00A52AB8">
              <w:rPr>
                <w:rFonts w:eastAsia="Malgun Gothic"/>
                <w:sz w:val="20"/>
                <w:szCs w:val="20"/>
              </w:rPr>
              <w:t>u(5)</w:t>
            </w:r>
          </w:p>
        </w:tc>
      </w:tr>
      <w:tr w:rsidR="00E17286" w:rsidRPr="00A52AB8" w14:paraId="053CCC71" w14:textId="77777777" w:rsidTr="00007BE2">
        <w:trPr>
          <w:cantSplit/>
          <w:jc w:val="center"/>
        </w:trPr>
        <w:tc>
          <w:tcPr>
            <w:tcW w:w="8422" w:type="dxa"/>
          </w:tcPr>
          <w:p w14:paraId="4A61D680" w14:textId="5A41D514" w:rsidR="00E17286" w:rsidRPr="00A52AB8" w:rsidRDefault="00E17286">
            <w:pPr>
              <w:spacing w:before="20" w:after="40" w:line="240" w:lineRule="auto"/>
              <w:rPr>
                <w:sz w:val="20"/>
              </w:rPr>
            </w:pPr>
            <w:r w:rsidRPr="00A52AB8">
              <w:rPr>
                <w:b/>
                <w:bCs/>
                <w:sz w:val="20"/>
              </w:rPr>
              <w:tab/>
            </w:r>
            <w:r w:rsidRPr="00A52AB8">
              <w:rPr>
                <w:b/>
                <w:bCs/>
                <w:sz w:val="20"/>
              </w:rPr>
              <w:tab/>
            </w:r>
            <w:r w:rsidRPr="00A52AB8">
              <w:rPr>
                <w:bCs/>
                <w:sz w:val="20"/>
              </w:rPr>
              <w:t>for(</w:t>
            </w:r>
            <w:r w:rsidR="00D115AF" w:rsidRPr="00A52AB8">
              <w:rPr>
                <w:bCs/>
                <w:sz w:val="20"/>
              </w:rPr>
              <w:t> </w:t>
            </w:r>
            <w:r w:rsidRPr="00A52AB8">
              <w:rPr>
                <w:bCs/>
                <w:sz w:val="20"/>
              </w:rPr>
              <w:t>i</w:t>
            </w:r>
            <w:r w:rsidR="00D47707" w:rsidRPr="00A52AB8">
              <w:rPr>
                <w:bCs/>
                <w:sz w:val="20"/>
              </w:rPr>
              <w:t> = </w:t>
            </w:r>
            <w:r w:rsidRPr="00A52AB8">
              <w:rPr>
                <w:bCs/>
                <w:sz w:val="20"/>
              </w:rPr>
              <w:t>0;</w:t>
            </w:r>
            <w:r w:rsidR="00D115AF" w:rsidRPr="00A52AB8">
              <w:rPr>
                <w:bCs/>
                <w:sz w:val="20"/>
              </w:rPr>
              <w:t> </w:t>
            </w:r>
            <w:r w:rsidRPr="00A52AB8">
              <w:rPr>
                <w:bCs/>
                <w:sz w:val="20"/>
              </w:rPr>
              <w:t>i</w:t>
            </w:r>
            <w:r w:rsidR="008768E9" w:rsidRPr="00A52AB8">
              <w:rPr>
                <w:bCs/>
                <w:sz w:val="20"/>
              </w:rPr>
              <w:t> &lt; </w:t>
            </w:r>
            <w:r w:rsidRPr="00A52AB8">
              <w:rPr>
                <w:bCs/>
                <w:sz w:val="20"/>
              </w:rPr>
              <w:t>soi_num_object_updates;</w:t>
            </w:r>
            <w:r w:rsidR="00D115AF" w:rsidRPr="00A52AB8">
              <w:rPr>
                <w:bCs/>
                <w:sz w:val="20"/>
              </w:rPr>
              <w:t> </w:t>
            </w:r>
            <w:r w:rsidRPr="00A52AB8">
              <w:rPr>
                <w:bCs/>
                <w:sz w:val="20"/>
              </w:rPr>
              <w:t>i</w:t>
            </w:r>
            <w:r w:rsidR="00006CCF" w:rsidRPr="00A52AB8">
              <w:rPr>
                <w:bCs/>
                <w:sz w:val="20"/>
              </w:rPr>
              <w:t>++ </w:t>
            </w:r>
            <w:r w:rsidR="008F1F82" w:rsidRPr="00A52AB8">
              <w:rPr>
                <w:bCs/>
                <w:sz w:val="20"/>
              </w:rPr>
              <w:t>) {</w:t>
            </w:r>
          </w:p>
        </w:tc>
        <w:tc>
          <w:tcPr>
            <w:tcW w:w="1332" w:type="dxa"/>
          </w:tcPr>
          <w:p w14:paraId="266ED70D" w14:textId="77777777" w:rsidR="00E17286" w:rsidRPr="00A52AB8" w:rsidRDefault="00E17286">
            <w:pPr>
              <w:spacing w:before="20" w:after="40" w:line="240" w:lineRule="auto"/>
              <w:jc w:val="center"/>
              <w:rPr>
                <w:rFonts w:eastAsia="Malgun Gothic"/>
                <w:sz w:val="20"/>
              </w:rPr>
            </w:pPr>
          </w:p>
        </w:tc>
      </w:tr>
      <w:tr w:rsidR="00E17286" w:rsidRPr="00A52AB8" w14:paraId="770CD802" w14:textId="77777777" w:rsidTr="00007BE2">
        <w:trPr>
          <w:cantSplit/>
          <w:jc w:val="center"/>
        </w:trPr>
        <w:tc>
          <w:tcPr>
            <w:tcW w:w="8422" w:type="dxa"/>
          </w:tcPr>
          <w:p w14:paraId="087BBFCE" w14:textId="77777777" w:rsidR="00E17286" w:rsidRPr="00A52AB8" w:rsidRDefault="00E17286">
            <w:pPr>
              <w:spacing w:before="20" w:after="40" w:line="240" w:lineRule="auto"/>
              <w:rPr>
                <w:sz w:val="20"/>
              </w:rPr>
            </w:pPr>
            <w:r w:rsidRPr="00A52AB8">
              <w:rPr>
                <w:b/>
                <w:bCs/>
                <w:sz w:val="20"/>
              </w:rPr>
              <w:tab/>
            </w:r>
            <w:r w:rsidRPr="00A52AB8">
              <w:rPr>
                <w:b/>
                <w:bCs/>
                <w:sz w:val="20"/>
              </w:rPr>
              <w:tab/>
            </w:r>
            <w:r w:rsidRPr="00A52AB8">
              <w:rPr>
                <w:b/>
                <w:bCs/>
                <w:sz w:val="20"/>
              </w:rPr>
              <w:tab/>
              <w:t>soi_object_idx</w:t>
            </w:r>
            <w:r w:rsidR="001F4484" w:rsidRPr="00A52AB8">
              <w:rPr>
                <w:sz w:val="20"/>
              </w:rPr>
              <w:t>[ i ]</w:t>
            </w:r>
          </w:p>
        </w:tc>
        <w:tc>
          <w:tcPr>
            <w:tcW w:w="1332" w:type="dxa"/>
          </w:tcPr>
          <w:p w14:paraId="0E79F085" w14:textId="77777777" w:rsidR="00E17286" w:rsidRPr="00A52AB8" w:rsidRDefault="00E17286">
            <w:pPr>
              <w:spacing w:before="20" w:after="40" w:line="240" w:lineRule="auto"/>
              <w:jc w:val="center"/>
              <w:rPr>
                <w:rFonts w:eastAsia="Malgun Gothic"/>
                <w:sz w:val="20"/>
              </w:rPr>
            </w:pPr>
            <w:r w:rsidRPr="00A52AB8">
              <w:rPr>
                <w:bCs/>
                <w:sz w:val="20"/>
              </w:rPr>
              <w:t>u(v)</w:t>
            </w:r>
          </w:p>
        </w:tc>
      </w:tr>
      <w:tr w:rsidR="00E17286" w:rsidRPr="00A52AB8" w14:paraId="2D65CD44" w14:textId="77777777" w:rsidTr="00007BE2">
        <w:trPr>
          <w:cantSplit/>
          <w:jc w:val="center"/>
        </w:trPr>
        <w:tc>
          <w:tcPr>
            <w:tcW w:w="8422" w:type="dxa"/>
          </w:tcPr>
          <w:p w14:paraId="42C7BFAF" w14:textId="3177BBC0" w:rsidR="00E17286" w:rsidRPr="00A52AB8" w:rsidRDefault="00E17286">
            <w:pPr>
              <w:spacing w:before="20" w:after="40" w:line="240" w:lineRule="auto"/>
              <w:rPr>
                <w:sz w:val="20"/>
              </w:rPr>
            </w:pPr>
            <w:r w:rsidRPr="00A52AB8">
              <w:rPr>
                <w:b/>
                <w:bCs/>
                <w:sz w:val="20"/>
              </w:rPr>
              <w:tab/>
            </w:r>
            <w:r w:rsidRPr="00A52AB8">
              <w:rPr>
                <w:b/>
                <w:bCs/>
                <w:sz w:val="20"/>
              </w:rPr>
              <w:tab/>
            </w:r>
            <w:r w:rsidRPr="00A52AB8">
              <w:rPr>
                <w:b/>
                <w:bCs/>
                <w:sz w:val="20"/>
              </w:rPr>
              <w:tab/>
            </w:r>
            <w:r w:rsidRPr="00A52AB8">
              <w:rPr>
                <w:sz w:val="20"/>
              </w:rPr>
              <w:t>k</w:t>
            </w:r>
            <w:r w:rsidR="0023721F" w:rsidRPr="00A52AB8">
              <w:rPr>
                <w:sz w:val="20"/>
              </w:rPr>
              <w:t> </w:t>
            </w:r>
            <w:r w:rsidR="00D47707" w:rsidRPr="00A52AB8">
              <w:rPr>
                <w:sz w:val="20"/>
              </w:rPr>
              <w:t>= </w:t>
            </w:r>
            <w:r w:rsidRPr="00A52AB8">
              <w:rPr>
                <w:sz w:val="20"/>
              </w:rPr>
              <w:t>soi_object_idx</w:t>
            </w:r>
            <w:r w:rsidR="001F4484" w:rsidRPr="00A52AB8">
              <w:rPr>
                <w:sz w:val="20"/>
              </w:rPr>
              <w:t>[ i ]</w:t>
            </w:r>
          </w:p>
        </w:tc>
        <w:tc>
          <w:tcPr>
            <w:tcW w:w="1332" w:type="dxa"/>
          </w:tcPr>
          <w:p w14:paraId="04117944" w14:textId="77777777" w:rsidR="00E17286" w:rsidRPr="00A52AB8" w:rsidRDefault="00E17286">
            <w:pPr>
              <w:spacing w:before="20" w:after="40" w:line="240" w:lineRule="auto"/>
              <w:jc w:val="center"/>
              <w:rPr>
                <w:sz w:val="20"/>
              </w:rPr>
            </w:pPr>
          </w:p>
        </w:tc>
      </w:tr>
      <w:tr w:rsidR="00E17286" w:rsidRPr="00A52AB8" w14:paraId="675A9942" w14:textId="77777777" w:rsidTr="00007BE2">
        <w:trPr>
          <w:cantSplit/>
          <w:jc w:val="center"/>
        </w:trPr>
        <w:tc>
          <w:tcPr>
            <w:tcW w:w="8422" w:type="dxa"/>
          </w:tcPr>
          <w:p w14:paraId="35807FF2" w14:textId="77777777" w:rsidR="00E17286" w:rsidRPr="00A52AB8" w:rsidRDefault="00E17286">
            <w:pPr>
              <w:spacing w:before="20" w:after="40" w:line="240" w:lineRule="auto"/>
              <w:rPr>
                <w:sz w:val="20"/>
              </w:rPr>
            </w:pPr>
            <w:r w:rsidRPr="00A52AB8">
              <w:rPr>
                <w:b/>
                <w:bCs/>
                <w:sz w:val="20"/>
              </w:rPr>
              <w:tab/>
            </w:r>
            <w:r w:rsidRPr="00A52AB8">
              <w:rPr>
                <w:b/>
                <w:bCs/>
                <w:sz w:val="20"/>
              </w:rPr>
              <w:tab/>
            </w:r>
            <w:r w:rsidRPr="00A52AB8">
              <w:rPr>
                <w:b/>
                <w:bCs/>
                <w:sz w:val="20"/>
              </w:rPr>
              <w:tab/>
              <w:t>soi_object_cancel_flag</w:t>
            </w:r>
            <w:r w:rsidR="004B7314" w:rsidRPr="00A52AB8">
              <w:rPr>
                <w:sz w:val="20"/>
              </w:rPr>
              <w:t>[ k ]</w:t>
            </w:r>
          </w:p>
        </w:tc>
        <w:tc>
          <w:tcPr>
            <w:tcW w:w="1332" w:type="dxa"/>
          </w:tcPr>
          <w:p w14:paraId="1DB94361" w14:textId="77777777" w:rsidR="00E17286" w:rsidRPr="00A52AB8" w:rsidRDefault="00E17286">
            <w:pPr>
              <w:spacing w:before="20" w:after="40" w:line="240" w:lineRule="auto"/>
              <w:jc w:val="center"/>
              <w:rPr>
                <w:rFonts w:eastAsia="Malgun Gothic"/>
                <w:sz w:val="20"/>
              </w:rPr>
            </w:pPr>
            <w:r w:rsidRPr="00A52AB8">
              <w:rPr>
                <w:sz w:val="20"/>
              </w:rPr>
              <w:t>u(1)</w:t>
            </w:r>
          </w:p>
        </w:tc>
      </w:tr>
      <w:tr w:rsidR="00E17286" w:rsidRPr="00A52AB8" w14:paraId="663D452D" w14:textId="77777777" w:rsidTr="00007BE2">
        <w:trPr>
          <w:cantSplit/>
          <w:jc w:val="center"/>
        </w:trPr>
        <w:tc>
          <w:tcPr>
            <w:tcW w:w="8422" w:type="dxa"/>
          </w:tcPr>
          <w:p w14:paraId="19B65B96" w14:textId="5A2D1F56" w:rsidR="00E17286" w:rsidRPr="00A52AB8" w:rsidRDefault="00E17286">
            <w:pPr>
              <w:spacing w:before="20" w:after="40" w:line="240" w:lineRule="auto"/>
              <w:rPr>
                <w:bCs/>
                <w:sz w:val="20"/>
              </w:rPr>
            </w:pPr>
            <w:r w:rsidRPr="00A52AB8">
              <w:rPr>
                <w:bCs/>
                <w:sz w:val="20"/>
              </w:rPr>
              <w:tab/>
            </w:r>
            <w:r w:rsidRPr="00A52AB8">
              <w:rPr>
                <w:bCs/>
                <w:sz w:val="20"/>
              </w:rPr>
              <w:tab/>
            </w:r>
            <w:r w:rsidRPr="00A52AB8">
              <w:rPr>
                <w:bCs/>
                <w:sz w:val="20"/>
              </w:rPr>
              <w:tab/>
              <w:t>ObjectTracked</w:t>
            </w:r>
            <w:r w:rsidR="004B7314" w:rsidRPr="00A52AB8">
              <w:rPr>
                <w:bCs/>
                <w:sz w:val="20"/>
              </w:rPr>
              <w:t>[ k ]</w:t>
            </w:r>
            <w:r w:rsidR="00D47707" w:rsidRPr="00A52AB8">
              <w:rPr>
                <w:bCs/>
                <w:sz w:val="20"/>
              </w:rPr>
              <w:t> = </w:t>
            </w:r>
            <w:r w:rsidRPr="00A52AB8">
              <w:rPr>
                <w:bCs/>
                <w:sz w:val="20"/>
              </w:rPr>
              <w:t>!</w:t>
            </w:r>
            <w:r w:rsidR="00CF74AF" w:rsidRPr="00A52AB8">
              <w:rPr>
                <w:bCs/>
                <w:sz w:val="20"/>
              </w:rPr>
              <w:t>soi</w:t>
            </w:r>
            <w:r w:rsidRPr="00A52AB8">
              <w:rPr>
                <w:bCs/>
                <w:sz w:val="20"/>
              </w:rPr>
              <w:t>_object_cancel_flag</w:t>
            </w:r>
            <w:r w:rsidR="004B7314" w:rsidRPr="00A52AB8">
              <w:rPr>
                <w:sz w:val="20"/>
              </w:rPr>
              <w:t>[ k ]</w:t>
            </w:r>
          </w:p>
        </w:tc>
        <w:tc>
          <w:tcPr>
            <w:tcW w:w="1332" w:type="dxa"/>
          </w:tcPr>
          <w:p w14:paraId="03E43E78" w14:textId="77777777" w:rsidR="00E17286" w:rsidRPr="00A52AB8" w:rsidRDefault="00E17286">
            <w:pPr>
              <w:spacing w:before="20" w:after="40" w:line="240" w:lineRule="auto"/>
              <w:jc w:val="center"/>
              <w:rPr>
                <w:sz w:val="20"/>
              </w:rPr>
            </w:pPr>
          </w:p>
        </w:tc>
      </w:tr>
      <w:tr w:rsidR="00E17286" w:rsidRPr="00A52AB8" w14:paraId="01C2B08D" w14:textId="77777777" w:rsidTr="00007BE2">
        <w:trPr>
          <w:cantSplit/>
          <w:jc w:val="center"/>
        </w:trPr>
        <w:tc>
          <w:tcPr>
            <w:tcW w:w="8422" w:type="dxa"/>
          </w:tcPr>
          <w:p w14:paraId="5793C968" w14:textId="7B5977DC" w:rsidR="00E17286" w:rsidRPr="00A52AB8" w:rsidRDefault="00E17286">
            <w:pPr>
              <w:spacing w:before="20" w:after="40" w:line="240" w:lineRule="auto"/>
              <w:rPr>
                <w:sz w:val="20"/>
              </w:rPr>
            </w:pPr>
            <w:r w:rsidRPr="00A52AB8">
              <w:rPr>
                <w:b/>
                <w:bCs/>
                <w:sz w:val="20"/>
              </w:rPr>
              <w:tab/>
            </w:r>
            <w:r w:rsidRPr="00A52AB8">
              <w:rPr>
                <w:bCs/>
                <w:sz w:val="20"/>
              </w:rPr>
              <w:tab/>
            </w:r>
            <w:r w:rsidRPr="00A52AB8">
              <w:rPr>
                <w:bCs/>
                <w:sz w:val="20"/>
              </w:rPr>
              <w:tab/>
            </w:r>
            <w:r w:rsidR="00D63ACE" w:rsidRPr="00A52AB8">
              <w:rPr>
                <w:bCs/>
                <w:sz w:val="20"/>
              </w:rPr>
              <w:t>if(</w:t>
            </w:r>
            <w:r w:rsidR="00CF74AF" w:rsidRPr="00A52AB8">
              <w:rPr>
                <w:bCs/>
                <w:sz w:val="20"/>
              </w:rPr>
              <w:t> </w:t>
            </w:r>
            <w:r w:rsidRPr="00A52AB8">
              <w:rPr>
                <w:bCs/>
                <w:sz w:val="20"/>
              </w:rPr>
              <w:t>!soi_object_cancel_flag</w:t>
            </w:r>
            <w:r w:rsidR="004B7314" w:rsidRPr="00A52AB8">
              <w:rPr>
                <w:sz w:val="20"/>
              </w:rPr>
              <w:t>[ k ]</w:t>
            </w:r>
            <w:r w:rsidR="00CF74AF" w:rsidRPr="00A52AB8">
              <w:rPr>
                <w:sz w:val="20"/>
              </w:rPr>
              <w:t> </w:t>
            </w:r>
            <w:r w:rsidR="008F1F82" w:rsidRPr="00A52AB8">
              <w:rPr>
                <w:bCs/>
                <w:sz w:val="20"/>
              </w:rPr>
              <w:t>) {</w:t>
            </w:r>
          </w:p>
        </w:tc>
        <w:tc>
          <w:tcPr>
            <w:tcW w:w="1332" w:type="dxa"/>
          </w:tcPr>
          <w:p w14:paraId="5BA2707F" w14:textId="77777777" w:rsidR="00E17286" w:rsidRPr="00A52AB8" w:rsidRDefault="00E17286">
            <w:pPr>
              <w:spacing w:before="20" w:after="40" w:line="240" w:lineRule="auto"/>
              <w:jc w:val="center"/>
              <w:rPr>
                <w:rFonts w:eastAsia="Malgun Gothic"/>
                <w:sz w:val="20"/>
              </w:rPr>
            </w:pPr>
          </w:p>
        </w:tc>
      </w:tr>
      <w:tr w:rsidR="00E17286" w:rsidRPr="00A52AB8" w14:paraId="2BB34F37" w14:textId="77777777" w:rsidTr="00007BE2">
        <w:trPr>
          <w:cantSplit/>
          <w:jc w:val="center"/>
        </w:trPr>
        <w:tc>
          <w:tcPr>
            <w:tcW w:w="8422" w:type="dxa"/>
          </w:tcPr>
          <w:p w14:paraId="24FBC0BB" w14:textId="3258268A" w:rsidR="00E17286" w:rsidRPr="00A52AB8" w:rsidRDefault="00E17286">
            <w:pPr>
              <w:spacing w:before="20" w:after="40" w:line="240" w:lineRule="auto"/>
              <w:rPr>
                <w:sz w:val="20"/>
              </w:rPr>
            </w:pPr>
            <w:r w:rsidRPr="00A52AB8">
              <w:rPr>
                <w:b/>
                <w:bCs/>
                <w:sz w:val="20"/>
              </w:rPr>
              <w:tab/>
            </w:r>
            <w:r w:rsidRPr="00A52AB8">
              <w:rPr>
                <w:b/>
                <w:bCs/>
                <w:sz w:val="20"/>
              </w:rPr>
              <w:tab/>
            </w:r>
            <w:r w:rsidRPr="00A52AB8">
              <w:rPr>
                <w:b/>
                <w:bCs/>
                <w:sz w:val="20"/>
              </w:rPr>
              <w:tab/>
            </w:r>
            <w:r w:rsidRPr="00A52AB8">
              <w:rPr>
                <w:b/>
                <w:bCs/>
                <w:sz w:val="20"/>
              </w:rPr>
              <w:tab/>
            </w:r>
            <w:r w:rsidRPr="00A52AB8">
              <w:rPr>
                <w:sz w:val="20"/>
              </w:rPr>
              <w:t>if( soi_object_label_present_flag</w:t>
            </w:r>
            <w:r w:rsidR="00CF74AF" w:rsidRPr="00A52AB8">
              <w:rPr>
                <w:sz w:val="20"/>
              </w:rPr>
              <w:t> </w:t>
            </w:r>
            <w:r w:rsidR="008F1F82" w:rsidRPr="00A52AB8">
              <w:rPr>
                <w:sz w:val="20"/>
              </w:rPr>
              <w:t>) {</w:t>
            </w:r>
          </w:p>
        </w:tc>
        <w:tc>
          <w:tcPr>
            <w:tcW w:w="1332" w:type="dxa"/>
          </w:tcPr>
          <w:p w14:paraId="691D7F8E" w14:textId="77777777" w:rsidR="00E17286" w:rsidRPr="00A52AB8" w:rsidRDefault="00E17286">
            <w:pPr>
              <w:spacing w:before="20" w:after="40" w:line="240" w:lineRule="auto"/>
              <w:jc w:val="center"/>
              <w:rPr>
                <w:rFonts w:eastAsia="Malgun Gothic"/>
                <w:sz w:val="20"/>
              </w:rPr>
            </w:pPr>
          </w:p>
        </w:tc>
      </w:tr>
      <w:tr w:rsidR="00E17286" w:rsidRPr="00A52AB8" w14:paraId="1AE6D6EE" w14:textId="77777777" w:rsidTr="00007BE2">
        <w:trPr>
          <w:cantSplit/>
          <w:jc w:val="center"/>
        </w:trPr>
        <w:tc>
          <w:tcPr>
            <w:tcW w:w="8422" w:type="dxa"/>
          </w:tcPr>
          <w:p w14:paraId="18F2C8A6" w14:textId="77777777" w:rsidR="00E17286" w:rsidRPr="00A52AB8" w:rsidRDefault="00E17286">
            <w:pPr>
              <w:spacing w:before="20" w:after="40" w:line="240" w:lineRule="auto"/>
              <w:rPr>
                <w:b/>
                <w:bCs/>
                <w:sz w:val="20"/>
              </w:rPr>
            </w:pPr>
            <w:r w:rsidRPr="00A52AB8">
              <w:rPr>
                <w:b/>
                <w:bCs/>
                <w:sz w:val="20"/>
              </w:rPr>
              <w:tab/>
            </w:r>
            <w:r w:rsidRPr="00A52AB8">
              <w:rPr>
                <w:b/>
                <w:bCs/>
                <w:sz w:val="20"/>
              </w:rPr>
              <w:tab/>
            </w:r>
            <w:r w:rsidRPr="00A52AB8">
              <w:rPr>
                <w:b/>
                <w:bCs/>
                <w:sz w:val="20"/>
              </w:rPr>
              <w:tab/>
            </w:r>
            <w:r w:rsidRPr="00A52AB8">
              <w:rPr>
                <w:b/>
                <w:bCs/>
                <w:sz w:val="20"/>
              </w:rPr>
              <w:tab/>
            </w:r>
            <w:r w:rsidRPr="00A52AB8">
              <w:rPr>
                <w:b/>
                <w:bCs/>
                <w:sz w:val="20"/>
              </w:rPr>
              <w:tab/>
              <w:t>soi_</w:t>
            </w:r>
            <w:r w:rsidRPr="00A52AB8">
              <w:rPr>
                <w:b/>
                <w:sz w:val="20"/>
              </w:rPr>
              <w:t>object_label_update_flag</w:t>
            </w:r>
            <w:r w:rsidR="004B7314" w:rsidRPr="00A52AB8">
              <w:rPr>
                <w:sz w:val="20"/>
              </w:rPr>
              <w:t>[ k ]</w:t>
            </w:r>
          </w:p>
        </w:tc>
        <w:tc>
          <w:tcPr>
            <w:tcW w:w="1332" w:type="dxa"/>
          </w:tcPr>
          <w:p w14:paraId="35084FB6" w14:textId="77777777" w:rsidR="00E17286" w:rsidRPr="00A52AB8" w:rsidRDefault="00E17286">
            <w:pPr>
              <w:spacing w:before="20" w:after="40" w:line="240" w:lineRule="auto"/>
              <w:jc w:val="center"/>
              <w:rPr>
                <w:rFonts w:eastAsia="Malgun Gothic"/>
                <w:sz w:val="20"/>
              </w:rPr>
            </w:pPr>
            <w:r w:rsidRPr="00A52AB8">
              <w:rPr>
                <w:sz w:val="20"/>
              </w:rPr>
              <w:t>u(1)</w:t>
            </w:r>
          </w:p>
        </w:tc>
      </w:tr>
      <w:tr w:rsidR="00E17286" w:rsidRPr="00A52AB8" w14:paraId="3C3A5D22" w14:textId="77777777" w:rsidTr="00007BE2">
        <w:trPr>
          <w:cantSplit/>
          <w:jc w:val="center"/>
        </w:trPr>
        <w:tc>
          <w:tcPr>
            <w:tcW w:w="8422" w:type="dxa"/>
          </w:tcPr>
          <w:p w14:paraId="24D02BD3" w14:textId="77777777" w:rsidR="00E17286" w:rsidRPr="00A52AB8" w:rsidRDefault="00E17286">
            <w:pPr>
              <w:spacing w:before="20" w:after="40" w:line="240" w:lineRule="auto"/>
              <w:rPr>
                <w:b/>
                <w:bCs/>
                <w:sz w:val="20"/>
              </w:rPr>
            </w:pPr>
            <w:r w:rsidRPr="00A52AB8">
              <w:rPr>
                <w:b/>
                <w:bCs/>
                <w:sz w:val="20"/>
              </w:rPr>
              <w:tab/>
            </w:r>
            <w:r w:rsidRPr="00A52AB8">
              <w:rPr>
                <w:b/>
                <w:bCs/>
                <w:sz w:val="20"/>
              </w:rPr>
              <w:tab/>
            </w:r>
            <w:r w:rsidRPr="00A52AB8">
              <w:rPr>
                <w:b/>
                <w:bCs/>
                <w:sz w:val="20"/>
              </w:rPr>
              <w:tab/>
            </w:r>
            <w:r w:rsidRPr="00A52AB8">
              <w:rPr>
                <w:b/>
                <w:bCs/>
                <w:sz w:val="20"/>
              </w:rPr>
              <w:tab/>
            </w:r>
            <w:r w:rsidRPr="00A52AB8">
              <w:rPr>
                <w:b/>
                <w:bCs/>
                <w:sz w:val="20"/>
              </w:rPr>
              <w:tab/>
            </w:r>
            <w:r w:rsidRPr="00A52AB8">
              <w:rPr>
                <w:sz w:val="20"/>
              </w:rPr>
              <w:t>if( so</w:t>
            </w:r>
            <w:r w:rsidRPr="00A52AB8">
              <w:rPr>
                <w:bCs/>
                <w:sz w:val="20"/>
              </w:rPr>
              <w:t>i_</w:t>
            </w:r>
            <w:r w:rsidRPr="00A52AB8">
              <w:rPr>
                <w:sz w:val="20"/>
              </w:rPr>
              <w:t>object_label_update_fla</w:t>
            </w:r>
            <w:r w:rsidRPr="00A52AB8">
              <w:rPr>
                <w:bCs/>
                <w:sz w:val="20"/>
              </w:rPr>
              <w:t>g</w:t>
            </w:r>
            <w:r w:rsidR="004B7314" w:rsidRPr="00A52AB8">
              <w:rPr>
                <w:sz w:val="20"/>
              </w:rPr>
              <w:t>[ k ]</w:t>
            </w:r>
            <w:r w:rsidRPr="00A52AB8">
              <w:rPr>
                <w:sz w:val="20"/>
              </w:rPr>
              <w:t xml:space="preserve"> )</w:t>
            </w:r>
          </w:p>
        </w:tc>
        <w:tc>
          <w:tcPr>
            <w:tcW w:w="1332" w:type="dxa"/>
          </w:tcPr>
          <w:p w14:paraId="612DFC71" w14:textId="77777777" w:rsidR="00E17286" w:rsidRPr="00A52AB8" w:rsidRDefault="00E17286">
            <w:pPr>
              <w:spacing w:before="20" w:after="40" w:line="240" w:lineRule="auto"/>
              <w:jc w:val="center"/>
              <w:rPr>
                <w:sz w:val="20"/>
              </w:rPr>
            </w:pPr>
          </w:p>
        </w:tc>
      </w:tr>
      <w:tr w:rsidR="00E17286" w:rsidRPr="00A52AB8" w14:paraId="28597A5C" w14:textId="77777777" w:rsidTr="00007BE2">
        <w:trPr>
          <w:cantSplit/>
          <w:trHeight w:val="40"/>
          <w:jc w:val="center"/>
        </w:trPr>
        <w:tc>
          <w:tcPr>
            <w:tcW w:w="8422" w:type="dxa"/>
          </w:tcPr>
          <w:p w14:paraId="2613B247" w14:textId="77777777" w:rsidR="00E17286" w:rsidRPr="00A52AB8" w:rsidRDefault="00E17286">
            <w:pPr>
              <w:spacing w:before="20" w:after="40" w:line="240" w:lineRule="auto"/>
              <w:rPr>
                <w:sz w:val="20"/>
              </w:rPr>
            </w:pPr>
            <w:r w:rsidRPr="00A52AB8">
              <w:rPr>
                <w:b/>
                <w:bCs/>
                <w:sz w:val="20"/>
              </w:rPr>
              <w:tab/>
            </w:r>
            <w:r w:rsidRPr="00A52AB8">
              <w:rPr>
                <w:b/>
                <w:bCs/>
                <w:sz w:val="20"/>
              </w:rPr>
              <w:tab/>
            </w:r>
            <w:r w:rsidRPr="00A52AB8">
              <w:rPr>
                <w:b/>
                <w:bCs/>
                <w:sz w:val="20"/>
              </w:rPr>
              <w:tab/>
            </w:r>
            <w:r w:rsidRPr="00A52AB8">
              <w:rPr>
                <w:b/>
                <w:bCs/>
                <w:sz w:val="20"/>
              </w:rPr>
              <w:tab/>
            </w:r>
            <w:r w:rsidRPr="00A52AB8">
              <w:rPr>
                <w:b/>
                <w:bCs/>
                <w:sz w:val="20"/>
              </w:rPr>
              <w:tab/>
            </w:r>
            <w:r w:rsidRPr="00A52AB8">
              <w:rPr>
                <w:b/>
                <w:bCs/>
                <w:sz w:val="20"/>
              </w:rPr>
              <w:tab/>
              <w:t>soi_object_label_idx</w:t>
            </w:r>
            <w:r w:rsidR="004B7314" w:rsidRPr="00A52AB8">
              <w:rPr>
                <w:sz w:val="20"/>
              </w:rPr>
              <w:t>[ k ]</w:t>
            </w:r>
          </w:p>
        </w:tc>
        <w:tc>
          <w:tcPr>
            <w:tcW w:w="1332" w:type="dxa"/>
          </w:tcPr>
          <w:p w14:paraId="5CAB07DC" w14:textId="77777777" w:rsidR="00E17286" w:rsidRPr="00A52AB8" w:rsidRDefault="00E17286">
            <w:pPr>
              <w:spacing w:before="20" w:after="40" w:line="240" w:lineRule="auto"/>
              <w:jc w:val="center"/>
              <w:rPr>
                <w:rFonts w:eastAsia="Malgun Gothic"/>
                <w:sz w:val="20"/>
              </w:rPr>
            </w:pPr>
            <w:r w:rsidRPr="00A52AB8">
              <w:rPr>
                <w:sz w:val="20"/>
              </w:rPr>
              <w:t>ue(v)</w:t>
            </w:r>
          </w:p>
        </w:tc>
      </w:tr>
      <w:tr w:rsidR="00E17286" w:rsidRPr="00A52AB8" w14:paraId="1FDD2381" w14:textId="77777777" w:rsidTr="00007BE2">
        <w:trPr>
          <w:cantSplit/>
          <w:jc w:val="center"/>
        </w:trPr>
        <w:tc>
          <w:tcPr>
            <w:tcW w:w="8422" w:type="dxa"/>
          </w:tcPr>
          <w:p w14:paraId="0BB7E36E" w14:textId="77777777" w:rsidR="00E17286" w:rsidRPr="00A52AB8" w:rsidRDefault="00E17286">
            <w:pPr>
              <w:spacing w:before="20" w:after="40" w:line="240" w:lineRule="auto"/>
              <w:rPr>
                <w:bCs/>
                <w:sz w:val="20"/>
              </w:rPr>
            </w:pPr>
            <w:r w:rsidRPr="00A52AB8">
              <w:rPr>
                <w:b/>
                <w:bCs/>
                <w:sz w:val="20"/>
              </w:rPr>
              <w:tab/>
            </w:r>
            <w:r w:rsidRPr="00A52AB8">
              <w:rPr>
                <w:b/>
                <w:bCs/>
                <w:sz w:val="20"/>
              </w:rPr>
              <w:tab/>
            </w:r>
            <w:r w:rsidRPr="00A52AB8">
              <w:rPr>
                <w:b/>
                <w:bCs/>
                <w:sz w:val="20"/>
              </w:rPr>
              <w:tab/>
            </w:r>
            <w:r w:rsidRPr="00A52AB8">
              <w:rPr>
                <w:b/>
                <w:bCs/>
                <w:sz w:val="20"/>
              </w:rPr>
              <w:tab/>
            </w:r>
            <w:r w:rsidRPr="00A52AB8">
              <w:rPr>
                <w:bCs/>
                <w:sz w:val="20"/>
              </w:rPr>
              <w:t>}</w:t>
            </w:r>
          </w:p>
        </w:tc>
        <w:tc>
          <w:tcPr>
            <w:tcW w:w="1332" w:type="dxa"/>
          </w:tcPr>
          <w:p w14:paraId="289CBBCB" w14:textId="77777777" w:rsidR="00E17286" w:rsidRPr="00A52AB8" w:rsidRDefault="00E17286">
            <w:pPr>
              <w:spacing w:before="20" w:after="40" w:line="240" w:lineRule="auto"/>
              <w:jc w:val="center"/>
              <w:rPr>
                <w:sz w:val="20"/>
              </w:rPr>
            </w:pPr>
          </w:p>
        </w:tc>
      </w:tr>
      <w:tr w:rsidR="00E17286" w:rsidRPr="00A52AB8" w14:paraId="363F044D" w14:textId="77777777" w:rsidTr="00007BE2">
        <w:trPr>
          <w:cantSplit/>
          <w:jc w:val="center"/>
        </w:trPr>
        <w:tc>
          <w:tcPr>
            <w:tcW w:w="8422" w:type="dxa"/>
          </w:tcPr>
          <w:p w14:paraId="01A7CDA8" w14:textId="7ACB3A18" w:rsidR="00E17286" w:rsidRPr="00A52AB8" w:rsidRDefault="00E17286">
            <w:pPr>
              <w:spacing w:before="20" w:after="40" w:line="240" w:lineRule="auto"/>
              <w:rPr>
                <w:b/>
                <w:bCs/>
                <w:sz w:val="20"/>
              </w:rPr>
            </w:pPr>
            <w:r w:rsidRPr="00A52AB8">
              <w:rPr>
                <w:b/>
                <w:bCs/>
                <w:sz w:val="20"/>
              </w:rPr>
              <w:tab/>
            </w:r>
            <w:r w:rsidRPr="00A52AB8">
              <w:rPr>
                <w:b/>
                <w:bCs/>
                <w:sz w:val="20"/>
              </w:rPr>
              <w:tab/>
            </w:r>
            <w:r w:rsidRPr="00A52AB8">
              <w:rPr>
                <w:b/>
                <w:bCs/>
                <w:sz w:val="20"/>
              </w:rPr>
              <w:tab/>
            </w:r>
            <w:r w:rsidRPr="00A52AB8">
              <w:rPr>
                <w:b/>
                <w:bCs/>
                <w:sz w:val="20"/>
              </w:rPr>
              <w:tab/>
            </w:r>
            <w:r w:rsidRPr="00A52AB8">
              <w:rPr>
                <w:color w:val="000000" w:themeColor="text1"/>
                <w:sz w:val="20"/>
                <w:szCs w:val="20"/>
              </w:rPr>
              <w:t>if( </w:t>
            </w:r>
            <w:r w:rsidRPr="00A52AB8">
              <w:rPr>
                <w:sz w:val="20"/>
              </w:rPr>
              <w:t>soi_priority_present_flag </w:t>
            </w:r>
            <w:r w:rsidR="008F1F82" w:rsidRPr="00A52AB8">
              <w:rPr>
                <w:sz w:val="20"/>
              </w:rPr>
              <w:t>) {</w:t>
            </w:r>
          </w:p>
        </w:tc>
        <w:tc>
          <w:tcPr>
            <w:tcW w:w="1332" w:type="dxa"/>
          </w:tcPr>
          <w:p w14:paraId="1D894594" w14:textId="77777777" w:rsidR="00E17286" w:rsidRPr="00A52AB8" w:rsidRDefault="00E17286">
            <w:pPr>
              <w:spacing w:before="20" w:after="40" w:line="240" w:lineRule="auto"/>
              <w:jc w:val="center"/>
              <w:rPr>
                <w:rFonts w:eastAsia="Malgun Gothic"/>
                <w:sz w:val="20"/>
              </w:rPr>
            </w:pPr>
          </w:p>
        </w:tc>
      </w:tr>
      <w:tr w:rsidR="00E17286" w:rsidRPr="00A52AB8" w14:paraId="5DD3D5D4" w14:textId="77777777" w:rsidTr="00007BE2">
        <w:trPr>
          <w:cantSplit/>
          <w:jc w:val="center"/>
        </w:trPr>
        <w:tc>
          <w:tcPr>
            <w:tcW w:w="8422" w:type="dxa"/>
          </w:tcPr>
          <w:p w14:paraId="2A94D288" w14:textId="77777777" w:rsidR="00E17286" w:rsidRPr="00A52AB8" w:rsidRDefault="00E17286">
            <w:pPr>
              <w:spacing w:before="20" w:after="40" w:line="240" w:lineRule="auto"/>
              <w:rPr>
                <w:b/>
                <w:bCs/>
                <w:sz w:val="20"/>
              </w:rPr>
            </w:pPr>
            <w:r w:rsidRPr="00A52AB8">
              <w:rPr>
                <w:b/>
                <w:bCs/>
                <w:sz w:val="20"/>
              </w:rPr>
              <w:tab/>
            </w:r>
            <w:r w:rsidRPr="00A52AB8">
              <w:rPr>
                <w:b/>
                <w:bCs/>
                <w:sz w:val="20"/>
              </w:rPr>
              <w:tab/>
            </w:r>
            <w:r w:rsidRPr="00A52AB8">
              <w:rPr>
                <w:b/>
                <w:bCs/>
                <w:sz w:val="20"/>
              </w:rPr>
              <w:tab/>
            </w:r>
            <w:r w:rsidRPr="00A52AB8">
              <w:rPr>
                <w:b/>
                <w:bCs/>
                <w:sz w:val="20"/>
              </w:rPr>
              <w:tab/>
            </w:r>
            <w:r w:rsidRPr="00A52AB8">
              <w:rPr>
                <w:b/>
                <w:bCs/>
                <w:sz w:val="20"/>
              </w:rPr>
              <w:tab/>
              <w:t>soi_priority</w:t>
            </w:r>
            <w:r w:rsidRPr="00A52AB8">
              <w:rPr>
                <w:b/>
                <w:sz w:val="20"/>
              </w:rPr>
              <w:t>_update_flag</w:t>
            </w:r>
            <w:r w:rsidR="004B7314" w:rsidRPr="00A52AB8">
              <w:rPr>
                <w:sz w:val="20"/>
              </w:rPr>
              <w:t>[ k ]</w:t>
            </w:r>
          </w:p>
        </w:tc>
        <w:tc>
          <w:tcPr>
            <w:tcW w:w="1332" w:type="dxa"/>
          </w:tcPr>
          <w:p w14:paraId="2A5D7164" w14:textId="77777777" w:rsidR="00E17286" w:rsidRPr="00A52AB8" w:rsidRDefault="00E17286">
            <w:pPr>
              <w:spacing w:before="20" w:after="40" w:line="240" w:lineRule="auto"/>
              <w:jc w:val="center"/>
              <w:rPr>
                <w:rFonts w:eastAsia="Malgun Gothic"/>
                <w:sz w:val="20"/>
              </w:rPr>
            </w:pPr>
            <w:r w:rsidRPr="00A52AB8">
              <w:rPr>
                <w:sz w:val="20"/>
              </w:rPr>
              <w:t>u(1)</w:t>
            </w:r>
          </w:p>
        </w:tc>
      </w:tr>
      <w:tr w:rsidR="00E17286" w:rsidRPr="00A52AB8" w14:paraId="2A2B7F59" w14:textId="77777777" w:rsidTr="00007BE2">
        <w:trPr>
          <w:cantSplit/>
          <w:jc w:val="center"/>
        </w:trPr>
        <w:tc>
          <w:tcPr>
            <w:tcW w:w="8422" w:type="dxa"/>
          </w:tcPr>
          <w:p w14:paraId="22BF1151" w14:textId="77777777" w:rsidR="00E17286" w:rsidRPr="00A52AB8" w:rsidRDefault="00E17286">
            <w:pPr>
              <w:spacing w:before="20" w:after="40" w:line="240" w:lineRule="auto"/>
              <w:rPr>
                <w:b/>
                <w:bCs/>
                <w:sz w:val="20"/>
              </w:rPr>
            </w:pPr>
            <w:r w:rsidRPr="00A52AB8">
              <w:rPr>
                <w:b/>
                <w:bCs/>
                <w:sz w:val="20"/>
              </w:rPr>
              <w:tab/>
            </w:r>
            <w:r w:rsidRPr="00A52AB8">
              <w:rPr>
                <w:b/>
                <w:bCs/>
                <w:sz w:val="20"/>
              </w:rPr>
              <w:tab/>
            </w:r>
            <w:r w:rsidRPr="00A52AB8">
              <w:rPr>
                <w:b/>
                <w:bCs/>
                <w:sz w:val="20"/>
              </w:rPr>
              <w:tab/>
            </w:r>
            <w:r w:rsidRPr="00A52AB8">
              <w:rPr>
                <w:b/>
                <w:bCs/>
                <w:sz w:val="20"/>
              </w:rPr>
              <w:tab/>
            </w:r>
            <w:r w:rsidRPr="00A52AB8">
              <w:rPr>
                <w:b/>
                <w:bCs/>
                <w:sz w:val="20"/>
              </w:rPr>
              <w:tab/>
            </w:r>
            <w:r w:rsidRPr="00A52AB8">
              <w:rPr>
                <w:color w:val="000000" w:themeColor="text1"/>
                <w:sz w:val="20"/>
                <w:szCs w:val="20"/>
              </w:rPr>
              <w:t>if( so</w:t>
            </w:r>
            <w:r w:rsidRPr="00A52AB8">
              <w:rPr>
                <w:bCs/>
                <w:sz w:val="20"/>
              </w:rPr>
              <w:t>i_priority</w:t>
            </w:r>
            <w:r w:rsidRPr="00A52AB8">
              <w:rPr>
                <w:sz w:val="20"/>
              </w:rPr>
              <w:t>_update_flag</w:t>
            </w:r>
            <w:r w:rsidR="004B7314" w:rsidRPr="00A52AB8">
              <w:rPr>
                <w:sz w:val="20"/>
              </w:rPr>
              <w:t>[ k ]</w:t>
            </w:r>
            <w:r w:rsidRPr="00A52AB8">
              <w:rPr>
                <w:sz w:val="20"/>
              </w:rPr>
              <w:t> )</w:t>
            </w:r>
          </w:p>
        </w:tc>
        <w:tc>
          <w:tcPr>
            <w:tcW w:w="1332" w:type="dxa"/>
          </w:tcPr>
          <w:p w14:paraId="1708081A" w14:textId="77777777" w:rsidR="00E17286" w:rsidRPr="00A52AB8" w:rsidRDefault="00E17286">
            <w:pPr>
              <w:spacing w:before="20" w:after="40" w:line="240" w:lineRule="auto"/>
              <w:jc w:val="center"/>
              <w:rPr>
                <w:rFonts w:eastAsia="Malgun Gothic"/>
                <w:sz w:val="20"/>
              </w:rPr>
            </w:pPr>
          </w:p>
        </w:tc>
      </w:tr>
      <w:tr w:rsidR="00E17286" w:rsidRPr="00A52AB8" w14:paraId="33008BF4" w14:textId="77777777" w:rsidTr="00007BE2">
        <w:trPr>
          <w:cantSplit/>
          <w:jc w:val="center"/>
        </w:trPr>
        <w:tc>
          <w:tcPr>
            <w:tcW w:w="8422" w:type="dxa"/>
          </w:tcPr>
          <w:p w14:paraId="61C1521F" w14:textId="77777777" w:rsidR="00E17286" w:rsidRPr="00A52AB8" w:rsidRDefault="00E17286">
            <w:pPr>
              <w:spacing w:before="20" w:after="40" w:line="240" w:lineRule="auto"/>
              <w:rPr>
                <w:b/>
                <w:bCs/>
                <w:sz w:val="20"/>
              </w:rPr>
            </w:pPr>
            <w:r w:rsidRPr="00A52AB8">
              <w:rPr>
                <w:color w:val="000000" w:themeColor="text1"/>
                <w:sz w:val="20"/>
                <w:szCs w:val="20"/>
              </w:rPr>
              <w:tab/>
            </w:r>
            <w:r w:rsidRPr="00A52AB8">
              <w:rPr>
                <w:color w:val="000000" w:themeColor="text1"/>
                <w:sz w:val="20"/>
                <w:szCs w:val="20"/>
              </w:rPr>
              <w:tab/>
            </w:r>
            <w:r w:rsidRPr="00A52AB8">
              <w:rPr>
                <w:b/>
                <w:bCs/>
                <w:sz w:val="20"/>
              </w:rPr>
              <w:tab/>
            </w:r>
            <w:r w:rsidRPr="00A52AB8">
              <w:rPr>
                <w:b/>
                <w:bCs/>
                <w:sz w:val="20"/>
              </w:rPr>
              <w:tab/>
            </w:r>
            <w:r w:rsidRPr="00A52AB8">
              <w:rPr>
                <w:b/>
                <w:bCs/>
                <w:sz w:val="20"/>
              </w:rPr>
              <w:tab/>
            </w:r>
            <w:r w:rsidRPr="00A52AB8">
              <w:rPr>
                <w:b/>
                <w:bCs/>
                <w:sz w:val="20"/>
              </w:rPr>
              <w:tab/>
              <w:t>soi_priority_value</w:t>
            </w:r>
            <w:r w:rsidR="004B7314" w:rsidRPr="00A52AB8">
              <w:rPr>
                <w:bCs/>
                <w:sz w:val="20"/>
              </w:rPr>
              <w:t>[ k ]</w:t>
            </w:r>
          </w:p>
        </w:tc>
        <w:tc>
          <w:tcPr>
            <w:tcW w:w="1332" w:type="dxa"/>
          </w:tcPr>
          <w:p w14:paraId="50785277" w14:textId="77777777" w:rsidR="00E17286" w:rsidRPr="00A52AB8" w:rsidRDefault="00E17286">
            <w:pPr>
              <w:spacing w:before="20" w:after="40" w:line="240" w:lineRule="auto"/>
              <w:jc w:val="center"/>
              <w:rPr>
                <w:rFonts w:eastAsia="Malgun Gothic"/>
                <w:sz w:val="20"/>
              </w:rPr>
            </w:pPr>
            <w:r w:rsidRPr="00A52AB8">
              <w:rPr>
                <w:rFonts w:eastAsia="Malgun Gothic"/>
                <w:sz w:val="20"/>
              </w:rPr>
              <w:t>u(4)</w:t>
            </w:r>
          </w:p>
        </w:tc>
      </w:tr>
      <w:tr w:rsidR="00E17286" w:rsidRPr="00A52AB8" w14:paraId="14BA9C0D" w14:textId="77777777" w:rsidTr="00007BE2">
        <w:trPr>
          <w:cantSplit/>
          <w:jc w:val="center"/>
        </w:trPr>
        <w:tc>
          <w:tcPr>
            <w:tcW w:w="8422" w:type="dxa"/>
          </w:tcPr>
          <w:p w14:paraId="3705D89F" w14:textId="77777777" w:rsidR="00E17286" w:rsidRPr="00A52AB8" w:rsidRDefault="00E17286">
            <w:pPr>
              <w:spacing w:before="20" w:after="40" w:line="240" w:lineRule="auto"/>
              <w:rPr>
                <w:bCs/>
                <w:sz w:val="20"/>
              </w:rPr>
            </w:pPr>
            <w:r w:rsidRPr="00A52AB8">
              <w:rPr>
                <w:b/>
                <w:bCs/>
                <w:sz w:val="20"/>
              </w:rPr>
              <w:tab/>
            </w:r>
            <w:r w:rsidRPr="00A52AB8">
              <w:rPr>
                <w:b/>
                <w:bCs/>
                <w:sz w:val="20"/>
              </w:rPr>
              <w:tab/>
            </w:r>
            <w:r w:rsidRPr="00A52AB8">
              <w:rPr>
                <w:b/>
                <w:bCs/>
                <w:sz w:val="20"/>
              </w:rPr>
              <w:tab/>
            </w:r>
            <w:r w:rsidRPr="00A52AB8">
              <w:rPr>
                <w:b/>
                <w:bCs/>
                <w:sz w:val="20"/>
              </w:rPr>
              <w:tab/>
            </w:r>
            <w:r w:rsidRPr="00A52AB8">
              <w:rPr>
                <w:bCs/>
                <w:sz w:val="20"/>
              </w:rPr>
              <w:t>}</w:t>
            </w:r>
          </w:p>
        </w:tc>
        <w:tc>
          <w:tcPr>
            <w:tcW w:w="1332" w:type="dxa"/>
          </w:tcPr>
          <w:p w14:paraId="76542273" w14:textId="77777777" w:rsidR="00E17286" w:rsidRPr="00A52AB8" w:rsidRDefault="00E17286">
            <w:pPr>
              <w:spacing w:before="20" w:after="40" w:line="240" w:lineRule="auto"/>
              <w:jc w:val="center"/>
              <w:rPr>
                <w:rFonts w:eastAsia="Malgun Gothic"/>
                <w:sz w:val="20"/>
              </w:rPr>
            </w:pPr>
          </w:p>
        </w:tc>
      </w:tr>
      <w:tr w:rsidR="00E17286" w:rsidRPr="00A52AB8" w14:paraId="7004A1ED" w14:textId="77777777" w:rsidTr="00007BE2">
        <w:trPr>
          <w:cantSplit/>
          <w:jc w:val="center"/>
        </w:trPr>
        <w:tc>
          <w:tcPr>
            <w:tcW w:w="8422" w:type="dxa"/>
          </w:tcPr>
          <w:p w14:paraId="56016561" w14:textId="77777777" w:rsidR="00E17286" w:rsidRPr="00A52AB8" w:rsidRDefault="00E17286">
            <w:pPr>
              <w:spacing w:before="20" w:after="40" w:line="240" w:lineRule="auto"/>
              <w:rPr>
                <w:b/>
                <w:bCs/>
                <w:sz w:val="20"/>
              </w:rPr>
            </w:pPr>
            <w:r w:rsidRPr="00A52AB8">
              <w:rPr>
                <w:b/>
                <w:bCs/>
                <w:sz w:val="20"/>
              </w:rPr>
              <w:tab/>
            </w:r>
            <w:r w:rsidRPr="00A52AB8">
              <w:rPr>
                <w:b/>
                <w:bCs/>
                <w:sz w:val="20"/>
              </w:rPr>
              <w:tab/>
            </w:r>
            <w:r w:rsidRPr="00A52AB8">
              <w:rPr>
                <w:b/>
                <w:bCs/>
                <w:sz w:val="20"/>
              </w:rPr>
              <w:tab/>
            </w:r>
            <w:r w:rsidRPr="00A52AB8">
              <w:rPr>
                <w:b/>
                <w:bCs/>
                <w:sz w:val="20"/>
              </w:rPr>
              <w:tab/>
            </w:r>
            <w:r w:rsidRPr="00A52AB8">
              <w:rPr>
                <w:color w:val="000000" w:themeColor="text1"/>
                <w:sz w:val="20"/>
                <w:szCs w:val="20"/>
              </w:rPr>
              <w:t>if( </w:t>
            </w:r>
            <w:r w:rsidRPr="00A52AB8">
              <w:rPr>
                <w:sz w:val="20"/>
              </w:rPr>
              <w:t>soi_object_hidden_present_flag )</w:t>
            </w:r>
          </w:p>
        </w:tc>
        <w:tc>
          <w:tcPr>
            <w:tcW w:w="1332" w:type="dxa"/>
          </w:tcPr>
          <w:p w14:paraId="0E9B1F18" w14:textId="77777777" w:rsidR="00E17286" w:rsidRPr="00A52AB8" w:rsidRDefault="00E17286">
            <w:pPr>
              <w:spacing w:before="20" w:after="40" w:line="240" w:lineRule="auto"/>
              <w:jc w:val="center"/>
              <w:rPr>
                <w:rFonts w:eastAsia="Malgun Gothic"/>
                <w:sz w:val="20"/>
              </w:rPr>
            </w:pPr>
          </w:p>
        </w:tc>
      </w:tr>
      <w:tr w:rsidR="00E17286" w:rsidRPr="00A52AB8" w14:paraId="2CDF6A58" w14:textId="77777777" w:rsidTr="00007BE2">
        <w:trPr>
          <w:cantSplit/>
          <w:jc w:val="center"/>
        </w:trPr>
        <w:tc>
          <w:tcPr>
            <w:tcW w:w="8422" w:type="dxa"/>
          </w:tcPr>
          <w:p w14:paraId="7CC4E280" w14:textId="77777777" w:rsidR="00E17286" w:rsidRPr="00A52AB8" w:rsidRDefault="00E17286">
            <w:pPr>
              <w:spacing w:before="20" w:after="40" w:line="240" w:lineRule="auto"/>
              <w:rPr>
                <w:b/>
                <w:bCs/>
                <w:sz w:val="20"/>
              </w:rPr>
            </w:pPr>
            <w:r w:rsidRPr="00A52AB8">
              <w:rPr>
                <w:b/>
                <w:bCs/>
                <w:sz w:val="20"/>
              </w:rPr>
              <w:tab/>
            </w:r>
            <w:r w:rsidRPr="00A52AB8">
              <w:rPr>
                <w:b/>
                <w:bCs/>
                <w:sz w:val="20"/>
              </w:rPr>
              <w:tab/>
            </w:r>
            <w:r w:rsidRPr="00A52AB8">
              <w:rPr>
                <w:b/>
                <w:bCs/>
                <w:sz w:val="20"/>
              </w:rPr>
              <w:tab/>
            </w:r>
            <w:r w:rsidRPr="00A52AB8">
              <w:rPr>
                <w:b/>
                <w:bCs/>
                <w:sz w:val="20"/>
              </w:rPr>
              <w:tab/>
            </w:r>
            <w:r w:rsidRPr="00A52AB8">
              <w:rPr>
                <w:b/>
                <w:bCs/>
                <w:sz w:val="20"/>
              </w:rPr>
              <w:tab/>
              <w:t>so</w:t>
            </w:r>
            <w:r w:rsidRPr="00A52AB8">
              <w:rPr>
                <w:b/>
                <w:sz w:val="20"/>
              </w:rPr>
              <w:t>i_object_hidden_flag</w:t>
            </w:r>
            <w:r w:rsidR="004B7314" w:rsidRPr="00A52AB8">
              <w:rPr>
                <w:sz w:val="20"/>
              </w:rPr>
              <w:t>[ k ]</w:t>
            </w:r>
          </w:p>
        </w:tc>
        <w:tc>
          <w:tcPr>
            <w:tcW w:w="1332" w:type="dxa"/>
          </w:tcPr>
          <w:p w14:paraId="28324DCD" w14:textId="77777777" w:rsidR="00E17286" w:rsidRPr="00A52AB8" w:rsidRDefault="00E17286">
            <w:pPr>
              <w:spacing w:before="20" w:after="40" w:line="240" w:lineRule="auto"/>
              <w:jc w:val="center"/>
              <w:rPr>
                <w:rFonts w:eastAsia="Malgun Gothic"/>
                <w:sz w:val="20"/>
              </w:rPr>
            </w:pPr>
            <w:r w:rsidRPr="00A52AB8">
              <w:rPr>
                <w:sz w:val="20"/>
              </w:rPr>
              <w:t>u(1)</w:t>
            </w:r>
          </w:p>
        </w:tc>
      </w:tr>
      <w:tr w:rsidR="00E17286" w:rsidRPr="00A52AB8" w14:paraId="43279AF2" w14:textId="77777777" w:rsidTr="00007BE2">
        <w:trPr>
          <w:cantSplit/>
          <w:jc w:val="center"/>
        </w:trPr>
        <w:tc>
          <w:tcPr>
            <w:tcW w:w="8422" w:type="dxa"/>
          </w:tcPr>
          <w:p w14:paraId="11FF86A4" w14:textId="6180B33D" w:rsidR="00E17286" w:rsidRPr="00A52AB8" w:rsidRDefault="00E17286">
            <w:pPr>
              <w:spacing w:before="20" w:after="40" w:line="240" w:lineRule="auto"/>
              <w:rPr>
                <w:b/>
                <w:bCs/>
                <w:sz w:val="20"/>
              </w:rPr>
            </w:pPr>
            <w:r w:rsidRPr="00A52AB8">
              <w:rPr>
                <w:b/>
                <w:bCs/>
                <w:sz w:val="20"/>
              </w:rPr>
              <w:tab/>
            </w:r>
            <w:r w:rsidRPr="00A52AB8">
              <w:rPr>
                <w:b/>
                <w:bCs/>
                <w:sz w:val="20"/>
              </w:rPr>
              <w:tab/>
            </w:r>
            <w:r w:rsidRPr="00A52AB8">
              <w:rPr>
                <w:b/>
                <w:bCs/>
                <w:sz w:val="20"/>
              </w:rPr>
              <w:tab/>
            </w:r>
            <w:r w:rsidRPr="00A52AB8">
              <w:rPr>
                <w:b/>
                <w:bCs/>
                <w:sz w:val="20"/>
              </w:rPr>
              <w:tab/>
            </w:r>
            <w:r w:rsidRPr="00A52AB8">
              <w:rPr>
                <w:color w:val="000000" w:themeColor="text1"/>
                <w:sz w:val="20"/>
                <w:szCs w:val="20"/>
              </w:rPr>
              <w:t>if( </w:t>
            </w:r>
            <w:r w:rsidRPr="00A52AB8">
              <w:rPr>
                <w:sz w:val="20"/>
              </w:rPr>
              <w:t>soi_object_dependency_present_flag </w:t>
            </w:r>
            <w:r w:rsidR="008F1F82" w:rsidRPr="00A52AB8">
              <w:rPr>
                <w:sz w:val="20"/>
              </w:rPr>
              <w:t>) {</w:t>
            </w:r>
          </w:p>
        </w:tc>
        <w:tc>
          <w:tcPr>
            <w:tcW w:w="1332" w:type="dxa"/>
          </w:tcPr>
          <w:p w14:paraId="12DCFECC" w14:textId="77777777" w:rsidR="00E17286" w:rsidRPr="00A52AB8" w:rsidRDefault="00E17286">
            <w:pPr>
              <w:spacing w:before="20" w:after="40" w:line="240" w:lineRule="auto"/>
              <w:jc w:val="center"/>
              <w:rPr>
                <w:rFonts w:eastAsia="Malgun Gothic"/>
                <w:sz w:val="20"/>
              </w:rPr>
            </w:pPr>
          </w:p>
        </w:tc>
      </w:tr>
      <w:tr w:rsidR="00E17286" w:rsidRPr="00A52AB8" w14:paraId="43BE5F19" w14:textId="77777777" w:rsidTr="00007BE2">
        <w:trPr>
          <w:cantSplit/>
          <w:jc w:val="center"/>
        </w:trPr>
        <w:tc>
          <w:tcPr>
            <w:tcW w:w="8422" w:type="dxa"/>
          </w:tcPr>
          <w:p w14:paraId="617010A7" w14:textId="77777777" w:rsidR="00E17286" w:rsidRPr="00A52AB8" w:rsidRDefault="00E17286">
            <w:pPr>
              <w:spacing w:before="20" w:after="40" w:line="240" w:lineRule="auto"/>
              <w:rPr>
                <w:b/>
                <w:bCs/>
                <w:sz w:val="20"/>
              </w:rPr>
            </w:pPr>
            <w:r w:rsidRPr="00A52AB8">
              <w:rPr>
                <w:b/>
                <w:bCs/>
                <w:sz w:val="20"/>
              </w:rPr>
              <w:tab/>
            </w:r>
            <w:r w:rsidRPr="00A52AB8">
              <w:rPr>
                <w:b/>
                <w:bCs/>
                <w:sz w:val="20"/>
              </w:rPr>
              <w:tab/>
            </w:r>
            <w:r w:rsidRPr="00A52AB8">
              <w:rPr>
                <w:b/>
                <w:bCs/>
                <w:sz w:val="20"/>
              </w:rPr>
              <w:tab/>
            </w:r>
            <w:r w:rsidRPr="00A52AB8">
              <w:rPr>
                <w:b/>
                <w:bCs/>
                <w:sz w:val="20"/>
              </w:rPr>
              <w:tab/>
            </w:r>
            <w:r w:rsidRPr="00A52AB8">
              <w:rPr>
                <w:b/>
                <w:bCs/>
                <w:sz w:val="20"/>
              </w:rPr>
              <w:tab/>
              <w:t>so</w:t>
            </w:r>
            <w:r w:rsidRPr="00A52AB8">
              <w:rPr>
                <w:b/>
                <w:sz w:val="20"/>
              </w:rPr>
              <w:t>i_object_dependency_update_flag</w:t>
            </w:r>
            <w:r w:rsidR="004B7314" w:rsidRPr="00A52AB8">
              <w:rPr>
                <w:sz w:val="20"/>
              </w:rPr>
              <w:t>[ k ]</w:t>
            </w:r>
          </w:p>
        </w:tc>
        <w:tc>
          <w:tcPr>
            <w:tcW w:w="1332" w:type="dxa"/>
          </w:tcPr>
          <w:p w14:paraId="233BAF3C" w14:textId="77777777" w:rsidR="00E17286" w:rsidRPr="00A52AB8" w:rsidRDefault="00E17286">
            <w:pPr>
              <w:spacing w:before="20" w:after="40" w:line="240" w:lineRule="auto"/>
              <w:jc w:val="center"/>
              <w:rPr>
                <w:rFonts w:eastAsia="Malgun Gothic"/>
                <w:sz w:val="20"/>
              </w:rPr>
            </w:pPr>
            <w:r w:rsidRPr="00A52AB8">
              <w:rPr>
                <w:sz w:val="20"/>
              </w:rPr>
              <w:t>u(1)</w:t>
            </w:r>
          </w:p>
        </w:tc>
      </w:tr>
      <w:tr w:rsidR="00E17286" w:rsidRPr="00A52AB8" w14:paraId="78A569A1" w14:textId="77777777" w:rsidTr="00007BE2">
        <w:trPr>
          <w:cantSplit/>
          <w:jc w:val="center"/>
        </w:trPr>
        <w:tc>
          <w:tcPr>
            <w:tcW w:w="8422" w:type="dxa"/>
          </w:tcPr>
          <w:p w14:paraId="795314CD" w14:textId="58FACFBC" w:rsidR="00E17286" w:rsidRPr="00A52AB8" w:rsidRDefault="00E17286">
            <w:pPr>
              <w:spacing w:before="20" w:after="40" w:line="240" w:lineRule="auto"/>
              <w:rPr>
                <w:b/>
                <w:bCs/>
                <w:sz w:val="20"/>
              </w:rPr>
            </w:pPr>
            <w:r w:rsidRPr="00A52AB8">
              <w:rPr>
                <w:b/>
                <w:bCs/>
                <w:sz w:val="20"/>
              </w:rPr>
              <w:tab/>
            </w:r>
            <w:r w:rsidRPr="00A52AB8">
              <w:rPr>
                <w:b/>
                <w:bCs/>
                <w:sz w:val="20"/>
              </w:rPr>
              <w:tab/>
            </w:r>
            <w:r w:rsidRPr="00A52AB8">
              <w:rPr>
                <w:b/>
                <w:bCs/>
                <w:sz w:val="20"/>
              </w:rPr>
              <w:tab/>
            </w:r>
            <w:r w:rsidRPr="00A52AB8">
              <w:rPr>
                <w:b/>
                <w:bCs/>
                <w:sz w:val="20"/>
              </w:rPr>
              <w:tab/>
            </w:r>
            <w:r w:rsidRPr="00A52AB8">
              <w:rPr>
                <w:b/>
                <w:bCs/>
                <w:sz w:val="20"/>
              </w:rPr>
              <w:tab/>
            </w:r>
            <w:r w:rsidR="00D63ACE" w:rsidRPr="00A52AB8">
              <w:rPr>
                <w:color w:val="000000" w:themeColor="text1"/>
                <w:sz w:val="20"/>
                <w:szCs w:val="20"/>
              </w:rPr>
              <w:t>if(</w:t>
            </w:r>
            <w:r w:rsidR="00996DF0" w:rsidRPr="00A52AB8">
              <w:rPr>
                <w:sz w:val="20"/>
              </w:rPr>
              <w:t> </w:t>
            </w:r>
            <w:r w:rsidRPr="00A52AB8">
              <w:rPr>
                <w:color w:val="000000" w:themeColor="text1"/>
                <w:sz w:val="20"/>
                <w:szCs w:val="20"/>
              </w:rPr>
              <w:t>so</w:t>
            </w:r>
            <w:r w:rsidRPr="00A52AB8">
              <w:rPr>
                <w:bCs/>
                <w:sz w:val="20"/>
              </w:rPr>
              <w:t>i_object_dependency_update_flag</w:t>
            </w:r>
            <w:r w:rsidR="004B7314" w:rsidRPr="00A52AB8">
              <w:rPr>
                <w:bCs/>
                <w:sz w:val="20"/>
              </w:rPr>
              <w:t>[ k ]</w:t>
            </w:r>
            <w:r w:rsidR="007E382F" w:rsidRPr="00A52AB8">
              <w:rPr>
                <w:sz w:val="20"/>
              </w:rPr>
              <w:t> </w:t>
            </w:r>
            <w:r w:rsidR="00900B12" w:rsidRPr="00A52AB8">
              <w:rPr>
                <w:bCs/>
                <w:sz w:val="20"/>
              </w:rPr>
              <w:t>) {</w:t>
            </w:r>
          </w:p>
        </w:tc>
        <w:tc>
          <w:tcPr>
            <w:tcW w:w="1332" w:type="dxa"/>
          </w:tcPr>
          <w:p w14:paraId="0351EAB2" w14:textId="77777777" w:rsidR="00E17286" w:rsidRPr="00A52AB8" w:rsidRDefault="00E17286">
            <w:pPr>
              <w:spacing w:before="20" w:after="40" w:line="240" w:lineRule="auto"/>
              <w:jc w:val="center"/>
              <w:rPr>
                <w:rFonts w:eastAsia="Malgun Gothic"/>
                <w:sz w:val="20"/>
              </w:rPr>
            </w:pPr>
          </w:p>
        </w:tc>
      </w:tr>
      <w:tr w:rsidR="00E17286" w:rsidRPr="00A52AB8" w14:paraId="4704F2D3" w14:textId="77777777" w:rsidTr="00007BE2">
        <w:trPr>
          <w:cantSplit/>
          <w:jc w:val="center"/>
        </w:trPr>
        <w:tc>
          <w:tcPr>
            <w:tcW w:w="8422" w:type="dxa"/>
          </w:tcPr>
          <w:p w14:paraId="7CD243D1" w14:textId="77777777" w:rsidR="00E17286" w:rsidRPr="00A52AB8" w:rsidRDefault="00E17286">
            <w:pPr>
              <w:spacing w:before="20" w:after="40" w:line="240" w:lineRule="auto"/>
              <w:rPr>
                <w:b/>
                <w:bCs/>
                <w:sz w:val="20"/>
              </w:rPr>
            </w:pPr>
            <w:r w:rsidRPr="00A52AB8">
              <w:rPr>
                <w:color w:val="000000" w:themeColor="text1"/>
                <w:sz w:val="20"/>
                <w:szCs w:val="20"/>
              </w:rPr>
              <w:tab/>
            </w:r>
            <w:r w:rsidRPr="00A52AB8">
              <w:rPr>
                <w:color w:val="000000" w:themeColor="text1"/>
                <w:sz w:val="20"/>
                <w:szCs w:val="20"/>
              </w:rPr>
              <w:tab/>
            </w:r>
            <w:r w:rsidRPr="00A52AB8">
              <w:rPr>
                <w:b/>
                <w:bCs/>
                <w:sz w:val="20"/>
              </w:rPr>
              <w:tab/>
            </w:r>
            <w:r w:rsidRPr="00A52AB8">
              <w:rPr>
                <w:b/>
                <w:bCs/>
                <w:sz w:val="20"/>
              </w:rPr>
              <w:tab/>
            </w:r>
            <w:r w:rsidRPr="00A52AB8">
              <w:rPr>
                <w:b/>
                <w:bCs/>
                <w:sz w:val="20"/>
              </w:rPr>
              <w:tab/>
            </w:r>
            <w:r w:rsidRPr="00A52AB8">
              <w:rPr>
                <w:b/>
                <w:bCs/>
                <w:sz w:val="20"/>
              </w:rPr>
              <w:tab/>
              <w:t>soi_object_num_</w:t>
            </w:r>
            <w:r w:rsidRPr="00A52AB8">
              <w:rPr>
                <w:b/>
                <w:sz w:val="20"/>
              </w:rPr>
              <w:t>dependencies</w:t>
            </w:r>
            <w:r w:rsidR="004B7314" w:rsidRPr="00A52AB8">
              <w:rPr>
                <w:sz w:val="20"/>
              </w:rPr>
              <w:t>[ k ]</w:t>
            </w:r>
          </w:p>
        </w:tc>
        <w:tc>
          <w:tcPr>
            <w:tcW w:w="1332" w:type="dxa"/>
          </w:tcPr>
          <w:p w14:paraId="2980A349" w14:textId="77777777" w:rsidR="00E17286" w:rsidRPr="00A52AB8" w:rsidRDefault="00E17286">
            <w:pPr>
              <w:spacing w:before="20" w:after="40" w:line="240" w:lineRule="auto"/>
              <w:jc w:val="center"/>
              <w:rPr>
                <w:rFonts w:eastAsia="Malgun Gothic"/>
                <w:sz w:val="20"/>
              </w:rPr>
            </w:pPr>
            <w:r w:rsidRPr="00A52AB8">
              <w:rPr>
                <w:rFonts w:eastAsia="Malgun Gothic"/>
                <w:sz w:val="20"/>
              </w:rPr>
              <w:t>u(4)</w:t>
            </w:r>
          </w:p>
        </w:tc>
      </w:tr>
      <w:tr w:rsidR="00E17286" w:rsidRPr="00A52AB8" w14:paraId="11555B10" w14:textId="77777777" w:rsidTr="00007BE2">
        <w:trPr>
          <w:cantSplit/>
          <w:jc w:val="center"/>
        </w:trPr>
        <w:tc>
          <w:tcPr>
            <w:tcW w:w="8422" w:type="dxa"/>
          </w:tcPr>
          <w:p w14:paraId="23E4512F" w14:textId="5232818A" w:rsidR="00E17286" w:rsidRPr="00A52AB8" w:rsidRDefault="00E17286">
            <w:pPr>
              <w:spacing w:before="20" w:after="40" w:line="240" w:lineRule="auto"/>
              <w:rPr>
                <w:b/>
                <w:bCs/>
                <w:sz w:val="20"/>
              </w:rPr>
            </w:pPr>
            <w:r w:rsidRPr="00A52AB8">
              <w:rPr>
                <w:color w:val="000000" w:themeColor="text1"/>
                <w:sz w:val="20"/>
                <w:szCs w:val="20"/>
              </w:rPr>
              <w:tab/>
            </w:r>
            <w:r w:rsidRPr="00A52AB8">
              <w:rPr>
                <w:color w:val="000000" w:themeColor="text1"/>
                <w:sz w:val="20"/>
                <w:szCs w:val="20"/>
              </w:rPr>
              <w:tab/>
            </w:r>
            <w:r w:rsidRPr="00A52AB8">
              <w:rPr>
                <w:b/>
                <w:bCs/>
                <w:sz w:val="20"/>
              </w:rPr>
              <w:tab/>
            </w:r>
            <w:r w:rsidRPr="00A52AB8">
              <w:rPr>
                <w:b/>
                <w:bCs/>
                <w:sz w:val="20"/>
              </w:rPr>
              <w:tab/>
            </w:r>
            <w:r w:rsidRPr="00A52AB8">
              <w:rPr>
                <w:b/>
                <w:bCs/>
                <w:sz w:val="20"/>
              </w:rPr>
              <w:tab/>
            </w:r>
            <w:r w:rsidRPr="00A52AB8">
              <w:rPr>
                <w:b/>
                <w:bCs/>
                <w:sz w:val="20"/>
              </w:rPr>
              <w:tab/>
            </w:r>
            <w:r w:rsidRPr="00A52AB8">
              <w:rPr>
                <w:bCs/>
                <w:sz w:val="20"/>
              </w:rPr>
              <w:t>for(</w:t>
            </w:r>
            <w:r w:rsidR="00AE24CD" w:rsidRPr="00A52AB8">
              <w:rPr>
                <w:bCs/>
                <w:sz w:val="20"/>
              </w:rPr>
              <w:t> </w:t>
            </w:r>
            <w:r w:rsidRPr="00A52AB8">
              <w:rPr>
                <w:bCs/>
                <w:sz w:val="20"/>
              </w:rPr>
              <w:t>j</w:t>
            </w:r>
            <w:r w:rsidR="00D47707" w:rsidRPr="00A52AB8">
              <w:rPr>
                <w:bCs/>
                <w:sz w:val="20"/>
              </w:rPr>
              <w:t> = </w:t>
            </w:r>
            <w:r w:rsidRPr="00A52AB8">
              <w:rPr>
                <w:bCs/>
                <w:sz w:val="20"/>
              </w:rPr>
              <w:t>0;</w:t>
            </w:r>
            <w:r w:rsidR="00AE24CD" w:rsidRPr="00A52AB8">
              <w:rPr>
                <w:bCs/>
                <w:sz w:val="20"/>
              </w:rPr>
              <w:t> </w:t>
            </w:r>
            <w:r w:rsidRPr="00A52AB8">
              <w:rPr>
                <w:bCs/>
                <w:sz w:val="20"/>
              </w:rPr>
              <w:t>j &lt; soi_object_num_</w:t>
            </w:r>
            <w:r w:rsidRPr="00A52AB8">
              <w:rPr>
                <w:sz w:val="20"/>
              </w:rPr>
              <w:t>dependencies</w:t>
            </w:r>
            <w:r w:rsidR="004B7314" w:rsidRPr="00A52AB8">
              <w:rPr>
                <w:sz w:val="20"/>
              </w:rPr>
              <w:t>[ k ]</w:t>
            </w:r>
            <w:r w:rsidRPr="00A52AB8">
              <w:rPr>
                <w:bCs/>
                <w:sz w:val="20"/>
              </w:rPr>
              <w:t>;</w:t>
            </w:r>
            <w:r w:rsidR="00AE24CD" w:rsidRPr="00A52AB8">
              <w:rPr>
                <w:bCs/>
                <w:sz w:val="20"/>
              </w:rPr>
              <w:t> </w:t>
            </w:r>
            <w:r w:rsidRPr="00A52AB8">
              <w:rPr>
                <w:bCs/>
                <w:sz w:val="20"/>
              </w:rPr>
              <w:t>j</w:t>
            </w:r>
            <w:r w:rsidR="00006CCF" w:rsidRPr="00A52AB8">
              <w:rPr>
                <w:bCs/>
                <w:sz w:val="20"/>
              </w:rPr>
              <w:t>++ )</w:t>
            </w:r>
          </w:p>
        </w:tc>
        <w:tc>
          <w:tcPr>
            <w:tcW w:w="1332" w:type="dxa"/>
          </w:tcPr>
          <w:p w14:paraId="090B4B53" w14:textId="77777777" w:rsidR="00E17286" w:rsidRPr="00A52AB8" w:rsidRDefault="00E17286">
            <w:pPr>
              <w:spacing w:before="20" w:after="40" w:line="240" w:lineRule="auto"/>
              <w:jc w:val="center"/>
              <w:rPr>
                <w:rFonts w:eastAsia="Malgun Gothic"/>
                <w:sz w:val="20"/>
              </w:rPr>
            </w:pPr>
          </w:p>
        </w:tc>
      </w:tr>
      <w:tr w:rsidR="00E17286" w:rsidRPr="00A52AB8" w14:paraId="6B7D4C43" w14:textId="77777777" w:rsidTr="00007BE2">
        <w:trPr>
          <w:cantSplit/>
          <w:jc w:val="center"/>
        </w:trPr>
        <w:tc>
          <w:tcPr>
            <w:tcW w:w="8422" w:type="dxa"/>
          </w:tcPr>
          <w:p w14:paraId="1293393A" w14:textId="77777777" w:rsidR="00E17286" w:rsidRPr="00A52AB8" w:rsidRDefault="00E17286">
            <w:pPr>
              <w:spacing w:before="20" w:after="40" w:line="240" w:lineRule="auto"/>
              <w:rPr>
                <w:color w:val="000000" w:themeColor="text1"/>
                <w:sz w:val="20"/>
                <w:szCs w:val="20"/>
              </w:rPr>
            </w:pPr>
            <w:r w:rsidRPr="00A52AB8">
              <w:rPr>
                <w:color w:val="000000" w:themeColor="text1"/>
                <w:sz w:val="20"/>
                <w:szCs w:val="20"/>
              </w:rPr>
              <w:tab/>
            </w:r>
            <w:r w:rsidRPr="00A52AB8">
              <w:rPr>
                <w:color w:val="000000" w:themeColor="text1"/>
                <w:sz w:val="20"/>
                <w:szCs w:val="20"/>
              </w:rPr>
              <w:tab/>
            </w:r>
            <w:r w:rsidRPr="00A52AB8">
              <w:rPr>
                <w:b/>
                <w:bCs/>
                <w:sz w:val="20"/>
              </w:rPr>
              <w:tab/>
            </w:r>
            <w:r w:rsidRPr="00A52AB8">
              <w:rPr>
                <w:b/>
                <w:bCs/>
                <w:sz w:val="20"/>
              </w:rPr>
              <w:tab/>
            </w:r>
            <w:r w:rsidRPr="00A52AB8">
              <w:rPr>
                <w:b/>
                <w:bCs/>
                <w:sz w:val="20"/>
              </w:rPr>
              <w:tab/>
            </w:r>
            <w:r w:rsidRPr="00A52AB8">
              <w:rPr>
                <w:b/>
                <w:bCs/>
                <w:sz w:val="20"/>
              </w:rPr>
              <w:tab/>
            </w:r>
            <w:r w:rsidRPr="00A52AB8">
              <w:rPr>
                <w:b/>
                <w:bCs/>
                <w:sz w:val="20"/>
              </w:rPr>
              <w:tab/>
              <w:t>soi_object_dependency_idx</w:t>
            </w:r>
            <w:r w:rsidR="004B7314" w:rsidRPr="00A52AB8">
              <w:rPr>
                <w:sz w:val="20"/>
              </w:rPr>
              <w:t>[ k ]</w:t>
            </w:r>
            <w:r w:rsidR="0006494C" w:rsidRPr="00A52AB8">
              <w:rPr>
                <w:sz w:val="20"/>
              </w:rPr>
              <w:t>[ </w:t>
            </w:r>
            <w:r w:rsidR="001F4484" w:rsidRPr="00A52AB8">
              <w:rPr>
                <w:sz w:val="20"/>
              </w:rPr>
              <w:t>j ]</w:t>
            </w:r>
          </w:p>
        </w:tc>
        <w:tc>
          <w:tcPr>
            <w:tcW w:w="1332" w:type="dxa"/>
          </w:tcPr>
          <w:p w14:paraId="35071354" w14:textId="77777777" w:rsidR="00E17286" w:rsidRPr="00A52AB8" w:rsidRDefault="00E17286">
            <w:pPr>
              <w:spacing w:before="20" w:after="40" w:line="240" w:lineRule="auto"/>
              <w:jc w:val="center"/>
              <w:rPr>
                <w:rFonts w:eastAsia="Malgun Gothic"/>
                <w:sz w:val="20"/>
              </w:rPr>
            </w:pPr>
            <w:r w:rsidRPr="00A52AB8">
              <w:rPr>
                <w:bCs/>
                <w:sz w:val="20"/>
              </w:rPr>
              <w:t>u(v)</w:t>
            </w:r>
          </w:p>
        </w:tc>
      </w:tr>
      <w:tr w:rsidR="00E17286" w:rsidRPr="00A52AB8" w14:paraId="37C76A1C" w14:textId="77777777" w:rsidTr="00007BE2">
        <w:trPr>
          <w:cantSplit/>
          <w:jc w:val="center"/>
        </w:trPr>
        <w:tc>
          <w:tcPr>
            <w:tcW w:w="8422" w:type="dxa"/>
          </w:tcPr>
          <w:p w14:paraId="40E3A2DF" w14:textId="77777777" w:rsidR="00E17286" w:rsidRPr="00A52AB8" w:rsidRDefault="00E17286">
            <w:pPr>
              <w:spacing w:before="20" w:after="40" w:line="240" w:lineRule="auto"/>
              <w:rPr>
                <w:bCs/>
                <w:sz w:val="20"/>
              </w:rPr>
            </w:pPr>
            <w:r w:rsidRPr="00A52AB8">
              <w:rPr>
                <w:bCs/>
                <w:sz w:val="20"/>
              </w:rPr>
              <w:tab/>
            </w:r>
            <w:r w:rsidRPr="00A52AB8">
              <w:rPr>
                <w:bCs/>
                <w:sz w:val="20"/>
              </w:rPr>
              <w:tab/>
            </w:r>
            <w:r w:rsidRPr="00A52AB8">
              <w:rPr>
                <w:bCs/>
                <w:sz w:val="20"/>
              </w:rPr>
              <w:tab/>
            </w:r>
            <w:r w:rsidRPr="00A52AB8">
              <w:rPr>
                <w:bCs/>
                <w:sz w:val="20"/>
              </w:rPr>
              <w:tab/>
            </w:r>
            <w:r w:rsidRPr="00A52AB8">
              <w:rPr>
                <w:bCs/>
                <w:sz w:val="20"/>
              </w:rPr>
              <w:tab/>
              <w:t>}</w:t>
            </w:r>
          </w:p>
        </w:tc>
        <w:tc>
          <w:tcPr>
            <w:tcW w:w="1332" w:type="dxa"/>
          </w:tcPr>
          <w:p w14:paraId="77EC1AA7" w14:textId="77777777" w:rsidR="00E17286" w:rsidRPr="00A52AB8" w:rsidRDefault="00E17286">
            <w:pPr>
              <w:spacing w:before="20" w:after="40" w:line="240" w:lineRule="auto"/>
              <w:jc w:val="center"/>
              <w:rPr>
                <w:rFonts w:eastAsia="Malgun Gothic"/>
                <w:sz w:val="20"/>
              </w:rPr>
            </w:pPr>
          </w:p>
        </w:tc>
      </w:tr>
      <w:tr w:rsidR="00E17286" w:rsidRPr="00A52AB8" w14:paraId="2A20EBF2" w14:textId="77777777" w:rsidTr="00007BE2">
        <w:trPr>
          <w:cantSplit/>
          <w:jc w:val="center"/>
        </w:trPr>
        <w:tc>
          <w:tcPr>
            <w:tcW w:w="8422" w:type="dxa"/>
          </w:tcPr>
          <w:p w14:paraId="783E8E4F" w14:textId="77777777" w:rsidR="00E17286" w:rsidRPr="00A52AB8" w:rsidRDefault="00E17286">
            <w:pPr>
              <w:spacing w:before="20" w:after="40" w:line="240" w:lineRule="auto"/>
              <w:rPr>
                <w:bCs/>
                <w:sz w:val="20"/>
              </w:rPr>
            </w:pPr>
            <w:r w:rsidRPr="00A52AB8">
              <w:rPr>
                <w:bCs/>
                <w:sz w:val="20"/>
              </w:rPr>
              <w:tab/>
            </w:r>
            <w:r w:rsidRPr="00A52AB8">
              <w:rPr>
                <w:bCs/>
                <w:sz w:val="20"/>
              </w:rPr>
              <w:tab/>
            </w:r>
            <w:r w:rsidRPr="00A52AB8">
              <w:rPr>
                <w:bCs/>
                <w:sz w:val="20"/>
              </w:rPr>
              <w:tab/>
            </w:r>
            <w:r w:rsidRPr="00A52AB8">
              <w:rPr>
                <w:bCs/>
                <w:sz w:val="20"/>
              </w:rPr>
              <w:tab/>
              <w:t>}</w:t>
            </w:r>
          </w:p>
        </w:tc>
        <w:tc>
          <w:tcPr>
            <w:tcW w:w="1332" w:type="dxa"/>
          </w:tcPr>
          <w:p w14:paraId="12E65A3F" w14:textId="77777777" w:rsidR="00E17286" w:rsidRPr="00A52AB8" w:rsidRDefault="00E17286">
            <w:pPr>
              <w:spacing w:before="20" w:after="40" w:line="240" w:lineRule="auto"/>
              <w:jc w:val="center"/>
              <w:rPr>
                <w:rFonts w:eastAsia="Malgun Gothic"/>
                <w:sz w:val="20"/>
              </w:rPr>
            </w:pPr>
          </w:p>
        </w:tc>
      </w:tr>
      <w:tr w:rsidR="00E17286" w:rsidRPr="00A52AB8" w14:paraId="10CB4DD1" w14:textId="77777777" w:rsidTr="00007BE2">
        <w:trPr>
          <w:cantSplit/>
          <w:jc w:val="center"/>
        </w:trPr>
        <w:tc>
          <w:tcPr>
            <w:tcW w:w="8422" w:type="dxa"/>
          </w:tcPr>
          <w:p w14:paraId="4C085A36" w14:textId="76A06040" w:rsidR="00E17286" w:rsidRPr="00A52AB8" w:rsidRDefault="00E17286">
            <w:pPr>
              <w:spacing w:before="20" w:after="40" w:line="240" w:lineRule="auto"/>
              <w:rPr>
                <w:b/>
                <w:bCs/>
                <w:sz w:val="20"/>
              </w:rPr>
            </w:pPr>
            <w:r w:rsidRPr="00A52AB8">
              <w:rPr>
                <w:b/>
                <w:bCs/>
                <w:sz w:val="20"/>
              </w:rPr>
              <w:tab/>
            </w:r>
            <w:r w:rsidRPr="00A52AB8">
              <w:rPr>
                <w:b/>
                <w:bCs/>
                <w:sz w:val="20"/>
              </w:rPr>
              <w:tab/>
            </w:r>
            <w:r w:rsidRPr="00A52AB8">
              <w:rPr>
                <w:b/>
                <w:bCs/>
                <w:sz w:val="20"/>
              </w:rPr>
              <w:tab/>
            </w:r>
            <w:r w:rsidRPr="00A52AB8">
              <w:rPr>
                <w:b/>
                <w:bCs/>
                <w:sz w:val="20"/>
              </w:rPr>
              <w:tab/>
            </w:r>
            <w:r w:rsidRPr="00A52AB8">
              <w:rPr>
                <w:color w:val="000000" w:themeColor="text1"/>
                <w:sz w:val="20"/>
                <w:szCs w:val="20"/>
              </w:rPr>
              <w:t>if( </w:t>
            </w:r>
            <w:r w:rsidRPr="00A52AB8">
              <w:rPr>
                <w:sz w:val="20"/>
              </w:rPr>
              <w:t>soi_visibility_cones_present_flag </w:t>
            </w:r>
            <w:r w:rsidR="008F1F82" w:rsidRPr="00A52AB8">
              <w:rPr>
                <w:sz w:val="20"/>
              </w:rPr>
              <w:t>) {</w:t>
            </w:r>
          </w:p>
        </w:tc>
        <w:tc>
          <w:tcPr>
            <w:tcW w:w="1332" w:type="dxa"/>
          </w:tcPr>
          <w:p w14:paraId="7779A567" w14:textId="77777777" w:rsidR="00E17286" w:rsidRPr="00A52AB8" w:rsidRDefault="00E17286">
            <w:pPr>
              <w:spacing w:before="20" w:after="40" w:line="240" w:lineRule="auto"/>
              <w:jc w:val="center"/>
              <w:rPr>
                <w:rFonts w:eastAsia="Malgun Gothic"/>
                <w:sz w:val="20"/>
              </w:rPr>
            </w:pPr>
          </w:p>
        </w:tc>
      </w:tr>
      <w:tr w:rsidR="00E17286" w:rsidRPr="00A52AB8" w14:paraId="68DCB3CF" w14:textId="77777777" w:rsidTr="00007BE2">
        <w:trPr>
          <w:cantSplit/>
          <w:jc w:val="center"/>
        </w:trPr>
        <w:tc>
          <w:tcPr>
            <w:tcW w:w="8422" w:type="dxa"/>
          </w:tcPr>
          <w:p w14:paraId="627505E4" w14:textId="073F4E2B" w:rsidR="00E17286" w:rsidRPr="00A52AB8" w:rsidRDefault="00E17286">
            <w:pPr>
              <w:spacing w:before="20" w:after="40" w:line="240" w:lineRule="auto"/>
              <w:rPr>
                <w:color w:val="000000" w:themeColor="text1"/>
                <w:sz w:val="20"/>
                <w:szCs w:val="20"/>
              </w:rPr>
            </w:pPr>
            <w:r w:rsidRPr="00A52AB8">
              <w:rPr>
                <w:b/>
                <w:bCs/>
                <w:sz w:val="20"/>
              </w:rPr>
              <w:tab/>
            </w:r>
            <w:r w:rsidRPr="00A52AB8">
              <w:rPr>
                <w:b/>
                <w:bCs/>
                <w:sz w:val="20"/>
              </w:rPr>
              <w:tab/>
            </w:r>
            <w:r w:rsidRPr="00A52AB8">
              <w:rPr>
                <w:b/>
                <w:bCs/>
                <w:sz w:val="20"/>
              </w:rPr>
              <w:tab/>
            </w:r>
            <w:r w:rsidRPr="00A52AB8">
              <w:rPr>
                <w:b/>
                <w:bCs/>
                <w:sz w:val="20"/>
              </w:rPr>
              <w:tab/>
            </w:r>
            <w:r w:rsidRPr="00A52AB8">
              <w:rPr>
                <w:b/>
                <w:bCs/>
                <w:sz w:val="20"/>
              </w:rPr>
              <w:tab/>
              <w:t>soi_visibility_cones</w:t>
            </w:r>
            <w:r w:rsidRPr="00A52AB8">
              <w:rPr>
                <w:b/>
                <w:sz w:val="20"/>
              </w:rPr>
              <w:t>_update_flag</w:t>
            </w:r>
            <w:r w:rsidR="004B7314" w:rsidRPr="00A52AB8">
              <w:rPr>
                <w:sz w:val="20"/>
              </w:rPr>
              <w:t>[ k ]</w:t>
            </w:r>
          </w:p>
        </w:tc>
        <w:tc>
          <w:tcPr>
            <w:tcW w:w="1332" w:type="dxa"/>
          </w:tcPr>
          <w:p w14:paraId="3E6FFA28" w14:textId="77777777" w:rsidR="00E17286" w:rsidRPr="00A52AB8" w:rsidRDefault="00E17286">
            <w:pPr>
              <w:spacing w:before="20" w:after="40" w:line="240" w:lineRule="auto"/>
              <w:jc w:val="center"/>
              <w:rPr>
                <w:color w:val="000000" w:themeColor="text1"/>
                <w:sz w:val="20"/>
                <w:szCs w:val="20"/>
              </w:rPr>
            </w:pPr>
            <w:r w:rsidRPr="00A52AB8">
              <w:rPr>
                <w:sz w:val="20"/>
              </w:rPr>
              <w:t>u(1)</w:t>
            </w:r>
          </w:p>
        </w:tc>
      </w:tr>
      <w:tr w:rsidR="00E17286" w:rsidRPr="00A52AB8" w14:paraId="47734114" w14:textId="77777777" w:rsidTr="00007BE2">
        <w:trPr>
          <w:cantSplit/>
          <w:jc w:val="center"/>
        </w:trPr>
        <w:tc>
          <w:tcPr>
            <w:tcW w:w="8422" w:type="dxa"/>
          </w:tcPr>
          <w:p w14:paraId="75EAFFE3" w14:textId="73C29A57" w:rsidR="00E17286" w:rsidRPr="00A52AB8" w:rsidRDefault="00E17286">
            <w:pPr>
              <w:spacing w:before="20" w:after="40" w:line="240" w:lineRule="auto"/>
              <w:rPr>
                <w:color w:val="000000" w:themeColor="text1"/>
                <w:sz w:val="20"/>
                <w:szCs w:val="20"/>
              </w:rPr>
            </w:pPr>
            <w:r w:rsidRPr="00A52AB8">
              <w:rPr>
                <w:b/>
                <w:bCs/>
                <w:sz w:val="20"/>
              </w:rPr>
              <w:tab/>
            </w:r>
            <w:r w:rsidRPr="00A52AB8">
              <w:rPr>
                <w:b/>
                <w:bCs/>
                <w:sz w:val="20"/>
              </w:rPr>
              <w:tab/>
            </w:r>
            <w:r w:rsidRPr="00A52AB8">
              <w:rPr>
                <w:b/>
                <w:bCs/>
                <w:sz w:val="20"/>
              </w:rPr>
              <w:tab/>
            </w:r>
            <w:r w:rsidRPr="00A52AB8">
              <w:rPr>
                <w:b/>
                <w:bCs/>
                <w:sz w:val="20"/>
              </w:rPr>
              <w:tab/>
            </w:r>
            <w:r w:rsidRPr="00A52AB8">
              <w:rPr>
                <w:b/>
                <w:bCs/>
                <w:sz w:val="20"/>
              </w:rPr>
              <w:tab/>
            </w:r>
            <w:r w:rsidRPr="00A52AB8">
              <w:rPr>
                <w:sz w:val="20"/>
              </w:rPr>
              <w:t>if( so</w:t>
            </w:r>
            <w:r w:rsidRPr="00A52AB8">
              <w:rPr>
                <w:bCs/>
                <w:sz w:val="20"/>
              </w:rPr>
              <w:t>i_visibility_cones</w:t>
            </w:r>
            <w:r w:rsidRPr="00A52AB8">
              <w:rPr>
                <w:sz w:val="20"/>
              </w:rPr>
              <w:t>_update_flag</w:t>
            </w:r>
            <w:r w:rsidR="004B7314" w:rsidRPr="00A52AB8">
              <w:rPr>
                <w:sz w:val="20"/>
              </w:rPr>
              <w:t>[ k ]</w:t>
            </w:r>
            <w:r w:rsidR="008F1F82" w:rsidRPr="00A52AB8">
              <w:rPr>
                <w:sz w:val="20"/>
              </w:rPr>
              <w:t>) {</w:t>
            </w:r>
          </w:p>
        </w:tc>
        <w:tc>
          <w:tcPr>
            <w:tcW w:w="1332" w:type="dxa"/>
          </w:tcPr>
          <w:p w14:paraId="536792B0" w14:textId="77777777" w:rsidR="00E17286" w:rsidRPr="00A52AB8" w:rsidRDefault="00E17286">
            <w:pPr>
              <w:spacing w:before="20" w:after="40" w:line="240" w:lineRule="auto"/>
              <w:jc w:val="center"/>
              <w:rPr>
                <w:color w:val="000000" w:themeColor="text1"/>
                <w:sz w:val="20"/>
                <w:szCs w:val="20"/>
              </w:rPr>
            </w:pPr>
          </w:p>
        </w:tc>
      </w:tr>
      <w:tr w:rsidR="00E17286" w:rsidRPr="00A52AB8" w14:paraId="02AABF31" w14:textId="77777777" w:rsidTr="00007BE2">
        <w:trPr>
          <w:cantSplit/>
          <w:jc w:val="center"/>
        </w:trPr>
        <w:tc>
          <w:tcPr>
            <w:tcW w:w="8422" w:type="dxa"/>
          </w:tcPr>
          <w:p w14:paraId="2B947F9F" w14:textId="77777777" w:rsidR="00E17286" w:rsidRPr="00A52AB8" w:rsidRDefault="00E17286">
            <w:pPr>
              <w:spacing w:before="20" w:after="40" w:line="240" w:lineRule="auto"/>
              <w:rPr>
                <w:b/>
                <w:sz w:val="20"/>
              </w:rPr>
            </w:pPr>
            <w:r w:rsidRPr="00A52AB8">
              <w:rPr>
                <w:color w:val="000000" w:themeColor="text1"/>
                <w:sz w:val="20"/>
                <w:szCs w:val="20"/>
              </w:rPr>
              <w:tab/>
            </w:r>
            <w:r w:rsidRPr="00A52AB8">
              <w:rPr>
                <w:color w:val="000000" w:themeColor="text1"/>
                <w:sz w:val="20"/>
                <w:szCs w:val="20"/>
              </w:rPr>
              <w:tab/>
            </w:r>
            <w:r w:rsidRPr="00A52AB8">
              <w:rPr>
                <w:b/>
                <w:bCs/>
                <w:sz w:val="20"/>
              </w:rPr>
              <w:tab/>
            </w:r>
            <w:r w:rsidRPr="00A52AB8">
              <w:rPr>
                <w:b/>
                <w:bCs/>
                <w:sz w:val="20"/>
              </w:rPr>
              <w:tab/>
            </w:r>
            <w:r w:rsidRPr="00A52AB8">
              <w:rPr>
                <w:b/>
                <w:bCs/>
                <w:sz w:val="20"/>
              </w:rPr>
              <w:tab/>
            </w:r>
            <w:r w:rsidRPr="00A52AB8">
              <w:rPr>
                <w:b/>
                <w:bCs/>
                <w:sz w:val="20"/>
              </w:rPr>
              <w:tab/>
              <w:t>soi_direction</w:t>
            </w:r>
            <w:r w:rsidRPr="00A52AB8">
              <w:rPr>
                <w:b/>
                <w:color w:val="000000" w:themeColor="text1"/>
                <w:sz w:val="20"/>
                <w:szCs w:val="20"/>
              </w:rPr>
              <w:t>_x</w:t>
            </w:r>
            <w:r w:rsidR="004B7314" w:rsidRPr="00A52AB8">
              <w:rPr>
                <w:sz w:val="20"/>
              </w:rPr>
              <w:t>[ k ]</w:t>
            </w:r>
          </w:p>
        </w:tc>
        <w:tc>
          <w:tcPr>
            <w:tcW w:w="1332" w:type="dxa"/>
          </w:tcPr>
          <w:p w14:paraId="7AF0CB0E" w14:textId="11324F56" w:rsidR="00E17286" w:rsidRPr="00A52AB8" w:rsidRDefault="005713D3">
            <w:pPr>
              <w:spacing w:before="20" w:after="40" w:line="240" w:lineRule="auto"/>
              <w:jc w:val="center"/>
              <w:rPr>
                <w:rFonts w:eastAsia="Malgun Gothic"/>
                <w:sz w:val="20"/>
              </w:rPr>
            </w:pPr>
            <w:r w:rsidRPr="00A52AB8">
              <w:rPr>
                <w:color w:val="000000" w:themeColor="text1"/>
                <w:sz w:val="20"/>
                <w:szCs w:val="20"/>
              </w:rPr>
              <w:t>i</w:t>
            </w:r>
            <w:r w:rsidR="00E17286" w:rsidRPr="00A52AB8">
              <w:rPr>
                <w:color w:val="000000" w:themeColor="text1"/>
                <w:sz w:val="20"/>
                <w:szCs w:val="20"/>
              </w:rPr>
              <w:t>(</w:t>
            </w:r>
            <w:r w:rsidR="00963C3B" w:rsidRPr="00A52AB8">
              <w:rPr>
                <w:color w:val="000000" w:themeColor="text1"/>
                <w:sz w:val="20"/>
                <w:szCs w:val="20"/>
              </w:rPr>
              <w:t>16</w:t>
            </w:r>
            <w:r w:rsidR="00E17286" w:rsidRPr="00A52AB8">
              <w:rPr>
                <w:color w:val="000000" w:themeColor="text1"/>
                <w:sz w:val="20"/>
                <w:szCs w:val="20"/>
              </w:rPr>
              <w:t>)</w:t>
            </w:r>
          </w:p>
        </w:tc>
      </w:tr>
      <w:tr w:rsidR="00E17286" w:rsidRPr="00A52AB8" w14:paraId="489E6832" w14:textId="77777777" w:rsidTr="00007BE2">
        <w:trPr>
          <w:cantSplit/>
          <w:jc w:val="center"/>
        </w:trPr>
        <w:tc>
          <w:tcPr>
            <w:tcW w:w="8422" w:type="dxa"/>
          </w:tcPr>
          <w:p w14:paraId="6B756BE0" w14:textId="77777777" w:rsidR="00E17286" w:rsidRPr="00A52AB8" w:rsidRDefault="00E17286">
            <w:pPr>
              <w:spacing w:before="20" w:after="40" w:line="240" w:lineRule="auto"/>
              <w:rPr>
                <w:sz w:val="20"/>
              </w:rPr>
            </w:pPr>
            <w:r w:rsidRPr="00A52AB8">
              <w:rPr>
                <w:color w:val="000000" w:themeColor="text1"/>
                <w:sz w:val="20"/>
                <w:szCs w:val="20"/>
              </w:rPr>
              <w:tab/>
            </w:r>
            <w:r w:rsidRPr="00A52AB8">
              <w:rPr>
                <w:color w:val="000000" w:themeColor="text1"/>
                <w:sz w:val="20"/>
                <w:szCs w:val="20"/>
              </w:rPr>
              <w:tab/>
            </w:r>
            <w:r w:rsidRPr="00A52AB8">
              <w:rPr>
                <w:b/>
                <w:bCs/>
                <w:sz w:val="20"/>
              </w:rPr>
              <w:tab/>
            </w:r>
            <w:r w:rsidRPr="00A52AB8">
              <w:rPr>
                <w:b/>
                <w:bCs/>
                <w:sz w:val="20"/>
              </w:rPr>
              <w:tab/>
            </w:r>
            <w:r w:rsidRPr="00A52AB8">
              <w:rPr>
                <w:b/>
                <w:bCs/>
                <w:sz w:val="20"/>
              </w:rPr>
              <w:tab/>
            </w:r>
            <w:r w:rsidRPr="00A52AB8">
              <w:rPr>
                <w:b/>
                <w:bCs/>
                <w:sz w:val="20"/>
              </w:rPr>
              <w:tab/>
              <w:t>soi_direction</w:t>
            </w:r>
            <w:r w:rsidRPr="00A52AB8">
              <w:rPr>
                <w:b/>
                <w:color w:val="000000" w:themeColor="text1"/>
                <w:sz w:val="20"/>
                <w:szCs w:val="20"/>
              </w:rPr>
              <w:t>_y</w:t>
            </w:r>
            <w:r w:rsidR="004B7314" w:rsidRPr="00A52AB8">
              <w:rPr>
                <w:sz w:val="20"/>
              </w:rPr>
              <w:t>[ k ]</w:t>
            </w:r>
          </w:p>
        </w:tc>
        <w:tc>
          <w:tcPr>
            <w:tcW w:w="1332" w:type="dxa"/>
          </w:tcPr>
          <w:p w14:paraId="12B86F9C" w14:textId="29BA1A20" w:rsidR="00E17286" w:rsidRPr="00A52AB8" w:rsidRDefault="005713D3">
            <w:pPr>
              <w:spacing w:before="20" w:after="40" w:line="240" w:lineRule="auto"/>
              <w:jc w:val="center"/>
              <w:rPr>
                <w:rFonts w:eastAsia="Malgun Gothic"/>
                <w:sz w:val="20"/>
              </w:rPr>
            </w:pPr>
            <w:r w:rsidRPr="00A52AB8">
              <w:rPr>
                <w:color w:val="000000" w:themeColor="text1"/>
                <w:sz w:val="20"/>
                <w:szCs w:val="20"/>
              </w:rPr>
              <w:t>i</w:t>
            </w:r>
            <w:r w:rsidR="00E17286" w:rsidRPr="00A52AB8">
              <w:rPr>
                <w:color w:val="000000" w:themeColor="text1"/>
                <w:sz w:val="20"/>
                <w:szCs w:val="20"/>
              </w:rPr>
              <w:t>(</w:t>
            </w:r>
            <w:r w:rsidR="00963C3B" w:rsidRPr="00A52AB8">
              <w:rPr>
                <w:color w:val="000000" w:themeColor="text1"/>
                <w:sz w:val="20"/>
                <w:szCs w:val="20"/>
              </w:rPr>
              <w:t>16</w:t>
            </w:r>
            <w:r w:rsidR="00E17286" w:rsidRPr="00A52AB8">
              <w:rPr>
                <w:color w:val="000000" w:themeColor="text1"/>
                <w:sz w:val="20"/>
                <w:szCs w:val="20"/>
              </w:rPr>
              <w:t>)</w:t>
            </w:r>
          </w:p>
        </w:tc>
      </w:tr>
      <w:tr w:rsidR="00E17286" w:rsidRPr="00A52AB8" w14:paraId="7C59522E" w14:textId="77777777" w:rsidTr="00007BE2">
        <w:trPr>
          <w:cantSplit/>
          <w:jc w:val="center"/>
        </w:trPr>
        <w:tc>
          <w:tcPr>
            <w:tcW w:w="8422" w:type="dxa"/>
          </w:tcPr>
          <w:p w14:paraId="00102CAC" w14:textId="77777777" w:rsidR="00E17286" w:rsidRPr="00A52AB8" w:rsidRDefault="00E17286">
            <w:pPr>
              <w:spacing w:before="20" w:after="40" w:line="240" w:lineRule="auto"/>
              <w:rPr>
                <w:sz w:val="20"/>
              </w:rPr>
            </w:pPr>
            <w:r w:rsidRPr="00A52AB8">
              <w:rPr>
                <w:color w:val="000000" w:themeColor="text1"/>
                <w:sz w:val="20"/>
                <w:szCs w:val="20"/>
              </w:rPr>
              <w:tab/>
            </w:r>
            <w:r w:rsidRPr="00A52AB8">
              <w:rPr>
                <w:color w:val="000000" w:themeColor="text1"/>
                <w:sz w:val="20"/>
                <w:szCs w:val="20"/>
              </w:rPr>
              <w:tab/>
            </w:r>
            <w:r w:rsidRPr="00A52AB8">
              <w:rPr>
                <w:b/>
                <w:bCs/>
                <w:sz w:val="20"/>
              </w:rPr>
              <w:tab/>
            </w:r>
            <w:r w:rsidRPr="00A52AB8">
              <w:rPr>
                <w:b/>
                <w:bCs/>
                <w:sz w:val="20"/>
              </w:rPr>
              <w:tab/>
            </w:r>
            <w:r w:rsidRPr="00A52AB8">
              <w:rPr>
                <w:b/>
                <w:bCs/>
                <w:sz w:val="20"/>
              </w:rPr>
              <w:tab/>
            </w:r>
            <w:r w:rsidRPr="00A52AB8">
              <w:rPr>
                <w:b/>
                <w:bCs/>
                <w:sz w:val="20"/>
              </w:rPr>
              <w:tab/>
              <w:t>soi_direction</w:t>
            </w:r>
            <w:r w:rsidRPr="00A52AB8">
              <w:rPr>
                <w:b/>
                <w:color w:val="000000" w:themeColor="text1"/>
                <w:sz w:val="20"/>
                <w:szCs w:val="20"/>
              </w:rPr>
              <w:t>_z</w:t>
            </w:r>
            <w:r w:rsidR="004B7314" w:rsidRPr="00A52AB8">
              <w:rPr>
                <w:sz w:val="20"/>
              </w:rPr>
              <w:t>[ k ]</w:t>
            </w:r>
          </w:p>
        </w:tc>
        <w:tc>
          <w:tcPr>
            <w:tcW w:w="1332" w:type="dxa"/>
          </w:tcPr>
          <w:p w14:paraId="078E622F" w14:textId="11B1DA2A" w:rsidR="00E17286" w:rsidRPr="00A52AB8" w:rsidRDefault="005713D3">
            <w:pPr>
              <w:spacing w:before="20" w:after="40" w:line="240" w:lineRule="auto"/>
              <w:jc w:val="center"/>
              <w:rPr>
                <w:rFonts w:eastAsia="Malgun Gothic"/>
                <w:sz w:val="20"/>
              </w:rPr>
            </w:pPr>
            <w:r w:rsidRPr="00A52AB8">
              <w:rPr>
                <w:color w:val="000000" w:themeColor="text1"/>
                <w:sz w:val="20"/>
                <w:szCs w:val="20"/>
              </w:rPr>
              <w:t>i</w:t>
            </w:r>
            <w:r w:rsidR="00E17286" w:rsidRPr="00A52AB8">
              <w:rPr>
                <w:color w:val="000000" w:themeColor="text1"/>
                <w:sz w:val="20"/>
                <w:szCs w:val="20"/>
              </w:rPr>
              <w:t>(</w:t>
            </w:r>
            <w:r w:rsidR="00963C3B" w:rsidRPr="00A52AB8">
              <w:rPr>
                <w:color w:val="000000" w:themeColor="text1"/>
                <w:sz w:val="20"/>
                <w:szCs w:val="20"/>
              </w:rPr>
              <w:t>16</w:t>
            </w:r>
            <w:r w:rsidR="00E17286" w:rsidRPr="00A52AB8">
              <w:rPr>
                <w:color w:val="000000" w:themeColor="text1"/>
                <w:sz w:val="20"/>
                <w:szCs w:val="20"/>
              </w:rPr>
              <w:t>)</w:t>
            </w:r>
          </w:p>
        </w:tc>
      </w:tr>
      <w:tr w:rsidR="00E17286" w:rsidRPr="00A52AB8" w14:paraId="12A06778" w14:textId="77777777" w:rsidTr="00007BE2">
        <w:trPr>
          <w:cantSplit/>
          <w:jc w:val="center"/>
        </w:trPr>
        <w:tc>
          <w:tcPr>
            <w:tcW w:w="8422" w:type="dxa"/>
          </w:tcPr>
          <w:p w14:paraId="09B2A38C" w14:textId="77777777" w:rsidR="00E17286" w:rsidRPr="00A52AB8" w:rsidRDefault="00E17286">
            <w:pPr>
              <w:spacing w:before="20" w:after="40" w:line="240" w:lineRule="auto"/>
              <w:rPr>
                <w:b/>
                <w:bCs/>
                <w:sz w:val="20"/>
              </w:rPr>
            </w:pPr>
            <w:r w:rsidRPr="00A52AB8">
              <w:rPr>
                <w:color w:val="000000" w:themeColor="text1"/>
                <w:sz w:val="20"/>
                <w:szCs w:val="20"/>
              </w:rPr>
              <w:tab/>
            </w:r>
            <w:r w:rsidRPr="00A52AB8">
              <w:rPr>
                <w:color w:val="000000" w:themeColor="text1"/>
                <w:sz w:val="20"/>
                <w:szCs w:val="20"/>
              </w:rPr>
              <w:tab/>
            </w:r>
            <w:r w:rsidRPr="00A52AB8">
              <w:rPr>
                <w:b/>
                <w:bCs/>
                <w:sz w:val="20"/>
              </w:rPr>
              <w:tab/>
            </w:r>
            <w:r w:rsidRPr="00A52AB8">
              <w:rPr>
                <w:b/>
                <w:bCs/>
                <w:sz w:val="20"/>
              </w:rPr>
              <w:tab/>
            </w:r>
            <w:r w:rsidRPr="00A52AB8">
              <w:rPr>
                <w:b/>
                <w:bCs/>
                <w:sz w:val="20"/>
              </w:rPr>
              <w:tab/>
            </w:r>
            <w:r w:rsidRPr="00A52AB8">
              <w:rPr>
                <w:b/>
                <w:bCs/>
                <w:sz w:val="20"/>
              </w:rPr>
              <w:tab/>
              <w:t>soi_angle</w:t>
            </w:r>
            <w:r w:rsidR="004B7314" w:rsidRPr="00A52AB8">
              <w:rPr>
                <w:sz w:val="20"/>
              </w:rPr>
              <w:t>[ k ]</w:t>
            </w:r>
          </w:p>
        </w:tc>
        <w:tc>
          <w:tcPr>
            <w:tcW w:w="1332" w:type="dxa"/>
          </w:tcPr>
          <w:p w14:paraId="2538E470" w14:textId="6F0B3B85" w:rsidR="00E17286" w:rsidRPr="00A52AB8" w:rsidRDefault="00963C3B">
            <w:pPr>
              <w:spacing w:before="20" w:after="40" w:line="240" w:lineRule="auto"/>
              <w:jc w:val="center"/>
              <w:rPr>
                <w:rFonts w:eastAsia="Malgun Gothic"/>
                <w:bCs/>
                <w:sz w:val="20"/>
              </w:rPr>
            </w:pPr>
            <w:r w:rsidRPr="00A52AB8">
              <w:rPr>
                <w:color w:val="000000" w:themeColor="text1"/>
                <w:sz w:val="20"/>
                <w:szCs w:val="20"/>
              </w:rPr>
              <w:t>u</w:t>
            </w:r>
            <w:r w:rsidR="00E17286" w:rsidRPr="00A52AB8">
              <w:rPr>
                <w:color w:val="000000" w:themeColor="text1"/>
                <w:sz w:val="20"/>
                <w:szCs w:val="20"/>
              </w:rPr>
              <w:t>(16)</w:t>
            </w:r>
          </w:p>
        </w:tc>
      </w:tr>
      <w:tr w:rsidR="00E17286" w:rsidRPr="00A52AB8" w14:paraId="7E430B7A" w14:textId="77777777" w:rsidTr="00007BE2">
        <w:trPr>
          <w:cantSplit/>
          <w:jc w:val="center"/>
        </w:trPr>
        <w:tc>
          <w:tcPr>
            <w:tcW w:w="8422" w:type="dxa"/>
          </w:tcPr>
          <w:p w14:paraId="2EAE24B6" w14:textId="77777777" w:rsidR="00E17286" w:rsidRPr="00A52AB8" w:rsidRDefault="00E17286">
            <w:pPr>
              <w:spacing w:before="20" w:after="40" w:line="240" w:lineRule="auto"/>
              <w:rPr>
                <w:b/>
                <w:bCs/>
                <w:sz w:val="20"/>
              </w:rPr>
            </w:pPr>
            <w:r w:rsidRPr="00A52AB8">
              <w:rPr>
                <w:b/>
                <w:bCs/>
                <w:sz w:val="20"/>
              </w:rPr>
              <w:tab/>
            </w:r>
            <w:r w:rsidRPr="00A52AB8">
              <w:rPr>
                <w:bCs/>
                <w:sz w:val="20"/>
              </w:rPr>
              <w:tab/>
            </w:r>
            <w:r w:rsidRPr="00A52AB8">
              <w:rPr>
                <w:bCs/>
                <w:sz w:val="20"/>
              </w:rPr>
              <w:tab/>
            </w:r>
            <w:r w:rsidRPr="00A52AB8">
              <w:rPr>
                <w:b/>
                <w:bCs/>
                <w:sz w:val="20"/>
              </w:rPr>
              <w:tab/>
            </w:r>
            <w:r w:rsidRPr="00A52AB8">
              <w:rPr>
                <w:b/>
                <w:bCs/>
                <w:sz w:val="20"/>
              </w:rPr>
              <w:tab/>
            </w:r>
            <w:r w:rsidRPr="00A52AB8">
              <w:rPr>
                <w:bCs/>
                <w:sz w:val="20"/>
              </w:rPr>
              <w:t>}</w:t>
            </w:r>
          </w:p>
        </w:tc>
        <w:tc>
          <w:tcPr>
            <w:tcW w:w="1332" w:type="dxa"/>
          </w:tcPr>
          <w:p w14:paraId="69C323D8" w14:textId="77777777" w:rsidR="00E17286" w:rsidRPr="00A52AB8" w:rsidRDefault="00E17286">
            <w:pPr>
              <w:spacing w:before="20" w:after="40" w:line="240" w:lineRule="auto"/>
              <w:jc w:val="center"/>
              <w:rPr>
                <w:rFonts w:eastAsia="Malgun Gothic"/>
                <w:sz w:val="20"/>
              </w:rPr>
            </w:pPr>
          </w:p>
        </w:tc>
      </w:tr>
      <w:tr w:rsidR="00E17286" w:rsidRPr="00A52AB8" w14:paraId="62AA2C33" w14:textId="77777777" w:rsidTr="00007BE2">
        <w:trPr>
          <w:cantSplit/>
          <w:jc w:val="center"/>
        </w:trPr>
        <w:tc>
          <w:tcPr>
            <w:tcW w:w="8422" w:type="dxa"/>
          </w:tcPr>
          <w:p w14:paraId="6D1C4ABE" w14:textId="77777777" w:rsidR="00E17286" w:rsidRPr="00A52AB8" w:rsidRDefault="00E17286">
            <w:pPr>
              <w:spacing w:before="20" w:after="40" w:line="240" w:lineRule="auto"/>
              <w:rPr>
                <w:bCs/>
                <w:sz w:val="20"/>
              </w:rPr>
            </w:pPr>
            <w:r w:rsidRPr="00A52AB8">
              <w:rPr>
                <w:bCs/>
                <w:sz w:val="20"/>
              </w:rPr>
              <w:tab/>
            </w:r>
            <w:r w:rsidRPr="00A52AB8">
              <w:rPr>
                <w:bCs/>
                <w:sz w:val="20"/>
              </w:rPr>
              <w:tab/>
            </w:r>
            <w:r w:rsidRPr="00A52AB8">
              <w:rPr>
                <w:bCs/>
                <w:sz w:val="20"/>
              </w:rPr>
              <w:tab/>
            </w:r>
            <w:r w:rsidRPr="00A52AB8">
              <w:rPr>
                <w:bCs/>
                <w:sz w:val="20"/>
              </w:rPr>
              <w:tab/>
              <w:t>}</w:t>
            </w:r>
          </w:p>
        </w:tc>
        <w:tc>
          <w:tcPr>
            <w:tcW w:w="1332" w:type="dxa"/>
          </w:tcPr>
          <w:p w14:paraId="716C4BF0" w14:textId="77777777" w:rsidR="00E17286" w:rsidRPr="00A52AB8" w:rsidRDefault="00E17286">
            <w:pPr>
              <w:spacing w:before="20" w:after="40" w:line="240" w:lineRule="auto"/>
              <w:jc w:val="center"/>
              <w:rPr>
                <w:rFonts w:eastAsia="Malgun Gothic"/>
                <w:sz w:val="20"/>
              </w:rPr>
            </w:pPr>
          </w:p>
        </w:tc>
      </w:tr>
      <w:tr w:rsidR="00E17286" w:rsidRPr="00A52AB8" w14:paraId="702639DD" w14:textId="77777777" w:rsidTr="00007BE2">
        <w:trPr>
          <w:cantSplit/>
          <w:jc w:val="center"/>
        </w:trPr>
        <w:tc>
          <w:tcPr>
            <w:tcW w:w="8422" w:type="dxa"/>
          </w:tcPr>
          <w:p w14:paraId="356E7DAA" w14:textId="0BA7DF91" w:rsidR="00E17286" w:rsidRPr="00A52AB8" w:rsidRDefault="00E17286">
            <w:pPr>
              <w:spacing w:before="20" w:after="40" w:line="240" w:lineRule="auto"/>
              <w:rPr>
                <w:b/>
                <w:bCs/>
                <w:sz w:val="20"/>
              </w:rPr>
            </w:pPr>
            <w:r w:rsidRPr="00A52AB8">
              <w:rPr>
                <w:b/>
                <w:bCs/>
                <w:sz w:val="20"/>
              </w:rPr>
              <w:tab/>
            </w:r>
            <w:r w:rsidRPr="00A52AB8">
              <w:rPr>
                <w:b/>
                <w:bCs/>
                <w:sz w:val="20"/>
              </w:rPr>
              <w:tab/>
            </w:r>
            <w:r w:rsidRPr="00A52AB8">
              <w:rPr>
                <w:b/>
                <w:bCs/>
                <w:sz w:val="20"/>
              </w:rPr>
              <w:tab/>
            </w:r>
            <w:r w:rsidRPr="00A52AB8">
              <w:rPr>
                <w:b/>
                <w:bCs/>
                <w:sz w:val="20"/>
              </w:rPr>
              <w:tab/>
            </w:r>
            <w:r w:rsidRPr="00A52AB8">
              <w:rPr>
                <w:color w:val="000000" w:themeColor="text1"/>
                <w:sz w:val="20"/>
                <w:szCs w:val="20"/>
              </w:rPr>
              <w:t>if( </w:t>
            </w:r>
            <w:r w:rsidRPr="00A52AB8">
              <w:rPr>
                <w:sz w:val="20"/>
              </w:rPr>
              <w:t>soi_3d_bounding_box_present_flag </w:t>
            </w:r>
            <w:r w:rsidR="008F1F82" w:rsidRPr="00A52AB8">
              <w:rPr>
                <w:sz w:val="20"/>
              </w:rPr>
              <w:t>) {</w:t>
            </w:r>
          </w:p>
        </w:tc>
        <w:tc>
          <w:tcPr>
            <w:tcW w:w="1332" w:type="dxa"/>
          </w:tcPr>
          <w:p w14:paraId="6AD7B421" w14:textId="77777777" w:rsidR="00E17286" w:rsidRPr="00A52AB8" w:rsidRDefault="00E17286">
            <w:pPr>
              <w:spacing w:before="20" w:after="40" w:line="240" w:lineRule="auto"/>
              <w:jc w:val="center"/>
              <w:rPr>
                <w:rFonts w:eastAsia="Malgun Gothic"/>
                <w:sz w:val="20"/>
              </w:rPr>
            </w:pPr>
          </w:p>
        </w:tc>
      </w:tr>
      <w:tr w:rsidR="00E17286" w:rsidRPr="00A52AB8" w14:paraId="60410FAC" w14:textId="77777777" w:rsidTr="00007BE2">
        <w:trPr>
          <w:cantSplit/>
          <w:jc w:val="center"/>
        </w:trPr>
        <w:tc>
          <w:tcPr>
            <w:tcW w:w="8422" w:type="dxa"/>
          </w:tcPr>
          <w:p w14:paraId="0586D870" w14:textId="77777777" w:rsidR="00E17286" w:rsidRPr="00A52AB8" w:rsidRDefault="00E17286">
            <w:pPr>
              <w:spacing w:before="20" w:after="40" w:line="240" w:lineRule="auto"/>
              <w:rPr>
                <w:color w:val="000000" w:themeColor="text1"/>
                <w:sz w:val="20"/>
                <w:szCs w:val="20"/>
              </w:rPr>
            </w:pPr>
            <w:r w:rsidRPr="00A52AB8">
              <w:rPr>
                <w:b/>
                <w:bCs/>
                <w:sz w:val="20"/>
              </w:rPr>
              <w:tab/>
            </w:r>
            <w:r w:rsidRPr="00A52AB8">
              <w:rPr>
                <w:b/>
                <w:bCs/>
                <w:sz w:val="20"/>
              </w:rPr>
              <w:tab/>
            </w:r>
            <w:r w:rsidRPr="00A52AB8">
              <w:rPr>
                <w:b/>
                <w:bCs/>
                <w:sz w:val="20"/>
              </w:rPr>
              <w:tab/>
            </w:r>
            <w:r w:rsidRPr="00A52AB8">
              <w:rPr>
                <w:b/>
                <w:bCs/>
                <w:sz w:val="20"/>
              </w:rPr>
              <w:tab/>
            </w:r>
            <w:r w:rsidRPr="00A52AB8">
              <w:rPr>
                <w:b/>
                <w:bCs/>
                <w:sz w:val="20"/>
              </w:rPr>
              <w:tab/>
              <w:t>soi_3d_</w:t>
            </w:r>
            <w:r w:rsidRPr="00A52AB8">
              <w:rPr>
                <w:b/>
                <w:sz w:val="20"/>
              </w:rPr>
              <w:t>bounding_box_update_flag</w:t>
            </w:r>
            <w:r w:rsidR="004B7314" w:rsidRPr="00A52AB8">
              <w:rPr>
                <w:sz w:val="20"/>
              </w:rPr>
              <w:t>[ k ]</w:t>
            </w:r>
          </w:p>
        </w:tc>
        <w:tc>
          <w:tcPr>
            <w:tcW w:w="1332" w:type="dxa"/>
          </w:tcPr>
          <w:p w14:paraId="2129EBA0" w14:textId="77777777" w:rsidR="00E17286" w:rsidRPr="00A52AB8" w:rsidRDefault="00E17286">
            <w:pPr>
              <w:spacing w:before="20" w:after="40" w:line="240" w:lineRule="auto"/>
              <w:jc w:val="center"/>
              <w:rPr>
                <w:color w:val="000000" w:themeColor="text1"/>
                <w:sz w:val="20"/>
                <w:szCs w:val="20"/>
              </w:rPr>
            </w:pPr>
            <w:r w:rsidRPr="00A52AB8">
              <w:rPr>
                <w:sz w:val="20"/>
              </w:rPr>
              <w:t>u(1)</w:t>
            </w:r>
          </w:p>
        </w:tc>
      </w:tr>
      <w:tr w:rsidR="00E17286" w:rsidRPr="00A52AB8" w14:paraId="2B71A2EC" w14:textId="77777777" w:rsidTr="00007BE2">
        <w:trPr>
          <w:cantSplit/>
          <w:jc w:val="center"/>
        </w:trPr>
        <w:tc>
          <w:tcPr>
            <w:tcW w:w="8422" w:type="dxa"/>
          </w:tcPr>
          <w:p w14:paraId="3B031C51" w14:textId="081AD0B5" w:rsidR="00E17286" w:rsidRPr="00A52AB8" w:rsidRDefault="00E17286">
            <w:pPr>
              <w:spacing w:before="20" w:after="40" w:line="240" w:lineRule="auto"/>
              <w:rPr>
                <w:color w:val="000000" w:themeColor="text1"/>
                <w:sz w:val="20"/>
                <w:szCs w:val="20"/>
              </w:rPr>
            </w:pPr>
            <w:r w:rsidRPr="00A52AB8">
              <w:rPr>
                <w:b/>
                <w:bCs/>
                <w:sz w:val="20"/>
              </w:rPr>
              <w:tab/>
            </w:r>
            <w:r w:rsidRPr="00A52AB8">
              <w:rPr>
                <w:b/>
                <w:bCs/>
                <w:sz w:val="20"/>
              </w:rPr>
              <w:tab/>
            </w:r>
            <w:r w:rsidRPr="00A52AB8">
              <w:rPr>
                <w:b/>
                <w:bCs/>
                <w:sz w:val="20"/>
              </w:rPr>
              <w:tab/>
            </w:r>
            <w:r w:rsidRPr="00A52AB8">
              <w:rPr>
                <w:b/>
                <w:bCs/>
                <w:sz w:val="20"/>
              </w:rPr>
              <w:tab/>
            </w:r>
            <w:r w:rsidRPr="00A52AB8">
              <w:rPr>
                <w:b/>
                <w:bCs/>
                <w:sz w:val="20"/>
              </w:rPr>
              <w:tab/>
            </w:r>
            <w:r w:rsidRPr="00A52AB8">
              <w:rPr>
                <w:sz w:val="20"/>
              </w:rPr>
              <w:t>if( so</w:t>
            </w:r>
            <w:r w:rsidRPr="00A52AB8">
              <w:rPr>
                <w:bCs/>
                <w:sz w:val="20"/>
              </w:rPr>
              <w:t>i_3d_</w:t>
            </w:r>
            <w:r w:rsidRPr="00A52AB8">
              <w:rPr>
                <w:sz w:val="20"/>
              </w:rPr>
              <w:t>bounding_box_update_flag</w:t>
            </w:r>
            <w:r w:rsidR="004B7314" w:rsidRPr="00A52AB8">
              <w:rPr>
                <w:sz w:val="20"/>
              </w:rPr>
              <w:t>[ k ]</w:t>
            </w:r>
            <w:r w:rsidR="008F1F82" w:rsidRPr="00A52AB8">
              <w:rPr>
                <w:sz w:val="20"/>
              </w:rPr>
              <w:t>) {</w:t>
            </w:r>
          </w:p>
        </w:tc>
        <w:tc>
          <w:tcPr>
            <w:tcW w:w="1332" w:type="dxa"/>
          </w:tcPr>
          <w:p w14:paraId="0162194F" w14:textId="77777777" w:rsidR="00E17286" w:rsidRPr="00A52AB8" w:rsidRDefault="00E17286">
            <w:pPr>
              <w:spacing w:before="20" w:after="40" w:line="240" w:lineRule="auto"/>
              <w:jc w:val="center"/>
              <w:rPr>
                <w:color w:val="000000" w:themeColor="text1"/>
                <w:sz w:val="20"/>
                <w:szCs w:val="20"/>
              </w:rPr>
            </w:pPr>
          </w:p>
        </w:tc>
      </w:tr>
      <w:tr w:rsidR="00E17286" w:rsidRPr="00A52AB8" w14:paraId="687865CD" w14:textId="77777777" w:rsidTr="00007BE2">
        <w:trPr>
          <w:cantSplit/>
          <w:jc w:val="center"/>
        </w:trPr>
        <w:tc>
          <w:tcPr>
            <w:tcW w:w="8422" w:type="dxa"/>
          </w:tcPr>
          <w:p w14:paraId="41840C8E" w14:textId="77777777" w:rsidR="00E17286" w:rsidRPr="00A52AB8" w:rsidRDefault="00E17286">
            <w:pPr>
              <w:spacing w:before="20" w:after="40" w:line="240" w:lineRule="auto"/>
              <w:rPr>
                <w:b/>
                <w:sz w:val="20"/>
              </w:rPr>
            </w:pPr>
            <w:r w:rsidRPr="00A52AB8">
              <w:rPr>
                <w:color w:val="000000" w:themeColor="text1"/>
                <w:sz w:val="20"/>
                <w:szCs w:val="20"/>
              </w:rPr>
              <w:tab/>
            </w:r>
            <w:r w:rsidRPr="00A52AB8">
              <w:rPr>
                <w:color w:val="000000" w:themeColor="text1"/>
                <w:sz w:val="20"/>
                <w:szCs w:val="20"/>
              </w:rPr>
              <w:tab/>
            </w:r>
            <w:r w:rsidRPr="00A52AB8">
              <w:rPr>
                <w:b/>
                <w:bCs/>
                <w:sz w:val="20"/>
              </w:rPr>
              <w:tab/>
            </w:r>
            <w:r w:rsidRPr="00A52AB8">
              <w:rPr>
                <w:b/>
                <w:bCs/>
                <w:sz w:val="20"/>
              </w:rPr>
              <w:tab/>
            </w:r>
            <w:r w:rsidRPr="00A52AB8">
              <w:rPr>
                <w:b/>
                <w:bCs/>
                <w:sz w:val="20"/>
              </w:rPr>
              <w:tab/>
            </w:r>
            <w:r w:rsidRPr="00A52AB8">
              <w:rPr>
                <w:b/>
                <w:bCs/>
                <w:sz w:val="20"/>
              </w:rPr>
              <w:tab/>
              <w:t>soi_3d_</w:t>
            </w:r>
            <w:r w:rsidRPr="00A52AB8">
              <w:rPr>
                <w:b/>
                <w:color w:val="000000" w:themeColor="text1"/>
                <w:sz w:val="20"/>
                <w:szCs w:val="20"/>
              </w:rPr>
              <w:t>bounding_box_x</w:t>
            </w:r>
            <w:r w:rsidR="004B7314" w:rsidRPr="00A52AB8">
              <w:rPr>
                <w:sz w:val="20"/>
              </w:rPr>
              <w:t>[ k ]</w:t>
            </w:r>
          </w:p>
        </w:tc>
        <w:tc>
          <w:tcPr>
            <w:tcW w:w="1332" w:type="dxa"/>
          </w:tcPr>
          <w:p w14:paraId="01E27A3F" w14:textId="06961F63" w:rsidR="00E17286" w:rsidRPr="00A52AB8" w:rsidRDefault="00E17286">
            <w:pPr>
              <w:spacing w:before="20" w:after="40" w:line="240" w:lineRule="auto"/>
              <w:jc w:val="center"/>
              <w:rPr>
                <w:rFonts w:eastAsia="Malgun Gothic"/>
                <w:sz w:val="20"/>
              </w:rPr>
            </w:pPr>
            <w:r w:rsidRPr="00A52AB8">
              <w:rPr>
                <w:color w:val="000000" w:themeColor="text1"/>
                <w:sz w:val="20"/>
                <w:szCs w:val="20"/>
              </w:rPr>
              <w:t>u</w:t>
            </w:r>
            <w:r w:rsidR="0088660E" w:rsidRPr="00A52AB8">
              <w:rPr>
                <w:color w:val="000000" w:themeColor="text1"/>
                <w:sz w:val="20"/>
                <w:szCs w:val="20"/>
              </w:rPr>
              <w:t>e</w:t>
            </w:r>
            <w:r w:rsidRPr="00A52AB8">
              <w:rPr>
                <w:color w:val="000000" w:themeColor="text1"/>
                <w:sz w:val="20"/>
                <w:szCs w:val="20"/>
              </w:rPr>
              <w:t>(v)</w:t>
            </w:r>
          </w:p>
        </w:tc>
      </w:tr>
      <w:tr w:rsidR="00E17286" w:rsidRPr="00A52AB8" w14:paraId="12386EFB" w14:textId="77777777" w:rsidTr="00007BE2">
        <w:trPr>
          <w:cantSplit/>
          <w:jc w:val="center"/>
        </w:trPr>
        <w:tc>
          <w:tcPr>
            <w:tcW w:w="8422" w:type="dxa"/>
          </w:tcPr>
          <w:p w14:paraId="6DE65C0A" w14:textId="77777777" w:rsidR="00E17286" w:rsidRPr="00A52AB8" w:rsidRDefault="00E17286">
            <w:pPr>
              <w:spacing w:before="20" w:after="40" w:line="240" w:lineRule="auto"/>
              <w:rPr>
                <w:sz w:val="20"/>
              </w:rPr>
            </w:pPr>
            <w:r w:rsidRPr="00A52AB8">
              <w:rPr>
                <w:color w:val="000000" w:themeColor="text1"/>
                <w:sz w:val="20"/>
                <w:szCs w:val="20"/>
              </w:rPr>
              <w:tab/>
            </w:r>
            <w:r w:rsidRPr="00A52AB8">
              <w:rPr>
                <w:color w:val="000000" w:themeColor="text1"/>
                <w:sz w:val="20"/>
                <w:szCs w:val="20"/>
              </w:rPr>
              <w:tab/>
            </w:r>
            <w:r w:rsidRPr="00A52AB8">
              <w:rPr>
                <w:b/>
                <w:bCs/>
                <w:sz w:val="20"/>
              </w:rPr>
              <w:tab/>
            </w:r>
            <w:r w:rsidRPr="00A52AB8">
              <w:rPr>
                <w:b/>
                <w:bCs/>
                <w:sz w:val="20"/>
              </w:rPr>
              <w:tab/>
            </w:r>
            <w:r w:rsidRPr="00A52AB8">
              <w:rPr>
                <w:b/>
                <w:bCs/>
                <w:sz w:val="20"/>
              </w:rPr>
              <w:tab/>
            </w:r>
            <w:r w:rsidRPr="00A52AB8">
              <w:rPr>
                <w:b/>
                <w:bCs/>
                <w:sz w:val="20"/>
              </w:rPr>
              <w:tab/>
              <w:t>soi_3d_</w:t>
            </w:r>
            <w:r w:rsidRPr="00A52AB8">
              <w:rPr>
                <w:b/>
                <w:color w:val="000000" w:themeColor="text1"/>
                <w:sz w:val="20"/>
                <w:szCs w:val="20"/>
              </w:rPr>
              <w:t>bounding_box_y</w:t>
            </w:r>
            <w:r w:rsidR="004B7314" w:rsidRPr="00A52AB8">
              <w:rPr>
                <w:sz w:val="20"/>
              </w:rPr>
              <w:t>[ k ]</w:t>
            </w:r>
          </w:p>
        </w:tc>
        <w:tc>
          <w:tcPr>
            <w:tcW w:w="1332" w:type="dxa"/>
          </w:tcPr>
          <w:p w14:paraId="3965D20F" w14:textId="483EC912" w:rsidR="00E17286" w:rsidRPr="00A52AB8" w:rsidRDefault="00E17286">
            <w:pPr>
              <w:spacing w:before="20" w:after="40" w:line="240" w:lineRule="auto"/>
              <w:jc w:val="center"/>
              <w:rPr>
                <w:rFonts w:eastAsia="Malgun Gothic"/>
                <w:sz w:val="20"/>
              </w:rPr>
            </w:pPr>
            <w:r w:rsidRPr="00A52AB8">
              <w:rPr>
                <w:color w:val="000000" w:themeColor="text1"/>
                <w:sz w:val="20"/>
                <w:szCs w:val="20"/>
              </w:rPr>
              <w:t>u</w:t>
            </w:r>
            <w:r w:rsidR="0088660E" w:rsidRPr="00A52AB8">
              <w:rPr>
                <w:color w:val="000000" w:themeColor="text1"/>
                <w:sz w:val="20"/>
                <w:szCs w:val="20"/>
              </w:rPr>
              <w:t>e</w:t>
            </w:r>
            <w:r w:rsidRPr="00A52AB8">
              <w:rPr>
                <w:color w:val="000000" w:themeColor="text1"/>
                <w:sz w:val="20"/>
                <w:szCs w:val="20"/>
              </w:rPr>
              <w:t>(v)</w:t>
            </w:r>
          </w:p>
        </w:tc>
      </w:tr>
      <w:tr w:rsidR="00E17286" w:rsidRPr="00A52AB8" w14:paraId="0F57DBAE" w14:textId="77777777" w:rsidTr="00007BE2">
        <w:trPr>
          <w:cantSplit/>
          <w:jc w:val="center"/>
        </w:trPr>
        <w:tc>
          <w:tcPr>
            <w:tcW w:w="8422" w:type="dxa"/>
          </w:tcPr>
          <w:p w14:paraId="1A064B62" w14:textId="77777777" w:rsidR="00E17286" w:rsidRPr="00A52AB8" w:rsidRDefault="00E17286">
            <w:pPr>
              <w:spacing w:before="20" w:after="40" w:line="240" w:lineRule="auto"/>
              <w:rPr>
                <w:sz w:val="20"/>
              </w:rPr>
            </w:pPr>
            <w:r w:rsidRPr="00A52AB8">
              <w:rPr>
                <w:color w:val="000000" w:themeColor="text1"/>
                <w:sz w:val="20"/>
                <w:szCs w:val="20"/>
              </w:rPr>
              <w:tab/>
            </w:r>
            <w:r w:rsidRPr="00A52AB8">
              <w:rPr>
                <w:color w:val="000000" w:themeColor="text1"/>
                <w:sz w:val="20"/>
                <w:szCs w:val="20"/>
              </w:rPr>
              <w:tab/>
            </w:r>
            <w:r w:rsidRPr="00A52AB8">
              <w:rPr>
                <w:b/>
                <w:bCs/>
                <w:sz w:val="20"/>
              </w:rPr>
              <w:tab/>
            </w:r>
            <w:r w:rsidRPr="00A52AB8">
              <w:rPr>
                <w:b/>
                <w:bCs/>
                <w:sz w:val="20"/>
              </w:rPr>
              <w:tab/>
            </w:r>
            <w:r w:rsidRPr="00A52AB8">
              <w:rPr>
                <w:b/>
                <w:bCs/>
                <w:sz w:val="20"/>
              </w:rPr>
              <w:tab/>
            </w:r>
            <w:r w:rsidRPr="00A52AB8">
              <w:rPr>
                <w:b/>
                <w:bCs/>
                <w:sz w:val="20"/>
              </w:rPr>
              <w:tab/>
              <w:t>soi_3d_</w:t>
            </w:r>
            <w:r w:rsidRPr="00A52AB8">
              <w:rPr>
                <w:b/>
                <w:color w:val="000000" w:themeColor="text1"/>
                <w:sz w:val="20"/>
                <w:szCs w:val="20"/>
              </w:rPr>
              <w:t>bounding_box_z</w:t>
            </w:r>
            <w:r w:rsidR="004B7314" w:rsidRPr="00A52AB8">
              <w:rPr>
                <w:sz w:val="20"/>
              </w:rPr>
              <w:t>[ k ]</w:t>
            </w:r>
          </w:p>
        </w:tc>
        <w:tc>
          <w:tcPr>
            <w:tcW w:w="1332" w:type="dxa"/>
          </w:tcPr>
          <w:p w14:paraId="7E86AAEA" w14:textId="2BB4828B" w:rsidR="00E17286" w:rsidRPr="00A52AB8" w:rsidRDefault="00E17286">
            <w:pPr>
              <w:spacing w:before="20" w:after="40" w:line="240" w:lineRule="auto"/>
              <w:jc w:val="center"/>
              <w:rPr>
                <w:rFonts w:eastAsia="Malgun Gothic"/>
                <w:sz w:val="20"/>
              </w:rPr>
            </w:pPr>
            <w:r w:rsidRPr="00A52AB8">
              <w:rPr>
                <w:color w:val="000000" w:themeColor="text1"/>
                <w:sz w:val="20"/>
                <w:szCs w:val="20"/>
              </w:rPr>
              <w:t>u</w:t>
            </w:r>
            <w:r w:rsidR="0088660E" w:rsidRPr="00A52AB8">
              <w:rPr>
                <w:color w:val="000000" w:themeColor="text1"/>
                <w:sz w:val="20"/>
                <w:szCs w:val="20"/>
              </w:rPr>
              <w:t>e</w:t>
            </w:r>
            <w:r w:rsidRPr="00A52AB8">
              <w:rPr>
                <w:color w:val="000000" w:themeColor="text1"/>
                <w:sz w:val="20"/>
                <w:szCs w:val="20"/>
              </w:rPr>
              <w:t>(v)</w:t>
            </w:r>
          </w:p>
        </w:tc>
      </w:tr>
      <w:tr w:rsidR="00E17286" w:rsidRPr="00A52AB8" w14:paraId="5217F291" w14:textId="77777777" w:rsidTr="00007BE2">
        <w:trPr>
          <w:cantSplit/>
          <w:jc w:val="center"/>
        </w:trPr>
        <w:tc>
          <w:tcPr>
            <w:tcW w:w="8422" w:type="dxa"/>
          </w:tcPr>
          <w:p w14:paraId="389361AD" w14:textId="58782CE3" w:rsidR="00E17286" w:rsidRPr="00A52AB8" w:rsidRDefault="00E17286">
            <w:pPr>
              <w:spacing w:before="20" w:after="40" w:line="240" w:lineRule="auto"/>
              <w:rPr>
                <w:b/>
                <w:bCs/>
                <w:sz w:val="20"/>
              </w:rPr>
            </w:pPr>
            <w:r w:rsidRPr="00A52AB8">
              <w:rPr>
                <w:color w:val="000000" w:themeColor="text1"/>
                <w:sz w:val="20"/>
                <w:szCs w:val="20"/>
              </w:rPr>
              <w:tab/>
            </w:r>
            <w:r w:rsidRPr="00A52AB8">
              <w:rPr>
                <w:color w:val="000000" w:themeColor="text1"/>
                <w:sz w:val="20"/>
                <w:szCs w:val="20"/>
              </w:rPr>
              <w:tab/>
            </w:r>
            <w:r w:rsidRPr="00A52AB8">
              <w:rPr>
                <w:b/>
                <w:bCs/>
                <w:sz w:val="20"/>
              </w:rPr>
              <w:tab/>
            </w:r>
            <w:r w:rsidRPr="00A52AB8">
              <w:rPr>
                <w:b/>
                <w:bCs/>
                <w:sz w:val="20"/>
              </w:rPr>
              <w:tab/>
            </w:r>
            <w:r w:rsidRPr="00A52AB8">
              <w:rPr>
                <w:b/>
                <w:bCs/>
                <w:sz w:val="20"/>
              </w:rPr>
              <w:tab/>
            </w:r>
            <w:r w:rsidRPr="00A52AB8">
              <w:rPr>
                <w:b/>
                <w:bCs/>
                <w:sz w:val="20"/>
              </w:rPr>
              <w:tab/>
            </w:r>
            <w:r w:rsidR="00A02BF9" w:rsidRPr="00A52AB8">
              <w:rPr>
                <w:b/>
                <w:bCs/>
                <w:sz w:val="20"/>
              </w:rPr>
              <w:t>soi_3d_bounding_box_size</w:t>
            </w:r>
            <w:r w:rsidRPr="00A52AB8">
              <w:rPr>
                <w:b/>
                <w:color w:val="000000" w:themeColor="text1"/>
                <w:sz w:val="20"/>
                <w:szCs w:val="20"/>
              </w:rPr>
              <w:t>_x</w:t>
            </w:r>
            <w:r w:rsidR="004B7314" w:rsidRPr="00A52AB8">
              <w:rPr>
                <w:sz w:val="20"/>
              </w:rPr>
              <w:t>[ k ]</w:t>
            </w:r>
          </w:p>
        </w:tc>
        <w:tc>
          <w:tcPr>
            <w:tcW w:w="1332" w:type="dxa"/>
          </w:tcPr>
          <w:p w14:paraId="0916FDEC" w14:textId="4700E184" w:rsidR="00E17286" w:rsidRPr="00A52AB8" w:rsidRDefault="00E17286">
            <w:pPr>
              <w:spacing w:before="20" w:after="40" w:line="240" w:lineRule="auto"/>
              <w:jc w:val="center"/>
              <w:rPr>
                <w:rFonts w:eastAsia="Malgun Gothic"/>
                <w:bCs/>
                <w:sz w:val="20"/>
              </w:rPr>
            </w:pPr>
            <w:r w:rsidRPr="00A52AB8">
              <w:rPr>
                <w:color w:val="000000" w:themeColor="text1"/>
                <w:sz w:val="20"/>
                <w:szCs w:val="20"/>
              </w:rPr>
              <w:t>u</w:t>
            </w:r>
            <w:r w:rsidR="0088660E" w:rsidRPr="00A52AB8">
              <w:rPr>
                <w:color w:val="000000" w:themeColor="text1"/>
                <w:sz w:val="20"/>
                <w:szCs w:val="20"/>
              </w:rPr>
              <w:t>e</w:t>
            </w:r>
            <w:r w:rsidRPr="00A52AB8">
              <w:rPr>
                <w:color w:val="000000" w:themeColor="text1"/>
                <w:sz w:val="20"/>
                <w:szCs w:val="20"/>
              </w:rPr>
              <w:t>(v)</w:t>
            </w:r>
          </w:p>
        </w:tc>
      </w:tr>
      <w:tr w:rsidR="00E17286" w:rsidRPr="00A52AB8" w14:paraId="1E395A0D" w14:textId="77777777" w:rsidTr="00007BE2">
        <w:trPr>
          <w:cantSplit/>
          <w:jc w:val="center"/>
        </w:trPr>
        <w:tc>
          <w:tcPr>
            <w:tcW w:w="8422" w:type="dxa"/>
          </w:tcPr>
          <w:p w14:paraId="7BC1887A" w14:textId="7598B519" w:rsidR="00E17286" w:rsidRPr="00A52AB8" w:rsidRDefault="00E17286">
            <w:pPr>
              <w:spacing w:before="20" w:after="40" w:line="240" w:lineRule="auto"/>
              <w:rPr>
                <w:b/>
                <w:bCs/>
                <w:sz w:val="20"/>
              </w:rPr>
            </w:pPr>
            <w:r w:rsidRPr="00A52AB8">
              <w:rPr>
                <w:color w:val="000000" w:themeColor="text1"/>
                <w:sz w:val="20"/>
                <w:szCs w:val="20"/>
              </w:rPr>
              <w:tab/>
            </w:r>
            <w:r w:rsidRPr="00A52AB8">
              <w:rPr>
                <w:color w:val="000000" w:themeColor="text1"/>
                <w:sz w:val="20"/>
                <w:szCs w:val="20"/>
              </w:rPr>
              <w:tab/>
            </w:r>
            <w:r w:rsidRPr="00A52AB8">
              <w:rPr>
                <w:b/>
                <w:bCs/>
                <w:sz w:val="20"/>
              </w:rPr>
              <w:tab/>
            </w:r>
            <w:r w:rsidRPr="00A52AB8">
              <w:rPr>
                <w:b/>
                <w:bCs/>
                <w:sz w:val="20"/>
              </w:rPr>
              <w:tab/>
            </w:r>
            <w:r w:rsidRPr="00A52AB8">
              <w:rPr>
                <w:b/>
                <w:bCs/>
                <w:sz w:val="20"/>
              </w:rPr>
              <w:tab/>
            </w:r>
            <w:r w:rsidRPr="00A52AB8">
              <w:rPr>
                <w:b/>
                <w:bCs/>
                <w:sz w:val="20"/>
              </w:rPr>
              <w:tab/>
            </w:r>
            <w:r w:rsidR="00A02BF9" w:rsidRPr="00A52AB8">
              <w:rPr>
                <w:b/>
                <w:bCs/>
                <w:sz w:val="20"/>
              </w:rPr>
              <w:t>soi_3d_bounding_box_size</w:t>
            </w:r>
            <w:r w:rsidRPr="00A52AB8">
              <w:rPr>
                <w:b/>
                <w:color w:val="000000" w:themeColor="text1"/>
                <w:sz w:val="20"/>
                <w:szCs w:val="20"/>
              </w:rPr>
              <w:t>_y</w:t>
            </w:r>
            <w:r w:rsidR="004B7314" w:rsidRPr="00A52AB8">
              <w:rPr>
                <w:sz w:val="20"/>
              </w:rPr>
              <w:t>[ k ]</w:t>
            </w:r>
          </w:p>
        </w:tc>
        <w:tc>
          <w:tcPr>
            <w:tcW w:w="1332" w:type="dxa"/>
          </w:tcPr>
          <w:p w14:paraId="4A9DAE6D" w14:textId="07D868B0" w:rsidR="00E17286" w:rsidRPr="00A52AB8" w:rsidRDefault="00E17286">
            <w:pPr>
              <w:spacing w:before="20" w:after="40" w:line="240" w:lineRule="auto"/>
              <w:jc w:val="center"/>
              <w:rPr>
                <w:rFonts w:eastAsia="Malgun Gothic"/>
                <w:bCs/>
                <w:sz w:val="20"/>
              </w:rPr>
            </w:pPr>
            <w:r w:rsidRPr="00A52AB8">
              <w:rPr>
                <w:color w:val="000000" w:themeColor="text1"/>
                <w:sz w:val="20"/>
                <w:szCs w:val="20"/>
              </w:rPr>
              <w:t>u</w:t>
            </w:r>
            <w:r w:rsidR="0088660E" w:rsidRPr="00A52AB8">
              <w:rPr>
                <w:color w:val="000000" w:themeColor="text1"/>
                <w:sz w:val="20"/>
                <w:szCs w:val="20"/>
              </w:rPr>
              <w:t>e</w:t>
            </w:r>
            <w:r w:rsidRPr="00A52AB8">
              <w:rPr>
                <w:color w:val="000000" w:themeColor="text1"/>
                <w:sz w:val="20"/>
                <w:szCs w:val="20"/>
              </w:rPr>
              <w:t>(v)</w:t>
            </w:r>
          </w:p>
        </w:tc>
      </w:tr>
      <w:tr w:rsidR="00E17286" w:rsidRPr="00A52AB8" w14:paraId="2A8C17F8" w14:textId="77777777" w:rsidTr="00007BE2">
        <w:trPr>
          <w:cantSplit/>
          <w:jc w:val="center"/>
        </w:trPr>
        <w:tc>
          <w:tcPr>
            <w:tcW w:w="8422" w:type="dxa"/>
          </w:tcPr>
          <w:p w14:paraId="19405F05" w14:textId="2D82FBA5" w:rsidR="00E17286" w:rsidRPr="00A52AB8" w:rsidRDefault="00E17286">
            <w:pPr>
              <w:spacing w:before="20" w:after="40" w:line="240" w:lineRule="auto"/>
              <w:rPr>
                <w:sz w:val="20"/>
              </w:rPr>
            </w:pPr>
            <w:r w:rsidRPr="00A52AB8">
              <w:rPr>
                <w:color w:val="000000" w:themeColor="text1"/>
                <w:sz w:val="20"/>
                <w:szCs w:val="20"/>
              </w:rPr>
              <w:tab/>
            </w:r>
            <w:r w:rsidRPr="00A52AB8">
              <w:rPr>
                <w:color w:val="000000" w:themeColor="text1"/>
                <w:sz w:val="20"/>
                <w:szCs w:val="20"/>
              </w:rPr>
              <w:tab/>
            </w:r>
            <w:r w:rsidRPr="00A52AB8">
              <w:rPr>
                <w:b/>
                <w:bCs/>
                <w:sz w:val="20"/>
              </w:rPr>
              <w:tab/>
            </w:r>
            <w:r w:rsidRPr="00A52AB8">
              <w:rPr>
                <w:b/>
                <w:bCs/>
                <w:sz w:val="20"/>
              </w:rPr>
              <w:tab/>
            </w:r>
            <w:r w:rsidRPr="00A52AB8">
              <w:rPr>
                <w:b/>
                <w:bCs/>
                <w:sz w:val="20"/>
              </w:rPr>
              <w:tab/>
            </w:r>
            <w:r w:rsidRPr="00A52AB8">
              <w:rPr>
                <w:b/>
                <w:bCs/>
                <w:sz w:val="20"/>
              </w:rPr>
              <w:tab/>
            </w:r>
            <w:r w:rsidR="00A02BF9" w:rsidRPr="00A52AB8">
              <w:rPr>
                <w:b/>
                <w:bCs/>
                <w:sz w:val="20"/>
              </w:rPr>
              <w:t>soi_3d_bounding_box_size</w:t>
            </w:r>
            <w:r w:rsidRPr="00A52AB8">
              <w:rPr>
                <w:b/>
                <w:color w:val="000000" w:themeColor="text1"/>
                <w:sz w:val="20"/>
                <w:szCs w:val="20"/>
              </w:rPr>
              <w:t>_z</w:t>
            </w:r>
            <w:r w:rsidR="004B7314" w:rsidRPr="00A52AB8">
              <w:rPr>
                <w:sz w:val="20"/>
              </w:rPr>
              <w:t>[ k ]</w:t>
            </w:r>
          </w:p>
        </w:tc>
        <w:tc>
          <w:tcPr>
            <w:tcW w:w="1332" w:type="dxa"/>
          </w:tcPr>
          <w:p w14:paraId="558A026E" w14:textId="1434D25A" w:rsidR="00E17286" w:rsidRPr="00A52AB8" w:rsidRDefault="00E17286">
            <w:pPr>
              <w:spacing w:before="20" w:after="40" w:line="240" w:lineRule="auto"/>
              <w:jc w:val="center"/>
              <w:rPr>
                <w:rFonts w:eastAsia="Malgun Gothic"/>
                <w:sz w:val="20"/>
              </w:rPr>
            </w:pPr>
            <w:r w:rsidRPr="00A52AB8">
              <w:rPr>
                <w:color w:val="000000" w:themeColor="text1"/>
                <w:sz w:val="20"/>
                <w:szCs w:val="20"/>
              </w:rPr>
              <w:t>u</w:t>
            </w:r>
            <w:r w:rsidR="0088660E" w:rsidRPr="00A52AB8">
              <w:rPr>
                <w:color w:val="000000" w:themeColor="text1"/>
                <w:sz w:val="20"/>
                <w:szCs w:val="20"/>
              </w:rPr>
              <w:t>e</w:t>
            </w:r>
            <w:r w:rsidRPr="00A52AB8">
              <w:rPr>
                <w:color w:val="000000" w:themeColor="text1"/>
                <w:sz w:val="20"/>
                <w:szCs w:val="20"/>
              </w:rPr>
              <w:t>(v)</w:t>
            </w:r>
          </w:p>
        </w:tc>
      </w:tr>
      <w:tr w:rsidR="00E17286" w:rsidRPr="00A52AB8" w14:paraId="20B6D8B5" w14:textId="77777777" w:rsidTr="00007BE2">
        <w:trPr>
          <w:cantSplit/>
          <w:jc w:val="center"/>
        </w:trPr>
        <w:tc>
          <w:tcPr>
            <w:tcW w:w="8422" w:type="dxa"/>
          </w:tcPr>
          <w:p w14:paraId="5B804F0C" w14:textId="77777777" w:rsidR="00E17286" w:rsidRPr="00A52AB8" w:rsidRDefault="00E17286">
            <w:pPr>
              <w:spacing w:before="20" w:after="40" w:line="240" w:lineRule="auto"/>
              <w:rPr>
                <w:b/>
                <w:bCs/>
                <w:sz w:val="20"/>
              </w:rPr>
            </w:pPr>
            <w:r w:rsidRPr="00A52AB8">
              <w:rPr>
                <w:b/>
                <w:bCs/>
                <w:sz w:val="20"/>
              </w:rPr>
              <w:tab/>
            </w:r>
            <w:r w:rsidRPr="00A52AB8">
              <w:rPr>
                <w:bCs/>
                <w:sz w:val="20"/>
              </w:rPr>
              <w:tab/>
            </w:r>
            <w:r w:rsidRPr="00A52AB8">
              <w:rPr>
                <w:bCs/>
                <w:sz w:val="20"/>
              </w:rPr>
              <w:tab/>
            </w:r>
            <w:r w:rsidRPr="00A52AB8">
              <w:rPr>
                <w:b/>
                <w:bCs/>
                <w:sz w:val="20"/>
              </w:rPr>
              <w:tab/>
            </w:r>
            <w:r w:rsidRPr="00A52AB8">
              <w:rPr>
                <w:b/>
                <w:bCs/>
                <w:sz w:val="20"/>
              </w:rPr>
              <w:tab/>
            </w:r>
            <w:r w:rsidRPr="00A52AB8">
              <w:rPr>
                <w:bCs/>
                <w:sz w:val="20"/>
              </w:rPr>
              <w:t>}</w:t>
            </w:r>
          </w:p>
        </w:tc>
        <w:tc>
          <w:tcPr>
            <w:tcW w:w="1332" w:type="dxa"/>
          </w:tcPr>
          <w:p w14:paraId="646563E9" w14:textId="77777777" w:rsidR="00E17286" w:rsidRPr="00A52AB8" w:rsidRDefault="00E17286">
            <w:pPr>
              <w:spacing w:before="20" w:after="40" w:line="240" w:lineRule="auto"/>
              <w:jc w:val="center"/>
              <w:rPr>
                <w:rFonts w:eastAsia="Malgun Gothic"/>
                <w:sz w:val="20"/>
              </w:rPr>
            </w:pPr>
          </w:p>
        </w:tc>
      </w:tr>
      <w:tr w:rsidR="00E17286" w:rsidRPr="00A52AB8" w14:paraId="19ADF41B" w14:textId="77777777" w:rsidTr="00007BE2">
        <w:trPr>
          <w:cantSplit/>
          <w:jc w:val="center"/>
        </w:trPr>
        <w:tc>
          <w:tcPr>
            <w:tcW w:w="8422" w:type="dxa"/>
          </w:tcPr>
          <w:p w14:paraId="21A46349" w14:textId="77777777" w:rsidR="00E17286" w:rsidRPr="00A52AB8" w:rsidRDefault="00E17286">
            <w:pPr>
              <w:spacing w:before="20" w:after="40" w:line="240" w:lineRule="auto"/>
              <w:rPr>
                <w:bCs/>
                <w:sz w:val="20"/>
              </w:rPr>
            </w:pPr>
            <w:r w:rsidRPr="00A52AB8">
              <w:rPr>
                <w:bCs/>
                <w:sz w:val="20"/>
              </w:rPr>
              <w:tab/>
            </w:r>
            <w:r w:rsidRPr="00A52AB8">
              <w:rPr>
                <w:bCs/>
                <w:sz w:val="20"/>
              </w:rPr>
              <w:tab/>
            </w:r>
            <w:r w:rsidRPr="00A52AB8">
              <w:rPr>
                <w:bCs/>
                <w:sz w:val="20"/>
              </w:rPr>
              <w:tab/>
            </w:r>
            <w:r w:rsidRPr="00A52AB8">
              <w:rPr>
                <w:bCs/>
                <w:sz w:val="20"/>
              </w:rPr>
              <w:tab/>
              <w:t>}</w:t>
            </w:r>
          </w:p>
        </w:tc>
        <w:tc>
          <w:tcPr>
            <w:tcW w:w="1332" w:type="dxa"/>
          </w:tcPr>
          <w:p w14:paraId="3A819E98" w14:textId="77777777" w:rsidR="00E17286" w:rsidRPr="00A52AB8" w:rsidRDefault="00E17286">
            <w:pPr>
              <w:spacing w:before="20" w:after="40" w:line="240" w:lineRule="auto"/>
              <w:jc w:val="center"/>
              <w:rPr>
                <w:rFonts w:eastAsia="Malgun Gothic"/>
                <w:sz w:val="20"/>
              </w:rPr>
            </w:pPr>
          </w:p>
        </w:tc>
      </w:tr>
      <w:tr w:rsidR="00E17286" w:rsidRPr="00A52AB8" w14:paraId="0F08D399" w14:textId="77777777" w:rsidTr="00007BE2">
        <w:trPr>
          <w:cantSplit/>
          <w:jc w:val="center"/>
        </w:trPr>
        <w:tc>
          <w:tcPr>
            <w:tcW w:w="8422" w:type="dxa"/>
          </w:tcPr>
          <w:p w14:paraId="417A5CD7" w14:textId="07C5755E" w:rsidR="00E17286" w:rsidRPr="00A52AB8" w:rsidRDefault="00E17286">
            <w:pPr>
              <w:spacing w:before="20" w:after="40" w:line="240" w:lineRule="auto"/>
              <w:rPr>
                <w:b/>
                <w:bCs/>
                <w:sz w:val="20"/>
              </w:rPr>
            </w:pPr>
            <w:r w:rsidRPr="00A52AB8">
              <w:rPr>
                <w:b/>
                <w:bCs/>
                <w:sz w:val="20"/>
              </w:rPr>
              <w:tab/>
            </w:r>
            <w:r w:rsidRPr="00A52AB8">
              <w:rPr>
                <w:b/>
                <w:bCs/>
                <w:sz w:val="20"/>
              </w:rPr>
              <w:tab/>
            </w:r>
            <w:r w:rsidRPr="00A52AB8">
              <w:rPr>
                <w:b/>
                <w:bCs/>
                <w:sz w:val="20"/>
              </w:rPr>
              <w:tab/>
            </w:r>
            <w:r w:rsidRPr="00A52AB8">
              <w:rPr>
                <w:b/>
                <w:bCs/>
                <w:sz w:val="20"/>
              </w:rPr>
              <w:tab/>
            </w:r>
            <w:r w:rsidRPr="00A52AB8">
              <w:rPr>
                <w:color w:val="000000" w:themeColor="text1"/>
                <w:sz w:val="20"/>
                <w:szCs w:val="20"/>
              </w:rPr>
              <w:t>if( </w:t>
            </w:r>
            <w:r w:rsidRPr="00A52AB8">
              <w:rPr>
                <w:sz w:val="20"/>
              </w:rPr>
              <w:t>so</w:t>
            </w:r>
            <w:r w:rsidRPr="00A52AB8">
              <w:rPr>
                <w:bCs/>
                <w:sz w:val="20"/>
              </w:rPr>
              <w:t>i_collision_shape_present_flag </w:t>
            </w:r>
            <w:r w:rsidR="008F1F82" w:rsidRPr="00A52AB8">
              <w:rPr>
                <w:sz w:val="20"/>
              </w:rPr>
              <w:t>) {</w:t>
            </w:r>
          </w:p>
        </w:tc>
        <w:tc>
          <w:tcPr>
            <w:tcW w:w="1332" w:type="dxa"/>
          </w:tcPr>
          <w:p w14:paraId="0E488451" w14:textId="77777777" w:rsidR="00E17286" w:rsidRPr="00A52AB8" w:rsidRDefault="00E17286">
            <w:pPr>
              <w:spacing w:before="20" w:after="40" w:line="240" w:lineRule="auto"/>
              <w:jc w:val="center"/>
              <w:rPr>
                <w:rFonts w:eastAsia="Malgun Gothic"/>
                <w:sz w:val="20"/>
              </w:rPr>
            </w:pPr>
          </w:p>
        </w:tc>
      </w:tr>
      <w:tr w:rsidR="00E17286" w:rsidRPr="00A52AB8" w14:paraId="0ED701A3" w14:textId="77777777" w:rsidTr="00007BE2">
        <w:trPr>
          <w:cantSplit/>
          <w:jc w:val="center"/>
        </w:trPr>
        <w:tc>
          <w:tcPr>
            <w:tcW w:w="8422" w:type="dxa"/>
          </w:tcPr>
          <w:p w14:paraId="60AA4296" w14:textId="77777777" w:rsidR="00E17286" w:rsidRPr="00A52AB8" w:rsidRDefault="00E17286">
            <w:pPr>
              <w:spacing w:before="20" w:after="40" w:line="240" w:lineRule="auto"/>
              <w:rPr>
                <w:b/>
                <w:bCs/>
                <w:sz w:val="20"/>
              </w:rPr>
            </w:pPr>
            <w:r w:rsidRPr="00A52AB8">
              <w:rPr>
                <w:b/>
                <w:bCs/>
                <w:sz w:val="20"/>
              </w:rPr>
              <w:tab/>
            </w:r>
            <w:r w:rsidRPr="00A52AB8">
              <w:rPr>
                <w:b/>
                <w:bCs/>
                <w:sz w:val="20"/>
              </w:rPr>
              <w:tab/>
            </w:r>
            <w:r w:rsidRPr="00A52AB8">
              <w:rPr>
                <w:b/>
                <w:bCs/>
                <w:sz w:val="20"/>
              </w:rPr>
              <w:tab/>
            </w:r>
            <w:r w:rsidRPr="00A52AB8">
              <w:rPr>
                <w:b/>
                <w:bCs/>
                <w:sz w:val="20"/>
              </w:rPr>
              <w:tab/>
            </w:r>
            <w:r w:rsidRPr="00A52AB8">
              <w:rPr>
                <w:b/>
                <w:bCs/>
                <w:sz w:val="20"/>
              </w:rPr>
              <w:tab/>
              <w:t>soi_</w:t>
            </w:r>
            <w:r w:rsidRPr="00A52AB8">
              <w:rPr>
                <w:b/>
                <w:sz w:val="20"/>
              </w:rPr>
              <w:t>collision_shape_update_flag</w:t>
            </w:r>
            <w:r w:rsidR="004B7314" w:rsidRPr="00A52AB8">
              <w:rPr>
                <w:sz w:val="20"/>
              </w:rPr>
              <w:t>[ k ]</w:t>
            </w:r>
          </w:p>
        </w:tc>
        <w:tc>
          <w:tcPr>
            <w:tcW w:w="1332" w:type="dxa"/>
          </w:tcPr>
          <w:p w14:paraId="7EC9628F" w14:textId="77777777" w:rsidR="00E17286" w:rsidRPr="00A52AB8" w:rsidRDefault="00E17286">
            <w:pPr>
              <w:spacing w:before="20" w:after="40" w:line="240" w:lineRule="auto"/>
              <w:jc w:val="center"/>
              <w:rPr>
                <w:rFonts w:eastAsia="Malgun Gothic"/>
                <w:sz w:val="20"/>
              </w:rPr>
            </w:pPr>
            <w:r w:rsidRPr="00A52AB8">
              <w:rPr>
                <w:sz w:val="20"/>
              </w:rPr>
              <w:t>u(1)</w:t>
            </w:r>
          </w:p>
        </w:tc>
      </w:tr>
      <w:tr w:rsidR="00E17286" w:rsidRPr="00A52AB8" w14:paraId="0BF49ABA" w14:textId="77777777" w:rsidTr="00007BE2">
        <w:trPr>
          <w:cantSplit/>
          <w:jc w:val="center"/>
        </w:trPr>
        <w:tc>
          <w:tcPr>
            <w:tcW w:w="8422" w:type="dxa"/>
          </w:tcPr>
          <w:p w14:paraId="69667D17" w14:textId="3D3440CF" w:rsidR="00E17286" w:rsidRPr="00A52AB8" w:rsidRDefault="00E17286">
            <w:pPr>
              <w:spacing w:before="20" w:after="40" w:line="240" w:lineRule="auto"/>
              <w:rPr>
                <w:b/>
                <w:bCs/>
                <w:sz w:val="20"/>
              </w:rPr>
            </w:pPr>
            <w:r w:rsidRPr="00A52AB8">
              <w:rPr>
                <w:b/>
                <w:bCs/>
                <w:sz w:val="20"/>
              </w:rPr>
              <w:tab/>
            </w:r>
            <w:r w:rsidRPr="00A52AB8">
              <w:rPr>
                <w:b/>
                <w:bCs/>
                <w:sz w:val="20"/>
              </w:rPr>
              <w:tab/>
            </w:r>
            <w:r w:rsidRPr="00A52AB8">
              <w:rPr>
                <w:b/>
                <w:bCs/>
                <w:sz w:val="20"/>
              </w:rPr>
              <w:tab/>
            </w:r>
            <w:r w:rsidRPr="00A52AB8">
              <w:rPr>
                <w:b/>
                <w:bCs/>
                <w:sz w:val="20"/>
              </w:rPr>
              <w:tab/>
            </w:r>
            <w:r w:rsidRPr="00A52AB8">
              <w:rPr>
                <w:b/>
                <w:bCs/>
                <w:sz w:val="20"/>
              </w:rPr>
              <w:tab/>
            </w:r>
            <w:r w:rsidR="00D63ACE" w:rsidRPr="00A52AB8">
              <w:rPr>
                <w:color w:val="000000" w:themeColor="text1"/>
                <w:sz w:val="20"/>
                <w:szCs w:val="20"/>
              </w:rPr>
              <w:t>if(</w:t>
            </w:r>
            <w:r w:rsidRPr="00A52AB8">
              <w:rPr>
                <w:color w:val="000000" w:themeColor="text1"/>
                <w:sz w:val="20"/>
                <w:szCs w:val="20"/>
              </w:rPr>
              <w:t>so</w:t>
            </w:r>
            <w:r w:rsidRPr="00A52AB8">
              <w:rPr>
                <w:bCs/>
                <w:sz w:val="20"/>
              </w:rPr>
              <w:t>i_</w:t>
            </w:r>
            <w:r w:rsidRPr="00A52AB8">
              <w:rPr>
                <w:sz w:val="20"/>
              </w:rPr>
              <w:t>collision_shape_update_flag[ </w:t>
            </w:r>
            <w:r w:rsidRPr="00A52AB8">
              <w:rPr>
                <w:bCs/>
                <w:sz w:val="20"/>
              </w:rPr>
              <w:t>k ]</w:t>
            </w:r>
            <w:r w:rsidRPr="00A52AB8">
              <w:rPr>
                <w:sz w:val="20"/>
              </w:rPr>
              <w:t>)</w:t>
            </w:r>
          </w:p>
        </w:tc>
        <w:tc>
          <w:tcPr>
            <w:tcW w:w="1332" w:type="dxa"/>
          </w:tcPr>
          <w:p w14:paraId="1BD9C202" w14:textId="77777777" w:rsidR="00E17286" w:rsidRPr="00A52AB8" w:rsidRDefault="00E17286">
            <w:pPr>
              <w:spacing w:before="20" w:after="40" w:line="240" w:lineRule="auto"/>
              <w:jc w:val="center"/>
              <w:rPr>
                <w:rFonts w:eastAsia="Malgun Gothic"/>
                <w:sz w:val="20"/>
              </w:rPr>
            </w:pPr>
          </w:p>
        </w:tc>
      </w:tr>
      <w:tr w:rsidR="00E17286" w:rsidRPr="00A52AB8" w14:paraId="51A8369E" w14:textId="77777777" w:rsidTr="00007BE2">
        <w:trPr>
          <w:cantSplit/>
          <w:jc w:val="center"/>
        </w:trPr>
        <w:tc>
          <w:tcPr>
            <w:tcW w:w="8422" w:type="dxa"/>
          </w:tcPr>
          <w:p w14:paraId="41E0766F" w14:textId="77777777" w:rsidR="00E17286" w:rsidRPr="00A52AB8" w:rsidRDefault="00E17286">
            <w:pPr>
              <w:spacing w:before="20" w:after="40" w:line="240" w:lineRule="auto"/>
              <w:rPr>
                <w:b/>
                <w:bCs/>
                <w:sz w:val="20"/>
              </w:rPr>
            </w:pPr>
            <w:r w:rsidRPr="00A52AB8">
              <w:rPr>
                <w:color w:val="000000" w:themeColor="text1"/>
                <w:sz w:val="20"/>
                <w:szCs w:val="20"/>
              </w:rPr>
              <w:tab/>
            </w:r>
            <w:r w:rsidRPr="00A52AB8">
              <w:rPr>
                <w:color w:val="000000" w:themeColor="text1"/>
                <w:sz w:val="20"/>
                <w:szCs w:val="20"/>
              </w:rPr>
              <w:tab/>
            </w:r>
            <w:r w:rsidRPr="00A52AB8">
              <w:rPr>
                <w:b/>
                <w:bCs/>
                <w:sz w:val="20"/>
              </w:rPr>
              <w:tab/>
            </w:r>
            <w:r w:rsidRPr="00A52AB8">
              <w:rPr>
                <w:b/>
                <w:bCs/>
                <w:sz w:val="20"/>
              </w:rPr>
              <w:tab/>
            </w:r>
            <w:r w:rsidRPr="00A52AB8">
              <w:rPr>
                <w:b/>
                <w:bCs/>
                <w:sz w:val="20"/>
              </w:rPr>
              <w:tab/>
            </w:r>
            <w:r w:rsidRPr="00A52AB8">
              <w:rPr>
                <w:b/>
                <w:bCs/>
                <w:sz w:val="20"/>
              </w:rPr>
              <w:tab/>
              <w:t>soi_</w:t>
            </w:r>
            <w:r w:rsidRPr="00A52AB8">
              <w:rPr>
                <w:b/>
                <w:sz w:val="20"/>
              </w:rPr>
              <w:t>collision_shape_id</w:t>
            </w:r>
            <w:r w:rsidR="004B7314" w:rsidRPr="00A52AB8">
              <w:rPr>
                <w:sz w:val="20"/>
              </w:rPr>
              <w:t>[ k ]</w:t>
            </w:r>
          </w:p>
        </w:tc>
        <w:tc>
          <w:tcPr>
            <w:tcW w:w="1332" w:type="dxa"/>
          </w:tcPr>
          <w:p w14:paraId="5B2C6840" w14:textId="77777777" w:rsidR="00E17286" w:rsidRPr="00A52AB8" w:rsidRDefault="00E17286">
            <w:pPr>
              <w:spacing w:before="20" w:after="40" w:line="240" w:lineRule="auto"/>
              <w:jc w:val="center"/>
              <w:rPr>
                <w:rFonts w:eastAsia="Malgun Gothic"/>
                <w:sz w:val="20"/>
              </w:rPr>
            </w:pPr>
            <w:r w:rsidRPr="00A52AB8">
              <w:rPr>
                <w:rFonts w:eastAsia="Malgun Gothic"/>
                <w:sz w:val="20"/>
              </w:rPr>
              <w:t>u(16)</w:t>
            </w:r>
          </w:p>
        </w:tc>
      </w:tr>
      <w:tr w:rsidR="00E17286" w:rsidRPr="00A52AB8" w14:paraId="102EFA5C" w14:textId="77777777" w:rsidTr="00007BE2">
        <w:trPr>
          <w:cantSplit/>
          <w:jc w:val="center"/>
        </w:trPr>
        <w:tc>
          <w:tcPr>
            <w:tcW w:w="8422" w:type="dxa"/>
          </w:tcPr>
          <w:p w14:paraId="3D441D4C" w14:textId="77777777" w:rsidR="00E17286" w:rsidRPr="00A52AB8" w:rsidRDefault="00E17286">
            <w:pPr>
              <w:spacing w:before="20" w:after="40" w:line="240" w:lineRule="auto"/>
              <w:rPr>
                <w:sz w:val="20"/>
              </w:rPr>
            </w:pPr>
            <w:r w:rsidRPr="00A52AB8">
              <w:rPr>
                <w:b/>
                <w:bCs/>
                <w:sz w:val="20"/>
              </w:rPr>
              <w:tab/>
            </w:r>
            <w:r w:rsidRPr="00A52AB8">
              <w:rPr>
                <w:b/>
                <w:bCs/>
                <w:sz w:val="20"/>
              </w:rPr>
              <w:tab/>
            </w:r>
            <w:r w:rsidRPr="00A52AB8">
              <w:rPr>
                <w:b/>
                <w:bCs/>
                <w:sz w:val="20"/>
              </w:rPr>
              <w:tab/>
            </w:r>
            <w:r w:rsidRPr="00A52AB8">
              <w:rPr>
                <w:b/>
                <w:bCs/>
                <w:sz w:val="20"/>
              </w:rPr>
              <w:tab/>
            </w:r>
            <w:r w:rsidRPr="00A52AB8">
              <w:rPr>
                <w:sz w:val="20"/>
              </w:rPr>
              <w:t>}</w:t>
            </w:r>
          </w:p>
        </w:tc>
        <w:tc>
          <w:tcPr>
            <w:tcW w:w="1332" w:type="dxa"/>
          </w:tcPr>
          <w:p w14:paraId="7924B48A" w14:textId="77777777" w:rsidR="00E17286" w:rsidRPr="00A52AB8" w:rsidRDefault="00E17286">
            <w:pPr>
              <w:spacing w:before="20" w:after="40" w:line="240" w:lineRule="auto"/>
              <w:jc w:val="center"/>
              <w:rPr>
                <w:rFonts w:eastAsia="Malgun Gothic"/>
                <w:sz w:val="20"/>
              </w:rPr>
            </w:pPr>
          </w:p>
        </w:tc>
      </w:tr>
      <w:tr w:rsidR="00E17286" w:rsidRPr="00A52AB8" w14:paraId="612FF06F" w14:textId="77777777" w:rsidTr="00007BE2">
        <w:trPr>
          <w:cantSplit/>
          <w:jc w:val="center"/>
        </w:trPr>
        <w:tc>
          <w:tcPr>
            <w:tcW w:w="8422" w:type="dxa"/>
          </w:tcPr>
          <w:p w14:paraId="7547685F" w14:textId="18A71EBE" w:rsidR="00E17286" w:rsidRPr="00A52AB8" w:rsidRDefault="00E17286">
            <w:pPr>
              <w:spacing w:before="20" w:after="40" w:line="240" w:lineRule="auto"/>
              <w:rPr>
                <w:b/>
                <w:bCs/>
                <w:sz w:val="20"/>
              </w:rPr>
            </w:pPr>
            <w:r w:rsidRPr="00A52AB8">
              <w:rPr>
                <w:b/>
                <w:bCs/>
                <w:sz w:val="20"/>
              </w:rPr>
              <w:tab/>
            </w:r>
            <w:r w:rsidRPr="00A52AB8">
              <w:rPr>
                <w:b/>
                <w:bCs/>
                <w:sz w:val="20"/>
              </w:rPr>
              <w:tab/>
            </w:r>
            <w:r w:rsidRPr="00A52AB8">
              <w:rPr>
                <w:b/>
                <w:bCs/>
                <w:sz w:val="20"/>
              </w:rPr>
              <w:tab/>
            </w:r>
            <w:r w:rsidRPr="00A52AB8">
              <w:rPr>
                <w:b/>
                <w:bCs/>
                <w:sz w:val="20"/>
              </w:rPr>
              <w:tab/>
            </w:r>
            <w:r w:rsidRPr="00A52AB8">
              <w:rPr>
                <w:color w:val="000000" w:themeColor="text1"/>
                <w:sz w:val="20"/>
                <w:szCs w:val="20"/>
              </w:rPr>
              <w:t>if( </w:t>
            </w:r>
            <w:r w:rsidRPr="00A52AB8">
              <w:rPr>
                <w:sz w:val="20"/>
              </w:rPr>
              <w:t>so</w:t>
            </w:r>
            <w:r w:rsidRPr="00A52AB8">
              <w:rPr>
                <w:bCs/>
                <w:sz w:val="20"/>
              </w:rPr>
              <w:t>i_point_style_present_flag </w:t>
            </w:r>
            <w:r w:rsidR="008F1F82" w:rsidRPr="00A52AB8">
              <w:rPr>
                <w:sz w:val="20"/>
              </w:rPr>
              <w:t>) {</w:t>
            </w:r>
          </w:p>
        </w:tc>
        <w:tc>
          <w:tcPr>
            <w:tcW w:w="1332" w:type="dxa"/>
          </w:tcPr>
          <w:p w14:paraId="4F7BF341" w14:textId="77777777" w:rsidR="00E17286" w:rsidRPr="00A52AB8" w:rsidRDefault="00E17286">
            <w:pPr>
              <w:spacing w:before="20" w:after="40" w:line="240" w:lineRule="auto"/>
              <w:jc w:val="center"/>
              <w:rPr>
                <w:rFonts w:eastAsia="Malgun Gothic"/>
                <w:sz w:val="20"/>
              </w:rPr>
            </w:pPr>
          </w:p>
        </w:tc>
      </w:tr>
      <w:tr w:rsidR="00E17286" w:rsidRPr="00A52AB8" w14:paraId="030E6489" w14:textId="77777777" w:rsidTr="00007BE2">
        <w:trPr>
          <w:cantSplit/>
          <w:jc w:val="center"/>
        </w:trPr>
        <w:tc>
          <w:tcPr>
            <w:tcW w:w="8422" w:type="dxa"/>
          </w:tcPr>
          <w:p w14:paraId="0727BAC7" w14:textId="77777777" w:rsidR="00E17286" w:rsidRPr="00A52AB8" w:rsidRDefault="00E17286">
            <w:pPr>
              <w:spacing w:before="20" w:after="40" w:line="240" w:lineRule="auto"/>
              <w:rPr>
                <w:b/>
                <w:bCs/>
                <w:sz w:val="20"/>
              </w:rPr>
            </w:pPr>
            <w:r w:rsidRPr="00A52AB8">
              <w:rPr>
                <w:b/>
                <w:bCs/>
                <w:sz w:val="20"/>
              </w:rPr>
              <w:tab/>
            </w:r>
            <w:r w:rsidRPr="00A52AB8">
              <w:rPr>
                <w:b/>
                <w:bCs/>
                <w:sz w:val="20"/>
              </w:rPr>
              <w:tab/>
            </w:r>
            <w:r w:rsidRPr="00A52AB8">
              <w:rPr>
                <w:b/>
                <w:bCs/>
                <w:sz w:val="20"/>
              </w:rPr>
              <w:tab/>
            </w:r>
            <w:r w:rsidRPr="00A52AB8">
              <w:rPr>
                <w:b/>
                <w:bCs/>
                <w:sz w:val="20"/>
              </w:rPr>
              <w:tab/>
            </w:r>
            <w:r w:rsidRPr="00A52AB8">
              <w:rPr>
                <w:b/>
                <w:bCs/>
                <w:sz w:val="20"/>
              </w:rPr>
              <w:tab/>
              <w:t>soi_point_</w:t>
            </w:r>
            <w:r w:rsidRPr="00A52AB8">
              <w:rPr>
                <w:b/>
                <w:sz w:val="20"/>
              </w:rPr>
              <w:t>style_update_flag</w:t>
            </w:r>
            <w:r w:rsidR="004B7314" w:rsidRPr="00A52AB8">
              <w:rPr>
                <w:sz w:val="20"/>
              </w:rPr>
              <w:t>[ k ]</w:t>
            </w:r>
          </w:p>
        </w:tc>
        <w:tc>
          <w:tcPr>
            <w:tcW w:w="1332" w:type="dxa"/>
          </w:tcPr>
          <w:p w14:paraId="1A351FB7" w14:textId="77777777" w:rsidR="00E17286" w:rsidRPr="00A52AB8" w:rsidRDefault="00E17286">
            <w:pPr>
              <w:spacing w:before="20" w:after="40" w:line="240" w:lineRule="auto"/>
              <w:jc w:val="center"/>
              <w:rPr>
                <w:rFonts w:eastAsia="Malgun Gothic"/>
                <w:sz w:val="20"/>
              </w:rPr>
            </w:pPr>
            <w:r w:rsidRPr="00A52AB8">
              <w:rPr>
                <w:sz w:val="20"/>
              </w:rPr>
              <w:t>u(1)</w:t>
            </w:r>
          </w:p>
        </w:tc>
      </w:tr>
      <w:tr w:rsidR="00E17286" w:rsidRPr="00A52AB8" w14:paraId="73F63DA5" w14:textId="77777777" w:rsidTr="00007BE2">
        <w:trPr>
          <w:cantSplit/>
          <w:jc w:val="center"/>
        </w:trPr>
        <w:tc>
          <w:tcPr>
            <w:tcW w:w="8422" w:type="dxa"/>
          </w:tcPr>
          <w:p w14:paraId="5A337FF5" w14:textId="39FE4E63" w:rsidR="00E17286" w:rsidRPr="00A52AB8" w:rsidRDefault="00E17286">
            <w:pPr>
              <w:spacing w:before="20" w:after="40" w:line="240" w:lineRule="auto"/>
              <w:rPr>
                <w:b/>
                <w:bCs/>
                <w:sz w:val="20"/>
              </w:rPr>
            </w:pPr>
            <w:r w:rsidRPr="00A52AB8">
              <w:rPr>
                <w:b/>
                <w:bCs/>
                <w:sz w:val="20"/>
              </w:rPr>
              <w:tab/>
            </w:r>
            <w:r w:rsidRPr="00A52AB8">
              <w:rPr>
                <w:b/>
                <w:bCs/>
                <w:sz w:val="20"/>
              </w:rPr>
              <w:tab/>
            </w:r>
            <w:r w:rsidRPr="00A52AB8">
              <w:rPr>
                <w:b/>
                <w:bCs/>
                <w:sz w:val="20"/>
              </w:rPr>
              <w:tab/>
            </w:r>
            <w:r w:rsidRPr="00A52AB8">
              <w:rPr>
                <w:b/>
                <w:bCs/>
                <w:sz w:val="20"/>
              </w:rPr>
              <w:tab/>
            </w:r>
            <w:r w:rsidRPr="00A52AB8">
              <w:rPr>
                <w:b/>
                <w:bCs/>
                <w:sz w:val="20"/>
              </w:rPr>
              <w:tab/>
            </w:r>
            <w:r w:rsidR="00D63ACE" w:rsidRPr="00A52AB8">
              <w:rPr>
                <w:color w:val="000000" w:themeColor="text1"/>
                <w:sz w:val="20"/>
                <w:szCs w:val="20"/>
              </w:rPr>
              <w:t>if( </w:t>
            </w:r>
            <w:r w:rsidRPr="00A52AB8">
              <w:rPr>
                <w:color w:val="000000" w:themeColor="text1"/>
                <w:sz w:val="20"/>
                <w:szCs w:val="20"/>
              </w:rPr>
              <w:t>so</w:t>
            </w:r>
            <w:r w:rsidRPr="00A52AB8">
              <w:rPr>
                <w:bCs/>
                <w:sz w:val="20"/>
              </w:rPr>
              <w:t>i_point_</w:t>
            </w:r>
            <w:r w:rsidRPr="00A52AB8">
              <w:rPr>
                <w:sz w:val="20"/>
              </w:rPr>
              <w:t>style_update_flag[ </w:t>
            </w:r>
            <w:r w:rsidRPr="00A52AB8">
              <w:rPr>
                <w:bCs/>
                <w:sz w:val="20"/>
              </w:rPr>
              <w:t>k ]</w:t>
            </w:r>
            <w:r w:rsidR="00D63ACE" w:rsidRPr="00A52AB8">
              <w:rPr>
                <w:bCs/>
                <w:sz w:val="20"/>
              </w:rPr>
              <w:t> </w:t>
            </w:r>
            <w:r w:rsidR="008F1F82" w:rsidRPr="00A52AB8">
              <w:rPr>
                <w:sz w:val="20"/>
              </w:rPr>
              <w:t>) {</w:t>
            </w:r>
          </w:p>
        </w:tc>
        <w:tc>
          <w:tcPr>
            <w:tcW w:w="1332" w:type="dxa"/>
          </w:tcPr>
          <w:p w14:paraId="04C0CFF3" w14:textId="77777777" w:rsidR="00E17286" w:rsidRPr="00A52AB8" w:rsidRDefault="00E17286">
            <w:pPr>
              <w:spacing w:before="20" w:after="40" w:line="240" w:lineRule="auto"/>
              <w:jc w:val="center"/>
              <w:rPr>
                <w:rFonts w:eastAsia="Malgun Gothic"/>
                <w:sz w:val="20"/>
              </w:rPr>
            </w:pPr>
          </w:p>
        </w:tc>
      </w:tr>
      <w:tr w:rsidR="00E17286" w:rsidRPr="00A52AB8" w14:paraId="5B259389" w14:textId="77777777" w:rsidTr="00007BE2">
        <w:trPr>
          <w:cantSplit/>
          <w:jc w:val="center"/>
        </w:trPr>
        <w:tc>
          <w:tcPr>
            <w:tcW w:w="8422" w:type="dxa"/>
          </w:tcPr>
          <w:p w14:paraId="48A7CEC3" w14:textId="77777777" w:rsidR="00E17286" w:rsidRPr="00A52AB8" w:rsidRDefault="00E17286">
            <w:pPr>
              <w:spacing w:before="20" w:after="40" w:line="240" w:lineRule="auto"/>
              <w:rPr>
                <w:b/>
                <w:bCs/>
                <w:sz w:val="20"/>
              </w:rPr>
            </w:pPr>
            <w:r w:rsidRPr="00A52AB8">
              <w:rPr>
                <w:color w:val="000000" w:themeColor="text1"/>
                <w:sz w:val="20"/>
                <w:szCs w:val="20"/>
              </w:rPr>
              <w:tab/>
            </w:r>
            <w:r w:rsidRPr="00A52AB8">
              <w:rPr>
                <w:color w:val="000000" w:themeColor="text1"/>
                <w:sz w:val="20"/>
                <w:szCs w:val="20"/>
              </w:rPr>
              <w:tab/>
            </w:r>
            <w:r w:rsidRPr="00A52AB8">
              <w:rPr>
                <w:b/>
                <w:bCs/>
                <w:sz w:val="20"/>
              </w:rPr>
              <w:tab/>
            </w:r>
            <w:r w:rsidRPr="00A52AB8">
              <w:rPr>
                <w:b/>
                <w:bCs/>
                <w:sz w:val="20"/>
              </w:rPr>
              <w:tab/>
            </w:r>
            <w:r w:rsidRPr="00A52AB8">
              <w:rPr>
                <w:b/>
                <w:bCs/>
                <w:sz w:val="20"/>
              </w:rPr>
              <w:tab/>
            </w:r>
            <w:r w:rsidRPr="00A52AB8">
              <w:rPr>
                <w:b/>
                <w:bCs/>
                <w:sz w:val="20"/>
              </w:rPr>
              <w:tab/>
              <w:t>soi_point_</w:t>
            </w:r>
            <w:r w:rsidRPr="00A52AB8">
              <w:rPr>
                <w:b/>
                <w:sz w:val="20"/>
              </w:rPr>
              <w:t>shape_id</w:t>
            </w:r>
            <w:r w:rsidR="004B7314" w:rsidRPr="00A52AB8">
              <w:rPr>
                <w:sz w:val="20"/>
              </w:rPr>
              <w:t>[ k ]</w:t>
            </w:r>
          </w:p>
        </w:tc>
        <w:tc>
          <w:tcPr>
            <w:tcW w:w="1332" w:type="dxa"/>
          </w:tcPr>
          <w:p w14:paraId="68B3F75D" w14:textId="77777777" w:rsidR="00E17286" w:rsidRPr="00A52AB8" w:rsidRDefault="00E17286">
            <w:pPr>
              <w:spacing w:before="20" w:after="40" w:line="240" w:lineRule="auto"/>
              <w:jc w:val="center"/>
              <w:rPr>
                <w:rFonts w:eastAsia="Malgun Gothic"/>
                <w:sz w:val="20"/>
              </w:rPr>
            </w:pPr>
            <w:r w:rsidRPr="00A52AB8">
              <w:rPr>
                <w:rFonts w:eastAsia="Malgun Gothic"/>
                <w:sz w:val="20"/>
              </w:rPr>
              <w:t>u(8)</w:t>
            </w:r>
          </w:p>
        </w:tc>
      </w:tr>
      <w:tr w:rsidR="00E17286" w:rsidRPr="00A52AB8" w14:paraId="4DB82B13" w14:textId="77777777" w:rsidTr="00007BE2">
        <w:trPr>
          <w:cantSplit/>
          <w:jc w:val="center"/>
        </w:trPr>
        <w:tc>
          <w:tcPr>
            <w:tcW w:w="8422" w:type="dxa"/>
          </w:tcPr>
          <w:p w14:paraId="4B99C610" w14:textId="77777777" w:rsidR="00E17286" w:rsidRPr="00A52AB8" w:rsidRDefault="00E17286">
            <w:pPr>
              <w:spacing w:before="20" w:after="40" w:line="240" w:lineRule="auto"/>
              <w:rPr>
                <w:b/>
                <w:bCs/>
                <w:sz w:val="20"/>
              </w:rPr>
            </w:pPr>
            <w:r w:rsidRPr="00A52AB8">
              <w:rPr>
                <w:color w:val="000000" w:themeColor="text1"/>
                <w:sz w:val="20"/>
                <w:szCs w:val="20"/>
              </w:rPr>
              <w:tab/>
            </w:r>
            <w:r w:rsidRPr="00A52AB8">
              <w:rPr>
                <w:color w:val="000000" w:themeColor="text1"/>
                <w:sz w:val="20"/>
                <w:szCs w:val="20"/>
              </w:rPr>
              <w:tab/>
            </w:r>
            <w:r w:rsidRPr="00A52AB8">
              <w:rPr>
                <w:b/>
                <w:bCs/>
                <w:sz w:val="20"/>
              </w:rPr>
              <w:tab/>
            </w:r>
            <w:r w:rsidRPr="00A52AB8">
              <w:rPr>
                <w:b/>
                <w:bCs/>
                <w:sz w:val="20"/>
              </w:rPr>
              <w:tab/>
            </w:r>
            <w:r w:rsidRPr="00A52AB8">
              <w:rPr>
                <w:b/>
                <w:bCs/>
                <w:sz w:val="20"/>
              </w:rPr>
              <w:tab/>
            </w:r>
            <w:r w:rsidRPr="00A52AB8">
              <w:rPr>
                <w:b/>
                <w:bCs/>
                <w:sz w:val="20"/>
              </w:rPr>
              <w:tab/>
              <w:t>soi_point_</w:t>
            </w:r>
            <w:r w:rsidRPr="00A52AB8">
              <w:rPr>
                <w:b/>
                <w:sz w:val="20"/>
              </w:rPr>
              <w:t>size</w:t>
            </w:r>
            <w:r w:rsidR="004B7314" w:rsidRPr="00A52AB8">
              <w:rPr>
                <w:sz w:val="20"/>
              </w:rPr>
              <w:t>[ k ]</w:t>
            </w:r>
          </w:p>
        </w:tc>
        <w:tc>
          <w:tcPr>
            <w:tcW w:w="1332" w:type="dxa"/>
          </w:tcPr>
          <w:p w14:paraId="65501EBD" w14:textId="77777777" w:rsidR="00E17286" w:rsidRPr="00A52AB8" w:rsidRDefault="00E17286">
            <w:pPr>
              <w:spacing w:before="20" w:after="40" w:line="240" w:lineRule="auto"/>
              <w:jc w:val="center"/>
              <w:rPr>
                <w:rFonts w:eastAsia="Malgun Gothic"/>
                <w:sz w:val="20"/>
              </w:rPr>
            </w:pPr>
            <w:r w:rsidRPr="00A52AB8">
              <w:rPr>
                <w:rFonts w:eastAsia="Malgun Gothic"/>
                <w:sz w:val="20"/>
              </w:rPr>
              <w:t>u(16)</w:t>
            </w:r>
          </w:p>
        </w:tc>
      </w:tr>
      <w:tr w:rsidR="00DB27E4" w:rsidRPr="00A52AB8" w14:paraId="22805A9C" w14:textId="77777777" w:rsidTr="00007BE2">
        <w:trPr>
          <w:cantSplit/>
          <w:jc w:val="center"/>
        </w:trPr>
        <w:tc>
          <w:tcPr>
            <w:tcW w:w="8422" w:type="dxa"/>
          </w:tcPr>
          <w:p w14:paraId="2D595FC1" w14:textId="77777777" w:rsidR="00DB27E4" w:rsidRPr="00A52AB8" w:rsidRDefault="00DB27E4">
            <w:pPr>
              <w:spacing w:before="20" w:after="40" w:line="240" w:lineRule="auto"/>
              <w:rPr>
                <w:sz w:val="20"/>
              </w:rPr>
            </w:pPr>
            <w:r w:rsidRPr="00A52AB8">
              <w:rPr>
                <w:b/>
                <w:bCs/>
                <w:sz w:val="20"/>
              </w:rPr>
              <w:tab/>
            </w:r>
            <w:r w:rsidRPr="00A52AB8">
              <w:rPr>
                <w:b/>
                <w:bCs/>
                <w:sz w:val="20"/>
              </w:rPr>
              <w:tab/>
            </w:r>
            <w:r w:rsidRPr="00A52AB8">
              <w:rPr>
                <w:b/>
                <w:bCs/>
                <w:sz w:val="20"/>
              </w:rPr>
              <w:tab/>
            </w:r>
            <w:r w:rsidRPr="00A52AB8">
              <w:rPr>
                <w:b/>
                <w:bCs/>
                <w:sz w:val="20"/>
              </w:rPr>
              <w:tab/>
            </w:r>
            <w:r w:rsidRPr="00A52AB8">
              <w:rPr>
                <w:b/>
                <w:bCs/>
                <w:sz w:val="20"/>
              </w:rPr>
              <w:tab/>
            </w:r>
            <w:r w:rsidRPr="00A52AB8">
              <w:rPr>
                <w:sz w:val="20"/>
              </w:rPr>
              <w:t>}</w:t>
            </w:r>
          </w:p>
        </w:tc>
        <w:tc>
          <w:tcPr>
            <w:tcW w:w="1332" w:type="dxa"/>
          </w:tcPr>
          <w:p w14:paraId="58BB3F83" w14:textId="77777777" w:rsidR="00DB27E4" w:rsidRPr="00A52AB8" w:rsidRDefault="00DB27E4">
            <w:pPr>
              <w:spacing w:before="20" w:after="40" w:line="240" w:lineRule="auto"/>
              <w:jc w:val="center"/>
              <w:rPr>
                <w:rFonts w:eastAsia="Malgun Gothic"/>
                <w:sz w:val="20"/>
              </w:rPr>
            </w:pPr>
          </w:p>
        </w:tc>
      </w:tr>
      <w:tr w:rsidR="00E17286" w:rsidRPr="00A52AB8" w14:paraId="20EB0969" w14:textId="77777777" w:rsidTr="00007BE2">
        <w:trPr>
          <w:cantSplit/>
          <w:jc w:val="center"/>
        </w:trPr>
        <w:tc>
          <w:tcPr>
            <w:tcW w:w="8422" w:type="dxa"/>
          </w:tcPr>
          <w:p w14:paraId="3120DA3B" w14:textId="77777777" w:rsidR="00E17286" w:rsidRPr="00A52AB8" w:rsidRDefault="00E17286">
            <w:pPr>
              <w:spacing w:before="20" w:after="40" w:line="240" w:lineRule="auto"/>
              <w:rPr>
                <w:sz w:val="20"/>
              </w:rPr>
            </w:pPr>
            <w:r w:rsidRPr="00A52AB8">
              <w:rPr>
                <w:b/>
                <w:bCs/>
                <w:sz w:val="20"/>
              </w:rPr>
              <w:tab/>
            </w:r>
            <w:r w:rsidRPr="00A52AB8">
              <w:rPr>
                <w:b/>
                <w:bCs/>
                <w:sz w:val="20"/>
              </w:rPr>
              <w:tab/>
            </w:r>
            <w:r w:rsidRPr="00A52AB8">
              <w:rPr>
                <w:b/>
                <w:bCs/>
                <w:sz w:val="20"/>
              </w:rPr>
              <w:tab/>
            </w:r>
            <w:r w:rsidRPr="00A52AB8">
              <w:rPr>
                <w:b/>
                <w:bCs/>
                <w:sz w:val="20"/>
              </w:rPr>
              <w:tab/>
            </w:r>
            <w:r w:rsidRPr="00A52AB8">
              <w:rPr>
                <w:sz w:val="20"/>
              </w:rPr>
              <w:t>}</w:t>
            </w:r>
          </w:p>
        </w:tc>
        <w:tc>
          <w:tcPr>
            <w:tcW w:w="1332" w:type="dxa"/>
          </w:tcPr>
          <w:p w14:paraId="5460CED1" w14:textId="77777777" w:rsidR="00E17286" w:rsidRPr="00A52AB8" w:rsidRDefault="00E17286">
            <w:pPr>
              <w:spacing w:before="20" w:after="40" w:line="240" w:lineRule="auto"/>
              <w:jc w:val="center"/>
              <w:rPr>
                <w:rFonts w:eastAsia="Malgun Gothic"/>
                <w:sz w:val="20"/>
              </w:rPr>
            </w:pPr>
          </w:p>
        </w:tc>
      </w:tr>
      <w:tr w:rsidR="00E17286" w:rsidRPr="00A52AB8" w14:paraId="09195930" w14:textId="77777777" w:rsidTr="00007BE2">
        <w:trPr>
          <w:cantSplit/>
          <w:jc w:val="center"/>
        </w:trPr>
        <w:tc>
          <w:tcPr>
            <w:tcW w:w="8422" w:type="dxa"/>
          </w:tcPr>
          <w:p w14:paraId="73D4C0AE" w14:textId="6C11FDA2" w:rsidR="00E17286" w:rsidRPr="00A52AB8" w:rsidRDefault="00E17286">
            <w:pPr>
              <w:spacing w:before="20" w:after="40" w:line="240" w:lineRule="auto"/>
              <w:rPr>
                <w:b/>
                <w:bCs/>
                <w:sz w:val="20"/>
              </w:rPr>
            </w:pPr>
            <w:r w:rsidRPr="00A52AB8">
              <w:rPr>
                <w:b/>
                <w:bCs/>
                <w:sz w:val="20"/>
              </w:rPr>
              <w:tab/>
            </w:r>
            <w:r w:rsidRPr="00A52AB8">
              <w:rPr>
                <w:b/>
                <w:bCs/>
                <w:sz w:val="20"/>
              </w:rPr>
              <w:tab/>
            </w:r>
            <w:r w:rsidRPr="00A52AB8">
              <w:rPr>
                <w:b/>
                <w:bCs/>
                <w:sz w:val="20"/>
              </w:rPr>
              <w:tab/>
            </w:r>
            <w:r w:rsidRPr="00A52AB8">
              <w:rPr>
                <w:b/>
                <w:bCs/>
                <w:sz w:val="20"/>
              </w:rPr>
              <w:tab/>
            </w:r>
            <w:r w:rsidRPr="00A52AB8">
              <w:rPr>
                <w:color w:val="000000" w:themeColor="text1"/>
                <w:sz w:val="20"/>
                <w:szCs w:val="20"/>
              </w:rPr>
              <w:t>if( </w:t>
            </w:r>
            <w:r w:rsidRPr="00A52AB8">
              <w:rPr>
                <w:sz w:val="20"/>
              </w:rPr>
              <w:t>so</w:t>
            </w:r>
            <w:r w:rsidRPr="00A52AB8">
              <w:rPr>
                <w:bCs/>
                <w:sz w:val="20"/>
              </w:rPr>
              <w:t>i_material_id_present_flag </w:t>
            </w:r>
            <w:r w:rsidR="008F1F82" w:rsidRPr="00A52AB8">
              <w:rPr>
                <w:sz w:val="20"/>
              </w:rPr>
              <w:t>) {</w:t>
            </w:r>
          </w:p>
        </w:tc>
        <w:tc>
          <w:tcPr>
            <w:tcW w:w="1332" w:type="dxa"/>
          </w:tcPr>
          <w:p w14:paraId="43F0D49D" w14:textId="77777777" w:rsidR="00E17286" w:rsidRPr="00A52AB8" w:rsidRDefault="00E17286">
            <w:pPr>
              <w:spacing w:before="20" w:after="40" w:line="240" w:lineRule="auto"/>
              <w:jc w:val="center"/>
              <w:rPr>
                <w:rFonts w:eastAsia="Malgun Gothic"/>
                <w:sz w:val="20"/>
              </w:rPr>
            </w:pPr>
          </w:p>
        </w:tc>
      </w:tr>
      <w:tr w:rsidR="00E17286" w:rsidRPr="00A52AB8" w14:paraId="7C9A5457" w14:textId="77777777" w:rsidTr="00007BE2">
        <w:trPr>
          <w:cantSplit/>
          <w:jc w:val="center"/>
        </w:trPr>
        <w:tc>
          <w:tcPr>
            <w:tcW w:w="8422" w:type="dxa"/>
          </w:tcPr>
          <w:p w14:paraId="2C7F4B39" w14:textId="77777777" w:rsidR="00E17286" w:rsidRPr="00A52AB8" w:rsidRDefault="00E17286">
            <w:pPr>
              <w:spacing w:before="20" w:after="40" w:line="240" w:lineRule="auto"/>
              <w:rPr>
                <w:b/>
                <w:bCs/>
                <w:sz w:val="20"/>
              </w:rPr>
            </w:pPr>
            <w:r w:rsidRPr="00A52AB8">
              <w:rPr>
                <w:b/>
                <w:bCs/>
                <w:sz w:val="20"/>
              </w:rPr>
              <w:tab/>
            </w:r>
            <w:r w:rsidRPr="00A52AB8">
              <w:rPr>
                <w:b/>
                <w:bCs/>
                <w:sz w:val="20"/>
              </w:rPr>
              <w:tab/>
            </w:r>
            <w:r w:rsidRPr="00A52AB8">
              <w:rPr>
                <w:b/>
                <w:bCs/>
                <w:sz w:val="20"/>
              </w:rPr>
              <w:tab/>
            </w:r>
            <w:r w:rsidRPr="00A52AB8">
              <w:rPr>
                <w:b/>
                <w:bCs/>
                <w:sz w:val="20"/>
              </w:rPr>
              <w:tab/>
            </w:r>
            <w:r w:rsidRPr="00A52AB8">
              <w:rPr>
                <w:b/>
                <w:bCs/>
                <w:sz w:val="20"/>
              </w:rPr>
              <w:tab/>
              <w:t>soi_</w:t>
            </w:r>
            <w:r w:rsidRPr="00A52AB8">
              <w:rPr>
                <w:b/>
                <w:sz w:val="20"/>
              </w:rPr>
              <w:t>material_id_update_flag</w:t>
            </w:r>
            <w:r w:rsidR="004B7314" w:rsidRPr="00A52AB8">
              <w:rPr>
                <w:sz w:val="20"/>
              </w:rPr>
              <w:t>[ k ]</w:t>
            </w:r>
          </w:p>
        </w:tc>
        <w:tc>
          <w:tcPr>
            <w:tcW w:w="1332" w:type="dxa"/>
          </w:tcPr>
          <w:p w14:paraId="2A7599CF" w14:textId="77777777" w:rsidR="00E17286" w:rsidRPr="00A52AB8" w:rsidRDefault="00E17286">
            <w:pPr>
              <w:spacing w:before="20" w:after="40" w:line="240" w:lineRule="auto"/>
              <w:jc w:val="center"/>
              <w:rPr>
                <w:rFonts w:eastAsia="Malgun Gothic"/>
                <w:sz w:val="20"/>
              </w:rPr>
            </w:pPr>
            <w:r w:rsidRPr="00A52AB8">
              <w:rPr>
                <w:sz w:val="20"/>
              </w:rPr>
              <w:t>u(1)</w:t>
            </w:r>
          </w:p>
        </w:tc>
      </w:tr>
      <w:tr w:rsidR="00E17286" w:rsidRPr="00A52AB8" w14:paraId="1901A9E6" w14:textId="77777777" w:rsidTr="00007BE2">
        <w:trPr>
          <w:cantSplit/>
          <w:jc w:val="center"/>
        </w:trPr>
        <w:tc>
          <w:tcPr>
            <w:tcW w:w="8422" w:type="dxa"/>
          </w:tcPr>
          <w:p w14:paraId="47A28C02" w14:textId="093C2F9C" w:rsidR="00E17286" w:rsidRPr="00A52AB8" w:rsidRDefault="00E17286">
            <w:pPr>
              <w:spacing w:before="20" w:after="40" w:line="240" w:lineRule="auto"/>
              <w:rPr>
                <w:b/>
                <w:bCs/>
                <w:sz w:val="20"/>
              </w:rPr>
            </w:pPr>
            <w:r w:rsidRPr="00A52AB8">
              <w:rPr>
                <w:b/>
                <w:bCs/>
                <w:sz w:val="20"/>
              </w:rPr>
              <w:tab/>
            </w:r>
            <w:r w:rsidRPr="00A52AB8">
              <w:rPr>
                <w:b/>
                <w:bCs/>
                <w:sz w:val="20"/>
              </w:rPr>
              <w:tab/>
            </w:r>
            <w:r w:rsidRPr="00A52AB8">
              <w:rPr>
                <w:b/>
                <w:bCs/>
                <w:sz w:val="20"/>
              </w:rPr>
              <w:tab/>
            </w:r>
            <w:r w:rsidRPr="00A52AB8">
              <w:rPr>
                <w:b/>
                <w:bCs/>
                <w:sz w:val="20"/>
              </w:rPr>
              <w:tab/>
            </w:r>
            <w:r w:rsidRPr="00A52AB8">
              <w:rPr>
                <w:b/>
                <w:bCs/>
                <w:sz w:val="20"/>
              </w:rPr>
              <w:tab/>
            </w:r>
            <w:r w:rsidRPr="00A52AB8">
              <w:rPr>
                <w:color w:val="000000" w:themeColor="text1"/>
                <w:sz w:val="20"/>
                <w:szCs w:val="20"/>
              </w:rPr>
              <w:t>if(</w:t>
            </w:r>
            <w:r w:rsidR="00D63ACE" w:rsidRPr="00A52AB8">
              <w:rPr>
                <w:color w:val="000000" w:themeColor="text1"/>
                <w:sz w:val="20"/>
                <w:szCs w:val="20"/>
              </w:rPr>
              <w:t> </w:t>
            </w:r>
            <w:r w:rsidRPr="00A52AB8">
              <w:rPr>
                <w:color w:val="000000" w:themeColor="text1"/>
                <w:sz w:val="20"/>
                <w:szCs w:val="20"/>
              </w:rPr>
              <w:t>so</w:t>
            </w:r>
            <w:r w:rsidRPr="00A52AB8">
              <w:rPr>
                <w:bCs/>
                <w:sz w:val="20"/>
              </w:rPr>
              <w:t>i_</w:t>
            </w:r>
            <w:r w:rsidRPr="00A52AB8">
              <w:rPr>
                <w:sz w:val="20"/>
              </w:rPr>
              <w:t>material_id_update_flag[ </w:t>
            </w:r>
            <w:r w:rsidRPr="00A52AB8">
              <w:rPr>
                <w:bCs/>
                <w:sz w:val="20"/>
              </w:rPr>
              <w:t>k ]</w:t>
            </w:r>
            <w:r w:rsidR="00D63ACE" w:rsidRPr="00A52AB8">
              <w:rPr>
                <w:bCs/>
                <w:sz w:val="20"/>
              </w:rPr>
              <w:t> </w:t>
            </w:r>
            <w:r w:rsidRPr="00A52AB8">
              <w:rPr>
                <w:sz w:val="20"/>
              </w:rPr>
              <w:t>)</w:t>
            </w:r>
          </w:p>
        </w:tc>
        <w:tc>
          <w:tcPr>
            <w:tcW w:w="1332" w:type="dxa"/>
          </w:tcPr>
          <w:p w14:paraId="41E2130D" w14:textId="77777777" w:rsidR="00E17286" w:rsidRPr="00A52AB8" w:rsidRDefault="00E17286">
            <w:pPr>
              <w:spacing w:before="20" w:after="40" w:line="240" w:lineRule="auto"/>
              <w:jc w:val="center"/>
              <w:rPr>
                <w:rFonts w:eastAsia="Malgun Gothic"/>
                <w:sz w:val="20"/>
              </w:rPr>
            </w:pPr>
          </w:p>
        </w:tc>
      </w:tr>
      <w:tr w:rsidR="00E17286" w:rsidRPr="00A52AB8" w14:paraId="3DB9D342" w14:textId="77777777" w:rsidTr="00007BE2">
        <w:trPr>
          <w:cantSplit/>
          <w:jc w:val="center"/>
        </w:trPr>
        <w:tc>
          <w:tcPr>
            <w:tcW w:w="8422" w:type="dxa"/>
          </w:tcPr>
          <w:p w14:paraId="6FDF9DAA" w14:textId="77777777" w:rsidR="00E17286" w:rsidRPr="00A52AB8" w:rsidRDefault="00E17286">
            <w:pPr>
              <w:spacing w:before="20" w:after="40" w:line="240" w:lineRule="auto"/>
              <w:rPr>
                <w:b/>
                <w:bCs/>
                <w:sz w:val="20"/>
              </w:rPr>
            </w:pPr>
            <w:r w:rsidRPr="00A52AB8">
              <w:rPr>
                <w:color w:val="000000" w:themeColor="text1"/>
                <w:sz w:val="20"/>
                <w:szCs w:val="20"/>
              </w:rPr>
              <w:tab/>
            </w:r>
            <w:r w:rsidRPr="00A52AB8">
              <w:rPr>
                <w:color w:val="000000" w:themeColor="text1"/>
                <w:sz w:val="20"/>
                <w:szCs w:val="20"/>
              </w:rPr>
              <w:tab/>
            </w:r>
            <w:r w:rsidRPr="00A52AB8">
              <w:rPr>
                <w:b/>
                <w:bCs/>
                <w:sz w:val="20"/>
              </w:rPr>
              <w:tab/>
            </w:r>
            <w:r w:rsidRPr="00A52AB8">
              <w:rPr>
                <w:b/>
                <w:bCs/>
                <w:sz w:val="20"/>
              </w:rPr>
              <w:tab/>
            </w:r>
            <w:r w:rsidRPr="00A52AB8">
              <w:rPr>
                <w:b/>
                <w:bCs/>
                <w:sz w:val="20"/>
              </w:rPr>
              <w:tab/>
            </w:r>
            <w:r w:rsidRPr="00A52AB8">
              <w:rPr>
                <w:b/>
                <w:bCs/>
                <w:sz w:val="20"/>
              </w:rPr>
              <w:tab/>
              <w:t>soi_</w:t>
            </w:r>
            <w:r w:rsidRPr="00A52AB8">
              <w:rPr>
                <w:b/>
                <w:sz w:val="20"/>
              </w:rPr>
              <w:t>material_id</w:t>
            </w:r>
            <w:r w:rsidR="004B7314" w:rsidRPr="00A52AB8">
              <w:rPr>
                <w:sz w:val="20"/>
              </w:rPr>
              <w:t>[ k ]</w:t>
            </w:r>
          </w:p>
        </w:tc>
        <w:tc>
          <w:tcPr>
            <w:tcW w:w="1332" w:type="dxa"/>
          </w:tcPr>
          <w:p w14:paraId="70B07D0A" w14:textId="77777777" w:rsidR="00E17286" w:rsidRPr="00A52AB8" w:rsidRDefault="00E17286">
            <w:pPr>
              <w:spacing w:before="20" w:after="40" w:line="240" w:lineRule="auto"/>
              <w:jc w:val="center"/>
              <w:rPr>
                <w:rFonts w:eastAsia="Malgun Gothic"/>
                <w:sz w:val="20"/>
              </w:rPr>
            </w:pPr>
            <w:r w:rsidRPr="00A52AB8">
              <w:rPr>
                <w:rFonts w:eastAsia="Malgun Gothic"/>
                <w:sz w:val="20"/>
              </w:rPr>
              <w:t>u(16)</w:t>
            </w:r>
          </w:p>
        </w:tc>
      </w:tr>
      <w:tr w:rsidR="00E17286" w:rsidRPr="00A52AB8" w14:paraId="71842745" w14:textId="77777777" w:rsidTr="00007BE2">
        <w:trPr>
          <w:cantSplit/>
          <w:jc w:val="center"/>
        </w:trPr>
        <w:tc>
          <w:tcPr>
            <w:tcW w:w="8422" w:type="dxa"/>
          </w:tcPr>
          <w:p w14:paraId="1CEA50BD" w14:textId="77777777" w:rsidR="00E17286" w:rsidRPr="00A52AB8" w:rsidRDefault="00E17286">
            <w:pPr>
              <w:spacing w:before="20" w:after="40" w:line="240" w:lineRule="auto"/>
              <w:rPr>
                <w:sz w:val="20"/>
              </w:rPr>
            </w:pPr>
            <w:r w:rsidRPr="00A52AB8">
              <w:rPr>
                <w:b/>
                <w:bCs/>
                <w:sz w:val="20"/>
              </w:rPr>
              <w:tab/>
            </w:r>
            <w:r w:rsidRPr="00A52AB8">
              <w:rPr>
                <w:b/>
                <w:bCs/>
                <w:sz w:val="20"/>
              </w:rPr>
              <w:tab/>
            </w:r>
            <w:r w:rsidRPr="00A52AB8">
              <w:rPr>
                <w:b/>
                <w:bCs/>
                <w:sz w:val="20"/>
              </w:rPr>
              <w:tab/>
            </w:r>
            <w:r w:rsidRPr="00A52AB8">
              <w:rPr>
                <w:b/>
                <w:bCs/>
                <w:sz w:val="20"/>
              </w:rPr>
              <w:tab/>
            </w:r>
            <w:r w:rsidRPr="00A52AB8">
              <w:rPr>
                <w:sz w:val="20"/>
              </w:rPr>
              <w:t>}</w:t>
            </w:r>
          </w:p>
        </w:tc>
        <w:tc>
          <w:tcPr>
            <w:tcW w:w="1332" w:type="dxa"/>
          </w:tcPr>
          <w:p w14:paraId="64281A41" w14:textId="77777777" w:rsidR="00E17286" w:rsidRPr="00A52AB8" w:rsidRDefault="00E17286">
            <w:pPr>
              <w:spacing w:before="20" w:after="40" w:line="240" w:lineRule="auto"/>
              <w:jc w:val="center"/>
              <w:rPr>
                <w:rFonts w:eastAsia="Malgun Gothic"/>
                <w:sz w:val="20"/>
              </w:rPr>
            </w:pPr>
          </w:p>
        </w:tc>
      </w:tr>
      <w:tr w:rsidR="00E17286" w:rsidRPr="00A52AB8" w14:paraId="1064BBA5" w14:textId="77777777" w:rsidTr="00007BE2">
        <w:trPr>
          <w:cantSplit/>
          <w:jc w:val="center"/>
        </w:trPr>
        <w:tc>
          <w:tcPr>
            <w:tcW w:w="8422" w:type="dxa"/>
          </w:tcPr>
          <w:p w14:paraId="75E38556" w14:textId="77777777" w:rsidR="00E17286" w:rsidRPr="00A52AB8" w:rsidRDefault="00E17286">
            <w:pPr>
              <w:spacing w:before="20" w:after="40" w:line="240" w:lineRule="auto"/>
              <w:rPr>
                <w:sz w:val="20"/>
              </w:rPr>
            </w:pPr>
            <w:r w:rsidRPr="00A52AB8">
              <w:rPr>
                <w:b/>
                <w:bCs/>
                <w:sz w:val="20"/>
              </w:rPr>
              <w:tab/>
            </w:r>
            <w:r w:rsidRPr="00A52AB8">
              <w:rPr>
                <w:sz w:val="20"/>
              </w:rPr>
              <w:tab/>
            </w:r>
            <w:r w:rsidRPr="00A52AB8">
              <w:rPr>
                <w:sz w:val="20"/>
              </w:rPr>
              <w:tab/>
              <w:t>}</w:t>
            </w:r>
          </w:p>
        </w:tc>
        <w:tc>
          <w:tcPr>
            <w:tcW w:w="1332" w:type="dxa"/>
          </w:tcPr>
          <w:p w14:paraId="347F3D70" w14:textId="77777777" w:rsidR="00E17286" w:rsidRPr="00A52AB8" w:rsidRDefault="00E17286">
            <w:pPr>
              <w:spacing w:before="20" w:after="40" w:line="240" w:lineRule="auto"/>
              <w:jc w:val="center"/>
              <w:rPr>
                <w:rFonts w:eastAsia="Malgun Gothic"/>
                <w:sz w:val="20"/>
              </w:rPr>
            </w:pPr>
          </w:p>
        </w:tc>
      </w:tr>
      <w:tr w:rsidR="00E17286" w:rsidRPr="00A52AB8" w14:paraId="40394240" w14:textId="77777777" w:rsidTr="00007BE2">
        <w:trPr>
          <w:cantSplit/>
          <w:jc w:val="center"/>
        </w:trPr>
        <w:tc>
          <w:tcPr>
            <w:tcW w:w="8422" w:type="dxa"/>
          </w:tcPr>
          <w:p w14:paraId="037F6723" w14:textId="77777777" w:rsidR="00E17286" w:rsidRPr="00A52AB8" w:rsidRDefault="00E17286">
            <w:pPr>
              <w:spacing w:before="20" w:after="40" w:line="240" w:lineRule="auto"/>
              <w:rPr>
                <w:sz w:val="20"/>
              </w:rPr>
            </w:pPr>
            <w:r w:rsidRPr="00A52AB8">
              <w:rPr>
                <w:sz w:val="20"/>
              </w:rPr>
              <w:tab/>
            </w:r>
            <w:r w:rsidRPr="00A52AB8">
              <w:rPr>
                <w:sz w:val="20"/>
              </w:rPr>
              <w:tab/>
              <w:t>}</w:t>
            </w:r>
          </w:p>
        </w:tc>
        <w:tc>
          <w:tcPr>
            <w:tcW w:w="1332" w:type="dxa"/>
          </w:tcPr>
          <w:p w14:paraId="49A4540D" w14:textId="77777777" w:rsidR="00E17286" w:rsidRPr="00A52AB8" w:rsidRDefault="00E17286">
            <w:pPr>
              <w:spacing w:before="20" w:after="40" w:line="240" w:lineRule="auto"/>
              <w:jc w:val="center"/>
              <w:rPr>
                <w:rFonts w:eastAsia="Malgun Gothic"/>
                <w:sz w:val="20"/>
              </w:rPr>
            </w:pPr>
          </w:p>
        </w:tc>
      </w:tr>
      <w:tr w:rsidR="00E17286" w:rsidRPr="00A52AB8" w14:paraId="0EFC77D6" w14:textId="77777777" w:rsidTr="00007BE2">
        <w:trPr>
          <w:cantSplit/>
          <w:jc w:val="center"/>
        </w:trPr>
        <w:tc>
          <w:tcPr>
            <w:tcW w:w="8422" w:type="dxa"/>
          </w:tcPr>
          <w:p w14:paraId="6FAF6EAF" w14:textId="77777777" w:rsidR="00E17286" w:rsidRPr="00A52AB8" w:rsidRDefault="00E17286">
            <w:pPr>
              <w:spacing w:before="20" w:after="40" w:line="240" w:lineRule="auto"/>
              <w:rPr>
                <w:sz w:val="20"/>
              </w:rPr>
            </w:pPr>
            <w:r w:rsidRPr="00A52AB8">
              <w:rPr>
                <w:sz w:val="20"/>
              </w:rPr>
              <w:tab/>
              <w:t>}</w:t>
            </w:r>
          </w:p>
        </w:tc>
        <w:tc>
          <w:tcPr>
            <w:tcW w:w="1332" w:type="dxa"/>
          </w:tcPr>
          <w:p w14:paraId="38361CD2" w14:textId="77777777" w:rsidR="00E17286" w:rsidRPr="00A52AB8" w:rsidRDefault="00E17286">
            <w:pPr>
              <w:spacing w:before="20" w:after="40" w:line="240" w:lineRule="auto"/>
              <w:jc w:val="center"/>
              <w:rPr>
                <w:rFonts w:eastAsia="Malgun Gothic"/>
                <w:sz w:val="20"/>
              </w:rPr>
            </w:pPr>
          </w:p>
        </w:tc>
      </w:tr>
      <w:tr w:rsidR="00E17286" w:rsidRPr="00A52AB8" w14:paraId="4FCE2936" w14:textId="77777777" w:rsidTr="00007BE2">
        <w:trPr>
          <w:cantSplit/>
          <w:jc w:val="center"/>
        </w:trPr>
        <w:tc>
          <w:tcPr>
            <w:tcW w:w="8422" w:type="dxa"/>
          </w:tcPr>
          <w:p w14:paraId="068E1487" w14:textId="77777777" w:rsidR="00E17286" w:rsidRPr="00A52AB8" w:rsidRDefault="00E17286">
            <w:pPr>
              <w:spacing w:before="20" w:after="40" w:line="240" w:lineRule="auto"/>
              <w:rPr>
                <w:sz w:val="20"/>
              </w:rPr>
            </w:pPr>
            <w:r w:rsidRPr="00A52AB8">
              <w:rPr>
                <w:sz w:val="20"/>
              </w:rPr>
              <w:t>}</w:t>
            </w:r>
          </w:p>
        </w:tc>
        <w:tc>
          <w:tcPr>
            <w:tcW w:w="1332" w:type="dxa"/>
          </w:tcPr>
          <w:p w14:paraId="13B632F9" w14:textId="77777777" w:rsidR="00E17286" w:rsidRPr="00A52AB8" w:rsidRDefault="00E17286">
            <w:pPr>
              <w:spacing w:before="20" w:after="40" w:line="240" w:lineRule="auto"/>
              <w:jc w:val="center"/>
              <w:rPr>
                <w:rFonts w:eastAsia="Malgun Gothic"/>
                <w:sz w:val="20"/>
              </w:rPr>
            </w:pPr>
          </w:p>
        </w:tc>
      </w:tr>
    </w:tbl>
    <w:p w14:paraId="3730629A" w14:textId="77777777" w:rsidR="00C61E38" w:rsidRPr="00A52AB8" w:rsidRDefault="00E17286" w:rsidP="009C6742">
      <w:pPr>
        <w:pStyle w:val="a4"/>
        <w:numPr>
          <w:ilvl w:val="3"/>
          <w:numId w:val="19"/>
        </w:numPr>
        <w:spacing w:line="240" w:lineRule="auto"/>
      </w:pPr>
      <w:bookmarkStart w:id="5363" w:name="_Toc38891830"/>
      <w:bookmarkStart w:id="5364" w:name="_Toc39426427"/>
      <w:bookmarkStart w:id="5365" w:name="_Toc42730235"/>
      <w:bookmarkStart w:id="5366" w:name="_Toc45105699"/>
      <w:bookmarkStart w:id="5367" w:name="_Toc45530558"/>
      <w:bookmarkStart w:id="5368" w:name="_Toc46301921"/>
      <w:bookmarkStart w:id="5369" w:name="_Toc46302746"/>
      <w:bookmarkEnd w:id="5363"/>
      <w:bookmarkEnd w:id="5364"/>
      <w:bookmarkEnd w:id="5365"/>
      <w:bookmarkEnd w:id="5366"/>
      <w:bookmarkEnd w:id="5367"/>
      <w:bookmarkEnd w:id="5368"/>
      <w:bookmarkEnd w:id="5369"/>
      <w:r w:rsidRPr="00A52AB8">
        <w:t xml:space="preserve">Object </w:t>
      </w:r>
      <w:r w:rsidR="00D728FB" w:rsidRPr="00A52AB8">
        <w:t>label i</w:t>
      </w:r>
      <w:r w:rsidRPr="00A52AB8">
        <w:t>nformation SEI message syntax</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422"/>
        <w:gridCol w:w="1320"/>
      </w:tblGrid>
      <w:tr w:rsidR="00E17286" w:rsidRPr="00A52AB8" w14:paraId="37EDF793" w14:textId="77777777" w:rsidTr="00A252B5">
        <w:trPr>
          <w:cantSplit/>
          <w:jc w:val="center"/>
        </w:trPr>
        <w:tc>
          <w:tcPr>
            <w:tcW w:w="7921" w:type="dxa"/>
          </w:tcPr>
          <w:p w14:paraId="039D016B" w14:textId="64FB1B9B" w:rsidR="00E17286" w:rsidRPr="00A52AB8" w:rsidRDefault="00E17286" w:rsidP="009C6742">
            <w:pPr>
              <w:spacing w:before="20" w:after="40" w:line="240" w:lineRule="auto"/>
              <w:rPr>
                <w:b/>
                <w:bCs/>
                <w:sz w:val="20"/>
              </w:rPr>
            </w:pPr>
            <w:r w:rsidRPr="00A52AB8">
              <w:rPr>
                <w:sz w:val="20"/>
              </w:rPr>
              <w:t>object_label_information</w:t>
            </w:r>
            <w:r w:rsidRPr="00A52AB8">
              <w:rPr>
                <w:rFonts w:eastAsia="Malgun Gothic"/>
                <w:sz w:val="20"/>
              </w:rPr>
              <w:t>( </w:t>
            </w:r>
            <w:r w:rsidR="0003078F" w:rsidRPr="00A52AB8">
              <w:rPr>
                <w:rFonts w:eastAsia="Malgun Gothic"/>
                <w:sz w:val="20"/>
              </w:rPr>
              <w:t>payloadSize</w:t>
            </w:r>
            <w:r w:rsidR="0003078F" w:rsidRPr="00A52AB8">
              <w:rPr>
                <w:sz w:val="20"/>
              </w:rPr>
              <w:t> </w:t>
            </w:r>
            <w:r w:rsidR="008F1F82" w:rsidRPr="00A52AB8">
              <w:rPr>
                <w:rFonts w:eastAsia="Malgun Gothic"/>
                <w:sz w:val="20"/>
              </w:rPr>
              <w:t>) {</w:t>
            </w:r>
          </w:p>
        </w:tc>
        <w:tc>
          <w:tcPr>
            <w:tcW w:w="1241" w:type="dxa"/>
          </w:tcPr>
          <w:p w14:paraId="394C1C7F" w14:textId="77777777" w:rsidR="00E17286" w:rsidRPr="00A52AB8" w:rsidRDefault="00E17286" w:rsidP="009C6742">
            <w:pPr>
              <w:spacing w:before="20" w:after="40" w:line="240" w:lineRule="auto"/>
              <w:jc w:val="center"/>
              <w:rPr>
                <w:rFonts w:eastAsia="Malgun Gothic"/>
                <w:bCs/>
                <w:sz w:val="20"/>
              </w:rPr>
            </w:pPr>
            <w:r w:rsidRPr="00A52AB8">
              <w:rPr>
                <w:rFonts w:eastAsia="Malgun Gothic"/>
                <w:b/>
                <w:bCs/>
                <w:sz w:val="20"/>
              </w:rPr>
              <w:t>Descriptor</w:t>
            </w:r>
          </w:p>
        </w:tc>
      </w:tr>
      <w:tr w:rsidR="00E17286" w:rsidRPr="00A52AB8" w14:paraId="4BAB24DB" w14:textId="77777777" w:rsidTr="00A252B5">
        <w:trPr>
          <w:cantSplit/>
          <w:jc w:val="center"/>
        </w:trPr>
        <w:tc>
          <w:tcPr>
            <w:tcW w:w="7921" w:type="dxa"/>
          </w:tcPr>
          <w:p w14:paraId="3F3F8829" w14:textId="77777777" w:rsidR="00E17286" w:rsidRPr="00A52AB8" w:rsidRDefault="00E17286" w:rsidP="009C6742">
            <w:pPr>
              <w:spacing w:before="20" w:after="40" w:line="240" w:lineRule="auto"/>
              <w:rPr>
                <w:b/>
                <w:sz w:val="20"/>
              </w:rPr>
            </w:pPr>
            <w:r w:rsidRPr="00A52AB8">
              <w:rPr>
                <w:rFonts w:eastAsia="Malgun Gothic"/>
                <w:b/>
                <w:bCs/>
                <w:sz w:val="20"/>
              </w:rPr>
              <w:tab/>
              <w:t>oli_cancel_flag</w:t>
            </w:r>
          </w:p>
        </w:tc>
        <w:tc>
          <w:tcPr>
            <w:tcW w:w="1241" w:type="dxa"/>
          </w:tcPr>
          <w:p w14:paraId="03576ADC" w14:textId="77777777" w:rsidR="00E17286" w:rsidRPr="00A52AB8" w:rsidRDefault="00E17286" w:rsidP="009C6742">
            <w:pPr>
              <w:spacing w:before="20" w:after="40" w:line="240" w:lineRule="auto"/>
              <w:jc w:val="center"/>
              <w:rPr>
                <w:bCs/>
                <w:sz w:val="20"/>
              </w:rPr>
            </w:pPr>
            <w:r w:rsidRPr="00A52AB8">
              <w:rPr>
                <w:rFonts w:eastAsia="Malgun Gothic"/>
                <w:sz w:val="20"/>
              </w:rPr>
              <w:t>u(1)</w:t>
            </w:r>
          </w:p>
        </w:tc>
      </w:tr>
      <w:tr w:rsidR="00E17286" w:rsidRPr="00A52AB8" w14:paraId="4713178D" w14:textId="77777777" w:rsidTr="00A252B5">
        <w:trPr>
          <w:cantSplit/>
          <w:jc w:val="center"/>
        </w:trPr>
        <w:tc>
          <w:tcPr>
            <w:tcW w:w="7921" w:type="dxa"/>
          </w:tcPr>
          <w:p w14:paraId="7FB1C277" w14:textId="27EBA48D" w:rsidR="00E17286" w:rsidRPr="00A52AB8" w:rsidRDefault="00E17286" w:rsidP="009C6742">
            <w:pPr>
              <w:spacing w:before="20" w:after="40" w:line="240" w:lineRule="auto"/>
              <w:rPr>
                <w:bCs/>
                <w:sz w:val="20"/>
              </w:rPr>
            </w:pPr>
            <w:r w:rsidRPr="00A52AB8">
              <w:rPr>
                <w:bCs/>
                <w:sz w:val="20"/>
              </w:rPr>
              <w:tab/>
              <w:t>if(</w:t>
            </w:r>
            <w:r w:rsidR="00D63ACE" w:rsidRPr="00A52AB8">
              <w:rPr>
                <w:bCs/>
                <w:sz w:val="20"/>
              </w:rPr>
              <w:t> </w:t>
            </w:r>
            <w:r w:rsidRPr="00A52AB8">
              <w:rPr>
                <w:bCs/>
                <w:sz w:val="20"/>
              </w:rPr>
              <w:t>!oli_cancel_flag</w:t>
            </w:r>
            <w:r w:rsidR="00D63ACE" w:rsidRPr="00A52AB8">
              <w:rPr>
                <w:bCs/>
                <w:sz w:val="20"/>
              </w:rPr>
              <w:t> </w:t>
            </w:r>
            <w:r w:rsidR="008F1F82" w:rsidRPr="00A52AB8">
              <w:rPr>
                <w:bCs/>
                <w:sz w:val="20"/>
              </w:rPr>
              <w:t>) {</w:t>
            </w:r>
          </w:p>
        </w:tc>
        <w:tc>
          <w:tcPr>
            <w:tcW w:w="1241" w:type="dxa"/>
          </w:tcPr>
          <w:p w14:paraId="617E586C" w14:textId="77777777" w:rsidR="00E17286" w:rsidRPr="00A52AB8" w:rsidRDefault="00E17286" w:rsidP="009C6742">
            <w:pPr>
              <w:spacing w:before="20" w:after="40" w:line="240" w:lineRule="auto"/>
              <w:jc w:val="center"/>
              <w:rPr>
                <w:rFonts w:eastAsia="Malgun Gothic"/>
                <w:sz w:val="20"/>
              </w:rPr>
            </w:pPr>
          </w:p>
        </w:tc>
      </w:tr>
      <w:tr w:rsidR="00E17286" w:rsidRPr="00A52AB8" w14:paraId="367A15CD" w14:textId="77777777" w:rsidTr="00A252B5">
        <w:trPr>
          <w:cantSplit/>
          <w:jc w:val="center"/>
        </w:trPr>
        <w:tc>
          <w:tcPr>
            <w:tcW w:w="7921" w:type="dxa"/>
          </w:tcPr>
          <w:p w14:paraId="427B60C7" w14:textId="77777777" w:rsidR="00E17286" w:rsidRPr="00A52AB8" w:rsidRDefault="00E17286" w:rsidP="009C6742">
            <w:pPr>
              <w:spacing w:before="20" w:after="40" w:line="240" w:lineRule="auto"/>
              <w:rPr>
                <w:b/>
                <w:bCs/>
                <w:sz w:val="20"/>
              </w:rPr>
            </w:pPr>
            <w:r w:rsidRPr="00A52AB8">
              <w:rPr>
                <w:b/>
                <w:bCs/>
                <w:sz w:val="20"/>
              </w:rPr>
              <w:tab/>
            </w:r>
            <w:r w:rsidRPr="00A52AB8">
              <w:rPr>
                <w:b/>
                <w:bCs/>
                <w:sz w:val="20"/>
              </w:rPr>
              <w:tab/>
              <w:t>oli</w:t>
            </w:r>
            <w:r w:rsidRPr="00A52AB8">
              <w:rPr>
                <w:b/>
                <w:sz w:val="20"/>
              </w:rPr>
              <w:t>_</w:t>
            </w:r>
            <w:r w:rsidRPr="00A52AB8">
              <w:rPr>
                <w:b/>
                <w:bCs/>
                <w:sz w:val="20"/>
              </w:rPr>
              <w:t>label_language_present_flag</w:t>
            </w:r>
          </w:p>
        </w:tc>
        <w:tc>
          <w:tcPr>
            <w:tcW w:w="1241" w:type="dxa"/>
          </w:tcPr>
          <w:p w14:paraId="123C82FE" w14:textId="77777777" w:rsidR="00E17286" w:rsidRPr="00A52AB8" w:rsidRDefault="00E17286" w:rsidP="009C6742">
            <w:pPr>
              <w:spacing w:before="20" w:after="40" w:line="240" w:lineRule="auto"/>
              <w:jc w:val="center"/>
              <w:rPr>
                <w:rFonts w:eastAsia="Malgun Gothic"/>
                <w:bCs/>
                <w:sz w:val="20"/>
              </w:rPr>
            </w:pPr>
            <w:r w:rsidRPr="00A52AB8">
              <w:rPr>
                <w:bCs/>
                <w:sz w:val="20"/>
              </w:rPr>
              <w:t>u(1)</w:t>
            </w:r>
          </w:p>
        </w:tc>
      </w:tr>
      <w:tr w:rsidR="00E17286" w:rsidRPr="00A52AB8" w14:paraId="7CBDC16F" w14:textId="77777777" w:rsidTr="00A252B5">
        <w:trPr>
          <w:cantSplit/>
          <w:jc w:val="center"/>
        </w:trPr>
        <w:tc>
          <w:tcPr>
            <w:tcW w:w="7921" w:type="dxa"/>
          </w:tcPr>
          <w:p w14:paraId="04A336EA" w14:textId="7EEEDB97" w:rsidR="00E17286" w:rsidRPr="00A52AB8" w:rsidRDefault="00E17286" w:rsidP="009C6742">
            <w:pPr>
              <w:spacing w:before="20" w:after="40" w:line="240" w:lineRule="auto"/>
              <w:rPr>
                <w:b/>
                <w:bCs/>
                <w:sz w:val="20"/>
              </w:rPr>
            </w:pPr>
            <w:r w:rsidRPr="00A52AB8">
              <w:rPr>
                <w:b/>
                <w:bCs/>
                <w:sz w:val="20"/>
              </w:rPr>
              <w:tab/>
            </w:r>
            <w:r w:rsidRPr="00A52AB8">
              <w:rPr>
                <w:b/>
                <w:bCs/>
                <w:sz w:val="20"/>
              </w:rPr>
              <w:tab/>
            </w:r>
            <w:r w:rsidRPr="00A52AB8">
              <w:rPr>
                <w:sz w:val="20"/>
              </w:rPr>
              <w:t>if( oli_label_language_present_flag </w:t>
            </w:r>
            <w:r w:rsidR="008F1F82" w:rsidRPr="00A52AB8">
              <w:rPr>
                <w:sz w:val="20"/>
              </w:rPr>
              <w:t>) {</w:t>
            </w:r>
          </w:p>
        </w:tc>
        <w:tc>
          <w:tcPr>
            <w:tcW w:w="1241" w:type="dxa"/>
          </w:tcPr>
          <w:p w14:paraId="047E4F88" w14:textId="77777777" w:rsidR="00E17286" w:rsidRPr="00A52AB8" w:rsidRDefault="00E17286" w:rsidP="009C6742">
            <w:pPr>
              <w:spacing w:before="20" w:after="40" w:line="240" w:lineRule="auto"/>
              <w:jc w:val="center"/>
              <w:rPr>
                <w:rFonts w:eastAsia="Malgun Gothic"/>
                <w:bCs/>
                <w:sz w:val="20"/>
              </w:rPr>
            </w:pPr>
          </w:p>
        </w:tc>
      </w:tr>
      <w:tr w:rsidR="00E17286" w:rsidRPr="00A52AB8" w14:paraId="45ADC194" w14:textId="77777777" w:rsidTr="00A252B5">
        <w:trPr>
          <w:cantSplit/>
          <w:jc w:val="center"/>
        </w:trPr>
        <w:tc>
          <w:tcPr>
            <w:tcW w:w="7921" w:type="dxa"/>
          </w:tcPr>
          <w:p w14:paraId="16B2C5E6" w14:textId="035D4088" w:rsidR="00E17286" w:rsidRPr="00A52AB8" w:rsidRDefault="00E17286" w:rsidP="009C6742">
            <w:pPr>
              <w:spacing w:before="20" w:after="40" w:line="240" w:lineRule="auto"/>
              <w:rPr>
                <w:b/>
                <w:bCs/>
                <w:sz w:val="20"/>
              </w:rPr>
            </w:pPr>
            <w:r w:rsidRPr="00A52AB8">
              <w:rPr>
                <w:b/>
                <w:bCs/>
                <w:sz w:val="20"/>
              </w:rPr>
              <w:tab/>
            </w:r>
            <w:r w:rsidRPr="00A52AB8">
              <w:rPr>
                <w:b/>
                <w:bCs/>
                <w:sz w:val="20"/>
              </w:rPr>
              <w:tab/>
            </w:r>
            <w:r w:rsidRPr="00A52AB8">
              <w:rPr>
                <w:b/>
                <w:bCs/>
                <w:sz w:val="20"/>
              </w:rPr>
              <w:tab/>
            </w:r>
            <w:r w:rsidRPr="00A52AB8">
              <w:rPr>
                <w:sz w:val="20"/>
              </w:rPr>
              <w:t>while(</w:t>
            </w:r>
            <w:r w:rsidR="00B25149" w:rsidRPr="00A52AB8">
              <w:rPr>
                <w:sz w:val="20"/>
              </w:rPr>
              <w:t> </w:t>
            </w:r>
            <w:r w:rsidRPr="00A52AB8">
              <w:rPr>
                <w:sz w:val="20"/>
              </w:rPr>
              <w:t>!byte_aligned(</w:t>
            </w:r>
            <w:r w:rsidR="00B25149" w:rsidRPr="00A52AB8">
              <w:rPr>
                <w:sz w:val="20"/>
              </w:rPr>
              <w:t> </w:t>
            </w:r>
            <w:r w:rsidRPr="00A52AB8">
              <w:rPr>
                <w:sz w:val="20"/>
              </w:rPr>
              <w:t>)</w:t>
            </w:r>
            <w:r w:rsidR="00B25149" w:rsidRPr="00A52AB8">
              <w:rPr>
                <w:sz w:val="20"/>
              </w:rPr>
              <w:t> </w:t>
            </w:r>
            <w:r w:rsidRPr="00A52AB8">
              <w:rPr>
                <w:sz w:val="20"/>
              </w:rPr>
              <w:t>)</w:t>
            </w:r>
          </w:p>
        </w:tc>
        <w:tc>
          <w:tcPr>
            <w:tcW w:w="1241" w:type="dxa"/>
          </w:tcPr>
          <w:p w14:paraId="635EC4B8" w14:textId="77777777" w:rsidR="00E17286" w:rsidRPr="00A52AB8" w:rsidRDefault="00E17286" w:rsidP="009C6742">
            <w:pPr>
              <w:spacing w:before="20" w:after="40" w:line="240" w:lineRule="auto"/>
              <w:jc w:val="center"/>
              <w:rPr>
                <w:rFonts w:eastAsia="Malgun Gothic"/>
                <w:bCs/>
                <w:sz w:val="20"/>
              </w:rPr>
            </w:pPr>
          </w:p>
        </w:tc>
      </w:tr>
      <w:tr w:rsidR="00E17286" w:rsidRPr="00A52AB8" w14:paraId="2434A009" w14:textId="77777777" w:rsidTr="00A252B5">
        <w:trPr>
          <w:cantSplit/>
          <w:jc w:val="center"/>
        </w:trPr>
        <w:tc>
          <w:tcPr>
            <w:tcW w:w="7921" w:type="dxa"/>
          </w:tcPr>
          <w:p w14:paraId="35E81279" w14:textId="77777777" w:rsidR="00E17286" w:rsidRPr="00A52AB8" w:rsidRDefault="00E17286" w:rsidP="009C6742">
            <w:pPr>
              <w:spacing w:before="20" w:after="40" w:line="240" w:lineRule="auto"/>
              <w:rPr>
                <w:b/>
                <w:bCs/>
                <w:sz w:val="20"/>
              </w:rPr>
            </w:pPr>
            <w:r w:rsidRPr="00A52AB8">
              <w:rPr>
                <w:b/>
                <w:bCs/>
                <w:sz w:val="20"/>
              </w:rPr>
              <w:tab/>
            </w:r>
            <w:r w:rsidRPr="00A52AB8">
              <w:rPr>
                <w:b/>
                <w:bCs/>
                <w:sz w:val="20"/>
              </w:rPr>
              <w:tab/>
            </w:r>
            <w:r w:rsidRPr="00A52AB8">
              <w:rPr>
                <w:b/>
                <w:bCs/>
                <w:sz w:val="20"/>
              </w:rPr>
              <w:tab/>
            </w:r>
            <w:r w:rsidRPr="00A52AB8">
              <w:rPr>
                <w:b/>
                <w:bCs/>
                <w:sz w:val="20"/>
              </w:rPr>
              <w:tab/>
              <w:t>oli_bit_equal_to_zero</w:t>
            </w:r>
            <w:r w:rsidRPr="00A52AB8">
              <w:rPr>
                <w:bCs/>
                <w:sz w:val="20"/>
              </w:rPr>
              <w:t xml:space="preserve"> </w:t>
            </w:r>
            <w:r w:rsidRPr="00A52AB8">
              <w:rPr>
                <w:sz w:val="20"/>
              </w:rPr>
              <w:t>/* equal to 0 */</w:t>
            </w:r>
          </w:p>
        </w:tc>
        <w:tc>
          <w:tcPr>
            <w:tcW w:w="1241" w:type="dxa"/>
          </w:tcPr>
          <w:p w14:paraId="23197F48" w14:textId="77777777" w:rsidR="00E17286" w:rsidRPr="00A52AB8" w:rsidRDefault="00E17286" w:rsidP="009C6742">
            <w:pPr>
              <w:spacing w:before="20" w:after="40" w:line="240" w:lineRule="auto"/>
              <w:jc w:val="center"/>
              <w:rPr>
                <w:rFonts w:eastAsia="Malgun Gothic"/>
                <w:bCs/>
                <w:sz w:val="20"/>
              </w:rPr>
            </w:pPr>
            <w:r w:rsidRPr="00A52AB8">
              <w:rPr>
                <w:bCs/>
                <w:sz w:val="20"/>
              </w:rPr>
              <w:t>f(1)</w:t>
            </w:r>
          </w:p>
        </w:tc>
      </w:tr>
      <w:tr w:rsidR="00E17286" w:rsidRPr="00A52AB8" w14:paraId="0BD66D25" w14:textId="77777777" w:rsidTr="00A252B5">
        <w:trPr>
          <w:cantSplit/>
          <w:jc w:val="center"/>
        </w:trPr>
        <w:tc>
          <w:tcPr>
            <w:tcW w:w="7921" w:type="dxa"/>
          </w:tcPr>
          <w:p w14:paraId="11EC3990" w14:textId="77777777" w:rsidR="00E17286" w:rsidRPr="00A52AB8" w:rsidRDefault="00E17286" w:rsidP="009C6742">
            <w:pPr>
              <w:spacing w:before="20" w:after="40" w:line="240" w:lineRule="auto"/>
              <w:rPr>
                <w:b/>
                <w:bCs/>
                <w:sz w:val="20"/>
              </w:rPr>
            </w:pPr>
            <w:r w:rsidRPr="00A52AB8">
              <w:rPr>
                <w:b/>
                <w:bCs/>
                <w:sz w:val="20"/>
              </w:rPr>
              <w:tab/>
            </w:r>
            <w:r w:rsidRPr="00A52AB8">
              <w:rPr>
                <w:b/>
                <w:bCs/>
                <w:sz w:val="20"/>
              </w:rPr>
              <w:tab/>
            </w:r>
            <w:r w:rsidRPr="00A52AB8">
              <w:rPr>
                <w:b/>
                <w:bCs/>
                <w:sz w:val="20"/>
              </w:rPr>
              <w:tab/>
              <w:t>ol</w:t>
            </w:r>
            <w:r w:rsidRPr="00A52AB8">
              <w:rPr>
                <w:b/>
                <w:sz w:val="20"/>
              </w:rPr>
              <w:t>i_label_language</w:t>
            </w:r>
          </w:p>
        </w:tc>
        <w:tc>
          <w:tcPr>
            <w:tcW w:w="1241" w:type="dxa"/>
          </w:tcPr>
          <w:p w14:paraId="2E68F6F2" w14:textId="77777777" w:rsidR="00E17286" w:rsidRPr="00A52AB8" w:rsidRDefault="00E17286" w:rsidP="009C6742">
            <w:pPr>
              <w:spacing w:before="20" w:after="40" w:line="240" w:lineRule="auto"/>
              <w:jc w:val="center"/>
              <w:rPr>
                <w:rFonts w:eastAsia="Malgun Gothic"/>
                <w:bCs/>
                <w:sz w:val="20"/>
              </w:rPr>
            </w:pPr>
            <w:r w:rsidRPr="00A52AB8">
              <w:rPr>
                <w:rFonts w:eastAsia="Malgun Gothic"/>
                <w:bCs/>
                <w:sz w:val="20"/>
              </w:rPr>
              <w:t>st(v)</w:t>
            </w:r>
          </w:p>
        </w:tc>
      </w:tr>
      <w:tr w:rsidR="00E17286" w:rsidRPr="00A52AB8" w14:paraId="2AFE56D5" w14:textId="77777777" w:rsidTr="00A252B5">
        <w:trPr>
          <w:cantSplit/>
          <w:jc w:val="center"/>
        </w:trPr>
        <w:tc>
          <w:tcPr>
            <w:tcW w:w="7921" w:type="dxa"/>
          </w:tcPr>
          <w:p w14:paraId="3C25E601" w14:textId="77777777" w:rsidR="00E17286" w:rsidRPr="00A52AB8" w:rsidRDefault="00E17286" w:rsidP="009C6742">
            <w:pPr>
              <w:spacing w:before="20" w:after="40" w:line="240" w:lineRule="auto"/>
              <w:rPr>
                <w:b/>
                <w:bCs/>
                <w:sz w:val="20"/>
              </w:rPr>
            </w:pPr>
            <w:r w:rsidRPr="00A52AB8">
              <w:rPr>
                <w:b/>
                <w:bCs/>
                <w:sz w:val="20"/>
              </w:rPr>
              <w:tab/>
            </w:r>
            <w:r w:rsidRPr="00A52AB8">
              <w:rPr>
                <w:b/>
                <w:bCs/>
                <w:sz w:val="20"/>
              </w:rPr>
              <w:tab/>
            </w:r>
            <w:r w:rsidRPr="00A52AB8">
              <w:rPr>
                <w:sz w:val="20"/>
              </w:rPr>
              <w:t>}</w:t>
            </w:r>
          </w:p>
        </w:tc>
        <w:tc>
          <w:tcPr>
            <w:tcW w:w="1241" w:type="dxa"/>
          </w:tcPr>
          <w:p w14:paraId="14F58BBC" w14:textId="77777777" w:rsidR="00E17286" w:rsidRPr="00A52AB8" w:rsidRDefault="00E17286" w:rsidP="009C6742">
            <w:pPr>
              <w:spacing w:before="20" w:after="40" w:line="240" w:lineRule="auto"/>
              <w:jc w:val="center"/>
              <w:rPr>
                <w:rFonts w:eastAsia="Malgun Gothic"/>
                <w:bCs/>
                <w:sz w:val="20"/>
              </w:rPr>
            </w:pPr>
          </w:p>
        </w:tc>
      </w:tr>
      <w:tr w:rsidR="00E17286" w:rsidRPr="00A52AB8" w14:paraId="6EC8900C" w14:textId="77777777" w:rsidTr="00A252B5">
        <w:trPr>
          <w:cantSplit/>
          <w:jc w:val="center"/>
        </w:trPr>
        <w:tc>
          <w:tcPr>
            <w:tcW w:w="7921" w:type="dxa"/>
          </w:tcPr>
          <w:p w14:paraId="7A55F14F" w14:textId="77777777" w:rsidR="00E17286" w:rsidRPr="00A52AB8" w:rsidRDefault="00E17286" w:rsidP="009C6742">
            <w:pPr>
              <w:spacing w:before="20" w:after="40" w:line="240" w:lineRule="auto"/>
              <w:rPr>
                <w:b/>
                <w:bCs/>
                <w:sz w:val="20"/>
              </w:rPr>
            </w:pPr>
            <w:r w:rsidRPr="00A52AB8">
              <w:rPr>
                <w:b/>
                <w:bCs/>
                <w:sz w:val="20"/>
              </w:rPr>
              <w:tab/>
            </w:r>
            <w:r w:rsidRPr="00A52AB8">
              <w:rPr>
                <w:b/>
                <w:bCs/>
                <w:sz w:val="20"/>
              </w:rPr>
              <w:tab/>
              <w:t>oli_num_label_updates</w:t>
            </w:r>
          </w:p>
        </w:tc>
        <w:tc>
          <w:tcPr>
            <w:tcW w:w="1241" w:type="dxa"/>
          </w:tcPr>
          <w:p w14:paraId="4E174BED" w14:textId="77777777" w:rsidR="00E17286" w:rsidRPr="00A52AB8" w:rsidRDefault="00E17286" w:rsidP="009C6742">
            <w:pPr>
              <w:spacing w:before="20" w:after="40" w:line="240" w:lineRule="auto"/>
              <w:jc w:val="center"/>
              <w:rPr>
                <w:rFonts w:eastAsia="Malgun Gothic"/>
                <w:bCs/>
                <w:sz w:val="20"/>
              </w:rPr>
            </w:pPr>
            <w:r w:rsidRPr="00A52AB8">
              <w:rPr>
                <w:rFonts w:eastAsia="Malgun Gothic"/>
                <w:bCs/>
                <w:sz w:val="20"/>
              </w:rPr>
              <w:t>ue(v)</w:t>
            </w:r>
          </w:p>
        </w:tc>
      </w:tr>
      <w:tr w:rsidR="00E17286" w:rsidRPr="00A52AB8" w14:paraId="1D43A928" w14:textId="77777777" w:rsidTr="00A252B5">
        <w:trPr>
          <w:cantSplit/>
          <w:jc w:val="center"/>
        </w:trPr>
        <w:tc>
          <w:tcPr>
            <w:tcW w:w="7921" w:type="dxa"/>
          </w:tcPr>
          <w:p w14:paraId="1F4B0B1B" w14:textId="792E6AE8" w:rsidR="00E17286" w:rsidRPr="00A52AB8" w:rsidRDefault="00E17286" w:rsidP="009C6742">
            <w:pPr>
              <w:spacing w:before="20" w:after="40" w:line="240" w:lineRule="auto"/>
              <w:rPr>
                <w:rFonts w:eastAsia="Malgun Gothic"/>
                <w:b/>
                <w:sz w:val="20"/>
              </w:rPr>
            </w:pPr>
            <w:r w:rsidRPr="00A52AB8">
              <w:rPr>
                <w:b/>
                <w:bCs/>
                <w:sz w:val="20"/>
              </w:rPr>
              <w:tab/>
            </w:r>
            <w:r w:rsidRPr="00A52AB8">
              <w:rPr>
                <w:b/>
                <w:bCs/>
                <w:sz w:val="20"/>
              </w:rPr>
              <w:tab/>
            </w:r>
            <w:r w:rsidRPr="00A52AB8">
              <w:rPr>
                <w:bCs/>
                <w:sz w:val="20"/>
              </w:rPr>
              <w:t>for( i</w:t>
            </w:r>
            <w:r w:rsidR="0023721F" w:rsidRPr="00A52AB8">
              <w:rPr>
                <w:bCs/>
                <w:sz w:val="20"/>
              </w:rPr>
              <w:t> </w:t>
            </w:r>
            <w:r w:rsidR="00D47707" w:rsidRPr="00A52AB8">
              <w:rPr>
                <w:bCs/>
                <w:sz w:val="20"/>
              </w:rPr>
              <w:t>= </w:t>
            </w:r>
            <w:r w:rsidRPr="00A52AB8">
              <w:rPr>
                <w:bCs/>
                <w:sz w:val="20"/>
              </w:rPr>
              <w:t>0; i &lt; oli_num_label_updates</w:t>
            </w:r>
            <w:r w:rsidRPr="00A52AB8">
              <w:rPr>
                <w:b/>
                <w:bCs/>
                <w:sz w:val="20"/>
              </w:rPr>
              <w:t> </w:t>
            </w:r>
            <w:r w:rsidRPr="00A52AB8">
              <w:rPr>
                <w:bCs/>
                <w:sz w:val="20"/>
              </w:rPr>
              <w:t>; i</w:t>
            </w:r>
            <w:r w:rsidR="00006CCF" w:rsidRPr="00A52AB8">
              <w:rPr>
                <w:bCs/>
                <w:sz w:val="20"/>
              </w:rPr>
              <w:t>++ </w:t>
            </w:r>
            <w:r w:rsidR="008F1F82" w:rsidRPr="00A52AB8">
              <w:rPr>
                <w:bCs/>
                <w:sz w:val="20"/>
              </w:rPr>
              <w:t>) {</w:t>
            </w:r>
          </w:p>
        </w:tc>
        <w:tc>
          <w:tcPr>
            <w:tcW w:w="1241" w:type="dxa"/>
          </w:tcPr>
          <w:p w14:paraId="1CF5D045" w14:textId="77777777" w:rsidR="00E17286" w:rsidRPr="00A52AB8" w:rsidRDefault="00E17286" w:rsidP="009C6742">
            <w:pPr>
              <w:spacing w:before="20" w:after="40" w:line="240" w:lineRule="auto"/>
              <w:jc w:val="center"/>
              <w:rPr>
                <w:rFonts w:eastAsia="Malgun Gothic"/>
                <w:bCs/>
                <w:sz w:val="20"/>
              </w:rPr>
            </w:pPr>
          </w:p>
        </w:tc>
      </w:tr>
      <w:tr w:rsidR="00E17286" w:rsidRPr="00A52AB8" w14:paraId="20EDEFDB" w14:textId="77777777" w:rsidTr="00A252B5">
        <w:trPr>
          <w:cantSplit/>
          <w:jc w:val="center"/>
        </w:trPr>
        <w:tc>
          <w:tcPr>
            <w:tcW w:w="7921" w:type="dxa"/>
          </w:tcPr>
          <w:p w14:paraId="47BD1EF3" w14:textId="77777777" w:rsidR="00E17286" w:rsidRPr="00A52AB8" w:rsidRDefault="00E17286" w:rsidP="009C6742">
            <w:pPr>
              <w:spacing w:before="20" w:after="40" w:line="240" w:lineRule="auto"/>
              <w:rPr>
                <w:b/>
                <w:bCs/>
                <w:sz w:val="20"/>
              </w:rPr>
            </w:pPr>
            <w:r w:rsidRPr="00A52AB8">
              <w:rPr>
                <w:b/>
                <w:bCs/>
                <w:sz w:val="20"/>
              </w:rPr>
              <w:tab/>
            </w:r>
            <w:r w:rsidRPr="00A52AB8">
              <w:rPr>
                <w:b/>
                <w:bCs/>
                <w:sz w:val="20"/>
              </w:rPr>
              <w:tab/>
            </w:r>
            <w:r w:rsidRPr="00A52AB8">
              <w:rPr>
                <w:b/>
                <w:bCs/>
                <w:sz w:val="20"/>
              </w:rPr>
              <w:tab/>
              <w:t>oli_label_idx</w:t>
            </w:r>
            <w:r w:rsidR="001F4484" w:rsidRPr="00A52AB8">
              <w:rPr>
                <w:sz w:val="20"/>
              </w:rPr>
              <w:t>[ i ]</w:t>
            </w:r>
          </w:p>
        </w:tc>
        <w:tc>
          <w:tcPr>
            <w:tcW w:w="1241" w:type="dxa"/>
          </w:tcPr>
          <w:p w14:paraId="3D592BB1" w14:textId="77777777" w:rsidR="00E17286" w:rsidRPr="00A52AB8" w:rsidRDefault="00E17286" w:rsidP="009C6742">
            <w:pPr>
              <w:spacing w:before="20" w:after="40" w:line="240" w:lineRule="auto"/>
              <w:jc w:val="center"/>
              <w:rPr>
                <w:rFonts w:eastAsia="Malgun Gothic"/>
                <w:bCs/>
                <w:sz w:val="20"/>
              </w:rPr>
            </w:pPr>
            <w:r w:rsidRPr="00A52AB8">
              <w:rPr>
                <w:sz w:val="20"/>
              </w:rPr>
              <w:t>ue(v)</w:t>
            </w:r>
          </w:p>
        </w:tc>
      </w:tr>
      <w:tr w:rsidR="00155AA8" w:rsidRPr="00A52AB8" w14:paraId="2C546F02" w14:textId="77777777" w:rsidTr="00A252B5">
        <w:trPr>
          <w:cantSplit/>
          <w:jc w:val="center"/>
        </w:trPr>
        <w:tc>
          <w:tcPr>
            <w:tcW w:w="7921" w:type="dxa"/>
          </w:tcPr>
          <w:p w14:paraId="12FA0C6B" w14:textId="04C830AF" w:rsidR="00155AA8" w:rsidRPr="00A52AB8" w:rsidRDefault="00155AA8" w:rsidP="009C6742">
            <w:pPr>
              <w:spacing w:before="20" w:after="40" w:line="240" w:lineRule="auto"/>
              <w:rPr>
                <w:sz w:val="20"/>
              </w:rPr>
            </w:pPr>
            <w:r w:rsidRPr="00A52AB8">
              <w:rPr>
                <w:b/>
                <w:bCs/>
                <w:sz w:val="20"/>
              </w:rPr>
              <w:tab/>
            </w:r>
            <w:r w:rsidRPr="00A52AB8">
              <w:rPr>
                <w:b/>
                <w:bCs/>
                <w:sz w:val="20"/>
              </w:rPr>
              <w:tab/>
            </w:r>
            <w:r w:rsidRPr="00A52AB8">
              <w:rPr>
                <w:b/>
                <w:bCs/>
                <w:sz w:val="20"/>
              </w:rPr>
              <w:tab/>
            </w:r>
            <w:r w:rsidRPr="00A52AB8">
              <w:rPr>
                <w:sz w:val="20"/>
              </w:rPr>
              <w:t>k</w:t>
            </w:r>
            <w:r w:rsidR="00D47707" w:rsidRPr="00A52AB8">
              <w:rPr>
                <w:sz w:val="20"/>
              </w:rPr>
              <w:t> = </w:t>
            </w:r>
            <w:r w:rsidRPr="00A52AB8">
              <w:rPr>
                <w:sz w:val="20"/>
              </w:rPr>
              <w:t>oli_label_idx[ i ]</w:t>
            </w:r>
          </w:p>
        </w:tc>
        <w:tc>
          <w:tcPr>
            <w:tcW w:w="1241" w:type="dxa"/>
          </w:tcPr>
          <w:p w14:paraId="1DBB0FA8" w14:textId="77777777" w:rsidR="00155AA8" w:rsidRPr="00A52AB8" w:rsidRDefault="00155AA8" w:rsidP="009C6742">
            <w:pPr>
              <w:spacing w:before="20" w:after="40" w:line="240" w:lineRule="auto"/>
              <w:jc w:val="center"/>
              <w:rPr>
                <w:sz w:val="20"/>
              </w:rPr>
            </w:pPr>
          </w:p>
        </w:tc>
      </w:tr>
      <w:tr w:rsidR="00E17286" w:rsidRPr="00A52AB8" w14:paraId="44036DF0" w14:textId="77777777" w:rsidTr="00A252B5">
        <w:trPr>
          <w:cantSplit/>
          <w:jc w:val="center"/>
        </w:trPr>
        <w:tc>
          <w:tcPr>
            <w:tcW w:w="7921" w:type="dxa"/>
          </w:tcPr>
          <w:p w14:paraId="63177421" w14:textId="2B81654B" w:rsidR="00E17286" w:rsidRPr="00A52AB8" w:rsidRDefault="00E17286" w:rsidP="009C6742">
            <w:pPr>
              <w:spacing w:before="20" w:after="40" w:line="240" w:lineRule="auto"/>
              <w:rPr>
                <w:b/>
                <w:bCs/>
                <w:sz w:val="20"/>
              </w:rPr>
            </w:pPr>
            <w:r w:rsidRPr="00A52AB8">
              <w:rPr>
                <w:b/>
                <w:bCs/>
                <w:sz w:val="20"/>
              </w:rPr>
              <w:tab/>
            </w:r>
            <w:r w:rsidRPr="00A52AB8">
              <w:rPr>
                <w:b/>
                <w:bCs/>
                <w:sz w:val="20"/>
              </w:rPr>
              <w:tab/>
            </w:r>
            <w:r w:rsidRPr="00A52AB8">
              <w:rPr>
                <w:b/>
                <w:bCs/>
                <w:sz w:val="20"/>
              </w:rPr>
              <w:tab/>
              <w:t>oli_label_cancel_flag</w:t>
            </w:r>
            <w:r w:rsidR="008921CA" w:rsidRPr="00A52AB8">
              <w:rPr>
                <w:sz w:val="20"/>
              </w:rPr>
              <w:t>[ </w:t>
            </w:r>
            <w:r w:rsidR="00155AA8" w:rsidRPr="00A52AB8">
              <w:rPr>
                <w:sz w:val="20"/>
              </w:rPr>
              <w:t>k</w:t>
            </w:r>
            <w:r w:rsidR="008921CA" w:rsidRPr="00A52AB8">
              <w:rPr>
                <w:sz w:val="20"/>
              </w:rPr>
              <w:t> ]</w:t>
            </w:r>
          </w:p>
        </w:tc>
        <w:tc>
          <w:tcPr>
            <w:tcW w:w="1241" w:type="dxa"/>
          </w:tcPr>
          <w:p w14:paraId="15CF1272" w14:textId="77777777" w:rsidR="00E17286" w:rsidRPr="00A52AB8" w:rsidRDefault="00E17286" w:rsidP="009C6742">
            <w:pPr>
              <w:spacing w:before="20" w:after="40" w:line="240" w:lineRule="auto"/>
              <w:jc w:val="center"/>
              <w:rPr>
                <w:rFonts w:eastAsia="Malgun Gothic"/>
                <w:bCs/>
                <w:sz w:val="20"/>
              </w:rPr>
            </w:pPr>
            <w:r w:rsidRPr="00A52AB8">
              <w:rPr>
                <w:sz w:val="20"/>
              </w:rPr>
              <w:t>u(1)</w:t>
            </w:r>
          </w:p>
        </w:tc>
      </w:tr>
      <w:tr w:rsidR="00E17286" w:rsidRPr="00A52AB8" w14:paraId="6B891340" w14:textId="77777777" w:rsidTr="00A252B5">
        <w:trPr>
          <w:cantSplit/>
          <w:jc w:val="center"/>
        </w:trPr>
        <w:tc>
          <w:tcPr>
            <w:tcW w:w="7921" w:type="dxa"/>
          </w:tcPr>
          <w:p w14:paraId="529D77D0" w14:textId="0D9C5105" w:rsidR="00E17286" w:rsidRPr="00A52AB8" w:rsidRDefault="00E17286" w:rsidP="009C6742">
            <w:pPr>
              <w:spacing w:before="20" w:after="40" w:line="240" w:lineRule="auto"/>
              <w:rPr>
                <w:b/>
                <w:bCs/>
                <w:sz w:val="20"/>
              </w:rPr>
            </w:pPr>
            <w:r w:rsidRPr="00A52AB8">
              <w:rPr>
                <w:bCs/>
                <w:sz w:val="20"/>
              </w:rPr>
              <w:tab/>
            </w:r>
            <w:r w:rsidRPr="00A52AB8">
              <w:rPr>
                <w:bCs/>
                <w:sz w:val="20"/>
              </w:rPr>
              <w:tab/>
            </w:r>
            <w:r w:rsidRPr="00A52AB8">
              <w:rPr>
                <w:bCs/>
                <w:sz w:val="20"/>
              </w:rPr>
              <w:tab/>
            </w:r>
            <w:r w:rsidR="00B25149" w:rsidRPr="00A52AB8">
              <w:rPr>
                <w:bCs/>
                <w:sz w:val="20"/>
              </w:rPr>
              <w:t>LabelSetFlag</w:t>
            </w:r>
            <w:r w:rsidRPr="00A52AB8">
              <w:rPr>
                <w:bCs/>
                <w:sz w:val="20"/>
              </w:rPr>
              <w:t>[</w:t>
            </w:r>
            <w:r w:rsidR="00106885" w:rsidRPr="00A52AB8">
              <w:rPr>
                <w:bCs/>
                <w:sz w:val="20"/>
              </w:rPr>
              <w:t> </w:t>
            </w:r>
            <w:r w:rsidR="00155AA8" w:rsidRPr="00A52AB8">
              <w:rPr>
                <w:bCs/>
                <w:sz w:val="20"/>
              </w:rPr>
              <w:t>k</w:t>
            </w:r>
            <w:r w:rsidR="00106885" w:rsidRPr="00A52AB8">
              <w:rPr>
                <w:bCs/>
                <w:sz w:val="20"/>
              </w:rPr>
              <w:t> </w:t>
            </w:r>
            <w:r w:rsidRPr="00A52AB8">
              <w:rPr>
                <w:bCs/>
                <w:sz w:val="20"/>
              </w:rPr>
              <w:t>]</w:t>
            </w:r>
            <w:r w:rsidR="00D47707" w:rsidRPr="00A52AB8">
              <w:rPr>
                <w:bCs/>
                <w:sz w:val="20"/>
              </w:rPr>
              <w:t> = </w:t>
            </w:r>
            <w:r w:rsidRPr="00A52AB8">
              <w:rPr>
                <w:bCs/>
                <w:sz w:val="20"/>
              </w:rPr>
              <w:t>!</w:t>
            </w:r>
            <w:r w:rsidR="0033125F" w:rsidRPr="00A52AB8">
              <w:rPr>
                <w:bCs/>
                <w:sz w:val="20"/>
              </w:rPr>
              <w:t>o</w:t>
            </w:r>
            <w:r w:rsidR="00603833" w:rsidRPr="00A52AB8">
              <w:rPr>
                <w:bCs/>
                <w:sz w:val="20"/>
              </w:rPr>
              <w:t>l</w:t>
            </w:r>
            <w:r w:rsidRPr="00A52AB8">
              <w:rPr>
                <w:bCs/>
                <w:sz w:val="20"/>
              </w:rPr>
              <w:t>i_label_cancel_flag</w:t>
            </w:r>
            <w:r w:rsidR="00B25149" w:rsidRPr="00A52AB8">
              <w:rPr>
                <w:bCs/>
                <w:sz w:val="20"/>
              </w:rPr>
              <w:t>[ k ]</w:t>
            </w:r>
          </w:p>
        </w:tc>
        <w:tc>
          <w:tcPr>
            <w:tcW w:w="1241" w:type="dxa"/>
          </w:tcPr>
          <w:p w14:paraId="7E0A486A" w14:textId="77777777" w:rsidR="00E17286" w:rsidRPr="00A52AB8" w:rsidRDefault="00E17286" w:rsidP="009C6742">
            <w:pPr>
              <w:spacing w:before="20" w:after="40" w:line="240" w:lineRule="auto"/>
              <w:jc w:val="center"/>
              <w:rPr>
                <w:sz w:val="20"/>
              </w:rPr>
            </w:pPr>
          </w:p>
        </w:tc>
      </w:tr>
      <w:tr w:rsidR="00E17286" w:rsidRPr="00A52AB8" w14:paraId="427FA208" w14:textId="77777777" w:rsidTr="00A252B5">
        <w:trPr>
          <w:cantSplit/>
          <w:jc w:val="center"/>
        </w:trPr>
        <w:tc>
          <w:tcPr>
            <w:tcW w:w="7921" w:type="dxa"/>
          </w:tcPr>
          <w:p w14:paraId="04B46B20" w14:textId="627C3D68" w:rsidR="00E17286" w:rsidRPr="00A52AB8" w:rsidRDefault="00E17286" w:rsidP="009C6742">
            <w:pPr>
              <w:spacing w:before="20" w:after="40" w:line="240" w:lineRule="auto"/>
              <w:rPr>
                <w:rFonts w:eastAsia="Malgun Gothic"/>
                <w:b/>
                <w:sz w:val="20"/>
              </w:rPr>
            </w:pPr>
            <w:r w:rsidRPr="00A52AB8">
              <w:rPr>
                <w:bCs/>
                <w:sz w:val="20"/>
              </w:rPr>
              <w:tab/>
            </w:r>
            <w:r w:rsidRPr="00A52AB8">
              <w:rPr>
                <w:bCs/>
                <w:sz w:val="20"/>
              </w:rPr>
              <w:tab/>
            </w:r>
            <w:r w:rsidRPr="00A52AB8">
              <w:rPr>
                <w:bCs/>
                <w:sz w:val="20"/>
              </w:rPr>
              <w:tab/>
              <w:t>if(</w:t>
            </w:r>
            <w:r w:rsidR="00B25149" w:rsidRPr="00A52AB8">
              <w:rPr>
                <w:bCs/>
                <w:sz w:val="20"/>
              </w:rPr>
              <w:t> </w:t>
            </w:r>
            <w:r w:rsidRPr="00A52AB8">
              <w:rPr>
                <w:bCs/>
                <w:sz w:val="20"/>
              </w:rPr>
              <w:t>!oli_label_cancel_flag</w:t>
            </w:r>
            <w:r w:rsidR="00B25149" w:rsidRPr="00A52AB8">
              <w:rPr>
                <w:bCs/>
                <w:sz w:val="20"/>
              </w:rPr>
              <w:t>[ k ] </w:t>
            </w:r>
            <w:r w:rsidR="008F1F82" w:rsidRPr="00A52AB8">
              <w:rPr>
                <w:bCs/>
                <w:sz w:val="20"/>
              </w:rPr>
              <w:t>) {</w:t>
            </w:r>
          </w:p>
        </w:tc>
        <w:tc>
          <w:tcPr>
            <w:tcW w:w="1241" w:type="dxa"/>
          </w:tcPr>
          <w:p w14:paraId="187E5B42" w14:textId="77777777" w:rsidR="00E17286" w:rsidRPr="00A52AB8" w:rsidRDefault="00E17286" w:rsidP="009C6742">
            <w:pPr>
              <w:spacing w:before="20" w:after="40" w:line="240" w:lineRule="auto"/>
              <w:jc w:val="center"/>
              <w:rPr>
                <w:rFonts w:eastAsia="Malgun Gothic"/>
                <w:bCs/>
                <w:sz w:val="20"/>
              </w:rPr>
            </w:pPr>
          </w:p>
        </w:tc>
      </w:tr>
      <w:tr w:rsidR="00E17286" w:rsidRPr="00A52AB8" w14:paraId="3BBB9FE7" w14:textId="77777777" w:rsidTr="00A252B5">
        <w:trPr>
          <w:cantSplit/>
          <w:jc w:val="center"/>
        </w:trPr>
        <w:tc>
          <w:tcPr>
            <w:tcW w:w="7921" w:type="dxa"/>
          </w:tcPr>
          <w:p w14:paraId="3577E972" w14:textId="4FE77D10" w:rsidR="00E17286" w:rsidRPr="00A52AB8" w:rsidRDefault="00E17286" w:rsidP="009C6742">
            <w:pPr>
              <w:spacing w:before="20" w:after="40" w:line="240" w:lineRule="auto"/>
              <w:rPr>
                <w:rFonts w:eastAsia="Malgun Gothic"/>
                <w:sz w:val="20"/>
              </w:rPr>
            </w:pPr>
            <w:r w:rsidRPr="00A52AB8">
              <w:rPr>
                <w:b/>
                <w:bCs/>
                <w:sz w:val="20"/>
              </w:rPr>
              <w:tab/>
            </w:r>
            <w:r w:rsidRPr="00A52AB8">
              <w:rPr>
                <w:b/>
                <w:bCs/>
                <w:sz w:val="20"/>
              </w:rPr>
              <w:tab/>
            </w:r>
            <w:r w:rsidRPr="00A52AB8">
              <w:rPr>
                <w:b/>
                <w:bCs/>
                <w:sz w:val="20"/>
              </w:rPr>
              <w:tab/>
            </w:r>
            <w:r w:rsidRPr="00A52AB8">
              <w:rPr>
                <w:b/>
                <w:bCs/>
                <w:sz w:val="20"/>
              </w:rPr>
              <w:tab/>
            </w:r>
            <w:r w:rsidRPr="00A52AB8">
              <w:rPr>
                <w:sz w:val="20"/>
              </w:rPr>
              <w:t>while(</w:t>
            </w:r>
            <w:r w:rsidR="005447B4" w:rsidRPr="00A52AB8">
              <w:rPr>
                <w:sz w:val="20"/>
              </w:rPr>
              <w:t> </w:t>
            </w:r>
            <w:r w:rsidRPr="00A52AB8">
              <w:rPr>
                <w:sz w:val="20"/>
              </w:rPr>
              <w:t>!byte_aligned(</w:t>
            </w:r>
            <w:r w:rsidR="005447B4" w:rsidRPr="00A52AB8">
              <w:rPr>
                <w:sz w:val="20"/>
              </w:rPr>
              <w:t> </w:t>
            </w:r>
            <w:r w:rsidRPr="00A52AB8">
              <w:rPr>
                <w:sz w:val="20"/>
              </w:rPr>
              <w:t>)</w:t>
            </w:r>
            <w:r w:rsidR="005447B4" w:rsidRPr="00A52AB8">
              <w:rPr>
                <w:sz w:val="20"/>
              </w:rPr>
              <w:t> </w:t>
            </w:r>
            <w:r w:rsidRPr="00A52AB8">
              <w:rPr>
                <w:sz w:val="20"/>
              </w:rPr>
              <w:t>)</w:t>
            </w:r>
          </w:p>
        </w:tc>
        <w:tc>
          <w:tcPr>
            <w:tcW w:w="1241" w:type="dxa"/>
          </w:tcPr>
          <w:p w14:paraId="54437A67" w14:textId="77777777" w:rsidR="00E17286" w:rsidRPr="00A52AB8" w:rsidRDefault="00E17286" w:rsidP="009C6742">
            <w:pPr>
              <w:spacing w:before="20" w:after="40" w:line="240" w:lineRule="auto"/>
              <w:jc w:val="center"/>
              <w:rPr>
                <w:rFonts w:eastAsia="Malgun Gothic"/>
                <w:bCs/>
                <w:sz w:val="20"/>
              </w:rPr>
            </w:pPr>
          </w:p>
        </w:tc>
      </w:tr>
      <w:tr w:rsidR="00E17286" w:rsidRPr="00A52AB8" w14:paraId="6E044075" w14:textId="77777777" w:rsidTr="00A252B5">
        <w:trPr>
          <w:cantSplit/>
          <w:jc w:val="center"/>
        </w:trPr>
        <w:tc>
          <w:tcPr>
            <w:tcW w:w="7921" w:type="dxa"/>
          </w:tcPr>
          <w:p w14:paraId="27F23CA2" w14:textId="77777777" w:rsidR="00E17286" w:rsidRPr="00A52AB8" w:rsidRDefault="00E17286" w:rsidP="009C6742">
            <w:pPr>
              <w:spacing w:before="20" w:after="40" w:line="240" w:lineRule="auto"/>
              <w:rPr>
                <w:rFonts w:eastAsia="Malgun Gothic"/>
                <w:sz w:val="20"/>
              </w:rPr>
            </w:pPr>
            <w:r w:rsidRPr="00A52AB8">
              <w:rPr>
                <w:b/>
                <w:bCs/>
                <w:sz w:val="20"/>
              </w:rPr>
              <w:tab/>
            </w:r>
            <w:r w:rsidRPr="00A52AB8">
              <w:rPr>
                <w:b/>
                <w:bCs/>
                <w:sz w:val="20"/>
              </w:rPr>
              <w:tab/>
            </w:r>
            <w:r w:rsidRPr="00A52AB8">
              <w:rPr>
                <w:b/>
                <w:bCs/>
                <w:sz w:val="20"/>
              </w:rPr>
              <w:tab/>
            </w:r>
            <w:r w:rsidRPr="00A52AB8">
              <w:rPr>
                <w:b/>
                <w:bCs/>
                <w:sz w:val="20"/>
              </w:rPr>
              <w:tab/>
            </w:r>
            <w:r w:rsidRPr="00A52AB8">
              <w:rPr>
                <w:b/>
                <w:bCs/>
                <w:sz w:val="20"/>
              </w:rPr>
              <w:tab/>
              <w:t>oli_bit_equal_to_zero</w:t>
            </w:r>
            <w:r w:rsidRPr="00A52AB8">
              <w:rPr>
                <w:bCs/>
                <w:sz w:val="20"/>
              </w:rPr>
              <w:t xml:space="preserve"> </w:t>
            </w:r>
            <w:r w:rsidRPr="00A52AB8">
              <w:rPr>
                <w:sz w:val="20"/>
              </w:rPr>
              <w:t>/* equal to 0 */</w:t>
            </w:r>
          </w:p>
        </w:tc>
        <w:tc>
          <w:tcPr>
            <w:tcW w:w="1241" w:type="dxa"/>
          </w:tcPr>
          <w:p w14:paraId="130CD2EB" w14:textId="77777777" w:rsidR="00E17286" w:rsidRPr="00A52AB8" w:rsidRDefault="00E17286" w:rsidP="009C6742">
            <w:pPr>
              <w:spacing w:before="20" w:after="40" w:line="240" w:lineRule="auto"/>
              <w:jc w:val="center"/>
              <w:rPr>
                <w:rFonts w:eastAsia="Malgun Gothic"/>
                <w:bCs/>
                <w:sz w:val="20"/>
              </w:rPr>
            </w:pPr>
            <w:r w:rsidRPr="00A52AB8">
              <w:rPr>
                <w:bCs/>
                <w:sz w:val="20"/>
              </w:rPr>
              <w:t>f(1)</w:t>
            </w:r>
          </w:p>
        </w:tc>
      </w:tr>
      <w:tr w:rsidR="00E17286" w:rsidRPr="00A52AB8" w14:paraId="7F9E3B22" w14:textId="77777777" w:rsidTr="00A252B5">
        <w:trPr>
          <w:cantSplit/>
          <w:jc w:val="center"/>
        </w:trPr>
        <w:tc>
          <w:tcPr>
            <w:tcW w:w="7921" w:type="dxa"/>
          </w:tcPr>
          <w:p w14:paraId="3429C676" w14:textId="1D249D09" w:rsidR="00E17286" w:rsidRPr="00A52AB8" w:rsidRDefault="00E17286" w:rsidP="009C6742">
            <w:pPr>
              <w:spacing w:before="20" w:after="40" w:line="240" w:lineRule="auto"/>
              <w:rPr>
                <w:rFonts w:eastAsia="Malgun Gothic"/>
                <w:b/>
                <w:sz w:val="20"/>
              </w:rPr>
            </w:pPr>
            <w:r w:rsidRPr="00A52AB8">
              <w:rPr>
                <w:b/>
                <w:bCs/>
                <w:sz w:val="20"/>
              </w:rPr>
              <w:tab/>
            </w:r>
            <w:r w:rsidRPr="00A52AB8">
              <w:rPr>
                <w:b/>
                <w:bCs/>
                <w:sz w:val="20"/>
              </w:rPr>
              <w:tab/>
            </w:r>
            <w:r w:rsidRPr="00A52AB8">
              <w:rPr>
                <w:b/>
                <w:sz w:val="20"/>
              </w:rPr>
              <w:tab/>
            </w:r>
            <w:r w:rsidRPr="00A52AB8">
              <w:rPr>
                <w:b/>
                <w:sz w:val="20"/>
              </w:rPr>
              <w:tab/>
              <w:t>ol</w:t>
            </w:r>
            <w:r w:rsidRPr="00A52AB8">
              <w:rPr>
                <w:b/>
                <w:bCs/>
                <w:sz w:val="20"/>
              </w:rPr>
              <w:t>i</w:t>
            </w:r>
            <w:r w:rsidRPr="00A52AB8">
              <w:rPr>
                <w:b/>
                <w:sz w:val="20"/>
              </w:rPr>
              <w:t>_label</w:t>
            </w:r>
            <w:r w:rsidRPr="00A52AB8">
              <w:rPr>
                <w:sz w:val="20"/>
              </w:rPr>
              <w:t>[</w:t>
            </w:r>
            <w:r w:rsidRPr="00A52AB8">
              <w:rPr>
                <w:bCs/>
                <w:sz w:val="20"/>
              </w:rPr>
              <w:t> </w:t>
            </w:r>
            <w:r w:rsidR="00B25149" w:rsidRPr="00A52AB8">
              <w:rPr>
                <w:bCs/>
                <w:sz w:val="20"/>
              </w:rPr>
              <w:t>k</w:t>
            </w:r>
            <w:r w:rsidRPr="00A52AB8">
              <w:rPr>
                <w:bCs/>
                <w:sz w:val="20"/>
              </w:rPr>
              <w:t> ]</w:t>
            </w:r>
          </w:p>
        </w:tc>
        <w:tc>
          <w:tcPr>
            <w:tcW w:w="1241" w:type="dxa"/>
          </w:tcPr>
          <w:p w14:paraId="41AF5D61" w14:textId="77777777" w:rsidR="00E17286" w:rsidRPr="00A52AB8" w:rsidRDefault="00E17286" w:rsidP="009C6742">
            <w:pPr>
              <w:spacing w:before="20" w:after="40" w:line="240" w:lineRule="auto"/>
              <w:jc w:val="center"/>
              <w:rPr>
                <w:rFonts w:eastAsia="Malgun Gothic"/>
                <w:bCs/>
                <w:sz w:val="20"/>
              </w:rPr>
            </w:pPr>
            <w:r w:rsidRPr="00A52AB8">
              <w:rPr>
                <w:rFonts w:eastAsia="Malgun Gothic"/>
                <w:bCs/>
                <w:sz w:val="20"/>
              </w:rPr>
              <w:t>st(v)</w:t>
            </w:r>
          </w:p>
        </w:tc>
      </w:tr>
      <w:tr w:rsidR="00E17286" w:rsidRPr="00A52AB8" w14:paraId="421D90B1" w14:textId="77777777" w:rsidTr="00A252B5">
        <w:trPr>
          <w:cantSplit/>
          <w:jc w:val="center"/>
        </w:trPr>
        <w:tc>
          <w:tcPr>
            <w:tcW w:w="7921" w:type="dxa"/>
          </w:tcPr>
          <w:p w14:paraId="744F92F1" w14:textId="77777777" w:rsidR="00E17286" w:rsidRPr="00A52AB8" w:rsidRDefault="00E17286" w:rsidP="009C6742">
            <w:pPr>
              <w:spacing w:before="20" w:after="40" w:line="240" w:lineRule="auto"/>
              <w:rPr>
                <w:rFonts w:eastAsia="Malgun Gothic"/>
                <w:b/>
                <w:sz w:val="20"/>
              </w:rPr>
            </w:pPr>
            <w:r w:rsidRPr="00A52AB8">
              <w:rPr>
                <w:b/>
                <w:bCs/>
                <w:sz w:val="20"/>
              </w:rPr>
              <w:tab/>
            </w:r>
            <w:r w:rsidRPr="00A52AB8">
              <w:rPr>
                <w:b/>
                <w:bCs/>
                <w:sz w:val="20"/>
              </w:rPr>
              <w:tab/>
            </w:r>
            <w:r w:rsidRPr="00A52AB8">
              <w:rPr>
                <w:b/>
                <w:bCs/>
                <w:sz w:val="20"/>
              </w:rPr>
              <w:tab/>
            </w:r>
            <w:r w:rsidRPr="00A52AB8">
              <w:rPr>
                <w:sz w:val="20"/>
              </w:rPr>
              <w:t>}</w:t>
            </w:r>
          </w:p>
        </w:tc>
        <w:tc>
          <w:tcPr>
            <w:tcW w:w="1241" w:type="dxa"/>
          </w:tcPr>
          <w:p w14:paraId="2BC510AD" w14:textId="77777777" w:rsidR="00E17286" w:rsidRPr="00A52AB8" w:rsidRDefault="00E17286" w:rsidP="009C6742">
            <w:pPr>
              <w:spacing w:before="20" w:after="40" w:line="240" w:lineRule="auto"/>
              <w:jc w:val="center"/>
              <w:rPr>
                <w:rFonts w:eastAsia="Malgun Gothic"/>
                <w:bCs/>
                <w:sz w:val="20"/>
              </w:rPr>
            </w:pPr>
          </w:p>
        </w:tc>
      </w:tr>
      <w:tr w:rsidR="00E17286" w:rsidRPr="00A52AB8" w14:paraId="29B19CD2" w14:textId="77777777" w:rsidTr="00A252B5">
        <w:trPr>
          <w:cantSplit/>
          <w:jc w:val="center"/>
        </w:trPr>
        <w:tc>
          <w:tcPr>
            <w:tcW w:w="7921" w:type="dxa"/>
          </w:tcPr>
          <w:p w14:paraId="0344B9F6" w14:textId="77777777" w:rsidR="00E17286" w:rsidRPr="00A52AB8" w:rsidRDefault="00E17286" w:rsidP="009C6742">
            <w:pPr>
              <w:spacing w:before="20" w:after="40" w:line="240" w:lineRule="auto"/>
              <w:rPr>
                <w:rFonts w:eastAsia="Malgun Gothic"/>
                <w:b/>
                <w:sz w:val="20"/>
              </w:rPr>
            </w:pPr>
            <w:r w:rsidRPr="00A52AB8">
              <w:rPr>
                <w:b/>
                <w:bCs/>
                <w:sz w:val="20"/>
              </w:rPr>
              <w:tab/>
            </w:r>
            <w:r w:rsidRPr="00A52AB8">
              <w:rPr>
                <w:b/>
                <w:bCs/>
                <w:sz w:val="20"/>
              </w:rPr>
              <w:tab/>
            </w:r>
            <w:r w:rsidRPr="00A52AB8">
              <w:rPr>
                <w:sz w:val="20"/>
              </w:rPr>
              <w:t>}</w:t>
            </w:r>
          </w:p>
        </w:tc>
        <w:tc>
          <w:tcPr>
            <w:tcW w:w="1241" w:type="dxa"/>
          </w:tcPr>
          <w:p w14:paraId="7E9EB5CE" w14:textId="77777777" w:rsidR="00E17286" w:rsidRPr="00A52AB8" w:rsidRDefault="00E17286" w:rsidP="009C6742">
            <w:pPr>
              <w:spacing w:before="20" w:after="40" w:line="240" w:lineRule="auto"/>
              <w:jc w:val="center"/>
              <w:rPr>
                <w:rFonts w:eastAsia="Malgun Gothic"/>
                <w:bCs/>
                <w:sz w:val="20"/>
              </w:rPr>
            </w:pPr>
          </w:p>
        </w:tc>
      </w:tr>
      <w:tr w:rsidR="00630C82" w:rsidRPr="00A52AB8" w14:paraId="6AD11966" w14:textId="77777777" w:rsidTr="00A252B5">
        <w:trPr>
          <w:cantSplit/>
          <w:jc w:val="center"/>
        </w:trPr>
        <w:tc>
          <w:tcPr>
            <w:tcW w:w="7921" w:type="dxa"/>
          </w:tcPr>
          <w:p w14:paraId="1DD9EDF2" w14:textId="77777777" w:rsidR="00630C82" w:rsidRPr="00A52AB8" w:rsidRDefault="00630C82" w:rsidP="009C6742">
            <w:pPr>
              <w:spacing w:before="20" w:after="40" w:line="240" w:lineRule="auto"/>
              <w:rPr>
                <w:b/>
                <w:bCs/>
                <w:sz w:val="20"/>
              </w:rPr>
            </w:pPr>
            <w:r w:rsidRPr="00A52AB8">
              <w:rPr>
                <w:b/>
                <w:bCs/>
                <w:sz w:val="20"/>
              </w:rPr>
              <w:tab/>
            </w:r>
            <w:r w:rsidRPr="00A52AB8">
              <w:rPr>
                <w:b/>
                <w:bCs/>
                <w:sz w:val="20"/>
              </w:rPr>
              <w:tab/>
              <w:t>oli_persistence_flag</w:t>
            </w:r>
          </w:p>
        </w:tc>
        <w:tc>
          <w:tcPr>
            <w:tcW w:w="1241" w:type="dxa"/>
          </w:tcPr>
          <w:p w14:paraId="4C8A2598" w14:textId="77777777" w:rsidR="00630C82" w:rsidRPr="00A52AB8" w:rsidRDefault="00630C82" w:rsidP="009C6742">
            <w:pPr>
              <w:spacing w:before="20" w:after="40" w:line="240" w:lineRule="auto"/>
              <w:jc w:val="center"/>
              <w:rPr>
                <w:rFonts w:eastAsia="Malgun Gothic"/>
                <w:bCs/>
                <w:sz w:val="20"/>
              </w:rPr>
            </w:pPr>
            <w:r w:rsidRPr="00A52AB8">
              <w:rPr>
                <w:rFonts w:eastAsia="Malgun Gothic"/>
                <w:bCs/>
                <w:sz w:val="20"/>
              </w:rPr>
              <w:t>u(1)</w:t>
            </w:r>
          </w:p>
        </w:tc>
      </w:tr>
      <w:tr w:rsidR="00E17286" w:rsidRPr="00A52AB8" w14:paraId="1BF201D7" w14:textId="77777777" w:rsidTr="00A252B5">
        <w:trPr>
          <w:cantSplit/>
          <w:jc w:val="center"/>
        </w:trPr>
        <w:tc>
          <w:tcPr>
            <w:tcW w:w="7921" w:type="dxa"/>
          </w:tcPr>
          <w:p w14:paraId="72C84E72" w14:textId="77777777" w:rsidR="00E17286" w:rsidRPr="00A52AB8" w:rsidRDefault="00E17286" w:rsidP="009C6742">
            <w:pPr>
              <w:spacing w:before="20" w:after="40" w:line="240" w:lineRule="auto"/>
              <w:rPr>
                <w:rFonts w:eastAsia="Malgun Gothic"/>
                <w:b/>
                <w:sz w:val="20"/>
              </w:rPr>
            </w:pPr>
            <w:r w:rsidRPr="00A52AB8">
              <w:rPr>
                <w:b/>
                <w:bCs/>
                <w:sz w:val="20"/>
              </w:rPr>
              <w:tab/>
            </w:r>
            <w:r w:rsidRPr="00A52AB8">
              <w:rPr>
                <w:sz w:val="20"/>
              </w:rPr>
              <w:t>}</w:t>
            </w:r>
          </w:p>
        </w:tc>
        <w:tc>
          <w:tcPr>
            <w:tcW w:w="1241" w:type="dxa"/>
          </w:tcPr>
          <w:p w14:paraId="097656F1" w14:textId="77777777" w:rsidR="00E17286" w:rsidRPr="00A52AB8" w:rsidRDefault="00E17286" w:rsidP="009C6742">
            <w:pPr>
              <w:spacing w:before="20" w:after="40" w:line="240" w:lineRule="auto"/>
              <w:jc w:val="center"/>
              <w:rPr>
                <w:rFonts w:eastAsia="Malgun Gothic"/>
                <w:bCs/>
                <w:sz w:val="20"/>
              </w:rPr>
            </w:pPr>
          </w:p>
        </w:tc>
      </w:tr>
      <w:tr w:rsidR="00E17286" w:rsidRPr="00A52AB8" w14:paraId="6FF2DB0C" w14:textId="77777777" w:rsidTr="00A252B5">
        <w:trPr>
          <w:cantSplit/>
          <w:jc w:val="center"/>
        </w:trPr>
        <w:tc>
          <w:tcPr>
            <w:tcW w:w="7921" w:type="dxa"/>
          </w:tcPr>
          <w:p w14:paraId="2E3D67FA" w14:textId="77777777" w:rsidR="00E17286" w:rsidRPr="00A52AB8" w:rsidRDefault="00E17286" w:rsidP="009C6742">
            <w:pPr>
              <w:spacing w:before="20" w:after="40" w:line="240" w:lineRule="auto"/>
              <w:rPr>
                <w:bCs/>
                <w:sz w:val="20"/>
              </w:rPr>
            </w:pPr>
            <w:r w:rsidRPr="00A52AB8">
              <w:rPr>
                <w:bCs/>
                <w:sz w:val="20"/>
              </w:rPr>
              <w:t>}</w:t>
            </w:r>
          </w:p>
        </w:tc>
        <w:tc>
          <w:tcPr>
            <w:tcW w:w="1241" w:type="dxa"/>
          </w:tcPr>
          <w:p w14:paraId="04CAB79E" w14:textId="77777777" w:rsidR="00E17286" w:rsidRPr="00A52AB8" w:rsidRDefault="00E17286" w:rsidP="009C6742">
            <w:pPr>
              <w:spacing w:before="20" w:after="40" w:line="240" w:lineRule="auto"/>
              <w:jc w:val="center"/>
              <w:rPr>
                <w:rFonts w:eastAsia="Malgun Gothic"/>
                <w:bCs/>
                <w:sz w:val="20"/>
              </w:rPr>
            </w:pPr>
          </w:p>
        </w:tc>
      </w:tr>
    </w:tbl>
    <w:p w14:paraId="7832D663" w14:textId="77777777" w:rsidR="00C61E38" w:rsidRPr="00A52AB8" w:rsidRDefault="00E17286" w:rsidP="009C6742">
      <w:pPr>
        <w:pStyle w:val="a4"/>
        <w:numPr>
          <w:ilvl w:val="3"/>
          <w:numId w:val="19"/>
        </w:numPr>
        <w:spacing w:line="240" w:lineRule="auto"/>
      </w:pPr>
      <w:bookmarkStart w:id="5370" w:name="_Toc38891832"/>
      <w:bookmarkStart w:id="5371" w:name="_Toc39426429"/>
      <w:bookmarkStart w:id="5372" w:name="_Toc42730237"/>
      <w:bookmarkStart w:id="5373" w:name="_Toc45105701"/>
      <w:bookmarkStart w:id="5374" w:name="_Toc45530560"/>
      <w:bookmarkStart w:id="5375" w:name="_Toc46301923"/>
      <w:bookmarkStart w:id="5376" w:name="_Toc46302748"/>
      <w:bookmarkEnd w:id="5370"/>
      <w:bookmarkEnd w:id="5371"/>
      <w:bookmarkEnd w:id="5372"/>
      <w:bookmarkEnd w:id="5373"/>
      <w:bookmarkEnd w:id="5374"/>
      <w:bookmarkEnd w:id="5375"/>
      <w:bookmarkEnd w:id="5376"/>
      <w:r w:rsidRPr="00A52AB8">
        <w:t xml:space="preserve">Patch </w:t>
      </w:r>
      <w:r w:rsidR="00D728FB" w:rsidRPr="00A52AB8">
        <w:t xml:space="preserve">information </w:t>
      </w:r>
      <w:r w:rsidRPr="00A52AB8">
        <w:t>SEI message syntax</w:t>
      </w:r>
    </w:p>
    <w:tbl>
      <w:tblPr>
        <w:tblW w:w="500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420"/>
        <w:gridCol w:w="1327"/>
        <w:gridCol w:w="9"/>
      </w:tblGrid>
      <w:tr w:rsidR="00E17286" w:rsidRPr="00A52AB8" w14:paraId="4D6E1967" w14:textId="77777777" w:rsidTr="00A252B5">
        <w:trPr>
          <w:gridAfter w:val="1"/>
          <w:wAfter w:w="8" w:type="dxa"/>
          <w:cantSplit/>
          <w:jc w:val="center"/>
        </w:trPr>
        <w:tc>
          <w:tcPr>
            <w:tcW w:w="7921" w:type="dxa"/>
          </w:tcPr>
          <w:p w14:paraId="36F10307" w14:textId="07C9C4AA" w:rsidR="00E17286" w:rsidRPr="00A52AB8" w:rsidRDefault="00E17286" w:rsidP="009C6742">
            <w:pPr>
              <w:spacing w:before="20" w:after="40" w:line="240" w:lineRule="auto"/>
              <w:rPr>
                <w:b/>
                <w:bCs/>
                <w:sz w:val="20"/>
              </w:rPr>
            </w:pPr>
            <w:r w:rsidRPr="00A52AB8">
              <w:rPr>
                <w:sz w:val="20"/>
              </w:rPr>
              <w:t>patch_information</w:t>
            </w:r>
            <w:r w:rsidRPr="00A52AB8">
              <w:rPr>
                <w:rFonts w:eastAsia="Malgun Gothic"/>
                <w:sz w:val="20"/>
              </w:rPr>
              <w:t>( </w:t>
            </w:r>
            <w:r w:rsidR="0003078F" w:rsidRPr="00A52AB8">
              <w:rPr>
                <w:rFonts w:eastAsia="Malgun Gothic"/>
                <w:sz w:val="20"/>
              </w:rPr>
              <w:t>payloadSize</w:t>
            </w:r>
            <w:r w:rsidR="0003078F" w:rsidRPr="00A52AB8">
              <w:rPr>
                <w:sz w:val="20"/>
              </w:rPr>
              <w:t> </w:t>
            </w:r>
            <w:r w:rsidR="008F1F82" w:rsidRPr="00A52AB8">
              <w:rPr>
                <w:rFonts w:eastAsia="Malgun Gothic"/>
                <w:sz w:val="20"/>
              </w:rPr>
              <w:t>) {</w:t>
            </w:r>
          </w:p>
        </w:tc>
        <w:tc>
          <w:tcPr>
            <w:tcW w:w="1248" w:type="dxa"/>
          </w:tcPr>
          <w:p w14:paraId="570DF49D" w14:textId="77777777" w:rsidR="00E17286" w:rsidRPr="00A52AB8" w:rsidRDefault="00E17286" w:rsidP="009C6742">
            <w:pPr>
              <w:spacing w:before="20" w:after="40" w:line="240" w:lineRule="auto"/>
              <w:jc w:val="center"/>
              <w:rPr>
                <w:rFonts w:eastAsia="Malgun Gothic"/>
                <w:sz w:val="20"/>
              </w:rPr>
            </w:pPr>
            <w:r w:rsidRPr="00A52AB8">
              <w:rPr>
                <w:rFonts w:eastAsia="Malgun Gothic"/>
                <w:b/>
                <w:bCs/>
                <w:sz w:val="20"/>
              </w:rPr>
              <w:t>Descriptor</w:t>
            </w:r>
          </w:p>
        </w:tc>
      </w:tr>
      <w:tr w:rsidR="00D64FC1" w:rsidRPr="00A52AB8" w14:paraId="59702B88" w14:textId="77777777" w:rsidTr="00A252B5">
        <w:trPr>
          <w:gridAfter w:val="1"/>
          <w:wAfter w:w="8" w:type="dxa"/>
          <w:cantSplit/>
          <w:jc w:val="center"/>
        </w:trPr>
        <w:tc>
          <w:tcPr>
            <w:tcW w:w="7921" w:type="dxa"/>
          </w:tcPr>
          <w:p w14:paraId="13D1739D" w14:textId="77777777" w:rsidR="00D64FC1" w:rsidRPr="00A52AB8" w:rsidRDefault="00D64FC1" w:rsidP="009C6742">
            <w:pPr>
              <w:spacing w:before="20" w:after="40" w:line="240" w:lineRule="auto"/>
              <w:rPr>
                <w:rFonts w:eastAsia="Malgun Gothic"/>
                <w:b/>
                <w:bCs/>
                <w:sz w:val="20"/>
              </w:rPr>
            </w:pPr>
            <w:r w:rsidRPr="00A52AB8">
              <w:rPr>
                <w:rFonts w:eastAsia="Malgun Gothic"/>
                <w:b/>
                <w:bCs/>
                <w:sz w:val="20"/>
              </w:rPr>
              <w:tab/>
              <w:t>pi_persistence_flag</w:t>
            </w:r>
          </w:p>
        </w:tc>
        <w:tc>
          <w:tcPr>
            <w:tcW w:w="1248" w:type="dxa"/>
          </w:tcPr>
          <w:p w14:paraId="654D16CA" w14:textId="77777777" w:rsidR="00D64FC1" w:rsidRPr="00A52AB8" w:rsidRDefault="00D64FC1" w:rsidP="009C6742">
            <w:pPr>
              <w:spacing w:before="20" w:after="40" w:line="240" w:lineRule="auto"/>
              <w:jc w:val="center"/>
              <w:rPr>
                <w:rFonts w:eastAsia="Malgun Gothic"/>
                <w:sz w:val="20"/>
              </w:rPr>
            </w:pPr>
            <w:r w:rsidRPr="00A52AB8">
              <w:rPr>
                <w:rFonts w:eastAsia="Malgun Gothic"/>
                <w:sz w:val="20"/>
              </w:rPr>
              <w:t>u(1)</w:t>
            </w:r>
          </w:p>
        </w:tc>
      </w:tr>
      <w:tr w:rsidR="00E17286" w:rsidRPr="00A52AB8" w14:paraId="641D2C71" w14:textId="77777777" w:rsidTr="00A252B5">
        <w:trPr>
          <w:gridAfter w:val="1"/>
          <w:wAfter w:w="8" w:type="dxa"/>
          <w:cantSplit/>
          <w:jc w:val="center"/>
        </w:trPr>
        <w:tc>
          <w:tcPr>
            <w:tcW w:w="7921" w:type="dxa"/>
          </w:tcPr>
          <w:p w14:paraId="3F42ECAE" w14:textId="77777777" w:rsidR="00E17286" w:rsidRPr="00A52AB8" w:rsidRDefault="00E17286" w:rsidP="009C6742">
            <w:pPr>
              <w:spacing w:before="20" w:after="40" w:line="240" w:lineRule="auto"/>
              <w:rPr>
                <w:b/>
                <w:sz w:val="20"/>
              </w:rPr>
            </w:pPr>
            <w:r w:rsidRPr="00A52AB8">
              <w:rPr>
                <w:rFonts w:eastAsia="Malgun Gothic"/>
                <w:b/>
                <w:bCs/>
                <w:sz w:val="20"/>
              </w:rPr>
              <w:tab/>
              <w:t>pi_</w:t>
            </w:r>
            <w:r w:rsidR="00D64FC1" w:rsidRPr="00A52AB8">
              <w:rPr>
                <w:rFonts w:eastAsia="Malgun Gothic"/>
                <w:b/>
                <w:bCs/>
                <w:sz w:val="20"/>
              </w:rPr>
              <w:t>reset</w:t>
            </w:r>
            <w:r w:rsidRPr="00A52AB8">
              <w:rPr>
                <w:rFonts w:eastAsia="Malgun Gothic"/>
                <w:b/>
                <w:bCs/>
                <w:sz w:val="20"/>
              </w:rPr>
              <w:t>_flag</w:t>
            </w:r>
          </w:p>
        </w:tc>
        <w:tc>
          <w:tcPr>
            <w:tcW w:w="1248" w:type="dxa"/>
          </w:tcPr>
          <w:p w14:paraId="057E94C0" w14:textId="77777777" w:rsidR="00E17286" w:rsidRPr="00A52AB8" w:rsidRDefault="00E17286" w:rsidP="009C6742">
            <w:pPr>
              <w:spacing w:before="20" w:after="40" w:line="240" w:lineRule="auto"/>
              <w:jc w:val="center"/>
              <w:rPr>
                <w:bCs/>
                <w:sz w:val="20"/>
              </w:rPr>
            </w:pPr>
            <w:r w:rsidRPr="00A52AB8">
              <w:rPr>
                <w:rFonts w:eastAsia="Malgun Gothic"/>
                <w:sz w:val="20"/>
              </w:rPr>
              <w:t>u(1)</w:t>
            </w:r>
          </w:p>
        </w:tc>
      </w:tr>
      <w:tr w:rsidR="00E17286" w:rsidRPr="00A52AB8" w14:paraId="6E9C9050" w14:textId="77777777" w:rsidTr="00A252B5">
        <w:trPr>
          <w:gridAfter w:val="1"/>
          <w:wAfter w:w="8" w:type="dxa"/>
          <w:cantSplit/>
          <w:jc w:val="center"/>
        </w:trPr>
        <w:tc>
          <w:tcPr>
            <w:tcW w:w="7921" w:type="dxa"/>
          </w:tcPr>
          <w:p w14:paraId="4E3EC8B6" w14:textId="77777777" w:rsidR="00E17286" w:rsidRPr="00A52AB8" w:rsidRDefault="00E17286" w:rsidP="009C6742">
            <w:pPr>
              <w:spacing w:before="20" w:after="40" w:line="240" w:lineRule="auto"/>
              <w:rPr>
                <w:b/>
                <w:bCs/>
                <w:sz w:val="20"/>
              </w:rPr>
            </w:pPr>
            <w:r w:rsidRPr="00A52AB8">
              <w:rPr>
                <w:b/>
                <w:bCs/>
                <w:sz w:val="20"/>
              </w:rPr>
              <w:tab/>
              <w:t>pi_num_</w:t>
            </w:r>
            <w:r w:rsidR="00B8075E" w:rsidRPr="00A52AB8">
              <w:rPr>
                <w:b/>
                <w:bCs/>
                <w:sz w:val="20"/>
              </w:rPr>
              <w:t>tile</w:t>
            </w:r>
            <w:r w:rsidRPr="00A52AB8">
              <w:rPr>
                <w:b/>
                <w:bCs/>
                <w:sz w:val="20"/>
              </w:rPr>
              <w:t>_updates</w:t>
            </w:r>
          </w:p>
        </w:tc>
        <w:tc>
          <w:tcPr>
            <w:tcW w:w="1248" w:type="dxa"/>
          </w:tcPr>
          <w:p w14:paraId="59A6C9E7" w14:textId="77777777" w:rsidR="00E17286" w:rsidRPr="00A52AB8" w:rsidRDefault="00E17286" w:rsidP="009C6742">
            <w:pPr>
              <w:spacing w:before="20" w:after="40" w:line="240" w:lineRule="auto"/>
              <w:jc w:val="center"/>
              <w:rPr>
                <w:rFonts w:eastAsia="Malgun Gothic"/>
                <w:sz w:val="20"/>
              </w:rPr>
            </w:pPr>
            <w:r w:rsidRPr="00A52AB8">
              <w:rPr>
                <w:sz w:val="20"/>
              </w:rPr>
              <w:t>ue(v)</w:t>
            </w:r>
          </w:p>
        </w:tc>
      </w:tr>
      <w:tr w:rsidR="00E17286" w:rsidRPr="00A52AB8" w14:paraId="0969E030" w14:textId="77777777" w:rsidTr="00A252B5">
        <w:trPr>
          <w:cantSplit/>
          <w:jc w:val="center"/>
        </w:trPr>
        <w:tc>
          <w:tcPr>
            <w:tcW w:w="7921" w:type="dxa"/>
          </w:tcPr>
          <w:p w14:paraId="07592E66" w14:textId="4EBF41E7" w:rsidR="00E17286" w:rsidRPr="00A52AB8" w:rsidRDefault="00E17286" w:rsidP="009C6742">
            <w:pPr>
              <w:spacing w:before="20" w:after="40" w:line="240" w:lineRule="auto"/>
              <w:rPr>
                <w:sz w:val="20"/>
              </w:rPr>
            </w:pPr>
            <w:r w:rsidRPr="00A52AB8">
              <w:rPr>
                <w:b/>
                <w:bCs/>
                <w:sz w:val="20"/>
              </w:rPr>
              <w:tab/>
            </w:r>
            <w:r w:rsidR="00D63ACE" w:rsidRPr="00A52AB8">
              <w:rPr>
                <w:sz w:val="20"/>
              </w:rPr>
              <w:t>if(</w:t>
            </w:r>
            <w:r w:rsidR="00AE24CD" w:rsidRPr="00A52AB8">
              <w:rPr>
                <w:sz w:val="20"/>
              </w:rPr>
              <w:t> </w:t>
            </w:r>
            <w:r w:rsidRPr="00A52AB8">
              <w:rPr>
                <w:sz w:val="20"/>
              </w:rPr>
              <w:t>pi_num_</w:t>
            </w:r>
            <w:r w:rsidR="00B8075E" w:rsidRPr="00A52AB8">
              <w:rPr>
                <w:sz w:val="20"/>
              </w:rPr>
              <w:t>tile</w:t>
            </w:r>
            <w:r w:rsidRPr="00A52AB8">
              <w:rPr>
                <w:sz w:val="20"/>
              </w:rPr>
              <w:t>_updates</w:t>
            </w:r>
            <w:r w:rsidR="00AE24CD" w:rsidRPr="00A52AB8">
              <w:rPr>
                <w:sz w:val="20"/>
              </w:rPr>
              <w:t> </w:t>
            </w:r>
            <w:r w:rsidRPr="00A52AB8">
              <w:rPr>
                <w:sz w:val="20"/>
              </w:rPr>
              <w:t>&gt;</w:t>
            </w:r>
            <w:r w:rsidR="00AE24CD" w:rsidRPr="00A52AB8">
              <w:rPr>
                <w:sz w:val="20"/>
              </w:rPr>
              <w:t> </w:t>
            </w:r>
            <w:r w:rsidRPr="00A52AB8">
              <w:rPr>
                <w:sz w:val="20"/>
              </w:rPr>
              <w:t>0</w:t>
            </w:r>
            <w:r w:rsidR="00AE24CD" w:rsidRPr="00A52AB8">
              <w:rPr>
                <w:sz w:val="20"/>
              </w:rPr>
              <w:t> </w:t>
            </w:r>
            <w:r w:rsidR="008F1F82" w:rsidRPr="00A52AB8">
              <w:rPr>
                <w:sz w:val="20"/>
              </w:rPr>
              <w:t>) {</w:t>
            </w:r>
          </w:p>
        </w:tc>
        <w:tc>
          <w:tcPr>
            <w:tcW w:w="1256" w:type="dxa"/>
            <w:gridSpan w:val="2"/>
          </w:tcPr>
          <w:p w14:paraId="0355B0BC" w14:textId="77777777" w:rsidR="00E17286" w:rsidRPr="00A52AB8" w:rsidRDefault="00E17286" w:rsidP="009C6742">
            <w:pPr>
              <w:spacing w:before="20" w:after="40" w:line="240" w:lineRule="auto"/>
              <w:jc w:val="center"/>
              <w:rPr>
                <w:rFonts w:eastAsia="Malgun Gothic"/>
                <w:sz w:val="20"/>
              </w:rPr>
            </w:pPr>
          </w:p>
        </w:tc>
      </w:tr>
      <w:tr w:rsidR="00E17286" w:rsidRPr="00A52AB8" w14:paraId="0A0B96E0" w14:textId="77777777" w:rsidTr="00A252B5">
        <w:trPr>
          <w:cantSplit/>
          <w:jc w:val="center"/>
        </w:trPr>
        <w:tc>
          <w:tcPr>
            <w:tcW w:w="7921" w:type="dxa"/>
          </w:tcPr>
          <w:p w14:paraId="3DCA3448" w14:textId="37125E57" w:rsidR="00E17286" w:rsidRPr="00A52AB8" w:rsidRDefault="00E17286" w:rsidP="009C6742">
            <w:pPr>
              <w:spacing w:before="20" w:after="40" w:line="240" w:lineRule="auto"/>
              <w:rPr>
                <w:b/>
                <w:bCs/>
                <w:sz w:val="20"/>
              </w:rPr>
            </w:pPr>
            <w:r w:rsidRPr="00A52AB8">
              <w:rPr>
                <w:b/>
                <w:bCs/>
                <w:sz w:val="20"/>
              </w:rPr>
              <w:tab/>
            </w:r>
            <w:r w:rsidRPr="00A52AB8">
              <w:rPr>
                <w:b/>
                <w:bCs/>
                <w:sz w:val="20"/>
              </w:rPr>
              <w:tab/>
              <w:t>pi_log2_max_object_idx_</w:t>
            </w:r>
            <w:r w:rsidR="0094440D" w:rsidRPr="00A52AB8">
              <w:rPr>
                <w:b/>
                <w:bCs/>
                <w:sz w:val="20"/>
              </w:rPr>
              <w:t>tracked</w:t>
            </w:r>
            <w:r w:rsidR="0092338A" w:rsidRPr="00A52AB8">
              <w:rPr>
                <w:b/>
                <w:bCs/>
                <w:sz w:val="20"/>
              </w:rPr>
              <w:t>_minus1</w:t>
            </w:r>
          </w:p>
        </w:tc>
        <w:tc>
          <w:tcPr>
            <w:tcW w:w="1256" w:type="dxa"/>
            <w:gridSpan w:val="2"/>
          </w:tcPr>
          <w:p w14:paraId="11447365" w14:textId="77777777" w:rsidR="00E17286" w:rsidRPr="00A52AB8" w:rsidRDefault="00E17286" w:rsidP="009C6742">
            <w:pPr>
              <w:spacing w:before="20" w:after="40" w:line="240" w:lineRule="auto"/>
              <w:jc w:val="center"/>
              <w:rPr>
                <w:rFonts w:eastAsia="Malgun Gothic"/>
                <w:sz w:val="20"/>
              </w:rPr>
            </w:pPr>
            <w:r w:rsidRPr="00A52AB8">
              <w:rPr>
                <w:rFonts w:eastAsia="Malgun Gothic"/>
                <w:sz w:val="20"/>
              </w:rPr>
              <w:t>u(5)</w:t>
            </w:r>
          </w:p>
        </w:tc>
      </w:tr>
      <w:tr w:rsidR="00E17286" w:rsidRPr="00A52AB8" w14:paraId="1497947C" w14:textId="77777777" w:rsidTr="00A252B5">
        <w:trPr>
          <w:cantSplit/>
          <w:jc w:val="center"/>
        </w:trPr>
        <w:tc>
          <w:tcPr>
            <w:tcW w:w="7921" w:type="dxa"/>
          </w:tcPr>
          <w:p w14:paraId="79A7D727" w14:textId="30D5482F" w:rsidR="00E17286" w:rsidRPr="00A52AB8" w:rsidRDefault="00E17286" w:rsidP="009C6742">
            <w:pPr>
              <w:spacing w:before="20" w:after="40" w:line="240" w:lineRule="auto"/>
              <w:rPr>
                <w:b/>
                <w:bCs/>
                <w:sz w:val="20"/>
              </w:rPr>
            </w:pPr>
            <w:r w:rsidRPr="00A52AB8">
              <w:rPr>
                <w:b/>
                <w:bCs/>
                <w:sz w:val="20"/>
              </w:rPr>
              <w:tab/>
            </w:r>
            <w:r w:rsidRPr="00A52AB8">
              <w:rPr>
                <w:b/>
                <w:bCs/>
                <w:sz w:val="20"/>
              </w:rPr>
              <w:tab/>
              <w:t>pi_log2_max_patch_idx_updated</w:t>
            </w:r>
            <w:r w:rsidR="008A7358" w:rsidRPr="00A52AB8">
              <w:rPr>
                <w:b/>
                <w:bCs/>
                <w:sz w:val="20"/>
              </w:rPr>
              <w:t>_minus1</w:t>
            </w:r>
          </w:p>
        </w:tc>
        <w:tc>
          <w:tcPr>
            <w:tcW w:w="1256" w:type="dxa"/>
            <w:gridSpan w:val="2"/>
          </w:tcPr>
          <w:p w14:paraId="36F5F3D2" w14:textId="77777777" w:rsidR="00E17286" w:rsidRPr="00A52AB8" w:rsidRDefault="00E17286" w:rsidP="009C6742">
            <w:pPr>
              <w:spacing w:before="20" w:after="40" w:line="240" w:lineRule="auto"/>
              <w:jc w:val="center"/>
              <w:rPr>
                <w:rFonts w:eastAsia="Malgun Gothic"/>
                <w:sz w:val="20"/>
              </w:rPr>
            </w:pPr>
            <w:r w:rsidRPr="00A52AB8">
              <w:rPr>
                <w:rFonts w:eastAsia="Malgun Gothic"/>
                <w:sz w:val="20"/>
              </w:rPr>
              <w:t>u(4)</w:t>
            </w:r>
          </w:p>
        </w:tc>
      </w:tr>
      <w:tr w:rsidR="00E17286" w:rsidRPr="00A52AB8" w14:paraId="227C94AD" w14:textId="77777777" w:rsidTr="00A252B5">
        <w:trPr>
          <w:cantSplit/>
          <w:jc w:val="center"/>
        </w:trPr>
        <w:tc>
          <w:tcPr>
            <w:tcW w:w="7921" w:type="dxa"/>
          </w:tcPr>
          <w:p w14:paraId="162820AE" w14:textId="77777777" w:rsidR="00E17286" w:rsidRPr="00A52AB8" w:rsidRDefault="00E17286" w:rsidP="009C6742">
            <w:pPr>
              <w:spacing w:before="20" w:after="40" w:line="240" w:lineRule="auto"/>
              <w:rPr>
                <w:sz w:val="20"/>
              </w:rPr>
            </w:pPr>
            <w:r w:rsidRPr="00A52AB8">
              <w:rPr>
                <w:b/>
                <w:bCs/>
                <w:sz w:val="20"/>
              </w:rPr>
              <w:tab/>
            </w:r>
            <w:r w:rsidRPr="00A52AB8">
              <w:rPr>
                <w:sz w:val="20"/>
              </w:rPr>
              <w:t>}</w:t>
            </w:r>
          </w:p>
        </w:tc>
        <w:tc>
          <w:tcPr>
            <w:tcW w:w="1256" w:type="dxa"/>
            <w:gridSpan w:val="2"/>
          </w:tcPr>
          <w:p w14:paraId="1C7A7F91" w14:textId="77777777" w:rsidR="00E17286" w:rsidRPr="00A52AB8" w:rsidRDefault="00E17286" w:rsidP="009C6742">
            <w:pPr>
              <w:spacing w:before="20" w:after="40" w:line="240" w:lineRule="auto"/>
              <w:jc w:val="center"/>
              <w:rPr>
                <w:rFonts w:eastAsia="Malgun Gothic"/>
                <w:sz w:val="20"/>
              </w:rPr>
            </w:pPr>
          </w:p>
        </w:tc>
      </w:tr>
      <w:tr w:rsidR="00E17286" w:rsidRPr="00A52AB8" w14:paraId="662A42E4" w14:textId="77777777" w:rsidTr="00A252B5">
        <w:trPr>
          <w:gridAfter w:val="1"/>
          <w:wAfter w:w="8" w:type="dxa"/>
          <w:cantSplit/>
          <w:jc w:val="center"/>
        </w:trPr>
        <w:tc>
          <w:tcPr>
            <w:tcW w:w="7921" w:type="dxa"/>
          </w:tcPr>
          <w:p w14:paraId="206070C4" w14:textId="5154D5B9" w:rsidR="00E17286" w:rsidRPr="00A52AB8" w:rsidRDefault="00E17286" w:rsidP="009C6742">
            <w:pPr>
              <w:spacing w:before="20" w:after="40" w:line="240" w:lineRule="auto"/>
              <w:rPr>
                <w:sz w:val="20"/>
              </w:rPr>
            </w:pPr>
            <w:r w:rsidRPr="00A52AB8">
              <w:rPr>
                <w:b/>
                <w:bCs/>
                <w:sz w:val="20"/>
              </w:rPr>
              <w:tab/>
            </w:r>
            <w:r w:rsidRPr="00A52AB8">
              <w:rPr>
                <w:bCs/>
                <w:sz w:val="20"/>
              </w:rPr>
              <w:t>for(</w:t>
            </w:r>
            <w:r w:rsidR="00EF4D7B" w:rsidRPr="00A52AB8">
              <w:rPr>
                <w:bCs/>
                <w:sz w:val="20"/>
              </w:rPr>
              <w:t> </w:t>
            </w:r>
            <w:r w:rsidRPr="00A52AB8">
              <w:rPr>
                <w:bCs/>
                <w:sz w:val="20"/>
              </w:rPr>
              <w:t>i</w:t>
            </w:r>
            <w:r w:rsidR="00D47707" w:rsidRPr="00A52AB8">
              <w:rPr>
                <w:bCs/>
                <w:sz w:val="20"/>
              </w:rPr>
              <w:t> = </w:t>
            </w:r>
            <w:r w:rsidRPr="00A52AB8">
              <w:rPr>
                <w:bCs/>
                <w:sz w:val="20"/>
              </w:rPr>
              <w:t>0;</w:t>
            </w:r>
            <w:r w:rsidR="00AE24CD" w:rsidRPr="00A52AB8">
              <w:rPr>
                <w:bCs/>
                <w:sz w:val="20"/>
              </w:rPr>
              <w:t> </w:t>
            </w:r>
            <w:r w:rsidRPr="00A52AB8">
              <w:rPr>
                <w:bCs/>
                <w:sz w:val="20"/>
              </w:rPr>
              <w:t>i &lt; pi_num_</w:t>
            </w:r>
            <w:r w:rsidR="00B8075E" w:rsidRPr="00A52AB8">
              <w:rPr>
                <w:bCs/>
                <w:sz w:val="20"/>
              </w:rPr>
              <w:t>tile</w:t>
            </w:r>
            <w:r w:rsidRPr="00A52AB8">
              <w:rPr>
                <w:bCs/>
                <w:sz w:val="20"/>
              </w:rPr>
              <w:t>_updates;</w:t>
            </w:r>
            <w:r w:rsidR="00AE24CD" w:rsidRPr="00A52AB8">
              <w:rPr>
                <w:bCs/>
                <w:sz w:val="20"/>
              </w:rPr>
              <w:t> </w:t>
            </w:r>
            <w:r w:rsidRPr="00A52AB8">
              <w:rPr>
                <w:bCs/>
                <w:sz w:val="20"/>
              </w:rPr>
              <w:t>i</w:t>
            </w:r>
            <w:r w:rsidR="00006CCF" w:rsidRPr="00A52AB8">
              <w:rPr>
                <w:bCs/>
                <w:sz w:val="20"/>
              </w:rPr>
              <w:t>++ </w:t>
            </w:r>
            <w:r w:rsidR="008F1F82" w:rsidRPr="00A52AB8">
              <w:rPr>
                <w:bCs/>
                <w:sz w:val="20"/>
              </w:rPr>
              <w:t>) {</w:t>
            </w:r>
          </w:p>
        </w:tc>
        <w:tc>
          <w:tcPr>
            <w:tcW w:w="1248" w:type="dxa"/>
          </w:tcPr>
          <w:p w14:paraId="2ED2C05C" w14:textId="77777777" w:rsidR="00E17286" w:rsidRPr="00A52AB8" w:rsidRDefault="00E17286" w:rsidP="009C6742">
            <w:pPr>
              <w:spacing w:before="20" w:after="40" w:line="240" w:lineRule="auto"/>
              <w:jc w:val="center"/>
              <w:rPr>
                <w:rFonts w:eastAsia="Malgun Gothic"/>
                <w:sz w:val="20"/>
              </w:rPr>
            </w:pPr>
          </w:p>
        </w:tc>
      </w:tr>
      <w:tr w:rsidR="00E17286" w:rsidRPr="00A52AB8" w14:paraId="55FF2C63" w14:textId="77777777" w:rsidTr="00A252B5">
        <w:trPr>
          <w:gridAfter w:val="1"/>
          <w:wAfter w:w="8" w:type="dxa"/>
          <w:cantSplit/>
          <w:jc w:val="center"/>
        </w:trPr>
        <w:tc>
          <w:tcPr>
            <w:tcW w:w="7921" w:type="dxa"/>
          </w:tcPr>
          <w:p w14:paraId="7E550AE1" w14:textId="77777777" w:rsidR="00E17286" w:rsidRPr="00A52AB8" w:rsidRDefault="00E17286" w:rsidP="009C6742">
            <w:pPr>
              <w:spacing w:before="20" w:after="40" w:line="240" w:lineRule="auto"/>
              <w:rPr>
                <w:sz w:val="20"/>
              </w:rPr>
            </w:pPr>
            <w:r w:rsidRPr="00A52AB8">
              <w:rPr>
                <w:b/>
                <w:bCs/>
                <w:sz w:val="20"/>
              </w:rPr>
              <w:tab/>
            </w:r>
            <w:r w:rsidRPr="00A52AB8">
              <w:rPr>
                <w:b/>
                <w:bCs/>
                <w:sz w:val="20"/>
              </w:rPr>
              <w:tab/>
              <w:t>pi_</w:t>
            </w:r>
            <w:r w:rsidR="00B8075E" w:rsidRPr="00A52AB8">
              <w:rPr>
                <w:b/>
                <w:bCs/>
                <w:sz w:val="20"/>
              </w:rPr>
              <w:t>tile</w:t>
            </w:r>
            <w:r w:rsidRPr="00A52AB8">
              <w:rPr>
                <w:b/>
                <w:bCs/>
                <w:sz w:val="20"/>
              </w:rPr>
              <w:t>_</w:t>
            </w:r>
            <w:r w:rsidR="0001650D" w:rsidRPr="00A52AB8">
              <w:rPr>
                <w:b/>
                <w:bCs/>
                <w:sz w:val="20"/>
              </w:rPr>
              <w:t>id</w:t>
            </w:r>
            <w:r w:rsidR="001F4484" w:rsidRPr="00A52AB8">
              <w:rPr>
                <w:sz w:val="20"/>
              </w:rPr>
              <w:t>[ i ]</w:t>
            </w:r>
          </w:p>
        </w:tc>
        <w:tc>
          <w:tcPr>
            <w:tcW w:w="1248" w:type="dxa"/>
          </w:tcPr>
          <w:p w14:paraId="1F8F42B7" w14:textId="77777777" w:rsidR="00E17286" w:rsidRPr="00A52AB8" w:rsidRDefault="00E17286" w:rsidP="009C6742">
            <w:pPr>
              <w:spacing w:before="20" w:after="40" w:line="240" w:lineRule="auto"/>
              <w:jc w:val="center"/>
              <w:rPr>
                <w:rFonts w:eastAsia="Malgun Gothic"/>
                <w:sz w:val="20"/>
              </w:rPr>
            </w:pPr>
            <w:r w:rsidRPr="00A52AB8">
              <w:rPr>
                <w:bCs/>
                <w:sz w:val="20"/>
              </w:rPr>
              <w:t>ue(v)</w:t>
            </w:r>
          </w:p>
        </w:tc>
      </w:tr>
      <w:tr w:rsidR="00E17286" w:rsidRPr="00A52AB8" w14:paraId="5CB43744" w14:textId="77777777" w:rsidTr="00A252B5">
        <w:trPr>
          <w:gridAfter w:val="1"/>
          <w:wAfter w:w="8" w:type="dxa"/>
          <w:cantSplit/>
          <w:jc w:val="center"/>
        </w:trPr>
        <w:tc>
          <w:tcPr>
            <w:tcW w:w="7921" w:type="dxa"/>
          </w:tcPr>
          <w:p w14:paraId="3956BDDD" w14:textId="68B0888D" w:rsidR="00E17286" w:rsidRPr="00A52AB8" w:rsidRDefault="00E17286" w:rsidP="009C6742">
            <w:pPr>
              <w:spacing w:before="20" w:after="40" w:line="240" w:lineRule="auto"/>
              <w:rPr>
                <w:sz w:val="20"/>
              </w:rPr>
            </w:pPr>
            <w:r w:rsidRPr="00A52AB8">
              <w:rPr>
                <w:b/>
                <w:bCs/>
                <w:sz w:val="20"/>
              </w:rPr>
              <w:tab/>
            </w:r>
            <w:r w:rsidRPr="00A52AB8">
              <w:rPr>
                <w:b/>
                <w:bCs/>
                <w:sz w:val="20"/>
              </w:rPr>
              <w:tab/>
            </w:r>
            <w:r w:rsidRPr="00A52AB8">
              <w:rPr>
                <w:sz w:val="20"/>
              </w:rPr>
              <w:t>j</w:t>
            </w:r>
            <w:r w:rsidR="0023721F" w:rsidRPr="00A52AB8">
              <w:rPr>
                <w:sz w:val="20"/>
              </w:rPr>
              <w:t> </w:t>
            </w:r>
            <w:r w:rsidR="00D47707" w:rsidRPr="00A52AB8">
              <w:rPr>
                <w:sz w:val="20"/>
              </w:rPr>
              <w:t>= </w:t>
            </w:r>
            <w:r w:rsidRPr="00A52AB8">
              <w:rPr>
                <w:sz w:val="20"/>
              </w:rPr>
              <w:t>pi_</w:t>
            </w:r>
            <w:r w:rsidR="00B8075E" w:rsidRPr="00A52AB8">
              <w:rPr>
                <w:sz w:val="20"/>
              </w:rPr>
              <w:t>tile</w:t>
            </w:r>
            <w:r w:rsidRPr="00A52AB8">
              <w:rPr>
                <w:sz w:val="20"/>
              </w:rPr>
              <w:t>_</w:t>
            </w:r>
            <w:r w:rsidR="0001650D" w:rsidRPr="00A52AB8">
              <w:rPr>
                <w:sz w:val="20"/>
              </w:rPr>
              <w:t>id</w:t>
            </w:r>
            <w:r w:rsidR="001F4484" w:rsidRPr="00A52AB8">
              <w:rPr>
                <w:sz w:val="20"/>
              </w:rPr>
              <w:t>[ i ]</w:t>
            </w:r>
          </w:p>
        </w:tc>
        <w:tc>
          <w:tcPr>
            <w:tcW w:w="1248" w:type="dxa"/>
          </w:tcPr>
          <w:p w14:paraId="4FBE9057" w14:textId="77777777" w:rsidR="00E17286" w:rsidRPr="00A52AB8" w:rsidRDefault="00E17286" w:rsidP="009C6742">
            <w:pPr>
              <w:spacing w:before="20" w:after="40" w:line="240" w:lineRule="auto"/>
              <w:jc w:val="center"/>
              <w:rPr>
                <w:sz w:val="20"/>
              </w:rPr>
            </w:pPr>
          </w:p>
        </w:tc>
      </w:tr>
      <w:tr w:rsidR="00E17286" w:rsidRPr="00A52AB8" w14:paraId="550D472B" w14:textId="77777777" w:rsidTr="00A252B5">
        <w:trPr>
          <w:gridAfter w:val="1"/>
          <w:wAfter w:w="8" w:type="dxa"/>
          <w:cantSplit/>
          <w:jc w:val="center"/>
        </w:trPr>
        <w:tc>
          <w:tcPr>
            <w:tcW w:w="7921" w:type="dxa"/>
          </w:tcPr>
          <w:p w14:paraId="08B9077E" w14:textId="77777777" w:rsidR="00E17286" w:rsidRPr="00A52AB8" w:rsidRDefault="00E17286" w:rsidP="009C6742">
            <w:pPr>
              <w:spacing w:before="20" w:after="40" w:line="240" w:lineRule="auto"/>
              <w:rPr>
                <w:sz w:val="20"/>
              </w:rPr>
            </w:pPr>
            <w:r w:rsidRPr="00A52AB8">
              <w:rPr>
                <w:b/>
                <w:bCs/>
                <w:sz w:val="20"/>
              </w:rPr>
              <w:tab/>
            </w:r>
            <w:r w:rsidRPr="00A52AB8">
              <w:rPr>
                <w:b/>
                <w:bCs/>
                <w:sz w:val="20"/>
              </w:rPr>
              <w:tab/>
              <w:t>pi_</w:t>
            </w:r>
            <w:r w:rsidR="00B8075E" w:rsidRPr="00A52AB8">
              <w:rPr>
                <w:b/>
                <w:bCs/>
                <w:sz w:val="20"/>
              </w:rPr>
              <w:t>tile</w:t>
            </w:r>
            <w:r w:rsidRPr="00A52AB8">
              <w:rPr>
                <w:b/>
                <w:bCs/>
                <w:sz w:val="20"/>
              </w:rPr>
              <w:t>_cancel_flag</w:t>
            </w:r>
            <w:r w:rsidR="001F4484" w:rsidRPr="00A52AB8">
              <w:rPr>
                <w:sz w:val="20"/>
              </w:rPr>
              <w:t>[ j ]</w:t>
            </w:r>
          </w:p>
        </w:tc>
        <w:tc>
          <w:tcPr>
            <w:tcW w:w="1248" w:type="dxa"/>
          </w:tcPr>
          <w:p w14:paraId="3D6133CE" w14:textId="77777777" w:rsidR="00E17286" w:rsidRPr="00A52AB8" w:rsidRDefault="00E17286" w:rsidP="009C6742">
            <w:pPr>
              <w:spacing w:before="20" w:after="40" w:line="240" w:lineRule="auto"/>
              <w:jc w:val="center"/>
              <w:rPr>
                <w:rFonts w:eastAsia="Malgun Gothic"/>
                <w:sz w:val="20"/>
              </w:rPr>
            </w:pPr>
            <w:r w:rsidRPr="00A52AB8">
              <w:rPr>
                <w:sz w:val="20"/>
              </w:rPr>
              <w:t>u(1)</w:t>
            </w:r>
          </w:p>
        </w:tc>
      </w:tr>
      <w:tr w:rsidR="00E17286" w:rsidRPr="00A52AB8" w14:paraId="3A94F655" w14:textId="77777777" w:rsidTr="00A252B5">
        <w:trPr>
          <w:gridAfter w:val="1"/>
          <w:wAfter w:w="8" w:type="dxa"/>
          <w:cantSplit/>
          <w:jc w:val="center"/>
        </w:trPr>
        <w:tc>
          <w:tcPr>
            <w:tcW w:w="7921" w:type="dxa"/>
          </w:tcPr>
          <w:p w14:paraId="79701495" w14:textId="77777777" w:rsidR="00E17286" w:rsidRPr="00A52AB8" w:rsidRDefault="00E17286" w:rsidP="009C6742">
            <w:pPr>
              <w:spacing w:before="20" w:after="40" w:line="240" w:lineRule="auto"/>
              <w:rPr>
                <w:b/>
                <w:bCs/>
                <w:sz w:val="20"/>
              </w:rPr>
            </w:pPr>
            <w:r w:rsidRPr="00A52AB8">
              <w:rPr>
                <w:b/>
                <w:bCs/>
                <w:sz w:val="20"/>
              </w:rPr>
              <w:tab/>
            </w:r>
            <w:r w:rsidRPr="00A52AB8">
              <w:rPr>
                <w:b/>
                <w:bCs/>
                <w:sz w:val="20"/>
              </w:rPr>
              <w:tab/>
              <w:t>pi_num_patch_updates</w:t>
            </w:r>
            <w:r w:rsidR="001F4484" w:rsidRPr="00A52AB8">
              <w:rPr>
                <w:sz w:val="20"/>
              </w:rPr>
              <w:t>[ j ]</w:t>
            </w:r>
          </w:p>
        </w:tc>
        <w:tc>
          <w:tcPr>
            <w:tcW w:w="1248" w:type="dxa"/>
          </w:tcPr>
          <w:p w14:paraId="5BD2A1C5" w14:textId="77777777" w:rsidR="00E17286" w:rsidRPr="00A52AB8" w:rsidRDefault="00E17286" w:rsidP="009C6742">
            <w:pPr>
              <w:spacing w:before="20" w:after="40" w:line="240" w:lineRule="auto"/>
              <w:jc w:val="center"/>
              <w:rPr>
                <w:rFonts w:eastAsia="Malgun Gothic"/>
                <w:sz w:val="20"/>
              </w:rPr>
            </w:pPr>
            <w:r w:rsidRPr="00A52AB8">
              <w:rPr>
                <w:sz w:val="20"/>
              </w:rPr>
              <w:t>ue(v)</w:t>
            </w:r>
          </w:p>
        </w:tc>
      </w:tr>
      <w:tr w:rsidR="00E17286" w:rsidRPr="00A52AB8" w14:paraId="46232FDD" w14:textId="77777777" w:rsidTr="00A252B5">
        <w:trPr>
          <w:gridAfter w:val="1"/>
          <w:wAfter w:w="8" w:type="dxa"/>
          <w:cantSplit/>
          <w:jc w:val="center"/>
        </w:trPr>
        <w:tc>
          <w:tcPr>
            <w:tcW w:w="7921" w:type="dxa"/>
          </w:tcPr>
          <w:p w14:paraId="7FBAE6B4" w14:textId="15C6F83F" w:rsidR="00E17286" w:rsidRPr="00A52AB8" w:rsidRDefault="00E17286" w:rsidP="009C6742">
            <w:pPr>
              <w:spacing w:before="20" w:after="40" w:line="240" w:lineRule="auto"/>
              <w:rPr>
                <w:b/>
                <w:bCs/>
                <w:sz w:val="20"/>
              </w:rPr>
            </w:pPr>
            <w:r w:rsidRPr="00A52AB8">
              <w:rPr>
                <w:color w:val="000000" w:themeColor="text1"/>
                <w:sz w:val="20"/>
                <w:szCs w:val="20"/>
              </w:rPr>
              <w:tab/>
            </w:r>
            <w:r w:rsidRPr="00A52AB8">
              <w:rPr>
                <w:color w:val="000000" w:themeColor="text1"/>
                <w:sz w:val="20"/>
                <w:szCs w:val="20"/>
              </w:rPr>
              <w:tab/>
            </w:r>
            <w:r w:rsidRPr="00A52AB8">
              <w:rPr>
                <w:bCs/>
                <w:sz w:val="20"/>
              </w:rPr>
              <w:t>for(</w:t>
            </w:r>
            <w:r w:rsidR="00AE24CD" w:rsidRPr="00A52AB8">
              <w:rPr>
                <w:bCs/>
                <w:sz w:val="20"/>
              </w:rPr>
              <w:t> </w:t>
            </w:r>
            <w:r w:rsidRPr="00A52AB8">
              <w:rPr>
                <w:bCs/>
                <w:sz w:val="20"/>
              </w:rPr>
              <w:t>k</w:t>
            </w:r>
            <w:r w:rsidR="00D47707" w:rsidRPr="00A52AB8">
              <w:rPr>
                <w:bCs/>
                <w:sz w:val="20"/>
              </w:rPr>
              <w:t> = </w:t>
            </w:r>
            <w:r w:rsidRPr="00A52AB8">
              <w:rPr>
                <w:bCs/>
                <w:sz w:val="20"/>
              </w:rPr>
              <w:t>0;</w:t>
            </w:r>
            <w:r w:rsidR="00AE24CD" w:rsidRPr="00A52AB8">
              <w:t> </w:t>
            </w:r>
            <w:r w:rsidRPr="00A52AB8">
              <w:rPr>
                <w:bCs/>
                <w:sz w:val="20"/>
              </w:rPr>
              <w:t>k &lt; pi_num_</w:t>
            </w:r>
            <w:r w:rsidRPr="00A52AB8">
              <w:rPr>
                <w:sz w:val="20"/>
              </w:rPr>
              <w:t>patch_updates</w:t>
            </w:r>
            <w:r w:rsidR="001F4484" w:rsidRPr="00A52AB8">
              <w:rPr>
                <w:sz w:val="20"/>
              </w:rPr>
              <w:t>[ j ]</w:t>
            </w:r>
            <w:r w:rsidRPr="00A52AB8">
              <w:rPr>
                <w:bCs/>
                <w:sz w:val="20"/>
              </w:rPr>
              <w:t>;</w:t>
            </w:r>
            <w:r w:rsidR="00AE24CD" w:rsidRPr="00A52AB8">
              <w:rPr>
                <w:bCs/>
                <w:sz w:val="20"/>
              </w:rPr>
              <w:t> </w:t>
            </w:r>
            <w:r w:rsidRPr="00A52AB8">
              <w:rPr>
                <w:bCs/>
                <w:sz w:val="20"/>
              </w:rPr>
              <w:t>k</w:t>
            </w:r>
            <w:r w:rsidR="00006CCF" w:rsidRPr="00A52AB8">
              <w:rPr>
                <w:bCs/>
                <w:sz w:val="20"/>
              </w:rPr>
              <w:t>++ </w:t>
            </w:r>
            <w:r w:rsidR="008F1F82" w:rsidRPr="00A52AB8">
              <w:rPr>
                <w:bCs/>
                <w:sz w:val="20"/>
              </w:rPr>
              <w:t>) {</w:t>
            </w:r>
          </w:p>
        </w:tc>
        <w:tc>
          <w:tcPr>
            <w:tcW w:w="1248" w:type="dxa"/>
          </w:tcPr>
          <w:p w14:paraId="403180B3" w14:textId="77777777" w:rsidR="00E17286" w:rsidRPr="00A52AB8" w:rsidRDefault="00E17286" w:rsidP="009C6742">
            <w:pPr>
              <w:spacing w:before="20" w:after="40" w:line="240" w:lineRule="auto"/>
              <w:jc w:val="center"/>
              <w:rPr>
                <w:rFonts w:eastAsia="Malgun Gothic"/>
                <w:sz w:val="20"/>
              </w:rPr>
            </w:pPr>
          </w:p>
        </w:tc>
      </w:tr>
      <w:tr w:rsidR="00E17286" w:rsidRPr="00A52AB8" w14:paraId="16D1140D" w14:textId="77777777" w:rsidTr="00A252B5">
        <w:trPr>
          <w:gridAfter w:val="1"/>
          <w:wAfter w:w="8" w:type="dxa"/>
          <w:cantSplit/>
          <w:jc w:val="center"/>
        </w:trPr>
        <w:tc>
          <w:tcPr>
            <w:tcW w:w="7921" w:type="dxa"/>
          </w:tcPr>
          <w:p w14:paraId="4EF00D26" w14:textId="77777777" w:rsidR="00E17286" w:rsidRPr="00A52AB8" w:rsidRDefault="00E17286" w:rsidP="009C6742">
            <w:pPr>
              <w:spacing w:before="20" w:after="40" w:line="240" w:lineRule="auto"/>
              <w:rPr>
                <w:color w:val="000000" w:themeColor="text1"/>
                <w:sz w:val="20"/>
                <w:szCs w:val="20"/>
              </w:rPr>
            </w:pPr>
            <w:r w:rsidRPr="00A52AB8">
              <w:rPr>
                <w:color w:val="000000" w:themeColor="text1"/>
                <w:sz w:val="20"/>
                <w:szCs w:val="20"/>
              </w:rPr>
              <w:tab/>
            </w:r>
            <w:r w:rsidRPr="00A52AB8">
              <w:rPr>
                <w:color w:val="000000" w:themeColor="text1"/>
                <w:sz w:val="20"/>
                <w:szCs w:val="20"/>
              </w:rPr>
              <w:tab/>
            </w:r>
            <w:r w:rsidRPr="00A52AB8">
              <w:rPr>
                <w:b/>
                <w:bCs/>
                <w:sz w:val="20"/>
              </w:rPr>
              <w:tab/>
              <w:t>pi_patch_idx</w:t>
            </w:r>
            <w:r w:rsidR="001F4484" w:rsidRPr="00A52AB8">
              <w:rPr>
                <w:sz w:val="20"/>
              </w:rPr>
              <w:t>[ j ]</w:t>
            </w:r>
            <w:r w:rsidR="004B7314" w:rsidRPr="00A52AB8">
              <w:rPr>
                <w:sz w:val="20"/>
              </w:rPr>
              <w:t>[ k ]</w:t>
            </w:r>
          </w:p>
        </w:tc>
        <w:tc>
          <w:tcPr>
            <w:tcW w:w="1248" w:type="dxa"/>
          </w:tcPr>
          <w:p w14:paraId="6A3538CE" w14:textId="77777777" w:rsidR="00E17286" w:rsidRPr="00A52AB8" w:rsidRDefault="00E17286" w:rsidP="009C6742">
            <w:pPr>
              <w:spacing w:before="20" w:after="40" w:line="240" w:lineRule="auto"/>
              <w:jc w:val="center"/>
              <w:rPr>
                <w:rFonts w:eastAsia="Malgun Gothic"/>
                <w:sz w:val="20"/>
              </w:rPr>
            </w:pPr>
            <w:r w:rsidRPr="00A52AB8">
              <w:rPr>
                <w:bCs/>
                <w:sz w:val="20"/>
              </w:rPr>
              <w:t>u(v)</w:t>
            </w:r>
          </w:p>
        </w:tc>
      </w:tr>
      <w:tr w:rsidR="00E17286" w:rsidRPr="00A52AB8" w14:paraId="0C4AD042" w14:textId="77777777" w:rsidTr="00A252B5">
        <w:trPr>
          <w:gridAfter w:val="1"/>
          <w:wAfter w:w="8" w:type="dxa"/>
          <w:cantSplit/>
          <w:jc w:val="center"/>
        </w:trPr>
        <w:tc>
          <w:tcPr>
            <w:tcW w:w="7921" w:type="dxa"/>
          </w:tcPr>
          <w:p w14:paraId="6DFAE8B3" w14:textId="6B4145F7" w:rsidR="00E17286" w:rsidRPr="00A52AB8" w:rsidRDefault="00E17286" w:rsidP="009C6742">
            <w:pPr>
              <w:spacing w:before="20" w:after="40" w:line="240" w:lineRule="auto"/>
              <w:rPr>
                <w:sz w:val="20"/>
              </w:rPr>
            </w:pPr>
            <w:r w:rsidRPr="00A52AB8">
              <w:rPr>
                <w:b/>
                <w:bCs/>
                <w:sz w:val="20"/>
              </w:rPr>
              <w:tab/>
            </w:r>
            <w:r w:rsidRPr="00A52AB8">
              <w:rPr>
                <w:b/>
                <w:bCs/>
                <w:sz w:val="20"/>
              </w:rPr>
              <w:tab/>
            </w:r>
            <w:r w:rsidRPr="00A52AB8">
              <w:rPr>
                <w:b/>
                <w:bCs/>
                <w:sz w:val="20"/>
              </w:rPr>
              <w:tab/>
            </w:r>
            <w:r w:rsidRPr="00A52AB8">
              <w:rPr>
                <w:sz w:val="20"/>
              </w:rPr>
              <w:t>p</w:t>
            </w:r>
            <w:r w:rsidR="00D47707" w:rsidRPr="00A52AB8">
              <w:rPr>
                <w:sz w:val="20"/>
              </w:rPr>
              <w:t> = </w:t>
            </w:r>
            <w:r w:rsidRPr="00A52AB8">
              <w:rPr>
                <w:sz w:val="20"/>
              </w:rPr>
              <w:t>pi_patch_idx</w:t>
            </w:r>
            <w:r w:rsidR="001F4484" w:rsidRPr="00A52AB8">
              <w:rPr>
                <w:sz w:val="20"/>
              </w:rPr>
              <w:t>[ j ]</w:t>
            </w:r>
            <w:r w:rsidR="004B7314" w:rsidRPr="00A52AB8">
              <w:rPr>
                <w:sz w:val="20"/>
              </w:rPr>
              <w:t>[ k ]</w:t>
            </w:r>
          </w:p>
        </w:tc>
        <w:tc>
          <w:tcPr>
            <w:tcW w:w="1248" w:type="dxa"/>
          </w:tcPr>
          <w:p w14:paraId="4DBDFAC9" w14:textId="77777777" w:rsidR="00E17286" w:rsidRPr="00A52AB8" w:rsidRDefault="00E17286" w:rsidP="009C6742">
            <w:pPr>
              <w:spacing w:before="20" w:after="40" w:line="240" w:lineRule="auto"/>
              <w:jc w:val="center"/>
              <w:rPr>
                <w:rFonts w:eastAsia="Malgun Gothic"/>
                <w:sz w:val="20"/>
              </w:rPr>
            </w:pPr>
          </w:p>
        </w:tc>
      </w:tr>
      <w:tr w:rsidR="00E17286" w:rsidRPr="00A52AB8" w14:paraId="72E9A07E" w14:textId="77777777" w:rsidTr="00A252B5">
        <w:trPr>
          <w:gridAfter w:val="1"/>
          <w:wAfter w:w="8" w:type="dxa"/>
          <w:cantSplit/>
          <w:jc w:val="center"/>
        </w:trPr>
        <w:tc>
          <w:tcPr>
            <w:tcW w:w="7921" w:type="dxa"/>
          </w:tcPr>
          <w:p w14:paraId="2D242249" w14:textId="77777777" w:rsidR="00E17286" w:rsidRPr="00A52AB8" w:rsidRDefault="00E17286" w:rsidP="009C6742">
            <w:pPr>
              <w:spacing w:before="20" w:after="40" w:line="240" w:lineRule="auto"/>
              <w:rPr>
                <w:sz w:val="20"/>
              </w:rPr>
            </w:pPr>
            <w:r w:rsidRPr="00A52AB8">
              <w:rPr>
                <w:b/>
                <w:bCs/>
                <w:sz w:val="20"/>
              </w:rPr>
              <w:tab/>
            </w:r>
            <w:r w:rsidRPr="00A52AB8">
              <w:rPr>
                <w:b/>
                <w:bCs/>
                <w:sz w:val="20"/>
              </w:rPr>
              <w:tab/>
            </w:r>
            <w:r w:rsidRPr="00A52AB8">
              <w:rPr>
                <w:b/>
                <w:bCs/>
                <w:sz w:val="20"/>
              </w:rPr>
              <w:tab/>
              <w:t>pi_patch_cancel_flag</w:t>
            </w:r>
            <w:r w:rsidR="001F4484" w:rsidRPr="00A52AB8">
              <w:rPr>
                <w:sz w:val="20"/>
              </w:rPr>
              <w:t>[ j ]</w:t>
            </w:r>
            <w:r w:rsidRPr="00A52AB8">
              <w:rPr>
                <w:sz w:val="20"/>
              </w:rPr>
              <w:t>[ p ]</w:t>
            </w:r>
          </w:p>
        </w:tc>
        <w:tc>
          <w:tcPr>
            <w:tcW w:w="1248" w:type="dxa"/>
          </w:tcPr>
          <w:p w14:paraId="5E4407BC" w14:textId="77777777" w:rsidR="00E17286" w:rsidRPr="00A52AB8" w:rsidRDefault="00E17286" w:rsidP="009C6742">
            <w:pPr>
              <w:spacing w:before="20" w:after="40" w:line="240" w:lineRule="auto"/>
              <w:jc w:val="center"/>
              <w:rPr>
                <w:rFonts w:eastAsia="Malgun Gothic"/>
                <w:sz w:val="20"/>
              </w:rPr>
            </w:pPr>
            <w:r w:rsidRPr="00A52AB8">
              <w:rPr>
                <w:sz w:val="20"/>
              </w:rPr>
              <w:t>u(1)</w:t>
            </w:r>
          </w:p>
        </w:tc>
      </w:tr>
      <w:tr w:rsidR="00E17286" w:rsidRPr="00A52AB8" w14:paraId="761882B8" w14:textId="77777777" w:rsidTr="00A252B5">
        <w:trPr>
          <w:gridAfter w:val="1"/>
          <w:wAfter w:w="8" w:type="dxa"/>
          <w:cantSplit/>
          <w:jc w:val="center"/>
        </w:trPr>
        <w:tc>
          <w:tcPr>
            <w:tcW w:w="7921" w:type="dxa"/>
          </w:tcPr>
          <w:p w14:paraId="07BF02E1" w14:textId="42261096" w:rsidR="00E17286" w:rsidRPr="00A52AB8" w:rsidRDefault="00E17286" w:rsidP="009C6742">
            <w:pPr>
              <w:spacing w:before="20" w:after="40" w:line="240" w:lineRule="auto"/>
              <w:rPr>
                <w:color w:val="000000" w:themeColor="text1"/>
                <w:sz w:val="20"/>
                <w:szCs w:val="20"/>
              </w:rPr>
            </w:pPr>
            <w:r w:rsidRPr="00A52AB8">
              <w:rPr>
                <w:color w:val="000000" w:themeColor="text1"/>
                <w:sz w:val="20"/>
                <w:szCs w:val="20"/>
              </w:rPr>
              <w:tab/>
            </w:r>
            <w:r w:rsidRPr="00A52AB8">
              <w:rPr>
                <w:color w:val="000000" w:themeColor="text1"/>
                <w:sz w:val="20"/>
                <w:szCs w:val="20"/>
              </w:rPr>
              <w:tab/>
            </w:r>
            <w:r w:rsidRPr="00A52AB8">
              <w:rPr>
                <w:color w:val="000000" w:themeColor="text1"/>
                <w:sz w:val="20"/>
                <w:szCs w:val="20"/>
              </w:rPr>
              <w:tab/>
              <w:t>if( !</w:t>
            </w:r>
            <w:r w:rsidRPr="00A52AB8">
              <w:rPr>
                <w:sz w:val="20"/>
              </w:rPr>
              <w:t>pi_patch_cancel_flag</w:t>
            </w:r>
            <w:r w:rsidR="001F4484" w:rsidRPr="00A52AB8">
              <w:rPr>
                <w:sz w:val="20"/>
              </w:rPr>
              <w:t>[ j ]</w:t>
            </w:r>
            <w:r w:rsidRPr="00A52AB8">
              <w:rPr>
                <w:sz w:val="20"/>
              </w:rPr>
              <w:t>[ p ] </w:t>
            </w:r>
            <w:r w:rsidR="008F1F82" w:rsidRPr="00A52AB8">
              <w:rPr>
                <w:sz w:val="20"/>
              </w:rPr>
              <w:t>) {</w:t>
            </w:r>
          </w:p>
        </w:tc>
        <w:tc>
          <w:tcPr>
            <w:tcW w:w="1248" w:type="dxa"/>
          </w:tcPr>
          <w:p w14:paraId="45DE2404" w14:textId="77777777" w:rsidR="00E17286" w:rsidRPr="00A52AB8" w:rsidRDefault="00E17286" w:rsidP="009C6742">
            <w:pPr>
              <w:spacing w:before="20" w:after="40" w:line="240" w:lineRule="auto"/>
              <w:jc w:val="center"/>
              <w:rPr>
                <w:bCs/>
                <w:sz w:val="20"/>
              </w:rPr>
            </w:pPr>
          </w:p>
        </w:tc>
      </w:tr>
      <w:tr w:rsidR="00E17286" w:rsidRPr="00A52AB8" w14:paraId="0BFF3B92" w14:textId="77777777" w:rsidTr="00A252B5">
        <w:trPr>
          <w:gridAfter w:val="1"/>
          <w:wAfter w:w="8" w:type="dxa"/>
          <w:cantSplit/>
          <w:jc w:val="center"/>
        </w:trPr>
        <w:tc>
          <w:tcPr>
            <w:tcW w:w="7921" w:type="dxa"/>
          </w:tcPr>
          <w:p w14:paraId="255BC1CF" w14:textId="77777777" w:rsidR="00E17286" w:rsidRPr="00A52AB8" w:rsidRDefault="00E17286" w:rsidP="009C6742">
            <w:pPr>
              <w:spacing w:before="20" w:after="40" w:line="240" w:lineRule="auto"/>
              <w:rPr>
                <w:color w:val="000000" w:themeColor="text1"/>
                <w:sz w:val="20"/>
                <w:szCs w:val="20"/>
              </w:rPr>
            </w:pPr>
            <w:r w:rsidRPr="00A52AB8">
              <w:rPr>
                <w:color w:val="000000" w:themeColor="text1"/>
                <w:sz w:val="20"/>
                <w:szCs w:val="20"/>
              </w:rPr>
              <w:tab/>
            </w:r>
            <w:r w:rsidRPr="00A52AB8">
              <w:rPr>
                <w:color w:val="000000" w:themeColor="text1"/>
                <w:sz w:val="20"/>
                <w:szCs w:val="20"/>
              </w:rPr>
              <w:tab/>
            </w:r>
            <w:r w:rsidRPr="00A52AB8">
              <w:rPr>
                <w:color w:val="000000" w:themeColor="text1"/>
                <w:sz w:val="20"/>
                <w:szCs w:val="20"/>
              </w:rPr>
              <w:tab/>
            </w:r>
            <w:r w:rsidRPr="00A52AB8">
              <w:rPr>
                <w:color w:val="000000" w:themeColor="text1"/>
                <w:sz w:val="20"/>
                <w:szCs w:val="20"/>
              </w:rPr>
              <w:tab/>
            </w:r>
            <w:r w:rsidRPr="00A52AB8">
              <w:rPr>
                <w:b/>
                <w:bCs/>
                <w:color w:val="000000" w:themeColor="text1"/>
                <w:sz w:val="20"/>
                <w:szCs w:val="20"/>
              </w:rPr>
              <w:t>pi_patch_number_of_objects_minus1</w:t>
            </w:r>
            <w:r w:rsidR="001F4484" w:rsidRPr="00A52AB8">
              <w:rPr>
                <w:sz w:val="20"/>
              </w:rPr>
              <w:t>[ j ]</w:t>
            </w:r>
            <w:r w:rsidRPr="00A52AB8">
              <w:rPr>
                <w:sz w:val="20"/>
              </w:rPr>
              <w:t>[</w:t>
            </w:r>
            <w:r w:rsidRPr="00A52AB8">
              <w:rPr>
                <w:bCs/>
                <w:sz w:val="20"/>
              </w:rPr>
              <w:t> p </w:t>
            </w:r>
            <w:r w:rsidRPr="00A52AB8">
              <w:rPr>
                <w:sz w:val="20"/>
              </w:rPr>
              <w:t>]</w:t>
            </w:r>
          </w:p>
        </w:tc>
        <w:tc>
          <w:tcPr>
            <w:tcW w:w="1248" w:type="dxa"/>
          </w:tcPr>
          <w:p w14:paraId="4C26EA81" w14:textId="77777777" w:rsidR="00E17286" w:rsidRPr="00A52AB8" w:rsidRDefault="00E17286" w:rsidP="009C6742">
            <w:pPr>
              <w:spacing w:before="20" w:after="40" w:line="240" w:lineRule="auto"/>
              <w:jc w:val="center"/>
              <w:rPr>
                <w:bCs/>
                <w:sz w:val="20"/>
              </w:rPr>
            </w:pPr>
            <w:r w:rsidRPr="00A52AB8">
              <w:rPr>
                <w:bCs/>
                <w:sz w:val="20"/>
              </w:rPr>
              <w:t>ue(v)</w:t>
            </w:r>
          </w:p>
        </w:tc>
      </w:tr>
      <w:tr w:rsidR="00E17286" w:rsidRPr="00A52AB8" w14:paraId="62CB3C84" w14:textId="77777777" w:rsidTr="00A252B5">
        <w:trPr>
          <w:gridAfter w:val="1"/>
          <w:wAfter w:w="8" w:type="dxa"/>
          <w:cantSplit/>
          <w:jc w:val="center"/>
        </w:trPr>
        <w:tc>
          <w:tcPr>
            <w:tcW w:w="7921" w:type="dxa"/>
          </w:tcPr>
          <w:p w14:paraId="599D084F" w14:textId="053F9A67" w:rsidR="00E17286" w:rsidRPr="00A52AB8" w:rsidRDefault="00E17286" w:rsidP="009C6742">
            <w:pPr>
              <w:spacing w:before="20" w:after="40" w:line="240" w:lineRule="auto"/>
              <w:rPr>
                <w:color w:val="000000" w:themeColor="text1"/>
                <w:sz w:val="20"/>
                <w:szCs w:val="20"/>
              </w:rPr>
            </w:pPr>
            <w:r w:rsidRPr="00A52AB8">
              <w:rPr>
                <w:color w:val="000000" w:themeColor="text1"/>
                <w:sz w:val="20"/>
                <w:szCs w:val="20"/>
              </w:rPr>
              <w:tab/>
            </w:r>
            <w:r w:rsidRPr="00A52AB8">
              <w:rPr>
                <w:color w:val="000000" w:themeColor="text1"/>
                <w:sz w:val="20"/>
                <w:szCs w:val="20"/>
              </w:rPr>
              <w:tab/>
            </w:r>
            <w:r w:rsidRPr="00A52AB8">
              <w:rPr>
                <w:color w:val="000000" w:themeColor="text1"/>
                <w:sz w:val="20"/>
                <w:szCs w:val="20"/>
              </w:rPr>
              <w:tab/>
            </w:r>
            <w:r w:rsidRPr="00A52AB8">
              <w:rPr>
                <w:color w:val="000000" w:themeColor="text1"/>
                <w:sz w:val="20"/>
                <w:szCs w:val="20"/>
              </w:rPr>
              <w:tab/>
              <w:t>m</w:t>
            </w:r>
            <w:r w:rsidR="00D47707" w:rsidRPr="00A52AB8">
              <w:rPr>
                <w:color w:val="000000" w:themeColor="text1"/>
                <w:sz w:val="20"/>
                <w:szCs w:val="20"/>
              </w:rPr>
              <w:t> = </w:t>
            </w:r>
            <w:r w:rsidRPr="00A52AB8">
              <w:rPr>
                <w:color w:val="000000" w:themeColor="text1"/>
                <w:sz w:val="20"/>
                <w:szCs w:val="20"/>
              </w:rPr>
              <w:t>pi_patch_number_of_objects_minus1</w:t>
            </w:r>
            <w:r w:rsidR="001F4484" w:rsidRPr="00A52AB8">
              <w:rPr>
                <w:sz w:val="20"/>
              </w:rPr>
              <w:t>[ j ]</w:t>
            </w:r>
            <w:r w:rsidRPr="00A52AB8">
              <w:rPr>
                <w:sz w:val="20"/>
              </w:rPr>
              <w:t>[ p ]</w:t>
            </w:r>
            <w:r w:rsidR="00AE24CD" w:rsidRPr="00A52AB8">
              <w:rPr>
                <w:sz w:val="20"/>
              </w:rPr>
              <w:t> </w:t>
            </w:r>
            <w:r w:rsidRPr="00A52AB8">
              <w:rPr>
                <w:sz w:val="20"/>
              </w:rPr>
              <w:t>+</w:t>
            </w:r>
            <w:r w:rsidR="00AE24CD" w:rsidRPr="00A52AB8">
              <w:rPr>
                <w:sz w:val="20"/>
              </w:rPr>
              <w:t> </w:t>
            </w:r>
            <w:r w:rsidRPr="00A52AB8">
              <w:rPr>
                <w:sz w:val="20"/>
              </w:rPr>
              <w:t>1</w:t>
            </w:r>
          </w:p>
        </w:tc>
        <w:tc>
          <w:tcPr>
            <w:tcW w:w="1248" w:type="dxa"/>
          </w:tcPr>
          <w:p w14:paraId="7854A858" w14:textId="77777777" w:rsidR="00E17286" w:rsidRPr="00A52AB8" w:rsidRDefault="00E17286" w:rsidP="009C6742">
            <w:pPr>
              <w:spacing w:before="20" w:after="40" w:line="240" w:lineRule="auto"/>
              <w:jc w:val="center"/>
              <w:rPr>
                <w:bCs/>
                <w:sz w:val="20"/>
              </w:rPr>
            </w:pPr>
          </w:p>
        </w:tc>
      </w:tr>
      <w:tr w:rsidR="00E17286" w:rsidRPr="00A52AB8" w14:paraId="11DC4A1D" w14:textId="77777777" w:rsidTr="00A252B5">
        <w:trPr>
          <w:gridAfter w:val="1"/>
          <w:wAfter w:w="8" w:type="dxa"/>
          <w:cantSplit/>
          <w:jc w:val="center"/>
        </w:trPr>
        <w:tc>
          <w:tcPr>
            <w:tcW w:w="7921" w:type="dxa"/>
          </w:tcPr>
          <w:p w14:paraId="29DD7A3B" w14:textId="4C6AFD9C" w:rsidR="00E17286" w:rsidRPr="00A52AB8" w:rsidRDefault="00E17286" w:rsidP="009C6742">
            <w:pPr>
              <w:spacing w:before="20" w:after="40" w:line="240" w:lineRule="auto"/>
              <w:rPr>
                <w:color w:val="000000" w:themeColor="text1"/>
                <w:sz w:val="20"/>
                <w:szCs w:val="20"/>
              </w:rPr>
            </w:pPr>
            <w:r w:rsidRPr="00A52AB8">
              <w:rPr>
                <w:color w:val="000000" w:themeColor="text1"/>
                <w:sz w:val="20"/>
                <w:szCs w:val="20"/>
              </w:rPr>
              <w:tab/>
            </w:r>
            <w:r w:rsidRPr="00A52AB8">
              <w:rPr>
                <w:color w:val="000000" w:themeColor="text1"/>
                <w:sz w:val="20"/>
                <w:szCs w:val="20"/>
              </w:rPr>
              <w:tab/>
            </w:r>
            <w:r w:rsidRPr="00A52AB8">
              <w:rPr>
                <w:color w:val="000000" w:themeColor="text1"/>
                <w:sz w:val="20"/>
                <w:szCs w:val="20"/>
              </w:rPr>
              <w:tab/>
            </w:r>
            <w:r w:rsidRPr="00A52AB8">
              <w:rPr>
                <w:color w:val="000000" w:themeColor="text1"/>
                <w:sz w:val="20"/>
                <w:szCs w:val="20"/>
              </w:rPr>
              <w:tab/>
              <w:t>for(</w:t>
            </w:r>
            <w:r w:rsidR="00AE24CD" w:rsidRPr="00A52AB8">
              <w:rPr>
                <w:color w:val="000000" w:themeColor="text1"/>
                <w:sz w:val="20"/>
                <w:szCs w:val="20"/>
              </w:rPr>
              <w:t> </w:t>
            </w:r>
            <w:r w:rsidRPr="00A52AB8">
              <w:rPr>
                <w:color w:val="000000" w:themeColor="text1"/>
                <w:sz w:val="20"/>
                <w:szCs w:val="20"/>
              </w:rPr>
              <w:t>n</w:t>
            </w:r>
            <w:r w:rsidR="00D47707" w:rsidRPr="00A52AB8">
              <w:rPr>
                <w:color w:val="000000" w:themeColor="text1"/>
                <w:sz w:val="20"/>
                <w:szCs w:val="20"/>
              </w:rPr>
              <w:t> = </w:t>
            </w:r>
            <w:r w:rsidRPr="00A52AB8">
              <w:rPr>
                <w:color w:val="000000" w:themeColor="text1"/>
                <w:sz w:val="20"/>
                <w:szCs w:val="20"/>
              </w:rPr>
              <w:t>0;</w:t>
            </w:r>
            <w:r w:rsidR="00AE24CD" w:rsidRPr="00A52AB8">
              <w:rPr>
                <w:color w:val="000000" w:themeColor="text1"/>
                <w:sz w:val="20"/>
                <w:szCs w:val="20"/>
              </w:rPr>
              <w:t> </w:t>
            </w:r>
            <w:r w:rsidRPr="00A52AB8">
              <w:rPr>
                <w:color w:val="000000" w:themeColor="text1"/>
                <w:sz w:val="20"/>
                <w:szCs w:val="20"/>
              </w:rPr>
              <w:t>n</w:t>
            </w:r>
            <w:r w:rsidR="00AE24CD" w:rsidRPr="00A52AB8">
              <w:rPr>
                <w:color w:val="000000" w:themeColor="text1"/>
                <w:sz w:val="20"/>
                <w:szCs w:val="20"/>
              </w:rPr>
              <w:t> </w:t>
            </w:r>
            <w:r w:rsidRPr="00A52AB8">
              <w:rPr>
                <w:color w:val="000000" w:themeColor="text1"/>
                <w:sz w:val="20"/>
                <w:szCs w:val="20"/>
              </w:rPr>
              <w:t>&lt;</w:t>
            </w:r>
            <w:r w:rsidR="00AE24CD" w:rsidRPr="00A52AB8">
              <w:rPr>
                <w:color w:val="000000" w:themeColor="text1"/>
                <w:sz w:val="20"/>
                <w:szCs w:val="20"/>
              </w:rPr>
              <w:t> </w:t>
            </w:r>
            <w:r w:rsidRPr="00A52AB8">
              <w:rPr>
                <w:color w:val="000000" w:themeColor="text1"/>
                <w:sz w:val="20"/>
                <w:szCs w:val="20"/>
              </w:rPr>
              <w:t>m;</w:t>
            </w:r>
            <w:r w:rsidR="00AE24CD" w:rsidRPr="00A52AB8">
              <w:rPr>
                <w:color w:val="000000" w:themeColor="text1"/>
                <w:sz w:val="20"/>
                <w:szCs w:val="20"/>
              </w:rPr>
              <w:t> </w:t>
            </w:r>
            <w:r w:rsidRPr="00A52AB8">
              <w:rPr>
                <w:color w:val="000000" w:themeColor="text1"/>
                <w:sz w:val="20"/>
                <w:szCs w:val="20"/>
              </w:rPr>
              <w:t>n</w:t>
            </w:r>
            <w:r w:rsidR="00006CCF" w:rsidRPr="00A52AB8">
              <w:rPr>
                <w:color w:val="000000" w:themeColor="text1"/>
                <w:sz w:val="20"/>
                <w:szCs w:val="20"/>
              </w:rPr>
              <w:t>++ )</w:t>
            </w:r>
          </w:p>
        </w:tc>
        <w:tc>
          <w:tcPr>
            <w:tcW w:w="1248" w:type="dxa"/>
          </w:tcPr>
          <w:p w14:paraId="30A700F3" w14:textId="77777777" w:rsidR="00E17286" w:rsidRPr="00A52AB8" w:rsidRDefault="00E17286" w:rsidP="009C6742">
            <w:pPr>
              <w:spacing w:before="20" w:after="40" w:line="240" w:lineRule="auto"/>
              <w:jc w:val="center"/>
              <w:rPr>
                <w:bCs/>
                <w:sz w:val="20"/>
              </w:rPr>
            </w:pPr>
          </w:p>
        </w:tc>
      </w:tr>
      <w:tr w:rsidR="00E17286" w:rsidRPr="00A52AB8" w14:paraId="59451068" w14:textId="77777777" w:rsidTr="00A252B5">
        <w:trPr>
          <w:gridAfter w:val="1"/>
          <w:wAfter w:w="8" w:type="dxa"/>
          <w:cantSplit/>
          <w:jc w:val="center"/>
        </w:trPr>
        <w:tc>
          <w:tcPr>
            <w:tcW w:w="7921" w:type="dxa"/>
          </w:tcPr>
          <w:p w14:paraId="4B13FA39" w14:textId="77777777" w:rsidR="00E17286" w:rsidRPr="00A52AB8" w:rsidRDefault="00E17286" w:rsidP="009C6742">
            <w:pPr>
              <w:spacing w:before="20" w:after="40" w:line="240" w:lineRule="auto"/>
              <w:rPr>
                <w:color w:val="000000" w:themeColor="text1"/>
                <w:sz w:val="20"/>
                <w:szCs w:val="20"/>
              </w:rPr>
            </w:pPr>
            <w:r w:rsidRPr="00A52AB8">
              <w:rPr>
                <w:color w:val="000000" w:themeColor="text1"/>
                <w:sz w:val="20"/>
                <w:szCs w:val="20"/>
              </w:rPr>
              <w:tab/>
            </w:r>
            <w:r w:rsidRPr="00A52AB8">
              <w:rPr>
                <w:color w:val="000000" w:themeColor="text1"/>
                <w:sz w:val="20"/>
                <w:szCs w:val="20"/>
              </w:rPr>
              <w:tab/>
            </w:r>
            <w:r w:rsidRPr="00A52AB8">
              <w:rPr>
                <w:b/>
                <w:bCs/>
                <w:sz w:val="20"/>
              </w:rPr>
              <w:tab/>
            </w:r>
            <w:r w:rsidRPr="00A52AB8">
              <w:rPr>
                <w:b/>
                <w:bCs/>
                <w:sz w:val="20"/>
              </w:rPr>
              <w:tab/>
            </w:r>
            <w:r w:rsidRPr="00A52AB8">
              <w:rPr>
                <w:b/>
                <w:bCs/>
                <w:sz w:val="20"/>
              </w:rPr>
              <w:tab/>
              <w:t>pi_patch_object_idx</w:t>
            </w:r>
            <w:r w:rsidR="001F4484" w:rsidRPr="00A52AB8">
              <w:rPr>
                <w:sz w:val="20"/>
              </w:rPr>
              <w:t>[ j ]</w:t>
            </w:r>
            <w:r w:rsidRPr="00A52AB8">
              <w:rPr>
                <w:sz w:val="20"/>
              </w:rPr>
              <w:t>[</w:t>
            </w:r>
            <w:r w:rsidRPr="00A52AB8">
              <w:rPr>
                <w:bCs/>
                <w:sz w:val="20"/>
              </w:rPr>
              <w:t> p </w:t>
            </w:r>
            <w:r w:rsidRPr="00A52AB8">
              <w:rPr>
                <w:sz w:val="20"/>
              </w:rPr>
              <w:t>][ n ]</w:t>
            </w:r>
          </w:p>
        </w:tc>
        <w:tc>
          <w:tcPr>
            <w:tcW w:w="1248" w:type="dxa"/>
          </w:tcPr>
          <w:p w14:paraId="587345AE" w14:textId="77777777" w:rsidR="00E17286" w:rsidRPr="00A52AB8" w:rsidRDefault="00E17286" w:rsidP="009C6742">
            <w:pPr>
              <w:spacing w:before="20" w:after="40" w:line="240" w:lineRule="auto"/>
              <w:jc w:val="center"/>
              <w:rPr>
                <w:rFonts w:eastAsia="Malgun Gothic"/>
                <w:sz w:val="20"/>
              </w:rPr>
            </w:pPr>
            <w:r w:rsidRPr="00A52AB8">
              <w:rPr>
                <w:bCs/>
                <w:sz w:val="20"/>
              </w:rPr>
              <w:t>u(v)</w:t>
            </w:r>
          </w:p>
        </w:tc>
      </w:tr>
      <w:tr w:rsidR="00E17286" w:rsidRPr="00A52AB8" w14:paraId="23C01B89" w14:textId="77777777" w:rsidTr="00A252B5">
        <w:trPr>
          <w:gridAfter w:val="1"/>
          <w:wAfter w:w="8" w:type="dxa"/>
          <w:cantSplit/>
          <w:jc w:val="center"/>
        </w:trPr>
        <w:tc>
          <w:tcPr>
            <w:tcW w:w="7921" w:type="dxa"/>
          </w:tcPr>
          <w:p w14:paraId="49934AB6" w14:textId="77777777" w:rsidR="00E17286" w:rsidRPr="00A52AB8" w:rsidRDefault="00E17286" w:rsidP="009C6742">
            <w:pPr>
              <w:spacing w:before="20" w:after="40" w:line="240" w:lineRule="auto"/>
              <w:rPr>
                <w:sz w:val="20"/>
              </w:rPr>
            </w:pPr>
            <w:r w:rsidRPr="00A52AB8">
              <w:rPr>
                <w:b/>
                <w:bCs/>
                <w:sz w:val="20"/>
              </w:rPr>
              <w:tab/>
            </w:r>
            <w:r w:rsidRPr="00A52AB8">
              <w:rPr>
                <w:sz w:val="20"/>
              </w:rPr>
              <w:tab/>
            </w:r>
            <w:r w:rsidRPr="00A52AB8">
              <w:rPr>
                <w:sz w:val="20"/>
              </w:rPr>
              <w:tab/>
              <w:t>}</w:t>
            </w:r>
          </w:p>
        </w:tc>
        <w:tc>
          <w:tcPr>
            <w:tcW w:w="1248" w:type="dxa"/>
          </w:tcPr>
          <w:p w14:paraId="32A5F54B" w14:textId="77777777" w:rsidR="00E17286" w:rsidRPr="00A52AB8" w:rsidRDefault="00E17286" w:rsidP="009C6742">
            <w:pPr>
              <w:spacing w:before="20" w:after="40" w:line="240" w:lineRule="auto"/>
              <w:jc w:val="center"/>
              <w:rPr>
                <w:rFonts w:eastAsia="Malgun Gothic"/>
                <w:sz w:val="20"/>
              </w:rPr>
            </w:pPr>
          </w:p>
        </w:tc>
      </w:tr>
      <w:tr w:rsidR="00E17286" w:rsidRPr="00A52AB8" w14:paraId="15974D5C" w14:textId="77777777" w:rsidTr="00A252B5">
        <w:trPr>
          <w:gridAfter w:val="1"/>
          <w:wAfter w:w="8" w:type="dxa"/>
          <w:cantSplit/>
          <w:jc w:val="center"/>
        </w:trPr>
        <w:tc>
          <w:tcPr>
            <w:tcW w:w="7921" w:type="dxa"/>
          </w:tcPr>
          <w:p w14:paraId="1BED0FB8" w14:textId="77777777" w:rsidR="00E17286" w:rsidRPr="00A52AB8" w:rsidRDefault="00E17286" w:rsidP="009C6742">
            <w:pPr>
              <w:spacing w:before="20" w:after="40" w:line="240" w:lineRule="auto"/>
              <w:rPr>
                <w:sz w:val="20"/>
              </w:rPr>
            </w:pPr>
            <w:r w:rsidRPr="00A52AB8">
              <w:rPr>
                <w:sz w:val="20"/>
              </w:rPr>
              <w:tab/>
            </w:r>
            <w:r w:rsidRPr="00A52AB8">
              <w:rPr>
                <w:sz w:val="20"/>
              </w:rPr>
              <w:tab/>
              <w:t>}</w:t>
            </w:r>
          </w:p>
        </w:tc>
        <w:tc>
          <w:tcPr>
            <w:tcW w:w="1248" w:type="dxa"/>
          </w:tcPr>
          <w:p w14:paraId="7080BB1D" w14:textId="77777777" w:rsidR="00E17286" w:rsidRPr="00A52AB8" w:rsidRDefault="00E17286" w:rsidP="009C6742">
            <w:pPr>
              <w:spacing w:before="20" w:after="40" w:line="240" w:lineRule="auto"/>
              <w:jc w:val="center"/>
              <w:rPr>
                <w:rFonts w:eastAsia="Malgun Gothic"/>
                <w:sz w:val="20"/>
              </w:rPr>
            </w:pPr>
          </w:p>
        </w:tc>
      </w:tr>
      <w:tr w:rsidR="00E17286" w:rsidRPr="00A52AB8" w14:paraId="42DC9D48" w14:textId="77777777" w:rsidTr="00A252B5">
        <w:trPr>
          <w:gridAfter w:val="1"/>
          <w:wAfter w:w="8" w:type="dxa"/>
          <w:cantSplit/>
          <w:jc w:val="center"/>
        </w:trPr>
        <w:tc>
          <w:tcPr>
            <w:tcW w:w="7921" w:type="dxa"/>
          </w:tcPr>
          <w:p w14:paraId="687F85C8" w14:textId="77777777" w:rsidR="00E17286" w:rsidRPr="00A52AB8" w:rsidRDefault="00E17286" w:rsidP="009C6742">
            <w:pPr>
              <w:spacing w:before="20" w:after="40" w:line="240" w:lineRule="auto"/>
              <w:rPr>
                <w:sz w:val="20"/>
              </w:rPr>
            </w:pPr>
            <w:r w:rsidRPr="00A52AB8">
              <w:rPr>
                <w:sz w:val="20"/>
              </w:rPr>
              <w:tab/>
              <w:t>}</w:t>
            </w:r>
          </w:p>
        </w:tc>
        <w:tc>
          <w:tcPr>
            <w:tcW w:w="1248" w:type="dxa"/>
          </w:tcPr>
          <w:p w14:paraId="7F3C2ECE" w14:textId="77777777" w:rsidR="00E17286" w:rsidRPr="00A52AB8" w:rsidRDefault="00E17286" w:rsidP="009C6742">
            <w:pPr>
              <w:spacing w:before="20" w:after="40" w:line="240" w:lineRule="auto"/>
              <w:jc w:val="center"/>
              <w:rPr>
                <w:rFonts w:eastAsia="Malgun Gothic"/>
                <w:sz w:val="20"/>
              </w:rPr>
            </w:pPr>
          </w:p>
        </w:tc>
      </w:tr>
      <w:tr w:rsidR="00E17286" w:rsidRPr="00A52AB8" w14:paraId="213AD4FE" w14:textId="77777777" w:rsidTr="00A252B5">
        <w:trPr>
          <w:gridAfter w:val="1"/>
          <w:wAfter w:w="8" w:type="dxa"/>
          <w:cantSplit/>
          <w:jc w:val="center"/>
        </w:trPr>
        <w:tc>
          <w:tcPr>
            <w:tcW w:w="7921" w:type="dxa"/>
          </w:tcPr>
          <w:p w14:paraId="248AA428" w14:textId="77777777" w:rsidR="00E17286" w:rsidRPr="00A52AB8" w:rsidRDefault="00E17286" w:rsidP="009C6742">
            <w:pPr>
              <w:spacing w:before="20" w:after="40" w:line="240" w:lineRule="auto"/>
              <w:rPr>
                <w:sz w:val="20"/>
              </w:rPr>
            </w:pPr>
            <w:r w:rsidRPr="00A52AB8">
              <w:rPr>
                <w:sz w:val="20"/>
              </w:rPr>
              <w:t>}</w:t>
            </w:r>
          </w:p>
        </w:tc>
        <w:tc>
          <w:tcPr>
            <w:tcW w:w="1248" w:type="dxa"/>
          </w:tcPr>
          <w:p w14:paraId="75C85391" w14:textId="77777777" w:rsidR="00E17286" w:rsidRPr="00A52AB8" w:rsidRDefault="00E17286" w:rsidP="009C6742">
            <w:pPr>
              <w:spacing w:before="20" w:after="40" w:line="240" w:lineRule="auto"/>
              <w:jc w:val="center"/>
              <w:rPr>
                <w:rFonts w:eastAsia="Malgun Gothic"/>
                <w:sz w:val="20"/>
              </w:rPr>
            </w:pPr>
          </w:p>
        </w:tc>
      </w:tr>
    </w:tbl>
    <w:p w14:paraId="6C3EF402" w14:textId="77777777" w:rsidR="00D21E86" w:rsidRPr="00A52AB8" w:rsidRDefault="00D21E86" w:rsidP="009C6742">
      <w:pPr>
        <w:pStyle w:val="a4"/>
        <w:numPr>
          <w:ilvl w:val="3"/>
          <w:numId w:val="19"/>
        </w:numPr>
        <w:spacing w:line="240" w:lineRule="auto"/>
      </w:pPr>
      <w:bookmarkStart w:id="5377" w:name="_Toc35407778"/>
      <w:bookmarkStart w:id="5378" w:name="_Toc35407836"/>
      <w:bookmarkStart w:id="5379" w:name="_Toc35407894"/>
      <w:bookmarkStart w:id="5380" w:name="_Toc35407895"/>
      <w:bookmarkEnd w:id="5377"/>
      <w:bookmarkEnd w:id="5378"/>
      <w:bookmarkEnd w:id="5379"/>
      <w:bookmarkEnd w:id="5380"/>
      <w:r w:rsidRPr="00A52AB8">
        <w:t>Volumetric rectangle information SEI message syntax</w:t>
      </w:r>
    </w:p>
    <w:tbl>
      <w:tblPr>
        <w:tblW w:w="500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420"/>
        <w:gridCol w:w="1332"/>
      </w:tblGrid>
      <w:tr w:rsidR="00D21E86" w:rsidRPr="00A52AB8" w14:paraId="7E740F8E" w14:textId="77777777" w:rsidTr="00A252B5">
        <w:trPr>
          <w:cantSplit/>
          <w:jc w:val="center"/>
        </w:trPr>
        <w:tc>
          <w:tcPr>
            <w:tcW w:w="7921" w:type="dxa"/>
          </w:tcPr>
          <w:p w14:paraId="4623DB20" w14:textId="3F90187F" w:rsidR="00D21E86" w:rsidRPr="00A52AB8" w:rsidRDefault="00D21E86" w:rsidP="009C6742">
            <w:pPr>
              <w:spacing w:before="20" w:after="40" w:line="240" w:lineRule="auto"/>
              <w:rPr>
                <w:b/>
                <w:bCs/>
                <w:sz w:val="20"/>
              </w:rPr>
            </w:pPr>
            <w:r w:rsidRPr="00A52AB8">
              <w:rPr>
                <w:sz w:val="20"/>
              </w:rPr>
              <w:t>volumetric_rectangle_information</w:t>
            </w:r>
            <w:r w:rsidRPr="00A52AB8">
              <w:rPr>
                <w:rFonts w:eastAsia="Malgun Gothic"/>
                <w:sz w:val="20"/>
              </w:rPr>
              <w:t>( </w:t>
            </w:r>
            <w:r w:rsidR="0003078F" w:rsidRPr="00A52AB8">
              <w:rPr>
                <w:rFonts w:eastAsia="Malgun Gothic"/>
                <w:sz w:val="20"/>
              </w:rPr>
              <w:t>payloadSize</w:t>
            </w:r>
            <w:r w:rsidR="0003078F" w:rsidRPr="00A52AB8">
              <w:rPr>
                <w:sz w:val="20"/>
              </w:rPr>
              <w:t> </w:t>
            </w:r>
            <w:r w:rsidR="008F1F82" w:rsidRPr="00A52AB8">
              <w:rPr>
                <w:rFonts w:eastAsia="Malgun Gothic"/>
                <w:sz w:val="20"/>
              </w:rPr>
              <w:t>) {</w:t>
            </w:r>
          </w:p>
        </w:tc>
        <w:tc>
          <w:tcPr>
            <w:tcW w:w="1253" w:type="dxa"/>
          </w:tcPr>
          <w:p w14:paraId="689A31C4" w14:textId="77777777" w:rsidR="00D21E86" w:rsidRPr="00A52AB8" w:rsidRDefault="00D21E86" w:rsidP="009C6742">
            <w:pPr>
              <w:spacing w:before="20" w:after="40" w:line="240" w:lineRule="auto"/>
              <w:jc w:val="center"/>
              <w:rPr>
                <w:rFonts w:eastAsia="Malgun Gothic"/>
                <w:sz w:val="20"/>
              </w:rPr>
            </w:pPr>
            <w:r w:rsidRPr="00A52AB8">
              <w:rPr>
                <w:rFonts w:eastAsia="Malgun Gothic"/>
                <w:b/>
                <w:bCs/>
                <w:sz w:val="20"/>
              </w:rPr>
              <w:t>Descriptor</w:t>
            </w:r>
          </w:p>
        </w:tc>
      </w:tr>
      <w:tr w:rsidR="0048373B" w:rsidRPr="00A52AB8" w14:paraId="15199B71" w14:textId="77777777" w:rsidTr="00A252B5">
        <w:trPr>
          <w:cantSplit/>
          <w:jc w:val="center"/>
        </w:trPr>
        <w:tc>
          <w:tcPr>
            <w:tcW w:w="7921" w:type="dxa"/>
          </w:tcPr>
          <w:p w14:paraId="4585B53E" w14:textId="77777777" w:rsidR="0048373B" w:rsidRPr="00A52AB8" w:rsidRDefault="0048373B" w:rsidP="009C6742">
            <w:pPr>
              <w:spacing w:before="20" w:after="40" w:line="240" w:lineRule="auto"/>
              <w:rPr>
                <w:rFonts w:eastAsia="Malgun Gothic"/>
                <w:b/>
                <w:bCs/>
                <w:sz w:val="20"/>
              </w:rPr>
            </w:pPr>
            <w:r w:rsidRPr="00A52AB8">
              <w:rPr>
                <w:rFonts w:eastAsia="Malgun Gothic"/>
                <w:b/>
                <w:bCs/>
                <w:sz w:val="20"/>
              </w:rPr>
              <w:tab/>
              <w:t>vri_persistence_flag</w:t>
            </w:r>
          </w:p>
        </w:tc>
        <w:tc>
          <w:tcPr>
            <w:tcW w:w="1253" w:type="dxa"/>
          </w:tcPr>
          <w:p w14:paraId="3586F2B3" w14:textId="77777777" w:rsidR="0048373B" w:rsidRPr="00A52AB8" w:rsidRDefault="0048373B" w:rsidP="009C6742">
            <w:pPr>
              <w:spacing w:before="20" w:after="40" w:line="240" w:lineRule="auto"/>
              <w:jc w:val="center"/>
              <w:rPr>
                <w:rFonts w:eastAsia="Malgun Gothic"/>
                <w:sz w:val="20"/>
              </w:rPr>
            </w:pPr>
            <w:r w:rsidRPr="00A52AB8">
              <w:rPr>
                <w:rFonts w:eastAsia="Malgun Gothic"/>
                <w:sz w:val="20"/>
              </w:rPr>
              <w:t>u(1)</w:t>
            </w:r>
          </w:p>
        </w:tc>
      </w:tr>
      <w:tr w:rsidR="00D21E86" w:rsidRPr="00A52AB8" w14:paraId="47B3BA4E" w14:textId="77777777" w:rsidTr="00A252B5">
        <w:trPr>
          <w:cantSplit/>
          <w:jc w:val="center"/>
        </w:trPr>
        <w:tc>
          <w:tcPr>
            <w:tcW w:w="7921" w:type="dxa"/>
          </w:tcPr>
          <w:p w14:paraId="126CEC6F" w14:textId="77777777" w:rsidR="00D21E86" w:rsidRPr="00A52AB8" w:rsidRDefault="00D21E86" w:rsidP="009C6742">
            <w:pPr>
              <w:spacing w:before="20" w:after="40" w:line="240" w:lineRule="auto"/>
              <w:rPr>
                <w:b/>
                <w:sz w:val="20"/>
              </w:rPr>
            </w:pPr>
            <w:r w:rsidRPr="00A52AB8">
              <w:rPr>
                <w:rFonts w:eastAsia="Malgun Gothic"/>
                <w:b/>
                <w:bCs/>
                <w:sz w:val="20"/>
              </w:rPr>
              <w:tab/>
              <w:t>vri_</w:t>
            </w:r>
            <w:r w:rsidR="00811DC0" w:rsidRPr="00A52AB8">
              <w:rPr>
                <w:rFonts w:eastAsia="Malgun Gothic"/>
                <w:b/>
                <w:bCs/>
                <w:sz w:val="20"/>
              </w:rPr>
              <w:t>reset</w:t>
            </w:r>
            <w:r w:rsidRPr="00A52AB8">
              <w:rPr>
                <w:rFonts w:eastAsia="Malgun Gothic"/>
                <w:b/>
                <w:bCs/>
                <w:sz w:val="20"/>
              </w:rPr>
              <w:t>_flag</w:t>
            </w:r>
          </w:p>
        </w:tc>
        <w:tc>
          <w:tcPr>
            <w:tcW w:w="1253" w:type="dxa"/>
          </w:tcPr>
          <w:p w14:paraId="77B72282" w14:textId="77777777" w:rsidR="00D21E86" w:rsidRPr="00A52AB8" w:rsidRDefault="00D21E86" w:rsidP="009C6742">
            <w:pPr>
              <w:spacing w:before="20" w:after="40" w:line="240" w:lineRule="auto"/>
              <w:jc w:val="center"/>
              <w:rPr>
                <w:bCs/>
                <w:sz w:val="20"/>
              </w:rPr>
            </w:pPr>
            <w:r w:rsidRPr="00A52AB8">
              <w:rPr>
                <w:rFonts w:eastAsia="Malgun Gothic"/>
                <w:sz w:val="20"/>
              </w:rPr>
              <w:t>u(1)</w:t>
            </w:r>
          </w:p>
        </w:tc>
      </w:tr>
      <w:tr w:rsidR="00D21E86" w:rsidRPr="00A52AB8" w14:paraId="1175573E" w14:textId="77777777" w:rsidTr="00A252B5">
        <w:trPr>
          <w:cantSplit/>
          <w:jc w:val="center"/>
        </w:trPr>
        <w:tc>
          <w:tcPr>
            <w:tcW w:w="7921" w:type="dxa"/>
          </w:tcPr>
          <w:p w14:paraId="54FF1D86" w14:textId="77777777" w:rsidR="00D21E86" w:rsidRPr="00A52AB8" w:rsidRDefault="00D21E86" w:rsidP="009C6742">
            <w:pPr>
              <w:spacing w:before="20" w:after="40" w:line="240" w:lineRule="auto"/>
              <w:rPr>
                <w:b/>
                <w:bCs/>
                <w:sz w:val="20"/>
              </w:rPr>
            </w:pPr>
            <w:r w:rsidRPr="00A52AB8">
              <w:rPr>
                <w:b/>
                <w:bCs/>
                <w:sz w:val="20"/>
              </w:rPr>
              <w:tab/>
              <w:t>vri_num_rectangles_updates</w:t>
            </w:r>
          </w:p>
        </w:tc>
        <w:tc>
          <w:tcPr>
            <w:tcW w:w="1253" w:type="dxa"/>
          </w:tcPr>
          <w:p w14:paraId="5A1C79B1" w14:textId="77777777" w:rsidR="00D21E86" w:rsidRPr="00A52AB8" w:rsidRDefault="00D21E86" w:rsidP="009C6742">
            <w:pPr>
              <w:spacing w:before="20" w:after="40" w:line="240" w:lineRule="auto"/>
              <w:jc w:val="center"/>
              <w:rPr>
                <w:rFonts w:eastAsia="Malgun Gothic"/>
                <w:sz w:val="20"/>
              </w:rPr>
            </w:pPr>
            <w:r w:rsidRPr="00A52AB8">
              <w:rPr>
                <w:sz w:val="20"/>
              </w:rPr>
              <w:t>ue(v)</w:t>
            </w:r>
          </w:p>
        </w:tc>
      </w:tr>
      <w:tr w:rsidR="00D21E86" w:rsidRPr="00A52AB8" w14:paraId="1100CAFC" w14:textId="77777777" w:rsidTr="00A252B5">
        <w:trPr>
          <w:cantSplit/>
          <w:jc w:val="center"/>
        </w:trPr>
        <w:tc>
          <w:tcPr>
            <w:tcW w:w="7921" w:type="dxa"/>
          </w:tcPr>
          <w:p w14:paraId="5DA09421" w14:textId="33E3375A" w:rsidR="00D21E86" w:rsidRPr="00A52AB8" w:rsidRDefault="00D21E86" w:rsidP="009C6742">
            <w:pPr>
              <w:spacing w:before="20" w:after="40" w:line="240" w:lineRule="auto"/>
              <w:rPr>
                <w:sz w:val="20"/>
              </w:rPr>
            </w:pPr>
            <w:r w:rsidRPr="00A52AB8">
              <w:rPr>
                <w:b/>
                <w:bCs/>
                <w:sz w:val="20"/>
              </w:rPr>
              <w:tab/>
            </w:r>
            <w:r w:rsidRPr="00A52AB8">
              <w:rPr>
                <w:sz w:val="20"/>
              </w:rPr>
              <w:t>if(</w:t>
            </w:r>
            <w:r w:rsidR="00AE24CD" w:rsidRPr="00A52AB8">
              <w:rPr>
                <w:sz w:val="20"/>
              </w:rPr>
              <w:t> </w:t>
            </w:r>
            <w:r w:rsidRPr="00A52AB8">
              <w:rPr>
                <w:sz w:val="20"/>
              </w:rPr>
              <w:t>vri_num_rectangles_updates</w:t>
            </w:r>
            <w:r w:rsidR="00AE24CD" w:rsidRPr="00A52AB8">
              <w:rPr>
                <w:sz w:val="20"/>
              </w:rPr>
              <w:t> </w:t>
            </w:r>
            <w:r w:rsidRPr="00A52AB8">
              <w:rPr>
                <w:sz w:val="20"/>
              </w:rPr>
              <w:t>&gt;</w:t>
            </w:r>
            <w:r w:rsidR="00AE24CD" w:rsidRPr="00A52AB8">
              <w:rPr>
                <w:sz w:val="20"/>
              </w:rPr>
              <w:t> </w:t>
            </w:r>
            <w:r w:rsidRPr="00A52AB8">
              <w:rPr>
                <w:sz w:val="20"/>
              </w:rPr>
              <w:t>0</w:t>
            </w:r>
            <w:r w:rsidR="00AE24CD" w:rsidRPr="00A52AB8">
              <w:rPr>
                <w:sz w:val="20"/>
              </w:rPr>
              <w:t> </w:t>
            </w:r>
            <w:r w:rsidR="008F1F82" w:rsidRPr="00A52AB8">
              <w:rPr>
                <w:sz w:val="20"/>
              </w:rPr>
              <w:t>) {</w:t>
            </w:r>
          </w:p>
        </w:tc>
        <w:tc>
          <w:tcPr>
            <w:tcW w:w="1253" w:type="dxa"/>
          </w:tcPr>
          <w:p w14:paraId="745F8F13" w14:textId="20A92F39" w:rsidR="00D21E86" w:rsidRPr="00A52AB8" w:rsidRDefault="00D21E86" w:rsidP="009C6742">
            <w:pPr>
              <w:spacing w:before="20" w:after="40" w:line="240" w:lineRule="auto"/>
              <w:jc w:val="center"/>
              <w:rPr>
                <w:rFonts w:eastAsia="Malgun Gothic"/>
                <w:sz w:val="20"/>
              </w:rPr>
            </w:pPr>
          </w:p>
        </w:tc>
      </w:tr>
      <w:tr w:rsidR="00D21E86" w:rsidRPr="00A52AB8" w14:paraId="176E9D17" w14:textId="77777777" w:rsidTr="00A252B5">
        <w:trPr>
          <w:cantSplit/>
          <w:jc w:val="center"/>
        </w:trPr>
        <w:tc>
          <w:tcPr>
            <w:tcW w:w="7921" w:type="dxa"/>
          </w:tcPr>
          <w:p w14:paraId="6677DB6B" w14:textId="7866591A" w:rsidR="00D21E86" w:rsidRPr="00A52AB8" w:rsidRDefault="00D21E86" w:rsidP="009C6742">
            <w:pPr>
              <w:spacing w:before="20" w:after="40" w:line="240" w:lineRule="auto"/>
              <w:rPr>
                <w:b/>
                <w:bCs/>
                <w:sz w:val="20"/>
              </w:rPr>
            </w:pPr>
            <w:r w:rsidRPr="00A52AB8">
              <w:rPr>
                <w:rFonts w:eastAsia="Malgun Gothic"/>
                <w:b/>
                <w:bCs/>
                <w:sz w:val="20"/>
              </w:rPr>
              <w:tab/>
            </w:r>
            <w:r w:rsidRPr="00A52AB8">
              <w:rPr>
                <w:rFonts w:eastAsia="Malgun Gothic"/>
                <w:b/>
                <w:bCs/>
                <w:sz w:val="20"/>
              </w:rPr>
              <w:tab/>
              <w:t>vri_log2_max_object_idx_</w:t>
            </w:r>
            <w:r w:rsidR="0094440D" w:rsidRPr="00A52AB8">
              <w:rPr>
                <w:rFonts w:eastAsia="Malgun Gothic"/>
                <w:b/>
                <w:bCs/>
                <w:sz w:val="20"/>
              </w:rPr>
              <w:t>tracked</w:t>
            </w:r>
            <w:r w:rsidR="007B7003" w:rsidRPr="00A52AB8">
              <w:rPr>
                <w:rFonts w:eastAsia="Malgun Gothic"/>
                <w:b/>
                <w:bCs/>
                <w:sz w:val="20"/>
              </w:rPr>
              <w:t>_minus1</w:t>
            </w:r>
          </w:p>
        </w:tc>
        <w:tc>
          <w:tcPr>
            <w:tcW w:w="1253" w:type="dxa"/>
          </w:tcPr>
          <w:p w14:paraId="1F2988B7" w14:textId="77777777" w:rsidR="00D21E86" w:rsidRPr="00A52AB8" w:rsidRDefault="00D21E86" w:rsidP="009C6742">
            <w:pPr>
              <w:spacing w:before="20" w:after="40" w:line="240" w:lineRule="auto"/>
              <w:jc w:val="center"/>
              <w:rPr>
                <w:rFonts w:eastAsia="Malgun Gothic"/>
                <w:sz w:val="20"/>
              </w:rPr>
            </w:pPr>
            <w:r w:rsidRPr="00A52AB8">
              <w:rPr>
                <w:rFonts w:eastAsia="Malgun Gothic"/>
                <w:sz w:val="20"/>
              </w:rPr>
              <w:t>u(5)</w:t>
            </w:r>
          </w:p>
        </w:tc>
      </w:tr>
      <w:tr w:rsidR="00D21E86" w:rsidRPr="00A52AB8" w14:paraId="528CA491" w14:textId="77777777" w:rsidTr="00A252B5">
        <w:trPr>
          <w:cantSplit/>
          <w:jc w:val="center"/>
        </w:trPr>
        <w:tc>
          <w:tcPr>
            <w:tcW w:w="7921" w:type="dxa"/>
          </w:tcPr>
          <w:p w14:paraId="098D2F36" w14:textId="17216FE6" w:rsidR="00D21E86" w:rsidRPr="00A52AB8" w:rsidRDefault="00D21E86" w:rsidP="009C6742">
            <w:pPr>
              <w:spacing w:before="20" w:after="40" w:line="240" w:lineRule="auto"/>
              <w:rPr>
                <w:rFonts w:eastAsia="Malgun Gothic"/>
                <w:b/>
                <w:bCs/>
                <w:sz w:val="20"/>
              </w:rPr>
            </w:pPr>
            <w:r w:rsidRPr="00A52AB8">
              <w:rPr>
                <w:rFonts w:eastAsia="Malgun Gothic"/>
                <w:b/>
                <w:bCs/>
                <w:sz w:val="20"/>
              </w:rPr>
              <w:tab/>
            </w:r>
            <w:r w:rsidRPr="00A52AB8">
              <w:rPr>
                <w:rFonts w:eastAsia="Malgun Gothic"/>
                <w:b/>
                <w:bCs/>
                <w:sz w:val="20"/>
              </w:rPr>
              <w:tab/>
              <w:t>vri_log2_max_rectangle_idx_updated</w:t>
            </w:r>
            <w:r w:rsidR="00EA7AF7" w:rsidRPr="00A52AB8">
              <w:rPr>
                <w:rFonts w:eastAsia="Malgun Gothic"/>
                <w:b/>
                <w:bCs/>
                <w:sz w:val="20"/>
              </w:rPr>
              <w:t>_minus1</w:t>
            </w:r>
          </w:p>
        </w:tc>
        <w:tc>
          <w:tcPr>
            <w:tcW w:w="1253" w:type="dxa"/>
          </w:tcPr>
          <w:p w14:paraId="0858D268" w14:textId="77777777" w:rsidR="00D21E86" w:rsidRPr="00A52AB8" w:rsidRDefault="00D21E86" w:rsidP="009C6742">
            <w:pPr>
              <w:spacing w:before="20" w:after="40" w:line="240" w:lineRule="auto"/>
              <w:jc w:val="center"/>
              <w:rPr>
                <w:rFonts w:eastAsia="Malgun Gothic"/>
                <w:sz w:val="20"/>
              </w:rPr>
            </w:pPr>
            <w:r w:rsidRPr="00A52AB8">
              <w:rPr>
                <w:rFonts w:eastAsia="Malgun Gothic"/>
                <w:sz w:val="20"/>
              </w:rPr>
              <w:t>u(4)</w:t>
            </w:r>
          </w:p>
        </w:tc>
      </w:tr>
      <w:tr w:rsidR="00D21E86" w:rsidRPr="00A52AB8" w14:paraId="373A0ABB" w14:textId="77777777" w:rsidTr="00A252B5">
        <w:trPr>
          <w:cantSplit/>
          <w:jc w:val="center"/>
        </w:trPr>
        <w:tc>
          <w:tcPr>
            <w:tcW w:w="7921" w:type="dxa"/>
          </w:tcPr>
          <w:p w14:paraId="78921EC5" w14:textId="77777777" w:rsidR="00D21E86" w:rsidRPr="00A52AB8" w:rsidRDefault="00D21E86" w:rsidP="009C6742">
            <w:pPr>
              <w:spacing w:before="20" w:after="40" w:line="240" w:lineRule="auto"/>
              <w:rPr>
                <w:sz w:val="20"/>
              </w:rPr>
            </w:pPr>
            <w:r w:rsidRPr="00A52AB8">
              <w:rPr>
                <w:color w:val="000000" w:themeColor="text1"/>
                <w:sz w:val="20"/>
                <w:szCs w:val="20"/>
              </w:rPr>
              <w:tab/>
              <w:t>}</w:t>
            </w:r>
          </w:p>
        </w:tc>
        <w:tc>
          <w:tcPr>
            <w:tcW w:w="1253" w:type="dxa"/>
          </w:tcPr>
          <w:p w14:paraId="18B37271" w14:textId="77777777" w:rsidR="00D21E86" w:rsidRPr="00A52AB8" w:rsidRDefault="00D21E86" w:rsidP="009C6742">
            <w:pPr>
              <w:spacing w:before="20" w:after="40" w:line="240" w:lineRule="auto"/>
              <w:jc w:val="center"/>
              <w:rPr>
                <w:rFonts w:eastAsia="Malgun Gothic"/>
                <w:sz w:val="20"/>
              </w:rPr>
            </w:pPr>
          </w:p>
        </w:tc>
      </w:tr>
      <w:tr w:rsidR="00D21E86" w:rsidRPr="00A52AB8" w14:paraId="1C366D5F" w14:textId="77777777" w:rsidTr="00A252B5">
        <w:trPr>
          <w:cantSplit/>
          <w:jc w:val="center"/>
        </w:trPr>
        <w:tc>
          <w:tcPr>
            <w:tcW w:w="7921" w:type="dxa"/>
          </w:tcPr>
          <w:p w14:paraId="48BA6BD2" w14:textId="3DDAAD88" w:rsidR="00D21E86" w:rsidRPr="00A52AB8" w:rsidRDefault="00D21E86" w:rsidP="009C6742">
            <w:pPr>
              <w:spacing w:before="20" w:after="40" w:line="240" w:lineRule="auto"/>
              <w:rPr>
                <w:b/>
                <w:bCs/>
                <w:sz w:val="20"/>
              </w:rPr>
            </w:pPr>
            <w:r w:rsidRPr="00A52AB8">
              <w:rPr>
                <w:color w:val="000000" w:themeColor="text1"/>
                <w:sz w:val="20"/>
                <w:szCs w:val="20"/>
              </w:rPr>
              <w:tab/>
            </w:r>
            <w:r w:rsidRPr="00A52AB8">
              <w:rPr>
                <w:bCs/>
                <w:sz w:val="20"/>
              </w:rPr>
              <w:t>for(</w:t>
            </w:r>
            <w:r w:rsidR="00052E33" w:rsidRPr="00A52AB8">
              <w:rPr>
                <w:bCs/>
                <w:sz w:val="20"/>
              </w:rPr>
              <w:t> </w:t>
            </w:r>
            <w:r w:rsidRPr="00A52AB8">
              <w:rPr>
                <w:bCs/>
                <w:sz w:val="20"/>
              </w:rPr>
              <w:t>k</w:t>
            </w:r>
            <w:r w:rsidR="00D47707" w:rsidRPr="00A52AB8">
              <w:rPr>
                <w:bCs/>
                <w:sz w:val="20"/>
              </w:rPr>
              <w:t> = </w:t>
            </w:r>
            <w:r w:rsidRPr="00A52AB8">
              <w:rPr>
                <w:bCs/>
                <w:sz w:val="20"/>
              </w:rPr>
              <w:t>0;</w:t>
            </w:r>
            <w:r w:rsidR="00052E33" w:rsidRPr="00A52AB8">
              <w:rPr>
                <w:bCs/>
                <w:sz w:val="20"/>
              </w:rPr>
              <w:t> </w:t>
            </w:r>
            <w:r w:rsidRPr="00A52AB8">
              <w:rPr>
                <w:bCs/>
                <w:sz w:val="20"/>
              </w:rPr>
              <w:t>k</w:t>
            </w:r>
            <w:r w:rsidR="00C61E38" w:rsidRPr="00A52AB8">
              <w:rPr>
                <w:bCs/>
                <w:sz w:val="20"/>
              </w:rPr>
              <w:t> </w:t>
            </w:r>
            <w:r w:rsidRPr="00A52AB8">
              <w:rPr>
                <w:bCs/>
                <w:sz w:val="20"/>
              </w:rPr>
              <w:t>&lt; vri_num_rectangles_updates;</w:t>
            </w:r>
            <w:r w:rsidR="00052E33" w:rsidRPr="00A52AB8">
              <w:rPr>
                <w:bCs/>
                <w:sz w:val="20"/>
              </w:rPr>
              <w:t> </w:t>
            </w:r>
            <w:r w:rsidRPr="00A52AB8">
              <w:rPr>
                <w:bCs/>
                <w:sz w:val="20"/>
              </w:rPr>
              <w:t>k</w:t>
            </w:r>
            <w:r w:rsidR="00006CCF" w:rsidRPr="00A52AB8">
              <w:rPr>
                <w:bCs/>
                <w:sz w:val="20"/>
              </w:rPr>
              <w:t>++ </w:t>
            </w:r>
            <w:r w:rsidR="008F1F82" w:rsidRPr="00A52AB8">
              <w:rPr>
                <w:bCs/>
                <w:sz w:val="20"/>
              </w:rPr>
              <w:t>) {</w:t>
            </w:r>
          </w:p>
        </w:tc>
        <w:tc>
          <w:tcPr>
            <w:tcW w:w="1253" w:type="dxa"/>
          </w:tcPr>
          <w:p w14:paraId="32C7207F" w14:textId="77777777" w:rsidR="00D21E86" w:rsidRPr="00A52AB8" w:rsidRDefault="00D21E86" w:rsidP="009C6742">
            <w:pPr>
              <w:spacing w:before="20" w:after="40" w:line="240" w:lineRule="auto"/>
              <w:jc w:val="center"/>
              <w:rPr>
                <w:rFonts w:eastAsia="Malgun Gothic"/>
                <w:sz w:val="20"/>
              </w:rPr>
            </w:pPr>
          </w:p>
        </w:tc>
      </w:tr>
      <w:tr w:rsidR="00D21E86" w:rsidRPr="00A52AB8" w14:paraId="46DCEDDF" w14:textId="77777777" w:rsidTr="00A252B5">
        <w:trPr>
          <w:cantSplit/>
          <w:jc w:val="center"/>
        </w:trPr>
        <w:tc>
          <w:tcPr>
            <w:tcW w:w="7921" w:type="dxa"/>
          </w:tcPr>
          <w:p w14:paraId="6F0EA90E" w14:textId="77777777" w:rsidR="00D21E86" w:rsidRPr="00A52AB8" w:rsidRDefault="00D21E86" w:rsidP="009C6742">
            <w:pPr>
              <w:spacing w:before="20" w:after="40" w:line="240" w:lineRule="auto"/>
              <w:rPr>
                <w:color w:val="000000" w:themeColor="text1"/>
                <w:sz w:val="20"/>
                <w:szCs w:val="20"/>
              </w:rPr>
            </w:pPr>
            <w:r w:rsidRPr="00A52AB8">
              <w:rPr>
                <w:color w:val="000000" w:themeColor="text1"/>
                <w:sz w:val="20"/>
                <w:szCs w:val="20"/>
              </w:rPr>
              <w:tab/>
            </w:r>
            <w:r w:rsidRPr="00A52AB8">
              <w:rPr>
                <w:b/>
                <w:bCs/>
                <w:sz w:val="20"/>
              </w:rPr>
              <w:tab/>
              <w:t>vri_rectangle_idx</w:t>
            </w:r>
            <w:r w:rsidR="004B7314" w:rsidRPr="00A52AB8">
              <w:rPr>
                <w:sz w:val="20"/>
              </w:rPr>
              <w:t>[ k ]</w:t>
            </w:r>
          </w:p>
        </w:tc>
        <w:tc>
          <w:tcPr>
            <w:tcW w:w="1253" w:type="dxa"/>
          </w:tcPr>
          <w:p w14:paraId="20786C3C" w14:textId="77777777" w:rsidR="00D21E86" w:rsidRPr="00A52AB8" w:rsidRDefault="00D21E86" w:rsidP="009C6742">
            <w:pPr>
              <w:spacing w:before="20" w:after="40" w:line="240" w:lineRule="auto"/>
              <w:jc w:val="center"/>
              <w:rPr>
                <w:rFonts w:eastAsia="Malgun Gothic"/>
                <w:sz w:val="20"/>
              </w:rPr>
            </w:pPr>
            <w:r w:rsidRPr="00A52AB8">
              <w:rPr>
                <w:bCs/>
                <w:sz w:val="20"/>
              </w:rPr>
              <w:t>u(v)</w:t>
            </w:r>
          </w:p>
        </w:tc>
      </w:tr>
      <w:tr w:rsidR="00D21E86" w:rsidRPr="00A52AB8" w14:paraId="44F10F97" w14:textId="77777777" w:rsidTr="00A252B5">
        <w:trPr>
          <w:cantSplit/>
          <w:jc w:val="center"/>
        </w:trPr>
        <w:tc>
          <w:tcPr>
            <w:tcW w:w="7921" w:type="dxa"/>
          </w:tcPr>
          <w:p w14:paraId="249E6712" w14:textId="78C318A9" w:rsidR="00D21E86" w:rsidRPr="00A52AB8" w:rsidRDefault="00D21E86" w:rsidP="009C6742">
            <w:pPr>
              <w:spacing w:before="20" w:after="40" w:line="240" w:lineRule="auto"/>
              <w:rPr>
                <w:sz w:val="20"/>
              </w:rPr>
            </w:pPr>
            <w:r w:rsidRPr="00A52AB8">
              <w:rPr>
                <w:b/>
                <w:bCs/>
                <w:sz w:val="20"/>
              </w:rPr>
              <w:tab/>
            </w:r>
            <w:r w:rsidRPr="00A52AB8">
              <w:rPr>
                <w:b/>
                <w:bCs/>
                <w:sz w:val="20"/>
              </w:rPr>
              <w:tab/>
            </w:r>
            <w:r w:rsidRPr="00A52AB8">
              <w:rPr>
                <w:sz w:val="20"/>
              </w:rPr>
              <w:t>p</w:t>
            </w:r>
            <w:r w:rsidR="0023721F" w:rsidRPr="00A52AB8">
              <w:rPr>
                <w:sz w:val="20"/>
              </w:rPr>
              <w:t> </w:t>
            </w:r>
            <w:r w:rsidR="00D47707" w:rsidRPr="00A52AB8">
              <w:rPr>
                <w:sz w:val="20"/>
              </w:rPr>
              <w:t>= </w:t>
            </w:r>
            <w:r w:rsidRPr="00A52AB8">
              <w:rPr>
                <w:sz w:val="20"/>
              </w:rPr>
              <w:t>vri_rectangle_idx</w:t>
            </w:r>
            <w:r w:rsidR="004B7314" w:rsidRPr="00A52AB8">
              <w:rPr>
                <w:sz w:val="20"/>
              </w:rPr>
              <w:t>[ k ]</w:t>
            </w:r>
          </w:p>
        </w:tc>
        <w:tc>
          <w:tcPr>
            <w:tcW w:w="1253" w:type="dxa"/>
          </w:tcPr>
          <w:p w14:paraId="6BE4D5F5" w14:textId="77777777" w:rsidR="00D21E86" w:rsidRPr="00A52AB8" w:rsidRDefault="00D21E86" w:rsidP="009C6742">
            <w:pPr>
              <w:spacing w:before="20" w:after="40" w:line="240" w:lineRule="auto"/>
              <w:jc w:val="center"/>
              <w:rPr>
                <w:rFonts w:eastAsia="Malgun Gothic"/>
                <w:sz w:val="20"/>
              </w:rPr>
            </w:pPr>
          </w:p>
        </w:tc>
      </w:tr>
      <w:tr w:rsidR="00D21E86" w:rsidRPr="00A52AB8" w14:paraId="7E331577" w14:textId="77777777" w:rsidTr="00A252B5">
        <w:trPr>
          <w:cantSplit/>
          <w:jc w:val="center"/>
        </w:trPr>
        <w:tc>
          <w:tcPr>
            <w:tcW w:w="7921" w:type="dxa"/>
          </w:tcPr>
          <w:p w14:paraId="6EEFE9CC" w14:textId="77777777" w:rsidR="00D21E86" w:rsidRPr="00A52AB8" w:rsidRDefault="00D21E86" w:rsidP="009C6742">
            <w:pPr>
              <w:spacing w:before="20" w:after="40" w:line="240" w:lineRule="auto"/>
              <w:rPr>
                <w:sz w:val="20"/>
              </w:rPr>
            </w:pPr>
            <w:r w:rsidRPr="00A52AB8">
              <w:rPr>
                <w:b/>
                <w:bCs/>
                <w:sz w:val="20"/>
              </w:rPr>
              <w:tab/>
            </w:r>
            <w:r w:rsidRPr="00A52AB8">
              <w:rPr>
                <w:b/>
                <w:bCs/>
                <w:sz w:val="20"/>
              </w:rPr>
              <w:tab/>
              <w:t>vri_rectangle_cancel_flag</w:t>
            </w:r>
            <w:r w:rsidRPr="00A52AB8">
              <w:rPr>
                <w:sz w:val="20"/>
              </w:rPr>
              <w:t>[ p ]</w:t>
            </w:r>
          </w:p>
        </w:tc>
        <w:tc>
          <w:tcPr>
            <w:tcW w:w="1253" w:type="dxa"/>
          </w:tcPr>
          <w:p w14:paraId="04E91E11" w14:textId="77777777" w:rsidR="00D21E86" w:rsidRPr="00A52AB8" w:rsidRDefault="00D21E86" w:rsidP="009C6742">
            <w:pPr>
              <w:spacing w:before="20" w:after="40" w:line="240" w:lineRule="auto"/>
              <w:jc w:val="center"/>
              <w:rPr>
                <w:rFonts w:eastAsia="Malgun Gothic"/>
                <w:sz w:val="20"/>
              </w:rPr>
            </w:pPr>
            <w:r w:rsidRPr="00A52AB8">
              <w:rPr>
                <w:sz w:val="20"/>
              </w:rPr>
              <w:t>u(1)</w:t>
            </w:r>
          </w:p>
        </w:tc>
      </w:tr>
      <w:tr w:rsidR="00D21E86" w:rsidRPr="00A52AB8" w14:paraId="56DE83CE" w14:textId="77777777" w:rsidTr="00A252B5">
        <w:trPr>
          <w:cantSplit/>
          <w:jc w:val="center"/>
        </w:trPr>
        <w:tc>
          <w:tcPr>
            <w:tcW w:w="7921" w:type="dxa"/>
          </w:tcPr>
          <w:p w14:paraId="08CB6547" w14:textId="6F960CA5" w:rsidR="00D21E86" w:rsidRPr="00A52AB8" w:rsidRDefault="00D21E86" w:rsidP="009C6742">
            <w:pPr>
              <w:spacing w:before="20" w:after="40" w:line="240" w:lineRule="auto"/>
              <w:rPr>
                <w:color w:val="000000" w:themeColor="text1"/>
                <w:sz w:val="20"/>
                <w:szCs w:val="20"/>
              </w:rPr>
            </w:pPr>
            <w:r w:rsidRPr="00A52AB8">
              <w:rPr>
                <w:color w:val="000000" w:themeColor="text1"/>
                <w:sz w:val="20"/>
                <w:szCs w:val="20"/>
              </w:rPr>
              <w:tab/>
            </w:r>
            <w:r w:rsidRPr="00A52AB8">
              <w:rPr>
                <w:color w:val="000000" w:themeColor="text1"/>
                <w:sz w:val="20"/>
                <w:szCs w:val="20"/>
              </w:rPr>
              <w:tab/>
              <w:t>if( !vri</w:t>
            </w:r>
            <w:r w:rsidRPr="00A52AB8">
              <w:rPr>
                <w:sz w:val="20"/>
              </w:rPr>
              <w:t>_rectangle_cancel_flag[ p ] </w:t>
            </w:r>
            <w:r w:rsidR="008F1F82" w:rsidRPr="00A52AB8">
              <w:rPr>
                <w:sz w:val="20"/>
              </w:rPr>
              <w:t>) {</w:t>
            </w:r>
          </w:p>
        </w:tc>
        <w:tc>
          <w:tcPr>
            <w:tcW w:w="1253" w:type="dxa"/>
          </w:tcPr>
          <w:p w14:paraId="7DF90FC2" w14:textId="77777777" w:rsidR="00D21E86" w:rsidRPr="00A52AB8" w:rsidRDefault="00D21E86" w:rsidP="009C6742">
            <w:pPr>
              <w:spacing w:before="20" w:after="40" w:line="240" w:lineRule="auto"/>
              <w:jc w:val="center"/>
              <w:rPr>
                <w:bCs/>
                <w:sz w:val="20"/>
              </w:rPr>
            </w:pPr>
          </w:p>
        </w:tc>
      </w:tr>
      <w:tr w:rsidR="00D21E86" w:rsidRPr="00A52AB8" w14:paraId="4178C6B6" w14:textId="77777777" w:rsidTr="00A252B5">
        <w:trPr>
          <w:cantSplit/>
          <w:jc w:val="center"/>
        </w:trPr>
        <w:tc>
          <w:tcPr>
            <w:tcW w:w="7921" w:type="dxa"/>
          </w:tcPr>
          <w:p w14:paraId="31735944" w14:textId="77777777" w:rsidR="00D21E86" w:rsidRPr="00A52AB8" w:rsidRDefault="00D21E86" w:rsidP="009C6742">
            <w:pPr>
              <w:spacing w:before="20" w:after="40" w:line="240" w:lineRule="auto"/>
              <w:rPr>
                <w:b/>
                <w:bCs/>
                <w:sz w:val="20"/>
              </w:rPr>
            </w:pPr>
            <w:r w:rsidRPr="00A52AB8">
              <w:rPr>
                <w:b/>
                <w:bCs/>
                <w:sz w:val="20"/>
              </w:rPr>
              <w:tab/>
            </w:r>
            <w:r w:rsidRPr="00A52AB8">
              <w:rPr>
                <w:b/>
                <w:bCs/>
                <w:sz w:val="20"/>
              </w:rPr>
              <w:tab/>
            </w:r>
            <w:r w:rsidRPr="00A52AB8">
              <w:rPr>
                <w:b/>
                <w:bCs/>
                <w:sz w:val="20"/>
              </w:rPr>
              <w:tab/>
              <w:t>vri_</w:t>
            </w:r>
            <w:r w:rsidRPr="00A52AB8">
              <w:rPr>
                <w:b/>
                <w:sz w:val="20"/>
              </w:rPr>
              <w:t>bounding_box_update_flag</w:t>
            </w:r>
            <w:r w:rsidRPr="00A52AB8">
              <w:rPr>
                <w:sz w:val="20"/>
              </w:rPr>
              <w:t>[ p ]</w:t>
            </w:r>
          </w:p>
        </w:tc>
        <w:tc>
          <w:tcPr>
            <w:tcW w:w="1253" w:type="dxa"/>
          </w:tcPr>
          <w:p w14:paraId="313460F8" w14:textId="77777777" w:rsidR="00D21E86" w:rsidRPr="00A52AB8" w:rsidRDefault="00D21E86" w:rsidP="009C6742">
            <w:pPr>
              <w:spacing w:before="20" w:after="40" w:line="240" w:lineRule="auto"/>
              <w:jc w:val="center"/>
              <w:rPr>
                <w:sz w:val="20"/>
              </w:rPr>
            </w:pPr>
            <w:r w:rsidRPr="00A52AB8">
              <w:rPr>
                <w:sz w:val="20"/>
              </w:rPr>
              <w:t>u(1)</w:t>
            </w:r>
          </w:p>
        </w:tc>
      </w:tr>
      <w:tr w:rsidR="00D21E86" w:rsidRPr="00A52AB8" w14:paraId="1B573831" w14:textId="77777777" w:rsidTr="00A252B5">
        <w:trPr>
          <w:cantSplit/>
          <w:jc w:val="center"/>
        </w:trPr>
        <w:tc>
          <w:tcPr>
            <w:tcW w:w="7921" w:type="dxa"/>
          </w:tcPr>
          <w:p w14:paraId="516C0BEF" w14:textId="6537476A" w:rsidR="00D21E86" w:rsidRPr="00A52AB8" w:rsidRDefault="00D21E86" w:rsidP="009C6742">
            <w:pPr>
              <w:spacing w:before="20" w:after="40" w:line="240" w:lineRule="auto"/>
              <w:outlineLvl w:val="5"/>
              <w:rPr>
                <w:sz w:val="20"/>
              </w:rPr>
            </w:pPr>
            <w:r w:rsidRPr="00A52AB8">
              <w:rPr>
                <w:b/>
                <w:bCs/>
                <w:sz w:val="20"/>
              </w:rPr>
              <w:tab/>
            </w:r>
            <w:r w:rsidRPr="00A52AB8">
              <w:rPr>
                <w:b/>
                <w:bCs/>
                <w:sz w:val="20"/>
              </w:rPr>
              <w:tab/>
            </w:r>
            <w:r w:rsidRPr="00A52AB8">
              <w:rPr>
                <w:b/>
                <w:bCs/>
                <w:sz w:val="20"/>
              </w:rPr>
              <w:tab/>
            </w:r>
            <w:r w:rsidRPr="00A52AB8">
              <w:rPr>
                <w:sz w:val="20"/>
              </w:rPr>
              <w:t>if( </w:t>
            </w:r>
            <w:r w:rsidRPr="00A52AB8">
              <w:rPr>
                <w:bCs/>
                <w:sz w:val="20"/>
              </w:rPr>
              <w:t>vri_</w:t>
            </w:r>
            <w:r w:rsidRPr="00A52AB8">
              <w:rPr>
                <w:sz w:val="20"/>
              </w:rPr>
              <w:t>bounding_box_update_flag[ p ] </w:t>
            </w:r>
            <w:r w:rsidR="008F1F82" w:rsidRPr="00A52AB8">
              <w:rPr>
                <w:sz w:val="20"/>
              </w:rPr>
              <w:t>) {</w:t>
            </w:r>
            <w:r w:rsidRPr="00A52AB8">
              <w:rPr>
                <w:sz w:val="20"/>
              </w:rPr>
              <w:t xml:space="preserve"> </w:t>
            </w:r>
          </w:p>
        </w:tc>
        <w:tc>
          <w:tcPr>
            <w:tcW w:w="1253" w:type="dxa"/>
          </w:tcPr>
          <w:p w14:paraId="3912A52B" w14:textId="77777777" w:rsidR="00D21E86" w:rsidRPr="00A52AB8" w:rsidRDefault="00D21E86" w:rsidP="009C6742">
            <w:pPr>
              <w:spacing w:before="20" w:after="40" w:line="240" w:lineRule="auto"/>
              <w:jc w:val="center"/>
              <w:rPr>
                <w:rFonts w:eastAsia="Malgun Gothic"/>
                <w:sz w:val="20"/>
              </w:rPr>
            </w:pPr>
          </w:p>
        </w:tc>
      </w:tr>
      <w:tr w:rsidR="00D21E86" w:rsidRPr="00A52AB8" w14:paraId="2761BE59" w14:textId="77777777" w:rsidTr="00A252B5">
        <w:trPr>
          <w:cantSplit/>
          <w:jc w:val="center"/>
        </w:trPr>
        <w:tc>
          <w:tcPr>
            <w:tcW w:w="7921" w:type="dxa"/>
          </w:tcPr>
          <w:p w14:paraId="7C1373E8" w14:textId="77777777" w:rsidR="00D21E86" w:rsidRPr="00A52AB8" w:rsidRDefault="00D21E86" w:rsidP="009C6742">
            <w:pPr>
              <w:spacing w:before="20" w:after="40" w:line="240" w:lineRule="auto"/>
              <w:rPr>
                <w:sz w:val="20"/>
              </w:rPr>
            </w:pPr>
            <w:r w:rsidRPr="00A52AB8">
              <w:rPr>
                <w:b/>
                <w:bCs/>
                <w:sz w:val="20"/>
              </w:rPr>
              <w:tab/>
            </w:r>
            <w:r w:rsidRPr="00A52AB8">
              <w:rPr>
                <w:b/>
                <w:bCs/>
                <w:sz w:val="20"/>
              </w:rPr>
              <w:tab/>
            </w:r>
            <w:r w:rsidRPr="00A52AB8">
              <w:rPr>
                <w:b/>
                <w:bCs/>
                <w:sz w:val="20"/>
              </w:rPr>
              <w:tab/>
            </w:r>
            <w:r w:rsidRPr="00A52AB8">
              <w:rPr>
                <w:b/>
                <w:bCs/>
                <w:sz w:val="20"/>
              </w:rPr>
              <w:tab/>
              <w:t>vri</w:t>
            </w:r>
            <w:r w:rsidRPr="00A52AB8">
              <w:rPr>
                <w:b/>
                <w:sz w:val="20"/>
              </w:rPr>
              <w:t>_</w:t>
            </w:r>
            <w:r w:rsidRPr="00A52AB8">
              <w:rPr>
                <w:b/>
                <w:bCs/>
                <w:sz w:val="20"/>
              </w:rPr>
              <w:t>bounding_box_top</w:t>
            </w:r>
            <w:r w:rsidRPr="00A52AB8">
              <w:rPr>
                <w:sz w:val="20"/>
              </w:rPr>
              <w:t>[ p</w:t>
            </w:r>
            <w:r w:rsidRPr="00A52AB8">
              <w:rPr>
                <w:bCs/>
                <w:sz w:val="20"/>
              </w:rPr>
              <w:t> ]</w:t>
            </w:r>
          </w:p>
        </w:tc>
        <w:tc>
          <w:tcPr>
            <w:tcW w:w="1253" w:type="dxa"/>
          </w:tcPr>
          <w:p w14:paraId="11528FC2" w14:textId="77777777" w:rsidR="00D21E86" w:rsidRPr="00A52AB8" w:rsidRDefault="00D21E86" w:rsidP="009C6742">
            <w:pPr>
              <w:spacing w:before="20" w:after="40" w:line="240" w:lineRule="auto"/>
              <w:jc w:val="center"/>
              <w:rPr>
                <w:rFonts w:eastAsia="Malgun Gothic"/>
                <w:sz w:val="20"/>
              </w:rPr>
            </w:pPr>
            <w:r w:rsidRPr="00A52AB8">
              <w:rPr>
                <w:rFonts w:eastAsia="Malgun Gothic"/>
                <w:bCs/>
                <w:sz w:val="20"/>
              </w:rPr>
              <w:t>u(v)</w:t>
            </w:r>
          </w:p>
        </w:tc>
      </w:tr>
      <w:tr w:rsidR="00D21E86" w:rsidRPr="00A52AB8" w14:paraId="4227070A" w14:textId="77777777" w:rsidTr="00A252B5">
        <w:trPr>
          <w:cantSplit/>
          <w:jc w:val="center"/>
        </w:trPr>
        <w:tc>
          <w:tcPr>
            <w:tcW w:w="7921" w:type="dxa"/>
          </w:tcPr>
          <w:p w14:paraId="6BD03100" w14:textId="77777777" w:rsidR="00D21E86" w:rsidRPr="00A52AB8" w:rsidRDefault="00D21E86" w:rsidP="009C6742">
            <w:pPr>
              <w:spacing w:before="20" w:after="40" w:line="240" w:lineRule="auto"/>
              <w:rPr>
                <w:sz w:val="20"/>
              </w:rPr>
            </w:pPr>
            <w:r w:rsidRPr="00A52AB8">
              <w:rPr>
                <w:b/>
                <w:bCs/>
                <w:sz w:val="20"/>
              </w:rPr>
              <w:tab/>
            </w:r>
            <w:r w:rsidRPr="00A52AB8">
              <w:rPr>
                <w:b/>
                <w:bCs/>
                <w:sz w:val="20"/>
              </w:rPr>
              <w:tab/>
            </w:r>
            <w:r w:rsidRPr="00A52AB8">
              <w:rPr>
                <w:b/>
                <w:bCs/>
                <w:sz w:val="20"/>
              </w:rPr>
              <w:tab/>
            </w:r>
            <w:r w:rsidRPr="00A52AB8">
              <w:rPr>
                <w:b/>
                <w:bCs/>
                <w:sz w:val="20"/>
              </w:rPr>
              <w:tab/>
            </w:r>
            <w:r w:rsidRPr="00A52AB8">
              <w:rPr>
                <w:b/>
                <w:sz w:val="20"/>
              </w:rPr>
              <w:t>vri_bounding_box_left</w:t>
            </w:r>
            <w:r w:rsidRPr="00A52AB8">
              <w:rPr>
                <w:bCs/>
                <w:sz w:val="20"/>
              </w:rPr>
              <w:t>[ p ]</w:t>
            </w:r>
          </w:p>
        </w:tc>
        <w:tc>
          <w:tcPr>
            <w:tcW w:w="1253" w:type="dxa"/>
          </w:tcPr>
          <w:p w14:paraId="2CF4B095" w14:textId="77777777" w:rsidR="00D21E86" w:rsidRPr="00A52AB8" w:rsidRDefault="00D21E86" w:rsidP="009C6742">
            <w:pPr>
              <w:spacing w:before="20" w:after="40" w:line="240" w:lineRule="auto"/>
              <w:jc w:val="center"/>
              <w:rPr>
                <w:rFonts w:eastAsia="Malgun Gothic"/>
                <w:sz w:val="20"/>
              </w:rPr>
            </w:pPr>
            <w:r w:rsidRPr="00A52AB8">
              <w:rPr>
                <w:rFonts w:eastAsia="Malgun Gothic"/>
                <w:bCs/>
                <w:sz w:val="20"/>
              </w:rPr>
              <w:t>u(v)</w:t>
            </w:r>
          </w:p>
        </w:tc>
      </w:tr>
      <w:tr w:rsidR="00D21E86" w:rsidRPr="00A52AB8" w14:paraId="128AB37A" w14:textId="77777777" w:rsidTr="00A252B5">
        <w:trPr>
          <w:cantSplit/>
          <w:jc w:val="center"/>
        </w:trPr>
        <w:tc>
          <w:tcPr>
            <w:tcW w:w="7921" w:type="dxa"/>
          </w:tcPr>
          <w:p w14:paraId="6E45EC56" w14:textId="77777777" w:rsidR="00D21E86" w:rsidRPr="00A52AB8" w:rsidRDefault="00D21E86" w:rsidP="009C6742">
            <w:pPr>
              <w:spacing w:before="20" w:after="40" w:line="240" w:lineRule="auto"/>
              <w:rPr>
                <w:sz w:val="20"/>
              </w:rPr>
            </w:pPr>
            <w:r w:rsidRPr="00A52AB8">
              <w:rPr>
                <w:b/>
                <w:bCs/>
                <w:sz w:val="20"/>
              </w:rPr>
              <w:tab/>
            </w:r>
            <w:r w:rsidRPr="00A52AB8">
              <w:rPr>
                <w:b/>
                <w:bCs/>
                <w:sz w:val="20"/>
              </w:rPr>
              <w:tab/>
            </w:r>
            <w:r w:rsidRPr="00A52AB8">
              <w:rPr>
                <w:b/>
                <w:bCs/>
                <w:sz w:val="20"/>
              </w:rPr>
              <w:tab/>
            </w:r>
            <w:r w:rsidRPr="00A52AB8">
              <w:rPr>
                <w:b/>
                <w:bCs/>
                <w:sz w:val="20"/>
              </w:rPr>
              <w:tab/>
            </w:r>
            <w:r w:rsidRPr="00A52AB8">
              <w:rPr>
                <w:b/>
                <w:sz w:val="20"/>
              </w:rPr>
              <w:t>vri_bounding_box_</w:t>
            </w:r>
            <w:r w:rsidRPr="00A52AB8">
              <w:rPr>
                <w:b/>
                <w:bCs/>
                <w:sz w:val="20"/>
              </w:rPr>
              <w:t>width</w:t>
            </w:r>
            <w:r w:rsidRPr="00A52AB8">
              <w:rPr>
                <w:bCs/>
                <w:sz w:val="20"/>
              </w:rPr>
              <w:t>[ p ]</w:t>
            </w:r>
          </w:p>
        </w:tc>
        <w:tc>
          <w:tcPr>
            <w:tcW w:w="1253" w:type="dxa"/>
          </w:tcPr>
          <w:p w14:paraId="0B889A0E" w14:textId="77777777" w:rsidR="00D21E86" w:rsidRPr="00A52AB8" w:rsidRDefault="00D21E86" w:rsidP="009C6742">
            <w:pPr>
              <w:spacing w:before="20" w:after="40" w:line="240" w:lineRule="auto"/>
              <w:jc w:val="center"/>
              <w:rPr>
                <w:rFonts w:eastAsia="Malgun Gothic"/>
                <w:sz w:val="20"/>
              </w:rPr>
            </w:pPr>
            <w:r w:rsidRPr="00A52AB8">
              <w:rPr>
                <w:rFonts w:eastAsia="Malgun Gothic"/>
                <w:bCs/>
                <w:sz w:val="20"/>
              </w:rPr>
              <w:t>u(v)</w:t>
            </w:r>
          </w:p>
        </w:tc>
      </w:tr>
      <w:tr w:rsidR="00D21E86" w:rsidRPr="00A52AB8" w14:paraId="0055167B" w14:textId="77777777" w:rsidTr="00A252B5">
        <w:trPr>
          <w:cantSplit/>
          <w:jc w:val="center"/>
        </w:trPr>
        <w:tc>
          <w:tcPr>
            <w:tcW w:w="7921" w:type="dxa"/>
          </w:tcPr>
          <w:p w14:paraId="6E13FF1F" w14:textId="77777777" w:rsidR="00D21E86" w:rsidRPr="00A52AB8" w:rsidRDefault="00D21E86" w:rsidP="009C6742">
            <w:pPr>
              <w:spacing w:before="20" w:after="40" w:line="240" w:lineRule="auto"/>
              <w:rPr>
                <w:sz w:val="20"/>
              </w:rPr>
            </w:pPr>
            <w:r w:rsidRPr="00A52AB8">
              <w:rPr>
                <w:b/>
                <w:bCs/>
                <w:sz w:val="20"/>
              </w:rPr>
              <w:tab/>
            </w:r>
            <w:r w:rsidRPr="00A52AB8">
              <w:rPr>
                <w:b/>
                <w:bCs/>
                <w:sz w:val="20"/>
              </w:rPr>
              <w:tab/>
            </w:r>
            <w:r w:rsidRPr="00A52AB8">
              <w:rPr>
                <w:b/>
                <w:bCs/>
                <w:sz w:val="20"/>
              </w:rPr>
              <w:tab/>
            </w:r>
            <w:r w:rsidRPr="00A52AB8">
              <w:rPr>
                <w:b/>
                <w:bCs/>
                <w:sz w:val="20"/>
              </w:rPr>
              <w:tab/>
            </w:r>
            <w:r w:rsidRPr="00A52AB8">
              <w:rPr>
                <w:b/>
                <w:sz w:val="20"/>
              </w:rPr>
              <w:t>vri_bounding_box_</w:t>
            </w:r>
            <w:r w:rsidRPr="00A52AB8">
              <w:rPr>
                <w:b/>
                <w:bCs/>
                <w:sz w:val="20"/>
              </w:rPr>
              <w:t>height</w:t>
            </w:r>
            <w:r w:rsidRPr="00A52AB8">
              <w:rPr>
                <w:bCs/>
                <w:sz w:val="20"/>
              </w:rPr>
              <w:t>[ p ]</w:t>
            </w:r>
          </w:p>
        </w:tc>
        <w:tc>
          <w:tcPr>
            <w:tcW w:w="1253" w:type="dxa"/>
          </w:tcPr>
          <w:p w14:paraId="102F441F" w14:textId="77777777" w:rsidR="00D21E86" w:rsidRPr="00A52AB8" w:rsidRDefault="00D21E86" w:rsidP="009C6742">
            <w:pPr>
              <w:spacing w:before="20" w:after="40" w:line="240" w:lineRule="auto"/>
              <w:jc w:val="center"/>
              <w:rPr>
                <w:rFonts w:eastAsia="Malgun Gothic"/>
                <w:sz w:val="20"/>
              </w:rPr>
            </w:pPr>
            <w:r w:rsidRPr="00A52AB8">
              <w:rPr>
                <w:rFonts w:eastAsia="Malgun Gothic"/>
                <w:bCs/>
                <w:sz w:val="20"/>
              </w:rPr>
              <w:t>u(v)</w:t>
            </w:r>
          </w:p>
        </w:tc>
      </w:tr>
      <w:tr w:rsidR="00D21E86" w:rsidRPr="00A52AB8" w14:paraId="5251EC09" w14:textId="77777777" w:rsidTr="00A252B5">
        <w:trPr>
          <w:cantSplit/>
          <w:jc w:val="center"/>
        </w:trPr>
        <w:tc>
          <w:tcPr>
            <w:tcW w:w="7921" w:type="dxa"/>
          </w:tcPr>
          <w:p w14:paraId="5B4C2F85" w14:textId="77777777" w:rsidR="00D21E86" w:rsidRPr="00A52AB8" w:rsidRDefault="00D21E86" w:rsidP="009C6742">
            <w:pPr>
              <w:spacing w:before="20" w:after="40" w:line="240" w:lineRule="auto"/>
              <w:rPr>
                <w:sz w:val="20"/>
              </w:rPr>
            </w:pPr>
            <w:r w:rsidRPr="00A52AB8">
              <w:rPr>
                <w:sz w:val="20"/>
              </w:rPr>
              <w:tab/>
            </w:r>
            <w:r w:rsidRPr="00A52AB8">
              <w:rPr>
                <w:sz w:val="20"/>
              </w:rPr>
              <w:tab/>
            </w:r>
            <w:r w:rsidRPr="00A52AB8">
              <w:rPr>
                <w:sz w:val="20"/>
              </w:rPr>
              <w:tab/>
              <w:t>}</w:t>
            </w:r>
          </w:p>
        </w:tc>
        <w:tc>
          <w:tcPr>
            <w:tcW w:w="1253" w:type="dxa"/>
          </w:tcPr>
          <w:p w14:paraId="14C7DC0F" w14:textId="77777777" w:rsidR="00D21E86" w:rsidRPr="00A52AB8" w:rsidRDefault="00D21E86" w:rsidP="009C6742">
            <w:pPr>
              <w:spacing w:before="20" w:after="40" w:line="240" w:lineRule="auto"/>
              <w:jc w:val="center"/>
              <w:rPr>
                <w:sz w:val="20"/>
              </w:rPr>
            </w:pPr>
          </w:p>
        </w:tc>
      </w:tr>
      <w:tr w:rsidR="00D21E86" w:rsidRPr="00A52AB8" w14:paraId="027191B8" w14:textId="77777777" w:rsidTr="00A252B5">
        <w:trPr>
          <w:cantSplit/>
          <w:jc w:val="center"/>
        </w:trPr>
        <w:tc>
          <w:tcPr>
            <w:tcW w:w="7921" w:type="dxa"/>
          </w:tcPr>
          <w:p w14:paraId="2BD90524" w14:textId="77777777" w:rsidR="00D21E86" w:rsidRPr="00A52AB8" w:rsidRDefault="00D21E86" w:rsidP="009C6742">
            <w:pPr>
              <w:spacing w:before="20" w:after="40" w:line="240" w:lineRule="auto"/>
              <w:rPr>
                <w:color w:val="000000" w:themeColor="text1"/>
                <w:sz w:val="20"/>
                <w:szCs w:val="20"/>
              </w:rPr>
            </w:pPr>
            <w:r w:rsidRPr="00A52AB8">
              <w:rPr>
                <w:color w:val="000000" w:themeColor="text1"/>
                <w:sz w:val="20"/>
                <w:szCs w:val="20"/>
              </w:rPr>
              <w:tab/>
            </w:r>
            <w:r w:rsidRPr="00A52AB8">
              <w:rPr>
                <w:color w:val="000000" w:themeColor="text1"/>
                <w:sz w:val="20"/>
                <w:szCs w:val="20"/>
              </w:rPr>
              <w:tab/>
            </w:r>
            <w:r w:rsidRPr="00A52AB8">
              <w:rPr>
                <w:color w:val="000000" w:themeColor="text1"/>
                <w:sz w:val="20"/>
                <w:szCs w:val="20"/>
              </w:rPr>
              <w:tab/>
            </w:r>
            <w:r w:rsidRPr="00A52AB8">
              <w:rPr>
                <w:b/>
                <w:bCs/>
                <w:color w:val="000000" w:themeColor="text1"/>
                <w:sz w:val="20"/>
                <w:szCs w:val="20"/>
              </w:rPr>
              <w:t>vri_rectangle_number_of_objects_minus1</w:t>
            </w:r>
            <w:r w:rsidRPr="00A52AB8">
              <w:rPr>
                <w:sz w:val="20"/>
              </w:rPr>
              <w:t>[</w:t>
            </w:r>
            <w:r w:rsidRPr="00A52AB8">
              <w:rPr>
                <w:bCs/>
                <w:sz w:val="20"/>
              </w:rPr>
              <w:t> p </w:t>
            </w:r>
            <w:r w:rsidRPr="00A52AB8">
              <w:rPr>
                <w:sz w:val="20"/>
              </w:rPr>
              <w:t>]</w:t>
            </w:r>
          </w:p>
        </w:tc>
        <w:tc>
          <w:tcPr>
            <w:tcW w:w="1253" w:type="dxa"/>
          </w:tcPr>
          <w:p w14:paraId="3FA6F0D2" w14:textId="77777777" w:rsidR="00D21E86" w:rsidRPr="00A52AB8" w:rsidRDefault="00D21E86" w:rsidP="009C6742">
            <w:pPr>
              <w:spacing w:before="20" w:after="40" w:line="240" w:lineRule="auto"/>
              <w:jc w:val="center"/>
              <w:rPr>
                <w:bCs/>
                <w:sz w:val="20"/>
              </w:rPr>
            </w:pPr>
            <w:r w:rsidRPr="00A52AB8">
              <w:rPr>
                <w:bCs/>
                <w:sz w:val="20"/>
              </w:rPr>
              <w:t>ue(v)</w:t>
            </w:r>
          </w:p>
        </w:tc>
      </w:tr>
      <w:tr w:rsidR="00D21E86" w:rsidRPr="00A52AB8" w14:paraId="0B42CF6D" w14:textId="77777777" w:rsidTr="00A252B5">
        <w:trPr>
          <w:cantSplit/>
          <w:jc w:val="center"/>
        </w:trPr>
        <w:tc>
          <w:tcPr>
            <w:tcW w:w="7921" w:type="dxa"/>
          </w:tcPr>
          <w:p w14:paraId="59EFE2C2" w14:textId="164BDDEA" w:rsidR="00D21E86" w:rsidRPr="00A52AB8" w:rsidRDefault="00D21E86" w:rsidP="009C6742">
            <w:pPr>
              <w:spacing w:before="20" w:after="40" w:line="240" w:lineRule="auto"/>
              <w:rPr>
                <w:color w:val="000000" w:themeColor="text1"/>
                <w:sz w:val="20"/>
                <w:szCs w:val="20"/>
              </w:rPr>
            </w:pPr>
            <w:r w:rsidRPr="00A52AB8">
              <w:rPr>
                <w:color w:val="000000" w:themeColor="text1"/>
                <w:sz w:val="20"/>
                <w:szCs w:val="20"/>
              </w:rPr>
              <w:tab/>
            </w:r>
            <w:r w:rsidRPr="00A52AB8">
              <w:rPr>
                <w:color w:val="000000" w:themeColor="text1"/>
                <w:sz w:val="20"/>
                <w:szCs w:val="20"/>
              </w:rPr>
              <w:tab/>
            </w:r>
            <w:r w:rsidRPr="00A52AB8">
              <w:rPr>
                <w:color w:val="000000" w:themeColor="text1"/>
                <w:sz w:val="20"/>
                <w:szCs w:val="20"/>
              </w:rPr>
              <w:tab/>
            </w:r>
            <w:r w:rsidR="0058640A" w:rsidRPr="00A52AB8">
              <w:rPr>
                <w:color w:val="000000" w:themeColor="text1"/>
                <w:sz w:val="20"/>
                <w:szCs w:val="20"/>
              </w:rPr>
              <w:t>m</w:t>
            </w:r>
            <w:r w:rsidR="00D47707" w:rsidRPr="00A52AB8">
              <w:rPr>
                <w:color w:val="000000" w:themeColor="text1"/>
                <w:sz w:val="20"/>
                <w:szCs w:val="20"/>
              </w:rPr>
              <w:t> = </w:t>
            </w:r>
            <w:r w:rsidRPr="00A52AB8">
              <w:rPr>
                <w:color w:val="000000" w:themeColor="text1"/>
                <w:sz w:val="20"/>
                <w:szCs w:val="20"/>
              </w:rPr>
              <w:t>vri_rectangle_number_of_objects_minus1</w:t>
            </w:r>
            <w:r w:rsidRPr="00A52AB8">
              <w:rPr>
                <w:sz w:val="20"/>
              </w:rPr>
              <w:t>[ p ]</w:t>
            </w:r>
            <w:r w:rsidR="0058640A" w:rsidRPr="00A52AB8">
              <w:rPr>
                <w:sz w:val="20"/>
              </w:rPr>
              <w:t> </w:t>
            </w:r>
            <w:r w:rsidRPr="00A52AB8">
              <w:rPr>
                <w:sz w:val="20"/>
              </w:rPr>
              <w:t>+</w:t>
            </w:r>
            <w:r w:rsidR="0058640A" w:rsidRPr="00A52AB8">
              <w:rPr>
                <w:sz w:val="20"/>
              </w:rPr>
              <w:t> </w:t>
            </w:r>
            <w:r w:rsidRPr="00A52AB8">
              <w:rPr>
                <w:sz w:val="20"/>
              </w:rPr>
              <w:t>1</w:t>
            </w:r>
          </w:p>
        </w:tc>
        <w:tc>
          <w:tcPr>
            <w:tcW w:w="1253" w:type="dxa"/>
          </w:tcPr>
          <w:p w14:paraId="62DB1F0B" w14:textId="77777777" w:rsidR="00D21E86" w:rsidRPr="00A52AB8" w:rsidRDefault="00D21E86" w:rsidP="009C6742">
            <w:pPr>
              <w:spacing w:before="20" w:after="40" w:line="240" w:lineRule="auto"/>
              <w:jc w:val="center"/>
              <w:rPr>
                <w:bCs/>
                <w:sz w:val="20"/>
              </w:rPr>
            </w:pPr>
          </w:p>
        </w:tc>
      </w:tr>
      <w:tr w:rsidR="00D21E86" w:rsidRPr="00A52AB8" w14:paraId="7F28DBD7" w14:textId="77777777" w:rsidTr="00A252B5">
        <w:trPr>
          <w:cantSplit/>
          <w:jc w:val="center"/>
        </w:trPr>
        <w:tc>
          <w:tcPr>
            <w:tcW w:w="7921" w:type="dxa"/>
          </w:tcPr>
          <w:p w14:paraId="1D1C47B1" w14:textId="3C27F9D3" w:rsidR="00D21E86" w:rsidRPr="00A52AB8" w:rsidRDefault="00D21E86" w:rsidP="009C6742">
            <w:pPr>
              <w:spacing w:before="20" w:after="40" w:line="240" w:lineRule="auto"/>
              <w:rPr>
                <w:color w:val="000000" w:themeColor="text1"/>
                <w:sz w:val="20"/>
                <w:szCs w:val="20"/>
              </w:rPr>
            </w:pPr>
            <w:r w:rsidRPr="00A52AB8">
              <w:rPr>
                <w:color w:val="000000" w:themeColor="text1"/>
                <w:sz w:val="20"/>
                <w:szCs w:val="20"/>
              </w:rPr>
              <w:tab/>
            </w:r>
            <w:r w:rsidRPr="00A52AB8">
              <w:rPr>
                <w:color w:val="000000" w:themeColor="text1"/>
                <w:sz w:val="20"/>
                <w:szCs w:val="20"/>
              </w:rPr>
              <w:tab/>
            </w:r>
            <w:r w:rsidRPr="00A52AB8">
              <w:rPr>
                <w:color w:val="000000" w:themeColor="text1"/>
                <w:sz w:val="20"/>
                <w:szCs w:val="20"/>
              </w:rPr>
              <w:tab/>
              <w:t>for(</w:t>
            </w:r>
            <w:r w:rsidR="00A3166A" w:rsidRPr="00A52AB8">
              <w:rPr>
                <w:color w:val="000000" w:themeColor="text1"/>
                <w:sz w:val="20"/>
                <w:szCs w:val="20"/>
              </w:rPr>
              <w:t> </w:t>
            </w:r>
            <w:r w:rsidRPr="00A52AB8">
              <w:rPr>
                <w:color w:val="000000" w:themeColor="text1"/>
                <w:sz w:val="20"/>
                <w:szCs w:val="20"/>
              </w:rPr>
              <w:t>n</w:t>
            </w:r>
            <w:r w:rsidR="00D47707" w:rsidRPr="00A52AB8">
              <w:rPr>
                <w:color w:val="000000" w:themeColor="text1"/>
                <w:sz w:val="20"/>
                <w:szCs w:val="20"/>
              </w:rPr>
              <w:t> = </w:t>
            </w:r>
            <w:r w:rsidRPr="00A52AB8">
              <w:rPr>
                <w:color w:val="000000" w:themeColor="text1"/>
                <w:sz w:val="20"/>
                <w:szCs w:val="20"/>
              </w:rPr>
              <w:t>0;</w:t>
            </w:r>
            <w:r w:rsidR="00A3166A" w:rsidRPr="00A52AB8">
              <w:rPr>
                <w:color w:val="000000" w:themeColor="text1"/>
                <w:sz w:val="20"/>
                <w:szCs w:val="20"/>
              </w:rPr>
              <w:t> </w:t>
            </w:r>
            <w:r w:rsidRPr="00A52AB8">
              <w:rPr>
                <w:color w:val="000000" w:themeColor="text1"/>
                <w:sz w:val="20"/>
                <w:szCs w:val="20"/>
              </w:rPr>
              <w:t>n</w:t>
            </w:r>
            <w:r w:rsidR="00A3166A" w:rsidRPr="00A52AB8">
              <w:rPr>
                <w:color w:val="000000" w:themeColor="text1"/>
                <w:sz w:val="20"/>
                <w:szCs w:val="20"/>
              </w:rPr>
              <w:t> </w:t>
            </w:r>
            <w:r w:rsidRPr="00A52AB8">
              <w:rPr>
                <w:color w:val="000000" w:themeColor="text1"/>
                <w:sz w:val="20"/>
                <w:szCs w:val="20"/>
              </w:rPr>
              <w:t>&lt;</w:t>
            </w:r>
            <w:r w:rsidR="00A3166A" w:rsidRPr="00A52AB8">
              <w:rPr>
                <w:color w:val="000000" w:themeColor="text1"/>
                <w:sz w:val="20"/>
                <w:szCs w:val="20"/>
              </w:rPr>
              <w:t> </w:t>
            </w:r>
            <w:r w:rsidRPr="00A52AB8">
              <w:rPr>
                <w:color w:val="000000" w:themeColor="text1"/>
                <w:sz w:val="20"/>
                <w:szCs w:val="20"/>
              </w:rPr>
              <w:t>m;</w:t>
            </w:r>
            <w:r w:rsidR="00A3166A" w:rsidRPr="00A52AB8">
              <w:rPr>
                <w:color w:val="000000" w:themeColor="text1"/>
                <w:sz w:val="20"/>
                <w:szCs w:val="20"/>
              </w:rPr>
              <w:t> </w:t>
            </w:r>
            <w:r w:rsidRPr="00A52AB8">
              <w:rPr>
                <w:color w:val="000000" w:themeColor="text1"/>
                <w:sz w:val="20"/>
                <w:szCs w:val="20"/>
              </w:rPr>
              <w:t>n</w:t>
            </w:r>
            <w:r w:rsidR="00006CCF" w:rsidRPr="00A52AB8">
              <w:rPr>
                <w:color w:val="000000" w:themeColor="text1"/>
                <w:sz w:val="20"/>
                <w:szCs w:val="20"/>
              </w:rPr>
              <w:t>++ )</w:t>
            </w:r>
          </w:p>
        </w:tc>
        <w:tc>
          <w:tcPr>
            <w:tcW w:w="1253" w:type="dxa"/>
          </w:tcPr>
          <w:p w14:paraId="60F70287" w14:textId="77777777" w:rsidR="00D21E86" w:rsidRPr="00A52AB8" w:rsidRDefault="00D21E86" w:rsidP="009C6742">
            <w:pPr>
              <w:spacing w:before="20" w:after="40" w:line="240" w:lineRule="auto"/>
              <w:jc w:val="center"/>
              <w:rPr>
                <w:bCs/>
                <w:sz w:val="20"/>
              </w:rPr>
            </w:pPr>
          </w:p>
        </w:tc>
      </w:tr>
      <w:tr w:rsidR="00D21E86" w:rsidRPr="00A52AB8" w14:paraId="0A74E8F8" w14:textId="77777777" w:rsidTr="00A252B5">
        <w:trPr>
          <w:cantSplit/>
          <w:jc w:val="center"/>
        </w:trPr>
        <w:tc>
          <w:tcPr>
            <w:tcW w:w="7921" w:type="dxa"/>
          </w:tcPr>
          <w:p w14:paraId="5D86CF66" w14:textId="77777777" w:rsidR="00D21E86" w:rsidRPr="00A52AB8" w:rsidRDefault="00D21E86" w:rsidP="009C6742">
            <w:pPr>
              <w:spacing w:before="20" w:after="40" w:line="240" w:lineRule="auto"/>
              <w:rPr>
                <w:color w:val="000000" w:themeColor="text1"/>
                <w:sz w:val="20"/>
                <w:szCs w:val="20"/>
              </w:rPr>
            </w:pPr>
            <w:r w:rsidRPr="00A52AB8">
              <w:rPr>
                <w:color w:val="000000" w:themeColor="text1"/>
                <w:sz w:val="20"/>
                <w:szCs w:val="20"/>
              </w:rPr>
              <w:tab/>
            </w:r>
            <w:r w:rsidRPr="00A52AB8">
              <w:rPr>
                <w:color w:val="000000" w:themeColor="text1"/>
                <w:sz w:val="20"/>
                <w:szCs w:val="20"/>
              </w:rPr>
              <w:tab/>
            </w:r>
            <w:r w:rsidRPr="00A52AB8">
              <w:rPr>
                <w:b/>
                <w:bCs/>
                <w:sz w:val="20"/>
              </w:rPr>
              <w:tab/>
            </w:r>
            <w:r w:rsidRPr="00A52AB8">
              <w:rPr>
                <w:b/>
                <w:bCs/>
                <w:sz w:val="20"/>
              </w:rPr>
              <w:tab/>
              <w:t>vri_rectangle_object_idx</w:t>
            </w:r>
            <w:r w:rsidRPr="00A52AB8">
              <w:rPr>
                <w:sz w:val="20"/>
              </w:rPr>
              <w:t>[</w:t>
            </w:r>
            <w:r w:rsidRPr="00A52AB8">
              <w:rPr>
                <w:bCs/>
                <w:sz w:val="20"/>
              </w:rPr>
              <w:t> p </w:t>
            </w:r>
            <w:r w:rsidRPr="00A52AB8">
              <w:rPr>
                <w:sz w:val="20"/>
              </w:rPr>
              <w:t>][ n ]</w:t>
            </w:r>
          </w:p>
        </w:tc>
        <w:tc>
          <w:tcPr>
            <w:tcW w:w="1253" w:type="dxa"/>
          </w:tcPr>
          <w:p w14:paraId="17CF657B" w14:textId="77777777" w:rsidR="00D21E86" w:rsidRPr="00A52AB8" w:rsidRDefault="00D21E86" w:rsidP="009C6742">
            <w:pPr>
              <w:spacing w:before="20" w:after="40" w:line="240" w:lineRule="auto"/>
              <w:jc w:val="center"/>
              <w:rPr>
                <w:rFonts w:eastAsia="Malgun Gothic"/>
                <w:sz w:val="20"/>
              </w:rPr>
            </w:pPr>
            <w:r w:rsidRPr="00A52AB8">
              <w:rPr>
                <w:bCs/>
                <w:sz w:val="20"/>
              </w:rPr>
              <w:t>u(v)</w:t>
            </w:r>
          </w:p>
        </w:tc>
      </w:tr>
      <w:tr w:rsidR="00D21E86" w:rsidRPr="00A52AB8" w14:paraId="05F78E69" w14:textId="77777777" w:rsidTr="00A252B5">
        <w:trPr>
          <w:cantSplit/>
          <w:jc w:val="center"/>
        </w:trPr>
        <w:tc>
          <w:tcPr>
            <w:tcW w:w="7921" w:type="dxa"/>
          </w:tcPr>
          <w:p w14:paraId="421A17EF" w14:textId="77777777" w:rsidR="00D21E86" w:rsidRPr="00A52AB8" w:rsidRDefault="00D21E86" w:rsidP="009C6742">
            <w:pPr>
              <w:spacing w:before="20" w:after="40" w:line="240" w:lineRule="auto"/>
              <w:rPr>
                <w:sz w:val="20"/>
              </w:rPr>
            </w:pPr>
            <w:r w:rsidRPr="00A52AB8">
              <w:rPr>
                <w:sz w:val="20"/>
              </w:rPr>
              <w:tab/>
            </w:r>
            <w:r w:rsidRPr="00A52AB8">
              <w:rPr>
                <w:sz w:val="20"/>
              </w:rPr>
              <w:tab/>
              <w:t>}</w:t>
            </w:r>
          </w:p>
        </w:tc>
        <w:tc>
          <w:tcPr>
            <w:tcW w:w="1253" w:type="dxa"/>
          </w:tcPr>
          <w:p w14:paraId="7E14FB3F" w14:textId="77777777" w:rsidR="00D21E86" w:rsidRPr="00A52AB8" w:rsidRDefault="00D21E86" w:rsidP="009C6742">
            <w:pPr>
              <w:spacing w:before="20" w:after="40" w:line="240" w:lineRule="auto"/>
              <w:jc w:val="center"/>
              <w:rPr>
                <w:rFonts w:eastAsia="Malgun Gothic"/>
                <w:sz w:val="20"/>
              </w:rPr>
            </w:pPr>
          </w:p>
        </w:tc>
      </w:tr>
      <w:tr w:rsidR="00D21E86" w:rsidRPr="00A52AB8" w14:paraId="53F6CE16" w14:textId="77777777" w:rsidTr="00A252B5">
        <w:trPr>
          <w:cantSplit/>
          <w:jc w:val="center"/>
        </w:trPr>
        <w:tc>
          <w:tcPr>
            <w:tcW w:w="7921" w:type="dxa"/>
          </w:tcPr>
          <w:p w14:paraId="051F02A1" w14:textId="77777777" w:rsidR="00D21E86" w:rsidRPr="00A52AB8" w:rsidRDefault="00D21E86" w:rsidP="009C6742">
            <w:pPr>
              <w:spacing w:before="20" w:after="40" w:line="240" w:lineRule="auto"/>
              <w:rPr>
                <w:sz w:val="20"/>
              </w:rPr>
            </w:pPr>
            <w:r w:rsidRPr="00A52AB8">
              <w:rPr>
                <w:sz w:val="20"/>
              </w:rPr>
              <w:tab/>
              <w:t>}</w:t>
            </w:r>
          </w:p>
        </w:tc>
        <w:tc>
          <w:tcPr>
            <w:tcW w:w="1253" w:type="dxa"/>
          </w:tcPr>
          <w:p w14:paraId="11B47B9C" w14:textId="77777777" w:rsidR="00D21E86" w:rsidRPr="00A52AB8" w:rsidRDefault="00D21E86" w:rsidP="009C6742">
            <w:pPr>
              <w:spacing w:before="20" w:after="40" w:line="240" w:lineRule="auto"/>
              <w:jc w:val="center"/>
              <w:rPr>
                <w:rFonts w:eastAsia="Malgun Gothic"/>
                <w:sz w:val="20"/>
              </w:rPr>
            </w:pPr>
          </w:p>
        </w:tc>
      </w:tr>
      <w:tr w:rsidR="00D21E86" w:rsidRPr="00A52AB8" w14:paraId="444C78F2" w14:textId="77777777" w:rsidTr="00A252B5">
        <w:trPr>
          <w:cantSplit/>
          <w:jc w:val="center"/>
        </w:trPr>
        <w:tc>
          <w:tcPr>
            <w:tcW w:w="7921" w:type="dxa"/>
          </w:tcPr>
          <w:p w14:paraId="3E4D0798" w14:textId="77777777" w:rsidR="00D21E86" w:rsidRPr="00A52AB8" w:rsidRDefault="00D21E86" w:rsidP="009C6742">
            <w:pPr>
              <w:spacing w:before="20" w:after="40" w:line="240" w:lineRule="auto"/>
              <w:rPr>
                <w:sz w:val="20"/>
              </w:rPr>
            </w:pPr>
            <w:r w:rsidRPr="00A52AB8">
              <w:rPr>
                <w:sz w:val="20"/>
              </w:rPr>
              <w:t>}</w:t>
            </w:r>
          </w:p>
        </w:tc>
        <w:tc>
          <w:tcPr>
            <w:tcW w:w="1253" w:type="dxa"/>
          </w:tcPr>
          <w:p w14:paraId="2C2937C0" w14:textId="77777777" w:rsidR="00D21E86" w:rsidRPr="00A52AB8" w:rsidRDefault="00D21E86" w:rsidP="009C6742">
            <w:pPr>
              <w:spacing w:before="20" w:after="40" w:line="240" w:lineRule="auto"/>
              <w:jc w:val="center"/>
              <w:rPr>
                <w:rFonts w:eastAsia="Malgun Gothic"/>
                <w:sz w:val="20"/>
              </w:rPr>
            </w:pPr>
          </w:p>
        </w:tc>
      </w:tr>
    </w:tbl>
    <w:p w14:paraId="44C8BE98" w14:textId="28333606" w:rsidR="00F7288E" w:rsidRPr="00A52AB8" w:rsidRDefault="006D2711" w:rsidP="009C6742">
      <w:pPr>
        <w:pStyle w:val="a4"/>
        <w:numPr>
          <w:ilvl w:val="3"/>
          <w:numId w:val="19"/>
        </w:numPr>
        <w:spacing w:line="240" w:lineRule="auto"/>
      </w:pPr>
      <w:bookmarkStart w:id="5381" w:name="_Toc38891835"/>
      <w:bookmarkStart w:id="5382" w:name="_Toc39426432"/>
      <w:bookmarkStart w:id="5383" w:name="_Toc42730240"/>
      <w:bookmarkStart w:id="5384" w:name="_Toc45105704"/>
      <w:bookmarkStart w:id="5385" w:name="_Toc45530563"/>
      <w:bookmarkStart w:id="5386" w:name="_Toc46301926"/>
      <w:bookmarkStart w:id="5387" w:name="_Toc46302751"/>
      <w:bookmarkEnd w:id="5381"/>
      <w:bookmarkEnd w:id="5382"/>
      <w:bookmarkEnd w:id="5383"/>
      <w:bookmarkEnd w:id="5384"/>
      <w:bookmarkEnd w:id="5385"/>
      <w:bookmarkEnd w:id="5386"/>
      <w:bookmarkEnd w:id="5387"/>
      <w:r w:rsidRPr="00A52AB8">
        <w:t xml:space="preserve">Atlas </w:t>
      </w:r>
      <w:r w:rsidR="0003078F" w:rsidRPr="00A52AB8">
        <w:t xml:space="preserve">object association </w:t>
      </w:r>
      <w:r w:rsidR="00F7288E" w:rsidRPr="00A52AB8">
        <w:t>SEI message syntax</w:t>
      </w:r>
    </w:p>
    <w:tbl>
      <w:tblPr>
        <w:tblW w:w="500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417"/>
        <w:gridCol w:w="1331"/>
      </w:tblGrid>
      <w:tr w:rsidR="00F175B8" w:rsidRPr="00A52AB8" w14:paraId="5B57884B" w14:textId="77777777" w:rsidTr="00007BE2">
        <w:trPr>
          <w:cantSplit/>
          <w:jc w:val="center"/>
        </w:trPr>
        <w:tc>
          <w:tcPr>
            <w:tcW w:w="8417" w:type="dxa"/>
          </w:tcPr>
          <w:p w14:paraId="6444AF86" w14:textId="64A7F7FB" w:rsidR="00F175B8" w:rsidRPr="00A52AB8" w:rsidRDefault="00F175B8" w:rsidP="009C6742">
            <w:pPr>
              <w:spacing w:before="20" w:after="40" w:line="240" w:lineRule="auto"/>
              <w:rPr>
                <w:b/>
                <w:bCs/>
                <w:sz w:val="20"/>
                <w:szCs w:val="20"/>
              </w:rPr>
            </w:pPr>
            <w:r w:rsidRPr="00A52AB8">
              <w:rPr>
                <w:sz w:val="20"/>
                <w:szCs w:val="20"/>
              </w:rPr>
              <w:t>atlas_</w:t>
            </w:r>
            <w:r w:rsidR="0003078F" w:rsidRPr="00A52AB8">
              <w:rPr>
                <w:sz w:val="20"/>
                <w:szCs w:val="20"/>
              </w:rPr>
              <w:t>object_association</w:t>
            </w:r>
            <w:r w:rsidRPr="00A52AB8">
              <w:rPr>
                <w:rFonts w:eastAsia="Malgun Gothic"/>
                <w:sz w:val="20"/>
                <w:szCs w:val="20"/>
              </w:rPr>
              <w:t>( </w:t>
            </w:r>
            <w:r w:rsidR="0003078F" w:rsidRPr="00A52AB8">
              <w:rPr>
                <w:rFonts w:eastAsia="Malgun Gothic"/>
                <w:sz w:val="20"/>
              </w:rPr>
              <w:t>payloadSize</w:t>
            </w:r>
            <w:r w:rsidR="0003078F" w:rsidRPr="00A52AB8">
              <w:rPr>
                <w:sz w:val="20"/>
              </w:rPr>
              <w:t> </w:t>
            </w:r>
            <w:r w:rsidR="008F1F82" w:rsidRPr="00A52AB8">
              <w:rPr>
                <w:rFonts w:eastAsia="Malgun Gothic"/>
                <w:sz w:val="20"/>
                <w:szCs w:val="20"/>
              </w:rPr>
              <w:t>) {</w:t>
            </w:r>
          </w:p>
        </w:tc>
        <w:tc>
          <w:tcPr>
            <w:tcW w:w="1331" w:type="dxa"/>
          </w:tcPr>
          <w:p w14:paraId="3A0E8D82" w14:textId="77777777" w:rsidR="00F175B8" w:rsidRPr="00A52AB8" w:rsidRDefault="00F175B8" w:rsidP="009C6742">
            <w:pPr>
              <w:spacing w:before="20" w:after="40" w:line="240" w:lineRule="auto"/>
              <w:jc w:val="center"/>
              <w:rPr>
                <w:rFonts w:eastAsia="Malgun Gothic"/>
                <w:sz w:val="20"/>
              </w:rPr>
            </w:pPr>
            <w:r w:rsidRPr="00A52AB8">
              <w:rPr>
                <w:rFonts w:eastAsia="Malgun Gothic"/>
                <w:b/>
                <w:bCs/>
                <w:sz w:val="20"/>
              </w:rPr>
              <w:t>Descriptor</w:t>
            </w:r>
          </w:p>
        </w:tc>
      </w:tr>
      <w:tr w:rsidR="00F175B8" w:rsidRPr="00A52AB8" w14:paraId="6BEF2A51" w14:textId="77777777" w:rsidTr="00007BE2">
        <w:trPr>
          <w:cantSplit/>
          <w:jc w:val="center"/>
        </w:trPr>
        <w:tc>
          <w:tcPr>
            <w:tcW w:w="8417" w:type="dxa"/>
          </w:tcPr>
          <w:p w14:paraId="48149DCE" w14:textId="70716F87" w:rsidR="00F175B8" w:rsidRPr="00A52AB8" w:rsidRDefault="00F175B8" w:rsidP="009C6742">
            <w:pPr>
              <w:spacing w:before="20" w:after="40" w:line="240" w:lineRule="auto"/>
              <w:rPr>
                <w:rFonts w:eastAsia="Malgun Gothic"/>
                <w:b/>
                <w:bCs/>
                <w:sz w:val="20"/>
              </w:rPr>
            </w:pPr>
            <w:r w:rsidRPr="00A52AB8">
              <w:rPr>
                <w:rFonts w:eastAsia="Malgun Gothic"/>
                <w:b/>
                <w:bCs/>
                <w:sz w:val="20"/>
              </w:rPr>
              <w:tab/>
              <w:t>a</w:t>
            </w:r>
            <w:r w:rsidR="0003078F" w:rsidRPr="00A52AB8">
              <w:rPr>
                <w:rFonts w:eastAsia="Malgun Gothic"/>
                <w:b/>
                <w:bCs/>
                <w:sz w:val="20"/>
              </w:rPr>
              <w:t>oa</w:t>
            </w:r>
            <w:r w:rsidRPr="00A52AB8">
              <w:rPr>
                <w:rFonts w:eastAsia="Malgun Gothic"/>
                <w:b/>
                <w:bCs/>
                <w:sz w:val="20"/>
              </w:rPr>
              <w:t>_persistence_flag</w:t>
            </w:r>
          </w:p>
        </w:tc>
        <w:tc>
          <w:tcPr>
            <w:tcW w:w="1331" w:type="dxa"/>
          </w:tcPr>
          <w:p w14:paraId="59F6CBA4" w14:textId="77777777" w:rsidR="00F175B8" w:rsidRPr="00A52AB8" w:rsidRDefault="00F175B8" w:rsidP="009C6742">
            <w:pPr>
              <w:spacing w:before="20" w:after="40" w:line="240" w:lineRule="auto"/>
              <w:jc w:val="center"/>
              <w:rPr>
                <w:rFonts w:eastAsia="Malgun Gothic"/>
                <w:sz w:val="20"/>
              </w:rPr>
            </w:pPr>
            <w:r w:rsidRPr="00A52AB8">
              <w:rPr>
                <w:rFonts w:eastAsia="Malgun Gothic"/>
                <w:sz w:val="20"/>
              </w:rPr>
              <w:t>u(1)</w:t>
            </w:r>
          </w:p>
        </w:tc>
      </w:tr>
      <w:tr w:rsidR="00F175B8" w:rsidRPr="00A52AB8" w14:paraId="106AABC2" w14:textId="77777777" w:rsidTr="00007BE2">
        <w:trPr>
          <w:cantSplit/>
          <w:jc w:val="center"/>
        </w:trPr>
        <w:tc>
          <w:tcPr>
            <w:tcW w:w="8417" w:type="dxa"/>
          </w:tcPr>
          <w:p w14:paraId="51375A2A" w14:textId="4AD07585" w:rsidR="00F175B8" w:rsidRPr="00A52AB8" w:rsidRDefault="00F175B8" w:rsidP="009C6742">
            <w:pPr>
              <w:spacing w:before="20" w:after="40" w:line="240" w:lineRule="auto"/>
              <w:rPr>
                <w:b/>
                <w:sz w:val="20"/>
              </w:rPr>
            </w:pPr>
            <w:r w:rsidRPr="00A52AB8">
              <w:rPr>
                <w:rFonts w:eastAsia="Malgun Gothic"/>
                <w:b/>
                <w:bCs/>
                <w:sz w:val="20"/>
              </w:rPr>
              <w:tab/>
              <w:t>a</w:t>
            </w:r>
            <w:r w:rsidR="0003078F" w:rsidRPr="00A52AB8">
              <w:rPr>
                <w:rFonts w:eastAsia="Malgun Gothic"/>
                <w:b/>
                <w:bCs/>
                <w:sz w:val="20"/>
              </w:rPr>
              <w:t>oa</w:t>
            </w:r>
            <w:r w:rsidRPr="00A52AB8">
              <w:rPr>
                <w:rFonts w:eastAsia="Malgun Gothic"/>
                <w:b/>
                <w:bCs/>
                <w:sz w:val="20"/>
              </w:rPr>
              <w:t>_reset_flag</w:t>
            </w:r>
          </w:p>
        </w:tc>
        <w:tc>
          <w:tcPr>
            <w:tcW w:w="1331" w:type="dxa"/>
          </w:tcPr>
          <w:p w14:paraId="538AD719" w14:textId="77777777" w:rsidR="00F175B8" w:rsidRPr="00A52AB8" w:rsidRDefault="00F175B8" w:rsidP="009C6742">
            <w:pPr>
              <w:spacing w:before="20" w:after="40" w:line="240" w:lineRule="auto"/>
              <w:jc w:val="center"/>
              <w:rPr>
                <w:bCs/>
                <w:sz w:val="20"/>
              </w:rPr>
            </w:pPr>
            <w:r w:rsidRPr="00A52AB8">
              <w:rPr>
                <w:rFonts w:eastAsia="Malgun Gothic"/>
                <w:sz w:val="20"/>
              </w:rPr>
              <w:t>u(1)</w:t>
            </w:r>
          </w:p>
        </w:tc>
      </w:tr>
      <w:tr w:rsidR="00F175B8" w:rsidRPr="00A52AB8" w14:paraId="78D8F91B" w14:textId="77777777" w:rsidTr="00007BE2">
        <w:trPr>
          <w:cantSplit/>
          <w:jc w:val="center"/>
        </w:trPr>
        <w:tc>
          <w:tcPr>
            <w:tcW w:w="8417" w:type="dxa"/>
          </w:tcPr>
          <w:p w14:paraId="674BE480" w14:textId="3A394350" w:rsidR="00F175B8" w:rsidRPr="00A52AB8" w:rsidRDefault="00F175B8" w:rsidP="009C6742">
            <w:pPr>
              <w:spacing w:before="20" w:after="40" w:line="240" w:lineRule="auto"/>
              <w:rPr>
                <w:b/>
                <w:bCs/>
                <w:sz w:val="20"/>
              </w:rPr>
            </w:pPr>
            <w:r w:rsidRPr="00A52AB8">
              <w:rPr>
                <w:b/>
                <w:bCs/>
                <w:sz w:val="20"/>
              </w:rPr>
              <w:tab/>
              <w:t>a</w:t>
            </w:r>
            <w:r w:rsidR="0003078F" w:rsidRPr="00A52AB8">
              <w:rPr>
                <w:b/>
                <w:bCs/>
                <w:sz w:val="20"/>
              </w:rPr>
              <w:t>oa</w:t>
            </w:r>
            <w:r w:rsidRPr="00A52AB8">
              <w:rPr>
                <w:b/>
                <w:bCs/>
                <w:sz w:val="20"/>
              </w:rPr>
              <w:t>_num_atlases_minus1</w:t>
            </w:r>
          </w:p>
        </w:tc>
        <w:tc>
          <w:tcPr>
            <w:tcW w:w="1331" w:type="dxa"/>
          </w:tcPr>
          <w:p w14:paraId="6589F716" w14:textId="77777777" w:rsidR="00F175B8" w:rsidRPr="00A52AB8" w:rsidRDefault="00F175B8" w:rsidP="009C6742">
            <w:pPr>
              <w:spacing w:before="20" w:after="40" w:line="240" w:lineRule="auto"/>
              <w:jc w:val="center"/>
              <w:rPr>
                <w:rFonts w:eastAsia="Malgun Gothic"/>
                <w:sz w:val="20"/>
              </w:rPr>
            </w:pPr>
            <w:r w:rsidRPr="00A52AB8">
              <w:rPr>
                <w:rFonts w:eastAsia="Malgun Gothic"/>
                <w:sz w:val="20"/>
              </w:rPr>
              <w:t>u(6)</w:t>
            </w:r>
          </w:p>
        </w:tc>
      </w:tr>
      <w:tr w:rsidR="00F175B8" w:rsidRPr="00A52AB8" w14:paraId="23B7B890" w14:textId="77777777" w:rsidTr="00007BE2">
        <w:trPr>
          <w:cantSplit/>
          <w:jc w:val="center"/>
        </w:trPr>
        <w:tc>
          <w:tcPr>
            <w:tcW w:w="8417" w:type="dxa"/>
          </w:tcPr>
          <w:p w14:paraId="493FBAC7" w14:textId="652A7990" w:rsidR="00F175B8" w:rsidRPr="00A52AB8" w:rsidRDefault="00F175B8" w:rsidP="009C6742">
            <w:pPr>
              <w:spacing w:before="20" w:after="40" w:line="240" w:lineRule="auto"/>
              <w:rPr>
                <w:b/>
                <w:bCs/>
                <w:sz w:val="20"/>
              </w:rPr>
            </w:pPr>
            <w:r w:rsidRPr="00A52AB8">
              <w:rPr>
                <w:b/>
                <w:bCs/>
                <w:sz w:val="20"/>
              </w:rPr>
              <w:tab/>
              <w:t>a</w:t>
            </w:r>
            <w:r w:rsidR="0003078F" w:rsidRPr="00A52AB8">
              <w:rPr>
                <w:b/>
                <w:bCs/>
                <w:sz w:val="20"/>
              </w:rPr>
              <w:t>oa</w:t>
            </w:r>
            <w:r w:rsidRPr="00A52AB8">
              <w:rPr>
                <w:b/>
                <w:bCs/>
                <w:sz w:val="20"/>
              </w:rPr>
              <w:t>_num_updates</w:t>
            </w:r>
          </w:p>
        </w:tc>
        <w:tc>
          <w:tcPr>
            <w:tcW w:w="1331" w:type="dxa"/>
          </w:tcPr>
          <w:p w14:paraId="2CED3930" w14:textId="77777777" w:rsidR="00F175B8" w:rsidRPr="00A52AB8" w:rsidRDefault="00F175B8" w:rsidP="009C6742">
            <w:pPr>
              <w:spacing w:before="20" w:after="40" w:line="240" w:lineRule="auto"/>
              <w:jc w:val="center"/>
              <w:rPr>
                <w:rFonts w:eastAsia="Malgun Gothic"/>
                <w:sz w:val="20"/>
              </w:rPr>
            </w:pPr>
            <w:r w:rsidRPr="00A52AB8">
              <w:rPr>
                <w:sz w:val="20"/>
              </w:rPr>
              <w:t>ue(v)</w:t>
            </w:r>
          </w:p>
        </w:tc>
      </w:tr>
      <w:tr w:rsidR="00F175B8" w:rsidRPr="00A52AB8" w14:paraId="11CC301B" w14:textId="77777777" w:rsidTr="00007BE2">
        <w:trPr>
          <w:cantSplit/>
          <w:jc w:val="center"/>
        </w:trPr>
        <w:tc>
          <w:tcPr>
            <w:tcW w:w="8417" w:type="dxa"/>
          </w:tcPr>
          <w:p w14:paraId="5A3022C9" w14:textId="4D87F37F" w:rsidR="00F175B8" w:rsidRPr="00A52AB8" w:rsidRDefault="00F175B8" w:rsidP="009C6742">
            <w:pPr>
              <w:spacing w:before="20" w:after="40" w:line="240" w:lineRule="auto"/>
              <w:rPr>
                <w:b/>
                <w:bCs/>
                <w:sz w:val="20"/>
              </w:rPr>
            </w:pPr>
            <w:r w:rsidRPr="00A52AB8">
              <w:rPr>
                <w:b/>
                <w:bCs/>
                <w:sz w:val="20"/>
              </w:rPr>
              <w:tab/>
            </w:r>
            <w:r w:rsidRPr="00A52AB8">
              <w:rPr>
                <w:sz w:val="20"/>
              </w:rPr>
              <w:t>if(</w:t>
            </w:r>
            <w:r w:rsidR="0058640A" w:rsidRPr="00A52AB8">
              <w:rPr>
                <w:sz w:val="20"/>
              </w:rPr>
              <w:t> </w:t>
            </w:r>
            <w:r w:rsidRPr="00A52AB8">
              <w:rPr>
                <w:sz w:val="20"/>
              </w:rPr>
              <w:t>a</w:t>
            </w:r>
            <w:r w:rsidR="0003078F" w:rsidRPr="00A52AB8">
              <w:rPr>
                <w:sz w:val="20"/>
              </w:rPr>
              <w:t>oa</w:t>
            </w:r>
            <w:r w:rsidRPr="00A52AB8">
              <w:rPr>
                <w:sz w:val="20"/>
              </w:rPr>
              <w:t>_num_updates</w:t>
            </w:r>
            <w:r w:rsidR="0058640A" w:rsidRPr="00A52AB8">
              <w:rPr>
                <w:sz w:val="20"/>
              </w:rPr>
              <w:t> </w:t>
            </w:r>
            <w:r w:rsidRPr="00A52AB8">
              <w:rPr>
                <w:sz w:val="20"/>
              </w:rPr>
              <w:t>&gt;</w:t>
            </w:r>
            <w:r w:rsidR="0058640A" w:rsidRPr="00A52AB8">
              <w:rPr>
                <w:sz w:val="20"/>
              </w:rPr>
              <w:t> </w:t>
            </w:r>
            <w:r w:rsidRPr="00A52AB8">
              <w:rPr>
                <w:sz w:val="20"/>
              </w:rPr>
              <w:t>0</w:t>
            </w:r>
            <w:r w:rsidR="0058640A" w:rsidRPr="00A52AB8">
              <w:rPr>
                <w:sz w:val="20"/>
              </w:rPr>
              <w:t> </w:t>
            </w:r>
            <w:r w:rsidR="008F1F82" w:rsidRPr="00A52AB8">
              <w:rPr>
                <w:sz w:val="20"/>
              </w:rPr>
              <w:t>) {</w:t>
            </w:r>
          </w:p>
        </w:tc>
        <w:tc>
          <w:tcPr>
            <w:tcW w:w="1331" w:type="dxa"/>
          </w:tcPr>
          <w:p w14:paraId="03B354E3" w14:textId="77777777" w:rsidR="00F175B8" w:rsidRPr="00A52AB8" w:rsidRDefault="00F175B8" w:rsidP="009C6742">
            <w:pPr>
              <w:spacing w:before="20" w:after="40" w:line="240" w:lineRule="auto"/>
              <w:jc w:val="center"/>
              <w:rPr>
                <w:sz w:val="20"/>
              </w:rPr>
            </w:pPr>
          </w:p>
        </w:tc>
      </w:tr>
      <w:tr w:rsidR="00F175B8" w:rsidRPr="00A52AB8" w14:paraId="68882F45" w14:textId="77777777" w:rsidTr="00007BE2">
        <w:trPr>
          <w:cantSplit/>
          <w:jc w:val="center"/>
        </w:trPr>
        <w:tc>
          <w:tcPr>
            <w:tcW w:w="8417" w:type="dxa"/>
          </w:tcPr>
          <w:p w14:paraId="615E32A8" w14:textId="59AE3331" w:rsidR="00F175B8" w:rsidRPr="00A52AB8" w:rsidRDefault="00F175B8" w:rsidP="009C6742">
            <w:pPr>
              <w:spacing w:before="20" w:after="40" w:line="240" w:lineRule="auto"/>
              <w:rPr>
                <w:b/>
                <w:bCs/>
                <w:sz w:val="20"/>
              </w:rPr>
            </w:pPr>
            <w:r w:rsidRPr="00A52AB8">
              <w:rPr>
                <w:b/>
                <w:bCs/>
                <w:sz w:val="20"/>
              </w:rPr>
              <w:tab/>
            </w:r>
            <w:r w:rsidRPr="00A52AB8">
              <w:rPr>
                <w:b/>
                <w:bCs/>
                <w:sz w:val="20"/>
              </w:rPr>
              <w:tab/>
              <w:t>a</w:t>
            </w:r>
            <w:r w:rsidR="0003078F" w:rsidRPr="00A52AB8">
              <w:rPr>
                <w:b/>
                <w:bCs/>
                <w:sz w:val="20"/>
              </w:rPr>
              <w:t>oa</w:t>
            </w:r>
            <w:r w:rsidRPr="00A52AB8">
              <w:rPr>
                <w:b/>
                <w:bCs/>
                <w:sz w:val="20"/>
              </w:rPr>
              <w:t>_log2_max_object_idx_tracked</w:t>
            </w:r>
            <w:r w:rsidR="00C5794A" w:rsidRPr="00A52AB8">
              <w:rPr>
                <w:b/>
                <w:bCs/>
                <w:sz w:val="20"/>
              </w:rPr>
              <w:t>_minus1</w:t>
            </w:r>
          </w:p>
        </w:tc>
        <w:tc>
          <w:tcPr>
            <w:tcW w:w="1331" w:type="dxa"/>
          </w:tcPr>
          <w:p w14:paraId="75CA2F5E" w14:textId="77777777" w:rsidR="00F175B8" w:rsidRPr="00A52AB8" w:rsidRDefault="00F175B8" w:rsidP="009C6742">
            <w:pPr>
              <w:spacing w:before="20" w:after="40" w:line="240" w:lineRule="auto"/>
              <w:jc w:val="center"/>
              <w:rPr>
                <w:sz w:val="20"/>
              </w:rPr>
            </w:pPr>
            <w:r w:rsidRPr="00A52AB8">
              <w:rPr>
                <w:sz w:val="20"/>
              </w:rPr>
              <w:t>u(5)</w:t>
            </w:r>
          </w:p>
        </w:tc>
      </w:tr>
      <w:tr w:rsidR="00BB675F" w:rsidRPr="00A52AB8" w14:paraId="0B5C2EAC" w14:textId="77777777" w:rsidTr="00A23C68">
        <w:trPr>
          <w:cantSplit/>
          <w:jc w:val="center"/>
        </w:trPr>
        <w:tc>
          <w:tcPr>
            <w:tcW w:w="8417" w:type="dxa"/>
          </w:tcPr>
          <w:p w14:paraId="0C2795A9" w14:textId="73952B72" w:rsidR="00BB675F" w:rsidRPr="00A52AB8" w:rsidRDefault="00BB675F" w:rsidP="00A23C68">
            <w:pPr>
              <w:spacing w:before="20" w:after="40" w:line="240" w:lineRule="auto"/>
              <w:rPr>
                <w:sz w:val="20"/>
              </w:rPr>
            </w:pPr>
            <w:r w:rsidRPr="00A52AB8">
              <w:rPr>
                <w:sz w:val="20"/>
              </w:rPr>
              <w:tab/>
            </w:r>
            <w:r w:rsidRPr="00A52AB8">
              <w:rPr>
                <w:sz w:val="20"/>
              </w:rPr>
              <w:tab/>
              <w:t>for( j</w:t>
            </w:r>
            <w:r w:rsidR="00D47707" w:rsidRPr="00A52AB8">
              <w:rPr>
                <w:sz w:val="20"/>
              </w:rPr>
              <w:t> = </w:t>
            </w:r>
            <w:r w:rsidRPr="00A52AB8">
              <w:rPr>
                <w:sz w:val="20"/>
              </w:rPr>
              <w:t>0; j &lt; aoa_num_atlases_minus1 + 1; j++ )</w:t>
            </w:r>
          </w:p>
        </w:tc>
        <w:tc>
          <w:tcPr>
            <w:tcW w:w="1331" w:type="dxa"/>
          </w:tcPr>
          <w:p w14:paraId="65A523D2" w14:textId="77777777" w:rsidR="00BB675F" w:rsidRPr="00A52AB8" w:rsidRDefault="00BB675F" w:rsidP="00A23C68">
            <w:pPr>
              <w:spacing w:before="20" w:after="40" w:line="240" w:lineRule="auto"/>
              <w:jc w:val="center"/>
              <w:rPr>
                <w:rFonts w:eastAsia="Malgun Gothic"/>
                <w:sz w:val="20"/>
              </w:rPr>
            </w:pPr>
          </w:p>
        </w:tc>
      </w:tr>
      <w:tr w:rsidR="00BB675F" w:rsidRPr="00A52AB8" w14:paraId="7CA726D4" w14:textId="77777777" w:rsidTr="00A23C68">
        <w:trPr>
          <w:cantSplit/>
          <w:jc w:val="center"/>
        </w:trPr>
        <w:tc>
          <w:tcPr>
            <w:tcW w:w="8417" w:type="dxa"/>
          </w:tcPr>
          <w:p w14:paraId="6A7727DE" w14:textId="3DD674A1" w:rsidR="00BB675F" w:rsidRPr="00A52AB8" w:rsidRDefault="00BB675F" w:rsidP="00A23C68">
            <w:pPr>
              <w:spacing w:before="20" w:after="40" w:line="240" w:lineRule="auto"/>
              <w:rPr>
                <w:b/>
                <w:bCs/>
                <w:sz w:val="20"/>
              </w:rPr>
            </w:pPr>
            <w:r w:rsidRPr="00A52AB8">
              <w:rPr>
                <w:b/>
                <w:bCs/>
                <w:sz w:val="20"/>
              </w:rPr>
              <w:tab/>
            </w:r>
            <w:r w:rsidRPr="00A52AB8">
              <w:rPr>
                <w:b/>
                <w:bCs/>
                <w:sz w:val="20"/>
              </w:rPr>
              <w:tab/>
            </w:r>
            <w:r w:rsidRPr="00A52AB8">
              <w:rPr>
                <w:b/>
                <w:bCs/>
                <w:sz w:val="20"/>
              </w:rPr>
              <w:tab/>
              <w:t>aoa_atlas_id</w:t>
            </w:r>
            <w:r w:rsidRPr="00A52AB8">
              <w:rPr>
                <w:sz w:val="20"/>
              </w:rPr>
              <w:t>[ j ]</w:t>
            </w:r>
          </w:p>
        </w:tc>
        <w:tc>
          <w:tcPr>
            <w:tcW w:w="1331" w:type="dxa"/>
          </w:tcPr>
          <w:p w14:paraId="78415001" w14:textId="77777777" w:rsidR="00BB675F" w:rsidRPr="00A52AB8" w:rsidRDefault="00BB675F" w:rsidP="00A23C68">
            <w:pPr>
              <w:spacing w:before="20" w:after="40" w:line="240" w:lineRule="auto"/>
              <w:jc w:val="center"/>
              <w:rPr>
                <w:rFonts w:eastAsia="Malgun Gothic"/>
                <w:sz w:val="20"/>
              </w:rPr>
            </w:pPr>
            <w:r w:rsidRPr="00A52AB8">
              <w:rPr>
                <w:rFonts w:eastAsia="Malgun Gothic"/>
                <w:sz w:val="20"/>
              </w:rPr>
              <w:t>u(6)</w:t>
            </w:r>
          </w:p>
        </w:tc>
      </w:tr>
      <w:tr w:rsidR="00F175B8" w:rsidRPr="00A52AB8" w14:paraId="6F6BEE28" w14:textId="77777777" w:rsidTr="00007BE2">
        <w:trPr>
          <w:cantSplit/>
          <w:jc w:val="center"/>
        </w:trPr>
        <w:tc>
          <w:tcPr>
            <w:tcW w:w="8417" w:type="dxa"/>
          </w:tcPr>
          <w:p w14:paraId="4B8A494D" w14:textId="14F16C91" w:rsidR="00F175B8" w:rsidRPr="00A52AB8" w:rsidRDefault="00F175B8" w:rsidP="009C6742">
            <w:pPr>
              <w:spacing w:before="20" w:after="40" w:line="240" w:lineRule="auto"/>
              <w:rPr>
                <w:b/>
                <w:bCs/>
                <w:sz w:val="20"/>
              </w:rPr>
            </w:pPr>
            <w:r w:rsidRPr="00A52AB8">
              <w:rPr>
                <w:b/>
                <w:bCs/>
                <w:sz w:val="20"/>
              </w:rPr>
              <w:tab/>
            </w:r>
            <w:r w:rsidR="0056174F" w:rsidRPr="00A52AB8">
              <w:rPr>
                <w:b/>
                <w:bCs/>
                <w:sz w:val="20"/>
              </w:rPr>
              <w:tab/>
            </w:r>
            <w:r w:rsidRPr="00A52AB8">
              <w:rPr>
                <w:sz w:val="20"/>
              </w:rPr>
              <w:t>for(</w:t>
            </w:r>
            <w:r w:rsidR="0058640A" w:rsidRPr="00A52AB8">
              <w:rPr>
                <w:sz w:val="20"/>
              </w:rPr>
              <w:t> </w:t>
            </w:r>
            <w:r w:rsidRPr="00A52AB8">
              <w:rPr>
                <w:sz w:val="20"/>
              </w:rPr>
              <w:t>i</w:t>
            </w:r>
            <w:r w:rsidR="00D47707" w:rsidRPr="00A52AB8">
              <w:rPr>
                <w:sz w:val="20"/>
              </w:rPr>
              <w:t> = </w:t>
            </w:r>
            <w:r w:rsidRPr="00A52AB8">
              <w:rPr>
                <w:bCs/>
                <w:sz w:val="20"/>
              </w:rPr>
              <w:t>0;</w:t>
            </w:r>
            <w:r w:rsidR="0058640A" w:rsidRPr="00A52AB8">
              <w:rPr>
                <w:bCs/>
                <w:sz w:val="20"/>
              </w:rPr>
              <w:t> </w:t>
            </w:r>
            <w:r w:rsidRPr="00A52AB8">
              <w:rPr>
                <w:bCs/>
                <w:sz w:val="20"/>
              </w:rPr>
              <w:t>i &lt; </w:t>
            </w:r>
            <w:r w:rsidRPr="00A52AB8">
              <w:rPr>
                <w:sz w:val="20"/>
              </w:rPr>
              <w:t>a</w:t>
            </w:r>
            <w:r w:rsidR="0003078F" w:rsidRPr="00A52AB8">
              <w:rPr>
                <w:sz w:val="20"/>
              </w:rPr>
              <w:t>oa</w:t>
            </w:r>
            <w:r w:rsidRPr="00A52AB8">
              <w:rPr>
                <w:sz w:val="20"/>
              </w:rPr>
              <w:t>_num_updates</w:t>
            </w:r>
            <w:r w:rsidR="0058640A" w:rsidRPr="00A52AB8">
              <w:rPr>
                <w:sz w:val="20"/>
              </w:rPr>
              <w:t> </w:t>
            </w:r>
            <w:r w:rsidRPr="00A52AB8">
              <w:rPr>
                <w:bCs/>
                <w:sz w:val="20"/>
              </w:rPr>
              <w:t>;</w:t>
            </w:r>
            <w:r w:rsidR="0058640A" w:rsidRPr="00A52AB8">
              <w:rPr>
                <w:bCs/>
                <w:sz w:val="20"/>
              </w:rPr>
              <w:t> </w:t>
            </w:r>
            <w:r w:rsidRPr="00A52AB8">
              <w:rPr>
                <w:bCs/>
                <w:sz w:val="20"/>
              </w:rPr>
              <w:t>i++</w:t>
            </w:r>
            <w:r w:rsidR="0058640A" w:rsidRPr="00A52AB8">
              <w:rPr>
                <w:bCs/>
                <w:sz w:val="20"/>
              </w:rPr>
              <w:t> </w:t>
            </w:r>
            <w:r w:rsidR="008F1F82" w:rsidRPr="00A52AB8">
              <w:rPr>
                <w:bCs/>
                <w:sz w:val="20"/>
              </w:rPr>
              <w:t>) {</w:t>
            </w:r>
          </w:p>
        </w:tc>
        <w:tc>
          <w:tcPr>
            <w:tcW w:w="1331" w:type="dxa"/>
          </w:tcPr>
          <w:p w14:paraId="132AE3A5" w14:textId="77777777" w:rsidR="00F175B8" w:rsidRPr="00A52AB8" w:rsidRDefault="00F175B8" w:rsidP="009C6742">
            <w:pPr>
              <w:spacing w:before="20" w:after="40" w:line="240" w:lineRule="auto"/>
              <w:jc w:val="center"/>
              <w:rPr>
                <w:rFonts w:eastAsia="Malgun Gothic"/>
                <w:sz w:val="20"/>
              </w:rPr>
            </w:pPr>
          </w:p>
        </w:tc>
      </w:tr>
      <w:tr w:rsidR="00F175B8" w:rsidRPr="00A52AB8" w14:paraId="42AE040D" w14:textId="77777777" w:rsidTr="00007BE2">
        <w:trPr>
          <w:cantSplit/>
          <w:jc w:val="center"/>
        </w:trPr>
        <w:tc>
          <w:tcPr>
            <w:tcW w:w="8417" w:type="dxa"/>
          </w:tcPr>
          <w:p w14:paraId="1A9C5DBC" w14:textId="48C9B92E" w:rsidR="00F175B8" w:rsidRPr="00A52AB8" w:rsidRDefault="00F175B8" w:rsidP="009C6742">
            <w:pPr>
              <w:spacing w:before="20" w:after="40" w:line="240" w:lineRule="auto"/>
              <w:rPr>
                <w:b/>
                <w:bCs/>
                <w:sz w:val="20"/>
              </w:rPr>
            </w:pPr>
            <w:r w:rsidRPr="00A52AB8">
              <w:rPr>
                <w:b/>
                <w:bCs/>
                <w:sz w:val="20"/>
              </w:rPr>
              <w:tab/>
            </w:r>
            <w:r w:rsidRPr="00A52AB8">
              <w:rPr>
                <w:b/>
                <w:bCs/>
                <w:sz w:val="20"/>
              </w:rPr>
              <w:tab/>
            </w:r>
            <w:r w:rsidR="0056174F" w:rsidRPr="00A52AB8">
              <w:rPr>
                <w:b/>
                <w:bCs/>
                <w:sz w:val="20"/>
              </w:rPr>
              <w:tab/>
            </w:r>
            <w:r w:rsidRPr="00A52AB8">
              <w:rPr>
                <w:b/>
                <w:bCs/>
                <w:sz w:val="20"/>
              </w:rPr>
              <w:t>a</w:t>
            </w:r>
            <w:r w:rsidR="0003078F" w:rsidRPr="00A52AB8">
              <w:rPr>
                <w:b/>
                <w:bCs/>
                <w:sz w:val="20"/>
              </w:rPr>
              <w:t>oa</w:t>
            </w:r>
            <w:r w:rsidRPr="00A52AB8">
              <w:rPr>
                <w:b/>
                <w:bCs/>
                <w:sz w:val="20"/>
              </w:rPr>
              <w:t>_object_idx</w:t>
            </w:r>
            <w:r w:rsidRPr="00A52AB8">
              <w:rPr>
                <w:sz w:val="20"/>
              </w:rPr>
              <w:t>[ i ]</w:t>
            </w:r>
          </w:p>
        </w:tc>
        <w:tc>
          <w:tcPr>
            <w:tcW w:w="1331" w:type="dxa"/>
          </w:tcPr>
          <w:p w14:paraId="7BC4A9AB" w14:textId="77777777" w:rsidR="00F175B8" w:rsidRPr="00A52AB8" w:rsidRDefault="00F175B8" w:rsidP="009C6742">
            <w:pPr>
              <w:spacing w:before="20" w:after="40" w:line="240" w:lineRule="auto"/>
              <w:jc w:val="center"/>
              <w:rPr>
                <w:rFonts w:eastAsia="Malgun Gothic"/>
                <w:sz w:val="20"/>
              </w:rPr>
            </w:pPr>
            <w:r w:rsidRPr="00A52AB8">
              <w:rPr>
                <w:bCs/>
                <w:sz w:val="20"/>
              </w:rPr>
              <w:t>u(v)</w:t>
            </w:r>
          </w:p>
        </w:tc>
      </w:tr>
      <w:tr w:rsidR="004B7AE7" w:rsidRPr="00A52AB8" w14:paraId="7CC51747" w14:textId="77777777" w:rsidTr="00007BE2">
        <w:trPr>
          <w:cantSplit/>
          <w:jc w:val="center"/>
        </w:trPr>
        <w:tc>
          <w:tcPr>
            <w:tcW w:w="8417" w:type="dxa"/>
          </w:tcPr>
          <w:p w14:paraId="6FBCB666" w14:textId="0CDEC521" w:rsidR="004B7AE7" w:rsidRPr="00A52AB8" w:rsidRDefault="004B7AE7" w:rsidP="009C6742">
            <w:pPr>
              <w:spacing w:before="20" w:after="40" w:line="240" w:lineRule="auto"/>
              <w:rPr>
                <w:sz w:val="20"/>
              </w:rPr>
            </w:pPr>
            <w:r w:rsidRPr="00A52AB8">
              <w:rPr>
                <w:sz w:val="20"/>
              </w:rPr>
              <w:tab/>
            </w:r>
            <w:r w:rsidRPr="00A52AB8">
              <w:rPr>
                <w:sz w:val="20"/>
              </w:rPr>
              <w:tab/>
            </w:r>
            <w:r w:rsidR="0056174F" w:rsidRPr="00A52AB8">
              <w:rPr>
                <w:sz w:val="20"/>
              </w:rPr>
              <w:tab/>
            </w:r>
            <w:r w:rsidRPr="00A52AB8">
              <w:rPr>
                <w:sz w:val="20"/>
              </w:rPr>
              <w:t>k</w:t>
            </w:r>
            <w:r w:rsidR="00D47707" w:rsidRPr="00A52AB8">
              <w:rPr>
                <w:sz w:val="20"/>
              </w:rPr>
              <w:t> = </w:t>
            </w:r>
            <w:r w:rsidRPr="00A52AB8">
              <w:rPr>
                <w:sz w:val="20"/>
              </w:rPr>
              <w:t>aoa_object_idx[ i ]</w:t>
            </w:r>
          </w:p>
        </w:tc>
        <w:tc>
          <w:tcPr>
            <w:tcW w:w="1331" w:type="dxa"/>
          </w:tcPr>
          <w:p w14:paraId="35AE5A25" w14:textId="77777777" w:rsidR="004B7AE7" w:rsidRPr="00A52AB8" w:rsidRDefault="004B7AE7" w:rsidP="009C6742">
            <w:pPr>
              <w:spacing w:before="20" w:after="40" w:line="240" w:lineRule="auto"/>
              <w:jc w:val="center"/>
              <w:rPr>
                <w:bCs/>
                <w:sz w:val="20"/>
              </w:rPr>
            </w:pPr>
          </w:p>
        </w:tc>
      </w:tr>
      <w:tr w:rsidR="00F175B8" w:rsidRPr="00A52AB8" w14:paraId="03A0AE8F" w14:textId="77777777" w:rsidTr="00007BE2">
        <w:trPr>
          <w:cantSplit/>
          <w:jc w:val="center"/>
        </w:trPr>
        <w:tc>
          <w:tcPr>
            <w:tcW w:w="8417" w:type="dxa"/>
          </w:tcPr>
          <w:p w14:paraId="28DE352D" w14:textId="40EACF5C" w:rsidR="00F175B8" w:rsidRPr="00A52AB8" w:rsidRDefault="00F175B8" w:rsidP="009C6742">
            <w:pPr>
              <w:spacing w:before="20" w:after="40" w:line="240" w:lineRule="auto"/>
              <w:rPr>
                <w:sz w:val="20"/>
              </w:rPr>
            </w:pPr>
            <w:r w:rsidRPr="00A52AB8">
              <w:rPr>
                <w:sz w:val="20"/>
              </w:rPr>
              <w:tab/>
            </w:r>
            <w:r w:rsidRPr="00A52AB8">
              <w:rPr>
                <w:sz w:val="20"/>
              </w:rPr>
              <w:tab/>
            </w:r>
            <w:r w:rsidR="0056174F" w:rsidRPr="00A52AB8">
              <w:rPr>
                <w:sz w:val="20"/>
              </w:rPr>
              <w:tab/>
            </w:r>
            <w:r w:rsidRPr="00A52AB8">
              <w:rPr>
                <w:sz w:val="20"/>
              </w:rPr>
              <w:t>for(</w:t>
            </w:r>
            <w:r w:rsidR="0058640A" w:rsidRPr="00A52AB8">
              <w:rPr>
                <w:sz w:val="20"/>
              </w:rPr>
              <w:t> </w:t>
            </w:r>
            <w:r w:rsidRPr="00A52AB8">
              <w:rPr>
                <w:sz w:val="20"/>
              </w:rPr>
              <w:t>j</w:t>
            </w:r>
            <w:r w:rsidR="00D47707" w:rsidRPr="00A52AB8">
              <w:rPr>
                <w:sz w:val="20"/>
              </w:rPr>
              <w:t> = </w:t>
            </w:r>
            <w:r w:rsidRPr="00A52AB8">
              <w:rPr>
                <w:sz w:val="20"/>
              </w:rPr>
              <w:t>0;</w:t>
            </w:r>
            <w:r w:rsidR="0058640A" w:rsidRPr="00A52AB8">
              <w:rPr>
                <w:sz w:val="20"/>
              </w:rPr>
              <w:t> </w:t>
            </w:r>
            <w:r w:rsidRPr="00A52AB8">
              <w:rPr>
                <w:sz w:val="20"/>
              </w:rPr>
              <w:t>j &lt; a</w:t>
            </w:r>
            <w:r w:rsidR="0003078F" w:rsidRPr="00A52AB8">
              <w:rPr>
                <w:sz w:val="20"/>
              </w:rPr>
              <w:t>oa</w:t>
            </w:r>
            <w:r w:rsidRPr="00A52AB8">
              <w:rPr>
                <w:sz w:val="20"/>
              </w:rPr>
              <w:t>_num_atlases_minus1</w:t>
            </w:r>
            <w:r w:rsidR="0058640A" w:rsidRPr="00A52AB8">
              <w:rPr>
                <w:sz w:val="20"/>
              </w:rPr>
              <w:t> </w:t>
            </w:r>
            <w:r w:rsidRPr="00A52AB8">
              <w:rPr>
                <w:sz w:val="20"/>
              </w:rPr>
              <w:t>+</w:t>
            </w:r>
            <w:r w:rsidR="0058640A" w:rsidRPr="00A52AB8">
              <w:rPr>
                <w:sz w:val="20"/>
              </w:rPr>
              <w:t> </w:t>
            </w:r>
            <w:r w:rsidRPr="00A52AB8">
              <w:rPr>
                <w:sz w:val="20"/>
              </w:rPr>
              <w:t>1;</w:t>
            </w:r>
            <w:r w:rsidR="0058640A" w:rsidRPr="00A52AB8">
              <w:rPr>
                <w:sz w:val="20"/>
              </w:rPr>
              <w:t> </w:t>
            </w:r>
            <w:r w:rsidRPr="00A52AB8">
              <w:rPr>
                <w:sz w:val="20"/>
              </w:rPr>
              <w:t>j++)</w:t>
            </w:r>
          </w:p>
        </w:tc>
        <w:tc>
          <w:tcPr>
            <w:tcW w:w="1331" w:type="dxa"/>
          </w:tcPr>
          <w:p w14:paraId="6FAAB9A4" w14:textId="77777777" w:rsidR="00F175B8" w:rsidRPr="00A52AB8" w:rsidRDefault="00F175B8" w:rsidP="009C6742">
            <w:pPr>
              <w:spacing w:before="20" w:after="40" w:line="240" w:lineRule="auto"/>
              <w:jc w:val="center"/>
              <w:rPr>
                <w:rFonts w:eastAsia="Malgun Gothic"/>
                <w:sz w:val="20"/>
              </w:rPr>
            </w:pPr>
          </w:p>
        </w:tc>
      </w:tr>
      <w:tr w:rsidR="00F175B8" w:rsidRPr="00A52AB8" w14:paraId="4DF62A6E" w14:textId="77777777" w:rsidTr="00007BE2">
        <w:trPr>
          <w:cantSplit/>
          <w:jc w:val="center"/>
        </w:trPr>
        <w:tc>
          <w:tcPr>
            <w:tcW w:w="8417" w:type="dxa"/>
          </w:tcPr>
          <w:p w14:paraId="46555FAB" w14:textId="69822C18" w:rsidR="00F175B8" w:rsidRPr="00A52AB8" w:rsidRDefault="00F175B8" w:rsidP="009C6742">
            <w:pPr>
              <w:spacing w:before="20" w:after="40" w:line="240" w:lineRule="auto"/>
              <w:rPr>
                <w:b/>
                <w:bCs/>
                <w:sz w:val="20"/>
              </w:rPr>
            </w:pPr>
            <w:r w:rsidRPr="00A52AB8">
              <w:rPr>
                <w:b/>
                <w:bCs/>
                <w:sz w:val="20"/>
              </w:rPr>
              <w:tab/>
            </w:r>
            <w:r w:rsidRPr="00A52AB8">
              <w:rPr>
                <w:b/>
                <w:bCs/>
                <w:sz w:val="20"/>
              </w:rPr>
              <w:tab/>
            </w:r>
            <w:r w:rsidRPr="00A52AB8">
              <w:rPr>
                <w:b/>
                <w:bCs/>
                <w:sz w:val="20"/>
              </w:rPr>
              <w:tab/>
            </w:r>
            <w:r w:rsidR="0056174F" w:rsidRPr="00A52AB8">
              <w:rPr>
                <w:b/>
                <w:bCs/>
                <w:sz w:val="20"/>
              </w:rPr>
              <w:tab/>
            </w:r>
            <w:r w:rsidRPr="00A52AB8">
              <w:rPr>
                <w:b/>
                <w:bCs/>
                <w:sz w:val="20"/>
              </w:rPr>
              <w:t>a</w:t>
            </w:r>
            <w:r w:rsidR="0003078F" w:rsidRPr="00A52AB8">
              <w:rPr>
                <w:b/>
                <w:bCs/>
                <w:sz w:val="20"/>
              </w:rPr>
              <w:t>oa</w:t>
            </w:r>
            <w:r w:rsidRPr="00A52AB8">
              <w:rPr>
                <w:b/>
                <w:bCs/>
                <w:sz w:val="20"/>
              </w:rPr>
              <w:t>_object_in_atla</w:t>
            </w:r>
            <w:r w:rsidR="00A965F4" w:rsidRPr="00A52AB8">
              <w:rPr>
                <w:b/>
                <w:bCs/>
                <w:sz w:val="20"/>
              </w:rPr>
              <w:t>s</w:t>
            </w:r>
            <w:r w:rsidRPr="00A52AB8">
              <w:rPr>
                <w:sz w:val="20"/>
              </w:rPr>
              <w:t>[ </w:t>
            </w:r>
            <w:r w:rsidR="004B7AE7" w:rsidRPr="00A52AB8">
              <w:rPr>
                <w:sz w:val="20"/>
              </w:rPr>
              <w:t>k</w:t>
            </w:r>
            <w:r w:rsidRPr="00A52AB8">
              <w:rPr>
                <w:sz w:val="20"/>
              </w:rPr>
              <w:t> ][ </w:t>
            </w:r>
            <w:r w:rsidR="008F251C" w:rsidRPr="00A52AB8">
              <w:rPr>
                <w:sz w:val="20"/>
              </w:rPr>
              <w:t>a</w:t>
            </w:r>
            <w:r w:rsidR="0003078F" w:rsidRPr="00A52AB8">
              <w:rPr>
                <w:sz w:val="20"/>
              </w:rPr>
              <w:t>oa</w:t>
            </w:r>
            <w:r w:rsidR="008F251C" w:rsidRPr="00A52AB8">
              <w:rPr>
                <w:sz w:val="20"/>
              </w:rPr>
              <w:t>_atlas_id[ j ]</w:t>
            </w:r>
            <w:r w:rsidRPr="00A52AB8">
              <w:rPr>
                <w:sz w:val="20"/>
              </w:rPr>
              <w:t> ]</w:t>
            </w:r>
          </w:p>
        </w:tc>
        <w:tc>
          <w:tcPr>
            <w:tcW w:w="1331" w:type="dxa"/>
          </w:tcPr>
          <w:p w14:paraId="5443F40B" w14:textId="77777777" w:rsidR="00F175B8" w:rsidRPr="00A52AB8" w:rsidRDefault="00F175B8" w:rsidP="009C6742">
            <w:pPr>
              <w:spacing w:before="20" w:after="40" w:line="240" w:lineRule="auto"/>
              <w:jc w:val="center"/>
              <w:rPr>
                <w:rFonts w:eastAsia="Malgun Gothic"/>
                <w:sz w:val="20"/>
              </w:rPr>
            </w:pPr>
            <w:r w:rsidRPr="00A52AB8">
              <w:rPr>
                <w:rFonts w:eastAsia="Malgun Gothic"/>
                <w:sz w:val="20"/>
              </w:rPr>
              <w:t>u(1)</w:t>
            </w:r>
          </w:p>
        </w:tc>
      </w:tr>
      <w:tr w:rsidR="00F175B8" w:rsidRPr="00A52AB8" w14:paraId="5B98B0B2" w14:textId="77777777" w:rsidTr="00007BE2">
        <w:trPr>
          <w:cantSplit/>
          <w:jc w:val="center"/>
        </w:trPr>
        <w:tc>
          <w:tcPr>
            <w:tcW w:w="8417" w:type="dxa"/>
          </w:tcPr>
          <w:p w14:paraId="77C68F08" w14:textId="31D4A4F3" w:rsidR="00F175B8" w:rsidRPr="00A52AB8" w:rsidRDefault="00F175B8" w:rsidP="009C6742">
            <w:pPr>
              <w:spacing w:before="20" w:after="40" w:line="240" w:lineRule="auto"/>
              <w:rPr>
                <w:sz w:val="20"/>
              </w:rPr>
            </w:pPr>
            <w:r w:rsidRPr="00A52AB8">
              <w:rPr>
                <w:sz w:val="20"/>
              </w:rPr>
              <w:tab/>
            </w:r>
            <w:r w:rsidR="0056174F" w:rsidRPr="00A52AB8">
              <w:rPr>
                <w:sz w:val="20"/>
              </w:rPr>
              <w:tab/>
            </w:r>
            <w:r w:rsidRPr="00A52AB8">
              <w:rPr>
                <w:sz w:val="20"/>
              </w:rPr>
              <w:t>}</w:t>
            </w:r>
          </w:p>
        </w:tc>
        <w:tc>
          <w:tcPr>
            <w:tcW w:w="1331" w:type="dxa"/>
          </w:tcPr>
          <w:p w14:paraId="176A1447" w14:textId="77777777" w:rsidR="00F175B8" w:rsidRPr="00A52AB8" w:rsidRDefault="00F175B8" w:rsidP="009C6742">
            <w:pPr>
              <w:spacing w:before="20" w:after="40" w:line="240" w:lineRule="auto"/>
              <w:jc w:val="center"/>
              <w:rPr>
                <w:rFonts w:eastAsia="Malgun Gothic"/>
                <w:sz w:val="20"/>
              </w:rPr>
            </w:pPr>
          </w:p>
        </w:tc>
      </w:tr>
      <w:tr w:rsidR="0056174F" w:rsidRPr="00A52AB8" w14:paraId="145ADDBB" w14:textId="77777777" w:rsidTr="004B7AE7">
        <w:trPr>
          <w:cantSplit/>
          <w:jc w:val="center"/>
        </w:trPr>
        <w:tc>
          <w:tcPr>
            <w:tcW w:w="8417" w:type="dxa"/>
          </w:tcPr>
          <w:p w14:paraId="7570ECE2" w14:textId="767CB7B8" w:rsidR="0056174F" w:rsidRPr="00A52AB8" w:rsidRDefault="0056174F" w:rsidP="009C6742">
            <w:pPr>
              <w:spacing w:before="20" w:after="40" w:line="240" w:lineRule="auto"/>
              <w:rPr>
                <w:sz w:val="20"/>
              </w:rPr>
            </w:pPr>
            <w:r w:rsidRPr="00A52AB8">
              <w:rPr>
                <w:sz w:val="20"/>
              </w:rPr>
              <w:tab/>
              <w:t>}</w:t>
            </w:r>
          </w:p>
        </w:tc>
        <w:tc>
          <w:tcPr>
            <w:tcW w:w="1331" w:type="dxa"/>
          </w:tcPr>
          <w:p w14:paraId="083C822E" w14:textId="77777777" w:rsidR="0056174F" w:rsidRPr="00A52AB8" w:rsidRDefault="0056174F" w:rsidP="009C6742">
            <w:pPr>
              <w:spacing w:before="20" w:after="40" w:line="240" w:lineRule="auto"/>
              <w:jc w:val="center"/>
              <w:rPr>
                <w:rFonts w:eastAsia="Malgun Gothic"/>
                <w:sz w:val="20"/>
              </w:rPr>
            </w:pPr>
          </w:p>
        </w:tc>
      </w:tr>
      <w:tr w:rsidR="00F175B8" w:rsidRPr="00A52AB8" w14:paraId="3E96C5F0" w14:textId="77777777" w:rsidTr="00007BE2">
        <w:trPr>
          <w:cantSplit/>
          <w:jc w:val="center"/>
        </w:trPr>
        <w:tc>
          <w:tcPr>
            <w:tcW w:w="8417" w:type="dxa"/>
          </w:tcPr>
          <w:p w14:paraId="0BBF92C1" w14:textId="77777777" w:rsidR="00F175B8" w:rsidRPr="00A52AB8" w:rsidRDefault="00F175B8" w:rsidP="009C6742">
            <w:pPr>
              <w:spacing w:before="20" w:after="40" w:line="240" w:lineRule="auto"/>
              <w:rPr>
                <w:sz w:val="20"/>
              </w:rPr>
            </w:pPr>
            <w:r w:rsidRPr="00A52AB8">
              <w:rPr>
                <w:sz w:val="20"/>
              </w:rPr>
              <w:t>}</w:t>
            </w:r>
          </w:p>
        </w:tc>
        <w:tc>
          <w:tcPr>
            <w:tcW w:w="1331" w:type="dxa"/>
          </w:tcPr>
          <w:p w14:paraId="4F6DB3C7" w14:textId="77777777" w:rsidR="00F175B8" w:rsidRPr="00A52AB8" w:rsidRDefault="00F175B8" w:rsidP="009C6742">
            <w:pPr>
              <w:spacing w:before="20" w:after="40" w:line="240" w:lineRule="auto"/>
              <w:jc w:val="center"/>
              <w:rPr>
                <w:rFonts w:eastAsia="Malgun Gothic"/>
                <w:sz w:val="20"/>
              </w:rPr>
            </w:pPr>
          </w:p>
        </w:tc>
      </w:tr>
    </w:tbl>
    <w:p w14:paraId="2BCF1F21" w14:textId="77777777" w:rsidR="00963E0E" w:rsidRPr="00A52AB8" w:rsidRDefault="00963E0E" w:rsidP="009C6742">
      <w:pPr>
        <w:pStyle w:val="a3"/>
        <w:numPr>
          <w:ilvl w:val="2"/>
          <w:numId w:val="19"/>
        </w:numPr>
        <w:spacing w:line="240" w:lineRule="auto"/>
      </w:pPr>
      <w:bookmarkStart w:id="5388" w:name="_Toc38891837"/>
      <w:bookmarkStart w:id="5389" w:name="_Toc39426434"/>
      <w:bookmarkStart w:id="5390" w:name="_Toc42730242"/>
      <w:bookmarkStart w:id="5391" w:name="_Toc45105706"/>
      <w:bookmarkStart w:id="5392" w:name="_Toc45530565"/>
      <w:bookmarkStart w:id="5393" w:name="_Toc46301928"/>
      <w:bookmarkStart w:id="5394" w:name="_Toc46302753"/>
      <w:bookmarkStart w:id="5395" w:name="_Ref49347702"/>
      <w:bookmarkStart w:id="5396" w:name="_Toc52181721"/>
      <w:bookmarkEnd w:id="5388"/>
      <w:bookmarkEnd w:id="5389"/>
      <w:bookmarkEnd w:id="5390"/>
      <w:bookmarkEnd w:id="5391"/>
      <w:bookmarkEnd w:id="5392"/>
      <w:bookmarkEnd w:id="5393"/>
      <w:bookmarkEnd w:id="5394"/>
      <w:r w:rsidRPr="00A52AB8">
        <w:t>Buffering period SEI message syntax</w:t>
      </w:r>
      <w:bookmarkEnd w:id="5395"/>
      <w:bookmarkEnd w:id="5396"/>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411"/>
        <w:gridCol w:w="1331"/>
      </w:tblGrid>
      <w:tr w:rsidR="00963E0E" w:rsidRPr="00A52AB8" w14:paraId="59CC5CFF" w14:textId="77777777" w:rsidTr="00F4336E">
        <w:trPr>
          <w:cantSplit/>
          <w:jc w:val="center"/>
        </w:trPr>
        <w:tc>
          <w:tcPr>
            <w:tcW w:w="8411" w:type="dxa"/>
          </w:tcPr>
          <w:p w14:paraId="43E9EE29" w14:textId="29C4356E" w:rsidR="00963E0E" w:rsidRPr="00A52AB8" w:rsidRDefault="00963E0E">
            <w:pPr>
              <w:spacing w:before="20" w:after="40" w:line="240" w:lineRule="auto"/>
              <w:rPr>
                <w:b/>
                <w:bCs/>
                <w:sz w:val="20"/>
                <w:szCs w:val="20"/>
              </w:rPr>
            </w:pPr>
            <w:r w:rsidRPr="00A52AB8">
              <w:rPr>
                <w:sz w:val="20"/>
                <w:szCs w:val="20"/>
              </w:rPr>
              <w:t>buffering_period</w:t>
            </w:r>
            <w:r w:rsidR="0003078F" w:rsidRPr="00A52AB8">
              <w:rPr>
                <w:sz w:val="20"/>
                <w:szCs w:val="20"/>
              </w:rPr>
              <w:t>( payloadSize </w:t>
            </w:r>
            <w:r w:rsidR="008F1F82" w:rsidRPr="00A52AB8">
              <w:rPr>
                <w:sz w:val="20"/>
                <w:szCs w:val="20"/>
              </w:rPr>
              <w:t>) {</w:t>
            </w:r>
          </w:p>
        </w:tc>
        <w:tc>
          <w:tcPr>
            <w:tcW w:w="1331" w:type="dxa"/>
          </w:tcPr>
          <w:p w14:paraId="00626514" w14:textId="77777777" w:rsidR="00963E0E" w:rsidRPr="00A52AB8" w:rsidRDefault="00963E0E" w:rsidP="009C6742">
            <w:pPr>
              <w:spacing w:before="20" w:after="40" w:line="240" w:lineRule="auto"/>
              <w:jc w:val="center"/>
              <w:rPr>
                <w:rFonts w:eastAsia="Malgun Gothic"/>
                <w:sz w:val="20"/>
                <w:szCs w:val="20"/>
              </w:rPr>
            </w:pPr>
            <w:r w:rsidRPr="00A52AB8">
              <w:rPr>
                <w:b/>
                <w:bCs/>
                <w:sz w:val="20"/>
                <w:szCs w:val="20"/>
              </w:rPr>
              <w:t>Descriptor</w:t>
            </w:r>
          </w:p>
        </w:tc>
      </w:tr>
      <w:tr w:rsidR="00F4336E" w:rsidRPr="00A52AB8" w14:paraId="6EDF1EBE" w14:textId="77777777" w:rsidTr="00F4336E">
        <w:trPr>
          <w:cantSplit/>
          <w:jc w:val="center"/>
        </w:trPr>
        <w:tc>
          <w:tcPr>
            <w:tcW w:w="8411" w:type="dxa"/>
          </w:tcPr>
          <w:p w14:paraId="3356E29D" w14:textId="781F0189" w:rsidR="00F4336E" w:rsidRPr="00A52AB8" w:rsidRDefault="00F4336E" w:rsidP="00F4336E">
            <w:pPr>
              <w:spacing w:before="20" w:after="40" w:line="240" w:lineRule="auto"/>
              <w:rPr>
                <w:color w:val="000000" w:themeColor="text1"/>
                <w:sz w:val="20"/>
                <w:szCs w:val="20"/>
              </w:rPr>
            </w:pPr>
            <w:r w:rsidRPr="00A52AB8">
              <w:rPr>
                <w:bCs/>
                <w:sz w:val="20"/>
                <w:szCs w:val="20"/>
              </w:rPr>
              <w:tab/>
            </w:r>
            <w:r w:rsidRPr="00A52AB8">
              <w:rPr>
                <w:b/>
                <w:bCs/>
                <w:sz w:val="20"/>
                <w:szCs w:val="20"/>
              </w:rPr>
              <w:t>bp_nal_hrd_params_present_flag</w:t>
            </w:r>
          </w:p>
        </w:tc>
        <w:tc>
          <w:tcPr>
            <w:tcW w:w="1331" w:type="dxa"/>
          </w:tcPr>
          <w:p w14:paraId="27407542" w14:textId="588ADC94" w:rsidR="00F4336E" w:rsidRPr="00A52AB8" w:rsidRDefault="00F4336E" w:rsidP="00F4336E">
            <w:pPr>
              <w:spacing w:before="20" w:after="40" w:line="240" w:lineRule="auto"/>
              <w:jc w:val="center"/>
              <w:rPr>
                <w:rFonts w:eastAsia="Malgun Gothic"/>
                <w:sz w:val="20"/>
                <w:szCs w:val="20"/>
              </w:rPr>
            </w:pPr>
            <w:r w:rsidRPr="00A52AB8">
              <w:rPr>
                <w:sz w:val="20"/>
                <w:szCs w:val="20"/>
              </w:rPr>
              <w:t>u(1)</w:t>
            </w:r>
          </w:p>
        </w:tc>
      </w:tr>
      <w:tr w:rsidR="00F4336E" w:rsidRPr="00A52AB8" w14:paraId="728CC9AD" w14:textId="77777777" w:rsidTr="00F4336E">
        <w:trPr>
          <w:cantSplit/>
          <w:jc w:val="center"/>
        </w:trPr>
        <w:tc>
          <w:tcPr>
            <w:tcW w:w="8411" w:type="dxa"/>
          </w:tcPr>
          <w:p w14:paraId="0A9C600A" w14:textId="2A703CF3" w:rsidR="00F4336E" w:rsidRPr="00A52AB8" w:rsidRDefault="00F4336E" w:rsidP="00F4336E">
            <w:pPr>
              <w:spacing w:before="20" w:after="40" w:line="240" w:lineRule="auto"/>
              <w:rPr>
                <w:bCs/>
                <w:sz w:val="20"/>
                <w:szCs w:val="20"/>
              </w:rPr>
            </w:pPr>
            <w:r w:rsidRPr="00A52AB8">
              <w:rPr>
                <w:bCs/>
                <w:sz w:val="20"/>
                <w:szCs w:val="20"/>
              </w:rPr>
              <w:tab/>
            </w:r>
            <w:r w:rsidRPr="00A52AB8">
              <w:rPr>
                <w:b/>
                <w:bCs/>
                <w:sz w:val="20"/>
                <w:szCs w:val="20"/>
              </w:rPr>
              <w:t>bp_acl_hrd_params_present_flag</w:t>
            </w:r>
          </w:p>
        </w:tc>
        <w:tc>
          <w:tcPr>
            <w:tcW w:w="1331" w:type="dxa"/>
          </w:tcPr>
          <w:p w14:paraId="2C1D13C9" w14:textId="2EDF0BFF" w:rsidR="00F4336E" w:rsidRPr="00A52AB8" w:rsidRDefault="00F4336E" w:rsidP="00F4336E">
            <w:pPr>
              <w:spacing w:before="20" w:after="40" w:line="240" w:lineRule="auto"/>
              <w:jc w:val="center"/>
              <w:rPr>
                <w:sz w:val="20"/>
                <w:szCs w:val="20"/>
              </w:rPr>
            </w:pPr>
            <w:r w:rsidRPr="00A52AB8">
              <w:rPr>
                <w:sz w:val="20"/>
                <w:szCs w:val="20"/>
              </w:rPr>
              <w:t>u(1)</w:t>
            </w:r>
          </w:p>
        </w:tc>
      </w:tr>
      <w:tr w:rsidR="00F4336E" w:rsidRPr="00A52AB8" w14:paraId="35C39688" w14:textId="77777777" w:rsidTr="00F4336E">
        <w:trPr>
          <w:cantSplit/>
          <w:jc w:val="center"/>
        </w:trPr>
        <w:tc>
          <w:tcPr>
            <w:tcW w:w="8411" w:type="dxa"/>
          </w:tcPr>
          <w:p w14:paraId="1BE4BC95" w14:textId="3DDC07AF" w:rsidR="00F4336E" w:rsidRPr="00A52AB8" w:rsidRDefault="00F4336E" w:rsidP="00F4336E">
            <w:pPr>
              <w:spacing w:before="20" w:after="40" w:line="240" w:lineRule="auto"/>
              <w:rPr>
                <w:bCs/>
                <w:sz w:val="20"/>
                <w:szCs w:val="20"/>
              </w:rPr>
            </w:pPr>
            <w:r w:rsidRPr="00A52AB8">
              <w:rPr>
                <w:bCs/>
                <w:sz w:val="20"/>
                <w:szCs w:val="20"/>
              </w:rPr>
              <w:tab/>
            </w:r>
            <w:r w:rsidRPr="00A52AB8">
              <w:rPr>
                <w:b/>
                <w:bCs/>
                <w:sz w:val="20"/>
                <w:szCs w:val="20"/>
              </w:rPr>
              <w:t>bp_initial_cab_removal_delay_length_minus1</w:t>
            </w:r>
          </w:p>
        </w:tc>
        <w:tc>
          <w:tcPr>
            <w:tcW w:w="1331" w:type="dxa"/>
          </w:tcPr>
          <w:p w14:paraId="31236417" w14:textId="3D1F9A71" w:rsidR="00F4336E" w:rsidRPr="00A52AB8" w:rsidRDefault="00F4336E" w:rsidP="00F4336E">
            <w:pPr>
              <w:spacing w:before="20" w:after="40" w:line="240" w:lineRule="auto"/>
              <w:jc w:val="center"/>
              <w:rPr>
                <w:sz w:val="20"/>
                <w:szCs w:val="20"/>
              </w:rPr>
            </w:pPr>
            <w:r w:rsidRPr="00A52AB8">
              <w:rPr>
                <w:sz w:val="20"/>
                <w:szCs w:val="20"/>
              </w:rPr>
              <w:t>u(5)</w:t>
            </w:r>
          </w:p>
        </w:tc>
      </w:tr>
      <w:tr w:rsidR="00F4336E" w:rsidRPr="00A52AB8" w14:paraId="07B427AF" w14:textId="77777777" w:rsidTr="00F4336E">
        <w:trPr>
          <w:cantSplit/>
          <w:jc w:val="center"/>
        </w:trPr>
        <w:tc>
          <w:tcPr>
            <w:tcW w:w="8411" w:type="dxa"/>
          </w:tcPr>
          <w:p w14:paraId="4D60425F" w14:textId="0074C10A" w:rsidR="00F4336E" w:rsidRPr="00A52AB8" w:rsidRDefault="00F4336E" w:rsidP="00F4336E">
            <w:pPr>
              <w:spacing w:before="20" w:after="40" w:line="240" w:lineRule="auto"/>
              <w:rPr>
                <w:bCs/>
                <w:sz w:val="20"/>
                <w:szCs w:val="20"/>
              </w:rPr>
            </w:pPr>
            <w:r w:rsidRPr="00A52AB8">
              <w:rPr>
                <w:bCs/>
                <w:sz w:val="20"/>
                <w:szCs w:val="20"/>
              </w:rPr>
              <w:tab/>
            </w:r>
            <w:r w:rsidRPr="00A52AB8">
              <w:rPr>
                <w:b/>
                <w:bCs/>
                <w:sz w:val="20"/>
                <w:szCs w:val="20"/>
              </w:rPr>
              <w:t>bp_au_cab_removal_delay_length_minus1</w:t>
            </w:r>
          </w:p>
        </w:tc>
        <w:tc>
          <w:tcPr>
            <w:tcW w:w="1331" w:type="dxa"/>
          </w:tcPr>
          <w:p w14:paraId="00DF0AF6" w14:textId="1A1E43E6" w:rsidR="00F4336E" w:rsidRPr="00A52AB8" w:rsidRDefault="00F4336E" w:rsidP="00F4336E">
            <w:pPr>
              <w:spacing w:before="20" w:after="40" w:line="240" w:lineRule="auto"/>
              <w:jc w:val="center"/>
              <w:rPr>
                <w:sz w:val="20"/>
                <w:szCs w:val="20"/>
              </w:rPr>
            </w:pPr>
            <w:r w:rsidRPr="00A52AB8">
              <w:rPr>
                <w:sz w:val="20"/>
                <w:szCs w:val="20"/>
              </w:rPr>
              <w:t>u(5)</w:t>
            </w:r>
          </w:p>
        </w:tc>
      </w:tr>
      <w:tr w:rsidR="00F4336E" w:rsidRPr="00A52AB8" w14:paraId="103FCDF7" w14:textId="77777777" w:rsidTr="00F4336E">
        <w:trPr>
          <w:cantSplit/>
          <w:jc w:val="center"/>
        </w:trPr>
        <w:tc>
          <w:tcPr>
            <w:tcW w:w="8411" w:type="dxa"/>
          </w:tcPr>
          <w:p w14:paraId="7B347314" w14:textId="161F88EE" w:rsidR="00F4336E" w:rsidRPr="00A52AB8" w:rsidRDefault="00F4336E" w:rsidP="00F4336E">
            <w:pPr>
              <w:spacing w:before="20" w:after="40" w:line="240" w:lineRule="auto"/>
              <w:rPr>
                <w:bCs/>
                <w:sz w:val="20"/>
                <w:szCs w:val="20"/>
              </w:rPr>
            </w:pPr>
            <w:r w:rsidRPr="00A52AB8">
              <w:rPr>
                <w:b/>
                <w:sz w:val="20"/>
                <w:szCs w:val="20"/>
              </w:rPr>
              <w:tab/>
              <w:t>bp_dab_output_delay_length_minus1</w:t>
            </w:r>
          </w:p>
        </w:tc>
        <w:tc>
          <w:tcPr>
            <w:tcW w:w="1331" w:type="dxa"/>
          </w:tcPr>
          <w:p w14:paraId="262FBBAE" w14:textId="52D4BE2E" w:rsidR="00F4336E" w:rsidRPr="00A52AB8" w:rsidRDefault="00F4336E" w:rsidP="00F4336E">
            <w:pPr>
              <w:spacing w:before="20" w:after="40" w:line="240" w:lineRule="auto"/>
              <w:jc w:val="center"/>
              <w:rPr>
                <w:sz w:val="20"/>
                <w:szCs w:val="20"/>
              </w:rPr>
            </w:pPr>
            <w:r w:rsidRPr="00A52AB8">
              <w:rPr>
                <w:sz w:val="20"/>
                <w:szCs w:val="20"/>
              </w:rPr>
              <w:t>u(5)</w:t>
            </w:r>
          </w:p>
        </w:tc>
      </w:tr>
      <w:tr w:rsidR="00F4336E" w:rsidRPr="00A52AB8" w14:paraId="2D5AD903" w14:textId="77777777" w:rsidTr="00F4336E">
        <w:trPr>
          <w:cantSplit/>
          <w:jc w:val="center"/>
        </w:trPr>
        <w:tc>
          <w:tcPr>
            <w:tcW w:w="8411" w:type="dxa"/>
          </w:tcPr>
          <w:p w14:paraId="2EB88BD2" w14:textId="4690D73F" w:rsidR="00F4336E" w:rsidRPr="00A52AB8" w:rsidRDefault="00F4336E" w:rsidP="00F4336E">
            <w:pPr>
              <w:spacing w:before="20" w:after="40" w:line="240" w:lineRule="auto"/>
              <w:rPr>
                <w:bCs/>
                <w:sz w:val="20"/>
                <w:szCs w:val="20"/>
              </w:rPr>
            </w:pPr>
            <w:r w:rsidRPr="00A52AB8">
              <w:rPr>
                <w:bCs/>
                <w:sz w:val="20"/>
                <w:szCs w:val="20"/>
              </w:rPr>
              <w:tab/>
            </w:r>
            <w:r w:rsidRPr="00A52AB8">
              <w:rPr>
                <w:b/>
                <w:bCs/>
                <w:sz w:val="20"/>
                <w:szCs w:val="20"/>
              </w:rPr>
              <w:t>bp_irap_cab_params_present_flag</w:t>
            </w:r>
          </w:p>
        </w:tc>
        <w:tc>
          <w:tcPr>
            <w:tcW w:w="1331" w:type="dxa"/>
          </w:tcPr>
          <w:p w14:paraId="78D8B9BF" w14:textId="3D9E56AA" w:rsidR="00F4336E" w:rsidRPr="00A52AB8" w:rsidRDefault="00F4336E" w:rsidP="00F4336E">
            <w:pPr>
              <w:spacing w:before="20" w:after="40" w:line="240" w:lineRule="auto"/>
              <w:jc w:val="center"/>
              <w:rPr>
                <w:sz w:val="20"/>
                <w:szCs w:val="20"/>
              </w:rPr>
            </w:pPr>
            <w:r w:rsidRPr="00A52AB8">
              <w:rPr>
                <w:sz w:val="20"/>
                <w:szCs w:val="20"/>
              </w:rPr>
              <w:t>u(1)</w:t>
            </w:r>
          </w:p>
        </w:tc>
      </w:tr>
      <w:tr w:rsidR="00F4336E" w:rsidRPr="00A52AB8" w14:paraId="784F66A3" w14:textId="77777777" w:rsidTr="00F4336E">
        <w:trPr>
          <w:cantSplit/>
          <w:jc w:val="center"/>
        </w:trPr>
        <w:tc>
          <w:tcPr>
            <w:tcW w:w="8411" w:type="dxa"/>
          </w:tcPr>
          <w:p w14:paraId="00AB60F4" w14:textId="67428DA8" w:rsidR="00F4336E" w:rsidRPr="00A52AB8" w:rsidRDefault="00F4336E" w:rsidP="00F4336E">
            <w:pPr>
              <w:spacing w:before="20" w:after="40" w:line="240" w:lineRule="auto"/>
              <w:rPr>
                <w:bCs/>
                <w:sz w:val="20"/>
                <w:szCs w:val="20"/>
              </w:rPr>
            </w:pPr>
            <w:r w:rsidRPr="00A52AB8">
              <w:rPr>
                <w:bCs/>
                <w:sz w:val="20"/>
                <w:szCs w:val="20"/>
              </w:rPr>
              <w:tab/>
              <w:t>if( bp_irap_cab_params_present_flag </w:t>
            </w:r>
            <w:r w:rsidR="008F1F82" w:rsidRPr="00A52AB8">
              <w:rPr>
                <w:bCs/>
                <w:sz w:val="20"/>
                <w:szCs w:val="20"/>
              </w:rPr>
              <w:t>) {</w:t>
            </w:r>
          </w:p>
        </w:tc>
        <w:tc>
          <w:tcPr>
            <w:tcW w:w="1331" w:type="dxa"/>
          </w:tcPr>
          <w:p w14:paraId="49B322EB" w14:textId="77777777" w:rsidR="00F4336E" w:rsidRPr="00A52AB8" w:rsidRDefault="00F4336E" w:rsidP="00F4336E">
            <w:pPr>
              <w:spacing w:before="20" w:after="40" w:line="240" w:lineRule="auto"/>
              <w:jc w:val="center"/>
              <w:rPr>
                <w:rFonts w:eastAsia="Malgun Gothic"/>
                <w:sz w:val="20"/>
                <w:szCs w:val="20"/>
              </w:rPr>
            </w:pPr>
          </w:p>
        </w:tc>
      </w:tr>
      <w:tr w:rsidR="00F4336E" w:rsidRPr="00A52AB8" w14:paraId="3FEA704D" w14:textId="77777777" w:rsidTr="00F4336E">
        <w:trPr>
          <w:cantSplit/>
          <w:jc w:val="center"/>
        </w:trPr>
        <w:tc>
          <w:tcPr>
            <w:tcW w:w="8411" w:type="dxa"/>
          </w:tcPr>
          <w:p w14:paraId="19217BA5" w14:textId="77777777" w:rsidR="00F4336E" w:rsidRPr="00A52AB8" w:rsidRDefault="00F4336E" w:rsidP="00F4336E">
            <w:pPr>
              <w:spacing w:before="20" w:after="40" w:line="240" w:lineRule="auto"/>
              <w:rPr>
                <w:bCs/>
                <w:sz w:val="20"/>
                <w:szCs w:val="20"/>
              </w:rPr>
            </w:pPr>
            <w:r w:rsidRPr="00A52AB8">
              <w:rPr>
                <w:bCs/>
                <w:sz w:val="20"/>
                <w:szCs w:val="20"/>
              </w:rPr>
              <w:tab/>
            </w:r>
            <w:r w:rsidRPr="00A52AB8">
              <w:rPr>
                <w:bCs/>
                <w:sz w:val="20"/>
                <w:szCs w:val="20"/>
              </w:rPr>
              <w:tab/>
            </w:r>
            <w:r w:rsidRPr="00A52AB8">
              <w:rPr>
                <w:b/>
                <w:bCs/>
                <w:sz w:val="20"/>
                <w:szCs w:val="20"/>
              </w:rPr>
              <w:t>bp_cab_delay_offset</w:t>
            </w:r>
          </w:p>
        </w:tc>
        <w:tc>
          <w:tcPr>
            <w:tcW w:w="1331" w:type="dxa"/>
          </w:tcPr>
          <w:p w14:paraId="3491294E" w14:textId="77777777" w:rsidR="00F4336E" w:rsidRPr="00A52AB8" w:rsidRDefault="00F4336E" w:rsidP="00F4336E">
            <w:pPr>
              <w:spacing w:before="20" w:after="40" w:line="240" w:lineRule="auto"/>
              <w:jc w:val="center"/>
              <w:rPr>
                <w:rFonts w:eastAsia="Malgun Gothic"/>
                <w:sz w:val="20"/>
                <w:szCs w:val="20"/>
              </w:rPr>
            </w:pPr>
            <w:r w:rsidRPr="00A52AB8">
              <w:rPr>
                <w:sz w:val="20"/>
                <w:szCs w:val="20"/>
              </w:rPr>
              <w:t>u(v)</w:t>
            </w:r>
          </w:p>
        </w:tc>
      </w:tr>
      <w:tr w:rsidR="00F4336E" w:rsidRPr="00A52AB8" w14:paraId="2C2C4286" w14:textId="77777777" w:rsidTr="00F4336E">
        <w:trPr>
          <w:cantSplit/>
          <w:jc w:val="center"/>
        </w:trPr>
        <w:tc>
          <w:tcPr>
            <w:tcW w:w="8411" w:type="dxa"/>
          </w:tcPr>
          <w:p w14:paraId="1FE30115" w14:textId="77777777" w:rsidR="00F4336E" w:rsidRPr="00A52AB8" w:rsidRDefault="00F4336E" w:rsidP="00F4336E">
            <w:pPr>
              <w:spacing w:before="20" w:after="40" w:line="240" w:lineRule="auto"/>
              <w:rPr>
                <w:sz w:val="20"/>
                <w:szCs w:val="20"/>
              </w:rPr>
            </w:pPr>
            <w:r w:rsidRPr="00A52AB8">
              <w:rPr>
                <w:bCs/>
                <w:sz w:val="20"/>
                <w:szCs w:val="20"/>
              </w:rPr>
              <w:tab/>
            </w:r>
            <w:r w:rsidRPr="00A52AB8">
              <w:rPr>
                <w:bCs/>
                <w:sz w:val="20"/>
                <w:szCs w:val="20"/>
              </w:rPr>
              <w:tab/>
            </w:r>
            <w:r w:rsidRPr="00A52AB8">
              <w:rPr>
                <w:b/>
                <w:bCs/>
                <w:sz w:val="20"/>
                <w:szCs w:val="20"/>
              </w:rPr>
              <w:t>bp_dab_delay_offset</w:t>
            </w:r>
          </w:p>
        </w:tc>
        <w:tc>
          <w:tcPr>
            <w:tcW w:w="1331" w:type="dxa"/>
          </w:tcPr>
          <w:p w14:paraId="62AD4490" w14:textId="77777777" w:rsidR="00F4336E" w:rsidRPr="00A52AB8" w:rsidRDefault="00F4336E" w:rsidP="00F4336E">
            <w:pPr>
              <w:spacing w:before="20" w:after="40" w:line="240" w:lineRule="auto"/>
              <w:jc w:val="center"/>
              <w:rPr>
                <w:rFonts w:eastAsia="Malgun Gothic"/>
                <w:sz w:val="20"/>
                <w:szCs w:val="20"/>
              </w:rPr>
            </w:pPr>
            <w:r w:rsidRPr="00A52AB8">
              <w:rPr>
                <w:sz w:val="20"/>
                <w:szCs w:val="20"/>
              </w:rPr>
              <w:t>u(v)</w:t>
            </w:r>
          </w:p>
        </w:tc>
      </w:tr>
      <w:tr w:rsidR="00F4336E" w:rsidRPr="00A52AB8" w14:paraId="38A4B5F5" w14:textId="77777777" w:rsidTr="00F4336E">
        <w:trPr>
          <w:cantSplit/>
          <w:jc w:val="center"/>
        </w:trPr>
        <w:tc>
          <w:tcPr>
            <w:tcW w:w="8411" w:type="dxa"/>
          </w:tcPr>
          <w:p w14:paraId="3900CBF9" w14:textId="77777777" w:rsidR="00F4336E" w:rsidRPr="00A52AB8" w:rsidRDefault="00F4336E" w:rsidP="00F4336E">
            <w:pPr>
              <w:spacing w:before="20" w:after="40" w:line="240" w:lineRule="auto"/>
              <w:rPr>
                <w:sz w:val="20"/>
                <w:szCs w:val="20"/>
              </w:rPr>
            </w:pPr>
            <w:r w:rsidRPr="00A52AB8">
              <w:rPr>
                <w:bCs/>
                <w:sz w:val="20"/>
                <w:szCs w:val="20"/>
              </w:rPr>
              <w:tab/>
              <w:t>}</w:t>
            </w:r>
          </w:p>
        </w:tc>
        <w:tc>
          <w:tcPr>
            <w:tcW w:w="1331" w:type="dxa"/>
          </w:tcPr>
          <w:p w14:paraId="6E9DD942" w14:textId="77777777" w:rsidR="00F4336E" w:rsidRPr="00A52AB8" w:rsidRDefault="00F4336E" w:rsidP="00F4336E">
            <w:pPr>
              <w:spacing w:before="20" w:after="40" w:line="240" w:lineRule="auto"/>
              <w:jc w:val="center"/>
              <w:rPr>
                <w:rFonts w:eastAsia="Malgun Gothic"/>
                <w:sz w:val="20"/>
                <w:szCs w:val="20"/>
              </w:rPr>
            </w:pPr>
          </w:p>
        </w:tc>
      </w:tr>
      <w:tr w:rsidR="00F4336E" w:rsidRPr="00A52AB8" w14:paraId="5D2950C7" w14:textId="77777777" w:rsidTr="00F4336E">
        <w:trPr>
          <w:cantSplit/>
          <w:jc w:val="center"/>
        </w:trPr>
        <w:tc>
          <w:tcPr>
            <w:tcW w:w="8411" w:type="dxa"/>
          </w:tcPr>
          <w:p w14:paraId="21E550F2" w14:textId="77777777" w:rsidR="00F4336E" w:rsidRPr="00A52AB8" w:rsidRDefault="00F4336E" w:rsidP="00F4336E">
            <w:pPr>
              <w:spacing w:before="20" w:after="40" w:line="240" w:lineRule="auto"/>
              <w:rPr>
                <w:sz w:val="20"/>
                <w:szCs w:val="20"/>
              </w:rPr>
            </w:pPr>
            <w:r w:rsidRPr="00A52AB8">
              <w:rPr>
                <w:b/>
                <w:sz w:val="20"/>
                <w:szCs w:val="20"/>
              </w:rPr>
              <w:tab/>
            </w:r>
            <w:r w:rsidRPr="00A52AB8">
              <w:rPr>
                <w:b/>
                <w:bCs/>
                <w:sz w:val="20"/>
                <w:szCs w:val="20"/>
              </w:rPr>
              <w:t>bp_</w:t>
            </w:r>
            <w:r w:rsidRPr="00A52AB8">
              <w:rPr>
                <w:b/>
                <w:sz w:val="20"/>
                <w:szCs w:val="20"/>
              </w:rPr>
              <w:t>concatenation_flag</w:t>
            </w:r>
          </w:p>
        </w:tc>
        <w:tc>
          <w:tcPr>
            <w:tcW w:w="1331" w:type="dxa"/>
          </w:tcPr>
          <w:p w14:paraId="755F1EB1" w14:textId="77777777" w:rsidR="00F4336E" w:rsidRPr="00A52AB8" w:rsidRDefault="00F4336E" w:rsidP="00F4336E">
            <w:pPr>
              <w:spacing w:before="20" w:after="40" w:line="240" w:lineRule="auto"/>
              <w:jc w:val="center"/>
              <w:rPr>
                <w:rFonts w:eastAsia="Malgun Gothic"/>
                <w:sz w:val="20"/>
                <w:szCs w:val="20"/>
              </w:rPr>
            </w:pPr>
            <w:r w:rsidRPr="00A52AB8">
              <w:rPr>
                <w:bCs/>
                <w:sz w:val="20"/>
                <w:szCs w:val="20"/>
              </w:rPr>
              <w:t>u(1)</w:t>
            </w:r>
          </w:p>
        </w:tc>
      </w:tr>
      <w:tr w:rsidR="00F4336E" w:rsidRPr="00A52AB8" w14:paraId="290EA0FD" w14:textId="77777777" w:rsidTr="00F4336E">
        <w:trPr>
          <w:cantSplit/>
          <w:jc w:val="center"/>
        </w:trPr>
        <w:tc>
          <w:tcPr>
            <w:tcW w:w="8411" w:type="dxa"/>
          </w:tcPr>
          <w:p w14:paraId="150CD277" w14:textId="77777777" w:rsidR="00F4336E" w:rsidRPr="00A52AB8" w:rsidRDefault="00F4336E" w:rsidP="00F4336E">
            <w:pPr>
              <w:spacing w:before="20" w:after="40" w:line="240" w:lineRule="auto"/>
              <w:rPr>
                <w:sz w:val="20"/>
                <w:szCs w:val="20"/>
              </w:rPr>
            </w:pPr>
            <w:r w:rsidRPr="00A52AB8">
              <w:rPr>
                <w:b/>
                <w:sz w:val="20"/>
                <w:szCs w:val="20"/>
              </w:rPr>
              <w:tab/>
            </w:r>
            <w:r w:rsidRPr="00A52AB8">
              <w:rPr>
                <w:b/>
                <w:bCs/>
                <w:sz w:val="20"/>
                <w:szCs w:val="20"/>
              </w:rPr>
              <w:t>bp_</w:t>
            </w:r>
            <w:r w:rsidRPr="00A52AB8">
              <w:rPr>
                <w:b/>
                <w:sz w:val="20"/>
                <w:szCs w:val="20"/>
              </w:rPr>
              <w:t>atlas_cab_removal_delay_delta_minus1</w:t>
            </w:r>
          </w:p>
        </w:tc>
        <w:tc>
          <w:tcPr>
            <w:tcW w:w="1331" w:type="dxa"/>
          </w:tcPr>
          <w:p w14:paraId="27F2CF7C" w14:textId="77777777" w:rsidR="00F4336E" w:rsidRPr="00A52AB8" w:rsidRDefault="00F4336E" w:rsidP="00F4336E">
            <w:pPr>
              <w:spacing w:before="20" w:after="40" w:line="240" w:lineRule="auto"/>
              <w:jc w:val="center"/>
              <w:rPr>
                <w:rFonts w:eastAsia="Malgun Gothic"/>
                <w:sz w:val="20"/>
                <w:szCs w:val="20"/>
              </w:rPr>
            </w:pPr>
            <w:r w:rsidRPr="00A52AB8">
              <w:rPr>
                <w:bCs/>
                <w:sz w:val="20"/>
                <w:szCs w:val="20"/>
              </w:rPr>
              <w:t>u(v)</w:t>
            </w:r>
          </w:p>
        </w:tc>
      </w:tr>
      <w:tr w:rsidR="00F4336E" w:rsidRPr="00A52AB8" w14:paraId="7C74FA99" w14:textId="77777777" w:rsidTr="00F4336E">
        <w:trPr>
          <w:cantSplit/>
          <w:jc w:val="center"/>
        </w:trPr>
        <w:tc>
          <w:tcPr>
            <w:tcW w:w="8411" w:type="dxa"/>
          </w:tcPr>
          <w:p w14:paraId="3142D4B1" w14:textId="4F3759E4" w:rsidR="00F4336E" w:rsidRPr="00A52AB8" w:rsidRDefault="00F4336E" w:rsidP="00F4336E">
            <w:pPr>
              <w:spacing w:before="20" w:after="40" w:line="240" w:lineRule="auto"/>
              <w:rPr>
                <w:b/>
                <w:sz w:val="20"/>
                <w:szCs w:val="20"/>
              </w:rPr>
            </w:pPr>
            <w:r w:rsidRPr="00A52AB8">
              <w:rPr>
                <w:sz w:val="20"/>
                <w:szCs w:val="20"/>
              </w:rPr>
              <w:tab/>
            </w:r>
            <w:r w:rsidRPr="00A52AB8">
              <w:rPr>
                <w:b/>
                <w:sz w:val="20"/>
                <w:szCs w:val="20"/>
              </w:rPr>
              <w:t>bp_max_sub_layers_minus1</w:t>
            </w:r>
          </w:p>
        </w:tc>
        <w:tc>
          <w:tcPr>
            <w:tcW w:w="1331" w:type="dxa"/>
          </w:tcPr>
          <w:p w14:paraId="6BE6486A" w14:textId="77777777" w:rsidR="00F4336E" w:rsidRPr="00A52AB8" w:rsidRDefault="00F4336E" w:rsidP="00F4336E">
            <w:pPr>
              <w:spacing w:before="20" w:after="40" w:line="240" w:lineRule="auto"/>
              <w:jc w:val="center"/>
              <w:rPr>
                <w:rFonts w:eastAsia="Malgun Gothic"/>
                <w:sz w:val="20"/>
                <w:szCs w:val="20"/>
              </w:rPr>
            </w:pPr>
            <w:r w:rsidRPr="00A52AB8">
              <w:rPr>
                <w:rFonts w:eastAsia="Malgun Gothic"/>
                <w:sz w:val="20"/>
                <w:szCs w:val="20"/>
              </w:rPr>
              <w:t>u(3)</w:t>
            </w:r>
          </w:p>
        </w:tc>
      </w:tr>
      <w:tr w:rsidR="00F4336E" w:rsidRPr="00A52AB8" w14:paraId="4BC2256E" w14:textId="77777777" w:rsidTr="00F4336E">
        <w:trPr>
          <w:cantSplit/>
          <w:jc w:val="center"/>
        </w:trPr>
        <w:tc>
          <w:tcPr>
            <w:tcW w:w="8411" w:type="dxa"/>
          </w:tcPr>
          <w:p w14:paraId="2EBEB598" w14:textId="07DA23EB" w:rsidR="00F4336E" w:rsidRPr="00A52AB8" w:rsidRDefault="00F4336E" w:rsidP="00F4336E">
            <w:pPr>
              <w:spacing w:before="20" w:after="40" w:line="240" w:lineRule="auto"/>
              <w:rPr>
                <w:sz w:val="20"/>
                <w:szCs w:val="20"/>
              </w:rPr>
            </w:pPr>
            <w:r w:rsidRPr="00A52AB8">
              <w:rPr>
                <w:sz w:val="20"/>
                <w:szCs w:val="20"/>
              </w:rPr>
              <w:tab/>
              <w:t>for( i</w:t>
            </w:r>
            <w:r w:rsidR="00D47707" w:rsidRPr="00A52AB8">
              <w:rPr>
                <w:sz w:val="20"/>
                <w:szCs w:val="20"/>
              </w:rPr>
              <w:t> = </w:t>
            </w:r>
            <w:r w:rsidRPr="00A52AB8">
              <w:rPr>
                <w:sz w:val="20"/>
                <w:szCs w:val="20"/>
              </w:rPr>
              <w:t>0; i </w:t>
            </w:r>
            <w:r w:rsidR="00A234FD" w:rsidRPr="00A52AB8">
              <w:rPr>
                <w:sz w:val="20"/>
                <w:szCs w:val="20"/>
              </w:rPr>
              <w:t>&lt;=</w:t>
            </w:r>
            <w:r w:rsidR="00D47707" w:rsidRPr="00A52AB8">
              <w:rPr>
                <w:sz w:val="20"/>
                <w:szCs w:val="20"/>
              </w:rPr>
              <w:t> </w:t>
            </w:r>
            <w:r w:rsidRPr="00A52AB8">
              <w:rPr>
                <w:sz w:val="20"/>
                <w:szCs w:val="20"/>
              </w:rPr>
              <w:t>bp_max_sub_layers_minus1; i++ </w:t>
            </w:r>
            <w:r w:rsidR="008F1F82" w:rsidRPr="00A52AB8">
              <w:rPr>
                <w:sz w:val="20"/>
                <w:szCs w:val="20"/>
              </w:rPr>
              <w:t>) {</w:t>
            </w:r>
          </w:p>
        </w:tc>
        <w:tc>
          <w:tcPr>
            <w:tcW w:w="1331" w:type="dxa"/>
          </w:tcPr>
          <w:p w14:paraId="6549655A" w14:textId="77777777" w:rsidR="00F4336E" w:rsidRPr="00A52AB8" w:rsidRDefault="00F4336E" w:rsidP="00F4336E">
            <w:pPr>
              <w:spacing w:before="20" w:after="40" w:line="240" w:lineRule="auto"/>
              <w:jc w:val="center"/>
              <w:rPr>
                <w:rFonts w:eastAsia="Malgun Gothic"/>
                <w:sz w:val="20"/>
                <w:szCs w:val="20"/>
              </w:rPr>
            </w:pPr>
          </w:p>
        </w:tc>
      </w:tr>
      <w:tr w:rsidR="00F4336E" w:rsidRPr="00A52AB8" w14:paraId="5E7456B8" w14:textId="77777777" w:rsidTr="00F4336E">
        <w:trPr>
          <w:cantSplit/>
          <w:jc w:val="center"/>
        </w:trPr>
        <w:tc>
          <w:tcPr>
            <w:tcW w:w="8411" w:type="dxa"/>
          </w:tcPr>
          <w:p w14:paraId="076CBB99" w14:textId="42EC6DA7" w:rsidR="00F4336E" w:rsidRPr="00A52AB8" w:rsidRDefault="00F4336E" w:rsidP="00F4336E">
            <w:pPr>
              <w:spacing w:before="20" w:after="40" w:line="240" w:lineRule="auto"/>
              <w:rPr>
                <w:sz w:val="20"/>
                <w:szCs w:val="20"/>
              </w:rPr>
            </w:pPr>
            <w:r w:rsidRPr="00A52AB8">
              <w:rPr>
                <w:sz w:val="20"/>
                <w:szCs w:val="20"/>
              </w:rPr>
              <w:tab/>
            </w:r>
            <w:r w:rsidRPr="00A52AB8">
              <w:rPr>
                <w:sz w:val="20"/>
                <w:szCs w:val="20"/>
              </w:rPr>
              <w:tab/>
            </w:r>
            <w:r w:rsidRPr="00A52AB8">
              <w:rPr>
                <w:b/>
                <w:sz w:val="20"/>
                <w:szCs w:val="20"/>
              </w:rPr>
              <w:t>bp_hrd_cab_cnt_minus1</w:t>
            </w:r>
            <w:r w:rsidRPr="00A52AB8">
              <w:rPr>
                <w:sz w:val="20"/>
                <w:szCs w:val="20"/>
              </w:rPr>
              <w:t>[ i ]</w:t>
            </w:r>
          </w:p>
        </w:tc>
        <w:tc>
          <w:tcPr>
            <w:tcW w:w="1331" w:type="dxa"/>
          </w:tcPr>
          <w:p w14:paraId="7165838B" w14:textId="0E8A9E75" w:rsidR="00F4336E" w:rsidRPr="00A52AB8" w:rsidRDefault="00F4336E" w:rsidP="00F4336E">
            <w:pPr>
              <w:spacing w:before="20" w:after="40" w:line="240" w:lineRule="auto"/>
              <w:jc w:val="center"/>
              <w:rPr>
                <w:rFonts w:eastAsia="Malgun Gothic"/>
                <w:sz w:val="20"/>
                <w:szCs w:val="20"/>
              </w:rPr>
            </w:pPr>
            <w:r w:rsidRPr="00A52AB8">
              <w:rPr>
                <w:rFonts w:eastAsia="Malgun Gothic"/>
                <w:sz w:val="20"/>
                <w:szCs w:val="20"/>
              </w:rPr>
              <w:t>ue(v)</w:t>
            </w:r>
          </w:p>
        </w:tc>
      </w:tr>
      <w:tr w:rsidR="00F4336E" w:rsidRPr="00A52AB8" w14:paraId="2CB66A2E" w14:textId="77777777" w:rsidTr="00F4336E">
        <w:trPr>
          <w:cantSplit/>
          <w:jc w:val="center"/>
        </w:trPr>
        <w:tc>
          <w:tcPr>
            <w:tcW w:w="8411" w:type="dxa"/>
          </w:tcPr>
          <w:p w14:paraId="7222D0D6" w14:textId="7A8E52FE" w:rsidR="00F4336E" w:rsidRPr="00A52AB8" w:rsidRDefault="00F4336E" w:rsidP="00F4336E">
            <w:pPr>
              <w:spacing w:before="20" w:after="40" w:line="240" w:lineRule="auto"/>
              <w:rPr>
                <w:sz w:val="20"/>
                <w:szCs w:val="20"/>
              </w:rPr>
            </w:pPr>
            <w:r w:rsidRPr="00A52AB8">
              <w:rPr>
                <w:sz w:val="20"/>
                <w:szCs w:val="20"/>
              </w:rPr>
              <w:tab/>
            </w:r>
            <w:r w:rsidRPr="00A52AB8">
              <w:rPr>
                <w:sz w:val="20"/>
                <w:szCs w:val="20"/>
              </w:rPr>
              <w:tab/>
              <w:t>if( bp_nal_hrd_params_present_flag </w:t>
            </w:r>
            <w:r w:rsidR="008F1F82" w:rsidRPr="00A52AB8">
              <w:rPr>
                <w:sz w:val="20"/>
                <w:szCs w:val="20"/>
              </w:rPr>
              <w:t>) {</w:t>
            </w:r>
          </w:p>
        </w:tc>
        <w:tc>
          <w:tcPr>
            <w:tcW w:w="1331" w:type="dxa"/>
          </w:tcPr>
          <w:p w14:paraId="3CB2A6D1" w14:textId="77777777" w:rsidR="00F4336E" w:rsidRPr="00A52AB8" w:rsidRDefault="00F4336E" w:rsidP="00F4336E">
            <w:pPr>
              <w:spacing w:before="20" w:after="40" w:line="240" w:lineRule="auto"/>
              <w:jc w:val="center"/>
              <w:rPr>
                <w:rFonts w:eastAsia="Malgun Gothic"/>
                <w:sz w:val="20"/>
                <w:szCs w:val="20"/>
              </w:rPr>
            </w:pPr>
          </w:p>
        </w:tc>
      </w:tr>
      <w:tr w:rsidR="00F4336E" w:rsidRPr="00A52AB8" w14:paraId="23699254" w14:textId="77777777" w:rsidTr="00F4336E">
        <w:trPr>
          <w:cantSplit/>
          <w:jc w:val="center"/>
        </w:trPr>
        <w:tc>
          <w:tcPr>
            <w:tcW w:w="8411" w:type="dxa"/>
          </w:tcPr>
          <w:p w14:paraId="6D1440C6" w14:textId="0BAD6823" w:rsidR="00F4336E" w:rsidRPr="00A52AB8" w:rsidRDefault="00F4336E" w:rsidP="00F4336E">
            <w:pPr>
              <w:spacing w:before="20" w:after="40" w:line="240" w:lineRule="auto"/>
              <w:rPr>
                <w:sz w:val="20"/>
                <w:szCs w:val="20"/>
              </w:rPr>
            </w:pPr>
            <w:r w:rsidRPr="00A52AB8">
              <w:rPr>
                <w:sz w:val="20"/>
                <w:szCs w:val="20"/>
              </w:rPr>
              <w:tab/>
            </w:r>
            <w:r w:rsidRPr="00A52AB8">
              <w:rPr>
                <w:sz w:val="20"/>
                <w:szCs w:val="20"/>
              </w:rPr>
              <w:tab/>
            </w:r>
            <w:r w:rsidRPr="00A52AB8">
              <w:rPr>
                <w:sz w:val="20"/>
                <w:szCs w:val="20"/>
              </w:rPr>
              <w:tab/>
              <w:t>for( j</w:t>
            </w:r>
            <w:r w:rsidR="00D47707" w:rsidRPr="00A52AB8">
              <w:rPr>
                <w:sz w:val="20"/>
                <w:szCs w:val="20"/>
              </w:rPr>
              <w:t> = </w:t>
            </w:r>
            <w:r w:rsidRPr="00A52AB8">
              <w:rPr>
                <w:sz w:val="20"/>
                <w:szCs w:val="20"/>
              </w:rPr>
              <w:t>0; j &lt; bp_hrd_</w:t>
            </w:r>
            <w:r w:rsidRPr="00A52AB8">
              <w:rPr>
                <w:bCs/>
                <w:sz w:val="20"/>
                <w:szCs w:val="20"/>
              </w:rPr>
              <w:t>cab_cnt_minus1[ i ]</w:t>
            </w:r>
            <w:r w:rsidRPr="00A52AB8">
              <w:rPr>
                <w:sz w:val="20"/>
                <w:szCs w:val="20"/>
              </w:rPr>
              <w:t> + 1; j++ </w:t>
            </w:r>
            <w:r w:rsidR="008F1F82" w:rsidRPr="00A52AB8">
              <w:rPr>
                <w:sz w:val="20"/>
                <w:szCs w:val="20"/>
              </w:rPr>
              <w:t>) {</w:t>
            </w:r>
          </w:p>
        </w:tc>
        <w:tc>
          <w:tcPr>
            <w:tcW w:w="1331" w:type="dxa"/>
          </w:tcPr>
          <w:p w14:paraId="3D05D282" w14:textId="77777777" w:rsidR="00F4336E" w:rsidRPr="00A52AB8" w:rsidRDefault="00F4336E" w:rsidP="00F4336E">
            <w:pPr>
              <w:spacing w:before="20" w:after="40" w:line="240" w:lineRule="auto"/>
              <w:jc w:val="center"/>
              <w:rPr>
                <w:rFonts w:eastAsia="Malgun Gothic"/>
                <w:sz w:val="20"/>
                <w:szCs w:val="20"/>
              </w:rPr>
            </w:pPr>
          </w:p>
        </w:tc>
      </w:tr>
      <w:tr w:rsidR="00F4336E" w:rsidRPr="00A52AB8" w14:paraId="41D85C76" w14:textId="77777777" w:rsidTr="00F4336E">
        <w:trPr>
          <w:cantSplit/>
          <w:jc w:val="center"/>
        </w:trPr>
        <w:tc>
          <w:tcPr>
            <w:tcW w:w="8411" w:type="dxa"/>
          </w:tcPr>
          <w:p w14:paraId="241F76D6" w14:textId="31BC96FE" w:rsidR="00F4336E" w:rsidRPr="00A52AB8" w:rsidRDefault="00F4336E" w:rsidP="00F4336E">
            <w:pPr>
              <w:spacing w:before="20" w:after="40" w:line="240" w:lineRule="auto"/>
              <w:rPr>
                <w:sz w:val="20"/>
                <w:szCs w:val="20"/>
              </w:rPr>
            </w:pPr>
            <w:r w:rsidRPr="00A52AB8">
              <w:rPr>
                <w:b/>
                <w:bCs/>
                <w:sz w:val="20"/>
                <w:szCs w:val="20"/>
              </w:rPr>
              <w:tab/>
            </w:r>
            <w:r w:rsidRPr="00A52AB8">
              <w:rPr>
                <w:b/>
                <w:bCs/>
                <w:sz w:val="20"/>
                <w:szCs w:val="20"/>
              </w:rPr>
              <w:tab/>
            </w:r>
            <w:r w:rsidRPr="00A52AB8">
              <w:rPr>
                <w:b/>
                <w:bCs/>
                <w:sz w:val="20"/>
                <w:szCs w:val="20"/>
              </w:rPr>
              <w:tab/>
            </w:r>
            <w:r w:rsidRPr="00A52AB8">
              <w:rPr>
                <w:sz w:val="20"/>
                <w:szCs w:val="20"/>
              </w:rPr>
              <w:tab/>
            </w:r>
            <w:r w:rsidRPr="00A52AB8">
              <w:rPr>
                <w:b/>
                <w:bCs/>
                <w:sz w:val="20"/>
                <w:szCs w:val="20"/>
              </w:rPr>
              <w:t>bp_nal_initial_cab_removal_delay</w:t>
            </w:r>
            <w:r w:rsidRPr="00A52AB8">
              <w:rPr>
                <w:bCs/>
                <w:sz w:val="20"/>
                <w:szCs w:val="20"/>
              </w:rPr>
              <w:t>[ i ][ j ]</w:t>
            </w:r>
          </w:p>
        </w:tc>
        <w:tc>
          <w:tcPr>
            <w:tcW w:w="1331" w:type="dxa"/>
          </w:tcPr>
          <w:p w14:paraId="661EACCF" w14:textId="77777777" w:rsidR="00F4336E" w:rsidRPr="00A52AB8" w:rsidRDefault="00F4336E" w:rsidP="00F4336E">
            <w:pPr>
              <w:spacing w:before="20" w:after="40" w:line="240" w:lineRule="auto"/>
              <w:jc w:val="center"/>
              <w:rPr>
                <w:rFonts w:eastAsia="Malgun Gothic"/>
                <w:sz w:val="20"/>
                <w:szCs w:val="20"/>
              </w:rPr>
            </w:pPr>
            <w:r w:rsidRPr="00A52AB8">
              <w:rPr>
                <w:sz w:val="20"/>
                <w:szCs w:val="20"/>
              </w:rPr>
              <w:t>u(v)</w:t>
            </w:r>
          </w:p>
        </w:tc>
      </w:tr>
      <w:tr w:rsidR="00F4336E" w:rsidRPr="00A52AB8" w14:paraId="666EC6A5" w14:textId="77777777" w:rsidTr="00F4336E">
        <w:trPr>
          <w:cantSplit/>
          <w:jc w:val="center"/>
        </w:trPr>
        <w:tc>
          <w:tcPr>
            <w:tcW w:w="8411" w:type="dxa"/>
          </w:tcPr>
          <w:p w14:paraId="245FFDD9" w14:textId="3D30114D" w:rsidR="00F4336E" w:rsidRPr="00A52AB8" w:rsidRDefault="00F4336E" w:rsidP="00F4336E">
            <w:pPr>
              <w:spacing w:before="20" w:after="40" w:line="240" w:lineRule="auto"/>
              <w:rPr>
                <w:sz w:val="20"/>
                <w:szCs w:val="20"/>
              </w:rPr>
            </w:pPr>
            <w:r w:rsidRPr="00A52AB8">
              <w:rPr>
                <w:b/>
                <w:bCs/>
                <w:sz w:val="20"/>
                <w:szCs w:val="20"/>
              </w:rPr>
              <w:tab/>
            </w:r>
            <w:r w:rsidRPr="00A52AB8">
              <w:rPr>
                <w:b/>
                <w:bCs/>
                <w:sz w:val="20"/>
                <w:szCs w:val="20"/>
              </w:rPr>
              <w:tab/>
            </w:r>
            <w:r w:rsidRPr="00A52AB8">
              <w:rPr>
                <w:b/>
                <w:bCs/>
                <w:sz w:val="20"/>
                <w:szCs w:val="20"/>
              </w:rPr>
              <w:tab/>
            </w:r>
            <w:r w:rsidRPr="00A52AB8">
              <w:rPr>
                <w:sz w:val="20"/>
                <w:szCs w:val="20"/>
              </w:rPr>
              <w:tab/>
            </w:r>
            <w:r w:rsidRPr="00A52AB8">
              <w:rPr>
                <w:b/>
                <w:bCs/>
                <w:sz w:val="20"/>
                <w:szCs w:val="20"/>
              </w:rPr>
              <w:t>bp_nal_initial_cab_removal_offset</w:t>
            </w:r>
            <w:r w:rsidRPr="00A52AB8">
              <w:rPr>
                <w:bCs/>
                <w:sz w:val="20"/>
                <w:szCs w:val="20"/>
              </w:rPr>
              <w:t>[ i ][ j ]</w:t>
            </w:r>
          </w:p>
        </w:tc>
        <w:tc>
          <w:tcPr>
            <w:tcW w:w="1331" w:type="dxa"/>
          </w:tcPr>
          <w:p w14:paraId="119A45A7" w14:textId="77777777" w:rsidR="00F4336E" w:rsidRPr="00A52AB8" w:rsidRDefault="00F4336E" w:rsidP="00F4336E">
            <w:pPr>
              <w:spacing w:before="20" w:after="40" w:line="240" w:lineRule="auto"/>
              <w:jc w:val="center"/>
              <w:rPr>
                <w:rFonts w:eastAsia="Malgun Gothic"/>
                <w:sz w:val="20"/>
                <w:szCs w:val="20"/>
              </w:rPr>
            </w:pPr>
            <w:r w:rsidRPr="00A52AB8">
              <w:rPr>
                <w:sz w:val="20"/>
                <w:szCs w:val="20"/>
              </w:rPr>
              <w:t>u(v)</w:t>
            </w:r>
          </w:p>
        </w:tc>
      </w:tr>
      <w:tr w:rsidR="00F4336E" w:rsidRPr="00A52AB8" w14:paraId="4AA84F28" w14:textId="77777777" w:rsidTr="00F4336E">
        <w:trPr>
          <w:cantSplit/>
          <w:jc w:val="center"/>
        </w:trPr>
        <w:tc>
          <w:tcPr>
            <w:tcW w:w="8411" w:type="dxa"/>
          </w:tcPr>
          <w:p w14:paraId="42C7A3DF" w14:textId="1680BB05" w:rsidR="00F4336E" w:rsidRPr="00A52AB8" w:rsidRDefault="00F4336E" w:rsidP="00F4336E">
            <w:pPr>
              <w:spacing w:before="20" w:after="40" w:line="240" w:lineRule="auto"/>
              <w:rPr>
                <w:sz w:val="20"/>
                <w:szCs w:val="20"/>
              </w:rPr>
            </w:pPr>
            <w:r w:rsidRPr="00A52AB8">
              <w:rPr>
                <w:b/>
                <w:bCs/>
                <w:sz w:val="20"/>
                <w:szCs w:val="20"/>
              </w:rPr>
              <w:tab/>
            </w:r>
            <w:r w:rsidRPr="00A52AB8">
              <w:rPr>
                <w:b/>
                <w:bCs/>
                <w:sz w:val="20"/>
                <w:szCs w:val="20"/>
              </w:rPr>
              <w:tab/>
            </w:r>
            <w:r w:rsidRPr="00A52AB8">
              <w:rPr>
                <w:b/>
                <w:bCs/>
                <w:sz w:val="20"/>
                <w:szCs w:val="20"/>
              </w:rPr>
              <w:tab/>
            </w:r>
            <w:r w:rsidRPr="00A52AB8">
              <w:rPr>
                <w:b/>
                <w:bCs/>
                <w:sz w:val="20"/>
                <w:szCs w:val="20"/>
              </w:rPr>
              <w:tab/>
            </w:r>
            <w:r w:rsidRPr="00A52AB8">
              <w:rPr>
                <w:bCs/>
                <w:sz w:val="20"/>
                <w:szCs w:val="20"/>
              </w:rPr>
              <w:t>if( bp_</w:t>
            </w:r>
            <w:r w:rsidRPr="00A52AB8">
              <w:rPr>
                <w:sz w:val="20"/>
                <w:szCs w:val="20"/>
              </w:rPr>
              <w:t>irap_cab_params_present_flag </w:t>
            </w:r>
            <w:r w:rsidR="008F1F82" w:rsidRPr="00A52AB8">
              <w:rPr>
                <w:bCs/>
                <w:sz w:val="20"/>
                <w:szCs w:val="20"/>
              </w:rPr>
              <w:t>) {</w:t>
            </w:r>
          </w:p>
        </w:tc>
        <w:tc>
          <w:tcPr>
            <w:tcW w:w="1331" w:type="dxa"/>
          </w:tcPr>
          <w:p w14:paraId="7FE68C7B" w14:textId="77777777" w:rsidR="00F4336E" w:rsidRPr="00A52AB8" w:rsidRDefault="00F4336E" w:rsidP="00F4336E">
            <w:pPr>
              <w:spacing w:before="20" w:after="40" w:line="240" w:lineRule="auto"/>
              <w:jc w:val="center"/>
              <w:rPr>
                <w:rFonts w:eastAsia="Malgun Gothic"/>
                <w:sz w:val="20"/>
                <w:szCs w:val="20"/>
              </w:rPr>
            </w:pPr>
          </w:p>
        </w:tc>
      </w:tr>
      <w:tr w:rsidR="00F4336E" w:rsidRPr="00A52AB8" w14:paraId="5F0EE597" w14:textId="77777777" w:rsidTr="00F4336E">
        <w:trPr>
          <w:cantSplit/>
          <w:jc w:val="center"/>
        </w:trPr>
        <w:tc>
          <w:tcPr>
            <w:tcW w:w="8411" w:type="dxa"/>
          </w:tcPr>
          <w:p w14:paraId="35F190C4" w14:textId="5E5CC4B0" w:rsidR="00F4336E" w:rsidRPr="00A52AB8" w:rsidRDefault="00F4336E" w:rsidP="00F4336E">
            <w:pPr>
              <w:spacing w:before="20" w:after="40" w:line="240" w:lineRule="auto"/>
              <w:rPr>
                <w:sz w:val="20"/>
                <w:szCs w:val="20"/>
              </w:rPr>
            </w:pPr>
            <w:r w:rsidRPr="00A52AB8">
              <w:rPr>
                <w:b/>
                <w:bCs/>
                <w:sz w:val="20"/>
                <w:szCs w:val="20"/>
              </w:rPr>
              <w:tab/>
            </w:r>
            <w:r w:rsidRPr="00A52AB8">
              <w:rPr>
                <w:b/>
                <w:bCs/>
                <w:sz w:val="20"/>
                <w:szCs w:val="20"/>
              </w:rPr>
              <w:tab/>
            </w:r>
            <w:r w:rsidRPr="00A52AB8">
              <w:rPr>
                <w:b/>
                <w:bCs/>
                <w:sz w:val="20"/>
                <w:szCs w:val="20"/>
              </w:rPr>
              <w:tab/>
            </w:r>
            <w:r w:rsidRPr="00A52AB8">
              <w:rPr>
                <w:b/>
                <w:bCs/>
                <w:sz w:val="20"/>
                <w:szCs w:val="20"/>
              </w:rPr>
              <w:tab/>
            </w:r>
            <w:r w:rsidRPr="00A52AB8">
              <w:rPr>
                <w:b/>
                <w:bCs/>
                <w:sz w:val="20"/>
                <w:szCs w:val="20"/>
              </w:rPr>
              <w:tab/>
              <w:t>bp_nal_initial_alt_cab_removal_delay</w:t>
            </w:r>
            <w:r w:rsidRPr="00A52AB8">
              <w:rPr>
                <w:bCs/>
                <w:sz w:val="20"/>
                <w:szCs w:val="20"/>
              </w:rPr>
              <w:t>[ i ][ j ]</w:t>
            </w:r>
          </w:p>
        </w:tc>
        <w:tc>
          <w:tcPr>
            <w:tcW w:w="1331" w:type="dxa"/>
          </w:tcPr>
          <w:p w14:paraId="0F4B83E0" w14:textId="77777777" w:rsidR="00F4336E" w:rsidRPr="00A52AB8" w:rsidRDefault="00F4336E" w:rsidP="00F4336E">
            <w:pPr>
              <w:spacing w:before="20" w:after="40" w:line="240" w:lineRule="auto"/>
              <w:jc w:val="center"/>
              <w:rPr>
                <w:rFonts w:eastAsia="Malgun Gothic"/>
                <w:sz w:val="20"/>
                <w:szCs w:val="20"/>
              </w:rPr>
            </w:pPr>
            <w:r w:rsidRPr="00A52AB8">
              <w:rPr>
                <w:sz w:val="20"/>
                <w:szCs w:val="20"/>
              </w:rPr>
              <w:t>u(v)</w:t>
            </w:r>
          </w:p>
        </w:tc>
      </w:tr>
      <w:tr w:rsidR="00F4336E" w:rsidRPr="00A52AB8" w14:paraId="66A89137" w14:textId="77777777" w:rsidTr="00F4336E">
        <w:trPr>
          <w:cantSplit/>
          <w:jc w:val="center"/>
        </w:trPr>
        <w:tc>
          <w:tcPr>
            <w:tcW w:w="8411" w:type="dxa"/>
          </w:tcPr>
          <w:p w14:paraId="598ABB0E" w14:textId="71B86D16" w:rsidR="00F4336E" w:rsidRPr="00A52AB8" w:rsidRDefault="00F4336E" w:rsidP="00F4336E">
            <w:pPr>
              <w:spacing w:before="20" w:after="40" w:line="240" w:lineRule="auto"/>
              <w:rPr>
                <w:sz w:val="20"/>
                <w:szCs w:val="20"/>
              </w:rPr>
            </w:pPr>
            <w:r w:rsidRPr="00A52AB8">
              <w:rPr>
                <w:b/>
                <w:bCs/>
                <w:sz w:val="20"/>
                <w:szCs w:val="20"/>
              </w:rPr>
              <w:tab/>
            </w:r>
            <w:r w:rsidRPr="00A52AB8">
              <w:rPr>
                <w:b/>
                <w:bCs/>
                <w:sz w:val="20"/>
                <w:szCs w:val="20"/>
              </w:rPr>
              <w:tab/>
            </w:r>
            <w:r w:rsidRPr="00A52AB8">
              <w:rPr>
                <w:b/>
                <w:bCs/>
                <w:sz w:val="20"/>
                <w:szCs w:val="20"/>
              </w:rPr>
              <w:tab/>
            </w:r>
            <w:r w:rsidRPr="00A52AB8">
              <w:rPr>
                <w:b/>
                <w:bCs/>
                <w:sz w:val="20"/>
                <w:szCs w:val="20"/>
              </w:rPr>
              <w:tab/>
            </w:r>
            <w:r w:rsidRPr="00A52AB8">
              <w:rPr>
                <w:b/>
                <w:bCs/>
                <w:sz w:val="20"/>
                <w:szCs w:val="20"/>
              </w:rPr>
              <w:tab/>
              <w:t>bp_nal_initial_alt_cab_removal_offset</w:t>
            </w:r>
            <w:r w:rsidRPr="00A52AB8">
              <w:rPr>
                <w:bCs/>
                <w:sz w:val="20"/>
                <w:szCs w:val="20"/>
              </w:rPr>
              <w:t>[ i ][ j ]</w:t>
            </w:r>
          </w:p>
        </w:tc>
        <w:tc>
          <w:tcPr>
            <w:tcW w:w="1331" w:type="dxa"/>
          </w:tcPr>
          <w:p w14:paraId="3A36E2D3" w14:textId="77777777" w:rsidR="00F4336E" w:rsidRPr="00A52AB8" w:rsidRDefault="00F4336E" w:rsidP="00F4336E">
            <w:pPr>
              <w:spacing w:before="20" w:after="40" w:line="240" w:lineRule="auto"/>
              <w:jc w:val="center"/>
              <w:rPr>
                <w:rFonts w:eastAsia="Malgun Gothic"/>
                <w:sz w:val="20"/>
                <w:szCs w:val="20"/>
              </w:rPr>
            </w:pPr>
            <w:r w:rsidRPr="00A52AB8">
              <w:rPr>
                <w:sz w:val="20"/>
                <w:szCs w:val="20"/>
              </w:rPr>
              <w:t>u(v)</w:t>
            </w:r>
          </w:p>
        </w:tc>
      </w:tr>
      <w:tr w:rsidR="00F4336E" w:rsidRPr="00A52AB8" w14:paraId="77B3349C" w14:textId="77777777" w:rsidTr="00F4336E">
        <w:trPr>
          <w:cantSplit/>
          <w:jc w:val="center"/>
        </w:trPr>
        <w:tc>
          <w:tcPr>
            <w:tcW w:w="8411" w:type="dxa"/>
          </w:tcPr>
          <w:p w14:paraId="6BD7DFA4" w14:textId="6F0DFFD5" w:rsidR="00F4336E" w:rsidRPr="00A52AB8" w:rsidRDefault="00F4336E" w:rsidP="00F4336E">
            <w:pPr>
              <w:spacing w:before="20" w:after="40" w:line="240" w:lineRule="auto"/>
              <w:rPr>
                <w:sz w:val="20"/>
                <w:szCs w:val="20"/>
              </w:rPr>
            </w:pPr>
            <w:r w:rsidRPr="00A52AB8">
              <w:rPr>
                <w:bCs/>
                <w:sz w:val="20"/>
                <w:szCs w:val="20"/>
              </w:rPr>
              <w:tab/>
            </w:r>
            <w:r w:rsidRPr="00A52AB8">
              <w:rPr>
                <w:bCs/>
                <w:sz w:val="20"/>
                <w:szCs w:val="20"/>
              </w:rPr>
              <w:tab/>
            </w:r>
            <w:r w:rsidRPr="00A52AB8">
              <w:rPr>
                <w:bCs/>
                <w:sz w:val="20"/>
                <w:szCs w:val="20"/>
              </w:rPr>
              <w:tab/>
            </w:r>
            <w:r w:rsidRPr="00A52AB8">
              <w:rPr>
                <w:bCs/>
                <w:sz w:val="20"/>
                <w:szCs w:val="20"/>
              </w:rPr>
              <w:tab/>
              <w:t>}</w:t>
            </w:r>
          </w:p>
        </w:tc>
        <w:tc>
          <w:tcPr>
            <w:tcW w:w="1331" w:type="dxa"/>
          </w:tcPr>
          <w:p w14:paraId="53AB8FA9" w14:textId="77777777" w:rsidR="00F4336E" w:rsidRPr="00A52AB8" w:rsidRDefault="00F4336E" w:rsidP="00F4336E">
            <w:pPr>
              <w:spacing w:before="20" w:after="40" w:line="240" w:lineRule="auto"/>
              <w:jc w:val="center"/>
              <w:rPr>
                <w:rFonts w:eastAsia="Malgun Gothic"/>
                <w:sz w:val="20"/>
                <w:szCs w:val="20"/>
              </w:rPr>
            </w:pPr>
          </w:p>
        </w:tc>
      </w:tr>
      <w:tr w:rsidR="00F4336E" w:rsidRPr="00A52AB8" w14:paraId="0CD63885" w14:textId="77777777" w:rsidTr="00F4336E">
        <w:trPr>
          <w:cantSplit/>
          <w:jc w:val="center"/>
        </w:trPr>
        <w:tc>
          <w:tcPr>
            <w:tcW w:w="8411" w:type="dxa"/>
          </w:tcPr>
          <w:p w14:paraId="08821195" w14:textId="0918BAEF" w:rsidR="00F4336E" w:rsidRPr="00A52AB8" w:rsidRDefault="00F4336E" w:rsidP="00F4336E">
            <w:pPr>
              <w:spacing w:before="20" w:after="40" w:line="240" w:lineRule="auto"/>
              <w:rPr>
                <w:sz w:val="20"/>
                <w:szCs w:val="20"/>
              </w:rPr>
            </w:pPr>
            <w:r w:rsidRPr="00A52AB8">
              <w:rPr>
                <w:b/>
                <w:bCs/>
                <w:sz w:val="20"/>
                <w:szCs w:val="20"/>
              </w:rPr>
              <w:tab/>
            </w:r>
            <w:r w:rsidRPr="00A52AB8">
              <w:rPr>
                <w:b/>
                <w:bCs/>
                <w:sz w:val="20"/>
                <w:szCs w:val="20"/>
              </w:rPr>
              <w:tab/>
            </w:r>
            <w:r w:rsidRPr="00A52AB8">
              <w:rPr>
                <w:b/>
                <w:bCs/>
                <w:sz w:val="20"/>
                <w:szCs w:val="20"/>
              </w:rPr>
              <w:tab/>
            </w:r>
            <w:r w:rsidRPr="00A52AB8">
              <w:rPr>
                <w:sz w:val="20"/>
                <w:szCs w:val="20"/>
              </w:rPr>
              <w:t>}</w:t>
            </w:r>
          </w:p>
        </w:tc>
        <w:tc>
          <w:tcPr>
            <w:tcW w:w="1331" w:type="dxa"/>
          </w:tcPr>
          <w:p w14:paraId="00E92FAA" w14:textId="77777777" w:rsidR="00F4336E" w:rsidRPr="00A52AB8" w:rsidRDefault="00F4336E" w:rsidP="00F4336E">
            <w:pPr>
              <w:spacing w:before="20" w:after="40" w:line="240" w:lineRule="auto"/>
              <w:jc w:val="center"/>
              <w:rPr>
                <w:rFonts w:eastAsia="Malgun Gothic"/>
                <w:sz w:val="20"/>
                <w:szCs w:val="20"/>
              </w:rPr>
            </w:pPr>
          </w:p>
        </w:tc>
      </w:tr>
      <w:tr w:rsidR="00F4336E" w:rsidRPr="00A52AB8" w14:paraId="006AB3AC" w14:textId="77777777" w:rsidTr="00F4336E">
        <w:trPr>
          <w:cantSplit/>
          <w:jc w:val="center"/>
        </w:trPr>
        <w:tc>
          <w:tcPr>
            <w:tcW w:w="8411" w:type="dxa"/>
          </w:tcPr>
          <w:p w14:paraId="30F64C4B" w14:textId="77777777" w:rsidR="00F4336E" w:rsidRPr="00A52AB8" w:rsidRDefault="00F4336E" w:rsidP="00F4336E">
            <w:pPr>
              <w:spacing w:before="20" w:after="40" w:line="240" w:lineRule="auto"/>
              <w:rPr>
                <w:sz w:val="20"/>
                <w:szCs w:val="20"/>
              </w:rPr>
            </w:pPr>
            <w:r w:rsidRPr="00A52AB8">
              <w:rPr>
                <w:b/>
                <w:bCs/>
                <w:sz w:val="20"/>
                <w:szCs w:val="20"/>
              </w:rPr>
              <w:tab/>
            </w:r>
            <w:r w:rsidRPr="00A52AB8">
              <w:rPr>
                <w:b/>
                <w:bCs/>
                <w:sz w:val="20"/>
                <w:szCs w:val="20"/>
              </w:rPr>
              <w:tab/>
            </w:r>
            <w:r w:rsidRPr="00A52AB8">
              <w:rPr>
                <w:sz w:val="20"/>
                <w:szCs w:val="20"/>
              </w:rPr>
              <w:t>}</w:t>
            </w:r>
          </w:p>
        </w:tc>
        <w:tc>
          <w:tcPr>
            <w:tcW w:w="1331" w:type="dxa"/>
          </w:tcPr>
          <w:p w14:paraId="73D9AA64" w14:textId="77777777" w:rsidR="00F4336E" w:rsidRPr="00A52AB8" w:rsidRDefault="00F4336E" w:rsidP="00F4336E">
            <w:pPr>
              <w:spacing w:before="20" w:after="40" w:line="240" w:lineRule="auto"/>
              <w:jc w:val="center"/>
              <w:rPr>
                <w:rFonts w:eastAsia="Malgun Gothic"/>
                <w:sz w:val="20"/>
                <w:szCs w:val="20"/>
              </w:rPr>
            </w:pPr>
          </w:p>
        </w:tc>
      </w:tr>
      <w:tr w:rsidR="00F4336E" w:rsidRPr="00A52AB8" w14:paraId="2588A624" w14:textId="77777777" w:rsidTr="00F4336E">
        <w:trPr>
          <w:cantSplit/>
          <w:jc w:val="center"/>
        </w:trPr>
        <w:tc>
          <w:tcPr>
            <w:tcW w:w="8411" w:type="dxa"/>
          </w:tcPr>
          <w:p w14:paraId="187B6BFC" w14:textId="3ED198CA" w:rsidR="00F4336E" w:rsidRPr="00A52AB8" w:rsidRDefault="00F4336E" w:rsidP="00F4336E">
            <w:pPr>
              <w:spacing w:before="20" w:after="40" w:line="240" w:lineRule="auto"/>
              <w:rPr>
                <w:sz w:val="20"/>
                <w:szCs w:val="20"/>
              </w:rPr>
            </w:pPr>
            <w:r w:rsidRPr="00A52AB8">
              <w:rPr>
                <w:sz w:val="20"/>
                <w:szCs w:val="20"/>
              </w:rPr>
              <w:tab/>
            </w:r>
            <w:r w:rsidRPr="00A52AB8">
              <w:rPr>
                <w:sz w:val="20"/>
                <w:szCs w:val="20"/>
              </w:rPr>
              <w:tab/>
              <w:t>if( bp_acl_hrd_params_present_flag </w:t>
            </w:r>
            <w:r w:rsidR="008F1F82" w:rsidRPr="00A52AB8">
              <w:rPr>
                <w:bCs/>
                <w:sz w:val="20"/>
                <w:szCs w:val="20"/>
              </w:rPr>
              <w:t>) {</w:t>
            </w:r>
          </w:p>
        </w:tc>
        <w:tc>
          <w:tcPr>
            <w:tcW w:w="1331" w:type="dxa"/>
          </w:tcPr>
          <w:p w14:paraId="51EA5340" w14:textId="77777777" w:rsidR="00F4336E" w:rsidRPr="00A52AB8" w:rsidRDefault="00F4336E" w:rsidP="00F4336E">
            <w:pPr>
              <w:spacing w:before="20" w:after="40" w:line="240" w:lineRule="auto"/>
              <w:jc w:val="center"/>
              <w:rPr>
                <w:rFonts w:eastAsia="Malgun Gothic"/>
                <w:sz w:val="20"/>
                <w:szCs w:val="20"/>
              </w:rPr>
            </w:pPr>
          </w:p>
        </w:tc>
      </w:tr>
      <w:tr w:rsidR="00F4336E" w:rsidRPr="00A52AB8" w14:paraId="19271F04" w14:textId="77777777" w:rsidTr="00F4336E">
        <w:trPr>
          <w:cantSplit/>
          <w:jc w:val="center"/>
        </w:trPr>
        <w:tc>
          <w:tcPr>
            <w:tcW w:w="8411" w:type="dxa"/>
          </w:tcPr>
          <w:p w14:paraId="065A73D2" w14:textId="55F73056" w:rsidR="00F4336E" w:rsidRPr="00A52AB8" w:rsidRDefault="00F4336E" w:rsidP="00F4336E">
            <w:pPr>
              <w:spacing w:before="20" w:after="40" w:line="240" w:lineRule="auto"/>
              <w:rPr>
                <w:sz w:val="20"/>
                <w:szCs w:val="20"/>
              </w:rPr>
            </w:pPr>
            <w:r w:rsidRPr="00A52AB8">
              <w:rPr>
                <w:sz w:val="20"/>
                <w:szCs w:val="20"/>
              </w:rPr>
              <w:tab/>
            </w:r>
            <w:r w:rsidRPr="00A52AB8">
              <w:rPr>
                <w:sz w:val="20"/>
                <w:szCs w:val="20"/>
              </w:rPr>
              <w:tab/>
            </w:r>
            <w:r w:rsidRPr="00A52AB8">
              <w:rPr>
                <w:sz w:val="20"/>
                <w:szCs w:val="20"/>
              </w:rPr>
              <w:tab/>
              <w:t>for( j</w:t>
            </w:r>
            <w:r w:rsidR="00D47707" w:rsidRPr="00A52AB8">
              <w:rPr>
                <w:sz w:val="20"/>
                <w:szCs w:val="20"/>
              </w:rPr>
              <w:t> = </w:t>
            </w:r>
            <w:r w:rsidRPr="00A52AB8">
              <w:rPr>
                <w:sz w:val="20"/>
                <w:szCs w:val="20"/>
              </w:rPr>
              <w:t>0; j &lt; bp_hrd_</w:t>
            </w:r>
            <w:r w:rsidRPr="00A52AB8">
              <w:rPr>
                <w:bCs/>
                <w:sz w:val="20"/>
                <w:szCs w:val="20"/>
              </w:rPr>
              <w:t>cab_cnt_minus1[ i ]</w:t>
            </w:r>
            <w:r w:rsidRPr="00A52AB8">
              <w:rPr>
                <w:sz w:val="20"/>
                <w:szCs w:val="20"/>
              </w:rPr>
              <w:t> + 1; j++ </w:t>
            </w:r>
            <w:r w:rsidR="008F1F82" w:rsidRPr="00A52AB8">
              <w:rPr>
                <w:sz w:val="20"/>
                <w:szCs w:val="20"/>
              </w:rPr>
              <w:t>) {</w:t>
            </w:r>
          </w:p>
        </w:tc>
        <w:tc>
          <w:tcPr>
            <w:tcW w:w="1331" w:type="dxa"/>
          </w:tcPr>
          <w:p w14:paraId="5719F05E" w14:textId="77777777" w:rsidR="00F4336E" w:rsidRPr="00A52AB8" w:rsidRDefault="00F4336E" w:rsidP="00F4336E">
            <w:pPr>
              <w:spacing w:before="20" w:after="40" w:line="240" w:lineRule="auto"/>
              <w:jc w:val="center"/>
              <w:rPr>
                <w:rFonts w:eastAsia="Malgun Gothic"/>
                <w:sz w:val="20"/>
                <w:szCs w:val="20"/>
              </w:rPr>
            </w:pPr>
          </w:p>
        </w:tc>
      </w:tr>
      <w:tr w:rsidR="00F4336E" w:rsidRPr="00A52AB8" w14:paraId="739570E7" w14:textId="77777777" w:rsidTr="00F4336E">
        <w:trPr>
          <w:cantSplit/>
          <w:jc w:val="center"/>
        </w:trPr>
        <w:tc>
          <w:tcPr>
            <w:tcW w:w="8411" w:type="dxa"/>
          </w:tcPr>
          <w:p w14:paraId="0CDDA044" w14:textId="2FAE3948" w:rsidR="00F4336E" w:rsidRPr="00A52AB8" w:rsidRDefault="00F4336E" w:rsidP="00F4336E">
            <w:pPr>
              <w:spacing w:before="20" w:after="40" w:line="240" w:lineRule="auto"/>
              <w:rPr>
                <w:sz w:val="20"/>
                <w:szCs w:val="20"/>
              </w:rPr>
            </w:pPr>
            <w:r w:rsidRPr="00A52AB8">
              <w:rPr>
                <w:b/>
                <w:bCs/>
                <w:sz w:val="20"/>
                <w:szCs w:val="20"/>
              </w:rPr>
              <w:tab/>
            </w:r>
            <w:r w:rsidRPr="00A52AB8">
              <w:rPr>
                <w:b/>
                <w:bCs/>
                <w:sz w:val="20"/>
                <w:szCs w:val="20"/>
              </w:rPr>
              <w:tab/>
            </w:r>
            <w:r w:rsidRPr="00A52AB8">
              <w:rPr>
                <w:b/>
                <w:bCs/>
                <w:sz w:val="20"/>
                <w:szCs w:val="20"/>
              </w:rPr>
              <w:tab/>
            </w:r>
            <w:r w:rsidRPr="00A52AB8">
              <w:rPr>
                <w:sz w:val="20"/>
                <w:szCs w:val="20"/>
              </w:rPr>
              <w:tab/>
            </w:r>
            <w:r w:rsidRPr="00A52AB8">
              <w:rPr>
                <w:b/>
                <w:bCs/>
                <w:sz w:val="20"/>
                <w:szCs w:val="20"/>
              </w:rPr>
              <w:t>bp_acl_initial_cab_removal_delay</w:t>
            </w:r>
            <w:r w:rsidRPr="00A52AB8">
              <w:rPr>
                <w:bCs/>
                <w:sz w:val="20"/>
                <w:szCs w:val="20"/>
              </w:rPr>
              <w:t>[ i ][ j ]</w:t>
            </w:r>
          </w:p>
        </w:tc>
        <w:tc>
          <w:tcPr>
            <w:tcW w:w="1331" w:type="dxa"/>
          </w:tcPr>
          <w:p w14:paraId="2D5A12F1" w14:textId="77777777" w:rsidR="00F4336E" w:rsidRPr="00A52AB8" w:rsidRDefault="00F4336E" w:rsidP="00F4336E">
            <w:pPr>
              <w:spacing w:before="20" w:after="40" w:line="240" w:lineRule="auto"/>
              <w:jc w:val="center"/>
              <w:rPr>
                <w:rFonts w:eastAsia="Malgun Gothic"/>
                <w:sz w:val="20"/>
                <w:szCs w:val="20"/>
              </w:rPr>
            </w:pPr>
            <w:r w:rsidRPr="00A52AB8">
              <w:rPr>
                <w:sz w:val="20"/>
                <w:szCs w:val="20"/>
              </w:rPr>
              <w:t>u(v)</w:t>
            </w:r>
          </w:p>
        </w:tc>
      </w:tr>
      <w:tr w:rsidR="00F4336E" w:rsidRPr="00A52AB8" w14:paraId="650BB5AF" w14:textId="77777777" w:rsidTr="00F4336E">
        <w:trPr>
          <w:cantSplit/>
          <w:jc w:val="center"/>
        </w:trPr>
        <w:tc>
          <w:tcPr>
            <w:tcW w:w="8411" w:type="dxa"/>
          </w:tcPr>
          <w:p w14:paraId="47194774" w14:textId="0BE95FAA" w:rsidR="00F4336E" w:rsidRPr="00A52AB8" w:rsidRDefault="00F4336E" w:rsidP="00F4336E">
            <w:pPr>
              <w:spacing w:before="20" w:after="40" w:line="240" w:lineRule="auto"/>
              <w:rPr>
                <w:sz w:val="20"/>
                <w:szCs w:val="20"/>
              </w:rPr>
            </w:pPr>
            <w:r w:rsidRPr="00A52AB8">
              <w:rPr>
                <w:b/>
                <w:bCs/>
                <w:sz w:val="20"/>
                <w:szCs w:val="20"/>
              </w:rPr>
              <w:tab/>
            </w:r>
            <w:r w:rsidRPr="00A52AB8">
              <w:rPr>
                <w:b/>
                <w:bCs/>
                <w:sz w:val="20"/>
                <w:szCs w:val="20"/>
              </w:rPr>
              <w:tab/>
            </w:r>
            <w:r w:rsidRPr="00A52AB8">
              <w:rPr>
                <w:b/>
                <w:bCs/>
                <w:sz w:val="20"/>
                <w:szCs w:val="20"/>
              </w:rPr>
              <w:tab/>
            </w:r>
            <w:r w:rsidRPr="00A52AB8">
              <w:rPr>
                <w:sz w:val="20"/>
                <w:szCs w:val="20"/>
              </w:rPr>
              <w:tab/>
            </w:r>
            <w:r w:rsidRPr="00A52AB8">
              <w:rPr>
                <w:b/>
                <w:bCs/>
                <w:sz w:val="20"/>
                <w:szCs w:val="20"/>
              </w:rPr>
              <w:t>bp_acl_initial_cab_removal_offset</w:t>
            </w:r>
            <w:r w:rsidRPr="00A52AB8">
              <w:rPr>
                <w:bCs/>
                <w:sz w:val="20"/>
                <w:szCs w:val="20"/>
              </w:rPr>
              <w:t>[ i ][ j ]</w:t>
            </w:r>
          </w:p>
        </w:tc>
        <w:tc>
          <w:tcPr>
            <w:tcW w:w="1331" w:type="dxa"/>
          </w:tcPr>
          <w:p w14:paraId="2FD6F898" w14:textId="77777777" w:rsidR="00F4336E" w:rsidRPr="00A52AB8" w:rsidRDefault="00F4336E" w:rsidP="00F4336E">
            <w:pPr>
              <w:spacing w:before="20" w:after="40" w:line="240" w:lineRule="auto"/>
              <w:jc w:val="center"/>
              <w:rPr>
                <w:rFonts w:eastAsia="Malgun Gothic"/>
                <w:sz w:val="20"/>
                <w:szCs w:val="20"/>
              </w:rPr>
            </w:pPr>
            <w:r w:rsidRPr="00A52AB8">
              <w:rPr>
                <w:sz w:val="20"/>
                <w:szCs w:val="20"/>
              </w:rPr>
              <w:t>u(v)</w:t>
            </w:r>
          </w:p>
        </w:tc>
      </w:tr>
      <w:tr w:rsidR="00F4336E" w:rsidRPr="00A52AB8" w14:paraId="1EEE77C5" w14:textId="77777777" w:rsidTr="00F4336E">
        <w:trPr>
          <w:cantSplit/>
          <w:jc w:val="center"/>
        </w:trPr>
        <w:tc>
          <w:tcPr>
            <w:tcW w:w="8411" w:type="dxa"/>
          </w:tcPr>
          <w:p w14:paraId="0D45EBF2" w14:textId="070648BC" w:rsidR="00F4336E" w:rsidRPr="00A52AB8" w:rsidRDefault="00F4336E" w:rsidP="00F4336E">
            <w:pPr>
              <w:spacing w:before="20" w:after="40" w:line="240" w:lineRule="auto"/>
              <w:rPr>
                <w:sz w:val="20"/>
                <w:szCs w:val="20"/>
              </w:rPr>
            </w:pPr>
            <w:r w:rsidRPr="00A52AB8">
              <w:rPr>
                <w:b/>
                <w:bCs/>
                <w:sz w:val="20"/>
                <w:szCs w:val="20"/>
              </w:rPr>
              <w:tab/>
            </w:r>
            <w:r w:rsidRPr="00A52AB8">
              <w:rPr>
                <w:b/>
                <w:bCs/>
                <w:sz w:val="20"/>
                <w:szCs w:val="20"/>
              </w:rPr>
              <w:tab/>
            </w:r>
            <w:r w:rsidRPr="00A52AB8">
              <w:rPr>
                <w:b/>
                <w:bCs/>
                <w:sz w:val="20"/>
                <w:szCs w:val="20"/>
              </w:rPr>
              <w:tab/>
            </w:r>
            <w:r w:rsidRPr="00A52AB8">
              <w:rPr>
                <w:sz w:val="20"/>
                <w:szCs w:val="20"/>
              </w:rPr>
              <w:tab/>
            </w:r>
            <w:r w:rsidRPr="00A52AB8">
              <w:rPr>
                <w:bCs/>
                <w:sz w:val="20"/>
                <w:szCs w:val="20"/>
              </w:rPr>
              <w:t>if( bp_</w:t>
            </w:r>
            <w:r w:rsidRPr="00A52AB8">
              <w:rPr>
                <w:sz w:val="20"/>
                <w:szCs w:val="20"/>
              </w:rPr>
              <w:t>irap_cab_params_present_flag </w:t>
            </w:r>
            <w:r w:rsidR="008F1F82" w:rsidRPr="00A52AB8">
              <w:rPr>
                <w:bCs/>
                <w:sz w:val="20"/>
                <w:szCs w:val="20"/>
              </w:rPr>
              <w:t>) {</w:t>
            </w:r>
          </w:p>
        </w:tc>
        <w:tc>
          <w:tcPr>
            <w:tcW w:w="1331" w:type="dxa"/>
          </w:tcPr>
          <w:p w14:paraId="4E794F92" w14:textId="77777777" w:rsidR="00F4336E" w:rsidRPr="00A52AB8" w:rsidRDefault="00F4336E" w:rsidP="00F4336E">
            <w:pPr>
              <w:spacing w:before="20" w:after="40" w:line="240" w:lineRule="auto"/>
              <w:jc w:val="center"/>
              <w:rPr>
                <w:rFonts w:eastAsia="Malgun Gothic"/>
                <w:sz w:val="20"/>
                <w:szCs w:val="20"/>
              </w:rPr>
            </w:pPr>
          </w:p>
        </w:tc>
      </w:tr>
      <w:tr w:rsidR="00F4336E" w:rsidRPr="00A52AB8" w14:paraId="067983C4" w14:textId="77777777" w:rsidTr="00F4336E">
        <w:trPr>
          <w:cantSplit/>
          <w:jc w:val="center"/>
        </w:trPr>
        <w:tc>
          <w:tcPr>
            <w:tcW w:w="8411" w:type="dxa"/>
          </w:tcPr>
          <w:p w14:paraId="3D759157" w14:textId="6D1D5E27" w:rsidR="00F4336E" w:rsidRPr="00A52AB8" w:rsidRDefault="00F4336E" w:rsidP="00F4336E">
            <w:pPr>
              <w:spacing w:before="20" w:after="40" w:line="240" w:lineRule="auto"/>
              <w:rPr>
                <w:sz w:val="20"/>
                <w:szCs w:val="20"/>
              </w:rPr>
            </w:pPr>
            <w:r w:rsidRPr="00A52AB8">
              <w:rPr>
                <w:b/>
                <w:bCs/>
                <w:sz w:val="20"/>
                <w:szCs w:val="20"/>
              </w:rPr>
              <w:tab/>
            </w:r>
            <w:r w:rsidRPr="00A52AB8">
              <w:rPr>
                <w:b/>
                <w:bCs/>
                <w:sz w:val="20"/>
                <w:szCs w:val="20"/>
              </w:rPr>
              <w:tab/>
            </w:r>
            <w:r w:rsidRPr="00A52AB8">
              <w:rPr>
                <w:sz w:val="20"/>
                <w:szCs w:val="20"/>
              </w:rPr>
              <w:tab/>
            </w:r>
            <w:r w:rsidRPr="00A52AB8">
              <w:rPr>
                <w:b/>
                <w:bCs/>
                <w:sz w:val="20"/>
                <w:szCs w:val="20"/>
              </w:rPr>
              <w:tab/>
            </w:r>
            <w:r w:rsidRPr="00A52AB8">
              <w:rPr>
                <w:b/>
                <w:bCs/>
                <w:sz w:val="20"/>
                <w:szCs w:val="20"/>
              </w:rPr>
              <w:tab/>
              <w:t>bp_acl_initial_alt_cab_removal_delay</w:t>
            </w:r>
            <w:r w:rsidRPr="00A52AB8">
              <w:rPr>
                <w:bCs/>
                <w:sz w:val="20"/>
                <w:szCs w:val="20"/>
              </w:rPr>
              <w:t>[ i ][ j ]</w:t>
            </w:r>
          </w:p>
        </w:tc>
        <w:tc>
          <w:tcPr>
            <w:tcW w:w="1331" w:type="dxa"/>
          </w:tcPr>
          <w:p w14:paraId="6255891A" w14:textId="77777777" w:rsidR="00F4336E" w:rsidRPr="00A52AB8" w:rsidRDefault="00F4336E" w:rsidP="00F4336E">
            <w:pPr>
              <w:spacing w:before="20" w:after="40" w:line="240" w:lineRule="auto"/>
              <w:jc w:val="center"/>
              <w:rPr>
                <w:rFonts w:eastAsia="Malgun Gothic"/>
                <w:sz w:val="20"/>
                <w:szCs w:val="20"/>
              </w:rPr>
            </w:pPr>
            <w:r w:rsidRPr="00A52AB8">
              <w:rPr>
                <w:sz w:val="20"/>
                <w:szCs w:val="20"/>
              </w:rPr>
              <w:t>u(v)</w:t>
            </w:r>
          </w:p>
        </w:tc>
      </w:tr>
      <w:tr w:rsidR="00F4336E" w:rsidRPr="00A52AB8" w14:paraId="42FAA7C2" w14:textId="77777777" w:rsidTr="00F4336E">
        <w:trPr>
          <w:cantSplit/>
          <w:jc w:val="center"/>
        </w:trPr>
        <w:tc>
          <w:tcPr>
            <w:tcW w:w="8411" w:type="dxa"/>
          </w:tcPr>
          <w:p w14:paraId="7EC09718" w14:textId="1970B4A3" w:rsidR="00F4336E" w:rsidRPr="00A52AB8" w:rsidRDefault="00F4336E" w:rsidP="00F4336E">
            <w:pPr>
              <w:spacing w:before="20" w:after="40" w:line="240" w:lineRule="auto"/>
              <w:rPr>
                <w:sz w:val="20"/>
                <w:szCs w:val="20"/>
              </w:rPr>
            </w:pPr>
            <w:r w:rsidRPr="00A52AB8">
              <w:rPr>
                <w:b/>
                <w:bCs/>
                <w:sz w:val="20"/>
                <w:szCs w:val="20"/>
              </w:rPr>
              <w:tab/>
            </w:r>
            <w:r w:rsidRPr="00A52AB8">
              <w:rPr>
                <w:b/>
                <w:bCs/>
                <w:sz w:val="20"/>
                <w:szCs w:val="20"/>
              </w:rPr>
              <w:tab/>
            </w:r>
            <w:r w:rsidRPr="00A52AB8">
              <w:rPr>
                <w:b/>
                <w:bCs/>
                <w:sz w:val="20"/>
                <w:szCs w:val="20"/>
              </w:rPr>
              <w:tab/>
            </w:r>
            <w:r w:rsidRPr="00A52AB8">
              <w:rPr>
                <w:sz w:val="20"/>
                <w:szCs w:val="20"/>
              </w:rPr>
              <w:tab/>
            </w:r>
            <w:r w:rsidRPr="00A52AB8">
              <w:rPr>
                <w:b/>
                <w:bCs/>
                <w:sz w:val="20"/>
                <w:szCs w:val="20"/>
              </w:rPr>
              <w:tab/>
              <w:t>bp_acl_initial_alt_cab_removal_offset</w:t>
            </w:r>
            <w:r w:rsidRPr="00A52AB8">
              <w:rPr>
                <w:bCs/>
                <w:sz w:val="20"/>
                <w:szCs w:val="20"/>
              </w:rPr>
              <w:t>[ i ][ j ]</w:t>
            </w:r>
          </w:p>
        </w:tc>
        <w:tc>
          <w:tcPr>
            <w:tcW w:w="1331" w:type="dxa"/>
          </w:tcPr>
          <w:p w14:paraId="3D7169F5" w14:textId="77777777" w:rsidR="00F4336E" w:rsidRPr="00A52AB8" w:rsidRDefault="00F4336E" w:rsidP="00F4336E">
            <w:pPr>
              <w:spacing w:before="20" w:after="40" w:line="240" w:lineRule="auto"/>
              <w:jc w:val="center"/>
              <w:rPr>
                <w:rFonts w:eastAsia="Malgun Gothic"/>
                <w:sz w:val="20"/>
                <w:szCs w:val="20"/>
              </w:rPr>
            </w:pPr>
            <w:r w:rsidRPr="00A52AB8">
              <w:rPr>
                <w:sz w:val="20"/>
                <w:szCs w:val="20"/>
              </w:rPr>
              <w:t>u(v)</w:t>
            </w:r>
          </w:p>
        </w:tc>
      </w:tr>
      <w:tr w:rsidR="00F4336E" w:rsidRPr="00A52AB8" w14:paraId="1820A2B4" w14:textId="77777777" w:rsidTr="00F4336E">
        <w:trPr>
          <w:cantSplit/>
          <w:jc w:val="center"/>
        </w:trPr>
        <w:tc>
          <w:tcPr>
            <w:tcW w:w="8411" w:type="dxa"/>
          </w:tcPr>
          <w:p w14:paraId="25028975" w14:textId="77777777" w:rsidR="00F4336E" w:rsidRPr="00A52AB8" w:rsidRDefault="00F4336E" w:rsidP="00F4336E">
            <w:pPr>
              <w:spacing w:before="20" w:after="40" w:line="240" w:lineRule="auto"/>
              <w:rPr>
                <w:sz w:val="20"/>
                <w:szCs w:val="20"/>
              </w:rPr>
            </w:pPr>
            <w:r w:rsidRPr="00A52AB8">
              <w:rPr>
                <w:bCs/>
                <w:sz w:val="20"/>
                <w:szCs w:val="20"/>
              </w:rPr>
              <w:tab/>
            </w:r>
            <w:r w:rsidRPr="00A52AB8">
              <w:rPr>
                <w:bCs/>
                <w:sz w:val="20"/>
                <w:szCs w:val="20"/>
              </w:rPr>
              <w:tab/>
            </w:r>
            <w:r w:rsidRPr="00A52AB8">
              <w:rPr>
                <w:sz w:val="20"/>
                <w:szCs w:val="20"/>
              </w:rPr>
              <w:tab/>
            </w:r>
            <w:r w:rsidRPr="00A52AB8">
              <w:rPr>
                <w:bCs/>
                <w:sz w:val="20"/>
                <w:szCs w:val="20"/>
              </w:rPr>
              <w:tab/>
              <w:t>}</w:t>
            </w:r>
          </w:p>
        </w:tc>
        <w:tc>
          <w:tcPr>
            <w:tcW w:w="1331" w:type="dxa"/>
          </w:tcPr>
          <w:p w14:paraId="6D600805" w14:textId="77777777" w:rsidR="00F4336E" w:rsidRPr="00A52AB8" w:rsidRDefault="00F4336E" w:rsidP="00F4336E">
            <w:pPr>
              <w:spacing w:before="20" w:after="40" w:line="240" w:lineRule="auto"/>
              <w:jc w:val="center"/>
              <w:rPr>
                <w:rFonts w:eastAsia="Malgun Gothic"/>
                <w:sz w:val="20"/>
                <w:szCs w:val="20"/>
              </w:rPr>
            </w:pPr>
          </w:p>
        </w:tc>
      </w:tr>
      <w:tr w:rsidR="00F4336E" w:rsidRPr="00A52AB8" w14:paraId="20092D4E" w14:textId="77777777" w:rsidTr="00F4336E">
        <w:trPr>
          <w:cantSplit/>
          <w:jc w:val="center"/>
        </w:trPr>
        <w:tc>
          <w:tcPr>
            <w:tcW w:w="8411" w:type="dxa"/>
          </w:tcPr>
          <w:p w14:paraId="370E82AC" w14:textId="77777777" w:rsidR="00F4336E" w:rsidRPr="00A52AB8" w:rsidRDefault="00F4336E" w:rsidP="00F4336E">
            <w:pPr>
              <w:spacing w:before="20" w:after="40" w:line="240" w:lineRule="auto"/>
              <w:rPr>
                <w:sz w:val="20"/>
                <w:szCs w:val="20"/>
              </w:rPr>
            </w:pPr>
            <w:r w:rsidRPr="00A52AB8">
              <w:rPr>
                <w:b/>
                <w:bCs/>
                <w:sz w:val="20"/>
                <w:szCs w:val="20"/>
              </w:rPr>
              <w:tab/>
            </w:r>
            <w:r w:rsidRPr="00A52AB8">
              <w:rPr>
                <w:sz w:val="20"/>
                <w:szCs w:val="20"/>
              </w:rPr>
              <w:tab/>
            </w:r>
            <w:r w:rsidRPr="00A52AB8">
              <w:rPr>
                <w:b/>
                <w:bCs/>
                <w:sz w:val="20"/>
                <w:szCs w:val="20"/>
              </w:rPr>
              <w:tab/>
            </w:r>
            <w:r w:rsidRPr="00A52AB8">
              <w:rPr>
                <w:sz w:val="20"/>
                <w:szCs w:val="20"/>
              </w:rPr>
              <w:t>}</w:t>
            </w:r>
          </w:p>
        </w:tc>
        <w:tc>
          <w:tcPr>
            <w:tcW w:w="1331" w:type="dxa"/>
          </w:tcPr>
          <w:p w14:paraId="42B7CB90" w14:textId="77777777" w:rsidR="00F4336E" w:rsidRPr="00A52AB8" w:rsidRDefault="00F4336E" w:rsidP="00F4336E">
            <w:pPr>
              <w:spacing w:before="20" w:after="40" w:line="240" w:lineRule="auto"/>
              <w:jc w:val="center"/>
              <w:rPr>
                <w:rFonts w:eastAsia="Malgun Gothic"/>
                <w:sz w:val="20"/>
                <w:szCs w:val="20"/>
              </w:rPr>
            </w:pPr>
          </w:p>
        </w:tc>
      </w:tr>
      <w:tr w:rsidR="00F4336E" w:rsidRPr="00A52AB8" w14:paraId="335F35C5" w14:textId="77777777" w:rsidTr="00F4336E">
        <w:trPr>
          <w:cantSplit/>
          <w:jc w:val="center"/>
        </w:trPr>
        <w:tc>
          <w:tcPr>
            <w:tcW w:w="8411" w:type="dxa"/>
          </w:tcPr>
          <w:p w14:paraId="1B1BC295" w14:textId="77777777" w:rsidR="00F4336E" w:rsidRPr="00A52AB8" w:rsidRDefault="00F4336E" w:rsidP="00F4336E">
            <w:pPr>
              <w:spacing w:before="20" w:after="40" w:line="240" w:lineRule="auto"/>
              <w:rPr>
                <w:sz w:val="20"/>
                <w:szCs w:val="20"/>
              </w:rPr>
            </w:pPr>
            <w:r w:rsidRPr="00A52AB8">
              <w:rPr>
                <w:sz w:val="20"/>
                <w:szCs w:val="20"/>
              </w:rPr>
              <w:tab/>
            </w:r>
            <w:r w:rsidRPr="00A52AB8">
              <w:rPr>
                <w:sz w:val="20"/>
                <w:szCs w:val="20"/>
              </w:rPr>
              <w:tab/>
              <w:t>}</w:t>
            </w:r>
          </w:p>
        </w:tc>
        <w:tc>
          <w:tcPr>
            <w:tcW w:w="1331" w:type="dxa"/>
          </w:tcPr>
          <w:p w14:paraId="13049F48" w14:textId="77777777" w:rsidR="00F4336E" w:rsidRPr="00A52AB8" w:rsidRDefault="00F4336E" w:rsidP="00F4336E">
            <w:pPr>
              <w:spacing w:before="20" w:after="40" w:line="240" w:lineRule="auto"/>
              <w:jc w:val="center"/>
              <w:rPr>
                <w:rFonts w:eastAsia="Malgun Gothic"/>
                <w:sz w:val="20"/>
                <w:szCs w:val="20"/>
              </w:rPr>
            </w:pPr>
          </w:p>
        </w:tc>
      </w:tr>
      <w:tr w:rsidR="00F4336E" w:rsidRPr="00A52AB8" w14:paraId="40D4A15D" w14:textId="77777777" w:rsidTr="00F4336E">
        <w:trPr>
          <w:cantSplit/>
          <w:jc w:val="center"/>
        </w:trPr>
        <w:tc>
          <w:tcPr>
            <w:tcW w:w="8411" w:type="dxa"/>
          </w:tcPr>
          <w:p w14:paraId="669E8B46" w14:textId="77777777" w:rsidR="00F4336E" w:rsidRPr="00A52AB8" w:rsidRDefault="00F4336E" w:rsidP="00F4336E">
            <w:pPr>
              <w:spacing w:before="20" w:after="40" w:line="240" w:lineRule="auto"/>
              <w:rPr>
                <w:sz w:val="20"/>
                <w:szCs w:val="20"/>
              </w:rPr>
            </w:pPr>
            <w:r w:rsidRPr="00A52AB8">
              <w:rPr>
                <w:sz w:val="20"/>
                <w:szCs w:val="20"/>
              </w:rPr>
              <w:tab/>
              <w:t>}</w:t>
            </w:r>
          </w:p>
        </w:tc>
        <w:tc>
          <w:tcPr>
            <w:tcW w:w="1331" w:type="dxa"/>
          </w:tcPr>
          <w:p w14:paraId="6B51EBEC" w14:textId="77777777" w:rsidR="00F4336E" w:rsidRPr="00A52AB8" w:rsidRDefault="00F4336E" w:rsidP="00F4336E">
            <w:pPr>
              <w:spacing w:before="20" w:after="40" w:line="240" w:lineRule="auto"/>
              <w:jc w:val="center"/>
              <w:rPr>
                <w:rFonts w:eastAsia="Malgun Gothic"/>
                <w:sz w:val="20"/>
                <w:szCs w:val="20"/>
              </w:rPr>
            </w:pPr>
          </w:p>
        </w:tc>
      </w:tr>
      <w:tr w:rsidR="00F4336E" w:rsidRPr="00A52AB8" w14:paraId="78538B8F" w14:textId="77777777" w:rsidTr="00F4336E">
        <w:trPr>
          <w:cantSplit/>
          <w:jc w:val="center"/>
        </w:trPr>
        <w:tc>
          <w:tcPr>
            <w:tcW w:w="8411" w:type="dxa"/>
          </w:tcPr>
          <w:p w14:paraId="383F4487" w14:textId="77777777" w:rsidR="00F4336E" w:rsidRPr="00A52AB8" w:rsidRDefault="00F4336E" w:rsidP="00F4336E">
            <w:pPr>
              <w:spacing w:before="20" w:after="40" w:line="240" w:lineRule="auto"/>
              <w:rPr>
                <w:sz w:val="20"/>
                <w:szCs w:val="20"/>
              </w:rPr>
            </w:pPr>
            <w:r w:rsidRPr="00A52AB8">
              <w:rPr>
                <w:sz w:val="20"/>
                <w:szCs w:val="20"/>
              </w:rPr>
              <w:t>}</w:t>
            </w:r>
          </w:p>
        </w:tc>
        <w:tc>
          <w:tcPr>
            <w:tcW w:w="1331" w:type="dxa"/>
          </w:tcPr>
          <w:p w14:paraId="6E34BD6A" w14:textId="77777777" w:rsidR="00F4336E" w:rsidRPr="00A52AB8" w:rsidRDefault="00F4336E" w:rsidP="00F4336E">
            <w:pPr>
              <w:spacing w:before="20" w:after="40" w:line="240" w:lineRule="auto"/>
              <w:jc w:val="center"/>
              <w:rPr>
                <w:rFonts w:eastAsia="Malgun Gothic"/>
                <w:sz w:val="20"/>
                <w:szCs w:val="20"/>
              </w:rPr>
            </w:pPr>
          </w:p>
        </w:tc>
      </w:tr>
    </w:tbl>
    <w:p w14:paraId="381DD720" w14:textId="77777777" w:rsidR="006D657C" w:rsidRPr="00A52AB8" w:rsidRDefault="006D657C" w:rsidP="009C6742">
      <w:pPr>
        <w:pStyle w:val="a3"/>
        <w:numPr>
          <w:ilvl w:val="2"/>
          <w:numId w:val="19"/>
        </w:numPr>
        <w:spacing w:line="240" w:lineRule="auto"/>
      </w:pPr>
      <w:bookmarkStart w:id="5397" w:name="_Ref49347712"/>
      <w:bookmarkStart w:id="5398" w:name="_Toc52181722"/>
      <w:r w:rsidRPr="00A52AB8">
        <w:t>Atlas</w:t>
      </w:r>
      <w:r w:rsidR="00884BC8" w:rsidRPr="00A52AB8">
        <w:t xml:space="preserve"> frame</w:t>
      </w:r>
      <w:r w:rsidRPr="00A52AB8">
        <w:t xml:space="preserve"> timing SEI message syntax</w:t>
      </w:r>
      <w:bookmarkEnd w:id="5397"/>
      <w:bookmarkEnd w:id="5398"/>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411"/>
        <w:gridCol w:w="1331"/>
      </w:tblGrid>
      <w:tr w:rsidR="006D657C" w:rsidRPr="00A52AB8" w14:paraId="3FD0A3A4" w14:textId="77777777" w:rsidTr="00F4336E">
        <w:trPr>
          <w:cantSplit/>
          <w:jc w:val="center"/>
        </w:trPr>
        <w:tc>
          <w:tcPr>
            <w:tcW w:w="8411" w:type="dxa"/>
          </w:tcPr>
          <w:p w14:paraId="6BD2A8EF" w14:textId="17210095" w:rsidR="006D657C" w:rsidRPr="00A52AB8" w:rsidRDefault="006D657C" w:rsidP="009C6742">
            <w:pPr>
              <w:spacing w:before="20" w:after="40" w:line="240" w:lineRule="auto"/>
              <w:rPr>
                <w:sz w:val="20"/>
                <w:szCs w:val="20"/>
              </w:rPr>
            </w:pPr>
            <w:r w:rsidRPr="00A52AB8">
              <w:rPr>
                <w:sz w:val="20"/>
                <w:szCs w:val="20"/>
              </w:rPr>
              <w:t>atlas_frame_timing(</w:t>
            </w:r>
            <w:r w:rsidR="0003078F" w:rsidRPr="00A52AB8">
              <w:rPr>
                <w:sz w:val="20"/>
                <w:szCs w:val="20"/>
              </w:rPr>
              <w:t> </w:t>
            </w:r>
            <w:r w:rsidRPr="00A52AB8">
              <w:rPr>
                <w:sz w:val="20"/>
                <w:szCs w:val="20"/>
              </w:rPr>
              <w:t>payloadSize</w:t>
            </w:r>
            <w:r w:rsidR="0003078F" w:rsidRPr="00A52AB8">
              <w:rPr>
                <w:sz w:val="20"/>
                <w:szCs w:val="20"/>
              </w:rPr>
              <w:t> </w:t>
            </w:r>
            <w:r w:rsidR="008F1F82" w:rsidRPr="00A52AB8">
              <w:rPr>
                <w:sz w:val="20"/>
                <w:szCs w:val="20"/>
              </w:rPr>
              <w:t>) {</w:t>
            </w:r>
          </w:p>
        </w:tc>
        <w:tc>
          <w:tcPr>
            <w:tcW w:w="1331" w:type="dxa"/>
          </w:tcPr>
          <w:p w14:paraId="0BA7CF84" w14:textId="77777777" w:rsidR="006D657C" w:rsidRPr="00A52AB8" w:rsidRDefault="006D657C" w:rsidP="009C6742">
            <w:pPr>
              <w:spacing w:before="20" w:after="40" w:line="240" w:lineRule="auto"/>
              <w:jc w:val="center"/>
              <w:rPr>
                <w:rFonts w:eastAsia="Malgun Gothic"/>
                <w:sz w:val="20"/>
                <w:szCs w:val="20"/>
              </w:rPr>
            </w:pPr>
            <w:r w:rsidRPr="00A52AB8">
              <w:rPr>
                <w:sz w:val="20"/>
                <w:szCs w:val="20"/>
              </w:rPr>
              <w:t>Descriptor</w:t>
            </w:r>
          </w:p>
        </w:tc>
      </w:tr>
      <w:tr w:rsidR="006D657C" w:rsidRPr="00A52AB8" w14:paraId="2F43768D" w14:textId="77777777" w:rsidTr="00F4336E">
        <w:trPr>
          <w:cantSplit/>
          <w:jc w:val="center"/>
        </w:trPr>
        <w:tc>
          <w:tcPr>
            <w:tcW w:w="8411" w:type="dxa"/>
          </w:tcPr>
          <w:p w14:paraId="42229642" w14:textId="68201504" w:rsidR="006D657C" w:rsidRPr="00A52AB8" w:rsidRDefault="006D657C">
            <w:pPr>
              <w:spacing w:before="20" w:after="40" w:line="240" w:lineRule="auto"/>
              <w:rPr>
                <w:sz w:val="20"/>
                <w:szCs w:val="20"/>
              </w:rPr>
            </w:pPr>
            <w:r w:rsidRPr="00A52AB8">
              <w:rPr>
                <w:sz w:val="20"/>
                <w:szCs w:val="20"/>
              </w:rPr>
              <w:tab/>
              <w:t>if</w:t>
            </w:r>
            <w:r w:rsidR="00620EE8" w:rsidRPr="00A52AB8">
              <w:rPr>
                <w:sz w:val="20"/>
                <w:szCs w:val="20"/>
              </w:rPr>
              <w:t>( CabDabDelaysPresentFlag </w:t>
            </w:r>
            <w:r w:rsidR="008F1F82" w:rsidRPr="00A52AB8">
              <w:rPr>
                <w:sz w:val="20"/>
                <w:szCs w:val="20"/>
              </w:rPr>
              <w:t>) {</w:t>
            </w:r>
          </w:p>
        </w:tc>
        <w:tc>
          <w:tcPr>
            <w:tcW w:w="1331" w:type="dxa"/>
          </w:tcPr>
          <w:p w14:paraId="43EB26FC" w14:textId="77777777" w:rsidR="006D657C" w:rsidRPr="00A52AB8" w:rsidRDefault="006D657C" w:rsidP="009C6742">
            <w:pPr>
              <w:spacing w:before="20" w:after="40" w:line="240" w:lineRule="auto"/>
              <w:jc w:val="center"/>
              <w:rPr>
                <w:rFonts w:eastAsia="Malgun Gothic"/>
                <w:sz w:val="20"/>
                <w:szCs w:val="20"/>
              </w:rPr>
            </w:pPr>
          </w:p>
        </w:tc>
      </w:tr>
      <w:tr w:rsidR="00F4336E" w:rsidRPr="00A52AB8" w14:paraId="546B25A0" w14:textId="77777777" w:rsidTr="00F4336E">
        <w:trPr>
          <w:cantSplit/>
          <w:jc w:val="center"/>
        </w:trPr>
        <w:tc>
          <w:tcPr>
            <w:tcW w:w="8411" w:type="dxa"/>
          </w:tcPr>
          <w:p w14:paraId="4F38034C" w14:textId="70E0784A" w:rsidR="00F4336E" w:rsidRPr="00A52AB8" w:rsidRDefault="00F4336E" w:rsidP="00F4336E">
            <w:pPr>
              <w:spacing w:before="20" w:after="40" w:line="240" w:lineRule="auto"/>
              <w:rPr>
                <w:sz w:val="20"/>
                <w:szCs w:val="20"/>
              </w:rPr>
            </w:pPr>
            <w:r w:rsidRPr="00A52AB8">
              <w:rPr>
                <w:sz w:val="20"/>
                <w:szCs w:val="20"/>
              </w:rPr>
              <w:tab/>
            </w:r>
            <w:r w:rsidRPr="00A52AB8">
              <w:rPr>
                <w:sz w:val="20"/>
                <w:szCs w:val="20"/>
              </w:rPr>
              <w:tab/>
              <w:t>for( i</w:t>
            </w:r>
            <w:r w:rsidR="00D47707" w:rsidRPr="00A52AB8">
              <w:rPr>
                <w:sz w:val="20"/>
                <w:szCs w:val="20"/>
              </w:rPr>
              <w:t> = </w:t>
            </w:r>
            <w:r w:rsidRPr="00A52AB8">
              <w:rPr>
                <w:sz w:val="20"/>
                <w:szCs w:val="20"/>
              </w:rPr>
              <w:t>0; i </w:t>
            </w:r>
            <w:r w:rsidR="00A234FD" w:rsidRPr="00A52AB8">
              <w:rPr>
                <w:sz w:val="20"/>
                <w:szCs w:val="20"/>
              </w:rPr>
              <w:t>&lt;=</w:t>
            </w:r>
            <w:r w:rsidR="00D47707" w:rsidRPr="00A52AB8">
              <w:rPr>
                <w:sz w:val="20"/>
                <w:szCs w:val="20"/>
              </w:rPr>
              <w:t> </w:t>
            </w:r>
            <w:r w:rsidRPr="00A52AB8">
              <w:rPr>
                <w:sz w:val="20"/>
                <w:szCs w:val="20"/>
              </w:rPr>
              <w:t>bp_max_sub_layers_minus1; i++ </w:t>
            </w:r>
            <w:r w:rsidR="008F1F82" w:rsidRPr="00A52AB8">
              <w:rPr>
                <w:sz w:val="20"/>
                <w:szCs w:val="20"/>
              </w:rPr>
              <w:t>) {</w:t>
            </w:r>
          </w:p>
        </w:tc>
        <w:tc>
          <w:tcPr>
            <w:tcW w:w="1331" w:type="dxa"/>
          </w:tcPr>
          <w:p w14:paraId="32E348C3" w14:textId="77777777" w:rsidR="00F4336E" w:rsidRPr="00A52AB8" w:rsidRDefault="00F4336E" w:rsidP="00F4336E">
            <w:pPr>
              <w:spacing w:before="20" w:after="40" w:line="240" w:lineRule="auto"/>
              <w:jc w:val="center"/>
              <w:rPr>
                <w:rFonts w:eastAsia="Malgun Gothic"/>
                <w:sz w:val="20"/>
                <w:szCs w:val="20"/>
              </w:rPr>
            </w:pPr>
          </w:p>
        </w:tc>
      </w:tr>
      <w:tr w:rsidR="00F4336E" w:rsidRPr="00A52AB8" w14:paraId="00675AC0" w14:textId="77777777" w:rsidTr="00F4336E">
        <w:trPr>
          <w:cantSplit/>
          <w:jc w:val="center"/>
        </w:trPr>
        <w:tc>
          <w:tcPr>
            <w:tcW w:w="8411" w:type="dxa"/>
          </w:tcPr>
          <w:p w14:paraId="4A27D35E" w14:textId="602A75B2" w:rsidR="00F4336E" w:rsidRPr="00A52AB8" w:rsidRDefault="00F4336E" w:rsidP="00F4336E">
            <w:pPr>
              <w:spacing w:before="20" w:after="40" w:line="240" w:lineRule="auto"/>
              <w:rPr>
                <w:sz w:val="20"/>
                <w:szCs w:val="20"/>
              </w:rPr>
            </w:pPr>
            <w:r w:rsidRPr="00A52AB8">
              <w:rPr>
                <w:sz w:val="20"/>
                <w:szCs w:val="20"/>
              </w:rPr>
              <w:tab/>
            </w:r>
            <w:r w:rsidRPr="00A52AB8">
              <w:rPr>
                <w:sz w:val="20"/>
                <w:szCs w:val="20"/>
              </w:rPr>
              <w:tab/>
            </w:r>
            <w:r w:rsidRPr="00A52AB8">
              <w:rPr>
                <w:sz w:val="20"/>
                <w:szCs w:val="20"/>
              </w:rPr>
              <w:tab/>
            </w:r>
            <w:r w:rsidRPr="00A52AB8">
              <w:rPr>
                <w:b/>
                <w:sz w:val="20"/>
                <w:szCs w:val="20"/>
              </w:rPr>
              <w:t>aft_</w:t>
            </w:r>
            <w:r w:rsidR="00BC5A2A" w:rsidRPr="00A52AB8">
              <w:rPr>
                <w:b/>
                <w:sz w:val="20"/>
                <w:szCs w:val="20"/>
              </w:rPr>
              <w:t>au_</w:t>
            </w:r>
            <w:r w:rsidRPr="00A52AB8">
              <w:rPr>
                <w:b/>
                <w:bCs/>
                <w:sz w:val="20"/>
                <w:szCs w:val="20"/>
              </w:rPr>
              <w:t>cab_removal_delay_minus1</w:t>
            </w:r>
            <w:r w:rsidRPr="00A52AB8">
              <w:rPr>
                <w:sz w:val="20"/>
                <w:szCs w:val="20"/>
              </w:rPr>
              <w:t>[ i ]</w:t>
            </w:r>
          </w:p>
        </w:tc>
        <w:tc>
          <w:tcPr>
            <w:tcW w:w="1331" w:type="dxa"/>
          </w:tcPr>
          <w:p w14:paraId="74E4964F" w14:textId="77777777" w:rsidR="00F4336E" w:rsidRPr="00A52AB8" w:rsidRDefault="00F4336E" w:rsidP="00F4336E">
            <w:pPr>
              <w:spacing w:before="20" w:after="40" w:line="240" w:lineRule="auto"/>
              <w:jc w:val="center"/>
              <w:rPr>
                <w:rFonts w:eastAsia="Malgun Gothic"/>
                <w:sz w:val="20"/>
                <w:szCs w:val="20"/>
              </w:rPr>
            </w:pPr>
            <w:r w:rsidRPr="00A52AB8">
              <w:rPr>
                <w:bCs/>
                <w:sz w:val="20"/>
                <w:szCs w:val="20"/>
              </w:rPr>
              <w:t>u(v)</w:t>
            </w:r>
          </w:p>
        </w:tc>
      </w:tr>
      <w:tr w:rsidR="00F4336E" w:rsidRPr="00A52AB8" w14:paraId="5072442F" w14:textId="77777777" w:rsidTr="00F4336E">
        <w:trPr>
          <w:cantSplit/>
          <w:jc w:val="center"/>
        </w:trPr>
        <w:tc>
          <w:tcPr>
            <w:tcW w:w="8411" w:type="dxa"/>
          </w:tcPr>
          <w:p w14:paraId="18112995" w14:textId="5C3E5D84" w:rsidR="00F4336E" w:rsidRPr="00A52AB8" w:rsidRDefault="00F4336E" w:rsidP="00F4336E">
            <w:pPr>
              <w:spacing w:before="20" w:after="40" w:line="240" w:lineRule="auto"/>
              <w:rPr>
                <w:sz w:val="20"/>
                <w:szCs w:val="20"/>
              </w:rPr>
            </w:pPr>
            <w:r w:rsidRPr="00A52AB8">
              <w:rPr>
                <w:sz w:val="20"/>
                <w:szCs w:val="20"/>
              </w:rPr>
              <w:tab/>
            </w:r>
            <w:r w:rsidRPr="00A52AB8">
              <w:rPr>
                <w:sz w:val="20"/>
                <w:szCs w:val="20"/>
              </w:rPr>
              <w:tab/>
            </w:r>
            <w:r w:rsidRPr="00A52AB8">
              <w:rPr>
                <w:sz w:val="20"/>
                <w:szCs w:val="20"/>
              </w:rPr>
              <w:tab/>
            </w:r>
            <w:r w:rsidRPr="00A52AB8">
              <w:rPr>
                <w:b/>
                <w:sz w:val="20"/>
                <w:szCs w:val="20"/>
              </w:rPr>
              <w:t>aft_</w:t>
            </w:r>
            <w:r w:rsidRPr="00A52AB8">
              <w:rPr>
                <w:b/>
                <w:bCs/>
                <w:sz w:val="20"/>
                <w:szCs w:val="20"/>
              </w:rPr>
              <w:t>dab_output_delay</w:t>
            </w:r>
            <w:r w:rsidRPr="00A52AB8">
              <w:rPr>
                <w:sz w:val="20"/>
                <w:szCs w:val="20"/>
              </w:rPr>
              <w:t>[ i ]</w:t>
            </w:r>
          </w:p>
        </w:tc>
        <w:tc>
          <w:tcPr>
            <w:tcW w:w="1331" w:type="dxa"/>
          </w:tcPr>
          <w:p w14:paraId="6574E496" w14:textId="77777777" w:rsidR="00F4336E" w:rsidRPr="00A52AB8" w:rsidRDefault="00F4336E" w:rsidP="00F4336E">
            <w:pPr>
              <w:spacing w:before="20" w:after="40" w:line="240" w:lineRule="auto"/>
              <w:jc w:val="center"/>
              <w:rPr>
                <w:rFonts w:eastAsia="Malgun Gothic"/>
                <w:sz w:val="20"/>
                <w:szCs w:val="20"/>
              </w:rPr>
            </w:pPr>
            <w:r w:rsidRPr="00A52AB8">
              <w:rPr>
                <w:bCs/>
                <w:sz w:val="20"/>
                <w:szCs w:val="20"/>
              </w:rPr>
              <w:t>u(v)</w:t>
            </w:r>
          </w:p>
        </w:tc>
      </w:tr>
      <w:tr w:rsidR="00F4336E" w:rsidRPr="00A52AB8" w14:paraId="7616D36E" w14:textId="77777777" w:rsidTr="00F4336E">
        <w:trPr>
          <w:cantSplit/>
          <w:jc w:val="center"/>
        </w:trPr>
        <w:tc>
          <w:tcPr>
            <w:tcW w:w="8411" w:type="dxa"/>
          </w:tcPr>
          <w:p w14:paraId="242CE5E9" w14:textId="1BC83E45" w:rsidR="00F4336E" w:rsidRPr="00A52AB8" w:rsidRDefault="00F4336E" w:rsidP="00F4336E">
            <w:pPr>
              <w:spacing w:before="20" w:after="40" w:line="240" w:lineRule="auto"/>
              <w:rPr>
                <w:sz w:val="20"/>
                <w:szCs w:val="20"/>
              </w:rPr>
            </w:pPr>
            <w:r w:rsidRPr="00A52AB8">
              <w:rPr>
                <w:sz w:val="20"/>
                <w:szCs w:val="20"/>
              </w:rPr>
              <w:tab/>
            </w:r>
            <w:r w:rsidRPr="00A52AB8">
              <w:rPr>
                <w:sz w:val="20"/>
                <w:szCs w:val="20"/>
              </w:rPr>
              <w:tab/>
              <w:t>}</w:t>
            </w:r>
          </w:p>
        </w:tc>
        <w:tc>
          <w:tcPr>
            <w:tcW w:w="1331" w:type="dxa"/>
          </w:tcPr>
          <w:p w14:paraId="697CDC28" w14:textId="77777777" w:rsidR="00F4336E" w:rsidRPr="00A52AB8" w:rsidRDefault="00F4336E" w:rsidP="00F4336E">
            <w:pPr>
              <w:spacing w:before="20" w:after="40" w:line="240" w:lineRule="auto"/>
              <w:jc w:val="center"/>
              <w:rPr>
                <w:bCs/>
                <w:sz w:val="20"/>
                <w:szCs w:val="20"/>
              </w:rPr>
            </w:pPr>
          </w:p>
        </w:tc>
      </w:tr>
      <w:tr w:rsidR="00F4336E" w:rsidRPr="00A52AB8" w14:paraId="179C7F1D" w14:textId="77777777" w:rsidTr="00F4336E">
        <w:trPr>
          <w:cantSplit/>
          <w:jc w:val="center"/>
        </w:trPr>
        <w:tc>
          <w:tcPr>
            <w:tcW w:w="8411" w:type="dxa"/>
          </w:tcPr>
          <w:p w14:paraId="4AAEAE7E" w14:textId="77777777" w:rsidR="00F4336E" w:rsidRPr="00A52AB8" w:rsidRDefault="00F4336E" w:rsidP="00F4336E">
            <w:pPr>
              <w:spacing w:before="20" w:after="40" w:line="240" w:lineRule="auto"/>
              <w:rPr>
                <w:sz w:val="20"/>
                <w:szCs w:val="20"/>
              </w:rPr>
            </w:pPr>
            <w:r w:rsidRPr="00A52AB8">
              <w:rPr>
                <w:sz w:val="20"/>
                <w:szCs w:val="20"/>
              </w:rPr>
              <w:tab/>
              <w:t>}</w:t>
            </w:r>
          </w:p>
        </w:tc>
        <w:tc>
          <w:tcPr>
            <w:tcW w:w="1331" w:type="dxa"/>
          </w:tcPr>
          <w:p w14:paraId="2A68F56F" w14:textId="77777777" w:rsidR="00F4336E" w:rsidRPr="00A52AB8" w:rsidRDefault="00F4336E" w:rsidP="00F4336E">
            <w:pPr>
              <w:spacing w:before="20" w:after="40" w:line="240" w:lineRule="auto"/>
              <w:jc w:val="center"/>
              <w:rPr>
                <w:rFonts w:eastAsia="Malgun Gothic"/>
                <w:sz w:val="20"/>
                <w:szCs w:val="20"/>
              </w:rPr>
            </w:pPr>
          </w:p>
        </w:tc>
      </w:tr>
      <w:tr w:rsidR="00F4336E" w:rsidRPr="00A52AB8" w14:paraId="0562A2B2" w14:textId="77777777" w:rsidTr="00F4336E">
        <w:trPr>
          <w:cantSplit/>
          <w:jc w:val="center"/>
        </w:trPr>
        <w:tc>
          <w:tcPr>
            <w:tcW w:w="8411" w:type="dxa"/>
          </w:tcPr>
          <w:p w14:paraId="69C54291" w14:textId="77777777" w:rsidR="00F4336E" w:rsidRPr="00A52AB8" w:rsidRDefault="00F4336E" w:rsidP="00F4336E">
            <w:pPr>
              <w:spacing w:before="20" w:after="40" w:line="240" w:lineRule="auto"/>
              <w:rPr>
                <w:sz w:val="20"/>
                <w:szCs w:val="20"/>
              </w:rPr>
            </w:pPr>
            <w:r w:rsidRPr="00A52AB8">
              <w:rPr>
                <w:sz w:val="20"/>
                <w:szCs w:val="20"/>
              </w:rPr>
              <w:t>}</w:t>
            </w:r>
          </w:p>
        </w:tc>
        <w:tc>
          <w:tcPr>
            <w:tcW w:w="1331" w:type="dxa"/>
          </w:tcPr>
          <w:p w14:paraId="4F979602" w14:textId="77777777" w:rsidR="00F4336E" w:rsidRPr="00A52AB8" w:rsidRDefault="00F4336E" w:rsidP="00F4336E">
            <w:pPr>
              <w:spacing w:before="20" w:after="40" w:line="240" w:lineRule="auto"/>
              <w:jc w:val="center"/>
              <w:rPr>
                <w:rFonts w:eastAsia="Malgun Gothic"/>
                <w:sz w:val="20"/>
                <w:szCs w:val="20"/>
              </w:rPr>
            </w:pPr>
          </w:p>
        </w:tc>
      </w:tr>
    </w:tbl>
    <w:p w14:paraId="34084395" w14:textId="77777777" w:rsidR="00221EC0" w:rsidRPr="00A52AB8" w:rsidRDefault="00221EC0" w:rsidP="009C6742">
      <w:pPr>
        <w:pStyle w:val="a3"/>
        <w:numPr>
          <w:ilvl w:val="2"/>
          <w:numId w:val="14"/>
        </w:numPr>
        <w:tabs>
          <w:tab w:val="clear" w:pos="403"/>
        </w:tabs>
        <w:spacing w:line="240" w:lineRule="auto"/>
      </w:pPr>
      <w:bookmarkStart w:id="5399" w:name="_Toc42730245"/>
      <w:bookmarkStart w:id="5400" w:name="_Toc45105709"/>
      <w:bookmarkStart w:id="5401" w:name="_Toc45530568"/>
      <w:bookmarkStart w:id="5402" w:name="_Toc46301931"/>
      <w:bookmarkStart w:id="5403" w:name="_Toc46302756"/>
      <w:bookmarkStart w:id="5404" w:name="_Toc35408101"/>
      <w:bookmarkStart w:id="5405" w:name="_Ref49347725"/>
      <w:bookmarkStart w:id="5406" w:name="_Ref50659846"/>
      <w:bookmarkStart w:id="5407" w:name="_Toc52181723"/>
      <w:bookmarkEnd w:id="5399"/>
      <w:bookmarkEnd w:id="5400"/>
      <w:bookmarkEnd w:id="5401"/>
      <w:bookmarkEnd w:id="5402"/>
      <w:bookmarkEnd w:id="5403"/>
      <w:r w:rsidRPr="00A52AB8">
        <w:t>Viewport SEI messages family syntax</w:t>
      </w:r>
      <w:bookmarkEnd w:id="5404"/>
      <w:bookmarkEnd w:id="5405"/>
      <w:bookmarkEnd w:id="5406"/>
      <w:bookmarkEnd w:id="5407"/>
    </w:p>
    <w:p w14:paraId="3C157875" w14:textId="77777777" w:rsidR="00221EC0" w:rsidRPr="00A52AB8" w:rsidRDefault="00221EC0" w:rsidP="009C6742">
      <w:pPr>
        <w:pStyle w:val="a4"/>
        <w:numPr>
          <w:ilvl w:val="3"/>
          <w:numId w:val="19"/>
        </w:numPr>
        <w:spacing w:line="240" w:lineRule="auto"/>
      </w:pPr>
      <w:r w:rsidRPr="00A52AB8">
        <w:t>Viewport camera parameters SEI messages syntax</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11"/>
        <w:gridCol w:w="1331"/>
      </w:tblGrid>
      <w:tr w:rsidR="00221EC0" w:rsidRPr="00A52AB8" w14:paraId="641A4294" w14:textId="77777777" w:rsidTr="00A252B5">
        <w:trPr>
          <w:jc w:val="center"/>
        </w:trPr>
        <w:tc>
          <w:tcPr>
            <w:tcW w:w="7921" w:type="dxa"/>
          </w:tcPr>
          <w:p w14:paraId="1EBAE55E" w14:textId="6E739BC0" w:rsidR="00221EC0" w:rsidRPr="00A52AB8" w:rsidRDefault="00221EC0" w:rsidP="009C6742">
            <w:pPr>
              <w:pStyle w:val="tablesyntax"/>
              <w:keepNext w:val="0"/>
              <w:keepLines w:val="0"/>
              <w:spacing w:before="20" w:after="40"/>
              <w:jc w:val="both"/>
              <w:rPr>
                <w:rFonts w:ascii="Cambria" w:hAnsi="Cambria"/>
              </w:rPr>
            </w:pPr>
            <w:r w:rsidRPr="00A52AB8">
              <w:rPr>
                <w:rFonts w:ascii="Cambria" w:hAnsi="Cambria"/>
              </w:rPr>
              <w:t>viewport_camera_parameters</w:t>
            </w:r>
            <w:r w:rsidRPr="00A52AB8">
              <w:rPr>
                <w:rFonts w:ascii="Cambria" w:hAnsi="Cambria"/>
                <w:lang w:eastAsia="zh-CN"/>
              </w:rPr>
              <w:t>( payloadSize </w:t>
            </w:r>
            <w:r w:rsidR="008F1F82" w:rsidRPr="00A52AB8">
              <w:rPr>
                <w:rFonts w:ascii="Cambria" w:hAnsi="Cambria"/>
                <w:lang w:eastAsia="zh-CN"/>
              </w:rPr>
              <w:t>) {</w:t>
            </w:r>
          </w:p>
        </w:tc>
        <w:tc>
          <w:tcPr>
            <w:tcW w:w="1253" w:type="dxa"/>
          </w:tcPr>
          <w:p w14:paraId="02FDF7DB" w14:textId="77777777" w:rsidR="00221EC0" w:rsidRPr="00A52AB8" w:rsidRDefault="00221EC0" w:rsidP="009C6742">
            <w:pPr>
              <w:spacing w:before="20" w:after="40" w:line="240" w:lineRule="auto"/>
              <w:jc w:val="center"/>
              <w:rPr>
                <w:b/>
                <w:bCs/>
                <w:sz w:val="20"/>
                <w:szCs w:val="20"/>
              </w:rPr>
            </w:pPr>
            <w:r w:rsidRPr="00A52AB8">
              <w:rPr>
                <w:b/>
                <w:bCs/>
                <w:sz w:val="20"/>
                <w:szCs w:val="20"/>
                <w:lang w:eastAsia="zh-CN"/>
              </w:rPr>
              <w:t>Descriptor</w:t>
            </w:r>
          </w:p>
        </w:tc>
      </w:tr>
      <w:tr w:rsidR="00221EC0" w:rsidRPr="00A52AB8" w14:paraId="73B7A2F7" w14:textId="77777777" w:rsidTr="00A252B5">
        <w:trPr>
          <w:jc w:val="center"/>
        </w:trPr>
        <w:tc>
          <w:tcPr>
            <w:tcW w:w="7921" w:type="dxa"/>
          </w:tcPr>
          <w:p w14:paraId="5E79268C" w14:textId="77777777" w:rsidR="00221EC0" w:rsidRPr="00A52AB8" w:rsidRDefault="00221EC0" w:rsidP="009C6742">
            <w:pPr>
              <w:spacing w:before="20" w:after="40" w:line="240" w:lineRule="auto"/>
              <w:rPr>
                <w:sz w:val="20"/>
                <w:szCs w:val="20"/>
              </w:rPr>
            </w:pPr>
            <w:r w:rsidRPr="00A52AB8">
              <w:rPr>
                <w:b/>
                <w:bCs/>
                <w:sz w:val="20"/>
                <w:szCs w:val="20"/>
                <w:lang w:eastAsia="zh-CN"/>
              </w:rPr>
              <w:tab/>
            </w:r>
            <w:r w:rsidRPr="00A52AB8">
              <w:rPr>
                <w:b/>
                <w:sz w:val="20"/>
                <w:szCs w:val="20"/>
                <w:lang w:eastAsia="zh-CN"/>
              </w:rPr>
              <w:t>vcp_camera_id</w:t>
            </w:r>
          </w:p>
        </w:tc>
        <w:tc>
          <w:tcPr>
            <w:tcW w:w="1253" w:type="dxa"/>
          </w:tcPr>
          <w:p w14:paraId="68C8A039" w14:textId="77777777" w:rsidR="00221EC0" w:rsidRPr="00A52AB8" w:rsidRDefault="00221EC0" w:rsidP="009C6742">
            <w:pPr>
              <w:spacing w:before="20" w:after="40" w:line="240" w:lineRule="auto"/>
              <w:jc w:val="center"/>
              <w:rPr>
                <w:sz w:val="20"/>
                <w:szCs w:val="20"/>
              </w:rPr>
            </w:pPr>
            <w:r w:rsidRPr="00A52AB8">
              <w:rPr>
                <w:sz w:val="20"/>
                <w:szCs w:val="20"/>
                <w:lang w:eastAsia="zh-CN"/>
              </w:rPr>
              <w:t>u(10)</w:t>
            </w:r>
          </w:p>
        </w:tc>
      </w:tr>
      <w:tr w:rsidR="00221EC0" w:rsidRPr="00A52AB8" w14:paraId="02BB64A9" w14:textId="77777777" w:rsidTr="00A252B5">
        <w:trPr>
          <w:jc w:val="center"/>
        </w:trPr>
        <w:tc>
          <w:tcPr>
            <w:tcW w:w="7921" w:type="dxa"/>
          </w:tcPr>
          <w:p w14:paraId="66F3CC06" w14:textId="77777777" w:rsidR="00221EC0" w:rsidRPr="00A52AB8" w:rsidRDefault="00221EC0" w:rsidP="009C6742">
            <w:pPr>
              <w:spacing w:before="20" w:after="40" w:line="240" w:lineRule="auto"/>
              <w:rPr>
                <w:sz w:val="20"/>
                <w:szCs w:val="20"/>
              </w:rPr>
            </w:pPr>
            <w:r w:rsidRPr="00A52AB8">
              <w:rPr>
                <w:sz w:val="20"/>
                <w:szCs w:val="20"/>
                <w:lang w:eastAsia="zh-CN"/>
              </w:rPr>
              <w:tab/>
            </w:r>
            <w:r w:rsidRPr="00A52AB8">
              <w:rPr>
                <w:b/>
                <w:sz w:val="20"/>
                <w:szCs w:val="20"/>
                <w:lang w:eastAsia="zh-CN"/>
              </w:rPr>
              <w:t>vcp_</w:t>
            </w:r>
            <w:r w:rsidRPr="00A52AB8">
              <w:rPr>
                <w:b/>
                <w:bCs/>
                <w:sz w:val="20"/>
                <w:szCs w:val="20"/>
                <w:lang w:eastAsia="zh-CN"/>
              </w:rPr>
              <w:t>cancel_flag</w:t>
            </w:r>
          </w:p>
        </w:tc>
        <w:tc>
          <w:tcPr>
            <w:tcW w:w="1253" w:type="dxa"/>
          </w:tcPr>
          <w:p w14:paraId="31E6EA68" w14:textId="77777777" w:rsidR="00221EC0" w:rsidRPr="00A52AB8" w:rsidRDefault="00221EC0" w:rsidP="009C6742">
            <w:pPr>
              <w:spacing w:before="20" w:after="40" w:line="240" w:lineRule="auto"/>
              <w:jc w:val="center"/>
              <w:rPr>
                <w:sz w:val="20"/>
                <w:szCs w:val="20"/>
              </w:rPr>
            </w:pPr>
            <w:r w:rsidRPr="00A52AB8">
              <w:rPr>
                <w:bCs/>
                <w:sz w:val="20"/>
                <w:szCs w:val="20"/>
                <w:lang w:eastAsia="zh-CN"/>
              </w:rPr>
              <w:t>u(1)</w:t>
            </w:r>
          </w:p>
        </w:tc>
      </w:tr>
      <w:tr w:rsidR="00221EC0" w:rsidRPr="00A52AB8" w14:paraId="34158FA2" w14:textId="77777777" w:rsidTr="00A252B5">
        <w:trPr>
          <w:jc w:val="center"/>
        </w:trPr>
        <w:tc>
          <w:tcPr>
            <w:tcW w:w="7921" w:type="dxa"/>
          </w:tcPr>
          <w:p w14:paraId="6A1168CE" w14:textId="63626B4D" w:rsidR="00221EC0" w:rsidRPr="00A52AB8" w:rsidRDefault="00221EC0">
            <w:pPr>
              <w:spacing w:before="20" w:after="40" w:line="240" w:lineRule="auto"/>
              <w:rPr>
                <w:sz w:val="20"/>
                <w:szCs w:val="20"/>
              </w:rPr>
            </w:pPr>
            <w:r w:rsidRPr="00A52AB8">
              <w:rPr>
                <w:sz w:val="20"/>
                <w:szCs w:val="20"/>
              </w:rPr>
              <w:tab/>
              <w:t>if(</w:t>
            </w:r>
            <w:r w:rsidR="00F11CCC" w:rsidRPr="00A52AB8">
              <w:rPr>
                <w:sz w:val="20"/>
                <w:szCs w:val="20"/>
              </w:rPr>
              <w:t> </w:t>
            </w:r>
            <w:r w:rsidRPr="00A52AB8">
              <w:rPr>
                <w:sz w:val="20"/>
                <w:szCs w:val="20"/>
              </w:rPr>
              <w:t>vcp_camera_</w:t>
            </w:r>
            <w:r w:rsidR="00F11CCC" w:rsidRPr="00A52AB8">
              <w:rPr>
                <w:sz w:val="20"/>
                <w:szCs w:val="20"/>
              </w:rPr>
              <w:t>id &gt; </w:t>
            </w:r>
            <w:r w:rsidRPr="00A52AB8">
              <w:rPr>
                <w:sz w:val="20"/>
                <w:szCs w:val="20"/>
              </w:rPr>
              <w:t>0</w:t>
            </w:r>
            <w:r w:rsidR="008768E9" w:rsidRPr="00A52AB8">
              <w:rPr>
                <w:sz w:val="20"/>
                <w:szCs w:val="20"/>
              </w:rPr>
              <w:t> &amp;&amp; </w:t>
            </w:r>
            <w:r w:rsidRPr="00A52AB8">
              <w:rPr>
                <w:sz w:val="20"/>
                <w:szCs w:val="20"/>
                <w:lang w:eastAsia="zh-CN"/>
              </w:rPr>
              <w:t>!</w:t>
            </w:r>
            <w:r w:rsidRPr="00A52AB8">
              <w:rPr>
                <w:bCs/>
                <w:sz w:val="20"/>
                <w:szCs w:val="20"/>
                <w:lang w:eastAsia="zh-CN"/>
              </w:rPr>
              <w:t>v</w:t>
            </w:r>
            <w:r w:rsidR="00545C89" w:rsidRPr="00A52AB8">
              <w:rPr>
                <w:bCs/>
                <w:sz w:val="20"/>
                <w:szCs w:val="20"/>
                <w:lang w:eastAsia="zh-CN"/>
              </w:rPr>
              <w:t>c</w:t>
            </w:r>
            <w:r w:rsidRPr="00A52AB8">
              <w:rPr>
                <w:bCs/>
                <w:sz w:val="20"/>
                <w:szCs w:val="20"/>
                <w:lang w:eastAsia="zh-CN"/>
              </w:rPr>
              <w:t>p_</w:t>
            </w:r>
            <w:r w:rsidRPr="00A52AB8">
              <w:rPr>
                <w:sz w:val="20"/>
                <w:szCs w:val="20"/>
                <w:lang w:eastAsia="zh-CN"/>
              </w:rPr>
              <w:t>cancel_flag </w:t>
            </w:r>
            <w:r w:rsidR="00900B12" w:rsidRPr="00A52AB8">
              <w:rPr>
                <w:sz w:val="20"/>
                <w:szCs w:val="20"/>
              </w:rPr>
              <w:t>) {</w:t>
            </w:r>
          </w:p>
        </w:tc>
        <w:tc>
          <w:tcPr>
            <w:tcW w:w="1253" w:type="dxa"/>
          </w:tcPr>
          <w:p w14:paraId="38EE96A2" w14:textId="77777777" w:rsidR="00221EC0" w:rsidRPr="00A52AB8" w:rsidRDefault="00221EC0" w:rsidP="009C6742">
            <w:pPr>
              <w:spacing w:before="20" w:after="40" w:line="240" w:lineRule="auto"/>
              <w:jc w:val="center"/>
              <w:rPr>
                <w:sz w:val="20"/>
                <w:szCs w:val="20"/>
              </w:rPr>
            </w:pPr>
          </w:p>
        </w:tc>
      </w:tr>
      <w:tr w:rsidR="00221EC0" w:rsidRPr="00A52AB8" w14:paraId="3F8BA44D" w14:textId="77777777" w:rsidTr="00A252B5">
        <w:trPr>
          <w:jc w:val="center"/>
        </w:trPr>
        <w:tc>
          <w:tcPr>
            <w:tcW w:w="7921" w:type="dxa"/>
          </w:tcPr>
          <w:p w14:paraId="3A33F7F8" w14:textId="77777777" w:rsidR="00221EC0" w:rsidRPr="00A52AB8" w:rsidRDefault="00221EC0" w:rsidP="009C6742">
            <w:pPr>
              <w:spacing w:before="20" w:after="40" w:line="240" w:lineRule="auto"/>
              <w:rPr>
                <w:b/>
                <w:sz w:val="20"/>
                <w:szCs w:val="20"/>
              </w:rPr>
            </w:pPr>
            <w:r w:rsidRPr="00A52AB8">
              <w:rPr>
                <w:sz w:val="20"/>
                <w:szCs w:val="20"/>
                <w:lang w:eastAsia="zh-CN"/>
              </w:rPr>
              <w:tab/>
            </w:r>
            <w:r w:rsidRPr="00A52AB8">
              <w:rPr>
                <w:b/>
                <w:sz w:val="20"/>
                <w:szCs w:val="20"/>
                <w:lang w:eastAsia="zh-CN"/>
              </w:rPr>
              <w:tab/>
              <w:t>vcp_</w:t>
            </w:r>
            <w:r w:rsidRPr="00A52AB8">
              <w:rPr>
                <w:b/>
                <w:bCs/>
                <w:sz w:val="20"/>
                <w:szCs w:val="20"/>
                <w:lang w:eastAsia="zh-CN"/>
              </w:rPr>
              <w:t>persistence_flag</w:t>
            </w:r>
          </w:p>
        </w:tc>
        <w:tc>
          <w:tcPr>
            <w:tcW w:w="1253" w:type="dxa"/>
          </w:tcPr>
          <w:p w14:paraId="76BCAED2" w14:textId="77777777" w:rsidR="00221EC0" w:rsidRPr="00A52AB8" w:rsidRDefault="00221EC0" w:rsidP="009C6742">
            <w:pPr>
              <w:spacing w:before="20" w:after="40" w:line="240" w:lineRule="auto"/>
              <w:jc w:val="center"/>
              <w:rPr>
                <w:sz w:val="20"/>
                <w:szCs w:val="20"/>
              </w:rPr>
            </w:pPr>
            <w:r w:rsidRPr="00A52AB8">
              <w:rPr>
                <w:bCs/>
                <w:sz w:val="20"/>
                <w:szCs w:val="20"/>
                <w:lang w:eastAsia="zh-CN"/>
              </w:rPr>
              <w:t>u(1)</w:t>
            </w:r>
          </w:p>
        </w:tc>
      </w:tr>
      <w:tr w:rsidR="00221EC0" w:rsidRPr="00A52AB8" w14:paraId="1BCFE287" w14:textId="77777777" w:rsidTr="00A252B5">
        <w:trPr>
          <w:jc w:val="center"/>
        </w:trPr>
        <w:tc>
          <w:tcPr>
            <w:tcW w:w="7921" w:type="dxa"/>
          </w:tcPr>
          <w:p w14:paraId="6B2AFB1B" w14:textId="77777777" w:rsidR="00221EC0" w:rsidRPr="00A52AB8" w:rsidRDefault="00221EC0" w:rsidP="009C6742">
            <w:pPr>
              <w:spacing w:before="20" w:after="40" w:line="240" w:lineRule="auto"/>
              <w:rPr>
                <w:b/>
                <w:sz w:val="20"/>
                <w:szCs w:val="20"/>
              </w:rPr>
            </w:pPr>
            <w:r w:rsidRPr="00A52AB8">
              <w:rPr>
                <w:sz w:val="20"/>
                <w:szCs w:val="20"/>
              </w:rPr>
              <w:tab/>
            </w:r>
            <w:r w:rsidRPr="00A52AB8">
              <w:rPr>
                <w:sz w:val="20"/>
                <w:szCs w:val="20"/>
              </w:rPr>
              <w:tab/>
            </w:r>
            <w:r w:rsidRPr="00A52AB8">
              <w:rPr>
                <w:b/>
                <w:sz w:val="20"/>
                <w:szCs w:val="20"/>
                <w:lang w:eastAsia="zh-CN"/>
              </w:rPr>
              <w:t>vcp_camera</w:t>
            </w:r>
            <w:r w:rsidRPr="00A52AB8">
              <w:rPr>
                <w:b/>
                <w:sz w:val="20"/>
                <w:szCs w:val="20"/>
              </w:rPr>
              <w:t>_type</w:t>
            </w:r>
          </w:p>
        </w:tc>
        <w:tc>
          <w:tcPr>
            <w:tcW w:w="1253" w:type="dxa"/>
          </w:tcPr>
          <w:p w14:paraId="6AF0328B" w14:textId="77777777" w:rsidR="00221EC0" w:rsidRPr="00A52AB8" w:rsidRDefault="00221EC0" w:rsidP="009C6742">
            <w:pPr>
              <w:spacing w:before="20" w:after="40" w:line="240" w:lineRule="auto"/>
              <w:jc w:val="center"/>
              <w:rPr>
                <w:sz w:val="20"/>
                <w:szCs w:val="20"/>
              </w:rPr>
            </w:pPr>
            <w:r w:rsidRPr="00A52AB8">
              <w:rPr>
                <w:sz w:val="20"/>
                <w:szCs w:val="20"/>
              </w:rPr>
              <w:t>u(3)</w:t>
            </w:r>
          </w:p>
        </w:tc>
      </w:tr>
      <w:tr w:rsidR="00221EC0" w:rsidRPr="00A52AB8" w14:paraId="47F2AABF" w14:textId="77777777" w:rsidTr="00A252B5">
        <w:trPr>
          <w:jc w:val="center"/>
        </w:trPr>
        <w:tc>
          <w:tcPr>
            <w:tcW w:w="7921" w:type="dxa"/>
          </w:tcPr>
          <w:p w14:paraId="11321B67" w14:textId="3CDAEE15" w:rsidR="00221EC0" w:rsidRPr="00A52AB8" w:rsidRDefault="00221EC0">
            <w:pPr>
              <w:spacing w:before="20" w:after="40" w:line="240" w:lineRule="auto"/>
              <w:rPr>
                <w:sz w:val="20"/>
                <w:szCs w:val="20"/>
              </w:rPr>
            </w:pPr>
            <w:r w:rsidRPr="00A52AB8">
              <w:rPr>
                <w:sz w:val="20"/>
                <w:szCs w:val="20"/>
              </w:rPr>
              <w:tab/>
            </w:r>
            <w:r w:rsidRPr="00A52AB8">
              <w:rPr>
                <w:sz w:val="20"/>
                <w:szCs w:val="20"/>
              </w:rPr>
              <w:tab/>
              <w:t>if(</w:t>
            </w:r>
            <w:r w:rsidR="00F11CCC" w:rsidRPr="00A52AB8">
              <w:rPr>
                <w:sz w:val="20"/>
                <w:szCs w:val="20"/>
              </w:rPr>
              <w:t> </w:t>
            </w:r>
            <w:r w:rsidRPr="00A52AB8">
              <w:rPr>
                <w:sz w:val="20"/>
                <w:szCs w:val="20"/>
              </w:rPr>
              <w:t>vcp_camera_type</w:t>
            </w:r>
            <w:r w:rsidR="008768E9" w:rsidRPr="00A52AB8">
              <w:rPr>
                <w:sz w:val="20"/>
                <w:szCs w:val="20"/>
              </w:rPr>
              <w:t> </w:t>
            </w:r>
            <w:r w:rsidR="00726AAE" w:rsidRPr="00A52AB8">
              <w:rPr>
                <w:sz w:val="20"/>
                <w:szCs w:val="20"/>
              </w:rPr>
              <w:t>==</w:t>
            </w:r>
            <w:r w:rsidR="00D47707" w:rsidRPr="00A52AB8">
              <w:rPr>
                <w:sz w:val="20"/>
                <w:szCs w:val="20"/>
              </w:rPr>
              <w:t> </w:t>
            </w:r>
            <w:r w:rsidR="00F11CCC" w:rsidRPr="00A52AB8">
              <w:rPr>
                <w:sz w:val="20"/>
                <w:szCs w:val="20"/>
              </w:rPr>
              <w:t>0 </w:t>
            </w:r>
            <w:r w:rsidR="008F1F82" w:rsidRPr="00A52AB8">
              <w:rPr>
                <w:sz w:val="20"/>
                <w:szCs w:val="20"/>
              </w:rPr>
              <w:t>) {</w:t>
            </w:r>
            <w:r w:rsidR="00F11CCC" w:rsidRPr="00A52AB8">
              <w:rPr>
                <w:sz w:val="20"/>
                <w:szCs w:val="20"/>
              </w:rPr>
              <w:t> </w:t>
            </w:r>
            <w:r w:rsidRPr="00A52AB8">
              <w:rPr>
                <w:sz w:val="20"/>
                <w:szCs w:val="20"/>
              </w:rPr>
              <w:t>/* equirectangular */</w:t>
            </w:r>
          </w:p>
        </w:tc>
        <w:tc>
          <w:tcPr>
            <w:tcW w:w="1253" w:type="dxa"/>
          </w:tcPr>
          <w:p w14:paraId="4A520766" w14:textId="77777777" w:rsidR="00221EC0" w:rsidRPr="00A52AB8" w:rsidRDefault="00221EC0" w:rsidP="009C6742">
            <w:pPr>
              <w:spacing w:before="20" w:after="40" w:line="240" w:lineRule="auto"/>
              <w:jc w:val="center"/>
              <w:rPr>
                <w:sz w:val="20"/>
                <w:szCs w:val="20"/>
              </w:rPr>
            </w:pPr>
          </w:p>
        </w:tc>
      </w:tr>
      <w:tr w:rsidR="00221EC0" w:rsidRPr="00A52AB8" w14:paraId="5AFF608E" w14:textId="77777777" w:rsidTr="00A252B5">
        <w:trPr>
          <w:jc w:val="center"/>
        </w:trPr>
        <w:tc>
          <w:tcPr>
            <w:tcW w:w="7921" w:type="dxa"/>
          </w:tcPr>
          <w:p w14:paraId="438D414C" w14:textId="77D12F1A" w:rsidR="00221EC0" w:rsidRPr="00A52AB8" w:rsidRDefault="00221EC0" w:rsidP="009C6742">
            <w:pPr>
              <w:spacing w:before="20" w:after="40" w:line="240" w:lineRule="auto"/>
              <w:rPr>
                <w:sz w:val="20"/>
                <w:szCs w:val="20"/>
              </w:rPr>
            </w:pPr>
            <w:r w:rsidRPr="00A52AB8">
              <w:rPr>
                <w:sz w:val="20"/>
                <w:szCs w:val="20"/>
              </w:rPr>
              <w:tab/>
            </w:r>
            <w:r w:rsidRPr="00A52AB8">
              <w:rPr>
                <w:sz w:val="20"/>
                <w:szCs w:val="20"/>
              </w:rPr>
              <w:tab/>
            </w:r>
            <w:r w:rsidRPr="00A52AB8">
              <w:rPr>
                <w:sz w:val="20"/>
                <w:szCs w:val="20"/>
              </w:rPr>
              <w:tab/>
            </w:r>
            <w:r w:rsidRPr="00A52AB8">
              <w:rPr>
                <w:b/>
                <w:sz w:val="20"/>
                <w:szCs w:val="20"/>
                <w:lang w:eastAsia="zh-CN"/>
              </w:rPr>
              <w:t>vcp_erp_horizontal_fov</w:t>
            </w:r>
          </w:p>
        </w:tc>
        <w:tc>
          <w:tcPr>
            <w:tcW w:w="1253" w:type="dxa"/>
          </w:tcPr>
          <w:p w14:paraId="1D0EC745" w14:textId="07881AD9" w:rsidR="00221EC0" w:rsidRPr="00A52AB8" w:rsidRDefault="008667F2" w:rsidP="009C6742">
            <w:pPr>
              <w:spacing w:before="20" w:after="40" w:line="240" w:lineRule="auto"/>
              <w:jc w:val="center"/>
              <w:rPr>
                <w:sz w:val="20"/>
                <w:szCs w:val="20"/>
              </w:rPr>
            </w:pPr>
            <w:r w:rsidRPr="00A52AB8">
              <w:rPr>
                <w:sz w:val="20"/>
                <w:szCs w:val="20"/>
              </w:rPr>
              <w:t>u(</w:t>
            </w:r>
            <w:r w:rsidR="00221EC0" w:rsidRPr="00A52AB8">
              <w:rPr>
                <w:sz w:val="20"/>
                <w:szCs w:val="20"/>
              </w:rPr>
              <w:t>32)</w:t>
            </w:r>
          </w:p>
        </w:tc>
      </w:tr>
      <w:tr w:rsidR="00221EC0" w:rsidRPr="00A52AB8" w14:paraId="02618D20" w14:textId="77777777" w:rsidTr="00A252B5">
        <w:trPr>
          <w:jc w:val="center"/>
        </w:trPr>
        <w:tc>
          <w:tcPr>
            <w:tcW w:w="7921" w:type="dxa"/>
          </w:tcPr>
          <w:p w14:paraId="12281429" w14:textId="0B7ABA6C" w:rsidR="00221EC0" w:rsidRPr="00A52AB8" w:rsidRDefault="00221EC0" w:rsidP="009C6742">
            <w:pPr>
              <w:spacing w:before="20" w:after="40" w:line="240" w:lineRule="auto"/>
              <w:rPr>
                <w:sz w:val="20"/>
                <w:szCs w:val="20"/>
              </w:rPr>
            </w:pPr>
            <w:r w:rsidRPr="00A52AB8">
              <w:rPr>
                <w:sz w:val="20"/>
                <w:szCs w:val="20"/>
              </w:rPr>
              <w:tab/>
            </w:r>
            <w:r w:rsidRPr="00A52AB8">
              <w:rPr>
                <w:sz w:val="20"/>
                <w:szCs w:val="20"/>
              </w:rPr>
              <w:tab/>
            </w:r>
            <w:r w:rsidRPr="00A52AB8">
              <w:rPr>
                <w:sz w:val="20"/>
                <w:szCs w:val="20"/>
              </w:rPr>
              <w:tab/>
            </w:r>
            <w:r w:rsidRPr="00A52AB8">
              <w:rPr>
                <w:b/>
                <w:sz w:val="20"/>
                <w:szCs w:val="20"/>
                <w:lang w:eastAsia="zh-CN"/>
              </w:rPr>
              <w:t>vcp_erp_vertical_fov</w:t>
            </w:r>
          </w:p>
        </w:tc>
        <w:tc>
          <w:tcPr>
            <w:tcW w:w="1253" w:type="dxa"/>
          </w:tcPr>
          <w:p w14:paraId="269A23F1" w14:textId="7E4E6E90" w:rsidR="00221EC0" w:rsidRPr="00A52AB8" w:rsidRDefault="008667F2" w:rsidP="009C6742">
            <w:pPr>
              <w:spacing w:before="20" w:after="40" w:line="240" w:lineRule="auto"/>
              <w:jc w:val="center"/>
              <w:rPr>
                <w:sz w:val="20"/>
                <w:szCs w:val="20"/>
              </w:rPr>
            </w:pPr>
            <w:r w:rsidRPr="00A52AB8">
              <w:rPr>
                <w:sz w:val="20"/>
                <w:szCs w:val="20"/>
              </w:rPr>
              <w:t>u</w:t>
            </w:r>
            <w:r w:rsidR="00221EC0" w:rsidRPr="00A52AB8">
              <w:rPr>
                <w:sz w:val="20"/>
                <w:szCs w:val="20"/>
              </w:rPr>
              <w:t>(32)</w:t>
            </w:r>
          </w:p>
        </w:tc>
      </w:tr>
      <w:tr w:rsidR="00221EC0" w:rsidRPr="00A52AB8" w14:paraId="6664C087" w14:textId="77777777" w:rsidTr="00A252B5">
        <w:trPr>
          <w:jc w:val="center"/>
        </w:trPr>
        <w:tc>
          <w:tcPr>
            <w:tcW w:w="7921" w:type="dxa"/>
          </w:tcPr>
          <w:p w14:paraId="736FBD6B" w14:textId="41B14680" w:rsidR="00221EC0" w:rsidRPr="00A52AB8" w:rsidRDefault="00221EC0">
            <w:pPr>
              <w:spacing w:before="20" w:after="40" w:line="240" w:lineRule="auto"/>
              <w:rPr>
                <w:sz w:val="20"/>
                <w:szCs w:val="20"/>
              </w:rPr>
            </w:pPr>
            <w:r w:rsidRPr="00A52AB8">
              <w:rPr>
                <w:sz w:val="20"/>
                <w:szCs w:val="20"/>
              </w:rPr>
              <w:tab/>
            </w:r>
            <w:r w:rsidRPr="00A52AB8">
              <w:rPr>
                <w:sz w:val="20"/>
                <w:szCs w:val="20"/>
              </w:rPr>
              <w:tab/>
              <w:t>} else if(</w:t>
            </w:r>
            <w:r w:rsidR="00F11CCC" w:rsidRPr="00A52AB8">
              <w:rPr>
                <w:sz w:val="20"/>
                <w:szCs w:val="20"/>
              </w:rPr>
              <w:t> </w:t>
            </w:r>
            <w:r w:rsidRPr="00A52AB8">
              <w:rPr>
                <w:sz w:val="20"/>
                <w:szCs w:val="20"/>
              </w:rPr>
              <w:t>vcp_camera_type</w:t>
            </w:r>
            <w:r w:rsidR="008768E9" w:rsidRPr="00A52AB8">
              <w:rPr>
                <w:sz w:val="20"/>
                <w:szCs w:val="20"/>
              </w:rPr>
              <w:t> </w:t>
            </w:r>
            <w:r w:rsidR="00726AAE" w:rsidRPr="00A52AB8">
              <w:rPr>
                <w:sz w:val="20"/>
                <w:szCs w:val="20"/>
              </w:rPr>
              <w:t>==</w:t>
            </w:r>
            <w:r w:rsidR="00D47707" w:rsidRPr="00A52AB8">
              <w:rPr>
                <w:sz w:val="20"/>
                <w:szCs w:val="20"/>
              </w:rPr>
              <w:t> </w:t>
            </w:r>
            <w:r w:rsidR="00F11CCC" w:rsidRPr="00A52AB8">
              <w:rPr>
                <w:sz w:val="20"/>
                <w:szCs w:val="20"/>
              </w:rPr>
              <w:t>1 </w:t>
            </w:r>
            <w:r w:rsidR="008F1F82" w:rsidRPr="00A52AB8">
              <w:rPr>
                <w:sz w:val="20"/>
                <w:szCs w:val="20"/>
              </w:rPr>
              <w:t>) {</w:t>
            </w:r>
            <w:r w:rsidR="00F11CCC" w:rsidRPr="00A52AB8">
              <w:rPr>
                <w:sz w:val="20"/>
                <w:szCs w:val="20"/>
              </w:rPr>
              <w:t> </w:t>
            </w:r>
            <w:r w:rsidRPr="00A52AB8">
              <w:rPr>
                <w:sz w:val="20"/>
                <w:szCs w:val="20"/>
              </w:rPr>
              <w:t>/* perspective */</w:t>
            </w:r>
          </w:p>
        </w:tc>
        <w:tc>
          <w:tcPr>
            <w:tcW w:w="1253" w:type="dxa"/>
          </w:tcPr>
          <w:p w14:paraId="20C2A5F1" w14:textId="77777777" w:rsidR="00221EC0" w:rsidRPr="00A52AB8" w:rsidRDefault="00221EC0" w:rsidP="009C6742">
            <w:pPr>
              <w:spacing w:before="20" w:after="40" w:line="240" w:lineRule="auto"/>
              <w:jc w:val="center"/>
              <w:rPr>
                <w:sz w:val="20"/>
                <w:szCs w:val="20"/>
              </w:rPr>
            </w:pPr>
          </w:p>
        </w:tc>
      </w:tr>
      <w:tr w:rsidR="00D51F19" w:rsidRPr="00A52AB8" w14:paraId="0B8939AF" w14:textId="77777777" w:rsidTr="00A252B5">
        <w:trPr>
          <w:jc w:val="center"/>
        </w:trPr>
        <w:tc>
          <w:tcPr>
            <w:tcW w:w="7921" w:type="dxa"/>
          </w:tcPr>
          <w:p w14:paraId="423ADACD" w14:textId="21F48665" w:rsidR="00D51F19" w:rsidRPr="00A52AB8" w:rsidRDefault="00D51F19" w:rsidP="009C6742">
            <w:pPr>
              <w:spacing w:before="20" w:after="40" w:line="240" w:lineRule="auto"/>
              <w:rPr>
                <w:sz w:val="20"/>
                <w:szCs w:val="20"/>
              </w:rPr>
            </w:pPr>
            <w:r w:rsidRPr="00A52AB8">
              <w:rPr>
                <w:sz w:val="20"/>
                <w:szCs w:val="20"/>
              </w:rPr>
              <w:tab/>
            </w:r>
            <w:r w:rsidRPr="00A52AB8">
              <w:rPr>
                <w:sz w:val="20"/>
                <w:szCs w:val="20"/>
              </w:rPr>
              <w:tab/>
            </w:r>
            <w:r w:rsidRPr="00A52AB8">
              <w:rPr>
                <w:sz w:val="20"/>
                <w:szCs w:val="20"/>
              </w:rPr>
              <w:tab/>
            </w:r>
            <w:r w:rsidRPr="00A52AB8">
              <w:rPr>
                <w:b/>
                <w:sz w:val="20"/>
                <w:szCs w:val="20"/>
                <w:lang w:eastAsia="zh-CN"/>
              </w:rPr>
              <w:t>vcp_perspective_</w:t>
            </w:r>
            <w:r w:rsidRPr="00A52AB8">
              <w:rPr>
                <w:b/>
                <w:sz w:val="20"/>
                <w:szCs w:val="20"/>
              </w:rPr>
              <w:t>aspect_ratio</w:t>
            </w:r>
          </w:p>
        </w:tc>
        <w:tc>
          <w:tcPr>
            <w:tcW w:w="1253" w:type="dxa"/>
          </w:tcPr>
          <w:p w14:paraId="66E8C98E" w14:textId="77777777" w:rsidR="00D51F19" w:rsidRPr="00A52AB8" w:rsidRDefault="00D51F19" w:rsidP="009C6742">
            <w:pPr>
              <w:spacing w:before="20" w:after="40" w:line="240" w:lineRule="auto"/>
              <w:jc w:val="center"/>
              <w:rPr>
                <w:sz w:val="20"/>
                <w:szCs w:val="20"/>
              </w:rPr>
            </w:pPr>
            <w:r w:rsidRPr="00A52AB8">
              <w:rPr>
                <w:sz w:val="20"/>
                <w:szCs w:val="20"/>
              </w:rPr>
              <w:t>fl(32)</w:t>
            </w:r>
          </w:p>
        </w:tc>
      </w:tr>
      <w:tr w:rsidR="00221EC0" w:rsidRPr="00A52AB8" w14:paraId="4D53A7D7" w14:textId="77777777" w:rsidTr="00A252B5">
        <w:trPr>
          <w:jc w:val="center"/>
        </w:trPr>
        <w:tc>
          <w:tcPr>
            <w:tcW w:w="7921" w:type="dxa"/>
          </w:tcPr>
          <w:p w14:paraId="2A76B409" w14:textId="77777777" w:rsidR="00221EC0" w:rsidRPr="00A52AB8" w:rsidRDefault="00221EC0" w:rsidP="009C6742">
            <w:pPr>
              <w:spacing w:before="20" w:after="40" w:line="240" w:lineRule="auto"/>
              <w:rPr>
                <w:sz w:val="20"/>
                <w:szCs w:val="20"/>
              </w:rPr>
            </w:pPr>
            <w:r w:rsidRPr="00A52AB8">
              <w:rPr>
                <w:sz w:val="20"/>
                <w:szCs w:val="20"/>
              </w:rPr>
              <w:tab/>
            </w:r>
            <w:r w:rsidRPr="00A52AB8">
              <w:rPr>
                <w:sz w:val="20"/>
                <w:szCs w:val="20"/>
              </w:rPr>
              <w:tab/>
            </w:r>
            <w:r w:rsidRPr="00A52AB8">
              <w:rPr>
                <w:sz w:val="20"/>
                <w:szCs w:val="20"/>
              </w:rPr>
              <w:tab/>
            </w:r>
            <w:r w:rsidRPr="00A52AB8">
              <w:rPr>
                <w:b/>
                <w:sz w:val="20"/>
                <w:szCs w:val="20"/>
                <w:lang w:eastAsia="zh-CN"/>
              </w:rPr>
              <w:t>vcp_perspective_horizontal</w:t>
            </w:r>
            <w:r w:rsidRPr="00A52AB8">
              <w:rPr>
                <w:b/>
                <w:sz w:val="20"/>
                <w:szCs w:val="20"/>
              </w:rPr>
              <w:t>_fov</w:t>
            </w:r>
          </w:p>
        </w:tc>
        <w:tc>
          <w:tcPr>
            <w:tcW w:w="1253" w:type="dxa"/>
          </w:tcPr>
          <w:p w14:paraId="26E57F5C" w14:textId="3CD4A2BD" w:rsidR="00221EC0" w:rsidRPr="00A52AB8" w:rsidRDefault="002C6801" w:rsidP="009C6742">
            <w:pPr>
              <w:spacing w:before="20" w:after="40" w:line="240" w:lineRule="auto"/>
              <w:jc w:val="center"/>
              <w:rPr>
                <w:sz w:val="20"/>
                <w:szCs w:val="20"/>
              </w:rPr>
            </w:pPr>
            <w:r w:rsidRPr="00A52AB8">
              <w:rPr>
                <w:sz w:val="20"/>
                <w:szCs w:val="20"/>
              </w:rPr>
              <w:t>u</w:t>
            </w:r>
            <w:r w:rsidR="00221EC0" w:rsidRPr="00A52AB8">
              <w:rPr>
                <w:sz w:val="20"/>
                <w:szCs w:val="20"/>
              </w:rPr>
              <w:t>(32)</w:t>
            </w:r>
          </w:p>
        </w:tc>
      </w:tr>
      <w:tr w:rsidR="00221EC0" w:rsidRPr="00A52AB8" w14:paraId="1DE64097" w14:textId="77777777" w:rsidTr="00A252B5">
        <w:trPr>
          <w:jc w:val="center"/>
        </w:trPr>
        <w:tc>
          <w:tcPr>
            <w:tcW w:w="7921" w:type="dxa"/>
          </w:tcPr>
          <w:p w14:paraId="1D5ABE85" w14:textId="064F1529" w:rsidR="00221EC0" w:rsidRPr="00A52AB8" w:rsidRDefault="00221EC0">
            <w:pPr>
              <w:spacing w:before="20" w:after="40" w:line="240" w:lineRule="auto"/>
              <w:rPr>
                <w:sz w:val="20"/>
                <w:szCs w:val="20"/>
              </w:rPr>
            </w:pPr>
            <w:r w:rsidRPr="00A52AB8">
              <w:rPr>
                <w:sz w:val="20"/>
                <w:szCs w:val="20"/>
              </w:rPr>
              <w:tab/>
            </w:r>
            <w:r w:rsidRPr="00A52AB8">
              <w:rPr>
                <w:sz w:val="20"/>
                <w:szCs w:val="20"/>
              </w:rPr>
              <w:tab/>
              <w:t>} else if(</w:t>
            </w:r>
            <w:r w:rsidR="00F11CCC" w:rsidRPr="00A52AB8">
              <w:rPr>
                <w:sz w:val="20"/>
                <w:szCs w:val="20"/>
              </w:rPr>
              <w:t> </w:t>
            </w:r>
            <w:r w:rsidRPr="00A52AB8">
              <w:rPr>
                <w:sz w:val="20"/>
                <w:szCs w:val="20"/>
              </w:rPr>
              <w:t>vcp_camera_type</w:t>
            </w:r>
            <w:r w:rsidR="008768E9" w:rsidRPr="00A52AB8">
              <w:rPr>
                <w:sz w:val="20"/>
                <w:szCs w:val="20"/>
              </w:rPr>
              <w:t> </w:t>
            </w:r>
            <w:r w:rsidR="00726AAE" w:rsidRPr="00A52AB8">
              <w:rPr>
                <w:sz w:val="20"/>
                <w:szCs w:val="20"/>
              </w:rPr>
              <w:t>==</w:t>
            </w:r>
            <w:r w:rsidR="00D47707" w:rsidRPr="00A52AB8">
              <w:rPr>
                <w:sz w:val="20"/>
                <w:szCs w:val="20"/>
              </w:rPr>
              <w:t> </w:t>
            </w:r>
            <w:r w:rsidR="00F11CCC" w:rsidRPr="00A52AB8">
              <w:rPr>
                <w:sz w:val="20"/>
                <w:szCs w:val="20"/>
              </w:rPr>
              <w:t>2 </w:t>
            </w:r>
            <w:r w:rsidR="008F1F82" w:rsidRPr="00A52AB8">
              <w:rPr>
                <w:sz w:val="20"/>
                <w:szCs w:val="20"/>
              </w:rPr>
              <w:t>) {</w:t>
            </w:r>
            <w:r w:rsidR="00F11CCC" w:rsidRPr="00A52AB8">
              <w:rPr>
                <w:sz w:val="20"/>
                <w:szCs w:val="20"/>
              </w:rPr>
              <w:t> </w:t>
            </w:r>
            <w:r w:rsidRPr="00A52AB8">
              <w:rPr>
                <w:sz w:val="20"/>
                <w:szCs w:val="20"/>
              </w:rPr>
              <w:t>/* orthographic */</w:t>
            </w:r>
          </w:p>
        </w:tc>
        <w:tc>
          <w:tcPr>
            <w:tcW w:w="1253" w:type="dxa"/>
          </w:tcPr>
          <w:p w14:paraId="3D4BBEDF" w14:textId="77777777" w:rsidR="00221EC0" w:rsidRPr="00A52AB8" w:rsidRDefault="00221EC0" w:rsidP="009C6742">
            <w:pPr>
              <w:spacing w:before="20" w:after="40" w:line="240" w:lineRule="auto"/>
              <w:jc w:val="center"/>
              <w:rPr>
                <w:sz w:val="20"/>
                <w:szCs w:val="20"/>
              </w:rPr>
            </w:pPr>
          </w:p>
        </w:tc>
      </w:tr>
      <w:tr w:rsidR="00221EC0" w:rsidRPr="00A52AB8" w14:paraId="7BFE1613" w14:textId="77777777" w:rsidTr="00A252B5">
        <w:trPr>
          <w:jc w:val="center"/>
        </w:trPr>
        <w:tc>
          <w:tcPr>
            <w:tcW w:w="7921" w:type="dxa"/>
          </w:tcPr>
          <w:p w14:paraId="25489096" w14:textId="77777777" w:rsidR="00221EC0" w:rsidRPr="00A52AB8" w:rsidRDefault="00221EC0" w:rsidP="009C6742">
            <w:pPr>
              <w:spacing w:before="20" w:after="40" w:line="240" w:lineRule="auto"/>
              <w:rPr>
                <w:b/>
                <w:sz w:val="20"/>
                <w:szCs w:val="20"/>
              </w:rPr>
            </w:pPr>
            <w:r w:rsidRPr="00A52AB8">
              <w:rPr>
                <w:sz w:val="20"/>
                <w:szCs w:val="20"/>
              </w:rPr>
              <w:tab/>
            </w:r>
            <w:r w:rsidRPr="00A52AB8">
              <w:rPr>
                <w:sz w:val="20"/>
                <w:szCs w:val="20"/>
              </w:rPr>
              <w:tab/>
            </w:r>
            <w:r w:rsidRPr="00A52AB8">
              <w:rPr>
                <w:sz w:val="20"/>
                <w:szCs w:val="20"/>
              </w:rPr>
              <w:tab/>
            </w:r>
            <w:r w:rsidRPr="00A52AB8">
              <w:rPr>
                <w:b/>
                <w:sz w:val="20"/>
                <w:szCs w:val="20"/>
                <w:lang w:eastAsia="zh-CN"/>
              </w:rPr>
              <w:t>vcp_ortho_</w:t>
            </w:r>
            <w:r w:rsidRPr="00A52AB8">
              <w:rPr>
                <w:b/>
                <w:sz w:val="20"/>
                <w:szCs w:val="20"/>
              </w:rPr>
              <w:t>aspect_ratio</w:t>
            </w:r>
          </w:p>
        </w:tc>
        <w:tc>
          <w:tcPr>
            <w:tcW w:w="1253" w:type="dxa"/>
          </w:tcPr>
          <w:p w14:paraId="6BDF9904" w14:textId="77777777" w:rsidR="00221EC0" w:rsidRPr="00A52AB8" w:rsidRDefault="00221EC0" w:rsidP="009C6742">
            <w:pPr>
              <w:spacing w:before="20" w:after="40" w:line="240" w:lineRule="auto"/>
              <w:jc w:val="center"/>
              <w:rPr>
                <w:sz w:val="20"/>
                <w:szCs w:val="20"/>
              </w:rPr>
            </w:pPr>
            <w:r w:rsidRPr="00A52AB8">
              <w:rPr>
                <w:sz w:val="20"/>
                <w:szCs w:val="20"/>
              </w:rPr>
              <w:t>fl(32)</w:t>
            </w:r>
          </w:p>
        </w:tc>
      </w:tr>
      <w:tr w:rsidR="00221EC0" w:rsidRPr="00A52AB8" w14:paraId="5F91EC22" w14:textId="77777777" w:rsidTr="00A252B5">
        <w:trPr>
          <w:jc w:val="center"/>
        </w:trPr>
        <w:tc>
          <w:tcPr>
            <w:tcW w:w="7921" w:type="dxa"/>
          </w:tcPr>
          <w:p w14:paraId="5DA1DF32" w14:textId="77777777" w:rsidR="00221EC0" w:rsidRPr="00A52AB8" w:rsidRDefault="00221EC0" w:rsidP="009C6742">
            <w:pPr>
              <w:spacing w:before="20" w:after="40" w:line="240" w:lineRule="auto"/>
              <w:rPr>
                <w:sz w:val="20"/>
                <w:szCs w:val="20"/>
              </w:rPr>
            </w:pPr>
            <w:r w:rsidRPr="00A52AB8">
              <w:rPr>
                <w:sz w:val="20"/>
                <w:szCs w:val="20"/>
              </w:rPr>
              <w:tab/>
            </w:r>
            <w:r w:rsidRPr="00A52AB8">
              <w:rPr>
                <w:sz w:val="20"/>
                <w:szCs w:val="20"/>
              </w:rPr>
              <w:tab/>
            </w:r>
            <w:r w:rsidRPr="00A52AB8">
              <w:rPr>
                <w:sz w:val="20"/>
                <w:szCs w:val="20"/>
              </w:rPr>
              <w:tab/>
            </w:r>
            <w:r w:rsidRPr="00A52AB8">
              <w:rPr>
                <w:b/>
                <w:sz w:val="20"/>
                <w:szCs w:val="20"/>
                <w:lang w:eastAsia="zh-CN"/>
              </w:rPr>
              <w:t>vcp_ortho_horizontal_size</w:t>
            </w:r>
          </w:p>
        </w:tc>
        <w:tc>
          <w:tcPr>
            <w:tcW w:w="1253" w:type="dxa"/>
          </w:tcPr>
          <w:p w14:paraId="25FC6A97" w14:textId="77777777" w:rsidR="00221EC0" w:rsidRPr="00A52AB8" w:rsidRDefault="00221EC0" w:rsidP="009C6742">
            <w:pPr>
              <w:spacing w:before="20" w:after="40" w:line="240" w:lineRule="auto"/>
              <w:jc w:val="center"/>
              <w:rPr>
                <w:sz w:val="20"/>
                <w:szCs w:val="20"/>
              </w:rPr>
            </w:pPr>
            <w:r w:rsidRPr="00A52AB8">
              <w:rPr>
                <w:sz w:val="20"/>
                <w:szCs w:val="20"/>
              </w:rPr>
              <w:t>fl(32)</w:t>
            </w:r>
          </w:p>
        </w:tc>
      </w:tr>
      <w:tr w:rsidR="00221EC0" w:rsidRPr="00A52AB8" w14:paraId="0746FE45" w14:textId="77777777" w:rsidTr="00A252B5">
        <w:trPr>
          <w:jc w:val="center"/>
        </w:trPr>
        <w:tc>
          <w:tcPr>
            <w:tcW w:w="7921" w:type="dxa"/>
          </w:tcPr>
          <w:p w14:paraId="7C1CC6EA" w14:textId="77777777" w:rsidR="00221EC0" w:rsidRPr="00A52AB8" w:rsidRDefault="00221EC0" w:rsidP="009C6742">
            <w:pPr>
              <w:spacing w:before="20" w:after="40" w:line="240" w:lineRule="auto"/>
              <w:rPr>
                <w:sz w:val="20"/>
                <w:szCs w:val="20"/>
              </w:rPr>
            </w:pPr>
            <w:r w:rsidRPr="00A52AB8">
              <w:rPr>
                <w:sz w:val="20"/>
                <w:szCs w:val="20"/>
              </w:rPr>
              <w:tab/>
            </w:r>
            <w:r w:rsidRPr="00A52AB8">
              <w:rPr>
                <w:sz w:val="20"/>
                <w:szCs w:val="20"/>
              </w:rPr>
              <w:tab/>
              <w:t>}</w:t>
            </w:r>
          </w:p>
        </w:tc>
        <w:tc>
          <w:tcPr>
            <w:tcW w:w="1253" w:type="dxa"/>
          </w:tcPr>
          <w:p w14:paraId="7707F4CB" w14:textId="77777777" w:rsidR="00221EC0" w:rsidRPr="00A52AB8" w:rsidRDefault="00221EC0" w:rsidP="009C6742">
            <w:pPr>
              <w:spacing w:before="20" w:after="40" w:line="240" w:lineRule="auto"/>
              <w:jc w:val="center"/>
              <w:rPr>
                <w:sz w:val="20"/>
                <w:szCs w:val="20"/>
              </w:rPr>
            </w:pPr>
          </w:p>
        </w:tc>
      </w:tr>
      <w:tr w:rsidR="00221EC0" w:rsidRPr="00A52AB8" w14:paraId="6C3BDD62" w14:textId="77777777" w:rsidTr="00A252B5">
        <w:trPr>
          <w:jc w:val="center"/>
        </w:trPr>
        <w:tc>
          <w:tcPr>
            <w:tcW w:w="7921" w:type="dxa"/>
          </w:tcPr>
          <w:p w14:paraId="49954D8B" w14:textId="77777777" w:rsidR="00221EC0" w:rsidRPr="00A52AB8" w:rsidRDefault="00221EC0" w:rsidP="009C6742">
            <w:pPr>
              <w:spacing w:before="20" w:after="40" w:line="240" w:lineRule="auto"/>
              <w:rPr>
                <w:b/>
                <w:bCs/>
                <w:sz w:val="20"/>
                <w:szCs w:val="20"/>
                <w:lang w:eastAsia="zh-CN"/>
              </w:rPr>
            </w:pPr>
            <w:r w:rsidRPr="00A52AB8">
              <w:rPr>
                <w:b/>
                <w:bCs/>
                <w:sz w:val="20"/>
                <w:szCs w:val="20"/>
                <w:lang w:eastAsia="zh-CN"/>
              </w:rPr>
              <w:tab/>
            </w:r>
            <w:r w:rsidRPr="00A52AB8">
              <w:rPr>
                <w:b/>
                <w:bCs/>
                <w:sz w:val="20"/>
                <w:szCs w:val="20"/>
                <w:lang w:eastAsia="zh-CN"/>
              </w:rPr>
              <w:tab/>
              <w:t>vcp_clipping_near_plane</w:t>
            </w:r>
          </w:p>
        </w:tc>
        <w:tc>
          <w:tcPr>
            <w:tcW w:w="1253" w:type="dxa"/>
          </w:tcPr>
          <w:p w14:paraId="7FCCBB56" w14:textId="77777777" w:rsidR="00221EC0" w:rsidRPr="00A52AB8" w:rsidRDefault="00221EC0" w:rsidP="009C6742">
            <w:pPr>
              <w:spacing w:before="20" w:after="40" w:line="240" w:lineRule="auto"/>
              <w:jc w:val="center"/>
              <w:rPr>
                <w:b/>
                <w:bCs/>
                <w:sz w:val="20"/>
                <w:szCs w:val="20"/>
                <w:lang w:eastAsia="zh-CN"/>
              </w:rPr>
            </w:pPr>
            <w:r w:rsidRPr="00A52AB8">
              <w:rPr>
                <w:sz w:val="20"/>
                <w:szCs w:val="20"/>
              </w:rPr>
              <w:t>fl(32)</w:t>
            </w:r>
          </w:p>
        </w:tc>
      </w:tr>
      <w:tr w:rsidR="00221EC0" w:rsidRPr="00A52AB8" w14:paraId="4B866F31" w14:textId="77777777" w:rsidTr="00A252B5">
        <w:trPr>
          <w:jc w:val="center"/>
        </w:trPr>
        <w:tc>
          <w:tcPr>
            <w:tcW w:w="7921" w:type="dxa"/>
          </w:tcPr>
          <w:p w14:paraId="4FA8DE47" w14:textId="77777777" w:rsidR="00221EC0" w:rsidRPr="00A52AB8" w:rsidRDefault="00221EC0" w:rsidP="009C6742">
            <w:pPr>
              <w:spacing w:before="20" w:after="40" w:line="240" w:lineRule="auto"/>
              <w:rPr>
                <w:b/>
                <w:bCs/>
                <w:sz w:val="20"/>
                <w:szCs w:val="20"/>
                <w:lang w:eastAsia="zh-CN"/>
              </w:rPr>
            </w:pPr>
            <w:r w:rsidRPr="00A52AB8">
              <w:rPr>
                <w:b/>
                <w:bCs/>
                <w:sz w:val="20"/>
                <w:szCs w:val="20"/>
                <w:lang w:eastAsia="zh-CN"/>
              </w:rPr>
              <w:tab/>
            </w:r>
            <w:r w:rsidRPr="00A52AB8">
              <w:rPr>
                <w:b/>
                <w:bCs/>
                <w:sz w:val="20"/>
                <w:szCs w:val="20"/>
                <w:lang w:eastAsia="zh-CN"/>
              </w:rPr>
              <w:tab/>
              <w:t>vcp_clipping_far_plane</w:t>
            </w:r>
          </w:p>
        </w:tc>
        <w:tc>
          <w:tcPr>
            <w:tcW w:w="1253" w:type="dxa"/>
          </w:tcPr>
          <w:p w14:paraId="1C64365E" w14:textId="77777777" w:rsidR="00221EC0" w:rsidRPr="00A52AB8" w:rsidRDefault="00221EC0" w:rsidP="009C6742">
            <w:pPr>
              <w:spacing w:before="20" w:after="40" w:line="240" w:lineRule="auto"/>
              <w:jc w:val="center"/>
              <w:rPr>
                <w:b/>
                <w:bCs/>
                <w:sz w:val="20"/>
                <w:szCs w:val="20"/>
                <w:lang w:eastAsia="zh-CN"/>
              </w:rPr>
            </w:pPr>
            <w:r w:rsidRPr="00A52AB8">
              <w:rPr>
                <w:sz w:val="20"/>
                <w:szCs w:val="20"/>
              </w:rPr>
              <w:t>fl(32)</w:t>
            </w:r>
          </w:p>
        </w:tc>
      </w:tr>
      <w:tr w:rsidR="00221EC0" w:rsidRPr="00A52AB8" w14:paraId="06BDE65C" w14:textId="77777777" w:rsidTr="00A252B5">
        <w:trPr>
          <w:jc w:val="center"/>
        </w:trPr>
        <w:tc>
          <w:tcPr>
            <w:tcW w:w="7921" w:type="dxa"/>
          </w:tcPr>
          <w:p w14:paraId="7F6489BB" w14:textId="77777777" w:rsidR="00221EC0" w:rsidRPr="00A52AB8" w:rsidRDefault="00221EC0" w:rsidP="009C6742">
            <w:pPr>
              <w:spacing w:before="20" w:after="40" w:line="240" w:lineRule="auto"/>
              <w:rPr>
                <w:sz w:val="20"/>
                <w:szCs w:val="20"/>
                <w:lang w:eastAsia="zh-CN"/>
              </w:rPr>
            </w:pPr>
            <w:r w:rsidRPr="00A52AB8">
              <w:rPr>
                <w:sz w:val="20"/>
                <w:szCs w:val="20"/>
                <w:lang w:eastAsia="zh-CN"/>
              </w:rPr>
              <w:tab/>
              <w:t>}</w:t>
            </w:r>
          </w:p>
        </w:tc>
        <w:tc>
          <w:tcPr>
            <w:tcW w:w="1253" w:type="dxa"/>
          </w:tcPr>
          <w:p w14:paraId="4F04D075" w14:textId="77777777" w:rsidR="00221EC0" w:rsidRPr="00A52AB8" w:rsidRDefault="00221EC0" w:rsidP="009C6742">
            <w:pPr>
              <w:spacing w:before="20" w:after="40" w:line="240" w:lineRule="auto"/>
              <w:jc w:val="center"/>
              <w:rPr>
                <w:sz w:val="20"/>
                <w:szCs w:val="20"/>
              </w:rPr>
            </w:pPr>
          </w:p>
        </w:tc>
      </w:tr>
      <w:tr w:rsidR="00221EC0" w:rsidRPr="00A52AB8" w14:paraId="2C0D96E1" w14:textId="77777777" w:rsidTr="00A252B5">
        <w:trPr>
          <w:jc w:val="center"/>
        </w:trPr>
        <w:tc>
          <w:tcPr>
            <w:tcW w:w="7921" w:type="dxa"/>
          </w:tcPr>
          <w:p w14:paraId="3E3B0055" w14:textId="77777777" w:rsidR="00221EC0" w:rsidRPr="00A52AB8" w:rsidRDefault="00221EC0" w:rsidP="009C6742">
            <w:pPr>
              <w:spacing w:before="20" w:after="40" w:line="240" w:lineRule="auto"/>
              <w:rPr>
                <w:sz w:val="20"/>
                <w:szCs w:val="20"/>
              </w:rPr>
            </w:pPr>
            <w:r w:rsidRPr="00A52AB8">
              <w:rPr>
                <w:sz w:val="20"/>
                <w:szCs w:val="20"/>
                <w:lang w:eastAsia="zh-CN"/>
              </w:rPr>
              <w:t>}</w:t>
            </w:r>
          </w:p>
        </w:tc>
        <w:tc>
          <w:tcPr>
            <w:tcW w:w="1253" w:type="dxa"/>
          </w:tcPr>
          <w:p w14:paraId="78889D75" w14:textId="77777777" w:rsidR="00221EC0" w:rsidRPr="00A52AB8" w:rsidRDefault="00221EC0" w:rsidP="009C6742">
            <w:pPr>
              <w:spacing w:before="20" w:after="40" w:line="240" w:lineRule="auto"/>
              <w:jc w:val="center"/>
              <w:rPr>
                <w:strike/>
                <w:sz w:val="20"/>
                <w:szCs w:val="20"/>
              </w:rPr>
            </w:pPr>
          </w:p>
        </w:tc>
      </w:tr>
    </w:tbl>
    <w:p w14:paraId="2061F581" w14:textId="77777777" w:rsidR="00221EC0" w:rsidRPr="00A52AB8" w:rsidRDefault="00221EC0" w:rsidP="009C6742">
      <w:pPr>
        <w:pStyle w:val="a4"/>
        <w:numPr>
          <w:ilvl w:val="3"/>
          <w:numId w:val="19"/>
        </w:numPr>
        <w:spacing w:line="240" w:lineRule="auto"/>
      </w:pPr>
      <w:r w:rsidRPr="00A52AB8">
        <w:t>Viewport position SEI messages syntax</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11"/>
        <w:gridCol w:w="1331"/>
      </w:tblGrid>
      <w:tr w:rsidR="00221EC0" w:rsidRPr="00A52AB8" w14:paraId="5F8222ED" w14:textId="77777777" w:rsidTr="00A252B5">
        <w:trPr>
          <w:jc w:val="center"/>
        </w:trPr>
        <w:tc>
          <w:tcPr>
            <w:tcW w:w="7921" w:type="dxa"/>
          </w:tcPr>
          <w:p w14:paraId="69141F71" w14:textId="22EB7D91" w:rsidR="00221EC0" w:rsidRPr="00A52AB8" w:rsidRDefault="00221EC0" w:rsidP="009C6742">
            <w:pPr>
              <w:pStyle w:val="tablesyntax"/>
              <w:keepNext w:val="0"/>
              <w:keepLines w:val="0"/>
              <w:spacing w:before="20" w:after="40"/>
              <w:jc w:val="both"/>
              <w:rPr>
                <w:rFonts w:ascii="Cambria" w:hAnsi="Cambria"/>
              </w:rPr>
            </w:pPr>
            <w:r w:rsidRPr="00A52AB8">
              <w:rPr>
                <w:rFonts w:ascii="Cambria" w:hAnsi="Cambria"/>
              </w:rPr>
              <w:t>viewport_position</w:t>
            </w:r>
            <w:r w:rsidRPr="00A52AB8">
              <w:rPr>
                <w:rFonts w:ascii="Cambria" w:hAnsi="Cambria"/>
                <w:lang w:eastAsia="zh-CN"/>
              </w:rPr>
              <w:t>( payloadSize </w:t>
            </w:r>
            <w:r w:rsidR="008F1F82" w:rsidRPr="00A52AB8">
              <w:rPr>
                <w:rFonts w:ascii="Cambria" w:hAnsi="Cambria"/>
                <w:lang w:eastAsia="zh-CN"/>
              </w:rPr>
              <w:t>) {</w:t>
            </w:r>
          </w:p>
        </w:tc>
        <w:tc>
          <w:tcPr>
            <w:tcW w:w="1253" w:type="dxa"/>
          </w:tcPr>
          <w:p w14:paraId="44071A20" w14:textId="77777777" w:rsidR="00221EC0" w:rsidRPr="00A52AB8" w:rsidRDefault="00221EC0" w:rsidP="009C6742">
            <w:pPr>
              <w:spacing w:before="20" w:after="40" w:line="240" w:lineRule="auto"/>
              <w:jc w:val="center"/>
              <w:rPr>
                <w:b/>
                <w:bCs/>
                <w:sz w:val="20"/>
                <w:szCs w:val="20"/>
              </w:rPr>
            </w:pPr>
            <w:r w:rsidRPr="00A52AB8">
              <w:rPr>
                <w:b/>
                <w:bCs/>
                <w:sz w:val="20"/>
                <w:szCs w:val="20"/>
                <w:lang w:eastAsia="zh-CN"/>
              </w:rPr>
              <w:t>Descriptor</w:t>
            </w:r>
          </w:p>
        </w:tc>
      </w:tr>
      <w:tr w:rsidR="00221EC0" w:rsidRPr="00A52AB8" w14:paraId="39BD97F3" w14:textId="77777777" w:rsidTr="00A252B5">
        <w:trPr>
          <w:jc w:val="center"/>
        </w:trPr>
        <w:tc>
          <w:tcPr>
            <w:tcW w:w="7921" w:type="dxa"/>
          </w:tcPr>
          <w:p w14:paraId="1E82CE1E" w14:textId="77777777" w:rsidR="00221EC0" w:rsidRPr="00A52AB8" w:rsidRDefault="00221EC0" w:rsidP="009C6742">
            <w:pPr>
              <w:spacing w:before="20" w:after="40" w:line="240" w:lineRule="auto"/>
              <w:rPr>
                <w:b/>
                <w:bCs/>
                <w:sz w:val="20"/>
                <w:szCs w:val="20"/>
                <w:lang w:eastAsia="zh-CN"/>
              </w:rPr>
            </w:pPr>
            <w:r w:rsidRPr="00A52AB8">
              <w:rPr>
                <w:b/>
                <w:bCs/>
                <w:sz w:val="20"/>
                <w:szCs w:val="20"/>
                <w:lang w:eastAsia="zh-CN"/>
              </w:rPr>
              <w:tab/>
            </w:r>
            <w:r w:rsidRPr="00A52AB8">
              <w:rPr>
                <w:b/>
                <w:sz w:val="20"/>
                <w:szCs w:val="20"/>
                <w:lang w:eastAsia="zh-CN"/>
              </w:rPr>
              <w:t>vp_viewport_id</w:t>
            </w:r>
          </w:p>
        </w:tc>
        <w:tc>
          <w:tcPr>
            <w:tcW w:w="1253" w:type="dxa"/>
          </w:tcPr>
          <w:p w14:paraId="1B2A1D95" w14:textId="77777777" w:rsidR="00221EC0" w:rsidRPr="00A52AB8" w:rsidRDefault="00F419F6" w:rsidP="009C6742">
            <w:pPr>
              <w:spacing w:before="20" w:after="40" w:line="240" w:lineRule="auto"/>
              <w:jc w:val="center"/>
              <w:rPr>
                <w:sz w:val="20"/>
                <w:szCs w:val="20"/>
                <w:lang w:eastAsia="zh-CN"/>
              </w:rPr>
            </w:pPr>
            <w:r w:rsidRPr="00A52AB8">
              <w:rPr>
                <w:sz w:val="20"/>
                <w:szCs w:val="20"/>
                <w:lang w:eastAsia="zh-CN"/>
              </w:rPr>
              <w:t>ue(v)</w:t>
            </w:r>
          </w:p>
        </w:tc>
      </w:tr>
      <w:tr w:rsidR="00221EC0" w:rsidRPr="00A52AB8" w14:paraId="46D1DA80" w14:textId="77777777" w:rsidTr="00A252B5">
        <w:trPr>
          <w:jc w:val="center"/>
        </w:trPr>
        <w:tc>
          <w:tcPr>
            <w:tcW w:w="7921" w:type="dxa"/>
          </w:tcPr>
          <w:p w14:paraId="397B0F4F" w14:textId="77777777" w:rsidR="00221EC0" w:rsidRPr="00A52AB8" w:rsidRDefault="00221EC0" w:rsidP="009C6742">
            <w:pPr>
              <w:spacing w:before="20" w:after="40" w:line="240" w:lineRule="auto"/>
              <w:rPr>
                <w:b/>
                <w:bCs/>
                <w:sz w:val="20"/>
                <w:szCs w:val="20"/>
                <w:lang w:eastAsia="zh-CN"/>
              </w:rPr>
            </w:pPr>
            <w:r w:rsidRPr="00A52AB8">
              <w:rPr>
                <w:b/>
                <w:bCs/>
                <w:sz w:val="20"/>
                <w:szCs w:val="20"/>
                <w:lang w:eastAsia="zh-CN"/>
              </w:rPr>
              <w:tab/>
              <w:t>vp_camera_parameters_present_flag</w:t>
            </w:r>
          </w:p>
        </w:tc>
        <w:tc>
          <w:tcPr>
            <w:tcW w:w="1253" w:type="dxa"/>
          </w:tcPr>
          <w:p w14:paraId="41070EDC" w14:textId="77777777" w:rsidR="00221EC0" w:rsidRPr="00A52AB8" w:rsidRDefault="00F419F6" w:rsidP="009C6742">
            <w:pPr>
              <w:spacing w:before="20" w:after="40" w:line="240" w:lineRule="auto"/>
              <w:jc w:val="center"/>
              <w:rPr>
                <w:sz w:val="20"/>
                <w:szCs w:val="20"/>
                <w:lang w:eastAsia="zh-CN"/>
              </w:rPr>
            </w:pPr>
            <w:r w:rsidRPr="00A52AB8">
              <w:rPr>
                <w:sz w:val="20"/>
                <w:szCs w:val="20"/>
                <w:lang w:eastAsia="zh-CN"/>
              </w:rPr>
              <w:t>u(1)</w:t>
            </w:r>
          </w:p>
        </w:tc>
      </w:tr>
      <w:tr w:rsidR="00221EC0" w:rsidRPr="00A52AB8" w14:paraId="174CA686" w14:textId="77777777" w:rsidTr="00A252B5">
        <w:trPr>
          <w:jc w:val="center"/>
        </w:trPr>
        <w:tc>
          <w:tcPr>
            <w:tcW w:w="7921" w:type="dxa"/>
          </w:tcPr>
          <w:p w14:paraId="7BB82C66" w14:textId="219A2558" w:rsidR="00221EC0" w:rsidRPr="00A52AB8" w:rsidRDefault="00221EC0" w:rsidP="009C6742">
            <w:pPr>
              <w:spacing w:before="20" w:after="40" w:line="240" w:lineRule="auto"/>
              <w:rPr>
                <w:sz w:val="20"/>
                <w:szCs w:val="20"/>
                <w:lang w:eastAsia="zh-CN"/>
              </w:rPr>
            </w:pPr>
            <w:r w:rsidRPr="00A52AB8">
              <w:rPr>
                <w:b/>
                <w:bCs/>
                <w:sz w:val="20"/>
                <w:szCs w:val="20"/>
                <w:lang w:eastAsia="zh-CN"/>
              </w:rPr>
              <w:tab/>
            </w:r>
            <w:r w:rsidR="00D63ACE" w:rsidRPr="00A52AB8">
              <w:rPr>
                <w:sz w:val="20"/>
                <w:szCs w:val="20"/>
                <w:lang w:eastAsia="zh-CN"/>
              </w:rPr>
              <w:t>if( </w:t>
            </w:r>
            <w:r w:rsidRPr="00A52AB8">
              <w:rPr>
                <w:sz w:val="20"/>
                <w:szCs w:val="20"/>
                <w:lang w:eastAsia="zh-CN"/>
              </w:rPr>
              <w:t>vp_camera_parameters_present_flag</w:t>
            </w:r>
            <w:r w:rsidR="00D63ACE" w:rsidRPr="00A52AB8">
              <w:rPr>
                <w:sz w:val="20"/>
                <w:szCs w:val="20"/>
                <w:lang w:eastAsia="zh-CN"/>
              </w:rPr>
              <w:t> </w:t>
            </w:r>
            <w:r w:rsidRPr="00A52AB8">
              <w:rPr>
                <w:sz w:val="20"/>
                <w:szCs w:val="20"/>
                <w:lang w:eastAsia="zh-CN"/>
              </w:rPr>
              <w:t>)</w:t>
            </w:r>
          </w:p>
        </w:tc>
        <w:tc>
          <w:tcPr>
            <w:tcW w:w="1253" w:type="dxa"/>
          </w:tcPr>
          <w:p w14:paraId="638C4554" w14:textId="77777777" w:rsidR="00221EC0" w:rsidRPr="00A52AB8" w:rsidRDefault="00221EC0" w:rsidP="009C6742">
            <w:pPr>
              <w:spacing w:before="20" w:after="40" w:line="240" w:lineRule="auto"/>
              <w:jc w:val="center"/>
              <w:rPr>
                <w:sz w:val="20"/>
                <w:szCs w:val="20"/>
                <w:lang w:eastAsia="zh-CN"/>
              </w:rPr>
            </w:pPr>
          </w:p>
        </w:tc>
      </w:tr>
      <w:tr w:rsidR="00221EC0" w:rsidRPr="00A52AB8" w14:paraId="55973F06" w14:textId="77777777" w:rsidTr="00A252B5">
        <w:trPr>
          <w:jc w:val="center"/>
        </w:trPr>
        <w:tc>
          <w:tcPr>
            <w:tcW w:w="7921" w:type="dxa"/>
          </w:tcPr>
          <w:p w14:paraId="729D1195" w14:textId="77777777" w:rsidR="00221EC0" w:rsidRPr="00A52AB8" w:rsidRDefault="00221EC0" w:rsidP="009C6742">
            <w:pPr>
              <w:spacing w:before="20" w:after="40" w:line="240" w:lineRule="auto"/>
              <w:rPr>
                <w:b/>
                <w:bCs/>
                <w:sz w:val="20"/>
                <w:szCs w:val="20"/>
                <w:lang w:eastAsia="zh-CN"/>
              </w:rPr>
            </w:pPr>
            <w:r w:rsidRPr="00A52AB8">
              <w:rPr>
                <w:b/>
                <w:bCs/>
                <w:sz w:val="20"/>
                <w:szCs w:val="20"/>
                <w:lang w:eastAsia="zh-CN"/>
              </w:rPr>
              <w:tab/>
            </w:r>
            <w:r w:rsidRPr="00A52AB8">
              <w:rPr>
                <w:b/>
                <w:bCs/>
                <w:sz w:val="20"/>
                <w:szCs w:val="20"/>
                <w:lang w:eastAsia="zh-CN"/>
              </w:rPr>
              <w:tab/>
              <w:t>vp_</w:t>
            </w:r>
            <w:r w:rsidRPr="00A52AB8">
              <w:rPr>
                <w:b/>
                <w:sz w:val="20"/>
                <w:szCs w:val="20"/>
                <w:lang w:eastAsia="zh-CN"/>
              </w:rPr>
              <w:t>vcp_camera_id</w:t>
            </w:r>
          </w:p>
        </w:tc>
        <w:tc>
          <w:tcPr>
            <w:tcW w:w="1253" w:type="dxa"/>
          </w:tcPr>
          <w:p w14:paraId="0EB87618" w14:textId="77777777" w:rsidR="00221EC0" w:rsidRPr="00A52AB8" w:rsidRDefault="00221EC0" w:rsidP="009C6742">
            <w:pPr>
              <w:spacing w:before="20" w:after="40" w:line="240" w:lineRule="auto"/>
              <w:jc w:val="center"/>
              <w:rPr>
                <w:sz w:val="20"/>
                <w:szCs w:val="20"/>
                <w:lang w:eastAsia="zh-CN"/>
              </w:rPr>
            </w:pPr>
            <w:r w:rsidRPr="00A52AB8">
              <w:rPr>
                <w:sz w:val="20"/>
                <w:szCs w:val="20"/>
                <w:lang w:eastAsia="zh-CN"/>
              </w:rPr>
              <w:t>u(10)</w:t>
            </w:r>
          </w:p>
        </w:tc>
      </w:tr>
      <w:tr w:rsidR="00221EC0" w:rsidRPr="00A52AB8" w14:paraId="4F2D36F2" w14:textId="77777777" w:rsidTr="00A252B5">
        <w:trPr>
          <w:jc w:val="center"/>
        </w:trPr>
        <w:tc>
          <w:tcPr>
            <w:tcW w:w="7921" w:type="dxa"/>
          </w:tcPr>
          <w:p w14:paraId="2659ADE3" w14:textId="77777777" w:rsidR="00221EC0" w:rsidRPr="00A52AB8" w:rsidRDefault="00221EC0" w:rsidP="009C6742">
            <w:pPr>
              <w:spacing w:before="20" w:after="40" w:line="240" w:lineRule="auto"/>
              <w:rPr>
                <w:sz w:val="20"/>
                <w:szCs w:val="20"/>
              </w:rPr>
            </w:pPr>
            <w:r w:rsidRPr="00A52AB8">
              <w:rPr>
                <w:sz w:val="20"/>
                <w:szCs w:val="20"/>
                <w:lang w:eastAsia="zh-CN"/>
              </w:rPr>
              <w:tab/>
            </w:r>
            <w:r w:rsidRPr="00A52AB8">
              <w:rPr>
                <w:b/>
                <w:sz w:val="20"/>
                <w:szCs w:val="20"/>
                <w:lang w:eastAsia="zh-CN"/>
              </w:rPr>
              <w:t>vp_</w:t>
            </w:r>
            <w:r w:rsidRPr="00A52AB8">
              <w:rPr>
                <w:b/>
                <w:bCs/>
                <w:sz w:val="20"/>
                <w:szCs w:val="20"/>
                <w:lang w:eastAsia="zh-CN"/>
              </w:rPr>
              <w:t>cancel_flag</w:t>
            </w:r>
          </w:p>
        </w:tc>
        <w:tc>
          <w:tcPr>
            <w:tcW w:w="1253" w:type="dxa"/>
          </w:tcPr>
          <w:p w14:paraId="597095BC" w14:textId="77777777" w:rsidR="00221EC0" w:rsidRPr="00A52AB8" w:rsidRDefault="00221EC0" w:rsidP="009C6742">
            <w:pPr>
              <w:spacing w:before="20" w:after="40" w:line="240" w:lineRule="auto"/>
              <w:jc w:val="center"/>
              <w:rPr>
                <w:sz w:val="20"/>
                <w:szCs w:val="20"/>
              </w:rPr>
            </w:pPr>
            <w:r w:rsidRPr="00A52AB8">
              <w:rPr>
                <w:bCs/>
                <w:sz w:val="20"/>
                <w:szCs w:val="20"/>
                <w:lang w:eastAsia="zh-CN"/>
              </w:rPr>
              <w:t>u(1)</w:t>
            </w:r>
          </w:p>
        </w:tc>
      </w:tr>
      <w:tr w:rsidR="00221EC0" w:rsidRPr="00A52AB8" w14:paraId="46617211" w14:textId="77777777" w:rsidTr="00A252B5">
        <w:trPr>
          <w:jc w:val="center"/>
        </w:trPr>
        <w:tc>
          <w:tcPr>
            <w:tcW w:w="7921" w:type="dxa"/>
          </w:tcPr>
          <w:p w14:paraId="14A1C01A" w14:textId="31975DD0" w:rsidR="00221EC0" w:rsidRPr="00A52AB8" w:rsidRDefault="00221EC0" w:rsidP="009C6742">
            <w:pPr>
              <w:spacing w:before="20" w:after="40" w:line="240" w:lineRule="auto"/>
              <w:rPr>
                <w:sz w:val="20"/>
                <w:szCs w:val="20"/>
              </w:rPr>
            </w:pPr>
            <w:r w:rsidRPr="00A52AB8">
              <w:rPr>
                <w:sz w:val="20"/>
                <w:szCs w:val="20"/>
                <w:lang w:eastAsia="zh-CN"/>
              </w:rPr>
              <w:tab/>
              <w:t>if( !</w:t>
            </w:r>
            <w:r w:rsidRPr="00A52AB8">
              <w:rPr>
                <w:b/>
                <w:sz w:val="20"/>
                <w:szCs w:val="20"/>
                <w:lang w:eastAsia="zh-CN"/>
              </w:rPr>
              <w:t xml:space="preserve"> </w:t>
            </w:r>
            <w:r w:rsidRPr="00A52AB8">
              <w:rPr>
                <w:bCs/>
                <w:sz w:val="20"/>
                <w:szCs w:val="20"/>
                <w:lang w:eastAsia="zh-CN"/>
              </w:rPr>
              <w:t>vp_</w:t>
            </w:r>
            <w:r w:rsidRPr="00A52AB8">
              <w:rPr>
                <w:sz w:val="20"/>
                <w:szCs w:val="20"/>
                <w:lang w:eastAsia="zh-CN"/>
              </w:rPr>
              <w:t>cancel_flag </w:t>
            </w:r>
            <w:r w:rsidR="008F1F82" w:rsidRPr="00A52AB8">
              <w:rPr>
                <w:sz w:val="20"/>
                <w:szCs w:val="20"/>
                <w:lang w:eastAsia="zh-CN"/>
              </w:rPr>
              <w:t>) {</w:t>
            </w:r>
          </w:p>
        </w:tc>
        <w:tc>
          <w:tcPr>
            <w:tcW w:w="1253" w:type="dxa"/>
          </w:tcPr>
          <w:p w14:paraId="1C536549" w14:textId="77777777" w:rsidR="00221EC0" w:rsidRPr="00A52AB8" w:rsidRDefault="00221EC0" w:rsidP="009C6742">
            <w:pPr>
              <w:spacing w:before="20" w:after="40" w:line="240" w:lineRule="auto"/>
              <w:jc w:val="center"/>
              <w:rPr>
                <w:sz w:val="20"/>
                <w:szCs w:val="20"/>
              </w:rPr>
            </w:pPr>
          </w:p>
        </w:tc>
      </w:tr>
      <w:tr w:rsidR="00221EC0" w:rsidRPr="00A52AB8" w14:paraId="4251AB41" w14:textId="77777777" w:rsidTr="00A252B5">
        <w:trPr>
          <w:jc w:val="center"/>
        </w:trPr>
        <w:tc>
          <w:tcPr>
            <w:tcW w:w="7921" w:type="dxa"/>
          </w:tcPr>
          <w:p w14:paraId="2361DA22" w14:textId="77777777" w:rsidR="00221EC0" w:rsidRPr="00A52AB8" w:rsidRDefault="00221EC0" w:rsidP="009C6742">
            <w:pPr>
              <w:spacing w:before="20" w:after="40" w:line="240" w:lineRule="auto"/>
              <w:rPr>
                <w:b/>
                <w:sz w:val="20"/>
                <w:szCs w:val="20"/>
              </w:rPr>
            </w:pPr>
            <w:r w:rsidRPr="00A52AB8">
              <w:rPr>
                <w:sz w:val="20"/>
                <w:szCs w:val="20"/>
                <w:lang w:eastAsia="zh-CN"/>
              </w:rPr>
              <w:tab/>
            </w:r>
            <w:r w:rsidRPr="00A52AB8">
              <w:rPr>
                <w:b/>
                <w:sz w:val="20"/>
                <w:szCs w:val="20"/>
                <w:lang w:eastAsia="zh-CN"/>
              </w:rPr>
              <w:tab/>
              <w:t>vp_</w:t>
            </w:r>
            <w:r w:rsidRPr="00A52AB8">
              <w:rPr>
                <w:b/>
                <w:bCs/>
                <w:sz w:val="20"/>
                <w:szCs w:val="20"/>
                <w:lang w:eastAsia="zh-CN"/>
              </w:rPr>
              <w:t>persistence_flag</w:t>
            </w:r>
          </w:p>
        </w:tc>
        <w:tc>
          <w:tcPr>
            <w:tcW w:w="1253" w:type="dxa"/>
          </w:tcPr>
          <w:p w14:paraId="7BFA09AA" w14:textId="77777777" w:rsidR="00221EC0" w:rsidRPr="00A52AB8" w:rsidRDefault="00221EC0" w:rsidP="009C6742">
            <w:pPr>
              <w:spacing w:before="20" w:after="40" w:line="240" w:lineRule="auto"/>
              <w:jc w:val="center"/>
              <w:rPr>
                <w:sz w:val="20"/>
                <w:szCs w:val="20"/>
              </w:rPr>
            </w:pPr>
            <w:r w:rsidRPr="00A52AB8">
              <w:rPr>
                <w:bCs/>
                <w:sz w:val="20"/>
                <w:szCs w:val="20"/>
                <w:lang w:eastAsia="zh-CN"/>
              </w:rPr>
              <w:t>u(1)</w:t>
            </w:r>
          </w:p>
        </w:tc>
      </w:tr>
      <w:tr w:rsidR="00221EC0" w:rsidRPr="00A52AB8" w14:paraId="0851C115" w14:textId="77777777" w:rsidTr="00A252B5">
        <w:trPr>
          <w:jc w:val="center"/>
        </w:trPr>
        <w:tc>
          <w:tcPr>
            <w:tcW w:w="7921" w:type="dxa"/>
          </w:tcPr>
          <w:p w14:paraId="5223B70D" w14:textId="126DB8B8" w:rsidR="00221EC0" w:rsidRPr="00A52AB8" w:rsidRDefault="00221EC0" w:rsidP="009C6742">
            <w:pPr>
              <w:spacing w:before="20" w:after="40" w:line="240" w:lineRule="auto"/>
              <w:rPr>
                <w:sz w:val="20"/>
                <w:szCs w:val="20"/>
                <w:lang w:eastAsia="zh-CN"/>
              </w:rPr>
            </w:pPr>
            <w:r w:rsidRPr="00A52AB8">
              <w:rPr>
                <w:b/>
                <w:bCs/>
                <w:sz w:val="20"/>
                <w:szCs w:val="20"/>
                <w:lang w:eastAsia="zh-CN"/>
              </w:rPr>
              <w:tab/>
            </w:r>
            <w:r w:rsidRPr="00A52AB8">
              <w:rPr>
                <w:b/>
                <w:bCs/>
                <w:sz w:val="20"/>
                <w:szCs w:val="20"/>
                <w:lang w:eastAsia="zh-CN"/>
              </w:rPr>
              <w:tab/>
            </w:r>
            <w:r w:rsidRPr="00A52AB8">
              <w:rPr>
                <w:sz w:val="20"/>
                <w:szCs w:val="20"/>
                <w:lang w:eastAsia="zh-CN"/>
              </w:rPr>
              <w:t>for( d</w:t>
            </w:r>
            <w:r w:rsidR="0023721F" w:rsidRPr="00A52AB8">
              <w:rPr>
                <w:sz w:val="20"/>
                <w:szCs w:val="20"/>
                <w:lang w:eastAsia="zh-CN"/>
              </w:rPr>
              <w:t> </w:t>
            </w:r>
            <w:r w:rsidR="00D47707" w:rsidRPr="00A52AB8">
              <w:rPr>
                <w:sz w:val="20"/>
                <w:szCs w:val="20"/>
                <w:lang w:eastAsia="zh-CN"/>
              </w:rPr>
              <w:t>= </w:t>
            </w:r>
            <w:r w:rsidRPr="00A52AB8">
              <w:rPr>
                <w:sz w:val="20"/>
                <w:szCs w:val="20"/>
                <w:lang w:eastAsia="zh-CN"/>
              </w:rPr>
              <w:t xml:space="preserve">0 ; d &lt; 3; d++) </w:t>
            </w:r>
          </w:p>
        </w:tc>
        <w:tc>
          <w:tcPr>
            <w:tcW w:w="1253" w:type="dxa"/>
          </w:tcPr>
          <w:p w14:paraId="3F3250C7" w14:textId="77777777" w:rsidR="00221EC0" w:rsidRPr="00A52AB8" w:rsidRDefault="00221EC0" w:rsidP="009C6742">
            <w:pPr>
              <w:spacing w:before="20" w:after="40" w:line="240" w:lineRule="auto"/>
              <w:jc w:val="center"/>
              <w:rPr>
                <w:rFonts w:eastAsia="Malgun Gothic"/>
                <w:bCs/>
                <w:sz w:val="20"/>
                <w:szCs w:val="20"/>
                <w:lang w:eastAsia="zh-CN"/>
              </w:rPr>
            </w:pPr>
          </w:p>
        </w:tc>
      </w:tr>
      <w:tr w:rsidR="00221EC0" w:rsidRPr="00A52AB8" w14:paraId="5C7325A5" w14:textId="77777777" w:rsidTr="00A252B5">
        <w:trPr>
          <w:jc w:val="center"/>
        </w:trPr>
        <w:tc>
          <w:tcPr>
            <w:tcW w:w="7921" w:type="dxa"/>
          </w:tcPr>
          <w:p w14:paraId="4368ED7D" w14:textId="77777777" w:rsidR="00221EC0" w:rsidRPr="00A52AB8" w:rsidRDefault="00221EC0" w:rsidP="009C6742">
            <w:pPr>
              <w:spacing w:before="20" w:after="40" w:line="240" w:lineRule="auto"/>
              <w:rPr>
                <w:sz w:val="20"/>
                <w:szCs w:val="20"/>
              </w:rPr>
            </w:pPr>
            <w:r w:rsidRPr="00A52AB8">
              <w:rPr>
                <w:b/>
                <w:bCs/>
                <w:sz w:val="20"/>
                <w:szCs w:val="20"/>
                <w:lang w:eastAsia="zh-CN"/>
              </w:rPr>
              <w:tab/>
            </w:r>
            <w:r w:rsidRPr="00A52AB8">
              <w:rPr>
                <w:sz w:val="20"/>
                <w:szCs w:val="20"/>
                <w:lang w:eastAsia="zh-CN"/>
              </w:rPr>
              <w:tab/>
            </w:r>
            <w:r w:rsidRPr="00A52AB8">
              <w:rPr>
                <w:sz w:val="20"/>
                <w:szCs w:val="20"/>
                <w:lang w:eastAsia="zh-CN"/>
              </w:rPr>
              <w:tab/>
            </w:r>
            <w:r w:rsidRPr="00A52AB8">
              <w:rPr>
                <w:b/>
                <w:sz w:val="20"/>
                <w:szCs w:val="20"/>
                <w:lang w:eastAsia="zh-CN"/>
              </w:rPr>
              <w:t>vp_position</w:t>
            </w:r>
            <w:r w:rsidRPr="00A52AB8">
              <w:rPr>
                <w:bCs/>
                <w:sz w:val="20"/>
                <w:szCs w:val="20"/>
                <w:lang w:eastAsia="zh-CN"/>
              </w:rPr>
              <w:t>[d]</w:t>
            </w:r>
          </w:p>
        </w:tc>
        <w:tc>
          <w:tcPr>
            <w:tcW w:w="1253" w:type="dxa"/>
          </w:tcPr>
          <w:p w14:paraId="2B6BAA5B" w14:textId="77777777" w:rsidR="00221EC0" w:rsidRPr="00A52AB8" w:rsidRDefault="00221EC0" w:rsidP="009C6742">
            <w:pPr>
              <w:spacing w:before="20" w:after="40" w:line="240" w:lineRule="auto"/>
              <w:jc w:val="center"/>
              <w:rPr>
                <w:strike/>
                <w:sz w:val="20"/>
                <w:szCs w:val="20"/>
              </w:rPr>
            </w:pPr>
            <w:r w:rsidRPr="00A52AB8">
              <w:rPr>
                <w:rFonts w:eastAsia="Malgun Gothic"/>
                <w:bCs/>
                <w:sz w:val="20"/>
                <w:szCs w:val="20"/>
                <w:lang w:eastAsia="zh-CN"/>
              </w:rPr>
              <w:t>fl(32)</w:t>
            </w:r>
          </w:p>
        </w:tc>
      </w:tr>
      <w:tr w:rsidR="00221EC0" w:rsidRPr="00A52AB8" w14:paraId="75AD91C2" w14:textId="77777777" w:rsidTr="00A252B5">
        <w:trPr>
          <w:jc w:val="center"/>
        </w:trPr>
        <w:tc>
          <w:tcPr>
            <w:tcW w:w="7921" w:type="dxa"/>
          </w:tcPr>
          <w:p w14:paraId="48781ACF" w14:textId="0DDD5B89" w:rsidR="00221EC0" w:rsidRPr="00A52AB8" w:rsidRDefault="00221EC0" w:rsidP="009C6742">
            <w:pPr>
              <w:spacing w:before="20" w:after="40" w:line="240" w:lineRule="auto"/>
              <w:rPr>
                <w:sz w:val="20"/>
                <w:szCs w:val="20"/>
              </w:rPr>
            </w:pPr>
            <w:r w:rsidRPr="00A52AB8">
              <w:rPr>
                <w:b/>
                <w:bCs/>
                <w:sz w:val="20"/>
                <w:szCs w:val="20"/>
                <w:lang w:eastAsia="zh-CN"/>
              </w:rPr>
              <w:tab/>
            </w:r>
            <w:r w:rsidRPr="00A52AB8">
              <w:rPr>
                <w:sz w:val="20"/>
                <w:szCs w:val="20"/>
                <w:lang w:eastAsia="zh-CN"/>
              </w:rPr>
              <w:tab/>
            </w:r>
            <w:r w:rsidR="000E034D" w:rsidRPr="00A52AB8">
              <w:rPr>
                <w:b/>
                <w:sz w:val="20"/>
                <w:szCs w:val="20"/>
                <w:lang w:eastAsia="zh-CN"/>
              </w:rPr>
              <w:t>vp_rotation_qx</w:t>
            </w:r>
          </w:p>
        </w:tc>
        <w:tc>
          <w:tcPr>
            <w:tcW w:w="1253" w:type="dxa"/>
          </w:tcPr>
          <w:p w14:paraId="42A9584E" w14:textId="1A4A9486" w:rsidR="00221EC0" w:rsidRPr="00A52AB8" w:rsidRDefault="005713D3" w:rsidP="009C6742">
            <w:pPr>
              <w:spacing w:before="20" w:after="40" w:line="240" w:lineRule="auto"/>
              <w:jc w:val="center"/>
              <w:rPr>
                <w:strike/>
                <w:sz w:val="20"/>
                <w:szCs w:val="20"/>
              </w:rPr>
            </w:pPr>
            <w:r w:rsidRPr="00A52AB8">
              <w:rPr>
                <w:rFonts w:eastAsia="Malgun Gothic"/>
                <w:bCs/>
                <w:sz w:val="20"/>
                <w:szCs w:val="20"/>
                <w:lang w:eastAsia="zh-CN"/>
              </w:rPr>
              <w:t>i</w:t>
            </w:r>
            <w:r w:rsidR="00221EC0" w:rsidRPr="00A52AB8">
              <w:rPr>
                <w:rFonts w:eastAsia="Malgun Gothic"/>
                <w:bCs/>
                <w:sz w:val="20"/>
                <w:szCs w:val="20"/>
                <w:lang w:eastAsia="zh-CN"/>
              </w:rPr>
              <w:t>(</w:t>
            </w:r>
            <w:r w:rsidR="0071161B" w:rsidRPr="00A52AB8">
              <w:rPr>
                <w:rFonts w:eastAsia="Malgun Gothic"/>
                <w:bCs/>
                <w:sz w:val="20"/>
                <w:szCs w:val="20"/>
                <w:lang w:eastAsia="zh-CN"/>
              </w:rPr>
              <w:t>16</w:t>
            </w:r>
            <w:r w:rsidR="00221EC0" w:rsidRPr="00A52AB8">
              <w:rPr>
                <w:rFonts w:eastAsia="Malgun Gothic"/>
                <w:bCs/>
                <w:sz w:val="20"/>
                <w:szCs w:val="20"/>
                <w:lang w:eastAsia="zh-CN"/>
              </w:rPr>
              <w:t>)</w:t>
            </w:r>
          </w:p>
        </w:tc>
      </w:tr>
      <w:tr w:rsidR="00221EC0" w:rsidRPr="00A52AB8" w14:paraId="4561D865" w14:textId="77777777" w:rsidTr="00A252B5">
        <w:trPr>
          <w:jc w:val="center"/>
        </w:trPr>
        <w:tc>
          <w:tcPr>
            <w:tcW w:w="7921" w:type="dxa"/>
          </w:tcPr>
          <w:p w14:paraId="1EBDAF1F" w14:textId="7754CDA0" w:rsidR="00221EC0" w:rsidRPr="00A52AB8" w:rsidRDefault="00221EC0" w:rsidP="009C6742">
            <w:pPr>
              <w:spacing w:before="20" w:after="40" w:line="240" w:lineRule="auto"/>
              <w:rPr>
                <w:sz w:val="20"/>
                <w:szCs w:val="20"/>
              </w:rPr>
            </w:pPr>
            <w:r w:rsidRPr="00A52AB8">
              <w:rPr>
                <w:b/>
                <w:bCs/>
                <w:sz w:val="20"/>
                <w:szCs w:val="20"/>
                <w:lang w:eastAsia="zh-CN"/>
              </w:rPr>
              <w:tab/>
            </w:r>
            <w:r w:rsidRPr="00A52AB8">
              <w:rPr>
                <w:b/>
                <w:bCs/>
                <w:sz w:val="20"/>
                <w:szCs w:val="20"/>
                <w:lang w:eastAsia="zh-CN"/>
              </w:rPr>
              <w:tab/>
            </w:r>
            <w:r w:rsidR="000E034D" w:rsidRPr="00A52AB8">
              <w:rPr>
                <w:b/>
                <w:sz w:val="20"/>
                <w:szCs w:val="20"/>
                <w:lang w:eastAsia="zh-CN"/>
              </w:rPr>
              <w:t>vp_rotation_qy</w:t>
            </w:r>
          </w:p>
        </w:tc>
        <w:tc>
          <w:tcPr>
            <w:tcW w:w="1253" w:type="dxa"/>
          </w:tcPr>
          <w:p w14:paraId="6DF4049C" w14:textId="352A8856" w:rsidR="00221EC0" w:rsidRPr="00A52AB8" w:rsidRDefault="005713D3" w:rsidP="009C6742">
            <w:pPr>
              <w:spacing w:before="20" w:after="40" w:line="240" w:lineRule="auto"/>
              <w:jc w:val="center"/>
              <w:rPr>
                <w:strike/>
                <w:sz w:val="20"/>
                <w:szCs w:val="20"/>
              </w:rPr>
            </w:pPr>
            <w:r w:rsidRPr="00A52AB8">
              <w:rPr>
                <w:rFonts w:eastAsia="Malgun Gothic"/>
                <w:bCs/>
                <w:sz w:val="20"/>
                <w:szCs w:val="20"/>
                <w:lang w:eastAsia="zh-CN"/>
              </w:rPr>
              <w:t>i</w:t>
            </w:r>
            <w:r w:rsidR="00221EC0" w:rsidRPr="00A52AB8">
              <w:rPr>
                <w:rFonts w:eastAsia="Malgun Gothic"/>
                <w:bCs/>
                <w:sz w:val="20"/>
                <w:szCs w:val="20"/>
                <w:lang w:eastAsia="zh-CN"/>
              </w:rPr>
              <w:t>(</w:t>
            </w:r>
            <w:r w:rsidR="0071161B" w:rsidRPr="00A52AB8">
              <w:rPr>
                <w:rFonts w:eastAsia="Malgun Gothic"/>
                <w:bCs/>
                <w:sz w:val="20"/>
                <w:szCs w:val="20"/>
                <w:lang w:eastAsia="zh-CN"/>
              </w:rPr>
              <w:t>16</w:t>
            </w:r>
            <w:r w:rsidR="00221EC0" w:rsidRPr="00A52AB8">
              <w:rPr>
                <w:rFonts w:eastAsia="Malgun Gothic"/>
                <w:bCs/>
                <w:sz w:val="20"/>
                <w:szCs w:val="20"/>
                <w:lang w:eastAsia="zh-CN"/>
              </w:rPr>
              <w:t>)</w:t>
            </w:r>
          </w:p>
        </w:tc>
      </w:tr>
      <w:tr w:rsidR="00221EC0" w:rsidRPr="00A52AB8" w14:paraId="0B94F14A" w14:textId="77777777" w:rsidTr="00A252B5">
        <w:trPr>
          <w:jc w:val="center"/>
        </w:trPr>
        <w:tc>
          <w:tcPr>
            <w:tcW w:w="7921" w:type="dxa"/>
          </w:tcPr>
          <w:p w14:paraId="55B7811E" w14:textId="3BBD0A08" w:rsidR="00221EC0" w:rsidRPr="00A52AB8" w:rsidRDefault="00221EC0" w:rsidP="009C6742">
            <w:pPr>
              <w:spacing w:before="20" w:after="40" w:line="240" w:lineRule="auto"/>
              <w:rPr>
                <w:sz w:val="20"/>
                <w:szCs w:val="20"/>
              </w:rPr>
            </w:pPr>
            <w:r w:rsidRPr="00A52AB8">
              <w:rPr>
                <w:b/>
                <w:bCs/>
                <w:sz w:val="20"/>
                <w:szCs w:val="20"/>
                <w:lang w:eastAsia="zh-CN"/>
              </w:rPr>
              <w:tab/>
            </w:r>
            <w:r w:rsidRPr="00A52AB8">
              <w:rPr>
                <w:b/>
                <w:bCs/>
                <w:sz w:val="20"/>
                <w:szCs w:val="20"/>
                <w:lang w:eastAsia="zh-CN"/>
              </w:rPr>
              <w:tab/>
            </w:r>
            <w:r w:rsidR="000E034D" w:rsidRPr="00A52AB8">
              <w:rPr>
                <w:b/>
                <w:sz w:val="20"/>
                <w:szCs w:val="20"/>
                <w:lang w:eastAsia="zh-CN"/>
              </w:rPr>
              <w:t>vp_rotation_qz</w:t>
            </w:r>
          </w:p>
        </w:tc>
        <w:tc>
          <w:tcPr>
            <w:tcW w:w="1253" w:type="dxa"/>
          </w:tcPr>
          <w:p w14:paraId="7BE14159" w14:textId="7416D8D4" w:rsidR="00221EC0" w:rsidRPr="00A52AB8" w:rsidRDefault="005713D3" w:rsidP="009C6742">
            <w:pPr>
              <w:spacing w:before="20" w:after="40" w:line="240" w:lineRule="auto"/>
              <w:jc w:val="center"/>
              <w:rPr>
                <w:strike/>
                <w:sz w:val="20"/>
                <w:szCs w:val="20"/>
              </w:rPr>
            </w:pPr>
            <w:r w:rsidRPr="00A52AB8">
              <w:rPr>
                <w:rFonts w:eastAsia="Malgun Gothic"/>
                <w:bCs/>
                <w:sz w:val="20"/>
                <w:szCs w:val="20"/>
                <w:lang w:eastAsia="zh-CN"/>
              </w:rPr>
              <w:t>i</w:t>
            </w:r>
            <w:r w:rsidR="00221EC0" w:rsidRPr="00A52AB8">
              <w:rPr>
                <w:rFonts w:eastAsia="Malgun Gothic"/>
                <w:bCs/>
                <w:sz w:val="20"/>
                <w:szCs w:val="20"/>
                <w:lang w:eastAsia="zh-CN"/>
              </w:rPr>
              <w:t>(</w:t>
            </w:r>
            <w:r w:rsidR="0071161B" w:rsidRPr="00A52AB8">
              <w:rPr>
                <w:rFonts w:eastAsia="Malgun Gothic"/>
                <w:bCs/>
                <w:sz w:val="20"/>
                <w:szCs w:val="20"/>
                <w:lang w:eastAsia="zh-CN"/>
              </w:rPr>
              <w:t>16</w:t>
            </w:r>
            <w:r w:rsidR="00221EC0" w:rsidRPr="00A52AB8">
              <w:rPr>
                <w:rFonts w:eastAsia="Malgun Gothic"/>
                <w:bCs/>
                <w:sz w:val="20"/>
                <w:szCs w:val="20"/>
                <w:lang w:eastAsia="zh-CN"/>
              </w:rPr>
              <w:t>)</w:t>
            </w:r>
          </w:p>
        </w:tc>
      </w:tr>
      <w:tr w:rsidR="00221EC0" w:rsidRPr="00A52AB8" w14:paraId="1F990916" w14:textId="77777777" w:rsidTr="00A252B5">
        <w:trPr>
          <w:jc w:val="center"/>
        </w:trPr>
        <w:tc>
          <w:tcPr>
            <w:tcW w:w="7921" w:type="dxa"/>
          </w:tcPr>
          <w:p w14:paraId="6BF96465" w14:textId="77777777" w:rsidR="00221EC0" w:rsidRPr="00A52AB8" w:rsidRDefault="00221EC0" w:rsidP="009C6742">
            <w:pPr>
              <w:spacing w:before="20" w:after="40" w:line="240" w:lineRule="auto"/>
              <w:rPr>
                <w:strike/>
                <w:sz w:val="20"/>
                <w:szCs w:val="20"/>
              </w:rPr>
            </w:pPr>
            <w:r w:rsidRPr="00A52AB8">
              <w:rPr>
                <w:sz w:val="20"/>
                <w:szCs w:val="20"/>
                <w:lang w:eastAsia="zh-CN"/>
              </w:rPr>
              <w:tab/>
            </w:r>
            <w:r w:rsidRPr="00A52AB8">
              <w:rPr>
                <w:sz w:val="20"/>
                <w:szCs w:val="20"/>
                <w:lang w:eastAsia="zh-CN"/>
              </w:rPr>
              <w:tab/>
            </w:r>
            <w:r w:rsidRPr="00A52AB8">
              <w:rPr>
                <w:b/>
                <w:sz w:val="20"/>
                <w:szCs w:val="20"/>
                <w:lang w:eastAsia="zh-CN"/>
              </w:rPr>
              <w:t>vp_</w:t>
            </w:r>
            <w:r w:rsidRPr="00A52AB8">
              <w:rPr>
                <w:b/>
                <w:bCs/>
                <w:sz w:val="20"/>
                <w:szCs w:val="20"/>
                <w:lang w:eastAsia="zh-CN"/>
              </w:rPr>
              <w:t>center_view_flag</w:t>
            </w:r>
          </w:p>
        </w:tc>
        <w:tc>
          <w:tcPr>
            <w:tcW w:w="1253" w:type="dxa"/>
          </w:tcPr>
          <w:p w14:paraId="598D5F97" w14:textId="77777777" w:rsidR="00221EC0" w:rsidRPr="00A52AB8" w:rsidRDefault="00221EC0" w:rsidP="009C6742">
            <w:pPr>
              <w:spacing w:before="20" w:after="40" w:line="240" w:lineRule="auto"/>
              <w:jc w:val="center"/>
              <w:rPr>
                <w:strike/>
                <w:sz w:val="20"/>
                <w:szCs w:val="20"/>
              </w:rPr>
            </w:pPr>
            <w:r w:rsidRPr="00A52AB8">
              <w:rPr>
                <w:bCs/>
                <w:sz w:val="20"/>
                <w:szCs w:val="20"/>
                <w:lang w:eastAsia="zh-CN"/>
              </w:rPr>
              <w:t>u(1)</w:t>
            </w:r>
          </w:p>
        </w:tc>
      </w:tr>
      <w:tr w:rsidR="00221EC0" w:rsidRPr="00A52AB8" w14:paraId="6162DEE5" w14:textId="77777777" w:rsidTr="00A252B5">
        <w:trPr>
          <w:jc w:val="center"/>
        </w:trPr>
        <w:tc>
          <w:tcPr>
            <w:tcW w:w="7921" w:type="dxa"/>
          </w:tcPr>
          <w:p w14:paraId="4CFE53AE" w14:textId="77777777" w:rsidR="00221EC0" w:rsidRPr="00A52AB8" w:rsidRDefault="00221EC0" w:rsidP="009C6742">
            <w:pPr>
              <w:spacing w:before="20" w:after="40" w:line="240" w:lineRule="auto"/>
              <w:rPr>
                <w:sz w:val="20"/>
                <w:szCs w:val="20"/>
              </w:rPr>
            </w:pPr>
            <w:r w:rsidRPr="00A52AB8">
              <w:rPr>
                <w:sz w:val="20"/>
                <w:szCs w:val="20"/>
                <w:lang w:eastAsia="zh-CN"/>
              </w:rPr>
              <w:tab/>
            </w:r>
            <w:r w:rsidRPr="00A52AB8">
              <w:rPr>
                <w:sz w:val="20"/>
                <w:szCs w:val="20"/>
                <w:lang w:eastAsia="zh-CN"/>
              </w:rPr>
              <w:tab/>
              <w:t>if( !</w:t>
            </w:r>
            <w:r w:rsidRPr="00A52AB8">
              <w:rPr>
                <w:b/>
                <w:sz w:val="20"/>
                <w:szCs w:val="20"/>
                <w:lang w:eastAsia="zh-CN"/>
              </w:rPr>
              <w:t xml:space="preserve"> </w:t>
            </w:r>
            <w:r w:rsidRPr="00A52AB8">
              <w:rPr>
                <w:bCs/>
                <w:sz w:val="20"/>
                <w:szCs w:val="20"/>
                <w:lang w:eastAsia="zh-CN"/>
              </w:rPr>
              <w:t>vp_center_view_flag )</w:t>
            </w:r>
          </w:p>
        </w:tc>
        <w:tc>
          <w:tcPr>
            <w:tcW w:w="1253" w:type="dxa"/>
          </w:tcPr>
          <w:p w14:paraId="53DD0703" w14:textId="77777777" w:rsidR="00221EC0" w:rsidRPr="00A52AB8" w:rsidRDefault="00221EC0" w:rsidP="009C6742">
            <w:pPr>
              <w:spacing w:before="20" w:after="40" w:line="240" w:lineRule="auto"/>
              <w:jc w:val="center"/>
              <w:rPr>
                <w:strike/>
                <w:sz w:val="20"/>
                <w:szCs w:val="20"/>
              </w:rPr>
            </w:pPr>
          </w:p>
        </w:tc>
      </w:tr>
      <w:tr w:rsidR="00221EC0" w:rsidRPr="00A52AB8" w14:paraId="49B0861B" w14:textId="77777777" w:rsidTr="00A252B5">
        <w:trPr>
          <w:jc w:val="center"/>
        </w:trPr>
        <w:tc>
          <w:tcPr>
            <w:tcW w:w="7921" w:type="dxa"/>
          </w:tcPr>
          <w:p w14:paraId="290DEB1B" w14:textId="77777777" w:rsidR="00221EC0" w:rsidRPr="00A52AB8" w:rsidRDefault="00221EC0" w:rsidP="009C6742">
            <w:pPr>
              <w:spacing w:before="20" w:after="40" w:line="240" w:lineRule="auto"/>
              <w:rPr>
                <w:sz w:val="20"/>
                <w:szCs w:val="20"/>
              </w:rPr>
            </w:pPr>
            <w:r w:rsidRPr="00A52AB8">
              <w:rPr>
                <w:sz w:val="20"/>
                <w:szCs w:val="20"/>
                <w:lang w:eastAsia="zh-CN"/>
              </w:rPr>
              <w:tab/>
            </w:r>
            <w:r w:rsidRPr="00A52AB8">
              <w:rPr>
                <w:sz w:val="20"/>
                <w:szCs w:val="20"/>
                <w:lang w:eastAsia="zh-CN"/>
              </w:rPr>
              <w:tab/>
            </w:r>
            <w:r w:rsidRPr="00A52AB8">
              <w:rPr>
                <w:sz w:val="20"/>
                <w:szCs w:val="20"/>
                <w:lang w:eastAsia="zh-CN"/>
              </w:rPr>
              <w:tab/>
            </w:r>
            <w:r w:rsidRPr="00A52AB8">
              <w:rPr>
                <w:b/>
                <w:sz w:val="20"/>
                <w:szCs w:val="20"/>
                <w:lang w:eastAsia="zh-CN"/>
              </w:rPr>
              <w:t>vp_</w:t>
            </w:r>
            <w:r w:rsidRPr="00A52AB8">
              <w:rPr>
                <w:b/>
                <w:bCs/>
                <w:sz w:val="20"/>
                <w:szCs w:val="20"/>
                <w:lang w:eastAsia="zh-CN"/>
              </w:rPr>
              <w:t>left_view_flag</w:t>
            </w:r>
          </w:p>
        </w:tc>
        <w:tc>
          <w:tcPr>
            <w:tcW w:w="1253" w:type="dxa"/>
          </w:tcPr>
          <w:p w14:paraId="16014493" w14:textId="77777777" w:rsidR="00221EC0" w:rsidRPr="00A52AB8" w:rsidRDefault="00221EC0" w:rsidP="009C6742">
            <w:pPr>
              <w:spacing w:before="20" w:after="40" w:line="240" w:lineRule="auto"/>
              <w:jc w:val="center"/>
              <w:rPr>
                <w:strike/>
                <w:sz w:val="20"/>
                <w:szCs w:val="20"/>
              </w:rPr>
            </w:pPr>
            <w:r w:rsidRPr="00A52AB8">
              <w:rPr>
                <w:bCs/>
                <w:sz w:val="20"/>
                <w:szCs w:val="20"/>
                <w:lang w:eastAsia="zh-CN"/>
              </w:rPr>
              <w:t>u(1)</w:t>
            </w:r>
          </w:p>
        </w:tc>
      </w:tr>
      <w:tr w:rsidR="00221EC0" w:rsidRPr="00A52AB8" w14:paraId="0B1B4CDB" w14:textId="77777777" w:rsidTr="00A252B5">
        <w:trPr>
          <w:jc w:val="center"/>
        </w:trPr>
        <w:tc>
          <w:tcPr>
            <w:tcW w:w="7921" w:type="dxa"/>
          </w:tcPr>
          <w:p w14:paraId="14159752" w14:textId="77777777" w:rsidR="00221EC0" w:rsidRPr="00A52AB8" w:rsidRDefault="00221EC0" w:rsidP="009C6742">
            <w:pPr>
              <w:spacing w:before="20" w:after="40" w:line="240" w:lineRule="auto"/>
              <w:rPr>
                <w:sz w:val="20"/>
                <w:szCs w:val="20"/>
              </w:rPr>
            </w:pPr>
            <w:r w:rsidRPr="00A52AB8">
              <w:rPr>
                <w:sz w:val="20"/>
                <w:szCs w:val="20"/>
                <w:lang w:eastAsia="zh-CN"/>
              </w:rPr>
              <w:tab/>
              <w:t>}</w:t>
            </w:r>
          </w:p>
        </w:tc>
        <w:tc>
          <w:tcPr>
            <w:tcW w:w="1253" w:type="dxa"/>
          </w:tcPr>
          <w:p w14:paraId="1B5AF2A4" w14:textId="77777777" w:rsidR="00221EC0" w:rsidRPr="00A52AB8" w:rsidRDefault="00221EC0" w:rsidP="009C6742">
            <w:pPr>
              <w:spacing w:before="20" w:after="40" w:line="240" w:lineRule="auto"/>
              <w:jc w:val="center"/>
              <w:rPr>
                <w:strike/>
                <w:sz w:val="20"/>
                <w:szCs w:val="20"/>
              </w:rPr>
            </w:pPr>
          </w:p>
        </w:tc>
      </w:tr>
      <w:tr w:rsidR="00221EC0" w:rsidRPr="00A52AB8" w14:paraId="2A2A5C1A" w14:textId="77777777" w:rsidTr="00A252B5">
        <w:trPr>
          <w:jc w:val="center"/>
        </w:trPr>
        <w:tc>
          <w:tcPr>
            <w:tcW w:w="7921" w:type="dxa"/>
          </w:tcPr>
          <w:p w14:paraId="316027C7" w14:textId="77777777" w:rsidR="00221EC0" w:rsidRPr="00A52AB8" w:rsidRDefault="00221EC0" w:rsidP="009C6742">
            <w:pPr>
              <w:spacing w:before="20" w:after="40" w:line="240" w:lineRule="auto"/>
              <w:rPr>
                <w:sz w:val="20"/>
                <w:szCs w:val="20"/>
              </w:rPr>
            </w:pPr>
            <w:r w:rsidRPr="00A52AB8">
              <w:rPr>
                <w:sz w:val="20"/>
                <w:szCs w:val="20"/>
                <w:lang w:eastAsia="zh-CN"/>
              </w:rPr>
              <w:t>}</w:t>
            </w:r>
          </w:p>
        </w:tc>
        <w:tc>
          <w:tcPr>
            <w:tcW w:w="1253" w:type="dxa"/>
          </w:tcPr>
          <w:p w14:paraId="50E2DC4D" w14:textId="77777777" w:rsidR="00221EC0" w:rsidRPr="00A52AB8" w:rsidRDefault="00221EC0" w:rsidP="009C6742">
            <w:pPr>
              <w:spacing w:before="20" w:after="40" w:line="240" w:lineRule="auto"/>
              <w:jc w:val="center"/>
              <w:rPr>
                <w:strike/>
                <w:sz w:val="20"/>
                <w:szCs w:val="20"/>
              </w:rPr>
            </w:pPr>
          </w:p>
        </w:tc>
      </w:tr>
    </w:tbl>
    <w:p w14:paraId="6F459D41" w14:textId="36A424C4" w:rsidR="00E83E2E" w:rsidRPr="00A52AB8" w:rsidRDefault="007E67DD" w:rsidP="009C6742">
      <w:pPr>
        <w:pStyle w:val="a3"/>
        <w:numPr>
          <w:ilvl w:val="2"/>
          <w:numId w:val="19"/>
        </w:numPr>
        <w:tabs>
          <w:tab w:val="clear" w:pos="403"/>
        </w:tabs>
        <w:spacing w:line="240" w:lineRule="auto"/>
      </w:pPr>
      <w:bookmarkStart w:id="5408" w:name="_Ref49349624"/>
      <w:bookmarkStart w:id="5409" w:name="_Toc52181724"/>
      <w:r w:rsidRPr="00A52AB8">
        <w:t>Decoded Atlas Information Hash SEI message syntax</w:t>
      </w:r>
      <w:bookmarkEnd w:id="5408"/>
      <w:bookmarkEnd w:id="5409"/>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11"/>
        <w:gridCol w:w="1331"/>
      </w:tblGrid>
      <w:tr w:rsidR="00214D0F" w:rsidRPr="00A52AB8" w14:paraId="6A077539" w14:textId="77777777" w:rsidTr="00D8175C">
        <w:trPr>
          <w:cantSplit/>
          <w:jc w:val="center"/>
        </w:trPr>
        <w:tc>
          <w:tcPr>
            <w:tcW w:w="8411" w:type="dxa"/>
            <w:tcBorders>
              <w:top w:val="single" w:sz="4" w:space="0" w:color="auto"/>
              <w:left w:val="single" w:sz="4" w:space="0" w:color="auto"/>
              <w:bottom w:val="single" w:sz="4" w:space="0" w:color="auto"/>
              <w:right w:val="single" w:sz="4" w:space="0" w:color="auto"/>
            </w:tcBorders>
            <w:hideMark/>
          </w:tcPr>
          <w:p w14:paraId="5CAEABEA" w14:textId="16541B2D" w:rsidR="00214D0F" w:rsidRPr="00A52AB8" w:rsidRDefault="00214D0F" w:rsidP="009C6742">
            <w:pPr>
              <w:pStyle w:val="tablesyntax"/>
              <w:keepNext w:val="0"/>
              <w:keepLines w:val="0"/>
              <w:spacing w:before="20" w:after="40"/>
              <w:rPr>
                <w:rFonts w:ascii="Cambria" w:hAnsi="Cambria"/>
              </w:rPr>
            </w:pPr>
            <w:bookmarkStart w:id="5410" w:name="_Hlk44505403"/>
            <w:r w:rsidRPr="00A52AB8">
              <w:rPr>
                <w:rFonts w:ascii="Cambria" w:hAnsi="Cambria"/>
              </w:rPr>
              <w:t>decoded_atlas_information_hash( payloadSize </w:t>
            </w:r>
            <w:r w:rsidR="008F1F82" w:rsidRPr="00A52AB8">
              <w:rPr>
                <w:rFonts w:ascii="Cambria" w:hAnsi="Cambria"/>
              </w:rPr>
              <w:t>) {</w:t>
            </w:r>
          </w:p>
        </w:tc>
        <w:tc>
          <w:tcPr>
            <w:tcW w:w="1331" w:type="dxa"/>
            <w:tcBorders>
              <w:top w:val="single" w:sz="4" w:space="0" w:color="auto"/>
              <w:left w:val="single" w:sz="4" w:space="0" w:color="auto"/>
              <w:bottom w:val="single" w:sz="4" w:space="0" w:color="auto"/>
              <w:right w:val="single" w:sz="4" w:space="0" w:color="auto"/>
            </w:tcBorders>
            <w:hideMark/>
          </w:tcPr>
          <w:p w14:paraId="34062007" w14:textId="77777777" w:rsidR="00214D0F" w:rsidRPr="00A52AB8" w:rsidRDefault="00214D0F" w:rsidP="009C6742">
            <w:pPr>
              <w:pStyle w:val="tableheading"/>
              <w:keepNext w:val="0"/>
              <w:keepLines w:val="0"/>
              <w:spacing w:before="20" w:after="40"/>
              <w:jc w:val="center"/>
              <w:rPr>
                <w:rFonts w:ascii="Cambria" w:hAnsi="Cambria"/>
                <w:b w:val="0"/>
              </w:rPr>
            </w:pPr>
            <w:r w:rsidRPr="00A52AB8">
              <w:rPr>
                <w:rFonts w:ascii="Cambria" w:hAnsi="Cambria"/>
              </w:rPr>
              <w:t>Descriptor</w:t>
            </w:r>
          </w:p>
        </w:tc>
      </w:tr>
      <w:tr w:rsidR="00214D0F" w:rsidRPr="00A52AB8" w14:paraId="30D1AD15" w14:textId="77777777" w:rsidTr="00D8175C">
        <w:trPr>
          <w:cantSplit/>
          <w:jc w:val="center"/>
        </w:trPr>
        <w:tc>
          <w:tcPr>
            <w:tcW w:w="8411" w:type="dxa"/>
            <w:tcBorders>
              <w:top w:val="single" w:sz="4" w:space="0" w:color="auto"/>
              <w:left w:val="single" w:sz="4" w:space="0" w:color="auto"/>
              <w:bottom w:val="single" w:sz="4" w:space="0" w:color="auto"/>
              <w:right w:val="single" w:sz="4" w:space="0" w:color="auto"/>
            </w:tcBorders>
          </w:tcPr>
          <w:p w14:paraId="3B28ECE4" w14:textId="77777777" w:rsidR="00214D0F" w:rsidRPr="00A52AB8" w:rsidRDefault="00214D0F" w:rsidP="009C6742">
            <w:pPr>
              <w:pStyle w:val="tablesyntax"/>
              <w:keepNext w:val="0"/>
              <w:keepLines w:val="0"/>
              <w:spacing w:before="20" w:after="40"/>
              <w:rPr>
                <w:rFonts w:ascii="Cambria" w:hAnsi="Cambria"/>
              </w:rPr>
            </w:pPr>
            <w:r w:rsidRPr="00A52AB8">
              <w:rPr>
                <w:rFonts w:ascii="Cambria" w:hAnsi="Cambria"/>
                <w:color w:val="000000" w:themeColor="text1"/>
              </w:rPr>
              <w:tab/>
            </w:r>
            <w:r w:rsidRPr="00A52AB8">
              <w:rPr>
                <w:rFonts w:ascii="Cambria" w:hAnsi="Cambria"/>
                <w:b/>
                <w:bCs/>
                <w:color w:val="000000" w:themeColor="text1"/>
              </w:rPr>
              <w:t>daih_cancel_flag</w:t>
            </w:r>
          </w:p>
        </w:tc>
        <w:tc>
          <w:tcPr>
            <w:tcW w:w="1331" w:type="dxa"/>
            <w:tcBorders>
              <w:top w:val="single" w:sz="4" w:space="0" w:color="auto"/>
              <w:left w:val="single" w:sz="4" w:space="0" w:color="auto"/>
              <w:bottom w:val="single" w:sz="4" w:space="0" w:color="auto"/>
              <w:right w:val="single" w:sz="4" w:space="0" w:color="auto"/>
            </w:tcBorders>
          </w:tcPr>
          <w:p w14:paraId="2C14B0DC" w14:textId="77777777" w:rsidR="00214D0F" w:rsidRPr="00A52AB8" w:rsidRDefault="00214D0F" w:rsidP="009C6742">
            <w:pPr>
              <w:pStyle w:val="tableheading"/>
              <w:keepNext w:val="0"/>
              <w:keepLines w:val="0"/>
              <w:spacing w:before="20" w:after="40"/>
              <w:jc w:val="center"/>
              <w:rPr>
                <w:rFonts w:ascii="Cambria" w:hAnsi="Cambria"/>
                <w:b w:val="0"/>
              </w:rPr>
            </w:pPr>
            <w:r w:rsidRPr="00A52AB8">
              <w:rPr>
                <w:rFonts w:ascii="Cambria" w:hAnsi="Cambria"/>
                <w:b w:val="0"/>
              </w:rPr>
              <w:t>u(1)</w:t>
            </w:r>
          </w:p>
        </w:tc>
      </w:tr>
      <w:tr w:rsidR="00214D0F" w:rsidRPr="00A52AB8" w14:paraId="7318E484" w14:textId="77777777" w:rsidTr="00D8175C">
        <w:trPr>
          <w:cantSplit/>
          <w:jc w:val="center"/>
        </w:trPr>
        <w:tc>
          <w:tcPr>
            <w:tcW w:w="8411" w:type="dxa"/>
            <w:tcBorders>
              <w:top w:val="single" w:sz="4" w:space="0" w:color="auto"/>
              <w:left w:val="single" w:sz="4" w:space="0" w:color="auto"/>
              <w:bottom w:val="single" w:sz="4" w:space="0" w:color="auto"/>
              <w:right w:val="single" w:sz="4" w:space="0" w:color="auto"/>
            </w:tcBorders>
          </w:tcPr>
          <w:p w14:paraId="76E9CB34" w14:textId="1E9F995D" w:rsidR="00214D0F" w:rsidRPr="00A52AB8" w:rsidRDefault="00214D0F" w:rsidP="009C6742">
            <w:pPr>
              <w:pStyle w:val="tablesyntax"/>
              <w:keepNext w:val="0"/>
              <w:keepLines w:val="0"/>
              <w:spacing w:before="20" w:after="40"/>
              <w:rPr>
                <w:rFonts w:ascii="Cambria" w:hAnsi="Cambria"/>
              </w:rPr>
            </w:pPr>
            <w:r w:rsidRPr="00A52AB8">
              <w:rPr>
                <w:rFonts w:ascii="Cambria" w:hAnsi="Cambria"/>
                <w:color w:val="000000" w:themeColor="text1"/>
              </w:rPr>
              <w:tab/>
            </w:r>
            <w:r w:rsidR="00D63ACE" w:rsidRPr="00A52AB8">
              <w:rPr>
                <w:rFonts w:ascii="Cambria" w:hAnsi="Cambria"/>
                <w:color w:val="000000" w:themeColor="text1"/>
              </w:rPr>
              <w:t>if(</w:t>
            </w:r>
            <w:r w:rsidR="0058306B" w:rsidRPr="00A52AB8">
              <w:rPr>
                <w:rFonts w:ascii="Cambria" w:hAnsi="Cambria"/>
                <w:color w:val="000000" w:themeColor="text1"/>
              </w:rPr>
              <w:t> </w:t>
            </w:r>
            <w:r w:rsidRPr="00A52AB8">
              <w:rPr>
                <w:rFonts w:ascii="Cambria" w:hAnsi="Cambria"/>
                <w:color w:val="000000" w:themeColor="text1"/>
              </w:rPr>
              <w:t>!daih_cancel_flag</w:t>
            </w:r>
            <w:r w:rsidR="0058306B" w:rsidRPr="00A52AB8">
              <w:rPr>
                <w:rFonts w:ascii="Cambria" w:hAnsi="Cambria"/>
                <w:color w:val="000000" w:themeColor="text1"/>
              </w:rPr>
              <w:t> </w:t>
            </w:r>
            <w:r w:rsidR="008F1F82" w:rsidRPr="00A52AB8">
              <w:rPr>
                <w:rFonts w:ascii="Cambria" w:hAnsi="Cambria"/>
                <w:color w:val="000000" w:themeColor="text1"/>
              </w:rPr>
              <w:t>) {</w:t>
            </w:r>
          </w:p>
        </w:tc>
        <w:tc>
          <w:tcPr>
            <w:tcW w:w="1331" w:type="dxa"/>
            <w:tcBorders>
              <w:top w:val="single" w:sz="4" w:space="0" w:color="auto"/>
              <w:left w:val="single" w:sz="4" w:space="0" w:color="auto"/>
              <w:bottom w:val="single" w:sz="4" w:space="0" w:color="auto"/>
              <w:right w:val="single" w:sz="4" w:space="0" w:color="auto"/>
            </w:tcBorders>
          </w:tcPr>
          <w:p w14:paraId="02257C29" w14:textId="77777777" w:rsidR="00214D0F" w:rsidRPr="00A52AB8" w:rsidRDefault="00214D0F" w:rsidP="009C6742">
            <w:pPr>
              <w:pStyle w:val="tableheading"/>
              <w:keepNext w:val="0"/>
              <w:keepLines w:val="0"/>
              <w:spacing w:before="20" w:after="40"/>
              <w:jc w:val="center"/>
              <w:rPr>
                <w:rFonts w:ascii="Cambria" w:hAnsi="Cambria"/>
                <w:b w:val="0"/>
              </w:rPr>
            </w:pPr>
          </w:p>
        </w:tc>
      </w:tr>
      <w:tr w:rsidR="00214D0F" w:rsidRPr="00A52AB8" w14:paraId="406EE207" w14:textId="77777777" w:rsidTr="00D8175C">
        <w:trPr>
          <w:cantSplit/>
          <w:jc w:val="center"/>
        </w:trPr>
        <w:tc>
          <w:tcPr>
            <w:tcW w:w="8411" w:type="dxa"/>
            <w:tcBorders>
              <w:top w:val="single" w:sz="4" w:space="0" w:color="auto"/>
              <w:left w:val="single" w:sz="4" w:space="0" w:color="auto"/>
              <w:bottom w:val="single" w:sz="4" w:space="0" w:color="auto"/>
              <w:right w:val="single" w:sz="4" w:space="0" w:color="auto"/>
            </w:tcBorders>
          </w:tcPr>
          <w:p w14:paraId="1D03A1EE" w14:textId="77777777" w:rsidR="00214D0F" w:rsidRPr="00A52AB8" w:rsidRDefault="00214D0F" w:rsidP="009C6742">
            <w:pPr>
              <w:pStyle w:val="tablesyntax"/>
              <w:keepNext w:val="0"/>
              <w:keepLines w:val="0"/>
              <w:spacing w:before="20" w:after="40"/>
              <w:rPr>
                <w:rFonts w:ascii="Cambria" w:hAnsi="Cambria"/>
              </w:rPr>
            </w:pPr>
            <w:r w:rsidRPr="00A52AB8">
              <w:rPr>
                <w:rFonts w:ascii="Cambria" w:hAnsi="Cambria"/>
                <w:color w:val="000000" w:themeColor="text1"/>
              </w:rPr>
              <w:tab/>
            </w:r>
            <w:r w:rsidRPr="00A52AB8">
              <w:rPr>
                <w:rFonts w:ascii="Cambria" w:hAnsi="Cambria"/>
                <w:color w:val="000000" w:themeColor="text1"/>
              </w:rPr>
              <w:tab/>
            </w:r>
            <w:r w:rsidRPr="00A52AB8">
              <w:rPr>
                <w:rFonts w:ascii="Cambria" w:hAnsi="Cambria"/>
                <w:b/>
                <w:bCs/>
                <w:color w:val="000000" w:themeColor="text1"/>
              </w:rPr>
              <w:t>daih_persistence_flag</w:t>
            </w:r>
          </w:p>
        </w:tc>
        <w:tc>
          <w:tcPr>
            <w:tcW w:w="1331" w:type="dxa"/>
            <w:tcBorders>
              <w:top w:val="single" w:sz="4" w:space="0" w:color="auto"/>
              <w:left w:val="single" w:sz="4" w:space="0" w:color="auto"/>
              <w:bottom w:val="single" w:sz="4" w:space="0" w:color="auto"/>
              <w:right w:val="single" w:sz="4" w:space="0" w:color="auto"/>
            </w:tcBorders>
          </w:tcPr>
          <w:p w14:paraId="2F67E953" w14:textId="77777777" w:rsidR="00214D0F" w:rsidRPr="00A52AB8" w:rsidRDefault="00214D0F" w:rsidP="009C6742">
            <w:pPr>
              <w:pStyle w:val="tableheading"/>
              <w:keepNext w:val="0"/>
              <w:keepLines w:val="0"/>
              <w:spacing w:before="20" w:after="40"/>
              <w:jc w:val="center"/>
              <w:rPr>
                <w:rFonts w:ascii="Cambria" w:hAnsi="Cambria"/>
                <w:b w:val="0"/>
              </w:rPr>
            </w:pPr>
            <w:r w:rsidRPr="00A52AB8">
              <w:rPr>
                <w:rFonts w:ascii="Cambria" w:hAnsi="Cambria"/>
                <w:b w:val="0"/>
              </w:rPr>
              <w:t>u(1)</w:t>
            </w:r>
          </w:p>
        </w:tc>
      </w:tr>
      <w:tr w:rsidR="00214D0F" w:rsidRPr="00A52AB8" w14:paraId="6BD6237B" w14:textId="77777777" w:rsidTr="00D8175C">
        <w:trPr>
          <w:cantSplit/>
          <w:jc w:val="center"/>
        </w:trPr>
        <w:tc>
          <w:tcPr>
            <w:tcW w:w="8411" w:type="dxa"/>
            <w:tcBorders>
              <w:top w:val="single" w:sz="4" w:space="0" w:color="auto"/>
              <w:left w:val="single" w:sz="4" w:space="0" w:color="auto"/>
              <w:bottom w:val="single" w:sz="4" w:space="0" w:color="auto"/>
              <w:right w:val="single" w:sz="4" w:space="0" w:color="auto"/>
            </w:tcBorders>
          </w:tcPr>
          <w:p w14:paraId="78E20E51" w14:textId="77777777" w:rsidR="00214D0F" w:rsidRPr="00A52AB8" w:rsidRDefault="00214D0F" w:rsidP="009C6742">
            <w:pPr>
              <w:pStyle w:val="tablesyntax"/>
              <w:keepNext w:val="0"/>
              <w:keepLines w:val="0"/>
              <w:spacing w:before="20" w:after="40"/>
              <w:rPr>
                <w:rFonts w:ascii="Cambria" w:hAnsi="Cambria"/>
                <w:b/>
              </w:rPr>
            </w:pPr>
            <w:r w:rsidRPr="00A52AB8">
              <w:rPr>
                <w:rFonts w:ascii="Cambria" w:hAnsi="Cambria"/>
              </w:rPr>
              <w:tab/>
            </w:r>
            <w:r w:rsidRPr="00A52AB8">
              <w:rPr>
                <w:rFonts w:ascii="Cambria" w:hAnsi="Cambria"/>
              </w:rPr>
              <w:tab/>
            </w:r>
            <w:r w:rsidRPr="00A52AB8">
              <w:rPr>
                <w:rFonts w:ascii="Cambria" w:hAnsi="Cambria"/>
                <w:b/>
              </w:rPr>
              <w:t>daih_hash_type</w:t>
            </w:r>
          </w:p>
        </w:tc>
        <w:tc>
          <w:tcPr>
            <w:tcW w:w="1331" w:type="dxa"/>
            <w:tcBorders>
              <w:top w:val="single" w:sz="4" w:space="0" w:color="auto"/>
              <w:left w:val="single" w:sz="4" w:space="0" w:color="auto"/>
              <w:bottom w:val="single" w:sz="4" w:space="0" w:color="auto"/>
              <w:right w:val="single" w:sz="4" w:space="0" w:color="auto"/>
            </w:tcBorders>
          </w:tcPr>
          <w:p w14:paraId="134C2939" w14:textId="77777777" w:rsidR="00214D0F" w:rsidRPr="00A52AB8" w:rsidRDefault="00214D0F" w:rsidP="009C6742">
            <w:pPr>
              <w:pStyle w:val="tableheading"/>
              <w:keepNext w:val="0"/>
              <w:keepLines w:val="0"/>
              <w:spacing w:before="20" w:after="40"/>
              <w:jc w:val="center"/>
              <w:rPr>
                <w:rFonts w:ascii="Cambria" w:hAnsi="Cambria"/>
                <w:b w:val="0"/>
              </w:rPr>
            </w:pPr>
            <w:r w:rsidRPr="00A52AB8">
              <w:rPr>
                <w:rFonts w:ascii="Cambria" w:hAnsi="Cambria"/>
                <w:b w:val="0"/>
              </w:rPr>
              <w:t>u(8)</w:t>
            </w:r>
          </w:p>
        </w:tc>
      </w:tr>
      <w:tr w:rsidR="002D3118" w:rsidRPr="00A52AB8" w14:paraId="7DCCA411" w14:textId="77777777" w:rsidTr="00A169E8">
        <w:trPr>
          <w:cantSplit/>
          <w:jc w:val="center"/>
        </w:trPr>
        <w:tc>
          <w:tcPr>
            <w:tcW w:w="8411" w:type="dxa"/>
            <w:tcBorders>
              <w:top w:val="single" w:sz="4" w:space="0" w:color="auto"/>
              <w:left w:val="single" w:sz="4" w:space="0" w:color="auto"/>
              <w:bottom w:val="single" w:sz="4" w:space="0" w:color="auto"/>
              <w:right w:val="single" w:sz="4" w:space="0" w:color="auto"/>
            </w:tcBorders>
          </w:tcPr>
          <w:p w14:paraId="111C133B" w14:textId="77777777" w:rsidR="002D3118" w:rsidRPr="00A52AB8" w:rsidRDefault="002D3118" w:rsidP="009C6742">
            <w:pPr>
              <w:pStyle w:val="tablesyntax"/>
              <w:keepNext w:val="0"/>
              <w:keepLines w:val="0"/>
              <w:spacing w:before="20" w:after="40"/>
              <w:rPr>
                <w:rFonts w:ascii="Cambria" w:hAnsi="Cambria"/>
              </w:rPr>
            </w:pPr>
            <w:r w:rsidRPr="00A52AB8">
              <w:rPr>
                <w:rFonts w:ascii="Cambria" w:hAnsi="Cambria"/>
              </w:rPr>
              <w:tab/>
            </w:r>
            <w:r w:rsidRPr="00A52AB8">
              <w:rPr>
                <w:rFonts w:ascii="Cambria" w:hAnsi="Cambria"/>
              </w:rPr>
              <w:tab/>
            </w:r>
            <w:r w:rsidRPr="00A52AB8">
              <w:rPr>
                <w:rFonts w:ascii="Cambria" w:hAnsi="Cambria"/>
                <w:b/>
                <w:bCs/>
              </w:rPr>
              <w:t>daih_</w:t>
            </w:r>
            <w:r w:rsidRPr="00A52AB8">
              <w:rPr>
                <w:rFonts w:ascii="Cambria" w:hAnsi="Cambria"/>
                <w:b/>
              </w:rPr>
              <w:t>decoded_high_level_hash_present_flag</w:t>
            </w:r>
          </w:p>
        </w:tc>
        <w:tc>
          <w:tcPr>
            <w:tcW w:w="1331" w:type="dxa"/>
            <w:tcBorders>
              <w:top w:val="single" w:sz="4" w:space="0" w:color="auto"/>
              <w:left w:val="single" w:sz="4" w:space="0" w:color="auto"/>
              <w:bottom w:val="single" w:sz="4" w:space="0" w:color="auto"/>
              <w:right w:val="single" w:sz="4" w:space="0" w:color="auto"/>
            </w:tcBorders>
          </w:tcPr>
          <w:p w14:paraId="7D1A877C" w14:textId="77777777" w:rsidR="002D3118" w:rsidRPr="00A52AB8" w:rsidRDefault="002D3118" w:rsidP="009C6742">
            <w:pPr>
              <w:pStyle w:val="tableheading"/>
              <w:keepNext w:val="0"/>
              <w:keepLines w:val="0"/>
              <w:spacing w:before="20" w:after="40"/>
              <w:jc w:val="center"/>
              <w:rPr>
                <w:rFonts w:ascii="Cambria" w:hAnsi="Cambria"/>
                <w:b w:val="0"/>
              </w:rPr>
            </w:pPr>
            <w:r w:rsidRPr="00A52AB8">
              <w:rPr>
                <w:rFonts w:ascii="Cambria" w:hAnsi="Cambria"/>
                <w:b w:val="0"/>
              </w:rPr>
              <w:t>u(1)</w:t>
            </w:r>
          </w:p>
        </w:tc>
      </w:tr>
      <w:tr w:rsidR="00214D0F" w:rsidRPr="00A52AB8" w14:paraId="41E20AD8" w14:textId="77777777" w:rsidTr="00D8175C">
        <w:trPr>
          <w:cantSplit/>
          <w:jc w:val="center"/>
        </w:trPr>
        <w:tc>
          <w:tcPr>
            <w:tcW w:w="8411" w:type="dxa"/>
            <w:tcBorders>
              <w:top w:val="single" w:sz="4" w:space="0" w:color="auto"/>
              <w:left w:val="single" w:sz="4" w:space="0" w:color="auto"/>
              <w:bottom w:val="single" w:sz="4" w:space="0" w:color="auto"/>
              <w:right w:val="single" w:sz="4" w:space="0" w:color="auto"/>
            </w:tcBorders>
          </w:tcPr>
          <w:p w14:paraId="2EBF227A" w14:textId="77777777" w:rsidR="00214D0F" w:rsidRPr="00A52AB8" w:rsidRDefault="00214D0F" w:rsidP="009C6742">
            <w:pPr>
              <w:pStyle w:val="tablesyntax"/>
              <w:keepNext w:val="0"/>
              <w:keepLines w:val="0"/>
              <w:spacing w:before="20" w:after="40"/>
              <w:rPr>
                <w:rFonts w:ascii="Cambria" w:hAnsi="Cambria"/>
              </w:rPr>
            </w:pPr>
            <w:r w:rsidRPr="00A52AB8">
              <w:rPr>
                <w:rFonts w:ascii="Cambria" w:hAnsi="Cambria"/>
              </w:rPr>
              <w:tab/>
            </w:r>
            <w:r w:rsidRPr="00A52AB8">
              <w:rPr>
                <w:rFonts w:ascii="Cambria" w:hAnsi="Cambria"/>
              </w:rPr>
              <w:tab/>
            </w:r>
            <w:r w:rsidRPr="00A52AB8">
              <w:rPr>
                <w:rFonts w:ascii="Cambria" w:hAnsi="Cambria"/>
                <w:b/>
                <w:bCs/>
              </w:rPr>
              <w:t>daih_</w:t>
            </w:r>
            <w:r w:rsidRPr="00A52AB8">
              <w:rPr>
                <w:rFonts w:ascii="Cambria" w:hAnsi="Cambria"/>
                <w:b/>
              </w:rPr>
              <w:t>decoded_atlas_hash_present_flag</w:t>
            </w:r>
          </w:p>
        </w:tc>
        <w:tc>
          <w:tcPr>
            <w:tcW w:w="1331" w:type="dxa"/>
            <w:tcBorders>
              <w:top w:val="single" w:sz="4" w:space="0" w:color="auto"/>
              <w:left w:val="single" w:sz="4" w:space="0" w:color="auto"/>
              <w:bottom w:val="single" w:sz="4" w:space="0" w:color="auto"/>
              <w:right w:val="single" w:sz="4" w:space="0" w:color="auto"/>
            </w:tcBorders>
          </w:tcPr>
          <w:p w14:paraId="759A775C" w14:textId="77777777" w:rsidR="00214D0F" w:rsidRPr="00A52AB8" w:rsidRDefault="00214D0F" w:rsidP="009C6742">
            <w:pPr>
              <w:pStyle w:val="tableheading"/>
              <w:keepNext w:val="0"/>
              <w:keepLines w:val="0"/>
              <w:spacing w:before="20" w:after="40"/>
              <w:jc w:val="center"/>
              <w:rPr>
                <w:rFonts w:ascii="Cambria" w:hAnsi="Cambria"/>
                <w:b w:val="0"/>
              </w:rPr>
            </w:pPr>
            <w:r w:rsidRPr="00A52AB8">
              <w:rPr>
                <w:rFonts w:ascii="Cambria" w:hAnsi="Cambria"/>
                <w:b w:val="0"/>
              </w:rPr>
              <w:t>u(1)</w:t>
            </w:r>
          </w:p>
        </w:tc>
      </w:tr>
      <w:tr w:rsidR="00214D0F" w:rsidRPr="00A52AB8" w14:paraId="715F2755" w14:textId="77777777" w:rsidTr="00D8175C">
        <w:trPr>
          <w:cantSplit/>
          <w:jc w:val="center"/>
        </w:trPr>
        <w:tc>
          <w:tcPr>
            <w:tcW w:w="8411" w:type="dxa"/>
            <w:tcBorders>
              <w:top w:val="single" w:sz="4" w:space="0" w:color="auto"/>
              <w:left w:val="single" w:sz="4" w:space="0" w:color="auto"/>
              <w:bottom w:val="single" w:sz="4" w:space="0" w:color="auto"/>
              <w:right w:val="single" w:sz="4" w:space="0" w:color="auto"/>
            </w:tcBorders>
          </w:tcPr>
          <w:p w14:paraId="17C6D537" w14:textId="77777777" w:rsidR="00214D0F" w:rsidRPr="00A52AB8" w:rsidRDefault="00214D0F" w:rsidP="009C6742">
            <w:pPr>
              <w:pStyle w:val="tablesyntax"/>
              <w:keepNext w:val="0"/>
              <w:keepLines w:val="0"/>
              <w:spacing w:before="20" w:after="40"/>
              <w:rPr>
                <w:rFonts w:ascii="Cambria" w:hAnsi="Cambria"/>
              </w:rPr>
            </w:pPr>
            <w:r w:rsidRPr="00A52AB8">
              <w:rPr>
                <w:rFonts w:ascii="Cambria" w:hAnsi="Cambria"/>
              </w:rPr>
              <w:tab/>
            </w:r>
            <w:r w:rsidRPr="00A52AB8">
              <w:rPr>
                <w:rFonts w:ascii="Cambria" w:hAnsi="Cambria"/>
              </w:rPr>
              <w:tab/>
            </w:r>
            <w:r w:rsidRPr="00A52AB8">
              <w:rPr>
                <w:rFonts w:ascii="Cambria" w:hAnsi="Cambria"/>
                <w:b/>
                <w:bCs/>
              </w:rPr>
              <w:t>daih_</w:t>
            </w:r>
            <w:r w:rsidRPr="00A52AB8">
              <w:rPr>
                <w:rFonts w:ascii="Cambria" w:hAnsi="Cambria"/>
                <w:b/>
              </w:rPr>
              <w:t>decoded_atlas_b2p_hash_present_flag</w:t>
            </w:r>
          </w:p>
        </w:tc>
        <w:tc>
          <w:tcPr>
            <w:tcW w:w="1331" w:type="dxa"/>
            <w:tcBorders>
              <w:top w:val="single" w:sz="4" w:space="0" w:color="auto"/>
              <w:left w:val="single" w:sz="4" w:space="0" w:color="auto"/>
              <w:bottom w:val="single" w:sz="4" w:space="0" w:color="auto"/>
              <w:right w:val="single" w:sz="4" w:space="0" w:color="auto"/>
            </w:tcBorders>
          </w:tcPr>
          <w:p w14:paraId="41EE632A" w14:textId="77777777" w:rsidR="00214D0F" w:rsidRPr="00A52AB8" w:rsidRDefault="00214D0F" w:rsidP="009C6742">
            <w:pPr>
              <w:pStyle w:val="tableheading"/>
              <w:keepNext w:val="0"/>
              <w:keepLines w:val="0"/>
              <w:spacing w:before="20" w:after="40"/>
              <w:jc w:val="center"/>
              <w:rPr>
                <w:rFonts w:ascii="Cambria" w:hAnsi="Cambria"/>
                <w:b w:val="0"/>
              </w:rPr>
            </w:pPr>
            <w:r w:rsidRPr="00A52AB8">
              <w:rPr>
                <w:rFonts w:ascii="Cambria" w:hAnsi="Cambria"/>
                <w:b w:val="0"/>
              </w:rPr>
              <w:t>u(1)</w:t>
            </w:r>
          </w:p>
        </w:tc>
      </w:tr>
      <w:tr w:rsidR="00214D0F" w:rsidRPr="00A52AB8" w14:paraId="1E4E4E81" w14:textId="77777777" w:rsidTr="00D8175C">
        <w:trPr>
          <w:cantSplit/>
          <w:jc w:val="center"/>
        </w:trPr>
        <w:tc>
          <w:tcPr>
            <w:tcW w:w="8411" w:type="dxa"/>
            <w:tcBorders>
              <w:top w:val="single" w:sz="4" w:space="0" w:color="auto"/>
              <w:left w:val="single" w:sz="4" w:space="0" w:color="auto"/>
              <w:bottom w:val="single" w:sz="4" w:space="0" w:color="auto"/>
              <w:right w:val="single" w:sz="4" w:space="0" w:color="auto"/>
            </w:tcBorders>
          </w:tcPr>
          <w:p w14:paraId="6A74E95A" w14:textId="22E2FB8A" w:rsidR="00214D0F" w:rsidRPr="00A52AB8" w:rsidRDefault="00214D0F" w:rsidP="009C6742">
            <w:pPr>
              <w:pStyle w:val="tablesyntax"/>
              <w:keepNext w:val="0"/>
              <w:keepLines w:val="0"/>
              <w:spacing w:before="20" w:after="40"/>
              <w:rPr>
                <w:rFonts w:ascii="Cambria" w:hAnsi="Cambria"/>
              </w:rPr>
            </w:pPr>
            <w:r w:rsidRPr="00A52AB8">
              <w:rPr>
                <w:rFonts w:ascii="Cambria" w:hAnsi="Cambria"/>
              </w:rPr>
              <w:tab/>
            </w:r>
            <w:r w:rsidRPr="00A52AB8">
              <w:rPr>
                <w:rFonts w:ascii="Cambria" w:hAnsi="Cambria"/>
              </w:rPr>
              <w:tab/>
            </w:r>
            <w:r w:rsidRPr="00A52AB8">
              <w:rPr>
                <w:rFonts w:ascii="Cambria" w:hAnsi="Cambria"/>
                <w:b/>
                <w:bCs/>
              </w:rPr>
              <w:t>daih_</w:t>
            </w:r>
            <w:r w:rsidRPr="00A52AB8">
              <w:rPr>
                <w:rFonts w:ascii="Cambria" w:hAnsi="Cambria"/>
                <w:b/>
              </w:rPr>
              <w:t>decoded_atlas_tiles_hash_present_flag</w:t>
            </w:r>
          </w:p>
        </w:tc>
        <w:tc>
          <w:tcPr>
            <w:tcW w:w="1331" w:type="dxa"/>
            <w:tcBorders>
              <w:top w:val="single" w:sz="4" w:space="0" w:color="auto"/>
              <w:left w:val="single" w:sz="4" w:space="0" w:color="auto"/>
              <w:bottom w:val="single" w:sz="4" w:space="0" w:color="auto"/>
              <w:right w:val="single" w:sz="4" w:space="0" w:color="auto"/>
            </w:tcBorders>
          </w:tcPr>
          <w:p w14:paraId="22291D1B" w14:textId="77777777" w:rsidR="00214D0F" w:rsidRPr="00A52AB8" w:rsidRDefault="00214D0F" w:rsidP="009C6742">
            <w:pPr>
              <w:pStyle w:val="tableheading"/>
              <w:keepNext w:val="0"/>
              <w:keepLines w:val="0"/>
              <w:spacing w:before="20" w:after="40"/>
              <w:jc w:val="center"/>
              <w:rPr>
                <w:rFonts w:ascii="Cambria" w:hAnsi="Cambria"/>
                <w:b w:val="0"/>
              </w:rPr>
            </w:pPr>
            <w:r w:rsidRPr="00A52AB8">
              <w:rPr>
                <w:rFonts w:ascii="Cambria" w:hAnsi="Cambria"/>
                <w:b w:val="0"/>
              </w:rPr>
              <w:t>u(1)</w:t>
            </w:r>
          </w:p>
        </w:tc>
      </w:tr>
      <w:tr w:rsidR="00214D0F" w:rsidRPr="00A52AB8" w14:paraId="2816ADDB" w14:textId="77777777" w:rsidTr="00D8175C">
        <w:trPr>
          <w:cantSplit/>
          <w:jc w:val="center"/>
        </w:trPr>
        <w:tc>
          <w:tcPr>
            <w:tcW w:w="8411" w:type="dxa"/>
            <w:tcBorders>
              <w:top w:val="single" w:sz="4" w:space="0" w:color="auto"/>
              <w:left w:val="single" w:sz="4" w:space="0" w:color="auto"/>
              <w:bottom w:val="single" w:sz="4" w:space="0" w:color="auto"/>
              <w:right w:val="single" w:sz="4" w:space="0" w:color="auto"/>
            </w:tcBorders>
          </w:tcPr>
          <w:p w14:paraId="3D267F75" w14:textId="77777777" w:rsidR="00214D0F" w:rsidRPr="00A52AB8" w:rsidRDefault="00214D0F" w:rsidP="009C6742">
            <w:pPr>
              <w:pStyle w:val="tablesyntax"/>
              <w:keepNext w:val="0"/>
              <w:keepLines w:val="0"/>
              <w:spacing w:before="20" w:after="40"/>
              <w:rPr>
                <w:rFonts w:ascii="Cambria" w:hAnsi="Cambria"/>
              </w:rPr>
            </w:pPr>
            <w:r w:rsidRPr="00A52AB8">
              <w:rPr>
                <w:rFonts w:ascii="Cambria" w:hAnsi="Cambria"/>
              </w:rPr>
              <w:tab/>
            </w:r>
            <w:r w:rsidRPr="00A52AB8">
              <w:rPr>
                <w:rFonts w:ascii="Cambria" w:hAnsi="Cambria"/>
              </w:rPr>
              <w:tab/>
            </w:r>
            <w:r w:rsidRPr="00A52AB8">
              <w:rPr>
                <w:rFonts w:ascii="Cambria" w:hAnsi="Cambria"/>
                <w:b/>
                <w:bCs/>
              </w:rPr>
              <w:t>daih_</w:t>
            </w:r>
            <w:r w:rsidRPr="00A52AB8">
              <w:rPr>
                <w:rFonts w:ascii="Cambria" w:hAnsi="Cambria"/>
                <w:b/>
              </w:rPr>
              <w:t>decoded_atlas_tiles_b2p_hash_present_flag</w:t>
            </w:r>
          </w:p>
        </w:tc>
        <w:tc>
          <w:tcPr>
            <w:tcW w:w="1331" w:type="dxa"/>
            <w:tcBorders>
              <w:top w:val="single" w:sz="4" w:space="0" w:color="auto"/>
              <w:left w:val="single" w:sz="4" w:space="0" w:color="auto"/>
              <w:bottom w:val="single" w:sz="4" w:space="0" w:color="auto"/>
              <w:right w:val="single" w:sz="4" w:space="0" w:color="auto"/>
            </w:tcBorders>
          </w:tcPr>
          <w:p w14:paraId="08F4881E" w14:textId="77777777" w:rsidR="00214D0F" w:rsidRPr="00A52AB8" w:rsidRDefault="00214D0F" w:rsidP="009C6742">
            <w:pPr>
              <w:pStyle w:val="tableheading"/>
              <w:keepNext w:val="0"/>
              <w:keepLines w:val="0"/>
              <w:spacing w:before="20" w:after="40"/>
              <w:jc w:val="center"/>
              <w:rPr>
                <w:rFonts w:ascii="Cambria" w:hAnsi="Cambria"/>
                <w:b w:val="0"/>
              </w:rPr>
            </w:pPr>
            <w:r w:rsidRPr="00A52AB8">
              <w:rPr>
                <w:rFonts w:ascii="Cambria" w:hAnsi="Cambria"/>
                <w:b w:val="0"/>
              </w:rPr>
              <w:t>u(1)</w:t>
            </w:r>
          </w:p>
        </w:tc>
      </w:tr>
      <w:tr w:rsidR="00214D0F" w:rsidRPr="00A52AB8" w14:paraId="5DDAB431" w14:textId="77777777" w:rsidTr="00D8175C">
        <w:trPr>
          <w:cantSplit/>
          <w:jc w:val="center"/>
        </w:trPr>
        <w:tc>
          <w:tcPr>
            <w:tcW w:w="8411" w:type="dxa"/>
            <w:tcBorders>
              <w:top w:val="single" w:sz="4" w:space="0" w:color="auto"/>
              <w:left w:val="single" w:sz="4" w:space="0" w:color="auto"/>
              <w:bottom w:val="single" w:sz="4" w:space="0" w:color="auto"/>
              <w:right w:val="single" w:sz="4" w:space="0" w:color="auto"/>
            </w:tcBorders>
            <w:hideMark/>
          </w:tcPr>
          <w:p w14:paraId="091884ED" w14:textId="3520B366" w:rsidR="00214D0F" w:rsidRPr="00A52AB8" w:rsidRDefault="00214D0F" w:rsidP="009C6742">
            <w:pPr>
              <w:pStyle w:val="tablesyntax"/>
              <w:keepNext w:val="0"/>
              <w:keepLines w:val="0"/>
              <w:spacing w:before="20" w:after="40"/>
              <w:rPr>
                <w:rFonts w:ascii="Cambria" w:hAnsi="Cambria"/>
              </w:rPr>
            </w:pPr>
            <w:r w:rsidRPr="00A52AB8">
              <w:rPr>
                <w:rFonts w:ascii="Cambria" w:hAnsi="Cambria"/>
              </w:rPr>
              <w:tab/>
            </w:r>
            <w:r w:rsidRPr="00A52AB8">
              <w:rPr>
                <w:rFonts w:ascii="Cambria" w:hAnsi="Cambria"/>
              </w:rPr>
              <w:tab/>
            </w:r>
            <w:r w:rsidRPr="00A52AB8">
              <w:rPr>
                <w:rFonts w:ascii="Cambria" w:hAnsi="Cambria"/>
                <w:b/>
                <w:bCs/>
              </w:rPr>
              <w:t>daih_</w:t>
            </w:r>
            <w:r w:rsidRPr="00A52AB8">
              <w:rPr>
                <w:rFonts w:ascii="Cambria" w:hAnsi="Cambria"/>
                <w:b/>
              </w:rPr>
              <w:t>reserved_</w:t>
            </w:r>
            <w:r w:rsidR="00F34F8B" w:rsidRPr="00A52AB8">
              <w:rPr>
                <w:rFonts w:ascii="Cambria" w:hAnsi="Cambria"/>
                <w:b/>
              </w:rPr>
              <w:t>zero_</w:t>
            </w:r>
            <w:r w:rsidR="002D3118" w:rsidRPr="00A52AB8">
              <w:rPr>
                <w:rFonts w:ascii="Cambria" w:hAnsi="Cambria"/>
                <w:b/>
              </w:rPr>
              <w:t>1</w:t>
            </w:r>
            <w:r w:rsidRPr="00A52AB8">
              <w:rPr>
                <w:rFonts w:ascii="Cambria" w:hAnsi="Cambria"/>
                <w:b/>
              </w:rPr>
              <w:t>bit</w:t>
            </w:r>
          </w:p>
        </w:tc>
        <w:tc>
          <w:tcPr>
            <w:tcW w:w="1331" w:type="dxa"/>
            <w:tcBorders>
              <w:top w:val="single" w:sz="4" w:space="0" w:color="auto"/>
              <w:left w:val="single" w:sz="4" w:space="0" w:color="auto"/>
              <w:bottom w:val="single" w:sz="4" w:space="0" w:color="auto"/>
              <w:right w:val="single" w:sz="4" w:space="0" w:color="auto"/>
            </w:tcBorders>
          </w:tcPr>
          <w:p w14:paraId="0CB02DD3" w14:textId="693AC123" w:rsidR="00214D0F" w:rsidRPr="00A52AB8" w:rsidRDefault="00214D0F" w:rsidP="009C6742">
            <w:pPr>
              <w:pStyle w:val="tableheading"/>
              <w:keepNext w:val="0"/>
              <w:keepLines w:val="0"/>
              <w:spacing w:before="20" w:after="40"/>
              <w:jc w:val="center"/>
              <w:rPr>
                <w:rFonts w:ascii="Cambria" w:hAnsi="Cambria"/>
                <w:b w:val="0"/>
                <w:bCs w:val="0"/>
              </w:rPr>
            </w:pPr>
            <w:r w:rsidRPr="00A52AB8">
              <w:rPr>
                <w:rFonts w:ascii="Cambria" w:hAnsi="Cambria"/>
                <w:b w:val="0"/>
                <w:bCs w:val="0"/>
              </w:rPr>
              <w:t>u(</w:t>
            </w:r>
            <w:r w:rsidR="00E2146D" w:rsidRPr="00A52AB8">
              <w:rPr>
                <w:rFonts w:ascii="Cambria" w:hAnsi="Cambria"/>
                <w:b w:val="0"/>
                <w:bCs w:val="0"/>
              </w:rPr>
              <w:t>1</w:t>
            </w:r>
            <w:r w:rsidRPr="00A52AB8">
              <w:rPr>
                <w:rFonts w:ascii="Cambria" w:hAnsi="Cambria"/>
                <w:b w:val="0"/>
                <w:bCs w:val="0"/>
              </w:rPr>
              <w:t>)</w:t>
            </w:r>
          </w:p>
        </w:tc>
      </w:tr>
      <w:tr w:rsidR="002D3118" w:rsidRPr="00A52AB8" w14:paraId="286943C8" w14:textId="77777777" w:rsidTr="00A169E8">
        <w:trPr>
          <w:cantSplit/>
          <w:jc w:val="center"/>
        </w:trPr>
        <w:tc>
          <w:tcPr>
            <w:tcW w:w="8411" w:type="dxa"/>
            <w:tcBorders>
              <w:top w:val="single" w:sz="4" w:space="0" w:color="auto"/>
              <w:left w:val="single" w:sz="4" w:space="0" w:color="auto"/>
              <w:bottom w:val="single" w:sz="4" w:space="0" w:color="auto"/>
              <w:right w:val="single" w:sz="4" w:space="0" w:color="auto"/>
            </w:tcBorders>
          </w:tcPr>
          <w:p w14:paraId="2A3FB303" w14:textId="60C65904" w:rsidR="002D3118" w:rsidRPr="00A52AB8" w:rsidRDefault="002D3118" w:rsidP="009C6742">
            <w:pPr>
              <w:pStyle w:val="tablesyntax"/>
              <w:keepNext w:val="0"/>
              <w:keepLines w:val="0"/>
              <w:spacing w:before="20" w:after="40"/>
              <w:rPr>
                <w:rFonts w:ascii="Cambria" w:hAnsi="Cambria"/>
                <w:b/>
              </w:rPr>
            </w:pPr>
            <w:r w:rsidRPr="00A52AB8">
              <w:rPr>
                <w:rFonts w:ascii="Cambria" w:hAnsi="Cambria"/>
              </w:rPr>
              <w:tab/>
            </w:r>
            <w:r w:rsidRPr="00A52AB8">
              <w:rPr>
                <w:rFonts w:ascii="Cambria" w:hAnsi="Cambria"/>
              </w:rPr>
              <w:tab/>
              <w:t>if( </w:t>
            </w:r>
            <w:r w:rsidR="00B91FFE" w:rsidRPr="00A52AB8">
              <w:rPr>
                <w:rFonts w:ascii="Cambria" w:hAnsi="Cambria"/>
              </w:rPr>
              <w:t>daih_</w:t>
            </w:r>
            <w:r w:rsidRPr="00A52AB8">
              <w:rPr>
                <w:rFonts w:ascii="Cambria" w:hAnsi="Cambria"/>
              </w:rPr>
              <w:t>decoded_high_level_hash_present_flag )</w:t>
            </w:r>
          </w:p>
        </w:tc>
        <w:tc>
          <w:tcPr>
            <w:tcW w:w="1331" w:type="dxa"/>
            <w:tcBorders>
              <w:top w:val="single" w:sz="4" w:space="0" w:color="auto"/>
              <w:left w:val="single" w:sz="4" w:space="0" w:color="auto"/>
              <w:bottom w:val="single" w:sz="4" w:space="0" w:color="auto"/>
              <w:right w:val="single" w:sz="4" w:space="0" w:color="auto"/>
            </w:tcBorders>
          </w:tcPr>
          <w:p w14:paraId="68C3538D" w14:textId="77777777" w:rsidR="002D3118" w:rsidRPr="00A52AB8" w:rsidRDefault="002D3118" w:rsidP="009C6742">
            <w:pPr>
              <w:pStyle w:val="tableheading"/>
              <w:keepNext w:val="0"/>
              <w:keepLines w:val="0"/>
              <w:spacing w:before="20" w:after="40"/>
              <w:jc w:val="center"/>
              <w:rPr>
                <w:rFonts w:ascii="Cambria" w:hAnsi="Cambria"/>
                <w:b w:val="0"/>
              </w:rPr>
            </w:pPr>
          </w:p>
        </w:tc>
      </w:tr>
      <w:tr w:rsidR="002D3118" w:rsidRPr="00A52AB8" w14:paraId="622C6128" w14:textId="77777777" w:rsidTr="00A169E8">
        <w:trPr>
          <w:cantSplit/>
          <w:jc w:val="center"/>
        </w:trPr>
        <w:tc>
          <w:tcPr>
            <w:tcW w:w="8411" w:type="dxa"/>
            <w:tcBorders>
              <w:top w:val="single" w:sz="4" w:space="0" w:color="auto"/>
              <w:left w:val="single" w:sz="4" w:space="0" w:color="auto"/>
              <w:bottom w:val="single" w:sz="4" w:space="0" w:color="auto"/>
              <w:right w:val="single" w:sz="4" w:space="0" w:color="auto"/>
            </w:tcBorders>
          </w:tcPr>
          <w:p w14:paraId="695A1749" w14:textId="6BC3CA72" w:rsidR="002D3118" w:rsidRPr="00A52AB8" w:rsidRDefault="002D3118" w:rsidP="009C6742">
            <w:pPr>
              <w:pStyle w:val="tablesyntax"/>
              <w:keepNext w:val="0"/>
              <w:keepLines w:val="0"/>
              <w:spacing w:before="20" w:after="40"/>
              <w:rPr>
                <w:rFonts w:ascii="Cambria" w:hAnsi="Cambria"/>
              </w:rPr>
            </w:pPr>
            <w:bookmarkStart w:id="5411" w:name="_Hlk49349068"/>
            <w:r w:rsidRPr="00A52AB8">
              <w:rPr>
                <w:rFonts w:ascii="Cambria" w:hAnsi="Cambria"/>
              </w:rPr>
              <w:tab/>
            </w:r>
            <w:r w:rsidRPr="00A52AB8">
              <w:rPr>
                <w:rFonts w:ascii="Cambria" w:hAnsi="Cambria"/>
              </w:rPr>
              <w:tab/>
            </w:r>
            <w:r w:rsidRPr="00A52AB8">
              <w:rPr>
                <w:rFonts w:ascii="Cambria" w:hAnsi="Cambria"/>
              </w:rPr>
              <w:tab/>
            </w:r>
            <w:r w:rsidR="006F4EC9" w:rsidRPr="00A52AB8">
              <w:rPr>
                <w:rFonts w:ascii="Cambria" w:hAnsi="Cambria"/>
              </w:rPr>
              <w:t>decoded_high_level_hash</w:t>
            </w:r>
            <w:r w:rsidRPr="00A52AB8">
              <w:rPr>
                <w:rFonts w:ascii="Cambria" w:hAnsi="Cambria"/>
              </w:rPr>
              <w:t>(</w:t>
            </w:r>
            <w:r w:rsidR="00F34F8B" w:rsidRPr="00A52AB8">
              <w:rPr>
                <w:rFonts w:ascii="Cambria" w:hAnsi="Cambria"/>
              </w:rPr>
              <w:t> daih_hash_type </w:t>
            </w:r>
            <w:r w:rsidRPr="00A52AB8">
              <w:rPr>
                <w:rFonts w:ascii="Cambria" w:hAnsi="Cambria"/>
              </w:rPr>
              <w:t>)</w:t>
            </w:r>
          </w:p>
        </w:tc>
        <w:tc>
          <w:tcPr>
            <w:tcW w:w="1331" w:type="dxa"/>
            <w:tcBorders>
              <w:top w:val="single" w:sz="4" w:space="0" w:color="auto"/>
              <w:left w:val="single" w:sz="4" w:space="0" w:color="auto"/>
              <w:bottom w:val="single" w:sz="4" w:space="0" w:color="auto"/>
              <w:right w:val="single" w:sz="4" w:space="0" w:color="auto"/>
            </w:tcBorders>
          </w:tcPr>
          <w:p w14:paraId="403C3E3C" w14:textId="77777777" w:rsidR="002D3118" w:rsidRPr="00A52AB8" w:rsidRDefault="002D3118" w:rsidP="009C6742">
            <w:pPr>
              <w:pStyle w:val="tableheading"/>
              <w:keepNext w:val="0"/>
              <w:keepLines w:val="0"/>
              <w:spacing w:before="20" w:after="40"/>
              <w:jc w:val="center"/>
              <w:rPr>
                <w:rFonts w:ascii="Cambria" w:hAnsi="Cambria"/>
                <w:b w:val="0"/>
              </w:rPr>
            </w:pPr>
          </w:p>
        </w:tc>
      </w:tr>
      <w:bookmarkEnd w:id="5411"/>
      <w:tr w:rsidR="00214D0F" w:rsidRPr="00A52AB8" w14:paraId="517DCA24" w14:textId="77777777" w:rsidTr="00D8175C">
        <w:trPr>
          <w:cantSplit/>
          <w:jc w:val="center"/>
        </w:trPr>
        <w:tc>
          <w:tcPr>
            <w:tcW w:w="8411" w:type="dxa"/>
            <w:tcBorders>
              <w:top w:val="single" w:sz="4" w:space="0" w:color="auto"/>
              <w:left w:val="single" w:sz="4" w:space="0" w:color="auto"/>
              <w:bottom w:val="single" w:sz="4" w:space="0" w:color="auto"/>
              <w:right w:val="single" w:sz="4" w:space="0" w:color="auto"/>
            </w:tcBorders>
          </w:tcPr>
          <w:p w14:paraId="13194CA1" w14:textId="7C15BDFF" w:rsidR="00214D0F" w:rsidRPr="00A52AB8" w:rsidRDefault="00214D0F" w:rsidP="009C6742">
            <w:pPr>
              <w:pStyle w:val="tablesyntax"/>
              <w:keepNext w:val="0"/>
              <w:keepLines w:val="0"/>
              <w:spacing w:before="20" w:after="40"/>
              <w:rPr>
                <w:rFonts w:ascii="Cambria" w:hAnsi="Cambria"/>
                <w:b/>
              </w:rPr>
            </w:pPr>
            <w:r w:rsidRPr="00A52AB8">
              <w:rPr>
                <w:rFonts w:ascii="Cambria" w:hAnsi="Cambria"/>
              </w:rPr>
              <w:tab/>
            </w:r>
            <w:r w:rsidRPr="00A52AB8">
              <w:rPr>
                <w:rFonts w:ascii="Cambria" w:hAnsi="Cambria"/>
              </w:rPr>
              <w:tab/>
              <w:t>if( </w:t>
            </w:r>
            <w:r w:rsidR="00B91FFE" w:rsidRPr="00A52AB8">
              <w:rPr>
                <w:rFonts w:ascii="Cambria" w:hAnsi="Cambria"/>
              </w:rPr>
              <w:t>daih_</w:t>
            </w:r>
            <w:r w:rsidRPr="00A52AB8">
              <w:rPr>
                <w:rFonts w:ascii="Cambria" w:hAnsi="Cambria"/>
              </w:rPr>
              <w:t>decoded_atlas_hash_present_flag )</w:t>
            </w:r>
          </w:p>
        </w:tc>
        <w:tc>
          <w:tcPr>
            <w:tcW w:w="1331" w:type="dxa"/>
            <w:tcBorders>
              <w:top w:val="single" w:sz="4" w:space="0" w:color="auto"/>
              <w:left w:val="single" w:sz="4" w:space="0" w:color="auto"/>
              <w:bottom w:val="single" w:sz="4" w:space="0" w:color="auto"/>
              <w:right w:val="single" w:sz="4" w:space="0" w:color="auto"/>
            </w:tcBorders>
          </w:tcPr>
          <w:p w14:paraId="4C9D817F" w14:textId="77777777" w:rsidR="00214D0F" w:rsidRPr="00A52AB8" w:rsidRDefault="00214D0F" w:rsidP="009C6742">
            <w:pPr>
              <w:pStyle w:val="tableheading"/>
              <w:keepNext w:val="0"/>
              <w:keepLines w:val="0"/>
              <w:spacing w:before="20" w:after="40"/>
              <w:jc w:val="center"/>
              <w:rPr>
                <w:rFonts w:ascii="Cambria" w:hAnsi="Cambria"/>
                <w:b w:val="0"/>
              </w:rPr>
            </w:pPr>
          </w:p>
        </w:tc>
      </w:tr>
      <w:tr w:rsidR="00214D0F" w:rsidRPr="00A52AB8" w14:paraId="364DF4B2" w14:textId="77777777" w:rsidTr="00D8175C">
        <w:trPr>
          <w:cantSplit/>
          <w:jc w:val="center"/>
        </w:trPr>
        <w:tc>
          <w:tcPr>
            <w:tcW w:w="8411" w:type="dxa"/>
            <w:tcBorders>
              <w:top w:val="single" w:sz="4" w:space="0" w:color="auto"/>
              <w:left w:val="single" w:sz="4" w:space="0" w:color="auto"/>
              <w:bottom w:val="single" w:sz="4" w:space="0" w:color="auto"/>
              <w:right w:val="single" w:sz="4" w:space="0" w:color="auto"/>
            </w:tcBorders>
          </w:tcPr>
          <w:p w14:paraId="61C09B39" w14:textId="090E1224" w:rsidR="00214D0F" w:rsidRPr="00A52AB8" w:rsidRDefault="00214D0F" w:rsidP="009C6742">
            <w:pPr>
              <w:pStyle w:val="tablesyntax"/>
              <w:keepNext w:val="0"/>
              <w:keepLines w:val="0"/>
              <w:spacing w:before="20" w:after="40"/>
              <w:rPr>
                <w:rFonts w:ascii="Cambria" w:hAnsi="Cambria"/>
              </w:rPr>
            </w:pPr>
            <w:r w:rsidRPr="00A52AB8">
              <w:rPr>
                <w:rFonts w:ascii="Cambria" w:hAnsi="Cambria"/>
              </w:rPr>
              <w:tab/>
            </w:r>
            <w:r w:rsidRPr="00A52AB8">
              <w:rPr>
                <w:rFonts w:ascii="Cambria" w:hAnsi="Cambria"/>
              </w:rPr>
              <w:tab/>
            </w:r>
            <w:r w:rsidRPr="00A52AB8">
              <w:rPr>
                <w:rFonts w:ascii="Cambria" w:hAnsi="Cambria"/>
              </w:rPr>
              <w:tab/>
            </w:r>
            <w:r w:rsidR="006F4EC9" w:rsidRPr="00A52AB8">
              <w:rPr>
                <w:rFonts w:ascii="Cambria" w:hAnsi="Cambria"/>
              </w:rPr>
              <w:t>decoded_atlas_hash(</w:t>
            </w:r>
            <w:r w:rsidR="00F34F8B" w:rsidRPr="00A52AB8">
              <w:rPr>
                <w:rFonts w:ascii="Cambria" w:hAnsi="Cambria"/>
              </w:rPr>
              <w:t> daih_hash_type </w:t>
            </w:r>
            <w:r w:rsidR="006F4EC9" w:rsidRPr="00A52AB8">
              <w:rPr>
                <w:rFonts w:ascii="Cambria" w:hAnsi="Cambria"/>
              </w:rPr>
              <w:t>)</w:t>
            </w:r>
          </w:p>
        </w:tc>
        <w:tc>
          <w:tcPr>
            <w:tcW w:w="1331" w:type="dxa"/>
            <w:tcBorders>
              <w:top w:val="single" w:sz="4" w:space="0" w:color="auto"/>
              <w:left w:val="single" w:sz="4" w:space="0" w:color="auto"/>
              <w:bottom w:val="single" w:sz="4" w:space="0" w:color="auto"/>
              <w:right w:val="single" w:sz="4" w:space="0" w:color="auto"/>
            </w:tcBorders>
          </w:tcPr>
          <w:p w14:paraId="350FB2DF" w14:textId="77777777" w:rsidR="00214D0F" w:rsidRPr="00A52AB8" w:rsidRDefault="00214D0F" w:rsidP="009C6742">
            <w:pPr>
              <w:pStyle w:val="tableheading"/>
              <w:keepNext w:val="0"/>
              <w:keepLines w:val="0"/>
              <w:spacing w:before="20" w:after="40"/>
              <w:jc w:val="center"/>
              <w:rPr>
                <w:rFonts w:ascii="Cambria" w:hAnsi="Cambria"/>
                <w:b w:val="0"/>
              </w:rPr>
            </w:pPr>
          </w:p>
        </w:tc>
      </w:tr>
      <w:tr w:rsidR="00214D0F" w:rsidRPr="00A52AB8" w14:paraId="11438E16" w14:textId="77777777" w:rsidTr="00D8175C">
        <w:trPr>
          <w:cantSplit/>
          <w:jc w:val="center"/>
        </w:trPr>
        <w:tc>
          <w:tcPr>
            <w:tcW w:w="8411" w:type="dxa"/>
            <w:tcBorders>
              <w:top w:val="single" w:sz="4" w:space="0" w:color="auto"/>
              <w:left w:val="single" w:sz="4" w:space="0" w:color="auto"/>
              <w:bottom w:val="single" w:sz="4" w:space="0" w:color="auto"/>
              <w:right w:val="single" w:sz="4" w:space="0" w:color="auto"/>
            </w:tcBorders>
          </w:tcPr>
          <w:p w14:paraId="4075DE58" w14:textId="36D682EE" w:rsidR="00214D0F" w:rsidRPr="00A52AB8" w:rsidRDefault="00214D0F" w:rsidP="009C6742">
            <w:pPr>
              <w:pStyle w:val="tablesyntax"/>
              <w:keepNext w:val="0"/>
              <w:keepLines w:val="0"/>
              <w:spacing w:before="20" w:after="40"/>
              <w:rPr>
                <w:rFonts w:ascii="Cambria" w:hAnsi="Cambria"/>
                <w:b/>
              </w:rPr>
            </w:pPr>
            <w:r w:rsidRPr="00A52AB8">
              <w:rPr>
                <w:rFonts w:ascii="Cambria" w:hAnsi="Cambria"/>
              </w:rPr>
              <w:tab/>
            </w:r>
            <w:r w:rsidRPr="00A52AB8">
              <w:rPr>
                <w:rFonts w:ascii="Cambria" w:hAnsi="Cambria"/>
              </w:rPr>
              <w:tab/>
              <w:t>if( </w:t>
            </w:r>
            <w:r w:rsidR="00B91FFE" w:rsidRPr="00A52AB8">
              <w:rPr>
                <w:rFonts w:ascii="Cambria" w:hAnsi="Cambria"/>
              </w:rPr>
              <w:t>daih_</w:t>
            </w:r>
            <w:r w:rsidRPr="00A52AB8">
              <w:rPr>
                <w:rFonts w:ascii="Cambria" w:hAnsi="Cambria"/>
              </w:rPr>
              <w:t>decoded_atlas_b2p_hash_present_flag )</w:t>
            </w:r>
          </w:p>
        </w:tc>
        <w:tc>
          <w:tcPr>
            <w:tcW w:w="1331" w:type="dxa"/>
            <w:tcBorders>
              <w:top w:val="single" w:sz="4" w:space="0" w:color="auto"/>
              <w:left w:val="single" w:sz="4" w:space="0" w:color="auto"/>
              <w:bottom w:val="single" w:sz="4" w:space="0" w:color="auto"/>
              <w:right w:val="single" w:sz="4" w:space="0" w:color="auto"/>
            </w:tcBorders>
          </w:tcPr>
          <w:p w14:paraId="04DF9AD5" w14:textId="77777777" w:rsidR="00214D0F" w:rsidRPr="00A52AB8" w:rsidRDefault="00214D0F" w:rsidP="009C6742">
            <w:pPr>
              <w:pStyle w:val="tableheading"/>
              <w:keepNext w:val="0"/>
              <w:keepLines w:val="0"/>
              <w:spacing w:before="20" w:after="40"/>
              <w:jc w:val="center"/>
              <w:rPr>
                <w:rFonts w:ascii="Cambria" w:hAnsi="Cambria"/>
                <w:b w:val="0"/>
              </w:rPr>
            </w:pPr>
          </w:p>
        </w:tc>
      </w:tr>
      <w:tr w:rsidR="00214D0F" w:rsidRPr="00A52AB8" w14:paraId="24239061" w14:textId="77777777" w:rsidTr="00D8175C">
        <w:trPr>
          <w:cantSplit/>
          <w:jc w:val="center"/>
        </w:trPr>
        <w:tc>
          <w:tcPr>
            <w:tcW w:w="8411" w:type="dxa"/>
            <w:tcBorders>
              <w:top w:val="single" w:sz="4" w:space="0" w:color="auto"/>
              <w:left w:val="single" w:sz="4" w:space="0" w:color="auto"/>
              <w:bottom w:val="single" w:sz="4" w:space="0" w:color="auto"/>
              <w:right w:val="single" w:sz="4" w:space="0" w:color="auto"/>
            </w:tcBorders>
          </w:tcPr>
          <w:p w14:paraId="67AE9803" w14:textId="5266531E" w:rsidR="00214D0F" w:rsidRPr="00A52AB8" w:rsidRDefault="00214D0F" w:rsidP="009C6742">
            <w:pPr>
              <w:pStyle w:val="tablesyntax"/>
              <w:keepNext w:val="0"/>
              <w:keepLines w:val="0"/>
              <w:spacing w:before="20" w:after="40"/>
              <w:rPr>
                <w:rFonts w:ascii="Cambria" w:hAnsi="Cambria"/>
              </w:rPr>
            </w:pPr>
            <w:r w:rsidRPr="00A52AB8">
              <w:rPr>
                <w:rFonts w:ascii="Cambria" w:hAnsi="Cambria"/>
              </w:rPr>
              <w:tab/>
            </w:r>
            <w:r w:rsidRPr="00A52AB8">
              <w:rPr>
                <w:rFonts w:ascii="Cambria" w:hAnsi="Cambria"/>
              </w:rPr>
              <w:tab/>
            </w:r>
            <w:r w:rsidRPr="00A52AB8">
              <w:rPr>
                <w:rFonts w:ascii="Cambria" w:hAnsi="Cambria"/>
              </w:rPr>
              <w:tab/>
            </w:r>
            <w:r w:rsidR="006F4EC9" w:rsidRPr="00A52AB8">
              <w:rPr>
                <w:rFonts w:ascii="Cambria" w:hAnsi="Cambria"/>
              </w:rPr>
              <w:t>decoded_atlas_b2p_hash</w:t>
            </w:r>
            <w:r w:rsidRPr="00A52AB8">
              <w:rPr>
                <w:rFonts w:ascii="Cambria" w:hAnsi="Cambria"/>
              </w:rPr>
              <w:t>(</w:t>
            </w:r>
            <w:r w:rsidR="00F34F8B" w:rsidRPr="00A52AB8">
              <w:rPr>
                <w:rFonts w:ascii="Cambria" w:hAnsi="Cambria"/>
              </w:rPr>
              <w:t> daih_hash_type </w:t>
            </w:r>
            <w:r w:rsidRPr="00A52AB8">
              <w:rPr>
                <w:rFonts w:ascii="Cambria" w:hAnsi="Cambria"/>
              </w:rPr>
              <w:t>)</w:t>
            </w:r>
          </w:p>
        </w:tc>
        <w:tc>
          <w:tcPr>
            <w:tcW w:w="1331" w:type="dxa"/>
            <w:tcBorders>
              <w:top w:val="single" w:sz="4" w:space="0" w:color="auto"/>
              <w:left w:val="single" w:sz="4" w:space="0" w:color="auto"/>
              <w:bottom w:val="single" w:sz="4" w:space="0" w:color="auto"/>
              <w:right w:val="single" w:sz="4" w:space="0" w:color="auto"/>
            </w:tcBorders>
          </w:tcPr>
          <w:p w14:paraId="300AA9DF" w14:textId="77777777" w:rsidR="00214D0F" w:rsidRPr="00A52AB8" w:rsidRDefault="00214D0F" w:rsidP="009C6742">
            <w:pPr>
              <w:pStyle w:val="tableheading"/>
              <w:keepNext w:val="0"/>
              <w:keepLines w:val="0"/>
              <w:spacing w:before="20" w:after="40"/>
              <w:jc w:val="center"/>
              <w:rPr>
                <w:rFonts w:ascii="Cambria" w:hAnsi="Cambria"/>
                <w:b w:val="0"/>
              </w:rPr>
            </w:pPr>
          </w:p>
        </w:tc>
      </w:tr>
      <w:tr w:rsidR="00214D0F" w:rsidRPr="00A52AB8" w14:paraId="6CAA70F0" w14:textId="77777777" w:rsidTr="00D8175C">
        <w:trPr>
          <w:cantSplit/>
          <w:jc w:val="center"/>
        </w:trPr>
        <w:tc>
          <w:tcPr>
            <w:tcW w:w="8411" w:type="dxa"/>
            <w:tcBorders>
              <w:top w:val="single" w:sz="4" w:space="0" w:color="auto"/>
              <w:left w:val="single" w:sz="4" w:space="0" w:color="auto"/>
              <w:bottom w:val="single" w:sz="4" w:space="0" w:color="auto"/>
              <w:right w:val="single" w:sz="4" w:space="0" w:color="auto"/>
            </w:tcBorders>
          </w:tcPr>
          <w:p w14:paraId="2D2FBEB7" w14:textId="722846BF" w:rsidR="00214D0F" w:rsidRPr="00A52AB8" w:rsidRDefault="00214D0F" w:rsidP="009C6742">
            <w:pPr>
              <w:pStyle w:val="tablesyntax"/>
              <w:keepNext w:val="0"/>
              <w:keepLines w:val="0"/>
              <w:spacing w:before="20" w:after="40"/>
              <w:rPr>
                <w:rFonts w:ascii="Cambria" w:hAnsi="Cambria"/>
              </w:rPr>
            </w:pPr>
            <w:r w:rsidRPr="00A52AB8">
              <w:rPr>
                <w:rFonts w:ascii="Cambria" w:hAnsi="Cambria"/>
              </w:rPr>
              <w:tab/>
            </w:r>
            <w:r w:rsidRPr="00A52AB8">
              <w:rPr>
                <w:rFonts w:ascii="Cambria" w:hAnsi="Cambria"/>
              </w:rPr>
              <w:tab/>
              <w:t>if( </w:t>
            </w:r>
            <w:r w:rsidR="00B91FFE" w:rsidRPr="00A52AB8">
              <w:rPr>
                <w:rFonts w:ascii="Cambria" w:hAnsi="Cambria"/>
              </w:rPr>
              <w:t>daih_</w:t>
            </w:r>
            <w:r w:rsidRPr="00A52AB8">
              <w:rPr>
                <w:rFonts w:ascii="Cambria" w:hAnsi="Cambria"/>
              </w:rPr>
              <w:t>decoded_atlas_tiles_hash_present_flag </w:t>
            </w:r>
            <w:r w:rsidR="008768E9" w:rsidRPr="00A52AB8">
              <w:rPr>
                <w:rFonts w:ascii="Cambria" w:hAnsi="Cambria"/>
              </w:rPr>
              <w:t>||</w:t>
            </w:r>
            <w:r w:rsidR="008505CD" w:rsidRPr="00A52AB8">
              <w:rPr>
                <w:rFonts w:ascii="Cambria" w:hAnsi="Cambria"/>
              </w:rPr>
              <w:br/>
            </w:r>
            <w:r w:rsidR="008505CD" w:rsidRPr="00A52AB8">
              <w:rPr>
                <w:rFonts w:ascii="Cambria" w:hAnsi="Cambria"/>
              </w:rPr>
              <w:tab/>
            </w:r>
            <w:r w:rsidR="008505CD" w:rsidRPr="00A52AB8">
              <w:rPr>
                <w:rFonts w:ascii="Cambria" w:hAnsi="Cambria"/>
              </w:rPr>
              <w:tab/>
            </w:r>
            <w:r w:rsidR="008505CD" w:rsidRPr="00A52AB8">
              <w:rPr>
                <w:rFonts w:ascii="Cambria" w:hAnsi="Cambria"/>
              </w:rPr>
              <w:tab/>
              <w:t> daih_decoded_atlas_tiles_b2p_hash_present_flag </w:t>
            </w:r>
            <w:r w:rsidR="008F1F82" w:rsidRPr="00A52AB8">
              <w:rPr>
                <w:rFonts w:ascii="Cambria" w:hAnsi="Cambria"/>
              </w:rPr>
              <w:t>) {</w:t>
            </w:r>
          </w:p>
        </w:tc>
        <w:tc>
          <w:tcPr>
            <w:tcW w:w="1331" w:type="dxa"/>
            <w:tcBorders>
              <w:top w:val="single" w:sz="4" w:space="0" w:color="auto"/>
              <w:left w:val="single" w:sz="4" w:space="0" w:color="auto"/>
              <w:bottom w:val="single" w:sz="4" w:space="0" w:color="auto"/>
              <w:right w:val="single" w:sz="4" w:space="0" w:color="auto"/>
            </w:tcBorders>
          </w:tcPr>
          <w:p w14:paraId="1BB43D90" w14:textId="77777777" w:rsidR="00214D0F" w:rsidRPr="00A52AB8" w:rsidRDefault="00214D0F" w:rsidP="009C6742">
            <w:pPr>
              <w:pStyle w:val="tableheading"/>
              <w:keepNext w:val="0"/>
              <w:keepLines w:val="0"/>
              <w:spacing w:before="20" w:after="40"/>
              <w:jc w:val="center"/>
              <w:rPr>
                <w:rFonts w:ascii="Cambria" w:hAnsi="Cambria"/>
                <w:b w:val="0"/>
                <w:bCs w:val="0"/>
              </w:rPr>
            </w:pPr>
          </w:p>
        </w:tc>
      </w:tr>
      <w:tr w:rsidR="00214D0F" w:rsidRPr="00A52AB8" w14:paraId="12B5DFF4" w14:textId="77777777" w:rsidTr="00D8175C">
        <w:trPr>
          <w:cantSplit/>
          <w:jc w:val="center"/>
        </w:trPr>
        <w:tc>
          <w:tcPr>
            <w:tcW w:w="8411" w:type="dxa"/>
            <w:tcBorders>
              <w:top w:val="single" w:sz="4" w:space="0" w:color="auto"/>
              <w:left w:val="single" w:sz="4" w:space="0" w:color="auto"/>
              <w:bottom w:val="single" w:sz="4" w:space="0" w:color="auto"/>
              <w:right w:val="single" w:sz="4" w:space="0" w:color="auto"/>
            </w:tcBorders>
          </w:tcPr>
          <w:p w14:paraId="61BB86CB" w14:textId="77777777" w:rsidR="00214D0F" w:rsidRPr="00A52AB8" w:rsidRDefault="00214D0F" w:rsidP="009C6742">
            <w:pPr>
              <w:pStyle w:val="tablesyntax"/>
              <w:keepNext w:val="0"/>
              <w:keepLines w:val="0"/>
              <w:spacing w:before="20" w:after="40"/>
              <w:rPr>
                <w:rFonts w:ascii="Cambria" w:hAnsi="Cambria"/>
              </w:rPr>
            </w:pPr>
            <w:r w:rsidRPr="00A52AB8">
              <w:rPr>
                <w:rFonts w:ascii="Cambria" w:hAnsi="Cambria"/>
              </w:rPr>
              <w:tab/>
            </w:r>
            <w:bookmarkStart w:id="5412" w:name="_Hlk35610811"/>
            <w:r w:rsidRPr="00A52AB8">
              <w:rPr>
                <w:rFonts w:ascii="Cambria" w:hAnsi="Cambria"/>
              </w:rPr>
              <w:tab/>
            </w:r>
            <w:r w:rsidRPr="00A52AB8">
              <w:rPr>
                <w:rFonts w:ascii="Cambria" w:hAnsi="Cambria"/>
              </w:rPr>
              <w:tab/>
            </w:r>
            <w:r w:rsidRPr="00A52AB8">
              <w:rPr>
                <w:rFonts w:ascii="Cambria" w:hAnsi="Cambria"/>
                <w:b/>
                <w:bCs/>
              </w:rPr>
              <w:t>daih_</w:t>
            </w:r>
            <w:r w:rsidRPr="00A52AB8">
              <w:rPr>
                <w:rFonts w:ascii="Cambria" w:hAnsi="Cambria"/>
                <w:b/>
              </w:rPr>
              <w:t>num_tiles_minus1</w:t>
            </w:r>
            <w:bookmarkEnd w:id="5412"/>
          </w:p>
        </w:tc>
        <w:tc>
          <w:tcPr>
            <w:tcW w:w="1331" w:type="dxa"/>
            <w:tcBorders>
              <w:top w:val="single" w:sz="4" w:space="0" w:color="auto"/>
              <w:left w:val="single" w:sz="4" w:space="0" w:color="auto"/>
              <w:bottom w:val="single" w:sz="4" w:space="0" w:color="auto"/>
              <w:right w:val="single" w:sz="4" w:space="0" w:color="auto"/>
            </w:tcBorders>
          </w:tcPr>
          <w:p w14:paraId="722F1141" w14:textId="77777777" w:rsidR="00214D0F" w:rsidRPr="00A52AB8" w:rsidRDefault="00214D0F" w:rsidP="009C6742">
            <w:pPr>
              <w:pStyle w:val="tableheading"/>
              <w:keepNext w:val="0"/>
              <w:keepLines w:val="0"/>
              <w:spacing w:before="20" w:after="40"/>
              <w:jc w:val="center"/>
              <w:rPr>
                <w:rFonts w:ascii="Cambria" w:hAnsi="Cambria"/>
                <w:b w:val="0"/>
                <w:bCs w:val="0"/>
              </w:rPr>
            </w:pPr>
            <w:r w:rsidRPr="00A52AB8">
              <w:rPr>
                <w:rFonts w:ascii="Cambria" w:hAnsi="Cambria"/>
                <w:b w:val="0"/>
                <w:bCs w:val="0"/>
              </w:rPr>
              <w:t>ue(v)</w:t>
            </w:r>
          </w:p>
        </w:tc>
      </w:tr>
      <w:tr w:rsidR="00214D0F" w:rsidRPr="00A52AB8" w14:paraId="27C48010" w14:textId="77777777" w:rsidTr="00D8175C">
        <w:trPr>
          <w:cantSplit/>
          <w:jc w:val="center"/>
        </w:trPr>
        <w:tc>
          <w:tcPr>
            <w:tcW w:w="8411" w:type="dxa"/>
            <w:tcBorders>
              <w:top w:val="single" w:sz="4" w:space="0" w:color="auto"/>
              <w:left w:val="single" w:sz="4" w:space="0" w:color="auto"/>
              <w:bottom w:val="single" w:sz="4" w:space="0" w:color="auto"/>
              <w:right w:val="single" w:sz="4" w:space="0" w:color="auto"/>
            </w:tcBorders>
          </w:tcPr>
          <w:p w14:paraId="665D587F" w14:textId="77777777" w:rsidR="00214D0F" w:rsidRPr="00A52AB8" w:rsidRDefault="00214D0F" w:rsidP="009C6742">
            <w:pPr>
              <w:pStyle w:val="tablesyntax"/>
              <w:keepNext w:val="0"/>
              <w:keepLines w:val="0"/>
              <w:spacing w:before="20" w:after="40"/>
              <w:rPr>
                <w:rFonts w:ascii="Cambria" w:hAnsi="Cambria"/>
              </w:rPr>
            </w:pPr>
            <w:r w:rsidRPr="00A52AB8">
              <w:rPr>
                <w:rFonts w:ascii="Cambria" w:hAnsi="Cambria"/>
              </w:rPr>
              <w:tab/>
            </w:r>
            <w:r w:rsidRPr="00A52AB8">
              <w:rPr>
                <w:rFonts w:ascii="Cambria" w:hAnsi="Cambria"/>
              </w:rPr>
              <w:tab/>
            </w:r>
            <w:r w:rsidRPr="00A52AB8">
              <w:rPr>
                <w:rFonts w:ascii="Cambria" w:hAnsi="Cambria"/>
              </w:rPr>
              <w:tab/>
            </w:r>
            <w:r w:rsidRPr="00A52AB8">
              <w:rPr>
                <w:rFonts w:ascii="Cambria" w:hAnsi="Cambria"/>
                <w:b/>
                <w:bCs/>
              </w:rPr>
              <w:t>daih_</w:t>
            </w:r>
            <w:r w:rsidRPr="00A52AB8">
              <w:rPr>
                <w:rFonts w:ascii="Cambria" w:hAnsi="Cambria"/>
                <w:b/>
              </w:rPr>
              <w:t>tile_id_len_minus1</w:t>
            </w:r>
          </w:p>
        </w:tc>
        <w:tc>
          <w:tcPr>
            <w:tcW w:w="1331" w:type="dxa"/>
            <w:tcBorders>
              <w:top w:val="single" w:sz="4" w:space="0" w:color="auto"/>
              <w:left w:val="single" w:sz="4" w:space="0" w:color="auto"/>
              <w:bottom w:val="single" w:sz="4" w:space="0" w:color="auto"/>
              <w:right w:val="single" w:sz="4" w:space="0" w:color="auto"/>
            </w:tcBorders>
          </w:tcPr>
          <w:p w14:paraId="2618FD92" w14:textId="77777777" w:rsidR="00214D0F" w:rsidRPr="00A52AB8" w:rsidRDefault="00214D0F" w:rsidP="009C6742">
            <w:pPr>
              <w:pStyle w:val="tableheading"/>
              <w:keepNext w:val="0"/>
              <w:keepLines w:val="0"/>
              <w:spacing w:before="20" w:after="40"/>
              <w:jc w:val="center"/>
              <w:rPr>
                <w:rFonts w:ascii="Cambria" w:hAnsi="Cambria"/>
              </w:rPr>
            </w:pPr>
            <w:r w:rsidRPr="00A52AB8">
              <w:rPr>
                <w:rFonts w:ascii="Cambria" w:hAnsi="Cambria"/>
                <w:b w:val="0"/>
              </w:rPr>
              <w:t>ue(v)</w:t>
            </w:r>
          </w:p>
        </w:tc>
      </w:tr>
      <w:tr w:rsidR="00214D0F" w:rsidRPr="00A52AB8" w14:paraId="33017613" w14:textId="77777777" w:rsidTr="00D8175C">
        <w:trPr>
          <w:cantSplit/>
          <w:jc w:val="center"/>
        </w:trPr>
        <w:tc>
          <w:tcPr>
            <w:tcW w:w="8411" w:type="dxa"/>
            <w:tcBorders>
              <w:top w:val="single" w:sz="4" w:space="0" w:color="auto"/>
              <w:left w:val="single" w:sz="4" w:space="0" w:color="auto"/>
              <w:bottom w:val="single" w:sz="4" w:space="0" w:color="auto"/>
              <w:right w:val="single" w:sz="4" w:space="0" w:color="auto"/>
            </w:tcBorders>
          </w:tcPr>
          <w:p w14:paraId="3871BE3B" w14:textId="1070222E" w:rsidR="00214D0F" w:rsidRPr="00A52AB8" w:rsidRDefault="00214D0F" w:rsidP="009C6742">
            <w:pPr>
              <w:pStyle w:val="tablesyntax"/>
              <w:keepNext w:val="0"/>
              <w:keepLines w:val="0"/>
              <w:spacing w:before="20" w:after="40"/>
              <w:rPr>
                <w:rFonts w:ascii="Cambria" w:hAnsi="Cambria"/>
              </w:rPr>
            </w:pPr>
            <w:r w:rsidRPr="00A52AB8">
              <w:rPr>
                <w:rFonts w:ascii="Cambria" w:hAnsi="Cambria"/>
              </w:rPr>
              <w:tab/>
            </w:r>
            <w:r w:rsidRPr="00A52AB8">
              <w:rPr>
                <w:rFonts w:ascii="Cambria" w:hAnsi="Cambria"/>
              </w:rPr>
              <w:tab/>
            </w:r>
            <w:r w:rsidRPr="00A52AB8">
              <w:rPr>
                <w:rFonts w:ascii="Cambria" w:hAnsi="Cambria"/>
              </w:rPr>
              <w:tab/>
              <w:t>for( t</w:t>
            </w:r>
            <w:r w:rsidR="00D47707" w:rsidRPr="00A52AB8">
              <w:rPr>
                <w:rFonts w:ascii="Cambria" w:hAnsi="Cambria"/>
              </w:rPr>
              <w:t> = </w:t>
            </w:r>
            <w:r w:rsidRPr="00A52AB8">
              <w:rPr>
                <w:rFonts w:ascii="Cambria" w:hAnsi="Cambria"/>
              </w:rPr>
              <w:t>0; t </w:t>
            </w:r>
            <w:r w:rsidR="00A234FD" w:rsidRPr="00A52AB8">
              <w:rPr>
                <w:rFonts w:ascii="Cambria" w:hAnsi="Cambria"/>
              </w:rPr>
              <w:t>&lt;=</w:t>
            </w:r>
            <w:r w:rsidR="00D47707" w:rsidRPr="00A52AB8">
              <w:rPr>
                <w:rFonts w:ascii="Cambria" w:hAnsi="Cambria"/>
              </w:rPr>
              <w:t> </w:t>
            </w:r>
            <w:r w:rsidRPr="00A52AB8">
              <w:rPr>
                <w:rFonts w:ascii="Cambria" w:hAnsi="Cambria"/>
                <w:bCs/>
              </w:rPr>
              <w:t>daih</w:t>
            </w:r>
            <w:r w:rsidRPr="00A52AB8">
              <w:rPr>
                <w:rFonts w:ascii="Cambria" w:hAnsi="Cambria"/>
                <w:b/>
                <w:bCs/>
              </w:rPr>
              <w:t>_</w:t>
            </w:r>
            <w:r w:rsidRPr="00A52AB8">
              <w:rPr>
                <w:rFonts w:ascii="Cambria" w:hAnsi="Cambria"/>
              </w:rPr>
              <w:t>num_tiles_minus1; t</w:t>
            </w:r>
            <w:r w:rsidR="00006CCF" w:rsidRPr="00A52AB8">
              <w:rPr>
                <w:rFonts w:ascii="Cambria" w:hAnsi="Cambria"/>
              </w:rPr>
              <w:t>++ )</w:t>
            </w:r>
            <w:r w:rsidRPr="00A52AB8">
              <w:rPr>
                <w:rFonts w:ascii="Cambria" w:hAnsi="Cambria"/>
              </w:rPr>
              <w:t xml:space="preserve"> </w:t>
            </w:r>
          </w:p>
        </w:tc>
        <w:tc>
          <w:tcPr>
            <w:tcW w:w="1331" w:type="dxa"/>
            <w:tcBorders>
              <w:top w:val="single" w:sz="4" w:space="0" w:color="auto"/>
              <w:left w:val="single" w:sz="4" w:space="0" w:color="auto"/>
              <w:bottom w:val="single" w:sz="4" w:space="0" w:color="auto"/>
              <w:right w:val="single" w:sz="4" w:space="0" w:color="auto"/>
            </w:tcBorders>
          </w:tcPr>
          <w:p w14:paraId="7E9B9DCB" w14:textId="77777777" w:rsidR="00214D0F" w:rsidRPr="00A52AB8" w:rsidRDefault="00214D0F" w:rsidP="009C6742">
            <w:pPr>
              <w:pStyle w:val="tableheading"/>
              <w:keepNext w:val="0"/>
              <w:keepLines w:val="0"/>
              <w:spacing w:before="20" w:after="40"/>
              <w:jc w:val="center"/>
              <w:rPr>
                <w:rFonts w:ascii="Cambria" w:hAnsi="Cambria"/>
                <w:b w:val="0"/>
              </w:rPr>
            </w:pPr>
          </w:p>
        </w:tc>
      </w:tr>
      <w:tr w:rsidR="00214D0F" w:rsidRPr="00A52AB8" w14:paraId="4EE0E32B" w14:textId="77777777" w:rsidTr="00D8175C">
        <w:trPr>
          <w:cantSplit/>
          <w:jc w:val="center"/>
        </w:trPr>
        <w:tc>
          <w:tcPr>
            <w:tcW w:w="8411" w:type="dxa"/>
            <w:tcBorders>
              <w:top w:val="single" w:sz="4" w:space="0" w:color="auto"/>
              <w:left w:val="single" w:sz="4" w:space="0" w:color="auto"/>
              <w:bottom w:val="single" w:sz="4" w:space="0" w:color="auto"/>
              <w:right w:val="single" w:sz="4" w:space="0" w:color="auto"/>
            </w:tcBorders>
            <w:hideMark/>
          </w:tcPr>
          <w:p w14:paraId="5A1B7E28" w14:textId="77777777" w:rsidR="00214D0F" w:rsidRPr="00A52AB8" w:rsidRDefault="00214D0F" w:rsidP="009C6742">
            <w:pPr>
              <w:pStyle w:val="tablesyntax"/>
              <w:keepNext w:val="0"/>
              <w:keepLines w:val="0"/>
              <w:spacing w:before="20" w:after="40"/>
              <w:rPr>
                <w:rFonts w:ascii="Cambria" w:hAnsi="Cambria"/>
              </w:rPr>
            </w:pPr>
            <w:r w:rsidRPr="00A52AB8">
              <w:rPr>
                <w:rFonts w:ascii="Cambria" w:hAnsi="Cambria"/>
              </w:rPr>
              <w:tab/>
            </w:r>
            <w:r w:rsidRPr="00A52AB8">
              <w:rPr>
                <w:rFonts w:ascii="Cambria" w:hAnsi="Cambria"/>
              </w:rPr>
              <w:tab/>
            </w:r>
            <w:bookmarkStart w:id="5413" w:name="_Hlk35610824"/>
            <w:r w:rsidRPr="00A52AB8">
              <w:rPr>
                <w:rFonts w:ascii="Cambria" w:hAnsi="Cambria"/>
              </w:rPr>
              <w:tab/>
            </w:r>
            <w:r w:rsidRPr="00A52AB8">
              <w:rPr>
                <w:rFonts w:ascii="Cambria" w:hAnsi="Cambria"/>
              </w:rPr>
              <w:tab/>
            </w:r>
            <w:r w:rsidRPr="00A52AB8">
              <w:rPr>
                <w:rFonts w:ascii="Cambria" w:hAnsi="Cambria"/>
                <w:b/>
                <w:bCs/>
              </w:rPr>
              <w:t>daih_tile_id</w:t>
            </w:r>
            <w:r w:rsidRPr="00A52AB8">
              <w:rPr>
                <w:rFonts w:ascii="Cambria" w:hAnsi="Cambria"/>
                <w:bCs/>
              </w:rPr>
              <w:t>[ t ]</w:t>
            </w:r>
            <w:bookmarkEnd w:id="5413"/>
          </w:p>
        </w:tc>
        <w:tc>
          <w:tcPr>
            <w:tcW w:w="1331" w:type="dxa"/>
            <w:tcBorders>
              <w:top w:val="single" w:sz="4" w:space="0" w:color="auto"/>
              <w:left w:val="single" w:sz="4" w:space="0" w:color="auto"/>
              <w:bottom w:val="single" w:sz="4" w:space="0" w:color="auto"/>
              <w:right w:val="single" w:sz="4" w:space="0" w:color="auto"/>
            </w:tcBorders>
            <w:hideMark/>
          </w:tcPr>
          <w:p w14:paraId="6BC3BAC4" w14:textId="77777777" w:rsidR="00214D0F" w:rsidRPr="00A52AB8" w:rsidRDefault="00214D0F" w:rsidP="009C6742">
            <w:pPr>
              <w:pStyle w:val="tableheading"/>
              <w:keepNext w:val="0"/>
              <w:keepLines w:val="0"/>
              <w:spacing w:before="20" w:after="40"/>
              <w:jc w:val="center"/>
              <w:rPr>
                <w:rFonts w:ascii="Cambria" w:hAnsi="Cambria"/>
                <w:b w:val="0"/>
                <w:bCs w:val="0"/>
              </w:rPr>
            </w:pPr>
            <w:r w:rsidRPr="00A52AB8">
              <w:rPr>
                <w:rFonts w:ascii="Cambria" w:hAnsi="Cambria"/>
                <w:b w:val="0"/>
              </w:rPr>
              <w:t>u(v)</w:t>
            </w:r>
          </w:p>
        </w:tc>
      </w:tr>
      <w:tr w:rsidR="00214D0F" w:rsidRPr="00A52AB8" w14:paraId="718615FE" w14:textId="77777777" w:rsidTr="00D8175C">
        <w:trPr>
          <w:cantSplit/>
          <w:jc w:val="center"/>
        </w:trPr>
        <w:tc>
          <w:tcPr>
            <w:tcW w:w="8411" w:type="dxa"/>
            <w:tcBorders>
              <w:top w:val="single" w:sz="4" w:space="0" w:color="auto"/>
              <w:left w:val="single" w:sz="4" w:space="0" w:color="auto"/>
              <w:bottom w:val="single" w:sz="4" w:space="0" w:color="auto"/>
              <w:right w:val="single" w:sz="4" w:space="0" w:color="auto"/>
            </w:tcBorders>
          </w:tcPr>
          <w:p w14:paraId="2477CD1A" w14:textId="77777777" w:rsidR="00214D0F" w:rsidRPr="00A52AB8" w:rsidRDefault="00214D0F" w:rsidP="009C6742">
            <w:pPr>
              <w:pStyle w:val="tablesyntax"/>
              <w:keepNext w:val="0"/>
              <w:keepLines w:val="0"/>
              <w:spacing w:before="20" w:after="40"/>
              <w:rPr>
                <w:rFonts w:ascii="Cambria" w:hAnsi="Cambria"/>
              </w:rPr>
            </w:pPr>
            <w:r w:rsidRPr="00A52AB8">
              <w:rPr>
                <w:rFonts w:ascii="Cambria" w:hAnsi="Cambria"/>
              </w:rPr>
              <w:tab/>
            </w:r>
            <w:r w:rsidRPr="00A52AB8">
              <w:rPr>
                <w:rFonts w:ascii="Cambria" w:hAnsi="Cambria"/>
              </w:rPr>
              <w:tab/>
            </w:r>
            <w:r w:rsidRPr="00A52AB8">
              <w:rPr>
                <w:rFonts w:ascii="Cambria" w:hAnsi="Cambria"/>
              </w:rPr>
              <w:tab/>
              <w:t>byte_align( )</w:t>
            </w:r>
          </w:p>
        </w:tc>
        <w:tc>
          <w:tcPr>
            <w:tcW w:w="1331" w:type="dxa"/>
            <w:tcBorders>
              <w:top w:val="single" w:sz="4" w:space="0" w:color="auto"/>
              <w:left w:val="single" w:sz="4" w:space="0" w:color="auto"/>
              <w:bottom w:val="single" w:sz="4" w:space="0" w:color="auto"/>
              <w:right w:val="single" w:sz="4" w:space="0" w:color="auto"/>
            </w:tcBorders>
          </w:tcPr>
          <w:p w14:paraId="2304282D" w14:textId="77777777" w:rsidR="00214D0F" w:rsidRPr="00A52AB8" w:rsidRDefault="00214D0F" w:rsidP="009C6742">
            <w:pPr>
              <w:pStyle w:val="tableheading"/>
              <w:keepNext w:val="0"/>
              <w:keepLines w:val="0"/>
              <w:spacing w:before="20" w:after="40"/>
              <w:jc w:val="center"/>
              <w:rPr>
                <w:rFonts w:ascii="Cambria" w:hAnsi="Cambria"/>
                <w:b w:val="0"/>
              </w:rPr>
            </w:pPr>
          </w:p>
        </w:tc>
      </w:tr>
      <w:tr w:rsidR="00214D0F" w:rsidRPr="00A52AB8" w14:paraId="5DFC80B4" w14:textId="77777777" w:rsidTr="00D8175C">
        <w:trPr>
          <w:cantSplit/>
          <w:jc w:val="center"/>
        </w:trPr>
        <w:tc>
          <w:tcPr>
            <w:tcW w:w="8411" w:type="dxa"/>
            <w:tcBorders>
              <w:top w:val="single" w:sz="4" w:space="0" w:color="auto"/>
              <w:left w:val="single" w:sz="4" w:space="0" w:color="auto"/>
              <w:bottom w:val="single" w:sz="4" w:space="0" w:color="auto"/>
              <w:right w:val="single" w:sz="4" w:space="0" w:color="auto"/>
            </w:tcBorders>
          </w:tcPr>
          <w:p w14:paraId="4006B4B3" w14:textId="556530BF" w:rsidR="00214D0F" w:rsidRPr="00A52AB8" w:rsidRDefault="00214D0F" w:rsidP="009C6742">
            <w:pPr>
              <w:pStyle w:val="tablesyntax"/>
              <w:keepNext w:val="0"/>
              <w:keepLines w:val="0"/>
              <w:spacing w:before="20" w:after="40"/>
              <w:rPr>
                <w:rFonts w:ascii="Cambria" w:hAnsi="Cambria"/>
              </w:rPr>
            </w:pPr>
            <w:r w:rsidRPr="00A52AB8">
              <w:rPr>
                <w:rFonts w:ascii="Cambria" w:hAnsi="Cambria"/>
              </w:rPr>
              <w:tab/>
            </w:r>
            <w:r w:rsidRPr="00A52AB8">
              <w:rPr>
                <w:rFonts w:ascii="Cambria" w:hAnsi="Cambria"/>
              </w:rPr>
              <w:tab/>
            </w:r>
            <w:r w:rsidRPr="00A52AB8">
              <w:rPr>
                <w:rFonts w:ascii="Cambria" w:hAnsi="Cambria"/>
              </w:rPr>
              <w:tab/>
              <w:t>for( t</w:t>
            </w:r>
            <w:r w:rsidR="00D47707" w:rsidRPr="00A52AB8">
              <w:rPr>
                <w:rFonts w:ascii="Cambria" w:hAnsi="Cambria"/>
              </w:rPr>
              <w:t> = </w:t>
            </w:r>
            <w:r w:rsidRPr="00A52AB8">
              <w:rPr>
                <w:rFonts w:ascii="Cambria" w:hAnsi="Cambria"/>
              </w:rPr>
              <w:t>0; t </w:t>
            </w:r>
            <w:r w:rsidR="00A234FD" w:rsidRPr="00A52AB8">
              <w:rPr>
                <w:rFonts w:ascii="Cambria" w:hAnsi="Cambria"/>
              </w:rPr>
              <w:t>&lt;=</w:t>
            </w:r>
            <w:r w:rsidR="00D47707" w:rsidRPr="00A52AB8">
              <w:rPr>
                <w:rFonts w:ascii="Cambria" w:hAnsi="Cambria"/>
              </w:rPr>
              <w:t> </w:t>
            </w:r>
            <w:r w:rsidRPr="00A52AB8">
              <w:rPr>
                <w:rFonts w:ascii="Cambria" w:hAnsi="Cambria"/>
                <w:bCs/>
              </w:rPr>
              <w:t>daih</w:t>
            </w:r>
            <w:r w:rsidRPr="00A52AB8">
              <w:rPr>
                <w:rFonts w:ascii="Cambria" w:hAnsi="Cambria"/>
                <w:b/>
                <w:bCs/>
              </w:rPr>
              <w:t>_</w:t>
            </w:r>
            <w:r w:rsidRPr="00A52AB8">
              <w:rPr>
                <w:rFonts w:ascii="Cambria" w:hAnsi="Cambria"/>
              </w:rPr>
              <w:t>num_tiles_minus1; t</w:t>
            </w:r>
            <w:r w:rsidR="00006CCF" w:rsidRPr="00A52AB8">
              <w:rPr>
                <w:rFonts w:ascii="Cambria" w:hAnsi="Cambria"/>
              </w:rPr>
              <w:t>++ </w:t>
            </w:r>
            <w:r w:rsidR="008F1F82" w:rsidRPr="00A52AB8">
              <w:rPr>
                <w:rFonts w:ascii="Cambria" w:hAnsi="Cambria"/>
              </w:rPr>
              <w:t>) {</w:t>
            </w:r>
          </w:p>
        </w:tc>
        <w:tc>
          <w:tcPr>
            <w:tcW w:w="1331" w:type="dxa"/>
            <w:tcBorders>
              <w:top w:val="single" w:sz="4" w:space="0" w:color="auto"/>
              <w:left w:val="single" w:sz="4" w:space="0" w:color="auto"/>
              <w:bottom w:val="single" w:sz="4" w:space="0" w:color="auto"/>
              <w:right w:val="single" w:sz="4" w:space="0" w:color="auto"/>
            </w:tcBorders>
          </w:tcPr>
          <w:p w14:paraId="5C4F0194" w14:textId="77777777" w:rsidR="00214D0F" w:rsidRPr="00A52AB8" w:rsidRDefault="00214D0F" w:rsidP="009C6742">
            <w:pPr>
              <w:pStyle w:val="tableheading"/>
              <w:keepNext w:val="0"/>
              <w:keepLines w:val="0"/>
              <w:spacing w:before="20" w:after="40"/>
              <w:jc w:val="center"/>
              <w:rPr>
                <w:rFonts w:ascii="Cambria" w:hAnsi="Cambria"/>
                <w:b w:val="0"/>
                <w:bCs w:val="0"/>
              </w:rPr>
            </w:pPr>
          </w:p>
        </w:tc>
      </w:tr>
      <w:tr w:rsidR="00214D0F" w:rsidRPr="00A52AB8" w14:paraId="5F3EC6AA" w14:textId="77777777" w:rsidTr="00D8175C">
        <w:trPr>
          <w:cantSplit/>
          <w:jc w:val="center"/>
        </w:trPr>
        <w:tc>
          <w:tcPr>
            <w:tcW w:w="8411" w:type="dxa"/>
            <w:tcBorders>
              <w:top w:val="single" w:sz="4" w:space="0" w:color="auto"/>
              <w:left w:val="single" w:sz="4" w:space="0" w:color="auto"/>
              <w:bottom w:val="single" w:sz="4" w:space="0" w:color="auto"/>
              <w:right w:val="single" w:sz="4" w:space="0" w:color="auto"/>
            </w:tcBorders>
          </w:tcPr>
          <w:p w14:paraId="3AE24F7C" w14:textId="260BEF39" w:rsidR="00214D0F" w:rsidRPr="00A52AB8" w:rsidRDefault="00214D0F" w:rsidP="009C6742">
            <w:pPr>
              <w:pStyle w:val="tablesyntax"/>
              <w:keepNext w:val="0"/>
              <w:keepLines w:val="0"/>
              <w:spacing w:before="20" w:after="40"/>
              <w:rPr>
                <w:rFonts w:ascii="Cambria" w:hAnsi="Cambria"/>
              </w:rPr>
            </w:pPr>
            <w:r w:rsidRPr="00A52AB8">
              <w:rPr>
                <w:rFonts w:ascii="Cambria" w:hAnsi="Cambria"/>
              </w:rPr>
              <w:tab/>
            </w:r>
            <w:r w:rsidRPr="00A52AB8">
              <w:rPr>
                <w:rFonts w:ascii="Cambria" w:hAnsi="Cambria"/>
              </w:rPr>
              <w:tab/>
            </w:r>
            <w:r w:rsidRPr="00A52AB8">
              <w:rPr>
                <w:rFonts w:ascii="Cambria" w:hAnsi="Cambria"/>
              </w:rPr>
              <w:tab/>
            </w:r>
            <w:r w:rsidRPr="00A52AB8">
              <w:rPr>
                <w:rFonts w:ascii="Cambria" w:hAnsi="Cambria"/>
              </w:rPr>
              <w:tab/>
              <w:t>j</w:t>
            </w:r>
            <w:r w:rsidR="00D47707" w:rsidRPr="00A52AB8">
              <w:rPr>
                <w:rFonts w:ascii="Cambria" w:hAnsi="Cambria"/>
              </w:rPr>
              <w:t> = </w:t>
            </w:r>
            <w:r w:rsidRPr="00A52AB8">
              <w:rPr>
                <w:rFonts w:ascii="Cambria" w:hAnsi="Cambria"/>
                <w:bCs/>
              </w:rPr>
              <w:t>daih_tile_id[ t</w:t>
            </w:r>
            <w:r w:rsidRPr="00A52AB8">
              <w:rPr>
                <w:rFonts w:ascii="Cambria" w:hAnsi="Cambria"/>
                <w:b/>
                <w:bCs/>
              </w:rPr>
              <w:t> </w:t>
            </w:r>
            <w:r w:rsidRPr="00A52AB8">
              <w:rPr>
                <w:rFonts w:ascii="Cambria" w:hAnsi="Cambria"/>
                <w:bCs/>
              </w:rPr>
              <w:t>]</w:t>
            </w:r>
          </w:p>
        </w:tc>
        <w:tc>
          <w:tcPr>
            <w:tcW w:w="1331" w:type="dxa"/>
            <w:tcBorders>
              <w:top w:val="single" w:sz="4" w:space="0" w:color="auto"/>
              <w:left w:val="single" w:sz="4" w:space="0" w:color="auto"/>
              <w:bottom w:val="single" w:sz="4" w:space="0" w:color="auto"/>
              <w:right w:val="single" w:sz="4" w:space="0" w:color="auto"/>
            </w:tcBorders>
          </w:tcPr>
          <w:p w14:paraId="17101693" w14:textId="77777777" w:rsidR="00214D0F" w:rsidRPr="00A52AB8" w:rsidRDefault="00214D0F" w:rsidP="009C6742">
            <w:pPr>
              <w:pStyle w:val="tableheading"/>
              <w:keepNext w:val="0"/>
              <w:keepLines w:val="0"/>
              <w:spacing w:before="20" w:after="40"/>
              <w:jc w:val="center"/>
              <w:rPr>
                <w:rFonts w:ascii="Cambria" w:hAnsi="Cambria"/>
                <w:b w:val="0"/>
                <w:bCs w:val="0"/>
              </w:rPr>
            </w:pPr>
          </w:p>
        </w:tc>
      </w:tr>
      <w:tr w:rsidR="00214D0F" w:rsidRPr="00A52AB8" w14:paraId="7F23454D" w14:textId="77777777" w:rsidTr="00D8175C">
        <w:trPr>
          <w:cantSplit/>
          <w:jc w:val="center"/>
        </w:trPr>
        <w:tc>
          <w:tcPr>
            <w:tcW w:w="8411" w:type="dxa"/>
            <w:tcBorders>
              <w:top w:val="single" w:sz="4" w:space="0" w:color="auto"/>
              <w:left w:val="single" w:sz="4" w:space="0" w:color="auto"/>
              <w:bottom w:val="single" w:sz="4" w:space="0" w:color="auto"/>
              <w:right w:val="single" w:sz="4" w:space="0" w:color="auto"/>
            </w:tcBorders>
          </w:tcPr>
          <w:p w14:paraId="0658499E" w14:textId="1EEEACE1" w:rsidR="00214D0F" w:rsidRPr="00A52AB8" w:rsidRDefault="00214D0F" w:rsidP="009C6742">
            <w:pPr>
              <w:pStyle w:val="tablesyntax"/>
              <w:keepNext w:val="0"/>
              <w:keepLines w:val="0"/>
              <w:spacing w:before="20" w:after="40"/>
              <w:rPr>
                <w:rFonts w:ascii="Cambria" w:hAnsi="Cambria"/>
              </w:rPr>
            </w:pPr>
            <w:r w:rsidRPr="00A52AB8">
              <w:rPr>
                <w:rFonts w:ascii="Cambria" w:hAnsi="Cambria"/>
              </w:rPr>
              <w:tab/>
            </w:r>
            <w:r w:rsidRPr="00A52AB8">
              <w:rPr>
                <w:rFonts w:ascii="Cambria" w:hAnsi="Cambria"/>
              </w:rPr>
              <w:tab/>
            </w:r>
            <w:r w:rsidRPr="00A52AB8">
              <w:rPr>
                <w:rFonts w:ascii="Cambria" w:hAnsi="Cambria"/>
              </w:rPr>
              <w:tab/>
            </w:r>
            <w:r w:rsidRPr="00A52AB8">
              <w:rPr>
                <w:rFonts w:ascii="Cambria" w:hAnsi="Cambria"/>
              </w:rPr>
              <w:tab/>
              <w:t>if( </w:t>
            </w:r>
            <w:r w:rsidR="00B91FFE" w:rsidRPr="00A52AB8">
              <w:rPr>
                <w:rFonts w:ascii="Cambria" w:hAnsi="Cambria"/>
              </w:rPr>
              <w:t>daih_</w:t>
            </w:r>
            <w:r w:rsidRPr="00A52AB8">
              <w:rPr>
                <w:rFonts w:ascii="Cambria" w:hAnsi="Cambria"/>
              </w:rPr>
              <w:t>decoded_atlas_tiles_hash_present_flag )</w:t>
            </w:r>
          </w:p>
        </w:tc>
        <w:tc>
          <w:tcPr>
            <w:tcW w:w="1331" w:type="dxa"/>
            <w:tcBorders>
              <w:top w:val="single" w:sz="4" w:space="0" w:color="auto"/>
              <w:left w:val="single" w:sz="4" w:space="0" w:color="auto"/>
              <w:bottom w:val="single" w:sz="4" w:space="0" w:color="auto"/>
              <w:right w:val="single" w:sz="4" w:space="0" w:color="auto"/>
            </w:tcBorders>
          </w:tcPr>
          <w:p w14:paraId="040CEE6C" w14:textId="77777777" w:rsidR="00214D0F" w:rsidRPr="00A52AB8" w:rsidRDefault="00214D0F" w:rsidP="009C6742">
            <w:pPr>
              <w:pStyle w:val="tableheading"/>
              <w:keepNext w:val="0"/>
              <w:keepLines w:val="0"/>
              <w:spacing w:before="20" w:after="40"/>
              <w:jc w:val="center"/>
              <w:rPr>
                <w:rFonts w:ascii="Cambria" w:hAnsi="Cambria"/>
                <w:b w:val="0"/>
                <w:bCs w:val="0"/>
              </w:rPr>
            </w:pPr>
          </w:p>
        </w:tc>
      </w:tr>
      <w:tr w:rsidR="00214D0F" w:rsidRPr="00A52AB8" w14:paraId="3EFBE282" w14:textId="77777777" w:rsidTr="00D8175C">
        <w:trPr>
          <w:cantSplit/>
          <w:jc w:val="center"/>
        </w:trPr>
        <w:tc>
          <w:tcPr>
            <w:tcW w:w="8411" w:type="dxa"/>
            <w:tcBorders>
              <w:top w:val="single" w:sz="4" w:space="0" w:color="auto"/>
              <w:left w:val="single" w:sz="4" w:space="0" w:color="auto"/>
              <w:bottom w:val="single" w:sz="4" w:space="0" w:color="auto"/>
              <w:right w:val="single" w:sz="4" w:space="0" w:color="auto"/>
            </w:tcBorders>
          </w:tcPr>
          <w:p w14:paraId="0726914A" w14:textId="64289AD8" w:rsidR="00214D0F" w:rsidRPr="00A52AB8" w:rsidRDefault="00214D0F" w:rsidP="009C6742">
            <w:pPr>
              <w:pStyle w:val="tablesyntax"/>
              <w:keepNext w:val="0"/>
              <w:keepLines w:val="0"/>
              <w:spacing w:before="20" w:after="40"/>
              <w:rPr>
                <w:rFonts w:ascii="Cambria" w:hAnsi="Cambria"/>
              </w:rPr>
            </w:pPr>
            <w:r w:rsidRPr="00A52AB8">
              <w:rPr>
                <w:rFonts w:ascii="Cambria" w:hAnsi="Cambria"/>
              </w:rPr>
              <w:tab/>
            </w:r>
            <w:r w:rsidRPr="00A52AB8">
              <w:rPr>
                <w:rFonts w:ascii="Cambria" w:hAnsi="Cambria"/>
              </w:rPr>
              <w:tab/>
            </w:r>
            <w:r w:rsidRPr="00A52AB8">
              <w:rPr>
                <w:rFonts w:ascii="Cambria" w:hAnsi="Cambria"/>
              </w:rPr>
              <w:tab/>
            </w:r>
            <w:r w:rsidRPr="00A52AB8">
              <w:rPr>
                <w:rFonts w:ascii="Cambria" w:hAnsi="Cambria"/>
              </w:rPr>
              <w:tab/>
            </w:r>
            <w:r w:rsidRPr="00A52AB8">
              <w:rPr>
                <w:rFonts w:ascii="Cambria" w:hAnsi="Cambria"/>
              </w:rPr>
              <w:tab/>
            </w:r>
            <w:r w:rsidR="00C16D86" w:rsidRPr="00A52AB8">
              <w:rPr>
                <w:rFonts w:ascii="Cambria" w:hAnsi="Cambria"/>
              </w:rPr>
              <w:t>decoded_atlas_tile_hash(</w:t>
            </w:r>
            <w:r w:rsidR="00F34F8B" w:rsidRPr="00A52AB8">
              <w:rPr>
                <w:rFonts w:ascii="Cambria" w:hAnsi="Cambria"/>
              </w:rPr>
              <w:t> daih_hash_type,</w:t>
            </w:r>
            <w:r w:rsidR="008505CD" w:rsidRPr="00A52AB8">
              <w:rPr>
                <w:rFonts w:ascii="Cambria" w:hAnsi="Cambria"/>
              </w:rPr>
              <w:t> j </w:t>
            </w:r>
            <w:r w:rsidRPr="00A52AB8">
              <w:rPr>
                <w:rFonts w:ascii="Cambria" w:hAnsi="Cambria"/>
              </w:rPr>
              <w:t>)</w:t>
            </w:r>
          </w:p>
        </w:tc>
        <w:tc>
          <w:tcPr>
            <w:tcW w:w="1331" w:type="dxa"/>
            <w:tcBorders>
              <w:top w:val="single" w:sz="4" w:space="0" w:color="auto"/>
              <w:left w:val="single" w:sz="4" w:space="0" w:color="auto"/>
              <w:bottom w:val="single" w:sz="4" w:space="0" w:color="auto"/>
              <w:right w:val="single" w:sz="4" w:space="0" w:color="auto"/>
            </w:tcBorders>
          </w:tcPr>
          <w:p w14:paraId="6DA0702A" w14:textId="77777777" w:rsidR="00214D0F" w:rsidRPr="00A52AB8" w:rsidRDefault="00214D0F" w:rsidP="009C6742">
            <w:pPr>
              <w:pStyle w:val="tableheading"/>
              <w:keepNext w:val="0"/>
              <w:keepLines w:val="0"/>
              <w:spacing w:before="20" w:after="40"/>
              <w:jc w:val="center"/>
              <w:rPr>
                <w:rFonts w:ascii="Cambria" w:hAnsi="Cambria"/>
                <w:b w:val="0"/>
                <w:bCs w:val="0"/>
              </w:rPr>
            </w:pPr>
          </w:p>
        </w:tc>
      </w:tr>
      <w:tr w:rsidR="00214D0F" w:rsidRPr="00A52AB8" w14:paraId="4723B482" w14:textId="77777777" w:rsidTr="00D8175C">
        <w:trPr>
          <w:cantSplit/>
          <w:jc w:val="center"/>
        </w:trPr>
        <w:tc>
          <w:tcPr>
            <w:tcW w:w="8411" w:type="dxa"/>
            <w:tcBorders>
              <w:top w:val="single" w:sz="4" w:space="0" w:color="auto"/>
              <w:left w:val="single" w:sz="4" w:space="0" w:color="auto"/>
              <w:bottom w:val="single" w:sz="4" w:space="0" w:color="auto"/>
              <w:right w:val="single" w:sz="4" w:space="0" w:color="auto"/>
            </w:tcBorders>
          </w:tcPr>
          <w:p w14:paraId="171EB704" w14:textId="44A1A9D6" w:rsidR="00214D0F" w:rsidRPr="00A52AB8" w:rsidRDefault="00214D0F" w:rsidP="009C6742">
            <w:pPr>
              <w:pStyle w:val="tablesyntax"/>
              <w:keepNext w:val="0"/>
              <w:keepLines w:val="0"/>
              <w:spacing w:before="20" w:after="40"/>
              <w:rPr>
                <w:rFonts w:ascii="Cambria" w:hAnsi="Cambria"/>
              </w:rPr>
            </w:pPr>
            <w:r w:rsidRPr="00A52AB8">
              <w:rPr>
                <w:rFonts w:ascii="Cambria" w:hAnsi="Cambria"/>
              </w:rPr>
              <w:tab/>
            </w:r>
            <w:r w:rsidRPr="00A52AB8">
              <w:rPr>
                <w:rFonts w:ascii="Cambria" w:hAnsi="Cambria"/>
              </w:rPr>
              <w:tab/>
            </w:r>
            <w:r w:rsidRPr="00A52AB8">
              <w:rPr>
                <w:rFonts w:ascii="Cambria" w:hAnsi="Cambria"/>
              </w:rPr>
              <w:tab/>
            </w:r>
            <w:r w:rsidRPr="00A52AB8">
              <w:rPr>
                <w:rFonts w:ascii="Cambria" w:hAnsi="Cambria"/>
              </w:rPr>
              <w:tab/>
              <w:t>if( </w:t>
            </w:r>
            <w:r w:rsidR="00B91FFE" w:rsidRPr="00A52AB8">
              <w:rPr>
                <w:rFonts w:ascii="Cambria" w:hAnsi="Cambria"/>
              </w:rPr>
              <w:t>daih_</w:t>
            </w:r>
            <w:r w:rsidRPr="00A52AB8">
              <w:rPr>
                <w:rFonts w:ascii="Cambria" w:hAnsi="Cambria"/>
              </w:rPr>
              <w:t>decoded_atlas_tiles_b2p_hash_present_flag )</w:t>
            </w:r>
          </w:p>
        </w:tc>
        <w:tc>
          <w:tcPr>
            <w:tcW w:w="1331" w:type="dxa"/>
            <w:tcBorders>
              <w:top w:val="single" w:sz="4" w:space="0" w:color="auto"/>
              <w:left w:val="single" w:sz="4" w:space="0" w:color="auto"/>
              <w:bottom w:val="single" w:sz="4" w:space="0" w:color="auto"/>
              <w:right w:val="single" w:sz="4" w:space="0" w:color="auto"/>
            </w:tcBorders>
          </w:tcPr>
          <w:p w14:paraId="105FD2B9" w14:textId="77777777" w:rsidR="00214D0F" w:rsidRPr="00A52AB8" w:rsidRDefault="00214D0F" w:rsidP="009C6742">
            <w:pPr>
              <w:pStyle w:val="tableheading"/>
              <w:keepNext w:val="0"/>
              <w:keepLines w:val="0"/>
              <w:spacing w:before="20" w:after="40"/>
              <w:jc w:val="center"/>
              <w:rPr>
                <w:rFonts w:ascii="Cambria" w:hAnsi="Cambria"/>
                <w:b w:val="0"/>
                <w:bCs w:val="0"/>
              </w:rPr>
            </w:pPr>
          </w:p>
        </w:tc>
      </w:tr>
      <w:tr w:rsidR="00214D0F" w:rsidRPr="00A52AB8" w14:paraId="07306F24" w14:textId="77777777" w:rsidTr="00D8175C">
        <w:trPr>
          <w:cantSplit/>
          <w:jc w:val="center"/>
        </w:trPr>
        <w:tc>
          <w:tcPr>
            <w:tcW w:w="8411" w:type="dxa"/>
            <w:tcBorders>
              <w:top w:val="single" w:sz="4" w:space="0" w:color="auto"/>
              <w:left w:val="single" w:sz="4" w:space="0" w:color="auto"/>
              <w:bottom w:val="single" w:sz="4" w:space="0" w:color="auto"/>
              <w:right w:val="single" w:sz="4" w:space="0" w:color="auto"/>
            </w:tcBorders>
          </w:tcPr>
          <w:p w14:paraId="3FD0CCFF" w14:textId="3FCDE25F" w:rsidR="00214D0F" w:rsidRPr="00A52AB8" w:rsidRDefault="00214D0F" w:rsidP="009C6742">
            <w:pPr>
              <w:pStyle w:val="tablesyntax"/>
              <w:keepNext w:val="0"/>
              <w:keepLines w:val="0"/>
              <w:spacing w:before="20" w:after="40"/>
              <w:rPr>
                <w:rFonts w:ascii="Cambria" w:hAnsi="Cambria"/>
              </w:rPr>
            </w:pPr>
            <w:r w:rsidRPr="00A52AB8">
              <w:rPr>
                <w:rFonts w:ascii="Cambria" w:hAnsi="Cambria"/>
              </w:rPr>
              <w:tab/>
            </w:r>
            <w:r w:rsidRPr="00A52AB8">
              <w:rPr>
                <w:rFonts w:ascii="Cambria" w:hAnsi="Cambria"/>
              </w:rPr>
              <w:tab/>
            </w:r>
            <w:r w:rsidRPr="00A52AB8">
              <w:rPr>
                <w:rFonts w:ascii="Cambria" w:hAnsi="Cambria"/>
              </w:rPr>
              <w:tab/>
            </w:r>
            <w:r w:rsidRPr="00A52AB8">
              <w:rPr>
                <w:rFonts w:ascii="Cambria" w:hAnsi="Cambria"/>
              </w:rPr>
              <w:tab/>
            </w:r>
            <w:r w:rsidRPr="00A52AB8">
              <w:rPr>
                <w:rFonts w:ascii="Cambria" w:hAnsi="Cambria"/>
              </w:rPr>
              <w:tab/>
            </w:r>
            <w:r w:rsidR="00C16D86" w:rsidRPr="00A52AB8">
              <w:rPr>
                <w:rFonts w:ascii="Cambria" w:hAnsi="Cambria"/>
              </w:rPr>
              <w:t>decoded_atlas_tile_b2p_hash(</w:t>
            </w:r>
            <w:r w:rsidR="00F34F8B" w:rsidRPr="00A52AB8">
              <w:rPr>
                <w:rFonts w:ascii="Cambria" w:hAnsi="Cambria"/>
              </w:rPr>
              <w:t> daih_hash_type,</w:t>
            </w:r>
            <w:r w:rsidR="008505CD" w:rsidRPr="00A52AB8">
              <w:rPr>
                <w:rFonts w:ascii="Cambria" w:hAnsi="Cambria"/>
              </w:rPr>
              <w:t> j </w:t>
            </w:r>
            <w:r w:rsidRPr="00A52AB8">
              <w:rPr>
                <w:rFonts w:ascii="Cambria" w:hAnsi="Cambria"/>
              </w:rPr>
              <w:t>)</w:t>
            </w:r>
          </w:p>
        </w:tc>
        <w:tc>
          <w:tcPr>
            <w:tcW w:w="1331" w:type="dxa"/>
            <w:tcBorders>
              <w:top w:val="single" w:sz="4" w:space="0" w:color="auto"/>
              <w:left w:val="single" w:sz="4" w:space="0" w:color="auto"/>
              <w:bottom w:val="single" w:sz="4" w:space="0" w:color="auto"/>
              <w:right w:val="single" w:sz="4" w:space="0" w:color="auto"/>
            </w:tcBorders>
          </w:tcPr>
          <w:p w14:paraId="48553072" w14:textId="77777777" w:rsidR="00214D0F" w:rsidRPr="00A52AB8" w:rsidRDefault="00214D0F" w:rsidP="009C6742">
            <w:pPr>
              <w:pStyle w:val="tableheading"/>
              <w:keepNext w:val="0"/>
              <w:keepLines w:val="0"/>
              <w:spacing w:before="20" w:after="40"/>
              <w:jc w:val="center"/>
              <w:rPr>
                <w:rFonts w:ascii="Cambria" w:hAnsi="Cambria"/>
                <w:b w:val="0"/>
                <w:bCs w:val="0"/>
              </w:rPr>
            </w:pPr>
          </w:p>
        </w:tc>
      </w:tr>
      <w:tr w:rsidR="00214D0F" w:rsidRPr="00A52AB8" w14:paraId="45F67B9F" w14:textId="77777777" w:rsidTr="00D8175C">
        <w:trPr>
          <w:cantSplit/>
          <w:jc w:val="center"/>
        </w:trPr>
        <w:tc>
          <w:tcPr>
            <w:tcW w:w="8411" w:type="dxa"/>
            <w:tcBorders>
              <w:top w:val="single" w:sz="4" w:space="0" w:color="auto"/>
              <w:left w:val="single" w:sz="4" w:space="0" w:color="auto"/>
              <w:bottom w:val="single" w:sz="4" w:space="0" w:color="auto"/>
              <w:right w:val="single" w:sz="4" w:space="0" w:color="auto"/>
            </w:tcBorders>
          </w:tcPr>
          <w:p w14:paraId="42CF527A" w14:textId="77777777" w:rsidR="00214D0F" w:rsidRPr="00A52AB8" w:rsidRDefault="00214D0F" w:rsidP="009C6742">
            <w:pPr>
              <w:pStyle w:val="tablesyntax"/>
              <w:keepNext w:val="0"/>
              <w:keepLines w:val="0"/>
              <w:spacing w:before="20" w:after="40"/>
              <w:rPr>
                <w:rFonts w:ascii="Cambria" w:hAnsi="Cambria"/>
                <w:b/>
              </w:rPr>
            </w:pPr>
            <w:r w:rsidRPr="00A52AB8">
              <w:rPr>
                <w:rFonts w:ascii="Cambria" w:hAnsi="Cambria"/>
              </w:rPr>
              <w:tab/>
            </w:r>
            <w:r w:rsidRPr="00A52AB8">
              <w:rPr>
                <w:rFonts w:ascii="Cambria" w:hAnsi="Cambria"/>
              </w:rPr>
              <w:tab/>
            </w:r>
            <w:r w:rsidRPr="00A52AB8">
              <w:rPr>
                <w:rFonts w:ascii="Cambria" w:hAnsi="Cambria"/>
              </w:rPr>
              <w:tab/>
              <w:t>}</w:t>
            </w:r>
          </w:p>
        </w:tc>
        <w:tc>
          <w:tcPr>
            <w:tcW w:w="1331" w:type="dxa"/>
            <w:tcBorders>
              <w:top w:val="single" w:sz="4" w:space="0" w:color="auto"/>
              <w:left w:val="single" w:sz="4" w:space="0" w:color="auto"/>
              <w:bottom w:val="single" w:sz="4" w:space="0" w:color="auto"/>
              <w:right w:val="single" w:sz="4" w:space="0" w:color="auto"/>
            </w:tcBorders>
          </w:tcPr>
          <w:p w14:paraId="269BE6EB" w14:textId="77777777" w:rsidR="00214D0F" w:rsidRPr="00A52AB8" w:rsidRDefault="00214D0F" w:rsidP="009C6742">
            <w:pPr>
              <w:pStyle w:val="tableheading"/>
              <w:keepNext w:val="0"/>
              <w:keepLines w:val="0"/>
              <w:spacing w:before="20" w:after="40"/>
              <w:jc w:val="center"/>
              <w:rPr>
                <w:rFonts w:ascii="Cambria" w:hAnsi="Cambria"/>
                <w:b w:val="0"/>
              </w:rPr>
            </w:pPr>
          </w:p>
        </w:tc>
      </w:tr>
      <w:tr w:rsidR="00214D0F" w:rsidRPr="00A52AB8" w14:paraId="0349B758" w14:textId="77777777" w:rsidTr="00D8175C">
        <w:trPr>
          <w:cantSplit/>
          <w:jc w:val="center"/>
        </w:trPr>
        <w:tc>
          <w:tcPr>
            <w:tcW w:w="8411" w:type="dxa"/>
            <w:tcBorders>
              <w:top w:val="single" w:sz="4" w:space="0" w:color="auto"/>
              <w:left w:val="single" w:sz="4" w:space="0" w:color="auto"/>
              <w:bottom w:val="single" w:sz="4" w:space="0" w:color="auto"/>
              <w:right w:val="single" w:sz="4" w:space="0" w:color="auto"/>
            </w:tcBorders>
          </w:tcPr>
          <w:p w14:paraId="1BF149B9" w14:textId="77777777" w:rsidR="00214D0F" w:rsidRPr="00A52AB8" w:rsidRDefault="00214D0F" w:rsidP="009C6742">
            <w:pPr>
              <w:pStyle w:val="tablesyntax"/>
              <w:keepNext w:val="0"/>
              <w:keepLines w:val="0"/>
              <w:spacing w:before="20" w:after="40"/>
              <w:rPr>
                <w:rFonts w:ascii="Cambria" w:hAnsi="Cambria"/>
              </w:rPr>
            </w:pPr>
            <w:r w:rsidRPr="00A52AB8">
              <w:rPr>
                <w:rFonts w:ascii="Cambria" w:hAnsi="Cambria"/>
              </w:rPr>
              <w:tab/>
            </w:r>
            <w:r w:rsidRPr="00A52AB8">
              <w:rPr>
                <w:rFonts w:ascii="Cambria" w:hAnsi="Cambria"/>
              </w:rPr>
              <w:tab/>
              <w:t>}</w:t>
            </w:r>
          </w:p>
        </w:tc>
        <w:tc>
          <w:tcPr>
            <w:tcW w:w="1331" w:type="dxa"/>
            <w:tcBorders>
              <w:top w:val="single" w:sz="4" w:space="0" w:color="auto"/>
              <w:left w:val="single" w:sz="4" w:space="0" w:color="auto"/>
              <w:bottom w:val="single" w:sz="4" w:space="0" w:color="auto"/>
              <w:right w:val="single" w:sz="4" w:space="0" w:color="auto"/>
            </w:tcBorders>
          </w:tcPr>
          <w:p w14:paraId="12A5F236" w14:textId="77777777" w:rsidR="00214D0F" w:rsidRPr="00A52AB8" w:rsidRDefault="00214D0F" w:rsidP="009C6742">
            <w:pPr>
              <w:pStyle w:val="tableheading"/>
              <w:keepNext w:val="0"/>
              <w:keepLines w:val="0"/>
              <w:spacing w:before="20" w:after="40"/>
              <w:jc w:val="center"/>
              <w:rPr>
                <w:rFonts w:ascii="Cambria" w:hAnsi="Cambria"/>
                <w:b w:val="0"/>
              </w:rPr>
            </w:pPr>
          </w:p>
        </w:tc>
      </w:tr>
      <w:tr w:rsidR="00214D0F" w:rsidRPr="00A52AB8" w14:paraId="41D20228" w14:textId="77777777" w:rsidTr="00D8175C">
        <w:trPr>
          <w:cantSplit/>
          <w:jc w:val="center"/>
        </w:trPr>
        <w:tc>
          <w:tcPr>
            <w:tcW w:w="8411" w:type="dxa"/>
            <w:tcBorders>
              <w:top w:val="single" w:sz="4" w:space="0" w:color="auto"/>
              <w:left w:val="single" w:sz="4" w:space="0" w:color="auto"/>
              <w:bottom w:val="single" w:sz="4" w:space="0" w:color="auto"/>
              <w:right w:val="single" w:sz="4" w:space="0" w:color="auto"/>
            </w:tcBorders>
          </w:tcPr>
          <w:p w14:paraId="3E0B6783" w14:textId="77777777" w:rsidR="00214D0F" w:rsidRPr="00A52AB8" w:rsidRDefault="00214D0F" w:rsidP="009C6742">
            <w:pPr>
              <w:pStyle w:val="tablesyntax"/>
              <w:keepNext w:val="0"/>
              <w:keepLines w:val="0"/>
              <w:spacing w:before="20" w:after="40"/>
              <w:rPr>
                <w:rFonts w:ascii="Cambria" w:hAnsi="Cambria"/>
              </w:rPr>
            </w:pPr>
            <w:r w:rsidRPr="00A52AB8">
              <w:rPr>
                <w:rFonts w:ascii="Cambria" w:hAnsi="Cambria"/>
              </w:rPr>
              <w:tab/>
              <w:t>}</w:t>
            </w:r>
          </w:p>
        </w:tc>
        <w:tc>
          <w:tcPr>
            <w:tcW w:w="1331" w:type="dxa"/>
            <w:tcBorders>
              <w:top w:val="single" w:sz="4" w:space="0" w:color="auto"/>
              <w:left w:val="single" w:sz="4" w:space="0" w:color="auto"/>
              <w:bottom w:val="single" w:sz="4" w:space="0" w:color="auto"/>
              <w:right w:val="single" w:sz="4" w:space="0" w:color="auto"/>
            </w:tcBorders>
          </w:tcPr>
          <w:p w14:paraId="568EDD70" w14:textId="77777777" w:rsidR="00214D0F" w:rsidRPr="00A52AB8" w:rsidRDefault="00214D0F" w:rsidP="009C6742">
            <w:pPr>
              <w:pStyle w:val="tableheading"/>
              <w:keepNext w:val="0"/>
              <w:keepLines w:val="0"/>
              <w:spacing w:before="20" w:after="40"/>
              <w:jc w:val="center"/>
              <w:rPr>
                <w:rFonts w:ascii="Cambria" w:hAnsi="Cambria"/>
                <w:b w:val="0"/>
              </w:rPr>
            </w:pPr>
          </w:p>
        </w:tc>
      </w:tr>
      <w:tr w:rsidR="00214D0F" w:rsidRPr="00A52AB8" w14:paraId="7793EA78" w14:textId="77777777" w:rsidTr="00D8175C">
        <w:trPr>
          <w:cantSplit/>
          <w:jc w:val="center"/>
        </w:trPr>
        <w:tc>
          <w:tcPr>
            <w:tcW w:w="8411" w:type="dxa"/>
            <w:tcBorders>
              <w:top w:val="single" w:sz="4" w:space="0" w:color="auto"/>
              <w:left w:val="single" w:sz="4" w:space="0" w:color="auto"/>
              <w:bottom w:val="single" w:sz="4" w:space="0" w:color="auto"/>
              <w:right w:val="single" w:sz="4" w:space="0" w:color="auto"/>
            </w:tcBorders>
          </w:tcPr>
          <w:p w14:paraId="30A984A9" w14:textId="77777777" w:rsidR="00214D0F" w:rsidRPr="00A52AB8" w:rsidRDefault="00214D0F" w:rsidP="009C6742">
            <w:pPr>
              <w:pStyle w:val="tablesyntax"/>
              <w:keepNext w:val="0"/>
              <w:keepLines w:val="0"/>
              <w:spacing w:before="20" w:after="40"/>
              <w:rPr>
                <w:rFonts w:ascii="Cambria" w:hAnsi="Cambria"/>
              </w:rPr>
            </w:pPr>
            <w:r w:rsidRPr="00A52AB8">
              <w:rPr>
                <w:rFonts w:ascii="Cambria" w:hAnsi="Cambria"/>
              </w:rPr>
              <w:t>}</w:t>
            </w:r>
          </w:p>
        </w:tc>
        <w:tc>
          <w:tcPr>
            <w:tcW w:w="1331" w:type="dxa"/>
            <w:tcBorders>
              <w:top w:val="single" w:sz="4" w:space="0" w:color="auto"/>
              <w:left w:val="single" w:sz="4" w:space="0" w:color="auto"/>
              <w:bottom w:val="single" w:sz="4" w:space="0" w:color="auto"/>
              <w:right w:val="single" w:sz="4" w:space="0" w:color="auto"/>
            </w:tcBorders>
          </w:tcPr>
          <w:p w14:paraId="72530FD9" w14:textId="77777777" w:rsidR="00214D0F" w:rsidRPr="00A52AB8" w:rsidRDefault="00214D0F" w:rsidP="009C6742">
            <w:pPr>
              <w:pStyle w:val="tableheading"/>
              <w:keepNext w:val="0"/>
              <w:keepLines w:val="0"/>
              <w:overflowPunct/>
              <w:autoSpaceDE/>
              <w:adjustRightInd/>
              <w:spacing w:before="20" w:after="40"/>
              <w:jc w:val="center"/>
              <w:rPr>
                <w:rFonts w:ascii="Cambria" w:hAnsi="Cambria"/>
                <w:b w:val="0"/>
              </w:rPr>
            </w:pPr>
          </w:p>
        </w:tc>
      </w:tr>
    </w:tbl>
    <w:p w14:paraId="1E0542F0" w14:textId="5C44EE6A" w:rsidR="008505CD" w:rsidRPr="00A52AB8" w:rsidRDefault="008505CD" w:rsidP="00EE3D19">
      <w:pPr>
        <w:pStyle w:val="a3"/>
        <w:numPr>
          <w:ilvl w:val="3"/>
          <w:numId w:val="19"/>
        </w:numPr>
        <w:tabs>
          <w:tab w:val="clear" w:pos="403"/>
        </w:tabs>
        <w:spacing w:line="240" w:lineRule="auto"/>
        <w:outlineLvl w:val="3"/>
      </w:pPr>
      <w:bookmarkStart w:id="5414" w:name="_Toc29659078"/>
      <w:bookmarkStart w:id="5415" w:name="_Toc29723475"/>
      <w:bookmarkStart w:id="5416" w:name="_Hlk49350040"/>
      <w:bookmarkStart w:id="5417" w:name="_Toc52181725"/>
      <w:bookmarkEnd w:id="5410"/>
      <w:bookmarkEnd w:id="5414"/>
      <w:bookmarkEnd w:id="5415"/>
      <w:r w:rsidRPr="00A52AB8">
        <w:t>Decoded high level hash unit syntax</w:t>
      </w:r>
      <w:bookmarkEnd w:id="5417"/>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11"/>
        <w:gridCol w:w="1331"/>
      </w:tblGrid>
      <w:tr w:rsidR="008505CD" w:rsidRPr="00A52AB8" w14:paraId="354531AD" w14:textId="77777777" w:rsidTr="0029334C">
        <w:trPr>
          <w:cantSplit/>
          <w:jc w:val="center"/>
        </w:trPr>
        <w:tc>
          <w:tcPr>
            <w:tcW w:w="8411" w:type="dxa"/>
            <w:tcBorders>
              <w:top w:val="single" w:sz="4" w:space="0" w:color="auto"/>
              <w:left w:val="single" w:sz="4" w:space="0" w:color="auto"/>
              <w:bottom w:val="single" w:sz="4" w:space="0" w:color="auto"/>
              <w:right w:val="single" w:sz="4" w:space="0" w:color="auto"/>
            </w:tcBorders>
          </w:tcPr>
          <w:p w14:paraId="317C87EF" w14:textId="32E51D66" w:rsidR="008505CD" w:rsidRPr="00A52AB8" w:rsidRDefault="008505CD" w:rsidP="009C6742">
            <w:pPr>
              <w:pStyle w:val="tablesyntax"/>
              <w:keepNext w:val="0"/>
              <w:keepLines w:val="0"/>
              <w:spacing w:before="20" w:after="40"/>
              <w:rPr>
                <w:rFonts w:ascii="Cambria" w:hAnsi="Cambria"/>
              </w:rPr>
            </w:pPr>
            <w:r w:rsidRPr="00A52AB8">
              <w:rPr>
                <w:rFonts w:ascii="Cambria" w:hAnsi="Cambria"/>
              </w:rPr>
              <w:t>decoded_high_level_hash(</w:t>
            </w:r>
            <w:r w:rsidR="00F34F8B" w:rsidRPr="00A52AB8">
              <w:rPr>
                <w:rFonts w:ascii="Cambria" w:hAnsi="Cambria"/>
              </w:rPr>
              <w:t> hashType </w:t>
            </w:r>
            <w:r w:rsidR="008F1F82" w:rsidRPr="00A52AB8">
              <w:rPr>
                <w:rFonts w:ascii="Cambria" w:hAnsi="Cambria"/>
              </w:rPr>
              <w:t>) {</w:t>
            </w:r>
          </w:p>
        </w:tc>
        <w:tc>
          <w:tcPr>
            <w:tcW w:w="1331" w:type="dxa"/>
            <w:tcBorders>
              <w:top w:val="single" w:sz="4" w:space="0" w:color="auto"/>
              <w:left w:val="single" w:sz="4" w:space="0" w:color="auto"/>
              <w:bottom w:val="single" w:sz="4" w:space="0" w:color="auto"/>
              <w:right w:val="single" w:sz="4" w:space="0" w:color="auto"/>
            </w:tcBorders>
          </w:tcPr>
          <w:p w14:paraId="1177A016" w14:textId="77777777" w:rsidR="008505CD" w:rsidRPr="00A52AB8" w:rsidRDefault="008505CD" w:rsidP="009C6742">
            <w:pPr>
              <w:pStyle w:val="tableheading"/>
              <w:keepNext w:val="0"/>
              <w:keepLines w:val="0"/>
              <w:spacing w:before="20" w:after="40"/>
              <w:jc w:val="center"/>
              <w:rPr>
                <w:rFonts w:ascii="Cambria" w:hAnsi="Cambria"/>
                <w:b w:val="0"/>
              </w:rPr>
            </w:pPr>
          </w:p>
        </w:tc>
      </w:tr>
      <w:tr w:rsidR="008505CD" w:rsidRPr="00A52AB8" w14:paraId="1274BA38" w14:textId="77777777" w:rsidTr="0029334C">
        <w:trPr>
          <w:cantSplit/>
          <w:jc w:val="center"/>
        </w:trPr>
        <w:tc>
          <w:tcPr>
            <w:tcW w:w="8411" w:type="dxa"/>
            <w:tcBorders>
              <w:top w:val="single" w:sz="4" w:space="0" w:color="auto"/>
              <w:left w:val="single" w:sz="4" w:space="0" w:color="auto"/>
              <w:bottom w:val="single" w:sz="4" w:space="0" w:color="auto"/>
              <w:right w:val="single" w:sz="4" w:space="0" w:color="auto"/>
            </w:tcBorders>
          </w:tcPr>
          <w:p w14:paraId="3A8F90D7" w14:textId="5D4529F4" w:rsidR="008505CD" w:rsidRPr="00A52AB8" w:rsidRDefault="008505CD" w:rsidP="009C6742">
            <w:pPr>
              <w:pStyle w:val="tablesyntax"/>
              <w:keepNext w:val="0"/>
              <w:keepLines w:val="0"/>
              <w:spacing w:before="20" w:after="40"/>
              <w:rPr>
                <w:rFonts w:ascii="Cambria" w:hAnsi="Cambria"/>
              </w:rPr>
            </w:pPr>
            <w:r w:rsidRPr="00A52AB8">
              <w:rPr>
                <w:rFonts w:ascii="Cambria" w:hAnsi="Cambria"/>
              </w:rPr>
              <w:tab/>
              <w:t>if(</w:t>
            </w:r>
            <w:r w:rsidR="00F34F8B" w:rsidRPr="00A52AB8">
              <w:rPr>
                <w:rFonts w:ascii="Cambria" w:hAnsi="Cambria"/>
              </w:rPr>
              <w:t> hashType</w:t>
            </w:r>
            <w:r w:rsidR="008768E9" w:rsidRPr="00A52AB8">
              <w:rPr>
                <w:rFonts w:ascii="Cambria" w:hAnsi="Cambria"/>
              </w:rPr>
              <w:t> </w:t>
            </w:r>
            <w:r w:rsidR="00726AAE" w:rsidRPr="00A52AB8">
              <w:rPr>
                <w:rFonts w:ascii="Cambria" w:hAnsi="Cambria"/>
              </w:rPr>
              <w:t>==</w:t>
            </w:r>
            <w:r w:rsidR="00D47707" w:rsidRPr="00A52AB8">
              <w:rPr>
                <w:rFonts w:ascii="Cambria" w:hAnsi="Cambria"/>
              </w:rPr>
              <w:t> </w:t>
            </w:r>
            <w:r w:rsidRPr="00A52AB8">
              <w:rPr>
                <w:rFonts w:ascii="Cambria" w:hAnsi="Cambria"/>
              </w:rPr>
              <w:t>0</w:t>
            </w:r>
            <w:r w:rsidR="0058306B" w:rsidRPr="00A52AB8">
              <w:rPr>
                <w:rFonts w:ascii="Cambria" w:hAnsi="Cambria"/>
              </w:rPr>
              <w:t> </w:t>
            </w:r>
            <w:r w:rsidRPr="00A52AB8">
              <w:rPr>
                <w:rFonts w:ascii="Cambria" w:hAnsi="Cambria"/>
              </w:rPr>
              <w:t>)</w:t>
            </w:r>
          </w:p>
        </w:tc>
        <w:tc>
          <w:tcPr>
            <w:tcW w:w="1331" w:type="dxa"/>
            <w:tcBorders>
              <w:top w:val="single" w:sz="4" w:space="0" w:color="auto"/>
              <w:left w:val="single" w:sz="4" w:space="0" w:color="auto"/>
              <w:bottom w:val="single" w:sz="4" w:space="0" w:color="auto"/>
              <w:right w:val="single" w:sz="4" w:space="0" w:color="auto"/>
            </w:tcBorders>
          </w:tcPr>
          <w:p w14:paraId="30B45D86" w14:textId="77777777" w:rsidR="008505CD" w:rsidRPr="00A52AB8" w:rsidRDefault="008505CD" w:rsidP="009C6742">
            <w:pPr>
              <w:pStyle w:val="tableheading"/>
              <w:keepNext w:val="0"/>
              <w:keepLines w:val="0"/>
              <w:spacing w:before="20" w:after="40"/>
              <w:jc w:val="center"/>
              <w:rPr>
                <w:rFonts w:ascii="Cambria" w:hAnsi="Cambria"/>
                <w:b w:val="0"/>
              </w:rPr>
            </w:pPr>
          </w:p>
        </w:tc>
      </w:tr>
      <w:tr w:rsidR="008505CD" w:rsidRPr="00A52AB8" w14:paraId="572F007F" w14:textId="77777777" w:rsidTr="0029334C">
        <w:trPr>
          <w:cantSplit/>
          <w:jc w:val="center"/>
        </w:trPr>
        <w:tc>
          <w:tcPr>
            <w:tcW w:w="8411" w:type="dxa"/>
            <w:tcBorders>
              <w:top w:val="single" w:sz="4" w:space="0" w:color="auto"/>
              <w:left w:val="single" w:sz="4" w:space="0" w:color="auto"/>
              <w:bottom w:val="single" w:sz="4" w:space="0" w:color="auto"/>
              <w:right w:val="single" w:sz="4" w:space="0" w:color="auto"/>
            </w:tcBorders>
          </w:tcPr>
          <w:p w14:paraId="2318B656" w14:textId="41675A92" w:rsidR="008505CD" w:rsidRPr="00A52AB8" w:rsidRDefault="008505CD" w:rsidP="009C6742">
            <w:pPr>
              <w:pStyle w:val="tablesyntax"/>
              <w:keepNext w:val="0"/>
              <w:keepLines w:val="0"/>
              <w:spacing w:before="20" w:after="40"/>
              <w:rPr>
                <w:rFonts w:ascii="Cambria" w:hAnsi="Cambria"/>
              </w:rPr>
            </w:pPr>
            <w:r w:rsidRPr="00A52AB8">
              <w:rPr>
                <w:rFonts w:ascii="Cambria" w:hAnsi="Cambria"/>
              </w:rPr>
              <w:tab/>
            </w:r>
            <w:r w:rsidRPr="00A52AB8">
              <w:rPr>
                <w:rFonts w:ascii="Cambria" w:hAnsi="Cambria"/>
              </w:rPr>
              <w:tab/>
              <w:t>for( i</w:t>
            </w:r>
            <w:r w:rsidR="00D47707" w:rsidRPr="00A52AB8">
              <w:rPr>
                <w:rFonts w:ascii="Cambria" w:hAnsi="Cambria"/>
              </w:rPr>
              <w:t> = </w:t>
            </w:r>
            <w:r w:rsidRPr="00A52AB8">
              <w:rPr>
                <w:rFonts w:ascii="Cambria" w:hAnsi="Cambria"/>
              </w:rPr>
              <w:t>0; i &lt; 16; i++ )</w:t>
            </w:r>
          </w:p>
        </w:tc>
        <w:tc>
          <w:tcPr>
            <w:tcW w:w="1331" w:type="dxa"/>
            <w:tcBorders>
              <w:top w:val="single" w:sz="4" w:space="0" w:color="auto"/>
              <w:left w:val="single" w:sz="4" w:space="0" w:color="auto"/>
              <w:bottom w:val="single" w:sz="4" w:space="0" w:color="auto"/>
              <w:right w:val="single" w:sz="4" w:space="0" w:color="auto"/>
            </w:tcBorders>
          </w:tcPr>
          <w:p w14:paraId="0617B95E" w14:textId="77777777" w:rsidR="008505CD" w:rsidRPr="00A52AB8" w:rsidRDefault="008505CD" w:rsidP="009C6742">
            <w:pPr>
              <w:pStyle w:val="tableheading"/>
              <w:keepNext w:val="0"/>
              <w:keepLines w:val="0"/>
              <w:spacing w:before="20" w:after="40"/>
              <w:jc w:val="center"/>
              <w:rPr>
                <w:rFonts w:ascii="Cambria" w:hAnsi="Cambria"/>
                <w:b w:val="0"/>
              </w:rPr>
            </w:pPr>
          </w:p>
        </w:tc>
      </w:tr>
      <w:tr w:rsidR="008505CD" w:rsidRPr="00A52AB8" w14:paraId="715909CB" w14:textId="77777777" w:rsidTr="0029334C">
        <w:trPr>
          <w:cantSplit/>
          <w:jc w:val="center"/>
        </w:trPr>
        <w:tc>
          <w:tcPr>
            <w:tcW w:w="8411" w:type="dxa"/>
            <w:tcBorders>
              <w:top w:val="single" w:sz="4" w:space="0" w:color="auto"/>
              <w:left w:val="single" w:sz="4" w:space="0" w:color="auto"/>
              <w:bottom w:val="single" w:sz="4" w:space="0" w:color="auto"/>
              <w:right w:val="single" w:sz="4" w:space="0" w:color="auto"/>
            </w:tcBorders>
          </w:tcPr>
          <w:p w14:paraId="4132EE90" w14:textId="77777777" w:rsidR="008505CD" w:rsidRPr="00A52AB8" w:rsidRDefault="008505CD" w:rsidP="009C6742">
            <w:pPr>
              <w:pStyle w:val="tablesyntax"/>
              <w:keepNext w:val="0"/>
              <w:keepLines w:val="0"/>
              <w:spacing w:before="20" w:after="40"/>
              <w:rPr>
                <w:rFonts w:ascii="Cambria" w:hAnsi="Cambria"/>
              </w:rPr>
            </w:pPr>
            <w:r w:rsidRPr="00A52AB8">
              <w:rPr>
                <w:rFonts w:ascii="Cambria" w:hAnsi="Cambria"/>
              </w:rPr>
              <w:tab/>
            </w:r>
            <w:r w:rsidRPr="00A52AB8">
              <w:rPr>
                <w:rFonts w:ascii="Cambria" w:hAnsi="Cambria"/>
              </w:rPr>
              <w:tab/>
            </w:r>
            <w:r w:rsidRPr="00A52AB8">
              <w:rPr>
                <w:rFonts w:ascii="Cambria" w:hAnsi="Cambria"/>
              </w:rPr>
              <w:tab/>
            </w:r>
            <w:r w:rsidRPr="00A52AB8">
              <w:rPr>
                <w:rFonts w:ascii="Cambria" w:hAnsi="Cambria"/>
                <w:b/>
                <w:bCs/>
              </w:rPr>
              <w:t>daih_high_level</w:t>
            </w:r>
            <w:r w:rsidRPr="00A52AB8">
              <w:rPr>
                <w:rFonts w:ascii="Cambria" w:hAnsi="Cambria"/>
                <w:b/>
              </w:rPr>
              <w:t>_md5</w:t>
            </w:r>
            <w:r w:rsidRPr="00A52AB8">
              <w:rPr>
                <w:rFonts w:ascii="Cambria" w:hAnsi="Cambria"/>
              </w:rPr>
              <w:t>[ i ]</w:t>
            </w:r>
          </w:p>
        </w:tc>
        <w:tc>
          <w:tcPr>
            <w:tcW w:w="1331" w:type="dxa"/>
            <w:tcBorders>
              <w:top w:val="single" w:sz="4" w:space="0" w:color="auto"/>
              <w:left w:val="single" w:sz="4" w:space="0" w:color="auto"/>
              <w:bottom w:val="single" w:sz="4" w:space="0" w:color="auto"/>
              <w:right w:val="single" w:sz="4" w:space="0" w:color="auto"/>
            </w:tcBorders>
          </w:tcPr>
          <w:p w14:paraId="59F6EFC4" w14:textId="77777777" w:rsidR="008505CD" w:rsidRPr="00A52AB8" w:rsidRDefault="008505CD" w:rsidP="009C6742">
            <w:pPr>
              <w:pStyle w:val="tableheading"/>
              <w:keepNext w:val="0"/>
              <w:keepLines w:val="0"/>
              <w:spacing w:before="20" w:after="40"/>
              <w:jc w:val="center"/>
              <w:rPr>
                <w:rFonts w:ascii="Cambria" w:hAnsi="Cambria"/>
                <w:b w:val="0"/>
              </w:rPr>
            </w:pPr>
            <w:r w:rsidRPr="00A52AB8">
              <w:rPr>
                <w:rFonts w:ascii="Cambria" w:hAnsi="Cambria"/>
                <w:b w:val="0"/>
              </w:rPr>
              <w:t>b(8)</w:t>
            </w:r>
          </w:p>
        </w:tc>
      </w:tr>
      <w:tr w:rsidR="008505CD" w:rsidRPr="00A52AB8" w14:paraId="2C72A9CF" w14:textId="77777777" w:rsidTr="0029334C">
        <w:trPr>
          <w:cantSplit/>
          <w:jc w:val="center"/>
        </w:trPr>
        <w:tc>
          <w:tcPr>
            <w:tcW w:w="8411" w:type="dxa"/>
            <w:tcBorders>
              <w:top w:val="single" w:sz="4" w:space="0" w:color="auto"/>
              <w:left w:val="single" w:sz="4" w:space="0" w:color="auto"/>
              <w:bottom w:val="single" w:sz="4" w:space="0" w:color="auto"/>
              <w:right w:val="single" w:sz="4" w:space="0" w:color="auto"/>
            </w:tcBorders>
          </w:tcPr>
          <w:p w14:paraId="7FD9978B" w14:textId="6A19FB44" w:rsidR="008505CD" w:rsidRPr="00A52AB8" w:rsidRDefault="008505CD" w:rsidP="009C6742">
            <w:pPr>
              <w:pStyle w:val="tablesyntax"/>
              <w:keepNext w:val="0"/>
              <w:keepLines w:val="0"/>
              <w:spacing w:before="20" w:after="40"/>
              <w:rPr>
                <w:rFonts w:ascii="Cambria" w:hAnsi="Cambria"/>
              </w:rPr>
            </w:pPr>
            <w:r w:rsidRPr="00A52AB8">
              <w:rPr>
                <w:rFonts w:ascii="Cambria" w:hAnsi="Cambria"/>
              </w:rPr>
              <w:tab/>
              <w:t>else if(</w:t>
            </w:r>
            <w:r w:rsidR="00F34F8B" w:rsidRPr="00A52AB8">
              <w:rPr>
                <w:rFonts w:ascii="Cambria" w:hAnsi="Cambria"/>
              </w:rPr>
              <w:t> hashType</w:t>
            </w:r>
            <w:r w:rsidR="008768E9" w:rsidRPr="00A52AB8">
              <w:rPr>
                <w:rFonts w:ascii="Cambria" w:hAnsi="Cambria"/>
              </w:rPr>
              <w:t> </w:t>
            </w:r>
            <w:r w:rsidR="00726AAE" w:rsidRPr="00A52AB8">
              <w:rPr>
                <w:rFonts w:ascii="Cambria" w:hAnsi="Cambria"/>
              </w:rPr>
              <w:t>==</w:t>
            </w:r>
            <w:r w:rsidR="00D47707" w:rsidRPr="00A52AB8">
              <w:rPr>
                <w:rFonts w:ascii="Cambria" w:hAnsi="Cambria"/>
              </w:rPr>
              <w:t> </w:t>
            </w:r>
            <w:r w:rsidRPr="00A52AB8">
              <w:rPr>
                <w:rFonts w:ascii="Cambria" w:hAnsi="Cambria"/>
              </w:rPr>
              <w:t>1</w:t>
            </w:r>
            <w:r w:rsidR="0058306B" w:rsidRPr="00A52AB8">
              <w:rPr>
                <w:rFonts w:ascii="Cambria" w:hAnsi="Cambria"/>
              </w:rPr>
              <w:t> </w:t>
            </w:r>
            <w:r w:rsidRPr="00A52AB8">
              <w:rPr>
                <w:rFonts w:ascii="Cambria" w:hAnsi="Cambria"/>
              </w:rPr>
              <w:t>)</w:t>
            </w:r>
          </w:p>
        </w:tc>
        <w:tc>
          <w:tcPr>
            <w:tcW w:w="1331" w:type="dxa"/>
            <w:tcBorders>
              <w:top w:val="single" w:sz="4" w:space="0" w:color="auto"/>
              <w:left w:val="single" w:sz="4" w:space="0" w:color="auto"/>
              <w:bottom w:val="single" w:sz="4" w:space="0" w:color="auto"/>
              <w:right w:val="single" w:sz="4" w:space="0" w:color="auto"/>
            </w:tcBorders>
          </w:tcPr>
          <w:p w14:paraId="5997B7CA" w14:textId="77777777" w:rsidR="008505CD" w:rsidRPr="00A52AB8" w:rsidRDefault="008505CD" w:rsidP="009C6742">
            <w:pPr>
              <w:pStyle w:val="tableheading"/>
              <w:keepNext w:val="0"/>
              <w:keepLines w:val="0"/>
              <w:spacing w:before="20" w:after="40"/>
              <w:jc w:val="center"/>
              <w:rPr>
                <w:rFonts w:ascii="Cambria" w:hAnsi="Cambria"/>
                <w:b w:val="0"/>
              </w:rPr>
            </w:pPr>
          </w:p>
        </w:tc>
      </w:tr>
      <w:tr w:rsidR="008505CD" w:rsidRPr="00A52AB8" w14:paraId="33E2F0E4" w14:textId="77777777" w:rsidTr="0029334C">
        <w:trPr>
          <w:cantSplit/>
          <w:jc w:val="center"/>
        </w:trPr>
        <w:tc>
          <w:tcPr>
            <w:tcW w:w="8411" w:type="dxa"/>
            <w:tcBorders>
              <w:top w:val="single" w:sz="4" w:space="0" w:color="auto"/>
              <w:left w:val="single" w:sz="4" w:space="0" w:color="auto"/>
              <w:bottom w:val="single" w:sz="4" w:space="0" w:color="auto"/>
              <w:right w:val="single" w:sz="4" w:space="0" w:color="auto"/>
            </w:tcBorders>
          </w:tcPr>
          <w:p w14:paraId="45E9337B" w14:textId="6B58215F" w:rsidR="008505CD" w:rsidRPr="00A52AB8" w:rsidRDefault="008505CD" w:rsidP="009C6742">
            <w:pPr>
              <w:pStyle w:val="tablesyntax"/>
              <w:keepNext w:val="0"/>
              <w:keepLines w:val="0"/>
              <w:spacing w:before="20" w:after="40"/>
              <w:rPr>
                <w:rFonts w:ascii="Cambria" w:hAnsi="Cambria"/>
                <w:b/>
              </w:rPr>
            </w:pPr>
            <w:r w:rsidRPr="00A52AB8">
              <w:rPr>
                <w:rFonts w:ascii="Cambria" w:hAnsi="Cambria"/>
              </w:rPr>
              <w:tab/>
            </w:r>
            <w:r w:rsidRPr="00A52AB8">
              <w:rPr>
                <w:rFonts w:ascii="Cambria" w:hAnsi="Cambria"/>
              </w:rPr>
              <w:tab/>
            </w:r>
            <w:r w:rsidRPr="00A52AB8">
              <w:rPr>
                <w:rFonts w:ascii="Cambria" w:hAnsi="Cambria"/>
                <w:b/>
              </w:rPr>
              <w:t>daih_high_level_crc</w:t>
            </w:r>
          </w:p>
        </w:tc>
        <w:tc>
          <w:tcPr>
            <w:tcW w:w="1331" w:type="dxa"/>
            <w:tcBorders>
              <w:top w:val="single" w:sz="4" w:space="0" w:color="auto"/>
              <w:left w:val="single" w:sz="4" w:space="0" w:color="auto"/>
              <w:bottom w:val="single" w:sz="4" w:space="0" w:color="auto"/>
              <w:right w:val="single" w:sz="4" w:space="0" w:color="auto"/>
            </w:tcBorders>
          </w:tcPr>
          <w:p w14:paraId="1E68C1E3" w14:textId="77777777" w:rsidR="008505CD" w:rsidRPr="00A52AB8" w:rsidRDefault="008505CD" w:rsidP="009C6742">
            <w:pPr>
              <w:pStyle w:val="tableheading"/>
              <w:keepNext w:val="0"/>
              <w:keepLines w:val="0"/>
              <w:spacing w:before="20" w:after="40"/>
              <w:jc w:val="center"/>
              <w:rPr>
                <w:rFonts w:ascii="Cambria" w:hAnsi="Cambria"/>
                <w:b w:val="0"/>
              </w:rPr>
            </w:pPr>
            <w:r w:rsidRPr="00A52AB8">
              <w:rPr>
                <w:rFonts w:ascii="Cambria" w:hAnsi="Cambria"/>
                <w:b w:val="0"/>
              </w:rPr>
              <w:t>u(16)</w:t>
            </w:r>
          </w:p>
        </w:tc>
      </w:tr>
      <w:tr w:rsidR="008505CD" w:rsidRPr="00A52AB8" w14:paraId="2CCB87F1" w14:textId="77777777" w:rsidTr="0029334C">
        <w:trPr>
          <w:cantSplit/>
          <w:jc w:val="center"/>
        </w:trPr>
        <w:tc>
          <w:tcPr>
            <w:tcW w:w="8411" w:type="dxa"/>
            <w:tcBorders>
              <w:top w:val="single" w:sz="4" w:space="0" w:color="auto"/>
              <w:left w:val="single" w:sz="4" w:space="0" w:color="auto"/>
              <w:bottom w:val="single" w:sz="4" w:space="0" w:color="auto"/>
              <w:right w:val="single" w:sz="4" w:space="0" w:color="auto"/>
            </w:tcBorders>
          </w:tcPr>
          <w:p w14:paraId="244022FC" w14:textId="208331BB" w:rsidR="008505CD" w:rsidRPr="00A52AB8" w:rsidRDefault="008505CD" w:rsidP="009C6742">
            <w:pPr>
              <w:pStyle w:val="tablesyntax"/>
              <w:keepNext w:val="0"/>
              <w:keepLines w:val="0"/>
              <w:spacing w:before="20" w:after="40"/>
              <w:rPr>
                <w:rFonts w:ascii="Cambria" w:hAnsi="Cambria"/>
              </w:rPr>
            </w:pPr>
            <w:r w:rsidRPr="00A52AB8">
              <w:rPr>
                <w:rFonts w:ascii="Cambria" w:hAnsi="Cambria"/>
              </w:rPr>
              <w:tab/>
              <w:t>else if(</w:t>
            </w:r>
            <w:r w:rsidR="00F34F8B" w:rsidRPr="00A52AB8">
              <w:rPr>
                <w:rFonts w:ascii="Cambria" w:hAnsi="Cambria"/>
              </w:rPr>
              <w:t> hashType</w:t>
            </w:r>
            <w:r w:rsidR="008768E9" w:rsidRPr="00A52AB8">
              <w:rPr>
                <w:rFonts w:ascii="Cambria" w:hAnsi="Cambria"/>
              </w:rPr>
              <w:t> </w:t>
            </w:r>
            <w:r w:rsidR="00726AAE" w:rsidRPr="00A52AB8">
              <w:rPr>
                <w:rFonts w:ascii="Cambria" w:hAnsi="Cambria"/>
              </w:rPr>
              <w:t>==</w:t>
            </w:r>
            <w:r w:rsidR="00D47707" w:rsidRPr="00A52AB8">
              <w:rPr>
                <w:rFonts w:ascii="Cambria" w:hAnsi="Cambria"/>
              </w:rPr>
              <w:t> </w:t>
            </w:r>
            <w:r w:rsidRPr="00A52AB8">
              <w:rPr>
                <w:rFonts w:ascii="Cambria" w:hAnsi="Cambria"/>
              </w:rPr>
              <w:t>2</w:t>
            </w:r>
            <w:r w:rsidR="0058306B" w:rsidRPr="00A52AB8">
              <w:rPr>
                <w:rFonts w:ascii="Cambria" w:hAnsi="Cambria"/>
              </w:rPr>
              <w:t> </w:t>
            </w:r>
            <w:r w:rsidRPr="00A52AB8">
              <w:rPr>
                <w:rFonts w:ascii="Cambria" w:hAnsi="Cambria"/>
              </w:rPr>
              <w:t>)</w:t>
            </w:r>
          </w:p>
        </w:tc>
        <w:tc>
          <w:tcPr>
            <w:tcW w:w="1331" w:type="dxa"/>
            <w:tcBorders>
              <w:top w:val="single" w:sz="4" w:space="0" w:color="auto"/>
              <w:left w:val="single" w:sz="4" w:space="0" w:color="auto"/>
              <w:bottom w:val="single" w:sz="4" w:space="0" w:color="auto"/>
              <w:right w:val="single" w:sz="4" w:space="0" w:color="auto"/>
            </w:tcBorders>
          </w:tcPr>
          <w:p w14:paraId="4B8AF450" w14:textId="77777777" w:rsidR="008505CD" w:rsidRPr="00A52AB8" w:rsidRDefault="008505CD" w:rsidP="009C6742">
            <w:pPr>
              <w:pStyle w:val="tableheading"/>
              <w:keepNext w:val="0"/>
              <w:keepLines w:val="0"/>
              <w:spacing w:before="20" w:after="40"/>
              <w:jc w:val="center"/>
              <w:rPr>
                <w:rFonts w:ascii="Cambria" w:hAnsi="Cambria"/>
                <w:b w:val="0"/>
              </w:rPr>
            </w:pPr>
          </w:p>
        </w:tc>
      </w:tr>
      <w:tr w:rsidR="008505CD" w:rsidRPr="00A52AB8" w14:paraId="0C6E9D66" w14:textId="77777777" w:rsidTr="0029334C">
        <w:trPr>
          <w:cantSplit/>
          <w:jc w:val="center"/>
        </w:trPr>
        <w:tc>
          <w:tcPr>
            <w:tcW w:w="8411" w:type="dxa"/>
            <w:tcBorders>
              <w:top w:val="single" w:sz="4" w:space="0" w:color="auto"/>
              <w:left w:val="single" w:sz="4" w:space="0" w:color="auto"/>
              <w:bottom w:val="single" w:sz="4" w:space="0" w:color="auto"/>
              <w:right w:val="single" w:sz="4" w:space="0" w:color="auto"/>
            </w:tcBorders>
          </w:tcPr>
          <w:p w14:paraId="172AEB17" w14:textId="1204FAA8" w:rsidR="008505CD" w:rsidRPr="00A52AB8" w:rsidRDefault="008505CD" w:rsidP="009C6742">
            <w:pPr>
              <w:pStyle w:val="tablesyntax"/>
              <w:keepNext w:val="0"/>
              <w:keepLines w:val="0"/>
              <w:spacing w:before="20" w:after="40"/>
              <w:rPr>
                <w:rFonts w:ascii="Cambria" w:hAnsi="Cambria"/>
              </w:rPr>
            </w:pPr>
            <w:r w:rsidRPr="00A52AB8">
              <w:rPr>
                <w:rFonts w:ascii="Cambria" w:hAnsi="Cambria"/>
                <w:b/>
              </w:rPr>
              <w:tab/>
            </w:r>
            <w:r w:rsidRPr="00A52AB8">
              <w:rPr>
                <w:rFonts w:ascii="Cambria" w:hAnsi="Cambria"/>
                <w:b/>
              </w:rPr>
              <w:tab/>
              <w:t>daih_high_level_checksum</w:t>
            </w:r>
          </w:p>
        </w:tc>
        <w:tc>
          <w:tcPr>
            <w:tcW w:w="1331" w:type="dxa"/>
            <w:tcBorders>
              <w:top w:val="single" w:sz="4" w:space="0" w:color="auto"/>
              <w:left w:val="single" w:sz="4" w:space="0" w:color="auto"/>
              <w:bottom w:val="single" w:sz="4" w:space="0" w:color="auto"/>
              <w:right w:val="single" w:sz="4" w:space="0" w:color="auto"/>
            </w:tcBorders>
          </w:tcPr>
          <w:p w14:paraId="64899038" w14:textId="77777777" w:rsidR="008505CD" w:rsidRPr="00A52AB8" w:rsidRDefault="008505CD" w:rsidP="009C6742">
            <w:pPr>
              <w:pStyle w:val="tableheading"/>
              <w:keepNext w:val="0"/>
              <w:keepLines w:val="0"/>
              <w:spacing w:before="20" w:after="40"/>
              <w:jc w:val="center"/>
              <w:rPr>
                <w:rFonts w:ascii="Cambria" w:hAnsi="Cambria"/>
                <w:b w:val="0"/>
              </w:rPr>
            </w:pPr>
            <w:r w:rsidRPr="00A52AB8">
              <w:rPr>
                <w:rFonts w:ascii="Cambria" w:hAnsi="Cambria"/>
                <w:b w:val="0"/>
              </w:rPr>
              <w:t>u(32)</w:t>
            </w:r>
          </w:p>
        </w:tc>
      </w:tr>
      <w:tr w:rsidR="008505CD" w:rsidRPr="00A52AB8" w14:paraId="75AB53AD" w14:textId="77777777" w:rsidTr="0029334C">
        <w:trPr>
          <w:cantSplit/>
          <w:jc w:val="center"/>
        </w:trPr>
        <w:tc>
          <w:tcPr>
            <w:tcW w:w="8411" w:type="dxa"/>
            <w:tcBorders>
              <w:top w:val="single" w:sz="4" w:space="0" w:color="auto"/>
              <w:left w:val="single" w:sz="4" w:space="0" w:color="auto"/>
              <w:bottom w:val="single" w:sz="4" w:space="0" w:color="auto"/>
              <w:right w:val="single" w:sz="4" w:space="0" w:color="auto"/>
            </w:tcBorders>
          </w:tcPr>
          <w:p w14:paraId="0A98F87F" w14:textId="77777777" w:rsidR="008505CD" w:rsidRPr="00A52AB8" w:rsidRDefault="008505CD" w:rsidP="009C6742">
            <w:pPr>
              <w:pStyle w:val="tablesyntax"/>
              <w:keepNext w:val="0"/>
              <w:keepLines w:val="0"/>
              <w:spacing w:before="20" w:after="40"/>
              <w:rPr>
                <w:rFonts w:ascii="Cambria" w:hAnsi="Cambria"/>
                <w:bCs/>
              </w:rPr>
            </w:pPr>
            <w:r w:rsidRPr="00A52AB8">
              <w:rPr>
                <w:rFonts w:ascii="Cambria" w:hAnsi="Cambria"/>
                <w:bCs/>
              </w:rPr>
              <w:t>}</w:t>
            </w:r>
          </w:p>
        </w:tc>
        <w:tc>
          <w:tcPr>
            <w:tcW w:w="1331" w:type="dxa"/>
            <w:tcBorders>
              <w:top w:val="single" w:sz="4" w:space="0" w:color="auto"/>
              <w:left w:val="single" w:sz="4" w:space="0" w:color="auto"/>
              <w:bottom w:val="single" w:sz="4" w:space="0" w:color="auto"/>
              <w:right w:val="single" w:sz="4" w:space="0" w:color="auto"/>
            </w:tcBorders>
          </w:tcPr>
          <w:p w14:paraId="2981DA95" w14:textId="77777777" w:rsidR="008505CD" w:rsidRPr="00A52AB8" w:rsidRDefault="008505CD" w:rsidP="009C6742">
            <w:pPr>
              <w:pStyle w:val="tableheading"/>
              <w:keepNext w:val="0"/>
              <w:keepLines w:val="0"/>
              <w:spacing w:before="20" w:after="40"/>
              <w:jc w:val="center"/>
              <w:rPr>
                <w:rFonts w:ascii="Cambria" w:hAnsi="Cambria"/>
                <w:b w:val="0"/>
              </w:rPr>
            </w:pPr>
          </w:p>
        </w:tc>
      </w:tr>
    </w:tbl>
    <w:p w14:paraId="23E17739" w14:textId="4B7202E6" w:rsidR="006F4EC9" w:rsidRPr="00A52AB8" w:rsidRDefault="006F4EC9" w:rsidP="00EE3D19">
      <w:pPr>
        <w:pStyle w:val="a3"/>
        <w:numPr>
          <w:ilvl w:val="3"/>
          <w:numId w:val="19"/>
        </w:numPr>
        <w:tabs>
          <w:tab w:val="clear" w:pos="403"/>
        </w:tabs>
        <w:spacing w:line="240" w:lineRule="auto"/>
        <w:outlineLvl w:val="3"/>
      </w:pPr>
      <w:bookmarkStart w:id="5418" w:name="_Toc52181726"/>
      <w:bookmarkEnd w:id="5416"/>
      <w:r w:rsidRPr="00A52AB8">
        <w:t>Decoded atlas</w:t>
      </w:r>
      <w:r w:rsidR="005B0BB4" w:rsidRPr="00A52AB8">
        <w:t xml:space="preserve"> </w:t>
      </w:r>
      <w:r w:rsidRPr="00A52AB8">
        <w:t>hash unit syntax</w:t>
      </w:r>
      <w:bookmarkEnd w:id="5418"/>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11"/>
        <w:gridCol w:w="1331"/>
      </w:tblGrid>
      <w:tr w:rsidR="006F4EC9" w:rsidRPr="00A52AB8" w14:paraId="4C070F92" w14:textId="77777777" w:rsidTr="00CE2D34">
        <w:trPr>
          <w:cantSplit/>
          <w:jc w:val="center"/>
        </w:trPr>
        <w:tc>
          <w:tcPr>
            <w:tcW w:w="8411" w:type="dxa"/>
            <w:tcBorders>
              <w:top w:val="single" w:sz="4" w:space="0" w:color="auto"/>
              <w:left w:val="single" w:sz="4" w:space="0" w:color="auto"/>
              <w:bottom w:val="single" w:sz="4" w:space="0" w:color="auto"/>
              <w:right w:val="single" w:sz="4" w:space="0" w:color="auto"/>
            </w:tcBorders>
          </w:tcPr>
          <w:p w14:paraId="1BA7961C" w14:textId="64178C08" w:rsidR="006F4EC9" w:rsidRPr="00A52AB8" w:rsidRDefault="006F4EC9" w:rsidP="009C6742">
            <w:pPr>
              <w:pStyle w:val="tablesyntax"/>
              <w:keepNext w:val="0"/>
              <w:keepLines w:val="0"/>
              <w:spacing w:before="20" w:after="40"/>
              <w:rPr>
                <w:rFonts w:ascii="Cambria" w:hAnsi="Cambria"/>
              </w:rPr>
            </w:pPr>
            <w:r w:rsidRPr="00A52AB8">
              <w:rPr>
                <w:rFonts w:ascii="Cambria" w:hAnsi="Cambria"/>
              </w:rPr>
              <w:t>decoded_atlas</w:t>
            </w:r>
            <w:r w:rsidR="005B0BB4" w:rsidRPr="00A52AB8">
              <w:rPr>
                <w:rFonts w:ascii="Cambria" w:hAnsi="Cambria"/>
              </w:rPr>
              <w:t>_tile</w:t>
            </w:r>
            <w:r w:rsidRPr="00A52AB8">
              <w:rPr>
                <w:rFonts w:ascii="Cambria" w:hAnsi="Cambria"/>
              </w:rPr>
              <w:t>_hash(</w:t>
            </w:r>
            <w:r w:rsidR="00F34F8B" w:rsidRPr="00A52AB8">
              <w:rPr>
                <w:rFonts w:ascii="Cambria" w:hAnsi="Cambria"/>
              </w:rPr>
              <w:t> hashType </w:t>
            </w:r>
            <w:r w:rsidR="008F1F82" w:rsidRPr="00A52AB8">
              <w:rPr>
                <w:rFonts w:ascii="Cambria" w:hAnsi="Cambria"/>
              </w:rPr>
              <w:t>) {</w:t>
            </w:r>
          </w:p>
        </w:tc>
        <w:tc>
          <w:tcPr>
            <w:tcW w:w="1331" w:type="dxa"/>
            <w:tcBorders>
              <w:top w:val="single" w:sz="4" w:space="0" w:color="auto"/>
              <w:left w:val="single" w:sz="4" w:space="0" w:color="auto"/>
              <w:bottom w:val="single" w:sz="4" w:space="0" w:color="auto"/>
              <w:right w:val="single" w:sz="4" w:space="0" w:color="auto"/>
            </w:tcBorders>
          </w:tcPr>
          <w:p w14:paraId="07365FD4" w14:textId="77777777" w:rsidR="006F4EC9" w:rsidRPr="00A52AB8" w:rsidRDefault="006F4EC9" w:rsidP="009C6742">
            <w:pPr>
              <w:pStyle w:val="tableheading"/>
              <w:keepNext w:val="0"/>
              <w:keepLines w:val="0"/>
              <w:spacing w:before="20" w:after="40"/>
              <w:jc w:val="center"/>
              <w:rPr>
                <w:rFonts w:ascii="Cambria" w:hAnsi="Cambria"/>
                <w:b w:val="0"/>
              </w:rPr>
            </w:pPr>
          </w:p>
        </w:tc>
      </w:tr>
      <w:tr w:rsidR="006F4EC9" w:rsidRPr="00A52AB8" w14:paraId="6B888B66" w14:textId="77777777" w:rsidTr="00CE2D34">
        <w:trPr>
          <w:cantSplit/>
          <w:jc w:val="center"/>
        </w:trPr>
        <w:tc>
          <w:tcPr>
            <w:tcW w:w="8411" w:type="dxa"/>
            <w:tcBorders>
              <w:top w:val="single" w:sz="4" w:space="0" w:color="auto"/>
              <w:left w:val="single" w:sz="4" w:space="0" w:color="auto"/>
              <w:bottom w:val="single" w:sz="4" w:space="0" w:color="auto"/>
              <w:right w:val="single" w:sz="4" w:space="0" w:color="auto"/>
            </w:tcBorders>
          </w:tcPr>
          <w:p w14:paraId="45ED3FC9" w14:textId="71F31869" w:rsidR="006F4EC9" w:rsidRPr="00A52AB8" w:rsidRDefault="006F4EC9" w:rsidP="009C6742">
            <w:pPr>
              <w:pStyle w:val="tablesyntax"/>
              <w:keepNext w:val="0"/>
              <w:keepLines w:val="0"/>
              <w:spacing w:before="20" w:after="40"/>
              <w:rPr>
                <w:rFonts w:ascii="Cambria" w:hAnsi="Cambria"/>
              </w:rPr>
            </w:pPr>
            <w:r w:rsidRPr="00A52AB8">
              <w:rPr>
                <w:rFonts w:ascii="Cambria" w:hAnsi="Cambria"/>
              </w:rPr>
              <w:tab/>
              <w:t>if(</w:t>
            </w:r>
            <w:r w:rsidR="00F34F8B" w:rsidRPr="00A52AB8">
              <w:rPr>
                <w:rFonts w:ascii="Cambria" w:hAnsi="Cambria"/>
              </w:rPr>
              <w:t> hashType</w:t>
            </w:r>
            <w:r w:rsidR="008768E9" w:rsidRPr="00A52AB8">
              <w:rPr>
                <w:rFonts w:ascii="Cambria" w:hAnsi="Cambria"/>
              </w:rPr>
              <w:t> </w:t>
            </w:r>
            <w:r w:rsidR="00726AAE" w:rsidRPr="00A52AB8">
              <w:rPr>
                <w:rFonts w:ascii="Cambria" w:hAnsi="Cambria"/>
              </w:rPr>
              <w:t>==</w:t>
            </w:r>
            <w:r w:rsidR="00D47707" w:rsidRPr="00A52AB8">
              <w:rPr>
                <w:rFonts w:ascii="Cambria" w:hAnsi="Cambria"/>
              </w:rPr>
              <w:t> </w:t>
            </w:r>
            <w:r w:rsidRPr="00A52AB8">
              <w:rPr>
                <w:rFonts w:ascii="Cambria" w:hAnsi="Cambria"/>
              </w:rPr>
              <w:t>0</w:t>
            </w:r>
            <w:r w:rsidR="0058306B" w:rsidRPr="00A52AB8">
              <w:rPr>
                <w:rFonts w:ascii="Cambria" w:hAnsi="Cambria"/>
              </w:rPr>
              <w:t> </w:t>
            </w:r>
            <w:r w:rsidRPr="00A52AB8">
              <w:rPr>
                <w:rFonts w:ascii="Cambria" w:hAnsi="Cambria"/>
              </w:rPr>
              <w:t>)</w:t>
            </w:r>
          </w:p>
        </w:tc>
        <w:tc>
          <w:tcPr>
            <w:tcW w:w="1331" w:type="dxa"/>
            <w:tcBorders>
              <w:top w:val="single" w:sz="4" w:space="0" w:color="auto"/>
              <w:left w:val="single" w:sz="4" w:space="0" w:color="auto"/>
              <w:bottom w:val="single" w:sz="4" w:space="0" w:color="auto"/>
              <w:right w:val="single" w:sz="4" w:space="0" w:color="auto"/>
            </w:tcBorders>
          </w:tcPr>
          <w:p w14:paraId="39B4E380" w14:textId="77777777" w:rsidR="006F4EC9" w:rsidRPr="00A52AB8" w:rsidRDefault="006F4EC9" w:rsidP="009C6742">
            <w:pPr>
              <w:pStyle w:val="tableheading"/>
              <w:keepNext w:val="0"/>
              <w:keepLines w:val="0"/>
              <w:spacing w:before="20" w:after="40"/>
              <w:jc w:val="center"/>
              <w:rPr>
                <w:rFonts w:ascii="Cambria" w:hAnsi="Cambria"/>
                <w:b w:val="0"/>
              </w:rPr>
            </w:pPr>
          </w:p>
        </w:tc>
      </w:tr>
      <w:tr w:rsidR="006F4EC9" w:rsidRPr="00A52AB8" w14:paraId="2F0A00E4" w14:textId="77777777" w:rsidTr="00CE2D34">
        <w:trPr>
          <w:cantSplit/>
          <w:jc w:val="center"/>
        </w:trPr>
        <w:tc>
          <w:tcPr>
            <w:tcW w:w="8411" w:type="dxa"/>
            <w:tcBorders>
              <w:top w:val="single" w:sz="4" w:space="0" w:color="auto"/>
              <w:left w:val="single" w:sz="4" w:space="0" w:color="auto"/>
              <w:bottom w:val="single" w:sz="4" w:space="0" w:color="auto"/>
              <w:right w:val="single" w:sz="4" w:space="0" w:color="auto"/>
            </w:tcBorders>
          </w:tcPr>
          <w:p w14:paraId="7058C974" w14:textId="0DE3704B" w:rsidR="006F4EC9" w:rsidRPr="00A52AB8" w:rsidRDefault="006F4EC9" w:rsidP="009C6742">
            <w:pPr>
              <w:pStyle w:val="tablesyntax"/>
              <w:keepNext w:val="0"/>
              <w:keepLines w:val="0"/>
              <w:spacing w:before="20" w:after="40"/>
              <w:rPr>
                <w:rFonts w:ascii="Cambria" w:hAnsi="Cambria"/>
              </w:rPr>
            </w:pPr>
            <w:r w:rsidRPr="00A52AB8">
              <w:rPr>
                <w:rFonts w:ascii="Cambria" w:hAnsi="Cambria"/>
              </w:rPr>
              <w:tab/>
            </w:r>
            <w:r w:rsidRPr="00A52AB8">
              <w:rPr>
                <w:rFonts w:ascii="Cambria" w:hAnsi="Cambria"/>
              </w:rPr>
              <w:tab/>
              <w:t>for( i</w:t>
            </w:r>
            <w:r w:rsidR="00D47707" w:rsidRPr="00A52AB8">
              <w:rPr>
                <w:rFonts w:ascii="Cambria" w:hAnsi="Cambria"/>
              </w:rPr>
              <w:t> = </w:t>
            </w:r>
            <w:r w:rsidRPr="00A52AB8">
              <w:rPr>
                <w:rFonts w:ascii="Cambria" w:hAnsi="Cambria"/>
              </w:rPr>
              <w:t>0; i &lt; 16; i++ )</w:t>
            </w:r>
          </w:p>
        </w:tc>
        <w:tc>
          <w:tcPr>
            <w:tcW w:w="1331" w:type="dxa"/>
            <w:tcBorders>
              <w:top w:val="single" w:sz="4" w:space="0" w:color="auto"/>
              <w:left w:val="single" w:sz="4" w:space="0" w:color="auto"/>
              <w:bottom w:val="single" w:sz="4" w:space="0" w:color="auto"/>
              <w:right w:val="single" w:sz="4" w:space="0" w:color="auto"/>
            </w:tcBorders>
          </w:tcPr>
          <w:p w14:paraId="19355BA8" w14:textId="77777777" w:rsidR="006F4EC9" w:rsidRPr="00A52AB8" w:rsidRDefault="006F4EC9" w:rsidP="009C6742">
            <w:pPr>
              <w:pStyle w:val="tableheading"/>
              <w:keepNext w:val="0"/>
              <w:keepLines w:val="0"/>
              <w:spacing w:before="20" w:after="40"/>
              <w:jc w:val="center"/>
              <w:rPr>
                <w:rFonts w:ascii="Cambria" w:hAnsi="Cambria"/>
                <w:b w:val="0"/>
              </w:rPr>
            </w:pPr>
          </w:p>
        </w:tc>
      </w:tr>
      <w:tr w:rsidR="006F4EC9" w:rsidRPr="00A52AB8" w14:paraId="01CB282F" w14:textId="77777777" w:rsidTr="00CE2D34">
        <w:trPr>
          <w:cantSplit/>
          <w:jc w:val="center"/>
        </w:trPr>
        <w:tc>
          <w:tcPr>
            <w:tcW w:w="8411" w:type="dxa"/>
            <w:tcBorders>
              <w:top w:val="single" w:sz="4" w:space="0" w:color="auto"/>
              <w:left w:val="single" w:sz="4" w:space="0" w:color="auto"/>
              <w:bottom w:val="single" w:sz="4" w:space="0" w:color="auto"/>
              <w:right w:val="single" w:sz="4" w:space="0" w:color="auto"/>
            </w:tcBorders>
          </w:tcPr>
          <w:p w14:paraId="2DD101E5" w14:textId="4DF1EF54" w:rsidR="006F4EC9" w:rsidRPr="00A52AB8" w:rsidRDefault="006F4EC9" w:rsidP="009C6742">
            <w:pPr>
              <w:pStyle w:val="tablesyntax"/>
              <w:keepNext w:val="0"/>
              <w:keepLines w:val="0"/>
              <w:spacing w:before="20" w:after="40"/>
              <w:rPr>
                <w:rFonts w:ascii="Cambria" w:hAnsi="Cambria"/>
              </w:rPr>
            </w:pPr>
            <w:r w:rsidRPr="00A52AB8">
              <w:rPr>
                <w:rFonts w:ascii="Cambria" w:hAnsi="Cambria"/>
              </w:rPr>
              <w:tab/>
            </w:r>
            <w:r w:rsidRPr="00A52AB8">
              <w:rPr>
                <w:rFonts w:ascii="Cambria" w:hAnsi="Cambria"/>
              </w:rPr>
              <w:tab/>
            </w:r>
            <w:r w:rsidRPr="00A52AB8">
              <w:rPr>
                <w:rFonts w:ascii="Cambria" w:hAnsi="Cambria"/>
              </w:rPr>
              <w:tab/>
            </w:r>
            <w:r w:rsidRPr="00A52AB8">
              <w:rPr>
                <w:rFonts w:ascii="Cambria" w:hAnsi="Cambria"/>
                <w:b/>
                <w:bCs/>
              </w:rPr>
              <w:t>daih_atlas</w:t>
            </w:r>
            <w:r w:rsidR="005B0BB4" w:rsidRPr="00A52AB8">
              <w:rPr>
                <w:rFonts w:ascii="Cambria" w:hAnsi="Cambria"/>
                <w:b/>
              </w:rPr>
              <w:t>_</w:t>
            </w:r>
            <w:r w:rsidRPr="00A52AB8">
              <w:rPr>
                <w:rFonts w:ascii="Cambria" w:hAnsi="Cambria"/>
                <w:b/>
              </w:rPr>
              <w:t>md5</w:t>
            </w:r>
            <w:r w:rsidRPr="00A52AB8">
              <w:rPr>
                <w:rFonts w:ascii="Cambria" w:hAnsi="Cambria"/>
              </w:rPr>
              <w:t>[ i ]</w:t>
            </w:r>
          </w:p>
        </w:tc>
        <w:tc>
          <w:tcPr>
            <w:tcW w:w="1331" w:type="dxa"/>
            <w:tcBorders>
              <w:top w:val="single" w:sz="4" w:space="0" w:color="auto"/>
              <w:left w:val="single" w:sz="4" w:space="0" w:color="auto"/>
              <w:bottom w:val="single" w:sz="4" w:space="0" w:color="auto"/>
              <w:right w:val="single" w:sz="4" w:space="0" w:color="auto"/>
            </w:tcBorders>
          </w:tcPr>
          <w:p w14:paraId="46428A94" w14:textId="77777777" w:rsidR="006F4EC9" w:rsidRPr="00A52AB8" w:rsidRDefault="006F4EC9" w:rsidP="009C6742">
            <w:pPr>
              <w:pStyle w:val="tableheading"/>
              <w:keepNext w:val="0"/>
              <w:keepLines w:val="0"/>
              <w:spacing w:before="20" w:after="40"/>
              <w:jc w:val="center"/>
              <w:rPr>
                <w:rFonts w:ascii="Cambria" w:hAnsi="Cambria"/>
                <w:b w:val="0"/>
              </w:rPr>
            </w:pPr>
            <w:r w:rsidRPr="00A52AB8">
              <w:rPr>
                <w:rFonts w:ascii="Cambria" w:hAnsi="Cambria"/>
                <w:b w:val="0"/>
              </w:rPr>
              <w:t>b(8)</w:t>
            </w:r>
          </w:p>
        </w:tc>
      </w:tr>
      <w:tr w:rsidR="006F4EC9" w:rsidRPr="00A52AB8" w14:paraId="67BD46C7" w14:textId="77777777" w:rsidTr="00CE2D34">
        <w:trPr>
          <w:cantSplit/>
          <w:jc w:val="center"/>
        </w:trPr>
        <w:tc>
          <w:tcPr>
            <w:tcW w:w="8411" w:type="dxa"/>
            <w:tcBorders>
              <w:top w:val="single" w:sz="4" w:space="0" w:color="auto"/>
              <w:left w:val="single" w:sz="4" w:space="0" w:color="auto"/>
              <w:bottom w:val="single" w:sz="4" w:space="0" w:color="auto"/>
              <w:right w:val="single" w:sz="4" w:space="0" w:color="auto"/>
            </w:tcBorders>
          </w:tcPr>
          <w:p w14:paraId="69D1536F" w14:textId="632ABA74" w:rsidR="006F4EC9" w:rsidRPr="00A52AB8" w:rsidRDefault="006F4EC9" w:rsidP="009C6742">
            <w:pPr>
              <w:pStyle w:val="tablesyntax"/>
              <w:keepNext w:val="0"/>
              <w:keepLines w:val="0"/>
              <w:spacing w:before="20" w:after="40"/>
              <w:rPr>
                <w:rFonts w:ascii="Cambria" w:hAnsi="Cambria"/>
              </w:rPr>
            </w:pPr>
            <w:r w:rsidRPr="00A52AB8">
              <w:rPr>
                <w:rFonts w:ascii="Cambria" w:hAnsi="Cambria"/>
              </w:rPr>
              <w:tab/>
              <w:t>else if(</w:t>
            </w:r>
            <w:r w:rsidR="00F34F8B" w:rsidRPr="00A52AB8">
              <w:rPr>
                <w:rFonts w:ascii="Cambria" w:hAnsi="Cambria"/>
              </w:rPr>
              <w:t> hashType</w:t>
            </w:r>
            <w:r w:rsidR="008768E9" w:rsidRPr="00A52AB8">
              <w:rPr>
                <w:rFonts w:ascii="Cambria" w:hAnsi="Cambria"/>
              </w:rPr>
              <w:t> </w:t>
            </w:r>
            <w:r w:rsidR="00726AAE" w:rsidRPr="00A52AB8">
              <w:rPr>
                <w:rFonts w:ascii="Cambria" w:hAnsi="Cambria"/>
              </w:rPr>
              <w:t>==</w:t>
            </w:r>
            <w:r w:rsidR="00D47707" w:rsidRPr="00A52AB8">
              <w:rPr>
                <w:rFonts w:ascii="Cambria" w:hAnsi="Cambria"/>
              </w:rPr>
              <w:t> </w:t>
            </w:r>
            <w:r w:rsidRPr="00A52AB8">
              <w:rPr>
                <w:rFonts w:ascii="Cambria" w:hAnsi="Cambria"/>
              </w:rPr>
              <w:t>1</w:t>
            </w:r>
            <w:r w:rsidR="0058306B" w:rsidRPr="00A52AB8">
              <w:rPr>
                <w:rFonts w:ascii="Cambria" w:hAnsi="Cambria"/>
              </w:rPr>
              <w:t> </w:t>
            </w:r>
            <w:r w:rsidRPr="00A52AB8">
              <w:rPr>
                <w:rFonts w:ascii="Cambria" w:hAnsi="Cambria"/>
              </w:rPr>
              <w:t>)</w:t>
            </w:r>
          </w:p>
        </w:tc>
        <w:tc>
          <w:tcPr>
            <w:tcW w:w="1331" w:type="dxa"/>
            <w:tcBorders>
              <w:top w:val="single" w:sz="4" w:space="0" w:color="auto"/>
              <w:left w:val="single" w:sz="4" w:space="0" w:color="auto"/>
              <w:bottom w:val="single" w:sz="4" w:space="0" w:color="auto"/>
              <w:right w:val="single" w:sz="4" w:space="0" w:color="auto"/>
            </w:tcBorders>
          </w:tcPr>
          <w:p w14:paraId="1E7ACAA8" w14:textId="77777777" w:rsidR="006F4EC9" w:rsidRPr="00A52AB8" w:rsidRDefault="006F4EC9" w:rsidP="009C6742">
            <w:pPr>
              <w:pStyle w:val="tableheading"/>
              <w:keepNext w:val="0"/>
              <w:keepLines w:val="0"/>
              <w:spacing w:before="20" w:after="40"/>
              <w:jc w:val="center"/>
              <w:rPr>
                <w:rFonts w:ascii="Cambria" w:hAnsi="Cambria"/>
                <w:b w:val="0"/>
              </w:rPr>
            </w:pPr>
          </w:p>
        </w:tc>
      </w:tr>
      <w:tr w:rsidR="006F4EC9" w:rsidRPr="00A52AB8" w14:paraId="5DF8F3B2" w14:textId="77777777" w:rsidTr="00CE2D34">
        <w:trPr>
          <w:cantSplit/>
          <w:jc w:val="center"/>
        </w:trPr>
        <w:tc>
          <w:tcPr>
            <w:tcW w:w="8411" w:type="dxa"/>
            <w:tcBorders>
              <w:top w:val="single" w:sz="4" w:space="0" w:color="auto"/>
              <w:left w:val="single" w:sz="4" w:space="0" w:color="auto"/>
              <w:bottom w:val="single" w:sz="4" w:space="0" w:color="auto"/>
              <w:right w:val="single" w:sz="4" w:space="0" w:color="auto"/>
            </w:tcBorders>
          </w:tcPr>
          <w:p w14:paraId="63511F86" w14:textId="1589AFF6" w:rsidR="006F4EC9" w:rsidRPr="00A52AB8" w:rsidRDefault="006F4EC9" w:rsidP="009C6742">
            <w:pPr>
              <w:pStyle w:val="tablesyntax"/>
              <w:keepNext w:val="0"/>
              <w:keepLines w:val="0"/>
              <w:spacing w:before="20" w:after="40"/>
              <w:rPr>
                <w:rFonts w:ascii="Cambria" w:hAnsi="Cambria"/>
                <w:b/>
              </w:rPr>
            </w:pPr>
            <w:r w:rsidRPr="00A52AB8">
              <w:rPr>
                <w:rFonts w:ascii="Cambria" w:hAnsi="Cambria"/>
              </w:rPr>
              <w:tab/>
            </w:r>
            <w:r w:rsidRPr="00A52AB8">
              <w:rPr>
                <w:rFonts w:ascii="Cambria" w:hAnsi="Cambria"/>
              </w:rPr>
              <w:tab/>
            </w:r>
            <w:r w:rsidRPr="00A52AB8">
              <w:rPr>
                <w:rFonts w:ascii="Cambria" w:hAnsi="Cambria"/>
                <w:b/>
              </w:rPr>
              <w:t>daih_atlas_crc</w:t>
            </w:r>
          </w:p>
        </w:tc>
        <w:tc>
          <w:tcPr>
            <w:tcW w:w="1331" w:type="dxa"/>
            <w:tcBorders>
              <w:top w:val="single" w:sz="4" w:space="0" w:color="auto"/>
              <w:left w:val="single" w:sz="4" w:space="0" w:color="auto"/>
              <w:bottom w:val="single" w:sz="4" w:space="0" w:color="auto"/>
              <w:right w:val="single" w:sz="4" w:space="0" w:color="auto"/>
            </w:tcBorders>
          </w:tcPr>
          <w:p w14:paraId="3A3352B6" w14:textId="77777777" w:rsidR="006F4EC9" w:rsidRPr="00A52AB8" w:rsidRDefault="006F4EC9" w:rsidP="009C6742">
            <w:pPr>
              <w:pStyle w:val="tableheading"/>
              <w:keepNext w:val="0"/>
              <w:keepLines w:val="0"/>
              <w:spacing w:before="20" w:after="40"/>
              <w:jc w:val="center"/>
              <w:rPr>
                <w:rFonts w:ascii="Cambria" w:hAnsi="Cambria"/>
                <w:b w:val="0"/>
              </w:rPr>
            </w:pPr>
            <w:r w:rsidRPr="00A52AB8">
              <w:rPr>
                <w:rFonts w:ascii="Cambria" w:hAnsi="Cambria"/>
                <w:b w:val="0"/>
              </w:rPr>
              <w:t>u(16)</w:t>
            </w:r>
          </w:p>
        </w:tc>
      </w:tr>
      <w:tr w:rsidR="006F4EC9" w:rsidRPr="00A52AB8" w14:paraId="2080EFBF" w14:textId="77777777" w:rsidTr="00CE2D34">
        <w:trPr>
          <w:cantSplit/>
          <w:jc w:val="center"/>
        </w:trPr>
        <w:tc>
          <w:tcPr>
            <w:tcW w:w="8411" w:type="dxa"/>
            <w:tcBorders>
              <w:top w:val="single" w:sz="4" w:space="0" w:color="auto"/>
              <w:left w:val="single" w:sz="4" w:space="0" w:color="auto"/>
              <w:bottom w:val="single" w:sz="4" w:space="0" w:color="auto"/>
              <w:right w:val="single" w:sz="4" w:space="0" w:color="auto"/>
            </w:tcBorders>
          </w:tcPr>
          <w:p w14:paraId="32A9DCDD" w14:textId="21CAB0F8" w:rsidR="006F4EC9" w:rsidRPr="00A52AB8" w:rsidRDefault="006F4EC9" w:rsidP="009C6742">
            <w:pPr>
              <w:pStyle w:val="tablesyntax"/>
              <w:keepNext w:val="0"/>
              <w:keepLines w:val="0"/>
              <w:spacing w:before="20" w:after="40"/>
              <w:rPr>
                <w:rFonts w:ascii="Cambria" w:hAnsi="Cambria"/>
              </w:rPr>
            </w:pPr>
            <w:r w:rsidRPr="00A52AB8">
              <w:rPr>
                <w:rFonts w:ascii="Cambria" w:hAnsi="Cambria"/>
              </w:rPr>
              <w:tab/>
              <w:t>else if(</w:t>
            </w:r>
            <w:r w:rsidR="00F34F8B" w:rsidRPr="00A52AB8">
              <w:rPr>
                <w:rFonts w:ascii="Cambria" w:hAnsi="Cambria"/>
              </w:rPr>
              <w:t> hashType</w:t>
            </w:r>
            <w:r w:rsidR="008768E9" w:rsidRPr="00A52AB8">
              <w:rPr>
                <w:rFonts w:ascii="Cambria" w:hAnsi="Cambria"/>
              </w:rPr>
              <w:t> </w:t>
            </w:r>
            <w:r w:rsidR="00726AAE" w:rsidRPr="00A52AB8">
              <w:rPr>
                <w:rFonts w:ascii="Cambria" w:hAnsi="Cambria"/>
              </w:rPr>
              <w:t>==</w:t>
            </w:r>
            <w:r w:rsidR="00D47707" w:rsidRPr="00A52AB8">
              <w:rPr>
                <w:rFonts w:ascii="Cambria" w:hAnsi="Cambria"/>
              </w:rPr>
              <w:t> </w:t>
            </w:r>
            <w:r w:rsidRPr="00A52AB8">
              <w:rPr>
                <w:rFonts w:ascii="Cambria" w:hAnsi="Cambria"/>
              </w:rPr>
              <w:t>2</w:t>
            </w:r>
            <w:r w:rsidR="0058306B" w:rsidRPr="00A52AB8">
              <w:rPr>
                <w:rFonts w:ascii="Cambria" w:hAnsi="Cambria"/>
              </w:rPr>
              <w:t> </w:t>
            </w:r>
            <w:r w:rsidRPr="00A52AB8">
              <w:rPr>
                <w:rFonts w:ascii="Cambria" w:hAnsi="Cambria"/>
              </w:rPr>
              <w:t>)</w:t>
            </w:r>
          </w:p>
        </w:tc>
        <w:tc>
          <w:tcPr>
            <w:tcW w:w="1331" w:type="dxa"/>
            <w:tcBorders>
              <w:top w:val="single" w:sz="4" w:space="0" w:color="auto"/>
              <w:left w:val="single" w:sz="4" w:space="0" w:color="auto"/>
              <w:bottom w:val="single" w:sz="4" w:space="0" w:color="auto"/>
              <w:right w:val="single" w:sz="4" w:space="0" w:color="auto"/>
            </w:tcBorders>
          </w:tcPr>
          <w:p w14:paraId="398AE506" w14:textId="77777777" w:rsidR="006F4EC9" w:rsidRPr="00A52AB8" w:rsidRDefault="006F4EC9" w:rsidP="009C6742">
            <w:pPr>
              <w:pStyle w:val="tableheading"/>
              <w:keepNext w:val="0"/>
              <w:keepLines w:val="0"/>
              <w:spacing w:before="20" w:after="40"/>
              <w:jc w:val="center"/>
              <w:rPr>
                <w:rFonts w:ascii="Cambria" w:hAnsi="Cambria"/>
                <w:b w:val="0"/>
              </w:rPr>
            </w:pPr>
          </w:p>
        </w:tc>
      </w:tr>
      <w:tr w:rsidR="006F4EC9" w:rsidRPr="00A52AB8" w14:paraId="600B8540" w14:textId="77777777" w:rsidTr="00CE2D34">
        <w:trPr>
          <w:cantSplit/>
          <w:jc w:val="center"/>
        </w:trPr>
        <w:tc>
          <w:tcPr>
            <w:tcW w:w="8411" w:type="dxa"/>
            <w:tcBorders>
              <w:top w:val="single" w:sz="4" w:space="0" w:color="auto"/>
              <w:left w:val="single" w:sz="4" w:space="0" w:color="auto"/>
              <w:bottom w:val="single" w:sz="4" w:space="0" w:color="auto"/>
              <w:right w:val="single" w:sz="4" w:space="0" w:color="auto"/>
            </w:tcBorders>
          </w:tcPr>
          <w:p w14:paraId="0D7A40B1" w14:textId="1737856C" w:rsidR="006F4EC9" w:rsidRPr="00A52AB8" w:rsidRDefault="006F4EC9" w:rsidP="009C6742">
            <w:pPr>
              <w:pStyle w:val="tablesyntax"/>
              <w:keepNext w:val="0"/>
              <w:keepLines w:val="0"/>
              <w:spacing w:before="20" w:after="40"/>
              <w:rPr>
                <w:rFonts w:ascii="Cambria" w:hAnsi="Cambria"/>
              </w:rPr>
            </w:pPr>
            <w:r w:rsidRPr="00A52AB8">
              <w:rPr>
                <w:rFonts w:ascii="Cambria" w:hAnsi="Cambria"/>
                <w:b/>
              </w:rPr>
              <w:tab/>
            </w:r>
            <w:r w:rsidRPr="00A52AB8">
              <w:rPr>
                <w:rFonts w:ascii="Cambria" w:hAnsi="Cambria"/>
                <w:b/>
              </w:rPr>
              <w:tab/>
              <w:t>daih_atlas</w:t>
            </w:r>
            <w:r w:rsidR="005B0BB4" w:rsidRPr="00A52AB8">
              <w:rPr>
                <w:rFonts w:ascii="Cambria" w:hAnsi="Cambria"/>
                <w:b/>
              </w:rPr>
              <w:t>_</w:t>
            </w:r>
            <w:r w:rsidRPr="00A52AB8">
              <w:rPr>
                <w:rFonts w:ascii="Cambria" w:hAnsi="Cambria"/>
                <w:b/>
              </w:rPr>
              <w:t>checksum</w:t>
            </w:r>
          </w:p>
        </w:tc>
        <w:tc>
          <w:tcPr>
            <w:tcW w:w="1331" w:type="dxa"/>
            <w:tcBorders>
              <w:top w:val="single" w:sz="4" w:space="0" w:color="auto"/>
              <w:left w:val="single" w:sz="4" w:space="0" w:color="auto"/>
              <w:bottom w:val="single" w:sz="4" w:space="0" w:color="auto"/>
              <w:right w:val="single" w:sz="4" w:space="0" w:color="auto"/>
            </w:tcBorders>
          </w:tcPr>
          <w:p w14:paraId="261072A9" w14:textId="77777777" w:rsidR="006F4EC9" w:rsidRPr="00A52AB8" w:rsidRDefault="006F4EC9" w:rsidP="009C6742">
            <w:pPr>
              <w:pStyle w:val="tableheading"/>
              <w:keepNext w:val="0"/>
              <w:keepLines w:val="0"/>
              <w:spacing w:before="20" w:after="40"/>
              <w:jc w:val="center"/>
              <w:rPr>
                <w:rFonts w:ascii="Cambria" w:hAnsi="Cambria"/>
                <w:b w:val="0"/>
              </w:rPr>
            </w:pPr>
            <w:r w:rsidRPr="00A52AB8">
              <w:rPr>
                <w:rFonts w:ascii="Cambria" w:hAnsi="Cambria"/>
                <w:b w:val="0"/>
              </w:rPr>
              <w:t>u(32)</w:t>
            </w:r>
          </w:p>
        </w:tc>
      </w:tr>
      <w:tr w:rsidR="006F4EC9" w:rsidRPr="00A52AB8" w14:paraId="2376DF1C" w14:textId="77777777" w:rsidTr="00CE2D34">
        <w:trPr>
          <w:cantSplit/>
          <w:jc w:val="center"/>
        </w:trPr>
        <w:tc>
          <w:tcPr>
            <w:tcW w:w="8411" w:type="dxa"/>
            <w:tcBorders>
              <w:top w:val="single" w:sz="4" w:space="0" w:color="auto"/>
              <w:left w:val="single" w:sz="4" w:space="0" w:color="auto"/>
              <w:bottom w:val="single" w:sz="4" w:space="0" w:color="auto"/>
              <w:right w:val="single" w:sz="4" w:space="0" w:color="auto"/>
            </w:tcBorders>
          </w:tcPr>
          <w:p w14:paraId="3503C982" w14:textId="77777777" w:rsidR="006F4EC9" w:rsidRPr="00A52AB8" w:rsidRDefault="006F4EC9" w:rsidP="009C6742">
            <w:pPr>
              <w:pStyle w:val="tablesyntax"/>
              <w:keepNext w:val="0"/>
              <w:keepLines w:val="0"/>
              <w:spacing w:before="20" w:after="40"/>
              <w:rPr>
                <w:rFonts w:ascii="Cambria" w:hAnsi="Cambria"/>
                <w:bCs/>
              </w:rPr>
            </w:pPr>
            <w:r w:rsidRPr="00A52AB8">
              <w:rPr>
                <w:rFonts w:ascii="Cambria" w:hAnsi="Cambria"/>
                <w:bCs/>
              </w:rPr>
              <w:t>}</w:t>
            </w:r>
          </w:p>
        </w:tc>
        <w:tc>
          <w:tcPr>
            <w:tcW w:w="1331" w:type="dxa"/>
            <w:tcBorders>
              <w:top w:val="single" w:sz="4" w:space="0" w:color="auto"/>
              <w:left w:val="single" w:sz="4" w:space="0" w:color="auto"/>
              <w:bottom w:val="single" w:sz="4" w:space="0" w:color="auto"/>
              <w:right w:val="single" w:sz="4" w:space="0" w:color="auto"/>
            </w:tcBorders>
          </w:tcPr>
          <w:p w14:paraId="6D565139" w14:textId="77777777" w:rsidR="006F4EC9" w:rsidRPr="00A52AB8" w:rsidRDefault="006F4EC9" w:rsidP="009C6742">
            <w:pPr>
              <w:pStyle w:val="tableheading"/>
              <w:keepNext w:val="0"/>
              <w:keepLines w:val="0"/>
              <w:spacing w:before="20" w:after="40"/>
              <w:jc w:val="center"/>
              <w:rPr>
                <w:rFonts w:ascii="Cambria" w:hAnsi="Cambria"/>
                <w:b w:val="0"/>
              </w:rPr>
            </w:pPr>
          </w:p>
        </w:tc>
      </w:tr>
    </w:tbl>
    <w:p w14:paraId="3DBA2FBF" w14:textId="6452FEA3" w:rsidR="00C16D86" w:rsidRPr="00A52AB8" w:rsidRDefault="00C16D86" w:rsidP="00EE3D19">
      <w:pPr>
        <w:pStyle w:val="a3"/>
        <w:numPr>
          <w:ilvl w:val="3"/>
          <w:numId w:val="19"/>
        </w:numPr>
        <w:tabs>
          <w:tab w:val="clear" w:pos="403"/>
        </w:tabs>
        <w:spacing w:line="240" w:lineRule="auto"/>
        <w:outlineLvl w:val="3"/>
      </w:pPr>
      <w:bookmarkStart w:id="5419" w:name="_Toc52181727"/>
      <w:r w:rsidRPr="00A52AB8">
        <w:t>Decoded atlas</w:t>
      </w:r>
      <w:r w:rsidR="005B0BB4" w:rsidRPr="00A52AB8">
        <w:t xml:space="preserve"> </w:t>
      </w:r>
      <w:r w:rsidRPr="00A52AB8">
        <w:t>b2p hash unit syntax</w:t>
      </w:r>
      <w:bookmarkEnd w:id="5419"/>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11"/>
        <w:gridCol w:w="1331"/>
      </w:tblGrid>
      <w:tr w:rsidR="00C16D86" w:rsidRPr="00A52AB8" w14:paraId="3C929202" w14:textId="77777777" w:rsidTr="00CE2D34">
        <w:trPr>
          <w:cantSplit/>
          <w:jc w:val="center"/>
        </w:trPr>
        <w:tc>
          <w:tcPr>
            <w:tcW w:w="8411" w:type="dxa"/>
            <w:tcBorders>
              <w:top w:val="single" w:sz="4" w:space="0" w:color="auto"/>
              <w:left w:val="single" w:sz="4" w:space="0" w:color="auto"/>
              <w:bottom w:val="single" w:sz="4" w:space="0" w:color="auto"/>
              <w:right w:val="single" w:sz="4" w:space="0" w:color="auto"/>
            </w:tcBorders>
          </w:tcPr>
          <w:p w14:paraId="2AC68DE0" w14:textId="77F3CCAB" w:rsidR="00C16D86" w:rsidRPr="00A52AB8" w:rsidRDefault="00C16D86" w:rsidP="009C6742">
            <w:pPr>
              <w:pStyle w:val="tablesyntax"/>
              <w:keepNext w:val="0"/>
              <w:keepLines w:val="0"/>
              <w:spacing w:before="20" w:after="40"/>
              <w:rPr>
                <w:rFonts w:ascii="Cambria" w:hAnsi="Cambria"/>
              </w:rPr>
            </w:pPr>
            <w:r w:rsidRPr="00A52AB8">
              <w:rPr>
                <w:rFonts w:ascii="Cambria" w:hAnsi="Cambria"/>
              </w:rPr>
              <w:t>decoded_atlas_</w:t>
            </w:r>
            <w:r w:rsidR="005B0BB4" w:rsidRPr="00A52AB8">
              <w:rPr>
                <w:rFonts w:ascii="Cambria" w:hAnsi="Cambria"/>
              </w:rPr>
              <w:t>tile_</w:t>
            </w:r>
            <w:r w:rsidRPr="00A52AB8">
              <w:rPr>
                <w:rFonts w:ascii="Cambria" w:hAnsi="Cambria"/>
              </w:rPr>
              <w:t>b2</w:t>
            </w:r>
            <w:r w:rsidR="005B0BB4" w:rsidRPr="00A52AB8">
              <w:rPr>
                <w:rFonts w:ascii="Cambria" w:hAnsi="Cambria"/>
              </w:rPr>
              <w:t>p</w:t>
            </w:r>
            <w:r w:rsidRPr="00A52AB8">
              <w:rPr>
                <w:rFonts w:ascii="Cambria" w:hAnsi="Cambria"/>
              </w:rPr>
              <w:t>_hash(</w:t>
            </w:r>
            <w:r w:rsidR="00F34F8B" w:rsidRPr="00A52AB8">
              <w:rPr>
                <w:rFonts w:ascii="Cambria" w:hAnsi="Cambria"/>
              </w:rPr>
              <w:t> hashType </w:t>
            </w:r>
            <w:r w:rsidR="008F1F82" w:rsidRPr="00A52AB8">
              <w:rPr>
                <w:rFonts w:ascii="Cambria" w:hAnsi="Cambria"/>
              </w:rPr>
              <w:t>) {</w:t>
            </w:r>
          </w:p>
        </w:tc>
        <w:tc>
          <w:tcPr>
            <w:tcW w:w="1331" w:type="dxa"/>
            <w:tcBorders>
              <w:top w:val="single" w:sz="4" w:space="0" w:color="auto"/>
              <w:left w:val="single" w:sz="4" w:space="0" w:color="auto"/>
              <w:bottom w:val="single" w:sz="4" w:space="0" w:color="auto"/>
              <w:right w:val="single" w:sz="4" w:space="0" w:color="auto"/>
            </w:tcBorders>
          </w:tcPr>
          <w:p w14:paraId="1E3D9BE6" w14:textId="77777777" w:rsidR="00C16D86" w:rsidRPr="00A52AB8" w:rsidRDefault="00C16D86" w:rsidP="009C6742">
            <w:pPr>
              <w:pStyle w:val="tableheading"/>
              <w:keepNext w:val="0"/>
              <w:keepLines w:val="0"/>
              <w:spacing w:before="20" w:after="40"/>
              <w:jc w:val="center"/>
              <w:rPr>
                <w:rFonts w:ascii="Cambria" w:hAnsi="Cambria"/>
                <w:b w:val="0"/>
              </w:rPr>
            </w:pPr>
          </w:p>
        </w:tc>
      </w:tr>
      <w:tr w:rsidR="00C16D86" w:rsidRPr="00A52AB8" w14:paraId="085C1EA5" w14:textId="77777777" w:rsidTr="00CE2D34">
        <w:trPr>
          <w:cantSplit/>
          <w:jc w:val="center"/>
        </w:trPr>
        <w:tc>
          <w:tcPr>
            <w:tcW w:w="8411" w:type="dxa"/>
            <w:tcBorders>
              <w:top w:val="single" w:sz="4" w:space="0" w:color="auto"/>
              <w:left w:val="single" w:sz="4" w:space="0" w:color="auto"/>
              <w:bottom w:val="single" w:sz="4" w:space="0" w:color="auto"/>
              <w:right w:val="single" w:sz="4" w:space="0" w:color="auto"/>
            </w:tcBorders>
          </w:tcPr>
          <w:p w14:paraId="5DF82D31" w14:textId="11A6C7F9" w:rsidR="00C16D86" w:rsidRPr="00A52AB8" w:rsidRDefault="00C16D86" w:rsidP="009C6742">
            <w:pPr>
              <w:pStyle w:val="tablesyntax"/>
              <w:keepNext w:val="0"/>
              <w:keepLines w:val="0"/>
              <w:spacing w:before="20" w:after="40"/>
              <w:rPr>
                <w:rFonts w:ascii="Cambria" w:hAnsi="Cambria"/>
              </w:rPr>
            </w:pPr>
            <w:r w:rsidRPr="00A52AB8">
              <w:rPr>
                <w:rFonts w:ascii="Cambria" w:hAnsi="Cambria"/>
              </w:rPr>
              <w:tab/>
              <w:t>if(</w:t>
            </w:r>
            <w:r w:rsidR="00F34F8B" w:rsidRPr="00A52AB8">
              <w:rPr>
                <w:rFonts w:ascii="Cambria" w:hAnsi="Cambria"/>
              </w:rPr>
              <w:t> hashType</w:t>
            </w:r>
            <w:r w:rsidR="008768E9" w:rsidRPr="00A52AB8">
              <w:rPr>
                <w:rFonts w:ascii="Cambria" w:hAnsi="Cambria"/>
              </w:rPr>
              <w:t> </w:t>
            </w:r>
            <w:r w:rsidR="00726AAE" w:rsidRPr="00A52AB8">
              <w:rPr>
                <w:rFonts w:ascii="Cambria" w:hAnsi="Cambria"/>
              </w:rPr>
              <w:t>==</w:t>
            </w:r>
            <w:r w:rsidR="00D47707" w:rsidRPr="00A52AB8">
              <w:rPr>
                <w:rFonts w:ascii="Cambria" w:hAnsi="Cambria"/>
              </w:rPr>
              <w:t> </w:t>
            </w:r>
            <w:r w:rsidRPr="00A52AB8">
              <w:rPr>
                <w:rFonts w:ascii="Cambria" w:hAnsi="Cambria"/>
              </w:rPr>
              <w:t>0</w:t>
            </w:r>
            <w:r w:rsidR="0058306B" w:rsidRPr="00A52AB8">
              <w:rPr>
                <w:rFonts w:ascii="Cambria" w:hAnsi="Cambria"/>
              </w:rPr>
              <w:t> </w:t>
            </w:r>
            <w:r w:rsidRPr="00A52AB8">
              <w:rPr>
                <w:rFonts w:ascii="Cambria" w:hAnsi="Cambria"/>
              </w:rPr>
              <w:t>)</w:t>
            </w:r>
          </w:p>
        </w:tc>
        <w:tc>
          <w:tcPr>
            <w:tcW w:w="1331" w:type="dxa"/>
            <w:tcBorders>
              <w:top w:val="single" w:sz="4" w:space="0" w:color="auto"/>
              <w:left w:val="single" w:sz="4" w:space="0" w:color="auto"/>
              <w:bottom w:val="single" w:sz="4" w:space="0" w:color="auto"/>
              <w:right w:val="single" w:sz="4" w:space="0" w:color="auto"/>
            </w:tcBorders>
          </w:tcPr>
          <w:p w14:paraId="14EAA22C" w14:textId="77777777" w:rsidR="00C16D86" w:rsidRPr="00A52AB8" w:rsidRDefault="00C16D86" w:rsidP="009C6742">
            <w:pPr>
              <w:pStyle w:val="tableheading"/>
              <w:keepNext w:val="0"/>
              <w:keepLines w:val="0"/>
              <w:spacing w:before="20" w:after="40"/>
              <w:jc w:val="center"/>
              <w:rPr>
                <w:rFonts w:ascii="Cambria" w:hAnsi="Cambria"/>
                <w:b w:val="0"/>
              </w:rPr>
            </w:pPr>
          </w:p>
        </w:tc>
      </w:tr>
      <w:tr w:rsidR="00C16D86" w:rsidRPr="00A52AB8" w14:paraId="395FA474" w14:textId="77777777" w:rsidTr="00CE2D34">
        <w:trPr>
          <w:cantSplit/>
          <w:jc w:val="center"/>
        </w:trPr>
        <w:tc>
          <w:tcPr>
            <w:tcW w:w="8411" w:type="dxa"/>
            <w:tcBorders>
              <w:top w:val="single" w:sz="4" w:space="0" w:color="auto"/>
              <w:left w:val="single" w:sz="4" w:space="0" w:color="auto"/>
              <w:bottom w:val="single" w:sz="4" w:space="0" w:color="auto"/>
              <w:right w:val="single" w:sz="4" w:space="0" w:color="auto"/>
            </w:tcBorders>
          </w:tcPr>
          <w:p w14:paraId="51105D4F" w14:textId="46524CC3" w:rsidR="00C16D86" w:rsidRPr="00A52AB8" w:rsidRDefault="00C16D86" w:rsidP="009C6742">
            <w:pPr>
              <w:pStyle w:val="tablesyntax"/>
              <w:keepNext w:val="0"/>
              <w:keepLines w:val="0"/>
              <w:spacing w:before="20" w:after="40"/>
              <w:rPr>
                <w:rFonts w:ascii="Cambria" w:hAnsi="Cambria"/>
              </w:rPr>
            </w:pPr>
            <w:r w:rsidRPr="00A52AB8">
              <w:rPr>
                <w:rFonts w:ascii="Cambria" w:hAnsi="Cambria"/>
              </w:rPr>
              <w:tab/>
            </w:r>
            <w:r w:rsidRPr="00A52AB8">
              <w:rPr>
                <w:rFonts w:ascii="Cambria" w:hAnsi="Cambria"/>
              </w:rPr>
              <w:tab/>
              <w:t>for( i</w:t>
            </w:r>
            <w:r w:rsidR="00D47707" w:rsidRPr="00A52AB8">
              <w:rPr>
                <w:rFonts w:ascii="Cambria" w:hAnsi="Cambria"/>
              </w:rPr>
              <w:t> = </w:t>
            </w:r>
            <w:r w:rsidRPr="00A52AB8">
              <w:rPr>
                <w:rFonts w:ascii="Cambria" w:hAnsi="Cambria"/>
              </w:rPr>
              <w:t>0; i &lt; 16; i++ )</w:t>
            </w:r>
          </w:p>
        </w:tc>
        <w:tc>
          <w:tcPr>
            <w:tcW w:w="1331" w:type="dxa"/>
            <w:tcBorders>
              <w:top w:val="single" w:sz="4" w:space="0" w:color="auto"/>
              <w:left w:val="single" w:sz="4" w:space="0" w:color="auto"/>
              <w:bottom w:val="single" w:sz="4" w:space="0" w:color="auto"/>
              <w:right w:val="single" w:sz="4" w:space="0" w:color="auto"/>
            </w:tcBorders>
          </w:tcPr>
          <w:p w14:paraId="7BD87078" w14:textId="77777777" w:rsidR="00C16D86" w:rsidRPr="00A52AB8" w:rsidRDefault="00C16D86" w:rsidP="009C6742">
            <w:pPr>
              <w:pStyle w:val="tableheading"/>
              <w:keepNext w:val="0"/>
              <w:keepLines w:val="0"/>
              <w:spacing w:before="20" w:after="40"/>
              <w:jc w:val="center"/>
              <w:rPr>
                <w:rFonts w:ascii="Cambria" w:hAnsi="Cambria"/>
                <w:b w:val="0"/>
              </w:rPr>
            </w:pPr>
          </w:p>
        </w:tc>
      </w:tr>
      <w:tr w:rsidR="00C16D86" w:rsidRPr="00A52AB8" w14:paraId="0776AC9C" w14:textId="77777777" w:rsidTr="00CE2D34">
        <w:trPr>
          <w:cantSplit/>
          <w:jc w:val="center"/>
        </w:trPr>
        <w:tc>
          <w:tcPr>
            <w:tcW w:w="8411" w:type="dxa"/>
            <w:tcBorders>
              <w:top w:val="single" w:sz="4" w:space="0" w:color="auto"/>
              <w:left w:val="single" w:sz="4" w:space="0" w:color="auto"/>
              <w:bottom w:val="single" w:sz="4" w:space="0" w:color="auto"/>
              <w:right w:val="single" w:sz="4" w:space="0" w:color="auto"/>
            </w:tcBorders>
          </w:tcPr>
          <w:p w14:paraId="2534CF88" w14:textId="2B3F62E8" w:rsidR="00C16D86" w:rsidRPr="00A52AB8" w:rsidRDefault="00C16D86" w:rsidP="009C6742">
            <w:pPr>
              <w:pStyle w:val="tablesyntax"/>
              <w:keepNext w:val="0"/>
              <w:keepLines w:val="0"/>
              <w:spacing w:before="20" w:after="40"/>
              <w:rPr>
                <w:rFonts w:ascii="Cambria" w:hAnsi="Cambria"/>
              </w:rPr>
            </w:pPr>
            <w:r w:rsidRPr="00A52AB8">
              <w:rPr>
                <w:rFonts w:ascii="Cambria" w:hAnsi="Cambria"/>
              </w:rPr>
              <w:tab/>
            </w:r>
            <w:r w:rsidRPr="00A52AB8">
              <w:rPr>
                <w:rFonts w:ascii="Cambria" w:hAnsi="Cambria"/>
              </w:rPr>
              <w:tab/>
            </w:r>
            <w:r w:rsidRPr="00A52AB8">
              <w:rPr>
                <w:rFonts w:ascii="Cambria" w:hAnsi="Cambria"/>
              </w:rPr>
              <w:tab/>
            </w:r>
            <w:r w:rsidRPr="00A52AB8">
              <w:rPr>
                <w:rFonts w:ascii="Cambria" w:hAnsi="Cambria"/>
                <w:b/>
                <w:bCs/>
              </w:rPr>
              <w:t>daih_atlas_b2p</w:t>
            </w:r>
            <w:r w:rsidRPr="00A52AB8">
              <w:rPr>
                <w:rFonts w:ascii="Cambria" w:hAnsi="Cambria"/>
                <w:b/>
              </w:rPr>
              <w:t>_md5</w:t>
            </w:r>
            <w:r w:rsidRPr="00A52AB8">
              <w:rPr>
                <w:rFonts w:ascii="Cambria" w:hAnsi="Cambria"/>
              </w:rPr>
              <w:t>[ i ]</w:t>
            </w:r>
          </w:p>
        </w:tc>
        <w:tc>
          <w:tcPr>
            <w:tcW w:w="1331" w:type="dxa"/>
            <w:tcBorders>
              <w:top w:val="single" w:sz="4" w:space="0" w:color="auto"/>
              <w:left w:val="single" w:sz="4" w:space="0" w:color="auto"/>
              <w:bottom w:val="single" w:sz="4" w:space="0" w:color="auto"/>
              <w:right w:val="single" w:sz="4" w:space="0" w:color="auto"/>
            </w:tcBorders>
          </w:tcPr>
          <w:p w14:paraId="760A62A1" w14:textId="77777777" w:rsidR="00C16D86" w:rsidRPr="00A52AB8" w:rsidRDefault="00C16D86" w:rsidP="009C6742">
            <w:pPr>
              <w:pStyle w:val="tableheading"/>
              <w:keepNext w:val="0"/>
              <w:keepLines w:val="0"/>
              <w:spacing w:before="20" w:after="40"/>
              <w:jc w:val="center"/>
              <w:rPr>
                <w:rFonts w:ascii="Cambria" w:hAnsi="Cambria"/>
                <w:b w:val="0"/>
              </w:rPr>
            </w:pPr>
            <w:r w:rsidRPr="00A52AB8">
              <w:rPr>
                <w:rFonts w:ascii="Cambria" w:hAnsi="Cambria"/>
                <w:b w:val="0"/>
              </w:rPr>
              <w:t>b(8)</w:t>
            </w:r>
          </w:p>
        </w:tc>
      </w:tr>
      <w:tr w:rsidR="00C16D86" w:rsidRPr="00A52AB8" w14:paraId="6B77ACFA" w14:textId="77777777" w:rsidTr="00CE2D34">
        <w:trPr>
          <w:cantSplit/>
          <w:jc w:val="center"/>
        </w:trPr>
        <w:tc>
          <w:tcPr>
            <w:tcW w:w="8411" w:type="dxa"/>
            <w:tcBorders>
              <w:top w:val="single" w:sz="4" w:space="0" w:color="auto"/>
              <w:left w:val="single" w:sz="4" w:space="0" w:color="auto"/>
              <w:bottom w:val="single" w:sz="4" w:space="0" w:color="auto"/>
              <w:right w:val="single" w:sz="4" w:space="0" w:color="auto"/>
            </w:tcBorders>
          </w:tcPr>
          <w:p w14:paraId="6EC8825C" w14:textId="6211FAB2" w:rsidR="00C16D86" w:rsidRPr="00A52AB8" w:rsidRDefault="00C16D86" w:rsidP="009C6742">
            <w:pPr>
              <w:pStyle w:val="tablesyntax"/>
              <w:keepNext w:val="0"/>
              <w:keepLines w:val="0"/>
              <w:spacing w:before="20" w:after="40"/>
              <w:rPr>
                <w:rFonts w:ascii="Cambria" w:hAnsi="Cambria"/>
              </w:rPr>
            </w:pPr>
            <w:r w:rsidRPr="00A52AB8">
              <w:rPr>
                <w:rFonts w:ascii="Cambria" w:hAnsi="Cambria"/>
              </w:rPr>
              <w:tab/>
              <w:t>else if(</w:t>
            </w:r>
            <w:r w:rsidR="00F34F8B" w:rsidRPr="00A52AB8">
              <w:rPr>
                <w:rFonts w:ascii="Cambria" w:hAnsi="Cambria"/>
              </w:rPr>
              <w:t> hashType</w:t>
            </w:r>
            <w:r w:rsidR="008768E9" w:rsidRPr="00A52AB8">
              <w:rPr>
                <w:rFonts w:ascii="Cambria" w:hAnsi="Cambria"/>
              </w:rPr>
              <w:t> </w:t>
            </w:r>
            <w:r w:rsidR="00726AAE" w:rsidRPr="00A52AB8">
              <w:rPr>
                <w:rFonts w:ascii="Cambria" w:hAnsi="Cambria"/>
              </w:rPr>
              <w:t>==</w:t>
            </w:r>
            <w:r w:rsidR="00D47707" w:rsidRPr="00A52AB8">
              <w:rPr>
                <w:rFonts w:ascii="Cambria" w:hAnsi="Cambria"/>
              </w:rPr>
              <w:t> </w:t>
            </w:r>
            <w:r w:rsidRPr="00A52AB8">
              <w:rPr>
                <w:rFonts w:ascii="Cambria" w:hAnsi="Cambria"/>
              </w:rPr>
              <w:t>1</w:t>
            </w:r>
            <w:r w:rsidR="0058306B" w:rsidRPr="00A52AB8">
              <w:rPr>
                <w:rFonts w:ascii="Cambria" w:hAnsi="Cambria"/>
              </w:rPr>
              <w:t> </w:t>
            </w:r>
            <w:r w:rsidRPr="00A52AB8">
              <w:rPr>
                <w:rFonts w:ascii="Cambria" w:hAnsi="Cambria"/>
              </w:rPr>
              <w:t>)</w:t>
            </w:r>
          </w:p>
        </w:tc>
        <w:tc>
          <w:tcPr>
            <w:tcW w:w="1331" w:type="dxa"/>
            <w:tcBorders>
              <w:top w:val="single" w:sz="4" w:space="0" w:color="auto"/>
              <w:left w:val="single" w:sz="4" w:space="0" w:color="auto"/>
              <w:bottom w:val="single" w:sz="4" w:space="0" w:color="auto"/>
              <w:right w:val="single" w:sz="4" w:space="0" w:color="auto"/>
            </w:tcBorders>
          </w:tcPr>
          <w:p w14:paraId="1D3DEB46" w14:textId="77777777" w:rsidR="00C16D86" w:rsidRPr="00A52AB8" w:rsidRDefault="00C16D86" w:rsidP="009C6742">
            <w:pPr>
              <w:pStyle w:val="tableheading"/>
              <w:keepNext w:val="0"/>
              <w:keepLines w:val="0"/>
              <w:spacing w:before="20" w:after="40"/>
              <w:jc w:val="center"/>
              <w:rPr>
                <w:rFonts w:ascii="Cambria" w:hAnsi="Cambria"/>
                <w:b w:val="0"/>
              </w:rPr>
            </w:pPr>
          </w:p>
        </w:tc>
      </w:tr>
      <w:tr w:rsidR="00C16D86" w:rsidRPr="00A52AB8" w14:paraId="53D7998C" w14:textId="77777777" w:rsidTr="00CE2D34">
        <w:trPr>
          <w:cantSplit/>
          <w:jc w:val="center"/>
        </w:trPr>
        <w:tc>
          <w:tcPr>
            <w:tcW w:w="8411" w:type="dxa"/>
            <w:tcBorders>
              <w:top w:val="single" w:sz="4" w:space="0" w:color="auto"/>
              <w:left w:val="single" w:sz="4" w:space="0" w:color="auto"/>
              <w:bottom w:val="single" w:sz="4" w:space="0" w:color="auto"/>
              <w:right w:val="single" w:sz="4" w:space="0" w:color="auto"/>
            </w:tcBorders>
          </w:tcPr>
          <w:p w14:paraId="6933D6C6" w14:textId="51A1FCDC" w:rsidR="00C16D86" w:rsidRPr="00A52AB8" w:rsidRDefault="00C16D86" w:rsidP="009C6742">
            <w:pPr>
              <w:pStyle w:val="tablesyntax"/>
              <w:keepNext w:val="0"/>
              <w:keepLines w:val="0"/>
              <w:spacing w:before="20" w:after="40"/>
              <w:rPr>
                <w:rFonts w:ascii="Cambria" w:hAnsi="Cambria"/>
                <w:b/>
              </w:rPr>
            </w:pPr>
            <w:r w:rsidRPr="00A52AB8">
              <w:rPr>
                <w:rFonts w:ascii="Cambria" w:hAnsi="Cambria"/>
              </w:rPr>
              <w:tab/>
            </w:r>
            <w:r w:rsidRPr="00A52AB8">
              <w:rPr>
                <w:rFonts w:ascii="Cambria" w:hAnsi="Cambria"/>
              </w:rPr>
              <w:tab/>
            </w:r>
            <w:r w:rsidRPr="00A52AB8">
              <w:rPr>
                <w:rFonts w:ascii="Cambria" w:hAnsi="Cambria"/>
                <w:b/>
              </w:rPr>
              <w:t>daih_atlas_b2p_crc</w:t>
            </w:r>
          </w:p>
        </w:tc>
        <w:tc>
          <w:tcPr>
            <w:tcW w:w="1331" w:type="dxa"/>
            <w:tcBorders>
              <w:top w:val="single" w:sz="4" w:space="0" w:color="auto"/>
              <w:left w:val="single" w:sz="4" w:space="0" w:color="auto"/>
              <w:bottom w:val="single" w:sz="4" w:space="0" w:color="auto"/>
              <w:right w:val="single" w:sz="4" w:space="0" w:color="auto"/>
            </w:tcBorders>
          </w:tcPr>
          <w:p w14:paraId="04C34FC3" w14:textId="77777777" w:rsidR="00C16D86" w:rsidRPr="00A52AB8" w:rsidRDefault="00C16D86" w:rsidP="009C6742">
            <w:pPr>
              <w:pStyle w:val="tableheading"/>
              <w:keepNext w:val="0"/>
              <w:keepLines w:val="0"/>
              <w:spacing w:before="20" w:after="40"/>
              <w:jc w:val="center"/>
              <w:rPr>
                <w:rFonts w:ascii="Cambria" w:hAnsi="Cambria"/>
                <w:b w:val="0"/>
              </w:rPr>
            </w:pPr>
            <w:r w:rsidRPr="00A52AB8">
              <w:rPr>
                <w:rFonts w:ascii="Cambria" w:hAnsi="Cambria"/>
                <w:b w:val="0"/>
              </w:rPr>
              <w:t>u(16)</w:t>
            </w:r>
          </w:p>
        </w:tc>
      </w:tr>
      <w:tr w:rsidR="00C16D86" w:rsidRPr="00A52AB8" w14:paraId="0BA98093" w14:textId="77777777" w:rsidTr="00CE2D34">
        <w:trPr>
          <w:cantSplit/>
          <w:jc w:val="center"/>
        </w:trPr>
        <w:tc>
          <w:tcPr>
            <w:tcW w:w="8411" w:type="dxa"/>
            <w:tcBorders>
              <w:top w:val="single" w:sz="4" w:space="0" w:color="auto"/>
              <w:left w:val="single" w:sz="4" w:space="0" w:color="auto"/>
              <w:bottom w:val="single" w:sz="4" w:space="0" w:color="auto"/>
              <w:right w:val="single" w:sz="4" w:space="0" w:color="auto"/>
            </w:tcBorders>
          </w:tcPr>
          <w:p w14:paraId="112A620F" w14:textId="0B62F7FC" w:rsidR="00C16D86" w:rsidRPr="00A52AB8" w:rsidRDefault="00C16D86" w:rsidP="009C6742">
            <w:pPr>
              <w:pStyle w:val="tablesyntax"/>
              <w:keepNext w:val="0"/>
              <w:keepLines w:val="0"/>
              <w:spacing w:before="20" w:after="40"/>
              <w:rPr>
                <w:rFonts w:ascii="Cambria" w:hAnsi="Cambria"/>
              </w:rPr>
            </w:pPr>
            <w:r w:rsidRPr="00A52AB8">
              <w:rPr>
                <w:rFonts w:ascii="Cambria" w:hAnsi="Cambria"/>
              </w:rPr>
              <w:tab/>
              <w:t>else if(</w:t>
            </w:r>
            <w:r w:rsidR="00F34F8B" w:rsidRPr="00A52AB8">
              <w:rPr>
                <w:rFonts w:ascii="Cambria" w:hAnsi="Cambria"/>
              </w:rPr>
              <w:t> hashType</w:t>
            </w:r>
            <w:r w:rsidR="008768E9" w:rsidRPr="00A52AB8">
              <w:rPr>
                <w:rFonts w:ascii="Cambria" w:hAnsi="Cambria"/>
              </w:rPr>
              <w:t> </w:t>
            </w:r>
            <w:r w:rsidR="00726AAE" w:rsidRPr="00A52AB8">
              <w:rPr>
                <w:rFonts w:ascii="Cambria" w:hAnsi="Cambria"/>
              </w:rPr>
              <w:t>==</w:t>
            </w:r>
            <w:r w:rsidR="00D47707" w:rsidRPr="00A52AB8">
              <w:rPr>
                <w:rFonts w:ascii="Cambria" w:hAnsi="Cambria"/>
              </w:rPr>
              <w:t> </w:t>
            </w:r>
            <w:r w:rsidRPr="00A52AB8">
              <w:rPr>
                <w:rFonts w:ascii="Cambria" w:hAnsi="Cambria"/>
              </w:rPr>
              <w:t>2</w:t>
            </w:r>
            <w:r w:rsidR="0058306B" w:rsidRPr="00A52AB8">
              <w:rPr>
                <w:rFonts w:ascii="Cambria" w:hAnsi="Cambria"/>
              </w:rPr>
              <w:t> </w:t>
            </w:r>
            <w:r w:rsidRPr="00A52AB8">
              <w:rPr>
                <w:rFonts w:ascii="Cambria" w:hAnsi="Cambria"/>
              </w:rPr>
              <w:t>)</w:t>
            </w:r>
          </w:p>
        </w:tc>
        <w:tc>
          <w:tcPr>
            <w:tcW w:w="1331" w:type="dxa"/>
            <w:tcBorders>
              <w:top w:val="single" w:sz="4" w:space="0" w:color="auto"/>
              <w:left w:val="single" w:sz="4" w:space="0" w:color="auto"/>
              <w:bottom w:val="single" w:sz="4" w:space="0" w:color="auto"/>
              <w:right w:val="single" w:sz="4" w:space="0" w:color="auto"/>
            </w:tcBorders>
          </w:tcPr>
          <w:p w14:paraId="220096E4" w14:textId="77777777" w:rsidR="00C16D86" w:rsidRPr="00A52AB8" w:rsidRDefault="00C16D86" w:rsidP="009C6742">
            <w:pPr>
              <w:pStyle w:val="tableheading"/>
              <w:keepNext w:val="0"/>
              <w:keepLines w:val="0"/>
              <w:spacing w:before="20" w:after="40"/>
              <w:jc w:val="center"/>
              <w:rPr>
                <w:rFonts w:ascii="Cambria" w:hAnsi="Cambria"/>
                <w:b w:val="0"/>
              </w:rPr>
            </w:pPr>
          </w:p>
        </w:tc>
      </w:tr>
      <w:tr w:rsidR="00C16D86" w:rsidRPr="00A52AB8" w14:paraId="592A9B43" w14:textId="77777777" w:rsidTr="00CE2D34">
        <w:trPr>
          <w:cantSplit/>
          <w:jc w:val="center"/>
        </w:trPr>
        <w:tc>
          <w:tcPr>
            <w:tcW w:w="8411" w:type="dxa"/>
            <w:tcBorders>
              <w:top w:val="single" w:sz="4" w:space="0" w:color="auto"/>
              <w:left w:val="single" w:sz="4" w:space="0" w:color="auto"/>
              <w:bottom w:val="single" w:sz="4" w:space="0" w:color="auto"/>
              <w:right w:val="single" w:sz="4" w:space="0" w:color="auto"/>
            </w:tcBorders>
          </w:tcPr>
          <w:p w14:paraId="00B62F6B" w14:textId="093E88EF" w:rsidR="00C16D86" w:rsidRPr="00A52AB8" w:rsidRDefault="00C16D86" w:rsidP="009C6742">
            <w:pPr>
              <w:pStyle w:val="tablesyntax"/>
              <w:keepNext w:val="0"/>
              <w:keepLines w:val="0"/>
              <w:spacing w:before="20" w:after="40"/>
              <w:rPr>
                <w:rFonts w:ascii="Cambria" w:hAnsi="Cambria"/>
              </w:rPr>
            </w:pPr>
            <w:r w:rsidRPr="00A52AB8">
              <w:rPr>
                <w:rFonts w:ascii="Cambria" w:hAnsi="Cambria"/>
                <w:b/>
              </w:rPr>
              <w:tab/>
            </w:r>
            <w:r w:rsidRPr="00A52AB8">
              <w:rPr>
                <w:rFonts w:ascii="Cambria" w:hAnsi="Cambria"/>
                <w:b/>
              </w:rPr>
              <w:tab/>
              <w:t>daih_atlas</w:t>
            </w:r>
            <w:r w:rsidR="005B0BB4" w:rsidRPr="00A52AB8">
              <w:rPr>
                <w:rFonts w:ascii="Cambria" w:hAnsi="Cambria"/>
                <w:b/>
              </w:rPr>
              <w:t>_</w:t>
            </w:r>
            <w:r w:rsidRPr="00A52AB8">
              <w:rPr>
                <w:rFonts w:ascii="Cambria" w:hAnsi="Cambria"/>
                <w:b/>
              </w:rPr>
              <w:t>b2p_checksum</w:t>
            </w:r>
          </w:p>
        </w:tc>
        <w:tc>
          <w:tcPr>
            <w:tcW w:w="1331" w:type="dxa"/>
            <w:tcBorders>
              <w:top w:val="single" w:sz="4" w:space="0" w:color="auto"/>
              <w:left w:val="single" w:sz="4" w:space="0" w:color="auto"/>
              <w:bottom w:val="single" w:sz="4" w:space="0" w:color="auto"/>
              <w:right w:val="single" w:sz="4" w:space="0" w:color="auto"/>
            </w:tcBorders>
          </w:tcPr>
          <w:p w14:paraId="6845CF32" w14:textId="77777777" w:rsidR="00C16D86" w:rsidRPr="00A52AB8" w:rsidRDefault="00C16D86" w:rsidP="009C6742">
            <w:pPr>
              <w:pStyle w:val="tableheading"/>
              <w:keepNext w:val="0"/>
              <w:keepLines w:val="0"/>
              <w:spacing w:before="20" w:after="40"/>
              <w:jc w:val="center"/>
              <w:rPr>
                <w:rFonts w:ascii="Cambria" w:hAnsi="Cambria"/>
                <w:b w:val="0"/>
              </w:rPr>
            </w:pPr>
            <w:r w:rsidRPr="00A52AB8">
              <w:rPr>
                <w:rFonts w:ascii="Cambria" w:hAnsi="Cambria"/>
                <w:b w:val="0"/>
              </w:rPr>
              <w:t>u(32)</w:t>
            </w:r>
          </w:p>
        </w:tc>
      </w:tr>
      <w:tr w:rsidR="00C16D86" w:rsidRPr="00A52AB8" w14:paraId="2232FFE5" w14:textId="77777777" w:rsidTr="00CE2D34">
        <w:trPr>
          <w:cantSplit/>
          <w:jc w:val="center"/>
        </w:trPr>
        <w:tc>
          <w:tcPr>
            <w:tcW w:w="8411" w:type="dxa"/>
            <w:tcBorders>
              <w:top w:val="single" w:sz="4" w:space="0" w:color="auto"/>
              <w:left w:val="single" w:sz="4" w:space="0" w:color="auto"/>
              <w:bottom w:val="single" w:sz="4" w:space="0" w:color="auto"/>
              <w:right w:val="single" w:sz="4" w:space="0" w:color="auto"/>
            </w:tcBorders>
          </w:tcPr>
          <w:p w14:paraId="5293466F" w14:textId="77777777" w:rsidR="00C16D86" w:rsidRPr="00A52AB8" w:rsidRDefault="00C16D86" w:rsidP="009C6742">
            <w:pPr>
              <w:pStyle w:val="tablesyntax"/>
              <w:keepNext w:val="0"/>
              <w:keepLines w:val="0"/>
              <w:spacing w:before="20" w:after="40"/>
              <w:rPr>
                <w:rFonts w:ascii="Cambria" w:hAnsi="Cambria"/>
                <w:bCs/>
              </w:rPr>
            </w:pPr>
            <w:r w:rsidRPr="00A52AB8">
              <w:rPr>
                <w:rFonts w:ascii="Cambria" w:hAnsi="Cambria"/>
                <w:bCs/>
              </w:rPr>
              <w:t>}</w:t>
            </w:r>
          </w:p>
        </w:tc>
        <w:tc>
          <w:tcPr>
            <w:tcW w:w="1331" w:type="dxa"/>
            <w:tcBorders>
              <w:top w:val="single" w:sz="4" w:space="0" w:color="auto"/>
              <w:left w:val="single" w:sz="4" w:space="0" w:color="auto"/>
              <w:bottom w:val="single" w:sz="4" w:space="0" w:color="auto"/>
              <w:right w:val="single" w:sz="4" w:space="0" w:color="auto"/>
            </w:tcBorders>
          </w:tcPr>
          <w:p w14:paraId="7701FC25" w14:textId="77777777" w:rsidR="00C16D86" w:rsidRPr="00A52AB8" w:rsidRDefault="00C16D86" w:rsidP="009C6742">
            <w:pPr>
              <w:pStyle w:val="tableheading"/>
              <w:keepNext w:val="0"/>
              <w:keepLines w:val="0"/>
              <w:spacing w:before="20" w:after="40"/>
              <w:jc w:val="center"/>
              <w:rPr>
                <w:rFonts w:ascii="Cambria" w:hAnsi="Cambria"/>
                <w:b w:val="0"/>
              </w:rPr>
            </w:pPr>
          </w:p>
        </w:tc>
      </w:tr>
    </w:tbl>
    <w:p w14:paraId="23899009" w14:textId="7E08C001" w:rsidR="005B0BB4" w:rsidRPr="00A52AB8" w:rsidRDefault="005B0BB4" w:rsidP="00EE3D19">
      <w:pPr>
        <w:pStyle w:val="a3"/>
        <w:numPr>
          <w:ilvl w:val="3"/>
          <w:numId w:val="19"/>
        </w:numPr>
        <w:tabs>
          <w:tab w:val="clear" w:pos="403"/>
        </w:tabs>
        <w:spacing w:line="240" w:lineRule="auto"/>
        <w:outlineLvl w:val="3"/>
      </w:pPr>
      <w:bookmarkStart w:id="5420" w:name="_Toc52181728"/>
      <w:r w:rsidRPr="00A52AB8">
        <w:t>Decoded atlas tile hash unit syntax</w:t>
      </w:r>
      <w:bookmarkEnd w:id="5420"/>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11"/>
        <w:gridCol w:w="1331"/>
      </w:tblGrid>
      <w:tr w:rsidR="005B0BB4" w:rsidRPr="00A52AB8" w14:paraId="55AA828D" w14:textId="77777777" w:rsidTr="00CE2D34">
        <w:trPr>
          <w:cantSplit/>
          <w:jc w:val="center"/>
        </w:trPr>
        <w:tc>
          <w:tcPr>
            <w:tcW w:w="8411" w:type="dxa"/>
            <w:tcBorders>
              <w:top w:val="single" w:sz="4" w:space="0" w:color="auto"/>
              <w:left w:val="single" w:sz="4" w:space="0" w:color="auto"/>
              <w:bottom w:val="single" w:sz="4" w:space="0" w:color="auto"/>
              <w:right w:val="single" w:sz="4" w:space="0" w:color="auto"/>
            </w:tcBorders>
          </w:tcPr>
          <w:p w14:paraId="6F6761D6" w14:textId="6ED0291B" w:rsidR="005B0BB4" w:rsidRPr="00A52AB8" w:rsidRDefault="005B0BB4" w:rsidP="009C6742">
            <w:pPr>
              <w:pStyle w:val="tablesyntax"/>
              <w:keepNext w:val="0"/>
              <w:keepLines w:val="0"/>
              <w:spacing w:before="20" w:after="40"/>
              <w:rPr>
                <w:rFonts w:ascii="Cambria" w:hAnsi="Cambria"/>
              </w:rPr>
            </w:pPr>
            <w:r w:rsidRPr="00A52AB8">
              <w:rPr>
                <w:rFonts w:ascii="Cambria" w:hAnsi="Cambria"/>
              </w:rPr>
              <w:t>decoded_atlas_tile_hash(</w:t>
            </w:r>
            <w:r w:rsidR="00F34F8B" w:rsidRPr="00A52AB8">
              <w:rPr>
                <w:rFonts w:ascii="Cambria" w:hAnsi="Cambria"/>
              </w:rPr>
              <w:t> hashType,</w:t>
            </w:r>
            <w:r w:rsidR="008505CD" w:rsidRPr="00A52AB8">
              <w:rPr>
                <w:rFonts w:ascii="Cambria" w:hAnsi="Cambria"/>
                <w:bCs/>
              </w:rPr>
              <w:t> </w:t>
            </w:r>
            <w:r w:rsidR="008505CD" w:rsidRPr="00A52AB8">
              <w:rPr>
                <w:rFonts w:ascii="Cambria" w:hAnsi="Cambria"/>
              </w:rPr>
              <w:t>j</w:t>
            </w:r>
            <w:r w:rsidR="008505CD" w:rsidRPr="00A52AB8">
              <w:rPr>
                <w:rFonts w:ascii="Cambria" w:hAnsi="Cambria"/>
                <w:bCs/>
              </w:rPr>
              <w:t> </w:t>
            </w:r>
            <w:r w:rsidR="008F1F82" w:rsidRPr="00A52AB8">
              <w:rPr>
                <w:rFonts w:ascii="Cambria" w:hAnsi="Cambria"/>
              </w:rPr>
              <w:t>) {</w:t>
            </w:r>
          </w:p>
        </w:tc>
        <w:tc>
          <w:tcPr>
            <w:tcW w:w="1331" w:type="dxa"/>
            <w:tcBorders>
              <w:top w:val="single" w:sz="4" w:space="0" w:color="auto"/>
              <w:left w:val="single" w:sz="4" w:space="0" w:color="auto"/>
              <w:bottom w:val="single" w:sz="4" w:space="0" w:color="auto"/>
              <w:right w:val="single" w:sz="4" w:space="0" w:color="auto"/>
            </w:tcBorders>
          </w:tcPr>
          <w:p w14:paraId="6C215443" w14:textId="77777777" w:rsidR="005B0BB4" w:rsidRPr="00A52AB8" w:rsidRDefault="005B0BB4" w:rsidP="009C6742">
            <w:pPr>
              <w:pStyle w:val="tableheading"/>
              <w:keepNext w:val="0"/>
              <w:keepLines w:val="0"/>
              <w:spacing w:before="20" w:after="40"/>
              <w:jc w:val="center"/>
              <w:rPr>
                <w:rFonts w:ascii="Cambria" w:hAnsi="Cambria"/>
                <w:b w:val="0"/>
              </w:rPr>
            </w:pPr>
          </w:p>
        </w:tc>
      </w:tr>
      <w:tr w:rsidR="005B0BB4" w:rsidRPr="00A52AB8" w14:paraId="2103E5C4" w14:textId="77777777" w:rsidTr="00CE2D34">
        <w:trPr>
          <w:cantSplit/>
          <w:jc w:val="center"/>
        </w:trPr>
        <w:tc>
          <w:tcPr>
            <w:tcW w:w="8411" w:type="dxa"/>
            <w:tcBorders>
              <w:top w:val="single" w:sz="4" w:space="0" w:color="auto"/>
              <w:left w:val="single" w:sz="4" w:space="0" w:color="auto"/>
              <w:bottom w:val="single" w:sz="4" w:space="0" w:color="auto"/>
              <w:right w:val="single" w:sz="4" w:space="0" w:color="auto"/>
            </w:tcBorders>
          </w:tcPr>
          <w:p w14:paraId="095F50F0" w14:textId="39F908AC" w:rsidR="005B0BB4" w:rsidRPr="00A52AB8" w:rsidRDefault="005B0BB4" w:rsidP="009C6742">
            <w:pPr>
              <w:pStyle w:val="tablesyntax"/>
              <w:keepNext w:val="0"/>
              <w:keepLines w:val="0"/>
              <w:spacing w:before="20" w:after="40"/>
              <w:rPr>
                <w:rFonts w:ascii="Cambria" w:hAnsi="Cambria"/>
              </w:rPr>
            </w:pPr>
            <w:r w:rsidRPr="00A52AB8">
              <w:rPr>
                <w:rFonts w:ascii="Cambria" w:hAnsi="Cambria"/>
              </w:rPr>
              <w:tab/>
              <w:t>if(</w:t>
            </w:r>
            <w:r w:rsidR="00F34F8B" w:rsidRPr="00A52AB8">
              <w:rPr>
                <w:rFonts w:ascii="Cambria" w:hAnsi="Cambria"/>
              </w:rPr>
              <w:t> hashType</w:t>
            </w:r>
            <w:r w:rsidR="008768E9" w:rsidRPr="00A52AB8">
              <w:rPr>
                <w:rFonts w:ascii="Cambria" w:hAnsi="Cambria"/>
              </w:rPr>
              <w:t> </w:t>
            </w:r>
            <w:r w:rsidR="00726AAE" w:rsidRPr="00A52AB8">
              <w:rPr>
                <w:rFonts w:ascii="Cambria" w:hAnsi="Cambria"/>
              </w:rPr>
              <w:t>==</w:t>
            </w:r>
            <w:r w:rsidR="00D47707" w:rsidRPr="00A52AB8">
              <w:rPr>
                <w:rFonts w:ascii="Cambria" w:hAnsi="Cambria"/>
              </w:rPr>
              <w:t> </w:t>
            </w:r>
            <w:r w:rsidRPr="00A52AB8">
              <w:rPr>
                <w:rFonts w:ascii="Cambria" w:hAnsi="Cambria"/>
              </w:rPr>
              <w:t>0</w:t>
            </w:r>
            <w:r w:rsidR="0058306B" w:rsidRPr="00A52AB8">
              <w:rPr>
                <w:rFonts w:ascii="Cambria" w:hAnsi="Cambria"/>
              </w:rPr>
              <w:t> </w:t>
            </w:r>
            <w:r w:rsidRPr="00A52AB8">
              <w:rPr>
                <w:rFonts w:ascii="Cambria" w:hAnsi="Cambria"/>
              </w:rPr>
              <w:t>)</w:t>
            </w:r>
          </w:p>
        </w:tc>
        <w:tc>
          <w:tcPr>
            <w:tcW w:w="1331" w:type="dxa"/>
            <w:tcBorders>
              <w:top w:val="single" w:sz="4" w:space="0" w:color="auto"/>
              <w:left w:val="single" w:sz="4" w:space="0" w:color="auto"/>
              <w:bottom w:val="single" w:sz="4" w:space="0" w:color="auto"/>
              <w:right w:val="single" w:sz="4" w:space="0" w:color="auto"/>
            </w:tcBorders>
          </w:tcPr>
          <w:p w14:paraId="28B0C860" w14:textId="77777777" w:rsidR="005B0BB4" w:rsidRPr="00A52AB8" w:rsidRDefault="005B0BB4" w:rsidP="009C6742">
            <w:pPr>
              <w:pStyle w:val="tableheading"/>
              <w:keepNext w:val="0"/>
              <w:keepLines w:val="0"/>
              <w:spacing w:before="20" w:after="40"/>
              <w:jc w:val="center"/>
              <w:rPr>
                <w:rFonts w:ascii="Cambria" w:hAnsi="Cambria"/>
                <w:b w:val="0"/>
              </w:rPr>
            </w:pPr>
          </w:p>
        </w:tc>
      </w:tr>
      <w:tr w:rsidR="005B0BB4" w:rsidRPr="00A52AB8" w14:paraId="4AF10E03" w14:textId="77777777" w:rsidTr="00CE2D34">
        <w:trPr>
          <w:cantSplit/>
          <w:jc w:val="center"/>
        </w:trPr>
        <w:tc>
          <w:tcPr>
            <w:tcW w:w="8411" w:type="dxa"/>
            <w:tcBorders>
              <w:top w:val="single" w:sz="4" w:space="0" w:color="auto"/>
              <w:left w:val="single" w:sz="4" w:space="0" w:color="auto"/>
              <w:bottom w:val="single" w:sz="4" w:space="0" w:color="auto"/>
              <w:right w:val="single" w:sz="4" w:space="0" w:color="auto"/>
            </w:tcBorders>
          </w:tcPr>
          <w:p w14:paraId="2D925058" w14:textId="21CE7D76" w:rsidR="005B0BB4" w:rsidRPr="00A52AB8" w:rsidRDefault="005B0BB4" w:rsidP="009C6742">
            <w:pPr>
              <w:pStyle w:val="tablesyntax"/>
              <w:keepNext w:val="0"/>
              <w:keepLines w:val="0"/>
              <w:spacing w:before="20" w:after="40"/>
              <w:rPr>
                <w:rFonts w:ascii="Cambria" w:hAnsi="Cambria"/>
              </w:rPr>
            </w:pPr>
            <w:r w:rsidRPr="00A52AB8">
              <w:rPr>
                <w:rFonts w:ascii="Cambria" w:hAnsi="Cambria"/>
              </w:rPr>
              <w:tab/>
            </w:r>
            <w:r w:rsidRPr="00A52AB8">
              <w:rPr>
                <w:rFonts w:ascii="Cambria" w:hAnsi="Cambria"/>
              </w:rPr>
              <w:tab/>
              <w:t>for( i</w:t>
            </w:r>
            <w:r w:rsidR="00D47707" w:rsidRPr="00A52AB8">
              <w:rPr>
                <w:rFonts w:ascii="Cambria" w:hAnsi="Cambria"/>
              </w:rPr>
              <w:t> = </w:t>
            </w:r>
            <w:r w:rsidRPr="00A52AB8">
              <w:rPr>
                <w:rFonts w:ascii="Cambria" w:hAnsi="Cambria"/>
              </w:rPr>
              <w:t>0; i &lt; 16; i++ )</w:t>
            </w:r>
          </w:p>
        </w:tc>
        <w:tc>
          <w:tcPr>
            <w:tcW w:w="1331" w:type="dxa"/>
            <w:tcBorders>
              <w:top w:val="single" w:sz="4" w:space="0" w:color="auto"/>
              <w:left w:val="single" w:sz="4" w:space="0" w:color="auto"/>
              <w:bottom w:val="single" w:sz="4" w:space="0" w:color="auto"/>
              <w:right w:val="single" w:sz="4" w:space="0" w:color="auto"/>
            </w:tcBorders>
          </w:tcPr>
          <w:p w14:paraId="61210606" w14:textId="77777777" w:rsidR="005B0BB4" w:rsidRPr="00A52AB8" w:rsidRDefault="005B0BB4" w:rsidP="009C6742">
            <w:pPr>
              <w:pStyle w:val="tableheading"/>
              <w:keepNext w:val="0"/>
              <w:keepLines w:val="0"/>
              <w:spacing w:before="20" w:after="40"/>
              <w:jc w:val="center"/>
              <w:rPr>
                <w:rFonts w:ascii="Cambria" w:hAnsi="Cambria"/>
                <w:b w:val="0"/>
              </w:rPr>
            </w:pPr>
          </w:p>
        </w:tc>
      </w:tr>
      <w:tr w:rsidR="005B0BB4" w:rsidRPr="00A52AB8" w14:paraId="713E9047" w14:textId="77777777" w:rsidTr="00CE2D34">
        <w:trPr>
          <w:cantSplit/>
          <w:jc w:val="center"/>
        </w:trPr>
        <w:tc>
          <w:tcPr>
            <w:tcW w:w="8411" w:type="dxa"/>
            <w:tcBorders>
              <w:top w:val="single" w:sz="4" w:space="0" w:color="auto"/>
              <w:left w:val="single" w:sz="4" w:space="0" w:color="auto"/>
              <w:bottom w:val="single" w:sz="4" w:space="0" w:color="auto"/>
              <w:right w:val="single" w:sz="4" w:space="0" w:color="auto"/>
            </w:tcBorders>
          </w:tcPr>
          <w:p w14:paraId="1CB37045" w14:textId="3F8E577A" w:rsidR="005B0BB4" w:rsidRPr="00A52AB8" w:rsidRDefault="005B0BB4" w:rsidP="009C6742">
            <w:pPr>
              <w:pStyle w:val="tablesyntax"/>
              <w:keepNext w:val="0"/>
              <w:keepLines w:val="0"/>
              <w:spacing w:before="20" w:after="40"/>
              <w:rPr>
                <w:rFonts w:ascii="Cambria" w:hAnsi="Cambria"/>
              </w:rPr>
            </w:pPr>
            <w:r w:rsidRPr="00A52AB8">
              <w:rPr>
                <w:rFonts w:ascii="Cambria" w:hAnsi="Cambria"/>
              </w:rPr>
              <w:tab/>
            </w:r>
            <w:r w:rsidRPr="00A52AB8">
              <w:rPr>
                <w:rFonts w:ascii="Cambria" w:hAnsi="Cambria"/>
              </w:rPr>
              <w:tab/>
            </w:r>
            <w:r w:rsidRPr="00A52AB8">
              <w:rPr>
                <w:rFonts w:ascii="Cambria" w:hAnsi="Cambria"/>
              </w:rPr>
              <w:tab/>
            </w:r>
            <w:r w:rsidRPr="00A52AB8">
              <w:rPr>
                <w:rFonts w:ascii="Cambria" w:hAnsi="Cambria"/>
                <w:b/>
                <w:bCs/>
              </w:rPr>
              <w:t>daih_atlas</w:t>
            </w:r>
            <w:r w:rsidRPr="00A52AB8">
              <w:rPr>
                <w:rFonts w:ascii="Cambria" w:hAnsi="Cambria"/>
                <w:b/>
              </w:rPr>
              <w:t>_tile_md5</w:t>
            </w:r>
            <w:r w:rsidR="008505CD" w:rsidRPr="00A52AB8">
              <w:rPr>
                <w:rFonts w:ascii="Cambria" w:hAnsi="Cambria"/>
                <w:bCs/>
              </w:rPr>
              <w:t>[ </w:t>
            </w:r>
            <w:r w:rsidR="008505CD" w:rsidRPr="00A52AB8">
              <w:rPr>
                <w:rFonts w:ascii="Cambria" w:hAnsi="Cambria"/>
              </w:rPr>
              <w:t>j</w:t>
            </w:r>
            <w:r w:rsidR="008505CD" w:rsidRPr="00A52AB8">
              <w:rPr>
                <w:rFonts w:ascii="Cambria" w:hAnsi="Cambria"/>
                <w:bCs/>
              </w:rPr>
              <w:t> </w:t>
            </w:r>
            <w:r w:rsidR="008505CD" w:rsidRPr="00A52AB8">
              <w:rPr>
                <w:rFonts w:ascii="Cambria" w:hAnsi="Cambria"/>
              </w:rPr>
              <w:t>]</w:t>
            </w:r>
            <w:r w:rsidRPr="00A52AB8">
              <w:rPr>
                <w:rFonts w:ascii="Cambria" w:hAnsi="Cambria"/>
              </w:rPr>
              <w:t>[ i ]</w:t>
            </w:r>
          </w:p>
        </w:tc>
        <w:tc>
          <w:tcPr>
            <w:tcW w:w="1331" w:type="dxa"/>
            <w:tcBorders>
              <w:top w:val="single" w:sz="4" w:space="0" w:color="auto"/>
              <w:left w:val="single" w:sz="4" w:space="0" w:color="auto"/>
              <w:bottom w:val="single" w:sz="4" w:space="0" w:color="auto"/>
              <w:right w:val="single" w:sz="4" w:space="0" w:color="auto"/>
            </w:tcBorders>
          </w:tcPr>
          <w:p w14:paraId="2AE6BF1D" w14:textId="77777777" w:rsidR="005B0BB4" w:rsidRPr="00A52AB8" w:rsidRDefault="005B0BB4" w:rsidP="009C6742">
            <w:pPr>
              <w:pStyle w:val="tableheading"/>
              <w:keepNext w:val="0"/>
              <w:keepLines w:val="0"/>
              <w:spacing w:before="20" w:after="40"/>
              <w:jc w:val="center"/>
              <w:rPr>
                <w:rFonts w:ascii="Cambria" w:hAnsi="Cambria"/>
                <w:b w:val="0"/>
              </w:rPr>
            </w:pPr>
            <w:r w:rsidRPr="00A52AB8">
              <w:rPr>
                <w:rFonts w:ascii="Cambria" w:hAnsi="Cambria"/>
                <w:b w:val="0"/>
              </w:rPr>
              <w:t>b(8)</w:t>
            </w:r>
          </w:p>
        </w:tc>
      </w:tr>
      <w:tr w:rsidR="005B0BB4" w:rsidRPr="00A52AB8" w14:paraId="2EF9986E" w14:textId="77777777" w:rsidTr="00CE2D34">
        <w:trPr>
          <w:cantSplit/>
          <w:jc w:val="center"/>
        </w:trPr>
        <w:tc>
          <w:tcPr>
            <w:tcW w:w="8411" w:type="dxa"/>
            <w:tcBorders>
              <w:top w:val="single" w:sz="4" w:space="0" w:color="auto"/>
              <w:left w:val="single" w:sz="4" w:space="0" w:color="auto"/>
              <w:bottom w:val="single" w:sz="4" w:space="0" w:color="auto"/>
              <w:right w:val="single" w:sz="4" w:space="0" w:color="auto"/>
            </w:tcBorders>
          </w:tcPr>
          <w:p w14:paraId="0831DE58" w14:textId="3AADE2E5" w:rsidR="005B0BB4" w:rsidRPr="00A52AB8" w:rsidRDefault="005B0BB4" w:rsidP="009C6742">
            <w:pPr>
              <w:pStyle w:val="tablesyntax"/>
              <w:keepNext w:val="0"/>
              <w:keepLines w:val="0"/>
              <w:spacing w:before="20" w:after="40"/>
              <w:rPr>
                <w:rFonts w:ascii="Cambria" w:hAnsi="Cambria"/>
              </w:rPr>
            </w:pPr>
            <w:r w:rsidRPr="00A52AB8">
              <w:rPr>
                <w:rFonts w:ascii="Cambria" w:hAnsi="Cambria"/>
              </w:rPr>
              <w:tab/>
            </w:r>
            <w:r w:rsidRPr="00A52AB8">
              <w:rPr>
                <w:rFonts w:ascii="Cambria" w:hAnsi="Cambria"/>
              </w:rPr>
              <w:tab/>
              <w:t>else if(</w:t>
            </w:r>
            <w:r w:rsidR="00F34F8B" w:rsidRPr="00A52AB8">
              <w:rPr>
                <w:rFonts w:ascii="Cambria" w:hAnsi="Cambria"/>
              </w:rPr>
              <w:t> hashType</w:t>
            </w:r>
            <w:r w:rsidR="008768E9" w:rsidRPr="00A52AB8">
              <w:rPr>
                <w:rFonts w:ascii="Cambria" w:hAnsi="Cambria"/>
              </w:rPr>
              <w:t> </w:t>
            </w:r>
            <w:r w:rsidR="00726AAE" w:rsidRPr="00A52AB8">
              <w:rPr>
                <w:rFonts w:ascii="Cambria" w:hAnsi="Cambria"/>
              </w:rPr>
              <w:t>==</w:t>
            </w:r>
            <w:r w:rsidR="00D47707" w:rsidRPr="00A52AB8">
              <w:rPr>
                <w:rFonts w:ascii="Cambria" w:hAnsi="Cambria"/>
              </w:rPr>
              <w:t> </w:t>
            </w:r>
            <w:r w:rsidRPr="00A52AB8">
              <w:rPr>
                <w:rFonts w:ascii="Cambria" w:hAnsi="Cambria"/>
              </w:rPr>
              <w:t>1</w:t>
            </w:r>
            <w:r w:rsidR="0058306B" w:rsidRPr="00A52AB8">
              <w:rPr>
                <w:rFonts w:ascii="Cambria" w:hAnsi="Cambria"/>
              </w:rPr>
              <w:t> </w:t>
            </w:r>
            <w:r w:rsidRPr="00A52AB8">
              <w:rPr>
                <w:rFonts w:ascii="Cambria" w:hAnsi="Cambria"/>
              </w:rPr>
              <w:t>)</w:t>
            </w:r>
          </w:p>
        </w:tc>
        <w:tc>
          <w:tcPr>
            <w:tcW w:w="1331" w:type="dxa"/>
            <w:tcBorders>
              <w:top w:val="single" w:sz="4" w:space="0" w:color="auto"/>
              <w:left w:val="single" w:sz="4" w:space="0" w:color="auto"/>
              <w:bottom w:val="single" w:sz="4" w:space="0" w:color="auto"/>
              <w:right w:val="single" w:sz="4" w:space="0" w:color="auto"/>
            </w:tcBorders>
          </w:tcPr>
          <w:p w14:paraId="7C2B94D5" w14:textId="77777777" w:rsidR="005B0BB4" w:rsidRPr="00A52AB8" w:rsidRDefault="005B0BB4" w:rsidP="009C6742">
            <w:pPr>
              <w:pStyle w:val="tableheading"/>
              <w:keepNext w:val="0"/>
              <w:keepLines w:val="0"/>
              <w:spacing w:before="20" w:after="40"/>
              <w:jc w:val="center"/>
              <w:rPr>
                <w:rFonts w:ascii="Cambria" w:hAnsi="Cambria"/>
                <w:b w:val="0"/>
              </w:rPr>
            </w:pPr>
          </w:p>
        </w:tc>
      </w:tr>
      <w:tr w:rsidR="005B0BB4" w:rsidRPr="00A52AB8" w14:paraId="677916A2" w14:textId="77777777" w:rsidTr="00CE2D34">
        <w:trPr>
          <w:cantSplit/>
          <w:jc w:val="center"/>
        </w:trPr>
        <w:tc>
          <w:tcPr>
            <w:tcW w:w="8411" w:type="dxa"/>
            <w:tcBorders>
              <w:top w:val="single" w:sz="4" w:space="0" w:color="auto"/>
              <w:left w:val="single" w:sz="4" w:space="0" w:color="auto"/>
              <w:bottom w:val="single" w:sz="4" w:space="0" w:color="auto"/>
              <w:right w:val="single" w:sz="4" w:space="0" w:color="auto"/>
            </w:tcBorders>
          </w:tcPr>
          <w:p w14:paraId="385980EA" w14:textId="52BEBC8F" w:rsidR="005B0BB4" w:rsidRPr="00A52AB8" w:rsidRDefault="005B0BB4" w:rsidP="009C6742">
            <w:pPr>
              <w:pStyle w:val="tablesyntax"/>
              <w:keepNext w:val="0"/>
              <w:keepLines w:val="0"/>
              <w:spacing w:before="20" w:after="40"/>
              <w:rPr>
                <w:rFonts w:ascii="Cambria" w:hAnsi="Cambria"/>
                <w:b/>
              </w:rPr>
            </w:pPr>
            <w:r w:rsidRPr="00A52AB8">
              <w:rPr>
                <w:rFonts w:ascii="Cambria" w:hAnsi="Cambria"/>
              </w:rPr>
              <w:tab/>
            </w:r>
            <w:r w:rsidRPr="00A52AB8">
              <w:rPr>
                <w:rFonts w:ascii="Cambria" w:hAnsi="Cambria"/>
              </w:rPr>
              <w:tab/>
            </w:r>
            <w:r w:rsidRPr="00A52AB8">
              <w:rPr>
                <w:rFonts w:ascii="Cambria" w:hAnsi="Cambria"/>
              </w:rPr>
              <w:tab/>
            </w:r>
            <w:r w:rsidRPr="00A52AB8">
              <w:rPr>
                <w:rFonts w:ascii="Cambria" w:hAnsi="Cambria"/>
                <w:b/>
              </w:rPr>
              <w:t>daih_atlas_tile_crc</w:t>
            </w:r>
            <w:r w:rsidR="008505CD" w:rsidRPr="00A52AB8">
              <w:rPr>
                <w:rFonts w:ascii="Cambria" w:hAnsi="Cambria"/>
                <w:bCs/>
              </w:rPr>
              <w:t>[ </w:t>
            </w:r>
            <w:r w:rsidR="008505CD" w:rsidRPr="00A52AB8">
              <w:rPr>
                <w:rFonts w:ascii="Cambria" w:hAnsi="Cambria"/>
              </w:rPr>
              <w:t>j</w:t>
            </w:r>
            <w:r w:rsidR="008505CD" w:rsidRPr="00A52AB8">
              <w:rPr>
                <w:rFonts w:ascii="Cambria" w:hAnsi="Cambria"/>
                <w:bCs/>
              </w:rPr>
              <w:t> </w:t>
            </w:r>
            <w:r w:rsidR="008505CD" w:rsidRPr="00A52AB8">
              <w:rPr>
                <w:rFonts w:ascii="Cambria" w:hAnsi="Cambria"/>
              </w:rPr>
              <w:t>]</w:t>
            </w:r>
          </w:p>
        </w:tc>
        <w:tc>
          <w:tcPr>
            <w:tcW w:w="1331" w:type="dxa"/>
            <w:tcBorders>
              <w:top w:val="single" w:sz="4" w:space="0" w:color="auto"/>
              <w:left w:val="single" w:sz="4" w:space="0" w:color="auto"/>
              <w:bottom w:val="single" w:sz="4" w:space="0" w:color="auto"/>
              <w:right w:val="single" w:sz="4" w:space="0" w:color="auto"/>
            </w:tcBorders>
          </w:tcPr>
          <w:p w14:paraId="5CB35963" w14:textId="77777777" w:rsidR="005B0BB4" w:rsidRPr="00A52AB8" w:rsidRDefault="005B0BB4" w:rsidP="009C6742">
            <w:pPr>
              <w:pStyle w:val="tableheading"/>
              <w:keepNext w:val="0"/>
              <w:keepLines w:val="0"/>
              <w:spacing w:before="20" w:after="40"/>
              <w:jc w:val="center"/>
              <w:rPr>
                <w:rFonts w:ascii="Cambria" w:hAnsi="Cambria"/>
                <w:b w:val="0"/>
              </w:rPr>
            </w:pPr>
            <w:r w:rsidRPr="00A52AB8">
              <w:rPr>
                <w:rFonts w:ascii="Cambria" w:hAnsi="Cambria"/>
                <w:b w:val="0"/>
              </w:rPr>
              <w:t>u(16)</w:t>
            </w:r>
          </w:p>
        </w:tc>
      </w:tr>
      <w:tr w:rsidR="005B0BB4" w:rsidRPr="00A52AB8" w14:paraId="1607D3E3" w14:textId="77777777" w:rsidTr="00CE2D34">
        <w:trPr>
          <w:cantSplit/>
          <w:jc w:val="center"/>
        </w:trPr>
        <w:tc>
          <w:tcPr>
            <w:tcW w:w="8411" w:type="dxa"/>
            <w:tcBorders>
              <w:top w:val="single" w:sz="4" w:space="0" w:color="auto"/>
              <w:left w:val="single" w:sz="4" w:space="0" w:color="auto"/>
              <w:bottom w:val="single" w:sz="4" w:space="0" w:color="auto"/>
              <w:right w:val="single" w:sz="4" w:space="0" w:color="auto"/>
            </w:tcBorders>
          </w:tcPr>
          <w:p w14:paraId="2B6645BB" w14:textId="0D9102F5" w:rsidR="005B0BB4" w:rsidRPr="00A52AB8" w:rsidRDefault="005B0BB4" w:rsidP="009C6742">
            <w:pPr>
              <w:pStyle w:val="tablesyntax"/>
              <w:keepNext w:val="0"/>
              <w:keepLines w:val="0"/>
              <w:spacing w:before="20" w:after="40"/>
              <w:rPr>
                <w:rFonts w:ascii="Cambria" w:hAnsi="Cambria"/>
              </w:rPr>
            </w:pPr>
            <w:r w:rsidRPr="00A52AB8">
              <w:rPr>
                <w:rFonts w:ascii="Cambria" w:hAnsi="Cambria"/>
              </w:rPr>
              <w:tab/>
            </w:r>
            <w:r w:rsidRPr="00A52AB8">
              <w:rPr>
                <w:rFonts w:ascii="Cambria" w:hAnsi="Cambria"/>
              </w:rPr>
              <w:tab/>
              <w:t>else if(</w:t>
            </w:r>
            <w:r w:rsidR="00F34F8B" w:rsidRPr="00A52AB8">
              <w:rPr>
                <w:rFonts w:ascii="Cambria" w:hAnsi="Cambria"/>
              </w:rPr>
              <w:t> hashType</w:t>
            </w:r>
            <w:r w:rsidR="008768E9" w:rsidRPr="00A52AB8">
              <w:rPr>
                <w:rFonts w:ascii="Cambria" w:hAnsi="Cambria"/>
              </w:rPr>
              <w:t> </w:t>
            </w:r>
            <w:r w:rsidR="00726AAE" w:rsidRPr="00A52AB8">
              <w:rPr>
                <w:rFonts w:ascii="Cambria" w:hAnsi="Cambria"/>
              </w:rPr>
              <w:t>==</w:t>
            </w:r>
            <w:r w:rsidR="00D47707" w:rsidRPr="00A52AB8">
              <w:rPr>
                <w:rFonts w:ascii="Cambria" w:hAnsi="Cambria"/>
              </w:rPr>
              <w:t> </w:t>
            </w:r>
            <w:r w:rsidR="0058306B" w:rsidRPr="00A52AB8">
              <w:rPr>
                <w:rFonts w:ascii="Cambria" w:hAnsi="Cambria"/>
              </w:rPr>
              <w:t>2 </w:t>
            </w:r>
            <w:r w:rsidRPr="00A52AB8">
              <w:rPr>
                <w:rFonts w:ascii="Cambria" w:hAnsi="Cambria"/>
              </w:rPr>
              <w:t>)</w:t>
            </w:r>
          </w:p>
        </w:tc>
        <w:tc>
          <w:tcPr>
            <w:tcW w:w="1331" w:type="dxa"/>
            <w:tcBorders>
              <w:top w:val="single" w:sz="4" w:space="0" w:color="auto"/>
              <w:left w:val="single" w:sz="4" w:space="0" w:color="auto"/>
              <w:bottom w:val="single" w:sz="4" w:space="0" w:color="auto"/>
              <w:right w:val="single" w:sz="4" w:space="0" w:color="auto"/>
            </w:tcBorders>
          </w:tcPr>
          <w:p w14:paraId="0D8DDA99" w14:textId="77777777" w:rsidR="005B0BB4" w:rsidRPr="00A52AB8" w:rsidRDefault="005B0BB4" w:rsidP="009C6742">
            <w:pPr>
              <w:pStyle w:val="tableheading"/>
              <w:keepNext w:val="0"/>
              <w:keepLines w:val="0"/>
              <w:spacing w:before="20" w:after="40"/>
              <w:jc w:val="center"/>
              <w:rPr>
                <w:rFonts w:ascii="Cambria" w:hAnsi="Cambria"/>
                <w:b w:val="0"/>
              </w:rPr>
            </w:pPr>
          </w:p>
        </w:tc>
      </w:tr>
      <w:tr w:rsidR="005B0BB4" w:rsidRPr="00A52AB8" w14:paraId="2EDC8520" w14:textId="77777777" w:rsidTr="00CE2D34">
        <w:trPr>
          <w:cantSplit/>
          <w:jc w:val="center"/>
        </w:trPr>
        <w:tc>
          <w:tcPr>
            <w:tcW w:w="8411" w:type="dxa"/>
            <w:tcBorders>
              <w:top w:val="single" w:sz="4" w:space="0" w:color="auto"/>
              <w:left w:val="single" w:sz="4" w:space="0" w:color="auto"/>
              <w:bottom w:val="single" w:sz="4" w:space="0" w:color="auto"/>
              <w:right w:val="single" w:sz="4" w:space="0" w:color="auto"/>
            </w:tcBorders>
          </w:tcPr>
          <w:p w14:paraId="455856B3" w14:textId="7A54A099" w:rsidR="005B0BB4" w:rsidRPr="00A52AB8" w:rsidRDefault="005B0BB4" w:rsidP="009C6742">
            <w:pPr>
              <w:pStyle w:val="tablesyntax"/>
              <w:keepNext w:val="0"/>
              <w:keepLines w:val="0"/>
              <w:spacing w:before="20" w:after="40"/>
              <w:rPr>
                <w:rFonts w:ascii="Cambria" w:hAnsi="Cambria"/>
              </w:rPr>
            </w:pPr>
            <w:r w:rsidRPr="00A52AB8">
              <w:rPr>
                <w:rFonts w:ascii="Cambria" w:hAnsi="Cambria"/>
                <w:b/>
              </w:rPr>
              <w:tab/>
            </w:r>
            <w:r w:rsidRPr="00A52AB8">
              <w:rPr>
                <w:rFonts w:ascii="Cambria" w:hAnsi="Cambria"/>
                <w:b/>
              </w:rPr>
              <w:tab/>
            </w:r>
            <w:r w:rsidRPr="00A52AB8">
              <w:rPr>
                <w:rFonts w:ascii="Cambria" w:hAnsi="Cambria"/>
                <w:b/>
              </w:rPr>
              <w:tab/>
              <w:t>daih_atlas_tile_checksum</w:t>
            </w:r>
            <w:r w:rsidR="008505CD" w:rsidRPr="00A52AB8">
              <w:rPr>
                <w:rFonts w:ascii="Cambria" w:hAnsi="Cambria"/>
                <w:bCs/>
              </w:rPr>
              <w:t>[ </w:t>
            </w:r>
            <w:r w:rsidR="008505CD" w:rsidRPr="00A52AB8">
              <w:rPr>
                <w:rFonts w:ascii="Cambria" w:hAnsi="Cambria"/>
              </w:rPr>
              <w:t>j</w:t>
            </w:r>
            <w:r w:rsidR="008505CD" w:rsidRPr="00A52AB8">
              <w:rPr>
                <w:rFonts w:ascii="Cambria" w:hAnsi="Cambria"/>
                <w:bCs/>
              </w:rPr>
              <w:t> </w:t>
            </w:r>
            <w:r w:rsidR="008505CD" w:rsidRPr="00A52AB8">
              <w:rPr>
                <w:rFonts w:ascii="Cambria" w:hAnsi="Cambria"/>
              </w:rPr>
              <w:t>]</w:t>
            </w:r>
          </w:p>
        </w:tc>
        <w:tc>
          <w:tcPr>
            <w:tcW w:w="1331" w:type="dxa"/>
            <w:tcBorders>
              <w:top w:val="single" w:sz="4" w:space="0" w:color="auto"/>
              <w:left w:val="single" w:sz="4" w:space="0" w:color="auto"/>
              <w:bottom w:val="single" w:sz="4" w:space="0" w:color="auto"/>
              <w:right w:val="single" w:sz="4" w:space="0" w:color="auto"/>
            </w:tcBorders>
          </w:tcPr>
          <w:p w14:paraId="6902E372" w14:textId="77777777" w:rsidR="005B0BB4" w:rsidRPr="00A52AB8" w:rsidRDefault="005B0BB4" w:rsidP="009C6742">
            <w:pPr>
              <w:pStyle w:val="tableheading"/>
              <w:keepNext w:val="0"/>
              <w:keepLines w:val="0"/>
              <w:spacing w:before="20" w:after="40"/>
              <w:jc w:val="center"/>
              <w:rPr>
                <w:rFonts w:ascii="Cambria" w:hAnsi="Cambria"/>
                <w:b w:val="0"/>
              </w:rPr>
            </w:pPr>
            <w:r w:rsidRPr="00A52AB8">
              <w:rPr>
                <w:rFonts w:ascii="Cambria" w:hAnsi="Cambria"/>
                <w:b w:val="0"/>
              </w:rPr>
              <w:t>u(32)</w:t>
            </w:r>
          </w:p>
        </w:tc>
      </w:tr>
      <w:tr w:rsidR="005B0BB4" w:rsidRPr="00A52AB8" w14:paraId="12C2166A" w14:textId="77777777" w:rsidTr="00CE2D34">
        <w:trPr>
          <w:cantSplit/>
          <w:jc w:val="center"/>
        </w:trPr>
        <w:tc>
          <w:tcPr>
            <w:tcW w:w="8411" w:type="dxa"/>
            <w:tcBorders>
              <w:top w:val="single" w:sz="4" w:space="0" w:color="auto"/>
              <w:left w:val="single" w:sz="4" w:space="0" w:color="auto"/>
              <w:bottom w:val="single" w:sz="4" w:space="0" w:color="auto"/>
              <w:right w:val="single" w:sz="4" w:space="0" w:color="auto"/>
            </w:tcBorders>
          </w:tcPr>
          <w:p w14:paraId="5CEBE800" w14:textId="77777777" w:rsidR="005B0BB4" w:rsidRPr="00A52AB8" w:rsidRDefault="005B0BB4" w:rsidP="009C6742">
            <w:pPr>
              <w:pStyle w:val="tablesyntax"/>
              <w:keepNext w:val="0"/>
              <w:keepLines w:val="0"/>
              <w:spacing w:before="20" w:after="40"/>
              <w:rPr>
                <w:rFonts w:ascii="Cambria" w:hAnsi="Cambria"/>
                <w:bCs/>
              </w:rPr>
            </w:pPr>
            <w:r w:rsidRPr="00A52AB8">
              <w:rPr>
                <w:rFonts w:ascii="Cambria" w:hAnsi="Cambria"/>
                <w:bCs/>
              </w:rPr>
              <w:t>}</w:t>
            </w:r>
          </w:p>
        </w:tc>
        <w:tc>
          <w:tcPr>
            <w:tcW w:w="1331" w:type="dxa"/>
            <w:tcBorders>
              <w:top w:val="single" w:sz="4" w:space="0" w:color="auto"/>
              <w:left w:val="single" w:sz="4" w:space="0" w:color="auto"/>
              <w:bottom w:val="single" w:sz="4" w:space="0" w:color="auto"/>
              <w:right w:val="single" w:sz="4" w:space="0" w:color="auto"/>
            </w:tcBorders>
          </w:tcPr>
          <w:p w14:paraId="61303DDC" w14:textId="77777777" w:rsidR="005B0BB4" w:rsidRPr="00A52AB8" w:rsidRDefault="005B0BB4" w:rsidP="009C6742">
            <w:pPr>
              <w:pStyle w:val="tableheading"/>
              <w:keepNext w:val="0"/>
              <w:keepLines w:val="0"/>
              <w:spacing w:before="20" w:after="40"/>
              <w:jc w:val="center"/>
              <w:rPr>
                <w:rFonts w:ascii="Cambria" w:hAnsi="Cambria"/>
                <w:b w:val="0"/>
              </w:rPr>
            </w:pPr>
          </w:p>
        </w:tc>
      </w:tr>
    </w:tbl>
    <w:p w14:paraId="6634D2CB" w14:textId="3B5C3E51" w:rsidR="00C16D86" w:rsidRPr="00A52AB8" w:rsidRDefault="00C16D86" w:rsidP="00EE3D19">
      <w:pPr>
        <w:pStyle w:val="a3"/>
        <w:numPr>
          <w:ilvl w:val="3"/>
          <w:numId w:val="19"/>
        </w:numPr>
        <w:tabs>
          <w:tab w:val="clear" w:pos="403"/>
        </w:tabs>
        <w:spacing w:line="240" w:lineRule="auto"/>
        <w:outlineLvl w:val="3"/>
      </w:pPr>
      <w:bookmarkStart w:id="5421" w:name="_Toc52181729"/>
      <w:r w:rsidRPr="00A52AB8">
        <w:t xml:space="preserve">Decoded atlas </w:t>
      </w:r>
      <w:r w:rsidR="005B0BB4" w:rsidRPr="00A52AB8">
        <w:t xml:space="preserve">tile </w:t>
      </w:r>
      <w:r w:rsidRPr="00A52AB8">
        <w:t>b2p hash unit syntax</w:t>
      </w:r>
      <w:bookmarkEnd w:id="5421"/>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11"/>
        <w:gridCol w:w="1331"/>
      </w:tblGrid>
      <w:tr w:rsidR="00C16D86" w:rsidRPr="00A52AB8" w14:paraId="3114304D" w14:textId="77777777" w:rsidTr="00CE2D34">
        <w:trPr>
          <w:cantSplit/>
          <w:jc w:val="center"/>
        </w:trPr>
        <w:tc>
          <w:tcPr>
            <w:tcW w:w="8411" w:type="dxa"/>
            <w:tcBorders>
              <w:top w:val="single" w:sz="4" w:space="0" w:color="auto"/>
              <w:left w:val="single" w:sz="4" w:space="0" w:color="auto"/>
              <w:bottom w:val="single" w:sz="4" w:space="0" w:color="auto"/>
              <w:right w:val="single" w:sz="4" w:space="0" w:color="auto"/>
            </w:tcBorders>
          </w:tcPr>
          <w:p w14:paraId="1387A671" w14:textId="0F2B386A" w:rsidR="00C16D86" w:rsidRPr="00A52AB8" w:rsidRDefault="00C16D86" w:rsidP="009C6742">
            <w:pPr>
              <w:pStyle w:val="tablesyntax"/>
              <w:keepNext w:val="0"/>
              <w:keepLines w:val="0"/>
              <w:spacing w:before="20" w:after="40"/>
              <w:rPr>
                <w:rFonts w:ascii="Cambria" w:hAnsi="Cambria"/>
              </w:rPr>
            </w:pPr>
            <w:r w:rsidRPr="00A52AB8">
              <w:rPr>
                <w:rFonts w:ascii="Cambria" w:hAnsi="Cambria"/>
              </w:rPr>
              <w:t>decoded_atlas_b2</w:t>
            </w:r>
            <w:r w:rsidR="008505CD" w:rsidRPr="00A52AB8">
              <w:rPr>
                <w:rFonts w:ascii="Cambria" w:hAnsi="Cambria"/>
              </w:rPr>
              <w:t>p</w:t>
            </w:r>
            <w:r w:rsidRPr="00A52AB8">
              <w:rPr>
                <w:rFonts w:ascii="Cambria" w:hAnsi="Cambria"/>
              </w:rPr>
              <w:t>_hash(</w:t>
            </w:r>
            <w:r w:rsidR="00F34F8B" w:rsidRPr="00A52AB8">
              <w:rPr>
                <w:rFonts w:ascii="Cambria" w:hAnsi="Cambria"/>
              </w:rPr>
              <w:t> hashType,</w:t>
            </w:r>
            <w:r w:rsidR="008505CD" w:rsidRPr="00A52AB8">
              <w:rPr>
                <w:rFonts w:ascii="Cambria" w:hAnsi="Cambria"/>
                <w:bCs/>
              </w:rPr>
              <w:t> </w:t>
            </w:r>
            <w:r w:rsidR="008505CD" w:rsidRPr="00A52AB8">
              <w:rPr>
                <w:rFonts w:ascii="Cambria" w:hAnsi="Cambria"/>
              </w:rPr>
              <w:t>j</w:t>
            </w:r>
            <w:r w:rsidR="008505CD" w:rsidRPr="00A52AB8">
              <w:rPr>
                <w:rFonts w:ascii="Cambria" w:hAnsi="Cambria"/>
                <w:bCs/>
              </w:rPr>
              <w:t> </w:t>
            </w:r>
            <w:r w:rsidR="008F1F82" w:rsidRPr="00A52AB8">
              <w:rPr>
                <w:rFonts w:ascii="Cambria" w:hAnsi="Cambria"/>
              </w:rPr>
              <w:t>) {</w:t>
            </w:r>
          </w:p>
        </w:tc>
        <w:tc>
          <w:tcPr>
            <w:tcW w:w="1331" w:type="dxa"/>
            <w:tcBorders>
              <w:top w:val="single" w:sz="4" w:space="0" w:color="auto"/>
              <w:left w:val="single" w:sz="4" w:space="0" w:color="auto"/>
              <w:bottom w:val="single" w:sz="4" w:space="0" w:color="auto"/>
              <w:right w:val="single" w:sz="4" w:space="0" w:color="auto"/>
            </w:tcBorders>
          </w:tcPr>
          <w:p w14:paraId="5608F7B8" w14:textId="77777777" w:rsidR="00C16D86" w:rsidRPr="00A52AB8" w:rsidRDefault="00C16D86" w:rsidP="009C6742">
            <w:pPr>
              <w:pStyle w:val="tableheading"/>
              <w:keepNext w:val="0"/>
              <w:keepLines w:val="0"/>
              <w:spacing w:before="20" w:after="40"/>
              <w:jc w:val="center"/>
              <w:rPr>
                <w:rFonts w:ascii="Cambria" w:hAnsi="Cambria"/>
                <w:b w:val="0"/>
              </w:rPr>
            </w:pPr>
          </w:p>
        </w:tc>
      </w:tr>
      <w:tr w:rsidR="00C16D86" w:rsidRPr="00A52AB8" w14:paraId="6F17C155" w14:textId="77777777" w:rsidTr="00CE2D34">
        <w:trPr>
          <w:cantSplit/>
          <w:jc w:val="center"/>
        </w:trPr>
        <w:tc>
          <w:tcPr>
            <w:tcW w:w="8411" w:type="dxa"/>
            <w:tcBorders>
              <w:top w:val="single" w:sz="4" w:space="0" w:color="auto"/>
              <w:left w:val="single" w:sz="4" w:space="0" w:color="auto"/>
              <w:bottom w:val="single" w:sz="4" w:space="0" w:color="auto"/>
              <w:right w:val="single" w:sz="4" w:space="0" w:color="auto"/>
            </w:tcBorders>
          </w:tcPr>
          <w:p w14:paraId="6E8DC75F" w14:textId="4C92075D" w:rsidR="00C16D86" w:rsidRPr="00A52AB8" w:rsidRDefault="00C16D86" w:rsidP="009C6742">
            <w:pPr>
              <w:pStyle w:val="tablesyntax"/>
              <w:keepNext w:val="0"/>
              <w:keepLines w:val="0"/>
              <w:spacing w:before="20" w:after="40"/>
              <w:rPr>
                <w:rFonts w:ascii="Cambria" w:hAnsi="Cambria"/>
              </w:rPr>
            </w:pPr>
            <w:r w:rsidRPr="00A52AB8">
              <w:rPr>
                <w:rFonts w:ascii="Cambria" w:hAnsi="Cambria"/>
              </w:rPr>
              <w:tab/>
              <w:t>if(</w:t>
            </w:r>
            <w:r w:rsidR="00F34F8B" w:rsidRPr="00A52AB8">
              <w:rPr>
                <w:rFonts w:ascii="Cambria" w:hAnsi="Cambria"/>
              </w:rPr>
              <w:t> hashType</w:t>
            </w:r>
            <w:r w:rsidR="008768E9" w:rsidRPr="00A52AB8">
              <w:rPr>
                <w:rFonts w:ascii="Cambria" w:hAnsi="Cambria"/>
              </w:rPr>
              <w:t> </w:t>
            </w:r>
            <w:r w:rsidR="00726AAE" w:rsidRPr="00A52AB8">
              <w:rPr>
                <w:rFonts w:ascii="Cambria" w:hAnsi="Cambria"/>
              </w:rPr>
              <w:t>==</w:t>
            </w:r>
            <w:r w:rsidR="00D47707" w:rsidRPr="00A52AB8">
              <w:rPr>
                <w:rFonts w:ascii="Cambria" w:hAnsi="Cambria"/>
              </w:rPr>
              <w:t> </w:t>
            </w:r>
            <w:r w:rsidRPr="00A52AB8">
              <w:rPr>
                <w:rFonts w:ascii="Cambria" w:hAnsi="Cambria"/>
              </w:rPr>
              <w:t>0</w:t>
            </w:r>
            <w:r w:rsidR="0058306B" w:rsidRPr="00A52AB8">
              <w:rPr>
                <w:rFonts w:ascii="Cambria" w:hAnsi="Cambria"/>
              </w:rPr>
              <w:t> </w:t>
            </w:r>
            <w:r w:rsidRPr="00A52AB8">
              <w:rPr>
                <w:rFonts w:ascii="Cambria" w:hAnsi="Cambria"/>
              </w:rPr>
              <w:t>)</w:t>
            </w:r>
          </w:p>
        </w:tc>
        <w:tc>
          <w:tcPr>
            <w:tcW w:w="1331" w:type="dxa"/>
            <w:tcBorders>
              <w:top w:val="single" w:sz="4" w:space="0" w:color="auto"/>
              <w:left w:val="single" w:sz="4" w:space="0" w:color="auto"/>
              <w:bottom w:val="single" w:sz="4" w:space="0" w:color="auto"/>
              <w:right w:val="single" w:sz="4" w:space="0" w:color="auto"/>
            </w:tcBorders>
          </w:tcPr>
          <w:p w14:paraId="502679B4" w14:textId="77777777" w:rsidR="00C16D86" w:rsidRPr="00A52AB8" w:rsidRDefault="00C16D86" w:rsidP="009C6742">
            <w:pPr>
              <w:pStyle w:val="tableheading"/>
              <w:keepNext w:val="0"/>
              <w:keepLines w:val="0"/>
              <w:spacing w:before="20" w:after="40"/>
              <w:jc w:val="center"/>
              <w:rPr>
                <w:rFonts w:ascii="Cambria" w:hAnsi="Cambria"/>
                <w:b w:val="0"/>
              </w:rPr>
            </w:pPr>
          </w:p>
        </w:tc>
      </w:tr>
      <w:tr w:rsidR="00C16D86" w:rsidRPr="00A52AB8" w14:paraId="334C29EA" w14:textId="77777777" w:rsidTr="00CE2D34">
        <w:trPr>
          <w:cantSplit/>
          <w:jc w:val="center"/>
        </w:trPr>
        <w:tc>
          <w:tcPr>
            <w:tcW w:w="8411" w:type="dxa"/>
            <w:tcBorders>
              <w:top w:val="single" w:sz="4" w:space="0" w:color="auto"/>
              <w:left w:val="single" w:sz="4" w:space="0" w:color="auto"/>
              <w:bottom w:val="single" w:sz="4" w:space="0" w:color="auto"/>
              <w:right w:val="single" w:sz="4" w:space="0" w:color="auto"/>
            </w:tcBorders>
          </w:tcPr>
          <w:p w14:paraId="7D60DD00" w14:textId="19315FF1" w:rsidR="00C16D86" w:rsidRPr="00A52AB8" w:rsidRDefault="00C16D86" w:rsidP="009C6742">
            <w:pPr>
              <w:pStyle w:val="tablesyntax"/>
              <w:keepNext w:val="0"/>
              <w:keepLines w:val="0"/>
              <w:spacing w:before="20" w:after="40"/>
              <w:rPr>
                <w:rFonts w:ascii="Cambria" w:hAnsi="Cambria"/>
              </w:rPr>
            </w:pPr>
            <w:r w:rsidRPr="00A52AB8">
              <w:rPr>
                <w:rFonts w:ascii="Cambria" w:hAnsi="Cambria"/>
              </w:rPr>
              <w:tab/>
            </w:r>
            <w:r w:rsidRPr="00A52AB8">
              <w:rPr>
                <w:rFonts w:ascii="Cambria" w:hAnsi="Cambria"/>
              </w:rPr>
              <w:tab/>
              <w:t>for( i</w:t>
            </w:r>
            <w:r w:rsidR="00D47707" w:rsidRPr="00A52AB8">
              <w:rPr>
                <w:rFonts w:ascii="Cambria" w:hAnsi="Cambria"/>
              </w:rPr>
              <w:t> = </w:t>
            </w:r>
            <w:r w:rsidRPr="00A52AB8">
              <w:rPr>
                <w:rFonts w:ascii="Cambria" w:hAnsi="Cambria"/>
              </w:rPr>
              <w:t>0; i &lt; 16; i++ )</w:t>
            </w:r>
          </w:p>
        </w:tc>
        <w:tc>
          <w:tcPr>
            <w:tcW w:w="1331" w:type="dxa"/>
            <w:tcBorders>
              <w:top w:val="single" w:sz="4" w:space="0" w:color="auto"/>
              <w:left w:val="single" w:sz="4" w:space="0" w:color="auto"/>
              <w:bottom w:val="single" w:sz="4" w:space="0" w:color="auto"/>
              <w:right w:val="single" w:sz="4" w:space="0" w:color="auto"/>
            </w:tcBorders>
          </w:tcPr>
          <w:p w14:paraId="080B4469" w14:textId="77777777" w:rsidR="00C16D86" w:rsidRPr="00A52AB8" w:rsidRDefault="00C16D86" w:rsidP="009C6742">
            <w:pPr>
              <w:pStyle w:val="tableheading"/>
              <w:keepNext w:val="0"/>
              <w:keepLines w:val="0"/>
              <w:spacing w:before="20" w:after="40"/>
              <w:jc w:val="center"/>
              <w:rPr>
                <w:rFonts w:ascii="Cambria" w:hAnsi="Cambria"/>
                <w:b w:val="0"/>
              </w:rPr>
            </w:pPr>
          </w:p>
        </w:tc>
      </w:tr>
      <w:tr w:rsidR="00C16D86" w:rsidRPr="00A52AB8" w14:paraId="379576BD" w14:textId="77777777" w:rsidTr="00CE2D34">
        <w:trPr>
          <w:cantSplit/>
          <w:jc w:val="center"/>
        </w:trPr>
        <w:tc>
          <w:tcPr>
            <w:tcW w:w="8411" w:type="dxa"/>
            <w:tcBorders>
              <w:top w:val="single" w:sz="4" w:space="0" w:color="auto"/>
              <w:left w:val="single" w:sz="4" w:space="0" w:color="auto"/>
              <w:bottom w:val="single" w:sz="4" w:space="0" w:color="auto"/>
              <w:right w:val="single" w:sz="4" w:space="0" w:color="auto"/>
            </w:tcBorders>
          </w:tcPr>
          <w:p w14:paraId="0BF0D193" w14:textId="44740287" w:rsidR="00C16D86" w:rsidRPr="00A52AB8" w:rsidRDefault="00C16D86" w:rsidP="009C6742">
            <w:pPr>
              <w:pStyle w:val="tablesyntax"/>
              <w:keepNext w:val="0"/>
              <w:keepLines w:val="0"/>
              <w:spacing w:before="20" w:after="40"/>
              <w:rPr>
                <w:rFonts w:ascii="Cambria" w:hAnsi="Cambria"/>
              </w:rPr>
            </w:pPr>
            <w:r w:rsidRPr="00A52AB8">
              <w:rPr>
                <w:rFonts w:ascii="Cambria" w:hAnsi="Cambria"/>
              </w:rPr>
              <w:tab/>
            </w:r>
            <w:r w:rsidRPr="00A52AB8">
              <w:rPr>
                <w:rFonts w:ascii="Cambria" w:hAnsi="Cambria"/>
              </w:rPr>
              <w:tab/>
            </w:r>
            <w:r w:rsidRPr="00A52AB8">
              <w:rPr>
                <w:rFonts w:ascii="Cambria" w:hAnsi="Cambria"/>
              </w:rPr>
              <w:tab/>
            </w:r>
            <w:r w:rsidRPr="00A52AB8">
              <w:rPr>
                <w:rFonts w:ascii="Cambria" w:hAnsi="Cambria"/>
                <w:b/>
                <w:bCs/>
              </w:rPr>
              <w:t>daih_atlas</w:t>
            </w:r>
            <w:r w:rsidR="005B0BB4" w:rsidRPr="00A52AB8">
              <w:rPr>
                <w:rFonts w:ascii="Cambria" w:hAnsi="Cambria"/>
                <w:b/>
                <w:bCs/>
              </w:rPr>
              <w:t>_tile</w:t>
            </w:r>
            <w:r w:rsidRPr="00A52AB8">
              <w:rPr>
                <w:rFonts w:ascii="Cambria" w:hAnsi="Cambria"/>
                <w:b/>
                <w:bCs/>
              </w:rPr>
              <w:t>_b2p</w:t>
            </w:r>
            <w:r w:rsidRPr="00A52AB8">
              <w:rPr>
                <w:rFonts w:ascii="Cambria" w:hAnsi="Cambria"/>
                <w:b/>
              </w:rPr>
              <w:t>_md5</w:t>
            </w:r>
            <w:r w:rsidR="008505CD" w:rsidRPr="00A52AB8">
              <w:rPr>
                <w:rFonts w:ascii="Cambria" w:hAnsi="Cambria"/>
                <w:bCs/>
              </w:rPr>
              <w:t>[ </w:t>
            </w:r>
            <w:r w:rsidR="008505CD" w:rsidRPr="00A52AB8">
              <w:rPr>
                <w:rFonts w:ascii="Cambria" w:hAnsi="Cambria"/>
              </w:rPr>
              <w:t>j</w:t>
            </w:r>
            <w:r w:rsidR="008505CD" w:rsidRPr="00A52AB8">
              <w:rPr>
                <w:rFonts w:ascii="Cambria" w:hAnsi="Cambria"/>
                <w:bCs/>
              </w:rPr>
              <w:t> </w:t>
            </w:r>
            <w:r w:rsidR="008505CD" w:rsidRPr="00A52AB8">
              <w:rPr>
                <w:rFonts w:ascii="Cambria" w:hAnsi="Cambria"/>
              </w:rPr>
              <w:t>]</w:t>
            </w:r>
            <w:r w:rsidRPr="00A52AB8">
              <w:rPr>
                <w:rFonts w:ascii="Cambria" w:hAnsi="Cambria"/>
              </w:rPr>
              <w:t>[ i ]</w:t>
            </w:r>
          </w:p>
        </w:tc>
        <w:tc>
          <w:tcPr>
            <w:tcW w:w="1331" w:type="dxa"/>
            <w:tcBorders>
              <w:top w:val="single" w:sz="4" w:space="0" w:color="auto"/>
              <w:left w:val="single" w:sz="4" w:space="0" w:color="auto"/>
              <w:bottom w:val="single" w:sz="4" w:space="0" w:color="auto"/>
              <w:right w:val="single" w:sz="4" w:space="0" w:color="auto"/>
            </w:tcBorders>
          </w:tcPr>
          <w:p w14:paraId="30A4A688" w14:textId="77777777" w:rsidR="00C16D86" w:rsidRPr="00A52AB8" w:rsidRDefault="00C16D86" w:rsidP="009C6742">
            <w:pPr>
              <w:pStyle w:val="tableheading"/>
              <w:keepNext w:val="0"/>
              <w:keepLines w:val="0"/>
              <w:spacing w:before="20" w:after="40"/>
              <w:jc w:val="center"/>
              <w:rPr>
                <w:rFonts w:ascii="Cambria" w:hAnsi="Cambria"/>
                <w:b w:val="0"/>
              </w:rPr>
            </w:pPr>
            <w:r w:rsidRPr="00A52AB8">
              <w:rPr>
                <w:rFonts w:ascii="Cambria" w:hAnsi="Cambria"/>
                <w:b w:val="0"/>
              </w:rPr>
              <w:t>b(8)</w:t>
            </w:r>
          </w:p>
        </w:tc>
      </w:tr>
      <w:tr w:rsidR="00C16D86" w:rsidRPr="00A52AB8" w14:paraId="239DBFE6" w14:textId="77777777" w:rsidTr="00CE2D34">
        <w:trPr>
          <w:cantSplit/>
          <w:jc w:val="center"/>
        </w:trPr>
        <w:tc>
          <w:tcPr>
            <w:tcW w:w="8411" w:type="dxa"/>
            <w:tcBorders>
              <w:top w:val="single" w:sz="4" w:space="0" w:color="auto"/>
              <w:left w:val="single" w:sz="4" w:space="0" w:color="auto"/>
              <w:bottom w:val="single" w:sz="4" w:space="0" w:color="auto"/>
              <w:right w:val="single" w:sz="4" w:space="0" w:color="auto"/>
            </w:tcBorders>
          </w:tcPr>
          <w:p w14:paraId="7BF90780" w14:textId="57F293FD" w:rsidR="00C16D86" w:rsidRPr="00A52AB8" w:rsidRDefault="00C16D86" w:rsidP="009C6742">
            <w:pPr>
              <w:pStyle w:val="tablesyntax"/>
              <w:keepNext w:val="0"/>
              <w:keepLines w:val="0"/>
              <w:spacing w:before="20" w:after="40"/>
              <w:rPr>
                <w:rFonts w:ascii="Cambria" w:hAnsi="Cambria"/>
              </w:rPr>
            </w:pPr>
            <w:r w:rsidRPr="00A52AB8">
              <w:rPr>
                <w:rFonts w:ascii="Cambria" w:hAnsi="Cambria"/>
              </w:rPr>
              <w:tab/>
            </w:r>
            <w:r w:rsidRPr="00A52AB8">
              <w:rPr>
                <w:rFonts w:ascii="Cambria" w:hAnsi="Cambria"/>
              </w:rPr>
              <w:tab/>
              <w:t>else if(</w:t>
            </w:r>
            <w:r w:rsidR="00F34F8B" w:rsidRPr="00A52AB8">
              <w:rPr>
                <w:rFonts w:ascii="Cambria" w:hAnsi="Cambria"/>
              </w:rPr>
              <w:t> hashType</w:t>
            </w:r>
            <w:r w:rsidR="008768E9" w:rsidRPr="00A52AB8">
              <w:rPr>
                <w:rFonts w:ascii="Cambria" w:hAnsi="Cambria"/>
              </w:rPr>
              <w:t> </w:t>
            </w:r>
            <w:r w:rsidR="00726AAE" w:rsidRPr="00A52AB8">
              <w:rPr>
                <w:rFonts w:ascii="Cambria" w:hAnsi="Cambria"/>
              </w:rPr>
              <w:t>==</w:t>
            </w:r>
            <w:r w:rsidR="00D47707" w:rsidRPr="00A52AB8">
              <w:rPr>
                <w:rFonts w:ascii="Cambria" w:hAnsi="Cambria"/>
              </w:rPr>
              <w:t> </w:t>
            </w:r>
            <w:r w:rsidRPr="00A52AB8">
              <w:rPr>
                <w:rFonts w:ascii="Cambria" w:hAnsi="Cambria"/>
              </w:rPr>
              <w:t>1</w:t>
            </w:r>
            <w:r w:rsidR="0058306B" w:rsidRPr="00A52AB8">
              <w:rPr>
                <w:rFonts w:ascii="Cambria" w:hAnsi="Cambria"/>
              </w:rPr>
              <w:t> </w:t>
            </w:r>
            <w:r w:rsidRPr="00A52AB8">
              <w:rPr>
                <w:rFonts w:ascii="Cambria" w:hAnsi="Cambria"/>
              </w:rPr>
              <w:t>)</w:t>
            </w:r>
          </w:p>
        </w:tc>
        <w:tc>
          <w:tcPr>
            <w:tcW w:w="1331" w:type="dxa"/>
            <w:tcBorders>
              <w:top w:val="single" w:sz="4" w:space="0" w:color="auto"/>
              <w:left w:val="single" w:sz="4" w:space="0" w:color="auto"/>
              <w:bottom w:val="single" w:sz="4" w:space="0" w:color="auto"/>
              <w:right w:val="single" w:sz="4" w:space="0" w:color="auto"/>
            </w:tcBorders>
          </w:tcPr>
          <w:p w14:paraId="1BA1A759" w14:textId="77777777" w:rsidR="00C16D86" w:rsidRPr="00A52AB8" w:rsidRDefault="00C16D86" w:rsidP="009C6742">
            <w:pPr>
              <w:pStyle w:val="tableheading"/>
              <w:keepNext w:val="0"/>
              <w:keepLines w:val="0"/>
              <w:spacing w:before="20" w:after="40"/>
              <w:jc w:val="center"/>
              <w:rPr>
                <w:rFonts w:ascii="Cambria" w:hAnsi="Cambria"/>
                <w:b w:val="0"/>
              </w:rPr>
            </w:pPr>
          </w:p>
        </w:tc>
      </w:tr>
      <w:tr w:rsidR="00C16D86" w:rsidRPr="00A52AB8" w14:paraId="603ED9BA" w14:textId="77777777" w:rsidTr="00CE2D34">
        <w:trPr>
          <w:cantSplit/>
          <w:jc w:val="center"/>
        </w:trPr>
        <w:tc>
          <w:tcPr>
            <w:tcW w:w="8411" w:type="dxa"/>
            <w:tcBorders>
              <w:top w:val="single" w:sz="4" w:space="0" w:color="auto"/>
              <w:left w:val="single" w:sz="4" w:space="0" w:color="auto"/>
              <w:bottom w:val="single" w:sz="4" w:space="0" w:color="auto"/>
              <w:right w:val="single" w:sz="4" w:space="0" w:color="auto"/>
            </w:tcBorders>
          </w:tcPr>
          <w:p w14:paraId="75D7A7BA" w14:textId="48C46117" w:rsidR="00C16D86" w:rsidRPr="00A52AB8" w:rsidRDefault="00C16D86" w:rsidP="009C6742">
            <w:pPr>
              <w:pStyle w:val="tablesyntax"/>
              <w:keepNext w:val="0"/>
              <w:keepLines w:val="0"/>
              <w:spacing w:before="20" w:after="40"/>
              <w:rPr>
                <w:rFonts w:ascii="Cambria" w:hAnsi="Cambria"/>
                <w:b/>
              </w:rPr>
            </w:pPr>
            <w:r w:rsidRPr="00A52AB8">
              <w:rPr>
                <w:rFonts w:ascii="Cambria" w:hAnsi="Cambria"/>
              </w:rPr>
              <w:tab/>
            </w:r>
            <w:r w:rsidRPr="00A52AB8">
              <w:rPr>
                <w:rFonts w:ascii="Cambria" w:hAnsi="Cambria"/>
              </w:rPr>
              <w:tab/>
            </w:r>
            <w:r w:rsidRPr="00A52AB8">
              <w:rPr>
                <w:rFonts w:ascii="Cambria" w:hAnsi="Cambria"/>
              </w:rPr>
              <w:tab/>
            </w:r>
            <w:r w:rsidRPr="00A52AB8">
              <w:rPr>
                <w:rFonts w:ascii="Cambria" w:hAnsi="Cambria"/>
                <w:b/>
              </w:rPr>
              <w:t>daih_atlas_</w:t>
            </w:r>
            <w:r w:rsidR="005B0BB4" w:rsidRPr="00A52AB8">
              <w:rPr>
                <w:rFonts w:ascii="Cambria" w:hAnsi="Cambria"/>
                <w:b/>
              </w:rPr>
              <w:t>tile_</w:t>
            </w:r>
            <w:r w:rsidRPr="00A52AB8">
              <w:rPr>
                <w:rFonts w:ascii="Cambria" w:hAnsi="Cambria"/>
                <w:b/>
              </w:rPr>
              <w:t>b2p_crc</w:t>
            </w:r>
            <w:r w:rsidR="008505CD" w:rsidRPr="00A52AB8">
              <w:rPr>
                <w:rFonts w:ascii="Cambria" w:hAnsi="Cambria"/>
                <w:bCs/>
              </w:rPr>
              <w:t>[ </w:t>
            </w:r>
            <w:r w:rsidR="008505CD" w:rsidRPr="00A52AB8">
              <w:rPr>
                <w:rFonts w:ascii="Cambria" w:hAnsi="Cambria"/>
              </w:rPr>
              <w:t>j</w:t>
            </w:r>
            <w:r w:rsidR="008505CD" w:rsidRPr="00A52AB8">
              <w:rPr>
                <w:rFonts w:ascii="Cambria" w:hAnsi="Cambria"/>
                <w:bCs/>
              </w:rPr>
              <w:t> </w:t>
            </w:r>
            <w:r w:rsidR="008505CD" w:rsidRPr="00A52AB8">
              <w:rPr>
                <w:rFonts w:ascii="Cambria" w:hAnsi="Cambria"/>
              </w:rPr>
              <w:t>]</w:t>
            </w:r>
          </w:p>
        </w:tc>
        <w:tc>
          <w:tcPr>
            <w:tcW w:w="1331" w:type="dxa"/>
            <w:tcBorders>
              <w:top w:val="single" w:sz="4" w:space="0" w:color="auto"/>
              <w:left w:val="single" w:sz="4" w:space="0" w:color="auto"/>
              <w:bottom w:val="single" w:sz="4" w:space="0" w:color="auto"/>
              <w:right w:val="single" w:sz="4" w:space="0" w:color="auto"/>
            </w:tcBorders>
          </w:tcPr>
          <w:p w14:paraId="6D4A8E38" w14:textId="77777777" w:rsidR="00C16D86" w:rsidRPr="00A52AB8" w:rsidRDefault="00C16D86" w:rsidP="009C6742">
            <w:pPr>
              <w:pStyle w:val="tableheading"/>
              <w:keepNext w:val="0"/>
              <w:keepLines w:val="0"/>
              <w:spacing w:before="20" w:after="40"/>
              <w:jc w:val="center"/>
              <w:rPr>
                <w:rFonts w:ascii="Cambria" w:hAnsi="Cambria"/>
                <w:b w:val="0"/>
              </w:rPr>
            </w:pPr>
            <w:r w:rsidRPr="00A52AB8">
              <w:rPr>
                <w:rFonts w:ascii="Cambria" w:hAnsi="Cambria"/>
                <w:b w:val="0"/>
              </w:rPr>
              <w:t>u(16)</w:t>
            </w:r>
          </w:p>
        </w:tc>
      </w:tr>
      <w:tr w:rsidR="00C16D86" w:rsidRPr="00A52AB8" w14:paraId="463EB16A" w14:textId="77777777" w:rsidTr="00CE2D34">
        <w:trPr>
          <w:cantSplit/>
          <w:jc w:val="center"/>
        </w:trPr>
        <w:tc>
          <w:tcPr>
            <w:tcW w:w="8411" w:type="dxa"/>
            <w:tcBorders>
              <w:top w:val="single" w:sz="4" w:space="0" w:color="auto"/>
              <w:left w:val="single" w:sz="4" w:space="0" w:color="auto"/>
              <w:bottom w:val="single" w:sz="4" w:space="0" w:color="auto"/>
              <w:right w:val="single" w:sz="4" w:space="0" w:color="auto"/>
            </w:tcBorders>
          </w:tcPr>
          <w:p w14:paraId="66339740" w14:textId="5785CE0A" w:rsidR="00C16D86" w:rsidRPr="00A52AB8" w:rsidRDefault="00C16D86" w:rsidP="009C6742">
            <w:pPr>
              <w:pStyle w:val="tablesyntax"/>
              <w:keepNext w:val="0"/>
              <w:keepLines w:val="0"/>
              <w:spacing w:before="20" w:after="40"/>
              <w:rPr>
                <w:rFonts w:ascii="Cambria" w:hAnsi="Cambria"/>
              </w:rPr>
            </w:pPr>
            <w:r w:rsidRPr="00A52AB8">
              <w:rPr>
                <w:rFonts w:ascii="Cambria" w:hAnsi="Cambria"/>
              </w:rPr>
              <w:tab/>
            </w:r>
            <w:r w:rsidRPr="00A52AB8">
              <w:rPr>
                <w:rFonts w:ascii="Cambria" w:hAnsi="Cambria"/>
              </w:rPr>
              <w:tab/>
              <w:t>else if(</w:t>
            </w:r>
            <w:r w:rsidR="00F34F8B" w:rsidRPr="00A52AB8">
              <w:rPr>
                <w:rFonts w:ascii="Cambria" w:hAnsi="Cambria"/>
              </w:rPr>
              <w:t> hashType</w:t>
            </w:r>
            <w:r w:rsidR="008768E9" w:rsidRPr="00A52AB8">
              <w:rPr>
                <w:rFonts w:ascii="Cambria" w:hAnsi="Cambria"/>
              </w:rPr>
              <w:t> </w:t>
            </w:r>
            <w:r w:rsidR="00726AAE" w:rsidRPr="00A52AB8">
              <w:rPr>
                <w:rFonts w:ascii="Cambria" w:hAnsi="Cambria"/>
              </w:rPr>
              <w:t>==</w:t>
            </w:r>
            <w:r w:rsidR="00D47707" w:rsidRPr="00A52AB8">
              <w:rPr>
                <w:rFonts w:ascii="Cambria" w:hAnsi="Cambria"/>
              </w:rPr>
              <w:t> </w:t>
            </w:r>
            <w:r w:rsidR="0058306B" w:rsidRPr="00A52AB8">
              <w:rPr>
                <w:rFonts w:ascii="Cambria" w:hAnsi="Cambria"/>
              </w:rPr>
              <w:t>2 </w:t>
            </w:r>
            <w:r w:rsidRPr="00A52AB8">
              <w:rPr>
                <w:rFonts w:ascii="Cambria" w:hAnsi="Cambria"/>
              </w:rPr>
              <w:t>)</w:t>
            </w:r>
          </w:p>
        </w:tc>
        <w:tc>
          <w:tcPr>
            <w:tcW w:w="1331" w:type="dxa"/>
            <w:tcBorders>
              <w:top w:val="single" w:sz="4" w:space="0" w:color="auto"/>
              <w:left w:val="single" w:sz="4" w:space="0" w:color="auto"/>
              <w:bottom w:val="single" w:sz="4" w:space="0" w:color="auto"/>
              <w:right w:val="single" w:sz="4" w:space="0" w:color="auto"/>
            </w:tcBorders>
          </w:tcPr>
          <w:p w14:paraId="643E548E" w14:textId="77777777" w:rsidR="00C16D86" w:rsidRPr="00A52AB8" w:rsidRDefault="00C16D86" w:rsidP="009C6742">
            <w:pPr>
              <w:pStyle w:val="tableheading"/>
              <w:keepNext w:val="0"/>
              <w:keepLines w:val="0"/>
              <w:spacing w:before="20" w:after="40"/>
              <w:jc w:val="center"/>
              <w:rPr>
                <w:rFonts w:ascii="Cambria" w:hAnsi="Cambria"/>
                <w:b w:val="0"/>
              </w:rPr>
            </w:pPr>
          </w:p>
        </w:tc>
      </w:tr>
      <w:tr w:rsidR="00C16D86" w:rsidRPr="00A52AB8" w14:paraId="2B2CBF40" w14:textId="77777777" w:rsidTr="00CE2D34">
        <w:trPr>
          <w:cantSplit/>
          <w:jc w:val="center"/>
        </w:trPr>
        <w:tc>
          <w:tcPr>
            <w:tcW w:w="8411" w:type="dxa"/>
            <w:tcBorders>
              <w:top w:val="single" w:sz="4" w:space="0" w:color="auto"/>
              <w:left w:val="single" w:sz="4" w:space="0" w:color="auto"/>
              <w:bottom w:val="single" w:sz="4" w:space="0" w:color="auto"/>
              <w:right w:val="single" w:sz="4" w:space="0" w:color="auto"/>
            </w:tcBorders>
          </w:tcPr>
          <w:p w14:paraId="6E290393" w14:textId="30CD829A" w:rsidR="00C16D86" w:rsidRPr="00A52AB8" w:rsidRDefault="00C16D86" w:rsidP="009C6742">
            <w:pPr>
              <w:pStyle w:val="tablesyntax"/>
              <w:keepNext w:val="0"/>
              <w:keepLines w:val="0"/>
              <w:spacing w:before="20" w:after="40"/>
              <w:rPr>
                <w:rFonts w:ascii="Cambria" w:hAnsi="Cambria"/>
              </w:rPr>
            </w:pPr>
            <w:r w:rsidRPr="00A52AB8">
              <w:rPr>
                <w:rFonts w:ascii="Cambria" w:hAnsi="Cambria"/>
                <w:b/>
              </w:rPr>
              <w:tab/>
            </w:r>
            <w:r w:rsidRPr="00A52AB8">
              <w:rPr>
                <w:rFonts w:ascii="Cambria" w:hAnsi="Cambria"/>
                <w:b/>
              </w:rPr>
              <w:tab/>
            </w:r>
            <w:r w:rsidRPr="00A52AB8">
              <w:rPr>
                <w:rFonts w:ascii="Cambria" w:hAnsi="Cambria"/>
                <w:b/>
              </w:rPr>
              <w:tab/>
              <w:t>daih_atlas_</w:t>
            </w:r>
            <w:r w:rsidR="005B0BB4" w:rsidRPr="00A52AB8">
              <w:rPr>
                <w:rFonts w:ascii="Cambria" w:hAnsi="Cambria"/>
                <w:b/>
              </w:rPr>
              <w:t>tile_</w:t>
            </w:r>
            <w:r w:rsidRPr="00A52AB8">
              <w:rPr>
                <w:rFonts w:ascii="Cambria" w:hAnsi="Cambria"/>
                <w:b/>
              </w:rPr>
              <w:t>b2p_checksum</w:t>
            </w:r>
            <w:r w:rsidR="008505CD" w:rsidRPr="00A52AB8">
              <w:rPr>
                <w:rFonts w:ascii="Cambria" w:hAnsi="Cambria"/>
                <w:bCs/>
              </w:rPr>
              <w:t>[ </w:t>
            </w:r>
            <w:r w:rsidR="008505CD" w:rsidRPr="00A52AB8">
              <w:rPr>
                <w:rFonts w:ascii="Cambria" w:hAnsi="Cambria"/>
              </w:rPr>
              <w:t>j</w:t>
            </w:r>
            <w:r w:rsidR="008505CD" w:rsidRPr="00A52AB8">
              <w:rPr>
                <w:rFonts w:ascii="Cambria" w:hAnsi="Cambria"/>
                <w:bCs/>
              </w:rPr>
              <w:t> </w:t>
            </w:r>
            <w:r w:rsidR="008505CD" w:rsidRPr="00A52AB8">
              <w:rPr>
                <w:rFonts w:ascii="Cambria" w:hAnsi="Cambria"/>
              </w:rPr>
              <w:t>]</w:t>
            </w:r>
          </w:p>
        </w:tc>
        <w:tc>
          <w:tcPr>
            <w:tcW w:w="1331" w:type="dxa"/>
            <w:tcBorders>
              <w:top w:val="single" w:sz="4" w:space="0" w:color="auto"/>
              <w:left w:val="single" w:sz="4" w:space="0" w:color="auto"/>
              <w:bottom w:val="single" w:sz="4" w:space="0" w:color="auto"/>
              <w:right w:val="single" w:sz="4" w:space="0" w:color="auto"/>
            </w:tcBorders>
          </w:tcPr>
          <w:p w14:paraId="367B16F6" w14:textId="77777777" w:rsidR="00C16D86" w:rsidRPr="00A52AB8" w:rsidRDefault="00C16D86" w:rsidP="009C6742">
            <w:pPr>
              <w:pStyle w:val="tableheading"/>
              <w:keepNext w:val="0"/>
              <w:keepLines w:val="0"/>
              <w:spacing w:before="20" w:after="40"/>
              <w:jc w:val="center"/>
              <w:rPr>
                <w:rFonts w:ascii="Cambria" w:hAnsi="Cambria"/>
                <w:b w:val="0"/>
              </w:rPr>
            </w:pPr>
            <w:r w:rsidRPr="00A52AB8">
              <w:rPr>
                <w:rFonts w:ascii="Cambria" w:hAnsi="Cambria"/>
                <w:b w:val="0"/>
              </w:rPr>
              <w:t>u(32)</w:t>
            </w:r>
          </w:p>
        </w:tc>
      </w:tr>
      <w:tr w:rsidR="00C16D86" w:rsidRPr="00A52AB8" w14:paraId="2C3F28E2" w14:textId="77777777" w:rsidTr="00CE2D34">
        <w:trPr>
          <w:cantSplit/>
          <w:jc w:val="center"/>
        </w:trPr>
        <w:tc>
          <w:tcPr>
            <w:tcW w:w="8411" w:type="dxa"/>
            <w:tcBorders>
              <w:top w:val="single" w:sz="4" w:space="0" w:color="auto"/>
              <w:left w:val="single" w:sz="4" w:space="0" w:color="auto"/>
              <w:bottom w:val="single" w:sz="4" w:space="0" w:color="auto"/>
              <w:right w:val="single" w:sz="4" w:space="0" w:color="auto"/>
            </w:tcBorders>
          </w:tcPr>
          <w:p w14:paraId="6EB1B298" w14:textId="77777777" w:rsidR="00C16D86" w:rsidRPr="00A52AB8" w:rsidRDefault="00C16D86" w:rsidP="009C6742">
            <w:pPr>
              <w:pStyle w:val="tablesyntax"/>
              <w:keepNext w:val="0"/>
              <w:keepLines w:val="0"/>
              <w:spacing w:before="20" w:after="40"/>
              <w:rPr>
                <w:rFonts w:ascii="Cambria" w:hAnsi="Cambria"/>
                <w:bCs/>
              </w:rPr>
            </w:pPr>
            <w:r w:rsidRPr="00A52AB8">
              <w:rPr>
                <w:rFonts w:ascii="Cambria" w:hAnsi="Cambria"/>
                <w:bCs/>
              </w:rPr>
              <w:t>}</w:t>
            </w:r>
          </w:p>
        </w:tc>
        <w:tc>
          <w:tcPr>
            <w:tcW w:w="1331" w:type="dxa"/>
            <w:tcBorders>
              <w:top w:val="single" w:sz="4" w:space="0" w:color="auto"/>
              <w:left w:val="single" w:sz="4" w:space="0" w:color="auto"/>
              <w:bottom w:val="single" w:sz="4" w:space="0" w:color="auto"/>
              <w:right w:val="single" w:sz="4" w:space="0" w:color="auto"/>
            </w:tcBorders>
          </w:tcPr>
          <w:p w14:paraId="321D61D6" w14:textId="77777777" w:rsidR="00C16D86" w:rsidRPr="00A52AB8" w:rsidRDefault="00C16D86" w:rsidP="009C6742">
            <w:pPr>
              <w:pStyle w:val="tableheading"/>
              <w:keepNext w:val="0"/>
              <w:keepLines w:val="0"/>
              <w:spacing w:before="20" w:after="40"/>
              <w:jc w:val="center"/>
              <w:rPr>
                <w:rFonts w:ascii="Cambria" w:hAnsi="Cambria"/>
                <w:b w:val="0"/>
              </w:rPr>
            </w:pPr>
          </w:p>
        </w:tc>
      </w:tr>
    </w:tbl>
    <w:p w14:paraId="0096FA81" w14:textId="27CE7A0F" w:rsidR="00D8175C" w:rsidRPr="00A52AB8" w:rsidRDefault="00DE09D3" w:rsidP="009C6742">
      <w:pPr>
        <w:pStyle w:val="a3"/>
        <w:numPr>
          <w:ilvl w:val="2"/>
          <w:numId w:val="19"/>
        </w:numPr>
        <w:tabs>
          <w:tab w:val="clear" w:pos="403"/>
        </w:tabs>
        <w:spacing w:line="240" w:lineRule="auto"/>
      </w:pPr>
      <w:bookmarkStart w:id="5422" w:name="_Toc52181730"/>
      <w:r w:rsidRPr="00A52AB8">
        <w:t>Time code</w:t>
      </w:r>
      <w:r w:rsidR="00D8175C" w:rsidRPr="00A52AB8">
        <w:t xml:space="preserve"> SEI message syntax</w:t>
      </w:r>
      <w:bookmarkEnd w:id="5422"/>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11"/>
        <w:gridCol w:w="1331"/>
      </w:tblGrid>
      <w:tr w:rsidR="00CA4039" w:rsidRPr="00A52AB8" w14:paraId="6BB43D04" w14:textId="77777777" w:rsidTr="00105498">
        <w:trPr>
          <w:cantSplit/>
          <w:jc w:val="center"/>
        </w:trPr>
        <w:tc>
          <w:tcPr>
            <w:tcW w:w="8411" w:type="dxa"/>
            <w:tcBorders>
              <w:top w:val="single" w:sz="4" w:space="0" w:color="auto"/>
              <w:left w:val="single" w:sz="4" w:space="0" w:color="auto"/>
              <w:bottom w:val="single" w:sz="4" w:space="0" w:color="auto"/>
              <w:right w:val="single" w:sz="4" w:space="0" w:color="auto"/>
            </w:tcBorders>
          </w:tcPr>
          <w:p w14:paraId="3B14D28C" w14:textId="433E4401" w:rsidR="00105498" w:rsidRPr="00A52AB8" w:rsidRDefault="00105498" w:rsidP="009C6742">
            <w:pPr>
              <w:pStyle w:val="tablesyntax"/>
              <w:keepNext w:val="0"/>
              <w:keepLines w:val="0"/>
              <w:spacing w:before="20" w:after="40"/>
              <w:rPr>
                <w:rFonts w:ascii="Cambria" w:hAnsi="Cambria"/>
              </w:rPr>
            </w:pPr>
            <w:r w:rsidRPr="00A52AB8">
              <w:rPr>
                <w:rFonts w:ascii="Cambria" w:hAnsi="Cambria"/>
              </w:rPr>
              <w:t>time_code(</w:t>
            </w:r>
            <w:r w:rsidR="0003078F" w:rsidRPr="00A52AB8">
              <w:rPr>
                <w:rFonts w:ascii="Cambria" w:hAnsi="Cambria"/>
              </w:rPr>
              <w:t> </w:t>
            </w:r>
            <w:r w:rsidRPr="00A52AB8">
              <w:rPr>
                <w:rFonts w:ascii="Cambria" w:hAnsi="Cambria"/>
              </w:rPr>
              <w:t>payloadSize</w:t>
            </w:r>
            <w:r w:rsidR="0003078F" w:rsidRPr="00A52AB8">
              <w:rPr>
                <w:rFonts w:ascii="Cambria" w:hAnsi="Cambria"/>
              </w:rPr>
              <w:t> </w:t>
            </w:r>
            <w:r w:rsidR="008F1F82" w:rsidRPr="00A52AB8">
              <w:rPr>
                <w:rFonts w:ascii="Cambria" w:hAnsi="Cambria"/>
              </w:rPr>
              <w:t>) {</w:t>
            </w:r>
          </w:p>
        </w:tc>
        <w:tc>
          <w:tcPr>
            <w:tcW w:w="1331" w:type="dxa"/>
            <w:tcBorders>
              <w:top w:val="single" w:sz="4" w:space="0" w:color="auto"/>
              <w:left w:val="single" w:sz="4" w:space="0" w:color="auto"/>
              <w:bottom w:val="single" w:sz="4" w:space="0" w:color="auto"/>
              <w:right w:val="single" w:sz="4" w:space="0" w:color="auto"/>
            </w:tcBorders>
          </w:tcPr>
          <w:p w14:paraId="28DE1ABB" w14:textId="77777777" w:rsidR="00105498" w:rsidRPr="00A52AB8" w:rsidRDefault="00105498" w:rsidP="009C6742">
            <w:pPr>
              <w:pStyle w:val="tablesyntax"/>
              <w:keepNext w:val="0"/>
              <w:keepLines w:val="0"/>
              <w:rPr>
                <w:rFonts w:ascii="Cambria" w:hAnsi="Cambria"/>
                <w:b/>
              </w:rPr>
            </w:pPr>
            <w:r w:rsidRPr="00A52AB8">
              <w:rPr>
                <w:rFonts w:ascii="Cambria" w:hAnsi="Cambria"/>
                <w:b/>
              </w:rPr>
              <w:t>Descriptor</w:t>
            </w:r>
          </w:p>
        </w:tc>
      </w:tr>
      <w:tr w:rsidR="00A104FF" w:rsidRPr="00A52AB8" w14:paraId="6D379C3F" w14:textId="77777777" w:rsidTr="00DD05B6">
        <w:trPr>
          <w:cantSplit/>
          <w:jc w:val="center"/>
        </w:trPr>
        <w:tc>
          <w:tcPr>
            <w:tcW w:w="8411" w:type="dxa"/>
            <w:tcBorders>
              <w:top w:val="single" w:sz="4" w:space="0" w:color="auto"/>
              <w:left w:val="single" w:sz="4" w:space="0" w:color="auto"/>
              <w:bottom w:val="single" w:sz="4" w:space="0" w:color="auto"/>
              <w:right w:val="single" w:sz="4" w:space="0" w:color="auto"/>
            </w:tcBorders>
          </w:tcPr>
          <w:p w14:paraId="7C95AE6C" w14:textId="77777777" w:rsidR="00A104FF" w:rsidRPr="00A52AB8" w:rsidRDefault="00A104FF" w:rsidP="009C6742">
            <w:pPr>
              <w:pStyle w:val="tablesyntax"/>
              <w:keepNext w:val="0"/>
              <w:keepLines w:val="0"/>
              <w:spacing w:before="20" w:after="40"/>
              <w:rPr>
                <w:rFonts w:ascii="Cambria" w:hAnsi="Cambria"/>
                <w:b/>
                <w:bCs/>
              </w:rPr>
            </w:pPr>
            <w:r w:rsidRPr="00A52AB8">
              <w:rPr>
                <w:rFonts w:ascii="Cambria" w:hAnsi="Cambria"/>
                <w:b/>
                <w:bCs/>
              </w:rPr>
              <w:tab/>
              <w:t>num_units_in_tick</w:t>
            </w:r>
          </w:p>
        </w:tc>
        <w:tc>
          <w:tcPr>
            <w:tcW w:w="1331" w:type="dxa"/>
            <w:tcBorders>
              <w:top w:val="single" w:sz="4" w:space="0" w:color="auto"/>
              <w:left w:val="single" w:sz="4" w:space="0" w:color="auto"/>
              <w:bottom w:val="single" w:sz="4" w:space="0" w:color="auto"/>
              <w:right w:val="single" w:sz="4" w:space="0" w:color="auto"/>
            </w:tcBorders>
            <w:vAlign w:val="center"/>
          </w:tcPr>
          <w:p w14:paraId="15515BB3" w14:textId="77777777" w:rsidR="00A104FF" w:rsidRPr="00A52AB8" w:rsidRDefault="003B64A5" w:rsidP="009C6742">
            <w:pPr>
              <w:pStyle w:val="tablesyntax"/>
              <w:keepNext w:val="0"/>
              <w:keepLines w:val="0"/>
              <w:jc w:val="center"/>
              <w:rPr>
                <w:rFonts w:ascii="Cambria" w:hAnsi="Cambria"/>
                <w:bCs/>
              </w:rPr>
            </w:pPr>
            <w:r w:rsidRPr="00A52AB8">
              <w:rPr>
                <w:rFonts w:ascii="Cambria" w:hAnsi="Cambria"/>
                <w:bCs/>
              </w:rPr>
              <w:t>u(32)</w:t>
            </w:r>
          </w:p>
        </w:tc>
      </w:tr>
      <w:tr w:rsidR="004A11D8" w:rsidRPr="00A52AB8" w14:paraId="5337215E" w14:textId="77777777" w:rsidTr="00DD05B6">
        <w:trPr>
          <w:cantSplit/>
          <w:jc w:val="center"/>
        </w:trPr>
        <w:tc>
          <w:tcPr>
            <w:tcW w:w="8411" w:type="dxa"/>
            <w:tcBorders>
              <w:top w:val="single" w:sz="4" w:space="0" w:color="auto"/>
              <w:left w:val="single" w:sz="4" w:space="0" w:color="auto"/>
              <w:bottom w:val="single" w:sz="4" w:space="0" w:color="auto"/>
              <w:right w:val="single" w:sz="4" w:space="0" w:color="auto"/>
            </w:tcBorders>
          </w:tcPr>
          <w:p w14:paraId="0971FBE6" w14:textId="77777777" w:rsidR="004A11D8" w:rsidRPr="00A52AB8" w:rsidRDefault="004A11D8" w:rsidP="009C6742">
            <w:pPr>
              <w:pStyle w:val="tablesyntax"/>
              <w:keepNext w:val="0"/>
              <w:keepLines w:val="0"/>
              <w:spacing w:before="20" w:after="40"/>
              <w:rPr>
                <w:rFonts w:ascii="Cambria" w:hAnsi="Cambria"/>
                <w:b/>
                <w:bCs/>
              </w:rPr>
            </w:pPr>
            <w:r w:rsidRPr="00A52AB8">
              <w:rPr>
                <w:rFonts w:ascii="Cambria" w:hAnsi="Cambria"/>
                <w:b/>
                <w:bCs/>
              </w:rPr>
              <w:tab/>
              <w:t>time_scale</w:t>
            </w:r>
          </w:p>
        </w:tc>
        <w:tc>
          <w:tcPr>
            <w:tcW w:w="1331" w:type="dxa"/>
            <w:tcBorders>
              <w:top w:val="single" w:sz="4" w:space="0" w:color="auto"/>
              <w:left w:val="single" w:sz="4" w:space="0" w:color="auto"/>
              <w:bottom w:val="single" w:sz="4" w:space="0" w:color="auto"/>
              <w:right w:val="single" w:sz="4" w:space="0" w:color="auto"/>
            </w:tcBorders>
            <w:vAlign w:val="center"/>
          </w:tcPr>
          <w:p w14:paraId="74D96651" w14:textId="77777777" w:rsidR="004A11D8" w:rsidRPr="00A52AB8" w:rsidRDefault="003B64A5" w:rsidP="009C6742">
            <w:pPr>
              <w:pStyle w:val="tablesyntax"/>
              <w:keepNext w:val="0"/>
              <w:keepLines w:val="0"/>
              <w:jc w:val="center"/>
              <w:rPr>
                <w:rFonts w:ascii="Cambria" w:hAnsi="Cambria"/>
                <w:bCs/>
              </w:rPr>
            </w:pPr>
            <w:r w:rsidRPr="00A52AB8">
              <w:rPr>
                <w:rFonts w:ascii="Cambria" w:hAnsi="Cambria"/>
                <w:bCs/>
              </w:rPr>
              <w:t>u(32)</w:t>
            </w:r>
          </w:p>
        </w:tc>
      </w:tr>
      <w:tr w:rsidR="00CA4039" w:rsidRPr="00A52AB8" w14:paraId="1996D387" w14:textId="77777777" w:rsidTr="00DD05B6">
        <w:trPr>
          <w:cantSplit/>
          <w:jc w:val="center"/>
        </w:trPr>
        <w:tc>
          <w:tcPr>
            <w:tcW w:w="8411" w:type="dxa"/>
            <w:tcBorders>
              <w:top w:val="single" w:sz="4" w:space="0" w:color="auto"/>
              <w:left w:val="single" w:sz="4" w:space="0" w:color="auto"/>
              <w:bottom w:val="single" w:sz="4" w:space="0" w:color="auto"/>
              <w:right w:val="single" w:sz="4" w:space="0" w:color="auto"/>
            </w:tcBorders>
          </w:tcPr>
          <w:p w14:paraId="0507FB61" w14:textId="77777777" w:rsidR="00105498" w:rsidRPr="00A52AB8" w:rsidRDefault="00105498" w:rsidP="009C6742">
            <w:pPr>
              <w:pStyle w:val="tablesyntax"/>
              <w:keepNext w:val="0"/>
              <w:keepLines w:val="0"/>
              <w:spacing w:before="20" w:after="40"/>
              <w:rPr>
                <w:rFonts w:ascii="Cambria" w:hAnsi="Cambria"/>
                <w:b/>
                <w:bCs/>
              </w:rPr>
            </w:pPr>
            <w:r w:rsidRPr="00A52AB8">
              <w:rPr>
                <w:rFonts w:ascii="Cambria" w:hAnsi="Cambria"/>
              </w:rPr>
              <w:tab/>
            </w:r>
            <w:r w:rsidRPr="00A52AB8">
              <w:rPr>
                <w:rFonts w:ascii="Cambria" w:hAnsi="Cambria"/>
                <w:b/>
                <w:bCs/>
              </w:rPr>
              <w:t>counting_type</w:t>
            </w:r>
          </w:p>
        </w:tc>
        <w:tc>
          <w:tcPr>
            <w:tcW w:w="1331" w:type="dxa"/>
            <w:tcBorders>
              <w:top w:val="single" w:sz="4" w:space="0" w:color="auto"/>
              <w:left w:val="single" w:sz="4" w:space="0" w:color="auto"/>
              <w:bottom w:val="single" w:sz="4" w:space="0" w:color="auto"/>
              <w:right w:val="single" w:sz="4" w:space="0" w:color="auto"/>
            </w:tcBorders>
            <w:vAlign w:val="center"/>
          </w:tcPr>
          <w:p w14:paraId="1E435EC1" w14:textId="77777777" w:rsidR="00105498" w:rsidRPr="00A52AB8" w:rsidRDefault="00105498" w:rsidP="009C6742">
            <w:pPr>
              <w:pStyle w:val="tablesyntax"/>
              <w:keepNext w:val="0"/>
              <w:keepLines w:val="0"/>
              <w:jc w:val="center"/>
              <w:rPr>
                <w:rFonts w:ascii="Cambria" w:hAnsi="Cambria"/>
                <w:bCs/>
              </w:rPr>
            </w:pPr>
            <w:r w:rsidRPr="00A52AB8">
              <w:rPr>
                <w:rFonts w:ascii="Cambria" w:hAnsi="Cambria"/>
                <w:bCs/>
              </w:rPr>
              <w:t>u(5)</w:t>
            </w:r>
          </w:p>
        </w:tc>
      </w:tr>
      <w:tr w:rsidR="00CA4039" w:rsidRPr="00A52AB8" w14:paraId="75645543" w14:textId="77777777" w:rsidTr="00DD05B6">
        <w:trPr>
          <w:cantSplit/>
          <w:jc w:val="center"/>
        </w:trPr>
        <w:tc>
          <w:tcPr>
            <w:tcW w:w="8411" w:type="dxa"/>
            <w:tcBorders>
              <w:top w:val="single" w:sz="4" w:space="0" w:color="auto"/>
              <w:left w:val="single" w:sz="4" w:space="0" w:color="auto"/>
              <w:bottom w:val="single" w:sz="4" w:space="0" w:color="auto"/>
              <w:right w:val="single" w:sz="4" w:space="0" w:color="auto"/>
            </w:tcBorders>
          </w:tcPr>
          <w:p w14:paraId="4A3DAB79" w14:textId="77777777" w:rsidR="00105498" w:rsidRPr="00A52AB8" w:rsidRDefault="00105498" w:rsidP="009C6742">
            <w:pPr>
              <w:pStyle w:val="tablesyntax"/>
              <w:keepNext w:val="0"/>
              <w:keepLines w:val="0"/>
              <w:spacing w:before="20" w:after="40"/>
              <w:rPr>
                <w:rFonts w:ascii="Cambria" w:hAnsi="Cambria"/>
                <w:b/>
                <w:bCs/>
              </w:rPr>
            </w:pPr>
            <w:r w:rsidRPr="00A52AB8">
              <w:rPr>
                <w:rFonts w:ascii="Cambria" w:hAnsi="Cambria"/>
              </w:rPr>
              <w:tab/>
            </w:r>
            <w:r w:rsidRPr="00A52AB8">
              <w:rPr>
                <w:rFonts w:ascii="Cambria" w:hAnsi="Cambria"/>
                <w:b/>
                <w:bCs/>
              </w:rPr>
              <w:t>full_timestamp_flag</w:t>
            </w:r>
          </w:p>
        </w:tc>
        <w:tc>
          <w:tcPr>
            <w:tcW w:w="1331" w:type="dxa"/>
            <w:tcBorders>
              <w:top w:val="single" w:sz="4" w:space="0" w:color="auto"/>
              <w:left w:val="single" w:sz="4" w:space="0" w:color="auto"/>
              <w:bottom w:val="single" w:sz="4" w:space="0" w:color="auto"/>
              <w:right w:val="single" w:sz="4" w:space="0" w:color="auto"/>
            </w:tcBorders>
            <w:vAlign w:val="center"/>
          </w:tcPr>
          <w:p w14:paraId="3AE81B19" w14:textId="77777777" w:rsidR="00105498" w:rsidRPr="00A52AB8" w:rsidRDefault="00105498" w:rsidP="009C6742">
            <w:pPr>
              <w:pStyle w:val="tablesyntax"/>
              <w:keepNext w:val="0"/>
              <w:keepLines w:val="0"/>
              <w:jc w:val="center"/>
              <w:rPr>
                <w:rFonts w:ascii="Cambria" w:hAnsi="Cambria"/>
                <w:bCs/>
              </w:rPr>
            </w:pPr>
            <w:r w:rsidRPr="00A52AB8">
              <w:rPr>
                <w:rFonts w:ascii="Cambria" w:hAnsi="Cambria"/>
                <w:bCs/>
              </w:rPr>
              <w:t>u(1)</w:t>
            </w:r>
          </w:p>
        </w:tc>
      </w:tr>
      <w:tr w:rsidR="00CA4039" w:rsidRPr="00A52AB8" w14:paraId="14A08098" w14:textId="77777777" w:rsidTr="00DD05B6">
        <w:trPr>
          <w:cantSplit/>
          <w:jc w:val="center"/>
        </w:trPr>
        <w:tc>
          <w:tcPr>
            <w:tcW w:w="8411" w:type="dxa"/>
            <w:tcBorders>
              <w:top w:val="single" w:sz="4" w:space="0" w:color="auto"/>
              <w:left w:val="single" w:sz="4" w:space="0" w:color="auto"/>
              <w:bottom w:val="single" w:sz="4" w:space="0" w:color="auto"/>
              <w:right w:val="single" w:sz="4" w:space="0" w:color="auto"/>
            </w:tcBorders>
          </w:tcPr>
          <w:p w14:paraId="2527DA9C" w14:textId="77777777" w:rsidR="00105498" w:rsidRPr="00A52AB8" w:rsidRDefault="00105498" w:rsidP="009C6742">
            <w:pPr>
              <w:pStyle w:val="tablesyntax"/>
              <w:keepNext w:val="0"/>
              <w:keepLines w:val="0"/>
              <w:spacing w:before="20" w:after="40"/>
              <w:rPr>
                <w:rFonts w:ascii="Cambria" w:hAnsi="Cambria"/>
                <w:b/>
                <w:bCs/>
              </w:rPr>
            </w:pPr>
            <w:r w:rsidRPr="00A52AB8">
              <w:rPr>
                <w:rFonts w:ascii="Cambria" w:hAnsi="Cambria"/>
                <w:b/>
                <w:bCs/>
              </w:rPr>
              <w:tab/>
              <w:t>discontinuity_flag</w:t>
            </w:r>
          </w:p>
        </w:tc>
        <w:tc>
          <w:tcPr>
            <w:tcW w:w="1331" w:type="dxa"/>
            <w:tcBorders>
              <w:top w:val="single" w:sz="4" w:space="0" w:color="auto"/>
              <w:left w:val="single" w:sz="4" w:space="0" w:color="auto"/>
              <w:bottom w:val="single" w:sz="4" w:space="0" w:color="auto"/>
              <w:right w:val="single" w:sz="4" w:space="0" w:color="auto"/>
            </w:tcBorders>
            <w:vAlign w:val="center"/>
          </w:tcPr>
          <w:p w14:paraId="04FA6279" w14:textId="77777777" w:rsidR="00105498" w:rsidRPr="00A52AB8" w:rsidRDefault="00105498" w:rsidP="009C6742">
            <w:pPr>
              <w:pStyle w:val="tablesyntax"/>
              <w:keepNext w:val="0"/>
              <w:keepLines w:val="0"/>
              <w:jc w:val="center"/>
              <w:rPr>
                <w:rFonts w:ascii="Cambria" w:hAnsi="Cambria"/>
                <w:bCs/>
              </w:rPr>
            </w:pPr>
            <w:r w:rsidRPr="00A52AB8">
              <w:rPr>
                <w:rFonts w:ascii="Cambria" w:hAnsi="Cambria"/>
                <w:bCs/>
              </w:rPr>
              <w:t>u(1)</w:t>
            </w:r>
          </w:p>
        </w:tc>
      </w:tr>
      <w:tr w:rsidR="00CA4039" w:rsidRPr="00A52AB8" w14:paraId="141EDF5B" w14:textId="77777777" w:rsidTr="00DD05B6">
        <w:trPr>
          <w:cantSplit/>
          <w:jc w:val="center"/>
        </w:trPr>
        <w:tc>
          <w:tcPr>
            <w:tcW w:w="8411" w:type="dxa"/>
            <w:tcBorders>
              <w:top w:val="single" w:sz="4" w:space="0" w:color="auto"/>
              <w:left w:val="single" w:sz="4" w:space="0" w:color="auto"/>
              <w:bottom w:val="single" w:sz="4" w:space="0" w:color="auto"/>
              <w:right w:val="single" w:sz="4" w:space="0" w:color="auto"/>
            </w:tcBorders>
          </w:tcPr>
          <w:p w14:paraId="6C720961" w14:textId="77777777" w:rsidR="00105498" w:rsidRPr="00A52AB8" w:rsidRDefault="00105498" w:rsidP="009C6742">
            <w:pPr>
              <w:pStyle w:val="tablesyntax"/>
              <w:keepNext w:val="0"/>
              <w:keepLines w:val="0"/>
              <w:spacing w:before="20" w:after="40"/>
              <w:rPr>
                <w:rFonts w:ascii="Cambria" w:hAnsi="Cambria"/>
                <w:b/>
                <w:bCs/>
              </w:rPr>
            </w:pPr>
            <w:r w:rsidRPr="00A52AB8">
              <w:rPr>
                <w:rFonts w:ascii="Cambria" w:hAnsi="Cambria"/>
                <w:b/>
                <w:bCs/>
              </w:rPr>
              <w:tab/>
              <w:t>cnt_dropped_flag</w:t>
            </w:r>
          </w:p>
        </w:tc>
        <w:tc>
          <w:tcPr>
            <w:tcW w:w="1331" w:type="dxa"/>
            <w:tcBorders>
              <w:top w:val="single" w:sz="4" w:space="0" w:color="auto"/>
              <w:left w:val="single" w:sz="4" w:space="0" w:color="auto"/>
              <w:bottom w:val="single" w:sz="4" w:space="0" w:color="auto"/>
              <w:right w:val="single" w:sz="4" w:space="0" w:color="auto"/>
            </w:tcBorders>
            <w:vAlign w:val="center"/>
          </w:tcPr>
          <w:p w14:paraId="6DDEB6FC" w14:textId="77777777" w:rsidR="00105498" w:rsidRPr="00A52AB8" w:rsidRDefault="00105498" w:rsidP="009C6742">
            <w:pPr>
              <w:pStyle w:val="tablesyntax"/>
              <w:keepNext w:val="0"/>
              <w:keepLines w:val="0"/>
              <w:jc w:val="center"/>
              <w:rPr>
                <w:rFonts w:ascii="Cambria" w:hAnsi="Cambria"/>
                <w:bCs/>
              </w:rPr>
            </w:pPr>
            <w:r w:rsidRPr="00A52AB8">
              <w:rPr>
                <w:rFonts w:ascii="Cambria" w:hAnsi="Cambria"/>
                <w:bCs/>
              </w:rPr>
              <w:t>u(1)</w:t>
            </w:r>
          </w:p>
        </w:tc>
      </w:tr>
      <w:tr w:rsidR="00CA4039" w:rsidRPr="00A52AB8" w14:paraId="712207E6" w14:textId="77777777" w:rsidTr="00DD05B6">
        <w:trPr>
          <w:cantSplit/>
          <w:jc w:val="center"/>
        </w:trPr>
        <w:tc>
          <w:tcPr>
            <w:tcW w:w="8411" w:type="dxa"/>
            <w:tcBorders>
              <w:top w:val="single" w:sz="4" w:space="0" w:color="auto"/>
              <w:left w:val="single" w:sz="4" w:space="0" w:color="auto"/>
              <w:bottom w:val="single" w:sz="4" w:space="0" w:color="auto"/>
              <w:right w:val="single" w:sz="4" w:space="0" w:color="auto"/>
            </w:tcBorders>
          </w:tcPr>
          <w:p w14:paraId="7F6B58A2" w14:textId="77777777" w:rsidR="00105498" w:rsidRPr="00A52AB8" w:rsidRDefault="00105498" w:rsidP="009C6742">
            <w:pPr>
              <w:pStyle w:val="tablesyntax"/>
              <w:keepNext w:val="0"/>
              <w:keepLines w:val="0"/>
              <w:spacing w:before="20" w:after="40"/>
              <w:rPr>
                <w:rFonts w:ascii="Cambria" w:hAnsi="Cambria"/>
                <w:b/>
                <w:bCs/>
              </w:rPr>
            </w:pPr>
            <w:r w:rsidRPr="00A52AB8">
              <w:rPr>
                <w:rFonts w:ascii="Cambria" w:hAnsi="Cambria"/>
              </w:rPr>
              <w:tab/>
            </w:r>
            <w:r w:rsidRPr="00A52AB8">
              <w:rPr>
                <w:rFonts w:ascii="Cambria" w:hAnsi="Cambria"/>
                <w:b/>
                <w:bCs/>
              </w:rPr>
              <w:t>n_frames</w:t>
            </w:r>
          </w:p>
        </w:tc>
        <w:tc>
          <w:tcPr>
            <w:tcW w:w="1331" w:type="dxa"/>
            <w:tcBorders>
              <w:top w:val="single" w:sz="4" w:space="0" w:color="auto"/>
              <w:left w:val="single" w:sz="4" w:space="0" w:color="auto"/>
              <w:bottom w:val="single" w:sz="4" w:space="0" w:color="auto"/>
              <w:right w:val="single" w:sz="4" w:space="0" w:color="auto"/>
            </w:tcBorders>
            <w:vAlign w:val="center"/>
          </w:tcPr>
          <w:p w14:paraId="54342FFE" w14:textId="77777777" w:rsidR="00105498" w:rsidRPr="00A52AB8" w:rsidRDefault="00105498" w:rsidP="009C6742">
            <w:pPr>
              <w:pStyle w:val="tablesyntax"/>
              <w:keepNext w:val="0"/>
              <w:keepLines w:val="0"/>
              <w:jc w:val="center"/>
              <w:rPr>
                <w:rFonts w:ascii="Cambria" w:hAnsi="Cambria"/>
                <w:bCs/>
              </w:rPr>
            </w:pPr>
            <w:r w:rsidRPr="00A52AB8">
              <w:rPr>
                <w:rFonts w:ascii="Cambria" w:hAnsi="Cambria"/>
                <w:bCs/>
              </w:rPr>
              <w:t>u(9)</w:t>
            </w:r>
          </w:p>
        </w:tc>
      </w:tr>
      <w:tr w:rsidR="00CA4039" w:rsidRPr="00A52AB8" w14:paraId="6F6FB21B" w14:textId="77777777" w:rsidTr="00DD05B6">
        <w:trPr>
          <w:cantSplit/>
          <w:jc w:val="center"/>
        </w:trPr>
        <w:tc>
          <w:tcPr>
            <w:tcW w:w="8411" w:type="dxa"/>
            <w:tcBorders>
              <w:top w:val="single" w:sz="4" w:space="0" w:color="auto"/>
              <w:left w:val="single" w:sz="4" w:space="0" w:color="auto"/>
              <w:bottom w:val="single" w:sz="4" w:space="0" w:color="auto"/>
              <w:right w:val="single" w:sz="4" w:space="0" w:color="auto"/>
            </w:tcBorders>
          </w:tcPr>
          <w:p w14:paraId="41960096" w14:textId="0FE38886" w:rsidR="00105498" w:rsidRPr="00A52AB8" w:rsidRDefault="00105498" w:rsidP="009C6742">
            <w:pPr>
              <w:pStyle w:val="tablesyntax"/>
              <w:keepNext w:val="0"/>
              <w:keepLines w:val="0"/>
              <w:spacing w:before="20" w:after="40"/>
              <w:rPr>
                <w:rFonts w:ascii="Cambria" w:hAnsi="Cambria"/>
              </w:rPr>
            </w:pPr>
            <w:r w:rsidRPr="00A52AB8">
              <w:rPr>
                <w:rFonts w:ascii="Cambria" w:hAnsi="Cambria"/>
              </w:rPr>
              <w:tab/>
              <w:t>if(</w:t>
            </w:r>
            <w:r w:rsidR="0058306B" w:rsidRPr="00A52AB8">
              <w:rPr>
                <w:rFonts w:ascii="Cambria" w:hAnsi="Cambria"/>
              </w:rPr>
              <w:t> </w:t>
            </w:r>
            <w:r w:rsidRPr="00A52AB8">
              <w:rPr>
                <w:rFonts w:ascii="Cambria" w:hAnsi="Cambria"/>
              </w:rPr>
              <w:t>full_timestamp_flag</w:t>
            </w:r>
            <w:r w:rsidR="0058306B" w:rsidRPr="00A52AB8">
              <w:rPr>
                <w:rFonts w:ascii="Cambria" w:hAnsi="Cambria"/>
              </w:rPr>
              <w:t> </w:t>
            </w:r>
            <w:r w:rsidR="008F1F82" w:rsidRPr="00A52AB8">
              <w:rPr>
                <w:rFonts w:ascii="Cambria" w:hAnsi="Cambria"/>
              </w:rPr>
              <w:t>) {</w:t>
            </w:r>
          </w:p>
        </w:tc>
        <w:tc>
          <w:tcPr>
            <w:tcW w:w="1331" w:type="dxa"/>
            <w:tcBorders>
              <w:top w:val="single" w:sz="4" w:space="0" w:color="auto"/>
              <w:left w:val="single" w:sz="4" w:space="0" w:color="auto"/>
              <w:bottom w:val="single" w:sz="4" w:space="0" w:color="auto"/>
              <w:right w:val="single" w:sz="4" w:space="0" w:color="auto"/>
            </w:tcBorders>
            <w:vAlign w:val="center"/>
          </w:tcPr>
          <w:p w14:paraId="32A1420D" w14:textId="77777777" w:rsidR="00105498" w:rsidRPr="00A52AB8" w:rsidRDefault="00105498" w:rsidP="009C6742">
            <w:pPr>
              <w:pStyle w:val="tablesyntax"/>
              <w:keepNext w:val="0"/>
              <w:keepLines w:val="0"/>
              <w:jc w:val="center"/>
              <w:rPr>
                <w:rFonts w:ascii="Cambria" w:hAnsi="Cambria"/>
                <w:bCs/>
              </w:rPr>
            </w:pPr>
          </w:p>
        </w:tc>
      </w:tr>
      <w:tr w:rsidR="00CA4039" w:rsidRPr="00A52AB8" w14:paraId="3ACDF4EE" w14:textId="77777777" w:rsidTr="00DD05B6">
        <w:trPr>
          <w:cantSplit/>
          <w:jc w:val="center"/>
        </w:trPr>
        <w:tc>
          <w:tcPr>
            <w:tcW w:w="8411" w:type="dxa"/>
            <w:tcBorders>
              <w:top w:val="single" w:sz="4" w:space="0" w:color="auto"/>
              <w:left w:val="single" w:sz="4" w:space="0" w:color="auto"/>
              <w:bottom w:val="single" w:sz="4" w:space="0" w:color="auto"/>
              <w:right w:val="single" w:sz="4" w:space="0" w:color="auto"/>
            </w:tcBorders>
          </w:tcPr>
          <w:p w14:paraId="2B10974B" w14:textId="77777777" w:rsidR="00105498" w:rsidRPr="00A52AB8" w:rsidRDefault="00105498" w:rsidP="009C6742">
            <w:pPr>
              <w:pStyle w:val="tablesyntax"/>
              <w:keepNext w:val="0"/>
              <w:keepLines w:val="0"/>
              <w:spacing w:before="20" w:after="40"/>
              <w:rPr>
                <w:rFonts w:ascii="Cambria" w:hAnsi="Cambria"/>
              </w:rPr>
            </w:pPr>
            <w:r w:rsidRPr="00A52AB8">
              <w:rPr>
                <w:rFonts w:ascii="Cambria" w:hAnsi="Cambria"/>
              </w:rPr>
              <w:tab/>
            </w:r>
            <w:r w:rsidRPr="00A52AB8">
              <w:rPr>
                <w:rFonts w:ascii="Cambria" w:hAnsi="Cambria"/>
              </w:rPr>
              <w:tab/>
            </w:r>
            <w:r w:rsidRPr="00A52AB8">
              <w:rPr>
                <w:rFonts w:ascii="Cambria" w:hAnsi="Cambria"/>
                <w:b/>
                <w:bCs/>
              </w:rPr>
              <w:t>seconds_value</w:t>
            </w:r>
            <w:r w:rsidRPr="00A52AB8">
              <w:rPr>
                <w:rFonts w:ascii="Cambria" w:hAnsi="Cambria"/>
              </w:rPr>
              <w:t xml:space="preserve"> /* 0..59 */</w:t>
            </w:r>
          </w:p>
        </w:tc>
        <w:tc>
          <w:tcPr>
            <w:tcW w:w="1331" w:type="dxa"/>
            <w:tcBorders>
              <w:top w:val="single" w:sz="4" w:space="0" w:color="auto"/>
              <w:left w:val="single" w:sz="4" w:space="0" w:color="auto"/>
              <w:bottom w:val="single" w:sz="4" w:space="0" w:color="auto"/>
              <w:right w:val="single" w:sz="4" w:space="0" w:color="auto"/>
            </w:tcBorders>
            <w:vAlign w:val="center"/>
          </w:tcPr>
          <w:p w14:paraId="3688D7DC" w14:textId="77777777" w:rsidR="00105498" w:rsidRPr="00A52AB8" w:rsidRDefault="00105498" w:rsidP="009C6742">
            <w:pPr>
              <w:pStyle w:val="tablesyntax"/>
              <w:keepNext w:val="0"/>
              <w:keepLines w:val="0"/>
              <w:jc w:val="center"/>
              <w:rPr>
                <w:rFonts w:ascii="Cambria" w:hAnsi="Cambria"/>
                <w:bCs/>
              </w:rPr>
            </w:pPr>
            <w:r w:rsidRPr="00A52AB8">
              <w:rPr>
                <w:rFonts w:ascii="Cambria" w:hAnsi="Cambria"/>
                <w:bCs/>
              </w:rPr>
              <w:t>u(6)</w:t>
            </w:r>
          </w:p>
        </w:tc>
      </w:tr>
      <w:tr w:rsidR="00CA4039" w:rsidRPr="00A52AB8" w14:paraId="0D625984" w14:textId="77777777" w:rsidTr="00DD05B6">
        <w:trPr>
          <w:cantSplit/>
          <w:jc w:val="center"/>
        </w:trPr>
        <w:tc>
          <w:tcPr>
            <w:tcW w:w="8411" w:type="dxa"/>
            <w:tcBorders>
              <w:top w:val="single" w:sz="4" w:space="0" w:color="auto"/>
              <w:left w:val="single" w:sz="4" w:space="0" w:color="auto"/>
              <w:bottom w:val="single" w:sz="4" w:space="0" w:color="auto"/>
              <w:right w:val="single" w:sz="4" w:space="0" w:color="auto"/>
            </w:tcBorders>
          </w:tcPr>
          <w:p w14:paraId="0A3A186B" w14:textId="77777777" w:rsidR="00105498" w:rsidRPr="00A52AB8" w:rsidRDefault="00105498" w:rsidP="009C6742">
            <w:pPr>
              <w:pStyle w:val="tablesyntax"/>
              <w:keepNext w:val="0"/>
              <w:keepLines w:val="0"/>
              <w:spacing w:before="20" w:after="40"/>
              <w:rPr>
                <w:rFonts w:ascii="Cambria" w:hAnsi="Cambria"/>
              </w:rPr>
            </w:pPr>
            <w:r w:rsidRPr="00A52AB8">
              <w:rPr>
                <w:rFonts w:ascii="Cambria" w:hAnsi="Cambria"/>
              </w:rPr>
              <w:tab/>
            </w:r>
            <w:r w:rsidRPr="00A52AB8">
              <w:rPr>
                <w:rFonts w:ascii="Cambria" w:hAnsi="Cambria"/>
              </w:rPr>
              <w:tab/>
            </w:r>
            <w:r w:rsidRPr="00A52AB8">
              <w:rPr>
                <w:rFonts w:ascii="Cambria" w:hAnsi="Cambria"/>
                <w:b/>
                <w:bCs/>
              </w:rPr>
              <w:t>minutes_value</w:t>
            </w:r>
            <w:r w:rsidRPr="00A52AB8">
              <w:rPr>
                <w:rFonts w:ascii="Cambria" w:hAnsi="Cambria"/>
              </w:rPr>
              <w:t xml:space="preserve"> /* 0..59 */</w:t>
            </w:r>
          </w:p>
        </w:tc>
        <w:tc>
          <w:tcPr>
            <w:tcW w:w="1331" w:type="dxa"/>
            <w:tcBorders>
              <w:top w:val="single" w:sz="4" w:space="0" w:color="auto"/>
              <w:left w:val="single" w:sz="4" w:space="0" w:color="auto"/>
              <w:bottom w:val="single" w:sz="4" w:space="0" w:color="auto"/>
              <w:right w:val="single" w:sz="4" w:space="0" w:color="auto"/>
            </w:tcBorders>
            <w:vAlign w:val="center"/>
          </w:tcPr>
          <w:p w14:paraId="71C77F0F" w14:textId="77777777" w:rsidR="00105498" w:rsidRPr="00A52AB8" w:rsidRDefault="00105498" w:rsidP="009C6742">
            <w:pPr>
              <w:pStyle w:val="tablesyntax"/>
              <w:keepNext w:val="0"/>
              <w:keepLines w:val="0"/>
              <w:jc w:val="center"/>
              <w:rPr>
                <w:rFonts w:ascii="Cambria" w:hAnsi="Cambria"/>
                <w:bCs/>
              </w:rPr>
            </w:pPr>
            <w:r w:rsidRPr="00A52AB8">
              <w:rPr>
                <w:rFonts w:ascii="Cambria" w:hAnsi="Cambria"/>
                <w:bCs/>
              </w:rPr>
              <w:t>u(6)</w:t>
            </w:r>
          </w:p>
        </w:tc>
      </w:tr>
      <w:tr w:rsidR="00CA4039" w:rsidRPr="00A52AB8" w14:paraId="75B8D203" w14:textId="77777777" w:rsidTr="00DD05B6">
        <w:trPr>
          <w:cantSplit/>
          <w:jc w:val="center"/>
        </w:trPr>
        <w:tc>
          <w:tcPr>
            <w:tcW w:w="8411" w:type="dxa"/>
            <w:tcBorders>
              <w:top w:val="single" w:sz="4" w:space="0" w:color="auto"/>
              <w:left w:val="single" w:sz="4" w:space="0" w:color="auto"/>
              <w:bottom w:val="single" w:sz="4" w:space="0" w:color="auto"/>
              <w:right w:val="single" w:sz="4" w:space="0" w:color="auto"/>
            </w:tcBorders>
          </w:tcPr>
          <w:p w14:paraId="1110C232" w14:textId="77777777" w:rsidR="00105498" w:rsidRPr="00A52AB8" w:rsidRDefault="00105498" w:rsidP="009C6742">
            <w:pPr>
              <w:pStyle w:val="tablesyntax"/>
              <w:keepNext w:val="0"/>
              <w:keepLines w:val="0"/>
              <w:spacing w:before="20" w:after="40"/>
              <w:rPr>
                <w:rFonts w:ascii="Cambria" w:hAnsi="Cambria"/>
              </w:rPr>
            </w:pPr>
            <w:r w:rsidRPr="00A52AB8">
              <w:rPr>
                <w:rFonts w:ascii="Cambria" w:hAnsi="Cambria"/>
              </w:rPr>
              <w:tab/>
            </w:r>
            <w:r w:rsidRPr="00A52AB8">
              <w:rPr>
                <w:rFonts w:ascii="Cambria" w:hAnsi="Cambria"/>
              </w:rPr>
              <w:tab/>
            </w:r>
            <w:r w:rsidRPr="00A52AB8">
              <w:rPr>
                <w:rFonts w:ascii="Cambria" w:hAnsi="Cambria"/>
                <w:b/>
                <w:bCs/>
              </w:rPr>
              <w:t>hours_value</w:t>
            </w:r>
            <w:r w:rsidRPr="00A52AB8">
              <w:rPr>
                <w:rFonts w:ascii="Cambria" w:hAnsi="Cambria"/>
              </w:rPr>
              <w:t xml:space="preserve"> /* 0..23 */</w:t>
            </w:r>
          </w:p>
        </w:tc>
        <w:tc>
          <w:tcPr>
            <w:tcW w:w="1331" w:type="dxa"/>
            <w:tcBorders>
              <w:top w:val="single" w:sz="4" w:space="0" w:color="auto"/>
              <w:left w:val="single" w:sz="4" w:space="0" w:color="auto"/>
              <w:bottom w:val="single" w:sz="4" w:space="0" w:color="auto"/>
              <w:right w:val="single" w:sz="4" w:space="0" w:color="auto"/>
            </w:tcBorders>
            <w:vAlign w:val="center"/>
          </w:tcPr>
          <w:p w14:paraId="4AF6B634" w14:textId="77777777" w:rsidR="00105498" w:rsidRPr="00A52AB8" w:rsidRDefault="00105498" w:rsidP="009C6742">
            <w:pPr>
              <w:pStyle w:val="tablesyntax"/>
              <w:keepNext w:val="0"/>
              <w:keepLines w:val="0"/>
              <w:jc w:val="center"/>
              <w:rPr>
                <w:rFonts w:ascii="Cambria" w:hAnsi="Cambria"/>
                <w:bCs/>
              </w:rPr>
            </w:pPr>
            <w:r w:rsidRPr="00A52AB8">
              <w:rPr>
                <w:rFonts w:ascii="Cambria" w:hAnsi="Cambria"/>
                <w:bCs/>
              </w:rPr>
              <w:t>u(5)</w:t>
            </w:r>
          </w:p>
        </w:tc>
      </w:tr>
      <w:tr w:rsidR="00CA4039" w:rsidRPr="00A52AB8" w14:paraId="5FE1CA5B" w14:textId="77777777" w:rsidTr="00DD05B6">
        <w:trPr>
          <w:cantSplit/>
          <w:jc w:val="center"/>
        </w:trPr>
        <w:tc>
          <w:tcPr>
            <w:tcW w:w="8411" w:type="dxa"/>
            <w:tcBorders>
              <w:top w:val="single" w:sz="4" w:space="0" w:color="auto"/>
              <w:left w:val="single" w:sz="4" w:space="0" w:color="auto"/>
              <w:bottom w:val="single" w:sz="4" w:space="0" w:color="auto"/>
              <w:right w:val="single" w:sz="4" w:space="0" w:color="auto"/>
            </w:tcBorders>
          </w:tcPr>
          <w:p w14:paraId="4E5DB739" w14:textId="66DF3505" w:rsidR="00105498" w:rsidRPr="00A52AB8" w:rsidRDefault="00105498" w:rsidP="009C6742">
            <w:pPr>
              <w:pStyle w:val="tablesyntax"/>
              <w:keepNext w:val="0"/>
              <w:keepLines w:val="0"/>
              <w:spacing w:before="20" w:after="40"/>
              <w:rPr>
                <w:rFonts w:ascii="Cambria" w:hAnsi="Cambria"/>
              </w:rPr>
            </w:pPr>
            <w:r w:rsidRPr="00A52AB8">
              <w:rPr>
                <w:rFonts w:ascii="Cambria" w:hAnsi="Cambria"/>
              </w:rPr>
              <w:tab/>
            </w:r>
            <w:r w:rsidR="0023721F" w:rsidRPr="00A52AB8">
              <w:rPr>
                <w:rFonts w:ascii="Cambria" w:hAnsi="Cambria"/>
              </w:rPr>
              <w:t>} else {</w:t>
            </w:r>
          </w:p>
        </w:tc>
        <w:tc>
          <w:tcPr>
            <w:tcW w:w="1331" w:type="dxa"/>
            <w:tcBorders>
              <w:top w:val="single" w:sz="4" w:space="0" w:color="auto"/>
              <w:left w:val="single" w:sz="4" w:space="0" w:color="auto"/>
              <w:bottom w:val="single" w:sz="4" w:space="0" w:color="auto"/>
              <w:right w:val="single" w:sz="4" w:space="0" w:color="auto"/>
            </w:tcBorders>
            <w:vAlign w:val="center"/>
          </w:tcPr>
          <w:p w14:paraId="7C4AE28A" w14:textId="77777777" w:rsidR="00105498" w:rsidRPr="00A52AB8" w:rsidRDefault="00105498" w:rsidP="009C6742">
            <w:pPr>
              <w:pStyle w:val="tablesyntax"/>
              <w:keepNext w:val="0"/>
              <w:keepLines w:val="0"/>
              <w:jc w:val="center"/>
              <w:rPr>
                <w:rFonts w:ascii="Cambria" w:hAnsi="Cambria"/>
                <w:bCs/>
              </w:rPr>
            </w:pPr>
          </w:p>
        </w:tc>
      </w:tr>
      <w:tr w:rsidR="00CA4039" w:rsidRPr="00A52AB8" w14:paraId="76949EAF" w14:textId="77777777" w:rsidTr="00DD05B6">
        <w:trPr>
          <w:cantSplit/>
          <w:jc w:val="center"/>
        </w:trPr>
        <w:tc>
          <w:tcPr>
            <w:tcW w:w="8411" w:type="dxa"/>
            <w:tcBorders>
              <w:top w:val="single" w:sz="4" w:space="0" w:color="auto"/>
              <w:left w:val="single" w:sz="4" w:space="0" w:color="auto"/>
              <w:bottom w:val="single" w:sz="4" w:space="0" w:color="auto"/>
              <w:right w:val="single" w:sz="4" w:space="0" w:color="auto"/>
            </w:tcBorders>
          </w:tcPr>
          <w:p w14:paraId="741CF992" w14:textId="77777777" w:rsidR="00105498" w:rsidRPr="00A52AB8" w:rsidRDefault="00105498" w:rsidP="009C6742">
            <w:pPr>
              <w:pStyle w:val="tablesyntax"/>
              <w:keepNext w:val="0"/>
              <w:keepLines w:val="0"/>
              <w:spacing w:before="20" w:after="40"/>
              <w:rPr>
                <w:rFonts w:ascii="Cambria" w:hAnsi="Cambria"/>
                <w:b/>
                <w:bCs/>
              </w:rPr>
            </w:pPr>
            <w:r w:rsidRPr="00A52AB8">
              <w:rPr>
                <w:rFonts w:ascii="Cambria" w:hAnsi="Cambria"/>
              </w:rPr>
              <w:tab/>
            </w:r>
            <w:r w:rsidRPr="00A52AB8">
              <w:rPr>
                <w:rFonts w:ascii="Cambria" w:hAnsi="Cambria"/>
              </w:rPr>
              <w:tab/>
            </w:r>
            <w:r w:rsidRPr="00A52AB8">
              <w:rPr>
                <w:rFonts w:ascii="Cambria" w:hAnsi="Cambria"/>
                <w:b/>
                <w:bCs/>
              </w:rPr>
              <w:t>seconds_flag</w:t>
            </w:r>
          </w:p>
        </w:tc>
        <w:tc>
          <w:tcPr>
            <w:tcW w:w="1331" w:type="dxa"/>
            <w:tcBorders>
              <w:top w:val="single" w:sz="4" w:space="0" w:color="auto"/>
              <w:left w:val="single" w:sz="4" w:space="0" w:color="auto"/>
              <w:bottom w:val="single" w:sz="4" w:space="0" w:color="auto"/>
              <w:right w:val="single" w:sz="4" w:space="0" w:color="auto"/>
            </w:tcBorders>
            <w:vAlign w:val="center"/>
          </w:tcPr>
          <w:p w14:paraId="169F4130" w14:textId="77777777" w:rsidR="00105498" w:rsidRPr="00A52AB8" w:rsidRDefault="00105498" w:rsidP="009C6742">
            <w:pPr>
              <w:pStyle w:val="tablesyntax"/>
              <w:keepNext w:val="0"/>
              <w:keepLines w:val="0"/>
              <w:jc w:val="center"/>
              <w:rPr>
                <w:rFonts w:ascii="Cambria" w:hAnsi="Cambria"/>
                <w:bCs/>
              </w:rPr>
            </w:pPr>
            <w:r w:rsidRPr="00A52AB8">
              <w:rPr>
                <w:rFonts w:ascii="Cambria" w:hAnsi="Cambria"/>
                <w:bCs/>
              </w:rPr>
              <w:t>u(1)</w:t>
            </w:r>
          </w:p>
        </w:tc>
      </w:tr>
      <w:tr w:rsidR="00CA4039" w:rsidRPr="00A52AB8" w14:paraId="2AEEA2C7" w14:textId="77777777" w:rsidTr="00DD05B6">
        <w:trPr>
          <w:cantSplit/>
          <w:jc w:val="center"/>
        </w:trPr>
        <w:tc>
          <w:tcPr>
            <w:tcW w:w="8411" w:type="dxa"/>
            <w:tcBorders>
              <w:top w:val="single" w:sz="4" w:space="0" w:color="auto"/>
              <w:left w:val="single" w:sz="4" w:space="0" w:color="auto"/>
              <w:bottom w:val="single" w:sz="4" w:space="0" w:color="auto"/>
              <w:right w:val="single" w:sz="4" w:space="0" w:color="auto"/>
            </w:tcBorders>
          </w:tcPr>
          <w:p w14:paraId="3E988E05" w14:textId="5D48062B" w:rsidR="00105498" w:rsidRPr="00A52AB8" w:rsidRDefault="00105498" w:rsidP="009C6742">
            <w:pPr>
              <w:pStyle w:val="tablesyntax"/>
              <w:keepNext w:val="0"/>
              <w:keepLines w:val="0"/>
              <w:spacing w:before="20" w:after="40"/>
              <w:rPr>
                <w:rFonts w:ascii="Cambria" w:hAnsi="Cambria"/>
              </w:rPr>
            </w:pPr>
            <w:r w:rsidRPr="00A52AB8">
              <w:rPr>
                <w:rFonts w:ascii="Cambria" w:hAnsi="Cambria"/>
              </w:rPr>
              <w:tab/>
            </w:r>
            <w:r w:rsidRPr="00A52AB8">
              <w:rPr>
                <w:rFonts w:ascii="Cambria" w:hAnsi="Cambria"/>
              </w:rPr>
              <w:tab/>
              <w:t>if(</w:t>
            </w:r>
            <w:r w:rsidR="0058306B" w:rsidRPr="00A52AB8">
              <w:rPr>
                <w:rFonts w:ascii="Cambria" w:hAnsi="Cambria"/>
              </w:rPr>
              <w:t> </w:t>
            </w:r>
            <w:r w:rsidRPr="00A52AB8">
              <w:rPr>
                <w:rFonts w:ascii="Cambria" w:hAnsi="Cambria"/>
              </w:rPr>
              <w:t>seconds_flag</w:t>
            </w:r>
            <w:r w:rsidR="0058306B" w:rsidRPr="00A52AB8">
              <w:rPr>
                <w:rFonts w:ascii="Cambria" w:hAnsi="Cambria"/>
              </w:rPr>
              <w:t> </w:t>
            </w:r>
            <w:r w:rsidR="008F1F82" w:rsidRPr="00A52AB8">
              <w:rPr>
                <w:rFonts w:ascii="Cambria" w:hAnsi="Cambria"/>
              </w:rPr>
              <w:t>) {</w:t>
            </w:r>
          </w:p>
        </w:tc>
        <w:tc>
          <w:tcPr>
            <w:tcW w:w="1331" w:type="dxa"/>
            <w:tcBorders>
              <w:top w:val="single" w:sz="4" w:space="0" w:color="auto"/>
              <w:left w:val="single" w:sz="4" w:space="0" w:color="auto"/>
              <w:bottom w:val="single" w:sz="4" w:space="0" w:color="auto"/>
              <w:right w:val="single" w:sz="4" w:space="0" w:color="auto"/>
            </w:tcBorders>
            <w:vAlign w:val="center"/>
          </w:tcPr>
          <w:p w14:paraId="7D8D25C3" w14:textId="77777777" w:rsidR="00105498" w:rsidRPr="00A52AB8" w:rsidRDefault="00105498" w:rsidP="009C6742">
            <w:pPr>
              <w:pStyle w:val="tablesyntax"/>
              <w:keepNext w:val="0"/>
              <w:keepLines w:val="0"/>
              <w:jc w:val="center"/>
              <w:rPr>
                <w:rFonts w:ascii="Cambria" w:hAnsi="Cambria"/>
                <w:bCs/>
              </w:rPr>
            </w:pPr>
          </w:p>
        </w:tc>
      </w:tr>
      <w:tr w:rsidR="00CA4039" w:rsidRPr="00A52AB8" w14:paraId="696295ED" w14:textId="77777777" w:rsidTr="00DD05B6">
        <w:trPr>
          <w:cantSplit/>
          <w:jc w:val="center"/>
        </w:trPr>
        <w:tc>
          <w:tcPr>
            <w:tcW w:w="8411" w:type="dxa"/>
            <w:tcBorders>
              <w:top w:val="single" w:sz="4" w:space="0" w:color="auto"/>
              <w:left w:val="single" w:sz="4" w:space="0" w:color="auto"/>
              <w:bottom w:val="single" w:sz="4" w:space="0" w:color="auto"/>
              <w:right w:val="single" w:sz="4" w:space="0" w:color="auto"/>
            </w:tcBorders>
          </w:tcPr>
          <w:p w14:paraId="1FE7665D" w14:textId="77777777" w:rsidR="00105498" w:rsidRPr="00A52AB8" w:rsidRDefault="00105498" w:rsidP="009C6742">
            <w:pPr>
              <w:pStyle w:val="tablesyntax"/>
              <w:keepNext w:val="0"/>
              <w:keepLines w:val="0"/>
              <w:spacing w:before="20" w:after="40"/>
              <w:rPr>
                <w:rFonts w:ascii="Cambria" w:hAnsi="Cambria"/>
              </w:rPr>
            </w:pPr>
            <w:r w:rsidRPr="00A52AB8">
              <w:rPr>
                <w:rFonts w:ascii="Cambria" w:hAnsi="Cambria"/>
              </w:rPr>
              <w:tab/>
            </w:r>
            <w:r w:rsidRPr="00A52AB8">
              <w:rPr>
                <w:rFonts w:ascii="Cambria" w:hAnsi="Cambria"/>
              </w:rPr>
              <w:tab/>
            </w:r>
            <w:r w:rsidRPr="00A52AB8">
              <w:rPr>
                <w:rFonts w:ascii="Cambria" w:hAnsi="Cambria"/>
              </w:rPr>
              <w:tab/>
            </w:r>
            <w:r w:rsidRPr="00A52AB8">
              <w:rPr>
                <w:rFonts w:ascii="Cambria" w:hAnsi="Cambria"/>
                <w:b/>
                <w:bCs/>
              </w:rPr>
              <w:t>seconds_value</w:t>
            </w:r>
            <w:r w:rsidRPr="00A52AB8">
              <w:rPr>
                <w:rFonts w:ascii="Cambria" w:hAnsi="Cambria"/>
              </w:rPr>
              <w:t xml:space="preserve"> /* range 0..59 */</w:t>
            </w:r>
          </w:p>
        </w:tc>
        <w:tc>
          <w:tcPr>
            <w:tcW w:w="1331" w:type="dxa"/>
            <w:tcBorders>
              <w:top w:val="single" w:sz="4" w:space="0" w:color="auto"/>
              <w:left w:val="single" w:sz="4" w:space="0" w:color="auto"/>
              <w:bottom w:val="single" w:sz="4" w:space="0" w:color="auto"/>
              <w:right w:val="single" w:sz="4" w:space="0" w:color="auto"/>
            </w:tcBorders>
            <w:vAlign w:val="center"/>
          </w:tcPr>
          <w:p w14:paraId="0B4ECEDC" w14:textId="77777777" w:rsidR="00105498" w:rsidRPr="00A52AB8" w:rsidRDefault="00105498" w:rsidP="009C6742">
            <w:pPr>
              <w:pStyle w:val="tablesyntax"/>
              <w:keepNext w:val="0"/>
              <w:keepLines w:val="0"/>
              <w:jc w:val="center"/>
              <w:rPr>
                <w:rFonts w:ascii="Cambria" w:hAnsi="Cambria"/>
                <w:bCs/>
              </w:rPr>
            </w:pPr>
            <w:r w:rsidRPr="00A52AB8">
              <w:rPr>
                <w:rFonts w:ascii="Cambria" w:hAnsi="Cambria"/>
                <w:bCs/>
              </w:rPr>
              <w:t>u(6)</w:t>
            </w:r>
          </w:p>
        </w:tc>
      </w:tr>
      <w:tr w:rsidR="00CA4039" w:rsidRPr="00A52AB8" w14:paraId="50F14A26" w14:textId="77777777" w:rsidTr="00DD05B6">
        <w:trPr>
          <w:cantSplit/>
          <w:jc w:val="center"/>
        </w:trPr>
        <w:tc>
          <w:tcPr>
            <w:tcW w:w="8411" w:type="dxa"/>
            <w:tcBorders>
              <w:top w:val="single" w:sz="4" w:space="0" w:color="auto"/>
              <w:left w:val="single" w:sz="4" w:space="0" w:color="auto"/>
              <w:bottom w:val="single" w:sz="4" w:space="0" w:color="auto"/>
              <w:right w:val="single" w:sz="4" w:space="0" w:color="auto"/>
            </w:tcBorders>
          </w:tcPr>
          <w:p w14:paraId="061E944C" w14:textId="77777777" w:rsidR="00105498" w:rsidRPr="00A52AB8" w:rsidRDefault="00105498" w:rsidP="009C6742">
            <w:pPr>
              <w:pStyle w:val="tablesyntax"/>
              <w:keepNext w:val="0"/>
              <w:keepLines w:val="0"/>
              <w:spacing w:before="20" w:after="40"/>
              <w:rPr>
                <w:rFonts w:ascii="Cambria" w:hAnsi="Cambria"/>
                <w:b/>
                <w:bCs/>
              </w:rPr>
            </w:pPr>
            <w:r w:rsidRPr="00A52AB8">
              <w:rPr>
                <w:rFonts w:ascii="Cambria" w:hAnsi="Cambria"/>
              </w:rPr>
              <w:tab/>
            </w:r>
            <w:r w:rsidRPr="00A52AB8">
              <w:rPr>
                <w:rFonts w:ascii="Cambria" w:hAnsi="Cambria"/>
              </w:rPr>
              <w:tab/>
            </w:r>
            <w:r w:rsidRPr="00A52AB8">
              <w:rPr>
                <w:rFonts w:ascii="Cambria" w:hAnsi="Cambria"/>
              </w:rPr>
              <w:tab/>
            </w:r>
            <w:r w:rsidRPr="00A52AB8">
              <w:rPr>
                <w:rFonts w:ascii="Cambria" w:hAnsi="Cambria"/>
                <w:b/>
                <w:bCs/>
              </w:rPr>
              <w:t>minutes_flag</w:t>
            </w:r>
          </w:p>
        </w:tc>
        <w:tc>
          <w:tcPr>
            <w:tcW w:w="1331" w:type="dxa"/>
            <w:tcBorders>
              <w:top w:val="single" w:sz="4" w:space="0" w:color="auto"/>
              <w:left w:val="single" w:sz="4" w:space="0" w:color="auto"/>
              <w:bottom w:val="single" w:sz="4" w:space="0" w:color="auto"/>
              <w:right w:val="single" w:sz="4" w:space="0" w:color="auto"/>
            </w:tcBorders>
            <w:vAlign w:val="center"/>
          </w:tcPr>
          <w:p w14:paraId="5E2BCA00" w14:textId="77777777" w:rsidR="00105498" w:rsidRPr="00A52AB8" w:rsidRDefault="00105498" w:rsidP="009C6742">
            <w:pPr>
              <w:pStyle w:val="tablesyntax"/>
              <w:keepNext w:val="0"/>
              <w:keepLines w:val="0"/>
              <w:jc w:val="center"/>
              <w:rPr>
                <w:rFonts w:ascii="Cambria" w:hAnsi="Cambria"/>
                <w:bCs/>
              </w:rPr>
            </w:pPr>
            <w:r w:rsidRPr="00A52AB8">
              <w:rPr>
                <w:rFonts w:ascii="Cambria" w:hAnsi="Cambria"/>
                <w:bCs/>
              </w:rPr>
              <w:t>u(1)</w:t>
            </w:r>
          </w:p>
        </w:tc>
      </w:tr>
      <w:tr w:rsidR="00CA4039" w:rsidRPr="00A52AB8" w14:paraId="3DC83587" w14:textId="77777777" w:rsidTr="00DD05B6">
        <w:trPr>
          <w:cantSplit/>
          <w:jc w:val="center"/>
        </w:trPr>
        <w:tc>
          <w:tcPr>
            <w:tcW w:w="8411" w:type="dxa"/>
            <w:tcBorders>
              <w:top w:val="single" w:sz="4" w:space="0" w:color="auto"/>
              <w:left w:val="single" w:sz="4" w:space="0" w:color="auto"/>
              <w:bottom w:val="single" w:sz="4" w:space="0" w:color="auto"/>
              <w:right w:val="single" w:sz="4" w:space="0" w:color="auto"/>
            </w:tcBorders>
          </w:tcPr>
          <w:p w14:paraId="53B68013" w14:textId="50D1645D" w:rsidR="00105498" w:rsidRPr="00A52AB8" w:rsidRDefault="00105498" w:rsidP="009C6742">
            <w:pPr>
              <w:pStyle w:val="tablesyntax"/>
              <w:keepNext w:val="0"/>
              <w:keepLines w:val="0"/>
              <w:spacing w:before="20" w:after="40"/>
              <w:rPr>
                <w:rFonts w:ascii="Cambria" w:hAnsi="Cambria"/>
              </w:rPr>
            </w:pPr>
            <w:r w:rsidRPr="00A52AB8">
              <w:rPr>
                <w:rFonts w:ascii="Cambria" w:hAnsi="Cambria"/>
              </w:rPr>
              <w:tab/>
            </w:r>
            <w:r w:rsidRPr="00A52AB8">
              <w:rPr>
                <w:rFonts w:ascii="Cambria" w:hAnsi="Cambria"/>
              </w:rPr>
              <w:tab/>
            </w:r>
            <w:r w:rsidRPr="00A52AB8">
              <w:rPr>
                <w:rFonts w:ascii="Cambria" w:hAnsi="Cambria"/>
              </w:rPr>
              <w:tab/>
              <w:t>if(</w:t>
            </w:r>
            <w:r w:rsidR="0058306B" w:rsidRPr="00A52AB8">
              <w:rPr>
                <w:rFonts w:ascii="Cambria" w:hAnsi="Cambria"/>
              </w:rPr>
              <w:t> </w:t>
            </w:r>
            <w:r w:rsidRPr="00A52AB8">
              <w:rPr>
                <w:rFonts w:ascii="Cambria" w:hAnsi="Cambria"/>
              </w:rPr>
              <w:t>minutes_flag</w:t>
            </w:r>
            <w:r w:rsidR="0058306B" w:rsidRPr="00A52AB8">
              <w:rPr>
                <w:rFonts w:ascii="Cambria" w:hAnsi="Cambria"/>
              </w:rPr>
              <w:t> </w:t>
            </w:r>
            <w:r w:rsidR="008F1F82" w:rsidRPr="00A52AB8">
              <w:rPr>
                <w:rFonts w:ascii="Cambria" w:hAnsi="Cambria"/>
              </w:rPr>
              <w:t>) {</w:t>
            </w:r>
          </w:p>
        </w:tc>
        <w:tc>
          <w:tcPr>
            <w:tcW w:w="1331" w:type="dxa"/>
            <w:tcBorders>
              <w:top w:val="single" w:sz="4" w:space="0" w:color="auto"/>
              <w:left w:val="single" w:sz="4" w:space="0" w:color="auto"/>
              <w:bottom w:val="single" w:sz="4" w:space="0" w:color="auto"/>
              <w:right w:val="single" w:sz="4" w:space="0" w:color="auto"/>
            </w:tcBorders>
            <w:vAlign w:val="center"/>
          </w:tcPr>
          <w:p w14:paraId="1B5C44CD" w14:textId="77777777" w:rsidR="00105498" w:rsidRPr="00A52AB8" w:rsidRDefault="00105498" w:rsidP="009C6742">
            <w:pPr>
              <w:pStyle w:val="tablesyntax"/>
              <w:keepNext w:val="0"/>
              <w:keepLines w:val="0"/>
              <w:jc w:val="center"/>
              <w:rPr>
                <w:rFonts w:ascii="Cambria" w:hAnsi="Cambria"/>
                <w:bCs/>
              </w:rPr>
            </w:pPr>
          </w:p>
        </w:tc>
      </w:tr>
      <w:tr w:rsidR="00CA4039" w:rsidRPr="00A52AB8" w14:paraId="532EEDBE" w14:textId="77777777" w:rsidTr="00DD05B6">
        <w:trPr>
          <w:cantSplit/>
          <w:jc w:val="center"/>
        </w:trPr>
        <w:tc>
          <w:tcPr>
            <w:tcW w:w="8411" w:type="dxa"/>
            <w:tcBorders>
              <w:top w:val="single" w:sz="4" w:space="0" w:color="auto"/>
              <w:left w:val="single" w:sz="4" w:space="0" w:color="auto"/>
              <w:bottom w:val="single" w:sz="4" w:space="0" w:color="auto"/>
              <w:right w:val="single" w:sz="4" w:space="0" w:color="auto"/>
            </w:tcBorders>
          </w:tcPr>
          <w:p w14:paraId="44BA59B4" w14:textId="77777777" w:rsidR="00105498" w:rsidRPr="00A52AB8" w:rsidRDefault="00105498" w:rsidP="009C6742">
            <w:pPr>
              <w:pStyle w:val="tablesyntax"/>
              <w:keepNext w:val="0"/>
              <w:keepLines w:val="0"/>
              <w:spacing w:before="20" w:after="40"/>
              <w:rPr>
                <w:rFonts w:ascii="Cambria" w:hAnsi="Cambria"/>
              </w:rPr>
            </w:pPr>
            <w:r w:rsidRPr="00A52AB8">
              <w:rPr>
                <w:rFonts w:ascii="Cambria" w:hAnsi="Cambria"/>
              </w:rPr>
              <w:tab/>
            </w:r>
            <w:r w:rsidRPr="00A52AB8">
              <w:rPr>
                <w:rFonts w:ascii="Cambria" w:hAnsi="Cambria"/>
              </w:rPr>
              <w:tab/>
            </w:r>
            <w:r w:rsidRPr="00A52AB8">
              <w:rPr>
                <w:rFonts w:ascii="Cambria" w:hAnsi="Cambria"/>
              </w:rPr>
              <w:tab/>
            </w:r>
            <w:r w:rsidRPr="00A52AB8">
              <w:rPr>
                <w:rFonts w:ascii="Cambria" w:hAnsi="Cambria"/>
              </w:rPr>
              <w:tab/>
            </w:r>
            <w:r w:rsidRPr="00A52AB8">
              <w:rPr>
                <w:rFonts w:ascii="Cambria" w:hAnsi="Cambria"/>
                <w:b/>
                <w:bCs/>
              </w:rPr>
              <w:t>minutes_value</w:t>
            </w:r>
            <w:r w:rsidRPr="00A52AB8">
              <w:rPr>
                <w:rFonts w:ascii="Cambria" w:hAnsi="Cambria"/>
              </w:rPr>
              <w:t xml:space="preserve"> /* 0..59 */</w:t>
            </w:r>
          </w:p>
        </w:tc>
        <w:tc>
          <w:tcPr>
            <w:tcW w:w="1331" w:type="dxa"/>
            <w:tcBorders>
              <w:top w:val="single" w:sz="4" w:space="0" w:color="auto"/>
              <w:left w:val="single" w:sz="4" w:space="0" w:color="auto"/>
              <w:bottom w:val="single" w:sz="4" w:space="0" w:color="auto"/>
              <w:right w:val="single" w:sz="4" w:space="0" w:color="auto"/>
            </w:tcBorders>
            <w:vAlign w:val="center"/>
          </w:tcPr>
          <w:p w14:paraId="3C102A2E" w14:textId="77777777" w:rsidR="00105498" w:rsidRPr="00A52AB8" w:rsidRDefault="00105498" w:rsidP="009C6742">
            <w:pPr>
              <w:pStyle w:val="tablesyntax"/>
              <w:keepNext w:val="0"/>
              <w:keepLines w:val="0"/>
              <w:jc w:val="center"/>
              <w:rPr>
                <w:rFonts w:ascii="Cambria" w:hAnsi="Cambria"/>
                <w:bCs/>
              </w:rPr>
            </w:pPr>
            <w:r w:rsidRPr="00A52AB8">
              <w:rPr>
                <w:rFonts w:ascii="Cambria" w:hAnsi="Cambria"/>
                <w:bCs/>
              </w:rPr>
              <w:t>u(6)</w:t>
            </w:r>
          </w:p>
        </w:tc>
      </w:tr>
      <w:tr w:rsidR="00CA4039" w:rsidRPr="00A52AB8" w14:paraId="02EAC377" w14:textId="77777777" w:rsidTr="00DD05B6">
        <w:trPr>
          <w:cantSplit/>
          <w:jc w:val="center"/>
        </w:trPr>
        <w:tc>
          <w:tcPr>
            <w:tcW w:w="8411" w:type="dxa"/>
            <w:tcBorders>
              <w:top w:val="single" w:sz="4" w:space="0" w:color="auto"/>
              <w:left w:val="single" w:sz="4" w:space="0" w:color="auto"/>
              <w:bottom w:val="single" w:sz="4" w:space="0" w:color="auto"/>
              <w:right w:val="single" w:sz="4" w:space="0" w:color="auto"/>
            </w:tcBorders>
          </w:tcPr>
          <w:p w14:paraId="4A63735B" w14:textId="77777777" w:rsidR="00105498" w:rsidRPr="00A52AB8" w:rsidRDefault="00105498" w:rsidP="009C6742">
            <w:pPr>
              <w:pStyle w:val="tablesyntax"/>
              <w:keepNext w:val="0"/>
              <w:keepLines w:val="0"/>
              <w:spacing w:before="20" w:after="40"/>
              <w:rPr>
                <w:rFonts w:ascii="Cambria" w:hAnsi="Cambria"/>
                <w:b/>
                <w:bCs/>
              </w:rPr>
            </w:pPr>
            <w:r w:rsidRPr="00A52AB8">
              <w:rPr>
                <w:rFonts w:ascii="Cambria" w:hAnsi="Cambria"/>
              </w:rPr>
              <w:tab/>
            </w:r>
            <w:r w:rsidRPr="00A52AB8">
              <w:rPr>
                <w:rFonts w:ascii="Cambria" w:hAnsi="Cambria"/>
              </w:rPr>
              <w:tab/>
            </w:r>
            <w:r w:rsidRPr="00A52AB8">
              <w:rPr>
                <w:rFonts w:ascii="Cambria" w:hAnsi="Cambria"/>
              </w:rPr>
              <w:tab/>
            </w:r>
            <w:r w:rsidRPr="00A52AB8">
              <w:rPr>
                <w:rFonts w:ascii="Cambria" w:hAnsi="Cambria"/>
              </w:rPr>
              <w:tab/>
            </w:r>
            <w:r w:rsidRPr="00A52AB8">
              <w:rPr>
                <w:rFonts w:ascii="Cambria" w:hAnsi="Cambria"/>
                <w:b/>
                <w:bCs/>
              </w:rPr>
              <w:t>hours_flag</w:t>
            </w:r>
          </w:p>
        </w:tc>
        <w:tc>
          <w:tcPr>
            <w:tcW w:w="1331" w:type="dxa"/>
            <w:tcBorders>
              <w:top w:val="single" w:sz="4" w:space="0" w:color="auto"/>
              <w:left w:val="single" w:sz="4" w:space="0" w:color="auto"/>
              <w:bottom w:val="single" w:sz="4" w:space="0" w:color="auto"/>
              <w:right w:val="single" w:sz="4" w:space="0" w:color="auto"/>
            </w:tcBorders>
            <w:vAlign w:val="center"/>
          </w:tcPr>
          <w:p w14:paraId="644D4206" w14:textId="77777777" w:rsidR="00105498" w:rsidRPr="00A52AB8" w:rsidRDefault="00105498" w:rsidP="009C6742">
            <w:pPr>
              <w:pStyle w:val="tablesyntax"/>
              <w:keepNext w:val="0"/>
              <w:keepLines w:val="0"/>
              <w:jc w:val="center"/>
              <w:rPr>
                <w:rFonts w:ascii="Cambria" w:hAnsi="Cambria"/>
                <w:bCs/>
              </w:rPr>
            </w:pPr>
            <w:r w:rsidRPr="00A52AB8">
              <w:rPr>
                <w:rFonts w:ascii="Cambria" w:hAnsi="Cambria"/>
                <w:bCs/>
              </w:rPr>
              <w:t>u(1)</w:t>
            </w:r>
          </w:p>
        </w:tc>
      </w:tr>
      <w:tr w:rsidR="00CA4039" w:rsidRPr="00A52AB8" w14:paraId="73C5563D" w14:textId="77777777" w:rsidTr="00DD05B6">
        <w:trPr>
          <w:cantSplit/>
          <w:jc w:val="center"/>
        </w:trPr>
        <w:tc>
          <w:tcPr>
            <w:tcW w:w="8411" w:type="dxa"/>
            <w:tcBorders>
              <w:top w:val="single" w:sz="4" w:space="0" w:color="auto"/>
              <w:left w:val="single" w:sz="4" w:space="0" w:color="auto"/>
              <w:bottom w:val="single" w:sz="4" w:space="0" w:color="auto"/>
              <w:right w:val="single" w:sz="4" w:space="0" w:color="auto"/>
            </w:tcBorders>
          </w:tcPr>
          <w:p w14:paraId="03595332" w14:textId="75BF4D9A" w:rsidR="00105498" w:rsidRPr="00A52AB8" w:rsidRDefault="00105498" w:rsidP="009C6742">
            <w:pPr>
              <w:pStyle w:val="tablesyntax"/>
              <w:keepNext w:val="0"/>
              <w:keepLines w:val="0"/>
              <w:spacing w:before="20" w:after="40"/>
              <w:rPr>
                <w:rFonts w:ascii="Cambria" w:hAnsi="Cambria"/>
              </w:rPr>
            </w:pPr>
            <w:r w:rsidRPr="00A52AB8">
              <w:rPr>
                <w:rFonts w:ascii="Cambria" w:hAnsi="Cambria"/>
              </w:rPr>
              <w:tab/>
            </w:r>
            <w:r w:rsidRPr="00A52AB8">
              <w:rPr>
                <w:rFonts w:ascii="Cambria" w:hAnsi="Cambria"/>
              </w:rPr>
              <w:tab/>
            </w:r>
            <w:r w:rsidRPr="00A52AB8">
              <w:rPr>
                <w:rFonts w:ascii="Cambria" w:hAnsi="Cambria"/>
              </w:rPr>
              <w:tab/>
            </w:r>
            <w:r w:rsidRPr="00A52AB8">
              <w:rPr>
                <w:rFonts w:ascii="Cambria" w:hAnsi="Cambria"/>
              </w:rPr>
              <w:tab/>
              <w:t>if(</w:t>
            </w:r>
            <w:r w:rsidR="0058306B" w:rsidRPr="00A52AB8">
              <w:rPr>
                <w:rFonts w:ascii="Cambria" w:hAnsi="Cambria"/>
              </w:rPr>
              <w:t> </w:t>
            </w:r>
            <w:r w:rsidRPr="00A52AB8">
              <w:rPr>
                <w:rFonts w:ascii="Cambria" w:hAnsi="Cambria"/>
              </w:rPr>
              <w:t>hours_flag</w:t>
            </w:r>
            <w:r w:rsidR="0058306B" w:rsidRPr="00A52AB8">
              <w:rPr>
                <w:rFonts w:ascii="Cambria" w:hAnsi="Cambria"/>
              </w:rPr>
              <w:t> </w:t>
            </w:r>
            <w:r w:rsidRPr="00A52AB8">
              <w:rPr>
                <w:rFonts w:ascii="Cambria" w:hAnsi="Cambria"/>
              </w:rPr>
              <w:t>)</w:t>
            </w:r>
          </w:p>
        </w:tc>
        <w:tc>
          <w:tcPr>
            <w:tcW w:w="1331" w:type="dxa"/>
            <w:tcBorders>
              <w:top w:val="single" w:sz="4" w:space="0" w:color="auto"/>
              <w:left w:val="single" w:sz="4" w:space="0" w:color="auto"/>
              <w:bottom w:val="single" w:sz="4" w:space="0" w:color="auto"/>
              <w:right w:val="single" w:sz="4" w:space="0" w:color="auto"/>
            </w:tcBorders>
            <w:vAlign w:val="center"/>
          </w:tcPr>
          <w:p w14:paraId="14D96A07" w14:textId="77777777" w:rsidR="00105498" w:rsidRPr="00A52AB8" w:rsidRDefault="00105498" w:rsidP="009C6742">
            <w:pPr>
              <w:pStyle w:val="tablesyntax"/>
              <w:keepNext w:val="0"/>
              <w:keepLines w:val="0"/>
              <w:jc w:val="center"/>
              <w:rPr>
                <w:rFonts w:ascii="Cambria" w:hAnsi="Cambria"/>
                <w:bCs/>
              </w:rPr>
            </w:pPr>
          </w:p>
        </w:tc>
      </w:tr>
      <w:tr w:rsidR="00CA4039" w:rsidRPr="00A52AB8" w14:paraId="129A978A" w14:textId="77777777" w:rsidTr="00DD05B6">
        <w:trPr>
          <w:cantSplit/>
          <w:jc w:val="center"/>
        </w:trPr>
        <w:tc>
          <w:tcPr>
            <w:tcW w:w="8411" w:type="dxa"/>
            <w:tcBorders>
              <w:top w:val="single" w:sz="4" w:space="0" w:color="auto"/>
              <w:left w:val="single" w:sz="4" w:space="0" w:color="auto"/>
              <w:bottom w:val="single" w:sz="4" w:space="0" w:color="auto"/>
              <w:right w:val="single" w:sz="4" w:space="0" w:color="auto"/>
            </w:tcBorders>
          </w:tcPr>
          <w:p w14:paraId="748A4C98" w14:textId="77777777" w:rsidR="00105498" w:rsidRPr="00A52AB8" w:rsidRDefault="00105498" w:rsidP="009C6742">
            <w:pPr>
              <w:pStyle w:val="tablesyntax"/>
              <w:keepNext w:val="0"/>
              <w:keepLines w:val="0"/>
              <w:spacing w:before="20" w:after="40"/>
              <w:rPr>
                <w:rFonts w:ascii="Cambria" w:hAnsi="Cambria"/>
              </w:rPr>
            </w:pPr>
            <w:r w:rsidRPr="00A52AB8">
              <w:rPr>
                <w:rFonts w:ascii="Cambria" w:hAnsi="Cambria"/>
              </w:rPr>
              <w:tab/>
            </w:r>
            <w:r w:rsidRPr="00A52AB8">
              <w:rPr>
                <w:rFonts w:ascii="Cambria" w:hAnsi="Cambria"/>
              </w:rPr>
              <w:tab/>
            </w:r>
            <w:r w:rsidRPr="00A52AB8">
              <w:rPr>
                <w:rFonts w:ascii="Cambria" w:hAnsi="Cambria"/>
              </w:rPr>
              <w:tab/>
            </w:r>
            <w:r w:rsidRPr="00A52AB8">
              <w:rPr>
                <w:rFonts w:ascii="Cambria" w:hAnsi="Cambria"/>
              </w:rPr>
              <w:tab/>
            </w:r>
            <w:r w:rsidRPr="00A52AB8">
              <w:rPr>
                <w:rFonts w:ascii="Cambria" w:hAnsi="Cambria"/>
              </w:rPr>
              <w:tab/>
            </w:r>
            <w:r w:rsidRPr="00A52AB8">
              <w:rPr>
                <w:rFonts w:ascii="Cambria" w:hAnsi="Cambria"/>
                <w:b/>
                <w:bCs/>
              </w:rPr>
              <w:t>hours_value</w:t>
            </w:r>
            <w:r w:rsidRPr="00A52AB8">
              <w:rPr>
                <w:rFonts w:ascii="Cambria" w:hAnsi="Cambria"/>
              </w:rPr>
              <w:t xml:space="preserve"> /* 0..23 */</w:t>
            </w:r>
          </w:p>
        </w:tc>
        <w:tc>
          <w:tcPr>
            <w:tcW w:w="1331" w:type="dxa"/>
            <w:tcBorders>
              <w:top w:val="single" w:sz="4" w:space="0" w:color="auto"/>
              <w:left w:val="single" w:sz="4" w:space="0" w:color="auto"/>
              <w:bottom w:val="single" w:sz="4" w:space="0" w:color="auto"/>
              <w:right w:val="single" w:sz="4" w:space="0" w:color="auto"/>
            </w:tcBorders>
            <w:vAlign w:val="center"/>
          </w:tcPr>
          <w:p w14:paraId="78A95123" w14:textId="77777777" w:rsidR="00105498" w:rsidRPr="00A52AB8" w:rsidRDefault="00105498" w:rsidP="009C6742">
            <w:pPr>
              <w:pStyle w:val="tablesyntax"/>
              <w:keepNext w:val="0"/>
              <w:keepLines w:val="0"/>
              <w:jc w:val="center"/>
              <w:rPr>
                <w:rFonts w:ascii="Cambria" w:hAnsi="Cambria"/>
                <w:bCs/>
              </w:rPr>
            </w:pPr>
            <w:r w:rsidRPr="00A52AB8">
              <w:rPr>
                <w:rFonts w:ascii="Cambria" w:hAnsi="Cambria"/>
                <w:bCs/>
              </w:rPr>
              <w:t>u(5)</w:t>
            </w:r>
          </w:p>
        </w:tc>
      </w:tr>
      <w:tr w:rsidR="00CA4039" w:rsidRPr="00A52AB8" w14:paraId="2D6461EE" w14:textId="77777777" w:rsidTr="00DD05B6">
        <w:trPr>
          <w:cantSplit/>
          <w:jc w:val="center"/>
        </w:trPr>
        <w:tc>
          <w:tcPr>
            <w:tcW w:w="8411" w:type="dxa"/>
            <w:tcBorders>
              <w:top w:val="single" w:sz="4" w:space="0" w:color="auto"/>
              <w:left w:val="single" w:sz="4" w:space="0" w:color="auto"/>
              <w:bottom w:val="single" w:sz="4" w:space="0" w:color="auto"/>
              <w:right w:val="single" w:sz="4" w:space="0" w:color="auto"/>
            </w:tcBorders>
          </w:tcPr>
          <w:p w14:paraId="4FB44B4B" w14:textId="77777777" w:rsidR="00105498" w:rsidRPr="00A52AB8" w:rsidRDefault="00105498" w:rsidP="009C6742">
            <w:pPr>
              <w:pStyle w:val="tablesyntax"/>
              <w:keepNext w:val="0"/>
              <w:keepLines w:val="0"/>
              <w:spacing w:before="20" w:after="40"/>
              <w:rPr>
                <w:rFonts w:ascii="Cambria" w:hAnsi="Cambria"/>
              </w:rPr>
            </w:pPr>
            <w:r w:rsidRPr="00A52AB8">
              <w:rPr>
                <w:rFonts w:ascii="Cambria" w:hAnsi="Cambria"/>
              </w:rPr>
              <w:tab/>
            </w:r>
            <w:r w:rsidRPr="00A52AB8">
              <w:rPr>
                <w:rFonts w:ascii="Cambria" w:hAnsi="Cambria"/>
              </w:rPr>
              <w:tab/>
            </w:r>
            <w:r w:rsidRPr="00A52AB8">
              <w:rPr>
                <w:rFonts w:ascii="Cambria" w:hAnsi="Cambria"/>
              </w:rPr>
              <w:tab/>
              <w:t>}</w:t>
            </w:r>
          </w:p>
        </w:tc>
        <w:tc>
          <w:tcPr>
            <w:tcW w:w="1331" w:type="dxa"/>
            <w:tcBorders>
              <w:top w:val="single" w:sz="4" w:space="0" w:color="auto"/>
              <w:left w:val="single" w:sz="4" w:space="0" w:color="auto"/>
              <w:bottom w:val="single" w:sz="4" w:space="0" w:color="auto"/>
              <w:right w:val="single" w:sz="4" w:space="0" w:color="auto"/>
            </w:tcBorders>
            <w:vAlign w:val="center"/>
          </w:tcPr>
          <w:p w14:paraId="52B964FF" w14:textId="77777777" w:rsidR="00105498" w:rsidRPr="00A52AB8" w:rsidRDefault="00105498" w:rsidP="009C6742">
            <w:pPr>
              <w:pStyle w:val="tablesyntax"/>
              <w:keepNext w:val="0"/>
              <w:keepLines w:val="0"/>
              <w:jc w:val="center"/>
              <w:rPr>
                <w:rFonts w:ascii="Cambria" w:hAnsi="Cambria"/>
                <w:bCs/>
              </w:rPr>
            </w:pPr>
          </w:p>
        </w:tc>
      </w:tr>
      <w:tr w:rsidR="00CA4039" w:rsidRPr="00A52AB8" w14:paraId="400DDB2A" w14:textId="77777777" w:rsidTr="00DD05B6">
        <w:trPr>
          <w:cantSplit/>
          <w:jc w:val="center"/>
        </w:trPr>
        <w:tc>
          <w:tcPr>
            <w:tcW w:w="8411" w:type="dxa"/>
            <w:tcBorders>
              <w:top w:val="single" w:sz="4" w:space="0" w:color="auto"/>
              <w:left w:val="single" w:sz="4" w:space="0" w:color="auto"/>
              <w:bottom w:val="single" w:sz="4" w:space="0" w:color="auto"/>
              <w:right w:val="single" w:sz="4" w:space="0" w:color="auto"/>
            </w:tcBorders>
          </w:tcPr>
          <w:p w14:paraId="7F0DB263" w14:textId="77777777" w:rsidR="00105498" w:rsidRPr="00A52AB8" w:rsidRDefault="00105498" w:rsidP="009C6742">
            <w:pPr>
              <w:pStyle w:val="tablesyntax"/>
              <w:keepNext w:val="0"/>
              <w:keepLines w:val="0"/>
              <w:spacing w:before="20" w:after="40"/>
              <w:rPr>
                <w:rFonts w:ascii="Cambria" w:hAnsi="Cambria"/>
              </w:rPr>
            </w:pPr>
            <w:r w:rsidRPr="00A52AB8">
              <w:rPr>
                <w:rFonts w:ascii="Cambria" w:hAnsi="Cambria"/>
              </w:rPr>
              <w:tab/>
            </w:r>
            <w:r w:rsidRPr="00A52AB8">
              <w:rPr>
                <w:rFonts w:ascii="Cambria" w:hAnsi="Cambria"/>
              </w:rPr>
              <w:tab/>
              <w:t>}</w:t>
            </w:r>
          </w:p>
        </w:tc>
        <w:tc>
          <w:tcPr>
            <w:tcW w:w="1331" w:type="dxa"/>
            <w:tcBorders>
              <w:top w:val="single" w:sz="4" w:space="0" w:color="auto"/>
              <w:left w:val="single" w:sz="4" w:space="0" w:color="auto"/>
              <w:bottom w:val="single" w:sz="4" w:space="0" w:color="auto"/>
              <w:right w:val="single" w:sz="4" w:space="0" w:color="auto"/>
            </w:tcBorders>
            <w:vAlign w:val="center"/>
          </w:tcPr>
          <w:p w14:paraId="4B817261" w14:textId="77777777" w:rsidR="00105498" w:rsidRPr="00A52AB8" w:rsidRDefault="00105498" w:rsidP="009C6742">
            <w:pPr>
              <w:pStyle w:val="tablesyntax"/>
              <w:keepNext w:val="0"/>
              <w:keepLines w:val="0"/>
              <w:jc w:val="center"/>
              <w:rPr>
                <w:rFonts w:ascii="Cambria" w:hAnsi="Cambria"/>
                <w:bCs/>
              </w:rPr>
            </w:pPr>
          </w:p>
        </w:tc>
      </w:tr>
      <w:tr w:rsidR="00CA4039" w:rsidRPr="00A52AB8" w14:paraId="4230C330" w14:textId="77777777" w:rsidTr="00DD05B6">
        <w:trPr>
          <w:cantSplit/>
          <w:jc w:val="center"/>
        </w:trPr>
        <w:tc>
          <w:tcPr>
            <w:tcW w:w="8411" w:type="dxa"/>
            <w:tcBorders>
              <w:top w:val="single" w:sz="4" w:space="0" w:color="auto"/>
              <w:left w:val="single" w:sz="4" w:space="0" w:color="auto"/>
              <w:bottom w:val="single" w:sz="4" w:space="0" w:color="auto"/>
              <w:right w:val="single" w:sz="4" w:space="0" w:color="auto"/>
            </w:tcBorders>
          </w:tcPr>
          <w:p w14:paraId="6E9DB19F" w14:textId="77777777" w:rsidR="00105498" w:rsidRPr="00A52AB8" w:rsidRDefault="00105498" w:rsidP="009C6742">
            <w:pPr>
              <w:pStyle w:val="tablesyntax"/>
              <w:keepNext w:val="0"/>
              <w:keepLines w:val="0"/>
              <w:spacing w:before="20" w:after="40"/>
              <w:rPr>
                <w:rFonts w:ascii="Cambria" w:hAnsi="Cambria"/>
              </w:rPr>
            </w:pPr>
            <w:r w:rsidRPr="00A52AB8">
              <w:rPr>
                <w:rFonts w:ascii="Cambria" w:hAnsi="Cambria"/>
              </w:rPr>
              <w:tab/>
              <w:t>}</w:t>
            </w:r>
          </w:p>
        </w:tc>
        <w:tc>
          <w:tcPr>
            <w:tcW w:w="1331" w:type="dxa"/>
            <w:tcBorders>
              <w:top w:val="single" w:sz="4" w:space="0" w:color="auto"/>
              <w:left w:val="single" w:sz="4" w:space="0" w:color="auto"/>
              <w:bottom w:val="single" w:sz="4" w:space="0" w:color="auto"/>
              <w:right w:val="single" w:sz="4" w:space="0" w:color="auto"/>
            </w:tcBorders>
            <w:vAlign w:val="center"/>
          </w:tcPr>
          <w:p w14:paraId="32B41906" w14:textId="77777777" w:rsidR="00105498" w:rsidRPr="00A52AB8" w:rsidRDefault="00105498" w:rsidP="009C6742">
            <w:pPr>
              <w:pStyle w:val="tablesyntax"/>
              <w:keepNext w:val="0"/>
              <w:keepLines w:val="0"/>
              <w:jc w:val="center"/>
              <w:rPr>
                <w:rFonts w:ascii="Cambria" w:hAnsi="Cambria"/>
                <w:bCs/>
              </w:rPr>
            </w:pPr>
          </w:p>
        </w:tc>
      </w:tr>
      <w:tr w:rsidR="00CA4039" w:rsidRPr="00A52AB8" w14:paraId="05B9BC71" w14:textId="77777777" w:rsidTr="00DD05B6">
        <w:trPr>
          <w:cantSplit/>
          <w:jc w:val="center"/>
        </w:trPr>
        <w:tc>
          <w:tcPr>
            <w:tcW w:w="8411" w:type="dxa"/>
            <w:tcBorders>
              <w:top w:val="single" w:sz="4" w:space="0" w:color="auto"/>
              <w:left w:val="single" w:sz="4" w:space="0" w:color="auto"/>
              <w:bottom w:val="single" w:sz="4" w:space="0" w:color="auto"/>
              <w:right w:val="single" w:sz="4" w:space="0" w:color="auto"/>
            </w:tcBorders>
          </w:tcPr>
          <w:p w14:paraId="63BCD144" w14:textId="77777777" w:rsidR="00105498" w:rsidRPr="00A52AB8" w:rsidRDefault="00105498" w:rsidP="009C6742">
            <w:pPr>
              <w:pStyle w:val="tablesyntax"/>
              <w:keepNext w:val="0"/>
              <w:keepLines w:val="0"/>
              <w:spacing w:before="20" w:after="40"/>
              <w:rPr>
                <w:rFonts w:ascii="Cambria" w:hAnsi="Cambria"/>
                <w:b/>
                <w:bCs/>
              </w:rPr>
            </w:pPr>
            <w:r w:rsidRPr="00A52AB8">
              <w:rPr>
                <w:rFonts w:ascii="Cambria" w:hAnsi="Cambria"/>
              </w:rPr>
              <w:tab/>
            </w:r>
            <w:r w:rsidRPr="00A52AB8">
              <w:rPr>
                <w:rFonts w:ascii="Cambria" w:hAnsi="Cambria"/>
                <w:b/>
                <w:bCs/>
              </w:rPr>
              <w:t>time_offset_length</w:t>
            </w:r>
          </w:p>
        </w:tc>
        <w:tc>
          <w:tcPr>
            <w:tcW w:w="1331" w:type="dxa"/>
            <w:tcBorders>
              <w:top w:val="single" w:sz="4" w:space="0" w:color="auto"/>
              <w:left w:val="single" w:sz="4" w:space="0" w:color="auto"/>
              <w:bottom w:val="single" w:sz="4" w:space="0" w:color="auto"/>
              <w:right w:val="single" w:sz="4" w:space="0" w:color="auto"/>
            </w:tcBorders>
            <w:vAlign w:val="center"/>
          </w:tcPr>
          <w:p w14:paraId="5DB50CD2" w14:textId="77777777" w:rsidR="00105498" w:rsidRPr="00A52AB8" w:rsidRDefault="00105498" w:rsidP="009C6742">
            <w:pPr>
              <w:pStyle w:val="tablesyntax"/>
              <w:keepNext w:val="0"/>
              <w:keepLines w:val="0"/>
              <w:jc w:val="center"/>
              <w:rPr>
                <w:rFonts w:ascii="Cambria" w:hAnsi="Cambria"/>
                <w:bCs/>
              </w:rPr>
            </w:pPr>
            <w:r w:rsidRPr="00A52AB8">
              <w:rPr>
                <w:rFonts w:ascii="Cambria" w:hAnsi="Cambria"/>
                <w:bCs/>
              </w:rPr>
              <w:t>u(5)</w:t>
            </w:r>
          </w:p>
        </w:tc>
      </w:tr>
      <w:tr w:rsidR="00CA4039" w:rsidRPr="00A52AB8" w14:paraId="09FA40FA" w14:textId="77777777" w:rsidTr="00DD05B6">
        <w:trPr>
          <w:cantSplit/>
          <w:jc w:val="center"/>
        </w:trPr>
        <w:tc>
          <w:tcPr>
            <w:tcW w:w="8411" w:type="dxa"/>
            <w:tcBorders>
              <w:top w:val="single" w:sz="4" w:space="0" w:color="auto"/>
              <w:left w:val="single" w:sz="4" w:space="0" w:color="auto"/>
              <w:bottom w:val="single" w:sz="4" w:space="0" w:color="auto"/>
              <w:right w:val="single" w:sz="4" w:space="0" w:color="auto"/>
            </w:tcBorders>
          </w:tcPr>
          <w:p w14:paraId="417F00F6" w14:textId="14CEEB52" w:rsidR="00105498" w:rsidRPr="00A52AB8" w:rsidRDefault="00105498" w:rsidP="009C6742">
            <w:pPr>
              <w:pStyle w:val="tablesyntax"/>
              <w:keepNext w:val="0"/>
              <w:keepLines w:val="0"/>
              <w:spacing w:before="20" w:after="40"/>
              <w:rPr>
                <w:rFonts w:ascii="Cambria" w:hAnsi="Cambria"/>
              </w:rPr>
            </w:pPr>
            <w:r w:rsidRPr="00A52AB8">
              <w:rPr>
                <w:rFonts w:ascii="Cambria" w:hAnsi="Cambria"/>
              </w:rPr>
              <w:tab/>
              <w:t>if(</w:t>
            </w:r>
            <w:r w:rsidR="0058306B" w:rsidRPr="00A52AB8">
              <w:rPr>
                <w:rFonts w:ascii="Cambria" w:hAnsi="Cambria"/>
              </w:rPr>
              <w:t> </w:t>
            </w:r>
            <w:r w:rsidRPr="00A52AB8">
              <w:rPr>
                <w:rFonts w:ascii="Cambria" w:hAnsi="Cambria"/>
              </w:rPr>
              <w:t>time_offset_length</w:t>
            </w:r>
            <w:r w:rsidR="0058306B" w:rsidRPr="00A52AB8">
              <w:rPr>
                <w:rFonts w:ascii="Cambria" w:hAnsi="Cambria"/>
              </w:rPr>
              <w:t> </w:t>
            </w:r>
            <w:r w:rsidRPr="00A52AB8">
              <w:rPr>
                <w:rFonts w:ascii="Cambria" w:hAnsi="Cambria"/>
              </w:rPr>
              <w:t>&gt;</w:t>
            </w:r>
            <w:r w:rsidR="0058306B" w:rsidRPr="00A52AB8">
              <w:rPr>
                <w:rFonts w:ascii="Cambria" w:hAnsi="Cambria"/>
              </w:rPr>
              <w:t> </w:t>
            </w:r>
            <w:r w:rsidRPr="00A52AB8">
              <w:rPr>
                <w:rFonts w:ascii="Cambria" w:hAnsi="Cambria"/>
              </w:rPr>
              <w:t>0</w:t>
            </w:r>
            <w:r w:rsidR="0058306B" w:rsidRPr="00A52AB8">
              <w:rPr>
                <w:rFonts w:ascii="Cambria" w:hAnsi="Cambria"/>
              </w:rPr>
              <w:t> </w:t>
            </w:r>
            <w:r w:rsidRPr="00A52AB8">
              <w:rPr>
                <w:rFonts w:ascii="Cambria" w:hAnsi="Cambria"/>
              </w:rPr>
              <w:t>)</w:t>
            </w:r>
          </w:p>
        </w:tc>
        <w:tc>
          <w:tcPr>
            <w:tcW w:w="1331" w:type="dxa"/>
            <w:tcBorders>
              <w:top w:val="single" w:sz="4" w:space="0" w:color="auto"/>
              <w:left w:val="single" w:sz="4" w:space="0" w:color="auto"/>
              <w:bottom w:val="single" w:sz="4" w:space="0" w:color="auto"/>
              <w:right w:val="single" w:sz="4" w:space="0" w:color="auto"/>
            </w:tcBorders>
            <w:vAlign w:val="center"/>
          </w:tcPr>
          <w:p w14:paraId="4054A2E7" w14:textId="77777777" w:rsidR="00105498" w:rsidRPr="00A52AB8" w:rsidRDefault="00105498" w:rsidP="009C6742">
            <w:pPr>
              <w:pStyle w:val="tablesyntax"/>
              <w:keepNext w:val="0"/>
              <w:keepLines w:val="0"/>
              <w:jc w:val="center"/>
              <w:rPr>
                <w:rFonts w:ascii="Cambria" w:hAnsi="Cambria"/>
                <w:bCs/>
              </w:rPr>
            </w:pPr>
          </w:p>
        </w:tc>
      </w:tr>
      <w:tr w:rsidR="00DD05B6" w:rsidRPr="00A52AB8" w14:paraId="301036F9" w14:textId="77777777" w:rsidTr="00DD05B6">
        <w:trPr>
          <w:cantSplit/>
          <w:jc w:val="center"/>
        </w:trPr>
        <w:tc>
          <w:tcPr>
            <w:tcW w:w="8411" w:type="dxa"/>
            <w:tcBorders>
              <w:top w:val="single" w:sz="4" w:space="0" w:color="auto"/>
              <w:left w:val="single" w:sz="4" w:space="0" w:color="auto"/>
              <w:bottom w:val="single" w:sz="4" w:space="0" w:color="auto"/>
              <w:right w:val="single" w:sz="4" w:space="0" w:color="auto"/>
            </w:tcBorders>
          </w:tcPr>
          <w:p w14:paraId="609B6E1E" w14:textId="77777777" w:rsidR="00105498" w:rsidRPr="00A52AB8" w:rsidRDefault="00105498" w:rsidP="009C6742">
            <w:pPr>
              <w:pStyle w:val="tablesyntax"/>
              <w:keepNext w:val="0"/>
              <w:keepLines w:val="0"/>
              <w:spacing w:before="20" w:after="40"/>
              <w:rPr>
                <w:rFonts w:ascii="Cambria" w:hAnsi="Cambria"/>
                <w:b/>
                <w:bCs/>
              </w:rPr>
            </w:pPr>
            <w:r w:rsidRPr="00A52AB8">
              <w:rPr>
                <w:rFonts w:ascii="Cambria" w:hAnsi="Cambria"/>
              </w:rPr>
              <w:tab/>
            </w:r>
            <w:r w:rsidRPr="00A52AB8">
              <w:rPr>
                <w:rFonts w:ascii="Cambria" w:hAnsi="Cambria"/>
              </w:rPr>
              <w:tab/>
            </w:r>
            <w:r w:rsidRPr="00A52AB8">
              <w:rPr>
                <w:rFonts w:ascii="Cambria" w:hAnsi="Cambria"/>
                <w:b/>
                <w:bCs/>
              </w:rPr>
              <w:t>time_offset_value</w:t>
            </w:r>
          </w:p>
        </w:tc>
        <w:tc>
          <w:tcPr>
            <w:tcW w:w="1331" w:type="dxa"/>
            <w:tcBorders>
              <w:top w:val="single" w:sz="4" w:space="0" w:color="auto"/>
              <w:left w:val="single" w:sz="4" w:space="0" w:color="auto"/>
              <w:bottom w:val="single" w:sz="4" w:space="0" w:color="auto"/>
              <w:right w:val="single" w:sz="4" w:space="0" w:color="auto"/>
            </w:tcBorders>
            <w:vAlign w:val="center"/>
          </w:tcPr>
          <w:p w14:paraId="45DC50B0" w14:textId="77777777" w:rsidR="00105498" w:rsidRPr="00A52AB8" w:rsidRDefault="00105498" w:rsidP="009C6742">
            <w:pPr>
              <w:pStyle w:val="tablesyntax"/>
              <w:keepNext w:val="0"/>
              <w:keepLines w:val="0"/>
              <w:jc w:val="center"/>
              <w:rPr>
                <w:rFonts w:ascii="Cambria" w:hAnsi="Cambria"/>
                <w:bCs/>
              </w:rPr>
            </w:pPr>
            <w:r w:rsidRPr="00A52AB8">
              <w:rPr>
                <w:rFonts w:ascii="Cambria" w:hAnsi="Cambria"/>
                <w:bCs/>
              </w:rPr>
              <w:t>i(v)</w:t>
            </w:r>
          </w:p>
        </w:tc>
      </w:tr>
      <w:tr w:rsidR="00CA4039" w:rsidRPr="00A52AB8" w14:paraId="675481BE" w14:textId="77777777" w:rsidTr="00105498">
        <w:trPr>
          <w:cantSplit/>
          <w:jc w:val="center"/>
        </w:trPr>
        <w:tc>
          <w:tcPr>
            <w:tcW w:w="8411" w:type="dxa"/>
            <w:tcBorders>
              <w:top w:val="single" w:sz="4" w:space="0" w:color="auto"/>
              <w:left w:val="single" w:sz="4" w:space="0" w:color="auto"/>
              <w:bottom w:val="single" w:sz="4" w:space="0" w:color="auto"/>
              <w:right w:val="single" w:sz="4" w:space="0" w:color="auto"/>
            </w:tcBorders>
          </w:tcPr>
          <w:p w14:paraId="7919A96C" w14:textId="77777777" w:rsidR="00105498" w:rsidRPr="00A52AB8" w:rsidRDefault="00105498" w:rsidP="009C6742">
            <w:pPr>
              <w:pStyle w:val="tablesyntax"/>
              <w:keepNext w:val="0"/>
              <w:keepLines w:val="0"/>
              <w:spacing w:before="20" w:after="40"/>
              <w:rPr>
                <w:rFonts w:ascii="Cambria" w:hAnsi="Cambria"/>
              </w:rPr>
            </w:pPr>
            <w:r w:rsidRPr="00A52AB8">
              <w:rPr>
                <w:rFonts w:ascii="Cambria" w:hAnsi="Cambria"/>
              </w:rPr>
              <w:t>}</w:t>
            </w:r>
          </w:p>
        </w:tc>
        <w:tc>
          <w:tcPr>
            <w:tcW w:w="1331" w:type="dxa"/>
            <w:tcBorders>
              <w:top w:val="single" w:sz="4" w:space="0" w:color="auto"/>
              <w:left w:val="single" w:sz="4" w:space="0" w:color="auto"/>
              <w:bottom w:val="single" w:sz="4" w:space="0" w:color="auto"/>
              <w:right w:val="single" w:sz="4" w:space="0" w:color="auto"/>
            </w:tcBorders>
          </w:tcPr>
          <w:p w14:paraId="68859290" w14:textId="77777777" w:rsidR="00105498" w:rsidRPr="00A52AB8" w:rsidRDefault="00105498" w:rsidP="009C6742">
            <w:pPr>
              <w:pStyle w:val="tablesyntax"/>
              <w:keepNext w:val="0"/>
              <w:keepLines w:val="0"/>
              <w:rPr>
                <w:rFonts w:ascii="Cambria" w:hAnsi="Cambria"/>
                <w:b/>
              </w:rPr>
            </w:pPr>
          </w:p>
        </w:tc>
      </w:tr>
    </w:tbl>
    <w:p w14:paraId="1652875D" w14:textId="77777777" w:rsidR="00EE3D19" w:rsidRDefault="00EE3D19" w:rsidP="00EE3D19">
      <w:pPr>
        <w:pStyle w:val="a3"/>
        <w:numPr>
          <w:ilvl w:val="2"/>
          <w:numId w:val="19"/>
        </w:numPr>
        <w:tabs>
          <w:tab w:val="clear" w:pos="403"/>
        </w:tabs>
        <w:spacing w:line="240" w:lineRule="auto"/>
      </w:pPr>
      <w:bookmarkStart w:id="5423" w:name="_Toc48570909"/>
      <w:bookmarkStart w:id="5424" w:name="_Toc49424469"/>
      <w:bookmarkStart w:id="5425" w:name="_Toc52181731"/>
      <w:r>
        <w:t>Packed independent regions</w:t>
      </w:r>
      <w:r w:rsidRPr="003617D8">
        <w:t xml:space="preserve"> SEI payload syntax</w:t>
      </w:r>
      <w:bookmarkEnd w:id="5423"/>
      <w:bookmarkEnd w:id="5424"/>
      <w:bookmarkEnd w:id="5425"/>
    </w:p>
    <w:tbl>
      <w:tblPr>
        <w:tblStyle w:val="TableGrid"/>
        <w:tblW w:w="9741" w:type="dxa"/>
        <w:jc w:val="center"/>
        <w:tblLayout w:type="fixed"/>
        <w:tblLook w:val="04A0" w:firstRow="1" w:lastRow="0" w:firstColumn="1" w:lastColumn="0" w:noHBand="0" w:noVBand="1"/>
      </w:tblPr>
      <w:tblGrid>
        <w:gridCol w:w="8412"/>
        <w:gridCol w:w="1329"/>
      </w:tblGrid>
      <w:tr w:rsidR="00EE3D19" w:rsidRPr="00EE3D19" w14:paraId="203EA371" w14:textId="77777777" w:rsidTr="00E72F7E">
        <w:trPr>
          <w:jc w:val="center"/>
        </w:trPr>
        <w:tc>
          <w:tcPr>
            <w:tcW w:w="7931" w:type="dxa"/>
          </w:tcPr>
          <w:p w14:paraId="771FAAF6" w14:textId="77777777" w:rsidR="00EE3D19" w:rsidRPr="00EE3D19" w:rsidRDefault="00EE3D19" w:rsidP="00EE3D19">
            <w:pPr>
              <w:pStyle w:val="tablesyntax"/>
              <w:keepNext w:val="0"/>
              <w:keepLines w:val="0"/>
              <w:spacing w:before="20" w:after="40"/>
              <w:rPr>
                <w:rFonts w:ascii="Cambria" w:hAnsi="Cambria"/>
              </w:rPr>
            </w:pPr>
            <w:r w:rsidRPr="00EE3D19">
              <w:rPr>
                <w:rFonts w:ascii="Cambria" w:hAnsi="Cambria"/>
              </w:rPr>
              <w:t>packed_independent_regions( ) {</w:t>
            </w:r>
          </w:p>
        </w:tc>
        <w:tc>
          <w:tcPr>
            <w:tcW w:w="1253" w:type="dxa"/>
          </w:tcPr>
          <w:p w14:paraId="14EE97B4" w14:textId="77777777" w:rsidR="00EE3D19" w:rsidRPr="00EE3D19" w:rsidRDefault="00EE3D19" w:rsidP="00EE3D19">
            <w:pPr>
              <w:pStyle w:val="tablesyntax"/>
              <w:keepNext w:val="0"/>
              <w:keepLines w:val="0"/>
              <w:spacing w:before="20" w:after="40"/>
              <w:rPr>
                <w:rFonts w:ascii="Cambria" w:hAnsi="Cambria"/>
              </w:rPr>
            </w:pPr>
            <w:r w:rsidRPr="00EE3D19">
              <w:rPr>
                <w:rFonts w:ascii="Cambria" w:hAnsi="Cambria"/>
              </w:rPr>
              <w:t>Descriptor</w:t>
            </w:r>
          </w:p>
        </w:tc>
      </w:tr>
      <w:tr w:rsidR="00EE3D19" w:rsidRPr="005C26E9" w14:paraId="73389D8D" w14:textId="77777777" w:rsidTr="00E72F7E">
        <w:trPr>
          <w:jc w:val="center"/>
        </w:trPr>
        <w:tc>
          <w:tcPr>
            <w:tcW w:w="7931" w:type="dxa"/>
          </w:tcPr>
          <w:p w14:paraId="1E10F1BB" w14:textId="77777777" w:rsidR="00EE3D19" w:rsidRPr="00EE3D19" w:rsidRDefault="00EE3D19" w:rsidP="00EE3D19">
            <w:pPr>
              <w:pStyle w:val="tablesyntax"/>
              <w:keepNext w:val="0"/>
              <w:keepLines w:val="0"/>
              <w:spacing w:before="20" w:after="40"/>
              <w:rPr>
                <w:rFonts w:ascii="Cambria" w:hAnsi="Cambria"/>
                <w:b/>
                <w:bCs/>
              </w:rPr>
            </w:pPr>
            <w:r w:rsidRPr="00EE3D19">
              <w:rPr>
                <w:rFonts w:ascii="Cambria" w:hAnsi="Cambria"/>
              </w:rPr>
              <w:tab/>
            </w:r>
            <w:r w:rsidRPr="00EE3D19">
              <w:rPr>
                <w:rFonts w:ascii="Cambria" w:hAnsi="Cambria"/>
                <w:b/>
                <w:bCs/>
              </w:rPr>
              <w:t>pir_num_packed_frames_minus1</w:t>
            </w:r>
          </w:p>
        </w:tc>
        <w:tc>
          <w:tcPr>
            <w:tcW w:w="1253" w:type="dxa"/>
          </w:tcPr>
          <w:p w14:paraId="0B1657F2" w14:textId="77777777" w:rsidR="00EE3D19" w:rsidRPr="00EE3D19" w:rsidRDefault="00EE3D19" w:rsidP="00EE3D19">
            <w:pPr>
              <w:pStyle w:val="tablesyntax"/>
              <w:keepNext w:val="0"/>
              <w:keepLines w:val="0"/>
              <w:jc w:val="center"/>
              <w:rPr>
                <w:rFonts w:ascii="Cambria" w:hAnsi="Cambria"/>
                <w:bCs/>
              </w:rPr>
            </w:pPr>
            <w:r w:rsidRPr="00EE3D19">
              <w:rPr>
                <w:rFonts w:ascii="Cambria" w:hAnsi="Cambria"/>
                <w:bCs/>
              </w:rPr>
              <w:t>u(5)</w:t>
            </w:r>
          </w:p>
        </w:tc>
      </w:tr>
      <w:tr w:rsidR="00EE3D19" w:rsidRPr="005C26E9" w14:paraId="0C7FC5A4" w14:textId="77777777" w:rsidTr="00E72F7E">
        <w:trPr>
          <w:jc w:val="center"/>
        </w:trPr>
        <w:tc>
          <w:tcPr>
            <w:tcW w:w="7931" w:type="dxa"/>
          </w:tcPr>
          <w:p w14:paraId="5E0124BB" w14:textId="631822C3" w:rsidR="00EE3D19" w:rsidRPr="00EE3D19" w:rsidRDefault="00EE3D19" w:rsidP="00EE3D19">
            <w:pPr>
              <w:pStyle w:val="tablesyntax"/>
              <w:keepNext w:val="0"/>
              <w:keepLines w:val="0"/>
              <w:spacing w:before="20" w:after="40"/>
              <w:rPr>
                <w:rFonts w:ascii="Cambria" w:hAnsi="Cambria"/>
              </w:rPr>
            </w:pPr>
            <w:r w:rsidRPr="00EE3D19">
              <w:rPr>
                <w:rFonts w:ascii="Cambria" w:hAnsi="Cambria"/>
              </w:rPr>
              <w:tab/>
              <w:t>for( j = 0; j &lt;= pir_num_packed_frames_minus1; j++ ) {</w:t>
            </w:r>
          </w:p>
        </w:tc>
        <w:tc>
          <w:tcPr>
            <w:tcW w:w="1253" w:type="dxa"/>
          </w:tcPr>
          <w:p w14:paraId="6CEAF32C" w14:textId="77777777" w:rsidR="00EE3D19" w:rsidRPr="00EE3D19" w:rsidRDefault="00EE3D19" w:rsidP="00EE3D19">
            <w:pPr>
              <w:pStyle w:val="tablesyntax"/>
              <w:keepNext w:val="0"/>
              <w:keepLines w:val="0"/>
              <w:jc w:val="center"/>
              <w:rPr>
                <w:rFonts w:ascii="Cambria" w:hAnsi="Cambria"/>
                <w:bCs/>
              </w:rPr>
            </w:pPr>
          </w:p>
        </w:tc>
      </w:tr>
      <w:tr w:rsidR="00EE3D19" w:rsidRPr="005C26E9" w14:paraId="2780162D" w14:textId="77777777" w:rsidTr="00E72F7E">
        <w:trPr>
          <w:jc w:val="center"/>
        </w:trPr>
        <w:tc>
          <w:tcPr>
            <w:tcW w:w="7931" w:type="dxa"/>
          </w:tcPr>
          <w:p w14:paraId="1CCDD25D" w14:textId="77777777" w:rsidR="00EE3D19" w:rsidRPr="00EE3D19" w:rsidRDefault="00EE3D19" w:rsidP="00EE3D19">
            <w:pPr>
              <w:pStyle w:val="tablesyntax"/>
              <w:keepNext w:val="0"/>
              <w:keepLines w:val="0"/>
              <w:spacing w:before="20" w:after="40"/>
              <w:rPr>
                <w:rFonts w:ascii="Cambria" w:hAnsi="Cambria"/>
              </w:rPr>
            </w:pPr>
            <w:r w:rsidRPr="00EE3D19">
              <w:rPr>
                <w:rFonts w:ascii="Cambria" w:hAnsi="Cambria"/>
              </w:rPr>
              <w:tab/>
            </w:r>
            <w:r w:rsidRPr="00EE3D19">
              <w:rPr>
                <w:rFonts w:ascii="Cambria" w:hAnsi="Cambria"/>
              </w:rPr>
              <w:tab/>
            </w:r>
            <w:r w:rsidRPr="00EE3D19">
              <w:rPr>
                <w:rFonts w:ascii="Cambria" w:hAnsi="Cambria"/>
                <w:b/>
                <w:bCs/>
              </w:rPr>
              <w:t>pir_packed_frame_id</w:t>
            </w:r>
            <w:r w:rsidRPr="00EE3D19">
              <w:rPr>
                <w:rFonts w:ascii="Cambria" w:hAnsi="Cambria"/>
              </w:rPr>
              <w:t>[ j ]</w:t>
            </w:r>
          </w:p>
        </w:tc>
        <w:tc>
          <w:tcPr>
            <w:tcW w:w="1253" w:type="dxa"/>
          </w:tcPr>
          <w:p w14:paraId="1F0BEC97" w14:textId="77777777" w:rsidR="00EE3D19" w:rsidRPr="00EE3D19" w:rsidRDefault="00EE3D19" w:rsidP="00EE3D19">
            <w:pPr>
              <w:pStyle w:val="tablesyntax"/>
              <w:keepNext w:val="0"/>
              <w:keepLines w:val="0"/>
              <w:jc w:val="center"/>
              <w:rPr>
                <w:rFonts w:ascii="Cambria" w:hAnsi="Cambria"/>
                <w:bCs/>
              </w:rPr>
            </w:pPr>
            <w:r w:rsidRPr="00EE3D19">
              <w:rPr>
                <w:rFonts w:ascii="Cambria" w:hAnsi="Cambria"/>
                <w:bCs/>
              </w:rPr>
              <w:t>u(5)</w:t>
            </w:r>
          </w:p>
        </w:tc>
      </w:tr>
      <w:tr w:rsidR="00EE3D19" w14:paraId="1BBF6527" w14:textId="77777777" w:rsidTr="00E72F7E">
        <w:trPr>
          <w:jc w:val="center"/>
        </w:trPr>
        <w:tc>
          <w:tcPr>
            <w:tcW w:w="7931" w:type="dxa"/>
          </w:tcPr>
          <w:p w14:paraId="77DF9476" w14:textId="77777777" w:rsidR="00EE3D19" w:rsidRPr="00EE3D19" w:rsidRDefault="00EE3D19" w:rsidP="00EE3D19">
            <w:pPr>
              <w:pStyle w:val="tablesyntax"/>
              <w:keepNext w:val="0"/>
              <w:keepLines w:val="0"/>
              <w:spacing w:before="20" w:after="40"/>
              <w:rPr>
                <w:rFonts w:ascii="Cambria" w:hAnsi="Cambria"/>
              </w:rPr>
            </w:pPr>
            <w:r w:rsidRPr="00EE3D19">
              <w:rPr>
                <w:rFonts w:ascii="Cambria" w:hAnsi="Cambria"/>
              </w:rPr>
              <w:tab/>
            </w:r>
            <w:r w:rsidRPr="00EE3D19">
              <w:rPr>
                <w:rFonts w:ascii="Cambria" w:hAnsi="Cambria"/>
              </w:rPr>
              <w:tab/>
              <w:t>k = pir_packed_frame_id[ j ]</w:t>
            </w:r>
          </w:p>
        </w:tc>
        <w:tc>
          <w:tcPr>
            <w:tcW w:w="1253" w:type="dxa"/>
          </w:tcPr>
          <w:p w14:paraId="574F6415" w14:textId="77777777" w:rsidR="00EE3D19" w:rsidRPr="00EE3D19" w:rsidRDefault="00EE3D19" w:rsidP="00EE3D19">
            <w:pPr>
              <w:pStyle w:val="tablesyntax"/>
              <w:keepNext w:val="0"/>
              <w:keepLines w:val="0"/>
              <w:jc w:val="center"/>
              <w:rPr>
                <w:rFonts w:ascii="Cambria" w:hAnsi="Cambria"/>
                <w:bCs/>
              </w:rPr>
            </w:pPr>
          </w:p>
        </w:tc>
      </w:tr>
      <w:tr w:rsidR="00EE3D19" w:rsidRPr="005C26E9" w14:paraId="50618CCC" w14:textId="77777777" w:rsidTr="00E72F7E">
        <w:trPr>
          <w:jc w:val="center"/>
        </w:trPr>
        <w:tc>
          <w:tcPr>
            <w:tcW w:w="7931" w:type="dxa"/>
          </w:tcPr>
          <w:p w14:paraId="189855BF" w14:textId="77777777" w:rsidR="00EE3D19" w:rsidRPr="00EE3D19" w:rsidRDefault="00EE3D19" w:rsidP="00EE3D19">
            <w:pPr>
              <w:pStyle w:val="tablesyntax"/>
              <w:keepNext w:val="0"/>
              <w:keepLines w:val="0"/>
              <w:spacing w:before="20" w:after="40"/>
              <w:rPr>
                <w:rFonts w:ascii="Cambria" w:hAnsi="Cambria"/>
              </w:rPr>
            </w:pPr>
            <w:r w:rsidRPr="00EE3D19">
              <w:rPr>
                <w:rFonts w:ascii="Cambria" w:hAnsi="Cambria"/>
              </w:rPr>
              <w:tab/>
            </w:r>
            <w:r w:rsidRPr="00EE3D19">
              <w:rPr>
                <w:rFonts w:ascii="Cambria" w:hAnsi="Cambria"/>
              </w:rPr>
              <w:tab/>
            </w:r>
            <w:r w:rsidRPr="00EE3D19">
              <w:rPr>
                <w:rFonts w:ascii="Cambria" w:hAnsi="Cambria"/>
                <w:b/>
                <w:bCs/>
              </w:rPr>
              <w:t>pir_description_type_idc</w:t>
            </w:r>
            <w:r w:rsidRPr="00EE3D19">
              <w:rPr>
                <w:rFonts w:ascii="Cambria" w:hAnsi="Cambria"/>
              </w:rPr>
              <w:t>[ k ]</w:t>
            </w:r>
          </w:p>
        </w:tc>
        <w:tc>
          <w:tcPr>
            <w:tcW w:w="1253" w:type="dxa"/>
          </w:tcPr>
          <w:p w14:paraId="271E4C4A" w14:textId="77777777" w:rsidR="00EE3D19" w:rsidRPr="00EE3D19" w:rsidRDefault="00EE3D19" w:rsidP="00EE3D19">
            <w:pPr>
              <w:pStyle w:val="tablesyntax"/>
              <w:keepNext w:val="0"/>
              <w:keepLines w:val="0"/>
              <w:jc w:val="center"/>
              <w:rPr>
                <w:rFonts w:ascii="Cambria" w:hAnsi="Cambria"/>
                <w:bCs/>
              </w:rPr>
            </w:pPr>
            <w:r w:rsidRPr="00EE3D19">
              <w:rPr>
                <w:rFonts w:ascii="Cambria" w:hAnsi="Cambria"/>
                <w:bCs/>
              </w:rPr>
              <w:t>u(2)</w:t>
            </w:r>
          </w:p>
        </w:tc>
      </w:tr>
      <w:tr w:rsidR="00EE3D19" w:rsidRPr="005C26E9" w14:paraId="49CCD36A" w14:textId="77777777" w:rsidTr="00E72F7E">
        <w:trPr>
          <w:jc w:val="center"/>
        </w:trPr>
        <w:tc>
          <w:tcPr>
            <w:tcW w:w="7931" w:type="dxa"/>
          </w:tcPr>
          <w:p w14:paraId="496346C0" w14:textId="77777777" w:rsidR="00EE3D19" w:rsidRPr="00EE3D19" w:rsidRDefault="00EE3D19" w:rsidP="00EE3D19">
            <w:pPr>
              <w:pStyle w:val="tablesyntax"/>
              <w:keepNext w:val="0"/>
              <w:keepLines w:val="0"/>
              <w:spacing w:before="20" w:after="40"/>
              <w:rPr>
                <w:rFonts w:ascii="Cambria" w:hAnsi="Cambria"/>
              </w:rPr>
            </w:pPr>
            <w:r w:rsidRPr="00EE3D19">
              <w:rPr>
                <w:rFonts w:ascii="Cambria" w:hAnsi="Cambria"/>
              </w:rPr>
              <w:tab/>
            </w:r>
            <w:r w:rsidRPr="00EE3D19">
              <w:rPr>
                <w:rFonts w:ascii="Cambria" w:hAnsi="Cambria"/>
              </w:rPr>
              <w:tab/>
            </w:r>
            <w:r w:rsidRPr="00EE3D19">
              <w:rPr>
                <w:rFonts w:ascii="Cambria" w:hAnsi="Cambria"/>
                <w:b/>
                <w:bCs/>
              </w:rPr>
              <w:t>pir_num_regions_minus1</w:t>
            </w:r>
            <w:r w:rsidRPr="00EE3D19">
              <w:rPr>
                <w:rFonts w:ascii="Cambria" w:hAnsi="Cambria"/>
              </w:rPr>
              <w:t>[ k ]</w:t>
            </w:r>
          </w:p>
        </w:tc>
        <w:tc>
          <w:tcPr>
            <w:tcW w:w="1253" w:type="dxa"/>
          </w:tcPr>
          <w:p w14:paraId="009E0906" w14:textId="77777777" w:rsidR="00EE3D19" w:rsidRPr="00EE3D19" w:rsidRDefault="00EE3D19" w:rsidP="00EE3D19">
            <w:pPr>
              <w:pStyle w:val="tablesyntax"/>
              <w:keepNext w:val="0"/>
              <w:keepLines w:val="0"/>
              <w:jc w:val="center"/>
              <w:rPr>
                <w:rFonts w:ascii="Cambria" w:hAnsi="Cambria"/>
                <w:bCs/>
              </w:rPr>
            </w:pPr>
            <w:r w:rsidRPr="00EE3D19">
              <w:rPr>
                <w:rFonts w:ascii="Cambria" w:hAnsi="Cambria"/>
                <w:bCs/>
              </w:rPr>
              <w:t>u(8)</w:t>
            </w:r>
          </w:p>
        </w:tc>
      </w:tr>
      <w:tr w:rsidR="00EE3D19" w:rsidRPr="005C26E9" w14:paraId="4C99A2AE" w14:textId="77777777" w:rsidTr="00E72F7E">
        <w:trPr>
          <w:jc w:val="center"/>
        </w:trPr>
        <w:tc>
          <w:tcPr>
            <w:tcW w:w="7931" w:type="dxa"/>
          </w:tcPr>
          <w:p w14:paraId="51D7781A" w14:textId="476A93FC" w:rsidR="00EE3D19" w:rsidRPr="00EE3D19" w:rsidRDefault="00EE3D19" w:rsidP="00EE3D19">
            <w:pPr>
              <w:pStyle w:val="tablesyntax"/>
              <w:keepNext w:val="0"/>
              <w:keepLines w:val="0"/>
              <w:spacing w:before="20" w:after="40"/>
              <w:rPr>
                <w:rFonts w:ascii="Cambria" w:hAnsi="Cambria"/>
              </w:rPr>
            </w:pPr>
            <w:r w:rsidRPr="00EE3D19">
              <w:rPr>
                <w:rFonts w:ascii="Cambria" w:hAnsi="Cambria"/>
              </w:rPr>
              <w:tab/>
            </w:r>
            <w:r w:rsidRPr="00EE3D19">
              <w:rPr>
                <w:rFonts w:ascii="Cambria" w:hAnsi="Cambria"/>
              </w:rPr>
              <w:tab/>
              <w:t>for( i = 0;  i &lt;= pir_num_regions_minus1[ k ]; i++) {</w:t>
            </w:r>
          </w:p>
        </w:tc>
        <w:tc>
          <w:tcPr>
            <w:tcW w:w="1253" w:type="dxa"/>
          </w:tcPr>
          <w:p w14:paraId="522766A5" w14:textId="77777777" w:rsidR="00EE3D19" w:rsidRPr="00EE3D19" w:rsidRDefault="00EE3D19" w:rsidP="00EE3D19">
            <w:pPr>
              <w:pStyle w:val="tablesyntax"/>
              <w:keepNext w:val="0"/>
              <w:keepLines w:val="0"/>
              <w:jc w:val="center"/>
              <w:rPr>
                <w:rFonts w:ascii="Cambria" w:hAnsi="Cambria"/>
                <w:bCs/>
              </w:rPr>
            </w:pPr>
          </w:p>
        </w:tc>
      </w:tr>
      <w:tr w:rsidR="00EE3D19" w:rsidRPr="005C26E9" w14:paraId="3AFD66F1" w14:textId="77777777" w:rsidTr="00E72F7E">
        <w:trPr>
          <w:jc w:val="center"/>
        </w:trPr>
        <w:tc>
          <w:tcPr>
            <w:tcW w:w="7931" w:type="dxa"/>
          </w:tcPr>
          <w:p w14:paraId="3D02C5C7" w14:textId="70A1BD5F" w:rsidR="00EE3D19" w:rsidRPr="00EE3D19" w:rsidRDefault="00EE3D19" w:rsidP="00EE3D19">
            <w:pPr>
              <w:pStyle w:val="tablesyntax"/>
              <w:keepNext w:val="0"/>
              <w:keepLines w:val="0"/>
              <w:spacing w:before="20" w:after="40"/>
              <w:rPr>
                <w:rFonts w:ascii="Cambria" w:hAnsi="Cambria"/>
              </w:rPr>
            </w:pPr>
            <w:r w:rsidRPr="00EE3D19">
              <w:rPr>
                <w:rFonts w:ascii="Cambria" w:hAnsi="Cambria"/>
              </w:rPr>
              <w:tab/>
            </w:r>
            <w:r w:rsidRPr="00EE3D19">
              <w:rPr>
                <w:rFonts w:ascii="Cambria" w:hAnsi="Cambria"/>
              </w:rPr>
              <w:tab/>
            </w:r>
            <w:r w:rsidRPr="00EE3D19">
              <w:rPr>
                <w:rFonts w:ascii="Cambria" w:hAnsi="Cambria"/>
              </w:rPr>
              <w:tab/>
              <w:t>if( pir_description_type_idc[ k ]  = =  0 ) {</w:t>
            </w:r>
          </w:p>
        </w:tc>
        <w:tc>
          <w:tcPr>
            <w:tcW w:w="1253" w:type="dxa"/>
          </w:tcPr>
          <w:p w14:paraId="2E6A3198" w14:textId="77777777" w:rsidR="00EE3D19" w:rsidRPr="00EE3D19" w:rsidRDefault="00EE3D19" w:rsidP="00EE3D19">
            <w:pPr>
              <w:pStyle w:val="tablesyntax"/>
              <w:keepNext w:val="0"/>
              <w:keepLines w:val="0"/>
              <w:jc w:val="center"/>
              <w:rPr>
                <w:rFonts w:ascii="Cambria" w:hAnsi="Cambria"/>
                <w:bCs/>
              </w:rPr>
            </w:pPr>
          </w:p>
        </w:tc>
      </w:tr>
      <w:tr w:rsidR="00EE3D19" w:rsidRPr="005C26E9" w14:paraId="2C2756A2" w14:textId="77777777" w:rsidTr="00E72F7E">
        <w:trPr>
          <w:jc w:val="center"/>
        </w:trPr>
        <w:tc>
          <w:tcPr>
            <w:tcW w:w="7931" w:type="dxa"/>
          </w:tcPr>
          <w:p w14:paraId="2662F369" w14:textId="77777777" w:rsidR="00EE3D19" w:rsidRPr="00EE3D19" w:rsidRDefault="00EE3D19" w:rsidP="00EE3D19">
            <w:pPr>
              <w:pStyle w:val="tablesyntax"/>
              <w:keepNext w:val="0"/>
              <w:keepLines w:val="0"/>
              <w:spacing w:before="20" w:after="40"/>
              <w:rPr>
                <w:rFonts w:ascii="Cambria" w:hAnsi="Cambria"/>
              </w:rPr>
            </w:pPr>
            <w:r w:rsidRPr="00EE3D19">
              <w:rPr>
                <w:rFonts w:ascii="Cambria" w:hAnsi="Cambria"/>
              </w:rPr>
              <w:tab/>
            </w:r>
            <w:r w:rsidRPr="00EE3D19">
              <w:rPr>
                <w:rFonts w:ascii="Cambria" w:hAnsi="Cambria"/>
              </w:rPr>
              <w:tab/>
            </w:r>
            <w:r w:rsidRPr="00EE3D19">
              <w:rPr>
                <w:rFonts w:ascii="Cambria" w:hAnsi="Cambria"/>
              </w:rPr>
              <w:tab/>
            </w:r>
            <w:r w:rsidRPr="00EE3D19">
              <w:rPr>
                <w:rFonts w:ascii="Cambria" w:hAnsi="Cambria"/>
              </w:rPr>
              <w:tab/>
            </w:r>
            <w:r w:rsidRPr="00EE3D19">
              <w:rPr>
                <w:rFonts w:ascii="Cambria" w:hAnsi="Cambria"/>
                <w:b/>
                <w:bCs/>
              </w:rPr>
              <w:t>pir_top_left_tile_idx</w:t>
            </w:r>
            <w:r w:rsidRPr="00EE3D19">
              <w:rPr>
                <w:rFonts w:ascii="Cambria" w:hAnsi="Cambria"/>
              </w:rPr>
              <w:t>[ k ][ i ]</w:t>
            </w:r>
          </w:p>
        </w:tc>
        <w:tc>
          <w:tcPr>
            <w:tcW w:w="1253" w:type="dxa"/>
          </w:tcPr>
          <w:p w14:paraId="3D20BE0A" w14:textId="77777777" w:rsidR="00EE3D19" w:rsidRPr="00EE3D19" w:rsidRDefault="00EE3D19" w:rsidP="00EE3D19">
            <w:pPr>
              <w:pStyle w:val="tablesyntax"/>
              <w:keepNext w:val="0"/>
              <w:keepLines w:val="0"/>
              <w:jc w:val="center"/>
              <w:rPr>
                <w:rFonts w:ascii="Cambria" w:hAnsi="Cambria"/>
                <w:bCs/>
              </w:rPr>
            </w:pPr>
            <w:r w:rsidRPr="00EE3D19">
              <w:rPr>
                <w:rFonts w:ascii="Cambria" w:hAnsi="Cambria"/>
                <w:bCs/>
              </w:rPr>
              <w:t>ue(v)</w:t>
            </w:r>
          </w:p>
        </w:tc>
      </w:tr>
      <w:tr w:rsidR="00EE3D19" w:rsidRPr="005C26E9" w14:paraId="4D16A91D" w14:textId="77777777" w:rsidTr="00E72F7E">
        <w:trPr>
          <w:jc w:val="center"/>
        </w:trPr>
        <w:tc>
          <w:tcPr>
            <w:tcW w:w="7931" w:type="dxa"/>
          </w:tcPr>
          <w:p w14:paraId="7C3345E3" w14:textId="77777777" w:rsidR="00EE3D19" w:rsidRPr="00EE3D19" w:rsidRDefault="00EE3D19" w:rsidP="00EE3D19">
            <w:pPr>
              <w:pStyle w:val="tablesyntax"/>
              <w:keepNext w:val="0"/>
              <w:keepLines w:val="0"/>
              <w:spacing w:before="20" w:after="40"/>
              <w:rPr>
                <w:rFonts w:ascii="Cambria" w:hAnsi="Cambria"/>
              </w:rPr>
            </w:pPr>
            <w:r w:rsidRPr="00EE3D19">
              <w:rPr>
                <w:rFonts w:ascii="Cambria" w:hAnsi="Cambria"/>
              </w:rPr>
              <w:tab/>
            </w:r>
            <w:r w:rsidRPr="00EE3D19">
              <w:rPr>
                <w:rFonts w:ascii="Cambria" w:hAnsi="Cambria"/>
              </w:rPr>
              <w:tab/>
            </w:r>
            <w:r w:rsidRPr="00EE3D19">
              <w:rPr>
                <w:rFonts w:ascii="Cambria" w:hAnsi="Cambria"/>
              </w:rPr>
              <w:tab/>
            </w:r>
            <w:r w:rsidRPr="00EE3D19">
              <w:rPr>
                <w:rFonts w:ascii="Cambria" w:hAnsi="Cambria"/>
              </w:rPr>
              <w:tab/>
            </w:r>
            <w:r w:rsidRPr="00EE3D19">
              <w:rPr>
                <w:rFonts w:ascii="Cambria" w:hAnsi="Cambria"/>
                <w:b/>
                <w:bCs/>
              </w:rPr>
              <w:t>pir_bottom_right_tile_idx</w:t>
            </w:r>
            <w:r w:rsidRPr="00EE3D19">
              <w:rPr>
                <w:rFonts w:ascii="Cambria" w:hAnsi="Cambria"/>
              </w:rPr>
              <w:t>[ k ][ i ]</w:t>
            </w:r>
          </w:p>
        </w:tc>
        <w:tc>
          <w:tcPr>
            <w:tcW w:w="1253" w:type="dxa"/>
          </w:tcPr>
          <w:p w14:paraId="560D08C7" w14:textId="77777777" w:rsidR="00EE3D19" w:rsidRPr="00EE3D19" w:rsidRDefault="00EE3D19" w:rsidP="00EE3D19">
            <w:pPr>
              <w:pStyle w:val="tablesyntax"/>
              <w:keepNext w:val="0"/>
              <w:keepLines w:val="0"/>
              <w:jc w:val="center"/>
              <w:rPr>
                <w:rFonts w:ascii="Cambria" w:hAnsi="Cambria"/>
                <w:bCs/>
              </w:rPr>
            </w:pPr>
            <w:r w:rsidRPr="00EE3D19">
              <w:rPr>
                <w:rFonts w:ascii="Cambria" w:hAnsi="Cambria"/>
                <w:bCs/>
              </w:rPr>
              <w:t>ue(v)</w:t>
            </w:r>
          </w:p>
        </w:tc>
      </w:tr>
      <w:tr w:rsidR="00EE3D19" w:rsidRPr="005C26E9" w14:paraId="46D6691D" w14:textId="77777777" w:rsidTr="00E72F7E">
        <w:trPr>
          <w:jc w:val="center"/>
        </w:trPr>
        <w:tc>
          <w:tcPr>
            <w:tcW w:w="7931" w:type="dxa"/>
          </w:tcPr>
          <w:p w14:paraId="796289CF" w14:textId="77777777" w:rsidR="00EE3D19" w:rsidRPr="00EE3D19" w:rsidRDefault="00EE3D19" w:rsidP="00EE3D19">
            <w:pPr>
              <w:pStyle w:val="tablesyntax"/>
              <w:keepNext w:val="0"/>
              <w:keepLines w:val="0"/>
              <w:spacing w:before="20" w:after="40"/>
              <w:rPr>
                <w:rFonts w:ascii="Cambria" w:hAnsi="Cambria"/>
              </w:rPr>
            </w:pPr>
            <w:r w:rsidRPr="00EE3D19">
              <w:rPr>
                <w:rFonts w:ascii="Cambria" w:hAnsi="Cambria"/>
              </w:rPr>
              <w:tab/>
            </w:r>
            <w:r w:rsidRPr="00EE3D19">
              <w:rPr>
                <w:rFonts w:ascii="Cambria" w:hAnsi="Cambria"/>
              </w:rPr>
              <w:tab/>
            </w:r>
            <w:r w:rsidRPr="00EE3D19">
              <w:rPr>
                <w:rFonts w:ascii="Cambria" w:hAnsi="Cambria"/>
              </w:rPr>
              <w:tab/>
              <w:t>}</w:t>
            </w:r>
          </w:p>
        </w:tc>
        <w:tc>
          <w:tcPr>
            <w:tcW w:w="1253" w:type="dxa"/>
          </w:tcPr>
          <w:p w14:paraId="544DC6F4" w14:textId="77777777" w:rsidR="00EE3D19" w:rsidRPr="00EE3D19" w:rsidRDefault="00EE3D19" w:rsidP="00EE3D19">
            <w:pPr>
              <w:pStyle w:val="tablesyntax"/>
              <w:keepNext w:val="0"/>
              <w:keepLines w:val="0"/>
              <w:jc w:val="center"/>
              <w:rPr>
                <w:rFonts w:ascii="Cambria" w:hAnsi="Cambria"/>
                <w:bCs/>
              </w:rPr>
            </w:pPr>
          </w:p>
        </w:tc>
      </w:tr>
      <w:tr w:rsidR="00EE3D19" w:rsidRPr="005C26E9" w14:paraId="3B0B9B04" w14:textId="77777777" w:rsidTr="00E72F7E">
        <w:trPr>
          <w:jc w:val="center"/>
        </w:trPr>
        <w:tc>
          <w:tcPr>
            <w:tcW w:w="7931" w:type="dxa"/>
          </w:tcPr>
          <w:p w14:paraId="2A8B5BA6" w14:textId="0A9520E7" w:rsidR="00EE3D19" w:rsidRPr="00EE3D19" w:rsidRDefault="00EE3D19" w:rsidP="00EE3D19">
            <w:pPr>
              <w:pStyle w:val="tablesyntax"/>
              <w:keepNext w:val="0"/>
              <w:keepLines w:val="0"/>
              <w:spacing w:before="20" w:after="40"/>
              <w:rPr>
                <w:rFonts w:ascii="Cambria" w:hAnsi="Cambria"/>
              </w:rPr>
            </w:pPr>
            <w:r w:rsidRPr="00EE3D19">
              <w:rPr>
                <w:rFonts w:ascii="Cambria" w:hAnsi="Cambria"/>
              </w:rPr>
              <w:tab/>
            </w:r>
            <w:r w:rsidRPr="00EE3D19">
              <w:rPr>
                <w:rFonts w:ascii="Cambria" w:hAnsi="Cambria"/>
              </w:rPr>
              <w:tab/>
            </w:r>
            <w:r w:rsidRPr="00EE3D19">
              <w:rPr>
                <w:rFonts w:ascii="Cambria" w:hAnsi="Cambria"/>
              </w:rPr>
              <w:tab/>
              <w:t>else if( pir_description_type_idc  = =  1 ) {</w:t>
            </w:r>
          </w:p>
        </w:tc>
        <w:tc>
          <w:tcPr>
            <w:tcW w:w="1253" w:type="dxa"/>
          </w:tcPr>
          <w:p w14:paraId="3F47A82D" w14:textId="77777777" w:rsidR="00EE3D19" w:rsidRPr="00EE3D19" w:rsidRDefault="00EE3D19" w:rsidP="00EE3D19">
            <w:pPr>
              <w:pStyle w:val="tablesyntax"/>
              <w:keepNext w:val="0"/>
              <w:keepLines w:val="0"/>
              <w:jc w:val="center"/>
              <w:rPr>
                <w:rFonts w:ascii="Cambria" w:hAnsi="Cambria"/>
                <w:bCs/>
              </w:rPr>
            </w:pPr>
          </w:p>
        </w:tc>
      </w:tr>
      <w:tr w:rsidR="00EE3D19" w:rsidRPr="005C26E9" w14:paraId="768B3E8B" w14:textId="77777777" w:rsidTr="00E72F7E">
        <w:trPr>
          <w:jc w:val="center"/>
        </w:trPr>
        <w:tc>
          <w:tcPr>
            <w:tcW w:w="7931" w:type="dxa"/>
          </w:tcPr>
          <w:p w14:paraId="4746CC08" w14:textId="77777777" w:rsidR="00EE3D19" w:rsidRPr="00EE3D19" w:rsidRDefault="00EE3D19" w:rsidP="00EE3D19">
            <w:pPr>
              <w:pStyle w:val="tablesyntax"/>
              <w:keepNext w:val="0"/>
              <w:keepLines w:val="0"/>
              <w:spacing w:before="20" w:after="40"/>
              <w:rPr>
                <w:rFonts w:ascii="Cambria" w:hAnsi="Cambria"/>
              </w:rPr>
            </w:pPr>
            <w:r w:rsidRPr="00EE3D19">
              <w:rPr>
                <w:rFonts w:ascii="Cambria" w:hAnsi="Cambria"/>
              </w:rPr>
              <w:tab/>
            </w:r>
            <w:r w:rsidRPr="00EE3D19">
              <w:rPr>
                <w:rFonts w:ascii="Cambria" w:hAnsi="Cambria"/>
              </w:rPr>
              <w:tab/>
            </w:r>
            <w:r w:rsidRPr="00EE3D19">
              <w:rPr>
                <w:rFonts w:ascii="Cambria" w:hAnsi="Cambria"/>
              </w:rPr>
              <w:tab/>
            </w:r>
            <w:r w:rsidRPr="00EE3D19">
              <w:rPr>
                <w:rFonts w:ascii="Cambria" w:hAnsi="Cambria"/>
              </w:rPr>
              <w:tab/>
            </w:r>
            <w:r w:rsidRPr="00EE3D19">
              <w:rPr>
                <w:rFonts w:ascii="Cambria" w:hAnsi="Cambria"/>
                <w:b/>
                <w:bCs/>
              </w:rPr>
              <w:t>pir_subpic_id</w:t>
            </w:r>
            <w:r w:rsidRPr="00EE3D19">
              <w:rPr>
                <w:rFonts w:ascii="Cambria" w:hAnsi="Cambria"/>
              </w:rPr>
              <w:t>[ k ][ i ]</w:t>
            </w:r>
          </w:p>
        </w:tc>
        <w:tc>
          <w:tcPr>
            <w:tcW w:w="1253" w:type="dxa"/>
          </w:tcPr>
          <w:p w14:paraId="020E381C" w14:textId="77777777" w:rsidR="00EE3D19" w:rsidRPr="00EE3D19" w:rsidRDefault="00EE3D19" w:rsidP="00EE3D19">
            <w:pPr>
              <w:pStyle w:val="tablesyntax"/>
              <w:keepNext w:val="0"/>
              <w:keepLines w:val="0"/>
              <w:jc w:val="center"/>
              <w:rPr>
                <w:rFonts w:ascii="Cambria" w:hAnsi="Cambria"/>
                <w:bCs/>
              </w:rPr>
            </w:pPr>
            <w:r w:rsidRPr="00EE3D19">
              <w:rPr>
                <w:rFonts w:ascii="Cambria" w:hAnsi="Cambria"/>
                <w:bCs/>
              </w:rPr>
              <w:t>ue(v)</w:t>
            </w:r>
          </w:p>
        </w:tc>
      </w:tr>
      <w:tr w:rsidR="00EE3D19" w:rsidRPr="005C26E9" w14:paraId="31EA3A72" w14:textId="77777777" w:rsidTr="00E72F7E">
        <w:trPr>
          <w:jc w:val="center"/>
        </w:trPr>
        <w:tc>
          <w:tcPr>
            <w:tcW w:w="7931" w:type="dxa"/>
          </w:tcPr>
          <w:p w14:paraId="56EB596D" w14:textId="77777777" w:rsidR="00EE3D19" w:rsidRPr="00EE3D19" w:rsidRDefault="00EE3D19" w:rsidP="00EE3D19">
            <w:pPr>
              <w:pStyle w:val="tablesyntax"/>
              <w:keepNext w:val="0"/>
              <w:keepLines w:val="0"/>
              <w:spacing w:before="20" w:after="40"/>
              <w:rPr>
                <w:rFonts w:ascii="Cambria" w:hAnsi="Cambria"/>
              </w:rPr>
            </w:pPr>
            <w:r w:rsidRPr="00EE3D19">
              <w:rPr>
                <w:rFonts w:ascii="Cambria" w:hAnsi="Cambria"/>
              </w:rPr>
              <w:tab/>
            </w:r>
            <w:r w:rsidRPr="00EE3D19">
              <w:rPr>
                <w:rFonts w:ascii="Cambria" w:hAnsi="Cambria"/>
              </w:rPr>
              <w:tab/>
            </w:r>
            <w:r w:rsidRPr="00EE3D19">
              <w:rPr>
                <w:rFonts w:ascii="Cambria" w:hAnsi="Cambria"/>
              </w:rPr>
              <w:tab/>
              <w:t>}</w:t>
            </w:r>
          </w:p>
        </w:tc>
        <w:tc>
          <w:tcPr>
            <w:tcW w:w="1253" w:type="dxa"/>
          </w:tcPr>
          <w:p w14:paraId="1DD28FFA" w14:textId="77777777" w:rsidR="00EE3D19" w:rsidRPr="00EE3D19" w:rsidRDefault="00EE3D19" w:rsidP="00EE3D19">
            <w:pPr>
              <w:pStyle w:val="tablesyntax"/>
              <w:keepNext w:val="0"/>
              <w:keepLines w:val="0"/>
              <w:jc w:val="center"/>
              <w:rPr>
                <w:rFonts w:ascii="Cambria" w:hAnsi="Cambria"/>
                <w:bCs/>
              </w:rPr>
            </w:pPr>
          </w:p>
        </w:tc>
      </w:tr>
      <w:tr w:rsidR="00EE3D19" w:rsidRPr="005C26E9" w14:paraId="6F3D0CF6" w14:textId="77777777" w:rsidTr="00E72F7E">
        <w:trPr>
          <w:jc w:val="center"/>
        </w:trPr>
        <w:tc>
          <w:tcPr>
            <w:tcW w:w="7931" w:type="dxa"/>
          </w:tcPr>
          <w:p w14:paraId="01D0EBFA" w14:textId="77777777" w:rsidR="00EE3D19" w:rsidRPr="00EE3D19" w:rsidRDefault="00EE3D19" w:rsidP="00EE3D19">
            <w:pPr>
              <w:pStyle w:val="tablesyntax"/>
              <w:keepNext w:val="0"/>
              <w:keepLines w:val="0"/>
              <w:spacing w:before="20" w:after="40"/>
              <w:rPr>
                <w:rFonts w:ascii="Cambria" w:hAnsi="Cambria"/>
              </w:rPr>
            </w:pPr>
            <w:r w:rsidRPr="00EE3D19">
              <w:rPr>
                <w:rFonts w:ascii="Cambria" w:hAnsi="Cambria"/>
              </w:rPr>
              <w:tab/>
            </w:r>
            <w:r w:rsidRPr="00EE3D19">
              <w:rPr>
                <w:rFonts w:ascii="Cambria" w:hAnsi="Cambria"/>
              </w:rPr>
              <w:tab/>
              <w:t>}</w:t>
            </w:r>
          </w:p>
        </w:tc>
        <w:tc>
          <w:tcPr>
            <w:tcW w:w="1253" w:type="dxa"/>
          </w:tcPr>
          <w:p w14:paraId="46F99103" w14:textId="77777777" w:rsidR="00EE3D19" w:rsidRPr="00EE3D19" w:rsidRDefault="00EE3D19" w:rsidP="00EE3D19">
            <w:pPr>
              <w:pStyle w:val="tablesyntax"/>
              <w:keepNext w:val="0"/>
              <w:keepLines w:val="0"/>
              <w:jc w:val="center"/>
              <w:rPr>
                <w:rFonts w:ascii="Cambria" w:hAnsi="Cambria"/>
                <w:bCs/>
              </w:rPr>
            </w:pPr>
          </w:p>
        </w:tc>
      </w:tr>
      <w:tr w:rsidR="00EE3D19" w:rsidRPr="005C26E9" w14:paraId="50F57D0E" w14:textId="77777777" w:rsidTr="00E72F7E">
        <w:trPr>
          <w:jc w:val="center"/>
        </w:trPr>
        <w:tc>
          <w:tcPr>
            <w:tcW w:w="7931" w:type="dxa"/>
          </w:tcPr>
          <w:p w14:paraId="1427274A" w14:textId="77777777" w:rsidR="00EE3D19" w:rsidRPr="00EE3D19" w:rsidRDefault="00EE3D19" w:rsidP="00EE3D19">
            <w:pPr>
              <w:pStyle w:val="tablesyntax"/>
              <w:keepNext w:val="0"/>
              <w:keepLines w:val="0"/>
              <w:spacing w:before="20" w:after="40"/>
              <w:rPr>
                <w:rFonts w:ascii="Cambria" w:hAnsi="Cambria"/>
              </w:rPr>
            </w:pPr>
            <w:r w:rsidRPr="00EE3D19">
              <w:rPr>
                <w:rFonts w:ascii="Cambria" w:hAnsi="Cambria"/>
              </w:rPr>
              <w:tab/>
              <w:t>}</w:t>
            </w:r>
          </w:p>
        </w:tc>
        <w:tc>
          <w:tcPr>
            <w:tcW w:w="1253" w:type="dxa"/>
          </w:tcPr>
          <w:p w14:paraId="3D1B0758" w14:textId="77777777" w:rsidR="00EE3D19" w:rsidRPr="00EE3D19" w:rsidRDefault="00EE3D19" w:rsidP="00EE3D19">
            <w:pPr>
              <w:pStyle w:val="tablesyntax"/>
              <w:keepNext w:val="0"/>
              <w:keepLines w:val="0"/>
              <w:jc w:val="center"/>
              <w:rPr>
                <w:rFonts w:ascii="Cambria" w:hAnsi="Cambria"/>
                <w:bCs/>
              </w:rPr>
            </w:pPr>
          </w:p>
        </w:tc>
      </w:tr>
      <w:tr w:rsidR="00EE3D19" w:rsidRPr="005C26E9" w14:paraId="0C588B5F" w14:textId="77777777" w:rsidTr="00E72F7E">
        <w:trPr>
          <w:jc w:val="center"/>
        </w:trPr>
        <w:tc>
          <w:tcPr>
            <w:tcW w:w="7931" w:type="dxa"/>
          </w:tcPr>
          <w:p w14:paraId="74CB63DD" w14:textId="77777777" w:rsidR="00EE3D19" w:rsidRPr="00EE3D19" w:rsidRDefault="00EE3D19" w:rsidP="00EE3D19">
            <w:pPr>
              <w:pStyle w:val="tablesyntax"/>
              <w:keepNext w:val="0"/>
              <w:keepLines w:val="0"/>
              <w:spacing w:before="20" w:after="40"/>
              <w:rPr>
                <w:rFonts w:ascii="Cambria" w:hAnsi="Cambria"/>
              </w:rPr>
            </w:pPr>
            <w:r w:rsidRPr="00EE3D19">
              <w:rPr>
                <w:rFonts w:ascii="Cambria" w:hAnsi="Cambria"/>
              </w:rPr>
              <w:t>}</w:t>
            </w:r>
          </w:p>
        </w:tc>
        <w:tc>
          <w:tcPr>
            <w:tcW w:w="1253" w:type="dxa"/>
          </w:tcPr>
          <w:p w14:paraId="39C31710" w14:textId="77777777" w:rsidR="00EE3D19" w:rsidRPr="00EE3D19" w:rsidRDefault="00EE3D19" w:rsidP="00EE3D19">
            <w:pPr>
              <w:pStyle w:val="tablesyntax"/>
              <w:keepNext w:val="0"/>
              <w:keepLines w:val="0"/>
              <w:jc w:val="center"/>
              <w:rPr>
                <w:rFonts w:ascii="Cambria" w:hAnsi="Cambria"/>
                <w:bCs/>
              </w:rPr>
            </w:pPr>
          </w:p>
        </w:tc>
      </w:tr>
    </w:tbl>
    <w:p w14:paraId="3002314A" w14:textId="77777777" w:rsidR="00D8175C" w:rsidRPr="00A52AB8" w:rsidRDefault="00D8175C">
      <w:pPr>
        <w:tabs>
          <w:tab w:val="clear" w:pos="403"/>
        </w:tabs>
        <w:spacing w:after="0" w:line="240" w:lineRule="auto"/>
        <w:jc w:val="left"/>
      </w:pPr>
    </w:p>
    <w:p w14:paraId="5F29A080" w14:textId="77777777" w:rsidR="006D657C" w:rsidRPr="00A52AB8" w:rsidRDefault="006D657C">
      <w:pPr>
        <w:tabs>
          <w:tab w:val="clear" w:pos="403"/>
        </w:tabs>
        <w:spacing w:after="0" w:line="240" w:lineRule="auto"/>
        <w:jc w:val="left"/>
      </w:pPr>
      <w:r w:rsidRPr="00A52AB8">
        <w:br w:type="page"/>
      </w:r>
    </w:p>
    <w:p w14:paraId="096DC6C6" w14:textId="726F1D95" w:rsidR="00242357" w:rsidRPr="00A52AB8" w:rsidRDefault="00242357">
      <w:pPr>
        <w:pStyle w:val="a2"/>
        <w:numPr>
          <w:ilvl w:val="1"/>
          <w:numId w:val="19"/>
        </w:numPr>
      </w:pPr>
      <w:bookmarkStart w:id="5426" w:name="_Toc49350048"/>
      <w:bookmarkStart w:id="5427" w:name="_Toc21520355"/>
      <w:bookmarkStart w:id="5428" w:name="_Toc21521491"/>
      <w:bookmarkStart w:id="5429" w:name="_Toc18590524"/>
      <w:bookmarkStart w:id="5430" w:name="_Toc18590719"/>
      <w:bookmarkStart w:id="5431" w:name="_Toc18673692"/>
      <w:bookmarkStart w:id="5432" w:name="_Toc18926858"/>
      <w:bookmarkStart w:id="5433" w:name="_Toc19035398"/>
      <w:bookmarkStart w:id="5434" w:name="_Toc19036335"/>
      <w:bookmarkStart w:id="5435" w:name="_Toc20134555"/>
      <w:bookmarkStart w:id="5436" w:name="_Toc77680651"/>
      <w:bookmarkStart w:id="5437" w:name="_Toc118289247"/>
      <w:bookmarkStart w:id="5438" w:name="_Ref205113707"/>
      <w:bookmarkStart w:id="5439" w:name="_Ref215995733"/>
      <w:bookmarkStart w:id="5440" w:name="_Ref220342660"/>
      <w:bookmarkStart w:id="5441" w:name="_Toc226456857"/>
      <w:bookmarkStart w:id="5442" w:name="_Toc248045475"/>
      <w:bookmarkStart w:id="5443" w:name="_Toc287363886"/>
      <w:bookmarkStart w:id="5444" w:name="_Toc311220034"/>
      <w:bookmarkStart w:id="5445" w:name="_Toc317198911"/>
      <w:bookmarkStart w:id="5446" w:name="_Toc415476059"/>
      <w:bookmarkStart w:id="5447" w:name="_Toc423599334"/>
      <w:bookmarkStart w:id="5448" w:name="_Toc423601838"/>
      <w:bookmarkStart w:id="5449" w:name="_Toc501130311"/>
      <w:bookmarkStart w:id="5450" w:name="_Toc503778015"/>
      <w:bookmarkStart w:id="5451" w:name="_Ref7723968"/>
      <w:bookmarkStart w:id="5452" w:name="_Ref38310550"/>
      <w:bookmarkStart w:id="5453" w:name="_Toc52181732"/>
      <w:bookmarkEnd w:id="5426"/>
      <w:bookmarkEnd w:id="5427"/>
      <w:bookmarkEnd w:id="5428"/>
      <w:bookmarkEnd w:id="5429"/>
      <w:bookmarkEnd w:id="5430"/>
      <w:bookmarkEnd w:id="5431"/>
      <w:bookmarkEnd w:id="5432"/>
      <w:bookmarkEnd w:id="5433"/>
      <w:bookmarkEnd w:id="5434"/>
      <w:r w:rsidRPr="00A52AB8">
        <w:t>SEI payload semantics</w:t>
      </w:r>
      <w:bookmarkStart w:id="5454" w:name="_Ref399007842"/>
      <w:bookmarkStart w:id="5455" w:name="_Ref399011607"/>
      <w:bookmarkStart w:id="5456" w:name="_Toc415476060"/>
      <w:bookmarkStart w:id="5457" w:name="_Toc423599335"/>
      <w:bookmarkStart w:id="5458" w:name="_Toc423601839"/>
      <w:bookmarkStart w:id="5459" w:name="_Toc501130312"/>
      <w:bookmarkStart w:id="5460" w:name="_Toc503778016"/>
      <w:bookmarkEnd w:id="5435"/>
      <w:bookmarkEnd w:id="5436"/>
      <w:bookmarkEnd w:id="5437"/>
      <w:bookmarkEnd w:id="5438"/>
      <w:bookmarkEnd w:id="5439"/>
      <w:bookmarkEnd w:id="5440"/>
      <w:bookmarkEnd w:id="5441"/>
      <w:bookmarkEnd w:id="5442"/>
      <w:bookmarkEnd w:id="5443"/>
      <w:bookmarkEnd w:id="5444"/>
      <w:bookmarkEnd w:id="5445"/>
      <w:bookmarkEnd w:id="5446"/>
      <w:bookmarkEnd w:id="5447"/>
      <w:bookmarkEnd w:id="5448"/>
      <w:bookmarkEnd w:id="5449"/>
      <w:bookmarkEnd w:id="5450"/>
      <w:bookmarkEnd w:id="5451"/>
      <w:bookmarkEnd w:id="5452"/>
      <w:bookmarkEnd w:id="5453"/>
    </w:p>
    <w:p w14:paraId="536F4922" w14:textId="77777777" w:rsidR="00242357" w:rsidRPr="00A52AB8" w:rsidRDefault="00242357" w:rsidP="007A1814">
      <w:pPr>
        <w:pStyle w:val="a3"/>
        <w:numPr>
          <w:ilvl w:val="2"/>
          <w:numId w:val="19"/>
        </w:numPr>
      </w:pPr>
      <w:bookmarkStart w:id="5461" w:name="_Ref49346079"/>
      <w:bookmarkStart w:id="5462" w:name="_Ref49346084"/>
      <w:bookmarkStart w:id="5463" w:name="_Toc52181733"/>
      <w:r w:rsidRPr="00A52AB8">
        <w:t>General SEI payload semantics</w:t>
      </w:r>
      <w:bookmarkEnd w:id="5454"/>
      <w:bookmarkEnd w:id="5455"/>
      <w:bookmarkEnd w:id="5456"/>
      <w:bookmarkEnd w:id="5457"/>
      <w:bookmarkEnd w:id="5458"/>
      <w:bookmarkEnd w:id="5459"/>
      <w:bookmarkEnd w:id="5460"/>
      <w:bookmarkEnd w:id="5461"/>
      <w:bookmarkEnd w:id="5462"/>
      <w:bookmarkEnd w:id="5463"/>
    </w:p>
    <w:p w14:paraId="6F5587D2" w14:textId="77777777" w:rsidR="00242357" w:rsidRPr="00A52AB8" w:rsidRDefault="00242357">
      <w:r w:rsidRPr="00A52AB8">
        <w:rPr>
          <w:b/>
        </w:rPr>
        <w:t>sp_reserved_payload_extension_data</w:t>
      </w:r>
      <w:r w:rsidRPr="00A52AB8">
        <w:t xml:space="preserve"> shall not be present in bitstreams conforming to this version of </w:t>
      </w:r>
      <w:r w:rsidR="00FD4C0B" w:rsidRPr="00A52AB8">
        <w:t>this document</w:t>
      </w:r>
      <w:r w:rsidRPr="00A52AB8">
        <w:t xml:space="preserve">. However, decoders conforming to this version of </w:t>
      </w:r>
      <w:r w:rsidR="00FD4C0B" w:rsidRPr="00A52AB8">
        <w:t>this document</w:t>
      </w:r>
      <w:r w:rsidRPr="00A52AB8">
        <w:t xml:space="preserve"> shall ignore the presence and value of sp_reserved_payload_extension_data. When present, the length, in bits, of sp_reserved_payload_extension_data is equal to 8 * payloadSize − nEarlierBits − nPayloadZeroBits − 1, where nEarlierBits is the number of bits in the sei_payload( ) syntax structure that precede the sp_reserved_payload_extension_data syntax element and nPayloadZeroBits is the number of payload_bit_equal_to_zero syntax elements at the end of the sei_payload( ) syntax structure.</w:t>
      </w:r>
    </w:p>
    <w:p w14:paraId="3F4887C3" w14:textId="7E4D6C6C" w:rsidR="00242357" w:rsidRPr="00A52AB8" w:rsidRDefault="00242357">
      <w:pPr>
        <w:pStyle w:val="Note1"/>
        <w:rPr>
          <w:rFonts w:ascii="Cambria" w:hAnsi="Cambria"/>
        </w:rPr>
      </w:pPr>
      <w:r w:rsidRPr="00A52AB8">
        <w:rPr>
          <w:rFonts w:ascii="Cambria" w:hAnsi="Cambria"/>
        </w:rPr>
        <w:t>NOTE </w:t>
      </w:r>
      <w:r w:rsidRPr="00496A4D">
        <w:rPr>
          <w:rFonts w:ascii="Cambria" w:hAnsi="Cambria"/>
        </w:rPr>
        <w:fldChar w:fldCharType="begin"/>
      </w:r>
      <w:r w:rsidRPr="00A52AB8">
        <w:rPr>
          <w:rFonts w:ascii="Cambria" w:hAnsi="Cambria"/>
        </w:rPr>
        <w:instrText xml:space="preserve"> SEQ NoteCounter \r 1 \* MERGEFORMAT </w:instrText>
      </w:r>
      <w:r w:rsidRPr="00496A4D">
        <w:rPr>
          <w:rFonts w:ascii="Cambria" w:hAnsi="Cambria"/>
        </w:rPr>
        <w:fldChar w:fldCharType="separate"/>
      </w:r>
      <w:r w:rsidR="00507A67">
        <w:rPr>
          <w:rFonts w:ascii="Cambria" w:hAnsi="Cambria"/>
          <w:noProof/>
        </w:rPr>
        <w:t>1</w:t>
      </w:r>
      <w:r w:rsidRPr="00496A4D">
        <w:rPr>
          <w:rFonts w:ascii="Cambria" w:hAnsi="Cambria"/>
        </w:rPr>
        <w:fldChar w:fldCharType="end"/>
      </w:r>
      <w:r w:rsidRPr="00A52AB8">
        <w:rPr>
          <w:rFonts w:ascii="Cambria" w:hAnsi="Cambria"/>
        </w:rPr>
        <w:t xml:space="preserve"> – SEI messages with the same value of payloadType are conceptually the same SEI message regardless of whether they are contained in prefix or suffix SEI </w:t>
      </w:r>
      <w:r w:rsidR="00231931" w:rsidRPr="00A52AB8">
        <w:rPr>
          <w:rFonts w:ascii="Cambria" w:hAnsi="Cambria"/>
        </w:rPr>
        <w:t>NAL</w:t>
      </w:r>
      <w:r w:rsidR="008672A7" w:rsidRPr="00A52AB8">
        <w:rPr>
          <w:rFonts w:ascii="Cambria" w:hAnsi="Cambria"/>
        </w:rPr>
        <w:t xml:space="preserve"> </w:t>
      </w:r>
      <w:r w:rsidRPr="00A52AB8">
        <w:rPr>
          <w:rFonts w:ascii="Cambria" w:hAnsi="Cambria"/>
        </w:rPr>
        <w:t>units.</w:t>
      </w:r>
    </w:p>
    <w:p w14:paraId="5C8D2313" w14:textId="7BFD0819" w:rsidR="00242357" w:rsidRPr="00A52AB8" w:rsidRDefault="00242357">
      <w:r w:rsidRPr="00A52AB8">
        <w:t>The semantics and persistence scope for each SEI message are specified in the semantics specification for each particular SEI message.</w:t>
      </w:r>
      <w:r w:rsidR="002C7029" w:rsidRPr="00A52AB8">
        <w:t xml:space="preserve"> Unless indicated otherwise, all defined SEI messages </w:t>
      </w:r>
      <w:r w:rsidR="002C5775" w:rsidRPr="00A52AB8">
        <w:t xml:space="preserve">and their persistence scope </w:t>
      </w:r>
      <w:r w:rsidR="009E20B3" w:rsidRPr="00A52AB8">
        <w:t>are associated</w:t>
      </w:r>
      <w:r w:rsidR="002C7029" w:rsidRPr="00A52AB8">
        <w:t xml:space="preserve"> only with the current atlas with atlas ID SeiAtlasID</w:t>
      </w:r>
      <w:r w:rsidR="00720659">
        <w:t>,</w:t>
      </w:r>
      <w:r w:rsidR="0009608D">
        <w:t xml:space="preserve"> </w:t>
      </w:r>
      <w:r w:rsidR="0009608D" w:rsidRPr="0009608D">
        <w:rPr>
          <w:highlight w:val="yellow"/>
        </w:rPr>
        <w:t>or the common atlas</w:t>
      </w:r>
      <w:r w:rsidR="002C7029" w:rsidRPr="00A52AB8">
        <w:t>.</w:t>
      </w:r>
    </w:p>
    <w:p w14:paraId="2D876493" w14:textId="4DF8A6D2" w:rsidR="00242357" w:rsidRPr="00A52AB8" w:rsidRDefault="00242357">
      <w:pPr>
        <w:pStyle w:val="Note1"/>
        <w:rPr>
          <w:rFonts w:ascii="Cambria" w:hAnsi="Cambria"/>
        </w:rPr>
      </w:pPr>
      <w:r w:rsidRPr="00A52AB8">
        <w:rPr>
          <w:rFonts w:ascii="Cambria" w:hAnsi="Cambria"/>
        </w:rPr>
        <w:t>NOTE </w:t>
      </w:r>
      <w:r w:rsidR="00EC4694" w:rsidRPr="00496A4D">
        <w:rPr>
          <w:rFonts w:ascii="Cambria" w:hAnsi="Cambria"/>
        </w:rPr>
        <w:fldChar w:fldCharType="begin"/>
      </w:r>
      <w:r w:rsidR="00EC4694" w:rsidRPr="00A52AB8">
        <w:rPr>
          <w:rFonts w:ascii="Cambria" w:hAnsi="Cambria"/>
        </w:rPr>
        <w:instrText xml:space="preserve"> SEQ NoteCounter \s 1 \* MERGEFORMAT </w:instrText>
      </w:r>
      <w:r w:rsidR="00EC4694" w:rsidRPr="00496A4D">
        <w:rPr>
          <w:rFonts w:ascii="Cambria" w:hAnsi="Cambria"/>
        </w:rPr>
        <w:fldChar w:fldCharType="separate"/>
      </w:r>
      <w:r w:rsidR="00507A67">
        <w:rPr>
          <w:rFonts w:ascii="Cambria" w:hAnsi="Cambria"/>
          <w:noProof/>
        </w:rPr>
        <w:t>2</w:t>
      </w:r>
      <w:r w:rsidR="00EC4694" w:rsidRPr="00496A4D">
        <w:rPr>
          <w:rFonts w:ascii="Cambria" w:hAnsi="Cambria"/>
        </w:rPr>
        <w:fldChar w:fldCharType="end"/>
      </w:r>
      <w:r w:rsidRPr="00A52AB8">
        <w:rPr>
          <w:rFonts w:ascii="Cambria" w:hAnsi="Cambria"/>
        </w:rPr>
        <w:t> – Persistence information for SEI messages is informatively summarized in</w:t>
      </w:r>
      <w:r w:rsidR="000C54FE" w:rsidRPr="00A52AB8">
        <w:rPr>
          <w:rFonts w:ascii="Cambria" w:hAnsi="Cambria"/>
        </w:rPr>
        <w:t xml:space="preserve"> </w:t>
      </w:r>
      <w:r w:rsidR="000C54FE" w:rsidRPr="00496A4D">
        <w:rPr>
          <w:rFonts w:ascii="Cambria" w:hAnsi="Cambria"/>
        </w:rPr>
        <w:fldChar w:fldCharType="begin"/>
      </w:r>
      <w:r w:rsidR="000C54FE" w:rsidRPr="00A52AB8">
        <w:rPr>
          <w:rFonts w:ascii="Cambria" w:hAnsi="Cambria"/>
        </w:rPr>
        <w:instrText xml:space="preserve"> REF _Ref21535787 \h </w:instrText>
      </w:r>
      <w:r w:rsidR="00025423" w:rsidRPr="00A52AB8">
        <w:rPr>
          <w:rFonts w:ascii="Cambria" w:hAnsi="Cambria"/>
        </w:rPr>
        <w:instrText xml:space="preserve"> \* MERGEFORMAT </w:instrText>
      </w:r>
      <w:r w:rsidR="000C54FE" w:rsidRPr="00496A4D">
        <w:rPr>
          <w:rFonts w:ascii="Cambria" w:hAnsi="Cambria"/>
        </w:rPr>
      </w:r>
      <w:r w:rsidR="000C54FE" w:rsidRPr="00496A4D">
        <w:rPr>
          <w:rFonts w:ascii="Cambria" w:hAnsi="Cambria"/>
        </w:rPr>
        <w:fldChar w:fldCharType="separate"/>
      </w:r>
      <w:r w:rsidR="00507A67" w:rsidRPr="00507A67">
        <w:rPr>
          <w:rFonts w:ascii="Cambria" w:hAnsi="Cambria"/>
        </w:rPr>
        <w:t>Table F-2</w:t>
      </w:r>
      <w:r w:rsidR="000C54FE" w:rsidRPr="00496A4D">
        <w:rPr>
          <w:rFonts w:ascii="Cambria" w:hAnsi="Cambria"/>
        </w:rPr>
        <w:fldChar w:fldCharType="end"/>
      </w:r>
      <w:r w:rsidRPr="00A52AB8">
        <w:rPr>
          <w:rFonts w:ascii="Cambria" w:hAnsi="Cambria"/>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80" w:type="dxa"/>
          <w:right w:w="80" w:type="dxa"/>
        </w:tblCellMar>
        <w:tblLook w:val="0000" w:firstRow="0" w:lastRow="0" w:firstColumn="0" w:lastColumn="0" w:noHBand="0" w:noVBand="0"/>
      </w:tblPr>
      <w:tblGrid>
        <w:gridCol w:w="3503"/>
        <w:gridCol w:w="6249"/>
      </w:tblGrid>
      <w:tr w:rsidR="00242357" w:rsidRPr="00A52AB8" w14:paraId="6FFF4E98" w14:textId="77777777" w:rsidTr="00FB4953">
        <w:trPr>
          <w:trHeight w:val="144"/>
          <w:jc w:val="center"/>
        </w:trPr>
        <w:tc>
          <w:tcPr>
            <w:tcW w:w="5000" w:type="pct"/>
            <w:gridSpan w:val="2"/>
            <w:tcBorders>
              <w:top w:val="nil"/>
              <w:left w:val="nil"/>
              <w:right w:val="nil"/>
            </w:tcBorders>
          </w:tcPr>
          <w:p w14:paraId="3E2A189F" w14:textId="2DC6161D" w:rsidR="00242357" w:rsidRPr="00A52AB8" w:rsidRDefault="000C54FE">
            <w:pPr>
              <w:pStyle w:val="Tabletitle0"/>
            </w:pPr>
            <w:bookmarkStart w:id="5464" w:name="_Ref21535787"/>
            <w:bookmarkStart w:id="5465" w:name="_Ref349227778"/>
            <w:bookmarkStart w:id="5466" w:name="_Toc415476512"/>
            <w:bookmarkStart w:id="5467" w:name="_Toc423602575"/>
            <w:bookmarkStart w:id="5468" w:name="_Toc423602749"/>
            <w:bookmarkStart w:id="5469" w:name="_Toc501130640"/>
            <w:bookmarkStart w:id="5470" w:name="_Toc503770648"/>
            <w:r w:rsidRPr="00A52AB8">
              <w:t>Table </w:t>
            </w:r>
            <w:r w:rsidR="00085E4B" w:rsidRPr="00A52AB8">
              <w:t>F</w:t>
            </w:r>
            <w:r w:rsidRPr="00A52AB8">
              <w:t>-</w:t>
            </w:r>
            <w:r w:rsidRPr="00496A4D">
              <w:fldChar w:fldCharType="begin"/>
            </w:r>
            <w:r w:rsidRPr="00A52AB8">
              <w:instrText xml:space="preserve"> SEQ Table \* ARABIC \s 1 </w:instrText>
            </w:r>
            <w:r w:rsidRPr="00496A4D">
              <w:fldChar w:fldCharType="separate"/>
            </w:r>
            <w:r w:rsidR="00507A67">
              <w:rPr>
                <w:noProof/>
              </w:rPr>
              <w:t>2</w:t>
            </w:r>
            <w:r w:rsidRPr="00496A4D">
              <w:fldChar w:fldCharType="end"/>
            </w:r>
            <w:bookmarkEnd w:id="5464"/>
            <w:r w:rsidR="001604C8" w:rsidRPr="00A52AB8">
              <w:rPr>
                <w:rFonts w:cs="Calibri"/>
                <w:bCs/>
              </w:rPr>
              <w:t> </w:t>
            </w:r>
            <w:r w:rsidR="001604C8" w:rsidRPr="00A52AB8">
              <w:t>– </w:t>
            </w:r>
            <w:r w:rsidRPr="00A52AB8">
              <w:rPr>
                <w:sz w:val="21"/>
                <w:szCs w:val="18"/>
              </w:rPr>
              <w:t>Persistence scope of SEI messages</w:t>
            </w:r>
            <w:bookmarkEnd w:id="5465"/>
            <w:bookmarkEnd w:id="5466"/>
            <w:bookmarkEnd w:id="5467"/>
            <w:bookmarkEnd w:id="5468"/>
            <w:bookmarkEnd w:id="5469"/>
            <w:bookmarkEnd w:id="5470"/>
          </w:p>
        </w:tc>
      </w:tr>
      <w:tr w:rsidR="00242357" w:rsidRPr="00A52AB8" w14:paraId="0EF7393C" w14:textId="77777777" w:rsidTr="00FB4953">
        <w:trPr>
          <w:trHeight w:val="144"/>
          <w:jc w:val="center"/>
        </w:trPr>
        <w:tc>
          <w:tcPr>
            <w:tcW w:w="1796" w:type="pct"/>
          </w:tcPr>
          <w:p w14:paraId="30771E52" w14:textId="77777777" w:rsidR="00242357" w:rsidRPr="00A52AB8" w:rsidRDefault="00242357">
            <w:pPr>
              <w:pStyle w:val="tableheading"/>
              <w:keepNext w:val="0"/>
              <w:numPr>
                <w:ilvl w:val="12"/>
                <w:numId w:val="0"/>
              </w:numPr>
              <w:spacing w:before="40" w:after="40"/>
              <w:jc w:val="center"/>
              <w:rPr>
                <w:rFonts w:ascii="Cambria" w:hAnsi="Cambria"/>
                <w:b w:val="0"/>
                <w:lang w:eastAsia="ja-JP"/>
              </w:rPr>
            </w:pPr>
            <w:r w:rsidRPr="00A52AB8">
              <w:rPr>
                <w:rFonts w:ascii="Cambria" w:hAnsi="Cambria"/>
                <w:lang w:eastAsia="ja-JP"/>
              </w:rPr>
              <w:t>SEI message</w:t>
            </w:r>
          </w:p>
        </w:tc>
        <w:tc>
          <w:tcPr>
            <w:tcW w:w="3204" w:type="pct"/>
          </w:tcPr>
          <w:p w14:paraId="64D3086D" w14:textId="77777777" w:rsidR="00242357" w:rsidRPr="00A52AB8" w:rsidRDefault="00242357">
            <w:pPr>
              <w:pStyle w:val="tableheading"/>
              <w:keepNext w:val="0"/>
              <w:numPr>
                <w:ilvl w:val="12"/>
                <w:numId w:val="0"/>
              </w:numPr>
              <w:spacing w:before="40" w:after="40"/>
              <w:jc w:val="center"/>
              <w:rPr>
                <w:rFonts w:ascii="Cambria" w:hAnsi="Cambria"/>
                <w:b w:val="0"/>
                <w:lang w:eastAsia="ja-JP"/>
              </w:rPr>
            </w:pPr>
            <w:r w:rsidRPr="00A52AB8">
              <w:rPr>
                <w:rFonts w:ascii="Cambria" w:hAnsi="Cambria"/>
                <w:lang w:eastAsia="ja-JP"/>
              </w:rPr>
              <w:t>Persistence scope</w:t>
            </w:r>
          </w:p>
        </w:tc>
      </w:tr>
      <w:tr w:rsidR="00242357" w:rsidRPr="00A52AB8" w14:paraId="0C117C3D" w14:textId="77777777" w:rsidTr="00FB4953">
        <w:trPr>
          <w:trHeight w:val="144"/>
          <w:jc w:val="center"/>
        </w:trPr>
        <w:tc>
          <w:tcPr>
            <w:tcW w:w="1796" w:type="pct"/>
            <w:vAlign w:val="center"/>
          </w:tcPr>
          <w:p w14:paraId="3D5B5B09" w14:textId="77777777" w:rsidR="00242357" w:rsidRPr="00A52AB8" w:rsidRDefault="00242357">
            <w:pPr>
              <w:spacing w:before="40" w:after="40"/>
              <w:jc w:val="center"/>
            </w:pPr>
            <w:r w:rsidRPr="00A52AB8">
              <w:t>Buffering period</w:t>
            </w:r>
          </w:p>
        </w:tc>
        <w:tc>
          <w:tcPr>
            <w:tcW w:w="3204" w:type="pct"/>
            <w:vAlign w:val="center"/>
          </w:tcPr>
          <w:p w14:paraId="74C0307F" w14:textId="77777777" w:rsidR="00242357" w:rsidRPr="00A52AB8" w:rsidRDefault="00242357">
            <w:pPr>
              <w:pStyle w:val="tablecell"/>
              <w:keepNext w:val="0"/>
              <w:numPr>
                <w:ilvl w:val="12"/>
                <w:numId w:val="0"/>
              </w:numPr>
              <w:spacing w:before="40" w:after="40"/>
              <w:jc w:val="center"/>
              <w:rPr>
                <w:rFonts w:ascii="Cambria" w:hAnsi="Cambria"/>
              </w:rPr>
            </w:pPr>
            <w:r w:rsidRPr="00A52AB8">
              <w:rPr>
                <w:rFonts w:ascii="Cambria" w:hAnsi="Cambria"/>
              </w:rPr>
              <w:t>The remainder of the bitstream</w:t>
            </w:r>
          </w:p>
        </w:tc>
      </w:tr>
      <w:tr w:rsidR="00242357" w:rsidRPr="00A52AB8" w14:paraId="160441BD" w14:textId="77777777" w:rsidTr="00FB4953">
        <w:trPr>
          <w:trHeight w:val="144"/>
          <w:jc w:val="center"/>
        </w:trPr>
        <w:tc>
          <w:tcPr>
            <w:tcW w:w="1796" w:type="pct"/>
            <w:vAlign w:val="center"/>
          </w:tcPr>
          <w:p w14:paraId="15D7ECA1" w14:textId="77777777" w:rsidR="00242357" w:rsidRPr="00A52AB8" w:rsidRDefault="003B75E9">
            <w:pPr>
              <w:spacing w:before="40" w:after="40"/>
              <w:jc w:val="center"/>
            </w:pPr>
            <w:r w:rsidRPr="00A52AB8">
              <w:t xml:space="preserve">Atlas frame </w:t>
            </w:r>
            <w:r w:rsidR="00242357" w:rsidRPr="00A52AB8">
              <w:t>timing</w:t>
            </w:r>
          </w:p>
        </w:tc>
        <w:tc>
          <w:tcPr>
            <w:tcW w:w="3204" w:type="pct"/>
            <w:vAlign w:val="center"/>
          </w:tcPr>
          <w:p w14:paraId="179DA65F" w14:textId="77777777" w:rsidR="00242357" w:rsidRPr="00A52AB8" w:rsidRDefault="00242357">
            <w:pPr>
              <w:pStyle w:val="tablecell"/>
              <w:keepNext w:val="0"/>
              <w:numPr>
                <w:ilvl w:val="12"/>
                <w:numId w:val="0"/>
              </w:numPr>
              <w:spacing w:before="40" w:after="40"/>
              <w:jc w:val="center"/>
              <w:rPr>
                <w:rFonts w:ascii="Cambria" w:hAnsi="Cambria"/>
                <w:lang w:eastAsia="ja-JP"/>
              </w:rPr>
            </w:pPr>
            <w:r w:rsidRPr="00A52AB8">
              <w:rPr>
                <w:rFonts w:ascii="Cambria" w:hAnsi="Cambria"/>
              </w:rPr>
              <w:t>The access unit containing the SEI message</w:t>
            </w:r>
          </w:p>
        </w:tc>
      </w:tr>
      <w:tr w:rsidR="00242357" w:rsidRPr="00A52AB8" w14:paraId="2D1EC3AE" w14:textId="77777777" w:rsidTr="00FB4953">
        <w:trPr>
          <w:trHeight w:val="144"/>
          <w:jc w:val="center"/>
        </w:trPr>
        <w:tc>
          <w:tcPr>
            <w:tcW w:w="1796" w:type="pct"/>
            <w:vAlign w:val="center"/>
          </w:tcPr>
          <w:p w14:paraId="3C5A9E1E" w14:textId="77777777" w:rsidR="00242357" w:rsidRPr="00A52AB8" w:rsidRDefault="00242357">
            <w:pPr>
              <w:spacing w:before="40" w:after="40"/>
              <w:jc w:val="center"/>
            </w:pPr>
            <w:r w:rsidRPr="00A52AB8">
              <w:t>Filler payload</w:t>
            </w:r>
          </w:p>
        </w:tc>
        <w:tc>
          <w:tcPr>
            <w:tcW w:w="3204" w:type="pct"/>
            <w:vAlign w:val="center"/>
          </w:tcPr>
          <w:p w14:paraId="7B70B00C" w14:textId="77777777" w:rsidR="00242357" w:rsidRPr="00A52AB8" w:rsidRDefault="00242357">
            <w:pPr>
              <w:pStyle w:val="tablecell"/>
              <w:keepNext w:val="0"/>
              <w:numPr>
                <w:ilvl w:val="12"/>
                <w:numId w:val="0"/>
              </w:numPr>
              <w:spacing w:before="40" w:after="40"/>
              <w:jc w:val="center"/>
              <w:rPr>
                <w:rFonts w:ascii="Cambria" w:hAnsi="Cambria"/>
                <w:lang w:eastAsia="ja-JP"/>
              </w:rPr>
            </w:pPr>
            <w:r w:rsidRPr="00A52AB8">
              <w:rPr>
                <w:rFonts w:ascii="Cambria" w:hAnsi="Cambria"/>
              </w:rPr>
              <w:t>The access unit containing the SEI message</w:t>
            </w:r>
          </w:p>
        </w:tc>
      </w:tr>
      <w:tr w:rsidR="00242357" w:rsidRPr="00A52AB8" w14:paraId="7BA60174" w14:textId="77777777" w:rsidTr="00FB4953">
        <w:trPr>
          <w:trHeight w:val="144"/>
          <w:jc w:val="center"/>
        </w:trPr>
        <w:tc>
          <w:tcPr>
            <w:tcW w:w="1796" w:type="pct"/>
            <w:vAlign w:val="center"/>
          </w:tcPr>
          <w:p w14:paraId="1045C5DA" w14:textId="77777777" w:rsidR="00242357" w:rsidRPr="00A52AB8" w:rsidRDefault="00242357">
            <w:pPr>
              <w:spacing w:before="40" w:after="40"/>
              <w:jc w:val="center"/>
            </w:pPr>
            <w:r w:rsidRPr="00A52AB8">
              <w:t xml:space="preserve">User data registered by </w:t>
            </w:r>
            <w:r w:rsidR="006C304D" w:rsidRPr="00A52AB8">
              <w:br/>
            </w:r>
            <w:r w:rsidRPr="00A52AB8">
              <w:t>Rec. ITU-T T.35</w:t>
            </w:r>
          </w:p>
        </w:tc>
        <w:tc>
          <w:tcPr>
            <w:tcW w:w="3204" w:type="pct"/>
            <w:vAlign w:val="center"/>
          </w:tcPr>
          <w:p w14:paraId="5FC3F54A" w14:textId="77777777" w:rsidR="00242357" w:rsidRPr="00A52AB8" w:rsidRDefault="00242357">
            <w:pPr>
              <w:pStyle w:val="tablecell"/>
              <w:keepNext w:val="0"/>
              <w:numPr>
                <w:ilvl w:val="12"/>
                <w:numId w:val="0"/>
              </w:numPr>
              <w:spacing w:before="40" w:after="40"/>
              <w:jc w:val="center"/>
              <w:rPr>
                <w:rFonts w:ascii="Cambria" w:hAnsi="Cambria"/>
                <w:lang w:eastAsia="ja-JP"/>
              </w:rPr>
            </w:pPr>
            <w:r w:rsidRPr="00A52AB8">
              <w:rPr>
                <w:rFonts w:ascii="Cambria" w:hAnsi="Cambria"/>
                <w:lang w:eastAsia="ja-JP"/>
              </w:rPr>
              <w:t>Unspecified</w:t>
            </w:r>
          </w:p>
        </w:tc>
      </w:tr>
      <w:tr w:rsidR="00242357" w:rsidRPr="00A52AB8" w14:paraId="015846CC" w14:textId="77777777" w:rsidTr="00FB4953">
        <w:trPr>
          <w:trHeight w:val="144"/>
          <w:jc w:val="center"/>
        </w:trPr>
        <w:tc>
          <w:tcPr>
            <w:tcW w:w="1796" w:type="pct"/>
            <w:vAlign w:val="center"/>
          </w:tcPr>
          <w:p w14:paraId="2A92BCB9" w14:textId="77777777" w:rsidR="00242357" w:rsidRPr="00A52AB8" w:rsidRDefault="00242357">
            <w:pPr>
              <w:spacing w:before="40" w:after="40"/>
              <w:jc w:val="center"/>
            </w:pPr>
            <w:r w:rsidRPr="00A52AB8">
              <w:t>User data unregistered</w:t>
            </w:r>
          </w:p>
        </w:tc>
        <w:tc>
          <w:tcPr>
            <w:tcW w:w="3204" w:type="pct"/>
            <w:vAlign w:val="center"/>
          </w:tcPr>
          <w:p w14:paraId="5A5EC92A" w14:textId="77777777" w:rsidR="00242357" w:rsidRPr="00A52AB8" w:rsidRDefault="00242357">
            <w:pPr>
              <w:pStyle w:val="tablecell"/>
              <w:keepNext w:val="0"/>
              <w:numPr>
                <w:ilvl w:val="12"/>
                <w:numId w:val="0"/>
              </w:numPr>
              <w:spacing w:before="40" w:after="40"/>
              <w:jc w:val="center"/>
              <w:rPr>
                <w:rFonts w:ascii="Cambria" w:hAnsi="Cambria"/>
                <w:lang w:eastAsia="ja-JP"/>
              </w:rPr>
            </w:pPr>
            <w:r w:rsidRPr="00A52AB8">
              <w:rPr>
                <w:rFonts w:ascii="Cambria" w:hAnsi="Cambria"/>
                <w:lang w:eastAsia="ja-JP"/>
              </w:rPr>
              <w:t>Unspecified</w:t>
            </w:r>
          </w:p>
        </w:tc>
      </w:tr>
      <w:tr w:rsidR="00242357" w:rsidRPr="00A52AB8" w14:paraId="0B909F41" w14:textId="77777777" w:rsidTr="00FB4953">
        <w:trPr>
          <w:trHeight w:val="144"/>
          <w:jc w:val="center"/>
        </w:trPr>
        <w:tc>
          <w:tcPr>
            <w:tcW w:w="1796" w:type="pct"/>
            <w:vAlign w:val="center"/>
          </w:tcPr>
          <w:p w14:paraId="32A0C139" w14:textId="77777777" w:rsidR="00242357" w:rsidRPr="00A52AB8" w:rsidRDefault="00242357">
            <w:pPr>
              <w:spacing w:before="40" w:after="40"/>
              <w:jc w:val="center"/>
            </w:pPr>
            <w:r w:rsidRPr="00A52AB8">
              <w:t>Recovery point</w:t>
            </w:r>
          </w:p>
        </w:tc>
        <w:tc>
          <w:tcPr>
            <w:tcW w:w="3204" w:type="pct"/>
            <w:vAlign w:val="center"/>
          </w:tcPr>
          <w:p w14:paraId="5C217BA0" w14:textId="77777777" w:rsidR="00242357" w:rsidRPr="00A52AB8" w:rsidRDefault="00242357">
            <w:pPr>
              <w:pStyle w:val="tablecell"/>
              <w:keepNext w:val="0"/>
              <w:numPr>
                <w:ilvl w:val="12"/>
                <w:numId w:val="0"/>
              </w:numPr>
              <w:spacing w:before="40" w:after="40"/>
              <w:jc w:val="center"/>
              <w:rPr>
                <w:rFonts w:ascii="Cambria" w:hAnsi="Cambria"/>
                <w:lang w:eastAsia="ja-JP"/>
              </w:rPr>
            </w:pPr>
            <w:r w:rsidRPr="00A52AB8">
              <w:rPr>
                <w:rFonts w:ascii="Cambria" w:hAnsi="Cambria"/>
              </w:rPr>
              <w:t>Specified by the syntax of the SEI message</w:t>
            </w:r>
          </w:p>
        </w:tc>
      </w:tr>
      <w:tr w:rsidR="00242357" w:rsidRPr="00A52AB8" w14:paraId="50113BEA" w14:textId="77777777" w:rsidTr="00FB4953">
        <w:trPr>
          <w:trHeight w:val="144"/>
          <w:jc w:val="center"/>
        </w:trPr>
        <w:tc>
          <w:tcPr>
            <w:tcW w:w="1796" w:type="pct"/>
            <w:vAlign w:val="center"/>
          </w:tcPr>
          <w:p w14:paraId="463A2E9F" w14:textId="77777777" w:rsidR="00242357" w:rsidRPr="00A52AB8" w:rsidRDefault="005D610C">
            <w:pPr>
              <w:spacing w:before="40" w:after="40"/>
              <w:jc w:val="center"/>
            </w:pPr>
            <w:r w:rsidRPr="00A52AB8">
              <w:t xml:space="preserve">Decoded </w:t>
            </w:r>
            <w:r w:rsidR="00382AD4" w:rsidRPr="00A52AB8">
              <w:t>a</w:t>
            </w:r>
            <w:r w:rsidRPr="00A52AB8">
              <w:t xml:space="preserve">tlas </w:t>
            </w:r>
            <w:r w:rsidR="00382AD4" w:rsidRPr="00A52AB8">
              <w:t>i</w:t>
            </w:r>
            <w:r w:rsidRPr="00A52AB8">
              <w:t xml:space="preserve">nformation </w:t>
            </w:r>
            <w:r w:rsidR="00382AD4" w:rsidRPr="00A52AB8">
              <w:t>h</w:t>
            </w:r>
            <w:r w:rsidRPr="00A52AB8">
              <w:t>ash</w:t>
            </w:r>
          </w:p>
        </w:tc>
        <w:tc>
          <w:tcPr>
            <w:tcW w:w="3204" w:type="pct"/>
            <w:vAlign w:val="center"/>
          </w:tcPr>
          <w:p w14:paraId="411B5178" w14:textId="77777777" w:rsidR="00242357" w:rsidRPr="00A52AB8" w:rsidRDefault="00382AD4">
            <w:pPr>
              <w:pStyle w:val="tablecell"/>
              <w:keepNext w:val="0"/>
              <w:numPr>
                <w:ilvl w:val="12"/>
                <w:numId w:val="0"/>
              </w:numPr>
              <w:spacing w:before="40" w:after="40"/>
              <w:jc w:val="center"/>
              <w:rPr>
                <w:rFonts w:ascii="Cambria" w:hAnsi="Cambria"/>
              </w:rPr>
            </w:pPr>
            <w:r w:rsidRPr="00A52AB8">
              <w:rPr>
                <w:rFonts w:ascii="Cambria" w:hAnsi="Cambria"/>
              </w:rPr>
              <w:t>Specified by the syntax of the SEI message</w:t>
            </w:r>
          </w:p>
        </w:tc>
      </w:tr>
      <w:tr w:rsidR="00242357" w:rsidRPr="00A52AB8" w14:paraId="38F7FE21" w14:textId="77777777" w:rsidTr="00FB4953">
        <w:trPr>
          <w:trHeight w:val="144"/>
          <w:jc w:val="center"/>
        </w:trPr>
        <w:tc>
          <w:tcPr>
            <w:tcW w:w="1796" w:type="pct"/>
          </w:tcPr>
          <w:p w14:paraId="4034593F" w14:textId="77777777" w:rsidR="00242357" w:rsidRPr="00A52AB8" w:rsidRDefault="00242357">
            <w:pPr>
              <w:spacing w:before="40" w:after="40"/>
              <w:jc w:val="center"/>
            </w:pPr>
            <w:r w:rsidRPr="00A52AB8">
              <w:t>No display</w:t>
            </w:r>
          </w:p>
        </w:tc>
        <w:tc>
          <w:tcPr>
            <w:tcW w:w="3204" w:type="pct"/>
          </w:tcPr>
          <w:p w14:paraId="3350AC8A" w14:textId="77777777" w:rsidR="00242357" w:rsidRPr="00A52AB8" w:rsidRDefault="00242357">
            <w:pPr>
              <w:pStyle w:val="tablecell"/>
              <w:keepNext w:val="0"/>
              <w:numPr>
                <w:ilvl w:val="12"/>
                <w:numId w:val="0"/>
              </w:numPr>
              <w:spacing w:before="40" w:after="40"/>
              <w:jc w:val="center"/>
              <w:rPr>
                <w:rFonts w:ascii="Cambria" w:hAnsi="Cambria"/>
                <w:lang w:eastAsia="ja-JP"/>
              </w:rPr>
            </w:pPr>
            <w:r w:rsidRPr="00A52AB8">
              <w:rPr>
                <w:rFonts w:ascii="Cambria" w:hAnsi="Cambria"/>
                <w:lang w:eastAsia="ja-JP"/>
              </w:rPr>
              <w:t xml:space="preserve">The </w:t>
            </w:r>
            <w:r w:rsidR="008C6F08" w:rsidRPr="00A52AB8">
              <w:rPr>
                <w:rFonts w:ascii="Cambria" w:hAnsi="Cambria"/>
                <w:lang w:eastAsia="ja-JP"/>
              </w:rPr>
              <w:t xml:space="preserve">coded atlas </w:t>
            </w:r>
            <w:r w:rsidRPr="00A52AB8">
              <w:rPr>
                <w:rFonts w:ascii="Cambria" w:hAnsi="Cambria"/>
                <w:lang w:eastAsia="ja-JP"/>
              </w:rPr>
              <w:t>access unit containing the SEI message</w:t>
            </w:r>
          </w:p>
        </w:tc>
      </w:tr>
      <w:tr w:rsidR="00242357" w:rsidRPr="00A52AB8" w14:paraId="271A67A6" w14:textId="77777777" w:rsidTr="00FB4953">
        <w:trPr>
          <w:trHeight w:val="144"/>
          <w:jc w:val="center"/>
        </w:trPr>
        <w:tc>
          <w:tcPr>
            <w:tcW w:w="1796" w:type="pct"/>
          </w:tcPr>
          <w:p w14:paraId="1CDD0338" w14:textId="77777777" w:rsidR="00242357" w:rsidRPr="00A52AB8" w:rsidRDefault="00242357">
            <w:pPr>
              <w:spacing w:before="40" w:after="40"/>
              <w:jc w:val="center"/>
            </w:pPr>
            <w:r w:rsidRPr="00A52AB8">
              <w:t>Time code</w:t>
            </w:r>
          </w:p>
        </w:tc>
        <w:tc>
          <w:tcPr>
            <w:tcW w:w="3204" w:type="pct"/>
          </w:tcPr>
          <w:p w14:paraId="65D13CE7" w14:textId="77777777" w:rsidR="00242357" w:rsidRPr="00A52AB8" w:rsidRDefault="00242357">
            <w:pPr>
              <w:pStyle w:val="tablecell"/>
              <w:keepNext w:val="0"/>
              <w:numPr>
                <w:ilvl w:val="12"/>
                <w:numId w:val="0"/>
              </w:numPr>
              <w:spacing w:before="40" w:after="40"/>
              <w:jc w:val="center"/>
              <w:rPr>
                <w:rFonts w:ascii="Cambria" w:hAnsi="Cambria"/>
                <w:lang w:eastAsia="ja-JP"/>
              </w:rPr>
            </w:pPr>
            <w:r w:rsidRPr="00A52AB8">
              <w:rPr>
                <w:rFonts w:ascii="Cambria" w:hAnsi="Cambria"/>
              </w:rPr>
              <w:t xml:space="preserve">The </w:t>
            </w:r>
            <w:r w:rsidR="008C6F08" w:rsidRPr="00A52AB8">
              <w:rPr>
                <w:rFonts w:ascii="Cambria" w:hAnsi="Cambria"/>
              </w:rPr>
              <w:t xml:space="preserve">coded atlas </w:t>
            </w:r>
            <w:r w:rsidRPr="00A52AB8">
              <w:rPr>
                <w:rFonts w:ascii="Cambria" w:hAnsi="Cambria"/>
              </w:rPr>
              <w:t>access unit containing the SEI message</w:t>
            </w:r>
          </w:p>
        </w:tc>
      </w:tr>
      <w:tr w:rsidR="006D35E0" w:rsidRPr="00A52AB8" w14:paraId="6C0ED02C" w14:textId="77777777" w:rsidTr="00FB4953">
        <w:trPr>
          <w:trHeight w:val="144"/>
          <w:jc w:val="center"/>
        </w:trPr>
        <w:tc>
          <w:tcPr>
            <w:tcW w:w="1796" w:type="pct"/>
            <w:vAlign w:val="center"/>
          </w:tcPr>
          <w:p w14:paraId="0E3BA7D5" w14:textId="77777777" w:rsidR="006D35E0" w:rsidRPr="00A52AB8" w:rsidRDefault="006D35E0">
            <w:pPr>
              <w:spacing w:before="40" w:after="40"/>
              <w:jc w:val="center"/>
              <w:rPr>
                <w:bCs/>
              </w:rPr>
            </w:pPr>
            <w:r w:rsidRPr="00A52AB8">
              <w:rPr>
                <w:bCs/>
              </w:rPr>
              <w:t>SEI manifest</w:t>
            </w:r>
          </w:p>
        </w:tc>
        <w:tc>
          <w:tcPr>
            <w:tcW w:w="3204" w:type="pct"/>
            <w:vAlign w:val="center"/>
          </w:tcPr>
          <w:p w14:paraId="21A257CB" w14:textId="77777777" w:rsidR="006D35E0" w:rsidRPr="00A52AB8" w:rsidRDefault="00241BD6">
            <w:pPr>
              <w:pStyle w:val="tablecell"/>
              <w:keepNext w:val="0"/>
              <w:numPr>
                <w:ilvl w:val="12"/>
                <w:numId w:val="0"/>
              </w:numPr>
              <w:spacing w:before="40" w:after="40"/>
              <w:jc w:val="center"/>
              <w:rPr>
                <w:rFonts w:ascii="Cambria" w:hAnsi="Cambria"/>
              </w:rPr>
            </w:pPr>
            <w:r w:rsidRPr="00A52AB8">
              <w:rPr>
                <w:rFonts w:ascii="Cambria" w:hAnsi="Cambria"/>
              </w:rPr>
              <w:t>The remainder of the bitstream</w:t>
            </w:r>
          </w:p>
        </w:tc>
      </w:tr>
      <w:tr w:rsidR="006D35E0" w:rsidRPr="00A52AB8" w14:paraId="634911FE" w14:textId="77777777" w:rsidTr="00FB4953">
        <w:trPr>
          <w:trHeight w:val="144"/>
          <w:jc w:val="center"/>
        </w:trPr>
        <w:tc>
          <w:tcPr>
            <w:tcW w:w="1796" w:type="pct"/>
            <w:vAlign w:val="center"/>
          </w:tcPr>
          <w:p w14:paraId="0F55287D" w14:textId="77777777" w:rsidR="006D35E0" w:rsidRPr="00A52AB8" w:rsidRDefault="006D35E0">
            <w:pPr>
              <w:spacing w:before="40" w:after="40"/>
              <w:jc w:val="center"/>
              <w:rPr>
                <w:bCs/>
              </w:rPr>
            </w:pPr>
            <w:r w:rsidRPr="00A52AB8">
              <w:rPr>
                <w:bCs/>
              </w:rPr>
              <w:t>SEI prefix indication</w:t>
            </w:r>
          </w:p>
        </w:tc>
        <w:tc>
          <w:tcPr>
            <w:tcW w:w="3204" w:type="pct"/>
            <w:vAlign w:val="center"/>
          </w:tcPr>
          <w:p w14:paraId="50FF0AAB" w14:textId="77777777" w:rsidR="006D35E0" w:rsidRPr="00A52AB8" w:rsidRDefault="005B6AA8">
            <w:pPr>
              <w:pStyle w:val="tablecell"/>
              <w:keepNext w:val="0"/>
              <w:numPr>
                <w:ilvl w:val="12"/>
                <w:numId w:val="0"/>
              </w:numPr>
              <w:spacing w:before="40" w:after="40"/>
              <w:jc w:val="center"/>
              <w:rPr>
                <w:rFonts w:ascii="Cambria" w:hAnsi="Cambria"/>
              </w:rPr>
            </w:pPr>
            <w:r w:rsidRPr="00A52AB8">
              <w:rPr>
                <w:rFonts w:ascii="Cambria" w:hAnsi="Cambria"/>
              </w:rPr>
              <w:t>The remainder of the bitstream</w:t>
            </w:r>
          </w:p>
        </w:tc>
      </w:tr>
      <w:tr w:rsidR="006D35E0" w:rsidRPr="00A52AB8" w14:paraId="418F4C70" w14:textId="77777777" w:rsidTr="00FB4953">
        <w:trPr>
          <w:trHeight w:val="144"/>
          <w:jc w:val="center"/>
        </w:trPr>
        <w:tc>
          <w:tcPr>
            <w:tcW w:w="1796" w:type="pct"/>
            <w:vAlign w:val="center"/>
          </w:tcPr>
          <w:p w14:paraId="05442F3E" w14:textId="77777777" w:rsidR="006D35E0" w:rsidRPr="00A52AB8" w:rsidRDefault="006D35E0">
            <w:pPr>
              <w:spacing w:before="40" w:after="40"/>
              <w:jc w:val="center"/>
              <w:rPr>
                <w:bCs/>
              </w:rPr>
            </w:pPr>
            <w:r w:rsidRPr="00A52AB8">
              <w:rPr>
                <w:bCs/>
              </w:rPr>
              <w:t>Active sub-bitstreams</w:t>
            </w:r>
          </w:p>
        </w:tc>
        <w:tc>
          <w:tcPr>
            <w:tcW w:w="3204" w:type="pct"/>
            <w:vAlign w:val="center"/>
          </w:tcPr>
          <w:p w14:paraId="23D51B91" w14:textId="77777777" w:rsidR="006D35E0" w:rsidRPr="00A52AB8" w:rsidRDefault="00F65400">
            <w:pPr>
              <w:pStyle w:val="tablecell"/>
              <w:keepNext w:val="0"/>
              <w:numPr>
                <w:ilvl w:val="12"/>
                <w:numId w:val="0"/>
              </w:numPr>
              <w:spacing w:before="40" w:after="40"/>
              <w:jc w:val="center"/>
              <w:rPr>
                <w:rFonts w:ascii="Cambria" w:hAnsi="Cambria"/>
              </w:rPr>
            </w:pPr>
            <w:r w:rsidRPr="00A52AB8">
              <w:rPr>
                <w:rFonts w:ascii="Cambria" w:hAnsi="Cambria"/>
              </w:rPr>
              <w:t xml:space="preserve">The remainder of the bitstream or until a new active attributes SEI message </w:t>
            </w:r>
          </w:p>
        </w:tc>
      </w:tr>
      <w:tr w:rsidR="00044F95" w:rsidRPr="00A52AB8" w14:paraId="61B4CEB9" w14:textId="77777777" w:rsidTr="00FB4953">
        <w:trPr>
          <w:trHeight w:val="144"/>
          <w:jc w:val="center"/>
        </w:trPr>
        <w:tc>
          <w:tcPr>
            <w:tcW w:w="1796" w:type="pct"/>
            <w:vAlign w:val="center"/>
          </w:tcPr>
          <w:p w14:paraId="31743875" w14:textId="77777777" w:rsidR="00044F95" w:rsidRPr="00A52AB8" w:rsidRDefault="00044F95">
            <w:pPr>
              <w:spacing w:before="40" w:after="40"/>
              <w:jc w:val="center"/>
              <w:rPr>
                <w:bCs/>
              </w:rPr>
            </w:pPr>
            <w:r w:rsidRPr="00A52AB8">
              <w:rPr>
                <w:bCs/>
              </w:rPr>
              <w:t>Component codec mapping</w:t>
            </w:r>
          </w:p>
        </w:tc>
        <w:tc>
          <w:tcPr>
            <w:tcW w:w="3204" w:type="pct"/>
            <w:vAlign w:val="center"/>
          </w:tcPr>
          <w:p w14:paraId="52A6BD30" w14:textId="77777777" w:rsidR="00044F95" w:rsidRPr="00A52AB8" w:rsidRDefault="00F65400">
            <w:pPr>
              <w:pStyle w:val="tablecell"/>
              <w:keepNext w:val="0"/>
              <w:numPr>
                <w:ilvl w:val="12"/>
                <w:numId w:val="0"/>
              </w:numPr>
              <w:spacing w:before="40" w:after="40"/>
              <w:jc w:val="center"/>
              <w:rPr>
                <w:rFonts w:ascii="Cambria" w:hAnsi="Cambria"/>
              </w:rPr>
            </w:pPr>
            <w:r w:rsidRPr="00A52AB8">
              <w:rPr>
                <w:rFonts w:ascii="Cambria" w:hAnsi="Cambria"/>
              </w:rPr>
              <w:t>The remainder of the bitstream or until a new active attributes SEI message</w:t>
            </w:r>
          </w:p>
        </w:tc>
      </w:tr>
      <w:tr w:rsidR="00986990" w:rsidRPr="00A52AB8" w14:paraId="624BD0B6" w14:textId="77777777" w:rsidTr="00FB4953">
        <w:trPr>
          <w:trHeight w:val="144"/>
          <w:jc w:val="center"/>
        </w:trPr>
        <w:tc>
          <w:tcPr>
            <w:tcW w:w="1796" w:type="pct"/>
            <w:vAlign w:val="center"/>
          </w:tcPr>
          <w:p w14:paraId="706B8BCF" w14:textId="77777777" w:rsidR="00986990" w:rsidRPr="00A52AB8" w:rsidRDefault="00044F95">
            <w:pPr>
              <w:spacing w:before="40" w:after="40"/>
              <w:jc w:val="center"/>
              <w:rPr>
                <w:bCs/>
              </w:rPr>
            </w:pPr>
            <w:r w:rsidRPr="00A52AB8">
              <w:rPr>
                <w:bCs/>
              </w:rPr>
              <w:t>Scene object information</w:t>
            </w:r>
          </w:p>
        </w:tc>
        <w:tc>
          <w:tcPr>
            <w:tcW w:w="3204" w:type="pct"/>
            <w:vAlign w:val="center"/>
          </w:tcPr>
          <w:p w14:paraId="68DF8706" w14:textId="77777777" w:rsidR="00986990" w:rsidRPr="00A52AB8" w:rsidRDefault="00B5074F">
            <w:pPr>
              <w:pStyle w:val="tablecell"/>
              <w:keepNext w:val="0"/>
              <w:numPr>
                <w:ilvl w:val="12"/>
                <w:numId w:val="0"/>
              </w:numPr>
              <w:spacing w:before="40" w:after="40"/>
              <w:jc w:val="center"/>
              <w:rPr>
                <w:rFonts w:ascii="Cambria" w:hAnsi="Cambria"/>
              </w:rPr>
            </w:pPr>
            <w:r w:rsidRPr="00A52AB8">
              <w:rPr>
                <w:rFonts w:ascii="Cambria" w:hAnsi="Cambria"/>
              </w:rPr>
              <w:t>Specified by the syntax of the SEI message</w:t>
            </w:r>
          </w:p>
        </w:tc>
      </w:tr>
      <w:tr w:rsidR="00986990" w:rsidRPr="00A52AB8" w14:paraId="040AEA1D" w14:textId="77777777" w:rsidTr="00FB4953">
        <w:trPr>
          <w:trHeight w:val="144"/>
          <w:jc w:val="center"/>
        </w:trPr>
        <w:tc>
          <w:tcPr>
            <w:tcW w:w="1796" w:type="pct"/>
            <w:vAlign w:val="center"/>
          </w:tcPr>
          <w:p w14:paraId="1192C6AA" w14:textId="77777777" w:rsidR="00986990" w:rsidRPr="00A52AB8" w:rsidRDefault="00986990">
            <w:pPr>
              <w:spacing w:before="40" w:after="40"/>
              <w:jc w:val="center"/>
              <w:rPr>
                <w:bCs/>
              </w:rPr>
            </w:pPr>
            <w:r w:rsidRPr="00A52AB8">
              <w:rPr>
                <w:bCs/>
              </w:rPr>
              <w:t>Object label information</w:t>
            </w:r>
          </w:p>
        </w:tc>
        <w:tc>
          <w:tcPr>
            <w:tcW w:w="3204" w:type="pct"/>
            <w:vAlign w:val="center"/>
          </w:tcPr>
          <w:p w14:paraId="46DC147D" w14:textId="77777777" w:rsidR="00986990" w:rsidRPr="00A52AB8" w:rsidRDefault="00B5074F">
            <w:pPr>
              <w:pStyle w:val="tablecell"/>
              <w:keepNext w:val="0"/>
              <w:numPr>
                <w:ilvl w:val="12"/>
                <w:numId w:val="0"/>
              </w:numPr>
              <w:spacing w:before="40" w:after="40"/>
              <w:jc w:val="center"/>
              <w:rPr>
                <w:rFonts w:ascii="Cambria" w:hAnsi="Cambria"/>
              </w:rPr>
            </w:pPr>
            <w:r w:rsidRPr="00A52AB8">
              <w:rPr>
                <w:rFonts w:ascii="Cambria" w:hAnsi="Cambria"/>
              </w:rPr>
              <w:t>Specified by the syntax of the SEI message</w:t>
            </w:r>
          </w:p>
        </w:tc>
      </w:tr>
      <w:tr w:rsidR="00986990" w:rsidRPr="00A52AB8" w14:paraId="59EFF779" w14:textId="77777777" w:rsidTr="00FB4953">
        <w:trPr>
          <w:trHeight w:val="144"/>
          <w:jc w:val="center"/>
        </w:trPr>
        <w:tc>
          <w:tcPr>
            <w:tcW w:w="1796" w:type="pct"/>
            <w:vAlign w:val="center"/>
          </w:tcPr>
          <w:p w14:paraId="31C400D3" w14:textId="77777777" w:rsidR="00986990" w:rsidRPr="00A52AB8" w:rsidRDefault="00986990">
            <w:pPr>
              <w:spacing w:before="40" w:after="40"/>
              <w:jc w:val="center"/>
              <w:rPr>
                <w:bCs/>
              </w:rPr>
            </w:pPr>
            <w:r w:rsidRPr="00A52AB8">
              <w:rPr>
                <w:bCs/>
              </w:rPr>
              <w:t>Patch information</w:t>
            </w:r>
          </w:p>
        </w:tc>
        <w:tc>
          <w:tcPr>
            <w:tcW w:w="3204" w:type="pct"/>
            <w:vAlign w:val="center"/>
          </w:tcPr>
          <w:p w14:paraId="47607186" w14:textId="77777777" w:rsidR="00986990" w:rsidRPr="00A52AB8" w:rsidRDefault="00B5074F">
            <w:pPr>
              <w:pStyle w:val="tablecell"/>
              <w:keepNext w:val="0"/>
              <w:numPr>
                <w:ilvl w:val="12"/>
                <w:numId w:val="0"/>
              </w:numPr>
              <w:spacing w:before="40" w:after="40"/>
              <w:jc w:val="center"/>
              <w:rPr>
                <w:rFonts w:ascii="Cambria" w:hAnsi="Cambria"/>
              </w:rPr>
            </w:pPr>
            <w:r w:rsidRPr="00A52AB8">
              <w:rPr>
                <w:rFonts w:ascii="Cambria" w:hAnsi="Cambria"/>
              </w:rPr>
              <w:t>Specified by the syntax of the SEI message</w:t>
            </w:r>
          </w:p>
        </w:tc>
      </w:tr>
      <w:tr w:rsidR="00986990" w:rsidRPr="00A52AB8" w14:paraId="6CE3223F" w14:textId="77777777" w:rsidTr="00FB4953">
        <w:trPr>
          <w:trHeight w:val="144"/>
          <w:jc w:val="center"/>
        </w:trPr>
        <w:tc>
          <w:tcPr>
            <w:tcW w:w="1796" w:type="pct"/>
            <w:vAlign w:val="center"/>
          </w:tcPr>
          <w:p w14:paraId="65F5B5F8" w14:textId="77777777" w:rsidR="00986990" w:rsidRPr="00A52AB8" w:rsidRDefault="00986990">
            <w:pPr>
              <w:spacing w:before="40" w:after="40"/>
              <w:jc w:val="center"/>
              <w:rPr>
                <w:bCs/>
              </w:rPr>
            </w:pPr>
            <w:r w:rsidRPr="00A52AB8">
              <w:rPr>
                <w:bCs/>
              </w:rPr>
              <w:t>Volumetric rectangle information</w:t>
            </w:r>
          </w:p>
        </w:tc>
        <w:tc>
          <w:tcPr>
            <w:tcW w:w="3204" w:type="pct"/>
            <w:vAlign w:val="center"/>
          </w:tcPr>
          <w:p w14:paraId="1E52E335" w14:textId="77777777" w:rsidR="00986990" w:rsidRPr="00A52AB8" w:rsidRDefault="00B5074F">
            <w:pPr>
              <w:pStyle w:val="tablecell"/>
              <w:keepNext w:val="0"/>
              <w:numPr>
                <w:ilvl w:val="12"/>
                <w:numId w:val="0"/>
              </w:numPr>
              <w:spacing w:before="40" w:after="40"/>
              <w:jc w:val="center"/>
              <w:rPr>
                <w:rFonts w:ascii="Cambria" w:hAnsi="Cambria"/>
              </w:rPr>
            </w:pPr>
            <w:r w:rsidRPr="00A52AB8">
              <w:rPr>
                <w:rFonts w:ascii="Cambria" w:hAnsi="Cambria"/>
              </w:rPr>
              <w:t>Specified by the syntax of the SEI message</w:t>
            </w:r>
          </w:p>
        </w:tc>
      </w:tr>
      <w:tr w:rsidR="00986990" w:rsidRPr="00A52AB8" w14:paraId="2259FFC4" w14:textId="77777777" w:rsidTr="00FB4953">
        <w:trPr>
          <w:trHeight w:val="144"/>
          <w:jc w:val="center"/>
        </w:trPr>
        <w:tc>
          <w:tcPr>
            <w:tcW w:w="1796" w:type="pct"/>
            <w:vAlign w:val="center"/>
          </w:tcPr>
          <w:p w14:paraId="60A5BB5A" w14:textId="587206E2" w:rsidR="00986990" w:rsidRPr="00A52AB8" w:rsidRDefault="00986990">
            <w:pPr>
              <w:spacing w:before="40" w:after="40"/>
              <w:jc w:val="center"/>
              <w:rPr>
                <w:bCs/>
              </w:rPr>
            </w:pPr>
            <w:r w:rsidRPr="00A52AB8">
              <w:rPr>
                <w:bCs/>
              </w:rPr>
              <w:t xml:space="preserve">Atlas </w:t>
            </w:r>
            <w:r w:rsidR="0003078F" w:rsidRPr="00A52AB8">
              <w:rPr>
                <w:bCs/>
              </w:rPr>
              <w:t>object association</w:t>
            </w:r>
          </w:p>
        </w:tc>
        <w:tc>
          <w:tcPr>
            <w:tcW w:w="3204" w:type="pct"/>
            <w:vAlign w:val="center"/>
          </w:tcPr>
          <w:p w14:paraId="51115E43" w14:textId="77777777" w:rsidR="00986990" w:rsidRPr="00A52AB8" w:rsidRDefault="00B5074F">
            <w:pPr>
              <w:pStyle w:val="tablecell"/>
              <w:keepNext w:val="0"/>
              <w:numPr>
                <w:ilvl w:val="12"/>
                <w:numId w:val="0"/>
              </w:numPr>
              <w:spacing w:before="40" w:after="40"/>
              <w:jc w:val="center"/>
              <w:rPr>
                <w:rFonts w:ascii="Cambria" w:hAnsi="Cambria"/>
              </w:rPr>
            </w:pPr>
            <w:r w:rsidRPr="00A52AB8">
              <w:rPr>
                <w:rFonts w:ascii="Cambria" w:hAnsi="Cambria"/>
              </w:rPr>
              <w:t>Specified by the syntax of the SEI message</w:t>
            </w:r>
          </w:p>
        </w:tc>
      </w:tr>
      <w:tr w:rsidR="00BF1C6C" w:rsidRPr="00A52AB8" w14:paraId="1B5DD277" w14:textId="77777777" w:rsidTr="00FB4953">
        <w:trPr>
          <w:trHeight w:val="144"/>
          <w:jc w:val="center"/>
        </w:trPr>
        <w:tc>
          <w:tcPr>
            <w:tcW w:w="1796" w:type="pct"/>
            <w:vAlign w:val="center"/>
          </w:tcPr>
          <w:p w14:paraId="71B5CA5B" w14:textId="77777777" w:rsidR="00BF1C6C" w:rsidRPr="00A52AB8" w:rsidRDefault="00BF1C6C">
            <w:pPr>
              <w:spacing w:before="40" w:after="40"/>
              <w:jc w:val="center"/>
              <w:rPr>
                <w:bCs/>
              </w:rPr>
            </w:pPr>
            <w:r w:rsidRPr="00A52AB8">
              <w:rPr>
                <w:bCs/>
              </w:rPr>
              <w:t>Viewport camera parameters</w:t>
            </w:r>
          </w:p>
        </w:tc>
        <w:tc>
          <w:tcPr>
            <w:tcW w:w="3204" w:type="pct"/>
            <w:vAlign w:val="center"/>
          </w:tcPr>
          <w:p w14:paraId="66210230" w14:textId="77777777" w:rsidR="00BF1C6C" w:rsidRPr="00A52AB8" w:rsidRDefault="00462A5C">
            <w:pPr>
              <w:pStyle w:val="tablecell"/>
              <w:keepNext w:val="0"/>
              <w:numPr>
                <w:ilvl w:val="12"/>
                <w:numId w:val="0"/>
              </w:numPr>
              <w:spacing w:before="40" w:after="40"/>
              <w:jc w:val="center"/>
              <w:rPr>
                <w:rFonts w:ascii="Cambria" w:hAnsi="Cambria"/>
              </w:rPr>
            </w:pPr>
            <w:r w:rsidRPr="00A52AB8">
              <w:rPr>
                <w:rFonts w:ascii="Cambria" w:hAnsi="Cambria"/>
              </w:rPr>
              <w:t>Specified by the syntax of the SEI message</w:t>
            </w:r>
          </w:p>
        </w:tc>
      </w:tr>
      <w:tr w:rsidR="00BF1C6C" w:rsidRPr="00A52AB8" w14:paraId="531DB1BF" w14:textId="77777777" w:rsidTr="00FB4953">
        <w:trPr>
          <w:trHeight w:val="144"/>
          <w:jc w:val="center"/>
        </w:trPr>
        <w:tc>
          <w:tcPr>
            <w:tcW w:w="1796" w:type="pct"/>
            <w:vAlign w:val="center"/>
          </w:tcPr>
          <w:p w14:paraId="795FEFB3" w14:textId="77777777" w:rsidR="00BF1C6C" w:rsidRPr="00A52AB8" w:rsidRDefault="00BF1C6C">
            <w:pPr>
              <w:spacing w:before="40" w:after="40"/>
              <w:jc w:val="center"/>
              <w:rPr>
                <w:bCs/>
              </w:rPr>
            </w:pPr>
            <w:r w:rsidRPr="00A52AB8">
              <w:rPr>
                <w:bCs/>
              </w:rPr>
              <w:t>Viewport position</w:t>
            </w:r>
          </w:p>
        </w:tc>
        <w:tc>
          <w:tcPr>
            <w:tcW w:w="3204" w:type="pct"/>
            <w:vAlign w:val="center"/>
          </w:tcPr>
          <w:p w14:paraId="707BA960" w14:textId="77777777" w:rsidR="00BF1C6C" w:rsidRPr="00A52AB8" w:rsidRDefault="00462A5C">
            <w:pPr>
              <w:pStyle w:val="tablecell"/>
              <w:keepNext w:val="0"/>
              <w:numPr>
                <w:ilvl w:val="12"/>
                <w:numId w:val="0"/>
              </w:numPr>
              <w:spacing w:before="40" w:after="40"/>
              <w:jc w:val="center"/>
              <w:rPr>
                <w:rFonts w:ascii="Cambria" w:hAnsi="Cambria"/>
              </w:rPr>
            </w:pPr>
            <w:r w:rsidRPr="00A52AB8">
              <w:rPr>
                <w:rFonts w:ascii="Cambria" w:hAnsi="Cambria"/>
              </w:rPr>
              <w:t>Specified by the syntax of the SEI message</w:t>
            </w:r>
          </w:p>
        </w:tc>
      </w:tr>
      <w:tr w:rsidR="00AC1013" w:rsidRPr="00A52AB8" w14:paraId="7702B7B8" w14:textId="77777777" w:rsidTr="00FB4953">
        <w:trPr>
          <w:trHeight w:val="144"/>
          <w:jc w:val="center"/>
        </w:trPr>
        <w:tc>
          <w:tcPr>
            <w:tcW w:w="1796" w:type="pct"/>
            <w:vAlign w:val="center"/>
          </w:tcPr>
          <w:p w14:paraId="7823677C" w14:textId="77777777" w:rsidR="00AC1013" w:rsidRPr="00A52AB8" w:rsidRDefault="00AC1013" w:rsidP="00C50E43">
            <w:pPr>
              <w:spacing w:before="40" w:after="40"/>
              <w:jc w:val="center"/>
            </w:pPr>
            <w:r w:rsidRPr="00A52AB8">
              <w:rPr>
                <w:bCs/>
              </w:rPr>
              <w:t>Attribute transformation parameters</w:t>
            </w:r>
          </w:p>
        </w:tc>
        <w:tc>
          <w:tcPr>
            <w:tcW w:w="3204" w:type="pct"/>
            <w:vAlign w:val="center"/>
          </w:tcPr>
          <w:p w14:paraId="01460A38" w14:textId="77777777" w:rsidR="00AC1013" w:rsidRPr="00A52AB8" w:rsidRDefault="00AC1013" w:rsidP="00C50E43">
            <w:pPr>
              <w:pStyle w:val="tablecell"/>
              <w:keepNext w:val="0"/>
              <w:numPr>
                <w:ilvl w:val="12"/>
                <w:numId w:val="0"/>
              </w:numPr>
              <w:spacing w:before="40" w:after="40"/>
              <w:jc w:val="center"/>
              <w:rPr>
                <w:rFonts w:ascii="Cambria" w:hAnsi="Cambria"/>
              </w:rPr>
            </w:pPr>
            <w:r w:rsidRPr="00A52AB8">
              <w:rPr>
                <w:rFonts w:ascii="Cambria" w:hAnsi="Cambria"/>
              </w:rPr>
              <w:t>Specified by the syntax of the SEI message</w:t>
            </w:r>
          </w:p>
        </w:tc>
      </w:tr>
      <w:tr w:rsidR="001B2572" w:rsidRPr="00A52AB8" w14:paraId="29FED175" w14:textId="77777777" w:rsidTr="00FB4953">
        <w:trPr>
          <w:trHeight w:val="144"/>
          <w:jc w:val="center"/>
        </w:trPr>
        <w:tc>
          <w:tcPr>
            <w:tcW w:w="1796" w:type="pct"/>
            <w:vAlign w:val="center"/>
          </w:tcPr>
          <w:p w14:paraId="3538DF8D" w14:textId="77777777" w:rsidR="001B2572" w:rsidRPr="00A52AB8" w:rsidRDefault="001B2572">
            <w:pPr>
              <w:spacing w:before="40" w:after="40"/>
              <w:jc w:val="center"/>
              <w:rPr>
                <w:bCs/>
              </w:rPr>
            </w:pPr>
            <w:r w:rsidRPr="00A52AB8">
              <w:rPr>
                <w:bCs/>
              </w:rPr>
              <w:t>Occupancy synthesis</w:t>
            </w:r>
          </w:p>
        </w:tc>
        <w:tc>
          <w:tcPr>
            <w:tcW w:w="3204" w:type="pct"/>
            <w:vAlign w:val="center"/>
          </w:tcPr>
          <w:p w14:paraId="61E50507" w14:textId="77777777" w:rsidR="001B2572" w:rsidRPr="00A52AB8" w:rsidRDefault="001A3BF2">
            <w:pPr>
              <w:pStyle w:val="tablecell"/>
              <w:keepNext w:val="0"/>
              <w:numPr>
                <w:ilvl w:val="12"/>
                <w:numId w:val="0"/>
              </w:numPr>
              <w:spacing w:before="40" w:after="40"/>
              <w:jc w:val="center"/>
              <w:rPr>
                <w:rFonts w:ascii="Cambria" w:hAnsi="Cambria"/>
              </w:rPr>
            </w:pPr>
            <w:r w:rsidRPr="00A52AB8">
              <w:rPr>
                <w:rFonts w:ascii="Cambria" w:hAnsi="Cambria"/>
              </w:rPr>
              <w:t>Specified by the syntax of the SEI message</w:t>
            </w:r>
          </w:p>
        </w:tc>
      </w:tr>
      <w:tr w:rsidR="00025423" w:rsidRPr="00A52AB8" w14:paraId="60EE6713" w14:textId="77777777" w:rsidTr="00FB4953">
        <w:trPr>
          <w:trHeight w:val="144"/>
          <w:jc w:val="center"/>
        </w:trPr>
        <w:tc>
          <w:tcPr>
            <w:tcW w:w="1796" w:type="pct"/>
            <w:vAlign w:val="center"/>
          </w:tcPr>
          <w:p w14:paraId="2FB64F45" w14:textId="77777777" w:rsidR="00025423" w:rsidRPr="00A52AB8" w:rsidRDefault="00025423">
            <w:pPr>
              <w:spacing w:before="40" w:after="40"/>
              <w:jc w:val="center"/>
              <w:rPr>
                <w:bCs/>
              </w:rPr>
            </w:pPr>
            <w:r w:rsidRPr="00A52AB8">
              <w:rPr>
                <w:bCs/>
              </w:rPr>
              <w:t>Geometry smoothing</w:t>
            </w:r>
          </w:p>
        </w:tc>
        <w:tc>
          <w:tcPr>
            <w:tcW w:w="3204" w:type="pct"/>
            <w:vAlign w:val="center"/>
          </w:tcPr>
          <w:p w14:paraId="000BD4C6" w14:textId="77777777" w:rsidR="00025423" w:rsidRPr="00A52AB8" w:rsidRDefault="00025423">
            <w:pPr>
              <w:pStyle w:val="tablecell"/>
              <w:keepNext w:val="0"/>
              <w:numPr>
                <w:ilvl w:val="12"/>
                <w:numId w:val="0"/>
              </w:numPr>
              <w:spacing w:before="40" w:after="40"/>
              <w:jc w:val="center"/>
              <w:rPr>
                <w:rFonts w:ascii="Cambria" w:hAnsi="Cambria"/>
              </w:rPr>
            </w:pPr>
            <w:r w:rsidRPr="00A52AB8">
              <w:rPr>
                <w:rFonts w:ascii="Cambria" w:hAnsi="Cambria"/>
              </w:rPr>
              <w:t>Specified by the syntax of the SEI message</w:t>
            </w:r>
          </w:p>
        </w:tc>
      </w:tr>
      <w:tr w:rsidR="00025423" w:rsidRPr="00A52AB8" w14:paraId="6ADCEF07" w14:textId="77777777" w:rsidTr="00FB4953">
        <w:trPr>
          <w:trHeight w:val="144"/>
          <w:jc w:val="center"/>
        </w:trPr>
        <w:tc>
          <w:tcPr>
            <w:tcW w:w="1796" w:type="pct"/>
            <w:vAlign w:val="center"/>
          </w:tcPr>
          <w:p w14:paraId="34F5381E" w14:textId="77777777" w:rsidR="00025423" w:rsidRPr="00A52AB8" w:rsidRDefault="00025423">
            <w:pPr>
              <w:spacing w:before="40" w:after="40"/>
              <w:jc w:val="center"/>
              <w:rPr>
                <w:bCs/>
              </w:rPr>
            </w:pPr>
            <w:r w:rsidRPr="00A52AB8">
              <w:rPr>
                <w:bCs/>
              </w:rPr>
              <w:t>Attribute smoothing</w:t>
            </w:r>
          </w:p>
        </w:tc>
        <w:tc>
          <w:tcPr>
            <w:tcW w:w="3204" w:type="pct"/>
            <w:vAlign w:val="center"/>
          </w:tcPr>
          <w:p w14:paraId="3E76B3CF" w14:textId="77777777" w:rsidR="00025423" w:rsidRPr="00A52AB8" w:rsidRDefault="00025423">
            <w:pPr>
              <w:pStyle w:val="tablecell"/>
              <w:keepNext w:val="0"/>
              <w:numPr>
                <w:ilvl w:val="12"/>
                <w:numId w:val="0"/>
              </w:numPr>
              <w:spacing w:before="40" w:after="40"/>
              <w:jc w:val="center"/>
              <w:rPr>
                <w:rFonts w:ascii="Cambria" w:hAnsi="Cambria"/>
              </w:rPr>
            </w:pPr>
            <w:r w:rsidRPr="00A52AB8">
              <w:rPr>
                <w:rFonts w:ascii="Cambria" w:hAnsi="Cambria"/>
              </w:rPr>
              <w:t>Specified by the syntax of the SEI message</w:t>
            </w:r>
          </w:p>
        </w:tc>
      </w:tr>
      <w:tr w:rsidR="0009608D" w:rsidRPr="00A52AB8" w14:paraId="2A6CC1F7" w14:textId="77777777" w:rsidTr="00FB4953">
        <w:trPr>
          <w:trHeight w:val="144"/>
          <w:jc w:val="center"/>
        </w:trPr>
        <w:tc>
          <w:tcPr>
            <w:tcW w:w="1796" w:type="pct"/>
            <w:vAlign w:val="center"/>
          </w:tcPr>
          <w:p w14:paraId="240DCC8C" w14:textId="67323AE6" w:rsidR="0009608D" w:rsidRPr="00A52AB8" w:rsidRDefault="0009608D">
            <w:pPr>
              <w:spacing w:before="40" w:after="40"/>
              <w:jc w:val="center"/>
              <w:rPr>
                <w:bCs/>
              </w:rPr>
            </w:pPr>
            <w:r>
              <w:rPr>
                <w:bCs/>
              </w:rPr>
              <w:t>Packed independent regions</w:t>
            </w:r>
          </w:p>
        </w:tc>
        <w:tc>
          <w:tcPr>
            <w:tcW w:w="3204" w:type="pct"/>
            <w:vAlign w:val="center"/>
          </w:tcPr>
          <w:p w14:paraId="406CD679" w14:textId="55E46AF5" w:rsidR="0009608D" w:rsidRPr="00A52AB8" w:rsidRDefault="0009608D">
            <w:pPr>
              <w:pStyle w:val="tablecell"/>
              <w:keepNext w:val="0"/>
              <w:numPr>
                <w:ilvl w:val="12"/>
                <w:numId w:val="0"/>
              </w:numPr>
              <w:spacing w:before="40" w:after="40"/>
              <w:jc w:val="center"/>
              <w:rPr>
                <w:rFonts w:ascii="Cambria" w:hAnsi="Cambria"/>
              </w:rPr>
            </w:pPr>
            <w:r>
              <w:rPr>
                <w:rFonts w:ascii="Cambria" w:hAnsi="Cambria"/>
              </w:rPr>
              <w:t>The remainder of the bitstream</w:t>
            </w:r>
          </w:p>
        </w:tc>
      </w:tr>
    </w:tbl>
    <w:p w14:paraId="38CACFC9" w14:textId="77777777" w:rsidR="00242357" w:rsidRPr="00A52AB8" w:rsidRDefault="00242357" w:rsidP="004A0BDE">
      <w:pPr>
        <w:spacing w:before="240"/>
      </w:pPr>
      <w:r w:rsidRPr="00A52AB8">
        <w:t xml:space="preserve">The values of some SEI message syntax elements are split into two sets of value ranges, where the first set is specified as "may be used as determined by the application", and the second set is specified as "reserved for future use by ISO/IEC". Applications should be cautious of potential “collisions” of the interpretation for values of these syntax elements belonging to the first set of value ranges. Since different applications might use these IDs having values in the first set of value ranges for different purposes, particular care should be exercised in the design of encoders that generate SEI messages with these IDs having values in the first set of value ranges, and in the design of decoders that interpret SEI messages with these IDs. </w:t>
      </w:r>
      <w:r w:rsidR="00FD4C0B" w:rsidRPr="00A52AB8">
        <w:t>This document</w:t>
      </w:r>
      <w:r w:rsidRPr="00A52AB8">
        <w:t xml:space="preserve"> does not define any management for these values. These IDs having values in the first set of value ranges might only be suitable for use in contexts in which "collisions" of usage (i.e., different definitions of the syntax and semantics of an SEI message with one of these IDs having the same value in the first set of value ranges) are unimportant, or not possible, or are managed – e.g., defined or managed in the controlling application or transport specification, or by controlling the environment in which bitstreams are distributed.</w:t>
      </w:r>
    </w:p>
    <w:p w14:paraId="60204170" w14:textId="66053906" w:rsidR="00DD5661" w:rsidRPr="00A52AB8" w:rsidRDefault="00DD5661" w:rsidP="004A6049">
      <w:pPr>
        <w:pStyle w:val="enumlev1"/>
        <w:spacing w:before="136"/>
        <w:ind w:left="0" w:firstLine="0"/>
        <w:rPr>
          <w:rFonts w:ascii="Cambria" w:hAnsi="Cambria"/>
          <w:sz w:val="22"/>
          <w:szCs w:val="22"/>
        </w:rPr>
      </w:pPr>
      <w:r w:rsidRPr="00A52AB8">
        <w:rPr>
          <w:rFonts w:ascii="Cambria" w:hAnsi="Cambria"/>
          <w:sz w:val="22"/>
          <w:szCs w:val="22"/>
        </w:rPr>
        <w:t>It is a requirement of bitstream conformance that the following restrictions apply on containing of SEI messages in SEI NAL units:</w:t>
      </w:r>
    </w:p>
    <w:p w14:paraId="507B607F" w14:textId="42A63B2B" w:rsidR="00DD5661" w:rsidRPr="00A52AB8" w:rsidRDefault="00DD5661"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When an SEI NAL unit contains a buffering period SEI message or an atlas frame timing SEI message, the SEI NAL unit shall not contain any other SEI message with payloadType not equal to 0 (buffering period) or 1 (atlas frame timing).</w:t>
      </w:r>
    </w:p>
    <w:p w14:paraId="163F18C4" w14:textId="77777777" w:rsidR="00DD5661" w:rsidRPr="00A52AB8" w:rsidRDefault="00DD5661" w:rsidP="004A6049">
      <w:pPr>
        <w:pStyle w:val="enumlev1"/>
        <w:spacing w:before="136"/>
        <w:ind w:left="0" w:firstLine="0"/>
        <w:rPr>
          <w:rFonts w:ascii="Cambria" w:hAnsi="Cambria"/>
          <w:sz w:val="22"/>
          <w:szCs w:val="22"/>
        </w:rPr>
      </w:pPr>
      <w:r w:rsidRPr="00A52AB8">
        <w:rPr>
          <w:rFonts w:ascii="Cambria" w:hAnsi="Cambria"/>
          <w:sz w:val="22"/>
          <w:szCs w:val="22"/>
        </w:rPr>
        <w:t>Let prevAclNalUnitInAu of an SEI NAL unit or an SEI message be the preceding ACL NAL unit in decoding order, if any, in the same access unit, and nextAclNalUnitInAu of an SEI NAL unit or an SEI message be the next ACL NAL unit in decoding order, if any, in the same access unit.</w:t>
      </w:r>
    </w:p>
    <w:p w14:paraId="0DA5CA75" w14:textId="77777777" w:rsidR="00DD5661" w:rsidRPr="00A52AB8" w:rsidRDefault="00DD5661" w:rsidP="004A6049">
      <w:pPr>
        <w:pStyle w:val="enumlev1"/>
        <w:spacing w:before="136"/>
        <w:ind w:left="0" w:firstLine="0"/>
        <w:rPr>
          <w:rFonts w:ascii="Cambria" w:hAnsi="Cambria"/>
          <w:sz w:val="22"/>
          <w:szCs w:val="22"/>
        </w:rPr>
      </w:pPr>
      <w:r w:rsidRPr="00A52AB8">
        <w:rPr>
          <w:rFonts w:ascii="Cambria" w:hAnsi="Cambria"/>
          <w:sz w:val="22"/>
          <w:szCs w:val="22"/>
        </w:rPr>
        <w:t>It is a requirement of bitstream conformance that the following restrictions apply on decoding order of SEI messages:</w:t>
      </w:r>
    </w:p>
    <w:p w14:paraId="46A1E7D2" w14:textId="625E86A4" w:rsidR="00DD5661" w:rsidRPr="00A52AB8" w:rsidRDefault="00DD5661"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When a buffering period SEI message is present in an access unit, it shall not follow any other SEI message that follows the prevAclNalUnitInAu of the buffering period SEI message and precedes the nextAclNalUnitInAu of the buffering period SEI message.</w:t>
      </w:r>
    </w:p>
    <w:p w14:paraId="4C473064" w14:textId="05A9A24E" w:rsidR="00DD5661" w:rsidRPr="00A52AB8" w:rsidRDefault="00DD5661"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When an atlas frame timing SEI message is present in an access unit, it shall not follow any other SEI message that follows the prevAclNalUnitInAu of the atlas frame timing SEI message and precedes the nextAclNalUnitInAu of the atlas frame timing SEI message.</w:t>
      </w:r>
    </w:p>
    <w:p w14:paraId="621842A5" w14:textId="1E5BE80C" w:rsidR="00DD5661" w:rsidRPr="00A52AB8" w:rsidRDefault="00DD5661"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When payloadType is equal to 0 (buffering period) or 1 (atlas frame timing), the SEI NAL unit containing the SEI message shall precede all NAL units of any atlas unit that has </w:t>
      </w:r>
      <w:r w:rsidR="00CB2A8E" w:rsidRPr="00A52AB8">
        <w:rPr>
          <w:color w:val="000000" w:themeColor="text1"/>
        </w:rPr>
        <w:t>nal_layer_id</w:t>
      </w:r>
      <w:r w:rsidRPr="00A52AB8">
        <w:rPr>
          <w:color w:val="000000" w:themeColor="text1"/>
        </w:rPr>
        <w:t xml:space="preserve"> greater than highestAppLayerId, where highestAppLayerId is the greatest value of </w:t>
      </w:r>
      <w:r w:rsidR="00CB2A8E" w:rsidRPr="00A52AB8">
        <w:rPr>
          <w:color w:val="000000" w:themeColor="text1"/>
        </w:rPr>
        <w:t>nal_layer_id</w:t>
      </w:r>
      <w:r w:rsidRPr="00A52AB8">
        <w:rPr>
          <w:color w:val="000000" w:themeColor="text1"/>
        </w:rPr>
        <w:t xml:space="preserve"> of all the layers in all the operation points that the SEI message applies to.</w:t>
      </w:r>
    </w:p>
    <w:p w14:paraId="38D8F2C6" w14:textId="77777777" w:rsidR="00DD5661" w:rsidRPr="00A52AB8" w:rsidRDefault="00DD5661" w:rsidP="00DD5661">
      <w:pPr>
        <w:pStyle w:val="enumlev1"/>
        <w:spacing w:before="136"/>
        <w:ind w:left="403" w:hanging="403"/>
        <w:rPr>
          <w:rFonts w:ascii="Cambria" w:hAnsi="Cambria"/>
          <w:sz w:val="22"/>
          <w:szCs w:val="22"/>
        </w:rPr>
      </w:pPr>
      <w:r w:rsidRPr="00A52AB8">
        <w:rPr>
          <w:rFonts w:ascii="Cambria" w:hAnsi="Cambria"/>
          <w:sz w:val="22"/>
          <w:szCs w:val="22"/>
        </w:rPr>
        <w:t>The following applies on the applicable operation points or layers of SEI messages:</w:t>
      </w:r>
    </w:p>
    <w:p w14:paraId="75E678E8" w14:textId="019DAE59" w:rsidR="00DD5661" w:rsidRPr="00A52AB8" w:rsidRDefault="00DD5661"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For an SEI message when payloadType is equal to 0 (buffering period) the SEI message applies to the operation point that has OpTid equal to the greatest value of </w:t>
      </w:r>
      <w:r w:rsidR="00CB2A8E" w:rsidRPr="00A52AB8">
        <w:rPr>
          <w:color w:val="000000" w:themeColor="text1"/>
        </w:rPr>
        <w:t>nal_temporal_id_plus1</w:t>
      </w:r>
      <w:r w:rsidRPr="00A52AB8">
        <w:rPr>
          <w:color w:val="000000" w:themeColor="text1"/>
        </w:rPr>
        <w:t xml:space="preserve"> among all ACL NAL units in the bitstream, and that has OpLayerIdList containing all values of </w:t>
      </w:r>
      <w:r w:rsidR="00CB2A8E" w:rsidRPr="00A52AB8">
        <w:rPr>
          <w:color w:val="000000" w:themeColor="text1"/>
        </w:rPr>
        <w:t>nal_layer_id</w:t>
      </w:r>
      <w:r w:rsidRPr="00A52AB8">
        <w:rPr>
          <w:color w:val="000000" w:themeColor="text1"/>
        </w:rPr>
        <w:t xml:space="preserve"> in all ACL units in the bitstream..</w:t>
      </w:r>
    </w:p>
    <w:p w14:paraId="25B95A76" w14:textId="3941060C" w:rsidR="00275525" w:rsidRPr="00A52AB8" w:rsidRDefault="00DD5661"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For an SEI message, when payloadType is equal to 1 (atlas frame timing), the SEI message applies to the operation point that has OpTid equal to the greatest value of </w:t>
      </w:r>
      <w:r w:rsidR="00CB2A8E" w:rsidRPr="00A52AB8">
        <w:rPr>
          <w:color w:val="000000" w:themeColor="text1"/>
        </w:rPr>
        <w:t>nal_temporal_id_plus1</w:t>
      </w:r>
      <w:r w:rsidRPr="00A52AB8">
        <w:rPr>
          <w:color w:val="000000" w:themeColor="text1"/>
        </w:rPr>
        <w:t xml:space="preserve"> among all ACL NAL units in the bitstream, and that has OpLayerIdList containing all values of </w:t>
      </w:r>
      <w:r w:rsidR="00CB2A8E" w:rsidRPr="00A52AB8">
        <w:rPr>
          <w:color w:val="000000" w:themeColor="text1"/>
        </w:rPr>
        <w:t>nal_layer_id</w:t>
      </w:r>
      <w:r w:rsidRPr="00A52AB8">
        <w:rPr>
          <w:color w:val="000000" w:themeColor="text1"/>
        </w:rPr>
        <w:t xml:space="preserve"> in all ACL units in the bitstream.</w:t>
      </w:r>
    </w:p>
    <w:p w14:paraId="52D03636" w14:textId="0E91CF2E" w:rsidR="00EF550B" w:rsidRPr="00A52AB8" w:rsidRDefault="00EF550B" w:rsidP="00D451D4">
      <w:r w:rsidRPr="00A52AB8">
        <w:t xml:space="preserve">It is a requirement of bitstream conformance that the following restrictions apply on the values of </w:t>
      </w:r>
      <w:r w:rsidR="00CB2A8E" w:rsidRPr="00A52AB8">
        <w:t>nal_layer_id</w:t>
      </w:r>
      <w:r w:rsidRPr="00A52AB8">
        <w:t xml:space="preserve"> and TemporalId of SEI NAL units:</w:t>
      </w:r>
    </w:p>
    <w:p w14:paraId="18BC8B30" w14:textId="0AC5E2DE" w:rsidR="00275525" w:rsidRPr="00A52AB8" w:rsidRDefault="000C427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When an SEI message has payloadType equal to 0 or 1 the SEI NAL unit containing the SEI message shall have </w:t>
      </w:r>
      <w:r w:rsidR="00CB2A8E" w:rsidRPr="00A52AB8">
        <w:rPr>
          <w:color w:val="000000" w:themeColor="text1"/>
        </w:rPr>
        <w:t>nal_layer_id</w:t>
      </w:r>
      <w:r w:rsidRPr="00A52AB8">
        <w:rPr>
          <w:color w:val="000000" w:themeColor="text1"/>
        </w:rPr>
        <w:t xml:space="preserve"> equal to 0</w:t>
      </w:r>
      <w:r w:rsidR="00EF550B" w:rsidRPr="00A52AB8">
        <w:rPr>
          <w:color w:val="000000" w:themeColor="text1"/>
        </w:rPr>
        <w:t>.</w:t>
      </w:r>
    </w:p>
    <w:p w14:paraId="3B67FCF8" w14:textId="77777777" w:rsidR="00242357" w:rsidRPr="00A52AB8" w:rsidRDefault="00242357">
      <w:pPr>
        <w:pStyle w:val="enumlev1"/>
        <w:spacing w:before="136"/>
        <w:ind w:left="403" w:hanging="403"/>
        <w:rPr>
          <w:rFonts w:ascii="Cambria" w:hAnsi="Cambria"/>
          <w:szCs w:val="22"/>
        </w:rPr>
      </w:pPr>
      <w:r w:rsidRPr="00A52AB8">
        <w:rPr>
          <w:rFonts w:ascii="Cambria" w:hAnsi="Cambria"/>
          <w:sz w:val="22"/>
          <w:szCs w:val="22"/>
        </w:rPr>
        <w:t>In the following subclauses of this annex, the following applies:</w:t>
      </w:r>
    </w:p>
    <w:p w14:paraId="1F609554" w14:textId="7599B23C" w:rsidR="00242357" w:rsidRPr="00A52AB8" w:rsidRDefault="0024235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The current SEI message refers to the particular SEI message.</w:t>
      </w:r>
    </w:p>
    <w:p w14:paraId="574D8C2F" w14:textId="2457AAD9" w:rsidR="00DF5095" w:rsidRPr="00A52AB8" w:rsidRDefault="0024235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The current access unit refers to the access unit containing the current SEI message.</w:t>
      </w:r>
    </w:p>
    <w:p w14:paraId="5507CAA7" w14:textId="524214D5" w:rsidR="00242357" w:rsidRPr="00A52AB8" w:rsidRDefault="00242357" w:rsidP="00007BE2">
      <w:pPr>
        <w:spacing w:before="136" w:after="0"/>
      </w:pPr>
      <w:r w:rsidRPr="00A52AB8">
        <w:t>In the following subclauses of this annex, when a particular SEI message applies to a set of one or more</w:t>
      </w:r>
      <w:r w:rsidR="00B81E36" w:rsidRPr="00A52AB8">
        <w:t xml:space="preserve"> </w:t>
      </w:r>
      <w:r w:rsidR="00194ECF" w:rsidRPr="00A52AB8">
        <w:t>map</w:t>
      </w:r>
      <w:r w:rsidRPr="00A52AB8">
        <w:t>s (instead of a set of operation points), i.e., when the payloadType value is not equal to one of 0 (buffering period)</w:t>
      </w:r>
      <w:r w:rsidR="00DF5095" w:rsidRPr="00A52AB8">
        <w:t xml:space="preserve"> and</w:t>
      </w:r>
      <w:r w:rsidRPr="00A52AB8">
        <w:t xml:space="preserve"> 1 (</w:t>
      </w:r>
      <w:r w:rsidR="003B75E9" w:rsidRPr="00A52AB8">
        <w:t xml:space="preserve">atlas frame </w:t>
      </w:r>
      <w:r w:rsidRPr="00A52AB8">
        <w:t>timing)</w:t>
      </w:r>
      <w:r w:rsidR="00DF5095" w:rsidRPr="00A52AB8">
        <w:t>,</w:t>
      </w:r>
      <w:r w:rsidRPr="00A52AB8">
        <w:t xml:space="preserve"> the following applies:</w:t>
      </w:r>
    </w:p>
    <w:p w14:paraId="26F651DF" w14:textId="4C260C97" w:rsidR="00242357" w:rsidRPr="00A52AB8" w:rsidRDefault="0024235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The semantics apply independently to each </w:t>
      </w:r>
      <w:r w:rsidR="00DF5095" w:rsidRPr="00A52AB8">
        <w:rPr>
          <w:color w:val="000000" w:themeColor="text1"/>
        </w:rPr>
        <w:t xml:space="preserve">unit </w:t>
      </w:r>
      <w:r w:rsidRPr="00A52AB8">
        <w:rPr>
          <w:color w:val="000000" w:themeColor="text1"/>
        </w:rPr>
        <w:t>the particular SEI message applies.</w:t>
      </w:r>
    </w:p>
    <w:p w14:paraId="52AF8C63" w14:textId="77777777" w:rsidR="00242357" w:rsidRPr="00A52AB8" w:rsidRDefault="00242357" w:rsidP="009F7C49">
      <w:p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textAlignment w:val="baseline"/>
        <w:rPr>
          <w:color w:val="000000" w:themeColor="text1"/>
        </w:rPr>
      </w:pPr>
      <w:r w:rsidRPr="00A52AB8">
        <w:rPr>
          <w:color w:val="000000" w:themeColor="text1"/>
        </w:rPr>
        <w:t xml:space="preserve">In the following subclauses of this annex, when a particular SEI message applies to a set of one or more operation points (instead of a set of one or more </w:t>
      </w:r>
      <w:r w:rsidR="00194ECF" w:rsidRPr="00A52AB8">
        <w:rPr>
          <w:color w:val="000000" w:themeColor="text1"/>
        </w:rPr>
        <w:t>map</w:t>
      </w:r>
      <w:r w:rsidRPr="00A52AB8">
        <w:rPr>
          <w:color w:val="000000" w:themeColor="text1"/>
        </w:rPr>
        <w:t>s), i.e., when the payloadType value is equal to 0 (buffering period)</w:t>
      </w:r>
      <w:r w:rsidR="00DF5095" w:rsidRPr="00A52AB8">
        <w:rPr>
          <w:color w:val="000000" w:themeColor="text1"/>
        </w:rPr>
        <w:t xml:space="preserve"> or</w:t>
      </w:r>
      <w:r w:rsidRPr="00A52AB8">
        <w:rPr>
          <w:color w:val="000000" w:themeColor="text1"/>
        </w:rPr>
        <w:t xml:space="preserve"> 1 (</w:t>
      </w:r>
      <w:r w:rsidR="003B75E9" w:rsidRPr="00A52AB8">
        <w:rPr>
          <w:color w:val="000000" w:themeColor="text1"/>
        </w:rPr>
        <w:t xml:space="preserve">atlas frame </w:t>
      </w:r>
      <w:r w:rsidRPr="00A52AB8">
        <w:rPr>
          <w:color w:val="000000" w:themeColor="text1"/>
        </w:rPr>
        <w:t>timing), the following applies:</w:t>
      </w:r>
    </w:p>
    <w:p w14:paraId="33A98A88" w14:textId="6ABDD532" w:rsidR="00242357" w:rsidRPr="00A52AB8" w:rsidRDefault="0024235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The semantics apply independently to each particular operation point of the set of operation points to which the particular SEI message applies.</w:t>
      </w:r>
    </w:p>
    <w:p w14:paraId="0A3451B6" w14:textId="0FA8BEED" w:rsidR="00242357" w:rsidRPr="00A52AB8" w:rsidRDefault="0024235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The current operation point refers to the particular operation point.</w:t>
      </w:r>
    </w:p>
    <w:p w14:paraId="786E932C" w14:textId="57B142D1" w:rsidR="00700119" w:rsidRPr="00A52AB8" w:rsidRDefault="0024235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The terms "access unit" and "</w:t>
      </w:r>
      <w:r w:rsidR="000D609E" w:rsidRPr="00A52AB8">
        <w:rPr>
          <w:color w:val="000000" w:themeColor="text1"/>
        </w:rPr>
        <w:t>C</w:t>
      </w:r>
      <w:r w:rsidR="00804795" w:rsidRPr="00A52AB8">
        <w:rPr>
          <w:color w:val="000000" w:themeColor="text1"/>
        </w:rPr>
        <w:t>A</w:t>
      </w:r>
      <w:r w:rsidR="000D609E" w:rsidRPr="00A52AB8">
        <w:rPr>
          <w:color w:val="000000" w:themeColor="text1"/>
        </w:rPr>
        <w:t>S</w:t>
      </w:r>
      <w:r w:rsidRPr="00A52AB8">
        <w:rPr>
          <w:color w:val="000000" w:themeColor="text1"/>
        </w:rPr>
        <w:t>" apply to the bitstream BitstreamToDecode that is the sub-bitstream of the particular operation point.</w:t>
      </w:r>
    </w:p>
    <w:p w14:paraId="39373975" w14:textId="77777777" w:rsidR="00DF5095" w:rsidRPr="00A52AB8" w:rsidRDefault="00DF5095">
      <w:pPr>
        <w:pStyle w:val="a3"/>
        <w:numPr>
          <w:ilvl w:val="2"/>
          <w:numId w:val="19"/>
        </w:numPr>
      </w:pPr>
      <w:bookmarkStart w:id="5471" w:name="_Toc49095654"/>
      <w:bookmarkStart w:id="5472" w:name="_Toc317198915"/>
      <w:bookmarkStart w:id="5473" w:name="_Toc415476064"/>
      <w:bookmarkStart w:id="5474" w:name="_Toc423599339"/>
      <w:bookmarkStart w:id="5475" w:name="_Toc423601843"/>
      <w:bookmarkStart w:id="5476" w:name="_Toc501130316"/>
      <w:bookmarkStart w:id="5477" w:name="_Toc503778020"/>
      <w:bookmarkStart w:id="5478" w:name="_Ref49346163"/>
      <w:bookmarkStart w:id="5479" w:name="_Toc52181734"/>
      <w:bookmarkEnd w:id="5471"/>
      <w:r w:rsidRPr="00A52AB8">
        <w:t>Filler payload SEI message semantics</w:t>
      </w:r>
      <w:bookmarkEnd w:id="5472"/>
      <w:bookmarkEnd w:id="5473"/>
      <w:bookmarkEnd w:id="5474"/>
      <w:bookmarkEnd w:id="5475"/>
      <w:bookmarkEnd w:id="5476"/>
      <w:bookmarkEnd w:id="5477"/>
      <w:bookmarkEnd w:id="5478"/>
      <w:bookmarkEnd w:id="5479"/>
    </w:p>
    <w:p w14:paraId="16A40C7B" w14:textId="77777777" w:rsidR="00DF5095" w:rsidRPr="00A52AB8" w:rsidRDefault="00DF5095">
      <w:pPr>
        <w:keepNext/>
      </w:pPr>
      <w:r w:rsidRPr="00A52AB8">
        <w:t>This SEI message contains a series of payloadSize bytes of value 0xFF, which can be discarded.</w:t>
      </w:r>
    </w:p>
    <w:p w14:paraId="2E7F8F65" w14:textId="77777777" w:rsidR="00DF5095" w:rsidRPr="00A52AB8" w:rsidRDefault="00DF5095">
      <w:r w:rsidRPr="00A52AB8">
        <w:rPr>
          <w:b/>
          <w:bCs/>
        </w:rPr>
        <w:t>ff_byte</w:t>
      </w:r>
      <w:r w:rsidRPr="00A52AB8">
        <w:t xml:space="preserve"> shall be a byte having the value 0xFF.</w:t>
      </w:r>
    </w:p>
    <w:p w14:paraId="6EACDED2" w14:textId="77777777" w:rsidR="00DF5095" w:rsidRPr="00A52AB8" w:rsidRDefault="00DF5095">
      <w:pPr>
        <w:pStyle w:val="a3"/>
        <w:numPr>
          <w:ilvl w:val="2"/>
          <w:numId w:val="19"/>
        </w:numPr>
      </w:pPr>
      <w:bookmarkStart w:id="5480" w:name="_Toc317198916"/>
      <w:bookmarkStart w:id="5481" w:name="_Toc415476065"/>
      <w:bookmarkStart w:id="5482" w:name="_Toc423599340"/>
      <w:bookmarkStart w:id="5483" w:name="_Toc423601844"/>
      <w:bookmarkStart w:id="5484" w:name="_Toc501130317"/>
      <w:bookmarkStart w:id="5485" w:name="_Toc503778021"/>
      <w:bookmarkStart w:id="5486" w:name="_Ref49346184"/>
      <w:bookmarkStart w:id="5487" w:name="_Toc52181735"/>
      <w:r w:rsidRPr="00A52AB8">
        <w:t>User data registered by Recommendation ITU-T T.35 SEI message semantics</w:t>
      </w:r>
      <w:bookmarkEnd w:id="5480"/>
      <w:bookmarkEnd w:id="5481"/>
      <w:bookmarkEnd w:id="5482"/>
      <w:bookmarkEnd w:id="5483"/>
      <w:bookmarkEnd w:id="5484"/>
      <w:bookmarkEnd w:id="5485"/>
      <w:bookmarkEnd w:id="5486"/>
      <w:bookmarkEnd w:id="5487"/>
    </w:p>
    <w:p w14:paraId="78ED02EA" w14:textId="77777777" w:rsidR="00DF5095" w:rsidRPr="00A52AB8" w:rsidRDefault="00DF5095">
      <w:r w:rsidRPr="00A52AB8">
        <w:t xml:space="preserve">This SEI message contains user data registered as specified in Recommendation ITU-T T.35, the contents of which are not specified in </w:t>
      </w:r>
      <w:r w:rsidR="00FD4C0B" w:rsidRPr="00A52AB8">
        <w:t>this document</w:t>
      </w:r>
      <w:r w:rsidRPr="00A52AB8">
        <w:t>.</w:t>
      </w:r>
    </w:p>
    <w:p w14:paraId="3795C91D" w14:textId="77777777" w:rsidR="00DF5095" w:rsidRPr="00A52AB8" w:rsidRDefault="00DF5095">
      <w:r w:rsidRPr="00A52AB8">
        <w:rPr>
          <w:b/>
          <w:bCs/>
        </w:rPr>
        <w:t>itu_t_t35_country_code</w:t>
      </w:r>
      <w:r w:rsidRPr="00A52AB8">
        <w:t xml:space="preserve"> shall be a byte having a value specified as a country code by Recommendation ITU-T T.35</w:t>
      </w:r>
      <w:r w:rsidR="0079454C" w:rsidRPr="00A52AB8">
        <w:t>:2000</w:t>
      </w:r>
      <w:r w:rsidR="009C0958" w:rsidRPr="00A52AB8">
        <w:t>, Annex A.</w:t>
      </w:r>
    </w:p>
    <w:p w14:paraId="08512BFD" w14:textId="77777777" w:rsidR="00DF5095" w:rsidRPr="00A52AB8" w:rsidRDefault="00DF5095">
      <w:r w:rsidRPr="00A52AB8">
        <w:rPr>
          <w:b/>
          <w:bCs/>
        </w:rPr>
        <w:t>itu_t_t35_country_code_extension_byte</w:t>
      </w:r>
      <w:r w:rsidRPr="00A52AB8">
        <w:t xml:space="preserve"> shall be a byte having a value specified as a country code by Recommendation ITU-T T.35</w:t>
      </w:r>
      <w:r w:rsidR="009C0958" w:rsidRPr="00A52AB8">
        <w:t>:2000, Annex B</w:t>
      </w:r>
      <w:r w:rsidRPr="00A52AB8">
        <w:t>.</w:t>
      </w:r>
    </w:p>
    <w:p w14:paraId="2D114335" w14:textId="77777777" w:rsidR="00DF5095" w:rsidRPr="00A52AB8" w:rsidRDefault="00DF5095">
      <w:r w:rsidRPr="00A52AB8">
        <w:rPr>
          <w:b/>
          <w:bCs/>
        </w:rPr>
        <w:t>itu_t_t35_payload_byte</w:t>
      </w:r>
      <w:r w:rsidRPr="00A52AB8">
        <w:t xml:space="preserve"> shall be a byte containing data registered as specified in Recommendation ITU-T T.35.</w:t>
      </w:r>
    </w:p>
    <w:p w14:paraId="0A4C07DF" w14:textId="77777777" w:rsidR="00DF5095" w:rsidRPr="00A52AB8" w:rsidRDefault="00DF5095">
      <w:r w:rsidRPr="00A52AB8">
        <w:t>The ITU-T T.35 terminal provider code and terminal provider oriented code shall be contained in the first one or more bytes of the itu_t_t35_payload_byte, in the format specified by the Administration that issued the terminal provider code. Any remaining itu_t_t35_payload_byte data shall be data having syntax and semantics as specified by the entity identified by the ITU-T T.35 country code and terminal provider code.</w:t>
      </w:r>
    </w:p>
    <w:p w14:paraId="21D6B1A8" w14:textId="77777777" w:rsidR="00DF5095" w:rsidRPr="00A52AB8" w:rsidRDefault="00DF5095">
      <w:pPr>
        <w:pStyle w:val="a3"/>
        <w:numPr>
          <w:ilvl w:val="2"/>
          <w:numId w:val="19"/>
        </w:numPr>
        <w:tabs>
          <w:tab w:val="clear" w:pos="403"/>
        </w:tabs>
      </w:pPr>
      <w:bookmarkStart w:id="5488" w:name="_Toc317198917"/>
      <w:bookmarkStart w:id="5489" w:name="_Toc415476066"/>
      <w:bookmarkStart w:id="5490" w:name="_Toc423599341"/>
      <w:bookmarkStart w:id="5491" w:name="_Toc423601845"/>
      <w:bookmarkStart w:id="5492" w:name="_Toc501130318"/>
      <w:bookmarkStart w:id="5493" w:name="_Toc503778022"/>
      <w:bookmarkStart w:id="5494" w:name="_Ref49346201"/>
      <w:bookmarkStart w:id="5495" w:name="_Toc52181736"/>
      <w:r w:rsidRPr="00A52AB8">
        <w:t>User data unregistered SEI message semantics</w:t>
      </w:r>
      <w:bookmarkEnd w:id="5488"/>
      <w:bookmarkEnd w:id="5489"/>
      <w:bookmarkEnd w:id="5490"/>
      <w:bookmarkEnd w:id="5491"/>
      <w:bookmarkEnd w:id="5492"/>
      <w:bookmarkEnd w:id="5493"/>
      <w:bookmarkEnd w:id="5494"/>
      <w:bookmarkEnd w:id="5495"/>
    </w:p>
    <w:p w14:paraId="446A43FC" w14:textId="77777777" w:rsidR="00DF5095" w:rsidRPr="00A52AB8" w:rsidRDefault="00DF5095">
      <w:r w:rsidRPr="00A52AB8">
        <w:t xml:space="preserve">This SEI message contains unregistered user data identified by a universal unique identifier (UUID), the contents of which are not specified in </w:t>
      </w:r>
      <w:r w:rsidR="00FD4C0B" w:rsidRPr="00A52AB8">
        <w:t>this document</w:t>
      </w:r>
      <w:r w:rsidRPr="00A52AB8">
        <w:t>.</w:t>
      </w:r>
    </w:p>
    <w:p w14:paraId="3BBEFF1A" w14:textId="77777777" w:rsidR="00DF5095" w:rsidRPr="00A52AB8" w:rsidRDefault="00DF5095">
      <w:r w:rsidRPr="00A52AB8">
        <w:rPr>
          <w:b/>
        </w:rPr>
        <w:t>uuid_iso_iec_11578</w:t>
      </w:r>
      <w:r w:rsidRPr="00A52AB8">
        <w:t xml:space="preserve"> shall have a value specified as a UUID according to the procedures of ISO/IEC 11578:1996</w:t>
      </w:r>
      <w:r w:rsidR="00BB02FE" w:rsidRPr="00A52AB8">
        <w:t>, Annex A.</w:t>
      </w:r>
    </w:p>
    <w:p w14:paraId="294D5925" w14:textId="77777777" w:rsidR="00DF5095" w:rsidRPr="00A52AB8" w:rsidRDefault="00DF5095">
      <w:r w:rsidRPr="00A52AB8">
        <w:rPr>
          <w:b/>
          <w:bCs/>
        </w:rPr>
        <w:t>user_data_payload_byte</w:t>
      </w:r>
      <w:r w:rsidRPr="00A52AB8">
        <w:t xml:space="preserve"> shall be a byte containing data having syntax and semantics as specified by the UUID generator.</w:t>
      </w:r>
    </w:p>
    <w:p w14:paraId="1761ABF9" w14:textId="77777777" w:rsidR="00DF5095" w:rsidRPr="00A52AB8" w:rsidRDefault="00DF5095">
      <w:pPr>
        <w:pStyle w:val="a3"/>
        <w:numPr>
          <w:ilvl w:val="2"/>
          <w:numId w:val="19"/>
        </w:numPr>
        <w:tabs>
          <w:tab w:val="clear" w:pos="403"/>
        </w:tabs>
      </w:pPr>
      <w:bookmarkStart w:id="5496" w:name="_Toc317198918"/>
      <w:bookmarkStart w:id="5497" w:name="_Toc415476067"/>
      <w:bookmarkStart w:id="5498" w:name="_Toc423599342"/>
      <w:bookmarkStart w:id="5499" w:name="_Toc423601846"/>
      <w:bookmarkStart w:id="5500" w:name="_Toc501130319"/>
      <w:bookmarkStart w:id="5501" w:name="_Toc503778023"/>
      <w:bookmarkStart w:id="5502" w:name="_Ref49346213"/>
      <w:bookmarkStart w:id="5503" w:name="_Toc52181737"/>
      <w:r w:rsidRPr="00A52AB8">
        <w:t>Recovery point SEI message semantics</w:t>
      </w:r>
      <w:bookmarkEnd w:id="5496"/>
      <w:bookmarkEnd w:id="5497"/>
      <w:bookmarkEnd w:id="5498"/>
      <w:bookmarkEnd w:id="5499"/>
      <w:bookmarkEnd w:id="5500"/>
      <w:bookmarkEnd w:id="5501"/>
      <w:bookmarkEnd w:id="5502"/>
      <w:bookmarkEnd w:id="5503"/>
    </w:p>
    <w:p w14:paraId="190F2688" w14:textId="77777777" w:rsidR="00DF5095" w:rsidRPr="00A52AB8" w:rsidRDefault="00DF5095">
      <w:pPr>
        <w:spacing w:after="120"/>
      </w:pPr>
      <w:r w:rsidRPr="00A52AB8">
        <w:t xml:space="preserve">The recovery point SEI message assists a decoder in determining when the decoding process will produce acceptable </w:t>
      </w:r>
      <w:r w:rsidR="00B43B3E" w:rsidRPr="00A52AB8">
        <w:t>atlas</w:t>
      </w:r>
      <w:r w:rsidR="00BD748B" w:rsidRPr="00A52AB8">
        <w:t xml:space="preserve"> frames</w:t>
      </w:r>
      <w:r w:rsidRPr="00A52AB8">
        <w:t xml:space="preserve"> for </w:t>
      </w:r>
      <w:r w:rsidR="00A86870" w:rsidRPr="00A52AB8">
        <w:t xml:space="preserve">reconstruction and </w:t>
      </w:r>
      <w:r w:rsidRPr="00A52AB8">
        <w:t xml:space="preserve">display after the decoder initiates random access or after the encoder indicates a broken link in the </w:t>
      </w:r>
      <w:r w:rsidR="00732F5C" w:rsidRPr="00A52AB8">
        <w:t>C</w:t>
      </w:r>
      <w:r w:rsidR="00B43B3E" w:rsidRPr="00A52AB8">
        <w:t>A</w:t>
      </w:r>
      <w:r w:rsidR="00732F5C" w:rsidRPr="00A52AB8">
        <w:t>S</w:t>
      </w:r>
      <w:r w:rsidRPr="00A52AB8">
        <w:t>. When the decoding process</w:t>
      </w:r>
      <w:r w:rsidR="00A86870" w:rsidRPr="00A52AB8">
        <w:t xml:space="preserve"> is </w:t>
      </w:r>
      <w:r w:rsidRPr="00A52AB8">
        <w:t xml:space="preserve">started with the access unit in decoding order associated with the recovery point SEI message, all decoded </w:t>
      </w:r>
      <w:r w:rsidR="00B43B3E" w:rsidRPr="00A52AB8">
        <w:t>atlas</w:t>
      </w:r>
      <w:r w:rsidR="00694DD8" w:rsidRPr="00A52AB8">
        <w:t xml:space="preserve"> </w:t>
      </w:r>
      <w:r w:rsidR="00BD748B" w:rsidRPr="00A52AB8">
        <w:t>frames</w:t>
      </w:r>
      <w:r w:rsidRPr="00A52AB8">
        <w:t xml:space="preserve"> at or subsequent to the recovery point in output order specified in this SEI message are indicated to be correct or approximately correct in content. Decoded </w:t>
      </w:r>
      <w:r w:rsidR="00B43B3E" w:rsidRPr="00A52AB8">
        <w:t>atlas</w:t>
      </w:r>
      <w:r w:rsidR="00694DD8" w:rsidRPr="00A52AB8">
        <w:t xml:space="preserve"> </w:t>
      </w:r>
      <w:r w:rsidR="00BD748B" w:rsidRPr="00A52AB8">
        <w:t xml:space="preserve">frames </w:t>
      </w:r>
      <w:r w:rsidRPr="00A52AB8">
        <w:t xml:space="preserve">produced by random access at or before the </w:t>
      </w:r>
      <w:r w:rsidR="00B43B3E" w:rsidRPr="00A52AB8">
        <w:t>atlas</w:t>
      </w:r>
      <w:r w:rsidR="00BD748B" w:rsidRPr="00A52AB8">
        <w:t xml:space="preserve"> frame</w:t>
      </w:r>
      <w:r w:rsidRPr="00A52AB8">
        <w:t xml:space="preserve"> associated with the recovery point SEI message need not be correct in content until the indicated recovery point, and the operation of the decoding process starting at the </w:t>
      </w:r>
      <w:r w:rsidR="00B43B3E" w:rsidRPr="00A52AB8">
        <w:t>atlas</w:t>
      </w:r>
      <w:r w:rsidR="00A86870" w:rsidRPr="00A52AB8">
        <w:t xml:space="preserve"> frame</w:t>
      </w:r>
      <w:r w:rsidRPr="00A52AB8">
        <w:t xml:space="preserve"> associated with the recovery point SEI message may contain references to </w:t>
      </w:r>
      <w:r w:rsidR="00B43B3E" w:rsidRPr="00A52AB8">
        <w:t>atlas</w:t>
      </w:r>
      <w:r w:rsidR="00694DD8" w:rsidRPr="00A52AB8">
        <w:t xml:space="preserve"> </w:t>
      </w:r>
      <w:r w:rsidR="00A86870" w:rsidRPr="00A52AB8">
        <w:t>frames</w:t>
      </w:r>
      <w:r w:rsidRPr="00A52AB8">
        <w:t xml:space="preserve"> </w:t>
      </w:r>
      <w:r w:rsidR="00A86870" w:rsidRPr="00A52AB8">
        <w:t xml:space="preserve">and related video data that might be </w:t>
      </w:r>
      <w:r w:rsidRPr="00A52AB8">
        <w:t xml:space="preserve">unavailable </w:t>
      </w:r>
      <w:r w:rsidR="00A86870" w:rsidRPr="00A52AB8">
        <w:t>for prediction</w:t>
      </w:r>
      <w:r w:rsidRPr="00A52AB8">
        <w:t>.</w:t>
      </w:r>
    </w:p>
    <w:p w14:paraId="7545F649" w14:textId="77777777" w:rsidR="00DF5095" w:rsidRPr="00A52AB8" w:rsidRDefault="00DF5095">
      <w:pPr>
        <w:spacing w:after="120"/>
      </w:pPr>
      <w:r w:rsidRPr="00A52AB8">
        <w:t xml:space="preserve">In addition, by use of the broken_link_flag, the recovery point SEI message can indicate to the decoder the location of some </w:t>
      </w:r>
      <w:r w:rsidR="005F29E3" w:rsidRPr="00A52AB8">
        <w:t>atlas</w:t>
      </w:r>
      <w:r w:rsidR="00A86870" w:rsidRPr="00A52AB8">
        <w:t xml:space="preserve"> frames</w:t>
      </w:r>
      <w:r w:rsidRPr="00A52AB8">
        <w:t xml:space="preserve"> in the bitstream that can result in serious visual artefacts when </w:t>
      </w:r>
      <w:r w:rsidR="00A86870" w:rsidRPr="00A52AB8">
        <w:t xml:space="preserve">reconstructed and </w:t>
      </w:r>
      <w:r w:rsidRPr="00A52AB8">
        <w:t>displayed</w:t>
      </w:r>
      <w:r w:rsidR="00A86870" w:rsidRPr="00A52AB8">
        <w:t>, because of potentially missing references</w:t>
      </w:r>
      <w:r w:rsidRPr="00A52AB8">
        <w:t>.</w:t>
      </w:r>
    </w:p>
    <w:p w14:paraId="18064848" w14:textId="32200F2C" w:rsidR="00DF5095" w:rsidRPr="00A52AB8" w:rsidRDefault="00DF5095">
      <w:pPr>
        <w:pStyle w:val="Note1"/>
        <w:spacing w:afterLines="50"/>
        <w:rPr>
          <w:rFonts w:ascii="Cambria" w:hAnsi="Cambria"/>
        </w:rPr>
      </w:pPr>
      <w:r w:rsidRPr="00A52AB8">
        <w:rPr>
          <w:rFonts w:ascii="Cambria" w:hAnsi="Cambria"/>
        </w:rPr>
        <w:t>NOTE </w:t>
      </w:r>
      <w:r w:rsidRPr="00496A4D">
        <w:rPr>
          <w:rFonts w:ascii="Cambria" w:hAnsi="Cambria"/>
        </w:rPr>
        <w:fldChar w:fldCharType="begin"/>
      </w:r>
      <w:r w:rsidRPr="00A52AB8">
        <w:rPr>
          <w:rFonts w:ascii="Cambria" w:hAnsi="Cambria"/>
        </w:rPr>
        <w:instrText xml:space="preserve"> SEQ NoteCounter \r 1 \* MERGEFORMAT </w:instrText>
      </w:r>
      <w:r w:rsidRPr="00496A4D">
        <w:rPr>
          <w:rFonts w:ascii="Cambria" w:hAnsi="Cambria"/>
        </w:rPr>
        <w:fldChar w:fldCharType="separate"/>
      </w:r>
      <w:r w:rsidR="00507A67">
        <w:rPr>
          <w:rFonts w:ascii="Cambria" w:hAnsi="Cambria"/>
          <w:noProof/>
        </w:rPr>
        <w:t>1</w:t>
      </w:r>
      <w:r w:rsidRPr="00496A4D">
        <w:rPr>
          <w:rFonts w:ascii="Cambria" w:hAnsi="Cambria"/>
        </w:rPr>
        <w:fldChar w:fldCharType="end"/>
      </w:r>
      <w:r w:rsidRPr="00A52AB8">
        <w:rPr>
          <w:rFonts w:ascii="Cambria" w:hAnsi="Cambria"/>
        </w:rPr>
        <w:t xml:space="preserve"> – The broken_link_flag can be used by encoders to indicate the location of a point after which the decoding process for the decoding of some </w:t>
      </w:r>
      <w:r w:rsidR="005F29E3" w:rsidRPr="00A52AB8">
        <w:rPr>
          <w:rFonts w:ascii="Cambria" w:hAnsi="Cambria"/>
        </w:rPr>
        <w:t>atlas</w:t>
      </w:r>
      <w:r w:rsidR="00EF396A" w:rsidRPr="00A52AB8">
        <w:rPr>
          <w:rFonts w:ascii="Cambria" w:hAnsi="Cambria"/>
        </w:rPr>
        <w:t xml:space="preserve"> frames</w:t>
      </w:r>
      <w:r w:rsidRPr="00A52AB8">
        <w:rPr>
          <w:rFonts w:ascii="Cambria" w:hAnsi="Cambria"/>
        </w:rPr>
        <w:t xml:space="preserve"> </w:t>
      </w:r>
      <w:r w:rsidR="004212E5" w:rsidRPr="00A52AB8">
        <w:rPr>
          <w:rFonts w:ascii="Cambria" w:hAnsi="Cambria"/>
        </w:rPr>
        <w:t xml:space="preserve">can </w:t>
      </w:r>
      <w:r w:rsidRPr="00A52AB8">
        <w:rPr>
          <w:rFonts w:ascii="Cambria" w:hAnsi="Cambria"/>
        </w:rPr>
        <w:t xml:space="preserve">cause references to </w:t>
      </w:r>
      <w:r w:rsidR="00EF396A" w:rsidRPr="00A52AB8">
        <w:rPr>
          <w:rFonts w:ascii="Cambria" w:hAnsi="Cambria"/>
        </w:rPr>
        <w:t>information</w:t>
      </w:r>
      <w:r w:rsidRPr="00A52AB8">
        <w:rPr>
          <w:rFonts w:ascii="Cambria" w:hAnsi="Cambria"/>
        </w:rPr>
        <w:t xml:space="preserve"> that, though available for use in the decoding process, </w:t>
      </w:r>
      <w:r w:rsidR="00EF396A" w:rsidRPr="00A52AB8">
        <w:rPr>
          <w:rFonts w:ascii="Cambria" w:hAnsi="Cambria"/>
        </w:rPr>
        <w:t>is</w:t>
      </w:r>
      <w:r w:rsidRPr="00A52AB8">
        <w:rPr>
          <w:rFonts w:ascii="Cambria" w:hAnsi="Cambria"/>
        </w:rPr>
        <w:t xml:space="preserve"> not the </w:t>
      </w:r>
      <w:r w:rsidR="00EF396A" w:rsidRPr="00A52AB8">
        <w:rPr>
          <w:rFonts w:ascii="Cambria" w:hAnsi="Cambria"/>
        </w:rPr>
        <w:t>information</w:t>
      </w:r>
      <w:r w:rsidRPr="00A52AB8">
        <w:rPr>
          <w:rFonts w:ascii="Cambria" w:hAnsi="Cambria"/>
        </w:rPr>
        <w:t xml:space="preserve"> that </w:t>
      </w:r>
      <w:r w:rsidR="00EF396A" w:rsidRPr="00A52AB8">
        <w:rPr>
          <w:rFonts w:ascii="Cambria" w:hAnsi="Cambria"/>
        </w:rPr>
        <w:t>was</w:t>
      </w:r>
      <w:r w:rsidRPr="00A52AB8">
        <w:rPr>
          <w:rFonts w:ascii="Cambria" w:hAnsi="Cambria"/>
        </w:rPr>
        <w:t xml:space="preserve"> used for reference when the bitstream was originally encoded (e.g., due to a splicing operation performed during the generation of the bitstream).</w:t>
      </w:r>
    </w:p>
    <w:p w14:paraId="440FAC13" w14:textId="08A9E45F" w:rsidR="00DF5095" w:rsidRPr="00A52AB8" w:rsidRDefault="00DF5095">
      <w:r w:rsidRPr="00A52AB8">
        <w:t xml:space="preserve">When random access is performed to start decoding from the access unit associated with the recovery point SEI message, the decoder operates as if the associated </w:t>
      </w:r>
      <w:r w:rsidR="00435A20" w:rsidRPr="00A52AB8">
        <w:t>atlas</w:t>
      </w:r>
      <w:r w:rsidR="00EF396A" w:rsidRPr="00A52AB8">
        <w:t xml:space="preserve"> frame</w:t>
      </w:r>
      <w:r w:rsidRPr="00A52AB8">
        <w:t xml:space="preserve"> was the first </w:t>
      </w:r>
      <w:r w:rsidR="00435A20" w:rsidRPr="00A52AB8">
        <w:t>atlas</w:t>
      </w:r>
      <w:r w:rsidR="00EF396A" w:rsidRPr="00A52AB8">
        <w:t xml:space="preserve"> frame</w:t>
      </w:r>
      <w:r w:rsidRPr="00A52AB8">
        <w:t xml:space="preserve"> in the bitstream in decoding order, and the variables </w:t>
      </w:r>
      <w:r w:rsidR="008D333E" w:rsidRPr="00A52AB8">
        <w:t>prev</w:t>
      </w:r>
      <w:r w:rsidR="00EB723C" w:rsidRPr="00A52AB8">
        <w:t>AtlasFrm</w:t>
      </w:r>
      <w:r w:rsidR="008D333E" w:rsidRPr="00A52AB8">
        <w:t xml:space="preserve">OrderCntLsb </w:t>
      </w:r>
      <w:r w:rsidRPr="00A52AB8">
        <w:t xml:space="preserve">and </w:t>
      </w:r>
      <w:r w:rsidR="008D333E" w:rsidRPr="00A52AB8">
        <w:t>prev</w:t>
      </w:r>
      <w:r w:rsidR="00EB723C" w:rsidRPr="00A52AB8">
        <w:t>AtlasFrm</w:t>
      </w:r>
      <w:r w:rsidR="008D333E" w:rsidRPr="00A52AB8">
        <w:t xml:space="preserve">OrderCntMsb </w:t>
      </w:r>
      <w:r w:rsidRPr="00A52AB8">
        <w:t xml:space="preserve">used in </w:t>
      </w:r>
      <w:r w:rsidR="003430C9" w:rsidRPr="00A52AB8">
        <w:t xml:space="preserve">the </w:t>
      </w:r>
      <w:r w:rsidRPr="00A52AB8">
        <w:t xml:space="preserve">derivation of </w:t>
      </w:r>
      <w:r w:rsidR="00EB723C" w:rsidRPr="00A52AB8">
        <w:t>AtlasFrm</w:t>
      </w:r>
      <w:r w:rsidR="008D333E" w:rsidRPr="00A52AB8">
        <w:t>OrderCntVal</w:t>
      </w:r>
      <w:r w:rsidR="003430C9" w:rsidRPr="00A52AB8">
        <w:t xml:space="preserve"> are </w:t>
      </w:r>
      <w:r w:rsidRPr="00A52AB8">
        <w:t>both set equal to 0.</w:t>
      </w:r>
    </w:p>
    <w:p w14:paraId="28493E67" w14:textId="08A94234" w:rsidR="00DF5095" w:rsidRPr="00A52AB8" w:rsidRDefault="00DF5095" w:rsidP="007656E5">
      <w:pPr>
        <w:pStyle w:val="Note1"/>
        <w:spacing w:before="0" w:after="240" w:line="240" w:lineRule="atLeast"/>
        <w:rPr>
          <w:rFonts w:ascii="Cambria" w:hAnsi="Cambria"/>
        </w:rPr>
      </w:pPr>
      <w:r w:rsidRPr="00A52AB8">
        <w:rPr>
          <w:rFonts w:ascii="Cambria" w:hAnsi="Cambria"/>
        </w:rPr>
        <w:t>NOTE </w:t>
      </w:r>
      <w:r w:rsidRPr="00496A4D">
        <w:rPr>
          <w:rFonts w:ascii="Cambria" w:hAnsi="Cambria"/>
        </w:rPr>
        <w:fldChar w:fldCharType="begin"/>
      </w:r>
      <w:r w:rsidRPr="00A52AB8">
        <w:rPr>
          <w:rFonts w:ascii="Cambria" w:hAnsi="Cambria"/>
        </w:rPr>
        <w:instrText xml:space="preserve"> SEQ NoteCounter \* MERGEFORMAT </w:instrText>
      </w:r>
      <w:r w:rsidRPr="00496A4D">
        <w:rPr>
          <w:rFonts w:ascii="Cambria" w:hAnsi="Cambria"/>
        </w:rPr>
        <w:fldChar w:fldCharType="separate"/>
      </w:r>
      <w:r w:rsidR="00507A67">
        <w:rPr>
          <w:rFonts w:ascii="Cambria" w:hAnsi="Cambria"/>
          <w:noProof/>
        </w:rPr>
        <w:t>2</w:t>
      </w:r>
      <w:r w:rsidRPr="00496A4D">
        <w:rPr>
          <w:rFonts w:ascii="Cambria" w:hAnsi="Cambria"/>
        </w:rPr>
        <w:fldChar w:fldCharType="end"/>
      </w:r>
      <w:r w:rsidRPr="00A52AB8">
        <w:rPr>
          <w:rFonts w:ascii="Cambria" w:hAnsi="Cambria"/>
        </w:rPr>
        <w:t xml:space="preserve"> – When HRD information is present in the bitstream, a buffering period SEI message </w:t>
      </w:r>
      <w:r w:rsidR="004212E5" w:rsidRPr="00A52AB8">
        <w:rPr>
          <w:rFonts w:ascii="Cambria" w:hAnsi="Cambria"/>
        </w:rPr>
        <w:t xml:space="preserve">could </w:t>
      </w:r>
      <w:r w:rsidRPr="00A52AB8">
        <w:rPr>
          <w:rFonts w:ascii="Cambria" w:hAnsi="Cambria"/>
        </w:rPr>
        <w:t>be associated with the access unit associated with the recovery point SEI message in order to establish initialization of the HRD buffer model after a random access.</w:t>
      </w:r>
    </w:p>
    <w:p w14:paraId="5E23B309" w14:textId="5ECF12EA" w:rsidR="003430C9" w:rsidRPr="00A52AB8" w:rsidRDefault="003430C9" w:rsidP="007656E5">
      <w:pPr>
        <w:rPr>
          <w:bCs/>
        </w:rPr>
      </w:pPr>
      <w:r w:rsidRPr="00A52AB8">
        <w:rPr>
          <w:bCs/>
        </w:rPr>
        <w:t>Any ASPS or AFPS RBSP that is referred to by an atlas frame associated with a recovery point SEI message or by any atlas frame following such an atlas frame in decoding order shall be available to the decoding process prior to its activation, regardless of whether or not the decoding process is started at the beginning of the bitstream or with the access unit, in decoding order, that is associated with the recovery point SEI message.</w:t>
      </w:r>
    </w:p>
    <w:p w14:paraId="1C0AF934" w14:textId="2BC810BE" w:rsidR="00DF5095" w:rsidRPr="00A52AB8" w:rsidRDefault="00DF5095" w:rsidP="007656E5">
      <w:pPr>
        <w:rPr>
          <w:bCs/>
        </w:rPr>
      </w:pPr>
      <w:r w:rsidRPr="00A52AB8">
        <w:rPr>
          <w:b/>
        </w:rPr>
        <w:t>recovery_</w:t>
      </w:r>
      <w:r w:rsidR="00DD23CD" w:rsidRPr="00A52AB8">
        <w:rPr>
          <w:rFonts w:eastAsia="MS Mincho"/>
          <w:b/>
          <w:lang w:eastAsia="ja-JP"/>
        </w:rPr>
        <w:t>afoc</w:t>
      </w:r>
      <w:r w:rsidRPr="00A52AB8">
        <w:rPr>
          <w:rFonts w:eastAsia="MS Mincho"/>
          <w:b/>
          <w:lang w:eastAsia="ja-JP"/>
        </w:rPr>
        <w:t>_cnt</w:t>
      </w:r>
      <w:r w:rsidRPr="00A52AB8">
        <w:t xml:space="preserve"> specifies the recovery point of decoded </w:t>
      </w:r>
      <w:r w:rsidR="00E157A4" w:rsidRPr="00A52AB8">
        <w:t>atlas</w:t>
      </w:r>
      <w:r w:rsidR="00EF396A" w:rsidRPr="00A52AB8">
        <w:t xml:space="preserve"> frames</w:t>
      </w:r>
      <w:r w:rsidRPr="00A52AB8">
        <w:t xml:space="preserve"> in output order. If there is a</w:t>
      </w:r>
      <w:r w:rsidR="00D24766" w:rsidRPr="00A52AB8">
        <w:t>n</w:t>
      </w:r>
      <w:r w:rsidRPr="00A52AB8">
        <w:t xml:space="preserve"> </w:t>
      </w:r>
      <w:r w:rsidR="00FC4434" w:rsidRPr="00A52AB8">
        <w:t>atlas</w:t>
      </w:r>
      <w:r w:rsidR="00EF396A" w:rsidRPr="00A52AB8">
        <w:t xml:space="preserve"> frame</w:t>
      </w:r>
      <w:r w:rsidRPr="00A52AB8">
        <w:t xml:space="preserve"> </w:t>
      </w:r>
      <w:r w:rsidR="00417F28" w:rsidRPr="00A52AB8">
        <w:t>aF</w:t>
      </w:r>
      <w:r w:rsidR="006A4BC9" w:rsidRPr="00A52AB8">
        <w:t>rmA</w:t>
      </w:r>
      <w:r w:rsidR="00417F28" w:rsidRPr="00A52AB8">
        <w:t xml:space="preserve"> </w:t>
      </w:r>
      <w:r w:rsidRPr="00A52AB8">
        <w:t>that follows the current</w:t>
      </w:r>
      <w:r w:rsidR="00C61E38" w:rsidRPr="00A52AB8">
        <w:t xml:space="preserve"> </w:t>
      </w:r>
      <w:r w:rsidR="00FC4434" w:rsidRPr="00A52AB8">
        <w:t>atlas</w:t>
      </w:r>
      <w:r w:rsidR="00D24766" w:rsidRPr="00A52AB8">
        <w:t xml:space="preserve"> </w:t>
      </w:r>
      <w:r w:rsidR="00EF396A" w:rsidRPr="00A52AB8">
        <w:t>frame</w:t>
      </w:r>
      <w:r w:rsidRPr="00A52AB8">
        <w:t xml:space="preserve"> (i.e., the</w:t>
      </w:r>
      <w:r w:rsidR="00C61E38" w:rsidRPr="00A52AB8">
        <w:t xml:space="preserve"> </w:t>
      </w:r>
      <w:r w:rsidR="00FC4434" w:rsidRPr="00A52AB8">
        <w:t>atlas</w:t>
      </w:r>
      <w:r w:rsidR="00D24766" w:rsidRPr="00A52AB8">
        <w:t xml:space="preserve"> </w:t>
      </w:r>
      <w:r w:rsidR="00EF396A" w:rsidRPr="00A52AB8">
        <w:t>frame</w:t>
      </w:r>
      <w:r w:rsidRPr="00A52AB8">
        <w:t xml:space="preserve"> associated with the current SEI message) in decoding order in the </w:t>
      </w:r>
      <w:r w:rsidR="00732F5C" w:rsidRPr="00A52AB8">
        <w:t>C</w:t>
      </w:r>
      <w:r w:rsidR="00FC4434" w:rsidRPr="00A52AB8">
        <w:t>A</w:t>
      </w:r>
      <w:r w:rsidR="00732F5C" w:rsidRPr="00A52AB8">
        <w:t>S</w:t>
      </w:r>
      <w:r w:rsidRPr="00A52AB8">
        <w:t xml:space="preserve"> and that has </w:t>
      </w:r>
      <w:r w:rsidR="00EB723C" w:rsidRPr="00A52AB8">
        <w:t>AtlasFrm</w:t>
      </w:r>
      <w:r w:rsidR="008D333E" w:rsidRPr="00A52AB8">
        <w:t>OrderCntVal</w:t>
      </w:r>
      <w:r w:rsidR="007A4EFE" w:rsidRPr="00A52AB8">
        <w:t xml:space="preserve"> </w:t>
      </w:r>
      <w:r w:rsidRPr="00A52AB8">
        <w:t xml:space="preserve">equal to the </w:t>
      </w:r>
      <w:r w:rsidR="00EB723C" w:rsidRPr="00A52AB8">
        <w:t>AtlasFrm</w:t>
      </w:r>
      <w:r w:rsidR="008D333E" w:rsidRPr="00A52AB8">
        <w:t>OrderCntVal</w:t>
      </w:r>
      <w:r w:rsidR="00DB6F41" w:rsidRPr="00A52AB8">
        <w:t xml:space="preserve"> </w:t>
      </w:r>
      <w:r w:rsidRPr="00A52AB8">
        <w:t>of the current</w:t>
      </w:r>
      <w:r w:rsidR="00C61E38" w:rsidRPr="00A52AB8">
        <w:t xml:space="preserve"> </w:t>
      </w:r>
      <w:r w:rsidR="00FC4434" w:rsidRPr="00A52AB8">
        <w:t xml:space="preserve">atlas </w:t>
      </w:r>
      <w:r w:rsidR="00EF396A" w:rsidRPr="00A52AB8">
        <w:t xml:space="preserve">frame </w:t>
      </w:r>
      <w:r w:rsidRPr="00A52AB8">
        <w:t>plus the value of recovery_</w:t>
      </w:r>
      <w:r w:rsidR="00DD23CD" w:rsidRPr="00A52AB8">
        <w:rPr>
          <w:rFonts w:eastAsia="MS Mincho"/>
          <w:lang w:eastAsia="ja-JP"/>
        </w:rPr>
        <w:t>afoc</w:t>
      </w:r>
      <w:r w:rsidRPr="00A52AB8">
        <w:t xml:space="preserve">_cnt, the </w:t>
      </w:r>
      <w:r w:rsidR="00FC4434" w:rsidRPr="00A52AB8">
        <w:t>atlas</w:t>
      </w:r>
      <w:r w:rsidR="00EF396A" w:rsidRPr="00A52AB8">
        <w:t xml:space="preserve"> frame </w:t>
      </w:r>
      <w:r w:rsidR="006A4BC9" w:rsidRPr="00A52AB8">
        <w:t xml:space="preserve">aFrmA </w:t>
      </w:r>
      <w:r w:rsidRPr="00A52AB8">
        <w:t xml:space="preserve">is referred to as the recovery point </w:t>
      </w:r>
      <w:r w:rsidR="00FC4434" w:rsidRPr="00A52AB8">
        <w:t>atlas</w:t>
      </w:r>
      <w:r w:rsidR="00EF396A" w:rsidRPr="00A52AB8">
        <w:t xml:space="preserve"> frame</w:t>
      </w:r>
      <w:r w:rsidRPr="00A52AB8">
        <w:t xml:space="preserve">. Otherwise, the first </w:t>
      </w:r>
      <w:r w:rsidR="00FC4434" w:rsidRPr="00A52AB8">
        <w:t xml:space="preserve">atlas </w:t>
      </w:r>
      <w:r w:rsidR="00EF396A" w:rsidRPr="00A52AB8">
        <w:t xml:space="preserve">frame </w:t>
      </w:r>
      <w:r w:rsidRPr="00A52AB8">
        <w:t xml:space="preserve">in output order that has </w:t>
      </w:r>
      <w:r w:rsidR="00EB723C" w:rsidRPr="00A52AB8">
        <w:t>AtlasFrm</w:t>
      </w:r>
      <w:r w:rsidR="008D333E" w:rsidRPr="00A52AB8">
        <w:t>OrderCntVal</w:t>
      </w:r>
      <w:r w:rsidR="00DB6F41" w:rsidRPr="00A52AB8">
        <w:t xml:space="preserve"> </w:t>
      </w:r>
      <w:r w:rsidRPr="00A52AB8">
        <w:t xml:space="preserve">greater than the </w:t>
      </w:r>
      <w:r w:rsidR="00EB723C" w:rsidRPr="00A52AB8">
        <w:t>AtlasFrm</w:t>
      </w:r>
      <w:r w:rsidR="008D333E" w:rsidRPr="00A52AB8">
        <w:t>OrderCntVal</w:t>
      </w:r>
      <w:r w:rsidR="00DB6F41" w:rsidRPr="00A52AB8">
        <w:t xml:space="preserve"> </w:t>
      </w:r>
      <w:r w:rsidRPr="00A52AB8">
        <w:t xml:space="preserve">of the current </w:t>
      </w:r>
      <w:r w:rsidR="00FC4434" w:rsidRPr="00A52AB8">
        <w:t>atlas</w:t>
      </w:r>
      <w:r w:rsidR="00EF396A" w:rsidRPr="00A52AB8">
        <w:t xml:space="preserve"> frame </w:t>
      </w:r>
      <w:r w:rsidRPr="00A52AB8">
        <w:t>plus the value of recovery_</w:t>
      </w:r>
      <w:r w:rsidR="00DD23CD" w:rsidRPr="00A52AB8">
        <w:rPr>
          <w:rFonts w:eastAsia="MS Mincho"/>
          <w:lang w:eastAsia="ja-JP"/>
        </w:rPr>
        <w:t>afoc</w:t>
      </w:r>
      <w:r w:rsidRPr="00A52AB8">
        <w:t xml:space="preserve">_cnt is referred to as the recovery point </w:t>
      </w:r>
      <w:r w:rsidR="00FC4434" w:rsidRPr="00A52AB8">
        <w:t>atlas</w:t>
      </w:r>
      <w:r w:rsidR="00EF396A" w:rsidRPr="00A52AB8">
        <w:t xml:space="preserve"> frame</w:t>
      </w:r>
      <w:r w:rsidRPr="00A52AB8">
        <w:t xml:space="preserve">. The recovery point </w:t>
      </w:r>
      <w:r w:rsidR="00526714" w:rsidRPr="00A52AB8">
        <w:t>atlas</w:t>
      </w:r>
      <w:r w:rsidR="00EF396A" w:rsidRPr="00A52AB8">
        <w:t xml:space="preserve"> frame </w:t>
      </w:r>
      <w:r w:rsidRPr="00A52AB8">
        <w:t xml:space="preserve">shall not precede the current </w:t>
      </w:r>
      <w:r w:rsidR="00526714" w:rsidRPr="00A52AB8">
        <w:t>atlas</w:t>
      </w:r>
      <w:r w:rsidR="00EF396A" w:rsidRPr="00A52AB8">
        <w:t xml:space="preserve"> frame </w:t>
      </w:r>
      <w:r w:rsidRPr="00A52AB8">
        <w:t xml:space="preserve">in decoding order. All decoded </w:t>
      </w:r>
      <w:r w:rsidR="00526714" w:rsidRPr="00A52AB8">
        <w:t>atlas</w:t>
      </w:r>
      <w:r w:rsidR="00EF396A" w:rsidRPr="00A52AB8">
        <w:t xml:space="preserve"> frames </w:t>
      </w:r>
      <w:r w:rsidRPr="00A52AB8">
        <w:t xml:space="preserve">in output order are indicated to be correct or approximately correct in content starting at the output order position of the recovery point </w:t>
      </w:r>
      <w:r w:rsidR="00526714" w:rsidRPr="00A52AB8">
        <w:t>atlas</w:t>
      </w:r>
      <w:r w:rsidR="00EF396A" w:rsidRPr="00A52AB8">
        <w:t xml:space="preserve"> frame</w:t>
      </w:r>
      <w:r w:rsidRPr="00A52AB8">
        <w:t>. The value of recovery_</w:t>
      </w:r>
      <w:r w:rsidR="00DD23CD" w:rsidRPr="00A52AB8">
        <w:rPr>
          <w:rFonts w:eastAsia="MS Mincho"/>
          <w:lang w:eastAsia="ja-JP"/>
        </w:rPr>
        <w:t>afoc</w:t>
      </w:r>
      <w:r w:rsidRPr="00A52AB8">
        <w:t>_cnt shall be in the range of −Max</w:t>
      </w:r>
      <w:r w:rsidR="00EB723C" w:rsidRPr="00A52AB8">
        <w:t>AtlasFrm</w:t>
      </w:r>
      <w:r w:rsidRPr="00A52AB8">
        <w:t>OrderCntLsb / 2 to Max</w:t>
      </w:r>
      <w:r w:rsidR="00EB723C" w:rsidRPr="00A52AB8">
        <w:t>AtlasFrm</w:t>
      </w:r>
      <w:r w:rsidRPr="00A52AB8">
        <w:t>OrderCntLsb / 2 − 1, inclusive.</w:t>
      </w:r>
    </w:p>
    <w:p w14:paraId="6C070FB0" w14:textId="66114865" w:rsidR="00DF5095" w:rsidRPr="00A52AB8" w:rsidRDefault="00DF5095" w:rsidP="007656E5">
      <w:r w:rsidRPr="00A52AB8">
        <w:rPr>
          <w:b/>
          <w:bCs/>
        </w:rPr>
        <w:t>exact_match_flag</w:t>
      </w:r>
      <w:r w:rsidRPr="00A52AB8">
        <w:t xml:space="preserve"> indicates whether decoded </w:t>
      </w:r>
      <w:r w:rsidR="00526714" w:rsidRPr="00A52AB8">
        <w:t>atlas</w:t>
      </w:r>
      <w:r w:rsidR="00EF396A" w:rsidRPr="00A52AB8">
        <w:t xml:space="preserve"> frames </w:t>
      </w:r>
      <w:r w:rsidRPr="00A52AB8">
        <w:t xml:space="preserve">at and subsequent to the specified recovery point in output order derived by starting the decoding process at the access unit associated with the recovery point SEI message will be an exact match to the </w:t>
      </w:r>
      <w:r w:rsidR="00526714" w:rsidRPr="00A52AB8">
        <w:t>atlas</w:t>
      </w:r>
      <w:r w:rsidR="00EF396A" w:rsidRPr="00A52AB8">
        <w:t xml:space="preserve"> frames </w:t>
      </w:r>
      <w:r w:rsidRPr="00A52AB8">
        <w:t xml:space="preserve">that would be produced by starting the decoding process at the location of a previous </w:t>
      </w:r>
      <w:r w:rsidR="00F560F8" w:rsidRPr="00A52AB8">
        <w:t>IRAP coded atlas access unit</w:t>
      </w:r>
      <w:r w:rsidRPr="00A52AB8">
        <w:t xml:space="preserve">, if any, in the bitstream. The value 0 indicates that the match may not be exact and the value 1 indicates that the match will be exact. When exact_match_flag is equal to 1, it is a requirement of bitstream conformance that the decoded </w:t>
      </w:r>
      <w:r w:rsidR="00526714" w:rsidRPr="00A52AB8">
        <w:t>atlas</w:t>
      </w:r>
      <w:r w:rsidR="00EF396A" w:rsidRPr="00A52AB8">
        <w:t xml:space="preserve"> frames </w:t>
      </w:r>
      <w:r w:rsidRPr="00A52AB8">
        <w:t xml:space="preserve">at and subsequent to the specified recovery point in output order derived by starting the decoding process at the access unit associated with the recovery point SEI message shall be an exact match to the </w:t>
      </w:r>
      <w:r w:rsidR="00526714" w:rsidRPr="00A52AB8">
        <w:t>atlas</w:t>
      </w:r>
      <w:r w:rsidR="00EF396A" w:rsidRPr="00A52AB8">
        <w:t xml:space="preserve"> frames </w:t>
      </w:r>
      <w:r w:rsidRPr="00A52AB8">
        <w:t xml:space="preserve">that would be produced by starting the decoding process at the location of a previous </w:t>
      </w:r>
      <w:r w:rsidR="00F560F8" w:rsidRPr="00A52AB8">
        <w:t>IRAP coded atlas access unit</w:t>
      </w:r>
      <w:r w:rsidRPr="00A52AB8">
        <w:t>, if any, in the bitstream.</w:t>
      </w:r>
    </w:p>
    <w:p w14:paraId="0610625A" w14:textId="77777777" w:rsidR="00DF5095" w:rsidRPr="00A52AB8" w:rsidRDefault="00DF5095" w:rsidP="007656E5">
      <w:r w:rsidRPr="00A52AB8">
        <w:t xml:space="preserve">When exact_match_flag is equal to 0, the quality of the approximation at the recovery point is chosen by the encoding process and is not specified in </w:t>
      </w:r>
      <w:r w:rsidR="00FD4C0B" w:rsidRPr="00A52AB8">
        <w:t>this document</w:t>
      </w:r>
      <w:r w:rsidRPr="00A52AB8">
        <w:t>.</w:t>
      </w:r>
    </w:p>
    <w:p w14:paraId="3D99D915" w14:textId="77777777" w:rsidR="00DF5095" w:rsidRPr="00A52AB8" w:rsidRDefault="00DF5095" w:rsidP="007656E5">
      <w:r w:rsidRPr="00A52AB8">
        <w:rPr>
          <w:b/>
          <w:bCs/>
        </w:rPr>
        <w:t>broken_link_flag</w:t>
      </w:r>
      <w:r w:rsidRPr="00A52AB8">
        <w:t xml:space="preserve"> indicates the presence or absence of a broken link in the </w:t>
      </w:r>
      <w:r w:rsidR="0056015E" w:rsidRPr="00A52AB8">
        <w:t xml:space="preserve">atlas data </w:t>
      </w:r>
      <w:r w:rsidRPr="00A52AB8">
        <w:t>unit stream at the location of the recovery point SEI message and is assigned further semantics as follows:</w:t>
      </w:r>
    </w:p>
    <w:p w14:paraId="5229D1EB" w14:textId="339D3D7A" w:rsidR="00DF5095" w:rsidRPr="00A52AB8" w:rsidRDefault="00DF509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If broken_link_flag is equal to 1, </w:t>
      </w:r>
      <w:r w:rsidR="00E82A69" w:rsidRPr="00A52AB8">
        <w:rPr>
          <w:color w:val="000000" w:themeColor="text1"/>
        </w:rPr>
        <w:t>atlas</w:t>
      </w:r>
      <w:r w:rsidR="006C77AC" w:rsidRPr="00A52AB8">
        <w:rPr>
          <w:color w:val="000000" w:themeColor="text1"/>
        </w:rPr>
        <w:t xml:space="preserve"> frames</w:t>
      </w:r>
      <w:r w:rsidRPr="00A52AB8">
        <w:rPr>
          <w:color w:val="000000" w:themeColor="text1"/>
        </w:rPr>
        <w:t xml:space="preserve"> produced by starting the decoding process at the location of a previous </w:t>
      </w:r>
      <w:r w:rsidR="00F560F8" w:rsidRPr="00A52AB8">
        <w:rPr>
          <w:color w:val="000000" w:themeColor="text1"/>
        </w:rPr>
        <w:t>IRAP coded atlas access unit</w:t>
      </w:r>
      <w:r w:rsidRPr="00A52AB8">
        <w:rPr>
          <w:color w:val="000000" w:themeColor="text1"/>
        </w:rPr>
        <w:t xml:space="preserve"> may contain undesirable visual artefacts to the extent that decoded </w:t>
      </w:r>
      <w:r w:rsidR="00E82A69" w:rsidRPr="00A52AB8">
        <w:rPr>
          <w:color w:val="000000" w:themeColor="text1"/>
        </w:rPr>
        <w:t>atlas</w:t>
      </w:r>
      <w:r w:rsidR="006C77AC" w:rsidRPr="00A52AB8">
        <w:rPr>
          <w:color w:val="000000" w:themeColor="text1"/>
        </w:rPr>
        <w:t xml:space="preserve"> frames</w:t>
      </w:r>
      <w:r w:rsidRPr="00A52AB8">
        <w:rPr>
          <w:color w:val="000000" w:themeColor="text1"/>
        </w:rPr>
        <w:t xml:space="preserve"> at and subsequent to the access unit associated with the recovery point SEI message in decoding order should not be </w:t>
      </w:r>
      <w:r w:rsidR="006C77AC" w:rsidRPr="00A52AB8">
        <w:rPr>
          <w:color w:val="000000" w:themeColor="text1"/>
        </w:rPr>
        <w:t xml:space="preserve">reconstructed and </w:t>
      </w:r>
      <w:r w:rsidRPr="00A52AB8">
        <w:rPr>
          <w:color w:val="000000" w:themeColor="text1"/>
        </w:rPr>
        <w:t>displayed until the specified recovery point in output order.</w:t>
      </w:r>
    </w:p>
    <w:p w14:paraId="296715AA" w14:textId="016160A4" w:rsidR="00DF5095" w:rsidRPr="00A52AB8" w:rsidRDefault="00DF509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Otherwise (broken_link_flag is equal to 0), no indication is given regarding any potential presence of visual artefacts.</w:t>
      </w:r>
    </w:p>
    <w:p w14:paraId="72B6E6CF" w14:textId="77777777" w:rsidR="00DF5095" w:rsidRPr="00A52AB8" w:rsidRDefault="00DF5095">
      <w:pPr>
        <w:spacing w:after="120"/>
      </w:pPr>
      <w:r w:rsidRPr="00A52AB8">
        <w:t xml:space="preserve">Regardless of the value of the broken_link_flag, </w:t>
      </w:r>
      <w:r w:rsidR="00E82A69" w:rsidRPr="00A52AB8">
        <w:t>atlas</w:t>
      </w:r>
      <w:r w:rsidR="006C77AC" w:rsidRPr="00A52AB8">
        <w:t xml:space="preserve"> frames</w:t>
      </w:r>
      <w:r w:rsidRPr="00A52AB8">
        <w:t xml:space="preserve"> subsequent to the specified recovery point in output order are specified to be correct or approximately correct in content.</w:t>
      </w:r>
    </w:p>
    <w:p w14:paraId="329A7246" w14:textId="1E3BB5BA" w:rsidR="00DF5095" w:rsidRPr="00A52AB8" w:rsidRDefault="00DF5095">
      <w:pPr>
        <w:pStyle w:val="a3"/>
        <w:numPr>
          <w:ilvl w:val="2"/>
          <w:numId w:val="19"/>
        </w:numPr>
        <w:tabs>
          <w:tab w:val="clear" w:pos="403"/>
        </w:tabs>
      </w:pPr>
      <w:bookmarkStart w:id="5504" w:name="_Toc363691571"/>
      <w:bookmarkStart w:id="5505" w:name="_Toc390728297"/>
      <w:bookmarkStart w:id="5506" w:name="_Toc415476084"/>
      <w:bookmarkStart w:id="5507" w:name="_Toc423599359"/>
      <w:bookmarkStart w:id="5508" w:name="_Toc423601863"/>
      <w:bookmarkStart w:id="5509" w:name="_Toc501130337"/>
      <w:bookmarkStart w:id="5510" w:name="_Toc503778041"/>
      <w:bookmarkStart w:id="5511" w:name="_Ref49346235"/>
      <w:bookmarkStart w:id="5512" w:name="_Toc52181738"/>
      <w:r w:rsidRPr="00A52AB8">
        <w:t xml:space="preserve">No </w:t>
      </w:r>
      <w:r w:rsidR="00F16D7B" w:rsidRPr="00A52AB8">
        <w:t xml:space="preserve">reconstruction </w:t>
      </w:r>
      <w:r w:rsidRPr="00A52AB8">
        <w:t>SEI message semantics</w:t>
      </w:r>
      <w:bookmarkEnd w:id="5504"/>
      <w:bookmarkEnd w:id="5505"/>
      <w:bookmarkEnd w:id="5506"/>
      <w:bookmarkEnd w:id="5507"/>
      <w:bookmarkEnd w:id="5508"/>
      <w:bookmarkEnd w:id="5509"/>
      <w:bookmarkEnd w:id="5510"/>
      <w:bookmarkEnd w:id="5511"/>
      <w:bookmarkEnd w:id="5512"/>
    </w:p>
    <w:p w14:paraId="6A1EA518" w14:textId="5F840F77" w:rsidR="00DF5095" w:rsidRPr="00A52AB8" w:rsidRDefault="00DF5095">
      <w:r w:rsidRPr="00A52AB8">
        <w:t xml:space="preserve">The no </w:t>
      </w:r>
      <w:r w:rsidR="00B45835" w:rsidRPr="00A52AB8">
        <w:t xml:space="preserve">reconstruction </w:t>
      </w:r>
      <w:r w:rsidRPr="00A52AB8">
        <w:t xml:space="preserve">SEI message indicates that the current </w:t>
      </w:r>
      <w:r w:rsidR="00E157A4" w:rsidRPr="00A52AB8">
        <w:t>atlas</w:t>
      </w:r>
      <w:r w:rsidR="006C77AC" w:rsidRPr="00A52AB8">
        <w:t xml:space="preserve"> frame</w:t>
      </w:r>
      <w:r w:rsidRPr="00A52AB8">
        <w:t xml:space="preserve"> should not be </w:t>
      </w:r>
      <w:r w:rsidR="00F16D7B" w:rsidRPr="00A52AB8">
        <w:t>used for reconstruction</w:t>
      </w:r>
      <w:r w:rsidR="00B45835" w:rsidRPr="00A52AB8">
        <w:t xml:space="preserve"> and that no V3C volumetric frame should be reconstructed and displayed using this atlas frame</w:t>
      </w:r>
      <w:r w:rsidRPr="00A52AB8">
        <w:t>.</w:t>
      </w:r>
    </w:p>
    <w:p w14:paraId="34B0765E" w14:textId="77777777" w:rsidR="00DF5095" w:rsidRPr="00A52AB8" w:rsidRDefault="00DF5095">
      <w:pPr>
        <w:pStyle w:val="a3"/>
        <w:numPr>
          <w:ilvl w:val="2"/>
          <w:numId w:val="19"/>
        </w:numPr>
        <w:tabs>
          <w:tab w:val="clear" w:pos="403"/>
        </w:tabs>
      </w:pPr>
      <w:bookmarkStart w:id="5513" w:name="_Ref399008054"/>
      <w:bookmarkStart w:id="5514" w:name="_Toc415476093"/>
      <w:bookmarkStart w:id="5515" w:name="_Toc423599368"/>
      <w:bookmarkStart w:id="5516" w:name="_Toc423601872"/>
      <w:bookmarkStart w:id="5517" w:name="_Toc501130356"/>
      <w:bookmarkStart w:id="5518" w:name="_Toc503778060"/>
      <w:bookmarkStart w:id="5519" w:name="_Toc52181739"/>
      <w:r w:rsidRPr="00A52AB8">
        <w:t>Reserved SEI message semantics</w:t>
      </w:r>
      <w:bookmarkEnd w:id="5513"/>
      <w:bookmarkEnd w:id="5514"/>
      <w:bookmarkEnd w:id="5515"/>
      <w:bookmarkEnd w:id="5516"/>
      <w:bookmarkEnd w:id="5517"/>
      <w:bookmarkEnd w:id="5518"/>
      <w:bookmarkEnd w:id="5519"/>
    </w:p>
    <w:p w14:paraId="70B9B628" w14:textId="054596A4" w:rsidR="00DF5095" w:rsidRPr="00A52AB8" w:rsidRDefault="00DF5095">
      <w:r w:rsidRPr="00A52AB8">
        <w:t>The reserved SEI message consists of data reserved for future backward-compatible use by ISO/IEC. It is a requirement of bitstream conformance that bitstreams shall not contain reserved SEI messages until and unless the use of such messages has been specified by ISO/IEC. Decoders shall ignore reserved SEI messages.</w:t>
      </w:r>
    </w:p>
    <w:p w14:paraId="59B0CF2B" w14:textId="707F63F0" w:rsidR="00E240D7" w:rsidRPr="00A52AB8" w:rsidRDefault="00E240D7">
      <w:pPr>
        <w:rPr>
          <w:rFonts w:eastAsia="Times New Roman"/>
        </w:rPr>
      </w:pPr>
      <w:r w:rsidRPr="00A52AB8">
        <w:rPr>
          <w:rFonts w:eastAsia="Times New Roman"/>
          <w:b/>
          <w:bCs/>
        </w:rPr>
        <w:t>reserved_sei_message_payload_byte</w:t>
      </w:r>
      <w:r w:rsidRPr="00A52AB8">
        <w:rPr>
          <w:rStyle w:val="apple-converted-space"/>
          <w:rFonts w:eastAsia="Times New Roman"/>
        </w:rPr>
        <w:t> </w:t>
      </w:r>
      <w:r w:rsidRPr="00A52AB8">
        <w:rPr>
          <w:rFonts w:eastAsia="Times New Roman"/>
        </w:rPr>
        <w:t>is a byte reserved for future use by ISO/IEC.</w:t>
      </w:r>
    </w:p>
    <w:p w14:paraId="1F8E1DB6" w14:textId="77777777" w:rsidR="00DF5095" w:rsidRPr="00A52AB8" w:rsidRDefault="00DF5095">
      <w:pPr>
        <w:pStyle w:val="a3"/>
        <w:numPr>
          <w:ilvl w:val="2"/>
          <w:numId w:val="19"/>
        </w:numPr>
        <w:tabs>
          <w:tab w:val="clear" w:pos="403"/>
        </w:tabs>
        <w:rPr>
          <w:b w:val="0"/>
        </w:rPr>
      </w:pPr>
      <w:bookmarkStart w:id="5520" w:name="_Ref49346265"/>
      <w:bookmarkStart w:id="5521" w:name="_Toc52181740"/>
      <w:r w:rsidRPr="00A52AB8">
        <w:t>SEI manifest SEI message semantics</w:t>
      </w:r>
      <w:bookmarkEnd w:id="5520"/>
      <w:bookmarkEnd w:id="5521"/>
    </w:p>
    <w:p w14:paraId="2A16884A" w14:textId="77777777" w:rsidR="00DF5095" w:rsidRPr="00A52AB8" w:rsidRDefault="00DF5095">
      <w:pPr>
        <w:keepNext/>
      </w:pPr>
      <w:r w:rsidRPr="00A52AB8">
        <w:t>The SEI manifest SEI message conveys information on SEI messages that are indicated as expected (i.e., likely) to be present or not present. Such information may include:</w:t>
      </w:r>
    </w:p>
    <w:p w14:paraId="3D774910" w14:textId="77777777" w:rsidR="00DF5095" w:rsidRPr="00A52AB8" w:rsidRDefault="00DF5095">
      <w:pPr>
        <w:pStyle w:val="ListParagraph"/>
        <w:numPr>
          <w:ilvl w:val="0"/>
          <w:numId w:val="88"/>
        </w:numPr>
        <w:tabs>
          <w:tab w:val="clear" w:pos="403"/>
          <w:tab w:val="left" w:pos="360"/>
          <w:tab w:val="left" w:pos="720"/>
          <w:tab w:val="left" w:pos="1080"/>
          <w:tab w:val="left" w:pos="1440"/>
        </w:tabs>
        <w:overflowPunct w:val="0"/>
        <w:autoSpaceDE w:val="0"/>
        <w:autoSpaceDN w:val="0"/>
        <w:adjustRightInd w:val="0"/>
        <w:spacing w:before="136" w:after="0" w:line="240" w:lineRule="auto"/>
        <w:ind w:leftChars="0"/>
        <w:textAlignment w:val="baseline"/>
      </w:pPr>
      <w:bookmarkStart w:id="5522" w:name="_Hlk509422243"/>
      <w:r w:rsidRPr="00A52AB8">
        <w:t xml:space="preserve">The indication that certain types of SEI messages are expected (i.e., likely) to be present (although not guaranteed to be present) in the </w:t>
      </w:r>
      <w:bookmarkEnd w:id="5522"/>
      <w:r w:rsidR="00732F5C" w:rsidRPr="00A52AB8">
        <w:t>C</w:t>
      </w:r>
      <w:r w:rsidR="00B8114F" w:rsidRPr="00A52AB8">
        <w:t>A</w:t>
      </w:r>
      <w:r w:rsidR="00732F5C" w:rsidRPr="00A52AB8">
        <w:t>S</w:t>
      </w:r>
      <w:r w:rsidRPr="00A52AB8">
        <w:t>.</w:t>
      </w:r>
    </w:p>
    <w:p w14:paraId="243ABDE9" w14:textId="77777777" w:rsidR="002B7509" w:rsidRPr="00A52AB8" w:rsidRDefault="00DF5095">
      <w:pPr>
        <w:pStyle w:val="ListParagraph"/>
        <w:numPr>
          <w:ilvl w:val="0"/>
          <w:numId w:val="88"/>
        </w:numPr>
        <w:tabs>
          <w:tab w:val="clear" w:pos="403"/>
          <w:tab w:val="left" w:pos="360"/>
          <w:tab w:val="left" w:pos="720"/>
          <w:tab w:val="left" w:pos="1080"/>
          <w:tab w:val="left" w:pos="1440"/>
        </w:tabs>
        <w:overflowPunct w:val="0"/>
        <w:autoSpaceDE w:val="0"/>
        <w:autoSpaceDN w:val="0"/>
        <w:adjustRightInd w:val="0"/>
        <w:spacing w:before="136" w:after="0" w:line="240" w:lineRule="auto"/>
        <w:ind w:leftChars="0"/>
        <w:textAlignment w:val="baseline"/>
      </w:pPr>
      <w:r w:rsidRPr="00A52AB8">
        <w:t xml:space="preserve">For each type of SEI message that is indicated as expected (i.e., likely) to be present in the </w:t>
      </w:r>
      <w:r w:rsidR="00732F5C" w:rsidRPr="00A52AB8">
        <w:t>C</w:t>
      </w:r>
      <w:r w:rsidR="00B8114F" w:rsidRPr="00A52AB8">
        <w:t>A</w:t>
      </w:r>
      <w:r w:rsidR="00732F5C" w:rsidRPr="00A52AB8">
        <w:t>S</w:t>
      </w:r>
      <w:r w:rsidRPr="00A52AB8">
        <w:t>, the degree of expressed necessity of interpretation of the SEI messages of this type.</w:t>
      </w:r>
    </w:p>
    <w:p w14:paraId="7C9457FA" w14:textId="77777777" w:rsidR="002B7509" w:rsidRPr="00A52AB8" w:rsidRDefault="00DF5095">
      <w:pPr>
        <w:pStyle w:val="ListParagraph"/>
        <w:tabs>
          <w:tab w:val="clear" w:pos="403"/>
          <w:tab w:val="left" w:pos="360"/>
          <w:tab w:val="left" w:pos="720"/>
          <w:tab w:val="left" w:pos="1080"/>
          <w:tab w:val="left" w:pos="1440"/>
        </w:tabs>
        <w:overflowPunct w:val="0"/>
        <w:autoSpaceDE w:val="0"/>
        <w:autoSpaceDN w:val="0"/>
        <w:adjustRightInd w:val="0"/>
        <w:spacing w:before="136" w:after="0" w:line="240" w:lineRule="auto"/>
        <w:ind w:leftChars="0" w:left="720"/>
        <w:textAlignment w:val="baseline"/>
      </w:pPr>
      <w:r w:rsidRPr="00A52AB8">
        <w:t>The degree of necessity of interpretation of an SEI message type may be indicated as "necessary", "unnecessary", or "undetermined".</w:t>
      </w:r>
    </w:p>
    <w:p w14:paraId="620004D5" w14:textId="77777777" w:rsidR="00DF5095" w:rsidRPr="00A52AB8" w:rsidRDefault="00DF5095">
      <w:pPr>
        <w:pStyle w:val="ListParagraph"/>
        <w:tabs>
          <w:tab w:val="clear" w:pos="403"/>
          <w:tab w:val="left" w:pos="360"/>
          <w:tab w:val="left" w:pos="720"/>
          <w:tab w:val="left" w:pos="1080"/>
          <w:tab w:val="left" w:pos="1440"/>
        </w:tabs>
        <w:overflowPunct w:val="0"/>
        <w:autoSpaceDE w:val="0"/>
        <w:autoSpaceDN w:val="0"/>
        <w:adjustRightInd w:val="0"/>
        <w:spacing w:before="136" w:after="0" w:line="240" w:lineRule="auto"/>
        <w:ind w:leftChars="0" w:left="720"/>
        <w:textAlignment w:val="baseline"/>
      </w:pPr>
      <w:r w:rsidRPr="00A52AB8">
        <w:t xml:space="preserve">An SEI message is indicated by the encoder (i.e., the content producer) as being "necessary" when the information conveyed by the SEI message is considered as necessary for interpretation by the decoder or receiving system in order to properly process the content and enable an adequate user experience; it does not mean that the bitstream is required to contain the SEI message in order to be a conforming bitstream. It is at the discretion of the encoder to determine which SEI messages are to be considered as necessary in a particular </w:t>
      </w:r>
      <w:r w:rsidR="00732F5C" w:rsidRPr="00A52AB8">
        <w:t>C</w:t>
      </w:r>
      <w:r w:rsidR="00B8114F" w:rsidRPr="00A52AB8">
        <w:t>A</w:t>
      </w:r>
      <w:r w:rsidR="00732F5C" w:rsidRPr="00A52AB8">
        <w:t>S</w:t>
      </w:r>
      <w:r w:rsidRPr="00A52AB8">
        <w:t>. However, it is suggested that some SEI messages should typically be considered as necessary.</w:t>
      </w:r>
    </w:p>
    <w:p w14:paraId="35C658B0" w14:textId="77777777" w:rsidR="002B7509" w:rsidRPr="00A52AB8" w:rsidRDefault="00DF5095">
      <w:pPr>
        <w:pStyle w:val="ListParagraph"/>
        <w:numPr>
          <w:ilvl w:val="0"/>
          <w:numId w:val="88"/>
        </w:numPr>
        <w:tabs>
          <w:tab w:val="clear" w:pos="403"/>
          <w:tab w:val="left" w:pos="360"/>
          <w:tab w:val="left" w:pos="720"/>
          <w:tab w:val="left" w:pos="1080"/>
          <w:tab w:val="left" w:pos="1440"/>
        </w:tabs>
        <w:overflowPunct w:val="0"/>
        <w:autoSpaceDE w:val="0"/>
        <w:autoSpaceDN w:val="0"/>
        <w:adjustRightInd w:val="0"/>
        <w:spacing w:before="136" w:after="0" w:line="240" w:lineRule="auto"/>
        <w:ind w:leftChars="0"/>
        <w:textAlignment w:val="baseline"/>
      </w:pPr>
      <w:r w:rsidRPr="00A52AB8">
        <w:t xml:space="preserve">The indication that certain types of SEI messages are expected (i.e., likely) not to be present (although not guaranteed not to be present) in the </w:t>
      </w:r>
      <w:r w:rsidR="00732F5C" w:rsidRPr="00A52AB8">
        <w:t>C</w:t>
      </w:r>
      <w:r w:rsidR="00B8114F" w:rsidRPr="00A52AB8">
        <w:t>A</w:t>
      </w:r>
      <w:r w:rsidR="00732F5C" w:rsidRPr="00A52AB8">
        <w:t>S</w:t>
      </w:r>
      <w:r w:rsidRPr="00A52AB8">
        <w:t>.</w:t>
      </w:r>
    </w:p>
    <w:p w14:paraId="154534B4" w14:textId="77777777" w:rsidR="00853F87" w:rsidRPr="00A52AB8" w:rsidRDefault="00DF5095" w:rsidP="00007BE2">
      <w:pPr>
        <w:tabs>
          <w:tab w:val="clear" w:pos="403"/>
          <w:tab w:val="left" w:pos="360"/>
          <w:tab w:val="left" w:pos="720"/>
          <w:tab w:val="left" w:pos="1080"/>
          <w:tab w:val="left" w:pos="1440"/>
        </w:tabs>
        <w:overflowPunct w:val="0"/>
        <w:autoSpaceDE w:val="0"/>
        <w:autoSpaceDN w:val="0"/>
        <w:adjustRightInd w:val="0"/>
        <w:spacing w:before="120"/>
        <w:textAlignment w:val="baseline"/>
      </w:pPr>
      <w:r w:rsidRPr="00A52AB8">
        <w:t xml:space="preserve">The content of an SEI manifest SEI message may, for example, be used by transport-layer or systems-layer processing elements to determine whether the </w:t>
      </w:r>
      <w:r w:rsidR="00732F5C" w:rsidRPr="00A52AB8">
        <w:t>C</w:t>
      </w:r>
      <w:r w:rsidR="00B8114F" w:rsidRPr="00A52AB8">
        <w:t>A</w:t>
      </w:r>
      <w:r w:rsidR="00732F5C" w:rsidRPr="00A52AB8">
        <w:t>S</w:t>
      </w:r>
      <w:r w:rsidRPr="00A52AB8">
        <w:t xml:space="preserve"> is suitable for delivery to a receiving and decoding system, based on whether the receiving system can properly process the </w:t>
      </w:r>
      <w:r w:rsidR="00732F5C" w:rsidRPr="00A52AB8">
        <w:t>C</w:t>
      </w:r>
      <w:r w:rsidR="00B8114F" w:rsidRPr="00A52AB8">
        <w:t>A</w:t>
      </w:r>
      <w:r w:rsidR="00732F5C" w:rsidRPr="00A52AB8">
        <w:t>S</w:t>
      </w:r>
      <w:r w:rsidRPr="00A52AB8">
        <w:t xml:space="preserve"> to enable an adequate user experience or whether the </w:t>
      </w:r>
      <w:r w:rsidR="00732F5C" w:rsidRPr="00A52AB8">
        <w:t>C</w:t>
      </w:r>
      <w:r w:rsidR="00B8114F" w:rsidRPr="00A52AB8">
        <w:t>A</w:t>
      </w:r>
      <w:r w:rsidR="00732F5C" w:rsidRPr="00A52AB8">
        <w:t>S</w:t>
      </w:r>
      <w:r w:rsidRPr="00A52AB8">
        <w:t xml:space="preserve"> satisfies the application needs.</w:t>
      </w:r>
    </w:p>
    <w:p w14:paraId="1B038BEC" w14:textId="77777777" w:rsidR="00853F87" w:rsidRPr="00A52AB8" w:rsidRDefault="00DF5095" w:rsidP="007656E5">
      <w:pPr>
        <w:tabs>
          <w:tab w:val="clear" w:pos="403"/>
          <w:tab w:val="left" w:pos="360"/>
          <w:tab w:val="left" w:pos="720"/>
          <w:tab w:val="left" w:pos="1080"/>
          <w:tab w:val="left" w:pos="1440"/>
        </w:tabs>
        <w:overflowPunct w:val="0"/>
        <w:autoSpaceDE w:val="0"/>
        <w:autoSpaceDN w:val="0"/>
        <w:adjustRightInd w:val="0"/>
        <w:textAlignment w:val="baseline"/>
      </w:pPr>
      <w:r w:rsidRPr="00A52AB8">
        <w:t xml:space="preserve">When an SEI manifest SEI message is present in any access unit of a </w:t>
      </w:r>
      <w:r w:rsidR="00732F5C" w:rsidRPr="00A52AB8">
        <w:t>C</w:t>
      </w:r>
      <w:r w:rsidR="00092BFB" w:rsidRPr="00A52AB8">
        <w:t>A</w:t>
      </w:r>
      <w:r w:rsidR="00732F5C" w:rsidRPr="00A52AB8">
        <w:t>S</w:t>
      </w:r>
      <w:r w:rsidRPr="00A52AB8">
        <w:t xml:space="preserve">, an SEI manifest SEI message shall be present in the first access unit of the </w:t>
      </w:r>
      <w:r w:rsidR="00732F5C" w:rsidRPr="00A52AB8">
        <w:t>C</w:t>
      </w:r>
      <w:r w:rsidR="00092BFB" w:rsidRPr="00A52AB8">
        <w:t>A</w:t>
      </w:r>
      <w:r w:rsidR="00732F5C" w:rsidRPr="00A52AB8">
        <w:t>S</w:t>
      </w:r>
      <w:r w:rsidRPr="00A52AB8">
        <w:t xml:space="preserve">. The SEI manifest SEI message persists in decoding order from the current access unit until the end of the </w:t>
      </w:r>
      <w:r w:rsidR="00732F5C" w:rsidRPr="00A52AB8">
        <w:t>C</w:t>
      </w:r>
      <w:r w:rsidR="00092BFB" w:rsidRPr="00A52AB8">
        <w:t>A</w:t>
      </w:r>
      <w:r w:rsidR="00732F5C" w:rsidRPr="00A52AB8">
        <w:t>S</w:t>
      </w:r>
      <w:r w:rsidRPr="00A52AB8">
        <w:t xml:space="preserve">. When there are multiple SEI manifest SEI messages present in a </w:t>
      </w:r>
      <w:r w:rsidR="00732F5C" w:rsidRPr="00A52AB8">
        <w:t>C</w:t>
      </w:r>
      <w:r w:rsidR="00092BFB" w:rsidRPr="00A52AB8">
        <w:t>A</w:t>
      </w:r>
      <w:r w:rsidR="00732F5C" w:rsidRPr="00A52AB8">
        <w:t>S</w:t>
      </w:r>
      <w:r w:rsidRPr="00A52AB8">
        <w:t>, they shall have the same content.</w:t>
      </w:r>
      <w:bookmarkStart w:id="5523" w:name="_Hlk509427155"/>
    </w:p>
    <w:bookmarkEnd w:id="5523"/>
    <w:p w14:paraId="721BAEDA" w14:textId="77777777" w:rsidR="00853F87" w:rsidRPr="00A52AB8" w:rsidRDefault="00DF5095" w:rsidP="007656E5">
      <w:pPr>
        <w:tabs>
          <w:tab w:val="clear" w:pos="403"/>
          <w:tab w:val="left" w:pos="360"/>
          <w:tab w:val="left" w:pos="720"/>
          <w:tab w:val="left" w:pos="1080"/>
          <w:tab w:val="left" w:pos="1440"/>
        </w:tabs>
        <w:overflowPunct w:val="0"/>
        <w:autoSpaceDE w:val="0"/>
        <w:autoSpaceDN w:val="0"/>
        <w:adjustRightInd w:val="0"/>
        <w:textAlignment w:val="baseline"/>
      </w:pPr>
      <w:r w:rsidRPr="00A52AB8">
        <w:rPr>
          <w:b/>
          <w:bCs/>
        </w:rPr>
        <w:t>manifest_num_sei_msg_types</w:t>
      </w:r>
      <w:r w:rsidRPr="00A52AB8">
        <w:t xml:space="preserve"> specifies the number of types of SEI messages for which information is provided in the SEI manifest SEI message.</w:t>
      </w:r>
    </w:p>
    <w:p w14:paraId="2B0FE465" w14:textId="77777777" w:rsidR="00853F87" w:rsidRPr="00A52AB8" w:rsidRDefault="00DF5095" w:rsidP="007656E5">
      <w:pPr>
        <w:tabs>
          <w:tab w:val="clear" w:pos="403"/>
          <w:tab w:val="left" w:pos="360"/>
          <w:tab w:val="left" w:pos="720"/>
          <w:tab w:val="left" w:pos="1080"/>
          <w:tab w:val="left" w:pos="1440"/>
        </w:tabs>
        <w:overflowPunct w:val="0"/>
        <w:autoSpaceDE w:val="0"/>
        <w:autoSpaceDN w:val="0"/>
        <w:adjustRightInd w:val="0"/>
        <w:textAlignment w:val="baseline"/>
      </w:pPr>
      <w:r w:rsidRPr="00A52AB8">
        <w:rPr>
          <w:b/>
          <w:bCs/>
        </w:rPr>
        <w:t>manifest_sei_payload_type</w:t>
      </w:r>
      <w:r w:rsidR="001F4484" w:rsidRPr="00A52AB8">
        <w:rPr>
          <w:bCs/>
        </w:rPr>
        <w:t>[ i ]</w:t>
      </w:r>
      <w:r w:rsidRPr="00A52AB8">
        <w:t xml:space="preserve"> indicates the payloadType value of the i-th type of SEI message for which information is provided in the SEI manifest SEI message. The values of manifest_</w:t>
      </w:r>
      <w:r w:rsidRPr="00A52AB8">
        <w:rPr>
          <w:bCs/>
        </w:rPr>
        <w:t>sei_payload_type[</w:t>
      </w:r>
      <w:r w:rsidRPr="00A52AB8">
        <w:t> m </w:t>
      </w:r>
      <w:r w:rsidRPr="00A52AB8">
        <w:rPr>
          <w:bCs/>
        </w:rPr>
        <w:t>] and manifest_sei_payload_type</w:t>
      </w:r>
      <w:r w:rsidR="000B7FBC" w:rsidRPr="00A52AB8">
        <w:rPr>
          <w:bCs/>
        </w:rPr>
        <w:t>[ n ]</w:t>
      </w:r>
      <w:r w:rsidRPr="00A52AB8">
        <w:rPr>
          <w:bCs/>
        </w:rPr>
        <w:t>shall not be identical when m is not equal to n</w:t>
      </w:r>
      <w:r w:rsidRPr="00A52AB8">
        <w:t>.</w:t>
      </w:r>
    </w:p>
    <w:p w14:paraId="1BB9D2A2" w14:textId="760C3E8E" w:rsidR="00DF5095" w:rsidRPr="00A52AB8" w:rsidRDefault="00DF5095" w:rsidP="007656E5">
      <w:pPr>
        <w:tabs>
          <w:tab w:val="clear" w:pos="403"/>
          <w:tab w:val="left" w:pos="360"/>
          <w:tab w:val="left" w:pos="720"/>
          <w:tab w:val="left" w:pos="1080"/>
          <w:tab w:val="left" w:pos="1440"/>
        </w:tabs>
        <w:overflowPunct w:val="0"/>
        <w:autoSpaceDE w:val="0"/>
        <w:autoSpaceDN w:val="0"/>
        <w:adjustRightInd w:val="0"/>
        <w:textAlignment w:val="baseline"/>
      </w:pPr>
      <w:r w:rsidRPr="00A52AB8">
        <w:rPr>
          <w:b/>
          <w:bCs/>
        </w:rPr>
        <w:t>manifest_sei_description</w:t>
      </w:r>
      <w:r w:rsidR="001F4484" w:rsidRPr="00A52AB8">
        <w:rPr>
          <w:bCs/>
        </w:rPr>
        <w:t>[ i ]</w:t>
      </w:r>
      <w:r w:rsidRPr="00A52AB8">
        <w:t xml:space="preserve"> provides information on SEI messages with payloadType equal to </w:t>
      </w:r>
      <w:r w:rsidRPr="00A52AB8">
        <w:rPr>
          <w:bCs/>
        </w:rPr>
        <w:t>manifest_</w:t>
      </w:r>
      <w:r w:rsidRPr="00A52AB8">
        <w:t>sei_payload_type</w:t>
      </w:r>
      <w:r w:rsidR="001F4484" w:rsidRPr="00A52AB8">
        <w:t>[ i ]</w:t>
      </w:r>
      <w:r w:rsidRPr="00A52AB8">
        <w:t xml:space="preserve"> as specified in </w:t>
      </w:r>
      <w:r w:rsidR="000C54FE" w:rsidRPr="00496A4D">
        <w:fldChar w:fldCharType="begin"/>
      </w:r>
      <w:r w:rsidR="000C54FE" w:rsidRPr="00A52AB8">
        <w:instrText xml:space="preserve"> REF _Ref21535697 \h </w:instrText>
      </w:r>
      <w:r w:rsidR="00025423" w:rsidRPr="00A52AB8">
        <w:instrText xml:space="preserve"> \* MERGEFORMAT </w:instrText>
      </w:r>
      <w:r w:rsidR="000C54FE" w:rsidRPr="00496A4D">
        <w:fldChar w:fldCharType="separate"/>
      </w:r>
      <w:r w:rsidR="00507A67" w:rsidRPr="00A52AB8">
        <w:t>Table F-</w:t>
      </w:r>
      <w:r w:rsidR="00507A67">
        <w:t>3</w:t>
      </w:r>
      <w:r w:rsidR="000C54FE" w:rsidRPr="00496A4D">
        <w:fldChar w:fldCharType="end"/>
      </w:r>
      <w:r w:rsidRPr="00A52AB8">
        <w:t>.</w:t>
      </w:r>
    </w:p>
    <w:p w14:paraId="42D23F75" w14:textId="0E6860F6" w:rsidR="000C54FE" w:rsidRPr="00A52AB8" w:rsidRDefault="000C54FE">
      <w:pPr>
        <w:pStyle w:val="Tabletitle0"/>
      </w:pPr>
      <w:bookmarkStart w:id="5524" w:name="_Ref21535697"/>
      <w:bookmarkStart w:id="5525" w:name="_Ref167351052"/>
      <w:bookmarkStart w:id="5526" w:name="_Ref167351046"/>
      <w:bookmarkStart w:id="5527" w:name="_Toc246350775"/>
      <w:bookmarkStart w:id="5528" w:name="_Toc310413669"/>
      <w:bookmarkStart w:id="5529" w:name="_Toc415476517"/>
      <w:bookmarkStart w:id="5530" w:name="_Toc462913618"/>
      <w:r w:rsidRPr="00A52AB8">
        <w:t>Table </w:t>
      </w:r>
      <w:r w:rsidR="00FE0601" w:rsidRPr="00A52AB8">
        <w:t>F</w:t>
      </w:r>
      <w:r w:rsidRPr="00A52AB8">
        <w:t>-</w:t>
      </w:r>
      <w:r w:rsidRPr="00496A4D">
        <w:fldChar w:fldCharType="begin"/>
      </w:r>
      <w:r w:rsidRPr="00A52AB8">
        <w:instrText xml:space="preserve"> SEQ Table \* ARABIC \s 1 </w:instrText>
      </w:r>
      <w:r w:rsidRPr="00496A4D">
        <w:fldChar w:fldCharType="separate"/>
      </w:r>
      <w:r w:rsidR="00507A67">
        <w:rPr>
          <w:noProof/>
        </w:rPr>
        <w:t>3</w:t>
      </w:r>
      <w:r w:rsidRPr="00496A4D">
        <w:fldChar w:fldCharType="end"/>
      </w:r>
      <w:bookmarkEnd w:id="5524"/>
      <w:r w:rsidR="008E3554" w:rsidRPr="00A52AB8">
        <w:rPr>
          <w:rFonts w:cs="Calibri"/>
          <w:bCs/>
        </w:rPr>
        <w:t> </w:t>
      </w:r>
      <w:r w:rsidR="008E3554" w:rsidRPr="00A52AB8">
        <w:t>– </w:t>
      </w:r>
      <w:r w:rsidRPr="00A52AB8">
        <w:rPr>
          <w:sz w:val="21"/>
          <w:szCs w:val="18"/>
        </w:rPr>
        <w:t>manifest_sei_description</w:t>
      </w:r>
      <w:r w:rsidR="001F4484" w:rsidRPr="00A52AB8">
        <w:rPr>
          <w:sz w:val="21"/>
          <w:szCs w:val="18"/>
        </w:rPr>
        <w:t>[ i ]</w:t>
      </w:r>
      <w:r w:rsidRPr="00A52AB8">
        <w:rPr>
          <w:sz w:val="21"/>
          <w:szCs w:val="18"/>
        </w:rPr>
        <w:t xml:space="preserve"> values</w:t>
      </w:r>
    </w:p>
    <w:bookmarkEnd w:id="5525"/>
    <w:bookmarkEnd w:id="5526"/>
    <w:bookmarkEnd w:id="5527"/>
    <w:bookmarkEnd w:id="5528"/>
    <w:bookmarkEnd w:id="5529"/>
    <w:bookmarkEnd w:id="5530"/>
    <w:p w14:paraId="16D94499" w14:textId="77777777" w:rsidR="000C54FE" w:rsidRPr="00A52AB8" w:rsidRDefault="000C54FE">
      <w:pPr>
        <w:pStyle w:val="Blanc"/>
        <w:rPr>
          <w:rFonts w:ascii="Cambria" w:hAnsi="Cambria"/>
          <w:lang w:val="en-CA"/>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84"/>
        <w:gridCol w:w="5991"/>
      </w:tblGrid>
      <w:tr w:rsidR="00DF5095" w:rsidRPr="00A52AB8" w14:paraId="2D25344B" w14:textId="77777777" w:rsidTr="00A87772">
        <w:trPr>
          <w:cantSplit/>
          <w:jc w:val="center"/>
        </w:trPr>
        <w:tc>
          <w:tcPr>
            <w:tcW w:w="1384" w:type="dxa"/>
            <w:vAlign w:val="center"/>
          </w:tcPr>
          <w:p w14:paraId="282953F0" w14:textId="77777777" w:rsidR="00DF5095" w:rsidRPr="00A52AB8" w:rsidRDefault="00DF5095">
            <w:pPr>
              <w:keepNext/>
              <w:keepLines/>
              <w:tabs>
                <w:tab w:val="left" w:pos="216"/>
                <w:tab w:val="left" w:pos="432"/>
                <w:tab w:val="left" w:pos="648"/>
                <w:tab w:val="left" w:pos="864"/>
                <w:tab w:val="left" w:pos="1296"/>
                <w:tab w:val="left" w:pos="1512"/>
                <w:tab w:val="left" w:pos="1728"/>
                <w:tab w:val="left" w:pos="1944"/>
                <w:tab w:val="left" w:pos="2160"/>
              </w:tabs>
              <w:jc w:val="center"/>
              <w:rPr>
                <w:b/>
                <w:sz w:val="20"/>
              </w:rPr>
            </w:pPr>
            <w:r w:rsidRPr="00A52AB8">
              <w:rPr>
                <w:b/>
                <w:sz w:val="20"/>
              </w:rPr>
              <w:t>Value</w:t>
            </w:r>
          </w:p>
        </w:tc>
        <w:tc>
          <w:tcPr>
            <w:tcW w:w="5991" w:type="dxa"/>
            <w:vAlign w:val="center"/>
          </w:tcPr>
          <w:p w14:paraId="5485D40F" w14:textId="77777777" w:rsidR="00DF5095" w:rsidRPr="00A52AB8" w:rsidRDefault="00DF5095">
            <w:pPr>
              <w:keepNext/>
              <w:keepLines/>
              <w:spacing w:after="60"/>
              <w:jc w:val="center"/>
              <w:rPr>
                <w:b/>
                <w:sz w:val="20"/>
              </w:rPr>
            </w:pPr>
            <w:r w:rsidRPr="00A52AB8">
              <w:rPr>
                <w:b/>
                <w:sz w:val="20"/>
              </w:rPr>
              <w:t>Description</w:t>
            </w:r>
          </w:p>
        </w:tc>
      </w:tr>
      <w:tr w:rsidR="00DF5095" w:rsidRPr="00A52AB8" w14:paraId="474ACC4B" w14:textId="77777777" w:rsidTr="00A87772">
        <w:trPr>
          <w:cantSplit/>
          <w:jc w:val="center"/>
        </w:trPr>
        <w:tc>
          <w:tcPr>
            <w:tcW w:w="1384" w:type="dxa"/>
            <w:vAlign w:val="center"/>
          </w:tcPr>
          <w:p w14:paraId="0753E9DB" w14:textId="77777777" w:rsidR="00DF5095" w:rsidRPr="00A52AB8" w:rsidRDefault="00DF5095">
            <w:pPr>
              <w:keepNext/>
              <w:keepLines/>
              <w:tabs>
                <w:tab w:val="left" w:pos="216"/>
                <w:tab w:val="left" w:pos="432"/>
                <w:tab w:val="left" w:pos="648"/>
                <w:tab w:val="left" w:pos="864"/>
                <w:tab w:val="left" w:pos="1296"/>
                <w:tab w:val="left" w:pos="1512"/>
                <w:tab w:val="left" w:pos="1728"/>
                <w:tab w:val="left" w:pos="1944"/>
                <w:tab w:val="left" w:pos="2160"/>
              </w:tabs>
              <w:jc w:val="center"/>
              <w:rPr>
                <w:sz w:val="20"/>
              </w:rPr>
            </w:pPr>
            <w:r w:rsidRPr="00A52AB8">
              <w:rPr>
                <w:sz w:val="20"/>
              </w:rPr>
              <w:t>0</w:t>
            </w:r>
          </w:p>
        </w:tc>
        <w:tc>
          <w:tcPr>
            <w:tcW w:w="5991" w:type="dxa"/>
            <w:vAlign w:val="center"/>
          </w:tcPr>
          <w:p w14:paraId="393F2A69" w14:textId="77777777" w:rsidR="00DF5095" w:rsidRPr="00A52AB8" w:rsidRDefault="00DF5095">
            <w:pPr>
              <w:keepNext/>
              <w:keepLines/>
              <w:spacing w:after="60"/>
              <w:rPr>
                <w:sz w:val="20"/>
              </w:rPr>
            </w:pPr>
            <w:r w:rsidRPr="00A52AB8">
              <w:rPr>
                <w:sz w:val="20"/>
              </w:rPr>
              <w:t xml:space="preserve">Indicates that there is no SEI message with payloadType equal to </w:t>
            </w:r>
            <w:r w:rsidRPr="00A52AB8">
              <w:rPr>
                <w:bCs/>
                <w:sz w:val="20"/>
              </w:rPr>
              <w:t>manifest_</w:t>
            </w:r>
            <w:r w:rsidRPr="00A52AB8">
              <w:rPr>
                <w:sz w:val="20"/>
              </w:rPr>
              <w:t>sei_payload_type</w:t>
            </w:r>
            <w:r w:rsidR="001F4484" w:rsidRPr="00A52AB8">
              <w:rPr>
                <w:sz w:val="20"/>
              </w:rPr>
              <w:t>[ i ]</w:t>
            </w:r>
            <w:r w:rsidRPr="00A52AB8">
              <w:rPr>
                <w:sz w:val="20"/>
              </w:rPr>
              <w:t xml:space="preserve"> expected to be present in the </w:t>
            </w:r>
            <w:r w:rsidR="00732F5C" w:rsidRPr="00A52AB8">
              <w:rPr>
                <w:sz w:val="20"/>
              </w:rPr>
              <w:t>C</w:t>
            </w:r>
            <w:r w:rsidR="00092BFB" w:rsidRPr="00A52AB8">
              <w:rPr>
                <w:sz w:val="20"/>
              </w:rPr>
              <w:t>A</w:t>
            </w:r>
            <w:r w:rsidR="00732F5C" w:rsidRPr="00A52AB8">
              <w:rPr>
                <w:sz w:val="20"/>
              </w:rPr>
              <w:t>S</w:t>
            </w:r>
            <w:r w:rsidRPr="00A52AB8">
              <w:rPr>
                <w:sz w:val="20"/>
              </w:rPr>
              <w:t>.</w:t>
            </w:r>
          </w:p>
        </w:tc>
      </w:tr>
      <w:tr w:rsidR="00DF5095" w:rsidRPr="00A52AB8" w14:paraId="059373E5" w14:textId="77777777" w:rsidTr="00A87772">
        <w:trPr>
          <w:cantSplit/>
          <w:jc w:val="center"/>
        </w:trPr>
        <w:tc>
          <w:tcPr>
            <w:tcW w:w="1384" w:type="dxa"/>
            <w:vAlign w:val="center"/>
          </w:tcPr>
          <w:p w14:paraId="1B8C4465" w14:textId="77777777" w:rsidR="00DF5095" w:rsidRPr="00A52AB8" w:rsidRDefault="00DF5095">
            <w:pPr>
              <w:keepNext/>
              <w:keepLines/>
              <w:tabs>
                <w:tab w:val="left" w:pos="216"/>
                <w:tab w:val="left" w:pos="432"/>
                <w:tab w:val="left" w:pos="648"/>
                <w:tab w:val="left" w:pos="864"/>
                <w:tab w:val="left" w:pos="1296"/>
                <w:tab w:val="left" w:pos="1512"/>
                <w:tab w:val="left" w:pos="1728"/>
                <w:tab w:val="left" w:pos="1944"/>
                <w:tab w:val="left" w:pos="2160"/>
              </w:tabs>
              <w:jc w:val="center"/>
              <w:rPr>
                <w:sz w:val="20"/>
              </w:rPr>
            </w:pPr>
            <w:r w:rsidRPr="00A52AB8">
              <w:rPr>
                <w:sz w:val="20"/>
              </w:rPr>
              <w:t>1</w:t>
            </w:r>
          </w:p>
        </w:tc>
        <w:tc>
          <w:tcPr>
            <w:tcW w:w="5991" w:type="dxa"/>
            <w:vAlign w:val="center"/>
          </w:tcPr>
          <w:p w14:paraId="6F28A6CA" w14:textId="79E5B8DC" w:rsidR="00DF5095" w:rsidRPr="00A52AB8" w:rsidRDefault="00DF5095">
            <w:pPr>
              <w:keepNext/>
              <w:keepLines/>
              <w:spacing w:after="60"/>
              <w:rPr>
                <w:sz w:val="20"/>
              </w:rPr>
            </w:pPr>
            <w:r w:rsidRPr="00A52AB8">
              <w:rPr>
                <w:sz w:val="20"/>
              </w:rPr>
              <w:t xml:space="preserve">Indicates that there are SEI messages with payloadType equal to </w:t>
            </w:r>
            <w:r w:rsidRPr="00A52AB8">
              <w:rPr>
                <w:bCs/>
                <w:sz w:val="20"/>
              </w:rPr>
              <w:t>manifest_</w:t>
            </w:r>
            <w:r w:rsidRPr="00A52AB8">
              <w:rPr>
                <w:sz w:val="20"/>
              </w:rPr>
              <w:t>sei_payload_type</w:t>
            </w:r>
            <w:r w:rsidR="001F4484" w:rsidRPr="00A52AB8">
              <w:rPr>
                <w:sz w:val="20"/>
              </w:rPr>
              <w:t>[ i ]</w:t>
            </w:r>
            <w:r w:rsidRPr="00A52AB8">
              <w:rPr>
                <w:sz w:val="20"/>
              </w:rPr>
              <w:t xml:space="preserve"> expected to be present in the </w:t>
            </w:r>
            <w:r w:rsidR="00732F5C" w:rsidRPr="00A52AB8">
              <w:rPr>
                <w:sz w:val="20"/>
              </w:rPr>
              <w:t>C</w:t>
            </w:r>
            <w:r w:rsidR="00092BFB" w:rsidRPr="00A52AB8">
              <w:rPr>
                <w:sz w:val="20"/>
              </w:rPr>
              <w:t>A</w:t>
            </w:r>
            <w:r w:rsidR="00732F5C" w:rsidRPr="00A52AB8">
              <w:rPr>
                <w:sz w:val="20"/>
              </w:rPr>
              <w:t>S</w:t>
            </w:r>
            <w:r w:rsidRPr="00A52AB8">
              <w:rPr>
                <w:sz w:val="20"/>
              </w:rPr>
              <w:t>, and</w:t>
            </w:r>
            <w:r w:rsidR="00C61E38" w:rsidRPr="00A52AB8">
              <w:rPr>
                <w:sz w:val="20"/>
              </w:rPr>
              <w:t xml:space="preserve"> </w:t>
            </w:r>
            <w:r w:rsidRPr="00A52AB8">
              <w:rPr>
                <w:sz w:val="20"/>
              </w:rPr>
              <w:t xml:space="preserve">these </w:t>
            </w:r>
            <w:r w:rsidRPr="00A52AB8">
              <w:rPr>
                <w:bCs/>
                <w:sz w:val="20"/>
              </w:rPr>
              <w:t>SEI messages are considered as necessary</w:t>
            </w:r>
            <w:r w:rsidRPr="00A52AB8">
              <w:rPr>
                <w:sz w:val="20"/>
              </w:rPr>
              <w:t>.</w:t>
            </w:r>
          </w:p>
        </w:tc>
      </w:tr>
      <w:tr w:rsidR="00DF5095" w:rsidRPr="00A52AB8" w14:paraId="76E5C7C2" w14:textId="77777777" w:rsidTr="00A87772">
        <w:trPr>
          <w:cantSplit/>
          <w:jc w:val="center"/>
        </w:trPr>
        <w:tc>
          <w:tcPr>
            <w:tcW w:w="1384" w:type="dxa"/>
            <w:vAlign w:val="center"/>
          </w:tcPr>
          <w:p w14:paraId="04D1C9DF" w14:textId="77777777" w:rsidR="00DF5095" w:rsidRPr="00A52AB8" w:rsidRDefault="00DF5095">
            <w:pPr>
              <w:keepNext/>
              <w:keepLines/>
              <w:tabs>
                <w:tab w:val="left" w:pos="216"/>
                <w:tab w:val="left" w:pos="432"/>
                <w:tab w:val="left" w:pos="648"/>
                <w:tab w:val="left" w:pos="864"/>
                <w:tab w:val="left" w:pos="1296"/>
                <w:tab w:val="left" w:pos="1512"/>
                <w:tab w:val="left" w:pos="1728"/>
                <w:tab w:val="left" w:pos="1944"/>
                <w:tab w:val="left" w:pos="2160"/>
              </w:tabs>
              <w:jc w:val="center"/>
              <w:rPr>
                <w:sz w:val="20"/>
              </w:rPr>
            </w:pPr>
            <w:r w:rsidRPr="00A52AB8">
              <w:rPr>
                <w:sz w:val="20"/>
              </w:rPr>
              <w:t>2</w:t>
            </w:r>
          </w:p>
        </w:tc>
        <w:tc>
          <w:tcPr>
            <w:tcW w:w="5991" w:type="dxa"/>
            <w:vAlign w:val="center"/>
          </w:tcPr>
          <w:p w14:paraId="7F3A33E5" w14:textId="61ADC5AF" w:rsidR="00DF5095" w:rsidRPr="00A52AB8" w:rsidRDefault="00DF5095">
            <w:pPr>
              <w:keepNext/>
              <w:keepLines/>
              <w:spacing w:after="60"/>
              <w:rPr>
                <w:sz w:val="20"/>
              </w:rPr>
            </w:pPr>
            <w:r w:rsidRPr="00A52AB8">
              <w:rPr>
                <w:sz w:val="20"/>
              </w:rPr>
              <w:t xml:space="preserve">Indicates that there are SEI messages with payloadType equal to </w:t>
            </w:r>
            <w:r w:rsidRPr="00A52AB8">
              <w:rPr>
                <w:bCs/>
                <w:sz w:val="20"/>
              </w:rPr>
              <w:t>manifest_</w:t>
            </w:r>
            <w:r w:rsidRPr="00A52AB8">
              <w:rPr>
                <w:sz w:val="20"/>
              </w:rPr>
              <w:t>sei_payload_type</w:t>
            </w:r>
            <w:r w:rsidR="001F4484" w:rsidRPr="00A52AB8">
              <w:rPr>
                <w:sz w:val="20"/>
              </w:rPr>
              <w:t>[ i ]</w:t>
            </w:r>
            <w:r w:rsidRPr="00A52AB8">
              <w:rPr>
                <w:sz w:val="20"/>
              </w:rPr>
              <w:t xml:space="preserve"> expected to be present in the </w:t>
            </w:r>
            <w:r w:rsidR="00732F5C" w:rsidRPr="00A52AB8">
              <w:rPr>
                <w:sz w:val="20"/>
              </w:rPr>
              <w:t>C</w:t>
            </w:r>
            <w:r w:rsidR="00092BFB" w:rsidRPr="00A52AB8">
              <w:rPr>
                <w:sz w:val="20"/>
              </w:rPr>
              <w:t>A</w:t>
            </w:r>
            <w:r w:rsidR="00732F5C" w:rsidRPr="00A52AB8">
              <w:rPr>
                <w:sz w:val="20"/>
              </w:rPr>
              <w:t>S</w:t>
            </w:r>
            <w:r w:rsidRPr="00A52AB8">
              <w:rPr>
                <w:sz w:val="20"/>
              </w:rPr>
              <w:t>, and</w:t>
            </w:r>
            <w:r w:rsidR="00C61E38" w:rsidRPr="00A52AB8">
              <w:rPr>
                <w:sz w:val="20"/>
              </w:rPr>
              <w:t xml:space="preserve"> </w:t>
            </w:r>
            <w:r w:rsidRPr="00A52AB8">
              <w:rPr>
                <w:sz w:val="20"/>
              </w:rPr>
              <w:t xml:space="preserve">these </w:t>
            </w:r>
            <w:r w:rsidRPr="00A52AB8">
              <w:rPr>
                <w:bCs/>
                <w:sz w:val="20"/>
              </w:rPr>
              <w:t>SEI messages are considered as unnecessary</w:t>
            </w:r>
            <w:r w:rsidRPr="00A52AB8">
              <w:rPr>
                <w:sz w:val="20"/>
              </w:rPr>
              <w:t>.</w:t>
            </w:r>
          </w:p>
        </w:tc>
      </w:tr>
      <w:tr w:rsidR="00DF5095" w:rsidRPr="00A52AB8" w14:paraId="63141A51" w14:textId="77777777" w:rsidTr="00A87772">
        <w:trPr>
          <w:cantSplit/>
          <w:jc w:val="center"/>
        </w:trPr>
        <w:tc>
          <w:tcPr>
            <w:tcW w:w="1384" w:type="dxa"/>
            <w:vAlign w:val="center"/>
          </w:tcPr>
          <w:p w14:paraId="682D4925" w14:textId="77777777" w:rsidR="00DF5095" w:rsidRPr="00A52AB8" w:rsidRDefault="00DF5095">
            <w:pPr>
              <w:keepNext/>
              <w:keepLines/>
              <w:tabs>
                <w:tab w:val="left" w:pos="216"/>
                <w:tab w:val="left" w:pos="432"/>
                <w:tab w:val="left" w:pos="648"/>
                <w:tab w:val="left" w:pos="864"/>
                <w:tab w:val="left" w:pos="1296"/>
                <w:tab w:val="left" w:pos="1512"/>
                <w:tab w:val="left" w:pos="1728"/>
                <w:tab w:val="left" w:pos="1944"/>
                <w:tab w:val="left" w:pos="2160"/>
              </w:tabs>
              <w:jc w:val="center"/>
              <w:rPr>
                <w:sz w:val="20"/>
              </w:rPr>
            </w:pPr>
            <w:r w:rsidRPr="00A52AB8">
              <w:rPr>
                <w:sz w:val="20"/>
              </w:rPr>
              <w:t>3</w:t>
            </w:r>
          </w:p>
        </w:tc>
        <w:tc>
          <w:tcPr>
            <w:tcW w:w="5991" w:type="dxa"/>
            <w:vAlign w:val="center"/>
          </w:tcPr>
          <w:p w14:paraId="2C5C1165" w14:textId="3E1DAFDE" w:rsidR="00DF5095" w:rsidRPr="00A52AB8" w:rsidRDefault="00DF5095">
            <w:pPr>
              <w:keepNext/>
              <w:keepLines/>
              <w:spacing w:after="60"/>
              <w:rPr>
                <w:sz w:val="20"/>
              </w:rPr>
            </w:pPr>
            <w:r w:rsidRPr="00A52AB8">
              <w:rPr>
                <w:sz w:val="20"/>
              </w:rPr>
              <w:t xml:space="preserve">Indicates that there are SEI messages with payloadType equal to </w:t>
            </w:r>
            <w:r w:rsidRPr="00A52AB8">
              <w:rPr>
                <w:bCs/>
                <w:sz w:val="20"/>
              </w:rPr>
              <w:t>manifest_</w:t>
            </w:r>
            <w:r w:rsidRPr="00A52AB8">
              <w:rPr>
                <w:sz w:val="20"/>
              </w:rPr>
              <w:t>sei_payload_type</w:t>
            </w:r>
            <w:r w:rsidR="001F4484" w:rsidRPr="00A52AB8">
              <w:rPr>
                <w:sz w:val="20"/>
              </w:rPr>
              <w:t>[ i ]</w:t>
            </w:r>
            <w:r w:rsidRPr="00A52AB8">
              <w:rPr>
                <w:sz w:val="20"/>
              </w:rPr>
              <w:t xml:space="preserve"> expected to be present in the </w:t>
            </w:r>
            <w:r w:rsidR="00732F5C" w:rsidRPr="00A52AB8">
              <w:rPr>
                <w:sz w:val="20"/>
              </w:rPr>
              <w:t>C</w:t>
            </w:r>
            <w:r w:rsidR="00092BFB" w:rsidRPr="00A52AB8">
              <w:rPr>
                <w:sz w:val="20"/>
              </w:rPr>
              <w:t>A</w:t>
            </w:r>
            <w:r w:rsidR="00732F5C" w:rsidRPr="00A52AB8">
              <w:rPr>
                <w:sz w:val="20"/>
              </w:rPr>
              <w:t>S</w:t>
            </w:r>
            <w:r w:rsidRPr="00A52AB8">
              <w:rPr>
                <w:sz w:val="20"/>
              </w:rPr>
              <w:t>, and</w:t>
            </w:r>
            <w:r w:rsidR="00C61E38" w:rsidRPr="00A52AB8">
              <w:rPr>
                <w:sz w:val="20"/>
              </w:rPr>
              <w:t xml:space="preserve"> </w:t>
            </w:r>
            <w:r w:rsidRPr="00A52AB8">
              <w:rPr>
                <w:sz w:val="20"/>
              </w:rPr>
              <w:t xml:space="preserve">the necessity of these </w:t>
            </w:r>
            <w:r w:rsidRPr="00A52AB8">
              <w:rPr>
                <w:bCs/>
                <w:sz w:val="20"/>
              </w:rPr>
              <w:t>SEI messages is undetermined.</w:t>
            </w:r>
          </w:p>
        </w:tc>
      </w:tr>
      <w:tr w:rsidR="00DF5095" w:rsidRPr="00A52AB8" w14:paraId="0398B219" w14:textId="77777777" w:rsidTr="00A87772">
        <w:trPr>
          <w:cantSplit/>
          <w:jc w:val="center"/>
        </w:trPr>
        <w:tc>
          <w:tcPr>
            <w:tcW w:w="1384" w:type="dxa"/>
            <w:vAlign w:val="center"/>
          </w:tcPr>
          <w:p w14:paraId="15429256" w14:textId="77777777" w:rsidR="00DF5095" w:rsidRPr="00A52AB8" w:rsidRDefault="00DF5095">
            <w:pPr>
              <w:keepNext/>
              <w:keepLines/>
              <w:tabs>
                <w:tab w:val="left" w:pos="216"/>
                <w:tab w:val="left" w:pos="432"/>
                <w:tab w:val="left" w:pos="648"/>
                <w:tab w:val="left" w:pos="864"/>
                <w:tab w:val="left" w:pos="1296"/>
                <w:tab w:val="left" w:pos="1512"/>
                <w:tab w:val="left" w:pos="1728"/>
                <w:tab w:val="left" w:pos="1944"/>
                <w:tab w:val="left" w:pos="2160"/>
              </w:tabs>
              <w:jc w:val="center"/>
              <w:rPr>
                <w:sz w:val="20"/>
              </w:rPr>
            </w:pPr>
            <w:r w:rsidRPr="00A52AB8">
              <w:rPr>
                <w:sz w:val="20"/>
              </w:rPr>
              <w:t>4-255</w:t>
            </w:r>
          </w:p>
        </w:tc>
        <w:tc>
          <w:tcPr>
            <w:tcW w:w="5991" w:type="dxa"/>
            <w:vAlign w:val="center"/>
          </w:tcPr>
          <w:p w14:paraId="35F498DA" w14:textId="77777777" w:rsidR="00DF5095" w:rsidRPr="00A52AB8" w:rsidRDefault="00DF5095">
            <w:pPr>
              <w:keepNext/>
              <w:keepLines/>
              <w:spacing w:after="60"/>
              <w:rPr>
                <w:sz w:val="20"/>
              </w:rPr>
            </w:pPr>
            <w:r w:rsidRPr="00A52AB8">
              <w:rPr>
                <w:sz w:val="20"/>
              </w:rPr>
              <w:t>Reserved</w:t>
            </w:r>
          </w:p>
        </w:tc>
      </w:tr>
    </w:tbl>
    <w:p w14:paraId="13F526D3" w14:textId="77777777" w:rsidR="00DF5095" w:rsidRPr="00A52AB8" w:rsidRDefault="00DF5095" w:rsidP="007656E5">
      <w:pPr>
        <w:spacing w:before="120"/>
        <w:rPr>
          <w:bCs/>
        </w:rPr>
      </w:pPr>
      <w:r w:rsidRPr="00A52AB8">
        <w:rPr>
          <w:bCs/>
        </w:rPr>
        <w:t>The value of manifest_sei_description</w:t>
      </w:r>
      <w:r w:rsidR="001F4484" w:rsidRPr="00A52AB8">
        <w:rPr>
          <w:bCs/>
        </w:rPr>
        <w:t>[ i ]</w:t>
      </w:r>
      <w:r w:rsidRPr="00A52AB8">
        <w:rPr>
          <w:bCs/>
        </w:rPr>
        <w:t xml:space="preserve"> shall be in the range of 0 to 3, inclusive, in bitstreams conforming to this version of </w:t>
      </w:r>
      <w:r w:rsidR="00FD4C0B" w:rsidRPr="00A52AB8">
        <w:rPr>
          <w:bCs/>
        </w:rPr>
        <w:t>this document</w:t>
      </w:r>
      <w:r w:rsidRPr="00A52AB8">
        <w:rPr>
          <w:bCs/>
        </w:rPr>
        <w:t>. Other values for manifest_sei_description</w:t>
      </w:r>
      <w:r w:rsidR="001F4484" w:rsidRPr="00A52AB8">
        <w:rPr>
          <w:bCs/>
        </w:rPr>
        <w:t>[ i ]</w:t>
      </w:r>
      <w:r w:rsidRPr="00A52AB8">
        <w:rPr>
          <w:bCs/>
        </w:rPr>
        <w:t xml:space="preserve"> are reserved for future use by ISO/IEC. Decoders shall allow the value of manifest_sei_description</w:t>
      </w:r>
      <w:r w:rsidR="001F4484" w:rsidRPr="00A52AB8">
        <w:rPr>
          <w:bCs/>
        </w:rPr>
        <w:t>[ i ]</w:t>
      </w:r>
      <w:r w:rsidRPr="00A52AB8">
        <w:rPr>
          <w:bCs/>
        </w:rPr>
        <w:t xml:space="preserve"> greater than or equal to 4 to appear in the syntax and shall ignore all information for </w:t>
      </w:r>
      <w:r w:rsidRPr="00A52AB8">
        <w:rPr>
          <w:lang w:eastAsia="ko-KR"/>
        </w:rPr>
        <w:t>payloadType</w:t>
      </w:r>
      <w:r w:rsidRPr="00A52AB8">
        <w:rPr>
          <w:bCs/>
        </w:rPr>
        <w:t xml:space="preserve"> equal to manifest_sei_payload_type</w:t>
      </w:r>
      <w:r w:rsidR="001F4484" w:rsidRPr="00A52AB8">
        <w:rPr>
          <w:bCs/>
        </w:rPr>
        <w:t>[ i ]</w:t>
      </w:r>
      <w:r w:rsidRPr="00A52AB8">
        <w:rPr>
          <w:bCs/>
        </w:rPr>
        <w:t xml:space="preserve"> signalled in the SEI manifest SEI message and shall ignore all SEI prefix indication SEI messages with prefix_sei_payload_type equal to manifest_sei_payload_type</w:t>
      </w:r>
      <w:r w:rsidR="001F4484" w:rsidRPr="00A52AB8">
        <w:rPr>
          <w:bCs/>
        </w:rPr>
        <w:t>[ i ]</w:t>
      </w:r>
      <w:r w:rsidRPr="00A52AB8">
        <w:rPr>
          <w:bCs/>
        </w:rPr>
        <w:t xml:space="preserve"> when manifest_sei_description</w:t>
      </w:r>
      <w:r w:rsidR="001F4484" w:rsidRPr="00A52AB8">
        <w:rPr>
          <w:bCs/>
        </w:rPr>
        <w:t>[ i ]</w:t>
      </w:r>
      <w:r w:rsidRPr="00A52AB8">
        <w:rPr>
          <w:bCs/>
        </w:rPr>
        <w:t xml:space="preserve"> is greater than or equal to 4.</w:t>
      </w:r>
    </w:p>
    <w:p w14:paraId="3EDF39E7" w14:textId="77777777" w:rsidR="00DF5095" w:rsidRPr="00A52AB8" w:rsidRDefault="00DF5095">
      <w:pPr>
        <w:pStyle w:val="a3"/>
        <w:numPr>
          <w:ilvl w:val="2"/>
          <w:numId w:val="19"/>
        </w:numPr>
        <w:tabs>
          <w:tab w:val="clear" w:pos="403"/>
        </w:tabs>
        <w:rPr>
          <w:b w:val="0"/>
        </w:rPr>
      </w:pPr>
      <w:bookmarkStart w:id="5531" w:name="_Ref49346288"/>
      <w:bookmarkStart w:id="5532" w:name="_Toc52181741"/>
      <w:r w:rsidRPr="00A52AB8">
        <w:t>SEI prefix indication SEI message semantics</w:t>
      </w:r>
      <w:bookmarkEnd w:id="5531"/>
      <w:bookmarkEnd w:id="5532"/>
    </w:p>
    <w:p w14:paraId="14BD372D" w14:textId="77777777" w:rsidR="00DF5095" w:rsidRPr="00A52AB8" w:rsidRDefault="00DF5095">
      <w:r w:rsidRPr="00A52AB8">
        <w:t>The SEI prefix indication SEI message carries one or more SEI prefix indications for SEI messages of a particular value of payloadType. Each SEI prefix indication is a bit string that follows the SEI payload syntax of that value of payloadType and contains a number of complete syntax elements starting from the first syntax element in the SEI payload.</w:t>
      </w:r>
    </w:p>
    <w:p w14:paraId="39FA6E2C" w14:textId="77777777" w:rsidR="00DF5095" w:rsidRPr="00A52AB8" w:rsidRDefault="00DF5095">
      <w:r w:rsidRPr="00A52AB8">
        <w:t xml:space="preserve">Each SEI prefix indication for an SEI message of a particular value of payloadType indicates that one or more SEI messages of this value of payloadType are expected (i.e., likely) to be present in the </w:t>
      </w:r>
      <w:r w:rsidR="00732F5C" w:rsidRPr="00A52AB8">
        <w:t>C</w:t>
      </w:r>
      <w:r w:rsidR="00510A1C" w:rsidRPr="00A52AB8">
        <w:t>A</w:t>
      </w:r>
      <w:r w:rsidR="00732F5C" w:rsidRPr="00A52AB8">
        <w:t>S</w:t>
      </w:r>
      <w:r w:rsidRPr="00A52AB8">
        <w:t xml:space="preserve"> and to start with the provided bit string. A starting bit string would typically contain only a true subset of an SEI payload of the type of SEI message indicated by the payloadType, may contain a complete SEI payload, and shall not contain more than a complete SEI payload. It is not prohibited for SEI messages of the indicated value of payloadType to be present that do not start with any of the indicated bit strings.</w:t>
      </w:r>
    </w:p>
    <w:p w14:paraId="576169FF" w14:textId="77777777" w:rsidR="00DF5095" w:rsidRPr="00A52AB8" w:rsidRDefault="00DF5095">
      <w:pPr>
        <w:rPr>
          <w:lang w:eastAsia="ko-KR"/>
        </w:rPr>
      </w:pPr>
      <w:r w:rsidRPr="00A52AB8">
        <w:t>These</w:t>
      </w:r>
      <w:r w:rsidRPr="00A52AB8">
        <w:rPr>
          <w:lang w:eastAsia="ko-KR"/>
        </w:rPr>
        <w:t xml:space="preserve"> </w:t>
      </w:r>
      <w:r w:rsidRPr="00A52AB8">
        <w:t>SEI prefix indications</w:t>
      </w:r>
      <w:r w:rsidRPr="00A52AB8">
        <w:rPr>
          <w:lang w:eastAsia="ko-KR"/>
        </w:rPr>
        <w:t xml:space="preserve"> should provide sufficient information for indicating what type of processing is needed or what type of content is included. The former (type of processing) indicates decoder-side processing capability, e.g., whether some type of </w:t>
      </w:r>
      <w:r w:rsidR="00853F87" w:rsidRPr="00A52AB8">
        <w:rPr>
          <w:lang w:eastAsia="ko-KR"/>
        </w:rPr>
        <w:t>post-filtering process</w:t>
      </w:r>
      <w:r w:rsidRPr="00A52AB8">
        <w:rPr>
          <w:lang w:eastAsia="ko-KR"/>
        </w:rPr>
        <w:t xml:space="preserve"> is needed. The latter (type of content) indicates, for example, whether the bitstream contains subtitle captions in a particular language.</w:t>
      </w:r>
    </w:p>
    <w:p w14:paraId="4F2C3793" w14:textId="77777777" w:rsidR="00DF5095" w:rsidRPr="00A52AB8" w:rsidRDefault="00DF5095">
      <w:r w:rsidRPr="00A52AB8">
        <w:rPr>
          <w:lang w:eastAsia="ko-KR"/>
        </w:rPr>
        <w:t xml:space="preserve">The content of an SEI prefix indication SEI message may, for example, be used by transport-layer or systems-layer processing elements to determine whether the </w:t>
      </w:r>
      <w:r w:rsidR="00510A1C" w:rsidRPr="00A52AB8">
        <w:rPr>
          <w:lang w:eastAsia="ko-KR"/>
        </w:rPr>
        <w:t>CA</w:t>
      </w:r>
      <w:r w:rsidR="00732F5C" w:rsidRPr="00A52AB8">
        <w:rPr>
          <w:lang w:eastAsia="ko-KR"/>
        </w:rPr>
        <w:t>S</w:t>
      </w:r>
      <w:r w:rsidRPr="00A52AB8">
        <w:rPr>
          <w:lang w:eastAsia="ko-KR"/>
        </w:rPr>
        <w:t xml:space="preserve"> is suitable for delivery to a receiving and decoding system, based on whether the receiving system can </w:t>
      </w:r>
      <w:r w:rsidRPr="00A52AB8">
        <w:t xml:space="preserve">properly process the </w:t>
      </w:r>
      <w:r w:rsidR="00732F5C" w:rsidRPr="00A52AB8">
        <w:t>C</w:t>
      </w:r>
      <w:r w:rsidR="00510A1C" w:rsidRPr="00A52AB8">
        <w:t>A</w:t>
      </w:r>
      <w:r w:rsidR="00732F5C" w:rsidRPr="00A52AB8">
        <w:t>S</w:t>
      </w:r>
      <w:r w:rsidRPr="00A52AB8">
        <w:t xml:space="preserve"> to enable an adequate user experience or whether the </w:t>
      </w:r>
      <w:r w:rsidR="00732F5C" w:rsidRPr="00A52AB8">
        <w:t>C</w:t>
      </w:r>
      <w:r w:rsidR="00510A1C" w:rsidRPr="00A52AB8">
        <w:t>A</w:t>
      </w:r>
      <w:r w:rsidR="00732F5C" w:rsidRPr="00A52AB8">
        <w:t>S</w:t>
      </w:r>
      <w:r w:rsidRPr="00A52AB8">
        <w:t xml:space="preserve"> satisfies the application needs (as determined in some manner by external means outside the scope of </w:t>
      </w:r>
      <w:r w:rsidR="00FD4C0B" w:rsidRPr="00A52AB8">
        <w:t>this document</w:t>
      </w:r>
      <w:r w:rsidRPr="00A52AB8">
        <w:t>).</w:t>
      </w:r>
    </w:p>
    <w:p w14:paraId="6E5CD75E" w14:textId="77777777" w:rsidR="00DF5095" w:rsidRPr="00A52AB8" w:rsidRDefault="00DF5095">
      <w:r w:rsidRPr="00A52AB8">
        <w:rPr>
          <w:lang w:eastAsia="ko-KR"/>
        </w:rPr>
        <w:t xml:space="preserve">In </w:t>
      </w:r>
      <w:r w:rsidR="00853F87" w:rsidRPr="00A52AB8">
        <w:rPr>
          <w:lang w:eastAsia="ko-KR"/>
        </w:rPr>
        <w:t>one</w:t>
      </w:r>
      <w:r w:rsidRPr="00A52AB8">
        <w:rPr>
          <w:lang w:eastAsia="ko-KR"/>
        </w:rPr>
        <w:t xml:space="preserve"> </w:t>
      </w:r>
      <w:r w:rsidRPr="00A52AB8">
        <w:t>example</w:t>
      </w:r>
      <w:r w:rsidRPr="00A52AB8">
        <w:rPr>
          <w:lang w:eastAsia="ko-KR"/>
        </w:rPr>
        <w:t xml:space="preserve">, for user data registered SEI messages that are used to carry captioning information, an </w:t>
      </w:r>
      <w:r w:rsidRPr="00A52AB8">
        <w:t>SEI prefix indication</w:t>
      </w:r>
      <w:r w:rsidRPr="00A52AB8">
        <w:rPr>
          <w:lang w:eastAsia="ko-KR"/>
        </w:rPr>
        <w:t xml:space="preserve"> should include up to at least the language code; and for user data unregistered SEI messages extended for private use, an </w:t>
      </w:r>
      <w:r w:rsidRPr="00A52AB8">
        <w:t>SEI prefix indication</w:t>
      </w:r>
      <w:r w:rsidRPr="00A52AB8">
        <w:rPr>
          <w:lang w:eastAsia="ko-KR"/>
        </w:rPr>
        <w:t xml:space="preserve"> should include up to at least the UUID.</w:t>
      </w:r>
    </w:p>
    <w:p w14:paraId="7ABF3099" w14:textId="77777777" w:rsidR="00DF5095" w:rsidRPr="00A52AB8" w:rsidRDefault="00DF5095">
      <w:pPr>
        <w:tabs>
          <w:tab w:val="clear" w:pos="806"/>
          <w:tab w:val="clear" w:pos="1210"/>
          <w:tab w:val="clear" w:pos="1613"/>
          <w:tab w:val="left" w:pos="794"/>
          <w:tab w:val="left" w:pos="1191"/>
          <w:tab w:val="left" w:pos="1588"/>
          <w:tab w:val="left" w:pos="1985"/>
        </w:tabs>
      </w:pPr>
      <w:r w:rsidRPr="00A52AB8">
        <w:t xml:space="preserve">When an SEI prefix indication SEI message is present in any access unit of a </w:t>
      </w:r>
      <w:r w:rsidR="00732F5C" w:rsidRPr="00A52AB8">
        <w:t>C</w:t>
      </w:r>
      <w:r w:rsidR="00510A1C" w:rsidRPr="00A52AB8">
        <w:t>A</w:t>
      </w:r>
      <w:r w:rsidR="00732F5C" w:rsidRPr="00A52AB8">
        <w:t>S</w:t>
      </w:r>
      <w:r w:rsidRPr="00A52AB8">
        <w:t xml:space="preserve">, an SEI prefix indication SEI message shall be present in the first access unit of the </w:t>
      </w:r>
      <w:r w:rsidR="00510A1C" w:rsidRPr="00A52AB8">
        <w:t>CA</w:t>
      </w:r>
      <w:r w:rsidR="00732F5C" w:rsidRPr="00A52AB8">
        <w:t>S</w:t>
      </w:r>
      <w:r w:rsidRPr="00A52AB8">
        <w:t xml:space="preserve">. The SEI prefix indication SEI message persists in decoding order from the current access unit until the end of the </w:t>
      </w:r>
      <w:r w:rsidR="00732F5C" w:rsidRPr="00A52AB8">
        <w:t>C</w:t>
      </w:r>
      <w:r w:rsidR="00510A1C" w:rsidRPr="00A52AB8">
        <w:t>A</w:t>
      </w:r>
      <w:r w:rsidR="00732F5C" w:rsidRPr="00A52AB8">
        <w:t>S</w:t>
      </w:r>
      <w:r w:rsidRPr="00A52AB8">
        <w:t xml:space="preserve">. When there are multiple SEI prefix indication SEI messages present in a </w:t>
      </w:r>
      <w:r w:rsidR="00732F5C" w:rsidRPr="00A52AB8">
        <w:t>C</w:t>
      </w:r>
      <w:r w:rsidR="00510A1C" w:rsidRPr="00A52AB8">
        <w:t>A</w:t>
      </w:r>
      <w:r w:rsidR="00732F5C" w:rsidRPr="00A52AB8">
        <w:t>S</w:t>
      </w:r>
      <w:r w:rsidRPr="00A52AB8">
        <w:t xml:space="preserve"> for a particular value of payloadType, they shall have the same content.</w:t>
      </w:r>
    </w:p>
    <w:p w14:paraId="13B85CBD" w14:textId="77777777" w:rsidR="00DF5095" w:rsidRPr="00A52AB8" w:rsidRDefault="00DF5095">
      <w:r w:rsidRPr="00A52AB8">
        <w:rPr>
          <w:b/>
          <w:bCs/>
        </w:rPr>
        <w:t>prefix_sei_payload_type</w:t>
      </w:r>
      <w:r w:rsidRPr="00A52AB8">
        <w:t xml:space="preserve"> indicates the payloadType value of the SEI messages for which one or more SEI prefix indications are provided in the SEI prefix indication SEI message. When an SEI manifest SEI message is also present for the </w:t>
      </w:r>
      <w:r w:rsidR="00732F5C" w:rsidRPr="00A52AB8">
        <w:t>C</w:t>
      </w:r>
      <w:r w:rsidR="00510A1C" w:rsidRPr="00A52AB8">
        <w:t>A</w:t>
      </w:r>
      <w:r w:rsidR="00732F5C" w:rsidRPr="00A52AB8">
        <w:t>S</w:t>
      </w:r>
      <w:r w:rsidRPr="00A52AB8">
        <w:t>, the value of prefix_</w:t>
      </w:r>
      <w:r w:rsidRPr="00A52AB8">
        <w:rPr>
          <w:bCs/>
        </w:rPr>
        <w:t>sei_payload_type shall be equal to one of the manifest_sei_payload_type[</w:t>
      </w:r>
      <w:r w:rsidRPr="00A52AB8">
        <w:t> m </w:t>
      </w:r>
      <w:r w:rsidRPr="00A52AB8">
        <w:rPr>
          <w:bCs/>
        </w:rPr>
        <w:t>] values for which manifest_sei_description</w:t>
      </w:r>
      <w:r w:rsidRPr="00A52AB8">
        <w:t xml:space="preserve">[ m ] is equal to 1 to 3, inclusive, as indicated by an SEI manifest SEI message that applies to the </w:t>
      </w:r>
      <w:r w:rsidR="00732F5C" w:rsidRPr="00A52AB8">
        <w:t>C</w:t>
      </w:r>
      <w:r w:rsidR="00510A1C" w:rsidRPr="00A52AB8">
        <w:t>A</w:t>
      </w:r>
      <w:r w:rsidR="00732F5C" w:rsidRPr="00A52AB8">
        <w:t>S</w:t>
      </w:r>
      <w:r w:rsidRPr="00A52AB8">
        <w:t>.</w:t>
      </w:r>
    </w:p>
    <w:p w14:paraId="22CA7B94" w14:textId="77777777" w:rsidR="00DF5095" w:rsidRPr="00A52AB8" w:rsidRDefault="00DF5095">
      <w:r w:rsidRPr="00A52AB8">
        <w:rPr>
          <w:b/>
          <w:bCs/>
        </w:rPr>
        <w:t>num_sei_prefix_indications_minus1</w:t>
      </w:r>
      <w:r w:rsidRPr="00A52AB8">
        <w:t xml:space="preserve"> plus 1 specifies the number of SEI prefix indications.</w:t>
      </w:r>
    </w:p>
    <w:p w14:paraId="4CF3AA17" w14:textId="77777777" w:rsidR="00DF5095" w:rsidRPr="00A52AB8" w:rsidRDefault="00DF5095">
      <w:r w:rsidRPr="00A52AB8">
        <w:rPr>
          <w:b/>
          <w:bCs/>
        </w:rPr>
        <w:t>num_bits_in_prefix_indication_minus1</w:t>
      </w:r>
      <w:r w:rsidR="001F4484" w:rsidRPr="00A52AB8">
        <w:rPr>
          <w:bCs/>
        </w:rPr>
        <w:t>[ i ]</w:t>
      </w:r>
      <w:r w:rsidRPr="00A52AB8">
        <w:t xml:space="preserve"> plus 1 specifies the number of bits in the i-th SEI prefix indication</w:t>
      </w:r>
      <w:r w:rsidRPr="00A52AB8">
        <w:rPr>
          <w:bCs/>
        </w:rPr>
        <w:t>.</w:t>
      </w:r>
    </w:p>
    <w:p w14:paraId="3AD11F94" w14:textId="77777777" w:rsidR="00DF5095" w:rsidRPr="00A52AB8" w:rsidRDefault="00DF5095">
      <w:pPr>
        <w:rPr>
          <w:lang w:eastAsia="ko-KR"/>
        </w:rPr>
      </w:pPr>
      <w:r w:rsidRPr="00A52AB8">
        <w:rPr>
          <w:b/>
          <w:bCs/>
        </w:rPr>
        <w:t>sei_prefix_data_bit</w:t>
      </w:r>
      <w:r w:rsidR="001F4484" w:rsidRPr="00A52AB8">
        <w:rPr>
          <w:bCs/>
        </w:rPr>
        <w:t>[ i ][ j ]</w:t>
      </w:r>
      <w:r w:rsidRPr="00A52AB8">
        <w:rPr>
          <w:bCs/>
        </w:rPr>
        <w:t xml:space="preserve"> specifies the j-th bit of </w:t>
      </w:r>
      <w:r w:rsidRPr="00A52AB8">
        <w:t>the i-th SEI prefix indication</w:t>
      </w:r>
      <w:r w:rsidRPr="00A52AB8">
        <w:rPr>
          <w:lang w:eastAsia="ko-KR"/>
        </w:rPr>
        <w:t>.</w:t>
      </w:r>
    </w:p>
    <w:p w14:paraId="03B547D6" w14:textId="77777777" w:rsidR="00DF5095" w:rsidRPr="00A52AB8" w:rsidRDefault="00DF5095">
      <w:pPr>
        <w:rPr>
          <w:lang w:eastAsia="ko-KR"/>
        </w:rPr>
      </w:pPr>
      <w:r w:rsidRPr="00A52AB8">
        <w:rPr>
          <w:lang w:eastAsia="ko-KR"/>
        </w:rPr>
        <w:t xml:space="preserve">The </w:t>
      </w:r>
      <w:r w:rsidRPr="00A52AB8">
        <w:t xml:space="preserve">bits </w:t>
      </w:r>
      <w:r w:rsidRPr="00A52AB8">
        <w:rPr>
          <w:bCs/>
        </w:rPr>
        <w:t>sei_prefix_data_bit</w:t>
      </w:r>
      <w:r w:rsidR="001F4484" w:rsidRPr="00A52AB8">
        <w:rPr>
          <w:bCs/>
        </w:rPr>
        <w:t>[ i ][ j ]</w:t>
      </w:r>
      <w:r w:rsidRPr="00A52AB8">
        <w:rPr>
          <w:bCs/>
        </w:rPr>
        <w:t xml:space="preserve"> for j ranging from 0 to num_bits_in_prefix_indication_minus1</w:t>
      </w:r>
      <w:r w:rsidR="001F4484" w:rsidRPr="00A52AB8">
        <w:rPr>
          <w:bCs/>
        </w:rPr>
        <w:t>[ i ]</w:t>
      </w:r>
      <w:r w:rsidRPr="00A52AB8">
        <w:rPr>
          <w:bCs/>
        </w:rPr>
        <w:t xml:space="preserve">, inclusive, </w:t>
      </w:r>
      <w:r w:rsidRPr="00A52AB8">
        <w:rPr>
          <w:lang w:eastAsia="ko-KR"/>
        </w:rPr>
        <w:t xml:space="preserve">follow the syntax of the SEI payload with payloadType equal to </w:t>
      </w:r>
      <w:r w:rsidRPr="00A52AB8">
        <w:t>prefix_</w:t>
      </w:r>
      <w:r w:rsidRPr="00A52AB8">
        <w:rPr>
          <w:bCs/>
        </w:rPr>
        <w:t>sei_payload_type</w:t>
      </w:r>
      <w:r w:rsidRPr="00A52AB8">
        <w:rPr>
          <w:lang w:eastAsia="ko-KR"/>
        </w:rPr>
        <w:t xml:space="preserve">, and contain a number of complete syntax elements starting from the first syntax element in the SEI payload syntax, and may or may not contain all the syntax elements in the SEI payload syntax. The last bit of these bits (i.e., the bit </w:t>
      </w:r>
      <w:r w:rsidRPr="00A52AB8">
        <w:rPr>
          <w:bCs/>
        </w:rPr>
        <w:t>sei_prefix_data_bit</w:t>
      </w:r>
      <w:r w:rsidR="001F4484" w:rsidRPr="00A52AB8">
        <w:rPr>
          <w:bCs/>
        </w:rPr>
        <w:t>[ i ]</w:t>
      </w:r>
      <w:r w:rsidRPr="00A52AB8">
        <w:rPr>
          <w:bCs/>
        </w:rPr>
        <w:t>[</w:t>
      </w:r>
      <w:r w:rsidRPr="00A52AB8">
        <w:t> </w:t>
      </w:r>
      <w:r w:rsidRPr="00A52AB8">
        <w:rPr>
          <w:bCs/>
        </w:rPr>
        <w:t>num_bits_in_prefix_indication_minus1</w:t>
      </w:r>
      <w:r w:rsidR="001F4484" w:rsidRPr="00A52AB8">
        <w:rPr>
          <w:bCs/>
        </w:rPr>
        <w:t>[ i ]</w:t>
      </w:r>
      <w:r w:rsidRPr="00A52AB8">
        <w:t> </w:t>
      </w:r>
      <w:r w:rsidRPr="00A52AB8">
        <w:rPr>
          <w:bCs/>
        </w:rPr>
        <w:t xml:space="preserve">]) </w:t>
      </w:r>
      <w:r w:rsidRPr="00A52AB8">
        <w:rPr>
          <w:lang w:eastAsia="ko-KR"/>
        </w:rPr>
        <w:t xml:space="preserve">shall be the last bit of a syntax element in the SEI payload syntax, </w:t>
      </w:r>
      <w:r w:rsidRPr="00A52AB8">
        <w:t xml:space="preserve">unless it is a bit within an </w:t>
      </w:r>
      <w:bookmarkStart w:id="5533" w:name="_Hlk509501420"/>
      <w:r w:rsidRPr="00A52AB8">
        <w:t>itu_t_t35_payload_byte or user_data_payload_byte</w:t>
      </w:r>
      <w:bookmarkEnd w:id="5533"/>
      <w:r w:rsidRPr="00A52AB8">
        <w:rPr>
          <w:lang w:eastAsia="ko-KR"/>
        </w:rPr>
        <w:t>.</w:t>
      </w:r>
    </w:p>
    <w:p w14:paraId="5C9192C4" w14:textId="77777777" w:rsidR="00DF5095" w:rsidRPr="00A52AB8" w:rsidRDefault="00DF5095" w:rsidP="007656E5">
      <w:pPr>
        <w:pStyle w:val="Note1"/>
        <w:spacing w:afterLines="50"/>
        <w:rPr>
          <w:rFonts w:ascii="Cambria" w:hAnsi="Cambria"/>
        </w:rPr>
      </w:pPr>
      <w:r w:rsidRPr="00A52AB8">
        <w:rPr>
          <w:rFonts w:ascii="Cambria" w:hAnsi="Cambria"/>
        </w:rPr>
        <w:t xml:space="preserve">NOTE – The exception for itu_t_t35_payload_byte and user_data_payload_byte is provided because these syntax elements </w:t>
      </w:r>
      <w:r w:rsidR="00703E06" w:rsidRPr="00A52AB8">
        <w:rPr>
          <w:rFonts w:ascii="Cambria" w:hAnsi="Cambria"/>
        </w:rPr>
        <w:t xml:space="preserve">can </w:t>
      </w:r>
      <w:r w:rsidRPr="00A52AB8">
        <w:rPr>
          <w:rFonts w:ascii="Cambria" w:hAnsi="Cambria"/>
        </w:rPr>
        <w:t xml:space="preserve">contain externally-specified syntax elements, and the determination of the boundaries of such externally-specified syntax elements is a matter outside the scope of </w:t>
      </w:r>
      <w:r w:rsidR="00FD4C0B" w:rsidRPr="00A52AB8">
        <w:rPr>
          <w:rFonts w:ascii="Cambria" w:hAnsi="Cambria"/>
        </w:rPr>
        <w:t>this document</w:t>
      </w:r>
      <w:r w:rsidRPr="00A52AB8">
        <w:rPr>
          <w:rFonts w:ascii="Cambria" w:hAnsi="Cambria"/>
        </w:rPr>
        <w:t>.</w:t>
      </w:r>
    </w:p>
    <w:p w14:paraId="57B8419E" w14:textId="77777777" w:rsidR="00C42897" w:rsidRPr="00A52AB8" w:rsidRDefault="00DF5095">
      <w:r w:rsidRPr="00A52AB8">
        <w:rPr>
          <w:b/>
          <w:bCs/>
        </w:rPr>
        <w:t>byte</w:t>
      </w:r>
      <w:r w:rsidRPr="00A52AB8">
        <w:rPr>
          <w:b/>
        </w:rPr>
        <w:t>_alignment_bit_equal_to_one</w:t>
      </w:r>
      <w:r w:rsidRPr="00A52AB8">
        <w:t xml:space="preserve"> shall be equal to 1.</w:t>
      </w:r>
    </w:p>
    <w:p w14:paraId="75037CD6" w14:textId="77777777" w:rsidR="00054497" w:rsidRPr="00A52AB8" w:rsidRDefault="005A7F00">
      <w:pPr>
        <w:pStyle w:val="a3"/>
        <w:numPr>
          <w:ilvl w:val="2"/>
          <w:numId w:val="19"/>
        </w:numPr>
      </w:pPr>
      <w:bookmarkStart w:id="5534" w:name="_Toc33537400"/>
      <w:bookmarkStart w:id="5535" w:name="_Toc35408071"/>
      <w:bookmarkStart w:id="5536" w:name="_Toc33537401"/>
      <w:bookmarkStart w:id="5537" w:name="_Toc35408072"/>
      <w:bookmarkStart w:id="5538" w:name="_Toc33537402"/>
      <w:bookmarkStart w:id="5539" w:name="_Toc35408073"/>
      <w:bookmarkStart w:id="5540" w:name="_Toc33537403"/>
      <w:bookmarkStart w:id="5541" w:name="_Toc35408074"/>
      <w:bookmarkStart w:id="5542" w:name="_Toc33537404"/>
      <w:bookmarkStart w:id="5543" w:name="_Toc35408075"/>
      <w:bookmarkStart w:id="5544" w:name="_Toc33537405"/>
      <w:bookmarkStart w:id="5545" w:name="_Toc35408076"/>
      <w:bookmarkStart w:id="5546" w:name="_Toc33537406"/>
      <w:bookmarkStart w:id="5547" w:name="_Toc35408077"/>
      <w:bookmarkStart w:id="5548" w:name="_Toc33537407"/>
      <w:bookmarkStart w:id="5549" w:name="_Toc35408078"/>
      <w:bookmarkStart w:id="5550" w:name="_Toc33537408"/>
      <w:bookmarkStart w:id="5551" w:name="_Toc35408079"/>
      <w:bookmarkStart w:id="5552" w:name="_Toc33537409"/>
      <w:bookmarkStart w:id="5553" w:name="_Toc35408080"/>
      <w:bookmarkStart w:id="5554" w:name="_Toc33537410"/>
      <w:bookmarkStart w:id="5555" w:name="_Toc35408081"/>
      <w:bookmarkStart w:id="5556" w:name="_Toc33537411"/>
      <w:bookmarkStart w:id="5557" w:name="_Toc35408082"/>
      <w:bookmarkStart w:id="5558" w:name="_Toc33537412"/>
      <w:bookmarkStart w:id="5559" w:name="_Toc35408083"/>
      <w:bookmarkStart w:id="5560" w:name="_Toc33537413"/>
      <w:bookmarkStart w:id="5561" w:name="_Toc35408084"/>
      <w:bookmarkStart w:id="5562" w:name="_Toc33537414"/>
      <w:bookmarkStart w:id="5563" w:name="_Toc35408085"/>
      <w:bookmarkStart w:id="5564" w:name="_Toc33537415"/>
      <w:bookmarkStart w:id="5565" w:name="_Toc35408086"/>
      <w:bookmarkStart w:id="5566" w:name="_Toc33537416"/>
      <w:bookmarkStart w:id="5567" w:name="_Toc35408087"/>
      <w:bookmarkStart w:id="5568" w:name="_Toc33537417"/>
      <w:bookmarkStart w:id="5569" w:name="_Toc35408088"/>
      <w:bookmarkStart w:id="5570" w:name="_Toc33537418"/>
      <w:bookmarkStart w:id="5571" w:name="_Toc35408089"/>
      <w:bookmarkStart w:id="5572" w:name="_Toc33537419"/>
      <w:bookmarkStart w:id="5573" w:name="_Toc35408090"/>
      <w:bookmarkStart w:id="5574" w:name="_Toc33537420"/>
      <w:bookmarkStart w:id="5575" w:name="_Toc35408091"/>
      <w:bookmarkStart w:id="5576" w:name="_Toc33537421"/>
      <w:bookmarkStart w:id="5577" w:name="_Toc35408092"/>
      <w:bookmarkStart w:id="5578" w:name="_Toc33537422"/>
      <w:bookmarkStart w:id="5579" w:name="_Toc35408093"/>
      <w:bookmarkStart w:id="5580" w:name="_Toc33537423"/>
      <w:bookmarkStart w:id="5581" w:name="_Toc35408094"/>
      <w:bookmarkStart w:id="5582" w:name="_Toc33537424"/>
      <w:bookmarkStart w:id="5583" w:name="_Toc35408095"/>
      <w:bookmarkStart w:id="5584" w:name="_Toc33537425"/>
      <w:bookmarkStart w:id="5585" w:name="_Toc35408096"/>
      <w:bookmarkStart w:id="5586" w:name="_Toc33537426"/>
      <w:bookmarkStart w:id="5587" w:name="_Toc35408097"/>
      <w:bookmarkStart w:id="5588" w:name="_Toc24117539"/>
      <w:bookmarkStart w:id="5589" w:name="_Toc24118231"/>
      <w:bookmarkStart w:id="5590" w:name="_Toc26781903"/>
      <w:bookmarkStart w:id="5591" w:name="_Toc26872274"/>
      <w:bookmarkStart w:id="5592" w:name="_Toc29659177"/>
      <w:bookmarkStart w:id="5593" w:name="_Toc29723574"/>
      <w:bookmarkStart w:id="5594" w:name="_Toc24117540"/>
      <w:bookmarkStart w:id="5595" w:name="_Toc24118232"/>
      <w:bookmarkStart w:id="5596" w:name="_Toc26781904"/>
      <w:bookmarkStart w:id="5597" w:name="_Toc26872275"/>
      <w:bookmarkStart w:id="5598" w:name="_Toc29659178"/>
      <w:bookmarkStart w:id="5599" w:name="_Toc29723575"/>
      <w:bookmarkStart w:id="5600" w:name="_Toc49350059"/>
      <w:bookmarkStart w:id="5601" w:name="_Toc49350060"/>
      <w:bookmarkStart w:id="5602" w:name="_Toc49350061"/>
      <w:bookmarkStart w:id="5603" w:name="_Toc49350062"/>
      <w:bookmarkStart w:id="5604" w:name="_Toc49350063"/>
      <w:bookmarkStart w:id="5605" w:name="_Toc49350064"/>
      <w:bookmarkStart w:id="5606" w:name="_Toc49350065"/>
      <w:bookmarkStart w:id="5607" w:name="_Toc49350066"/>
      <w:bookmarkStart w:id="5608" w:name="_Toc49350067"/>
      <w:bookmarkStart w:id="5609" w:name="_Toc49350068"/>
      <w:bookmarkStart w:id="5610" w:name="_Toc49350069"/>
      <w:bookmarkStart w:id="5611" w:name="_Toc49350070"/>
      <w:bookmarkStart w:id="5612" w:name="_Toc49350071"/>
      <w:bookmarkStart w:id="5613" w:name="_Toc49350072"/>
      <w:bookmarkStart w:id="5614" w:name="_Toc49350073"/>
      <w:bookmarkStart w:id="5615" w:name="_Toc49350074"/>
      <w:bookmarkStart w:id="5616" w:name="_Toc49350075"/>
      <w:bookmarkStart w:id="5617" w:name="_Toc49350076"/>
      <w:bookmarkStart w:id="5618" w:name="_Ref49436122"/>
      <w:bookmarkStart w:id="5619" w:name="_Toc52181742"/>
      <w:bookmarkEnd w:id="5534"/>
      <w:bookmarkEnd w:id="5535"/>
      <w:bookmarkEnd w:id="5536"/>
      <w:bookmarkEnd w:id="5537"/>
      <w:bookmarkEnd w:id="5538"/>
      <w:bookmarkEnd w:id="5539"/>
      <w:bookmarkEnd w:id="5540"/>
      <w:bookmarkEnd w:id="5541"/>
      <w:bookmarkEnd w:id="5542"/>
      <w:bookmarkEnd w:id="5543"/>
      <w:bookmarkEnd w:id="5544"/>
      <w:bookmarkEnd w:id="5545"/>
      <w:bookmarkEnd w:id="5546"/>
      <w:bookmarkEnd w:id="5547"/>
      <w:bookmarkEnd w:id="5548"/>
      <w:bookmarkEnd w:id="5549"/>
      <w:bookmarkEnd w:id="5550"/>
      <w:bookmarkEnd w:id="5551"/>
      <w:bookmarkEnd w:id="5552"/>
      <w:bookmarkEnd w:id="5553"/>
      <w:bookmarkEnd w:id="5554"/>
      <w:bookmarkEnd w:id="5555"/>
      <w:bookmarkEnd w:id="5556"/>
      <w:bookmarkEnd w:id="5557"/>
      <w:bookmarkEnd w:id="5558"/>
      <w:bookmarkEnd w:id="5559"/>
      <w:bookmarkEnd w:id="5560"/>
      <w:bookmarkEnd w:id="5561"/>
      <w:bookmarkEnd w:id="5562"/>
      <w:bookmarkEnd w:id="5563"/>
      <w:bookmarkEnd w:id="5564"/>
      <w:bookmarkEnd w:id="5565"/>
      <w:bookmarkEnd w:id="5566"/>
      <w:bookmarkEnd w:id="5567"/>
      <w:bookmarkEnd w:id="5568"/>
      <w:bookmarkEnd w:id="5569"/>
      <w:bookmarkEnd w:id="5570"/>
      <w:bookmarkEnd w:id="5571"/>
      <w:bookmarkEnd w:id="5572"/>
      <w:bookmarkEnd w:id="5573"/>
      <w:bookmarkEnd w:id="5574"/>
      <w:bookmarkEnd w:id="5575"/>
      <w:bookmarkEnd w:id="5576"/>
      <w:bookmarkEnd w:id="5577"/>
      <w:bookmarkEnd w:id="5578"/>
      <w:bookmarkEnd w:id="5579"/>
      <w:bookmarkEnd w:id="5580"/>
      <w:bookmarkEnd w:id="5581"/>
      <w:bookmarkEnd w:id="5582"/>
      <w:bookmarkEnd w:id="5583"/>
      <w:bookmarkEnd w:id="5584"/>
      <w:bookmarkEnd w:id="5585"/>
      <w:bookmarkEnd w:id="5586"/>
      <w:bookmarkEnd w:id="5587"/>
      <w:bookmarkEnd w:id="5588"/>
      <w:bookmarkEnd w:id="5589"/>
      <w:bookmarkEnd w:id="5590"/>
      <w:bookmarkEnd w:id="5591"/>
      <w:bookmarkEnd w:id="5592"/>
      <w:bookmarkEnd w:id="5593"/>
      <w:bookmarkEnd w:id="5594"/>
      <w:bookmarkEnd w:id="5595"/>
      <w:bookmarkEnd w:id="5596"/>
      <w:bookmarkEnd w:id="5597"/>
      <w:bookmarkEnd w:id="5598"/>
      <w:bookmarkEnd w:id="5599"/>
      <w:bookmarkEnd w:id="5600"/>
      <w:bookmarkEnd w:id="5601"/>
      <w:bookmarkEnd w:id="5602"/>
      <w:bookmarkEnd w:id="5603"/>
      <w:bookmarkEnd w:id="5604"/>
      <w:bookmarkEnd w:id="5605"/>
      <w:bookmarkEnd w:id="5606"/>
      <w:bookmarkEnd w:id="5607"/>
      <w:bookmarkEnd w:id="5608"/>
      <w:bookmarkEnd w:id="5609"/>
      <w:bookmarkEnd w:id="5610"/>
      <w:bookmarkEnd w:id="5611"/>
      <w:bookmarkEnd w:id="5612"/>
      <w:bookmarkEnd w:id="5613"/>
      <w:bookmarkEnd w:id="5614"/>
      <w:bookmarkEnd w:id="5615"/>
      <w:bookmarkEnd w:id="5616"/>
      <w:bookmarkEnd w:id="5617"/>
      <w:r w:rsidRPr="00A52AB8">
        <w:t xml:space="preserve">Active </w:t>
      </w:r>
      <w:r w:rsidR="00943C50" w:rsidRPr="00A52AB8">
        <w:t>sub-bitstreams</w:t>
      </w:r>
      <w:r w:rsidRPr="00A52AB8">
        <w:t xml:space="preserve"> </w:t>
      </w:r>
      <w:r w:rsidR="00054497" w:rsidRPr="00A52AB8">
        <w:t>SEI message semantics</w:t>
      </w:r>
      <w:bookmarkEnd w:id="5618"/>
      <w:bookmarkEnd w:id="5619"/>
    </w:p>
    <w:p w14:paraId="395B5A4D" w14:textId="637214BC" w:rsidR="0050235C" w:rsidRPr="00A52AB8" w:rsidRDefault="005A7F00">
      <w:pPr>
        <w:rPr>
          <w:lang w:eastAsia="ja-JP"/>
        </w:rPr>
      </w:pPr>
      <w:r w:rsidRPr="00A52AB8">
        <w:rPr>
          <w:lang w:eastAsia="ja-JP"/>
        </w:rPr>
        <w:t xml:space="preserve">This SEI message informs the </w:t>
      </w:r>
      <w:r w:rsidR="00134F81" w:rsidRPr="00A52AB8">
        <w:rPr>
          <w:lang w:eastAsia="ja-JP"/>
        </w:rPr>
        <w:t>V3C</w:t>
      </w:r>
      <w:r w:rsidRPr="00A52AB8">
        <w:rPr>
          <w:lang w:eastAsia="ja-JP"/>
        </w:rPr>
        <w:t xml:space="preserve"> decoder which attributes and/or </w:t>
      </w:r>
      <w:r w:rsidR="00384C78" w:rsidRPr="00A52AB8">
        <w:rPr>
          <w:lang w:eastAsia="ja-JP"/>
        </w:rPr>
        <w:t>map</w:t>
      </w:r>
      <w:r w:rsidRPr="00A52AB8">
        <w:rPr>
          <w:lang w:eastAsia="ja-JP"/>
        </w:rPr>
        <w:t xml:space="preserve">s are not available and can therefore be skipped in the decoding process. Similarly, it can also inform the decoder that </w:t>
      </w:r>
      <w:r w:rsidR="00DD7BC8" w:rsidRPr="00A52AB8">
        <w:rPr>
          <w:lang w:eastAsia="ja-JP"/>
        </w:rPr>
        <w:t>auxiliary sub-bitstream</w:t>
      </w:r>
      <w:r w:rsidRPr="00A52AB8">
        <w:rPr>
          <w:lang w:eastAsia="ja-JP"/>
        </w:rPr>
        <w:t xml:space="preserve"> are not available. This is done by signal</w:t>
      </w:r>
      <w:r w:rsidR="006B0BA3" w:rsidRPr="00A52AB8">
        <w:rPr>
          <w:lang w:eastAsia="ja-JP"/>
        </w:rPr>
        <w:t>l</w:t>
      </w:r>
      <w:r w:rsidRPr="00A52AB8">
        <w:rPr>
          <w:lang w:eastAsia="ja-JP"/>
        </w:rPr>
        <w:t>ing changes to active attributes/</w:t>
      </w:r>
      <w:r w:rsidR="00384C78" w:rsidRPr="00A52AB8">
        <w:rPr>
          <w:lang w:eastAsia="ja-JP"/>
        </w:rPr>
        <w:t>map</w:t>
      </w:r>
      <w:r w:rsidRPr="00A52AB8">
        <w:rPr>
          <w:lang w:eastAsia="ja-JP"/>
        </w:rPr>
        <w:t xml:space="preserve">s and whether </w:t>
      </w:r>
      <w:r w:rsidR="00EC41F3" w:rsidRPr="00A52AB8">
        <w:rPr>
          <w:lang w:eastAsia="ja-JP"/>
        </w:rPr>
        <w:t xml:space="preserve">the </w:t>
      </w:r>
      <w:r w:rsidR="004B7BC0" w:rsidRPr="00A52AB8">
        <w:rPr>
          <w:lang w:eastAsia="ja-JP"/>
        </w:rPr>
        <w:t>auxiliary sub-bitstream</w:t>
      </w:r>
      <w:r w:rsidR="00EC41F3" w:rsidRPr="00A52AB8">
        <w:rPr>
          <w:lang w:eastAsia="ja-JP"/>
        </w:rPr>
        <w:t>s</w:t>
      </w:r>
      <w:r w:rsidRPr="00A52AB8">
        <w:rPr>
          <w:lang w:eastAsia="ja-JP"/>
        </w:rPr>
        <w:t xml:space="preserve"> are active or not. An active </w:t>
      </w:r>
      <w:r w:rsidR="00943C50" w:rsidRPr="00A52AB8">
        <w:rPr>
          <w:lang w:eastAsia="ja-JP"/>
        </w:rPr>
        <w:t>sub-bitstreams</w:t>
      </w:r>
      <w:r w:rsidRPr="00A52AB8">
        <w:rPr>
          <w:lang w:eastAsia="ja-JP"/>
        </w:rPr>
        <w:t xml:space="preserve"> SEI message references a specific </w:t>
      </w:r>
      <w:r w:rsidR="005C20E4" w:rsidRPr="00A52AB8">
        <w:rPr>
          <w:lang w:eastAsia="ja-JP"/>
        </w:rPr>
        <w:t>V3C</w:t>
      </w:r>
      <w:r w:rsidRPr="00A52AB8">
        <w:rPr>
          <w:lang w:eastAsia="ja-JP"/>
        </w:rPr>
        <w:t xml:space="preserve"> parameter set. When only a sub-set of the attributes/</w:t>
      </w:r>
      <w:r w:rsidR="00384C78" w:rsidRPr="00A52AB8">
        <w:rPr>
          <w:lang w:eastAsia="ja-JP"/>
        </w:rPr>
        <w:t>map</w:t>
      </w:r>
      <w:r w:rsidRPr="00A52AB8">
        <w:rPr>
          <w:lang w:eastAsia="ja-JP"/>
        </w:rPr>
        <w:t>s shall be active, the SEI message contains the attribute/</w:t>
      </w:r>
      <w:r w:rsidR="00384C78" w:rsidRPr="00A52AB8">
        <w:rPr>
          <w:lang w:eastAsia="ja-JP"/>
        </w:rPr>
        <w:t>map</w:t>
      </w:r>
      <w:r w:rsidRPr="00A52AB8">
        <w:rPr>
          <w:lang w:eastAsia="ja-JP"/>
        </w:rPr>
        <w:t xml:space="preserve"> indices for these attributes/</w:t>
      </w:r>
      <w:r w:rsidR="00384C78" w:rsidRPr="00A52AB8">
        <w:rPr>
          <w:lang w:eastAsia="ja-JP"/>
        </w:rPr>
        <w:t>map</w:t>
      </w:r>
      <w:r w:rsidRPr="00A52AB8">
        <w:rPr>
          <w:lang w:eastAsia="ja-JP"/>
        </w:rPr>
        <w:t xml:space="preserve">s. A </w:t>
      </w:r>
      <w:r w:rsidR="005C20E4" w:rsidRPr="00A52AB8">
        <w:rPr>
          <w:lang w:eastAsia="ja-JP"/>
        </w:rPr>
        <w:t>V3C</w:t>
      </w:r>
      <w:r w:rsidRPr="00A52AB8">
        <w:rPr>
          <w:lang w:eastAsia="ja-JP"/>
        </w:rPr>
        <w:t xml:space="preserve"> decoder shall consider any other attributes/</w:t>
      </w:r>
      <w:r w:rsidR="00384C78" w:rsidRPr="00A52AB8">
        <w:rPr>
          <w:lang w:eastAsia="ja-JP"/>
        </w:rPr>
        <w:t>map</w:t>
      </w:r>
      <w:r w:rsidRPr="00A52AB8">
        <w:rPr>
          <w:lang w:eastAsia="ja-JP"/>
        </w:rPr>
        <w:t xml:space="preserve">s in the referenced </w:t>
      </w:r>
      <w:r w:rsidR="00B20F5B" w:rsidRPr="00A52AB8">
        <w:rPr>
          <w:lang w:eastAsia="ja-JP"/>
        </w:rPr>
        <w:t>VPS</w:t>
      </w:r>
      <w:r w:rsidRPr="00A52AB8">
        <w:rPr>
          <w:lang w:eastAsia="ja-JP"/>
        </w:rPr>
        <w:t xml:space="preserve"> that are not listed in the SEI message as inactive and skip them in the decoding and/or rendering process.</w:t>
      </w:r>
    </w:p>
    <w:p w14:paraId="6E520868" w14:textId="21A787D9" w:rsidR="00B77A57" w:rsidRPr="00A52AB8" w:rsidRDefault="00B77A57" w:rsidP="00D451D4">
      <w:pPr>
        <w:pStyle w:val="Note1"/>
        <w:rPr>
          <w:rFonts w:ascii="Cambria" w:hAnsi="Cambria"/>
        </w:rPr>
      </w:pPr>
      <w:r w:rsidRPr="00A52AB8">
        <w:rPr>
          <w:rFonts w:ascii="Cambria" w:hAnsi="Cambria"/>
        </w:rPr>
        <w:t>NOTE – </w:t>
      </w:r>
      <w:r w:rsidR="005D663B" w:rsidRPr="00A52AB8">
        <w:rPr>
          <w:rFonts w:ascii="Cambria" w:hAnsi="Cambria"/>
        </w:rPr>
        <w:t>The active sub-bitstreams SEI message allows the possibility of enabling only a subset of attributes and subset of maps to be active at any given time</w:t>
      </w:r>
      <w:r w:rsidRPr="00A52AB8">
        <w:rPr>
          <w:rFonts w:ascii="Cambria" w:hAnsi="Cambria"/>
        </w:rPr>
        <w:t>.</w:t>
      </w:r>
    </w:p>
    <w:p w14:paraId="21338087" w14:textId="6E792A5E" w:rsidR="00CF619E" w:rsidRPr="00A52AB8" w:rsidRDefault="005A7F00">
      <w:pPr>
        <w:rPr>
          <w:lang w:eastAsia="ja-JP"/>
        </w:rPr>
      </w:pPr>
      <w:r w:rsidRPr="00A52AB8">
        <w:rPr>
          <w:lang w:eastAsia="ja-JP"/>
        </w:rPr>
        <w:t>The persistence scope for this SEI message is the remainder of the bitstream (i.e., the signa</w:t>
      </w:r>
      <w:r w:rsidR="00985B55" w:rsidRPr="00A52AB8">
        <w:rPr>
          <w:lang w:eastAsia="ja-JP"/>
        </w:rPr>
        <w:t>l</w:t>
      </w:r>
      <w:r w:rsidRPr="00A52AB8">
        <w:rPr>
          <w:lang w:eastAsia="ja-JP"/>
        </w:rPr>
        <w:t xml:space="preserve">led active attributes persist until the end of the stream) or when a new active attributes SEI message is encountered. </w:t>
      </w:r>
      <w:r w:rsidR="00C93AC2" w:rsidRPr="00A52AB8">
        <w:rPr>
          <w:lang w:eastAsia="ja-JP"/>
        </w:rPr>
        <w:t xml:space="preserve">Previously defined parameters from an earlier SEI message shall persist if not modified and if the value of asb_active_sub_bitstream_cancel_flag is not equal to 1. </w:t>
      </w:r>
      <w:r w:rsidRPr="00A52AB8">
        <w:rPr>
          <w:lang w:eastAsia="ja-JP"/>
        </w:rPr>
        <w:t>This SEI message should not be ignored by the decoder.</w:t>
      </w:r>
    </w:p>
    <w:p w14:paraId="4FD68585" w14:textId="77777777" w:rsidR="005A7F00" w:rsidRPr="00A52AB8" w:rsidRDefault="005A7F00">
      <w:pPr>
        <w:rPr>
          <w:lang w:eastAsia="ja-JP"/>
        </w:rPr>
      </w:pPr>
      <w:r w:rsidRPr="00A52AB8">
        <w:rPr>
          <w:lang w:eastAsia="ja-JP"/>
        </w:rPr>
        <w:t xml:space="preserve">The semantics of the fields of the active </w:t>
      </w:r>
      <w:r w:rsidR="00943C50" w:rsidRPr="00A52AB8">
        <w:rPr>
          <w:lang w:eastAsia="ja-JP"/>
        </w:rPr>
        <w:t>sub-bitstreams</w:t>
      </w:r>
      <w:r w:rsidRPr="00A52AB8">
        <w:rPr>
          <w:lang w:eastAsia="ja-JP"/>
        </w:rPr>
        <w:t xml:space="preserve"> SEI message are as follows:</w:t>
      </w:r>
    </w:p>
    <w:p w14:paraId="73CD2E48" w14:textId="41E287E2" w:rsidR="00011283" w:rsidRPr="00A52AB8" w:rsidRDefault="00011283">
      <w:pPr>
        <w:rPr>
          <w:bCs/>
          <w:lang w:eastAsia="ja-JP"/>
        </w:rPr>
      </w:pPr>
      <w:r w:rsidRPr="00A52AB8">
        <w:rPr>
          <w:b/>
          <w:lang w:eastAsia="ja-JP"/>
        </w:rPr>
        <w:t xml:space="preserve">asb_active_sub_bitstream_cancel_flag </w:t>
      </w:r>
      <w:r w:rsidRPr="00A52AB8">
        <w:rPr>
          <w:bCs/>
          <w:lang w:eastAsia="ja-JP"/>
        </w:rPr>
        <w:t>equal to 1 indicates that all sub-bitstreams are active. asb_active_sub_bitstream_cancel_flag equal to 0 indicates that some sub</w:t>
      </w:r>
      <w:r w:rsidR="00D24766" w:rsidRPr="00A52AB8">
        <w:rPr>
          <w:bCs/>
          <w:lang w:eastAsia="ja-JP"/>
        </w:rPr>
        <w:t>-</w:t>
      </w:r>
      <w:r w:rsidRPr="00A52AB8">
        <w:rPr>
          <w:bCs/>
          <w:lang w:eastAsia="ja-JP"/>
        </w:rPr>
        <w:t>bitstreams may not be active.</w:t>
      </w:r>
    </w:p>
    <w:p w14:paraId="2F16FE91" w14:textId="77777777" w:rsidR="0050235C" w:rsidRPr="00A52AB8" w:rsidRDefault="00011283">
      <w:pPr>
        <w:rPr>
          <w:lang w:eastAsia="ja-JP"/>
        </w:rPr>
      </w:pPr>
      <w:r w:rsidRPr="00A52AB8">
        <w:rPr>
          <w:b/>
          <w:lang w:eastAsia="ja-JP"/>
        </w:rPr>
        <w:t>asb_</w:t>
      </w:r>
      <w:r w:rsidR="005A7F00" w:rsidRPr="00A52AB8">
        <w:rPr>
          <w:b/>
          <w:lang w:eastAsia="ja-JP"/>
        </w:rPr>
        <w:t>active_attributes_changes_flag</w:t>
      </w:r>
      <w:r w:rsidR="005A7F00" w:rsidRPr="00A52AB8">
        <w:rPr>
          <w:lang w:eastAsia="ja-JP"/>
        </w:rPr>
        <w:t xml:space="preserve"> indicates whether there are activation changes for any of the attribute</w:t>
      </w:r>
      <w:r w:rsidRPr="00A52AB8">
        <w:rPr>
          <w:lang w:eastAsia="ja-JP"/>
        </w:rPr>
        <w:t xml:space="preserve"> </w:t>
      </w:r>
      <w:r w:rsidR="005A7F00" w:rsidRPr="00A52AB8">
        <w:rPr>
          <w:lang w:eastAsia="ja-JP"/>
        </w:rPr>
        <w:t>s</w:t>
      </w:r>
      <w:r w:rsidRPr="00A52AB8">
        <w:rPr>
          <w:lang w:eastAsia="ja-JP"/>
        </w:rPr>
        <w:t>ub-bitstreams</w:t>
      </w:r>
      <w:r w:rsidR="005A7F00" w:rsidRPr="00A52AB8">
        <w:rPr>
          <w:lang w:eastAsia="ja-JP"/>
        </w:rPr>
        <w:t xml:space="preserve"> of the </w:t>
      </w:r>
      <w:r w:rsidR="005C20E4" w:rsidRPr="00A52AB8">
        <w:rPr>
          <w:lang w:eastAsia="ja-JP"/>
        </w:rPr>
        <w:t>V3C</w:t>
      </w:r>
      <w:r w:rsidR="005A7F00" w:rsidRPr="00A52AB8">
        <w:rPr>
          <w:lang w:eastAsia="ja-JP"/>
        </w:rPr>
        <w:t xml:space="preserve"> stream. </w:t>
      </w:r>
      <w:r w:rsidRPr="00A52AB8">
        <w:rPr>
          <w:bCs/>
          <w:lang w:eastAsia="ja-JP"/>
        </w:rPr>
        <w:t>asb_active_attributes_changes_flag</w:t>
      </w:r>
      <w:r w:rsidRPr="00A52AB8">
        <w:rPr>
          <w:lang w:eastAsia="ja-JP"/>
        </w:rPr>
        <w:t xml:space="preserve"> equal to 1</w:t>
      </w:r>
      <w:r w:rsidR="005A7F00" w:rsidRPr="00A52AB8">
        <w:rPr>
          <w:lang w:eastAsia="ja-JP"/>
        </w:rPr>
        <w:t xml:space="preserve"> indicates an activation change for at least one attribute</w:t>
      </w:r>
      <w:r w:rsidRPr="00A52AB8">
        <w:rPr>
          <w:lang w:eastAsia="ja-JP"/>
        </w:rPr>
        <w:t xml:space="preserve"> and its associated sub-bitstreams</w:t>
      </w:r>
      <w:r w:rsidR="005A7F00" w:rsidRPr="00A52AB8">
        <w:rPr>
          <w:lang w:eastAsia="ja-JP"/>
        </w:rPr>
        <w:t xml:space="preserve">. </w:t>
      </w:r>
      <w:r w:rsidRPr="00A52AB8">
        <w:rPr>
          <w:bCs/>
          <w:lang w:eastAsia="ja-JP"/>
        </w:rPr>
        <w:t>asb_active_attributes_changes_flag</w:t>
      </w:r>
      <w:r w:rsidRPr="00A52AB8">
        <w:rPr>
          <w:lang w:eastAsia="ja-JP"/>
        </w:rPr>
        <w:t xml:space="preserve"> equal to </w:t>
      </w:r>
      <w:r w:rsidR="005A7F00" w:rsidRPr="00A52AB8">
        <w:rPr>
          <w:lang w:eastAsia="ja-JP"/>
        </w:rPr>
        <w:t>0 indicates no changes.</w:t>
      </w:r>
    </w:p>
    <w:p w14:paraId="33D87A73" w14:textId="00A40315" w:rsidR="005A7F00" w:rsidRPr="00A52AB8" w:rsidRDefault="00011283">
      <w:pPr>
        <w:rPr>
          <w:lang w:eastAsia="ja-JP"/>
        </w:rPr>
      </w:pPr>
      <w:r w:rsidRPr="00A52AB8">
        <w:rPr>
          <w:b/>
          <w:lang w:eastAsia="ja-JP"/>
        </w:rPr>
        <w:t>asb_</w:t>
      </w:r>
      <w:r w:rsidR="005A7F00" w:rsidRPr="00A52AB8">
        <w:rPr>
          <w:b/>
          <w:lang w:eastAsia="ja-JP"/>
        </w:rPr>
        <w:t>active_</w:t>
      </w:r>
      <w:r w:rsidR="004E59D7" w:rsidRPr="00A52AB8">
        <w:rPr>
          <w:b/>
          <w:lang w:eastAsia="ja-JP"/>
        </w:rPr>
        <w:t>map</w:t>
      </w:r>
      <w:r w:rsidR="005A7F00" w:rsidRPr="00A52AB8">
        <w:rPr>
          <w:b/>
          <w:lang w:eastAsia="ja-JP"/>
        </w:rPr>
        <w:t>s_changes_flag</w:t>
      </w:r>
      <w:r w:rsidR="005A7F00" w:rsidRPr="00A52AB8">
        <w:rPr>
          <w:lang w:eastAsia="ja-JP"/>
        </w:rPr>
        <w:t xml:space="preserve"> indicates whether there are activation changes for any of the </w:t>
      </w:r>
      <w:r w:rsidR="005C20E4" w:rsidRPr="00A52AB8">
        <w:rPr>
          <w:lang w:eastAsia="ja-JP"/>
        </w:rPr>
        <w:t>V3C</w:t>
      </w:r>
      <w:r w:rsidR="005A7F00" w:rsidRPr="00A52AB8">
        <w:rPr>
          <w:lang w:eastAsia="ja-JP"/>
        </w:rPr>
        <w:t xml:space="preserve"> </w:t>
      </w:r>
      <w:r w:rsidR="004E59D7" w:rsidRPr="00A52AB8">
        <w:rPr>
          <w:lang w:eastAsia="ja-JP"/>
        </w:rPr>
        <w:t>map</w:t>
      </w:r>
      <w:r w:rsidRPr="00A52AB8">
        <w:rPr>
          <w:lang w:eastAsia="ja-JP"/>
        </w:rPr>
        <w:t xml:space="preserve"> </w:t>
      </w:r>
      <w:r w:rsidR="005A7F00" w:rsidRPr="00A52AB8">
        <w:rPr>
          <w:lang w:eastAsia="ja-JP"/>
        </w:rPr>
        <w:t>s</w:t>
      </w:r>
      <w:r w:rsidRPr="00A52AB8">
        <w:rPr>
          <w:lang w:eastAsia="ja-JP"/>
        </w:rPr>
        <w:t>ub-bitstreams</w:t>
      </w:r>
      <w:r w:rsidR="005A7F00" w:rsidRPr="00A52AB8">
        <w:rPr>
          <w:lang w:eastAsia="ja-JP"/>
        </w:rPr>
        <w:t xml:space="preserve">. </w:t>
      </w:r>
      <w:r w:rsidR="00C93AC2" w:rsidRPr="00A52AB8">
        <w:rPr>
          <w:bCs/>
          <w:lang w:eastAsia="ja-JP"/>
        </w:rPr>
        <w:t>asb_active_maps_changes_flag</w:t>
      </w:r>
      <w:r w:rsidR="00C93AC2" w:rsidRPr="00A52AB8">
        <w:rPr>
          <w:lang w:eastAsia="ja-JP"/>
        </w:rPr>
        <w:t xml:space="preserve"> equal to </w:t>
      </w:r>
      <w:r w:rsidR="005A7F00" w:rsidRPr="00A52AB8">
        <w:rPr>
          <w:lang w:eastAsia="ja-JP"/>
        </w:rPr>
        <w:t xml:space="preserve">1 indicates an activation change for at least one </w:t>
      </w:r>
      <w:r w:rsidR="004E59D7" w:rsidRPr="00A52AB8">
        <w:rPr>
          <w:lang w:eastAsia="ja-JP"/>
        </w:rPr>
        <w:t>map</w:t>
      </w:r>
      <w:r w:rsidRPr="00A52AB8">
        <w:rPr>
          <w:lang w:eastAsia="ja-JP"/>
        </w:rPr>
        <w:t xml:space="preserve"> and its associated sub-bitstreams</w:t>
      </w:r>
      <w:r w:rsidR="005A7F00" w:rsidRPr="00A52AB8">
        <w:rPr>
          <w:lang w:eastAsia="ja-JP"/>
        </w:rPr>
        <w:t xml:space="preserve">. </w:t>
      </w:r>
      <w:r w:rsidR="00C93AC2" w:rsidRPr="00A52AB8">
        <w:rPr>
          <w:bCs/>
          <w:lang w:eastAsia="ja-JP"/>
        </w:rPr>
        <w:t>asb_active_maps_changes_flag</w:t>
      </w:r>
      <w:r w:rsidR="00C93AC2" w:rsidRPr="00A52AB8">
        <w:rPr>
          <w:lang w:eastAsia="ja-JP"/>
        </w:rPr>
        <w:t xml:space="preserve"> equal to </w:t>
      </w:r>
      <w:r w:rsidR="005A7F00" w:rsidRPr="00A52AB8">
        <w:rPr>
          <w:lang w:eastAsia="ja-JP"/>
        </w:rPr>
        <w:t>0 indicates no changes.</w:t>
      </w:r>
    </w:p>
    <w:p w14:paraId="12DE5291" w14:textId="77777777" w:rsidR="005A7F00" w:rsidRPr="00A52AB8" w:rsidRDefault="00C93AC2">
      <w:pPr>
        <w:rPr>
          <w:lang w:eastAsia="ja-JP"/>
        </w:rPr>
      </w:pPr>
      <w:r w:rsidRPr="00A52AB8">
        <w:rPr>
          <w:b/>
          <w:lang w:eastAsia="ja-JP"/>
        </w:rPr>
        <w:t>asb_</w:t>
      </w:r>
      <w:r w:rsidR="00943C50" w:rsidRPr="00A52AB8">
        <w:rPr>
          <w:b/>
          <w:lang w:eastAsia="ja-JP"/>
        </w:rPr>
        <w:t>auxiliary</w:t>
      </w:r>
      <w:r w:rsidR="005A7F00" w:rsidRPr="00A52AB8">
        <w:rPr>
          <w:b/>
          <w:lang w:eastAsia="ja-JP"/>
        </w:rPr>
        <w:t>_sub</w:t>
      </w:r>
      <w:r w:rsidR="00943C50" w:rsidRPr="00A52AB8">
        <w:rPr>
          <w:b/>
          <w:lang w:eastAsia="ja-JP"/>
        </w:rPr>
        <w:t>_bit</w:t>
      </w:r>
      <w:r w:rsidR="005A7F00" w:rsidRPr="00A52AB8">
        <w:rPr>
          <w:b/>
          <w:lang w:eastAsia="ja-JP"/>
        </w:rPr>
        <w:t>streams_active_flag</w:t>
      </w:r>
      <w:r w:rsidR="005A7F00" w:rsidRPr="00A52AB8">
        <w:rPr>
          <w:lang w:eastAsia="ja-JP"/>
        </w:rPr>
        <w:t xml:space="preserve"> indicates whether the </w:t>
      </w:r>
      <w:r w:rsidR="00943C50" w:rsidRPr="00A52AB8">
        <w:rPr>
          <w:lang w:eastAsia="ja-JP"/>
        </w:rPr>
        <w:t>auxiliary</w:t>
      </w:r>
      <w:r w:rsidR="005A7F00" w:rsidRPr="00A52AB8">
        <w:rPr>
          <w:lang w:eastAsia="ja-JP"/>
        </w:rPr>
        <w:t xml:space="preserve"> sub</w:t>
      </w:r>
      <w:r w:rsidR="00943C50" w:rsidRPr="00A52AB8">
        <w:rPr>
          <w:lang w:eastAsia="ja-JP"/>
        </w:rPr>
        <w:t>-bit</w:t>
      </w:r>
      <w:r w:rsidR="005A7F00" w:rsidRPr="00A52AB8">
        <w:rPr>
          <w:lang w:eastAsia="ja-JP"/>
        </w:rPr>
        <w:t xml:space="preserve">streams for the geometry and all attributes are active or not. </w:t>
      </w:r>
      <w:r w:rsidRPr="00A52AB8">
        <w:rPr>
          <w:bCs/>
          <w:lang w:eastAsia="ja-JP"/>
        </w:rPr>
        <w:t>asb_auxiliary_sub_bitstreams_active_flag</w:t>
      </w:r>
      <w:r w:rsidRPr="00A52AB8">
        <w:rPr>
          <w:lang w:eastAsia="ja-JP"/>
        </w:rPr>
        <w:t xml:space="preserve"> equal to </w:t>
      </w:r>
      <w:r w:rsidR="005A7F00" w:rsidRPr="00A52AB8">
        <w:rPr>
          <w:lang w:eastAsia="ja-JP"/>
        </w:rPr>
        <w:t>1 indicates that such sub</w:t>
      </w:r>
      <w:r w:rsidR="00943C50" w:rsidRPr="00A52AB8">
        <w:rPr>
          <w:lang w:eastAsia="ja-JP"/>
        </w:rPr>
        <w:t>-bit</w:t>
      </w:r>
      <w:r w:rsidR="005A7F00" w:rsidRPr="00A52AB8">
        <w:rPr>
          <w:lang w:eastAsia="ja-JP"/>
        </w:rPr>
        <w:t>streams are active.</w:t>
      </w:r>
      <w:r w:rsidRPr="00A52AB8">
        <w:rPr>
          <w:bCs/>
          <w:lang w:eastAsia="ja-JP"/>
        </w:rPr>
        <w:t xml:space="preserve"> asb_auxiliary_sub_bitstreams_active_flag</w:t>
      </w:r>
      <w:r w:rsidRPr="00A52AB8">
        <w:rPr>
          <w:lang w:eastAsia="ja-JP"/>
        </w:rPr>
        <w:t xml:space="preserve"> equal to 0 indicates that such sub-bitstreams are not active.</w:t>
      </w:r>
    </w:p>
    <w:p w14:paraId="76122E68" w14:textId="2F13D7CD" w:rsidR="005A7F00" w:rsidRPr="00A52AB8" w:rsidRDefault="00C93AC2">
      <w:pPr>
        <w:rPr>
          <w:lang w:eastAsia="ja-JP"/>
        </w:rPr>
      </w:pPr>
      <w:r w:rsidRPr="00A52AB8">
        <w:rPr>
          <w:b/>
          <w:lang w:eastAsia="ja-JP"/>
        </w:rPr>
        <w:t>asb_</w:t>
      </w:r>
      <w:r w:rsidR="005A7F00" w:rsidRPr="00A52AB8">
        <w:rPr>
          <w:b/>
          <w:lang w:eastAsia="ja-JP"/>
        </w:rPr>
        <w:t>all_attributes_active_flag</w:t>
      </w:r>
      <w:r w:rsidR="005A7F00" w:rsidRPr="00A52AB8">
        <w:rPr>
          <w:lang w:eastAsia="ja-JP"/>
        </w:rPr>
        <w:t xml:space="preserve"> indicates whether all the attributes signa</w:t>
      </w:r>
      <w:r w:rsidR="00985B55" w:rsidRPr="00A52AB8">
        <w:rPr>
          <w:lang w:eastAsia="ja-JP"/>
        </w:rPr>
        <w:t>l</w:t>
      </w:r>
      <w:r w:rsidR="005A7F00" w:rsidRPr="00A52AB8">
        <w:rPr>
          <w:lang w:eastAsia="ja-JP"/>
        </w:rPr>
        <w:t xml:space="preserve">led in the referenced </w:t>
      </w:r>
      <w:r w:rsidR="00B20F5B" w:rsidRPr="00A52AB8">
        <w:rPr>
          <w:lang w:eastAsia="ja-JP"/>
        </w:rPr>
        <w:t>VPS</w:t>
      </w:r>
      <w:r w:rsidR="005A7F00" w:rsidRPr="00A52AB8">
        <w:rPr>
          <w:lang w:eastAsia="ja-JP"/>
        </w:rPr>
        <w:t xml:space="preserve"> shall be active. </w:t>
      </w:r>
      <w:r w:rsidRPr="00A52AB8">
        <w:rPr>
          <w:bCs/>
          <w:lang w:eastAsia="ja-JP"/>
        </w:rPr>
        <w:t>asb_all_attributes_active_flag</w:t>
      </w:r>
      <w:r w:rsidRPr="00A52AB8">
        <w:rPr>
          <w:lang w:eastAsia="ja-JP"/>
        </w:rPr>
        <w:t xml:space="preserve"> equal to </w:t>
      </w:r>
      <w:r w:rsidR="005A7F00" w:rsidRPr="00A52AB8">
        <w:rPr>
          <w:lang w:eastAsia="ja-JP"/>
        </w:rPr>
        <w:t>1 indicates that all attributes</w:t>
      </w:r>
      <w:r w:rsidRPr="00A52AB8">
        <w:rPr>
          <w:lang w:eastAsia="ja-JP"/>
        </w:rPr>
        <w:t xml:space="preserve"> </w:t>
      </w:r>
      <w:r w:rsidR="005A7F00" w:rsidRPr="00A52AB8">
        <w:rPr>
          <w:lang w:eastAsia="ja-JP"/>
        </w:rPr>
        <w:t xml:space="preserve">shall be active. </w:t>
      </w:r>
      <w:r w:rsidRPr="00A52AB8">
        <w:rPr>
          <w:bCs/>
          <w:lang w:eastAsia="ja-JP"/>
        </w:rPr>
        <w:t>asb_all_attributes_active_flag</w:t>
      </w:r>
      <w:r w:rsidRPr="00A52AB8">
        <w:rPr>
          <w:lang w:eastAsia="ja-JP"/>
        </w:rPr>
        <w:t xml:space="preserve"> equal to </w:t>
      </w:r>
      <w:r w:rsidR="005A7F00" w:rsidRPr="00A52AB8">
        <w:rPr>
          <w:lang w:eastAsia="ja-JP"/>
        </w:rPr>
        <w:t xml:space="preserve">0 indicates that only a sub-set of the attributes </w:t>
      </w:r>
      <w:r w:rsidRPr="00A52AB8">
        <w:rPr>
          <w:lang w:eastAsia="ja-JP"/>
        </w:rPr>
        <w:t xml:space="preserve">may </w:t>
      </w:r>
      <w:r w:rsidR="005A7F00" w:rsidRPr="00A52AB8">
        <w:rPr>
          <w:lang w:eastAsia="ja-JP"/>
        </w:rPr>
        <w:t>be active.</w:t>
      </w:r>
    </w:p>
    <w:p w14:paraId="328B52A7" w14:textId="274AA931" w:rsidR="005A7F00" w:rsidRPr="00A52AB8" w:rsidRDefault="00C93AC2">
      <w:pPr>
        <w:rPr>
          <w:lang w:eastAsia="ja-JP"/>
        </w:rPr>
      </w:pPr>
      <w:r w:rsidRPr="00A52AB8">
        <w:rPr>
          <w:b/>
          <w:lang w:eastAsia="ja-JP"/>
        </w:rPr>
        <w:t>asb_</w:t>
      </w:r>
      <w:r w:rsidR="005A7F00" w:rsidRPr="00A52AB8">
        <w:rPr>
          <w:b/>
          <w:lang w:eastAsia="ja-JP"/>
        </w:rPr>
        <w:t>active_attribute_count_minus1</w:t>
      </w:r>
      <w:r w:rsidR="005A7F00" w:rsidRPr="00A52AB8">
        <w:rPr>
          <w:lang w:eastAsia="ja-JP"/>
        </w:rPr>
        <w:t xml:space="preserve"> plus 1 indicates the number of active attributes signa</w:t>
      </w:r>
      <w:r w:rsidR="00985B55" w:rsidRPr="00A52AB8">
        <w:rPr>
          <w:lang w:eastAsia="ja-JP"/>
        </w:rPr>
        <w:t>l</w:t>
      </w:r>
      <w:r w:rsidR="005A7F00" w:rsidRPr="00A52AB8">
        <w:rPr>
          <w:lang w:eastAsia="ja-JP"/>
        </w:rPr>
        <w:t>led in the active sub</w:t>
      </w:r>
      <w:r w:rsidR="00943C50" w:rsidRPr="00A52AB8">
        <w:rPr>
          <w:lang w:eastAsia="ja-JP"/>
        </w:rPr>
        <w:t>-bit</w:t>
      </w:r>
      <w:r w:rsidR="005A7F00" w:rsidRPr="00A52AB8">
        <w:rPr>
          <w:lang w:eastAsia="ja-JP"/>
        </w:rPr>
        <w:t>streams SEI message.</w:t>
      </w:r>
    </w:p>
    <w:p w14:paraId="0C55E17A" w14:textId="77777777" w:rsidR="0050235C" w:rsidRPr="00A52AB8" w:rsidRDefault="00C93AC2">
      <w:pPr>
        <w:rPr>
          <w:lang w:eastAsia="ja-JP"/>
        </w:rPr>
      </w:pPr>
      <w:r w:rsidRPr="00A52AB8">
        <w:rPr>
          <w:b/>
          <w:lang w:eastAsia="ja-JP"/>
        </w:rPr>
        <w:t>asb_</w:t>
      </w:r>
      <w:r w:rsidR="005A7F00" w:rsidRPr="00A52AB8">
        <w:rPr>
          <w:b/>
          <w:lang w:eastAsia="ja-JP"/>
        </w:rPr>
        <w:t>active_attribute_idx</w:t>
      </w:r>
      <w:r w:rsidR="001F4484" w:rsidRPr="00A52AB8">
        <w:rPr>
          <w:lang w:eastAsia="ja-JP"/>
        </w:rPr>
        <w:t>[ i ]</w:t>
      </w:r>
      <w:r w:rsidR="005A7F00" w:rsidRPr="00A52AB8">
        <w:rPr>
          <w:lang w:eastAsia="ja-JP"/>
        </w:rPr>
        <w:t xml:space="preserve"> indicates the attribute index in the </w:t>
      </w:r>
      <w:r w:rsidR="00B20F5B" w:rsidRPr="00A52AB8">
        <w:rPr>
          <w:lang w:eastAsia="ja-JP"/>
        </w:rPr>
        <w:t>VPS</w:t>
      </w:r>
      <w:r w:rsidR="005A7F00" w:rsidRPr="00A52AB8">
        <w:rPr>
          <w:lang w:eastAsia="ja-JP"/>
        </w:rPr>
        <w:t xml:space="preserve"> for the active attribute at index i in the associated SEI message.</w:t>
      </w:r>
    </w:p>
    <w:p w14:paraId="4FCB1200" w14:textId="2030D486" w:rsidR="005A7F00" w:rsidRPr="00A52AB8" w:rsidRDefault="00C93AC2">
      <w:pPr>
        <w:rPr>
          <w:lang w:eastAsia="ja-JP"/>
        </w:rPr>
      </w:pPr>
      <w:r w:rsidRPr="00A52AB8">
        <w:rPr>
          <w:b/>
          <w:lang w:eastAsia="ja-JP"/>
        </w:rPr>
        <w:t>asb_</w:t>
      </w:r>
      <w:r w:rsidR="005A7F00" w:rsidRPr="00A52AB8">
        <w:rPr>
          <w:b/>
          <w:lang w:eastAsia="ja-JP"/>
        </w:rPr>
        <w:t>all_</w:t>
      </w:r>
      <w:r w:rsidR="004E59D7" w:rsidRPr="00A52AB8">
        <w:rPr>
          <w:b/>
          <w:lang w:eastAsia="ja-JP"/>
        </w:rPr>
        <w:t>map</w:t>
      </w:r>
      <w:r w:rsidR="005A7F00" w:rsidRPr="00A52AB8">
        <w:rPr>
          <w:b/>
          <w:lang w:eastAsia="ja-JP"/>
        </w:rPr>
        <w:t>s_active_flag</w:t>
      </w:r>
      <w:r w:rsidR="005A7F00" w:rsidRPr="00A52AB8">
        <w:rPr>
          <w:lang w:eastAsia="ja-JP"/>
        </w:rPr>
        <w:t xml:space="preserve"> indicates whether all the </w:t>
      </w:r>
      <w:r w:rsidR="004E59D7" w:rsidRPr="00A52AB8">
        <w:rPr>
          <w:lang w:eastAsia="ja-JP"/>
        </w:rPr>
        <w:t>map</w:t>
      </w:r>
      <w:r w:rsidR="005A7F00" w:rsidRPr="00A52AB8">
        <w:rPr>
          <w:lang w:eastAsia="ja-JP"/>
        </w:rPr>
        <w:t>s signal</w:t>
      </w:r>
      <w:r w:rsidR="00985B55" w:rsidRPr="00A52AB8">
        <w:rPr>
          <w:lang w:eastAsia="ja-JP"/>
        </w:rPr>
        <w:t>l</w:t>
      </w:r>
      <w:r w:rsidR="005A7F00" w:rsidRPr="00A52AB8">
        <w:rPr>
          <w:lang w:eastAsia="ja-JP"/>
        </w:rPr>
        <w:t xml:space="preserve">ed in the referenced </w:t>
      </w:r>
      <w:r w:rsidR="00B20F5B" w:rsidRPr="00A52AB8">
        <w:rPr>
          <w:lang w:eastAsia="ja-JP"/>
        </w:rPr>
        <w:t>VPS</w:t>
      </w:r>
      <w:r w:rsidR="005A7F00" w:rsidRPr="00A52AB8">
        <w:rPr>
          <w:lang w:eastAsia="ja-JP"/>
        </w:rPr>
        <w:t xml:space="preserve"> shall be active. </w:t>
      </w:r>
      <w:r w:rsidRPr="00A52AB8">
        <w:rPr>
          <w:bCs/>
          <w:lang w:eastAsia="ja-JP"/>
        </w:rPr>
        <w:t>asb_all_maps_active_flag</w:t>
      </w:r>
      <w:r w:rsidRPr="00A52AB8">
        <w:rPr>
          <w:lang w:eastAsia="ja-JP"/>
        </w:rPr>
        <w:t xml:space="preserve"> equal to </w:t>
      </w:r>
      <w:r w:rsidR="005A7F00" w:rsidRPr="00A52AB8">
        <w:rPr>
          <w:lang w:eastAsia="ja-JP"/>
        </w:rPr>
        <w:t xml:space="preserve">1 indicates that all </w:t>
      </w:r>
      <w:r w:rsidR="004E59D7" w:rsidRPr="00A52AB8">
        <w:rPr>
          <w:lang w:eastAsia="ja-JP"/>
        </w:rPr>
        <w:t>map</w:t>
      </w:r>
      <w:r w:rsidR="005A7F00" w:rsidRPr="00A52AB8">
        <w:rPr>
          <w:lang w:eastAsia="ja-JP"/>
        </w:rPr>
        <w:t xml:space="preserve">s shall be active. </w:t>
      </w:r>
      <w:r w:rsidRPr="00A52AB8">
        <w:rPr>
          <w:bCs/>
          <w:lang w:eastAsia="ja-JP"/>
        </w:rPr>
        <w:t>asb_all_maps_active_flag</w:t>
      </w:r>
      <w:r w:rsidRPr="00A52AB8">
        <w:rPr>
          <w:lang w:eastAsia="ja-JP"/>
        </w:rPr>
        <w:t xml:space="preserve"> equal to </w:t>
      </w:r>
      <w:r w:rsidR="005A7F00" w:rsidRPr="00A52AB8">
        <w:rPr>
          <w:lang w:eastAsia="ja-JP"/>
        </w:rPr>
        <w:t xml:space="preserve">0 indicates that only a sub-set of the </w:t>
      </w:r>
      <w:r w:rsidR="004E59D7" w:rsidRPr="00A52AB8">
        <w:rPr>
          <w:lang w:eastAsia="ja-JP"/>
        </w:rPr>
        <w:t>map</w:t>
      </w:r>
      <w:r w:rsidR="005A7F00" w:rsidRPr="00A52AB8">
        <w:rPr>
          <w:lang w:eastAsia="ja-JP"/>
        </w:rPr>
        <w:t xml:space="preserve">s </w:t>
      </w:r>
      <w:r w:rsidRPr="00A52AB8">
        <w:rPr>
          <w:lang w:eastAsia="ja-JP"/>
        </w:rPr>
        <w:t xml:space="preserve">may </w:t>
      </w:r>
      <w:r w:rsidR="005A7F00" w:rsidRPr="00A52AB8">
        <w:rPr>
          <w:lang w:eastAsia="ja-JP"/>
        </w:rPr>
        <w:t>be active.</w:t>
      </w:r>
    </w:p>
    <w:p w14:paraId="3C7E7992" w14:textId="7EF9F0B2" w:rsidR="005A7F00" w:rsidRPr="00A52AB8" w:rsidRDefault="00C93AC2">
      <w:pPr>
        <w:rPr>
          <w:lang w:eastAsia="ja-JP"/>
        </w:rPr>
      </w:pPr>
      <w:r w:rsidRPr="00A52AB8">
        <w:rPr>
          <w:b/>
          <w:lang w:eastAsia="ja-JP"/>
        </w:rPr>
        <w:t>asb_</w:t>
      </w:r>
      <w:r w:rsidR="005A7F00" w:rsidRPr="00A52AB8">
        <w:rPr>
          <w:b/>
          <w:lang w:eastAsia="ja-JP"/>
        </w:rPr>
        <w:t>active_</w:t>
      </w:r>
      <w:r w:rsidR="004E59D7" w:rsidRPr="00A52AB8">
        <w:rPr>
          <w:b/>
          <w:lang w:eastAsia="ja-JP"/>
        </w:rPr>
        <w:t>map</w:t>
      </w:r>
      <w:r w:rsidR="005A7F00" w:rsidRPr="00A52AB8">
        <w:rPr>
          <w:b/>
          <w:lang w:eastAsia="ja-JP"/>
        </w:rPr>
        <w:t>_count_minus1</w:t>
      </w:r>
      <w:r w:rsidR="005A7F00" w:rsidRPr="00A52AB8">
        <w:rPr>
          <w:lang w:eastAsia="ja-JP"/>
        </w:rPr>
        <w:t xml:space="preserve"> plus 1 indicates the number of active </w:t>
      </w:r>
      <w:r w:rsidR="004E59D7" w:rsidRPr="00A52AB8">
        <w:rPr>
          <w:lang w:eastAsia="ja-JP"/>
        </w:rPr>
        <w:t>map</w:t>
      </w:r>
      <w:r w:rsidR="005A7F00" w:rsidRPr="00A52AB8">
        <w:rPr>
          <w:lang w:eastAsia="ja-JP"/>
        </w:rPr>
        <w:t>s signa</w:t>
      </w:r>
      <w:r w:rsidR="00985B55" w:rsidRPr="00A52AB8">
        <w:rPr>
          <w:lang w:eastAsia="ja-JP"/>
        </w:rPr>
        <w:t>l</w:t>
      </w:r>
      <w:r w:rsidR="005A7F00" w:rsidRPr="00A52AB8">
        <w:rPr>
          <w:lang w:eastAsia="ja-JP"/>
        </w:rPr>
        <w:t>led in the active sub</w:t>
      </w:r>
      <w:r w:rsidR="00943C50" w:rsidRPr="00A52AB8">
        <w:rPr>
          <w:lang w:eastAsia="ja-JP"/>
        </w:rPr>
        <w:t>-bit</w:t>
      </w:r>
      <w:r w:rsidR="005A7F00" w:rsidRPr="00A52AB8">
        <w:rPr>
          <w:lang w:eastAsia="ja-JP"/>
        </w:rPr>
        <w:t>streams SEI message.</w:t>
      </w:r>
    </w:p>
    <w:p w14:paraId="5B0A9B45" w14:textId="77777777" w:rsidR="00054497" w:rsidRPr="00A52AB8" w:rsidRDefault="00C93AC2">
      <w:pPr>
        <w:rPr>
          <w:lang w:eastAsia="ja-JP"/>
        </w:rPr>
      </w:pPr>
      <w:r w:rsidRPr="00A52AB8">
        <w:rPr>
          <w:b/>
          <w:lang w:eastAsia="ja-JP"/>
        </w:rPr>
        <w:t>asb_</w:t>
      </w:r>
      <w:r w:rsidR="005A7F00" w:rsidRPr="00A52AB8">
        <w:rPr>
          <w:b/>
          <w:lang w:eastAsia="ja-JP"/>
        </w:rPr>
        <w:t>active_</w:t>
      </w:r>
      <w:r w:rsidR="004E59D7" w:rsidRPr="00A52AB8">
        <w:rPr>
          <w:b/>
          <w:lang w:eastAsia="ja-JP"/>
        </w:rPr>
        <w:t>map</w:t>
      </w:r>
      <w:r w:rsidR="005A7F00" w:rsidRPr="00A52AB8">
        <w:rPr>
          <w:b/>
          <w:lang w:eastAsia="ja-JP"/>
        </w:rPr>
        <w:t>_idx</w:t>
      </w:r>
      <w:r w:rsidR="001F4484" w:rsidRPr="00A52AB8">
        <w:rPr>
          <w:lang w:eastAsia="ja-JP"/>
        </w:rPr>
        <w:t>[ i ]</w:t>
      </w:r>
      <w:r w:rsidR="005A7F00" w:rsidRPr="00A52AB8">
        <w:rPr>
          <w:lang w:eastAsia="ja-JP"/>
        </w:rPr>
        <w:t xml:space="preserve"> indicates the </w:t>
      </w:r>
      <w:r w:rsidR="004E59D7" w:rsidRPr="00A52AB8">
        <w:rPr>
          <w:lang w:eastAsia="ja-JP"/>
        </w:rPr>
        <w:t>map</w:t>
      </w:r>
      <w:r w:rsidR="005A7F00" w:rsidRPr="00A52AB8">
        <w:rPr>
          <w:lang w:eastAsia="ja-JP"/>
        </w:rPr>
        <w:t xml:space="preserve"> index in the </w:t>
      </w:r>
      <w:r w:rsidR="00B20F5B" w:rsidRPr="00A52AB8">
        <w:rPr>
          <w:lang w:eastAsia="ja-JP"/>
        </w:rPr>
        <w:t>VPS</w:t>
      </w:r>
      <w:r w:rsidR="005A7F00" w:rsidRPr="00A52AB8">
        <w:rPr>
          <w:lang w:eastAsia="ja-JP"/>
        </w:rPr>
        <w:t xml:space="preserve"> for the active </w:t>
      </w:r>
      <w:r w:rsidR="004E59D7" w:rsidRPr="00A52AB8">
        <w:rPr>
          <w:lang w:eastAsia="ja-JP"/>
        </w:rPr>
        <w:t>map</w:t>
      </w:r>
      <w:r w:rsidR="005A7F00" w:rsidRPr="00A52AB8">
        <w:rPr>
          <w:lang w:eastAsia="ja-JP"/>
        </w:rPr>
        <w:t xml:space="preserve"> at index i in the associated SEI message.</w:t>
      </w:r>
    </w:p>
    <w:p w14:paraId="40F39FFA" w14:textId="77777777" w:rsidR="00054497" w:rsidRPr="00A52AB8" w:rsidRDefault="005A7F00">
      <w:pPr>
        <w:pStyle w:val="a3"/>
        <w:numPr>
          <w:ilvl w:val="2"/>
          <w:numId w:val="19"/>
        </w:numPr>
        <w:tabs>
          <w:tab w:val="clear" w:pos="403"/>
        </w:tabs>
      </w:pPr>
      <w:bookmarkStart w:id="5620" w:name="_Ref21443984"/>
      <w:bookmarkStart w:id="5621" w:name="_Ref21443988"/>
      <w:bookmarkStart w:id="5622" w:name="_Toc52181743"/>
      <w:r w:rsidRPr="00A52AB8">
        <w:t>Component codec mapping</w:t>
      </w:r>
      <w:r w:rsidR="00054497" w:rsidRPr="00A52AB8">
        <w:t xml:space="preserve"> SEI message semantics</w:t>
      </w:r>
      <w:bookmarkEnd w:id="5620"/>
      <w:bookmarkEnd w:id="5621"/>
      <w:bookmarkEnd w:id="5622"/>
    </w:p>
    <w:p w14:paraId="04040E2D" w14:textId="77777777" w:rsidR="0050235C" w:rsidRPr="00A52AB8" w:rsidRDefault="005A7F00">
      <w:pPr>
        <w:rPr>
          <w:lang w:eastAsia="ja-JP"/>
        </w:rPr>
      </w:pPr>
      <w:r w:rsidRPr="00A52AB8">
        <w:rPr>
          <w:lang w:eastAsia="ja-JP"/>
        </w:rPr>
        <w:t xml:space="preserve">This SEI message informs the </w:t>
      </w:r>
      <w:r w:rsidR="0081344D" w:rsidRPr="00A52AB8">
        <w:rPr>
          <w:lang w:eastAsia="ja-JP"/>
        </w:rPr>
        <w:t>V3C</w:t>
      </w:r>
      <w:r w:rsidRPr="00A52AB8">
        <w:rPr>
          <w:lang w:eastAsia="ja-JP"/>
        </w:rPr>
        <w:t xml:space="preserve"> decoder of the codec mapping for the codec ids of the component sub</w:t>
      </w:r>
      <w:r w:rsidR="00943C50" w:rsidRPr="00A52AB8">
        <w:rPr>
          <w:lang w:eastAsia="ja-JP"/>
        </w:rPr>
        <w:t>-bit</w:t>
      </w:r>
      <w:r w:rsidRPr="00A52AB8">
        <w:rPr>
          <w:lang w:eastAsia="ja-JP"/>
        </w:rPr>
        <w:t>streams signa</w:t>
      </w:r>
      <w:r w:rsidR="00985B55" w:rsidRPr="00A52AB8">
        <w:rPr>
          <w:lang w:eastAsia="ja-JP"/>
        </w:rPr>
        <w:t>l</w:t>
      </w:r>
      <w:r w:rsidRPr="00A52AB8">
        <w:rPr>
          <w:lang w:eastAsia="ja-JP"/>
        </w:rPr>
        <w:t xml:space="preserve">led in the </w:t>
      </w:r>
      <w:r w:rsidR="00B20F5B" w:rsidRPr="00A52AB8">
        <w:rPr>
          <w:lang w:eastAsia="ja-JP"/>
        </w:rPr>
        <w:t>VPS</w:t>
      </w:r>
      <w:r w:rsidRPr="00A52AB8">
        <w:rPr>
          <w:lang w:eastAsia="ja-JP"/>
        </w:rPr>
        <w:t>. Each component sub</w:t>
      </w:r>
      <w:r w:rsidR="00943C50" w:rsidRPr="00A52AB8">
        <w:rPr>
          <w:lang w:eastAsia="ja-JP"/>
        </w:rPr>
        <w:t>-bit</w:t>
      </w:r>
      <w:r w:rsidRPr="00A52AB8">
        <w:rPr>
          <w:lang w:eastAsia="ja-JP"/>
        </w:rPr>
        <w:t>stream codec id is mapped to a specific codec index in a codec lookup table. The codec ids for the component sub</w:t>
      </w:r>
      <w:r w:rsidR="00943C50" w:rsidRPr="00A52AB8">
        <w:rPr>
          <w:lang w:eastAsia="ja-JP"/>
        </w:rPr>
        <w:t>-bit</w:t>
      </w:r>
      <w:r w:rsidRPr="00A52AB8">
        <w:rPr>
          <w:lang w:eastAsia="ja-JP"/>
        </w:rPr>
        <w:t xml:space="preserve">streams in the </w:t>
      </w:r>
      <w:r w:rsidR="00B20F5B" w:rsidRPr="00A52AB8">
        <w:rPr>
          <w:lang w:eastAsia="ja-JP"/>
        </w:rPr>
        <w:t>VPS</w:t>
      </w:r>
      <w:r w:rsidRPr="00A52AB8">
        <w:rPr>
          <w:lang w:eastAsia="ja-JP"/>
        </w:rPr>
        <w:t xml:space="preserve"> shall be unique. The component codec mapping SEI message shall be used to signal the initial codec mapping to the decoder at the beginning of the </w:t>
      </w:r>
      <w:r w:rsidR="00E34676" w:rsidRPr="00A52AB8">
        <w:rPr>
          <w:lang w:eastAsia="ja-JP"/>
        </w:rPr>
        <w:t>V3C</w:t>
      </w:r>
      <w:r w:rsidRPr="00A52AB8">
        <w:rPr>
          <w:lang w:eastAsia="ja-JP"/>
        </w:rPr>
        <w:t xml:space="preserve"> bitstream as well as signalling updated mappings when the codec of one or more of the </w:t>
      </w:r>
      <w:r w:rsidR="00E34676" w:rsidRPr="00A52AB8">
        <w:rPr>
          <w:lang w:eastAsia="ja-JP"/>
        </w:rPr>
        <w:t>V3C</w:t>
      </w:r>
      <w:r w:rsidRPr="00A52AB8">
        <w:rPr>
          <w:lang w:eastAsia="ja-JP"/>
        </w:rPr>
        <w:t xml:space="preserve"> components sub</w:t>
      </w:r>
      <w:r w:rsidR="00943C50" w:rsidRPr="00A52AB8">
        <w:rPr>
          <w:lang w:eastAsia="ja-JP"/>
        </w:rPr>
        <w:t>-bit</w:t>
      </w:r>
      <w:r w:rsidRPr="00A52AB8">
        <w:rPr>
          <w:lang w:eastAsia="ja-JP"/>
        </w:rPr>
        <w:t xml:space="preserve">streams changes. A </w:t>
      </w:r>
      <w:r w:rsidR="00E34676" w:rsidRPr="00A52AB8">
        <w:rPr>
          <w:lang w:eastAsia="ja-JP"/>
        </w:rPr>
        <w:t>V3C</w:t>
      </w:r>
      <w:r w:rsidRPr="00A52AB8">
        <w:rPr>
          <w:lang w:eastAsia="ja-JP"/>
        </w:rPr>
        <w:t xml:space="preserve"> decoder receiving a </w:t>
      </w:r>
      <w:r w:rsidR="00D0383D" w:rsidRPr="00A52AB8">
        <w:rPr>
          <w:lang w:eastAsia="ja-JP"/>
        </w:rPr>
        <w:t xml:space="preserve">component codec mapping </w:t>
      </w:r>
      <w:r w:rsidRPr="00A52AB8">
        <w:rPr>
          <w:lang w:eastAsia="ja-JP"/>
        </w:rPr>
        <w:t>SEI message should instantiate new video decoders for the respective component sub</w:t>
      </w:r>
      <w:r w:rsidR="00943C50" w:rsidRPr="00A52AB8">
        <w:rPr>
          <w:lang w:eastAsia="ja-JP"/>
        </w:rPr>
        <w:t>-bit</w:t>
      </w:r>
      <w:r w:rsidRPr="00A52AB8">
        <w:rPr>
          <w:lang w:eastAsia="ja-JP"/>
        </w:rPr>
        <w:t>streams signa</w:t>
      </w:r>
      <w:r w:rsidR="00985B55" w:rsidRPr="00A52AB8">
        <w:rPr>
          <w:lang w:eastAsia="ja-JP"/>
        </w:rPr>
        <w:t>l</w:t>
      </w:r>
      <w:r w:rsidRPr="00A52AB8">
        <w:rPr>
          <w:lang w:eastAsia="ja-JP"/>
        </w:rPr>
        <w:t>led in the message.</w:t>
      </w:r>
    </w:p>
    <w:p w14:paraId="6E434B3B" w14:textId="55B7B769" w:rsidR="006A7907" w:rsidRPr="00A52AB8" w:rsidRDefault="005A7F00">
      <w:pPr>
        <w:rPr>
          <w:lang w:eastAsia="ja-JP"/>
        </w:rPr>
      </w:pPr>
      <w:r w:rsidRPr="00A52AB8">
        <w:rPr>
          <w:lang w:eastAsia="ja-JP"/>
        </w:rPr>
        <w:t>The persistence scope for this SEI message is the remainder of the bitstream (i.e., the codec changes for the signa</w:t>
      </w:r>
      <w:r w:rsidR="00985B55" w:rsidRPr="00A52AB8">
        <w:rPr>
          <w:lang w:eastAsia="ja-JP"/>
        </w:rPr>
        <w:t>l</w:t>
      </w:r>
      <w:r w:rsidRPr="00A52AB8">
        <w:rPr>
          <w:lang w:eastAsia="ja-JP"/>
        </w:rPr>
        <w:t>led components persist until the end of the stream) or until a new component codec change SEI message is encountered. Only the codec mapping for codec ids specified in the SEI message shall be updated. Previously defined mappings for other codec ids from an earlier SEI message shall persist if not modified</w:t>
      </w:r>
      <w:r w:rsidR="00C93AC2" w:rsidRPr="00A52AB8">
        <w:rPr>
          <w:lang w:eastAsia="ja-JP"/>
        </w:rPr>
        <w:t xml:space="preserve"> and if the value of ccm_component_codec_cancel_flag is not equal to 1. </w:t>
      </w:r>
      <w:r w:rsidRPr="00A52AB8">
        <w:rPr>
          <w:lang w:eastAsia="ja-JP"/>
        </w:rPr>
        <w:t>This SEI message shall not be ignored by the decoder.</w:t>
      </w:r>
    </w:p>
    <w:p w14:paraId="26AA11EB" w14:textId="77777777" w:rsidR="006A7907" w:rsidRPr="00A52AB8" w:rsidRDefault="006A7907">
      <w:pPr>
        <w:rPr>
          <w:lang w:eastAsia="ja-JP"/>
        </w:rPr>
      </w:pPr>
      <w:r w:rsidRPr="00A52AB8">
        <w:t xml:space="preserve">When a component codec mapping SEI message is present in any access unit of a </w:t>
      </w:r>
      <w:r w:rsidR="00732F5C" w:rsidRPr="00A52AB8">
        <w:t>C</w:t>
      </w:r>
      <w:r w:rsidR="00A753FF" w:rsidRPr="00A52AB8">
        <w:t>V</w:t>
      </w:r>
      <w:r w:rsidR="00732F5C" w:rsidRPr="00A52AB8">
        <w:t>S</w:t>
      </w:r>
      <w:r w:rsidRPr="00A52AB8">
        <w:t xml:space="preserve">, a </w:t>
      </w:r>
      <w:r w:rsidR="00D0383D" w:rsidRPr="00A52AB8">
        <w:t>c</w:t>
      </w:r>
      <w:r w:rsidRPr="00A52AB8">
        <w:t xml:space="preserve">omponent codec mapping SEI message shall be present in the first access unit of the </w:t>
      </w:r>
      <w:r w:rsidR="00732F5C" w:rsidRPr="00A52AB8">
        <w:t>C</w:t>
      </w:r>
      <w:r w:rsidR="00A753FF" w:rsidRPr="00A52AB8">
        <w:t>V</w:t>
      </w:r>
      <w:r w:rsidR="00732F5C" w:rsidRPr="00A52AB8">
        <w:t>S</w:t>
      </w:r>
      <w:r w:rsidRPr="00A52AB8">
        <w:t xml:space="preserve">. The </w:t>
      </w:r>
      <w:r w:rsidR="00D0383D" w:rsidRPr="00A52AB8">
        <w:t xml:space="preserve">component codec mapping </w:t>
      </w:r>
      <w:r w:rsidRPr="00A52AB8">
        <w:t xml:space="preserve">SEI message persists in decoding order from the current access unit until the end of the </w:t>
      </w:r>
      <w:r w:rsidR="00732F5C" w:rsidRPr="00A52AB8">
        <w:t>CVS</w:t>
      </w:r>
      <w:r w:rsidRPr="00A52AB8">
        <w:t xml:space="preserve">. When there are multiple </w:t>
      </w:r>
      <w:r w:rsidR="00D0383D" w:rsidRPr="00A52AB8">
        <w:t xml:space="preserve">component codec mapping </w:t>
      </w:r>
      <w:r w:rsidRPr="00A52AB8">
        <w:t xml:space="preserve">SEI messages present in a </w:t>
      </w:r>
      <w:r w:rsidR="00732F5C" w:rsidRPr="00A52AB8">
        <w:t>CVS</w:t>
      </w:r>
      <w:r w:rsidRPr="00A52AB8">
        <w:t>, they shall have the same content.</w:t>
      </w:r>
    </w:p>
    <w:p w14:paraId="657E2508" w14:textId="77777777" w:rsidR="005A7F00" w:rsidRPr="00A52AB8" w:rsidRDefault="005A7F00">
      <w:pPr>
        <w:rPr>
          <w:lang w:eastAsia="ja-JP"/>
        </w:rPr>
      </w:pPr>
      <w:r w:rsidRPr="00A52AB8">
        <w:rPr>
          <w:lang w:eastAsia="ja-JP"/>
        </w:rPr>
        <w:t xml:space="preserve">The semantics of the fields of the </w:t>
      </w:r>
      <w:r w:rsidR="00D0383D" w:rsidRPr="00A52AB8">
        <w:rPr>
          <w:lang w:eastAsia="ja-JP"/>
        </w:rPr>
        <w:t xml:space="preserve">component codec mapping </w:t>
      </w:r>
      <w:r w:rsidRPr="00A52AB8">
        <w:rPr>
          <w:lang w:eastAsia="ja-JP"/>
        </w:rPr>
        <w:t>SEI message are as follows:</w:t>
      </w:r>
    </w:p>
    <w:p w14:paraId="335F9ABE" w14:textId="77777777" w:rsidR="00C93AC2" w:rsidRPr="00A52AB8" w:rsidRDefault="00C93AC2">
      <w:pPr>
        <w:rPr>
          <w:lang w:eastAsia="ja-JP"/>
        </w:rPr>
      </w:pPr>
      <w:r w:rsidRPr="00A52AB8">
        <w:rPr>
          <w:b/>
          <w:bCs/>
          <w:lang w:eastAsia="ja-JP"/>
        </w:rPr>
        <w:t>ccm_component_codec_cancel_flag</w:t>
      </w:r>
      <w:r w:rsidRPr="00A52AB8">
        <w:rPr>
          <w:lang w:eastAsia="ja-JP"/>
        </w:rPr>
        <w:t xml:space="preserve"> indicates whether the component codec mapping should be reset to the default mapping defined by the CodecGroup profile type for the bitstream.</w:t>
      </w:r>
      <w:r w:rsidRPr="00A52AB8">
        <w:rPr>
          <w:b/>
          <w:bCs/>
          <w:lang w:eastAsia="ja-JP"/>
        </w:rPr>
        <w:t xml:space="preserve"> </w:t>
      </w:r>
      <w:r w:rsidRPr="00A52AB8">
        <w:rPr>
          <w:lang w:eastAsia="ja-JP"/>
        </w:rPr>
        <w:t>ccm_component_codec_cancel_flag</w:t>
      </w:r>
      <w:r w:rsidRPr="00A52AB8">
        <w:rPr>
          <w:bCs/>
          <w:lang w:eastAsia="ja-JP"/>
        </w:rPr>
        <w:t xml:space="preserve"> equal to 1 indicates that </w:t>
      </w:r>
      <w:r w:rsidRPr="00A52AB8">
        <w:rPr>
          <w:lang w:eastAsia="ja-JP"/>
        </w:rPr>
        <w:t>the component codec mapping should be reset to the default mapping defined by the CodecGroup profile type for the bitstream</w:t>
      </w:r>
      <w:r w:rsidRPr="00A52AB8">
        <w:rPr>
          <w:bCs/>
          <w:lang w:eastAsia="ja-JP"/>
        </w:rPr>
        <w:t xml:space="preserve">. </w:t>
      </w:r>
      <w:r w:rsidRPr="00A52AB8">
        <w:rPr>
          <w:lang w:eastAsia="ja-JP"/>
        </w:rPr>
        <w:t>ccm_component_codec_cancel_flag</w:t>
      </w:r>
      <w:r w:rsidRPr="00A52AB8">
        <w:rPr>
          <w:bCs/>
          <w:lang w:eastAsia="ja-JP"/>
        </w:rPr>
        <w:t xml:space="preserve"> equal to 0 indicates that </w:t>
      </w:r>
      <w:r w:rsidRPr="00A52AB8">
        <w:rPr>
          <w:lang w:eastAsia="ja-JP"/>
        </w:rPr>
        <w:t>the component codec mapping for some components may be updated.</w:t>
      </w:r>
    </w:p>
    <w:p w14:paraId="75C04802" w14:textId="77777777" w:rsidR="005A7F00" w:rsidRPr="00A52AB8" w:rsidRDefault="005A7F00">
      <w:pPr>
        <w:rPr>
          <w:lang w:eastAsia="ja-JP"/>
        </w:rPr>
      </w:pPr>
      <w:r w:rsidRPr="00A52AB8">
        <w:rPr>
          <w:b/>
          <w:lang w:eastAsia="ja-JP"/>
        </w:rPr>
        <w:t>ccm_codec_mappings_count_minus1</w:t>
      </w:r>
      <w:r w:rsidRPr="00A52AB8">
        <w:rPr>
          <w:lang w:eastAsia="ja-JP"/>
        </w:rPr>
        <w:t xml:space="preserve"> plus 1 indicates the number of codec mappings that are listed in this SEI message.</w:t>
      </w:r>
    </w:p>
    <w:p w14:paraId="6C975E86" w14:textId="77777777" w:rsidR="005A7F00" w:rsidRPr="00A52AB8" w:rsidRDefault="005A7F00">
      <w:pPr>
        <w:rPr>
          <w:lang w:eastAsia="ja-JP"/>
        </w:rPr>
      </w:pPr>
      <w:r w:rsidRPr="00A52AB8">
        <w:rPr>
          <w:b/>
          <w:lang w:eastAsia="ja-JP"/>
        </w:rPr>
        <w:t>ccm_codec_id</w:t>
      </w:r>
      <w:r w:rsidRPr="00A52AB8">
        <w:rPr>
          <w:lang w:eastAsia="ja-JP"/>
        </w:rPr>
        <w:t xml:space="preserve"> is the codec id that is to be mapped to a particular 4CC codec. This codec id may be associated with one or more of the sub</w:t>
      </w:r>
      <w:r w:rsidR="00943C50" w:rsidRPr="00A52AB8">
        <w:rPr>
          <w:lang w:eastAsia="ja-JP"/>
        </w:rPr>
        <w:t>-bit</w:t>
      </w:r>
      <w:r w:rsidRPr="00A52AB8">
        <w:rPr>
          <w:lang w:eastAsia="ja-JP"/>
        </w:rPr>
        <w:t xml:space="preserve">streams in a </w:t>
      </w:r>
      <w:r w:rsidR="00E34676" w:rsidRPr="00A52AB8">
        <w:rPr>
          <w:lang w:eastAsia="ja-JP"/>
        </w:rPr>
        <w:t>V3C</w:t>
      </w:r>
      <w:r w:rsidRPr="00A52AB8">
        <w:rPr>
          <w:lang w:eastAsia="ja-JP"/>
        </w:rPr>
        <w:t xml:space="preserve"> bitstream, as specified within the active </w:t>
      </w:r>
      <w:r w:rsidR="00B20F5B" w:rsidRPr="00A52AB8">
        <w:rPr>
          <w:lang w:eastAsia="ja-JP"/>
        </w:rPr>
        <w:t>VPS</w:t>
      </w:r>
      <w:r w:rsidRPr="00A52AB8">
        <w:rPr>
          <w:lang w:eastAsia="ja-JP"/>
        </w:rPr>
        <w:t>.</w:t>
      </w:r>
    </w:p>
    <w:p w14:paraId="061226CE" w14:textId="77777777" w:rsidR="00054497" w:rsidRPr="00A52AB8" w:rsidRDefault="005A7F00">
      <w:pPr>
        <w:rPr>
          <w:lang w:eastAsia="ja-JP"/>
        </w:rPr>
      </w:pPr>
      <w:r w:rsidRPr="00A52AB8">
        <w:rPr>
          <w:b/>
          <w:lang w:eastAsia="ja-JP"/>
        </w:rPr>
        <w:t>ccm_codec_4cc</w:t>
      </w:r>
      <w:r w:rsidR="001F4484" w:rsidRPr="00A52AB8">
        <w:rPr>
          <w:lang w:eastAsia="ja-JP"/>
        </w:rPr>
        <w:t>[ j ]</w:t>
      </w:r>
      <w:r w:rsidRPr="00A52AB8">
        <w:rPr>
          <w:lang w:eastAsia="ja-JP"/>
        </w:rPr>
        <w:t xml:space="preserve"> is the four-character code (4CC) for the codec mapped to the codec id of value j. The codec code shall be an MP4RA registered code</w:t>
      </w:r>
      <w:r w:rsidR="00B21280" w:rsidRPr="00A52AB8">
        <w:rPr>
          <w:lang w:eastAsia="ja-JP"/>
        </w:rPr>
        <w:t xml:space="preserve"> according to ISO/IEC 14496-12</w:t>
      </w:r>
      <w:r w:rsidRPr="00A52AB8">
        <w:rPr>
          <w:lang w:eastAsia="ja-JP"/>
        </w:rPr>
        <w:t>.</w:t>
      </w:r>
    </w:p>
    <w:p w14:paraId="01676483" w14:textId="77777777" w:rsidR="00C81505" w:rsidRPr="00A52AB8" w:rsidRDefault="00C81505">
      <w:pPr>
        <w:pStyle w:val="a3"/>
        <w:numPr>
          <w:ilvl w:val="2"/>
          <w:numId w:val="19"/>
        </w:numPr>
        <w:tabs>
          <w:tab w:val="clear" w:pos="403"/>
        </w:tabs>
      </w:pPr>
      <w:bookmarkStart w:id="5623" w:name="_Ref49348186"/>
      <w:bookmarkStart w:id="5624" w:name="_Toc52181744"/>
      <w:r w:rsidRPr="00A52AB8">
        <w:t xml:space="preserve">Volumetric </w:t>
      </w:r>
      <w:r w:rsidR="00887F88" w:rsidRPr="00A52AB8">
        <w:t>annotation</w:t>
      </w:r>
      <w:r w:rsidRPr="00A52AB8">
        <w:t xml:space="preserve"> SEI message</w:t>
      </w:r>
      <w:r w:rsidR="00887F88" w:rsidRPr="00A52AB8">
        <w:t>s</w:t>
      </w:r>
      <w:r w:rsidRPr="00A52AB8">
        <w:t xml:space="preserve"> </w:t>
      </w:r>
      <w:r w:rsidR="00887F88" w:rsidRPr="00A52AB8">
        <w:t>family syntax</w:t>
      </w:r>
      <w:bookmarkEnd w:id="5623"/>
      <w:bookmarkEnd w:id="5624"/>
    </w:p>
    <w:p w14:paraId="7687A77D" w14:textId="77777777" w:rsidR="00887F88" w:rsidRPr="00A52AB8" w:rsidRDefault="00887F88" w:rsidP="001000BF">
      <w:pPr>
        <w:pStyle w:val="a4"/>
        <w:numPr>
          <w:ilvl w:val="3"/>
          <w:numId w:val="19"/>
        </w:numPr>
      </w:pPr>
      <w:r w:rsidRPr="00A52AB8">
        <w:t xml:space="preserve">Scene </w:t>
      </w:r>
      <w:r w:rsidR="00D728FB" w:rsidRPr="00A52AB8">
        <w:t xml:space="preserve">object </w:t>
      </w:r>
      <w:r w:rsidRPr="00A52AB8">
        <w:t>information SEI message semantics</w:t>
      </w:r>
    </w:p>
    <w:p w14:paraId="4FBE4C23" w14:textId="65F00079" w:rsidR="00DB6312" w:rsidRPr="00A52AB8" w:rsidRDefault="00DB6312" w:rsidP="00EE3D19">
      <w:pPr>
        <w:pStyle w:val="a4"/>
        <w:numPr>
          <w:ilvl w:val="4"/>
          <w:numId w:val="19"/>
        </w:numPr>
        <w:tabs>
          <w:tab w:val="clear" w:pos="7200"/>
        </w:tabs>
        <w:outlineLvl w:val="4"/>
      </w:pPr>
      <w:r w:rsidRPr="00A52AB8">
        <w:t>General</w:t>
      </w:r>
    </w:p>
    <w:p w14:paraId="6E41FBE5" w14:textId="77777777" w:rsidR="0050235C" w:rsidRPr="00A52AB8" w:rsidRDefault="00887F88" w:rsidP="00887F88">
      <w:pPr>
        <w:rPr>
          <w:lang w:eastAsia="ja-JP"/>
        </w:rPr>
      </w:pPr>
      <w:r w:rsidRPr="00A52AB8">
        <w:rPr>
          <w:lang w:eastAsia="ja-JP"/>
        </w:rPr>
        <w:t>This SEI message defines a set of objects that may be present in a volumetric scene, and optionally assigns different properties to these objects. These objects could then potentially be associated with different types of information, including patches and 2D volumetric rectangles that may be defined using the patch information and volumetric rectangle information SEI messages.</w:t>
      </w:r>
    </w:p>
    <w:p w14:paraId="50432A89" w14:textId="12731B5D" w:rsidR="00D9659F" w:rsidRPr="00A52AB8" w:rsidRDefault="00D9659F" w:rsidP="00927518">
      <w:r w:rsidRPr="00A52AB8">
        <w:t>Let the variable MaxNumObjectsTracked be set equal to either 2</w:t>
      </w:r>
      <w:r w:rsidR="00F956A3" w:rsidRPr="00A52AB8">
        <w:rPr>
          <w:position w:val="6"/>
          <w:vertAlign w:val="superscript"/>
        </w:rPr>
        <w:t>16</w:t>
      </w:r>
      <w:r w:rsidRPr="00A52AB8">
        <w:t> – 1 or a value determined by the application.</w:t>
      </w:r>
    </w:p>
    <w:p w14:paraId="4A11AE4B" w14:textId="1BBC2571" w:rsidR="004C0166" w:rsidRPr="00A52AB8" w:rsidRDefault="004C0166" w:rsidP="00927518">
      <w:r w:rsidRPr="00A52AB8">
        <w:t xml:space="preserve">Let the variable MaxObjectNumDependencies be set equal to </w:t>
      </w:r>
      <w:r w:rsidR="00A96B89" w:rsidRPr="00A52AB8">
        <w:t>15</w:t>
      </w:r>
      <w:r w:rsidRPr="00A52AB8">
        <w:t>.</w:t>
      </w:r>
    </w:p>
    <w:p w14:paraId="461A30E0" w14:textId="74697BF8" w:rsidR="00DB6312" w:rsidRPr="00A52AB8" w:rsidRDefault="00DB6312" w:rsidP="00007BE2">
      <w:pPr>
        <w:pStyle w:val="Note1"/>
        <w:rPr>
          <w:rFonts w:ascii="Cambria" w:hAnsi="Cambria"/>
        </w:rPr>
      </w:pPr>
      <w:r w:rsidRPr="00A52AB8">
        <w:rPr>
          <w:rFonts w:ascii="Cambria" w:hAnsi="Cambria"/>
        </w:rPr>
        <w:t>NOTE – An application may wish to limit the value of the variable MaxNumObjectsTracked so as to constrain the required memory.</w:t>
      </w:r>
    </w:p>
    <w:p w14:paraId="5537097B" w14:textId="77777777" w:rsidR="0050235C" w:rsidRPr="00A52AB8" w:rsidRDefault="003000D4" w:rsidP="00927518">
      <w:r w:rsidRPr="00A52AB8">
        <w:t>At the start of each sequence</w:t>
      </w:r>
      <w:r w:rsidR="00275829" w:rsidRPr="00A52AB8">
        <w:t>,</w:t>
      </w:r>
    </w:p>
    <w:p w14:paraId="32A8A8E5" w14:textId="7A9585B2" w:rsidR="003000D4" w:rsidRPr="00A52AB8" w:rsidRDefault="00275829">
      <w:pPr>
        <w:pStyle w:val="ListParagraph"/>
        <w:numPr>
          <w:ilvl w:val="0"/>
          <w:numId w:val="409"/>
        </w:numPr>
        <w:ind w:leftChars="0"/>
      </w:pPr>
      <w:r w:rsidRPr="00A52AB8">
        <w:t>t</w:t>
      </w:r>
      <w:r w:rsidR="003000D4" w:rsidRPr="00A52AB8">
        <w:t>he 1D arrays ObjectIndex, ObjectTracked, ObjectLabelIndex, ObjectPriorityValue, ObjectHiddenFlag, ObjectNumDependencies, ObjectVisibilityDirectionX, ObjectVisibilityDirectionY, ObjectVisibilityDirectionZ, ObjectVisibilityAngle, Object3DBoundingBoxX, Object3DBoundingBoxY</w:t>
      </w:r>
      <w:r w:rsidRPr="00A52AB8">
        <w:t xml:space="preserve">, </w:t>
      </w:r>
      <w:r w:rsidR="003000D4" w:rsidRPr="00A52AB8">
        <w:t>Object3DBoundingBoxZ, Object3DBoundingBox</w:t>
      </w:r>
      <w:r w:rsidR="00D115AF" w:rsidRPr="00A52AB8">
        <w:t>Size</w:t>
      </w:r>
      <w:r w:rsidR="003000D4" w:rsidRPr="00A52AB8">
        <w:t>X</w:t>
      </w:r>
      <w:r w:rsidRPr="00A52AB8">
        <w:t xml:space="preserve">, </w:t>
      </w:r>
      <w:r w:rsidR="003000D4" w:rsidRPr="00A52AB8">
        <w:t>Object3DBoundingBoxSizeY, Object3DBoundingBoxSizeZ,</w:t>
      </w:r>
      <w:r w:rsidRPr="00A52AB8">
        <w:t xml:space="preserve"> </w:t>
      </w:r>
      <w:r w:rsidR="00E2202C" w:rsidRPr="00A52AB8">
        <w:t xml:space="preserve">ObjectCollisionShapeID, </w:t>
      </w:r>
      <w:r w:rsidR="003000D4" w:rsidRPr="00A52AB8">
        <w:t>ObjectPointShapeID, ObjectPointSize,</w:t>
      </w:r>
      <w:r w:rsidRPr="00A52AB8">
        <w:t xml:space="preserve"> and </w:t>
      </w:r>
      <w:r w:rsidR="003000D4" w:rsidRPr="00A52AB8">
        <w:t>ObjectMaterialID</w:t>
      </w:r>
      <w:r w:rsidRPr="00A52AB8">
        <w:t>, of size MaxNumObjectsTracked, and</w:t>
      </w:r>
    </w:p>
    <w:p w14:paraId="4C8BF719" w14:textId="77C1AB6B" w:rsidR="003000D4" w:rsidRPr="00A52AB8" w:rsidRDefault="00275829" w:rsidP="00007BE2">
      <w:pPr>
        <w:pStyle w:val="ListParagraph"/>
        <w:numPr>
          <w:ilvl w:val="0"/>
          <w:numId w:val="409"/>
        </w:numPr>
        <w:ind w:leftChars="0"/>
      </w:pPr>
      <w:r w:rsidRPr="00A52AB8">
        <w:t xml:space="preserve">the 2D array </w:t>
      </w:r>
      <w:r w:rsidR="003000D4" w:rsidRPr="00A52AB8">
        <w:t xml:space="preserve">ObjectDependencyIndex, </w:t>
      </w:r>
      <w:r w:rsidRPr="00A52AB8">
        <w:t>of size MaxNumObjectsTracked × </w:t>
      </w:r>
      <w:r w:rsidR="00D9659F" w:rsidRPr="00A52AB8">
        <w:t>MaxObjectNumDependencies</w:t>
      </w:r>
      <w:r w:rsidR="003000D4" w:rsidRPr="00A52AB8">
        <w:t>,</w:t>
      </w:r>
    </w:p>
    <w:p w14:paraId="728E73DE" w14:textId="18849836" w:rsidR="00275829" w:rsidRPr="00A52AB8" w:rsidRDefault="00275829" w:rsidP="0086206F">
      <w:r w:rsidRPr="00A52AB8">
        <w:t>are initialized as follows</w:t>
      </w:r>
      <w:r w:rsidR="00DB6312" w:rsidRPr="00A52AB8">
        <w:t>:</w:t>
      </w:r>
    </w:p>
    <w:p w14:paraId="63862155" w14:textId="01894C41" w:rsidR="00275829" w:rsidRPr="00A52AB8" w:rsidRDefault="00275829">
      <w:r w:rsidRPr="00A52AB8">
        <w:tab/>
        <w:t>for ( i</w:t>
      </w:r>
      <w:r w:rsidR="00D47707" w:rsidRPr="00A52AB8">
        <w:t> = </w:t>
      </w:r>
      <w:r w:rsidRPr="00A52AB8">
        <w:t>0; i &lt; MaxNumObjectsTracked; i++ </w:t>
      </w:r>
      <w:r w:rsidR="008F1F82" w:rsidRPr="00A52AB8">
        <w:t>) {</w:t>
      </w:r>
      <w:r w:rsidRPr="00A52AB8">
        <w:br/>
      </w:r>
      <w:r w:rsidRPr="00A52AB8">
        <w:tab/>
      </w:r>
      <w:r w:rsidRPr="00A52AB8">
        <w:tab/>
        <w:t>ObjectIndex[ i ]</w:t>
      </w:r>
      <w:r w:rsidR="00D47707" w:rsidRPr="00A52AB8">
        <w:t> = </w:t>
      </w:r>
      <w:r w:rsidRPr="00A52AB8">
        <w:t>i</w:t>
      </w:r>
      <w:r w:rsidRPr="00A52AB8">
        <w:br/>
      </w:r>
      <w:r w:rsidR="00DB6312" w:rsidRPr="00A52AB8">
        <w:tab/>
      </w:r>
      <w:r w:rsidR="00DB6312" w:rsidRPr="00A52AB8">
        <w:tab/>
        <w:t>ObjectInit( ObjectIndex[ i ] )</w:t>
      </w:r>
      <w:r w:rsidRPr="00A52AB8">
        <w:br/>
      </w:r>
      <w:r w:rsidRPr="00A52AB8">
        <w:tab/>
        <w:t>}</w:t>
      </w:r>
    </w:p>
    <w:p w14:paraId="4FD502BA" w14:textId="0757FDE5" w:rsidR="00DB6312" w:rsidRPr="00A52AB8" w:rsidRDefault="00DB6312" w:rsidP="0086206F">
      <w:r w:rsidRPr="00A52AB8">
        <w:t>where the function ObjectInit( ) is defined in the subclause </w:t>
      </w:r>
      <w:r w:rsidRPr="00496A4D">
        <w:fldChar w:fldCharType="begin"/>
      </w:r>
      <w:r w:rsidRPr="00A52AB8">
        <w:instrText xml:space="preserve"> REF _Ref50319508 \r \h  \* MERGEFORMAT </w:instrText>
      </w:r>
      <w:r w:rsidRPr="00496A4D">
        <w:fldChar w:fldCharType="separate"/>
      </w:r>
      <w:r w:rsidR="00507A67">
        <w:t>F.3.12.1.2</w:t>
      </w:r>
      <w:r w:rsidRPr="00496A4D">
        <w:fldChar w:fldCharType="end"/>
      </w:r>
      <w:r w:rsidRPr="00A52AB8">
        <w:t>.</w:t>
      </w:r>
    </w:p>
    <w:p w14:paraId="7B123421" w14:textId="77777777" w:rsidR="00A13363" w:rsidRPr="00A52AB8" w:rsidRDefault="00A13363" w:rsidP="00A13363">
      <w:pPr>
        <w:rPr>
          <w:lang w:eastAsia="ja-JP"/>
        </w:rPr>
      </w:pPr>
      <w:r w:rsidRPr="00A52AB8">
        <w:rPr>
          <w:b/>
          <w:bCs/>
          <w:lang w:eastAsia="ja-JP"/>
        </w:rPr>
        <w:t>soi_persistence_flag</w:t>
      </w:r>
      <w:r w:rsidRPr="00A52AB8">
        <w:rPr>
          <w:lang w:eastAsia="ja-JP"/>
        </w:rPr>
        <w:t xml:space="preserve"> specifies the persistence of the scene object information SEI message for the current layer. soi_persistence_flag equal to 0 specifies that the scene object information SEI message applies to the current decoded atlas frame only.</w:t>
      </w:r>
    </w:p>
    <w:p w14:paraId="762B9F07" w14:textId="77777777" w:rsidR="00A13363" w:rsidRPr="00A52AB8" w:rsidRDefault="00A13363" w:rsidP="00A13363">
      <w:pPr>
        <w:rPr>
          <w:lang w:eastAsia="ja-JP"/>
        </w:rPr>
      </w:pPr>
      <w:r w:rsidRPr="00A52AB8">
        <w:rPr>
          <w:lang w:eastAsia="ja-JP"/>
        </w:rPr>
        <w:t>Let aFrmA be the current atlas frame. soi_persistence_flag equal to 1 specifies that the scene object information SEI message persists for the current layer in output order until any of the following conditions are true:</w:t>
      </w:r>
    </w:p>
    <w:p w14:paraId="0280C7E2" w14:textId="77777777" w:rsidR="00A13363" w:rsidRPr="00A52AB8" w:rsidRDefault="00E778B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new CAS begins.</w:t>
      </w:r>
    </w:p>
    <w:p w14:paraId="2180D1CA" w14:textId="77777777" w:rsidR="00A13363" w:rsidRPr="00A52AB8" w:rsidRDefault="00A1336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The bitstream ends.</w:t>
      </w:r>
    </w:p>
    <w:p w14:paraId="279E897C" w14:textId="56394590" w:rsidR="006748C4" w:rsidRPr="00A52AB8" w:rsidRDefault="006748C4"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An atlas frame aFrmB in the current layer in a coded atlas access unit containing a scene object information SEI message with the same value of soi_persistence_flag and applicable to the current layer is output for which AtlasFrmOrderCnt( aFrmB ) is greater than AtlasFrmOrderCnt( aFrmA ), where AtlasFrmOrderCnt( aFrmB ) and AtlasFrmOrderCnt( aFrmA ) are the AtlasFrmOrderCntVal values of aFrmB and aFrmA, respectively, immediately after the invocation of the decoding process for atlas frame order count for aFrmB.</w:t>
      </w:r>
    </w:p>
    <w:p w14:paraId="35AB87D3" w14:textId="0FFDAEFA" w:rsidR="00887F88" w:rsidRPr="00A52AB8" w:rsidRDefault="00887F88">
      <w:r w:rsidRPr="00A52AB8">
        <w:rPr>
          <w:rFonts w:eastAsia="Malgun Gothic"/>
          <w:b/>
          <w:bCs/>
        </w:rPr>
        <w:t>soi_</w:t>
      </w:r>
      <w:r w:rsidR="00E216A5" w:rsidRPr="00A52AB8">
        <w:rPr>
          <w:rFonts w:eastAsia="Malgun Gothic"/>
          <w:b/>
          <w:bCs/>
        </w:rPr>
        <w:t>reset</w:t>
      </w:r>
      <w:r w:rsidRPr="00A52AB8">
        <w:rPr>
          <w:rFonts w:eastAsia="Malgun Gothic"/>
          <w:b/>
          <w:bCs/>
        </w:rPr>
        <w:t>_flag</w:t>
      </w:r>
      <w:r w:rsidRPr="00A52AB8">
        <w:t xml:space="preserve"> </w:t>
      </w:r>
      <w:r w:rsidR="004A44E8" w:rsidRPr="00A52AB8">
        <w:t xml:space="preserve">indicates that </w:t>
      </w:r>
      <w:r w:rsidR="001D72D1" w:rsidRPr="00A52AB8">
        <w:t xml:space="preserve">all arrays associated with the </w:t>
      </w:r>
      <w:r w:rsidR="004A44E8" w:rsidRPr="00A52AB8">
        <w:t xml:space="preserve">scene object information SEI message </w:t>
      </w:r>
      <w:r w:rsidR="001D72D1" w:rsidRPr="00A52AB8">
        <w:t xml:space="preserve">are </w:t>
      </w:r>
      <w:r w:rsidR="004A44E8" w:rsidRPr="00A52AB8">
        <w:t>reset</w:t>
      </w:r>
      <w:r w:rsidR="00064D8D" w:rsidRPr="00A52AB8">
        <w:t xml:space="preserve"> as follows:</w:t>
      </w:r>
    </w:p>
    <w:p w14:paraId="0C99E24E" w14:textId="60B980E1" w:rsidR="00064D8D" w:rsidRPr="00A52AB8" w:rsidRDefault="00064D8D" w:rsidP="00064D8D">
      <w:r w:rsidRPr="00A52AB8">
        <w:tab/>
        <w:t>for ( i</w:t>
      </w:r>
      <w:r w:rsidR="00D47707" w:rsidRPr="00A52AB8">
        <w:t> = </w:t>
      </w:r>
      <w:r w:rsidRPr="00A52AB8">
        <w:t>0; i &lt; MaxNumObjectsTracked; i++ </w:t>
      </w:r>
      <w:r w:rsidR="008F1F82" w:rsidRPr="00A52AB8">
        <w:t>) {</w:t>
      </w:r>
      <w:r w:rsidRPr="00A52AB8">
        <w:br/>
      </w:r>
      <w:r w:rsidRPr="00A52AB8">
        <w:tab/>
      </w:r>
      <w:r w:rsidRPr="00A52AB8">
        <w:tab/>
        <w:t>ObjectIndex[ i ]</w:t>
      </w:r>
      <w:r w:rsidR="00D47707" w:rsidRPr="00A52AB8">
        <w:t> = </w:t>
      </w:r>
      <w:r w:rsidRPr="00A52AB8">
        <w:t>i</w:t>
      </w:r>
      <w:r w:rsidRPr="00A52AB8">
        <w:br/>
      </w:r>
      <w:r w:rsidRPr="00A52AB8">
        <w:tab/>
      </w:r>
      <w:r w:rsidRPr="00A52AB8">
        <w:tab/>
        <w:t>ObjectInit( ObjectIndex[ i ] )</w:t>
      </w:r>
      <w:r w:rsidRPr="00A52AB8">
        <w:br/>
      </w:r>
      <w:r w:rsidRPr="00A52AB8">
        <w:tab/>
        <w:t>}</w:t>
      </w:r>
    </w:p>
    <w:p w14:paraId="10868598" w14:textId="2A92512E" w:rsidR="00887F88" w:rsidRPr="00A52AB8" w:rsidRDefault="00887F88">
      <w:pPr>
        <w:rPr>
          <w:b/>
        </w:rPr>
      </w:pPr>
      <w:r w:rsidRPr="00A52AB8">
        <w:rPr>
          <w:b/>
          <w:bCs/>
        </w:rPr>
        <w:t>soi_num_object_updates</w:t>
      </w:r>
      <w:r w:rsidRPr="00A52AB8">
        <w:rPr>
          <w:bCs/>
        </w:rPr>
        <w:t xml:space="preserve"> indicates the number of objects that are to be updated by the current SEI</w:t>
      </w:r>
      <w:r w:rsidR="00701E3E" w:rsidRPr="00A52AB8">
        <w:rPr>
          <w:bCs/>
        </w:rPr>
        <w:t xml:space="preserve"> message</w:t>
      </w:r>
      <w:r w:rsidRPr="00A52AB8">
        <w:rPr>
          <w:bCs/>
        </w:rPr>
        <w:t>.</w:t>
      </w:r>
      <w:r w:rsidR="00973A11" w:rsidRPr="00A52AB8">
        <w:rPr>
          <w:bCs/>
        </w:rPr>
        <w:t xml:space="preserve"> </w:t>
      </w:r>
      <w:r w:rsidR="00D21942" w:rsidRPr="00A52AB8">
        <w:rPr>
          <w:color w:val="000000" w:themeColor="text1"/>
        </w:rPr>
        <w:t xml:space="preserve">The value of </w:t>
      </w:r>
      <w:r w:rsidR="00D21942" w:rsidRPr="00A52AB8">
        <w:t xml:space="preserve">soi_num_object_updates </w:t>
      </w:r>
      <w:r w:rsidR="00D21942" w:rsidRPr="00A52AB8">
        <w:rPr>
          <w:color w:val="000000" w:themeColor="text1"/>
        </w:rPr>
        <w:t xml:space="preserve">shall be in the range from 0 to </w:t>
      </w:r>
      <w:r w:rsidR="00DB6312" w:rsidRPr="00A52AB8">
        <w:t>MaxNumObjectsTracked</w:t>
      </w:r>
      <w:r w:rsidR="00D21942" w:rsidRPr="00A52AB8">
        <w:rPr>
          <w:color w:val="000000" w:themeColor="text1"/>
        </w:rPr>
        <w:t>, inclusive.</w:t>
      </w:r>
      <w:r w:rsidR="00D21942" w:rsidRPr="00A52AB8">
        <w:rPr>
          <w:bCs/>
          <w:color w:val="000000" w:themeColor="text1"/>
        </w:rPr>
        <w:t xml:space="preserve"> </w:t>
      </w:r>
      <w:r w:rsidR="00D82C8D" w:rsidRPr="00A52AB8">
        <w:rPr>
          <w:bCs/>
        </w:rPr>
        <w:t>The default value of soi_num_object_updates is equal to 0.</w:t>
      </w:r>
    </w:p>
    <w:p w14:paraId="13BFC6D4" w14:textId="77777777" w:rsidR="00887F88" w:rsidRPr="00A52AB8" w:rsidRDefault="00887F88">
      <w:pPr>
        <w:rPr>
          <w:b/>
          <w:bCs/>
        </w:rPr>
      </w:pPr>
      <w:r w:rsidRPr="00A52AB8">
        <w:rPr>
          <w:b/>
          <w:bCs/>
        </w:rPr>
        <w:t>soi_simple_objects_flag</w:t>
      </w:r>
      <w:r w:rsidRPr="00A52AB8">
        <w:t xml:space="preserve"> equal to 1 indicates that no additional information for an updated or newly introduced object will be signalled. soi_simple_objects_flag equal to 0 indicates that additional information for an updated or newly introduced object may be signalled.</w:t>
      </w:r>
    </w:p>
    <w:p w14:paraId="3F3B65BE" w14:textId="77777777" w:rsidR="00887F88" w:rsidRPr="00A52AB8" w:rsidRDefault="00887F88">
      <w:pPr>
        <w:rPr>
          <w:lang w:eastAsia="ja-JP"/>
        </w:rPr>
      </w:pPr>
      <w:r w:rsidRPr="00A52AB8">
        <w:rPr>
          <w:b/>
        </w:rPr>
        <w:t>soi_object_label_present_flag</w:t>
      </w:r>
      <w:r w:rsidRPr="00A52AB8">
        <w:t xml:space="preserve"> equal to 1 indicates that object label information is present in the current scene object information SEI message. soi_object_label_present_flag equal to 0 indicates that object label information is not present.</w:t>
      </w:r>
    </w:p>
    <w:p w14:paraId="64BB02BD" w14:textId="77777777" w:rsidR="00887F88" w:rsidRPr="00A52AB8" w:rsidRDefault="00887F88">
      <w:pPr>
        <w:rPr>
          <w:lang w:eastAsia="ja-JP"/>
        </w:rPr>
      </w:pPr>
      <w:r w:rsidRPr="00A52AB8">
        <w:rPr>
          <w:b/>
        </w:rPr>
        <w:t>so</w:t>
      </w:r>
      <w:r w:rsidRPr="00A52AB8">
        <w:rPr>
          <w:b/>
          <w:bCs/>
        </w:rPr>
        <w:t>i_priority_present_flag</w:t>
      </w:r>
      <w:r w:rsidRPr="00A52AB8">
        <w:t xml:space="preserve"> equal to 1 indicates that priority information is present in the current scene object information SEI message. soi_priority_present_flag equal to 0 indicates that priority information is not present.</w:t>
      </w:r>
    </w:p>
    <w:p w14:paraId="7564E8E5" w14:textId="77777777" w:rsidR="00887F88" w:rsidRPr="00A52AB8" w:rsidRDefault="00887F88" w:rsidP="007656E5">
      <w:pPr>
        <w:rPr>
          <w:b/>
          <w:bCs/>
        </w:rPr>
      </w:pPr>
      <w:r w:rsidRPr="00A52AB8">
        <w:rPr>
          <w:b/>
        </w:rPr>
        <w:t>soi_object_hidden_present_flag</w:t>
      </w:r>
      <w:r w:rsidRPr="00A52AB8">
        <w:t xml:space="preserve"> equal to 1 indicates that hidden object information is present in the current scene object information SEI message. soi_object_hidden_present_flag equal to 0 indicates that hidden object information is not present.</w:t>
      </w:r>
    </w:p>
    <w:p w14:paraId="3B478A09" w14:textId="77777777" w:rsidR="00887F88" w:rsidRPr="00A52AB8" w:rsidRDefault="00887F88" w:rsidP="007656E5">
      <w:pPr>
        <w:rPr>
          <w:b/>
          <w:bCs/>
        </w:rPr>
      </w:pPr>
      <w:r w:rsidRPr="00A52AB8">
        <w:rPr>
          <w:b/>
        </w:rPr>
        <w:t>soi_object_dependency_present_flag</w:t>
      </w:r>
      <w:r w:rsidRPr="00A52AB8">
        <w:t xml:space="preserve"> equal to 1 indicates that object dependency information is present in the current scene object information SEI message. soi_object_dependency_present_flag equal to 0 indicates that object dependency information is not present.</w:t>
      </w:r>
    </w:p>
    <w:p w14:paraId="42874406" w14:textId="77777777" w:rsidR="00887F88" w:rsidRPr="00A52AB8" w:rsidRDefault="00887F88" w:rsidP="007656E5">
      <w:pPr>
        <w:rPr>
          <w:b/>
          <w:bCs/>
        </w:rPr>
      </w:pPr>
      <w:r w:rsidRPr="00A52AB8">
        <w:rPr>
          <w:b/>
        </w:rPr>
        <w:t>soi_visibility_cones_present_flag</w:t>
      </w:r>
      <w:r w:rsidRPr="00A52AB8">
        <w:t xml:space="preserve"> equal to 1 indicates that visibility cones information is present in the current scene object information SEI message. </w:t>
      </w:r>
      <w:r w:rsidRPr="00A52AB8">
        <w:rPr>
          <w:bCs/>
        </w:rPr>
        <w:t>soi_visibility_cones_present_flag</w:t>
      </w:r>
      <w:r w:rsidRPr="00A52AB8">
        <w:t xml:space="preserve"> equal to 0 indicates that visibility cones information is not present.</w:t>
      </w:r>
    </w:p>
    <w:p w14:paraId="5A498254" w14:textId="77777777" w:rsidR="00887F88" w:rsidRPr="00A52AB8" w:rsidRDefault="00887F88">
      <w:pPr>
        <w:rPr>
          <w:lang w:eastAsia="ja-JP"/>
        </w:rPr>
      </w:pPr>
      <w:r w:rsidRPr="00A52AB8">
        <w:rPr>
          <w:b/>
          <w:bCs/>
        </w:rPr>
        <w:t>soi_3d_</w:t>
      </w:r>
      <w:r w:rsidRPr="00A52AB8">
        <w:rPr>
          <w:b/>
        </w:rPr>
        <w:t>bounding_box_present_flag</w:t>
      </w:r>
      <w:r w:rsidRPr="00A52AB8">
        <w:t xml:space="preserve"> equal to 1 indicates that 3D bounding box information is present in the current scene object information SEI message. soi_3d_bounding_box_present_flag equal to 0 indicates that 3D bounding box information is not present.</w:t>
      </w:r>
    </w:p>
    <w:p w14:paraId="5119BCC9" w14:textId="77777777" w:rsidR="00887F88" w:rsidRPr="00A52AB8" w:rsidRDefault="00887F88">
      <w:pPr>
        <w:rPr>
          <w:b/>
        </w:rPr>
      </w:pPr>
      <w:r w:rsidRPr="00A52AB8">
        <w:rPr>
          <w:b/>
          <w:bCs/>
        </w:rPr>
        <w:t>so</w:t>
      </w:r>
      <w:r w:rsidRPr="00A52AB8">
        <w:rPr>
          <w:b/>
        </w:rPr>
        <w:t>i_collision_shape_present_flag</w:t>
      </w:r>
      <w:r w:rsidRPr="00A52AB8">
        <w:t xml:space="preserve"> equal to 1 indicates that collision information is present in the current scene object information SEI message. soi_collision_shape_present_flag equal to 0 indicates that collision shape information is not present.</w:t>
      </w:r>
    </w:p>
    <w:p w14:paraId="636C56EA" w14:textId="77777777" w:rsidR="00887F88" w:rsidRPr="00A52AB8" w:rsidRDefault="00887F88">
      <w:pPr>
        <w:rPr>
          <w:lang w:eastAsia="ja-JP"/>
        </w:rPr>
      </w:pPr>
      <w:r w:rsidRPr="00A52AB8">
        <w:rPr>
          <w:b/>
          <w:bCs/>
        </w:rPr>
        <w:t>so</w:t>
      </w:r>
      <w:r w:rsidRPr="00A52AB8">
        <w:rPr>
          <w:b/>
        </w:rPr>
        <w:t>i_point_style_present_flag</w:t>
      </w:r>
      <w:r w:rsidRPr="00A52AB8">
        <w:t xml:space="preserve"> equal to 1 indicates that point style information is present in the current scene object information SEI message. soi_point_style_present_flag equal to 0 indicates that point style information is not present.</w:t>
      </w:r>
    </w:p>
    <w:p w14:paraId="4E4F3E6D" w14:textId="77777777" w:rsidR="00887F88" w:rsidRPr="00A52AB8" w:rsidRDefault="00887F88">
      <w:pPr>
        <w:rPr>
          <w:lang w:eastAsia="ja-JP"/>
        </w:rPr>
      </w:pPr>
      <w:r w:rsidRPr="00A52AB8">
        <w:rPr>
          <w:b/>
          <w:bCs/>
        </w:rPr>
        <w:t>so</w:t>
      </w:r>
      <w:r w:rsidRPr="00A52AB8">
        <w:rPr>
          <w:b/>
        </w:rPr>
        <w:t>i_material_id_present_flag</w:t>
      </w:r>
      <w:r w:rsidRPr="00A52AB8">
        <w:t xml:space="preserve"> equal to 1 indicates that material ID information is present in the current scene object information SEI message. soi_material_id_present_flag equal to 0 indicates that material ID information is not present.</w:t>
      </w:r>
    </w:p>
    <w:p w14:paraId="511AB942" w14:textId="77777777" w:rsidR="00887F88" w:rsidRPr="00A52AB8" w:rsidRDefault="00887F88">
      <w:pPr>
        <w:rPr>
          <w:lang w:eastAsia="ja-JP"/>
        </w:rPr>
      </w:pPr>
      <w:r w:rsidRPr="00A52AB8">
        <w:rPr>
          <w:b/>
          <w:bCs/>
        </w:rPr>
        <w:t>so</w:t>
      </w:r>
      <w:r w:rsidRPr="00A52AB8">
        <w:rPr>
          <w:b/>
        </w:rPr>
        <w:t>i_extension_present_flag</w:t>
      </w:r>
      <w:r w:rsidRPr="00A52AB8">
        <w:t xml:space="preserve"> equal to 1 indicates that additional extension information shall be present in the current scene object information SEI message.</w:t>
      </w:r>
      <w:r w:rsidRPr="00A52AB8">
        <w:rPr>
          <w:bCs/>
        </w:rPr>
        <w:t xml:space="preserve"> soi_extension_present_flag</w:t>
      </w:r>
      <w:r w:rsidRPr="00A52AB8">
        <w:t xml:space="preserve"> equal to 0 indicates that additional extension information is not present. It is a requirement of bitstream conformance to this version of </w:t>
      </w:r>
      <w:r w:rsidR="000B14F7" w:rsidRPr="00A52AB8">
        <w:t>this document</w:t>
      </w:r>
      <w:r w:rsidRPr="00A52AB8">
        <w:t xml:space="preserve"> that </w:t>
      </w:r>
      <w:r w:rsidRPr="00A52AB8">
        <w:rPr>
          <w:bCs/>
        </w:rPr>
        <w:t>soi_extension_present_flag shall be equal to 0.</w:t>
      </w:r>
    </w:p>
    <w:p w14:paraId="0941F4C4" w14:textId="77777777" w:rsidR="00887F88" w:rsidRPr="00A52AB8" w:rsidRDefault="00887F88">
      <w:pPr>
        <w:rPr>
          <w:b/>
        </w:rPr>
      </w:pPr>
      <w:r w:rsidRPr="00A52AB8">
        <w:rPr>
          <w:b/>
          <w:bCs/>
          <w:color w:val="000000" w:themeColor="text1"/>
        </w:rPr>
        <w:t>soi</w:t>
      </w:r>
      <w:r w:rsidRPr="00A52AB8">
        <w:rPr>
          <w:b/>
          <w:bCs/>
        </w:rPr>
        <w:t>_3d_</w:t>
      </w:r>
      <w:r w:rsidRPr="00A52AB8">
        <w:rPr>
          <w:b/>
          <w:color w:val="000000" w:themeColor="text1"/>
        </w:rPr>
        <w:t>bounding_box_scale_log2</w:t>
      </w:r>
      <w:r w:rsidRPr="00A52AB8">
        <w:rPr>
          <w:bCs/>
        </w:rPr>
        <w:t xml:space="preserve"> indicates the scale to be applied to the 3D bounding box parameters that may be specified for an object.</w:t>
      </w:r>
    </w:p>
    <w:p w14:paraId="3CF64121" w14:textId="692FB704" w:rsidR="00887F88" w:rsidRPr="00A52AB8" w:rsidRDefault="00887F88" w:rsidP="007656E5">
      <w:r w:rsidRPr="00A52AB8">
        <w:rPr>
          <w:b/>
          <w:bCs/>
        </w:rPr>
        <w:t>soi_log2_max_object_idx_updated</w:t>
      </w:r>
      <w:r w:rsidR="004F6054" w:rsidRPr="00A52AB8">
        <w:rPr>
          <w:b/>
          <w:color w:val="000000" w:themeColor="text1"/>
        </w:rPr>
        <w:t xml:space="preserve">_minus1 </w:t>
      </w:r>
      <w:r w:rsidR="004F6054" w:rsidRPr="00A52AB8">
        <w:rPr>
          <w:bCs/>
          <w:color w:val="000000" w:themeColor="text1"/>
        </w:rPr>
        <w:t>plus 1</w:t>
      </w:r>
      <w:r w:rsidRPr="00A52AB8">
        <w:rPr>
          <w:b/>
          <w:bCs/>
        </w:rPr>
        <w:t xml:space="preserve"> </w:t>
      </w:r>
      <w:r w:rsidRPr="00A52AB8">
        <w:t>specifies the number of bits</w:t>
      </w:r>
      <w:r w:rsidRPr="00A52AB8">
        <w:rPr>
          <w:b/>
          <w:bCs/>
        </w:rPr>
        <w:t xml:space="preserve"> </w:t>
      </w:r>
      <w:r w:rsidRPr="00A52AB8">
        <w:t>used to signal the value of an object index in the current scene object information SEI message.</w:t>
      </w:r>
    </w:p>
    <w:p w14:paraId="4E2D66F4" w14:textId="69AA67A1" w:rsidR="00887F88" w:rsidRPr="00A52AB8" w:rsidRDefault="00887F88" w:rsidP="007656E5">
      <w:pPr>
        <w:rPr>
          <w:b/>
          <w:bCs/>
        </w:rPr>
      </w:pPr>
      <w:r w:rsidRPr="00A52AB8">
        <w:rPr>
          <w:b/>
          <w:bCs/>
        </w:rPr>
        <w:t>soi_log2_max_object_dependency_idx</w:t>
      </w:r>
      <w:r w:rsidRPr="00A52AB8">
        <w:t xml:space="preserve"> specifies the number of bits</w:t>
      </w:r>
      <w:r w:rsidRPr="00A52AB8">
        <w:rPr>
          <w:b/>
          <w:bCs/>
        </w:rPr>
        <w:t xml:space="preserve"> </w:t>
      </w:r>
      <w:r w:rsidRPr="00A52AB8">
        <w:t>used to signal the value of a dependency object index in the current scene object information SEI message.</w:t>
      </w:r>
      <w:r w:rsidR="00C62156" w:rsidRPr="00A52AB8">
        <w:t xml:space="preserve"> The default value of soi_log2_max_object_dependency_idx is</w:t>
      </w:r>
      <w:r w:rsidR="00C62156" w:rsidRPr="00A52AB8">
        <w:rPr>
          <w:bCs/>
        </w:rPr>
        <w:t xml:space="preserve"> equal to 0.</w:t>
      </w:r>
    </w:p>
    <w:p w14:paraId="3ED381EC" w14:textId="4A26442F" w:rsidR="00887F88" w:rsidRPr="00A52AB8" w:rsidRDefault="00887F88" w:rsidP="007656E5">
      <w:pPr>
        <w:rPr>
          <w:bCs/>
          <w:color w:val="000000" w:themeColor="text1"/>
        </w:rPr>
      </w:pPr>
      <w:r w:rsidRPr="00A52AB8">
        <w:rPr>
          <w:b/>
          <w:bCs/>
        </w:rPr>
        <w:t>soi_object_idx</w:t>
      </w:r>
      <w:r w:rsidR="001F4484" w:rsidRPr="00A52AB8">
        <w:t>[ i ]</w:t>
      </w:r>
      <w:r w:rsidRPr="00A52AB8">
        <w:rPr>
          <w:bCs/>
        </w:rPr>
        <w:t xml:space="preserve"> indicates the object index of the i-th object to be updated. The number of bits used to represent soi_object_idx</w:t>
      </w:r>
      <w:r w:rsidR="001F4484" w:rsidRPr="00A52AB8">
        <w:rPr>
          <w:bCs/>
        </w:rPr>
        <w:t>[ i ]</w:t>
      </w:r>
      <w:r w:rsidRPr="00A52AB8">
        <w:rPr>
          <w:bCs/>
        </w:rPr>
        <w:t xml:space="preserve"> is equal to </w:t>
      </w:r>
      <w:r w:rsidRPr="00A52AB8">
        <w:t>soi_log2_max_object_idx_updated</w:t>
      </w:r>
      <w:r w:rsidR="00807695" w:rsidRPr="00A52AB8">
        <w:t>_minus1</w:t>
      </w:r>
      <w:r w:rsidR="00B46B74" w:rsidRPr="00A52AB8">
        <w:t> + 1</w:t>
      </w:r>
      <w:r w:rsidRPr="00A52AB8">
        <w:rPr>
          <w:bCs/>
        </w:rPr>
        <w:t>.</w:t>
      </w:r>
    </w:p>
    <w:p w14:paraId="5AB8A2F9" w14:textId="77777777" w:rsidR="0050235C" w:rsidRPr="00A52AB8" w:rsidRDefault="00887F88">
      <w:r w:rsidRPr="00A52AB8">
        <w:rPr>
          <w:b/>
          <w:bCs/>
        </w:rPr>
        <w:t>soi_object_cancel_flag</w:t>
      </w:r>
      <w:r w:rsidR="001F4484" w:rsidRPr="00A52AB8">
        <w:t>[ i ]</w:t>
      </w:r>
      <w:r w:rsidRPr="00A52AB8">
        <w:t xml:space="preserve"> equal to 1 indicates that the object with index equal to </w:t>
      </w:r>
      <w:r w:rsidRPr="00A52AB8">
        <w:rPr>
          <w:bCs/>
        </w:rPr>
        <w:t xml:space="preserve">i </w:t>
      </w:r>
      <w:r w:rsidRPr="00A52AB8">
        <w:t xml:space="preserve">shall be canceled and that the variable </w:t>
      </w:r>
      <w:r w:rsidRPr="00A52AB8">
        <w:rPr>
          <w:bCs/>
        </w:rPr>
        <w:t>ObjectTracked</w:t>
      </w:r>
      <w:r w:rsidR="001F4484" w:rsidRPr="00A52AB8">
        <w:rPr>
          <w:bCs/>
        </w:rPr>
        <w:t>[ i ]</w:t>
      </w:r>
      <w:r w:rsidRPr="00A52AB8">
        <w:rPr>
          <w:bCs/>
        </w:rPr>
        <w:t xml:space="preserve"> shall be set to 0</w:t>
      </w:r>
      <w:r w:rsidRPr="00A52AB8">
        <w:t xml:space="preserve">. Furthermore, all of its associated parameters, including the object label, 3D bounding box parameters, priority information, hidden flag, dependency information, visibility cones, collision shapes, point style, and material id, </w:t>
      </w:r>
      <w:r w:rsidR="00B25149" w:rsidRPr="00A52AB8">
        <w:t xml:space="preserve">shall </w:t>
      </w:r>
      <w:r w:rsidRPr="00A52AB8">
        <w:t xml:space="preserve">be reset </w:t>
      </w:r>
      <w:r w:rsidR="001D72D1" w:rsidRPr="00A52AB8">
        <w:t xml:space="preserve">by </w:t>
      </w:r>
      <w:r w:rsidR="00B25149" w:rsidRPr="00A52AB8">
        <w:t>invoking</w:t>
      </w:r>
      <w:r w:rsidR="001D72D1" w:rsidRPr="00A52AB8">
        <w:t xml:space="preserve"> the function ObjectInit( </w:t>
      </w:r>
      <w:r w:rsidR="001D72D1" w:rsidRPr="00A52AB8">
        <w:rPr>
          <w:bCs/>
        </w:rPr>
        <w:t>i )</w:t>
      </w:r>
      <w:r w:rsidRPr="00A52AB8">
        <w:t>. soi_object_cancel_flag</w:t>
      </w:r>
      <w:r w:rsidR="00064D8D" w:rsidRPr="00A52AB8">
        <w:rPr>
          <w:bCs/>
        </w:rPr>
        <w:t>[ i ]</w:t>
      </w:r>
      <w:r w:rsidRPr="00A52AB8">
        <w:t xml:space="preserve"> equal to 0 indicates that the object with index equal to </w:t>
      </w:r>
      <w:r w:rsidRPr="00A52AB8">
        <w:rPr>
          <w:bCs/>
        </w:rPr>
        <w:t>soi_object_idx</w:t>
      </w:r>
      <w:r w:rsidR="001F4484" w:rsidRPr="00A52AB8">
        <w:rPr>
          <w:bCs/>
        </w:rPr>
        <w:t>[ i ]</w:t>
      </w:r>
      <w:r w:rsidRPr="00A52AB8">
        <w:rPr>
          <w:bCs/>
        </w:rPr>
        <w:t xml:space="preserve"> </w:t>
      </w:r>
      <w:r w:rsidRPr="00A52AB8">
        <w:t xml:space="preserve">shall be updated with information that follows this element and that that the variable </w:t>
      </w:r>
      <w:r w:rsidRPr="00A52AB8">
        <w:rPr>
          <w:bCs/>
        </w:rPr>
        <w:t>ObjectTracked</w:t>
      </w:r>
      <w:r w:rsidR="001F4484" w:rsidRPr="00A52AB8">
        <w:rPr>
          <w:bCs/>
        </w:rPr>
        <w:t>[ i ]</w:t>
      </w:r>
      <w:r w:rsidRPr="00A52AB8">
        <w:rPr>
          <w:bCs/>
        </w:rPr>
        <w:t xml:space="preserve"> shal</w:t>
      </w:r>
      <w:r w:rsidR="00B32613" w:rsidRPr="00A52AB8">
        <w:rPr>
          <w:bCs/>
        </w:rPr>
        <w:t>l</w:t>
      </w:r>
      <w:r w:rsidRPr="00A52AB8">
        <w:rPr>
          <w:bCs/>
        </w:rPr>
        <w:t xml:space="preserve"> be set to 1</w:t>
      </w:r>
      <w:r w:rsidRPr="00A52AB8">
        <w:t>.</w:t>
      </w:r>
    </w:p>
    <w:p w14:paraId="5B3E12AC" w14:textId="3B738B6D" w:rsidR="00887F88" w:rsidRPr="00A52AB8" w:rsidRDefault="00887F88">
      <w:pPr>
        <w:rPr>
          <w:b/>
        </w:rPr>
      </w:pPr>
      <w:r w:rsidRPr="00A52AB8">
        <w:rPr>
          <w:b/>
          <w:bCs/>
        </w:rPr>
        <w:t>soi_</w:t>
      </w:r>
      <w:r w:rsidRPr="00A52AB8">
        <w:rPr>
          <w:b/>
        </w:rPr>
        <w:t>object_label_update_flag</w:t>
      </w:r>
      <w:r w:rsidR="001F4484" w:rsidRPr="00A52AB8">
        <w:t>[ i ]</w:t>
      </w:r>
      <w:r w:rsidRPr="00A52AB8">
        <w:t xml:space="preserve"> equal to 1 indicates that object label update information is present for an object with object index i. </w:t>
      </w:r>
      <w:r w:rsidRPr="00A52AB8">
        <w:rPr>
          <w:bCs/>
        </w:rPr>
        <w:t>soi_object_label_update_flag</w:t>
      </w:r>
      <w:r w:rsidR="001F4484" w:rsidRPr="00A52AB8">
        <w:rPr>
          <w:bCs/>
        </w:rPr>
        <w:t>[ i ]</w:t>
      </w:r>
      <w:r w:rsidRPr="00A52AB8">
        <w:rPr>
          <w:bCs/>
        </w:rPr>
        <w:t xml:space="preserve"> equal to 0 indicates that object label update information is not present.</w:t>
      </w:r>
    </w:p>
    <w:p w14:paraId="775F278C" w14:textId="39128E0D" w:rsidR="00887F88" w:rsidRPr="00A52AB8" w:rsidRDefault="00887F88" w:rsidP="007656E5">
      <w:r w:rsidRPr="00A52AB8">
        <w:rPr>
          <w:b/>
          <w:bCs/>
        </w:rPr>
        <w:t>soi_object_label_idx</w:t>
      </w:r>
      <w:r w:rsidR="001F4484" w:rsidRPr="00A52AB8">
        <w:t>[ i ]</w:t>
      </w:r>
      <w:r w:rsidRPr="00A52AB8">
        <w:rPr>
          <w:bCs/>
        </w:rPr>
        <w:t xml:space="preserve"> indicates the label index</w:t>
      </w:r>
      <w:r w:rsidR="001D72D1" w:rsidRPr="00A52AB8">
        <w:rPr>
          <w:bCs/>
        </w:rPr>
        <w:t>, ObjectLabelIndex[ i ],</w:t>
      </w:r>
      <w:r w:rsidRPr="00A52AB8">
        <w:rPr>
          <w:bCs/>
        </w:rPr>
        <w:t xml:space="preserve"> of an object with index i.</w:t>
      </w:r>
      <w:r w:rsidR="0015054E" w:rsidRPr="00A52AB8">
        <w:rPr>
          <w:bCs/>
        </w:rPr>
        <w:t xml:space="preserve"> </w:t>
      </w:r>
      <w:r w:rsidR="0015054E" w:rsidRPr="00A52AB8">
        <w:rPr>
          <w:color w:val="000000" w:themeColor="text1"/>
        </w:rPr>
        <w:t xml:space="preserve">The value of </w:t>
      </w:r>
      <w:r w:rsidR="0015054E" w:rsidRPr="00A52AB8">
        <w:t>soi_object_label_idx</w:t>
      </w:r>
      <w:r w:rsidR="0015054E" w:rsidRPr="00A52AB8">
        <w:rPr>
          <w:color w:val="000000" w:themeColor="text1"/>
        </w:rPr>
        <w:t xml:space="preserve">[ i ] shall be in the range from 0 to </w:t>
      </w:r>
      <w:r w:rsidR="00064D8D" w:rsidRPr="00A52AB8">
        <w:t>MaxNumObjectsTracked</w:t>
      </w:r>
      <w:r w:rsidR="00C253B2" w:rsidRPr="00A52AB8">
        <w:rPr>
          <w:color w:val="000000" w:themeColor="text1"/>
        </w:rPr>
        <w:t> – 1</w:t>
      </w:r>
      <w:r w:rsidR="0015054E" w:rsidRPr="00A52AB8">
        <w:rPr>
          <w:color w:val="000000" w:themeColor="text1"/>
        </w:rPr>
        <w:t>, inclusive.</w:t>
      </w:r>
    </w:p>
    <w:p w14:paraId="187D289D" w14:textId="77777777" w:rsidR="00887F88" w:rsidRPr="00A52AB8" w:rsidRDefault="00887F88">
      <w:pPr>
        <w:rPr>
          <w:b/>
        </w:rPr>
      </w:pPr>
      <w:r w:rsidRPr="00A52AB8">
        <w:rPr>
          <w:b/>
          <w:bCs/>
        </w:rPr>
        <w:t>soi_priority</w:t>
      </w:r>
      <w:r w:rsidRPr="00A52AB8">
        <w:rPr>
          <w:b/>
        </w:rPr>
        <w:t>_update_flag</w:t>
      </w:r>
      <w:r w:rsidR="001F4484" w:rsidRPr="00A52AB8">
        <w:t>[ i ]</w:t>
      </w:r>
      <w:r w:rsidRPr="00A52AB8">
        <w:t xml:space="preserve"> equal to 1 indicates that priority update information is present for an object with object index i. </w:t>
      </w:r>
      <w:r w:rsidRPr="00A52AB8">
        <w:rPr>
          <w:bCs/>
        </w:rPr>
        <w:t>soi_priority_update_flag</w:t>
      </w:r>
      <w:r w:rsidR="001F4484" w:rsidRPr="00A52AB8">
        <w:rPr>
          <w:bCs/>
        </w:rPr>
        <w:t>[ i ]</w:t>
      </w:r>
      <w:r w:rsidRPr="00A52AB8">
        <w:rPr>
          <w:bCs/>
        </w:rPr>
        <w:t xml:space="preserve"> equal to 0 indicates that object priority information is not present.</w:t>
      </w:r>
    </w:p>
    <w:p w14:paraId="148BC12A" w14:textId="72E98AD8" w:rsidR="00887F88" w:rsidRPr="00A52AB8" w:rsidRDefault="00887F88">
      <w:pPr>
        <w:rPr>
          <w:bCs/>
        </w:rPr>
      </w:pPr>
      <w:r w:rsidRPr="00A52AB8">
        <w:rPr>
          <w:b/>
          <w:bCs/>
        </w:rPr>
        <w:t>soi_priority_value</w:t>
      </w:r>
      <w:r w:rsidR="001F4484" w:rsidRPr="00A52AB8">
        <w:rPr>
          <w:bCs/>
        </w:rPr>
        <w:t>[ i ]</w:t>
      </w:r>
      <w:r w:rsidRPr="00A52AB8">
        <w:rPr>
          <w:bCs/>
        </w:rPr>
        <w:t xml:space="preserve"> indicates the priority</w:t>
      </w:r>
      <w:r w:rsidR="001D72D1" w:rsidRPr="00A52AB8">
        <w:rPr>
          <w:bCs/>
        </w:rPr>
        <w:t>, ObjectPriorityValue[ i ],</w:t>
      </w:r>
      <w:r w:rsidRPr="00A52AB8">
        <w:rPr>
          <w:bCs/>
        </w:rPr>
        <w:t xml:space="preserve"> of an object with index i. The lower the priority value, the higher the priority.</w:t>
      </w:r>
      <w:r w:rsidR="00A604AE" w:rsidRPr="00A52AB8">
        <w:rPr>
          <w:bCs/>
        </w:rPr>
        <w:t xml:space="preserve"> The default value of </w:t>
      </w:r>
      <w:r w:rsidR="00B6489C" w:rsidRPr="00A52AB8">
        <w:rPr>
          <w:bCs/>
        </w:rPr>
        <w:t>soi_priority_value</w:t>
      </w:r>
      <w:r w:rsidR="00A604AE" w:rsidRPr="00A52AB8">
        <w:rPr>
          <w:bCs/>
        </w:rPr>
        <w:t>[ i ] is equal to 0.</w:t>
      </w:r>
    </w:p>
    <w:p w14:paraId="507E2F97" w14:textId="788D5CE0" w:rsidR="00887F88" w:rsidRPr="00A52AB8" w:rsidRDefault="00887F88" w:rsidP="007656E5">
      <w:pPr>
        <w:rPr>
          <w:bCs/>
        </w:rPr>
      </w:pPr>
      <w:r w:rsidRPr="00A52AB8">
        <w:rPr>
          <w:b/>
          <w:bCs/>
        </w:rPr>
        <w:t>so</w:t>
      </w:r>
      <w:r w:rsidRPr="00A52AB8">
        <w:rPr>
          <w:b/>
        </w:rPr>
        <w:t>i_object_hidden_flag</w:t>
      </w:r>
      <w:r w:rsidR="001F4484" w:rsidRPr="00A52AB8">
        <w:t>[ i ]</w:t>
      </w:r>
      <w:r w:rsidRPr="00A52AB8">
        <w:rPr>
          <w:bCs/>
        </w:rPr>
        <w:t xml:space="preserve"> </w:t>
      </w:r>
      <w:r w:rsidR="001D72D1" w:rsidRPr="00A52AB8">
        <w:rPr>
          <w:bCs/>
        </w:rPr>
        <w:t xml:space="preserve">indicates the value of ObjectHiddenFlag[ i ] of an object with index i. soi_object_hidden_flag[ i ] </w:t>
      </w:r>
      <w:r w:rsidRPr="00A52AB8">
        <w:rPr>
          <w:bCs/>
        </w:rPr>
        <w:t>equal to 1 indicates that the object with index i shall be hidden. soi_object_hidden_flag</w:t>
      </w:r>
      <w:r w:rsidR="001F4484" w:rsidRPr="00A52AB8">
        <w:rPr>
          <w:bCs/>
        </w:rPr>
        <w:t>[ i ]</w:t>
      </w:r>
      <w:r w:rsidRPr="00A52AB8">
        <w:rPr>
          <w:bCs/>
        </w:rPr>
        <w:t xml:space="preserve"> equal to 0 indicates that the object with index i shall become present.</w:t>
      </w:r>
    </w:p>
    <w:p w14:paraId="13F48AB3" w14:textId="77777777" w:rsidR="00887F88" w:rsidRPr="00A52AB8" w:rsidRDefault="00887F88">
      <w:pPr>
        <w:rPr>
          <w:b/>
        </w:rPr>
      </w:pPr>
      <w:r w:rsidRPr="00A52AB8">
        <w:rPr>
          <w:b/>
          <w:bCs/>
        </w:rPr>
        <w:t>so</w:t>
      </w:r>
      <w:r w:rsidRPr="00A52AB8">
        <w:rPr>
          <w:b/>
        </w:rPr>
        <w:t>i_object_dependency_update_flag</w:t>
      </w:r>
      <w:r w:rsidR="001F4484" w:rsidRPr="00A52AB8">
        <w:t>[ i ]</w:t>
      </w:r>
      <w:r w:rsidRPr="00A52AB8">
        <w:t xml:space="preserve"> equal to 1 indicates that object dependency update information is present for an object with object index i. </w:t>
      </w:r>
      <w:r w:rsidRPr="00A52AB8">
        <w:rPr>
          <w:bCs/>
        </w:rPr>
        <w:t>soi_object_dependency_update_flag</w:t>
      </w:r>
      <w:r w:rsidR="001F4484" w:rsidRPr="00A52AB8">
        <w:rPr>
          <w:bCs/>
        </w:rPr>
        <w:t>[ i ]</w:t>
      </w:r>
      <w:r w:rsidRPr="00A52AB8">
        <w:rPr>
          <w:bCs/>
        </w:rPr>
        <w:t xml:space="preserve"> equal to 0 indicates that object dependency update information is not present.</w:t>
      </w:r>
    </w:p>
    <w:p w14:paraId="2779BC83" w14:textId="0EBECDBE" w:rsidR="00887F88" w:rsidRPr="00A52AB8" w:rsidRDefault="00887F88">
      <w:pPr>
        <w:rPr>
          <w:b/>
        </w:rPr>
      </w:pPr>
      <w:r w:rsidRPr="00A52AB8">
        <w:rPr>
          <w:b/>
          <w:bCs/>
        </w:rPr>
        <w:t>soi_object_num_</w:t>
      </w:r>
      <w:r w:rsidRPr="00A52AB8">
        <w:rPr>
          <w:b/>
        </w:rPr>
        <w:t>dependencies</w:t>
      </w:r>
      <w:r w:rsidR="001F4484" w:rsidRPr="00A52AB8">
        <w:t>[ i ]</w:t>
      </w:r>
      <w:r w:rsidRPr="00A52AB8">
        <w:rPr>
          <w:bCs/>
        </w:rPr>
        <w:t xml:space="preserve"> indicates </w:t>
      </w:r>
      <w:r w:rsidR="001D72D1" w:rsidRPr="00A52AB8">
        <w:rPr>
          <w:bCs/>
        </w:rPr>
        <w:t xml:space="preserve">the value of </w:t>
      </w:r>
      <w:r w:rsidR="001D72D1" w:rsidRPr="00A52AB8">
        <w:t>ObjectNumDependencies</w:t>
      </w:r>
      <w:r w:rsidR="001D72D1" w:rsidRPr="00A52AB8">
        <w:rPr>
          <w:bCs/>
        </w:rPr>
        <w:t>[ i ] of an object with index i</w:t>
      </w:r>
      <w:r w:rsidR="00E2202C" w:rsidRPr="00A52AB8">
        <w:rPr>
          <w:bCs/>
        </w:rPr>
        <w:t xml:space="preserve">, which specifies </w:t>
      </w:r>
      <w:r w:rsidRPr="00A52AB8">
        <w:rPr>
          <w:bCs/>
        </w:rPr>
        <w:t xml:space="preserve">the number of </w:t>
      </w:r>
      <w:r w:rsidR="00E2202C" w:rsidRPr="00A52AB8">
        <w:rPr>
          <w:bCs/>
        </w:rPr>
        <w:t xml:space="preserve">object </w:t>
      </w:r>
      <w:r w:rsidRPr="00A52AB8">
        <w:rPr>
          <w:bCs/>
        </w:rPr>
        <w:t xml:space="preserve">dependencies </w:t>
      </w:r>
      <w:r w:rsidR="00E2202C" w:rsidRPr="00A52AB8">
        <w:rPr>
          <w:bCs/>
        </w:rPr>
        <w:t xml:space="preserve">for the </w:t>
      </w:r>
      <w:r w:rsidRPr="00A52AB8">
        <w:rPr>
          <w:bCs/>
        </w:rPr>
        <w:t>object with index i</w:t>
      </w:r>
      <w:r w:rsidR="001D72D1" w:rsidRPr="00A52AB8">
        <w:t>.</w:t>
      </w:r>
    </w:p>
    <w:p w14:paraId="5718E98A" w14:textId="77777777" w:rsidR="0050235C" w:rsidRPr="00A52AB8" w:rsidRDefault="00887F88">
      <w:pPr>
        <w:rPr>
          <w:bCs/>
        </w:rPr>
      </w:pPr>
      <w:r w:rsidRPr="00A52AB8">
        <w:rPr>
          <w:b/>
          <w:bCs/>
        </w:rPr>
        <w:t>soi_object_dependency_idx</w:t>
      </w:r>
      <w:r w:rsidR="001F4484" w:rsidRPr="00A52AB8">
        <w:t>[ i ][ j ]</w:t>
      </w:r>
      <w:r w:rsidRPr="00A52AB8">
        <w:rPr>
          <w:bCs/>
        </w:rPr>
        <w:t xml:space="preserve"> indicates</w:t>
      </w:r>
      <w:r w:rsidR="00E2202C" w:rsidRPr="00A52AB8">
        <w:rPr>
          <w:bCs/>
        </w:rPr>
        <w:t xml:space="preserve"> the value of </w:t>
      </w:r>
      <w:r w:rsidR="00E2202C" w:rsidRPr="00A52AB8">
        <w:t>ObjectDependencyIndex[ i ][ j ]</w:t>
      </w:r>
      <w:r w:rsidR="00E2202C" w:rsidRPr="00A52AB8">
        <w:rPr>
          <w:bCs/>
        </w:rPr>
        <w:t xml:space="preserve"> of the j-th object that has a dependency with the object with object index i.</w:t>
      </w:r>
    </w:p>
    <w:p w14:paraId="667087F7" w14:textId="78510425" w:rsidR="00887F88" w:rsidRPr="00A52AB8" w:rsidRDefault="00887F88">
      <w:pPr>
        <w:rPr>
          <w:b/>
        </w:rPr>
      </w:pPr>
      <w:r w:rsidRPr="00A52AB8">
        <w:rPr>
          <w:b/>
          <w:bCs/>
        </w:rPr>
        <w:t>soi_visibility_cones</w:t>
      </w:r>
      <w:r w:rsidRPr="00A52AB8">
        <w:rPr>
          <w:b/>
        </w:rPr>
        <w:t>_update_flag</w:t>
      </w:r>
      <w:r w:rsidR="001F4484" w:rsidRPr="00A52AB8">
        <w:t>[ i ]</w:t>
      </w:r>
      <w:r w:rsidRPr="00A52AB8">
        <w:t xml:space="preserve"> equal to 1 indicates that visibility cones update information is present for an object with object index i. soi_visibility_cones_update_flag</w:t>
      </w:r>
      <w:r w:rsidR="001F4484" w:rsidRPr="00A52AB8">
        <w:rPr>
          <w:bCs/>
        </w:rPr>
        <w:t>[ i ]</w:t>
      </w:r>
      <w:r w:rsidRPr="00A52AB8">
        <w:rPr>
          <w:bCs/>
        </w:rPr>
        <w:t xml:space="preserve"> equal to 0 indicates that visibility cones update information is not present.</w:t>
      </w:r>
    </w:p>
    <w:p w14:paraId="11EF0B4D" w14:textId="30C8DCA0" w:rsidR="00D53DB5" w:rsidRPr="00A52AB8" w:rsidRDefault="00887F88" w:rsidP="003177B9">
      <w:pPr>
        <w:rPr>
          <w:bCs/>
          <w:color w:val="000000" w:themeColor="text1"/>
        </w:rPr>
      </w:pPr>
      <w:r w:rsidRPr="00A52AB8">
        <w:rPr>
          <w:b/>
          <w:bCs/>
        </w:rPr>
        <w:t>soi_direction</w:t>
      </w:r>
      <w:r w:rsidRPr="00A52AB8">
        <w:rPr>
          <w:b/>
          <w:color w:val="000000" w:themeColor="text1"/>
        </w:rPr>
        <w:t>_x</w:t>
      </w:r>
      <w:r w:rsidR="001F4484" w:rsidRPr="00A52AB8">
        <w:t>[ i ]</w:t>
      </w:r>
      <w:r w:rsidRPr="00A52AB8">
        <w:t xml:space="preserve"> </w:t>
      </w:r>
      <w:r w:rsidR="001A1953" w:rsidRPr="00A52AB8">
        <w:rPr>
          <w:bCs/>
          <w:color w:val="000000" w:themeColor="text1"/>
        </w:rPr>
        <w:t xml:space="preserve">specifies </w:t>
      </w:r>
      <w:r w:rsidRPr="00A52AB8">
        <w:rPr>
          <w:bCs/>
          <w:color w:val="000000" w:themeColor="text1"/>
        </w:rPr>
        <w:t>the normalized x-component value</w:t>
      </w:r>
      <w:r w:rsidR="00E2202C" w:rsidRPr="00A52AB8">
        <w:rPr>
          <w:bCs/>
          <w:color w:val="000000" w:themeColor="text1"/>
        </w:rPr>
        <w:t xml:space="preserve">, </w:t>
      </w:r>
      <w:r w:rsidR="00E2202C" w:rsidRPr="00A52AB8">
        <w:t>ObjectVisibilityDirectionX</w:t>
      </w:r>
      <w:r w:rsidR="0064752C" w:rsidRPr="00A52AB8">
        <w:t>[</w:t>
      </w:r>
      <w:r w:rsidR="00E2202C" w:rsidRPr="00A52AB8">
        <w:t> i ],</w:t>
      </w:r>
      <w:r w:rsidRPr="00A52AB8">
        <w:rPr>
          <w:bCs/>
          <w:color w:val="000000" w:themeColor="text1"/>
        </w:rPr>
        <w:t xml:space="preserve"> of the direction vector for the visibility cone of </w:t>
      </w:r>
      <w:r w:rsidRPr="00A52AB8">
        <w:t>an object with object index i</w:t>
      </w:r>
      <w:r w:rsidRPr="00A52AB8">
        <w:rPr>
          <w:bCs/>
          <w:color w:val="000000" w:themeColor="text1"/>
        </w:rPr>
        <w:t xml:space="preserve">. </w:t>
      </w:r>
      <w:r w:rsidR="000C0AF2" w:rsidRPr="00A52AB8">
        <w:rPr>
          <w:rStyle w:val="fontstyle01"/>
          <w:rFonts w:ascii="Cambria" w:hAnsi="Cambria"/>
          <w:color w:val="000000" w:themeColor="text1"/>
          <w:sz w:val="22"/>
          <w:szCs w:val="22"/>
        </w:rPr>
        <w:t xml:space="preserve">The value of </w:t>
      </w:r>
      <w:r w:rsidR="000C0AF2" w:rsidRPr="00A52AB8">
        <w:rPr>
          <w:bCs/>
          <w:color w:val="000000" w:themeColor="text1"/>
        </w:rPr>
        <w:t xml:space="preserve">soi_direction_x[ i ] </w:t>
      </w:r>
      <w:r w:rsidR="000C0AF2" w:rsidRPr="00A52AB8">
        <w:rPr>
          <w:rStyle w:val="fontstyle01"/>
          <w:rFonts w:ascii="Cambria" w:hAnsi="Cambria"/>
          <w:color w:val="000000" w:themeColor="text1"/>
          <w:sz w:val="22"/>
          <w:szCs w:val="22"/>
        </w:rPr>
        <w:t xml:space="preserve">shall be in the range of </w:t>
      </w:r>
      <w:r w:rsidR="005713D3" w:rsidRPr="00A52AB8">
        <w:rPr>
          <w:rStyle w:val="fontstyle01"/>
          <w:rFonts w:ascii="Cambria" w:hAnsi="Cambria"/>
          <w:color w:val="000000" w:themeColor="text1"/>
          <w:sz w:val="22"/>
          <w:szCs w:val="22"/>
        </w:rPr>
        <w:t>− 2</w:t>
      </w:r>
      <w:r w:rsidR="00413989" w:rsidRPr="00A52AB8">
        <w:rPr>
          <w:rStyle w:val="fontstyle01"/>
          <w:rFonts w:ascii="Cambria" w:hAnsi="Cambria"/>
          <w:color w:val="000000" w:themeColor="text1"/>
          <w:position w:val="6"/>
          <w:sz w:val="22"/>
          <w:szCs w:val="22"/>
          <w:vertAlign w:val="superscript"/>
        </w:rPr>
        <w:t>14</w:t>
      </w:r>
      <w:r w:rsidR="000C0AF2" w:rsidRPr="00A52AB8">
        <w:rPr>
          <w:rStyle w:val="fontstyle01"/>
          <w:rFonts w:ascii="Cambria" w:hAnsi="Cambria"/>
          <w:color w:val="000000" w:themeColor="text1"/>
          <w:sz w:val="22"/>
          <w:szCs w:val="22"/>
        </w:rPr>
        <w:t xml:space="preserve"> to 2</w:t>
      </w:r>
      <w:r w:rsidR="00413989" w:rsidRPr="00A52AB8">
        <w:rPr>
          <w:rStyle w:val="fontstyle01"/>
          <w:rFonts w:ascii="Cambria" w:hAnsi="Cambria"/>
          <w:color w:val="000000" w:themeColor="text1"/>
          <w:position w:val="6"/>
          <w:sz w:val="22"/>
          <w:szCs w:val="22"/>
          <w:vertAlign w:val="superscript"/>
        </w:rPr>
        <w:t>14</w:t>
      </w:r>
      <w:r w:rsidR="000C0AF2" w:rsidRPr="00A52AB8">
        <w:rPr>
          <w:rStyle w:val="fontstyle01"/>
          <w:rFonts w:ascii="Cambria" w:hAnsi="Cambria"/>
          <w:color w:val="000000" w:themeColor="text1"/>
          <w:sz w:val="22"/>
          <w:szCs w:val="22"/>
        </w:rPr>
        <w:t xml:space="preserve">, inclusive. </w:t>
      </w:r>
      <w:r w:rsidR="00D830A7" w:rsidRPr="00A52AB8">
        <w:rPr>
          <w:bCs/>
          <w:color w:val="000000" w:themeColor="text1"/>
        </w:rPr>
        <w:t xml:space="preserve">The </w:t>
      </w:r>
      <w:r w:rsidR="00D53DB5" w:rsidRPr="00A52AB8">
        <w:rPr>
          <w:bCs/>
          <w:color w:val="000000" w:themeColor="text1"/>
        </w:rPr>
        <w:t xml:space="preserve">default </w:t>
      </w:r>
      <w:r w:rsidR="00D830A7" w:rsidRPr="00A52AB8">
        <w:rPr>
          <w:bCs/>
          <w:color w:val="000000" w:themeColor="text1"/>
        </w:rPr>
        <w:t>value of soi_direction_x</w:t>
      </w:r>
      <w:r w:rsidR="001F4484" w:rsidRPr="00A52AB8">
        <w:rPr>
          <w:bCs/>
          <w:color w:val="000000" w:themeColor="text1"/>
        </w:rPr>
        <w:t>[ i </w:t>
      </w:r>
      <w:r w:rsidR="00D53DB5" w:rsidRPr="00A52AB8">
        <w:rPr>
          <w:bCs/>
          <w:color w:val="000000" w:themeColor="text1"/>
        </w:rPr>
        <w:t>]</w:t>
      </w:r>
      <w:r w:rsidR="00D830A7" w:rsidRPr="00A52AB8">
        <w:rPr>
          <w:bCs/>
          <w:color w:val="000000" w:themeColor="text1"/>
        </w:rPr>
        <w:t xml:space="preserve"> is equal to </w:t>
      </w:r>
      <w:r w:rsidR="005713D3" w:rsidRPr="00A52AB8">
        <w:rPr>
          <w:rStyle w:val="fontstyle01"/>
          <w:rFonts w:ascii="Cambria" w:hAnsi="Cambria"/>
          <w:color w:val="000000" w:themeColor="text1"/>
          <w:sz w:val="22"/>
          <w:szCs w:val="22"/>
        </w:rPr>
        <w:t>2</w:t>
      </w:r>
      <w:r w:rsidR="00413989" w:rsidRPr="00A52AB8">
        <w:rPr>
          <w:rStyle w:val="fontstyle01"/>
          <w:rFonts w:ascii="Cambria" w:hAnsi="Cambria"/>
          <w:color w:val="000000" w:themeColor="text1"/>
          <w:position w:val="6"/>
          <w:sz w:val="22"/>
          <w:szCs w:val="22"/>
          <w:vertAlign w:val="superscript"/>
        </w:rPr>
        <w:t>14</w:t>
      </w:r>
      <w:r w:rsidR="00D830A7" w:rsidRPr="00A52AB8">
        <w:rPr>
          <w:bCs/>
          <w:color w:val="000000" w:themeColor="text1"/>
        </w:rPr>
        <w:t>.</w:t>
      </w:r>
      <w:r w:rsidR="00C0075E" w:rsidRPr="00A52AB8">
        <w:rPr>
          <w:bCs/>
          <w:color w:val="000000" w:themeColor="text1"/>
        </w:rPr>
        <w:t xml:space="preserve"> </w:t>
      </w:r>
    </w:p>
    <w:p w14:paraId="6446D639" w14:textId="49245573" w:rsidR="003177B9" w:rsidRPr="00A52AB8" w:rsidRDefault="003177B9" w:rsidP="003177B9">
      <w:pPr>
        <w:rPr>
          <w:bCs/>
        </w:rPr>
      </w:pPr>
      <w:r w:rsidRPr="00A52AB8">
        <w:rPr>
          <w:color w:val="000000" w:themeColor="text1"/>
          <w:lang w:eastAsia="ja-JP"/>
        </w:rPr>
        <w:t xml:space="preserve">The value of </w:t>
      </w:r>
      <w:r w:rsidR="00110A57" w:rsidRPr="00A52AB8">
        <w:t>ObjectVisibilityDirectionX[ i ]</w:t>
      </w:r>
      <w:r w:rsidRPr="00A52AB8">
        <w:rPr>
          <w:bCs/>
          <w:color w:val="000000" w:themeColor="text1"/>
        </w:rPr>
        <w:t xml:space="preserve"> </w:t>
      </w:r>
      <w:r w:rsidRPr="00A52AB8">
        <w:rPr>
          <w:color w:val="000000" w:themeColor="text1"/>
          <w:lang w:eastAsia="ja-JP"/>
        </w:rPr>
        <w:t>is computed as follows:</w:t>
      </w:r>
    </w:p>
    <w:p w14:paraId="0C9538F4" w14:textId="26596E34" w:rsidR="003177B9" w:rsidRPr="00A52AB8" w:rsidRDefault="003177B9" w:rsidP="003177B9">
      <w:pPr>
        <w:rPr>
          <w:color w:val="000000" w:themeColor="text1"/>
        </w:rPr>
      </w:pPr>
      <w:r w:rsidRPr="00A52AB8">
        <w:rPr>
          <w:color w:val="000000" w:themeColor="text1"/>
          <w:lang w:eastAsia="ja-JP"/>
        </w:rPr>
        <w:tab/>
      </w:r>
      <w:r w:rsidR="00110A57" w:rsidRPr="00A52AB8">
        <w:t>ObjectVisibilityDirectionX[ i ]</w:t>
      </w:r>
      <w:r w:rsidR="00D47707" w:rsidRPr="00A52AB8">
        <w:rPr>
          <w:bCs/>
          <w:color w:val="000000" w:themeColor="text1"/>
        </w:rPr>
        <w:t> </w:t>
      </w:r>
      <w:r w:rsidR="00D47707" w:rsidRPr="00A52AB8">
        <w:rPr>
          <w:color w:val="000000" w:themeColor="text1"/>
          <w:lang w:eastAsia="ja-JP"/>
        </w:rPr>
        <w:t>= </w:t>
      </w:r>
      <w:r w:rsidR="00110A57" w:rsidRPr="00A52AB8">
        <w:rPr>
          <w:bCs/>
          <w:color w:val="000000" w:themeColor="text1"/>
        </w:rPr>
        <w:t>soi_direction_x</w:t>
      </w:r>
      <w:r w:rsidR="00110A57" w:rsidRPr="00A52AB8">
        <w:t>[ i ]</w:t>
      </w:r>
      <w:r w:rsidR="00AE264A" w:rsidRPr="00A52AB8">
        <w:t> </w:t>
      </w:r>
      <w:r w:rsidRPr="00A52AB8">
        <w:rPr>
          <w:rFonts w:cs="Symbol"/>
          <w:color w:val="000000" w:themeColor="text1"/>
        </w:rPr>
        <w:sym w:font="Symbol" w:char="F0B8"/>
      </w:r>
      <w:r w:rsidR="000C0AF2" w:rsidRPr="00A52AB8">
        <w:rPr>
          <w:color w:val="000000" w:themeColor="text1"/>
          <w:lang w:eastAsia="ja-JP"/>
        </w:rPr>
        <w:t> </w:t>
      </w:r>
      <w:r w:rsidRPr="00A52AB8">
        <w:rPr>
          <w:rStyle w:val="fontstyle01"/>
          <w:rFonts w:ascii="Cambria" w:hAnsi="Cambria"/>
          <w:color w:val="000000" w:themeColor="text1"/>
          <w:sz w:val="22"/>
          <w:szCs w:val="22"/>
        </w:rPr>
        <w:t>2</w:t>
      </w:r>
      <w:r w:rsidR="00413989" w:rsidRPr="00A52AB8">
        <w:rPr>
          <w:rStyle w:val="fontstyle01"/>
          <w:rFonts w:ascii="Cambria" w:hAnsi="Cambria"/>
          <w:color w:val="000000" w:themeColor="text1"/>
          <w:position w:val="6"/>
          <w:sz w:val="22"/>
          <w:szCs w:val="22"/>
          <w:vertAlign w:val="superscript"/>
        </w:rPr>
        <w:t>14</w:t>
      </w:r>
    </w:p>
    <w:p w14:paraId="3CA8EDE0" w14:textId="5521DC66" w:rsidR="00D53DB5" w:rsidRPr="00A52AB8" w:rsidRDefault="00887F88" w:rsidP="0024620F">
      <w:pPr>
        <w:rPr>
          <w:bCs/>
          <w:color w:val="000000" w:themeColor="text1"/>
        </w:rPr>
      </w:pPr>
      <w:r w:rsidRPr="00A52AB8">
        <w:rPr>
          <w:b/>
          <w:bCs/>
        </w:rPr>
        <w:t>soi_direction</w:t>
      </w:r>
      <w:r w:rsidRPr="00A52AB8">
        <w:rPr>
          <w:b/>
          <w:color w:val="000000" w:themeColor="text1"/>
        </w:rPr>
        <w:t>_y</w:t>
      </w:r>
      <w:r w:rsidR="001F4484" w:rsidRPr="00A52AB8">
        <w:t>[ i ]</w:t>
      </w:r>
      <w:r w:rsidRPr="00A52AB8">
        <w:t xml:space="preserve"> </w:t>
      </w:r>
      <w:r w:rsidR="0024620F" w:rsidRPr="00A52AB8">
        <w:rPr>
          <w:bCs/>
          <w:color w:val="000000" w:themeColor="text1"/>
        </w:rPr>
        <w:t xml:space="preserve">specifies the normalized y-component value, </w:t>
      </w:r>
      <w:r w:rsidR="0024620F" w:rsidRPr="00A52AB8">
        <w:t>ObjectVisibilityDirectionY[ i ],</w:t>
      </w:r>
      <w:r w:rsidR="0024620F" w:rsidRPr="00A52AB8">
        <w:rPr>
          <w:bCs/>
          <w:color w:val="000000" w:themeColor="text1"/>
        </w:rPr>
        <w:t xml:space="preserve"> of the direction vector for the visibility cone of </w:t>
      </w:r>
      <w:r w:rsidR="0024620F" w:rsidRPr="00A52AB8">
        <w:t>an object with object index i</w:t>
      </w:r>
      <w:r w:rsidR="0024620F" w:rsidRPr="00A52AB8">
        <w:rPr>
          <w:bCs/>
          <w:color w:val="000000" w:themeColor="text1"/>
        </w:rPr>
        <w:t xml:space="preserve">. </w:t>
      </w:r>
      <w:r w:rsidR="0024620F" w:rsidRPr="00A52AB8">
        <w:rPr>
          <w:rStyle w:val="fontstyle01"/>
          <w:rFonts w:ascii="Cambria" w:hAnsi="Cambria"/>
          <w:color w:val="000000" w:themeColor="text1"/>
          <w:sz w:val="22"/>
          <w:szCs w:val="22"/>
        </w:rPr>
        <w:t xml:space="preserve">The value of </w:t>
      </w:r>
      <w:r w:rsidR="0024620F" w:rsidRPr="00A52AB8">
        <w:rPr>
          <w:bCs/>
          <w:color w:val="000000" w:themeColor="text1"/>
        </w:rPr>
        <w:t xml:space="preserve">soi_direction_y[ i ] </w:t>
      </w:r>
      <w:r w:rsidR="0024620F" w:rsidRPr="00A52AB8">
        <w:rPr>
          <w:rStyle w:val="fontstyle01"/>
          <w:rFonts w:ascii="Cambria" w:hAnsi="Cambria"/>
          <w:color w:val="000000" w:themeColor="text1"/>
          <w:sz w:val="22"/>
          <w:szCs w:val="22"/>
        </w:rPr>
        <w:t xml:space="preserve">shall be in the range of </w:t>
      </w:r>
      <w:r w:rsidR="005713D3" w:rsidRPr="00A52AB8">
        <w:rPr>
          <w:rStyle w:val="fontstyle01"/>
          <w:rFonts w:ascii="Cambria" w:hAnsi="Cambria"/>
          <w:color w:val="000000" w:themeColor="text1"/>
          <w:sz w:val="22"/>
          <w:szCs w:val="22"/>
        </w:rPr>
        <w:t>− 2</w:t>
      </w:r>
      <w:r w:rsidR="005713D3" w:rsidRPr="00A52AB8">
        <w:rPr>
          <w:rStyle w:val="fontstyle01"/>
          <w:rFonts w:ascii="Cambria" w:hAnsi="Cambria"/>
          <w:color w:val="000000" w:themeColor="text1"/>
          <w:position w:val="6"/>
          <w:sz w:val="22"/>
          <w:szCs w:val="22"/>
          <w:vertAlign w:val="superscript"/>
        </w:rPr>
        <w:t>14</w:t>
      </w:r>
      <w:r w:rsidR="005713D3" w:rsidRPr="00A52AB8">
        <w:rPr>
          <w:rStyle w:val="fontstyle01"/>
          <w:rFonts w:ascii="Cambria" w:hAnsi="Cambria"/>
          <w:color w:val="000000" w:themeColor="text1"/>
          <w:sz w:val="22"/>
          <w:szCs w:val="22"/>
        </w:rPr>
        <w:t xml:space="preserve"> to 2</w:t>
      </w:r>
      <w:r w:rsidR="005713D3" w:rsidRPr="00A52AB8">
        <w:rPr>
          <w:rStyle w:val="fontstyle01"/>
          <w:rFonts w:ascii="Cambria" w:hAnsi="Cambria"/>
          <w:color w:val="000000" w:themeColor="text1"/>
          <w:position w:val="6"/>
          <w:sz w:val="22"/>
          <w:szCs w:val="22"/>
          <w:vertAlign w:val="superscript"/>
        </w:rPr>
        <w:t>14</w:t>
      </w:r>
      <w:r w:rsidR="0024620F" w:rsidRPr="00A52AB8">
        <w:rPr>
          <w:rStyle w:val="fontstyle01"/>
          <w:rFonts w:ascii="Cambria" w:hAnsi="Cambria"/>
          <w:color w:val="000000" w:themeColor="text1"/>
          <w:sz w:val="22"/>
          <w:szCs w:val="22"/>
        </w:rPr>
        <w:t xml:space="preserve">, inclusive. </w:t>
      </w:r>
      <w:r w:rsidR="0024620F" w:rsidRPr="00A52AB8">
        <w:rPr>
          <w:bCs/>
          <w:color w:val="000000" w:themeColor="text1"/>
        </w:rPr>
        <w:t xml:space="preserve">The </w:t>
      </w:r>
      <w:r w:rsidR="00D53DB5" w:rsidRPr="00A52AB8">
        <w:rPr>
          <w:bCs/>
          <w:color w:val="000000" w:themeColor="text1"/>
        </w:rPr>
        <w:t xml:space="preserve">default </w:t>
      </w:r>
      <w:r w:rsidR="0024620F" w:rsidRPr="00A52AB8">
        <w:rPr>
          <w:bCs/>
          <w:color w:val="000000" w:themeColor="text1"/>
        </w:rPr>
        <w:t xml:space="preserve">value of soi_direction_y[ i ] is equal to </w:t>
      </w:r>
      <w:r w:rsidR="0024620F" w:rsidRPr="00A52AB8">
        <w:rPr>
          <w:rStyle w:val="fontstyle01"/>
          <w:rFonts w:ascii="Cambria" w:hAnsi="Cambria"/>
          <w:color w:val="000000" w:themeColor="text1"/>
          <w:sz w:val="22"/>
          <w:szCs w:val="22"/>
        </w:rPr>
        <w:t>2</w:t>
      </w:r>
      <w:r w:rsidR="00413989" w:rsidRPr="00A52AB8">
        <w:rPr>
          <w:rStyle w:val="fontstyle01"/>
          <w:rFonts w:ascii="Cambria" w:hAnsi="Cambria"/>
          <w:color w:val="000000" w:themeColor="text1"/>
          <w:position w:val="6"/>
          <w:sz w:val="22"/>
          <w:szCs w:val="22"/>
          <w:vertAlign w:val="superscript"/>
        </w:rPr>
        <w:t>14</w:t>
      </w:r>
      <w:r w:rsidR="0024620F" w:rsidRPr="00A52AB8">
        <w:rPr>
          <w:bCs/>
          <w:color w:val="000000" w:themeColor="text1"/>
        </w:rPr>
        <w:t xml:space="preserve">. </w:t>
      </w:r>
    </w:p>
    <w:p w14:paraId="0B982481" w14:textId="07FAD423" w:rsidR="0024620F" w:rsidRPr="00A52AB8" w:rsidRDefault="0024620F" w:rsidP="0024620F">
      <w:pPr>
        <w:rPr>
          <w:bCs/>
        </w:rPr>
      </w:pPr>
      <w:r w:rsidRPr="00A52AB8">
        <w:rPr>
          <w:color w:val="000000" w:themeColor="text1"/>
          <w:lang w:eastAsia="ja-JP"/>
        </w:rPr>
        <w:t xml:space="preserve">The value of </w:t>
      </w:r>
      <w:r w:rsidRPr="00A52AB8">
        <w:t>ObjectVisibilityDirectionY[ i ]</w:t>
      </w:r>
      <w:r w:rsidRPr="00A52AB8">
        <w:rPr>
          <w:bCs/>
          <w:color w:val="000000" w:themeColor="text1"/>
        </w:rPr>
        <w:t xml:space="preserve"> </w:t>
      </w:r>
      <w:r w:rsidRPr="00A52AB8">
        <w:rPr>
          <w:color w:val="000000" w:themeColor="text1"/>
          <w:lang w:eastAsia="ja-JP"/>
        </w:rPr>
        <w:t>is computed as follows:</w:t>
      </w:r>
    </w:p>
    <w:p w14:paraId="1FD3668A" w14:textId="207D2A70" w:rsidR="00D830A7" w:rsidRPr="00A52AB8" w:rsidRDefault="0024620F" w:rsidP="007656E5">
      <w:pPr>
        <w:rPr>
          <w:color w:val="000000" w:themeColor="text1"/>
        </w:rPr>
      </w:pPr>
      <w:r w:rsidRPr="00A52AB8">
        <w:rPr>
          <w:color w:val="000000" w:themeColor="text1"/>
          <w:lang w:eastAsia="ja-JP"/>
        </w:rPr>
        <w:tab/>
      </w:r>
      <w:r w:rsidRPr="00A52AB8">
        <w:t>ObjectVisibilityDirectionY[ i ]</w:t>
      </w:r>
      <w:r w:rsidR="00D47707" w:rsidRPr="00A52AB8">
        <w:rPr>
          <w:bCs/>
          <w:color w:val="000000" w:themeColor="text1"/>
        </w:rPr>
        <w:t> </w:t>
      </w:r>
      <w:r w:rsidR="00D47707" w:rsidRPr="00A52AB8">
        <w:rPr>
          <w:color w:val="000000" w:themeColor="text1"/>
          <w:lang w:eastAsia="ja-JP"/>
        </w:rPr>
        <w:t>= </w:t>
      </w:r>
      <w:r w:rsidRPr="00A52AB8">
        <w:rPr>
          <w:bCs/>
          <w:color w:val="000000" w:themeColor="text1"/>
        </w:rPr>
        <w:t>soi_direction_y</w:t>
      </w:r>
      <w:r w:rsidRPr="00A52AB8">
        <w:t>[ i </w:t>
      </w:r>
      <w:r w:rsidR="00990F3A" w:rsidRPr="00A52AB8">
        <w:t>]</w:t>
      </w:r>
      <w:r w:rsidR="00AE264A" w:rsidRPr="00A52AB8">
        <w:t> </w:t>
      </w:r>
      <w:r w:rsidR="00990F3A" w:rsidRPr="00A52AB8">
        <w:rPr>
          <w:rFonts w:cs="Symbol"/>
          <w:color w:val="000000" w:themeColor="text1"/>
        </w:rPr>
        <w:sym w:font="Symbol" w:char="F0B8"/>
      </w:r>
      <w:r w:rsidR="00990F3A" w:rsidRPr="00A52AB8">
        <w:rPr>
          <w:color w:val="000000" w:themeColor="text1"/>
          <w:lang w:eastAsia="ja-JP"/>
        </w:rPr>
        <w:t> </w:t>
      </w:r>
      <w:r w:rsidR="00990F3A" w:rsidRPr="00A52AB8">
        <w:rPr>
          <w:rStyle w:val="fontstyle01"/>
          <w:rFonts w:ascii="Cambria" w:hAnsi="Cambria"/>
          <w:color w:val="000000" w:themeColor="text1"/>
          <w:sz w:val="22"/>
          <w:szCs w:val="22"/>
        </w:rPr>
        <w:t>2</w:t>
      </w:r>
      <w:r w:rsidR="00413989" w:rsidRPr="00A52AB8">
        <w:rPr>
          <w:rStyle w:val="fontstyle01"/>
          <w:rFonts w:ascii="Cambria" w:hAnsi="Cambria"/>
          <w:color w:val="000000" w:themeColor="text1"/>
          <w:position w:val="6"/>
          <w:sz w:val="22"/>
          <w:szCs w:val="22"/>
          <w:vertAlign w:val="superscript"/>
        </w:rPr>
        <w:t>14</w:t>
      </w:r>
    </w:p>
    <w:p w14:paraId="360536F1" w14:textId="7F1F1F44" w:rsidR="00D53DB5" w:rsidRPr="00A52AB8" w:rsidRDefault="00887F88" w:rsidP="0024620F">
      <w:pPr>
        <w:rPr>
          <w:bCs/>
          <w:color w:val="000000" w:themeColor="text1"/>
        </w:rPr>
      </w:pPr>
      <w:r w:rsidRPr="00A52AB8">
        <w:rPr>
          <w:b/>
          <w:bCs/>
        </w:rPr>
        <w:t>soi_direction</w:t>
      </w:r>
      <w:r w:rsidRPr="00A52AB8">
        <w:rPr>
          <w:b/>
          <w:color w:val="000000" w:themeColor="text1"/>
        </w:rPr>
        <w:t>_z</w:t>
      </w:r>
      <w:r w:rsidR="001F4484" w:rsidRPr="00A52AB8">
        <w:t>[ i ]</w:t>
      </w:r>
      <w:r w:rsidRPr="00A52AB8">
        <w:t xml:space="preserve"> </w:t>
      </w:r>
      <w:r w:rsidR="0024620F" w:rsidRPr="00A52AB8">
        <w:rPr>
          <w:bCs/>
          <w:color w:val="000000" w:themeColor="text1"/>
        </w:rPr>
        <w:t xml:space="preserve">specifies the normalized z-component value, </w:t>
      </w:r>
      <w:r w:rsidR="0024620F" w:rsidRPr="00A52AB8">
        <w:t>ObjectVisibilityDirectionZ[ i ],</w:t>
      </w:r>
      <w:r w:rsidR="0024620F" w:rsidRPr="00A52AB8">
        <w:rPr>
          <w:bCs/>
          <w:color w:val="000000" w:themeColor="text1"/>
        </w:rPr>
        <w:t xml:space="preserve"> of the direction vector for the visibility cone of </w:t>
      </w:r>
      <w:r w:rsidR="0024620F" w:rsidRPr="00A52AB8">
        <w:t>an object with object index i</w:t>
      </w:r>
      <w:r w:rsidR="0024620F" w:rsidRPr="00A52AB8">
        <w:rPr>
          <w:bCs/>
          <w:color w:val="000000" w:themeColor="text1"/>
        </w:rPr>
        <w:t xml:space="preserve">. </w:t>
      </w:r>
      <w:r w:rsidR="0024620F" w:rsidRPr="00A52AB8">
        <w:rPr>
          <w:rStyle w:val="fontstyle01"/>
          <w:rFonts w:ascii="Cambria" w:hAnsi="Cambria"/>
          <w:color w:val="000000" w:themeColor="text1"/>
          <w:sz w:val="22"/>
          <w:szCs w:val="22"/>
        </w:rPr>
        <w:t xml:space="preserve">The value of </w:t>
      </w:r>
      <w:r w:rsidR="0024620F" w:rsidRPr="00A52AB8">
        <w:rPr>
          <w:bCs/>
          <w:color w:val="000000" w:themeColor="text1"/>
        </w:rPr>
        <w:t xml:space="preserve">soi_direction_z[ i ] </w:t>
      </w:r>
      <w:r w:rsidR="0024620F" w:rsidRPr="00A52AB8">
        <w:rPr>
          <w:rStyle w:val="fontstyle01"/>
          <w:rFonts w:ascii="Cambria" w:hAnsi="Cambria"/>
          <w:color w:val="000000" w:themeColor="text1"/>
          <w:sz w:val="22"/>
          <w:szCs w:val="22"/>
        </w:rPr>
        <w:t xml:space="preserve">shall be in the range of </w:t>
      </w:r>
      <w:r w:rsidR="005713D3" w:rsidRPr="00A52AB8">
        <w:rPr>
          <w:rStyle w:val="fontstyle01"/>
          <w:rFonts w:ascii="Cambria" w:hAnsi="Cambria"/>
          <w:color w:val="000000" w:themeColor="text1"/>
          <w:sz w:val="22"/>
          <w:szCs w:val="22"/>
        </w:rPr>
        <w:t>−2</w:t>
      </w:r>
      <w:r w:rsidR="00413989" w:rsidRPr="00A52AB8">
        <w:rPr>
          <w:rStyle w:val="fontstyle01"/>
          <w:rFonts w:ascii="Cambria" w:hAnsi="Cambria"/>
          <w:color w:val="000000" w:themeColor="text1"/>
          <w:position w:val="6"/>
          <w:sz w:val="22"/>
          <w:szCs w:val="22"/>
          <w:vertAlign w:val="superscript"/>
        </w:rPr>
        <w:t>14</w:t>
      </w:r>
      <w:r w:rsidR="005713D3" w:rsidRPr="00A52AB8">
        <w:rPr>
          <w:rStyle w:val="fontstyle01"/>
          <w:rFonts w:ascii="Cambria" w:hAnsi="Cambria"/>
          <w:color w:val="000000" w:themeColor="text1"/>
          <w:sz w:val="22"/>
          <w:szCs w:val="22"/>
        </w:rPr>
        <w:t xml:space="preserve"> to 2</w:t>
      </w:r>
      <w:r w:rsidR="00413989" w:rsidRPr="00A52AB8">
        <w:rPr>
          <w:rStyle w:val="fontstyle01"/>
          <w:rFonts w:ascii="Cambria" w:hAnsi="Cambria"/>
          <w:color w:val="000000" w:themeColor="text1"/>
          <w:position w:val="6"/>
          <w:sz w:val="22"/>
          <w:szCs w:val="22"/>
          <w:vertAlign w:val="superscript"/>
        </w:rPr>
        <w:t>14</w:t>
      </w:r>
      <w:r w:rsidR="0024620F" w:rsidRPr="00A52AB8">
        <w:rPr>
          <w:rStyle w:val="fontstyle01"/>
          <w:rFonts w:ascii="Cambria" w:hAnsi="Cambria"/>
          <w:color w:val="000000" w:themeColor="text1"/>
          <w:sz w:val="22"/>
          <w:szCs w:val="22"/>
        </w:rPr>
        <w:t xml:space="preserve">, inclusive. </w:t>
      </w:r>
      <w:r w:rsidR="0024620F" w:rsidRPr="00A52AB8">
        <w:rPr>
          <w:bCs/>
          <w:color w:val="000000" w:themeColor="text1"/>
        </w:rPr>
        <w:t xml:space="preserve">The </w:t>
      </w:r>
      <w:r w:rsidR="00D53DB5" w:rsidRPr="00A52AB8">
        <w:rPr>
          <w:bCs/>
          <w:color w:val="000000" w:themeColor="text1"/>
        </w:rPr>
        <w:t xml:space="preserve">default </w:t>
      </w:r>
      <w:r w:rsidR="0024620F" w:rsidRPr="00A52AB8">
        <w:rPr>
          <w:bCs/>
          <w:color w:val="000000" w:themeColor="text1"/>
        </w:rPr>
        <w:t xml:space="preserve">value of soi_direction_z[ i ] is equal to </w:t>
      </w:r>
      <w:r w:rsidR="0024620F" w:rsidRPr="00A52AB8">
        <w:rPr>
          <w:rStyle w:val="fontstyle01"/>
          <w:rFonts w:ascii="Cambria" w:hAnsi="Cambria"/>
          <w:color w:val="000000" w:themeColor="text1"/>
          <w:sz w:val="22"/>
          <w:szCs w:val="22"/>
        </w:rPr>
        <w:t>2</w:t>
      </w:r>
      <w:r w:rsidR="00413989" w:rsidRPr="00A52AB8">
        <w:rPr>
          <w:rStyle w:val="fontstyle01"/>
          <w:rFonts w:ascii="Cambria" w:hAnsi="Cambria"/>
          <w:color w:val="000000" w:themeColor="text1"/>
          <w:position w:val="6"/>
          <w:sz w:val="22"/>
          <w:szCs w:val="22"/>
          <w:vertAlign w:val="superscript"/>
        </w:rPr>
        <w:t>14</w:t>
      </w:r>
      <w:r w:rsidR="0024620F" w:rsidRPr="00A52AB8">
        <w:rPr>
          <w:bCs/>
          <w:color w:val="000000" w:themeColor="text1"/>
        </w:rPr>
        <w:t>.</w:t>
      </w:r>
    </w:p>
    <w:p w14:paraId="03367F41" w14:textId="067AF492" w:rsidR="0024620F" w:rsidRPr="00A52AB8" w:rsidRDefault="0024620F" w:rsidP="0024620F">
      <w:pPr>
        <w:rPr>
          <w:bCs/>
        </w:rPr>
      </w:pPr>
      <w:r w:rsidRPr="00A52AB8">
        <w:rPr>
          <w:color w:val="000000" w:themeColor="text1"/>
          <w:lang w:eastAsia="ja-JP"/>
        </w:rPr>
        <w:t xml:space="preserve">The value of </w:t>
      </w:r>
      <w:r w:rsidRPr="00A52AB8">
        <w:t>ObjectVisibilityDirectionZ[ i ]</w:t>
      </w:r>
      <w:r w:rsidRPr="00A52AB8">
        <w:rPr>
          <w:bCs/>
          <w:color w:val="000000" w:themeColor="text1"/>
        </w:rPr>
        <w:t xml:space="preserve"> </w:t>
      </w:r>
      <w:r w:rsidRPr="00A52AB8">
        <w:rPr>
          <w:color w:val="000000" w:themeColor="text1"/>
          <w:lang w:eastAsia="ja-JP"/>
        </w:rPr>
        <w:t>is computed as follows:</w:t>
      </w:r>
    </w:p>
    <w:p w14:paraId="0C117874" w14:textId="4FE5C7D1" w:rsidR="00887F88" w:rsidRPr="00A52AB8" w:rsidRDefault="0024620F" w:rsidP="007656E5">
      <w:pPr>
        <w:rPr>
          <w:color w:val="000000" w:themeColor="text1"/>
        </w:rPr>
      </w:pPr>
      <w:r w:rsidRPr="00A52AB8">
        <w:rPr>
          <w:color w:val="000000" w:themeColor="text1"/>
          <w:lang w:eastAsia="ja-JP"/>
        </w:rPr>
        <w:tab/>
      </w:r>
      <w:r w:rsidRPr="00A52AB8">
        <w:t>ObjectVisibilityDirectionZ[ i ]</w:t>
      </w:r>
      <w:r w:rsidR="00D47707" w:rsidRPr="00A52AB8">
        <w:rPr>
          <w:bCs/>
          <w:color w:val="000000" w:themeColor="text1"/>
        </w:rPr>
        <w:t> </w:t>
      </w:r>
      <w:r w:rsidR="00D47707" w:rsidRPr="00A52AB8">
        <w:rPr>
          <w:color w:val="000000" w:themeColor="text1"/>
          <w:lang w:eastAsia="ja-JP"/>
        </w:rPr>
        <w:t>= </w:t>
      </w:r>
      <w:r w:rsidRPr="00A52AB8">
        <w:rPr>
          <w:bCs/>
          <w:color w:val="000000" w:themeColor="text1"/>
        </w:rPr>
        <w:t>soi_direction_z</w:t>
      </w:r>
      <w:r w:rsidRPr="00A52AB8">
        <w:t>[ i ]</w:t>
      </w:r>
      <w:r w:rsidR="00AE264A" w:rsidRPr="00A52AB8">
        <w:t> </w:t>
      </w:r>
      <w:r w:rsidRPr="00A52AB8">
        <w:rPr>
          <w:rFonts w:cs="Symbol"/>
          <w:color w:val="000000" w:themeColor="text1"/>
        </w:rPr>
        <w:sym w:font="Symbol" w:char="F0B8"/>
      </w:r>
      <w:r w:rsidRPr="00A52AB8">
        <w:rPr>
          <w:color w:val="000000" w:themeColor="text1"/>
          <w:lang w:eastAsia="ja-JP"/>
        </w:rPr>
        <w:t> </w:t>
      </w:r>
      <w:r w:rsidRPr="00A52AB8">
        <w:rPr>
          <w:rStyle w:val="fontstyle01"/>
          <w:rFonts w:ascii="Cambria" w:hAnsi="Cambria"/>
          <w:color w:val="000000" w:themeColor="text1"/>
          <w:sz w:val="22"/>
          <w:szCs w:val="22"/>
        </w:rPr>
        <w:t>2</w:t>
      </w:r>
      <w:r w:rsidR="00413989" w:rsidRPr="00A52AB8">
        <w:rPr>
          <w:rStyle w:val="fontstyle01"/>
          <w:rFonts w:ascii="Cambria" w:hAnsi="Cambria"/>
          <w:color w:val="000000" w:themeColor="text1"/>
          <w:position w:val="6"/>
          <w:sz w:val="22"/>
          <w:szCs w:val="22"/>
          <w:vertAlign w:val="superscript"/>
        </w:rPr>
        <w:t>14</w:t>
      </w:r>
    </w:p>
    <w:p w14:paraId="13DA2C3D" w14:textId="78FA71F6" w:rsidR="00D53DB5" w:rsidRPr="00A52AB8" w:rsidRDefault="00887F88" w:rsidP="00581389">
      <w:pPr>
        <w:rPr>
          <w:bCs/>
          <w:color w:val="000000" w:themeColor="text1"/>
        </w:rPr>
      </w:pPr>
      <w:r w:rsidRPr="00A52AB8">
        <w:rPr>
          <w:b/>
          <w:bCs/>
        </w:rPr>
        <w:t>soi_angle</w:t>
      </w:r>
      <w:r w:rsidR="001F4484" w:rsidRPr="00A52AB8">
        <w:t>[ i ]</w:t>
      </w:r>
      <w:r w:rsidRPr="00A52AB8">
        <w:t xml:space="preserve"> </w:t>
      </w:r>
      <w:r w:rsidRPr="00A52AB8">
        <w:rPr>
          <w:bCs/>
          <w:color w:val="000000" w:themeColor="text1"/>
        </w:rPr>
        <w:t>indicates the angle</w:t>
      </w:r>
      <w:r w:rsidR="00E2202C" w:rsidRPr="00A52AB8">
        <w:rPr>
          <w:bCs/>
          <w:color w:val="000000" w:themeColor="text1"/>
        </w:rPr>
        <w:t xml:space="preserve">, </w:t>
      </w:r>
      <w:r w:rsidR="00E2202C" w:rsidRPr="00A52AB8">
        <w:t>ObjectVisibilityAngle[ i ],</w:t>
      </w:r>
      <w:r w:rsidRPr="00A52AB8">
        <w:rPr>
          <w:bCs/>
          <w:color w:val="000000" w:themeColor="text1"/>
        </w:rPr>
        <w:t xml:space="preserve"> of the visibility cone along the direction vector</w:t>
      </w:r>
      <w:r w:rsidR="00D830A7" w:rsidRPr="00A52AB8">
        <w:rPr>
          <w:bCs/>
          <w:color w:val="000000" w:themeColor="text1"/>
        </w:rPr>
        <w:t xml:space="preserve"> in degrees</w:t>
      </w:r>
      <w:r w:rsidRPr="00A52AB8">
        <w:rPr>
          <w:bCs/>
          <w:color w:val="000000" w:themeColor="text1"/>
        </w:rPr>
        <w:t xml:space="preserve">. </w:t>
      </w:r>
      <w:r w:rsidR="00581389" w:rsidRPr="00A52AB8">
        <w:rPr>
          <w:rStyle w:val="fontstyle01"/>
          <w:rFonts w:ascii="Cambria" w:hAnsi="Cambria"/>
          <w:color w:val="000000" w:themeColor="text1"/>
          <w:sz w:val="22"/>
          <w:szCs w:val="22"/>
        </w:rPr>
        <w:t xml:space="preserve">The value of </w:t>
      </w:r>
      <w:r w:rsidR="00581389" w:rsidRPr="00A52AB8">
        <w:rPr>
          <w:bCs/>
          <w:color w:val="000000" w:themeColor="text1"/>
        </w:rPr>
        <w:t>soi_angle</w:t>
      </w:r>
      <w:r w:rsidR="00DD6A84" w:rsidRPr="00A52AB8">
        <w:rPr>
          <w:bCs/>
          <w:color w:val="000000" w:themeColor="text1"/>
        </w:rPr>
        <w:t>[</w:t>
      </w:r>
      <w:r w:rsidR="00581389" w:rsidRPr="00A52AB8">
        <w:rPr>
          <w:bCs/>
          <w:color w:val="000000" w:themeColor="text1"/>
        </w:rPr>
        <w:t xml:space="preserve"> i ] </w:t>
      </w:r>
      <w:r w:rsidR="00581389" w:rsidRPr="00A52AB8">
        <w:rPr>
          <w:rStyle w:val="fontstyle01"/>
          <w:rFonts w:ascii="Cambria" w:hAnsi="Cambria"/>
          <w:color w:val="000000" w:themeColor="text1"/>
          <w:sz w:val="22"/>
          <w:szCs w:val="22"/>
        </w:rPr>
        <w:t xml:space="preserve">shall be in the range of </w:t>
      </w:r>
      <w:r w:rsidR="00472C4D" w:rsidRPr="00A52AB8">
        <w:rPr>
          <w:rStyle w:val="fontstyle01"/>
          <w:rFonts w:ascii="Cambria" w:hAnsi="Cambria"/>
          <w:color w:val="000000" w:themeColor="text1"/>
          <w:sz w:val="22"/>
          <w:szCs w:val="22"/>
        </w:rPr>
        <w:t>0</w:t>
      </w:r>
      <w:r w:rsidR="00581389" w:rsidRPr="00A52AB8">
        <w:rPr>
          <w:rStyle w:val="fontstyle01"/>
          <w:rFonts w:ascii="Cambria" w:hAnsi="Cambria"/>
          <w:color w:val="000000" w:themeColor="text1"/>
          <w:sz w:val="22"/>
          <w:szCs w:val="22"/>
        </w:rPr>
        <w:t xml:space="preserve"> to 2</w:t>
      </w:r>
      <w:r w:rsidR="00413989" w:rsidRPr="00A52AB8">
        <w:rPr>
          <w:rStyle w:val="fontstyle01"/>
          <w:rFonts w:ascii="Cambria" w:hAnsi="Cambria"/>
          <w:color w:val="000000" w:themeColor="text1"/>
          <w:position w:val="6"/>
          <w:sz w:val="22"/>
          <w:szCs w:val="22"/>
          <w:vertAlign w:val="superscript"/>
        </w:rPr>
        <w:t>16</w:t>
      </w:r>
      <w:r w:rsidR="00581389" w:rsidRPr="00A52AB8">
        <w:rPr>
          <w:rStyle w:val="fontstyle01"/>
          <w:rFonts w:ascii="Cambria" w:hAnsi="Cambria"/>
          <w:color w:val="000000" w:themeColor="text1"/>
          <w:sz w:val="22"/>
          <w:szCs w:val="22"/>
        </w:rPr>
        <w:t xml:space="preserve"> − 1, inclusive. </w:t>
      </w:r>
      <w:r w:rsidR="00581389" w:rsidRPr="00A52AB8">
        <w:rPr>
          <w:bCs/>
          <w:color w:val="000000" w:themeColor="text1"/>
        </w:rPr>
        <w:t xml:space="preserve">The </w:t>
      </w:r>
      <w:r w:rsidR="00D53DB5" w:rsidRPr="00A52AB8">
        <w:rPr>
          <w:bCs/>
          <w:color w:val="000000" w:themeColor="text1"/>
        </w:rPr>
        <w:t xml:space="preserve">default </w:t>
      </w:r>
      <w:r w:rsidR="00581389" w:rsidRPr="00A52AB8">
        <w:rPr>
          <w:bCs/>
          <w:color w:val="000000" w:themeColor="text1"/>
        </w:rPr>
        <w:t xml:space="preserve">value of </w:t>
      </w:r>
      <w:r w:rsidR="00A61B1D" w:rsidRPr="00A52AB8">
        <w:rPr>
          <w:bCs/>
          <w:color w:val="000000" w:themeColor="text1"/>
        </w:rPr>
        <w:t>soi_angle</w:t>
      </w:r>
      <w:r w:rsidR="003C56C3" w:rsidRPr="00A52AB8">
        <w:rPr>
          <w:bCs/>
          <w:color w:val="000000" w:themeColor="text1"/>
        </w:rPr>
        <w:t>[</w:t>
      </w:r>
      <w:r w:rsidR="00581389" w:rsidRPr="00A52AB8">
        <w:rPr>
          <w:bCs/>
          <w:color w:val="000000" w:themeColor="text1"/>
        </w:rPr>
        <w:t> i </w:t>
      </w:r>
      <w:r w:rsidR="00D53DB5" w:rsidRPr="00A52AB8">
        <w:rPr>
          <w:bCs/>
          <w:color w:val="000000" w:themeColor="text1"/>
        </w:rPr>
        <w:t>]</w:t>
      </w:r>
      <w:r w:rsidR="00581389" w:rsidRPr="00A52AB8">
        <w:rPr>
          <w:bCs/>
          <w:color w:val="000000" w:themeColor="text1"/>
        </w:rPr>
        <w:t xml:space="preserve"> is equal to </w:t>
      </w:r>
      <w:r w:rsidR="00581389" w:rsidRPr="00A52AB8">
        <w:rPr>
          <w:rStyle w:val="fontstyle01"/>
          <w:rFonts w:ascii="Cambria" w:hAnsi="Cambria"/>
          <w:color w:val="000000" w:themeColor="text1"/>
          <w:sz w:val="22"/>
          <w:szCs w:val="22"/>
        </w:rPr>
        <w:t>2</w:t>
      </w:r>
      <w:r w:rsidR="00413989" w:rsidRPr="00A52AB8">
        <w:rPr>
          <w:rStyle w:val="fontstyle01"/>
          <w:rFonts w:ascii="Cambria" w:hAnsi="Cambria"/>
          <w:color w:val="000000" w:themeColor="text1"/>
          <w:position w:val="6"/>
          <w:sz w:val="22"/>
          <w:szCs w:val="22"/>
          <w:vertAlign w:val="superscript"/>
        </w:rPr>
        <w:t>16</w:t>
      </w:r>
      <w:r w:rsidR="00581389" w:rsidRPr="00A52AB8">
        <w:rPr>
          <w:rStyle w:val="fontstyle01"/>
          <w:rFonts w:ascii="Cambria" w:hAnsi="Cambria"/>
          <w:color w:val="000000" w:themeColor="text1"/>
          <w:sz w:val="22"/>
          <w:szCs w:val="22"/>
        </w:rPr>
        <w:t> − 1</w:t>
      </w:r>
      <w:r w:rsidR="00581389" w:rsidRPr="00A52AB8">
        <w:rPr>
          <w:bCs/>
          <w:color w:val="000000" w:themeColor="text1"/>
        </w:rPr>
        <w:t xml:space="preserve">. </w:t>
      </w:r>
    </w:p>
    <w:p w14:paraId="337360FF" w14:textId="42B0CDF6" w:rsidR="00581389" w:rsidRPr="00A52AB8" w:rsidRDefault="00581389" w:rsidP="00581389">
      <w:pPr>
        <w:rPr>
          <w:bCs/>
        </w:rPr>
      </w:pPr>
      <w:r w:rsidRPr="00A52AB8">
        <w:rPr>
          <w:color w:val="000000" w:themeColor="text1"/>
          <w:lang w:eastAsia="ja-JP"/>
        </w:rPr>
        <w:t xml:space="preserve">The value of </w:t>
      </w:r>
      <w:r w:rsidR="00D203E7" w:rsidRPr="00A52AB8">
        <w:t>ObjectVisibilityAngle</w:t>
      </w:r>
      <w:r w:rsidRPr="00A52AB8">
        <w:t>[ i ]</w:t>
      </w:r>
      <w:r w:rsidRPr="00A52AB8">
        <w:rPr>
          <w:bCs/>
          <w:color w:val="000000" w:themeColor="text1"/>
        </w:rPr>
        <w:t xml:space="preserve"> </w:t>
      </w:r>
      <w:r w:rsidRPr="00A52AB8">
        <w:rPr>
          <w:color w:val="000000" w:themeColor="text1"/>
          <w:lang w:eastAsia="ja-JP"/>
        </w:rPr>
        <w:t>is computed as follows:</w:t>
      </w:r>
    </w:p>
    <w:p w14:paraId="1546B616" w14:textId="3AF2EE77" w:rsidR="00887F88" w:rsidRPr="00A52AB8" w:rsidRDefault="00581389" w:rsidP="00581389">
      <w:pPr>
        <w:rPr>
          <w:b/>
        </w:rPr>
      </w:pPr>
      <w:r w:rsidRPr="00A52AB8">
        <w:rPr>
          <w:color w:val="000000" w:themeColor="text1"/>
          <w:lang w:eastAsia="ja-JP"/>
        </w:rPr>
        <w:tab/>
      </w:r>
      <w:r w:rsidRPr="00A52AB8">
        <w:t>ObjectVisibilityAngle[ i ]</w:t>
      </w:r>
      <w:r w:rsidR="00D47707" w:rsidRPr="00A52AB8">
        <w:rPr>
          <w:bCs/>
          <w:color w:val="000000" w:themeColor="text1"/>
        </w:rPr>
        <w:t> </w:t>
      </w:r>
      <w:r w:rsidR="00D47707" w:rsidRPr="00A52AB8">
        <w:rPr>
          <w:color w:val="000000" w:themeColor="text1"/>
          <w:lang w:eastAsia="ja-JP"/>
        </w:rPr>
        <w:t>= </w:t>
      </w:r>
      <w:r w:rsidR="00ED3A25" w:rsidRPr="00A52AB8">
        <w:rPr>
          <w:color w:val="000000" w:themeColor="text1"/>
          <w:lang w:eastAsia="ja-JP"/>
        </w:rPr>
        <w:t>( </w:t>
      </w:r>
      <w:r w:rsidRPr="00A52AB8">
        <w:rPr>
          <w:bCs/>
          <w:color w:val="000000" w:themeColor="text1"/>
        </w:rPr>
        <w:t>soi_angle</w:t>
      </w:r>
      <w:r w:rsidRPr="00A52AB8">
        <w:t>[ i ]</w:t>
      </w:r>
      <w:r w:rsidR="00AE264A" w:rsidRPr="00A52AB8">
        <w:t> </w:t>
      </w:r>
      <w:r w:rsidRPr="00A52AB8">
        <w:rPr>
          <w:rFonts w:cs="Symbol"/>
          <w:color w:val="000000" w:themeColor="text1"/>
        </w:rPr>
        <w:sym w:font="Symbol" w:char="F0B8"/>
      </w:r>
      <w:r w:rsidRPr="00A52AB8">
        <w:rPr>
          <w:color w:val="000000" w:themeColor="text1"/>
          <w:lang w:eastAsia="ja-JP"/>
        </w:rPr>
        <w:t> ( </w:t>
      </w:r>
      <w:r w:rsidRPr="00A52AB8">
        <w:rPr>
          <w:rStyle w:val="fontstyle01"/>
          <w:rFonts w:ascii="Cambria" w:hAnsi="Cambria"/>
          <w:color w:val="000000" w:themeColor="text1"/>
          <w:sz w:val="22"/>
          <w:szCs w:val="22"/>
        </w:rPr>
        <w:t>2</w:t>
      </w:r>
      <w:r w:rsidR="00413989" w:rsidRPr="00A52AB8">
        <w:rPr>
          <w:rStyle w:val="fontstyle01"/>
          <w:rFonts w:ascii="Cambria" w:hAnsi="Cambria"/>
          <w:color w:val="000000" w:themeColor="text1"/>
          <w:position w:val="6"/>
          <w:sz w:val="22"/>
          <w:szCs w:val="22"/>
          <w:vertAlign w:val="superscript"/>
        </w:rPr>
        <w:t>16</w:t>
      </w:r>
      <w:r w:rsidR="00351E87" w:rsidRPr="00A52AB8">
        <w:rPr>
          <w:rStyle w:val="fontstyle01"/>
          <w:rFonts w:ascii="Cambria" w:hAnsi="Cambria"/>
          <w:color w:val="000000" w:themeColor="text1"/>
          <w:sz w:val="22"/>
          <w:szCs w:val="22"/>
        </w:rPr>
        <w:t> – 1 </w:t>
      </w:r>
      <w:r w:rsidRPr="00A52AB8">
        <w:rPr>
          <w:rStyle w:val="fontstyle01"/>
          <w:rFonts w:ascii="Cambria" w:hAnsi="Cambria"/>
          <w:color w:val="000000" w:themeColor="text1"/>
          <w:sz w:val="22"/>
          <w:szCs w:val="22"/>
        </w:rPr>
        <w:t>)</w:t>
      </w:r>
      <w:r w:rsidR="00ED3A25" w:rsidRPr="00A52AB8">
        <w:rPr>
          <w:rStyle w:val="fontstyle01"/>
          <w:rFonts w:ascii="Cambria" w:hAnsi="Cambria"/>
          <w:color w:val="000000" w:themeColor="text1"/>
          <w:sz w:val="22"/>
          <w:szCs w:val="22"/>
        </w:rPr>
        <w:t> )</w:t>
      </w:r>
      <w:r w:rsidR="00E347CF" w:rsidRPr="00A52AB8">
        <w:rPr>
          <w:rStyle w:val="fontstyle01"/>
          <w:rFonts w:ascii="Cambria" w:hAnsi="Cambria"/>
          <w:color w:val="000000" w:themeColor="text1"/>
          <w:sz w:val="22"/>
          <w:szCs w:val="22"/>
        </w:rPr>
        <w:t> </w:t>
      </w:r>
      <w:r w:rsidR="00A61B1D" w:rsidRPr="00A52AB8">
        <w:rPr>
          <w:rStyle w:val="fontstyle01"/>
          <w:rFonts w:ascii="Cambria" w:hAnsi="Cambria"/>
          <w:color w:val="000000" w:themeColor="text1"/>
          <w:sz w:val="22"/>
          <w:szCs w:val="22"/>
        </w:rPr>
        <w:t>*</w:t>
      </w:r>
      <w:r w:rsidR="00E347CF" w:rsidRPr="00A52AB8">
        <w:rPr>
          <w:rStyle w:val="fontstyle01"/>
          <w:rFonts w:ascii="Cambria" w:hAnsi="Cambria"/>
          <w:color w:val="000000" w:themeColor="text1"/>
          <w:sz w:val="22"/>
          <w:szCs w:val="22"/>
        </w:rPr>
        <w:t> </w:t>
      </w:r>
      <w:r w:rsidR="00A61B1D" w:rsidRPr="00A52AB8">
        <w:rPr>
          <w:rStyle w:val="fontstyle01"/>
          <w:rFonts w:ascii="Cambria" w:hAnsi="Cambria"/>
          <w:color w:val="000000" w:themeColor="text1"/>
          <w:sz w:val="22"/>
          <w:szCs w:val="22"/>
        </w:rPr>
        <w:t>180</w:t>
      </w:r>
    </w:p>
    <w:p w14:paraId="54C42975" w14:textId="77777777" w:rsidR="00887F88" w:rsidRPr="00A52AB8" w:rsidRDefault="00887F88">
      <w:pPr>
        <w:rPr>
          <w:b/>
        </w:rPr>
      </w:pPr>
      <w:r w:rsidRPr="00A52AB8">
        <w:rPr>
          <w:b/>
          <w:bCs/>
        </w:rPr>
        <w:t>soi_3d_</w:t>
      </w:r>
      <w:r w:rsidRPr="00A52AB8">
        <w:rPr>
          <w:b/>
        </w:rPr>
        <w:t>bounding_box_update_flag</w:t>
      </w:r>
      <w:r w:rsidR="001F4484" w:rsidRPr="00A52AB8">
        <w:t>[ i ]</w:t>
      </w:r>
      <w:r w:rsidRPr="00A52AB8">
        <w:t xml:space="preserve"> equal to 1 indicates that 3D bounding box information is present for an object with object index i. </w:t>
      </w:r>
      <w:r w:rsidRPr="00A52AB8">
        <w:rPr>
          <w:bCs/>
        </w:rPr>
        <w:t>soi_3d_bounding_box_update_flag</w:t>
      </w:r>
      <w:r w:rsidR="001F4484" w:rsidRPr="00A52AB8">
        <w:rPr>
          <w:bCs/>
        </w:rPr>
        <w:t>[ i ]</w:t>
      </w:r>
      <w:r w:rsidRPr="00A52AB8">
        <w:rPr>
          <w:bCs/>
        </w:rPr>
        <w:t xml:space="preserve"> equal to 0 indicates that 3D bounding box information is not present.</w:t>
      </w:r>
    </w:p>
    <w:p w14:paraId="0F2910AF" w14:textId="77777777" w:rsidR="0050235C" w:rsidRPr="00A52AB8" w:rsidRDefault="00887F88">
      <w:pPr>
        <w:rPr>
          <w:bCs/>
        </w:rPr>
      </w:pPr>
      <w:r w:rsidRPr="00A52AB8">
        <w:rPr>
          <w:b/>
        </w:rPr>
        <w:t>soi_3d_bounding_box_x</w:t>
      </w:r>
      <w:r w:rsidR="001F4484" w:rsidRPr="00A52AB8">
        <w:rPr>
          <w:bCs/>
        </w:rPr>
        <w:t>[ i ]</w:t>
      </w:r>
      <w:r w:rsidRPr="00A52AB8">
        <w:rPr>
          <w:bCs/>
        </w:rPr>
        <w:t xml:space="preserve"> </w:t>
      </w:r>
      <w:r w:rsidR="0088660E" w:rsidRPr="00A52AB8">
        <w:rPr>
          <w:bCs/>
        </w:rPr>
        <w:t xml:space="preserve">specifies </w:t>
      </w:r>
      <w:r w:rsidRPr="00A52AB8">
        <w:rPr>
          <w:bCs/>
        </w:rPr>
        <w:t xml:space="preserve">the </w:t>
      </w:r>
      <w:r w:rsidR="00D67F80" w:rsidRPr="00A52AB8">
        <w:rPr>
          <w:color w:val="000000" w:themeColor="text1"/>
        </w:rPr>
        <w:t xml:space="preserve">quantized </w:t>
      </w:r>
      <w:r w:rsidRPr="00A52AB8">
        <w:rPr>
          <w:bCs/>
        </w:rPr>
        <w:t xml:space="preserve">x coordinate </w:t>
      </w:r>
      <w:r w:rsidR="0088660E" w:rsidRPr="00A52AB8">
        <w:rPr>
          <w:bCs/>
        </w:rPr>
        <w:t xml:space="preserve">value of the </w:t>
      </w:r>
      <w:r w:rsidRPr="00A52AB8">
        <w:rPr>
          <w:bCs/>
        </w:rPr>
        <w:t>origin position of the 3D bounding box of an object with index i. The default value of soi_3d_bounding_box_x</w:t>
      </w:r>
      <w:r w:rsidR="001F4484" w:rsidRPr="00A52AB8">
        <w:rPr>
          <w:bCs/>
        </w:rPr>
        <w:t>[ i ]</w:t>
      </w:r>
      <w:r w:rsidRPr="00A52AB8">
        <w:rPr>
          <w:bCs/>
        </w:rPr>
        <w:t xml:space="preserve"> is equal to 0.</w:t>
      </w:r>
    </w:p>
    <w:p w14:paraId="6E1B7699" w14:textId="71C434C3" w:rsidR="00887F88" w:rsidRPr="00A52AB8" w:rsidRDefault="00887F88">
      <w:pPr>
        <w:rPr>
          <w:b/>
        </w:rPr>
      </w:pPr>
      <w:r w:rsidRPr="00A52AB8">
        <w:rPr>
          <w:b/>
        </w:rPr>
        <w:t>soi_3d_bounding_box_y</w:t>
      </w:r>
      <w:r w:rsidR="001F4484" w:rsidRPr="00A52AB8">
        <w:rPr>
          <w:bCs/>
        </w:rPr>
        <w:t>[ i ]</w:t>
      </w:r>
      <w:r w:rsidRPr="00A52AB8">
        <w:rPr>
          <w:bCs/>
        </w:rPr>
        <w:t xml:space="preserve"> </w:t>
      </w:r>
      <w:r w:rsidR="0088660E" w:rsidRPr="00A52AB8">
        <w:rPr>
          <w:bCs/>
        </w:rPr>
        <w:t xml:space="preserve">specifies </w:t>
      </w:r>
      <w:r w:rsidRPr="00A52AB8">
        <w:rPr>
          <w:bCs/>
        </w:rPr>
        <w:t xml:space="preserve">the </w:t>
      </w:r>
      <w:r w:rsidR="00D67F80" w:rsidRPr="00A52AB8">
        <w:rPr>
          <w:color w:val="000000" w:themeColor="text1"/>
        </w:rPr>
        <w:t xml:space="preserve">quantized </w:t>
      </w:r>
      <w:r w:rsidRPr="00A52AB8">
        <w:rPr>
          <w:bCs/>
        </w:rPr>
        <w:t>y coordinate value</w:t>
      </w:r>
      <w:r w:rsidR="0088660E" w:rsidRPr="00A52AB8">
        <w:rPr>
          <w:bCs/>
        </w:rPr>
        <w:t xml:space="preserve"> </w:t>
      </w:r>
      <w:r w:rsidRPr="00A52AB8">
        <w:rPr>
          <w:bCs/>
        </w:rPr>
        <w:t>of the origin position of the 3D bounding box of an object with index i. The default value of soi_3d_bounding_box_y</w:t>
      </w:r>
      <w:r w:rsidR="001F4484" w:rsidRPr="00A52AB8">
        <w:rPr>
          <w:bCs/>
        </w:rPr>
        <w:t>[ i ]</w:t>
      </w:r>
      <w:r w:rsidRPr="00A52AB8">
        <w:rPr>
          <w:bCs/>
        </w:rPr>
        <w:t xml:space="preserve"> is equal to 0.</w:t>
      </w:r>
    </w:p>
    <w:p w14:paraId="2EA1AF63" w14:textId="16FD7408" w:rsidR="00887F88" w:rsidRPr="00A52AB8" w:rsidRDefault="00887F88">
      <w:pPr>
        <w:rPr>
          <w:b/>
        </w:rPr>
      </w:pPr>
      <w:r w:rsidRPr="00A52AB8">
        <w:rPr>
          <w:b/>
        </w:rPr>
        <w:t>soi_3d_bounding_box_z</w:t>
      </w:r>
      <w:r w:rsidR="001F4484" w:rsidRPr="00A52AB8">
        <w:rPr>
          <w:bCs/>
        </w:rPr>
        <w:t>[ i ]</w:t>
      </w:r>
      <w:r w:rsidRPr="00A52AB8">
        <w:rPr>
          <w:bCs/>
        </w:rPr>
        <w:t xml:space="preserve"> </w:t>
      </w:r>
      <w:r w:rsidR="0088660E" w:rsidRPr="00A52AB8">
        <w:rPr>
          <w:bCs/>
        </w:rPr>
        <w:t xml:space="preserve">specifies </w:t>
      </w:r>
      <w:r w:rsidRPr="00A52AB8">
        <w:rPr>
          <w:bCs/>
        </w:rPr>
        <w:t xml:space="preserve">the </w:t>
      </w:r>
      <w:r w:rsidR="00D67F80" w:rsidRPr="00A52AB8">
        <w:rPr>
          <w:color w:val="000000" w:themeColor="text1"/>
        </w:rPr>
        <w:t xml:space="preserve">quantized </w:t>
      </w:r>
      <w:r w:rsidRPr="00A52AB8">
        <w:rPr>
          <w:bCs/>
        </w:rPr>
        <w:t>z coordinate value of the origin position of the 3D bounding box of an object with index i. The default value of soi_3d_bounding_box_z</w:t>
      </w:r>
      <w:r w:rsidR="001F4484" w:rsidRPr="00A52AB8">
        <w:rPr>
          <w:bCs/>
        </w:rPr>
        <w:t>[ i ]</w:t>
      </w:r>
      <w:r w:rsidRPr="00A52AB8">
        <w:rPr>
          <w:bCs/>
        </w:rPr>
        <w:t xml:space="preserve"> is equal to 0.</w:t>
      </w:r>
    </w:p>
    <w:p w14:paraId="0BD240B6" w14:textId="2092FEDC" w:rsidR="00887F88" w:rsidRPr="00A52AB8" w:rsidRDefault="00A02BF9">
      <w:pPr>
        <w:rPr>
          <w:b/>
        </w:rPr>
      </w:pPr>
      <w:r w:rsidRPr="00A52AB8">
        <w:rPr>
          <w:b/>
        </w:rPr>
        <w:t>soi_3d_bounding_box_size</w:t>
      </w:r>
      <w:r w:rsidR="00887F88" w:rsidRPr="00A52AB8">
        <w:rPr>
          <w:b/>
        </w:rPr>
        <w:t>_x</w:t>
      </w:r>
      <w:r w:rsidR="001F4484" w:rsidRPr="00A52AB8">
        <w:rPr>
          <w:bCs/>
        </w:rPr>
        <w:t>[ i ]</w:t>
      </w:r>
      <w:r w:rsidR="00887F88" w:rsidRPr="00A52AB8">
        <w:rPr>
          <w:b/>
        </w:rPr>
        <w:t xml:space="preserve"> </w:t>
      </w:r>
      <w:r w:rsidR="00FA445A" w:rsidRPr="00A52AB8">
        <w:rPr>
          <w:bCs/>
        </w:rPr>
        <w:t xml:space="preserve">specifies </w:t>
      </w:r>
      <w:r w:rsidR="00887F88" w:rsidRPr="00A52AB8">
        <w:rPr>
          <w:bCs/>
        </w:rPr>
        <w:t xml:space="preserve">the </w:t>
      </w:r>
      <w:r w:rsidR="00FA445A" w:rsidRPr="00A52AB8">
        <w:rPr>
          <w:color w:val="000000" w:themeColor="text1"/>
        </w:rPr>
        <w:t xml:space="preserve">quantized </w:t>
      </w:r>
      <w:r w:rsidR="00887F88" w:rsidRPr="00A52AB8">
        <w:rPr>
          <w:bCs/>
        </w:rPr>
        <w:t>size</w:t>
      </w:r>
      <w:r w:rsidR="00E2202C" w:rsidRPr="00A52AB8">
        <w:rPr>
          <w:bCs/>
        </w:rPr>
        <w:t xml:space="preserve"> </w:t>
      </w:r>
      <w:r w:rsidR="00887F88" w:rsidRPr="00A52AB8">
        <w:rPr>
          <w:bCs/>
        </w:rPr>
        <w:t xml:space="preserve">of the bounding box on the x axis of an object with index i. The default value of </w:t>
      </w:r>
      <w:r w:rsidRPr="00A52AB8">
        <w:rPr>
          <w:bCs/>
        </w:rPr>
        <w:t>soi_3d_bounding_box_size</w:t>
      </w:r>
      <w:r w:rsidR="00887F88" w:rsidRPr="00A52AB8">
        <w:rPr>
          <w:bCs/>
        </w:rPr>
        <w:t>_x</w:t>
      </w:r>
      <w:r w:rsidR="001F4484" w:rsidRPr="00A52AB8">
        <w:rPr>
          <w:bCs/>
        </w:rPr>
        <w:t>[ i ]</w:t>
      </w:r>
      <w:r w:rsidR="00887F88" w:rsidRPr="00A52AB8">
        <w:rPr>
          <w:bCs/>
        </w:rPr>
        <w:t xml:space="preserve"> is equal to 0.</w:t>
      </w:r>
    </w:p>
    <w:p w14:paraId="1C092E22" w14:textId="60BBF2FD" w:rsidR="00887F88" w:rsidRPr="00A52AB8" w:rsidRDefault="00A02BF9">
      <w:pPr>
        <w:rPr>
          <w:b/>
        </w:rPr>
      </w:pPr>
      <w:r w:rsidRPr="00A52AB8">
        <w:rPr>
          <w:b/>
        </w:rPr>
        <w:t>soi_3d_bounding_box_size</w:t>
      </w:r>
      <w:r w:rsidR="00887F88" w:rsidRPr="00A52AB8">
        <w:rPr>
          <w:b/>
        </w:rPr>
        <w:t>_y</w:t>
      </w:r>
      <w:r w:rsidR="001F4484" w:rsidRPr="00A52AB8">
        <w:rPr>
          <w:bCs/>
        </w:rPr>
        <w:t>[ i ]</w:t>
      </w:r>
      <w:r w:rsidR="00887F88" w:rsidRPr="00A52AB8">
        <w:rPr>
          <w:b/>
        </w:rPr>
        <w:t xml:space="preserve"> </w:t>
      </w:r>
      <w:r w:rsidR="00FA445A" w:rsidRPr="00A52AB8">
        <w:rPr>
          <w:bCs/>
        </w:rPr>
        <w:t xml:space="preserve">specifies </w:t>
      </w:r>
      <w:r w:rsidR="00887F88" w:rsidRPr="00A52AB8">
        <w:rPr>
          <w:bCs/>
        </w:rPr>
        <w:t xml:space="preserve">the </w:t>
      </w:r>
      <w:r w:rsidR="00FA445A" w:rsidRPr="00A52AB8">
        <w:rPr>
          <w:color w:val="000000" w:themeColor="text1"/>
        </w:rPr>
        <w:t xml:space="preserve">quantized </w:t>
      </w:r>
      <w:r w:rsidR="00887F88" w:rsidRPr="00A52AB8">
        <w:rPr>
          <w:bCs/>
        </w:rPr>
        <w:t xml:space="preserve">size of the bounding box on the y axis of an object with index i. The default value of </w:t>
      </w:r>
      <w:r w:rsidRPr="00A52AB8">
        <w:rPr>
          <w:bCs/>
        </w:rPr>
        <w:t>soi_3d_bounding_box_size</w:t>
      </w:r>
      <w:r w:rsidR="00887F88" w:rsidRPr="00A52AB8">
        <w:rPr>
          <w:bCs/>
        </w:rPr>
        <w:t>_y</w:t>
      </w:r>
      <w:r w:rsidR="001F4484" w:rsidRPr="00A52AB8">
        <w:rPr>
          <w:bCs/>
        </w:rPr>
        <w:t>[ i ]</w:t>
      </w:r>
      <w:r w:rsidR="00887F88" w:rsidRPr="00A52AB8">
        <w:rPr>
          <w:bCs/>
        </w:rPr>
        <w:t xml:space="preserve"> is equal to 0</w:t>
      </w:r>
      <w:r w:rsidR="00A60444" w:rsidRPr="00A52AB8">
        <w:rPr>
          <w:bCs/>
        </w:rPr>
        <w:t>.</w:t>
      </w:r>
    </w:p>
    <w:p w14:paraId="273B81AE" w14:textId="3DD577E9" w:rsidR="00887F88" w:rsidRPr="00A52AB8" w:rsidRDefault="00A02BF9">
      <w:pPr>
        <w:rPr>
          <w:b/>
        </w:rPr>
      </w:pPr>
      <w:r w:rsidRPr="00A52AB8">
        <w:rPr>
          <w:b/>
        </w:rPr>
        <w:t>soi_3d_bounding_box_size</w:t>
      </w:r>
      <w:r w:rsidR="00887F88" w:rsidRPr="00A52AB8">
        <w:rPr>
          <w:b/>
        </w:rPr>
        <w:t>_z</w:t>
      </w:r>
      <w:r w:rsidR="001F4484" w:rsidRPr="00A52AB8">
        <w:rPr>
          <w:bCs/>
        </w:rPr>
        <w:t>[ i ]</w:t>
      </w:r>
      <w:r w:rsidR="00887F88" w:rsidRPr="00A52AB8">
        <w:rPr>
          <w:b/>
        </w:rPr>
        <w:t xml:space="preserve"> </w:t>
      </w:r>
      <w:r w:rsidR="00FA445A" w:rsidRPr="00A52AB8">
        <w:rPr>
          <w:bCs/>
        </w:rPr>
        <w:t xml:space="preserve">specifies </w:t>
      </w:r>
      <w:r w:rsidR="00887F88" w:rsidRPr="00A52AB8">
        <w:rPr>
          <w:bCs/>
        </w:rPr>
        <w:t xml:space="preserve">the </w:t>
      </w:r>
      <w:r w:rsidR="00FA445A" w:rsidRPr="00A52AB8">
        <w:rPr>
          <w:color w:val="000000" w:themeColor="text1"/>
        </w:rPr>
        <w:t xml:space="preserve">quantized </w:t>
      </w:r>
      <w:r w:rsidR="00887F88" w:rsidRPr="00A52AB8">
        <w:rPr>
          <w:bCs/>
        </w:rPr>
        <w:t>size of the bounding box on the z axis</w:t>
      </w:r>
      <w:r w:rsidR="0088660E" w:rsidRPr="00A52AB8">
        <w:rPr>
          <w:bCs/>
        </w:rPr>
        <w:t xml:space="preserve"> </w:t>
      </w:r>
      <w:r w:rsidR="00887F88" w:rsidRPr="00A52AB8">
        <w:rPr>
          <w:bCs/>
        </w:rPr>
        <w:t xml:space="preserve">of an object with index i. The default value of </w:t>
      </w:r>
      <w:r w:rsidRPr="00A52AB8">
        <w:rPr>
          <w:bCs/>
        </w:rPr>
        <w:t>soi_3d_bounding_box_size</w:t>
      </w:r>
      <w:r w:rsidR="00887F88" w:rsidRPr="00A52AB8">
        <w:rPr>
          <w:bCs/>
        </w:rPr>
        <w:t>_z</w:t>
      </w:r>
      <w:r w:rsidR="001F4484" w:rsidRPr="00A52AB8">
        <w:rPr>
          <w:bCs/>
        </w:rPr>
        <w:t>[ i ]</w:t>
      </w:r>
      <w:r w:rsidR="00887F88" w:rsidRPr="00A52AB8">
        <w:rPr>
          <w:bCs/>
        </w:rPr>
        <w:t xml:space="preserve"> is equal to 0</w:t>
      </w:r>
      <w:r w:rsidR="00A60444" w:rsidRPr="00A52AB8">
        <w:rPr>
          <w:bCs/>
        </w:rPr>
        <w:t>.</w:t>
      </w:r>
    </w:p>
    <w:p w14:paraId="209EDED9" w14:textId="2CB765DB" w:rsidR="0088660E" w:rsidRPr="00A52AB8" w:rsidRDefault="0088660E" w:rsidP="0088660E">
      <w:pPr>
        <w:rPr>
          <w:bCs/>
        </w:rPr>
      </w:pPr>
      <w:r w:rsidRPr="00A52AB8">
        <w:rPr>
          <w:bCs/>
        </w:rPr>
        <w:t>The bounding box origin and size for an object with index i are computed as follows:</w:t>
      </w:r>
    </w:p>
    <w:p w14:paraId="6EF80497" w14:textId="1258FE33" w:rsidR="0088660E" w:rsidRPr="00A52AB8" w:rsidRDefault="0088660E">
      <w:pPr>
        <w:rPr>
          <w:color w:val="000000" w:themeColor="text1"/>
        </w:rPr>
      </w:pPr>
      <w:r w:rsidRPr="00A52AB8">
        <w:t>Object3DBoundingBoxX[ i ]</w:t>
      </w:r>
      <w:r w:rsidR="00D47707" w:rsidRPr="00A52AB8">
        <w:t> = </w:t>
      </w:r>
      <w:r w:rsidRPr="00A52AB8">
        <w:rPr>
          <w:bCs/>
        </w:rPr>
        <w:t>soi_3d_bounding_box_x[ i ]</w:t>
      </w:r>
      <w:r w:rsidRPr="00A52AB8">
        <w:t> &lt;&lt;</w:t>
      </w:r>
      <w:r w:rsidRPr="00A52AB8">
        <w:rPr>
          <w:b/>
          <w:bCs/>
          <w:color w:val="000000" w:themeColor="text1"/>
        </w:rPr>
        <w:t> </w:t>
      </w:r>
      <w:r w:rsidRPr="00A52AB8">
        <w:rPr>
          <w:color w:val="000000" w:themeColor="text1"/>
        </w:rPr>
        <w:t>soi</w:t>
      </w:r>
      <w:r w:rsidRPr="00A52AB8">
        <w:t>_3d_</w:t>
      </w:r>
      <w:r w:rsidRPr="00A52AB8">
        <w:rPr>
          <w:color w:val="000000" w:themeColor="text1"/>
        </w:rPr>
        <w:t>bounding_box_scale_log2</w:t>
      </w:r>
      <w:r w:rsidRPr="00A52AB8">
        <w:rPr>
          <w:color w:val="000000" w:themeColor="text1"/>
        </w:rPr>
        <w:br/>
      </w:r>
      <w:r w:rsidRPr="00A52AB8">
        <w:t>Object3DBoundingBoxY[ i ]</w:t>
      </w:r>
      <w:r w:rsidR="00D47707" w:rsidRPr="00A52AB8">
        <w:t> = </w:t>
      </w:r>
      <w:r w:rsidRPr="00A52AB8">
        <w:rPr>
          <w:bCs/>
        </w:rPr>
        <w:t>soi_3d_bounding_box_y[ i ]</w:t>
      </w:r>
      <w:r w:rsidRPr="00A52AB8">
        <w:t> &lt;&lt;</w:t>
      </w:r>
      <w:r w:rsidRPr="00A52AB8">
        <w:rPr>
          <w:b/>
          <w:bCs/>
          <w:color w:val="000000" w:themeColor="text1"/>
        </w:rPr>
        <w:t> </w:t>
      </w:r>
      <w:r w:rsidRPr="00A52AB8">
        <w:rPr>
          <w:color w:val="000000" w:themeColor="text1"/>
        </w:rPr>
        <w:t>soi</w:t>
      </w:r>
      <w:r w:rsidRPr="00A52AB8">
        <w:t>_3d_</w:t>
      </w:r>
      <w:r w:rsidRPr="00A52AB8">
        <w:rPr>
          <w:color w:val="000000" w:themeColor="text1"/>
        </w:rPr>
        <w:t>bounding_box_scale_log2</w:t>
      </w:r>
      <w:r w:rsidRPr="00A52AB8">
        <w:rPr>
          <w:color w:val="000000" w:themeColor="text1"/>
        </w:rPr>
        <w:br/>
      </w:r>
      <w:r w:rsidRPr="00A52AB8">
        <w:t>Object3DBoundingBoxZ[ i ]</w:t>
      </w:r>
      <w:r w:rsidR="00D47707" w:rsidRPr="00A52AB8">
        <w:t> = </w:t>
      </w:r>
      <w:r w:rsidRPr="00A52AB8">
        <w:rPr>
          <w:bCs/>
        </w:rPr>
        <w:t>soi_3d_bounding_box_z[ i ]</w:t>
      </w:r>
      <w:r w:rsidRPr="00A52AB8">
        <w:t> &lt;&lt;</w:t>
      </w:r>
      <w:r w:rsidRPr="00A52AB8">
        <w:rPr>
          <w:b/>
          <w:bCs/>
          <w:color w:val="000000" w:themeColor="text1"/>
        </w:rPr>
        <w:t> </w:t>
      </w:r>
      <w:r w:rsidRPr="00A52AB8">
        <w:rPr>
          <w:color w:val="000000" w:themeColor="text1"/>
        </w:rPr>
        <w:t>soi</w:t>
      </w:r>
      <w:r w:rsidRPr="00A52AB8">
        <w:t>_3d_</w:t>
      </w:r>
      <w:r w:rsidRPr="00A52AB8">
        <w:rPr>
          <w:color w:val="000000" w:themeColor="text1"/>
        </w:rPr>
        <w:t>bounding_box_scale_log2</w:t>
      </w:r>
      <w:r w:rsidRPr="00A52AB8">
        <w:rPr>
          <w:color w:val="000000" w:themeColor="text1"/>
        </w:rPr>
        <w:br/>
      </w:r>
      <w:r w:rsidRPr="00A52AB8">
        <w:t>Object3DBoundingBoxSizeX[ i ]</w:t>
      </w:r>
      <w:r w:rsidR="00D47707" w:rsidRPr="00A52AB8">
        <w:t> = </w:t>
      </w:r>
      <w:r w:rsidRPr="00A52AB8">
        <w:rPr>
          <w:bCs/>
        </w:rPr>
        <w:t>soi_3d_bounding_box_size_x[ i ]</w:t>
      </w:r>
      <w:r w:rsidRPr="00A52AB8">
        <w:t> &lt;&lt;</w:t>
      </w:r>
      <w:r w:rsidRPr="00A52AB8">
        <w:rPr>
          <w:b/>
          <w:bCs/>
          <w:color w:val="000000" w:themeColor="text1"/>
        </w:rPr>
        <w:t> </w:t>
      </w:r>
      <w:r w:rsidRPr="00A52AB8">
        <w:rPr>
          <w:color w:val="000000" w:themeColor="text1"/>
        </w:rPr>
        <w:t>soi</w:t>
      </w:r>
      <w:r w:rsidRPr="00A52AB8">
        <w:t>_3d_</w:t>
      </w:r>
      <w:r w:rsidRPr="00A52AB8">
        <w:rPr>
          <w:color w:val="000000" w:themeColor="text1"/>
        </w:rPr>
        <w:t>bounding_box_scale_log2</w:t>
      </w:r>
      <w:r w:rsidRPr="00A52AB8">
        <w:rPr>
          <w:color w:val="000000" w:themeColor="text1"/>
        </w:rPr>
        <w:br/>
      </w:r>
      <w:r w:rsidRPr="00A52AB8">
        <w:t>Object3DBoundingBoxSizeY[ i ]</w:t>
      </w:r>
      <w:r w:rsidR="00D47707" w:rsidRPr="00A52AB8">
        <w:t> = </w:t>
      </w:r>
      <w:r w:rsidRPr="00A52AB8">
        <w:rPr>
          <w:bCs/>
        </w:rPr>
        <w:t>soi_3d_bounding_box_size_y[ i ]</w:t>
      </w:r>
      <w:r w:rsidRPr="00A52AB8">
        <w:t> &lt;&lt;</w:t>
      </w:r>
      <w:r w:rsidRPr="00A52AB8">
        <w:rPr>
          <w:b/>
          <w:bCs/>
          <w:color w:val="000000" w:themeColor="text1"/>
        </w:rPr>
        <w:t> </w:t>
      </w:r>
      <w:r w:rsidRPr="00A52AB8">
        <w:rPr>
          <w:color w:val="000000" w:themeColor="text1"/>
        </w:rPr>
        <w:t>soi</w:t>
      </w:r>
      <w:r w:rsidRPr="00A52AB8">
        <w:t>_3d_</w:t>
      </w:r>
      <w:r w:rsidRPr="00A52AB8">
        <w:rPr>
          <w:color w:val="000000" w:themeColor="text1"/>
        </w:rPr>
        <w:t>bounding_box_scale_log2</w:t>
      </w:r>
      <w:r w:rsidRPr="00A52AB8">
        <w:rPr>
          <w:color w:val="000000" w:themeColor="text1"/>
        </w:rPr>
        <w:br/>
      </w:r>
      <w:r w:rsidRPr="00A52AB8">
        <w:t>Object3DBoundingBoxSizeZ[ i ]</w:t>
      </w:r>
      <w:r w:rsidR="00D47707" w:rsidRPr="00A52AB8">
        <w:t> = </w:t>
      </w:r>
      <w:r w:rsidRPr="00A52AB8">
        <w:rPr>
          <w:bCs/>
        </w:rPr>
        <w:t>soi_3d_bounding_box_size_z[ i ]</w:t>
      </w:r>
      <w:r w:rsidRPr="00A52AB8">
        <w:t> &lt;&lt;</w:t>
      </w:r>
      <w:r w:rsidRPr="00A52AB8">
        <w:rPr>
          <w:b/>
          <w:bCs/>
          <w:color w:val="000000" w:themeColor="text1"/>
        </w:rPr>
        <w:t> </w:t>
      </w:r>
      <w:r w:rsidRPr="00A52AB8">
        <w:rPr>
          <w:color w:val="000000" w:themeColor="text1"/>
        </w:rPr>
        <w:t>soi</w:t>
      </w:r>
      <w:r w:rsidRPr="00A52AB8">
        <w:t>_3d_</w:t>
      </w:r>
      <w:r w:rsidRPr="00A52AB8">
        <w:rPr>
          <w:color w:val="000000" w:themeColor="text1"/>
        </w:rPr>
        <w:t>bounding_box_scale_log2</w:t>
      </w:r>
    </w:p>
    <w:p w14:paraId="30EAB3F3" w14:textId="3BD50E77" w:rsidR="0021677A" w:rsidRPr="00A52AB8" w:rsidRDefault="00887F88">
      <w:pPr>
        <w:rPr>
          <w:b/>
        </w:rPr>
      </w:pPr>
      <w:r w:rsidRPr="00A52AB8">
        <w:rPr>
          <w:b/>
          <w:bCs/>
        </w:rPr>
        <w:t>soi_</w:t>
      </w:r>
      <w:r w:rsidRPr="00A52AB8">
        <w:rPr>
          <w:b/>
        </w:rPr>
        <w:t>collision_shape_update_flag</w:t>
      </w:r>
      <w:r w:rsidR="001F4484" w:rsidRPr="00A52AB8">
        <w:t>[ i ]</w:t>
      </w:r>
      <w:r w:rsidRPr="00A52AB8">
        <w:t xml:space="preserve"> equal to 1 indicates that collision shape update information is present for an object with object index i. </w:t>
      </w:r>
      <w:r w:rsidRPr="00A52AB8">
        <w:rPr>
          <w:bCs/>
        </w:rPr>
        <w:t>soi_collision_shape_update_flag</w:t>
      </w:r>
      <w:r w:rsidR="001F4484" w:rsidRPr="00A52AB8">
        <w:rPr>
          <w:bCs/>
        </w:rPr>
        <w:t>[ i ]</w:t>
      </w:r>
      <w:r w:rsidRPr="00A52AB8">
        <w:rPr>
          <w:bCs/>
        </w:rPr>
        <w:t xml:space="preserve"> equal to 0 indicates that collision shape update information is not present.</w:t>
      </w:r>
    </w:p>
    <w:p w14:paraId="37062C8C" w14:textId="525C45D2" w:rsidR="00887F88" w:rsidRPr="00A52AB8" w:rsidRDefault="00887F88">
      <w:pPr>
        <w:rPr>
          <w:b/>
        </w:rPr>
      </w:pPr>
      <w:r w:rsidRPr="00A52AB8">
        <w:rPr>
          <w:b/>
          <w:bCs/>
        </w:rPr>
        <w:t>soi_</w:t>
      </w:r>
      <w:r w:rsidRPr="00A52AB8">
        <w:rPr>
          <w:b/>
        </w:rPr>
        <w:t>collision_shape_id</w:t>
      </w:r>
      <w:r w:rsidR="001F4484" w:rsidRPr="00A52AB8">
        <w:t>[ i ]</w:t>
      </w:r>
      <w:r w:rsidRPr="00A52AB8">
        <w:rPr>
          <w:bCs/>
        </w:rPr>
        <w:t xml:space="preserve"> indicates the collision shape</w:t>
      </w:r>
      <w:r w:rsidR="00E14662" w:rsidRPr="00A52AB8">
        <w:rPr>
          <w:bCs/>
        </w:rPr>
        <w:t xml:space="preserve"> ID</w:t>
      </w:r>
      <w:r w:rsidR="00E2202C" w:rsidRPr="00A52AB8">
        <w:rPr>
          <w:bCs/>
        </w:rPr>
        <w:t xml:space="preserve">, </w:t>
      </w:r>
      <w:r w:rsidR="00E2202C" w:rsidRPr="00A52AB8">
        <w:t>ObjectCollisionShapeID[ i ],</w:t>
      </w:r>
      <w:r w:rsidR="00E14662" w:rsidRPr="00A52AB8">
        <w:rPr>
          <w:bCs/>
        </w:rPr>
        <w:t xml:space="preserve"> </w:t>
      </w:r>
      <w:r w:rsidRPr="00A52AB8">
        <w:rPr>
          <w:bCs/>
        </w:rPr>
        <w:t>of an object with index i.</w:t>
      </w:r>
      <w:r w:rsidR="0021677A" w:rsidRPr="00A52AB8">
        <w:rPr>
          <w:bCs/>
        </w:rPr>
        <w:t xml:space="preserve"> </w:t>
      </w:r>
      <w:r w:rsidR="0021677A" w:rsidRPr="00A52AB8">
        <w:rPr>
          <w:color w:val="000000" w:themeColor="text1"/>
        </w:rPr>
        <w:t>The collision shape</w:t>
      </w:r>
      <w:r w:rsidR="00E14662" w:rsidRPr="00A52AB8">
        <w:rPr>
          <w:color w:val="000000" w:themeColor="text1"/>
        </w:rPr>
        <w:t xml:space="preserve"> ID </w:t>
      </w:r>
      <w:r w:rsidR="0021677A" w:rsidRPr="00A52AB8">
        <w:rPr>
          <w:color w:val="000000" w:themeColor="text1"/>
        </w:rPr>
        <w:t>is identified through means outside this document.</w:t>
      </w:r>
      <w:r w:rsidR="00A60444" w:rsidRPr="00A52AB8">
        <w:rPr>
          <w:color w:val="000000" w:themeColor="text1"/>
        </w:rPr>
        <w:t xml:space="preserve"> </w:t>
      </w:r>
      <w:r w:rsidR="00A60444" w:rsidRPr="00A52AB8">
        <w:rPr>
          <w:bCs/>
        </w:rPr>
        <w:t xml:space="preserve">The default value of </w:t>
      </w:r>
      <w:r w:rsidR="00293316" w:rsidRPr="00A52AB8">
        <w:rPr>
          <w:bCs/>
        </w:rPr>
        <w:t>soi_collision_shape_id</w:t>
      </w:r>
      <w:r w:rsidR="00A60444" w:rsidRPr="00A52AB8">
        <w:rPr>
          <w:bCs/>
        </w:rPr>
        <w:t>[ i ] is equal to 0.</w:t>
      </w:r>
    </w:p>
    <w:p w14:paraId="02E7C457" w14:textId="77777777" w:rsidR="0021677A" w:rsidRPr="00A52AB8" w:rsidRDefault="00887F88">
      <w:pPr>
        <w:rPr>
          <w:b/>
        </w:rPr>
      </w:pPr>
      <w:r w:rsidRPr="00A52AB8">
        <w:rPr>
          <w:b/>
          <w:bCs/>
        </w:rPr>
        <w:t>soi_point_</w:t>
      </w:r>
      <w:r w:rsidRPr="00A52AB8">
        <w:rPr>
          <w:b/>
        </w:rPr>
        <w:t>style_update_flag</w:t>
      </w:r>
      <w:r w:rsidR="001F4484" w:rsidRPr="00A52AB8">
        <w:t>[ i ]</w:t>
      </w:r>
      <w:r w:rsidRPr="00A52AB8">
        <w:t xml:space="preserve"> equal to 1 indicates that point style update information is present for an object with object index i. </w:t>
      </w:r>
      <w:r w:rsidRPr="00A52AB8">
        <w:rPr>
          <w:bCs/>
        </w:rPr>
        <w:t>soi_point_style_update_flag</w:t>
      </w:r>
      <w:r w:rsidR="001F4484" w:rsidRPr="00A52AB8">
        <w:rPr>
          <w:bCs/>
        </w:rPr>
        <w:t>[ i ]</w:t>
      </w:r>
      <w:r w:rsidRPr="00A52AB8">
        <w:rPr>
          <w:bCs/>
        </w:rPr>
        <w:t xml:space="preserve"> equal to 0 indicates that point style update information is not present.</w:t>
      </w:r>
    </w:p>
    <w:p w14:paraId="1063EA0B" w14:textId="4D9F3EF4" w:rsidR="0021677A" w:rsidRPr="00A52AB8" w:rsidRDefault="00887F88">
      <w:pPr>
        <w:rPr>
          <w:bCs/>
        </w:rPr>
      </w:pPr>
      <w:r w:rsidRPr="00A52AB8">
        <w:rPr>
          <w:b/>
          <w:bCs/>
        </w:rPr>
        <w:t>soi_point_</w:t>
      </w:r>
      <w:r w:rsidRPr="00A52AB8">
        <w:rPr>
          <w:b/>
        </w:rPr>
        <w:t>shape_id</w:t>
      </w:r>
      <w:r w:rsidR="001F4484" w:rsidRPr="00A52AB8">
        <w:t>[ i ]</w:t>
      </w:r>
      <w:r w:rsidRPr="00A52AB8">
        <w:rPr>
          <w:bCs/>
        </w:rPr>
        <w:t xml:space="preserve"> indicates the point shape</w:t>
      </w:r>
      <w:r w:rsidR="00E14662" w:rsidRPr="00A52AB8">
        <w:rPr>
          <w:bCs/>
        </w:rPr>
        <w:t xml:space="preserve"> ID</w:t>
      </w:r>
      <w:r w:rsidR="00E2202C" w:rsidRPr="00A52AB8">
        <w:rPr>
          <w:bCs/>
        </w:rPr>
        <w:t xml:space="preserve">, </w:t>
      </w:r>
      <w:r w:rsidR="00E2202C" w:rsidRPr="00A52AB8">
        <w:t>ObjectPointShapeID[ i ],</w:t>
      </w:r>
      <w:r w:rsidR="00E14662" w:rsidRPr="00A52AB8">
        <w:rPr>
          <w:bCs/>
        </w:rPr>
        <w:t xml:space="preserve"> </w:t>
      </w:r>
      <w:r w:rsidRPr="00A52AB8">
        <w:rPr>
          <w:bCs/>
        </w:rPr>
        <w:t>of an object with index i. The default value of soi_point_shape_id</w:t>
      </w:r>
      <w:r w:rsidR="001F4484" w:rsidRPr="00A52AB8">
        <w:rPr>
          <w:bCs/>
        </w:rPr>
        <w:t>[ i ]</w:t>
      </w:r>
      <w:r w:rsidRPr="00A52AB8">
        <w:rPr>
          <w:bCs/>
        </w:rPr>
        <w:t xml:space="preserve"> is equal to 0.</w:t>
      </w:r>
      <w:r w:rsidR="00E81FB9" w:rsidRPr="00A52AB8">
        <w:rPr>
          <w:bCs/>
        </w:rPr>
        <w:t xml:space="preserve"> </w:t>
      </w:r>
      <w:r w:rsidR="00E81FB9" w:rsidRPr="00A52AB8">
        <w:rPr>
          <w:bCs/>
          <w:color w:val="000000" w:themeColor="text1"/>
        </w:rPr>
        <w:t xml:space="preserve">The </w:t>
      </w:r>
      <w:r w:rsidR="00E81FB9" w:rsidRPr="00A52AB8">
        <w:rPr>
          <w:color w:val="000000" w:themeColor="text1"/>
        </w:rPr>
        <w:t xml:space="preserve">value of </w:t>
      </w:r>
      <w:r w:rsidR="00E81FB9" w:rsidRPr="00A52AB8">
        <w:rPr>
          <w:bCs/>
        </w:rPr>
        <w:t>soi_point_shape_id[ i ]</w:t>
      </w:r>
      <w:r w:rsidR="00E81FB9" w:rsidRPr="00A52AB8">
        <w:rPr>
          <w:color w:val="000000" w:themeColor="text1"/>
        </w:rPr>
        <w:t xml:space="preserve"> shall be in the range of 0 to 2, inclusive in bitstreams conforming to this version of this document.</w:t>
      </w:r>
      <w:r w:rsidR="00E81FB9" w:rsidRPr="00A52AB8">
        <w:rPr>
          <w:bCs/>
        </w:rPr>
        <w:t xml:space="preserve"> Other values of soi_point_shape_id[ i ] are reserved for future use by ISO/IEC. Decoders conforming to this version of this document shall ignore reserved values of soi_point_shape_id[ i ].</w:t>
      </w:r>
    </w:p>
    <w:p w14:paraId="64165075" w14:textId="2AF0DA06" w:rsidR="00E81FB9" w:rsidRPr="00A52AB8" w:rsidRDefault="00E81FB9" w:rsidP="001000BF">
      <w:pPr>
        <w:pStyle w:val="Tabletitle0"/>
      </w:pPr>
      <w:r w:rsidRPr="00A52AB8">
        <w:t>Table F-</w:t>
      </w:r>
      <w:r w:rsidRPr="00496A4D">
        <w:fldChar w:fldCharType="begin"/>
      </w:r>
      <w:r w:rsidRPr="00A52AB8">
        <w:instrText xml:space="preserve"> SEQ Table \* ARABIC \s 1 </w:instrText>
      </w:r>
      <w:r w:rsidRPr="00496A4D">
        <w:fldChar w:fldCharType="separate"/>
      </w:r>
      <w:r w:rsidR="00507A67">
        <w:rPr>
          <w:noProof/>
        </w:rPr>
        <w:t>4</w:t>
      </w:r>
      <w:r w:rsidRPr="00496A4D">
        <w:fldChar w:fldCharType="end"/>
      </w:r>
      <w:r w:rsidR="008E3554" w:rsidRPr="00A52AB8">
        <w:rPr>
          <w:rFonts w:cs="Calibri"/>
          <w:bCs/>
        </w:rPr>
        <w:t> </w:t>
      </w:r>
      <w:r w:rsidR="008E3554" w:rsidRPr="00A52AB8">
        <w:t>– </w:t>
      </w:r>
      <w:r w:rsidRPr="00A52AB8">
        <w:t>soi_point_shape_id</w:t>
      </w:r>
      <w:r w:rsidRPr="00A52AB8">
        <w:rPr>
          <w:sz w:val="21"/>
          <w:szCs w:val="18"/>
        </w:rPr>
        <w:t>[ i ] values</w:t>
      </w:r>
    </w:p>
    <w:tbl>
      <w:tblPr>
        <w:tblStyle w:val="TableGrid"/>
        <w:tblW w:w="0" w:type="auto"/>
        <w:jc w:val="center"/>
        <w:tblLook w:val="04A0" w:firstRow="1" w:lastRow="0" w:firstColumn="1" w:lastColumn="0" w:noHBand="0" w:noVBand="1"/>
      </w:tblPr>
      <w:tblGrid>
        <w:gridCol w:w="979"/>
        <w:gridCol w:w="1402"/>
      </w:tblGrid>
      <w:tr w:rsidR="00E81FB9" w:rsidRPr="00A52AB8" w14:paraId="2C6D7B98" w14:textId="77777777" w:rsidTr="001000BF">
        <w:trPr>
          <w:jc w:val="center"/>
        </w:trPr>
        <w:tc>
          <w:tcPr>
            <w:tcW w:w="979" w:type="dxa"/>
          </w:tcPr>
          <w:p w14:paraId="47198CA5" w14:textId="77777777" w:rsidR="00E81FB9" w:rsidRPr="00A52AB8" w:rsidRDefault="00E81FB9" w:rsidP="001000BF">
            <w:pPr>
              <w:tabs>
                <w:tab w:val="clear" w:pos="403"/>
              </w:tabs>
              <w:spacing w:before="120" w:after="120" w:line="240" w:lineRule="auto"/>
              <w:jc w:val="center"/>
              <w:rPr>
                <w:b/>
              </w:rPr>
            </w:pPr>
            <w:r w:rsidRPr="00A52AB8">
              <w:rPr>
                <w:b/>
                <w:bCs/>
              </w:rPr>
              <w:t>value</w:t>
            </w:r>
          </w:p>
        </w:tc>
        <w:tc>
          <w:tcPr>
            <w:tcW w:w="0" w:type="auto"/>
          </w:tcPr>
          <w:p w14:paraId="3A355E3F" w14:textId="77777777" w:rsidR="00E81FB9" w:rsidRPr="00A52AB8" w:rsidRDefault="00E81FB9" w:rsidP="001000BF">
            <w:pPr>
              <w:tabs>
                <w:tab w:val="clear" w:pos="403"/>
              </w:tabs>
              <w:spacing w:before="120" w:after="120" w:line="240" w:lineRule="auto"/>
              <w:jc w:val="center"/>
              <w:rPr>
                <w:b/>
              </w:rPr>
            </w:pPr>
            <w:r w:rsidRPr="00A52AB8">
              <w:rPr>
                <w:b/>
              </w:rPr>
              <w:t>Description</w:t>
            </w:r>
          </w:p>
        </w:tc>
      </w:tr>
      <w:tr w:rsidR="00E81FB9" w:rsidRPr="00A52AB8" w14:paraId="33E92CC9" w14:textId="77777777" w:rsidTr="001000BF">
        <w:trPr>
          <w:jc w:val="center"/>
        </w:trPr>
        <w:tc>
          <w:tcPr>
            <w:tcW w:w="979" w:type="dxa"/>
          </w:tcPr>
          <w:p w14:paraId="7F2B2E7D" w14:textId="77777777" w:rsidR="00E81FB9" w:rsidRPr="00A52AB8" w:rsidRDefault="00E81FB9" w:rsidP="001000BF">
            <w:pPr>
              <w:tabs>
                <w:tab w:val="clear" w:pos="403"/>
              </w:tabs>
              <w:spacing w:before="120" w:after="120" w:line="240" w:lineRule="auto"/>
              <w:jc w:val="center"/>
              <w:rPr>
                <w:bCs/>
              </w:rPr>
            </w:pPr>
            <w:r w:rsidRPr="00A52AB8">
              <w:rPr>
                <w:bCs/>
              </w:rPr>
              <w:t>0</w:t>
            </w:r>
          </w:p>
        </w:tc>
        <w:tc>
          <w:tcPr>
            <w:tcW w:w="0" w:type="auto"/>
          </w:tcPr>
          <w:p w14:paraId="36A35B0F" w14:textId="77777777" w:rsidR="00E81FB9" w:rsidRPr="00A52AB8" w:rsidRDefault="00E81FB9" w:rsidP="001000BF">
            <w:pPr>
              <w:tabs>
                <w:tab w:val="clear" w:pos="403"/>
              </w:tabs>
              <w:spacing w:before="120" w:after="120" w:line="240" w:lineRule="auto"/>
              <w:jc w:val="center"/>
              <w:rPr>
                <w:bCs/>
              </w:rPr>
            </w:pPr>
            <w:r w:rsidRPr="00A52AB8">
              <w:rPr>
                <w:bCs/>
              </w:rPr>
              <w:t>Circle</w:t>
            </w:r>
          </w:p>
        </w:tc>
      </w:tr>
      <w:tr w:rsidR="00E81FB9" w:rsidRPr="00A52AB8" w14:paraId="7415A135" w14:textId="77777777" w:rsidTr="001000BF">
        <w:trPr>
          <w:jc w:val="center"/>
        </w:trPr>
        <w:tc>
          <w:tcPr>
            <w:tcW w:w="979" w:type="dxa"/>
          </w:tcPr>
          <w:p w14:paraId="1367E8CC" w14:textId="77777777" w:rsidR="00E81FB9" w:rsidRPr="00A52AB8" w:rsidRDefault="00E81FB9" w:rsidP="001000BF">
            <w:pPr>
              <w:tabs>
                <w:tab w:val="clear" w:pos="403"/>
              </w:tabs>
              <w:spacing w:before="120" w:after="120" w:line="240" w:lineRule="auto"/>
              <w:jc w:val="center"/>
              <w:rPr>
                <w:bCs/>
              </w:rPr>
            </w:pPr>
            <w:r w:rsidRPr="00A52AB8">
              <w:rPr>
                <w:bCs/>
              </w:rPr>
              <w:t>1</w:t>
            </w:r>
          </w:p>
        </w:tc>
        <w:tc>
          <w:tcPr>
            <w:tcW w:w="0" w:type="auto"/>
          </w:tcPr>
          <w:p w14:paraId="145AA26B" w14:textId="77777777" w:rsidR="00E81FB9" w:rsidRPr="00A52AB8" w:rsidRDefault="00E81FB9" w:rsidP="001000BF">
            <w:pPr>
              <w:tabs>
                <w:tab w:val="clear" w:pos="403"/>
              </w:tabs>
              <w:spacing w:before="120" w:after="120" w:line="240" w:lineRule="auto"/>
              <w:jc w:val="center"/>
              <w:rPr>
                <w:bCs/>
              </w:rPr>
            </w:pPr>
            <w:r w:rsidRPr="00A52AB8">
              <w:rPr>
                <w:bCs/>
              </w:rPr>
              <w:t>Square</w:t>
            </w:r>
          </w:p>
        </w:tc>
      </w:tr>
      <w:tr w:rsidR="00E81FB9" w:rsidRPr="00A52AB8" w14:paraId="6DA600AF" w14:textId="77777777" w:rsidTr="001000BF">
        <w:trPr>
          <w:jc w:val="center"/>
        </w:trPr>
        <w:tc>
          <w:tcPr>
            <w:tcW w:w="979" w:type="dxa"/>
          </w:tcPr>
          <w:p w14:paraId="7CD67340" w14:textId="77777777" w:rsidR="00E81FB9" w:rsidRPr="00A52AB8" w:rsidRDefault="00E81FB9" w:rsidP="001000BF">
            <w:pPr>
              <w:tabs>
                <w:tab w:val="clear" w:pos="403"/>
              </w:tabs>
              <w:spacing w:before="120" w:after="120" w:line="240" w:lineRule="auto"/>
              <w:jc w:val="center"/>
              <w:rPr>
                <w:bCs/>
              </w:rPr>
            </w:pPr>
            <w:r w:rsidRPr="00A52AB8">
              <w:rPr>
                <w:bCs/>
              </w:rPr>
              <w:t>2</w:t>
            </w:r>
          </w:p>
        </w:tc>
        <w:tc>
          <w:tcPr>
            <w:tcW w:w="0" w:type="auto"/>
          </w:tcPr>
          <w:p w14:paraId="4A1047F9" w14:textId="77777777" w:rsidR="00E81FB9" w:rsidRPr="00A52AB8" w:rsidRDefault="00E81FB9" w:rsidP="001000BF">
            <w:pPr>
              <w:tabs>
                <w:tab w:val="clear" w:pos="403"/>
              </w:tabs>
              <w:spacing w:before="120" w:after="120" w:line="240" w:lineRule="auto"/>
              <w:jc w:val="center"/>
              <w:rPr>
                <w:bCs/>
              </w:rPr>
            </w:pPr>
            <w:r w:rsidRPr="00A52AB8">
              <w:rPr>
                <w:bCs/>
              </w:rPr>
              <w:t>Diamond</w:t>
            </w:r>
          </w:p>
        </w:tc>
      </w:tr>
      <w:tr w:rsidR="00E81FB9" w:rsidRPr="00A52AB8" w14:paraId="5507C4A5" w14:textId="77777777" w:rsidTr="001000BF">
        <w:trPr>
          <w:jc w:val="center"/>
        </w:trPr>
        <w:tc>
          <w:tcPr>
            <w:tcW w:w="979" w:type="dxa"/>
          </w:tcPr>
          <w:p w14:paraId="147522A0" w14:textId="77777777" w:rsidR="00E81FB9" w:rsidRPr="00A52AB8" w:rsidRDefault="00E81FB9" w:rsidP="001000BF">
            <w:pPr>
              <w:tabs>
                <w:tab w:val="clear" w:pos="403"/>
              </w:tabs>
              <w:spacing w:before="120" w:after="120" w:line="240" w:lineRule="auto"/>
              <w:jc w:val="center"/>
              <w:rPr>
                <w:bCs/>
              </w:rPr>
            </w:pPr>
            <w:r w:rsidRPr="00A52AB8">
              <w:rPr>
                <w:bCs/>
              </w:rPr>
              <w:t>3..255</w:t>
            </w:r>
          </w:p>
        </w:tc>
        <w:tc>
          <w:tcPr>
            <w:tcW w:w="0" w:type="auto"/>
          </w:tcPr>
          <w:p w14:paraId="6CBE2113" w14:textId="77777777" w:rsidR="00E81FB9" w:rsidRPr="00A52AB8" w:rsidRDefault="00E81FB9" w:rsidP="001000BF">
            <w:pPr>
              <w:tabs>
                <w:tab w:val="clear" w:pos="403"/>
              </w:tabs>
              <w:spacing w:before="120" w:after="120" w:line="240" w:lineRule="auto"/>
              <w:jc w:val="center"/>
              <w:rPr>
                <w:bCs/>
              </w:rPr>
            </w:pPr>
            <w:r w:rsidRPr="00A52AB8">
              <w:rPr>
                <w:bCs/>
              </w:rPr>
              <w:t>Reserved</w:t>
            </w:r>
          </w:p>
        </w:tc>
      </w:tr>
    </w:tbl>
    <w:p w14:paraId="260FD9C4" w14:textId="111F2900" w:rsidR="00887F88" w:rsidRPr="00A52AB8" w:rsidRDefault="00887F88" w:rsidP="001000BF">
      <w:pPr>
        <w:spacing w:before="240"/>
        <w:rPr>
          <w:b/>
        </w:rPr>
      </w:pPr>
      <w:r w:rsidRPr="00A52AB8">
        <w:rPr>
          <w:b/>
          <w:bCs/>
        </w:rPr>
        <w:t>soi_point_</w:t>
      </w:r>
      <w:r w:rsidRPr="00A52AB8">
        <w:rPr>
          <w:b/>
        </w:rPr>
        <w:t>size</w:t>
      </w:r>
      <w:r w:rsidR="001F4484" w:rsidRPr="00A52AB8">
        <w:t>[ i ]</w:t>
      </w:r>
      <w:r w:rsidRPr="00A52AB8">
        <w:rPr>
          <w:bCs/>
        </w:rPr>
        <w:t xml:space="preserve"> indicates the point size</w:t>
      </w:r>
      <w:r w:rsidR="00E2202C" w:rsidRPr="00A52AB8">
        <w:rPr>
          <w:bCs/>
        </w:rPr>
        <w:t xml:space="preserve">, </w:t>
      </w:r>
      <w:r w:rsidR="00E2202C" w:rsidRPr="00A52AB8">
        <w:t>ObjectPointSize[ i ],</w:t>
      </w:r>
      <w:r w:rsidRPr="00A52AB8">
        <w:rPr>
          <w:bCs/>
        </w:rPr>
        <w:t xml:space="preserve"> of an object with index i. The default value of soi_point_size</w:t>
      </w:r>
      <w:r w:rsidR="001F4484" w:rsidRPr="00A52AB8">
        <w:rPr>
          <w:bCs/>
        </w:rPr>
        <w:t>[ i ]</w:t>
      </w:r>
      <w:r w:rsidRPr="00A52AB8">
        <w:rPr>
          <w:bCs/>
        </w:rPr>
        <w:t xml:space="preserve"> is equal to 1.</w:t>
      </w:r>
    </w:p>
    <w:p w14:paraId="4921F64A" w14:textId="26227A77" w:rsidR="0021677A" w:rsidRPr="00A52AB8" w:rsidRDefault="00887F88" w:rsidP="0021677A">
      <w:pPr>
        <w:rPr>
          <w:b/>
        </w:rPr>
      </w:pPr>
      <w:r w:rsidRPr="00A52AB8">
        <w:rPr>
          <w:b/>
          <w:bCs/>
        </w:rPr>
        <w:t>soi_</w:t>
      </w:r>
      <w:r w:rsidRPr="00A52AB8">
        <w:rPr>
          <w:b/>
        </w:rPr>
        <w:t>material_id_update_flag</w:t>
      </w:r>
      <w:r w:rsidR="001F4484" w:rsidRPr="00A52AB8">
        <w:t>[ i ]</w:t>
      </w:r>
      <w:r w:rsidRPr="00A52AB8">
        <w:t xml:space="preserve"> equal to 1 indicates that material ID update information is present for an object with object index i. </w:t>
      </w:r>
      <w:r w:rsidRPr="00A52AB8">
        <w:rPr>
          <w:bCs/>
        </w:rPr>
        <w:t>soi_point_style_update_flag</w:t>
      </w:r>
      <w:r w:rsidR="001F4484" w:rsidRPr="00A52AB8">
        <w:rPr>
          <w:bCs/>
        </w:rPr>
        <w:t>[ i ]</w:t>
      </w:r>
      <w:r w:rsidRPr="00A52AB8">
        <w:rPr>
          <w:bCs/>
        </w:rPr>
        <w:t xml:space="preserve"> equal to 0 indicates that point style update information is not present.</w:t>
      </w:r>
    </w:p>
    <w:p w14:paraId="36F256AA" w14:textId="0BE8ED09" w:rsidR="00887F88" w:rsidRPr="00A52AB8" w:rsidRDefault="00887F88" w:rsidP="001000BF">
      <w:pPr>
        <w:rPr>
          <w:color w:val="000000" w:themeColor="text1"/>
        </w:rPr>
      </w:pPr>
      <w:r w:rsidRPr="00A52AB8">
        <w:rPr>
          <w:b/>
          <w:bCs/>
        </w:rPr>
        <w:t>soi_</w:t>
      </w:r>
      <w:r w:rsidRPr="00A52AB8">
        <w:rPr>
          <w:b/>
        </w:rPr>
        <w:t>material_id</w:t>
      </w:r>
      <w:r w:rsidR="001F4484" w:rsidRPr="00A52AB8">
        <w:t>[ i ]</w:t>
      </w:r>
      <w:r w:rsidRPr="00A52AB8">
        <w:rPr>
          <w:bCs/>
        </w:rPr>
        <w:t xml:space="preserve"> indicates the material ID</w:t>
      </w:r>
      <w:r w:rsidR="00E2202C" w:rsidRPr="00A52AB8">
        <w:t>, ObjectMaterialID[ i ]</w:t>
      </w:r>
      <w:r w:rsidRPr="00A52AB8">
        <w:rPr>
          <w:bCs/>
        </w:rPr>
        <w:t xml:space="preserve"> of an object with index i. The default value of soi_material_id</w:t>
      </w:r>
      <w:r w:rsidR="001F4484" w:rsidRPr="00A52AB8">
        <w:rPr>
          <w:bCs/>
        </w:rPr>
        <w:t>[ i ]</w:t>
      </w:r>
      <w:r w:rsidRPr="00A52AB8">
        <w:rPr>
          <w:bCs/>
        </w:rPr>
        <w:t xml:space="preserve"> is equal to 0.</w:t>
      </w:r>
      <w:r w:rsidR="0021677A" w:rsidRPr="00A52AB8">
        <w:rPr>
          <w:bCs/>
        </w:rPr>
        <w:t xml:space="preserve"> </w:t>
      </w:r>
      <w:r w:rsidR="0021677A" w:rsidRPr="00A52AB8">
        <w:rPr>
          <w:color w:val="000000" w:themeColor="text1"/>
        </w:rPr>
        <w:t xml:space="preserve">The </w:t>
      </w:r>
      <w:r w:rsidR="00FF0DE0" w:rsidRPr="00A52AB8">
        <w:rPr>
          <w:color w:val="000000" w:themeColor="text1"/>
        </w:rPr>
        <w:t>material</w:t>
      </w:r>
      <w:r w:rsidR="00E14662" w:rsidRPr="00A52AB8">
        <w:rPr>
          <w:color w:val="000000" w:themeColor="text1"/>
        </w:rPr>
        <w:t xml:space="preserve"> ID </w:t>
      </w:r>
      <w:r w:rsidR="0021677A" w:rsidRPr="00A52AB8">
        <w:rPr>
          <w:color w:val="000000" w:themeColor="text1"/>
        </w:rPr>
        <w:t>is identified through means outside this document.</w:t>
      </w:r>
    </w:p>
    <w:p w14:paraId="15AA7D0C" w14:textId="7A489114" w:rsidR="00A02BF9" w:rsidRPr="00A52AB8" w:rsidRDefault="00DB6312" w:rsidP="00EE3D19">
      <w:pPr>
        <w:pStyle w:val="a4"/>
        <w:numPr>
          <w:ilvl w:val="4"/>
          <w:numId w:val="19"/>
        </w:numPr>
        <w:tabs>
          <w:tab w:val="clear" w:pos="7200"/>
        </w:tabs>
        <w:outlineLvl w:val="4"/>
      </w:pPr>
      <w:bookmarkStart w:id="5625" w:name="_Ref50319508"/>
      <w:r w:rsidRPr="00A52AB8">
        <w:t>Object initialization</w:t>
      </w:r>
      <w:bookmarkEnd w:id="5625"/>
    </w:p>
    <w:p w14:paraId="4D02A4C5" w14:textId="469E87A3" w:rsidR="00A02BF9" w:rsidRPr="00A52AB8" w:rsidRDefault="00DB6312" w:rsidP="001000BF">
      <w:pPr>
        <w:rPr>
          <w:color w:val="000000" w:themeColor="text1"/>
        </w:rPr>
      </w:pPr>
      <w:r w:rsidRPr="00A52AB8">
        <w:rPr>
          <w:color w:val="000000" w:themeColor="text1"/>
        </w:rPr>
        <w:t>Let the function ObjectInit( k ) be defined as follows:</w:t>
      </w:r>
    </w:p>
    <w:p w14:paraId="682DB1EF" w14:textId="5BDA2D64" w:rsidR="00DB6312" w:rsidRPr="00A52AB8" w:rsidRDefault="00DB6312" w:rsidP="00DB6312">
      <w:r w:rsidRPr="00A52AB8">
        <w:tab/>
        <w:t>ObjectInit( k </w:t>
      </w:r>
      <w:r w:rsidR="008F1F82" w:rsidRPr="00A52AB8">
        <w:t>) {</w:t>
      </w:r>
      <w:r w:rsidRPr="00A52AB8">
        <w:br/>
      </w:r>
      <w:r w:rsidR="00A02BF9" w:rsidRPr="00A52AB8">
        <w:tab/>
      </w:r>
      <w:r w:rsidR="00A02BF9" w:rsidRPr="00A52AB8">
        <w:tab/>
        <w:t>ObjectTracked[ k ]</w:t>
      </w:r>
      <w:r w:rsidR="00D47707" w:rsidRPr="00A52AB8">
        <w:t> = </w:t>
      </w:r>
      <w:r w:rsidR="00A02BF9" w:rsidRPr="00A52AB8">
        <w:t>0</w:t>
      </w:r>
      <w:r w:rsidR="00A02BF9" w:rsidRPr="00A52AB8">
        <w:br/>
      </w:r>
      <w:r w:rsidR="00A02BF9" w:rsidRPr="00A52AB8">
        <w:tab/>
      </w:r>
      <w:r w:rsidR="00A02BF9" w:rsidRPr="00A52AB8">
        <w:tab/>
        <w:t>ObjectLabelIndex[ k ]</w:t>
      </w:r>
      <w:r w:rsidR="00D47707" w:rsidRPr="00A52AB8">
        <w:t> = </w:t>
      </w:r>
      <w:r w:rsidR="00A02BF9" w:rsidRPr="00A52AB8">
        <w:t>0</w:t>
      </w:r>
      <w:r w:rsidR="00A02BF9" w:rsidRPr="00A52AB8">
        <w:br/>
      </w:r>
      <w:r w:rsidR="00A02BF9" w:rsidRPr="00A52AB8">
        <w:tab/>
      </w:r>
      <w:r w:rsidR="00A02BF9" w:rsidRPr="00A52AB8">
        <w:tab/>
        <w:t>ObjectPriorityValue[ k ]</w:t>
      </w:r>
      <w:r w:rsidR="00D47707" w:rsidRPr="00A52AB8">
        <w:t> = </w:t>
      </w:r>
      <w:r w:rsidR="00A02BF9" w:rsidRPr="00A52AB8">
        <w:t>0</w:t>
      </w:r>
      <w:r w:rsidR="00A02BF9" w:rsidRPr="00A52AB8">
        <w:br/>
      </w:r>
      <w:r w:rsidR="00A02BF9" w:rsidRPr="00A52AB8">
        <w:tab/>
      </w:r>
      <w:r w:rsidR="00A02BF9" w:rsidRPr="00A52AB8">
        <w:tab/>
        <w:t>ObjectHiddenFlag[ k ]</w:t>
      </w:r>
      <w:r w:rsidR="00D47707" w:rsidRPr="00A52AB8">
        <w:t> = </w:t>
      </w:r>
      <w:r w:rsidR="00A02BF9" w:rsidRPr="00A52AB8">
        <w:t>0</w:t>
      </w:r>
      <w:r w:rsidR="00A02BF9" w:rsidRPr="00A52AB8">
        <w:br/>
      </w:r>
      <w:r w:rsidR="00A02BF9" w:rsidRPr="00A52AB8">
        <w:tab/>
      </w:r>
      <w:r w:rsidR="00A02BF9" w:rsidRPr="00A52AB8">
        <w:tab/>
        <w:t>ObjectNumDependencies[ k ]</w:t>
      </w:r>
      <w:r w:rsidR="00D47707" w:rsidRPr="00A52AB8">
        <w:t> = </w:t>
      </w:r>
      <w:r w:rsidR="00A02BF9" w:rsidRPr="00A52AB8">
        <w:t>0</w:t>
      </w:r>
      <w:r w:rsidR="00A02BF9" w:rsidRPr="00A52AB8">
        <w:br/>
      </w:r>
      <w:r w:rsidR="00A02BF9" w:rsidRPr="00A52AB8">
        <w:tab/>
      </w:r>
      <w:r w:rsidR="00A02BF9" w:rsidRPr="00A52AB8">
        <w:tab/>
        <w:t>for ( j</w:t>
      </w:r>
      <w:r w:rsidR="00D47707" w:rsidRPr="00A52AB8">
        <w:t> = </w:t>
      </w:r>
      <w:r w:rsidR="00A02BF9" w:rsidRPr="00A52AB8">
        <w:t>0; j &lt; </w:t>
      </w:r>
      <w:r w:rsidR="00D9659F" w:rsidRPr="00A52AB8">
        <w:t>MaxObjectNumDependencies</w:t>
      </w:r>
      <w:r w:rsidR="00A02BF9" w:rsidRPr="00A52AB8">
        <w:t>; j++ </w:t>
      </w:r>
      <w:r w:rsidR="008F1F82" w:rsidRPr="00A52AB8">
        <w:t>) {</w:t>
      </w:r>
      <w:r w:rsidR="00A02BF9" w:rsidRPr="00A52AB8">
        <w:br/>
      </w:r>
      <w:r w:rsidR="00A02BF9" w:rsidRPr="00A52AB8">
        <w:tab/>
      </w:r>
      <w:r w:rsidR="00A02BF9" w:rsidRPr="00A52AB8">
        <w:tab/>
      </w:r>
      <w:r w:rsidR="00A02BF9" w:rsidRPr="00A52AB8">
        <w:tab/>
        <w:t>ObjectDependencyIndex[ k ][ j ]</w:t>
      </w:r>
      <w:r w:rsidR="00D47707" w:rsidRPr="00A52AB8">
        <w:t> = </w:t>
      </w:r>
      <w:r w:rsidR="00A02BF9" w:rsidRPr="00A52AB8">
        <w:t>0</w:t>
      </w:r>
      <w:r w:rsidR="00A02BF9" w:rsidRPr="00A52AB8">
        <w:br/>
      </w:r>
      <w:r w:rsidR="00A02BF9" w:rsidRPr="00A52AB8">
        <w:tab/>
      </w:r>
      <w:r w:rsidR="00A02BF9" w:rsidRPr="00A52AB8">
        <w:tab/>
        <w:t>}</w:t>
      </w:r>
      <w:r w:rsidR="00A02BF9" w:rsidRPr="00A52AB8">
        <w:br/>
      </w:r>
      <w:r w:rsidR="00A02BF9" w:rsidRPr="00A52AB8">
        <w:tab/>
      </w:r>
      <w:r w:rsidR="00A02BF9" w:rsidRPr="00A52AB8">
        <w:tab/>
        <w:t>ObjectVisibilityDirectionX[ k ]</w:t>
      </w:r>
      <w:r w:rsidR="00D47707" w:rsidRPr="00A52AB8">
        <w:t> = </w:t>
      </w:r>
      <w:r w:rsidR="00A02BF9" w:rsidRPr="00A52AB8">
        <w:t>1</w:t>
      </w:r>
      <w:r w:rsidR="00A02BF9" w:rsidRPr="00A52AB8">
        <w:br/>
      </w:r>
      <w:r w:rsidR="00A02BF9" w:rsidRPr="00A52AB8">
        <w:tab/>
      </w:r>
      <w:r w:rsidR="00A02BF9" w:rsidRPr="00A52AB8">
        <w:tab/>
        <w:t>ObjectVisibilityDirectionY[ k ]</w:t>
      </w:r>
      <w:r w:rsidR="00D47707" w:rsidRPr="00A52AB8">
        <w:t> = </w:t>
      </w:r>
      <w:r w:rsidR="00A02BF9" w:rsidRPr="00A52AB8">
        <w:t>1</w:t>
      </w:r>
      <w:r w:rsidR="00A02BF9" w:rsidRPr="00A52AB8">
        <w:br/>
      </w:r>
      <w:r w:rsidR="00A02BF9" w:rsidRPr="00A52AB8">
        <w:tab/>
      </w:r>
      <w:r w:rsidR="00A02BF9" w:rsidRPr="00A52AB8">
        <w:tab/>
        <w:t>ObjectVisibilityDirectionZ[ k ]</w:t>
      </w:r>
      <w:r w:rsidR="00D47707" w:rsidRPr="00A52AB8">
        <w:t> = </w:t>
      </w:r>
      <w:r w:rsidR="00A02BF9" w:rsidRPr="00A52AB8">
        <w:t>1</w:t>
      </w:r>
      <w:r w:rsidR="00A02BF9" w:rsidRPr="00A52AB8">
        <w:br/>
      </w:r>
      <w:r w:rsidR="00A02BF9" w:rsidRPr="00A52AB8">
        <w:tab/>
      </w:r>
      <w:r w:rsidR="00A02BF9" w:rsidRPr="00A52AB8">
        <w:tab/>
        <w:t>ObjectVisibilityAngle[ k ]</w:t>
      </w:r>
      <w:r w:rsidR="00D47707" w:rsidRPr="00A52AB8">
        <w:t> = </w:t>
      </w:r>
      <w:r w:rsidR="00A02BF9" w:rsidRPr="00A52AB8">
        <w:t>180</w:t>
      </w:r>
      <w:r w:rsidR="00A02BF9" w:rsidRPr="00A52AB8">
        <w:br/>
      </w:r>
      <w:r w:rsidR="00A02BF9" w:rsidRPr="00A52AB8">
        <w:tab/>
      </w:r>
      <w:r w:rsidR="00A02BF9" w:rsidRPr="00A52AB8">
        <w:tab/>
        <w:t>Object3DBoundingBoxX[ k ]</w:t>
      </w:r>
      <w:r w:rsidR="00D47707" w:rsidRPr="00A52AB8">
        <w:t> = </w:t>
      </w:r>
      <w:r w:rsidR="00A02BF9" w:rsidRPr="00A52AB8">
        <w:t>0</w:t>
      </w:r>
      <w:r w:rsidR="00A02BF9" w:rsidRPr="00A52AB8">
        <w:br/>
      </w:r>
      <w:r w:rsidR="00A02BF9" w:rsidRPr="00A52AB8">
        <w:tab/>
      </w:r>
      <w:r w:rsidR="00A02BF9" w:rsidRPr="00A52AB8">
        <w:tab/>
        <w:t>Object3DBoundingBoxY[ k ]</w:t>
      </w:r>
      <w:r w:rsidR="00D47707" w:rsidRPr="00A52AB8">
        <w:t> = </w:t>
      </w:r>
      <w:r w:rsidR="00A02BF9" w:rsidRPr="00A52AB8">
        <w:t>0</w:t>
      </w:r>
      <w:r w:rsidR="00A02BF9" w:rsidRPr="00A52AB8">
        <w:br/>
      </w:r>
      <w:r w:rsidR="00A02BF9" w:rsidRPr="00A52AB8">
        <w:tab/>
      </w:r>
      <w:r w:rsidR="00A02BF9" w:rsidRPr="00A52AB8">
        <w:tab/>
        <w:t>Object3DBoundingBoxZ[ k ]</w:t>
      </w:r>
      <w:r w:rsidR="00D47707" w:rsidRPr="00A52AB8">
        <w:t> = </w:t>
      </w:r>
      <w:r w:rsidR="00A02BF9" w:rsidRPr="00A52AB8">
        <w:t>0</w:t>
      </w:r>
      <w:r w:rsidR="00A02BF9" w:rsidRPr="00A52AB8">
        <w:br/>
      </w:r>
      <w:r w:rsidR="00A02BF9" w:rsidRPr="00A52AB8">
        <w:tab/>
      </w:r>
      <w:r w:rsidR="00A02BF9" w:rsidRPr="00A52AB8">
        <w:tab/>
        <w:t>Object3DBoundingBoxSizeX[ k ]</w:t>
      </w:r>
      <w:r w:rsidR="00D47707" w:rsidRPr="00A52AB8">
        <w:t> = </w:t>
      </w:r>
      <w:r w:rsidR="00A02BF9" w:rsidRPr="00A52AB8">
        <w:t>0</w:t>
      </w:r>
      <w:r w:rsidR="00A02BF9" w:rsidRPr="00A52AB8">
        <w:br/>
      </w:r>
      <w:r w:rsidR="00A02BF9" w:rsidRPr="00A52AB8">
        <w:tab/>
      </w:r>
      <w:r w:rsidR="00A02BF9" w:rsidRPr="00A52AB8">
        <w:tab/>
        <w:t>Object3DBoundingBoxSizeY[ k ]</w:t>
      </w:r>
      <w:r w:rsidR="00D47707" w:rsidRPr="00A52AB8">
        <w:t> = </w:t>
      </w:r>
      <w:r w:rsidR="00A02BF9" w:rsidRPr="00A52AB8">
        <w:t>0</w:t>
      </w:r>
      <w:r w:rsidR="00A02BF9" w:rsidRPr="00A52AB8">
        <w:br/>
      </w:r>
      <w:r w:rsidR="00A02BF9" w:rsidRPr="00A52AB8">
        <w:tab/>
      </w:r>
      <w:r w:rsidR="00A02BF9" w:rsidRPr="00A52AB8">
        <w:tab/>
        <w:t>Object3DBoundingBoxSizeZ[ k ]</w:t>
      </w:r>
      <w:r w:rsidR="00D47707" w:rsidRPr="00A52AB8">
        <w:t> = </w:t>
      </w:r>
      <w:r w:rsidR="00A02BF9" w:rsidRPr="00A52AB8">
        <w:t>0</w:t>
      </w:r>
      <w:r w:rsidR="00A02BF9" w:rsidRPr="00A52AB8">
        <w:br/>
      </w:r>
      <w:r w:rsidR="00A02BF9" w:rsidRPr="00A52AB8">
        <w:tab/>
      </w:r>
      <w:r w:rsidR="00A02BF9" w:rsidRPr="00A52AB8">
        <w:tab/>
        <w:t>Object</w:t>
      </w:r>
      <w:r w:rsidR="00E2202C" w:rsidRPr="00A52AB8">
        <w:t>Collision</w:t>
      </w:r>
      <w:r w:rsidR="00A02BF9" w:rsidRPr="00A52AB8">
        <w:t>ShapeID[ k ]</w:t>
      </w:r>
      <w:r w:rsidR="00D47707" w:rsidRPr="00A52AB8">
        <w:t> = </w:t>
      </w:r>
      <w:r w:rsidR="00A02BF9" w:rsidRPr="00A52AB8">
        <w:t>0</w:t>
      </w:r>
      <w:r w:rsidR="00E2202C" w:rsidRPr="00A52AB8">
        <w:br/>
      </w:r>
      <w:r w:rsidR="00E2202C" w:rsidRPr="00A52AB8">
        <w:tab/>
      </w:r>
      <w:r w:rsidR="00E2202C" w:rsidRPr="00A52AB8">
        <w:tab/>
        <w:t>ObjectPointShapeID[ k ]</w:t>
      </w:r>
      <w:r w:rsidR="00D47707" w:rsidRPr="00A52AB8">
        <w:t> = </w:t>
      </w:r>
      <w:r w:rsidR="00E2202C" w:rsidRPr="00A52AB8">
        <w:t>0</w:t>
      </w:r>
      <w:r w:rsidR="00A02BF9" w:rsidRPr="00A52AB8">
        <w:br/>
      </w:r>
      <w:r w:rsidR="00A02BF9" w:rsidRPr="00A52AB8">
        <w:tab/>
      </w:r>
      <w:r w:rsidR="00A02BF9" w:rsidRPr="00A52AB8">
        <w:tab/>
        <w:t>ObjectPointSize[ k ]</w:t>
      </w:r>
      <w:r w:rsidR="00D47707" w:rsidRPr="00A52AB8">
        <w:t> = </w:t>
      </w:r>
      <w:r w:rsidR="00A02BF9" w:rsidRPr="00A52AB8">
        <w:t>0</w:t>
      </w:r>
      <w:r w:rsidR="00A02BF9" w:rsidRPr="00A52AB8">
        <w:br/>
      </w:r>
      <w:r w:rsidR="00A02BF9" w:rsidRPr="00A52AB8">
        <w:tab/>
      </w:r>
      <w:r w:rsidR="00A02BF9" w:rsidRPr="00A52AB8">
        <w:tab/>
        <w:t>ObjectMaterialID[ k ]</w:t>
      </w:r>
      <w:r w:rsidR="00D47707" w:rsidRPr="00A52AB8">
        <w:t> = </w:t>
      </w:r>
      <w:r w:rsidR="00A02BF9" w:rsidRPr="00A52AB8">
        <w:t>0</w:t>
      </w:r>
      <w:r w:rsidRPr="00A52AB8">
        <w:br/>
      </w:r>
      <w:r w:rsidRPr="00A52AB8">
        <w:tab/>
        <w:t>}</w:t>
      </w:r>
    </w:p>
    <w:p w14:paraId="09F3932D" w14:textId="77777777" w:rsidR="00887F88" w:rsidRPr="00A52AB8" w:rsidRDefault="00887F88" w:rsidP="001000BF">
      <w:pPr>
        <w:pStyle w:val="a4"/>
        <w:numPr>
          <w:ilvl w:val="3"/>
          <w:numId w:val="19"/>
        </w:numPr>
      </w:pPr>
      <w:r w:rsidRPr="00A52AB8">
        <w:t>Object label information SEI message semantics</w:t>
      </w:r>
    </w:p>
    <w:p w14:paraId="554546C7" w14:textId="32003233" w:rsidR="00693109" w:rsidRPr="00A52AB8" w:rsidRDefault="00693109" w:rsidP="00EE3D19">
      <w:pPr>
        <w:pStyle w:val="a4"/>
        <w:numPr>
          <w:ilvl w:val="4"/>
          <w:numId w:val="19"/>
        </w:numPr>
        <w:tabs>
          <w:tab w:val="clear" w:pos="7200"/>
        </w:tabs>
        <w:outlineLvl w:val="4"/>
      </w:pPr>
      <w:r w:rsidRPr="00A52AB8">
        <w:t>General</w:t>
      </w:r>
    </w:p>
    <w:p w14:paraId="6665F94A" w14:textId="77777777" w:rsidR="0050235C" w:rsidRPr="00A52AB8" w:rsidRDefault="00887F88" w:rsidP="00887F88">
      <w:pPr>
        <w:rPr>
          <w:lang w:eastAsia="ja-JP"/>
        </w:rPr>
      </w:pPr>
      <w:r w:rsidRPr="00A52AB8">
        <w:rPr>
          <w:lang w:eastAsia="ja-JP"/>
        </w:rPr>
        <w:t>This SEI message defines a set of labels that could be associated with objects in a volumetric scene.</w:t>
      </w:r>
    </w:p>
    <w:p w14:paraId="7B624232" w14:textId="1ECE74F7" w:rsidR="0050235C" w:rsidRPr="00A52AB8" w:rsidRDefault="00693109" w:rsidP="00693109">
      <w:r w:rsidRPr="00A52AB8">
        <w:t>Let the variable MaxNum</w:t>
      </w:r>
      <w:r w:rsidR="00FE6CB1" w:rsidRPr="00A52AB8">
        <w:t>Labels</w:t>
      </w:r>
      <w:r w:rsidRPr="00A52AB8">
        <w:t xml:space="preserve"> be set equal to </w:t>
      </w:r>
      <w:r w:rsidR="0034668F" w:rsidRPr="00A52AB8">
        <w:t xml:space="preserve">either </w:t>
      </w:r>
      <w:r w:rsidRPr="00A52AB8">
        <w:t>2</w:t>
      </w:r>
      <w:r w:rsidR="0052276F" w:rsidRPr="00A52AB8">
        <w:rPr>
          <w:position w:val="6"/>
          <w:vertAlign w:val="superscript"/>
        </w:rPr>
        <w:t>16</w:t>
      </w:r>
      <w:r w:rsidRPr="00A52AB8">
        <w:t xml:space="preserve"> – 1 or </w:t>
      </w:r>
      <w:r w:rsidR="0034668F" w:rsidRPr="00A52AB8">
        <w:t xml:space="preserve">a value </w:t>
      </w:r>
      <w:r w:rsidRPr="00A52AB8">
        <w:t>determined by the application.</w:t>
      </w:r>
    </w:p>
    <w:p w14:paraId="24383B11" w14:textId="71198723" w:rsidR="00693109" w:rsidRPr="00A52AB8" w:rsidRDefault="00693109" w:rsidP="00693109">
      <w:pPr>
        <w:pStyle w:val="Note1"/>
        <w:rPr>
          <w:rFonts w:ascii="Cambria" w:hAnsi="Cambria"/>
        </w:rPr>
      </w:pPr>
      <w:r w:rsidRPr="00A52AB8">
        <w:rPr>
          <w:rFonts w:ascii="Cambria" w:hAnsi="Cambria"/>
        </w:rPr>
        <w:t>NOTE – An application may wish to limit the value of the variable MaxNum</w:t>
      </w:r>
      <w:r w:rsidR="00FE6CB1" w:rsidRPr="00A52AB8">
        <w:rPr>
          <w:rFonts w:ascii="Cambria" w:hAnsi="Cambria"/>
        </w:rPr>
        <w:t>Labels</w:t>
      </w:r>
      <w:r w:rsidRPr="00A52AB8">
        <w:rPr>
          <w:rFonts w:ascii="Cambria" w:hAnsi="Cambria"/>
        </w:rPr>
        <w:t xml:space="preserve"> so as to constrain the required memory.</w:t>
      </w:r>
    </w:p>
    <w:p w14:paraId="25937AB9" w14:textId="77777777" w:rsidR="0050235C" w:rsidRPr="00A52AB8" w:rsidRDefault="00693109" w:rsidP="00693109">
      <w:r w:rsidRPr="00A52AB8">
        <w:t>At the start of each sequence,</w:t>
      </w:r>
    </w:p>
    <w:p w14:paraId="18C719EA" w14:textId="03927B5E" w:rsidR="00FE6CB1" w:rsidRPr="00A52AB8" w:rsidRDefault="00FE6CB1" w:rsidP="00FE6CB1">
      <w:pPr>
        <w:pStyle w:val="ListParagraph"/>
        <w:numPr>
          <w:ilvl w:val="0"/>
          <w:numId w:val="409"/>
        </w:numPr>
        <w:ind w:leftChars="0"/>
      </w:pPr>
      <w:r w:rsidRPr="00A52AB8">
        <w:t>the variable LabelLanguage, and</w:t>
      </w:r>
    </w:p>
    <w:p w14:paraId="58B62C13" w14:textId="5B64E6DB" w:rsidR="00693109" w:rsidRPr="00A52AB8" w:rsidRDefault="00693109" w:rsidP="00693109">
      <w:pPr>
        <w:pStyle w:val="ListParagraph"/>
        <w:numPr>
          <w:ilvl w:val="0"/>
          <w:numId w:val="409"/>
        </w:numPr>
        <w:ind w:leftChars="0"/>
      </w:pPr>
      <w:r w:rsidRPr="00A52AB8">
        <w:t xml:space="preserve">the 1D arrays </w:t>
      </w:r>
      <w:r w:rsidR="00FE6CB1" w:rsidRPr="00A52AB8">
        <w:t>Label</w:t>
      </w:r>
      <w:r w:rsidRPr="00A52AB8">
        <w:t xml:space="preserve">Index, </w:t>
      </w:r>
      <w:r w:rsidR="00FE6CB1" w:rsidRPr="00A52AB8">
        <w:t>LabelSetFlag</w:t>
      </w:r>
      <w:r w:rsidRPr="00A52AB8">
        <w:t>,</w:t>
      </w:r>
      <w:r w:rsidR="00FE6CB1" w:rsidRPr="00A52AB8">
        <w:t xml:space="preserve"> and Label,</w:t>
      </w:r>
    </w:p>
    <w:p w14:paraId="403D44A2" w14:textId="77777777" w:rsidR="00693109" w:rsidRPr="00A52AB8" w:rsidRDefault="00693109" w:rsidP="00693109">
      <w:r w:rsidRPr="00A52AB8">
        <w:t>are initialized as follows:</w:t>
      </w:r>
    </w:p>
    <w:p w14:paraId="097EC855" w14:textId="281D2524" w:rsidR="00693109" w:rsidRPr="00A52AB8" w:rsidRDefault="00693109" w:rsidP="00693109">
      <w:r w:rsidRPr="00A52AB8">
        <w:tab/>
      </w:r>
      <w:r w:rsidR="00FE6CB1" w:rsidRPr="00A52AB8">
        <w:t>LabelLanguage</w:t>
      </w:r>
      <w:r w:rsidR="00D47707" w:rsidRPr="00A52AB8">
        <w:t> = </w:t>
      </w:r>
      <w:r w:rsidR="00FE6CB1" w:rsidRPr="00A52AB8">
        <w:t>""</w:t>
      </w:r>
      <w:r w:rsidR="00FE6CB1" w:rsidRPr="00A52AB8">
        <w:br/>
      </w:r>
      <w:r w:rsidR="00FE6CB1" w:rsidRPr="00A52AB8">
        <w:tab/>
      </w:r>
      <w:r w:rsidRPr="00A52AB8">
        <w:t>for ( i</w:t>
      </w:r>
      <w:r w:rsidR="00D47707" w:rsidRPr="00A52AB8">
        <w:t> = </w:t>
      </w:r>
      <w:r w:rsidRPr="00A52AB8">
        <w:t>0; i &lt; </w:t>
      </w:r>
      <w:r w:rsidR="00FE6CB1" w:rsidRPr="00A52AB8">
        <w:t>MaxNumLabels</w:t>
      </w:r>
      <w:r w:rsidRPr="00A52AB8">
        <w:t>; i++ </w:t>
      </w:r>
      <w:r w:rsidR="008F1F82" w:rsidRPr="00A52AB8">
        <w:t>) {</w:t>
      </w:r>
      <w:r w:rsidRPr="00A52AB8">
        <w:br/>
      </w:r>
      <w:r w:rsidRPr="00A52AB8">
        <w:tab/>
      </w:r>
      <w:r w:rsidRPr="00A52AB8">
        <w:tab/>
      </w:r>
      <w:r w:rsidR="00FE6CB1" w:rsidRPr="00A52AB8">
        <w:t>LabelIndex</w:t>
      </w:r>
      <w:r w:rsidRPr="00A52AB8">
        <w:t>[ i ]</w:t>
      </w:r>
      <w:r w:rsidR="00D47707" w:rsidRPr="00A52AB8">
        <w:t> = </w:t>
      </w:r>
      <w:r w:rsidRPr="00A52AB8">
        <w:t>i</w:t>
      </w:r>
      <w:r w:rsidRPr="00A52AB8">
        <w:br/>
      </w:r>
      <w:r w:rsidRPr="00A52AB8">
        <w:tab/>
      </w:r>
      <w:r w:rsidRPr="00A52AB8">
        <w:tab/>
      </w:r>
      <w:r w:rsidR="00FE6CB1" w:rsidRPr="00A52AB8">
        <w:t>Label</w:t>
      </w:r>
      <w:r w:rsidRPr="00A52AB8">
        <w:t>Init( </w:t>
      </w:r>
      <w:r w:rsidR="00FE6CB1" w:rsidRPr="00A52AB8">
        <w:t>LabelIndex</w:t>
      </w:r>
      <w:r w:rsidRPr="00A52AB8">
        <w:t>[ i ] )</w:t>
      </w:r>
      <w:r w:rsidRPr="00A52AB8">
        <w:br/>
      </w:r>
      <w:r w:rsidRPr="00A52AB8">
        <w:tab/>
        <w:t>}</w:t>
      </w:r>
    </w:p>
    <w:p w14:paraId="5FD8114F" w14:textId="275D1E35" w:rsidR="00693109" w:rsidRPr="00A52AB8" w:rsidRDefault="00693109" w:rsidP="00693109">
      <w:r w:rsidRPr="00A52AB8">
        <w:t xml:space="preserve">where the function </w:t>
      </w:r>
      <w:r w:rsidR="00155AA8" w:rsidRPr="00A52AB8">
        <w:t>Label</w:t>
      </w:r>
      <w:r w:rsidRPr="00A52AB8">
        <w:t>Init( ) is defined in the subclause </w:t>
      </w:r>
      <w:r w:rsidR="00155AA8" w:rsidRPr="00496A4D">
        <w:fldChar w:fldCharType="begin"/>
      </w:r>
      <w:r w:rsidR="00155AA8" w:rsidRPr="00A52AB8">
        <w:instrText xml:space="preserve"> REF _Ref50322785 \r \h </w:instrText>
      </w:r>
      <w:r w:rsidR="00007BE2" w:rsidRPr="00A52AB8">
        <w:instrText xml:space="preserve"> \* MERGEFORMAT </w:instrText>
      </w:r>
      <w:r w:rsidR="00155AA8" w:rsidRPr="00496A4D">
        <w:fldChar w:fldCharType="separate"/>
      </w:r>
      <w:r w:rsidR="00507A67">
        <w:t>F.3.12.2.2</w:t>
      </w:r>
      <w:r w:rsidR="00155AA8" w:rsidRPr="00496A4D">
        <w:fldChar w:fldCharType="end"/>
      </w:r>
      <w:r w:rsidRPr="00A52AB8">
        <w:t>.</w:t>
      </w:r>
    </w:p>
    <w:p w14:paraId="21F49CC6" w14:textId="6E2BFE78" w:rsidR="00155AA8" w:rsidRPr="00A52AB8" w:rsidRDefault="00887F88" w:rsidP="00887F88">
      <w:r w:rsidRPr="00A52AB8">
        <w:rPr>
          <w:rFonts w:eastAsia="Malgun Gothic"/>
          <w:b/>
          <w:bCs/>
        </w:rPr>
        <w:t>oli_cancel_flag</w:t>
      </w:r>
      <w:r w:rsidRPr="00A52AB8">
        <w:t xml:space="preserve"> equal to 1 indicates that the object label information SEI message cancels the persistence of any previous object label information SEI message in output order</w:t>
      </w:r>
      <w:r w:rsidR="00A96225" w:rsidRPr="00A52AB8">
        <w:t xml:space="preserve"> and </w:t>
      </w:r>
      <w:r w:rsidR="00155AA8" w:rsidRPr="00A52AB8">
        <w:t>sets all variables and arrays associated with the object label SEI message, as follows:</w:t>
      </w:r>
    </w:p>
    <w:p w14:paraId="33F450B9" w14:textId="63A0BCBC" w:rsidR="00155AA8" w:rsidRPr="00A52AB8" w:rsidRDefault="00155AA8" w:rsidP="00155AA8">
      <w:r w:rsidRPr="00A52AB8">
        <w:tab/>
        <w:t>LabelLanguage</w:t>
      </w:r>
      <w:r w:rsidR="00D47707" w:rsidRPr="00A52AB8">
        <w:t> = </w:t>
      </w:r>
      <w:r w:rsidRPr="00A52AB8">
        <w:t>""</w:t>
      </w:r>
      <w:r w:rsidRPr="00A52AB8">
        <w:br/>
      </w:r>
      <w:r w:rsidRPr="00A52AB8">
        <w:tab/>
        <w:t>for ( i</w:t>
      </w:r>
      <w:r w:rsidR="00D47707" w:rsidRPr="00A52AB8">
        <w:t> = </w:t>
      </w:r>
      <w:r w:rsidRPr="00A52AB8">
        <w:t>0; i &lt; MaxNumLabels; i++ </w:t>
      </w:r>
      <w:r w:rsidR="008F1F82" w:rsidRPr="00A52AB8">
        <w:t>) {</w:t>
      </w:r>
      <w:r w:rsidRPr="00A52AB8">
        <w:br/>
      </w:r>
      <w:r w:rsidRPr="00A52AB8">
        <w:tab/>
      </w:r>
      <w:r w:rsidRPr="00A52AB8">
        <w:tab/>
        <w:t>LabelIndex[ i ]</w:t>
      </w:r>
      <w:r w:rsidR="00D47707" w:rsidRPr="00A52AB8">
        <w:t> = </w:t>
      </w:r>
      <w:r w:rsidRPr="00A52AB8">
        <w:t>i</w:t>
      </w:r>
      <w:r w:rsidRPr="00A52AB8">
        <w:br/>
      </w:r>
      <w:r w:rsidRPr="00A52AB8">
        <w:tab/>
      </w:r>
      <w:r w:rsidRPr="00A52AB8">
        <w:tab/>
        <w:t>LabelInit( LabelIndex[ i ] )</w:t>
      </w:r>
      <w:r w:rsidRPr="00A52AB8">
        <w:br/>
      </w:r>
      <w:r w:rsidRPr="00A52AB8">
        <w:tab/>
        <w:t>}</w:t>
      </w:r>
    </w:p>
    <w:p w14:paraId="440C2FD9" w14:textId="5E6E28C5" w:rsidR="00887F88" w:rsidRPr="00A52AB8" w:rsidRDefault="00887F88" w:rsidP="00887F88">
      <w:r w:rsidRPr="00A52AB8">
        <w:rPr>
          <w:b/>
          <w:bCs/>
        </w:rPr>
        <w:t>oli</w:t>
      </w:r>
      <w:r w:rsidRPr="00A52AB8">
        <w:rPr>
          <w:b/>
        </w:rPr>
        <w:t>_</w:t>
      </w:r>
      <w:r w:rsidRPr="00A52AB8">
        <w:rPr>
          <w:b/>
          <w:bCs/>
        </w:rPr>
        <w:t xml:space="preserve">label_language_present_flag </w:t>
      </w:r>
      <w:r w:rsidRPr="00A52AB8">
        <w:t>equal to 1 indicates that label language information is present in the object label information SEI message. oli_label_language_present_flag equal to 0 indicates that label language information is not present.</w:t>
      </w:r>
    </w:p>
    <w:p w14:paraId="2294665C" w14:textId="77777777" w:rsidR="00887F88" w:rsidRPr="00A52AB8" w:rsidRDefault="00887F88" w:rsidP="00887F88">
      <w:r w:rsidRPr="00A52AB8">
        <w:rPr>
          <w:b/>
          <w:bCs/>
        </w:rPr>
        <w:t>oli_bit_equal_to_zero</w:t>
      </w:r>
      <w:r w:rsidRPr="00A52AB8">
        <w:rPr>
          <w:bCs/>
        </w:rPr>
        <w:t xml:space="preserve"> shall be equal to 0.</w:t>
      </w:r>
    </w:p>
    <w:p w14:paraId="322798B0" w14:textId="4B9DAF0C" w:rsidR="00887F88" w:rsidRPr="00A52AB8" w:rsidRDefault="00887F88" w:rsidP="00887F88">
      <w:pPr>
        <w:rPr>
          <w:b/>
        </w:rPr>
      </w:pPr>
      <w:r w:rsidRPr="00A52AB8">
        <w:rPr>
          <w:b/>
          <w:bCs/>
        </w:rPr>
        <w:t>ol</w:t>
      </w:r>
      <w:r w:rsidRPr="00A52AB8">
        <w:rPr>
          <w:b/>
        </w:rPr>
        <w:t>i_label_language</w:t>
      </w:r>
      <w:r w:rsidRPr="00A52AB8">
        <w:rPr>
          <w:bCs/>
        </w:rPr>
        <w:t xml:space="preserve"> contains a language tag</w:t>
      </w:r>
      <w:r w:rsidR="00155AA8" w:rsidRPr="00A52AB8">
        <w:rPr>
          <w:bCs/>
        </w:rPr>
        <w:t xml:space="preserve">, </w:t>
      </w:r>
      <w:r w:rsidR="00155AA8" w:rsidRPr="00A52AB8">
        <w:t>LabelLanguage,</w:t>
      </w:r>
      <w:r w:rsidRPr="00A52AB8">
        <w:rPr>
          <w:bCs/>
        </w:rPr>
        <w:t xml:space="preserve"> as specified by IETF RFC 5646 followed by a null termination byte equal to 0x00. The length of the oli_label_language syntax element shall be less than or equal to 255 bytes, not including the null termination byte.</w:t>
      </w:r>
    </w:p>
    <w:p w14:paraId="3419536E" w14:textId="0C4A94E4" w:rsidR="00887F88" w:rsidRPr="00A52AB8" w:rsidRDefault="00887F88" w:rsidP="00887F88">
      <w:pPr>
        <w:rPr>
          <w:b/>
        </w:rPr>
      </w:pPr>
      <w:r w:rsidRPr="00A52AB8">
        <w:rPr>
          <w:b/>
          <w:bCs/>
        </w:rPr>
        <w:t>oli_num_label_updates</w:t>
      </w:r>
      <w:r w:rsidRPr="00A52AB8">
        <w:rPr>
          <w:bCs/>
        </w:rPr>
        <w:t xml:space="preserve"> indicates the number of labels that are to be updated by the current SEI</w:t>
      </w:r>
      <w:r w:rsidR="00701E3E" w:rsidRPr="00A52AB8">
        <w:rPr>
          <w:bCs/>
        </w:rPr>
        <w:t xml:space="preserve"> message</w:t>
      </w:r>
      <w:r w:rsidRPr="00A52AB8">
        <w:rPr>
          <w:bCs/>
        </w:rPr>
        <w:t>.</w:t>
      </w:r>
      <w:r w:rsidR="00950137" w:rsidRPr="00A52AB8">
        <w:rPr>
          <w:bCs/>
        </w:rPr>
        <w:t xml:space="preserve"> </w:t>
      </w:r>
      <w:r w:rsidR="00950137" w:rsidRPr="00A52AB8">
        <w:rPr>
          <w:color w:val="000000" w:themeColor="text1"/>
        </w:rPr>
        <w:t xml:space="preserve">The value of </w:t>
      </w:r>
      <w:r w:rsidR="00950137" w:rsidRPr="00A52AB8">
        <w:t>oli_num_label_updates</w:t>
      </w:r>
      <w:r w:rsidR="00950137" w:rsidRPr="00A52AB8">
        <w:rPr>
          <w:bCs/>
        </w:rPr>
        <w:t xml:space="preserve"> </w:t>
      </w:r>
      <w:r w:rsidR="00950137" w:rsidRPr="00A52AB8">
        <w:rPr>
          <w:color w:val="000000" w:themeColor="text1"/>
        </w:rPr>
        <w:t xml:space="preserve">shall be in the range from 0 to </w:t>
      </w:r>
      <w:r w:rsidR="00155AA8" w:rsidRPr="00A52AB8">
        <w:t>MaxNumLabels</w:t>
      </w:r>
      <w:r w:rsidR="00950137" w:rsidRPr="00A52AB8">
        <w:rPr>
          <w:color w:val="000000" w:themeColor="text1"/>
        </w:rPr>
        <w:t>, inclusive.</w:t>
      </w:r>
    </w:p>
    <w:p w14:paraId="65BFF76F" w14:textId="6F6BD4A7" w:rsidR="0050235C" w:rsidRPr="00A52AB8" w:rsidRDefault="00887F88" w:rsidP="00887F88">
      <w:pPr>
        <w:rPr>
          <w:color w:val="000000" w:themeColor="text1"/>
        </w:rPr>
      </w:pPr>
      <w:r w:rsidRPr="00A52AB8">
        <w:rPr>
          <w:b/>
          <w:bCs/>
        </w:rPr>
        <w:t>oli_label_idx</w:t>
      </w:r>
      <w:r w:rsidR="001F4484" w:rsidRPr="00A52AB8">
        <w:t>[ i ]</w:t>
      </w:r>
      <w:r w:rsidRPr="00A52AB8">
        <w:rPr>
          <w:bCs/>
        </w:rPr>
        <w:t xml:space="preserve"> indicates the label</w:t>
      </w:r>
      <w:r w:rsidR="006A5194" w:rsidRPr="00A52AB8">
        <w:rPr>
          <w:bCs/>
        </w:rPr>
        <w:t xml:space="preserve"> index</w:t>
      </w:r>
      <w:r w:rsidR="003A7B87" w:rsidRPr="00A52AB8">
        <w:rPr>
          <w:bCs/>
        </w:rPr>
        <w:t xml:space="preserve">, </w:t>
      </w:r>
      <w:r w:rsidR="003A7B87" w:rsidRPr="00A52AB8">
        <w:t>LabelIndex[ i ],</w:t>
      </w:r>
      <w:r w:rsidRPr="00A52AB8">
        <w:rPr>
          <w:bCs/>
        </w:rPr>
        <w:t xml:space="preserve"> of the i-th label to be updated.</w:t>
      </w:r>
      <w:r w:rsidR="005B6475" w:rsidRPr="00A52AB8">
        <w:rPr>
          <w:bCs/>
        </w:rPr>
        <w:t xml:space="preserve"> </w:t>
      </w:r>
      <w:r w:rsidR="009A6489" w:rsidRPr="00A52AB8">
        <w:rPr>
          <w:color w:val="000000" w:themeColor="text1"/>
        </w:rPr>
        <w:t xml:space="preserve">The value of </w:t>
      </w:r>
      <w:r w:rsidR="009A6489" w:rsidRPr="00A52AB8">
        <w:t>oli_label_idx</w:t>
      </w:r>
      <w:r w:rsidR="003C56C3" w:rsidRPr="00A52AB8">
        <w:rPr>
          <w:color w:val="000000" w:themeColor="text1"/>
        </w:rPr>
        <w:t>[</w:t>
      </w:r>
      <w:r w:rsidR="009A6489" w:rsidRPr="00A52AB8">
        <w:rPr>
          <w:color w:val="000000" w:themeColor="text1"/>
        </w:rPr>
        <w:t xml:space="preserve"> i ] shall be in the range from 0 to </w:t>
      </w:r>
      <w:r w:rsidR="00155AA8" w:rsidRPr="00A52AB8">
        <w:t>MaxNumLabels</w:t>
      </w:r>
      <w:r w:rsidR="005E751E" w:rsidRPr="00A52AB8">
        <w:t> – 1</w:t>
      </w:r>
      <w:r w:rsidR="00F22B5D" w:rsidRPr="00A52AB8">
        <w:rPr>
          <w:color w:val="000000" w:themeColor="text1"/>
        </w:rPr>
        <w:t>,</w:t>
      </w:r>
      <w:r w:rsidR="009A6489" w:rsidRPr="00A52AB8">
        <w:rPr>
          <w:color w:val="000000" w:themeColor="text1"/>
        </w:rPr>
        <w:t xml:space="preserve"> inclusive.</w:t>
      </w:r>
    </w:p>
    <w:p w14:paraId="57E24766" w14:textId="25D7E02D" w:rsidR="00887F88" w:rsidRPr="00A52AB8" w:rsidRDefault="00887F88" w:rsidP="00887F88">
      <w:r w:rsidRPr="00A52AB8">
        <w:rPr>
          <w:b/>
          <w:bCs/>
        </w:rPr>
        <w:t>oli_label_cancel_flag</w:t>
      </w:r>
      <w:r w:rsidR="008921CA" w:rsidRPr="00A52AB8">
        <w:t>[ </w:t>
      </w:r>
      <w:r w:rsidR="007D64C0" w:rsidRPr="00A52AB8">
        <w:t>i</w:t>
      </w:r>
      <w:r w:rsidR="008921CA" w:rsidRPr="00A52AB8">
        <w:t> ]</w:t>
      </w:r>
      <w:r w:rsidRPr="00A52AB8">
        <w:t xml:space="preserve"> equal to 1 indicates that </w:t>
      </w:r>
      <w:r w:rsidR="00B25149" w:rsidRPr="00A52AB8">
        <w:t xml:space="preserve">all </w:t>
      </w:r>
      <w:r w:rsidRPr="00A52AB8">
        <w:t xml:space="preserve">label </w:t>
      </w:r>
      <w:r w:rsidR="00B25149" w:rsidRPr="00A52AB8">
        <w:t xml:space="preserve">information, for label </w:t>
      </w:r>
      <w:r w:rsidRPr="00A52AB8">
        <w:t xml:space="preserve">with index </w:t>
      </w:r>
      <w:r w:rsidR="001F4484" w:rsidRPr="00A52AB8">
        <w:rPr>
          <w:bCs/>
        </w:rPr>
        <w:t>i</w:t>
      </w:r>
      <w:r w:rsidR="00B25149" w:rsidRPr="00A52AB8">
        <w:rPr>
          <w:bCs/>
        </w:rPr>
        <w:t>,</w:t>
      </w:r>
      <w:r w:rsidRPr="00A52AB8">
        <w:rPr>
          <w:bCs/>
        </w:rPr>
        <w:t xml:space="preserve"> </w:t>
      </w:r>
      <w:r w:rsidRPr="00A52AB8">
        <w:t xml:space="preserve">shall be </w:t>
      </w:r>
      <w:r w:rsidR="00B25149" w:rsidRPr="00A52AB8">
        <w:t xml:space="preserve">reset by invoking the </w:t>
      </w:r>
      <w:r w:rsidR="00B25149" w:rsidRPr="00A52AB8">
        <w:rPr>
          <w:lang w:bidi="x-none"/>
        </w:rPr>
        <w:t>function LabelInit( i )</w:t>
      </w:r>
      <w:r w:rsidRPr="00A52AB8">
        <w:t>. oli_label_cancel_flag</w:t>
      </w:r>
      <w:r w:rsidR="007D64C0" w:rsidRPr="00A52AB8">
        <w:t>[ i ]</w:t>
      </w:r>
      <w:r w:rsidRPr="00A52AB8">
        <w:t xml:space="preserve"> equal to 0 indicates that the label with index </w:t>
      </w:r>
      <w:r w:rsidR="001F4484" w:rsidRPr="00A52AB8">
        <w:rPr>
          <w:bCs/>
        </w:rPr>
        <w:t>i</w:t>
      </w:r>
      <w:r w:rsidRPr="00A52AB8">
        <w:rPr>
          <w:bCs/>
        </w:rPr>
        <w:t xml:space="preserve"> </w:t>
      </w:r>
      <w:r w:rsidRPr="00A52AB8">
        <w:t>shall be updated with information that follows this element</w:t>
      </w:r>
      <w:r w:rsidR="003908A6" w:rsidRPr="00A52AB8">
        <w:t xml:space="preserve"> </w:t>
      </w:r>
      <w:r w:rsidR="003908A6" w:rsidRPr="00A52AB8">
        <w:rPr>
          <w:lang w:bidi="x-none"/>
        </w:rPr>
        <w:t xml:space="preserve">and that the variable </w:t>
      </w:r>
      <w:r w:rsidR="003908A6" w:rsidRPr="00A52AB8">
        <w:rPr>
          <w:rFonts w:eastAsiaTheme="minorHAnsi"/>
          <w:color w:val="000000" w:themeColor="text1"/>
          <w:lang w:bidi="x-none"/>
        </w:rPr>
        <w:t>Label</w:t>
      </w:r>
      <w:r w:rsidR="00155AA8" w:rsidRPr="00A52AB8">
        <w:rPr>
          <w:rFonts w:eastAsiaTheme="minorHAnsi"/>
          <w:color w:val="000000" w:themeColor="text1"/>
          <w:lang w:bidi="x-none"/>
        </w:rPr>
        <w:t>SetFlag</w:t>
      </w:r>
      <w:r w:rsidR="003908A6" w:rsidRPr="00A52AB8">
        <w:rPr>
          <w:bCs/>
          <w:lang w:bidi="x-none"/>
        </w:rPr>
        <w:t>[ i ] shall be set to 1</w:t>
      </w:r>
      <w:r w:rsidR="003908A6" w:rsidRPr="00A52AB8">
        <w:rPr>
          <w:lang w:bidi="x-none"/>
        </w:rPr>
        <w:t>.</w:t>
      </w:r>
    </w:p>
    <w:p w14:paraId="1EDA0A5E" w14:textId="77777777" w:rsidR="00887F88" w:rsidRPr="00A52AB8" w:rsidRDefault="00887F88" w:rsidP="00887F88">
      <w:r w:rsidRPr="00A52AB8">
        <w:rPr>
          <w:b/>
          <w:bCs/>
        </w:rPr>
        <w:t>oli_bit_equal_to_zero</w:t>
      </w:r>
      <w:r w:rsidRPr="00A52AB8">
        <w:rPr>
          <w:bCs/>
        </w:rPr>
        <w:t xml:space="preserve"> shall be equal to 0.</w:t>
      </w:r>
    </w:p>
    <w:p w14:paraId="40D9B7A8" w14:textId="16C9FC7D" w:rsidR="0050235C" w:rsidRPr="00A52AB8" w:rsidRDefault="00887F88" w:rsidP="00887F88">
      <w:pPr>
        <w:rPr>
          <w:bCs/>
        </w:rPr>
      </w:pPr>
      <w:r w:rsidRPr="00A52AB8">
        <w:rPr>
          <w:b/>
        </w:rPr>
        <w:t>ol</w:t>
      </w:r>
      <w:r w:rsidRPr="00A52AB8">
        <w:rPr>
          <w:b/>
          <w:bCs/>
        </w:rPr>
        <w:t>i</w:t>
      </w:r>
      <w:r w:rsidRPr="00A52AB8">
        <w:rPr>
          <w:b/>
        </w:rPr>
        <w:t>_label</w:t>
      </w:r>
      <w:r w:rsidR="001F4484" w:rsidRPr="00A52AB8">
        <w:t>[ i ]</w:t>
      </w:r>
      <w:r w:rsidRPr="00A52AB8">
        <w:rPr>
          <w:bCs/>
        </w:rPr>
        <w:t xml:space="preserve"> indicates the label</w:t>
      </w:r>
      <w:r w:rsidR="00155AA8" w:rsidRPr="00A52AB8">
        <w:rPr>
          <w:bCs/>
        </w:rPr>
        <w:t xml:space="preserve">, </w:t>
      </w:r>
      <w:r w:rsidR="00155AA8" w:rsidRPr="00A52AB8">
        <w:t>Label[ i ],</w:t>
      </w:r>
      <w:r w:rsidRPr="00A52AB8">
        <w:rPr>
          <w:bCs/>
        </w:rPr>
        <w:t xml:space="preserve"> of the i-th label. The length of the </w:t>
      </w:r>
      <w:r w:rsidR="009453BF" w:rsidRPr="00A52AB8">
        <w:rPr>
          <w:bCs/>
        </w:rPr>
        <w:t>ol</w:t>
      </w:r>
      <w:r w:rsidRPr="00A52AB8">
        <w:rPr>
          <w:bCs/>
        </w:rPr>
        <w:t>i_label</w:t>
      </w:r>
      <w:r w:rsidR="001F4484" w:rsidRPr="00A52AB8">
        <w:rPr>
          <w:bCs/>
        </w:rPr>
        <w:t>[ i ]</w:t>
      </w:r>
      <w:r w:rsidRPr="00A52AB8">
        <w:rPr>
          <w:bCs/>
        </w:rPr>
        <w:t xml:space="preserve"> syntax element shall be less than or equal to 255 bytes, not including the null termination byte.</w:t>
      </w:r>
      <w:r w:rsidR="00D53DB5" w:rsidRPr="00A52AB8">
        <w:rPr>
          <w:bCs/>
        </w:rPr>
        <w:t xml:space="preserve"> The default value of oli_label[ i ] is equal to </w:t>
      </w:r>
      <w:r w:rsidR="008953B6" w:rsidRPr="00A52AB8">
        <w:t>"".</w:t>
      </w:r>
    </w:p>
    <w:p w14:paraId="1AF29521" w14:textId="10845C68" w:rsidR="000D7A61" w:rsidRPr="00A52AB8" w:rsidRDefault="000D7A61" w:rsidP="000D7A61">
      <w:r w:rsidRPr="00A52AB8">
        <w:rPr>
          <w:b/>
          <w:bCs/>
        </w:rPr>
        <w:t>oli_persistence_flag</w:t>
      </w:r>
      <w:r w:rsidRPr="00A52AB8">
        <w:t xml:space="preserve"> specifies the persistence of the scene object information SEI message for the current layer. oli_persistence_flag equal to 0 specifies that the object label information SEI message applies to the current decoded atlas frame only.</w:t>
      </w:r>
    </w:p>
    <w:p w14:paraId="674FD61F" w14:textId="77777777" w:rsidR="000D7A61" w:rsidRPr="00A52AB8" w:rsidRDefault="000D7A61" w:rsidP="000D7A61">
      <w:r w:rsidRPr="00A52AB8">
        <w:t>Let aFrmA be the current atlas frame. oli_persistence_flag equal to 1 specifies that the object label information SEI message persists for the current layer in output order until any of the following conditions are true:</w:t>
      </w:r>
    </w:p>
    <w:p w14:paraId="7CD659DF" w14:textId="6E2E99E6" w:rsidR="000D7A61" w:rsidRPr="00A52AB8" w:rsidRDefault="00E778B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new CAS begins.</w:t>
      </w:r>
    </w:p>
    <w:p w14:paraId="4642AE75" w14:textId="77777777" w:rsidR="000D7A61" w:rsidRPr="00A52AB8" w:rsidRDefault="000D7A61"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The bitstream ends.</w:t>
      </w:r>
    </w:p>
    <w:p w14:paraId="06F376C8" w14:textId="5C107EB3" w:rsidR="00155AA8" w:rsidRPr="00A52AB8" w:rsidRDefault="006748C4"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line="240" w:lineRule="auto"/>
        <w:ind w:leftChars="0" w:left="806" w:hanging="403"/>
        <w:textAlignment w:val="baseline"/>
        <w:rPr>
          <w:color w:val="000000" w:themeColor="text1"/>
        </w:rPr>
      </w:pPr>
      <w:r w:rsidRPr="00A52AB8">
        <w:rPr>
          <w:color w:val="000000" w:themeColor="text1"/>
        </w:rPr>
        <w:t>An atlas frame aFrmB in the current layer in a coded atlas access unit containing an object label information SEI message, with either an oli_cancel_flag equal to 1 or the same value of oli_persistence_flag, applicable to the current layer is output for which AtlasFrmOrderCnt( aFrmB ) is greater than AtlasFrmOrderCnt( aFrmA ), where AtlasFrmOrderCnt( aFrmB ) and AtlasFrmOrderCnt( aFrmA ) are the AtlasFrmOrderCntVal values of aFrmB and aFrmA, respectively, immediately after the invocation of the decoding process for atlas frame order count for aFrmB.</w:t>
      </w:r>
    </w:p>
    <w:p w14:paraId="429BE764" w14:textId="2CA04DD8" w:rsidR="00155AA8" w:rsidRPr="00A52AB8" w:rsidRDefault="00155AA8" w:rsidP="00EE3D19">
      <w:pPr>
        <w:pStyle w:val="a4"/>
        <w:numPr>
          <w:ilvl w:val="4"/>
          <w:numId w:val="19"/>
        </w:numPr>
        <w:tabs>
          <w:tab w:val="clear" w:pos="7200"/>
        </w:tabs>
        <w:outlineLvl w:val="4"/>
      </w:pPr>
      <w:bookmarkStart w:id="5626" w:name="_Ref50322785"/>
      <w:r w:rsidRPr="00A52AB8">
        <w:t>Label initialization</w:t>
      </w:r>
      <w:bookmarkEnd w:id="5626"/>
    </w:p>
    <w:p w14:paraId="2A8F8151" w14:textId="241674A4" w:rsidR="00155AA8" w:rsidRPr="00A52AB8" w:rsidRDefault="00155AA8" w:rsidP="00155AA8">
      <w:pPr>
        <w:rPr>
          <w:color w:val="000000" w:themeColor="text1"/>
        </w:rPr>
      </w:pPr>
      <w:r w:rsidRPr="00A52AB8">
        <w:rPr>
          <w:color w:val="000000" w:themeColor="text1"/>
        </w:rPr>
        <w:t>Let the function LabelInit( k ) be defined as follows:</w:t>
      </w:r>
    </w:p>
    <w:p w14:paraId="5A87E600" w14:textId="1C7CD6D2" w:rsidR="00155AA8" w:rsidRPr="00A52AB8" w:rsidRDefault="00155AA8" w:rsidP="00007BE2">
      <w:r w:rsidRPr="00A52AB8">
        <w:tab/>
        <w:t>LabelInit( k </w:t>
      </w:r>
      <w:r w:rsidR="008F1F82" w:rsidRPr="00A52AB8">
        <w:t>) {</w:t>
      </w:r>
      <w:r w:rsidRPr="00A52AB8">
        <w:br/>
      </w:r>
      <w:r w:rsidRPr="00A52AB8">
        <w:tab/>
      </w:r>
      <w:r w:rsidRPr="00A52AB8">
        <w:tab/>
        <w:t>LabelSetFlag[ k ]</w:t>
      </w:r>
      <w:r w:rsidR="00D47707" w:rsidRPr="00A52AB8">
        <w:t> = </w:t>
      </w:r>
      <w:r w:rsidRPr="00A52AB8">
        <w:t>0</w:t>
      </w:r>
      <w:r w:rsidRPr="00A52AB8">
        <w:br/>
      </w:r>
      <w:r w:rsidRPr="00A52AB8">
        <w:tab/>
      </w:r>
      <w:r w:rsidRPr="00A52AB8">
        <w:tab/>
        <w:t>Label[ k ]</w:t>
      </w:r>
      <w:r w:rsidR="00D47707" w:rsidRPr="00A52AB8">
        <w:t> = </w:t>
      </w:r>
      <w:r w:rsidRPr="00A52AB8">
        <w:rPr>
          <w:rFonts w:eastAsiaTheme="minorHAnsi"/>
          <w:color w:val="000000" w:themeColor="text1"/>
          <w:lang w:bidi="x-none"/>
        </w:rPr>
        <w:t>""</w:t>
      </w:r>
      <w:r w:rsidRPr="00A52AB8">
        <w:br/>
      </w:r>
      <w:r w:rsidR="005161B5" w:rsidRPr="00A52AB8">
        <w:tab/>
      </w:r>
      <w:r w:rsidRPr="00A52AB8">
        <w:t>}</w:t>
      </w:r>
    </w:p>
    <w:p w14:paraId="2D04CAB7" w14:textId="77777777" w:rsidR="00887F88" w:rsidRPr="00A52AB8" w:rsidRDefault="00887F88" w:rsidP="001000BF">
      <w:pPr>
        <w:pStyle w:val="a4"/>
        <w:numPr>
          <w:ilvl w:val="3"/>
          <w:numId w:val="19"/>
        </w:numPr>
      </w:pPr>
      <w:r w:rsidRPr="00A52AB8">
        <w:t>Patch information SEI message semantics</w:t>
      </w:r>
    </w:p>
    <w:p w14:paraId="093E3E85" w14:textId="289F56AD" w:rsidR="00693109" w:rsidRPr="00A52AB8" w:rsidRDefault="00693109" w:rsidP="00EE3D19">
      <w:pPr>
        <w:pStyle w:val="a4"/>
        <w:numPr>
          <w:ilvl w:val="4"/>
          <w:numId w:val="19"/>
        </w:numPr>
        <w:tabs>
          <w:tab w:val="clear" w:pos="7200"/>
        </w:tabs>
        <w:outlineLvl w:val="4"/>
      </w:pPr>
      <w:r w:rsidRPr="00A52AB8">
        <w:t>General</w:t>
      </w:r>
    </w:p>
    <w:p w14:paraId="4AA0D432" w14:textId="77777777" w:rsidR="0050235C" w:rsidRPr="00A52AB8" w:rsidRDefault="00887F88" w:rsidP="00887F88">
      <w:pPr>
        <w:rPr>
          <w:lang w:eastAsia="ja-JP"/>
        </w:rPr>
      </w:pPr>
      <w:r w:rsidRPr="00A52AB8">
        <w:rPr>
          <w:lang w:eastAsia="ja-JP"/>
        </w:rPr>
        <w:t xml:space="preserve">This SEI message defines a table that indicates the set of </w:t>
      </w:r>
      <w:r w:rsidR="00B8075E" w:rsidRPr="00A52AB8">
        <w:rPr>
          <w:lang w:eastAsia="ja-JP"/>
        </w:rPr>
        <w:t>tile</w:t>
      </w:r>
      <w:r w:rsidRPr="00A52AB8">
        <w:rPr>
          <w:lang w:eastAsia="ja-JP"/>
        </w:rPr>
        <w:t>s and corresponding patches that may be present in the current frame. These patches can be assigned to one or more objects that may be present in a volumetric scene and which were previously defined through one or more scene object information SEI messages.</w:t>
      </w:r>
    </w:p>
    <w:p w14:paraId="775CA342" w14:textId="4B2F8F80" w:rsidR="0050235C" w:rsidRPr="00A52AB8" w:rsidRDefault="005161B5">
      <w:r w:rsidRPr="00A52AB8">
        <w:t>Let the variable</w:t>
      </w:r>
      <w:r w:rsidR="00921964" w:rsidRPr="00A52AB8">
        <w:t>s</w:t>
      </w:r>
      <w:r w:rsidRPr="00A52AB8">
        <w:t xml:space="preserve"> MaxNumTiles</w:t>
      </w:r>
      <w:r w:rsidR="00921964" w:rsidRPr="00A52AB8">
        <w:t>, MaxNumPatches, and MaxNumObjectsPerPatch</w:t>
      </w:r>
      <w:r w:rsidRPr="00A52AB8">
        <w:t xml:space="preserve"> be set equal to </w:t>
      </w:r>
      <w:r w:rsidR="0034668F" w:rsidRPr="00A52AB8">
        <w:t xml:space="preserve">either </w:t>
      </w:r>
      <w:r w:rsidRPr="00A52AB8">
        <w:t>1024</w:t>
      </w:r>
      <w:r w:rsidR="00921964" w:rsidRPr="00A52AB8">
        <w:t>, 2</w:t>
      </w:r>
      <w:r w:rsidR="00921964" w:rsidRPr="00A52AB8">
        <w:rPr>
          <w:position w:val="6"/>
          <w:vertAlign w:val="superscript"/>
        </w:rPr>
        <w:t>16</w:t>
      </w:r>
      <w:r w:rsidR="00921964" w:rsidRPr="00A52AB8">
        <w:t xml:space="preserve"> – 1, </w:t>
      </w:r>
      <w:r w:rsidR="006A5194" w:rsidRPr="00A52AB8">
        <w:t xml:space="preserve">and </w:t>
      </w:r>
      <w:r w:rsidR="00921964" w:rsidRPr="00A52AB8">
        <w:t>2</w:t>
      </w:r>
      <w:r w:rsidR="0052276F" w:rsidRPr="00A52AB8">
        <w:rPr>
          <w:position w:val="6"/>
          <w:vertAlign w:val="superscript"/>
        </w:rPr>
        <w:t>16</w:t>
      </w:r>
      <w:r w:rsidR="00921964" w:rsidRPr="00A52AB8">
        <w:t xml:space="preserve"> – 1, respectively, </w:t>
      </w:r>
      <w:r w:rsidRPr="00A52AB8">
        <w:t xml:space="preserve">or </w:t>
      </w:r>
      <w:r w:rsidR="0034668F" w:rsidRPr="00A52AB8">
        <w:t xml:space="preserve">a value </w:t>
      </w:r>
      <w:r w:rsidRPr="00A52AB8">
        <w:t>determined by the application</w:t>
      </w:r>
      <w:r w:rsidR="00AA677B" w:rsidRPr="00A52AB8">
        <w:t xml:space="preserve"> in bitstreams conforming to this document</w:t>
      </w:r>
      <w:r w:rsidR="00921964" w:rsidRPr="00A52AB8">
        <w:t>.</w:t>
      </w:r>
    </w:p>
    <w:p w14:paraId="07077CAD" w14:textId="16F95C75" w:rsidR="005161B5" w:rsidRPr="00A52AB8" w:rsidRDefault="005161B5" w:rsidP="005161B5">
      <w:pPr>
        <w:pStyle w:val="Note1"/>
        <w:rPr>
          <w:rFonts w:ascii="Cambria" w:hAnsi="Cambria"/>
        </w:rPr>
      </w:pPr>
      <w:r w:rsidRPr="00A52AB8">
        <w:rPr>
          <w:rFonts w:ascii="Cambria" w:hAnsi="Cambria"/>
        </w:rPr>
        <w:t>NOTE – An application may wish to limit the value of the variable MaxNum</w:t>
      </w:r>
      <w:r w:rsidR="004252B7" w:rsidRPr="00A52AB8">
        <w:rPr>
          <w:rFonts w:ascii="Cambria" w:hAnsi="Cambria"/>
        </w:rPr>
        <w:t>Tiles, MaxNumPatches and MaxNumObjects</w:t>
      </w:r>
      <w:r w:rsidR="00921964" w:rsidRPr="00A52AB8">
        <w:rPr>
          <w:rFonts w:ascii="Cambria" w:hAnsi="Cambria"/>
        </w:rPr>
        <w:t>PerPatch</w:t>
      </w:r>
      <w:r w:rsidR="004252B7" w:rsidRPr="00A52AB8">
        <w:rPr>
          <w:rFonts w:ascii="Cambria" w:hAnsi="Cambria"/>
        </w:rPr>
        <w:t xml:space="preserve"> </w:t>
      </w:r>
      <w:r w:rsidRPr="00A52AB8">
        <w:rPr>
          <w:rFonts w:ascii="Cambria" w:hAnsi="Cambria"/>
        </w:rPr>
        <w:t>so as to constrain the required memory.</w:t>
      </w:r>
    </w:p>
    <w:p w14:paraId="0D89B0EA" w14:textId="77777777" w:rsidR="0050235C" w:rsidRPr="00A52AB8" w:rsidRDefault="005161B5" w:rsidP="005161B5">
      <w:r w:rsidRPr="00A52AB8">
        <w:t>At the start of each sequence,</w:t>
      </w:r>
    </w:p>
    <w:p w14:paraId="16913CFB" w14:textId="37F00201" w:rsidR="005161B5" w:rsidRPr="00A52AB8" w:rsidRDefault="005161B5" w:rsidP="005161B5">
      <w:pPr>
        <w:pStyle w:val="ListParagraph"/>
        <w:numPr>
          <w:ilvl w:val="0"/>
          <w:numId w:val="409"/>
        </w:numPr>
        <w:ind w:leftChars="0"/>
      </w:pPr>
      <w:r w:rsidRPr="00A52AB8">
        <w:t xml:space="preserve">the </w:t>
      </w:r>
      <w:r w:rsidR="009118D1" w:rsidRPr="00A52AB8">
        <w:t>2</w:t>
      </w:r>
      <w:r w:rsidRPr="00A52AB8">
        <w:t xml:space="preserve">D array </w:t>
      </w:r>
      <w:r w:rsidR="009118D1" w:rsidRPr="00A52AB8">
        <w:t>PatchNumObjects</w:t>
      </w:r>
      <w:r w:rsidRPr="00A52AB8">
        <w:t>,</w:t>
      </w:r>
      <w:r w:rsidR="009118D1" w:rsidRPr="00A52AB8">
        <w:t xml:space="preserve"> of size MaxNumTiles × MaxNumPatches, and</w:t>
      </w:r>
    </w:p>
    <w:p w14:paraId="2C9973E1" w14:textId="521B648E" w:rsidR="009118D1" w:rsidRPr="00A52AB8" w:rsidRDefault="009118D1" w:rsidP="005161B5">
      <w:pPr>
        <w:pStyle w:val="ListParagraph"/>
        <w:numPr>
          <w:ilvl w:val="0"/>
          <w:numId w:val="409"/>
        </w:numPr>
        <w:ind w:leftChars="0"/>
      </w:pPr>
      <w:r w:rsidRPr="00A52AB8">
        <w:t>the 3D array PatchObjectIndex, of size MaxNumTiles × MaxNumPatches × MaxNumObjectsPerPatch,</w:t>
      </w:r>
    </w:p>
    <w:p w14:paraId="5CDD29EC" w14:textId="77777777" w:rsidR="005161B5" w:rsidRPr="00A52AB8" w:rsidRDefault="005161B5" w:rsidP="005161B5">
      <w:r w:rsidRPr="00A52AB8">
        <w:t>are initialized as follows:</w:t>
      </w:r>
    </w:p>
    <w:p w14:paraId="2B9E1A2D" w14:textId="3C040595" w:rsidR="005161B5" w:rsidRPr="00A52AB8" w:rsidRDefault="005161B5" w:rsidP="005161B5">
      <w:r w:rsidRPr="00A52AB8">
        <w:tab/>
        <w:t>for ( i</w:t>
      </w:r>
      <w:r w:rsidR="00D47707" w:rsidRPr="00A52AB8">
        <w:t> = </w:t>
      </w:r>
      <w:r w:rsidRPr="00A52AB8">
        <w:t>0; i &lt; </w:t>
      </w:r>
      <w:r w:rsidR="004252B7" w:rsidRPr="00A52AB8">
        <w:t>MaxNumTiles</w:t>
      </w:r>
      <w:r w:rsidRPr="00A52AB8">
        <w:t>; i++ </w:t>
      </w:r>
      <w:r w:rsidR="008F1F82" w:rsidRPr="00A52AB8">
        <w:t>) {</w:t>
      </w:r>
      <w:r w:rsidR="00CD3A29" w:rsidRPr="00A52AB8">
        <w:t xml:space="preserve"> </w:t>
      </w:r>
      <w:r w:rsidR="00921964" w:rsidRPr="00A52AB8">
        <w:br/>
      </w:r>
      <w:r w:rsidR="00921964" w:rsidRPr="00A52AB8">
        <w:tab/>
      </w:r>
      <w:r w:rsidR="00921964" w:rsidRPr="00A52AB8">
        <w:tab/>
        <w:t>Tile</w:t>
      </w:r>
      <w:r w:rsidR="00CD3A29" w:rsidRPr="00A52AB8">
        <w:t>Init</w:t>
      </w:r>
      <w:r w:rsidR="00921964" w:rsidRPr="00A52AB8">
        <w:t>( i )</w:t>
      </w:r>
      <w:r w:rsidR="00921964" w:rsidRPr="00A52AB8">
        <w:br/>
      </w:r>
      <w:r w:rsidRPr="00A52AB8">
        <w:tab/>
        <w:t>}</w:t>
      </w:r>
    </w:p>
    <w:p w14:paraId="6B5F0936" w14:textId="0CAD2950" w:rsidR="005161B5" w:rsidRPr="00A52AB8" w:rsidRDefault="005161B5" w:rsidP="005161B5">
      <w:r w:rsidRPr="00A52AB8">
        <w:t xml:space="preserve">where the function </w:t>
      </w:r>
      <w:r w:rsidR="00CD3A29" w:rsidRPr="00A52AB8">
        <w:t>Tile</w:t>
      </w:r>
      <w:r w:rsidRPr="00A52AB8">
        <w:t>Init( ) is defined in the subclause </w:t>
      </w:r>
      <w:r w:rsidR="00CD3A29" w:rsidRPr="00496A4D">
        <w:fldChar w:fldCharType="begin"/>
      </w:r>
      <w:r w:rsidR="00CD3A29" w:rsidRPr="00A52AB8">
        <w:instrText xml:space="preserve"> REF _Ref50325804 \r \h </w:instrText>
      </w:r>
      <w:r w:rsidR="00007BE2" w:rsidRPr="00A52AB8">
        <w:instrText xml:space="preserve"> \* MERGEFORMAT </w:instrText>
      </w:r>
      <w:r w:rsidR="00CD3A29" w:rsidRPr="00496A4D">
        <w:fldChar w:fldCharType="separate"/>
      </w:r>
      <w:r w:rsidR="00507A67">
        <w:t>F.3.12.3.2</w:t>
      </w:r>
      <w:r w:rsidR="00CD3A29" w:rsidRPr="00496A4D">
        <w:fldChar w:fldCharType="end"/>
      </w:r>
      <w:r w:rsidRPr="00A52AB8">
        <w:t>.</w:t>
      </w:r>
    </w:p>
    <w:p w14:paraId="063A9A8F" w14:textId="77777777" w:rsidR="00D11865" w:rsidRPr="00A52AB8" w:rsidRDefault="00D11865" w:rsidP="00D11865">
      <w:pPr>
        <w:rPr>
          <w:lang w:eastAsia="ja-JP"/>
        </w:rPr>
      </w:pPr>
      <w:r w:rsidRPr="00A52AB8">
        <w:rPr>
          <w:b/>
          <w:bCs/>
          <w:lang w:eastAsia="ja-JP"/>
        </w:rPr>
        <w:t>pi_persistence_flag</w:t>
      </w:r>
      <w:r w:rsidRPr="00A52AB8">
        <w:rPr>
          <w:lang w:eastAsia="ja-JP"/>
        </w:rPr>
        <w:t xml:space="preserve"> specifies the persistence of the patch information SEI message for the current layer. pi_persistence_flag equal to 0 specifies that the patch information SEI message applies to the current decoded atlas frame only.</w:t>
      </w:r>
    </w:p>
    <w:p w14:paraId="114809D6" w14:textId="77777777" w:rsidR="00D11865" w:rsidRPr="00A52AB8" w:rsidRDefault="00D11865" w:rsidP="00D11865">
      <w:pPr>
        <w:rPr>
          <w:lang w:eastAsia="ja-JP"/>
        </w:rPr>
      </w:pPr>
      <w:r w:rsidRPr="00A52AB8">
        <w:rPr>
          <w:lang w:eastAsia="ja-JP"/>
        </w:rPr>
        <w:t>Let aFrmA be the current atlas frame. pi_persistence_flag equal to 1 specifies that the patch information SEI message persists for the current layer in output order until any of the following conditions are true:</w:t>
      </w:r>
    </w:p>
    <w:p w14:paraId="13AE1ED4" w14:textId="77777777" w:rsidR="00D11865" w:rsidRPr="00A52AB8" w:rsidRDefault="00E778B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new CAS begins.</w:t>
      </w:r>
    </w:p>
    <w:p w14:paraId="19E15474" w14:textId="77777777" w:rsidR="00D11865" w:rsidRPr="00A52AB8" w:rsidRDefault="00D1186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The bitstream ends.</w:t>
      </w:r>
    </w:p>
    <w:p w14:paraId="16B40BD4" w14:textId="04C00D10" w:rsidR="006748C4" w:rsidRPr="00A52AB8" w:rsidRDefault="006748C4"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An atlas frame aFrmB in the current layer in a coded atlas access unit containing a patch information SEI message with the same value of pi_persistence_flag and applicable to the current layer is output for which AtlasFrmOrderCnt( aFrmB ) is greater than AtlasFrmOrderCnt( aFrmA ), where AtlasFrmOrderCnt( aFrmB ) and AtlasFrmOrderCnt( aFrmA ) are the AtlasFrmOrderCntVal values of aFrmB and aFrmA, respectively, immediately after the invocation of the decoding process for atlas frame order count for aFrmB.</w:t>
      </w:r>
    </w:p>
    <w:p w14:paraId="47B15674" w14:textId="207866BB" w:rsidR="00887F88" w:rsidRPr="00A52AB8" w:rsidRDefault="00887F88">
      <w:r w:rsidRPr="00A52AB8">
        <w:rPr>
          <w:rFonts w:eastAsia="Malgun Gothic"/>
          <w:b/>
          <w:bCs/>
        </w:rPr>
        <w:t>pi_</w:t>
      </w:r>
      <w:r w:rsidR="009537BC" w:rsidRPr="00A52AB8">
        <w:rPr>
          <w:rFonts w:eastAsia="Malgun Gothic"/>
          <w:b/>
          <w:bCs/>
        </w:rPr>
        <w:t>reset</w:t>
      </w:r>
      <w:r w:rsidRPr="00A52AB8">
        <w:rPr>
          <w:rFonts w:eastAsia="Malgun Gothic"/>
          <w:b/>
          <w:bCs/>
        </w:rPr>
        <w:t>_flag</w:t>
      </w:r>
      <w:r w:rsidRPr="00A52AB8">
        <w:t xml:space="preserve"> </w:t>
      </w:r>
      <w:r w:rsidR="00B619B6" w:rsidRPr="00A52AB8">
        <w:t>equal to 1 indicates that all entries in the patch information table shall be removed</w:t>
      </w:r>
      <w:r w:rsidR="00CD3A29" w:rsidRPr="00A52AB8">
        <w:t xml:space="preserve"> as follows:</w:t>
      </w:r>
    </w:p>
    <w:p w14:paraId="217041FD" w14:textId="13640436" w:rsidR="00CD3A29" w:rsidRPr="00A52AB8" w:rsidRDefault="00CD3A29" w:rsidP="00CD3A29">
      <w:r w:rsidRPr="00A52AB8">
        <w:tab/>
        <w:t>for ( i</w:t>
      </w:r>
      <w:r w:rsidR="00D47707" w:rsidRPr="00A52AB8">
        <w:t> = </w:t>
      </w:r>
      <w:r w:rsidRPr="00A52AB8">
        <w:t>0; i &lt; MaxNumTiles; i++ </w:t>
      </w:r>
      <w:r w:rsidR="008F1F82" w:rsidRPr="00A52AB8">
        <w:t>) {</w:t>
      </w:r>
      <w:r w:rsidRPr="00A52AB8">
        <w:t xml:space="preserve"> </w:t>
      </w:r>
      <w:r w:rsidRPr="00A52AB8">
        <w:br/>
      </w:r>
      <w:r w:rsidRPr="00A52AB8">
        <w:tab/>
      </w:r>
      <w:r w:rsidRPr="00A52AB8">
        <w:tab/>
        <w:t>TileInit( i )</w:t>
      </w:r>
      <w:r w:rsidRPr="00A52AB8">
        <w:br/>
      </w:r>
      <w:r w:rsidRPr="00A52AB8">
        <w:tab/>
        <w:t>}</w:t>
      </w:r>
    </w:p>
    <w:p w14:paraId="794E88F6" w14:textId="4609DE7D" w:rsidR="00887F88" w:rsidRPr="00A52AB8" w:rsidRDefault="00887F88">
      <w:pPr>
        <w:rPr>
          <w:b/>
        </w:rPr>
      </w:pPr>
      <w:r w:rsidRPr="00A52AB8">
        <w:rPr>
          <w:b/>
          <w:bCs/>
        </w:rPr>
        <w:t>pi_num_</w:t>
      </w:r>
      <w:r w:rsidR="00B8075E" w:rsidRPr="00A52AB8">
        <w:rPr>
          <w:b/>
          <w:bCs/>
        </w:rPr>
        <w:t>tile</w:t>
      </w:r>
      <w:r w:rsidRPr="00A52AB8">
        <w:rPr>
          <w:b/>
          <w:bCs/>
        </w:rPr>
        <w:t>_updates</w:t>
      </w:r>
      <w:r w:rsidRPr="00A52AB8">
        <w:rPr>
          <w:bCs/>
        </w:rPr>
        <w:t xml:space="preserve"> indicates the number of </w:t>
      </w:r>
      <w:r w:rsidR="00B8075E" w:rsidRPr="00A52AB8">
        <w:rPr>
          <w:bCs/>
        </w:rPr>
        <w:t>tile</w:t>
      </w:r>
      <w:r w:rsidRPr="00A52AB8">
        <w:rPr>
          <w:bCs/>
        </w:rPr>
        <w:t xml:space="preserve">s that are to be updated in the patch information table by the current SEI message. </w:t>
      </w:r>
      <w:r w:rsidR="00D80BB6" w:rsidRPr="00A52AB8">
        <w:rPr>
          <w:bCs/>
        </w:rPr>
        <w:t xml:space="preserve">The value of pi_num_tile_updates shall be in the range from 0 to </w:t>
      </w:r>
      <w:r w:rsidR="00CD3A29" w:rsidRPr="00A52AB8">
        <w:rPr>
          <w:bCs/>
        </w:rPr>
        <w:t>MaxNumTiles</w:t>
      </w:r>
      <w:r w:rsidR="00D80BB6" w:rsidRPr="00A52AB8">
        <w:rPr>
          <w:bCs/>
        </w:rPr>
        <w:t>, inclusive.</w:t>
      </w:r>
    </w:p>
    <w:p w14:paraId="54E949FD" w14:textId="4E327D4F" w:rsidR="00887F88" w:rsidRPr="00A52AB8" w:rsidRDefault="00887F88" w:rsidP="007656E5">
      <w:r w:rsidRPr="00A52AB8">
        <w:rPr>
          <w:b/>
          <w:bCs/>
        </w:rPr>
        <w:t>pi_log2_max_object_idx_tracked</w:t>
      </w:r>
      <w:r w:rsidR="002A4F78" w:rsidRPr="00A52AB8">
        <w:rPr>
          <w:b/>
          <w:bCs/>
        </w:rPr>
        <w:t>_</w:t>
      </w:r>
      <w:r w:rsidR="003158BA" w:rsidRPr="00A52AB8">
        <w:rPr>
          <w:b/>
          <w:bCs/>
        </w:rPr>
        <w:t xml:space="preserve">minus1 </w:t>
      </w:r>
      <w:r w:rsidR="003158BA" w:rsidRPr="00A52AB8">
        <w:t>plus 1</w:t>
      </w:r>
      <w:r w:rsidRPr="00A52AB8">
        <w:t xml:space="preserve"> specifies the number of bits</w:t>
      </w:r>
      <w:r w:rsidRPr="00A52AB8">
        <w:rPr>
          <w:b/>
          <w:bCs/>
        </w:rPr>
        <w:t xml:space="preserve"> </w:t>
      </w:r>
      <w:r w:rsidRPr="00A52AB8">
        <w:t>used to signal the value of a tracked object index in the current patch information SEI message.</w:t>
      </w:r>
    </w:p>
    <w:p w14:paraId="14C85C3C" w14:textId="55847E46" w:rsidR="00887F88" w:rsidRPr="00A52AB8" w:rsidRDefault="00887F88" w:rsidP="007656E5">
      <w:r w:rsidRPr="00A52AB8">
        <w:rPr>
          <w:b/>
          <w:bCs/>
        </w:rPr>
        <w:t>pi_log2_max_patch_idx_updated</w:t>
      </w:r>
      <w:r w:rsidR="008A7358" w:rsidRPr="00A52AB8">
        <w:rPr>
          <w:b/>
          <w:bCs/>
        </w:rPr>
        <w:t xml:space="preserve">_minus1 </w:t>
      </w:r>
      <w:r w:rsidR="008A7358" w:rsidRPr="00A52AB8">
        <w:t>plus 1</w:t>
      </w:r>
      <w:r w:rsidRPr="00A52AB8">
        <w:t xml:space="preserve"> specifies the number of bits</w:t>
      </w:r>
      <w:r w:rsidRPr="00A52AB8">
        <w:rPr>
          <w:b/>
          <w:bCs/>
        </w:rPr>
        <w:t xml:space="preserve"> </w:t>
      </w:r>
      <w:r w:rsidRPr="00A52AB8">
        <w:t>used to signal the value of an updated patch index in the current patch information SEI message.</w:t>
      </w:r>
    </w:p>
    <w:p w14:paraId="65871DCC" w14:textId="03A930FD" w:rsidR="00887F88" w:rsidRPr="00A52AB8" w:rsidRDefault="00887F88">
      <w:pPr>
        <w:rPr>
          <w:b/>
          <w:bCs/>
        </w:rPr>
      </w:pPr>
      <w:r w:rsidRPr="00A52AB8">
        <w:rPr>
          <w:b/>
          <w:bCs/>
        </w:rPr>
        <w:t>pi_</w:t>
      </w:r>
      <w:r w:rsidR="00B8075E" w:rsidRPr="00A52AB8">
        <w:rPr>
          <w:b/>
          <w:bCs/>
        </w:rPr>
        <w:t>tile</w:t>
      </w:r>
      <w:r w:rsidRPr="00A52AB8">
        <w:rPr>
          <w:b/>
          <w:bCs/>
        </w:rPr>
        <w:t>_</w:t>
      </w:r>
      <w:r w:rsidR="0001650D" w:rsidRPr="00A52AB8">
        <w:rPr>
          <w:b/>
          <w:bCs/>
        </w:rPr>
        <w:t>id</w:t>
      </w:r>
      <w:r w:rsidR="001F4484" w:rsidRPr="00A52AB8">
        <w:t>[ i ]</w:t>
      </w:r>
      <w:r w:rsidRPr="00A52AB8">
        <w:t xml:space="preserve"> specifies the </w:t>
      </w:r>
      <w:r w:rsidR="00B8075E" w:rsidRPr="00A52AB8">
        <w:t>tile</w:t>
      </w:r>
      <w:r w:rsidRPr="00A52AB8">
        <w:t xml:space="preserve"> </w:t>
      </w:r>
      <w:r w:rsidR="0001650D" w:rsidRPr="00A52AB8">
        <w:t>ID</w:t>
      </w:r>
      <w:r w:rsidR="00CD3A29" w:rsidRPr="00A52AB8">
        <w:t xml:space="preserve"> </w:t>
      </w:r>
      <w:r w:rsidRPr="00A52AB8">
        <w:t xml:space="preserve">for the i-th updated </w:t>
      </w:r>
      <w:r w:rsidR="00B8075E" w:rsidRPr="00A52AB8">
        <w:t>tile</w:t>
      </w:r>
      <w:r w:rsidRPr="00A52AB8">
        <w:t xml:space="preserve"> in the current SEI message.</w:t>
      </w:r>
    </w:p>
    <w:p w14:paraId="57B7CE8C" w14:textId="57E54109" w:rsidR="004D1AB3" w:rsidRPr="00A52AB8" w:rsidRDefault="00887F88">
      <w:r w:rsidRPr="00A52AB8">
        <w:rPr>
          <w:b/>
          <w:bCs/>
        </w:rPr>
        <w:t>pi_</w:t>
      </w:r>
      <w:r w:rsidR="00B8075E" w:rsidRPr="00A52AB8">
        <w:rPr>
          <w:b/>
          <w:bCs/>
        </w:rPr>
        <w:t>tile</w:t>
      </w:r>
      <w:r w:rsidRPr="00A52AB8">
        <w:rPr>
          <w:b/>
          <w:bCs/>
        </w:rPr>
        <w:t>_cancel_flag</w:t>
      </w:r>
      <w:r w:rsidR="001F4484" w:rsidRPr="00A52AB8">
        <w:t>[ i ]</w:t>
      </w:r>
      <w:r w:rsidRPr="00A52AB8">
        <w:t xml:space="preserve"> equal to 1 indicates that the </w:t>
      </w:r>
      <w:r w:rsidR="00B8075E" w:rsidRPr="00A52AB8">
        <w:t>tile</w:t>
      </w:r>
      <w:r w:rsidRPr="00A52AB8">
        <w:t xml:space="preserve"> with index i shall be reset </w:t>
      </w:r>
      <w:r w:rsidR="00CD3A29" w:rsidRPr="00A52AB8">
        <w:t>by invoking the function TileInit( i )</w:t>
      </w:r>
      <w:r w:rsidRPr="00A52AB8">
        <w:t>. pi_</w:t>
      </w:r>
      <w:r w:rsidR="00B8075E" w:rsidRPr="00A52AB8">
        <w:t>tile</w:t>
      </w:r>
      <w:r w:rsidRPr="00A52AB8">
        <w:t>_cancel_flag</w:t>
      </w:r>
      <w:r w:rsidR="001F4484" w:rsidRPr="00A52AB8">
        <w:t>[ i ]</w:t>
      </w:r>
      <w:r w:rsidRPr="00A52AB8">
        <w:t xml:space="preserve"> equal to 0 indicates that all patches previously assigned to the </w:t>
      </w:r>
      <w:r w:rsidR="00B8075E" w:rsidRPr="00A52AB8">
        <w:t>tile</w:t>
      </w:r>
      <w:r w:rsidRPr="00A52AB8">
        <w:t xml:space="preserve"> </w:t>
      </w:r>
      <w:r w:rsidR="003A1BAE" w:rsidRPr="00A52AB8">
        <w:t xml:space="preserve">with </w:t>
      </w:r>
      <w:r w:rsidRPr="00A52AB8">
        <w:t>index i will be retained.</w:t>
      </w:r>
    </w:p>
    <w:p w14:paraId="06AE1C13" w14:textId="5A57844C" w:rsidR="00887F88" w:rsidRPr="00A52AB8" w:rsidRDefault="00887F88">
      <w:pPr>
        <w:rPr>
          <w:b/>
        </w:rPr>
      </w:pPr>
      <w:r w:rsidRPr="00A52AB8">
        <w:rPr>
          <w:b/>
          <w:bCs/>
        </w:rPr>
        <w:t>pi_num_patch_updates</w:t>
      </w:r>
      <w:r w:rsidR="001F4484" w:rsidRPr="00A52AB8">
        <w:t>[ i ]</w:t>
      </w:r>
      <w:r w:rsidRPr="00A52AB8">
        <w:rPr>
          <w:bCs/>
        </w:rPr>
        <w:t xml:space="preserve"> indicates the number of patches that are to be updated by the current SEI</w:t>
      </w:r>
      <w:r w:rsidR="00701E3E" w:rsidRPr="00A52AB8">
        <w:rPr>
          <w:bCs/>
        </w:rPr>
        <w:t xml:space="preserve"> message</w:t>
      </w:r>
      <w:r w:rsidRPr="00A52AB8">
        <w:rPr>
          <w:bCs/>
        </w:rPr>
        <w:t xml:space="preserve"> within the </w:t>
      </w:r>
      <w:r w:rsidR="00B8075E" w:rsidRPr="00A52AB8">
        <w:rPr>
          <w:bCs/>
        </w:rPr>
        <w:t>tile</w:t>
      </w:r>
      <w:r w:rsidRPr="00A52AB8">
        <w:rPr>
          <w:bCs/>
        </w:rPr>
        <w:t xml:space="preserve"> with index i in the patch information table.</w:t>
      </w:r>
      <w:r w:rsidR="00AB5B7F" w:rsidRPr="00A52AB8">
        <w:rPr>
          <w:bCs/>
        </w:rPr>
        <w:t xml:space="preserve"> The value of </w:t>
      </w:r>
      <w:r w:rsidR="00056AB6" w:rsidRPr="00A52AB8">
        <w:rPr>
          <w:bCs/>
        </w:rPr>
        <w:t>pi_num_patch_updates[ i ]</w:t>
      </w:r>
      <w:r w:rsidR="00AB5B7F" w:rsidRPr="00A52AB8">
        <w:rPr>
          <w:bCs/>
        </w:rPr>
        <w:t xml:space="preserve"> shall be in the range from 0 to </w:t>
      </w:r>
      <w:r w:rsidR="00CD3A29" w:rsidRPr="00A52AB8">
        <w:rPr>
          <w:bCs/>
        </w:rPr>
        <w:t>MaxNumPatches</w:t>
      </w:r>
      <w:r w:rsidR="00A24130" w:rsidRPr="00A52AB8">
        <w:rPr>
          <w:bCs/>
        </w:rPr>
        <w:t>,</w:t>
      </w:r>
      <w:r w:rsidR="00AB5B7F" w:rsidRPr="00A52AB8">
        <w:rPr>
          <w:bCs/>
        </w:rPr>
        <w:t xml:space="preserve"> inclusive.</w:t>
      </w:r>
    </w:p>
    <w:p w14:paraId="6A90426D" w14:textId="3E929615" w:rsidR="00A87AE1" w:rsidRPr="00A52AB8" w:rsidRDefault="00887F88" w:rsidP="003B372E">
      <w:pPr>
        <w:rPr>
          <w:color w:val="000000" w:themeColor="text1"/>
        </w:rPr>
      </w:pPr>
      <w:r w:rsidRPr="00A52AB8">
        <w:rPr>
          <w:b/>
          <w:bCs/>
          <w:color w:val="000000" w:themeColor="text1"/>
        </w:rPr>
        <w:t>pi_patch_idx</w:t>
      </w:r>
      <w:r w:rsidR="001F4484" w:rsidRPr="00A52AB8">
        <w:rPr>
          <w:color w:val="000000" w:themeColor="text1"/>
        </w:rPr>
        <w:t>[ </w:t>
      </w:r>
      <w:r w:rsidR="00632FA7" w:rsidRPr="00A52AB8">
        <w:rPr>
          <w:color w:val="000000" w:themeColor="text1"/>
        </w:rPr>
        <w:t>tileID</w:t>
      </w:r>
      <w:r w:rsidR="001F4484" w:rsidRPr="00A52AB8">
        <w:rPr>
          <w:color w:val="000000" w:themeColor="text1"/>
        </w:rPr>
        <w:t> ][ </w:t>
      </w:r>
      <w:r w:rsidR="008A755D" w:rsidRPr="00A52AB8">
        <w:rPr>
          <w:color w:val="000000" w:themeColor="text1"/>
        </w:rPr>
        <w:t>i</w:t>
      </w:r>
      <w:r w:rsidR="001F4484" w:rsidRPr="00A52AB8">
        <w:rPr>
          <w:color w:val="000000" w:themeColor="text1"/>
        </w:rPr>
        <w:t> ]</w:t>
      </w:r>
      <w:r w:rsidRPr="00A52AB8">
        <w:rPr>
          <w:color w:val="000000" w:themeColor="text1"/>
        </w:rPr>
        <w:t xml:space="preserve"> indicates the patch index of the </w:t>
      </w:r>
      <w:r w:rsidR="008A755D" w:rsidRPr="00A52AB8">
        <w:rPr>
          <w:color w:val="000000" w:themeColor="text1"/>
        </w:rPr>
        <w:t>i</w:t>
      </w:r>
      <w:r w:rsidRPr="00A52AB8">
        <w:rPr>
          <w:color w:val="000000" w:themeColor="text1"/>
        </w:rPr>
        <w:t xml:space="preserve">-th patch in </w:t>
      </w:r>
      <w:r w:rsidR="00B8075E" w:rsidRPr="00A52AB8">
        <w:rPr>
          <w:color w:val="000000" w:themeColor="text1"/>
        </w:rPr>
        <w:t>tile</w:t>
      </w:r>
      <w:r w:rsidRPr="00A52AB8">
        <w:rPr>
          <w:color w:val="000000" w:themeColor="text1"/>
        </w:rPr>
        <w:t xml:space="preserve"> </w:t>
      </w:r>
      <w:r w:rsidR="00A41AF4" w:rsidRPr="00A52AB8">
        <w:rPr>
          <w:color w:val="000000" w:themeColor="text1"/>
        </w:rPr>
        <w:t>with tile ID equal to tileID</w:t>
      </w:r>
      <w:r w:rsidRPr="00A52AB8">
        <w:rPr>
          <w:color w:val="000000" w:themeColor="text1"/>
        </w:rPr>
        <w:t xml:space="preserve"> that is to be updated in the patch information table. The number of bits used to represent pi_patch_idx</w:t>
      </w:r>
      <w:r w:rsidR="008A755D" w:rsidRPr="00A52AB8">
        <w:rPr>
          <w:color w:val="000000" w:themeColor="text1"/>
        </w:rPr>
        <w:t>[ </w:t>
      </w:r>
      <w:r w:rsidR="00632FA7" w:rsidRPr="00A52AB8">
        <w:rPr>
          <w:color w:val="000000" w:themeColor="text1"/>
        </w:rPr>
        <w:t>tileID</w:t>
      </w:r>
      <w:r w:rsidR="008A755D" w:rsidRPr="00A52AB8">
        <w:rPr>
          <w:color w:val="000000" w:themeColor="text1"/>
        </w:rPr>
        <w:t> ]</w:t>
      </w:r>
      <w:r w:rsidR="001F4484" w:rsidRPr="00A52AB8">
        <w:rPr>
          <w:color w:val="000000" w:themeColor="text1"/>
        </w:rPr>
        <w:t>[ </w:t>
      </w:r>
      <w:r w:rsidR="008A755D" w:rsidRPr="00A52AB8">
        <w:rPr>
          <w:color w:val="000000" w:themeColor="text1"/>
        </w:rPr>
        <w:t>i </w:t>
      </w:r>
      <w:r w:rsidR="001F4484" w:rsidRPr="00A52AB8">
        <w:rPr>
          <w:color w:val="000000" w:themeColor="text1"/>
        </w:rPr>
        <w:t>]</w:t>
      </w:r>
      <w:r w:rsidRPr="00A52AB8">
        <w:rPr>
          <w:color w:val="000000" w:themeColor="text1"/>
        </w:rPr>
        <w:t xml:space="preserve"> is equal to pi_log2_max_patch_idx_updated</w:t>
      </w:r>
      <w:r w:rsidR="006C6BC3" w:rsidRPr="00A52AB8">
        <w:rPr>
          <w:color w:val="000000" w:themeColor="text1"/>
        </w:rPr>
        <w:t>_minus1</w:t>
      </w:r>
      <w:r w:rsidR="002D7828" w:rsidRPr="00A52AB8">
        <w:rPr>
          <w:color w:val="000000" w:themeColor="text1"/>
        </w:rPr>
        <w:t> + </w:t>
      </w:r>
      <w:r w:rsidR="006C6BC3" w:rsidRPr="00A52AB8">
        <w:rPr>
          <w:color w:val="000000" w:themeColor="text1"/>
        </w:rPr>
        <w:t>1</w:t>
      </w:r>
      <w:r w:rsidRPr="00A52AB8">
        <w:rPr>
          <w:color w:val="000000" w:themeColor="text1"/>
        </w:rPr>
        <w:t>.</w:t>
      </w:r>
    </w:p>
    <w:p w14:paraId="3B514B28" w14:textId="400A2265" w:rsidR="00887F88" w:rsidRPr="00A52AB8" w:rsidRDefault="00887F88" w:rsidP="00887F88">
      <w:pPr>
        <w:rPr>
          <w:b/>
          <w:bCs/>
          <w:color w:val="000000" w:themeColor="text1"/>
        </w:rPr>
      </w:pPr>
      <w:r w:rsidRPr="00A52AB8">
        <w:rPr>
          <w:b/>
          <w:bCs/>
        </w:rPr>
        <w:t>pi_patch_cancel_flag</w:t>
      </w:r>
      <w:r w:rsidR="001F4484" w:rsidRPr="00A52AB8">
        <w:t>[ </w:t>
      </w:r>
      <w:r w:rsidR="00632FA7" w:rsidRPr="00A52AB8">
        <w:t>tileID</w:t>
      </w:r>
      <w:r w:rsidR="001F4484" w:rsidRPr="00A52AB8">
        <w:t> ][ </w:t>
      </w:r>
      <w:r w:rsidR="00C959B6" w:rsidRPr="00A52AB8">
        <w:t>i </w:t>
      </w:r>
      <w:r w:rsidR="001F4484" w:rsidRPr="00A52AB8">
        <w:t>]</w:t>
      </w:r>
      <w:r w:rsidRPr="00A52AB8">
        <w:rPr>
          <w:bCs/>
        </w:rPr>
        <w:t xml:space="preserve"> equal to 1 indicates that the </w:t>
      </w:r>
      <w:r w:rsidR="00CD3A29" w:rsidRPr="00A52AB8">
        <w:rPr>
          <w:bCs/>
        </w:rPr>
        <w:t xml:space="preserve">information related to the </w:t>
      </w:r>
      <w:r w:rsidRPr="00A52AB8">
        <w:rPr>
          <w:bCs/>
        </w:rPr>
        <w:t xml:space="preserve">patch with index </w:t>
      </w:r>
      <w:r w:rsidR="00C959B6" w:rsidRPr="00A52AB8">
        <w:rPr>
          <w:bCs/>
        </w:rPr>
        <w:t xml:space="preserve">i </w:t>
      </w:r>
      <w:r w:rsidRPr="00A52AB8">
        <w:rPr>
          <w:bCs/>
        </w:rPr>
        <w:t xml:space="preserve">in </w:t>
      </w:r>
      <w:r w:rsidR="00B8075E" w:rsidRPr="00A52AB8">
        <w:rPr>
          <w:bCs/>
        </w:rPr>
        <w:t>tile</w:t>
      </w:r>
      <w:r w:rsidRPr="00A52AB8">
        <w:rPr>
          <w:bCs/>
        </w:rPr>
        <w:t xml:space="preserve"> </w:t>
      </w:r>
      <w:r w:rsidR="00A41AF4" w:rsidRPr="00A52AB8">
        <w:rPr>
          <w:bCs/>
        </w:rPr>
        <w:t>with tile ID equal to tileID</w:t>
      </w:r>
      <w:r w:rsidRPr="00A52AB8">
        <w:rPr>
          <w:bCs/>
        </w:rPr>
        <w:t xml:space="preserve"> shall be </w:t>
      </w:r>
      <w:r w:rsidR="00CD3A29" w:rsidRPr="00A52AB8">
        <w:rPr>
          <w:bCs/>
        </w:rPr>
        <w:t xml:space="preserve">reset </w:t>
      </w:r>
      <w:r w:rsidRPr="00A52AB8">
        <w:rPr>
          <w:bCs/>
        </w:rPr>
        <w:t>from the patch information table</w:t>
      </w:r>
      <w:r w:rsidR="00CD3A29" w:rsidRPr="00A52AB8">
        <w:rPr>
          <w:bCs/>
        </w:rPr>
        <w:t xml:space="preserve"> by invoking the function PatchInit( tileID, i )</w:t>
      </w:r>
      <w:r w:rsidRPr="00A52AB8">
        <w:rPr>
          <w:bCs/>
        </w:rPr>
        <w:t>.</w:t>
      </w:r>
    </w:p>
    <w:p w14:paraId="38BD052A" w14:textId="108AE92C" w:rsidR="00887F88" w:rsidRPr="00A52AB8" w:rsidRDefault="00887F88" w:rsidP="00887F88">
      <w:pPr>
        <w:rPr>
          <w:b/>
          <w:bCs/>
          <w:color w:val="000000" w:themeColor="text1"/>
        </w:rPr>
      </w:pPr>
      <w:r w:rsidRPr="00A52AB8">
        <w:rPr>
          <w:b/>
          <w:bCs/>
          <w:color w:val="000000" w:themeColor="text1"/>
        </w:rPr>
        <w:t>pi_patch_number_of_objects_minus1</w:t>
      </w:r>
      <w:r w:rsidR="001F4484" w:rsidRPr="00A52AB8">
        <w:t>[ </w:t>
      </w:r>
      <w:r w:rsidR="00632FA7" w:rsidRPr="00A52AB8">
        <w:t>tileID</w:t>
      </w:r>
      <w:r w:rsidR="001F4484" w:rsidRPr="00A52AB8">
        <w:t> ][ </w:t>
      </w:r>
      <w:r w:rsidR="00C959B6" w:rsidRPr="00A52AB8">
        <w:t>i </w:t>
      </w:r>
      <w:r w:rsidR="001F4484" w:rsidRPr="00A52AB8">
        <w:t>]</w:t>
      </w:r>
      <w:r w:rsidRPr="00A52AB8">
        <w:t xml:space="preserve"> </w:t>
      </w:r>
      <w:r w:rsidR="00244090" w:rsidRPr="00A52AB8">
        <w:t xml:space="preserve">plus 1 </w:t>
      </w:r>
      <w:r w:rsidRPr="00A52AB8">
        <w:t>indicates the number of objects</w:t>
      </w:r>
      <w:r w:rsidR="00CD3A29" w:rsidRPr="00A52AB8">
        <w:t>, PatchNumObjects[ tileID ][ i ],</w:t>
      </w:r>
      <w:r w:rsidRPr="00A52AB8">
        <w:t xml:space="preserve"> that are to be associated with the </w:t>
      </w:r>
      <w:r w:rsidRPr="00A52AB8">
        <w:rPr>
          <w:bCs/>
        </w:rPr>
        <w:t xml:space="preserve">patch with index </w:t>
      </w:r>
      <w:r w:rsidR="00C959B6" w:rsidRPr="00A52AB8">
        <w:rPr>
          <w:bCs/>
        </w:rPr>
        <w:t xml:space="preserve">i </w:t>
      </w:r>
      <w:r w:rsidRPr="00A52AB8">
        <w:rPr>
          <w:bCs/>
        </w:rPr>
        <w:t xml:space="preserve">in </w:t>
      </w:r>
      <w:r w:rsidR="00B8075E" w:rsidRPr="00A52AB8">
        <w:rPr>
          <w:bCs/>
        </w:rPr>
        <w:t>tile</w:t>
      </w:r>
      <w:r w:rsidRPr="00A52AB8">
        <w:rPr>
          <w:bCs/>
        </w:rPr>
        <w:t xml:space="preserve"> </w:t>
      </w:r>
      <w:r w:rsidR="00A41AF4" w:rsidRPr="00A52AB8">
        <w:rPr>
          <w:bCs/>
        </w:rPr>
        <w:t>with tile ID equal to tileID</w:t>
      </w:r>
      <w:r w:rsidRPr="00A52AB8">
        <w:rPr>
          <w:bCs/>
        </w:rPr>
        <w:t>.</w:t>
      </w:r>
      <w:r w:rsidR="00B1031B" w:rsidRPr="00A52AB8">
        <w:rPr>
          <w:bCs/>
        </w:rPr>
        <w:t xml:space="preserve"> The value of pi_patch_number_of_objects_minus1[</w:t>
      </w:r>
      <w:r w:rsidR="00D30651" w:rsidRPr="00A52AB8">
        <w:rPr>
          <w:bCs/>
        </w:rPr>
        <w:t> t</w:t>
      </w:r>
      <w:r w:rsidR="00B1031B" w:rsidRPr="00A52AB8">
        <w:rPr>
          <w:bCs/>
        </w:rPr>
        <w:t>ileID</w:t>
      </w:r>
      <w:r w:rsidR="00D30651" w:rsidRPr="00A52AB8">
        <w:rPr>
          <w:bCs/>
        </w:rPr>
        <w:t> </w:t>
      </w:r>
      <w:r w:rsidR="00B1031B" w:rsidRPr="00A52AB8">
        <w:rPr>
          <w:bCs/>
        </w:rPr>
        <w:t>][</w:t>
      </w:r>
      <w:r w:rsidR="00D30651" w:rsidRPr="00A52AB8">
        <w:rPr>
          <w:bCs/>
        </w:rPr>
        <w:t> i </w:t>
      </w:r>
      <w:r w:rsidR="00B1031B" w:rsidRPr="00A52AB8">
        <w:rPr>
          <w:bCs/>
        </w:rPr>
        <w:t xml:space="preserve">] shall be in the range from 0 to </w:t>
      </w:r>
      <w:r w:rsidR="00CD3A29" w:rsidRPr="00A52AB8">
        <w:rPr>
          <w:bCs/>
        </w:rPr>
        <w:t>MaxNumObjectsPerPatch</w:t>
      </w:r>
      <w:r w:rsidR="00B1031B" w:rsidRPr="00A52AB8">
        <w:rPr>
          <w:bCs/>
        </w:rPr>
        <w:t>, inclusive.</w:t>
      </w:r>
    </w:p>
    <w:p w14:paraId="2C20D943" w14:textId="77777777" w:rsidR="0050235C" w:rsidRPr="00A52AB8" w:rsidRDefault="00887F88" w:rsidP="003B372E">
      <w:pPr>
        <w:rPr>
          <w:color w:val="000000" w:themeColor="text1"/>
        </w:rPr>
      </w:pPr>
      <w:r w:rsidRPr="00A52AB8">
        <w:rPr>
          <w:b/>
          <w:bCs/>
          <w:color w:val="000000" w:themeColor="text1"/>
        </w:rPr>
        <w:t>pi_patch_object_idx</w:t>
      </w:r>
      <w:r w:rsidR="001F4484" w:rsidRPr="00A52AB8">
        <w:rPr>
          <w:color w:val="000000" w:themeColor="text1"/>
        </w:rPr>
        <w:t>[ </w:t>
      </w:r>
      <w:r w:rsidR="00632FA7" w:rsidRPr="00A52AB8">
        <w:rPr>
          <w:color w:val="000000" w:themeColor="text1"/>
        </w:rPr>
        <w:t>tileID</w:t>
      </w:r>
      <w:r w:rsidR="001F4484" w:rsidRPr="00A52AB8">
        <w:rPr>
          <w:color w:val="000000" w:themeColor="text1"/>
        </w:rPr>
        <w:t> ][ </w:t>
      </w:r>
      <w:r w:rsidR="00C959B6" w:rsidRPr="00A52AB8">
        <w:rPr>
          <w:color w:val="000000" w:themeColor="text1"/>
        </w:rPr>
        <w:t>i</w:t>
      </w:r>
      <w:r w:rsidR="001F4484" w:rsidRPr="00A52AB8">
        <w:rPr>
          <w:color w:val="000000" w:themeColor="text1"/>
        </w:rPr>
        <w:t> ]</w:t>
      </w:r>
      <w:r w:rsidR="004B7314" w:rsidRPr="00A52AB8">
        <w:rPr>
          <w:color w:val="000000" w:themeColor="text1"/>
        </w:rPr>
        <w:t>[ k ]</w:t>
      </w:r>
      <w:r w:rsidRPr="00A52AB8">
        <w:rPr>
          <w:b/>
          <w:bCs/>
          <w:color w:val="000000" w:themeColor="text1"/>
        </w:rPr>
        <w:t xml:space="preserve"> </w:t>
      </w:r>
      <w:r w:rsidRPr="00A52AB8">
        <w:rPr>
          <w:color w:val="000000" w:themeColor="text1"/>
        </w:rPr>
        <w:t>indicates the k-th object index</w:t>
      </w:r>
      <w:r w:rsidR="00CD3A29" w:rsidRPr="00A52AB8">
        <w:rPr>
          <w:color w:val="000000" w:themeColor="text1"/>
        </w:rPr>
        <w:t xml:space="preserve">, </w:t>
      </w:r>
      <w:r w:rsidR="00CD3A29" w:rsidRPr="00A52AB8">
        <w:t>PatchObjectIndex[ tileID ][ i ][ k ],</w:t>
      </w:r>
      <w:r w:rsidRPr="00A52AB8">
        <w:rPr>
          <w:color w:val="000000" w:themeColor="text1"/>
        </w:rPr>
        <w:t xml:space="preserve"> that is associated with the </w:t>
      </w:r>
      <w:r w:rsidR="00C959B6" w:rsidRPr="00A52AB8">
        <w:rPr>
          <w:color w:val="000000" w:themeColor="text1"/>
        </w:rPr>
        <w:t>i</w:t>
      </w:r>
      <w:r w:rsidRPr="00A52AB8">
        <w:rPr>
          <w:color w:val="000000" w:themeColor="text1"/>
        </w:rPr>
        <w:t xml:space="preserve">-th patch in </w:t>
      </w:r>
      <w:r w:rsidR="00B8075E" w:rsidRPr="00A52AB8">
        <w:rPr>
          <w:color w:val="000000" w:themeColor="text1"/>
        </w:rPr>
        <w:t>tile</w:t>
      </w:r>
      <w:r w:rsidRPr="00A52AB8">
        <w:rPr>
          <w:color w:val="000000" w:themeColor="text1"/>
        </w:rPr>
        <w:t xml:space="preserve"> </w:t>
      </w:r>
      <w:r w:rsidR="00A41AF4" w:rsidRPr="00A52AB8">
        <w:rPr>
          <w:color w:val="000000" w:themeColor="text1"/>
        </w:rPr>
        <w:t>with tile ID equal to tileID</w:t>
      </w:r>
      <w:r w:rsidRPr="00A52AB8">
        <w:rPr>
          <w:color w:val="000000" w:themeColor="text1"/>
        </w:rPr>
        <w:t>. The number of bits used to represent pi_patch_object_idx</w:t>
      </w:r>
      <w:r w:rsidR="00C959B6" w:rsidRPr="00A52AB8">
        <w:rPr>
          <w:color w:val="000000" w:themeColor="text1"/>
        </w:rPr>
        <w:t>[ </w:t>
      </w:r>
      <w:r w:rsidR="00632FA7" w:rsidRPr="00A52AB8">
        <w:rPr>
          <w:color w:val="000000" w:themeColor="text1"/>
        </w:rPr>
        <w:t>tileID</w:t>
      </w:r>
      <w:r w:rsidR="00C959B6" w:rsidRPr="00A52AB8">
        <w:rPr>
          <w:color w:val="000000" w:themeColor="text1"/>
        </w:rPr>
        <w:t> ][ i ]</w:t>
      </w:r>
      <w:r w:rsidR="004B7314" w:rsidRPr="00A52AB8">
        <w:rPr>
          <w:color w:val="000000" w:themeColor="text1"/>
        </w:rPr>
        <w:t>[ k ]</w:t>
      </w:r>
      <w:r w:rsidRPr="00A52AB8">
        <w:rPr>
          <w:color w:val="000000" w:themeColor="text1"/>
        </w:rPr>
        <w:t xml:space="preserve"> is equal to pi_log2_max_object_idx_</w:t>
      </w:r>
      <w:r w:rsidR="0094440D" w:rsidRPr="00A52AB8">
        <w:rPr>
          <w:color w:val="000000" w:themeColor="text1"/>
        </w:rPr>
        <w:t>tracked</w:t>
      </w:r>
      <w:r w:rsidR="00847082" w:rsidRPr="00A52AB8">
        <w:rPr>
          <w:color w:val="000000" w:themeColor="text1"/>
        </w:rPr>
        <w:t>_minus1</w:t>
      </w:r>
      <w:r w:rsidR="000C212B" w:rsidRPr="00A52AB8">
        <w:rPr>
          <w:color w:val="000000" w:themeColor="text1"/>
        </w:rPr>
        <w:t> + 1</w:t>
      </w:r>
      <w:r w:rsidRPr="00A52AB8">
        <w:rPr>
          <w:color w:val="000000" w:themeColor="text1"/>
        </w:rPr>
        <w:t>.</w:t>
      </w:r>
    </w:p>
    <w:p w14:paraId="481B012F" w14:textId="7654BE99" w:rsidR="00921964" w:rsidRPr="00A52AB8" w:rsidRDefault="00921964" w:rsidP="00EE3D19">
      <w:pPr>
        <w:pStyle w:val="a4"/>
        <w:numPr>
          <w:ilvl w:val="4"/>
          <w:numId w:val="19"/>
        </w:numPr>
        <w:tabs>
          <w:tab w:val="clear" w:pos="7200"/>
        </w:tabs>
        <w:outlineLvl w:val="4"/>
      </w:pPr>
      <w:bookmarkStart w:id="5627" w:name="_Ref50325804"/>
      <w:r w:rsidRPr="00A52AB8">
        <w:t>Tile and Patch Initialization</w:t>
      </w:r>
      <w:bookmarkEnd w:id="5627"/>
    </w:p>
    <w:p w14:paraId="72003B63" w14:textId="4CABD492" w:rsidR="00921964" w:rsidRPr="00A52AB8" w:rsidRDefault="00921964" w:rsidP="00921964">
      <w:pPr>
        <w:rPr>
          <w:color w:val="000000" w:themeColor="text1"/>
        </w:rPr>
      </w:pPr>
      <w:r w:rsidRPr="00A52AB8">
        <w:rPr>
          <w:color w:val="000000" w:themeColor="text1"/>
        </w:rPr>
        <w:t>Let the function PatchInit( </w:t>
      </w:r>
      <w:r w:rsidR="00CD3A29" w:rsidRPr="00A52AB8">
        <w:rPr>
          <w:color w:val="000000" w:themeColor="text1"/>
        </w:rPr>
        <w:t>i</w:t>
      </w:r>
      <w:r w:rsidRPr="00A52AB8">
        <w:rPr>
          <w:color w:val="000000" w:themeColor="text1"/>
        </w:rPr>
        <w:t>, </w:t>
      </w:r>
      <w:r w:rsidR="00CD3A29" w:rsidRPr="00A52AB8">
        <w:rPr>
          <w:color w:val="000000" w:themeColor="text1"/>
        </w:rPr>
        <w:t>j</w:t>
      </w:r>
      <w:r w:rsidRPr="00A52AB8">
        <w:rPr>
          <w:color w:val="000000" w:themeColor="text1"/>
        </w:rPr>
        <w:t> ) be defined as follows:</w:t>
      </w:r>
    </w:p>
    <w:p w14:paraId="7B8E3708" w14:textId="498BB742" w:rsidR="00CD3A29" w:rsidRPr="00A52AB8" w:rsidRDefault="00CD3A29" w:rsidP="00CD3A29">
      <w:pPr>
        <w:rPr>
          <w:color w:val="000000" w:themeColor="text1"/>
        </w:rPr>
      </w:pPr>
      <w:bookmarkStart w:id="5628" w:name="_Hlk50325666"/>
      <w:r w:rsidRPr="00A52AB8">
        <w:tab/>
        <w:t>PatchInit( i, j </w:t>
      </w:r>
      <w:r w:rsidR="008F1F82" w:rsidRPr="00A52AB8">
        <w:t>) {</w:t>
      </w:r>
      <w:r w:rsidRPr="00A52AB8">
        <w:br/>
      </w:r>
      <w:bookmarkEnd w:id="5628"/>
      <w:r w:rsidR="00921964" w:rsidRPr="00A52AB8">
        <w:tab/>
      </w:r>
      <w:r w:rsidR="00921964" w:rsidRPr="00A52AB8">
        <w:tab/>
        <w:t>PatchNumObjects[ i ][ j ]</w:t>
      </w:r>
      <w:r w:rsidR="00D47707" w:rsidRPr="00A52AB8">
        <w:t> = </w:t>
      </w:r>
      <w:r w:rsidR="00921964" w:rsidRPr="00A52AB8">
        <w:t>0</w:t>
      </w:r>
      <w:r w:rsidR="00921964" w:rsidRPr="00A52AB8">
        <w:br/>
      </w:r>
      <w:r w:rsidR="00921964" w:rsidRPr="00A52AB8">
        <w:tab/>
      </w:r>
      <w:r w:rsidR="00921964" w:rsidRPr="00A52AB8">
        <w:tab/>
        <w:t>for ( k</w:t>
      </w:r>
      <w:r w:rsidR="00D47707" w:rsidRPr="00A52AB8">
        <w:t> = </w:t>
      </w:r>
      <w:r w:rsidR="00921964" w:rsidRPr="00A52AB8">
        <w:t>0; k &lt; MaxNumObjectsPerPatch; k++ </w:t>
      </w:r>
      <w:r w:rsidR="008F1F82" w:rsidRPr="00A52AB8">
        <w:t>) {</w:t>
      </w:r>
      <w:r w:rsidR="00921964" w:rsidRPr="00A52AB8">
        <w:br/>
      </w:r>
      <w:r w:rsidR="00921964" w:rsidRPr="00A52AB8">
        <w:tab/>
      </w:r>
      <w:r w:rsidR="00921964" w:rsidRPr="00A52AB8">
        <w:tab/>
      </w:r>
      <w:r w:rsidR="00921964" w:rsidRPr="00A52AB8">
        <w:tab/>
        <w:t>PatchObjectIndex[ i ][ j ][ k ]</w:t>
      </w:r>
      <w:r w:rsidR="00D47707" w:rsidRPr="00A52AB8">
        <w:t> = </w:t>
      </w:r>
      <w:r w:rsidR="00921964" w:rsidRPr="00A52AB8">
        <w:t>0</w:t>
      </w:r>
      <w:r w:rsidRPr="00A52AB8">
        <w:br/>
      </w:r>
      <w:r w:rsidRPr="00A52AB8">
        <w:tab/>
      </w:r>
      <w:r w:rsidRPr="00A52AB8">
        <w:tab/>
        <w:t>}</w:t>
      </w:r>
      <w:r w:rsidRPr="00A52AB8">
        <w:br/>
      </w:r>
      <w:r w:rsidRPr="00A52AB8">
        <w:tab/>
        <w:t>}</w:t>
      </w:r>
      <w:r w:rsidR="00921964" w:rsidRPr="00A52AB8">
        <w:br/>
      </w:r>
    </w:p>
    <w:p w14:paraId="096566A0" w14:textId="6928B9CF" w:rsidR="00CD3A29" w:rsidRPr="00A52AB8" w:rsidRDefault="00CD3A29" w:rsidP="00CD3A29">
      <w:pPr>
        <w:rPr>
          <w:color w:val="000000" w:themeColor="text1"/>
        </w:rPr>
      </w:pPr>
      <w:r w:rsidRPr="00A52AB8">
        <w:rPr>
          <w:color w:val="000000" w:themeColor="text1"/>
        </w:rPr>
        <w:t>Then, also the function TileInit( i ) be defined as follows:</w:t>
      </w:r>
    </w:p>
    <w:p w14:paraId="5E0DFD92" w14:textId="39FE8F9F" w:rsidR="004252B7" w:rsidRPr="00A52AB8" w:rsidRDefault="00CD3A29" w:rsidP="003B372E">
      <w:pPr>
        <w:rPr>
          <w:b/>
          <w:bCs/>
          <w:color w:val="000000" w:themeColor="text1"/>
        </w:rPr>
      </w:pPr>
      <w:r w:rsidRPr="00A52AB8">
        <w:tab/>
        <w:t>TileInit( i </w:t>
      </w:r>
      <w:r w:rsidR="008F1F82" w:rsidRPr="00A52AB8">
        <w:t>) {</w:t>
      </w:r>
      <w:r w:rsidRPr="00A52AB8">
        <w:br/>
      </w:r>
      <w:r w:rsidR="00921964" w:rsidRPr="00A52AB8">
        <w:tab/>
      </w:r>
      <w:r w:rsidR="00921964" w:rsidRPr="00A52AB8">
        <w:tab/>
        <w:t>for ( j</w:t>
      </w:r>
      <w:r w:rsidR="00D47707" w:rsidRPr="00A52AB8">
        <w:t> = </w:t>
      </w:r>
      <w:r w:rsidR="00921964" w:rsidRPr="00A52AB8">
        <w:t>0; j &lt; MaxNumPatches; j++ </w:t>
      </w:r>
      <w:r w:rsidR="008F1F82" w:rsidRPr="00A52AB8">
        <w:t>) {</w:t>
      </w:r>
      <w:r w:rsidRPr="00A52AB8">
        <w:t xml:space="preserve"> </w:t>
      </w:r>
      <w:r w:rsidR="00921964" w:rsidRPr="00A52AB8">
        <w:br/>
      </w:r>
      <w:r w:rsidR="00921964" w:rsidRPr="00A52AB8">
        <w:tab/>
      </w:r>
      <w:r w:rsidR="00921964" w:rsidRPr="00A52AB8">
        <w:tab/>
      </w:r>
      <w:r w:rsidR="00921964" w:rsidRPr="00A52AB8">
        <w:tab/>
      </w:r>
      <w:r w:rsidRPr="00A52AB8">
        <w:t>PatchInit( i, j )</w:t>
      </w:r>
      <w:r w:rsidR="00C61E38" w:rsidRPr="00A52AB8">
        <w:br/>
      </w:r>
      <w:r w:rsidR="00921964" w:rsidRPr="00A52AB8">
        <w:tab/>
      </w:r>
      <w:r w:rsidR="00921964" w:rsidRPr="00A52AB8">
        <w:tab/>
        <w:t>}</w:t>
      </w:r>
      <w:r w:rsidRPr="00A52AB8">
        <w:br/>
      </w:r>
      <w:r w:rsidRPr="00A52AB8">
        <w:tab/>
        <w:t>}</w:t>
      </w:r>
      <w:r w:rsidR="00921964" w:rsidRPr="00A52AB8">
        <w:br/>
      </w:r>
    </w:p>
    <w:p w14:paraId="1A978609" w14:textId="60A56EC4" w:rsidR="00887F88" w:rsidRPr="00A52AB8" w:rsidRDefault="00887F88" w:rsidP="001000BF">
      <w:pPr>
        <w:pStyle w:val="a4"/>
        <w:numPr>
          <w:ilvl w:val="3"/>
          <w:numId w:val="19"/>
        </w:numPr>
      </w:pPr>
      <w:r w:rsidRPr="00A52AB8">
        <w:t>Volumetric rectangle information SEI message semantics</w:t>
      </w:r>
    </w:p>
    <w:p w14:paraId="0C52C0F1" w14:textId="101E2FE5" w:rsidR="00C07111" w:rsidRPr="00A52AB8" w:rsidRDefault="00C07111" w:rsidP="00EE3D19">
      <w:pPr>
        <w:pStyle w:val="a4"/>
        <w:numPr>
          <w:ilvl w:val="4"/>
          <w:numId w:val="19"/>
        </w:numPr>
        <w:tabs>
          <w:tab w:val="clear" w:pos="7200"/>
        </w:tabs>
        <w:outlineLvl w:val="4"/>
      </w:pPr>
      <w:r w:rsidRPr="00A52AB8">
        <w:t>General</w:t>
      </w:r>
    </w:p>
    <w:p w14:paraId="224ACD45" w14:textId="77777777" w:rsidR="0050235C" w:rsidRPr="00A52AB8" w:rsidRDefault="00887F88" w:rsidP="00887F88">
      <w:pPr>
        <w:rPr>
          <w:lang w:eastAsia="ja-JP"/>
        </w:rPr>
      </w:pPr>
      <w:r w:rsidRPr="00A52AB8">
        <w:rPr>
          <w:lang w:eastAsia="ja-JP"/>
        </w:rPr>
        <w:t>This SEI message defines a table that indicates a set of volumetric rectangles within an atlas. These volumetric rectangles can be assigned to one or more objects that may be present in a volumetric scene and that were previously defined through one or more scene object information SEI messages.</w:t>
      </w:r>
    </w:p>
    <w:p w14:paraId="77D3CB60" w14:textId="1894789A" w:rsidR="0050235C" w:rsidRPr="00A52AB8" w:rsidRDefault="00C07111" w:rsidP="00C07111">
      <w:r w:rsidRPr="00A52AB8">
        <w:t xml:space="preserve">Let the variables MaxNumRectangles and MaxNumObjectsPerRectangle be set equal to </w:t>
      </w:r>
      <w:r w:rsidR="0034668F" w:rsidRPr="00A52AB8">
        <w:t xml:space="preserve">either </w:t>
      </w:r>
      <w:r w:rsidRPr="00A52AB8">
        <w:t>2</w:t>
      </w:r>
      <w:r w:rsidRPr="00A52AB8">
        <w:rPr>
          <w:position w:val="6"/>
          <w:vertAlign w:val="superscript"/>
        </w:rPr>
        <w:t>16</w:t>
      </w:r>
      <w:r w:rsidRPr="00A52AB8">
        <w:t> – 1</w:t>
      </w:r>
      <w:r w:rsidR="006A5194" w:rsidRPr="00A52AB8">
        <w:t xml:space="preserve"> and </w:t>
      </w:r>
      <w:r w:rsidRPr="00A52AB8">
        <w:t>2</w:t>
      </w:r>
      <w:r w:rsidR="005D71BE" w:rsidRPr="00A52AB8">
        <w:rPr>
          <w:position w:val="6"/>
          <w:vertAlign w:val="superscript"/>
        </w:rPr>
        <w:t>16</w:t>
      </w:r>
      <w:r w:rsidRPr="00A52AB8">
        <w:t xml:space="preserve"> – 1, respectively, or </w:t>
      </w:r>
      <w:r w:rsidR="0034668F" w:rsidRPr="00A52AB8">
        <w:t xml:space="preserve">a value </w:t>
      </w:r>
      <w:r w:rsidRPr="00A52AB8">
        <w:t>determined by the application in bitstreams conforming to this document.</w:t>
      </w:r>
    </w:p>
    <w:p w14:paraId="0FD83783" w14:textId="2AB188A4" w:rsidR="00C07111" w:rsidRPr="00A52AB8" w:rsidRDefault="00C07111" w:rsidP="00C07111">
      <w:pPr>
        <w:pStyle w:val="Note1"/>
        <w:rPr>
          <w:rFonts w:ascii="Cambria" w:hAnsi="Cambria"/>
        </w:rPr>
      </w:pPr>
      <w:r w:rsidRPr="00A52AB8">
        <w:rPr>
          <w:rFonts w:ascii="Cambria" w:hAnsi="Cambria"/>
        </w:rPr>
        <w:t>NOTE – An application may wish to limit the value of the variable MaxNumRectangles and MaxNumObjectsPerRectangle so as to constrain the required memory.</w:t>
      </w:r>
    </w:p>
    <w:p w14:paraId="68B0AF89" w14:textId="77777777" w:rsidR="0050235C" w:rsidRPr="00A52AB8" w:rsidRDefault="00C07111" w:rsidP="00C07111">
      <w:r w:rsidRPr="00A52AB8">
        <w:t>At the start of each sequence,</w:t>
      </w:r>
    </w:p>
    <w:p w14:paraId="5DEFA0A8" w14:textId="132E0CE0" w:rsidR="00C07111" w:rsidRPr="00A52AB8" w:rsidRDefault="00C07111" w:rsidP="00C07111">
      <w:pPr>
        <w:pStyle w:val="ListParagraph"/>
        <w:numPr>
          <w:ilvl w:val="0"/>
          <w:numId w:val="409"/>
        </w:numPr>
        <w:ind w:leftChars="0"/>
      </w:pPr>
      <w:r w:rsidRPr="00A52AB8">
        <w:t xml:space="preserve">the 1D arrays VriBoundingBoxTop, VriBoundingBoxLeft, VriBoundingBoxWidth, </w:t>
      </w:r>
      <w:bookmarkStart w:id="5629" w:name="_Hlk50326616"/>
      <w:r w:rsidRPr="00A52AB8">
        <w:t>Vri</w:t>
      </w:r>
      <w:bookmarkEnd w:id="5629"/>
      <w:r w:rsidRPr="00A52AB8">
        <w:t>BoundingBoxHeight, and VriNumberOfObjects, of size MaxNumRectangles,</w:t>
      </w:r>
    </w:p>
    <w:p w14:paraId="4CF32812" w14:textId="3DE04D1F" w:rsidR="00C07111" w:rsidRPr="00A52AB8" w:rsidRDefault="00C07111" w:rsidP="00C07111">
      <w:pPr>
        <w:pStyle w:val="ListParagraph"/>
        <w:numPr>
          <w:ilvl w:val="0"/>
          <w:numId w:val="409"/>
        </w:numPr>
        <w:ind w:leftChars="0"/>
      </w:pPr>
      <w:r w:rsidRPr="00A52AB8">
        <w:t>the 2D array VriObjectIndex, of size MaxNumRectangles × MaxNumObjectsPerRectangle,</w:t>
      </w:r>
    </w:p>
    <w:p w14:paraId="2755089E" w14:textId="77777777" w:rsidR="00C07111" w:rsidRPr="00A52AB8" w:rsidRDefault="00C07111" w:rsidP="00C07111">
      <w:r w:rsidRPr="00A52AB8">
        <w:t>are initialized as follows:</w:t>
      </w:r>
    </w:p>
    <w:p w14:paraId="04385338" w14:textId="113A3545" w:rsidR="00C07111" w:rsidRPr="00A52AB8" w:rsidRDefault="00C07111" w:rsidP="00C07111">
      <w:r w:rsidRPr="00A52AB8">
        <w:tab/>
        <w:t>for ( i</w:t>
      </w:r>
      <w:r w:rsidR="00D47707" w:rsidRPr="00A52AB8">
        <w:t> = </w:t>
      </w:r>
      <w:r w:rsidRPr="00A52AB8">
        <w:t>0; i &lt; MaxNumRectangles; i++ </w:t>
      </w:r>
      <w:r w:rsidR="008F1F82" w:rsidRPr="00A52AB8">
        <w:t>) {</w:t>
      </w:r>
      <w:r w:rsidRPr="00A52AB8">
        <w:t xml:space="preserve"> </w:t>
      </w:r>
      <w:r w:rsidRPr="00A52AB8">
        <w:br/>
      </w:r>
      <w:r w:rsidRPr="00A52AB8">
        <w:tab/>
      </w:r>
      <w:r w:rsidRPr="00A52AB8">
        <w:tab/>
        <w:t>RectangleInit( i )</w:t>
      </w:r>
      <w:r w:rsidRPr="00A52AB8">
        <w:br/>
      </w:r>
      <w:r w:rsidRPr="00A52AB8">
        <w:tab/>
        <w:t>}</w:t>
      </w:r>
    </w:p>
    <w:p w14:paraId="7FDD3932" w14:textId="020E82CE" w:rsidR="00C07111" w:rsidRPr="00A52AB8" w:rsidRDefault="00C07111" w:rsidP="00C07111">
      <w:r w:rsidRPr="00A52AB8">
        <w:t xml:space="preserve">where the function </w:t>
      </w:r>
      <w:r w:rsidR="00D115AF" w:rsidRPr="00A52AB8">
        <w:t>RectangleInit</w:t>
      </w:r>
      <w:r w:rsidRPr="00A52AB8">
        <w:t>( ) is defined in the subclause </w:t>
      </w:r>
      <w:r w:rsidR="00D115AF" w:rsidRPr="00496A4D">
        <w:fldChar w:fldCharType="begin"/>
      </w:r>
      <w:r w:rsidR="00D115AF" w:rsidRPr="00A52AB8">
        <w:instrText xml:space="preserve"> REF _Ref50326930 \r \h </w:instrText>
      </w:r>
      <w:r w:rsidR="00007BE2" w:rsidRPr="00A52AB8">
        <w:instrText xml:space="preserve"> \* MERGEFORMAT </w:instrText>
      </w:r>
      <w:r w:rsidR="00D115AF" w:rsidRPr="00496A4D">
        <w:fldChar w:fldCharType="separate"/>
      </w:r>
      <w:r w:rsidR="00507A67">
        <w:t>F.3.12.4.2</w:t>
      </w:r>
      <w:r w:rsidR="00D115AF" w:rsidRPr="00496A4D">
        <w:fldChar w:fldCharType="end"/>
      </w:r>
      <w:r w:rsidRPr="00A52AB8">
        <w:t>.</w:t>
      </w:r>
    </w:p>
    <w:p w14:paraId="0A14D9B1" w14:textId="12E35EAD" w:rsidR="00B24111" w:rsidRPr="00A52AB8" w:rsidRDefault="00B24111" w:rsidP="00B24111">
      <w:pPr>
        <w:rPr>
          <w:lang w:eastAsia="ja-JP"/>
        </w:rPr>
      </w:pPr>
      <w:r w:rsidRPr="00A52AB8">
        <w:rPr>
          <w:b/>
          <w:bCs/>
          <w:lang w:eastAsia="ja-JP"/>
        </w:rPr>
        <w:t xml:space="preserve">vri_persistence_flag </w:t>
      </w:r>
      <w:r w:rsidRPr="00A52AB8">
        <w:rPr>
          <w:lang w:eastAsia="ja-JP"/>
        </w:rPr>
        <w:t>specifies the persistence of the volumetric rectangle information SEI message for the current layer.</w:t>
      </w:r>
      <w:r w:rsidR="009453BF" w:rsidRPr="00A52AB8">
        <w:rPr>
          <w:lang w:eastAsia="ja-JP"/>
        </w:rPr>
        <w:t xml:space="preserve"> </w:t>
      </w:r>
      <w:r w:rsidRPr="00A52AB8">
        <w:rPr>
          <w:lang w:eastAsia="ja-JP"/>
        </w:rPr>
        <w:t>vri_persistence_flag equal to 0 specifies that the volumetric rectangle information SEI message applies to the current decoded atlas frame only.</w:t>
      </w:r>
    </w:p>
    <w:p w14:paraId="5CF01AFD" w14:textId="77777777" w:rsidR="00B24111" w:rsidRPr="00A52AB8" w:rsidRDefault="00B24111" w:rsidP="00B24111">
      <w:pPr>
        <w:rPr>
          <w:lang w:eastAsia="ja-JP"/>
        </w:rPr>
      </w:pPr>
      <w:r w:rsidRPr="00A52AB8">
        <w:rPr>
          <w:lang w:eastAsia="ja-JP"/>
        </w:rPr>
        <w:t>Let aFrmA be the current atlas frame. vri_persistence_flag equal to 1 specifies that the volumetric rectangle information SEI message persists for the current layer in output order until any of the following conditions are true:</w:t>
      </w:r>
    </w:p>
    <w:p w14:paraId="024844E4" w14:textId="6253413A" w:rsidR="00B24111" w:rsidRPr="00A52AB8" w:rsidRDefault="00E778B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new CAS begins.</w:t>
      </w:r>
    </w:p>
    <w:p w14:paraId="29877E4D" w14:textId="77777777" w:rsidR="00B24111" w:rsidRPr="00A52AB8" w:rsidRDefault="00B24111"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The bitstream ends.</w:t>
      </w:r>
    </w:p>
    <w:p w14:paraId="4603B0BB" w14:textId="23DF6B4D" w:rsidR="00545C89" w:rsidRPr="00A52AB8" w:rsidRDefault="00545C89"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An atlas frame aFrmB in the current layer in a coded atlas access unit containing a volumetric rectangle information SEI message with the same value of vri_persistence_flag and applicable to the current layer is output for which AtlasFrmOrderCnt( aFrmB ) is greater than AtlasFrmOrderCnt( aFrmA ), where AtlasFrmOrderCnt( aFrmB ) and AtlasFrmOrderCnt( aFrmA ) are the AtlasFrmOrderCntVal values of aFrmB and aFrmA, respectively, immediately after the invocation of the decoding process for atlas frame order count for aFrmB.</w:t>
      </w:r>
    </w:p>
    <w:p w14:paraId="7151A313" w14:textId="06A111C5" w:rsidR="00D115AF" w:rsidRPr="00A52AB8" w:rsidRDefault="00887F88">
      <w:r w:rsidRPr="00A52AB8">
        <w:rPr>
          <w:rFonts w:eastAsia="Malgun Gothic"/>
          <w:b/>
          <w:bCs/>
        </w:rPr>
        <w:t>vri_</w:t>
      </w:r>
      <w:r w:rsidR="004728B6" w:rsidRPr="00A52AB8">
        <w:rPr>
          <w:rFonts w:eastAsia="Malgun Gothic"/>
          <w:b/>
          <w:bCs/>
        </w:rPr>
        <w:t>reset</w:t>
      </w:r>
      <w:r w:rsidRPr="00A52AB8">
        <w:rPr>
          <w:rFonts w:eastAsia="Malgun Gothic"/>
          <w:b/>
          <w:bCs/>
        </w:rPr>
        <w:t>_flag</w:t>
      </w:r>
      <w:r w:rsidRPr="00A52AB8">
        <w:t xml:space="preserve"> </w:t>
      </w:r>
      <w:r w:rsidR="004728B6" w:rsidRPr="00A52AB8">
        <w:t>equal to 1 indicates that all entries in the volumetric rectangle information table</w:t>
      </w:r>
      <w:r w:rsidR="00E45831" w:rsidRPr="00A52AB8">
        <w:t xml:space="preserve"> of the current atlas with atlas ID </w:t>
      </w:r>
      <w:r w:rsidR="00E45831" w:rsidRPr="00A52AB8">
        <w:rPr>
          <w:color w:val="000000" w:themeColor="text1"/>
        </w:rPr>
        <w:t>SeiAtlasID</w:t>
      </w:r>
      <w:r w:rsidR="004728B6" w:rsidRPr="00A52AB8">
        <w:t xml:space="preserve"> shall be </w:t>
      </w:r>
      <w:r w:rsidR="00E45831" w:rsidRPr="00A52AB8">
        <w:t xml:space="preserve">initialized </w:t>
      </w:r>
      <w:r w:rsidR="00D115AF" w:rsidRPr="00A52AB8">
        <w:t>as follows:</w:t>
      </w:r>
    </w:p>
    <w:p w14:paraId="254D9AF6" w14:textId="68BFA5F1" w:rsidR="00D115AF" w:rsidRPr="00A52AB8" w:rsidRDefault="00D115AF" w:rsidP="00D115AF">
      <w:r w:rsidRPr="00A52AB8">
        <w:tab/>
        <w:t>for ( i</w:t>
      </w:r>
      <w:r w:rsidR="00D47707" w:rsidRPr="00A52AB8">
        <w:t> = </w:t>
      </w:r>
      <w:r w:rsidRPr="00A52AB8">
        <w:t>0; i &lt; MaxNumRectangles; i++ </w:t>
      </w:r>
      <w:r w:rsidR="008F1F82" w:rsidRPr="00A52AB8">
        <w:t>) {</w:t>
      </w:r>
      <w:r w:rsidRPr="00A52AB8">
        <w:t xml:space="preserve"> </w:t>
      </w:r>
      <w:r w:rsidRPr="00A52AB8">
        <w:br/>
      </w:r>
      <w:r w:rsidRPr="00A52AB8">
        <w:tab/>
      </w:r>
      <w:r w:rsidRPr="00A52AB8">
        <w:tab/>
        <w:t>RectangleInit( i )</w:t>
      </w:r>
      <w:r w:rsidRPr="00A52AB8">
        <w:br/>
      </w:r>
      <w:r w:rsidRPr="00A52AB8">
        <w:tab/>
        <w:t>}</w:t>
      </w:r>
    </w:p>
    <w:p w14:paraId="6144D948" w14:textId="5A83F20C" w:rsidR="00887F88" w:rsidRPr="00A52AB8" w:rsidRDefault="00887F88">
      <w:pPr>
        <w:rPr>
          <w:b/>
        </w:rPr>
      </w:pPr>
      <w:r w:rsidRPr="00A52AB8">
        <w:rPr>
          <w:b/>
          <w:bCs/>
        </w:rPr>
        <w:t>vri_num_rectangles_updates</w:t>
      </w:r>
      <w:r w:rsidRPr="00A52AB8">
        <w:rPr>
          <w:bCs/>
        </w:rPr>
        <w:t xml:space="preserve"> indicates the number of volumetric rectangles that are to be updated by the current SEI</w:t>
      </w:r>
      <w:r w:rsidR="00701E3E" w:rsidRPr="00A52AB8">
        <w:rPr>
          <w:bCs/>
        </w:rPr>
        <w:t xml:space="preserve"> message</w:t>
      </w:r>
      <w:r w:rsidRPr="00A52AB8">
        <w:rPr>
          <w:bCs/>
        </w:rPr>
        <w:t>.</w:t>
      </w:r>
      <w:r w:rsidR="00033A22" w:rsidRPr="00A52AB8">
        <w:rPr>
          <w:bCs/>
        </w:rPr>
        <w:t xml:space="preserve"> The value of </w:t>
      </w:r>
      <w:r w:rsidR="003C2649" w:rsidRPr="00A52AB8">
        <w:rPr>
          <w:bCs/>
        </w:rPr>
        <w:t>vri_num_rectangles_updates</w:t>
      </w:r>
      <w:r w:rsidR="00033A22" w:rsidRPr="00A52AB8">
        <w:rPr>
          <w:bCs/>
        </w:rPr>
        <w:t xml:space="preserve"> shall be in the range from 0 to </w:t>
      </w:r>
      <w:r w:rsidR="00C07111" w:rsidRPr="00A52AB8">
        <w:t xml:space="preserve">MaxNumRectangles </w:t>
      </w:r>
      <w:r w:rsidR="00033A22" w:rsidRPr="00A52AB8">
        <w:rPr>
          <w:bCs/>
        </w:rPr>
        <w:t>, inclusive.</w:t>
      </w:r>
    </w:p>
    <w:p w14:paraId="29507F4A" w14:textId="348F0C8A" w:rsidR="00887F88" w:rsidRPr="00A52AB8" w:rsidRDefault="00887F88">
      <w:r w:rsidRPr="00A52AB8">
        <w:rPr>
          <w:b/>
          <w:bCs/>
        </w:rPr>
        <w:t>vri_log2_max_object_idx_</w:t>
      </w:r>
      <w:r w:rsidR="0094440D" w:rsidRPr="00A52AB8">
        <w:rPr>
          <w:b/>
          <w:bCs/>
        </w:rPr>
        <w:t>tracked</w:t>
      </w:r>
      <w:r w:rsidR="00613F98" w:rsidRPr="00A52AB8">
        <w:rPr>
          <w:b/>
          <w:bCs/>
        </w:rPr>
        <w:t xml:space="preserve">_minus1 </w:t>
      </w:r>
      <w:r w:rsidR="00613F98" w:rsidRPr="00A52AB8">
        <w:t>plus 1</w:t>
      </w:r>
      <w:r w:rsidRPr="00A52AB8">
        <w:rPr>
          <w:b/>
          <w:bCs/>
        </w:rPr>
        <w:t xml:space="preserve"> </w:t>
      </w:r>
      <w:r w:rsidRPr="00A52AB8">
        <w:t>specifies the number of bits used to signal the value of a tracked object index in the current volumetric rectangle information SEI message.</w:t>
      </w:r>
    </w:p>
    <w:p w14:paraId="10301573" w14:textId="0AA5CD8D" w:rsidR="00887F88" w:rsidRPr="00A52AB8" w:rsidRDefault="00887F88">
      <w:pPr>
        <w:rPr>
          <w:b/>
          <w:bCs/>
        </w:rPr>
      </w:pPr>
      <w:r w:rsidRPr="00A52AB8">
        <w:rPr>
          <w:b/>
          <w:bCs/>
        </w:rPr>
        <w:t>vri_log2_max_rectangle_idx_updated</w:t>
      </w:r>
      <w:r w:rsidR="00EA7AF7" w:rsidRPr="00A52AB8">
        <w:rPr>
          <w:b/>
          <w:bCs/>
        </w:rPr>
        <w:t xml:space="preserve">_minus1 </w:t>
      </w:r>
      <w:r w:rsidR="00EA7AF7" w:rsidRPr="00A52AB8">
        <w:t>plus 1</w:t>
      </w:r>
      <w:r w:rsidRPr="00A52AB8">
        <w:rPr>
          <w:b/>
          <w:bCs/>
        </w:rPr>
        <w:t xml:space="preserve"> </w:t>
      </w:r>
      <w:r w:rsidRPr="00A52AB8">
        <w:t>specifies the number of bits used to signal the value of an updated volumetric rectangle index in the current volumetric rectangle information SEI message.</w:t>
      </w:r>
    </w:p>
    <w:p w14:paraId="1FB38EE8" w14:textId="12B2FDEE" w:rsidR="00887F88" w:rsidRPr="00A52AB8" w:rsidRDefault="00887F88">
      <w:r w:rsidRPr="00A52AB8">
        <w:rPr>
          <w:b/>
          <w:bCs/>
        </w:rPr>
        <w:t>vri_rectangle_idx</w:t>
      </w:r>
      <w:r w:rsidR="001F4484" w:rsidRPr="00A52AB8">
        <w:t>[ i ]</w:t>
      </w:r>
      <w:r w:rsidRPr="00A52AB8">
        <w:rPr>
          <w:b/>
          <w:bCs/>
        </w:rPr>
        <w:t xml:space="preserve"> </w:t>
      </w:r>
      <w:r w:rsidRPr="00A52AB8">
        <w:t>indicates the i-th volumetric rectangle index that is to be updated in the volumetric rectangle information table. The number of bits used to represent vri_rectangle_idx</w:t>
      </w:r>
      <w:r w:rsidR="001F4484" w:rsidRPr="00A52AB8">
        <w:t>[ i ]</w:t>
      </w:r>
      <w:r w:rsidRPr="00A52AB8">
        <w:t xml:space="preserve"> is equal to </w:t>
      </w:r>
      <w:r w:rsidR="0034668F" w:rsidRPr="00A52AB8">
        <w:t>( </w:t>
      </w:r>
      <w:r w:rsidRPr="00A52AB8">
        <w:t>vri_log2_max_rectangle_idx_updated</w:t>
      </w:r>
      <w:r w:rsidR="00EA7AF7" w:rsidRPr="00A52AB8">
        <w:t>_minus1</w:t>
      </w:r>
      <w:r w:rsidR="0034668F" w:rsidRPr="00A52AB8">
        <w:t> + 1 )</w:t>
      </w:r>
      <w:r w:rsidRPr="00A52AB8">
        <w:t>.</w:t>
      </w:r>
    </w:p>
    <w:p w14:paraId="467E219D" w14:textId="54E75146" w:rsidR="00887F88" w:rsidRPr="00A52AB8" w:rsidRDefault="00887F88">
      <w:r w:rsidRPr="00A52AB8">
        <w:rPr>
          <w:b/>
          <w:bCs/>
        </w:rPr>
        <w:t>vri_rectangle_cancel_flag</w:t>
      </w:r>
      <w:r w:rsidR="001F4484" w:rsidRPr="00A52AB8">
        <w:t>[ i ]</w:t>
      </w:r>
      <w:r w:rsidRPr="00A52AB8">
        <w:rPr>
          <w:b/>
          <w:bCs/>
        </w:rPr>
        <w:t xml:space="preserve"> </w:t>
      </w:r>
      <w:r w:rsidRPr="00A52AB8">
        <w:t>equal to 1 indicates that the volumetric rectangle with index i shall be removed from the volumetric rectangle information table</w:t>
      </w:r>
      <w:r w:rsidR="00D115AF" w:rsidRPr="00A52AB8">
        <w:t xml:space="preserve"> by invoking the function RectangleInit( i )</w:t>
      </w:r>
      <w:r w:rsidRPr="00A52AB8">
        <w:t>.</w:t>
      </w:r>
    </w:p>
    <w:p w14:paraId="6FDC5AE0" w14:textId="77C43D91" w:rsidR="00887F88" w:rsidRPr="00A52AB8" w:rsidRDefault="00887F88">
      <w:pPr>
        <w:rPr>
          <w:b/>
        </w:rPr>
      </w:pPr>
      <w:r w:rsidRPr="00A52AB8">
        <w:rPr>
          <w:b/>
          <w:bCs/>
        </w:rPr>
        <w:t>vri_</w:t>
      </w:r>
      <w:r w:rsidRPr="00A52AB8">
        <w:rPr>
          <w:b/>
        </w:rPr>
        <w:t>bounding_box_update_flag</w:t>
      </w:r>
      <w:r w:rsidR="001F4484" w:rsidRPr="00A52AB8">
        <w:t>[ i ]</w:t>
      </w:r>
      <w:r w:rsidRPr="00A52AB8">
        <w:t xml:space="preserve"> equal to 1 indicates that 2D bounding box information for the volumetric rectangle with index i should be updated. </w:t>
      </w:r>
      <w:r w:rsidRPr="00A52AB8">
        <w:rPr>
          <w:bCs/>
        </w:rPr>
        <w:t>v</w:t>
      </w:r>
      <w:r w:rsidR="009453BF" w:rsidRPr="00A52AB8">
        <w:rPr>
          <w:bCs/>
        </w:rPr>
        <w:t>r</w:t>
      </w:r>
      <w:r w:rsidRPr="00A52AB8">
        <w:rPr>
          <w:bCs/>
        </w:rPr>
        <w:t>i_bounding_box_update_flag</w:t>
      </w:r>
      <w:r w:rsidR="001F4484" w:rsidRPr="00A52AB8">
        <w:rPr>
          <w:bCs/>
        </w:rPr>
        <w:t>[ i ]</w:t>
      </w:r>
      <w:r w:rsidRPr="00A52AB8">
        <w:rPr>
          <w:bCs/>
        </w:rPr>
        <w:t xml:space="preserve"> equal to 0 indicates that 2D bounding box information for the volumetric rectangle with index i should not be updated.</w:t>
      </w:r>
    </w:p>
    <w:p w14:paraId="73973138" w14:textId="2B097ED5" w:rsidR="00887F88" w:rsidRPr="00A52AB8" w:rsidRDefault="00887F88">
      <w:pPr>
        <w:rPr>
          <w:b/>
        </w:rPr>
      </w:pPr>
      <w:r w:rsidRPr="00A52AB8">
        <w:rPr>
          <w:b/>
          <w:bCs/>
        </w:rPr>
        <w:t>vri</w:t>
      </w:r>
      <w:r w:rsidRPr="00A52AB8">
        <w:rPr>
          <w:b/>
        </w:rPr>
        <w:t>_</w:t>
      </w:r>
      <w:r w:rsidRPr="00A52AB8">
        <w:rPr>
          <w:b/>
          <w:bCs/>
        </w:rPr>
        <w:t>bounding_box_top</w:t>
      </w:r>
      <w:r w:rsidR="001F4484" w:rsidRPr="00A52AB8">
        <w:t>[ i ]</w:t>
      </w:r>
      <w:r w:rsidRPr="00A52AB8">
        <w:rPr>
          <w:bCs/>
        </w:rPr>
        <w:t xml:space="preserve"> indicates the vertical coordinate value</w:t>
      </w:r>
      <w:r w:rsidR="00D115AF" w:rsidRPr="00A52AB8">
        <w:rPr>
          <w:bCs/>
        </w:rPr>
        <w:t xml:space="preserve">, </w:t>
      </w:r>
      <w:r w:rsidR="00D115AF" w:rsidRPr="00A52AB8">
        <w:t>VriBoundingBoxTop[ i ],</w:t>
      </w:r>
      <w:r w:rsidRPr="00A52AB8">
        <w:rPr>
          <w:bCs/>
        </w:rPr>
        <w:t xml:space="preserve"> of the top-left position of the bounding box of the i-th volumetric rectangle within the current atlas frame. The default value of vri_bounding_box_top</w:t>
      </w:r>
      <w:r w:rsidR="001F4484" w:rsidRPr="00A52AB8">
        <w:rPr>
          <w:bCs/>
        </w:rPr>
        <w:t>[ i ]</w:t>
      </w:r>
      <w:r w:rsidRPr="00A52AB8">
        <w:rPr>
          <w:bCs/>
        </w:rPr>
        <w:t xml:space="preserve"> is equal to 0.</w:t>
      </w:r>
    </w:p>
    <w:p w14:paraId="0A481647" w14:textId="46B955C7" w:rsidR="00887F88" w:rsidRPr="00A52AB8" w:rsidRDefault="00887F88">
      <w:r w:rsidRPr="00A52AB8">
        <w:rPr>
          <w:b/>
          <w:bCs/>
        </w:rPr>
        <w:t>vri_bounding_box_left</w:t>
      </w:r>
      <w:r w:rsidR="001F4484" w:rsidRPr="00A52AB8">
        <w:t>[ i ]</w:t>
      </w:r>
      <w:r w:rsidRPr="00A52AB8">
        <w:rPr>
          <w:b/>
          <w:bCs/>
        </w:rPr>
        <w:t xml:space="preserve"> </w:t>
      </w:r>
      <w:r w:rsidRPr="00A52AB8">
        <w:t>indicates the horizonal coordinate value</w:t>
      </w:r>
      <w:r w:rsidR="00D115AF" w:rsidRPr="00A52AB8">
        <w:t>, VriBoundingBoxLeft[ i ],</w:t>
      </w:r>
      <w:r w:rsidRPr="00A52AB8">
        <w:t xml:space="preserve"> of the top-left position of the bounding box of the i-th volumetric rectangle within the current atlas frame. The default value of vri_bounding_box_left</w:t>
      </w:r>
      <w:r w:rsidR="001F4484" w:rsidRPr="00A52AB8">
        <w:t>[ i ]</w:t>
      </w:r>
      <w:r w:rsidRPr="00A52AB8">
        <w:t xml:space="preserve"> is equal to 0.</w:t>
      </w:r>
    </w:p>
    <w:p w14:paraId="0A8B48AF" w14:textId="3BFBD223" w:rsidR="00887F88" w:rsidRPr="00A52AB8" w:rsidRDefault="00887F88">
      <w:r w:rsidRPr="00A52AB8">
        <w:rPr>
          <w:b/>
          <w:bCs/>
        </w:rPr>
        <w:t>vri_bounding_box_width</w:t>
      </w:r>
      <w:r w:rsidR="001F4484" w:rsidRPr="00A52AB8">
        <w:t>[ i ]</w:t>
      </w:r>
      <w:r w:rsidRPr="00A52AB8">
        <w:rPr>
          <w:b/>
          <w:bCs/>
        </w:rPr>
        <w:t xml:space="preserve"> </w:t>
      </w:r>
      <w:r w:rsidRPr="00A52AB8">
        <w:t>indicates the width of the bounding box</w:t>
      </w:r>
      <w:r w:rsidR="00D115AF" w:rsidRPr="00A52AB8">
        <w:t>, VriBoundingBoxWidth[ i ],</w:t>
      </w:r>
      <w:r w:rsidRPr="00A52AB8">
        <w:t xml:space="preserve"> of the i-th volumetric rectangle. The default value of vri_bounding_box_width</w:t>
      </w:r>
      <w:r w:rsidR="001F4484" w:rsidRPr="00A52AB8">
        <w:t>[ i ]</w:t>
      </w:r>
      <w:r w:rsidRPr="00A52AB8">
        <w:t xml:space="preserve"> is equal to 0.</w:t>
      </w:r>
    </w:p>
    <w:p w14:paraId="1C701F78" w14:textId="279FE408" w:rsidR="00887F88" w:rsidRPr="00A52AB8" w:rsidRDefault="00887F88">
      <w:r w:rsidRPr="00A52AB8">
        <w:rPr>
          <w:b/>
          <w:bCs/>
        </w:rPr>
        <w:t>vri_bounding_box_height</w:t>
      </w:r>
      <w:r w:rsidR="001F4484" w:rsidRPr="00A52AB8">
        <w:t>[ i ]</w:t>
      </w:r>
      <w:r w:rsidRPr="00A52AB8">
        <w:rPr>
          <w:b/>
          <w:bCs/>
        </w:rPr>
        <w:t xml:space="preserve"> </w:t>
      </w:r>
      <w:r w:rsidRPr="00A52AB8">
        <w:t>indicates the height of the bounding box</w:t>
      </w:r>
      <w:r w:rsidR="00D115AF" w:rsidRPr="00A52AB8">
        <w:t>, VriBoundingBoxHeight[ i ],</w:t>
      </w:r>
      <w:r w:rsidRPr="00A52AB8">
        <w:t xml:space="preserve"> of the i-th volumetric rectangle. The default value of vri_bounding_box_height</w:t>
      </w:r>
      <w:r w:rsidR="001F4484" w:rsidRPr="00A52AB8">
        <w:t>[ i ]</w:t>
      </w:r>
      <w:r w:rsidRPr="00A52AB8">
        <w:t xml:space="preserve"> is equal to 0.</w:t>
      </w:r>
    </w:p>
    <w:p w14:paraId="1473F36C" w14:textId="022E54AC" w:rsidR="00887F88" w:rsidRPr="00A52AB8" w:rsidRDefault="00887F88">
      <w:r w:rsidRPr="00A52AB8">
        <w:rPr>
          <w:b/>
          <w:bCs/>
        </w:rPr>
        <w:t>vri_rectangle_number_of_objects_minus1</w:t>
      </w:r>
      <w:r w:rsidR="001F4484" w:rsidRPr="00A52AB8">
        <w:t>[ i ]</w:t>
      </w:r>
      <w:r w:rsidRPr="00A52AB8">
        <w:rPr>
          <w:b/>
          <w:bCs/>
        </w:rPr>
        <w:t xml:space="preserve"> </w:t>
      </w:r>
      <w:r w:rsidR="004818D2" w:rsidRPr="00A52AB8">
        <w:t xml:space="preserve">plus 1 </w:t>
      </w:r>
      <w:r w:rsidRPr="00A52AB8">
        <w:t>indicates the number of objects</w:t>
      </w:r>
      <w:r w:rsidR="00D115AF" w:rsidRPr="00A52AB8">
        <w:t>, VriNumberOfObjects[ i ],</w:t>
      </w:r>
      <w:r w:rsidRPr="00A52AB8">
        <w:t xml:space="preserve"> that are to be associated with the i-th volumetric rectangle.</w:t>
      </w:r>
      <w:r w:rsidR="00415AAE" w:rsidRPr="00A52AB8">
        <w:t xml:space="preserve"> </w:t>
      </w:r>
      <w:r w:rsidR="00415AAE" w:rsidRPr="00A52AB8">
        <w:rPr>
          <w:bCs/>
        </w:rPr>
        <w:t xml:space="preserve">The value of </w:t>
      </w:r>
      <w:r w:rsidR="004D4762" w:rsidRPr="00A52AB8">
        <w:rPr>
          <w:bCs/>
        </w:rPr>
        <w:t xml:space="preserve">vri_rectangle_number_of_objects_minus1[ i ] </w:t>
      </w:r>
      <w:r w:rsidR="00415AAE" w:rsidRPr="00A52AB8">
        <w:rPr>
          <w:bCs/>
        </w:rPr>
        <w:t xml:space="preserve">shall be in the range from 0 to </w:t>
      </w:r>
      <w:r w:rsidR="00C07111" w:rsidRPr="00A52AB8">
        <w:t>MaxNumObjectsPerRectangle</w:t>
      </w:r>
      <w:r w:rsidR="00415AAE" w:rsidRPr="00A52AB8">
        <w:rPr>
          <w:bCs/>
        </w:rPr>
        <w:t> – </w:t>
      </w:r>
      <w:r w:rsidR="00C07111" w:rsidRPr="00A52AB8">
        <w:rPr>
          <w:bCs/>
        </w:rPr>
        <w:t>1</w:t>
      </w:r>
      <w:r w:rsidR="00415AAE" w:rsidRPr="00A52AB8">
        <w:rPr>
          <w:bCs/>
        </w:rPr>
        <w:t>, inclusive.</w:t>
      </w:r>
    </w:p>
    <w:p w14:paraId="3F4E2BE2" w14:textId="48ACE29D" w:rsidR="00887F88" w:rsidRPr="00A52AB8" w:rsidRDefault="00887F88" w:rsidP="007656E5">
      <w:r w:rsidRPr="00A52AB8">
        <w:rPr>
          <w:b/>
          <w:bCs/>
        </w:rPr>
        <w:t>vri_rectangle_object_idx</w:t>
      </w:r>
      <w:r w:rsidR="001F4484" w:rsidRPr="00A52AB8">
        <w:t>[ i ][ j ]</w:t>
      </w:r>
      <w:r w:rsidRPr="00A52AB8">
        <w:t xml:space="preserve"> indicates the j-th object index that is associated with the i-th </w:t>
      </w:r>
      <w:r w:rsidRPr="00A52AB8">
        <w:rPr>
          <w:bCs/>
        </w:rPr>
        <w:t>volumetric rectangle</w:t>
      </w:r>
      <w:r w:rsidR="00D115AF" w:rsidRPr="00A52AB8">
        <w:t>, VriObjectIndex[ i ][ j ]</w:t>
      </w:r>
      <w:r w:rsidRPr="00A52AB8">
        <w:rPr>
          <w:bCs/>
        </w:rPr>
        <w:t xml:space="preserve">. The number of bits used to represent </w:t>
      </w:r>
      <w:r w:rsidRPr="00A52AB8">
        <w:t>vri_rectangle_object_idx</w:t>
      </w:r>
      <w:r w:rsidR="001F4484" w:rsidRPr="00A52AB8">
        <w:rPr>
          <w:bCs/>
        </w:rPr>
        <w:t>[ i ]</w:t>
      </w:r>
      <w:r w:rsidRPr="00A52AB8">
        <w:rPr>
          <w:bCs/>
        </w:rPr>
        <w:t xml:space="preserve"> is equal to </w:t>
      </w:r>
      <w:r w:rsidRPr="00A52AB8">
        <w:t>vri_log2_max_object_idx_tracked</w:t>
      </w:r>
      <w:r w:rsidR="00613F98" w:rsidRPr="00A52AB8">
        <w:t>_minus1 + 1</w:t>
      </w:r>
      <w:r w:rsidRPr="00A52AB8">
        <w:rPr>
          <w:bCs/>
        </w:rPr>
        <w:t>.</w:t>
      </w:r>
    </w:p>
    <w:p w14:paraId="6893D723" w14:textId="5CB0A494" w:rsidR="00C07111" w:rsidRPr="00A52AB8" w:rsidRDefault="00C07111" w:rsidP="00EE3D19">
      <w:pPr>
        <w:pStyle w:val="a4"/>
        <w:numPr>
          <w:ilvl w:val="4"/>
          <w:numId w:val="19"/>
        </w:numPr>
        <w:tabs>
          <w:tab w:val="clear" w:pos="7200"/>
        </w:tabs>
        <w:outlineLvl w:val="4"/>
      </w:pPr>
      <w:bookmarkStart w:id="5630" w:name="_Ref50326930"/>
      <w:r w:rsidRPr="00A52AB8">
        <w:t>Rectangle initialization</w:t>
      </w:r>
      <w:bookmarkEnd w:id="5630"/>
    </w:p>
    <w:p w14:paraId="4F23F675" w14:textId="2A967531" w:rsidR="00C07111" w:rsidRPr="00A52AB8" w:rsidRDefault="00C07111" w:rsidP="00C07111">
      <w:pPr>
        <w:rPr>
          <w:color w:val="000000" w:themeColor="text1"/>
        </w:rPr>
      </w:pPr>
      <w:r w:rsidRPr="00A52AB8">
        <w:rPr>
          <w:color w:val="000000" w:themeColor="text1"/>
        </w:rPr>
        <w:t>Let the function RectangleInit( i ) be defined as follows:</w:t>
      </w:r>
    </w:p>
    <w:p w14:paraId="41652751" w14:textId="6ED37B0B" w:rsidR="00C07111" w:rsidRPr="00A52AB8" w:rsidRDefault="00C07111" w:rsidP="007656E5">
      <w:r w:rsidRPr="00A52AB8">
        <w:tab/>
      </w:r>
      <w:r w:rsidRPr="00A52AB8">
        <w:rPr>
          <w:color w:val="000000" w:themeColor="text1"/>
        </w:rPr>
        <w:t>RectangleInit</w:t>
      </w:r>
      <w:r w:rsidRPr="00A52AB8">
        <w:t>( i </w:t>
      </w:r>
      <w:r w:rsidR="008F1F82" w:rsidRPr="00A52AB8">
        <w:t>) {</w:t>
      </w:r>
      <w:r w:rsidRPr="00A52AB8">
        <w:br/>
      </w:r>
      <w:r w:rsidRPr="00A52AB8">
        <w:tab/>
      </w:r>
      <w:r w:rsidRPr="00A52AB8">
        <w:tab/>
        <w:t>VriBoundingBoxTop[ i ]</w:t>
      </w:r>
      <w:r w:rsidR="00D47707" w:rsidRPr="00A52AB8">
        <w:t> = </w:t>
      </w:r>
      <w:r w:rsidRPr="00A52AB8">
        <w:t>0</w:t>
      </w:r>
      <w:r w:rsidRPr="00A52AB8">
        <w:br/>
      </w:r>
      <w:r w:rsidRPr="00A52AB8">
        <w:tab/>
      </w:r>
      <w:r w:rsidRPr="00A52AB8">
        <w:tab/>
        <w:t>VriBoundingBoxLeft[ i ]</w:t>
      </w:r>
      <w:r w:rsidR="00D47707" w:rsidRPr="00A52AB8">
        <w:t> = </w:t>
      </w:r>
      <w:r w:rsidRPr="00A52AB8">
        <w:t>0</w:t>
      </w:r>
      <w:r w:rsidRPr="00A52AB8">
        <w:br/>
      </w:r>
      <w:r w:rsidRPr="00A52AB8">
        <w:tab/>
      </w:r>
      <w:r w:rsidRPr="00A52AB8">
        <w:tab/>
        <w:t>VriBoundingBoxWidth[ i ]</w:t>
      </w:r>
      <w:r w:rsidR="00D47707" w:rsidRPr="00A52AB8">
        <w:t> = </w:t>
      </w:r>
      <w:r w:rsidRPr="00A52AB8">
        <w:t>0</w:t>
      </w:r>
      <w:r w:rsidRPr="00A52AB8">
        <w:br/>
      </w:r>
      <w:r w:rsidRPr="00A52AB8">
        <w:tab/>
      </w:r>
      <w:r w:rsidRPr="00A52AB8">
        <w:tab/>
        <w:t>VriBoundingBoxHeight[ i ]</w:t>
      </w:r>
      <w:r w:rsidR="00D47707" w:rsidRPr="00A52AB8">
        <w:t> = </w:t>
      </w:r>
      <w:r w:rsidRPr="00A52AB8">
        <w:t>0</w:t>
      </w:r>
      <w:r w:rsidRPr="00A52AB8">
        <w:br/>
      </w:r>
      <w:r w:rsidRPr="00A52AB8">
        <w:tab/>
      </w:r>
      <w:r w:rsidRPr="00A52AB8">
        <w:tab/>
        <w:t>VriNumberOfObjects[ i ]</w:t>
      </w:r>
      <w:r w:rsidR="00D47707" w:rsidRPr="00A52AB8">
        <w:t> = </w:t>
      </w:r>
      <w:r w:rsidRPr="00A52AB8">
        <w:t>0</w:t>
      </w:r>
      <w:r w:rsidRPr="00A52AB8">
        <w:br/>
      </w:r>
      <w:r w:rsidRPr="00A52AB8">
        <w:tab/>
      </w:r>
      <w:r w:rsidRPr="00A52AB8">
        <w:tab/>
        <w:t>for ( j</w:t>
      </w:r>
      <w:r w:rsidR="00D47707" w:rsidRPr="00A52AB8">
        <w:t> = </w:t>
      </w:r>
      <w:r w:rsidRPr="00A52AB8">
        <w:t>0; j &lt; MaxNumObjectsPerRectangle; j++ </w:t>
      </w:r>
      <w:r w:rsidR="008F1F82" w:rsidRPr="00A52AB8">
        <w:t>) {</w:t>
      </w:r>
      <w:r w:rsidRPr="00A52AB8">
        <w:br/>
      </w:r>
      <w:r w:rsidRPr="00A52AB8">
        <w:tab/>
      </w:r>
      <w:r w:rsidRPr="00A52AB8">
        <w:tab/>
      </w:r>
      <w:r w:rsidRPr="00A52AB8">
        <w:tab/>
        <w:t>VriObjectIndex[ i ][ j ]</w:t>
      </w:r>
      <w:r w:rsidR="00D47707" w:rsidRPr="00A52AB8">
        <w:t> = </w:t>
      </w:r>
      <w:r w:rsidRPr="00A52AB8">
        <w:t>0</w:t>
      </w:r>
      <w:r w:rsidRPr="00A52AB8">
        <w:br/>
      </w:r>
      <w:r w:rsidRPr="00A52AB8">
        <w:tab/>
      </w:r>
      <w:r w:rsidRPr="00A52AB8">
        <w:tab/>
        <w:t>}</w:t>
      </w:r>
      <w:r w:rsidRPr="00A52AB8">
        <w:br/>
      </w:r>
      <w:r w:rsidRPr="00A52AB8">
        <w:tab/>
        <w:t>}</w:t>
      </w:r>
    </w:p>
    <w:p w14:paraId="5E1CDF04" w14:textId="2C204D5D" w:rsidR="00D115AF" w:rsidRPr="00A52AB8" w:rsidRDefault="00140BAF" w:rsidP="00D451D4">
      <w:pPr>
        <w:pStyle w:val="a4"/>
        <w:numPr>
          <w:ilvl w:val="3"/>
          <w:numId w:val="19"/>
        </w:numPr>
      </w:pPr>
      <w:r w:rsidRPr="00A52AB8">
        <w:t xml:space="preserve">Atlas </w:t>
      </w:r>
      <w:r w:rsidR="0003078F" w:rsidRPr="00A52AB8">
        <w:t xml:space="preserve">object association </w:t>
      </w:r>
      <w:r w:rsidRPr="00A52AB8">
        <w:t>SEI message semantics</w:t>
      </w:r>
    </w:p>
    <w:p w14:paraId="69C2A999" w14:textId="6E44A34D" w:rsidR="00963E0E" w:rsidRPr="00A52AB8" w:rsidRDefault="006B36AC">
      <w:pPr>
        <w:rPr>
          <w:bCs/>
        </w:rPr>
      </w:pPr>
      <w:r w:rsidRPr="00A52AB8">
        <w:rPr>
          <w:bCs/>
        </w:rPr>
        <w:t>This SEI message defines a mask that indicates the mapping between objects and atlases. Objects can be contained in one or more atlases that describe a volumetric scene. Objects are defined through scene object information SEI messages.</w:t>
      </w:r>
    </w:p>
    <w:p w14:paraId="21D2DC9C" w14:textId="4BB56133" w:rsidR="0050235C" w:rsidRPr="00A52AB8" w:rsidRDefault="00D115AF" w:rsidP="00D115AF">
      <w:r w:rsidRPr="00A52AB8">
        <w:t>Let the variable MaxNumObjects</w:t>
      </w:r>
      <w:r w:rsidR="00C5794A" w:rsidRPr="00A52AB8">
        <w:t xml:space="preserve"> be </w:t>
      </w:r>
      <w:r w:rsidR="0034668F" w:rsidRPr="00A52AB8">
        <w:t xml:space="preserve">set </w:t>
      </w:r>
      <w:r w:rsidR="00C5794A" w:rsidRPr="00A52AB8">
        <w:t xml:space="preserve">equal to </w:t>
      </w:r>
      <w:r w:rsidRPr="00A52AB8">
        <w:t>2</w:t>
      </w:r>
      <w:r w:rsidR="005D71BE" w:rsidRPr="00A52AB8">
        <w:rPr>
          <w:vertAlign w:val="superscript"/>
        </w:rPr>
        <w:t>16</w:t>
      </w:r>
      <w:r w:rsidRPr="00A52AB8">
        <w:t> – 1</w:t>
      </w:r>
      <w:r w:rsidR="00C5794A" w:rsidRPr="00A52AB8">
        <w:t xml:space="preserve"> </w:t>
      </w:r>
      <w:r w:rsidRPr="00A52AB8">
        <w:t xml:space="preserve">or </w:t>
      </w:r>
      <w:r w:rsidR="0034668F" w:rsidRPr="00A52AB8">
        <w:t xml:space="preserve">a value </w:t>
      </w:r>
      <w:r w:rsidRPr="00A52AB8">
        <w:t>determined by the application in bitstreams conforming to this document.</w:t>
      </w:r>
    </w:p>
    <w:p w14:paraId="34256B9B" w14:textId="5D4B0385" w:rsidR="00D115AF" w:rsidRPr="00A52AB8" w:rsidRDefault="00D115AF" w:rsidP="00D115AF">
      <w:pPr>
        <w:pStyle w:val="Note1"/>
        <w:rPr>
          <w:rFonts w:ascii="Cambria" w:hAnsi="Cambria"/>
        </w:rPr>
      </w:pPr>
      <w:r w:rsidRPr="00A52AB8">
        <w:rPr>
          <w:rFonts w:ascii="Cambria" w:hAnsi="Cambria"/>
        </w:rPr>
        <w:t xml:space="preserve">NOTE – An application may wish to limit the value of the variable </w:t>
      </w:r>
      <w:r w:rsidR="00C5794A" w:rsidRPr="00A52AB8">
        <w:rPr>
          <w:rFonts w:ascii="Cambria" w:hAnsi="Cambria"/>
        </w:rPr>
        <w:t xml:space="preserve">MaxNumObjects </w:t>
      </w:r>
      <w:r w:rsidRPr="00A52AB8">
        <w:rPr>
          <w:rFonts w:ascii="Cambria" w:hAnsi="Cambria"/>
        </w:rPr>
        <w:t>so as to constrain the required memory.</w:t>
      </w:r>
    </w:p>
    <w:p w14:paraId="34A43B00" w14:textId="77777777" w:rsidR="0050235C" w:rsidRPr="00A52AB8" w:rsidRDefault="00D115AF" w:rsidP="00D115AF">
      <w:r w:rsidRPr="00A52AB8">
        <w:t>At the start of each sequence,</w:t>
      </w:r>
    </w:p>
    <w:p w14:paraId="7E0CD9DB" w14:textId="3166179A" w:rsidR="00D115AF" w:rsidRPr="00A52AB8" w:rsidRDefault="00D115AF" w:rsidP="00D115AF">
      <w:pPr>
        <w:pStyle w:val="ListParagraph"/>
        <w:numPr>
          <w:ilvl w:val="0"/>
          <w:numId w:val="409"/>
        </w:numPr>
        <w:ind w:leftChars="0"/>
      </w:pPr>
      <w:r w:rsidRPr="00A52AB8">
        <w:t>the 2D array ObjectIn</w:t>
      </w:r>
      <w:r w:rsidR="00C5794A" w:rsidRPr="00A52AB8">
        <w:t>Atlas</w:t>
      </w:r>
      <w:r w:rsidRPr="00A52AB8">
        <w:t xml:space="preserve">, of size </w:t>
      </w:r>
      <w:r w:rsidR="004B7AE7" w:rsidRPr="00A52AB8">
        <w:t>MaxNumObjects</w:t>
      </w:r>
      <w:r w:rsidRPr="00A52AB8">
        <w:t> × </w:t>
      </w:r>
      <w:r w:rsidR="000F6CCC" w:rsidRPr="00A52AB8">
        <w:t>64</w:t>
      </w:r>
      <w:r w:rsidRPr="00A52AB8">
        <w:t>,</w:t>
      </w:r>
    </w:p>
    <w:p w14:paraId="4E0EA9AF" w14:textId="77777777" w:rsidR="00D115AF" w:rsidRPr="00A52AB8" w:rsidRDefault="00D115AF" w:rsidP="00D115AF">
      <w:r w:rsidRPr="00A52AB8">
        <w:t>are initialized as follows:</w:t>
      </w:r>
    </w:p>
    <w:p w14:paraId="77B05474" w14:textId="0227AA12" w:rsidR="00D115AF" w:rsidRPr="00A52AB8" w:rsidRDefault="00D115AF" w:rsidP="00D115AF">
      <w:r w:rsidRPr="00A52AB8">
        <w:tab/>
        <w:t>for ( i</w:t>
      </w:r>
      <w:r w:rsidR="00D47707" w:rsidRPr="00A52AB8">
        <w:t> = </w:t>
      </w:r>
      <w:r w:rsidRPr="00A52AB8">
        <w:t>0; i &lt; </w:t>
      </w:r>
      <w:r w:rsidR="004B7AE7" w:rsidRPr="00A52AB8">
        <w:t>MaxNumObjects</w:t>
      </w:r>
      <w:r w:rsidRPr="00A52AB8">
        <w:t>; i++ </w:t>
      </w:r>
      <w:r w:rsidR="008F1F82" w:rsidRPr="00A52AB8">
        <w:t>) {</w:t>
      </w:r>
      <w:r w:rsidRPr="00A52AB8">
        <w:t xml:space="preserve"> </w:t>
      </w:r>
      <w:r w:rsidRPr="00A52AB8">
        <w:br/>
      </w:r>
      <w:r w:rsidR="004B7AE7" w:rsidRPr="00A52AB8">
        <w:tab/>
      </w:r>
      <w:r w:rsidR="004B7AE7" w:rsidRPr="00A52AB8">
        <w:tab/>
        <w:t>for ( j</w:t>
      </w:r>
      <w:r w:rsidR="00D47707" w:rsidRPr="00A52AB8">
        <w:t> = </w:t>
      </w:r>
      <w:r w:rsidR="004B7AE7" w:rsidRPr="00A52AB8">
        <w:t>0; j &lt; </w:t>
      </w:r>
      <w:r w:rsidR="000F6CCC" w:rsidRPr="00A52AB8">
        <w:t>64</w:t>
      </w:r>
      <w:r w:rsidR="004B7AE7" w:rsidRPr="00A52AB8">
        <w:t>; i++ </w:t>
      </w:r>
      <w:r w:rsidR="008F1F82" w:rsidRPr="00A52AB8">
        <w:t>) {</w:t>
      </w:r>
      <w:r w:rsidR="004B7AE7" w:rsidRPr="00A52AB8">
        <w:t xml:space="preserve"> </w:t>
      </w:r>
      <w:r w:rsidR="004B7AE7" w:rsidRPr="00A52AB8">
        <w:br/>
      </w:r>
      <w:r w:rsidRPr="00A52AB8">
        <w:tab/>
      </w:r>
      <w:r w:rsidRPr="00A52AB8">
        <w:tab/>
      </w:r>
      <w:r w:rsidR="000F6CCC" w:rsidRPr="00A52AB8">
        <w:tab/>
        <w:t>ObjectInAtlas[</w:t>
      </w:r>
      <w:r w:rsidRPr="00A52AB8">
        <w:t> i </w:t>
      </w:r>
      <w:r w:rsidR="000F6CCC" w:rsidRPr="00A52AB8">
        <w:t>][ j ]</w:t>
      </w:r>
      <w:r w:rsidR="00D47707" w:rsidRPr="00A52AB8">
        <w:t> = </w:t>
      </w:r>
      <w:r w:rsidR="000F6CCC" w:rsidRPr="00A52AB8">
        <w:t>0</w:t>
      </w:r>
      <w:r w:rsidR="00E60909" w:rsidRPr="00A52AB8">
        <w:br/>
      </w:r>
      <w:r w:rsidR="00E60909" w:rsidRPr="00A52AB8">
        <w:tab/>
      </w:r>
      <w:r w:rsidR="00E60909" w:rsidRPr="00A52AB8">
        <w:tab/>
        <w:t>}</w:t>
      </w:r>
      <w:r w:rsidRPr="00A52AB8">
        <w:br/>
      </w:r>
      <w:r w:rsidRPr="00A52AB8">
        <w:tab/>
        <w:t>}</w:t>
      </w:r>
    </w:p>
    <w:p w14:paraId="6BF15208" w14:textId="55D693C1" w:rsidR="00817B17" w:rsidRPr="00A52AB8" w:rsidRDefault="0003078F" w:rsidP="00817B17">
      <w:pPr>
        <w:rPr>
          <w:bCs/>
        </w:rPr>
      </w:pPr>
      <w:r w:rsidRPr="00A52AB8">
        <w:rPr>
          <w:b/>
        </w:rPr>
        <w:t>aoa</w:t>
      </w:r>
      <w:r w:rsidR="00817B17" w:rsidRPr="00A52AB8">
        <w:rPr>
          <w:b/>
        </w:rPr>
        <w:t>_persistence_flag</w:t>
      </w:r>
      <w:r w:rsidR="00817B17" w:rsidRPr="00A52AB8">
        <w:rPr>
          <w:bCs/>
        </w:rPr>
        <w:t xml:space="preserve"> specifies the persistence of the atlas </w:t>
      </w:r>
      <w:r w:rsidR="004D74F0" w:rsidRPr="00A52AB8">
        <w:rPr>
          <w:bCs/>
        </w:rPr>
        <w:t xml:space="preserve">object association </w:t>
      </w:r>
      <w:r w:rsidR="00817B17" w:rsidRPr="00A52AB8">
        <w:rPr>
          <w:bCs/>
        </w:rPr>
        <w:t>SEI message for the current layer. a</w:t>
      </w:r>
      <w:r w:rsidRPr="00A52AB8">
        <w:rPr>
          <w:bCs/>
        </w:rPr>
        <w:t>oa</w:t>
      </w:r>
      <w:r w:rsidR="00817B17" w:rsidRPr="00A52AB8">
        <w:rPr>
          <w:bCs/>
        </w:rPr>
        <w:t xml:space="preserve">_persistence_flag equal to 0 specifies that the atlas </w:t>
      </w:r>
      <w:r w:rsidR="004D74F0" w:rsidRPr="00A52AB8">
        <w:rPr>
          <w:bCs/>
        </w:rPr>
        <w:t xml:space="preserve">object association </w:t>
      </w:r>
      <w:r w:rsidR="00817B17" w:rsidRPr="00A52AB8">
        <w:rPr>
          <w:bCs/>
        </w:rPr>
        <w:t>SEI message applies to the current decoded atlas frame only.</w:t>
      </w:r>
    </w:p>
    <w:p w14:paraId="23E4FBFD" w14:textId="2D25D594" w:rsidR="00817B17" w:rsidRPr="00A52AB8" w:rsidRDefault="00817B17" w:rsidP="00817B17">
      <w:pPr>
        <w:rPr>
          <w:bCs/>
        </w:rPr>
      </w:pPr>
      <w:r w:rsidRPr="00A52AB8">
        <w:rPr>
          <w:bCs/>
        </w:rPr>
        <w:t>Let aFrmA be the current atlas frame. a</w:t>
      </w:r>
      <w:r w:rsidR="004D74F0" w:rsidRPr="00A52AB8">
        <w:rPr>
          <w:bCs/>
        </w:rPr>
        <w:t>oa</w:t>
      </w:r>
      <w:r w:rsidRPr="00A52AB8">
        <w:rPr>
          <w:bCs/>
        </w:rPr>
        <w:t xml:space="preserve">_persistence_flag equal to 1 specifies that the atlas </w:t>
      </w:r>
      <w:r w:rsidR="004D74F0" w:rsidRPr="00A52AB8">
        <w:rPr>
          <w:bCs/>
        </w:rPr>
        <w:t xml:space="preserve">object association </w:t>
      </w:r>
      <w:r w:rsidRPr="00A52AB8">
        <w:rPr>
          <w:bCs/>
        </w:rPr>
        <w:t>SEI message persists for the current layer in output order until any of the following conditions are true:</w:t>
      </w:r>
    </w:p>
    <w:p w14:paraId="22A3CEC9" w14:textId="1F7F4803" w:rsidR="00817B17" w:rsidRPr="00A52AB8" w:rsidRDefault="003F1BC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new CAS begins.</w:t>
      </w:r>
    </w:p>
    <w:p w14:paraId="0140BF81" w14:textId="77777777" w:rsidR="00817B17" w:rsidRPr="00A52AB8" w:rsidRDefault="00817B1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The bitstream ends.</w:t>
      </w:r>
    </w:p>
    <w:p w14:paraId="01B749A9" w14:textId="282C986C" w:rsidR="00545C89" w:rsidRPr="00A52AB8" w:rsidRDefault="00545C89"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An atlas frame aFrmB in the current layer in a coded atlas access unit containing an atlas object association SEI message with the same value of aoa_persistence_flag and applicable to the current layer is output for which AtlasFrmOrderCnt( aFrmB ) is greater than AtlasFrmOrderCnt( aFrmA ), where AtlasFrmOrderCnt( aFrmB ) and AtlasFrmOrderCnt( aFrmA ) are the AtlasFrmOrderCntVal values of aFrmB and aFrmA, respectively, immediately after the invocation of the decoding process for atlas frame order count for aFrmB.</w:t>
      </w:r>
    </w:p>
    <w:p w14:paraId="7E309805" w14:textId="2D0ACE09" w:rsidR="00817B17" w:rsidRPr="00A52AB8" w:rsidRDefault="00817B17" w:rsidP="00817B17">
      <w:pPr>
        <w:rPr>
          <w:bCs/>
        </w:rPr>
      </w:pPr>
      <w:r w:rsidRPr="00A52AB8">
        <w:rPr>
          <w:b/>
        </w:rPr>
        <w:t>a</w:t>
      </w:r>
      <w:r w:rsidR="004D74F0" w:rsidRPr="00A52AB8">
        <w:rPr>
          <w:b/>
        </w:rPr>
        <w:t>oa</w:t>
      </w:r>
      <w:r w:rsidRPr="00A52AB8">
        <w:rPr>
          <w:b/>
        </w:rPr>
        <w:t xml:space="preserve">_reset_flag </w:t>
      </w:r>
      <w:r w:rsidRPr="00A52AB8">
        <w:rPr>
          <w:bCs/>
        </w:rPr>
        <w:t xml:space="preserve">equal to 1 indicates that all entries in the atlas </w:t>
      </w:r>
      <w:r w:rsidR="004D74F0" w:rsidRPr="00A52AB8">
        <w:rPr>
          <w:bCs/>
        </w:rPr>
        <w:t xml:space="preserve">object association </w:t>
      </w:r>
      <w:r w:rsidRPr="00A52AB8">
        <w:rPr>
          <w:bCs/>
        </w:rPr>
        <w:t>table shall be removed</w:t>
      </w:r>
      <w:r w:rsidR="000F6CCC" w:rsidRPr="00A52AB8">
        <w:rPr>
          <w:bCs/>
        </w:rPr>
        <w:t xml:space="preserve"> as follows:</w:t>
      </w:r>
    </w:p>
    <w:p w14:paraId="57A2B3C7" w14:textId="7A22CF0C" w:rsidR="000F6CCC" w:rsidRPr="00A52AB8" w:rsidRDefault="000F6CCC" w:rsidP="000F6CCC">
      <w:r w:rsidRPr="00A52AB8">
        <w:tab/>
        <w:t>for ( i</w:t>
      </w:r>
      <w:r w:rsidR="00D47707" w:rsidRPr="00A52AB8">
        <w:t> = </w:t>
      </w:r>
      <w:r w:rsidRPr="00A52AB8">
        <w:t>0; i &lt; MaxNumObjects; i++ </w:t>
      </w:r>
      <w:r w:rsidR="008F1F82" w:rsidRPr="00A52AB8">
        <w:t>) {</w:t>
      </w:r>
      <w:r w:rsidRPr="00A52AB8">
        <w:t xml:space="preserve"> </w:t>
      </w:r>
      <w:r w:rsidRPr="00A52AB8">
        <w:br/>
      </w:r>
      <w:r w:rsidRPr="00A52AB8">
        <w:tab/>
      </w:r>
      <w:r w:rsidRPr="00A52AB8">
        <w:tab/>
        <w:t>for ( j</w:t>
      </w:r>
      <w:r w:rsidR="00D47707" w:rsidRPr="00A52AB8">
        <w:t> = </w:t>
      </w:r>
      <w:r w:rsidRPr="00A52AB8">
        <w:t>0; j &lt; 64; i++ </w:t>
      </w:r>
      <w:r w:rsidR="008F1F82" w:rsidRPr="00A52AB8">
        <w:t>) {</w:t>
      </w:r>
      <w:r w:rsidRPr="00A52AB8">
        <w:t xml:space="preserve"> </w:t>
      </w:r>
      <w:r w:rsidRPr="00A52AB8">
        <w:br/>
      </w:r>
      <w:r w:rsidRPr="00A52AB8">
        <w:tab/>
      </w:r>
      <w:r w:rsidRPr="00A52AB8">
        <w:tab/>
      </w:r>
      <w:r w:rsidRPr="00A52AB8">
        <w:tab/>
        <w:t>ObjectInAtlas[ i ][ j ]</w:t>
      </w:r>
      <w:r w:rsidR="00D47707" w:rsidRPr="00A52AB8">
        <w:t> = </w:t>
      </w:r>
      <w:r w:rsidRPr="00A52AB8">
        <w:t>0</w:t>
      </w:r>
      <w:r w:rsidR="00DC43F6" w:rsidRPr="00A52AB8">
        <w:br/>
      </w:r>
      <w:r w:rsidR="00DC43F6" w:rsidRPr="00A52AB8">
        <w:tab/>
      </w:r>
      <w:r w:rsidR="00DC43F6" w:rsidRPr="00A52AB8">
        <w:tab/>
        <w:t>}</w:t>
      </w:r>
      <w:r w:rsidRPr="00A52AB8">
        <w:br/>
      </w:r>
      <w:r w:rsidRPr="00A52AB8">
        <w:tab/>
        <w:t>}</w:t>
      </w:r>
    </w:p>
    <w:p w14:paraId="2944F7D5" w14:textId="50B27954" w:rsidR="00817B17" w:rsidRPr="00A52AB8" w:rsidRDefault="00817B17" w:rsidP="00817B17">
      <w:pPr>
        <w:rPr>
          <w:bCs/>
        </w:rPr>
      </w:pPr>
      <w:r w:rsidRPr="00A52AB8">
        <w:rPr>
          <w:b/>
        </w:rPr>
        <w:t>a</w:t>
      </w:r>
      <w:r w:rsidR="004D74F0" w:rsidRPr="00A52AB8">
        <w:rPr>
          <w:b/>
        </w:rPr>
        <w:t>oa</w:t>
      </w:r>
      <w:r w:rsidRPr="00A52AB8">
        <w:rPr>
          <w:b/>
        </w:rPr>
        <w:t>_num_atlases_minus1</w:t>
      </w:r>
      <w:r w:rsidRPr="00A52AB8">
        <w:rPr>
          <w:bCs/>
        </w:rPr>
        <w:t xml:space="preserve"> </w:t>
      </w:r>
      <w:r w:rsidR="00C5794A" w:rsidRPr="00A52AB8">
        <w:rPr>
          <w:bCs/>
        </w:rPr>
        <w:t xml:space="preserve">plus </w:t>
      </w:r>
      <w:r w:rsidRPr="00A52AB8">
        <w:rPr>
          <w:bCs/>
        </w:rPr>
        <w:t xml:space="preserve">1 indicates the number of atlases present in </w:t>
      </w:r>
      <w:r w:rsidR="00E45831" w:rsidRPr="00A52AB8">
        <w:rPr>
          <w:bCs/>
        </w:rPr>
        <w:t xml:space="preserve">the </w:t>
      </w:r>
      <w:r w:rsidRPr="00A52AB8">
        <w:rPr>
          <w:bCs/>
        </w:rPr>
        <w:t>CVS. a</w:t>
      </w:r>
      <w:r w:rsidR="004D74F0" w:rsidRPr="00A52AB8">
        <w:rPr>
          <w:bCs/>
        </w:rPr>
        <w:t>oa</w:t>
      </w:r>
      <w:r w:rsidRPr="00A52AB8">
        <w:rPr>
          <w:bCs/>
        </w:rPr>
        <w:t>_num_atlases_minus1 shall be equal to vps_atlas_count_minus1.</w:t>
      </w:r>
    </w:p>
    <w:p w14:paraId="392640E1" w14:textId="3A11132F" w:rsidR="00817B17" w:rsidRPr="00A52AB8" w:rsidRDefault="00817B17" w:rsidP="00817B17">
      <w:pPr>
        <w:rPr>
          <w:bCs/>
        </w:rPr>
      </w:pPr>
      <w:r w:rsidRPr="00A52AB8">
        <w:rPr>
          <w:b/>
        </w:rPr>
        <w:t>a</w:t>
      </w:r>
      <w:r w:rsidR="004D74F0" w:rsidRPr="00A52AB8">
        <w:rPr>
          <w:b/>
        </w:rPr>
        <w:t>oa</w:t>
      </w:r>
      <w:r w:rsidRPr="00A52AB8">
        <w:rPr>
          <w:b/>
        </w:rPr>
        <w:t>_num_updates</w:t>
      </w:r>
      <w:r w:rsidRPr="00A52AB8">
        <w:rPr>
          <w:bCs/>
        </w:rPr>
        <w:t xml:space="preserve"> indicates the number of objects that are to be updated in the object to atlas table by the current SEI message.</w:t>
      </w:r>
    </w:p>
    <w:p w14:paraId="0B93D208" w14:textId="4E4B435A" w:rsidR="00817B17" w:rsidRPr="00A52AB8" w:rsidRDefault="00817B17" w:rsidP="00817B17">
      <w:pPr>
        <w:rPr>
          <w:bCs/>
        </w:rPr>
      </w:pPr>
      <w:r w:rsidRPr="00A52AB8">
        <w:rPr>
          <w:b/>
        </w:rPr>
        <w:t>a</w:t>
      </w:r>
      <w:r w:rsidR="004D74F0" w:rsidRPr="00A52AB8">
        <w:rPr>
          <w:b/>
        </w:rPr>
        <w:t>oa</w:t>
      </w:r>
      <w:r w:rsidRPr="00A52AB8">
        <w:rPr>
          <w:b/>
        </w:rPr>
        <w:t>_log2_max_object_idx_tracked</w:t>
      </w:r>
      <w:r w:rsidR="00C5794A" w:rsidRPr="00A52AB8">
        <w:rPr>
          <w:b/>
          <w:bCs/>
        </w:rPr>
        <w:t xml:space="preserve">_minus1 </w:t>
      </w:r>
      <w:r w:rsidR="00C5794A" w:rsidRPr="00A52AB8">
        <w:t>plus 1</w:t>
      </w:r>
      <w:r w:rsidRPr="00A52AB8">
        <w:rPr>
          <w:bCs/>
        </w:rPr>
        <w:t xml:space="preserve"> specifies the number of bits used to signal the value of an object index in the current atlas </w:t>
      </w:r>
      <w:r w:rsidR="004D74F0" w:rsidRPr="00A52AB8">
        <w:rPr>
          <w:bCs/>
        </w:rPr>
        <w:t xml:space="preserve">object association </w:t>
      </w:r>
      <w:r w:rsidRPr="00A52AB8">
        <w:rPr>
          <w:bCs/>
        </w:rPr>
        <w:t>SEI message.</w:t>
      </w:r>
    </w:p>
    <w:p w14:paraId="3863A7B1" w14:textId="618A9BC6" w:rsidR="00DF7A0A" w:rsidRPr="00A52AB8" w:rsidRDefault="00DF7A0A" w:rsidP="00817B17">
      <w:pPr>
        <w:rPr>
          <w:bCs/>
        </w:rPr>
      </w:pPr>
      <w:r w:rsidRPr="00A52AB8">
        <w:rPr>
          <w:b/>
        </w:rPr>
        <w:t>aoa_atlas_id</w:t>
      </w:r>
      <w:r w:rsidRPr="00A52AB8">
        <w:rPr>
          <w:bCs/>
        </w:rPr>
        <w:t>[ j ]</w:t>
      </w:r>
      <w:r w:rsidRPr="00A52AB8">
        <w:rPr>
          <w:b/>
        </w:rPr>
        <w:t xml:space="preserve"> </w:t>
      </w:r>
      <w:r w:rsidRPr="00A52AB8">
        <w:rPr>
          <w:bCs/>
        </w:rPr>
        <w:t>specifies the atlas ID of the j-th atlas</w:t>
      </w:r>
      <w:r w:rsidRPr="00A52AB8">
        <w:rPr>
          <w:b/>
        </w:rPr>
        <w:t>.</w:t>
      </w:r>
    </w:p>
    <w:p w14:paraId="40ED2BA9" w14:textId="603D39FA" w:rsidR="00817B17" w:rsidRPr="00A52AB8" w:rsidRDefault="00817B17" w:rsidP="00817B17">
      <w:pPr>
        <w:rPr>
          <w:bCs/>
        </w:rPr>
      </w:pPr>
      <w:r w:rsidRPr="00A52AB8">
        <w:rPr>
          <w:b/>
        </w:rPr>
        <w:t>a</w:t>
      </w:r>
      <w:r w:rsidR="004D74F0" w:rsidRPr="00A52AB8">
        <w:rPr>
          <w:b/>
        </w:rPr>
        <w:t>oa</w:t>
      </w:r>
      <w:r w:rsidRPr="00A52AB8">
        <w:rPr>
          <w:b/>
        </w:rPr>
        <w:t>_object_idx</w:t>
      </w:r>
      <w:r w:rsidR="0006494C" w:rsidRPr="00A52AB8">
        <w:rPr>
          <w:bCs/>
        </w:rPr>
        <w:t>[ </w:t>
      </w:r>
      <w:r w:rsidRPr="00A52AB8">
        <w:rPr>
          <w:bCs/>
        </w:rPr>
        <w:t>i</w:t>
      </w:r>
      <w:r w:rsidR="00DB2313" w:rsidRPr="00A52AB8">
        <w:rPr>
          <w:bCs/>
        </w:rPr>
        <w:t> </w:t>
      </w:r>
      <w:r w:rsidRPr="00A52AB8">
        <w:rPr>
          <w:bCs/>
        </w:rPr>
        <w:t>] indicates the i-th object index. The number of bits used to represent a</w:t>
      </w:r>
      <w:r w:rsidR="004D74F0" w:rsidRPr="00A52AB8">
        <w:rPr>
          <w:bCs/>
        </w:rPr>
        <w:t>oa</w:t>
      </w:r>
      <w:r w:rsidRPr="00A52AB8">
        <w:rPr>
          <w:bCs/>
        </w:rPr>
        <w:t>_object_idx[</w:t>
      </w:r>
      <w:r w:rsidR="004663AF" w:rsidRPr="00A52AB8">
        <w:rPr>
          <w:bCs/>
        </w:rPr>
        <w:t> </w:t>
      </w:r>
      <w:r w:rsidRPr="00A52AB8">
        <w:rPr>
          <w:bCs/>
        </w:rPr>
        <w:t>i</w:t>
      </w:r>
      <w:r w:rsidR="004663AF" w:rsidRPr="00A52AB8">
        <w:rPr>
          <w:bCs/>
        </w:rPr>
        <w:t> </w:t>
      </w:r>
      <w:r w:rsidRPr="00A52AB8">
        <w:rPr>
          <w:bCs/>
        </w:rPr>
        <w:t xml:space="preserve">] is equal </w:t>
      </w:r>
      <w:r w:rsidR="00DB2313" w:rsidRPr="00A52AB8">
        <w:rPr>
          <w:bCs/>
        </w:rPr>
        <w:t xml:space="preserve">to </w:t>
      </w:r>
      <w:r w:rsidRPr="00A52AB8">
        <w:rPr>
          <w:bCs/>
        </w:rPr>
        <w:t>a</w:t>
      </w:r>
      <w:r w:rsidR="004D74F0" w:rsidRPr="00A52AB8">
        <w:rPr>
          <w:bCs/>
        </w:rPr>
        <w:t>oa</w:t>
      </w:r>
      <w:r w:rsidRPr="00A52AB8">
        <w:rPr>
          <w:bCs/>
        </w:rPr>
        <w:t>_log2_max_object_idx_tracked</w:t>
      </w:r>
      <w:r w:rsidR="00BF4E7E" w:rsidRPr="00A52AB8">
        <w:rPr>
          <w:bCs/>
        </w:rPr>
        <w:t>_minus1</w:t>
      </w:r>
      <w:r w:rsidR="00E45831" w:rsidRPr="00A52AB8">
        <w:rPr>
          <w:bCs/>
        </w:rPr>
        <w:t xml:space="preserve"> + 1</w:t>
      </w:r>
      <w:r w:rsidRPr="00A52AB8">
        <w:rPr>
          <w:bCs/>
        </w:rPr>
        <w:t>.</w:t>
      </w:r>
    </w:p>
    <w:p w14:paraId="355BC82B" w14:textId="578C15DD" w:rsidR="004B7AE7" w:rsidRPr="00A52AB8" w:rsidRDefault="00817B17" w:rsidP="00817B17">
      <w:pPr>
        <w:rPr>
          <w:bCs/>
        </w:rPr>
      </w:pPr>
      <w:r w:rsidRPr="00A52AB8">
        <w:rPr>
          <w:b/>
        </w:rPr>
        <w:t>a</w:t>
      </w:r>
      <w:r w:rsidR="004D74F0" w:rsidRPr="00A52AB8">
        <w:rPr>
          <w:b/>
        </w:rPr>
        <w:t>oa</w:t>
      </w:r>
      <w:r w:rsidRPr="00A52AB8">
        <w:rPr>
          <w:b/>
        </w:rPr>
        <w:t>_object_in_atlas</w:t>
      </w:r>
      <w:r w:rsidRPr="00A52AB8">
        <w:rPr>
          <w:bCs/>
        </w:rPr>
        <w:t>[</w:t>
      </w:r>
      <w:r w:rsidR="00D17DE0" w:rsidRPr="00A52AB8">
        <w:rPr>
          <w:bCs/>
        </w:rPr>
        <w:t> </w:t>
      </w:r>
      <w:r w:rsidRPr="00A52AB8">
        <w:rPr>
          <w:bCs/>
        </w:rPr>
        <w:t>i</w:t>
      </w:r>
      <w:r w:rsidR="00D17DE0" w:rsidRPr="00A52AB8">
        <w:rPr>
          <w:bCs/>
        </w:rPr>
        <w:t> </w:t>
      </w:r>
      <w:r w:rsidRPr="00A52AB8">
        <w:rPr>
          <w:bCs/>
        </w:rPr>
        <w:t>][</w:t>
      </w:r>
      <w:r w:rsidR="00D17DE0" w:rsidRPr="00A52AB8">
        <w:rPr>
          <w:bCs/>
        </w:rPr>
        <w:t> </w:t>
      </w:r>
      <w:r w:rsidRPr="00A52AB8">
        <w:rPr>
          <w:bCs/>
        </w:rPr>
        <w:t>j</w:t>
      </w:r>
      <w:r w:rsidR="00DB3C09" w:rsidRPr="00A52AB8">
        <w:rPr>
          <w:bCs/>
        </w:rPr>
        <w:t> </w:t>
      </w:r>
      <w:r w:rsidRPr="00A52AB8">
        <w:rPr>
          <w:bCs/>
        </w:rPr>
        <w:t>]</w:t>
      </w:r>
      <w:r w:rsidR="004B7AE7" w:rsidRPr="00A52AB8">
        <w:rPr>
          <w:bCs/>
        </w:rPr>
        <w:t xml:space="preserve"> indicates</w:t>
      </w:r>
      <w:r w:rsidRPr="00A52AB8">
        <w:rPr>
          <w:bCs/>
        </w:rPr>
        <w:t xml:space="preserve"> </w:t>
      </w:r>
      <w:r w:rsidR="004B7AE7" w:rsidRPr="00A52AB8">
        <w:rPr>
          <w:bCs/>
        </w:rPr>
        <w:t xml:space="preserve">the value of </w:t>
      </w:r>
      <w:r w:rsidR="004B7AE7" w:rsidRPr="00A52AB8">
        <w:t>ObjectInAtlas</w:t>
      </w:r>
      <w:r w:rsidR="004B7AE7" w:rsidRPr="00A52AB8">
        <w:rPr>
          <w:bCs/>
        </w:rPr>
        <w:t xml:space="preserve">[ i ][ j ] for atlas ID equal to j and object index equal to i. aoa_object_in_atlas[ i ][ j ] </w:t>
      </w:r>
      <w:r w:rsidRPr="00A52AB8">
        <w:rPr>
          <w:bCs/>
        </w:rPr>
        <w:t xml:space="preserve">equal to 1 indicates that the object with index i is </w:t>
      </w:r>
      <w:r w:rsidR="00AE27B5" w:rsidRPr="00A52AB8">
        <w:rPr>
          <w:bCs/>
        </w:rPr>
        <w:t xml:space="preserve">present </w:t>
      </w:r>
      <w:r w:rsidRPr="00A52AB8">
        <w:rPr>
          <w:bCs/>
        </w:rPr>
        <w:t xml:space="preserve">in </w:t>
      </w:r>
      <w:r w:rsidR="00C175F4" w:rsidRPr="00A52AB8">
        <w:rPr>
          <w:bCs/>
        </w:rPr>
        <w:t xml:space="preserve">atlas with atlas ID </w:t>
      </w:r>
      <w:r w:rsidRPr="00A52AB8">
        <w:rPr>
          <w:bCs/>
        </w:rPr>
        <w:t xml:space="preserve">equal to </w:t>
      </w:r>
      <w:r w:rsidR="00D17DE0" w:rsidRPr="00A52AB8">
        <w:rPr>
          <w:bCs/>
        </w:rPr>
        <w:t>j</w:t>
      </w:r>
      <w:r w:rsidRPr="00A52AB8">
        <w:rPr>
          <w:bCs/>
        </w:rPr>
        <w:t xml:space="preserve">. </w:t>
      </w:r>
      <w:r w:rsidR="00C14590" w:rsidRPr="00A52AB8">
        <w:rPr>
          <w:bCs/>
        </w:rPr>
        <w:t>aoa_object_in_atlas</w:t>
      </w:r>
      <w:r w:rsidRPr="00A52AB8">
        <w:rPr>
          <w:bCs/>
        </w:rPr>
        <w:t>[</w:t>
      </w:r>
      <w:r w:rsidR="00DB3C09" w:rsidRPr="00A52AB8">
        <w:rPr>
          <w:bCs/>
        </w:rPr>
        <w:t> </w:t>
      </w:r>
      <w:r w:rsidRPr="00A52AB8">
        <w:rPr>
          <w:bCs/>
        </w:rPr>
        <w:t>i</w:t>
      </w:r>
      <w:r w:rsidR="00DB3C09" w:rsidRPr="00A52AB8">
        <w:rPr>
          <w:bCs/>
        </w:rPr>
        <w:t> </w:t>
      </w:r>
      <w:r w:rsidRPr="00A52AB8">
        <w:rPr>
          <w:bCs/>
        </w:rPr>
        <w:t>][</w:t>
      </w:r>
      <w:r w:rsidR="00DB3C09" w:rsidRPr="00A52AB8">
        <w:rPr>
          <w:bCs/>
        </w:rPr>
        <w:t> </w:t>
      </w:r>
      <w:r w:rsidRPr="00A52AB8">
        <w:rPr>
          <w:bCs/>
        </w:rPr>
        <w:t>j</w:t>
      </w:r>
      <w:r w:rsidR="00DB3C09" w:rsidRPr="00A52AB8">
        <w:rPr>
          <w:bCs/>
        </w:rPr>
        <w:t> </w:t>
      </w:r>
      <w:r w:rsidRPr="00A52AB8">
        <w:rPr>
          <w:bCs/>
        </w:rPr>
        <w:t>] equal to 0 indicates that the object with index i is not prese</w:t>
      </w:r>
      <w:r w:rsidR="00DB2313" w:rsidRPr="00A52AB8">
        <w:rPr>
          <w:bCs/>
        </w:rPr>
        <w:t>n</w:t>
      </w:r>
      <w:r w:rsidRPr="00A52AB8">
        <w:rPr>
          <w:bCs/>
        </w:rPr>
        <w:t xml:space="preserve">t in </w:t>
      </w:r>
      <w:r w:rsidR="00C175F4" w:rsidRPr="00A52AB8">
        <w:rPr>
          <w:bCs/>
        </w:rPr>
        <w:t xml:space="preserve">atlas with atlas ID </w:t>
      </w:r>
      <w:r w:rsidRPr="00A52AB8">
        <w:rPr>
          <w:bCs/>
        </w:rPr>
        <w:t>equal to j.</w:t>
      </w:r>
    </w:p>
    <w:p w14:paraId="4C91D4B5" w14:textId="77777777" w:rsidR="00963E0E" w:rsidRPr="00A52AB8" w:rsidRDefault="00963E0E">
      <w:pPr>
        <w:pStyle w:val="a3"/>
        <w:numPr>
          <w:ilvl w:val="2"/>
          <w:numId w:val="19"/>
        </w:numPr>
        <w:tabs>
          <w:tab w:val="clear" w:pos="403"/>
        </w:tabs>
        <w:rPr>
          <w:b w:val="0"/>
        </w:rPr>
      </w:pPr>
      <w:bookmarkStart w:id="5631" w:name="_Toc358292250"/>
      <w:bookmarkStart w:id="5632" w:name="_Ref326742545"/>
      <w:bookmarkStart w:id="5633" w:name="_Ref326742500"/>
      <w:bookmarkStart w:id="5634" w:name="_Toc317198912"/>
      <w:bookmarkStart w:id="5635" w:name="_Ref49348202"/>
      <w:bookmarkStart w:id="5636" w:name="_Ref49515906"/>
      <w:bookmarkStart w:id="5637" w:name="_Ref50980632"/>
      <w:bookmarkStart w:id="5638" w:name="_Toc52181745"/>
      <w:r w:rsidRPr="00A52AB8">
        <w:rPr>
          <w:rFonts w:eastAsia="Malgun Gothic"/>
          <w:bCs/>
        </w:rPr>
        <w:t>Buffering period SEI message semantics</w:t>
      </w:r>
      <w:bookmarkEnd w:id="5631"/>
      <w:bookmarkEnd w:id="5632"/>
      <w:bookmarkEnd w:id="5633"/>
      <w:bookmarkEnd w:id="5634"/>
      <w:bookmarkEnd w:id="5635"/>
      <w:bookmarkEnd w:id="5636"/>
      <w:bookmarkEnd w:id="5637"/>
      <w:bookmarkEnd w:id="5638"/>
    </w:p>
    <w:p w14:paraId="119A00BE" w14:textId="684E4571" w:rsidR="00963E0E" w:rsidRPr="00A52AB8" w:rsidRDefault="00963E0E">
      <w:pPr>
        <w:rPr>
          <w:rFonts w:eastAsia="Malgun Gothic"/>
        </w:rPr>
      </w:pPr>
      <w:r w:rsidRPr="00A52AB8">
        <w:rPr>
          <w:rFonts w:eastAsia="Malgun Gothic"/>
        </w:rPr>
        <w:t xml:space="preserve">A buffering period SEI message provides initial CAB removal delay and initial CAB removal delay offset information for initialization of the HRD at the position of the associated </w:t>
      </w:r>
      <w:r w:rsidR="00930A44" w:rsidRPr="00A52AB8">
        <w:rPr>
          <w:rFonts w:eastAsia="Malgun Gothic"/>
        </w:rPr>
        <w:t xml:space="preserve">coded atlas </w:t>
      </w:r>
      <w:r w:rsidRPr="00A52AB8">
        <w:rPr>
          <w:rFonts w:eastAsia="Malgun Gothic"/>
        </w:rPr>
        <w:t>access unit in decoding order.</w:t>
      </w:r>
    </w:p>
    <w:p w14:paraId="5C1B3C75" w14:textId="77777777" w:rsidR="00963E0E" w:rsidRPr="00A52AB8" w:rsidRDefault="00963E0E">
      <w:pPr>
        <w:rPr>
          <w:rFonts w:eastAsia="Malgun Gothic"/>
        </w:rPr>
      </w:pPr>
      <w:r w:rsidRPr="00A52AB8">
        <w:rPr>
          <w:rFonts w:eastAsia="Malgun Gothic"/>
        </w:rPr>
        <w:t>The following applies for the buffering period SEI message syntax and semantics:</w:t>
      </w:r>
    </w:p>
    <w:p w14:paraId="2B1B1816" w14:textId="0FD158D0" w:rsidR="00963E0E" w:rsidRPr="00A52AB8" w:rsidRDefault="00963E0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The variables CabSize</w:t>
      </w:r>
      <w:r w:rsidR="005E5B30" w:rsidRPr="00A52AB8">
        <w:rPr>
          <w:color w:val="000000" w:themeColor="text1"/>
        </w:rPr>
        <w:t>[ !NalHrdModeFlag ]</w:t>
      </w:r>
      <w:r w:rsidR="00F4336E" w:rsidRPr="00A52AB8">
        <w:rPr>
          <w:color w:val="000000" w:themeColor="text1"/>
        </w:rPr>
        <w:t>[ Htid ]</w:t>
      </w:r>
      <w:r w:rsidR="001F4484" w:rsidRPr="00A52AB8">
        <w:rPr>
          <w:color w:val="000000" w:themeColor="text1"/>
        </w:rPr>
        <w:t>[ i ]</w:t>
      </w:r>
      <w:r w:rsidRPr="00A52AB8">
        <w:rPr>
          <w:color w:val="000000" w:themeColor="text1"/>
        </w:rPr>
        <w:t>, BitRate</w:t>
      </w:r>
      <w:r w:rsidR="005E5B30" w:rsidRPr="00A52AB8">
        <w:rPr>
          <w:color w:val="000000" w:themeColor="text1"/>
        </w:rPr>
        <w:t>[ !NalHrdModeFlag ]</w:t>
      </w:r>
      <w:r w:rsidR="00F4336E" w:rsidRPr="00A52AB8">
        <w:rPr>
          <w:color w:val="000000" w:themeColor="text1"/>
        </w:rPr>
        <w:t>[ Htid ]</w:t>
      </w:r>
      <w:r w:rsidR="001F4484" w:rsidRPr="00A52AB8">
        <w:rPr>
          <w:color w:val="000000" w:themeColor="text1"/>
        </w:rPr>
        <w:t>[ i ]</w:t>
      </w:r>
      <w:r w:rsidRPr="00A52AB8">
        <w:rPr>
          <w:color w:val="000000" w:themeColor="text1"/>
        </w:rPr>
        <w:t xml:space="preserve"> and CabCnt are derived from syntax elements found in the </w:t>
      </w:r>
      <w:r w:rsidR="0049473B" w:rsidRPr="00A52AB8">
        <w:rPr>
          <w:color w:val="000000" w:themeColor="text1"/>
        </w:rPr>
        <w:t>hrd_sub_layer_parameters</w:t>
      </w:r>
      <w:r w:rsidRPr="00A52AB8">
        <w:rPr>
          <w:color w:val="000000" w:themeColor="text1"/>
        </w:rPr>
        <w:t>(</w:t>
      </w:r>
      <w:r w:rsidR="00D1030D" w:rsidRPr="00A52AB8">
        <w:rPr>
          <w:color w:val="000000" w:themeColor="text1"/>
        </w:rPr>
        <w:t> !NalHrdModeFlag,</w:t>
      </w:r>
      <w:r w:rsidR="00A25687" w:rsidRPr="00A52AB8">
        <w:rPr>
          <w:color w:val="000000" w:themeColor="text1"/>
        </w:rPr>
        <w:t> Htid</w:t>
      </w:r>
      <w:r w:rsidRPr="00A52AB8">
        <w:rPr>
          <w:color w:val="000000" w:themeColor="text1"/>
        </w:rPr>
        <w:t> ) syntax structure that is applicable to at least one of the operation points to which the buffering period SEI message applies.</w:t>
      </w:r>
    </w:p>
    <w:p w14:paraId="4977D54A" w14:textId="2DD48381" w:rsidR="00963E0E" w:rsidRPr="00A52AB8" w:rsidRDefault="00963E0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Any two operation points that the buffering period SEI message applies to having different OpTid values tIdA and tIdB indicate that the values of </w:t>
      </w:r>
      <w:r w:rsidR="00667A10" w:rsidRPr="00A52AB8">
        <w:rPr>
          <w:color w:val="000000" w:themeColor="text1"/>
        </w:rPr>
        <w:t>bp_</w:t>
      </w:r>
      <w:r w:rsidR="006932A1" w:rsidRPr="00A52AB8">
        <w:rPr>
          <w:color w:val="000000" w:themeColor="text1"/>
        </w:rPr>
        <w:t>hrd</w:t>
      </w:r>
      <w:r w:rsidR="00AD1842" w:rsidRPr="00A52AB8">
        <w:rPr>
          <w:color w:val="000000" w:themeColor="text1"/>
        </w:rPr>
        <w:t>_</w:t>
      </w:r>
      <w:r w:rsidRPr="00A52AB8">
        <w:rPr>
          <w:color w:val="000000" w:themeColor="text1"/>
        </w:rPr>
        <w:t xml:space="preserve">cab_cnt_minus1[ tIdA ] and </w:t>
      </w:r>
      <w:r w:rsidR="00667A10" w:rsidRPr="00A52AB8">
        <w:rPr>
          <w:color w:val="000000" w:themeColor="text1"/>
        </w:rPr>
        <w:t>bp_</w:t>
      </w:r>
      <w:r w:rsidR="006932A1" w:rsidRPr="00A52AB8">
        <w:rPr>
          <w:color w:val="000000" w:themeColor="text1"/>
        </w:rPr>
        <w:t>hrd</w:t>
      </w:r>
      <w:r w:rsidR="00AD1842" w:rsidRPr="00A52AB8">
        <w:rPr>
          <w:color w:val="000000" w:themeColor="text1"/>
        </w:rPr>
        <w:t>_</w:t>
      </w:r>
      <w:r w:rsidRPr="00A52AB8">
        <w:rPr>
          <w:color w:val="000000" w:themeColor="text1"/>
        </w:rPr>
        <w:t>cab_cnt_minus1[ tIdB ] applicable to the two operation points are identical.</w:t>
      </w:r>
    </w:p>
    <w:p w14:paraId="1347D294" w14:textId="227A0A97" w:rsidR="00963E0E" w:rsidRPr="00A52AB8" w:rsidRDefault="00963E0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The bitstream (or a part thereof) refers to the bitstream subset (or a part thereof) associated with any of the operation points to which the buffering period SEI message applies.</w:t>
      </w:r>
    </w:p>
    <w:p w14:paraId="456641A5" w14:textId="77777777" w:rsidR="00963E0E" w:rsidRPr="00A52AB8" w:rsidRDefault="00963E0E">
      <w:pPr>
        <w:rPr>
          <w:rFonts w:eastAsia="Malgun Gothic"/>
        </w:rPr>
      </w:pPr>
      <w:r w:rsidRPr="00A52AB8">
        <w:rPr>
          <w:rFonts w:eastAsia="Malgun Gothic"/>
        </w:rPr>
        <w:t>The presence of buffering period SEI messages for an operation point is specified as follows:</w:t>
      </w:r>
    </w:p>
    <w:p w14:paraId="7EF13486" w14:textId="3EF50B9C" w:rsidR="00963E0E" w:rsidRPr="00A52AB8" w:rsidRDefault="00963E0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If NalHrdBpPresentFlag is equal to 1 or AclHrdBpPresentFlag is equal to 1, the following applies for each access unit in the CAS:</w:t>
      </w:r>
    </w:p>
    <w:p w14:paraId="0678F3DE" w14:textId="6832213E" w:rsidR="00963E0E" w:rsidRPr="00A52AB8" w:rsidRDefault="00963E0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 xml:space="preserve">If the </w:t>
      </w:r>
      <w:r w:rsidR="00930A44" w:rsidRPr="00A52AB8">
        <w:rPr>
          <w:color w:val="000000" w:themeColor="text1"/>
        </w:rPr>
        <w:t xml:space="preserve">coded atlas </w:t>
      </w:r>
      <w:r w:rsidRPr="00A52AB8">
        <w:rPr>
          <w:color w:val="000000" w:themeColor="text1"/>
        </w:rPr>
        <w:t xml:space="preserve">access unit is an </w:t>
      </w:r>
      <w:r w:rsidR="00F560F8" w:rsidRPr="00A52AB8">
        <w:rPr>
          <w:color w:val="000000" w:themeColor="text1"/>
        </w:rPr>
        <w:t>IRAP coded atlas access unit</w:t>
      </w:r>
      <w:r w:rsidRPr="00A52AB8">
        <w:rPr>
          <w:color w:val="000000" w:themeColor="text1"/>
        </w:rPr>
        <w:t>, a buffering period SEI message applicable to the operation point shall be associated with the access unit.</w:t>
      </w:r>
    </w:p>
    <w:p w14:paraId="69303070" w14:textId="77777777" w:rsidR="00963E0E" w:rsidRPr="00A52AB8" w:rsidRDefault="00963E0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Otherwise, if both of the following conditions apply, a buffering period SEI message applicable to the operation point may or may not be present for the access unit:</w:t>
      </w:r>
    </w:p>
    <w:p w14:paraId="78BF19A4" w14:textId="00C0F22A" w:rsidR="00963E0E" w:rsidRPr="00A52AB8" w:rsidRDefault="00963E0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1" w:hanging="403"/>
        <w:textAlignment w:val="baseline"/>
        <w:rPr>
          <w:color w:val="000000" w:themeColor="text1"/>
        </w:rPr>
      </w:pPr>
      <w:r w:rsidRPr="00A52AB8">
        <w:rPr>
          <w:color w:val="000000" w:themeColor="text1"/>
        </w:rPr>
        <w:t xml:space="preserve">The </w:t>
      </w:r>
      <w:r w:rsidR="00A5700A" w:rsidRPr="00A52AB8">
        <w:rPr>
          <w:color w:val="000000" w:themeColor="text1"/>
        </w:rPr>
        <w:t>atlas frame</w:t>
      </w:r>
      <w:r w:rsidRPr="00A52AB8">
        <w:rPr>
          <w:color w:val="000000" w:themeColor="text1"/>
        </w:rPr>
        <w:t xml:space="preserve"> has Temporal</w:t>
      </w:r>
      <w:r w:rsidR="007812ED" w:rsidRPr="00A52AB8">
        <w:rPr>
          <w:color w:val="000000" w:themeColor="text1"/>
        </w:rPr>
        <w:t xml:space="preserve">ID </w:t>
      </w:r>
      <w:r w:rsidRPr="00A52AB8">
        <w:rPr>
          <w:color w:val="000000" w:themeColor="text1"/>
        </w:rPr>
        <w:t>equal to 0.</w:t>
      </w:r>
    </w:p>
    <w:p w14:paraId="5647AA6E" w14:textId="40E7BB57" w:rsidR="00963E0E" w:rsidRPr="00A52AB8" w:rsidRDefault="00963E0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1" w:hanging="403"/>
        <w:textAlignment w:val="baseline"/>
        <w:rPr>
          <w:color w:val="000000" w:themeColor="text1"/>
        </w:rPr>
      </w:pPr>
      <w:r w:rsidRPr="00A52AB8">
        <w:rPr>
          <w:color w:val="000000" w:themeColor="text1"/>
        </w:rPr>
        <w:t xml:space="preserve">The </w:t>
      </w:r>
      <w:r w:rsidR="00A5700A" w:rsidRPr="00A52AB8">
        <w:rPr>
          <w:color w:val="000000" w:themeColor="text1"/>
        </w:rPr>
        <w:t>atlas frame</w:t>
      </w:r>
      <w:r w:rsidRPr="00A52AB8">
        <w:rPr>
          <w:color w:val="000000" w:themeColor="text1"/>
        </w:rPr>
        <w:t xml:space="preserve"> is not a RASL, RADL or </w:t>
      </w:r>
      <w:r w:rsidR="00A25687" w:rsidRPr="00A52AB8">
        <w:rPr>
          <w:color w:val="000000" w:themeColor="text1"/>
        </w:rPr>
        <w:t>SLNR</w:t>
      </w:r>
      <w:r w:rsidRPr="00A52AB8">
        <w:rPr>
          <w:color w:val="000000" w:themeColor="text1"/>
        </w:rPr>
        <w:t xml:space="preserve"> </w:t>
      </w:r>
      <w:r w:rsidR="00586857" w:rsidRPr="00A52AB8">
        <w:rPr>
          <w:color w:val="000000" w:themeColor="text1"/>
        </w:rPr>
        <w:t>atlas frame</w:t>
      </w:r>
      <w:r w:rsidRPr="00A52AB8">
        <w:rPr>
          <w:color w:val="000000" w:themeColor="text1"/>
        </w:rPr>
        <w:t>.</w:t>
      </w:r>
    </w:p>
    <w:p w14:paraId="16620F90" w14:textId="420851F8" w:rsidR="00963E0E" w:rsidRPr="00A52AB8" w:rsidRDefault="00963E0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 xml:space="preserve">Otherwise, the </w:t>
      </w:r>
      <w:r w:rsidR="00930A44" w:rsidRPr="00A52AB8">
        <w:rPr>
          <w:color w:val="000000" w:themeColor="text1"/>
        </w:rPr>
        <w:t xml:space="preserve">coded atlas </w:t>
      </w:r>
      <w:r w:rsidRPr="00A52AB8">
        <w:rPr>
          <w:color w:val="000000" w:themeColor="text1"/>
        </w:rPr>
        <w:t>access unit shall not be associated with a buffering period SEI message applicable to the operation point.</w:t>
      </w:r>
    </w:p>
    <w:p w14:paraId="4AFBB35F" w14:textId="1D24C801" w:rsidR="00963E0E" w:rsidRPr="00A52AB8" w:rsidRDefault="00963E0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Otherwise (NalHrdBpPresentFlag and AclHrdBpPresentFlag are both equal to 0), no </w:t>
      </w:r>
      <w:r w:rsidR="00930A44" w:rsidRPr="00A52AB8">
        <w:rPr>
          <w:color w:val="000000" w:themeColor="text1"/>
        </w:rPr>
        <w:t xml:space="preserve">coded atlas </w:t>
      </w:r>
      <w:r w:rsidRPr="00A52AB8">
        <w:rPr>
          <w:color w:val="000000" w:themeColor="text1"/>
        </w:rPr>
        <w:t>access unit in the CAS shall be associated with a buffering period SEI message applicable to the operation point.</w:t>
      </w:r>
    </w:p>
    <w:p w14:paraId="351D15DC" w14:textId="4358A657" w:rsidR="00963E0E" w:rsidRPr="00A52AB8" w:rsidRDefault="00963E0E">
      <w:pPr>
        <w:tabs>
          <w:tab w:val="left" w:pos="720"/>
        </w:tabs>
        <w:ind w:left="288"/>
        <w:rPr>
          <w:rFonts w:eastAsia="Malgun Gothic"/>
          <w:sz w:val="18"/>
          <w:szCs w:val="18"/>
        </w:rPr>
      </w:pPr>
      <w:r w:rsidRPr="00A52AB8">
        <w:rPr>
          <w:rFonts w:eastAsia="Malgun Gothic"/>
          <w:sz w:val="18"/>
          <w:szCs w:val="18"/>
        </w:rPr>
        <w:t>NOTE </w:t>
      </w:r>
      <w:r w:rsidRPr="00496A4D">
        <w:rPr>
          <w:rFonts w:eastAsia="Malgun Gothic"/>
          <w:sz w:val="18"/>
          <w:szCs w:val="18"/>
        </w:rPr>
        <w:fldChar w:fldCharType="begin"/>
      </w:r>
      <w:r w:rsidRPr="00A52AB8">
        <w:rPr>
          <w:rFonts w:eastAsia="Malgun Gothic"/>
          <w:sz w:val="18"/>
          <w:szCs w:val="18"/>
        </w:rPr>
        <w:instrText xml:space="preserve"> SEQ NoteCounter \r 1 \* MERGEFORMAT </w:instrText>
      </w:r>
      <w:r w:rsidRPr="00496A4D">
        <w:rPr>
          <w:rFonts w:eastAsia="Malgun Gothic"/>
          <w:sz w:val="18"/>
          <w:szCs w:val="18"/>
        </w:rPr>
        <w:fldChar w:fldCharType="separate"/>
      </w:r>
      <w:r w:rsidR="00507A67">
        <w:rPr>
          <w:rFonts w:eastAsia="Malgun Gothic"/>
          <w:noProof/>
          <w:sz w:val="18"/>
          <w:szCs w:val="18"/>
        </w:rPr>
        <w:t>1</w:t>
      </w:r>
      <w:r w:rsidRPr="00496A4D">
        <w:rPr>
          <w:rFonts w:eastAsia="Malgun Gothic"/>
          <w:sz w:val="18"/>
          <w:szCs w:val="18"/>
        </w:rPr>
        <w:fldChar w:fldCharType="end"/>
      </w:r>
      <w:r w:rsidRPr="00A52AB8">
        <w:rPr>
          <w:rFonts w:eastAsia="Malgun Gothic"/>
          <w:sz w:val="18"/>
          <w:szCs w:val="18"/>
        </w:rPr>
        <w:t xml:space="preserve"> – For some applications, frequent presence of buffering period SEI messages </w:t>
      </w:r>
      <w:r w:rsidR="00BC3C4E" w:rsidRPr="00A52AB8">
        <w:rPr>
          <w:rFonts w:eastAsia="Malgun Gothic"/>
          <w:sz w:val="18"/>
          <w:szCs w:val="18"/>
        </w:rPr>
        <w:t xml:space="preserve">can </w:t>
      </w:r>
      <w:r w:rsidRPr="00A52AB8">
        <w:rPr>
          <w:rFonts w:eastAsia="Malgun Gothic"/>
          <w:sz w:val="18"/>
          <w:szCs w:val="18"/>
        </w:rPr>
        <w:t xml:space="preserve">be desirable (e.g., for random access at an IRAP </w:t>
      </w:r>
      <w:r w:rsidR="003D47FD" w:rsidRPr="00A52AB8">
        <w:rPr>
          <w:rFonts w:eastAsia="Malgun Gothic"/>
          <w:sz w:val="18"/>
          <w:szCs w:val="18"/>
        </w:rPr>
        <w:t xml:space="preserve">coded </w:t>
      </w:r>
      <w:r w:rsidR="00586857" w:rsidRPr="00A52AB8">
        <w:rPr>
          <w:rFonts w:eastAsia="Malgun Gothic"/>
          <w:sz w:val="18"/>
          <w:szCs w:val="18"/>
        </w:rPr>
        <w:t>atlas frame</w:t>
      </w:r>
      <w:r w:rsidRPr="00A52AB8">
        <w:rPr>
          <w:rFonts w:eastAsia="Malgun Gothic"/>
          <w:sz w:val="18"/>
          <w:szCs w:val="18"/>
        </w:rPr>
        <w:t xml:space="preserve"> or a non-IRAP </w:t>
      </w:r>
      <w:r w:rsidR="003D47FD" w:rsidRPr="00A52AB8">
        <w:rPr>
          <w:rFonts w:eastAsia="Malgun Gothic"/>
          <w:sz w:val="18"/>
          <w:szCs w:val="18"/>
        </w:rPr>
        <w:t xml:space="preserve">coded </w:t>
      </w:r>
      <w:r w:rsidR="00586857" w:rsidRPr="00A52AB8">
        <w:rPr>
          <w:rFonts w:eastAsia="Malgun Gothic"/>
          <w:sz w:val="18"/>
          <w:szCs w:val="18"/>
        </w:rPr>
        <w:t>atlas frame</w:t>
      </w:r>
      <w:r w:rsidRPr="00A52AB8">
        <w:rPr>
          <w:rFonts w:eastAsia="Malgun Gothic"/>
          <w:sz w:val="18"/>
          <w:szCs w:val="18"/>
        </w:rPr>
        <w:t xml:space="preserve"> or for bitstream splicing).</w:t>
      </w:r>
    </w:p>
    <w:p w14:paraId="6CD7A852" w14:textId="77777777" w:rsidR="00F4336E" w:rsidRPr="00A52AB8" w:rsidRDefault="00F4336E" w:rsidP="00F4336E">
      <w:pPr>
        <w:rPr>
          <w:rFonts w:eastAsia="Malgun Gothic"/>
        </w:rPr>
      </w:pPr>
      <w:r w:rsidRPr="00A52AB8">
        <w:rPr>
          <w:b/>
        </w:rPr>
        <w:t>bp_nal_hrd_params_present_flag</w:t>
      </w:r>
      <w:r w:rsidRPr="00A52AB8">
        <w:t xml:space="preserve"> </w:t>
      </w:r>
      <w:r w:rsidRPr="00A52AB8">
        <w:rPr>
          <w:rFonts w:eastAsia="Malgun Gothic"/>
        </w:rPr>
        <w:t>equal to 1 specifies that a list of syntax element pairs bp_nal_initial_cab_removal_delay[ i ][ j ] and bp_nal_initial_cab_removal_offset[ i ][ j ] are present in the buffering period SEI message. bp_nal_hrd_params_present_flag equal to 0 specifies that no syntax element pairs bp_nal_initial_cab_removal_delay[ i ][ j ] and bp_nal_initial_cab_removal_offset[ i ][ j ] are present in the buffering period SEI message.</w:t>
      </w:r>
    </w:p>
    <w:p w14:paraId="28613153" w14:textId="292E3BC6" w:rsidR="00F4336E" w:rsidRPr="00A52AB8" w:rsidRDefault="00F4336E" w:rsidP="00F4336E">
      <w:pPr>
        <w:spacing w:line="240" w:lineRule="exact"/>
      </w:pPr>
      <w:r w:rsidRPr="00A52AB8">
        <w:t>It is a requirement of bitstream conformance tha</w:t>
      </w:r>
      <w:r w:rsidR="000B7107" w:rsidRPr="00A52AB8">
        <w:t>t</w:t>
      </w:r>
      <w:r w:rsidRPr="00A52AB8">
        <w:t xml:space="preserve"> the value of bp_nal_hrd_params_present_flag shall be equal to hrd_nal_parameters_present_flag.</w:t>
      </w:r>
    </w:p>
    <w:p w14:paraId="44C8C027" w14:textId="77777777" w:rsidR="000B7107" w:rsidRPr="00A52AB8" w:rsidRDefault="000B7107" w:rsidP="000B7107">
      <w:r w:rsidRPr="00A52AB8">
        <w:t>The variable NalHrdBpPresentFlag is derived as follows:</w:t>
      </w:r>
    </w:p>
    <w:p w14:paraId="648074B4" w14:textId="77777777" w:rsidR="000B7107" w:rsidRPr="00A52AB8" w:rsidRDefault="000B7107" w:rsidP="000B7107">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If one or more of the following conditions are true, then the value of NalHrdBpPresentFlag is set equal to 1:</w:t>
      </w:r>
    </w:p>
    <w:p w14:paraId="2F0A03BE" w14:textId="150AC902" w:rsidR="000B7107" w:rsidRPr="00A52AB8" w:rsidRDefault="000B7107" w:rsidP="000B7107">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t xml:space="preserve">bp_nal_hrd_params_present_flag </w:t>
      </w:r>
      <w:r w:rsidRPr="00A52AB8">
        <w:rPr>
          <w:color w:val="000000" w:themeColor="text1"/>
        </w:rPr>
        <w:t>is present in the bitstream and is equal to 1.</w:t>
      </w:r>
    </w:p>
    <w:p w14:paraId="2E3E6E82" w14:textId="77777777" w:rsidR="000B7107" w:rsidRPr="00A52AB8" w:rsidRDefault="000B7107" w:rsidP="000B7107">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The need for presence of buffering periods for NAL HRD operation to be present in the bitstream in buffering period SEI messages is determined by the application, by some means not specified in this document.</w:t>
      </w:r>
    </w:p>
    <w:p w14:paraId="2C224CF1" w14:textId="77777777" w:rsidR="000B7107" w:rsidRPr="00A52AB8" w:rsidRDefault="000B7107" w:rsidP="000B7107">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Otherwise, the value of NalHrdBpPresentFlag is set equal to 0.</w:t>
      </w:r>
    </w:p>
    <w:p w14:paraId="33AE0768" w14:textId="77777777" w:rsidR="00F4336E" w:rsidRPr="00A52AB8" w:rsidRDefault="00F4336E" w:rsidP="00F4336E">
      <w:r w:rsidRPr="00A52AB8">
        <w:rPr>
          <w:b/>
        </w:rPr>
        <w:t>bp_acl_hrd_params_present_flag</w:t>
      </w:r>
      <w:r w:rsidRPr="00A52AB8">
        <w:t xml:space="preserve"> equal to 1 specifies that a list of syntax element pairs bp_acl_initial_cab_removal_delay</w:t>
      </w:r>
      <w:r w:rsidRPr="00A52AB8">
        <w:rPr>
          <w:bCs/>
        </w:rPr>
        <w:t>[</w:t>
      </w:r>
      <w:r w:rsidRPr="00A52AB8">
        <w:t> i </w:t>
      </w:r>
      <w:r w:rsidRPr="00A52AB8">
        <w:rPr>
          <w:bCs/>
        </w:rPr>
        <w:t xml:space="preserve">][ j ] and bp_acl_initial_cab_removal_offset[ i ][ j ] </w:t>
      </w:r>
      <w:r w:rsidRPr="00A52AB8">
        <w:t>are present in the buffering period SEI message. bp_acl_hrd_params_present_flag equal to 0 specifies that no syntax element pairs bp_acl_initial_cab_removal_delay</w:t>
      </w:r>
      <w:r w:rsidRPr="00A52AB8">
        <w:rPr>
          <w:bCs/>
        </w:rPr>
        <w:t>[</w:t>
      </w:r>
      <w:r w:rsidRPr="00A52AB8">
        <w:t> i </w:t>
      </w:r>
      <w:r w:rsidRPr="00A52AB8">
        <w:rPr>
          <w:bCs/>
        </w:rPr>
        <w:t xml:space="preserve">][ j ] and bp_acl_initial_cab_removal_offset[ i ][ j ] </w:t>
      </w:r>
      <w:r w:rsidRPr="00A52AB8">
        <w:t>are present in the buffering period SEI message.</w:t>
      </w:r>
    </w:p>
    <w:p w14:paraId="365EFAD9" w14:textId="77777777" w:rsidR="00F4336E" w:rsidRPr="00A52AB8" w:rsidRDefault="00F4336E" w:rsidP="00F4336E">
      <w:pPr>
        <w:spacing w:line="240" w:lineRule="exact"/>
      </w:pPr>
      <w:r w:rsidRPr="00A52AB8">
        <w:t>It is a requirement of bitstream conformance that the value of bp_acl_hrd_params_present_flag shall be equal to hrd_acl_parameters_present_flag.</w:t>
      </w:r>
    </w:p>
    <w:p w14:paraId="74CA170B" w14:textId="298B0290" w:rsidR="00F4336E" w:rsidRPr="00A52AB8" w:rsidRDefault="00F4336E" w:rsidP="00F4336E">
      <w:pPr>
        <w:spacing w:line="240" w:lineRule="exact"/>
      </w:pPr>
      <w:r w:rsidRPr="00A52AB8">
        <w:t>It is a requirement of bitstream conformance that the values of bp_acl_hrd_params_present_flag and bp_nal_hrd_params_present_flag in a bufferi</w:t>
      </w:r>
      <w:r w:rsidR="002502D0" w:rsidRPr="00A52AB8">
        <w:t>n</w:t>
      </w:r>
      <w:r w:rsidRPr="00A52AB8">
        <w:t>g period SEI message shall not be both equal to 0.</w:t>
      </w:r>
    </w:p>
    <w:p w14:paraId="1DF8F7C9" w14:textId="77777777" w:rsidR="00985A77" w:rsidRPr="00A52AB8" w:rsidRDefault="00985A77" w:rsidP="00985A77">
      <w:r w:rsidRPr="00A52AB8">
        <w:t>The variable AclHrdBpPresentFlag is derived as follows:</w:t>
      </w:r>
    </w:p>
    <w:p w14:paraId="7346AE16" w14:textId="77777777" w:rsidR="00985A77" w:rsidRPr="00A52AB8" w:rsidRDefault="00985A77" w:rsidP="00985A77">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If one or more of the following conditions are true, then the value of AclHrdBpPresentFlag is set equal to 1:</w:t>
      </w:r>
    </w:p>
    <w:p w14:paraId="79917A8C" w14:textId="6032EE47" w:rsidR="00985A77" w:rsidRPr="00A52AB8" w:rsidRDefault="00985A77" w:rsidP="00985A77">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t xml:space="preserve">bp_acl_hrd_params_present_flag </w:t>
      </w:r>
      <w:r w:rsidRPr="00A52AB8">
        <w:rPr>
          <w:color w:val="000000" w:themeColor="text1"/>
        </w:rPr>
        <w:t>is present in the bitstream and is equal to 1.</w:t>
      </w:r>
    </w:p>
    <w:p w14:paraId="5D17571A" w14:textId="77777777" w:rsidR="00985A77" w:rsidRPr="00A52AB8" w:rsidRDefault="00985A77" w:rsidP="00985A77">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The need for presence of buffering periods for ACL HRD operation to be present in the bitstream in buffering period SEI messages is determined by the application, by some means not specified in this document.</w:t>
      </w:r>
    </w:p>
    <w:p w14:paraId="63755F3A" w14:textId="77777777" w:rsidR="00985A77" w:rsidRPr="00A52AB8" w:rsidRDefault="00985A77" w:rsidP="00985A77">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pPr>
      <w:r w:rsidRPr="00A52AB8">
        <w:t>Otherwise, the value of AclHrdBpPresentFlag is set equal to 0.</w:t>
      </w:r>
    </w:p>
    <w:p w14:paraId="28D32BA8" w14:textId="77777777" w:rsidR="00985A77" w:rsidRPr="00A52AB8" w:rsidRDefault="00985A77" w:rsidP="00985A77">
      <w:r w:rsidRPr="00A52AB8">
        <w:t>The variable CabDabDelaysPresentFlag is derived as follows:</w:t>
      </w:r>
    </w:p>
    <w:p w14:paraId="483EA1F9" w14:textId="77777777" w:rsidR="00985A77" w:rsidRPr="00A52AB8" w:rsidRDefault="00985A77" w:rsidP="00985A77">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pPr>
      <w:r w:rsidRPr="00A52AB8">
        <w:t>If one or more of the following conditions are true, then the value of CabDabDelaysPresentFlag is set equal to 1:</w:t>
      </w:r>
    </w:p>
    <w:p w14:paraId="25D8B469" w14:textId="1DE1A1EB" w:rsidR="00985A77" w:rsidRPr="00A52AB8" w:rsidRDefault="00985A77" w:rsidP="00985A77">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t xml:space="preserve">bp_nal_hrd_params_present_flag </w:t>
      </w:r>
      <w:r w:rsidRPr="00A52AB8">
        <w:rPr>
          <w:color w:val="000000" w:themeColor="text1"/>
        </w:rPr>
        <w:t>is present in the bitstream and is equal to 1.</w:t>
      </w:r>
    </w:p>
    <w:p w14:paraId="058DE9A7" w14:textId="740D8272" w:rsidR="00985A77" w:rsidRPr="00A52AB8" w:rsidRDefault="00985A77" w:rsidP="00985A77">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t xml:space="preserve">bp_acl_hrd_params_present_flag </w:t>
      </w:r>
      <w:r w:rsidRPr="00A52AB8">
        <w:rPr>
          <w:color w:val="000000" w:themeColor="text1"/>
        </w:rPr>
        <w:t>is present in the bitstream and is equal to 1.</w:t>
      </w:r>
    </w:p>
    <w:p w14:paraId="3049666A" w14:textId="77777777" w:rsidR="00985A77" w:rsidRPr="00A52AB8" w:rsidRDefault="00985A77" w:rsidP="00985A77">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pPr>
      <w:r w:rsidRPr="00A52AB8">
        <w:rPr>
          <w:color w:val="000000" w:themeColor="text1"/>
        </w:rPr>
        <w:t>The need for presence of CAB and DAB output delays to be present in the bitstream in atlas timing SEI messages is</w:t>
      </w:r>
      <w:r w:rsidRPr="00A52AB8">
        <w:t xml:space="preserve"> determined by the application, by some means not specified in this document.</w:t>
      </w:r>
    </w:p>
    <w:p w14:paraId="0AEAB392" w14:textId="77777777" w:rsidR="00985A77" w:rsidRPr="00A52AB8" w:rsidRDefault="00985A77" w:rsidP="00985A77">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pPr>
      <w:r w:rsidRPr="00A52AB8">
        <w:t>Otherwise, the value of CabDabDelaysPresentFlag is set equal to 0.</w:t>
      </w:r>
    </w:p>
    <w:p w14:paraId="72C288D0" w14:textId="7F276CD9" w:rsidR="00A00FE4" w:rsidRPr="00A52AB8" w:rsidRDefault="00F4336E" w:rsidP="00F4336E">
      <w:pPr>
        <w:spacing w:line="240" w:lineRule="exact"/>
      </w:pPr>
      <w:r w:rsidRPr="00A52AB8">
        <w:rPr>
          <w:b/>
        </w:rPr>
        <w:t>bp_initial_cab_removal_delay_length_minus1</w:t>
      </w:r>
      <w:r w:rsidRPr="00A52AB8">
        <w:t xml:space="preserve"> plus 1 specifies the length, in bits, of th</w:t>
      </w:r>
      <w:r w:rsidR="00A63679" w:rsidRPr="00A52AB8">
        <w:t xml:space="preserve">e j-th default and alternative initial CAB removal delays and offsets, respectively, </w:t>
      </w:r>
      <w:r w:rsidR="00A63679" w:rsidRPr="00A52AB8">
        <w:rPr>
          <w:bCs/>
        </w:rPr>
        <w:t>for the i-th temporal sub</w:t>
      </w:r>
      <w:r w:rsidR="008547DA" w:rsidRPr="00A52AB8">
        <w:rPr>
          <w:bCs/>
        </w:rPr>
        <w:t>-</w:t>
      </w:r>
      <w:r w:rsidR="00A63679" w:rsidRPr="00A52AB8">
        <w:rPr>
          <w:bCs/>
        </w:rPr>
        <w:t>layer</w:t>
      </w:r>
      <w:r w:rsidR="00A63679" w:rsidRPr="00A52AB8">
        <w:t>.</w:t>
      </w:r>
      <w:r w:rsidRPr="00A52AB8">
        <w:t>of the buffering period SEI message</w:t>
      </w:r>
      <w:r w:rsidR="00ED36BC" w:rsidRPr="00A52AB8">
        <w:t>s</w:t>
      </w:r>
      <w:r w:rsidRPr="00A52AB8">
        <w:t>. When not present, the value of bp_initial_</w:t>
      </w:r>
      <w:r w:rsidR="00ED36BC" w:rsidRPr="00A52AB8">
        <w:t>cab_</w:t>
      </w:r>
      <w:r w:rsidRPr="00A52AB8">
        <w:t>removal_delay_length_minus1 is inferred to be equal to 23.</w:t>
      </w:r>
    </w:p>
    <w:p w14:paraId="59F7699D" w14:textId="342FAF4E" w:rsidR="00F4336E" w:rsidRPr="00A52AB8" w:rsidRDefault="00F4336E" w:rsidP="00F4336E">
      <w:r w:rsidRPr="00A52AB8">
        <w:rPr>
          <w:b/>
        </w:rPr>
        <w:t>bp_au_cab_removal_delay_length_minus1</w:t>
      </w:r>
      <w:r w:rsidRPr="00A52AB8">
        <w:t xml:space="preserve"> plus 1 specifies the length, in bits, of the syntax elements bp_cab</w:t>
      </w:r>
      <w:r w:rsidR="00F55FAC" w:rsidRPr="00A52AB8">
        <w:t>_</w:t>
      </w:r>
      <w:r w:rsidRPr="00A52AB8">
        <w:t>delay_offset in the buffering period SEI message and the syntax element</w:t>
      </w:r>
      <w:r w:rsidR="00BC5A2A" w:rsidRPr="00A52AB8">
        <w:t>s</w:t>
      </w:r>
      <w:r w:rsidRPr="00A52AB8">
        <w:t xml:space="preserve"> </w:t>
      </w:r>
      <w:r w:rsidR="00BC5A2A" w:rsidRPr="00A52AB8">
        <w:t>aft_au_cab_remova</w:t>
      </w:r>
      <w:r w:rsidRPr="00A52AB8">
        <w:t>l_delay_minus1</w:t>
      </w:r>
      <w:r w:rsidRPr="00A52AB8">
        <w:rPr>
          <w:rFonts w:eastAsia="Malgun Gothic"/>
        </w:rPr>
        <w:t>[ i ]</w:t>
      </w:r>
      <w:r w:rsidRPr="00A52AB8">
        <w:t xml:space="preserve"> in the atlas frame timing SEI messages in the current buffering period. When not present, the value of bp_</w:t>
      </w:r>
      <w:r w:rsidR="00ED36BC" w:rsidRPr="00A52AB8">
        <w:t>au_</w:t>
      </w:r>
      <w:r w:rsidRPr="00A52AB8">
        <w:t>cab_removal_delay_length_minus1 is inferred to be equal to 23.</w:t>
      </w:r>
    </w:p>
    <w:p w14:paraId="0093F23E" w14:textId="24650C05" w:rsidR="00F4336E" w:rsidRPr="00A52AB8" w:rsidRDefault="00F4336E" w:rsidP="00F4336E">
      <w:bookmarkStart w:id="5639" w:name="_Hlk50744138"/>
      <w:r w:rsidRPr="00A52AB8">
        <w:rPr>
          <w:b/>
        </w:rPr>
        <w:t>bp_dab_output_delay_length_minus1</w:t>
      </w:r>
      <w:r w:rsidRPr="00A52AB8">
        <w:t xml:space="preserve"> plus 1 specifies the length, in bits, of the syntax elements </w:t>
      </w:r>
      <w:r w:rsidR="002F0996" w:rsidRPr="00A52AB8">
        <w:t>bp_dab</w:t>
      </w:r>
      <w:r w:rsidR="00F55FAC" w:rsidRPr="00A52AB8">
        <w:t>_</w:t>
      </w:r>
      <w:r w:rsidR="002F0996" w:rsidRPr="00A52AB8">
        <w:t xml:space="preserve">delay_offset syntax element in the buffering period SEI message and </w:t>
      </w:r>
      <w:r w:rsidRPr="00A52AB8">
        <w:t>aft_dab_output_delay</w:t>
      </w:r>
      <w:r w:rsidRPr="00A52AB8">
        <w:rPr>
          <w:rFonts w:eastAsia="Malgun Gothic"/>
        </w:rPr>
        <w:t>[ i ]</w:t>
      </w:r>
      <w:r w:rsidRPr="00A52AB8">
        <w:t xml:space="preserve"> in the atlas frame timing SEI messag</w:t>
      </w:r>
      <w:r w:rsidR="002F0996" w:rsidRPr="00A52AB8">
        <w:t>e</w:t>
      </w:r>
      <w:r w:rsidRPr="00A52AB8">
        <w:t>. When not present, the value of bp_dab_output_delay_length_minus1 is inferred to be equal to 23.</w:t>
      </w:r>
    </w:p>
    <w:bookmarkEnd w:id="5639"/>
    <w:p w14:paraId="1D00AD79" w14:textId="4C408BEB" w:rsidR="00963E0E" w:rsidRPr="00A52AB8" w:rsidRDefault="00A5700A">
      <w:pPr>
        <w:rPr>
          <w:rFonts w:eastAsia="Malgun Gothic"/>
          <w:b/>
          <w:bCs/>
        </w:rPr>
      </w:pPr>
      <w:r w:rsidRPr="00A52AB8">
        <w:rPr>
          <w:rFonts w:eastAsia="Malgun Gothic"/>
          <w:b/>
          <w:bCs/>
        </w:rPr>
        <w:t>bp_</w:t>
      </w:r>
      <w:r w:rsidR="00963E0E" w:rsidRPr="00A52AB8">
        <w:rPr>
          <w:rFonts w:eastAsia="Malgun Gothic"/>
          <w:b/>
          <w:bCs/>
        </w:rPr>
        <w:t>irap_cab_params_present_flag</w:t>
      </w:r>
      <w:r w:rsidR="00963E0E" w:rsidRPr="00A52AB8">
        <w:rPr>
          <w:rFonts w:eastAsia="Malgun Gothic"/>
        </w:rPr>
        <w:t xml:space="preserve"> equal to 1 specifies the presence of the </w:t>
      </w:r>
      <w:r w:rsidR="005F133D" w:rsidRPr="00A52AB8">
        <w:rPr>
          <w:rFonts w:eastAsia="Malgun Gothic"/>
        </w:rPr>
        <w:t>bp_</w:t>
      </w:r>
      <w:r w:rsidR="00B32A91" w:rsidRPr="00A52AB8">
        <w:rPr>
          <w:rFonts w:eastAsia="Malgun Gothic"/>
        </w:rPr>
        <w:t>nal</w:t>
      </w:r>
      <w:r w:rsidR="005F133D" w:rsidRPr="00A52AB8">
        <w:rPr>
          <w:rFonts w:eastAsia="Malgun Gothic"/>
        </w:rPr>
        <w:t>_</w:t>
      </w:r>
      <w:r w:rsidR="00963E0E" w:rsidRPr="00A52AB8">
        <w:rPr>
          <w:rFonts w:eastAsia="Malgun Gothic"/>
          <w:bCs/>
          <w:color w:val="000000"/>
        </w:rPr>
        <w:t>initial_alt_cab_removal_delay</w:t>
      </w:r>
      <w:r w:rsidR="00F4336E" w:rsidRPr="00A52AB8">
        <w:rPr>
          <w:rFonts w:eastAsia="Malgun Gothic"/>
        </w:rPr>
        <w:t>[ Htid ]</w:t>
      </w:r>
      <w:r w:rsidR="001F4484" w:rsidRPr="00A52AB8">
        <w:rPr>
          <w:rFonts w:eastAsia="Malgun Gothic"/>
          <w:bCs/>
          <w:color w:val="000000"/>
        </w:rPr>
        <w:t>[ i ]</w:t>
      </w:r>
      <w:r w:rsidR="00B32A91" w:rsidRPr="00A52AB8">
        <w:rPr>
          <w:rFonts w:eastAsia="Malgun Gothic"/>
          <w:bCs/>
          <w:color w:val="000000"/>
        </w:rPr>
        <w:t xml:space="preserve">, </w:t>
      </w:r>
      <w:r w:rsidR="00B32A91" w:rsidRPr="00A52AB8">
        <w:rPr>
          <w:rFonts w:eastAsia="Malgun Gothic"/>
        </w:rPr>
        <w:t>bp_nal_</w:t>
      </w:r>
      <w:r w:rsidR="00B32A91" w:rsidRPr="00A52AB8">
        <w:rPr>
          <w:rFonts w:eastAsia="Malgun Gothic"/>
          <w:bCs/>
          <w:color w:val="000000"/>
        </w:rPr>
        <w:t>initial_alt_cab_removal_delay</w:t>
      </w:r>
      <w:r w:rsidR="00B32A91" w:rsidRPr="00A52AB8">
        <w:rPr>
          <w:rFonts w:eastAsia="Malgun Gothic"/>
        </w:rPr>
        <w:t>[ Htid ]</w:t>
      </w:r>
      <w:r w:rsidR="00B32A91" w:rsidRPr="00A52AB8">
        <w:rPr>
          <w:rFonts w:eastAsia="Malgun Gothic"/>
          <w:bCs/>
          <w:color w:val="000000"/>
        </w:rPr>
        <w:t>[ i ], bp_acl_initial_alt_cab_removal_offset</w:t>
      </w:r>
      <w:r w:rsidR="00B32A91" w:rsidRPr="00A52AB8">
        <w:rPr>
          <w:rFonts w:eastAsia="Malgun Gothic"/>
        </w:rPr>
        <w:t>[ Htid ]</w:t>
      </w:r>
      <w:r w:rsidR="00B32A91" w:rsidRPr="00A52AB8">
        <w:rPr>
          <w:rFonts w:eastAsia="Malgun Gothic"/>
          <w:bCs/>
          <w:color w:val="000000"/>
        </w:rPr>
        <w:t>[ i ]</w:t>
      </w:r>
      <w:r w:rsidR="00963E0E" w:rsidRPr="00A52AB8">
        <w:rPr>
          <w:rFonts w:eastAsia="Malgun Gothic"/>
          <w:bCs/>
          <w:color w:val="000000"/>
        </w:rPr>
        <w:t xml:space="preserve"> and </w:t>
      </w:r>
      <w:r w:rsidR="005F133D" w:rsidRPr="00A52AB8">
        <w:rPr>
          <w:rFonts w:eastAsia="Malgun Gothic"/>
          <w:bCs/>
          <w:color w:val="000000"/>
        </w:rPr>
        <w:t>bp_acl_</w:t>
      </w:r>
      <w:r w:rsidR="00963E0E" w:rsidRPr="00A52AB8">
        <w:rPr>
          <w:rFonts w:eastAsia="Malgun Gothic"/>
          <w:bCs/>
          <w:color w:val="000000"/>
        </w:rPr>
        <w:t>initial_alt_cab_removal_offset</w:t>
      </w:r>
      <w:r w:rsidR="00F4336E" w:rsidRPr="00A52AB8">
        <w:rPr>
          <w:rFonts w:eastAsia="Malgun Gothic"/>
        </w:rPr>
        <w:t>[ Htid ]</w:t>
      </w:r>
      <w:r w:rsidR="001F4484" w:rsidRPr="00A52AB8">
        <w:rPr>
          <w:rFonts w:eastAsia="Malgun Gothic"/>
          <w:bCs/>
          <w:color w:val="000000"/>
        </w:rPr>
        <w:t>[ i ]</w:t>
      </w:r>
      <w:r w:rsidR="00963E0E" w:rsidRPr="00A52AB8">
        <w:rPr>
          <w:rFonts w:eastAsia="Malgun Gothic"/>
          <w:bCs/>
          <w:color w:val="000000"/>
        </w:rPr>
        <w:t xml:space="preserve"> syntax elements.</w:t>
      </w:r>
      <w:r w:rsidR="00963E0E" w:rsidRPr="00A52AB8">
        <w:rPr>
          <w:rFonts w:eastAsia="Malgun Gothic"/>
          <w:color w:val="000000"/>
        </w:rPr>
        <w:t xml:space="preserve"> When not present, the value of </w:t>
      </w:r>
      <w:r w:rsidR="007641D2" w:rsidRPr="00A52AB8">
        <w:rPr>
          <w:rFonts w:eastAsia="Malgun Gothic"/>
          <w:color w:val="000000"/>
        </w:rPr>
        <w:t>bp_</w:t>
      </w:r>
      <w:r w:rsidR="00963E0E" w:rsidRPr="00A52AB8">
        <w:rPr>
          <w:rFonts w:eastAsia="Malgun Gothic"/>
          <w:color w:val="000000"/>
        </w:rPr>
        <w:t>irap_cab_params_present_flag is inferred to be equal to 0. W</w:t>
      </w:r>
      <w:r w:rsidR="00963E0E" w:rsidRPr="00A52AB8">
        <w:rPr>
          <w:rFonts w:eastAsia="Malgun Gothic"/>
        </w:rPr>
        <w:t>hen the associated atlas</w:t>
      </w:r>
      <w:r w:rsidR="00B32A91" w:rsidRPr="00A52AB8">
        <w:rPr>
          <w:rFonts w:eastAsia="Malgun Gothic"/>
        </w:rPr>
        <w:t xml:space="preserve"> frame</w:t>
      </w:r>
      <w:r w:rsidR="00963E0E" w:rsidRPr="00A52AB8">
        <w:rPr>
          <w:rFonts w:eastAsia="Malgun Gothic"/>
        </w:rPr>
        <w:t xml:space="preserve"> is neither a CRA atlas</w:t>
      </w:r>
      <w:r w:rsidR="00B32A91" w:rsidRPr="00A52AB8">
        <w:rPr>
          <w:rFonts w:eastAsia="Malgun Gothic"/>
        </w:rPr>
        <w:t xml:space="preserve"> frame</w:t>
      </w:r>
      <w:r w:rsidR="00963E0E" w:rsidRPr="00A52AB8">
        <w:rPr>
          <w:rFonts w:eastAsia="Malgun Gothic"/>
        </w:rPr>
        <w:t xml:space="preserve"> nor a BLA atlas</w:t>
      </w:r>
      <w:r w:rsidR="00B32A91" w:rsidRPr="00A52AB8">
        <w:rPr>
          <w:rFonts w:eastAsia="Malgun Gothic"/>
        </w:rPr>
        <w:t xml:space="preserve"> fame</w:t>
      </w:r>
      <w:r w:rsidR="00963E0E" w:rsidRPr="00A52AB8">
        <w:rPr>
          <w:rFonts w:eastAsia="Malgun Gothic"/>
        </w:rPr>
        <w:t>, t</w:t>
      </w:r>
      <w:r w:rsidR="00963E0E" w:rsidRPr="00A52AB8">
        <w:rPr>
          <w:rFonts w:eastAsia="Malgun Gothic"/>
          <w:color w:val="000000"/>
        </w:rPr>
        <w:t xml:space="preserve">he value of </w:t>
      </w:r>
      <w:r w:rsidR="007641D2" w:rsidRPr="00A52AB8">
        <w:rPr>
          <w:rFonts w:eastAsia="Malgun Gothic"/>
          <w:color w:val="000000"/>
        </w:rPr>
        <w:t>bp_</w:t>
      </w:r>
      <w:r w:rsidR="00963E0E" w:rsidRPr="00A52AB8">
        <w:rPr>
          <w:rFonts w:eastAsia="Malgun Gothic"/>
          <w:color w:val="000000"/>
        </w:rPr>
        <w:t xml:space="preserve">irap_cab_params_present_flag </w:t>
      </w:r>
      <w:r w:rsidR="00963E0E" w:rsidRPr="00A52AB8">
        <w:rPr>
          <w:rFonts w:eastAsia="Malgun Gothic"/>
        </w:rPr>
        <w:t>shall be equal to 0.</w:t>
      </w:r>
    </w:p>
    <w:p w14:paraId="3E0BCA15" w14:textId="58A2362F" w:rsidR="00963E0E" w:rsidRPr="00A52AB8" w:rsidRDefault="00A5700A">
      <w:pPr>
        <w:rPr>
          <w:rFonts w:eastAsia="Malgun Gothic"/>
        </w:rPr>
      </w:pPr>
      <w:r w:rsidRPr="00A52AB8">
        <w:rPr>
          <w:rFonts w:eastAsia="Malgun Gothic"/>
          <w:b/>
          <w:bCs/>
        </w:rPr>
        <w:t>bp_</w:t>
      </w:r>
      <w:r w:rsidR="00963E0E" w:rsidRPr="00A52AB8">
        <w:rPr>
          <w:rFonts w:eastAsia="Malgun Gothic"/>
          <w:b/>
          <w:bCs/>
        </w:rPr>
        <w:t>cab_delay_offset</w:t>
      </w:r>
      <w:r w:rsidR="00963E0E" w:rsidRPr="00A52AB8">
        <w:rPr>
          <w:rFonts w:eastAsia="Times New Roman"/>
        </w:rPr>
        <w:t xml:space="preserve"> specifies an offset to be used in the derivation of the nominal CAB removal times of access units following, in decoding order, the CRA or BLA </w:t>
      </w:r>
      <w:r w:rsidR="00B32A91" w:rsidRPr="00A52AB8">
        <w:rPr>
          <w:rFonts w:eastAsia="Times New Roman"/>
        </w:rPr>
        <w:t>coded atlas frame</w:t>
      </w:r>
      <w:r w:rsidR="00963E0E" w:rsidRPr="00A52AB8">
        <w:rPr>
          <w:rFonts w:eastAsia="Times New Roman"/>
        </w:rPr>
        <w:t xml:space="preserve"> associated with the buffering period SEI message when the RASL </w:t>
      </w:r>
      <w:r w:rsidR="00B32A91" w:rsidRPr="00A52AB8">
        <w:rPr>
          <w:rFonts w:eastAsia="Times New Roman"/>
        </w:rPr>
        <w:t xml:space="preserve">coded atlas </w:t>
      </w:r>
      <w:r w:rsidR="00963E0E" w:rsidRPr="00A52AB8">
        <w:rPr>
          <w:rFonts w:eastAsia="Times New Roman"/>
        </w:rPr>
        <w:t xml:space="preserve">access units associated with the CRA or BLA access unit are not present. </w:t>
      </w:r>
      <w:r w:rsidR="00963E0E" w:rsidRPr="00A52AB8">
        <w:rPr>
          <w:rFonts w:eastAsia="Malgun Gothic"/>
        </w:rPr>
        <w:t xml:space="preserve">The syntax element has a length in bits given by </w:t>
      </w:r>
      <w:r w:rsidR="00BC5A2A" w:rsidRPr="00A52AB8">
        <w:rPr>
          <w:rFonts w:eastAsia="Malgun Gothic"/>
        </w:rPr>
        <w:t>bp</w:t>
      </w:r>
      <w:r w:rsidRPr="00A52AB8">
        <w:rPr>
          <w:rFonts w:eastAsia="Malgun Gothic"/>
        </w:rPr>
        <w:t>_</w:t>
      </w:r>
      <w:r w:rsidR="00963E0E" w:rsidRPr="00A52AB8">
        <w:rPr>
          <w:rFonts w:eastAsia="Malgun Gothic"/>
        </w:rPr>
        <w:t xml:space="preserve">au_cab_removal_delay_length_minus1 + 1. When not present, the value of </w:t>
      </w:r>
      <w:r w:rsidR="007641D2" w:rsidRPr="00A52AB8">
        <w:rPr>
          <w:rFonts w:eastAsia="Malgun Gothic"/>
        </w:rPr>
        <w:t>bp_</w:t>
      </w:r>
      <w:r w:rsidR="00963E0E" w:rsidRPr="00A52AB8">
        <w:rPr>
          <w:rFonts w:eastAsia="Malgun Gothic"/>
        </w:rPr>
        <w:t>cab_delay_offset is inferred to be equal to 0.</w:t>
      </w:r>
    </w:p>
    <w:p w14:paraId="65545A46" w14:textId="1227F5A5" w:rsidR="00963E0E" w:rsidRPr="00A52AB8" w:rsidRDefault="00A5700A">
      <w:pPr>
        <w:rPr>
          <w:rFonts w:eastAsia="Malgun Gothic"/>
        </w:rPr>
      </w:pPr>
      <w:r w:rsidRPr="00A52AB8">
        <w:rPr>
          <w:rFonts w:eastAsia="Malgun Gothic"/>
          <w:b/>
          <w:bCs/>
        </w:rPr>
        <w:t>bp_</w:t>
      </w:r>
      <w:r w:rsidR="00963E0E" w:rsidRPr="00A52AB8">
        <w:rPr>
          <w:rFonts w:eastAsia="Malgun Gothic"/>
          <w:b/>
          <w:bCs/>
        </w:rPr>
        <w:t>dab_delay_offset</w:t>
      </w:r>
      <w:r w:rsidR="00963E0E" w:rsidRPr="00A52AB8">
        <w:rPr>
          <w:rFonts w:eastAsia="Times New Roman"/>
        </w:rPr>
        <w:t xml:space="preserve"> specifies an offset to be used in the derivation of the DAB output times of the CRA or BLA </w:t>
      </w:r>
      <w:r w:rsidR="00B32A91" w:rsidRPr="00A52AB8">
        <w:rPr>
          <w:rFonts w:eastAsia="Times New Roman"/>
        </w:rPr>
        <w:t xml:space="preserve">coded atlas </w:t>
      </w:r>
      <w:r w:rsidR="00963E0E" w:rsidRPr="00A52AB8">
        <w:rPr>
          <w:rFonts w:eastAsia="Times New Roman"/>
        </w:rPr>
        <w:t xml:space="preserve">access unit associated with the buffering period SEI message when the RASL </w:t>
      </w:r>
      <w:r w:rsidR="00B32A91" w:rsidRPr="00A52AB8">
        <w:rPr>
          <w:rFonts w:eastAsia="Times New Roman"/>
        </w:rPr>
        <w:t xml:space="preserve">coded atlas </w:t>
      </w:r>
      <w:r w:rsidR="00963E0E" w:rsidRPr="00A52AB8">
        <w:rPr>
          <w:rFonts w:eastAsia="Times New Roman"/>
        </w:rPr>
        <w:t xml:space="preserve">access units associated with the CRA or BLA </w:t>
      </w:r>
      <w:r w:rsidR="00B32A91" w:rsidRPr="00A52AB8">
        <w:rPr>
          <w:rFonts w:eastAsia="Times New Roman"/>
        </w:rPr>
        <w:t xml:space="preserve">coded atlas </w:t>
      </w:r>
      <w:r w:rsidR="00963E0E" w:rsidRPr="00A52AB8">
        <w:rPr>
          <w:rFonts w:eastAsia="Times New Roman"/>
        </w:rPr>
        <w:t xml:space="preserve">access unit are not present. </w:t>
      </w:r>
      <w:r w:rsidR="00963E0E" w:rsidRPr="00A52AB8">
        <w:rPr>
          <w:rFonts w:eastAsia="Malgun Gothic"/>
        </w:rPr>
        <w:t xml:space="preserve">The syntax element has a length in bits given by </w:t>
      </w:r>
      <w:r w:rsidR="00F4336E" w:rsidRPr="00A52AB8">
        <w:rPr>
          <w:bCs/>
        </w:rPr>
        <w:t>bp_dab_output_delay_length_minus1 </w:t>
      </w:r>
      <w:r w:rsidR="00963E0E" w:rsidRPr="00A52AB8">
        <w:rPr>
          <w:rFonts w:eastAsia="Malgun Gothic"/>
        </w:rPr>
        <w:t xml:space="preserve">+ 1. When not present, the value of </w:t>
      </w:r>
      <w:r w:rsidRPr="00A52AB8">
        <w:rPr>
          <w:rFonts w:eastAsia="Malgun Gothic"/>
        </w:rPr>
        <w:t>bp_dab_delay_offset</w:t>
      </w:r>
      <w:r w:rsidR="00963E0E" w:rsidRPr="00A52AB8">
        <w:rPr>
          <w:rFonts w:eastAsia="Malgun Gothic"/>
        </w:rPr>
        <w:t xml:space="preserve"> is inferred to be equal to 0.</w:t>
      </w:r>
    </w:p>
    <w:p w14:paraId="701816AE" w14:textId="538AD6A2" w:rsidR="00963E0E" w:rsidRPr="00A52AB8" w:rsidRDefault="00963E0E">
      <w:pPr>
        <w:rPr>
          <w:rFonts w:eastAsia="Malgun Gothic"/>
        </w:rPr>
      </w:pPr>
      <w:r w:rsidRPr="00A52AB8">
        <w:rPr>
          <w:rFonts w:eastAsia="Malgun Gothic"/>
        </w:rPr>
        <w:t xml:space="preserve">When the current atlas </w:t>
      </w:r>
      <w:r w:rsidR="00B32A91" w:rsidRPr="00A52AB8">
        <w:rPr>
          <w:rFonts w:eastAsia="Malgun Gothic"/>
        </w:rPr>
        <w:t xml:space="preserve">frame </w:t>
      </w:r>
      <w:r w:rsidRPr="00A52AB8">
        <w:rPr>
          <w:rFonts w:eastAsia="Malgun Gothic"/>
        </w:rPr>
        <w:t xml:space="preserve">is not the first atlas </w:t>
      </w:r>
      <w:r w:rsidR="00B32A91" w:rsidRPr="00A52AB8">
        <w:rPr>
          <w:rFonts w:eastAsia="Malgun Gothic"/>
        </w:rPr>
        <w:t xml:space="preserve">frame </w:t>
      </w:r>
      <w:r w:rsidRPr="00A52AB8">
        <w:rPr>
          <w:rFonts w:eastAsia="Malgun Gothic"/>
        </w:rPr>
        <w:t xml:space="preserve">in the bitstream in decoding order, let </w:t>
      </w:r>
      <w:r w:rsidR="00274911" w:rsidRPr="00A52AB8">
        <w:rPr>
          <w:rFonts w:eastAsia="Malgun Gothic"/>
        </w:rPr>
        <w:t>PrevNonDiscardableAtlasFrame</w:t>
      </w:r>
      <w:r w:rsidR="003B2138" w:rsidRPr="00A52AB8">
        <w:rPr>
          <w:rFonts w:eastAsia="Malgun Gothic"/>
        </w:rPr>
        <w:t xml:space="preserve"> </w:t>
      </w:r>
      <w:r w:rsidRPr="00A52AB8">
        <w:rPr>
          <w:rFonts w:eastAsia="Malgun Gothic"/>
        </w:rPr>
        <w:t>be the preceding atlas in decoding order with Temporal</w:t>
      </w:r>
      <w:r w:rsidR="007812ED" w:rsidRPr="00A52AB8">
        <w:rPr>
          <w:rFonts w:eastAsia="Malgun Gothic"/>
        </w:rPr>
        <w:t xml:space="preserve">ID </w:t>
      </w:r>
      <w:r w:rsidRPr="00A52AB8">
        <w:rPr>
          <w:rFonts w:eastAsia="Malgun Gothic"/>
        </w:rPr>
        <w:t xml:space="preserve">equal to 0 that is not a RASL, RADL or </w:t>
      </w:r>
      <w:r w:rsidR="0085776F" w:rsidRPr="00A52AB8">
        <w:rPr>
          <w:rFonts w:eastAsia="Malgun Gothic"/>
        </w:rPr>
        <w:t>SLNR</w:t>
      </w:r>
      <w:r w:rsidRPr="00A52AB8">
        <w:rPr>
          <w:rFonts w:eastAsia="Malgun Gothic"/>
        </w:rPr>
        <w:t xml:space="preserve"> </w:t>
      </w:r>
      <w:r w:rsidR="00274E55" w:rsidRPr="00A52AB8">
        <w:rPr>
          <w:rFonts w:eastAsia="Malgun Gothic"/>
        </w:rPr>
        <w:t>atlas frame</w:t>
      </w:r>
      <w:r w:rsidRPr="00A52AB8">
        <w:rPr>
          <w:rFonts w:eastAsia="Malgun Gothic"/>
        </w:rPr>
        <w:t>.</w:t>
      </w:r>
    </w:p>
    <w:p w14:paraId="672AF696" w14:textId="1058F53F" w:rsidR="00963E0E" w:rsidRPr="00A52AB8" w:rsidRDefault="00A5700A">
      <w:pPr>
        <w:rPr>
          <w:rFonts w:eastAsia="Malgun Gothic"/>
        </w:rPr>
      </w:pPr>
      <w:r w:rsidRPr="00A52AB8">
        <w:rPr>
          <w:rFonts w:eastAsia="Malgun Gothic"/>
          <w:b/>
          <w:bCs/>
        </w:rPr>
        <w:t>bp_</w:t>
      </w:r>
      <w:r w:rsidR="00963E0E" w:rsidRPr="00A52AB8">
        <w:rPr>
          <w:rFonts w:eastAsia="Malgun Gothic"/>
          <w:b/>
        </w:rPr>
        <w:t>concatenation_flag</w:t>
      </w:r>
      <w:r w:rsidR="00963E0E" w:rsidRPr="00A52AB8">
        <w:rPr>
          <w:rFonts w:eastAsia="Malgun Gothic"/>
        </w:rPr>
        <w:t xml:space="preserve"> indicates, when the current atlas is not the first atlas in the bitstream in decoding order, whether the nominal CAB removal time of the current atlas is determined relative to the nominal CAB removal time of the preceding atlas with a buffering period SEI message or relative to the nominal CAB removal time of the atlas </w:t>
      </w:r>
      <w:r w:rsidR="006F47DF" w:rsidRPr="00A52AB8">
        <w:rPr>
          <w:rFonts w:eastAsia="Malgun Gothic"/>
        </w:rPr>
        <w:t xml:space="preserve">frame </w:t>
      </w:r>
      <w:r w:rsidR="00274911" w:rsidRPr="00A52AB8">
        <w:rPr>
          <w:rFonts w:eastAsia="Malgun Gothic"/>
        </w:rPr>
        <w:t>PrevNonDiscardableAtlasFrame</w:t>
      </w:r>
      <w:r w:rsidR="00963E0E" w:rsidRPr="00A52AB8">
        <w:rPr>
          <w:rFonts w:eastAsia="Malgun Gothic"/>
        </w:rPr>
        <w:t>.</w:t>
      </w:r>
    </w:p>
    <w:p w14:paraId="7642CF8D" w14:textId="3FC5370C" w:rsidR="00963E0E" w:rsidRPr="00A52AB8" w:rsidRDefault="006932A1">
      <w:pPr>
        <w:rPr>
          <w:rFonts w:eastAsia="Malgun Gothic"/>
        </w:rPr>
      </w:pPr>
      <w:r w:rsidRPr="00A52AB8">
        <w:rPr>
          <w:rFonts w:eastAsia="Malgun Gothic"/>
          <w:b/>
        </w:rPr>
        <w:t>bp_</w:t>
      </w:r>
      <w:r w:rsidR="00963E0E" w:rsidRPr="00A52AB8">
        <w:rPr>
          <w:rFonts w:eastAsia="Malgun Gothic"/>
          <w:b/>
        </w:rPr>
        <w:t>atlas_cab_removal_delay_delta_minus1</w:t>
      </w:r>
      <w:r w:rsidR="00963E0E" w:rsidRPr="00A52AB8">
        <w:rPr>
          <w:rFonts w:eastAsia="Malgun Gothic"/>
        </w:rPr>
        <w:t xml:space="preserve"> plus 1, when the current atlas is not the first atlas</w:t>
      </w:r>
      <w:r w:rsidR="006F47DF" w:rsidRPr="00A52AB8">
        <w:rPr>
          <w:rFonts w:eastAsia="Malgun Gothic"/>
        </w:rPr>
        <w:t xml:space="preserve"> frame</w:t>
      </w:r>
      <w:r w:rsidR="00963E0E" w:rsidRPr="00A52AB8">
        <w:rPr>
          <w:rFonts w:eastAsia="Malgun Gothic"/>
        </w:rPr>
        <w:t xml:space="preserve"> in the bitstream in decoding order, specifies a CAB removal delay increment value relative to the nominal CAB removal time of the atlas</w:t>
      </w:r>
      <w:r w:rsidR="006F47DF" w:rsidRPr="00A52AB8">
        <w:rPr>
          <w:rFonts w:eastAsia="Malgun Gothic"/>
        </w:rPr>
        <w:t xml:space="preserve"> frame</w:t>
      </w:r>
      <w:r w:rsidR="00963E0E" w:rsidRPr="00A52AB8">
        <w:rPr>
          <w:rFonts w:eastAsia="Malgun Gothic"/>
        </w:rPr>
        <w:t xml:space="preserve"> </w:t>
      </w:r>
      <w:r w:rsidR="00274911" w:rsidRPr="00A52AB8">
        <w:rPr>
          <w:rFonts w:eastAsia="Malgun Gothic"/>
        </w:rPr>
        <w:t>PrevNonDiscardableAtlasFrame</w:t>
      </w:r>
      <w:r w:rsidR="00963E0E" w:rsidRPr="00A52AB8">
        <w:rPr>
          <w:rFonts w:eastAsia="Malgun Gothic"/>
        </w:rPr>
        <w:t xml:space="preserve">. This syntax element has a length in bits given by </w:t>
      </w:r>
      <w:r w:rsidR="00F75385" w:rsidRPr="00A52AB8">
        <w:rPr>
          <w:rFonts w:eastAsia="Malgun Gothic"/>
        </w:rPr>
        <w:t>bp_</w:t>
      </w:r>
      <w:r w:rsidR="00963E0E" w:rsidRPr="00A52AB8">
        <w:rPr>
          <w:rFonts w:eastAsia="Malgun Gothic"/>
        </w:rPr>
        <w:t>atlas_cab_removal_delay_length_minus1 + 1.</w:t>
      </w:r>
    </w:p>
    <w:p w14:paraId="7C21461C" w14:textId="77777777" w:rsidR="00963E0E" w:rsidRPr="00A52AB8" w:rsidRDefault="00963E0E">
      <w:pPr>
        <w:rPr>
          <w:rFonts w:eastAsia="Malgun Gothic"/>
        </w:rPr>
      </w:pPr>
      <w:r w:rsidRPr="00A52AB8">
        <w:rPr>
          <w:rFonts w:eastAsia="Malgun Gothic"/>
        </w:rPr>
        <w:t xml:space="preserve">When the current atlas contains a buffering period SEI message and </w:t>
      </w:r>
      <w:r w:rsidR="001F075B" w:rsidRPr="00A52AB8">
        <w:rPr>
          <w:rFonts w:eastAsia="Malgun Gothic"/>
        </w:rPr>
        <w:t>bp_</w:t>
      </w:r>
      <w:r w:rsidRPr="00A52AB8">
        <w:rPr>
          <w:rFonts w:eastAsia="Malgun Gothic"/>
        </w:rPr>
        <w:t>concatenation_flag is equal to 0 and the current atlas is not the first atlas in the bitstream in decoding order, it is a requirement of bitstream conformance that the following constraint applies:</w:t>
      </w:r>
    </w:p>
    <w:p w14:paraId="238BA3F9" w14:textId="4C388E45" w:rsidR="00963E0E" w:rsidRPr="00A52AB8" w:rsidRDefault="00963E0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If the atlas </w:t>
      </w:r>
      <w:r w:rsidR="006F47DF" w:rsidRPr="00A52AB8">
        <w:rPr>
          <w:color w:val="000000" w:themeColor="text1"/>
        </w:rPr>
        <w:t xml:space="preserve">frame </w:t>
      </w:r>
      <w:r w:rsidR="00274911" w:rsidRPr="00A52AB8">
        <w:rPr>
          <w:color w:val="000000" w:themeColor="text1"/>
        </w:rPr>
        <w:t>PrevNonDiscardableAtlasFrame</w:t>
      </w:r>
      <w:r w:rsidRPr="00A52AB8">
        <w:rPr>
          <w:color w:val="000000" w:themeColor="text1"/>
        </w:rPr>
        <w:t xml:space="preserve"> is not associated with a buffering period SEI message, the </w:t>
      </w:r>
      <w:r w:rsidR="00BC5A2A" w:rsidRPr="00A52AB8">
        <w:rPr>
          <w:color w:val="000000" w:themeColor="text1"/>
        </w:rPr>
        <w:t>aft_au_cab_remova</w:t>
      </w:r>
      <w:r w:rsidR="00884BC8" w:rsidRPr="00A52AB8">
        <w:rPr>
          <w:color w:val="000000" w:themeColor="text1"/>
        </w:rPr>
        <w:t>l_delay_minus1</w:t>
      </w:r>
      <w:r w:rsidR="00930A44" w:rsidRPr="00A52AB8">
        <w:rPr>
          <w:color w:val="000000" w:themeColor="text1"/>
        </w:rPr>
        <w:t>[ i ]</w:t>
      </w:r>
      <w:r w:rsidRPr="00A52AB8">
        <w:rPr>
          <w:color w:val="000000" w:themeColor="text1"/>
        </w:rPr>
        <w:t xml:space="preserve"> of the current atlas shall be equal to the </w:t>
      </w:r>
      <w:r w:rsidR="00BC5A2A" w:rsidRPr="00A52AB8">
        <w:rPr>
          <w:color w:val="000000" w:themeColor="text1"/>
        </w:rPr>
        <w:t>aft_au_cab_remova</w:t>
      </w:r>
      <w:r w:rsidR="00884BC8" w:rsidRPr="00A52AB8">
        <w:rPr>
          <w:color w:val="000000" w:themeColor="text1"/>
        </w:rPr>
        <w:t>l_delay_minus1</w:t>
      </w:r>
      <w:r w:rsidR="00930A44" w:rsidRPr="00A52AB8">
        <w:rPr>
          <w:color w:val="000000" w:themeColor="text1"/>
        </w:rPr>
        <w:t>[ i ]</w:t>
      </w:r>
      <w:r w:rsidRPr="00A52AB8">
        <w:rPr>
          <w:color w:val="000000" w:themeColor="text1"/>
        </w:rPr>
        <w:t xml:space="preserve"> of </w:t>
      </w:r>
      <w:r w:rsidR="00274911" w:rsidRPr="00A52AB8">
        <w:rPr>
          <w:color w:val="000000" w:themeColor="text1"/>
        </w:rPr>
        <w:t>PrevNonDiscardableAtlasFrame</w:t>
      </w:r>
      <w:r w:rsidR="00C7535D" w:rsidRPr="00A52AB8">
        <w:rPr>
          <w:color w:val="000000" w:themeColor="text1"/>
        </w:rPr>
        <w:t xml:space="preserve"> </w:t>
      </w:r>
      <w:r w:rsidRPr="00A52AB8">
        <w:rPr>
          <w:color w:val="000000" w:themeColor="text1"/>
        </w:rPr>
        <w:t xml:space="preserve">plus </w:t>
      </w:r>
      <w:r w:rsidR="00CB0C8F" w:rsidRPr="00A52AB8">
        <w:rPr>
          <w:color w:val="000000" w:themeColor="text1"/>
        </w:rPr>
        <w:t>bp_</w:t>
      </w:r>
      <w:r w:rsidRPr="00A52AB8">
        <w:rPr>
          <w:color w:val="000000" w:themeColor="text1"/>
        </w:rPr>
        <w:t>a</w:t>
      </w:r>
      <w:r w:rsidR="00CB0C8F" w:rsidRPr="00A52AB8">
        <w:rPr>
          <w:color w:val="000000" w:themeColor="text1"/>
        </w:rPr>
        <w:t>tlas</w:t>
      </w:r>
      <w:r w:rsidRPr="00A52AB8">
        <w:rPr>
          <w:color w:val="000000" w:themeColor="text1"/>
        </w:rPr>
        <w:t>_cab_removal_delay_delta_minus1+ 1.</w:t>
      </w:r>
    </w:p>
    <w:p w14:paraId="3F1E4E6A" w14:textId="78856E4D" w:rsidR="00963E0E" w:rsidRPr="00A52AB8" w:rsidRDefault="00963E0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Otherwise, </w:t>
      </w:r>
      <w:r w:rsidR="00BC5A2A" w:rsidRPr="00A52AB8">
        <w:rPr>
          <w:color w:val="000000" w:themeColor="text1"/>
        </w:rPr>
        <w:t>aft_au_cab_remova</w:t>
      </w:r>
      <w:r w:rsidR="00884BC8" w:rsidRPr="00A52AB8">
        <w:rPr>
          <w:color w:val="000000" w:themeColor="text1"/>
        </w:rPr>
        <w:t>l_delay_minus1</w:t>
      </w:r>
      <w:r w:rsidR="00930A44" w:rsidRPr="00A52AB8">
        <w:rPr>
          <w:color w:val="000000" w:themeColor="text1"/>
        </w:rPr>
        <w:t>[ i ]</w:t>
      </w:r>
      <w:r w:rsidRPr="00A52AB8">
        <w:rPr>
          <w:color w:val="000000" w:themeColor="text1"/>
        </w:rPr>
        <w:t xml:space="preserve"> shall be equal to </w:t>
      </w:r>
      <w:r w:rsidR="0090578F" w:rsidRPr="00A52AB8">
        <w:rPr>
          <w:color w:val="000000" w:themeColor="text1"/>
        </w:rPr>
        <w:t>bp_atlas</w:t>
      </w:r>
      <w:r w:rsidRPr="00A52AB8">
        <w:rPr>
          <w:color w:val="000000" w:themeColor="text1"/>
        </w:rPr>
        <w:t>_cab_removal_delay_delta_minus1.</w:t>
      </w:r>
    </w:p>
    <w:p w14:paraId="08B312E0" w14:textId="7800AA58" w:rsidR="00963E0E" w:rsidRPr="00A52AB8" w:rsidRDefault="00963E0E">
      <w:pPr>
        <w:tabs>
          <w:tab w:val="left" w:pos="720"/>
        </w:tabs>
        <w:ind w:left="288"/>
        <w:rPr>
          <w:rFonts w:eastAsia="Malgun Gothic"/>
          <w:sz w:val="18"/>
          <w:szCs w:val="18"/>
        </w:rPr>
      </w:pPr>
      <w:r w:rsidRPr="00A52AB8">
        <w:rPr>
          <w:rFonts w:eastAsia="Malgun Gothic"/>
          <w:sz w:val="18"/>
          <w:szCs w:val="18"/>
        </w:rPr>
        <w:t>NOTE </w:t>
      </w:r>
      <w:r w:rsidR="00CE318F" w:rsidRPr="00496A4D">
        <w:rPr>
          <w:sz w:val="18"/>
          <w:szCs w:val="18"/>
        </w:rPr>
        <w:fldChar w:fldCharType="begin"/>
      </w:r>
      <w:r w:rsidR="00CE318F" w:rsidRPr="00A52AB8">
        <w:rPr>
          <w:sz w:val="18"/>
          <w:szCs w:val="18"/>
        </w:rPr>
        <w:instrText xml:space="preserve"> SEQ NoteCounter \s 9 \* MERGEFORMAT  \* MERGEFORMAT  \* MERGEFORMAT </w:instrText>
      </w:r>
      <w:r w:rsidR="00CE318F" w:rsidRPr="00496A4D">
        <w:rPr>
          <w:sz w:val="18"/>
          <w:szCs w:val="18"/>
        </w:rPr>
        <w:fldChar w:fldCharType="separate"/>
      </w:r>
      <w:r w:rsidR="00507A67">
        <w:rPr>
          <w:noProof/>
          <w:sz w:val="18"/>
          <w:szCs w:val="18"/>
        </w:rPr>
        <w:t>2</w:t>
      </w:r>
      <w:r w:rsidR="00CE318F" w:rsidRPr="00496A4D">
        <w:rPr>
          <w:sz w:val="18"/>
          <w:szCs w:val="18"/>
        </w:rPr>
        <w:fldChar w:fldCharType="end"/>
      </w:r>
      <w:r w:rsidRPr="00A52AB8">
        <w:rPr>
          <w:rFonts w:eastAsia="Malgun Gothic"/>
          <w:sz w:val="18"/>
          <w:szCs w:val="18"/>
        </w:rPr>
        <w:t xml:space="preserve"> – When the current atlas contains a buffering period SEI message and </w:t>
      </w:r>
      <w:r w:rsidR="001F075B" w:rsidRPr="00A52AB8">
        <w:rPr>
          <w:rFonts w:eastAsia="Malgun Gothic"/>
          <w:sz w:val="18"/>
          <w:szCs w:val="18"/>
        </w:rPr>
        <w:t>bp_concatenation_flag</w:t>
      </w:r>
      <w:r w:rsidRPr="00A52AB8">
        <w:rPr>
          <w:rFonts w:eastAsia="Malgun Gothic"/>
          <w:sz w:val="18"/>
          <w:szCs w:val="18"/>
        </w:rPr>
        <w:t xml:space="preserve"> is equal to 1, the </w:t>
      </w:r>
      <w:r w:rsidR="00BC5A2A" w:rsidRPr="00A52AB8">
        <w:rPr>
          <w:rFonts w:eastAsia="Malgun Gothic"/>
          <w:sz w:val="18"/>
          <w:szCs w:val="18"/>
        </w:rPr>
        <w:t>aft_au_cab_remova</w:t>
      </w:r>
      <w:r w:rsidR="00884BC8" w:rsidRPr="00A52AB8">
        <w:rPr>
          <w:rFonts w:eastAsia="Malgun Gothic"/>
          <w:sz w:val="18"/>
          <w:szCs w:val="18"/>
        </w:rPr>
        <w:t>l_delay_minus1</w:t>
      </w:r>
      <w:r w:rsidR="00BC5DD8" w:rsidRPr="00A52AB8">
        <w:rPr>
          <w:color w:val="000000" w:themeColor="text1"/>
        </w:rPr>
        <w:t>[ i ]</w:t>
      </w:r>
      <w:r w:rsidRPr="00A52AB8">
        <w:rPr>
          <w:rFonts w:eastAsia="Malgun Gothic"/>
          <w:sz w:val="18"/>
          <w:szCs w:val="18"/>
        </w:rPr>
        <w:t xml:space="preserve"> for the current atlas </w:t>
      </w:r>
      <w:r w:rsidR="006F47DF" w:rsidRPr="00A52AB8">
        <w:rPr>
          <w:rFonts w:eastAsia="Malgun Gothic"/>
          <w:sz w:val="18"/>
          <w:szCs w:val="18"/>
        </w:rPr>
        <w:t xml:space="preserve">frame </w:t>
      </w:r>
      <w:r w:rsidRPr="00A52AB8">
        <w:rPr>
          <w:rFonts w:eastAsia="Malgun Gothic"/>
          <w:sz w:val="18"/>
          <w:szCs w:val="18"/>
        </w:rPr>
        <w:t xml:space="preserve">is not used. The above-specified constraint can, under some circumstances, make it possible to splice bitstreams (that use suitably-designed referencing structures) by simply changing the value of </w:t>
      </w:r>
      <w:r w:rsidR="001F075B" w:rsidRPr="00A52AB8">
        <w:rPr>
          <w:rFonts w:eastAsia="Malgun Gothic"/>
          <w:sz w:val="18"/>
          <w:szCs w:val="18"/>
        </w:rPr>
        <w:t>bp_concatenation_flag</w:t>
      </w:r>
      <w:r w:rsidRPr="00A52AB8">
        <w:rPr>
          <w:rFonts w:eastAsia="Malgun Gothic"/>
          <w:sz w:val="18"/>
          <w:szCs w:val="18"/>
        </w:rPr>
        <w:t xml:space="preserve"> from 0 to 1 in the buffering period SEI message for an IRAP </w:t>
      </w:r>
      <w:r w:rsidR="003D47FD" w:rsidRPr="00A52AB8">
        <w:rPr>
          <w:rFonts w:eastAsia="Malgun Gothic"/>
          <w:sz w:val="18"/>
          <w:szCs w:val="18"/>
        </w:rPr>
        <w:t xml:space="preserve">coded </w:t>
      </w:r>
      <w:r w:rsidRPr="00A52AB8">
        <w:rPr>
          <w:rFonts w:eastAsia="Malgun Gothic"/>
          <w:sz w:val="18"/>
          <w:szCs w:val="18"/>
        </w:rPr>
        <w:t>atlas</w:t>
      </w:r>
      <w:r w:rsidR="0085776F" w:rsidRPr="00A52AB8">
        <w:rPr>
          <w:rFonts w:eastAsia="Malgun Gothic"/>
          <w:sz w:val="18"/>
          <w:szCs w:val="18"/>
        </w:rPr>
        <w:t xml:space="preserve"> frame</w:t>
      </w:r>
      <w:r w:rsidRPr="00A52AB8">
        <w:rPr>
          <w:rFonts w:eastAsia="Malgun Gothic"/>
          <w:sz w:val="18"/>
          <w:szCs w:val="18"/>
        </w:rPr>
        <w:t xml:space="preserve"> at the splicing point. When </w:t>
      </w:r>
      <w:r w:rsidR="001F075B" w:rsidRPr="00A52AB8">
        <w:rPr>
          <w:rFonts w:eastAsia="Malgun Gothic"/>
          <w:sz w:val="18"/>
          <w:szCs w:val="18"/>
        </w:rPr>
        <w:t>bp_concatenation_flag</w:t>
      </w:r>
      <w:r w:rsidRPr="00A52AB8">
        <w:rPr>
          <w:rFonts w:eastAsia="Malgun Gothic"/>
          <w:sz w:val="18"/>
          <w:szCs w:val="18"/>
        </w:rPr>
        <w:t xml:space="preserve"> is equal to 0, the above-specified constraint enables the decoder to check whether the constraint is satisfied as a way to detect the loss of the atlas </w:t>
      </w:r>
      <w:r w:rsidR="006F47DF" w:rsidRPr="00A52AB8">
        <w:rPr>
          <w:rFonts w:eastAsia="Malgun Gothic"/>
          <w:sz w:val="18"/>
          <w:szCs w:val="18"/>
        </w:rPr>
        <w:t xml:space="preserve">frame </w:t>
      </w:r>
      <w:r w:rsidR="00274911" w:rsidRPr="00A52AB8">
        <w:rPr>
          <w:rFonts w:eastAsia="Malgun Gothic"/>
          <w:sz w:val="18"/>
          <w:szCs w:val="18"/>
        </w:rPr>
        <w:t>PrevNonDiscardableAtlasFrame</w:t>
      </w:r>
      <w:r w:rsidRPr="00A52AB8">
        <w:rPr>
          <w:rFonts w:eastAsia="Malgun Gothic"/>
          <w:sz w:val="18"/>
          <w:szCs w:val="18"/>
        </w:rPr>
        <w:t>.</w:t>
      </w:r>
    </w:p>
    <w:p w14:paraId="58E7D119" w14:textId="4E5695B1" w:rsidR="001F075B" w:rsidRPr="00A52AB8" w:rsidRDefault="001F075B">
      <w:pPr>
        <w:rPr>
          <w:lang w:eastAsia="ko-KR"/>
        </w:rPr>
      </w:pPr>
      <w:r w:rsidRPr="00A52AB8">
        <w:rPr>
          <w:b/>
        </w:rPr>
        <w:t>bp_max_sub_layers_minus1</w:t>
      </w:r>
      <w:r w:rsidRPr="00A52AB8">
        <w:t xml:space="preserve"> </w:t>
      </w:r>
      <w:r w:rsidRPr="00A52AB8">
        <w:rPr>
          <w:lang w:eastAsia="ko-KR"/>
        </w:rPr>
        <w:t xml:space="preserve">plus 1 specifies the maximum number of temporal sub-layers. </w:t>
      </w:r>
      <w:r w:rsidR="00DA3BE3" w:rsidRPr="00A52AB8">
        <w:rPr>
          <w:lang w:eastAsia="ko-KR"/>
        </w:rPr>
        <w:t xml:space="preserve">It is a condition of bitstream conformance that for this version of this document the </w:t>
      </w:r>
      <w:r w:rsidRPr="00A52AB8">
        <w:rPr>
          <w:lang w:eastAsia="ko-KR"/>
        </w:rPr>
        <w:t>value of bp_max_sub_layers_minus1 shall be equal to 0.</w:t>
      </w:r>
    </w:p>
    <w:p w14:paraId="6AB99644" w14:textId="263EEBF5" w:rsidR="00953600" w:rsidRPr="00A52AB8" w:rsidRDefault="00953600">
      <w:r w:rsidRPr="00A52AB8">
        <w:rPr>
          <w:b/>
        </w:rPr>
        <w:t>bp_hrd_cab_cnt_minus1</w:t>
      </w:r>
      <w:r w:rsidRPr="00A52AB8">
        <w:t>[ i ] plus 1 specifies the number of alternative CAB specifications in the bitstream of the CAS when H</w:t>
      </w:r>
      <w:r w:rsidR="00F4336E" w:rsidRPr="00A52AB8">
        <w:t>t</w:t>
      </w:r>
      <w:r w:rsidRPr="00A52AB8">
        <w:t>id is equal to i. The value of bp_hrd_cab_cnt_minus1[ i ] shall be in the range of 0 to 31, inclusive. When not present, the value of bp_hrd_cab_cnt_minus1[ i ] is inferred to be equal to 0.</w:t>
      </w:r>
    </w:p>
    <w:p w14:paraId="0573F50B" w14:textId="7A37E72F" w:rsidR="00953600" w:rsidRPr="00A52AB8" w:rsidRDefault="00953600">
      <w:r w:rsidRPr="00A52AB8">
        <w:t>It is a requirement of bitstream conformance that the value of bp_hrd_cab_cnt_minus1[ i ] shall be the same as the value of hrd_cab_cnt_minus1[ i ].</w:t>
      </w:r>
    </w:p>
    <w:p w14:paraId="23C972B7" w14:textId="4AF14E4B" w:rsidR="00085A19" w:rsidRPr="00A52AB8" w:rsidRDefault="00F4336E">
      <w:pPr>
        <w:rPr>
          <w:rFonts w:eastAsia="Malgun Gothic"/>
          <w:sz w:val="20"/>
          <w:szCs w:val="20"/>
        </w:rPr>
      </w:pPr>
      <w:r w:rsidRPr="00A52AB8">
        <w:rPr>
          <w:b/>
          <w:bCs/>
        </w:rPr>
        <w:t>bp_nal_initial_cab_removal_delay</w:t>
      </w:r>
      <w:r w:rsidRPr="00A52AB8">
        <w:rPr>
          <w:bCs/>
        </w:rPr>
        <w:t>[ i ][ j ]</w:t>
      </w:r>
      <w:r w:rsidRPr="00A52AB8">
        <w:t xml:space="preserve"> and </w:t>
      </w:r>
      <w:r w:rsidRPr="00A52AB8">
        <w:rPr>
          <w:b/>
          <w:bCs/>
        </w:rPr>
        <w:t>bp_nal_initial_alt_cab_removal_delay</w:t>
      </w:r>
      <w:r w:rsidRPr="00A52AB8">
        <w:rPr>
          <w:bCs/>
        </w:rPr>
        <w:t>[ i ][ j ]</w:t>
      </w:r>
      <w:r w:rsidRPr="00A52AB8">
        <w:t xml:space="preserve"> specify respectively the j-th default and alternative initial CAB removal delay for the NAL HRD in units of a 90 kHz clock of the i-th temporal sub</w:t>
      </w:r>
      <w:r w:rsidR="00212A06" w:rsidRPr="00A52AB8">
        <w:t>-</w:t>
      </w:r>
      <w:r w:rsidRPr="00A52AB8">
        <w:t xml:space="preserve">layer. The length of </w:t>
      </w:r>
      <w:r w:rsidRPr="00A52AB8">
        <w:rPr>
          <w:bCs/>
        </w:rPr>
        <w:t>bp_nal_initial_cab_removal_delay[ i ][ j ] and bp_nal_initial_alt_cab_removal_delay[ i ][ j ]</w:t>
      </w:r>
      <w:r w:rsidRPr="00A52AB8">
        <w:t xml:space="preserve"> is bp_cab_initial_removal_delay_length_minus1 + 1 bits. The value of </w:t>
      </w:r>
      <w:r w:rsidRPr="00A52AB8">
        <w:rPr>
          <w:bCs/>
        </w:rPr>
        <w:t>bp_nal_initial_cab_removal_delay[ i ][ j ] and bp_nal_initial_alt_cab_removal_delay[ i ][ j ]</w:t>
      </w:r>
      <w:r w:rsidRPr="00A52AB8">
        <w:t xml:space="preserve"> shall not be equal to 0 and shall be less than or equal to 90000 * ( CabSize</w:t>
      </w:r>
      <w:r w:rsidR="005E5B30" w:rsidRPr="00A52AB8">
        <w:rPr>
          <w:color w:val="000000" w:themeColor="text1"/>
        </w:rPr>
        <w:t>[ !NalHrdModeFlag ]</w:t>
      </w:r>
      <w:r w:rsidRPr="00A52AB8">
        <w:t>[ i ][ j ] </w:t>
      </w:r>
      <w:r w:rsidRPr="00A52AB8">
        <w:sym w:font="Symbol" w:char="F0B8"/>
      </w:r>
      <w:r w:rsidRPr="00A52AB8">
        <w:t> BitRate</w:t>
      </w:r>
      <w:r w:rsidR="005E5B30" w:rsidRPr="00A52AB8">
        <w:rPr>
          <w:color w:val="000000" w:themeColor="text1"/>
        </w:rPr>
        <w:t>[ !NalHrdModeFlag ]</w:t>
      </w:r>
      <w:r w:rsidRPr="00A52AB8">
        <w:t>[ i ][ j ] ), the time-equivalent of the CAB size in 90 kHz clock units. When not present, the values of bp_nal_initial_cab_removal_delay[ i ][ j ] and bp_nal_initial_alt_cab_removal_delay[ i ][ j ] are inferred to be equal to 90000 * ( CabSize</w:t>
      </w:r>
      <w:r w:rsidR="005E5B30" w:rsidRPr="00A52AB8">
        <w:rPr>
          <w:color w:val="000000" w:themeColor="text1"/>
        </w:rPr>
        <w:t>[ !NalHrdModeFlag ]</w:t>
      </w:r>
      <w:r w:rsidRPr="00A52AB8">
        <w:t>[ i ][ j ] </w:t>
      </w:r>
      <w:r w:rsidRPr="00A52AB8">
        <w:sym w:font="Symbol" w:char="F0B8"/>
      </w:r>
      <w:r w:rsidRPr="00A52AB8">
        <w:t> BitRate</w:t>
      </w:r>
      <w:r w:rsidR="005E5B30" w:rsidRPr="00A52AB8">
        <w:rPr>
          <w:color w:val="000000" w:themeColor="text1"/>
        </w:rPr>
        <w:t>[ !NalHrdModeFlag ]</w:t>
      </w:r>
      <w:r w:rsidRPr="00A52AB8">
        <w:t>[ i ][ j ] ).</w:t>
      </w:r>
    </w:p>
    <w:p w14:paraId="4A7350C2" w14:textId="4A44D242" w:rsidR="00963E0E" w:rsidRPr="00A52AB8" w:rsidRDefault="006932A1">
      <w:pPr>
        <w:rPr>
          <w:rFonts w:eastAsia="Malgun Gothic"/>
        </w:rPr>
      </w:pPr>
      <w:bookmarkStart w:id="5640" w:name="_Hlk50744196"/>
      <w:r w:rsidRPr="00A52AB8">
        <w:rPr>
          <w:rFonts w:eastAsia="Malgun Gothic"/>
          <w:b/>
        </w:rPr>
        <w:t>bp_</w:t>
      </w:r>
      <w:r w:rsidR="00963E0E" w:rsidRPr="00A52AB8">
        <w:rPr>
          <w:rFonts w:eastAsia="Malgun Gothic"/>
          <w:b/>
          <w:bCs/>
        </w:rPr>
        <w:t>nal_initial_cab_removal_offset</w:t>
      </w:r>
      <w:r w:rsidR="001F4484" w:rsidRPr="00A52AB8">
        <w:rPr>
          <w:rFonts w:eastAsia="Malgun Gothic"/>
          <w:bCs/>
        </w:rPr>
        <w:t>[ i ]</w:t>
      </w:r>
      <w:r w:rsidR="002F0996" w:rsidRPr="00A52AB8">
        <w:rPr>
          <w:bCs/>
        </w:rPr>
        <w:t>[ j ]</w:t>
      </w:r>
      <w:r w:rsidR="00963E0E" w:rsidRPr="00A52AB8">
        <w:rPr>
          <w:rFonts w:eastAsia="Malgun Gothic"/>
        </w:rPr>
        <w:t xml:space="preserve"> and </w:t>
      </w:r>
      <w:r w:rsidRPr="00A52AB8">
        <w:rPr>
          <w:rFonts w:eastAsia="Malgun Gothic"/>
          <w:b/>
        </w:rPr>
        <w:t>bp_</w:t>
      </w:r>
      <w:r w:rsidR="00963E0E" w:rsidRPr="00A52AB8">
        <w:rPr>
          <w:rFonts w:eastAsia="Malgun Gothic"/>
          <w:b/>
          <w:bCs/>
        </w:rPr>
        <w:t>nal_initial_alt_cab_removal_offset</w:t>
      </w:r>
      <w:r w:rsidR="001F4484" w:rsidRPr="00A52AB8">
        <w:rPr>
          <w:rFonts w:eastAsia="Malgun Gothic"/>
          <w:bCs/>
        </w:rPr>
        <w:t>[ i ]</w:t>
      </w:r>
      <w:r w:rsidR="002F0996" w:rsidRPr="00A52AB8">
        <w:rPr>
          <w:bCs/>
        </w:rPr>
        <w:t>[ j ]</w:t>
      </w:r>
      <w:bookmarkEnd w:id="5640"/>
      <w:r w:rsidR="00963E0E" w:rsidRPr="00A52AB8">
        <w:rPr>
          <w:rFonts w:eastAsia="Malgun Gothic"/>
        </w:rPr>
        <w:t xml:space="preserve"> specify the default and the alternative initial CAB removal offsets, respectively, for the i-th CAB when the NAL HRD parameters are in use. The syntax elements have a length in bits given by </w:t>
      </w:r>
      <w:r w:rsidR="00A5700A" w:rsidRPr="00A52AB8">
        <w:rPr>
          <w:rFonts w:eastAsia="Malgun Gothic"/>
        </w:rPr>
        <w:t>hrd_initial_cab_removal_delay_length_minus1</w:t>
      </w:r>
      <w:r w:rsidR="00963E0E" w:rsidRPr="00A52AB8">
        <w:rPr>
          <w:rFonts w:eastAsia="Malgun Gothic"/>
        </w:rPr>
        <w:t> + 1 and are in units of a 90 kHz clock.</w:t>
      </w:r>
    </w:p>
    <w:p w14:paraId="2A5C2A3B" w14:textId="293192C9" w:rsidR="00F4336E" w:rsidRPr="00A52AB8" w:rsidRDefault="00F4336E" w:rsidP="00F4336E">
      <w:r w:rsidRPr="00A52AB8">
        <w:rPr>
          <w:b/>
          <w:bCs/>
        </w:rPr>
        <w:t>bp_acl_initial_cab_removal_delay</w:t>
      </w:r>
      <w:r w:rsidRPr="00A52AB8">
        <w:rPr>
          <w:bCs/>
        </w:rPr>
        <w:t>[ i ][ j ]</w:t>
      </w:r>
      <w:r w:rsidRPr="00A52AB8">
        <w:t xml:space="preserve"> and </w:t>
      </w:r>
      <w:r w:rsidRPr="00A52AB8">
        <w:rPr>
          <w:b/>
          <w:bCs/>
        </w:rPr>
        <w:t>bp_acl_initial_alt_cab_removal_delay</w:t>
      </w:r>
      <w:r w:rsidRPr="00A52AB8">
        <w:rPr>
          <w:bCs/>
        </w:rPr>
        <w:t>[ i ][ j ]</w:t>
      </w:r>
      <w:r w:rsidRPr="00A52AB8">
        <w:t xml:space="preserve"> specify respectively the j-th default and alternative initial CAB removal delay </w:t>
      </w:r>
      <w:r w:rsidRPr="00A52AB8">
        <w:rPr>
          <w:bCs/>
        </w:rPr>
        <w:t>of the i-th temporal sub</w:t>
      </w:r>
      <w:r w:rsidR="00212A06" w:rsidRPr="00A52AB8">
        <w:rPr>
          <w:bCs/>
        </w:rPr>
        <w:t>-</w:t>
      </w:r>
      <w:r w:rsidRPr="00A52AB8">
        <w:rPr>
          <w:bCs/>
        </w:rPr>
        <w:t xml:space="preserve">layer </w:t>
      </w:r>
      <w:r w:rsidRPr="00A52AB8">
        <w:t>for the ACL HRD in units of a 90 kHz clock. The length of bp_acl_initial_cab_removal_delay</w:t>
      </w:r>
      <w:r w:rsidRPr="00A52AB8">
        <w:rPr>
          <w:bCs/>
        </w:rPr>
        <w:t xml:space="preserve">[ i ][ j ] and bp_acl_initial_alt_cab_removal_delay[ i ][ j ] </w:t>
      </w:r>
      <w:r w:rsidRPr="00A52AB8">
        <w:t>is bp_cab_initial_removal_delay_length_minus1 + 1 bits. The value of bp_acl_initial_cab_removal_delay</w:t>
      </w:r>
      <w:r w:rsidRPr="00A52AB8">
        <w:rPr>
          <w:bCs/>
        </w:rPr>
        <w:t xml:space="preserve">[ i ][ j ] and bp_acl_initial_alt_cab_removal_delay[ i ][ j ] </w:t>
      </w:r>
      <w:r w:rsidRPr="00A52AB8">
        <w:t>shall not be equal to 0 and shall be less than or equal to 90000 * ( CabSize</w:t>
      </w:r>
      <w:r w:rsidR="005E5B30" w:rsidRPr="00A52AB8">
        <w:rPr>
          <w:color w:val="000000" w:themeColor="text1"/>
        </w:rPr>
        <w:t>[ !NalHrdModeFlag ]</w:t>
      </w:r>
      <w:r w:rsidRPr="00A52AB8">
        <w:t>[ i ][ j ] </w:t>
      </w:r>
      <w:r w:rsidRPr="00A52AB8">
        <w:sym w:font="Symbol" w:char="F0B8"/>
      </w:r>
      <w:r w:rsidRPr="00A52AB8">
        <w:t> BitRate</w:t>
      </w:r>
      <w:r w:rsidR="005E5B30" w:rsidRPr="00A52AB8">
        <w:rPr>
          <w:color w:val="000000" w:themeColor="text1"/>
        </w:rPr>
        <w:t>[ !NalHrdModeFlag ]</w:t>
      </w:r>
      <w:r w:rsidRPr="00A52AB8">
        <w:t>[ i ][ j ] ), the time-equivalent of the CAB size in 90 kHz clock units. When not present, the values of bp_acl_initial_cab_removal_delay[ i ][ j ] and bp_acl_initial_alt_cab_removal_delay[ i ][ j ] are inferred to be equal to 90000 * ( </w:t>
      </w:r>
      <w:r w:rsidR="00902CA8" w:rsidRPr="00A52AB8">
        <w:t>CabSize</w:t>
      </w:r>
      <w:r w:rsidR="00902CA8" w:rsidRPr="00A52AB8">
        <w:rPr>
          <w:color w:val="000000" w:themeColor="text1"/>
        </w:rPr>
        <w:t>[ !NalHrdModeFlag ]</w:t>
      </w:r>
      <w:r w:rsidR="00902CA8" w:rsidRPr="00A52AB8">
        <w:t>[ i ][ j ]</w:t>
      </w:r>
      <w:r w:rsidRPr="00A52AB8">
        <w:t> </w:t>
      </w:r>
      <w:r w:rsidRPr="00A52AB8">
        <w:sym w:font="Symbol" w:char="F0B8"/>
      </w:r>
      <w:r w:rsidRPr="00A52AB8">
        <w:t> BitRate</w:t>
      </w:r>
      <w:r w:rsidR="00902CA8" w:rsidRPr="00A52AB8">
        <w:rPr>
          <w:color w:val="000000" w:themeColor="text1"/>
        </w:rPr>
        <w:t>[ !NalHrdModeFlag ]</w:t>
      </w:r>
      <w:r w:rsidRPr="00A52AB8">
        <w:t>[ i ][ j ] ).</w:t>
      </w:r>
    </w:p>
    <w:p w14:paraId="2CCCEE54" w14:textId="300ADF5E" w:rsidR="00F4336E" w:rsidRPr="00A52AB8" w:rsidRDefault="00F4336E" w:rsidP="00F4336E">
      <w:r w:rsidRPr="00A52AB8">
        <w:rPr>
          <w:b/>
          <w:bCs/>
        </w:rPr>
        <w:t>bp_nal_initial_cab_removal_offset</w:t>
      </w:r>
      <w:r w:rsidRPr="00A52AB8">
        <w:rPr>
          <w:bCs/>
        </w:rPr>
        <w:t>[ i ][ j ]</w:t>
      </w:r>
      <w:r w:rsidRPr="00A52AB8">
        <w:t xml:space="preserve"> and </w:t>
      </w:r>
      <w:r w:rsidRPr="00A52AB8">
        <w:rPr>
          <w:b/>
          <w:bCs/>
        </w:rPr>
        <w:t>bp_nal_initial_alt_cab_removal_offset</w:t>
      </w:r>
      <w:r w:rsidRPr="00A52AB8">
        <w:rPr>
          <w:bCs/>
        </w:rPr>
        <w:t xml:space="preserve">[ i ][ j ] </w:t>
      </w:r>
      <w:r w:rsidRPr="00A52AB8">
        <w:t xml:space="preserve">specify the j-th default and alternative initial CAB removal offset </w:t>
      </w:r>
      <w:r w:rsidRPr="00A52AB8">
        <w:rPr>
          <w:bCs/>
        </w:rPr>
        <w:t>of the i-th temporal sub</w:t>
      </w:r>
      <w:r w:rsidR="00212A06" w:rsidRPr="00A52AB8">
        <w:rPr>
          <w:bCs/>
        </w:rPr>
        <w:t>-</w:t>
      </w:r>
      <w:r w:rsidRPr="00A52AB8">
        <w:rPr>
          <w:bCs/>
        </w:rPr>
        <w:t xml:space="preserve">layer </w:t>
      </w:r>
      <w:r w:rsidRPr="00A52AB8">
        <w:t xml:space="preserve">for the NAL HRD in units of a 90 kHz clock. The length of </w:t>
      </w:r>
      <w:r w:rsidRPr="00A52AB8">
        <w:rPr>
          <w:bCs/>
        </w:rPr>
        <w:t xml:space="preserve">bp_nal_initial_cab_removal_offset[ i ][ j ] and bp_nal_initial_alt_cab_removal_offset[ i ][ j ] </w:t>
      </w:r>
      <w:r w:rsidRPr="00A52AB8">
        <w:t>is bp_cab_initial_removal_delay_length_minus1 + 1 bits. When not present, the values of bp_nal_initial_cab_removal_offset[ i ][ j ] and bp_nal_initial_alt_cab_removal_offset[ i ][ j ] are inferred to be equal to 0.</w:t>
      </w:r>
    </w:p>
    <w:p w14:paraId="4CDFDEA3" w14:textId="79001B34" w:rsidR="00F4336E" w:rsidRPr="00A52AB8" w:rsidRDefault="00F4336E" w:rsidP="00F4336E">
      <w:r w:rsidRPr="00A52AB8">
        <w:t>Over the entire CAS, for each value pair of i and j, the sum of bp_nal_initial_cab_removal_delay[ i ][ j ] and bp_nal_initial_cab_removal_offset[ i ]</w:t>
      </w:r>
      <w:r w:rsidRPr="00A52AB8">
        <w:rPr>
          <w:bCs/>
        </w:rPr>
        <w:t>[ j ]</w:t>
      </w:r>
      <w:r w:rsidRPr="00A52AB8">
        <w:t xml:space="preserve"> shall be constant, and the sum of bp_nal_initial_alt_c</w:t>
      </w:r>
      <w:r w:rsidR="00085A19" w:rsidRPr="00A52AB8">
        <w:t>a</w:t>
      </w:r>
      <w:r w:rsidRPr="00A52AB8">
        <w:t>b_removal_delay[ i ]</w:t>
      </w:r>
      <w:r w:rsidRPr="00A52AB8">
        <w:rPr>
          <w:bCs/>
        </w:rPr>
        <w:t>[ j ]</w:t>
      </w:r>
      <w:r w:rsidRPr="00A52AB8">
        <w:t xml:space="preserve"> and bp_nal_initial_alt_c</w:t>
      </w:r>
      <w:r w:rsidR="00085A19" w:rsidRPr="00A52AB8">
        <w:t>a</w:t>
      </w:r>
      <w:r w:rsidRPr="00A52AB8">
        <w:t>b_removal_offset[ i ]</w:t>
      </w:r>
      <w:r w:rsidRPr="00A52AB8">
        <w:rPr>
          <w:bCs/>
        </w:rPr>
        <w:t>[ j ]</w:t>
      </w:r>
      <w:r w:rsidRPr="00A52AB8">
        <w:t xml:space="preserve"> shall be constant.</w:t>
      </w:r>
    </w:p>
    <w:p w14:paraId="436CF00D" w14:textId="2C27F204" w:rsidR="00F4336E" w:rsidRPr="00A52AB8" w:rsidRDefault="00F4336E" w:rsidP="00F4336E">
      <w:r w:rsidRPr="00A52AB8">
        <w:rPr>
          <w:b/>
          <w:bCs/>
        </w:rPr>
        <w:t>bp_acl_initial_cab_removal_offset</w:t>
      </w:r>
      <w:r w:rsidRPr="00A52AB8">
        <w:rPr>
          <w:bCs/>
        </w:rPr>
        <w:t>[ i ][ j ]</w:t>
      </w:r>
      <w:r w:rsidRPr="00A52AB8">
        <w:t xml:space="preserve"> and </w:t>
      </w:r>
      <w:r w:rsidRPr="00A52AB8">
        <w:rPr>
          <w:b/>
          <w:bCs/>
        </w:rPr>
        <w:t>bp_acl_initial_alt_cab_removal_offset</w:t>
      </w:r>
      <w:r w:rsidRPr="00A52AB8">
        <w:rPr>
          <w:bCs/>
        </w:rPr>
        <w:t xml:space="preserve">[ i ][ j ] </w:t>
      </w:r>
      <w:r w:rsidRPr="00A52AB8">
        <w:t xml:space="preserve">specify the j-th default and alternative initial CAB removal offset </w:t>
      </w:r>
      <w:r w:rsidRPr="00A52AB8">
        <w:rPr>
          <w:bCs/>
        </w:rPr>
        <w:t>of the i-th temporal sub</w:t>
      </w:r>
      <w:r w:rsidR="00212A06" w:rsidRPr="00A52AB8">
        <w:rPr>
          <w:bCs/>
        </w:rPr>
        <w:t>-</w:t>
      </w:r>
      <w:r w:rsidRPr="00A52AB8">
        <w:rPr>
          <w:bCs/>
        </w:rPr>
        <w:t>layer</w:t>
      </w:r>
      <w:r w:rsidRPr="00A52AB8">
        <w:t xml:space="preserve"> for the ACL HRD in units of a 90 kHz clock. The length of bp_acl_initial_cab_removal_offset</w:t>
      </w:r>
      <w:r w:rsidRPr="00A52AB8">
        <w:rPr>
          <w:bCs/>
        </w:rPr>
        <w:t xml:space="preserve">[ i ] and bp_acl_initial_alt_cab_removal_offset[ i ][ j ] </w:t>
      </w:r>
      <w:r w:rsidRPr="00A52AB8">
        <w:t>is bp_cab_initial_removal_delay_length_minus1 + 1 bits. When not present, the values of bp_acl_initial_cab_removal_offset[ i ][ j ] and bp_acl_initial_alt_cab_removal_offset[ i ][ j ] are inferred to be equal to 0.</w:t>
      </w:r>
    </w:p>
    <w:p w14:paraId="027D5BFD" w14:textId="37E64FB0" w:rsidR="00F4336E" w:rsidRPr="00A52AB8" w:rsidRDefault="00F4336E" w:rsidP="00F4336E">
      <w:r w:rsidRPr="00A52AB8">
        <w:t>Over the entire CAS, for each value pair of i and j the sum of bp_</w:t>
      </w:r>
      <w:r w:rsidR="00085A19" w:rsidRPr="00A52AB8">
        <w:t>a</w:t>
      </w:r>
      <w:r w:rsidRPr="00A52AB8">
        <w:t>cl_initial_c</w:t>
      </w:r>
      <w:r w:rsidR="00A63679" w:rsidRPr="00A52AB8">
        <w:t>a</w:t>
      </w:r>
      <w:r w:rsidRPr="00A52AB8">
        <w:t>b_removal_delay[ i ]</w:t>
      </w:r>
      <w:r w:rsidRPr="00A52AB8">
        <w:rPr>
          <w:bCs/>
        </w:rPr>
        <w:t>[ j ]</w:t>
      </w:r>
      <w:r w:rsidRPr="00A52AB8">
        <w:t xml:space="preserve"> and bp_</w:t>
      </w:r>
      <w:r w:rsidR="00085A19" w:rsidRPr="00A52AB8">
        <w:t>a</w:t>
      </w:r>
      <w:r w:rsidRPr="00A52AB8">
        <w:t>cl_initial_c</w:t>
      </w:r>
      <w:r w:rsidR="00085A19" w:rsidRPr="00A52AB8">
        <w:t>a</w:t>
      </w:r>
      <w:r w:rsidRPr="00A52AB8">
        <w:t>b_removal_offset[ i ]</w:t>
      </w:r>
      <w:r w:rsidRPr="00A52AB8">
        <w:rPr>
          <w:bCs/>
        </w:rPr>
        <w:t>[ j ]</w:t>
      </w:r>
      <w:r w:rsidRPr="00A52AB8">
        <w:t xml:space="preserve"> shall be constant, and the sum of bp_</w:t>
      </w:r>
      <w:r w:rsidR="00085A19" w:rsidRPr="00A52AB8">
        <w:t>a</w:t>
      </w:r>
      <w:r w:rsidRPr="00A52AB8">
        <w:t>cl_initial_alt_c</w:t>
      </w:r>
      <w:r w:rsidR="00085A19" w:rsidRPr="00A52AB8">
        <w:t>a</w:t>
      </w:r>
      <w:r w:rsidRPr="00A52AB8">
        <w:t>b_removal_delay[ i ]</w:t>
      </w:r>
      <w:r w:rsidRPr="00A52AB8">
        <w:rPr>
          <w:bCs/>
        </w:rPr>
        <w:t>[ j ]</w:t>
      </w:r>
      <w:r w:rsidRPr="00A52AB8">
        <w:t xml:space="preserve"> and bp_</w:t>
      </w:r>
      <w:r w:rsidR="00085A19" w:rsidRPr="00A52AB8">
        <w:t>a</w:t>
      </w:r>
      <w:r w:rsidRPr="00A52AB8">
        <w:t>cl_initial_alt_c</w:t>
      </w:r>
      <w:r w:rsidR="00085A19" w:rsidRPr="00A52AB8">
        <w:t>a</w:t>
      </w:r>
      <w:r w:rsidRPr="00A52AB8">
        <w:t>b_removal_offset[ i ]</w:t>
      </w:r>
      <w:r w:rsidRPr="00A52AB8">
        <w:rPr>
          <w:bCs/>
        </w:rPr>
        <w:t>[ j ]</w:t>
      </w:r>
      <w:r w:rsidRPr="00A52AB8">
        <w:t xml:space="preserve"> shall be constant.</w:t>
      </w:r>
    </w:p>
    <w:p w14:paraId="2E89BC5B" w14:textId="076BA3A1" w:rsidR="00DA3BE3" w:rsidRPr="00A52AB8" w:rsidRDefault="00DA3BE3">
      <w:pPr>
        <w:rPr>
          <w:rFonts w:eastAsia="Malgun Gothic"/>
        </w:rPr>
      </w:pPr>
      <w:r w:rsidRPr="00A52AB8">
        <w:rPr>
          <w:rFonts w:eastAsia="Malgun Gothic"/>
        </w:rPr>
        <w:t>Encoders should not include i</w:t>
      </w:r>
      <w:r w:rsidRPr="00A52AB8">
        <w:rPr>
          <w:rFonts w:eastAsia="Malgun Gothic"/>
          <w:bCs/>
        </w:rPr>
        <w:t>rap_cab_params_present_flag equal to 1</w:t>
      </w:r>
      <w:r w:rsidRPr="00A52AB8">
        <w:rPr>
          <w:rFonts w:eastAsia="Malgun Gothic"/>
        </w:rPr>
        <w:t xml:space="preserve"> in buffering period SEI messages associated with a CRA or BLA atlas for which at least one of its associated RASL atlas</w:t>
      </w:r>
      <w:r w:rsidR="00D24766" w:rsidRPr="00A52AB8">
        <w:rPr>
          <w:rFonts w:eastAsia="Malgun Gothic"/>
        </w:rPr>
        <w:t>e</w:t>
      </w:r>
      <w:r w:rsidRPr="00A52AB8">
        <w:rPr>
          <w:rFonts w:eastAsia="Malgun Gothic"/>
        </w:rPr>
        <w:t>s follows one or more of its associated RADL atlas in decoding order.</w:t>
      </w:r>
    </w:p>
    <w:p w14:paraId="7EBFBB61" w14:textId="77777777" w:rsidR="006D657C" w:rsidRPr="00A52AB8" w:rsidRDefault="006D657C">
      <w:pPr>
        <w:pStyle w:val="a3"/>
        <w:numPr>
          <w:ilvl w:val="2"/>
          <w:numId w:val="19"/>
        </w:numPr>
        <w:tabs>
          <w:tab w:val="clear" w:pos="403"/>
        </w:tabs>
        <w:rPr>
          <w:b w:val="0"/>
        </w:rPr>
      </w:pPr>
      <w:bookmarkStart w:id="5641" w:name="_Toc49190848"/>
      <w:bookmarkStart w:id="5642" w:name="_Toc49257686"/>
      <w:bookmarkStart w:id="5643" w:name="_Toc49345185"/>
      <w:bookmarkStart w:id="5644" w:name="_Toc49350086"/>
      <w:bookmarkStart w:id="5645" w:name="_Toc49190849"/>
      <w:bookmarkStart w:id="5646" w:name="_Toc49257687"/>
      <w:bookmarkStart w:id="5647" w:name="_Toc49345186"/>
      <w:bookmarkStart w:id="5648" w:name="_Toc49350087"/>
      <w:bookmarkStart w:id="5649" w:name="_Toc48259411"/>
      <w:bookmarkStart w:id="5650" w:name="_Toc358292251"/>
      <w:bookmarkStart w:id="5651" w:name="_Ref347274556"/>
      <w:bookmarkStart w:id="5652" w:name="_Ref343115434"/>
      <w:bookmarkStart w:id="5653" w:name="_Toc317198913"/>
      <w:bookmarkStart w:id="5654" w:name="_Ref49348215"/>
      <w:bookmarkStart w:id="5655" w:name="_Ref50841777"/>
      <w:bookmarkStart w:id="5656" w:name="_Toc52181746"/>
      <w:bookmarkEnd w:id="5641"/>
      <w:bookmarkEnd w:id="5642"/>
      <w:bookmarkEnd w:id="5643"/>
      <w:bookmarkEnd w:id="5644"/>
      <w:bookmarkEnd w:id="5645"/>
      <w:bookmarkEnd w:id="5646"/>
      <w:bookmarkEnd w:id="5647"/>
      <w:bookmarkEnd w:id="5648"/>
      <w:bookmarkEnd w:id="5649"/>
      <w:r w:rsidRPr="00A52AB8">
        <w:rPr>
          <w:rFonts w:eastAsia="Malgun Gothic"/>
          <w:bCs/>
        </w:rPr>
        <w:t xml:space="preserve">Atlas </w:t>
      </w:r>
      <w:r w:rsidR="00884BC8" w:rsidRPr="00A52AB8">
        <w:rPr>
          <w:rFonts w:eastAsia="Malgun Gothic"/>
          <w:bCs/>
        </w:rPr>
        <w:t xml:space="preserve">frame </w:t>
      </w:r>
      <w:r w:rsidRPr="00A52AB8">
        <w:rPr>
          <w:rFonts w:eastAsia="Malgun Gothic"/>
          <w:bCs/>
        </w:rPr>
        <w:t>timing SEI message semantics</w:t>
      </w:r>
      <w:bookmarkEnd w:id="5650"/>
      <w:bookmarkEnd w:id="5651"/>
      <w:bookmarkEnd w:id="5652"/>
      <w:bookmarkEnd w:id="5653"/>
      <w:bookmarkEnd w:id="5654"/>
      <w:bookmarkEnd w:id="5655"/>
      <w:bookmarkEnd w:id="5656"/>
    </w:p>
    <w:p w14:paraId="1C847E70" w14:textId="4380AE24" w:rsidR="006D657C" w:rsidRPr="00A52AB8" w:rsidRDefault="006D657C">
      <w:pPr>
        <w:rPr>
          <w:rFonts w:eastAsia="Malgun Gothic"/>
        </w:rPr>
      </w:pPr>
      <w:r w:rsidRPr="00A52AB8">
        <w:rPr>
          <w:rFonts w:eastAsia="Malgun Gothic"/>
        </w:rPr>
        <w:t>The atlas</w:t>
      </w:r>
      <w:r w:rsidR="00884BC8" w:rsidRPr="00A52AB8">
        <w:rPr>
          <w:rFonts w:eastAsia="Malgun Gothic"/>
        </w:rPr>
        <w:t xml:space="preserve"> frame</w:t>
      </w:r>
      <w:r w:rsidRPr="00A52AB8">
        <w:rPr>
          <w:rFonts w:eastAsia="Malgun Gothic"/>
        </w:rPr>
        <w:t xml:space="preserve"> timing SEI message provides CAB removal delay and DAB output delay information for the </w:t>
      </w:r>
      <w:r w:rsidR="0085776F" w:rsidRPr="00A52AB8">
        <w:rPr>
          <w:rFonts w:eastAsia="Malgun Gothic"/>
        </w:rPr>
        <w:t xml:space="preserve">coded atlas </w:t>
      </w:r>
      <w:r w:rsidRPr="00A52AB8">
        <w:rPr>
          <w:rFonts w:eastAsia="Malgun Gothic"/>
        </w:rPr>
        <w:t>access unit associated with the SEI message.</w:t>
      </w:r>
    </w:p>
    <w:p w14:paraId="21F34E74" w14:textId="77777777" w:rsidR="006D657C" w:rsidRPr="00A52AB8" w:rsidRDefault="006D657C">
      <w:pPr>
        <w:rPr>
          <w:rFonts w:eastAsia="Malgun Gothic"/>
        </w:rPr>
      </w:pPr>
      <w:r w:rsidRPr="00A52AB8">
        <w:rPr>
          <w:rFonts w:eastAsia="Malgun Gothic"/>
        </w:rPr>
        <w:t>The following applies for the atlas timing SEI message syntax and semantics:</w:t>
      </w:r>
    </w:p>
    <w:p w14:paraId="0E1581B9" w14:textId="41624273" w:rsidR="006D657C" w:rsidRPr="00A52AB8" w:rsidRDefault="006D657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The </w:t>
      </w:r>
      <w:r w:rsidR="002F0996" w:rsidRPr="00A52AB8">
        <w:rPr>
          <w:color w:val="000000" w:themeColor="text1"/>
        </w:rPr>
        <w:t xml:space="preserve">variable </w:t>
      </w:r>
      <w:r w:rsidRPr="00A52AB8">
        <w:rPr>
          <w:color w:val="000000" w:themeColor="text1"/>
        </w:rPr>
        <w:t xml:space="preserve">CabDabDelaysPresentFlag </w:t>
      </w:r>
      <w:r w:rsidR="00B00AAE" w:rsidRPr="00A52AB8">
        <w:rPr>
          <w:color w:val="000000" w:themeColor="text1"/>
        </w:rPr>
        <w:t>is</w:t>
      </w:r>
      <w:r w:rsidRPr="00A52AB8">
        <w:rPr>
          <w:color w:val="000000" w:themeColor="text1"/>
        </w:rPr>
        <w:t xml:space="preserve"> derived from syntax elements </w:t>
      </w:r>
      <w:r w:rsidR="002F0996" w:rsidRPr="00A52AB8">
        <w:rPr>
          <w:color w:val="000000" w:themeColor="text1"/>
        </w:rPr>
        <w:t>found in the</w:t>
      </w:r>
      <w:r w:rsidR="00FD2AA8" w:rsidRPr="00A52AB8">
        <w:rPr>
          <w:color w:val="000000" w:themeColor="text1"/>
        </w:rPr>
        <w:t xml:space="preserve"> buffering period SEI message </w:t>
      </w:r>
      <w:r w:rsidRPr="00A52AB8">
        <w:rPr>
          <w:color w:val="000000" w:themeColor="text1"/>
        </w:rPr>
        <w:t xml:space="preserve">that </w:t>
      </w:r>
      <w:r w:rsidR="00FD2AA8" w:rsidRPr="00A52AB8">
        <w:rPr>
          <w:color w:val="000000" w:themeColor="text1"/>
        </w:rPr>
        <w:t>are</w:t>
      </w:r>
      <w:r w:rsidRPr="00A52AB8">
        <w:rPr>
          <w:color w:val="000000" w:themeColor="text1"/>
        </w:rPr>
        <w:t xml:space="preserve"> applicable to at least one of the operation points to which the atlas </w:t>
      </w:r>
      <w:r w:rsidR="00FD2AA8" w:rsidRPr="00A52AB8">
        <w:rPr>
          <w:color w:val="000000" w:themeColor="text1"/>
        </w:rPr>
        <w:t xml:space="preserve">frame </w:t>
      </w:r>
      <w:r w:rsidRPr="00A52AB8">
        <w:rPr>
          <w:color w:val="000000" w:themeColor="text1"/>
        </w:rPr>
        <w:t>timing SEI message applies.</w:t>
      </w:r>
    </w:p>
    <w:p w14:paraId="6A1E57EB" w14:textId="1E206CD9" w:rsidR="006D657C" w:rsidRPr="00A52AB8" w:rsidRDefault="006D657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The bitstream (or a part thereof) refers to the bitstream subset (or a part thereof) associated with any of the operation points to which the atlas timing SEI message applies.</w:t>
      </w:r>
    </w:p>
    <w:p w14:paraId="291FB7AD" w14:textId="62C6F36B" w:rsidR="006D657C" w:rsidRPr="00A52AB8" w:rsidRDefault="006D657C" w:rsidP="00895494">
      <w:pPr>
        <w:tabs>
          <w:tab w:val="left" w:pos="720"/>
        </w:tabs>
        <w:ind w:left="288"/>
        <w:rPr>
          <w:rFonts w:eastAsia="Malgun Gothic"/>
          <w:sz w:val="18"/>
          <w:szCs w:val="18"/>
        </w:rPr>
      </w:pPr>
      <w:bookmarkStart w:id="5657" w:name="_Hlk50744649"/>
      <w:r w:rsidRPr="00A52AB8">
        <w:rPr>
          <w:rFonts w:eastAsia="Malgun Gothic"/>
          <w:sz w:val="18"/>
          <w:szCs w:val="18"/>
        </w:rPr>
        <w:t>NOTE</w:t>
      </w:r>
      <w:r w:rsidR="00CE318F" w:rsidRPr="00A52AB8">
        <w:rPr>
          <w:rFonts w:eastAsia="Malgun Gothic"/>
          <w:sz w:val="18"/>
          <w:szCs w:val="18"/>
        </w:rPr>
        <w:t> </w:t>
      </w:r>
      <w:r w:rsidR="00CE318F" w:rsidRPr="00496A4D">
        <w:rPr>
          <w:rFonts w:eastAsia="Malgun Gothic"/>
          <w:sz w:val="18"/>
          <w:szCs w:val="18"/>
        </w:rPr>
        <w:fldChar w:fldCharType="begin"/>
      </w:r>
      <w:r w:rsidR="00CE318F" w:rsidRPr="00A52AB8">
        <w:rPr>
          <w:rFonts w:eastAsia="Malgun Gothic"/>
          <w:sz w:val="18"/>
          <w:szCs w:val="18"/>
        </w:rPr>
        <w:instrText xml:space="preserve"> SEQ NoteCounter \r 1 \s 9 \* MERGEFORMAT  \* MERGEFORMAT  \* MERGEFORMAT </w:instrText>
      </w:r>
      <w:r w:rsidR="00CE318F" w:rsidRPr="00496A4D">
        <w:rPr>
          <w:rFonts w:eastAsia="Malgun Gothic"/>
          <w:sz w:val="18"/>
          <w:szCs w:val="18"/>
        </w:rPr>
        <w:fldChar w:fldCharType="separate"/>
      </w:r>
      <w:r w:rsidR="00507A67">
        <w:rPr>
          <w:rFonts w:eastAsia="Malgun Gothic"/>
          <w:noProof/>
          <w:sz w:val="18"/>
          <w:szCs w:val="18"/>
        </w:rPr>
        <w:t>1</w:t>
      </w:r>
      <w:r w:rsidR="00CE318F" w:rsidRPr="00496A4D">
        <w:rPr>
          <w:rFonts w:eastAsia="Malgun Gothic"/>
          <w:sz w:val="18"/>
          <w:szCs w:val="18"/>
        </w:rPr>
        <w:fldChar w:fldCharType="end"/>
      </w:r>
      <w:r w:rsidRPr="00A52AB8">
        <w:rPr>
          <w:rFonts w:eastAsia="Malgun Gothic"/>
          <w:sz w:val="18"/>
          <w:szCs w:val="18"/>
        </w:rPr>
        <w:t xml:space="preserve"> – The syntax of the atlas </w:t>
      </w:r>
      <w:r w:rsidR="00B00AAE" w:rsidRPr="00A52AB8">
        <w:rPr>
          <w:rFonts w:eastAsia="Malgun Gothic"/>
          <w:sz w:val="18"/>
          <w:szCs w:val="18"/>
        </w:rPr>
        <w:t xml:space="preserve">frame </w:t>
      </w:r>
      <w:r w:rsidRPr="00A52AB8">
        <w:rPr>
          <w:rFonts w:eastAsia="Malgun Gothic"/>
          <w:sz w:val="18"/>
          <w:szCs w:val="18"/>
        </w:rPr>
        <w:t>timing SEI message</w:t>
      </w:r>
      <w:bookmarkEnd w:id="5657"/>
      <w:r w:rsidRPr="00A52AB8">
        <w:rPr>
          <w:rFonts w:eastAsia="Malgun Gothic"/>
          <w:sz w:val="18"/>
          <w:szCs w:val="18"/>
        </w:rPr>
        <w:t xml:space="preserve"> is dependent on the content of the hrd_parameters( ) syntax structures applicable to the operation points to which the atlas </w:t>
      </w:r>
      <w:r w:rsidR="0061785D" w:rsidRPr="00A52AB8">
        <w:rPr>
          <w:rFonts w:eastAsia="Malgun Gothic"/>
          <w:sz w:val="18"/>
          <w:szCs w:val="18"/>
        </w:rPr>
        <w:t xml:space="preserve">frame </w:t>
      </w:r>
      <w:r w:rsidRPr="00A52AB8">
        <w:rPr>
          <w:rFonts w:eastAsia="Malgun Gothic"/>
          <w:sz w:val="18"/>
          <w:szCs w:val="18"/>
        </w:rPr>
        <w:t xml:space="preserve">timing SEI message applies. These hrd_parameters( ) syntax structures are in the ASPS that are active for the coded atlas </w:t>
      </w:r>
      <w:r w:rsidR="0061785D" w:rsidRPr="00A52AB8">
        <w:rPr>
          <w:rFonts w:eastAsia="Malgun Gothic"/>
          <w:sz w:val="18"/>
          <w:szCs w:val="18"/>
        </w:rPr>
        <w:t xml:space="preserve">access unit </w:t>
      </w:r>
      <w:r w:rsidRPr="00A52AB8">
        <w:rPr>
          <w:rFonts w:eastAsia="Malgun Gothic"/>
          <w:sz w:val="18"/>
          <w:szCs w:val="18"/>
        </w:rPr>
        <w:t xml:space="preserve">associated with the atlas </w:t>
      </w:r>
      <w:r w:rsidR="00FD2AA8" w:rsidRPr="00A52AB8">
        <w:rPr>
          <w:rFonts w:eastAsia="Malgun Gothic"/>
          <w:sz w:val="18"/>
          <w:szCs w:val="18"/>
        </w:rPr>
        <w:t xml:space="preserve">frame </w:t>
      </w:r>
      <w:r w:rsidRPr="00A52AB8">
        <w:rPr>
          <w:rFonts w:eastAsia="Malgun Gothic"/>
          <w:sz w:val="18"/>
          <w:szCs w:val="18"/>
        </w:rPr>
        <w:t xml:space="preserve">timing SEI message. When the atlas </w:t>
      </w:r>
      <w:r w:rsidR="00FD2AA8" w:rsidRPr="00A52AB8">
        <w:rPr>
          <w:rFonts w:eastAsia="Malgun Gothic"/>
          <w:sz w:val="18"/>
          <w:szCs w:val="18"/>
        </w:rPr>
        <w:t xml:space="preserve">frame </w:t>
      </w:r>
      <w:r w:rsidRPr="00A52AB8">
        <w:rPr>
          <w:rFonts w:eastAsia="Malgun Gothic"/>
          <w:sz w:val="18"/>
          <w:szCs w:val="18"/>
        </w:rPr>
        <w:t xml:space="preserve">timing SEI message is associated with an IRAP </w:t>
      </w:r>
      <w:r w:rsidR="0061785D" w:rsidRPr="00A52AB8">
        <w:rPr>
          <w:rFonts w:eastAsia="Malgun Gothic"/>
          <w:sz w:val="18"/>
          <w:szCs w:val="18"/>
        </w:rPr>
        <w:t xml:space="preserve">coded </w:t>
      </w:r>
      <w:r w:rsidR="00FD2AA8" w:rsidRPr="00A52AB8">
        <w:rPr>
          <w:rFonts w:eastAsia="Malgun Gothic"/>
          <w:sz w:val="18"/>
          <w:szCs w:val="18"/>
        </w:rPr>
        <w:t xml:space="preserve">atlas </w:t>
      </w:r>
      <w:r w:rsidRPr="00A52AB8">
        <w:rPr>
          <w:rFonts w:eastAsia="Malgun Gothic"/>
          <w:sz w:val="18"/>
          <w:szCs w:val="18"/>
        </w:rPr>
        <w:t xml:space="preserve">access unit with </w:t>
      </w:r>
      <w:r w:rsidR="00BB6D1E" w:rsidRPr="00A52AB8">
        <w:rPr>
          <w:rFonts w:eastAsia="Malgun Gothic"/>
          <w:sz w:val="18"/>
          <w:szCs w:val="18"/>
        </w:rPr>
        <w:t>NoOutputBeforeRecoveryFlag</w:t>
      </w:r>
      <w:r w:rsidRPr="00A52AB8">
        <w:rPr>
          <w:rFonts w:eastAsia="Malgun Gothic"/>
          <w:sz w:val="18"/>
          <w:szCs w:val="18"/>
        </w:rPr>
        <w:t xml:space="preserve"> equal to 1, unless it is preceded by a buffering period SEI message within the same access unit, the activation of the </w:t>
      </w:r>
      <w:r w:rsidR="0061785D" w:rsidRPr="00A52AB8">
        <w:rPr>
          <w:rFonts w:eastAsia="Malgun Gothic"/>
          <w:sz w:val="18"/>
          <w:szCs w:val="18"/>
        </w:rPr>
        <w:t>A</w:t>
      </w:r>
      <w:r w:rsidRPr="00A52AB8">
        <w:rPr>
          <w:rFonts w:eastAsia="Malgun Gothic"/>
          <w:sz w:val="18"/>
          <w:szCs w:val="18"/>
        </w:rPr>
        <w:t xml:space="preserve">SPS (and, for IRAP </w:t>
      </w:r>
      <w:r w:rsidR="003D47FD" w:rsidRPr="00A52AB8">
        <w:rPr>
          <w:rFonts w:eastAsia="Malgun Gothic"/>
          <w:sz w:val="18"/>
          <w:szCs w:val="18"/>
        </w:rPr>
        <w:t xml:space="preserve">coded </w:t>
      </w:r>
      <w:r w:rsidR="004618F1" w:rsidRPr="00A52AB8">
        <w:rPr>
          <w:rFonts w:eastAsia="Malgun Gothic"/>
          <w:sz w:val="18"/>
          <w:szCs w:val="18"/>
        </w:rPr>
        <w:t>atlas</w:t>
      </w:r>
      <w:r w:rsidR="003D47FD" w:rsidRPr="00A52AB8">
        <w:rPr>
          <w:rFonts w:eastAsia="Malgun Gothic"/>
          <w:sz w:val="18"/>
          <w:szCs w:val="18"/>
        </w:rPr>
        <w:t xml:space="preserve"> frame</w:t>
      </w:r>
      <w:r w:rsidRPr="00A52AB8">
        <w:rPr>
          <w:rFonts w:eastAsia="Malgun Gothic"/>
          <w:sz w:val="18"/>
          <w:szCs w:val="18"/>
        </w:rPr>
        <w:t xml:space="preserve">s with </w:t>
      </w:r>
      <w:r w:rsidR="00BB6D1E" w:rsidRPr="00A52AB8">
        <w:rPr>
          <w:rFonts w:eastAsia="Malgun Gothic"/>
          <w:sz w:val="18"/>
          <w:szCs w:val="18"/>
        </w:rPr>
        <w:t>NoOutputBeforeRecoveryFlag</w:t>
      </w:r>
      <w:r w:rsidRPr="00A52AB8">
        <w:rPr>
          <w:rFonts w:eastAsia="Malgun Gothic"/>
          <w:sz w:val="18"/>
          <w:szCs w:val="18"/>
        </w:rPr>
        <w:t xml:space="preserve"> equal to 1 that are not the first atlas in the bitstream in decoding order, the determination that the coded atlas is an IRAP </w:t>
      </w:r>
      <w:r w:rsidR="00BB6D1E" w:rsidRPr="00A52AB8">
        <w:rPr>
          <w:rFonts w:eastAsia="Malgun Gothic"/>
          <w:sz w:val="18"/>
          <w:szCs w:val="18"/>
        </w:rPr>
        <w:t>NoOutputBeforeRecoveryFlag</w:t>
      </w:r>
      <w:r w:rsidRPr="00A52AB8">
        <w:rPr>
          <w:rFonts w:eastAsia="Malgun Gothic"/>
          <w:sz w:val="18"/>
          <w:szCs w:val="18"/>
        </w:rPr>
        <w:t xml:space="preserve"> equal to 1) does not occur until the decoding of the first coded </w:t>
      </w:r>
      <w:r w:rsidR="00B8075E" w:rsidRPr="00A52AB8">
        <w:rPr>
          <w:rFonts w:eastAsia="Malgun Gothic"/>
          <w:sz w:val="18"/>
          <w:szCs w:val="18"/>
        </w:rPr>
        <w:t>tile</w:t>
      </w:r>
      <w:r w:rsidRPr="00A52AB8">
        <w:rPr>
          <w:rFonts w:eastAsia="Malgun Gothic"/>
          <w:sz w:val="18"/>
          <w:szCs w:val="18"/>
        </w:rPr>
        <w:t xml:space="preserve"> NAL unit of the coded atla</w:t>
      </w:r>
      <w:r w:rsidR="00FD2AA8" w:rsidRPr="00A52AB8">
        <w:rPr>
          <w:rFonts w:eastAsia="Malgun Gothic"/>
          <w:sz w:val="18"/>
          <w:szCs w:val="18"/>
        </w:rPr>
        <w:t>s</w:t>
      </w:r>
      <w:r w:rsidRPr="00A52AB8">
        <w:rPr>
          <w:rFonts w:eastAsia="Malgun Gothic"/>
          <w:sz w:val="18"/>
          <w:szCs w:val="18"/>
        </w:rPr>
        <w:t xml:space="preserve">. Since the coded </w:t>
      </w:r>
      <w:r w:rsidR="00B8075E" w:rsidRPr="00A52AB8">
        <w:rPr>
          <w:rFonts w:eastAsia="Malgun Gothic"/>
          <w:sz w:val="18"/>
          <w:szCs w:val="18"/>
        </w:rPr>
        <w:t>tile</w:t>
      </w:r>
      <w:r w:rsidRPr="00A52AB8">
        <w:rPr>
          <w:rFonts w:eastAsia="Malgun Gothic"/>
          <w:sz w:val="18"/>
          <w:szCs w:val="18"/>
        </w:rPr>
        <w:t xml:space="preserve"> NAL unit of the coded atlas follows the atlas </w:t>
      </w:r>
      <w:r w:rsidR="0061785D" w:rsidRPr="00A52AB8">
        <w:rPr>
          <w:rFonts w:eastAsia="Malgun Gothic"/>
          <w:sz w:val="18"/>
          <w:szCs w:val="18"/>
        </w:rPr>
        <w:t xml:space="preserve">frame </w:t>
      </w:r>
      <w:r w:rsidRPr="00A52AB8">
        <w:rPr>
          <w:rFonts w:eastAsia="Malgun Gothic"/>
          <w:sz w:val="18"/>
          <w:szCs w:val="18"/>
        </w:rPr>
        <w:t xml:space="preserve">timing SEI message in NAL unit order, there </w:t>
      </w:r>
      <w:r w:rsidR="009530C1" w:rsidRPr="00A52AB8">
        <w:rPr>
          <w:rFonts w:eastAsia="Malgun Gothic"/>
          <w:sz w:val="18"/>
          <w:szCs w:val="18"/>
        </w:rPr>
        <w:t xml:space="preserve">can </w:t>
      </w:r>
      <w:r w:rsidRPr="00A52AB8">
        <w:rPr>
          <w:rFonts w:eastAsia="Malgun Gothic"/>
          <w:sz w:val="18"/>
          <w:szCs w:val="18"/>
        </w:rPr>
        <w:t xml:space="preserve">be cases in which it is necessary for a decoder to store the RBSP containing the atlas </w:t>
      </w:r>
      <w:r w:rsidR="0061785D" w:rsidRPr="00A52AB8">
        <w:rPr>
          <w:rFonts w:eastAsia="Malgun Gothic"/>
          <w:sz w:val="18"/>
          <w:szCs w:val="18"/>
        </w:rPr>
        <w:t xml:space="preserve">frame </w:t>
      </w:r>
      <w:r w:rsidRPr="00A52AB8">
        <w:rPr>
          <w:rFonts w:eastAsia="Malgun Gothic"/>
          <w:sz w:val="18"/>
          <w:szCs w:val="18"/>
        </w:rPr>
        <w:t xml:space="preserve">timing SEI message until determining </w:t>
      </w:r>
      <w:r w:rsidR="0061785D" w:rsidRPr="00A52AB8">
        <w:rPr>
          <w:rFonts w:eastAsia="Malgun Gothic"/>
          <w:sz w:val="18"/>
          <w:szCs w:val="18"/>
        </w:rPr>
        <w:t xml:space="preserve">the </w:t>
      </w:r>
      <w:r w:rsidRPr="00A52AB8">
        <w:rPr>
          <w:rFonts w:eastAsia="Malgun Gothic"/>
          <w:sz w:val="18"/>
          <w:szCs w:val="18"/>
        </w:rPr>
        <w:t>active</w:t>
      </w:r>
      <w:r w:rsidR="0061785D" w:rsidRPr="00A52AB8">
        <w:rPr>
          <w:rFonts w:eastAsia="Malgun Gothic"/>
          <w:sz w:val="18"/>
          <w:szCs w:val="18"/>
        </w:rPr>
        <w:t>A</w:t>
      </w:r>
      <w:r w:rsidRPr="00A52AB8">
        <w:rPr>
          <w:rFonts w:eastAsia="Malgun Gothic"/>
          <w:sz w:val="18"/>
          <w:szCs w:val="18"/>
        </w:rPr>
        <w:t xml:space="preserve">SPS for the coded atlas, and then perform the parsing of the atlas </w:t>
      </w:r>
      <w:r w:rsidR="0061785D" w:rsidRPr="00A52AB8">
        <w:rPr>
          <w:rFonts w:eastAsia="Malgun Gothic"/>
          <w:sz w:val="18"/>
          <w:szCs w:val="18"/>
        </w:rPr>
        <w:t xml:space="preserve">frame </w:t>
      </w:r>
      <w:r w:rsidRPr="00A52AB8">
        <w:rPr>
          <w:rFonts w:eastAsia="Malgun Gothic"/>
          <w:sz w:val="18"/>
          <w:szCs w:val="18"/>
        </w:rPr>
        <w:t>timing SEI message.</w:t>
      </w:r>
    </w:p>
    <w:p w14:paraId="40D63181" w14:textId="23FB07BC" w:rsidR="006D657C" w:rsidRPr="00A52AB8" w:rsidRDefault="004F442A">
      <w:pPr>
        <w:rPr>
          <w:rFonts w:eastAsia="Malgun Gothic"/>
          <w:sz w:val="20"/>
          <w:szCs w:val="20"/>
        </w:rPr>
      </w:pPr>
      <w:r w:rsidRPr="00A52AB8">
        <w:rPr>
          <w:rFonts w:eastAsia="Malgun Gothic"/>
          <w:b/>
          <w:bCs/>
        </w:rPr>
        <w:t>aft_</w:t>
      </w:r>
      <w:r w:rsidR="00BC5A2A" w:rsidRPr="00A52AB8">
        <w:rPr>
          <w:rFonts w:eastAsia="Malgun Gothic"/>
          <w:b/>
          <w:bCs/>
        </w:rPr>
        <w:t>au_</w:t>
      </w:r>
      <w:r w:rsidRPr="00A52AB8">
        <w:rPr>
          <w:rFonts w:eastAsia="Malgun Gothic"/>
          <w:b/>
          <w:bCs/>
        </w:rPr>
        <w:t>cab_removal_delay_minus1</w:t>
      </w:r>
      <w:r w:rsidR="00F4336E" w:rsidRPr="00A52AB8">
        <w:rPr>
          <w:rFonts w:eastAsia="Malgun Gothic"/>
        </w:rPr>
        <w:t>[ i ]</w:t>
      </w:r>
      <w:r w:rsidR="006D657C" w:rsidRPr="00A52AB8">
        <w:rPr>
          <w:rFonts w:eastAsia="Malgun Gothic"/>
        </w:rPr>
        <w:t xml:space="preserve"> plus 1 specifies</w:t>
      </w:r>
      <w:r w:rsidR="00F4336E" w:rsidRPr="00A52AB8">
        <w:rPr>
          <w:rFonts w:eastAsia="Malgun Gothic"/>
        </w:rPr>
        <w:t>, for the i-th sub-layer,</w:t>
      </w:r>
      <w:r w:rsidR="006D657C" w:rsidRPr="00A52AB8">
        <w:rPr>
          <w:rFonts w:eastAsia="Malgun Gothic"/>
        </w:rPr>
        <w:t xml:space="preserve"> the number clock ticks between the nominal </w:t>
      </w:r>
      <w:r w:rsidR="005129A9" w:rsidRPr="00A52AB8">
        <w:rPr>
          <w:rFonts w:eastAsia="Malgun Gothic"/>
        </w:rPr>
        <w:t>CAB</w:t>
      </w:r>
      <w:r w:rsidR="006D657C" w:rsidRPr="00A52AB8">
        <w:rPr>
          <w:rFonts w:eastAsia="Malgun Gothic"/>
        </w:rPr>
        <w:t xml:space="preserve"> removal time of the </w:t>
      </w:r>
      <w:r w:rsidR="00A91AE6" w:rsidRPr="00A52AB8">
        <w:rPr>
          <w:rFonts w:eastAsia="Malgun Gothic"/>
        </w:rPr>
        <w:t xml:space="preserve">coded atlas </w:t>
      </w:r>
      <w:r w:rsidR="006D657C" w:rsidRPr="00A52AB8">
        <w:rPr>
          <w:rFonts w:eastAsia="Malgun Gothic"/>
        </w:rPr>
        <w:t xml:space="preserve">access unit associated with the atlas timing SEI message and the preceding </w:t>
      </w:r>
      <w:r w:rsidR="00A91AE6" w:rsidRPr="00A52AB8">
        <w:rPr>
          <w:rFonts w:eastAsia="Malgun Gothic"/>
        </w:rPr>
        <w:t xml:space="preserve">coded atlas </w:t>
      </w:r>
      <w:r w:rsidR="006D657C" w:rsidRPr="00A52AB8">
        <w:rPr>
          <w:rFonts w:eastAsia="Malgun Gothic"/>
        </w:rPr>
        <w:t xml:space="preserve">access unit in decoding order that contained a buffering period SEI message. This value is also used to calculate an earliest possible time of arrival of access unit atlas data into the </w:t>
      </w:r>
      <w:r w:rsidR="005129A9" w:rsidRPr="00A52AB8">
        <w:rPr>
          <w:rFonts w:eastAsia="Malgun Gothic"/>
        </w:rPr>
        <w:t>CAB</w:t>
      </w:r>
      <w:r w:rsidR="006D657C" w:rsidRPr="00A52AB8">
        <w:rPr>
          <w:rFonts w:eastAsia="Malgun Gothic"/>
        </w:rPr>
        <w:t xml:space="preserve"> for the HSS. The syntax element is a fixed length code whose length in bits is given by </w:t>
      </w:r>
      <w:r w:rsidR="00A91AE6" w:rsidRPr="00A52AB8">
        <w:rPr>
          <w:rFonts w:eastAsia="Malgun Gothic"/>
        </w:rPr>
        <w:t>bp_</w:t>
      </w:r>
      <w:r w:rsidRPr="00A52AB8">
        <w:rPr>
          <w:rFonts w:eastAsia="Malgun Gothic"/>
        </w:rPr>
        <w:t>au</w:t>
      </w:r>
      <w:r w:rsidR="006D657C" w:rsidRPr="00A52AB8">
        <w:rPr>
          <w:rFonts w:eastAsia="Malgun Gothic"/>
        </w:rPr>
        <w:t>_</w:t>
      </w:r>
      <w:r w:rsidR="005129A9" w:rsidRPr="00A52AB8">
        <w:rPr>
          <w:rFonts w:eastAsia="Malgun Gothic"/>
        </w:rPr>
        <w:t>cab</w:t>
      </w:r>
      <w:r w:rsidR="006D657C" w:rsidRPr="00A52AB8">
        <w:rPr>
          <w:rFonts w:eastAsia="Malgun Gothic"/>
        </w:rPr>
        <w:t>_removal_delay_length_minus1 + 1.</w:t>
      </w:r>
    </w:p>
    <w:p w14:paraId="5373B7AD" w14:textId="77777777" w:rsidR="006D657C" w:rsidRPr="00A52AB8" w:rsidRDefault="006D657C">
      <w:pPr>
        <w:numPr>
          <w:ilvl w:val="12"/>
          <w:numId w:val="0"/>
        </w:numPr>
        <w:rPr>
          <w:rFonts w:eastAsia="Malgun Gothic"/>
          <w:sz w:val="20"/>
          <w:szCs w:val="20"/>
        </w:rPr>
      </w:pPr>
      <w:r w:rsidRPr="00A52AB8">
        <w:rPr>
          <w:rFonts w:eastAsia="Malgun Gothic"/>
        </w:rPr>
        <w:t>The variable Au</w:t>
      </w:r>
      <w:r w:rsidR="005129A9" w:rsidRPr="00A52AB8">
        <w:rPr>
          <w:rFonts w:eastAsia="Malgun Gothic"/>
        </w:rPr>
        <w:t>Cab</w:t>
      </w:r>
      <w:r w:rsidRPr="00A52AB8">
        <w:rPr>
          <w:rFonts w:eastAsia="Malgun Gothic"/>
        </w:rPr>
        <w:t xml:space="preserve">RemovalDelayMsb of the current </w:t>
      </w:r>
      <w:r w:rsidR="00586857" w:rsidRPr="00A52AB8">
        <w:rPr>
          <w:rFonts w:eastAsia="Malgun Gothic"/>
        </w:rPr>
        <w:t>atlas frame</w:t>
      </w:r>
      <w:r w:rsidRPr="00A52AB8">
        <w:rPr>
          <w:rFonts w:eastAsia="Malgun Gothic"/>
        </w:rPr>
        <w:t xml:space="preserve"> is derived as follows:</w:t>
      </w:r>
    </w:p>
    <w:p w14:paraId="195A5851" w14:textId="77777777" w:rsidR="006D657C" w:rsidRPr="00A52AB8" w:rsidRDefault="006D657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If the current </w:t>
      </w:r>
      <w:r w:rsidR="00586857" w:rsidRPr="00A52AB8">
        <w:rPr>
          <w:color w:val="000000" w:themeColor="text1"/>
        </w:rPr>
        <w:t>atlas frame</w:t>
      </w:r>
      <w:r w:rsidRPr="00A52AB8">
        <w:rPr>
          <w:color w:val="000000" w:themeColor="text1"/>
        </w:rPr>
        <w:t xml:space="preserve"> is associated with a buffering period SEI message that is applicable to at least one of the operation points to which the </w:t>
      </w:r>
      <w:r w:rsidR="00586857" w:rsidRPr="00A52AB8">
        <w:rPr>
          <w:color w:val="000000" w:themeColor="text1"/>
        </w:rPr>
        <w:t>atlas frame</w:t>
      </w:r>
      <w:r w:rsidRPr="00A52AB8">
        <w:rPr>
          <w:color w:val="000000" w:themeColor="text1"/>
        </w:rPr>
        <w:t xml:space="preserve"> timing SEI message applies, Au</w:t>
      </w:r>
      <w:r w:rsidR="005129A9" w:rsidRPr="00A52AB8">
        <w:rPr>
          <w:color w:val="000000" w:themeColor="text1"/>
        </w:rPr>
        <w:t>Cab</w:t>
      </w:r>
      <w:r w:rsidRPr="00A52AB8">
        <w:rPr>
          <w:color w:val="000000" w:themeColor="text1"/>
        </w:rPr>
        <w:t>RemovalDelayMsb is set equal to 0.</w:t>
      </w:r>
    </w:p>
    <w:p w14:paraId="39FAE78E" w14:textId="77777777" w:rsidR="006D657C" w:rsidRPr="00A52AB8" w:rsidRDefault="006D657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Otherwise, the following applies:</w:t>
      </w:r>
    </w:p>
    <w:p w14:paraId="6991FB0A" w14:textId="1C0A17D2" w:rsidR="006D657C" w:rsidRPr="00A52AB8" w:rsidRDefault="006D657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Let max</w:t>
      </w:r>
      <w:r w:rsidR="005129A9" w:rsidRPr="00A52AB8">
        <w:rPr>
          <w:color w:val="000000" w:themeColor="text1"/>
        </w:rPr>
        <w:t>Cab</w:t>
      </w:r>
      <w:r w:rsidRPr="00A52AB8">
        <w:rPr>
          <w:color w:val="000000" w:themeColor="text1"/>
        </w:rPr>
        <w:t>RemovalDelay be equal to 2</w:t>
      </w:r>
      <w:r w:rsidR="00AD697B" w:rsidRPr="00A52AB8">
        <w:rPr>
          <w:color w:val="000000" w:themeColor="text1"/>
          <w:vertAlign w:val="superscript"/>
        </w:rPr>
        <w:t>bp</w:t>
      </w:r>
      <w:r w:rsidR="004F442A" w:rsidRPr="00A52AB8">
        <w:rPr>
          <w:color w:val="000000" w:themeColor="text1"/>
          <w:vertAlign w:val="superscript"/>
        </w:rPr>
        <w:t>_a</w:t>
      </w:r>
      <w:r w:rsidRPr="00A52AB8">
        <w:rPr>
          <w:color w:val="000000" w:themeColor="text1"/>
          <w:vertAlign w:val="superscript"/>
        </w:rPr>
        <w:t>u_</w:t>
      </w:r>
      <w:r w:rsidR="005129A9" w:rsidRPr="00A52AB8">
        <w:rPr>
          <w:color w:val="000000" w:themeColor="text1"/>
          <w:vertAlign w:val="superscript"/>
        </w:rPr>
        <w:t>cab</w:t>
      </w:r>
      <w:r w:rsidRPr="00A52AB8">
        <w:rPr>
          <w:color w:val="000000" w:themeColor="text1"/>
          <w:vertAlign w:val="superscript"/>
        </w:rPr>
        <w:t>_removal_delay_length_minus1 + 1</w:t>
      </w:r>
      <w:r w:rsidRPr="00A52AB8">
        <w:rPr>
          <w:color w:val="000000" w:themeColor="text1"/>
        </w:rPr>
        <w:t>.</w:t>
      </w:r>
    </w:p>
    <w:p w14:paraId="2058A146" w14:textId="35AE6B7D" w:rsidR="006D657C" w:rsidRPr="00A52AB8" w:rsidRDefault="006D657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Let prevAu</w:t>
      </w:r>
      <w:r w:rsidR="005129A9" w:rsidRPr="00A52AB8">
        <w:rPr>
          <w:color w:val="000000" w:themeColor="text1"/>
        </w:rPr>
        <w:t>Cab</w:t>
      </w:r>
      <w:r w:rsidRPr="00A52AB8">
        <w:rPr>
          <w:color w:val="000000" w:themeColor="text1"/>
        </w:rPr>
        <w:t>RemovalDelayMinus1 and prevAu</w:t>
      </w:r>
      <w:r w:rsidR="005129A9" w:rsidRPr="00A52AB8">
        <w:rPr>
          <w:color w:val="000000" w:themeColor="text1"/>
        </w:rPr>
        <w:t>Cab</w:t>
      </w:r>
      <w:r w:rsidRPr="00A52AB8">
        <w:rPr>
          <w:color w:val="000000" w:themeColor="text1"/>
        </w:rPr>
        <w:t xml:space="preserve">RemovalDelayMsb be set equal to </w:t>
      </w:r>
      <w:r w:rsidR="00BC5A2A" w:rsidRPr="00A52AB8">
        <w:rPr>
          <w:color w:val="000000" w:themeColor="text1"/>
        </w:rPr>
        <w:t>aft_</w:t>
      </w:r>
      <w:r w:rsidRPr="00A52AB8">
        <w:rPr>
          <w:color w:val="000000" w:themeColor="text1"/>
        </w:rPr>
        <w:t>au_</w:t>
      </w:r>
      <w:r w:rsidR="005129A9" w:rsidRPr="00A52AB8">
        <w:rPr>
          <w:color w:val="000000" w:themeColor="text1"/>
        </w:rPr>
        <w:t>cab</w:t>
      </w:r>
      <w:r w:rsidRPr="00A52AB8">
        <w:rPr>
          <w:color w:val="000000" w:themeColor="text1"/>
        </w:rPr>
        <w:t>_removal_delay_minus1</w:t>
      </w:r>
      <w:r w:rsidR="00BC5DD8" w:rsidRPr="00A52AB8">
        <w:rPr>
          <w:color w:val="000000" w:themeColor="text1"/>
        </w:rPr>
        <w:t>[ i ]</w:t>
      </w:r>
      <w:r w:rsidRPr="00A52AB8">
        <w:rPr>
          <w:color w:val="000000" w:themeColor="text1"/>
        </w:rPr>
        <w:t xml:space="preserve"> and Au</w:t>
      </w:r>
      <w:r w:rsidR="005129A9" w:rsidRPr="00A52AB8">
        <w:rPr>
          <w:color w:val="000000" w:themeColor="text1"/>
        </w:rPr>
        <w:t>Cab</w:t>
      </w:r>
      <w:r w:rsidRPr="00A52AB8">
        <w:rPr>
          <w:color w:val="000000" w:themeColor="text1"/>
        </w:rPr>
        <w:t xml:space="preserve">RemovalDelayMsb, respectively, of the previous </w:t>
      </w:r>
      <w:r w:rsidR="00586857" w:rsidRPr="00A52AB8">
        <w:rPr>
          <w:color w:val="000000" w:themeColor="text1"/>
        </w:rPr>
        <w:t>atlas frame</w:t>
      </w:r>
      <w:r w:rsidRPr="00A52AB8">
        <w:rPr>
          <w:color w:val="000000" w:themeColor="text1"/>
        </w:rPr>
        <w:t xml:space="preserve"> in decoding order that has </w:t>
      </w:r>
      <w:r w:rsidR="007812ED" w:rsidRPr="00A52AB8">
        <w:rPr>
          <w:color w:val="000000" w:themeColor="text1"/>
        </w:rPr>
        <w:t>TemporalID</w:t>
      </w:r>
      <w:r w:rsidRPr="00A52AB8">
        <w:rPr>
          <w:color w:val="000000" w:themeColor="text1"/>
        </w:rPr>
        <w:t xml:space="preserve"> equal to 0, that is not a RASL, RADL or </w:t>
      </w:r>
      <w:r w:rsidR="00112CA6" w:rsidRPr="00A52AB8">
        <w:rPr>
          <w:color w:val="000000" w:themeColor="text1"/>
        </w:rPr>
        <w:t>SLNR</w:t>
      </w:r>
      <w:r w:rsidRPr="00A52AB8">
        <w:rPr>
          <w:color w:val="000000" w:themeColor="text1"/>
        </w:rPr>
        <w:t xml:space="preserve"> </w:t>
      </w:r>
      <w:r w:rsidR="00586857" w:rsidRPr="00A52AB8">
        <w:rPr>
          <w:color w:val="000000" w:themeColor="text1"/>
        </w:rPr>
        <w:t>atlas frame</w:t>
      </w:r>
      <w:r w:rsidRPr="00A52AB8">
        <w:rPr>
          <w:color w:val="000000" w:themeColor="text1"/>
        </w:rPr>
        <w:t xml:space="preserve">, and that is within the same buffering period as the current </w:t>
      </w:r>
      <w:r w:rsidR="00586857" w:rsidRPr="00A52AB8">
        <w:rPr>
          <w:color w:val="000000" w:themeColor="text1"/>
        </w:rPr>
        <w:t>atlas frame</w:t>
      </w:r>
      <w:r w:rsidRPr="00A52AB8">
        <w:rPr>
          <w:color w:val="000000" w:themeColor="text1"/>
        </w:rPr>
        <w:t>.</w:t>
      </w:r>
    </w:p>
    <w:p w14:paraId="032FD0D3" w14:textId="77777777" w:rsidR="006D657C" w:rsidRPr="00A52AB8" w:rsidRDefault="006D657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rFonts w:eastAsia="Malgun Gothic"/>
        </w:rPr>
      </w:pPr>
      <w:r w:rsidRPr="00A52AB8">
        <w:rPr>
          <w:rFonts w:eastAsia="Malgun Gothic"/>
        </w:rPr>
        <w:t>Au</w:t>
      </w:r>
      <w:r w:rsidR="005129A9" w:rsidRPr="00A52AB8">
        <w:rPr>
          <w:rFonts w:eastAsia="Malgun Gothic"/>
        </w:rPr>
        <w:t>Cab</w:t>
      </w:r>
      <w:r w:rsidRPr="00A52AB8">
        <w:rPr>
          <w:rFonts w:eastAsia="Malgun Gothic"/>
        </w:rPr>
        <w:t>RemovalDelayMsb is derived as follows:</w:t>
      </w:r>
    </w:p>
    <w:p w14:paraId="5C6AF2B0" w14:textId="1487EF33" w:rsidR="006D657C" w:rsidRPr="00A52AB8" w:rsidRDefault="006D657C">
      <w:pPr>
        <w:tabs>
          <w:tab w:val="clear" w:pos="9677"/>
          <w:tab w:val="left" w:pos="1260"/>
          <w:tab w:val="left" w:pos="1418"/>
          <w:tab w:val="left" w:pos="1701"/>
          <w:tab w:val="center" w:pos="4849"/>
          <w:tab w:val="right" w:pos="9696"/>
        </w:tabs>
        <w:ind w:left="994"/>
        <w:jc w:val="left"/>
        <w:rPr>
          <w:rFonts w:eastAsia="Malgun Gothic"/>
        </w:rPr>
      </w:pPr>
      <w:r w:rsidRPr="00A52AB8">
        <w:rPr>
          <w:rFonts w:eastAsia="Malgun Gothic"/>
        </w:rPr>
        <w:t xml:space="preserve">if( </w:t>
      </w:r>
      <w:r w:rsidR="00BC5A2A" w:rsidRPr="00A52AB8">
        <w:rPr>
          <w:rFonts w:eastAsia="Malgun Gothic"/>
        </w:rPr>
        <w:t>aft_</w:t>
      </w:r>
      <w:r w:rsidRPr="00A52AB8">
        <w:rPr>
          <w:rFonts w:eastAsia="Malgun Gothic"/>
          <w:bCs/>
        </w:rPr>
        <w:t>au_</w:t>
      </w:r>
      <w:r w:rsidR="005129A9" w:rsidRPr="00A52AB8">
        <w:rPr>
          <w:rFonts w:eastAsia="Malgun Gothic"/>
          <w:bCs/>
        </w:rPr>
        <w:t>cab</w:t>
      </w:r>
      <w:r w:rsidRPr="00A52AB8">
        <w:rPr>
          <w:rFonts w:eastAsia="Malgun Gothic"/>
          <w:bCs/>
        </w:rPr>
        <w:t>_removal_delay_minus1</w:t>
      </w:r>
      <w:r w:rsidR="00BC5DD8" w:rsidRPr="00A52AB8">
        <w:rPr>
          <w:color w:val="000000" w:themeColor="text1"/>
        </w:rPr>
        <w:t>[ i ]</w:t>
      </w:r>
      <w:r w:rsidR="00C61E38" w:rsidRPr="00A52AB8">
        <w:rPr>
          <w:rFonts w:eastAsia="Malgun Gothic"/>
        </w:rPr>
        <w:t xml:space="preserve"> </w:t>
      </w:r>
      <w:r w:rsidR="00A234FD" w:rsidRPr="00A52AB8">
        <w:rPr>
          <w:rFonts w:eastAsia="Malgun Gothic"/>
        </w:rPr>
        <w:t>&lt;=</w:t>
      </w:r>
      <w:r w:rsidR="00D47707" w:rsidRPr="00A52AB8">
        <w:rPr>
          <w:rFonts w:eastAsia="Malgun Gothic"/>
        </w:rPr>
        <w:t> </w:t>
      </w:r>
      <w:r w:rsidRPr="00A52AB8">
        <w:rPr>
          <w:rFonts w:eastAsia="Malgun Gothic"/>
        </w:rPr>
        <w:t>prevAu</w:t>
      </w:r>
      <w:r w:rsidR="005129A9" w:rsidRPr="00A52AB8">
        <w:rPr>
          <w:rFonts w:eastAsia="Malgun Gothic"/>
        </w:rPr>
        <w:t>Cab</w:t>
      </w:r>
      <w:r w:rsidRPr="00A52AB8">
        <w:rPr>
          <w:rFonts w:eastAsia="Malgun Gothic"/>
        </w:rPr>
        <w:t>RemovalDelayMinus1 )</w:t>
      </w:r>
      <w:r w:rsidRPr="00A52AB8">
        <w:rPr>
          <w:rFonts w:eastAsia="Malgun Gothic"/>
        </w:rPr>
        <w:br/>
      </w:r>
      <w:r w:rsidRPr="00A52AB8">
        <w:rPr>
          <w:rFonts w:eastAsia="Malgun Gothic"/>
        </w:rPr>
        <w:tab/>
        <w:t>Au</w:t>
      </w:r>
      <w:r w:rsidR="005129A9" w:rsidRPr="00A52AB8">
        <w:rPr>
          <w:rFonts w:eastAsia="Malgun Gothic"/>
        </w:rPr>
        <w:t>Cab</w:t>
      </w:r>
      <w:r w:rsidRPr="00A52AB8">
        <w:rPr>
          <w:rFonts w:eastAsia="Malgun Gothic"/>
        </w:rPr>
        <w:t>RemovalDelayMsb</w:t>
      </w:r>
      <w:r w:rsidR="0023721F" w:rsidRPr="00A52AB8">
        <w:rPr>
          <w:rFonts w:eastAsia="Malgun Gothic"/>
        </w:rPr>
        <w:t> </w:t>
      </w:r>
      <w:r w:rsidR="00D47707" w:rsidRPr="00A52AB8">
        <w:rPr>
          <w:rFonts w:eastAsia="Malgun Gothic"/>
        </w:rPr>
        <w:t>= </w:t>
      </w:r>
      <w:r w:rsidRPr="00A52AB8">
        <w:rPr>
          <w:rFonts w:eastAsia="Malgun Gothic"/>
        </w:rPr>
        <w:t>prevAu</w:t>
      </w:r>
      <w:r w:rsidR="005129A9" w:rsidRPr="00A52AB8">
        <w:rPr>
          <w:rFonts w:eastAsia="Malgun Gothic"/>
        </w:rPr>
        <w:t>Cab</w:t>
      </w:r>
      <w:r w:rsidRPr="00A52AB8">
        <w:rPr>
          <w:rFonts w:eastAsia="Malgun Gothic"/>
        </w:rPr>
        <w:t>RemovalDelayMsb + max</w:t>
      </w:r>
      <w:r w:rsidR="005129A9" w:rsidRPr="00A52AB8">
        <w:rPr>
          <w:rFonts w:eastAsia="Malgun Gothic"/>
        </w:rPr>
        <w:t>Cab</w:t>
      </w:r>
      <w:r w:rsidRPr="00A52AB8">
        <w:rPr>
          <w:rFonts w:eastAsia="Malgun Gothic"/>
        </w:rPr>
        <w:t>RemovalDelay</w:t>
      </w:r>
      <w:r w:rsidRPr="00A52AB8">
        <w:rPr>
          <w:rFonts w:eastAsia="Malgun Gothic"/>
        </w:rPr>
        <w:tab/>
        <w:t>(</w:t>
      </w:r>
      <w:r w:rsidR="002F6714" w:rsidRPr="00A52AB8">
        <w:rPr>
          <w:rFonts w:eastAsia="Malgun Gothic"/>
        </w:rPr>
        <w:t>F</w:t>
      </w:r>
      <w:r w:rsidRPr="00A52AB8">
        <w:rPr>
          <w:rFonts w:eastAsia="Malgun Gothic"/>
        </w:rPr>
        <w:noBreakHyphen/>
      </w:r>
      <w:r w:rsidRPr="00496A4D">
        <w:rPr>
          <w:rFonts w:eastAsia="Malgun Gothic"/>
        </w:rPr>
        <w:fldChar w:fldCharType="begin"/>
      </w:r>
      <w:r w:rsidRPr="00A52AB8">
        <w:rPr>
          <w:rFonts w:eastAsia="Malgun Gothic"/>
        </w:rPr>
        <w:instrText xml:space="preserve"> SEQ Equation \r 1 \* ARABIC </w:instrText>
      </w:r>
      <w:r w:rsidRPr="00496A4D">
        <w:rPr>
          <w:rFonts w:eastAsia="Malgun Gothic"/>
        </w:rPr>
        <w:fldChar w:fldCharType="separate"/>
      </w:r>
      <w:r w:rsidR="00507A67">
        <w:rPr>
          <w:rFonts w:eastAsia="Malgun Gothic"/>
          <w:noProof/>
        </w:rPr>
        <w:t>1</w:t>
      </w:r>
      <w:r w:rsidRPr="00496A4D">
        <w:rPr>
          <w:rFonts w:eastAsia="Malgun Gothic"/>
        </w:rPr>
        <w:fldChar w:fldCharType="end"/>
      </w:r>
      <w:r w:rsidRPr="00A52AB8">
        <w:rPr>
          <w:rFonts w:eastAsia="Malgun Gothic"/>
        </w:rPr>
        <w:t>)</w:t>
      </w:r>
      <w:r w:rsidRPr="00A52AB8">
        <w:rPr>
          <w:rFonts w:eastAsia="Malgun Gothic"/>
        </w:rPr>
        <w:br/>
        <w:t>else</w:t>
      </w:r>
      <w:r w:rsidRPr="00A52AB8">
        <w:rPr>
          <w:rFonts w:eastAsia="Malgun Gothic"/>
        </w:rPr>
        <w:br/>
      </w:r>
      <w:r w:rsidRPr="00A52AB8">
        <w:rPr>
          <w:rFonts w:eastAsia="Malgun Gothic"/>
        </w:rPr>
        <w:tab/>
        <w:t>Au</w:t>
      </w:r>
      <w:r w:rsidR="005129A9" w:rsidRPr="00A52AB8">
        <w:rPr>
          <w:rFonts w:eastAsia="Malgun Gothic"/>
        </w:rPr>
        <w:t>Cab</w:t>
      </w:r>
      <w:r w:rsidRPr="00A52AB8">
        <w:rPr>
          <w:rFonts w:eastAsia="Malgun Gothic"/>
        </w:rPr>
        <w:t>RemovalDelayMsb</w:t>
      </w:r>
      <w:r w:rsidR="0023721F" w:rsidRPr="00A52AB8">
        <w:rPr>
          <w:rFonts w:eastAsia="Malgun Gothic"/>
        </w:rPr>
        <w:t> </w:t>
      </w:r>
      <w:r w:rsidR="00D47707" w:rsidRPr="00A52AB8">
        <w:rPr>
          <w:rFonts w:eastAsia="Malgun Gothic"/>
        </w:rPr>
        <w:t>= </w:t>
      </w:r>
      <w:r w:rsidRPr="00A52AB8">
        <w:rPr>
          <w:rFonts w:eastAsia="Malgun Gothic"/>
        </w:rPr>
        <w:t>prevAu</w:t>
      </w:r>
      <w:r w:rsidR="005129A9" w:rsidRPr="00A52AB8">
        <w:rPr>
          <w:rFonts w:eastAsia="Malgun Gothic"/>
        </w:rPr>
        <w:t>Cab</w:t>
      </w:r>
      <w:r w:rsidRPr="00A52AB8">
        <w:rPr>
          <w:rFonts w:eastAsia="Malgun Gothic"/>
        </w:rPr>
        <w:t>RemovalDelayMsb</w:t>
      </w:r>
    </w:p>
    <w:p w14:paraId="0DED2116" w14:textId="77777777" w:rsidR="006D657C" w:rsidRPr="00A52AB8" w:rsidRDefault="006D657C">
      <w:pPr>
        <w:rPr>
          <w:rFonts w:eastAsia="Malgun Gothic"/>
        </w:rPr>
      </w:pPr>
      <w:r w:rsidRPr="00A52AB8">
        <w:rPr>
          <w:rFonts w:eastAsia="Malgun Gothic"/>
        </w:rPr>
        <w:t>The variable Au</w:t>
      </w:r>
      <w:r w:rsidR="005129A9" w:rsidRPr="00A52AB8">
        <w:rPr>
          <w:rFonts w:eastAsia="Malgun Gothic"/>
        </w:rPr>
        <w:t>Cab</w:t>
      </w:r>
      <w:r w:rsidRPr="00A52AB8">
        <w:rPr>
          <w:rFonts w:eastAsia="Malgun Gothic"/>
        </w:rPr>
        <w:t>RemovalDelayVal is derived as follows:</w:t>
      </w:r>
    </w:p>
    <w:p w14:paraId="5D1AF69F" w14:textId="5B56E52E" w:rsidR="006D657C" w:rsidRPr="00A52AB8" w:rsidRDefault="004618F1" w:rsidP="00D451D4">
      <w:pPr>
        <w:tabs>
          <w:tab w:val="clear" w:pos="9677"/>
          <w:tab w:val="right" w:pos="9696"/>
        </w:tabs>
      </w:pPr>
      <w:r w:rsidRPr="00A52AB8">
        <w:tab/>
      </w:r>
      <w:r w:rsidR="006D657C" w:rsidRPr="00A52AB8">
        <w:t>Au</w:t>
      </w:r>
      <w:r w:rsidR="005129A9" w:rsidRPr="00A52AB8">
        <w:t>Cab</w:t>
      </w:r>
      <w:r w:rsidR="006D657C" w:rsidRPr="00A52AB8">
        <w:t>RemovalDelayVal</w:t>
      </w:r>
      <w:r w:rsidR="00D47707" w:rsidRPr="00A52AB8">
        <w:t> = </w:t>
      </w:r>
      <w:r w:rsidR="006D657C" w:rsidRPr="00A52AB8">
        <w:t>Au</w:t>
      </w:r>
      <w:r w:rsidR="005129A9" w:rsidRPr="00A52AB8">
        <w:t>Cab</w:t>
      </w:r>
      <w:r w:rsidR="006D657C" w:rsidRPr="00A52AB8">
        <w:t>RemovalDelayMsb</w:t>
      </w:r>
      <w:r w:rsidR="00667A10" w:rsidRPr="00A52AB8">
        <w:t> </w:t>
      </w:r>
      <w:r w:rsidR="006D657C" w:rsidRPr="00A52AB8">
        <w:t>+</w:t>
      </w:r>
      <w:r w:rsidR="00667A10" w:rsidRPr="00A52AB8">
        <w:br/>
      </w:r>
      <w:r w:rsidR="00667A10" w:rsidRPr="00A52AB8">
        <w:tab/>
      </w:r>
      <w:r w:rsidR="00667A10" w:rsidRPr="00A52AB8">
        <w:tab/>
      </w:r>
      <w:r w:rsidR="00667A10" w:rsidRPr="00A52AB8">
        <w:tab/>
      </w:r>
      <w:r w:rsidR="00667A10" w:rsidRPr="00A52AB8">
        <w:tab/>
      </w:r>
      <w:r w:rsidR="00667A10" w:rsidRPr="00A52AB8">
        <w:tab/>
      </w:r>
      <w:r w:rsidR="00667A10" w:rsidRPr="00A52AB8">
        <w:tab/>
      </w:r>
      <w:r w:rsidR="00667A10" w:rsidRPr="00A52AB8">
        <w:tab/>
      </w:r>
      <w:r w:rsidR="00667A10" w:rsidRPr="00A52AB8">
        <w:tab/>
      </w:r>
      <w:r w:rsidR="006D657C" w:rsidRPr="00A52AB8">
        <w:t xml:space="preserve"> </w:t>
      </w:r>
      <w:r w:rsidR="00BC5A2A" w:rsidRPr="00A52AB8">
        <w:t>aft</w:t>
      </w:r>
      <w:r w:rsidR="00AD697B" w:rsidRPr="00A52AB8">
        <w:t>_</w:t>
      </w:r>
      <w:r w:rsidR="006D657C" w:rsidRPr="00A52AB8">
        <w:rPr>
          <w:bCs/>
        </w:rPr>
        <w:t>au_</w:t>
      </w:r>
      <w:r w:rsidR="005129A9" w:rsidRPr="00A52AB8">
        <w:rPr>
          <w:bCs/>
        </w:rPr>
        <w:t>cab</w:t>
      </w:r>
      <w:r w:rsidR="006D657C" w:rsidRPr="00A52AB8">
        <w:rPr>
          <w:bCs/>
        </w:rPr>
        <w:t>_removal_delay_minus1</w:t>
      </w:r>
      <w:r w:rsidR="00BC5DD8" w:rsidRPr="00A52AB8">
        <w:rPr>
          <w:color w:val="000000" w:themeColor="text1"/>
        </w:rPr>
        <w:t>[ i ]</w:t>
      </w:r>
      <w:r w:rsidR="00667A10" w:rsidRPr="00A52AB8">
        <w:rPr>
          <w:bCs/>
        </w:rPr>
        <w:t> </w:t>
      </w:r>
      <w:r w:rsidR="006D657C" w:rsidRPr="00A52AB8">
        <w:rPr>
          <w:bCs/>
        </w:rPr>
        <w:t>+</w:t>
      </w:r>
      <w:r w:rsidR="00667A10" w:rsidRPr="00A52AB8">
        <w:rPr>
          <w:bCs/>
        </w:rPr>
        <w:t> </w:t>
      </w:r>
      <w:r w:rsidR="006D657C" w:rsidRPr="00A52AB8">
        <w:rPr>
          <w:bCs/>
        </w:rPr>
        <w:t>1</w:t>
      </w:r>
      <w:r w:rsidR="006D657C" w:rsidRPr="00A52AB8">
        <w:tab/>
        <w:t>(</w:t>
      </w:r>
      <w:r w:rsidR="002F6714" w:rsidRPr="00A52AB8">
        <w:t>F</w:t>
      </w:r>
      <w:r w:rsidR="006D657C" w:rsidRPr="00A52AB8">
        <w:noBreakHyphen/>
      </w:r>
      <w:r w:rsidR="006D657C" w:rsidRPr="00496A4D">
        <w:fldChar w:fldCharType="begin"/>
      </w:r>
      <w:r w:rsidR="006D657C" w:rsidRPr="00A52AB8">
        <w:instrText xml:space="preserve"> SEQ Equation \* ARABIC </w:instrText>
      </w:r>
      <w:r w:rsidR="006D657C" w:rsidRPr="00496A4D">
        <w:fldChar w:fldCharType="separate"/>
      </w:r>
      <w:r w:rsidR="00507A67">
        <w:rPr>
          <w:noProof/>
        </w:rPr>
        <w:t>2</w:t>
      </w:r>
      <w:r w:rsidR="006D657C" w:rsidRPr="00496A4D">
        <w:fldChar w:fldCharType="end"/>
      </w:r>
      <w:r w:rsidR="006D657C" w:rsidRPr="00A52AB8">
        <w:t>)</w:t>
      </w:r>
    </w:p>
    <w:p w14:paraId="6E74235A" w14:textId="77777777" w:rsidR="006D657C" w:rsidRPr="00A52AB8" w:rsidRDefault="006D657C">
      <w:pPr>
        <w:rPr>
          <w:rFonts w:eastAsia="Malgun Gothic"/>
        </w:rPr>
      </w:pPr>
      <w:r w:rsidRPr="00A52AB8">
        <w:rPr>
          <w:rFonts w:eastAsia="Malgun Gothic"/>
          <w:lang w:eastAsia="ja-JP"/>
        </w:rPr>
        <w:t xml:space="preserve">The value of </w:t>
      </w:r>
      <w:r w:rsidRPr="00A52AB8">
        <w:rPr>
          <w:rFonts w:eastAsia="Malgun Gothic"/>
        </w:rPr>
        <w:t>Au</w:t>
      </w:r>
      <w:r w:rsidR="005129A9" w:rsidRPr="00A52AB8">
        <w:rPr>
          <w:rFonts w:eastAsia="Malgun Gothic"/>
        </w:rPr>
        <w:t>Cab</w:t>
      </w:r>
      <w:r w:rsidRPr="00A52AB8">
        <w:rPr>
          <w:rFonts w:eastAsia="Malgun Gothic"/>
        </w:rPr>
        <w:t>RemovalDelayVal shall be in the range of 1 to 2</w:t>
      </w:r>
      <w:r w:rsidRPr="00A52AB8">
        <w:rPr>
          <w:rFonts w:eastAsia="Malgun Gothic"/>
          <w:vertAlign w:val="superscript"/>
        </w:rPr>
        <w:t>32</w:t>
      </w:r>
      <w:r w:rsidRPr="00A52AB8">
        <w:rPr>
          <w:rFonts w:eastAsia="Malgun Gothic"/>
        </w:rPr>
        <w:t>, inclusive. Within one buffering period, the Au</w:t>
      </w:r>
      <w:r w:rsidR="005129A9" w:rsidRPr="00A52AB8">
        <w:rPr>
          <w:rFonts w:eastAsia="Malgun Gothic"/>
        </w:rPr>
        <w:t>Cab</w:t>
      </w:r>
      <w:r w:rsidRPr="00A52AB8">
        <w:rPr>
          <w:rFonts w:eastAsia="Malgun Gothic"/>
        </w:rPr>
        <w:t>RemovalDelayVal values for any two access units shall not be the same.</w:t>
      </w:r>
    </w:p>
    <w:p w14:paraId="787D1B9E" w14:textId="10020997" w:rsidR="006D657C" w:rsidRPr="00A52AB8" w:rsidRDefault="004F442A">
      <w:pPr>
        <w:rPr>
          <w:rFonts w:eastAsia="Malgun Gothic"/>
        </w:rPr>
      </w:pPr>
      <w:r w:rsidRPr="00A52AB8">
        <w:rPr>
          <w:rFonts w:eastAsia="Malgun Gothic"/>
          <w:b/>
          <w:bCs/>
        </w:rPr>
        <w:t>aft_dab_output_delay</w:t>
      </w:r>
      <w:r w:rsidR="00F4336E" w:rsidRPr="00A52AB8">
        <w:rPr>
          <w:rFonts w:eastAsia="Malgun Gothic"/>
        </w:rPr>
        <w:t>[ i ]</w:t>
      </w:r>
      <w:r w:rsidR="006D657C" w:rsidRPr="00A52AB8">
        <w:rPr>
          <w:rFonts w:eastAsia="Malgun Gothic"/>
        </w:rPr>
        <w:t xml:space="preserve"> is used to compute the </w:t>
      </w:r>
      <w:r w:rsidR="006D657C" w:rsidRPr="00A52AB8">
        <w:rPr>
          <w:rFonts w:eastAsia="Malgun Gothic"/>
          <w:iCs/>
        </w:rPr>
        <w:t>DAB output time of the atlas</w:t>
      </w:r>
      <w:r w:rsidR="00F4336E" w:rsidRPr="00A52AB8">
        <w:rPr>
          <w:rFonts w:eastAsia="Malgun Gothic"/>
          <w:iCs/>
        </w:rPr>
        <w:t xml:space="preserve"> frame, for the i-th sub-layer</w:t>
      </w:r>
      <w:r w:rsidR="006D657C" w:rsidRPr="00A52AB8">
        <w:rPr>
          <w:rFonts w:eastAsia="Malgun Gothic"/>
        </w:rPr>
        <w:t>. It specifies how many clock ticks to wait after removal of the access unit from the CAB before the decoded atlas is output from the DAB.</w:t>
      </w:r>
    </w:p>
    <w:p w14:paraId="72997A33" w14:textId="1C4ABDAD" w:rsidR="006D657C" w:rsidRPr="00A52AB8" w:rsidRDefault="006D657C">
      <w:pPr>
        <w:tabs>
          <w:tab w:val="left" w:pos="720"/>
        </w:tabs>
        <w:ind w:left="288"/>
        <w:rPr>
          <w:rFonts w:eastAsia="Malgun Gothic"/>
          <w:sz w:val="18"/>
          <w:szCs w:val="18"/>
        </w:rPr>
      </w:pPr>
      <w:r w:rsidRPr="00A52AB8">
        <w:rPr>
          <w:rFonts w:eastAsia="Malgun Gothic"/>
          <w:sz w:val="18"/>
          <w:szCs w:val="18"/>
        </w:rPr>
        <w:t>NOTE</w:t>
      </w:r>
      <w:r w:rsidR="00CE318F" w:rsidRPr="00A52AB8">
        <w:rPr>
          <w:rFonts w:eastAsia="Malgun Gothic"/>
          <w:sz w:val="18"/>
          <w:szCs w:val="18"/>
        </w:rPr>
        <w:t> </w:t>
      </w:r>
      <w:r w:rsidR="00CE318F" w:rsidRPr="00496A4D">
        <w:rPr>
          <w:sz w:val="18"/>
          <w:szCs w:val="18"/>
        </w:rPr>
        <w:fldChar w:fldCharType="begin"/>
      </w:r>
      <w:r w:rsidR="00CE318F" w:rsidRPr="00A52AB8">
        <w:rPr>
          <w:sz w:val="18"/>
          <w:szCs w:val="18"/>
        </w:rPr>
        <w:instrText xml:space="preserve"> SEQ NoteCounter \s 9 \* MERGEFORMAT  \* MERGEFORMAT  \* MERGEFORMAT </w:instrText>
      </w:r>
      <w:r w:rsidR="00CE318F" w:rsidRPr="00496A4D">
        <w:rPr>
          <w:sz w:val="18"/>
          <w:szCs w:val="18"/>
        </w:rPr>
        <w:fldChar w:fldCharType="separate"/>
      </w:r>
      <w:r w:rsidR="00507A67">
        <w:rPr>
          <w:noProof/>
          <w:sz w:val="18"/>
          <w:szCs w:val="18"/>
        </w:rPr>
        <w:t>2</w:t>
      </w:r>
      <w:r w:rsidR="00CE318F" w:rsidRPr="00496A4D">
        <w:rPr>
          <w:sz w:val="18"/>
          <w:szCs w:val="18"/>
        </w:rPr>
        <w:fldChar w:fldCharType="end"/>
      </w:r>
      <w:r w:rsidRPr="00A52AB8">
        <w:rPr>
          <w:rFonts w:eastAsia="Malgun Gothic"/>
          <w:sz w:val="18"/>
          <w:szCs w:val="18"/>
        </w:rPr>
        <w:t> – A</w:t>
      </w:r>
      <w:r w:rsidR="00112CA6" w:rsidRPr="00A52AB8">
        <w:rPr>
          <w:rFonts w:eastAsia="Malgun Gothic"/>
          <w:sz w:val="18"/>
          <w:szCs w:val="18"/>
        </w:rPr>
        <w:t>n</w:t>
      </w:r>
      <w:r w:rsidRPr="00A52AB8">
        <w:rPr>
          <w:rFonts w:eastAsia="Malgun Gothic"/>
          <w:sz w:val="18"/>
          <w:szCs w:val="18"/>
        </w:rPr>
        <w:t xml:space="preserve"> atlas </w:t>
      </w:r>
      <w:r w:rsidR="008E682E" w:rsidRPr="00A52AB8">
        <w:rPr>
          <w:rFonts w:eastAsia="Malgun Gothic"/>
          <w:sz w:val="18"/>
          <w:szCs w:val="18"/>
        </w:rPr>
        <w:t xml:space="preserve">frame </w:t>
      </w:r>
      <w:r w:rsidRPr="00A52AB8">
        <w:rPr>
          <w:rFonts w:eastAsia="Malgun Gothic"/>
          <w:sz w:val="18"/>
          <w:szCs w:val="18"/>
        </w:rPr>
        <w:t>is not removed from the DAB at its output time when it is still marked as "used for short-term reference" or "used for long-term reference".</w:t>
      </w:r>
    </w:p>
    <w:p w14:paraId="04F1F5D6" w14:textId="2B7DCF1B" w:rsidR="006D657C" w:rsidRPr="00A52AB8" w:rsidRDefault="006D657C">
      <w:pPr>
        <w:rPr>
          <w:rFonts w:eastAsia="Malgun Gothic"/>
          <w:sz w:val="20"/>
          <w:szCs w:val="20"/>
        </w:rPr>
      </w:pPr>
      <w:r w:rsidRPr="00A52AB8">
        <w:rPr>
          <w:rFonts w:eastAsia="Malgun Gothic"/>
        </w:rPr>
        <w:t xml:space="preserve">The length of the syntax element </w:t>
      </w:r>
      <w:r w:rsidR="004F442A" w:rsidRPr="00A52AB8">
        <w:rPr>
          <w:rFonts w:eastAsia="Malgun Gothic"/>
        </w:rPr>
        <w:t>aft_dab_output_delay</w:t>
      </w:r>
      <w:r w:rsidR="0061785D" w:rsidRPr="00A52AB8">
        <w:rPr>
          <w:rFonts w:eastAsia="Malgun Gothic"/>
        </w:rPr>
        <w:t>[ i ]</w:t>
      </w:r>
      <w:r w:rsidRPr="00A52AB8">
        <w:rPr>
          <w:rFonts w:eastAsia="Malgun Gothic"/>
        </w:rPr>
        <w:t xml:space="preserve"> is given in bits by </w:t>
      </w:r>
      <w:r w:rsidR="0061785D" w:rsidRPr="00A52AB8">
        <w:rPr>
          <w:rFonts w:eastAsia="Malgun Gothic"/>
        </w:rPr>
        <w:t>bp</w:t>
      </w:r>
      <w:r w:rsidR="00884BC8" w:rsidRPr="00A52AB8">
        <w:rPr>
          <w:rFonts w:eastAsia="Malgun Gothic"/>
        </w:rPr>
        <w:t>_</w:t>
      </w:r>
      <w:r w:rsidRPr="00A52AB8">
        <w:rPr>
          <w:rFonts w:eastAsia="Malgun Gothic"/>
        </w:rPr>
        <w:t>dab_output_delay_length_minus1 + 1. When asps_max_dec_atlas_</w:t>
      </w:r>
      <w:r w:rsidR="00AD697B" w:rsidRPr="00A52AB8">
        <w:rPr>
          <w:rFonts w:eastAsia="Malgun Gothic"/>
        </w:rPr>
        <w:t>frame_</w:t>
      </w:r>
      <w:r w:rsidRPr="00A52AB8">
        <w:rPr>
          <w:rFonts w:eastAsia="Malgun Gothic"/>
        </w:rPr>
        <w:t>buffering_minus1</w:t>
      </w:r>
      <w:r w:rsidR="00AD697B" w:rsidRPr="00A52AB8">
        <w:rPr>
          <w:rFonts w:eastAsia="Malgun Gothic"/>
        </w:rPr>
        <w:t xml:space="preserve"> associated with </w:t>
      </w:r>
      <w:r w:rsidRPr="00A52AB8">
        <w:rPr>
          <w:rFonts w:eastAsia="Malgun Gothic"/>
        </w:rPr>
        <w:t>minTid</w:t>
      </w:r>
      <w:r w:rsidR="00AD697B" w:rsidRPr="00A52AB8">
        <w:rPr>
          <w:rFonts w:eastAsia="Malgun Gothic"/>
        </w:rPr>
        <w:t>,</w:t>
      </w:r>
      <w:r w:rsidRPr="00A52AB8">
        <w:rPr>
          <w:rFonts w:eastAsia="Malgun Gothic"/>
        </w:rPr>
        <w:t xml:space="preserve"> is equal to 0, where minTid is the minimum of the OpTid values of all operation points the atlas </w:t>
      </w:r>
      <w:r w:rsidR="0061785D" w:rsidRPr="00A52AB8">
        <w:rPr>
          <w:rFonts w:eastAsia="Malgun Gothic"/>
        </w:rPr>
        <w:t xml:space="preserve">frame </w:t>
      </w:r>
      <w:r w:rsidRPr="00A52AB8">
        <w:rPr>
          <w:rFonts w:eastAsia="Malgun Gothic"/>
        </w:rPr>
        <w:t xml:space="preserve">timing SEI message applies to, </w:t>
      </w:r>
      <w:r w:rsidR="004F442A" w:rsidRPr="00A52AB8">
        <w:rPr>
          <w:rFonts w:eastAsia="Malgun Gothic"/>
        </w:rPr>
        <w:t>aft_dab_output_delay</w:t>
      </w:r>
      <w:r w:rsidR="00BC5DD8" w:rsidRPr="00A52AB8">
        <w:rPr>
          <w:color w:val="000000" w:themeColor="text1"/>
        </w:rPr>
        <w:t>[ i ]</w:t>
      </w:r>
      <w:r w:rsidRPr="00A52AB8">
        <w:rPr>
          <w:rFonts w:eastAsia="Malgun Gothic"/>
        </w:rPr>
        <w:t xml:space="preserve"> shall be equal to 0.</w:t>
      </w:r>
    </w:p>
    <w:p w14:paraId="5170B73B" w14:textId="2D077CBA" w:rsidR="006D657C" w:rsidRPr="00A52AB8" w:rsidRDefault="006D657C">
      <w:pPr>
        <w:rPr>
          <w:rFonts w:eastAsia="Malgun Gothic"/>
        </w:rPr>
      </w:pPr>
      <w:r w:rsidRPr="00A52AB8">
        <w:rPr>
          <w:rFonts w:eastAsia="Malgun Gothic"/>
        </w:rPr>
        <w:t xml:space="preserve">The output time derived from the </w:t>
      </w:r>
      <w:r w:rsidR="004F442A" w:rsidRPr="00A52AB8">
        <w:rPr>
          <w:rFonts w:eastAsia="Malgun Gothic"/>
        </w:rPr>
        <w:t>aft_dab_output_delay</w:t>
      </w:r>
      <w:r w:rsidR="0061785D" w:rsidRPr="00A52AB8">
        <w:rPr>
          <w:rFonts w:eastAsia="Malgun Gothic"/>
        </w:rPr>
        <w:t>[ i ]</w:t>
      </w:r>
      <w:r w:rsidRPr="00A52AB8">
        <w:rPr>
          <w:rFonts w:eastAsia="Malgun Gothic"/>
        </w:rPr>
        <w:t xml:space="preserve"> of any atlas </w:t>
      </w:r>
      <w:r w:rsidR="008E682E" w:rsidRPr="00A52AB8">
        <w:rPr>
          <w:rFonts w:eastAsia="Malgun Gothic"/>
        </w:rPr>
        <w:t xml:space="preserve">frame </w:t>
      </w:r>
      <w:r w:rsidRPr="00A52AB8">
        <w:rPr>
          <w:rFonts w:eastAsia="Malgun Gothic"/>
        </w:rPr>
        <w:t xml:space="preserve">that is output from an output timing conforming decoder shall precede the output time derived from the </w:t>
      </w:r>
      <w:r w:rsidR="004F442A" w:rsidRPr="00A52AB8">
        <w:rPr>
          <w:rFonts w:eastAsia="Malgun Gothic"/>
        </w:rPr>
        <w:t>aft_dab_output_delay</w:t>
      </w:r>
      <w:r w:rsidR="0061785D" w:rsidRPr="00A52AB8">
        <w:rPr>
          <w:rFonts w:eastAsia="Malgun Gothic"/>
        </w:rPr>
        <w:t>[ i ]</w:t>
      </w:r>
      <w:r w:rsidRPr="00A52AB8">
        <w:rPr>
          <w:rFonts w:eastAsia="Malgun Gothic"/>
        </w:rPr>
        <w:t xml:space="preserve"> of all </w:t>
      </w:r>
      <w:r w:rsidR="004618F1" w:rsidRPr="00A52AB8">
        <w:rPr>
          <w:rFonts w:eastAsia="Malgun Gothic"/>
        </w:rPr>
        <w:t>atlas</w:t>
      </w:r>
      <w:r w:rsidR="008E682E" w:rsidRPr="00A52AB8">
        <w:rPr>
          <w:rFonts w:eastAsia="Malgun Gothic"/>
        </w:rPr>
        <w:t xml:space="preserve"> frame</w:t>
      </w:r>
      <w:r w:rsidRPr="00A52AB8">
        <w:rPr>
          <w:rFonts w:eastAsia="Malgun Gothic"/>
        </w:rPr>
        <w:t>s in any subsequent CAS in decoding order.</w:t>
      </w:r>
    </w:p>
    <w:p w14:paraId="6C323DE1" w14:textId="68AE0352" w:rsidR="006D657C" w:rsidRPr="00A52AB8" w:rsidRDefault="006D657C">
      <w:pPr>
        <w:rPr>
          <w:rFonts w:eastAsia="Malgun Gothic"/>
        </w:rPr>
      </w:pPr>
      <w:r w:rsidRPr="00A52AB8">
        <w:rPr>
          <w:rFonts w:eastAsia="Malgun Gothic"/>
        </w:rPr>
        <w:t xml:space="preserve">The atlas output order established by the values of this syntax element shall be the same order as established by the values of </w:t>
      </w:r>
      <w:r w:rsidR="003A2EB1" w:rsidRPr="00A52AB8">
        <w:rPr>
          <w:rFonts w:eastAsia="Malgun Gothic"/>
        </w:rPr>
        <w:t>AtlasFrmOrderCntVa</w:t>
      </w:r>
      <w:r w:rsidRPr="00A52AB8">
        <w:rPr>
          <w:rFonts w:eastAsia="Malgun Gothic"/>
        </w:rPr>
        <w:t>l.</w:t>
      </w:r>
    </w:p>
    <w:p w14:paraId="5E7CCCB5" w14:textId="6909877B" w:rsidR="006D657C" w:rsidRPr="00A52AB8" w:rsidRDefault="006D657C">
      <w:pPr>
        <w:tabs>
          <w:tab w:val="left" w:pos="720"/>
        </w:tabs>
        <w:spacing w:after="160" w:line="256" w:lineRule="auto"/>
        <w:jc w:val="left"/>
        <w:rPr>
          <w:rFonts w:eastAsia="Malgun Gothic"/>
        </w:rPr>
      </w:pPr>
      <w:r w:rsidRPr="00A52AB8">
        <w:rPr>
          <w:rFonts w:eastAsia="Malgun Gothic"/>
        </w:rPr>
        <w:t>For atlas</w:t>
      </w:r>
      <w:r w:rsidR="008E682E" w:rsidRPr="00A52AB8">
        <w:rPr>
          <w:rFonts w:eastAsia="Malgun Gothic"/>
        </w:rPr>
        <w:t xml:space="preserve"> frame</w:t>
      </w:r>
      <w:r w:rsidRPr="00A52AB8">
        <w:rPr>
          <w:rFonts w:eastAsia="Malgun Gothic"/>
        </w:rPr>
        <w:t xml:space="preserve">s that are not output by the "bumping" process because they precede, in decoding order, an IRAP </w:t>
      </w:r>
      <w:r w:rsidR="003D47FD" w:rsidRPr="00A52AB8">
        <w:rPr>
          <w:rFonts w:eastAsia="Malgun Gothic"/>
        </w:rPr>
        <w:t xml:space="preserve">coded </w:t>
      </w:r>
      <w:r w:rsidRPr="00A52AB8">
        <w:rPr>
          <w:rFonts w:eastAsia="Malgun Gothic"/>
        </w:rPr>
        <w:t xml:space="preserve">atlas </w:t>
      </w:r>
      <w:r w:rsidR="00112CA6" w:rsidRPr="00A52AB8">
        <w:rPr>
          <w:rFonts w:eastAsia="Malgun Gothic"/>
        </w:rPr>
        <w:t xml:space="preserve">frame </w:t>
      </w:r>
      <w:r w:rsidRPr="00A52AB8">
        <w:rPr>
          <w:rFonts w:eastAsia="Malgun Gothic"/>
        </w:rPr>
        <w:t xml:space="preserve">with </w:t>
      </w:r>
      <w:r w:rsidR="00BB6D1E" w:rsidRPr="00A52AB8">
        <w:rPr>
          <w:rFonts w:eastAsia="Malgun Gothic"/>
        </w:rPr>
        <w:t>NoOutputBeforeRecoveryFlag</w:t>
      </w:r>
      <w:r w:rsidRPr="00A52AB8">
        <w:rPr>
          <w:rFonts w:eastAsia="Malgun Gothic"/>
        </w:rPr>
        <w:t xml:space="preserve"> equal to 1, the output times derived from a</w:t>
      </w:r>
      <w:r w:rsidR="009D0FDA" w:rsidRPr="00A52AB8">
        <w:rPr>
          <w:rFonts w:eastAsia="Malgun Gothic"/>
        </w:rPr>
        <w:t>ft</w:t>
      </w:r>
      <w:r w:rsidRPr="00A52AB8">
        <w:rPr>
          <w:rFonts w:eastAsia="Malgun Gothic"/>
        </w:rPr>
        <w:t>_d</w:t>
      </w:r>
      <w:r w:rsidR="009D0FDA" w:rsidRPr="00A52AB8">
        <w:rPr>
          <w:rFonts w:eastAsia="Malgun Gothic"/>
        </w:rPr>
        <w:t>a</w:t>
      </w:r>
      <w:r w:rsidRPr="00A52AB8">
        <w:rPr>
          <w:rFonts w:eastAsia="Malgun Gothic"/>
        </w:rPr>
        <w:t>b_output_delay</w:t>
      </w:r>
      <w:r w:rsidR="0061785D" w:rsidRPr="00A52AB8">
        <w:rPr>
          <w:rFonts w:eastAsia="Malgun Gothic"/>
        </w:rPr>
        <w:t>[ i ]</w:t>
      </w:r>
      <w:r w:rsidRPr="00A52AB8">
        <w:rPr>
          <w:rFonts w:eastAsia="Malgun Gothic"/>
        </w:rPr>
        <w:t xml:space="preserve"> shall be increasing with increasing value of </w:t>
      </w:r>
      <w:r w:rsidR="003A2EB1" w:rsidRPr="00A52AB8">
        <w:rPr>
          <w:rFonts w:eastAsia="Malgun Gothic"/>
        </w:rPr>
        <w:t>AtlasFrmOrderCntVa</w:t>
      </w:r>
      <w:r w:rsidRPr="00A52AB8">
        <w:rPr>
          <w:rFonts w:eastAsia="Malgun Gothic"/>
        </w:rPr>
        <w:t>l relative to all atlas</w:t>
      </w:r>
      <w:r w:rsidR="008E682E" w:rsidRPr="00A52AB8">
        <w:rPr>
          <w:rFonts w:eastAsia="Malgun Gothic"/>
        </w:rPr>
        <w:t xml:space="preserve"> frame</w:t>
      </w:r>
      <w:r w:rsidRPr="00A52AB8">
        <w:rPr>
          <w:rFonts w:eastAsia="Malgun Gothic"/>
        </w:rPr>
        <w:t>s within the same CAS.</w:t>
      </w:r>
    </w:p>
    <w:p w14:paraId="74C63236" w14:textId="77777777" w:rsidR="007B02BE" w:rsidRPr="00A52AB8" w:rsidRDefault="007B02BE" w:rsidP="005C26E9">
      <w:pPr>
        <w:pStyle w:val="a3"/>
        <w:numPr>
          <w:ilvl w:val="2"/>
          <w:numId w:val="14"/>
        </w:numPr>
        <w:tabs>
          <w:tab w:val="clear" w:pos="403"/>
        </w:tabs>
      </w:pPr>
      <w:bookmarkStart w:id="5658" w:name="_Toc42730333"/>
      <w:bookmarkStart w:id="5659" w:name="_Toc45105798"/>
      <w:bookmarkStart w:id="5660" w:name="_Toc45530657"/>
      <w:bookmarkStart w:id="5661" w:name="_Toc46302020"/>
      <w:bookmarkStart w:id="5662" w:name="_Toc46302845"/>
      <w:bookmarkStart w:id="5663" w:name="_Toc42730334"/>
      <w:bookmarkStart w:id="5664" w:name="_Toc45105799"/>
      <w:bookmarkStart w:id="5665" w:name="_Toc45530658"/>
      <w:bookmarkStart w:id="5666" w:name="_Toc46302021"/>
      <w:bookmarkStart w:id="5667" w:name="_Toc46302846"/>
      <w:bookmarkStart w:id="5668" w:name="_Toc42730335"/>
      <w:bookmarkStart w:id="5669" w:name="_Toc45105800"/>
      <w:bookmarkStart w:id="5670" w:name="_Toc45530659"/>
      <w:bookmarkStart w:id="5671" w:name="_Toc46302022"/>
      <w:bookmarkStart w:id="5672" w:name="_Toc46302847"/>
      <w:bookmarkStart w:id="5673" w:name="_Toc42730336"/>
      <w:bookmarkStart w:id="5674" w:name="_Toc45105801"/>
      <w:bookmarkStart w:id="5675" w:name="_Toc45530660"/>
      <w:bookmarkStart w:id="5676" w:name="_Toc46302023"/>
      <w:bookmarkStart w:id="5677" w:name="_Toc46302848"/>
      <w:bookmarkStart w:id="5678" w:name="_Toc42730337"/>
      <w:bookmarkStart w:id="5679" w:name="_Toc45105802"/>
      <w:bookmarkStart w:id="5680" w:name="_Toc45530661"/>
      <w:bookmarkStart w:id="5681" w:name="_Toc46302024"/>
      <w:bookmarkStart w:id="5682" w:name="_Toc46302849"/>
      <w:bookmarkStart w:id="5683" w:name="_Toc42730338"/>
      <w:bookmarkStart w:id="5684" w:name="_Toc45105803"/>
      <w:bookmarkStart w:id="5685" w:name="_Toc45530662"/>
      <w:bookmarkStart w:id="5686" w:name="_Toc46302025"/>
      <w:bookmarkStart w:id="5687" w:name="_Toc46302850"/>
      <w:bookmarkStart w:id="5688" w:name="_Toc42730339"/>
      <w:bookmarkStart w:id="5689" w:name="_Toc45105804"/>
      <w:bookmarkStart w:id="5690" w:name="_Toc45530663"/>
      <w:bookmarkStart w:id="5691" w:name="_Toc46302026"/>
      <w:bookmarkStart w:id="5692" w:name="_Toc46302851"/>
      <w:bookmarkStart w:id="5693" w:name="_Toc42730340"/>
      <w:bookmarkStart w:id="5694" w:name="_Toc45105805"/>
      <w:bookmarkStart w:id="5695" w:name="_Toc45530664"/>
      <w:bookmarkStart w:id="5696" w:name="_Toc46302027"/>
      <w:bookmarkStart w:id="5697" w:name="_Toc46302852"/>
      <w:bookmarkStart w:id="5698" w:name="_Toc42730341"/>
      <w:bookmarkStart w:id="5699" w:name="_Toc45105806"/>
      <w:bookmarkStart w:id="5700" w:name="_Toc45530665"/>
      <w:bookmarkStart w:id="5701" w:name="_Toc46302028"/>
      <w:bookmarkStart w:id="5702" w:name="_Toc46302853"/>
      <w:bookmarkStart w:id="5703" w:name="_Toc42730342"/>
      <w:bookmarkStart w:id="5704" w:name="_Toc45105807"/>
      <w:bookmarkStart w:id="5705" w:name="_Toc45530666"/>
      <w:bookmarkStart w:id="5706" w:name="_Toc46302029"/>
      <w:bookmarkStart w:id="5707" w:name="_Toc46302854"/>
      <w:bookmarkStart w:id="5708" w:name="_Toc42730343"/>
      <w:bookmarkStart w:id="5709" w:name="_Toc45105808"/>
      <w:bookmarkStart w:id="5710" w:name="_Toc45530667"/>
      <w:bookmarkStart w:id="5711" w:name="_Toc46302030"/>
      <w:bookmarkStart w:id="5712" w:name="_Toc46302855"/>
      <w:bookmarkStart w:id="5713" w:name="_Toc42730344"/>
      <w:bookmarkStart w:id="5714" w:name="_Toc45105809"/>
      <w:bookmarkStart w:id="5715" w:name="_Toc45530668"/>
      <w:bookmarkStart w:id="5716" w:name="_Toc46302031"/>
      <w:bookmarkStart w:id="5717" w:name="_Toc46302856"/>
      <w:bookmarkStart w:id="5718" w:name="_Toc42730345"/>
      <w:bookmarkStart w:id="5719" w:name="_Toc45105810"/>
      <w:bookmarkStart w:id="5720" w:name="_Toc45530669"/>
      <w:bookmarkStart w:id="5721" w:name="_Toc46302032"/>
      <w:bookmarkStart w:id="5722" w:name="_Toc46302857"/>
      <w:bookmarkStart w:id="5723" w:name="_Toc38891866"/>
      <w:bookmarkStart w:id="5724" w:name="_Toc39426463"/>
      <w:bookmarkStart w:id="5725" w:name="_Toc42730346"/>
      <w:bookmarkStart w:id="5726" w:name="_Toc45105811"/>
      <w:bookmarkStart w:id="5727" w:name="_Toc45530670"/>
      <w:bookmarkStart w:id="5728" w:name="_Toc46302033"/>
      <w:bookmarkStart w:id="5729" w:name="_Toc46302858"/>
      <w:bookmarkStart w:id="5730" w:name="_Toc38891867"/>
      <w:bookmarkStart w:id="5731" w:name="_Toc39426464"/>
      <w:bookmarkStart w:id="5732" w:name="_Toc42730347"/>
      <w:bookmarkStart w:id="5733" w:name="_Toc45105812"/>
      <w:bookmarkStart w:id="5734" w:name="_Toc45530671"/>
      <w:bookmarkStart w:id="5735" w:name="_Toc46302034"/>
      <w:bookmarkStart w:id="5736" w:name="_Toc46302859"/>
      <w:bookmarkStart w:id="5737" w:name="_Toc38891868"/>
      <w:bookmarkStart w:id="5738" w:name="_Toc39426465"/>
      <w:bookmarkStart w:id="5739" w:name="_Toc42730348"/>
      <w:bookmarkStart w:id="5740" w:name="_Toc45105813"/>
      <w:bookmarkStart w:id="5741" w:name="_Toc45530672"/>
      <w:bookmarkStart w:id="5742" w:name="_Toc46302035"/>
      <w:bookmarkStart w:id="5743" w:name="_Toc46302860"/>
      <w:bookmarkStart w:id="5744" w:name="_Toc38891869"/>
      <w:bookmarkStart w:id="5745" w:name="_Toc39426466"/>
      <w:bookmarkStart w:id="5746" w:name="_Toc42730349"/>
      <w:bookmarkStart w:id="5747" w:name="_Toc45105814"/>
      <w:bookmarkStart w:id="5748" w:name="_Toc45530673"/>
      <w:bookmarkStart w:id="5749" w:name="_Toc46302036"/>
      <w:bookmarkStart w:id="5750" w:name="_Toc46302861"/>
      <w:bookmarkStart w:id="5751" w:name="_Toc38891870"/>
      <w:bookmarkStart w:id="5752" w:name="_Toc39426467"/>
      <w:bookmarkStart w:id="5753" w:name="_Toc42730350"/>
      <w:bookmarkStart w:id="5754" w:name="_Toc45105815"/>
      <w:bookmarkStart w:id="5755" w:name="_Toc45530674"/>
      <w:bookmarkStart w:id="5756" w:name="_Toc46302037"/>
      <w:bookmarkStart w:id="5757" w:name="_Toc46302862"/>
      <w:bookmarkStart w:id="5758" w:name="_Toc38891871"/>
      <w:bookmarkStart w:id="5759" w:name="_Toc39426468"/>
      <w:bookmarkStart w:id="5760" w:name="_Toc42730351"/>
      <w:bookmarkStart w:id="5761" w:name="_Toc45105816"/>
      <w:bookmarkStart w:id="5762" w:name="_Toc45530675"/>
      <w:bookmarkStart w:id="5763" w:name="_Toc46302038"/>
      <w:bookmarkStart w:id="5764" w:name="_Toc46302863"/>
      <w:bookmarkStart w:id="5765" w:name="_Toc38891872"/>
      <w:bookmarkStart w:id="5766" w:name="_Toc39426469"/>
      <w:bookmarkStart w:id="5767" w:name="_Toc42730352"/>
      <w:bookmarkStart w:id="5768" w:name="_Toc45105817"/>
      <w:bookmarkStart w:id="5769" w:name="_Toc45530676"/>
      <w:bookmarkStart w:id="5770" w:name="_Toc46302039"/>
      <w:bookmarkStart w:id="5771" w:name="_Toc46302864"/>
      <w:bookmarkStart w:id="5772" w:name="_Toc38891873"/>
      <w:bookmarkStart w:id="5773" w:name="_Toc39426470"/>
      <w:bookmarkStart w:id="5774" w:name="_Toc42730353"/>
      <w:bookmarkStart w:id="5775" w:name="_Toc45105818"/>
      <w:bookmarkStart w:id="5776" w:name="_Toc45530677"/>
      <w:bookmarkStart w:id="5777" w:name="_Toc46302040"/>
      <w:bookmarkStart w:id="5778" w:name="_Toc46302865"/>
      <w:bookmarkStart w:id="5779" w:name="_Toc38891874"/>
      <w:bookmarkStart w:id="5780" w:name="_Toc39426471"/>
      <w:bookmarkStart w:id="5781" w:name="_Toc42730354"/>
      <w:bookmarkStart w:id="5782" w:name="_Toc45105819"/>
      <w:bookmarkStart w:id="5783" w:name="_Toc45530678"/>
      <w:bookmarkStart w:id="5784" w:name="_Toc46302041"/>
      <w:bookmarkStart w:id="5785" w:name="_Toc46302866"/>
      <w:bookmarkStart w:id="5786" w:name="_Toc38891875"/>
      <w:bookmarkStart w:id="5787" w:name="_Toc39426472"/>
      <w:bookmarkStart w:id="5788" w:name="_Toc42730355"/>
      <w:bookmarkStart w:id="5789" w:name="_Toc45105820"/>
      <w:bookmarkStart w:id="5790" w:name="_Toc45530679"/>
      <w:bookmarkStart w:id="5791" w:name="_Toc46302042"/>
      <w:bookmarkStart w:id="5792" w:name="_Toc46302867"/>
      <w:bookmarkStart w:id="5793" w:name="_Toc38891891"/>
      <w:bookmarkStart w:id="5794" w:name="_Toc39426488"/>
      <w:bookmarkStart w:id="5795" w:name="_Toc42730371"/>
      <w:bookmarkStart w:id="5796" w:name="_Toc45105836"/>
      <w:bookmarkStart w:id="5797" w:name="_Toc45530695"/>
      <w:bookmarkStart w:id="5798" w:name="_Toc46302058"/>
      <w:bookmarkStart w:id="5799" w:name="_Toc46302883"/>
      <w:bookmarkStart w:id="5800" w:name="_Toc38891892"/>
      <w:bookmarkStart w:id="5801" w:name="_Toc39426489"/>
      <w:bookmarkStart w:id="5802" w:name="_Toc42730372"/>
      <w:bookmarkStart w:id="5803" w:name="_Toc45105837"/>
      <w:bookmarkStart w:id="5804" w:name="_Toc45530696"/>
      <w:bookmarkStart w:id="5805" w:name="_Toc46302059"/>
      <w:bookmarkStart w:id="5806" w:name="_Toc46302884"/>
      <w:bookmarkStart w:id="5807" w:name="_Toc38891893"/>
      <w:bookmarkStart w:id="5808" w:name="_Toc39426490"/>
      <w:bookmarkStart w:id="5809" w:name="_Toc42730373"/>
      <w:bookmarkStart w:id="5810" w:name="_Toc45105838"/>
      <w:bookmarkStart w:id="5811" w:name="_Toc45530697"/>
      <w:bookmarkStart w:id="5812" w:name="_Toc46302060"/>
      <w:bookmarkStart w:id="5813" w:name="_Toc46302885"/>
      <w:bookmarkStart w:id="5814" w:name="_Toc38891894"/>
      <w:bookmarkStart w:id="5815" w:name="_Toc39426491"/>
      <w:bookmarkStart w:id="5816" w:name="_Toc42730374"/>
      <w:bookmarkStart w:id="5817" w:name="_Toc45105839"/>
      <w:bookmarkStart w:id="5818" w:name="_Toc45530698"/>
      <w:bookmarkStart w:id="5819" w:name="_Toc46302061"/>
      <w:bookmarkStart w:id="5820" w:name="_Toc46302886"/>
      <w:bookmarkStart w:id="5821" w:name="_Toc38891895"/>
      <w:bookmarkStart w:id="5822" w:name="_Toc39426492"/>
      <w:bookmarkStart w:id="5823" w:name="_Toc42730375"/>
      <w:bookmarkStart w:id="5824" w:name="_Toc45105840"/>
      <w:bookmarkStart w:id="5825" w:name="_Toc45530699"/>
      <w:bookmarkStart w:id="5826" w:name="_Toc46302062"/>
      <w:bookmarkStart w:id="5827" w:name="_Toc46302887"/>
      <w:bookmarkStart w:id="5828" w:name="_Toc38891896"/>
      <w:bookmarkStart w:id="5829" w:name="_Toc39426493"/>
      <w:bookmarkStart w:id="5830" w:name="_Toc42730376"/>
      <w:bookmarkStart w:id="5831" w:name="_Toc45105841"/>
      <w:bookmarkStart w:id="5832" w:name="_Toc45530700"/>
      <w:bookmarkStart w:id="5833" w:name="_Toc46302063"/>
      <w:bookmarkStart w:id="5834" w:name="_Toc46302888"/>
      <w:bookmarkStart w:id="5835" w:name="_Toc38891897"/>
      <w:bookmarkStart w:id="5836" w:name="_Toc39426494"/>
      <w:bookmarkStart w:id="5837" w:name="_Toc42730377"/>
      <w:bookmarkStart w:id="5838" w:name="_Toc45105842"/>
      <w:bookmarkStart w:id="5839" w:name="_Toc45530701"/>
      <w:bookmarkStart w:id="5840" w:name="_Toc46302064"/>
      <w:bookmarkStart w:id="5841" w:name="_Toc46302889"/>
      <w:bookmarkStart w:id="5842" w:name="_Toc38891898"/>
      <w:bookmarkStart w:id="5843" w:name="_Toc39426495"/>
      <w:bookmarkStart w:id="5844" w:name="_Toc42730378"/>
      <w:bookmarkStart w:id="5845" w:name="_Toc45105843"/>
      <w:bookmarkStart w:id="5846" w:name="_Toc45530702"/>
      <w:bookmarkStart w:id="5847" w:name="_Toc46302065"/>
      <w:bookmarkStart w:id="5848" w:name="_Toc46302890"/>
      <w:bookmarkStart w:id="5849" w:name="_Toc38891899"/>
      <w:bookmarkStart w:id="5850" w:name="_Toc39426496"/>
      <w:bookmarkStart w:id="5851" w:name="_Toc42730379"/>
      <w:bookmarkStart w:id="5852" w:name="_Toc45105844"/>
      <w:bookmarkStart w:id="5853" w:name="_Toc45530703"/>
      <w:bookmarkStart w:id="5854" w:name="_Toc46302066"/>
      <w:bookmarkStart w:id="5855" w:name="_Toc46302891"/>
      <w:bookmarkStart w:id="5856" w:name="_Toc38891900"/>
      <w:bookmarkStart w:id="5857" w:name="_Toc39426497"/>
      <w:bookmarkStart w:id="5858" w:name="_Toc42730380"/>
      <w:bookmarkStart w:id="5859" w:name="_Toc45105845"/>
      <w:bookmarkStart w:id="5860" w:name="_Toc45530704"/>
      <w:bookmarkStart w:id="5861" w:name="_Toc46302067"/>
      <w:bookmarkStart w:id="5862" w:name="_Toc46302892"/>
      <w:bookmarkStart w:id="5863" w:name="_Toc38891901"/>
      <w:bookmarkStart w:id="5864" w:name="_Toc39426498"/>
      <w:bookmarkStart w:id="5865" w:name="_Toc42730381"/>
      <w:bookmarkStart w:id="5866" w:name="_Toc45105846"/>
      <w:bookmarkStart w:id="5867" w:name="_Toc45530705"/>
      <w:bookmarkStart w:id="5868" w:name="_Toc46302068"/>
      <w:bookmarkStart w:id="5869" w:name="_Toc46302893"/>
      <w:bookmarkStart w:id="5870" w:name="_Toc38891902"/>
      <w:bookmarkStart w:id="5871" w:name="_Toc39426499"/>
      <w:bookmarkStart w:id="5872" w:name="_Toc42730382"/>
      <w:bookmarkStart w:id="5873" w:name="_Toc45105847"/>
      <w:bookmarkStart w:id="5874" w:name="_Toc45530706"/>
      <w:bookmarkStart w:id="5875" w:name="_Toc46302069"/>
      <w:bookmarkStart w:id="5876" w:name="_Toc46302894"/>
      <w:bookmarkStart w:id="5877" w:name="_Toc38891903"/>
      <w:bookmarkStart w:id="5878" w:name="_Toc39426500"/>
      <w:bookmarkStart w:id="5879" w:name="_Toc42730383"/>
      <w:bookmarkStart w:id="5880" w:name="_Toc45105848"/>
      <w:bookmarkStart w:id="5881" w:name="_Toc45530707"/>
      <w:bookmarkStart w:id="5882" w:name="_Toc46302070"/>
      <w:bookmarkStart w:id="5883" w:name="_Toc46302895"/>
      <w:bookmarkStart w:id="5884" w:name="_Toc38891904"/>
      <w:bookmarkStart w:id="5885" w:name="_Toc39426501"/>
      <w:bookmarkStart w:id="5886" w:name="_Toc42730384"/>
      <w:bookmarkStart w:id="5887" w:name="_Toc45105849"/>
      <w:bookmarkStart w:id="5888" w:name="_Toc45530708"/>
      <w:bookmarkStart w:id="5889" w:name="_Toc46302071"/>
      <w:bookmarkStart w:id="5890" w:name="_Toc46302896"/>
      <w:bookmarkStart w:id="5891" w:name="_Toc38891905"/>
      <w:bookmarkStart w:id="5892" w:name="_Toc39426502"/>
      <w:bookmarkStart w:id="5893" w:name="_Toc42730385"/>
      <w:bookmarkStart w:id="5894" w:name="_Toc45105850"/>
      <w:bookmarkStart w:id="5895" w:name="_Toc45530709"/>
      <w:bookmarkStart w:id="5896" w:name="_Toc46302072"/>
      <w:bookmarkStart w:id="5897" w:name="_Toc46302897"/>
      <w:bookmarkStart w:id="5898" w:name="_Toc38891906"/>
      <w:bookmarkStart w:id="5899" w:name="_Toc39426503"/>
      <w:bookmarkStart w:id="5900" w:name="_Toc42730386"/>
      <w:bookmarkStart w:id="5901" w:name="_Toc45105851"/>
      <w:bookmarkStart w:id="5902" w:name="_Toc45530710"/>
      <w:bookmarkStart w:id="5903" w:name="_Toc46302073"/>
      <w:bookmarkStart w:id="5904" w:name="_Toc46302898"/>
      <w:bookmarkStart w:id="5905" w:name="_Toc38891907"/>
      <w:bookmarkStart w:id="5906" w:name="_Toc39426504"/>
      <w:bookmarkStart w:id="5907" w:name="_Toc42730387"/>
      <w:bookmarkStart w:id="5908" w:name="_Toc45105852"/>
      <w:bookmarkStart w:id="5909" w:name="_Toc45530711"/>
      <w:bookmarkStart w:id="5910" w:name="_Toc46302074"/>
      <w:bookmarkStart w:id="5911" w:name="_Toc46302899"/>
      <w:bookmarkStart w:id="5912" w:name="_Toc38891908"/>
      <w:bookmarkStart w:id="5913" w:name="_Toc39426505"/>
      <w:bookmarkStart w:id="5914" w:name="_Toc42730388"/>
      <w:bookmarkStart w:id="5915" w:name="_Toc45105853"/>
      <w:bookmarkStart w:id="5916" w:name="_Toc45530712"/>
      <w:bookmarkStart w:id="5917" w:name="_Toc46302075"/>
      <w:bookmarkStart w:id="5918" w:name="_Toc46302900"/>
      <w:bookmarkStart w:id="5919" w:name="_Toc38891909"/>
      <w:bookmarkStart w:id="5920" w:name="_Toc39426506"/>
      <w:bookmarkStart w:id="5921" w:name="_Toc42730389"/>
      <w:bookmarkStart w:id="5922" w:name="_Toc45105854"/>
      <w:bookmarkStart w:id="5923" w:name="_Toc45530713"/>
      <w:bookmarkStart w:id="5924" w:name="_Toc46302076"/>
      <w:bookmarkStart w:id="5925" w:name="_Toc46302901"/>
      <w:bookmarkStart w:id="5926" w:name="_Toc38891910"/>
      <w:bookmarkStart w:id="5927" w:name="_Toc39426507"/>
      <w:bookmarkStart w:id="5928" w:name="_Toc42730390"/>
      <w:bookmarkStart w:id="5929" w:name="_Toc45105855"/>
      <w:bookmarkStart w:id="5930" w:name="_Toc45530714"/>
      <w:bookmarkStart w:id="5931" w:name="_Toc46302077"/>
      <w:bookmarkStart w:id="5932" w:name="_Toc46302902"/>
      <w:bookmarkStart w:id="5933" w:name="_Toc38891911"/>
      <w:bookmarkStart w:id="5934" w:name="_Toc39426508"/>
      <w:bookmarkStart w:id="5935" w:name="_Toc42730391"/>
      <w:bookmarkStart w:id="5936" w:name="_Toc45105856"/>
      <w:bookmarkStart w:id="5937" w:name="_Toc45530715"/>
      <w:bookmarkStart w:id="5938" w:name="_Toc46302078"/>
      <w:bookmarkStart w:id="5939" w:name="_Toc46302903"/>
      <w:bookmarkStart w:id="5940" w:name="_Toc38891912"/>
      <w:bookmarkStart w:id="5941" w:name="_Toc39426509"/>
      <w:bookmarkStart w:id="5942" w:name="_Toc42730392"/>
      <w:bookmarkStart w:id="5943" w:name="_Toc45105857"/>
      <w:bookmarkStart w:id="5944" w:name="_Toc45530716"/>
      <w:bookmarkStart w:id="5945" w:name="_Toc46302079"/>
      <w:bookmarkStart w:id="5946" w:name="_Toc46302904"/>
      <w:bookmarkStart w:id="5947" w:name="_Toc38891913"/>
      <w:bookmarkStart w:id="5948" w:name="_Toc39426510"/>
      <w:bookmarkStart w:id="5949" w:name="_Toc42730393"/>
      <w:bookmarkStart w:id="5950" w:name="_Toc45105858"/>
      <w:bookmarkStart w:id="5951" w:name="_Toc45530717"/>
      <w:bookmarkStart w:id="5952" w:name="_Toc46302080"/>
      <w:bookmarkStart w:id="5953" w:name="_Toc46302905"/>
      <w:bookmarkStart w:id="5954" w:name="_Toc38891914"/>
      <w:bookmarkStart w:id="5955" w:name="_Toc39426511"/>
      <w:bookmarkStart w:id="5956" w:name="_Toc42730394"/>
      <w:bookmarkStart w:id="5957" w:name="_Toc45105859"/>
      <w:bookmarkStart w:id="5958" w:name="_Toc45530718"/>
      <w:bookmarkStart w:id="5959" w:name="_Toc46302081"/>
      <w:bookmarkStart w:id="5960" w:name="_Toc46302906"/>
      <w:bookmarkStart w:id="5961" w:name="_Toc38891915"/>
      <w:bookmarkStart w:id="5962" w:name="_Toc39426512"/>
      <w:bookmarkStart w:id="5963" w:name="_Toc42730395"/>
      <w:bookmarkStart w:id="5964" w:name="_Toc45105860"/>
      <w:bookmarkStart w:id="5965" w:name="_Toc45530719"/>
      <w:bookmarkStart w:id="5966" w:name="_Toc46302082"/>
      <w:bookmarkStart w:id="5967" w:name="_Toc46302907"/>
      <w:bookmarkStart w:id="5968" w:name="_Toc38891916"/>
      <w:bookmarkStart w:id="5969" w:name="_Toc39426513"/>
      <w:bookmarkStart w:id="5970" w:name="_Toc42730396"/>
      <w:bookmarkStart w:id="5971" w:name="_Toc45105861"/>
      <w:bookmarkStart w:id="5972" w:name="_Toc45530720"/>
      <w:bookmarkStart w:id="5973" w:name="_Toc46302083"/>
      <w:bookmarkStart w:id="5974" w:name="_Toc46302908"/>
      <w:bookmarkStart w:id="5975" w:name="_Ref49348234"/>
      <w:bookmarkStart w:id="5976" w:name="_Toc52181747"/>
      <w:bookmarkEnd w:id="5658"/>
      <w:bookmarkEnd w:id="5659"/>
      <w:bookmarkEnd w:id="5660"/>
      <w:bookmarkEnd w:id="5661"/>
      <w:bookmarkEnd w:id="5662"/>
      <w:bookmarkEnd w:id="5663"/>
      <w:bookmarkEnd w:id="5664"/>
      <w:bookmarkEnd w:id="5665"/>
      <w:bookmarkEnd w:id="5666"/>
      <w:bookmarkEnd w:id="5667"/>
      <w:bookmarkEnd w:id="5668"/>
      <w:bookmarkEnd w:id="5669"/>
      <w:bookmarkEnd w:id="5670"/>
      <w:bookmarkEnd w:id="5671"/>
      <w:bookmarkEnd w:id="5672"/>
      <w:bookmarkEnd w:id="5673"/>
      <w:bookmarkEnd w:id="5674"/>
      <w:bookmarkEnd w:id="5675"/>
      <w:bookmarkEnd w:id="5676"/>
      <w:bookmarkEnd w:id="5677"/>
      <w:bookmarkEnd w:id="5678"/>
      <w:bookmarkEnd w:id="5679"/>
      <w:bookmarkEnd w:id="5680"/>
      <w:bookmarkEnd w:id="5681"/>
      <w:bookmarkEnd w:id="5682"/>
      <w:bookmarkEnd w:id="5683"/>
      <w:bookmarkEnd w:id="5684"/>
      <w:bookmarkEnd w:id="5685"/>
      <w:bookmarkEnd w:id="5686"/>
      <w:bookmarkEnd w:id="5687"/>
      <w:bookmarkEnd w:id="5688"/>
      <w:bookmarkEnd w:id="5689"/>
      <w:bookmarkEnd w:id="5690"/>
      <w:bookmarkEnd w:id="5691"/>
      <w:bookmarkEnd w:id="5692"/>
      <w:bookmarkEnd w:id="5693"/>
      <w:bookmarkEnd w:id="5694"/>
      <w:bookmarkEnd w:id="5695"/>
      <w:bookmarkEnd w:id="5696"/>
      <w:bookmarkEnd w:id="5697"/>
      <w:bookmarkEnd w:id="5698"/>
      <w:bookmarkEnd w:id="5699"/>
      <w:bookmarkEnd w:id="5700"/>
      <w:bookmarkEnd w:id="5701"/>
      <w:bookmarkEnd w:id="5702"/>
      <w:bookmarkEnd w:id="5703"/>
      <w:bookmarkEnd w:id="5704"/>
      <w:bookmarkEnd w:id="5705"/>
      <w:bookmarkEnd w:id="5706"/>
      <w:bookmarkEnd w:id="5707"/>
      <w:bookmarkEnd w:id="5708"/>
      <w:bookmarkEnd w:id="5709"/>
      <w:bookmarkEnd w:id="5710"/>
      <w:bookmarkEnd w:id="5711"/>
      <w:bookmarkEnd w:id="5712"/>
      <w:bookmarkEnd w:id="5713"/>
      <w:bookmarkEnd w:id="5714"/>
      <w:bookmarkEnd w:id="5715"/>
      <w:bookmarkEnd w:id="5716"/>
      <w:bookmarkEnd w:id="5717"/>
      <w:bookmarkEnd w:id="5718"/>
      <w:bookmarkEnd w:id="5719"/>
      <w:bookmarkEnd w:id="5720"/>
      <w:bookmarkEnd w:id="5721"/>
      <w:bookmarkEnd w:id="5722"/>
      <w:bookmarkEnd w:id="5723"/>
      <w:bookmarkEnd w:id="5724"/>
      <w:bookmarkEnd w:id="5725"/>
      <w:bookmarkEnd w:id="5726"/>
      <w:bookmarkEnd w:id="5727"/>
      <w:bookmarkEnd w:id="5728"/>
      <w:bookmarkEnd w:id="5729"/>
      <w:bookmarkEnd w:id="5730"/>
      <w:bookmarkEnd w:id="5731"/>
      <w:bookmarkEnd w:id="5732"/>
      <w:bookmarkEnd w:id="5733"/>
      <w:bookmarkEnd w:id="5734"/>
      <w:bookmarkEnd w:id="5735"/>
      <w:bookmarkEnd w:id="5736"/>
      <w:bookmarkEnd w:id="5737"/>
      <w:bookmarkEnd w:id="5738"/>
      <w:bookmarkEnd w:id="5739"/>
      <w:bookmarkEnd w:id="5740"/>
      <w:bookmarkEnd w:id="5741"/>
      <w:bookmarkEnd w:id="5742"/>
      <w:bookmarkEnd w:id="5743"/>
      <w:bookmarkEnd w:id="5744"/>
      <w:bookmarkEnd w:id="5745"/>
      <w:bookmarkEnd w:id="5746"/>
      <w:bookmarkEnd w:id="5747"/>
      <w:bookmarkEnd w:id="5748"/>
      <w:bookmarkEnd w:id="5749"/>
      <w:bookmarkEnd w:id="5750"/>
      <w:bookmarkEnd w:id="5751"/>
      <w:bookmarkEnd w:id="5752"/>
      <w:bookmarkEnd w:id="5753"/>
      <w:bookmarkEnd w:id="5754"/>
      <w:bookmarkEnd w:id="5755"/>
      <w:bookmarkEnd w:id="5756"/>
      <w:bookmarkEnd w:id="5757"/>
      <w:bookmarkEnd w:id="5758"/>
      <w:bookmarkEnd w:id="5759"/>
      <w:bookmarkEnd w:id="5760"/>
      <w:bookmarkEnd w:id="5761"/>
      <w:bookmarkEnd w:id="5762"/>
      <w:bookmarkEnd w:id="5763"/>
      <w:bookmarkEnd w:id="5764"/>
      <w:bookmarkEnd w:id="5765"/>
      <w:bookmarkEnd w:id="5766"/>
      <w:bookmarkEnd w:id="5767"/>
      <w:bookmarkEnd w:id="5768"/>
      <w:bookmarkEnd w:id="5769"/>
      <w:bookmarkEnd w:id="5770"/>
      <w:bookmarkEnd w:id="5771"/>
      <w:bookmarkEnd w:id="5772"/>
      <w:bookmarkEnd w:id="5773"/>
      <w:bookmarkEnd w:id="5774"/>
      <w:bookmarkEnd w:id="5775"/>
      <w:bookmarkEnd w:id="5776"/>
      <w:bookmarkEnd w:id="5777"/>
      <w:bookmarkEnd w:id="5778"/>
      <w:bookmarkEnd w:id="5779"/>
      <w:bookmarkEnd w:id="5780"/>
      <w:bookmarkEnd w:id="5781"/>
      <w:bookmarkEnd w:id="5782"/>
      <w:bookmarkEnd w:id="5783"/>
      <w:bookmarkEnd w:id="5784"/>
      <w:bookmarkEnd w:id="5785"/>
      <w:bookmarkEnd w:id="5786"/>
      <w:bookmarkEnd w:id="5787"/>
      <w:bookmarkEnd w:id="5788"/>
      <w:bookmarkEnd w:id="5789"/>
      <w:bookmarkEnd w:id="5790"/>
      <w:bookmarkEnd w:id="5791"/>
      <w:bookmarkEnd w:id="5792"/>
      <w:bookmarkEnd w:id="5793"/>
      <w:bookmarkEnd w:id="5794"/>
      <w:bookmarkEnd w:id="5795"/>
      <w:bookmarkEnd w:id="5796"/>
      <w:bookmarkEnd w:id="5797"/>
      <w:bookmarkEnd w:id="5798"/>
      <w:bookmarkEnd w:id="5799"/>
      <w:bookmarkEnd w:id="5800"/>
      <w:bookmarkEnd w:id="5801"/>
      <w:bookmarkEnd w:id="5802"/>
      <w:bookmarkEnd w:id="5803"/>
      <w:bookmarkEnd w:id="5804"/>
      <w:bookmarkEnd w:id="5805"/>
      <w:bookmarkEnd w:id="5806"/>
      <w:bookmarkEnd w:id="5807"/>
      <w:bookmarkEnd w:id="5808"/>
      <w:bookmarkEnd w:id="5809"/>
      <w:bookmarkEnd w:id="5810"/>
      <w:bookmarkEnd w:id="5811"/>
      <w:bookmarkEnd w:id="5812"/>
      <w:bookmarkEnd w:id="5813"/>
      <w:bookmarkEnd w:id="5814"/>
      <w:bookmarkEnd w:id="5815"/>
      <w:bookmarkEnd w:id="5816"/>
      <w:bookmarkEnd w:id="5817"/>
      <w:bookmarkEnd w:id="5818"/>
      <w:bookmarkEnd w:id="5819"/>
      <w:bookmarkEnd w:id="5820"/>
      <w:bookmarkEnd w:id="5821"/>
      <w:bookmarkEnd w:id="5822"/>
      <w:bookmarkEnd w:id="5823"/>
      <w:bookmarkEnd w:id="5824"/>
      <w:bookmarkEnd w:id="5825"/>
      <w:bookmarkEnd w:id="5826"/>
      <w:bookmarkEnd w:id="5827"/>
      <w:bookmarkEnd w:id="5828"/>
      <w:bookmarkEnd w:id="5829"/>
      <w:bookmarkEnd w:id="5830"/>
      <w:bookmarkEnd w:id="5831"/>
      <w:bookmarkEnd w:id="5832"/>
      <w:bookmarkEnd w:id="5833"/>
      <w:bookmarkEnd w:id="5834"/>
      <w:bookmarkEnd w:id="5835"/>
      <w:bookmarkEnd w:id="5836"/>
      <w:bookmarkEnd w:id="5837"/>
      <w:bookmarkEnd w:id="5838"/>
      <w:bookmarkEnd w:id="5839"/>
      <w:bookmarkEnd w:id="5840"/>
      <w:bookmarkEnd w:id="5841"/>
      <w:bookmarkEnd w:id="5842"/>
      <w:bookmarkEnd w:id="5843"/>
      <w:bookmarkEnd w:id="5844"/>
      <w:bookmarkEnd w:id="5845"/>
      <w:bookmarkEnd w:id="5846"/>
      <w:bookmarkEnd w:id="5847"/>
      <w:bookmarkEnd w:id="5848"/>
      <w:bookmarkEnd w:id="5849"/>
      <w:bookmarkEnd w:id="5850"/>
      <w:bookmarkEnd w:id="5851"/>
      <w:bookmarkEnd w:id="5852"/>
      <w:bookmarkEnd w:id="5853"/>
      <w:bookmarkEnd w:id="5854"/>
      <w:bookmarkEnd w:id="5855"/>
      <w:bookmarkEnd w:id="5856"/>
      <w:bookmarkEnd w:id="5857"/>
      <w:bookmarkEnd w:id="5858"/>
      <w:bookmarkEnd w:id="5859"/>
      <w:bookmarkEnd w:id="5860"/>
      <w:bookmarkEnd w:id="5861"/>
      <w:bookmarkEnd w:id="5862"/>
      <w:bookmarkEnd w:id="5863"/>
      <w:bookmarkEnd w:id="5864"/>
      <w:bookmarkEnd w:id="5865"/>
      <w:bookmarkEnd w:id="5866"/>
      <w:bookmarkEnd w:id="5867"/>
      <w:bookmarkEnd w:id="5868"/>
      <w:bookmarkEnd w:id="5869"/>
      <w:bookmarkEnd w:id="5870"/>
      <w:bookmarkEnd w:id="5871"/>
      <w:bookmarkEnd w:id="5872"/>
      <w:bookmarkEnd w:id="5873"/>
      <w:bookmarkEnd w:id="5874"/>
      <w:bookmarkEnd w:id="5875"/>
      <w:bookmarkEnd w:id="5876"/>
      <w:bookmarkEnd w:id="5877"/>
      <w:bookmarkEnd w:id="5878"/>
      <w:bookmarkEnd w:id="5879"/>
      <w:bookmarkEnd w:id="5880"/>
      <w:bookmarkEnd w:id="5881"/>
      <w:bookmarkEnd w:id="5882"/>
      <w:bookmarkEnd w:id="5883"/>
      <w:bookmarkEnd w:id="5884"/>
      <w:bookmarkEnd w:id="5885"/>
      <w:bookmarkEnd w:id="5886"/>
      <w:bookmarkEnd w:id="5887"/>
      <w:bookmarkEnd w:id="5888"/>
      <w:bookmarkEnd w:id="5889"/>
      <w:bookmarkEnd w:id="5890"/>
      <w:bookmarkEnd w:id="5891"/>
      <w:bookmarkEnd w:id="5892"/>
      <w:bookmarkEnd w:id="5893"/>
      <w:bookmarkEnd w:id="5894"/>
      <w:bookmarkEnd w:id="5895"/>
      <w:bookmarkEnd w:id="5896"/>
      <w:bookmarkEnd w:id="5897"/>
      <w:bookmarkEnd w:id="5898"/>
      <w:bookmarkEnd w:id="5899"/>
      <w:bookmarkEnd w:id="5900"/>
      <w:bookmarkEnd w:id="5901"/>
      <w:bookmarkEnd w:id="5902"/>
      <w:bookmarkEnd w:id="5903"/>
      <w:bookmarkEnd w:id="5904"/>
      <w:bookmarkEnd w:id="5905"/>
      <w:bookmarkEnd w:id="5906"/>
      <w:bookmarkEnd w:id="5907"/>
      <w:bookmarkEnd w:id="5908"/>
      <w:bookmarkEnd w:id="5909"/>
      <w:bookmarkEnd w:id="5910"/>
      <w:bookmarkEnd w:id="5911"/>
      <w:bookmarkEnd w:id="5912"/>
      <w:bookmarkEnd w:id="5913"/>
      <w:bookmarkEnd w:id="5914"/>
      <w:bookmarkEnd w:id="5915"/>
      <w:bookmarkEnd w:id="5916"/>
      <w:bookmarkEnd w:id="5917"/>
      <w:bookmarkEnd w:id="5918"/>
      <w:bookmarkEnd w:id="5919"/>
      <w:bookmarkEnd w:id="5920"/>
      <w:bookmarkEnd w:id="5921"/>
      <w:bookmarkEnd w:id="5922"/>
      <w:bookmarkEnd w:id="5923"/>
      <w:bookmarkEnd w:id="5924"/>
      <w:bookmarkEnd w:id="5925"/>
      <w:bookmarkEnd w:id="5926"/>
      <w:bookmarkEnd w:id="5927"/>
      <w:bookmarkEnd w:id="5928"/>
      <w:bookmarkEnd w:id="5929"/>
      <w:bookmarkEnd w:id="5930"/>
      <w:bookmarkEnd w:id="5931"/>
      <w:bookmarkEnd w:id="5932"/>
      <w:bookmarkEnd w:id="5933"/>
      <w:bookmarkEnd w:id="5934"/>
      <w:bookmarkEnd w:id="5935"/>
      <w:bookmarkEnd w:id="5936"/>
      <w:bookmarkEnd w:id="5937"/>
      <w:bookmarkEnd w:id="5938"/>
      <w:bookmarkEnd w:id="5939"/>
      <w:bookmarkEnd w:id="5940"/>
      <w:bookmarkEnd w:id="5941"/>
      <w:bookmarkEnd w:id="5942"/>
      <w:bookmarkEnd w:id="5943"/>
      <w:bookmarkEnd w:id="5944"/>
      <w:bookmarkEnd w:id="5945"/>
      <w:bookmarkEnd w:id="5946"/>
      <w:bookmarkEnd w:id="5947"/>
      <w:bookmarkEnd w:id="5948"/>
      <w:bookmarkEnd w:id="5949"/>
      <w:bookmarkEnd w:id="5950"/>
      <w:bookmarkEnd w:id="5951"/>
      <w:bookmarkEnd w:id="5952"/>
      <w:bookmarkEnd w:id="5953"/>
      <w:bookmarkEnd w:id="5954"/>
      <w:bookmarkEnd w:id="5955"/>
      <w:bookmarkEnd w:id="5956"/>
      <w:bookmarkEnd w:id="5957"/>
      <w:bookmarkEnd w:id="5958"/>
      <w:bookmarkEnd w:id="5959"/>
      <w:bookmarkEnd w:id="5960"/>
      <w:bookmarkEnd w:id="5961"/>
      <w:bookmarkEnd w:id="5962"/>
      <w:bookmarkEnd w:id="5963"/>
      <w:bookmarkEnd w:id="5964"/>
      <w:bookmarkEnd w:id="5965"/>
      <w:bookmarkEnd w:id="5966"/>
      <w:bookmarkEnd w:id="5967"/>
      <w:bookmarkEnd w:id="5968"/>
      <w:bookmarkEnd w:id="5969"/>
      <w:bookmarkEnd w:id="5970"/>
      <w:bookmarkEnd w:id="5971"/>
      <w:bookmarkEnd w:id="5972"/>
      <w:bookmarkEnd w:id="5973"/>
      <w:bookmarkEnd w:id="5974"/>
      <w:r w:rsidRPr="00A52AB8">
        <w:t>Viewport SEI messages family semantics</w:t>
      </w:r>
      <w:bookmarkEnd w:id="5975"/>
      <w:bookmarkEnd w:id="5976"/>
    </w:p>
    <w:p w14:paraId="7281487C" w14:textId="77777777" w:rsidR="007B02BE" w:rsidRPr="00A52AB8" w:rsidRDefault="007B02BE" w:rsidP="005C26E9">
      <w:pPr>
        <w:pStyle w:val="a4"/>
        <w:numPr>
          <w:ilvl w:val="3"/>
          <w:numId w:val="19"/>
        </w:numPr>
      </w:pPr>
      <w:r w:rsidRPr="00A52AB8">
        <w:t>Viewport camera parameters SEI message semantics</w:t>
      </w:r>
    </w:p>
    <w:p w14:paraId="6CE8FBCE" w14:textId="7B9D91DE" w:rsidR="0050235C" w:rsidRPr="00A52AB8" w:rsidRDefault="007B02BE" w:rsidP="007B02BE">
      <w:pPr>
        <w:spacing w:after="120"/>
        <w:rPr>
          <w:bCs/>
        </w:rPr>
      </w:pPr>
      <w:r w:rsidRPr="00A52AB8">
        <w:rPr>
          <w:bCs/>
        </w:rPr>
        <w:t xml:space="preserve">This SEI message defines viewport camera parameters that can be assigned to a viewport signalled by </w:t>
      </w:r>
      <w:r w:rsidR="004618F1" w:rsidRPr="00A52AB8">
        <w:rPr>
          <w:bCs/>
        </w:rPr>
        <w:t xml:space="preserve">the </w:t>
      </w:r>
      <w:r w:rsidRPr="00A52AB8">
        <w:t>viewport position SEI message</w:t>
      </w:r>
      <w:r w:rsidRPr="00A52AB8">
        <w:rPr>
          <w:bCs/>
        </w:rPr>
        <w:t>.</w:t>
      </w:r>
    </w:p>
    <w:p w14:paraId="3712151A" w14:textId="1B78307D" w:rsidR="007B02BE" w:rsidRPr="00A52AB8" w:rsidRDefault="007B02BE" w:rsidP="007B02BE">
      <w:pPr>
        <w:spacing w:after="120"/>
        <w:rPr>
          <w:bCs/>
        </w:rPr>
      </w:pPr>
      <w:r w:rsidRPr="00A52AB8">
        <w:rPr>
          <w:bCs/>
        </w:rPr>
        <w:t>The persistence scope for this SEI message is the remainder of the bitstream or until a new vie</w:t>
      </w:r>
      <w:r w:rsidR="00CA6FFE" w:rsidRPr="00A52AB8">
        <w:rPr>
          <w:bCs/>
        </w:rPr>
        <w:t>w</w:t>
      </w:r>
      <w:r w:rsidRPr="00A52AB8">
        <w:rPr>
          <w:bCs/>
        </w:rPr>
        <w:t xml:space="preserve">port </w:t>
      </w:r>
      <w:r w:rsidRPr="00A52AB8">
        <w:t>camera parameters</w:t>
      </w:r>
      <w:r w:rsidRPr="00A52AB8">
        <w:rPr>
          <w:bCs/>
        </w:rPr>
        <w:t xml:space="preserve"> SEI message is encountered. Only the corresponding parameters specified in the SEI message shall be updated. Previously defined parameters from an earlier SEI message shall persist if not modified and if the value of vcp_cancel_flag is not equal to 1.</w:t>
      </w:r>
    </w:p>
    <w:p w14:paraId="4BC0569E" w14:textId="10E162C8" w:rsidR="007B02BE" w:rsidRPr="00A52AB8" w:rsidRDefault="007B02BE" w:rsidP="007B02BE">
      <w:pPr>
        <w:rPr>
          <w:bCs/>
        </w:rPr>
      </w:pPr>
      <w:r w:rsidRPr="00A52AB8">
        <w:rPr>
          <w:b/>
        </w:rPr>
        <w:t xml:space="preserve">vcp_camera_id </w:t>
      </w:r>
      <w:r w:rsidRPr="00A52AB8">
        <w:rPr>
          <w:bCs/>
        </w:rPr>
        <w:t>contains</w:t>
      </w:r>
      <w:r w:rsidRPr="00A52AB8">
        <w:rPr>
          <w:b/>
        </w:rPr>
        <w:t xml:space="preserve"> </w:t>
      </w:r>
      <w:r w:rsidRPr="00A52AB8">
        <w:rPr>
          <w:bCs/>
        </w:rPr>
        <w:t>an identifying number that may be used to identify viewport camera parameters.</w:t>
      </w:r>
    </w:p>
    <w:p w14:paraId="2CC7D2E0" w14:textId="77777777" w:rsidR="007B02BE" w:rsidRPr="00A52AB8" w:rsidRDefault="007B02BE" w:rsidP="007B02BE">
      <w:pPr>
        <w:rPr>
          <w:b/>
        </w:rPr>
      </w:pPr>
      <w:r w:rsidRPr="00A52AB8">
        <w:rPr>
          <w:b/>
        </w:rPr>
        <w:t xml:space="preserve">vcp_cancel_flag </w:t>
      </w:r>
      <w:r w:rsidRPr="00A52AB8">
        <w:rPr>
          <w:bCs/>
        </w:rPr>
        <w:t>equal to 1 indicates that the SEI message cancels the persistence of any previous viewport camera parameters SEI message in output order with the same value of vcp_camera_id. vcp_cancel_flag equal to 0 indicates that viewport camera parameters information follows.</w:t>
      </w:r>
    </w:p>
    <w:p w14:paraId="08F1AF4C" w14:textId="77777777" w:rsidR="007B02BE" w:rsidRPr="00A52AB8" w:rsidRDefault="007B02BE" w:rsidP="007B02BE">
      <w:pPr>
        <w:rPr>
          <w:bCs/>
        </w:rPr>
      </w:pPr>
      <w:r w:rsidRPr="00A52AB8">
        <w:rPr>
          <w:b/>
        </w:rPr>
        <w:t xml:space="preserve">vcp_persistence_flag </w:t>
      </w:r>
      <w:r w:rsidRPr="00A52AB8">
        <w:rPr>
          <w:bCs/>
        </w:rPr>
        <w:t>specifies the persistence of the viewport camera parameters SEI message for the current layer. vcp_persistence_flag equal to 0 specifies that the viewport camera parameters SEI message applies to the current decoded atlas frame only.</w:t>
      </w:r>
    </w:p>
    <w:p w14:paraId="3ADEBADF" w14:textId="77777777" w:rsidR="007B02BE" w:rsidRPr="00A52AB8" w:rsidRDefault="007B02BE" w:rsidP="007B02BE">
      <w:pPr>
        <w:rPr>
          <w:bCs/>
        </w:rPr>
      </w:pPr>
      <w:r w:rsidRPr="00A52AB8">
        <w:rPr>
          <w:bCs/>
        </w:rPr>
        <w:t>Let aFrmA be the current atlas frame. vcp_persistence_flag equal to 1 specifies that the viewport camera parameters SEI message persists for the current layer in output order until any of the following conditions are true:</w:t>
      </w:r>
    </w:p>
    <w:p w14:paraId="0DB3C2B3" w14:textId="2ECBBE49" w:rsidR="007B02BE" w:rsidRPr="00A52AB8" w:rsidRDefault="003F1BC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new CAS begins.</w:t>
      </w:r>
    </w:p>
    <w:p w14:paraId="4440FDA8" w14:textId="77777777" w:rsidR="007B02BE" w:rsidRPr="00A52AB8" w:rsidRDefault="007B02B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The bitstream ends.</w:t>
      </w:r>
    </w:p>
    <w:p w14:paraId="15756BBA" w14:textId="070279C7" w:rsidR="00545C89" w:rsidRPr="00A52AB8" w:rsidRDefault="00545C89"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An atlas frame aFrmB in the current layer in a coded atlas access unit containing a viewport camera parameters SEI message, with either an vcp_cancel_flag equal to 1 or the same value of vcp_persistence_flag, applicable to the current layer is output for which AtlasFrmOrderCnt( aFrmB ) is greater than AtlasFrmOrderCnt( aFrmA ), where AtlasFrmOrderCnt( aFrmB ) and AtlasFrmOrderCnt( aFrmA ) are the AtlasFrmOrderCntVal values of aFrmB and aFrmA, respectively, immediately after the invocation of the decoding process for atlas frame order count for aFrmB.</w:t>
      </w:r>
    </w:p>
    <w:p w14:paraId="45C1CDE6" w14:textId="7F2FE3AA" w:rsidR="0050235C" w:rsidRPr="00A52AB8" w:rsidRDefault="007B02BE" w:rsidP="00007BE2">
      <w:pPr>
        <w:pStyle w:val="enumlev1"/>
        <w:spacing w:after="240"/>
        <w:ind w:left="0" w:firstLine="0"/>
        <w:rPr>
          <w:rFonts w:ascii="Cambria" w:eastAsiaTheme="minorEastAsia" w:hAnsi="Cambria"/>
          <w:bCs/>
          <w:sz w:val="22"/>
          <w:szCs w:val="22"/>
        </w:rPr>
      </w:pPr>
      <w:r w:rsidRPr="00A52AB8">
        <w:rPr>
          <w:rFonts w:ascii="Cambria" w:eastAsiaTheme="minorEastAsia" w:hAnsi="Cambria"/>
          <w:b/>
          <w:sz w:val="22"/>
          <w:szCs w:val="22"/>
        </w:rPr>
        <w:t xml:space="preserve">vcp_camera_type </w:t>
      </w:r>
      <w:r w:rsidRPr="00A52AB8">
        <w:rPr>
          <w:rFonts w:ascii="Cambria" w:eastAsiaTheme="minorEastAsia" w:hAnsi="Cambria"/>
          <w:bCs/>
          <w:sz w:val="22"/>
          <w:szCs w:val="22"/>
        </w:rPr>
        <w:t xml:space="preserve">indicates the projection method of the viewport camera. vcp_camera_type equal to 0 specifies </w:t>
      </w:r>
      <w:r w:rsidR="005A174D" w:rsidRPr="00A52AB8">
        <w:rPr>
          <w:rFonts w:ascii="Cambria" w:eastAsiaTheme="minorEastAsia" w:hAnsi="Cambria"/>
          <w:bCs/>
          <w:sz w:val="22"/>
          <w:szCs w:val="22"/>
        </w:rPr>
        <w:t xml:space="preserve">equirectangular </w:t>
      </w:r>
      <w:r w:rsidRPr="00A52AB8">
        <w:rPr>
          <w:rFonts w:ascii="Cambria" w:eastAsiaTheme="minorEastAsia" w:hAnsi="Cambria"/>
          <w:bCs/>
          <w:sz w:val="22"/>
          <w:szCs w:val="22"/>
        </w:rPr>
        <w:t xml:space="preserve">projection. vcp_camera_type equal to 1 specifies a perspective projection. vcp_camera_type equal to 2 specifies an orthographic projection. vcp_camera_type values in </w:t>
      </w:r>
      <w:r w:rsidR="00413989" w:rsidRPr="00A52AB8">
        <w:rPr>
          <w:rFonts w:ascii="Cambria" w:eastAsiaTheme="minorEastAsia" w:hAnsi="Cambria"/>
          <w:bCs/>
          <w:sz w:val="22"/>
          <w:szCs w:val="22"/>
        </w:rPr>
        <w:t xml:space="preserve">tbe </w:t>
      </w:r>
      <w:r w:rsidRPr="00A52AB8">
        <w:rPr>
          <w:rFonts w:ascii="Cambria" w:eastAsiaTheme="minorEastAsia" w:hAnsi="Cambria"/>
          <w:bCs/>
          <w:sz w:val="22"/>
          <w:szCs w:val="22"/>
        </w:rPr>
        <w:t xml:space="preserve">range </w:t>
      </w:r>
      <w:r w:rsidR="00413989" w:rsidRPr="00A52AB8">
        <w:rPr>
          <w:rFonts w:ascii="Cambria" w:eastAsiaTheme="minorEastAsia" w:hAnsi="Cambria"/>
          <w:bCs/>
          <w:sz w:val="22"/>
          <w:szCs w:val="22"/>
        </w:rPr>
        <w:t xml:space="preserve">of </w:t>
      </w:r>
      <w:r w:rsidRPr="00A52AB8">
        <w:rPr>
          <w:rFonts w:ascii="Cambria" w:eastAsiaTheme="minorEastAsia" w:hAnsi="Cambria"/>
          <w:bCs/>
          <w:sz w:val="22"/>
          <w:szCs w:val="22"/>
        </w:rPr>
        <w:t>3 to 7</w:t>
      </w:r>
      <w:r w:rsidR="00157AD5" w:rsidRPr="00A52AB8">
        <w:rPr>
          <w:rFonts w:ascii="Cambria" w:eastAsiaTheme="minorEastAsia" w:hAnsi="Cambria"/>
          <w:bCs/>
          <w:sz w:val="22"/>
          <w:szCs w:val="22"/>
        </w:rPr>
        <w:t>, inclusive,</w:t>
      </w:r>
      <w:r w:rsidRPr="00A52AB8">
        <w:rPr>
          <w:rFonts w:ascii="Cambria" w:eastAsiaTheme="minorEastAsia" w:hAnsi="Cambria"/>
          <w:bCs/>
          <w:sz w:val="22"/>
          <w:szCs w:val="22"/>
        </w:rPr>
        <w:t xml:space="preserve"> are reserved for future use by ISO/IEC.</w:t>
      </w:r>
    </w:p>
    <w:p w14:paraId="6CD61E6A" w14:textId="0C4E507C" w:rsidR="007B02BE" w:rsidRPr="00A52AB8" w:rsidRDefault="007B02BE" w:rsidP="00007BE2">
      <w:pPr>
        <w:spacing w:line="240" w:lineRule="auto"/>
        <w:rPr>
          <w:b/>
        </w:rPr>
      </w:pPr>
      <w:r w:rsidRPr="00A52AB8">
        <w:rPr>
          <w:b/>
        </w:rPr>
        <w:t xml:space="preserve">vcp_erp_horizontal_fov </w:t>
      </w:r>
      <w:r w:rsidRPr="00A52AB8">
        <w:rPr>
          <w:bCs/>
        </w:rPr>
        <w:t xml:space="preserve">indicates the horizontal size of the viewport region, in units of </w:t>
      </w:r>
      <w:r w:rsidR="008667F2" w:rsidRPr="00A52AB8">
        <w:rPr>
          <w:rStyle w:val="fontstyle01"/>
          <w:rFonts w:ascii="Cambria" w:hAnsi="Cambria"/>
          <w:color w:val="000000" w:themeColor="text1"/>
          <w:sz w:val="22"/>
          <w:szCs w:val="22"/>
        </w:rPr>
        <w:t>2</w:t>
      </w:r>
      <w:r w:rsidR="008667F2" w:rsidRPr="00A52AB8">
        <w:rPr>
          <w:rStyle w:val="fontstyle01"/>
          <w:rFonts w:ascii="Cambria" w:hAnsi="Cambria"/>
          <w:color w:val="000000" w:themeColor="text1"/>
          <w:position w:val="6"/>
          <w:sz w:val="22"/>
          <w:szCs w:val="22"/>
          <w:vertAlign w:val="superscript"/>
        </w:rPr>
        <w:t xml:space="preserve">−16 </w:t>
      </w:r>
      <w:r w:rsidR="008667F2" w:rsidRPr="00A52AB8">
        <w:rPr>
          <w:bCs/>
        </w:rPr>
        <w:t xml:space="preserve"> degrees</w:t>
      </w:r>
      <w:r w:rsidRPr="00A52AB8">
        <w:rPr>
          <w:bCs/>
        </w:rPr>
        <w:t xml:space="preserve">. The value of vcp_erp_horizontal_fov shall be in the range of 0 to </w:t>
      </w:r>
      <w:r w:rsidR="008667F2" w:rsidRPr="00A52AB8">
        <w:rPr>
          <w:bCs/>
        </w:rPr>
        <w:t>360 * </w:t>
      </w:r>
      <w:r w:rsidR="008667F2" w:rsidRPr="00A52AB8">
        <w:rPr>
          <w:rStyle w:val="fontstyle01"/>
          <w:rFonts w:ascii="Cambria" w:hAnsi="Cambria"/>
          <w:color w:val="000000" w:themeColor="text1"/>
          <w:sz w:val="22"/>
          <w:szCs w:val="22"/>
        </w:rPr>
        <w:t>2</w:t>
      </w:r>
      <w:r w:rsidR="00413989" w:rsidRPr="00A52AB8">
        <w:rPr>
          <w:rStyle w:val="fontstyle01"/>
          <w:rFonts w:ascii="Cambria" w:hAnsi="Cambria"/>
          <w:color w:val="000000" w:themeColor="text1"/>
          <w:position w:val="6"/>
          <w:sz w:val="22"/>
          <w:szCs w:val="22"/>
          <w:vertAlign w:val="superscript"/>
        </w:rPr>
        <w:t>16</w:t>
      </w:r>
      <w:r w:rsidR="008667F2" w:rsidRPr="00A52AB8">
        <w:rPr>
          <w:rStyle w:val="fontstyle01"/>
          <w:rFonts w:ascii="Cambria" w:hAnsi="Cambria"/>
          <w:color w:val="000000" w:themeColor="text1"/>
          <w:sz w:val="22"/>
          <w:szCs w:val="22"/>
        </w:rPr>
        <w:t> − 1, inclusive</w:t>
      </w:r>
      <w:r w:rsidRPr="00A52AB8">
        <w:rPr>
          <w:bCs/>
        </w:rPr>
        <w:t>.</w:t>
      </w:r>
    </w:p>
    <w:p w14:paraId="6D59A724" w14:textId="15C998FB" w:rsidR="007B02BE" w:rsidRPr="00A52AB8" w:rsidRDefault="007B02BE" w:rsidP="00007BE2">
      <w:pPr>
        <w:spacing w:line="240" w:lineRule="auto"/>
        <w:rPr>
          <w:bCs/>
        </w:rPr>
      </w:pPr>
      <w:r w:rsidRPr="00A52AB8">
        <w:rPr>
          <w:b/>
        </w:rPr>
        <w:t xml:space="preserve">vcp_erp_vertical_fov </w:t>
      </w:r>
      <w:r w:rsidRPr="00A52AB8">
        <w:rPr>
          <w:bCs/>
        </w:rPr>
        <w:t xml:space="preserve">indicates the vertical size of the viewport region, in units of </w:t>
      </w:r>
      <w:r w:rsidR="006C5818" w:rsidRPr="00A52AB8">
        <w:rPr>
          <w:rStyle w:val="fontstyle01"/>
          <w:rFonts w:ascii="Cambria" w:hAnsi="Cambria"/>
          <w:color w:val="000000" w:themeColor="text1"/>
          <w:sz w:val="22"/>
          <w:szCs w:val="22"/>
        </w:rPr>
        <w:t>2</w:t>
      </w:r>
      <w:r w:rsidR="00413989" w:rsidRPr="00A52AB8">
        <w:rPr>
          <w:rStyle w:val="fontstyle01"/>
          <w:rFonts w:ascii="Cambria" w:hAnsi="Cambria"/>
          <w:color w:val="000000" w:themeColor="text1"/>
          <w:position w:val="6"/>
          <w:sz w:val="22"/>
          <w:szCs w:val="22"/>
          <w:vertAlign w:val="superscript"/>
        </w:rPr>
        <w:t xml:space="preserve">−16 </w:t>
      </w:r>
      <w:r w:rsidR="006C5818" w:rsidRPr="00A52AB8">
        <w:rPr>
          <w:bCs/>
        </w:rPr>
        <w:t xml:space="preserve"> degrees</w:t>
      </w:r>
      <w:r w:rsidRPr="00A52AB8">
        <w:rPr>
          <w:bCs/>
        </w:rPr>
        <w:t xml:space="preserve">. The value of vcp_erp_vertical_fov shall be in the range of 0 to </w:t>
      </w:r>
      <w:r w:rsidR="008667F2" w:rsidRPr="00A52AB8">
        <w:rPr>
          <w:bCs/>
        </w:rPr>
        <w:t>180 * </w:t>
      </w:r>
      <w:r w:rsidR="008667F2" w:rsidRPr="00A52AB8">
        <w:rPr>
          <w:rStyle w:val="fontstyle01"/>
          <w:rFonts w:ascii="Cambria" w:hAnsi="Cambria"/>
          <w:color w:val="000000" w:themeColor="text1"/>
          <w:sz w:val="22"/>
          <w:szCs w:val="22"/>
        </w:rPr>
        <w:t>2</w:t>
      </w:r>
      <w:r w:rsidR="00413989" w:rsidRPr="00A52AB8">
        <w:rPr>
          <w:rStyle w:val="fontstyle01"/>
          <w:rFonts w:ascii="Cambria" w:hAnsi="Cambria"/>
          <w:color w:val="000000" w:themeColor="text1"/>
          <w:position w:val="6"/>
          <w:sz w:val="22"/>
          <w:szCs w:val="22"/>
          <w:vertAlign w:val="superscript"/>
        </w:rPr>
        <w:t>16</w:t>
      </w:r>
      <w:r w:rsidR="008667F2" w:rsidRPr="00A52AB8">
        <w:rPr>
          <w:bCs/>
        </w:rPr>
        <w:t> </w:t>
      </w:r>
      <w:r w:rsidR="008667F2" w:rsidRPr="00A52AB8">
        <w:rPr>
          <w:rStyle w:val="fontstyle01"/>
          <w:rFonts w:ascii="Cambria" w:hAnsi="Cambria"/>
          <w:color w:val="000000" w:themeColor="text1"/>
          <w:sz w:val="22"/>
          <w:szCs w:val="22"/>
        </w:rPr>
        <w:t>− 1</w:t>
      </w:r>
      <w:r w:rsidR="008667F2" w:rsidRPr="00A52AB8">
        <w:rPr>
          <w:bCs/>
        </w:rPr>
        <w:t>, inclusive.</w:t>
      </w:r>
    </w:p>
    <w:p w14:paraId="2EAD23CC" w14:textId="77777777" w:rsidR="002C6801" w:rsidRPr="00A52AB8" w:rsidRDefault="002C6801" w:rsidP="002C6801">
      <w:pPr>
        <w:spacing w:line="240" w:lineRule="auto"/>
      </w:pPr>
      <w:r w:rsidRPr="00A52AB8">
        <w:rPr>
          <w:b/>
          <w:bCs/>
        </w:rPr>
        <w:t xml:space="preserve">vcp_perspective_aspect_ratio </w:t>
      </w:r>
      <w:r w:rsidRPr="00A52AB8">
        <w:t>indicates the relative aspect ratio of the viewport for perspective projection (horizontal/vertical).</w:t>
      </w:r>
    </w:p>
    <w:p w14:paraId="236DF9CE" w14:textId="0AB64685" w:rsidR="007B02BE" w:rsidRPr="00A52AB8" w:rsidRDefault="007B02BE" w:rsidP="00007BE2">
      <w:pPr>
        <w:spacing w:line="240" w:lineRule="auto"/>
      </w:pPr>
      <w:r w:rsidRPr="00A52AB8">
        <w:rPr>
          <w:b/>
          <w:bCs/>
        </w:rPr>
        <w:t>vcp_perspective_horizontal_fov</w:t>
      </w:r>
      <w:r w:rsidR="00C61E38" w:rsidRPr="00A52AB8">
        <w:rPr>
          <w:b/>
          <w:bCs/>
        </w:rPr>
        <w:t xml:space="preserve"> </w:t>
      </w:r>
      <w:r w:rsidRPr="00A52AB8">
        <w:t xml:space="preserve">indicates the horizontal field of view for perspective projection in </w:t>
      </w:r>
      <w:r w:rsidR="008667F2" w:rsidRPr="00A52AB8">
        <w:t xml:space="preserve">units of </w:t>
      </w:r>
      <w:r w:rsidR="008667F2" w:rsidRPr="00A52AB8">
        <w:rPr>
          <w:rStyle w:val="fontstyle01"/>
          <w:rFonts w:ascii="Cambria" w:hAnsi="Cambria"/>
          <w:color w:val="000000" w:themeColor="text1"/>
          <w:sz w:val="22"/>
          <w:szCs w:val="22"/>
        </w:rPr>
        <w:t>2</w:t>
      </w:r>
      <w:r w:rsidR="00413989" w:rsidRPr="00A52AB8">
        <w:rPr>
          <w:rStyle w:val="fontstyle01"/>
          <w:rFonts w:ascii="Cambria" w:hAnsi="Cambria"/>
          <w:color w:val="000000" w:themeColor="text1"/>
          <w:position w:val="6"/>
          <w:sz w:val="22"/>
          <w:szCs w:val="22"/>
          <w:vertAlign w:val="superscript"/>
        </w:rPr>
        <w:t xml:space="preserve">−16 </w:t>
      </w:r>
      <w:r w:rsidR="008667F2" w:rsidRPr="00A52AB8">
        <w:rPr>
          <w:rStyle w:val="fontstyle01"/>
          <w:rFonts w:ascii="Cambria" w:hAnsi="Cambria"/>
          <w:color w:val="000000" w:themeColor="text1"/>
          <w:sz w:val="22"/>
          <w:szCs w:val="22"/>
          <w:vertAlign w:val="superscript"/>
        </w:rPr>
        <w:t xml:space="preserve"> </w:t>
      </w:r>
      <w:r w:rsidR="008667F2" w:rsidRPr="00A52AB8">
        <w:rPr>
          <w:bCs/>
        </w:rPr>
        <w:t xml:space="preserve"> degrees</w:t>
      </w:r>
      <w:r w:rsidRPr="00A52AB8">
        <w:t xml:space="preserve">. The value of vcp_perspective_horizontal_fov shall be in the range </w:t>
      </w:r>
      <w:r w:rsidR="008667F2" w:rsidRPr="00A52AB8">
        <w:rPr>
          <w:bCs/>
        </w:rPr>
        <w:t>of 0 to 180 * </w:t>
      </w:r>
      <w:r w:rsidR="008667F2" w:rsidRPr="00A52AB8">
        <w:rPr>
          <w:rStyle w:val="fontstyle01"/>
          <w:rFonts w:ascii="Cambria" w:hAnsi="Cambria"/>
          <w:color w:val="000000" w:themeColor="text1"/>
          <w:sz w:val="22"/>
          <w:szCs w:val="22"/>
        </w:rPr>
        <w:t>2</w:t>
      </w:r>
      <w:r w:rsidR="00413989" w:rsidRPr="00A52AB8">
        <w:rPr>
          <w:rStyle w:val="fontstyle01"/>
          <w:rFonts w:ascii="Cambria" w:hAnsi="Cambria"/>
          <w:color w:val="000000" w:themeColor="text1"/>
          <w:position w:val="6"/>
          <w:sz w:val="22"/>
          <w:szCs w:val="22"/>
          <w:vertAlign w:val="superscript"/>
        </w:rPr>
        <w:t>16</w:t>
      </w:r>
      <w:r w:rsidR="008667F2" w:rsidRPr="00A52AB8">
        <w:rPr>
          <w:bCs/>
        </w:rPr>
        <w:t> </w:t>
      </w:r>
      <w:r w:rsidR="008667F2" w:rsidRPr="00A52AB8">
        <w:rPr>
          <w:rStyle w:val="fontstyle01"/>
          <w:rFonts w:ascii="Cambria" w:hAnsi="Cambria"/>
          <w:color w:val="000000" w:themeColor="text1"/>
          <w:sz w:val="22"/>
          <w:szCs w:val="22"/>
        </w:rPr>
        <w:t>− 1</w:t>
      </w:r>
      <w:r w:rsidR="008667F2" w:rsidRPr="00A52AB8">
        <w:rPr>
          <w:bCs/>
        </w:rPr>
        <w:t>, inclusive</w:t>
      </w:r>
      <w:r w:rsidRPr="00A52AB8">
        <w:t>.</w:t>
      </w:r>
    </w:p>
    <w:p w14:paraId="3C7B4614" w14:textId="17F150A5" w:rsidR="007B02BE" w:rsidRPr="00A52AB8" w:rsidRDefault="007B02BE" w:rsidP="00007BE2">
      <w:pPr>
        <w:spacing w:line="240" w:lineRule="auto"/>
      </w:pPr>
      <w:r w:rsidRPr="00A52AB8">
        <w:rPr>
          <w:b/>
          <w:bCs/>
        </w:rPr>
        <w:t xml:space="preserve">vcp_ortho_aspect_ratio </w:t>
      </w:r>
      <w:r w:rsidRPr="00A52AB8">
        <w:t xml:space="preserve">indicates the relative aspect ratio of </w:t>
      </w:r>
      <w:r w:rsidR="002C6801" w:rsidRPr="00A52AB8">
        <w:t xml:space="preserve">the </w:t>
      </w:r>
      <w:r w:rsidRPr="00A52AB8">
        <w:t>viewport for orthogonal projection (horizontal/vertical).</w:t>
      </w:r>
    </w:p>
    <w:p w14:paraId="48E1F809" w14:textId="1D340458" w:rsidR="0050235C" w:rsidRPr="00A52AB8" w:rsidRDefault="007B02BE" w:rsidP="00007BE2">
      <w:pPr>
        <w:spacing w:line="240" w:lineRule="auto"/>
      </w:pPr>
      <w:r w:rsidRPr="00A52AB8">
        <w:rPr>
          <w:b/>
          <w:bCs/>
        </w:rPr>
        <w:t>vcp_ortho_horizontal_size</w:t>
      </w:r>
      <w:r w:rsidRPr="00A52AB8">
        <w:t xml:space="preserve"> indicates the horizontal size of </w:t>
      </w:r>
      <w:r w:rsidR="004618F1" w:rsidRPr="00A52AB8">
        <w:t xml:space="preserve">an </w:t>
      </w:r>
      <w:r w:rsidRPr="00A52AB8">
        <w:t>orthogonal viewport in metr</w:t>
      </w:r>
      <w:r w:rsidR="00B52C69" w:rsidRPr="00A52AB8">
        <w:t>e</w:t>
      </w:r>
      <w:r w:rsidRPr="00A52AB8">
        <w:t>s.</w:t>
      </w:r>
    </w:p>
    <w:p w14:paraId="018C7EFD" w14:textId="35F540BD" w:rsidR="007B02BE" w:rsidRPr="00A52AB8" w:rsidRDefault="007B02BE" w:rsidP="00007BE2">
      <w:pPr>
        <w:spacing w:line="240" w:lineRule="auto"/>
      </w:pPr>
      <w:r w:rsidRPr="00A52AB8">
        <w:rPr>
          <w:b/>
          <w:bCs/>
        </w:rPr>
        <w:t xml:space="preserve">vcp_clipping_near_plane </w:t>
      </w:r>
      <w:r w:rsidRPr="00A52AB8">
        <w:t xml:space="preserve">indicates the distance of </w:t>
      </w:r>
      <w:r w:rsidR="004618F1" w:rsidRPr="00A52AB8">
        <w:t xml:space="preserve">the </w:t>
      </w:r>
      <w:r w:rsidRPr="00A52AB8">
        <w:t xml:space="preserve">near clipping plane for a given viewport in </w:t>
      </w:r>
      <w:r w:rsidR="00B52C69" w:rsidRPr="00A52AB8">
        <w:t>metres</w:t>
      </w:r>
      <w:r w:rsidRPr="00A52AB8">
        <w:t>.</w:t>
      </w:r>
    </w:p>
    <w:p w14:paraId="05F0571A" w14:textId="1CC154D3" w:rsidR="007B02BE" w:rsidRPr="00A52AB8" w:rsidRDefault="007B02BE" w:rsidP="00007BE2">
      <w:pPr>
        <w:spacing w:line="240" w:lineRule="auto"/>
      </w:pPr>
      <w:r w:rsidRPr="00A52AB8">
        <w:rPr>
          <w:b/>
          <w:bCs/>
        </w:rPr>
        <w:t xml:space="preserve">vcp_clipping_far_plane </w:t>
      </w:r>
      <w:r w:rsidRPr="00A52AB8">
        <w:t xml:space="preserve">indicates the distance of </w:t>
      </w:r>
      <w:r w:rsidR="002C6801" w:rsidRPr="00A52AB8">
        <w:t xml:space="preserve">the </w:t>
      </w:r>
      <w:r w:rsidRPr="00A52AB8">
        <w:t xml:space="preserve">far clipping plane for a given viewport in </w:t>
      </w:r>
      <w:r w:rsidR="00B52C69" w:rsidRPr="00A52AB8">
        <w:t>metres</w:t>
      </w:r>
      <w:r w:rsidRPr="00A52AB8">
        <w:t>.</w:t>
      </w:r>
    </w:p>
    <w:p w14:paraId="704A33D8" w14:textId="77777777" w:rsidR="007B02BE" w:rsidRPr="00A52AB8" w:rsidRDefault="00773351" w:rsidP="005C26E9">
      <w:pPr>
        <w:pStyle w:val="a4"/>
        <w:numPr>
          <w:ilvl w:val="3"/>
          <w:numId w:val="19"/>
        </w:numPr>
      </w:pPr>
      <w:r w:rsidRPr="00A52AB8">
        <w:tab/>
      </w:r>
      <w:r w:rsidR="007B02BE" w:rsidRPr="00A52AB8">
        <w:t>Viewport position SEI message semantics</w:t>
      </w:r>
    </w:p>
    <w:p w14:paraId="69B3E208" w14:textId="77777777" w:rsidR="007B02BE" w:rsidRPr="00A52AB8" w:rsidRDefault="007B02BE" w:rsidP="007656E5">
      <w:pPr>
        <w:rPr>
          <w:bCs/>
        </w:rPr>
      </w:pPr>
      <w:r w:rsidRPr="00A52AB8">
        <w:rPr>
          <w:bCs/>
        </w:rPr>
        <w:t>This SEI message defines a viewport position and orientation. The vie</w:t>
      </w:r>
      <w:r w:rsidR="00B045C6" w:rsidRPr="00A52AB8">
        <w:rPr>
          <w:bCs/>
        </w:rPr>
        <w:t>w</w:t>
      </w:r>
      <w:r w:rsidRPr="00A52AB8">
        <w:rPr>
          <w:bCs/>
        </w:rPr>
        <w:t>port could then be associated with different types of information</w:t>
      </w:r>
      <w:r w:rsidR="00B3509F" w:rsidRPr="00A52AB8">
        <w:rPr>
          <w:bCs/>
        </w:rPr>
        <w:t xml:space="preserve"> </w:t>
      </w:r>
      <w:r w:rsidR="00D35EEC" w:rsidRPr="00A52AB8">
        <w:rPr>
          <w:bCs/>
        </w:rPr>
        <w:t>such as</w:t>
      </w:r>
      <w:r w:rsidR="0080625C" w:rsidRPr="00A52AB8">
        <w:rPr>
          <w:bCs/>
        </w:rPr>
        <w:t xml:space="preserve"> viewport camera parameters indicated by </w:t>
      </w:r>
      <w:r w:rsidR="009B3AFE" w:rsidRPr="00A52AB8">
        <w:rPr>
          <w:bCs/>
        </w:rPr>
        <w:t xml:space="preserve">a </w:t>
      </w:r>
      <w:r w:rsidR="0080625C" w:rsidRPr="00A52AB8">
        <w:rPr>
          <w:bCs/>
        </w:rPr>
        <w:t>viewport camera parameters</w:t>
      </w:r>
      <w:r w:rsidRPr="00A52AB8">
        <w:rPr>
          <w:bCs/>
        </w:rPr>
        <w:t xml:space="preserve"> SEI message.</w:t>
      </w:r>
    </w:p>
    <w:p w14:paraId="34F33189" w14:textId="586DA401" w:rsidR="007B02BE" w:rsidRPr="00A52AB8" w:rsidRDefault="007B02BE" w:rsidP="007656E5">
      <w:pPr>
        <w:rPr>
          <w:bCs/>
        </w:rPr>
      </w:pPr>
      <w:r w:rsidRPr="00A52AB8">
        <w:rPr>
          <w:bCs/>
        </w:rPr>
        <w:t>The persistence scope for this SEI message is the remainder of the bitstream or until a new vie</w:t>
      </w:r>
      <w:r w:rsidR="00D24766" w:rsidRPr="00A52AB8">
        <w:rPr>
          <w:bCs/>
        </w:rPr>
        <w:t>w</w:t>
      </w:r>
      <w:r w:rsidRPr="00A52AB8">
        <w:rPr>
          <w:bCs/>
        </w:rPr>
        <w:t>port position SEI message is encountered. Only the corresponding parameters specified in the SEI message shall be updated. Previously defined parameters from an earlier SEI message shall persist if not modified and if the value of vp_cancel_flag is not equal to 1.</w:t>
      </w:r>
    </w:p>
    <w:p w14:paraId="70C02C6F" w14:textId="77777777" w:rsidR="007B02BE" w:rsidRPr="00A52AB8" w:rsidRDefault="007B02BE">
      <w:pPr>
        <w:rPr>
          <w:bCs/>
        </w:rPr>
      </w:pPr>
      <w:bookmarkStart w:id="5977" w:name="_Hlk481685958"/>
      <w:r w:rsidRPr="00A52AB8">
        <w:rPr>
          <w:b/>
        </w:rPr>
        <w:t>vp_</w:t>
      </w:r>
      <w:r w:rsidR="00B045C6" w:rsidRPr="00A52AB8">
        <w:rPr>
          <w:b/>
        </w:rPr>
        <w:t>viewport</w:t>
      </w:r>
      <w:r w:rsidRPr="00A52AB8">
        <w:rPr>
          <w:b/>
        </w:rPr>
        <w:t xml:space="preserve">_id </w:t>
      </w:r>
      <w:bookmarkEnd w:id="5977"/>
      <w:r w:rsidR="00B045C6" w:rsidRPr="00A52AB8">
        <w:rPr>
          <w:bCs/>
        </w:rPr>
        <w:t>specifies</w:t>
      </w:r>
      <w:r w:rsidR="00B045C6" w:rsidRPr="00A52AB8">
        <w:rPr>
          <w:b/>
        </w:rPr>
        <w:t xml:space="preserve"> </w:t>
      </w:r>
      <w:r w:rsidRPr="00A52AB8">
        <w:rPr>
          <w:bCs/>
        </w:rPr>
        <w:t>an identifying number that may be used to identify a viewport.</w:t>
      </w:r>
    </w:p>
    <w:p w14:paraId="1E8C0589" w14:textId="77777777" w:rsidR="0050235C" w:rsidRPr="00A52AB8" w:rsidRDefault="007B02BE" w:rsidP="007B02BE">
      <w:pPr>
        <w:rPr>
          <w:bCs/>
        </w:rPr>
      </w:pPr>
      <w:r w:rsidRPr="00A52AB8">
        <w:rPr>
          <w:b/>
        </w:rPr>
        <w:t xml:space="preserve">vp_camera_parameters_present_flag </w:t>
      </w:r>
      <w:r w:rsidRPr="00A52AB8">
        <w:rPr>
          <w:bCs/>
        </w:rPr>
        <w:t>equal to 1 indicates that vp_vcp_camera_id is present in the viewport position SEI message. vp_camera_parameters_present_flag equal to 0 indicates that vp_vcp_camera_id is not present in viewport position SEI message</w:t>
      </w:r>
    </w:p>
    <w:p w14:paraId="138C529B" w14:textId="1FF53F59" w:rsidR="007B02BE" w:rsidRPr="00A52AB8" w:rsidRDefault="007B02BE" w:rsidP="007B02BE">
      <w:pPr>
        <w:rPr>
          <w:b/>
        </w:rPr>
      </w:pPr>
      <w:r w:rsidRPr="00A52AB8">
        <w:rPr>
          <w:b/>
        </w:rPr>
        <w:t xml:space="preserve">vp_vcp_camera_id </w:t>
      </w:r>
      <w:r w:rsidRPr="00A52AB8">
        <w:rPr>
          <w:bCs/>
        </w:rPr>
        <w:t>specifies the value of vcp_camera_id of viewport parameter SEI message that should provide the camera information for this viewport. When vp_vcp_camera_id is not present, it shall be inferred to be equal to 0.</w:t>
      </w:r>
    </w:p>
    <w:p w14:paraId="0949CEA4" w14:textId="77777777" w:rsidR="007B02BE" w:rsidRPr="00A52AB8" w:rsidRDefault="007B02BE" w:rsidP="007B02BE">
      <w:pPr>
        <w:rPr>
          <w:b/>
        </w:rPr>
      </w:pPr>
      <w:bookmarkStart w:id="5978" w:name="_Hlk481685756"/>
      <w:r w:rsidRPr="00A52AB8">
        <w:rPr>
          <w:b/>
        </w:rPr>
        <w:t xml:space="preserve">vp_cancel_flag </w:t>
      </w:r>
      <w:r w:rsidRPr="00A52AB8">
        <w:rPr>
          <w:bCs/>
        </w:rPr>
        <w:t xml:space="preserve">equal to 1 </w:t>
      </w:r>
      <w:bookmarkEnd w:id="5978"/>
      <w:r w:rsidRPr="00A52AB8">
        <w:rPr>
          <w:bCs/>
        </w:rPr>
        <w:t>indicates that the SEI message cancels the persistence of any previous viewport position SEI message in output order with the same value of vp_view_id. vp_cancel_flag equal to 0 indicates that viewport position information follows.</w:t>
      </w:r>
    </w:p>
    <w:p w14:paraId="6F89243F" w14:textId="77777777" w:rsidR="007B02BE" w:rsidRPr="00A52AB8" w:rsidRDefault="007B02BE" w:rsidP="007B02BE">
      <w:pPr>
        <w:rPr>
          <w:bCs/>
        </w:rPr>
      </w:pPr>
      <w:r w:rsidRPr="00A52AB8">
        <w:rPr>
          <w:b/>
        </w:rPr>
        <w:t xml:space="preserve">vp_persistence_flag </w:t>
      </w:r>
      <w:r w:rsidRPr="00A52AB8">
        <w:rPr>
          <w:bCs/>
        </w:rPr>
        <w:t>specifies the persistence of the viewport position SEI message for the current layer. vp_persistence_flag equal to 0 specifies that the viewport position SEI message applies to the current decoded atlas frame only.</w:t>
      </w:r>
    </w:p>
    <w:p w14:paraId="7B406757" w14:textId="77777777" w:rsidR="007B02BE" w:rsidRPr="00A52AB8" w:rsidRDefault="007B02BE" w:rsidP="007B02BE">
      <w:pPr>
        <w:rPr>
          <w:bCs/>
        </w:rPr>
      </w:pPr>
      <w:r w:rsidRPr="00A52AB8">
        <w:rPr>
          <w:bCs/>
        </w:rPr>
        <w:t>Let aFrmA be the current atlas frame. vp_persistence_flag equal to 1 specifies that the viewport position SEI message persists for the current layer in output order until any of the following conditions are true:</w:t>
      </w:r>
    </w:p>
    <w:p w14:paraId="70C96884" w14:textId="77777777" w:rsidR="007B02BE" w:rsidRPr="00A52AB8" w:rsidRDefault="003F1BC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new CAS begins.</w:t>
      </w:r>
    </w:p>
    <w:p w14:paraId="79BB9027" w14:textId="77777777" w:rsidR="007B02BE" w:rsidRPr="00A52AB8" w:rsidRDefault="007B02B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The bitstream ends.</w:t>
      </w:r>
    </w:p>
    <w:p w14:paraId="44CB5668" w14:textId="5BF5F90D" w:rsidR="00545C89" w:rsidRPr="00A52AB8" w:rsidRDefault="00545C89"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An atlas frame aFrmB in the current layer in a coded atlas access unit containing a viewport position SEI message, with either an vp_cancel_flag equal to 1 or the same value of vp_persistence_flag, applicable to the current layer is output for which AtlasFrmOrderCnt( aFrmB ) is greater than AtlasFrmOrderCnt( aFrmA ), where AtlasFrmOrderCnt( aFrmB ) and AtlasFrmOrderCnt( aFrmA ) are the AtlasFrmOrderCntVal values of aFrmB and aFrmA, respectively, immediately after the invocation of the decoding process for atlas frame order count for aFrmB.</w:t>
      </w:r>
    </w:p>
    <w:p w14:paraId="3961243A" w14:textId="790786B2" w:rsidR="007B02BE" w:rsidRPr="00A52AB8" w:rsidRDefault="00D5136B" w:rsidP="00C86722">
      <w:pPr>
        <w:spacing w:before="120"/>
        <w:rPr>
          <w:b/>
        </w:rPr>
      </w:pPr>
      <w:r w:rsidRPr="00A52AB8">
        <w:rPr>
          <w:b/>
        </w:rPr>
        <w:t>vp</w:t>
      </w:r>
      <w:r w:rsidR="007B02BE" w:rsidRPr="00A52AB8">
        <w:rPr>
          <w:b/>
        </w:rPr>
        <w:t>_position</w:t>
      </w:r>
      <w:r w:rsidR="00395064" w:rsidRPr="00A52AB8">
        <w:rPr>
          <w:bCs/>
        </w:rPr>
        <w:t>[ d ]</w:t>
      </w:r>
      <w:r w:rsidR="007B02BE" w:rsidRPr="00A52AB8">
        <w:rPr>
          <w:b/>
        </w:rPr>
        <w:t xml:space="preserve"> </w:t>
      </w:r>
      <w:r w:rsidR="007B02BE" w:rsidRPr="00A52AB8">
        <w:rPr>
          <w:bCs/>
        </w:rPr>
        <w:t xml:space="preserve">indicates a position of a viewport along the d axis. When </w:t>
      </w:r>
      <w:r w:rsidR="00227CB9" w:rsidRPr="00A52AB8">
        <w:rPr>
          <w:bCs/>
        </w:rPr>
        <w:t>vp</w:t>
      </w:r>
      <w:r w:rsidR="007B02BE" w:rsidRPr="00A52AB8">
        <w:rPr>
          <w:bCs/>
        </w:rPr>
        <w:t>_position</w:t>
      </w:r>
      <w:r w:rsidR="00395064" w:rsidRPr="00A52AB8">
        <w:rPr>
          <w:bCs/>
        </w:rPr>
        <w:t>[ d ]</w:t>
      </w:r>
      <w:r w:rsidR="007B02BE" w:rsidRPr="00A52AB8">
        <w:rPr>
          <w:bCs/>
        </w:rPr>
        <w:t xml:space="preserve"> is not present, it shall be inferred to be equal to represent a view position equal to (0.0, 0.0, 0.0).</w:t>
      </w:r>
      <w:r w:rsidR="000544C6" w:rsidRPr="00A52AB8">
        <w:rPr>
          <w:bCs/>
        </w:rPr>
        <w:t xml:space="preserve"> </w:t>
      </w:r>
      <w:r w:rsidR="000544C6" w:rsidRPr="00A52AB8">
        <w:rPr>
          <w:rStyle w:val="fontstyle01"/>
          <w:rFonts w:ascii="Cambria" w:hAnsi="Cambria"/>
          <w:color w:val="000000" w:themeColor="text1"/>
          <w:sz w:val="22"/>
          <w:szCs w:val="22"/>
        </w:rPr>
        <w:t>The values of d equal to</w:t>
      </w:r>
      <w:r w:rsidR="000544C6" w:rsidRPr="00A52AB8">
        <w:rPr>
          <w:color w:val="000000" w:themeColor="text1"/>
        </w:rPr>
        <w:t xml:space="preserve"> 0, 1, and 2 correspond to the X, Y, and Z axis, respectively.</w:t>
      </w:r>
    </w:p>
    <w:p w14:paraId="5EB79624" w14:textId="4119A55A" w:rsidR="0071161B" w:rsidRPr="00A52AB8" w:rsidRDefault="0071161B" w:rsidP="0071161B">
      <w:pPr>
        <w:rPr>
          <w:color w:val="000000" w:themeColor="text1"/>
          <w:lang w:eastAsia="ja-JP"/>
        </w:rPr>
      </w:pPr>
      <w:r w:rsidRPr="00A52AB8">
        <w:rPr>
          <w:b/>
          <w:color w:val="000000" w:themeColor="text1"/>
        </w:rPr>
        <w:t>vp_rotation_qx</w:t>
      </w:r>
      <w:r w:rsidRPr="00A52AB8">
        <w:rPr>
          <w:bCs/>
          <w:color w:val="000000" w:themeColor="text1"/>
        </w:rPr>
        <w:t xml:space="preserve"> specifies the x component, qX, for the rotation </w:t>
      </w:r>
      <w:r w:rsidRPr="00A52AB8">
        <w:rPr>
          <w:bCs/>
        </w:rPr>
        <w:t xml:space="preserve">of the viewport region </w:t>
      </w:r>
      <w:r w:rsidRPr="00A52AB8">
        <w:rPr>
          <w:bCs/>
          <w:color w:val="000000" w:themeColor="text1"/>
        </w:rPr>
        <w:t xml:space="preserve">using the quaternion representation. </w:t>
      </w:r>
      <w:r w:rsidRPr="00A52AB8">
        <w:rPr>
          <w:rStyle w:val="fontstyle01"/>
          <w:rFonts w:ascii="Cambria" w:hAnsi="Cambria"/>
          <w:color w:val="000000" w:themeColor="text1"/>
          <w:sz w:val="22"/>
          <w:szCs w:val="22"/>
        </w:rPr>
        <w:t xml:space="preserve">The value of </w:t>
      </w:r>
      <w:r w:rsidRPr="00A52AB8">
        <w:rPr>
          <w:color w:val="000000" w:themeColor="text1"/>
        </w:rPr>
        <w:t>vp_rotation_qx</w:t>
      </w:r>
      <w:r w:rsidRPr="00A52AB8">
        <w:rPr>
          <w:bCs/>
          <w:color w:val="000000" w:themeColor="text1"/>
        </w:rPr>
        <w:t xml:space="preserve"> </w:t>
      </w:r>
      <w:r w:rsidRPr="00A52AB8">
        <w:rPr>
          <w:rStyle w:val="fontstyle01"/>
          <w:rFonts w:ascii="Cambria" w:hAnsi="Cambria"/>
          <w:color w:val="000000" w:themeColor="text1"/>
          <w:sz w:val="22"/>
          <w:szCs w:val="22"/>
        </w:rPr>
        <w:t xml:space="preserve">shall be in the range of </w:t>
      </w:r>
      <w:r w:rsidR="00021054" w:rsidRPr="00A52AB8">
        <w:rPr>
          <w:rStyle w:val="fontstyle01"/>
          <w:rFonts w:ascii="Cambria" w:hAnsi="Cambria"/>
          <w:color w:val="000000" w:themeColor="text1"/>
          <w:sz w:val="22"/>
          <w:szCs w:val="22"/>
        </w:rPr>
        <w:t>− 2</w:t>
      </w:r>
      <w:r w:rsidR="00021054" w:rsidRPr="00A52AB8">
        <w:rPr>
          <w:rStyle w:val="fontstyle01"/>
          <w:rFonts w:ascii="Cambria" w:hAnsi="Cambria"/>
          <w:color w:val="000000" w:themeColor="text1"/>
          <w:sz w:val="22"/>
          <w:szCs w:val="22"/>
          <w:vertAlign w:val="superscript"/>
        </w:rPr>
        <w:t>14</w:t>
      </w:r>
      <w:r w:rsidR="00CC4AD5" w:rsidRPr="00A52AB8">
        <w:rPr>
          <w:rStyle w:val="fontstyle01"/>
          <w:rFonts w:ascii="Cambria" w:hAnsi="Cambria"/>
          <w:color w:val="000000" w:themeColor="text1"/>
          <w:sz w:val="22"/>
          <w:szCs w:val="22"/>
        </w:rPr>
        <w:t xml:space="preserve"> </w:t>
      </w:r>
      <w:r w:rsidRPr="00A52AB8">
        <w:rPr>
          <w:rStyle w:val="fontstyle01"/>
          <w:rFonts w:ascii="Cambria" w:hAnsi="Cambria"/>
          <w:color w:val="000000" w:themeColor="text1"/>
          <w:sz w:val="22"/>
          <w:szCs w:val="22"/>
        </w:rPr>
        <w:t>to 2</w:t>
      </w:r>
      <w:r w:rsidRPr="00A52AB8">
        <w:rPr>
          <w:rStyle w:val="fontstyle01"/>
          <w:rFonts w:ascii="Cambria" w:hAnsi="Cambria"/>
          <w:color w:val="000000" w:themeColor="text1"/>
          <w:sz w:val="22"/>
          <w:szCs w:val="22"/>
          <w:vertAlign w:val="superscript"/>
        </w:rPr>
        <w:t>1</w:t>
      </w:r>
      <w:r w:rsidR="00021054" w:rsidRPr="00A52AB8">
        <w:rPr>
          <w:rStyle w:val="fontstyle01"/>
          <w:rFonts w:ascii="Cambria" w:hAnsi="Cambria"/>
          <w:color w:val="000000" w:themeColor="text1"/>
          <w:sz w:val="22"/>
          <w:szCs w:val="22"/>
          <w:vertAlign w:val="superscript"/>
        </w:rPr>
        <w:t>4</w:t>
      </w:r>
      <w:r w:rsidRPr="00A52AB8">
        <w:rPr>
          <w:rStyle w:val="fontstyle01"/>
          <w:rFonts w:ascii="Cambria" w:hAnsi="Cambria"/>
          <w:color w:val="000000" w:themeColor="text1"/>
          <w:sz w:val="22"/>
          <w:szCs w:val="22"/>
        </w:rPr>
        <w:t xml:space="preserve">, inclusive. When </w:t>
      </w:r>
      <w:r w:rsidRPr="00A52AB8">
        <w:rPr>
          <w:color w:val="000000" w:themeColor="text1"/>
        </w:rPr>
        <w:t xml:space="preserve">vp_rotation_qx is not present, its value shall be inferred to be equal to </w:t>
      </w:r>
      <w:r w:rsidR="00021054" w:rsidRPr="00A52AB8">
        <w:rPr>
          <w:rStyle w:val="fontstyle01"/>
          <w:rFonts w:ascii="Cambria" w:hAnsi="Cambria"/>
          <w:color w:val="000000" w:themeColor="text1"/>
          <w:sz w:val="22"/>
          <w:szCs w:val="22"/>
        </w:rPr>
        <w:t>0</w:t>
      </w:r>
      <w:r w:rsidRPr="00A52AB8">
        <w:rPr>
          <w:color w:val="000000" w:themeColor="text1"/>
        </w:rPr>
        <w:t xml:space="preserve">. </w:t>
      </w:r>
      <w:r w:rsidRPr="00A52AB8">
        <w:rPr>
          <w:color w:val="000000" w:themeColor="text1"/>
          <w:lang w:eastAsia="ja-JP"/>
        </w:rPr>
        <w:t xml:space="preserve">The value of </w:t>
      </w:r>
      <w:r w:rsidRPr="00A52AB8">
        <w:rPr>
          <w:bCs/>
          <w:color w:val="000000" w:themeColor="text1"/>
        </w:rPr>
        <w:t xml:space="preserve">qX </w:t>
      </w:r>
      <w:r w:rsidRPr="00A52AB8">
        <w:rPr>
          <w:color w:val="000000" w:themeColor="text1"/>
          <w:lang w:eastAsia="ja-JP"/>
        </w:rPr>
        <w:t>is computed as follows:</w:t>
      </w:r>
    </w:p>
    <w:p w14:paraId="4407D173" w14:textId="64E76B94" w:rsidR="0071161B" w:rsidRPr="00A52AB8" w:rsidRDefault="0071161B" w:rsidP="0071161B">
      <w:pPr>
        <w:rPr>
          <w:color w:val="000000" w:themeColor="text1"/>
        </w:rPr>
      </w:pPr>
      <w:r w:rsidRPr="00A52AB8">
        <w:rPr>
          <w:color w:val="000000" w:themeColor="text1"/>
          <w:lang w:eastAsia="ja-JP"/>
        </w:rPr>
        <w:tab/>
      </w:r>
      <w:r w:rsidRPr="00A52AB8">
        <w:rPr>
          <w:bCs/>
          <w:color w:val="000000" w:themeColor="text1"/>
        </w:rPr>
        <w:t>qX</w:t>
      </w:r>
      <w:r w:rsidR="00D47707" w:rsidRPr="00A52AB8">
        <w:rPr>
          <w:bCs/>
          <w:color w:val="000000" w:themeColor="text1"/>
        </w:rPr>
        <w:t> </w:t>
      </w:r>
      <w:r w:rsidR="00D47707" w:rsidRPr="00A52AB8">
        <w:rPr>
          <w:color w:val="000000" w:themeColor="text1"/>
          <w:lang w:eastAsia="ja-JP"/>
        </w:rPr>
        <w:t>= </w:t>
      </w:r>
      <w:r w:rsidRPr="00A52AB8">
        <w:rPr>
          <w:bCs/>
          <w:color w:val="000000" w:themeColor="text1"/>
        </w:rPr>
        <w:t>vp_rotation_qx </w:t>
      </w:r>
      <w:r w:rsidR="00990F3A" w:rsidRPr="00A52AB8">
        <w:rPr>
          <w:rFonts w:cs="Symbol"/>
          <w:color w:val="000000" w:themeColor="text1"/>
        </w:rPr>
        <w:sym w:font="Symbol" w:char="F0B8"/>
      </w:r>
      <w:r w:rsidR="00C61E38" w:rsidRPr="00A52AB8">
        <w:rPr>
          <w:color w:val="000000" w:themeColor="text1"/>
          <w:lang w:eastAsia="ja-JP"/>
        </w:rPr>
        <w:t> </w:t>
      </w:r>
      <w:r w:rsidR="00990F3A" w:rsidRPr="00A52AB8">
        <w:rPr>
          <w:rStyle w:val="fontstyle01"/>
          <w:rFonts w:ascii="Cambria" w:hAnsi="Cambria"/>
          <w:color w:val="000000" w:themeColor="text1"/>
          <w:sz w:val="22"/>
          <w:szCs w:val="22"/>
        </w:rPr>
        <w:t>2</w:t>
      </w:r>
      <w:r w:rsidR="00990F3A" w:rsidRPr="00A52AB8">
        <w:rPr>
          <w:rStyle w:val="fontstyle01"/>
          <w:rFonts w:ascii="Cambria" w:hAnsi="Cambria"/>
          <w:color w:val="000000" w:themeColor="text1"/>
          <w:sz w:val="22"/>
          <w:szCs w:val="22"/>
          <w:vertAlign w:val="superscript"/>
        </w:rPr>
        <w:t>1</w:t>
      </w:r>
      <w:r w:rsidR="00021054" w:rsidRPr="00A52AB8">
        <w:rPr>
          <w:rStyle w:val="fontstyle01"/>
          <w:rFonts w:ascii="Cambria" w:hAnsi="Cambria"/>
          <w:color w:val="000000" w:themeColor="text1"/>
          <w:sz w:val="22"/>
          <w:szCs w:val="22"/>
          <w:vertAlign w:val="superscript"/>
        </w:rPr>
        <w:t>4</w:t>
      </w:r>
    </w:p>
    <w:p w14:paraId="7AFAF19B" w14:textId="7A3D6B39" w:rsidR="0071161B" w:rsidRPr="00A52AB8" w:rsidRDefault="0071161B" w:rsidP="0071161B">
      <w:pPr>
        <w:rPr>
          <w:color w:val="000000" w:themeColor="text1"/>
          <w:lang w:eastAsia="ja-JP"/>
        </w:rPr>
      </w:pPr>
      <w:r w:rsidRPr="00A52AB8">
        <w:rPr>
          <w:b/>
          <w:color w:val="000000" w:themeColor="text1"/>
        </w:rPr>
        <w:t>vp_rotation_qy</w:t>
      </w:r>
      <w:r w:rsidRPr="00A52AB8">
        <w:rPr>
          <w:bCs/>
          <w:color w:val="000000" w:themeColor="text1"/>
        </w:rPr>
        <w:t xml:space="preserve"> specifies the y component, qY, for the rotation </w:t>
      </w:r>
      <w:r w:rsidRPr="00A52AB8">
        <w:rPr>
          <w:bCs/>
        </w:rPr>
        <w:t xml:space="preserve">of the viewport region </w:t>
      </w:r>
      <w:r w:rsidRPr="00A52AB8">
        <w:rPr>
          <w:bCs/>
          <w:color w:val="000000" w:themeColor="text1"/>
        </w:rPr>
        <w:t xml:space="preserve">using the quaternion representation. </w:t>
      </w:r>
      <w:r w:rsidRPr="00A52AB8">
        <w:rPr>
          <w:rStyle w:val="fontstyle01"/>
          <w:rFonts w:ascii="Cambria" w:hAnsi="Cambria"/>
          <w:color w:val="000000" w:themeColor="text1"/>
          <w:sz w:val="22"/>
          <w:szCs w:val="22"/>
        </w:rPr>
        <w:t xml:space="preserve">The value of </w:t>
      </w:r>
      <w:r w:rsidRPr="00A52AB8">
        <w:rPr>
          <w:color w:val="000000" w:themeColor="text1"/>
        </w:rPr>
        <w:t>vp_rotation_qy</w:t>
      </w:r>
      <w:r w:rsidRPr="00A52AB8">
        <w:rPr>
          <w:bCs/>
          <w:color w:val="000000" w:themeColor="text1"/>
        </w:rPr>
        <w:t xml:space="preserve"> </w:t>
      </w:r>
      <w:r w:rsidRPr="00A52AB8">
        <w:rPr>
          <w:rStyle w:val="fontstyle01"/>
          <w:rFonts w:ascii="Cambria" w:hAnsi="Cambria"/>
          <w:color w:val="000000" w:themeColor="text1"/>
          <w:sz w:val="22"/>
          <w:szCs w:val="22"/>
        </w:rPr>
        <w:t xml:space="preserve">shall be in the range of </w:t>
      </w:r>
      <w:r w:rsidR="007C3902" w:rsidRPr="00A52AB8">
        <w:rPr>
          <w:rStyle w:val="fontstyle01"/>
          <w:rFonts w:ascii="Cambria" w:hAnsi="Cambria"/>
          <w:color w:val="000000" w:themeColor="text1"/>
          <w:sz w:val="22"/>
          <w:szCs w:val="22"/>
        </w:rPr>
        <w:t>0</w:t>
      </w:r>
      <w:r w:rsidR="00725C4B" w:rsidRPr="00A52AB8">
        <w:rPr>
          <w:rStyle w:val="fontstyle01"/>
          <w:rFonts w:ascii="Cambria" w:hAnsi="Cambria"/>
          <w:color w:val="000000" w:themeColor="text1"/>
          <w:sz w:val="22"/>
          <w:szCs w:val="22"/>
        </w:rPr>
        <w:t xml:space="preserve"> to </w:t>
      </w:r>
      <w:r w:rsidR="00021054" w:rsidRPr="00A52AB8">
        <w:rPr>
          <w:rStyle w:val="fontstyle01"/>
          <w:rFonts w:ascii="Cambria" w:hAnsi="Cambria"/>
          <w:color w:val="000000" w:themeColor="text1"/>
          <w:sz w:val="22"/>
          <w:szCs w:val="22"/>
        </w:rPr>
        <w:t>− 2</w:t>
      </w:r>
      <w:r w:rsidR="00021054" w:rsidRPr="00A52AB8">
        <w:rPr>
          <w:rStyle w:val="fontstyle01"/>
          <w:rFonts w:ascii="Cambria" w:hAnsi="Cambria"/>
          <w:color w:val="000000" w:themeColor="text1"/>
          <w:sz w:val="22"/>
          <w:szCs w:val="22"/>
          <w:vertAlign w:val="superscript"/>
        </w:rPr>
        <w:t>14</w:t>
      </w:r>
      <w:r w:rsidR="00021054" w:rsidRPr="00A52AB8">
        <w:rPr>
          <w:rStyle w:val="fontstyle01"/>
          <w:rFonts w:ascii="Cambria" w:hAnsi="Cambria"/>
          <w:color w:val="000000" w:themeColor="text1"/>
          <w:sz w:val="22"/>
          <w:szCs w:val="22"/>
        </w:rPr>
        <w:t xml:space="preserve"> to 2</w:t>
      </w:r>
      <w:r w:rsidR="00021054" w:rsidRPr="00A52AB8">
        <w:rPr>
          <w:rStyle w:val="fontstyle01"/>
          <w:rFonts w:ascii="Cambria" w:hAnsi="Cambria"/>
          <w:color w:val="000000" w:themeColor="text1"/>
          <w:sz w:val="22"/>
          <w:szCs w:val="22"/>
          <w:vertAlign w:val="superscript"/>
        </w:rPr>
        <w:t>14</w:t>
      </w:r>
      <w:r w:rsidRPr="00A52AB8">
        <w:rPr>
          <w:rStyle w:val="fontstyle01"/>
          <w:rFonts w:ascii="Cambria" w:hAnsi="Cambria"/>
          <w:color w:val="000000" w:themeColor="text1"/>
          <w:sz w:val="22"/>
          <w:szCs w:val="22"/>
        </w:rPr>
        <w:t xml:space="preserve">, inclusive. When </w:t>
      </w:r>
      <w:r w:rsidRPr="00A52AB8">
        <w:rPr>
          <w:color w:val="000000" w:themeColor="text1"/>
        </w:rPr>
        <w:t xml:space="preserve">vp_rotation_qy is not present, its value shall be inferred to be equal to </w:t>
      </w:r>
      <w:r w:rsidR="00021054" w:rsidRPr="00A52AB8">
        <w:rPr>
          <w:rStyle w:val="fontstyle01"/>
          <w:rFonts w:ascii="Cambria" w:hAnsi="Cambria"/>
          <w:color w:val="000000" w:themeColor="text1"/>
          <w:sz w:val="22"/>
          <w:szCs w:val="22"/>
        </w:rPr>
        <w:t>0</w:t>
      </w:r>
      <w:r w:rsidRPr="00A52AB8">
        <w:rPr>
          <w:color w:val="000000" w:themeColor="text1"/>
        </w:rPr>
        <w:t xml:space="preserve">. </w:t>
      </w:r>
      <w:r w:rsidRPr="00A52AB8">
        <w:rPr>
          <w:color w:val="000000" w:themeColor="text1"/>
          <w:lang w:eastAsia="ja-JP"/>
        </w:rPr>
        <w:t xml:space="preserve">The value of </w:t>
      </w:r>
      <w:r w:rsidRPr="00A52AB8">
        <w:rPr>
          <w:bCs/>
          <w:color w:val="000000" w:themeColor="text1"/>
        </w:rPr>
        <w:t xml:space="preserve">qY </w:t>
      </w:r>
      <w:r w:rsidRPr="00A52AB8">
        <w:rPr>
          <w:color w:val="000000" w:themeColor="text1"/>
          <w:lang w:eastAsia="ja-JP"/>
        </w:rPr>
        <w:t>is computed as follows:</w:t>
      </w:r>
    </w:p>
    <w:p w14:paraId="3EF92875" w14:textId="14D2C060" w:rsidR="00990F3A" w:rsidRPr="00A52AB8" w:rsidRDefault="0071161B" w:rsidP="00990F3A">
      <w:pPr>
        <w:rPr>
          <w:color w:val="000000" w:themeColor="text1"/>
        </w:rPr>
      </w:pPr>
      <w:r w:rsidRPr="00A52AB8">
        <w:rPr>
          <w:color w:val="000000" w:themeColor="text1"/>
          <w:lang w:eastAsia="ja-JP"/>
        </w:rPr>
        <w:tab/>
      </w:r>
      <w:r w:rsidRPr="00A52AB8">
        <w:rPr>
          <w:bCs/>
          <w:color w:val="000000" w:themeColor="text1"/>
        </w:rPr>
        <w:t>qY</w:t>
      </w:r>
      <w:r w:rsidR="00D47707" w:rsidRPr="00A52AB8">
        <w:rPr>
          <w:bCs/>
          <w:color w:val="000000" w:themeColor="text1"/>
        </w:rPr>
        <w:t> </w:t>
      </w:r>
      <w:r w:rsidR="00D47707" w:rsidRPr="00A52AB8">
        <w:rPr>
          <w:color w:val="000000" w:themeColor="text1"/>
          <w:lang w:eastAsia="ja-JP"/>
        </w:rPr>
        <w:t>= </w:t>
      </w:r>
      <w:r w:rsidRPr="00A52AB8">
        <w:rPr>
          <w:bCs/>
          <w:color w:val="000000" w:themeColor="text1"/>
        </w:rPr>
        <w:t>vp_rotation_qy </w:t>
      </w:r>
      <w:r w:rsidR="00990F3A" w:rsidRPr="00A52AB8">
        <w:rPr>
          <w:rFonts w:cs="Symbol"/>
          <w:color w:val="000000" w:themeColor="text1"/>
        </w:rPr>
        <w:sym w:font="Symbol" w:char="F0B8"/>
      </w:r>
      <w:r w:rsidR="00990F3A" w:rsidRPr="00A52AB8">
        <w:rPr>
          <w:color w:val="000000" w:themeColor="text1"/>
          <w:lang w:eastAsia="ja-JP"/>
        </w:rPr>
        <w:t> </w:t>
      </w:r>
      <w:r w:rsidR="00990F3A" w:rsidRPr="00A52AB8">
        <w:rPr>
          <w:rStyle w:val="fontstyle01"/>
          <w:rFonts w:ascii="Cambria" w:hAnsi="Cambria"/>
          <w:color w:val="000000" w:themeColor="text1"/>
          <w:sz w:val="22"/>
          <w:szCs w:val="22"/>
        </w:rPr>
        <w:t>2</w:t>
      </w:r>
      <w:r w:rsidR="00990F3A" w:rsidRPr="00A52AB8">
        <w:rPr>
          <w:rStyle w:val="fontstyle01"/>
          <w:rFonts w:ascii="Cambria" w:hAnsi="Cambria"/>
          <w:color w:val="000000" w:themeColor="text1"/>
          <w:sz w:val="22"/>
          <w:szCs w:val="22"/>
          <w:vertAlign w:val="superscript"/>
        </w:rPr>
        <w:t>1</w:t>
      </w:r>
      <w:r w:rsidR="00021054" w:rsidRPr="00A52AB8">
        <w:rPr>
          <w:rStyle w:val="fontstyle01"/>
          <w:rFonts w:ascii="Cambria" w:hAnsi="Cambria"/>
          <w:color w:val="000000" w:themeColor="text1"/>
          <w:sz w:val="22"/>
          <w:szCs w:val="22"/>
          <w:vertAlign w:val="superscript"/>
        </w:rPr>
        <w:t>4</w:t>
      </w:r>
    </w:p>
    <w:p w14:paraId="774A5BD2" w14:textId="4F6357C8" w:rsidR="0071161B" w:rsidRPr="00A52AB8" w:rsidRDefault="0071161B" w:rsidP="0071161B">
      <w:pPr>
        <w:rPr>
          <w:color w:val="000000" w:themeColor="text1"/>
          <w:lang w:eastAsia="ja-JP"/>
        </w:rPr>
      </w:pPr>
      <w:r w:rsidRPr="00A52AB8">
        <w:rPr>
          <w:b/>
          <w:color w:val="000000" w:themeColor="text1"/>
        </w:rPr>
        <w:t>vp_rotation_qz</w:t>
      </w:r>
      <w:r w:rsidRPr="00A52AB8">
        <w:rPr>
          <w:bCs/>
          <w:color w:val="000000" w:themeColor="text1"/>
        </w:rPr>
        <w:t xml:space="preserve"> specifies the z component, qZ, for the rotation of </w:t>
      </w:r>
      <w:r w:rsidRPr="00A52AB8">
        <w:rPr>
          <w:bCs/>
        </w:rPr>
        <w:t xml:space="preserve">the viewport region </w:t>
      </w:r>
      <w:r w:rsidRPr="00A52AB8">
        <w:rPr>
          <w:bCs/>
          <w:color w:val="000000" w:themeColor="text1"/>
        </w:rPr>
        <w:t xml:space="preserve">using the quaternion representation. </w:t>
      </w:r>
      <w:r w:rsidRPr="00A52AB8">
        <w:rPr>
          <w:rStyle w:val="fontstyle01"/>
          <w:rFonts w:ascii="Cambria" w:hAnsi="Cambria"/>
          <w:color w:val="000000" w:themeColor="text1"/>
          <w:sz w:val="22"/>
          <w:szCs w:val="22"/>
        </w:rPr>
        <w:t xml:space="preserve">The value of </w:t>
      </w:r>
      <w:r w:rsidRPr="00A52AB8">
        <w:rPr>
          <w:color w:val="000000" w:themeColor="text1"/>
        </w:rPr>
        <w:t>vp_rotation_qz</w:t>
      </w:r>
      <w:r w:rsidRPr="00A52AB8">
        <w:rPr>
          <w:bCs/>
          <w:color w:val="000000" w:themeColor="text1"/>
        </w:rPr>
        <w:t xml:space="preserve"> </w:t>
      </w:r>
      <w:r w:rsidRPr="00A52AB8">
        <w:rPr>
          <w:rStyle w:val="fontstyle01"/>
          <w:rFonts w:ascii="Cambria" w:hAnsi="Cambria"/>
          <w:color w:val="000000" w:themeColor="text1"/>
          <w:sz w:val="22"/>
          <w:szCs w:val="22"/>
        </w:rPr>
        <w:t xml:space="preserve">shall be in the range of </w:t>
      </w:r>
      <w:r w:rsidR="007C3902" w:rsidRPr="00A52AB8">
        <w:rPr>
          <w:rStyle w:val="fontstyle01"/>
          <w:rFonts w:ascii="Cambria" w:hAnsi="Cambria"/>
          <w:color w:val="000000" w:themeColor="text1"/>
          <w:sz w:val="22"/>
          <w:szCs w:val="22"/>
        </w:rPr>
        <w:t>0</w:t>
      </w:r>
      <w:r w:rsidR="00725C4B" w:rsidRPr="00A52AB8">
        <w:rPr>
          <w:rStyle w:val="fontstyle01"/>
          <w:rFonts w:ascii="Cambria" w:hAnsi="Cambria"/>
          <w:color w:val="000000" w:themeColor="text1"/>
          <w:sz w:val="22"/>
          <w:szCs w:val="22"/>
        </w:rPr>
        <w:t xml:space="preserve"> to </w:t>
      </w:r>
      <w:r w:rsidR="00021054" w:rsidRPr="00A52AB8">
        <w:rPr>
          <w:rStyle w:val="fontstyle01"/>
          <w:rFonts w:ascii="Cambria" w:hAnsi="Cambria"/>
          <w:color w:val="000000" w:themeColor="text1"/>
          <w:sz w:val="22"/>
          <w:szCs w:val="22"/>
        </w:rPr>
        <w:t>− 2</w:t>
      </w:r>
      <w:r w:rsidR="00021054" w:rsidRPr="00A52AB8">
        <w:rPr>
          <w:rStyle w:val="fontstyle01"/>
          <w:rFonts w:ascii="Cambria" w:hAnsi="Cambria"/>
          <w:color w:val="000000" w:themeColor="text1"/>
          <w:sz w:val="22"/>
          <w:szCs w:val="22"/>
          <w:vertAlign w:val="superscript"/>
        </w:rPr>
        <w:t>14</w:t>
      </w:r>
      <w:r w:rsidR="00021054" w:rsidRPr="00A52AB8">
        <w:rPr>
          <w:rStyle w:val="fontstyle01"/>
          <w:rFonts w:ascii="Cambria" w:hAnsi="Cambria"/>
          <w:color w:val="000000" w:themeColor="text1"/>
          <w:sz w:val="22"/>
          <w:szCs w:val="22"/>
        </w:rPr>
        <w:t xml:space="preserve"> to 2</w:t>
      </w:r>
      <w:r w:rsidR="00021054" w:rsidRPr="00A52AB8">
        <w:rPr>
          <w:rStyle w:val="fontstyle01"/>
          <w:rFonts w:ascii="Cambria" w:hAnsi="Cambria"/>
          <w:color w:val="000000" w:themeColor="text1"/>
          <w:sz w:val="22"/>
          <w:szCs w:val="22"/>
          <w:vertAlign w:val="superscript"/>
        </w:rPr>
        <w:t>14</w:t>
      </w:r>
      <w:r w:rsidRPr="00A52AB8">
        <w:rPr>
          <w:rStyle w:val="fontstyle01"/>
          <w:rFonts w:ascii="Cambria" w:hAnsi="Cambria"/>
          <w:color w:val="000000" w:themeColor="text1"/>
          <w:sz w:val="22"/>
          <w:szCs w:val="22"/>
        </w:rPr>
        <w:t xml:space="preserve">, inclusive. When </w:t>
      </w:r>
      <w:r w:rsidRPr="00A52AB8">
        <w:rPr>
          <w:color w:val="000000" w:themeColor="text1"/>
        </w:rPr>
        <w:t xml:space="preserve">vp_rotation_qz is not present, its value shall be inferred to be equal to </w:t>
      </w:r>
      <w:r w:rsidR="00021054" w:rsidRPr="00A52AB8">
        <w:rPr>
          <w:rStyle w:val="fontstyle01"/>
          <w:rFonts w:ascii="Cambria" w:hAnsi="Cambria"/>
          <w:color w:val="000000" w:themeColor="text1"/>
          <w:sz w:val="22"/>
          <w:szCs w:val="22"/>
        </w:rPr>
        <w:t>0</w:t>
      </w:r>
      <w:r w:rsidRPr="00A52AB8">
        <w:rPr>
          <w:color w:val="000000" w:themeColor="text1"/>
        </w:rPr>
        <w:t xml:space="preserve">. </w:t>
      </w:r>
      <w:r w:rsidRPr="00A52AB8">
        <w:rPr>
          <w:color w:val="000000" w:themeColor="text1"/>
          <w:lang w:eastAsia="ja-JP"/>
        </w:rPr>
        <w:t xml:space="preserve">The value of </w:t>
      </w:r>
      <w:r w:rsidRPr="00A52AB8">
        <w:rPr>
          <w:bCs/>
          <w:color w:val="000000" w:themeColor="text1"/>
        </w:rPr>
        <w:t xml:space="preserve">qZ </w:t>
      </w:r>
      <w:r w:rsidRPr="00A52AB8">
        <w:rPr>
          <w:color w:val="000000" w:themeColor="text1"/>
          <w:lang w:eastAsia="ja-JP"/>
        </w:rPr>
        <w:t>is computed as follows:</w:t>
      </w:r>
    </w:p>
    <w:p w14:paraId="616EC502" w14:textId="60158373" w:rsidR="00990F3A" w:rsidRPr="00A52AB8" w:rsidRDefault="0071161B" w:rsidP="00990F3A">
      <w:pPr>
        <w:rPr>
          <w:color w:val="000000" w:themeColor="text1"/>
        </w:rPr>
      </w:pPr>
      <w:r w:rsidRPr="00A52AB8">
        <w:rPr>
          <w:color w:val="000000" w:themeColor="text1"/>
          <w:lang w:eastAsia="ja-JP"/>
        </w:rPr>
        <w:tab/>
      </w:r>
      <w:r w:rsidRPr="00A52AB8">
        <w:rPr>
          <w:bCs/>
          <w:color w:val="000000" w:themeColor="text1"/>
        </w:rPr>
        <w:t>qZ</w:t>
      </w:r>
      <w:r w:rsidR="00D47707" w:rsidRPr="00A52AB8">
        <w:rPr>
          <w:bCs/>
          <w:color w:val="000000" w:themeColor="text1"/>
        </w:rPr>
        <w:t> </w:t>
      </w:r>
      <w:r w:rsidR="00D47707" w:rsidRPr="00A52AB8">
        <w:rPr>
          <w:color w:val="000000" w:themeColor="text1"/>
          <w:lang w:eastAsia="ja-JP"/>
        </w:rPr>
        <w:t>= </w:t>
      </w:r>
      <w:r w:rsidRPr="00A52AB8">
        <w:rPr>
          <w:bCs/>
          <w:color w:val="000000" w:themeColor="text1"/>
        </w:rPr>
        <w:t>vp_rotation_qz </w:t>
      </w:r>
      <w:r w:rsidR="00990F3A" w:rsidRPr="00A52AB8">
        <w:rPr>
          <w:rFonts w:cs="Symbol"/>
          <w:color w:val="000000" w:themeColor="text1"/>
        </w:rPr>
        <w:sym w:font="Symbol" w:char="F0B8"/>
      </w:r>
      <w:r w:rsidR="00990F3A" w:rsidRPr="00A52AB8">
        <w:rPr>
          <w:color w:val="000000" w:themeColor="text1"/>
          <w:lang w:eastAsia="ja-JP"/>
        </w:rPr>
        <w:t> </w:t>
      </w:r>
      <w:r w:rsidR="00990F3A" w:rsidRPr="00A52AB8">
        <w:rPr>
          <w:rStyle w:val="fontstyle01"/>
          <w:rFonts w:ascii="Cambria" w:hAnsi="Cambria"/>
          <w:color w:val="000000" w:themeColor="text1"/>
          <w:sz w:val="22"/>
          <w:szCs w:val="22"/>
        </w:rPr>
        <w:t>2</w:t>
      </w:r>
      <w:r w:rsidR="00990F3A" w:rsidRPr="00A52AB8">
        <w:rPr>
          <w:rStyle w:val="fontstyle01"/>
          <w:rFonts w:ascii="Cambria" w:hAnsi="Cambria"/>
          <w:color w:val="000000" w:themeColor="text1"/>
          <w:sz w:val="22"/>
          <w:szCs w:val="22"/>
          <w:vertAlign w:val="superscript"/>
        </w:rPr>
        <w:t>1</w:t>
      </w:r>
      <w:r w:rsidR="00021054" w:rsidRPr="00A52AB8">
        <w:rPr>
          <w:rStyle w:val="fontstyle01"/>
          <w:rFonts w:ascii="Cambria" w:hAnsi="Cambria"/>
          <w:color w:val="000000" w:themeColor="text1"/>
          <w:sz w:val="22"/>
          <w:szCs w:val="22"/>
          <w:vertAlign w:val="superscript"/>
        </w:rPr>
        <w:t>4</w:t>
      </w:r>
    </w:p>
    <w:p w14:paraId="05B674F9" w14:textId="77777777" w:rsidR="0071161B" w:rsidRPr="00A52AB8" w:rsidRDefault="0071161B" w:rsidP="0071161B">
      <w:r w:rsidRPr="00A52AB8">
        <w:t xml:space="preserve">The fourth component, </w:t>
      </w:r>
      <w:r w:rsidRPr="00A52AB8">
        <w:rPr>
          <w:bCs/>
          <w:color w:val="000000" w:themeColor="text1"/>
        </w:rPr>
        <w:t>qW,</w:t>
      </w:r>
      <w:r w:rsidRPr="00A52AB8">
        <w:t xml:space="preserve"> </w:t>
      </w:r>
      <w:r w:rsidRPr="00A52AB8">
        <w:rPr>
          <w:bCs/>
          <w:color w:val="000000" w:themeColor="text1"/>
        </w:rPr>
        <w:t>for the rotation of the current camera model using the quaternion representation</w:t>
      </w:r>
      <w:r w:rsidRPr="00A52AB8">
        <w:t xml:space="preserve"> is calculated as follows:</w:t>
      </w:r>
    </w:p>
    <w:p w14:paraId="43B22589" w14:textId="5D1058CF" w:rsidR="0071161B" w:rsidRPr="00A52AB8" w:rsidRDefault="0071161B" w:rsidP="0071161B">
      <w:pPr>
        <w:rPr>
          <w:bCs/>
        </w:rPr>
      </w:pPr>
      <w:r w:rsidRPr="00A52AB8">
        <w:tab/>
        <w:t>qW</w:t>
      </w:r>
      <w:r w:rsidR="00D47707" w:rsidRPr="00A52AB8">
        <w:t> = </w:t>
      </w:r>
      <w:r w:rsidRPr="00A52AB8">
        <w:t>Sqrt( 1 – ( </w:t>
      </w:r>
      <w:r w:rsidR="009807FA" w:rsidRPr="00A52AB8">
        <w:t>qX</w:t>
      </w:r>
      <w:r w:rsidR="009807FA" w:rsidRPr="00A52AB8">
        <w:rPr>
          <w:bCs/>
          <w:position w:val="6"/>
          <w:vertAlign w:val="superscript"/>
        </w:rPr>
        <w:t>2</w:t>
      </w:r>
      <w:r w:rsidR="009807FA" w:rsidRPr="00A52AB8">
        <w:rPr>
          <w:bCs/>
        </w:rPr>
        <w:t> + </w:t>
      </w:r>
      <w:r w:rsidR="009807FA" w:rsidRPr="00A52AB8">
        <w:t>qY</w:t>
      </w:r>
      <w:r w:rsidR="009807FA" w:rsidRPr="00A52AB8">
        <w:rPr>
          <w:bCs/>
          <w:position w:val="6"/>
          <w:vertAlign w:val="superscript"/>
        </w:rPr>
        <w:t>2</w:t>
      </w:r>
      <w:r w:rsidR="009807FA" w:rsidRPr="00A52AB8">
        <w:rPr>
          <w:bCs/>
        </w:rPr>
        <w:t> + </w:t>
      </w:r>
      <w:r w:rsidR="009807FA" w:rsidRPr="00A52AB8">
        <w:t>qZ</w:t>
      </w:r>
      <w:r w:rsidR="009807FA" w:rsidRPr="00A52AB8">
        <w:rPr>
          <w:bCs/>
          <w:position w:val="6"/>
          <w:vertAlign w:val="superscript"/>
        </w:rPr>
        <w:t>2</w:t>
      </w:r>
      <w:r w:rsidRPr="00A52AB8">
        <w:rPr>
          <w:bCs/>
        </w:rPr>
        <w:t> ) )</w:t>
      </w:r>
    </w:p>
    <w:p w14:paraId="2456D1A3" w14:textId="77777777" w:rsidR="0071161B" w:rsidRPr="00A52AB8" w:rsidRDefault="0071161B" w:rsidP="0071161B">
      <w:pPr>
        <w:pStyle w:val="Note1"/>
        <w:rPr>
          <w:rFonts w:ascii="Cambria" w:hAnsi="Cambria"/>
        </w:rPr>
      </w:pPr>
      <w:r w:rsidRPr="00A52AB8">
        <w:rPr>
          <w:rFonts w:ascii="Cambria" w:hAnsi="Cambria"/>
        </w:rPr>
        <w:t>NOTE – In the context of this document qW is always positive. If a negative qW is desired, one may signal all three syntax elements, vp_rotation_qx, vp_rotation_qy, and vp_rotation_qz, with an opposite sign, which is equivalent.</w:t>
      </w:r>
    </w:p>
    <w:p w14:paraId="31B51E07" w14:textId="3F4A3AE7" w:rsidR="0071161B" w:rsidRPr="00A52AB8" w:rsidRDefault="0071161B" w:rsidP="0071161B">
      <w:pPr>
        <w:rPr>
          <w:bCs/>
        </w:rPr>
      </w:pPr>
      <w:r w:rsidRPr="00A52AB8">
        <w:rPr>
          <w:bCs/>
        </w:rPr>
        <w:t xml:space="preserve">A unit quaternion can be represented as a rotation matrix </w:t>
      </w:r>
      <w:r w:rsidR="00605E55" w:rsidRPr="00A52AB8">
        <w:rPr>
          <w:bCs/>
        </w:rPr>
        <w:t>vpRotMatrix</w:t>
      </w:r>
      <w:r w:rsidRPr="00A52AB8">
        <w:rPr>
          <w:bCs/>
        </w:rPr>
        <w:t xml:space="preserve"> as follows:</w:t>
      </w:r>
    </w:p>
    <w:p w14:paraId="0C4DB4C8" w14:textId="440D74A3" w:rsidR="0071161B" w:rsidRPr="00A52AB8" w:rsidRDefault="009807FA" w:rsidP="0071161B">
      <w:pPr>
        <w:rPr>
          <w:color w:val="000000" w:themeColor="text1"/>
        </w:rPr>
      </w:pPr>
      <m:oMathPara>
        <m:oMath>
          <m:r>
            <m:rPr>
              <m:sty m:val="p"/>
            </m:rPr>
            <w:rPr>
              <w:rFonts w:ascii="Cambria Math" w:hAnsi="Cambria Math"/>
              <w:color w:val="000000" w:themeColor="text1"/>
            </w:rPr>
            <m:t>vpRotMatrix = </m:t>
          </m:r>
          <m:d>
            <m:dPr>
              <m:begChr m:val="["/>
              <m:endChr m:val="]"/>
              <m:ctrlPr>
                <w:rPr>
                  <w:rFonts w:ascii="Cambria Math" w:hAnsi="Cambria Math"/>
                  <w:color w:val="000000" w:themeColor="text1"/>
                </w:rPr>
              </m:ctrlPr>
            </m:dPr>
            <m:e>
              <m:m>
                <m:mPr>
                  <m:mcs>
                    <m:mc>
                      <m:mcPr>
                        <m:count m:val="4"/>
                        <m:mcJc m:val="center"/>
                      </m:mcPr>
                    </m:mc>
                  </m:mcs>
                  <m:ctrlPr>
                    <w:rPr>
                      <w:rFonts w:ascii="Cambria Math" w:hAnsi="Cambria Math"/>
                      <w:color w:val="000000" w:themeColor="text1"/>
                    </w:rPr>
                  </m:ctrlPr>
                </m:mPr>
                <m:mr>
                  <m:e>
                    <m:r>
                      <m:rPr>
                        <m:sty m:val="p"/>
                      </m:rPr>
                      <w:rPr>
                        <w:rFonts w:ascii="Cambria Math" w:hAnsi="Cambria Math"/>
                        <w:color w:val="000000" w:themeColor="text1"/>
                      </w:rPr>
                      <m:t>1-2*(</m:t>
                    </m:r>
                    <m:sSup>
                      <m:sSupPr>
                        <m:ctrlPr>
                          <w:rPr>
                            <w:rFonts w:ascii="Cambria Math" w:hAnsi="Cambria Math"/>
                            <w:color w:val="000000" w:themeColor="text1"/>
                          </w:rPr>
                        </m:ctrlPr>
                      </m:sSupPr>
                      <m:e>
                        <m:r>
                          <m:rPr>
                            <m:sty m:val="p"/>
                          </m:rPr>
                          <w:rPr>
                            <w:rFonts w:ascii="Cambria Math" w:hAnsi="Cambria Math"/>
                            <w:color w:val="000000" w:themeColor="text1"/>
                          </w:rPr>
                          <m:t>qY</m:t>
                        </m:r>
                      </m:e>
                      <m:sup>
                        <m:r>
                          <m:rPr>
                            <m:sty m:val="p"/>
                          </m:rPr>
                          <w:rPr>
                            <w:rFonts w:ascii="Cambria Math" w:hAnsi="Cambria Math"/>
                            <w:color w:val="000000" w:themeColor="text1"/>
                          </w:rPr>
                          <m:t>2</m:t>
                        </m:r>
                      </m:sup>
                    </m:sSup>
                    <m:r>
                      <m:rPr>
                        <m:sty m:val="p"/>
                      </m:rPr>
                      <w:rPr>
                        <w:rFonts w:ascii="Cambria Math" w:hAnsi="Cambria Math"/>
                        <w:color w:val="000000" w:themeColor="text1"/>
                      </w:rPr>
                      <m:t>+</m:t>
                    </m:r>
                    <m:sSup>
                      <m:sSupPr>
                        <m:ctrlPr>
                          <w:rPr>
                            <w:rFonts w:ascii="Cambria Math" w:hAnsi="Cambria Math"/>
                            <w:color w:val="000000" w:themeColor="text1"/>
                          </w:rPr>
                        </m:ctrlPr>
                      </m:sSupPr>
                      <m:e>
                        <m:r>
                          <m:rPr>
                            <m:sty m:val="p"/>
                          </m:rPr>
                          <w:rPr>
                            <w:rFonts w:ascii="Cambria Math" w:hAnsi="Cambria Math"/>
                            <w:color w:val="000000" w:themeColor="text1"/>
                          </w:rPr>
                          <m:t>qZ</m:t>
                        </m:r>
                      </m:e>
                      <m:sup>
                        <m:r>
                          <m:rPr>
                            <m:sty m:val="p"/>
                          </m:rPr>
                          <w:rPr>
                            <w:rFonts w:ascii="Cambria Math" w:hAnsi="Cambria Math"/>
                            <w:color w:val="000000" w:themeColor="text1"/>
                          </w:rPr>
                          <m:t>2</m:t>
                        </m:r>
                      </m:sup>
                    </m:sSup>
                    <m:r>
                      <m:rPr>
                        <m:sty m:val="p"/>
                      </m:rPr>
                      <w:rPr>
                        <w:rFonts w:ascii="Cambria Math" w:hAnsi="Cambria Math"/>
                        <w:color w:val="000000" w:themeColor="text1"/>
                      </w:rPr>
                      <m:t>)</m:t>
                    </m:r>
                  </m:e>
                  <m:e>
                    <m:r>
                      <m:rPr>
                        <m:sty m:val="p"/>
                      </m:rPr>
                      <w:rPr>
                        <w:rFonts w:ascii="Cambria Math" w:hAnsi="Cambria Math"/>
                        <w:color w:val="000000" w:themeColor="text1"/>
                      </w:rPr>
                      <m:t>2*(qX*qY-qZ*qW)</m:t>
                    </m:r>
                  </m:e>
                  <m:e>
                    <m:r>
                      <m:rPr>
                        <m:sty m:val="p"/>
                      </m:rPr>
                      <w:rPr>
                        <w:rFonts w:ascii="Cambria Math" w:hAnsi="Cambria Math"/>
                        <w:color w:val="000000" w:themeColor="text1"/>
                      </w:rPr>
                      <m:t>2*(qX*qZ+qY*qW)</m:t>
                    </m:r>
                  </m:e>
                  <m:e>
                    <m:r>
                      <m:rPr>
                        <m:sty m:val="p"/>
                      </m:rPr>
                      <w:rPr>
                        <w:rFonts w:ascii="Cambria Math" w:hAnsi="Cambria Math"/>
                        <w:color w:val="000000" w:themeColor="text1"/>
                      </w:rPr>
                      <m:t>0</m:t>
                    </m:r>
                    <m:ctrlPr>
                      <w:rPr>
                        <w:rFonts w:ascii="Cambria Math" w:eastAsia="Times New Roman" w:hAnsi="Cambria Math"/>
                        <w:color w:val="000000" w:themeColor="text1"/>
                      </w:rPr>
                    </m:ctrlPr>
                  </m:e>
                </m:mr>
                <m:mr>
                  <m:e>
                    <m:r>
                      <m:rPr>
                        <m:sty m:val="p"/>
                      </m:rPr>
                      <w:rPr>
                        <w:rFonts w:ascii="Cambria Math" w:hAnsi="Cambria Math"/>
                        <w:color w:val="000000" w:themeColor="text1"/>
                      </w:rPr>
                      <m:t>2*(qX*qY+qZ*qW)</m:t>
                    </m:r>
                  </m:e>
                  <m:e>
                    <m:r>
                      <m:rPr>
                        <m:sty m:val="p"/>
                      </m:rPr>
                      <w:rPr>
                        <w:rFonts w:ascii="Cambria Math" w:hAnsi="Cambria Math"/>
                        <w:color w:val="000000" w:themeColor="text1"/>
                      </w:rPr>
                      <m:t>1-2*(</m:t>
                    </m:r>
                    <m:sSup>
                      <m:sSupPr>
                        <m:ctrlPr>
                          <w:rPr>
                            <w:rFonts w:ascii="Cambria Math" w:hAnsi="Cambria Math"/>
                            <w:color w:val="000000" w:themeColor="text1"/>
                          </w:rPr>
                        </m:ctrlPr>
                      </m:sSupPr>
                      <m:e>
                        <m:r>
                          <m:rPr>
                            <m:sty m:val="p"/>
                          </m:rPr>
                          <w:rPr>
                            <w:rFonts w:ascii="Cambria Math" w:hAnsi="Cambria Math"/>
                            <w:color w:val="000000" w:themeColor="text1"/>
                          </w:rPr>
                          <m:t>qX</m:t>
                        </m:r>
                      </m:e>
                      <m:sup>
                        <m:r>
                          <m:rPr>
                            <m:sty m:val="p"/>
                          </m:rPr>
                          <w:rPr>
                            <w:rFonts w:ascii="Cambria Math" w:hAnsi="Cambria Math"/>
                            <w:color w:val="000000" w:themeColor="text1"/>
                          </w:rPr>
                          <m:t>2</m:t>
                        </m:r>
                      </m:sup>
                    </m:sSup>
                    <m:r>
                      <m:rPr>
                        <m:sty m:val="p"/>
                      </m:rPr>
                      <w:rPr>
                        <w:rFonts w:ascii="Cambria Math" w:hAnsi="Cambria Math"/>
                        <w:color w:val="000000" w:themeColor="text1"/>
                      </w:rPr>
                      <m:t>+</m:t>
                    </m:r>
                    <m:sSup>
                      <m:sSupPr>
                        <m:ctrlPr>
                          <w:rPr>
                            <w:rFonts w:ascii="Cambria Math" w:hAnsi="Cambria Math"/>
                            <w:color w:val="000000" w:themeColor="text1"/>
                          </w:rPr>
                        </m:ctrlPr>
                      </m:sSupPr>
                      <m:e>
                        <m:r>
                          <m:rPr>
                            <m:sty m:val="p"/>
                          </m:rPr>
                          <w:rPr>
                            <w:rFonts w:ascii="Cambria Math" w:hAnsi="Cambria Math"/>
                            <w:color w:val="000000" w:themeColor="text1"/>
                          </w:rPr>
                          <m:t>qZ</m:t>
                        </m:r>
                      </m:e>
                      <m:sup>
                        <m:r>
                          <m:rPr>
                            <m:sty m:val="p"/>
                          </m:rPr>
                          <w:rPr>
                            <w:rFonts w:ascii="Cambria Math" w:hAnsi="Cambria Math"/>
                            <w:color w:val="000000" w:themeColor="text1"/>
                          </w:rPr>
                          <m:t>2</m:t>
                        </m:r>
                      </m:sup>
                    </m:sSup>
                    <m:r>
                      <m:rPr>
                        <m:sty m:val="p"/>
                      </m:rPr>
                      <w:rPr>
                        <w:rFonts w:ascii="Cambria Math" w:hAnsi="Cambria Math"/>
                        <w:color w:val="000000" w:themeColor="text1"/>
                      </w:rPr>
                      <m:t>)</m:t>
                    </m:r>
                  </m:e>
                  <m:e>
                    <m:r>
                      <m:rPr>
                        <m:sty m:val="p"/>
                      </m:rPr>
                      <w:rPr>
                        <w:rFonts w:ascii="Cambria Math" w:hAnsi="Cambria Math"/>
                        <w:color w:val="000000" w:themeColor="text1"/>
                      </w:rPr>
                      <m:t>2*(qY*qZ-qX*qW)</m:t>
                    </m:r>
                  </m:e>
                  <m:e>
                    <m:r>
                      <m:rPr>
                        <m:sty m:val="p"/>
                      </m:rPr>
                      <w:rPr>
                        <w:rFonts w:ascii="Cambria Math" w:hAnsi="Cambria Math"/>
                        <w:color w:val="000000" w:themeColor="text1"/>
                      </w:rPr>
                      <m:t>0</m:t>
                    </m:r>
                    <m:ctrlPr>
                      <w:rPr>
                        <w:rFonts w:ascii="Cambria Math" w:eastAsia="Times New Roman" w:hAnsi="Cambria Math"/>
                        <w:color w:val="000000" w:themeColor="text1"/>
                      </w:rPr>
                    </m:ctrlPr>
                  </m:e>
                </m:mr>
                <m:mr>
                  <m:e>
                    <m:r>
                      <m:rPr>
                        <m:sty m:val="p"/>
                      </m:rPr>
                      <w:rPr>
                        <w:rFonts w:ascii="Cambria Math" w:hAnsi="Cambria Math"/>
                        <w:color w:val="000000" w:themeColor="text1"/>
                      </w:rPr>
                      <m:t>2*(qX*qZ-qY*qW)</m:t>
                    </m:r>
                  </m:e>
                  <m:e>
                    <m:r>
                      <m:rPr>
                        <m:sty m:val="p"/>
                      </m:rPr>
                      <w:rPr>
                        <w:rFonts w:ascii="Cambria Math" w:hAnsi="Cambria Math"/>
                        <w:color w:val="000000" w:themeColor="text1"/>
                      </w:rPr>
                      <m:t>2*(qY*qZ+qX*qW)</m:t>
                    </m:r>
                  </m:e>
                  <m:e>
                    <m:r>
                      <m:rPr>
                        <m:sty m:val="p"/>
                      </m:rPr>
                      <w:rPr>
                        <w:rFonts w:ascii="Cambria Math" w:hAnsi="Cambria Math"/>
                        <w:color w:val="000000" w:themeColor="text1"/>
                      </w:rPr>
                      <m:t>1-2*(</m:t>
                    </m:r>
                    <m:sSup>
                      <m:sSupPr>
                        <m:ctrlPr>
                          <w:rPr>
                            <w:rFonts w:ascii="Cambria Math" w:hAnsi="Cambria Math"/>
                            <w:color w:val="000000" w:themeColor="text1"/>
                          </w:rPr>
                        </m:ctrlPr>
                      </m:sSupPr>
                      <m:e>
                        <m:r>
                          <m:rPr>
                            <m:sty m:val="p"/>
                          </m:rPr>
                          <w:rPr>
                            <w:rFonts w:ascii="Cambria Math" w:hAnsi="Cambria Math"/>
                            <w:color w:val="000000" w:themeColor="text1"/>
                          </w:rPr>
                          <m:t>qX</m:t>
                        </m:r>
                      </m:e>
                      <m:sup>
                        <m:r>
                          <m:rPr>
                            <m:sty m:val="p"/>
                          </m:rPr>
                          <w:rPr>
                            <w:rFonts w:ascii="Cambria Math" w:hAnsi="Cambria Math"/>
                            <w:color w:val="000000" w:themeColor="text1"/>
                          </w:rPr>
                          <m:t>2</m:t>
                        </m:r>
                      </m:sup>
                    </m:sSup>
                    <m:r>
                      <m:rPr>
                        <m:sty m:val="p"/>
                      </m:rPr>
                      <w:rPr>
                        <w:rFonts w:ascii="Cambria Math" w:hAnsi="Cambria Math"/>
                        <w:color w:val="000000" w:themeColor="text1"/>
                      </w:rPr>
                      <m:t>+</m:t>
                    </m:r>
                    <m:sSup>
                      <m:sSupPr>
                        <m:ctrlPr>
                          <w:rPr>
                            <w:rFonts w:ascii="Cambria Math" w:hAnsi="Cambria Math"/>
                            <w:color w:val="000000" w:themeColor="text1"/>
                          </w:rPr>
                        </m:ctrlPr>
                      </m:sSupPr>
                      <m:e>
                        <m:r>
                          <m:rPr>
                            <m:sty m:val="p"/>
                          </m:rPr>
                          <w:rPr>
                            <w:rFonts w:ascii="Cambria Math" w:hAnsi="Cambria Math"/>
                            <w:color w:val="000000" w:themeColor="text1"/>
                          </w:rPr>
                          <m:t>qY</m:t>
                        </m:r>
                      </m:e>
                      <m:sup>
                        <m:r>
                          <m:rPr>
                            <m:sty m:val="p"/>
                          </m:rPr>
                          <w:rPr>
                            <w:rFonts w:ascii="Cambria Math" w:hAnsi="Cambria Math"/>
                            <w:color w:val="000000" w:themeColor="text1"/>
                          </w:rPr>
                          <m:t>2</m:t>
                        </m:r>
                      </m:sup>
                    </m:sSup>
                    <m:r>
                      <m:rPr>
                        <m:sty m:val="p"/>
                      </m:rPr>
                      <w:rPr>
                        <w:rFonts w:ascii="Cambria Math" w:hAnsi="Cambria Math"/>
                        <w:color w:val="000000" w:themeColor="text1"/>
                      </w:rPr>
                      <m:t>)</m:t>
                    </m:r>
                    <m:ctrlPr>
                      <w:rPr>
                        <w:rFonts w:ascii="Cambria Math" w:eastAsia="Times New Roman" w:hAnsi="Cambria Math"/>
                        <w:color w:val="000000" w:themeColor="text1"/>
                      </w:rPr>
                    </m:ctrlPr>
                  </m:e>
                  <m:e>
                    <m:r>
                      <m:rPr>
                        <m:sty m:val="p"/>
                      </m:rPr>
                      <w:rPr>
                        <w:rFonts w:ascii="Cambria Math" w:eastAsia="Times New Roman" w:hAnsi="Cambria Math" w:cs="Cambria Math"/>
                        <w:color w:val="000000" w:themeColor="text1"/>
                      </w:rPr>
                      <m:t>0</m:t>
                    </m:r>
                    <m:ctrlPr>
                      <w:rPr>
                        <w:rFonts w:ascii="Cambria Math" w:eastAsia="Times New Roman" w:hAnsi="Cambria Math"/>
                        <w:color w:val="000000" w:themeColor="text1"/>
                      </w:rPr>
                    </m:ctrlPr>
                  </m:e>
                </m:mr>
                <m:mr>
                  <m:e>
                    <m:r>
                      <m:rPr>
                        <m:sty m:val="p"/>
                      </m:rPr>
                      <w:rPr>
                        <w:rFonts w:ascii="Cambria Math" w:eastAsia="Times New Roman" w:hAnsi="Cambria Math" w:cs="Cambria Math"/>
                        <w:color w:val="000000" w:themeColor="text1"/>
                      </w:rPr>
                      <m:t>0</m:t>
                    </m:r>
                    <m:ctrlPr>
                      <w:rPr>
                        <w:rFonts w:ascii="Cambria Math" w:eastAsia="Times New Roman" w:hAnsi="Cambria Math"/>
                        <w:color w:val="000000" w:themeColor="text1"/>
                      </w:rPr>
                    </m:ctrlPr>
                  </m:e>
                  <m:e>
                    <m:r>
                      <m:rPr>
                        <m:sty m:val="p"/>
                      </m:rPr>
                      <w:rPr>
                        <w:rFonts w:ascii="Cambria Math" w:eastAsia="Times New Roman" w:hAnsi="Cambria Math" w:cs="Cambria Math"/>
                        <w:color w:val="000000" w:themeColor="text1"/>
                      </w:rPr>
                      <m:t>0</m:t>
                    </m:r>
                    <m:ctrlPr>
                      <w:rPr>
                        <w:rFonts w:ascii="Cambria Math" w:eastAsia="Times New Roman" w:hAnsi="Cambria Math"/>
                        <w:color w:val="000000" w:themeColor="text1"/>
                      </w:rPr>
                    </m:ctrlPr>
                  </m:e>
                  <m:e>
                    <m:r>
                      <m:rPr>
                        <m:sty m:val="p"/>
                      </m:rPr>
                      <w:rPr>
                        <w:rFonts w:ascii="Cambria Math" w:eastAsia="Times New Roman" w:hAnsi="Cambria Math" w:cs="Cambria Math"/>
                        <w:color w:val="000000" w:themeColor="text1"/>
                      </w:rPr>
                      <m:t>0</m:t>
                    </m:r>
                    <m:ctrlPr>
                      <w:rPr>
                        <w:rFonts w:ascii="Cambria Math" w:eastAsia="Times New Roman" w:hAnsi="Cambria Math"/>
                        <w:color w:val="000000" w:themeColor="text1"/>
                      </w:rPr>
                    </m:ctrlPr>
                  </m:e>
                  <m:e>
                    <m:r>
                      <m:rPr>
                        <m:sty m:val="p"/>
                      </m:rPr>
                      <w:rPr>
                        <w:rFonts w:ascii="Cambria Math" w:eastAsia="Times New Roman" w:hAnsi="Cambria Math" w:cs="Cambria Math"/>
                        <w:color w:val="000000" w:themeColor="text1"/>
                      </w:rPr>
                      <m:t>1</m:t>
                    </m:r>
                  </m:e>
                </m:mr>
              </m:m>
            </m:e>
          </m:d>
        </m:oMath>
      </m:oMathPara>
    </w:p>
    <w:p w14:paraId="1C1D2603" w14:textId="6202FE9C" w:rsidR="0071161B" w:rsidRPr="00A52AB8" w:rsidRDefault="0071161B" w:rsidP="0071161B">
      <w:pPr>
        <w:rPr>
          <w:color w:val="000000" w:themeColor="text1"/>
        </w:rPr>
      </w:pPr>
      <w:r w:rsidRPr="00A52AB8">
        <w:rPr>
          <w:color w:val="000000" w:themeColor="text1"/>
        </w:rPr>
        <w:t xml:space="preserve">It is a requirement of bitstream conformance that </w:t>
      </w:r>
      <w:r w:rsidRPr="00A52AB8">
        <w:t>qX</w:t>
      </w:r>
      <w:r w:rsidRPr="00A52AB8">
        <w:rPr>
          <w:bCs/>
          <w:position w:val="6"/>
          <w:vertAlign w:val="superscript"/>
        </w:rPr>
        <w:t>2</w:t>
      </w:r>
      <w:r w:rsidRPr="00A52AB8">
        <w:rPr>
          <w:bCs/>
        </w:rPr>
        <w:t> + </w:t>
      </w:r>
      <w:r w:rsidRPr="00A52AB8">
        <w:t>qY</w:t>
      </w:r>
      <w:r w:rsidRPr="00A52AB8">
        <w:rPr>
          <w:bCs/>
          <w:position w:val="6"/>
          <w:vertAlign w:val="superscript"/>
        </w:rPr>
        <w:t>2</w:t>
      </w:r>
      <w:r w:rsidRPr="00A52AB8">
        <w:rPr>
          <w:bCs/>
        </w:rPr>
        <w:t> + </w:t>
      </w:r>
      <w:r w:rsidRPr="00A52AB8">
        <w:t>qZ</w:t>
      </w:r>
      <w:r w:rsidRPr="00A52AB8">
        <w:rPr>
          <w:bCs/>
          <w:position w:val="6"/>
          <w:vertAlign w:val="superscript"/>
        </w:rPr>
        <w:t>2</w:t>
      </w:r>
      <w:r w:rsidRPr="00A52AB8">
        <w:rPr>
          <w:bCs/>
        </w:rPr>
        <w:t> </w:t>
      </w:r>
      <w:r w:rsidR="00A234FD" w:rsidRPr="00A52AB8">
        <w:rPr>
          <w:bCs/>
        </w:rPr>
        <w:t>&lt;=</w:t>
      </w:r>
      <w:r w:rsidR="00D47707" w:rsidRPr="00A52AB8">
        <w:rPr>
          <w:bCs/>
        </w:rPr>
        <w:t> </w:t>
      </w:r>
      <w:r w:rsidRPr="00A52AB8">
        <w:rPr>
          <w:bCs/>
        </w:rPr>
        <w:t>1.</w:t>
      </w:r>
    </w:p>
    <w:p w14:paraId="7FBBCE51" w14:textId="77777777" w:rsidR="0050235C" w:rsidRPr="00A52AB8" w:rsidRDefault="007B02BE" w:rsidP="007656E5">
      <w:pPr>
        <w:rPr>
          <w:b/>
        </w:rPr>
      </w:pPr>
      <w:r w:rsidRPr="00A52AB8">
        <w:rPr>
          <w:b/>
        </w:rPr>
        <w:t xml:space="preserve">vp_center_view_flag </w:t>
      </w:r>
      <w:r w:rsidRPr="00A52AB8">
        <w:rPr>
          <w:bCs/>
        </w:rPr>
        <w:t>equal to 1 indicates that the viewport position signal</w:t>
      </w:r>
      <w:r w:rsidR="00985B55" w:rsidRPr="00A52AB8">
        <w:rPr>
          <w:bCs/>
        </w:rPr>
        <w:t>l</w:t>
      </w:r>
      <w:r w:rsidRPr="00A52AB8">
        <w:rPr>
          <w:bCs/>
        </w:rPr>
        <w:t>ed correspond to the center of the viewport. vp_center_view_flag equal to 0 indicates that the viewport position signa</w:t>
      </w:r>
      <w:r w:rsidR="00985B55" w:rsidRPr="00A52AB8">
        <w:rPr>
          <w:bCs/>
        </w:rPr>
        <w:t>l</w:t>
      </w:r>
      <w:r w:rsidRPr="00A52AB8">
        <w:rPr>
          <w:bCs/>
        </w:rPr>
        <w:t>led correspond to one of two stereo positions of the viewport.</w:t>
      </w:r>
    </w:p>
    <w:p w14:paraId="651A68AA" w14:textId="7CBD2831" w:rsidR="007B02BE" w:rsidRPr="00A52AB8" w:rsidRDefault="007B02BE" w:rsidP="007656E5">
      <w:pPr>
        <w:rPr>
          <w:bCs/>
        </w:rPr>
      </w:pPr>
      <w:r w:rsidRPr="00A52AB8">
        <w:rPr>
          <w:b/>
        </w:rPr>
        <w:t xml:space="preserve">vp_left_view_flag </w:t>
      </w:r>
      <w:r w:rsidRPr="00A52AB8">
        <w:rPr>
          <w:bCs/>
        </w:rPr>
        <w:t>equal to 1 indicates that the viewport parameters signal</w:t>
      </w:r>
      <w:r w:rsidR="00985B55" w:rsidRPr="00A52AB8">
        <w:rPr>
          <w:bCs/>
        </w:rPr>
        <w:t>l</w:t>
      </w:r>
      <w:r w:rsidRPr="00A52AB8">
        <w:rPr>
          <w:bCs/>
        </w:rPr>
        <w:t>ed correspond to the left stereo position of the viewport. vp_left_view_flag equal to 0 indicates that the viewport position signa</w:t>
      </w:r>
      <w:r w:rsidR="00985B55" w:rsidRPr="00A52AB8">
        <w:rPr>
          <w:bCs/>
        </w:rPr>
        <w:t>l</w:t>
      </w:r>
      <w:r w:rsidRPr="00A52AB8">
        <w:rPr>
          <w:bCs/>
        </w:rPr>
        <w:t>led correspond to the right stereo positions of the viewport.</w:t>
      </w:r>
    </w:p>
    <w:p w14:paraId="412E3BBE" w14:textId="77777777" w:rsidR="008673E8" w:rsidRPr="00A52AB8" w:rsidRDefault="008673E8" w:rsidP="008673E8">
      <w:pPr>
        <w:pStyle w:val="a3"/>
        <w:numPr>
          <w:ilvl w:val="2"/>
          <w:numId w:val="14"/>
        </w:numPr>
        <w:tabs>
          <w:tab w:val="clear" w:pos="403"/>
        </w:tabs>
      </w:pPr>
      <w:bookmarkStart w:id="5979" w:name="_Toc52181748"/>
      <w:r w:rsidRPr="00A52AB8">
        <w:t>Decoded Atlas Information Hash SEI message semantics</w:t>
      </w:r>
      <w:bookmarkEnd w:id="5979"/>
    </w:p>
    <w:p w14:paraId="25B6B6C6" w14:textId="3078EF29" w:rsidR="00BC5BA9" w:rsidRPr="00A52AB8" w:rsidRDefault="00BC5BA9" w:rsidP="00EE3D19">
      <w:pPr>
        <w:pStyle w:val="a3"/>
        <w:numPr>
          <w:ilvl w:val="3"/>
          <w:numId w:val="14"/>
        </w:numPr>
        <w:tabs>
          <w:tab w:val="clear" w:pos="403"/>
        </w:tabs>
        <w:outlineLvl w:val="3"/>
      </w:pPr>
      <w:bookmarkStart w:id="5980" w:name="_Ref49348323"/>
      <w:bookmarkStart w:id="5981" w:name="_Toc52181749"/>
      <w:r w:rsidRPr="00A52AB8">
        <w:t>General</w:t>
      </w:r>
      <w:bookmarkEnd w:id="5980"/>
      <w:bookmarkEnd w:id="5981"/>
    </w:p>
    <w:p w14:paraId="6D8EA018" w14:textId="1E6E806B" w:rsidR="00716DE2" w:rsidRPr="00A52AB8" w:rsidRDefault="00716DE2" w:rsidP="007656E5">
      <w:r w:rsidRPr="00A52AB8">
        <w:t>This SEI message defines hash values for decoded atlas information</w:t>
      </w:r>
      <w:r w:rsidR="00157AD5" w:rsidRPr="00A52AB8">
        <w:t xml:space="preserve"> that </w:t>
      </w:r>
      <w:r w:rsidR="007461E3" w:rsidRPr="00A52AB8">
        <w:t>are associated with</w:t>
      </w:r>
      <w:r w:rsidR="00157AD5" w:rsidRPr="00A52AB8">
        <w:t xml:space="preserve"> the current atlas SeiAtlasID</w:t>
      </w:r>
      <w:r w:rsidRPr="00A52AB8">
        <w:t xml:space="preserve">. </w:t>
      </w:r>
      <w:r w:rsidR="00EF60A7" w:rsidRPr="00A52AB8">
        <w:t>Prior to computing the hash, the decoded atlas information and corresponding derived data, such as the block</w:t>
      </w:r>
      <w:r w:rsidR="0058306B" w:rsidRPr="00A52AB8">
        <w:t xml:space="preserve"> to patch information</w:t>
      </w:r>
      <w:r w:rsidR="00EF60A7" w:rsidRPr="00A52AB8">
        <w:t xml:space="preserve">, are arranged into strings of bytes as defined in </w:t>
      </w:r>
      <w:r w:rsidR="00406255" w:rsidRPr="00496A4D">
        <w:fldChar w:fldCharType="begin"/>
      </w:r>
      <w:r w:rsidR="00406255" w:rsidRPr="00A52AB8">
        <w:instrText xml:space="preserve"> REF _Ref44510778 \r \h </w:instrText>
      </w:r>
      <w:r w:rsidR="00CA5401" w:rsidRPr="00A52AB8">
        <w:instrText xml:space="preserve"> \* MERGEFORMAT </w:instrText>
      </w:r>
      <w:r w:rsidR="00406255" w:rsidRPr="00496A4D">
        <w:fldChar w:fldCharType="separate"/>
      </w:r>
      <w:r w:rsidR="00507A67">
        <w:t>F.3.16.2</w:t>
      </w:r>
      <w:r w:rsidR="00406255" w:rsidRPr="00496A4D">
        <w:fldChar w:fldCharType="end"/>
      </w:r>
      <w:r w:rsidR="00EF60A7" w:rsidRPr="00A52AB8">
        <w:t xml:space="preserve">, and the hash values are calculated as specified in </w:t>
      </w:r>
      <w:r w:rsidR="00406255" w:rsidRPr="00A52AB8">
        <w:t xml:space="preserve">the </w:t>
      </w:r>
      <w:r w:rsidR="00842EEB" w:rsidRPr="00A52AB8">
        <w:t>semantics of the corresponding syntax elements</w:t>
      </w:r>
      <w:r w:rsidR="00EF60A7" w:rsidRPr="00A52AB8">
        <w:t>.</w:t>
      </w:r>
    </w:p>
    <w:p w14:paraId="13A0B494" w14:textId="438BA2D5" w:rsidR="00716DE2" w:rsidRPr="00A52AB8" w:rsidRDefault="00716DE2" w:rsidP="007656E5">
      <w:r w:rsidRPr="00A52AB8">
        <w:t>The persistence scope for this SEI message is the remainder of the bitstream or until a new decoded atlas in</w:t>
      </w:r>
      <w:r w:rsidR="00C8087B" w:rsidRPr="00A52AB8">
        <w:t>f</w:t>
      </w:r>
      <w:r w:rsidRPr="00A52AB8">
        <w:t>ormation hash SEI message is encountered. Only the corresponding parameters specified in the SEI message shall be updated. Previously defined parameters from an earlier SEI message shall persist if not modified</w:t>
      </w:r>
      <w:r w:rsidR="0058306B" w:rsidRPr="00A52AB8">
        <w:t>.</w:t>
      </w:r>
    </w:p>
    <w:p w14:paraId="51906C68" w14:textId="77777777" w:rsidR="0050235C" w:rsidRPr="00A52AB8" w:rsidRDefault="008673E8" w:rsidP="007656E5">
      <w:r w:rsidRPr="00A52AB8">
        <w:rPr>
          <w:b/>
        </w:rPr>
        <w:t>daih_cancel_flag</w:t>
      </w:r>
      <w:r w:rsidRPr="00A52AB8">
        <w:t xml:space="preserve"> equal to 1 indicates that the SEI message cancels the persistence of any previous decoded atlas information hash SEI message in coding order that applies to the atlas. daih_cancel_flag equal to 0 indicates that decoded atlas information hash follows.</w:t>
      </w:r>
    </w:p>
    <w:p w14:paraId="7FAEDC61" w14:textId="62E6F6A1" w:rsidR="008673E8" w:rsidRPr="00A52AB8" w:rsidRDefault="008673E8" w:rsidP="007656E5">
      <w:r w:rsidRPr="00A52AB8">
        <w:rPr>
          <w:b/>
        </w:rPr>
        <w:t>daih_persistence_flag</w:t>
      </w:r>
      <w:r w:rsidRPr="00A52AB8">
        <w:t xml:space="preserve"> specifies the persistence of the decoded atlas information hash SEI message. da</w:t>
      </w:r>
      <w:r w:rsidR="00157D08" w:rsidRPr="00A52AB8">
        <w:t>i</w:t>
      </w:r>
      <w:r w:rsidRPr="00A52AB8">
        <w:t>h_persistence_flag equal to 0 specifies that the decoded atlas information hash SEI message applies to the current decoded access unit only.</w:t>
      </w:r>
    </w:p>
    <w:p w14:paraId="72497656" w14:textId="77777777" w:rsidR="00157D08" w:rsidRPr="00A52AB8" w:rsidRDefault="00157D08">
      <w:pPr>
        <w:rPr>
          <w:bCs/>
        </w:rPr>
      </w:pPr>
      <w:r w:rsidRPr="00A52AB8">
        <w:rPr>
          <w:bCs/>
        </w:rPr>
        <w:t xml:space="preserve">Let aFrmA be the current atlas frame. </w:t>
      </w:r>
      <w:r w:rsidRPr="00A52AB8">
        <w:t>daih_persistence_flag</w:t>
      </w:r>
      <w:r w:rsidRPr="00A52AB8">
        <w:rPr>
          <w:bCs/>
        </w:rPr>
        <w:t xml:space="preserve"> equal to 1 specifies that the decoded atlas information hash SEI message persists for the current layer in output order until any of the following conditions are true:</w:t>
      </w:r>
    </w:p>
    <w:p w14:paraId="074DC040" w14:textId="77777777" w:rsidR="00157D08" w:rsidRPr="00A52AB8" w:rsidRDefault="00157D0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new CAS begins.</w:t>
      </w:r>
    </w:p>
    <w:p w14:paraId="4CD5063B" w14:textId="77777777" w:rsidR="00157D08" w:rsidRPr="00A52AB8" w:rsidRDefault="00157D0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The bitstream ends.</w:t>
      </w:r>
    </w:p>
    <w:p w14:paraId="16DBCEF8" w14:textId="4B9FFA45" w:rsidR="00954795" w:rsidRPr="00A52AB8" w:rsidRDefault="0095479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An atlas frame aFrmB in the current layer in a coded atlas access unit containing a decoded atlas information hash SEI message, with either an daih_cancel_flag equal to 1 or the same value of daih_persistence_flag, applicable to the current layer is output for which AtlasFrmOrderCnt( aFrmB ) is greater than AtlasFrmOrderCnt( aFrmA ), where AtlasFrmOrderCnt( aFrmB ) and AtlasFrmOrderCnt( aFrmA ) are the AtlasFrmOrderCntVal values of aFrmB and aFrmA, respectively, immediately after the invocation of the decoding process for atlas frame order count for aFrmB.</w:t>
      </w:r>
    </w:p>
    <w:p w14:paraId="1022F512" w14:textId="2139C9E6" w:rsidR="00AC1B4A" w:rsidRPr="00A52AB8" w:rsidRDefault="00AC1B4A" w:rsidP="00AC1B4A">
      <w:pPr>
        <w:rPr>
          <w:bCs/>
        </w:rPr>
      </w:pPr>
      <w:r w:rsidRPr="00A52AB8">
        <w:rPr>
          <w:b/>
        </w:rPr>
        <w:t>daih_hash_type</w:t>
      </w:r>
      <w:r w:rsidRPr="00A52AB8">
        <w:t xml:space="preserve"> indicates the method used to calculate the checksum according to </w:t>
      </w:r>
      <w:r w:rsidR="00157D08" w:rsidRPr="00496A4D">
        <w:fldChar w:fldCharType="begin"/>
      </w:r>
      <w:r w:rsidR="00157D08" w:rsidRPr="00A52AB8">
        <w:instrText xml:space="preserve"> REF _Ref44507659 \h </w:instrText>
      </w:r>
      <w:r w:rsidR="00CA5401" w:rsidRPr="00A52AB8">
        <w:instrText xml:space="preserve"> \* MERGEFORMAT </w:instrText>
      </w:r>
      <w:r w:rsidR="00157D08" w:rsidRPr="00496A4D">
        <w:fldChar w:fldCharType="separate"/>
      </w:r>
      <w:r w:rsidR="00507A67" w:rsidRPr="00A52AB8">
        <w:t>Table F-</w:t>
      </w:r>
      <w:r w:rsidR="00507A67">
        <w:t>5</w:t>
      </w:r>
      <w:r w:rsidR="00157D08" w:rsidRPr="00496A4D">
        <w:fldChar w:fldCharType="end"/>
      </w:r>
      <w:r w:rsidRPr="00A52AB8">
        <w:t xml:space="preserve">. Values of daih_hash_type that are not listed in </w:t>
      </w:r>
      <w:r w:rsidR="000B66DC" w:rsidRPr="00496A4D">
        <w:fldChar w:fldCharType="begin"/>
      </w:r>
      <w:r w:rsidR="000B66DC" w:rsidRPr="00A52AB8">
        <w:instrText xml:space="preserve"> REF _Ref44507659 \h  \* MERGEFORMAT </w:instrText>
      </w:r>
      <w:r w:rsidR="000B66DC" w:rsidRPr="00496A4D">
        <w:fldChar w:fldCharType="separate"/>
      </w:r>
      <w:r w:rsidR="00507A67" w:rsidRPr="00A52AB8">
        <w:t>Table F-</w:t>
      </w:r>
      <w:r w:rsidR="00507A67">
        <w:t>5</w:t>
      </w:r>
      <w:r w:rsidR="000B66DC" w:rsidRPr="00496A4D">
        <w:fldChar w:fldCharType="end"/>
      </w:r>
      <w:r w:rsidR="000B66DC" w:rsidRPr="00A52AB8">
        <w:t xml:space="preserve"> </w:t>
      </w:r>
      <w:r w:rsidRPr="00A52AB8">
        <w:t xml:space="preserve">are reserved for future use by ISO/IEC and shall not be present in bitstreams conforming to this version of </w:t>
      </w:r>
      <w:r w:rsidR="005E083C" w:rsidRPr="00A52AB8">
        <w:t>this document</w:t>
      </w:r>
      <w:r w:rsidRPr="00A52AB8">
        <w:t xml:space="preserve">. Decoders shall ignore decoded </w:t>
      </w:r>
      <w:r w:rsidR="00B72B26" w:rsidRPr="00A52AB8">
        <w:t xml:space="preserve">atlas information </w:t>
      </w:r>
      <w:r w:rsidRPr="00A52AB8">
        <w:t>hash SEI messages that contain reserved values of hash_type.</w:t>
      </w:r>
    </w:p>
    <w:p w14:paraId="28206C69" w14:textId="1911BA43" w:rsidR="00AC1B4A" w:rsidRPr="00A52AB8" w:rsidRDefault="00AC1B4A" w:rsidP="00AC1B4A">
      <w:pPr>
        <w:pStyle w:val="Tabletitle0"/>
      </w:pPr>
      <w:bookmarkStart w:id="5982" w:name="_Ref44507659"/>
      <w:r w:rsidRPr="00A52AB8">
        <w:t>Table F-</w:t>
      </w:r>
      <w:r w:rsidRPr="00496A4D">
        <w:fldChar w:fldCharType="begin"/>
      </w:r>
      <w:r w:rsidRPr="00A52AB8">
        <w:instrText xml:space="preserve"> SEQ Table \* ARABIC \s 1 </w:instrText>
      </w:r>
      <w:r w:rsidRPr="00496A4D">
        <w:fldChar w:fldCharType="separate"/>
      </w:r>
      <w:r w:rsidR="00507A67">
        <w:rPr>
          <w:noProof/>
        </w:rPr>
        <w:t>5</w:t>
      </w:r>
      <w:r w:rsidRPr="00496A4D">
        <w:fldChar w:fldCharType="end"/>
      </w:r>
      <w:bookmarkEnd w:id="5982"/>
      <w:r w:rsidR="008E3554" w:rsidRPr="00A52AB8">
        <w:rPr>
          <w:rFonts w:cs="Calibri"/>
          <w:bCs/>
        </w:rPr>
        <w:t> </w:t>
      </w:r>
      <w:r w:rsidR="008E3554" w:rsidRPr="00A52AB8">
        <w:t>– </w:t>
      </w:r>
      <w:r w:rsidRPr="00A52AB8">
        <w:t>Atlas hash type</w:t>
      </w:r>
    </w:p>
    <w:tbl>
      <w:tblPr>
        <w:tblW w:w="0" w:type="auto"/>
        <w:jc w:val="center"/>
        <w:tblLayout w:type="fixed"/>
        <w:tblCellMar>
          <w:left w:w="80" w:type="dxa"/>
          <w:right w:w="80" w:type="dxa"/>
        </w:tblCellMar>
        <w:tblLook w:val="0000" w:firstRow="0" w:lastRow="0" w:firstColumn="0" w:lastColumn="0" w:noHBand="0" w:noVBand="0"/>
      </w:tblPr>
      <w:tblGrid>
        <w:gridCol w:w="1314"/>
        <w:gridCol w:w="2368"/>
      </w:tblGrid>
      <w:tr w:rsidR="00AC1B4A" w:rsidRPr="00A52AB8" w14:paraId="750CED59" w14:textId="77777777" w:rsidTr="00007BE2">
        <w:trPr>
          <w:cantSplit/>
          <w:trHeight w:val="305"/>
          <w:jc w:val="center"/>
        </w:trPr>
        <w:tc>
          <w:tcPr>
            <w:tcW w:w="1314" w:type="dxa"/>
            <w:tcBorders>
              <w:top w:val="single" w:sz="6" w:space="0" w:color="auto"/>
              <w:left w:val="single" w:sz="6" w:space="0" w:color="auto"/>
              <w:bottom w:val="single" w:sz="6" w:space="0" w:color="auto"/>
              <w:right w:val="single" w:sz="6" w:space="0" w:color="auto"/>
            </w:tcBorders>
            <w:vAlign w:val="center"/>
          </w:tcPr>
          <w:p w14:paraId="7EEBCCCF" w14:textId="77777777" w:rsidR="00AC1B4A" w:rsidRPr="00A52AB8" w:rsidRDefault="00AC1B4A" w:rsidP="00007BE2">
            <w:pPr>
              <w:spacing w:before="120" w:after="120"/>
              <w:jc w:val="center"/>
              <w:rPr>
                <w:b/>
              </w:rPr>
            </w:pPr>
            <w:r w:rsidRPr="00A52AB8">
              <w:rPr>
                <w:b/>
              </w:rPr>
              <w:t>hash_type</w:t>
            </w:r>
          </w:p>
        </w:tc>
        <w:tc>
          <w:tcPr>
            <w:tcW w:w="2368" w:type="dxa"/>
            <w:tcBorders>
              <w:top w:val="single" w:sz="6" w:space="0" w:color="auto"/>
              <w:left w:val="single" w:sz="6" w:space="0" w:color="auto"/>
              <w:bottom w:val="single" w:sz="6" w:space="0" w:color="auto"/>
              <w:right w:val="single" w:sz="6" w:space="0" w:color="auto"/>
            </w:tcBorders>
            <w:vAlign w:val="center"/>
          </w:tcPr>
          <w:p w14:paraId="371D2B25" w14:textId="77777777" w:rsidR="00AC1B4A" w:rsidRPr="00A52AB8" w:rsidRDefault="00AC1B4A" w:rsidP="00007BE2">
            <w:pPr>
              <w:spacing w:before="120" w:after="120"/>
              <w:jc w:val="center"/>
              <w:rPr>
                <w:b/>
              </w:rPr>
            </w:pPr>
            <w:r w:rsidRPr="00A52AB8">
              <w:rPr>
                <w:b/>
              </w:rPr>
              <w:t>Method</w:t>
            </w:r>
          </w:p>
        </w:tc>
      </w:tr>
      <w:tr w:rsidR="00AC1B4A" w:rsidRPr="00A52AB8" w14:paraId="40E6B2F6" w14:textId="77777777" w:rsidTr="00007BE2">
        <w:trPr>
          <w:cantSplit/>
          <w:trHeight w:val="292"/>
          <w:jc w:val="center"/>
        </w:trPr>
        <w:tc>
          <w:tcPr>
            <w:tcW w:w="1314" w:type="dxa"/>
            <w:tcBorders>
              <w:top w:val="single" w:sz="6" w:space="0" w:color="auto"/>
              <w:left w:val="single" w:sz="6" w:space="0" w:color="auto"/>
              <w:bottom w:val="single" w:sz="6" w:space="0" w:color="auto"/>
              <w:right w:val="single" w:sz="6" w:space="0" w:color="auto"/>
            </w:tcBorders>
            <w:vAlign w:val="center"/>
          </w:tcPr>
          <w:p w14:paraId="0BFA7768" w14:textId="77777777" w:rsidR="00AC1B4A" w:rsidRPr="00A52AB8" w:rsidRDefault="00AC1B4A" w:rsidP="00007BE2">
            <w:pPr>
              <w:spacing w:before="120" w:after="120"/>
              <w:jc w:val="center"/>
            </w:pPr>
            <w:r w:rsidRPr="00A52AB8">
              <w:t>0</w:t>
            </w:r>
          </w:p>
        </w:tc>
        <w:tc>
          <w:tcPr>
            <w:tcW w:w="2368" w:type="dxa"/>
            <w:tcBorders>
              <w:top w:val="single" w:sz="6" w:space="0" w:color="auto"/>
              <w:left w:val="single" w:sz="6" w:space="0" w:color="auto"/>
              <w:bottom w:val="single" w:sz="6" w:space="0" w:color="auto"/>
              <w:right w:val="single" w:sz="6" w:space="0" w:color="auto"/>
            </w:tcBorders>
            <w:vAlign w:val="center"/>
          </w:tcPr>
          <w:p w14:paraId="22C37EDD" w14:textId="77777777" w:rsidR="00AC1B4A" w:rsidRPr="00A52AB8" w:rsidRDefault="00AC1B4A" w:rsidP="00007BE2">
            <w:pPr>
              <w:spacing w:before="120" w:after="120"/>
              <w:jc w:val="center"/>
            </w:pPr>
            <w:r w:rsidRPr="00A52AB8">
              <w:t>MD5 (RFC 1321)</w:t>
            </w:r>
          </w:p>
        </w:tc>
      </w:tr>
      <w:tr w:rsidR="00AC1B4A" w:rsidRPr="00A52AB8" w14:paraId="282D4404" w14:textId="77777777" w:rsidTr="00007BE2">
        <w:trPr>
          <w:cantSplit/>
          <w:trHeight w:val="305"/>
          <w:jc w:val="center"/>
        </w:trPr>
        <w:tc>
          <w:tcPr>
            <w:tcW w:w="1314" w:type="dxa"/>
            <w:tcBorders>
              <w:top w:val="single" w:sz="6" w:space="0" w:color="auto"/>
              <w:left w:val="single" w:sz="6" w:space="0" w:color="auto"/>
              <w:bottom w:val="single" w:sz="6" w:space="0" w:color="auto"/>
              <w:right w:val="single" w:sz="6" w:space="0" w:color="auto"/>
            </w:tcBorders>
            <w:vAlign w:val="center"/>
          </w:tcPr>
          <w:p w14:paraId="6D6C5690" w14:textId="77777777" w:rsidR="00AC1B4A" w:rsidRPr="00A52AB8" w:rsidRDefault="00AC1B4A" w:rsidP="00007BE2">
            <w:pPr>
              <w:spacing w:before="120" w:after="120"/>
              <w:jc w:val="center"/>
            </w:pPr>
            <w:r w:rsidRPr="00A52AB8">
              <w:t>1</w:t>
            </w:r>
          </w:p>
        </w:tc>
        <w:tc>
          <w:tcPr>
            <w:tcW w:w="2368" w:type="dxa"/>
            <w:tcBorders>
              <w:top w:val="single" w:sz="6" w:space="0" w:color="auto"/>
              <w:left w:val="single" w:sz="6" w:space="0" w:color="auto"/>
              <w:bottom w:val="single" w:sz="6" w:space="0" w:color="auto"/>
              <w:right w:val="single" w:sz="6" w:space="0" w:color="auto"/>
            </w:tcBorders>
            <w:vAlign w:val="center"/>
          </w:tcPr>
          <w:p w14:paraId="7041D24A" w14:textId="77777777" w:rsidR="00AC1B4A" w:rsidRPr="00A52AB8" w:rsidRDefault="00AC1B4A" w:rsidP="00007BE2">
            <w:pPr>
              <w:spacing w:before="120" w:after="120"/>
              <w:jc w:val="center"/>
            </w:pPr>
            <w:r w:rsidRPr="00A52AB8">
              <w:t>CRC</w:t>
            </w:r>
          </w:p>
        </w:tc>
      </w:tr>
      <w:tr w:rsidR="00AC1B4A" w:rsidRPr="00A52AB8" w14:paraId="0EA82C66" w14:textId="77777777" w:rsidTr="00007BE2">
        <w:trPr>
          <w:cantSplit/>
          <w:trHeight w:val="305"/>
          <w:jc w:val="center"/>
        </w:trPr>
        <w:tc>
          <w:tcPr>
            <w:tcW w:w="1314" w:type="dxa"/>
            <w:tcBorders>
              <w:top w:val="single" w:sz="6" w:space="0" w:color="auto"/>
              <w:left w:val="single" w:sz="6" w:space="0" w:color="auto"/>
              <w:bottom w:val="single" w:sz="6" w:space="0" w:color="auto"/>
              <w:right w:val="single" w:sz="6" w:space="0" w:color="auto"/>
            </w:tcBorders>
            <w:vAlign w:val="center"/>
          </w:tcPr>
          <w:p w14:paraId="6B970CEA" w14:textId="77777777" w:rsidR="00AC1B4A" w:rsidRPr="00A52AB8" w:rsidRDefault="00AC1B4A" w:rsidP="00007BE2">
            <w:pPr>
              <w:spacing w:before="120" w:after="120"/>
              <w:jc w:val="center"/>
            </w:pPr>
            <w:r w:rsidRPr="00A52AB8">
              <w:t>2</w:t>
            </w:r>
          </w:p>
        </w:tc>
        <w:tc>
          <w:tcPr>
            <w:tcW w:w="2368" w:type="dxa"/>
            <w:tcBorders>
              <w:top w:val="single" w:sz="6" w:space="0" w:color="auto"/>
              <w:left w:val="single" w:sz="6" w:space="0" w:color="auto"/>
              <w:bottom w:val="single" w:sz="6" w:space="0" w:color="auto"/>
              <w:right w:val="single" w:sz="6" w:space="0" w:color="auto"/>
            </w:tcBorders>
            <w:vAlign w:val="center"/>
          </w:tcPr>
          <w:p w14:paraId="1CD76771" w14:textId="77777777" w:rsidR="00AC1B4A" w:rsidRPr="00A52AB8" w:rsidRDefault="00AC1B4A" w:rsidP="00007BE2">
            <w:pPr>
              <w:spacing w:before="120" w:after="120"/>
              <w:jc w:val="center"/>
            </w:pPr>
            <w:r w:rsidRPr="00A52AB8">
              <w:t>Checksum</w:t>
            </w:r>
          </w:p>
        </w:tc>
      </w:tr>
    </w:tbl>
    <w:p w14:paraId="1DCF41D3" w14:textId="22CC2B28" w:rsidR="00A169E8" w:rsidRPr="00A52AB8" w:rsidRDefault="00A169E8" w:rsidP="00FB4953">
      <w:pPr>
        <w:spacing w:before="120"/>
      </w:pPr>
      <w:r w:rsidRPr="00A52AB8">
        <w:rPr>
          <w:b/>
        </w:rPr>
        <w:t>daih_decoded_high_level_hash_present_flag</w:t>
      </w:r>
      <w:r w:rsidRPr="00A52AB8">
        <w:t xml:space="preserve"> equal to 1 specifies that </w:t>
      </w:r>
      <w:r w:rsidR="00B473CA" w:rsidRPr="00A52AB8">
        <w:t>the MD5 hash, the cyclic redundancy check (CRC)</w:t>
      </w:r>
      <w:r w:rsidR="00DF4A44" w:rsidRPr="00A52AB8">
        <w:t>,</w:t>
      </w:r>
      <w:r w:rsidR="00B473CA" w:rsidRPr="00A52AB8">
        <w:t xml:space="preserve"> or the checksum value for the high-level syntax elements </w:t>
      </w:r>
      <w:r w:rsidR="00862EA1" w:rsidRPr="00A52AB8">
        <w:t xml:space="preserve">associated with the atlas, with atlas ID equal to </w:t>
      </w:r>
      <w:r w:rsidR="004429AA" w:rsidRPr="00A52AB8">
        <w:rPr>
          <w:color w:val="000000" w:themeColor="text1"/>
        </w:rPr>
        <w:t>SeiAtlasID</w:t>
      </w:r>
      <w:r w:rsidR="00862EA1" w:rsidRPr="00A52AB8">
        <w:t xml:space="preserve">, </w:t>
      </w:r>
      <w:r w:rsidR="00B473CA" w:rsidRPr="00A52AB8">
        <w:t xml:space="preserve">is </w:t>
      </w:r>
      <w:r w:rsidRPr="00A52AB8">
        <w:t xml:space="preserve">present. daih_decoded_high_level_hash_present_flag equal to 0 specifies </w:t>
      </w:r>
      <w:r w:rsidR="00B473CA" w:rsidRPr="00A52AB8">
        <w:t>the MD5 hash, the cyclic redundancy check (CRC)</w:t>
      </w:r>
      <w:r w:rsidR="00DF4A44" w:rsidRPr="00A52AB8">
        <w:t>,</w:t>
      </w:r>
      <w:r w:rsidR="00B473CA" w:rsidRPr="00A52AB8">
        <w:t xml:space="preserve"> or the checksum value for the high-level syntax elements </w:t>
      </w:r>
      <w:r w:rsidR="00862EA1" w:rsidRPr="00A52AB8">
        <w:t xml:space="preserve">associated with the atlas, with atlas ID equal to </w:t>
      </w:r>
      <w:r w:rsidR="004429AA" w:rsidRPr="00A52AB8">
        <w:rPr>
          <w:color w:val="000000" w:themeColor="text1"/>
        </w:rPr>
        <w:t>SeiAtlasID</w:t>
      </w:r>
      <w:r w:rsidR="00862EA1" w:rsidRPr="00A52AB8">
        <w:t xml:space="preserve">, </w:t>
      </w:r>
      <w:r w:rsidRPr="00A52AB8">
        <w:t>will not be present.</w:t>
      </w:r>
    </w:p>
    <w:p w14:paraId="331D0AC7" w14:textId="6796F97D" w:rsidR="00AC1B4A" w:rsidRPr="00A52AB8" w:rsidRDefault="00AC1B4A" w:rsidP="00AC1B4A">
      <w:r w:rsidRPr="00A52AB8">
        <w:rPr>
          <w:b/>
        </w:rPr>
        <w:t>daih_decoded_atlas_hash_present_flag</w:t>
      </w:r>
      <w:r w:rsidRPr="00A52AB8">
        <w:t xml:space="preserve"> equal to 1 specifies that </w:t>
      </w:r>
      <w:r w:rsidR="00B473CA" w:rsidRPr="00A52AB8">
        <w:t xml:space="preserve">the MD5 hash, the cyclic redundancy check </w:t>
      </w:r>
      <w:r w:rsidR="00DF4A44" w:rsidRPr="00A52AB8">
        <w:t xml:space="preserve">(CRC), or the checksum value </w:t>
      </w:r>
      <w:r w:rsidR="00B473CA" w:rsidRPr="00A52AB8">
        <w:t>for the</w:t>
      </w:r>
      <w:r w:rsidR="00B473CA" w:rsidRPr="00A52AB8" w:rsidDel="00B473CA">
        <w:t xml:space="preserve"> </w:t>
      </w:r>
      <w:r w:rsidR="00862EA1" w:rsidRPr="00A52AB8">
        <w:t xml:space="preserve">patch information associated with the </w:t>
      </w:r>
      <w:r w:rsidR="00B473CA" w:rsidRPr="00A52AB8">
        <w:t>atlas</w:t>
      </w:r>
      <w:r w:rsidR="00862EA1" w:rsidRPr="00A52AB8">
        <w:t xml:space="preserve">, with atlas ID equal to </w:t>
      </w:r>
      <w:r w:rsidR="004429AA" w:rsidRPr="00A52AB8">
        <w:t>SeiAtlasID</w:t>
      </w:r>
      <w:r w:rsidR="00862EA1" w:rsidRPr="00A52AB8">
        <w:t>,</w:t>
      </w:r>
      <w:r w:rsidR="00B473CA" w:rsidRPr="00A52AB8">
        <w:t xml:space="preserve"> </w:t>
      </w:r>
      <w:r w:rsidRPr="00A52AB8">
        <w:t xml:space="preserve">is present. daih_decoded_atlas_hash_present_flag equal to 0 specifies that </w:t>
      </w:r>
      <w:r w:rsidR="00862EA1" w:rsidRPr="00A52AB8">
        <w:t xml:space="preserve">the MD5 hash, the cyclic redundancy check </w:t>
      </w:r>
      <w:r w:rsidR="00DF4A44" w:rsidRPr="00A52AB8">
        <w:t xml:space="preserve">(CRC), or the checksum value </w:t>
      </w:r>
      <w:r w:rsidR="00862EA1" w:rsidRPr="00A52AB8">
        <w:t>for the</w:t>
      </w:r>
      <w:r w:rsidR="00862EA1" w:rsidRPr="00A52AB8" w:rsidDel="00B473CA">
        <w:t xml:space="preserve"> </w:t>
      </w:r>
      <w:r w:rsidR="00862EA1" w:rsidRPr="00A52AB8">
        <w:t xml:space="preserve">patch information associated with the atlas, with atlas ID equal to </w:t>
      </w:r>
      <w:r w:rsidR="004429AA" w:rsidRPr="00A52AB8">
        <w:t>SeiAtlasID</w:t>
      </w:r>
      <w:r w:rsidR="00862EA1" w:rsidRPr="00A52AB8">
        <w:t xml:space="preserve">, </w:t>
      </w:r>
      <w:r w:rsidRPr="00A52AB8">
        <w:t>will not be present.</w:t>
      </w:r>
    </w:p>
    <w:p w14:paraId="7C3346EF" w14:textId="37DB6C08" w:rsidR="00AC1B4A" w:rsidRPr="00A52AB8" w:rsidRDefault="00AC1B4A" w:rsidP="00AC1B4A">
      <w:pPr>
        <w:rPr>
          <w:b/>
        </w:rPr>
      </w:pPr>
      <w:r w:rsidRPr="00A52AB8">
        <w:rPr>
          <w:b/>
        </w:rPr>
        <w:t xml:space="preserve">daih_decoded_atlas_b2p_hash_present_flag </w:t>
      </w:r>
      <w:r w:rsidRPr="00A52AB8">
        <w:t xml:space="preserve">equal to 1 specifies that </w:t>
      </w:r>
      <w:r w:rsidR="00862EA1" w:rsidRPr="00A52AB8">
        <w:t xml:space="preserve">the MD5 hash, the cyclic redundancy check </w:t>
      </w:r>
      <w:r w:rsidR="00DF4A44" w:rsidRPr="00A52AB8">
        <w:t xml:space="preserve">(CRC), or the checksum value </w:t>
      </w:r>
      <w:r w:rsidR="00862EA1" w:rsidRPr="00A52AB8">
        <w:t>for the</w:t>
      </w:r>
      <w:r w:rsidR="00862EA1" w:rsidRPr="00A52AB8" w:rsidDel="00B473CA">
        <w:t xml:space="preserve"> </w:t>
      </w:r>
      <w:r w:rsidR="00862EA1" w:rsidRPr="00A52AB8">
        <w:t xml:space="preserve">block to patch map associated with the atlas, with atlas ID equal to </w:t>
      </w:r>
      <w:r w:rsidR="004429AA" w:rsidRPr="00A52AB8">
        <w:t>SeiAtlasID</w:t>
      </w:r>
      <w:r w:rsidR="00862EA1" w:rsidRPr="00A52AB8">
        <w:t>, i</w:t>
      </w:r>
      <w:r w:rsidRPr="00A52AB8">
        <w:t>s present. daih_decoded_atlas_b2p_hash_present_flag equal to 0 specifies that</w:t>
      </w:r>
      <w:r w:rsidRPr="00A52AB8" w:rsidDel="00102231">
        <w:t xml:space="preserve"> </w:t>
      </w:r>
      <w:r w:rsidR="00862EA1" w:rsidRPr="00A52AB8">
        <w:t xml:space="preserve">the MD5 hash, the cyclic redundancy check </w:t>
      </w:r>
      <w:r w:rsidR="00DF4A44" w:rsidRPr="00A52AB8">
        <w:t xml:space="preserve">(CRC), or the checksum value </w:t>
      </w:r>
      <w:r w:rsidR="00862EA1" w:rsidRPr="00A52AB8">
        <w:t>for the</w:t>
      </w:r>
      <w:r w:rsidR="00862EA1" w:rsidRPr="00A52AB8" w:rsidDel="00B473CA">
        <w:t xml:space="preserve"> </w:t>
      </w:r>
      <w:r w:rsidR="00862EA1" w:rsidRPr="00A52AB8">
        <w:t xml:space="preserve">block to patch map associated with the atlas, with atlas ID equal to </w:t>
      </w:r>
      <w:r w:rsidR="004429AA" w:rsidRPr="00A52AB8">
        <w:t>SeiAtlasID</w:t>
      </w:r>
      <w:r w:rsidR="00862EA1" w:rsidRPr="00A52AB8">
        <w:t xml:space="preserve">, </w:t>
      </w:r>
      <w:r w:rsidRPr="00A52AB8">
        <w:t>will not be present.</w:t>
      </w:r>
    </w:p>
    <w:p w14:paraId="56354C70" w14:textId="687731A4" w:rsidR="00AC1B4A" w:rsidRPr="00A52AB8" w:rsidRDefault="00AC1B4A" w:rsidP="00AC1B4A">
      <w:r w:rsidRPr="00A52AB8">
        <w:rPr>
          <w:b/>
        </w:rPr>
        <w:t>daih_decoded_atlas_tiles_hash_present_flag</w:t>
      </w:r>
      <w:r w:rsidRPr="00A52AB8">
        <w:t xml:space="preserve"> equal to 1 specifies that </w:t>
      </w:r>
      <w:r w:rsidR="00862EA1" w:rsidRPr="00A52AB8">
        <w:t xml:space="preserve">the MD5 hash, the cyclic redundancy check </w:t>
      </w:r>
      <w:r w:rsidR="00DF4A44" w:rsidRPr="00A52AB8">
        <w:t xml:space="preserve">(CRC), or the checksum values </w:t>
      </w:r>
      <w:r w:rsidR="00862EA1" w:rsidRPr="00A52AB8">
        <w:t>for the</w:t>
      </w:r>
      <w:r w:rsidR="00862EA1" w:rsidRPr="00A52AB8" w:rsidDel="00B473CA">
        <w:t xml:space="preserve"> </w:t>
      </w:r>
      <w:r w:rsidR="00862EA1" w:rsidRPr="00A52AB8">
        <w:t xml:space="preserve">patch information associated with </w:t>
      </w:r>
      <w:r w:rsidR="00BC1ED1" w:rsidRPr="00A52AB8">
        <w:t xml:space="preserve">the </w:t>
      </w:r>
      <w:r w:rsidR="0017779E" w:rsidRPr="00A52AB8">
        <w:t>tile</w:t>
      </w:r>
      <w:r w:rsidR="00DF4A44" w:rsidRPr="00A52AB8">
        <w:t>s in the atlas, with atlas ID equal to SeiAtlasID</w:t>
      </w:r>
      <w:r w:rsidR="00862EA1" w:rsidRPr="00A52AB8">
        <w:t>,</w:t>
      </w:r>
      <w:r w:rsidRPr="00A52AB8">
        <w:t xml:space="preserve"> </w:t>
      </w:r>
      <w:r w:rsidR="00DF4A44" w:rsidRPr="00A52AB8">
        <w:t xml:space="preserve">are </w:t>
      </w:r>
      <w:r w:rsidRPr="00A52AB8">
        <w:t xml:space="preserve">present. daih_decoded_atlas_tiles_hash_present_flag equal to 0 specifies that </w:t>
      </w:r>
      <w:r w:rsidR="00BC1ED1" w:rsidRPr="00A52AB8">
        <w:t xml:space="preserve">the MD5 hash, the cyclic redundancy check </w:t>
      </w:r>
      <w:r w:rsidR="00DF4A44" w:rsidRPr="00A52AB8">
        <w:t xml:space="preserve">(CRC), or the checksum values </w:t>
      </w:r>
      <w:r w:rsidR="00BC1ED1" w:rsidRPr="00A52AB8">
        <w:t>for the</w:t>
      </w:r>
      <w:r w:rsidR="00BC1ED1" w:rsidRPr="00A52AB8" w:rsidDel="00B473CA">
        <w:t xml:space="preserve"> </w:t>
      </w:r>
      <w:r w:rsidR="00BC1ED1" w:rsidRPr="00A52AB8">
        <w:t xml:space="preserve">patch information associated with </w:t>
      </w:r>
      <w:r w:rsidR="00DF4A44" w:rsidRPr="00A52AB8">
        <w:t>the tiles in the atlas, with atlas ID equal to SeiAtlasID,</w:t>
      </w:r>
      <w:r w:rsidR="00BC1ED1" w:rsidRPr="00A52AB8">
        <w:t xml:space="preserve"> </w:t>
      </w:r>
      <w:r w:rsidRPr="00A52AB8">
        <w:t>will not be present.</w:t>
      </w:r>
    </w:p>
    <w:p w14:paraId="55C24A37" w14:textId="0F26C0E3" w:rsidR="00AC1B4A" w:rsidRPr="00A52AB8" w:rsidRDefault="00AC1B4A" w:rsidP="00AC1B4A">
      <w:bookmarkStart w:id="5983" w:name="_Hlk44273411"/>
      <w:r w:rsidRPr="00A52AB8">
        <w:rPr>
          <w:b/>
        </w:rPr>
        <w:t>daih_</w:t>
      </w:r>
      <w:r w:rsidR="001442D7" w:rsidRPr="00A52AB8">
        <w:rPr>
          <w:b/>
        </w:rPr>
        <w:t>decoded_</w:t>
      </w:r>
      <w:r w:rsidRPr="00A52AB8">
        <w:rPr>
          <w:b/>
        </w:rPr>
        <w:t>atlas_tiles_b2p_hash_present_flag</w:t>
      </w:r>
      <w:bookmarkEnd w:id="5983"/>
      <w:r w:rsidRPr="00A52AB8">
        <w:rPr>
          <w:b/>
        </w:rPr>
        <w:t xml:space="preserve"> </w:t>
      </w:r>
      <w:r w:rsidRPr="00A52AB8">
        <w:t xml:space="preserve">equal to 1 specifies that </w:t>
      </w:r>
      <w:r w:rsidR="00BC1ED1" w:rsidRPr="00A52AB8">
        <w:t xml:space="preserve">the MD5 hash, the cyclic redundancy check </w:t>
      </w:r>
      <w:r w:rsidR="00DF4A44" w:rsidRPr="00A52AB8">
        <w:t xml:space="preserve">(CRC), or the checksum values </w:t>
      </w:r>
      <w:r w:rsidR="00BC1ED1" w:rsidRPr="00A52AB8">
        <w:t>for the</w:t>
      </w:r>
      <w:r w:rsidR="00BC1ED1" w:rsidRPr="00A52AB8" w:rsidDel="00B473CA">
        <w:t xml:space="preserve"> </w:t>
      </w:r>
      <w:r w:rsidR="00BC1ED1" w:rsidRPr="00A52AB8">
        <w:t>block to patch map associated with the tile</w:t>
      </w:r>
      <w:r w:rsidR="00DF4A44" w:rsidRPr="00A52AB8">
        <w:t>s in the atlas</w:t>
      </w:r>
      <w:r w:rsidR="00BC1ED1" w:rsidRPr="00A52AB8">
        <w:t xml:space="preserve">, with </w:t>
      </w:r>
      <w:r w:rsidR="00DF4A44" w:rsidRPr="00A52AB8">
        <w:t xml:space="preserve">atlas </w:t>
      </w:r>
      <w:r w:rsidR="00BC1ED1" w:rsidRPr="00A52AB8">
        <w:t xml:space="preserve">ID </w:t>
      </w:r>
      <w:r w:rsidR="00DF4A44" w:rsidRPr="00A52AB8">
        <w:t>SeiAtlasID</w:t>
      </w:r>
      <w:r w:rsidR="00BC1ED1" w:rsidRPr="00A52AB8">
        <w:t xml:space="preserve">, </w:t>
      </w:r>
      <w:r w:rsidR="00DF4A44" w:rsidRPr="00A52AB8">
        <w:t xml:space="preserve">are </w:t>
      </w:r>
      <w:r w:rsidRPr="00A52AB8">
        <w:t>present. daih_atlas_tiles_b2p_hash_present_flag equal to 0 specifies that</w:t>
      </w:r>
      <w:r w:rsidRPr="00A52AB8" w:rsidDel="00102231">
        <w:t xml:space="preserve"> </w:t>
      </w:r>
      <w:r w:rsidR="00BC1ED1" w:rsidRPr="00A52AB8">
        <w:t xml:space="preserve">the MD5 hash, the cyclic redundancy check </w:t>
      </w:r>
      <w:r w:rsidR="00DF4A44" w:rsidRPr="00A52AB8">
        <w:t xml:space="preserve">(CRC), or the checksum values </w:t>
      </w:r>
      <w:r w:rsidR="00BC1ED1" w:rsidRPr="00A52AB8">
        <w:t>for the</w:t>
      </w:r>
      <w:r w:rsidR="00BC1ED1" w:rsidRPr="00A52AB8" w:rsidDel="00B473CA">
        <w:t xml:space="preserve"> </w:t>
      </w:r>
      <w:r w:rsidR="00BC1ED1" w:rsidRPr="00A52AB8">
        <w:t>block to patch map associated with the tile</w:t>
      </w:r>
      <w:r w:rsidR="00DF4A44" w:rsidRPr="00A52AB8">
        <w:t>s in the atlas, with atlas ID SeiAtlasID</w:t>
      </w:r>
      <w:r w:rsidR="00BC1ED1" w:rsidRPr="00A52AB8">
        <w:t xml:space="preserve">, </w:t>
      </w:r>
      <w:r w:rsidRPr="00A52AB8">
        <w:t>will not be present.</w:t>
      </w:r>
    </w:p>
    <w:p w14:paraId="19A5FE8B" w14:textId="77777777" w:rsidR="003C7850" w:rsidRPr="00A52AB8" w:rsidRDefault="003C7850" w:rsidP="00A169E8">
      <w:pPr>
        <w:rPr>
          <w:color w:val="000000" w:themeColor="text1"/>
        </w:rPr>
      </w:pPr>
      <w:r w:rsidRPr="00A52AB8">
        <w:rPr>
          <w:b/>
          <w:bCs/>
        </w:rPr>
        <w:t>daih_reserved_1bit</w:t>
      </w:r>
      <w:r w:rsidRPr="00A52AB8">
        <w:rPr>
          <w:color w:val="000000" w:themeColor="text1"/>
        </w:rPr>
        <w:t xml:space="preserve"> shall be equal to 0 in bitstreams conforming to this version of this document. Other values for daih_reserved_1bit are reserved for future use by ISO/IEC. Decoders shall ignore the value of daih_reserved_1bit.</w:t>
      </w:r>
    </w:p>
    <w:p w14:paraId="1022D6D1" w14:textId="733B7996" w:rsidR="00A169E8" w:rsidRPr="00A52AB8" w:rsidRDefault="00A169E8" w:rsidP="00A169E8">
      <w:r w:rsidRPr="00A52AB8">
        <w:rPr>
          <w:b/>
        </w:rPr>
        <w:t>daih_high_level_md5</w:t>
      </w:r>
      <w:r w:rsidRPr="00A52AB8">
        <w:t xml:space="preserve">[ i ] is the i-th byte of the 16-byte MD5 hash of the high-level syntax elements of the decoded atlas associated with </w:t>
      </w:r>
      <w:r w:rsidR="004429AA" w:rsidRPr="00A52AB8">
        <w:t>SeiAtlasID</w:t>
      </w:r>
      <w:r w:rsidRPr="00A52AB8">
        <w:t>. The value of daih_high_level_md5[ i ] shall be equal to the value digestVal</w:t>
      </w:r>
      <w:r w:rsidR="006C31B3" w:rsidRPr="00A52AB8">
        <w:t>[ i ]</w:t>
      </w:r>
      <w:r w:rsidRPr="00A52AB8">
        <w:t>, obtained using the MD5 functions defined in IETF RFC 1321 and the string of bytes HighLevelAtlasData with length HighLevelAtlasDataBytes, as specified in subclause</w:t>
      </w:r>
      <w:r w:rsidR="000B66DC" w:rsidRPr="00A52AB8">
        <w:t> </w:t>
      </w:r>
      <w:r w:rsidR="00F47C3D" w:rsidRPr="00496A4D">
        <w:fldChar w:fldCharType="begin"/>
      </w:r>
      <w:r w:rsidR="00F47C3D" w:rsidRPr="00A52AB8">
        <w:instrText xml:space="preserve"> REF _Ref44510849 \r \h  \* MERGEFORMAT </w:instrText>
      </w:r>
      <w:r w:rsidR="00F47C3D" w:rsidRPr="00496A4D">
        <w:fldChar w:fldCharType="separate"/>
      </w:r>
      <w:r w:rsidR="00507A67">
        <w:t>F.3.16.2.2</w:t>
      </w:r>
      <w:r w:rsidR="00F47C3D" w:rsidRPr="00496A4D">
        <w:fldChar w:fldCharType="end"/>
      </w:r>
      <w:r w:rsidRPr="00A52AB8">
        <w:t>:</w:t>
      </w:r>
    </w:p>
    <w:p w14:paraId="2397CBDF" w14:textId="508AA6A8" w:rsidR="00A169E8" w:rsidRPr="00A52AB8" w:rsidRDefault="004253FE" w:rsidP="00FB4953">
      <w:pPr>
        <w:tabs>
          <w:tab w:val="clear" w:pos="2016"/>
        </w:tabs>
        <w:spacing w:before="120"/>
      </w:pPr>
      <w:r w:rsidRPr="00A52AB8">
        <w:tab/>
      </w:r>
      <w:r w:rsidR="00A169E8" w:rsidRPr="00A52AB8">
        <w:t>MD5Init( context )</w:t>
      </w:r>
      <w:r w:rsidR="00A169E8" w:rsidRPr="00A52AB8">
        <w:br/>
      </w:r>
      <w:r w:rsidRPr="00A52AB8">
        <w:tab/>
      </w:r>
      <w:r w:rsidR="00A169E8" w:rsidRPr="00A52AB8">
        <w:t>MD5Update( context, </w:t>
      </w:r>
      <w:r w:rsidR="006E4434" w:rsidRPr="00A52AB8">
        <w:t>HighLevel</w:t>
      </w:r>
      <w:r w:rsidR="00A169E8" w:rsidRPr="00A52AB8">
        <w:t>AtlasData, </w:t>
      </w:r>
      <w:r w:rsidR="006E4434" w:rsidRPr="00A52AB8">
        <w:t>HighLevel</w:t>
      </w:r>
      <w:r w:rsidR="00A169E8" w:rsidRPr="00A52AB8">
        <w:t>AtlasDataBytes )</w:t>
      </w:r>
      <w:r w:rsidR="00A169E8" w:rsidRPr="00A52AB8">
        <w:br/>
      </w:r>
      <w:r w:rsidRPr="00A52AB8">
        <w:tab/>
      </w:r>
      <w:r w:rsidR="00A169E8" w:rsidRPr="00A52AB8">
        <w:t>MD5Final( digestVal, context )</w:t>
      </w:r>
    </w:p>
    <w:p w14:paraId="1174E97B" w14:textId="653EE533" w:rsidR="00A169E8" w:rsidRPr="00A52AB8" w:rsidRDefault="00A169E8" w:rsidP="00A169E8">
      <w:r w:rsidRPr="00A52AB8">
        <w:rPr>
          <w:b/>
        </w:rPr>
        <w:t>daih_</w:t>
      </w:r>
      <w:r w:rsidR="003C7850" w:rsidRPr="00A52AB8">
        <w:rPr>
          <w:b/>
        </w:rPr>
        <w:t>high_level</w:t>
      </w:r>
      <w:r w:rsidRPr="00A52AB8">
        <w:rPr>
          <w:b/>
        </w:rPr>
        <w:t>_crc</w:t>
      </w:r>
      <w:r w:rsidRPr="00A52AB8">
        <w:t xml:space="preserve"> is the cyclic redundancy check (CRC) of the </w:t>
      </w:r>
      <w:r w:rsidR="006E4434" w:rsidRPr="00A52AB8">
        <w:t xml:space="preserve">high-level syntax elements of the </w:t>
      </w:r>
      <w:r w:rsidRPr="00A52AB8">
        <w:t xml:space="preserve">decoded atlas associated with </w:t>
      </w:r>
      <w:r w:rsidR="004429AA" w:rsidRPr="00A52AB8">
        <w:t>SeiAtlasID</w:t>
      </w:r>
      <w:r w:rsidRPr="00A52AB8">
        <w:t>. The value of daih_</w:t>
      </w:r>
      <w:r w:rsidR="006E4434" w:rsidRPr="00A52AB8">
        <w:t>hig</w:t>
      </w:r>
      <w:r w:rsidR="00E6618D" w:rsidRPr="00A52AB8">
        <w:t>h</w:t>
      </w:r>
      <w:r w:rsidR="006E4434" w:rsidRPr="00A52AB8">
        <w:t>_level</w:t>
      </w:r>
      <w:r w:rsidRPr="00A52AB8">
        <w:t>_crc shall be equal to the value of crcVal</w:t>
      </w:r>
      <w:r w:rsidR="006E4434" w:rsidRPr="00A52AB8">
        <w:t>,</w:t>
      </w:r>
      <w:r w:rsidRPr="00A52AB8">
        <w:t xml:space="preserve"> obtained using </w:t>
      </w:r>
      <w:r w:rsidR="00E6618D" w:rsidRPr="00A52AB8">
        <w:t xml:space="preserve">the </w:t>
      </w:r>
      <w:r w:rsidRPr="00A52AB8">
        <w:t xml:space="preserve">CRC specification defined in Rec. ITU-T H.271 and the string of bytes </w:t>
      </w:r>
      <w:r w:rsidR="006E4434" w:rsidRPr="00A52AB8">
        <w:t>HighLevel</w:t>
      </w:r>
      <w:r w:rsidRPr="00A52AB8">
        <w:t xml:space="preserve">AtlasData with length </w:t>
      </w:r>
      <w:r w:rsidR="006E4434" w:rsidRPr="00A52AB8">
        <w:t>HighLevel</w:t>
      </w:r>
      <w:r w:rsidRPr="00A52AB8">
        <w:t>AtlasDataBytes, as specified in subclause</w:t>
      </w:r>
      <w:r w:rsidR="000B66DC" w:rsidRPr="00A52AB8">
        <w:t> </w:t>
      </w:r>
      <w:r w:rsidRPr="00496A4D">
        <w:fldChar w:fldCharType="begin"/>
      </w:r>
      <w:r w:rsidRPr="00A52AB8">
        <w:instrText xml:space="preserve"> REF _Ref44510849 \r \h  \* MERGEFORMAT </w:instrText>
      </w:r>
      <w:r w:rsidRPr="00496A4D">
        <w:fldChar w:fldCharType="separate"/>
      </w:r>
      <w:r w:rsidR="00507A67">
        <w:t>F.3.16.2.2</w:t>
      </w:r>
      <w:r w:rsidRPr="00496A4D">
        <w:fldChar w:fldCharType="end"/>
      </w:r>
      <w:r w:rsidRPr="00A52AB8">
        <w:t>:</w:t>
      </w:r>
    </w:p>
    <w:p w14:paraId="4D2DC164" w14:textId="27B18C56" w:rsidR="00A169E8" w:rsidRPr="00A52AB8" w:rsidRDefault="00A169E8" w:rsidP="00FB4953">
      <w:pPr>
        <w:tabs>
          <w:tab w:val="clear" w:pos="2016"/>
        </w:tabs>
        <w:spacing w:before="120"/>
      </w:pPr>
      <w:r w:rsidRPr="00A52AB8">
        <w:tab/>
        <w:t>crc</w:t>
      </w:r>
      <w:r w:rsidR="00D47707" w:rsidRPr="00A52AB8">
        <w:t> = </w:t>
      </w:r>
      <w:r w:rsidRPr="00A52AB8">
        <w:t>0xFFFF</w:t>
      </w:r>
      <w:r w:rsidRPr="00A52AB8">
        <w:br/>
      </w:r>
      <w:r w:rsidRPr="00A52AB8">
        <w:tab/>
      </w:r>
      <w:r w:rsidR="006E4434" w:rsidRPr="00A52AB8">
        <w:t>HighLevel</w:t>
      </w:r>
      <w:r w:rsidRPr="00A52AB8">
        <w:t>AtlasData[ </w:t>
      </w:r>
      <w:r w:rsidR="006E4434" w:rsidRPr="00A52AB8">
        <w:t>HighLevel</w:t>
      </w:r>
      <w:r w:rsidRPr="00A52AB8">
        <w:t>AtlasDataBytes ]</w:t>
      </w:r>
      <w:r w:rsidR="00D47707" w:rsidRPr="00A52AB8">
        <w:t> = </w:t>
      </w:r>
      <w:r w:rsidRPr="00A52AB8">
        <w:t>0</w:t>
      </w:r>
      <w:r w:rsidRPr="00A52AB8">
        <w:br/>
      </w:r>
      <w:r w:rsidRPr="00A52AB8">
        <w:tab/>
      </w:r>
      <w:r w:rsidR="006E4434" w:rsidRPr="00A52AB8">
        <w:t>HighLevel</w:t>
      </w:r>
      <w:r w:rsidRPr="00A52AB8">
        <w:t>AtlasData[ </w:t>
      </w:r>
      <w:r w:rsidR="006E4434" w:rsidRPr="00A52AB8">
        <w:t>HighLevel</w:t>
      </w:r>
      <w:r w:rsidRPr="00A52AB8">
        <w:t>AtlasDataBytes + 1 ]</w:t>
      </w:r>
      <w:r w:rsidR="00D47707" w:rsidRPr="00A52AB8">
        <w:t> = </w:t>
      </w:r>
      <w:r w:rsidRPr="00A52AB8">
        <w:t>0</w:t>
      </w:r>
      <w:r w:rsidRPr="00A52AB8">
        <w:br/>
      </w:r>
      <w:r w:rsidRPr="00A52AB8">
        <w:tab/>
        <w:t>for( bitIdx</w:t>
      </w:r>
      <w:r w:rsidR="00D47707" w:rsidRPr="00A52AB8">
        <w:t> = </w:t>
      </w:r>
      <w:r w:rsidRPr="00A52AB8">
        <w:t>0; bitIdx &lt; ( </w:t>
      </w:r>
      <w:r w:rsidR="006E4434" w:rsidRPr="00A52AB8">
        <w:t>HighLevel</w:t>
      </w:r>
      <w:r w:rsidRPr="00A52AB8">
        <w:t>AtlasDataBytes + 2 ) * 8; bitIdx++ </w:t>
      </w:r>
      <w:r w:rsidR="008F1F82" w:rsidRPr="00A52AB8">
        <w:t>) {</w:t>
      </w:r>
      <w:r w:rsidRPr="00A52AB8">
        <w:br/>
      </w:r>
      <w:r w:rsidRPr="00A52AB8">
        <w:tab/>
      </w:r>
      <w:r w:rsidRPr="00A52AB8">
        <w:tab/>
        <w:t>dataByte</w:t>
      </w:r>
      <w:r w:rsidR="00D47707" w:rsidRPr="00A52AB8">
        <w:t> = </w:t>
      </w:r>
      <w:r w:rsidR="006E4434" w:rsidRPr="00A52AB8">
        <w:t>HighLevel</w:t>
      </w:r>
      <w:r w:rsidRPr="00A52AB8">
        <w:t>AtlasData[ bitIdx &gt;&gt; 3 ]</w:t>
      </w:r>
      <w:r w:rsidRPr="00A52AB8">
        <w:br/>
      </w:r>
      <w:r w:rsidRPr="00A52AB8">
        <w:tab/>
      </w:r>
      <w:r w:rsidRPr="00A52AB8">
        <w:tab/>
        <w:t>crcMsb</w:t>
      </w:r>
      <w:r w:rsidR="00D47707" w:rsidRPr="00A52AB8">
        <w:t> = </w:t>
      </w:r>
      <w:r w:rsidRPr="00A52AB8">
        <w:t>( crc &gt;&gt; 15 ) &amp; 1</w:t>
      </w:r>
      <w:r w:rsidRPr="00A52AB8">
        <w:br/>
      </w:r>
      <w:r w:rsidRPr="00A52AB8">
        <w:tab/>
      </w:r>
      <w:r w:rsidRPr="00A52AB8">
        <w:tab/>
        <w:t>bitVal</w:t>
      </w:r>
      <w:r w:rsidR="00D47707" w:rsidRPr="00A52AB8">
        <w:t> = </w:t>
      </w:r>
      <w:r w:rsidRPr="00A52AB8">
        <w:t>( dataByte &gt;&gt; ( 7 − ( bitIdx &amp; 7 ) ) ) &amp; 1</w:t>
      </w:r>
      <w:r w:rsidRPr="00A52AB8">
        <w:br/>
      </w:r>
      <w:r w:rsidRPr="00A52AB8">
        <w:tab/>
      </w:r>
      <w:r w:rsidRPr="00A52AB8">
        <w:tab/>
        <w:t>crc</w:t>
      </w:r>
      <w:r w:rsidR="00D47707" w:rsidRPr="00A52AB8">
        <w:t> = </w:t>
      </w:r>
      <w:r w:rsidRPr="00A52AB8">
        <w:t>( ( ( crc &lt;&lt; 1 ) + bitVal ) &amp; 0xFFFF ) ^ ( crcMsb * 0x1021 )</w:t>
      </w:r>
      <w:r w:rsidRPr="00A52AB8">
        <w:br/>
      </w:r>
      <w:r w:rsidRPr="00A52AB8">
        <w:tab/>
        <w:t>}</w:t>
      </w:r>
      <w:r w:rsidRPr="00A52AB8">
        <w:br/>
      </w:r>
      <w:r w:rsidRPr="00A52AB8">
        <w:tab/>
        <w:t>crcVal</w:t>
      </w:r>
      <w:r w:rsidR="00D47707" w:rsidRPr="00A52AB8">
        <w:t> = </w:t>
      </w:r>
      <w:r w:rsidRPr="00A52AB8">
        <w:t>crc</w:t>
      </w:r>
    </w:p>
    <w:p w14:paraId="6F60EB86" w14:textId="458B111F" w:rsidR="00A169E8" w:rsidRPr="00A52AB8" w:rsidRDefault="00A169E8" w:rsidP="00FB4953">
      <w:pPr>
        <w:pStyle w:val="Equation"/>
        <w:tabs>
          <w:tab w:val="left" w:pos="360"/>
          <w:tab w:val="left" w:pos="1170"/>
          <w:tab w:val="left" w:pos="1980"/>
        </w:tabs>
        <w:jc w:val="both"/>
      </w:pPr>
      <w:r w:rsidRPr="00A52AB8">
        <w:rPr>
          <w:b/>
        </w:rPr>
        <w:t>daih_</w:t>
      </w:r>
      <w:r w:rsidR="006E4434" w:rsidRPr="00A52AB8">
        <w:rPr>
          <w:b/>
        </w:rPr>
        <w:t>high_level</w:t>
      </w:r>
      <w:r w:rsidRPr="00A52AB8">
        <w:rPr>
          <w:b/>
        </w:rPr>
        <w:t>_checksum</w:t>
      </w:r>
      <w:r w:rsidRPr="00A52AB8">
        <w:t xml:space="preserve"> is the </w:t>
      </w:r>
      <w:bookmarkStart w:id="5984" w:name="_Hlk49352991"/>
      <w:r w:rsidRPr="00A52AB8">
        <w:t xml:space="preserve">checksum </w:t>
      </w:r>
      <w:bookmarkEnd w:id="5984"/>
      <w:r w:rsidRPr="00A52AB8">
        <w:t xml:space="preserve">of the </w:t>
      </w:r>
      <w:r w:rsidR="006E4434" w:rsidRPr="00A52AB8">
        <w:t xml:space="preserve">high-level syntax elements of the </w:t>
      </w:r>
      <w:r w:rsidRPr="00A52AB8">
        <w:t xml:space="preserve">decoded atlas associated with </w:t>
      </w:r>
      <w:r w:rsidR="004429AA" w:rsidRPr="00A52AB8">
        <w:t>SeiAtlasID</w:t>
      </w:r>
      <w:r w:rsidRPr="00A52AB8">
        <w:t>. The value of daih_</w:t>
      </w:r>
      <w:r w:rsidR="006E4434" w:rsidRPr="00A52AB8">
        <w:t>high_level</w:t>
      </w:r>
      <w:r w:rsidRPr="00A52AB8">
        <w:t>_checksum shall be equal to the value of checksumVal</w:t>
      </w:r>
      <w:r w:rsidR="006E4434" w:rsidRPr="00A52AB8">
        <w:t>,</w:t>
      </w:r>
      <w:r w:rsidRPr="00A52AB8">
        <w:t xml:space="preserve"> obtained using the string of bytes </w:t>
      </w:r>
      <w:r w:rsidR="006E4434" w:rsidRPr="00A52AB8">
        <w:t>HighLevel</w:t>
      </w:r>
      <w:r w:rsidRPr="00A52AB8">
        <w:t xml:space="preserve">AtlasData with length </w:t>
      </w:r>
      <w:r w:rsidR="006E4434" w:rsidRPr="00A52AB8">
        <w:t>HighLevel</w:t>
      </w:r>
      <w:r w:rsidRPr="00A52AB8">
        <w:t>AtlasDataBytes, as specified in subclause</w:t>
      </w:r>
      <w:r w:rsidR="000B66DC" w:rsidRPr="00A52AB8">
        <w:t> </w:t>
      </w:r>
      <w:r w:rsidRPr="00496A4D">
        <w:fldChar w:fldCharType="begin"/>
      </w:r>
      <w:r w:rsidRPr="00A52AB8">
        <w:instrText xml:space="preserve"> REF _Ref44510849 \r \h  \* MERGEFORMAT </w:instrText>
      </w:r>
      <w:r w:rsidRPr="00496A4D">
        <w:fldChar w:fldCharType="separate"/>
      </w:r>
      <w:r w:rsidR="00507A67">
        <w:t>F.3.16.2.2</w:t>
      </w:r>
      <w:r w:rsidRPr="00496A4D">
        <w:fldChar w:fldCharType="end"/>
      </w:r>
      <w:r w:rsidRPr="00A52AB8">
        <w:t>:</w:t>
      </w:r>
    </w:p>
    <w:p w14:paraId="7438577B" w14:textId="6EE32862" w:rsidR="00A169E8" w:rsidRPr="00A52AB8" w:rsidRDefault="00A169E8" w:rsidP="00FB4953">
      <w:pPr>
        <w:tabs>
          <w:tab w:val="clear" w:pos="2016"/>
        </w:tabs>
        <w:spacing w:before="120"/>
      </w:pPr>
      <w:r w:rsidRPr="00A52AB8">
        <w:tab/>
        <w:t>checksum</w:t>
      </w:r>
      <w:r w:rsidR="00D47707" w:rsidRPr="00A52AB8">
        <w:t> = </w:t>
      </w:r>
      <w:r w:rsidRPr="00A52AB8">
        <w:t>0</w:t>
      </w:r>
      <w:r w:rsidRPr="00A52AB8">
        <w:br/>
      </w:r>
      <w:r w:rsidRPr="00A52AB8">
        <w:tab/>
        <w:t>for( i</w:t>
      </w:r>
      <w:r w:rsidR="00D47707" w:rsidRPr="00A52AB8">
        <w:t> = </w:t>
      </w:r>
      <w:r w:rsidRPr="00A52AB8">
        <w:t>0; i &lt; </w:t>
      </w:r>
      <w:r w:rsidR="006E4434" w:rsidRPr="00A52AB8">
        <w:t>HighLevel</w:t>
      </w:r>
      <w:r w:rsidRPr="00A52AB8">
        <w:t>AtlasDataBytes ; i++ </w:t>
      </w:r>
      <w:r w:rsidR="008F1F82" w:rsidRPr="00A52AB8">
        <w:t>) {</w:t>
      </w:r>
      <w:r w:rsidRPr="00A52AB8">
        <w:br/>
      </w:r>
      <w:r w:rsidRPr="00A52AB8">
        <w:tab/>
      </w:r>
      <w:r w:rsidRPr="00A52AB8">
        <w:tab/>
        <w:t>xorMask</w:t>
      </w:r>
      <w:r w:rsidR="00D47707" w:rsidRPr="00A52AB8">
        <w:t> = </w:t>
      </w:r>
      <w:r w:rsidRPr="00A52AB8">
        <w:t>( i &amp; 0xFF ) ^ ( i &gt;&gt; 8 )</w:t>
      </w:r>
      <w:r w:rsidRPr="00A52AB8">
        <w:br/>
      </w:r>
      <w:r w:rsidRPr="00A52AB8">
        <w:tab/>
      </w:r>
      <w:r w:rsidRPr="00A52AB8">
        <w:tab/>
        <w:t>checksum</w:t>
      </w:r>
      <w:r w:rsidR="00D47707" w:rsidRPr="00A52AB8">
        <w:t> = </w:t>
      </w:r>
      <w:r w:rsidRPr="00A52AB8">
        <w:t>( checksum + ( </w:t>
      </w:r>
      <w:r w:rsidR="006E4434" w:rsidRPr="00A52AB8">
        <w:t>HighLevel</w:t>
      </w:r>
      <w:r w:rsidRPr="00A52AB8">
        <w:t>AtlasData[ i ] &amp; 0xFF) ^ xorMask) &amp; 0xFFFFFFFF</w:t>
      </w:r>
      <w:r w:rsidRPr="00A52AB8">
        <w:br/>
      </w:r>
      <w:r w:rsidRPr="00A52AB8">
        <w:tab/>
      </w:r>
      <w:r w:rsidRPr="00A52AB8">
        <w:tab/>
        <w:t>checksum</w:t>
      </w:r>
      <w:r w:rsidR="00D47707" w:rsidRPr="00A52AB8">
        <w:t> = </w:t>
      </w:r>
      <w:r w:rsidRPr="00A52AB8">
        <w:t>( checksum + ( </w:t>
      </w:r>
      <w:r w:rsidR="006E4434" w:rsidRPr="00A52AB8">
        <w:t>HighLevel</w:t>
      </w:r>
      <w:r w:rsidRPr="00A52AB8">
        <w:t>AtlasData[ i ] &gt;&gt; 8) ^ xorMask) &amp; 0xFFFFFFFF</w:t>
      </w:r>
      <w:r w:rsidRPr="00A52AB8">
        <w:br/>
      </w:r>
      <w:r w:rsidRPr="00A52AB8">
        <w:tab/>
        <w:t>}</w:t>
      </w:r>
    </w:p>
    <w:p w14:paraId="308107CA" w14:textId="7D9E97A4" w:rsidR="00842EEB" w:rsidRPr="00A52AB8" w:rsidRDefault="00842EEB" w:rsidP="00842EEB">
      <w:r w:rsidRPr="00A52AB8">
        <w:rPr>
          <w:b/>
        </w:rPr>
        <w:t>daih_atlas_md5</w:t>
      </w:r>
      <w:r w:rsidRPr="00A52AB8">
        <w:t xml:space="preserve">[ i ] </w:t>
      </w:r>
      <w:r w:rsidR="0070707A" w:rsidRPr="00A52AB8">
        <w:t xml:space="preserve">is </w:t>
      </w:r>
      <w:r w:rsidR="001442D7" w:rsidRPr="00A52AB8">
        <w:t xml:space="preserve">the i-th byte </w:t>
      </w:r>
      <w:r w:rsidR="0070707A" w:rsidRPr="00A52AB8">
        <w:t>of</w:t>
      </w:r>
      <w:r w:rsidRPr="00A52AB8">
        <w:t xml:space="preserve"> the 16-byte MD5 hash of the decoded atlas associated with </w:t>
      </w:r>
      <w:r w:rsidR="004429AA" w:rsidRPr="00A52AB8">
        <w:t>SeiAtlasID</w:t>
      </w:r>
      <w:r w:rsidRPr="00A52AB8">
        <w:t>. The value of daih_atlas_md5[ i ] shall be equal to the value of digestVal</w:t>
      </w:r>
      <w:r w:rsidR="00E6618D" w:rsidRPr="00A52AB8">
        <w:t>[ i ]</w:t>
      </w:r>
      <w:r w:rsidR="009643FF" w:rsidRPr="00A52AB8">
        <w:t>,</w:t>
      </w:r>
      <w:r w:rsidRPr="00A52AB8">
        <w:t xml:space="preserve"> obtained using the MD5 functions defined in IETF RFC 1321</w:t>
      </w:r>
      <w:r w:rsidR="00406255" w:rsidRPr="00A52AB8">
        <w:t xml:space="preserve"> and the string of bytes </w:t>
      </w:r>
      <w:r w:rsidR="00C10BA1" w:rsidRPr="00A52AB8">
        <w:t>A</w:t>
      </w:r>
      <w:r w:rsidR="00406255" w:rsidRPr="00A52AB8">
        <w:t xml:space="preserve">tlasData with length </w:t>
      </w:r>
      <w:r w:rsidR="00C10BA1" w:rsidRPr="00A52AB8">
        <w:t>A</w:t>
      </w:r>
      <w:r w:rsidR="001442D7" w:rsidRPr="00A52AB8">
        <w:t>tlasDataBytes</w:t>
      </w:r>
      <w:r w:rsidR="00406255" w:rsidRPr="00A52AB8">
        <w:t xml:space="preserve">, as specified in </w:t>
      </w:r>
      <w:r w:rsidR="00663DB9" w:rsidRPr="00A52AB8">
        <w:t>subclause</w:t>
      </w:r>
      <w:r w:rsidR="000B66DC" w:rsidRPr="00A52AB8">
        <w:t> </w:t>
      </w:r>
      <w:r w:rsidR="00F47C3D" w:rsidRPr="00496A4D">
        <w:fldChar w:fldCharType="begin"/>
      </w:r>
      <w:r w:rsidR="00F47C3D" w:rsidRPr="00A52AB8">
        <w:instrText xml:space="preserve"> REF _Ref49095388 \r \h </w:instrText>
      </w:r>
      <w:r w:rsidR="00007BE2" w:rsidRPr="00A52AB8">
        <w:instrText xml:space="preserve"> \* MERGEFORMAT </w:instrText>
      </w:r>
      <w:r w:rsidR="00F47C3D" w:rsidRPr="00496A4D">
        <w:fldChar w:fldCharType="separate"/>
      </w:r>
      <w:r w:rsidR="00507A67">
        <w:t>F.3.16.2.3</w:t>
      </w:r>
      <w:r w:rsidR="00F47C3D" w:rsidRPr="00496A4D">
        <w:fldChar w:fldCharType="end"/>
      </w:r>
      <w:r w:rsidRPr="00A52AB8">
        <w:t>:</w:t>
      </w:r>
    </w:p>
    <w:p w14:paraId="61149ED5" w14:textId="041F319F" w:rsidR="00842EEB" w:rsidRPr="00A52AB8" w:rsidRDefault="0088312C" w:rsidP="00FB4953">
      <w:pPr>
        <w:tabs>
          <w:tab w:val="clear" w:pos="2016"/>
        </w:tabs>
        <w:spacing w:before="120"/>
      </w:pPr>
      <w:r w:rsidRPr="00A52AB8">
        <w:tab/>
      </w:r>
      <w:r w:rsidR="00842EEB" w:rsidRPr="00A52AB8">
        <w:t>MD5Init( context )</w:t>
      </w:r>
      <w:r w:rsidR="00842EEB" w:rsidRPr="00A52AB8">
        <w:br/>
      </w:r>
      <w:r w:rsidRPr="00A52AB8">
        <w:tab/>
      </w:r>
      <w:r w:rsidR="00842EEB" w:rsidRPr="00A52AB8">
        <w:t>MD5Update( context, </w:t>
      </w:r>
      <w:r w:rsidR="00C10BA1" w:rsidRPr="00A52AB8">
        <w:t>A</w:t>
      </w:r>
      <w:r w:rsidR="00842EEB" w:rsidRPr="00A52AB8">
        <w:t>tlasData, </w:t>
      </w:r>
      <w:r w:rsidR="00C10BA1" w:rsidRPr="00A52AB8">
        <w:t>A</w:t>
      </w:r>
      <w:r w:rsidR="001442D7" w:rsidRPr="00A52AB8">
        <w:t>tlasDataBytes</w:t>
      </w:r>
      <w:r w:rsidR="00842EEB" w:rsidRPr="00A52AB8">
        <w:t> )</w:t>
      </w:r>
      <w:r w:rsidR="00842EEB" w:rsidRPr="00A52AB8">
        <w:br/>
      </w:r>
      <w:r w:rsidRPr="00A52AB8">
        <w:tab/>
      </w:r>
      <w:r w:rsidR="00842EEB" w:rsidRPr="00A52AB8">
        <w:t>MD5Final( digestVal, context )</w:t>
      </w:r>
    </w:p>
    <w:p w14:paraId="6F1E3209" w14:textId="6A300816" w:rsidR="00842EEB" w:rsidRPr="00A52AB8" w:rsidRDefault="00842EEB" w:rsidP="00842EEB">
      <w:r w:rsidRPr="00A52AB8">
        <w:rPr>
          <w:b/>
        </w:rPr>
        <w:t>daih_atlas_crc</w:t>
      </w:r>
      <w:r w:rsidRPr="00A52AB8">
        <w:t xml:space="preserve"> is the cyclic redundancy check (CRC) of the decoded atlas associated with </w:t>
      </w:r>
      <w:r w:rsidR="004429AA" w:rsidRPr="00A52AB8">
        <w:t>SeiAtlasID</w:t>
      </w:r>
      <w:r w:rsidRPr="00A52AB8">
        <w:t>. The value of daih_atlas_crc shall be equal to the value of crcVal</w:t>
      </w:r>
      <w:r w:rsidR="006E4434" w:rsidRPr="00A52AB8">
        <w:t>,</w:t>
      </w:r>
      <w:r w:rsidRPr="00A52AB8">
        <w:t xml:space="preserve"> obtained using </w:t>
      </w:r>
      <w:r w:rsidR="00E6618D" w:rsidRPr="00A52AB8">
        <w:t xml:space="preserve">the </w:t>
      </w:r>
      <w:r w:rsidRPr="00A52AB8">
        <w:t>CRC specification defined in Rec. ITU-T H.271</w:t>
      </w:r>
      <w:r w:rsidR="00406255" w:rsidRPr="00A52AB8">
        <w:t xml:space="preserve"> and the string of bytes </w:t>
      </w:r>
      <w:r w:rsidR="00C10BA1" w:rsidRPr="00A52AB8">
        <w:t>A</w:t>
      </w:r>
      <w:r w:rsidR="00406255" w:rsidRPr="00A52AB8">
        <w:t xml:space="preserve">tlasData with length </w:t>
      </w:r>
      <w:r w:rsidR="00C10BA1" w:rsidRPr="00A52AB8">
        <w:t>A</w:t>
      </w:r>
      <w:r w:rsidR="001442D7" w:rsidRPr="00A52AB8">
        <w:t>tlasDataBytes</w:t>
      </w:r>
      <w:r w:rsidR="00406255" w:rsidRPr="00A52AB8">
        <w:t xml:space="preserve">, as specified in </w:t>
      </w:r>
      <w:r w:rsidR="00693B38" w:rsidRPr="00A52AB8">
        <w:t>subclause</w:t>
      </w:r>
      <w:r w:rsidR="000B66DC" w:rsidRPr="00A52AB8">
        <w:t> </w:t>
      </w:r>
      <w:r w:rsidR="00F47C3D" w:rsidRPr="00496A4D">
        <w:fldChar w:fldCharType="begin"/>
      </w:r>
      <w:r w:rsidR="00F47C3D" w:rsidRPr="00A52AB8">
        <w:instrText xml:space="preserve"> REF _Ref49095388 \r \h </w:instrText>
      </w:r>
      <w:r w:rsidR="00007BE2" w:rsidRPr="00A52AB8">
        <w:instrText xml:space="preserve"> \* MERGEFORMAT </w:instrText>
      </w:r>
      <w:r w:rsidR="00F47C3D" w:rsidRPr="00496A4D">
        <w:fldChar w:fldCharType="separate"/>
      </w:r>
      <w:r w:rsidR="00507A67">
        <w:t>F.3.16.2.3</w:t>
      </w:r>
      <w:r w:rsidR="00F47C3D" w:rsidRPr="00496A4D">
        <w:fldChar w:fldCharType="end"/>
      </w:r>
      <w:r w:rsidRPr="00A52AB8">
        <w:t>:</w:t>
      </w:r>
    </w:p>
    <w:p w14:paraId="7472693E" w14:textId="25323670" w:rsidR="00842EEB" w:rsidRPr="00A52AB8" w:rsidRDefault="00773351" w:rsidP="00FB4953">
      <w:pPr>
        <w:tabs>
          <w:tab w:val="clear" w:pos="2016"/>
        </w:tabs>
        <w:spacing w:before="120"/>
      </w:pPr>
      <w:r w:rsidRPr="00A52AB8">
        <w:tab/>
      </w:r>
      <w:r w:rsidR="00842EEB" w:rsidRPr="00A52AB8">
        <w:t>crc</w:t>
      </w:r>
      <w:r w:rsidR="00D47707" w:rsidRPr="00A52AB8">
        <w:t> = </w:t>
      </w:r>
      <w:r w:rsidR="00842EEB" w:rsidRPr="00A52AB8">
        <w:t>0xFFFF</w:t>
      </w:r>
      <w:r w:rsidR="00842EEB" w:rsidRPr="00A52AB8">
        <w:br/>
      </w:r>
      <w:r w:rsidRPr="00A52AB8">
        <w:tab/>
      </w:r>
      <w:r w:rsidR="00C10BA1" w:rsidRPr="00A52AB8">
        <w:t>A</w:t>
      </w:r>
      <w:r w:rsidR="00842EEB" w:rsidRPr="00A52AB8">
        <w:t>tlasData[ </w:t>
      </w:r>
      <w:r w:rsidR="00C10BA1" w:rsidRPr="00A52AB8">
        <w:t>A</w:t>
      </w:r>
      <w:r w:rsidR="001442D7" w:rsidRPr="00A52AB8">
        <w:t>tlasDataBytes</w:t>
      </w:r>
      <w:r w:rsidR="00842EEB" w:rsidRPr="00A52AB8">
        <w:t> ]</w:t>
      </w:r>
      <w:r w:rsidR="00D47707" w:rsidRPr="00A52AB8">
        <w:t> = </w:t>
      </w:r>
      <w:r w:rsidR="00842EEB" w:rsidRPr="00A52AB8">
        <w:t>0</w:t>
      </w:r>
      <w:r w:rsidR="00842EEB" w:rsidRPr="00A52AB8">
        <w:br/>
      </w:r>
      <w:r w:rsidRPr="00A52AB8">
        <w:tab/>
      </w:r>
      <w:r w:rsidR="00C10BA1" w:rsidRPr="00A52AB8">
        <w:t>A</w:t>
      </w:r>
      <w:r w:rsidR="00842EEB" w:rsidRPr="00A52AB8">
        <w:t>tlasData[ </w:t>
      </w:r>
      <w:r w:rsidR="00C10BA1" w:rsidRPr="00A52AB8">
        <w:t>A</w:t>
      </w:r>
      <w:r w:rsidR="001442D7" w:rsidRPr="00A52AB8">
        <w:t>tlasDataBytes</w:t>
      </w:r>
      <w:r w:rsidR="00842EEB" w:rsidRPr="00A52AB8">
        <w:t> + 1 ]</w:t>
      </w:r>
      <w:r w:rsidR="00D47707" w:rsidRPr="00A52AB8">
        <w:t> = </w:t>
      </w:r>
      <w:r w:rsidR="00842EEB" w:rsidRPr="00A52AB8">
        <w:t>0</w:t>
      </w:r>
      <w:r w:rsidR="00842EEB" w:rsidRPr="00A52AB8">
        <w:br/>
      </w:r>
      <w:r w:rsidRPr="00A52AB8">
        <w:tab/>
      </w:r>
      <w:r w:rsidR="00842EEB" w:rsidRPr="00A52AB8">
        <w:t>for(</w:t>
      </w:r>
      <w:r w:rsidR="000A1103" w:rsidRPr="00A52AB8">
        <w:t> </w:t>
      </w:r>
      <w:r w:rsidR="00842EEB" w:rsidRPr="00A52AB8">
        <w:t>bitIdx</w:t>
      </w:r>
      <w:r w:rsidR="00D47707" w:rsidRPr="00A52AB8">
        <w:t> = </w:t>
      </w:r>
      <w:r w:rsidR="00842EEB" w:rsidRPr="00A52AB8">
        <w:t>0;</w:t>
      </w:r>
      <w:r w:rsidR="000A1103" w:rsidRPr="00A52AB8">
        <w:t> </w:t>
      </w:r>
      <w:r w:rsidR="00842EEB" w:rsidRPr="00A52AB8">
        <w:t>bitIdx</w:t>
      </w:r>
      <w:r w:rsidR="000A1103" w:rsidRPr="00A52AB8">
        <w:t> </w:t>
      </w:r>
      <w:r w:rsidR="00842EEB" w:rsidRPr="00A52AB8">
        <w:t>&lt;</w:t>
      </w:r>
      <w:r w:rsidR="000A1103" w:rsidRPr="00A52AB8">
        <w:t> </w:t>
      </w:r>
      <w:r w:rsidR="00842EEB" w:rsidRPr="00A52AB8">
        <w:t>(</w:t>
      </w:r>
      <w:r w:rsidR="000A1103" w:rsidRPr="00A52AB8">
        <w:t> </w:t>
      </w:r>
      <w:r w:rsidR="00C10BA1" w:rsidRPr="00A52AB8">
        <w:t>A</w:t>
      </w:r>
      <w:r w:rsidR="001442D7" w:rsidRPr="00A52AB8">
        <w:t>tlasDataBytes</w:t>
      </w:r>
      <w:r w:rsidR="00842EEB" w:rsidRPr="00A52AB8">
        <w:t> + 2</w:t>
      </w:r>
      <w:r w:rsidR="000A1103" w:rsidRPr="00A52AB8">
        <w:t> </w:t>
      </w:r>
      <w:r w:rsidR="00842EEB" w:rsidRPr="00A52AB8">
        <w:t>) * 8;</w:t>
      </w:r>
      <w:r w:rsidR="000A1103" w:rsidRPr="00A52AB8">
        <w:t> </w:t>
      </w:r>
      <w:r w:rsidR="00842EEB" w:rsidRPr="00A52AB8">
        <w:t>bitIdx++</w:t>
      </w:r>
      <w:r w:rsidR="000A1103" w:rsidRPr="00A52AB8">
        <w:t> </w:t>
      </w:r>
      <w:r w:rsidR="008F1F82" w:rsidRPr="00A52AB8">
        <w:t>) {</w:t>
      </w:r>
      <w:r w:rsidR="00842EEB" w:rsidRPr="00A52AB8">
        <w:br/>
      </w:r>
      <w:r w:rsidR="00842EEB" w:rsidRPr="00A52AB8">
        <w:tab/>
      </w:r>
      <w:r w:rsidRPr="00A52AB8">
        <w:tab/>
      </w:r>
      <w:r w:rsidR="00842EEB" w:rsidRPr="00A52AB8">
        <w:t>dataByte</w:t>
      </w:r>
      <w:r w:rsidR="00D47707" w:rsidRPr="00A52AB8">
        <w:t> = </w:t>
      </w:r>
      <w:r w:rsidR="00C10BA1" w:rsidRPr="00A52AB8">
        <w:t>A</w:t>
      </w:r>
      <w:r w:rsidR="00842EEB" w:rsidRPr="00A52AB8">
        <w:t>tlasData[ bitIdx</w:t>
      </w:r>
      <w:r w:rsidR="000A1103" w:rsidRPr="00A52AB8">
        <w:t> </w:t>
      </w:r>
      <w:r w:rsidR="00842EEB" w:rsidRPr="00A52AB8">
        <w:t>&gt;&gt;</w:t>
      </w:r>
      <w:r w:rsidR="000A1103" w:rsidRPr="00A52AB8">
        <w:t> </w:t>
      </w:r>
      <w:r w:rsidR="00842EEB" w:rsidRPr="00A52AB8">
        <w:t>3 ]</w:t>
      </w:r>
      <w:r w:rsidR="00842EEB" w:rsidRPr="00A52AB8">
        <w:br/>
      </w:r>
      <w:r w:rsidR="00842EEB" w:rsidRPr="00A52AB8">
        <w:tab/>
      </w:r>
      <w:r w:rsidRPr="00A52AB8">
        <w:tab/>
      </w:r>
      <w:r w:rsidR="00842EEB" w:rsidRPr="00A52AB8">
        <w:t>crcMsb</w:t>
      </w:r>
      <w:r w:rsidR="00D47707" w:rsidRPr="00A52AB8">
        <w:t> = </w:t>
      </w:r>
      <w:r w:rsidR="00842EEB" w:rsidRPr="00A52AB8">
        <w:t>(</w:t>
      </w:r>
      <w:r w:rsidR="00276EF7" w:rsidRPr="00A52AB8">
        <w:t> </w:t>
      </w:r>
      <w:r w:rsidR="00842EEB" w:rsidRPr="00A52AB8">
        <w:t>crc</w:t>
      </w:r>
      <w:r w:rsidR="00276EF7" w:rsidRPr="00A52AB8">
        <w:t> </w:t>
      </w:r>
      <w:r w:rsidR="00842EEB" w:rsidRPr="00A52AB8">
        <w:t>&gt;&gt;</w:t>
      </w:r>
      <w:r w:rsidR="000A1103" w:rsidRPr="00A52AB8">
        <w:t> </w:t>
      </w:r>
      <w:r w:rsidR="00842EEB" w:rsidRPr="00A52AB8">
        <w:t>15</w:t>
      </w:r>
      <w:r w:rsidR="000A1103" w:rsidRPr="00A52AB8">
        <w:t> </w:t>
      </w:r>
      <w:r w:rsidR="00842EEB" w:rsidRPr="00A52AB8">
        <w:t>)</w:t>
      </w:r>
      <w:r w:rsidR="000A1103" w:rsidRPr="00A52AB8">
        <w:t> </w:t>
      </w:r>
      <w:r w:rsidR="00842EEB" w:rsidRPr="00A52AB8">
        <w:t>&amp;</w:t>
      </w:r>
      <w:r w:rsidR="000A1103" w:rsidRPr="00A52AB8">
        <w:t> </w:t>
      </w:r>
      <w:r w:rsidR="00842EEB" w:rsidRPr="00A52AB8">
        <w:t>1</w:t>
      </w:r>
      <w:r w:rsidR="00842EEB" w:rsidRPr="00A52AB8">
        <w:br/>
      </w:r>
      <w:r w:rsidR="00842EEB" w:rsidRPr="00A52AB8">
        <w:tab/>
      </w:r>
      <w:r w:rsidRPr="00A52AB8">
        <w:tab/>
      </w:r>
      <w:r w:rsidR="00842EEB" w:rsidRPr="00A52AB8">
        <w:t>bitVal</w:t>
      </w:r>
      <w:r w:rsidR="00D47707" w:rsidRPr="00A52AB8">
        <w:t> = </w:t>
      </w:r>
      <w:r w:rsidR="00842EEB" w:rsidRPr="00A52AB8">
        <w:t>(</w:t>
      </w:r>
      <w:r w:rsidR="000A1103" w:rsidRPr="00A52AB8">
        <w:t> </w:t>
      </w:r>
      <w:r w:rsidR="00842EEB" w:rsidRPr="00A52AB8">
        <w:t>dataByte</w:t>
      </w:r>
      <w:r w:rsidR="000A1103" w:rsidRPr="00A52AB8">
        <w:t> </w:t>
      </w:r>
      <w:r w:rsidR="00842EEB" w:rsidRPr="00A52AB8">
        <w:t>&gt;&gt;</w:t>
      </w:r>
      <w:r w:rsidR="000A1103" w:rsidRPr="00A52AB8">
        <w:t> </w:t>
      </w:r>
      <w:r w:rsidR="00842EEB" w:rsidRPr="00A52AB8">
        <w:t>(</w:t>
      </w:r>
      <w:r w:rsidR="000A1103" w:rsidRPr="00A52AB8">
        <w:t> </w:t>
      </w:r>
      <w:r w:rsidR="00842EEB" w:rsidRPr="00A52AB8">
        <w:t>7</w:t>
      </w:r>
      <w:r w:rsidR="000A1103" w:rsidRPr="00A52AB8">
        <w:t> </w:t>
      </w:r>
      <w:r w:rsidR="00842EEB" w:rsidRPr="00A52AB8">
        <w:t>−</w:t>
      </w:r>
      <w:r w:rsidR="000A1103" w:rsidRPr="00A52AB8">
        <w:t> </w:t>
      </w:r>
      <w:r w:rsidR="00842EEB" w:rsidRPr="00A52AB8">
        <w:t>(</w:t>
      </w:r>
      <w:r w:rsidR="000A1103" w:rsidRPr="00A52AB8">
        <w:t> </w:t>
      </w:r>
      <w:r w:rsidR="00842EEB" w:rsidRPr="00A52AB8">
        <w:t>bitIdx</w:t>
      </w:r>
      <w:r w:rsidR="000A1103" w:rsidRPr="00A52AB8">
        <w:t> </w:t>
      </w:r>
      <w:r w:rsidR="00842EEB" w:rsidRPr="00A52AB8">
        <w:t>&amp;</w:t>
      </w:r>
      <w:r w:rsidR="000A1103" w:rsidRPr="00A52AB8">
        <w:t> </w:t>
      </w:r>
      <w:r w:rsidR="00842EEB" w:rsidRPr="00A52AB8">
        <w:t>7</w:t>
      </w:r>
      <w:r w:rsidR="000A1103" w:rsidRPr="00A52AB8">
        <w:t> </w:t>
      </w:r>
      <w:r w:rsidR="00842EEB" w:rsidRPr="00A52AB8">
        <w:t>)</w:t>
      </w:r>
      <w:r w:rsidR="000A1103" w:rsidRPr="00A52AB8">
        <w:t> </w:t>
      </w:r>
      <w:r w:rsidR="00842EEB" w:rsidRPr="00A52AB8">
        <w:t>)</w:t>
      </w:r>
      <w:r w:rsidR="000A1103" w:rsidRPr="00A52AB8">
        <w:t> </w:t>
      </w:r>
      <w:r w:rsidR="00842EEB" w:rsidRPr="00A52AB8">
        <w:t>)</w:t>
      </w:r>
      <w:r w:rsidR="000A1103" w:rsidRPr="00A52AB8">
        <w:t> </w:t>
      </w:r>
      <w:r w:rsidR="00842EEB" w:rsidRPr="00A52AB8">
        <w:t>&amp;</w:t>
      </w:r>
      <w:r w:rsidR="000A1103" w:rsidRPr="00A52AB8">
        <w:t> </w:t>
      </w:r>
      <w:r w:rsidR="00842EEB" w:rsidRPr="00A52AB8">
        <w:t>1</w:t>
      </w:r>
      <w:r w:rsidR="00842EEB" w:rsidRPr="00A52AB8">
        <w:br/>
      </w:r>
      <w:r w:rsidR="00842EEB" w:rsidRPr="00A52AB8">
        <w:tab/>
      </w:r>
      <w:r w:rsidRPr="00A52AB8">
        <w:tab/>
      </w:r>
      <w:r w:rsidR="00842EEB" w:rsidRPr="00A52AB8">
        <w:t>crc</w:t>
      </w:r>
      <w:r w:rsidR="00D47707" w:rsidRPr="00A52AB8">
        <w:t> = </w:t>
      </w:r>
      <w:r w:rsidR="00842EEB" w:rsidRPr="00A52AB8">
        <w:t>(</w:t>
      </w:r>
      <w:r w:rsidR="000A1103" w:rsidRPr="00A52AB8">
        <w:t> </w:t>
      </w:r>
      <w:r w:rsidR="00842EEB" w:rsidRPr="00A52AB8">
        <w:t>(</w:t>
      </w:r>
      <w:r w:rsidR="000A1103" w:rsidRPr="00A52AB8">
        <w:t> </w:t>
      </w:r>
      <w:r w:rsidR="00842EEB" w:rsidRPr="00A52AB8">
        <w:t>(</w:t>
      </w:r>
      <w:r w:rsidR="000A1103" w:rsidRPr="00A52AB8">
        <w:t> </w:t>
      </w:r>
      <w:r w:rsidR="00842EEB" w:rsidRPr="00A52AB8">
        <w:t>crc</w:t>
      </w:r>
      <w:r w:rsidR="00766CC9" w:rsidRPr="00A52AB8">
        <w:t> </w:t>
      </w:r>
      <w:r w:rsidR="00842EEB" w:rsidRPr="00A52AB8">
        <w:t>&lt;&lt;</w:t>
      </w:r>
      <w:r w:rsidR="000A1103" w:rsidRPr="00A52AB8">
        <w:t> </w:t>
      </w:r>
      <w:r w:rsidR="00842EEB" w:rsidRPr="00A52AB8">
        <w:t>1</w:t>
      </w:r>
      <w:r w:rsidR="000A1103" w:rsidRPr="00A52AB8">
        <w:t> </w:t>
      </w:r>
      <w:r w:rsidR="00842EEB" w:rsidRPr="00A52AB8">
        <w:t>)</w:t>
      </w:r>
      <w:r w:rsidR="000A1103" w:rsidRPr="00A52AB8">
        <w:t> </w:t>
      </w:r>
      <w:r w:rsidR="00842EEB" w:rsidRPr="00A52AB8">
        <w:t>+</w:t>
      </w:r>
      <w:r w:rsidR="000A1103" w:rsidRPr="00A52AB8">
        <w:t> </w:t>
      </w:r>
      <w:r w:rsidR="00842EEB" w:rsidRPr="00A52AB8">
        <w:t>bitVal</w:t>
      </w:r>
      <w:r w:rsidR="000A1103" w:rsidRPr="00A52AB8">
        <w:t> </w:t>
      </w:r>
      <w:r w:rsidR="00842EEB" w:rsidRPr="00A52AB8">
        <w:t>)</w:t>
      </w:r>
      <w:r w:rsidR="000A1103" w:rsidRPr="00A52AB8">
        <w:t> </w:t>
      </w:r>
      <w:r w:rsidR="00842EEB" w:rsidRPr="00A52AB8">
        <w:t>&amp;</w:t>
      </w:r>
      <w:r w:rsidR="000A1103" w:rsidRPr="00A52AB8">
        <w:t> </w:t>
      </w:r>
      <w:r w:rsidR="00842EEB" w:rsidRPr="00A52AB8">
        <w:t>0xFFFF</w:t>
      </w:r>
      <w:r w:rsidR="000A1103" w:rsidRPr="00A52AB8">
        <w:t> </w:t>
      </w:r>
      <w:r w:rsidR="00842EEB" w:rsidRPr="00A52AB8">
        <w:t>)</w:t>
      </w:r>
      <w:r w:rsidR="000A1103" w:rsidRPr="00A52AB8">
        <w:t> </w:t>
      </w:r>
      <w:r w:rsidR="00842EEB" w:rsidRPr="00A52AB8">
        <w:t>^</w:t>
      </w:r>
      <w:r w:rsidR="000A1103" w:rsidRPr="00A52AB8">
        <w:t> </w:t>
      </w:r>
      <w:r w:rsidR="00842EEB" w:rsidRPr="00A52AB8">
        <w:t>(</w:t>
      </w:r>
      <w:r w:rsidR="000A1103" w:rsidRPr="00A52AB8">
        <w:t> </w:t>
      </w:r>
      <w:r w:rsidR="00842EEB" w:rsidRPr="00A52AB8">
        <w:t>crcMsb</w:t>
      </w:r>
      <w:r w:rsidR="000A1103" w:rsidRPr="00A52AB8">
        <w:t> </w:t>
      </w:r>
      <w:r w:rsidR="00842EEB" w:rsidRPr="00A52AB8">
        <w:t>*</w:t>
      </w:r>
      <w:r w:rsidR="000A1103" w:rsidRPr="00A52AB8">
        <w:t> </w:t>
      </w:r>
      <w:r w:rsidR="00842EEB" w:rsidRPr="00A52AB8">
        <w:t>0x1021</w:t>
      </w:r>
      <w:r w:rsidR="000A1103" w:rsidRPr="00A52AB8">
        <w:t> </w:t>
      </w:r>
      <w:r w:rsidR="00842EEB" w:rsidRPr="00A52AB8">
        <w:t>)</w:t>
      </w:r>
      <w:r w:rsidR="00842EEB" w:rsidRPr="00A52AB8">
        <w:br/>
      </w:r>
      <w:r w:rsidRPr="00A52AB8">
        <w:tab/>
      </w:r>
      <w:r w:rsidR="00842EEB" w:rsidRPr="00A52AB8">
        <w:t>}</w:t>
      </w:r>
      <w:r w:rsidR="00842EEB" w:rsidRPr="00A52AB8">
        <w:br/>
      </w:r>
      <w:r w:rsidRPr="00A52AB8">
        <w:tab/>
      </w:r>
      <w:r w:rsidR="00842EEB" w:rsidRPr="00A52AB8">
        <w:t>crcVal</w:t>
      </w:r>
      <w:r w:rsidR="00D47707" w:rsidRPr="00A52AB8">
        <w:t> = </w:t>
      </w:r>
      <w:r w:rsidR="00842EEB" w:rsidRPr="00A52AB8">
        <w:t>crc</w:t>
      </w:r>
    </w:p>
    <w:p w14:paraId="643C77F7" w14:textId="27B2A1AD" w:rsidR="00842EEB" w:rsidRPr="00A52AB8" w:rsidRDefault="00842EEB" w:rsidP="00FB4953">
      <w:pPr>
        <w:pStyle w:val="Equation"/>
        <w:tabs>
          <w:tab w:val="left" w:pos="360"/>
          <w:tab w:val="left" w:pos="1170"/>
          <w:tab w:val="left" w:pos="1980"/>
        </w:tabs>
        <w:jc w:val="both"/>
      </w:pPr>
      <w:r w:rsidRPr="00A52AB8">
        <w:rPr>
          <w:b/>
        </w:rPr>
        <w:t>daih_atlas_checksum</w:t>
      </w:r>
      <w:r w:rsidRPr="00A52AB8">
        <w:t xml:space="preserve"> is the checksum of the decoded atlas associated with </w:t>
      </w:r>
      <w:r w:rsidR="004429AA" w:rsidRPr="00A52AB8">
        <w:t>SeiAtlasID</w:t>
      </w:r>
      <w:r w:rsidRPr="00A52AB8">
        <w:t>. The value of daih_atlas_checksum shall be equal to the value of checksumVal</w:t>
      </w:r>
      <w:r w:rsidR="006E4434" w:rsidRPr="00A52AB8">
        <w:t>,</w:t>
      </w:r>
      <w:r w:rsidRPr="00A52AB8">
        <w:t xml:space="preserve"> obtained</w:t>
      </w:r>
      <w:r w:rsidR="00406255" w:rsidRPr="00A52AB8">
        <w:t xml:space="preserve"> using the string of bytes </w:t>
      </w:r>
      <w:r w:rsidR="00C10BA1" w:rsidRPr="00A52AB8">
        <w:t>A</w:t>
      </w:r>
      <w:r w:rsidR="00406255" w:rsidRPr="00A52AB8">
        <w:t xml:space="preserve">tlasData with length </w:t>
      </w:r>
      <w:r w:rsidR="00C10BA1" w:rsidRPr="00A52AB8">
        <w:t>A</w:t>
      </w:r>
      <w:r w:rsidR="00782605" w:rsidRPr="00A52AB8">
        <w:t>tlasDataBytes</w:t>
      </w:r>
      <w:r w:rsidR="00406255" w:rsidRPr="00A52AB8">
        <w:t xml:space="preserve">, as specified in </w:t>
      </w:r>
      <w:r w:rsidR="00693B38" w:rsidRPr="00A52AB8">
        <w:t>subclause</w:t>
      </w:r>
      <w:r w:rsidR="000B66DC" w:rsidRPr="00A52AB8">
        <w:t> </w:t>
      </w:r>
      <w:r w:rsidR="00F47C3D" w:rsidRPr="00496A4D">
        <w:fldChar w:fldCharType="begin"/>
      </w:r>
      <w:r w:rsidR="00F47C3D" w:rsidRPr="00A52AB8">
        <w:instrText xml:space="preserve"> REF _Ref49095388 \r \h </w:instrText>
      </w:r>
      <w:r w:rsidR="00895F6E" w:rsidRPr="00A52AB8">
        <w:instrText xml:space="preserve"> \* MERGEFORMAT </w:instrText>
      </w:r>
      <w:r w:rsidR="00F47C3D" w:rsidRPr="00496A4D">
        <w:fldChar w:fldCharType="separate"/>
      </w:r>
      <w:r w:rsidR="00507A67">
        <w:t>F.3.16.2.3</w:t>
      </w:r>
      <w:r w:rsidR="00F47C3D" w:rsidRPr="00496A4D">
        <w:fldChar w:fldCharType="end"/>
      </w:r>
      <w:r w:rsidRPr="00A52AB8">
        <w:t>:</w:t>
      </w:r>
    </w:p>
    <w:p w14:paraId="7ED33616" w14:textId="7432AD14" w:rsidR="00842EEB" w:rsidRPr="00A52AB8" w:rsidRDefault="00773351" w:rsidP="00FB4953">
      <w:pPr>
        <w:tabs>
          <w:tab w:val="clear" w:pos="2016"/>
        </w:tabs>
        <w:spacing w:before="120"/>
      </w:pPr>
      <w:r w:rsidRPr="00A52AB8">
        <w:tab/>
      </w:r>
      <w:r w:rsidR="00842EEB" w:rsidRPr="00A52AB8">
        <w:t>checksum</w:t>
      </w:r>
      <w:r w:rsidR="00D47707" w:rsidRPr="00A52AB8">
        <w:t> = </w:t>
      </w:r>
      <w:r w:rsidR="00842EEB" w:rsidRPr="00A52AB8">
        <w:t>0</w:t>
      </w:r>
      <w:r w:rsidR="00842EEB" w:rsidRPr="00A52AB8">
        <w:br/>
      </w:r>
      <w:r w:rsidRPr="00A52AB8">
        <w:tab/>
      </w:r>
      <w:r w:rsidR="00842EEB" w:rsidRPr="00A52AB8">
        <w:t>for( i</w:t>
      </w:r>
      <w:r w:rsidR="00D47707" w:rsidRPr="00A52AB8">
        <w:t> = </w:t>
      </w:r>
      <w:r w:rsidR="00842EEB" w:rsidRPr="00A52AB8">
        <w:t>0; i &lt; </w:t>
      </w:r>
      <w:r w:rsidR="00C10BA1" w:rsidRPr="00A52AB8">
        <w:t>A</w:t>
      </w:r>
      <w:r w:rsidR="00782605" w:rsidRPr="00A52AB8">
        <w:t>tlasDataBytes</w:t>
      </w:r>
      <w:r w:rsidR="00842EEB" w:rsidRPr="00A52AB8">
        <w:t> ; i</w:t>
      </w:r>
      <w:r w:rsidR="00006CCF" w:rsidRPr="00A52AB8">
        <w:t>++ </w:t>
      </w:r>
      <w:r w:rsidR="008F1F82" w:rsidRPr="00A52AB8">
        <w:t>) {</w:t>
      </w:r>
      <w:r w:rsidR="00842EEB" w:rsidRPr="00A52AB8">
        <w:br/>
      </w:r>
      <w:r w:rsidR="00842EEB" w:rsidRPr="00A52AB8">
        <w:tab/>
      </w:r>
      <w:r w:rsidR="00842EEB" w:rsidRPr="00A52AB8">
        <w:tab/>
        <w:t>xorMask</w:t>
      </w:r>
      <w:r w:rsidR="00D47707" w:rsidRPr="00A52AB8">
        <w:t> = </w:t>
      </w:r>
      <w:r w:rsidR="00842EEB" w:rsidRPr="00A52AB8">
        <w:t>( i &amp; 0xFF ) ^ ( i &gt;&gt; 8 )</w:t>
      </w:r>
      <w:r w:rsidR="00842EEB" w:rsidRPr="00A52AB8">
        <w:br/>
      </w:r>
      <w:r w:rsidR="00842EEB" w:rsidRPr="00A52AB8">
        <w:tab/>
      </w:r>
      <w:r w:rsidR="00842EEB" w:rsidRPr="00A52AB8">
        <w:tab/>
        <w:t>checksum</w:t>
      </w:r>
      <w:r w:rsidR="00D47707" w:rsidRPr="00A52AB8">
        <w:t> = </w:t>
      </w:r>
      <w:r w:rsidR="00842EEB" w:rsidRPr="00A52AB8">
        <w:t>( checksum + ( </w:t>
      </w:r>
      <w:r w:rsidR="00C10BA1" w:rsidRPr="00A52AB8">
        <w:t>A</w:t>
      </w:r>
      <w:r w:rsidR="00842EEB" w:rsidRPr="00A52AB8">
        <w:t>tlasData[ i ]</w:t>
      </w:r>
      <w:r w:rsidRPr="00A52AB8">
        <w:t> </w:t>
      </w:r>
      <w:r w:rsidR="00842EEB" w:rsidRPr="00A52AB8">
        <w:t>&amp;</w:t>
      </w:r>
      <w:r w:rsidRPr="00A52AB8">
        <w:t> </w:t>
      </w:r>
      <w:r w:rsidR="00842EEB" w:rsidRPr="00A52AB8">
        <w:t>0xFF</w:t>
      </w:r>
      <w:r w:rsidR="008768E9" w:rsidRPr="00A52AB8">
        <w:t> </w:t>
      </w:r>
      <w:r w:rsidR="00842EEB" w:rsidRPr="00A52AB8">
        <w:t>)</w:t>
      </w:r>
      <w:r w:rsidRPr="00A52AB8">
        <w:t> </w:t>
      </w:r>
      <w:r w:rsidR="00842EEB" w:rsidRPr="00A52AB8">
        <w:t>^</w:t>
      </w:r>
      <w:r w:rsidRPr="00A52AB8">
        <w:t> </w:t>
      </w:r>
      <w:r w:rsidR="00842EEB" w:rsidRPr="00A52AB8">
        <w:t>xorMask</w:t>
      </w:r>
      <w:r w:rsidR="008768E9" w:rsidRPr="00A52AB8">
        <w:t> </w:t>
      </w:r>
      <w:r w:rsidR="00842EEB" w:rsidRPr="00A52AB8">
        <w:t>)</w:t>
      </w:r>
      <w:r w:rsidRPr="00A52AB8">
        <w:t> </w:t>
      </w:r>
      <w:r w:rsidR="00842EEB" w:rsidRPr="00A52AB8">
        <w:t>&amp;</w:t>
      </w:r>
      <w:r w:rsidRPr="00A52AB8">
        <w:t> </w:t>
      </w:r>
      <w:r w:rsidR="00842EEB" w:rsidRPr="00A52AB8">
        <w:t>0xFFFFFFFF</w:t>
      </w:r>
      <w:r w:rsidR="00842EEB" w:rsidRPr="00A52AB8">
        <w:br/>
      </w:r>
      <w:r w:rsidR="00842EEB" w:rsidRPr="00A52AB8">
        <w:tab/>
      </w:r>
      <w:r w:rsidR="00842EEB" w:rsidRPr="00A52AB8">
        <w:tab/>
        <w:t>checksum</w:t>
      </w:r>
      <w:r w:rsidR="00D47707" w:rsidRPr="00A52AB8">
        <w:t> = </w:t>
      </w:r>
      <w:r w:rsidR="00842EEB" w:rsidRPr="00A52AB8">
        <w:t>( checksum + ( </w:t>
      </w:r>
      <w:r w:rsidR="00C10BA1" w:rsidRPr="00A52AB8">
        <w:t>A</w:t>
      </w:r>
      <w:r w:rsidR="00842EEB" w:rsidRPr="00A52AB8">
        <w:t>tlasData[ i ]</w:t>
      </w:r>
      <w:r w:rsidR="008768E9" w:rsidRPr="00A52AB8">
        <w:t> &gt;&gt; </w:t>
      </w:r>
      <w:r w:rsidR="00842EEB" w:rsidRPr="00A52AB8">
        <w:t>8</w:t>
      </w:r>
      <w:r w:rsidR="008768E9" w:rsidRPr="00A52AB8">
        <w:t> </w:t>
      </w:r>
      <w:r w:rsidR="00842EEB" w:rsidRPr="00A52AB8">
        <w:t>)</w:t>
      </w:r>
      <w:r w:rsidRPr="00A52AB8">
        <w:t> </w:t>
      </w:r>
      <w:r w:rsidR="00842EEB" w:rsidRPr="00A52AB8">
        <w:t>^</w:t>
      </w:r>
      <w:r w:rsidRPr="00A52AB8">
        <w:t> </w:t>
      </w:r>
      <w:r w:rsidR="00842EEB" w:rsidRPr="00A52AB8">
        <w:t>xorMask</w:t>
      </w:r>
      <w:r w:rsidR="008768E9" w:rsidRPr="00A52AB8">
        <w:t> </w:t>
      </w:r>
      <w:r w:rsidR="00842EEB" w:rsidRPr="00A52AB8">
        <w:t>)</w:t>
      </w:r>
      <w:r w:rsidRPr="00A52AB8">
        <w:t> </w:t>
      </w:r>
      <w:r w:rsidR="00842EEB" w:rsidRPr="00A52AB8">
        <w:t>&amp;</w:t>
      </w:r>
      <w:r w:rsidRPr="00A52AB8">
        <w:t> </w:t>
      </w:r>
      <w:r w:rsidR="00842EEB" w:rsidRPr="00A52AB8">
        <w:t>0xFFFFFFFF</w:t>
      </w:r>
      <w:r w:rsidR="00842EEB" w:rsidRPr="00A52AB8">
        <w:br/>
      </w:r>
      <w:r w:rsidRPr="00A52AB8">
        <w:tab/>
      </w:r>
      <w:r w:rsidR="00842EEB" w:rsidRPr="00A52AB8">
        <w:t>}</w:t>
      </w:r>
    </w:p>
    <w:p w14:paraId="07CEF7C3" w14:textId="61C4CAE1" w:rsidR="00842EEB" w:rsidRPr="00A52AB8" w:rsidRDefault="00842EEB" w:rsidP="00842EEB">
      <w:r w:rsidRPr="00A52AB8">
        <w:rPr>
          <w:b/>
        </w:rPr>
        <w:t>daih_atlas_b2p_md5</w:t>
      </w:r>
      <w:r w:rsidRPr="00A52AB8">
        <w:t xml:space="preserve">[ i ] </w:t>
      </w:r>
      <w:r w:rsidR="0070707A" w:rsidRPr="00A52AB8">
        <w:t>is the i</w:t>
      </w:r>
      <w:r w:rsidR="0084006D" w:rsidRPr="00A52AB8">
        <w:t>-th</w:t>
      </w:r>
      <w:r w:rsidR="0084006D" w:rsidRPr="00A52AB8">
        <w:rPr>
          <w:vertAlign w:val="superscript"/>
        </w:rPr>
        <w:t xml:space="preserve"> </w:t>
      </w:r>
      <w:r w:rsidR="0070707A" w:rsidRPr="00A52AB8">
        <w:t>byte of</w:t>
      </w:r>
      <w:r w:rsidRPr="00A52AB8">
        <w:t xml:space="preserve"> the 16-byte MD5 hash </w:t>
      </w:r>
      <w:r w:rsidR="0017377E" w:rsidRPr="00A52AB8">
        <w:t xml:space="preserve">of the </w:t>
      </w:r>
      <w:r w:rsidR="0051474F" w:rsidRPr="00A52AB8">
        <w:t xml:space="preserve">block to patch map </w:t>
      </w:r>
      <w:r w:rsidRPr="00A52AB8">
        <w:t xml:space="preserve">of the atlas associated with </w:t>
      </w:r>
      <w:r w:rsidR="004429AA" w:rsidRPr="00A52AB8">
        <w:t>SeiAtlasID</w:t>
      </w:r>
      <w:r w:rsidRPr="00A52AB8">
        <w:t xml:space="preserve">. The value of daih_atlas_b2p_md5[ i ] shall be equal to </w:t>
      </w:r>
      <w:r w:rsidR="00C205D7" w:rsidRPr="00A52AB8">
        <w:t xml:space="preserve">the value </w:t>
      </w:r>
      <w:r w:rsidRPr="00A52AB8">
        <w:t>digestVal</w:t>
      </w:r>
      <w:r w:rsidR="00E6618D" w:rsidRPr="00A52AB8">
        <w:t>[ i ]</w:t>
      </w:r>
      <w:r w:rsidR="00C205D7" w:rsidRPr="00A52AB8">
        <w:t>,</w:t>
      </w:r>
      <w:r w:rsidRPr="00A52AB8">
        <w:t xml:space="preserve"> obtained using the MD5 functions defined in IETF RFC 1321</w:t>
      </w:r>
      <w:r w:rsidR="00C205D7" w:rsidRPr="00A52AB8">
        <w:t xml:space="preserve"> </w:t>
      </w:r>
      <w:r w:rsidR="00406255" w:rsidRPr="00A52AB8">
        <w:t xml:space="preserve">and the string of bytes </w:t>
      </w:r>
      <w:r w:rsidR="00C10BA1" w:rsidRPr="00A52AB8">
        <w:rPr>
          <w:rFonts w:eastAsia="MS Mincho"/>
        </w:rPr>
        <w:t>A</w:t>
      </w:r>
      <w:r w:rsidR="00406255" w:rsidRPr="00A52AB8">
        <w:rPr>
          <w:rFonts w:eastAsia="MS Mincho"/>
        </w:rPr>
        <w:t>tlasB2</w:t>
      </w:r>
      <w:r w:rsidR="00782605" w:rsidRPr="00A52AB8">
        <w:rPr>
          <w:rFonts w:eastAsia="MS Mincho"/>
        </w:rPr>
        <w:t>P</w:t>
      </w:r>
      <w:r w:rsidR="00406255" w:rsidRPr="00A52AB8">
        <w:rPr>
          <w:rFonts w:eastAsia="MS Mincho"/>
        </w:rPr>
        <w:t>Data</w:t>
      </w:r>
      <w:r w:rsidR="00406255" w:rsidRPr="00A52AB8">
        <w:t xml:space="preserve"> with length </w:t>
      </w:r>
      <w:r w:rsidR="00782605" w:rsidRPr="00A52AB8">
        <w:t>Atlas</w:t>
      </w:r>
      <w:r w:rsidR="00C10BA1" w:rsidRPr="00A52AB8">
        <w:rPr>
          <w:rFonts w:eastAsia="MS Mincho"/>
        </w:rPr>
        <w:t>B</w:t>
      </w:r>
      <w:r w:rsidR="00406255" w:rsidRPr="00A52AB8">
        <w:rPr>
          <w:rFonts w:eastAsia="MS Mincho"/>
        </w:rPr>
        <w:t>2</w:t>
      </w:r>
      <w:r w:rsidR="00782605" w:rsidRPr="00A52AB8">
        <w:rPr>
          <w:rFonts w:eastAsia="MS Mincho"/>
        </w:rPr>
        <w:t>PDataBytes</w:t>
      </w:r>
      <w:r w:rsidR="00406255" w:rsidRPr="00A52AB8">
        <w:t xml:space="preserve">, as specified in </w:t>
      </w:r>
      <w:r w:rsidR="00693B38" w:rsidRPr="00A52AB8">
        <w:t>subclause</w:t>
      </w:r>
      <w:r w:rsidR="000B66DC" w:rsidRPr="00A52AB8">
        <w:t> </w:t>
      </w:r>
      <w:r w:rsidR="00835C43" w:rsidRPr="00496A4D">
        <w:fldChar w:fldCharType="begin"/>
      </w:r>
      <w:r w:rsidR="00835C43" w:rsidRPr="00A52AB8">
        <w:instrText xml:space="preserve"> REF _Ref44510974 \r \h </w:instrText>
      </w:r>
      <w:r w:rsidR="00007BE2" w:rsidRPr="00A52AB8">
        <w:instrText xml:space="preserve"> \* MERGEFORMAT </w:instrText>
      </w:r>
      <w:r w:rsidR="00835C43" w:rsidRPr="00496A4D">
        <w:fldChar w:fldCharType="separate"/>
      </w:r>
      <w:r w:rsidR="00507A67">
        <w:t>F.3.16.2.5</w:t>
      </w:r>
      <w:r w:rsidR="00835C43" w:rsidRPr="00496A4D">
        <w:fldChar w:fldCharType="end"/>
      </w:r>
      <w:r w:rsidRPr="00A52AB8">
        <w:t>:</w:t>
      </w:r>
    </w:p>
    <w:p w14:paraId="2A039A6E" w14:textId="2F5DEF55" w:rsidR="00842EEB" w:rsidRPr="00A52AB8" w:rsidRDefault="0088312C" w:rsidP="00FB4953">
      <w:pPr>
        <w:tabs>
          <w:tab w:val="clear" w:pos="2016"/>
        </w:tabs>
        <w:spacing w:before="120"/>
      </w:pPr>
      <w:r w:rsidRPr="00A52AB8">
        <w:tab/>
      </w:r>
      <w:r w:rsidR="00842EEB" w:rsidRPr="00A52AB8">
        <w:t>MD5Init( context )</w:t>
      </w:r>
      <w:r w:rsidR="00842EEB" w:rsidRPr="00A52AB8">
        <w:br/>
      </w:r>
      <w:r w:rsidRPr="00A52AB8">
        <w:tab/>
      </w:r>
      <w:r w:rsidR="00842EEB" w:rsidRPr="00A52AB8">
        <w:t>MD5Update( context, </w:t>
      </w:r>
      <w:r w:rsidR="00C10BA1" w:rsidRPr="00A52AB8">
        <w:t>A</w:t>
      </w:r>
      <w:r w:rsidR="00842EEB" w:rsidRPr="00A52AB8">
        <w:t>tlasB2</w:t>
      </w:r>
      <w:r w:rsidR="00782605" w:rsidRPr="00A52AB8">
        <w:t>P</w:t>
      </w:r>
      <w:r w:rsidR="00842EEB" w:rsidRPr="00A52AB8">
        <w:t>Data, </w:t>
      </w:r>
      <w:r w:rsidR="00782605" w:rsidRPr="00A52AB8">
        <w:t>AtlasB2PDataBytes</w:t>
      </w:r>
      <w:r w:rsidR="00842EEB" w:rsidRPr="00A52AB8">
        <w:t> )</w:t>
      </w:r>
      <w:r w:rsidR="00842EEB" w:rsidRPr="00A52AB8">
        <w:br/>
      </w:r>
      <w:r w:rsidRPr="00A52AB8">
        <w:tab/>
      </w:r>
      <w:r w:rsidR="00842EEB" w:rsidRPr="00A52AB8">
        <w:t>MD5Final( digestVal, context )</w:t>
      </w:r>
    </w:p>
    <w:p w14:paraId="67483657" w14:textId="29D6084E" w:rsidR="00842EEB" w:rsidRPr="00A52AB8" w:rsidRDefault="00842EEB" w:rsidP="00842EEB">
      <w:r w:rsidRPr="00A52AB8">
        <w:rPr>
          <w:b/>
        </w:rPr>
        <w:t>daih_atlas_b2p_crc</w:t>
      </w:r>
      <w:r w:rsidRPr="00A52AB8">
        <w:t xml:space="preserve"> is the cyclic redundancy check (CRC) of the </w:t>
      </w:r>
      <w:r w:rsidR="0051474F" w:rsidRPr="00A52AB8">
        <w:t xml:space="preserve">block to patch map </w:t>
      </w:r>
      <w:r w:rsidR="00E21CB5" w:rsidRPr="00A52AB8">
        <w:t xml:space="preserve">of the </w:t>
      </w:r>
      <w:r w:rsidRPr="00A52AB8">
        <w:t xml:space="preserve">atlas associated with </w:t>
      </w:r>
      <w:r w:rsidR="004429AA" w:rsidRPr="00A52AB8">
        <w:t>SeiAtlasID</w:t>
      </w:r>
      <w:r w:rsidRPr="00A52AB8">
        <w:t>. The value of daih_atlas_b2p_crc shall be equal to the value of crcVal</w:t>
      </w:r>
      <w:r w:rsidR="006E4434" w:rsidRPr="00A52AB8">
        <w:t>,</w:t>
      </w:r>
      <w:r w:rsidRPr="00A52AB8">
        <w:t xml:space="preserve"> obtained using </w:t>
      </w:r>
      <w:r w:rsidR="00E6618D" w:rsidRPr="00A52AB8">
        <w:t xml:space="preserve">the </w:t>
      </w:r>
      <w:r w:rsidRPr="00A52AB8">
        <w:t>CRC specification defined in Rec. ITU-T H.271</w:t>
      </w:r>
      <w:r w:rsidR="00406255" w:rsidRPr="00A52AB8">
        <w:t xml:space="preserve"> and the string of bytes </w:t>
      </w:r>
      <w:r w:rsidR="00C10BA1" w:rsidRPr="00A52AB8">
        <w:rPr>
          <w:rFonts w:eastAsia="MS Mincho"/>
        </w:rPr>
        <w:t>A</w:t>
      </w:r>
      <w:r w:rsidR="00406255" w:rsidRPr="00A52AB8">
        <w:rPr>
          <w:rFonts w:eastAsia="MS Mincho"/>
        </w:rPr>
        <w:t>tlasB2</w:t>
      </w:r>
      <w:r w:rsidR="00782605" w:rsidRPr="00A52AB8">
        <w:rPr>
          <w:rFonts w:eastAsia="MS Mincho"/>
        </w:rPr>
        <w:t>P</w:t>
      </w:r>
      <w:r w:rsidR="00406255" w:rsidRPr="00A52AB8">
        <w:rPr>
          <w:rFonts w:eastAsia="MS Mincho"/>
        </w:rPr>
        <w:t>Data</w:t>
      </w:r>
      <w:r w:rsidR="00406255" w:rsidRPr="00A52AB8">
        <w:t xml:space="preserve"> with length </w:t>
      </w:r>
      <w:r w:rsidR="00782605" w:rsidRPr="00A52AB8">
        <w:t>Atlas</w:t>
      </w:r>
      <w:r w:rsidR="00C10BA1" w:rsidRPr="00A52AB8">
        <w:rPr>
          <w:rFonts w:eastAsia="MS Mincho"/>
        </w:rPr>
        <w:t>B</w:t>
      </w:r>
      <w:r w:rsidR="00406255" w:rsidRPr="00A52AB8">
        <w:rPr>
          <w:rFonts w:eastAsia="MS Mincho"/>
        </w:rPr>
        <w:t>2</w:t>
      </w:r>
      <w:r w:rsidR="00782605" w:rsidRPr="00A52AB8">
        <w:rPr>
          <w:rFonts w:eastAsia="MS Mincho"/>
        </w:rPr>
        <w:t>PDataBytes</w:t>
      </w:r>
      <w:r w:rsidR="00406255" w:rsidRPr="00A52AB8">
        <w:t xml:space="preserve">, as specified in </w:t>
      </w:r>
      <w:r w:rsidR="00693B38" w:rsidRPr="00A52AB8">
        <w:t>subclause</w:t>
      </w:r>
      <w:r w:rsidR="000B66DC" w:rsidRPr="00A52AB8">
        <w:t> </w:t>
      </w:r>
      <w:r w:rsidR="00835C43" w:rsidRPr="00496A4D">
        <w:fldChar w:fldCharType="begin"/>
      </w:r>
      <w:r w:rsidR="00835C43" w:rsidRPr="00A52AB8">
        <w:instrText xml:space="preserve"> REF _Ref44510974 \r \h </w:instrText>
      </w:r>
      <w:r w:rsidR="00007BE2" w:rsidRPr="00A52AB8">
        <w:instrText xml:space="preserve"> \* MERGEFORMAT </w:instrText>
      </w:r>
      <w:r w:rsidR="00835C43" w:rsidRPr="00496A4D">
        <w:fldChar w:fldCharType="separate"/>
      </w:r>
      <w:r w:rsidR="00507A67">
        <w:t>F.3.16.2.5</w:t>
      </w:r>
      <w:r w:rsidR="00835C43" w:rsidRPr="00496A4D">
        <w:fldChar w:fldCharType="end"/>
      </w:r>
      <w:r w:rsidRPr="00A52AB8">
        <w:t>:</w:t>
      </w:r>
    </w:p>
    <w:p w14:paraId="58599347" w14:textId="694B0DDF" w:rsidR="00842EEB" w:rsidRPr="00A52AB8" w:rsidRDefault="005D11E6" w:rsidP="00FB4953">
      <w:pPr>
        <w:tabs>
          <w:tab w:val="clear" w:pos="2016"/>
        </w:tabs>
        <w:spacing w:before="120"/>
      </w:pPr>
      <w:r w:rsidRPr="00A52AB8">
        <w:tab/>
      </w:r>
      <w:r w:rsidR="00842EEB" w:rsidRPr="00A52AB8">
        <w:t>crc</w:t>
      </w:r>
      <w:r w:rsidR="00D47707" w:rsidRPr="00A52AB8">
        <w:t> = </w:t>
      </w:r>
      <w:r w:rsidR="00842EEB" w:rsidRPr="00A52AB8">
        <w:t>0xFFFF</w:t>
      </w:r>
      <w:r w:rsidR="00842EEB" w:rsidRPr="00A52AB8">
        <w:br/>
      </w:r>
      <w:r w:rsidRPr="00A52AB8">
        <w:tab/>
      </w:r>
      <w:r w:rsidR="00C10BA1" w:rsidRPr="00A52AB8">
        <w:t>A</w:t>
      </w:r>
      <w:r w:rsidR="00842EEB" w:rsidRPr="00A52AB8">
        <w:t>tlasB2</w:t>
      </w:r>
      <w:r w:rsidR="00782605" w:rsidRPr="00A52AB8">
        <w:t>P</w:t>
      </w:r>
      <w:r w:rsidR="00842EEB" w:rsidRPr="00A52AB8">
        <w:t>Data[ </w:t>
      </w:r>
      <w:r w:rsidR="00782605" w:rsidRPr="00A52AB8">
        <w:t>AtlasB2PDataBytes</w:t>
      </w:r>
      <w:r w:rsidR="00842EEB" w:rsidRPr="00A52AB8">
        <w:t> ]</w:t>
      </w:r>
      <w:r w:rsidR="00D47707" w:rsidRPr="00A52AB8">
        <w:t> = </w:t>
      </w:r>
      <w:r w:rsidR="00842EEB" w:rsidRPr="00A52AB8">
        <w:t>0</w:t>
      </w:r>
      <w:r w:rsidR="00842EEB" w:rsidRPr="00A52AB8">
        <w:br/>
      </w:r>
      <w:r w:rsidRPr="00A52AB8">
        <w:tab/>
      </w:r>
      <w:r w:rsidR="00C10BA1" w:rsidRPr="00A52AB8">
        <w:t>A</w:t>
      </w:r>
      <w:r w:rsidR="00842EEB" w:rsidRPr="00A52AB8">
        <w:t>tlasB2</w:t>
      </w:r>
      <w:r w:rsidR="00782605" w:rsidRPr="00A52AB8">
        <w:t>P</w:t>
      </w:r>
      <w:r w:rsidR="00842EEB" w:rsidRPr="00A52AB8">
        <w:t>Data[ </w:t>
      </w:r>
      <w:r w:rsidR="00782605" w:rsidRPr="00A52AB8">
        <w:t>AtlasB2PDataBytes</w:t>
      </w:r>
      <w:r w:rsidR="00842EEB" w:rsidRPr="00A52AB8">
        <w:t> + 1 ]</w:t>
      </w:r>
      <w:r w:rsidR="00D47707" w:rsidRPr="00A52AB8">
        <w:t> = </w:t>
      </w:r>
      <w:r w:rsidR="00842EEB" w:rsidRPr="00A52AB8">
        <w:t>0</w:t>
      </w:r>
      <w:r w:rsidR="00842EEB" w:rsidRPr="00A52AB8">
        <w:br/>
      </w:r>
      <w:r w:rsidRPr="00A52AB8">
        <w:tab/>
      </w:r>
      <w:r w:rsidR="00842EEB" w:rsidRPr="00A52AB8">
        <w:t>for( bitIdx</w:t>
      </w:r>
      <w:r w:rsidR="00D47707" w:rsidRPr="00A52AB8">
        <w:t> = </w:t>
      </w:r>
      <w:r w:rsidR="00842EEB" w:rsidRPr="00A52AB8">
        <w:t>0; bitIdx &lt; ( </w:t>
      </w:r>
      <w:r w:rsidR="00782605" w:rsidRPr="00A52AB8">
        <w:t>AtlasB2PDataBytes</w:t>
      </w:r>
      <w:r w:rsidR="00842EEB" w:rsidRPr="00A52AB8">
        <w:t> + 2 ) * 8; bitIdx</w:t>
      </w:r>
      <w:r w:rsidR="00006CCF" w:rsidRPr="00A52AB8">
        <w:t>++ </w:t>
      </w:r>
      <w:r w:rsidR="008F1F82" w:rsidRPr="00A52AB8">
        <w:t>) {</w:t>
      </w:r>
      <w:r w:rsidR="00842EEB" w:rsidRPr="00A52AB8">
        <w:br/>
      </w:r>
      <w:r w:rsidR="00842EEB" w:rsidRPr="00A52AB8">
        <w:tab/>
      </w:r>
      <w:r w:rsidRPr="00A52AB8">
        <w:tab/>
      </w:r>
      <w:r w:rsidR="00842EEB" w:rsidRPr="00A52AB8">
        <w:t>dataByte</w:t>
      </w:r>
      <w:r w:rsidR="00D47707" w:rsidRPr="00A52AB8">
        <w:t> = </w:t>
      </w:r>
      <w:r w:rsidR="00C10BA1" w:rsidRPr="00A52AB8">
        <w:t>A</w:t>
      </w:r>
      <w:r w:rsidR="00842EEB" w:rsidRPr="00A52AB8">
        <w:t>tlasB2</w:t>
      </w:r>
      <w:r w:rsidR="00782605" w:rsidRPr="00A52AB8">
        <w:t>P</w:t>
      </w:r>
      <w:r w:rsidR="00842EEB" w:rsidRPr="00A52AB8">
        <w:t>Data[ bitIdx</w:t>
      </w:r>
      <w:r w:rsidR="008768E9" w:rsidRPr="00A52AB8">
        <w:t> &gt;&gt; </w:t>
      </w:r>
      <w:r w:rsidR="00842EEB" w:rsidRPr="00A52AB8">
        <w:t>3 ]</w:t>
      </w:r>
      <w:r w:rsidR="00842EEB" w:rsidRPr="00A52AB8">
        <w:br/>
      </w:r>
      <w:r w:rsidR="00842EEB" w:rsidRPr="00A52AB8">
        <w:tab/>
      </w:r>
      <w:r w:rsidRPr="00A52AB8">
        <w:tab/>
      </w:r>
      <w:r w:rsidR="00842EEB" w:rsidRPr="00A52AB8">
        <w:t>crcMsb</w:t>
      </w:r>
      <w:r w:rsidR="00D47707" w:rsidRPr="00A52AB8">
        <w:t> = </w:t>
      </w:r>
      <w:r w:rsidR="00842EEB" w:rsidRPr="00A52AB8">
        <w:t>(</w:t>
      </w:r>
      <w:r w:rsidR="00782605" w:rsidRPr="00A52AB8">
        <w:t> </w:t>
      </w:r>
      <w:r w:rsidR="00842EEB" w:rsidRPr="00A52AB8">
        <w:t>crc</w:t>
      </w:r>
      <w:r w:rsidR="008768E9" w:rsidRPr="00A52AB8">
        <w:t> &gt;&gt; </w:t>
      </w:r>
      <w:r w:rsidR="00842EEB" w:rsidRPr="00A52AB8">
        <w:t>15</w:t>
      </w:r>
      <w:r w:rsidR="00782605" w:rsidRPr="00A52AB8">
        <w:t> </w:t>
      </w:r>
      <w:r w:rsidR="00842EEB" w:rsidRPr="00A52AB8">
        <w:t>)</w:t>
      </w:r>
      <w:r w:rsidR="00782605" w:rsidRPr="00A52AB8">
        <w:t> </w:t>
      </w:r>
      <w:r w:rsidR="00842EEB" w:rsidRPr="00A52AB8">
        <w:t>&amp;</w:t>
      </w:r>
      <w:r w:rsidR="00782605" w:rsidRPr="00A52AB8">
        <w:t> </w:t>
      </w:r>
      <w:r w:rsidR="00842EEB" w:rsidRPr="00A52AB8">
        <w:t>1</w:t>
      </w:r>
      <w:r w:rsidR="00842EEB" w:rsidRPr="00A52AB8">
        <w:br/>
      </w:r>
      <w:r w:rsidR="00842EEB" w:rsidRPr="00A52AB8">
        <w:tab/>
      </w:r>
      <w:r w:rsidRPr="00A52AB8">
        <w:tab/>
      </w:r>
      <w:r w:rsidR="00842EEB" w:rsidRPr="00A52AB8">
        <w:t>bitVal</w:t>
      </w:r>
      <w:r w:rsidR="00D47707" w:rsidRPr="00A52AB8">
        <w:t> = </w:t>
      </w:r>
      <w:r w:rsidR="00842EEB" w:rsidRPr="00A52AB8">
        <w:t>(</w:t>
      </w:r>
      <w:r w:rsidR="00782605" w:rsidRPr="00A52AB8">
        <w:t> </w:t>
      </w:r>
      <w:r w:rsidR="00842EEB" w:rsidRPr="00A52AB8">
        <w:t>dataByte</w:t>
      </w:r>
      <w:r w:rsidR="00782605" w:rsidRPr="00A52AB8">
        <w:t> </w:t>
      </w:r>
      <w:r w:rsidR="00842EEB" w:rsidRPr="00A52AB8">
        <w:t>&gt;&gt;</w:t>
      </w:r>
      <w:r w:rsidR="00782605" w:rsidRPr="00A52AB8">
        <w:t> </w:t>
      </w:r>
      <w:r w:rsidR="00842EEB" w:rsidRPr="00A52AB8">
        <w:t>(</w:t>
      </w:r>
      <w:r w:rsidR="00782605" w:rsidRPr="00A52AB8">
        <w:t> </w:t>
      </w:r>
      <w:r w:rsidR="00842EEB" w:rsidRPr="00A52AB8">
        <w:t>7</w:t>
      </w:r>
      <w:r w:rsidR="00782605" w:rsidRPr="00A52AB8">
        <w:t> </w:t>
      </w:r>
      <w:r w:rsidR="00842EEB" w:rsidRPr="00A52AB8">
        <w:t>−</w:t>
      </w:r>
      <w:r w:rsidR="00782605" w:rsidRPr="00A52AB8">
        <w:t> </w:t>
      </w:r>
      <w:r w:rsidR="00842EEB" w:rsidRPr="00A52AB8">
        <w:t>(</w:t>
      </w:r>
      <w:r w:rsidR="00782605" w:rsidRPr="00A52AB8">
        <w:t> </w:t>
      </w:r>
      <w:r w:rsidR="00842EEB" w:rsidRPr="00A52AB8">
        <w:t>bitIdx</w:t>
      </w:r>
      <w:r w:rsidR="00782605" w:rsidRPr="00A52AB8">
        <w:t> </w:t>
      </w:r>
      <w:r w:rsidR="00842EEB" w:rsidRPr="00A52AB8">
        <w:t>&amp;</w:t>
      </w:r>
      <w:r w:rsidR="00782605" w:rsidRPr="00A52AB8">
        <w:t> </w:t>
      </w:r>
      <w:r w:rsidR="00842EEB" w:rsidRPr="00A52AB8">
        <w:t>7</w:t>
      </w:r>
      <w:r w:rsidR="00782605" w:rsidRPr="00A52AB8">
        <w:t> </w:t>
      </w:r>
      <w:r w:rsidR="00842EEB" w:rsidRPr="00A52AB8">
        <w:t>)</w:t>
      </w:r>
      <w:r w:rsidR="00782605" w:rsidRPr="00A52AB8">
        <w:t> </w:t>
      </w:r>
      <w:r w:rsidR="00842EEB" w:rsidRPr="00A52AB8">
        <w:t>)</w:t>
      </w:r>
      <w:r w:rsidR="00782605" w:rsidRPr="00A52AB8">
        <w:t> </w:t>
      </w:r>
      <w:r w:rsidR="00842EEB" w:rsidRPr="00A52AB8">
        <w:t>)</w:t>
      </w:r>
      <w:r w:rsidR="00782605" w:rsidRPr="00A52AB8">
        <w:t> </w:t>
      </w:r>
      <w:r w:rsidR="00842EEB" w:rsidRPr="00A52AB8">
        <w:t>&amp;</w:t>
      </w:r>
      <w:r w:rsidR="00782605" w:rsidRPr="00A52AB8">
        <w:t> </w:t>
      </w:r>
      <w:r w:rsidR="00842EEB" w:rsidRPr="00A52AB8">
        <w:t>1</w:t>
      </w:r>
      <w:r w:rsidR="00842EEB" w:rsidRPr="00A52AB8">
        <w:br/>
      </w:r>
      <w:r w:rsidR="00842EEB" w:rsidRPr="00A52AB8">
        <w:tab/>
      </w:r>
      <w:r w:rsidRPr="00A52AB8">
        <w:tab/>
      </w:r>
      <w:r w:rsidR="00842EEB" w:rsidRPr="00A52AB8">
        <w:t>crc</w:t>
      </w:r>
      <w:r w:rsidR="00D47707" w:rsidRPr="00A52AB8">
        <w:t> = </w:t>
      </w:r>
      <w:r w:rsidR="00842EEB" w:rsidRPr="00A52AB8">
        <w:t>(</w:t>
      </w:r>
      <w:r w:rsidR="00782605" w:rsidRPr="00A52AB8">
        <w:t> </w:t>
      </w:r>
      <w:r w:rsidR="00842EEB" w:rsidRPr="00A52AB8">
        <w:t>(</w:t>
      </w:r>
      <w:r w:rsidR="00782605" w:rsidRPr="00A52AB8">
        <w:t> </w:t>
      </w:r>
      <w:r w:rsidR="00842EEB" w:rsidRPr="00A52AB8">
        <w:t>(</w:t>
      </w:r>
      <w:r w:rsidR="00782605" w:rsidRPr="00A52AB8">
        <w:t> </w:t>
      </w:r>
      <w:r w:rsidR="00842EEB" w:rsidRPr="00A52AB8">
        <w:t>crc</w:t>
      </w:r>
      <w:r w:rsidR="00766CC9" w:rsidRPr="00A52AB8">
        <w:t> &lt;&lt; </w:t>
      </w:r>
      <w:r w:rsidR="00842EEB" w:rsidRPr="00A52AB8">
        <w:t>1</w:t>
      </w:r>
      <w:r w:rsidR="00782605" w:rsidRPr="00A52AB8">
        <w:t> </w:t>
      </w:r>
      <w:r w:rsidR="00842EEB" w:rsidRPr="00A52AB8">
        <w:t>)</w:t>
      </w:r>
      <w:r w:rsidR="00782605" w:rsidRPr="00A52AB8">
        <w:t> </w:t>
      </w:r>
      <w:r w:rsidR="00842EEB" w:rsidRPr="00A52AB8">
        <w:t>+</w:t>
      </w:r>
      <w:r w:rsidR="006E0805" w:rsidRPr="00A52AB8">
        <w:t> </w:t>
      </w:r>
      <w:r w:rsidR="00842EEB" w:rsidRPr="00A52AB8">
        <w:t>bitVal</w:t>
      </w:r>
      <w:r w:rsidR="006E0805" w:rsidRPr="00A52AB8">
        <w:t> </w:t>
      </w:r>
      <w:r w:rsidR="00842EEB" w:rsidRPr="00A52AB8">
        <w:t>)</w:t>
      </w:r>
      <w:r w:rsidR="006E0805" w:rsidRPr="00A52AB8">
        <w:t> </w:t>
      </w:r>
      <w:r w:rsidR="00842EEB" w:rsidRPr="00A52AB8">
        <w:t>&amp;</w:t>
      </w:r>
      <w:r w:rsidR="006E0805" w:rsidRPr="00A52AB8">
        <w:t> </w:t>
      </w:r>
      <w:r w:rsidR="00842EEB" w:rsidRPr="00A52AB8">
        <w:t>0xFFFF</w:t>
      </w:r>
      <w:r w:rsidR="006E0805" w:rsidRPr="00A52AB8">
        <w:t> </w:t>
      </w:r>
      <w:r w:rsidR="00842EEB" w:rsidRPr="00A52AB8">
        <w:t>)</w:t>
      </w:r>
      <w:r w:rsidR="006E0805" w:rsidRPr="00A52AB8">
        <w:t> </w:t>
      </w:r>
      <w:r w:rsidR="00842EEB" w:rsidRPr="00A52AB8">
        <w:t>^</w:t>
      </w:r>
      <w:r w:rsidR="006E0805" w:rsidRPr="00A52AB8">
        <w:t> </w:t>
      </w:r>
      <w:r w:rsidR="00842EEB" w:rsidRPr="00A52AB8">
        <w:t>(</w:t>
      </w:r>
      <w:r w:rsidR="006E0805" w:rsidRPr="00A52AB8">
        <w:t> </w:t>
      </w:r>
      <w:r w:rsidR="00842EEB" w:rsidRPr="00A52AB8">
        <w:t>crcMsb</w:t>
      </w:r>
      <w:r w:rsidR="006E0805" w:rsidRPr="00A52AB8">
        <w:t> </w:t>
      </w:r>
      <w:r w:rsidR="00842EEB" w:rsidRPr="00A52AB8">
        <w:t>*</w:t>
      </w:r>
      <w:r w:rsidR="006E0805" w:rsidRPr="00A52AB8">
        <w:t> </w:t>
      </w:r>
      <w:r w:rsidR="00842EEB" w:rsidRPr="00A52AB8">
        <w:t>0x1021</w:t>
      </w:r>
      <w:r w:rsidR="006E0805" w:rsidRPr="00A52AB8">
        <w:t> </w:t>
      </w:r>
      <w:r w:rsidR="00842EEB" w:rsidRPr="00A52AB8">
        <w:t>)</w:t>
      </w:r>
      <w:r w:rsidR="00842EEB" w:rsidRPr="00A52AB8">
        <w:br/>
      </w:r>
      <w:r w:rsidRPr="00A52AB8">
        <w:tab/>
      </w:r>
      <w:r w:rsidR="00842EEB" w:rsidRPr="00A52AB8">
        <w:t>}</w:t>
      </w:r>
      <w:r w:rsidR="00842EEB" w:rsidRPr="00A52AB8">
        <w:br/>
      </w:r>
      <w:r w:rsidRPr="00A52AB8">
        <w:tab/>
      </w:r>
      <w:r w:rsidR="00842EEB" w:rsidRPr="00A52AB8">
        <w:t>crcVal</w:t>
      </w:r>
      <w:r w:rsidR="00D47707" w:rsidRPr="00A52AB8">
        <w:t> = </w:t>
      </w:r>
      <w:r w:rsidR="00842EEB" w:rsidRPr="00A52AB8">
        <w:t>crc</w:t>
      </w:r>
    </w:p>
    <w:p w14:paraId="6DC2C586" w14:textId="6C319CBC" w:rsidR="0050235C" w:rsidRPr="00A52AB8" w:rsidRDefault="00842EEB" w:rsidP="00FB4953">
      <w:pPr>
        <w:pStyle w:val="Equation"/>
        <w:tabs>
          <w:tab w:val="left" w:pos="360"/>
          <w:tab w:val="left" w:pos="1170"/>
          <w:tab w:val="left" w:pos="1980"/>
        </w:tabs>
        <w:jc w:val="both"/>
      </w:pPr>
      <w:r w:rsidRPr="00A52AB8">
        <w:rPr>
          <w:b/>
        </w:rPr>
        <w:t>daih_atlas_b2p_checksum</w:t>
      </w:r>
      <w:r w:rsidRPr="00A52AB8">
        <w:t xml:space="preserve"> is the checksum of the </w:t>
      </w:r>
      <w:r w:rsidR="0051474F" w:rsidRPr="00A52AB8">
        <w:t xml:space="preserve">block to patch map </w:t>
      </w:r>
      <w:r w:rsidR="00E21CB5" w:rsidRPr="00A52AB8">
        <w:t xml:space="preserve">of the </w:t>
      </w:r>
      <w:r w:rsidRPr="00A52AB8">
        <w:t xml:space="preserve">atlas associated with </w:t>
      </w:r>
      <w:r w:rsidR="004429AA" w:rsidRPr="00A52AB8">
        <w:t>SeiAtlasID</w:t>
      </w:r>
      <w:r w:rsidRPr="00A52AB8">
        <w:t>. The value of daih_atlas_b2p_checksum shall be equal to the value of checksumVal</w:t>
      </w:r>
      <w:r w:rsidR="006E4434" w:rsidRPr="00A52AB8">
        <w:t xml:space="preserve">, </w:t>
      </w:r>
      <w:r w:rsidRPr="00A52AB8">
        <w:t>obtained</w:t>
      </w:r>
      <w:r w:rsidR="00406255" w:rsidRPr="00A52AB8">
        <w:t xml:space="preserve"> using the string of bytes </w:t>
      </w:r>
      <w:r w:rsidR="00C10BA1" w:rsidRPr="00A52AB8">
        <w:rPr>
          <w:rFonts w:eastAsia="MS Mincho"/>
        </w:rPr>
        <w:t>A</w:t>
      </w:r>
      <w:r w:rsidR="00406255" w:rsidRPr="00A52AB8">
        <w:rPr>
          <w:rFonts w:eastAsia="MS Mincho"/>
        </w:rPr>
        <w:t>tlasB2</w:t>
      </w:r>
      <w:r w:rsidR="006E0805" w:rsidRPr="00A52AB8">
        <w:rPr>
          <w:rFonts w:eastAsia="MS Mincho"/>
        </w:rPr>
        <w:t>P</w:t>
      </w:r>
      <w:r w:rsidR="00406255" w:rsidRPr="00A52AB8">
        <w:rPr>
          <w:rFonts w:eastAsia="MS Mincho"/>
        </w:rPr>
        <w:t>Data</w:t>
      </w:r>
      <w:r w:rsidR="00406255" w:rsidRPr="00A52AB8">
        <w:t xml:space="preserve"> with length </w:t>
      </w:r>
      <w:r w:rsidR="006E0805" w:rsidRPr="00A52AB8">
        <w:t>Atlas</w:t>
      </w:r>
      <w:r w:rsidR="00C10BA1" w:rsidRPr="00A52AB8">
        <w:rPr>
          <w:rFonts w:eastAsia="MS Mincho"/>
        </w:rPr>
        <w:t>B</w:t>
      </w:r>
      <w:r w:rsidR="00406255" w:rsidRPr="00A52AB8">
        <w:rPr>
          <w:rFonts w:eastAsia="MS Mincho"/>
        </w:rPr>
        <w:t>2</w:t>
      </w:r>
      <w:r w:rsidR="006E0805" w:rsidRPr="00A52AB8">
        <w:rPr>
          <w:rFonts w:eastAsia="MS Mincho"/>
        </w:rPr>
        <w:t>PDataBytes</w:t>
      </w:r>
      <w:r w:rsidR="00406255" w:rsidRPr="00A52AB8">
        <w:rPr>
          <w:rFonts w:eastAsia="MS Mincho"/>
        </w:rPr>
        <w:t> </w:t>
      </w:r>
      <w:r w:rsidR="00406255" w:rsidRPr="00A52AB8">
        <w:t xml:space="preserve">, as specified in </w:t>
      </w:r>
      <w:r w:rsidR="00693B38" w:rsidRPr="00A52AB8">
        <w:t>subclause</w:t>
      </w:r>
      <w:r w:rsidR="00895F6E" w:rsidRPr="00A52AB8">
        <w:t> </w:t>
      </w:r>
      <w:r w:rsidR="00835C43" w:rsidRPr="00496A4D">
        <w:fldChar w:fldCharType="begin"/>
      </w:r>
      <w:r w:rsidR="00835C43" w:rsidRPr="00A52AB8">
        <w:instrText xml:space="preserve"> REF _Ref44510974 \r \h </w:instrText>
      </w:r>
      <w:r w:rsidR="00895F6E" w:rsidRPr="00A52AB8">
        <w:instrText xml:space="preserve"> \* MERGEFORMAT </w:instrText>
      </w:r>
      <w:r w:rsidR="00835C43" w:rsidRPr="00496A4D">
        <w:fldChar w:fldCharType="separate"/>
      </w:r>
      <w:r w:rsidR="00507A67">
        <w:t>F.3.16.2.5</w:t>
      </w:r>
      <w:r w:rsidR="00835C43" w:rsidRPr="00496A4D">
        <w:fldChar w:fldCharType="end"/>
      </w:r>
      <w:r w:rsidRPr="00A52AB8">
        <w:t>:</w:t>
      </w:r>
    </w:p>
    <w:p w14:paraId="16F6632A" w14:textId="572BE905" w:rsidR="00842EEB" w:rsidRPr="00A52AB8" w:rsidRDefault="00986271" w:rsidP="00FB4953">
      <w:pPr>
        <w:tabs>
          <w:tab w:val="clear" w:pos="2016"/>
        </w:tabs>
        <w:spacing w:before="120"/>
      </w:pPr>
      <w:r w:rsidRPr="00A52AB8">
        <w:tab/>
      </w:r>
      <w:r w:rsidR="00842EEB" w:rsidRPr="00A52AB8">
        <w:t>checksum =0</w:t>
      </w:r>
      <w:r w:rsidR="00406255" w:rsidRPr="00A52AB8">
        <w:br/>
      </w:r>
      <w:r w:rsidRPr="00A52AB8">
        <w:tab/>
      </w:r>
      <w:r w:rsidR="0072352B" w:rsidRPr="00A52AB8">
        <w:t>for( i</w:t>
      </w:r>
      <w:r w:rsidR="00D47707" w:rsidRPr="00A52AB8">
        <w:t> = </w:t>
      </w:r>
      <w:r w:rsidR="0072352B" w:rsidRPr="00A52AB8">
        <w:t>0; i &lt; </w:t>
      </w:r>
      <w:r w:rsidR="006E0805" w:rsidRPr="00A52AB8">
        <w:t>Atlas</w:t>
      </w:r>
      <w:r w:rsidR="00C10BA1" w:rsidRPr="00A52AB8">
        <w:t>B</w:t>
      </w:r>
      <w:r w:rsidR="0072352B" w:rsidRPr="00A52AB8">
        <w:t>2</w:t>
      </w:r>
      <w:r w:rsidR="006E0805" w:rsidRPr="00A52AB8">
        <w:t>PDataBytes</w:t>
      </w:r>
      <w:r w:rsidR="0072352B" w:rsidRPr="00A52AB8">
        <w:t> ; i</w:t>
      </w:r>
      <w:r w:rsidR="00006CCF" w:rsidRPr="00A52AB8">
        <w:t>++ </w:t>
      </w:r>
      <w:r w:rsidR="008F1F82" w:rsidRPr="00A52AB8">
        <w:t>) {</w:t>
      </w:r>
      <w:r w:rsidRPr="00A52AB8">
        <w:br/>
      </w:r>
      <w:r w:rsidR="00372B41" w:rsidRPr="00A52AB8">
        <w:tab/>
      </w:r>
      <w:r w:rsidR="00372B41" w:rsidRPr="00A52AB8">
        <w:tab/>
      </w:r>
      <w:r w:rsidR="0072352B" w:rsidRPr="00A52AB8">
        <w:t>xorMask</w:t>
      </w:r>
      <w:r w:rsidR="00D47707" w:rsidRPr="00A52AB8">
        <w:t> = </w:t>
      </w:r>
      <w:r w:rsidR="0072352B" w:rsidRPr="00A52AB8">
        <w:t>( i &amp; 0xFF ) ^ ( i &gt;&gt; 8 )</w:t>
      </w:r>
      <w:r w:rsidR="00372B41" w:rsidRPr="00A52AB8">
        <w:br/>
      </w:r>
      <w:r w:rsidR="00842EEB" w:rsidRPr="00A52AB8">
        <w:tab/>
      </w:r>
      <w:r w:rsidR="00372B41" w:rsidRPr="00A52AB8">
        <w:tab/>
      </w:r>
      <w:r w:rsidR="0072352B" w:rsidRPr="00A52AB8">
        <w:t>checksum</w:t>
      </w:r>
      <w:r w:rsidR="00D47707" w:rsidRPr="00A52AB8">
        <w:t> = </w:t>
      </w:r>
      <w:r w:rsidR="0072352B" w:rsidRPr="00A52AB8">
        <w:t>( checksum + ( </w:t>
      </w:r>
      <w:r w:rsidR="00C10BA1" w:rsidRPr="00A52AB8">
        <w:t>A</w:t>
      </w:r>
      <w:r w:rsidR="0072352B" w:rsidRPr="00A52AB8">
        <w:t>tlasB2</w:t>
      </w:r>
      <w:r w:rsidR="006E0805" w:rsidRPr="00A52AB8">
        <w:t>P</w:t>
      </w:r>
      <w:r w:rsidR="0072352B" w:rsidRPr="00A52AB8">
        <w:t>Data[ i </w:t>
      </w:r>
      <w:r w:rsidR="006E0805" w:rsidRPr="00A52AB8">
        <w:t>] </w:t>
      </w:r>
      <w:r w:rsidR="0072352B" w:rsidRPr="00A52AB8">
        <w:t>&amp;</w:t>
      </w:r>
      <w:r w:rsidR="006E0805" w:rsidRPr="00A52AB8">
        <w:t> </w:t>
      </w:r>
      <w:r w:rsidR="0072352B" w:rsidRPr="00A52AB8">
        <w:t>0xFF</w:t>
      </w:r>
      <w:r w:rsidR="007A3CE0" w:rsidRPr="00A52AB8">
        <w:t> </w:t>
      </w:r>
      <w:r w:rsidR="006E0805" w:rsidRPr="00A52AB8">
        <w:t>) </w:t>
      </w:r>
      <w:r w:rsidR="0072352B" w:rsidRPr="00A52AB8">
        <w:t>^</w:t>
      </w:r>
      <w:r w:rsidR="006E0805" w:rsidRPr="00A52AB8">
        <w:t> </w:t>
      </w:r>
      <w:r w:rsidR="0072352B" w:rsidRPr="00A52AB8">
        <w:t>xorMask</w:t>
      </w:r>
      <w:r w:rsidR="007A3CE0" w:rsidRPr="00A52AB8">
        <w:t> </w:t>
      </w:r>
      <w:r w:rsidR="0072352B" w:rsidRPr="00A52AB8">
        <w:t>)</w:t>
      </w:r>
      <w:r w:rsidR="006E0805" w:rsidRPr="00A52AB8">
        <w:t> </w:t>
      </w:r>
      <w:r w:rsidR="0072352B" w:rsidRPr="00A52AB8">
        <w:t>&amp;</w:t>
      </w:r>
      <w:r w:rsidR="006E0805" w:rsidRPr="00A52AB8">
        <w:t> </w:t>
      </w:r>
      <w:r w:rsidR="0072352B" w:rsidRPr="00A52AB8">
        <w:t>0xFFFFFFFF</w:t>
      </w:r>
      <w:r w:rsidR="00406255" w:rsidRPr="00A52AB8">
        <w:br/>
      </w:r>
      <w:r w:rsidR="00842EEB" w:rsidRPr="00A52AB8">
        <w:tab/>
      </w:r>
      <w:r w:rsidR="00842EEB" w:rsidRPr="00A52AB8">
        <w:tab/>
      </w:r>
      <w:r w:rsidR="0072352B" w:rsidRPr="00A52AB8">
        <w:t>checksum</w:t>
      </w:r>
      <w:r w:rsidR="00D47707" w:rsidRPr="00A52AB8">
        <w:t> = </w:t>
      </w:r>
      <w:r w:rsidR="0072352B" w:rsidRPr="00A52AB8">
        <w:t>( checksum + ( </w:t>
      </w:r>
      <w:r w:rsidR="00C10BA1" w:rsidRPr="00A52AB8">
        <w:t>A</w:t>
      </w:r>
      <w:r w:rsidR="0072352B" w:rsidRPr="00A52AB8">
        <w:t>tlasB2</w:t>
      </w:r>
      <w:r w:rsidR="0034754B" w:rsidRPr="00A52AB8">
        <w:t>P</w:t>
      </w:r>
      <w:r w:rsidR="0072352B" w:rsidRPr="00A52AB8">
        <w:t>Data[ i ]</w:t>
      </w:r>
      <w:r w:rsidR="00E31E27" w:rsidRPr="00A52AB8">
        <w:t> </w:t>
      </w:r>
      <w:r w:rsidR="0072352B" w:rsidRPr="00A52AB8">
        <w:t>&gt;&gt;</w:t>
      </w:r>
      <w:r w:rsidR="00E31E27" w:rsidRPr="00A52AB8">
        <w:t> </w:t>
      </w:r>
      <w:r w:rsidR="0072352B" w:rsidRPr="00A52AB8">
        <w:t>8)</w:t>
      </w:r>
      <w:r w:rsidR="006E0805" w:rsidRPr="00A52AB8">
        <w:t> </w:t>
      </w:r>
      <w:r w:rsidR="0072352B" w:rsidRPr="00A52AB8">
        <w:t>^</w:t>
      </w:r>
      <w:r w:rsidR="006E0805" w:rsidRPr="00A52AB8">
        <w:t> </w:t>
      </w:r>
      <w:r w:rsidR="0072352B" w:rsidRPr="00A52AB8">
        <w:t>xorMask</w:t>
      </w:r>
      <w:r w:rsidR="007A3CE0" w:rsidRPr="00A52AB8">
        <w:t> </w:t>
      </w:r>
      <w:r w:rsidR="0072352B" w:rsidRPr="00A52AB8">
        <w:t>)</w:t>
      </w:r>
      <w:r w:rsidR="006E0805" w:rsidRPr="00A52AB8">
        <w:t> </w:t>
      </w:r>
      <w:r w:rsidR="0072352B" w:rsidRPr="00A52AB8">
        <w:t>&amp;</w:t>
      </w:r>
      <w:r w:rsidR="006E0805" w:rsidRPr="00A52AB8">
        <w:t> </w:t>
      </w:r>
      <w:r w:rsidR="0072352B" w:rsidRPr="00A52AB8">
        <w:t>0xFFFFFFFF</w:t>
      </w:r>
      <w:r w:rsidR="00842EEB" w:rsidRPr="00A52AB8">
        <w:br/>
      </w:r>
      <w:r w:rsidR="00842EEB" w:rsidRPr="00A52AB8">
        <w:tab/>
        <w:t>}</w:t>
      </w:r>
    </w:p>
    <w:p w14:paraId="0E1D212C" w14:textId="5F230A15" w:rsidR="00842EEB" w:rsidRPr="00A52AB8" w:rsidRDefault="00842EEB" w:rsidP="00842EEB">
      <w:r w:rsidRPr="00A52AB8">
        <w:rPr>
          <w:b/>
        </w:rPr>
        <w:t>daih_num_tiles_minus1</w:t>
      </w:r>
      <w:r w:rsidRPr="00A52AB8">
        <w:t xml:space="preserve"> </w:t>
      </w:r>
      <w:r w:rsidR="00E6618D" w:rsidRPr="00A52AB8">
        <w:t>plus</w:t>
      </w:r>
      <w:r w:rsidRPr="00A52AB8">
        <w:t xml:space="preserve"> 1</w:t>
      </w:r>
      <w:r w:rsidRPr="00A52AB8">
        <w:rPr>
          <w:bCs/>
        </w:rPr>
        <w:t xml:space="preserve"> </w:t>
      </w:r>
      <w:r w:rsidRPr="00A52AB8">
        <w:t xml:space="preserve">specifies the number of tiles for which hash values will be signalled. The value of daih_num_tiles_minus1 </w:t>
      </w:r>
      <w:r w:rsidR="00E6618D" w:rsidRPr="00A52AB8">
        <w:t xml:space="preserve">should </w:t>
      </w:r>
      <w:r w:rsidRPr="00A52AB8">
        <w:t>be in the range of 0 to afti_num_tiles_in_atlas_frame_minus1, inclusive.</w:t>
      </w:r>
    </w:p>
    <w:p w14:paraId="0E8E4158" w14:textId="1CC1835F" w:rsidR="00842EEB" w:rsidRPr="00A52AB8" w:rsidRDefault="00842EEB" w:rsidP="00842EEB">
      <w:pPr>
        <w:ind w:left="3"/>
      </w:pPr>
      <w:r w:rsidRPr="00A52AB8">
        <w:rPr>
          <w:b/>
        </w:rPr>
        <w:t>daih_tile_id_len_minus1</w:t>
      </w:r>
      <w:r w:rsidRPr="00A52AB8">
        <w:t xml:space="preserve"> plus 1 specifies the number of bits used to represent the syntax element daih_tile_id[ t ]. The value of daih_tile_id_len_minus1 shall be in the range of 0 to</w:t>
      </w:r>
      <w:r w:rsidR="00EC1A66" w:rsidRPr="00A52AB8">
        <w:t xml:space="preserve"> 15</w:t>
      </w:r>
      <w:r w:rsidRPr="00A52AB8">
        <w:t>, inclusive.</w:t>
      </w:r>
    </w:p>
    <w:p w14:paraId="026D94D4" w14:textId="0CEFE031" w:rsidR="00842EEB" w:rsidRPr="00A52AB8" w:rsidRDefault="00842EEB" w:rsidP="00842EEB">
      <w:pPr>
        <w:ind w:left="3"/>
      </w:pPr>
      <w:r w:rsidRPr="00A52AB8">
        <w:rPr>
          <w:b/>
        </w:rPr>
        <w:t>daih_tile_id</w:t>
      </w:r>
      <w:r w:rsidRPr="00A52AB8">
        <w:t>[ t ] specifies the tile ID of the t-th tile. The length of the daih_tile_id[ t ] syntax element is daih_tile_id_len_minus1 + 1 bits. When not present, the value of daih_tile_id[ t ] is inferred to be equal to t.</w:t>
      </w:r>
      <w:r w:rsidR="00C205D7" w:rsidRPr="00A52AB8">
        <w:t xml:space="preserve"> </w:t>
      </w:r>
      <w:r w:rsidR="00C205D7" w:rsidRPr="00A52AB8">
        <w:rPr>
          <w:color w:val="000000"/>
        </w:rPr>
        <w:t xml:space="preserve">It is a requirement of bitstream conformance that </w:t>
      </w:r>
      <w:r w:rsidR="00C205D7" w:rsidRPr="00A52AB8">
        <w:rPr>
          <w:bCs/>
          <w:lang w:eastAsia="ja-JP"/>
        </w:rPr>
        <w:t xml:space="preserve">daih_tile_id[ t ] </w:t>
      </w:r>
      <w:r w:rsidR="00EC1A66" w:rsidRPr="00A52AB8">
        <w:rPr>
          <w:bCs/>
          <w:lang w:eastAsia="ja-JP"/>
        </w:rPr>
        <w:t xml:space="preserve">should </w:t>
      </w:r>
      <w:r w:rsidR="00C205D7" w:rsidRPr="00A52AB8">
        <w:rPr>
          <w:bCs/>
          <w:lang w:eastAsia="ja-JP"/>
        </w:rPr>
        <w:t xml:space="preserve">not be equal to </w:t>
      </w:r>
      <w:r w:rsidR="00C205D7" w:rsidRPr="00A52AB8">
        <w:rPr>
          <w:bCs/>
        </w:rPr>
        <w:t>daih_tile_id</w:t>
      </w:r>
      <w:r w:rsidR="00C205D7" w:rsidRPr="00A52AB8">
        <w:rPr>
          <w:bCs/>
          <w:lang w:eastAsia="ja-JP"/>
        </w:rPr>
        <w:t>[ j ] for all t </w:t>
      </w:r>
      <w:r w:rsidR="00E963F3" w:rsidRPr="00A52AB8">
        <w:rPr>
          <w:bCs/>
          <w:lang w:eastAsia="ja-JP"/>
        </w:rPr>
        <w:t>!=</w:t>
      </w:r>
      <w:r w:rsidR="00D47707" w:rsidRPr="00A52AB8">
        <w:rPr>
          <w:bCs/>
          <w:lang w:eastAsia="ja-JP"/>
        </w:rPr>
        <w:t> </w:t>
      </w:r>
      <w:r w:rsidR="00C205D7" w:rsidRPr="00A52AB8">
        <w:rPr>
          <w:bCs/>
          <w:lang w:eastAsia="ja-JP"/>
        </w:rPr>
        <w:t>j.</w:t>
      </w:r>
    </w:p>
    <w:p w14:paraId="40F343E9" w14:textId="08640A3A" w:rsidR="00842EEB" w:rsidRPr="00A52AB8" w:rsidRDefault="00842EEB" w:rsidP="00842EEB">
      <w:r w:rsidRPr="00A52AB8">
        <w:rPr>
          <w:b/>
        </w:rPr>
        <w:t>daih_atlas_tiles_md5</w:t>
      </w:r>
      <w:r w:rsidRPr="00A52AB8">
        <w:t>[ t ][ i ] is</w:t>
      </w:r>
      <w:r w:rsidR="0070707A" w:rsidRPr="00A52AB8">
        <w:t xml:space="preserve"> the</w:t>
      </w:r>
      <w:r w:rsidRPr="00A52AB8">
        <w:t xml:space="preserve"> </w:t>
      </w:r>
      <w:r w:rsidR="0084006D" w:rsidRPr="00A52AB8">
        <w:t>i-th</w:t>
      </w:r>
      <w:r w:rsidR="0084006D" w:rsidRPr="00A52AB8">
        <w:rPr>
          <w:vertAlign w:val="superscript"/>
        </w:rPr>
        <w:t xml:space="preserve"> </w:t>
      </w:r>
      <w:r w:rsidR="0084006D" w:rsidRPr="00A52AB8">
        <w:t>byte</w:t>
      </w:r>
      <w:r w:rsidR="0070707A" w:rsidRPr="00A52AB8">
        <w:t xml:space="preserve"> of </w:t>
      </w:r>
      <w:r w:rsidRPr="00A52AB8">
        <w:t xml:space="preserve">the 16-byte MD5 hash of the </w:t>
      </w:r>
      <w:r w:rsidR="006E0805" w:rsidRPr="00A52AB8">
        <w:t xml:space="preserve">decoded atlas tile with tile ID equal to </w:t>
      </w:r>
      <w:r w:rsidRPr="00A52AB8">
        <w:t>t</w:t>
      </w:r>
      <w:r w:rsidR="00F55A2F" w:rsidRPr="00A52AB8">
        <w:t xml:space="preserve">, associated with </w:t>
      </w:r>
      <w:r w:rsidR="004429AA" w:rsidRPr="00A52AB8">
        <w:t>SeiAtlasID</w:t>
      </w:r>
      <w:r w:rsidR="00F55A2F" w:rsidRPr="00A52AB8">
        <w:t>.</w:t>
      </w:r>
      <w:r w:rsidRPr="00A52AB8">
        <w:t xml:space="preserve"> The value of daih_atlas_tiles_md5[ t ][ i ] shall be equal </w:t>
      </w:r>
      <w:r w:rsidR="00C205D7" w:rsidRPr="00A52AB8">
        <w:t xml:space="preserve">to the value </w:t>
      </w:r>
      <w:r w:rsidRPr="00A52AB8">
        <w:t>digestVal</w:t>
      </w:r>
      <w:r w:rsidR="00EC1A66" w:rsidRPr="00A52AB8">
        <w:t>[ i ]</w:t>
      </w:r>
      <w:r w:rsidR="00C205D7" w:rsidRPr="00A52AB8">
        <w:t>,</w:t>
      </w:r>
      <w:r w:rsidRPr="00A52AB8">
        <w:t xml:space="preserve"> obtained using the MD5 functions defined in IETF RFC 1321</w:t>
      </w:r>
      <w:r w:rsidR="00E24054" w:rsidRPr="00A52AB8">
        <w:t xml:space="preserve"> and the string of bytes </w:t>
      </w:r>
      <w:r w:rsidR="00C3355C" w:rsidRPr="00A52AB8">
        <w:rPr>
          <w:rFonts w:eastAsia="MS Mincho"/>
        </w:rPr>
        <w:t>T</w:t>
      </w:r>
      <w:r w:rsidR="00E24054" w:rsidRPr="00A52AB8">
        <w:rPr>
          <w:rFonts w:eastAsia="MS Mincho"/>
        </w:rPr>
        <w:t xml:space="preserve">ileData </w:t>
      </w:r>
      <w:r w:rsidR="00E24054" w:rsidRPr="00A52AB8">
        <w:t xml:space="preserve">with length </w:t>
      </w:r>
      <w:r w:rsidR="00C3355C" w:rsidRPr="00A52AB8">
        <w:rPr>
          <w:rFonts w:eastAsia="MS Mincho"/>
        </w:rPr>
        <w:t>T</w:t>
      </w:r>
      <w:r w:rsidR="00D219F5" w:rsidRPr="00A52AB8">
        <w:rPr>
          <w:rFonts w:eastAsia="MS Mincho"/>
        </w:rPr>
        <w:t>ileD</w:t>
      </w:r>
      <w:r w:rsidR="00E24054" w:rsidRPr="00A52AB8">
        <w:rPr>
          <w:rFonts w:eastAsia="MS Mincho"/>
        </w:rPr>
        <w:t>ata</w:t>
      </w:r>
      <w:r w:rsidR="006E0805" w:rsidRPr="00A52AB8">
        <w:rPr>
          <w:rFonts w:eastAsia="MS Mincho"/>
        </w:rPr>
        <w:t>Bytes</w:t>
      </w:r>
      <w:r w:rsidR="00E24054" w:rsidRPr="00A52AB8">
        <w:t xml:space="preserve">, as specified in </w:t>
      </w:r>
      <w:r w:rsidR="00693B38" w:rsidRPr="00A52AB8">
        <w:t>subclause</w:t>
      </w:r>
      <w:r w:rsidR="00895F6E" w:rsidRPr="00A52AB8">
        <w:t> </w:t>
      </w:r>
      <w:r w:rsidR="00835C43" w:rsidRPr="00496A4D">
        <w:fldChar w:fldCharType="begin"/>
      </w:r>
      <w:r w:rsidR="00835C43" w:rsidRPr="00A52AB8">
        <w:instrText xml:space="preserve"> REF _Ref49036178 \r \h </w:instrText>
      </w:r>
      <w:r w:rsidR="00007BE2" w:rsidRPr="00A52AB8">
        <w:instrText xml:space="preserve"> \* MERGEFORMAT </w:instrText>
      </w:r>
      <w:r w:rsidR="00835C43" w:rsidRPr="00496A4D">
        <w:fldChar w:fldCharType="separate"/>
      </w:r>
      <w:r w:rsidR="00507A67">
        <w:t>F.3.16.2.4</w:t>
      </w:r>
      <w:r w:rsidR="00835C43" w:rsidRPr="00496A4D">
        <w:fldChar w:fldCharType="end"/>
      </w:r>
      <w:r w:rsidRPr="00A52AB8">
        <w:t>:</w:t>
      </w:r>
    </w:p>
    <w:p w14:paraId="4F8112A5" w14:textId="37B60E73" w:rsidR="00842EEB" w:rsidRPr="00A52AB8" w:rsidRDefault="00D04CA7" w:rsidP="00FB4953">
      <w:pPr>
        <w:tabs>
          <w:tab w:val="clear" w:pos="2016"/>
        </w:tabs>
        <w:spacing w:before="120"/>
      </w:pPr>
      <w:r w:rsidRPr="00A52AB8">
        <w:tab/>
      </w:r>
      <w:r w:rsidR="00842EEB" w:rsidRPr="00A52AB8">
        <w:t>MD5Init( context )</w:t>
      </w:r>
      <w:r w:rsidR="00842EEB" w:rsidRPr="00A52AB8">
        <w:br/>
      </w:r>
      <w:r w:rsidRPr="00A52AB8">
        <w:tab/>
      </w:r>
      <w:r w:rsidR="00842EEB" w:rsidRPr="00A52AB8">
        <w:t>MD5Update( context, </w:t>
      </w:r>
      <w:r w:rsidR="00C3355C" w:rsidRPr="00A52AB8">
        <w:t>T</w:t>
      </w:r>
      <w:r w:rsidR="00842EEB" w:rsidRPr="00A52AB8">
        <w:t>ileData, </w:t>
      </w:r>
      <w:r w:rsidR="00C3355C" w:rsidRPr="00A52AB8">
        <w:t>T</w:t>
      </w:r>
      <w:r w:rsidR="00D219F5" w:rsidRPr="00A52AB8">
        <w:t>ileD</w:t>
      </w:r>
      <w:r w:rsidR="00842EEB" w:rsidRPr="00A52AB8">
        <w:t>ata</w:t>
      </w:r>
      <w:r w:rsidR="006E0805" w:rsidRPr="00A52AB8">
        <w:t>Bytes</w:t>
      </w:r>
      <w:r w:rsidR="00842EEB" w:rsidRPr="00A52AB8">
        <w:t> )</w:t>
      </w:r>
      <w:r w:rsidR="00842EEB" w:rsidRPr="00A52AB8">
        <w:br/>
      </w:r>
      <w:r w:rsidRPr="00A52AB8">
        <w:tab/>
      </w:r>
      <w:r w:rsidR="00842EEB" w:rsidRPr="00A52AB8">
        <w:t>MD5Final( digestVal, context )</w:t>
      </w:r>
    </w:p>
    <w:p w14:paraId="25B51BFC" w14:textId="042637A2" w:rsidR="00842EEB" w:rsidRPr="00A52AB8" w:rsidRDefault="00842EEB" w:rsidP="00842EEB">
      <w:r w:rsidRPr="00A52AB8">
        <w:rPr>
          <w:b/>
        </w:rPr>
        <w:t>daih_atlas_tiles_crc</w:t>
      </w:r>
      <w:r w:rsidRPr="00A52AB8">
        <w:t xml:space="preserve">[ t ] is the cyclic redundancy check (CRC) of the decoded atlas tile with tile ID </w:t>
      </w:r>
      <w:r w:rsidR="00F55A2F" w:rsidRPr="00A52AB8">
        <w:t xml:space="preserve">equal to </w:t>
      </w:r>
      <w:r w:rsidRPr="00A52AB8">
        <w:t xml:space="preserve">t, associated with </w:t>
      </w:r>
      <w:r w:rsidR="004429AA" w:rsidRPr="00A52AB8">
        <w:t>SeiAtlasID</w:t>
      </w:r>
      <w:r w:rsidRPr="00A52AB8">
        <w:t>. The value of daih_atlas_tiles_crc</w:t>
      </w:r>
      <w:r w:rsidR="00EC1A66" w:rsidRPr="00A52AB8">
        <w:t>[ t ]</w:t>
      </w:r>
      <w:r w:rsidRPr="00A52AB8">
        <w:t xml:space="preserve"> shall be equal to the value of crcVal</w:t>
      </w:r>
      <w:r w:rsidR="006E4434" w:rsidRPr="00A52AB8">
        <w:t>,</w:t>
      </w:r>
      <w:r w:rsidRPr="00A52AB8">
        <w:t xml:space="preserve"> obtained using </w:t>
      </w:r>
      <w:r w:rsidR="00EC1A66" w:rsidRPr="00A52AB8">
        <w:t xml:space="preserve">the </w:t>
      </w:r>
      <w:r w:rsidRPr="00A52AB8">
        <w:t>CRC specification defined in Rec. ITU-T H.271</w:t>
      </w:r>
      <w:r w:rsidR="00E24054" w:rsidRPr="00A52AB8">
        <w:t xml:space="preserve"> and the string of bytes </w:t>
      </w:r>
      <w:r w:rsidR="00C3355C" w:rsidRPr="00A52AB8">
        <w:rPr>
          <w:rFonts w:eastAsia="MS Mincho"/>
        </w:rPr>
        <w:t>T</w:t>
      </w:r>
      <w:r w:rsidR="00E24054" w:rsidRPr="00A52AB8">
        <w:rPr>
          <w:rFonts w:eastAsia="MS Mincho"/>
        </w:rPr>
        <w:t xml:space="preserve">ileData </w:t>
      </w:r>
      <w:r w:rsidR="00E24054" w:rsidRPr="00A52AB8">
        <w:t xml:space="preserve">with length </w:t>
      </w:r>
      <w:r w:rsidR="00C3355C" w:rsidRPr="00A52AB8">
        <w:t>T</w:t>
      </w:r>
      <w:r w:rsidR="00D219F5" w:rsidRPr="00A52AB8">
        <w:t>ile</w:t>
      </w:r>
      <w:r w:rsidR="00D219F5" w:rsidRPr="00A52AB8">
        <w:rPr>
          <w:rFonts w:eastAsia="MS Mincho"/>
        </w:rPr>
        <w:t>D</w:t>
      </w:r>
      <w:r w:rsidR="00E24054" w:rsidRPr="00A52AB8">
        <w:rPr>
          <w:rFonts w:eastAsia="MS Mincho"/>
        </w:rPr>
        <w:t>ata</w:t>
      </w:r>
      <w:r w:rsidR="00F55A2F" w:rsidRPr="00A52AB8">
        <w:rPr>
          <w:rFonts w:eastAsia="MS Mincho"/>
        </w:rPr>
        <w:t>Bytes</w:t>
      </w:r>
      <w:r w:rsidR="00E24054" w:rsidRPr="00A52AB8">
        <w:t xml:space="preserve">, as specified in </w:t>
      </w:r>
      <w:r w:rsidR="00693B38" w:rsidRPr="00A52AB8">
        <w:t>subclause</w:t>
      </w:r>
      <w:r w:rsidR="00895F6E" w:rsidRPr="00A52AB8">
        <w:t> </w:t>
      </w:r>
      <w:r w:rsidR="00835C43" w:rsidRPr="00496A4D">
        <w:fldChar w:fldCharType="begin"/>
      </w:r>
      <w:r w:rsidR="00835C43" w:rsidRPr="00A52AB8">
        <w:instrText xml:space="preserve"> REF _Ref49036178 \r \h </w:instrText>
      </w:r>
      <w:r w:rsidR="00007BE2" w:rsidRPr="00A52AB8">
        <w:instrText xml:space="preserve"> \* MERGEFORMAT </w:instrText>
      </w:r>
      <w:r w:rsidR="00835C43" w:rsidRPr="00496A4D">
        <w:fldChar w:fldCharType="separate"/>
      </w:r>
      <w:r w:rsidR="00507A67">
        <w:t>F.3.16.2.4</w:t>
      </w:r>
      <w:r w:rsidR="00835C43" w:rsidRPr="00496A4D">
        <w:fldChar w:fldCharType="end"/>
      </w:r>
      <w:r w:rsidR="00835C43" w:rsidRPr="00A52AB8">
        <w:t>:</w:t>
      </w:r>
    </w:p>
    <w:p w14:paraId="2FFF566F" w14:textId="24FDC74F" w:rsidR="00842EEB" w:rsidRPr="00A52AB8" w:rsidRDefault="00CD100A" w:rsidP="00FB4953">
      <w:pPr>
        <w:tabs>
          <w:tab w:val="clear" w:pos="2016"/>
        </w:tabs>
        <w:spacing w:before="120"/>
      </w:pPr>
      <w:r w:rsidRPr="00A52AB8">
        <w:tab/>
      </w:r>
      <w:r w:rsidR="00842EEB" w:rsidRPr="00A52AB8">
        <w:t>crc</w:t>
      </w:r>
      <w:r w:rsidR="00D47707" w:rsidRPr="00A52AB8">
        <w:t> = </w:t>
      </w:r>
      <w:r w:rsidR="00842EEB" w:rsidRPr="00A52AB8">
        <w:t>0xFFFF</w:t>
      </w:r>
      <w:r w:rsidR="00842EEB" w:rsidRPr="00A52AB8">
        <w:br/>
      </w:r>
      <w:r w:rsidRPr="00A52AB8">
        <w:tab/>
      </w:r>
      <w:r w:rsidR="00C3355C" w:rsidRPr="00A52AB8">
        <w:t>T</w:t>
      </w:r>
      <w:r w:rsidR="00842EEB" w:rsidRPr="00A52AB8">
        <w:t>ileData[ </w:t>
      </w:r>
      <w:r w:rsidR="00C3355C" w:rsidRPr="00A52AB8">
        <w:t>T</w:t>
      </w:r>
      <w:r w:rsidR="00D219F5" w:rsidRPr="00A52AB8">
        <w:t>ileD</w:t>
      </w:r>
      <w:r w:rsidR="00842EEB" w:rsidRPr="00A52AB8">
        <w:t>ata</w:t>
      </w:r>
      <w:r w:rsidR="00F55A2F" w:rsidRPr="00A52AB8">
        <w:t>Bytes</w:t>
      </w:r>
      <w:r w:rsidR="00842EEB" w:rsidRPr="00A52AB8">
        <w:t> ]</w:t>
      </w:r>
      <w:r w:rsidR="00D47707" w:rsidRPr="00A52AB8">
        <w:t> = </w:t>
      </w:r>
      <w:r w:rsidR="00842EEB" w:rsidRPr="00A52AB8">
        <w:t>0</w:t>
      </w:r>
      <w:r w:rsidR="00842EEB" w:rsidRPr="00A52AB8">
        <w:br/>
      </w:r>
      <w:r w:rsidRPr="00A52AB8">
        <w:tab/>
      </w:r>
      <w:r w:rsidR="00C3355C" w:rsidRPr="00A52AB8">
        <w:t>T</w:t>
      </w:r>
      <w:r w:rsidR="00842EEB" w:rsidRPr="00A52AB8">
        <w:t>ileData[ </w:t>
      </w:r>
      <w:r w:rsidR="00C3355C" w:rsidRPr="00A52AB8">
        <w:t>T</w:t>
      </w:r>
      <w:r w:rsidR="00D219F5" w:rsidRPr="00A52AB8">
        <w:t>ileD</w:t>
      </w:r>
      <w:r w:rsidR="00842EEB" w:rsidRPr="00A52AB8">
        <w:t>ata</w:t>
      </w:r>
      <w:r w:rsidR="00F55A2F" w:rsidRPr="00A52AB8">
        <w:t>Bytes</w:t>
      </w:r>
      <w:r w:rsidR="00842EEB" w:rsidRPr="00A52AB8">
        <w:t> + 1 ]</w:t>
      </w:r>
      <w:r w:rsidR="00D47707" w:rsidRPr="00A52AB8">
        <w:t> = </w:t>
      </w:r>
      <w:r w:rsidR="00842EEB" w:rsidRPr="00A52AB8">
        <w:t>0</w:t>
      </w:r>
      <w:r w:rsidR="00842EEB" w:rsidRPr="00A52AB8">
        <w:br/>
      </w:r>
      <w:r w:rsidRPr="00A52AB8">
        <w:tab/>
      </w:r>
      <w:r w:rsidR="00842EEB" w:rsidRPr="00A52AB8">
        <w:t>for(</w:t>
      </w:r>
      <w:r w:rsidR="00F55A2F" w:rsidRPr="00A52AB8">
        <w:t> </w:t>
      </w:r>
      <w:r w:rsidR="00842EEB" w:rsidRPr="00A52AB8">
        <w:t>bitIdx</w:t>
      </w:r>
      <w:r w:rsidR="00D47707" w:rsidRPr="00A52AB8">
        <w:t> = </w:t>
      </w:r>
      <w:r w:rsidR="00842EEB" w:rsidRPr="00A52AB8">
        <w:t>0;</w:t>
      </w:r>
      <w:r w:rsidR="00F55A2F" w:rsidRPr="00A52AB8">
        <w:t> </w:t>
      </w:r>
      <w:r w:rsidR="00842EEB" w:rsidRPr="00A52AB8">
        <w:t>bitIdx</w:t>
      </w:r>
      <w:r w:rsidR="00F55A2F" w:rsidRPr="00A52AB8">
        <w:t> </w:t>
      </w:r>
      <w:r w:rsidR="00842EEB" w:rsidRPr="00A52AB8">
        <w:t>&lt;</w:t>
      </w:r>
      <w:r w:rsidR="00F55A2F" w:rsidRPr="00A52AB8">
        <w:t> </w:t>
      </w:r>
      <w:r w:rsidR="00842EEB" w:rsidRPr="00A52AB8">
        <w:t>(</w:t>
      </w:r>
      <w:r w:rsidR="00F55A2F" w:rsidRPr="00A52AB8">
        <w:t> </w:t>
      </w:r>
      <w:r w:rsidR="00C3355C" w:rsidRPr="00A52AB8">
        <w:t>TileD</w:t>
      </w:r>
      <w:r w:rsidR="00842EEB" w:rsidRPr="00A52AB8">
        <w:t>ata</w:t>
      </w:r>
      <w:r w:rsidR="00F55A2F" w:rsidRPr="00A52AB8">
        <w:t>Bytes</w:t>
      </w:r>
      <w:r w:rsidR="00842EEB" w:rsidRPr="00A52AB8">
        <w:t> + 2</w:t>
      </w:r>
      <w:r w:rsidR="00F55A2F" w:rsidRPr="00A52AB8">
        <w:t> </w:t>
      </w:r>
      <w:r w:rsidR="00842EEB" w:rsidRPr="00A52AB8">
        <w:t>) * 8;</w:t>
      </w:r>
      <w:r w:rsidR="00F55A2F" w:rsidRPr="00A52AB8">
        <w:t> </w:t>
      </w:r>
      <w:r w:rsidR="00842EEB" w:rsidRPr="00A52AB8">
        <w:t>bitIdx</w:t>
      </w:r>
      <w:r w:rsidR="00006CCF" w:rsidRPr="00A52AB8">
        <w:t>++ </w:t>
      </w:r>
      <w:r w:rsidR="008F1F82" w:rsidRPr="00A52AB8">
        <w:t>) {</w:t>
      </w:r>
      <w:r w:rsidR="00842EEB" w:rsidRPr="00A52AB8">
        <w:br/>
      </w:r>
      <w:r w:rsidR="00842EEB" w:rsidRPr="00A52AB8">
        <w:tab/>
      </w:r>
      <w:r w:rsidRPr="00A52AB8">
        <w:tab/>
      </w:r>
      <w:r w:rsidR="00842EEB" w:rsidRPr="00A52AB8">
        <w:t>dataByte</w:t>
      </w:r>
      <w:r w:rsidR="00D47707" w:rsidRPr="00A52AB8">
        <w:t> = </w:t>
      </w:r>
      <w:r w:rsidR="00C3355C" w:rsidRPr="00A52AB8">
        <w:t>T</w:t>
      </w:r>
      <w:r w:rsidR="00842EEB" w:rsidRPr="00A52AB8">
        <w:t>ileData[ bitIdx</w:t>
      </w:r>
      <w:r w:rsidR="008768E9" w:rsidRPr="00A52AB8">
        <w:t> &gt;&gt; </w:t>
      </w:r>
      <w:r w:rsidR="00842EEB" w:rsidRPr="00A52AB8">
        <w:t>3 ]</w:t>
      </w:r>
      <w:r w:rsidR="00842EEB" w:rsidRPr="00A52AB8">
        <w:br/>
      </w:r>
      <w:r w:rsidR="00842EEB" w:rsidRPr="00A52AB8">
        <w:tab/>
      </w:r>
      <w:r w:rsidRPr="00A52AB8">
        <w:tab/>
      </w:r>
      <w:r w:rsidR="00842EEB" w:rsidRPr="00A52AB8">
        <w:t>crcMsb</w:t>
      </w:r>
      <w:r w:rsidR="00D47707" w:rsidRPr="00A52AB8">
        <w:t> = </w:t>
      </w:r>
      <w:r w:rsidR="00842EEB" w:rsidRPr="00A52AB8">
        <w:t>(</w:t>
      </w:r>
      <w:r w:rsidR="00F55A2F" w:rsidRPr="00A52AB8">
        <w:t> </w:t>
      </w:r>
      <w:r w:rsidR="00842EEB" w:rsidRPr="00A52AB8">
        <w:t>crc</w:t>
      </w:r>
      <w:r w:rsidR="008768E9" w:rsidRPr="00A52AB8">
        <w:t> &gt;&gt; </w:t>
      </w:r>
      <w:r w:rsidR="00842EEB" w:rsidRPr="00A52AB8">
        <w:t>15</w:t>
      </w:r>
      <w:r w:rsidR="00F55A2F" w:rsidRPr="00A52AB8">
        <w:t> </w:t>
      </w:r>
      <w:r w:rsidR="00842EEB" w:rsidRPr="00A52AB8">
        <w:t>)</w:t>
      </w:r>
      <w:r w:rsidR="00F55A2F" w:rsidRPr="00A52AB8">
        <w:t> </w:t>
      </w:r>
      <w:r w:rsidR="00842EEB" w:rsidRPr="00A52AB8">
        <w:t>&amp;</w:t>
      </w:r>
      <w:r w:rsidR="00F55A2F" w:rsidRPr="00A52AB8">
        <w:t> </w:t>
      </w:r>
      <w:r w:rsidR="00842EEB" w:rsidRPr="00A52AB8">
        <w:t>1</w:t>
      </w:r>
      <w:r w:rsidR="00842EEB" w:rsidRPr="00A52AB8">
        <w:br/>
      </w:r>
      <w:r w:rsidR="00842EEB" w:rsidRPr="00A52AB8">
        <w:tab/>
      </w:r>
      <w:r w:rsidRPr="00A52AB8">
        <w:tab/>
      </w:r>
      <w:r w:rsidR="00842EEB" w:rsidRPr="00A52AB8">
        <w:t>bitVal</w:t>
      </w:r>
      <w:r w:rsidR="00D47707" w:rsidRPr="00A52AB8">
        <w:t> = </w:t>
      </w:r>
      <w:r w:rsidR="00842EEB" w:rsidRPr="00A52AB8">
        <w:t>(</w:t>
      </w:r>
      <w:r w:rsidR="00F55A2F" w:rsidRPr="00A52AB8">
        <w:t> </w:t>
      </w:r>
      <w:r w:rsidR="00842EEB" w:rsidRPr="00A52AB8">
        <w:t>dataByte</w:t>
      </w:r>
      <w:r w:rsidR="008768E9" w:rsidRPr="00A52AB8">
        <w:t> &gt;&gt; </w:t>
      </w:r>
      <w:r w:rsidR="00842EEB" w:rsidRPr="00A52AB8">
        <w:t>(</w:t>
      </w:r>
      <w:r w:rsidR="00F55A2F" w:rsidRPr="00A52AB8">
        <w:t> </w:t>
      </w:r>
      <w:r w:rsidR="00842EEB" w:rsidRPr="00A52AB8">
        <w:t>7</w:t>
      </w:r>
      <w:r w:rsidR="00F55A2F" w:rsidRPr="00A52AB8">
        <w:t> </w:t>
      </w:r>
      <w:r w:rsidR="00842EEB" w:rsidRPr="00A52AB8">
        <w:t>−</w:t>
      </w:r>
      <w:r w:rsidR="00F55A2F" w:rsidRPr="00A52AB8">
        <w:t> </w:t>
      </w:r>
      <w:r w:rsidR="00842EEB" w:rsidRPr="00A52AB8">
        <w:t>(</w:t>
      </w:r>
      <w:r w:rsidR="00F55A2F" w:rsidRPr="00A52AB8">
        <w:t> </w:t>
      </w:r>
      <w:r w:rsidR="00842EEB" w:rsidRPr="00A52AB8">
        <w:t>bitIdx</w:t>
      </w:r>
      <w:r w:rsidR="00F55A2F" w:rsidRPr="00A52AB8">
        <w:t> </w:t>
      </w:r>
      <w:r w:rsidR="00842EEB" w:rsidRPr="00A52AB8">
        <w:t>&amp;</w:t>
      </w:r>
      <w:r w:rsidR="00F55A2F" w:rsidRPr="00A52AB8">
        <w:t> </w:t>
      </w:r>
      <w:r w:rsidR="00842EEB" w:rsidRPr="00A52AB8">
        <w:t>7</w:t>
      </w:r>
      <w:r w:rsidR="00F55A2F" w:rsidRPr="00A52AB8">
        <w:t> </w:t>
      </w:r>
      <w:r w:rsidR="00842EEB" w:rsidRPr="00A52AB8">
        <w:t>)</w:t>
      </w:r>
      <w:r w:rsidR="00F55A2F" w:rsidRPr="00A52AB8">
        <w:t> </w:t>
      </w:r>
      <w:r w:rsidR="00842EEB" w:rsidRPr="00A52AB8">
        <w:t>)</w:t>
      </w:r>
      <w:r w:rsidR="00F55A2F" w:rsidRPr="00A52AB8">
        <w:t> </w:t>
      </w:r>
      <w:r w:rsidR="00842EEB" w:rsidRPr="00A52AB8">
        <w:t>)</w:t>
      </w:r>
      <w:r w:rsidR="00F55A2F" w:rsidRPr="00A52AB8">
        <w:t> </w:t>
      </w:r>
      <w:r w:rsidR="00842EEB" w:rsidRPr="00A52AB8">
        <w:t>&amp;</w:t>
      </w:r>
      <w:r w:rsidR="00F55A2F" w:rsidRPr="00A52AB8">
        <w:t> </w:t>
      </w:r>
      <w:r w:rsidR="00842EEB" w:rsidRPr="00A52AB8">
        <w:t>1</w:t>
      </w:r>
      <w:r w:rsidR="00842EEB" w:rsidRPr="00A52AB8">
        <w:br/>
      </w:r>
      <w:r w:rsidR="00842EEB" w:rsidRPr="00A52AB8">
        <w:tab/>
      </w:r>
      <w:r w:rsidRPr="00A52AB8">
        <w:tab/>
      </w:r>
      <w:r w:rsidR="00842EEB" w:rsidRPr="00A52AB8">
        <w:t>crc</w:t>
      </w:r>
      <w:r w:rsidR="00D47707" w:rsidRPr="00A52AB8">
        <w:t> = </w:t>
      </w:r>
      <w:r w:rsidR="00842EEB" w:rsidRPr="00A52AB8">
        <w:t>(</w:t>
      </w:r>
      <w:r w:rsidR="00F55A2F" w:rsidRPr="00A52AB8">
        <w:t> </w:t>
      </w:r>
      <w:r w:rsidR="00842EEB" w:rsidRPr="00A52AB8">
        <w:t>(</w:t>
      </w:r>
      <w:r w:rsidR="00F55A2F" w:rsidRPr="00A52AB8">
        <w:t> </w:t>
      </w:r>
      <w:r w:rsidR="00842EEB" w:rsidRPr="00A52AB8">
        <w:t>(</w:t>
      </w:r>
      <w:r w:rsidR="00BD5A0A" w:rsidRPr="00A52AB8">
        <w:t> </w:t>
      </w:r>
      <w:r w:rsidR="00842EEB" w:rsidRPr="00A52AB8">
        <w:t>crc</w:t>
      </w:r>
      <w:r w:rsidR="00766CC9" w:rsidRPr="00A52AB8">
        <w:t> &lt;&lt; </w:t>
      </w:r>
      <w:r w:rsidR="00842EEB" w:rsidRPr="00A52AB8">
        <w:t>1</w:t>
      </w:r>
      <w:r w:rsidR="00BD5A0A" w:rsidRPr="00A52AB8">
        <w:t> </w:t>
      </w:r>
      <w:r w:rsidR="00842EEB" w:rsidRPr="00A52AB8">
        <w:t>)</w:t>
      </w:r>
      <w:r w:rsidR="00BD5A0A" w:rsidRPr="00A52AB8">
        <w:t> </w:t>
      </w:r>
      <w:r w:rsidR="00842EEB" w:rsidRPr="00A52AB8">
        <w:t>+</w:t>
      </w:r>
      <w:r w:rsidR="00BD5A0A" w:rsidRPr="00A52AB8">
        <w:t> </w:t>
      </w:r>
      <w:r w:rsidR="00842EEB" w:rsidRPr="00A52AB8">
        <w:t>bitVal</w:t>
      </w:r>
      <w:r w:rsidR="00BD5A0A" w:rsidRPr="00A52AB8">
        <w:t> </w:t>
      </w:r>
      <w:r w:rsidR="00842EEB" w:rsidRPr="00A52AB8">
        <w:t>)</w:t>
      </w:r>
      <w:r w:rsidR="00BD5A0A" w:rsidRPr="00A52AB8">
        <w:t> </w:t>
      </w:r>
      <w:r w:rsidR="00842EEB" w:rsidRPr="00A52AB8">
        <w:t>&amp;</w:t>
      </w:r>
      <w:r w:rsidR="00BD5A0A" w:rsidRPr="00A52AB8">
        <w:t> </w:t>
      </w:r>
      <w:r w:rsidR="00842EEB" w:rsidRPr="00A52AB8">
        <w:t>0xFFFF</w:t>
      </w:r>
      <w:r w:rsidR="00BD5A0A" w:rsidRPr="00A52AB8">
        <w:t> </w:t>
      </w:r>
      <w:r w:rsidR="00842EEB" w:rsidRPr="00A52AB8">
        <w:t>)</w:t>
      </w:r>
      <w:r w:rsidR="00BD5A0A" w:rsidRPr="00A52AB8">
        <w:t> </w:t>
      </w:r>
      <w:r w:rsidR="00842EEB" w:rsidRPr="00A52AB8">
        <w:t>^</w:t>
      </w:r>
      <w:r w:rsidR="00BD5A0A" w:rsidRPr="00A52AB8">
        <w:t> </w:t>
      </w:r>
      <w:r w:rsidR="00842EEB" w:rsidRPr="00A52AB8">
        <w:t>(</w:t>
      </w:r>
      <w:r w:rsidR="00BD5A0A" w:rsidRPr="00A52AB8">
        <w:t> </w:t>
      </w:r>
      <w:r w:rsidR="00842EEB" w:rsidRPr="00A52AB8">
        <w:t>crcMsb</w:t>
      </w:r>
      <w:r w:rsidR="00BD5A0A" w:rsidRPr="00A52AB8">
        <w:t> </w:t>
      </w:r>
      <w:r w:rsidR="00842EEB" w:rsidRPr="00A52AB8">
        <w:t>*</w:t>
      </w:r>
      <w:r w:rsidR="00BD5A0A" w:rsidRPr="00A52AB8">
        <w:t> </w:t>
      </w:r>
      <w:r w:rsidR="00842EEB" w:rsidRPr="00A52AB8">
        <w:t>0x1021</w:t>
      </w:r>
      <w:r w:rsidR="00BD5A0A" w:rsidRPr="00A52AB8">
        <w:t> </w:t>
      </w:r>
      <w:r w:rsidR="00842EEB" w:rsidRPr="00A52AB8">
        <w:t>)</w:t>
      </w:r>
      <w:r w:rsidR="00842EEB" w:rsidRPr="00A52AB8">
        <w:br/>
      </w:r>
      <w:r w:rsidRPr="00A52AB8">
        <w:tab/>
      </w:r>
      <w:r w:rsidR="00842EEB" w:rsidRPr="00A52AB8">
        <w:t>}</w:t>
      </w:r>
      <w:r w:rsidR="00842EEB" w:rsidRPr="00A52AB8">
        <w:br/>
      </w:r>
      <w:r w:rsidRPr="00A52AB8">
        <w:tab/>
      </w:r>
      <w:r w:rsidR="00842EEB" w:rsidRPr="00A52AB8">
        <w:t>crcVal</w:t>
      </w:r>
      <w:r w:rsidR="00D47707" w:rsidRPr="00A52AB8">
        <w:t> = </w:t>
      </w:r>
      <w:r w:rsidR="00842EEB" w:rsidRPr="00A52AB8">
        <w:t>crc</w:t>
      </w:r>
    </w:p>
    <w:p w14:paraId="71A3A987" w14:textId="77294A35" w:rsidR="00842EEB" w:rsidRPr="00A52AB8" w:rsidRDefault="00842EEB" w:rsidP="00FB4953">
      <w:pPr>
        <w:pStyle w:val="Equation"/>
        <w:tabs>
          <w:tab w:val="left" w:pos="360"/>
          <w:tab w:val="left" w:pos="1170"/>
          <w:tab w:val="left" w:pos="1980"/>
        </w:tabs>
        <w:jc w:val="both"/>
      </w:pPr>
      <w:r w:rsidRPr="00A52AB8">
        <w:rPr>
          <w:b/>
        </w:rPr>
        <w:t>daih_atlas_tiles_checksum</w:t>
      </w:r>
      <w:r w:rsidRPr="00A52AB8">
        <w:t xml:space="preserve">[ t ] is the checksum of the decoded atlas tile with tile ID </w:t>
      </w:r>
      <w:r w:rsidR="00970A88" w:rsidRPr="00A52AB8">
        <w:t xml:space="preserve">equal to </w:t>
      </w:r>
      <w:r w:rsidRPr="00A52AB8">
        <w:t xml:space="preserve">t, associated with </w:t>
      </w:r>
      <w:r w:rsidR="004429AA" w:rsidRPr="00A52AB8">
        <w:t>SeiAtlasID</w:t>
      </w:r>
      <w:r w:rsidRPr="00A52AB8">
        <w:t>. The value of daih_atlas_tile_checksum</w:t>
      </w:r>
      <w:r w:rsidR="00EC1A66" w:rsidRPr="00A52AB8">
        <w:t>[ t ]</w:t>
      </w:r>
      <w:r w:rsidRPr="00A52AB8">
        <w:t xml:space="preserve"> shall be equal to the value of checksumVal</w:t>
      </w:r>
      <w:r w:rsidR="006E4434" w:rsidRPr="00A52AB8">
        <w:t>,</w:t>
      </w:r>
      <w:r w:rsidRPr="00A52AB8">
        <w:t xml:space="preserve"> obtained</w:t>
      </w:r>
      <w:r w:rsidR="00E24054" w:rsidRPr="00A52AB8">
        <w:t xml:space="preserve"> using the string of bytes </w:t>
      </w:r>
      <w:r w:rsidR="00C3355C" w:rsidRPr="00A52AB8">
        <w:rPr>
          <w:rFonts w:eastAsia="MS Mincho"/>
        </w:rPr>
        <w:t>T</w:t>
      </w:r>
      <w:r w:rsidR="00E24054" w:rsidRPr="00A52AB8">
        <w:rPr>
          <w:rFonts w:eastAsia="MS Mincho"/>
        </w:rPr>
        <w:t xml:space="preserve">ileData </w:t>
      </w:r>
      <w:r w:rsidR="00E24054" w:rsidRPr="00A52AB8">
        <w:t xml:space="preserve">with length </w:t>
      </w:r>
      <w:r w:rsidR="00C3355C" w:rsidRPr="00A52AB8">
        <w:rPr>
          <w:rFonts w:eastAsia="MS Mincho"/>
        </w:rPr>
        <w:t>T</w:t>
      </w:r>
      <w:r w:rsidR="00D219F5" w:rsidRPr="00A52AB8">
        <w:rPr>
          <w:rFonts w:eastAsia="MS Mincho"/>
        </w:rPr>
        <w:t>ileD</w:t>
      </w:r>
      <w:r w:rsidR="00E24054" w:rsidRPr="00A52AB8">
        <w:rPr>
          <w:rFonts w:eastAsia="MS Mincho"/>
        </w:rPr>
        <w:t>ata</w:t>
      </w:r>
      <w:r w:rsidR="0034754B" w:rsidRPr="00A52AB8">
        <w:rPr>
          <w:rFonts w:eastAsia="MS Mincho"/>
        </w:rPr>
        <w:t>Bytes</w:t>
      </w:r>
      <w:r w:rsidR="00E24054" w:rsidRPr="00A52AB8">
        <w:t xml:space="preserve">, as specified in </w:t>
      </w:r>
      <w:r w:rsidR="00693B38" w:rsidRPr="00A52AB8">
        <w:t>subclause</w:t>
      </w:r>
      <w:r w:rsidR="00895F6E" w:rsidRPr="00A52AB8">
        <w:t> </w:t>
      </w:r>
      <w:r w:rsidR="00835C43" w:rsidRPr="00496A4D">
        <w:fldChar w:fldCharType="begin"/>
      </w:r>
      <w:r w:rsidR="00835C43" w:rsidRPr="00A52AB8">
        <w:instrText xml:space="preserve"> REF _Ref49036178 \r \h </w:instrText>
      </w:r>
      <w:r w:rsidR="00895F6E" w:rsidRPr="00A52AB8">
        <w:instrText xml:space="preserve"> \* MERGEFORMAT </w:instrText>
      </w:r>
      <w:r w:rsidR="00835C43" w:rsidRPr="00496A4D">
        <w:fldChar w:fldCharType="separate"/>
      </w:r>
      <w:r w:rsidR="00507A67">
        <w:t>F.3.16.2.4</w:t>
      </w:r>
      <w:r w:rsidR="00835C43" w:rsidRPr="00496A4D">
        <w:fldChar w:fldCharType="end"/>
      </w:r>
      <w:r w:rsidRPr="00A52AB8">
        <w:t>:</w:t>
      </w:r>
    </w:p>
    <w:p w14:paraId="2EAB8BA4" w14:textId="0B46DB9C" w:rsidR="00842EEB" w:rsidRPr="00A52AB8" w:rsidRDefault="00CD100A" w:rsidP="00FB4953">
      <w:pPr>
        <w:tabs>
          <w:tab w:val="clear" w:pos="2016"/>
        </w:tabs>
        <w:spacing w:before="120"/>
      </w:pPr>
      <w:r w:rsidRPr="00A52AB8">
        <w:tab/>
      </w:r>
      <w:r w:rsidR="00842EEB" w:rsidRPr="00A52AB8">
        <w:t>checksum</w:t>
      </w:r>
      <w:r w:rsidR="00D47707" w:rsidRPr="00A52AB8">
        <w:t> = </w:t>
      </w:r>
      <w:r w:rsidR="00842EEB" w:rsidRPr="00A52AB8">
        <w:t>0</w:t>
      </w:r>
      <w:r w:rsidR="00842EEB" w:rsidRPr="00A52AB8">
        <w:br/>
      </w:r>
      <w:r w:rsidRPr="00A52AB8">
        <w:tab/>
      </w:r>
      <w:r w:rsidR="00842EEB" w:rsidRPr="00A52AB8">
        <w:t>for( i</w:t>
      </w:r>
      <w:r w:rsidR="00D47707" w:rsidRPr="00A52AB8">
        <w:t> = </w:t>
      </w:r>
      <w:r w:rsidR="00842EEB" w:rsidRPr="00A52AB8">
        <w:t>0; i &lt; </w:t>
      </w:r>
      <w:r w:rsidR="00C3355C" w:rsidRPr="00A52AB8">
        <w:t>T</w:t>
      </w:r>
      <w:r w:rsidR="00D219F5" w:rsidRPr="00A52AB8">
        <w:t>ileD</w:t>
      </w:r>
      <w:r w:rsidR="00842EEB" w:rsidRPr="00A52AB8">
        <w:t>ata</w:t>
      </w:r>
      <w:r w:rsidR="0034754B" w:rsidRPr="00A52AB8">
        <w:t>Bytes</w:t>
      </w:r>
      <w:r w:rsidR="00842EEB" w:rsidRPr="00A52AB8">
        <w:t> ; i</w:t>
      </w:r>
      <w:r w:rsidR="00006CCF" w:rsidRPr="00A52AB8">
        <w:t>++ </w:t>
      </w:r>
      <w:r w:rsidR="008F1F82" w:rsidRPr="00A52AB8">
        <w:t>) {</w:t>
      </w:r>
      <w:r w:rsidR="00842EEB" w:rsidRPr="00A52AB8">
        <w:br/>
      </w:r>
      <w:r w:rsidR="0072352B" w:rsidRPr="00A52AB8">
        <w:tab/>
      </w:r>
      <w:r w:rsidRPr="00A52AB8">
        <w:tab/>
      </w:r>
      <w:r w:rsidR="00842EEB" w:rsidRPr="00A52AB8">
        <w:t>xorMask</w:t>
      </w:r>
      <w:r w:rsidR="00D47707" w:rsidRPr="00A52AB8">
        <w:t> = </w:t>
      </w:r>
      <w:r w:rsidR="00842EEB" w:rsidRPr="00A52AB8">
        <w:t>( i &amp; 0xFF ) ^ ( i &gt;&gt; 8 )</w:t>
      </w:r>
      <w:r w:rsidR="00842EEB" w:rsidRPr="00A52AB8">
        <w:br/>
      </w:r>
      <w:r w:rsidR="0055476C" w:rsidRPr="00A52AB8">
        <w:tab/>
      </w:r>
      <w:r w:rsidRPr="00A52AB8">
        <w:tab/>
      </w:r>
      <w:r w:rsidR="00842EEB" w:rsidRPr="00A52AB8">
        <w:t>checksum</w:t>
      </w:r>
      <w:r w:rsidR="00D47707" w:rsidRPr="00A52AB8">
        <w:t> = </w:t>
      </w:r>
      <w:r w:rsidR="00842EEB" w:rsidRPr="00A52AB8">
        <w:t>( checksum + ( </w:t>
      </w:r>
      <w:r w:rsidR="00C3355C" w:rsidRPr="00A52AB8">
        <w:t>T</w:t>
      </w:r>
      <w:r w:rsidR="00842EEB" w:rsidRPr="00A52AB8">
        <w:t>ileData[ i ]</w:t>
      </w:r>
      <w:r w:rsidR="0034754B" w:rsidRPr="00A52AB8">
        <w:t> </w:t>
      </w:r>
      <w:r w:rsidR="00842EEB" w:rsidRPr="00A52AB8">
        <w:t>&amp;</w:t>
      </w:r>
      <w:r w:rsidR="0034754B" w:rsidRPr="00A52AB8">
        <w:t> </w:t>
      </w:r>
      <w:r w:rsidR="00842EEB" w:rsidRPr="00A52AB8">
        <w:t>0xFF)</w:t>
      </w:r>
      <w:r w:rsidR="0034754B" w:rsidRPr="00A52AB8">
        <w:t> </w:t>
      </w:r>
      <w:r w:rsidR="00842EEB" w:rsidRPr="00A52AB8">
        <w:t>^</w:t>
      </w:r>
      <w:r w:rsidR="0034754B" w:rsidRPr="00A52AB8">
        <w:t> </w:t>
      </w:r>
      <w:r w:rsidR="00842EEB" w:rsidRPr="00A52AB8">
        <w:t>xorMask</w:t>
      </w:r>
      <w:r w:rsidR="007A3CE0" w:rsidRPr="00A52AB8">
        <w:t> </w:t>
      </w:r>
      <w:r w:rsidR="00842EEB" w:rsidRPr="00A52AB8">
        <w:t>)</w:t>
      </w:r>
      <w:r w:rsidR="0034754B" w:rsidRPr="00A52AB8">
        <w:t> </w:t>
      </w:r>
      <w:r w:rsidR="00842EEB" w:rsidRPr="00A52AB8">
        <w:t>&amp;</w:t>
      </w:r>
      <w:r w:rsidR="0034754B" w:rsidRPr="00A52AB8">
        <w:t> </w:t>
      </w:r>
      <w:r w:rsidR="00842EEB" w:rsidRPr="00A52AB8">
        <w:t>0xFFFFFFFF</w:t>
      </w:r>
      <w:r w:rsidR="00842EEB" w:rsidRPr="00A52AB8">
        <w:br/>
      </w:r>
      <w:r w:rsidR="0055476C" w:rsidRPr="00A52AB8">
        <w:tab/>
      </w:r>
      <w:r w:rsidRPr="00A52AB8">
        <w:tab/>
      </w:r>
      <w:r w:rsidR="00842EEB" w:rsidRPr="00A52AB8">
        <w:t>checksum</w:t>
      </w:r>
      <w:r w:rsidR="00D47707" w:rsidRPr="00A52AB8">
        <w:t> = </w:t>
      </w:r>
      <w:r w:rsidR="00842EEB" w:rsidRPr="00A52AB8">
        <w:t>( checksum + ( </w:t>
      </w:r>
      <w:r w:rsidR="00C3355C" w:rsidRPr="00A52AB8">
        <w:t>T</w:t>
      </w:r>
      <w:r w:rsidR="00842EEB" w:rsidRPr="00A52AB8">
        <w:t>ileData[ i ]</w:t>
      </w:r>
      <w:r w:rsidR="008768E9" w:rsidRPr="00A52AB8">
        <w:t> &gt;&gt; </w:t>
      </w:r>
      <w:r w:rsidR="00842EEB" w:rsidRPr="00A52AB8">
        <w:t>8</w:t>
      </w:r>
      <w:r w:rsidR="0034754B" w:rsidRPr="00A52AB8">
        <w:t> </w:t>
      </w:r>
      <w:r w:rsidR="00842EEB" w:rsidRPr="00A52AB8">
        <w:t>)</w:t>
      </w:r>
      <w:r w:rsidR="0034754B" w:rsidRPr="00A52AB8">
        <w:t> </w:t>
      </w:r>
      <w:r w:rsidR="00842EEB" w:rsidRPr="00A52AB8">
        <w:t>^</w:t>
      </w:r>
      <w:r w:rsidR="0034754B" w:rsidRPr="00A52AB8">
        <w:t> </w:t>
      </w:r>
      <w:r w:rsidR="00842EEB" w:rsidRPr="00A52AB8">
        <w:t>xorMask</w:t>
      </w:r>
      <w:r w:rsidR="007A3CE0" w:rsidRPr="00A52AB8">
        <w:t> </w:t>
      </w:r>
      <w:r w:rsidR="00842EEB" w:rsidRPr="00A52AB8">
        <w:t>)</w:t>
      </w:r>
      <w:r w:rsidR="0034754B" w:rsidRPr="00A52AB8">
        <w:t> </w:t>
      </w:r>
      <w:r w:rsidR="00842EEB" w:rsidRPr="00A52AB8">
        <w:t>&amp;</w:t>
      </w:r>
      <w:r w:rsidR="0034754B" w:rsidRPr="00A52AB8">
        <w:t> </w:t>
      </w:r>
      <w:r w:rsidR="00842EEB" w:rsidRPr="00A52AB8">
        <w:t>0xFFFFFFFF</w:t>
      </w:r>
      <w:r w:rsidR="00842EEB" w:rsidRPr="00A52AB8">
        <w:br/>
      </w:r>
      <w:r w:rsidRPr="00A52AB8">
        <w:tab/>
      </w:r>
      <w:r w:rsidR="00842EEB" w:rsidRPr="00A52AB8">
        <w:t>}</w:t>
      </w:r>
    </w:p>
    <w:p w14:paraId="0618E621" w14:textId="4B820439" w:rsidR="00842EEB" w:rsidRPr="00A52AB8" w:rsidRDefault="00842EEB" w:rsidP="00842EEB">
      <w:r w:rsidRPr="00A52AB8">
        <w:rPr>
          <w:b/>
          <w:bCs/>
        </w:rPr>
        <w:t>daih_atlas_tiles_b2p</w:t>
      </w:r>
      <w:r w:rsidRPr="00A52AB8">
        <w:rPr>
          <w:b/>
        </w:rPr>
        <w:t>_md5</w:t>
      </w:r>
      <w:r w:rsidRPr="00A52AB8">
        <w:rPr>
          <w:bCs/>
        </w:rPr>
        <w:t>[</w:t>
      </w:r>
      <w:r w:rsidRPr="00A52AB8">
        <w:t xml:space="preserve"> t ][ i ] </w:t>
      </w:r>
      <w:r w:rsidR="0070707A" w:rsidRPr="00A52AB8">
        <w:t xml:space="preserve">is the </w:t>
      </w:r>
      <w:r w:rsidR="0084006D" w:rsidRPr="00A52AB8">
        <w:t>i-th</w:t>
      </w:r>
      <w:r w:rsidR="0084006D" w:rsidRPr="00A52AB8">
        <w:rPr>
          <w:vertAlign w:val="superscript"/>
        </w:rPr>
        <w:t xml:space="preserve"> </w:t>
      </w:r>
      <w:r w:rsidR="0084006D" w:rsidRPr="00A52AB8">
        <w:t xml:space="preserve">byte </w:t>
      </w:r>
      <w:r w:rsidR="0070707A" w:rsidRPr="00A52AB8">
        <w:t>of</w:t>
      </w:r>
      <w:r w:rsidRPr="00A52AB8">
        <w:t xml:space="preserve"> the 16-byte MD5 hash of the </w:t>
      </w:r>
      <w:r w:rsidR="0051474F" w:rsidRPr="00A52AB8">
        <w:t xml:space="preserve">block to patch map of the decoded atlas tile, with tile ID </w:t>
      </w:r>
      <w:r w:rsidR="0034754B" w:rsidRPr="00A52AB8">
        <w:t xml:space="preserve">equal to </w:t>
      </w:r>
      <w:r w:rsidR="0051474F" w:rsidRPr="00A52AB8">
        <w:t>t</w:t>
      </w:r>
      <w:r w:rsidR="0034754B" w:rsidRPr="00A52AB8">
        <w:t xml:space="preserve">, associated with </w:t>
      </w:r>
      <w:r w:rsidR="004429AA" w:rsidRPr="00A52AB8">
        <w:t>SeiAtlasID</w:t>
      </w:r>
      <w:r w:rsidRPr="00A52AB8">
        <w:t>. The value of daih_</w:t>
      </w:r>
      <w:r w:rsidR="00EC1A66" w:rsidRPr="00A52AB8">
        <w:t>atlas_tiles_b2p</w:t>
      </w:r>
      <w:r w:rsidRPr="00A52AB8">
        <w:t xml:space="preserve">_md5[ t ][ i ] shall be equal </w:t>
      </w:r>
      <w:r w:rsidR="00C205D7" w:rsidRPr="00A52AB8">
        <w:t xml:space="preserve">to the value </w:t>
      </w:r>
      <w:r w:rsidRPr="00A52AB8">
        <w:t>digestVal</w:t>
      </w:r>
      <w:r w:rsidR="00EC1A66" w:rsidRPr="00A52AB8">
        <w:t>[ i ]</w:t>
      </w:r>
      <w:r w:rsidR="00C205D7" w:rsidRPr="00A52AB8">
        <w:t>,</w:t>
      </w:r>
      <w:r w:rsidRPr="00A52AB8">
        <w:t xml:space="preserve"> obtained</w:t>
      </w:r>
      <w:r w:rsidR="00C205D7" w:rsidRPr="00A52AB8">
        <w:t xml:space="preserve"> </w:t>
      </w:r>
      <w:r w:rsidRPr="00A52AB8">
        <w:t>using the MD5 functions defined in IETF RFC 1321</w:t>
      </w:r>
      <w:r w:rsidR="00621C11" w:rsidRPr="00A52AB8">
        <w:t xml:space="preserve"> and the string of bytes </w:t>
      </w:r>
      <w:r w:rsidR="00C3355C" w:rsidRPr="00A52AB8">
        <w:rPr>
          <w:rFonts w:eastAsia="MS Mincho"/>
        </w:rPr>
        <w:t>T</w:t>
      </w:r>
      <w:r w:rsidR="00621C11" w:rsidRPr="00A52AB8">
        <w:rPr>
          <w:rFonts w:eastAsia="MS Mincho"/>
        </w:rPr>
        <w:t>ileB2</w:t>
      </w:r>
      <w:r w:rsidR="0034754B" w:rsidRPr="00A52AB8">
        <w:rPr>
          <w:rFonts w:eastAsia="MS Mincho"/>
        </w:rPr>
        <w:t>P</w:t>
      </w:r>
      <w:r w:rsidR="00621C11" w:rsidRPr="00A52AB8">
        <w:rPr>
          <w:rFonts w:eastAsia="MS Mincho"/>
        </w:rPr>
        <w:t xml:space="preserve">Data </w:t>
      </w:r>
      <w:r w:rsidR="00621C11" w:rsidRPr="00A52AB8">
        <w:t xml:space="preserve">with length </w:t>
      </w:r>
      <w:r w:rsidR="0034754B" w:rsidRPr="00A52AB8">
        <w:t>Tile</w:t>
      </w:r>
      <w:r w:rsidR="00621C11" w:rsidRPr="00A52AB8">
        <w:rPr>
          <w:rFonts w:eastAsia="MS Mincho"/>
        </w:rPr>
        <w:t>B</w:t>
      </w:r>
      <w:r w:rsidR="0034754B" w:rsidRPr="00A52AB8">
        <w:rPr>
          <w:rFonts w:eastAsia="MS Mincho"/>
        </w:rPr>
        <w:t>2PDataBytes</w:t>
      </w:r>
      <w:r w:rsidR="00621C11" w:rsidRPr="00A52AB8">
        <w:t xml:space="preserve">, as specified in </w:t>
      </w:r>
      <w:r w:rsidR="00693B38" w:rsidRPr="00A52AB8">
        <w:t>subclause</w:t>
      </w:r>
      <w:r w:rsidR="00835C43" w:rsidRPr="00A52AB8">
        <w:t xml:space="preserve"> </w:t>
      </w:r>
      <w:r w:rsidR="00835C43" w:rsidRPr="00496A4D">
        <w:fldChar w:fldCharType="begin"/>
      </w:r>
      <w:r w:rsidR="00835C43" w:rsidRPr="00A52AB8">
        <w:instrText xml:space="preserve"> REF _Ref44511467 \r \h </w:instrText>
      </w:r>
      <w:r w:rsidR="00007BE2" w:rsidRPr="00A52AB8">
        <w:instrText xml:space="preserve"> \* MERGEFORMAT </w:instrText>
      </w:r>
      <w:r w:rsidR="00835C43" w:rsidRPr="00496A4D">
        <w:fldChar w:fldCharType="separate"/>
      </w:r>
      <w:r w:rsidR="00507A67">
        <w:t>F.3.16.2.6</w:t>
      </w:r>
      <w:r w:rsidR="00835C43" w:rsidRPr="00496A4D">
        <w:fldChar w:fldCharType="end"/>
      </w:r>
      <w:r w:rsidRPr="00A52AB8">
        <w:t>:</w:t>
      </w:r>
    </w:p>
    <w:p w14:paraId="04412169" w14:textId="54A70498" w:rsidR="00842EEB" w:rsidRPr="00A52AB8" w:rsidRDefault="00CD100A" w:rsidP="00FB4953">
      <w:pPr>
        <w:tabs>
          <w:tab w:val="clear" w:pos="2016"/>
        </w:tabs>
        <w:spacing w:before="120"/>
      </w:pPr>
      <w:r w:rsidRPr="00A52AB8">
        <w:tab/>
      </w:r>
      <w:r w:rsidR="00842EEB" w:rsidRPr="00A52AB8">
        <w:t>MD5Init( context )</w:t>
      </w:r>
      <w:r w:rsidR="00842EEB" w:rsidRPr="00A52AB8">
        <w:br/>
      </w:r>
      <w:r w:rsidRPr="00A52AB8">
        <w:tab/>
      </w:r>
      <w:r w:rsidR="00842EEB" w:rsidRPr="00A52AB8">
        <w:t>MD5Update( context, </w:t>
      </w:r>
      <w:r w:rsidR="00C3355C" w:rsidRPr="00A52AB8">
        <w:t>T</w:t>
      </w:r>
      <w:r w:rsidR="00842EEB" w:rsidRPr="00A52AB8">
        <w:t>ileB2</w:t>
      </w:r>
      <w:r w:rsidR="0034754B" w:rsidRPr="00A52AB8">
        <w:t>P</w:t>
      </w:r>
      <w:r w:rsidR="00842EEB" w:rsidRPr="00A52AB8">
        <w:t>Data, </w:t>
      </w:r>
      <w:r w:rsidR="0034754B" w:rsidRPr="00A52AB8">
        <w:t>Tile</w:t>
      </w:r>
      <w:r w:rsidR="00842EEB" w:rsidRPr="00A52AB8">
        <w:t>B2</w:t>
      </w:r>
      <w:r w:rsidR="0034754B" w:rsidRPr="00A52AB8">
        <w:t>PDataBytes</w:t>
      </w:r>
      <w:r w:rsidR="00842EEB" w:rsidRPr="00A52AB8">
        <w:t> )</w:t>
      </w:r>
      <w:r w:rsidR="00842EEB" w:rsidRPr="00A52AB8">
        <w:br/>
      </w:r>
      <w:r w:rsidRPr="00A52AB8">
        <w:tab/>
      </w:r>
      <w:r w:rsidR="00842EEB" w:rsidRPr="00A52AB8">
        <w:t>MD5Final( digestVal, context )</w:t>
      </w:r>
    </w:p>
    <w:p w14:paraId="51AB6D12" w14:textId="615ADDEF" w:rsidR="00842EEB" w:rsidRPr="00A52AB8" w:rsidRDefault="00842EEB" w:rsidP="00842EEB">
      <w:r w:rsidRPr="00A52AB8">
        <w:rPr>
          <w:b/>
        </w:rPr>
        <w:t>daih_atlas_tiles_b2p_crc</w:t>
      </w:r>
      <w:r w:rsidRPr="00A52AB8">
        <w:t>[ t ] is the cyclic redundancy check (CRC) of the</w:t>
      </w:r>
      <w:r w:rsidR="005B7B5C" w:rsidRPr="00A52AB8">
        <w:t xml:space="preserve"> block to patch map of the</w:t>
      </w:r>
      <w:r w:rsidRPr="00A52AB8">
        <w:t xml:space="preserve"> decoded atlas tile, with tile ID </w:t>
      </w:r>
      <w:r w:rsidR="0034754B" w:rsidRPr="00A52AB8">
        <w:t xml:space="preserve">equal to </w:t>
      </w:r>
      <w:r w:rsidRPr="00A52AB8">
        <w:t xml:space="preserve">t, associated with </w:t>
      </w:r>
      <w:r w:rsidR="004429AA" w:rsidRPr="00A52AB8">
        <w:t>SeiAtlasID</w:t>
      </w:r>
      <w:r w:rsidRPr="00A52AB8">
        <w:t>. The value of daih_atlas_tiles_b2p_crc</w:t>
      </w:r>
      <w:r w:rsidR="00EC1A66" w:rsidRPr="00A52AB8">
        <w:t>[ t ]</w:t>
      </w:r>
      <w:r w:rsidRPr="00A52AB8">
        <w:t xml:space="preserve"> shall be equal to the value of crcVal</w:t>
      </w:r>
      <w:r w:rsidR="006E4434" w:rsidRPr="00A52AB8">
        <w:t>,</w:t>
      </w:r>
      <w:r w:rsidRPr="00A52AB8">
        <w:t xml:space="preserve"> obtained using </w:t>
      </w:r>
      <w:r w:rsidR="00EC1A66" w:rsidRPr="00A52AB8">
        <w:t xml:space="preserve">the </w:t>
      </w:r>
      <w:r w:rsidRPr="00A52AB8">
        <w:t>CRC specification defined in Rec. ITU-T H.271</w:t>
      </w:r>
      <w:r w:rsidR="00621C11" w:rsidRPr="00A52AB8">
        <w:t xml:space="preserve"> and the string of bytes </w:t>
      </w:r>
      <w:r w:rsidR="00C3355C" w:rsidRPr="00A52AB8">
        <w:rPr>
          <w:rFonts w:eastAsia="MS Mincho"/>
        </w:rPr>
        <w:t>T</w:t>
      </w:r>
      <w:r w:rsidR="00621C11" w:rsidRPr="00A52AB8">
        <w:rPr>
          <w:rFonts w:eastAsia="MS Mincho"/>
        </w:rPr>
        <w:t>ileB2</w:t>
      </w:r>
      <w:r w:rsidR="0034754B" w:rsidRPr="00A52AB8">
        <w:rPr>
          <w:rFonts w:eastAsia="MS Mincho"/>
        </w:rPr>
        <w:t>P</w:t>
      </w:r>
      <w:r w:rsidR="00621C11" w:rsidRPr="00A52AB8">
        <w:rPr>
          <w:rFonts w:eastAsia="MS Mincho"/>
        </w:rPr>
        <w:t>Data</w:t>
      </w:r>
      <w:r w:rsidR="0034754B" w:rsidRPr="00A52AB8">
        <w:rPr>
          <w:rFonts w:eastAsia="MS Mincho"/>
        </w:rPr>
        <w:t xml:space="preserve"> </w:t>
      </w:r>
      <w:r w:rsidR="00621C11" w:rsidRPr="00A52AB8">
        <w:t xml:space="preserve">with length </w:t>
      </w:r>
      <w:r w:rsidR="005663E6" w:rsidRPr="00A52AB8">
        <w:t>Tile</w:t>
      </w:r>
      <w:r w:rsidR="00621C11" w:rsidRPr="00A52AB8">
        <w:rPr>
          <w:rFonts w:eastAsia="MS Mincho"/>
        </w:rPr>
        <w:t>B2</w:t>
      </w:r>
      <w:r w:rsidR="005663E6" w:rsidRPr="00A52AB8">
        <w:rPr>
          <w:rFonts w:eastAsia="MS Mincho"/>
        </w:rPr>
        <w:t>PDataBytes</w:t>
      </w:r>
      <w:r w:rsidR="00621C11" w:rsidRPr="00A52AB8">
        <w:t xml:space="preserve">, as specified in </w:t>
      </w:r>
      <w:r w:rsidR="00693B38" w:rsidRPr="00A52AB8">
        <w:t>subclause</w:t>
      </w:r>
      <w:r w:rsidR="00895F6E" w:rsidRPr="00A52AB8">
        <w:t> </w:t>
      </w:r>
      <w:r w:rsidR="00835C43" w:rsidRPr="00496A4D">
        <w:fldChar w:fldCharType="begin"/>
      </w:r>
      <w:r w:rsidR="00835C43" w:rsidRPr="00A52AB8">
        <w:instrText xml:space="preserve"> REF _Ref44511467 \r \h </w:instrText>
      </w:r>
      <w:r w:rsidR="00007BE2" w:rsidRPr="00A52AB8">
        <w:instrText xml:space="preserve"> \* MERGEFORMAT </w:instrText>
      </w:r>
      <w:r w:rsidR="00835C43" w:rsidRPr="00496A4D">
        <w:fldChar w:fldCharType="separate"/>
      </w:r>
      <w:r w:rsidR="00507A67">
        <w:t>F.3.16.2.6</w:t>
      </w:r>
      <w:r w:rsidR="00835C43" w:rsidRPr="00496A4D">
        <w:fldChar w:fldCharType="end"/>
      </w:r>
      <w:r w:rsidRPr="00A52AB8">
        <w:t>:</w:t>
      </w:r>
    </w:p>
    <w:p w14:paraId="388420A9" w14:textId="1115D2AE" w:rsidR="00842EEB" w:rsidRPr="00A52AB8" w:rsidRDefault="008B3486" w:rsidP="00FB4953">
      <w:pPr>
        <w:tabs>
          <w:tab w:val="clear" w:pos="2016"/>
        </w:tabs>
        <w:spacing w:before="120"/>
      </w:pPr>
      <w:r w:rsidRPr="00A52AB8">
        <w:tab/>
      </w:r>
      <w:r w:rsidR="00842EEB" w:rsidRPr="00A52AB8">
        <w:t>crc</w:t>
      </w:r>
      <w:r w:rsidR="00D47707" w:rsidRPr="00A52AB8">
        <w:t> = </w:t>
      </w:r>
      <w:r w:rsidR="00842EEB" w:rsidRPr="00A52AB8">
        <w:t>0xFFFF</w:t>
      </w:r>
      <w:r w:rsidR="00842EEB" w:rsidRPr="00A52AB8">
        <w:br/>
      </w:r>
      <w:r w:rsidRPr="00A52AB8">
        <w:tab/>
      </w:r>
      <w:r w:rsidR="00C3355C" w:rsidRPr="00A52AB8">
        <w:t>T</w:t>
      </w:r>
      <w:r w:rsidR="00842EEB" w:rsidRPr="00A52AB8">
        <w:t>ileB2</w:t>
      </w:r>
      <w:r w:rsidR="000B42EB" w:rsidRPr="00A52AB8">
        <w:t>P</w:t>
      </w:r>
      <w:r w:rsidR="00842EEB" w:rsidRPr="00A52AB8">
        <w:t>Data[ </w:t>
      </w:r>
      <w:r w:rsidR="000B42EB" w:rsidRPr="00A52AB8">
        <w:t>Tile</w:t>
      </w:r>
      <w:r w:rsidR="00842EEB" w:rsidRPr="00A52AB8">
        <w:t>B2</w:t>
      </w:r>
      <w:r w:rsidR="000B42EB" w:rsidRPr="00A52AB8">
        <w:t>PDataBytes</w:t>
      </w:r>
      <w:r w:rsidR="00842EEB" w:rsidRPr="00A52AB8">
        <w:t> ]</w:t>
      </w:r>
      <w:r w:rsidR="00D47707" w:rsidRPr="00A52AB8">
        <w:t> = </w:t>
      </w:r>
      <w:r w:rsidR="00842EEB" w:rsidRPr="00A52AB8">
        <w:t>0</w:t>
      </w:r>
      <w:r w:rsidR="00842EEB" w:rsidRPr="00A52AB8">
        <w:br/>
      </w:r>
      <w:bookmarkStart w:id="5985" w:name="_Hlk44276919"/>
      <w:r w:rsidRPr="00A52AB8">
        <w:tab/>
      </w:r>
      <w:r w:rsidR="00C3355C" w:rsidRPr="00A52AB8">
        <w:t>T</w:t>
      </w:r>
      <w:r w:rsidR="00842EEB" w:rsidRPr="00A52AB8">
        <w:t>ileB2pData</w:t>
      </w:r>
      <w:bookmarkEnd w:id="5985"/>
      <w:r w:rsidR="00842EEB" w:rsidRPr="00A52AB8">
        <w:t>[ </w:t>
      </w:r>
      <w:r w:rsidR="000B42EB" w:rsidRPr="00A52AB8">
        <w:t>Tile</w:t>
      </w:r>
      <w:r w:rsidR="00842EEB" w:rsidRPr="00A52AB8">
        <w:t>B2</w:t>
      </w:r>
      <w:r w:rsidR="000B42EB" w:rsidRPr="00A52AB8">
        <w:t>PDataBytes</w:t>
      </w:r>
      <w:r w:rsidR="00842EEB" w:rsidRPr="00A52AB8">
        <w:t> + 1 ]</w:t>
      </w:r>
      <w:r w:rsidR="00D47707" w:rsidRPr="00A52AB8">
        <w:t> = </w:t>
      </w:r>
      <w:r w:rsidR="00842EEB" w:rsidRPr="00A52AB8">
        <w:t>0</w:t>
      </w:r>
      <w:r w:rsidR="00842EEB" w:rsidRPr="00A52AB8">
        <w:br/>
      </w:r>
      <w:r w:rsidRPr="00A52AB8">
        <w:tab/>
      </w:r>
      <w:r w:rsidR="00842EEB" w:rsidRPr="00A52AB8">
        <w:t>for(</w:t>
      </w:r>
      <w:r w:rsidR="000B42EB" w:rsidRPr="00A52AB8">
        <w:t> </w:t>
      </w:r>
      <w:r w:rsidR="00842EEB" w:rsidRPr="00A52AB8">
        <w:t>bitIdx</w:t>
      </w:r>
      <w:r w:rsidR="00D47707" w:rsidRPr="00A52AB8">
        <w:t> = </w:t>
      </w:r>
      <w:r w:rsidR="00842EEB" w:rsidRPr="00A52AB8">
        <w:t>0;</w:t>
      </w:r>
      <w:r w:rsidR="000B42EB" w:rsidRPr="00A52AB8">
        <w:t> </w:t>
      </w:r>
      <w:r w:rsidR="00842EEB" w:rsidRPr="00A52AB8">
        <w:t>bitIdx</w:t>
      </w:r>
      <w:r w:rsidR="000B42EB" w:rsidRPr="00A52AB8">
        <w:t> </w:t>
      </w:r>
      <w:r w:rsidR="00842EEB" w:rsidRPr="00A52AB8">
        <w:t>&lt;</w:t>
      </w:r>
      <w:r w:rsidR="000B42EB" w:rsidRPr="00A52AB8">
        <w:t> </w:t>
      </w:r>
      <w:r w:rsidR="00842EEB" w:rsidRPr="00A52AB8">
        <w:t>(</w:t>
      </w:r>
      <w:r w:rsidR="000B42EB" w:rsidRPr="00A52AB8">
        <w:t> Tile</w:t>
      </w:r>
      <w:r w:rsidR="00842EEB" w:rsidRPr="00A52AB8">
        <w:t>B2</w:t>
      </w:r>
      <w:r w:rsidR="000B42EB" w:rsidRPr="00A52AB8">
        <w:t>PDataBytes</w:t>
      </w:r>
      <w:r w:rsidR="00842EEB" w:rsidRPr="00A52AB8">
        <w:t> + 2</w:t>
      </w:r>
      <w:r w:rsidR="000B42EB" w:rsidRPr="00A52AB8">
        <w:t> </w:t>
      </w:r>
      <w:r w:rsidR="00842EEB" w:rsidRPr="00A52AB8">
        <w:t>) * 8;</w:t>
      </w:r>
      <w:r w:rsidR="000B42EB" w:rsidRPr="00A52AB8">
        <w:t> </w:t>
      </w:r>
      <w:r w:rsidR="00842EEB" w:rsidRPr="00A52AB8">
        <w:t>bitIdx</w:t>
      </w:r>
      <w:r w:rsidR="00006CCF" w:rsidRPr="00A52AB8">
        <w:t>++ </w:t>
      </w:r>
      <w:r w:rsidR="008F1F82" w:rsidRPr="00A52AB8">
        <w:t>) {</w:t>
      </w:r>
      <w:r w:rsidR="00842EEB" w:rsidRPr="00A52AB8">
        <w:br/>
      </w:r>
      <w:r w:rsidR="00842EEB" w:rsidRPr="00A52AB8">
        <w:tab/>
      </w:r>
      <w:r w:rsidRPr="00A52AB8">
        <w:tab/>
      </w:r>
      <w:r w:rsidR="00842EEB" w:rsidRPr="00A52AB8">
        <w:t>dataByte</w:t>
      </w:r>
      <w:r w:rsidR="00D47707" w:rsidRPr="00A52AB8">
        <w:t> = </w:t>
      </w:r>
      <w:r w:rsidR="00C3355C" w:rsidRPr="00A52AB8">
        <w:t>T</w:t>
      </w:r>
      <w:r w:rsidR="00842EEB" w:rsidRPr="00A52AB8">
        <w:t>ileB2</w:t>
      </w:r>
      <w:r w:rsidR="000B42EB" w:rsidRPr="00A52AB8">
        <w:t>PData</w:t>
      </w:r>
      <w:r w:rsidR="00842EEB" w:rsidRPr="00A52AB8">
        <w:t>[ bitIdx</w:t>
      </w:r>
      <w:r w:rsidR="008768E9" w:rsidRPr="00A52AB8">
        <w:t> &gt;&gt; </w:t>
      </w:r>
      <w:r w:rsidR="00842EEB" w:rsidRPr="00A52AB8">
        <w:t>3 ]</w:t>
      </w:r>
      <w:r w:rsidR="00842EEB" w:rsidRPr="00A52AB8">
        <w:br/>
      </w:r>
      <w:r w:rsidR="00842EEB" w:rsidRPr="00A52AB8">
        <w:tab/>
      </w:r>
      <w:r w:rsidRPr="00A52AB8">
        <w:tab/>
      </w:r>
      <w:r w:rsidR="00842EEB" w:rsidRPr="00A52AB8">
        <w:t>crcMsb</w:t>
      </w:r>
      <w:r w:rsidR="00D47707" w:rsidRPr="00A52AB8">
        <w:t> = </w:t>
      </w:r>
      <w:r w:rsidR="00842EEB" w:rsidRPr="00A52AB8">
        <w:t>(</w:t>
      </w:r>
      <w:r w:rsidR="000B42EB" w:rsidRPr="00A52AB8">
        <w:t> </w:t>
      </w:r>
      <w:r w:rsidR="00842EEB" w:rsidRPr="00A52AB8">
        <w:t>crc</w:t>
      </w:r>
      <w:r w:rsidR="008768E9" w:rsidRPr="00A52AB8">
        <w:t> &gt;&gt; </w:t>
      </w:r>
      <w:r w:rsidR="00842EEB" w:rsidRPr="00A52AB8">
        <w:t>15</w:t>
      </w:r>
      <w:r w:rsidR="000B42EB" w:rsidRPr="00A52AB8">
        <w:t> </w:t>
      </w:r>
      <w:r w:rsidR="00842EEB" w:rsidRPr="00A52AB8">
        <w:t>)</w:t>
      </w:r>
      <w:r w:rsidR="000B42EB" w:rsidRPr="00A52AB8">
        <w:t> </w:t>
      </w:r>
      <w:r w:rsidR="00842EEB" w:rsidRPr="00A52AB8">
        <w:t>&amp;</w:t>
      </w:r>
      <w:r w:rsidR="000B42EB" w:rsidRPr="00A52AB8">
        <w:t> </w:t>
      </w:r>
      <w:r w:rsidR="00842EEB" w:rsidRPr="00A52AB8">
        <w:t>1</w:t>
      </w:r>
      <w:r w:rsidR="00842EEB" w:rsidRPr="00A52AB8">
        <w:br/>
      </w:r>
      <w:r w:rsidR="00842EEB" w:rsidRPr="00A52AB8">
        <w:tab/>
      </w:r>
      <w:r w:rsidRPr="00A52AB8">
        <w:tab/>
      </w:r>
      <w:r w:rsidR="00842EEB" w:rsidRPr="00A52AB8">
        <w:t>bitVal</w:t>
      </w:r>
      <w:r w:rsidR="00D47707" w:rsidRPr="00A52AB8">
        <w:t> = </w:t>
      </w:r>
      <w:r w:rsidR="00842EEB" w:rsidRPr="00A52AB8">
        <w:t>(</w:t>
      </w:r>
      <w:r w:rsidR="000B42EB" w:rsidRPr="00A52AB8">
        <w:t> </w:t>
      </w:r>
      <w:r w:rsidR="00842EEB" w:rsidRPr="00A52AB8">
        <w:t>dataByte</w:t>
      </w:r>
      <w:r w:rsidR="008768E9" w:rsidRPr="00A52AB8">
        <w:t> &gt;&gt; </w:t>
      </w:r>
      <w:r w:rsidR="00842EEB" w:rsidRPr="00A52AB8">
        <w:t>(</w:t>
      </w:r>
      <w:r w:rsidR="000B42EB" w:rsidRPr="00A52AB8">
        <w:t> </w:t>
      </w:r>
      <w:r w:rsidR="00842EEB" w:rsidRPr="00A52AB8">
        <w:t>7</w:t>
      </w:r>
      <w:r w:rsidR="000B42EB" w:rsidRPr="00A52AB8">
        <w:t> </w:t>
      </w:r>
      <w:r w:rsidR="00842EEB" w:rsidRPr="00A52AB8">
        <w:t>−</w:t>
      </w:r>
      <w:r w:rsidR="000B42EB" w:rsidRPr="00A52AB8">
        <w:t> </w:t>
      </w:r>
      <w:r w:rsidR="00842EEB" w:rsidRPr="00A52AB8">
        <w:t>(</w:t>
      </w:r>
      <w:r w:rsidR="000B42EB" w:rsidRPr="00A52AB8">
        <w:t> </w:t>
      </w:r>
      <w:r w:rsidR="00842EEB" w:rsidRPr="00A52AB8">
        <w:t>bitIdx</w:t>
      </w:r>
      <w:r w:rsidR="000B42EB" w:rsidRPr="00A52AB8">
        <w:t> </w:t>
      </w:r>
      <w:r w:rsidR="00842EEB" w:rsidRPr="00A52AB8">
        <w:t>&amp;</w:t>
      </w:r>
      <w:r w:rsidR="000B42EB" w:rsidRPr="00A52AB8">
        <w:t> </w:t>
      </w:r>
      <w:r w:rsidR="00842EEB" w:rsidRPr="00A52AB8">
        <w:t>7</w:t>
      </w:r>
      <w:r w:rsidR="000B42EB" w:rsidRPr="00A52AB8">
        <w:t> </w:t>
      </w:r>
      <w:r w:rsidR="00842EEB" w:rsidRPr="00A52AB8">
        <w:t>)</w:t>
      </w:r>
      <w:r w:rsidR="000B42EB" w:rsidRPr="00A52AB8">
        <w:t> </w:t>
      </w:r>
      <w:r w:rsidR="00842EEB" w:rsidRPr="00A52AB8">
        <w:t>)</w:t>
      </w:r>
      <w:r w:rsidR="000B42EB" w:rsidRPr="00A52AB8">
        <w:t> </w:t>
      </w:r>
      <w:r w:rsidR="00842EEB" w:rsidRPr="00A52AB8">
        <w:t>)</w:t>
      </w:r>
      <w:r w:rsidR="000B42EB" w:rsidRPr="00A52AB8">
        <w:t> </w:t>
      </w:r>
      <w:r w:rsidR="00842EEB" w:rsidRPr="00A52AB8">
        <w:t>&amp;</w:t>
      </w:r>
      <w:r w:rsidR="000B42EB" w:rsidRPr="00A52AB8">
        <w:t> </w:t>
      </w:r>
      <w:r w:rsidR="00842EEB" w:rsidRPr="00A52AB8">
        <w:t>1</w:t>
      </w:r>
      <w:r w:rsidR="00842EEB" w:rsidRPr="00A52AB8">
        <w:br/>
      </w:r>
      <w:r w:rsidR="00842EEB" w:rsidRPr="00A52AB8">
        <w:tab/>
      </w:r>
      <w:r w:rsidRPr="00A52AB8">
        <w:tab/>
      </w:r>
      <w:r w:rsidR="00842EEB" w:rsidRPr="00A52AB8">
        <w:t>crc</w:t>
      </w:r>
      <w:r w:rsidR="00D47707" w:rsidRPr="00A52AB8">
        <w:t> = </w:t>
      </w:r>
      <w:r w:rsidR="00842EEB" w:rsidRPr="00A52AB8">
        <w:t>(</w:t>
      </w:r>
      <w:r w:rsidR="000B42EB" w:rsidRPr="00A52AB8">
        <w:t> </w:t>
      </w:r>
      <w:r w:rsidR="00842EEB" w:rsidRPr="00A52AB8">
        <w:t>(</w:t>
      </w:r>
      <w:r w:rsidR="000B42EB" w:rsidRPr="00A52AB8">
        <w:t> </w:t>
      </w:r>
      <w:r w:rsidR="00842EEB" w:rsidRPr="00A52AB8">
        <w:t>(</w:t>
      </w:r>
      <w:r w:rsidR="000B42EB" w:rsidRPr="00A52AB8">
        <w:t> </w:t>
      </w:r>
      <w:r w:rsidR="00842EEB" w:rsidRPr="00A52AB8">
        <w:t>crc</w:t>
      </w:r>
      <w:r w:rsidR="00766CC9" w:rsidRPr="00A52AB8">
        <w:t> &lt;&lt; </w:t>
      </w:r>
      <w:r w:rsidR="00842EEB" w:rsidRPr="00A52AB8">
        <w:t>1</w:t>
      </w:r>
      <w:r w:rsidR="000B42EB" w:rsidRPr="00A52AB8">
        <w:t> </w:t>
      </w:r>
      <w:r w:rsidR="00842EEB" w:rsidRPr="00A52AB8">
        <w:t>)</w:t>
      </w:r>
      <w:r w:rsidR="000B42EB" w:rsidRPr="00A52AB8">
        <w:t> </w:t>
      </w:r>
      <w:r w:rsidR="00842EEB" w:rsidRPr="00A52AB8">
        <w:t>+</w:t>
      </w:r>
      <w:r w:rsidR="000B42EB" w:rsidRPr="00A52AB8">
        <w:t> </w:t>
      </w:r>
      <w:r w:rsidR="00842EEB" w:rsidRPr="00A52AB8">
        <w:t>bitVal</w:t>
      </w:r>
      <w:r w:rsidR="000B42EB" w:rsidRPr="00A52AB8">
        <w:t> </w:t>
      </w:r>
      <w:r w:rsidR="00842EEB" w:rsidRPr="00A52AB8">
        <w:t>)</w:t>
      </w:r>
      <w:r w:rsidR="000B42EB" w:rsidRPr="00A52AB8">
        <w:t> </w:t>
      </w:r>
      <w:r w:rsidR="00842EEB" w:rsidRPr="00A52AB8">
        <w:t>&amp;</w:t>
      </w:r>
      <w:r w:rsidR="000B42EB" w:rsidRPr="00A52AB8">
        <w:t> </w:t>
      </w:r>
      <w:r w:rsidR="00842EEB" w:rsidRPr="00A52AB8">
        <w:t>0xFFFF</w:t>
      </w:r>
      <w:r w:rsidR="000B42EB" w:rsidRPr="00A52AB8">
        <w:t> </w:t>
      </w:r>
      <w:r w:rsidR="00842EEB" w:rsidRPr="00A52AB8">
        <w:t>)</w:t>
      </w:r>
      <w:r w:rsidR="000B42EB" w:rsidRPr="00A52AB8">
        <w:t> </w:t>
      </w:r>
      <w:r w:rsidR="00842EEB" w:rsidRPr="00A52AB8">
        <w:t>^</w:t>
      </w:r>
      <w:r w:rsidR="000B42EB" w:rsidRPr="00A52AB8">
        <w:t> </w:t>
      </w:r>
      <w:r w:rsidR="00842EEB" w:rsidRPr="00A52AB8">
        <w:t>(</w:t>
      </w:r>
      <w:r w:rsidR="000B42EB" w:rsidRPr="00A52AB8">
        <w:t> </w:t>
      </w:r>
      <w:r w:rsidR="00842EEB" w:rsidRPr="00A52AB8">
        <w:t>crcMsb</w:t>
      </w:r>
      <w:r w:rsidR="000B42EB" w:rsidRPr="00A52AB8">
        <w:t> </w:t>
      </w:r>
      <w:r w:rsidR="00842EEB" w:rsidRPr="00A52AB8">
        <w:t>*</w:t>
      </w:r>
      <w:r w:rsidR="000B42EB" w:rsidRPr="00A52AB8">
        <w:t> </w:t>
      </w:r>
      <w:r w:rsidR="00842EEB" w:rsidRPr="00A52AB8">
        <w:t>0x1021</w:t>
      </w:r>
      <w:r w:rsidR="000B42EB" w:rsidRPr="00A52AB8">
        <w:t> </w:t>
      </w:r>
      <w:r w:rsidR="00842EEB" w:rsidRPr="00A52AB8">
        <w:t>)</w:t>
      </w:r>
      <w:r w:rsidR="00842EEB" w:rsidRPr="00A52AB8">
        <w:br/>
      </w:r>
      <w:r w:rsidRPr="00A52AB8">
        <w:tab/>
      </w:r>
      <w:r w:rsidR="00842EEB" w:rsidRPr="00A52AB8">
        <w:t>}</w:t>
      </w:r>
      <w:r w:rsidR="00842EEB" w:rsidRPr="00A52AB8">
        <w:br/>
      </w:r>
      <w:r w:rsidRPr="00A52AB8">
        <w:tab/>
      </w:r>
      <w:r w:rsidR="00842EEB" w:rsidRPr="00A52AB8">
        <w:t>crcVal</w:t>
      </w:r>
      <w:r w:rsidR="00D47707" w:rsidRPr="00A52AB8">
        <w:t> = </w:t>
      </w:r>
      <w:r w:rsidR="00842EEB" w:rsidRPr="00A52AB8">
        <w:t>crc</w:t>
      </w:r>
    </w:p>
    <w:p w14:paraId="3FE5B40F" w14:textId="207ED0AE" w:rsidR="00842EEB" w:rsidRPr="00A52AB8" w:rsidRDefault="00842EEB" w:rsidP="00FB4953">
      <w:pPr>
        <w:pStyle w:val="Equation"/>
        <w:tabs>
          <w:tab w:val="left" w:pos="360"/>
          <w:tab w:val="left" w:pos="1170"/>
          <w:tab w:val="left" w:pos="1980"/>
        </w:tabs>
        <w:jc w:val="both"/>
      </w:pPr>
      <w:r w:rsidRPr="00A52AB8">
        <w:rPr>
          <w:b/>
        </w:rPr>
        <w:t>daih_atlas_tiles_b2p_checksum</w:t>
      </w:r>
      <w:r w:rsidRPr="00A52AB8">
        <w:t>[ t ] is the checksum</w:t>
      </w:r>
      <w:r w:rsidR="005B7B5C" w:rsidRPr="00A52AB8">
        <w:t xml:space="preserve"> of the block to patch map</w:t>
      </w:r>
      <w:r w:rsidRPr="00A52AB8">
        <w:t xml:space="preserve"> of the decoded atlas tile, with tile ID </w:t>
      </w:r>
      <w:r w:rsidR="000B42EB" w:rsidRPr="00A52AB8">
        <w:t xml:space="preserve">equal to </w:t>
      </w:r>
      <w:r w:rsidRPr="00A52AB8">
        <w:t xml:space="preserve">t, associated with </w:t>
      </w:r>
      <w:r w:rsidR="004429AA" w:rsidRPr="00A52AB8">
        <w:t>SeiAtlasID</w:t>
      </w:r>
      <w:r w:rsidRPr="00A52AB8">
        <w:t>. The value of daih_atlas_tile_checksum</w:t>
      </w:r>
      <w:r w:rsidR="00EC1A66" w:rsidRPr="00A52AB8">
        <w:t>[ t ]</w:t>
      </w:r>
      <w:r w:rsidRPr="00A52AB8">
        <w:t xml:space="preserve"> shall be equal to the value of checksumVal</w:t>
      </w:r>
      <w:r w:rsidR="006E4434" w:rsidRPr="00A52AB8">
        <w:t>,</w:t>
      </w:r>
      <w:r w:rsidRPr="00A52AB8">
        <w:t xml:space="preserve"> obtained</w:t>
      </w:r>
      <w:r w:rsidR="00621C11" w:rsidRPr="00A52AB8">
        <w:t xml:space="preserve"> using the string of bytes </w:t>
      </w:r>
      <w:r w:rsidR="00C3355C" w:rsidRPr="00A52AB8">
        <w:rPr>
          <w:rFonts w:eastAsia="MS Mincho"/>
        </w:rPr>
        <w:t>T</w:t>
      </w:r>
      <w:r w:rsidR="00621C11" w:rsidRPr="00A52AB8">
        <w:rPr>
          <w:rFonts w:eastAsia="MS Mincho"/>
        </w:rPr>
        <w:t>ileB2</w:t>
      </w:r>
      <w:r w:rsidR="000B42EB" w:rsidRPr="00A52AB8">
        <w:rPr>
          <w:rFonts w:eastAsia="MS Mincho"/>
        </w:rPr>
        <w:t>P</w:t>
      </w:r>
      <w:r w:rsidR="00621C11" w:rsidRPr="00A52AB8">
        <w:rPr>
          <w:rFonts w:eastAsia="MS Mincho"/>
        </w:rPr>
        <w:t xml:space="preserve">Data </w:t>
      </w:r>
      <w:r w:rsidR="00621C11" w:rsidRPr="00A52AB8">
        <w:t xml:space="preserve">with length </w:t>
      </w:r>
      <w:r w:rsidR="000B42EB" w:rsidRPr="00A52AB8">
        <w:t>Tile</w:t>
      </w:r>
      <w:r w:rsidR="00C3355C" w:rsidRPr="00A52AB8">
        <w:rPr>
          <w:rFonts w:eastAsia="MS Mincho"/>
        </w:rPr>
        <w:t>B</w:t>
      </w:r>
      <w:r w:rsidR="00B1548B" w:rsidRPr="00A52AB8">
        <w:rPr>
          <w:rFonts w:eastAsia="MS Mincho"/>
        </w:rPr>
        <w:t>2</w:t>
      </w:r>
      <w:r w:rsidR="000B42EB" w:rsidRPr="00A52AB8">
        <w:rPr>
          <w:rFonts w:eastAsia="MS Mincho"/>
        </w:rPr>
        <w:t>PDataBytes</w:t>
      </w:r>
      <w:r w:rsidR="00621C11" w:rsidRPr="00A52AB8">
        <w:t xml:space="preserve">, as specified in </w:t>
      </w:r>
      <w:r w:rsidR="00693B38" w:rsidRPr="00A52AB8">
        <w:t>subclause</w:t>
      </w:r>
      <w:r w:rsidR="00895F6E" w:rsidRPr="00A52AB8">
        <w:t> </w:t>
      </w:r>
      <w:r w:rsidR="00835C43" w:rsidRPr="00496A4D">
        <w:fldChar w:fldCharType="begin"/>
      </w:r>
      <w:r w:rsidR="00835C43" w:rsidRPr="00A52AB8">
        <w:instrText xml:space="preserve"> REF _Ref44511467 \r \h </w:instrText>
      </w:r>
      <w:r w:rsidR="00895F6E" w:rsidRPr="00A52AB8">
        <w:instrText xml:space="preserve"> \* MERGEFORMAT </w:instrText>
      </w:r>
      <w:r w:rsidR="00835C43" w:rsidRPr="00496A4D">
        <w:fldChar w:fldCharType="separate"/>
      </w:r>
      <w:r w:rsidR="00507A67">
        <w:t>F.3.16.2.6</w:t>
      </w:r>
      <w:r w:rsidR="00835C43" w:rsidRPr="00496A4D">
        <w:fldChar w:fldCharType="end"/>
      </w:r>
      <w:r w:rsidRPr="00A52AB8">
        <w:t>:</w:t>
      </w:r>
    </w:p>
    <w:p w14:paraId="6A3973EC" w14:textId="3126938C" w:rsidR="00B1548B" w:rsidRPr="00A52AB8" w:rsidRDefault="00A757CD" w:rsidP="00FB4953">
      <w:pPr>
        <w:tabs>
          <w:tab w:val="clear" w:pos="2016"/>
        </w:tabs>
        <w:spacing w:before="120"/>
      </w:pPr>
      <w:r w:rsidRPr="00A52AB8">
        <w:tab/>
      </w:r>
      <w:r w:rsidR="00B1548B" w:rsidRPr="00A52AB8">
        <w:t>checksum</w:t>
      </w:r>
      <w:r w:rsidR="00D47707" w:rsidRPr="00A52AB8">
        <w:t> = </w:t>
      </w:r>
      <w:r w:rsidR="00B1548B" w:rsidRPr="00A52AB8">
        <w:t>0</w:t>
      </w:r>
      <w:r w:rsidR="00B1548B" w:rsidRPr="00A52AB8">
        <w:br/>
      </w:r>
      <w:r w:rsidRPr="00A52AB8">
        <w:tab/>
      </w:r>
      <w:r w:rsidR="00B1548B" w:rsidRPr="00A52AB8">
        <w:t>for( i</w:t>
      </w:r>
      <w:r w:rsidR="00D47707" w:rsidRPr="00A52AB8">
        <w:t> = </w:t>
      </w:r>
      <w:r w:rsidR="00B1548B" w:rsidRPr="00A52AB8">
        <w:t>0; i &lt; </w:t>
      </w:r>
      <w:r w:rsidR="000B42EB" w:rsidRPr="00A52AB8">
        <w:t>TileB2PDataBytes</w:t>
      </w:r>
      <w:r w:rsidR="00B1548B" w:rsidRPr="00A52AB8">
        <w:t> ; i</w:t>
      </w:r>
      <w:r w:rsidR="00006CCF" w:rsidRPr="00A52AB8">
        <w:t>++ </w:t>
      </w:r>
      <w:r w:rsidR="008F1F82" w:rsidRPr="00A52AB8">
        <w:t>) {</w:t>
      </w:r>
      <w:r w:rsidR="00B1548B" w:rsidRPr="00A52AB8">
        <w:br/>
      </w:r>
      <w:r w:rsidR="00B1548B" w:rsidRPr="00A52AB8">
        <w:tab/>
      </w:r>
      <w:r w:rsidRPr="00A52AB8">
        <w:tab/>
      </w:r>
      <w:r w:rsidR="00B1548B" w:rsidRPr="00A52AB8">
        <w:t>xorMask</w:t>
      </w:r>
      <w:r w:rsidR="00D47707" w:rsidRPr="00A52AB8">
        <w:t> = </w:t>
      </w:r>
      <w:r w:rsidR="00B1548B" w:rsidRPr="00A52AB8">
        <w:t>( i &amp; 0xFF ) ^ ( i</w:t>
      </w:r>
      <w:r w:rsidR="008768E9" w:rsidRPr="00A52AB8">
        <w:t> &gt;&gt; </w:t>
      </w:r>
      <w:r w:rsidR="00B1548B" w:rsidRPr="00A52AB8">
        <w:t>8 )</w:t>
      </w:r>
      <w:r w:rsidR="00B1548B" w:rsidRPr="00A52AB8">
        <w:br/>
      </w:r>
      <w:r w:rsidR="00B1548B" w:rsidRPr="00A52AB8">
        <w:tab/>
      </w:r>
      <w:r w:rsidRPr="00A52AB8">
        <w:tab/>
      </w:r>
      <w:r w:rsidR="00B1548B" w:rsidRPr="00A52AB8">
        <w:t>checksum</w:t>
      </w:r>
      <w:r w:rsidR="00D47707" w:rsidRPr="00A52AB8">
        <w:t> = </w:t>
      </w:r>
      <w:r w:rsidR="00B1548B" w:rsidRPr="00A52AB8">
        <w:t>( checksum + ( </w:t>
      </w:r>
      <w:r w:rsidR="002102CF" w:rsidRPr="00A52AB8">
        <w:t>T</w:t>
      </w:r>
      <w:r w:rsidR="00B1548B" w:rsidRPr="00A52AB8">
        <w:t>ileB2</w:t>
      </w:r>
      <w:r w:rsidR="000B42EB" w:rsidRPr="00A52AB8">
        <w:t>P</w:t>
      </w:r>
      <w:r w:rsidR="00B1548B" w:rsidRPr="00A52AB8">
        <w:t>Data[ i ]</w:t>
      </w:r>
      <w:r w:rsidR="007A3CE0" w:rsidRPr="00A52AB8">
        <w:t> </w:t>
      </w:r>
      <w:r w:rsidR="00B1548B" w:rsidRPr="00A52AB8">
        <w:t>&amp;</w:t>
      </w:r>
      <w:r w:rsidR="007A3CE0" w:rsidRPr="00A52AB8">
        <w:t> </w:t>
      </w:r>
      <w:r w:rsidR="00B1548B" w:rsidRPr="00A52AB8">
        <w:t>0xFF)</w:t>
      </w:r>
      <w:r w:rsidR="005F3B17" w:rsidRPr="00A52AB8">
        <w:t> </w:t>
      </w:r>
      <w:r w:rsidR="00B1548B" w:rsidRPr="00A52AB8">
        <w:t>^</w:t>
      </w:r>
      <w:r w:rsidR="005F3B17" w:rsidRPr="00A52AB8">
        <w:t> </w:t>
      </w:r>
      <w:r w:rsidR="00B1548B" w:rsidRPr="00A52AB8">
        <w:t>xorMask</w:t>
      </w:r>
      <w:r w:rsidR="007A3CE0" w:rsidRPr="00A52AB8">
        <w:t> </w:t>
      </w:r>
      <w:r w:rsidR="00B1548B" w:rsidRPr="00A52AB8">
        <w:t>)</w:t>
      </w:r>
      <w:r w:rsidR="005F3B17" w:rsidRPr="00A52AB8">
        <w:t> </w:t>
      </w:r>
      <w:r w:rsidR="00B1548B" w:rsidRPr="00A52AB8">
        <w:t>&amp;</w:t>
      </w:r>
      <w:r w:rsidR="005F3B17" w:rsidRPr="00A52AB8">
        <w:t> </w:t>
      </w:r>
      <w:r w:rsidR="00B1548B" w:rsidRPr="00A52AB8">
        <w:t>0xFFFFFFFF</w:t>
      </w:r>
      <w:r w:rsidR="00B1548B" w:rsidRPr="00A52AB8">
        <w:br/>
      </w:r>
      <w:r w:rsidR="00B1548B" w:rsidRPr="00A52AB8">
        <w:tab/>
      </w:r>
      <w:r w:rsidRPr="00A52AB8">
        <w:tab/>
      </w:r>
      <w:r w:rsidR="00B1548B" w:rsidRPr="00A52AB8">
        <w:t>checksum</w:t>
      </w:r>
      <w:r w:rsidR="00D47707" w:rsidRPr="00A52AB8">
        <w:t> = </w:t>
      </w:r>
      <w:r w:rsidR="00B1548B" w:rsidRPr="00A52AB8">
        <w:t>( checksum + ( </w:t>
      </w:r>
      <w:r w:rsidR="002102CF" w:rsidRPr="00A52AB8">
        <w:t>T</w:t>
      </w:r>
      <w:r w:rsidR="00B1548B" w:rsidRPr="00A52AB8">
        <w:t>ileB2</w:t>
      </w:r>
      <w:r w:rsidR="000B42EB" w:rsidRPr="00A52AB8">
        <w:t>P</w:t>
      </w:r>
      <w:r w:rsidR="00B1548B" w:rsidRPr="00A52AB8">
        <w:t>Data[ i ]</w:t>
      </w:r>
      <w:r w:rsidR="008768E9" w:rsidRPr="00A52AB8">
        <w:t> &gt;&gt; </w:t>
      </w:r>
      <w:r w:rsidR="00B1548B" w:rsidRPr="00A52AB8">
        <w:t>8)</w:t>
      </w:r>
      <w:r w:rsidR="007A3CE0" w:rsidRPr="00A52AB8">
        <w:t> </w:t>
      </w:r>
      <w:r w:rsidR="00B1548B" w:rsidRPr="00A52AB8">
        <w:t>^</w:t>
      </w:r>
      <w:r w:rsidR="007A3CE0" w:rsidRPr="00A52AB8">
        <w:t> </w:t>
      </w:r>
      <w:r w:rsidR="00B1548B" w:rsidRPr="00A52AB8">
        <w:t>xorMask</w:t>
      </w:r>
      <w:r w:rsidR="007A3CE0" w:rsidRPr="00A52AB8">
        <w:t> </w:t>
      </w:r>
      <w:r w:rsidR="00B1548B" w:rsidRPr="00A52AB8">
        <w:t>)</w:t>
      </w:r>
      <w:r w:rsidR="007A3CE0" w:rsidRPr="00A52AB8">
        <w:t> </w:t>
      </w:r>
      <w:r w:rsidR="00B1548B" w:rsidRPr="00A52AB8">
        <w:t>&amp;</w:t>
      </w:r>
      <w:r w:rsidR="007A3CE0" w:rsidRPr="00A52AB8">
        <w:t> </w:t>
      </w:r>
      <w:r w:rsidR="00B1548B" w:rsidRPr="00A52AB8">
        <w:t>0xFFFFFFFF</w:t>
      </w:r>
      <w:r w:rsidR="00B1548B" w:rsidRPr="00A52AB8">
        <w:br/>
      </w:r>
      <w:r w:rsidRPr="00A52AB8">
        <w:tab/>
      </w:r>
      <w:r w:rsidR="00B1548B" w:rsidRPr="00A52AB8">
        <w:t>}</w:t>
      </w:r>
    </w:p>
    <w:p w14:paraId="4F97AE2B" w14:textId="77777777" w:rsidR="0050235C" w:rsidRPr="00A52AB8" w:rsidRDefault="00842EEB" w:rsidP="00842EEB">
      <w:pPr>
        <w:pStyle w:val="a4"/>
        <w:numPr>
          <w:ilvl w:val="3"/>
          <w:numId w:val="19"/>
        </w:numPr>
      </w:pPr>
      <w:bookmarkStart w:id="5986" w:name="_Toc47886704"/>
      <w:bookmarkStart w:id="5987" w:name="_Toc47887112"/>
      <w:bookmarkStart w:id="5988" w:name="_Toc47887520"/>
      <w:bookmarkStart w:id="5989" w:name="_Toc47887928"/>
      <w:bookmarkStart w:id="5990" w:name="_Toc47952014"/>
      <w:bookmarkStart w:id="5991" w:name="_Toc47983081"/>
      <w:bookmarkStart w:id="5992" w:name="_Ref44510778"/>
      <w:bookmarkEnd w:id="5986"/>
      <w:bookmarkEnd w:id="5987"/>
      <w:bookmarkEnd w:id="5988"/>
      <w:bookmarkEnd w:id="5989"/>
      <w:bookmarkEnd w:id="5990"/>
      <w:bookmarkEnd w:id="5991"/>
      <w:r w:rsidRPr="00A52AB8">
        <w:t>Strings of bytes arrangement for hash calculation</w:t>
      </w:r>
      <w:bookmarkEnd w:id="5992"/>
    </w:p>
    <w:p w14:paraId="180D11D9" w14:textId="77777777" w:rsidR="0050235C" w:rsidRPr="00A52AB8" w:rsidRDefault="00BC5D1B" w:rsidP="00EE3D19">
      <w:pPr>
        <w:pStyle w:val="a4"/>
        <w:numPr>
          <w:ilvl w:val="4"/>
          <w:numId w:val="19"/>
        </w:numPr>
        <w:tabs>
          <w:tab w:val="clear" w:pos="7200"/>
        </w:tabs>
        <w:outlineLvl w:val="4"/>
      </w:pPr>
      <w:bookmarkStart w:id="5993" w:name="_Ref49348335"/>
      <w:bookmarkStart w:id="5994" w:name="_Hlk49035246"/>
      <w:r w:rsidRPr="00A52AB8">
        <w:t>General</w:t>
      </w:r>
      <w:bookmarkEnd w:id="5993"/>
    </w:p>
    <w:p w14:paraId="7C6334FC" w14:textId="0A6DFD35" w:rsidR="00621C11" w:rsidRPr="00A52AB8" w:rsidRDefault="006A79AD" w:rsidP="00792CFF">
      <w:r w:rsidRPr="00A52AB8">
        <w:rPr>
          <w:lang w:eastAsia="ja-JP"/>
        </w:rPr>
        <w:t xml:space="preserve">The string of bytes for the </w:t>
      </w:r>
      <w:r w:rsidR="008450FD" w:rsidRPr="00A52AB8">
        <w:rPr>
          <w:lang w:eastAsia="ja-JP"/>
        </w:rPr>
        <w:t xml:space="preserve">high-level syntax, the </w:t>
      </w:r>
      <w:r w:rsidRPr="00A52AB8">
        <w:rPr>
          <w:lang w:eastAsia="ja-JP"/>
        </w:rPr>
        <w:t xml:space="preserve">atlas </w:t>
      </w:r>
      <w:r w:rsidR="008450FD" w:rsidRPr="00A52AB8">
        <w:rPr>
          <w:lang w:eastAsia="ja-JP"/>
        </w:rPr>
        <w:t xml:space="preserve">patch </w:t>
      </w:r>
      <w:r w:rsidRPr="00A52AB8">
        <w:rPr>
          <w:lang w:eastAsia="ja-JP"/>
        </w:rPr>
        <w:t xml:space="preserve">data and for each tile </w:t>
      </w:r>
      <w:r w:rsidR="008450FD" w:rsidRPr="00A52AB8">
        <w:rPr>
          <w:lang w:eastAsia="ja-JP"/>
        </w:rPr>
        <w:t xml:space="preserve">patch </w:t>
      </w:r>
      <w:r w:rsidRPr="00A52AB8">
        <w:rPr>
          <w:lang w:eastAsia="ja-JP"/>
        </w:rPr>
        <w:t xml:space="preserve">data that is associated with the atlas are generated as </w:t>
      </w:r>
      <w:r w:rsidR="00812F68" w:rsidRPr="00A52AB8">
        <w:rPr>
          <w:lang w:eastAsia="ja-JP"/>
        </w:rPr>
        <w:t xml:space="preserve">a </w:t>
      </w:r>
      <w:r w:rsidRPr="00A52AB8">
        <w:rPr>
          <w:lang w:eastAsia="ja-JP"/>
        </w:rPr>
        <w:t>string of unsigned 16 bit data as specified in subclauses</w:t>
      </w:r>
      <w:r w:rsidR="008450FD" w:rsidRPr="00A52AB8">
        <w:rPr>
          <w:lang w:eastAsia="ja-JP"/>
        </w:rPr>
        <w:t xml:space="preserve"> </w:t>
      </w:r>
      <w:r w:rsidR="008450FD" w:rsidRPr="00496A4D">
        <w:rPr>
          <w:lang w:eastAsia="ja-JP"/>
        </w:rPr>
        <w:fldChar w:fldCharType="begin"/>
      </w:r>
      <w:r w:rsidR="008450FD" w:rsidRPr="00A52AB8">
        <w:rPr>
          <w:lang w:eastAsia="ja-JP"/>
        </w:rPr>
        <w:instrText xml:space="preserve"> REF _Ref49095385 \r \h </w:instrText>
      </w:r>
      <w:r w:rsidR="00007BE2" w:rsidRPr="00A52AB8">
        <w:rPr>
          <w:lang w:eastAsia="ja-JP"/>
        </w:rPr>
        <w:instrText xml:space="preserve"> \* MERGEFORMAT </w:instrText>
      </w:r>
      <w:r w:rsidR="008450FD" w:rsidRPr="00496A4D">
        <w:rPr>
          <w:lang w:eastAsia="ja-JP"/>
        </w:rPr>
      </w:r>
      <w:r w:rsidR="008450FD" w:rsidRPr="00496A4D">
        <w:rPr>
          <w:lang w:eastAsia="ja-JP"/>
        </w:rPr>
        <w:fldChar w:fldCharType="separate"/>
      </w:r>
      <w:r w:rsidR="00507A67">
        <w:rPr>
          <w:lang w:eastAsia="ja-JP"/>
        </w:rPr>
        <w:t>F.3.16.2.2</w:t>
      </w:r>
      <w:r w:rsidR="008450FD" w:rsidRPr="00496A4D">
        <w:rPr>
          <w:lang w:eastAsia="ja-JP"/>
        </w:rPr>
        <w:fldChar w:fldCharType="end"/>
      </w:r>
      <w:r w:rsidR="008450FD" w:rsidRPr="00A52AB8">
        <w:rPr>
          <w:lang w:eastAsia="ja-JP"/>
        </w:rPr>
        <w:t xml:space="preserve">, </w:t>
      </w:r>
      <w:r w:rsidR="008450FD" w:rsidRPr="00496A4D">
        <w:rPr>
          <w:lang w:eastAsia="ja-JP"/>
        </w:rPr>
        <w:fldChar w:fldCharType="begin"/>
      </w:r>
      <w:r w:rsidR="008450FD" w:rsidRPr="00A52AB8">
        <w:rPr>
          <w:lang w:eastAsia="ja-JP"/>
        </w:rPr>
        <w:instrText xml:space="preserve"> REF _Ref49095388 \r \h </w:instrText>
      </w:r>
      <w:r w:rsidR="00007BE2" w:rsidRPr="00A52AB8">
        <w:rPr>
          <w:lang w:eastAsia="ja-JP"/>
        </w:rPr>
        <w:instrText xml:space="preserve"> \* MERGEFORMAT </w:instrText>
      </w:r>
      <w:r w:rsidR="008450FD" w:rsidRPr="00496A4D">
        <w:rPr>
          <w:lang w:eastAsia="ja-JP"/>
        </w:rPr>
      </w:r>
      <w:r w:rsidR="008450FD" w:rsidRPr="00496A4D">
        <w:rPr>
          <w:lang w:eastAsia="ja-JP"/>
        </w:rPr>
        <w:fldChar w:fldCharType="separate"/>
      </w:r>
      <w:r w:rsidR="00507A67">
        <w:rPr>
          <w:lang w:eastAsia="ja-JP"/>
        </w:rPr>
        <w:t>F.3.16.2.3</w:t>
      </w:r>
      <w:r w:rsidR="008450FD" w:rsidRPr="00496A4D">
        <w:rPr>
          <w:lang w:eastAsia="ja-JP"/>
        </w:rPr>
        <w:fldChar w:fldCharType="end"/>
      </w:r>
      <w:r w:rsidR="008450FD" w:rsidRPr="00A52AB8">
        <w:rPr>
          <w:lang w:eastAsia="ja-JP"/>
        </w:rPr>
        <w:t xml:space="preserve">, and </w:t>
      </w:r>
      <w:r w:rsidR="008450FD" w:rsidRPr="00496A4D">
        <w:rPr>
          <w:lang w:eastAsia="ja-JP"/>
        </w:rPr>
        <w:fldChar w:fldCharType="begin"/>
      </w:r>
      <w:r w:rsidR="008450FD" w:rsidRPr="00A52AB8">
        <w:rPr>
          <w:lang w:eastAsia="ja-JP"/>
        </w:rPr>
        <w:instrText xml:space="preserve"> REF _Ref49036178 \r \h </w:instrText>
      </w:r>
      <w:r w:rsidR="00007BE2" w:rsidRPr="00A52AB8">
        <w:rPr>
          <w:lang w:eastAsia="ja-JP"/>
        </w:rPr>
        <w:instrText xml:space="preserve"> \* MERGEFORMAT </w:instrText>
      </w:r>
      <w:r w:rsidR="008450FD" w:rsidRPr="00496A4D">
        <w:rPr>
          <w:lang w:eastAsia="ja-JP"/>
        </w:rPr>
      </w:r>
      <w:r w:rsidR="008450FD" w:rsidRPr="00496A4D">
        <w:rPr>
          <w:lang w:eastAsia="ja-JP"/>
        </w:rPr>
        <w:fldChar w:fldCharType="separate"/>
      </w:r>
      <w:r w:rsidR="00507A67">
        <w:rPr>
          <w:lang w:eastAsia="ja-JP"/>
        </w:rPr>
        <w:t>F.3.16.2.4</w:t>
      </w:r>
      <w:r w:rsidR="008450FD" w:rsidRPr="00496A4D">
        <w:rPr>
          <w:lang w:eastAsia="ja-JP"/>
        </w:rPr>
        <w:fldChar w:fldCharType="end"/>
      </w:r>
      <w:r w:rsidRPr="00A52AB8">
        <w:rPr>
          <w:lang w:eastAsia="ja-JP"/>
        </w:rPr>
        <w:t xml:space="preserve">. Similarly, the block to patch string of bytes </w:t>
      </w:r>
      <w:bookmarkEnd w:id="5994"/>
      <w:r w:rsidRPr="00A52AB8">
        <w:rPr>
          <w:lang w:eastAsia="ja-JP"/>
        </w:rPr>
        <w:t xml:space="preserve">for the atlas and for each tile that is associated with the atlas are generated as string of unsigned 16 bit data as specified in subclauses </w:t>
      </w:r>
      <w:r w:rsidR="008450FD" w:rsidRPr="00496A4D">
        <w:rPr>
          <w:lang w:eastAsia="ja-JP"/>
        </w:rPr>
        <w:fldChar w:fldCharType="begin"/>
      </w:r>
      <w:r w:rsidR="008450FD" w:rsidRPr="00A52AB8">
        <w:rPr>
          <w:lang w:eastAsia="ja-JP"/>
        </w:rPr>
        <w:instrText xml:space="preserve"> REF _Ref44510974 \r \h </w:instrText>
      </w:r>
      <w:r w:rsidR="00007BE2" w:rsidRPr="00A52AB8">
        <w:rPr>
          <w:lang w:eastAsia="ja-JP"/>
        </w:rPr>
        <w:instrText xml:space="preserve"> \* MERGEFORMAT </w:instrText>
      </w:r>
      <w:r w:rsidR="008450FD" w:rsidRPr="00496A4D">
        <w:rPr>
          <w:lang w:eastAsia="ja-JP"/>
        </w:rPr>
      </w:r>
      <w:r w:rsidR="008450FD" w:rsidRPr="00496A4D">
        <w:rPr>
          <w:lang w:eastAsia="ja-JP"/>
        </w:rPr>
        <w:fldChar w:fldCharType="separate"/>
      </w:r>
      <w:r w:rsidR="00507A67">
        <w:rPr>
          <w:lang w:eastAsia="ja-JP"/>
        </w:rPr>
        <w:t>F.3.16.2.5</w:t>
      </w:r>
      <w:r w:rsidR="008450FD" w:rsidRPr="00496A4D">
        <w:rPr>
          <w:lang w:eastAsia="ja-JP"/>
        </w:rPr>
        <w:fldChar w:fldCharType="end"/>
      </w:r>
      <w:r w:rsidR="008450FD" w:rsidRPr="00A52AB8">
        <w:rPr>
          <w:lang w:eastAsia="ja-JP"/>
        </w:rPr>
        <w:t xml:space="preserve"> </w:t>
      </w:r>
      <w:r w:rsidRPr="00A52AB8">
        <w:rPr>
          <w:lang w:eastAsia="ja-JP"/>
        </w:rPr>
        <w:t xml:space="preserve">and </w:t>
      </w:r>
      <w:r w:rsidR="008450FD" w:rsidRPr="00496A4D">
        <w:rPr>
          <w:lang w:eastAsia="ja-JP"/>
        </w:rPr>
        <w:fldChar w:fldCharType="begin"/>
      </w:r>
      <w:r w:rsidR="008450FD" w:rsidRPr="00A52AB8">
        <w:rPr>
          <w:lang w:eastAsia="ja-JP"/>
        </w:rPr>
        <w:instrText xml:space="preserve"> REF _Ref44511467 \r \h </w:instrText>
      </w:r>
      <w:r w:rsidR="00007BE2" w:rsidRPr="00A52AB8">
        <w:rPr>
          <w:lang w:eastAsia="ja-JP"/>
        </w:rPr>
        <w:instrText xml:space="preserve"> \* MERGEFORMAT </w:instrText>
      </w:r>
      <w:r w:rsidR="008450FD" w:rsidRPr="00496A4D">
        <w:rPr>
          <w:lang w:eastAsia="ja-JP"/>
        </w:rPr>
      </w:r>
      <w:r w:rsidR="008450FD" w:rsidRPr="00496A4D">
        <w:rPr>
          <w:lang w:eastAsia="ja-JP"/>
        </w:rPr>
        <w:fldChar w:fldCharType="separate"/>
      </w:r>
      <w:r w:rsidR="00507A67">
        <w:rPr>
          <w:lang w:eastAsia="ja-JP"/>
        </w:rPr>
        <w:t>F.3.16.2.6</w:t>
      </w:r>
      <w:r w:rsidR="008450FD" w:rsidRPr="00496A4D">
        <w:rPr>
          <w:lang w:eastAsia="ja-JP"/>
        </w:rPr>
        <w:fldChar w:fldCharType="end"/>
      </w:r>
      <w:r w:rsidRPr="00A52AB8">
        <w:rPr>
          <w:lang w:eastAsia="ja-JP"/>
        </w:rPr>
        <w:t>, respectively</w:t>
      </w:r>
      <w:r w:rsidR="00B24FA8" w:rsidRPr="00A52AB8">
        <w:rPr>
          <w:lang w:eastAsia="ja-JP"/>
        </w:rPr>
        <w:t>.</w:t>
      </w:r>
    </w:p>
    <w:p w14:paraId="04F49F5C" w14:textId="77777777" w:rsidR="006E4434" w:rsidRPr="00A52AB8" w:rsidRDefault="006E4434" w:rsidP="00EE3D19">
      <w:pPr>
        <w:pStyle w:val="a4"/>
        <w:numPr>
          <w:ilvl w:val="4"/>
          <w:numId w:val="19"/>
        </w:numPr>
        <w:tabs>
          <w:tab w:val="clear" w:pos="7200"/>
        </w:tabs>
        <w:outlineLvl w:val="4"/>
      </w:pPr>
      <w:bookmarkStart w:id="5995" w:name="_Ref49095385"/>
      <w:bookmarkStart w:id="5996" w:name="_Ref44510849"/>
      <w:r w:rsidRPr="00A52AB8">
        <w:t>High-level atlas information string of bytes</w:t>
      </w:r>
      <w:bookmarkEnd w:id="5995"/>
    </w:p>
    <w:p w14:paraId="379250FB" w14:textId="583416CC" w:rsidR="006E4434" w:rsidRPr="00A52AB8" w:rsidRDefault="006E4434" w:rsidP="006E4434">
      <w:r w:rsidRPr="00A52AB8">
        <w:t xml:space="preserve">In this subclause, using ASPS and AFPS parameters, as described in subclauses </w:t>
      </w:r>
      <w:r w:rsidRPr="00496A4D">
        <w:fldChar w:fldCharType="begin"/>
      </w:r>
      <w:r w:rsidRPr="00A52AB8">
        <w:instrText xml:space="preserve"> REF _Ref38315438 \r \h </w:instrText>
      </w:r>
      <w:r w:rsidR="00007BE2" w:rsidRPr="00A52AB8">
        <w:instrText xml:space="preserve"> \* MERGEFORMAT </w:instrText>
      </w:r>
      <w:r w:rsidRPr="00496A4D">
        <w:fldChar w:fldCharType="separate"/>
      </w:r>
      <w:r w:rsidR="00507A67">
        <w:t>8.4.6.1</w:t>
      </w:r>
      <w:r w:rsidRPr="00496A4D">
        <w:fldChar w:fldCharType="end"/>
      </w:r>
      <w:r w:rsidR="00A075B6" w:rsidRPr="00A52AB8">
        <w:t xml:space="preserve"> and</w:t>
      </w:r>
      <w:r w:rsidRPr="00A52AB8">
        <w:t xml:space="preserve"> </w:t>
      </w:r>
      <w:r w:rsidRPr="00496A4D">
        <w:fldChar w:fldCharType="begin"/>
      </w:r>
      <w:r w:rsidRPr="00A52AB8">
        <w:instrText xml:space="preserve"> REF _Ref38315450 \r \h </w:instrText>
      </w:r>
      <w:r w:rsidR="00007BE2" w:rsidRPr="00A52AB8">
        <w:instrText xml:space="preserve"> \* MERGEFORMAT </w:instrText>
      </w:r>
      <w:r w:rsidRPr="00496A4D">
        <w:fldChar w:fldCharType="separate"/>
      </w:r>
      <w:r w:rsidR="00507A67">
        <w:t>8.4.6.2</w:t>
      </w:r>
      <w:r w:rsidRPr="00496A4D">
        <w:fldChar w:fldCharType="end"/>
      </w:r>
      <w:r w:rsidR="006C31B3" w:rsidRPr="00A52AB8">
        <w:t>,</w:t>
      </w:r>
      <w:r w:rsidRPr="00A52AB8">
        <w:t xml:space="preserve"> a</w:t>
      </w:r>
      <w:r w:rsidR="006C31B3" w:rsidRPr="00A52AB8">
        <w:t xml:space="preserve"> 1D </w:t>
      </w:r>
      <w:r w:rsidRPr="00A52AB8">
        <w:t xml:space="preserve">array, HighLevelAtlasData, and a variable, HighLevelAtlasDataBytes, providing the </w:t>
      </w:r>
      <w:r w:rsidR="00D24766" w:rsidRPr="00A52AB8">
        <w:t xml:space="preserve">length </w:t>
      </w:r>
      <w:r w:rsidRPr="00A52AB8">
        <w:t>of the array in bytes</w:t>
      </w:r>
      <w:r w:rsidR="00E22311" w:rsidRPr="00A52AB8">
        <w:t>,</w:t>
      </w:r>
      <w:r w:rsidRPr="00A52AB8">
        <w:t xml:space="preserve"> are derived and set as output of this process as </w:t>
      </w:r>
      <w:r w:rsidRPr="00A52AB8">
        <w:rPr>
          <w:lang w:eastAsia="ja-JP"/>
        </w:rPr>
        <w:t>follows</w:t>
      </w:r>
      <w:r w:rsidRPr="00A52AB8">
        <w:rPr>
          <w:color w:val="000000" w:themeColor="text1"/>
        </w:rPr>
        <w:t>:</w:t>
      </w:r>
    </w:p>
    <w:p w14:paraId="28EAAA14" w14:textId="2FF72885" w:rsidR="00F24BA2" w:rsidRPr="00A52AB8" w:rsidRDefault="000479A5" w:rsidP="00FB4953">
      <w:pPr>
        <w:tabs>
          <w:tab w:val="clear" w:pos="2016"/>
        </w:tabs>
        <w:spacing w:before="120"/>
      </w:pPr>
      <w:r w:rsidRPr="00A52AB8">
        <w:tab/>
      </w:r>
      <w:r w:rsidR="006E4434" w:rsidRPr="00A52AB8">
        <w:t>HighLevelAtlasDataBytes</w:t>
      </w:r>
      <w:r w:rsidR="00D47707" w:rsidRPr="00A52AB8">
        <w:t> = </w:t>
      </w:r>
      <w:r w:rsidR="006E4434" w:rsidRPr="00A52AB8">
        <w:t>0</w:t>
      </w:r>
      <w:r w:rsidR="00F24BA2" w:rsidRPr="00A52AB8">
        <w:br/>
      </w:r>
      <w:r w:rsidRPr="00A52AB8">
        <w:tab/>
      </w:r>
      <w:r w:rsidR="006E4434" w:rsidRPr="00A52AB8">
        <w:t>HighLevelAtlasDataBytes =</w:t>
      </w:r>
      <w:r w:rsidRPr="00A52AB8">
        <w:br/>
      </w:r>
      <w:r w:rsidRPr="00A52AB8">
        <w:tab/>
      </w:r>
      <w:r w:rsidRPr="00A52AB8">
        <w:tab/>
      </w:r>
      <w:r w:rsidRPr="00A52AB8">
        <w:tab/>
      </w:r>
      <w:r w:rsidR="006E4434" w:rsidRPr="00A52AB8">
        <w:t>ASPSCommonByteString( HighLevelAtlasData, HighLevelAtlasDataBytes)</w:t>
      </w:r>
      <w:r w:rsidR="00F24BA2" w:rsidRPr="00A52AB8">
        <w:br/>
      </w:r>
      <w:r w:rsidRPr="00A52AB8">
        <w:tab/>
      </w:r>
      <w:r w:rsidR="006E4434" w:rsidRPr="00A52AB8">
        <w:t>HighLevelAtlasDataBytes </w:t>
      </w:r>
      <w:r w:rsidRPr="00A52AB8">
        <w:t>=</w:t>
      </w:r>
      <w:r w:rsidRPr="00A52AB8">
        <w:br/>
      </w:r>
      <w:r w:rsidRPr="00A52AB8">
        <w:tab/>
      </w:r>
      <w:r w:rsidRPr="00A52AB8">
        <w:tab/>
      </w:r>
      <w:r w:rsidRPr="00A52AB8">
        <w:tab/>
      </w:r>
      <w:r w:rsidR="006E4434" w:rsidRPr="00A52AB8">
        <w:t>ASPSApplicationByteString( HighLevelAtlasData, HighLevelAtlasDataBytes)</w:t>
      </w:r>
      <w:r w:rsidR="00F24BA2" w:rsidRPr="00A52AB8">
        <w:br/>
      </w:r>
      <w:r w:rsidRPr="00A52AB8">
        <w:tab/>
      </w:r>
      <w:r w:rsidR="006E4434" w:rsidRPr="00A52AB8">
        <w:t>HighLevelAtlasDataBytes </w:t>
      </w:r>
      <w:r w:rsidRPr="00A52AB8">
        <w:t>=</w:t>
      </w:r>
      <w:r w:rsidRPr="00A52AB8">
        <w:br/>
      </w:r>
      <w:r w:rsidRPr="00A52AB8">
        <w:tab/>
      </w:r>
      <w:r w:rsidRPr="00A52AB8">
        <w:tab/>
      </w:r>
      <w:r w:rsidRPr="00A52AB8">
        <w:tab/>
      </w:r>
      <w:r w:rsidR="006E4434" w:rsidRPr="00A52AB8">
        <w:t>AFPSCommonByteString( HighLevelAtlasData, HighLevelAtlasDataBytes)</w:t>
      </w:r>
      <w:r w:rsidR="00F24BA2" w:rsidRPr="00A52AB8">
        <w:br/>
      </w:r>
      <w:r w:rsidRPr="00A52AB8">
        <w:tab/>
      </w:r>
      <w:r w:rsidR="006E4434" w:rsidRPr="00A52AB8">
        <w:t>HighLevelAtlasDataBytes </w:t>
      </w:r>
      <w:r w:rsidRPr="00A52AB8">
        <w:t>=</w:t>
      </w:r>
      <w:r w:rsidRPr="00A52AB8">
        <w:br/>
      </w:r>
      <w:r w:rsidRPr="00A52AB8">
        <w:tab/>
      </w:r>
      <w:r w:rsidRPr="00A52AB8">
        <w:tab/>
      </w:r>
      <w:r w:rsidRPr="00A52AB8">
        <w:tab/>
      </w:r>
      <w:r w:rsidR="006E4434" w:rsidRPr="00A52AB8">
        <w:t>AFPSApplicationByteString( HighLevelAtlasData, HighLevelAtlasDataBytes)</w:t>
      </w:r>
    </w:p>
    <w:p w14:paraId="4470455B" w14:textId="64ACBBF5" w:rsidR="00921454" w:rsidRPr="00A52AB8" w:rsidRDefault="00921454" w:rsidP="00FB4953">
      <w:pPr>
        <w:tabs>
          <w:tab w:val="clear" w:pos="2016"/>
        </w:tabs>
        <w:spacing w:before="120"/>
        <w:rPr>
          <w:lang w:eastAsia="ja-JP"/>
        </w:rPr>
      </w:pPr>
      <w:r w:rsidRPr="00A52AB8">
        <w:rPr>
          <w:lang w:eastAsia="ja-JP"/>
        </w:rPr>
        <w:t>where the functions ASPSCommon</w:t>
      </w:r>
      <w:r w:rsidRPr="00A52AB8">
        <w:rPr>
          <w:color w:val="000000" w:themeColor="text1"/>
        </w:rPr>
        <w:t>ByteString</w:t>
      </w:r>
      <w:r w:rsidRPr="00A52AB8">
        <w:rPr>
          <w:lang w:eastAsia="ja-JP"/>
        </w:rPr>
        <w:t>, ASPSApplication</w:t>
      </w:r>
      <w:r w:rsidRPr="00A52AB8">
        <w:rPr>
          <w:color w:val="000000" w:themeColor="text1"/>
        </w:rPr>
        <w:t>ByteString</w:t>
      </w:r>
      <w:r w:rsidRPr="00A52AB8">
        <w:rPr>
          <w:lang w:eastAsia="ja-JP"/>
        </w:rPr>
        <w:t>, AFPSCommon</w:t>
      </w:r>
      <w:r w:rsidRPr="00A52AB8">
        <w:rPr>
          <w:color w:val="000000" w:themeColor="text1"/>
        </w:rPr>
        <w:t>ByteString</w:t>
      </w:r>
      <w:r w:rsidRPr="00A52AB8">
        <w:rPr>
          <w:lang w:eastAsia="ja-JP"/>
        </w:rPr>
        <w:t>, and AFPSApplication</w:t>
      </w:r>
      <w:r w:rsidRPr="00A52AB8">
        <w:rPr>
          <w:color w:val="000000" w:themeColor="text1"/>
        </w:rPr>
        <w:t>ByteString</w:t>
      </w:r>
      <w:r w:rsidRPr="00A52AB8">
        <w:rPr>
          <w:lang w:eastAsia="ja-JP"/>
        </w:rPr>
        <w:t xml:space="preserve"> are defined in subclauses </w:t>
      </w:r>
      <w:r w:rsidRPr="00496A4D">
        <w:rPr>
          <w:lang w:eastAsia="ja-JP"/>
        </w:rPr>
        <w:fldChar w:fldCharType="begin"/>
      </w:r>
      <w:r w:rsidRPr="00A52AB8">
        <w:rPr>
          <w:lang w:eastAsia="ja-JP"/>
        </w:rPr>
        <w:instrText xml:space="preserve"> REF _Ref49091097 \r \h </w:instrText>
      </w:r>
      <w:r w:rsidR="00007BE2" w:rsidRPr="00A52AB8">
        <w:rPr>
          <w:lang w:eastAsia="ja-JP"/>
        </w:rPr>
        <w:instrText xml:space="preserve"> \* MERGEFORMAT </w:instrText>
      </w:r>
      <w:r w:rsidRPr="00496A4D">
        <w:rPr>
          <w:lang w:eastAsia="ja-JP"/>
        </w:rPr>
      </w:r>
      <w:r w:rsidRPr="00496A4D">
        <w:rPr>
          <w:lang w:eastAsia="ja-JP"/>
        </w:rPr>
        <w:fldChar w:fldCharType="separate"/>
      </w:r>
      <w:r w:rsidR="00507A67">
        <w:rPr>
          <w:lang w:eastAsia="ja-JP"/>
        </w:rPr>
        <w:t>F.3.16.2.2.1</w:t>
      </w:r>
      <w:r w:rsidRPr="00496A4D">
        <w:rPr>
          <w:lang w:eastAsia="ja-JP"/>
        </w:rPr>
        <w:fldChar w:fldCharType="end"/>
      </w:r>
      <w:r w:rsidRPr="00A52AB8">
        <w:rPr>
          <w:lang w:eastAsia="ja-JP"/>
        </w:rPr>
        <w:t xml:space="preserve">, </w:t>
      </w:r>
      <w:r w:rsidRPr="00496A4D">
        <w:rPr>
          <w:lang w:eastAsia="ja-JP"/>
        </w:rPr>
        <w:fldChar w:fldCharType="begin"/>
      </w:r>
      <w:r w:rsidRPr="00A52AB8">
        <w:rPr>
          <w:lang w:eastAsia="ja-JP"/>
        </w:rPr>
        <w:instrText xml:space="preserve"> REF _Ref49091098 \r \h </w:instrText>
      </w:r>
      <w:r w:rsidR="00007BE2" w:rsidRPr="00A52AB8">
        <w:rPr>
          <w:lang w:eastAsia="ja-JP"/>
        </w:rPr>
        <w:instrText xml:space="preserve"> \* MERGEFORMAT </w:instrText>
      </w:r>
      <w:r w:rsidRPr="00496A4D">
        <w:rPr>
          <w:lang w:eastAsia="ja-JP"/>
        </w:rPr>
      </w:r>
      <w:r w:rsidRPr="00496A4D">
        <w:rPr>
          <w:lang w:eastAsia="ja-JP"/>
        </w:rPr>
        <w:fldChar w:fldCharType="separate"/>
      </w:r>
      <w:r w:rsidR="00507A67">
        <w:rPr>
          <w:lang w:eastAsia="ja-JP"/>
        </w:rPr>
        <w:t>F.3.16.2.2.2</w:t>
      </w:r>
      <w:r w:rsidRPr="00496A4D">
        <w:rPr>
          <w:lang w:eastAsia="ja-JP"/>
        </w:rPr>
        <w:fldChar w:fldCharType="end"/>
      </w:r>
      <w:r w:rsidRPr="00A52AB8">
        <w:rPr>
          <w:lang w:eastAsia="ja-JP"/>
        </w:rPr>
        <w:t xml:space="preserve">, </w:t>
      </w:r>
      <w:r w:rsidRPr="00496A4D">
        <w:rPr>
          <w:lang w:eastAsia="ja-JP"/>
        </w:rPr>
        <w:fldChar w:fldCharType="begin"/>
      </w:r>
      <w:r w:rsidRPr="00A52AB8">
        <w:rPr>
          <w:lang w:eastAsia="ja-JP"/>
        </w:rPr>
        <w:instrText xml:space="preserve"> REF _Ref49091100 \r \h </w:instrText>
      </w:r>
      <w:r w:rsidR="00007BE2" w:rsidRPr="00A52AB8">
        <w:rPr>
          <w:lang w:eastAsia="ja-JP"/>
        </w:rPr>
        <w:instrText xml:space="preserve"> \* MERGEFORMAT </w:instrText>
      </w:r>
      <w:r w:rsidRPr="00496A4D">
        <w:rPr>
          <w:lang w:eastAsia="ja-JP"/>
        </w:rPr>
      </w:r>
      <w:r w:rsidRPr="00496A4D">
        <w:rPr>
          <w:lang w:eastAsia="ja-JP"/>
        </w:rPr>
        <w:fldChar w:fldCharType="separate"/>
      </w:r>
      <w:r w:rsidR="00507A67">
        <w:rPr>
          <w:lang w:eastAsia="ja-JP"/>
        </w:rPr>
        <w:t>F.3.16.2.2.3</w:t>
      </w:r>
      <w:r w:rsidRPr="00496A4D">
        <w:rPr>
          <w:lang w:eastAsia="ja-JP"/>
        </w:rPr>
        <w:fldChar w:fldCharType="end"/>
      </w:r>
      <w:r w:rsidRPr="00A52AB8">
        <w:rPr>
          <w:lang w:eastAsia="ja-JP"/>
        </w:rPr>
        <w:t xml:space="preserve">, and </w:t>
      </w:r>
      <w:r w:rsidRPr="00496A4D">
        <w:rPr>
          <w:lang w:eastAsia="ja-JP"/>
        </w:rPr>
        <w:fldChar w:fldCharType="begin"/>
      </w:r>
      <w:r w:rsidRPr="00A52AB8">
        <w:rPr>
          <w:lang w:eastAsia="ja-JP"/>
        </w:rPr>
        <w:instrText xml:space="preserve"> REF _Ref49091101 \r \h </w:instrText>
      </w:r>
      <w:r w:rsidR="00007BE2" w:rsidRPr="00A52AB8">
        <w:rPr>
          <w:lang w:eastAsia="ja-JP"/>
        </w:rPr>
        <w:instrText xml:space="preserve"> \* MERGEFORMAT </w:instrText>
      </w:r>
      <w:r w:rsidRPr="00496A4D">
        <w:rPr>
          <w:lang w:eastAsia="ja-JP"/>
        </w:rPr>
      </w:r>
      <w:r w:rsidRPr="00496A4D">
        <w:rPr>
          <w:lang w:eastAsia="ja-JP"/>
        </w:rPr>
        <w:fldChar w:fldCharType="separate"/>
      </w:r>
      <w:r w:rsidR="00507A67">
        <w:rPr>
          <w:lang w:eastAsia="ja-JP"/>
        </w:rPr>
        <w:t>F.3.16.2.2.4</w:t>
      </w:r>
      <w:r w:rsidRPr="00496A4D">
        <w:rPr>
          <w:lang w:eastAsia="ja-JP"/>
        </w:rPr>
        <w:fldChar w:fldCharType="end"/>
      </w:r>
      <w:r w:rsidRPr="00A52AB8">
        <w:rPr>
          <w:lang w:eastAsia="ja-JP"/>
        </w:rPr>
        <w:t>, respectively.</w:t>
      </w:r>
    </w:p>
    <w:p w14:paraId="222195FE" w14:textId="77777777" w:rsidR="006E4434" w:rsidRPr="00A52AB8" w:rsidRDefault="006E4434" w:rsidP="00EE3D19">
      <w:pPr>
        <w:pStyle w:val="a4"/>
        <w:numPr>
          <w:ilvl w:val="5"/>
          <w:numId w:val="19"/>
        </w:numPr>
        <w:tabs>
          <w:tab w:val="clear" w:pos="7200"/>
        </w:tabs>
        <w:outlineLvl w:val="5"/>
      </w:pPr>
      <w:bookmarkStart w:id="5997" w:name="_Ref49091097"/>
      <w:r w:rsidRPr="00A52AB8">
        <w:t>Common ASPS level string of bytes</w:t>
      </w:r>
      <w:bookmarkEnd w:id="5997"/>
    </w:p>
    <w:p w14:paraId="7FAC0F44" w14:textId="362EFBCF" w:rsidR="00E8329D" w:rsidRPr="00A52AB8" w:rsidRDefault="006E4434" w:rsidP="00FB4953">
      <w:r w:rsidRPr="00A52AB8">
        <w:t>Let the function ASPSCommonByteString( stringByte, posByte ) be defined as follows:</w:t>
      </w:r>
    </w:p>
    <w:p w14:paraId="096E6D32" w14:textId="5AE77D30" w:rsidR="006E4434" w:rsidRPr="00A52AB8" w:rsidRDefault="006E4434" w:rsidP="00FB4953">
      <w:r w:rsidRPr="00A52AB8">
        <w:tab/>
        <w:t>ASPSCommonByteString( stringByte, posByte </w:t>
      </w:r>
      <w:r w:rsidR="008F1F82" w:rsidRPr="00A52AB8">
        <w:t>) {</w:t>
      </w:r>
      <w:r w:rsidR="00525C4F" w:rsidRPr="00A52AB8">
        <w:br/>
      </w:r>
      <w:r w:rsidRPr="00A52AB8">
        <w:tab/>
      </w:r>
      <w:r w:rsidRPr="00A52AB8">
        <w:tab/>
        <w:t>stringByte[ posByte</w:t>
      </w:r>
      <w:r w:rsidR="008768E9" w:rsidRPr="00A52AB8">
        <w:t>++</w:t>
      </w:r>
      <w:r w:rsidRPr="00A52AB8">
        <w:t> ]</w:t>
      </w:r>
      <w:r w:rsidR="00D47707" w:rsidRPr="00A52AB8">
        <w:t> = </w:t>
      </w:r>
      <w:r w:rsidRPr="00A52AB8">
        <w:t>asps_frame_width</w:t>
      </w:r>
      <w:r w:rsidR="008768E9" w:rsidRPr="00A52AB8">
        <w:t> &amp;&amp; </w:t>
      </w:r>
      <w:r w:rsidRPr="00A52AB8">
        <w:t>0xFF</w:t>
      </w:r>
      <w:r w:rsidRPr="00A52AB8">
        <w:br/>
      </w:r>
      <w:r w:rsidRPr="00A52AB8">
        <w:tab/>
      </w:r>
      <w:r w:rsidRPr="00A52AB8">
        <w:tab/>
        <w:t>stringByte[ posByte</w:t>
      </w:r>
      <w:r w:rsidR="008768E9" w:rsidRPr="00A52AB8">
        <w:t>++</w:t>
      </w:r>
      <w:r w:rsidRPr="00A52AB8">
        <w:t> ]</w:t>
      </w:r>
      <w:r w:rsidR="00D47707" w:rsidRPr="00A52AB8">
        <w:t> = </w:t>
      </w:r>
      <w:r w:rsidRPr="00A52AB8">
        <w:t>(asps_frame_width &gt;&gt; 8 )</w:t>
      </w:r>
      <w:r w:rsidR="008768E9" w:rsidRPr="00A52AB8">
        <w:t> &amp;&amp; </w:t>
      </w:r>
      <w:r w:rsidRPr="00A52AB8">
        <w:t>0xFF</w:t>
      </w:r>
      <w:r w:rsidRPr="00A52AB8">
        <w:br/>
      </w:r>
      <w:r w:rsidRPr="00A52AB8">
        <w:tab/>
      </w:r>
      <w:r w:rsidRPr="00A52AB8">
        <w:tab/>
        <w:t>stringByte[ posByte</w:t>
      </w:r>
      <w:r w:rsidR="008768E9" w:rsidRPr="00A52AB8">
        <w:t>++</w:t>
      </w:r>
      <w:r w:rsidRPr="00A52AB8">
        <w:t> ]</w:t>
      </w:r>
      <w:r w:rsidR="00D47707" w:rsidRPr="00A52AB8">
        <w:t> = </w:t>
      </w:r>
      <w:r w:rsidRPr="00A52AB8">
        <w:t>(asps_frame_width &gt;&gt; 16 )</w:t>
      </w:r>
      <w:r w:rsidR="008768E9" w:rsidRPr="00A52AB8">
        <w:t> &amp;&amp; </w:t>
      </w:r>
      <w:r w:rsidRPr="00A52AB8">
        <w:t>0xFF</w:t>
      </w:r>
      <w:r w:rsidRPr="00A52AB8">
        <w:br/>
      </w:r>
      <w:r w:rsidRPr="00A52AB8">
        <w:tab/>
      </w:r>
      <w:r w:rsidRPr="00A52AB8">
        <w:tab/>
        <w:t>stringByte[ posByte</w:t>
      </w:r>
      <w:r w:rsidR="008768E9" w:rsidRPr="00A52AB8">
        <w:t>++</w:t>
      </w:r>
      <w:r w:rsidRPr="00A52AB8">
        <w:t> ]</w:t>
      </w:r>
      <w:r w:rsidR="00D47707" w:rsidRPr="00A52AB8">
        <w:t> = </w:t>
      </w:r>
      <w:r w:rsidRPr="00A52AB8">
        <w:t>(asps_frame_width &gt;&gt; 24 )</w:t>
      </w:r>
      <w:r w:rsidR="008768E9" w:rsidRPr="00A52AB8">
        <w:t> &amp;&amp; </w:t>
      </w:r>
      <w:r w:rsidRPr="00A52AB8">
        <w:t>0xFF</w:t>
      </w:r>
      <w:r w:rsidR="000120DE" w:rsidRPr="00A52AB8">
        <w:br/>
      </w:r>
      <w:r w:rsidRPr="00A52AB8">
        <w:tab/>
      </w:r>
      <w:r w:rsidRPr="00A52AB8">
        <w:tab/>
        <w:t>stringByte[ posByte</w:t>
      </w:r>
      <w:r w:rsidR="008768E9" w:rsidRPr="00A52AB8">
        <w:t>++</w:t>
      </w:r>
      <w:r w:rsidRPr="00A52AB8">
        <w:t> ]</w:t>
      </w:r>
      <w:r w:rsidR="00D47707" w:rsidRPr="00A52AB8">
        <w:t> = </w:t>
      </w:r>
      <w:r w:rsidRPr="00A52AB8">
        <w:t>asps_frame_height</w:t>
      </w:r>
      <w:r w:rsidR="008768E9" w:rsidRPr="00A52AB8">
        <w:t> &amp;&amp; </w:t>
      </w:r>
      <w:r w:rsidRPr="00A52AB8">
        <w:t>0xFF</w:t>
      </w:r>
      <w:r w:rsidRPr="00A52AB8">
        <w:br/>
      </w:r>
      <w:r w:rsidRPr="00A52AB8">
        <w:tab/>
      </w:r>
      <w:r w:rsidRPr="00A52AB8">
        <w:tab/>
        <w:t>stringByte[ posByte</w:t>
      </w:r>
      <w:r w:rsidR="008768E9" w:rsidRPr="00A52AB8">
        <w:t>++</w:t>
      </w:r>
      <w:r w:rsidRPr="00A52AB8">
        <w:t> ]</w:t>
      </w:r>
      <w:r w:rsidR="00D47707" w:rsidRPr="00A52AB8">
        <w:t> = </w:t>
      </w:r>
      <w:r w:rsidRPr="00A52AB8">
        <w:t>(asps_frame_height &gt;&gt; 8 )</w:t>
      </w:r>
      <w:r w:rsidR="008768E9" w:rsidRPr="00A52AB8">
        <w:t> &amp;&amp; </w:t>
      </w:r>
      <w:r w:rsidRPr="00A52AB8">
        <w:t>0xFF</w:t>
      </w:r>
      <w:r w:rsidRPr="00A52AB8">
        <w:br/>
      </w:r>
      <w:r w:rsidRPr="00A52AB8">
        <w:tab/>
      </w:r>
      <w:r w:rsidRPr="00A52AB8">
        <w:tab/>
        <w:t>stringByte[ posByte</w:t>
      </w:r>
      <w:r w:rsidR="008768E9" w:rsidRPr="00A52AB8">
        <w:t>++</w:t>
      </w:r>
      <w:r w:rsidRPr="00A52AB8">
        <w:t> ]</w:t>
      </w:r>
      <w:r w:rsidR="00D47707" w:rsidRPr="00A52AB8">
        <w:t> = </w:t>
      </w:r>
      <w:r w:rsidRPr="00A52AB8">
        <w:t>(asps_frame_height &gt;&gt; 16 )</w:t>
      </w:r>
      <w:r w:rsidR="008768E9" w:rsidRPr="00A52AB8">
        <w:t> &amp;&amp; </w:t>
      </w:r>
      <w:r w:rsidRPr="00A52AB8">
        <w:t>0xFF</w:t>
      </w:r>
      <w:r w:rsidRPr="00A52AB8">
        <w:br/>
      </w:r>
      <w:r w:rsidRPr="00A52AB8">
        <w:tab/>
      </w:r>
      <w:r w:rsidRPr="00A52AB8">
        <w:tab/>
        <w:t>stringByte[ posByte</w:t>
      </w:r>
      <w:r w:rsidR="008768E9" w:rsidRPr="00A52AB8">
        <w:t>++</w:t>
      </w:r>
      <w:r w:rsidRPr="00A52AB8">
        <w:t> ]</w:t>
      </w:r>
      <w:r w:rsidR="00D47707" w:rsidRPr="00A52AB8">
        <w:t> = </w:t>
      </w:r>
      <w:r w:rsidRPr="00A52AB8">
        <w:t>(asps_frame_height &gt;&gt; 24 )</w:t>
      </w:r>
      <w:r w:rsidR="008768E9" w:rsidRPr="00A52AB8">
        <w:t> &amp;&amp; </w:t>
      </w:r>
      <w:r w:rsidRPr="00A52AB8">
        <w:t>0xFF</w:t>
      </w:r>
      <w:r w:rsidR="000120DE" w:rsidRPr="00A52AB8">
        <w:br/>
      </w:r>
      <w:r w:rsidRPr="00A52AB8">
        <w:tab/>
      </w:r>
      <w:r w:rsidRPr="00A52AB8">
        <w:tab/>
        <w:t>stringByte[ posByte</w:t>
      </w:r>
      <w:r w:rsidR="008768E9" w:rsidRPr="00A52AB8">
        <w:t>++</w:t>
      </w:r>
      <w:r w:rsidRPr="00A52AB8">
        <w:t> ]</w:t>
      </w:r>
      <w:r w:rsidR="00D47707" w:rsidRPr="00A52AB8">
        <w:t> = </w:t>
      </w:r>
      <w:r w:rsidRPr="00A52AB8">
        <w:t>asps_geometry_3d_bit_depth_minus1</w:t>
      </w:r>
      <w:r w:rsidR="008768E9" w:rsidRPr="00A52AB8">
        <w:t> &amp;&amp; </w:t>
      </w:r>
      <w:r w:rsidRPr="00A52AB8">
        <w:t>0xFF</w:t>
      </w:r>
      <w:r w:rsidRPr="00A52AB8">
        <w:br/>
      </w:r>
      <w:r w:rsidRPr="00A52AB8">
        <w:tab/>
      </w:r>
      <w:r w:rsidRPr="00A52AB8">
        <w:tab/>
        <w:t>stringByte[ posByte</w:t>
      </w:r>
      <w:r w:rsidR="008768E9" w:rsidRPr="00A52AB8">
        <w:t>++</w:t>
      </w:r>
      <w:r w:rsidRPr="00A52AB8">
        <w:t> ]</w:t>
      </w:r>
      <w:r w:rsidR="00D47707" w:rsidRPr="00A52AB8">
        <w:t> = </w:t>
      </w:r>
      <w:r w:rsidRPr="00A52AB8">
        <w:t>asps_geometry_2d_bit_depth_minus1</w:t>
      </w:r>
      <w:r w:rsidR="008768E9" w:rsidRPr="00A52AB8">
        <w:t> &amp;&amp; </w:t>
      </w:r>
      <w:r w:rsidRPr="00A52AB8">
        <w:t>0xFF</w:t>
      </w:r>
      <w:r w:rsidRPr="00A52AB8">
        <w:br/>
      </w:r>
      <w:r w:rsidRPr="00A52AB8">
        <w:tab/>
      </w:r>
      <w:r w:rsidRPr="00A52AB8">
        <w:tab/>
        <w:t>stringByte[ posByte</w:t>
      </w:r>
      <w:r w:rsidR="008768E9" w:rsidRPr="00A52AB8">
        <w:t>++</w:t>
      </w:r>
      <w:r w:rsidRPr="00A52AB8">
        <w:t> ]</w:t>
      </w:r>
      <w:r w:rsidR="00D47707" w:rsidRPr="00A52AB8">
        <w:t> = </w:t>
      </w:r>
      <w:r w:rsidRPr="00A52AB8">
        <w:t>asps_map_count_minus1</w:t>
      </w:r>
      <w:r w:rsidR="008768E9" w:rsidRPr="00A52AB8">
        <w:t> &amp;&amp; </w:t>
      </w:r>
      <w:r w:rsidRPr="00A52AB8">
        <w:t>0xFF</w:t>
      </w:r>
      <w:r w:rsidRPr="00A52AB8">
        <w:br/>
      </w:r>
      <w:r w:rsidRPr="00A52AB8">
        <w:tab/>
      </w:r>
      <w:r w:rsidRPr="00A52AB8">
        <w:tab/>
        <w:t>stringByte[ posByte</w:t>
      </w:r>
      <w:r w:rsidR="008768E9" w:rsidRPr="00A52AB8">
        <w:t>++</w:t>
      </w:r>
      <w:r w:rsidRPr="00A52AB8">
        <w:t> ]</w:t>
      </w:r>
      <w:r w:rsidR="00D47707" w:rsidRPr="00A52AB8">
        <w:t> = </w:t>
      </w:r>
      <w:r w:rsidRPr="00A52AB8">
        <w:t>asps_max_number_projections_minus1</w:t>
      </w:r>
      <w:r w:rsidR="008768E9" w:rsidRPr="00A52AB8">
        <w:t> &amp;&amp; </w:t>
      </w:r>
      <w:r w:rsidRPr="00A52AB8">
        <w:t>0xFF</w:t>
      </w:r>
      <w:r w:rsidRPr="00A52AB8">
        <w:br/>
      </w:r>
      <w:r w:rsidRPr="00A52AB8">
        <w:tab/>
      </w:r>
      <w:r w:rsidRPr="00A52AB8">
        <w:tab/>
        <w:t>stringByte[ posByte</w:t>
      </w:r>
      <w:r w:rsidR="008768E9" w:rsidRPr="00A52AB8">
        <w:t>++</w:t>
      </w:r>
      <w:r w:rsidRPr="00A52AB8">
        <w:t> ]</w:t>
      </w:r>
      <w:r w:rsidR="00D47707" w:rsidRPr="00A52AB8">
        <w:t> = </w:t>
      </w:r>
      <w:r w:rsidRPr="00A52AB8">
        <w:t>asps_patch_precedence_order_flag</w:t>
      </w:r>
      <w:r w:rsidR="008768E9" w:rsidRPr="00A52AB8">
        <w:t> &amp;&amp; </w:t>
      </w:r>
      <w:r w:rsidRPr="00A52AB8">
        <w:t>0xFF</w:t>
      </w:r>
      <w:r w:rsidR="000120DE" w:rsidRPr="00A52AB8">
        <w:br/>
      </w:r>
      <w:r w:rsidRPr="00A52AB8">
        <w:tab/>
      </w:r>
      <w:r w:rsidRPr="00A52AB8">
        <w:tab/>
        <w:t>return posByte</w:t>
      </w:r>
      <w:r w:rsidRPr="00A52AB8">
        <w:br/>
      </w:r>
      <w:r w:rsidRPr="00A52AB8">
        <w:tab/>
        <w:t>}</w:t>
      </w:r>
    </w:p>
    <w:p w14:paraId="34F02497" w14:textId="77777777" w:rsidR="006E4434" w:rsidRPr="00A52AB8" w:rsidRDefault="006E4434" w:rsidP="00EE3D19">
      <w:pPr>
        <w:pStyle w:val="a4"/>
        <w:numPr>
          <w:ilvl w:val="5"/>
          <w:numId w:val="19"/>
        </w:numPr>
        <w:tabs>
          <w:tab w:val="clear" w:pos="7200"/>
        </w:tabs>
        <w:outlineLvl w:val="5"/>
      </w:pPr>
      <w:bookmarkStart w:id="5998" w:name="_Ref49091098"/>
      <w:r w:rsidRPr="00A52AB8">
        <w:t>Application-based ASPS level string of bytes</w:t>
      </w:r>
      <w:bookmarkEnd w:id="5998"/>
    </w:p>
    <w:p w14:paraId="737206E2" w14:textId="44ED917C" w:rsidR="006E4434" w:rsidRPr="00A52AB8" w:rsidRDefault="006E4434" w:rsidP="00FB4953">
      <w:pPr>
        <w:rPr>
          <w:color w:val="000000" w:themeColor="text1"/>
        </w:rPr>
      </w:pPr>
      <w:r w:rsidRPr="00A52AB8">
        <w:t>Let the function ASPSApplicationByteString( stringByte, posByte ) be defined as follows:</w:t>
      </w:r>
    </w:p>
    <w:p w14:paraId="7D6BE03A" w14:textId="66344F56" w:rsidR="006E4434" w:rsidRPr="00A52AB8" w:rsidRDefault="006E4434" w:rsidP="00366915">
      <w:r w:rsidRPr="00A52AB8">
        <w:tab/>
        <w:t>ASPSApplicationByteString( stringByte, posByte </w:t>
      </w:r>
      <w:r w:rsidR="008F1F82" w:rsidRPr="00A52AB8">
        <w:t>) {</w:t>
      </w:r>
      <w:r w:rsidRPr="00A52AB8">
        <w:br/>
      </w:r>
      <w:r w:rsidR="00E803D8" w:rsidRPr="00A52AB8">
        <w:tab/>
      </w:r>
      <w:r w:rsidR="00E803D8" w:rsidRPr="00A52AB8">
        <w:tab/>
        <w:t>if( asps_pixel_deinterleaving_enabled_flag </w:t>
      </w:r>
      <w:r w:rsidR="008F1F82" w:rsidRPr="00A52AB8">
        <w:t>) {</w:t>
      </w:r>
      <w:r w:rsidR="00E803D8" w:rsidRPr="00A52AB8">
        <w:br/>
      </w:r>
      <w:r w:rsidR="00E803D8" w:rsidRPr="00A52AB8">
        <w:tab/>
      </w:r>
      <w:r w:rsidR="00E803D8" w:rsidRPr="00A52AB8">
        <w:tab/>
      </w:r>
      <w:r w:rsidR="00E803D8" w:rsidRPr="00A52AB8">
        <w:tab/>
        <w:t>for( j</w:t>
      </w:r>
      <w:r w:rsidR="00D47707" w:rsidRPr="00A52AB8">
        <w:t> = </w:t>
      </w:r>
      <w:r w:rsidR="00E803D8" w:rsidRPr="00A52AB8">
        <w:t>0; j </w:t>
      </w:r>
      <w:r w:rsidR="00A234FD" w:rsidRPr="00A52AB8">
        <w:t>&lt;=</w:t>
      </w:r>
      <w:r w:rsidR="00D47707" w:rsidRPr="00A52AB8">
        <w:t> </w:t>
      </w:r>
      <w:r w:rsidR="00E803D8" w:rsidRPr="00A52AB8">
        <w:t>asps_map_count_minus1; j++ )</w:t>
      </w:r>
      <w:r w:rsidR="00E803D8" w:rsidRPr="00A52AB8">
        <w:br/>
      </w:r>
      <w:r w:rsidR="00E803D8" w:rsidRPr="00A52AB8">
        <w:tab/>
      </w:r>
      <w:r w:rsidR="00E803D8" w:rsidRPr="00A52AB8">
        <w:tab/>
      </w:r>
      <w:r w:rsidR="00E803D8" w:rsidRPr="00A52AB8">
        <w:tab/>
      </w:r>
      <w:r w:rsidR="00E803D8" w:rsidRPr="00A52AB8">
        <w:tab/>
        <w:t>stringByte[ posByte++ ]</w:t>
      </w:r>
      <w:r w:rsidR="00D47707" w:rsidRPr="00A52AB8">
        <w:t> = </w:t>
      </w:r>
      <w:r w:rsidR="00E803D8" w:rsidRPr="00A52AB8">
        <w:t>asps_map_pixel_deinterleaving_flag[ j ] &amp;&amp; 0xFF</w:t>
      </w:r>
      <w:r w:rsidR="00E803D8" w:rsidRPr="00A52AB8">
        <w:br/>
      </w:r>
      <w:r w:rsidR="00E803D8" w:rsidRPr="00A52AB8">
        <w:tab/>
      </w:r>
      <w:r w:rsidR="00E803D8" w:rsidRPr="00A52AB8">
        <w:tab/>
        <w:t>}</w:t>
      </w:r>
      <w:r w:rsidR="00E803D8" w:rsidRPr="00A52AB8">
        <w:br/>
      </w:r>
      <w:r w:rsidR="00E803D8" w:rsidRPr="00A52AB8">
        <w:br/>
      </w:r>
      <w:r w:rsidR="00E803D8" w:rsidRPr="00A52AB8">
        <w:tab/>
      </w:r>
      <w:r w:rsidR="00E803D8" w:rsidRPr="00A52AB8">
        <w:tab/>
        <w:t>stringByte[ posByte++ ]</w:t>
      </w:r>
      <w:r w:rsidR="00D47707" w:rsidRPr="00A52AB8">
        <w:t> = </w:t>
      </w:r>
      <w:r w:rsidR="00E803D8" w:rsidRPr="00A52AB8">
        <w:t>asps_raw_patch_enabled_flag &amp;&amp; 0xFF</w:t>
      </w:r>
      <w:r w:rsidR="00E803D8" w:rsidRPr="00A52AB8">
        <w:br/>
      </w:r>
      <w:r w:rsidR="00E803D8" w:rsidRPr="00A52AB8">
        <w:tab/>
      </w:r>
      <w:r w:rsidR="00E803D8" w:rsidRPr="00A52AB8">
        <w:tab/>
        <w:t>stringByte[ posByte++ ]</w:t>
      </w:r>
      <w:r w:rsidR="00D47707" w:rsidRPr="00A52AB8">
        <w:t> = </w:t>
      </w:r>
      <w:r w:rsidR="00E803D8" w:rsidRPr="00A52AB8">
        <w:t>asps_eom_patch_enabled_flag &amp;&amp; 0xFF</w:t>
      </w:r>
      <w:r w:rsidR="00E803D8" w:rsidRPr="00A52AB8">
        <w:br/>
      </w:r>
      <w:r w:rsidR="00E803D8" w:rsidRPr="00A52AB8">
        <w:tab/>
      </w:r>
      <w:r w:rsidR="00E803D8" w:rsidRPr="00A52AB8">
        <w:tab/>
        <w:t>if( asps_eom_patch_enabled_flag &amp;&amp; asps_map_count_minus1 </w:t>
      </w:r>
      <w:r w:rsidR="00726AAE" w:rsidRPr="00A52AB8">
        <w:t>==</w:t>
      </w:r>
      <w:r w:rsidR="00D47707" w:rsidRPr="00A52AB8">
        <w:t> </w:t>
      </w:r>
      <w:r w:rsidR="00E803D8" w:rsidRPr="00A52AB8">
        <w:t>0 </w:t>
      </w:r>
      <w:r w:rsidR="008F1F82" w:rsidRPr="00A52AB8">
        <w:t>) {</w:t>
      </w:r>
      <w:r w:rsidR="00E803D8" w:rsidRPr="00A52AB8">
        <w:br/>
      </w:r>
      <w:r w:rsidR="00E803D8" w:rsidRPr="00A52AB8">
        <w:tab/>
      </w:r>
      <w:r w:rsidR="00E803D8" w:rsidRPr="00A52AB8">
        <w:tab/>
      </w:r>
      <w:r w:rsidR="00E803D8" w:rsidRPr="00A52AB8">
        <w:tab/>
        <w:t>stringByte[ posByte++ ]</w:t>
      </w:r>
      <w:r w:rsidR="00D47707" w:rsidRPr="00A52AB8">
        <w:t> = </w:t>
      </w:r>
      <w:r w:rsidR="00E803D8" w:rsidRPr="00A52AB8">
        <w:t>asps_eom_fix_bit_count_minus1 &amp;&amp; 0xFF</w:t>
      </w:r>
      <w:r w:rsidR="00E803D8" w:rsidRPr="00A52AB8">
        <w:br/>
      </w:r>
      <w:r w:rsidR="00E803D8" w:rsidRPr="00A52AB8">
        <w:tab/>
      </w:r>
      <w:r w:rsidR="00E803D8" w:rsidRPr="00A52AB8">
        <w:tab/>
        <w:t>}</w:t>
      </w:r>
      <w:r w:rsidR="00E803D8" w:rsidRPr="00A52AB8">
        <w:br/>
      </w:r>
      <w:r w:rsidR="00E803D8" w:rsidRPr="00A52AB8">
        <w:br/>
      </w:r>
      <w:r w:rsidR="00E803D8" w:rsidRPr="00A52AB8">
        <w:tab/>
      </w:r>
      <w:r w:rsidR="00E803D8" w:rsidRPr="00A52AB8">
        <w:tab/>
        <w:t>if( ( asps_auxiliary_video_enabled_flag ) &amp;&amp;</w:t>
      </w:r>
      <w:r w:rsidR="00E803D8" w:rsidRPr="00A52AB8">
        <w:br/>
      </w:r>
      <w:r w:rsidR="00E803D8" w:rsidRPr="00A52AB8">
        <w:tab/>
      </w:r>
      <w:r w:rsidR="00E803D8" w:rsidRPr="00A52AB8">
        <w:tab/>
      </w:r>
      <w:r w:rsidR="00E803D8" w:rsidRPr="00A52AB8">
        <w:tab/>
        <w:t>( asps_raw_patch_enabled_flag || asps_eom_patch_enabled_flag ) </w:t>
      </w:r>
      <w:r w:rsidR="008F1F82" w:rsidRPr="00A52AB8">
        <w:t>) {</w:t>
      </w:r>
      <w:r w:rsidR="00E803D8" w:rsidRPr="00A52AB8">
        <w:br/>
      </w:r>
      <w:r w:rsidR="00E803D8" w:rsidRPr="00A52AB8">
        <w:tab/>
      </w:r>
      <w:r w:rsidR="00E803D8" w:rsidRPr="00A52AB8">
        <w:tab/>
      </w:r>
      <w:r w:rsidR="00E803D8" w:rsidRPr="00A52AB8">
        <w:tab/>
        <w:t>stringByte[ posByte++ ]</w:t>
      </w:r>
      <w:r w:rsidR="00D47707" w:rsidRPr="00A52AB8">
        <w:t> = </w:t>
      </w:r>
      <w:r w:rsidR="00E803D8" w:rsidRPr="00A52AB8">
        <w:t>AuxVideoWidthNF &amp;&amp; 0xFF</w:t>
      </w:r>
      <w:r w:rsidR="00E803D8" w:rsidRPr="00A52AB8">
        <w:br/>
      </w:r>
      <w:r w:rsidR="00E803D8" w:rsidRPr="00A52AB8">
        <w:tab/>
      </w:r>
      <w:r w:rsidR="00E803D8" w:rsidRPr="00A52AB8">
        <w:tab/>
      </w:r>
      <w:r w:rsidR="00E803D8" w:rsidRPr="00A52AB8">
        <w:tab/>
        <w:t>stringByte[ posByte++ ]</w:t>
      </w:r>
      <w:r w:rsidR="00D47707" w:rsidRPr="00A52AB8">
        <w:t> = </w:t>
      </w:r>
      <w:r w:rsidR="00E803D8" w:rsidRPr="00A52AB8">
        <w:t>(AuxVideoWidthNF &gt;&gt; 8 ) &amp;&amp; 0xFF</w:t>
      </w:r>
      <w:r w:rsidR="00E803D8" w:rsidRPr="00A52AB8">
        <w:br/>
      </w:r>
      <w:r w:rsidR="00E803D8" w:rsidRPr="00A52AB8">
        <w:tab/>
      </w:r>
      <w:r w:rsidR="00E803D8" w:rsidRPr="00A52AB8">
        <w:tab/>
      </w:r>
      <w:r w:rsidR="00E803D8" w:rsidRPr="00A52AB8">
        <w:tab/>
        <w:t>stringByte[ posByte++ ]</w:t>
      </w:r>
      <w:r w:rsidR="00D47707" w:rsidRPr="00A52AB8">
        <w:t> = </w:t>
      </w:r>
      <w:r w:rsidR="00E803D8" w:rsidRPr="00A52AB8">
        <w:t>AuxVideoHeightNF &amp;&amp; 0xFF</w:t>
      </w:r>
      <w:r w:rsidR="00E803D8" w:rsidRPr="00A52AB8">
        <w:br/>
      </w:r>
      <w:r w:rsidR="00E803D8" w:rsidRPr="00A52AB8">
        <w:tab/>
      </w:r>
      <w:r w:rsidR="00E803D8" w:rsidRPr="00A52AB8">
        <w:tab/>
      </w:r>
      <w:r w:rsidR="00E803D8" w:rsidRPr="00A52AB8">
        <w:tab/>
        <w:t>stringByte[ posByte++ ]</w:t>
      </w:r>
      <w:r w:rsidR="00D47707" w:rsidRPr="00A52AB8">
        <w:t> = </w:t>
      </w:r>
      <w:r w:rsidR="00E803D8" w:rsidRPr="00A52AB8">
        <w:t>( AuxVideoHeightNF &gt;&gt; 8 ) &amp;&amp; 0xFF</w:t>
      </w:r>
      <w:r w:rsidR="00E803D8" w:rsidRPr="00A52AB8">
        <w:br/>
      </w:r>
      <w:r w:rsidR="00E803D8" w:rsidRPr="00A52AB8">
        <w:tab/>
      </w:r>
      <w:r w:rsidR="00E803D8" w:rsidRPr="00A52AB8">
        <w:tab/>
        <w:t>}</w:t>
      </w:r>
      <w:r w:rsidR="00E803D8" w:rsidRPr="00A52AB8">
        <w:br/>
      </w:r>
      <w:r w:rsidR="00E803D8" w:rsidRPr="00A52AB8">
        <w:br/>
      </w:r>
      <w:r w:rsidR="00E803D8" w:rsidRPr="00A52AB8">
        <w:tab/>
      </w:r>
      <w:r w:rsidR="00E803D8" w:rsidRPr="00A52AB8">
        <w:tab/>
        <w:t>stringByte[ posByte++ ]</w:t>
      </w:r>
      <w:r w:rsidR="00D47707" w:rsidRPr="00A52AB8">
        <w:t> = </w:t>
      </w:r>
      <w:r w:rsidR="00E803D8" w:rsidRPr="00A52AB8">
        <w:t>asps_plr_enabled_flag &amp;&amp; 0xFF</w:t>
      </w:r>
      <w:r w:rsidR="00E803D8" w:rsidRPr="00A52AB8">
        <w:br/>
      </w:r>
      <w:r w:rsidR="00E803D8" w:rsidRPr="00A52AB8">
        <w:tab/>
      </w:r>
      <w:r w:rsidR="00E803D8" w:rsidRPr="00A52AB8">
        <w:tab/>
        <w:t>if( asps_plr_enabled_flag </w:t>
      </w:r>
      <w:r w:rsidR="00900B12" w:rsidRPr="00A52AB8">
        <w:t>) {</w:t>
      </w:r>
      <w:r w:rsidR="00E803D8" w:rsidRPr="00A52AB8">
        <w:t xml:space="preserve"> </w:t>
      </w:r>
      <w:r w:rsidR="00E803D8" w:rsidRPr="00A52AB8">
        <w:br/>
      </w:r>
      <w:r w:rsidR="00E803D8" w:rsidRPr="00A52AB8">
        <w:tab/>
      </w:r>
      <w:r w:rsidR="00E803D8" w:rsidRPr="00A52AB8">
        <w:tab/>
      </w:r>
      <w:r w:rsidR="00E803D8" w:rsidRPr="00A52AB8">
        <w:tab/>
        <w:t>for(</w:t>
      </w:r>
      <w:r w:rsidR="009736BE" w:rsidRPr="00A52AB8">
        <w:t> </w:t>
      </w:r>
      <w:r w:rsidR="00E803D8" w:rsidRPr="00A52AB8">
        <w:t>i</w:t>
      </w:r>
      <w:r w:rsidR="00D47707" w:rsidRPr="00A52AB8">
        <w:t> = </w:t>
      </w:r>
      <w:r w:rsidR="00E803D8" w:rsidRPr="00A52AB8">
        <w:t>0; i &lt; asps_map_count_minus1 + 1; i++</w:t>
      </w:r>
      <w:r w:rsidR="008F1F82" w:rsidRPr="00A52AB8">
        <w:t>) {</w:t>
      </w:r>
      <w:r w:rsidR="00E803D8" w:rsidRPr="00A52AB8">
        <w:br/>
      </w:r>
      <w:r w:rsidR="00E803D8" w:rsidRPr="00A52AB8">
        <w:tab/>
      </w:r>
      <w:r w:rsidR="00E803D8" w:rsidRPr="00A52AB8">
        <w:tab/>
      </w:r>
      <w:r w:rsidR="00E803D8" w:rsidRPr="00A52AB8">
        <w:tab/>
      </w:r>
      <w:r w:rsidR="00E803D8" w:rsidRPr="00A52AB8">
        <w:tab/>
        <w:t>stringByte[ posByte++ ]</w:t>
      </w:r>
      <w:r w:rsidR="00D47707" w:rsidRPr="00A52AB8">
        <w:t> = </w:t>
      </w:r>
      <w:r w:rsidR="00E803D8" w:rsidRPr="00A52AB8">
        <w:t>plri_map_present_flag[ i ] &amp;&amp; 0xFF</w:t>
      </w:r>
      <w:r w:rsidR="00E803D8" w:rsidRPr="00A52AB8">
        <w:br/>
      </w:r>
      <w:r w:rsidR="00E803D8" w:rsidRPr="00A52AB8">
        <w:tab/>
      </w:r>
      <w:r w:rsidR="00E803D8" w:rsidRPr="00A52AB8">
        <w:tab/>
      </w:r>
      <w:r w:rsidR="00E803D8" w:rsidRPr="00A52AB8">
        <w:tab/>
      </w:r>
      <w:r w:rsidR="00E803D8" w:rsidRPr="00A52AB8">
        <w:tab/>
        <w:t>if( plri_map_present_flag[ i ] </w:t>
      </w:r>
      <w:r w:rsidR="008F1F82" w:rsidRPr="00A52AB8">
        <w:t>) {</w:t>
      </w:r>
      <w:r w:rsidR="00E803D8" w:rsidRPr="00A52AB8">
        <w:br/>
      </w:r>
      <w:r w:rsidR="00E803D8" w:rsidRPr="00A52AB8">
        <w:tab/>
      </w:r>
      <w:r w:rsidR="00E803D8" w:rsidRPr="00A52AB8">
        <w:tab/>
      </w:r>
      <w:r w:rsidR="00E803D8" w:rsidRPr="00A52AB8">
        <w:tab/>
      </w:r>
      <w:r w:rsidR="00E803D8" w:rsidRPr="00A52AB8">
        <w:tab/>
      </w:r>
      <w:r w:rsidR="00E803D8" w:rsidRPr="00A52AB8">
        <w:tab/>
        <w:t>stringByte[ posByte++ ]</w:t>
      </w:r>
      <w:r w:rsidR="00D47707" w:rsidRPr="00A52AB8">
        <w:t> = </w:t>
      </w:r>
      <w:r w:rsidR="00E803D8" w:rsidRPr="00A52AB8">
        <w:t>plri_number_of_modes_minus1[ i ] &amp;&amp; 0xFF</w:t>
      </w:r>
      <w:r w:rsidR="00E803D8" w:rsidRPr="00A52AB8">
        <w:br/>
      </w:r>
      <w:r w:rsidR="00E803D8" w:rsidRPr="00A52AB8">
        <w:tab/>
      </w:r>
      <w:r w:rsidR="00E803D8" w:rsidRPr="00A52AB8">
        <w:tab/>
      </w:r>
      <w:r w:rsidR="00E803D8" w:rsidRPr="00A52AB8">
        <w:tab/>
      </w:r>
      <w:r w:rsidR="00E803D8" w:rsidRPr="00A52AB8">
        <w:tab/>
      </w:r>
      <w:r w:rsidR="00FD653F" w:rsidRPr="00A52AB8">
        <w:tab/>
      </w:r>
      <w:r w:rsidR="00E803D8" w:rsidRPr="00A52AB8">
        <w:t>for( j</w:t>
      </w:r>
      <w:r w:rsidR="00D47707" w:rsidRPr="00A52AB8">
        <w:t> = </w:t>
      </w:r>
      <w:r w:rsidR="00E803D8" w:rsidRPr="00A52AB8">
        <w:t>0; j &lt; plri_number_of_modes_minus1[ i ] + 1; j++ </w:t>
      </w:r>
      <w:r w:rsidR="008F1F82" w:rsidRPr="00A52AB8">
        <w:t>) {</w:t>
      </w:r>
      <w:r w:rsidR="00E803D8" w:rsidRPr="00A52AB8">
        <w:br/>
      </w:r>
      <w:r w:rsidR="00E803D8" w:rsidRPr="00A52AB8">
        <w:tab/>
      </w:r>
      <w:r w:rsidR="00E803D8" w:rsidRPr="00A52AB8">
        <w:tab/>
      </w:r>
      <w:r w:rsidR="00E803D8" w:rsidRPr="00A52AB8">
        <w:tab/>
      </w:r>
      <w:r w:rsidR="00E803D8" w:rsidRPr="00A52AB8">
        <w:tab/>
      </w:r>
      <w:r w:rsidR="00E803D8" w:rsidRPr="00A52AB8">
        <w:tab/>
      </w:r>
      <w:r w:rsidR="00FD653F" w:rsidRPr="00A52AB8">
        <w:tab/>
      </w:r>
      <w:r w:rsidR="00E803D8" w:rsidRPr="00A52AB8">
        <w:t>stringByte[ posByte++ ]</w:t>
      </w:r>
      <w:r w:rsidR="00D47707" w:rsidRPr="00A52AB8">
        <w:t> = </w:t>
      </w:r>
      <w:r w:rsidR="00E803D8" w:rsidRPr="00A52AB8">
        <w:t>plri_interpolate_flag[ i ][ j ] &amp;&amp; 0xFF</w:t>
      </w:r>
      <w:r w:rsidR="00E803D8" w:rsidRPr="00A52AB8">
        <w:br/>
      </w:r>
      <w:r w:rsidR="00E803D8" w:rsidRPr="00A52AB8">
        <w:tab/>
      </w:r>
      <w:r w:rsidR="00E803D8" w:rsidRPr="00A52AB8">
        <w:tab/>
      </w:r>
      <w:r w:rsidR="00E803D8" w:rsidRPr="00A52AB8">
        <w:tab/>
      </w:r>
      <w:r w:rsidR="00E803D8" w:rsidRPr="00A52AB8">
        <w:tab/>
      </w:r>
      <w:r w:rsidR="00E803D8" w:rsidRPr="00A52AB8">
        <w:tab/>
      </w:r>
      <w:r w:rsidR="00FD653F" w:rsidRPr="00A52AB8">
        <w:tab/>
      </w:r>
      <w:r w:rsidR="00E803D8" w:rsidRPr="00A52AB8">
        <w:t>stringByte[ posByte++ ]</w:t>
      </w:r>
      <w:r w:rsidR="00D47707" w:rsidRPr="00A52AB8">
        <w:t> = </w:t>
      </w:r>
      <w:r w:rsidR="00E803D8" w:rsidRPr="00A52AB8">
        <w:t>plri_filling_flag[ i ][ j ]</w:t>
      </w:r>
      <w:r w:rsidR="009736BE" w:rsidRPr="00A52AB8">
        <w:t> </w:t>
      </w:r>
      <w:r w:rsidR="00E803D8" w:rsidRPr="00A52AB8">
        <w:t>&amp;&amp; 0xFF</w:t>
      </w:r>
      <w:r w:rsidR="00E803D8" w:rsidRPr="00A52AB8">
        <w:br/>
      </w:r>
      <w:r w:rsidR="00E803D8" w:rsidRPr="00A52AB8">
        <w:tab/>
      </w:r>
      <w:r w:rsidR="00E803D8" w:rsidRPr="00A52AB8">
        <w:tab/>
      </w:r>
      <w:r w:rsidR="00E803D8" w:rsidRPr="00A52AB8">
        <w:tab/>
      </w:r>
      <w:r w:rsidR="00E803D8" w:rsidRPr="00A52AB8">
        <w:tab/>
      </w:r>
      <w:r w:rsidR="00E803D8" w:rsidRPr="00A52AB8">
        <w:tab/>
      </w:r>
      <w:r w:rsidR="00FD653F" w:rsidRPr="00A52AB8">
        <w:tab/>
      </w:r>
      <w:r w:rsidR="00E803D8" w:rsidRPr="00A52AB8">
        <w:t>stringByte[ posByte++ ]</w:t>
      </w:r>
      <w:r w:rsidR="00D47707" w:rsidRPr="00A52AB8">
        <w:t> = </w:t>
      </w:r>
      <w:r w:rsidR="00E803D8" w:rsidRPr="00A52AB8">
        <w:t>plri_minimum_depth[ i ][ j ]</w:t>
      </w:r>
      <w:r w:rsidR="009736BE" w:rsidRPr="00A52AB8">
        <w:t> </w:t>
      </w:r>
      <w:r w:rsidR="00E803D8" w:rsidRPr="00A52AB8">
        <w:t>&amp;&amp; 0xFF</w:t>
      </w:r>
      <w:r w:rsidR="00E803D8" w:rsidRPr="00A52AB8">
        <w:br/>
      </w:r>
      <w:r w:rsidR="00E803D8" w:rsidRPr="00A52AB8">
        <w:tab/>
      </w:r>
      <w:r w:rsidR="00E803D8" w:rsidRPr="00A52AB8">
        <w:tab/>
      </w:r>
      <w:r w:rsidR="00E803D8" w:rsidRPr="00A52AB8">
        <w:tab/>
      </w:r>
      <w:r w:rsidR="00E803D8" w:rsidRPr="00A52AB8">
        <w:tab/>
      </w:r>
      <w:r w:rsidR="00E803D8" w:rsidRPr="00A52AB8">
        <w:tab/>
      </w:r>
      <w:r w:rsidR="00FD653F" w:rsidRPr="00A52AB8">
        <w:tab/>
      </w:r>
      <w:r w:rsidR="00E803D8" w:rsidRPr="00A52AB8">
        <w:t>stringByte[ posByte++ ]</w:t>
      </w:r>
      <w:r w:rsidR="00D47707" w:rsidRPr="00A52AB8">
        <w:t> = </w:t>
      </w:r>
      <w:r w:rsidR="00E803D8" w:rsidRPr="00A52AB8">
        <w:t>plri_neighbour_minus1[ i ][ j ]</w:t>
      </w:r>
      <w:r w:rsidR="009736BE" w:rsidRPr="00A52AB8">
        <w:t> </w:t>
      </w:r>
      <w:r w:rsidR="00E803D8" w:rsidRPr="00A52AB8">
        <w:t>&amp;&amp; 0xFF</w:t>
      </w:r>
      <w:r w:rsidR="00E803D8" w:rsidRPr="00A52AB8">
        <w:br/>
      </w:r>
      <w:r w:rsidR="00E803D8" w:rsidRPr="00A52AB8">
        <w:tab/>
      </w:r>
      <w:r w:rsidR="00E803D8" w:rsidRPr="00A52AB8">
        <w:tab/>
      </w:r>
      <w:r w:rsidR="00E803D8" w:rsidRPr="00A52AB8">
        <w:tab/>
      </w:r>
      <w:r w:rsidR="00FD653F" w:rsidRPr="00A52AB8">
        <w:tab/>
      </w:r>
      <w:r w:rsidR="00E803D8" w:rsidRPr="00A52AB8">
        <w:tab/>
        <w:t>}</w:t>
      </w:r>
      <w:r w:rsidR="00E803D8" w:rsidRPr="00A52AB8">
        <w:br/>
      </w:r>
      <w:r w:rsidR="00E803D8" w:rsidRPr="00A52AB8">
        <w:tab/>
      </w:r>
      <w:r w:rsidR="00E803D8" w:rsidRPr="00A52AB8">
        <w:tab/>
      </w:r>
      <w:r w:rsidR="00E803D8" w:rsidRPr="00A52AB8">
        <w:tab/>
      </w:r>
      <w:r w:rsidR="00E803D8" w:rsidRPr="00A52AB8">
        <w:tab/>
      </w:r>
      <w:r w:rsidR="00FD653F" w:rsidRPr="00A52AB8">
        <w:tab/>
      </w:r>
      <w:r w:rsidR="00E803D8" w:rsidRPr="00A52AB8">
        <w:t>stringByte[ posByte++ ]</w:t>
      </w:r>
      <w:r w:rsidR="00D47707" w:rsidRPr="00A52AB8">
        <w:t> = </w:t>
      </w:r>
      <w:r w:rsidR="00E803D8" w:rsidRPr="00A52AB8">
        <w:t>plri_block_threshold_per_patch_minus1[ i ] &amp;&amp; 0xFF</w:t>
      </w:r>
      <w:r w:rsidR="00FD653F" w:rsidRPr="00A52AB8">
        <w:br/>
      </w:r>
      <w:r w:rsidR="00FD653F" w:rsidRPr="00A52AB8">
        <w:tab/>
      </w:r>
      <w:r w:rsidR="00FD653F" w:rsidRPr="00A52AB8">
        <w:tab/>
      </w:r>
      <w:r w:rsidR="00FD653F" w:rsidRPr="00A52AB8">
        <w:tab/>
      </w:r>
      <w:r w:rsidR="00FD653F" w:rsidRPr="00A52AB8">
        <w:tab/>
        <w:t>}</w:t>
      </w:r>
      <w:r w:rsidR="00E803D8" w:rsidRPr="00A52AB8">
        <w:br/>
      </w:r>
      <w:r w:rsidR="00E803D8" w:rsidRPr="00A52AB8">
        <w:tab/>
      </w:r>
      <w:r w:rsidR="00E803D8" w:rsidRPr="00A52AB8">
        <w:tab/>
      </w:r>
      <w:r w:rsidR="00E803D8" w:rsidRPr="00A52AB8">
        <w:tab/>
        <w:t>}</w:t>
      </w:r>
      <w:r w:rsidR="00E803D8" w:rsidRPr="00A52AB8">
        <w:br/>
      </w:r>
      <w:r w:rsidR="00E803D8" w:rsidRPr="00A52AB8">
        <w:tab/>
      </w:r>
      <w:r w:rsidR="00E803D8" w:rsidRPr="00A52AB8">
        <w:tab/>
        <w:t>}</w:t>
      </w:r>
      <w:r w:rsidR="00E803D8" w:rsidRPr="00A52AB8">
        <w:br/>
      </w:r>
      <w:r w:rsidRPr="00A52AB8">
        <w:tab/>
      </w:r>
      <w:r w:rsidR="00461F41" w:rsidRPr="00A52AB8">
        <w:tab/>
      </w:r>
      <w:r w:rsidRPr="00A52AB8">
        <w:t>return posByte</w:t>
      </w:r>
      <w:r w:rsidRPr="00A52AB8">
        <w:br/>
      </w:r>
      <w:r w:rsidR="002E1012" w:rsidRPr="00A52AB8">
        <w:tab/>
      </w:r>
      <w:r w:rsidRPr="00A52AB8">
        <w:t>}</w:t>
      </w:r>
    </w:p>
    <w:p w14:paraId="6834BD78" w14:textId="77777777" w:rsidR="006E4434" w:rsidRPr="00A52AB8" w:rsidRDefault="006E4434" w:rsidP="00EE3D19">
      <w:pPr>
        <w:pStyle w:val="a4"/>
        <w:numPr>
          <w:ilvl w:val="5"/>
          <w:numId w:val="19"/>
        </w:numPr>
        <w:tabs>
          <w:tab w:val="clear" w:pos="7200"/>
        </w:tabs>
        <w:outlineLvl w:val="5"/>
      </w:pPr>
      <w:bookmarkStart w:id="5999" w:name="_Ref49091100"/>
      <w:r w:rsidRPr="00A52AB8">
        <w:t>Common AFPS level string of bytes</w:t>
      </w:r>
      <w:bookmarkEnd w:id="5999"/>
    </w:p>
    <w:p w14:paraId="4A5587CC" w14:textId="77777777" w:rsidR="006E4434" w:rsidRPr="00A52AB8" w:rsidRDefault="006E4434" w:rsidP="00FB4953">
      <w:r w:rsidRPr="00A52AB8">
        <w:t>Let the function AFPSCommonByteString( stringByte, posByte ) be defined as follows:</w:t>
      </w:r>
    </w:p>
    <w:p w14:paraId="297F795C" w14:textId="0CABE063" w:rsidR="006E4434" w:rsidRPr="00A52AB8" w:rsidRDefault="006E4434" w:rsidP="00FB4953">
      <w:pPr>
        <w:tabs>
          <w:tab w:val="clear" w:pos="2016"/>
        </w:tabs>
        <w:spacing w:before="120"/>
      </w:pPr>
      <w:r w:rsidRPr="00A52AB8">
        <w:tab/>
        <w:t>AFPSCommonByteString( stringByte, posByte </w:t>
      </w:r>
      <w:r w:rsidR="008F1F82" w:rsidRPr="00A52AB8">
        <w:t>) {</w:t>
      </w:r>
      <w:r w:rsidR="00565E03" w:rsidRPr="00A52AB8">
        <w:br/>
      </w:r>
      <w:r w:rsidRPr="00A52AB8">
        <w:tab/>
      </w:r>
      <w:r w:rsidR="00565E03" w:rsidRPr="00A52AB8">
        <w:tab/>
      </w:r>
      <w:r w:rsidRPr="00A52AB8">
        <w:t>stringByte[ posByte++ ]</w:t>
      </w:r>
      <w:r w:rsidR="00D47707" w:rsidRPr="00A52AB8">
        <w:t> = </w:t>
      </w:r>
      <w:r w:rsidRPr="00A52AB8">
        <w:t>afti_num_tiles_in_atlas_frame_minus1</w:t>
      </w:r>
      <w:r w:rsidR="008768E9" w:rsidRPr="00A52AB8">
        <w:t> &amp;&amp; </w:t>
      </w:r>
      <w:r w:rsidRPr="00A52AB8">
        <w:t>0xFF</w:t>
      </w:r>
      <w:r w:rsidRPr="00A52AB8">
        <w:br/>
      </w:r>
      <w:r w:rsidRPr="00A52AB8">
        <w:tab/>
      </w:r>
      <w:r w:rsidRPr="00A52AB8">
        <w:tab/>
        <w:t>for ( i</w:t>
      </w:r>
      <w:r w:rsidR="00D47707" w:rsidRPr="00A52AB8">
        <w:t> = </w:t>
      </w:r>
      <w:r w:rsidRPr="00A52AB8">
        <w:t>1; i &lt; afti_num_tiles_in_atlas_frame_minus1 + 1; i++ </w:t>
      </w:r>
      <w:r w:rsidR="008F1F82" w:rsidRPr="00A52AB8">
        <w:t>) {</w:t>
      </w:r>
      <w:r w:rsidR="00921454" w:rsidRPr="00A52AB8">
        <w:br/>
      </w:r>
      <w:r w:rsidR="00921454" w:rsidRPr="00A52AB8">
        <w:tab/>
      </w:r>
      <w:r w:rsidR="00921454" w:rsidRPr="00A52AB8">
        <w:tab/>
      </w:r>
      <w:r w:rsidR="00921454" w:rsidRPr="00A52AB8">
        <w:tab/>
        <w:t>stringByte[ posByte++ ]</w:t>
      </w:r>
      <w:r w:rsidR="00D47707" w:rsidRPr="00A52AB8">
        <w:t> = </w:t>
      </w:r>
      <w:r w:rsidRPr="00A52AB8">
        <w:t>TileOffsetX[ i ]</w:t>
      </w:r>
      <w:r w:rsidR="008768E9" w:rsidRPr="00A52AB8">
        <w:t> &amp;&amp; </w:t>
      </w:r>
      <w:r w:rsidR="00921454" w:rsidRPr="00A52AB8">
        <w:t>0xFF</w:t>
      </w:r>
      <w:r w:rsidR="00921454" w:rsidRPr="00A52AB8">
        <w:br/>
      </w:r>
      <w:r w:rsidR="00921454" w:rsidRPr="00A52AB8">
        <w:tab/>
      </w:r>
      <w:r w:rsidR="00921454" w:rsidRPr="00A52AB8">
        <w:tab/>
      </w:r>
      <w:r w:rsidR="00921454" w:rsidRPr="00A52AB8">
        <w:tab/>
        <w:t>stringByte[ posByte++ ]</w:t>
      </w:r>
      <w:r w:rsidR="00D47707" w:rsidRPr="00A52AB8">
        <w:t> = </w:t>
      </w:r>
      <w:r w:rsidR="00921454" w:rsidRPr="00A52AB8">
        <w:t>(TileOffsetX[ i ] &gt;&gt; 8 )&amp;&amp; 0xFF</w:t>
      </w:r>
      <w:r w:rsidR="00921454" w:rsidRPr="00A52AB8">
        <w:br/>
      </w:r>
      <w:r w:rsidR="00921454" w:rsidRPr="00A52AB8">
        <w:tab/>
      </w:r>
      <w:r w:rsidR="00921454" w:rsidRPr="00A52AB8">
        <w:tab/>
      </w:r>
      <w:r w:rsidR="00921454" w:rsidRPr="00A52AB8">
        <w:tab/>
        <w:t>stringByte[ posByte++ ]</w:t>
      </w:r>
      <w:r w:rsidR="00D47707" w:rsidRPr="00A52AB8">
        <w:t> = </w:t>
      </w:r>
      <w:r w:rsidR="00921454" w:rsidRPr="00A52AB8">
        <w:t>TileOffsetY[ i ]</w:t>
      </w:r>
      <w:r w:rsidR="008768E9" w:rsidRPr="00A52AB8">
        <w:t> &amp;&amp; </w:t>
      </w:r>
      <w:r w:rsidR="00921454" w:rsidRPr="00A52AB8">
        <w:t>0xFF</w:t>
      </w:r>
      <w:r w:rsidR="00921454" w:rsidRPr="00A52AB8">
        <w:br/>
      </w:r>
      <w:r w:rsidR="00921454" w:rsidRPr="00A52AB8">
        <w:tab/>
      </w:r>
      <w:r w:rsidR="00921454" w:rsidRPr="00A52AB8">
        <w:tab/>
      </w:r>
      <w:r w:rsidR="00921454" w:rsidRPr="00A52AB8">
        <w:tab/>
        <w:t>stringByte[ posByte++ ]</w:t>
      </w:r>
      <w:r w:rsidR="00D47707" w:rsidRPr="00A52AB8">
        <w:t> = </w:t>
      </w:r>
      <w:r w:rsidR="00921454" w:rsidRPr="00A52AB8">
        <w:t>(TileOffsetY[ i ] &gt;&gt; 8 )&amp;&amp; 0xFF</w:t>
      </w:r>
      <w:r w:rsidR="00921454" w:rsidRPr="00A52AB8">
        <w:br/>
      </w:r>
      <w:r w:rsidR="00921454" w:rsidRPr="00A52AB8">
        <w:tab/>
      </w:r>
      <w:r w:rsidR="00921454" w:rsidRPr="00A52AB8">
        <w:tab/>
      </w:r>
      <w:r w:rsidR="00921454" w:rsidRPr="00A52AB8">
        <w:tab/>
        <w:t>stringByte[ posByte++ ]</w:t>
      </w:r>
      <w:r w:rsidR="00D47707" w:rsidRPr="00A52AB8">
        <w:t> = </w:t>
      </w:r>
      <w:r w:rsidR="00921454" w:rsidRPr="00A52AB8">
        <w:t>TileWidth[ i ]</w:t>
      </w:r>
      <w:r w:rsidR="008768E9" w:rsidRPr="00A52AB8">
        <w:t> &amp;&amp; </w:t>
      </w:r>
      <w:r w:rsidR="00921454" w:rsidRPr="00A52AB8">
        <w:t>0xFF</w:t>
      </w:r>
      <w:r w:rsidR="00921454" w:rsidRPr="00A52AB8">
        <w:br/>
      </w:r>
      <w:r w:rsidR="00921454" w:rsidRPr="00A52AB8">
        <w:tab/>
      </w:r>
      <w:r w:rsidR="00921454" w:rsidRPr="00A52AB8">
        <w:tab/>
      </w:r>
      <w:r w:rsidR="00921454" w:rsidRPr="00A52AB8">
        <w:tab/>
        <w:t>stringByte[ posByte++ ]</w:t>
      </w:r>
      <w:r w:rsidR="00D47707" w:rsidRPr="00A52AB8">
        <w:t> = </w:t>
      </w:r>
      <w:r w:rsidR="00921454" w:rsidRPr="00A52AB8">
        <w:t>(TileWidth[ i ] &gt;&gt; 8 )&amp;&amp; 0xFF</w:t>
      </w:r>
      <w:r w:rsidR="00921454" w:rsidRPr="00A52AB8">
        <w:br/>
      </w:r>
      <w:r w:rsidR="00921454" w:rsidRPr="00A52AB8">
        <w:tab/>
      </w:r>
      <w:r w:rsidR="00921454" w:rsidRPr="00A52AB8">
        <w:tab/>
      </w:r>
      <w:r w:rsidR="00921454" w:rsidRPr="00A52AB8">
        <w:tab/>
        <w:t>stringByte[ posByte++ ]</w:t>
      </w:r>
      <w:r w:rsidR="00D47707" w:rsidRPr="00A52AB8">
        <w:t> = </w:t>
      </w:r>
      <w:r w:rsidR="00921454" w:rsidRPr="00A52AB8">
        <w:t>TileHeight[ i ]</w:t>
      </w:r>
      <w:r w:rsidR="008768E9" w:rsidRPr="00A52AB8">
        <w:t> &amp;&amp; </w:t>
      </w:r>
      <w:r w:rsidR="00921454" w:rsidRPr="00A52AB8">
        <w:t>0xFF</w:t>
      </w:r>
      <w:r w:rsidR="00921454" w:rsidRPr="00A52AB8">
        <w:br/>
      </w:r>
      <w:r w:rsidR="00921454" w:rsidRPr="00A52AB8">
        <w:tab/>
      </w:r>
      <w:r w:rsidR="00921454" w:rsidRPr="00A52AB8">
        <w:tab/>
      </w:r>
      <w:r w:rsidR="00921454" w:rsidRPr="00A52AB8">
        <w:tab/>
        <w:t>stringByte[ posByte++ ]</w:t>
      </w:r>
      <w:r w:rsidR="00D47707" w:rsidRPr="00A52AB8">
        <w:t> = </w:t>
      </w:r>
      <w:r w:rsidR="00921454" w:rsidRPr="00A52AB8">
        <w:t>(TileHeight[ i ] &gt;&gt; 8 )&amp;&amp; 0xFF</w:t>
      </w:r>
      <w:r w:rsidR="00921454" w:rsidRPr="00A52AB8">
        <w:br/>
      </w:r>
      <w:r w:rsidR="00921454" w:rsidRPr="00A52AB8">
        <w:tab/>
      </w:r>
      <w:r w:rsidR="00921454" w:rsidRPr="00A52AB8">
        <w:tab/>
      </w:r>
      <w:r w:rsidR="00921454" w:rsidRPr="00A52AB8">
        <w:tab/>
        <w:t>stringByte[ posByte++ ]</w:t>
      </w:r>
      <w:r w:rsidR="00D47707" w:rsidRPr="00A52AB8">
        <w:t> = </w:t>
      </w:r>
      <w:r w:rsidR="00921454" w:rsidRPr="00A52AB8">
        <w:t>AuxTileOffset[ i ]</w:t>
      </w:r>
      <w:r w:rsidR="008768E9" w:rsidRPr="00A52AB8">
        <w:t> &amp;&amp; </w:t>
      </w:r>
      <w:r w:rsidR="00921454" w:rsidRPr="00A52AB8">
        <w:t>0xFF</w:t>
      </w:r>
      <w:r w:rsidR="00921454" w:rsidRPr="00A52AB8">
        <w:br/>
      </w:r>
      <w:r w:rsidR="00921454" w:rsidRPr="00A52AB8">
        <w:tab/>
      </w:r>
      <w:r w:rsidR="00921454" w:rsidRPr="00A52AB8">
        <w:tab/>
      </w:r>
      <w:r w:rsidR="00921454" w:rsidRPr="00A52AB8">
        <w:tab/>
        <w:t>stringByte[ posByte++ ]</w:t>
      </w:r>
      <w:r w:rsidR="00D47707" w:rsidRPr="00A52AB8">
        <w:t> = </w:t>
      </w:r>
      <w:r w:rsidR="00921454" w:rsidRPr="00A52AB8">
        <w:t>(AuxTileOffset[ i ] &gt;&gt; 8 )&amp;&amp; 0xFF</w:t>
      </w:r>
      <w:r w:rsidR="00921454" w:rsidRPr="00A52AB8">
        <w:br/>
      </w:r>
      <w:r w:rsidR="00921454" w:rsidRPr="00A52AB8">
        <w:tab/>
      </w:r>
      <w:r w:rsidR="00921454" w:rsidRPr="00A52AB8">
        <w:tab/>
      </w:r>
      <w:r w:rsidR="00921454" w:rsidRPr="00A52AB8">
        <w:tab/>
        <w:t>stringByte[ posByte++ ]</w:t>
      </w:r>
      <w:r w:rsidR="00D47707" w:rsidRPr="00A52AB8">
        <w:t> = </w:t>
      </w:r>
      <w:r w:rsidR="00921454" w:rsidRPr="00A52AB8">
        <w:t>AuxTileWidth[ i ]</w:t>
      </w:r>
      <w:r w:rsidR="008768E9" w:rsidRPr="00A52AB8">
        <w:t> &amp;&amp; </w:t>
      </w:r>
      <w:r w:rsidR="00921454" w:rsidRPr="00A52AB8">
        <w:t>0xFF</w:t>
      </w:r>
      <w:r w:rsidR="00921454" w:rsidRPr="00A52AB8">
        <w:br/>
      </w:r>
      <w:r w:rsidR="00921454" w:rsidRPr="00A52AB8">
        <w:tab/>
      </w:r>
      <w:r w:rsidR="00921454" w:rsidRPr="00A52AB8">
        <w:tab/>
      </w:r>
      <w:r w:rsidR="00921454" w:rsidRPr="00A52AB8">
        <w:tab/>
        <w:t>stringByte[ posByte++ ]</w:t>
      </w:r>
      <w:r w:rsidR="00D47707" w:rsidRPr="00A52AB8">
        <w:t> = </w:t>
      </w:r>
      <w:r w:rsidR="00921454" w:rsidRPr="00A52AB8">
        <w:t>(AuxTileWidth[ i ] &gt;&gt; 8 )&amp;&amp; 0xFF</w:t>
      </w:r>
      <w:r w:rsidR="00921454" w:rsidRPr="00A52AB8">
        <w:br/>
      </w:r>
      <w:r w:rsidR="00921454" w:rsidRPr="00A52AB8">
        <w:tab/>
      </w:r>
      <w:r w:rsidR="00921454" w:rsidRPr="00A52AB8">
        <w:tab/>
      </w:r>
      <w:r w:rsidR="00921454" w:rsidRPr="00A52AB8">
        <w:tab/>
        <w:t>stringByte[ posByte++ ]</w:t>
      </w:r>
      <w:r w:rsidR="00D47707" w:rsidRPr="00A52AB8">
        <w:t> = </w:t>
      </w:r>
      <w:r w:rsidR="00921454" w:rsidRPr="00A52AB8">
        <w:t>AuxTileHeight[ i ]</w:t>
      </w:r>
      <w:r w:rsidR="008768E9" w:rsidRPr="00A52AB8">
        <w:t> &amp;&amp; </w:t>
      </w:r>
      <w:r w:rsidR="00921454" w:rsidRPr="00A52AB8">
        <w:t>0xFF</w:t>
      </w:r>
      <w:r w:rsidR="00921454" w:rsidRPr="00A52AB8">
        <w:br/>
      </w:r>
      <w:r w:rsidR="00921454" w:rsidRPr="00A52AB8">
        <w:tab/>
      </w:r>
      <w:r w:rsidR="00921454" w:rsidRPr="00A52AB8">
        <w:tab/>
      </w:r>
      <w:r w:rsidR="00921454" w:rsidRPr="00A52AB8">
        <w:tab/>
        <w:t>stringByte[ posByte++ ]</w:t>
      </w:r>
      <w:r w:rsidR="00D47707" w:rsidRPr="00A52AB8">
        <w:t> = </w:t>
      </w:r>
      <w:r w:rsidR="00921454" w:rsidRPr="00A52AB8">
        <w:t>(AuxTileHeight[ i ] &gt;&gt; 8 )&amp;&amp; 0xFF</w:t>
      </w:r>
      <w:r w:rsidR="00921454" w:rsidRPr="00A52AB8">
        <w:br/>
      </w:r>
      <w:r w:rsidR="00921454" w:rsidRPr="00A52AB8">
        <w:tab/>
      </w:r>
      <w:r w:rsidR="00921454" w:rsidRPr="00A52AB8">
        <w:tab/>
      </w:r>
      <w:r w:rsidR="00921454" w:rsidRPr="00A52AB8">
        <w:tab/>
        <w:t>stringByte[ posByte++ ]</w:t>
      </w:r>
      <w:r w:rsidR="00D47707" w:rsidRPr="00A52AB8">
        <w:t> = </w:t>
      </w:r>
      <w:r w:rsidR="00921454" w:rsidRPr="00A52AB8">
        <w:t>afti_tile_id[ i ]</w:t>
      </w:r>
      <w:r w:rsidR="008768E9" w:rsidRPr="00A52AB8">
        <w:t> &amp;&amp; </w:t>
      </w:r>
      <w:r w:rsidR="00921454" w:rsidRPr="00A52AB8">
        <w:t>0xFF</w:t>
      </w:r>
      <w:r w:rsidR="00921454" w:rsidRPr="00A52AB8">
        <w:br/>
      </w:r>
      <w:r w:rsidR="00921454" w:rsidRPr="00A52AB8">
        <w:tab/>
      </w:r>
      <w:r w:rsidR="00921454" w:rsidRPr="00A52AB8">
        <w:tab/>
      </w:r>
      <w:r w:rsidR="00921454" w:rsidRPr="00A52AB8">
        <w:tab/>
        <w:t>stringByte[ posByte++ ]</w:t>
      </w:r>
      <w:r w:rsidR="00D47707" w:rsidRPr="00A52AB8">
        <w:t> = </w:t>
      </w:r>
      <w:r w:rsidR="00921454" w:rsidRPr="00A52AB8">
        <w:t>(afti_tile_id[ i ] &gt;&gt; 8 )&amp;&amp; 0xFF</w:t>
      </w:r>
      <w:r w:rsidR="00461F41" w:rsidRPr="00A52AB8">
        <w:br/>
      </w:r>
      <w:r w:rsidR="00461F41" w:rsidRPr="00A52AB8">
        <w:tab/>
      </w:r>
      <w:r w:rsidR="00461F41" w:rsidRPr="00A52AB8">
        <w:tab/>
        <w:t>}</w:t>
      </w:r>
      <w:r w:rsidR="00F47C3D" w:rsidRPr="00A52AB8">
        <w:br/>
      </w:r>
      <w:r w:rsidR="00461F41" w:rsidRPr="00A52AB8">
        <w:tab/>
      </w:r>
      <w:r w:rsidR="00461F41" w:rsidRPr="00A52AB8">
        <w:tab/>
        <w:t>return posByte</w:t>
      </w:r>
      <w:r w:rsidR="00461F41" w:rsidRPr="00A52AB8">
        <w:br/>
      </w:r>
      <w:r w:rsidRPr="00A52AB8">
        <w:tab/>
        <w:t>}</w:t>
      </w:r>
    </w:p>
    <w:p w14:paraId="5FE85971" w14:textId="77777777" w:rsidR="006E4434" w:rsidRPr="00A52AB8" w:rsidRDefault="006E4434" w:rsidP="00EE3D19">
      <w:pPr>
        <w:pStyle w:val="a4"/>
        <w:numPr>
          <w:ilvl w:val="5"/>
          <w:numId w:val="19"/>
        </w:numPr>
        <w:tabs>
          <w:tab w:val="clear" w:pos="7200"/>
        </w:tabs>
        <w:outlineLvl w:val="5"/>
      </w:pPr>
      <w:bookmarkStart w:id="6000" w:name="_Ref49091101"/>
      <w:r w:rsidRPr="00A52AB8">
        <w:t>Application-based AFPS level string of bytes</w:t>
      </w:r>
      <w:bookmarkEnd w:id="6000"/>
    </w:p>
    <w:p w14:paraId="6FBC3112" w14:textId="77777777" w:rsidR="006E4434" w:rsidRPr="00A52AB8" w:rsidRDefault="006E4434" w:rsidP="00FB4953">
      <w:r w:rsidRPr="00A52AB8">
        <w:t>Let the function AFPSApplicationByteString( stringByte, posByte ) be defined as follows:</w:t>
      </w:r>
    </w:p>
    <w:p w14:paraId="7A1F3D0C" w14:textId="38CBF462" w:rsidR="006E4434" w:rsidRPr="00A52AB8" w:rsidRDefault="006E4434" w:rsidP="00FB4953">
      <w:pPr>
        <w:tabs>
          <w:tab w:val="clear" w:pos="2016"/>
        </w:tabs>
        <w:spacing w:before="120"/>
      </w:pPr>
      <w:r w:rsidRPr="00A52AB8">
        <w:tab/>
        <w:t>AFPSApplicationByteString( stringByte, posByte </w:t>
      </w:r>
      <w:r w:rsidR="008F1F82" w:rsidRPr="00A52AB8">
        <w:t>) {</w:t>
      </w:r>
      <w:r w:rsidRPr="00A52AB8">
        <w:br/>
      </w:r>
      <w:r w:rsidRPr="00A52AB8">
        <w:tab/>
      </w:r>
      <w:r w:rsidRPr="00A52AB8">
        <w:tab/>
        <w:t>return posByte</w:t>
      </w:r>
      <w:r w:rsidRPr="00A52AB8">
        <w:br/>
      </w:r>
      <w:r w:rsidRPr="00A52AB8">
        <w:tab/>
        <w:t>}</w:t>
      </w:r>
    </w:p>
    <w:p w14:paraId="14D3A43C" w14:textId="6BA727EF" w:rsidR="00842EEB" w:rsidRPr="00A52AB8" w:rsidRDefault="00842EEB" w:rsidP="00EE3D19">
      <w:pPr>
        <w:pStyle w:val="a4"/>
        <w:numPr>
          <w:ilvl w:val="4"/>
          <w:numId w:val="19"/>
        </w:numPr>
        <w:tabs>
          <w:tab w:val="clear" w:pos="7200"/>
        </w:tabs>
        <w:outlineLvl w:val="4"/>
      </w:pPr>
      <w:bookmarkStart w:id="6001" w:name="_Ref49095388"/>
      <w:r w:rsidRPr="00A52AB8">
        <w:t xml:space="preserve">Atlas </w:t>
      </w:r>
      <w:r w:rsidR="00272412" w:rsidRPr="00A52AB8">
        <w:t>i</w:t>
      </w:r>
      <w:r w:rsidRPr="00A52AB8">
        <w:t>nformation string of bytes</w:t>
      </w:r>
      <w:bookmarkEnd w:id="5996"/>
      <w:bookmarkEnd w:id="6001"/>
    </w:p>
    <w:p w14:paraId="16505948" w14:textId="29A38AEB" w:rsidR="0069169A" w:rsidRPr="00A52AB8" w:rsidRDefault="0069169A" w:rsidP="0069169A">
      <w:r w:rsidRPr="00A52AB8">
        <w:t>In</w:t>
      </w:r>
      <w:r w:rsidR="006A79AD" w:rsidRPr="00A52AB8">
        <w:t xml:space="preserve"> this subclause, using </w:t>
      </w:r>
      <w:r w:rsidR="00921454" w:rsidRPr="00A52AB8">
        <w:t>the</w:t>
      </w:r>
      <w:r w:rsidR="006A79AD" w:rsidRPr="00A52AB8">
        <w:t xml:space="preserve"> atlas patch level information parameters, as described in subclause</w:t>
      </w:r>
      <w:r w:rsidR="00895F6E" w:rsidRPr="00A52AB8">
        <w:t> </w:t>
      </w:r>
      <w:r w:rsidR="00921454" w:rsidRPr="00496A4D">
        <w:fldChar w:fldCharType="begin"/>
      </w:r>
      <w:r w:rsidR="00921454" w:rsidRPr="00A52AB8">
        <w:instrText xml:space="preserve"> REF _Ref43981624 \r \h </w:instrText>
      </w:r>
      <w:r w:rsidR="00007BE2" w:rsidRPr="00A52AB8">
        <w:instrText xml:space="preserve"> \* MERGEFORMAT </w:instrText>
      </w:r>
      <w:r w:rsidR="00921454" w:rsidRPr="00496A4D">
        <w:fldChar w:fldCharType="separate"/>
      </w:r>
      <w:r w:rsidR="00507A67">
        <w:t>9.2.7</w:t>
      </w:r>
      <w:r w:rsidR="00921454" w:rsidRPr="00496A4D">
        <w:fldChar w:fldCharType="end"/>
      </w:r>
      <w:r w:rsidR="009F4925" w:rsidRPr="00A52AB8">
        <w:t>,</w:t>
      </w:r>
      <w:r w:rsidR="006A79AD" w:rsidRPr="00A52AB8">
        <w:t xml:space="preserve"> an array, AtlasData, and a variable, AtlasDataBytes, providing the </w:t>
      </w:r>
      <w:r w:rsidR="00D24766" w:rsidRPr="00A52AB8">
        <w:t xml:space="preserve">length </w:t>
      </w:r>
      <w:r w:rsidR="006A79AD" w:rsidRPr="00A52AB8">
        <w:t>of the array in bytes</w:t>
      </w:r>
      <w:r w:rsidR="00E22311" w:rsidRPr="00A52AB8">
        <w:t>,</w:t>
      </w:r>
      <w:r w:rsidR="006A79AD" w:rsidRPr="00A52AB8">
        <w:t xml:space="preserve"> are derived and set as output of this process as </w:t>
      </w:r>
      <w:r w:rsidRPr="00A52AB8">
        <w:rPr>
          <w:lang w:eastAsia="ja-JP"/>
        </w:rPr>
        <w:t>follows</w:t>
      </w:r>
      <w:r w:rsidRPr="00A52AB8">
        <w:rPr>
          <w:color w:val="000000" w:themeColor="text1"/>
        </w:rPr>
        <w:t>:</w:t>
      </w:r>
    </w:p>
    <w:p w14:paraId="4D26EC1B" w14:textId="1024D174" w:rsidR="00921454" w:rsidRPr="00A52AB8" w:rsidRDefault="00CD3F70" w:rsidP="00FB4953">
      <w:pPr>
        <w:tabs>
          <w:tab w:val="clear" w:pos="2016"/>
        </w:tabs>
        <w:spacing w:before="120"/>
      </w:pPr>
      <w:r w:rsidRPr="00A52AB8">
        <w:tab/>
      </w:r>
      <w:r w:rsidR="00352EB7" w:rsidRPr="00A52AB8">
        <w:t>AtlasDataBytes</w:t>
      </w:r>
      <w:r w:rsidR="00D47707" w:rsidRPr="00A52AB8">
        <w:t> = </w:t>
      </w:r>
      <w:r w:rsidR="006A79AD" w:rsidRPr="00A52AB8">
        <w:t>0</w:t>
      </w:r>
      <w:r w:rsidR="008E528D" w:rsidRPr="00A52AB8">
        <w:br/>
      </w:r>
      <w:r w:rsidRPr="00A52AB8">
        <w:tab/>
      </w:r>
      <w:r w:rsidR="006A79AD" w:rsidRPr="00A52AB8">
        <w:t>for( atlasPatchIdx</w:t>
      </w:r>
      <w:r w:rsidR="00D47707" w:rsidRPr="00A52AB8">
        <w:t> = </w:t>
      </w:r>
      <w:r w:rsidR="006A79AD" w:rsidRPr="00A52AB8">
        <w:t>0; atlasPatchIdx &lt; Atlas</w:t>
      </w:r>
      <w:r w:rsidR="00D12C68" w:rsidRPr="00A52AB8">
        <w:t>TotalNum</w:t>
      </w:r>
      <w:r w:rsidR="006A79AD" w:rsidRPr="00A52AB8">
        <w:t>Patches ; atlasPatchIdx++ </w:t>
      </w:r>
      <w:r w:rsidR="008F1F82" w:rsidRPr="00A52AB8">
        <w:t>) {</w:t>
      </w:r>
      <w:r w:rsidR="008E528D" w:rsidRPr="00A52AB8">
        <w:br/>
      </w:r>
      <w:r w:rsidR="008E528D" w:rsidRPr="00A52AB8">
        <w:tab/>
      </w:r>
      <w:r w:rsidR="008E528D" w:rsidRPr="00A52AB8">
        <w:tab/>
      </w:r>
      <w:r w:rsidR="00352EB7" w:rsidRPr="00A52AB8">
        <w:t>AtlasDataBytes</w:t>
      </w:r>
      <w:r w:rsidR="00D47707" w:rsidRPr="00A52AB8">
        <w:t> = </w:t>
      </w:r>
      <w:r w:rsidR="006A79AD" w:rsidRPr="00A52AB8">
        <w:t>AtlasPatch</w:t>
      </w:r>
      <w:r w:rsidR="00352EB7" w:rsidRPr="00A52AB8">
        <w:t>Common</w:t>
      </w:r>
      <w:r w:rsidR="008148FF" w:rsidRPr="00A52AB8">
        <w:t>ByteString</w:t>
      </w:r>
      <w:r w:rsidR="006A79AD" w:rsidRPr="00A52AB8">
        <w:t>( </w:t>
      </w:r>
      <w:r w:rsidR="00352EB7" w:rsidRPr="00A52AB8">
        <w:t>AtlasData, AtlasDataBytes, atlasPatchIdx )</w:t>
      </w:r>
      <w:r w:rsidR="006A79AD" w:rsidRPr="00A52AB8">
        <w:br/>
      </w:r>
      <w:r w:rsidR="006A79AD" w:rsidRPr="00A52AB8">
        <w:tab/>
      </w:r>
      <w:r w:rsidRPr="00A52AB8">
        <w:tab/>
      </w:r>
      <w:r w:rsidR="00352EB7" w:rsidRPr="00A52AB8">
        <w:t>AtlasDataBytes</w:t>
      </w:r>
      <w:r w:rsidR="00D47707" w:rsidRPr="00A52AB8">
        <w:t> = </w:t>
      </w:r>
      <w:r w:rsidR="006A79AD" w:rsidRPr="00A52AB8">
        <w:t>A</w:t>
      </w:r>
      <w:r w:rsidR="007E2A6F" w:rsidRPr="00A52AB8">
        <w:t>tlas</w:t>
      </w:r>
      <w:r w:rsidR="006A79AD" w:rsidRPr="00A52AB8">
        <w:t>Patch</w:t>
      </w:r>
      <w:r w:rsidR="00352EB7" w:rsidRPr="00A52AB8">
        <w:t>Application</w:t>
      </w:r>
      <w:r w:rsidR="008148FF" w:rsidRPr="00A52AB8">
        <w:t>ByteString</w:t>
      </w:r>
      <w:r w:rsidR="006A79AD" w:rsidRPr="00A52AB8">
        <w:t>(</w:t>
      </w:r>
      <w:r w:rsidR="00352EB7" w:rsidRPr="00A52AB8">
        <w:t> AtlasData, AtlasDataBytes,</w:t>
      </w:r>
      <w:r w:rsidR="006A79AD" w:rsidRPr="00A52AB8">
        <w:t> atlasPatchIdx</w:t>
      </w:r>
      <w:r w:rsidR="00352EB7" w:rsidRPr="00A52AB8">
        <w:t> </w:t>
      </w:r>
      <w:r w:rsidR="006A79AD" w:rsidRPr="00A52AB8">
        <w:t>)</w:t>
      </w:r>
      <w:r w:rsidR="006A79AD" w:rsidRPr="00A52AB8">
        <w:br/>
      </w:r>
      <w:r w:rsidRPr="00A52AB8">
        <w:tab/>
      </w:r>
      <w:r w:rsidR="006A79AD" w:rsidRPr="00A52AB8">
        <w:t>}</w:t>
      </w:r>
    </w:p>
    <w:p w14:paraId="56C746D4" w14:textId="4F6D1603" w:rsidR="006A79AD" w:rsidRPr="00A52AB8" w:rsidRDefault="00921454" w:rsidP="004A6049">
      <w:pPr>
        <w:rPr>
          <w:lang w:eastAsia="ja-JP"/>
        </w:rPr>
      </w:pPr>
      <w:r w:rsidRPr="00A52AB8">
        <w:rPr>
          <w:lang w:eastAsia="ja-JP"/>
        </w:rPr>
        <w:t>where the functions AtlasPatchCommon</w:t>
      </w:r>
      <w:r w:rsidRPr="00A52AB8">
        <w:rPr>
          <w:color w:val="000000" w:themeColor="text1"/>
        </w:rPr>
        <w:t xml:space="preserve">ByteString and </w:t>
      </w:r>
      <w:r w:rsidRPr="00A52AB8">
        <w:rPr>
          <w:lang w:eastAsia="ja-JP"/>
        </w:rPr>
        <w:t>AtlasPatchApplication</w:t>
      </w:r>
      <w:r w:rsidRPr="00A52AB8">
        <w:rPr>
          <w:color w:val="000000" w:themeColor="text1"/>
        </w:rPr>
        <w:t>ByteString</w:t>
      </w:r>
      <w:r w:rsidRPr="00A52AB8">
        <w:rPr>
          <w:lang w:eastAsia="ja-JP"/>
        </w:rPr>
        <w:t xml:space="preserve"> are defined in subclauses</w:t>
      </w:r>
      <w:r w:rsidR="00895F6E" w:rsidRPr="00A52AB8">
        <w:rPr>
          <w:lang w:eastAsia="ja-JP"/>
        </w:rPr>
        <w:t> </w:t>
      </w:r>
      <w:r w:rsidRPr="00496A4D">
        <w:rPr>
          <w:lang w:eastAsia="ja-JP"/>
        </w:rPr>
        <w:fldChar w:fldCharType="begin"/>
      </w:r>
      <w:r w:rsidRPr="00A52AB8">
        <w:rPr>
          <w:lang w:eastAsia="ja-JP"/>
        </w:rPr>
        <w:instrText xml:space="preserve"> REF _Ref49091515 \r \h </w:instrText>
      </w:r>
      <w:r w:rsidR="00007BE2" w:rsidRPr="00A52AB8">
        <w:rPr>
          <w:lang w:eastAsia="ja-JP"/>
        </w:rPr>
        <w:instrText xml:space="preserve"> \* MERGEFORMAT </w:instrText>
      </w:r>
      <w:r w:rsidRPr="00496A4D">
        <w:rPr>
          <w:lang w:eastAsia="ja-JP"/>
        </w:rPr>
      </w:r>
      <w:r w:rsidRPr="00496A4D">
        <w:rPr>
          <w:lang w:eastAsia="ja-JP"/>
        </w:rPr>
        <w:fldChar w:fldCharType="separate"/>
      </w:r>
      <w:r w:rsidR="00507A67">
        <w:rPr>
          <w:lang w:eastAsia="ja-JP"/>
        </w:rPr>
        <w:t>F.3.16.2.3.1</w:t>
      </w:r>
      <w:r w:rsidRPr="00496A4D">
        <w:rPr>
          <w:lang w:eastAsia="ja-JP"/>
        </w:rPr>
        <w:fldChar w:fldCharType="end"/>
      </w:r>
      <w:r w:rsidR="008D1CF1" w:rsidRPr="00A52AB8">
        <w:rPr>
          <w:lang w:eastAsia="ja-JP"/>
        </w:rPr>
        <w:t xml:space="preserve"> and </w:t>
      </w:r>
      <w:r w:rsidRPr="00496A4D">
        <w:rPr>
          <w:lang w:eastAsia="ja-JP"/>
        </w:rPr>
        <w:fldChar w:fldCharType="begin"/>
      </w:r>
      <w:r w:rsidRPr="00A52AB8">
        <w:rPr>
          <w:lang w:eastAsia="ja-JP"/>
        </w:rPr>
        <w:instrText xml:space="preserve"> REF _Ref49091517 \r \h </w:instrText>
      </w:r>
      <w:r w:rsidR="00007BE2" w:rsidRPr="00A52AB8">
        <w:rPr>
          <w:lang w:eastAsia="ja-JP"/>
        </w:rPr>
        <w:instrText xml:space="preserve"> \* MERGEFORMAT </w:instrText>
      </w:r>
      <w:r w:rsidRPr="00496A4D">
        <w:rPr>
          <w:lang w:eastAsia="ja-JP"/>
        </w:rPr>
      </w:r>
      <w:r w:rsidRPr="00496A4D">
        <w:rPr>
          <w:lang w:eastAsia="ja-JP"/>
        </w:rPr>
        <w:fldChar w:fldCharType="separate"/>
      </w:r>
      <w:r w:rsidR="00507A67">
        <w:rPr>
          <w:lang w:eastAsia="ja-JP"/>
        </w:rPr>
        <w:t>F.3.16.2.3.2</w:t>
      </w:r>
      <w:r w:rsidRPr="00496A4D">
        <w:rPr>
          <w:lang w:eastAsia="ja-JP"/>
        </w:rPr>
        <w:fldChar w:fldCharType="end"/>
      </w:r>
      <w:r w:rsidRPr="00A52AB8">
        <w:rPr>
          <w:lang w:eastAsia="ja-JP"/>
        </w:rPr>
        <w:t>, respectively.</w:t>
      </w:r>
    </w:p>
    <w:p w14:paraId="35F51553" w14:textId="77777777" w:rsidR="004525B6" w:rsidRPr="00A52AB8" w:rsidRDefault="00CC25B9" w:rsidP="00EE3D19">
      <w:pPr>
        <w:pStyle w:val="a4"/>
        <w:numPr>
          <w:ilvl w:val="5"/>
          <w:numId w:val="19"/>
        </w:numPr>
        <w:tabs>
          <w:tab w:val="clear" w:pos="7200"/>
        </w:tabs>
        <w:outlineLvl w:val="5"/>
      </w:pPr>
      <w:bookmarkStart w:id="6002" w:name="_Ref49091515"/>
      <w:r w:rsidRPr="00A52AB8">
        <w:t>Common atlas p</w:t>
      </w:r>
      <w:r w:rsidR="004525B6" w:rsidRPr="00A52AB8">
        <w:t>atch string of bytes</w:t>
      </w:r>
      <w:bookmarkEnd w:id="6002"/>
    </w:p>
    <w:p w14:paraId="534CC5E0" w14:textId="52FD3B85" w:rsidR="008238EA" w:rsidRPr="00A52AB8" w:rsidRDefault="008238EA" w:rsidP="00FB4953">
      <w:r w:rsidRPr="00A52AB8">
        <w:rPr>
          <w:highlight w:val="yellow"/>
        </w:rPr>
        <w:t>[Ed.(BK): Rename this clause to avoid ambiguity with common atlas data.]</w:t>
      </w:r>
    </w:p>
    <w:p w14:paraId="163FD09F" w14:textId="55D479AD" w:rsidR="006A1185" w:rsidRPr="00A52AB8" w:rsidRDefault="006A1185" w:rsidP="00FB4953">
      <w:r w:rsidRPr="00A52AB8">
        <w:t>Let the function AtlasPatchCommonByteString( stringByte, posByte</w:t>
      </w:r>
      <w:r w:rsidR="00AE7C1B" w:rsidRPr="00A52AB8">
        <w:t>, p </w:t>
      </w:r>
      <w:r w:rsidRPr="00A52AB8">
        <w:t>) be defined as follows:</w:t>
      </w:r>
    </w:p>
    <w:p w14:paraId="2731FACB" w14:textId="7E21B041" w:rsidR="009F4925" w:rsidRPr="00A52AB8" w:rsidRDefault="006A1185" w:rsidP="00FB4953">
      <w:pPr>
        <w:tabs>
          <w:tab w:val="clear" w:pos="1210"/>
          <w:tab w:val="clear" w:pos="1613"/>
          <w:tab w:val="clear" w:pos="2016"/>
        </w:tabs>
        <w:spacing w:before="120"/>
      </w:pPr>
      <w:r w:rsidRPr="00A52AB8">
        <w:tab/>
      </w:r>
      <w:r w:rsidR="00AE7C1B" w:rsidRPr="00A52AB8">
        <w:t>AtlasPatchCommonByteString( stringByte, posByte, p </w:t>
      </w:r>
      <w:r w:rsidR="008F1F82" w:rsidRPr="00A52AB8">
        <w:t>) {</w:t>
      </w:r>
      <w:r w:rsidR="00AE7C1B" w:rsidRPr="00A52AB8">
        <w:br/>
      </w:r>
      <w:r w:rsidR="00AE7C1B" w:rsidRPr="00A52AB8">
        <w:tab/>
      </w:r>
      <w:r w:rsidRPr="00A52AB8">
        <w:tab/>
      </w:r>
      <w:r w:rsidR="00AE7C1B" w:rsidRPr="00A52AB8">
        <w:t>stringByte[ posByte++ ]</w:t>
      </w:r>
      <w:r w:rsidR="00D47707" w:rsidRPr="00A52AB8">
        <w:t> = </w:t>
      </w:r>
      <w:r w:rsidRPr="00A52AB8">
        <w:t>AtlasPatchType[ p ] &amp; 0xFF</w:t>
      </w:r>
      <w:r w:rsidR="00AE7C1B" w:rsidRPr="00A52AB8">
        <w:br/>
      </w:r>
      <w:r w:rsidRPr="00A52AB8">
        <w:br/>
      </w:r>
      <w:r w:rsidR="00AE7C1B" w:rsidRPr="00A52AB8">
        <w:tab/>
      </w:r>
      <w:r w:rsidRPr="00A52AB8">
        <w:tab/>
      </w:r>
      <w:r w:rsidR="00AE7C1B" w:rsidRPr="00A52AB8">
        <w:t>stringByte[ posByte++ ]</w:t>
      </w:r>
      <w:r w:rsidR="00D47707" w:rsidRPr="00A52AB8">
        <w:t> = </w:t>
      </w:r>
      <w:r w:rsidRPr="00A52AB8">
        <w:t>AtlasPatch2dPosX[ p ] &amp; 0xFF</w:t>
      </w:r>
      <w:r w:rsidRPr="00A52AB8">
        <w:br/>
      </w:r>
      <w:r w:rsidRPr="00A52AB8">
        <w:tab/>
      </w:r>
      <w:r w:rsidR="00AE7C1B" w:rsidRPr="00A52AB8">
        <w:tab/>
        <w:t>stringByte[ posByte++ ]</w:t>
      </w:r>
      <w:r w:rsidR="00D47707" w:rsidRPr="00A52AB8">
        <w:t> = </w:t>
      </w:r>
      <w:r w:rsidRPr="00A52AB8">
        <w:t>( AtlasPatch2dPosX[ p ] &gt;&gt; 8 ) &amp; 0xFF</w:t>
      </w:r>
      <w:r w:rsidRPr="00A52AB8">
        <w:br/>
      </w:r>
      <w:r w:rsidR="00AE7C1B" w:rsidRPr="00A52AB8">
        <w:tab/>
      </w:r>
      <w:r w:rsidRPr="00A52AB8">
        <w:tab/>
      </w:r>
      <w:r w:rsidR="00AE7C1B" w:rsidRPr="00A52AB8">
        <w:t>stringByte[ posByte++ ]</w:t>
      </w:r>
      <w:r w:rsidR="00D47707" w:rsidRPr="00A52AB8">
        <w:t> = </w:t>
      </w:r>
      <w:r w:rsidRPr="00A52AB8">
        <w:t>AtlasPatch2dPosY[ p ] &amp; 0xFF</w:t>
      </w:r>
      <w:r w:rsidRPr="00A52AB8">
        <w:br/>
      </w:r>
      <w:r w:rsidRPr="00A52AB8">
        <w:tab/>
      </w:r>
      <w:r w:rsidR="00AE7C1B" w:rsidRPr="00A52AB8">
        <w:tab/>
        <w:t>stringByte[ posByte++ ]</w:t>
      </w:r>
      <w:r w:rsidR="00D47707" w:rsidRPr="00A52AB8">
        <w:t> = </w:t>
      </w:r>
      <w:r w:rsidRPr="00A52AB8">
        <w:t>( AtlasPatch2dPosY[ p ] &gt;&gt; 8 ) &amp; 0xFF</w:t>
      </w:r>
      <w:r w:rsidRPr="00A52AB8">
        <w:br/>
      </w:r>
      <w:r w:rsidR="00AE7C1B" w:rsidRPr="00A52AB8">
        <w:br/>
      </w:r>
      <w:r w:rsidR="00AE7C1B" w:rsidRPr="00A52AB8">
        <w:tab/>
      </w:r>
      <w:r w:rsidRPr="00A52AB8">
        <w:tab/>
      </w:r>
      <w:r w:rsidR="00AE7C1B" w:rsidRPr="00A52AB8">
        <w:t>stringByte[ posByte++ ]</w:t>
      </w:r>
      <w:r w:rsidR="00D47707" w:rsidRPr="00A52AB8">
        <w:t> = </w:t>
      </w:r>
      <w:r w:rsidRPr="00A52AB8">
        <w:t>AtlasPatch2dSizeX[ p ] &amp; 0xFF</w:t>
      </w:r>
      <w:r w:rsidRPr="00A52AB8">
        <w:br/>
      </w:r>
      <w:r w:rsidRPr="00A52AB8">
        <w:tab/>
      </w:r>
      <w:r w:rsidR="00AE7C1B" w:rsidRPr="00A52AB8">
        <w:tab/>
        <w:t>stringByte[ posByte++ ]</w:t>
      </w:r>
      <w:r w:rsidR="00D47707" w:rsidRPr="00A52AB8">
        <w:t> = </w:t>
      </w:r>
      <w:r w:rsidRPr="00A52AB8">
        <w:t>( AtlasPatch2dSizeX[ p ] &gt;&gt; 8 ) &amp; 0xFF</w:t>
      </w:r>
      <w:r w:rsidRPr="00A52AB8">
        <w:br/>
      </w:r>
      <w:r w:rsidR="00AE7C1B" w:rsidRPr="00A52AB8">
        <w:tab/>
      </w:r>
      <w:r w:rsidRPr="00A52AB8">
        <w:tab/>
      </w:r>
      <w:r w:rsidR="00AE7C1B" w:rsidRPr="00A52AB8">
        <w:t>stringByte[ posByte++ ]</w:t>
      </w:r>
      <w:r w:rsidR="00D47707" w:rsidRPr="00A52AB8">
        <w:t> = </w:t>
      </w:r>
      <w:r w:rsidRPr="00A52AB8">
        <w:t>AtlasPatch2dSizeY[ p ] &amp; 0xFF</w:t>
      </w:r>
      <w:r w:rsidRPr="00A52AB8">
        <w:br/>
      </w:r>
      <w:r w:rsidRPr="00A52AB8">
        <w:tab/>
      </w:r>
      <w:r w:rsidR="00AE7C1B" w:rsidRPr="00A52AB8">
        <w:tab/>
        <w:t>stringByte[ posByte++ ]</w:t>
      </w:r>
      <w:r w:rsidR="00D47707" w:rsidRPr="00A52AB8">
        <w:t> = </w:t>
      </w:r>
      <w:r w:rsidRPr="00A52AB8">
        <w:t>( AtlasPatch2dSizeY[ p ] &gt;&gt; 8 ) &amp; 0xFF</w:t>
      </w:r>
      <w:r w:rsidRPr="00A52AB8">
        <w:br/>
      </w:r>
      <w:r w:rsidR="00AE7C1B" w:rsidRPr="00A52AB8">
        <w:br/>
      </w:r>
      <w:r w:rsidR="00AE7C1B" w:rsidRPr="00A52AB8">
        <w:tab/>
      </w:r>
      <w:r w:rsidRPr="00A52AB8">
        <w:tab/>
      </w:r>
      <w:r w:rsidR="00AE7C1B" w:rsidRPr="00A52AB8">
        <w:t>stringByte[ posByte++ ]</w:t>
      </w:r>
      <w:r w:rsidR="00D47707" w:rsidRPr="00A52AB8">
        <w:t> = </w:t>
      </w:r>
      <w:r w:rsidRPr="00A52AB8">
        <w:t>AtlasPatch3dOffsetU[ p ] &amp; 0xFF</w:t>
      </w:r>
      <w:r w:rsidRPr="00A52AB8">
        <w:br/>
      </w:r>
      <w:r w:rsidRPr="00A52AB8">
        <w:tab/>
      </w:r>
      <w:r w:rsidR="00AE7C1B" w:rsidRPr="00A52AB8">
        <w:tab/>
        <w:t>stringByte[ posByte++ ]</w:t>
      </w:r>
      <w:r w:rsidR="00D47707" w:rsidRPr="00A52AB8">
        <w:t> = </w:t>
      </w:r>
      <w:r w:rsidRPr="00A52AB8">
        <w:t>( AtlasPatch3dOffsetU[ p ] &gt;&gt; 8 ) &amp; 0xFF</w:t>
      </w:r>
      <w:r w:rsidRPr="00A52AB8">
        <w:br/>
      </w:r>
      <w:r w:rsidRPr="00A52AB8">
        <w:tab/>
      </w:r>
      <w:r w:rsidR="00AE7C1B" w:rsidRPr="00A52AB8">
        <w:tab/>
        <w:t>stringByte[ posByte++ ]</w:t>
      </w:r>
      <w:r w:rsidR="00D47707" w:rsidRPr="00A52AB8">
        <w:t> = </w:t>
      </w:r>
      <w:r w:rsidRPr="00A52AB8">
        <w:t>AtlasPatch3dOffsetV[ p ] &amp; 0xFF</w:t>
      </w:r>
      <w:r w:rsidRPr="00A52AB8">
        <w:br/>
      </w:r>
      <w:r w:rsidRPr="00A52AB8">
        <w:tab/>
      </w:r>
      <w:r w:rsidR="00AE7C1B" w:rsidRPr="00A52AB8">
        <w:tab/>
        <w:t>stringByte[ posByte++ ]</w:t>
      </w:r>
      <w:r w:rsidR="00D47707" w:rsidRPr="00A52AB8">
        <w:t> = </w:t>
      </w:r>
      <w:r w:rsidRPr="00A52AB8">
        <w:t>( AtlasPatch3dOffsetV[ p ] &gt;&gt; 8 ) &amp; 0xFF</w:t>
      </w:r>
      <w:r w:rsidRPr="00A52AB8">
        <w:br/>
      </w:r>
      <w:r w:rsidRPr="00A52AB8">
        <w:tab/>
      </w:r>
      <w:r w:rsidR="00AE7C1B" w:rsidRPr="00A52AB8">
        <w:tab/>
        <w:t>stringByte[ posByte++ ]</w:t>
      </w:r>
      <w:r w:rsidR="00D47707" w:rsidRPr="00A52AB8">
        <w:t> = </w:t>
      </w:r>
      <w:r w:rsidRPr="00A52AB8">
        <w:t>AtlasPatch3dOffsetV[ p ] &amp; 0xFF</w:t>
      </w:r>
      <w:r w:rsidRPr="00A52AB8">
        <w:br/>
      </w:r>
      <w:r w:rsidRPr="00A52AB8">
        <w:tab/>
      </w:r>
      <w:r w:rsidR="00AE7C1B" w:rsidRPr="00A52AB8">
        <w:tab/>
        <w:t>stringByte[ posByte++ ]</w:t>
      </w:r>
      <w:r w:rsidR="00D47707" w:rsidRPr="00A52AB8">
        <w:t> = </w:t>
      </w:r>
      <w:r w:rsidRPr="00A52AB8">
        <w:t>( AtlasPatch3dOffsetV[ p ] &gt;&gt; 8 ) &amp; 0xFF</w:t>
      </w:r>
      <w:r w:rsidRPr="00A52AB8">
        <w:br/>
      </w:r>
      <w:r w:rsidRPr="00A52AB8">
        <w:tab/>
      </w:r>
      <w:r w:rsidR="00AE7C1B" w:rsidRPr="00A52AB8">
        <w:tab/>
        <w:t>stringByte[ posByte++ ]</w:t>
      </w:r>
      <w:r w:rsidR="00D47707" w:rsidRPr="00A52AB8">
        <w:t> = </w:t>
      </w:r>
      <w:r w:rsidRPr="00A52AB8">
        <w:t>AtlasPatch3dOffsetD[ p ] &amp; 0xFF</w:t>
      </w:r>
      <w:r w:rsidRPr="00A52AB8">
        <w:br/>
      </w:r>
      <w:r w:rsidRPr="00A52AB8">
        <w:tab/>
      </w:r>
      <w:r w:rsidR="00AE7C1B" w:rsidRPr="00A52AB8">
        <w:tab/>
        <w:t>stringByte[ posByte++ ]</w:t>
      </w:r>
      <w:r w:rsidR="00D47707" w:rsidRPr="00A52AB8">
        <w:t> = </w:t>
      </w:r>
      <w:r w:rsidRPr="00A52AB8">
        <w:t>( AtlasPatch3dOffsetD[ p ] &gt;&gt; 8 ) &amp; 0xFF</w:t>
      </w:r>
      <w:r w:rsidRPr="00A52AB8">
        <w:br/>
      </w:r>
      <w:r w:rsidRPr="00A52AB8">
        <w:tab/>
      </w:r>
      <w:r w:rsidR="00AE7C1B" w:rsidRPr="00A52AB8">
        <w:tab/>
        <w:t>stringByte[ posByte++ ]</w:t>
      </w:r>
      <w:r w:rsidR="00D47707" w:rsidRPr="00A52AB8">
        <w:t> = </w:t>
      </w:r>
      <w:r w:rsidRPr="00A52AB8">
        <w:t>AtlasPatch3dRangeD[ p ] &amp; 0xFF</w:t>
      </w:r>
      <w:r w:rsidRPr="00A52AB8">
        <w:br/>
      </w:r>
      <w:r w:rsidRPr="00A52AB8">
        <w:tab/>
      </w:r>
      <w:r w:rsidR="00AE7C1B" w:rsidRPr="00A52AB8">
        <w:tab/>
        <w:t>stringByte[ posByte++ ]</w:t>
      </w:r>
      <w:r w:rsidR="00D47707" w:rsidRPr="00A52AB8">
        <w:t> = </w:t>
      </w:r>
      <w:r w:rsidRPr="00A52AB8">
        <w:t>( AtlasPatch3dRangeD[ p ] &gt;&gt; 8 ) &amp; 0xFF</w:t>
      </w:r>
      <w:r w:rsidRPr="00A52AB8">
        <w:br/>
      </w:r>
      <w:r w:rsidR="00E22311" w:rsidRPr="00A52AB8">
        <w:br/>
      </w:r>
      <w:r w:rsidR="00E22311" w:rsidRPr="00A52AB8">
        <w:tab/>
      </w:r>
      <w:r w:rsidR="00E22311" w:rsidRPr="00A52AB8">
        <w:tab/>
        <w:t>stringByte[ posByte++ ]</w:t>
      </w:r>
      <w:r w:rsidR="00D47707" w:rsidRPr="00A52AB8">
        <w:t> = </w:t>
      </w:r>
      <w:r w:rsidR="00E22311" w:rsidRPr="00A52AB8">
        <w:rPr>
          <w:color w:val="000000" w:themeColor="text1"/>
        </w:rPr>
        <w:t>AtlasPatchProjectionID</w:t>
      </w:r>
      <w:r w:rsidR="00E22311" w:rsidRPr="00A52AB8">
        <w:t>[ p ] &amp; 0xFF</w:t>
      </w:r>
      <w:r w:rsidR="00E22311" w:rsidRPr="00A52AB8">
        <w:br/>
      </w:r>
      <w:r w:rsidR="00E22311" w:rsidRPr="00A52AB8">
        <w:tab/>
      </w:r>
      <w:r w:rsidR="00E22311" w:rsidRPr="00A52AB8">
        <w:tab/>
        <w:t>stringByte[ posByte++ ]</w:t>
      </w:r>
      <w:r w:rsidR="00D47707" w:rsidRPr="00A52AB8">
        <w:t> = </w:t>
      </w:r>
      <w:r w:rsidR="00E22311" w:rsidRPr="00A52AB8">
        <w:t>AtlasPatchOrientationIndex[ p ] &amp; 0xFF</w:t>
      </w:r>
      <w:r w:rsidR="00AE7C1B" w:rsidRPr="00A52AB8">
        <w:br/>
      </w:r>
      <w:r w:rsidRPr="00A52AB8">
        <w:br/>
      </w:r>
      <w:r w:rsidRPr="00A52AB8">
        <w:tab/>
      </w:r>
      <w:r w:rsidR="00AE7C1B" w:rsidRPr="00A52AB8">
        <w:tab/>
        <w:t>stringByte[ posByte++ ]</w:t>
      </w:r>
      <w:r w:rsidR="00D47707" w:rsidRPr="00A52AB8">
        <w:t> = </w:t>
      </w:r>
      <w:r w:rsidRPr="00A52AB8">
        <w:t>AtlasPatchLoDScaleX[ p ] &amp; 0xFF</w:t>
      </w:r>
      <w:r w:rsidRPr="00A52AB8">
        <w:br/>
      </w:r>
      <w:r w:rsidR="00AE7C1B" w:rsidRPr="00A52AB8">
        <w:tab/>
      </w:r>
      <w:r w:rsidRPr="00A52AB8">
        <w:tab/>
      </w:r>
      <w:r w:rsidR="00AE7C1B" w:rsidRPr="00A52AB8">
        <w:t>stringByte[ posByte++ ]</w:t>
      </w:r>
      <w:r w:rsidR="00D47707" w:rsidRPr="00A52AB8">
        <w:t> = </w:t>
      </w:r>
      <w:r w:rsidRPr="00A52AB8">
        <w:t>( AtlasPatchLoDScaleX[ p ] &gt;&gt; 8 ) &amp; 0xFF</w:t>
      </w:r>
      <w:r w:rsidRPr="00A52AB8">
        <w:br/>
      </w:r>
      <w:r w:rsidR="00AE7C1B" w:rsidRPr="00A52AB8">
        <w:tab/>
      </w:r>
      <w:r w:rsidRPr="00A52AB8">
        <w:tab/>
      </w:r>
      <w:r w:rsidR="00AE7C1B" w:rsidRPr="00A52AB8">
        <w:t>stringByte[ posByte++ ]</w:t>
      </w:r>
      <w:r w:rsidR="00D47707" w:rsidRPr="00A52AB8">
        <w:t> = </w:t>
      </w:r>
      <w:r w:rsidRPr="00A52AB8">
        <w:t>AtlasPatchLoDScaleY[ p ] &amp; 0xFF</w:t>
      </w:r>
      <w:r w:rsidRPr="00A52AB8">
        <w:br/>
      </w:r>
      <w:r w:rsidRPr="00A52AB8">
        <w:tab/>
      </w:r>
      <w:r w:rsidR="00AE7C1B" w:rsidRPr="00A52AB8">
        <w:tab/>
        <w:t>stringByte[ posByte++ ]</w:t>
      </w:r>
      <w:r w:rsidR="00D47707" w:rsidRPr="00A52AB8">
        <w:t> = </w:t>
      </w:r>
      <w:r w:rsidRPr="00A52AB8">
        <w:t>( AtlasPatchLoDScaleY[ p ] &gt;&gt; 8 ) &amp; 0xFF</w:t>
      </w:r>
      <w:r w:rsidR="00695192" w:rsidRPr="00A52AB8">
        <w:br/>
      </w:r>
      <w:r w:rsidR="00F47C3D" w:rsidRPr="00A52AB8">
        <w:br/>
      </w:r>
      <w:r w:rsidR="00F47C3D" w:rsidRPr="00A52AB8">
        <w:tab/>
      </w:r>
      <w:r w:rsidR="00F47C3D" w:rsidRPr="00A52AB8">
        <w:tab/>
        <w:t>return posByte</w:t>
      </w:r>
      <w:r w:rsidR="00AE7C1B" w:rsidRPr="00A52AB8">
        <w:br/>
      </w:r>
      <w:r w:rsidR="00AE7C1B" w:rsidRPr="00A52AB8">
        <w:tab/>
      </w:r>
      <w:r w:rsidR="009F4925" w:rsidRPr="00A52AB8">
        <w:t>}</w:t>
      </w:r>
    </w:p>
    <w:p w14:paraId="13A7382E" w14:textId="77777777" w:rsidR="004525B6" w:rsidRPr="00A52AB8" w:rsidRDefault="00CC25B9" w:rsidP="00EE3D19">
      <w:pPr>
        <w:pStyle w:val="a4"/>
        <w:numPr>
          <w:ilvl w:val="5"/>
          <w:numId w:val="19"/>
        </w:numPr>
        <w:tabs>
          <w:tab w:val="clear" w:pos="7200"/>
        </w:tabs>
        <w:outlineLvl w:val="5"/>
      </w:pPr>
      <w:bookmarkStart w:id="6003" w:name="_Ref49091517"/>
      <w:r w:rsidRPr="00A52AB8">
        <w:t>Application-based atlas p</w:t>
      </w:r>
      <w:r w:rsidR="004525B6" w:rsidRPr="00A52AB8">
        <w:t>atch string of bytes</w:t>
      </w:r>
      <w:bookmarkEnd w:id="6003"/>
    </w:p>
    <w:p w14:paraId="086D24AF" w14:textId="543C3963" w:rsidR="00AE7C1B" w:rsidRPr="00A52AB8" w:rsidRDefault="00AE7C1B" w:rsidP="00FB4953">
      <w:pPr>
        <w:rPr>
          <w:color w:val="000000" w:themeColor="text1"/>
        </w:rPr>
      </w:pPr>
      <w:r w:rsidRPr="00A52AB8">
        <w:t>Let the function AtlasPatchApplicationByteString( stringByte, posByte, p ) be defined as follows:</w:t>
      </w:r>
    </w:p>
    <w:p w14:paraId="5E25114F" w14:textId="61794D71" w:rsidR="00AE7C1B" w:rsidRPr="00A52AB8" w:rsidRDefault="00AE7C1B" w:rsidP="00007BE2">
      <w:pPr>
        <w:spacing w:before="120"/>
      </w:pPr>
      <w:r w:rsidRPr="00A52AB8">
        <w:tab/>
        <w:t>AtlasPatchApplicationByteString( stringByte, posByte, </w:t>
      </w:r>
      <w:r w:rsidR="00BD53DA" w:rsidRPr="00A52AB8">
        <w:t>p </w:t>
      </w:r>
      <w:r w:rsidR="008F1F82" w:rsidRPr="00A52AB8">
        <w:t>) {</w:t>
      </w:r>
      <w:r w:rsidR="00F47C3D" w:rsidRPr="00A52AB8">
        <w:br/>
      </w:r>
      <w:r w:rsidR="00E803D8" w:rsidRPr="00A52AB8">
        <w:tab/>
      </w:r>
      <w:r w:rsidR="00E803D8" w:rsidRPr="00A52AB8">
        <w:tab/>
        <w:t>stringByte[ posByte++ ]</w:t>
      </w:r>
      <w:r w:rsidR="00D47707" w:rsidRPr="00A52AB8">
        <w:t> = </w:t>
      </w:r>
      <w:r w:rsidR="00E803D8" w:rsidRPr="00A52AB8">
        <w:t>AtlasPatchInAuxVideo</w:t>
      </w:r>
      <w:r w:rsidR="003C56C3" w:rsidRPr="00A52AB8">
        <w:t>[</w:t>
      </w:r>
      <w:r w:rsidR="00E803D8" w:rsidRPr="00A52AB8">
        <w:t> p ] &amp; 0xFF</w:t>
      </w:r>
      <w:r w:rsidR="00E803D8" w:rsidRPr="00A52AB8">
        <w:br/>
      </w:r>
      <w:r w:rsidR="00E803D8" w:rsidRPr="00A52AB8">
        <w:tab/>
      </w:r>
      <w:r w:rsidR="00E803D8" w:rsidRPr="00A52AB8">
        <w:tab/>
      </w:r>
      <w:r w:rsidR="00D63ACE" w:rsidRPr="00A52AB8">
        <w:t>if(</w:t>
      </w:r>
      <w:r w:rsidR="00E803D8" w:rsidRPr="00A52AB8">
        <w:t> AtlasPatchType[ p ] </w:t>
      </w:r>
      <w:r w:rsidR="00726AAE" w:rsidRPr="00A52AB8">
        <w:t>==</w:t>
      </w:r>
      <w:r w:rsidR="00D47707" w:rsidRPr="00A52AB8">
        <w:t> </w:t>
      </w:r>
      <w:r w:rsidR="00E803D8" w:rsidRPr="00A52AB8">
        <w:t>RAW </w:t>
      </w:r>
      <w:r w:rsidR="008F1F82" w:rsidRPr="00A52AB8">
        <w:t>) {</w:t>
      </w:r>
      <w:r w:rsidR="00E803D8" w:rsidRPr="00A52AB8">
        <w:br/>
      </w:r>
      <w:r w:rsidR="00E803D8" w:rsidRPr="00A52AB8">
        <w:tab/>
      </w:r>
      <w:r w:rsidR="00E803D8" w:rsidRPr="00A52AB8">
        <w:tab/>
      </w:r>
      <w:r w:rsidR="00E803D8" w:rsidRPr="00A52AB8">
        <w:tab/>
        <w:t>stringByte[ posByte++ ]</w:t>
      </w:r>
      <w:r w:rsidR="00D47707" w:rsidRPr="00A52AB8">
        <w:t> = </w:t>
      </w:r>
      <w:r w:rsidR="00E803D8" w:rsidRPr="00A52AB8">
        <w:t>AtlasPatchRawPoints</w:t>
      </w:r>
      <w:r w:rsidR="003C56C3" w:rsidRPr="00A52AB8">
        <w:t>[</w:t>
      </w:r>
      <w:r w:rsidR="00E803D8" w:rsidRPr="00A52AB8">
        <w:t> p ] &amp; 0xFF</w:t>
      </w:r>
      <w:r w:rsidR="00E803D8" w:rsidRPr="00A52AB8">
        <w:br/>
      </w:r>
      <w:r w:rsidR="00E803D8" w:rsidRPr="00A52AB8">
        <w:tab/>
      </w:r>
      <w:r w:rsidR="00E803D8" w:rsidRPr="00A52AB8">
        <w:tab/>
      </w:r>
      <w:r w:rsidR="00E803D8" w:rsidRPr="00A52AB8">
        <w:tab/>
        <w:t>stringByte[ posByte++ ]</w:t>
      </w:r>
      <w:r w:rsidR="00D47707" w:rsidRPr="00A52AB8">
        <w:t> = </w:t>
      </w:r>
      <w:r w:rsidR="00E803D8" w:rsidRPr="00A52AB8">
        <w:t>( AtlasPatchRawPoints</w:t>
      </w:r>
      <w:r w:rsidR="003C56C3" w:rsidRPr="00A52AB8">
        <w:t>[</w:t>
      </w:r>
      <w:r w:rsidR="00E803D8" w:rsidRPr="00A52AB8">
        <w:t> p ] &gt;&gt; 8 ) &amp; 0xFF</w:t>
      </w:r>
      <w:r w:rsidR="00E803D8" w:rsidRPr="00A52AB8">
        <w:br/>
      </w:r>
      <w:r w:rsidR="00E803D8" w:rsidRPr="00A52AB8">
        <w:tab/>
      </w:r>
      <w:r w:rsidR="00E803D8" w:rsidRPr="00A52AB8">
        <w:tab/>
        <w:t>} else </w:t>
      </w:r>
      <w:r w:rsidR="00D63ACE" w:rsidRPr="00A52AB8">
        <w:t>if(</w:t>
      </w:r>
      <w:r w:rsidR="00E803D8" w:rsidRPr="00A52AB8">
        <w:t> AtlasPatchType[ p ] </w:t>
      </w:r>
      <w:r w:rsidR="00726AAE" w:rsidRPr="00A52AB8">
        <w:t>==</w:t>
      </w:r>
      <w:r w:rsidR="00D47707" w:rsidRPr="00A52AB8">
        <w:t> </w:t>
      </w:r>
      <w:r w:rsidR="00E803D8" w:rsidRPr="00A52AB8">
        <w:t>PROJECTED </w:t>
      </w:r>
      <w:r w:rsidR="008F1F82" w:rsidRPr="00A52AB8">
        <w:t>) {</w:t>
      </w:r>
      <w:r w:rsidR="00E803D8" w:rsidRPr="00A52AB8">
        <w:br/>
      </w:r>
      <w:r w:rsidR="00E803D8" w:rsidRPr="00A52AB8">
        <w:tab/>
      </w:r>
      <w:r w:rsidR="00E803D8" w:rsidRPr="00A52AB8">
        <w:tab/>
      </w:r>
      <w:r w:rsidR="00E803D8" w:rsidRPr="00A52AB8">
        <w:tab/>
        <w:t>blockCnt</w:t>
      </w:r>
      <w:r w:rsidR="00D47707" w:rsidRPr="00A52AB8">
        <w:t> = </w:t>
      </w:r>
      <w:r w:rsidR="00E803D8" w:rsidRPr="00A52AB8">
        <w:t>BlockCnt(</w:t>
      </w:r>
      <w:r w:rsidR="00C61E38" w:rsidRPr="00A52AB8">
        <w:t> </w:t>
      </w:r>
      <w:r w:rsidR="00E803D8" w:rsidRPr="00A52AB8">
        <w:t>AtlasPatch2dSizeX[ p ],</w:t>
      </w:r>
      <w:r w:rsidR="00C61E38" w:rsidRPr="00A52AB8">
        <w:t> </w:t>
      </w:r>
      <w:r w:rsidR="00E803D8" w:rsidRPr="00A52AB8">
        <w:t>AtlasPatch2dSizeY[ p ] )</w:t>
      </w:r>
      <w:r w:rsidR="00E803D8" w:rsidRPr="00A52AB8">
        <w:br/>
      </w:r>
      <w:r w:rsidR="00E803D8" w:rsidRPr="00A52AB8">
        <w:tab/>
      </w:r>
      <w:r w:rsidR="00E803D8" w:rsidRPr="00A52AB8">
        <w:tab/>
      </w:r>
      <w:r w:rsidR="00E803D8" w:rsidRPr="00A52AB8">
        <w:tab/>
        <w:t>for( m</w:t>
      </w:r>
      <w:r w:rsidR="00D47707" w:rsidRPr="00A52AB8">
        <w:t> = </w:t>
      </w:r>
      <w:r w:rsidR="00E803D8" w:rsidRPr="00A52AB8">
        <w:t>0; m &lt; asps_map_count_minus1 + 1; m++ </w:t>
      </w:r>
      <w:r w:rsidR="008F1F82" w:rsidRPr="00A52AB8">
        <w:t>) {</w:t>
      </w:r>
      <w:r w:rsidR="00E803D8" w:rsidRPr="00A52AB8">
        <w:br/>
      </w:r>
      <w:r w:rsidR="00E803D8" w:rsidRPr="00A52AB8">
        <w:tab/>
      </w:r>
      <w:r w:rsidR="00E803D8" w:rsidRPr="00A52AB8">
        <w:tab/>
      </w:r>
      <w:r w:rsidR="00E803D8" w:rsidRPr="00A52AB8">
        <w:tab/>
      </w:r>
      <w:r w:rsidR="00E803D8" w:rsidRPr="00A52AB8">
        <w:tab/>
        <w:t>if( plri_map_present_flag[ m ] </w:t>
      </w:r>
      <w:r w:rsidR="00726AAE" w:rsidRPr="00A52AB8">
        <w:t>==</w:t>
      </w:r>
      <w:r w:rsidR="00D47707" w:rsidRPr="00A52AB8">
        <w:t> </w:t>
      </w:r>
      <w:r w:rsidR="00E803D8" w:rsidRPr="00A52AB8">
        <w:t>1 </w:t>
      </w:r>
      <w:r w:rsidR="008F1F82" w:rsidRPr="00A52AB8">
        <w:t>) {</w:t>
      </w:r>
      <w:r w:rsidR="00E803D8" w:rsidRPr="00A52AB8">
        <w:br/>
      </w:r>
      <w:r w:rsidR="00E803D8" w:rsidRPr="00A52AB8">
        <w:tab/>
      </w:r>
      <w:r w:rsidR="00E803D8" w:rsidRPr="00A52AB8">
        <w:tab/>
      </w:r>
      <w:r w:rsidR="00E803D8" w:rsidRPr="00A52AB8">
        <w:tab/>
      </w:r>
      <w:r w:rsidR="00E803D8" w:rsidRPr="00A52AB8">
        <w:tab/>
      </w:r>
      <w:r w:rsidR="00E803D8" w:rsidRPr="00A52AB8">
        <w:tab/>
        <w:t>if(AtlasPlrdLevel[ p ][ m ] </w:t>
      </w:r>
      <w:r w:rsidR="00726AAE" w:rsidRPr="00A52AB8">
        <w:t>==</w:t>
      </w:r>
      <w:r w:rsidR="00D47707" w:rsidRPr="00A52AB8">
        <w:t> </w:t>
      </w:r>
      <w:r w:rsidR="00E803D8" w:rsidRPr="00A52AB8">
        <w:t>0 </w:t>
      </w:r>
      <w:r w:rsidR="008F1F82" w:rsidRPr="00A52AB8">
        <w:t>) {</w:t>
      </w:r>
      <w:r w:rsidR="00E803D8" w:rsidRPr="00A52AB8">
        <w:br/>
      </w:r>
      <w:r w:rsidR="00E803D8" w:rsidRPr="00A52AB8">
        <w:tab/>
      </w:r>
      <w:r w:rsidR="00E803D8" w:rsidRPr="00A52AB8">
        <w:tab/>
      </w:r>
      <w:r w:rsidR="00E803D8" w:rsidRPr="00A52AB8">
        <w:tab/>
      </w:r>
      <w:r w:rsidR="00E803D8" w:rsidRPr="00A52AB8">
        <w:tab/>
      </w:r>
      <w:r w:rsidR="00E803D8" w:rsidRPr="00A52AB8">
        <w:tab/>
      </w:r>
      <w:r w:rsidR="00E803D8" w:rsidRPr="00A52AB8">
        <w:tab/>
        <w:t>for( j</w:t>
      </w:r>
      <w:r w:rsidR="00D47707" w:rsidRPr="00A52AB8">
        <w:t> = </w:t>
      </w:r>
      <w:r w:rsidR="00E803D8" w:rsidRPr="00A52AB8">
        <w:t>0; j &lt; blockCnt; j++ </w:t>
      </w:r>
      <w:r w:rsidR="008F1F82" w:rsidRPr="00A52AB8">
        <w:t>) {</w:t>
      </w:r>
      <w:r w:rsidR="00E803D8" w:rsidRPr="00A52AB8">
        <w:br/>
      </w:r>
      <w:r w:rsidR="00E803D8" w:rsidRPr="00A52AB8">
        <w:tab/>
      </w:r>
      <w:r w:rsidR="00E803D8" w:rsidRPr="00A52AB8">
        <w:tab/>
      </w:r>
      <w:r w:rsidR="00E803D8" w:rsidRPr="00A52AB8">
        <w:tab/>
      </w:r>
      <w:r w:rsidR="00E803D8" w:rsidRPr="00A52AB8">
        <w:tab/>
      </w:r>
      <w:r w:rsidR="00E803D8" w:rsidRPr="00A52AB8">
        <w:tab/>
      </w:r>
      <w:r w:rsidR="00E803D8" w:rsidRPr="00A52AB8">
        <w:tab/>
      </w:r>
      <w:r w:rsidR="00E803D8" w:rsidRPr="00A52AB8">
        <w:tab/>
        <w:t>stringByte[ posByte++ ] =</w:t>
      </w:r>
      <w:r w:rsidR="00C61E38" w:rsidRPr="00A52AB8">
        <w:br/>
      </w:r>
      <w:r w:rsidR="00E803D8" w:rsidRPr="00A52AB8">
        <w:tab/>
      </w:r>
      <w:r w:rsidR="00E803D8" w:rsidRPr="00A52AB8">
        <w:tab/>
      </w:r>
      <w:r w:rsidR="00E803D8" w:rsidRPr="00A52AB8">
        <w:tab/>
      </w:r>
      <w:r w:rsidR="00E803D8" w:rsidRPr="00A52AB8">
        <w:tab/>
      </w:r>
      <w:r w:rsidR="00E803D8" w:rsidRPr="00A52AB8">
        <w:tab/>
      </w:r>
      <w:r w:rsidR="00E803D8" w:rsidRPr="00A52AB8">
        <w:tab/>
      </w:r>
      <w:r w:rsidR="00E803D8" w:rsidRPr="00A52AB8">
        <w:tab/>
      </w:r>
      <w:r w:rsidR="00E803D8" w:rsidRPr="00A52AB8">
        <w:tab/>
        <w:t>AtlasPlrdBlockModeMinus1[ p ][ m ][ j ] &amp; 0xFF</w:t>
      </w:r>
      <w:r w:rsidR="00E803D8" w:rsidRPr="00A52AB8">
        <w:br/>
      </w:r>
      <w:r w:rsidR="00E803D8" w:rsidRPr="00A52AB8">
        <w:tab/>
      </w:r>
      <w:r w:rsidR="00E803D8" w:rsidRPr="00A52AB8">
        <w:tab/>
      </w:r>
      <w:r w:rsidR="00E803D8" w:rsidRPr="00A52AB8">
        <w:tab/>
      </w:r>
      <w:r w:rsidR="00E803D8" w:rsidRPr="00A52AB8">
        <w:tab/>
      </w:r>
      <w:r w:rsidR="00E803D8" w:rsidRPr="00A52AB8">
        <w:tab/>
      </w:r>
      <w:r w:rsidR="00E803D8" w:rsidRPr="00A52AB8">
        <w:tab/>
      </w:r>
      <w:r w:rsidR="00E803D8" w:rsidRPr="00A52AB8">
        <w:tab/>
        <w:t>stringByte[ posByte++ ] =</w:t>
      </w:r>
      <w:r w:rsidR="00C61E38" w:rsidRPr="00A52AB8">
        <w:br/>
      </w:r>
      <w:r w:rsidR="00E803D8" w:rsidRPr="00A52AB8">
        <w:tab/>
      </w:r>
      <w:r w:rsidR="00E803D8" w:rsidRPr="00A52AB8">
        <w:tab/>
      </w:r>
      <w:r w:rsidR="00E803D8" w:rsidRPr="00A52AB8">
        <w:tab/>
      </w:r>
      <w:r w:rsidR="00E803D8" w:rsidRPr="00A52AB8">
        <w:tab/>
      </w:r>
      <w:r w:rsidR="00E803D8" w:rsidRPr="00A52AB8">
        <w:tab/>
      </w:r>
      <w:r w:rsidR="00E803D8" w:rsidRPr="00A52AB8">
        <w:tab/>
      </w:r>
      <w:r w:rsidR="00E803D8" w:rsidRPr="00A52AB8">
        <w:tab/>
      </w:r>
      <w:r w:rsidR="00E803D8" w:rsidRPr="00A52AB8">
        <w:tab/>
        <w:t>(AtlasPlrdBlockModeMinus1[ p ][ m ][ j ] &gt;&gt; 8 ) &amp; 0xFF</w:t>
      </w:r>
      <w:r w:rsidR="00E803D8" w:rsidRPr="00A52AB8">
        <w:br/>
      </w:r>
      <w:r w:rsidR="00E803D8" w:rsidRPr="00A52AB8">
        <w:tab/>
      </w:r>
      <w:r w:rsidR="00E803D8" w:rsidRPr="00A52AB8">
        <w:tab/>
      </w:r>
      <w:r w:rsidR="00E803D8" w:rsidRPr="00A52AB8">
        <w:tab/>
      </w:r>
      <w:r w:rsidR="00E803D8" w:rsidRPr="00A52AB8">
        <w:tab/>
      </w:r>
      <w:r w:rsidR="00E803D8" w:rsidRPr="00A52AB8">
        <w:tab/>
      </w:r>
      <w:r w:rsidR="00E803D8" w:rsidRPr="00A52AB8">
        <w:tab/>
        <w:t>}</w:t>
      </w:r>
      <w:r w:rsidR="00E803D8" w:rsidRPr="00A52AB8">
        <w:br/>
      </w:r>
      <w:r w:rsidR="00E803D8" w:rsidRPr="00A52AB8">
        <w:tab/>
      </w:r>
      <w:r w:rsidR="00E803D8" w:rsidRPr="00A52AB8">
        <w:tab/>
      </w:r>
      <w:r w:rsidR="00E803D8" w:rsidRPr="00A52AB8">
        <w:tab/>
      </w:r>
      <w:r w:rsidR="00E803D8" w:rsidRPr="00A52AB8">
        <w:tab/>
      </w:r>
      <w:r w:rsidR="00E803D8" w:rsidRPr="00A52AB8">
        <w:tab/>
      </w:r>
      <w:r w:rsidR="0023721F" w:rsidRPr="00A52AB8">
        <w:t>} else {</w:t>
      </w:r>
      <w:r w:rsidR="00E803D8" w:rsidRPr="00A52AB8">
        <w:br/>
      </w:r>
      <w:r w:rsidR="00E803D8" w:rsidRPr="00A52AB8">
        <w:tab/>
      </w:r>
      <w:r w:rsidR="00E803D8" w:rsidRPr="00A52AB8">
        <w:tab/>
      </w:r>
      <w:r w:rsidR="00E803D8" w:rsidRPr="00A52AB8">
        <w:tab/>
      </w:r>
      <w:r w:rsidR="00E803D8" w:rsidRPr="00A52AB8">
        <w:tab/>
      </w:r>
      <w:r w:rsidR="00E803D8" w:rsidRPr="00A52AB8">
        <w:tab/>
      </w:r>
      <w:r w:rsidR="00E803D8" w:rsidRPr="00A52AB8">
        <w:tab/>
        <w:t>stringByte[ posByte++ ]</w:t>
      </w:r>
      <w:r w:rsidR="00D47707" w:rsidRPr="00A52AB8">
        <w:t> = </w:t>
      </w:r>
      <w:r w:rsidR="00E803D8" w:rsidRPr="00A52AB8">
        <w:t>AtlasPlrdModeMinus1[ p ][ m ] &amp; 0xFF</w:t>
      </w:r>
      <w:r w:rsidR="00E803D8" w:rsidRPr="00A52AB8">
        <w:br/>
      </w:r>
      <w:r w:rsidR="00E803D8" w:rsidRPr="00A52AB8">
        <w:tab/>
      </w:r>
      <w:r w:rsidR="00E803D8" w:rsidRPr="00A52AB8">
        <w:tab/>
      </w:r>
      <w:r w:rsidR="00E803D8" w:rsidRPr="00A52AB8">
        <w:tab/>
      </w:r>
      <w:r w:rsidR="00E803D8" w:rsidRPr="00A52AB8">
        <w:tab/>
      </w:r>
      <w:r w:rsidR="00E803D8" w:rsidRPr="00A52AB8">
        <w:tab/>
      </w:r>
      <w:r w:rsidR="00E803D8" w:rsidRPr="00A52AB8">
        <w:tab/>
        <w:t>stringByte[ posByte++ ] =</w:t>
      </w:r>
      <w:r w:rsidR="00C61E38" w:rsidRPr="00A52AB8">
        <w:br/>
      </w:r>
      <w:r w:rsidR="00E803D8" w:rsidRPr="00A52AB8">
        <w:tab/>
      </w:r>
      <w:r w:rsidR="00E803D8" w:rsidRPr="00A52AB8">
        <w:tab/>
      </w:r>
      <w:r w:rsidR="00E803D8" w:rsidRPr="00A52AB8">
        <w:tab/>
      </w:r>
      <w:r w:rsidR="00E803D8" w:rsidRPr="00A52AB8">
        <w:tab/>
      </w:r>
      <w:r w:rsidR="00E803D8" w:rsidRPr="00A52AB8">
        <w:tab/>
      </w:r>
      <w:r w:rsidR="00E803D8" w:rsidRPr="00A52AB8">
        <w:tab/>
      </w:r>
      <w:r w:rsidR="00E803D8" w:rsidRPr="00A52AB8">
        <w:tab/>
        <w:t>(AtlasPlrdBlockModeMinus1[ p ][ m ] &gt;&gt; 8 ) &amp; 0xFF</w:t>
      </w:r>
      <w:r w:rsidR="00E803D8" w:rsidRPr="00A52AB8">
        <w:br/>
      </w:r>
      <w:r w:rsidR="00E803D8" w:rsidRPr="00A52AB8">
        <w:tab/>
      </w:r>
      <w:r w:rsidR="00E803D8" w:rsidRPr="00A52AB8">
        <w:tab/>
      </w:r>
      <w:r w:rsidR="00E803D8" w:rsidRPr="00A52AB8">
        <w:tab/>
      </w:r>
      <w:r w:rsidR="00E803D8" w:rsidRPr="00A52AB8">
        <w:tab/>
      </w:r>
      <w:r w:rsidR="00E803D8" w:rsidRPr="00A52AB8">
        <w:tab/>
        <w:t>}</w:t>
      </w:r>
      <w:r w:rsidR="00E803D8" w:rsidRPr="00A52AB8">
        <w:br/>
      </w:r>
      <w:r w:rsidR="00E803D8" w:rsidRPr="00A52AB8">
        <w:tab/>
      </w:r>
      <w:r w:rsidR="00E803D8" w:rsidRPr="00A52AB8">
        <w:tab/>
      </w:r>
      <w:r w:rsidR="00E803D8" w:rsidRPr="00A52AB8">
        <w:tab/>
      </w:r>
      <w:r w:rsidR="00E803D8" w:rsidRPr="00A52AB8">
        <w:tab/>
        <w:t>}</w:t>
      </w:r>
      <w:r w:rsidR="00E803D8" w:rsidRPr="00A52AB8">
        <w:br/>
      </w:r>
      <w:r w:rsidR="00E803D8" w:rsidRPr="00A52AB8">
        <w:tab/>
      </w:r>
      <w:r w:rsidR="00E803D8" w:rsidRPr="00A52AB8">
        <w:tab/>
      </w:r>
      <w:r w:rsidR="00E803D8" w:rsidRPr="00A52AB8">
        <w:tab/>
        <w:t>}</w:t>
      </w:r>
      <w:r w:rsidR="00E803D8" w:rsidRPr="00A52AB8">
        <w:br/>
      </w:r>
      <w:r w:rsidR="00E803D8" w:rsidRPr="00A52AB8">
        <w:tab/>
      </w:r>
      <w:r w:rsidR="00E803D8" w:rsidRPr="00A52AB8">
        <w:tab/>
        <w:t>} else if( AtlasPatchType[ p ] </w:t>
      </w:r>
      <w:r w:rsidR="00726AAE" w:rsidRPr="00A52AB8">
        <w:t>==</w:t>
      </w:r>
      <w:r w:rsidR="00D47707" w:rsidRPr="00A52AB8">
        <w:t> </w:t>
      </w:r>
      <w:r w:rsidR="00E803D8" w:rsidRPr="00A52AB8">
        <w:t>EOM </w:t>
      </w:r>
      <w:r w:rsidR="008F1F82" w:rsidRPr="00A52AB8">
        <w:t>) {</w:t>
      </w:r>
      <w:r w:rsidR="00E803D8" w:rsidRPr="00A52AB8">
        <w:br/>
      </w:r>
      <w:r w:rsidR="00E803D8" w:rsidRPr="00A52AB8">
        <w:tab/>
      </w:r>
      <w:r w:rsidR="00E803D8" w:rsidRPr="00A52AB8">
        <w:tab/>
      </w:r>
      <w:r w:rsidR="00E803D8" w:rsidRPr="00A52AB8">
        <w:tab/>
        <w:t>stringByte[ posByte++ ]</w:t>
      </w:r>
      <w:r w:rsidR="00D47707" w:rsidRPr="00A52AB8">
        <w:t> = </w:t>
      </w:r>
      <w:r w:rsidR="00E803D8" w:rsidRPr="00A52AB8">
        <w:t>AtlasPatchEOMPatchCount</w:t>
      </w:r>
      <w:r w:rsidR="003C56C3" w:rsidRPr="00A52AB8">
        <w:t>[</w:t>
      </w:r>
      <w:r w:rsidR="00E803D8" w:rsidRPr="00A52AB8">
        <w:t> p ] &amp; 0xFF</w:t>
      </w:r>
      <w:r w:rsidR="00E803D8" w:rsidRPr="00A52AB8">
        <w:br/>
      </w:r>
      <w:r w:rsidR="00E803D8" w:rsidRPr="00A52AB8">
        <w:tab/>
      </w:r>
      <w:r w:rsidR="00E803D8" w:rsidRPr="00A52AB8">
        <w:tab/>
      </w:r>
      <w:r w:rsidR="00E803D8" w:rsidRPr="00A52AB8">
        <w:tab/>
        <w:t>stringByte[ posByte++ ]</w:t>
      </w:r>
      <w:r w:rsidR="00D47707" w:rsidRPr="00A52AB8">
        <w:t> = </w:t>
      </w:r>
      <w:r w:rsidR="00E803D8" w:rsidRPr="00A52AB8">
        <w:t>( AtlasPatchEOMPatchCount</w:t>
      </w:r>
      <w:r w:rsidR="003C56C3" w:rsidRPr="00A52AB8">
        <w:t>[</w:t>
      </w:r>
      <w:r w:rsidR="00E803D8" w:rsidRPr="00A52AB8">
        <w:t> p ] &gt;&gt; 8 ) &amp; 0xFF</w:t>
      </w:r>
      <w:r w:rsidR="00E803D8" w:rsidRPr="00A52AB8">
        <w:br/>
      </w:r>
      <w:r w:rsidR="00E803D8" w:rsidRPr="00A52AB8">
        <w:tab/>
      </w:r>
      <w:r w:rsidR="00E803D8" w:rsidRPr="00A52AB8">
        <w:tab/>
      </w:r>
      <w:r w:rsidR="00E803D8" w:rsidRPr="00A52AB8">
        <w:tab/>
        <w:t>for( i</w:t>
      </w:r>
      <w:r w:rsidR="00D47707" w:rsidRPr="00A52AB8">
        <w:t> = </w:t>
      </w:r>
      <w:r w:rsidR="00E803D8" w:rsidRPr="00A52AB8">
        <w:t>0; i &lt; AtlasEpduPatchCount[ p ]; i++ </w:t>
      </w:r>
      <w:r w:rsidR="008F1F82" w:rsidRPr="00A52AB8">
        <w:t>) {</w:t>
      </w:r>
      <w:r w:rsidR="00E803D8" w:rsidRPr="00A52AB8">
        <w:br/>
      </w:r>
      <w:r w:rsidR="00E803D8" w:rsidRPr="00A52AB8">
        <w:tab/>
      </w:r>
      <w:r w:rsidR="00E803D8" w:rsidRPr="00A52AB8">
        <w:tab/>
      </w:r>
      <w:r w:rsidR="00E803D8" w:rsidRPr="00A52AB8">
        <w:tab/>
      </w:r>
      <w:r w:rsidR="00E803D8" w:rsidRPr="00A52AB8">
        <w:tab/>
        <w:t>stringByte[ posByte++ ]</w:t>
      </w:r>
      <w:r w:rsidR="00D47707" w:rsidRPr="00A52AB8">
        <w:t> = </w:t>
      </w:r>
      <w:r w:rsidR="00E803D8" w:rsidRPr="00A52AB8">
        <w:t>AtlasEpduPoints[ p ][ i ] &amp; 0xFF</w:t>
      </w:r>
      <w:r w:rsidR="00E803D8" w:rsidRPr="00A52AB8">
        <w:br/>
      </w:r>
      <w:r w:rsidR="00E803D8" w:rsidRPr="00A52AB8">
        <w:tab/>
      </w:r>
      <w:r w:rsidR="00E803D8" w:rsidRPr="00A52AB8">
        <w:tab/>
      </w:r>
      <w:r w:rsidR="00E803D8" w:rsidRPr="00A52AB8">
        <w:tab/>
      </w:r>
      <w:r w:rsidR="00E803D8" w:rsidRPr="00A52AB8">
        <w:tab/>
        <w:t>stringByte[ posByte++ ]</w:t>
      </w:r>
      <w:r w:rsidR="00D47707" w:rsidRPr="00A52AB8">
        <w:t> = </w:t>
      </w:r>
      <w:r w:rsidR="00E803D8" w:rsidRPr="00A52AB8">
        <w:t>(AtlasEpduPoints[ p ][ i ] &gt;&gt; 8 ) &amp; 0xFF</w:t>
      </w:r>
      <w:r w:rsidR="00E803D8" w:rsidRPr="00A52AB8">
        <w:br/>
      </w:r>
      <w:r w:rsidR="00E803D8" w:rsidRPr="00A52AB8">
        <w:tab/>
      </w:r>
      <w:r w:rsidR="00E803D8" w:rsidRPr="00A52AB8">
        <w:tab/>
      </w:r>
      <w:r w:rsidR="00E803D8" w:rsidRPr="00A52AB8">
        <w:tab/>
        <w:t>}</w:t>
      </w:r>
      <w:r w:rsidR="00E803D8" w:rsidRPr="00A52AB8">
        <w:br/>
      </w:r>
      <w:r w:rsidR="00E803D8" w:rsidRPr="00A52AB8">
        <w:tab/>
      </w:r>
      <w:r w:rsidR="00E803D8" w:rsidRPr="00A52AB8">
        <w:tab/>
        <w:t>}</w:t>
      </w:r>
      <w:r w:rsidR="00E803D8" w:rsidRPr="00A52AB8">
        <w:br/>
      </w:r>
      <w:r w:rsidR="00F47C3D" w:rsidRPr="00A52AB8">
        <w:tab/>
      </w:r>
      <w:r w:rsidR="00F47C3D" w:rsidRPr="00A52AB8">
        <w:tab/>
        <w:t>return posByte</w:t>
      </w:r>
      <w:r w:rsidR="00F47C3D" w:rsidRPr="00A52AB8">
        <w:br/>
      </w:r>
      <w:r w:rsidRPr="00A52AB8">
        <w:tab/>
        <w:t>}</w:t>
      </w:r>
    </w:p>
    <w:p w14:paraId="724121B5" w14:textId="77777777" w:rsidR="00027940" w:rsidRPr="00A52AB8" w:rsidRDefault="00552C84" w:rsidP="00EE3D19">
      <w:pPr>
        <w:pStyle w:val="a4"/>
        <w:numPr>
          <w:ilvl w:val="4"/>
          <w:numId w:val="19"/>
        </w:numPr>
        <w:tabs>
          <w:tab w:val="clear" w:pos="7200"/>
        </w:tabs>
        <w:outlineLvl w:val="4"/>
      </w:pPr>
      <w:bookmarkStart w:id="6004" w:name="_Toc49345203"/>
      <w:bookmarkStart w:id="6005" w:name="_Toc49350104"/>
      <w:bookmarkStart w:id="6006" w:name="_Ref49036178"/>
      <w:bookmarkEnd w:id="6004"/>
      <w:bookmarkEnd w:id="6005"/>
      <w:r w:rsidRPr="00A52AB8">
        <w:t>Tile information</w:t>
      </w:r>
      <w:r w:rsidR="00027940" w:rsidRPr="00A52AB8">
        <w:t xml:space="preserve"> </w:t>
      </w:r>
      <w:r w:rsidRPr="00A52AB8">
        <w:t>st</w:t>
      </w:r>
      <w:r w:rsidR="00CC25B9" w:rsidRPr="00A52AB8">
        <w:t>r</w:t>
      </w:r>
      <w:r w:rsidRPr="00A52AB8">
        <w:t>ing of bytes</w:t>
      </w:r>
      <w:bookmarkEnd w:id="6006"/>
    </w:p>
    <w:p w14:paraId="47B70B93" w14:textId="38BE37CC" w:rsidR="00552C84" w:rsidRPr="00A52AB8" w:rsidRDefault="00552C84" w:rsidP="00552C84">
      <w:r w:rsidRPr="00A52AB8">
        <w:t xml:space="preserve">In this subclause, using tile patch information variables, as defined in subclause </w:t>
      </w:r>
      <w:r w:rsidRPr="00496A4D">
        <w:fldChar w:fldCharType="begin"/>
      </w:r>
      <w:r w:rsidRPr="00A52AB8">
        <w:instrText xml:space="preserve"> REF _Ref1191713 \r \h </w:instrText>
      </w:r>
      <w:r w:rsidR="003E429F" w:rsidRPr="00A52AB8">
        <w:instrText xml:space="preserve"> \* MERGEFORMAT </w:instrText>
      </w:r>
      <w:r w:rsidRPr="00496A4D">
        <w:fldChar w:fldCharType="separate"/>
      </w:r>
      <w:r w:rsidR="00507A67">
        <w:t>9.2.5</w:t>
      </w:r>
      <w:r w:rsidRPr="00496A4D">
        <w:fldChar w:fldCharType="end"/>
      </w:r>
      <w:r w:rsidRPr="00A52AB8">
        <w:t>, an array of string of bytes, TileData, and a variable providing the length in bytes of the array, TileDataBytes, for the tile with tile ID, tileID are generated as the output of this process and the following applies:</w:t>
      </w:r>
    </w:p>
    <w:p w14:paraId="48F91379" w14:textId="7E9A8A16" w:rsidR="00CC25B9" w:rsidRPr="00A52AB8" w:rsidRDefault="001F72C6" w:rsidP="00FB4953">
      <w:pPr>
        <w:tabs>
          <w:tab w:val="clear" w:pos="1210"/>
          <w:tab w:val="clear" w:pos="1613"/>
          <w:tab w:val="clear" w:pos="2016"/>
        </w:tabs>
        <w:spacing w:before="120"/>
      </w:pPr>
      <w:r w:rsidRPr="00A52AB8">
        <w:tab/>
      </w:r>
      <w:r w:rsidR="00CC25B9" w:rsidRPr="00A52AB8">
        <w:t>TileDataBytes</w:t>
      </w:r>
      <w:r w:rsidR="00D47707" w:rsidRPr="00A52AB8">
        <w:t> = </w:t>
      </w:r>
      <w:r w:rsidR="00CC25B9" w:rsidRPr="00A52AB8">
        <w:t>0</w:t>
      </w:r>
      <w:r w:rsidR="00590C97" w:rsidRPr="00A52AB8">
        <w:br/>
      </w:r>
      <w:r w:rsidR="00590C97" w:rsidRPr="00A52AB8">
        <w:tab/>
      </w:r>
      <w:r w:rsidR="00CC25B9" w:rsidRPr="00A52AB8">
        <w:t>for( tilePatchIdx</w:t>
      </w:r>
      <w:r w:rsidR="00D47707" w:rsidRPr="00A52AB8">
        <w:t> = </w:t>
      </w:r>
      <w:r w:rsidR="00CC25B9" w:rsidRPr="00A52AB8">
        <w:t>0 ; tilePatchIdx &lt; Atdu</w:t>
      </w:r>
      <w:r w:rsidR="00D12C68" w:rsidRPr="00A52AB8">
        <w:t>TotalNum</w:t>
      </w:r>
      <w:r w:rsidR="00CC25B9" w:rsidRPr="00A52AB8">
        <w:t>Patches[ tileID ] ; tilePatchIdx++ </w:t>
      </w:r>
      <w:r w:rsidR="008F1F82" w:rsidRPr="00A52AB8">
        <w:t>) {</w:t>
      </w:r>
      <w:r w:rsidR="00590C97" w:rsidRPr="00A52AB8">
        <w:br/>
      </w:r>
      <w:r w:rsidR="00CC25B9" w:rsidRPr="00A52AB8">
        <w:tab/>
      </w:r>
      <w:r w:rsidR="00590C97" w:rsidRPr="00A52AB8">
        <w:tab/>
      </w:r>
      <w:r w:rsidR="008D1CF1" w:rsidRPr="00A52AB8">
        <w:t>TileDataBytes</w:t>
      </w:r>
      <w:r w:rsidR="00D47707" w:rsidRPr="00A52AB8">
        <w:t> = </w:t>
      </w:r>
      <w:r w:rsidR="008D1CF1" w:rsidRPr="00A52AB8">
        <w:t>Tile</w:t>
      </w:r>
      <w:r w:rsidR="00CC25B9" w:rsidRPr="00A52AB8">
        <w:t>PatchCommonByteString( </w:t>
      </w:r>
      <w:r w:rsidR="008D1CF1" w:rsidRPr="00A52AB8">
        <w:t>Tile</w:t>
      </w:r>
      <w:r w:rsidR="00CC25B9" w:rsidRPr="00A52AB8">
        <w:t>Data, </w:t>
      </w:r>
      <w:r w:rsidR="008D1CF1" w:rsidRPr="00A52AB8">
        <w:t>Tile</w:t>
      </w:r>
      <w:r w:rsidR="00CC25B9" w:rsidRPr="00A52AB8">
        <w:t>DataBytes, </w:t>
      </w:r>
      <w:r w:rsidR="008D1CF1" w:rsidRPr="00A52AB8">
        <w:t>tileID, </w:t>
      </w:r>
      <w:r w:rsidR="00CC25B9" w:rsidRPr="00A52AB8">
        <w:t>atlasPatchIdx )</w:t>
      </w:r>
      <w:r w:rsidR="00CC25B9" w:rsidRPr="00A52AB8">
        <w:br/>
      </w:r>
      <w:r w:rsidR="00CC25B9" w:rsidRPr="00A52AB8">
        <w:tab/>
      </w:r>
      <w:r w:rsidR="00590C97" w:rsidRPr="00A52AB8">
        <w:tab/>
      </w:r>
      <w:r w:rsidR="008D1CF1" w:rsidRPr="00A52AB8">
        <w:t>TileDataBytes</w:t>
      </w:r>
      <w:r w:rsidR="00D47707" w:rsidRPr="00A52AB8">
        <w:t> = </w:t>
      </w:r>
      <w:r w:rsidR="008D1CF1" w:rsidRPr="00A52AB8">
        <w:t>Tile</w:t>
      </w:r>
      <w:r w:rsidR="00CC25B9" w:rsidRPr="00A52AB8">
        <w:t>PatchApplicationByteString( </w:t>
      </w:r>
      <w:r w:rsidR="008D1CF1" w:rsidRPr="00A52AB8">
        <w:t>Tile</w:t>
      </w:r>
      <w:r w:rsidR="00CC25B9" w:rsidRPr="00A52AB8">
        <w:t>Data, </w:t>
      </w:r>
      <w:r w:rsidR="008D1CF1" w:rsidRPr="00A52AB8">
        <w:t>Tile</w:t>
      </w:r>
      <w:r w:rsidR="00CC25B9" w:rsidRPr="00A52AB8">
        <w:t>DataBytes, </w:t>
      </w:r>
      <w:r w:rsidR="008D1CF1" w:rsidRPr="00A52AB8">
        <w:t>tileID, </w:t>
      </w:r>
      <w:r w:rsidR="00CC25B9" w:rsidRPr="00A52AB8">
        <w:t>atlasPatchIdx )</w:t>
      </w:r>
      <w:r w:rsidR="00CC25B9" w:rsidRPr="00A52AB8">
        <w:br/>
      </w:r>
      <w:r w:rsidR="00590C97" w:rsidRPr="00A52AB8">
        <w:tab/>
      </w:r>
      <w:r w:rsidR="00CC25B9" w:rsidRPr="00A52AB8">
        <w:t>}</w:t>
      </w:r>
    </w:p>
    <w:p w14:paraId="166CEF3D" w14:textId="120BC9B4" w:rsidR="008D1CF1" w:rsidRPr="00A52AB8" w:rsidRDefault="008D1CF1" w:rsidP="00FB4953">
      <w:r w:rsidRPr="00A52AB8">
        <w:t xml:space="preserve">where the functions TilePatchCommonByteString and TilePatchApplicationByteString are defined in subclauses </w:t>
      </w:r>
      <w:r w:rsidRPr="00496A4D">
        <w:fldChar w:fldCharType="begin"/>
      </w:r>
      <w:r w:rsidRPr="00A52AB8">
        <w:instrText xml:space="preserve"> REF _Ref49094699 \r \h </w:instrText>
      </w:r>
      <w:r w:rsidR="003E429F" w:rsidRPr="00A52AB8">
        <w:instrText xml:space="preserve"> \* MERGEFORMAT </w:instrText>
      </w:r>
      <w:r w:rsidRPr="00496A4D">
        <w:fldChar w:fldCharType="separate"/>
      </w:r>
      <w:r w:rsidR="00507A67">
        <w:t>F.3.16.2.4.1</w:t>
      </w:r>
      <w:r w:rsidRPr="00496A4D">
        <w:fldChar w:fldCharType="end"/>
      </w:r>
      <w:r w:rsidRPr="00A52AB8">
        <w:t xml:space="preserve"> and </w:t>
      </w:r>
      <w:r w:rsidRPr="00496A4D">
        <w:fldChar w:fldCharType="begin"/>
      </w:r>
      <w:r w:rsidRPr="00A52AB8">
        <w:instrText xml:space="preserve"> REF _Ref49094700 \r \h </w:instrText>
      </w:r>
      <w:r w:rsidR="003E429F" w:rsidRPr="00A52AB8">
        <w:instrText xml:space="preserve"> \* MERGEFORMAT </w:instrText>
      </w:r>
      <w:r w:rsidRPr="00496A4D">
        <w:fldChar w:fldCharType="separate"/>
      </w:r>
      <w:r w:rsidR="00507A67">
        <w:t>F.3.16.2.4.2</w:t>
      </w:r>
      <w:r w:rsidRPr="00496A4D">
        <w:fldChar w:fldCharType="end"/>
      </w:r>
      <w:r w:rsidRPr="00A52AB8">
        <w:t>, respectively.</w:t>
      </w:r>
    </w:p>
    <w:p w14:paraId="089FE4E6" w14:textId="7768DFA6" w:rsidR="002D3118" w:rsidRPr="00A52AB8" w:rsidRDefault="002D3118" w:rsidP="00EE3D19">
      <w:pPr>
        <w:pStyle w:val="a4"/>
        <w:numPr>
          <w:ilvl w:val="5"/>
          <w:numId w:val="19"/>
        </w:numPr>
        <w:tabs>
          <w:tab w:val="clear" w:pos="7200"/>
        </w:tabs>
        <w:outlineLvl w:val="5"/>
      </w:pPr>
      <w:bookmarkStart w:id="6007" w:name="_Toc49095690"/>
      <w:bookmarkStart w:id="6008" w:name="_Ref49094699"/>
      <w:bookmarkEnd w:id="6007"/>
      <w:r w:rsidRPr="00A52AB8">
        <w:t>Common tile patch string of bytes</w:t>
      </w:r>
      <w:bookmarkEnd w:id="6008"/>
    </w:p>
    <w:p w14:paraId="6A48125E" w14:textId="77777777" w:rsidR="008D1CF1" w:rsidRPr="00A52AB8" w:rsidRDefault="008D1CF1" w:rsidP="00FB4953">
      <w:r w:rsidRPr="00A52AB8">
        <w:t>Let the function TilePatchCommonByteString( stringByte, posByte, t, p ) be defined as follows:</w:t>
      </w:r>
    </w:p>
    <w:p w14:paraId="0B7D97C1" w14:textId="37F8370C" w:rsidR="00552C84" w:rsidRPr="00A52AB8" w:rsidRDefault="00260BDD" w:rsidP="00FB4953">
      <w:pPr>
        <w:tabs>
          <w:tab w:val="clear" w:pos="1210"/>
          <w:tab w:val="clear" w:pos="1613"/>
          <w:tab w:val="clear" w:pos="2016"/>
        </w:tabs>
        <w:spacing w:before="120"/>
      </w:pPr>
      <w:r w:rsidRPr="00A52AB8">
        <w:tab/>
      </w:r>
      <w:r w:rsidR="008D1CF1" w:rsidRPr="00A52AB8">
        <w:t>TilePatchCommonByteString( stringByte, posByte, tileID, p </w:t>
      </w:r>
      <w:r w:rsidR="008F1F82" w:rsidRPr="00A52AB8">
        <w:t>) {</w:t>
      </w:r>
      <w:r w:rsidR="008450FD" w:rsidRPr="00A52AB8">
        <w:br/>
      </w:r>
      <w:r w:rsidR="008D1CF1" w:rsidRPr="00A52AB8">
        <w:tab/>
      </w:r>
      <w:r w:rsidR="008D1CF1" w:rsidRPr="00A52AB8">
        <w:tab/>
        <w:t>stringByte[ posByte++ ]</w:t>
      </w:r>
      <w:r w:rsidR="00D47707" w:rsidRPr="00A52AB8">
        <w:t> = </w:t>
      </w:r>
      <w:r w:rsidR="00552C84" w:rsidRPr="00A52AB8">
        <w:t>TilePatchType[ t ][ p ] &amp; 0xFF</w:t>
      </w:r>
      <w:r w:rsidR="00552C84" w:rsidRPr="00A52AB8">
        <w:br/>
      </w:r>
      <w:r w:rsidR="008D1CF1" w:rsidRPr="00A52AB8">
        <w:tab/>
      </w:r>
      <w:r w:rsidR="008D1CF1" w:rsidRPr="00A52AB8">
        <w:tab/>
        <w:t>stringByte[ posByte++ ]</w:t>
      </w:r>
      <w:r w:rsidR="00D47707" w:rsidRPr="00A52AB8">
        <w:t> = </w:t>
      </w:r>
      <w:r w:rsidR="00552C84" w:rsidRPr="00A52AB8">
        <w:t>(TilePatchType[ t ][ p ] &gt;&gt;</w:t>
      </w:r>
      <w:r w:rsidR="00910F33" w:rsidRPr="00A52AB8">
        <w:t> </w:t>
      </w:r>
      <w:r w:rsidR="00552C84" w:rsidRPr="00A52AB8">
        <w:t>8</w:t>
      </w:r>
      <w:r w:rsidR="00910F33" w:rsidRPr="00A52AB8">
        <w:t> </w:t>
      </w:r>
      <w:r w:rsidR="00552C84" w:rsidRPr="00A52AB8">
        <w:t>) &amp; 0xFF</w:t>
      </w:r>
      <w:r w:rsidR="008450FD" w:rsidRPr="00A52AB8">
        <w:br/>
      </w:r>
      <w:r w:rsidR="00E22311" w:rsidRPr="00A52AB8">
        <w:br/>
      </w:r>
      <w:r w:rsidR="00E22311" w:rsidRPr="00A52AB8">
        <w:tab/>
      </w:r>
      <w:r w:rsidR="00E22311" w:rsidRPr="00A52AB8">
        <w:tab/>
        <w:t>stringByte[ posByte++ ]</w:t>
      </w:r>
      <w:r w:rsidR="00D47707" w:rsidRPr="00A52AB8">
        <w:t> = </w:t>
      </w:r>
      <w:r w:rsidR="00E22311" w:rsidRPr="00A52AB8">
        <w:t>TilePatch2dPosX[ t ][ p ] &amp; 0xFF</w:t>
      </w:r>
      <w:r w:rsidR="00E22311" w:rsidRPr="00A52AB8">
        <w:br/>
      </w:r>
      <w:r w:rsidR="00E22311" w:rsidRPr="00A52AB8">
        <w:tab/>
      </w:r>
      <w:r w:rsidR="00E22311" w:rsidRPr="00A52AB8">
        <w:tab/>
        <w:t>stringByte[ posByte++ ]</w:t>
      </w:r>
      <w:r w:rsidR="00D47707" w:rsidRPr="00A52AB8">
        <w:t> = </w:t>
      </w:r>
      <w:r w:rsidR="00E22311" w:rsidRPr="00A52AB8">
        <w:t>(TilePatch2dPosX[ t ][ p ] &gt;&gt; 8 ) &amp; 0xFF</w:t>
      </w:r>
      <w:r w:rsidR="00E22311" w:rsidRPr="00A52AB8">
        <w:br/>
      </w:r>
      <w:r w:rsidR="00E22311" w:rsidRPr="00A52AB8">
        <w:tab/>
      </w:r>
      <w:r w:rsidR="00E22311" w:rsidRPr="00A52AB8">
        <w:tab/>
        <w:t>stringByte[ posByte++ ]</w:t>
      </w:r>
      <w:r w:rsidR="00D47707" w:rsidRPr="00A52AB8">
        <w:t> = </w:t>
      </w:r>
      <w:r w:rsidR="00E22311" w:rsidRPr="00A52AB8">
        <w:t>TilePatch2dPosY[ t ][ p ] &amp; 0xFF</w:t>
      </w:r>
      <w:r w:rsidR="00E22311" w:rsidRPr="00A52AB8">
        <w:br/>
      </w:r>
      <w:r w:rsidR="00E22311" w:rsidRPr="00A52AB8">
        <w:tab/>
      </w:r>
      <w:r w:rsidR="00E22311" w:rsidRPr="00A52AB8">
        <w:tab/>
        <w:t>stringByte[ posByte++ ]</w:t>
      </w:r>
      <w:r w:rsidR="00D47707" w:rsidRPr="00A52AB8">
        <w:t> = </w:t>
      </w:r>
      <w:r w:rsidR="00E22311" w:rsidRPr="00A52AB8">
        <w:t>(TilePatch2dPosY[ t ][ p ] &gt;&gt; 8 ) &amp; 0xFF</w:t>
      </w:r>
      <w:r w:rsidR="00552C84" w:rsidRPr="00A52AB8">
        <w:br/>
      </w:r>
      <w:r w:rsidR="008D1CF1" w:rsidRPr="00A52AB8">
        <w:tab/>
      </w:r>
      <w:r w:rsidR="008D1CF1" w:rsidRPr="00A52AB8">
        <w:tab/>
        <w:t>stringByte[ posByte++ ]</w:t>
      </w:r>
      <w:r w:rsidR="00D47707" w:rsidRPr="00A52AB8">
        <w:t> = </w:t>
      </w:r>
      <w:r w:rsidR="00552C84" w:rsidRPr="00A52AB8">
        <w:t>TilePatch2dSizeX[ t ][ p ] &amp; 0xFF</w:t>
      </w:r>
      <w:r w:rsidR="00552C84" w:rsidRPr="00A52AB8">
        <w:br/>
      </w:r>
      <w:r w:rsidR="008D1CF1" w:rsidRPr="00A52AB8">
        <w:tab/>
      </w:r>
      <w:r w:rsidR="008D1CF1" w:rsidRPr="00A52AB8">
        <w:tab/>
        <w:t>stringByte[ posByte++ ]</w:t>
      </w:r>
      <w:r w:rsidR="00D47707" w:rsidRPr="00A52AB8">
        <w:t> = </w:t>
      </w:r>
      <w:r w:rsidR="00552C84" w:rsidRPr="00A52AB8">
        <w:t>(TilePatch2dSizeX[ t ][ p ] &gt;&gt;</w:t>
      </w:r>
      <w:r w:rsidR="00910F33" w:rsidRPr="00A52AB8">
        <w:t> </w:t>
      </w:r>
      <w:r w:rsidR="00552C84" w:rsidRPr="00A52AB8">
        <w:t>8</w:t>
      </w:r>
      <w:r w:rsidR="00910F33" w:rsidRPr="00A52AB8">
        <w:t> </w:t>
      </w:r>
      <w:r w:rsidR="00552C84" w:rsidRPr="00A52AB8">
        <w:t>) &amp; 0xFF</w:t>
      </w:r>
      <w:r w:rsidR="00552C84" w:rsidRPr="00A52AB8">
        <w:br/>
      </w:r>
      <w:r w:rsidR="008D1CF1" w:rsidRPr="00A52AB8">
        <w:tab/>
      </w:r>
      <w:r w:rsidR="008D1CF1" w:rsidRPr="00A52AB8">
        <w:tab/>
        <w:t>stringByte[ posByte++ ]</w:t>
      </w:r>
      <w:r w:rsidR="00D47707" w:rsidRPr="00A52AB8">
        <w:t> = </w:t>
      </w:r>
      <w:r w:rsidR="00552C84" w:rsidRPr="00A52AB8">
        <w:t>TilePatch2dSizeY[ t ][ p ] &amp; 0xFF</w:t>
      </w:r>
      <w:r w:rsidR="00552C84" w:rsidRPr="00A52AB8">
        <w:br/>
      </w:r>
      <w:r w:rsidR="008D1CF1" w:rsidRPr="00A52AB8">
        <w:tab/>
      </w:r>
      <w:r w:rsidR="008D1CF1" w:rsidRPr="00A52AB8">
        <w:tab/>
        <w:t>stringByte[ posByte++ ]</w:t>
      </w:r>
      <w:r w:rsidR="00D47707" w:rsidRPr="00A52AB8">
        <w:t> = </w:t>
      </w:r>
      <w:r w:rsidR="00552C84" w:rsidRPr="00A52AB8">
        <w:t>(TilePatch2dSizeY[ t ][ p ] &gt;&gt; 8</w:t>
      </w:r>
      <w:r w:rsidR="00910F33" w:rsidRPr="00A52AB8">
        <w:t> </w:t>
      </w:r>
      <w:r w:rsidR="00552C84" w:rsidRPr="00A52AB8">
        <w:t>) &amp; 0xFF</w:t>
      </w:r>
      <w:r w:rsidR="00552C84" w:rsidRPr="00A52AB8">
        <w:br/>
      </w:r>
      <w:r w:rsidR="008450FD" w:rsidRPr="00A52AB8">
        <w:br/>
      </w:r>
      <w:r w:rsidR="008D1CF1" w:rsidRPr="00A52AB8">
        <w:tab/>
      </w:r>
      <w:r w:rsidR="008D1CF1" w:rsidRPr="00A52AB8">
        <w:tab/>
        <w:t>stringByte[ posByte++ ]</w:t>
      </w:r>
      <w:r w:rsidR="00D47707" w:rsidRPr="00A52AB8">
        <w:t> = </w:t>
      </w:r>
      <w:r w:rsidR="00552C84" w:rsidRPr="00A52AB8">
        <w:t>TilePatch3dOffsetU[ t ][ p ] &amp; 0xFF</w:t>
      </w:r>
      <w:r w:rsidR="00552C84" w:rsidRPr="00A52AB8">
        <w:br/>
      </w:r>
      <w:r w:rsidR="008D1CF1" w:rsidRPr="00A52AB8">
        <w:tab/>
      </w:r>
      <w:r w:rsidR="008D1CF1" w:rsidRPr="00A52AB8">
        <w:tab/>
        <w:t>stringByte[ posByte++ ]</w:t>
      </w:r>
      <w:r w:rsidR="00D47707" w:rsidRPr="00A52AB8">
        <w:t> = </w:t>
      </w:r>
      <w:r w:rsidR="00552C84" w:rsidRPr="00A52AB8">
        <w:t>(TilePatch3dOffsetU[ t ][ p ] &gt;&gt;</w:t>
      </w:r>
      <w:r w:rsidR="00910F33" w:rsidRPr="00A52AB8">
        <w:t> </w:t>
      </w:r>
      <w:r w:rsidR="00552C84" w:rsidRPr="00A52AB8">
        <w:t>8) &amp; 0xFF</w:t>
      </w:r>
      <w:r w:rsidR="00552C84" w:rsidRPr="00A52AB8">
        <w:br/>
      </w:r>
      <w:r w:rsidR="008D1CF1" w:rsidRPr="00A52AB8">
        <w:tab/>
      </w:r>
      <w:r w:rsidR="008D1CF1" w:rsidRPr="00A52AB8">
        <w:tab/>
        <w:t>stringByte[ posByte++ ]</w:t>
      </w:r>
      <w:r w:rsidR="00D47707" w:rsidRPr="00A52AB8">
        <w:t> = </w:t>
      </w:r>
      <w:r w:rsidR="00552C84" w:rsidRPr="00A52AB8">
        <w:t>TilePatch3dOffsetV[ t ][ p ] &amp; 0xFF</w:t>
      </w:r>
      <w:r w:rsidR="00552C84" w:rsidRPr="00A52AB8">
        <w:br/>
      </w:r>
      <w:r w:rsidR="008D1CF1" w:rsidRPr="00A52AB8">
        <w:tab/>
      </w:r>
      <w:r w:rsidR="008D1CF1" w:rsidRPr="00A52AB8">
        <w:tab/>
        <w:t>stringByte[ posByte++ ]</w:t>
      </w:r>
      <w:r w:rsidR="00D47707" w:rsidRPr="00A52AB8">
        <w:t> = </w:t>
      </w:r>
      <w:r w:rsidR="00552C84" w:rsidRPr="00A52AB8">
        <w:t>(TilePatch3dOffsetV[ t ][ p ] &gt;&gt; 8</w:t>
      </w:r>
      <w:r w:rsidR="00910F33" w:rsidRPr="00A52AB8">
        <w:t> </w:t>
      </w:r>
      <w:r w:rsidR="00552C84" w:rsidRPr="00A52AB8">
        <w:t>) &amp; 0xFF</w:t>
      </w:r>
      <w:r w:rsidR="00552C84" w:rsidRPr="00A52AB8">
        <w:br/>
      </w:r>
      <w:r w:rsidR="008D1CF1" w:rsidRPr="00A52AB8">
        <w:tab/>
      </w:r>
      <w:r w:rsidR="008D1CF1" w:rsidRPr="00A52AB8">
        <w:tab/>
        <w:t>stringByte[ posByte++ ]</w:t>
      </w:r>
      <w:r w:rsidR="00D47707" w:rsidRPr="00A52AB8">
        <w:t> = </w:t>
      </w:r>
      <w:r w:rsidR="00552C84" w:rsidRPr="00A52AB8">
        <w:t>TilePatch3dOffsetV[ t ][ p ] &amp; 0xFF</w:t>
      </w:r>
      <w:r w:rsidR="00552C84" w:rsidRPr="00A52AB8">
        <w:br/>
      </w:r>
      <w:r w:rsidR="008D1CF1" w:rsidRPr="00A52AB8">
        <w:tab/>
      </w:r>
      <w:r w:rsidR="008D1CF1" w:rsidRPr="00A52AB8">
        <w:tab/>
        <w:t>stringByte[ posByte++ ]</w:t>
      </w:r>
      <w:r w:rsidR="00D47707" w:rsidRPr="00A52AB8">
        <w:t> = </w:t>
      </w:r>
      <w:r w:rsidR="00552C84" w:rsidRPr="00A52AB8">
        <w:t>(TilePatch3dOffsetV[ t ][ p ] &gt;&gt;</w:t>
      </w:r>
      <w:r w:rsidR="00910F33" w:rsidRPr="00A52AB8">
        <w:t> </w:t>
      </w:r>
      <w:r w:rsidR="00552C84" w:rsidRPr="00A52AB8">
        <w:t>8</w:t>
      </w:r>
      <w:r w:rsidR="00910F33" w:rsidRPr="00A52AB8">
        <w:t> </w:t>
      </w:r>
      <w:r w:rsidR="00552C84" w:rsidRPr="00A52AB8">
        <w:t>) &amp; 0xFF</w:t>
      </w:r>
      <w:r w:rsidR="00552C84" w:rsidRPr="00A52AB8">
        <w:br/>
      </w:r>
      <w:r w:rsidR="008D1CF1" w:rsidRPr="00A52AB8">
        <w:tab/>
      </w:r>
      <w:r w:rsidR="008D1CF1" w:rsidRPr="00A52AB8">
        <w:tab/>
        <w:t>stringByte[ posByte++ ]</w:t>
      </w:r>
      <w:r w:rsidR="00D47707" w:rsidRPr="00A52AB8">
        <w:t> = </w:t>
      </w:r>
      <w:r w:rsidR="00552C84" w:rsidRPr="00A52AB8">
        <w:t>TilePatch3dOffsetD[ t ][ p ] &amp; 0xFF</w:t>
      </w:r>
      <w:r w:rsidR="00552C84" w:rsidRPr="00A52AB8">
        <w:br/>
      </w:r>
      <w:r w:rsidR="008D1CF1" w:rsidRPr="00A52AB8">
        <w:tab/>
      </w:r>
      <w:r w:rsidR="008D1CF1" w:rsidRPr="00A52AB8">
        <w:tab/>
        <w:t>stringByte[ posByte++ ]</w:t>
      </w:r>
      <w:r w:rsidR="00D47707" w:rsidRPr="00A52AB8">
        <w:t> = </w:t>
      </w:r>
      <w:r w:rsidR="00552C84" w:rsidRPr="00A52AB8">
        <w:t>(TilePatch3dOffsetD[ t ][ p ] &gt;&gt; 8</w:t>
      </w:r>
      <w:r w:rsidR="00910F33" w:rsidRPr="00A52AB8">
        <w:t> </w:t>
      </w:r>
      <w:r w:rsidR="00552C84" w:rsidRPr="00A52AB8">
        <w:t>) &amp; 0xFF</w:t>
      </w:r>
      <w:r w:rsidR="00552C84" w:rsidRPr="00A52AB8">
        <w:br/>
      </w:r>
      <w:r w:rsidR="008D1CF1" w:rsidRPr="00A52AB8">
        <w:tab/>
      </w:r>
      <w:r w:rsidR="008D1CF1" w:rsidRPr="00A52AB8">
        <w:tab/>
        <w:t>stringByte[ posByte++ ]</w:t>
      </w:r>
      <w:r w:rsidR="00D47707" w:rsidRPr="00A52AB8">
        <w:t> = </w:t>
      </w:r>
      <w:r w:rsidR="00552C84" w:rsidRPr="00A52AB8">
        <w:t>TilePatch3dRangeD[ t ][ p ] &amp; 0xFF</w:t>
      </w:r>
      <w:r w:rsidR="00552C84" w:rsidRPr="00A52AB8">
        <w:br/>
      </w:r>
      <w:r w:rsidR="008D1CF1" w:rsidRPr="00A52AB8">
        <w:tab/>
      </w:r>
      <w:r w:rsidR="008D1CF1" w:rsidRPr="00A52AB8">
        <w:tab/>
        <w:t>stringByte[ posByte++ ]</w:t>
      </w:r>
      <w:r w:rsidR="00D47707" w:rsidRPr="00A52AB8">
        <w:t> = </w:t>
      </w:r>
      <w:r w:rsidR="00552C84" w:rsidRPr="00A52AB8">
        <w:t>(TilePatch3dRangeD[ t ][ p ] &gt;&gt; 8</w:t>
      </w:r>
      <w:r w:rsidR="00910F33" w:rsidRPr="00A52AB8">
        <w:t> </w:t>
      </w:r>
      <w:r w:rsidR="00552C84" w:rsidRPr="00A52AB8">
        <w:t>) &amp; 0xFF</w:t>
      </w:r>
      <w:r w:rsidR="00552C84" w:rsidRPr="00A52AB8">
        <w:br/>
      </w:r>
      <w:r w:rsidR="008C0B42" w:rsidRPr="00A52AB8">
        <w:br/>
      </w:r>
      <w:r w:rsidR="008C0B42" w:rsidRPr="00A52AB8">
        <w:tab/>
      </w:r>
      <w:r w:rsidR="008C0B42" w:rsidRPr="00A52AB8">
        <w:tab/>
        <w:t>stringByte[ posByte++ ]</w:t>
      </w:r>
      <w:r w:rsidR="00D47707" w:rsidRPr="00A52AB8">
        <w:t> = </w:t>
      </w:r>
      <w:r w:rsidR="008C0B42" w:rsidRPr="00A52AB8">
        <w:t>TilePatchProjectionID[ t ][ p ] &amp; 0xFF</w:t>
      </w:r>
      <w:r w:rsidR="008C0B42" w:rsidRPr="00A52AB8">
        <w:br/>
      </w:r>
      <w:r w:rsidR="008D1CF1" w:rsidRPr="00A52AB8">
        <w:tab/>
      </w:r>
      <w:r w:rsidR="008D1CF1" w:rsidRPr="00A52AB8">
        <w:tab/>
        <w:t>stringByte[ posByte++ ]</w:t>
      </w:r>
      <w:r w:rsidR="00D47707" w:rsidRPr="00A52AB8">
        <w:t> = </w:t>
      </w:r>
      <w:r w:rsidR="00552C84" w:rsidRPr="00A52AB8">
        <w:t>TilePatchOrientationIndex[ t ][ p ] &amp; 0xFF</w:t>
      </w:r>
      <w:r w:rsidR="008C0B42" w:rsidRPr="00A52AB8">
        <w:br/>
      </w:r>
      <w:r w:rsidR="008450FD" w:rsidRPr="00A52AB8">
        <w:br/>
      </w:r>
      <w:r w:rsidR="008D1CF1" w:rsidRPr="00A52AB8">
        <w:tab/>
      </w:r>
      <w:r w:rsidR="008D1CF1" w:rsidRPr="00A52AB8">
        <w:tab/>
        <w:t>stringByte[ posByte++ ]</w:t>
      </w:r>
      <w:r w:rsidR="00D47707" w:rsidRPr="00A52AB8">
        <w:t> = </w:t>
      </w:r>
      <w:r w:rsidR="00552C84" w:rsidRPr="00A52AB8">
        <w:t>TilePatchLoDScaleX[ t ][ p ] &amp; 0xFF</w:t>
      </w:r>
      <w:r w:rsidR="00552C84" w:rsidRPr="00A52AB8">
        <w:br/>
      </w:r>
      <w:r w:rsidR="008D1CF1" w:rsidRPr="00A52AB8">
        <w:tab/>
      </w:r>
      <w:r w:rsidR="008D1CF1" w:rsidRPr="00A52AB8">
        <w:tab/>
        <w:t>stringByte[ posByte++ ]</w:t>
      </w:r>
      <w:r w:rsidR="00D47707" w:rsidRPr="00A52AB8">
        <w:t> = </w:t>
      </w:r>
      <w:r w:rsidR="00552C84" w:rsidRPr="00A52AB8">
        <w:t>(TilePatchLoDScaleX[ t ][ p ]</w:t>
      </w:r>
      <w:r w:rsidR="00C61E38" w:rsidRPr="00A52AB8">
        <w:t> </w:t>
      </w:r>
      <w:r w:rsidR="00552C84" w:rsidRPr="00A52AB8">
        <w:t>&gt;&gt;</w:t>
      </w:r>
      <w:r w:rsidR="00910F33" w:rsidRPr="00A52AB8">
        <w:t> </w:t>
      </w:r>
      <w:r w:rsidR="00552C84" w:rsidRPr="00A52AB8">
        <w:t>8</w:t>
      </w:r>
      <w:r w:rsidR="00910F33" w:rsidRPr="00A52AB8">
        <w:t> </w:t>
      </w:r>
      <w:r w:rsidR="00552C84" w:rsidRPr="00A52AB8">
        <w:t>) &amp; 0xFF</w:t>
      </w:r>
      <w:r w:rsidR="00552C84" w:rsidRPr="00A52AB8">
        <w:br/>
      </w:r>
      <w:r w:rsidR="008D1CF1" w:rsidRPr="00A52AB8">
        <w:tab/>
      </w:r>
      <w:r w:rsidR="008D1CF1" w:rsidRPr="00A52AB8">
        <w:tab/>
        <w:t>stringByte[ posByte++ ]</w:t>
      </w:r>
      <w:r w:rsidR="00D47707" w:rsidRPr="00A52AB8">
        <w:t> = </w:t>
      </w:r>
      <w:r w:rsidR="00552C84" w:rsidRPr="00A52AB8">
        <w:t>TilePatchLoDScaleY[ t ][ p ] &amp; 0xFF</w:t>
      </w:r>
      <w:r w:rsidR="00552C84" w:rsidRPr="00A52AB8">
        <w:br/>
      </w:r>
      <w:r w:rsidR="008D1CF1" w:rsidRPr="00A52AB8">
        <w:tab/>
      </w:r>
      <w:r w:rsidR="008D1CF1" w:rsidRPr="00A52AB8">
        <w:tab/>
        <w:t>stringByte[ posByte++ ]</w:t>
      </w:r>
      <w:r w:rsidR="00D47707" w:rsidRPr="00A52AB8">
        <w:t> = </w:t>
      </w:r>
      <w:r w:rsidR="00552C84" w:rsidRPr="00A52AB8">
        <w:t>(TilePatchLoDScaleY[ t ][ p ] &gt;&gt; 8) &amp; 0xFF</w:t>
      </w:r>
      <w:r w:rsidR="00552C84" w:rsidRPr="00A52AB8">
        <w:br/>
      </w:r>
      <w:r w:rsidR="008450FD" w:rsidRPr="00A52AB8">
        <w:br/>
      </w:r>
      <w:r w:rsidR="00461F41" w:rsidRPr="00A52AB8">
        <w:tab/>
      </w:r>
      <w:r w:rsidR="00461F41" w:rsidRPr="00A52AB8">
        <w:tab/>
        <w:t>return posByte</w:t>
      </w:r>
      <w:r w:rsidR="00461F41" w:rsidRPr="00A52AB8">
        <w:br/>
      </w:r>
      <w:r w:rsidRPr="00A52AB8">
        <w:tab/>
      </w:r>
      <w:r w:rsidR="00552C84" w:rsidRPr="00A52AB8">
        <w:t>}</w:t>
      </w:r>
    </w:p>
    <w:p w14:paraId="10096C7A" w14:textId="77777777" w:rsidR="008D1CF1" w:rsidRPr="00A52AB8" w:rsidRDefault="008D1CF1" w:rsidP="00EE3D19">
      <w:pPr>
        <w:pStyle w:val="a4"/>
        <w:numPr>
          <w:ilvl w:val="5"/>
          <w:numId w:val="19"/>
        </w:numPr>
        <w:tabs>
          <w:tab w:val="clear" w:pos="7200"/>
        </w:tabs>
        <w:outlineLvl w:val="5"/>
      </w:pPr>
      <w:bookmarkStart w:id="6009" w:name="_Ref49094700"/>
      <w:r w:rsidRPr="00A52AB8">
        <w:t>Application based tile patch string of bytes</w:t>
      </w:r>
      <w:bookmarkEnd w:id="6009"/>
    </w:p>
    <w:p w14:paraId="2EDBDE44" w14:textId="77777777" w:rsidR="008D1CF1" w:rsidRPr="00A52AB8" w:rsidRDefault="008D1CF1" w:rsidP="00FB4953">
      <w:r w:rsidRPr="00A52AB8">
        <w:t>Let the function TilePatchApplicationByteString( stringByte, posByte,</w:t>
      </w:r>
      <w:r w:rsidR="008450FD" w:rsidRPr="00A52AB8">
        <w:t> t,</w:t>
      </w:r>
      <w:r w:rsidRPr="00A52AB8">
        <w:t> p ) be defined as follows:</w:t>
      </w:r>
    </w:p>
    <w:p w14:paraId="01FB4DBA" w14:textId="6A2BB4F9" w:rsidR="00552C84" w:rsidRPr="00A52AB8" w:rsidRDefault="008D1CF1" w:rsidP="00007BE2">
      <w:pPr>
        <w:spacing w:before="120"/>
      </w:pPr>
      <w:r w:rsidRPr="00A52AB8">
        <w:tab/>
        <w:t>TilePatchApplicationByteString( stringByte, posByte,</w:t>
      </w:r>
      <w:r w:rsidR="008450FD" w:rsidRPr="00A52AB8">
        <w:t> t,</w:t>
      </w:r>
      <w:r w:rsidRPr="00A52AB8">
        <w:t> p</w:t>
      </w:r>
      <w:r w:rsidR="008F1F82" w:rsidRPr="00A52AB8">
        <w:t>) {</w:t>
      </w:r>
      <w:r w:rsidR="004776C4" w:rsidRPr="00A52AB8">
        <w:br/>
      </w:r>
      <w:r w:rsidR="00711CBE" w:rsidRPr="00A52AB8">
        <w:tab/>
      </w:r>
      <w:r w:rsidR="00711CBE" w:rsidRPr="00A52AB8">
        <w:tab/>
        <w:t>stringByte[ posByte++ ]</w:t>
      </w:r>
      <w:r w:rsidR="00D47707" w:rsidRPr="00A52AB8">
        <w:t> = </w:t>
      </w:r>
      <w:r w:rsidR="00711CBE" w:rsidRPr="00A52AB8">
        <w:t>TilePatchInAuxVideo[ p ] &amp; 0xFF</w:t>
      </w:r>
      <w:r w:rsidR="00711CBE" w:rsidRPr="00A52AB8">
        <w:br/>
      </w:r>
      <w:r w:rsidR="00711CBE" w:rsidRPr="00A52AB8">
        <w:tab/>
      </w:r>
      <w:r w:rsidR="00711CBE" w:rsidRPr="00A52AB8">
        <w:tab/>
      </w:r>
      <w:r w:rsidR="00D63ACE" w:rsidRPr="00A52AB8">
        <w:t>if(</w:t>
      </w:r>
      <w:r w:rsidR="00711CBE" w:rsidRPr="00A52AB8">
        <w:t> TilePatchType[ t ][ p ] </w:t>
      </w:r>
      <w:r w:rsidR="00726AAE" w:rsidRPr="00A52AB8">
        <w:t>==</w:t>
      </w:r>
      <w:r w:rsidR="00D47707" w:rsidRPr="00A52AB8">
        <w:t> </w:t>
      </w:r>
      <w:r w:rsidR="00711CBE" w:rsidRPr="00A52AB8">
        <w:t>RAW </w:t>
      </w:r>
      <w:r w:rsidR="008F1F82" w:rsidRPr="00A52AB8">
        <w:t>) {</w:t>
      </w:r>
      <w:r w:rsidR="00711CBE" w:rsidRPr="00A52AB8">
        <w:br/>
      </w:r>
      <w:r w:rsidR="00711CBE" w:rsidRPr="00A52AB8">
        <w:tab/>
      </w:r>
      <w:r w:rsidR="00711CBE" w:rsidRPr="00A52AB8">
        <w:tab/>
      </w:r>
      <w:r w:rsidR="00711CBE" w:rsidRPr="00A52AB8">
        <w:tab/>
        <w:t>stringByte[ posByte++ ]</w:t>
      </w:r>
      <w:r w:rsidR="00D47707" w:rsidRPr="00A52AB8">
        <w:t> = </w:t>
      </w:r>
      <w:r w:rsidR="00711CBE" w:rsidRPr="00A52AB8">
        <w:t>TilePatchRawPoints</w:t>
      </w:r>
      <w:r w:rsidR="003C56C3" w:rsidRPr="00A52AB8">
        <w:t>[</w:t>
      </w:r>
      <w:r w:rsidR="00711CBE" w:rsidRPr="00A52AB8">
        <w:t> p ] &amp; 0xFF</w:t>
      </w:r>
      <w:r w:rsidR="00711CBE" w:rsidRPr="00A52AB8">
        <w:br/>
      </w:r>
      <w:r w:rsidR="00711CBE" w:rsidRPr="00A52AB8">
        <w:tab/>
      </w:r>
      <w:r w:rsidR="00711CBE" w:rsidRPr="00A52AB8">
        <w:tab/>
      </w:r>
      <w:r w:rsidR="00711CBE" w:rsidRPr="00A52AB8">
        <w:tab/>
        <w:t>stringByte[ posByte++ ]</w:t>
      </w:r>
      <w:r w:rsidR="00D47707" w:rsidRPr="00A52AB8">
        <w:t> = </w:t>
      </w:r>
      <w:r w:rsidR="00711CBE" w:rsidRPr="00A52AB8">
        <w:t>( TilePatchRawPoints</w:t>
      </w:r>
      <w:r w:rsidR="003C56C3" w:rsidRPr="00A52AB8">
        <w:t>[</w:t>
      </w:r>
      <w:r w:rsidR="00711CBE" w:rsidRPr="00A52AB8">
        <w:t> p ] &gt;&gt; 8 ) &amp; 0xFF</w:t>
      </w:r>
      <w:r w:rsidR="00711CBE" w:rsidRPr="00A52AB8">
        <w:br/>
      </w:r>
      <w:r w:rsidR="00711CBE" w:rsidRPr="00A52AB8">
        <w:tab/>
      </w:r>
      <w:r w:rsidR="00711CBE" w:rsidRPr="00A52AB8">
        <w:tab/>
        <w:t>} else </w:t>
      </w:r>
      <w:r w:rsidR="00D63ACE" w:rsidRPr="00A52AB8">
        <w:t>if(</w:t>
      </w:r>
      <w:r w:rsidR="00711CBE" w:rsidRPr="00A52AB8">
        <w:t> TilePatchType[ t ][ p ] </w:t>
      </w:r>
      <w:r w:rsidR="00726AAE" w:rsidRPr="00A52AB8">
        <w:t>==</w:t>
      </w:r>
      <w:r w:rsidR="00D47707" w:rsidRPr="00A52AB8">
        <w:t> </w:t>
      </w:r>
      <w:r w:rsidR="00711CBE" w:rsidRPr="00A52AB8">
        <w:t>PROJECTED </w:t>
      </w:r>
      <w:r w:rsidR="008F1F82" w:rsidRPr="00A52AB8">
        <w:t>) {</w:t>
      </w:r>
      <w:r w:rsidR="00711CBE" w:rsidRPr="00A52AB8">
        <w:br/>
      </w:r>
      <w:r w:rsidR="00711CBE" w:rsidRPr="00A52AB8">
        <w:tab/>
      </w:r>
      <w:r w:rsidR="00711CBE" w:rsidRPr="00A52AB8">
        <w:tab/>
      </w:r>
      <w:r w:rsidR="00711CBE" w:rsidRPr="00A52AB8">
        <w:tab/>
        <w:t>blockCnt</w:t>
      </w:r>
      <w:r w:rsidR="00D47707" w:rsidRPr="00A52AB8">
        <w:t> = </w:t>
      </w:r>
      <w:r w:rsidR="00711CBE" w:rsidRPr="00A52AB8">
        <w:t>BlockCnt(</w:t>
      </w:r>
      <w:r w:rsidR="00C61E38" w:rsidRPr="00A52AB8">
        <w:t> </w:t>
      </w:r>
      <w:r w:rsidR="00711CBE" w:rsidRPr="00A52AB8">
        <w:t>AtlasPatch2dSizeX[ t ][ p ],</w:t>
      </w:r>
      <w:r w:rsidR="00C61E38" w:rsidRPr="00A52AB8">
        <w:t> </w:t>
      </w:r>
      <w:r w:rsidR="00711CBE" w:rsidRPr="00A52AB8">
        <w:t>AtlasPatch2dSizeY[ t ][ p ] )</w:t>
      </w:r>
      <w:r w:rsidR="00711CBE" w:rsidRPr="00A52AB8">
        <w:br/>
      </w:r>
      <w:r w:rsidR="00711CBE" w:rsidRPr="00A52AB8">
        <w:tab/>
      </w:r>
      <w:r w:rsidR="00711CBE" w:rsidRPr="00A52AB8">
        <w:tab/>
      </w:r>
      <w:r w:rsidR="00711CBE" w:rsidRPr="00A52AB8">
        <w:tab/>
        <w:t>for( m</w:t>
      </w:r>
      <w:r w:rsidR="00D47707" w:rsidRPr="00A52AB8">
        <w:t> = </w:t>
      </w:r>
      <w:r w:rsidR="00711CBE" w:rsidRPr="00A52AB8">
        <w:t>0; m &lt; asps_map_count_minus1 + 1; m++ </w:t>
      </w:r>
      <w:r w:rsidR="008F1F82" w:rsidRPr="00A52AB8">
        <w:t>) {</w:t>
      </w:r>
      <w:r w:rsidR="00711CBE" w:rsidRPr="00A52AB8">
        <w:br/>
      </w:r>
      <w:r w:rsidR="00711CBE" w:rsidRPr="00A52AB8">
        <w:tab/>
      </w:r>
      <w:r w:rsidR="00711CBE" w:rsidRPr="00A52AB8">
        <w:tab/>
      </w:r>
      <w:r w:rsidR="00711CBE" w:rsidRPr="00A52AB8">
        <w:tab/>
      </w:r>
      <w:r w:rsidR="00711CBE" w:rsidRPr="00A52AB8">
        <w:tab/>
        <w:t>if( plri_map_present_flag[ m ] </w:t>
      </w:r>
      <w:r w:rsidR="00726AAE" w:rsidRPr="00A52AB8">
        <w:t>==</w:t>
      </w:r>
      <w:r w:rsidR="00D47707" w:rsidRPr="00A52AB8">
        <w:t> </w:t>
      </w:r>
      <w:r w:rsidR="00711CBE" w:rsidRPr="00A52AB8">
        <w:t>1 </w:t>
      </w:r>
      <w:r w:rsidR="008F1F82" w:rsidRPr="00A52AB8">
        <w:t>) {</w:t>
      </w:r>
      <w:r w:rsidR="00711CBE" w:rsidRPr="00A52AB8">
        <w:br/>
      </w:r>
      <w:r w:rsidR="00711CBE" w:rsidRPr="00A52AB8">
        <w:tab/>
      </w:r>
      <w:r w:rsidR="00711CBE" w:rsidRPr="00A52AB8">
        <w:tab/>
      </w:r>
      <w:r w:rsidR="00711CBE" w:rsidRPr="00A52AB8">
        <w:tab/>
      </w:r>
      <w:r w:rsidR="00711CBE" w:rsidRPr="00A52AB8">
        <w:tab/>
      </w:r>
      <w:r w:rsidR="00711CBE" w:rsidRPr="00A52AB8">
        <w:tab/>
        <w:t>if(TilePlrdLevel[ t ][ p ][ m ] </w:t>
      </w:r>
      <w:r w:rsidR="00726AAE" w:rsidRPr="00A52AB8">
        <w:t>==</w:t>
      </w:r>
      <w:r w:rsidR="00D47707" w:rsidRPr="00A52AB8">
        <w:t> </w:t>
      </w:r>
      <w:r w:rsidR="00711CBE" w:rsidRPr="00A52AB8">
        <w:t>0 </w:t>
      </w:r>
      <w:r w:rsidR="008F1F82" w:rsidRPr="00A52AB8">
        <w:t>) {</w:t>
      </w:r>
      <w:r w:rsidR="00711CBE" w:rsidRPr="00A52AB8">
        <w:br/>
      </w:r>
      <w:r w:rsidR="00711CBE" w:rsidRPr="00A52AB8">
        <w:tab/>
      </w:r>
      <w:r w:rsidR="00711CBE" w:rsidRPr="00A52AB8">
        <w:tab/>
      </w:r>
      <w:r w:rsidR="00711CBE" w:rsidRPr="00A52AB8">
        <w:tab/>
      </w:r>
      <w:r w:rsidR="00711CBE" w:rsidRPr="00A52AB8">
        <w:tab/>
      </w:r>
      <w:r w:rsidR="00711CBE" w:rsidRPr="00A52AB8">
        <w:tab/>
      </w:r>
      <w:r w:rsidR="00711CBE" w:rsidRPr="00A52AB8">
        <w:tab/>
        <w:t>for( j</w:t>
      </w:r>
      <w:r w:rsidR="00D47707" w:rsidRPr="00A52AB8">
        <w:t> = </w:t>
      </w:r>
      <w:r w:rsidR="00711CBE" w:rsidRPr="00A52AB8">
        <w:t>0; j &lt; blockCnt; j++ </w:t>
      </w:r>
      <w:r w:rsidR="008F1F82" w:rsidRPr="00A52AB8">
        <w:t>) {</w:t>
      </w:r>
      <w:r w:rsidR="00711CBE" w:rsidRPr="00A52AB8">
        <w:br/>
      </w:r>
      <w:r w:rsidR="00711CBE" w:rsidRPr="00A52AB8">
        <w:tab/>
      </w:r>
      <w:r w:rsidR="00711CBE" w:rsidRPr="00A52AB8">
        <w:tab/>
      </w:r>
      <w:r w:rsidR="00711CBE" w:rsidRPr="00A52AB8">
        <w:tab/>
      </w:r>
      <w:r w:rsidR="00711CBE" w:rsidRPr="00A52AB8">
        <w:tab/>
      </w:r>
      <w:r w:rsidR="00711CBE" w:rsidRPr="00A52AB8">
        <w:tab/>
      </w:r>
      <w:r w:rsidR="00711CBE" w:rsidRPr="00A52AB8">
        <w:tab/>
      </w:r>
      <w:r w:rsidR="00711CBE" w:rsidRPr="00A52AB8">
        <w:tab/>
        <w:t>stringByte[ posByte++ ] =</w:t>
      </w:r>
      <w:r w:rsidR="00C61E38" w:rsidRPr="00A52AB8">
        <w:br/>
      </w:r>
      <w:r w:rsidR="00711CBE" w:rsidRPr="00A52AB8">
        <w:tab/>
      </w:r>
      <w:r w:rsidR="00711CBE" w:rsidRPr="00A52AB8">
        <w:tab/>
      </w:r>
      <w:r w:rsidR="00711CBE" w:rsidRPr="00A52AB8">
        <w:tab/>
      </w:r>
      <w:r w:rsidR="00711CBE" w:rsidRPr="00A52AB8">
        <w:tab/>
      </w:r>
      <w:r w:rsidR="00711CBE" w:rsidRPr="00A52AB8">
        <w:tab/>
      </w:r>
      <w:r w:rsidR="00711CBE" w:rsidRPr="00A52AB8">
        <w:tab/>
      </w:r>
      <w:r w:rsidR="00711CBE" w:rsidRPr="00A52AB8">
        <w:tab/>
      </w:r>
      <w:r w:rsidR="00711CBE" w:rsidRPr="00A52AB8">
        <w:tab/>
        <w:t>TilePatchPlrdBlockModeMinus1[ t ][ p ][ m ][ j ] &amp; 0xFF</w:t>
      </w:r>
      <w:r w:rsidR="00711CBE" w:rsidRPr="00A52AB8">
        <w:br/>
      </w:r>
      <w:r w:rsidR="00711CBE" w:rsidRPr="00A52AB8">
        <w:tab/>
      </w:r>
      <w:r w:rsidR="00711CBE" w:rsidRPr="00A52AB8">
        <w:tab/>
      </w:r>
      <w:r w:rsidR="00711CBE" w:rsidRPr="00A52AB8">
        <w:tab/>
      </w:r>
      <w:r w:rsidR="00711CBE" w:rsidRPr="00A52AB8">
        <w:tab/>
      </w:r>
      <w:r w:rsidR="00711CBE" w:rsidRPr="00A52AB8">
        <w:tab/>
      </w:r>
      <w:r w:rsidR="00711CBE" w:rsidRPr="00A52AB8">
        <w:tab/>
      </w:r>
      <w:r w:rsidR="00711CBE" w:rsidRPr="00A52AB8">
        <w:tab/>
        <w:t>stringByte[ posByte++ ]=</w:t>
      </w:r>
      <w:r w:rsidR="00C61E38" w:rsidRPr="00A52AB8">
        <w:br/>
      </w:r>
      <w:r w:rsidR="00711CBE" w:rsidRPr="00A52AB8">
        <w:tab/>
      </w:r>
      <w:r w:rsidR="00711CBE" w:rsidRPr="00A52AB8">
        <w:tab/>
      </w:r>
      <w:r w:rsidR="00711CBE" w:rsidRPr="00A52AB8">
        <w:tab/>
      </w:r>
      <w:r w:rsidR="00711CBE" w:rsidRPr="00A52AB8">
        <w:tab/>
      </w:r>
      <w:r w:rsidR="00711CBE" w:rsidRPr="00A52AB8">
        <w:tab/>
      </w:r>
      <w:r w:rsidR="00711CBE" w:rsidRPr="00A52AB8">
        <w:tab/>
      </w:r>
      <w:r w:rsidR="00711CBE" w:rsidRPr="00A52AB8">
        <w:tab/>
      </w:r>
      <w:r w:rsidR="00711CBE" w:rsidRPr="00A52AB8">
        <w:tab/>
        <w:t>(TilePatchPlrdBlockModeMinus1[ t ][ p ][ m ][ j ] &gt;&gt; 8 ) &amp; 0xFF</w:t>
      </w:r>
      <w:r w:rsidR="00711CBE" w:rsidRPr="00A52AB8">
        <w:br/>
      </w:r>
      <w:r w:rsidR="00711CBE" w:rsidRPr="00A52AB8">
        <w:tab/>
      </w:r>
      <w:r w:rsidR="00711CBE" w:rsidRPr="00A52AB8">
        <w:tab/>
      </w:r>
      <w:r w:rsidR="00711CBE" w:rsidRPr="00A52AB8">
        <w:tab/>
      </w:r>
      <w:r w:rsidR="00711CBE" w:rsidRPr="00A52AB8">
        <w:tab/>
      </w:r>
      <w:r w:rsidR="00711CBE" w:rsidRPr="00A52AB8">
        <w:tab/>
      </w:r>
      <w:r w:rsidR="00711CBE" w:rsidRPr="00A52AB8">
        <w:tab/>
        <w:t>}</w:t>
      </w:r>
      <w:r w:rsidR="00711CBE" w:rsidRPr="00A52AB8">
        <w:br/>
      </w:r>
      <w:r w:rsidR="00711CBE" w:rsidRPr="00A52AB8">
        <w:tab/>
      </w:r>
      <w:r w:rsidR="00711CBE" w:rsidRPr="00A52AB8">
        <w:tab/>
      </w:r>
      <w:r w:rsidR="00711CBE" w:rsidRPr="00A52AB8">
        <w:tab/>
      </w:r>
      <w:r w:rsidR="00711CBE" w:rsidRPr="00A52AB8">
        <w:tab/>
      </w:r>
      <w:r w:rsidR="00711CBE" w:rsidRPr="00A52AB8">
        <w:tab/>
      </w:r>
      <w:r w:rsidR="0023721F" w:rsidRPr="00A52AB8">
        <w:t>} else {</w:t>
      </w:r>
      <w:r w:rsidR="00711CBE" w:rsidRPr="00A52AB8">
        <w:br/>
      </w:r>
      <w:r w:rsidR="00711CBE" w:rsidRPr="00A52AB8">
        <w:tab/>
      </w:r>
      <w:r w:rsidR="00711CBE" w:rsidRPr="00A52AB8">
        <w:tab/>
      </w:r>
      <w:r w:rsidR="00711CBE" w:rsidRPr="00A52AB8">
        <w:tab/>
      </w:r>
      <w:r w:rsidR="00711CBE" w:rsidRPr="00A52AB8">
        <w:tab/>
      </w:r>
      <w:r w:rsidR="00711CBE" w:rsidRPr="00A52AB8">
        <w:tab/>
      </w:r>
      <w:r w:rsidR="00711CBE" w:rsidRPr="00A52AB8">
        <w:tab/>
        <w:t>stringByte[ posByte++ ]</w:t>
      </w:r>
      <w:r w:rsidR="00D47707" w:rsidRPr="00A52AB8">
        <w:t> = </w:t>
      </w:r>
      <w:r w:rsidR="00711CBE" w:rsidRPr="00A52AB8">
        <w:t>TilePatchPlrdModeMinus1[ t ][ p ][ m ] &amp; 0xFF</w:t>
      </w:r>
      <w:r w:rsidR="00C61E38" w:rsidRPr="00A52AB8">
        <w:br/>
      </w:r>
      <w:r w:rsidR="00711CBE" w:rsidRPr="00A52AB8">
        <w:tab/>
      </w:r>
      <w:r w:rsidR="00711CBE" w:rsidRPr="00A52AB8">
        <w:tab/>
      </w:r>
      <w:r w:rsidR="00711CBE" w:rsidRPr="00A52AB8">
        <w:tab/>
      </w:r>
      <w:r w:rsidR="00711CBE" w:rsidRPr="00A52AB8">
        <w:tab/>
      </w:r>
      <w:r w:rsidR="00711CBE" w:rsidRPr="00A52AB8">
        <w:tab/>
      </w:r>
      <w:r w:rsidR="00711CBE" w:rsidRPr="00A52AB8">
        <w:tab/>
        <w:t>stringByte[ posByte++ ] =</w:t>
      </w:r>
      <w:r w:rsidR="00C61E38" w:rsidRPr="00A52AB8">
        <w:br/>
      </w:r>
      <w:r w:rsidR="00711CBE" w:rsidRPr="00A52AB8">
        <w:tab/>
      </w:r>
      <w:r w:rsidR="00711CBE" w:rsidRPr="00A52AB8">
        <w:tab/>
      </w:r>
      <w:r w:rsidR="00711CBE" w:rsidRPr="00A52AB8">
        <w:tab/>
      </w:r>
      <w:r w:rsidR="00711CBE" w:rsidRPr="00A52AB8">
        <w:tab/>
      </w:r>
      <w:r w:rsidR="00711CBE" w:rsidRPr="00A52AB8">
        <w:tab/>
      </w:r>
      <w:r w:rsidR="00711CBE" w:rsidRPr="00A52AB8">
        <w:tab/>
      </w:r>
      <w:r w:rsidR="00711CBE" w:rsidRPr="00A52AB8">
        <w:tab/>
        <w:t>(TilePatchPlrdBlockModeMinus1[ t ][ p ][ m ] &gt;&gt; 8 ) &amp; 0xFF</w:t>
      </w:r>
      <w:r w:rsidR="00711CBE" w:rsidRPr="00A52AB8">
        <w:br/>
      </w:r>
      <w:r w:rsidR="00711CBE" w:rsidRPr="00A52AB8">
        <w:tab/>
      </w:r>
      <w:r w:rsidR="00711CBE" w:rsidRPr="00A52AB8">
        <w:tab/>
      </w:r>
      <w:r w:rsidR="00711CBE" w:rsidRPr="00A52AB8">
        <w:tab/>
      </w:r>
      <w:r w:rsidR="00711CBE" w:rsidRPr="00A52AB8">
        <w:tab/>
      </w:r>
      <w:r w:rsidR="00711CBE" w:rsidRPr="00A52AB8">
        <w:tab/>
        <w:t>}</w:t>
      </w:r>
      <w:r w:rsidR="00711CBE" w:rsidRPr="00A52AB8">
        <w:br/>
      </w:r>
      <w:r w:rsidR="00711CBE" w:rsidRPr="00A52AB8">
        <w:tab/>
      </w:r>
      <w:r w:rsidR="00711CBE" w:rsidRPr="00A52AB8">
        <w:tab/>
      </w:r>
      <w:r w:rsidR="00711CBE" w:rsidRPr="00A52AB8">
        <w:tab/>
      </w:r>
      <w:r w:rsidR="00711CBE" w:rsidRPr="00A52AB8">
        <w:tab/>
        <w:t>}</w:t>
      </w:r>
      <w:r w:rsidR="00711CBE" w:rsidRPr="00A52AB8">
        <w:br/>
      </w:r>
      <w:r w:rsidR="00711CBE" w:rsidRPr="00A52AB8">
        <w:tab/>
      </w:r>
      <w:r w:rsidR="00711CBE" w:rsidRPr="00A52AB8">
        <w:tab/>
      </w:r>
      <w:r w:rsidR="00711CBE" w:rsidRPr="00A52AB8">
        <w:tab/>
        <w:t>}</w:t>
      </w:r>
      <w:r w:rsidR="00711CBE" w:rsidRPr="00A52AB8">
        <w:br/>
      </w:r>
      <w:r w:rsidR="00711CBE" w:rsidRPr="00A52AB8">
        <w:tab/>
      </w:r>
      <w:r w:rsidR="00711CBE" w:rsidRPr="00A52AB8">
        <w:tab/>
        <w:t>} else if( TilePatchType[ tileID ][ p ] </w:t>
      </w:r>
      <w:r w:rsidR="00726AAE" w:rsidRPr="00A52AB8">
        <w:t>==</w:t>
      </w:r>
      <w:r w:rsidR="00D47707" w:rsidRPr="00A52AB8">
        <w:t> </w:t>
      </w:r>
      <w:r w:rsidR="00711CBE" w:rsidRPr="00A52AB8">
        <w:t>EOM </w:t>
      </w:r>
      <w:r w:rsidR="008F1F82" w:rsidRPr="00A52AB8">
        <w:t>) {</w:t>
      </w:r>
      <w:r w:rsidR="00711CBE" w:rsidRPr="00A52AB8">
        <w:br/>
      </w:r>
      <w:r w:rsidR="00711CBE" w:rsidRPr="00A52AB8">
        <w:tab/>
      </w:r>
      <w:r w:rsidR="00711CBE" w:rsidRPr="00A52AB8">
        <w:tab/>
      </w:r>
      <w:r w:rsidR="00711CBE" w:rsidRPr="00A52AB8">
        <w:tab/>
        <w:t>stringByte[ posByte++ ]</w:t>
      </w:r>
      <w:r w:rsidR="00D47707" w:rsidRPr="00A52AB8">
        <w:t> = </w:t>
      </w:r>
      <w:r w:rsidR="00711CBE" w:rsidRPr="00A52AB8">
        <w:t>TilePatchEOMPatchCount[ t ][ p ] &amp; 0xFF</w:t>
      </w:r>
      <w:r w:rsidR="00711CBE" w:rsidRPr="00A52AB8">
        <w:br/>
      </w:r>
      <w:r w:rsidR="00711CBE" w:rsidRPr="00A52AB8">
        <w:tab/>
      </w:r>
      <w:r w:rsidR="00711CBE" w:rsidRPr="00A52AB8">
        <w:tab/>
      </w:r>
      <w:r w:rsidR="00711CBE" w:rsidRPr="00A52AB8">
        <w:tab/>
        <w:t>stringByte[ posByte++ ]</w:t>
      </w:r>
      <w:r w:rsidR="00D47707" w:rsidRPr="00A52AB8">
        <w:t> = </w:t>
      </w:r>
      <w:r w:rsidR="00711CBE" w:rsidRPr="00A52AB8">
        <w:t>(TilePatchEOMPatchCount[ t ][ p ] &gt;&gt; 8 ) &amp; 0xFF</w:t>
      </w:r>
      <w:r w:rsidR="00711CBE" w:rsidRPr="00A52AB8">
        <w:br/>
      </w:r>
      <w:r w:rsidR="00711CBE" w:rsidRPr="00A52AB8">
        <w:tab/>
      </w:r>
      <w:r w:rsidR="00711CBE" w:rsidRPr="00A52AB8">
        <w:tab/>
      </w:r>
      <w:r w:rsidR="00711CBE" w:rsidRPr="00A52AB8">
        <w:tab/>
        <w:t>for( i</w:t>
      </w:r>
      <w:r w:rsidR="00D47707" w:rsidRPr="00A52AB8">
        <w:t> = </w:t>
      </w:r>
      <w:r w:rsidR="00711CBE" w:rsidRPr="00A52AB8">
        <w:t>0; i &lt; TilePatchEomPatchCount[ t ][ p ]; i++ </w:t>
      </w:r>
      <w:r w:rsidR="008F1F82" w:rsidRPr="00A52AB8">
        <w:t>) {</w:t>
      </w:r>
      <w:r w:rsidR="00711CBE" w:rsidRPr="00A52AB8">
        <w:br/>
      </w:r>
      <w:r w:rsidR="00711CBE" w:rsidRPr="00A52AB8">
        <w:tab/>
      </w:r>
      <w:r w:rsidR="00711CBE" w:rsidRPr="00A52AB8">
        <w:tab/>
      </w:r>
      <w:r w:rsidR="00711CBE" w:rsidRPr="00A52AB8">
        <w:tab/>
      </w:r>
      <w:r w:rsidR="00711CBE" w:rsidRPr="00A52AB8">
        <w:tab/>
        <w:t>stringByte[ posByte++ ]</w:t>
      </w:r>
      <w:r w:rsidR="00D47707" w:rsidRPr="00A52AB8">
        <w:t> = </w:t>
      </w:r>
      <w:r w:rsidR="00711CBE" w:rsidRPr="00A52AB8">
        <w:t>TileEpduPoints[ t ][ p ][ i ] &amp; 0xFF</w:t>
      </w:r>
      <w:r w:rsidR="00711CBE" w:rsidRPr="00A52AB8">
        <w:br/>
      </w:r>
      <w:r w:rsidR="00711CBE" w:rsidRPr="00A52AB8">
        <w:tab/>
      </w:r>
      <w:r w:rsidR="00711CBE" w:rsidRPr="00A52AB8">
        <w:tab/>
      </w:r>
      <w:r w:rsidR="00711CBE" w:rsidRPr="00A52AB8">
        <w:tab/>
      </w:r>
      <w:r w:rsidR="00711CBE" w:rsidRPr="00A52AB8">
        <w:tab/>
        <w:t>stringByte[ posByte++ ]</w:t>
      </w:r>
      <w:r w:rsidR="00D47707" w:rsidRPr="00A52AB8">
        <w:t> = </w:t>
      </w:r>
      <w:r w:rsidR="00711CBE" w:rsidRPr="00A52AB8">
        <w:t>(TileEpduPoints[ t ][ p ][ i ] &gt;&gt; 8 ) &amp; 0xFF</w:t>
      </w:r>
      <w:r w:rsidR="00711CBE" w:rsidRPr="00A52AB8">
        <w:br/>
      </w:r>
      <w:r w:rsidR="00711CBE" w:rsidRPr="00A52AB8">
        <w:tab/>
      </w:r>
      <w:r w:rsidR="00711CBE" w:rsidRPr="00A52AB8">
        <w:tab/>
      </w:r>
      <w:r w:rsidR="00711CBE" w:rsidRPr="00A52AB8">
        <w:tab/>
        <w:t>}</w:t>
      </w:r>
      <w:r w:rsidR="00711CBE" w:rsidRPr="00A52AB8">
        <w:br/>
      </w:r>
      <w:r w:rsidR="00711CBE" w:rsidRPr="00A52AB8">
        <w:tab/>
      </w:r>
      <w:r w:rsidR="00711CBE" w:rsidRPr="00A52AB8">
        <w:tab/>
        <w:t>}</w:t>
      </w:r>
      <w:r w:rsidR="00711CBE" w:rsidRPr="00A52AB8">
        <w:br/>
      </w:r>
      <w:r w:rsidR="00461F41" w:rsidRPr="00A52AB8">
        <w:tab/>
      </w:r>
      <w:r w:rsidR="00461F41" w:rsidRPr="00A52AB8">
        <w:tab/>
        <w:t>return posByte</w:t>
      </w:r>
      <w:r w:rsidR="00461F41" w:rsidRPr="00A52AB8">
        <w:br/>
      </w:r>
      <w:r w:rsidRPr="00A52AB8">
        <w:tab/>
      </w:r>
      <w:r w:rsidR="00552C84" w:rsidRPr="00A52AB8">
        <w:t>}</w:t>
      </w:r>
    </w:p>
    <w:p w14:paraId="04D83BCB" w14:textId="77777777" w:rsidR="00842EEB" w:rsidRPr="00A52AB8" w:rsidRDefault="00842EEB" w:rsidP="00EE3D19">
      <w:pPr>
        <w:pStyle w:val="a4"/>
        <w:numPr>
          <w:ilvl w:val="4"/>
          <w:numId w:val="19"/>
        </w:numPr>
        <w:tabs>
          <w:tab w:val="clear" w:pos="7200"/>
        </w:tabs>
        <w:outlineLvl w:val="4"/>
      </w:pPr>
      <w:bookmarkStart w:id="6010" w:name="_Toc47886708"/>
      <w:bookmarkStart w:id="6011" w:name="_Toc47887116"/>
      <w:bookmarkStart w:id="6012" w:name="_Toc47887524"/>
      <w:bookmarkStart w:id="6013" w:name="_Toc47887932"/>
      <w:bookmarkStart w:id="6014" w:name="_Toc47952018"/>
      <w:bookmarkStart w:id="6015" w:name="_Toc47983085"/>
      <w:bookmarkStart w:id="6016" w:name="_Toc47886709"/>
      <w:bookmarkStart w:id="6017" w:name="_Toc47887117"/>
      <w:bookmarkStart w:id="6018" w:name="_Toc47887525"/>
      <w:bookmarkStart w:id="6019" w:name="_Toc47887933"/>
      <w:bookmarkStart w:id="6020" w:name="_Toc47952019"/>
      <w:bookmarkStart w:id="6021" w:name="_Toc47983086"/>
      <w:bookmarkStart w:id="6022" w:name="_Toc47886710"/>
      <w:bookmarkStart w:id="6023" w:name="_Toc47887118"/>
      <w:bookmarkStart w:id="6024" w:name="_Toc47887526"/>
      <w:bookmarkStart w:id="6025" w:name="_Toc47887934"/>
      <w:bookmarkStart w:id="6026" w:name="_Toc47952020"/>
      <w:bookmarkStart w:id="6027" w:name="_Toc47983087"/>
      <w:bookmarkStart w:id="6028" w:name="_Ref44510974"/>
      <w:bookmarkEnd w:id="6010"/>
      <w:bookmarkEnd w:id="6011"/>
      <w:bookmarkEnd w:id="6012"/>
      <w:bookmarkEnd w:id="6013"/>
      <w:bookmarkEnd w:id="6014"/>
      <w:bookmarkEnd w:id="6015"/>
      <w:bookmarkEnd w:id="6016"/>
      <w:bookmarkEnd w:id="6017"/>
      <w:bookmarkEnd w:id="6018"/>
      <w:bookmarkEnd w:id="6019"/>
      <w:bookmarkEnd w:id="6020"/>
      <w:bookmarkEnd w:id="6021"/>
      <w:bookmarkEnd w:id="6022"/>
      <w:bookmarkEnd w:id="6023"/>
      <w:bookmarkEnd w:id="6024"/>
      <w:bookmarkEnd w:id="6025"/>
      <w:bookmarkEnd w:id="6026"/>
      <w:bookmarkEnd w:id="6027"/>
      <w:r w:rsidRPr="00A52AB8">
        <w:t>Atlas block to patch string of bytes</w:t>
      </w:r>
      <w:bookmarkEnd w:id="6028"/>
    </w:p>
    <w:p w14:paraId="767A7FD5" w14:textId="35829841" w:rsidR="00943895" w:rsidRPr="00A52AB8" w:rsidRDefault="00943895" w:rsidP="00943895">
      <w:r w:rsidRPr="00A52AB8">
        <w:t xml:space="preserve">In this subclause, </w:t>
      </w:r>
      <w:r w:rsidR="0069169A" w:rsidRPr="00A52AB8">
        <w:t xml:space="preserve">using </w:t>
      </w:r>
      <w:r w:rsidRPr="00A52AB8">
        <w:t>the block to patch maps from each atlas</w:t>
      </w:r>
      <w:r w:rsidR="00894044" w:rsidRPr="00A52AB8">
        <w:t xml:space="preserve">, as defined in subclause </w:t>
      </w:r>
      <w:r w:rsidR="00894044" w:rsidRPr="00496A4D">
        <w:fldChar w:fldCharType="begin"/>
      </w:r>
      <w:r w:rsidR="00894044" w:rsidRPr="00A52AB8">
        <w:instrText xml:space="preserve"> REF _Ref47696990 \r \h </w:instrText>
      </w:r>
      <w:r w:rsidR="00851254" w:rsidRPr="00A52AB8">
        <w:instrText xml:space="preserve"> \* MERGEFORMAT </w:instrText>
      </w:r>
      <w:r w:rsidR="00894044" w:rsidRPr="00496A4D">
        <w:fldChar w:fldCharType="separate"/>
      </w:r>
      <w:r w:rsidR="00507A67">
        <w:t>9.2.7.2</w:t>
      </w:r>
      <w:r w:rsidR="00894044" w:rsidRPr="00496A4D">
        <w:fldChar w:fldCharType="end"/>
      </w:r>
      <w:r w:rsidR="002A5241" w:rsidRPr="00A52AB8">
        <w:t>,</w:t>
      </w:r>
      <w:r w:rsidRPr="00A52AB8">
        <w:t xml:space="preserve"> </w:t>
      </w:r>
      <w:r w:rsidR="00894044" w:rsidRPr="00A52AB8">
        <w:t xml:space="preserve">an </w:t>
      </w:r>
      <w:r w:rsidRPr="00A52AB8">
        <w:t>array,</w:t>
      </w:r>
      <w:r w:rsidR="00894044" w:rsidRPr="00A52AB8">
        <w:t xml:space="preserve"> </w:t>
      </w:r>
      <w:r w:rsidRPr="00A52AB8">
        <w:t>AtlasB2</w:t>
      </w:r>
      <w:r w:rsidR="00DB6BD9" w:rsidRPr="00A52AB8">
        <w:t>P</w:t>
      </w:r>
      <w:r w:rsidRPr="00A52AB8">
        <w:t xml:space="preserve">Data and </w:t>
      </w:r>
      <w:r w:rsidR="00DB6BD9" w:rsidRPr="00A52AB8">
        <w:t>a</w:t>
      </w:r>
      <w:r w:rsidRPr="00A52AB8">
        <w:t xml:space="preserve"> variable </w:t>
      </w:r>
      <w:r w:rsidR="00DB6BD9" w:rsidRPr="00A52AB8">
        <w:t>Atlas</w:t>
      </w:r>
      <w:r w:rsidR="00894044" w:rsidRPr="00A52AB8">
        <w:t>B2</w:t>
      </w:r>
      <w:r w:rsidR="00DB6BD9" w:rsidRPr="00A52AB8">
        <w:t>PDataBytes</w:t>
      </w:r>
      <w:r w:rsidRPr="00A52AB8">
        <w:t>,</w:t>
      </w:r>
      <w:r w:rsidR="003D34DA" w:rsidRPr="00A52AB8">
        <w:t>providing the length of the array in bytes</w:t>
      </w:r>
      <w:r w:rsidR="00E22311" w:rsidRPr="00A52AB8">
        <w:t>,</w:t>
      </w:r>
      <w:r w:rsidRPr="00A52AB8">
        <w:t xml:space="preserve"> </w:t>
      </w:r>
      <w:r w:rsidR="002A5241" w:rsidRPr="00A52AB8">
        <w:t>are derived and set as output of this process as follows</w:t>
      </w:r>
      <w:r w:rsidRPr="00A52AB8">
        <w:t>:</w:t>
      </w:r>
    </w:p>
    <w:p w14:paraId="5BC5E1C5" w14:textId="6BEF4129" w:rsidR="00756D76" w:rsidRPr="00A52AB8" w:rsidRDefault="00DD3626" w:rsidP="007656E5">
      <w:pPr>
        <w:rPr>
          <w:lang w:eastAsia="ja-JP"/>
        </w:rPr>
      </w:pPr>
      <w:r w:rsidRPr="00A52AB8">
        <w:rPr>
          <w:lang w:eastAsia="ja-JP"/>
        </w:rPr>
        <w:tab/>
      </w:r>
      <w:r w:rsidR="003D34DA" w:rsidRPr="00A52AB8">
        <w:rPr>
          <w:lang w:eastAsia="ja-JP"/>
        </w:rPr>
        <w:t>Atlas</w:t>
      </w:r>
      <w:r w:rsidR="00DA4019" w:rsidRPr="00A52AB8">
        <w:rPr>
          <w:lang w:eastAsia="ja-JP"/>
        </w:rPr>
        <w:t>B</w:t>
      </w:r>
      <w:r w:rsidR="00510219" w:rsidRPr="00A52AB8">
        <w:rPr>
          <w:lang w:eastAsia="ja-JP"/>
        </w:rPr>
        <w:t>2</w:t>
      </w:r>
      <w:r w:rsidR="003D34DA" w:rsidRPr="00A52AB8">
        <w:rPr>
          <w:lang w:eastAsia="ja-JP"/>
        </w:rPr>
        <w:t>PDataBytes</w:t>
      </w:r>
      <w:r w:rsidR="00D47707" w:rsidRPr="00A52AB8">
        <w:rPr>
          <w:lang w:eastAsia="ja-JP"/>
        </w:rPr>
        <w:t> = </w:t>
      </w:r>
      <w:r w:rsidR="00510219" w:rsidRPr="00A52AB8">
        <w:rPr>
          <w:lang w:eastAsia="ja-JP"/>
        </w:rPr>
        <w:t>0</w:t>
      </w:r>
      <w:r w:rsidR="002E7882" w:rsidRPr="00A52AB8">
        <w:rPr>
          <w:lang w:eastAsia="ja-JP"/>
        </w:rPr>
        <w:br/>
      </w:r>
      <w:r w:rsidRPr="00A52AB8">
        <w:rPr>
          <w:color w:val="000000" w:themeColor="text1"/>
        </w:rPr>
        <w:tab/>
      </w:r>
      <w:r w:rsidR="00756D76" w:rsidRPr="00A52AB8">
        <w:rPr>
          <w:color w:val="000000" w:themeColor="text1"/>
        </w:rPr>
        <w:t>for( y</w:t>
      </w:r>
      <w:r w:rsidR="00D47707" w:rsidRPr="00A52AB8">
        <w:rPr>
          <w:color w:val="000000" w:themeColor="text1"/>
        </w:rPr>
        <w:t> = </w:t>
      </w:r>
      <w:r w:rsidR="00756D76" w:rsidRPr="00A52AB8">
        <w:rPr>
          <w:color w:val="000000" w:themeColor="text1"/>
        </w:rPr>
        <w:t>0; y &lt; </w:t>
      </w:r>
      <w:r w:rsidR="00756D76" w:rsidRPr="00A52AB8">
        <w:rPr>
          <w:lang w:eastAsia="ja-JP"/>
        </w:rPr>
        <w:t>AtlasBlockToPatchMapHeight</w:t>
      </w:r>
      <w:r w:rsidR="00756D76" w:rsidRPr="00A52AB8">
        <w:rPr>
          <w:color w:val="000000" w:themeColor="text1"/>
        </w:rPr>
        <w:t>; y</w:t>
      </w:r>
      <w:r w:rsidR="00006CCF" w:rsidRPr="00A52AB8">
        <w:rPr>
          <w:color w:val="000000" w:themeColor="text1"/>
        </w:rPr>
        <w:t>++ </w:t>
      </w:r>
      <w:r w:rsidR="008F1F82" w:rsidRPr="00A52AB8">
        <w:rPr>
          <w:color w:val="000000" w:themeColor="text1"/>
        </w:rPr>
        <w:t>) {</w:t>
      </w:r>
      <w:r w:rsidR="00756D76" w:rsidRPr="00A52AB8">
        <w:rPr>
          <w:color w:val="000000" w:themeColor="text1"/>
        </w:rPr>
        <w:br/>
      </w:r>
      <w:r w:rsidR="00756D76" w:rsidRPr="00A52AB8">
        <w:rPr>
          <w:color w:val="000000" w:themeColor="text1"/>
        </w:rPr>
        <w:tab/>
      </w:r>
      <w:r w:rsidRPr="00A52AB8">
        <w:rPr>
          <w:color w:val="000000" w:themeColor="text1"/>
        </w:rPr>
        <w:tab/>
      </w:r>
      <w:r w:rsidR="00756D76" w:rsidRPr="00A52AB8">
        <w:rPr>
          <w:color w:val="000000" w:themeColor="text1"/>
        </w:rPr>
        <w:t>for( x</w:t>
      </w:r>
      <w:r w:rsidR="00D47707" w:rsidRPr="00A52AB8">
        <w:rPr>
          <w:color w:val="000000" w:themeColor="text1"/>
        </w:rPr>
        <w:t> = </w:t>
      </w:r>
      <w:r w:rsidR="00756D76" w:rsidRPr="00A52AB8">
        <w:rPr>
          <w:color w:val="000000" w:themeColor="text1"/>
        </w:rPr>
        <w:t>0; x &lt; </w:t>
      </w:r>
      <w:r w:rsidR="00756D76" w:rsidRPr="00A52AB8">
        <w:rPr>
          <w:lang w:eastAsia="ja-JP"/>
        </w:rPr>
        <w:t>AtlasBlockToPatchMapWidth</w:t>
      </w:r>
      <w:r w:rsidR="00756D76" w:rsidRPr="00A52AB8">
        <w:rPr>
          <w:color w:val="000000" w:themeColor="text1"/>
        </w:rPr>
        <w:t>; x</w:t>
      </w:r>
      <w:r w:rsidR="00006CCF" w:rsidRPr="00A52AB8">
        <w:rPr>
          <w:color w:val="000000" w:themeColor="text1"/>
        </w:rPr>
        <w:t>++ </w:t>
      </w:r>
      <w:r w:rsidR="008F1F82" w:rsidRPr="00A52AB8">
        <w:rPr>
          <w:color w:val="000000" w:themeColor="text1"/>
        </w:rPr>
        <w:t>) {</w:t>
      </w:r>
      <w:r w:rsidR="00756D76" w:rsidRPr="00A52AB8">
        <w:rPr>
          <w:color w:val="000000" w:themeColor="text1"/>
        </w:rPr>
        <w:br/>
      </w:r>
      <w:r w:rsidR="00756D76" w:rsidRPr="00A52AB8">
        <w:tab/>
      </w:r>
      <w:r w:rsidR="00756D76" w:rsidRPr="00A52AB8">
        <w:tab/>
      </w:r>
      <w:r w:rsidRPr="00A52AB8">
        <w:tab/>
      </w:r>
      <w:r w:rsidR="00327640" w:rsidRPr="00A52AB8">
        <w:rPr>
          <w:lang w:eastAsia="ja-JP"/>
        </w:rPr>
        <w:t>b2pVal</w:t>
      </w:r>
      <w:r w:rsidR="00D47707" w:rsidRPr="00A52AB8">
        <w:rPr>
          <w:lang w:eastAsia="ja-JP"/>
        </w:rPr>
        <w:t> = </w:t>
      </w:r>
      <w:r w:rsidR="0044665E" w:rsidRPr="00A52AB8">
        <w:rPr>
          <w:lang w:eastAsia="ja-JP"/>
        </w:rPr>
        <w:t>(</w:t>
      </w:r>
      <w:r w:rsidR="00327640" w:rsidRPr="00A52AB8">
        <w:rPr>
          <w:lang w:eastAsia="ja-JP"/>
        </w:rPr>
        <w:t> </w:t>
      </w:r>
      <w:r w:rsidR="00327640" w:rsidRPr="00A52AB8">
        <w:t>AtlasBlockToPatchMap[ y ][ x ]</w:t>
      </w:r>
      <w:r w:rsidR="008768E9" w:rsidRPr="00A52AB8">
        <w:t> </w:t>
      </w:r>
      <w:r w:rsidR="00726AAE" w:rsidRPr="00A52AB8">
        <w:t>==</w:t>
      </w:r>
      <w:r w:rsidR="00D47707" w:rsidRPr="00A52AB8">
        <w:t> </w:t>
      </w:r>
      <w:r w:rsidR="00327640" w:rsidRPr="00A52AB8">
        <w:t>−1</w:t>
      </w:r>
      <w:r w:rsidR="00327640" w:rsidRPr="00A52AB8">
        <w:rPr>
          <w:color w:val="000000" w:themeColor="text1"/>
        </w:rPr>
        <w:t> </w:t>
      </w:r>
      <w:r w:rsidR="0044665E" w:rsidRPr="00A52AB8">
        <w:rPr>
          <w:color w:val="000000" w:themeColor="text1"/>
        </w:rPr>
        <w:t>) </w:t>
      </w:r>
      <w:r w:rsidR="002E7882" w:rsidRPr="00A52AB8">
        <w:rPr>
          <w:color w:val="000000" w:themeColor="text1"/>
        </w:rPr>
        <w:t>?</w:t>
      </w:r>
      <w:r w:rsidR="00C61E38" w:rsidRPr="00A52AB8">
        <w:rPr>
          <w:color w:val="000000" w:themeColor="text1"/>
        </w:rPr>
        <w:br/>
      </w:r>
      <w:r w:rsidR="0044665E" w:rsidRPr="00A52AB8">
        <w:rPr>
          <w:color w:val="000000" w:themeColor="text1"/>
        </w:rPr>
        <w:tab/>
      </w:r>
      <w:r w:rsidR="0044665E" w:rsidRPr="00A52AB8">
        <w:rPr>
          <w:color w:val="000000" w:themeColor="text1"/>
        </w:rPr>
        <w:tab/>
      </w:r>
      <w:r w:rsidR="0044665E" w:rsidRPr="00A52AB8">
        <w:rPr>
          <w:color w:val="000000" w:themeColor="text1"/>
        </w:rPr>
        <w:tab/>
      </w:r>
      <w:r w:rsidR="0044665E" w:rsidRPr="00A52AB8">
        <w:rPr>
          <w:color w:val="000000" w:themeColor="text1"/>
        </w:rPr>
        <w:tab/>
      </w:r>
      <w:r w:rsidR="00327640" w:rsidRPr="00A52AB8">
        <w:rPr>
          <w:color w:val="000000" w:themeColor="text1"/>
        </w:rPr>
        <w:t>0xFFFF </w:t>
      </w:r>
      <w:r w:rsidR="002E7882" w:rsidRPr="00A52AB8">
        <w:rPr>
          <w:color w:val="000000" w:themeColor="text1"/>
        </w:rPr>
        <w:t>: </w:t>
      </w:r>
      <w:r w:rsidR="00756D76" w:rsidRPr="00A52AB8">
        <w:t>AtlasBlockToPatchMap[ y ][ x</w:t>
      </w:r>
      <w:r w:rsidR="003D34DA" w:rsidRPr="00A52AB8">
        <w:t> </w:t>
      </w:r>
      <w:r w:rsidR="002E7882" w:rsidRPr="00A52AB8">
        <w:t>]</w:t>
      </w:r>
      <w:r w:rsidR="002E7882" w:rsidRPr="00A52AB8">
        <w:br/>
      </w:r>
      <w:r w:rsidR="002E7882" w:rsidRPr="00A52AB8">
        <w:tab/>
      </w:r>
      <w:r w:rsidR="002E7882" w:rsidRPr="00A52AB8">
        <w:tab/>
      </w:r>
      <w:r w:rsidRPr="00A52AB8">
        <w:tab/>
      </w:r>
      <w:r w:rsidR="002E7882" w:rsidRPr="00A52AB8">
        <w:rPr>
          <w:lang w:eastAsia="ja-JP"/>
        </w:rPr>
        <w:t>AtlasB2pData[ </w:t>
      </w:r>
      <w:r w:rsidR="003D34DA" w:rsidRPr="00A52AB8">
        <w:rPr>
          <w:lang w:eastAsia="ja-JP"/>
        </w:rPr>
        <w:t>AtlasB2PDataBytes</w:t>
      </w:r>
      <w:r w:rsidR="002E7882" w:rsidRPr="00A52AB8">
        <w:rPr>
          <w:lang w:eastAsia="ja-JP"/>
        </w:rPr>
        <w:t>++ ]</w:t>
      </w:r>
      <w:r w:rsidR="00D47707" w:rsidRPr="00A52AB8">
        <w:rPr>
          <w:lang w:eastAsia="ja-JP"/>
        </w:rPr>
        <w:t> = </w:t>
      </w:r>
      <w:r w:rsidR="002E7882" w:rsidRPr="00A52AB8">
        <w:rPr>
          <w:lang w:eastAsia="ja-JP"/>
        </w:rPr>
        <w:t>b2pVal &amp; 0xFF</w:t>
      </w:r>
      <w:r w:rsidR="002E7882" w:rsidRPr="00A52AB8">
        <w:rPr>
          <w:lang w:eastAsia="ja-JP"/>
        </w:rPr>
        <w:br/>
      </w:r>
      <w:r w:rsidR="002E7882" w:rsidRPr="00A52AB8">
        <w:rPr>
          <w:lang w:eastAsia="ja-JP"/>
        </w:rPr>
        <w:tab/>
      </w:r>
      <w:r w:rsidR="002E7882" w:rsidRPr="00A52AB8">
        <w:rPr>
          <w:lang w:eastAsia="ja-JP"/>
        </w:rPr>
        <w:tab/>
      </w:r>
      <w:r w:rsidRPr="00A52AB8">
        <w:rPr>
          <w:lang w:eastAsia="ja-JP"/>
        </w:rPr>
        <w:tab/>
      </w:r>
      <w:r w:rsidR="002E7882" w:rsidRPr="00A52AB8">
        <w:rPr>
          <w:lang w:eastAsia="ja-JP"/>
        </w:rPr>
        <w:t>AtlasB2pData[ </w:t>
      </w:r>
      <w:r w:rsidR="003D34DA" w:rsidRPr="00A52AB8">
        <w:rPr>
          <w:lang w:eastAsia="ja-JP"/>
        </w:rPr>
        <w:t>AtlasB2PDataBytes</w:t>
      </w:r>
      <w:r w:rsidR="002E7882" w:rsidRPr="00A52AB8">
        <w:rPr>
          <w:lang w:eastAsia="ja-JP"/>
        </w:rPr>
        <w:t>++ ]</w:t>
      </w:r>
      <w:r w:rsidR="00D47707" w:rsidRPr="00A52AB8">
        <w:rPr>
          <w:lang w:eastAsia="ja-JP"/>
        </w:rPr>
        <w:t> = </w:t>
      </w:r>
      <w:r w:rsidR="002E7882" w:rsidRPr="00A52AB8">
        <w:rPr>
          <w:lang w:eastAsia="ja-JP"/>
        </w:rPr>
        <w:t>(b2pVal &gt;&gt; 8 ) &amp; 0xFF</w:t>
      </w:r>
      <w:r w:rsidR="002E7882" w:rsidRPr="00A52AB8">
        <w:rPr>
          <w:lang w:eastAsia="ja-JP"/>
        </w:rPr>
        <w:br/>
      </w:r>
      <w:r w:rsidR="002E7882" w:rsidRPr="00A52AB8">
        <w:rPr>
          <w:lang w:eastAsia="ja-JP"/>
        </w:rPr>
        <w:tab/>
      </w:r>
      <w:r w:rsidRPr="00A52AB8">
        <w:rPr>
          <w:lang w:eastAsia="ja-JP"/>
        </w:rPr>
        <w:tab/>
      </w:r>
      <w:r w:rsidR="002E7882" w:rsidRPr="00A52AB8">
        <w:rPr>
          <w:lang w:eastAsia="ja-JP"/>
        </w:rPr>
        <w:t>}</w:t>
      </w:r>
      <w:r w:rsidR="00943895" w:rsidRPr="00A52AB8">
        <w:rPr>
          <w:lang w:eastAsia="ja-JP"/>
        </w:rPr>
        <w:br/>
      </w:r>
      <w:r w:rsidRPr="00A52AB8">
        <w:rPr>
          <w:lang w:eastAsia="ja-JP"/>
        </w:rPr>
        <w:tab/>
      </w:r>
      <w:r w:rsidR="002E7882" w:rsidRPr="00A52AB8">
        <w:rPr>
          <w:lang w:eastAsia="ja-JP"/>
        </w:rPr>
        <w:t>}</w:t>
      </w:r>
    </w:p>
    <w:p w14:paraId="51732386" w14:textId="77777777" w:rsidR="008673E8" w:rsidRPr="00A52AB8" w:rsidRDefault="00842EEB" w:rsidP="00EE3D19">
      <w:pPr>
        <w:pStyle w:val="a4"/>
        <w:numPr>
          <w:ilvl w:val="4"/>
          <w:numId w:val="19"/>
        </w:numPr>
        <w:tabs>
          <w:tab w:val="clear" w:pos="7200"/>
        </w:tabs>
        <w:outlineLvl w:val="4"/>
      </w:pPr>
      <w:bookmarkStart w:id="6029" w:name="_Toc48259422"/>
      <w:bookmarkStart w:id="6030" w:name="_Ref44511467"/>
      <w:bookmarkEnd w:id="6029"/>
      <w:r w:rsidRPr="00A52AB8">
        <w:t>Tile block to patch string of bytes</w:t>
      </w:r>
      <w:bookmarkEnd w:id="6030"/>
    </w:p>
    <w:p w14:paraId="4926A72B" w14:textId="23BD7876" w:rsidR="00894044" w:rsidRPr="00A52AB8" w:rsidRDefault="00894044" w:rsidP="00894044">
      <w:r w:rsidRPr="00A52AB8">
        <w:t xml:space="preserve">In this subclause, </w:t>
      </w:r>
      <w:r w:rsidR="0069169A" w:rsidRPr="00A52AB8">
        <w:t xml:space="preserve">using </w:t>
      </w:r>
      <w:r w:rsidRPr="00A52AB8">
        <w:t>the block to patch maps</w:t>
      </w:r>
      <w:r w:rsidR="00693439" w:rsidRPr="00A52AB8">
        <w:t xml:space="preserve"> for a tile with tile ID </w:t>
      </w:r>
      <w:r w:rsidR="003D34DA" w:rsidRPr="00A52AB8">
        <w:t xml:space="preserve">equal to </w:t>
      </w:r>
      <w:r w:rsidR="00693439" w:rsidRPr="00A52AB8">
        <w:t>t</w:t>
      </w:r>
      <w:r w:rsidRPr="00A52AB8">
        <w:t xml:space="preserve">, as defined in subclause </w:t>
      </w:r>
      <w:r w:rsidR="002A5241" w:rsidRPr="00496A4D">
        <w:fldChar w:fldCharType="begin"/>
      </w:r>
      <w:r w:rsidR="002A5241" w:rsidRPr="00A52AB8">
        <w:instrText xml:space="preserve"> REF _Ref1592626 \r \h </w:instrText>
      </w:r>
      <w:r w:rsidR="00851254" w:rsidRPr="00A52AB8">
        <w:instrText xml:space="preserve"> \* MERGEFORMAT </w:instrText>
      </w:r>
      <w:r w:rsidR="002A5241" w:rsidRPr="00496A4D">
        <w:fldChar w:fldCharType="separate"/>
      </w:r>
      <w:r w:rsidR="00507A67">
        <w:t>9.2.6</w:t>
      </w:r>
      <w:r w:rsidR="002A5241" w:rsidRPr="00496A4D">
        <w:fldChar w:fldCharType="end"/>
      </w:r>
      <w:r w:rsidR="002A5241" w:rsidRPr="00A52AB8">
        <w:t>,</w:t>
      </w:r>
      <w:r w:rsidR="00693439" w:rsidRPr="00A52AB8">
        <w:t xml:space="preserve"> </w:t>
      </w:r>
      <w:r w:rsidRPr="00A52AB8">
        <w:t xml:space="preserve">an array, </w:t>
      </w:r>
      <w:r w:rsidR="002A5241" w:rsidRPr="00A52AB8">
        <w:rPr>
          <w:lang w:eastAsia="ja-JP"/>
        </w:rPr>
        <w:t>Tile</w:t>
      </w:r>
      <w:r w:rsidRPr="00A52AB8">
        <w:rPr>
          <w:lang w:eastAsia="ja-JP"/>
        </w:rPr>
        <w:t>B2</w:t>
      </w:r>
      <w:r w:rsidR="003D34DA" w:rsidRPr="00A52AB8">
        <w:rPr>
          <w:lang w:eastAsia="ja-JP"/>
        </w:rPr>
        <w:t>P</w:t>
      </w:r>
      <w:r w:rsidRPr="00A52AB8">
        <w:rPr>
          <w:lang w:eastAsia="ja-JP"/>
        </w:rPr>
        <w:t xml:space="preserve">Data and the variable </w:t>
      </w:r>
      <w:r w:rsidR="003D34DA" w:rsidRPr="00A52AB8">
        <w:rPr>
          <w:lang w:eastAsia="ja-JP"/>
        </w:rPr>
        <w:t>Tile</w:t>
      </w:r>
      <w:r w:rsidRPr="00A52AB8">
        <w:rPr>
          <w:lang w:eastAsia="ja-JP"/>
        </w:rPr>
        <w:t>B2</w:t>
      </w:r>
      <w:r w:rsidR="003D34DA" w:rsidRPr="00A52AB8">
        <w:rPr>
          <w:lang w:eastAsia="ja-JP"/>
        </w:rPr>
        <w:t>PDataBytes</w:t>
      </w:r>
      <w:r w:rsidRPr="00A52AB8">
        <w:rPr>
          <w:color w:val="000000" w:themeColor="text1"/>
        </w:rPr>
        <w:t>,</w:t>
      </w:r>
      <w:r w:rsidR="003D34DA" w:rsidRPr="00A52AB8">
        <w:rPr>
          <w:color w:val="000000" w:themeColor="text1"/>
        </w:rPr>
        <w:t xml:space="preserve"> providing the length in bytes of the array,</w:t>
      </w:r>
      <w:r w:rsidRPr="00A52AB8">
        <w:rPr>
          <w:color w:val="000000" w:themeColor="text1"/>
        </w:rPr>
        <w:t xml:space="preserve"> </w:t>
      </w:r>
      <w:r w:rsidR="00FE1CEE" w:rsidRPr="00A52AB8">
        <w:rPr>
          <w:lang w:eastAsia="ja-JP"/>
        </w:rPr>
        <w:t>are derived and set as output of this process as follows</w:t>
      </w:r>
      <w:r w:rsidR="00FE1CEE" w:rsidRPr="00A52AB8">
        <w:rPr>
          <w:color w:val="000000" w:themeColor="text1"/>
        </w:rPr>
        <w:t>:</w:t>
      </w:r>
    </w:p>
    <w:p w14:paraId="6AE7EE24" w14:textId="4CB48E11" w:rsidR="00302FCF" w:rsidRPr="00A52AB8" w:rsidRDefault="00E55E18">
      <w:pPr>
        <w:rPr>
          <w:bCs/>
          <w:color w:val="000000" w:themeColor="text1"/>
        </w:rPr>
      </w:pPr>
      <w:r w:rsidRPr="00A52AB8">
        <w:rPr>
          <w:bCs/>
          <w:color w:val="000000" w:themeColor="text1"/>
        </w:rPr>
        <w:tab/>
      </w:r>
      <w:r w:rsidR="003D34DA" w:rsidRPr="00A52AB8">
        <w:rPr>
          <w:bCs/>
          <w:color w:val="000000" w:themeColor="text1"/>
        </w:rPr>
        <w:t>Tile</w:t>
      </w:r>
      <w:r w:rsidR="00DA4019" w:rsidRPr="00A52AB8">
        <w:rPr>
          <w:bCs/>
          <w:color w:val="000000" w:themeColor="text1"/>
        </w:rPr>
        <w:t>B</w:t>
      </w:r>
      <w:r w:rsidR="00302FCF" w:rsidRPr="00A52AB8">
        <w:rPr>
          <w:bCs/>
          <w:color w:val="000000" w:themeColor="text1"/>
        </w:rPr>
        <w:t>2</w:t>
      </w:r>
      <w:r w:rsidR="003D34DA" w:rsidRPr="00A52AB8">
        <w:rPr>
          <w:bCs/>
          <w:color w:val="000000" w:themeColor="text1"/>
        </w:rPr>
        <w:t>PDataBytes</w:t>
      </w:r>
      <w:r w:rsidR="00D47707" w:rsidRPr="00A52AB8">
        <w:rPr>
          <w:bCs/>
          <w:color w:val="000000" w:themeColor="text1"/>
        </w:rPr>
        <w:t> = </w:t>
      </w:r>
      <w:r w:rsidR="00302FCF" w:rsidRPr="00A52AB8">
        <w:rPr>
          <w:bCs/>
          <w:color w:val="000000" w:themeColor="text1"/>
        </w:rPr>
        <w:t>0</w:t>
      </w:r>
      <w:r w:rsidR="005E6C27" w:rsidRPr="00A52AB8">
        <w:rPr>
          <w:bCs/>
          <w:color w:val="000000" w:themeColor="text1"/>
        </w:rPr>
        <w:br/>
      </w:r>
      <w:r w:rsidRPr="00A52AB8">
        <w:rPr>
          <w:bCs/>
          <w:color w:val="000000" w:themeColor="text1"/>
        </w:rPr>
        <w:tab/>
      </w:r>
      <w:r w:rsidR="00302FCF" w:rsidRPr="00A52AB8">
        <w:rPr>
          <w:bCs/>
          <w:color w:val="000000" w:themeColor="text1"/>
        </w:rPr>
        <w:t>for(</w:t>
      </w:r>
      <w:r w:rsidR="005E6C27" w:rsidRPr="00A52AB8">
        <w:rPr>
          <w:bCs/>
          <w:color w:val="000000" w:themeColor="text1"/>
        </w:rPr>
        <w:t> </w:t>
      </w:r>
      <w:r w:rsidR="00302FCF" w:rsidRPr="00A52AB8">
        <w:rPr>
          <w:bCs/>
          <w:color w:val="000000" w:themeColor="text1"/>
        </w:rPr>
        <w:t>y</w:t>
      </w:r>
      <w:r w:rsidR="00D47707" w:rsidRPr="00A52AB8">
        <w:rPr>
          <w:bCs/>
          <w:color w:val="000000" w:themeColor="text1"/>
        </w:rPr>
        <w:t> = </w:t>
      </w:r>
      <w:r w:rsidR="00302FCF" w:rsidRPr="00A52AB8">
        <w:rPr>
          <w:bCs/>
          <w:color w:val="000000" w:themeColor="text1"/>
        </w:rPr>
        <w:t>0;</w:t>
      </w:r>
      <w:r w:rsidR="005E6C27" w:rsidRPr="00A52AB8">
        <w:rPr>
          <w:bCs/>
          <w:color w:val="000000" w:themeColor="text1"/>
        </w:rPr>
        <w:t> </w:t>
      </w:r>
      <w:r w:rsidR="00302FCF" w:rsidRPr="00A52AB8">
        <w:rPr>
          <w:bCs/>
          <w:color w:val="000000" w:themeColor="text1"/>
        </w:rPr>
        <w:t>y</w:t>
      </w:r>
      <w:r w:rsidR="005E6C27" w:rsidRPr="00A52AB8">
        <w:rPr>
          <w:bCs/>
          <w:color w:val="000000" w:themeColor="text1"/>
        </w:rPr>
        <w:t> </w:t>
      </w:r>
      <w:r w:rsidR="00302FCF" w:rsidRPr="00A52AB8">
        <w:rPr>
          <w:bCs/>
          <w:color w:val="000000" w:themeColor="text1"/>
        </w:rPr>
        <w:t>&lt;</w:t>
      </w:r>
      <w:r w:rsidR="005E6C27" w:rsidRPr="00A52AB8">
        <w:rPr>
          <w:bCs/>
          <w:color w:val="000000" w:themeColor="text1"/>
        </w:rPr>
        <w:t> </w:t>
      </w:r>
      <w:r w:rsidR="009804EF" w:rsidRPr="00A52AB8">
        <w:rPr>
          <w:bCs/>
          <w:color w:val="000000" w:themeColor="text1"/>
        </w:rPr>
        <w:t>Tile</w:t>
      </w:r>
      <w:r w:rsidR="00302FCF" w:rsidRPr="00A52AB8">
        <w:rPr>
          <w:bCs/>
          <w:color w:val="000000" w:themeColor="text1"/>
        </w:rPr>
        <w:t>BlockToPatchMapHeight</w:t>
      </w:r>
      <w:r w:rsidR="009804EF" w:rsidRPr="00A52AB8">
        <w:rPr>
          <w:bCs/>
          <w:color w:val="000000" w:themeColor="text1"/>
        </w:rPr>
        <w:t>[ t ]</w:t>
      </w:r>
      <w:r w:rsidR="00302FCF" w:rsidRPr="00A52AB8">
        <w:rPr>
          <w:bCs/>
          <w:color w:val="000000" w:themeColor="text1"/>
        </w:rPr>
        <w:t>;</w:t>
      </w:r>
      <w:r w:rsidR="005E6C27" w:rsidRPr="00A52AB8">
        <w:rPr>
          <w:bCs/>
          <w:color w:val="000000" w:themeColor="text1"/>
        </w:rPr>
        <w:t> </w:t>
      </w:r>
      <w:r w:rsidR="00302FCF" w:rsidRPr="00A52AB8">
        <w:rPr>
          <w:bCs/>
          <w:color w:val="000000" w:themeColor="text1"/>
        </w:rPr>
        <w:t>y</w:t>
      </w:r>
      <w:r w:rsidR="00006CCF" w:rsidRPr="00A52AB8">
        <w:rPr>
          <w:bCs/>
          <w:color w:val="000000" w:themeColor="text1"/>
        </w:rPr>
        <w:t>++ </w:t>
      </w:r>
      <w:r w:rsidR="008F1F82" w:rsidRPr="00A52AB8">
        <w:rPr>
          <w:bCs/>
          <w:color w:val="000000" w:themeColor="text1"/>
        </w:rPr>
        <w:t>) {</w:t>
      </w:r>
      <w:r w:rsidR="005E6C27" w:rsidRPr="00A52AB8">
        <w:rPr>
          <w:bCs/>
          <w:color w:val="000000" w:themeColor="text1"/>
        </w:rPr>
        <w:br/>
      </w:r>
      <w:r w:rsidR="005E6C27" w:rsidRPr="00A52AB8">
        <w:rPr>
          <w:bCs/>
          <w:color w:val="000000" w:themeColor="text1"/>
        </w:rPr>
        <w:tab/>
      </w:r>
      <w:r w:rsidRPr="00A52AB8">
        <w:rPr>
          <w:bCs/>
          <w:color w:val="000000" w:themeColor="text1"/>
        </w:rPr>
        <w:tab/>
      </w:r>
      <w:r w:rsidR="00302FCF" w:rsidRPr="00A52AB8">
        <w:rPr>
          <w:bCs/>
          <w:color w:val="000000" w:themeColor="text1"/>
        </w:rPr>
        <w:t>for(</w:t>
      </w:r>
      <w:r w:rsidR="005E6C27" w:rsidRPr="00A52AB8">
        <w:rPr>
          <w:bCs/>
          <w:color w:val="000000" w:themeColor="text1"/>
        </w:rPr>
        <w:t> </w:t>
      </w:r>
      <w:r w:rsidR="00302FCF" w:rsidRPr="00A52AB8">
        <w:rPr>
          <w:bCs/>
          <w:color w:val="000000" w:themeColor="text1"/>
        </w:rPr>
        <w:t>x</w:t>
      </w:r>
      <w:r w:rsidR="00D47707" w:rsidRPr="00A52AB8">
        <w:rPr>
          <w:bCs/>
          <w:color w:val="000000" w:themeColor="text1"/>
        </w:rPr>
        <w:t> = </w:t>
      </w:r>
      <w:r w:rsidR="00302FCF" w:rsidRPr="00A52AB8">
        <w:rPr>
          <w:bCs/>
          <w:color w:val="000000" w:themeColor="text1"/>
        </w:rPr>
        <w:t>0;</w:t>
      </w:r>
      <w:r w:rsidR="005E6C27" w:rsidRPr="00A52AB8">
        <w:rPr>
          <w:bCs/>
          <w:color w:val="000000" w:themeColor="text1"/>
        </w:rPr>
        <w:t> </w:t>
      </w:r>
      <w:r w:rsidR="00302FCF" w:rsidRPr="00A52AB8">
        <w:rPr>
          <w:bCs/>
          <w:color w:val="000000" w:themeColor="text1"/>
        </w:rPr>
        <w:t>x</w:t>
      </w:r>
      <w:r w:rsidR="005E6C27" w:rsidRPr="00A52AB8">
        <w:rPr>
          <w:bCs/>
          <w:color w:val="000000" w:themeColor="text1"/>
        </w:rPr>
        <w:t> </w:t>
      </w:r>
      <w:r w:rsidR="00302FCF" w:rsidRPr="00A52AB8">
        <w:rPr>
          <w:bCs/>
          <w:color w:val="000000" w:themeColor="text1"/>
        </w:rPr>
        <w:t>&lt;</w:t>
      </w:r>
      <w:r w:rsidR="005E6C27" w:rsidRPr="00A52AB8">
        <w:rPr>
          <w:bCs/>
          <w:color w:val="000000" w:themeColor="text1"/>
        </w:rPr>
        <w:t> </w:t>
      </w:r>
      <w:r w:rsidR="00BA14C5" w:rsidRPr="00A52AB8">
        <w:rPr>
          <w:bCs/>
          <w:color w:val="000000" w:themeColor="text1"/>
        </w:rPr>
        <w:t>Tile</w:t>
      </w:r>
      <w:r w:rsidR="00302FCF" w:rsidRPr="00A52AB8">
        <w:rPr>
          <w:bCs/>
          <w:color w:val="000000" w:themeColor="text1"/>
        </w:rPr>
        <w:t>BlockToPatchMapWidth</w:t>
      </w:r>
      <w:r w:rsidR="009804EF" w:rsidRPr="00A52AB8">
        <w:rPr>
          <w:bCs/>
          <w:color w:val="000000" w:themeColor="text1"/>
        </w:rPr>
        <w:t>[ t ]</w:t>
      </w:r>
      <w:r w:rsidR="00302FCF" w:rsidRPr="00A52AB8">
        <w:rPr>
          <w:bCs/>
          <w:color w:val="000000" w:themeColor="text1"/>
        </w:rPr>
        <w:t>;</w:t>
      </w:r>
      <w:r w:rsidR="005E6C27" w:rsidRPr="00A52AB8">
        <w:rPr>
          <w:bCs/>
          <w:color w:val="000000" w:themeColor="text1"/>
        </w:rPr>
        <w:t> </w:t>
      </w:r>
      <w:r w:rsidR="00302FCF" w:rsidRPr="00A52AB8">
        <w:rPr>
          <w:bCs/>
          <w:color w:val="000000" w:themeColor="text1"/>
        </w:rPr>
        <w:t>x</w:t>
      </w:r>
      <w:r w:rsidR="00006CCF" w:rsidRPr="00A52AB8">
        <w:rPr>
          <w:bCs/>
          <w:color w:val="000000" w:themeColor="text1"/>
        </w:rPr>
        <w:t>++ </w:t>
      </w:r>
      <w:r w:rsidR="008F1F82" w:rsidRPr="00A52AB8">
        <w:rPr>
          <w:bCs/>
          <w:color w:val="000000" w:themeColor="text1"/>
        </w:rPr>
        <w:t>) {</w:t>
      </w:r>
      <w:r w:rsidR="00A16FAC" w:rsidRPr="00A52AB8">
        <w:rPr>
          <w:bCs/>
          <w:color w:val="000000" w:themeColor="text1"/>
        </w:rPr>
        <w:br/>
      </w:r>
      <w:r w:rsidR="00A16FAC" w:rsidRPr="00A52AB8">
        <w:rPr>
          <w:bCs/>
          <w:color w:val="000000" w:themeColor="text1"/>
        </w:rPr>
        <w:tab/>
      </w:r>
      <w:r w:rsidR="00A16FAC" w:rsidRPr="00A52AB8">
        <w:rPr>
          <w:bCs/>
          <w:color w:val="000000" w:themeColor="text1"/>
        </w:rPr>
        <w:tab/>
      </w:r>
      <w:r w:rsidRPr="00A52AB8">
        <w:rPr>
          <w:bCs/>
          <w:color w:val="000000" w:themeColor="text1"/>
        </w:rPr>
        <w:tab/>
      </w:r>
      <w:r w:rsidR="00A16FAC" w:rsidRPr="00A52AB8">
        <w:rPr>
          <w:lang w:eastAsia="ja-JP"/>
        </w:rPr>
        <w:t>b2pVal</w:t>
      </w:r>
      <w:r w:rsidR="00D47707" w:rsidRPr="00A52AB8">
        <w:rPr>
          <w:lang w:eastAsia="ja-JP"/>
        </w:rPr>
        <w:t> = </w:t>
      </w:r>
      <w:r w:rsidR="0044665E" w:rsidRPr="00A52AB8">
        <w:rPr>
          <w:lang w:eastAsia="ja-JP"/>
        </w:rPr>
        <w:t>(</w:t>
      </w:r>
      <w:r w:rsidR="00A16FAC" w:rsidRPr="00A52AB8">
        <w:rPr>
          <w:lang w:eastAsia="ja-JP"/>
        </w:rPr>
        <w:t> </w:t>
      </w:r>
      <w:r w:rsidR="00A16FAC" w:rsidRPr="00A52AB8">
        <w:t>TileBlockToPatchMap[ t ][ y ][ x ] </w:t>
      </w:r>
      <w:r w:rsidR="00726AAE" w:rsidRPr="00A52AB8">
        <w:t>==</w:t>
      </w:r>
      <w:r w:rsidR="00D47707" w:rsidRPr="00A52AB8">
        <w:t> </w:t>
      </w:r>
      <w:r w:rsidR="00A16FAC" w:rsidRPr="00A52AB8">
        <w:t>−1</w:t>
      </w:r>
      <w:r w:rsidR="00A16FAC" w:rsidRPr="00A52AB8">
        <w:rPr>
          <w:color w:val="000000" w:themeColor="text1"/>
        </w:rPr>
        <w:t> </w:t>
      </w:r>
      <w:r w:rsidR="0044665E" w:rsidRPr="00A52AB8">
        <w:rPr>
          <w:color w:val="000000" w:themeColor="text1"/>
        </w:rPr>
        <w:t>) </w:t>
      </w:r>
      <w:r w:rsidR="00A16FAC" w:rsidRPr="00A52AB8">
        <w:rPr>
          <w:color w:val="000000" w:themeColor="text1"/>
        </w:rPr>
        <w:t>?</w:t>
      </w:r>
      <w:r w:rsidR="00C61E38" w:rsidRPr="00A52AB8">
        <w:rPr>
          <w:color w:val="000000" w:themeColor="text1"/>
        </w:rPr>
        <w:br/>
      </w:r>
      <w:r w:rsidR="00E22311" w:rsidRPr="00A52AB8">
        <w:rPr>
          <w:color w:val="000000" w:themeColor="text1"/>
        </w:rPr>
        <w:tab/>
      </w:r>
      <w:r w:rsidR="00E22311" w:rsidRPr="00A52AB8">
        <w:rPr>
          <w:color w:val="000000" w:themeColor="text1"/>
        </w:rPr>
        <w:tab/>
      </w:r>
      <w:r w:rsidR="00E22311" w:rsidRPr="00A52AB8">
        <w:rPr>
          <w:color w:val="000000" w:themeColor="text1"/>
        </w:rPr>
        <w:tab/>
      </w:r>
      <w:r w:rsidR="00E22311" w:rsidRPr="00A52AB8">
        <w:rPr>
          <w:color w:val="000000" w:themeColor="text1"/>
        </w:rPr>
        <w:tab/>
      </w:r>
      <w:r w:rsidR="00A16FAC" w:rsidRPr="00A52AB8">
        <w:rPr>
          <w:color w:val="000000" w:themeColor="text1"/>
        </w:rPr>
        <w:t> 0xFFFF : </w:t>
      </w:r>
      <w:r w:rsidR="00A16FAC" w:rsidRPr="00A52AB8">
        <w:t>TileBlockToPatchMap[ t ][ y ][ x</w:t>
      </w:r>
      <w:r w:rsidR="003D34DA" w:rsidRPr="00A52AB8">
        <w:t> </w:t>
      </w:r>
      <w:r w:rsidR="00A16FAC" w:rsidRPr="00A52AB8">
        <w:t>]</w:t>
      </w:r>
      <w:r w:rsidR="00A16FAC" w:rsidRPr="00A52AB8">
        <w:br/>
      </w:r>
      <w:r w:rsidR="00A16FAC" w:rsidRPr="00A52AB8">
        <w:tab/>
      </w:r>
      <w:r w:rsidR="00A16FAC" w:rsidRPr="00A52AB8">
        <w:tab/>
      </w:r>
      <w:r w:rsidRPr="00A52AB8">
        <w:tab/>
      </w:r>
      <w:r w:rsidR="00A16FAC" w:rsidRPr="00A52AB8">
        <w:rPr>
          <w:lang w:eastAsia="ja-JP"/>
        </w:rPr>
        <w:t>TileB2pData[ </w:t>
      </w:r>
      <w:r w:rsidR="003D34DA" w:rsidRPr="00A52AB8">
        <w:rPr>
          <w:lang w:eastAsia="ja-JP"/>
        </w:rPr>
        <w:t>Tile</w:t>
      </w:r>
      <w:r w:rsidR="00A16FAC" w:rsidRPr="00A52AB8">
        <w:rPr>
          <w:lang w:eastAsia="ja-JP"/>
        </w:rPr>
        <w:t>B2</w:t>
      </w:r>
      <w:r w:rsidR="003D34DA" w:rsidRPr="00A52AB8">
        <w:rPr>
          <w:lang w:eastAsia="ja-JP"/>
        </w:rPr>
        <w:t>PDataBytes</w:t>
      </w:r>
      <w:r w:rsidR="00A16FAC" w:rsidRPr="00A52AB8">
        <w:rPr>
          <w:lang w:eastAsia="ja-JP"/>
        </w:rPr>
        <w:t>++ ]</w:t>
      </w:r>
      <w:r w:rsidR="00D47707" w:rsidRPr="00A52AB8">
        <w:rPr>
          <w:lang w:eastAsia="ja-JP"/>
        </w:rPr>
        <w:t> = </w:t>
      </w:r>
      <w:r w:rsidR="00A16FAC" w:rsidRPr="00A52AB8">
        <w:rPr>
          <w:lang w:eastAsia="ja-JP"/>
        </w:rPr>
        <w:t>b2pVal &amp; 0xFF</w:t>
      </w:r>
      <w:r w:rsidR="00A16FAC" w:rsidRPr="00A52AB8">
        <w:rPr>
          <w:lang w:eastAsia="ja-JP"/>
        </w:rPr>
        <w:br/>
      </w:r>
      <w:r w:rsidR="00A16FAC" w:rsidRPr="00A52AB8">
        <w:rPr>
          <w:lang w:eastAsia="ja-JP"/>
        </w:rPr>
        <w:tab/>
      </w:r>
      <w:r w:rsidR="00A16FAC" w:rsidRPr="00A52AB8">
        <w:rPr>
          <w:lang w:eastAsia="ja-JP"/>
        </w:rPr>
        <w:tab/>
      </w:r>
      <w:r w:rsidRPr="00A52AB8">
        <w:rPr>
          <w:lang w:eastAsia="ja-JP"/>
        </w:rPr>
        <w:tab/>
      </w:r>
      <w:r w:rsidR="00A16FAC" w:rsidRPr="00A52AB8">
        <w:rPr>
          <w:lang w:eastAsia="ja-JP"/>
        </w:rPr>
        <w:t>TileB2pData[ </w:t>
      </w:r>
      <w:r w:rsidR="003D34DA" w:rsidRPr="00A52AB8">
        <w:rPr>
          <w:lang w:eastAsia="ja-JP"/>
        </w:rPr>
        <w:t>TileB2PDataBytes</w:t>
      </w:r>
      <w:r w:rsidR="00A16FAC" w:rsidRPr="00A52AB8">
        <w:rPr>
          <w:lang w:eastAsia="ja-JP"/>
        </w:rPr>
        <w:t>++ ]</w:t>
      </w:r>
      <w:r w:rsidR="00D47707" w:rsidRPr="00A52AB8">
        <w:rPr>
          <w:lang w:eastAsia="ja-JP"/>
        </w:rPr>
        <w:t> = </w:t>
      </w:r>
      <w:r w:rsidR="00A16FAC" w:rsidRPr="00A52AB8">
        <w:rPr>
          <w:lang w:eastAsia="ja-JP"/>
        </w:rPr>
        <w:t>(b2pVal &gt;&gt; 8 ) &amp; 0xFF</w:t>
      </w:r>
      <w:r w:rsidR="00943895" w:rsidRPr="00A52AB8">
        <w:rPr>
          <w:lang w:eastAsia="ja-JP"/>
        </w:rPr>
        <w:br/>
      </w:r>
      <w:r w:rsidR="00943895" w:rsidRPr="00A52AB8">
        <w:rPr>
          <w:lang w:eastAsia="ja-JP"/>
        </w:rPr>
        <w:tab/>
      </w:r>
      <w:r w:rsidRPr="00A52AB8">
        <w:rPr>
          <w:lang w:eastAsia="ja-JP"/>
        </w:rPr>
        <w:tab/>
      </w:r>
      <w:r w:rsidR="007C4DC6" w:rsidRPr="00A52AB8">
        <w:rPr>
          <w:lang w:eastAsia="ja-JP"/>
        </w:rPr>
        <w:t>}</w:t>
      </w:r>
      <w:r w:rsidR="007C4DC6" w:rsidRPr="00A52AB8">
        <w:rPr>
          <w:lang w:eastAsia="ja-JP"/>
        </w:rPr>
        <w:br/>
      </w:r>
      <w:r w:rsidRPr="00A52AB8">
        <w:rPr>
          <w:lang w:eastAsia="ja-JP"/>
        </w:rPr>
        <w:tab/>
      </w:r>
      <w:r w:rsidR="007C4DC6" w:rsidRPr="00A52AB8">
        <w:rPr>
          <w:lang w:eastAsia="ja-JP"/>
        </w:rPr>
        <w:t>}</w:t>
      </w:r>
    </w:p>
    <w:p w14:paraId="5EA7CCE5" w14:textId="77777777" w:rsidR="000A6256" w:rsidRPr="00A52AB8" w:rsidRDefault="000A6256" w:rsidP="000A6256">
      <w:pPr>
        <w:pStyle w:val="a3"/>
        <w:numPr>
          <w:ilvl w:val="2"/>
          <w:numId w:val="19"/>
        </w:numPr>
        <w:tabs>
          <w:tab w:val="clear" w:pos="403"/>
        </w:tabs>
      </w:pPr>
      <w:bookmarkStart w:id="6031" w:name="_Ref49348471"/>
      <w:bookmarkStart w:id="6032" w:name="_Toc52181750"/>
      <w:r w:rsidRPr="00A52AB8">
        <w:t>Time code SEI message semantics</w:t>
      </w:r>
      <w:bookmarkEnd w:id="6031"/>
      <w:bookmarkEnd w:id="6032"/>
    </w:p>
    <w:p w14:paraId="666C43BB" w14:textId="1D40BC0A" w:rsidR="008B372B" w:rsidRPr="00A52AB8" w:rsidRDefault="008B372B" w:rsidP="008B372B">
      <w:pPr>
        <w:spacing w:after="120"/>
        <w:rPr>
          <w:bCs/>
        </w:rPr>
      </w:pPr>
      <w:bookmarkStart w:id="6033" w:name="_Toc20907472"/>
      <w:r w:rsidRPr="00A52AB8">
        <w:rPr>
          <w:bCs/>
        </w:rPr>
        <w:t xml:space="preserve">The time code SEI message provides time code information similar to that defined by SMPTE ST 12-1 (2014) for </w:t>
      </w:r>
      <w:r w:rsidR="00045986" w:rsidRPr="00A52AB8">
        <w:rPr>
          <w:bCs/>
        </w:rPr>
        <w:t xml:space="preserve">atlas </w:t>
      </w:r>
      <w:r w:rsidRPr="00A52AB8">
        <w:rPr>
          <w:bCs/>
        </w:rPr>
        <w:t>frame(s).</w:t>
      </w:r>
    </w:p>
    <w:p w14:paraId="626F5544" w14:textId="77777777" w:rsidR="008B372B" w:rsidRPr="00A52AB8" w:rsidRDefault="00AC61DE" w:rsidP="008B372B">
      <w:r w:rsidRPr="00A52AB8">
        <w:t>T</w:t>
      </w:r>
      <w:r w:rsidR="008B372B" w:rsidRPr="00A52AB8">
        <w:t>he contents of the clock timestamp syntax elements indicate a time of origin, capture, or alternative ideal display. This indicated time is computed as</w:t>
      </w:r>
    </w:p>
    <w:p w14:paraId="642706F7" w14:textId="223B864A" w:rsidR="008B372B" w:rsidRPr="00A52AB8" w:rsidRDefault="008B372B" w:rsidP="008B372B">
      <w:pPr>
        <w:tabs>
          <w:tab w:val="clear" w:pos="9677"/>
          <w:tab w:val="right" w:pos="9696"/>
        </w:tabs>
      </w:pPr>
      <w:r w:rsidRPr="00A52AB8">
        <w:tab/>
        <w:t>clockTimestamp</w:t>
      </w:r>
      <w:r w:rsidR="00D47707" w:rsidRPr="00A52AB8">
        <w:t> = </w:t>
      </w:r>
      <w:r w:rsidRPr="00A52AB8">
        <w:t>( ( hH * 60 + mM ) * 60 + sS ) * time_scale +</w:t>
      </w:r>
      <w:r w:rsidRPr="00A52AB8">
        <w:br/>
      </w:r>
      <w:r w:rsidRPr="00A52AB8">
        <w:tab/>
      </w:r>
      <w:r w:rsidRPr="00A52AB8">
        <w:tab/>
      </w:r>
      <w:r w:rsidRPr="00A52AB8">
        <w:tab/>
        <w:t>nFrames * num_units_in_tick + tOffset</w:t>
      </w:r>
      <w:r w:rsidRPr="00A52AB8">
        <w:tab/>
        <w:t>(</w:t>
      </w:r>
      <w:bookmarkStart w:id="6034" w:name="Eqn_clockTimestamp"/>
      <w:r w:rsidRPr="00A52AB8">
        <w:t>F</w:t>
      </w:r>
      <w:r w:rsidRPr="00A52AB8">
        <w:noBreakHyphen/>
      </w:r>
      <w:r w:rsidRPr="00496A4D">
        <w:fldChar w:fldCharType="begin"/>
      </w:r>
      <w:r w:rsidRPr="00A52AB8">
        <w:instrText xml:space="preserve"> SEQ Equation \* ARABIC \s 1 </w:instrText>
      </w:r>
      <w:r w:rsidRPr="00496A4D">
        <w:fldChar w:fldCharType="separate"/>
      </w:r>
      <w:r w:rsidR="00507A67">
        <w:rPr>
          <w:noProof/>
        </w:rPr>
        <w:t>3</w:t>
      </w:r>
      <w:r w:rsidRPr="00496A4D">
        <w:fldChar w:fldCharType="end"/>
      </w:r>
      <w:bookmarkEnd w:id="6034"/>
      <w:r w:rsidRPr="00A52AB8">
        <w:t>)</w:t>
      </w:r>
    </w:p>
    <w:p w14:paraId="66CDC312" w14:textId="77777777" w:rsidR="0050235C" w:rsidRPr="00A52AB8" w:rsidRDefault="008B372B" w:rsidP="008B372B">
      <w:r w:rsidRPr="00A52AB8">
        <w:t>in units of clock ticks of a clock with clock frequency equal to time_scale Hz, relative to some unspecified point in time for which clockTimestamp would be equal to 0. Output order and DAB output timing are not affected by the value of clockTimestamp.</w:t>
      </w:r>
    </w:p>
    <w:p w14:paraId="50A97FFE" w14:textId="4B64850E" w:rsidR="008B372B" w:rsidRPr="00A52AB8" w:rsidRDefault="00143B67" w:rsidP="008B372B">
      <w:pPr>
        <w:pStyle w:val="Note1"/>
        <w:rPr>
          <w:rFonts w:ascii="Cambria" w:hAnsi="Cambria"/>
        </w:rPr>
      </w:pPr>
      <w:r w:rsidRPr="00A52AB8" w:rsidDel="00112A5D">
        <w:rPr>
          <w:rFonts w:ascii="Cambria" w:hAnsi="Cambria"/>
        </w:rPr>
        <w:t>NOTE</w:t>
      </w:r>
      <w:r w:rsidRPr="00A52AB8">
        <w:rPr>
          <w:rFonts w:ascii="Cambria" w:hAnsi="Cambria"/>
        </w:rPr>
        <w:t> </w:t>
      </w:r>
      <w:r w:rsidRPr="00496A4D">
        <w:rPr>
          <w:rFonts w:ascii="Cambria" w:hAnsi="Cambria"/>
        </w:rPr>
        <w:fldChar w:fldCharType="begin"/>
      </w:r>
      <w:r w:rsidRPr="00A52AB8">
        <w:rPr>
          <w:rFonts w:ascii="Cambria" w:hAnsi="Cambria"/>
        </w:rPr>
        <w:instrText xml:space="preserve"> SEQ NoteCounter </w:instrText>
      </w:r>
      <w:r w:rsidR="002A0ADD" w:rsidRPr="00A52AB8">
        <w:rPr>
          <w:rFonts w:ascii="Cambria" w:hAnsi="Cambria"/>
        </w:rPr>
        <w:instrText xml:space="preserve">\r 1 </w:instrText>
      </w:r>
      <w:r w:rsidRPr="00A52AB8">
        <w:rPr>
          <w:rFonts w:ascii="Cambria" w:hAnsi="Cambria"/>
        </w:rPr>
        <w:instrText xml:space="preserve">\s 9 \* MERGEFORMAT </w:instrText>
      </w:r>
      <w:r w:rsidRPr="00496A4D">
        <w:rPr>
          <w:rFonts w:ascii="Cambria" w:hAnsi="Cambria"/>
        </w:rPr>
        <w:fldChar w:fldCharType="separate"/>
      </w:r>
      <w:r w:rsidR="00507A67">
        <w:rPr>
          <w:rFonts w:ascii="Cambria" w:hAnsi="Cambria"/>
          <w:noProof/>
        </w:rPr>
        <w:t>1</w:t>
      </w:r>
      <w:r w:rsidRPr="00496A4D">
        <w:rPr>
          <w:rFonts w:ascii="Cambria" w:hAnsi="Cambria"/>
        </w:rPr>
        <w:fldChar w:fldCharType="end"/>
      </w:r>
      <w:r w:rsidR="002A0ADD" w:rsidRPr="00A52AB8">
        <w:rPr>
          <w:rFonts w:ascii="Cambria" w:hAnsi="Cambria"/>
        </w:rPr>
        <w:t> </w:t>
      </w:r>
      <w:r w:rsidR="008B372B" w:rsidRPr="00A52AB8">
        <w:rPr>
          <w:rFonts w:ascii="Cambria" w:hAnsi="Cambria"/>
        </w:rPr>
        <w:t>– clockTimestamp time indications may aid display on devices with refresh rates other than those well-matched to DAB output times. However, the time code SEI message does not affect the output order and DPB output timing defined in this document.</w:t>
      </w:r>
    </w:p>
    <w:p w14:paraId="5C506EEF" w14:textId="77777777" w:rsidR="0050235C" w:rsidRPr="00A52AB8" w:rsidRDefault="00B24ECD" w:rsidP="005953AD">
      <w:pPr>
        <w:rPr>
          <w:color w:val="000000" w:themeColor="text1"/>
        </w:rPr>
      </w:pPr>
      <w:r w:rsidRPr="00A52AB8">
        <w:rPr>
          <w:b/>
        </w:rPr>
        <w:t>num_units_in_tick</w:t>
      </w:r>
      <w:r w:rsidRPr="00A52AB8">
        <w:t xml:space="preserve"> is the number of time units of a clock operating at the frequency time_scale Hz that corresponds to one increment (called a clock tick) of a clock tick counter. num_units_in_tick shall be greater than 0. A clock tick, in units of seconds, is equal to the quotient of num_units_in_tick divided by time_scale. For example, when the frame rate of an atlas signal is 25 Hz, time_scale may be equal to 27 000 000 and num_units_in_tick may be equal to 1 080 000 and consequently a clock tick may be equal to 0.04 seconds.</w:t>
      </w:r>
      <w:r w:rsidR="00172800" w:rsidRPr="00A52AB8">
        <w:t xml:space="preserve"> When vui_timing_info_present_flag is equal to 1</w:t>
      </w:r>
      <w:r w:rsidR="00D963AD" w:rsidRPr="00A52AB8">
        <w:t xml:space="preserve">, </w:t>
      </w:r>
      <w:r w:rsidR="00D963AD" w:rsidRPr="00A52AB8">
        <w:rPr>
          <w:color w:val="000000" w:themeColor="text1"/>
        </w:rPr>
        <w:t xml:space="preserve">it is a requirement of </w:t>
      </w:r>
      <w:r w:rsidR="007521F2" w:rsidRPr="00A52AB8">
        <w:rPr>
          <w:color w:val="000000" w:themeColor="text1"/>
        </w:rPr>
        <w:t>V3C</w:t>
      </w:r>
      <w:r w:rsidR="00D963AD" w:rsidRPr="00A52AB8">
        <w:rPr>
          <w:color w:val="000000" w:themeColor="text1"/>
        </w:rPr>
        <w:t xml:space="preserve"> bitstream conformance that the value of </w:t>
      </w:r>
      <w:r w:rsidR="00D963AD" w:rsidRPr="00A52AB8">
        <w:rPr>
          <w:color w:val="000000" w:themeColor="text1"/>
          <w:lang w:eastAsia="ja-JP"/>
        </w:rPr>
        <w:t>num_units_in_tick</w:t>
      </w:r>
      <w:r w:rsidR="00D963AD" w:rsidRPr="00A52AB8">
        <w:rPr>
          <w:color w:val="000000" w:themeColor="text1"/>
        </w:rPr>
        <w:t xml:space="preserve"> shall be equal to the value of </w:t>
      </w:r>
      <w:r w:rsidR="00D963AD" w:rsidRPr="00A52AB8">
        <w:t>vui_num_units_in_tick</w:t>
      </w:r>
      <w:r w:rsidR="00D963AD" w:rsidRPr="00A52AB8">
        <w:rPr>
          <w:color w:val="000000" w:themeColor="text1"/>
        </w:rPr>
        <w:t>.</w:t>
      </w:r>
    </w:p>
    <w:p w14:paraId="45B3713B" w14:textId="7EC16519" w:rsidR="00B24ECD" w:rsidRPr="00A52AB8" w:rsidRDefault="00B24ECD" w:rsidP="005953AD">
      <w:r w:rsidRPr="00A52AB8">
        <w:rPr>
          <w:b/>
        </w:rPr>
        <w:t>time_scale</w:t>
      </w:r>
      <w:r w:rsidRPr="00A52AB8">
        <w:t xml:space="preserve"> is the number of time units that pass in one second. For example, a time coordinate system that measures time using a 27 MHz clock has a time_scale of 27 000 000. The value of time_scale shall be greater than 0.</w:t>
      </w:r>
      <w:r w:rsidR="00172800" w:rsidRPr="00A52AB8">
        <w:t xml:space="preserve"> </w:t>
      </w:r>
      <w:r w:rsidR="00A6726B" w:rsidRPr="00A52AB8">
        <w:t xml:space="preserve">When vui_timing_info_present_flag is equal to 1, </w:t>
      </w:r>
      <w:r w:rsidR="00A6726B" w:rsidRPr="00A52AB8">
        <w:rPr>
          <w:color w:val="000000" w:themeColor="text1"/>
        </w:rPr>
        <w:t xml:space="preserve">it is a requirement of V3C bitstream conformance that the value of </w:t>
      </w:r>
      <w:r w:rsidR="00A6726B" w:rsidRPr="00A52AB8">
        <w:rPr>
          <w:color w:val="000000" w:themeColor="text1"/>
          <w:lang w:eastAsia="ja-JP"/>
        </w:rPr>
        <w:t>time_scale</w:t>
      </w:r>
      <w:r w:rsidR="00A6726B" w:rsidRPr="00A52AB8">
        <w:rPr>
          <w:color w:val="000000" w:themeColor="text1"/>
        </w:rPr>
        <w:t xml:space="preserve"> shall be equal to the value of </w:t>
      </w:r>
      <w:r w:rsidR="00A6726B" w:rsidRPr="00A52AB8">
        <w:t>vui_time_scale</w:t>
      </w:r>
      <w:r w:rsidR="00A6726B" w:rsidRPr="00A52AB8">
        <w:rPr>
          <w:color w:val="000000" w:themeColor="text1"/>
        </w:rPr>
        <w:t>.</w:t>
      </w:r>
    </w:p>
    <w:p w14:paraId="100BC073" w14:textId="447261AC" w:rsidR="008B372B" w:rsidRPr="00A52AB8" w:rsidRDefault="008B372B" w:rsidP="008B372B">
      <w:r w:rsidRPr="00A52AB8">
        <w:rPr>
          <w:b/>
        </w:rPr>
        <w:t>counting_type</w:t>
      </w:r>
      <w:r w:rsidRPr="00A52AB8">
        <w:t xml:space="preserve"> specifies the method of dropping values of the n_frames syntax element as specified in </w:t>
      </w:r>
      <w:r w:rsidRPr="00496A4D">
        <w:fldChar w:fldCharType="begin"/>
      </w:r>
      <w:r w:rsidRPr="00A52AB8">
        <w:instrText xml:space="preserve"> REF _Ref47429436 \h </w:instrText>
      </w:r>
      <w:r w:rsidR="006371AA" w:rsidRPr="00A52AB8">
        <w:instrText xml:space="preserve"> \* MERGEFORMAT </w:instrText>
      </w:r>
      <w:r w:rsidRPr="00496A4D">
        <w:fldChar w:fldCharType="separate"/>
      </w:r>
      <w:r w:rsidR="00507A67" w:rsidRPr="00A52AB8">
        <w:t>Table F-</w:t>
      </w:r>
      <w:r w:rsidR="00507A67">
        <w:t>6</w:t>
      </w:r>
      <w:r w:rsidRPr="00496A4D">
        <w:fldChar w:fldCharType="end"/>
      </w:r>
      <w:r w:rsidRPr="00A52AB8">
        <w:t>.</w:t>
      </w:r>
    </w:p>
    <w:p w14:paraId="2DE2B15A" w14:textId="526AFCDE" w:rsidR="008B372B" w:rsidRPr="00A52AB8" w:rsidRDefault="008B372B" w:rsidP="008B372B">
      <w:pPr>
        <w:pStyle w:val="Tabletitle0"/>
      </w:pPr>
      <w:bookmarkStart w:id="6035" w:name="_Ref47429436"/>
      <w:r w:rsidRPr="00A52AB8">
        <w:t>Table F-</w:t>
      </w:r>
      <w:r w:rsidRPr="00496A4D">
        <w:fldChar w:fldCharType="begin"/>
      </w:r>
      <w:r w:rsidRPr="00A52AB8">
        <w:instrText xml:space="preserve"> SEQ Table \* ARABIC \s 1 </w:instrText>
      </w:r>
      <w:r w:rsidRPr="00496A4D">
        <w:fldChar w:fldCharType="separate"/>
      </w:r>
      <w:r w:rsidR="00507A67">
        <w:rPr>
          <w:noProof/>
        </w:rPr>
        <w:t>6</w:t>
      </w:r>
      <w:r w:rsidRPr="00496A4D">
        <w:fldChar w:fldCharType="end"/>
      </w:r>
      <w:bookmarkEnd w:id="6035"/>
      <w:r w:rsidR="008E3554" w:rsidRPr="00A52AB8">
        <w:rPr>
          <w:rFonts w:cs="Calibri"/>
          <w:bCs/>
        </w:rPr>
        <w:t> </w:t>
      </w:r>
      <w:r w:rsidR="008E3554" w:rsidRPr="00A52AB8">
        <w:t>– </w:t>
      </w:r>
      <w:r w:rsidRPr="00A52AB8">
        <w:t>Definition of counting_type values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4"/>
        <w:gridCol w:w="5554"/>
      </w:tblGrid>
      <w:tr w:rsidR="008B372B" w:rsidRPr="00A52AB8" w14:paraId="2F7135A0" w14:textId="77777777" w:rsidTr="004F230D">
        <w:trPr>
          <w:jc w:val="center"/>
        </w:trPr>
        <w:tc>
          <w:tcPr>
            <w:tcW w:w="794" w:type="dxa"/>
            <w:shd w:val="clear" w:color="auto" w:fill="auto"/>
          </w:tcPr>
          <w:p w14:paraId="6CBA9EA9" w14:textId="77777777" w:rsidR="008B372B" w:rsidRPr="00A52AB8" w:rsidRDefault="008B372B" w:rsidP="004F230D">
            <w:pPr>
              <w:pStyle w:val="TableTitle"/>
              <w:rPr>
                <w:rFonts w:ascii="Cambria" w:hAnsi="Cambria"/>
              </w:rPr>
            </w:pPr>
            <w:r w:rsidRPr="00A52AB8">
              <w:rPr>
                <w:rFonts w:ascii="Cambria" w:hAnsi="Cambria"/>
              </w:rPr>
              <w:t>Value</w:t>
            </w:r>
          </w:p>
        </w:tc>
        <w:tc>
          <w:tcPr>
            <w:tcW w:w="5554" w:type="dxa"/>
            <w:shd w:val="clear" w:color="auto" w:fill="auto"/>
          </w:tcPr>
          <w:p w14:paraId="4E65B8D9" w14:textId="77777777" w:rsidR="008B372B" w:rsidRPr="00A52AB8" w:rsidRDefault="008B372B" w:rsidP="004F230D">
            <w:pPr>
              <w:pStyle w:val="TableTitle"/>
              <w:rPr>
                <w:rFonts w:ascii="Cambria" w:hAnsi="Cambria"/>
              </w:rPr>
            </w:pPr>
            <w:r w:rsidRPr="00A52AB8">
              <w:rPr>
                <w:rFonts w:ascii="Cambria" w:hAnsi="Cambria"/>
              </w:rPr>
              <w:t>Interpretation</w:t>
            </w:r>
          </w:p>
        </w:tc>
      </w:tr>
      <w:tr w:rsidR="008B372B" w:rsidRPr="00A52AB8" w14:paraId="27B14A1F" w14:textId="77777777" w:rsidTr="004F230D">
        <w:trPr>
          <w:jc w:val="center"/>
        </w:trPr>
        <w:tc>
          <w:tcPr>
            <w:tcW w:w="794" w:type="dxa"/>
            <w:shd w:val="clear" w:color="auto" w:fill="auto"/>
          </w:tcPr>
          <w:p w14:paraId="2522F7F8" w14:textId="77777777" w:rsidR="008B372B" w:rsidRPr="00A52AB8" w:rsidRDefault="008B372B" w:rsidP="004F230D">
            <w:pPr>
              <w:pStyle w:val="TableText"/>
              <w:keepNext/>
              <w:jc w:val="center"/>
              <w:rPr>
                <w:rFonts w:ascii="Cambria" w:hAnsi="Cambria"/>
              </w:rPr>
            </w:pPr>
            <w:r w:rsidRPr="00A52AB8">
              <w:rPr>
                <w:rFonts w:ascii="Cambria" w:hAnsi="Cambria"/>
              </w:rPr>
              <w:t>0</w:t>
            </w:r>
          </w:p>
        </w:tc>
        <w:tc>
          <w:tcPr>
            <w:tcW w:w="5554" w:type="dxa"/>
            <w:shd w:val="clear" w:color="auto" w:fill="auto"/>
          </w:tcPr>
          <w:p w14:paraId="498FAB73" w14:textId="77777777" w:rsidR="008B372B" w:rsidRPr="00A52AB8" w:rsidRDefault="008B372B" w:rsidP="004F230D">
            <w:pPr>
              <w:pStyle w:val="TableText"/>
              <w:keepNext/>
              <w:rPr>
                <w:rFonts w:ascii="Cambria" w:hAnsi="Cambria"/>
              </w:rPr>
            </w:pPr>
            <w:r w:rsidRPr="00A52AB8">
              <w:rPr>
                <w:rFonts w:ascii="Cambria" w:hAnsi="Cambria"/>
              </w:rPr>
              <w:t>no dropping of n_frames count values and no use of time_offset_value</w:t>
            </w:r>
          </w:p>
        </w:tc>
      </w:tr>
      <w:tr w:rsidR="008B372B" w:rsidRPr="00A52AB8" w14:paraId="06869CE2" w14:textId="77777777" w:rsidTr="004F230D">
        <w:trPr>
          <w:jc w:val="center"/>
        </w:trPr>
        <w:tc>
          <w:tcPr>
            <w:tcW w:w="794" w:type="dxa"/>
            <w:shd w:val="clear" w:color="auto" w:fill="auto"/>
          </w:tcPr>
          <w:p w14:paraId="57755DF4" w14:textId="77777777" w:rsidR="008B372B" w:rsidRPr="00A52AB8" w:rsidRDefault="008B372B" w:rsidP="004F230D">
            <w:pPr>
              <w:pStyle w:val="TableText"/>
              <w:keepNext/>
              <w:jc w:val="center"/>
              <w:rPr>
                <w:rFonts w:ascii="Cambria" w:hAnsi="Cambria"/>
              </w:rPr>
            </w:pPr>
            <w:r w:rsidRPr="00A52AB8">
              <w:rPr>
                <w:rFonts w:ascii="Cambria" w:hAnsi="Cambria"/>
              </w:rPr>
              <w:t>1</w:t>
            </w:r>
          </w:p>
        </w:tc>
        <w:tc>
          <w:tcPr>
            <w:tcW w:w="5554" w:type="dxa"/>
            <w:shd w:val="clear" w:color="auto" w:fill="auto"/>
          </w:tcPr>
          <w:p w14:paraId="4CA2398C" w14:textId="77777777" w:rsidR="008B372B" w:rsidRPr="00A52AB8" w:rsidRDefault="008B372B" w:rsidP="004F230D">
            <w:pPr>
              <w:pStyle w:val="TableText"/>
              <w:keepNext/>
              <w:rPr>
                <w:rFonts w:ascii="Cambria" w:hAnsi="Cambria"/>
              </w:rPr>
            </w:pPr>
            <w:r w:rsidRPr="00A52AB8">
              <w:rPr>
                <w:rFonts w:ascii="Cambria" w:hAnsi="Cambria"/>
              </w:rPr>
              <w:t>no dropping of n_frames count values</w:t>
            </w:r>
          </w:p>
        </w:tc>
      </w:tr>
      <w:tr w:rsidR="008B372B" w:rsidRPr="00A52AB8" w14:paraId="413AF814" w14:textId="77777777" w:rsidTr="004F230D">
        <w:trPr>
          <w:jc w:val="center"/>
        </w:trPr>
        <w:tc>
          <w:tcPr>
            <w:tcW w:w="794" w:type="dxa"/>
            <w:shd w:val="clear" w:color="auto" w:fill="auto"/>
          </w:tcPr>
          <w:p w14:paraId="753D4897" w14:textId="77777777" w:rsidR="008B372B" w:rsidRPr="00A52AB8" w:rsidRDefault="008B372B" w:rsidP="004F230D">
            <w:pPr>
              <w:pStyle w:val="TableText"/>
              <w:keepNext/>
              <w:jc w:val="center"/>
              <w:rPr>
                <w:rFonts w:ascii="Cambria" w:hAnsi="Cambria"/>
              </w:rPr>
            </w:pPr>
            <w:r w:rsidRPr="00A52AB8">
              <w:rPr>
                <w:rFonts w:ascii="Cambria" w:hAnsi="Cambria"/>
              </w:rPr>
              <w:t>2</w:t>
            </w:r>
          </w:p>
        </w:tc>
        <w:tc>
          <w:tcPr>
            <w:tcW w:w="5554" w:type="dxa"/>
            <w:shd w:val="clear" w:color="auto" w:fill="auto"/>
          </w:tcPr>
          <w:p w14:paraId="4B16B56D" w14:textId="77777777" w:rsidR="008B372B" w:rsidRPr="00A52AB8" w:rsidRDefault="008B372B" w:rsidP="004F230D">
            <w:pPr>
              <w:pStyle w:val="TableText"/>
              <w:keepNext/>
              <w:rPr>
                <w:rFonts w:ascii="Cambria" w:hAnsi="Cambria"/>
              </w:rPr>
            </w:pPr>
            <w:r w:rsidRPr="00A52AB8">
              <w:rPr>
                <w:rFonts w:ascii="Cambria" w:hAnsi="Cambria"/>
              </w:rPr>
              <w:t>dropping of individual zero values of n_frames count</w:t>
            </w:r>
          </w:p>
        </w:tc>
      </w:tr>
      <w:tr w:rsidR="008B372B" w:rsidRPr="00A52AB8" w14:paraId="64E36278" w14:textId="77777777" w:rsidTr="004F230D">
        <w:trPr>
          <w:jc w:val="center"/>
        </w:trPr>
        <w:tc>
          <w:tcPr>
            <w:tcW w:w="794" w:type="dxa"/>
            <w:shd w:val="clear" w:color="auto" w:fill="auto"/>
          </w:tcPr>
          <w:p w14:paraId="0E4BFD2C" w14:textId="77777777" w:rsidR="008B372B" w:rsidRPr="00A52AB8" w:rsidRDefault="008B372B" w:rsidP="004F230D">
            <w:pPr>
              <w:pStyle w:val="TableText"/>
              <w:keepNext/>
              <w:jc w:val="center"/>
              <w:rPr>
                <w:rFonts w:ascii="Cambria" w:hAnsi="Cambria"/>
              </w:rPr>
            </w:pPr>
            <w:r w:rsidRPr="00A52AB8">
              <w:rPr>
                <w:rFonts w:ascii="Cambria" w:hAnsi="Cambria"/>
              </w:rPr>
              <w:t>3</w:t>
            </w:r>
          </w:p>
        </w:tc>
        <w:tc>
          <w:tcPr>
            <w:tcW w:w="5554" w:type="dxa"/>
            <w:shd w:val="clear" w:color="auto" w:fill="auto"/>
          </w:tcPr>
          <w:p w14:paraId="143C35A9" w14:textId="77777777" w:rsidR="008B372B" w:rsidRPr="00A52AB8" w:rsidRDefault="008B372B" w:rsidP="004F230D">
            <w:pPr>
              <w:pStyle w:val="TableText"/>
              <w:keepNext/>
              <w:rPr>
                <w:rFonts w:ascii="Cambria" w:hAnsi="Cambria"/>
              </w:rPr>
            </w:pPr>
            <w:r w:rsidRPr="00A52AB8">
              <w:rPr>
                <w:rFonts w:ascii="Cambria" w:hAnsi="Cambria"/>
              </w:rPr>
              <w:t xml:space="preserve">dropping of individual values of n_frames count equal to MaxFPS − 1 </w:t>
            </w:r>
          </w:p>
        </w:tc>
      </w:tr>
      <w:tr w:rsidR="008B372B" w:rsidRPr="00A52AB8" w14:paraId="226412F1" w14:textId="77777777" w:rsidTr="004F230D">
        <w:trPr>
          <w:jc w:val="center"/>
        </w:trPr>
        <w:tc>
          <w:tcPr>
            <w:tcW w:w="794" w:type="dxa"/>
            <w:shd w:val="clear" w:color="auto" w:fill="auto"/>
          </w:tcPr>
          <w:p w14:paraId="024579C7" w14:textId="77777777" w:rsidR="008B372B" w:rsidRPr="00A52AB8" w:rsidRDefault="0030632E" w:rsidP="004F230D">
            <w:pPr>
              <w:pStyle w:val="TableText"/>
              <w:keepNext/>
              <w:jc w:val="center"/>
              <w:rPr>
                <w:rFonts w:ascii="Cambria" w:hAnsi="Cambria"/>
              </w:rPr>
            </w:pPr>
            <w:r w:rsidRPr="00A52AB8">
              <w:rPr>
                <w:rFonts w:ascii="Cambria" w:hAnsi="Cambria"/>
              </w:rPr>
              <w:t>4</w:t>
            </w:r>
          </w:p>
        </w:tc>
        <w:tc>
          <w:tcPr>
            <w:tcW w:w="5554" w:type="dxa"/>
            <w:shd w:val="clear" w:color="auto" w:fill="auto"/>
          </w:tcPr>
          <w:p w14:paraId="3E5D7526" w14:textId="77777777" w:rsidR="008B372B" w:rsidRPr="00A52AB8" w:rsidRDefault="008B372B" w:rsidP="004F230D">
            <w:pPr>
              <w:pStyle w:val="TableText"/>
              <w:keepNext/>
              <w:rPr>
                <w:rFonts w:ascii="Cambria" w:hAnsi="Cambria"/>
              </w:rPr>
            </w:pPr>
            <w:r w:rsidRPr="00A52AB8">
              <w:rPr>
                <w:rFonts w:ascii="Cambria" w:hAnsi="Cambria"/>
              </w:rPr>
              <w:t>dropping of unspecified individual n_frames count values</w:t>
            </w:r>
          </w:p>
        </w:tc>
      </w:tr>
      <w:tr w:rsidR="008B372B" w:rsidRPr="00A52AB8" w14:paraId="277CB04A" w14:textId="77777777" w:rsidTr="004F230D">
        <w:trPr>
          <w:jc w:val="center"/>
        </w:trPr>
        <w:tc>
          <w:tcPr>
            <w:tcW w:w="794" w:type="dxa"/>
            <w:shd w:val="clear" w:color="auto" w:fill="auto"/>
          </w:tcPr>
          <w:p w14:paraId="743773C0" w14:textId="77777777" w:rsidR="008B372B" w:rsidRPr="00A52AB8" w:rsidRDefault="0030632E" w:rsidP="004F230D">
            <w:pPr>
              <w:pStyle w:val="TableText"/>
              <w:keepNext/>
              <w:jc w:val="center"/>
              <w:rPr>
                <w:rFonts w:ascii="Cambria" w:hAnsi="Cambria"/>
              </w:rPr>
            </w:pPr>
            <w:r w:rsidRPr="00A52AB8">
              <w:rPr>
                <w:rFonts w:ascii="Cambria" w:hAnsi="Cambria"/>
              </w:rPr>
              <w:t>5</w:t>
            </w:r>
          </w:p>
        </w:tc>
        <w:tc>
          <w:tcPr>
            <w:tcW w:w="5554" w:type="dxa"/>
            <w:shd w:val="clear" w:color="auto" w:fill="auto"/>
          </w:tcPr>
          <w:p w14:paraId="0E60828A" w14:textId="77777777" w:rsidR="008B372B" w:rsidRPr="00A52AB8" w:rsidRDefault="008B372B" w:rsidP="004F230D">
            <w:pPr>
              <w:pStyle w:val="TableText"/>
              <w:keepNext/>
              <w:rPr>
                <w:rFonts w:ascii="Cambria" w:hAnsi="Cambria"/>
              </w:rPr>
            </w:pPr>
            <w:r w:rsidRPr="00A52AB8">
              <w:rPr>
                <w:rFonts w:ascii="Cambria" w:hAnsi="Cambria"/>
              </w:rPr>
              <w:t>dropping of unspecified numbers of unspecified n_frames count values</w:t>
            </w:r>
          </w:p>
        </w:tc>
      </w:tr>
      <w:tr w:rsidR="008B372B" w:rsidRPr="00A52AB8" w14:paraId="15089DB0" w14:textId="77777777" w:rsidTr="004F230D">
        <w:trPr>
          <w:jc w:val="center"/>
        </w:trPr>
        <w:tc>
          <w:tcPr>
            <w:tcW w:w="794" w:type="dxa"/>
            <w:shd w:val="clear" w:color="auto" w:fill="auto"/>
          </w:tcPr>
          <w:p w14:paraId="7583DDA6" w14:textId="77777777" w:rsidR="008B372B" w:rsidRPr="00A52AB8" w:rsidRDefault="0030632E" w:rsidP="004F230D">
            <w:pPr>
              <w:pStyle w:val="TableText"/>
              <w:jc w:val="center"/>
              <w:rPr>
                <w:rFonts w:ascii="Cambria" w:hAnsi="Cambria"/>
              </w:rPr>
            </w:pPr>
            <w:r w:rsidRPr="00A52AB8">
              <w:rPr>
                <w:rFonts w:ascii="Cambria" w:hAnsi="Cambria"/>
              </w:rPr>
              <w:t>6</w:t>
            </w:r>
            <w:r w:rsidR="008B372B" w:rsidRPr="00A52AB8">
              <w:rPr>
                <w:rFonts w:ascii="Cambria" w:hAnsi="Cambria"/>
              </w:rPr>
              <w:t>..31</w:t>
            </w:r>
          </w:p>
        </w:tc>
        <w:tc>
          <w:tcPr>
            <w:tcW w:w="5554" w:type="dxa"/>
            <w:shd w:val="clear" w:color="auto" w:fill="auto"/>
          </w:tcPr>
          <w:p w14:paraId="5EDB102E" w14:textId="77777777" w:rsidR="008B372B" w:rsidRPr="00A52AB8" w:rsidRDefault="008B372B" w:rsidP="004F230D">
            <w:pPr>
              <w:pStyle w:val="TableText"/>
              <w:rPr>
                <w:rFonts w:ascii="Cambria" w:hAnsi="Cambria"/>
              </w:rPr>
            </w:pPr>
            <w:r w:rsidRPr="00A52AB8">
              <w:rPr>
                <w:rFonts w:ascii="Cambria" w:hAnsi="Cambria"/>
              </w:rPr>
              <w:t>reserved</w:t>
            </w:r>
          </w:p>
        </w:tc>
      </w:tr>
    </w:tbl>
    <w:p w14:paraId="4A8D207F" w14:textId="77777777" w:rsidR="008B372B" w:rsidRPr="00A52AB8" w:rsidRDefault="008B372B" w:rsidP="00331613">
      <w:pPr>
        <w:spacing w:before="120"/>
      </w:pPr>
      <w:r w:rsidRPr="00A52AB8">
        <w:rPr>
          <w:b/>
        </w:rPr>
        <w:t>full_timestamp_flag</w:t>
      </w:r>
      <w:r w:rsidRPr="00A52AB8">
        <w:t xml:space="preserve"> equal to 1 specifies that the n_frames syntax element is followed by seconds_value, minutes_value, and hours_value. full_timestamp_flag equal to 0 specifies that the n_frames syntax element is followed by seconds_flag.</w:t>
      </w:r>
    </w:p>
    <w:p w14:paraId="23247551" w14:textId="7C69F65B" w:rsidR="008B372B" w:rsidRPr="00A52AB8" w:rsidRDefault="008B372B" w:rsidP="008B372B">
      <w:r w:rsidRPr="00A52AB8">
        <w:rPr>
          <w:b/>
        </w:rPr>
        <w:t>discontinuity_flag</w:t>
      </w:r>
      <w:r w:rsidRPr="00A52AB8">
        <w:t xml:space="preserve"> equal to 0 indicates that the difference between the current value of clockTimestamp</w:t>
      </w:r>
      <w:r w:rsidR="00C61E38" w:rsidRPr="00A52AB8">
        <w:t xml:space="preserve"> </w:t>
      </w:r>
      <w:r w:rsidRPr="00A52AB8">
        <w:t>and the value of clockTimestamp</w:t>
      </w:r>
      <w:r w:rsidR="00C61E38" w:rsidRPr="00A52AB8">
        <w:t xml:space="preserve"> </w:t>
      </w:r>
      <w:r w:rsidRPr="00A52AB8">
        <w:t>computed from the previous set of clock timestamp syntax elements in output order can be interpreted as the time difference between the times of origin or capture of the associated frames. discontinuity_flag equal to 1 indicates that the difference between the current value of clockTimestamp and the value of clockTimestamp computed from the previous set of clock timestamp syntax elements in output order should not be interpreted as the time difference between the times of origin or capture of the associated frames. When discontinuity_flag is equal to 0, the value of clockTimestamp shall be greater than or equal to the value of clockTimestamp for the previous set of clock timestamp syntax elements in output order (when present).</w:t>
      </w:r>
    </w:p>
    <w:p w14:paraId="48B55B59" w14:textId="77777777" w:rsidR="008B372B" w:rsidRPr="00A52AB8" w:rsidRDefault="008B372B" w:rsidP="008B372B">
      <w:r w:rsidRPr="00A52AB8">
        <w:rPr>
          <w:b/>
        </w:rPr>
        <w:t>cnt_dropped_flag</w:t>
      </w:r>
      <w:r w:rsidRPr="00A52AB8">
        <w:t xml:space="preserve"> specifies the skipping of one or more values of n_frames using the counting method specified by counting_type.</w:t>
      </w:r>
    </w:p>
    <w:p w14:paraId="707E44A3" w14:textId="77777777" w:rsidR="008B372B" w:rsidRPr="00A52AB8" w:rsidRDefault="008B372B" w:rsidP="008B372B">
      <w:r w:rsidRPr="00A52AB8">
        <w:rPr>
          <w:b/>
        </w:rPr>
        <w:t>n_frames</w:t>
      </w:r>
      <w:r w:rsidRPr="00A52AB8">
        <w:t xml:space="preserve"> specifies the value of nFrames used to compute clockTimestamp. n_frames shall be less than MaxFPS, where MaxFPS is specified by</w:t>
      </w:r>
    </w:p>
    <w:p w14:paraId="371C2337" w14:textId="789324D1" w:rsidR="008B372B" w:rsidRPr="00A52AB8" w:rsidRDefault="008B372B" w:rsidP="008B372B">
      <w:pPr>
        <w:tabs>
          <w:tab w:val="clear" w:pos="9677"/>
          <w:tab w:val="right" w:pos="9696"/>
        </w:tabs>
      </w:pPr>
      <w:r w:rsidRPr="00A52AB8">
        <w:tab/>
        <w:t>MaxFPS</w:t>
      </w:r>
      <w:r w:rsidR="0023721F" w:rsidRPr="00A52AB8">
        <w:t> </w:t>
      </w:r>
      <w:r w:rsidR="00D47707" w:rsidRPr="00A52AB8">
        <w:t>= </w:t>
      </w:r>
      <w:r w:rsidRPr="00A52AB8">
        <w:t>Ceil(time_scale ÷ num_units_in_tick )</w:t>
      </w:r>
      <w:r w:rsidRPr="00A52AB8">
        <w:tab/>
        <w:t>(F</w:t>
      </w:r>
      <w:r w:rsidRPr="00A52AB8">
        <w:noBreakHyphen/>
      </w:r>
      <w:r w:rsidRPr="00496A4D">
        <w:fldChar w:fldCharType="begin"/>
      </w:r>
      <w:r w:rsidRPr="00A52AB8">
        <w:instrText xml:space="preserve"> SEQ Equation \* ARABIC \s 1 </w:instrText>
      </w:r>
      <w:r w:rsidRPr="00496A4D">
        <w:fldChar w:fldCharType="separate"/>
      </w:r>
      <w:r w:rsidR="00507A67">
        <w:rPr>
          <w:noProof/>
        </w:rPr>
        <w:t>4</w:t>
      </w:r>
      <w:r w:rsidRPr="00496A4D">
        <w:fldChar w:fldCharType="end"/>
      </w:r>
      <w:r w:rsidRPr="00A52AB8">
        <w:t>)</w:t>
      </w:r>
    </w:p>
    <w:p w14:paraId="4D7FD483" w14:textId="77777777" w:rsidR="008B372B" w:rsidRPr="00A52AB8" w:rsidRDefault="008B372B" w:rsidP="008B372B">
      <w:r w:rsidRPr="00A52AB8">
        <w:t>When counting_type is equal to 2 and cnt_dropped_flag is equal to 1, n_frames shall be equal to 1 and the value of n_frames for the previous set of clock timestamp syntax elements in output order (when present) shall not be equal to 0 unless discontinuity_flag is equal to 1.</w:t>
      </w:r>
    </w:p>
    <w:p w14:paraId="3C089622" w14:textId="5E257161" w:rsidR="008B372B" w:rsidRPr="00A52AB8" w:rsidRDefault="002A0ADD" w:rsidP="008B372B">
      <w:pPr>
        <w:pStyle w:val="Note1"/>
        <w:rPr>
          <w:rFonts w:ascii="Cambria" w:hAnsi="Cambria"/>
        </w:rPr>
      </w:pPr>
      <w:r w:rsidRPr="00A52AB8" w:rsidDel="00112A5D">
        <w:rPr>
          <w:rFonts w:ascii="Cambria" w:hAnsi="Cambria"/>
        </w:rPr>
        <w:t>NOTE</w:t>
      </w:r>
      <w:r w:rsidRPr="00A52AB8">
        <w:rPr>
          <w:rFonts w:ascii="Cambria" w:hAnsi="Cambria"/>
        </w:rPr>
        <w:t> </w:t>
      </w:r>
      <w:r w:rsidRPr="00496A4D">
        <w:rPr>
          <w:rFonts w:ascii="Cambria" w:hAnsi="Cambria"/>
        </w:rPr>
        <w:fldChar w:fldCharType="begin"/>
      </w:r>
      <w:r w:rsidRPr="00A52AB8">
        <w:rPr>
          <w:rFonts w:ascii="Cambria" w:hAnsi="Cambria"/>
        </w:rPr>
        <w:instrText xml:space="preserve"> SEQ NoteCounter \s 9 \* MERGEFORMAT </w:instrText>
      </w:r>
      <w:r w:rsidRPr="00496A4D">
        <w:rPr>
          <w:rFonts w:ascii="Cambria" w:hAnsi="Cambria"/>
        </w:rPr>
        <w:fldChar w:fldCharType="separate"/>
      </w:r>
      <w:r w:rsidR="00507A67">
        <w:rPr>
          <w:rFonts w:ascii="Cambria" w:hAnsi="Cambria"/>
          <w:noProof/>
        </w:rPr>
        <w:t>2</w:t>
      </w:r>
      <w:r w:rsidRPr="00496A4D">
        <w:rPr>
          <w:rFonts w:ascii="Cambria" w:hAnsi="Cambria"/>
        </w:rPr>
        <w:fldChar w:fldCharType="end"/>
      </w:r>
      <w:r w:rsidRPr="00A52AB8">
        <w:rPr>
          <w:rFonts w:ascii="Cambria" w:hAnsi="Cambria"/>
        </w:rPr>
        <w:t> </w:t>
      </w:r>
      <w:r w:rsidR="008B372B" w:rsidRPr="00A52AB8">
        <w:rPr>
          <w:rFonts w:ascii="Cambria" w:hAnsi="Cambria"/>
        </w:rPr>
        <w:t>– When counting_type[ i ] is equal to 2, the need for increasingly large magnitudes of tOffset in Equation </w:t>
      </w:r>
      <w:r w:rsidR="00F053E3" w:rsidRPr="00496A4D">
        <w:rPr>
          <w:rFonts w:ascii="Cambria" w:hAnsi="Cambria"/>
        </w:rPr>
        <w:fldChar w:fldCharType="begin"/>
      </w:r>
      <w:r w:rsidR="00F053E3" w:rsidRPr="00A52AB8">
        <w:rPr>
          <w:rFonts w:ascii="Cambria" w:hAnsi="Cambria"/>
        </w:rPr>
        <w:instrText xml:space="preserve"> REF Eqn_clockTimestamp \h </w:instrText>
      </w:r>
      <w:r w:rsidR="009018AE" w:rsidRPr="00A52AB8">
        <w:rPr>
          <w:rFonts w:ascii="Cambria" w:hAnsi="Cambria"/>
        </w:rPr>
        <w:instrText xml:space="preserve"> \* MERGEFORMAT </w:instrText>
      </w:r>
      <w:r w:rsidR="00F053E3" w:rsidRPr="00496A4D">
        <w:rPr>
          <w:rFonts w:ascii="Cambria" w:hAnsi="Cambria"/>
        </w:rPr>
      </w:r>
      <w:r w:rsidR="00F053E3" w:rsidRPr="00496A4D">
        <w:rPr>
          <w:rFonts w:ascii="Cambria" w:hAnsi="Cambria"/>
        </w:rPr>
        <w:fldChar w:fldCharType="separate"/>
      </w:r>
      <w:r w:rsidR="00507A67" w:rsidRPr="00507A67">
        <w:rPr>
          <w:rFonts w:ascii="Cambria" w:hAnsi="Cambria"/>
        </w:rPr>
        <w:t>F</w:t>
      </w:r>
      <w:r w:rsidR="00507A67" w:rsidRPr="00507A67">
        <w:rPr>
          <w:rFonts w:ascii="Cambria" w:hAnsi="Cambria"/>
        </w:rPr>
        <w:noBreakHyphen/>
        <w:t>3</w:t>
      </w:r>
      <w:r w:rsidR="00F053E3" w:rsidRPr="00496A4D">
        <w:rPr>
          <w:rFonts w:ascii="Cambria" w:hAnsi="Cambria"/>
        </w:rPr>
        <w:fldChar w:fldCharType="end"/>
      </w:r>
      <w:r w:rsidR="00F053E3" w:rsidRPr="00A52AB8">
        <w:rPr>
          <w:rFonts w:ascii="Cambria" w:hAnsi="Cambria"/>
        </w:rPr>
        <w:t xml:space="preserve"> </w:t>
      </w:r>
      <w:r w:rsidR="008B372B" w:rsidRPr="00A52AB8">
        <w:rPr>
          <w:rFonts w:ascii="Cambria" w:hAnsi="Cambria"/>
        </w:rPr>
        <w:t>when using fixed non-integer frame rates (e.g., 12.5 frames per second with time_scale equal to 50 and num_units_in_tick equal to 2) can be avoided by occasionally skipping over the value n_frames equal to 0 when counting (e.g., counting n_frames from 0 to 12, then incrementing seconds_value and counting n_frames from 1 to 12, then incrementing seconds_value and counting n_frames from 0 to 12, etc.).</w:t>
      </w:r>
    </w:p>
    <w:p w14:paraId="30746973" w14:textId="77777777" w:rsidR="008B372B" w:rsidRPr="00A52AB8" w:rsidRDefault="008B372B" w:rsidP="008B372B">
      <w:r w:rsidRPr="00A52AB8">
        <w:t>When counting_type is equal to 3, and cnt_dropped_flag is equal to 1, n_frames shall be equal to 0 and the value of n_frames for the previous set of clock timestamp syntax elements in output order (when present) shall not be equal to MaxFPS − 1 unless discontinuity_flag is equal to 1.</w:t>
      </w:r>
    </w:p>
    <w:p w14:paraId="7CFE251C" w14:textId="6C818369" w:rsidR="008B372B" w:rsidRPr="00A52AB8" w:rsidRDefault="002A0ADD" w:rsidP="008B372B">
      <w:pPr>
        <w:pStyle w:val="Note1"/>
        <w:rPr>
          <w:rFonts w:ascii="Cambria" w:hAnsi="Cambria"/>
        </w:rPr>
      </w:pPr>
      <w:r w:rsidRPr="00A52AB8" w:rsidDel="00112A5D">
        <w:rPr>
          <w:rFonts w:ascii="Cambria" w:hAnsi="Cambria"/>
        </w:rPr>
        <w:t>NOTE</w:t>
      </w:r>
      <w:r w:rsidRPr="00A52AB8">
        <w:rPr>
          <w:rFonts w:ascii="Cambria" w:hAnsi="Cambria"/>
        </w:rPr>
        <w:t> </w:t>
      </w:r>
      <w:r w:rsidRPr="00496A4D">
        <w:rPr>
          <w:rFonts w:ascii="Cambria" w:hAnsi="Cambria"/>
        </w:rPr>
        <w:fldChar w:fldCharType="begin"/>
      </w:r>
      <w:r w:rsidRPr="00A52AB8">
        <w:rPr>
          <w:rFonts w:ascii="Cambria" w:hAnsi="Cambria"/>
        </w:rPr>
        <w:instrText xml:space="preserve"> SEQ NoteCounter \s 9 \* MERGEFORMAT </w:instrText>
      </w:r>
      <w:r w:rsidRPr="00496A4D">
        <w:rPr>
          <w:rFonts w:ascii="Cambria" w:hAnsi="Cambria"/>
        </w:rPr>
        <w:fldChar w:fldCharType="separate"/>
      </w:r>
      <w:r w:rsidR="00507A67">
        <w:rPr>
          <w:rFonts w:ascii="Cambria" w:hAnsi="Cambria"/>
          <w:noProof/>
        </w:rPr>
        <w:t>3</w:t>
      </w:r>
      <w:r w:rsidRPr="00496A4D">
        <w:rPr>
          <w:rFonts w:ascii="Cambria" w:hAnsi="Cambria"/>
        </w:rPr>
        <w:fldChar w:fldCharType="end"/>
      </w:r>
      <w:r w:rsidRPr="00A52AB8">
        <w:rPr>
          <w:rFonts w:ascii="Cambria" w:hAnsi="Cambria"/>
        </w:rPr>
        <w:t> </w:t>
      </w:r>
      <w:r w:rsidR="008B372B" w:rsidRPr="00A52AB8">
        <w:rPr>
          <w:rFonts w:ascii="Cambria" w:hAnsi="Cambria"/>
        </w:rPr>
        <w:t>– When counting_type is equal to 3, the need for increasingly large magnitudes of tOffset in Equation</w:t>
      </w:r>
      <w:r w:rsidR="00F053E3" w:rsidRPr="00A52AB8">
        <w:rPr>
          <w:rFonts w:ascii="Cambria" w:hAnsi="Cambria"/>
        </w:rPr>
        <w:t> </w:t>
      </w:r>
      <w:r w:rsidR="00F053E3" w:rsidRPr="00496A4D">
        <w:rPr>
          <w:rFonts w:ascii="Cambria" w:hAnsi="Cambria"/>
        </w:rPr>
        <w:fldChar w:fldCharType="begin"/>
      </w:r>
      <w:r w:rsidR="00F053E3" w:rsidRPr="00A52AB8">
        <w:rPr>
          <w:rFonts w:ascii="Cambria" w:hAnsi="Cambria"/>
        </w:rPr>
        <w:instrText xml:space="preserve"> REF Eqn_clockTimestamp \h </w:instrText>
      </w:r>
      <w:r w:rsidR="009018AE" w:rsidRPr="00A52AB8">
        <w:rPr>
          <w:rFonts w:ascii="Cambria" w:hAnsi="Cambria"/>
        </w:rPr>
        <w:instrText xml:space="preserve"> \* MERGEFORMAT </w:instrText>
      </w:r>
      <w:r w:rsidR="00F053E3" w:rsidRPr="00496A4D">
        <w:rPr>
          <w:rFonts w:ascii="Cambria" w:hAnsi="Cambria"/>
        </w:rPr>
      </w:r>
      <w:r w:rsidR="00F053E3" w:rsidRPr="00496A4D">
        <w:rPr>
          <w:rFonts w:ascii="Cambria" w:hAnsi="Cambria"/>
        </w:rPr>
        <w:fldChar w:fldCharType="separate"/>
      </w:r>
      <w:r w:rsidR="00507A67" w:rsidRPr="00507A67">
        <w:rPr>
          <w:rFonts w:ascii="Cambria" w:hAnsi="Cambria"/>
        </w:rPr>
        <w:t>F</w:t>
      </w:r>
      <w:r w:rsidR="00507A67" w:rsidRPr="00507A67">
        <w:rPr>
          <w:rFonts w:ascii="Cambria" w:hAnsi="Cambria"/>
        </w:rPr>
        <w:noBreakHyphen/>
        <w:t>3</w:t>
      </w:r>
      <w:r w:rsidR="00F053E3" w:rsidRPr="00496A4D">
        <w:rPr>
          <w:rFonts w:ascii="Cambria" w:hAnsi="Cambria"/>
        </w:rPr>
        <w:fldChar w:fldCharType="end"/>
      </w:r>
      <w:r w:rsidR="008B372B" w:rsidRPr="00A52AB8">
        <w:rPr>
          <w:rFonts w:ascii="Cambria" w:hAnsi="Cambria"/>
        </w:rPr>
        <w:t xml:space="preserve"> when using fixed non-integer frame rates (e.g., 12.5 frames per second with time_scale equal to 50 and num_units_in_tick equal to 2) can be avoided by occasionally skipping over the value n_frames equal to MaxFPS − 1 when counting (e.g., counting n_frames from 0 to 12, then incrementing seconds_value and counting n_frames from 0 to 11, then incrementing seconds_value and counting n_frames from 0 to 12, etc.).</w:t>
      </w:r>
    </w:p>
    <w:p w14:paraId="3CE29630" w14:textId="77777777" w:rsidR="008B372B" w:rsidRPr="00A52AB8" w:rsidRDefault="008B372B" w:rsidP="008B372B">
      <w:r w:rsidRPr="00A52AB8">
        <w:t xml:space="preserve">When counting_type is equal to </w:t>
      </w:r>
      <w:r w:rsidR="005730E8" w:rsidRPr="00A52AB8">
        <w:t xml:space="preserve">4 </w:t>
      </w:r>
      <w:r w:rsidRPr="00A52AB8">
        <w:t xml:space="preserve">or </w:t>
      </w:r>
      <w:r w:rsidR="005730E8" w:rsidRPr="00A52AB8">
        <w:t>5</w:t>
      </w:r>
      <w:r w:rsidRPr="00A52AB8">
        <w:t>, and cnt_dropped_flag is equal to 1, n_frames shall not be equal to 1 plus the value of n_frames for the previous set of clock timestamp syntax elements in output order (when present) modulo MaxFPS unless discontinuity_flag is equal to 1.</w:t>
      </w:r>
    </w:p>
    <w:p w14:paraId="5BA88262" w14:textId="7F1A94B4" w:rsidR="008B372B" w:rsidRPr="00A52AB8" w:rsidRDefault="002A0ADD" w:rsidP="008B372B">
      <w:pPr>
        <w:pStyle w:val="Note1"/>
        <w:rPr>
          <w:rFonts w:ascii="Cambria" w:hAnsi="Cambria"/>
        </w:rPr>
      </w:pPr>
      <w:r w:rsidRPr="00A52AB8" w:rsidDel="00112A5D">
        <w:rPr>
          <w:rFonts w:ascii="Cambria" w:hAnsi="Cambria"/>
        </w:rPr>
        <w:t>NOTE</w:t>
      </w:r>
      <w:r w:rsidRPr="00A52AB8">
        <w:rPr>
          <w:rFonts w:ascii="Cambria" w:hAnsi="Cambria"/>
        </w:rPr>
        <w:t> </w:t>
      </w:r>
      <w:r w:rsidRPr="00496A4D">
        <w:rPr>
          <w:rFonts w:ascii="Cambria" w:hAnsi="Cambria"/>
        </w:rPr>
        <w:fldChar w:fldCharType="begin"/>
      </w:r>
      <w:r w:rsidRPr="00A52AB8">
        <w:rPr>
          <w:rFonts w:ascii="Cambria" w:hAnsi="Cambria"/>
        </w:rPr>
        <w:instrText xml:space="preserve"> SEQ NoteCounter \s 9 \* MERGEFORMAT </w:instrText>
      </w:r>
      <w:r w:rsidRPr="00496A4D">
        <w:rPr>
          <w:rFonts w:ascii="Cambria" w:hAnsi="Cambria"/>
        </w:rPr>
        <w:fldChar w:fldCharType="separate"/>
      </w:r>
      <w:r w:rsidR="00507A67">
        <w:rPr>
          <w:rFonts w:ascii="Cambria" w:hAnsi="Cambria"/>
          <w:noProof/>
        </w:rPr>
        <w:t>4</w:t>
      </w:r>
      <w:r w:rsidRPr="00496A4D">
        <w:rPr>
          <w:rFonts w:ascii="Cambria" w:hAnsi="Cambria"/>
        </w:rPr>
        <w:fldChar w:fldCharType="end"/>
      </w:r>
      <w:r w:rsidRPr="00A52AB8">
        <w:rPr>
          <w:rFonts w:ascii="Cambria" w:hAnsi="Cambria"/>
        </w:rPr>
        <w:t> </w:t>
      </w:r>
      <w:r w:rsidR="008B372B" w:rsidRPr="00A52AB8">
        <w:rPr>
          <w:rFonts w:ascii="Cambria" w:hAnsi="Cambria"/>
        </w:rPr>
        <w:t xml:space="preserve">– When counting_type is equal to </w:t>
      </w:r>
      <w:r w:rsidR="005730E8" w:rsidRPr="00A52AB8">
        <w:rPr>
          <w:rFonts w:ascii="Cambria" w:hAnsi="Cambria"/>
        </w:rPr>
        <w:t xml:space="preserve">4 </w:t>
      </w:r>
      <w:r w:rsidR="008B372B" w:rsidRPr="00A52AB8">
        <w:rPr>
          <w:rFonts w:ascii="Cambria" w:hAnsi="Cambria"/>
        </w:rPr>
        <w:t xml:space="preserve">or </w:t>
      </w:r>
      <w:r w:rsidR="005730E8" w:rsidRPr="00A52AB8">
        <w:rPr>
          <w:rFonts w:ascii="Cambria" w:hAnsi="Cambria"/>
        </w:rPr>
        <w:t>5</w:t>
      </w:r>
      <w:r w:rsidR="008B372B" w:rsidRPr="00A52AB8">
        <w:rPr>
          <w:rFonts w:ascii="Cambria" w:hAnsi="Cambria"/>
        </w:rPr>
        <w:t>, the need for increasingly large magnitudes of tOffset in Equation</w:t>
      </w:r>
      <w:r w:rsidR="00F053E3" w:rsidRPr="00A52AB8">
        <w:rPr>
          <w:rFonts w:ascii="Cambria" w:hAnsi="Cambria"/>
        </w:rPr>
        <w:t> </w:t>
      </w:r>
      <w:r w:rsidR="00F053E3" w:rsidRPr="00496A4D">
        <w:rPr>
          <w:rFonts w:ascii="Cambria" w:hAnsi="Cambria"/>
        </w:rPr>
        <w:fldChar w:fldCharType="begin"/>
      </w:r>
      <w:r w:rsidR="00F053E3" w:rsidRPr="00A52AB8">
        <w:rPr>
          <w:rFonts w:ascii="Cambria" w:hAnsi="Cambria"/>
        </w:rPr>
        <w:instrText xml:space="preserve"> REF Eqn_clockTimestamp \h </w:instrText>
      </w:r>
      <w:r w:rsidR="009018AE" w:rsidRPr="00A52AB8">
        <w:rPr>
          <w:rFonts w:ascii="Cambria" w:hAnsi="Cambria"/>
        </w:rPr>
        <w:instrText xml:space="preserve"> \* MERGEFORMAT </w:instrText>
      </w:r>
      <w:r w:rsidR="00F053E3" w:rsidRPr="00496A4D">
        <w:rPr>
          <w:rFonts w:ascii="Cambria" w:hAnsi="Cambria"/>
        </w:rPr>
      </w:r>
      <w:r w:rsidR="00F053E3" w:rsidRPr="00496A4D">
        <w:rPr>
          <w:rFonts w:ascii="Cambria" w:hAnsi="Cambria"/>
        </w:rPr>
        <w:fldChar w:fldCharType="separate"/>
      </w:r>
      <w:r w:rsidR="00507A67" w:rsidRPr="00507A67">
        <w:rPr>
          <w:rFonts w:ascii="Cambria" w:hAnsi="Cambria"/>
        </w:rPr>
        <w:t>F</w:t>
      </w:r>
      <w:r w:rsidR="00507A67" w:rsidRPr="00507A67">
        <w:rPr>
          <w:rFonts w:ascii="Cambria" w:hAnsi="Cambria"/>
        </w:rPr>
        <w:noBreakHyphen/>
        <w:t>3</w:t>
      </w:r>
      <w:r w:rsidR="00F053E3" w:rsidRPr="00496A4D">
        <w:rPr>
          <w:rFonts w:ascii="Cambria" w:hAnsi="Cambria"/>
        </w:rPr>
        <w:fldChar w:fldCharType="end"/>
      </w:r>
      <w:r w:rsidR="00F053E3" w:rsidRPr="00A52AB8">
        <w:rPr>
          <w:rFonts w:ascii="Cambria" w:hAnsi="Cambria"/>
        </w:rPr>
        <w:t xml:space="preserve"> </w:t>
      </w:r>
      <w:r w:rsidR="008B372B" w:rsidRPr="00A52AB8">
        <w:rPr>
          <w:rFonts w:ascii="Cambria" w:hAnsi="Cambria"/>
        </w:rPr>
        <w:t xml:space="preserve">when using fixed non-integer frame rates can be avoided by occasionally skipping over some values of n_frames when counting. The specific values of n_frames that are skipped are not specified when counting_type is equal to </w:t>
      </w:r>
      <w:r w:rsidR="005730E8" w:rsidRPr="00A52AB8">
        <w:rPr>
          <w:rFonts w:ascii="Cambria" w:hAnsi="Cambria"/>
        </w:rPr>
        <w:t xml:space="preserve">4 </w:t>
      </w:r>
      <w:r w:rsidR="008B372B" w:rsidRPr="00A52AB8">
        <w:rPr>
          <w:rFonts w:ascii="Cambria" w:hAnsi="Cambria"/>
        </w:rPr>
        <w:t xml:space="preserve">or </w:t>
      </w:r>
      <w:r w:rsidR="005730E8" w:rsidRPr="00A52AB8">
        <w:rPr>
          <w:rFonts w:ascii="Cambria" w:hAnsi="Cambria"/>
        </w:rPr>
        <w:t>5</w:t>
      </w:r>
      <w:r w:rsidR="008B372B" w:rsidRPr="00A52AB8">
        <w:rPr>
          <w:rFonts w:ascii="Cambria" w:hAnsi="Cambria"/>
        </w:rPr>
        <w:t>.</w:t>
      </w:r>
    </w:p>
    <w:p w14:paraId="6A9EC65C" w14:textId="77777777" w:rsidR="008B372B" w:rsidRPr="00A52AB8" w:rsidRDefault="008B372B" w:rsidP="008B372B">
      <w:r w:rsidRPr="00A52AB8">
        <w:rPr>
          <w:b/>
        </w:rPr>
        <w:t>seconds_flag</w:t>
      </w:r>
      <w:r w:rsidRPr="00A52AB8">
        <w:t xml:space="preserve"> equal to 1 specifies that seconds_value and minutes_flag are present when full_timestamp_flag is equal to 0. seconds_flag equal to 0 specifies that seconds_value and minutes_flag are not present.</w:t>
      </w:r>
    </w:p>
    <w:p w14:paraId="682CB2AD" w14:textId="77777777" w:rsidR="008B372B" w:rsidRPr="00A52AB8" w:rsidRDefault="008B372B" w:rsidP="008B372B">
      <w:r w:rsidRPr="00A52AB8">
        <w:rPr>
          <w:b/>
        </w:rPr>
        <w:t>seconds_value</w:t>
      </w:r>
      <w:r w:rsidRPr="00A52AB8">
        <w:t xml:space="preserve"> specifies the value of sS used to compute clockTimestamp. The value of seconds_value shall be in the range of 0 to 59, inclusive. When seconds_value is not present, its value is inferred to be equal to the value of seconds_value for the previous set of clock timestamp syntax elements in decoding order, and it is required that such a previous seconds_value shall have been present.</w:t>
      </w:r>
    </w:p>
    <w:p w14:paraId="15CF8F56" w14:textId="77777777" w:rsidR="008B372B" w:rsidRPr="00A52AB8" w:rsidRDefault="008B372B" w:rsidP="008B372B">
      <w:r w:rsidRPr="00A52AB8">
        <w:rPr>
          <w:b/>
        </w:rPr>
        <w:t>minutes_flag</w:t>
      </w:r>
      <w:r w:rsidRPr="00A52AB8">
        <w:t xml:space="preserve"> equal to 1 specifies that minutes_value and hours_flag are present when full_timestamp_flag is equal to 0 and seconds_flag is equal to 1. minutes_flag equal to 0 specifies that minutes_value and hours_flag are not present.</w:t>
      </w:r>
    </w:p>
    <w:p w14:paraId="56BA8CB7" w14:textId="77777777" w:rsidR="008B372B" w:rsidRPr="00A52AB8" w:rsidRDefault="008B372B" w:rsidP="008B372B">
      <w:r w:rsidRPr="00A52AB8">
        <w:rPr>
          <w:b/>
        </w:rPr>
        <w:t>minutes_value</w:t>
      </w:r>
      <w:r w:rsidRPr="00A52AB8">
        <w:t xml:space="preserve"> specifies the value of mM used to compute clockTimestamp. The value of minutes_value shall be in the range of 0 to 59, inclusive. When minutes_value is not present, its value is inferred to be equal to the value of minutes_value for the previous set of clock timestamp syntax elements in decoding order, and it is required that such a previous minutes_value shall have been present.</w:t>
      </w:r>
    </w:p>
    <w:p w14:paraId="4DB52458" w14:textId="77777777" w:rsidR="008B372B" w:rsidRPr="00A52AB8" w:rsidRDefault="008B372B" w:rsidP="008B372B">
      <w:r w:rsidRPr="00A52AB8">
        <w:rPr>
          <w:b/>
        </w:rPr>
        <w:t>hours_flag</w:t>
      </w:r>
      <w:r w:rsidRPr="00A52AB8">
        <w:t xml:space="preserve"> equal to 1 specifies that hours_value is present when full_timestamp_flag is equal to 0 and seconds_flag is equal to 1 and minutes_flag is equal to 1.</w:t>
      </w:r>
    </w:p>
    <w:p w14:paraId="394011F8" w14:textId="77777777" w:rsidR="008B372B" w:rsidRPr="00A52AB8" w:rsidRDefault="008B372B" w:rsidP="008B372B">
      <w:r w:rsidRPr="00A52AB8">
        <w:rPr>
          <w:b/>
        </w:rPr>
        <w:t>hours_value</w:t>
      </w:r>
      <w:r w:rsidRPr="00A52AB8">
        <w:t xml:space="preserve"> specifies the value of hH used to compute clockTimestamp. The value of hours_value shall be in the range of 0 to 23, inclusive. When hours_value is not present, its value is inferred to be equal to the value of hours_value for the previous set of clock timestamp syntax elements in decoding order, and it is required that such a previous hours_value shall have been present.</w:t>
      </w:r>
    </w:p>
    <w:p w14:paraId="69FE344D" w14:textId="77777777" w:rsidR="008B372B" w:rsidRPr="00A52AB8" w:rsidRDefault="008B372B" w:rsidP="008B372B">
      <w:r w:rsidRPr="00A52AB8">
        <w:rPr>
          <w:b/>
        </w:rPr>
        <w:t>time_offset_length</w:t>
      </w:r>
      <w:r w:rsidRPr="00A52AB8">
        <w:t xml:space="preserve"> greater than 0 specifies the length in bits of the time_offset_value syntax element. time_offset_length equal to 0 specifies that the time_offset_value syntax element is not present. When counting_type is equal to 0, time_offset_length shall be equal to 0.</w:t>
      </w:r>
    </w:p>
    <w:p w14:paraId="58296CAD" w14:textId="3F1A5E08" w:rsidR="008B372B" w:rsidRPr="00A52AB8" w:rsidRDefault="002A0ADD" w:rsidP="008B372B">
      <w:pPr>
        <w:pStyle w:val="Note1"/>
        <w:rPr>
          <w:rFonts w:ascii="Cambria" w:hAnsi="Cambria"/>
        </w:rPr>
      </w:pPr>
      <w:r w:rsidRPr="00A52AB8" w:rsidDel="00112A5D">
        <w:rPr>
          <w:rFonts w:ascii="Cambria" w:hAnsi="Cambria"/>
        </w:rPr>
        <w:t>NOTE</w:t>
      </w:r>
      <w:r w:rsidRPr="00A52AB8">
        <w:rPr>
          <w:rFonts w:ascii="Cambria" w:hAnsi="Cambria"/>
        </w:rPr>
        <w:t> </w:t>
      </w:r>
      <w:r w:rsidRPr="00496A4D">
        <w:rPr>
          <w:rFonts w:ascii="Cambria" w:hAnsi="Cambria"/>
        </w:rPr>
        <w:fldChar w:fldCharType="begin"/>
      </w:r>
      <w:r w:rsidRPr="00A52AB8">
        <w:rPr>
          <w:rFonts w:ascii="Cambria" w:hAnsi="Cambria"/>
        </w:rPr>
        <w:instrText xml:space="preserve"> SEQ NoteCounter \s 9 \* MERGEFORMAT </w:instrText>
      </w:r>
      <w:r w:rsidRPr="00496A4D">
        <w:rPr>
          <w:rFonts w:ascii="Cambria" w:hAnsi="Cambria"/>
        </w:rPr>
        <w:fldChar w:fldCharType="separate"/>
      </w:r>
      <w:r w:rsidR="00507A67">
        <w:rPr>
          <w:rFonts w:ascii="Cambria" w:hAnsi="Cambria"/>
          <w:noProof/>
        </w:rPr>
        <w:t>5</w:t>
      </w:r>
      <w:r w:rsidRPr="00496A4D">
        <w:rPr>
          <w:rFonts w:ascii="Cambria" w:hAnsi="Cambria"/>
        </w:rPr>
        <w:fldChar w:fldCharType="end"/>
      </w:r>
      <w:r w:rsidRPr="00A52AB8">
        <w:rPr>
          <w:rFonts w:ascii="Cambria" w:hAnsi="Cambria"/>
        </w:rPr>
        <w:t> </w:t>
      </w:r>
      <w:r w:rsidR="008B372B" w:rsidRPr="00A52AB8">
        <w:rPr>
          <w:rFonts w:ascii="Cambria" w:hAnsi="Cambria"/>
        </w:rPr>
        <w:t xml:space="preserve">– time_offset_length should be the same for all </w:t>
      </w:r>
      <w:r w:rsidR="00C80B64" w:rsidRPr="00A52AB8">
        <w:rPr>
          <w:rFonts w:ascii="Cambria" w:hAnsi="Cambria"/>
        </w:rPr>
        <w:t>atlas frames</w:t>
      </w:r>
      <w:r w:rsidR="008B372B" w:rsidRPr="00A52AB8">
        <w:rPr>
          <w:rFonts w:ascii="Cambria" w:hAnsi="Cambria"/>
        </w:rPr>
        <w:t xml:space="preserve"> in the CAS.</w:t>
      </w:r>
    </w:p>
    <w:p w14:paraId="483B089B" w14:textId="77777777" w:rsidR="0035713D" w:rsidRPr="00A52AB8" w:rsidRDefault="008B372B" w:rsidP="00CA4039">
      <w:pPr>
        <w:spacing w:after="120"/>
        <w:rPr>
          <w:bCs/>
        </w:rPr>
      </w:pPr>
      <w:r w:rsidRPr="00A52AB8">
        <w:rPr>
          <w:b/>
        </w:rPr>
        <w:t>time_offset_value</w:t>
      </w:r>
      <w:r w:rsidRPr="00A52AB8">
        <w:t xml:space="preserve"> specifies the value of tOffset used to compute clockTimestamp. The number of bits used to represent time_offset_value is equal to time_offset_length. When time_offset_value is not present, its value is inferred to be equal to 0.</w:t>
      </w:r>
    </w:p>
    <w:p w14:paraId="697E91E5" w14:textId="77777777" w:rsidR="007D72EF" w:rsidRDefault="007D72EF" w:rsidP="00620FC2">
      <w:pPr>
        <w:pStyle w:val="a3"/>
        <w:numPr>
          <w:ilvl w:val="2"/>
          <w:numId w:val="19"/>
        </w:numPr>
        <w:tabs>
          <w:tab w:val="clear" w:pos="403"/>
        </w:tabs>
      </w:pPr>
      <w:bookmarkStart w:id="6036" w:name="_Toc48570920"/>
      <w:bookmarkStart w:id="6037" w:name="_Toc49424475"/>
      <w:bookmarkStart w:id="6038" w:name="_Toc52181751"/>
      <w:bookmarkEnd w:id="6033"/>
      <w:r>
        <w:t xml:space="preserve">Packed independent regions </w:t>
      </w:r>
      <w:r w:rsidRPr="00582C15">
        <w:t xml:space="preserve">SEI payload </w:t>
      </w:r>
      <w:r>
        <w:t>semantics</w:t>
      </w:r>
      <w:bookmarkEnd w:id="6036"/>
      <w:bookmarkEnd w:id="6037"/>
      <w:bookmarkEnd w:id="6038"/>
    </w:p>
    <w:p w14:paraId="37AFDBED" w14:textId="77777777" w:rsidR="007D72EF" w:rsidRDefault="007D72EF" w:rsidP="007D72EF">
      <w:r>
        <w:rPr>
          <w:b/>
          <w:bCs/>
        </w:rPr>
        <w:t>pir_</w:t>
      </w:r>
      <w:r w:rsidRPr="00E60031">
        <w:rPr>
          <w:b/>
          <w:bCs/>
        </w:rPr>
        <w:t>num_pack</w:t>
      </w:r>
      <w:r>
        <w:rPr>
          <w:b/>
          <w:bCs/>
        </w:rPr>
        <w:t>ed_frames_minus1</w:t>
      </w:r>
      <w:r w:rsidRPr="00E60031">
        <w:t xml:space="preserve"> </w:t>
      </w:r>
      <w:r>
        <w:t xml:space="preserve">plus 1 </w:t>
      </w:r>
      <w:r w:rsidRPr="00E60031">
        <w:t>specifies the number of pack</w:t>
      </w:r>
      <w:r>
        <w:t>ed frame</w:t>
      </w:r>
      <w:r w:rsidRPr="00E60031">
        <w:t>s for which independently decodable region information is signaled.</w:t>
      </w:r>
    </w:p>
    <w:p w14:paraId="7094F5DA" w14:textId="77777777" w:rsidR="007D72EF" w:rsidRPr="00610430" w:rsidRDefault="007D72EF" w:rsidP="007D72EF">
      <w:pPr>
        <w:rPr>
          <w:bCs/>
          <w:noProof/>
          <w:color w:val="000000" w:themeColor="text1"/>
        </w:rPr>
      </w:pPr>
      <w:r w:rsidRPr="00610430">
        <w:rPr>
          <w:b/>
          <w:bCs/>
        </w:rPr>
        <w:t>pir_pack</w:t>
      </w:r>
      <w:r>
        <w:rPr>
          <w:b/>
          <w:bCs/>
        </w:rPr>
        <w:t>ed_frame</w:t>
      </w:r>
      <w:r w:rsidRPr="00610430">
        <w:rPr>
          <w:b/>
          <w:bCs/>
        </w:rPr>
        <w:t>_id</w:t>
      </w:r>
      <w:r w:rsidRPr="00610430">
        <w:rPr>
          <w:bCs/>
          <w:noProof/>
          <w:color w:val="000000" w:themeColor="text1"/>
          <w:sz w:val="20"/>
          <w:szCs w:val="20"/>
        </w:rPr>
        <w:t>[</w:t>
      </w:r>
      <w:r>
        <w:rPr>
          <w:bCs/>
          <w:noProof/>
          <w:color w:val="000000" w:themeColor="text1"/>
          <w:sz w:val="20"/>
          <w:szCs w:val="20"/>
        </w:rPr>
        <w:t> </w:t>
      </w:r>
      <w:r w:rsidRPr="00610430">
        <w:rPr>
          <w:bCs/>
          <w:noProof/>
          <w:color w:val="000000" w:themeColor="text1"/>
          <w:sz w:val="20"/>
          <w:szCs w:val="20"/>
        </w:rPr>
        <w:t>j</w:t>
      </w:r>
      <w:r>
        <w:rPr>
          <w:bCs/>
          <w:noProof/>
          <w:color w:val="000000" w:themeColor="text1"/>
          <w:sz w:val="20"/>
          <w:szCs w:val="20"/>
        </w:rPr>
        <w:t> </w:t>
      </w:r>
      <w:r w:rsidRPr="00610430">
        <w:rPr>
          <w:bCs/>
          <w:noProof/>
          <w:color w:val="000000" w:themeColor="text1"/>
          <w:sz w:val="20"/>
          <w:szCs w:val="20"/>
        </w:rPr>
        <w:t>]</w:t>
      </w:r>
      <w:r>
        <w:t xml:space="preserve"> </w:t>
      </w:r>
      <w:r w:rsidRPr="00A05668">
        <w:rPr>
          <w:noProof/>
          <w:color w:val="000000" w:themeColor="text1"/>
        </w:rPr>
        <w:t xml:space="preserve">specifies the ID of the pack with index j. The value of </w:t>
      </w:r>
      <w:r>
        <w:rPr>
          <w:noProof/>
          <w:color w:val="000000" w:themeColor="text1"/>
        </w:rPr>
        <w:t>pir</w:t>
      </w:r>
      <w:r w:rsidRPr="00A05668">
        <w:rPr>
          <w:noProof/>
          <w:color w:val="000000" w:themeColor="text1"/>
        </w:rPr>
        <w:t>_pack</w:t>
      </w:r>
      <w:r>
        <w:rPr>
          <w:noProof/>
          <w:color w:val="000000" w:themeColor="text1"/>
        </w:rPr>
        <w:t>ed_frame</w:t>
      </w:r>
      <w:r w:rsidRPr="00A05668">
        <w:rPr>
          <w:noProof/>
          <w:color w:val="000000" w:themeColor="text1"/>
        </w:rPr>
        <w:t xml:space="preserve">_id[ j ] shall be in the range of 0 to </w:t>
      </w:r>
      <w:r>
        <w:rPr>
          <w:noProof/>
          <w:color w:val="000000" w:themeColor="text1"/>
        </w:rPr>
        <w:t>15</w:t>
      </w:r>
      <w:r w:rsidRPr="00A05668">
        <w:rPr>
          <w:noProof/>
          <w:color w:val="000000" w:themeColor="text1"/>
        </w:rPr>
        <w:t>, inclusive</w:t>
      </w:r>
      <w:r w:rsidRPr="005C26E9">
        <w:rPr>
          <w:noProof/>
          <w:color w:val="000000" w:themeColor="text1"/>
        </w:rPr>
        <w:t>.</w:t>
      </w:r>
    </w:p>
    <w:p w14:paraId="1DA89579" w14:textId="046CCFD3" w:rsidR="007D72EF" w:rsidRPr="00E60031" w:rsidRDefault="007D72EF" w:rsidP="007D72EF">
      <w:r>
        <w:rPr>
          <w:b/>
        </w:rPr>
        <w:t>pir_</w:t>
      </w:r>
      <w:r w:rsidRPr="00E60031">
        <w:rPr>
          <w:b/>
        </w:rPr>
        <w:t>description_type_idc</w:t>
      </w:r>
      <w:r w:rsidRPr="00E60031">
        <w:rPr>
          <w:bCs/>
          <w:noProof/>
          <w:color w:val="000000" w:themeColor="text1"/>
        </w:rPr>
        <w:t>[ k ]</w:t>
      </w:r>
      <w:r w:rsidRPr="00E60031">
        <w:rPr>
          <w:bCs/>
        </w:rPr>
        <w:t xml:space="preserve"> equal to 0 indicates that tile indices of the top left and bottom right tiles of a</w:t>
      </w:r>
      <w:r>
        <w:rPr>
          <w:bCs/>
        </w:rPr>
        <w:t>n independently decodable rectangular region (such as a</w:t>
      </w:r>
      <w:r w:rsidRPr="00E60031">
        <w:rPr>
          <w:bCs/>
        </w:rPr>
        <w:t xml:space="preserve"> temporal motion-constrained tile set</w:t>
      </w:r>
      <w:r>
        <w:rPr>
          <w:bCs/>
        </w:rPr>
        <w:t xml:space="preserve"> specified in ISO/IEC 23008-2)</w:t>
      </w:r>
      <w:r w:rsidRPr="00E60031">
        <w:rPr>
          <w:bCs/>
        </w:rPr>
        <w:t xml:space="preserve"> are signaled for the rect</w:t>
      </w:r>
      <w:r>
        <w:rPr>
          <w:bCs/>
        </w:rPr>
        <w:t>angle</w:t>
      </w:r>
      <w:r w:rsidRPr="00E60031">
        <w:rPr>
          <w:bCs/>
        </w:rPr>
        <w:t>s of the k-th pack</w:t>
      </w:r>
      <w:r>
        <w:rPr>
          <w:bCs/>
        </w:rPr>
        <w:t>ed frame</w:t>
      </w:r>
      <w:r w:rsidRPr="00E60031">
        <w:rPr>
          <w:bCs/>
        </w:rPr>
        <w:t xml:space="preserve">. </w:t>
      </w:r>
      <w:r>
        <w:rPr>
          <w:bCs/>
        </w:rPr>
        <w:t>pir_</w:t>
      </w:r>
      <w:r w:rsidRPr="00E60031">
        <w:rPr>
          <w:bCs/>
        </w:rPr>
        <w:t>description_type_idc</w:t>
      </w:r>
      <w:r w:rsidRPr="00E60031">
        <w:rPr>
          <w:bCs/>
          <w:noProof/>
          <w:color w:val="000000" w:themeColor="text1"/>
        </w:rPr>
        <w:t>[ k ]</w:t>
      </w:r>
      <w:r w:rsidRPr="00E60031">
        <w:rPr>
          <w:bCs/>
        </w:rPr>
        <w:t xml:space="preserve"> equal to 1 indicates that sub pictures IDs</w:t>
      </w:r>
      <w:r>
        <w:rPr>
          <w:bCs/>
        </w:rPr>
        <w:t>, as specified in ISO/IEC 23090-3,</w:t>
      </w:r>
      <w:r w:rsidRPr="00E60031">
        <w:rPr>
          <w:bCs/>
        </w:rPr>
        <w:t xml:space="preserve"> are signaled for the </w:t>
      </w:r>
      <w:r>
        <w:rPr>
          <w:bCs/>
        </w:rPr>
        <w:t>regions</w:t>
      </w:r>
      <w:r w:rsidRPr="00E60031">
        <w:rPr>
          <w:bCs/>
        </w:rPr>
        <w:t xml:space="preserve"> of the k-th pack</w:t>
      </w:r>
      <w:r>
        <w:rPr>
          <w:bCs/>
        </w:rPr>
        <w:t>ed frame</w:t>
      </w:r>
      <w:r w:rsidRPr="00E60031">
        <w:rPr>
          <w:bCs/>
        </w:rPr>
        <w:t xml:space="preserve"> The value of </w:t>
      </w:r>
      <w:r>
        <w:rPr>
          <w:bCs/>
        </w:rPr>
        <w:t>pir_</w:t>
      </w:r>
      <w:r w:rsidRPr="00E60031">
        <w:rPr>
          <w:bCs/>
        </w:rPr>
        <w:t>description_type_idc</w:t>
      </w:r>
      <w:r w:rsidRPr="00E60031">
        <w:rPr>
          <w:bCs/>
          <w:noProof/>
          <w:color w:val="000000" w:themeColor="text1"/>
        </w:rPr>
        <w:t>[ k ]</w:t>
      </w:r>
      <w:r w:rsidRPr="00E60031">
        <w:rPr>
          <w:bCs/>
        </w:rPr>
        <w:t xml:space="preserve"> shall be in the range of 0 to 1. The values in the range of 2</w:t>
      </w:r>
      <w:r w:rsidRPr="00E60031">
        <w:rPr>
          <w:bCs/>
          <w:noProof/>
          <w:color w:val="000000" w:themeColor="text1"/>
        </w:rPr>
        <w:t> </w:t>
      </w:r>
      <w:r w:rsidRPr="00E60031">
        <w:rPr>
          <w:bCs/>
        </w:rPr>
        <w:t>..</w:t>
      </w:r>
      <w:r w:rsidRPr="00E60031">
        <w:rPr>
          <w:bCs/>
          <w:noProof/>
          <w:color w:val="000000" w:themeColor="text1"/>
        </w:rPr>
        <w:t> </w:t>
      </w:r>
      <w:r w:rsidRPr="00E60031">
        <w:rPr>
          <w:bCs/>
        </w:rPr>
        <w:t xml:space="preserve">3 are reserved for future use by ISO/IEC. </w:t>
      </w:r>
    </w:p>
    <w:p w14:paraId="677AFE60" w14:textId="77777777" w:rsidR="007D72EF" w:rsidRPr="00E60031" w:rsidRDefault="007D72EF" w:rsidP="007D72EF">
      <w:pPr>
        <w:rPr>
          <w:bCs/>
          <w:noProof/>
          <w:color w:val="000000" w:themeColor="text1"/>
        </w:rPr>
      </w:pPr>
      <w:r>
        <w:rPr>
          <w:b/>
          <w:noProof/>
          <w:color w:val="000000" w:themeColor="text1"/>
        </w:rPr>
        <w:t>pir_</w:t>
      </w:r>
      <w:r w:rsidRPr="00E60031">
        <w:rPr>
          <w:b/>
          <w:noProof/>
          <w:color w:val="000000" w:themeColor="text1"/>
        </w:rPr>
        <w:t>num_</w:t>
      </w:r>
      <w:r>
        <w:rPr>
          <w:b/>
          <w:noProof/>
          <w:color w:val="000000" w:themeColor="text1"/>
        </w:rPr>
        <w:t>regions_minus1</w:t>
      </w:r>
      <w:r w:rsidRPr="00E60031">
        <w:rPr>
          <w:bCs/>
          <w:noProof/>
          <w:color w:val="000000" w:themeColor="text1"/>
        </w:rPr>
        <w:t xml:space="preserve">[ k ] </w:t>
      </w:r>
      <w:r>
        <w:rPr>
          <w:bCs/>
          <w:noProof/>
          <w:color w:val="000000" w:themeColor="text1"/>
        </w:rPr>
        <w:t xml:space="preserve">plus 1 </w:t>
      </w:r>
      <w:r w:rsidRPr="00E60031">
        <w:rPr>
          <w:bCs/>
          <w:noProof/>
          <w:color w:val="000000" w:themeColor="text1"/>
        </w:rPr>
        <w:t xml:space="preserve">specifies the number of </w:t>
      </w:r>
      <w:r>
        <w:rPr>
          <w:bCs/>
          <w:noProof/>
          <w:color w:val="000000" w:themeColor="text1"/>
        </w:rPr>
        <w:t>rectangular regions</w:t>
      </w:r>
      <w:r w:rsidRPr="00E60031">
        <w:rPr>
          <w:bCs/>
          <w:noProof/>
          <w:color w:val="000000" w:themeColor="text1"/>
        </w:rPr>
        <w:t xml:space="preserve"> of the pack</w:t>
      </w:r>
      <w:r>
        <w:rPr>
          <w:bCs/>
          <w:noProof/>
          <w:color w:val="000000" w:themeColor="text1"/>
        </w:rPr>
        <w:t>ed frame with ID k</w:t>
      </w:r>
      <w:r w:rsidRPr="00E60031">
        <w:rPr>
          <w:bCs/>
          <w:noProof/>
          <w:color w:val="000000" w:themeColor="text1"/>
        </w:rPr>
        <w:t xml:space="preserve"> for which </w:t>
      </w:r>
      <w:r w:rsidRPr="00E60031">
        <w:t xml:space="preserve">independently decodable region information is signaled. </w:t>
      </w:r>
    </w:p>
    <w:p w14:paraId="747D8449" w14:textId="4FF7995F" w:rsidR="007D72EF" w:rsidRDefault="007D72EF" w:rsidP="007D72EF">
      <w:r>
        <w:rPr>
          <w:b/>
        </w:rPr>
        <w:t>pir_</w:t>
      </w:r>
      <w:r w:rsidRPr="00E60031">
        <w:rPr>
          <w:b/>
        </w:rPr>
        <w:t>top_left_tile_idx</w:t>
      </w:r>
      <w:r w:rsidRPr="00E60031">
        <w:t>[ k ][ i ]</w:t>
      </w:r>
      <w:r>
        <w:t xml:space="preserve"> </w:t>
      </w:r>
      <w:r w:rsidRPr="00E60031">
        <w:t xml:space="preserve">and </w:t>
      </w:r>
      <w:r>
        <w:rPr>
          <w:b/>
          <w:bCs/>
        </w:rPr>
        <w:t>pir_</w:t>
      </w:r>
      <w:r w:rsidRPr="00E60031">
        <w:rPr>
          <w:b/>
        </w:rPr>
        <w:t>bottom_right_tile_idx</w:t>
      </w:r>
      <w:r w:rsidRPr="00E60031">
        <w:t>[ k ][ i ]</w:t>
      </w:r>
      <w:r>
        <w:t xml:space="preserve">, when present, </w:t>
      </w:r>
      <w:r w:rsidRPr="00E60031">
        <w:t xml:space="preserve">identify the tile indices of the top-left tile and the bottom-right tile </w:t>
      </w:r>
      <w:r w:rsidRPr="00E60031">
        <w:rPr>
          <w:bCs/>
        </w:rPr>
        <w:t>of a</w:t>
      </w:r>
      <w:r>
        <w:rPr>
          <w:bCs/>
        </w:rPr>
        <w:t>n independently decodable region (such as a</w:t>
      </w:r>
      <w:r w:rsidRPr="00E60031">
        <w:rPr>
          <w:bCs/>
        </w:rPr>
        <w:t xml:space="preserve"> temporal motion-constrained tile set</w:t>
      </w:r>
      <w:r>
        <w:rPr>
          <w:bCs/>
        </w:rPr>
        <w:t xml:space="preserve"> specified in ISO/IEC 23008-2)</w:t>
      </w:r>
      <w:r w:rsidRPr="00E60031">
        <w:t xml:space="preserve">, respectively, in tile raster scan order, corresponding to the i-th </w:t>
      </w:r>
      <w:r>
        <w:t>region</w:t>
      </w:r>
      <w:r w:rsidRPr="00E60031">
        <w:t xml:space="preserve"> of the video sub-bitstream of the pack</w:t>
      </w:r>
      <w:r>
        <w:t>ed frame with ID k</w:t>
      </w:r>
      <w:r w:rsidRPr="00E60031">
        <w:t>.</w:t>
      </w:r>
    </w:p>
    <w:p w14:paraId="0E48D571" w14:textId="376BB807" w:rsidR="007D72EF" w:rsidRPr="000E03B6" w:rsidRDefault="007D72EF" w:rsidP="007D72EF">
      <w:pPr>
        <w:tabs>
          <w:tab w:val="left" w:pos="1584"/>
        </w:tabs>
        <w:rPr>
          <w:rFonts w:eastAsia="MS Mincho"/>
          <w:b/>
          <w:color w:val="000000" w:themeColor="text1"/>
          <w:sz w:val="28"/>
          <w:lang w:eastAsia="ja-JP"/>
        </w:rPr>
      </w:pPr>
      <w:r>
        <w:rPr>
          <w:b/>
          <w:bCs/>
        </w:rPr>
        <w:t>pir_subpic_id</w:t>
      </w:r>
      <w:r>
        <w:t>[ k ][ i ], when present, identifies the subpicture ID</w:t>
      </w:r>
      <w:r>
        <w:rPr>
          <w:bCs/>
        </w:rPr>
        <w:t>, as specified in ISO/IEC 23090-3,</w:t>
      </w:r>
      <w:r>
        <w:t xml:space="preserve"> corresponding to the i-th rectangle of the video sub-bitstream of the pack with ID k.</w:t>
      </w:r>
    </w:p>
    <w:p w14:paraId="1BC60165" w14:textId="77777777" w:rsidR="00BB7045" w:rsidRPr="00A52AB8" w:rsidRDefault="00BB7045">
      <w:pPr>
        <w:rPr>
          <w:color w:val="000000" w:themeColor="text1"/>
        </w:rPr>
      </w:pPr>
      <w:r w:rsidRPr="00A52AB8">
        <w:rPr>
          <w:color w:val="000000" w:themeColor="text1"/>
        </w:rPr>
        <w:br w:type="page"/>
      </w:r>
    </w:p>
    <w:p w14:paraId="1630466D" w14:textId="77777777" w:rsidR="004E4A0E" w:rsidRPr="00A52AB8" w:rsidRDefault="004E4A0E">
      <w:pPr>
        <w:pStyle w:val="ANNEX"/>
        <w:numPr>
          <w:ilvl w:val="0"/>
          <w:numId w:val="19"/>
        </w:numPr>
        <w:rPr>
          <w:color w:val="000000" w:themeColor="text1"/>
        </w:rPr>
      </w:pPr>
      <w:r w:rsidRPr="00A52AB8">
        <w:rPr>
          <w:color w:val="000000" w:themeColor="text1"/>
        </w:rPr>
        <w:br/>
      </w:r>
      <w:bookmarkStart w:id="6039" w:name="_Ref44624602"/>
      <w:bookmarkStart w:id="6040" w:name="_Toc52181752"/>
      <w:r w:rsidR="00AD066D" w:rsidRPr="00A52AB8">
        <w:rPr>
          <w:color w:val="000000" w:themeColor="text1"/>
        </w:rPr>
        <w:t>(</w:t>
      </w:r>
      <w:r w:rsidR="0043040A" w:rsidRPr="00A52AB8">
        <w:rPr>
          <w:color w:val="000000" w:themeColor="text1"/>
        </w:rPr>
        <w:t>informative</w:t>
      </w:r>
      <w:r w:rsidR="00AD066D" w:rsidRPr="00A52AB8">
        <w:rPr>
          <w:color w:val="000000" w:themeColor="text1"/>
        </w:rPr>
        <w:t>)</w:t>
      </w:r>
      <w:r w:rsidRPr="00A52AB8">
        <w:rPr>
          <w:color w:val="000000" w:themeColor="text1"/>
        </w:rPr>
        <w:br/>
      </w:r>
      <w:bookmarkStart w:id="6041" w:name="_Ref21527679"/>
      <w:r w:rsidRPr="00A52AB8">
        <w:rPr>
          <w:color w:val="000000" w:themeColor="text1"/>
        </w:rPr>
        <w:t>Volumetric usability information</w:t>
      </w:r>
      <w:bookmarkEnd w:id="6039"/>
      <w:bookmarkEnd w:id="6040"/>
      <w:bookmarkEnd w:id="6041"/>
    </w:p>
    <w:p w14:paraId="550A890E" w14:textId="77777777" w:rsidR="00CE17FE" w:rsidRPr="00A52AB8" w:rsidRDefault="00CE17FE">
      <w:pPr>
        <w:pStyle w:val="a2"/>
        <w:numPr>
          <w:ilvl w:val="1"/>
          <w:numId w:val="14"/>
        </w:numPr>
        <w:tabs>
          <w:tab w:val="num" w:pos="4613"/>
        </w:tabs>
        <w:rPr>
          <w:color w:val="000000" w:themeColor="text1"/>
        </w:rPr>
      </w:pPr>
      <w:bookmarkStart w:id="6042" w:name="_Toc38891933"/>
      <w:bookmarkStart w:id="6043" w:name="_Toc39426530"/>
      <w:bookmarkStart w:id="6044" w:name="_Toc42730413"/>
      <w:bookmarkStart w:id="6045" w:name="_Toc45105884"/>
      <w:bookmarkStart w:id="6046" w:name="_Toc45530743"/>
      <w:bookmarkStart w:id="6047" w:name="_Toc46302106"/>
      <w:bookmarkStart w:id="6048" w:name="_Toc46302931"/>
      <w:bookmarkStart w:id="6049" w:name="_Toc52181753"/>
      <w:bookmarkEnd w:id="6042"/>
      <w:bookmarkEnd w:id="6043"/>
      <w:bookmarkEnd w:id="6044"/>
      <w:bookmarkEnd w:id="6045"/>
      <w:bookmarkEnd w:id="6046"/>
      <w:bookmarkEnd w:id="6047"/>
      <w:bookmarkEnd w:id="6048"/>
      <w:r w:rsidRPr="00A52AB8">
        <w:rPr>
          <w:color w:val="000000" w:themeColor="text1"/>
        </w:rPr>
        <w:t>General</w:t>
      </w:r>
      <w:bookmarkEnd w:id="6049"/>
    </w:p>
    <w:p w14:paraId="5F2B3AE9" w14:textId="29CA9710" w:rsidR="00BD6344" w:rsidRPr="00A52AB8" w:rsidRDefault="004E4A0E" w:rsidP="00BD6344">
      <w:pPr>
        <w:pStyle w:val="BodyText"/>
        <w:tabs>
          <w:tab w:val="left" w:pos="403"/>
        </w:tabs>
        <w:autoSpaceDE w:val="0"/>
        <w:autoSpaceDN w:val="0"/>
        <w:adjustRightInd w:val="0"/>
      </w:pPr>
      <w:r w:rsidRPr="00A52AB8">
        <w:rPr>
          <w:rFonts w:eastAsia="Malgun Gothic"/>
          <w:szCs w:val="24"/>
        </w:rPr>
        <w:t>This annex specifies syntax and semantics of the VUI parameters of the ASPSs</w:t>
      </w:r>
      <w:r w:rsidR="00BD6344" w:rsidRPr="00A52AB8">
        <w:rPr>
          <w:color w:val="000000" w:themeColor="text1"/>
        </w:rPr>
        <w:t xml:space="preserve"> associated </w:t>
      </w:r>
      <w:r w:rsidR="00BD6344" w:rsidRPr="00A52AB8">
        <w:t xml:space="preserve">with an atlas, identified with an atlas ID, </w:t>
      </w:r>
      <w:r w:rsidR="00BD6344" w:rsidRPr="00A52AB8">
        <w:rPr>
          <w:color w:val="000000" w:themeColor="text1"/>
        </w:rPr>
        <w:t xml:space="preserve">VUIAtlasID, which is set equal to vuh_atlas_id </w:t>
      </w:r>
      <w:r w:rsidR="00BD6344" w:rsidRPr="00A52AB8">
        <w:t>or determined through external means if the V3C unit header is unavailable</w:t>
      </w:r>
      <w:r w:rsidR="00BD6344" w:rsidRPr="00A52AB8">
        <w:rPr>
          <w:color w:val="000000" w:themeColor="text1"/>
        </w:rPr>
        <w:t>.</w:t>
      </w:r>
    </w:p>
    <w:p w14:paraId="6D25578C" w14:textId="2A4539A3" w:rsidR="004E4A0E" w:rsidRPr="00A52AB8" w:rsidRDefault="004E4A0E">
      <w:pPr>
        <w:pStyle w:val="BodyText"/>
        <w:tabs>
          <w:tab w:val="left" w:pos="403"/>
        </w:tabs>
        <w:autoSpaceDE w:val="0"/>
        <w:autoSpaceDN w:val="0"/>
        <w:adjustRightInd w:val="0"/>
        <w:rPr>
          <w:rFonts w:eastAsia="Malgun Gothic"/>
          <w:szCs w:val="24"/>
        </w:rPr>
      </w:pPr>
      <w:r w:rsidRPr="00A52AB8">
        <w:rPr>
          <w:rFonts w:eastAsia="Malgun Gothic"/>
          <w:szCs w:val="24"/>
        </w:rPr>
        <w:t xml:space="preserve">VUI parameters are not required for constructing the </w:t>
      </w:r>
      <w:r w:rsidR="00FD3B5D" w:rsidRPr="00A52AB8">
        <w:rPr>
          <w:rFonts w:eastAsia="Malgun Gothic"/>
          <w:szCs w:val="24"/>
        </w:rPr>
        <w:t xml:space="preserve">atlas </w:t>
      </w:r>
      <w:r w:rsidRPr="00A52AB8">
        <w:rPr>
          <w:rFonts w:eastAsia="Malgun Gothic"/>
          <w:szCs w:val="24"/>
        </w:rPr>
        <w:t xml:space="preserve">by the decoding process. Conforming decoders are not required to process this information for output order conformance to this document (see </w:t>
      </w:r>
      <w:r w:rsidR="00FD3B5D" w:rsidRPr="00496A4D">
        <w:rPr>
          <w:rFonts w:eastAsia="Malgun Gothic"/>
          <w:szCs w:val="24"/>
        </w:rPr>
        <w:fldChar w:fldCharType="begin"/>
      </w:r>
      <w:r w:rsidR="00FD3B5D" w:rsidRPr="00A52AB8">
        <w:rPr>
          <w:rFonts w:eastAsia="Malgun Gothic"/>
          <w:szCs w:val="24"/>
        </w:rPr>
        <w:instrText xml:space="preserve"> REF _Ref21527634 \r \h </w:instrText>
      </w:r>
      <w:r w:rsidR="00025423" w:rsidRPr="00A52AB8">
        <w:rPr>
          <w:rFonts w:eastAsia="Malgun Gothic"/>
          <w:szCs w:val="24"/>
        </w:rPr>
        <w:instrText xml:space="preserve"> \* MERGEFORMAT </w:instrText>
      </w:r>
      <w:r w:rsidR="00FD3B5D" w:rsidRPr="00496A4D">
        <w:rPr>
          <w:rFonts w:eastAsia="Malgun Gothic"/>
          <w:szCs w:val="24"/>
        </w:rPr>
      </w:r>
      <w:r w:rsidR="00FD3B5D" w:rsidRPr="00496A4D">
        <w:rPr>
          <w:rFonts w:eastAsia="Malgun Gothic"/>
          <w:szCs w:val="24"/>
        </w:rPr>
        <w:fldChar w:fldCharType="separate"/>
      </w:r>
      <w:r w:rsidR="00507A67">
        <w:rPr>
          <w:rFonts w:eastAsia="Malgun Gothic"/>
          <w:szCs w:val="24"/>
        </w:rPr>
        <w:t>Annex E</w:t>
      </w:r>
      <w:r w:rsidR="00FD3B5D" w:rsidRPr="00496A4D">
        <w:rPr>
          <w:rFonts w:eastAsia="Malgun Gothic"/>
          <w:szCs w:val="24"/>
        </w:rPr>
        <w:fldChar w:fldCharType="end"/>
      </w:r>
      <w:r w:rsidRPr="00A52AB8">
        <w:rPr>
          <w:rFonts w:eastAsia="Malgun Gothic"/>
          <w:szCs w:val="24"/>
        </w:rPr>
        <w:t xml:space="preserve"> for the specification of output order conformance). Some VUI parameters are required to check bitstream conformance and for output timing decoder conformance.</w:t>
      </w:r>
    </w:p>
    <w:p w14:paraId="4C9C97A2" w14:textId="5178C36E" w:rsidR="004E4A0E" w:rsidRPr="00A52AB8" w:rsidRDefault="004E4A0E">
      <w:pPr>
        <w:pStyle w:val="BodyText"/>
        <w:tabs>
          <w:tab w:val="left" w:pos="403"/>
        </w:tabs>
        <w:autoSpaceDE w:val="0"/>
        <w:autoSpaceDN w:val="0"/>
        <w:adjustRightInd w:val="0"/>
        <w:rPr>
          <w:rFonts w:eastAsia="Malgun Gothic"/>
          <w:szCs w:val="24"/>
        </w:rPr>
      </w:pPr>
      <w:r w:rsidRPr="00A52AB8">
        <w:rPr>
          <w:rFonts w:eastAsia="Malgun Gothic"/>
          <w:szCs w:val="24"/>
        </w:rPr>
        <w:t xml:space="preserve">In </w:t>
      </w:r>
      <w:r w:rsidR="00FD3B5D" w:rsidRPr="00496A4D">
        <w:rPr>
          <w:rFonts w:eastAsia="Malgun Gothic"/>
          <w:szCs w:val="24"/>
        </w:rPr>
        <w:fldChar w:fldCharType="begin"/>
      </w:r>
      <w:r w:rsidR="00FD3B5D" w:rsidRPr="00A52AB8">
        <w:rPr>
          <w:rFonts w:eastAsia="Malgun Gothic"/>
          <w:szCs w:val="24"/>
        </w:rPr>
        <w:instrText xml:space="preserve"> REF _Ref21527679 \r \h </w:instrText>
      </w:r>
      <w:r w:rsidR="00025423" w:rsidRPr="00A52AB8">
        <w:rPr>
          <w:rFonts w:eastAsia="Malgun Gothic"/>
          <w:szCs w:val="24"/>
        </w:rPr>
        <w:instrText xml:space="preserve"> \* MERGEFORMAT </w:instrText>
      </w:r>
      <w:r w:rsidR="00FD3B5D" w:rsidRPr="00496A4D">
        <w:rPr>
          <w:rFonts w:eastAsia="Malgun Gothic"/>
          <w:szCs w:val="24"/>
        </w:rPr>
      </w:r>
      <w:r w:rsidR="00FD3B5D" w:rsidRPr="00496A4D">
        <w:rPr>
          <w:rFonts w:eastAsia="Malgun Gothic"/>
          <w:szCs w:val="24"/>
        </w:rPr>
        <w:fldChar w:fldCharType="separate"/>
      </w:r>
      <w:r w:rsidR="00507A67">
        <w:rPr>
          <w:rFonts w:eastAsia="Malgun Gothic"/>
          <w:szCs w:val="24"/>
        </w:rPr>
        <w:t>Annex G</w:t>
      </w:r>
      <w:r w:rsidR="00FD3B5D" w:rsidRPr="00496A4D">
        <w:rPr>
          <w:rFonts w:eastAsia="Malgun Gothic"/>
          <w:szCs w:val="24"/>
        </w:rPr>
        <w:fldChar w:fldCharType="end"/>
      </w:r>
      <w:r w:rsidRPr="00A52AB8">
        <w:rPr>
          <w:rFonts w:eastAsia="Malgun Gothic"/>
          <w:szCs w:val="24"/>
        </w:rPr>
        <w:t xml:space="preserve">, specification for presence of VUI parameters is also satisfied when those parameters (or some subset of them) are conveyed to decoders (or to the HRD) by other means not specified in </w:t>
      </w:r>
      <w:r w:rsidR="00FD4C0B" w:rsidRPr="00A52AB8">
        <w:rPr>
          <w:rFonts w:eastAsia="Malgun Gothic"/>
          <w:szCs w:val="24"/>
        </w:rPr>
        <w:t>this document</w:t>
      </w:r>
      <w:r w:rsidRPr="00A52AB8">
        <w:rPr>
          <w:rFonts w:eastAsia="Malgun Gothic"/>
          <w:szCs w:val="24"/>
        </w:rPr>
        <w:t>. When present in the bitstream, VUI parameters shall follow the syntax and semantics specified in this annex. When the content of VUI parameters is conveyed for the application by some means other than presence within the bitstream, the representation of the content of the VUI parameters is not required to use the same syntax specified in this annex. For the purpose of counting bits, only the appropriate bits that are actually present in the bitstream are counted.</w:t>
      </w:r>
    </w:p>
    <w:p w14:paraId="2E7212C5" w14:textId="77777777" w:rsidR="00CE17FE" w:rsidRPr="00A52AB8" w:rsidRDefault="00CE17FE" w:rsidP="004A7026">
      <w:pPr>
        <w:pStyle w:val="a2"/>
        <w:numPr>
          <w:ilvl w:val="1"/>
          <w:numId w:val="14"/>
        </w:numPr>
        <w:tabs>
          <w:tab w:val="clear" w:pos="567"/>
          <w:tab w:val="left" w:pos="403"/>
        </w:tabs>
        <w:rPr>
          <w:color w:val="000000" w:themeColor="text1"/>
        </w:rPr>
      </w:pPr>
      <w:bookmarkStart w:id="6050" w:name="_Ref19432721"/>
      <w:bookmarkStart w:id="6051" w:name="_Toc20134574"/>
      <w:bookmarkStart w:id="6052" w:name="_Toc77680673"/>
      <w:bookmarkStart w:id="6053" w:name="_Toc118289276"/>
      <w:bookmarkStart w:id="6054" w:name="_Toc226456884"/>
      <w:bookmarkStart w:id="6055" w:name="_Toc248045503"/>
      <w:bookmarkStart w:id="6056" w:name="_Toc287363888"/>
      <w:bookmarkStart w:id="6057" w:name="_Toc311220036"/>
      <w:bookmarkStart w:id="6058" w:name="_Toc317198934"/>
      <w:bookmarkStart w:id="6059" w:name="_Toc358292276"/>
      <w:bookmarkStart w:id="6060" w:name="_Toc52181754"/>
      <w:r w:rsidRPr="00A52AB8">
        <w:rPr>
          <w:color w:val="000000" w:themeColor="text1"/>
        </w:rPr>
        <w:t>VUI syntax</w:t>
      </w:r>
      <w:bookmarkEnd w:id="6060"/>
    </w:p>
    <w:p w14:paraId="6946DF23" w14:textId="77777777" w:rsidR="00FD3B5D" w:rsidRPr="00A52AB8" w:rsidRDefault="00CE17FE">
      <w:pPr>
        <w:pStyle w:val="a3"/>
        <w:numPr>
          <w:ilvl w:val="2"/>
          <w:numId w:val="19"/>
        </w:numPr>
      </w:pPr>
      <w:bookmarkStart w:id="6061" w:name="_Toc52181755"/>
      <w:r w:rsidRPr="00A52AB8">
        <w:t>VUI parameters syntax</w:t>
      </w:r>
      <w:bookmarkEnd w:id="6050"/>
      <w:bookmarkEnd w:id="6051"/>
      <w:bookmarkEnd w:id="6052"/>
      <w:bookmarkEnd w:id="6053"/>
      <w:bookmarkEnd w:id="6054"/>
      <w:bookmarkEnd w:id="6055"/>
      <w:bookmarkEnd w:id="6056"/>
      <w:bookmarkEnd w:id="6057"/>
      <w:bookmarkEnd w:id="6058"/>
      <w:bookmarkEnd w:id="6059"/>
      <w:bookmarkEnd w:id="6061"/>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406"/>
        <w:gridCol w:w="1330"/>
        <w:gridCol w:w="6"/>
      </w:tblGrid>
      <w:tr w:rsidR="00FD3B5D" w:rsidRPr="00A52AB8" w14:paraId="47CA1EDA" w14:textId="77777777" w:rsidTr="00C86722">
        <w:trPr>
          <w:cantSplit/>
          <w:jc w:val="center"/>
        </w:trPr>
        <w:tc>
          <w:tcPr>
            <w:tcW w:w="8406" w:type="dxa"/>
          </w:tcPr>
          <w:p w14:paraId="5EEB3E2B" w14:textId="0CF16E22" w:rsidR="00FD3B5D" w:rsidRPr="00A52AB8" w:rsidRDefault="0078453F">
            <w:pPr>
              <w:keepNext/>
              <w:keepLines/>
              <w:spacing w:before="20" w:after="20"/>
              <w:jc w:val="left"/>
              <w:rPr>
                <w:rFonts w:eastAsia="Malgun Gothic"/>
                <w:sz w:val="20"/>
                <w:szCs w:val="20"/>
              </w:rPr>
            </w:pPr>
            <w:bookmarkStart w:id="6062" w:name="_Hlk21328004"/>
            <w:r w:rsidRPr="00A52AB8">
              <w:rPr>
                <w:rFonts w:eastAsia="Malgun Gothic"/>
                <w:sz w:val="20"/>
                <w:szCs w:val="20"/>
              </w:rPr>
              <w:t>v</w:t>
            </w:r>
            <w:r w:rsidR="00FD3B5D" w:rsidRPr="00A52AB8">
              <w:rPr>
                <w:rFonts w:eastAsia="Malgun Gothic"/>
                <w:sz w:val="20"/>
                <w:szCs w:val="20"/>
              </w:rPr>
              <w:t>ui_parameters( </w:t>
            </w:r>
            <w:r w:rsidR="008F1F82" w:rsidRPr="00A52AB8">
              <w:rPr>
                <w:rFonts w:eastAsia="Malgun Gothic"/>
                <w:sz w:val="20"/>
                <w:szCs w:val="20"/>
              </w:rPr>
              <w:t>) {</w:t>
            </w:r>
          </w:p>
        </w:tc>
        <w:tc>
          <w:tcPr>
            <w:tcW w:w="1336" w:type="dxa"/>
            <w:gridSpan w:val="2"/>
          </w:tcPr>
          <w:p w14:paraId="01BCEC83" w14:textId="77777777" w:rsidR="00FD3B5D" w:rsidRPr="00A52AB8" w:rsidRDefault="00FD3B5D">
            <w:pPr>
              <w:keepNext/>
              <w:keepLines/>
              <w:spacing w:before="20" w:after="20"/>
              <w:jc w:val="center"/>
              <w:rPr>
                <w:rFonts w:eastAsia="Malgun Gothic"/>
                <w:bCs/>
                <w:sz w:val="20"/>
                <w:szCs w:val="20"/>
              </w:rPr>
            </w:pPr>
            <w:r w:rsidRPr="00A52AB8">
              <w:rPr>
                <w:rFonts w:eastAsia="Malgun Gothic"/>
                <w:b/>
                <w:bCs/>
                <w:sz w:val="20"/>
                <w:szCs w:val="20"/>
              </w:rPr>
              <w:t>Descriptor</w:t>
            </w:r>
          </w:p>
        </w:tc>
      </w:tr>
      <w:tr w:rsidR="00FD3B5D" w:rsidRPr="00A52AB8" w14:paraId="59C3F689" w14:textId="77777777" w:rsidTr="00C86722">
        <w:trPr>
          <w:cantSplit/>
          <w:jc w:val="center"/>
        </w:trPr>
        <w:tc>
          <w:tcPr>
            <w:tcW w:w="8406" w:type="dxa"/>
          </w:tcPr>
          <w:p w14:paraId="300E730E" w14:textId="77777777" w:rsidR="00FD3B5D" w:rsidRPr="00A52AB8" w:rsidRDefault="00FD3B5D">
            <w:pPr>
              <w:keepNext/>
              <w:keepLines/>
              <w:spacing w:before="20" w:after="20"/>
              <w:jc w:val="left"/>
              <w:rPr>
                <w:rFonts w:eastAsia="Malgun Gothic"/>
                <w:sz w:val="20"/>
                <w:szCs w:val="20"/>
              </w:rPr>
            </w:pPr>
            <w:r w:rsidRPr="00A52AB8">
              <w:rPr>
                <w:rFonts w:eastAsia="Malgun Gothic"/>
                <w:b/>
                <w:bCs/>
                <w:sz w:val="20"/>
                <w:szCs w:val="20"/>
              </w:rPr>
              <w:tab/>
            </w:r>
            <w:r w:rsidR="0078453F" w:rsidRPr="00A52AB8">
              <w:rPr>
                <w:rFonts w:eastAsia="Malgun Gothic"/>
                <w:b/>
                <w:bCs/>
                <w:sz w:val="20"/>
                <w:szCs w:val="20"/>
              </w:rPr>
              <w:t>vui</w:t>
            </w:r>
            <w:r w:rsidRPr="00A52AB8">
              <w:rPr>
                <w:rFonts w:eastAsia="Malgun Gothic"/>
                <w:b/>
                <w:bCs/>
                <w:sz w:val="20"/>
                <w:szCs w:val="20"/>
              </w:rPr>
              <w:t>_timing_info_present_flag</w:t>
            </w:r>
          </w:p>
        </w:tc>
        <w:tc>
          <w:tcPr>
            <w:tcW w:w="1336" w:type="dxa"/>
            <w:gridSpan w:val="2"/>
          </w:tcPr>
          <w:p w14:paraId="3560B31C" w14:textId="77777777" w:rsidR="00FD3B5D" w:rsidRPr="00A52AB8" w:rsidRDefault="00FD3B5D">
            <w:pPr>
              <w:keepNext/>
              <w:keepLines/>
              <w:spacing w:before="20" w:after="20"/>
              <w:jc w:val="center"/>
              <w:rPr>
                <w:rFonts w:eastAsia="Malgun Gothic"/>
                <w:bCs/>
                <w:sz w:val="20"/>
                <w:szCs w:val="20"/>
              </w:rPr>
            </w:pPr>
            <w:r w:rsidRPr="00A52AB8">
              <w:rPr>
                <w:rFonts w:eastAsia="Malgun Gothic"/>
                <w:bCs/>
                <w:sz w:val="20"/>
                <w:szCs w:val="20"/>
              </w:rPr>
              <w:t>u(1)</w:t>
            </w:r>
          </w:p>
        </w:tc>
      </w:tr>
      <w:tr w:rsidR="00FD3B5D" w:rsidRPr="00A52AB8" w14:paraId="300DE59C" w14:textId="77777777" w:rsidTr="00C86722">
        <w:trPr>
          <w:cantSplit/>
          <w:jc w:val="center"/>
        </w:trPr>
        <w:tc>
          <w:tcPr>
            <w:tcW w:w="8406" w:type="dxa"/>
          </w:tcPr>
          <w:p w14:paraId="4DD5DCE8" w14:textId="77D142A1" w:rsidR="00FD3B5D" w:rsidRPr="00A52AB8" w:rsidRDefault="00FD3B5D">
            <w:pPr>
              <w:keepNext/>
              <w:keepLines/>
              <w:spacing w:before="20" w:after="20"/>
              <w:jc w:val="left"/>
              <w:rPr>
                <w:rFonts w:eastAsia="Malgun Gothic"/>
                <w:sz w:val="20"/>
                <w:szCs w:val="20"/>
              </w:rPr>
            </w:pPr>
            <w:r w:rsidRPr="00A52AB8">
              <w:rPr>
                <w:rFonts w:eastAsia="Malgun Gothic"/>
                <w:b/>
                <w:bCs/>
                <w:sz w:val="20"/>
                <w:szCs w:val="20"/>
              </w:rPr>
              <w:tab/>
            </w:r>
            <w:r w:rsidRPr="00A52AB8">
              <w:rPr>
                <w:rFonts w:eastAsia="Malgun Gothic"/>
                <w:sz w:val="20"/>
                <w:szCs w:val="20"/>
              </w:rPr>
              <w:t>if(</w:t>
            </w:r>
            <w:r w:rsidR="00883F09" w:rsidRPr="00A52AB8">
              <w:rPr>
                <w:rFonts w:eastAsia="Malgun Gothic"/>
                <w:sz w:val="20"/>
                <w:szCs w:val="20"/>
              </w:rPr>
              <w:t> </w:t>
            </w:r>
            <w:r w:rsidR="0078453F" w:rsidRPr="00A52AB8">
              <w:rPr>
                <w:rFonts w:eastAsia="Malgun Gothic"/>
                <w:sz w:val="20"/>
                <w:szCs w:val="20"/>
              </w:rPr>
              <w:t>vui</w:t>
            </w:r>
            <w:r w:rsidRPr="00A52AB8">
              <w:rPr>
                <w:rFonts w:eastAsia="Malgun Gothic"/>
                <w:sz w:val="20"/>
                <w:szCs w:val="20"/>
              </w:rPr>
              <w:t>_timing_info_present_flag</w:t>
            </w:r>
            <w:r w:rsidR="00883F09" w:rsidRPr="00A52AB8">
              <w:rPr>
                <w:rFonts w:eastAsia="Malgun Gothic"/>
                <w:sz w:val="20"/>
                <w:szCs w:val="20"/>
              </w:rPr>
              <w:t> </w:t>
            </w:r>
            <w:r w:rsidR="008F1F82" w:rsidRPr="00A52AB8">
              <w:rPr>
                <w:rFonts w:eastAsia="Malgun Gothic"/>
                <w:sz w:val="20"/>
                <w:szCs w:val="20"/>
              </w:rPr>
              <w:t>) {</w:t>
            </w:r>
          </w:p>
        </w:tc>
        <w:tc>
          <w:tcPr>
            <w:tcW w:w="1336" w:type="dxa"/>
            <w:gridSpan w:val="2"/>
          </w:tcPr>
          <w:p w14:paraId="208882C8" w14:textId="77777777" w:rsidR="00FD3B5D" w:rsidRPr="00A52AB8" w:rsidRDefault="00FD3B5D">
            <w:pPr>
              <w:keepNext/>
              <w:keepLines/>
              <w:spacing w:before="20" w:after="20"/>
              <w:jc w:val="center"/>
              <w:rPr>
                <w:rFonts w:eastAsia="Malgun Gothic"/>
                <w:bCs/>
                <w:sz w:val="20"/>
                <w:szCs w:val="20"/>
              </w:rPr>
            </w:pPr>
          </w:p>
        </w:tc>
      </w:tr>
      <w:tr w:rsidR="00FD3B5D" w:rsidRPr="00A52AB8" w14:paraId="512D18D8" w14:textId="77777777" w:rsidTr="00C86722">
        <w:trPr>
          <w:cantSplit/>
          <w:jc w:val="center"/>
        </w:trPr>
        <w:tc>
          <w:tcPr>
            <w:tcW w:w="8406" w:type="dxa"/>
          </w:tcPr>
          <w:p w14:paraId="202E58EE" w14:textId="77777777" w:rsidR="00FD3B5D" w:rsidRPr="00A52AB8" w:rsidRDefault="0078453F">
            <w:pPr>
              <w:keepNext/>
              <w:keepLines/>
              <w:spacing w:before="20" w:after="20"/>
              <w:jc w:val="left"/>
              <w:rPr>
                <w:rFonts w:eastAsia="Malgun Gothic"/>
                <w:sz w:val="20"/>
                <w:szCs w:val="20"/>
              </w:rPr>
            </w:pPr>
            <w:r w:rsidRPr="00A52AB8">
              <w:rPr>
                <w:rFonts w:eastAsia="Malgun Gothic"/>
                <w:b/>
                <w:bCs/>
                <w:sz w:val="20"/>
                <w:szCs w:val="20"/>
              </w:rPr>
              <w:tab/>
            </w:r>
            <w:r w:rsidRPr="00A52AB8">
              <w:rPr>
                <w:rFonts w:eastAsia="Malgun Gothic"/>
                <w:b/>
                <w:bCs/>
                <w:sz w:val="20"/>
                <w:szCs w:val="20"/>
              </w:rPr>
              <w:tab/>
              <w:t>vui</w:t>
            </w:r>
            <w:r w:rsidR="00FD3B5D" w:rsidRPr="00A52AB8">
              <w:rPr>
                <w:rFonts w:eastAsia="Malgun Gothic"/>
                <w:b/>
                <w:bCs/>
                <w:sz w:val="20"/>
                <w:szCs w:val="20"/>
              </w:rPr>
              <w:t>_num_units_in_tick</w:t>
            </w:r>
          </w:p>
        </w:tc>
        <w:tc>
          <w:tcPr>
            <w:tcW w:w="1336" w:type="dxa"/>
            <w:gridSpan w:val="2"/>
          </w:tcPr>
          <w:p w14:paraId="2D167256" w14:textId="77777777" w:rsidR="00FD3B5D" w:rsidRPr="00A52AB8" w:rsidRDefault="00FD3B5D">
            <w:pPr>
              <w:keepNext/>
              <w:keepLines/>
              <w:spacing w:before="20" w:after="20"/>
              <w:jc w:val="center"/>
              <w:rPr>
                <w:rFonts w:eastAsia="Malgun Gothic"/>
                <w:bCs/>
                <w:sz w:val="20"/>
                <w:szCs w:val="20"/>
              </w:rPr>
            </w:pPr>
            <w:r w:rsidRPr="00A52AB8">
              <w:rPr>
                <w:rFonts w:eastAsia="Malgun Gothic"/>
                <w:bCs/>
                <w:sz w:val="20"/>
                <w:szCs w:val="20"/>
              </w:rPr>
              <w:t>u(32)</w:t>
            </w:r>
          </w:p>
        </w:tc>
      </w:tr>
      <w:tr w:rsidR="00FD3B5D" w:rsidRPr="00A52AB8" w14:paraId="7242E07B" w14:textId="77777777" w:rsidTr="00C86722">
        <w:trPr>
          <w:cantSplit/>
          <w:jc w:val="center"/>
        </w:trPr>
        <w:tc>
          <w:tcPr>
            <w:tcW w:w="8406" w:type="dxa"/>
          </w:tcPr>
          <w:p w14:paraId="4A1EFADF" w14:textId="77777777" w:rsidR="00FD3B5D" w:rsidRPr="00A52AB8" w:rsidRDefault="00FD3B5D">
            <w:pPr>
              <w:keepNext/>
              <w:keepLines/>
              <w:spacing w:before="20" w:after="20"/>
              <w:jc w:val="left"/>
              <w:rPr>
                <w:rFonts w:eastAsia="Malgun Gothic"/>
                <w:sz w:val="20"/>
                <w:szCs w:val="20"/>
              </w:rPr>
            </w:pPr>
            <w:r w:rsidRPr="00A52AB8">
              <w:rPr>
                <w:rFonts w:eastAsia="Malgun Gothic"/>
                <w:b/>
                <w:bCs/>
                <w:sz w:val="20"/>
                <w:szCs w:val="20"/>
              </w:rPr>
              <w:tab/>
            </w:r>
            <w:r w:rsidRPr="00A52AB8">
              <w:rPr>
                <w:rFonts w:eastAsia="Malgun Gothic"/>
                <w:b/>
                <w:bCs/>
                <w:sz w:val="20"/>
                <w:szCs w:val="20"/>
              </w:rPr>
              <w:tab/>
            </w:r>
            <w:r w:rsidR="0078453F" w:rsidRPr="00A52AB8">
              <w:rPr>
                <w:rFonts w:eastAsia="Malgun Gothic"/>
                <w:b/>
                <w:bCs/>
                <w:sz w:val="20"/>
                <w:szCs w:val="20"/>
              </w:rPr>
              <w:t>vui</w:t>
            </w:r>
            <w:r w:rsidRPr="00A52AB8">
              <w:rPr>
                <w:rFonts w:eastAsia="Malgun Gothic"/>
                <w:b/>
                <w:bCs/>
                <w:sz w:val="20"/>
                <w:szCs w:val="20"/>
              </w:rPr>
              <w:t>_time_scale</w:t>
            </w:r>
          </w:p>
        </w:tc>
        <w:tc>
          <w:tcPr>
            <w:tcW w:w="1336" w:type="dxa"/>
            <w:gridSpan w:val="2"/>
          </w:tcPr>
          <w:p w14:paraId="218B2623" w14:textId="77777777" w:rsidR="00FD3B5D" w:rsidRPr="00A52AB8" w:rsidRDefault="00FD3B5D">
            <w:pPr>
              <w:keepNext/>
              <w:keepLines/>
              <w:spacing w:before="20" w:after="20"/>
              <w:jc w:val="center"/>
              <w:rPr>
                <w:rFonts w:eastAsia="Malgun Gothic"/>
                <w:bCs/>
                <w:sz w:val="20"/>
                <w:szCs w:val="20"/>
              </w:rPr>
            </w:pPr>
            <w:r w:rsidRPr="00A52AB8">
              <w:rPr>
                <w:rFonts w:eastAsia="Malgun Gothic"/>
                <w:bCs/>
                <w:sz w:val="20"/>
                <w:szCs w:val="20"/>
              </w:rPr>
              <w:t>u(32)</w:t>
            </w:r>
          </w:p>
        </w:tc>
      </w:tr>
      <w:tr w:rsidR="00FD3B5D" w:rsidRPr="00A52AB8" w14:paraId="79822BD1" w14:textId="77777777" w:rsidTr="00C86722">
        <w:trPr>
          <w:cantSplit/>
          <w:jc w:val="center"/>
        </w:trPr>
        <w:tc>
          <w:tcPr>
            <w:tcW w:w="8406" w:type="dxa"/>
          </w:tcPr>
          <w:p w14:paraId="0AAAD1BD" w14:textId="77777777" w:rsidR="00FD3B5D" w:rsidRPr="00A52AB8" w:rsidRDefault="00FD3B5D">
            <w:pPr>
              <w:keepNext/>
              <w:keepLines/>
              <w:spacing w:before="20" w:after="20"/>
              <w:jc w:val="left"/>
              <w:rPr>
                <w:rFonts w:eastAsia="Malgun Gothic"/>
                <w:b/>
                <w:bCs/>
                <w:sz w:val="20"/>
                <w:szCs w:val="20"/>
              </w:rPr>
            </w:pPr>
            <w:r w:rsidRPr="00A52AB8">
              <w:rPr>
                <w:rFonts w:eastAsia="Malgun Gothic"/>
                <w:bCs/>
                <w:sz w:val="20"/>
                <w:szCs w:val="20"/>
              </w:rPr>
              <w:tab/>
            </w:r>
            <w:r w:rsidRPr="00A52AB8">
              <w:rPr>
                <w:rFonts w:eastAsia="Malgun Gothic"/>
                <w:bCs/>
                <w:sz w:val="20"/>
                <w:szCs w:val="20"/>
              </w:rPr>
              <w:tab/>
            </w:r>
            <w:r w:rsidR="0078453F" w:rsidRPr="00A52AB8">
              <w:rPr>
                <w:rFonts w:eastAsia="Malgun Gothic"/>
                <w:b/>
                <w:bCs/>
                <w:sz w:val="20"/>
                <w:szCs w:val="20"/>
              </w:rPr>
              <w:t>vui</w:t>
            </w:r>
            <w:r w:rsidRPr="00A52AB8">
              <w:rPr>
                <w:rFonts w:eastAsia="Malgun Gothic"/>
                <w:b/>
                <w:bCs/>
                <w:sz w:val="20"/>
                <w:szCs w:val="20"/>
              </w:rPr>
              <w:t>_poc_proportional_to_timing_flag</w:t>
            </w:r>
          </w:p>
        </w:tc>
        <w:tc>
          <w:tcPr>
            <w:tcW w:w="1336" w:type="dxa"/>
            <w:gridSpan w:val="2"/>
          </w:tcPr>
          <w:p w14:paraId="563CE74C" w14:textId="77777777" w:rsidR="00FD3B5D" w:rsidRPr="00A52AB8" w:rsidRDefault="00FD3B5D">
            <w:pPr>
              <w:keepNext/>
              <w:keepLines/>
              <w:spacing w:before="20" w:after="20"/>
              <w:jc w:val="center"/>
              <w:rPr>
                <w:rFonts w:eastAsia="Malgun Gothic"/>
                <w:bCs/>
                <w:sz w:val="20"/>
                <w:szCs w:val="20"/>
              </w:rPr>
            </w:pPr>
            <w:r w:rsidRPr="00A52AB8">
              <w:rPr>
                <w:rFonts w:eastAsia="Malgun Gothic"/>
                <w:bCs/>
                <w:sz w:val="20"/>
                <w:szCs w:val="20"/>
              </w:rPr>
              <w:t>u(1)</w:t>
            </w:r>
          </w:p>
        </w:tc>
      </w:tr>
      <w:tr w:rsidR="00FD3B5D" w:rsidRPr="00A52AB8" w14:paraId="3487D6D8" w14:textId="77777777" w:rsidTr="00C86722">
        <w:trPr>
          <w:cantSplit/>
          <w:jc w:val="center"/>
        </w:trPr>
        <w:tc>
          <w:tcPr>
            <w:tcW w:w="8406" w:type="dxa"/>
          </w:tcPr>
          <w:p w14:paraId="11D7EFA2" w14:textId="3075DE5F" w:rsidR="00FD3B5D" w:rsidRPr="00A52AB8" w:rsidRDefault="00FD3B5D">
            <w:pPr>
              <w:keepNext/>
              <w:keepLines/>
              <w:spacing w:before="20" w:after="20"/>
              <w:jc w:val="left"/>
              <w:rPr>
                <w:rFonts w:eastAsia="Malgun Gothic"/>
                <w:bCs/>
                <w:sz w:val="20"/>
                <w:szCs w:val="20"/>
              </w:rPr>
            </w:pPr>
            <w:r w:rsidRPr="00A52AB8">
              <w:rPr>
                <w:rFonts w:eastAsia="Malgun Gothic"/>
                <w:bCs/>
                <w:sz w:val="20"/>
                <w:szCs w:val="20"/>
              </w:rPr>
              <w:tab/>
            </w:r>
            <w:r w:rsidRPr="00A52AB8">
              <w:rPr>
                <w:rFonts w:eastAsia="Malgun Gothic"/>
                <w:bCs/>
                <w:sz w:val="20"/>
                <w:szCs w:val="20"/>
              </w:rPr>
              <w:tab/>
              <w:t>if(</w:t>
            </w:r>
            <w:r w:rsidR="0045183D" w:rsidRPr="00A52AB8">
              <w:rPr>
                <w:rFonts w:eastAsia="Malgun Gothic"/>
                <w:bCs/>
                <w:sz w:val="20"/>
                <w:szCs w:val="20"/>
              </w:rPr>
              <w:t> </w:t>
            </w:r>
            <w:r w:rsidR="0078453F" w:rsidRPr="00A52AB8">
              <w:rPr>
                <w:rFonts w:eastAsia="Malgun Gothic"/>
                <w:bCs/>
                <w:sz w:val="20"/>
                <w:szCs w:val="20"/>
              </w:rPr>
              <w:t>vui</w:t>
            </w:r>
            <w:r w:rsidRPr="00A52AB8">
              <w:rPr>
                <w:rFonts w:eastAsia="Malgun Gothic"/>
                <w:bCs/>
                <w:sz w:val="20"/>
                <w:szCs w:val="20"/>
              </w:rPr>
              <w:t>_poc_proportional_to_timing_flag</w:t>
            </w:r>
            <w:r w:rsidR="0045183D" w:rsidRPr="00A52AB8">
              <w:rPr>
                <w:rFonts w:eastAsia="Malgun Gothic"/>
                <w:bCs/>
                <w:sz w:val="20"/>
                <w:szCs w:val="20"/>
              </w:rPr>
              <w:t> </w:t>
            </w:r>
            <w:r w:rsidRPr="00A52AB8">
              <w:rPr>
                <w:rFonts w:eastAsia="Malgun Gothic"/>
                <w:bCs/>
                <w:sz w:val="20"/>
                <w:szCs w:val="20"/>
              </w:rPr>
              <w:t>)</w:t>
            </w:r>
          </w:p>
        </w:tc>
        <w:tc>
          <w:tcPr>
            <w:tcW w:w="1336" w:type="dxa"/>
            <w:gridSpan w:val="2"/>
          </w:tcPr>
          <w:p w14:paraId="2410D353" w14:textId="77777777" w:rsidR="00FD3B5D" w:rsidRPr="00A52AB8" w:rsidRDefault="00FD3B5D">
            <w:pPr>
              <w:keepNext/>
              <w:keepLines/>
              <w:spacing w:before="20" w:after="20"/>
              <w:jc w:val="center"/>
              <w:rPr>
                <w:rFonts w:eastAsia="Malgun Gothic"/>
                <w:bCs/>
                <w:sz w:val="20"/>
                <w:szCs w:val="20"/>
              </w:rPr>
            </w:pPr>
          </w:p>
        </w:tc>
      </w:tr>
      <w:tr w:rsidR="00FD3B5D" w:rsidRPr="00A52AB8" w14:paraId="1B6C09CC" w14:textId="77777777" w:rsidTr="00C86722">
        <w:trPr>
          <w:cantSplit/>
          <w:jc w:val="center"/>
        </w:trPr>
        <w:tc>
          <w:tcPr>
            <w:tcW w:w="8406" w:type="dxa"/>
          </w:tcPr>
          <w:p w14:paraId="5A49DF14" w14:textId="77777777" w:rsidR="00FD3B5D" w:rsidRPr="00A52AB8" w:rsidRDefault="00FD3B5D">
            <w:pPr>
              <w:keepNext/>
              <w:keepLines/>
              <w:spacing w:before="20" w:after="20"/>
              <w:jc w:val="left"/>
              <w:rPr>
                <w:rFonts w:eastAsia="Malgun Gothic"/>
                <w:b/>
                <w:bCs/>
                <w:sz w:val="20"/>
                <w:szCs w:val="20"/>
              </w:rPr>
            </w:pPr>
            <w:r w:rsidRPr="00A52AB8">
              <w:rPr>
                <w:rFonts w:eastAsia="Malgun Gothic"/>
                <w:bCs/>
                <w:sz w:val="20"/>
                <w:szCs w:val="20"/>
              </w:rPr>
              <w:tab/>
            </w:r>
            <w:r w:rsidRPr="00A52AB8">
              <w:rPr>
                <w:rFonts w:eastAsia="Malgun Gothic"/>
                <w:bCs/>
                <w:sz w:val="20"/>
                <w:szCs w:val="20"/>
              </w:rPr>
              <w:tab/>
            </w:r>
            <w:r w:rsidRPr="00A52AB8">
              <w:rPr>
                <w:rFonts w:eastAsia="Malgun Gothic"/>
                <w:bCs/>
                <w:sz w:val="20"/>
                <w:szCs w:val="20"/>
              </w:rPr>
              <w:tab/>
            </w:r>
            <w:r w:rsidR="0078453F" w:rsidRPr="00A52AB8">
              <w:rPr>
                <w:rFonts w:eastAsia="Malgun Gothic"/>
                <w:b/>
                <w:bCs/>
                <w:sz w:val="20"/>
                <w:szCs w:val="20"/>
              </w:rPr>
              <w:t>vui</w:t>
            </w:r>
            <w:r w:rsidRPr="00A52AB8">
              <w:rPr>
                <w:rFonts w:eastAsia="Malgun Gothic"/>
                <w:b/>
                <w:bCs/>
                <w:sz w:val="20"/>
                <w:szCs w:val="20"/>
              </w:rPr>
              <w:t>_num_ticks_poc_diff_one_minus1</w:t>
            </w:r>
          </w:p>
        </w:tc>
        <w:tc>
          <w:tcPr>
            <w:tcW w:w="1336" w:type="dxa"/>
            <w:gridSpan w:val="2"/>
          </w:tcPr>
          <w:p w14:paraId="5EFFEE76" w14:textId="77777777" w:rsidR="00FD3B5D" w:rsidRPr="00A52AB8" w:rsidRDefault="00FD3B5D">
            <w:pPr>
              <w:keepNext/>
              <w:keepLines/>
              <w:spacing w:before="20" w:after="20"/>
              <w:jc w:val="center"/>
              <w:rPr>
                <w:rFonts w:eastAsia="Malgun Gothic"/>
                <w:bCs/>
                <w:sz w:val="20"/>
                <w:szCs w:val="20"/>
              </w:rPr>
            </w:pPr>
            <w:r w:rsidRPr="00A52AB8">
              <w:rPr>
                <w:rFonts w:eastAsia="Malgun Gothic"/>
                <w:bCs/>
                <w:sz w:val="20"/>
                <w:szCs w:val="20"/>
              </w:rPr>
              <w:t>ue(v)</w:t>
            </w:r>
          </w:p>
        </w:tc>
      </w:tr>
      <w:tr w:rsidR="00FD3B5D" w:rsidRPr="00A52AB8" w14:paraId="1193FB26" w14:textId="77777777" w:rsidTr="00C86722">
        <w:trPr>
          <w:cantSplit/>
          <w:jc w:val="center"/>
        </w:trPr>
        <w:tc>
          <w:tcPr>
            <w:tcW w:w="8406" w:type="dxa"/>
          </w:tcPr>
          <w:p w14:paraId="1AC0A44A" w14:textId="77777777" w:rsidR="00FD3B5D" w:rsidRPr="00A52AB8" w:rsidRDefault="00FD3B5D">
            <w:pPr>
              <w:keepNext/>
              <w:keepLines/>
              <w:spacing w:before="20" w:after="20"/>
              <w:jc w:val="left"/>
              <w:rPr>
                <w:rFonts w:eastAsia="Malgun Gothic"/>
                <w:b/>
                <w:bCs/>
                <w:sz w:val="20"/>
                <w:szCs w:val="20"/>
              </w:rPr>
            </w:pPr>
            <w:r w:rsidRPr="00A52AB8">
              <w:rPr>
                <w:rFonts w:eastAsia="Malgun Gothic"/>
                <w:b/>
                <w:bCs/>
                <w:sz w:val="20"/>
                <w:szCs w:val="20"/>
              </w:rPr>
              <w:tab/>
            </w:r>
            <w:r w:rsidRPr="00A52AB8">
              <w:rPr>
                <w:rFonts w:eastAsia="Malgun Gothic"/>
                <w:b/>
                <w:bCs/>
                <w:sz w:val="20"/>
                <w:szCs w:val="20"/>
              </w:rPr>
              <w:tab/>
            </w:r>
            <w:r w:rsidR="0078453F" w:rsidRPr="00A52AB8">
              <w:rPr>
                <w:rFonts w:eastAsia="Malgun Gothic"/>
                <w:b/>
                <w:bCs/>
                <w:sz w:val="20"/>
                <w:szCs w:val="20"/>
              </w:rPr>
              <w:t>vui</w:t>
            </w:r>
            <w:r w:rsidRPr="00A52AB8">
              <w:rPr>
                <w:rFonts w:eastAsia="Malgun Gothic"/>
                <w:b/>
                <w:bCs/>
                <w:sz w:val="20"/>
                <w:szCs w:val="20"/>
              </w:rPr>
              <w:t>_hrd_parameters_present_flag</w:t>
            </w:r>
          </w:p>
        </w:tc>
        <w:tc>
          <w:tcPr>
            <w:tcW w:w="1336" w:type="dxa"/>
            <w:gridSpan w:val="2"/>
          </w:tcPr>
          <w:p w14:paraId="6B6B61CE" w14:textId="77777777" w:rsidR="00FD3B5D" w:rsidRPr="00A52AB8" w:rsidRDefault="00FD3B5D">
            <w:pPr>
              <w:keepNext/>
              <w:keepLines/>
              <w:spacing w:before="20" w:after="20"/>
              <w:jc w:val="center"/>
              <w:rPr>
                <w:rFonts w:eastAsia="Malgun Gothic"/>
                <w:bCs/>
                <w:sz w:val="20"/>
                <w:szCs w:val="20"/>
              </w:rPr>
            </w:pPr>
            <w:r w:rsidRPr="00A52AB8">
              <w:rPr>
                <w:rFonts w:eastAsia="Malgun Gothic"/>
                <w:bCs/>
                <w:sz w:val="20"/>
                <w:szCs w:val="20"/>
              </w:rPr>
              <w:t>u(1)</w:t>
            </w:r>
          </w:p>
        </w:tc>
      </w:tr>
      <w:tr w:rsidR="00FD3B5D" w:rsidRPr="00A52AB8" w14:paraId="505A0EEE" w14:textId="77777777" w:rsidTr="00C86722">
        <w:trPr>
          <w:cantSplit/>
          <w:jc w:val="center"/>
        </w:trPr>
        <w:tc>
          <w:tcPr>
            <w:tcW w:w="8406" w:type="dxa"/>
          </w:tcPr>
          <w:p w14:paraId="75169613" w14:textId="55C48ED1" w:rsidR="00FD3B5D" w:rsidRPr="00A52AB8" w:rsidRDefault="00FD3B5D">
            <w:pPr>
              <w:keepNext/>
              <w:keepLines/>
              <w:spacing w:before="20" w:after="20"/>
              <w:jc w:val="left"/>
              <w:rPr>
                <w:rFonts w:eastAsia="Malgun Gothic"/>
                <w:b/>
                <w:bCs/>
                <w:sz w:val="20"/>
                <w:szCs w:val="20"/>
              </w:rPr>
            </w:pPr>
            <w:r w:rsidRPr="00A52AB8">
              <w:rPr>
                <w:rFonts w:eastAsia="Malgun Gothic"/>
                <w:bCs/>
                <w:sz w:val="20"/>
                <w:szCs w:val="20"/>
              </w:rPr>
              <w:tab/>
            </w:r>
            <w:r w:rsidRPr="00A52AB8">
              <w:rPr>
                <w:rFonts w:eastAsia="Malgun Gothic"/>
                <w:bCs/>
                <w:sz w:val="20"/>
                <w:szCs w:val="20"/>
              </w:rPr>
              <w:tab/>
              <w:t>if(</w:t>
            </w:r>
            <w:r w:rsidR="0045183D" w:rsidRPr="00A52AB8">
              <w:rPr>
                <w:rFonts w:eastAsia="Malgun Gothic"/>
                <w:bCs/>
                <w:sz w:val="20"/>
                <w:szCs w:val="20"/>
              </w:rPr>
              <w:t> </w:t>
            </w:r>
            <w:r w:rsidR="0078453F" w:rsidRPr="00A52AB8">
              <w:rPr>
                <w:rFonts w:eastAsia="Malgun Gothic"/>
                <w:bCs/>
                <w:sz w:val="20"/>
                <w:szCs w:val="20"/>
              </w:rPr>
              <w:t>vui</w:t>
            </w:r>
            <w:r w:rsidRPr="00A52AB8">
              <w:rPr>
                <w:rFonts w:eastAsia="Malgun Gothic"/>
                <w:bCs/>
                <w:sz w:val="20"/>
                <w:szCs w:val="20"/>
              </w:rPr>
              <w:t>_hrd_parameters_present_flag</w:t>
            </w:r>
            <w:r w:rsidR="0045183D" w:rsidRPr="00A52AB8">
              <w:rPr>
                <w:rFonts w:eastAsia="Malgun Gothic"/>
                <w:bCs/>
                <w:sz w:val="20"/>
                <w:szCs w:val="20"/>
              </w:rPr>
              <w:t> </w:t>
            </w:r>
            <w:r w:rsidRPr="00A52AB8">
              <w:rPr>
                <w:rFonts w:eastAsia="Malgun Gothic"/>
                <w:bCs/>
                <w:sz w:val="20"/>
                <w:szCs w:val="20"/>
              </w:rPr>
              <w:t>)</w:t>
            </w:r>
          </w:p>
        </w:tc>
        <w:tc>
          <w:tcPr>
            <w:tcW w:w="1336" w:type="dxa"/>
            <w:gridSpan w:val="2"/>
          </w:tcPr>
          <w:p w14:paraId="7E885CB9" w14:textId="77777777" w:rsidR="00FD3B5D" w:rsidRPr="00A52AB8" w:rsidRDefault="00FD3B5D">
            <w:pPr>
              <w:keepNext/>
              <w:keepLines/>
              <w:spacing w:before="20" w:after="20"/>
              <w:jc w:val="center"/>
              <w:rPr>
                <w:rFonts w:eastAsia="Malgun Gothic"/>
                <w:bCs/>
                <w:sz w:val="20"/>
                <w:szCs w:val="20"/>
              </w:rPr>
            </w:pPr>
          </w:p>
        </w:tc>
      </w:tr>
      <w:tr w:rsidR="00FD3B5D" w:rsidRPr="00A52AB8" w14:paraId="278D6BB7" w14:textId="77777777" w:rsidTr="00C86722">
        <w:trPr>
          <w:cantSplit/>
          <w:jc w:val="center"/>
        </w:trPr>
        <w:tc>
          <w:tcPr>
            <w:tcW w:w="8406" w:type="dxa"/>
          </w:tcPr>
          <w:p w14:paraId="29FBA5B1" w14:textId="5C121C26" w:rsidR="00FD3B5D" w:rsidRPr="00A52AB8" w:rsidRDefault="00FD3B5D">
            <w:pPr>
              <w:keepNext/>
              <w:keepLines/>
              <w:spacing w:before="20" w:after="20"/>
              <w:jc w:val="left"/>
              <w:rPr>
                <w:rFonts w:eastAsia="Malgun Gothic"/>
                <w:b/>
                <w:bCs/>
                <w:sz w:val="20"/>
                <w:szCs w:val="20"/>
              </w:rPr>
            </w:pPr>
            <w:r w:rsidRPr="00A52AB8">
              <w:rPr>
                <w:rFonts w:eastAsia="Malgun Gothic"/>
                <w:b/>
                <w:bCs/>
                <w:sz w:val="20"/>
                <w:szCs w:val="20"/>
              </w:rPr>
              <w:tab/>
            </w:r>
            <w:r w:rsidR="0078453F" w:rsidRPr="00A52AB8">
              <w:rPr>
                <w:rFonts w:eastAsia="Malgun Gothic"/>
                <w:b/>
                <w:bCs/>
                <w:sz w:val="20"/>
                <w:szCs w:val="20"/>
              </w:rPr>
              <w:tab/>
            </w:r>
            <w:r w:rsidR="0078453F" w:rsidRPr="00A52AB8">
              <w:rPr>
                <w:rFonts w:eastAsia="Malgun Gothic"/>
                <w:b/>
                <w:bCs/>
                <w:sz w:val="20"/>
                <w:szCs w:val="20"/>
              </w:rPr>
              <w:tab/>
            </w:r>
            <w:r w:rsidRPr="00A52AB8">
              <w:rPr>
                <w:rFonts w:eastAsia="Malgun Gothic"/>
                <w:sz w:val="20"/>
                <w:szCs w:val="20"/>
              </w:rPr>
              <w:t>hrd_parameters( </w:t>
            </w:r>
            <w:r w:rsidR="00552A71" w:rsidRPr="00A52AB8">
              <w:rPr>
                <w:rFonts w:eastAsia="Malgun Gothic"/>
                <w:sz w:val="20"/>
                <w:szCs w:val="20"/>
              </w:rPr>
              <w:t>0 </w:t>
            </w:r>
            <w:r w:rsidRPr="00A52AB8">
              <w:rPr>
                <w:rFonts w:eastAsia="Malgun Gothic"/>
                <w:sz w:val="20"/>
                <w:szCs w:val="20"/>
              </w:rPr>
              <w:t>)</w:t>
            </w:r>
          </w:p>
        </w:tc>
        <w:tc>
          <w:tcPr>
            <w:tcW w:w="1336" w:type="dxa"/>
            <w:gridSpan w:val="2"/>
          </w:tcPr>
          <w:p w14:paraId="361039FD" w14:textId="77777777" w:rsidR="00FD3B5D" w:rsidRPr="00A52AB8" w:rsidRDefault="00FD3B5D">
            <w:pPr>
              <w:keepNext/>
              <w:keepLines/>
              <w:spacing w:before="20" w:after="20"/>
              <w:jc w:val="center"/>
              <w:rPr>
                <w:rFonts w:eastAsia="Malgun Gothic"/>
                <w:bCs/>
                <w:sz w:val="20"/>
                <w:szCs w:val="20"/>
              </w:rPr>
            </w:pPr>
          </w:p>
        </w:tc>
      </w:tr>
      <w:tr w:rsidR="00FD3B5D" w:rsidRPr="00A52AB8" w14:paraId="6AA81424" w14:textId="77777777" w:rsidTr="00C86722">
        <w:trPr>
          <w:cantSplit/>
          <w:jc w:val="center"/>
        </w:trPr>
        <w:tc>
          <w:tcPr>
            <w:tcW w:w="8406" w:type="dxa"/>
          </w:tcPr>
          <w:p w14:paraId="776A05EC" w14:textId="77777777" w:rsidR="00FD3B5D" w:rsidRPr="00A52AB8" w:rsidRDefault="00FD3B5D">
            <w:pPr>
              <w:keepNext/>
              <w:keepLines/>
              <w:spacing w:before="20" w:after="20"/>
              <w:jc w:val="left"/>
              <w:rPr>
                <w:rFonts w:eastAsia="Malgun Gothic"/>
                <w:bCs/>
                <w:sz w:val="20"/>
                <w:szCs w:val="20"/>
              </w:rPr>
            </w:pPr>
            <w:r w:rsidRPr="00A52AB8">
              <w:rPr>
                <w:rFonts w:eastAsia="Malgun Gothic"/>
                <w:bCs/>
                <w:sz w:val="20"/>
                <w:szCs w:val="20"/>
              </w:rPr>
              <w:tab/>
              <w:t>}</w:t>
            </w:r>
          </w:p>
        </w:tc>
        <w:tc>
          <w:tcPr>
            <w:tcW w:w="1336" w:type="dxa"/>
            <w:gridSpan w:val="2"/>
          </w:tcPr>
          <w:p w14:paraId="397222A6" w14:textId="77777777" w:rsidR="00FD3B5D" w:rsidRPr="00A52AB8" w:rsidRDefault="00FD3B5D">
            <w:pPr>
              <w:keepNext/>
              <w:keepLines/>
              <w:spacing w:before="20" w:after="20"/>
              <w:jc w:val="center"/>
              <w:rPr>
                <w:rFonts w:eastAsia="Malgun Gothic"/>
                <w:bCs/>
                <w:sz w:val="20"/>
                <w:szCs w:val="20"/>
              </w:rPr>
            </w:pPr>
          </w:p>
        </w:tc>
      </w:tr>
      <w:tr w:rsidR="000233AC" w:rsidRPr="00A52AB8" w14:paraId="11B18853" w14:textId="77777777" w:rsidTr="00C86722">
        <w:trPr>
          <w:cantSplit/>
          <w:jc w:val="center"/>
        </w:trPr>
        <w:tc>
          <w:tcPr>
            <w:tcW w:w="8406" w:type="dxa"/>
          </w:tcPr>
          <w:p w14:paraId="4D19A11D" w14:textId="77777777" w:rsidR="000233AC" w:rsidRPr="00A52AB8" w:rsidRDefault="000233AC" w:rsidP="00B4581E">
            <w:pPr>
              <w:keepNext/>
              <w:keepLines/>
              <w:spacing w:before="20" w:after="20"/>
              <w:jc w:val="left"/>
              <w:rPr>
                <w:rFonts w:eastAsia="Malgun Gothic"/>
                <w:b/>
                <w:bCs/>
                <w:sz w:val="20"/>
                <w:szCs w:val="20"/>
              </w:rPr>
            </w:pPr>
            <w:r w:rsidRPr="00A52AB8">
              <w:rPr>
                <w:rFonts w:eastAsia="Malgun Gothic"/>
                <w:b/>
                <w:bCs/>
                <w:sz w:val="20"/>
                <w:szCs w:val="20"/>
              </w:rPr>
              <w:tab/>
            </w:r>
            <w:r w:rsidR="00327CC1" w:rsidRPr="00A52AB8">
              <w:rPr>
                <w:rFonts w:eastAsia="Malgun Gothic"/>
                <w:b/>
                <w:bCs/>
                <w:sz w:val="20"/>
                <w:szCs w:val="20"/>
              </w:rPr>
              <w:t>vui_tile_restrictions_present_flag</w:t>
            </w:r>
          </w:p>
        </w:tc>
        <w:tc>
          <w:tcPr>
            <w:tcW w:w="1336" w:type="dxa"/>
            <w:gridSpan w:val="2"/>
          </w:tcPr>
          <w:p w14:paraId="6B46AEEC" w14:textId="77777777" w:rsidR="000233AC" w:rsidRPr="00A52AB8" w:rsidRDefault="000233AC" w:rsidP="0045670D">
            <w:pPr>
              <w:keepNext/>
              <w:keepLines/>
              <w:spacing w:before="20" w:after="20"/>
              <w:jc w:val="center"/>
              <w:rPr>
                <w:rFonts w:eastAsia="Malgun Gothic"/>
                <w:bCs/>
                <w:sz w:val="20"/>
                <w:szCs w:val="20"/>
              </w:rPr>
            </w:pPr>
            <w:r w:rsidRPr="00A52AB8">
              <w:rPr>
                <w:rFonts w:eastAsia="Malgun Gothic"/>
                <w:bCs/>
                <w:sz w:val="20"/>
                <w:szCs w:val="20"/>
              </w:rPr>
              <w:t>u(1)</w:t>
            </w:r>
          </w:p>
        </w:tc>
      </w:tr>
      <w:tr w:rsidR="000233AC" w:rsidRPr="00A52AB8" w14:paraId="19D40FDD" w14:textId="77777777" w:rsidTr="00C86722">
        <w:trPr>
          <w:cantSplit/>
          <w:jc w:val="center"/>
        </w:trPr>
        <w:tc>
          <w:tcPr>
            <w:tcW w:w="8406" w:type="dxa"/>
          </w:tcPr>
          <w:p w14:paraId="62C7A3E7" w14:textId="0DBE9CDF" w:rsidR="000233AC" w:rsidRPr="00A52AB8" w:rsidRDefault="000233AC" w:rsidP="0045670D">
            <w:pPr>
              <w:keepNext/>
              <w:keepLines/>
              <w:spacing w:before="20" w:after="20"/>
              <w:jc w:val="left"/>
              <w:rPr>
                <w:rFonts w:eastAsia="Malgun Gothic"/>
                <w:bCs/>
                <w:sz w:val="20"/>
                <w:szCs w:val="20"/>
              </w:rPr>
            </w:pPr>
            <w:r w:rsidRPr="00A52AB8">
              <w:rPr>
                <w:rFonts w:eastAsia="Malgun Gothic"/>
                <w:bCs/>
                <w:sz w:val="20"/>
                <w:szCs w:val="20"/>
              </w:rPr>
              <w:tab/>
              <w:t>if( </w:t>
            </w:r>
            <w:r w:rsidR="00327CC1" w:rsidRPr="00A52AB8">
              <w:rPr>
                <w:rFonts w:eastAsia="Malgun Gothic"/>
                <w:bCs/>
                <w:sz w:val="20"/>
                <w:szCs w:val="20"/>
              </w:rPr>
              <w:t>vui_tile_restrictions_present_flag</w:t>
            </w:r>
            <w:r w:rsidRPr="00A52AB8">
              <w:rPr>
                <w:rFonts w:eastAsia="Malgun Gothic"/>
                <w:bCs/>
                <w:sz w:val="20"/>
                <w:szCs w:val="20"/>
              </w:rPr>
              <w:t> </w:t>
            </w:r>
            <w:r w:rsidR="008F1F82" w:rsidRPr="00A52AB8">
              <w:rPr>
                <w:rFonts w:eastAsia="Malgun Gothic"/>
                <w:bCs/>
                <w:sz w:val="20"/>
                <w:szCs w:val="20"/>
              </w:rPr>
              <w:t>) {</w:t>
            </w:r>
          </w:p>
        </w:tc>
        <w:tc>
          <w:tcPr>
            <w:tcW w:w="1336" w:type="dxa"/>
            <w:gridSpan w:val="2"/>
          </w:tcPr>
          <w:p w14:paraId="1FE7C743" w14:textId="77777777" w:rsidR="000233AC" w:rsidRPr="00A52AB8" w:rsidRDefault="000233AC" w:rsidP="0045670D">
            <w:pPr>
              <w:keepNext/>
              <w:keepLines/>
              <w:spacing w:before="20" w:after="20"/>
              <w:jc w:val="center"/>
              <w:rPr>
                <w:rFonts w:eastAsia="Malgun Gothic"/>
                <w:bCs/>
                <w:sz w:val="20"/>
                <w:szCs w:val="20"/>
              </w:rPr>
            </w:pPr>
          </w:p>
        </w:tc>
      </w:tr>
      <w:tr w:rsidR="000233AC" w:rsidRPr="00A52AB8" w14:paraId="447D22D1" w14:textId="77777777" w:rsidTr="00C86722">
        <w:trPr>
          <w:cantSplit/>
          <w:jc w:val="center"/>
        </w:trPr>
        <w:tc>
          <w:tcPr>
            <w:tcW w:w="8406" w:type="dxa"/>
          </w:tcPr>
          <w:p w14:paraId="77713F70" w14:textId="77777777" w:rsidR="000233AC" w:rsidRPr="00A52AB8" w:rsidRDefault="000233AC" w:rsidP="0071119B">
            <w:pPr>
              <w:keepNext/>
              <w:keepLines/>
              <w:spacing w:before="20" w:after="20"/>
              <w:jc w:val="left"/>
              <w:rPr>
                <w:rFonts w:eastAsia="Malgun Gothic"/>
                <w:b/>
                <w:bCs/>
                <w:sz w:val="20"/>
                <w:szCs w:val="20"/>
              </w:rPr>
            </w:pPr>
            <w:r w:rsidRPr="00A52AB8">
              <w:rPr>
                <w:rFonts w:eastAsia="Malgun Gothic"/>
                <w:b/>
                <w:bCs/>
                <w:sz w:val="20"/>
                <w:szCs w:val="20"/>
              </w:rPr>
              <w:tab/>
            </w:r>
            <w:r w:rsidRPr="00A52AB8">
              <w:rPr>
                <w:rFonts w:eastAsia="Malgun Gothic"/>
                <w:b/>
                <w:bCs/>
                <w:sz w:val="20"/>
                <w:szCs w:val="20"/>
              </w:rPr>
              <w:tab/>
            </w:r>
            <w:r w:rsidR="00C81FDC" w:rsidRPr="00A52AB8">
              <w:rPr>
                <w:rFonts w:eastAsia="Malgun Gothic"/>
                <w:b/>
                <w:bCs/>
                <w:sz w:val="20"/>
                <w:szCs w:val="20"/>
              </w:rPr>
              <w:t>vui_fixed_atlas_tile_structure_flag</w:t>
            </w:r>
          </w:p>
        </w:tc>
        <w:tc>
          <w:tcPr>
            <w:tcW w:w="1336" w:type="dxa"/>
            <w:gridSpan w:val="2"/>
          </w:tcPr>
          <w:p w14:paraId="4E9BA7B1" w14:textId="77777777" w:rsidR="000233AC" w:rsidRPr="00A52AB8" w:rsidRDefault="000233AC" w:rsidP="0045670D">
            <w:pPr>
              <w:keepNext/>
              <w:keepLines/>
              <w:spacing w:before="20" w:after="20"/>
              <w:jc w:val="center"/>
              <w:rPr>
                <w:rFonts w:eastAsia="Malgun Gothic"/>
                <w:bCs/>
                <w:sz w:val="20"/>
                <w:szCs w:val="20"/>
              </w:rPr>
            </w:pPr>
            <w:r w:rsidRPr="00A52AB8">
              <w:rPr>
                <w:rFonts w:eastAsia="Malgun Gothic"/>
                <w:bCs/>
                <w:sz w:val="20"/>
                <w:szCs w:val="20"/>
              </w:rPr>
              <w:t>u(1)</w:t>
            </w:r>
          </w:p>
        </w:tc>
      </w:tr>
      <w:tr w:rsidR="000233AC" w:rsidRPr="00A52AB8" w14:paraId="4E319360" w14:textId="77777777" w:rsidTr="00C86722">
        <w:trPr>
          <w:cantSplit/>
          <w:jc w:val="center"/>
        </w:trPr>
        <w:tc>
          <w:tcPr>
            <w:tcW w:w="8406" w:type="dxa"/>
          </w:tcPr>
          <w:p w14:paraId="0FAD8CE3" w14:textId="77777777" w:rsidR="000233AC" w:rsidRPr="00A52AB8" w:rsidRDefault="000233AC" w:rsidP="0045670D">
            <w:pPr>
              <w:keepNext/>
              <w:keepLines/>
              <w:spacing w:before="20" w:after="20"/>
              <w:jc w:val="left"/>
              <w:rPr>
                <w:rFonts w:eastAsia="Malgun Gothic"/>
                <w:b/>
                <w:bCs/>
                <w:sz w:val="20"/>
                <w:szCs w:val="20"/>
              </w:rPr>
            </w:pPr>
            <w:r w:rsidRPr="00A52AB8">
              <w:rPr>
                <w:rFonts w:eastAsia="Malgun Gothic"/>
                <w:b/>
                <w:bCs/>
                <w:sz w:val="20"/>
                <w:szCs w:val="20"/>
              </w:rPr>
              <w:tab/>
            </w:r>
            <w:r w:rsidRPr="00A52AB8">
              <w:rPr>
                <w:rFonts w:eastAsia="Malgun Gothic"/>
                <w:b/>
                <w:bCs/>
                <w:sz w:val="20"/>
                <w:szCs w:val="20"/>
              </w:rPr>
              <w:tab/>
            </w:r>
            <w:r w:rsidR="00C81FDC" w:rsidRPr="00A52AB8">
              <w:rPr>
                <w:rFonts w:eastAsia="Malgun Gothic"/>
                <w:b/>
                <w:bCs/>
                <w:sz w:val="20"/>
                <w:szCs w:val="20"/>
              </w:rPr>
              <w:t>vui_fixed_video_tile_structure_flag</w:t>
            </w:r>
          </w:p>
        </w:tc>
        <w:tc>
          <w:tcPr>
            <w:tcW w:w="1336" w:type="dxa"/>
            <w:gridSpan w:val="2"/>
          </w:tcPr>
          <w:p w14:paraId="10029598" w14:textId="77777777" w:rsidR="000233AC" w:rsidRPr="00A52AB8" w:rsidRDefault="000233AC" w:rsidP="0045670D">
            <w:pPr>
              <w:keepNext/>
              <w:keepLines/>
              <w:spacing w:before="20" w:after="20"/>
              <w:jc w:val="center"/>
              <w:rPr>
                <w:rFonts w:eastAsia="Malgun Gothic"/>
                <w:bCs/>
                <w:sz w:val="20"/>
                <w:szCs w:val="20"/>
              </w:rPr>
            </w:pPr>
            <w:r w:rsidRPr="00A52AB8">
              <w:rPr>
                <w:rFonts w:eastAsia="Malgun Gothic"/>
                <w:bCs/>
                <w:sz w:val="20"/>
                <w:szCs w:val="20"/>
              </w:rPr>
              <w:t>u(1)</w:t>
            </w:r>
          </w:p>
        </w:tc>
      </w:tr>
      <w:tr w:rsidR="007B2AA9" w:rsidRPr="00A52AB8" w14:paraId="5C678F91" w14:textId="77777777" w:rsidTr="00C86722">
        <w:trPr>
          <w:cantSplit/>
          <w:jc w:val="center"/>
        </w:trPr>
        <w:tc>
          <w:tcPr>
            <w:tcW w:w="8406" w:type="dxa"/>
          </w:tcPr>
          <w:p w14:paraId="5EEFBBB1" w14:textId="77777777" w:rsidR="007B2AA9" w:rsidRPr="00A52AB8" w:rsidRDefault="007B2AA9" w:rsidP="0045670D">
            <w:pPr>
              <w:keepNext/>
              <w:keepLines/>
              <w:spacing w:before="20" w:after="20"/>
              <w:jc w:val="left"/>
              <w:rPr>
                <w:rFonts w:eastAsia="Malgun Gothic"/>
                <w:b/>
                <w:bCs/>
                <w:sz w:val="20"/>
                <w:szCs w:val="20"/>
              </w:rPr>
            </w:pPr>
            <w:r w:rsidRPr="00A52AB8">
              <w:rPr>
                <w:rFonts w:eastAsia="Malgun Gothic"/>
                <w:b/>
                <w:bCs/>
                <w:sz w:val="20"/>
                <w:szCs w:val="20"/>
              </w:rPr>
              <w:tab/>
            </w:r>
            <w:r w:rsidRPr="00A52AB8">
              <w:rPr>
                <w:rFonts w:eastAsia="Malgun Gothic"/>
                <w:b/>
                <w:bCs/>
                <w:sz w:val="20"/>
                <w:szCs w:val="20"/>
              </w:rPr>
              <w:tab/>
              <w:t>vui_constrained_tiles_across_v3c_components_idc</w:t>
            </w:r>
          </w:p>
        </w:tc>
        <w:tc>
          <w:tcPr>
            <w:tcW w:w="1336" w:type="dxa"/>
            <w:gridSpan w:val="2"/>
          </w:tcPr>
          <w:p w14:paraId="2E004BC5" w14:textId="77777777" w:rsidR="007B2AA9" w:rsidRPr="00A52AB8" w:rsidRDefault="007B2AA9" w:rsidP="0045670D">
            <w:pPr>
              <w:keepNext/>
              <w:keepLines/>
              <w:spacing w:before="20" w:after="20"/>
              <w:jc w:val="center"/>
              <w:rPr>
                <w:rFonts w:eastAsia="Malgun Gothic"/>
                <w:bCs/>
                <w:sz w:val="20"/>
                <w:szCs w:val="20"/>
              </w:rPr>
            </w:pPr>
            <w:r w:rsidRPr="00A52AB8">
              <w:rPr>
                <w:rFonts w:eastAsia="Malgun Gothic"/>
                <w:bCs/>
                <w:sz w:val="20"/>
                <w:szCs w:val="20"/>
              </w:rPr>
              <w:t>ue(v)</w:t>
            </w:r>
          </w:p>
        </w:tc>
      </w:tr>
      <w:tr w:rsidR="000233AC" w:rsidRPr="00A52AB8" w14:paraId="7AA68B7B" w14:textId="77777777" w:rsidTr="00C86722">
        <w:trPr>
          <w:cantSplit/>
          <w:jc w:val="center"/>
        </w:trPr>
        <w:tc>
          <w:tcPr>
            <w:tcW w:w="8406" w:type="dxa"/>
          </w:tcPr>
          <w:p w14:paraId="0BFBA710" w14:textId="77777777" w:rsidR="000233AC" w:rsidRPr="00A52AB8" w:rsidRDefault="000233AC" w:rsidP="0045670D">
            <w:pPr>
              <w:keepNext/>
              <w:keepLines/>
              <w:spacing w:before="20" w:after="20"/>
              <w:jc w:val="left"/>
              <w:rPr>
                <w:rFonts w:eastAsia="Malgun Gothic"/>
                <w:b/>
                <w:bCs/>
                <w:sz w:val="20"/>
                <w:szCs w:val="20"/>
              </w:rPr>
            </w:pPr>
            <w:r w:rsidRPr="00A52AB8">
              <w:rPr>
                <w:rFonts w:eastAsia="Malgun Gothic"/>
                <w:b/>
                <w:bCs/>
                <w:sz w:val="20"/>
                <w:szCs w:val="20"/>
              </w:rPr>
              <w:tab/>
            </w:r>
            <w:r w:rsidRPr="00A52AB8">
              <w:rPr>
                <w:rFonts w:eastAsia="Malgun Gothic"/>
                <w:b/>
                <w:bCs/>
                <w:sz w:val="20"/>
                <w:szCs w:val="20"/>
              </w:rPr>
              <w:tab/>
            </w:r>
            <w:bookmarkStart w:id="6063" w:name="_Hlk29853838"/>
            <w:r w:rsidRPr="00A52AB8">
              <w:rPr>
                <w:rFonts w:eastAsia="Malgun Gothic"/>
                <w:b/>
                <w:bCs/>
                <w:sz w:val="20"/>
                <w:szCs w:val="20"/>
              </w:rPr>
              <w:t>vui_max_num_</w:t>
            </w:r>
            <w:r w:rsidR="00B8075E" w:rsidRPr="00A52AB8">
              <w:rPr>
                <w:rFonts w:eastAsia="Malgun Gothic"/>
                <w:b/>
                <w:bCs/>
                <w:sz w:val="20"/>
                <w:szCs w:val="20"/>
              </w:rPr>
              <w:t>tile</w:t>
            </w:r>
            <w:r w:rsidR="00174EAA" w:rsidRPr="00A52AB8">
              <w:rPr>
                <w:rFonts w:eastAsia="Malgun Gothic"/>
                <w:b/>
                <w:bCs/>
                <w:sz w:val="20"/>
                <w:szCs w:val="20"/>
              </w:rPr>
              <w:t>s</w:t>
            </w:r>
            <w:r w:rsidRPr="00A52AB8">
              <w:rPr>
                <w:rFonts w:eastAsia="Malgun Gothic"/>
                <w:b/>
                <w:bCs/>
                <w:sz w:val="20"/>
                <w:szCs w:val="20"/>
              </w:rPr>
              <w:t>_per_atlas</w:t>
            </w:r>
            <w:bookmarkEnd w:id="6063"/>
            <w:r w:rsidR="007B2AA9" w:rsidRPr="00A52AB8">
              <w:rPr>
                <w:rFonts w:eastAsia="Malgun Gothic"/>
                <w:b/>
                <w:bCs/>
                <w:sz w:val="20"/>
                <w:szCs w:val="20"/>
              </w:rPr>
              <w:t>_minus1</w:t>
            </w:r>
          </w:p>
        </w:tc>
        <w:tc>
          <w:tcPr>
            <w:tcW w:w="1336" w:type="dxa"/>
            <w:gridSpan w:val="2"/>
          </w:tcPr>
          <w:p w14:paraId="5044CE2E" w14:textId="77777777" w:rsidR="000233AC" w:rsidRPr="00A52AB8" w:rsidRDefault="000233AC" w:rsidP="0045670D">
            <w:pPr>
              <w:keepNext/>
              <w:keepLines/>
              <w:spacing w:before="20" w:after="20"/>
              <w:jc w:val="center"/>
              <w:rPr>
                <w:rFonts w:eastAsia="Malgun Gothic"/>
                <w:bCs/>
                <w:sz w:val="20"/>
                <w:szCs w:val="20"/>
              </w:rPr>
            </w:pPr>
            <w:r w:rsidRPr="00A52AB8">
              <w:rPr>
                <w:rFonts w:eastAsia="Malgun Gothic"/>
                <w:bCs/>
                <w:sz w:val="20"/>
                <w:szCs w:val="20"/>
              </w:rPr>
              <w:t>ue(v)</w:t>
            </w:r>
          </w:p>
        </w:tc>
      </w:tr>
      <w:tr w:rsidR="00E140DF" w:rsidRPr="00A52AB8" w14:paraId="5CA441B0" w14:textId="77777777" w:rsidTr="00C86722">
        <w:trPr>
          <w:cantSplit/>
          <w:jc w:val="center"/>
        </w:trPr>
        <w:tc>
          <w:tcPr>
            <w:tcW w:w="8406" w:type="dxa"/>
          </w:tcPr>
          <w:p w14:paraId="6241E68B" w14:textId="77777777" w:rsidR="00E140DF" w:rsidRPr="00A52AB8" w:rsidRDefault="00E140DF" w:rsidP="0045670D">
            <w:pPr>
              <w:keepNext/>
              <w:keepLines/>
              <w:spacing w:before="20" w:after="20"/>
              <w:jc w:val="left"/>
              <w:rPr>
                <w:rFonts w:eastAsia="Malgun Gothic"/>
                <w:sz w:val="20"/>
                <w:szCs w:val="20"/>
              </w:rPr>
            </w:pPr>
            <w:r w:rsidRPr="00A52AB8">
              <w:rPr>
                <w:rFonts w:eastAsia="Malgun Gothic"/>
                <w:b/>
                <w:bCs/>
                <w:sz w:val="20"/>
                <w:szCs w:val="20"/>
              </w:rPr>
              <w:tab/>
            </w:r>
            <w:r w:rsidRPr="00A52AB8">
              <w:rPr>
                <w:rFonts w:eastAsia="Malgun Gothic"/>
                <w:sz w:val="20"/>
                <w:szCs w:val="20"/>
              </w:rPr>
              <w:t>}</w:t>
            </w:r>
          </w:p>
        </w:tc>
        <w:tc>
          <w:tcPr>
            <w:tcW w:w="1336" w:type="dxa"/>
            <w:gridSpan w:val="2"/>
          </w:tcPr>
          <w:p w14:paraId="15363BE3" w14:textId="77777777" w:rsidR="00E140DF" w:rsidRPr="00A52AB8" w:rsidRDefault="00E140DF" w:rsidP="0045670D">
            <w:pPr>
              <w:keepNext/>
              <w:keepLines/>
              <w:spacing w:before="20" w:after="20"/>
              <w:jc w:val="center"/>
              <w:rPr>
                <w:rFonts w:eastAsia="Malgun Gothic"/>
                <w:bCs/>
                <w:sz w:val="20"/>
                <w:szCs w:val="20"/>
              </w:rPr>
            </w:pPr>
          </w:p>
        </w:tc>
      </w:tr>
      <w:tr w:rsidR="009E6B87" w:rsidRPr="00A52AB8" w14:paraId="61DD1EB1" w14:textId="77777777" w:rsidTr="00C86722">
        <w:trPr>
          <w:cantSplit/>
          <w:jc w:val="center"/>
        </w:trPr>
        <w:tc>
          <w:tcPr>
            <w:tcW w:w="8406" w:type="dxa"/>
          </w:tcPr>
          <w:p w14:paraId="2478EF0E" w14:textId="77777777" w:rsidR="009E6B87" w:rsidRPr="00A52AB8" w:rsidRDefault="00260275" w:rsidP="0045670D">
            <w:pPr>
              <w:keepNext/>
              <w:keepLines/>
              <w:spacing w:before="20" w:after="20"/>
              <w:jc w:val="left"/>
              <w:rPr>
                <w:rFonts w:eastAsia="Malgun Gothic"/>
                <w:b/>
                <w:bCs/>
                <w:sz w:val="20"/>
                <w:szCs w:val="20"/>
              </w:rPr>
            </w:pPr>
            <w:r w:rsidRPr="00A52AB8">
              <w:rPr>
                <w:rFonts w:eastAsia="Malgun Gothic"/>
                <w:b/>
                <w:bCs/>
                <w:sz w:val="20"/>
                <w:szCs w:val="20"/>
              </w:rPr>
              <w:tab/>
              <w:t>vui_max_coded_video_resolution</w:t>
            </w:r>
            <w:r w:rsidR="000E2D87" w:rsidRPr="00A52AB8">
              <w:rPr>
                <w:rFonts w:eastAsia="Malgun Gothic"/>
                <w:b/>
                <w:bCs/>
                <w:sz w:val="20"/>
                <w:szCs w:val="20"/>
              </w:rPr>
              <w:t>_present_flag</w:t>
            </w:r>
          </w:p>
        </w:tc>
        <w:tc>
          <w:tcPr>
            <w:tcW w:w="1336" w:type="dxa"/>
            <w:gridSpan w:val="2"/>
          </w:tcPr>
          <w:p w14:paraId="4E77B810" w14:textId="77777777" w:rsidR="009E6B87" w:rsidRPr="00A52AB8" w:rsidRDefault="00260275" w:rsidP="0045670D">
            <w:pPr>
              <w:keepNext/>
              <w:keepLines/>
              <w:spacing w:before="20" w:after="20"/>
              <w:jc w:val="center"/>
              <w:rPr>
                <w:rFonts w:eastAsia="Malgun Gothic"/>
                <w:bCs/>
                <w:sz w:val="20"/>
                <w:szCs w:val="20"/>
              </w:rPr>
            </w:pPr>
            <w:r w:rsidRPr="00A52AB8">
              <w:rPr>
                <w:rFonts w:eastAsia="Malgun Gothic"/>
                <w:bCs/>
                <w:sz w:val="20"/>
                <w:szCs w:val="20"/>
              </w:rPr>
              <w:t>u(1)</w:t>
            </w:r>
          </w:p>
        </w:tc>
      </w:tr>
      <w:tr w:rsidR="009E6B87" w:rsidRPr="00A52AB8" w14:paraId="02A39D00" w14:textId="77777777" w:rsidTr="00C86722">
        <w:trPr>
          <w:cantSplit/>
          <w:jc w:val="center"/>
        </w:trPr>
        <w:tc>
          <w:tcPr>
            <w:tcW w:w="8406" w:type="dxa"/>
          </w:tcPr>
          <w:p w14:paraId="7AEF672E" w14:textId="77777777" w:rsidR="009E6B87" w:rsidRPr="00A52AB8" w:rsidRDefault="00FE38F3" w:rsidP="0045670D">
            <w:pPr>
              <w:keepNext/>
              <w:keepLines/>
              <w:spacing w:before="20" w:after="20"/>
              <w:jc w:val="left"/>
              <w:rPr>
                <w:rFonts w:eastAsia="Malgun Gothic"/>
                <w:sz w:val="20"/>
                <w:szCs w:val="20"/>
              </w:rPr>
            </w:pPr>
            <w:r w:rsidRPr="00A52AB8">
              <w:rPr>
                <w:rFonts w:eastAsia="Malgun Gothic"/>
                <w:b/>
                <w:bCs/>
                <w:sz w:val="20"/>
                <w:szCs w:val="20"/>
              </w:rPr>
              <w:tab/>
            </w:r>
            <w:r w:rsidRPr="00A52AB8">
              <w:rPr>
                <w:rFonts w:eastAsia="Malgun Gothic"/>
                <w:sz w:val="20"/>
                <w:szCs w:val="20"/>
              </w:rPr>
              <w:t>if( vui_max_coded_video_resolution</w:t>
            </w:r>
            <w:r w:rsidR="000E2D87" w:rsidRPr="00A52AB8">
              <w:rPr>
                <w:rFonts w:eastAsia="Malgun Gothic"/>
                <w:sz w:val="20"/>
                <w:szCs w:val="20"/>
              </w:rPr>
              <w:t>_present_flag</w:t>
            </w:r>
            <w:r w:rsidRPr="00A52AB8">
              <w:rPr>
                <w:rFonts w:eastAsia="Malgun Gothic"/>
                <w:sz w:val="20"/>
                <w:szCs w:val="20"/>
              </w:rPr>
              <w:t> )</w:t>
            </w:r>
          </w:p>
        </w:tc>
        <w:tc>
          <w:tcPr>
            <w:tcW w:w="1336" w:type="dxa"/>
            <w:gridSpan w:val="2"/>
          </w:tcPr>
          <w:p w14:paraId="4D564BB7" w14:textId="77777777" w:rsidR="009E6B87" w:rsidRPr="00A52AB8" w:rsidRDefault="009E6B87" w:rsidP="0045670D">
            <w:pPr>
              <w:keepNext/>
              <w:keepLines/>
              <w:spacing w:before="20" w:after="20"/>
              <w:jc w:val="center"/>
              <w:rPr>
                <w:rFonts w:eastAsia="Malgun Gothic"/>
                <w:bCs/>
                <w:sz w:val="20"/>
                <w:szCs w:val="20"/>
              </w:rPr>
            </w:pPr>
          </w:p>
        </w:tc>
      </w:tr>
      <w:tr w:rsidR="00C45AC1" w:rsidRPr="00A52AB8" w14:paraId="704FFD47" w14:textId="77777777" w:rsidTr="00C86722">
        <w:trPr>
          <w:cantSplit/>
          <w:jc w:val="center"/>
        </w:trPr>
        <w:tc>
          <w:tcPr>
            <w:tcW w:w="8406" w:type="dxa"/>
          </w:tcPr>
          <w:p w14:paraId="59CAC398" w14:textId="6494E217" w:rsidR="00C45AC1" w:rsidRPr="00A52AB8" w:rsidRDefault="007A122C" w:rsidP="0045670D">
            <w:pPr>
              <w:keepNext/>
              <w:keepLines/>
              <w:spacing w:before="20" w:after="20"/>
              <w:jc w:val="left"/>
              <w:rPr>
                <w:rFonts w:eastAsia="Malgun Gothic"/>
                <w:b/>
                <w:bCs/>
                <w:sz w:val="20"/>
                <w:szCs w:val="20"/>
              </w:rPr>
            </w:pPr>
            <w:r w:rsidRPr="00A52AB8">
              <w:rPr>
                <w:rFonts w:eastAsia="Malgun Gothic"/>
                <w:b/>
                <w:bCs/>
                <w:sz w:val="20"/>
                <w:szCs w:val="20"/>
              </w:rPr>
              <w:tab/>
            </w:r>
            <w:r w:rsidRPr="00A52AB8">
              <w:rPr>
                <w:rFonts w:eastAsia="Malgun Gothic"/>
                <w:b/>
                <w:bCs/>
                <w:sz w:val="20"/>
                <w:szCs w:val="20"/>
              </w:rPr>
              <w:tab/>
            </w:r>
            <w:r w:rsidRPr="00A52AB8">
              <w:rPr>
                <w:rFonts w:eastAsia="Malgun Gothic"/>
                <w:bCs/>
                <w:sz w:val="20"/>
                <w:szCs w:val="20"/>
              </w:rPr>
              <w:t>max_coded_video_resolution</w:t>
            </w:r>
            <w:r w:rsidR="00395064" w:rsidRPr="00A52AB8">
              <w:rPr>
                <w:rFonts w:eastAsia="Malgun Gothic"/>
                <w:sz w:val="20"/>
                <w:szCs w:val="20"/>
              </w:rPr>
              <w:t>( )</w:t>
            </w:r>
          </w:p>
        </w:tc>
        <w:tc>
          <w:tcPr>
            <w:tcW w:w="1336" w:type="dxa"/>
            <w:gridSpan w:val="2"/>
          </w:tcPr>
          <w:p w14:paraId="52BE79B5" w14:textId="77777777" w:rsidR="00C45AC1" w:rsidRPr="00A52AB8" w:rsidRDefault="00C45AC1" w:rsidP="0045670D">
            <w:pPr>
              <w:keepNext/>
              <w:keepLines/>
              <w:spacing w:before="20" w:after="20"/>
              <w:jc w:val="center"/>
              <w:rPr>
                <w:rFonts w:eastAsia="Malgun Gothic"/>
                <w:bCs/>
                <w:sz w:val="20"/>
                <w:szCs w:val="20"/>
              </w:rPr>
            </w:pPr>
          </w:p>
        </w:tc>
      </w:tr>
      <w:tr w:rsidR="006C3FD5" w:rsidRPr="00A52AB8" w14:paraId="47DECC0D" w14:textId="77777777" w:rsidTr="00C86722">
        <w:trPr>
          <w:gridAfter w:val="1"/>
          <w:wAfter w:w="6" w:type="dxa"/>
          <w:cantSplit/>
          <w:jc w:val="center"/>
        </w:trPr>
        <w:tc>
          <w:tcPr>
            <w:tcW w:w="8406" w:type="dxa"/>
          </w:tcPr>
          <w:p w14:paraId="47B4758B" w14:textId="77777777" w:rsidR="006C3FD5" w:rsidRPr="00A52AB8" w:rsidRDefault="006C3FD5" w:rsidP="0045670D">
            <w:pPr>
              <w:keepNext/>
              <w:keepLines/>
              <w:spacing w:before="20" w:after="20"/>
              <w:jc w:val="left"/>
              <w:rPr>
                <w:sz w:val="20"/>
              </w:rPr>
            </w:pPr>
            <w:r w:rsidRPr="00A52AB8">
              <w:rPr>
                <w:sz w:val="20"/>
              </w:rPr>
              <w:tab/>
            </w:r>
            <w:r w:rsidRPr="00A52AB8">
              <w:rPr>
                <w:b/>
                <w:bCs/>
                <w:sz w:val="20"/>
              </w:rPr>
              <w:t>vui_coordinate_system_parameters_present_flag</w:t>
            </w:r>
          </w:p>
        </w:tc>
        <w:tc>
          <w:tcPr>
            <w:tcW w:w="1330" w:type="dxa"/>
          </w:tcPr>
          <w:p w14:paraId="710E2CEF" w14:textId="77777777" w:rsidR="006C3FD5" w:rsidRPr="00A52AB8" w:rsidRDefault="006C3FD5" w:rsidP="0045670D">
            <w:pPr>
              <w:keepNext/>
              <w:keepLines/>
              <w:spacing w:before="20" w:after="20"/>
              <w:jc w:val="center"/>
              <w:rPr>
                <w:rFonts w:eastAsia="Malgun Gothic"/>
                <w:bCs/>
                <w:sz w:val="20"/>
                <w:szCs w:val="20"/>
              </w:rPr>
            </w:pPr>
            <w:r w:rsidRPr="00A52AB8">
              <w:rPr>
                <w:rFonts w:eastAsia="Malgun Gothic"/>
                <w:bCs/>
                <w:sz w:val="20"/>
                <w:szCs w:val="20"/>
              </w:rPr>
              <w:t>u(1)</w:t>
            </w:r>
          </w:p>
        </w:tc>
      </w:tr>
      <w:tr w:rsidR="006C3FD5" w:rsidRPr="00A52AB8" w14:paraId="502675E2" w14:textId="77777777" w:rsidTr="00C86722">
        <w:trPr>
          <w:gridAfter w:val="1"/>
          <w:wAfter w:w="6" w:type="dxa"/>
          <w:cantSplit/>
          <w:jc w:val="center"/>
        </w:trPr>
        <w:tc>
          <w:tcPr>
            <w:tcW w:w="8406" w:type="dxa"/>
          </w:tcPr>
          <w:p w14:paraId="4946F90C" w14:textId="73195361" w:rsidR="006C3FD5" w:rsidRPr="00A52AB8" w:rsidRDefault="006C3FD5" w:rsidP="0045670D">
            <w:pPr>
              <w:keepNext/>
              <w:keepLines/>
              <w:spacing w:before="20" w:after="20"/>
              <w:jc w:val="left"/>
              <w:rPr>
                <w:rFonts w:eastAsia="Malgun Gothic"/>
                <w:bCs/>
                <w:sz w:val="20"/>
                <w:szCs w:val="20"/>
              </w:rPr>
            </w:pPr>
            <w:r w:rsidRPr="00A52AB8">
              <w:rPr>
                <w:sz w:val="20"/>
              </w:rPr>
              <w:tab/>
              <w:t>if(</w:t>
            </w:r>
            <w:r w:rsidR="00064B64" w:rsidRPr="00A52AB8">
              <w:rPr>
                <w:sz w:val="20"/>
              </w:rPr>
              <w:t> </w:t>
            </w:r>
            <w:r w:rsidRPr="00A52AB8">
              <w:rPr>
                <w:sz w:val="20"/>
              </w:rPr>
              <w:t>vui_coordinate_system_parameters_present_flag</w:t>
            </w:r>
            <w:r w:rsidR="00064B64" w:rsidRPr="00A52AB8">
              <w:rPr>
                <w:sz w:val="20"/>
              </w:rPr>
              <w:t> </w:t>
            </w:r>
            <w:r w:rsidRPr="00A52AB8">
              <w:rPr>
                <w:sz w:val="20"/>
              </w:rPr>
              <w:t>)</w:t>
            </w:r>
          </w:p>
        </w:tc>
        <w:tc>
          <w:tcPr>
            <w:tcW w:w="1330" w:type="dxa"/>
          </w:tcPr>
          <w:p w14:paraId="42CD1188" w14:textId="77777777" w:rsidR="006C3FD5" w:rsidRPr="00A52AB8" w:rsidRDefault="006C3FD5" w:rsidP="0045670D">
            <w:pPr>
              <w:keepNext/>
              <w:keepLines/>
              <w:spacing w:before="20" w:after="20"/>
              <w:jc w:val="center"/>
              <w:rPr>
                <w:rFonts w:eastAsia="Malgun Gothic"/>
                <w:bCs/>
                <w:sz w:val="20"/>
                <w:szCs w:val="20"/>
              </w:rPr>
            </w:pPr>
          </w:p>
        </w:tc>
      </w:tr>
      <w:tr w:rsidR="006C3FD5" w:rsidRPr="00A52AB8" w14:paraId="208C81D0" w14:textId="77777777" w:rsidTr="00C86722">
        <w:trPr>
          <w:gridAfter w:val="1"/>
          <w:wAfter w:w="6" w:type="dxa"/>
          <w:cantSplit/>
          <w:jc w:val="center"/>
        </w:trPr>
        <w:tc>
          <w:tcPr>
            <w:tcW w:w="8406" w:type="dxa"/>
          </w:tcPr>
          <w:p w14:paraId="6E853305" w14:textId="3EB26658" w:rsidR="006C3FD5" w:rsidRPr="00A52AB8" w:rsidRDefault="006C3FD5" w:rsidP="0045670D">
            <w:pPr>
              <w:keepNext/>
              <w:keepLines/>
              <w:spacing w:before="20" w:after="20"/>
              <w:jc w:val="left"/>
              <w:rPr>
                <w:rFonts w:eastAsia="Malgun Gothic"/>
                <w:bCs/>
                <w:sz w:val="20"/>
                <w:szCs w:val="20"/>
              </w:rPr>
            </w:pPr>
            <w:r w:rsidRPr="00A52AB8">
              <w:rPr>
                <w:sz w:val="20"/>
              </w:rPr>
              <w:tab/>
            </w:r>
            <w:r w:rsidRPr="00A52AB8">
              <w:rPr>
                <w:sz w:val="20"/>
              </w:rPr>
              <w:tab/>
              <w:t>c</w:t>
            </w:r>
            <w:r w:rsidRPr="00A52AB8">
              <w:rPr>
                <w:color w:val="000000"/>
                <w:sz w:val="20"/>
                <w:szCs w:val="20"/>
              </w:rPr>
              <w:t>oordinate_system_parameters</w:t>
            </w:r>
            <w:r w:rsidR="00395064" w:rsidRPr="00A52AB8">
              <w:rPr>
                <w:color w:val="000000"/>
                <w:sz w:val="20"/>
                <w:szCs w:val="20"/>
              </w:rPr>
              <w:t>( )</w:t>
            </w:r>
          </w:p>
        </w:tc>
        <w:tc>
          <w:tcPr>
            <w:tcW w:w="1330" w:type="dxa"/>
          </w:tcPr>
          <w:p w14:paraId="07033171" w14:textId="77777777" w:rsidR="006C3FD5" w:rsidRPr="00A52AB8" w:rsidRDefault="006C3FD5" w:rsidP="0045670D">
            <w:pPr>
              <w:keepNext/>
              <w:keepLines/>
              <w:spacing w:before="20" w:after="20"/>
              <w:jc w:val="center"/>
              <w:rPr>
                <w:rFonts w:eastAsia="Malgun Gothic"/>
                <w:bCs/>
                <w:sz w:val="20"/>
                <w:szCs w:val="20"/>
              </w:rPr>
            </w:pPr>
          </w:p>
        </w:tc>
      </w:tr>
      <w:tr w:rsidR="000233AC" w:rsidRPr="00A52AB8" w14:paraId="150E52B7" w14:textId="77777777" w:rsidTr="00C86722">
        <w:trPr>
          <w:cantSplit/>
          <w:jc w:val="center"/>
        </w:trPr>
        <w:tc>
          <w:tcPr>
            <w:tcW w:w="8406" w:type="dxa"/>
          </w:tcPr>
          <w:p w14:paraId="495CC029" w14:textId="77777777" w:rsidR="000233AC" w:rsidRPr="00A52AB8" w:rsidRDefault="00D153D1">
            <w:pPr>
              <w:keepNext/>
              <w:keepLines/>
              <w:spacing w:before="20" w:after="20"/>
              <w:jc w:val="left"/>
              <w:rPr>
                <w:rFonts w:eastAsia="Malgun Gothic"/>
                <w:b/>
                <w:bCs/>
                <w:sz w:val="20"/>
                <w:szCs w:val="20"/>
              </w:rPr>
            </w:pPr>
            <w:r w:rsidRPr="00A52AB8">
              <w:rPr>
                <w:rFonts w:eastAsia="Malgun Gothic"/>
                <w:sz w:val="20"/>
                <w:szCs w:val="20"/>
              </w:rPr>
              <w:tab/>
            </w:r>
            <w:r w:rsidRPr="00A52AB8">
              <w:rPr>
                <w:rFonts w:eastAsia="Malgun Gothic"/>
                <w:b/>
                <w:bCs/>
                <w:sz w:val="20"/>
                <w:szCs w:val="20"/>
              </w:rPr>
              <w:t>vui_unit_in_metres_flag</w:t>
            </w:r>
          </w:p>
        </w:tc>
        <w:tc>
          <w:tcPr>
            <w:tcW w:w="1336" w:type="dxa"/>
            <w:gridSpan w:val="2"/>
          </w:tcPr>
          <w:p w14:paraId="0644B632" w14:textId="0DA11DE7" w:rsidR="000233AC" w:rsidRPr="00A52AB8" w:rsidRDefault="00A754A5">
            <w:pPr>
              <w:keepNext/>
              <w:keepLines/>
              <w:spacing w:before="20" w:after="20"/>
              <w:jc w:val="center"/>
              <w:rPr>
                <w:rFonts w:eastAsia="Malgun Gothic"/>
                <w:bCs/>
                <w:sz w:val="20"/>
                <w:szCs w:val="20"/>
              </w:rPr>
            </w:pPr>
            <w:r w:rsidRPr="00A52AB8">
              <w:rPr>
                <w:rFonts w:eastAsia="Malgun Gothic"/>
                <w:bCs/>
                <w:sz w:val="20"/>
                <w:szCs w:val="20"/>
              </w:rPr>
              <w:t>u</w:t>
            </w:r>
            <w:r w:rsidR="00D153D1" w:rsidRPr="00A52AB8">
              <w:rPr>
                <w:rFonts w:eastAsia="Malgun Gothic"/>
                <w:bCs/>
                <w:sz w:val="20"/>
                <w:szCs w:val="20"/>
              </w:rPr>
              <w:t>(1)</w:t>
            </w:r>
          </w:p>
        </w:tc>
      </w:tr>
      <w:tr w:rsidR="00D940C8" w:rsidRPr="00A52AB8" w14:paraId="4911C21E" w14:textId="77777777" w:rsidTr="00C86722">
        <w:trPr>
          <w:gridAfter w:val="1"/>
          <w:wAfter w:w="6" w:type="dxa"/>
          <w:cantSplit/>
          <w:jc w:val="center"/>
        </w:trPr>
        <w:tc>
          <w:tcPr>
            <w:tcW w:w="8406" w:type="dxa"/>
          </w:tcPr>
          <w:p w14:paraId="6187F2F2" w14:textId="77777777" w:rsidR="00D940C8" w:rsidRPr="00A52AB8" w:rsidRDefault="00D940C8" w:rsidP="0045670D">
            <w:pPr>
              <w:keepNext/>
              <w:keepLines/>
              <w:spacing w:before="20" w:after="20"/>
              <w:jc w:val="left"/>
              <w:rPr>
                <w:rFonts w:eastAsia="Malgun Gothic"/>
                <w:b/>
                <w:bCs/>
                <w:sz w:val="20"/>
                <w:szCs w:val="20"/>
              </w:rPr>
            </w:pPr>
            <w:r w:rsidRPr="00A52AB8">
              <w:rPr>
                <w:rFonts w:eastAsia="Malgun Gothic"/>
                <w:bCs/>
                <w:sz w:val="20"/>
                <w:szCs w:val="20"/>
              </w:rPr>
              <w:tab/>
            </w:r>
            <w:r w:rsidRPr="00A52AB8">
              <w:rPr>
                <w:rFonts w:eastAsia="Malgun Gothic"/>
                <w:b/>
                <w:bCs/>
                <w:sz w:val="20"/>
                <w:szCs w:val="20"/>
              </w:rPr>
              <w:t>vui_</w:t>
            </w:r>
            <w:r w:rsidR="00071FC6" w:rsidRPr="00A52AB8">
              <w:rPr>
                <w:rFonts w:eastAsia="Malgun Gothic"/>
                <w:b/>
                <w:bCs/>
                <w:sz w:val="20"/>
                <w:szCs w:val="20"/>
              </w:rPr>
              <w:t>display</w:t>
            </w:r>
            <w:r w:rsidRPr="00A52AB8">
              <w:rPr>
                <w:rFonts w:eastAsia="Malgun Gothic"/>
                <w:b/>
                <w:bCs/>
                <w:sz w:val="20"/>
                <w:szCs w:val="20"/>
              </w:rPr>
              <w:t>_box_info_present_flag</w:t>
            </w:r>
          </w:p>
        </w:tc>
        <w:tc>
          <w:tcPr>
            <w:tcW w:w="1330" w:type="dxa"/>
          </w:tcPr>
          <w:p w14:paraId="37801E28" w14:textId="77777777" w:rsidR="00D940C8" w:rsidRPr="00A52AB8" w:rsidRDefault="00D940C8" w:rsidP="0045670D">
            <w:pPr>
              <w:keepNext/>
              <w:keepLines/>
              <w:spacing w:before="20" w:after="20"/>
              <w:jc w:val="center"/>
              <w:rPr>
                <w:rFonts w:eastAsia="Malgun Gothic"/>
                <w:bCs/>
                <w:sz w:val="20"/>
                <w:szCs w:val="20"/>
              </w:rPr>
            </w:pPr>
            <w:r w:rsidRPr="00A52AB8">
              <w:rPr>
                <w:rFonts w:eastAsia="Malgun Gothic"/>
                <w:bCs/>
                <w:sz w:val="20"/>
                <w:szCs w:val="20"/>
              </w:rPr>
              <w:t>u(1)</w:t>
            </w:r>
          </w:p>
        </w:tc>
      </w:tr>
      <w:tr w:rsidR="00D940C8" w:rsidRPr="00A52AB8" w14:paraId="2174D599" w14:textId="77777777" w:rsidTr="00C86722">
        <w:trPr>
          <w:gridAfter w:val="1"/>
          <w:wAfter w:w="6" w:type="dxa"/>
          <w:cantSplit/>
          <w:jc w:val="center"/>
        </w:trPr>
        <w:tc>
          <w:tcPr>
            <w:tcW w:w="8406" w:type="dxa"/>
          </w:tcPr>
          <w:p w14:paraId="4950CDB8" w14:textId="5D0D1D93" w:rsidR="00D940C8" w:rsidRPr="00A52AB8" w:rsidRDefault="00D940C8" w:rsidP="0045670D">
            <w:pPr>
              <w:keepNext/>
              <w:keepLines/>
              <w:spacing w:before="20" w:after="20"/>
              <w:jc w:val="left"/>
              <w:rPr>
                <w:rFonts w:eastAsia="Malgun Gothic"/>
                <w:bCs/>
                <w:sz w:val="20"/>
                <w:szCs w:val="20"/>
              </w:rPr>
            </w:pPr>
            <w:r w:rsidRPr="00A52AB8">
              <w:rPr>
                <w:rFonts w:eastAsia="Malgun Gothic"/>
                <w:bCs/>
                <w:sz w:val="20"/>
                <w:szCs w:val="20"/>
              </w:rPr>
              <w:tab/>
              <w:t>if( </w:t>
            </w:r>
            <w:r w:rsidRPr="00A52AB8">
              <w:rPr>
                <w:rFonts w:eastAsia="Malgun Gothic"/>
                <w:b/>
                <w:bCs/>
                <w:sz w:val="20"/>
                <w:szCs w:val="20"/>
              </w:rPr>
              <w:t>vui_</w:t>
            </w:r>
            <w:r w:rsidR="00071FC6" w:rsidRPr="00A52AB8">
              <w:rPr>
                <w:rFonts w:eastAsia="Malgun Gothic"/>
                <w:b/>
                <w:bCs/>
                <w:sz w:val="20"/>
                <w:szCs w:val="20"/>
              </w:rPr>
              <w:t>display</w:t>
            </w:r>
            <w:r w:rsidRPr="00A52AB8">
              <w:rPr>
                <w:rFonts w:eastAsia="Malgun Gothic"/>
                <w:b/>
                <w:bCs/>
                <w:sz w:val="20"/>
                <w:szCs w:val="20"/>
              </w:rPr>
              <w:t>_box_info_present_flag</w:t>
            </w:r>
            <w:r w:rsidR="008F1F82" w:rsidRPr="00A52AB8">
              <w:rPr>
                <w:rFonts w:eastAsia="Malgun Gothic"/>
                <w:bCs/>
                <w:sz w:val="20"/>
                <w:szCs w:val="20"/>
              </w:rPr>
              <w:t>) {</w:t>
            </w:r>
          </w:p>
        </w:tc>
        <w:tc>
          <w:tcPr>
            <w:tcW w:w="1330" w:type="dxa"/>
          </w:tcPr>
          <w:p w14:paraId="3BF0D6FF" w14:textId="77777777" w:rsidR="00D940C8" w:rsidRPr="00A52AB8" w:rsidRDefault="00D940C8" w:rsidP="0045670D">
            <w:pPr>
              <w:keepNext/>
              <w:keepLines/>
              <w:spacing w:before="20" w:after="20"/>
              <w:jc w:val="center"/>
              <w:rPr>
                <w:rFonts w:eastAsia="Malgun Gothic"/>
                <w:bCs/>
                <w:sz w:val="20"/>
                <w:szCs w:val="20"/>
              </w:rPr>
            </w:pPr>
          </w:p>
        </w:tc>
      </w:tr>
      <w:tr w:rsidR="00D940C8" w:rsidRPr="00A52AB8" w14:paraId="5EA4573F" w14:textId="77777777" w:rsidTr="00C86722">
        <w:trPr>
          <w:gridAfter w:val="1"/>
          <w:wAfter w:w="6" w:type="dxa"/>
          <w:cantSplit/>
          <w:jc w:val="center"/>
        </w:trPr>
        <w:tc>
          <w:tcPr>
            <w:tcW w:w="8406" w:type="dxa"/>
          </w:tcPr>
          <w:p w14:paraId="1A3303B5" w14:textId="33998A42" w:rsidR="00D940C8" w:rsidRPr="00A52AB8" w:rsidRDefault="00D940C8" w:rsidP="0045670D">
            <w:pPr>
              <w:keepNext/>
              <w:keepLines/>
              <w:spacing w:before="20" w:after="20"/>
              <w:jc w:val="left"/>
              <w:rPr>
                <w:rFonts w:eastAsia="Malgun Gothic"/>
                <w:sz w:val="20"/>
                <w:szCs w:val="20"/>
              </w:rPr>
            </w:pPr>
            <w:r w:rsidRPr="00A52AB8">
              <w:rPr>
                <w:rFonts w:eastAsia="Malgun Gothic"/>
                <w:b/>
                <w:bCs/>
                <w:sz w:val="20"/>
                <w:szCs w:val="20"/>
              </w:rPr>
              <w:tab/>
            </w:r>
            <w:r w:rsidRPr="00A52AB8">
              <w:rPr>
                <w:rFonts w:eastAsia="Malgun Gothic"/>
                <w:b/>
                <w:bCs/>
                <w:sz w:val="20"/>
                <w:szCs w:val="20"/>
              </w:rPr>
              <w:tab/>
            </w:r>
            <w:r w:rsidRPr="00A52AB8">
              <w:rPr>
                <w:rFonts w:eastAsia="Malgun Gothic"/>
                <w:sz w:val="20"/>
                <w:szCs w:val="20"/>
              </w:rPr>
              <w:t>for( d</w:t>
            </w:r>
            <w:r w:rsidR="00D47707" w:rsidRPr="00A52AB8">
              <w:rPr>
                <w:rFonts w:eastAsia="Malgun Gothic"/>
                <w:sz w:val="20"/>
                <w:szCs w:val="20"/>
              </w:rPr>
              <w:t> = </w:t>
            </w:r>
            <w:r w:rsidRPr="00A52AB8">
              <w:rPr>
                <w:rFonts w:eastAsia="Malgun Gothic"/>
                <w:sz w:val="20"/>
                <w:szCs w:val="20"/>
              </w:rPr>
              <w:t>0; d &lt; 3; d</w:t>
            </w:r>
            <w:r w:rsidR="00006CCF" w:rsidRPr="00A52AB8">
              <w:rPr>
                <w:rFonts w:eastAsia="Malgun Gothic"/>
                <w:sz w:val="20"/>
                <w:szCs w:val="20"/>
              </w:rPr>
              <w:t>++ </w:t>
            </w:r>
            <w:r w:rsidR="008F1F82" w:rsidRPr="00A52AB8">
              <w:rPr>
                <w:rFonts w:eastAsia="Malgun Gothic"/>
                <w:sz w:val="20"/>
                <w:szCs w:val="20"/>
              </w:rPr>
              <w:t>) {</w:t>
            </w:r>
          </w:p>
        </w:tc>
        <w:tc>
          <w:tcPr>
            <w:tcW w:w="1330" w:type="dxa"/>
          </w:tcPr>
          <w:p w14:paraId="32220847" w14:textId="77777777" w:rsidR="00D940C8" w:rsidRPr="00A52AB8" w:rsidRDefault="00D940C8" w:rsidP="0045670D">
            <w:pPr>
              <w:keepNext/>
              <w:keepLines/>
              <w:spacing w:before="20" w:after="20"/>
              <w:jc w:val="center"/>
              <w:rPr>
                <w:rFonts w:eastAsia="Malgun Gothic"/>
                <w:bCs/>
                <w:sz w:val="20"/>
                <w:szCs w:val="20"/>
              </w:rPr>
            </w:pPr>
          </w:p>
        </w:tc>
      </w:tr>
      <w:tr w:rsidR="00D940C8" w:rsidRPr="00A52AB8" w14:paraId="0213A0D6" w14:textId="77777777" w:rsidTr="00C86722">
        <w:trPr>
          <w:gridAfter w:val="1"/>
          <w:wAfter w:w="6" w:type="dxa"/>
          <w:cantSplit/>
          <w:jc w:val="center"/>
        </w:trPr>
        <w:tc>
          <w:tcPr>
            <w:tcW w:w="8406" w:type="dxa"/>
          </w:tcPr>
          <w:p w14:paraId="61B3E25A" w14:textId="246B2370" w:rsidR="00D940C8" w:rsidRPr="00A52AB8" w:rsidRDefault="00D940C8" w:rsidP="0045670D">
            <w:pPr>
              <w:keepNext/>
              <w:keepLines/>
              <w:spacing w:before="20" w:after="20"/>
              <w:jc w:val="left"/>
              <w:rPr>
                <w:rFonts w:eastAsia="Malgun Gothic"/>
                <w:b/>
                <w:bCs/>
                <w:sz w:val="20"/>
                <w:szCs w:val="20"/>
              </w:rPr>
            </w:pPr>
            <w:r w:rsidRPr="00A52AB8">
              <w:rPr>
                <w:rFonts w:eastAsia="Malgun Gothic"/>
                <w:b/>
                <w:bCs/>
                <w:sz w:val="20"/>
                <w:szCs w:val="20"/>
              </w:rPr>
              <w:tab/>
            </w:r>
            <w:r w:rsidRPr="00A52AB8">
              <w:rPr>
                <w:rFonts w:eastAsia="Malgun Gothic"/>
                <w:b/>
                <w:bCs/>
                <w:sz w:val="20"/>
                <w:szCs w:val="20"/>
              </w:rPr>
              <w:tab/>
            </w:r>
            <w:r w:rsidRPr="00A52AB8">
              <w:rPr>
                <w:rFonts w:eastAsia="Malgun Gothic"/>
                <w:b/>
                <w:bCs/>
                <w:sz w:val="20"/>
                <w:szCs w:val="20"/>
              </w:rPr>
              <w:tab/>
              <w:t>vui_display_box_origin</w:t>
            </w:r>
            <w:r w:rsidR="00395064" w:rsidRPr="00A52AB8">
              <w:rPr>
                <w:rFonts w:eastAsia="Malgun Gothic"/>
                <w:sz w:val="20"/>
                <w:szCs w:val="20"/>
              </w:rPr>
              <w:t>[ d ]</w:t>
            </w:r>
          </w:p>
        </w:tc>
        <w:tc>
          <w:tcPr>
            <w:tcW w:w="1330" w:type="dxa"/>
          </w:tcPr>
          <w:p w14:paraId="4CFF8810" w14:textId="77777777" w:rsidR="00D940C8" w:rsidRPr="00A52AB8" w:rsidRDefault="00D940C8" w:rsidP="0045670D">
            <w:pPr>
              <w:keepNext/>
              <w:keepLines/>
              <w:spacing w:before="20" w:after="20"/>
              <w:jc w:val="center"/>
              <w:rPr>
                <w:rFonts w:eastAsia="Malgun Gothic"/>
                <w:bCs/>
                <w:sz w:val="20"/>
                <w:szCs w:val="20"/>
              </w:rPr>
            </w:pPr>
            <w:r w:rsidRPr="00A52AB8">
              <w:rPr>
                <w:rFonts w:eastAsia="Malgun Gothic"/>
                <w:bCs/>
                <w:sz w:val="20"/>
                <w:szCs w:val="20"/>
              </w:rPr>
              <w:t>u(v)</w:t>
            </w:r>
          </w:p>
        </w:tc>
      </w:tr>
      <w:tr w:rsidR="00D940C8" w:rsidRPr="00A52AB8" w14:paraId="120E8E6B" w14:textId="77777777" w:rsidTr="00C86722">
        <w:trPr>
          <w:gridAfter w:val="1"/>
          <w:wAfter w:w="6" w:type="dxa"/>
          <w:cantSplit/>
          <w:jc w:val="center"/>
        </w:trPr>
        <w:tc>
          <w:tcPr>
            <w:tcW w:w="8406" w:type="dxa"/>
          </w:tcPr>
          <w:p w14:paraId="460DEF1C" w14:textId="28930578" w:rsidR="00D940C8" w:rsidRPr="00A52AB8" w:rsidRDefault="00D940C8" w:rsidP="0045670D">
            <w:pPr>
              <w:keepNext/>
              <w:keepLines/>
              <w:spacing w:before="20" w:after="20"/>
              <w:jc w:val="left"/>
              <w:rPr>
                <w:rFonts w:eastAsia="Malgun Gothic"/>
                <w:b/>
                <w:bCs/>
                <w:sz w:val="20"/>
                <w:szCs w:val="20"/>
              </w:rPr>
            </w:pPr>
            <w:r w:rsidRPr="00A52AB8">
              <w:rPr>
                <w:rFonts w:eastAsia="Malgun Gothic"/>
                <w:b/>
                <w:bCs/>
                <w:sz w:val="20"/>
                <w:szCs w:val="20"/>
              </w:rPr>
              <w:tab/>
            </w:r>
            <w:r w:rsidRPr="00A52AB8">
              <w:rPr>
                <w:rFonts w:eastAsia="Malgun Gothic"/>
                <w:b/>
                <w:bCs/>
                <w:sz w:val="20"/>
                <w:szCs w:val="20"/>
              </w:rPr>
              <w:tab/>
            </w:r>
            <w:r w:rsidRPr="00A52AB8">
              <w:rPr>
                <w:rFonts w:eastAsia="Malgun Gothic"/>
                <w:b/>
                <w:bCs/>
                <w:sz w:val="20"/>
                <w:szCs w:val="20"/>
              </w:rPr>
              <w:tab/>
              <w:t>vui_display_box_size</w:t>
            </w:r>
            <w:r w:rsidR="00395064" w:rsidRPr="00A52AB8">
              <w:rPr>
                <w:rFonts w:eastAsia="Malgun Gothic"/>
                <w:sz w:val="20"/>
                <w:szCs w:val="20"/>
              </w:rPr>
              <w:t>[ d ]</w:t>
            </w:r>
          </w:p>
        </w:tc>
        <w:tc>
          <w:tcPr>
            <w:tcW w:w="1330" w:type="dxa"/>
          </w:tcPr>
          <w:p w14:paraId="1F9AD5F3" w14:textId="77777777" w:rsidR="00D940C8" w:rsidRPr="00A52AB8" w:rsidRDefault="00D940C8" w:rsidP="0045670D">
            <w:pPr>
              <w:keepNext/>
              <w:keepLines/>
              <w:spacing w:before="20" w:after="20"/>
              <w:jc w:val="center"/>
              <w:rPr>
                <w:rFonts w:eastAsia="Malgun Gothic"/>
                <w:bCs/>
                <w:sz w:val="20"/>
                <w:szCs w:val="20"/>
              </w:rPr>
            </w:pPr>
            <w:r w:rsidRPr="00A52AB8">
              <w:rPr>
                <w:rFonts w:eastAsia="Malgun Gothic"/>
                <w:bCs/>
                <w:sz w:val="20"/>
                <w:szCs w:val="20"/>
              </w:rPr>
              <w:t>u(v)</w:t>
            </w:r>
          </w:p>
        </w:tc>
      </w:tr>
      <w:tr w:rsidR="005E2C46" w:rsidRPr="00A52AB8" w14:paraId="39DCF7C0" w14:textId="77777777" w:rsidTr="00C86722">
        <w:trPr>
          <w:gridAfter w:val="1"/>
          <w:wAfter w:w="6" w:type="dxa"/>
          <w:cantSplit/>
          <w:jc w:val="center"/>
        </w:trPr>
        <w:tc>
          <w:tcPr>
            <w:tcW w:w="8406" w:type="dxa"/>
          </w:tcPr>
          <w:p w14:paraId="537A48C1" w14:textId="77777777" w:rsidR="005E2C46" w:rsidRPr="00A52AB8" w:rsidRDefault="005E2C46" w:rsidP="0045670D">
            <w:pPr>
              <w:keepNext/>
              <w:keepLines/>
              <w:spacing w:before="20" w:after="20"/>
              <w:jc w:val="left"/>
              <w:rPr>
                <w:sz w:val="20"/>
              </w:rPr>
            </w:pPr>
            <w:r w:rsidRPr="00A52AB8">
              <w:rPr>
                <w:sz w:val="20"/>
              </w:rPr>
              <w:tab/>
            </w:r>
            <w:r w:rsidRPr="00A52AB8">
              <w:rPr>
                <w:sz w:val="20"/>
              </w:rPr>
              <w:tab/>
              <w:t>}</w:t>
            </w:r>
          </w:p>
        </w:tc>
        <w:tc>
          <w:tcPr>
            <w:tcW w:w="1330" w:type="dxa"/>
          </w:tcPr>
          <w:p w14:paraId="1546028F" w14:textId="77777777" w:rsidR="005E2C46" w:rsidRPr="00A52AB8" w:rsidRDefault="005E2C46" w:rsidP="0045670D">
            <w:pPr>
              <w:keepNext/>
              <w:keepLines/>
              <w:spacing w:before="20" w:after="20"/>
              <w:jc w:val="center"/>
              <w:rPr>
                <w:rFonts w:eastAsia="Malgun Gothic"/>
                <w:bCs/>
                <w:sz w:val="20"/>
                <w:szCs w:val="20"/>
              </w:rPr>
            </w:pPr>
          </w:p>
        </w:tc>
      </w:tr>
      <w:tr w:rsidR="005F5D96" w:rsidRPr="00A52AB8" w14:paraId="58701973" w14:textId="77777777" w:rsidTr="00C86722">
        <w:trPr>
          <w:gridAfter w:val="1"/>
          <w:wAfter w:w="6" w:type="dxa"/>
          <w:cantSplit/>
          <w:jc w:val="center"/>
        </w:trPr>
        <w:tc>
          <w:tcPr>
            <w:tcW w:w="8406" w:type="dxa"/>
          </w:tcPr>
          <w:p w14:paraId="6D194562" w14:textId="77777777" w:rsidR="005F5D96" w:rsidRPr="00A52AB8" w:rsidRDefault="005F5D96" w:rsidP="0045670D">
            <w:pPr>
              <w:keepNext/>
              <w:keepLines/>
              <w:spacing w:before="20" w:after="20"/>
              <w:jc w:val="left"/>
              <w:rPr>
                <w:sz w:val="20"/>
              </w:rPr>
            </w:pPr>
            <w:r w:rsidRPr="00A52AB8">
              <w:rPr>
                <w:sz w:val="20"/>
              </w:rPr>
              <w:tab/>
              <w:t>}</w:t>
            </w:r>
          </w:p>
        </w:tc>
        <w:tc>
          <w:tcPr>
            <w:tcW w:w="1330" w:type="dxa"/>
          </w:tcPr>
          <w:p w14:paraId="7D87A920" w14:textId="77777777" w:rsidR="005F5D96" w:rsidRPr="00A52AB8" w:rsidRDefault="005F5D96" w:rsidP="0045670D">
            <w:pPr>
              <w:keepNext/>
              <w:keepLines/>
              <w:spacing w:before="20" w:after="20"/>
              <w:jc w:val="center"/>
              <w:rPr>
                <w:rFonts w:eastAsia="Malgun Gothic"/>
                <w:bCs/>
                <w:sz w:val="20"/>
                <w:szCs w:val="20"/>
              </w:rPr>
            </w:pPr>
          </w:p>
        </w:tc>
      </w:tr>
      <w:tr w:rsidR="00D940C8" w:rsidRPr="00A52AB8" w14:paraId="4E847A5E" w14:textId="77777777" w:rsidTr="00C86722">
        <w:trPr>
          <w:gridAfter w:val="1"/>
          <w:wAfter w:w="6" w:type="dxa"/>
          <w:cantSplit/>
          <w:jc w:val="center"/>
        </w:trPr>
        <w:tc>
          <w:tcPr>
            <w:tcW w:w="8406" w:type="dxa"/>
          </w:tcPr>
          <w:p w14:paraId="5F8D2F1C" w14:textId="77777777" w:rsidR="00D940C8" w:rsidRPr="00A52AB8" w:rsidRDefault="00D940C8" w:rsidP="00792CFF">
            <w:pPr>
              <w:keepNext/>
              <w:keepLines/>
              <w:spacing w:before="20" w:after="20"/>
              <w:jc w:val="left"/>
              <w:rPr>
                <w:sz w:val="20"/>
              </w:rPr>
            </w:pPr>
            <w:r w:rsidRPr="00A52AB8">
              <w:rPr>
                <w:sz w:val="20"/>
              </w:rPr>
              <w:tab/>
            </w:r>
            <w:r w:rsidRPr="00A52AB8">
              <w:rPr>
                <w:b/>
                <w:bCs/>
                <w:sz w:val="20"/>
              </w:rPr>
              <w:t>vui_anchor_point_present_flag</w:t>
            </w:r>
          </w:p>
        </w:tc>
        <w:tc>
          <w:tcPr>
            <w:tcW w:w="1330" w:type="dxa"/>
          </w:tcPr>
          <w:p w14:paraId="46553950" w14:textId="77777777" w:rsidR="00D940C8" w:rsidRPr="00A52AB8" w:rsidRDefault="00D940C8" w:rsidP="0045670D">
            <w:pPr>
              <w:keepNext/>
              <w:keepLines/>
              <w:spacing w:before="20" w:after="20"/>
              <w:jc w:val="center"/>
              <w:rPr>
                <w:rFonts w:eastAsia="Malgun Gothic"/>
                <w:bCs/>
                <w:sz w:val="20"/>
                <w:szCs w:val="20"/>
              </w:rPr>
            </w:pPr>
            <w:r w:rsidRPr="00A52AB8">
              <w:rPr>
                <w:rFonts w:eastAsia="Malgun Gothic"/>
                <w:bCs/>
                <w:sz w:val="20"/>
                <w:szCs w:val="20"/>
              </w:rPr>
              <w:t>u(1)</w:t>
            </w:r>
          </w:p>
        </w:tc>
      </w:tr>
      <w:tr w:rsidR="00D940C8" w:rsidRPr="00A52AB8" w14:paraId="0BB41FAB" w14:textId="77777777" w:rsidTr="00C86722">
        <w:trPr>
          <w:gridAfter w:val="1"/>
          <w:wAfter w:w="6" w:type="dxa"/>
          <w:cantSplit/>
          <w:jc w:val="center"/>
        </w:trPr>
        <w:tc>
          <w:tcPr>
            <w:tcW w:w="8406" w:type="dxa"/>
          </w:tcPr>
          <w:p w14:paraId="4B574CDA" w14:textId="6892619C" w:rsidR="00D940C8" w:rsidRPr="00A52AB8" w:rsidRDefault="00D940C8" w:rsidP="0045670D">
            <w:pPr>
              <w:keepNext/>
              <w:keepLines/>
              <w:spacing w:before="20" w:after="20"/>
              <w:jc w:val="left"/>
              <w:rPr>
                <w:rFonts w:eastAsia="Malgun Gothic"/>
                <w:bCs/>
                <w:sz w:val="20"/>
                <w:szCs w:val="20"/>
              </w:rPr>
            </w:pPr>
            <w:r w:rsidRPr="00A52AB8">
              <w:rPr>
                <w:sz w:val="20"/>
              </w:rPr>
              <w:tab/>
              <w:t>if(</w:t>
            </w:r>
            <w:r w:rsidR="00064B64" w:rsidRPr="00A52AB8">
              <w:rPr>
                <w:sz w:val="20"/>
              </w:rPr>
              <w:t> </w:t>
            </w:r>
            <w:r w:rsidRPr="00A52AB8">
              <w:rPr>
                <w:sz w:val="20"/>
              </w:rPr>
              <w:t>vui_anchor_point_present_flag</w:t>
            </w:r>
            <w:r w:rsidR="00064B64" w:rsidRPr="00A52AB8">
              <w:rPr>
                <w:sz w:val="20"/>
              </w:rPr>
              <w:t> </w:t>
            </w:r>
            <w:r w:rsidRPr="00A52AB8">
              <w:rPr>
                <w:sz w:val="20"/>
              </w:rPr>
              <w:t>)</w:t>
            </w:r>
          </w:p>
        </w:tc>
        <w:tc>
          <w:tcPr>
            <w:tcW w:w="1330" w:type="dxa"/>
          </w:tcPr>
          <w:p w14:paraId="6F2C25D4" w14:textId="77777777" w:rsidR="00D940C8" w:rsidRPr="00A52AB8" w:rsidRDefault="00D940C8" w:rsidP="0045670D">
            <w:pPr>
              <w:keepNext/>
              <w:keepLines/>
              <w:spacing w:before="20" w:after="20"/>
              <w:jc w:val="center"/>
              <w:rPr>
                <w:rFonts w:eastAsia="Malgun Gothic"/>
                <w:bCs/>
                <w:sz w:val="20"/>
                <w:szCs w:val="20"/>
              </w:rPr>
            </w:pPr>
          </w:p>
        </w:tc>
      </w:tr>
      <w:tr w:rsidR="00D940C8" w:rsidRPr="00A52AB8" w14:paraId="27089172" w14:textId="77777777" w:rsidTr="00C86722">
        <w:trPr>
          <w:gridAfter w:val="1"/>
          <w:wAfter w:w="6" w:type="dxa"/>
          <w:cantSplit/>
          <w:jc w:val="center"/>
        </w:trPr>
        <w:tc>
          <w:tcPr>
            <w:tcW w:w="8406" w:type="dxa"/>
          </w:tcPr>
          <w:p w14:paraId="182F9B18" w14:textId="2B45840B" w:rsidR="00D940C8" w:rsidRPr="00A52AB8" w:rsidRDefault="00D940C8" w:rsidP="0045670D">
            <w:pPr>
              <w:keepNext/>
              <w:keepLines/>
              <w:spacing w:before="20" w:after="20"/>
              <w:jc w:val="left"/>
              <w:rPr>
                <w:rFonts w:eastAsia="Malgun Gothic"/>
                <w:bCs/>
                <w:sz w:val="20"/>
                <w:szCs w:val="20"/>
              </w:rPr>
            </w:pPr>
            <w:r w:rsidRPr="00A52AB8">
              <w:rPr>
                <w:sz w:val="20"/>
              </w:rPr>
              <w:tab/>
            </w:r>
            <w:r w:rsidRPr="00A52AB8">
              <w:rPr>
                <w:sz w:val="20"/>
              </w:rPr>
              <w:tab/>
              <w:t>for( d</w:t>
            </w:r>
            <w:r w:rsidR="00D47707" w:rsidRPr="00A52AB8">
              <w:rPr>
                <w:sz w:val="20"/>
              </w:rPr>
              <w:t> = </w:t>
            </w:r>
            <w:r w:rsidRPr="00A52AB8">
              <w:rPr>
                <w:sz w:val="20"/>
              </w:rPr>
              <w:t>0; d &lt; 3; d</w:t>
            </w:r>
            <w:r w:rsidR="00006CCF" w:rsidRPr="00A52AB8">
              <w:rPr>
                <w:sz w:val="20"/>
              </w:rPr>
              <w:t>++ )</w:t>
            </w:r>
          </w:p>
        </w:tc>
        <w:tc>
          <w:tcPr>
            <w:tcW w:w="1330" w:type="dxa"/>
          </w:tcPr>
          <w:p w14:paraId="755DB57E" w14:textId="77777777" w:rsidR="00D940C8" w:rsidRPr="00A52AB8" w:rsidRDefault="00D940C8" w:rsidP="0045670D">
            <w:pPr>
              <w:keepNext/>
              <w:keepLines/>
              <w:spacing w:before="20" w:after="20"/>
              <w:jc w:val="center"/>
              <w:rPr>
                <w:rFonts w:eastAsia="Malgun Gothic"/>
                <w:bCs/>
                <w:sz w:val="20"/>
                <w:szCs w:val="20"/>
              </w:rPr>
            </w:pPr>
          </w:p>
        </w:tc>
      </w:tr>
      <w:tr w:rsidR="00D940C8" w:rsidRPr="00A52AB8" w14:paraId="4F3ED4ED" w14:textId="77777777" w:rsidTr="00C86722">
        <w:trPr>
          <w:gridAfter w:val="1"/>
          <w:wAfter w:w="6" w:type="dxa"/>
          <w:cantSplit/>
          <w:jc w:val="center"/>
        </w:trPr>
        <w:tc>
          <w:tcPr>
            <w:tcW w:w="8406" w:type="dxa"/>
          </w:tcPr>
          <w:p w14:paraId="0EC080D5" w14:textId="24E75D5C" w:rsidR="00D940C8" w:rsidRPr="00A52AB8" w:rsidRDefault="00D940C8" w:rsidP="0045670D">
            <w:pPr>
              <w:keepNext/>
              <w:keepLines/>
              <w:spacing w:before="20" w:after="20"/>
              <w:jc w:val="left"/>
              <w:rPr>
                <w:sz w:val="20"/>
              </w:rPr>
            </w:pPr>
            <w:r w:rsidRPr="00A52AB8">
              <w:rPr>
                <w:sz w:val="20"/>
              </w:rPr>
              <w:tab/>
            </w:r>
            <w:r w:rsidRPr="00A52AB8">
              <w:rPr>
                <w:sz w:val="20"/>
              </w:rPr>
              <w:tab/>
            </w:r>
            <w:r w:rsidRPr="00A52AB8">
              <w:rPr>
                <w:sz w:val="20"/>
              </w:rPr>
              <w:tab/>
            </w:r>
            <w:r w:rsidRPr="00A52AB8">
              <w:rPr>
                <w:b/>
                <w:bCs/>
                <w:sz w:val="20"/>
              </w:rPr>
              <w:t>vui_anchor_point</w:t>
            </w:r>
            <w:r w:rsidR="00395064" w:rsidRPr="00A52AB8">
              <w:rPr>
                <w:sz w:val="20"/>
              </w:rPr>
              <w:t>[ d ]</w:t>
            </w:r>
          </w:p>
        </w:tc>
        <w:tc>
          <w:tcPr>
            <w:tcW w:w="1330" w:type="dxa"/>
          </w:tcPr>
          <w:p w14:paraId="0A1B2A9F" w14:textId="77777777" w:rsidR="00D940C8" w:rsidRPr="00A52AB8" w:rsidRDefault="005A73BF" w:rsidP="0045670D">
            <w:pPr>
              <w:keepNext/>
              <w:keepLines/>
              <w:spacing w:before="20" w:after="20"/>
              <w:jc w:val="center"/>
              <w:rPr>
                <w:rFonts w:eastAsia="Malgun Gothic"/>
                <w:bCs/>
                <w:sz w:val="20"/>
                <w:szCs w:val="20"/>
              </w:rPr>
            </w:pPr>
            <w:r w:rsidRPr="00A52AB8">
              <w:rPr>
                <w:rFonts w:eastAsia="Malgun Gothic"/>
                <w:bCs/>
                <w:sz w:val="20"/>
                <w:szCs w:val="20"/>
              </w:rPr>
              <w:t>u</w:t>
            </w:r>
            <w:r w:rsidR="00D940C8" w:rsidRPr="00A52AB8">
              <w:rPr>
                <w:rFonts w:eastAsia="Malgun Gothic"/>
                <w:bCs/>
                <w:sz w:val="20"/>
                <w:szCs w:val="20"/>
              </w:rPr>
              <w:t>(</w:t>
            </w:r>
            <w:r w:rsidRPr="00A52AB8">
              <w:rPr>
                <w:rFonts w:eastAsia="Malgun Gothic"/>
                <w:bCs/>
                <w:sz w:val="20"/>
                <w:szCs w:val="20"/>
              </w:rPr>
              <w:t>v</w:t>
            </w:r>
            <w:r w:rsidR="00D940C8" w:rsidRPr="00A52AB8">
              <w:rPr>
                <w:rFonts w:eastAsia="Malgun Gothic"/>
                <w:bCs/>
                <w:sz w:val="20"/>
                <w:szCs w:val="20"/>
              </w:rPr>
              <w:t>)</w:t>
            </w:r>
          </w:p>
        </w:tc>
      </w:tr>
      <w:tr w:rsidR="00FD3B5D" w:rsidRPr="00A52AB8" w14:paraId="2B66B16D" w14:textId="77777777" w:rsidTr="00C86722">
        <w:trPr>
          <w:cantSplit/>
          <w:jc w:val="center"/>
        </w:trPr>
        <w:tc>
          <w:tcPr>
            <w:tcW w:w="8406" w:type="dxa"/>
          </w:tcPr>
          <w:p w14:paraId="387B66A8" w14:textId="77777777" w:rsidR="00FD3B5D" w:rsidRPr="00A52AB8" w:rsidRDefault="00FD3B5D">
            <w:pPr>
              <w:keepNext/>
              <w:keepLines/>
              <w:spacing w:before="20" w:after="20"/>
              <w:jc w:val="left"/>
              <w:rPr>
                <w:rFonts w:eastAsia="Malgun Gothic"/>
                <w:b/>
                <w:bCs/>
                <w:sz w:val="20"/>
                <w:szCs w:val="20"/>
              </w:rPr>
            </w:pPr>
            <w:r w:rsidRPr="00A52AB8">
              <w:rPr>
                <w:rFonts w:eastAsia="Malgun Gothic"/>
                <w:sz w:val="20"/>
                <w:szCs w:val="20"/>
              </w:rPr>
              <w:t>}</w:t>
            </w:r>
          </w:p>
        </w:tc>
        <w:tc>
          <w:tcPr>
            <w:tcW w:w="1336" w:type="dxa"/>
            <w:gridSpan w:val="2"/>
          </w:tcPr>
          <w:p w14:paraId="711E1DB6" w14:textId="77777777" w:rsidR="00FD3B5D" w:rsidRPr="00A52AB8" w:rsidRDefault="00FD3B5D">
            <w:pPr>
              <w:keepNext/>
              <w:keepLines/>
              <w:spacing w:before="20" w:after="20"/>
              <w:jc w:val="center"/>
              <w:rPr>
                <w:rFonts w:eastAsia="Malgun Gothic"/>
                <w:bCs/>
                <w:sz w:val="20"/>
                <w:szCs w:val="20"/>
              </w:rPr>
            </w:pPr>
          </w:p>
        </w:tc>
      </w:tr>
    </w:tbl>
    <w:p w14:paraId="1DB16210" w14:textId="1BFB7CB1" w:rsidR="00FD3B5D" w:rsidRPr="00A52AB8" w:rsidRDefault="00CE17FE">
      <w:pPr>
        <w:pStyle w:val="a3"/>
        <w:numPr>
          <w:ilvl w:val="2"/>
          <w:numId w:val="19"/>
        </w:numPr>
      </w:pPr>
      <w:bookmarkStart w:id="6064" w:name="_Ref21510482"/>
      <w:bookmarkStart w:id="6065" w:name="_Ref21511319"/>
      <w:bookmarkStart w:id="6066" w:name="_Toc52181756"/>
      <w:bookmarkEnd w:id="6062"/>
      <w:r w:rsidRPr="00A52AB8">
        <w:t>HRD parameters syntax</w:t>
      </w:r>
      <w:bookmarkEnd w:id="6064"/>
      <w:bookmarkEnd w:id="6065"/>
      <w:bookmarkEnd w:id="6066"/>
    </w:p>
    <w:tbl>
      <w:tblPr>
        <w:tblpPr w:leftFromText="180" w:rightFromText="180" w:vertAnchor="text" w:horzAnchor="margin" w:tblpY="56"/>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411"/>
        <w:gridCol w:w="1331"/>
      </w:tblGrid>
      <w:tr w:rsidR="00FD3B5D" w:rsidRPr="00A52AB8" w14:paraId="5B3DE26A" w14:textId="77777777" w:rsidTr="003B372E">
        <w:trPr>
          <w:cantSplit/>
        </w:trPr>
        <w:tc>
          <w:tcPr>
            <w:tcW w:w="8411" w:type="dxa"/>
          </w:tcPr>
          <w:p w14:paraId="390BD3E2" w14:textId="3DCEC7C1" w:rsidR="00FD3B5D" w:rsidRPr="00A52AB8" w:rsidRDefault="00FD3B5D" w:rsidP="009173FB">
            <w:pPr>
              <w:pStyle w:val="tablesyntax"/>
              <w:spacing w:before="20" w:after="40"/>
              <w:rPr>
                <w:rFonts w:ascii="Cambria" w:hAnsi="Cambria"/>
              </w:rPr>
            </w:pPr>
            <w:r w:rsidRPr="00A52AB8">
              <w:rPr>
                <w:rFonts w:ascii="Cambria" w:hAnsi="Cambria"/>
              </w:rPr>
              <w:t>hrd_parameters( </w:t>
            </w:r>
            <w:r w:rsidR="00552A71" w:rsidRPr="00A52AB8">
              <w:rPr>
                <w:rFonts w:ascii="Cambria" w:hAnsi="Cambria"/>
              </w:rPr>
              <w:t>maxNumSubLayersMinus1</w:t>
            </w:r>
            <w:r w:rsidR="00552A71" w:rsidRPr="00A52AB8">
              <w:rPr>
                <w:rFonts w:ascii="Cambria" w:hAnsi="Cambria"/>
                <w:b/>
                <w:bCs/>
              </w:rPr>
              <w:t> </w:t>
            </w:r>
            <w:r w:rsidR="008F1F82" w:rsidRPr="00A52AB8">
              <w:rPr>
                <w:rFonts w:ascii="Cambria" w:hAnsi="Cambria"/>
              </w:rPr>
              <w:t>) {</w:t>
            </w:r>
          </w:p>
        </w:tc>
        <w:tc>
          <w:tcPr>
            <w:tcW w:w="1331" w:type="dxa"/>
          </w:tcPr>
          <w:p w14:paraId="15CC574D" w14:textId="77777777" w:rsidR="00FD3B5D" w:rsidRPr="00A52AB8" w:rsidRDefault="00FD3B5D" w:rsidP="00F76158">
            <w:pPr>
              <w:pStyle w:val="tableheading"/>
              <w:tabs>
                <w:tab w:val="left" w:pos="403"/>
              </w:tabs>
              <w:overflowPunct/>
              <w:autoSpaceDE/>
              <w:autoSpaceDN/>
              <w:adjustRightInd/>
              <w:spacing w:before="20" w:after="40"/>
              <w:textAlignment w:val="auto"/>
              <w:rPr>
                <w:rFonts w:ascii="Cambria" w:hAnsi="Cambria"/>
                <w:b w:val="0"/>
              </w:rPr>
            </w:pPr>
            <w:r w:rsidRPr="00A52AB8">
              <w:rPr>
                <w:rFonts w:ascii="Cambria" w:hAnsi="Cambria"/>
              </w:rPr>
              <w:t>Descriptor</w:t>
            </w:r>
          </w:p>
        </w:tc>
      </w:tr>
      <w:tr w:rsidR="00FD3B5D" w:rsidRPr="00A52AB8" w14:paraId="64DFD02A" w14:textId="77777777" w:rsidTr="003B372E">
        <w:trPr>
          <w:cantSplit/>
        </w:trPr>
        <w:tc>
          <w:tcPr>
            <w:tcW w:w="8411" w:type="dxa"/>
          </w:tcPr>
          <w:p w14:paraId="015DED68" w14:textId="40D20ACF" w:rsidR="00FD3B5D" w:rsidRPr="00A52AB8" w:rsidRDefault="00552A71" w:rsidP="009173FB">
            <w:pPr>
              <w:pStyle w:val="tablesyntax"/>
              <w:spacing w:before="20" w:after="40"/>
              <w:rPr>
                <w:rFonts w:ascii="Cambria" w:hAnsi="Cambria"/>
                <w:b/>
                <w:bCs/>
              </w:rPr>
            </w:pPr>
            <w:r w:rsidRPr="00A52AB8">
              <w:rPr>
                <w:rFonts w:ascii="Cambria" w:hAnsi="Cambria"/>
                <w:b/>
                <w:bCs/>
              </w:rPr>
              <w:tab/>
            </w:r>
            <w:r w:rsidR="00CE17FE" w:rsidRPr="00A52AB8">
              <w:rPr>
                <w:rFonts w:ascii="Cambria" w:hAnsi="Cambria"/>
                <w:b/>
                <w:bCs/>
              </w:rPr>
              <w:t>hrd_nal_parameters_present_flag</w:t>
            </w:r>
          </w:p>
        </w:tc>
        <w:tc>
          <w:tcPr>
            <w:tcW w:w="1331" w:type="dxa"/>
          </w:tcPr>
          <w:p w14:paraId="0B6961F6" w14:textId="77777777" w:rsidR="00FD3B5D" w:rsidRPr="00A52AB8" w:rsidRDefault="00FD3B5D" w:rsidP="00F76158">
            <w:pPr>
              <w:pStyle w:val="tableheading"/>
              <w:tabs>
                <w:tab w:val="left" w:pos="403"/>
              </w:tabs>
              <w:overflowPunct/>
              <w:autoSpaceDE/>
              <w:autoSpaceDN/>
              <w:adjustRightInd/>
              <w:spacing w:before="20" w:after="40"/>
              <w:jc w:val="center"/>
              <w:textAlignment w:val="auto"/>
              <w:rPr>
                <w:rFonts w:ascii="Cambria" w:hAnsi="Cambria"/>
                <w:b w:val="0"/>
              </w:rPr>
            </w:pPr>
            <w:r w:rsidRPr="00A52AB8">
              <w:rPr>
                <w:rFonts w:ascii="Cambria" w:hAnsi="Cambria"/>
                <w:b w:val="0"/>
              </w:rPr>
              <w:t>u(1)</w:t>
            </w:r>
          </w:p>
        </w:tc>
      </w:tr>
      <w:tr w:rsidR="00FD3B5D" w:rsidRPr="00A52AB8" w14:paraId="75DCA541" w14:textId="77777777" w:rsidTr="003B372E">
        <w:trPr>
          <w:cantSplit/>
        </w:trPr>
        <w:tc>
          <w:tcPr>
            <w:tcW w:w="8411" w:type="dxa"/>
          </w:tcPr>
          <w:p w14:paraId="7941D0A1" w14:textId="54F57CEB" w:rsidR="00FD3B5D" w:rsidRPr="00A52AB8" w:rsidRDefault="00FD3B5D" w:rsidP="009173FB">
            <w:pPr>
              <w:pStyle w:val="tablesyntax"/>
              <w:spacing w:before="20" w:after="40"/>
              <w:rPr>
                <w:rFonts w:ascii="Cambria" w:hAnsi="Cambria"/>
              </w:rPr>
            </w:pPr>
            <w:r w:rsidRPr="00A52AB8">
              <w:rPr>
                <w:rFonts w:ascii="Cambria" w:hAnsi="Cambria"/>
                <w:b/>
                <w:bCs/>
              </w:rPr>
              <w:tab/>
            </w:r>
            <w:r w:rsidR="00CE17FE" w:rsidRPr="00A52AB8">
              <w:rPr>
                <w:rFonts w:ascii="Cambria" w:hAnsi="Cambria"/>
                <w:b/>
                <w:bCs/>
              </w:rPr>
              <w:t>hrd_acl_parameters_present_flag</w:t>
            </w:r>
          </w:p>
        </w:tc>
        <w:tc>
          <w:tcPr>
            <w:tcW w:w="1331" w:type="dxa"/>
          </w:tcPr>
          <w:p w14:paraId="6CEDB243" w14:textId="77777777" w:rsidR="00FD3B5D" w:rsidRPr="00A52AB8" w:rsidRDefault="00FD3B5D" w:rsidP="00F76158">
            <w:pPr>
              <w:pStyle w:val="tableheading"/>
              <w:tabs>
                <w:tab w:val="left" w:pos="403"/>
              </w:tabs>
              <w:overflowPunct/>
              <w:autoSpaceDE/>
              <w:autoSpaceDN/>
              <w:adjustRightInd/>
              <w:spacing w:before="20" w:after="40"/>
              <w:jc w:val="center"/>
              <w:textAlignment w:val="auto"/>
              <w:rPr>
                <w:rFonts w:ascii="Cambria" w:hAnsi="Cambria"/>
                <w:b w:val="0"/>
              </w:rPr>
            </w:pPr>
            <w:r w:rsidRPr="00A52AB8">
              <w:rPr>
                <w:rFonts w:ascii="Cambria" w:hAnsi="Cambria"/>
                <w:b w:val="0"/>
              </w:rPr>
              <w:t>u(1)</w:t>
            </w:r>
          </w:p>
        </w:tc>
      </w:tr>
      <w:tr w:rsidR="00FD3B5D" w:rsidRPr="00A52AB8" w14:paraId="3093BAB7" w14:textId="77777777" w:rsidTr="003B372E">
        <w:trPr>
          <w:cantSplit/>
        </w:trPr>
        <w:tc>
          <w:tcPr>
            <w:tcW w:w="8411" w:type="dxa"/>
          </w:tcPr>
          <w:p w14:paraId="2CBCA4A0" w14:textId="68C6156A" w:rsidR="00FD3B5D" w:rsidRPr="00A52AB8" w:rsidRDefault="00FD3B5D" w:rsidP="009173FB">
            <w:pPr>
              <w:pStyle w:val="tablesyntax"/>
              <w:spacing w:before="20" w:after="40"/>
              <w:rPr>
                <w:rFonts w:ascii="Cambria" w:hAnsi="Cambria"/>
                <w:b/>
                <w:bCs/>
              </w:rPr>
            </w:pPr>
            <w:r w:rsidRPr="00A52AB8">
              <w:rPr>
                <w:rFonts w:ascii="Cambria" w:hAnsi="Cambria"/>
                <w:b/>
                <w:bCs/>
              </w:rPr>
              <w:tab/>
            </w:r>
            <w:r w:rsidRPr="00A52AB8">
              <w:rPr>
                <w:rFonts w:ascii="Cambria" w:hAnsi="Cambria"/>
              </w:rPr>
              <w:t>if(</w:t>
            </w:r>
            <w:r w:rsidR="00552A71" w:rsidRPr="00A52AB8">
              <w:rPr>
                <w:rFonts w:ascii="Cambria" w:hAnsi="Cambria"/>
              </w:rPr>
              <w:t> </w:t>
            </w:r>
            <w:r w:rsidR="00CE17FE" w:rsidRPr="00A52AB8">
              <w:rPr>
                <w:rFonts w:ascii="Cambria" w:hAnsi="Cambria"/>
              </w:rPr>
              <w:t>hrd_nal_parameters_present_flag</w:t>
            </w:r>
            <w:r w:rsidR="00552A71" w:rsidRPr="00A52AB8">
              <w:rPr>
                <w:rFonts w:ascii="Cambria" w:hAnsi="Cambria"/>
              </w:rPr>
              <w:t> </w:t>
            </w:r>
            <w:r w:rsidR="008768E9" w:rsidRPr="00A52AB8">
              <w:rPr>
                <w:rFonts w:ascii="Cambria" w:hAnsi="Cambria"/>
              </w:rPr>
              <w:t>||</w:t>
            </w:r>
            <w:r w:rsidR="00552A71" w:rsidRPr="00A52AB8">
              <w:rPr>
                <w:rFonts w:ascii="Cambria" w:hAnsi="Cambria"/>
              </w:rPr>
              <w:t> </w:t>
            </w:r>
            <w:r w:rsidR="00CE17FE" w:rsidRPr="00A52AB8">
              <w:rPr>
                <w:rFonts w:ascii="Cambria" w:hAnsi="Cambria"/>
              </w:rPr>
              <w:t>hrd_acl_parameters_present_flag</w:t>
            </w:r>
            <w:r w:rsidR="00552A71" w:rsidRPr="00A52AB8">
              <w:rPr>
                <w:rFonts w:ascii="Cambria" w:hAnsi="Cambria"/>
              </w:rPr>
              <w:t> </w:t>
            </w:r>
            <w:r w:rsidR="008F1F82" w:rsidRPr="00A52AB8">
              <w:rPr>
                <w:rFonts w:ascii="Cambria" w:hAnsi="Cambria"/>
              </w:rPr>
              <w:t>) {</w:t>
            </w:r>
          </w:p>
        </w:tc>
        <w:tc>
          <w:tcPr>
            <w:tcW w:w="1331" w:type="dxa"/>
          </w:tcPr>
          <w:p w14:paraId="5C046B42" w14:textId="77777777" w:rsidR="00FD3B5D" w:rsidRPr="00A52AB8" w:rsidRDefault="00FD3B5D" w:rsidP="00F76158">
            <w:pPr>
              <w:pStyle w:val="tableheading"/>
              <w:tabs>
                <w:tab w:val="left" w:pos="403"/>
              </w:tabs>
              <w:overflowPunct/>
              <w:autoSpaceDE/>
              <w:autoSpaceDN/>
              <w:adjustRightInd/>
              <w:spacing w:before="20" w:after="40"/>
              <w:textAlignment w:val="auto"/>
              <w:rPr>
                <w:rFonts w:ascii="Cambria" w:hAnsi="Cambria"/>
                <w:b w:val="0"/>
              </w:rPr>
            </w:pPr>
          </w:p>
        </w:tc>
      </w:tr>
      <w:tr w:rsidR="00FD3B5D" w:rsidRPr="00A52AB8" w14:paraId="4BC69496" w14:textId="77777777" w:rsidTr="003B372E">
        <w:trPr>
          <w:cantSplit/>
        </w:trPr>
        <w:tc>
          <w:tcPr>
            <w:tcW w:w="8411" w:type="dxa"/>
          </w:tcPr>
          <w:p w14:paraId="2E6EBBFF" w14:textId="12307FBE" w:rsidR="00FD3B5D" w:rsidRPr="00A52AB8" w:rsidRDefault="00FD3B5D" w:rsidP="009173FB">
            <w:pPr>
              <w:pStyle w:val="tablesyntax"/>
              <w:spacing w:before="20" w:after="40"/>
              <w:rPr>
                <w:rFonts w:ascii="Cambria" w:hAnsi="Cambria"/>
                <w:bCs/>
              </w:rPr>
            </w:pPr>
            <w:r w:rsidRPr="00A52AB8">
              <w:rPr>
                <w:rFonts w:ascii="Cambria" w:hAnsi="Cambria"/>
              </w:rPr>
              <w:tab/>
            </w:r>
            <w:r w:rsidRPr="00A52AB8">
              <w:rPr>
                <w:rFonts w:ascii="Cambria" w:hAnsi="Cambria"/>
              </w:rPr>
              <w:tab/>
            </w:r>
            <w:r w:rsidR="00F4178F" w:rsidRPr="00A52AB8">
              <w:rPr>
                <w:rFonts w:ascii="Cambria" w:hAnsi="Cambria"/>
                <w:b/>
                <w:bCs/>
              </w:rPr>
              <w:t>hrd_bit_rate_scale</w:t>
            </w:r>
          </w:p>
        </w:tc>
        <w:tc>
          <w:tcPr>
            <w:tcW w:w="1331" w:type="dxa"/>
          </w:tcPr>
          <w:p w14:paraId="692F0458" w14:textId="77777777" w:rsidR="00FD3B5D" w:rsidRPr="00A52AB8" w:rsidRDefault="00FD3B5D" w:rsidP="00F76158">
            <w:pPr>
              <w:pStyle w:val="tableheading"/>
              <w:tabs>
                <w:tab w:val="left" w:pos="403"/>
              </w:tabs>
              <w:overflowPunct/>
              <w:autoSpaceDE/>
              <w:autoSpaceDN/>
              <w:adjustRightInd/>
              <w:spacing w:before="20" w:after="40"/>
              <w:jc w:val="center"/>
              <w:textAlignment w:val="auto"/>
              <w:rPr>
                <w:rFonts w:ascii="Cambria" w:hAnsi="Cambria"/>
                <w:b w:val="0"/>
              </w:rPr>
            </w:pPr>
            <w:r w:rsidRPr="00A52AB8">
              <w:rPr>
                <w:rFonts w:ascii="Cambria" w:hAnsi="Cambria"/>
                <w:b w:val="0"/>
              </w:rPr>
              <w:t>u(4)</w:t>
            </w:r>
          </w:p>
        </w:tc>
      </w:tr>
      <w:tr w:rsidR="00FD3B5D" w:rsidRPr="00A52AB8" w14:paraId="3393A649" w14:textId="77777777" w:rsidTr="003B372E">
        <w:trPr>
          <w:cantSplit/>
        </w:trPr>
        <w:tc>
          <w:tcPr>
            <w:tcW w:w="8411" w:type="dxa"/>
          </w:tcPr>
          <w:p w14:paraId="1C3F188F" w14:textId="69A155A4" w:rsidR="00FD3B5D" w:rsidRPr="00A52AB8" w:rsidRDefault="00FD3B5D" w:rsidP="009173FB">
            <w:pPr>
              <w:pStyle w:val="tablesyntax"/>
              <w:spacing w:before="20" w:after="40"/>
              <w:rPr>
                <w:rFonts w:ascii="Cambria" w:hAnsi="Cambria"/>
              </w:rPr>
            </w:pPr>
            <w:r w:rsidRPr="00A52AB8">
              <w:rPr>
                <w:rFonts w:ascii="Cambria" w:hAnsi="Cambria"/>
              </w:rPr>
              <w:tab/>
            </w:r>
            <w:r w:rsidRPr="00A52AB8">
              <w:rPr>
                <w:rFonts w:ascii="Cambria" w:hAnsi="Cambria"/>
              </w:rPr>
              <w:tab/>
            </w:r>
            <w:r w:rsidR="00F4178F" w:rsidRPr="00A52AB8">
              <w:rPr>
                <w:rFonts w:ascii="Cambria" w:hAnsi="Cambria"/>
                <w:b/>
                <w:bCs/>
              </w:rPr>
              <w:t>hrd_cab_size_scale</w:t>
            </w:r>
          </w:p>
        </w:tc>
        <w:tc>
          <w:tcPr>
            <w:tcW w:w="1331" w:type="dxa"/>
          </w:tcPr>
          <w:p w14:paraId="3B9DE62A" w14:textId="77777777" w:rsidR="00FD3B5D" w:rsidRPr="00A52AB8" w:rsidRDefault="00FD3B5D" w:rsidP="00F76158">
            <w:pPr>
              <w:pStyle w:val="tableheading"/>
              <w:tabs>
                <w:tab w:val="left" w:pos="403"/>
              </w:tabs>
              <w:overflowPunct/>
              <w:autoSpaceDE/>
              <w:autoSpaceDN/>
              <w:adjustRightInd/>
              <w:spacing w:before="20" w:after="40"/>
              <w:jc w:val="center"/>
              <w:textAlignment w:val="auto"/>
              <w:rPr>
                <w:rFonts w:ascii="Cambria" w:hAnsi="Cambria"/>
                <w:b w:val="0"/>
              </w:rPr>
            </w:pPr>
            <w:r w:rsidRPr="00A52AB8">
              <w:rPr>
                <w:rFonts w:ascii="Cambria" w:hAnsi="Cambria"/>
                <w:b w:val="0"/>
              </w:rPr>
              <w:t>u(4)</w:t>
            </w:r>
          </w:p>
        </w:tc>
      </w:tr>
      <w:tr w:rsidR="00FD3B5D" w:rsidRPr="00A52AB8" w14:paraId="55F41061" w14:textId="77777777" w:rsidTr="003B372E">
        <w:trPr>
          <w:cantSplit/>
        </w:trPr>
        <w:tc>
          <w:tcPr>
            <w:tcW w:w="8411" w:type="dxa"/>
          </w:tcPr>
          <w:p w14:paraId="3248354A" w14:textId="6D5F6891" w:rsidR="00CE17FE" w:rsidRPr="00A52AB8" w:rsidRDefault="00FD3B5D" w:rsidP="009173FB">
            <w:pPr>
              <w:pStyle w:val="tablesyntax"/>
              <w:spacing w:before="20" w:after="40"/>
              <w:rPr>
                <w:rFonts w:ascii="Cambria" w:hAnsi="Cambria"/>
                <w:bCs/>
              </w:rPr>
            </w:pPr>
            <w:r w:rsidRPr="00A52AB8">
              <w:rPr>
                <w:rFonts w:ascii="Cambria" w:hAnsi="Cambria"/>
                <w:bCs/>
              </w:rPr>
              <w:tab/>
              <w:t>}</w:t>
            </w:r>
          </w:p>
        </w:tc>
        <w:tc>
          <w:tcPr>
            <w:tcW w:w="1331" w:type="dxa"/>
          </w:tcPr>
          <w:p w14:paraId="17313612" w14:textId="77777777" w:rsidR="00FD3B5D" w:rsidRPr="00A52AB8" w:rsidRDefault="00FD3B5D" w:rsidP="00F76158">
            <w:pPr>
              <w:pStyle w:val="tableheading"/>
              <w:tabs>
                <w:tab w:val="left" w:pos="403"/>
              </w:tabs>
              <w:overflowPunct/>
              <w:autoSpaceDE/>
              <w:autoSpaceDN/>
              <w:adjustRightInd/>
              <w:spacing w:before="20" w:after="40"/>
              <w:textAlignment w:val="auto"/>
              <w:rPr>
                <w:rFonts w:ascii="Cambria" w:hAnsi="Cambria"/>
                <w:b w:val="0"/>
              </w:rPr>
            </w:pPr>
          </w:p>
        </w:tc>
      </w:tr>
      <w:tr w:rsidR="00FD3B5D" w:rsidRPr="00A52AB8" w14:paraId="6E5E861E" w14:textId="77777777" w:rsidTr="003B372E">
        <w:trPr>
          <w:cantSplit/>
        </w:trPr>
        <w:tc>
          <w:tcPr>
            <w:tcW w:w="8411" w:type="dxa"/>
          </w:tcPr>
          <w:p w14:paraId="225401DA" w14:textId="667CE2AE" w:rsidR="00FD3B5D" w:rsidRPr="00A52AB8" w:rsidRDefault="00FD3B5D" w:rsidP="009173FB">
            <w:pPr>
              <w:pStyle w:val="tablesyntax"/>
              <w:rPr>
                <w:rFonts w:ascii="Cambria" w:hAnsi="Cambria"/>
                <w:bCs/>
              </w:rPr>
            </w:pPr>
            <w:r w:rsidRPr="00A52AB8">
              <w:rPr>
                <w:rFonts w:ascii="Cambria" w:hAnsi="Cambria"/>
              </w:rPr>
              <w:tab/>
              <w:t>for(</w:t>
            </w:r>
            <w:r w:rsidR="00552A71" w:rsidRPr="00A52AB8">
              <w:rPr>
                <w:rFonts w:ascii="Cambria" w:hAnsi="Cambria"/>
              </w:rPr>
              <w:t> i</w:t>
            </w:r>
            <w:r w:rsidR="00D47707" w:rsidRPr="00A52AB8">
              <w:rPr>
                <w:rFonts w:ascii="Cambria" w:hAnsi="Cambria"/>
              </w:rPr>
              <w:t> = </w:t>
            </w:r>
            <w:r w:rsidRPr="00A52AB8">
              <w:rPr>
                <w:rFonts w:ascii="Cambria" w:hAnsi="Cambria"/>
              </w:rPr>
              <w:t>0;</w:t>
            </w:r>
            <w:r w:rsidR="00552A71" w:rsidRPr="00A52AB8">
              <w:rPr>
                <w:rFonts w:ascii="Cambria" w:hAnsi="Cambria"/>
              </w:rPr>
              <w:t> </w:t>
            </w:r>
            <w:r w:rsidRPr="00A52AB8">
              <w:rPr>
                <w:rFonts w:ascii="Cambria" w:hAnsi="Cambria"/>
              </w:rPr>
              <w:t>i</w:t>
            </w:r>
            <w:r w:rsidR="00552A71" w:rsidRPr="00A52AB8">
              <w:rPr>
                <w:rFonts w:ascii="Cambria" w:hAnsi="Cambria"/>
              </w:rPr>
              <w:t> </w:t>
            </w:r>
            <w:r w:rsidR="00A234FD" w:rsidRPr="00A52AB8">
              <w:rPr>
                <w:rFonts w:ascii="Cambria" w:hAnsi="Cambria"/>
              </w:rPr>
              <w:t>&lt;=</w:t>
            </w:r>
            <w:r w:rsidR="00D47707" w:rsidRPr="00A52AB8">
              <w:rPr>
                <w:rFonts w:ascii="Cambria" w:hAnsi="Cambria"/>
              </w:rPr>
              <w:t> </w:t>
            </w:r>
            <w:r w:rsidR="00552A71" w:rsidRPr="00A52AB8">
              <w:rPr>
                <w:rFonts w:ascii="Cambria" w:hAnsi="Cambria"/>
              </w:rPr>
              <w:t>m</w:t>
            </w:r>
            <w:r w:rsidRPr="00A52AB8">
              <w:rPr>
                <w:rFonts w:ascii="Cambria" w:hAnsi="Cambria"/>
              </w:rPr>
              <w:t>axNumSubLayersMinus1;</w:t>
            </w:r>
            <w:r w:rsidR="00552A71" w:rsidRPr="00A52AB8">
              <w:rPr>
                <w:rFonts w:ascii="Cambria" w:hAnsi="Cambria"/>
              </w:rPr>
              <w:t> </w:t>
            </w:r>
            <w:r w:rsidRPr="00A52AB8">
              <w:rPr>
                <w:rFonts w:ascii="Cambria" w:hAnsi="Cambria"/>
              </w:rPr>
              <w:t>i</w:t>
            </w:r>
            <w:r w:rsidR="00006CCF" w:rsidRPr="00A52AB8">
              <w:rPr>
                <w:rFonts w:ascii="Cambria" w:hAnsi="Cambria"/>
              </w:rPr>
              <w:t>++ </w:t>
            </w:r>
            <w:r w:rsidR="008F1F82" w:rsidRPr="00A52AB8">
              <w:rPr>
                <w:rFonts w:ascii="Cambria" w:hAnsi="Cambria"/>
              </w:rPr>
              <w:t>) {</w:t>
            </w:r>
          </w:p>
        </w:tc>
        <w:tc>
          <w:tcPr>
            <w:tcW w:w="1331" w:type="dxa"/>
          </w:tcPr>
          <w:p w14:paraId="0BD7BC46" w14:textId="77777777" w:rsidR="00FD3B5D" w:rsidRPr="00A52AB8" w:rsidRDefault="00FD3B5D" w:rsidP="00F76158">
            <w:pPr>
              <w:pStyle w:val="tableheading"/>
              <w:tabs>
                <w:tab w:val="left" w:pos="403"/>
              </w:tabs>
              <w:overflowPunct/>
              <w:autoSpaceDE/>
              <w:autoSpaceDN/>
              <w:adjustRightInd/>
              <w:jc w:val="center"/>
              <w:textAlignment w:val="auto"/>
              <w:rPr>
                <w:rFonts w:ascii="Cambria" w:hAnsi="Cambria"/>
                <w:b w:val="0"/>
              </w:rPr>
            </w:pPr>
          </w:p>
        </w:tc>
      </w:tr>
      <w:tr w:rsidR="00FD3B5D" w:rsidRPr="00A52AB8" w14:paraId="388054F1" w14:textId="77777777" w:rsidTr="003B372E">
        <w:trPr>
          <w:cantSplit/>
        </w:trPr>
        <w:tc>
          <w:tcPr>
            <w:tcW w:w="8411" w:type="dxa"/>
          </w:tcPr>
          <w:p w14:paraId="3B4C320C" w14:textId="77777777" w:rsidR="00FD3B5D" w:rsidRPr="00A52AB8" w:rsidRDefault="00FD3B5D" w:rsidP="009173FB">
            <w:pPr>
              <w:pStyle w:val="tablesyntax"/>
              <w:rPr>
                <w:rFonts w:ascii="Cambria" w:hAnsi="Cambria"/>
              </w:rPr>
            </w:pPr>
            <w:r w:rsidRPr="00A52AB8">
              <w:rPr>
                <w:rFonts w:ascii="Cambria" w:hAnsi="Cambria"/>
                <w:b/>
                <w:bCs/>
              </w:rPr>
              <w:tab/>
            </w:r>
            <w:r w:rsidRPr="00A52AB8">
              <w:rPr>
                <w:rFonts w:ascii="Cambria" w:hAnsi="Cambria"/>
                <w:b/>
                <w:bCs/>
              </w:rPr>
              <w:tab/>
            </w:r>
            <w:r w:rsidR="00D62934" w:rsidRPr="00A52AB8">
              <w:rPr>
                <w:rFonts w:ascii="Cambria" w:hAnsi="Cambria"/>
                <w:b/>
                <w:bCs/>
              </w:rPr>
              <w:t>hrd_fixed_atlas_rate_general_flag</w:t>
            </w:r>
            <w:r w:rsidR="001F4484" w:rsidRPr="00A52AB8">
              <w:rPr>
                <w:rFonts w:ascii="Cambria" w:hAnsi="Cambria"/>
                <w:bCs/>
              </w:rPr>
              <w:t>[ i ]</w:t>
            </w:r>
          </w:p>
        </w:tc>
        <w:tc>
          <w:tcPr>
            <w:tcW w:w="1331" w:type="dxa"/>
          </w:tcPr>
          <w:p w14:paraId="7528C7A7" w14:textId="77777777" w:rsidR="00FD3B5D" w:rsidRPr="00A52AB8" w:rsidRDefault="00FD3B5D" w:rsidP="00F76158">
            <w:pPr>
              <w:pStyle w:val="tableheading"/>
              <w:tabs>
                <w:tab w:val="left" w:pos="403"/>
              </w:tabs>
              <w:overflowPunct/>
              <w:autoSpaceDE/>
              <w:autoSpaceDN/>
              <w:adjustRightInd/>
              <w:jc w:val="center"/>
              <w:textAlignment w:val="auto"/>
              <w:rPr>
                <w:rFonts w:ascii="Cambria" w:hAnsi="Cambria"/>
                <w:b w:val="0"/>
              </w:rPr>
            </w:pPr>
            <w:r w:rsidRPr="00A52AB8">
              <w:rPr>
                <w:rFonts w:ascii="Cambria" w:hAnsi="Cambria"/>
                <w:b w:val="0"/>
              </w:rPr>
              <w:t>u(1)</w:t>
            </w:r>
          </w:p>
        </w:tc>
      </w:tr>
      <w:tr w:rsidR="00FD3B5D" w:rsidRPr="00A52AB8" w14:paraId="26AAE545" w14:textId="77777777" w:rsidTr="003B372E">
        <w:trPr>
          <w:cantSplit/>
        </w:trPr>
        <w:tc>
          <w:tcPr>
            <w:tcW w:w="8411" w:type="dxa"/>
          </w:tcPr>
          <w:p w14:paraId="2E478462" w14:textId="77777777" w:rsidR="00FD3B5D" w:rsidRPr="00A52AB8" w:rsidRDefault="00FD3B5D" w:rsidP="009173FB">
            <w:pPr>
              <w:pStyle w:val="tablesyntax"/>
              <w:rPr>
                <w:rFonts w:ascii="Cambria" w:hAnsi="Cambria"/>
                <w:b/>
                <w:bCs/>
              </w:rPr>
            </w:pPr>
            <w:r w:rsidRPr="00A52AB8">
              <w:rPr>
                <w:rFonts w:ascii="Cambria" w:hAnsi="Cambria"/>
                <w:bCs/>
              </w:rPr>
              <w:tab/>
            </w:r>
            <w:r w:rsidRPr="00A52AB8">
              <w:rPr>
                <w:rFonts w:ascii="Cambria" w:hAnsi="Cambria"/>
                <w:bCs/>
              </w:rPr>
              <w:tab/>
              <w:t>if(</w:t>
            </w:r>
            <w:r w:rsidR="00552A71" w:rsidRPr="00A52AB8">
              <w:rPr>
                <w:rFonts w:ascii="Cambria" w:hAnsi="Cambria"/>
                <w:bCs/>
              </w:rPr>
              <w:t> </w:t>
            </w:r>
            <w:r w:rsidRPr="00A52AB8">
              <w:rPr>
                <w:rFonts w:ascii="Cambria" w:hAnsi="Cambria"/>
                <w:bCs/>
              </w:rPr>
              <w:t>!</w:t>
            </w:r>
            <w:r w:rsidR="00D62934" w:rsidRPr="00A52AB8">
              <w:rPr>
                <w:rFonts w:ascii="Cambria" w:hAnsi="Cambria"/>
                <w:bCs/>
              </w:rPr>
              <w:t>hrd_fixed_atlas_rate_general_flag</w:t>
            </w:r>
            <w:r w:rsidR="001F4484" w:rsidRPr="00A52AB8">
              <w:rPr>
                <w:rFonts w:ascii="Cambria" w:hAnsi="Cambria"/>
                <w:bCs/>
              </w:rPr>
              <w:t>[ i ]</w:t>
            </w:r>
            <w:r w:rsidR="00552A71" w:rsidRPr="00A52AB8">
              <w:rPr>
                <w:rFonts w:ascii="Cambria" w:hAnsi="Cambria"/>
                <w:bCs/>
              </w:rPr>
              <w:t> </w:t>
            </w:r>
            <w:r w:rsidRPr="00A52AB8">
              <w:rPr>
                <w:rFonts w:ascii="Cambria" w:hAnsi="Cambria"/>
                <w:bCs/>
              </w:rPr>
              <w:t>)</w:t>
            </w:r>
          </w:p>
        </w:tc>
        <w:tc>
          <w:tcPr>
            <w:tcW w:w="1331" w:type="dxa"/>
          </w:tcPr>
          <w:p w14:paraId="08AE6D7C" w14:textId="77777777" w:rsidR="00FD3B5D" w:rsidRPr="00A52AB8" w:rsidRDefault="00FD3B5D" w:rsidP="00F76158">
            <w:pPr>
              <w:pStyle w:val="tableheading"/>
              <w:tabs>
                <w:tab w:val="left" w:pos="403"/>
              </w:tabs>
              <w:overflowPunct/>
              <w:autoSpaceDE/>
              <w:autoSpaceDN/>
              <w:adjustRightInd/>
              <w:jc w:val="center"/>
              <w:textAlignment w:val="auto"/>
              <w:rPr>
                <w:rFonts w:ascii="Cambria" w:hAnsi="Cambria"/>
                <w:b w:val="0"/>
              </w:rPr>
            </w:pPr>
          </w:p>
        </w:tc>
      </w:tr>
      <w:tr w:rsidR="00FD3B5D" w:rsidRPr="00A52AB8" w14:paraId="660DFD5B" w14:textId="77777777" w:rsidTr="003B372E">
        <w:trPr>
          <w:cantSplit/>
        </w:trPr>
        <w:tc>
          <w:tcPr>
            <w:tcW w:w="8411" w:type="dxa"/>
          </w:tcPr>
          <w:p w14:paraId="052A5CE4" w14:textId="77777777" w:rsidR="00FD3B5D" w:rsidRPr="00A52AB8" w:rsidRDefault="00FD3B5D" w:rsidP="009173FB">
            <w:pPr>
              <w:pStyle w:val="tablesyntax"/>
              <w:rPr>
                <w:rFonts w:ascii="Cambria" w:hAnsi="Cambria"/>
                <w:bCs/>
              </w:rPr>
            </w:pPr>
            <w:r w:rsidRPr="00A52AB8">
              <w:rPr>
                <w:rFonts w:ascii="Cambria" w:hAnsi="Cambria"/>
                <w:bCs/>
              </w:rPr>
              <w:tab/>
            </w:r>
            <w:r w:rsidRPr="00A52AB8">
              <w:rPr>
                <w:rFonts w:ascii="Cambria" w:hAnsi="Cambria"/>
                <w:bCs/>
              </w:rPr>
              <w:tab/>
            </w:r>
            <w:r w:rsidRPr="00A52AB8">
              <w:rPr>
                <w:rFonts w:ascii="Cambria" w:hAnsi="Cambria"/>
                <w:bCs/>
              </w:rPr>
              <w:tab/>
            </w:r>
            <w:r w:rsidR="00D62934" w:rsidRPr="00A52AB8">
              <w:rPr>
                <w:rFonts w:ascii="Cambria" w:hAnsi="Cambria"/>
                <w:b/>
                <w:bCs/>
              </w:rPr>
              <w:t>hrd_fixed_atlas_rate_within_cas_flag</w:t>
            </w:r>
            <w:r w:rsidR="001F4484" w:rsidRPr="00A52AB8">
              <w:rPr>
                <w:rFonts w:ascii="Cambria" w:hAnsi="Cambria"/>
                <w:bCs/>
              </w:rPr>
              <w:t>[ i ]</w:t>
            </w:r>
          </w:p>
        </w:tc>
        <w:tc>
          <w:tcPr>
            <w:tcW w:w="1331" w:type="dxa"/>
          </w:tcPr>
          <w:p w14:paraId="453A3B9E" w14:textId="77777777" w:rsidR="00FD3B5D" w:rsidRPr="00A52AB8" w:rsidRDefault="00FD3B5D" w:rsidP="00F76158">
            <w:pPr>
              <w:pStyle w:val="tableheading"/>
              <w:tabs>
                <w:tab w:val="left" w:pos="403"/>
              </w:tabs>
              <w:overflowPunct/>
              <w:autoSpaceDE/>
              <w:autoSpaceDN/>
              <w:adjustRightInd/>
              <w:jc w:val="center"/>
              <w:textAlignment w:val="auto"/>
              <w:rPr>
                <w:rFonts w:ascii="Cambria" w:hAnsi="Cambria"/>
                <w:b w:val="0"/>
              </w:rPr>
            </w:pPr>
            <w:r w:rsidRPr="00A52AB8">
              <w:rPr>
                <w:rFonts w:ascii="Cambria" w:hAnsi="Cambria"/>
                <w:b w:val="0"/>
              </w:rPr>
              <w:t>u(1)</w:t>
            </w:r>
          </w:p>
        </w:tc>
      </w:tr>
      <w:tr w:rsidR="00AB46FE" w:rsidRPr="00A52AB8" w14:paraId="729B0A77" w14:textId="77777777" w:rsidTr="003B372E">
        <w:trPr>
          <w:cantSplit/>
        </w:trPr>
        <w:tc>
          <w:tcPr>
            <w:tcW w:w="8411" w:type="dxa"/>
          </w:tcPr>
          <w:p w14:paraId="355F045C" w14:textId="2AA9218E" w:rsidR="00AB46FE" w:rsidRPr="00A52AB8" w:rsidRDefault="00AB46FE" w:rsidP="009173FB">
            <w:pPr>
              <w:pStyle w:val="tablesyntax"/>
              <w:rPr>
                <w:rFonts w:ascii="Cambria" w:hAnsi="Cambria"/>
                <w:bCs/>
              </w:rPr>
            </w:pPr>
            <w:r w:rsidRPr="00A52AB8">
              <w:rPr>
                <w:rFonts w:ascii="Cambria" w:hAnsi="Cambria"/>
                <w:bCs/>
              </w:rPr>
              <w:tab/>
            </w:r>
            <w:r w:rsidRPr="00A52AB8">
              <w:rPr>
                <w:rFonts w:ascii="Cambria" w:hAnsi="Cambria"/>
                <w:bCs/>
              </w:rPr>
              <w:tab/>
              <w:t>else</w:t>
            </w:r>
          </w:p>
        </w:tc>
        <w:tc>
          <w:tcPr>
            <w:tcW w:w="1331" w:type="dxa"/>
          </w:tcPr>
          <w:p w14:paraId="19371E88" w14:textId="77777777" w:rsidR="00AB46FE" w:rsidRPr="00A52AB8" w:rsidRDefault="00AB46FE" w:rsidP="00F76158">
            <w:pPr>
              <w:pStyle w:val="tableheading"/>
              <w:tabs>
                <w:tab w:val="left" w:pos="403"/>
              </w:tabs>
              <w:overflowPunct/>
              <w:autoSpaceDE/>
              <w:autoSpaceDN/>
              <w:adjustRightInd/>
              <w:jc w:val="center"/>
              <w:textAlignment w:val="auto"/>
              <w:rPr>
                <w:rFonts w:ascii="Cambria" w:hAnsi="Cambria"/>
                <w:b w:val="0"/>
              </w:rPr>
            </w:pPr>
          </w:p>
        </w:tc>
      </w:tr>
      <w:tr w:rsidR="00AB46FE" w:rsidRPr="00A52AB8" w14:paraId="59F36924" w14:textId="77777777" w:rsidTr="003B372E">
        <w:trPr>
          <w:cantSplit/>
        </w:trPr>
        <w:tc>
          <w:tcPr>
            <w:tcW w:w="8411" w:type="dxa"/>
          </w:tcPr>
          <w:p w14:paraId="2FD2C0CE" w14:textId="14C3AA45" w:rsidR="00AB46FE" w:rsidRPr="00A52AB8" w:rsidRDefault="00AB46FE" w:rsidP="00AB46FE">
            <w:pPr>
              <w:pStyle w:val="tablesyntax"/>
              <w:rPr>
                <w:rFonts w:ascii="Cambria" w:hAnsi="Cambria"/>
                <w:bCs/>
              </w:rPr>
            </w:pPr>
            <w:r w:rsidRPr="00A52AB8">
              <w:rPr>
                <w:rFonts w:ascii="Cambria" w:hAnsi="Cambria"/>
                <w:bCs/>
              </w:rPr>
              <w:tab/>
            </w:r>
            <w:r w:rsidRPr="00A52AB8">
              <w:rPr>
                <w:rFonts w:ascii="Cambria" w:hAnsi="Cambria"/>
                <w:bCs/>
              </w:rPr>
              <w:tab/>
            </w:r>
            <w:r w:rsidRPr="00A52AB8">
              <w:rPr>
                <w:rFonts w:ascii="Cambria" w:hAnsi="Cambria"/>
                <w:bCs/>
              </w:rPr>
              <w:tab/>
              <w:t>hrd_fixed_atlas_rate_within_cas_flag[ i ] = 1</w:t>
            </w:r>
          </w:p>
        </w:tc>
        <w:tc>
          <w:tcPr>
            <w:tcW w:w="1331" w:type="dxa"/>
          </w:tcPr>
          <w:p w14:paraId="433B6DE3" w14:textId="77777777" w:rsidR="00AB46FE" w:rsidRPr="00A52AB8" w:rsidRDefault="00AB46FE" w:rsidP="00AB46FE">
            <w:pPr>
              <w:pStyle w:val="tableheading"/>
              <w:tabs>
                <w:tab w:val="left" w:pos="403"/>
              </w:tabs>
              <w:overflowPunct/>
              <w:autoSpaceDE/>
              <w:autoSpaceDN/>
              <w:adjustRightInd/>
              <w:jc w:val="center"/>
              <w:textAlignment w:val="auto"/>
              <w:rPr>
                <w:rFonts w:ascii="Cambria" w:hAnsi="Cambria"/>
                <w:b w:val="0"/>
              </w:rPr>
            </w:pPr>
          </w:p>
        </w:tc>
      </w:tr>
      <w:tr w:rsidR="00AB46FE" w:rsidRPr="00A52AB8" w14:paraId="466B760E" w14:textId="77777777" w:rsidTr="003B372E">
        <w:trPr>
          <w:cantSplit/>
        </w:trPr>
        <w:tc>
          <w:tcPr>
            <w:tcW w:w="8411" w:type="dxa"/>
          </w:tcPr>
          <w:p w14:paraId="41BD678C" w14:textId="778FAD10" w:rsidR="00AB46FE" w:rsidRPr="00A52AB8" w:rsidRDefault="00AB46FE" w:rsidP="00AB46FE">
            <w:pPr>
              <w:pStyle w:val="tablesyntax"/>
              <w:rPr>
                <w:rFonts w:ascii="Cambria" w:hAnsi="Cambria"/>
                <w:bCs/>
              </w:rPr>
            </w:pPr>
            <w:r w:rsidRPr="00A52AB8">
              <w:rPr>
                <w:rFonts w:ascii="Cambria" w:hAnsi="Cambria"/>
                <w:bCs/>
              </w:rPr>
              <w:tab/>
            </w:r>
            <w:r w:rsidRPr="00A52AB8">
              <w:rPr>
                <w:rFonts w:ascii="Cambria" w:hAnsi="Cambria"/>
                <w:bCs/>
              </w:rPr>
              <w:tab/>
              <w:t>if( hrd_fixed_atlas_rate_within_cas_flag[ i ] ) {</w:t>
            </w:r>
          </w:p>
        </w:tc>
        <w:tc>
          <w:tcPr>
            <w:tcW w:w="1331" w:type="dxa"/>
          </w:tcPr>
          <w:p w14:paraId="1A3A3762" w14:textId="77777777" w:rsidR="00AB46FE" w:rsidRPr="00A52AB8" w:rsidRDefault="00AB46FE" w:rsidP="00AB46FE">
            <w:pPr>
              <w:pStyle w:val="tableheading"/>
              <w:tabs>
                <w:tab w:val="left" w:pos="403"/>
              </w:tabs>
              <w:overflowPunct/>
              <w:autoSpaceDE/>
              <w:autoSpaceDN/>
              <w:adjustRightInd/>
              <w:jc w:val="center"/>
              <w:textAlignment w:val="auto"/>
              <w:rPr>
                <w:rFonts w:ascii="Cambria" w:hAnsi="Cambria"/>
                <w:b w:val="0"/>
              </w:rPr>
            </w:pPr>
          </w:p>
        </w:tc>
      </w:tr>
      <w:tr w:rsidR="00AB46FE" w:rsidRPr="00A52AB8" w14:paraId="31A5F2E1" w14:textId="77777777" w:rsidTr="003B372E">
        <w:trPr>
          <w:cantSplit/>
        </w:trPr>
        <w:tc>
          <w:tcPr>
            <w:tcW w:w="8411" w:type="dxa"/>
          </w:tcPr>
          <w:p w14:paraId="239CCD8E" w14:textId="77777777" w:rsidR="00AB46FE" w:rsidRPr="00A52AB8" w:rsidRDefault="00AB46FE" w:rsidP="00AB46FE">
            <w:pPr>
              <w:pStyle w:val="tablesyntax"/>
              <w:rPr>
                <w:rFonts w:ascii="Cambria" w:hAnsi="Cambria"/>
                <w:bCs/>
              </w:rPr>
            </w:pPr>
            <w:r w:rsidRPr="00A52AB8">
              <w:rPr>
                <w:rFonts w:ascii="Cambria" w:hAnsi="Cambria"/>
                <w:bCs/>
              </w:rPr>
              <w:tab/>
            </w:r>
            <w:r w:rsidRPr="00A52AB8">
              <w:rPr>
                <w:rFonts w:ascii="Cambria" w:hAnsi="Cambria"/>
                <w:bCs/>
              </w:rPr>
              <w:tab/>
            </w:r>
            <w:r w:rsidRPr="00A52AB8">
              <w:rPr>
                <w:rFonts w:ascii="Cambria" w:hAnsi="Cambria"/>
                <w:bCs/>
              </w:rPr>
              <w:tab/>
            </w:r>
            <w:r w:rsidRPr="00A52AB8">
              <w:rPr>
                <w:rFonts w:ascii="Cambria" w:hAnsi="Cambria"/>
                <w:b/>
                <w:bCs/>
              </w:rPr>
              <w:t>hrd_elemental_duration_in_tc_minus1</w:t>
            </w:r>
            <w:r w:rsidRPr="00A52AB8">
              <w:rPr>
                <w:rFonts w:ascii="Cambria" w:hAnsi="Cambria"/>
                <w:bCs/>
              </w:rPr>
              <w:t>[ i ]</w:t>
            </w:r>
          </w:p>
        </w:tc>
        <w:tc>
          <w:tcPr>
            <w:tcW w:w="1331" w:type="dxa"/>
          </w:tcPr>
          <w:p w14:paraId="51868B97" w14:textId="77777777" w:rsidR="00AB46FE" w:rsidRPr="00A52AB8" w:rsidRDefault="00AB46FE" w:rsidP="00AB46FE">
            <w:pPr>
              <w:pStyle w:val="tableheading"/>
              <w:tabs>
                <w:tab w:val="left" w:pos="403"/>
              </w:tabs>
              <w:overflowPunct/>
              <w:autoSpaceDE/>
              <w:autoSpaceDN/>
              <w:adjustRightInd/>
              <w:jc w:val="center"/>
              <w:textAlignment w:val="auto"/>
              <w:rPr>
                <w:rFonts w:ascii="Cambria" w:hAnsi="Cambria"/>
                <w:b w:val="0"/>
              </w:rPr>
            </w:pPr>
            <w:r w:rsidRPr="00A52AB8">
              <w:rPr>
                <w:rFonts w:ascii="Cambria" w:hAnsi="Cambria"/>
                <w:b w:val="0"/>
              </w:rPr>
              <w:t>ue(v)</w:t>
            </w:r>
          </w:p>
        </w:tc>
      </w:tr>
      <w:tr w:rsidR="00AB46FE" w:rsidRPr="00A52AB8" w14:paraId="395848DB" w14:textId="77777777" w:rsidTr="003B372E">
        <w:trPr>
          <w:cantSplit/>
        </w:trPr>
        <w:tc>
          <w:tcPr>
            <w:tcW w:w="8411" w:type="dxa"/>
          </w:tcPr>
          <w:p w14:paraId="0C3741C9" w14:textId="5DEF2D55" w:rsidR="00AB46FE" w:rsidRPr="00A52AB8" w:rsidRDefault="00AB46FE" w:rsidP="00AB46FE">
            <w:pPr>
              <w:pStyle w:val="tablesyntax"/>
              <w:rPr>
                <w:rFonts w:ascii="Cambria" w:hAnsi="Cambria"/>
              </w:rPr>
            </w:pPr>
            <w:r w:rsidRPr="00A52AB8">
              <w:rPr>
                <w:rFonts w:ascii="Cambria" w:hAnsi="Cambria"/>
                <w:bCs/>
              </w:rPr>
              <w:tab/>
            </w:r>
            <w:r w:rsidRPr="00A52AB8">
              <w:rPr>
                <w:rFonts w:ascii="Cambria" w:hAnsi="Cambria"/>
                <w:bCs/>
              </w:rPr>
              <w:tab/>
            </w:r>
            <w:r w:rsidRPr="00A52AB8">
              <w:rPr>
                <w:rFonts w:ascii="Cambria" w:hAnsi="Cambria"/>
                <w:bCs/>
              </w:rPr>
              <w:tab/>
            </w:r>
            <w:r w:rsidRPr="00A52AB8">
              <w:rPr>
                <w:rFonts w:ascii="Cambria" w:hAnsi="Cambria"/>
              </w:rPr>
              <w:t>hrd_low_delay_flag[ i ] = 0</w:t>
            </w:r>
          </w:p>
        </w:tc>
        <w:tc>
          <w:tcPr>
            <w:tcW w:w="1331" w:type="dxa"/>
          </w:tcPr>
          <w:p w14:paraId="3EE38453" w14:textId="77777777" w:rsidR="00AB46FE" w:rsidRPr="00A52AB8" w:rsidRDefault="00AB46FE" w:rsidP="00AB46FE">
            <w:pPr>
              <w:pStyle w:val="tableheading"/>
              <w:tabs>
                <w:tab w:val="left" w:pos="403"/>
              </w:tabs>
              <w:overflowPunct/>
              <w:autoSpaceDE/>
              <w:autoSpaceDN/>
              <w:adjustRightInd/>
              <w:jc w:val="center"/>
              <w:textAlignment w:val="auto"/>
              <w:rPr>
                <w:rFonts w:ascii="Cambria" w:hAnsi="Cambria"/>
                <w:b w:val="0"/>
              </w:rPr>
            </w:pPr>
          </w:p>
        </w:tc>
      </w:tr>
      <w:tr w:rsidR="00AB46FE" w:rsidRPr="00A52AB8" w14:paraId="7313A99F" w14:textId="77777777" w:rsidTr="003B372E">
        <w:trPr>
          <w:cantSplit/>
        </w:trPr>
        <w:tc>
          <w:tcPr>
            <w:tcW w:w="8411" w:type="dxa"/>
          </w:tcPr>
          <w:p w14:paraId="46635F1B" w14:textId="2E45B973" w:rsidR="00AB46FE" w:rsidRPr="00A52AB8" w:rsidRDefault="00AB46FE" w:rsidP="00AB46FE">
            <w:pPr>
              <w:pStyle w:val="tablesyntax"/>
              <w:rPr>
                <w:rFonts w:ascii="Cambria" w:hAnsi="Cambria"/>
                <w:bCs/>
              </w:rPr>
            </w:pPr>
            <w:r w:rsidRPr="00A52AB8">
              <w:rPr>
                <w:rFonts w:ascii="Cambria" w:hAnsi="Cambria"/>
                <w:bCs/>
              </w:rPr>
              <w:tab/>
            </w:r>
            <w:r w:rsidRPr="00A52AB8">
              <w:rPr>
                <w:rFonts w:ascii="Cambria" w:hAnsi="Cambria"/>
                <w:bCs/>
              </w:rPr>
              <w:tab/>
              <w:t>} else</w:t>
            </w:r>
          </w:p>
        </w:tc>
        <w:tc>
          <w:tcPr>
            <w:tcW w:w="1331" w:type="dxa"/>
          </w:tcPr>
          <w:p w14:paraId="6D445F94" w14:textId="77777777" w:rsidR="00AB46FE" w:rsidRPr="00A52AB8" w:rsidRDefault="00AB46FE" w:rsidP="00AB46FE">
            <w:pPr>
              <w:pStyle w:val="tableheading"/>
              <w:tabs>
                <w:tab w:val="left" w:pos="403"/>
              </w:tabs>
              <w:overflowPunct/>
              <w:autoSpaceDE/>
              <w:autoSpaceDN/>
              <w:adjustRightInd/>
              <w:jc w:val="center"/>
              <w:textAlignment w:val="auto"/>
              <w:rPr>
                <w:rFonts w:ascii="Cambria" w:hAnsi="Cambria"/>
                <w:b w:val="0"/>
              </w:rPr>
            </w:pPr>
          </w:p>
        </w:tc>
      </w:tr>
      <w:tr w:rsidR="00AB46FE" w:rsidRPr="00A52AB8" w14:paraId="1F4C0656" w14:textId="77777777" w:rsidTr="003B372E">
        <w:trPr>
          <w:cantSplit/>
        </w:trPr>
        <w:tc>
          <w:tcPr>
            <w:tcW w:w="8411" w:type="dxa"/>
          </w:tcPr>
          <w:p w14:paraId="545F3883" w14:textId="77777777" w:rsidR="00AB46FE" w:rsidRPr="00A52AB8" w:rsidRDefault="00AB46FE" w:rsidP="00AB46FE">
            <w:pPr>
              <w:pStyle w:val="tablesyntax"/>
              <w:rPr>
                <w:rFonts w:ascii="Cambria" w:hAnsi="Cambria"/>
                <w:bCs/>
              </w:rPr>
            </w:pPr>
            <w:r w:rsidRPr="00A52AB8">
              <w:rPr>
                <w:rFonts w:ascii="Cambria" w:hAnsi="Cambria"/>
                <w:b/>
                <w:bCs/>
              </w:rPr>
              <w:tab/>
            </w:r>
            <w:r w:rsidRPr="00A52AB8">
              <w:rPr>
                <w:rFonts w:ascii="Cambria" w:hAnsi="Cambria"/>
                <w:b/>
                <w:bCs/>
              </w:rPr>
              <w:tab/>
            </w:r>
            <w:r w:rsidRPr="00A52AB8">
              <w:rPr>
                <w:rFonts w:ascii="Cambria" w:hAnsi="Cambria"/>
                <w:b/>
                <w:bCs/>
              </w:rPr>
              <w:tab/>
              <w:t>hrd_low_delay_flag</w:t>
            </w:r>
            <w:r w:rsidRPr="00A52AB8">
              <w:rPr>
                <w:rFonts w:ascii="Cambria" w:hAnsi="Cambria"/>
                <w:bCs/>
              </w:rPr>
              <w:t>[ i ]</w:t>
            </w:r>
          </w:p>
        </w:tc>
        <w:tc>
          <w:tcPr>
            <w:tcW w:w="1331" w:type="dxa"/>
          </w:tcPr>
          <w:p w14:paraId="6407EE40" w14:textId="77777777" w:rsidR="00AB46FE" w:rsidRPr="00A52AB8" w:rsidRDefault="00AB46FE" w:rsidP="00AB46FE">
            <w:pPr>
              <w:pStyle w:val="tableheading"/>
              <w:tabs>
                <w:tab w:val="left" w:pos="403"/>
              </w:tabs>
              <w:overflowPunct/>
              <w:autoSpaceDE/>
              <w:autoSpaceDN/>
              <w:adjustRightInd/>
              <w:jc w:val="center"/>
              <w:textAlignment w:val="auto"/>
              <w:rPr>
                <w:rFonts w:ascii="Cambria" w:hAnsi="Cambria"/>
                <w:b w:val="0"/>
              </w:rPr>
            </w:pPr>
            <w:r w:rsidRPr="00A52AB8">
              <w:rPr>
                <w:rFonts w:ascii="Cambria" w:hAnsi="Cambria"/>
                <w:b w:val="0"/>
              </w:rPr>
              <w:t>u(1)</w:t>
            </w:r>
          </w:p>
        </w:tc>
      </w:tr>
      <w:tr w:rsidR="00AB46FE" w:rsidRPr="00A52AB8" w14:paraId="2A765B9B" w14:textId="77777777" w:rsidTr="003B372E">
        <w:trPr>
          <w:cantSplit/>
        </w:trPr>
        <w:tc>
          <w:tcPr>
            <w:tcW w:w="8411" w:type="dxa"/>
          </w:tcPr>
          <w:p w14:paraId="429BD919" w14:textId="77777777" w:rsidR="00AB46FE" w:rsidRPr="00A52AB8" w:rsidRDefault="00AB46FE" w:rsidP="00AB46FE">
            <w:pPr>
              <w:pStyle w:val="tablesyntax"/>
              <w:rPr>
                <w:rFonts w:ascii="Cambria" w:hAnsi="Cambria"/>
                <w:bCs/>
              </w:rPr>
            </w:pPr>
            <w:r w:rsidRPr="00A52AB8">
              <w:rPr>
                <w:rFonts w:ascii="Cambria" w:hAnsi="Cambria"/>
                <w:bCs/>
              </w:rPr>
              <w:tab/>
            </w:r>
            <w:r w:rsidRPr="00A52AB8">
              <w:rPr>
                <w:rFonts w:ascii="Cambria" w:hAnsi="Cambria"/>
                <w:bCs/>
              </w:rPr>
              <w:tab/>
              <w:t>if( !hrd_low_delay_flag[ i ] )</w:t>
            </w:r>
          </w:p>
        </w:tc>
        <w:tc>
          <w:tcPr>
            <w:tcW w:w="1331" w:type="dxa"/>
          </w:tcPr>
          <w:p w14:paraId="6FE47556" w14:textId="77777777" w:rsidR="00AB46FE" w:rsidRPr="00A52AB8" w:rsidRDefault="00AB46FE" w:rsidP="00AB46FE">
            <w:pPr>
              <w:pStyle w:val="tableheading"/>
              <w:tabs>
                <w:tab w:val="left" w:pos="403"/>
              </w:tabs>
              <w:overflowPunct/>
              <w:autoSpaceDE/>
              <w:autoSpaceDN/>
              <w:adjustRightInd/>
              <w:jc w:val="center"/>
              <w:textAlignment w:val="auto"/>
              <w:rPr>
                <w:rFonts w:ascii="Cambria" w:hAnsi="Cambria"/>
                <w:b w:val="0"/>
              </w:rPr>
            </w:pPr>
          </w:p>
        </w:tc>
      </w:tr>
      <w:tr w:rsidR="00AB46FE" w:rsidRPr="00A52AB8" w14:paraId="3405B3CB" w14:textId="77777777" w:rsidTr="003B372E">
        <w:trPr>
          <w:cantSplit/>
        </w:trPr>
        <w:tc>
          <w:tcPr>
            <w:tcW w:w="8411" w:type="dxa"/>
          </w:tcPr>
          <w:p w14:paraId="19A50A6D" w14:textId="77777777" w:rsidR="00AB46FE" w:rsidRPr="00A52AB8" w:rsidRDefault="00AB46FE" w:rsidP="00AB46FE">
            <w:pPr>
              <w:pStyle w:val="tablesyntax"/>
              <w:rPr>
                <w:rFonts w:ascii="Cambria" w:hAnsi="Cambria"/>
                <w:b/>
                <w:bCs/>
              </w:rPr>
            </w:pPr>
            <w:r w:rsidRPr="00A52AB8">
              <w:rPr>
                <w:rFonts w:ascii="Cambria" w:hAnsi="Cambria"/>
              </w:rPr>
              <w:tab/>
            </w:r>
            <w:r w:rsidRPr="00A52AB8">
              <w:rPr>
                <w:rFonts w:ascii="Cambria" w:hAnsi="Cambria"/>
              </w:rPr>
              <w:tab/>
            </w:r>
            <w:r w:rsidRPr="00A52AB8">
              <w:rPr>
                <w:rFonts w:ascii="Cambria" w:hAnsi="Cambria"/>
              </w:rPr>
              <w:tab/>
            </w:r>
            <w:r w:rsidRPr="00A52AB8">
              <w:rPr>
                <w:rFonts w:ascii="Cambria" w:hAnsi="Cambria"/>
                <w:b/>
                <w:bCs/>
              </w:rPr>
              <w:t>hrd_cab_cnt_minus1</w:t>
            </w:r>
            <w:r w:rsidRPr="00A52AB8">
              <w:rPr>
                <w:rFonts w:ascii="Cambria" w:hAnsi="Cambria"/>
                <w:bCs/>
              </w:rPr>
              <w:t>[ i ]</w:t>
            </w:r>
          </w:p>
        </w:tc>
        <w:tc>
          <w:tcPr>
            <w:tcW w:w="1331" w:type="dxa"/>
          </w:tcPr>
          <w:p w14:paraId="6B8DA527" w14:textId="77777777" w:rsidR="00AB46FE" w:rsidRPr="00A52AB8" w:rsidRDefault="00AB46FE" w:rsidP="00AB46FE">
            <w:pPr>
              <w:pStyle w:val="tableheading"/>
              <w:tabs>
                <w:tab w:val="left" w:pos="403"/>
              </w:tabs>
              <w:overflowPunct/>
              <w:autoSpaceDE/>
              <w:autoSpaceDN/>
              <w:adjustRightInd/>
              <w:jc w:val="center"/>
              <w:textAlignment w:val="auto"/>
              <w:rPr>
                <w:rFonts w:ascii="Cambria" w:hAnsi="Cambria"/>
                <w:b w:val="0"/>
              </w:rPr>
            </w:pPr>
            <w:r w:rsidRPr="00A52AB8">
              <w:rPr>
                <w:rFonts w:ascii="Cambria" w:hAnsi="Cambria"/>
                <w:b w:val="0"/>
              </w:rPr>
              <w:t>ue(v)</w:t>
            </w:r>
          </w:p>
        </w:tc>
      </w:tr>
      <w:tr w:rsidR="00AA169F" w:rsidRPr="00A52AB8" w14:paraId="24DC1AB3" w14:textId="77777777" w:rsidTr="003B372E">
        <w:trPr>
          <w:cantSplit/>
        </w:trPr>
        <w:tc>
          <w:tcPr>
            <w:tcW w:w="8411" w:type="dxa"/>
          </w:tcPr>
          <w:p w14:paraId="4ADAA64E" w14:textId="69F85F2D" w:rsidR="00AA169F" w:rsidRPr="00A52AB8" w:rsidRDefault="00AA169F" w:rsidP="00AB46FE">
            <w:pPr>
              <w:pStyle w:val="tablesyntax"/>
              <w:rPr>
                <w:rFonts w:ascii="Cambria" w:hAnsi="Cambria"/>
              </w:rPr>
            </w:pPr>
            <w:r w:rsidRPr="00A52AB8">
              <w:rPr>
                <w:rFonts w:ascii="Cambria" w:hAnsi="Cambria"/>
              </w:rPr>
              <w:tab/>
            </w:r>
            <w:r w:rsidRPr="00A52AB8">
              <w:rPr>
                <w:rFonts w:ascii="Cambria" w:hAnsi="Cambria"/>
              </w:rPr>
              <w:tab/>
              <w:t>else</w:t>
            </w:r>
          </w:p>
        </w:tc>
        <w:tc>
          <w:tcPr>
            <w:tcW w:w="1331" w:type="dxa"/>
          </w:tcPr>
          <w:p w14:paraId="412ADFE5" w14:textId="77777777" w:rsidR="00AA169F" w:rsidRPr="00A52AB8" w:rsidRDefault="00AA169F" w:rsidP="00AB46FE">
            <w:pPr>
              <w:pStyle w:val="tableheading"/>
              <w:tabs>
                <w:tab w:val="left" w:pos="403"/>
              </w:tabs>
              <w:overflowPunct/>
              <w:autoSpaceDE/>
              <w:autoSpaceDN/>
              <w:adjustRightInd/>
              <w:jc w:val="center"/>
              <w:textAlignment w:val="auto"/>
              <w:rPr>
                <w:rFonts w:ascii="Cambria" w:hAnsi="Cambria"/>
                <w:b w:val="0"/>
              </w:rPr>
            </w:pPr>
          </w:p>
        </w:tc>
      </w:tr>
      <w:tr w:rsidR="00AA169F" w:rsidRPr="00A52AB8" w14:paraId="21F3A37F" w14:textId="77777777" w:rsidTr="003B372E">
        <w:trPr>
          <w:cantSplit/>
        </w:trPr>
        <w:tc>
          <w:tcPr>
            <w:tcW w:w="8411" w:type="dxa"/>
          </w:tcPr>
          <w:p w14:paraId="31C11865" w14:textId="5FCA55FF" w:rsidR="00AA169F" w:rsidRPr="00A52AB8" w:rsidRDefault="00AA169F" w:rsidP="00AB46FE">
            <w:pPr>
              <w:pStyle w:val="tablesyntax"/>
              <w:rPr>
                <w:rFonts w:ascii="Cambria" w:hAnsi="Cambria"/>
              </w:rPr>
            </w:pPr>
            <w:r w:rsidRPr="00A52AB8">
              <w:rPr>
                <w:rFonts w:ascii="Cambria" w:hAnsi="Cambria"/>
                <w:b/>
                <w:bCs/>
              </w:rPr>
              <w:tab/>
            </w:r>
            <w:r w:rsidRPr="00A52AB8">
              <w:rPr>
                <w:rFonts w:ascii="Cambria" w:hAnsi="Cambria"/>
                <w:b/>
                <w:bCs/>
              </w:rPr>
              <w:tab/>
            </w:r>
            <w:r w:rsidRPr="00A52AB8">
              <w:rPr>
                <w:rFonts w:ascii="Cambria" w:hAnsi="Cambria"/>
                <w:b/>
                <w:bCs/>
              </w:rPr>
              <w:tab/>
            </w:r>
            <w:r w:rsidRPr="00A52AB8">
              <w:rPr>
                <w:rFonts w:ascii="Cambria" w:hAnsi="Cambria"/>
              </w:rPr>
              <w:t>hrd_cab_cnt_minus1[ i ] = 0</w:t>
            </w:r>
          </w:p>
        </w:tc>
        <w:tc>
          <w:tcPr>
            <w:tcW w:w="1331" w:type="dxa"/>
          </w:tcPr>
          <w:p w14:paraId="57D1AD56" w14:textId="77777777" w:rsidR="00AA169F" w:rsidRPr="00A52AB8" w:rsidRDefault="00AA169F" w:rsidP="00AB46FE">
            <w:pPr>
              <w:pStyle w:val="tableheading"/>
              <w:tabs>
                <w:tab w:val="left" w:pos="403"/>
              </w:tabs>
              <w:overflowPunct/>
              <w:autoSpaceDE/>
              <w:autoSpaceDN/>
              <w:adjustRightInd/>
              <w:jc w:val="center"/>
              <w:textAlignment w:val="auto"/>
              <w:rPr>
                <w:rFonts w:ascii="Cambria" w:hAnsi="Cambria"/>
                <w:b w:val="0"/>
              </w:rPr>
            </w:pPr>
          </w:p>
        </w:tc>
      </w:tr>
      <w:tr w:rsidR="00AB46FE" w:rsidRPr="00A52AB8" w14:paraId="055591F4" w14:textId="77777777" w:rsidTr="003B372E">
        <w:trPr>
          <w:cantSplit/>
        </w:trPr>
        <w:tc>
          <w:tcPr>
            <w:tcW w:w="8411" w:type="dxa"/>
          </w:tcPr>
          <w:p w14:paraId="59CF3881" w14:textId="77777777" w:rsidR="00AB46FE" w:rsidRPr="00A52AB8" w:rsidRDefault="00AB46FE" w:rsidP="00AB46FE">
            <w:pPr>
              <w:pStyle w:val="tablesyntax"/>
              <w:rPr>
                <w:rFonts w:ascii="Cambria" w:hAnsi="Cambria"/>
              </w:rPr>
            </w:pPr>
            <w:r w:rsidRPr="00A52AB8">
              <w:rPr>
                <w:rFonts w:ascii="Cambria" w:hAnsi="Cambria"/>
              </w:rPr>
              <w:tab/>
            </w:r>
            <w:r w:rsidRPr="00A52AB8">
              <w:rPr>
                <w:rFonts w:ascii="Cambria" w:hAnsi="Cambria"/>
              </w:rPr>
              <w:tab/>
              <w:t>if( hrd_nal_parameters_present_flag )</w:t>
            </w:r>
          </w:p>
        </w:tc>
        <w:tc>
          <w:tcPr>
            <w:tcW w:w="1331" w:type="dxa"/>
          </w:tcPr>
          <w:p w14:paraId="7DB78AD2" w14:textId="77777777" w:rsidR="00AB46FE" w:rsidRPr="00A52AB8" w:rsidRDefault="00AB46FE" w:rsidP="00AB46FE">
            <w:pPr>
              <w:pStyle w:val="tableheading"/>
              <w:tabs>
                <w:tab w:val="left" w:pos="403"/>
              </w:tabs>
              <w:overflowPunct/>
              <w:autoSpaceDE/>
              <w:autoSpaceDN/>
              <w:adjustRightInd/>
              <w:jc w:val="center"/>
              <w:textAlignment w:val="auto"/>
              <w:rPr>
                <w:rFonts w:ascii="Cambria" w:hAnsi="Cambria"/>
                <w:b w:val="0"/>
              </w:rPr>
            </w:pPr>
          </w:p>
        </w:tc>
      </w:tr>
      <w:tr w:rsidR="00AB46FE" w:rsidRPr="00A52AB8" w14:paraId="05B062D7" w14:textId="77777777" w:rsidTr="003B372E">
        <w:trPr>
          <w:cantSplit/>
        </w:trPr>
        <w:tc>
          <w:tcPr>
            <w:tcW w:w="8411" w:type="dxa"/>
          </w:tcPr>
          <w:p w14:paraId="3ECCF444" w14:textId="003B636A" w:rsidR="00AB46FE" w:rsidRPr="00A52AB8" w:rsidRDefault="00AB46FE" w:rsidP="00AB46FE">
            <w:pPr>
              <w:pStyle w:val="tablesyntax"/>
              <w:rPr>
                <w:rFonts w:ascii="Cambria" w:hAnsi="Cambria"/>
              </w:rPr>
            </w:pPr>
            <w:r w:rsidRPr="00A52AB8">
              <w:rPr>
                <w:rFonts w:ascii="Cambria" w:hAnsi="Cambria"/>
              </w:rPr>
              <w:tab/>
            </w:r>
            <w:r w:rsidRPr="00A52AB8">
              <w:rPr>
                <w:rFonts w:ascii="Cambria" w:hAnsi="Cambria"/>
              </w:rPr>
              <w:tab/>
            </w:r>
            <w:r w:rsidRPr="00A52AB8">
              <w:rPr>
                <w:rFonts w:ascii="Cambria" w:hAnsi="Cambria"/>
              </w:rPr>
              <w:tab/>
              <w:t>hrd_sub_layer_parameters( </w:t>
            </w:r>
            <w:r w:rsidR="002502D0" w:rsidRPr="00A52AB8">
              <w:rPr>
                <w:rFonts w:ascii="Cambria" w:hAnsi="Cambria"/>
              </w:rPr>
              <w:t>0,</w:t>
            </w:r>
            <w:r w:rsidR="003B0B7C" w:rsidRPr="00A52AB8">
              <w:rPr>
                <w:rFonts w:ascii="Cambria" w:hAnsi="Cambria"/>
              </w:rPr>
              <w:t> </w:t>
            </w:r>
            <w:r w:rsidRPr="00A52AB8">
              <w:rPr>
                <w:rFonts w:ascii="Cambria" w:hAnsi="Cambria"/>
              </w:rPr>
              <w:t>i )</w:t>
            </w:r>
          </w:p>
        </w:tc>
        <w:tc>
          <w:tcPr>
            <w:tcW w:w="1331" w:type="dxa"/>
          </w:tcPr>
          <w:p w14:paraId="57C39823" w14:textId="77777777" w:rsidR="00AB46FE" w:rsidRPr="00A52AB8" w:rsidRDefault="00AB46FE" w:rsidP="00AB46FE">
            <w:pPr>
              <w:pStyle w:val="tableheading"/>
              <w:tabs>
                <w:tab w:val="left" w:pos="403"/>
              </w:tabs>
              <w:overflowPunct/>
              <w:autoSpaceDE/>
              <w:autoSpaceDN/>
              <w:adjustRightInd/>
              <w:jc w:val="center"/>
              <w:textAlignment w:val="auto"/>
              <w:rPr>
                <w:rFonts w:ascii="Cambria" w:hAnsi="Cambria"/>
                <w:b w:val="0"/>
              </w:rPr>
            </w:pPr>
          </w:p>
        </w:tc>
      </w:tr>
      <w:tr w:rsidR="00AB46FE" w:rsidRPr="00A52AB8" w14:paraId="63542FD9" w14:textId="77777777" w:rsidTr="003B372E">
        <w:trPr>
          <w:cantSplit/>
        </w:trPr>
        <w:tc>
          <w:tcPr>
            <w:tcW w:w="8411" w:type="dxa"/>
          </w:tcPr>
          <w:p w14:paraId="5ACC89B3" w14:textId="77777777" w:rsidR="00AB46FE" w:rsidRPr="00A52AB8" w:rsidRDefault="00AB46FE" w:rsidP="00AB46FE">
            <w:pPr>
              <w:pStyle w:val="tablesyntax"/>
              <w:rPr>
                <w:rFonts w:ascii="Cambria" w:hAnsi="Cambria"/>
              </w:rPr>
            </w:pPr>
            <w:r w:rsidRPr="00A52AB8">
              <w:rPr>
                <w:rFonts w:ascii="Cambria" w:hAnsi="Cambria"/>
              </w:rPr>
              <w:tab/>
            </w:r>
            <w:r w:rsidRPr="00A52AB8">
              <w:rPr>
                <w:rFonts w:ascii="Cambria" w:hAnsi="Cambria"/>
              </w:rPr>
              <w:tab/>
              <w:t>if( hrd_acl_parameters_present_flag )</w:t>
            </w:r>
          </w:p>
        </w:tc>
        <w:tc>
          <w:tcPr>
            <w:tcW w:w="1331" w:type="dxa"/>
          </w:tcPr>
          <w:p w14:paraId="73CB8FAF" w14:textId="77777777" w:rsidR="00AB46FE" w:rsidRPr="00A52AB8" w:rsidRDefault="00AB46FE" w:rsidP="00AB46FE">
            <w:pPr>
              <w:pStyle w:val="tableheading"/>
              <w:tabs>
                <w:tab w:val="left" w:pos="403"/>
              </w:tabs>
              <w:overflowPunct/>
              <w:autoSpaceDE/>
              <w:autoSpaceDN/>
              <w:adjustRightInd/>
              <w:jc w:val="center"/>
              <w:textAlignment w:val="auto"/>
              <w:rPr>
                <w:rFonts w:ascii="Cambria" w:hAnsi="Cambria"/>
                <w:b w:val="0"/>
              </w:rPr>
            </w:pPr>
          </w:p>
        </w:tc>
      </w:tr>
      <w:tr w:rsidR="00AB46FE" w:rsidRPr="00A52AB8" w14:paraId="4D0B6BCD" w14:textId="77777777" w:rsidTr="003B372E">
        <w:trPr>
          <w:cantSplit/>
        </w:trPr>
        <w:tc>
          <w:tcPr>
            <w:tcW w:w="8411" w:type="dxa"/>
          </w:tcPr>
          <w:p w14:paraId="2FBC7AAA" w14:textId="016179CE" w:rsidR="00AB46FE" w:rsidRPr="00A52AB8" w:rsidRDefault="00AB46FE" w:rsidP="00AB46FE">
            <w:pPr>
              <w:pStyle w:val="tablesyntax"/>
              <w:rPr>
                <w:rFonts w:ascii="Cambria" w:hAnsi="Cambria"/>
              </w:rPr>
            </w:pPr>
            <w:r w:rsidRPr="00A52AB8">
              <w:rPr>
                <w:rFonts w:ascii="Cambria" w:hAnsi="Cambria"/>
              </w:rPr>
              <w:tab/>
            </w:r>
            <w:r w:rsidRPr="00A52AB8">
              <w:rPr>
                <w:rFonts w:ascii="Cambria" w:hAnsi="Cambria"/>
              </w:rPr>
              <w:tab/>
            </w:r>
            <w:r w:rsidRPr="00A52AB8">
              <w:rPr>
                <w:rFonts w:ascii="Cambria" w:hAnsi="Cambria"/>
              </w:rPr>
              <w:tab/>
              <w:t>hrd_sub_layer_parameters( </w:t>
            </w:r>
            <w:r w:rsidR="002502D0" w:rsidRPr="00A52AB8">
              <w:rPr>
                <w:rFonts w:ascii="Cambria" w:hAnsi="Cambria"/>
              </w:rPr>
              <w:t>1,</w:t>
            </w:r>
            <w:r w:rsidR="003B0B7C" w:rsidRPr="00A52AB8">
              <w:rPr>
                <w:rFonts w:ascii="Cambria" w:hAnsi="Cambria"/>
              </w:rPr>
              <w:t> </w:t>
            </w:r>
            <w:r w:rsidRPr="00A52AB8">
              <w:rPr>
                <w:rFonts w:ascii="Cambria" w:hAnsi="Cambria"/>
              </w:rPr>
              <w:t>i )</w:t>
            </w:r>
          </w:p>
        </w:tc>
        <w:tc>
          <w:tcPr>
            <w:tcW w:w="1331" w:type="dxa"/>
          </w:tcPr>
          <w:p w14:paraId="6CBA95A2" w14:textId="77777777" w:rsidR="00AB46FE" w:rsidRPr="00A52AB8" w:rsidRDefault="00AB46FE" w:rsidP="00AB46FE">
            <w:pPr>
              <w:pStyle w:val="tableheading"/>
              <w:tabs>
                <w:tab w:val="left" w:pos="403"/>
              </w:tabs>
              <w:overflowPunct/>
              <w:autoSpaceDE/>
              <w:autoSpaceDN/>
              <w:adjustRightInd/>
              <w:jc w:val="center"/>
              <w:textAlignment w:val="auto"/>
              <w:rPr>
                <w:rFonts w:ascii="Cambria" w:hAnsi="Cambria"/>
                <w:b w:val="0"/>
              </w:rPr>
            </w:pPr>
          </w:p>
        </w:tc>
      </w:tr>
      <w:tr w:rsidR="00AB46FE" w:rsidRPr="00A52AB8" w14:paraId="3F6947E7" w14:textId="77777777" w:rsidTr="003B372E">
        <w:trPr>
          <w:cantSplit/>
        </w:trPr>
        <w:tc>
          <w:tcPr>
            <w:tcW w:w="8411" w:type="dxa"/>
          </w:tcPr>
          <w:p w14:paraId="4A336C5E" w14:textId="77777777" w:rsidR="00AB46FE" w:rsidRPr="00A52AB8" w:rsidRDefault="00AB46FE" w:rsidP="00AB46FE">
            <w:pPr>
              <w:pStyle w:val="tablesyntax"/>
              <w:rPr>
                <w:rFonts w:ascii="Cambria" w:hAnsi="Cambria"/>
              </w:rPr>
            </w:pPr>
            <w:r w:rsidRPr="00A52AB8">
              <w:rPr>
                <w:rFonts w:ascii="Cambria" w:hAnsi="Cambria"/>
              </w:rPr>
              <w:tab/>
              <w:t>}</w:t>
            </w:r>
          </w:p>
        </w:tc>
        <w:tc>
          <w:tcPr>
            <w:tcW w:w="1331" w:type="dxa"/>
          </w:tcPr>
          <w:p w14:paraId="31D12445" w14:textId="77777777" w:rsidR="00AB46FE" w:rsidRPr="00A52AB8" w:rsidRDefault="00AB46FE" w:rsidP="00AB46FE">
            <w:pPr>
              <w:pStyle w:val="tableheading"/>
              <w:tabs>
                <w:tab w:val="left" w:pos="403"/>
              </w:tabs>
              <w:overflowPunct/>
              <w:autoSpaceDE/>
              <w:autoSpaceDN/>
              <w:adjustRightInd/>
              <w:jc w:val="center"/>
              <w:textAlignment w:val="auto"/>
              <w:rPr>
                <w:rFonts w:ascii="Cambria" w:hAnsi="Cambria"/>
                <w:b w:val="0"/>
              </w:rPr>
            </w:pPr>
          </w:p>
        </w:tc>
      </w:tr>
      <w:tr w:rsidR="00AB46FE" w:rsidRPr="00A52AB8" w14:paraId="00355C3F" w14:textId="77777777" w:rsidTr="003B372E">
        <w:trPr>
          <w:cantSplit/>
        </w:trPr>
        <w:tc>
          <w:tcPr>
            <w:tcW w:w="8411" w:type="dxa"/>
          </w:tcPr>
          <w:p w14:paraId="44F844C8" w14:textId="77777777" w:rsidR="00AB46FE" w:rsidRPr="00A52AB8" w:rsidRDefault="00AB46FE" w:rsidP="00AB46FE">
            <w:pPr>
              <w:pStyle w:val="tablesyntax"/>
              <w:rPr>
                <w:rFonts w:ascii="Cambria" w:hAnsi="Cambria"/>
              </w:rPr>
            </w:pPr>
            <w:r w:rsidRPr="00A52AB8">
              <w:rPr>
                <w:rFonts w:ascii="Cambria" w:hAnsi="Cambria"/>
              </w:rPr>
              <w:t>}</w:t>
            </w:r>
          </w:p>
        </w:tc>
        <w:tc>
          <w:tcPr>
            <w:tcW w:w="1331" w:type="dxa"/>
          </w:tcPr>
          <w:p w14:paraId="03737AA9" w14:textId="77777777" w:rsidR="00AB46FE" w:rsidRPr="00A52AB8" w:rsidRDefault="00AB46FE" w:rsidP="00AB46FE">
            <w:pPr>
              <w:pStyle w:val="tableheading"/>
              <w:tabs>
                <w:tab w:val="left" w:pos="403"/>
              </w:tabs>
              <w:overflowPunct/>
              <w:autoSpaceDE/>
              <w:autoSpaceDN/>
              <w:adjustRightInd/>
              <w:jc w:val="center"/>
              <w:textAlignment w:val="auto"/>
              <w:rPr>
                <w:rFonts w:ascii="Cambria" w:hAnsi="Cambria"/>
                <w:b w:val="0"/>
              </w:rPr>
            </w:pPr>
          </w:p>
        </w:tc>
      </w:tr>
    </w:tbl>
    <w:p w14:paraId="1A208EDE" w14:textId="77777777" w:rsidR="00FD3B5D" w:rsidRPr="00A52AB8" w:rsidRDefault="00CE17FE">
      <w:pPr>
        <w:pStyle w:val="a3"/>
        <w:numPr>
          <w:ilvl w:val="2"/>
          <w:numId w:val="19"/>
        </w:numPr>
      </w:pPr>
      <w:bookmarkStart w:id="6067" w:name="_Ref21510485"/>
      <w:bookmarkStart w:id="6068" w:name="_Toc52181757"/>
      <w:r w:rsidRPr="00A52AB8">
        <w:t>Sub-layer HRD parameters syntax</w:t>
      </w:r>
      <w:bookmarkEnd w:id="6067"/>
      <w:bookmarkEnd w:id="6068"/>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411"/>
        <w:gridCol w:w="1331"/>
      </w:tblGrid>
      <w:tr w:rsidR="00FD3B5D" w:rsidRPr="00A52AB8" w14:paraId="6270A094" w14:textId="77777777" w:rsidTr="00895494">
        <w:trPr>
          <w:jc w:val="center"/>
        </w:trPr>
        <w:tc>
          <w:tcPr>
            <w:tcW w:w="7921" w:type="dxa"/>
          </w:tcPr>
          <w:p w14:paraId="6E15940B" w14:textId="3C25F091" w:rsidR="00FD3B5D" w:rsidRPr="00A52AB8" w:rsidRDefault="00604353">
            <w:pPr>
              <w:keepNext/>
              <w:keepLines/>
              <w:spacing w:before="20" w:after="20"/>
              <w:jc w:val="left"/>
              <w:rPr>
                <w:rFonts w:eastAsia="Malgun Gothic"/>
                <w:sz w:val="20"/>
                <w:szCs w:val="20"/>
              </w:rPr>
            </w:pPr>
            <w:r w:rsidRPr="00A52AB8">
              <w:rPr>
                <w:rFonts w:eastAsia="Malgun Gothic"/>
                <w:sz w:val="20"/>
                <w:szCs w:val="20"/>
              </w:rPr>
              <w:t>hrd_sub_layer_parameters</w:t>
            </w:r>
            <w:r w:rsidR="00FD3B5D" w:rsidRPr="00A52AB8">
              <w:rPr>
                <w:rFonts w:eastAsia="Malgun Gothic"/>
                <w:sz w:val="20"/>
                <w:szCs w:val="20"/>
              </w:rPr>
              <w:t>(</w:t>
            </w:r>
            <w:r w:rsidR="00F4336E" w:rsidRPr="00A52AB8">
              <w:rPr>
                <w:rFonts w:eastAsia="Malgun Gothic"/>
                <w:sz w:val="20"/>
                <w:szCs w:val="20"/>
              </w:rPr>
              <w:t> </w:t>
            </w:r>
            <w:r w:rsidR="002502D0" w:rsidRPr="00A52AB8">
              <w:rPr>
                <w:rFonts w:eastAsia="Malgun Gothic"/>
                <w:sz w:val="20"/>
                <w:szCs w:val="20"/>
              </w:rPr>
              <w:t xml:space="preserve">hrdMode, </w:t>
            </w:r>
            <w:r w:rsidR="00FD3B5D" w:rsidRPr="00A52AB8">
              <w:rPr>
                <w:rFonts w:eastAsia="Malgun Gothic"/>
                <w:sz w:val="20"/>
                <w:szCs w:val="20"/>
              </w:rPr>
              <w:t>subLayer</w:t>
            </w:r>
            <w:r w:rsidR="007812ED" w:rsidRPr="00A52AB8">
              <w:rPr>
                <w:rFonts w:eastAsia="Malgun Gothic"/>
                <w:sz w:val="20"/>
                <w:szCs w:val="20"/>
              </w:rPr>
              <w:t>ID</w:t>
            </w:r>
            <w:r w:rsidR="00F4336E" w:rsidRPr="00A52AB8">
              <w:rPr>
                <w:rFonts w:eastAsia="Malgun Gothic"/>
                <w:sz w:val="20"/>
                <w:szCs w:val="20"/>
              </w:rPr>
              <w:t> </w:t>
            </w:r>
            <w:r w:rsidR="008F1F82" w:rsidRPr="00A52AB8">
              <w:rPr>
                <w:rFonts w:eastAsia="Malgun Gothic"/>
                <w:sz w:val="20"/>
                <w:szCs w:val="20"/>
              </w:rPr>
              <w:t>) {</w:t>
            </w:r>
          </w:p>
        </w:tc>
        <w:tc>
          <w:tcPr>
            <w:tcW w:w="1253" w:type="dxa"/>
          </w:tcPr>
          <w:p w14:paraId="4CDD5772" w14:textId="77777777" w:rsidR="00FD3B5D" w:rsidRPr="00A52AB8" w:rsidRDefault="00FD3B5D">
            <w:pPr>
              <w:keepNext/>
              <w:keepLines/>
              <w:spacing w:before="20" w:after="20"/>
              <w:jc w:val="center"/>
              <w:rPr>
                <w:rFonts w:eastAsia="Malgun Gothic"/>
                <w:bCs/>
                <w:sz w:val="20"/>
                <w:szCs w:val="20"/>
              </w:rPr>
            </w:pPr>
            <w:r w:rsidRPr="00A52AB8">
              <w:rPr>
                <w:rFonts w:eastAsia="Malgun Gothic"/>
                <w:b/>
                <w:bCs/>
                <w:sz w:val="20"/>
                <w:szCs w:val="20"/>
              </w:rPr>
              <w:t>Descriptor</w:t>
            </w:r>
          </w:p>
        </w:tc>
      </w:tr>
      <w:tr w:rsidR="00FD3B5D" w:rsidRPr="00A52AB8" w14:paraId="04CB134C" w14:textId="77777777" w:rsidTr="00895494">
        <w:trPr>
          <w:jc w:val="center"/>
        </w:trPr>
        <w:tc>
          <w:tcPr>
            <w:tcW w:w="7921" w:type="dxa"/>
          </w:tcPr>
          <w:p w14:paraId="15CD4AC0" w14:textId="72E76C91" w:rsidR="00FD3B5D" w:rsidRPr="00A52AB8" w:rsidRDefault="00FD3B5D">
            <w:pPr>
              <w:keepNext/>
              <w:keepLines/>
              <w:spacing w:before="20" w:after="20"/>
              <w:jc w:val="left"/>
              <w:rPr>
                <w:rFonts w:eastAsia="Malgun Gothic"/>
                <w:sz w:val="20"/>
                <w:szCs w:val="20"/>
              </w:rPr>
            </w:pPr>
            <w:r w:rsidRPr="00A52AB8">
              <w:rPr>
                <w:rFonts w:eastAsia="Malgun Gothic"/>
                <w:sz w:val="20"/>
                <w:szCs w:val="20"/>
              </w:rPr>
              <w:tab/>
              <w:t>for(</w:t>
            </w:r>
            <w:r w:rsidR="00952545" w:rsidRPr="00A52AB8">
              <w:rPr>
                <w:rFonts w:eastAsia="Malgun Gothic"/>
                <w:sz w:val="20"/>
                <w:szCs w:val="20"/>
              </w:rPr>
              <w:t> </w:t>
            </w:r>
            <w:r w:rsidR="00F4336E" w:rsidRPr="00A52AB8">
              <w:rPr>
                <w:rFonts w:eastAsia="Malgun Gothic"/>
                <w:sz w:val="20"/>
                <w:szCs w:val="20"/>
              </w:rPr>
              <w:t>j</w:t>
            </w:r>
            <w:r w:rsidR="00D47707" w:rsidRPr="00A52AB8">
              <w:rPr>
                <w:rFonts w:eastAsia="Malgun Gothic"/>
                <w:sz w:val="20"/>
                <w:szCs w:val="20"/>
              </w:rPr>
              <w:t> = </w:t>
            </w:r>
            <w:r w:rsidRPr="00A52AB8">
              <w:rPr>
                <w:rFonts w:eastAsia="Malgun Gothic"/>
                <w:sz w:val="20"/>
                <w:szCs w:val="20"/>
              </w:rPr>
              <w:t>0;</w:t>
            </w:r>
            <w:r w:rsidR="00952545" w:rsidRPr="00A52AB8">
              <w:rPr>
                <w:rFonts w:eastAsia="Malgun Gothic"/>
                <w:sz w:val="20"/>
                <w:szCs w:val="20"/>
              </w:rPr>
              <w:t> </w:t>
            </w:r>
            <w:r w:rsidR="00F4336E" w:rsidRPr="00A52AB8">
              <w:rPr>
                <w:rFonts w:eastAsia="Malgun Gothic"/>
                <w:sz w:val="20"/>
                <w:szCs w:val="20"/>
              </w:rPr>
              <w:t>j</w:t>
            </w:r>
            <w:r w:rsidR="00952545" w:rsidRPr="00A52AB8">
              <w:rPr>
                <w:rFonts w:eastAsia="Malgun Gothic"/>
                <w:sz w:val="20"/>
                <w:szCs w:val="20"/>
              </w:rPr>
              <w:t> </w:t>
            </w:r>
            <w:r w:rsidR="00A234FD" w:rsidRPr="00A52AB8">
              <w:rPr>
                <w:rFonts w:eastAsia="Malgun Gothic"/>
                <w:sz w:val="20"/>
                <w:szCs w:val="20"/>
              </w:rPr>
              <w:t>&lt;=</w:t>
            </w:r>
            <w:r w:rsidR="00D47707" w:rsidRPr="00A52AB8">
              <w:rPr>
                <w:rFonts w:eastAsia="Malgun Gothic"/>
                <w:sz w:val="20"/>
                <w:szCs w:val="20"/>
              </w:rPr>
              <w:t> </w:t>
            </w:r>
            <w:r w:rsidRPr="00A52AB8">
              <w:rPr>
                <w:rFonts w:eastAsia="Malgun Gothic"/>
                <w:sz w:val="20"/>
                <w:szCs w:val="20"/>
              </w:rPr>
              <w:t>CabCnt;</w:t>
            </w:r>
            <w:r w:rsidR="00952545" w:rsidRPr="00A52AB8">
              <w:rPr>
                <w:rFonts w:eastAsia="Malgun Gothic"/>
                <w:sz w:val="20"/>
                <w:szCs w:val="20"/>
              </w:rPr>
              <w:t> </w:t>
            </w:r>
            <w:r w:rsidR="00F4336E" w:rsidRPr="00A52AB8">
              <w:rPr>
                <w:rFonts w:eastAsia="Malgun Gothic"/>
                <w:sz w:val="20"/>
                <w:szCs w:val="20"/>
              </w:rPr>
              <w:t>j</w:t>
            </w:r>
            <w:r w:rsidR="00006CCF" w:rsidRPr="00A52AB8">
              <w:rPr>
                <w:rFonts w:eastAsia="Malgun Gothic"/>
                <w:sz w:val="20"/>
                <w:szCs w:val="20"/>
              </w:rPr>
              <w:t>++ </w:t>
            </w:r>
            <w:r w:rsidR="008F1F82" w:rsidRPr="00A52AB8">
              <w:rPr>
                <w:rFonts w:eastAsia="Malgun Gothic"/>
                <w:sz w:val="20"/>
                <w:szCs w:val="20"/>
              </w:rPr>
              <w:t>) {</w:t>
            </w:r>
          </w:p>
        </w:tc>
        <w:tc>
          <w:tcPr>
            <w:tcW w:w="1253" w:type="dxa"/>
          </w:tcPr>
          <w:p w14:paraId="7FB95A53" w14:textId="77777777" w:rsidR="00FD3B5D" w:rsidRPr="00A52AB8" w:rsidRDefault="00FD3B5D">
            <w:pPr>
              <w:keepNext/>
              <w:keepLines/>
              <w:spacing w:before="20" w:after="20"/>
              <w:jc w:val="center"/>
              <w:rPr>
                <w:rFonts w:eastAsia="Malgun Gothic"/>
                <w:bCs/>
                <w:sz w:val="20"/>
                <w:szCs w:val="20"/>
              </w:rPr>
            </w:pPr>
          </w:p>
        </w:tc>
      </w:tr>
      <w:tr w:rsidR="00FD3B5D" w:rsidRPr="00A52AB8" w14:paraId="7B9EDA8D" w14:textId="77777777" w:rsidTr="00895494">
        <w:trPr>
          <w:jc w:val="center"/>
        </w:trPr>
        <w:tc>
          <w:tcPr>
            <w:tcW w:w="7921" w:type="dxa"/>
          </w:tcPr>
          <w:p w14:paraId="7DB008DF" w14:textId="75643793" w:rsidR="00FD3B5D" w:rsidRPr="00A52AB8" w:rsidRDefault="00FD3B5D">
            <w:pPr>
              <w:keepNext/>
              <w:keepLines/>
              <w:spacing w:before="20" w:after="20"/>
              <w:jc w:val="left"/>
              <w:rPr>
                <w:rFonts w:eastAsia="Malgun Gothic"/>
                <w:sz w:val="20"/>
                <w:szCs w:val="20"/>
              </w:rPr>
            </w:pPr>
            <w:r w:rsidRPr="00A52AB8">
              <w:rPr>
                <w:rFonts w:eastAsia="Malgun Gothic"/>
                <w:b/>
                <w:bCs/>
                <w:sz w:val="20"/>
                <w:szCs w:val="20"/>
              </w:rPr>
              <w:tab/>
            </w:r>
            <w:r w:rsidRPr="00A52AB8">
              <w:rPr>
                <w:rFonts w:eastAsia="Malgun Gothic"/>
                <w:b/>
                <w:bCs/>
                <w:sz w:val="20"/>
                <w:szCs w:val="20"/>
              </w:rPr>
              <w:tab/>
            </w:r>
            <w:r w:rsidR="00604353" w:rsidRPr="00A52AB8">
              <w:rPr>
                <w:rFonts w:eastAsia="Malgun Gothic"/>
                <w:b/>
                <w:bCs/>
                <w:sz w:val="20"/>
                <w:szCs w:val="20"/>
              </w:rPr>
              <w:t>hrd_bit_rate_value_minus1</w:t>
            </w:r>
            <w:r w:rsidR="002502D0" w:rsidRPr="00A52AB8">
              <w:rPr>
                <w:rFonts w:eastAsia="Malgun Gothic"/>
                <w:sz w:val="20"/>
                <w:szCs w:val="20"/>
              </w:rPr>
              <w:t>[ hrdMode ]</w:t>
            </w:r>
            <w:r w:rsidR="00EB5B79" w:rsidRPr="00A52AB8">
              <w:rPr>
                <w:rFonts w:eastAsia="Malgun Gothic"/>
                <w:sz w:val="20"/>
                <w:szCs w:val="20"/>
              </w:rPr>
              <w:t>[ </w:t>
            </w:r>
            <w:r w:rsidR="00F4336E" w:rsidRPr="00A52AB8">
              <w:rPr>
                <w:rFonts w:eastAsia="Malgun Gothic"/>
                <w:sz w:val="20"/>
                <w:szCs w:val="20"/>
              </w:rPr>
              <w:t>subLayerID </w:t>
            </w:r>
            <w:r w:rsidR="00EB5B79" w:rsidRPr="00A52AB8">
              <w:rPr>
                <w:rFonts w:eastAsia="Malgun Gothic"/>
                <w:sz w:val="20"/>
                <w:szCs w:val="20"/>
              </w:rPr>
              <w:t>]</w:t>
            </w:r>
            <w:r w:rsidR="001F4484" w:rsidRPr="00A52AB8">
              <w:rPr>
                <w:rFonts w:eastAsia="Malgun Gothic"/>
                <w:sz w:val="20"/>
                <w:szCs w:val="20"/>
              </w:rPr>
              <w:t>[ </w:t>
            </w:r>
            <w:r w:rsidR="00F4336E" w:rsidRPr="00A52AB8">
              <w:rPr>
                <w:rFonts w:eastAsia="Malgun Gothic"/>
                <w:sz w:val="20"/>
                <w:szCs w:val="20"/>
              </w:rPr>
              <w:t>j</w:t>
            </w:r>
            <w:r w:rsidR="001F4484" w:rsidRPr="00A52AB8">
              <w:rPr>
                <w:rFonts w:eastAsia="Malgun Gothic"/>
                <w:sz w:val="20"/>
                <w:szCs w:val="20"/>
              </w:rPr>
              <w:t> ]</w:t>
            </w:r>
          </w:p>
        </w:tc>
        <w:tc>
          <w:tcPr>
            <w:tcW w:w="1253" w:type="dxa"/>
          </w:tcPr>
          <w:p w14:paraId="6551510A" w14:textId="77777777" w:rsidR="00FD3B5D" w:rsidRPr="00A52AB8" w:rsidRDefault="00FD3B5D">
            <w:pPr>
              <w:keepNext/>
              <w:keepLines/>
              <w:spacing w:before="20" w:after="20"/>
              <w:jc w:val="center"/>
              <w:rPr>
                <w:rFonts w:eastAsia="Malgun Gothic"/>
                <w:bCs/>
                <w:sz w:val="20"/>
                <w:szCs w:val="20"/>
              </w:rPr>
            </w:pPr>
            <w:r w:rsidRPr="00A52AB8">
              <w:rPr>
                <w:rFonts w:eastAsia="Malgun Gothic"/>
                <w:bCs/>
                <w:sz w:val="20"/>
                <w:szCs w:val="20"/>
              </w:rPr>
              <w:t>ue(v)</w:t>
            </w:r>
          </w:p>
        </w:tc>
      </w:tr>
      <w:tr w:rsidR="00FD3B5D" w:rsidRPr="00A52AB8" w14:paraId="00FA5A0D" w14:textId="77777777" w:rsidTr="00895494">
        <w:trPr>
          <w:jc w:val="center"/>
        </w:trPr>
        <w:tc>
          <w:tcPr>
            <w:tcW w:w="7921" w:type="dxa"/>
          </w:tcPr>
          <w:p w14:paraId="18333EF9" w14:textId="2B0018A4" w:rsidR="00FD3B5D" w:rsidRPr="00A52AB8" w:rsidRDefault="00FD3B5D">
            <w:pPr>
              <w:keepNext/>
              <w:keepLines/>
              <w:spacing w:before="20" w:after="20"/>
              <w:jc w:val="left"/>
              <w:rPr>
                <w:rFonts w:eastAsia="Malgun Gothic"/>
                <w:sz w:val="20"/>
                <w:szCs w:val="20"/>
              </w:rPr>
            </w:pPr>
            <w:r w:rsidRPr="00A52AB8">
              <w:rPr>
                <w:rFonts w:eastAsia="Malgun Gothic"/>
                <w:b/>
                <w:bCs/>
                <w:sz w:val="20"/>
                <w:szCs w:val="20"/>
              </w:rPr>
              <w:tab/>
            </w:r>
            <w:r w:rsidRPr="00A52AB8">
              <w:rPr>
                <w:rFonts w:eastAsia="Malgun Gothic"/>
                <w:b/>
                <w:bCs/>
                <w:sz w:val="20"/>
                <w:szCs w:val="20"/>
              </w:rPr>
              <w:tab/>
            </w:r>
            <w:r w:rsidR="00604353" w:rsidRPr="00A52AB8">
              <w:rPr>
                <w:rFonts w:eastAsia="Malgun Gothic"/>
                <w:b/>
                <w:bCs/>
                <w:sz w:val="20"/>
                <w:szCs w:val="20"/>
              </w:rPr>
              <w:t>hrd_cab_size_value_minus1</w:t>
            </w:r>
            <w:r w:rsidR="002502D0" w:rsidRPr="00A52AB8">
              <w:rPr>
                <w:rFonts w:eastAsia="Malgun Gothic"/>
                <w:sz w:val="20"/>
                <w:szCs w:val="20"/>
              </w:rPr>
              <w:t>[ hrdMode ]</w:t>
            </w:r>
            <w:r w:rsidR="00EB5B79" w:rsidRPr="00A52AB8">
              <w:rPr>
                <w:rFonts w:eastAsia="Malgun Gothic"/>
                <w:sz w:val="20"/>
                <w:szCs w:val="20"/>
              </w:rPr>
              <w:t>[ </w:t>
            </w:r>
            <w:r w:rsidR="00F4336E" w:rsidRPr="00A52AB8">
              <w:rPr>
                <w:rFonts w:eastAsia="Malgun Gothic"/>
                <w:sz w:val="20"/>
                <w:szCs w:val="20"/>
              </w:rPr>
              <w:t>subLayerID</w:t>
            </w:r>
            <w:r w:rsidR="00EB5B79" w:rsidRPr="00A52AB8">
              <w:rPr>
                <w:rFonts w:eastAsia="Malgun Gothic"/>
                <w:sz w:val="20"/>
                <w:szCs w:val="20"/>
              </w:rPr>
              <w:t> ]</w:t>
            </w:r>
            <w:r w:rsidR="001F4484" w:rsidRPr="00A52AB8">
              <w:rPr>
                <w:rFonts w:eastAsia="Malgun Gothic"/>
                <w:sz w:val="20"/>
                <w:szCs w:val="20"/>
              </w:rPr>
              <w:t>[</w:t>
            </w:r>
            <w:r w:rsidR="00F4336E" w:rsidRPr="00A52AB8">
              <w:rPr>
                <w:rFonts w:eastAsia="Malgun Gothic"/>
                <w:sz w:val="20"/>
                <w:szCs w:val="20"/>
              </w:rPr>
              <w:t> j</w:t>
            </w:r>
            <w:r w:rsidR="001F4484" w:rsidRPr="00A52AB8">
              <w:rPr>
                <w:rFonts w:eastAsia="Malgun Gothic"/>
                <w:sz w:val="20"/>
                <w:szCs w:val="20"/>
              </w:rPr>
              <w:t> ]</w:t>
            </w:r>
          </w:p>
        </w:tc>
        <w:tc>
          <w:tcPr>
            <w:tcW w:w="1253" w:type="dxa"/>
          </w:tcPr>
          <w:p w14:paraId="010391BB" w14:textId="77777777" w:rsidR="00FD3B5D" w:rsidRPr="00A52AB8" w:rsidRDefault="00FD3B5D">
            <w:pPr>
              <w:keepNext/>
              <w:keepLines/>
              <w:spacing w:before="20" w:after="20"/>
              <w:jc w:val="center"/>
              <w:rPr>
                <w:rFonts w:eastAsia="Malgun Gothic"/>
                <w:bCs/>
                <w:sz w:val="20"/>
                <w:szCs w:val="20"/>
              </w:rPr>
            </w:pPr>
            <w:r w:rsidRPr="00A52AB8">
              <w:rPr>
                <w:rFonts w:eastAsia="Malgun Gothic"/>
                <w:bCs/>
                <w:sz w:val="20"/>
                <w:szCs w:val="20"/>
              </w:rPr>
              <w:t>ue(v)</w:t>
            </w:r>
          </w:p>
        </w:tc>
      </w:tr>
      <w:tr w:rsidR="00FD3B5D" w:rsidRPr="00A52AB8" w14:paraId="3127B757" w14:textId="77777777" w:rsidTr="00895494">
        <w:trPr>
          <w:jc w:val="center"/>
        </w:trPr>
        <w:tc>
          <w:tcPr>
            <w:tcW w:w="7921" w:type="dxa"/>
          </w:tcPr>
          <w:p w14:paraId="1F5D5129" w14:textId="3154E7B6" w:rsidR="00FD3B5D" w:rsidRPr="00A52AB8" w:rsidRDefault="00FD3B5D">
            <w:pPr>
              <w:keepNext/>
              <w:keepLines/>
              <w:spacing w:before="20" w:after="20"/>
              <w:jc w:val="left"/>
              <w:rPr>
                <w:rFonts w:eastAsia="Malgun Gothic"/>
                <w:sz w:val="20"/>
                <w:szCs w:val="20"/>
              </w:rPr>
            </w:pPr>
            <w:r w:rsidRPr="00A52AB8">
              <w:rPr>
                <w:rFonts w:eastAsia="Malgun Gothic"/>
                <w:sz w:val="20"/>
                <w:szCs w:val="20"/>
              </w:rPr>
              <w:tab/>
            </w:r>
            <w:r w:rsidRPr="00A52AB8">
              <w:rPr>
                <w:rFonts w:eastAsia="Malgun Gothic"/>
                <w:sz w:val="20"/>
                <w:szCs w:val="20"/>
              </w:rPr>
              <w:tab/>
            </w:r>
            <w:r w:rsidR="008B23AA" w:rsidRPr="00A52AB8">
              <w:rPr>
                <w:rFonts w:eastAsia="Malgun Gothic"/>
                <w:b/>
                <w:bCs/>
                <w:sz w:val="20"/>
                <w:szCs w:val="20"/>
              </w:rPr>
              <w:t>hrd</w:t>
            </w:r>
            <w:r w:rsidR="00604353" w:rsidRPr="00A52AB8">
              <w:rPr>
                <w:rFonts w:eastAsia="Malgun Gothic"/>
                <w:b/>
                <w:bCs/>
                <w:sz w:val="20"/>
                <w:szCs w:val="20"/>
              </w:rPr>
              <w:t>_cbr_flag</w:t>
            </w:r>
            <w:r w:rsidR="002502D0" w:rsidRPr="00A52AB8">
              <w:rPr>
                <w:rFonts w:eastAsia="Malgun Gothic"/>
                <w:sz w:val="20"/>
                <w:szCs w:val="20"/>
              </w:rPr>
              <w:t>[ hrdMode ]</w:t>
            </w:r>
            <w:r w:rsidR="00EB5B79" w:rsidRPr="00A52AB8">
              <w:rPr>
                <w:rFonts w:eastAsia="Malgun Gothic"/>
                <w:sz w:val="20"/>
                <w:szCs w:val="20"/>
              </w:rPr>
              <w:t>[ </w:t>
            </w:r>
            <w:r w:rsidR="00F4336E" w:rsidRPr="00A52AB8">
              <w:rPr>
                <w:rFonts w:eastAsia="Malgun Gothic"/>
                <w:sz w:val="20"/>
                <w:szCs w:val="20"/>
              </w:rPr>
              <w:t>subLayerID</w:t>
            </w:r>
            <w:r w:rsidR="00EB5B79" w:rsidRPr="00A52AB8">
              <w:rPr>
                <w:rFonts w:eastAsia="Malgun Gothic"/>
                <w:sz w:val="20"/>
                <w:szCs w:val="20"/>
              </w:rPr>
              <w:t> ]</w:t>
            </w:r>
            <w:r w:rsidR="001F4484" w:rsidRPr="00A52AB8">
              <w:rPr>
                <w:rFonts w:eastAsia="Malgun Gothic"/>
                <w:sz w:val="20"/>
                <w:szCs w:val="20"/>
              </w:rPr>
              <w:t>[ </w:t>
            </w:r>
            <w:r w:rsidR="00F4336E" w:rsidRPr="00A52AB8">
              <w:rPr>
                <w:rFonts w:eastAsia="Malgun Gothic"/>
                <w:sz w:val="20"/>
                <w:szCs w:val="20"/>
              </w:rPr>
              <w:t>j</w:t>
            </w:r>
            <w:r w:rsidR="001F4484" w:rsidRPr="00A52AB8">
              <w:rPr>
                <w:rFonts w:eastAsia="Malgun Gothic"/>
                <w:sz w:val="20"/>
                <w:szCs w:val="20"/>
              </w:rPr>
              <w:t> ]</w:t>
            </w:r>
          </w:p>
        </w:tc>
        <w:tc>
          <w:tcPr>
            <w:tcW w:w="1253" w:type="dxa"/>
          </w:tcPr>
          <w:p w14:paraId="59FF45DB" w14:textId="77777777" w:rsidR="00FD3B5D" w:rsidRPr="00A52AB8" w:rsidRDefault="00FD3B5D">
            <w:pPr>
              <w:keepNext/>
              <w:keepLines/>
              <w:spacing w:before="20" w:after="20"/>
              <w:jc w:val="center"/>
              <w:rPr>
                <w:rFonts w:eastAsia="Malgun Gothic"/>
                <w:bCs/>
                <w:sz w:val="20"/>
                <w:szCs w:val="20"/>
              </w:rPr>
            </w:pPr>
            <w:r w:rsidRPr="00A52AB8">
              <w:rPr>
                <w:rFonts w:eastAsia="Malgun Gothic"/>
                <w:bCs/>
                <w:sz w:val="20"/>
                <w:szCs w:val="20"/>
              </w:rPr>
              <w:t>u(1)</w:t>
            </w:r>
          </w:p>
        </w:tc>
      </w:tr>
      <w:tr w:rsidR="00FD3B5D" w:rsidRPr="00A52AB8" w14:paraId="11733EF7" w14:textId="77777777" w:rsidTr="00895494">
        <w:trPr>
          <w:jc w:val="center"/>
        </w:trPr>
        <w:tc>
          <w:tcPr>
            <w:tcW w:w="7921" w:type="dxa"/>
          </w:tcPr>
          <w:p w14:paraId="5BB15F6B" w14:textId="77777777" w:rsidR="00FD3B5D" w:rsidRPr="00A52AB8" w:rsidRDefault="00FD3B5D">
            <w:pPr>
              <w:keepNext/>
              <w:keepLines/>
              <w:spacing w:before="20" w:after="20"/>
              <w:jc w:val="left"/>
              <w:rPr>
                <w:rFonts w:eastAsia="Malgun Gothic"/>
                <w:sz w:val="20"/>
                <w:szCs w:val="20"/>
              </w:rPr>
            </w:pPr>
            <w:r w:rsidRPr="00A52AB8">
              <w:rPr>
                <w:rFonts w:eastAsia="Malgun Gothic"/>
                <w:b/>
                <w:bCs/>
                <w:sz w:val="20"/>
                <w:szCs w:val="20"/>
              </w:rPr>
              <w:tab/>
            </w:r>
            <w:r w:rsidRPr="00A52AB8">
              <w:rPr>
                <w:rFonts w:eastAsia="Malgun Gothic"/>
                <w:sz w:val="20"/>
                <w:szCs w:val="20"/>
              </w:rPr>
              <w:t>}</w:t>
            </w:r>
          </w:p>
        </w:tc>
        <w:tc>
          <w:tcPr>
            <w:tcW w:w="1253" w:type="dxa"/>
          </w:tcPr>
          <w:p w14:paraId="3EA66B68" w14:textId="77777777" w:rsidR="00FD3B5D" w:rsidRPr="00A52AB8" w:rsidRDefault="00FD3B5D">
            <w:pPr>
              <w:keepNext/>
              <w:keepLines/>
              <w:spacing w:before="20" w:after="20"/>
              <w:jc w:val="center"/>
              <w:rPr>
                <w:rFonts w:eastAsia="Malgun Gothic"/>
                <w:bCs/>
                <w:sz w:val="20"/>
                <w:szCs w:val="20"/>
              </w:rPr>
            </w:pPr>
          </w:p>
        </w:tc>
      </w:tr>
      <w:tr w:rsidR="00FD3B5D" w:rsidRPr="00A52AB8" w14:paraId="52998254" w14:textId="77777777" w:rsidTr="00895494">
        <w:trPr>
          <w:jc w:val="center"/>
        </w:trPr>
        <w:tc>
          <w:tcPr>
            <w:tcW w:w="7921" w:type="dxa"/>
          </w:tcPr>
          <w:p w14:paraId="0D433677" w14:textId="77777777" w:rsidR="00FD3B5D" w:rsidRPr="00A52AB8" w:rsidRDefault="00FD3B5D">
            <w:pPr>
              <w:keepNext/>
              <w:keepLines/>
              <w:spacing w:before="20" w:after="20"/>
              <w:jc w:val="left"/>
              <w:rPr>
                <w:rFonts w:eastAsia="Malgun Gothic"/>
                <w:b/>
                <w:bCs/>
                <w:sz w:val="20"/>
                <w:szCs w:val="20"/>
              </w:rPr>
            </w:pPr>
            <w:r w:rsidRPr="00A52AB8">
              <w:rPr>
                <w:rFonts w:eastAsia="Malgun Gothic"/>
                <w:sz w:val="20"/>
                <w:szCs w:val="20"/>
              </w:rPr>
              <w:t>}</w:t>
            </w:r>
          </w:p>
        </w:tc>
        <w:tc>
          <w:tcPr>
            <w:tcW w:w="1253" w:type="dxa"/>
          </w:tcPr>
          <w:p w14:paraId="668D3790" w14:textId="77777777" w:rsidR="00FD3B5D" w:rsidRPr="00A52AB8" w:rsidRDefault="00FD3B5D">
            <w:pPr>
              <w:keepNext/>
              <w:keepLines/>
              <w:spacing w:before="20" w:after="20"/>
              <w:jc w:val="center"/>
              <w:rPr>
                <w:rFonts w:eastAsia="Malgun Gothic"/>
                <w:bCs/>
                <w:sz w:val="20"/>
                <w:szCs w:val="20"/>
              </w:rPr>
            </w:pPr>
          </w:p>
        </w:tc>
      </w:tr>
    </w:tbl>
    <w:p w14:paraId="6629A362" w14:textId="77777777" w:rsidR="00BE4003" w:rsidRPr="00A52AB8" w:rsidRDefault="006828F6" w:rsidP="00F36093">
      <w:pPr>
        <w:pStyle w:val="a3"/>
        <w:numPr>
          <w:ilvl w:val="2"/>
          <w:numId w:val="19"/>
        </w:numPr>
      </w:pPr>
      <w:bookmarkStart w:id="6069" w:name="_Ref19432726"/>
      <w:bookmarkStart w:id="6070" w:name="_Toc20134578"/>
      <w:bookmarkStart w:id="6071" w:name="_Toc77680676"/>
      <w:bookmarkStart w:id="6072" w:name="_Toc118289279"/>
      <w:bookmarkStart w:id="6073" w:name="_Toc226456887"/>
      <w:bookmarkStart w:id="6074" w:name="_Toc248045506"/>
      <w:bookmarkStart w:id="6075" w:name="_Toc287363890"/>
      <w:bookmarkStart w:id="6076" w:name="_Toc311220038"/>
      <w:bookmarkStart w:id="6077" w:name="_Toc317198937"/>
      <w:bookmarkStart w:id="6078" w:name="_Toc358292280"/>
      <w:bookmarkStart w:id="6079" w:name="_Toc52181758"/>
      <w:r w:rsidRPr="00A52AB8">
        <w:t>Maximum coded video resolution</w:t>
      </w:r>
      <w:r w:rsidR="0086505B" w:rsidRPr="00A52AB8">
        <w:t xml:space="preserve"> syntax</w:t>
      </w:r>
      <w:bookmarkEnd w:id="6079"/>
    </w:p>
    <w:tbl>
      <w:tblPr>
        <w:tblStyle w:val="TableGrid2"/>
        <w:tblW w:w="5000" w:type="pct"/>
        <w:jc w:val="center"/>
        <w:tblInd w:w="0" w:type="dxa"/>
        <w:tblLook w:val="04A0" w:firstRow="1" w:lastRow="0" w:firstColumn="1" w:lastColumn="0" w:noHBand="0" w:noVBand="1"/>
      </w:tblPr>
      <w:tblGrid>
        <w:gridCol w:w="8411"/>
        <w:gridCol w:w="1331"/>
      </w:tblGrid>
      <w:tr w:rsidR="001B63A9" w:rsidRPr="00A52AB8" w14:paraId="5C5C8485" w14:textId="77777777" w:rsidTr="001C2DB1">
        <w:trPr>
          <w:jc w:val="center"/>
        </w:trPr>
        <w:tc>
          <w:tcPr>
            <w:tcW w:w="8411" w:type="dxa"/>
          </w:tcPr>
          <w:p w14:paraId="666DE2C1" w14:textId="43F1F1D5" w:rsidR="001B63A9" w:rsidRPr="00A52AB8" w:rsidRDefault="00856592" w:rsidP="00AF6B06">
            <w:pPr>
              <w:pStyle w:val="tablesyntax"/>
              <w:tabs>
                <w:tab w:val="clear" w:pos="1985"/>
              </w:tabs>
              <w:spacing w:before="0"/>
              <w:rPr>
                <w:rFonts w:ascii="Cambria" w:hAnsi="Cambria"/>
                <w:lang w:eastAsia="en-US"/>
              </w:rPr>
            </w:pPr>
            <w:r w:rsidRPr="00A52AB8">
              <w:rPr>
                <w:rFonts w:ascii="Cambria" w:hAnsi="Cambria"/>
              </w:rPr>
              <w:t>max_coded_video_resolution( </w:t>
            </w:r>
            <w:r w:rsidR="00900B12" w:rsidRPr="00A52AB8">
              <w:rPr>
                <w:rFonts w:ascii="Cambria" w:hAnsi="Cambria"/>
              </w:rPr>
              <w:t>) {</w:t>
            </w:r>
          </w:p>
        </w:tc>
        <w:tc>
          <w:tcPr>
            <w:tcW w:w="1331" w:type="dxa"/>
          </w:tcPr>
          <w:p w14:paraId="20A1057E" w14:textId="77777777" w:rsidR="001B63A9" w:rsidRPr="00A52AB8" w:rsidRDefault="001B63A9" w:rsidP="00AF6B06">
            <w:pPr>
              <w:keepNext/>
              <w:keepLines/>
              <w:spacing w:before="20" w:after="20"/>
              <w:jc w:val="center"/>
              <w:rPr>
                <w:rFonts w:ascii="Cambria" w:hAnsi="Cambria"/>
                <w:bCs/>
                <w:sz w:val="20"/>
                <w:szCs w:val="20"/>
                <w:lang w:eastAsia="en-US"/>
              </w:rPr>
            </w:pPr>
            <w:r w:rsidRPr="00A52AB8">
              <w:rPr>
                <w:b/>
                <w:bCs/>
                <w:sz w:val="20"/>
                <w:szCs w:val="20"/>
              </w:rPr>
              <w:t>Descriptor</w:t>
            </w:r>
          </w:p>
        </w:tc>
      </w:tr>
      <w:tr w:rsidR="001B63A9" w:rsidRPr="00A52AB8" w14:paraId="4F0BCCC4" w14:textId="77777777" w:rsidTr="00895494">
        <w:trPr>
          <w:jc w:val="center"/>
        </w:trPr>
        <w:tc>
          <w:tcPr>
            <w:tcW w:w="8411" w:type="dxa"/>
          </w:tcPr>
          <w:p w14:paraId="6454C2AC" w14:textId="77777777" w:rsidR="001B63A9" w:rsidRPr="00A52AB8" w:rsidRDefault="001B63A9" w:rsidP="00AF6B06">
            <w:pPr>
              <w:pStyle w:val="tablesyntax"/>
              <w:tabs>
                <w:tab w:val="clear" w:pos="1985"/>
              </w:tabs>
              <w:spacing w:before="0"/>
              <w:rPr>
                <w:rFonts w:ascii="Cambria" w:hAnsi="Cambria"/>
                <w:b/>
                <w:bCs/>
                <w:lang w:eastAsia="en-US"/>
              </w:rPr>
            </w:pPr>
            <w:r w:rsidRPr="00A52AB8">
              <w:rPr>
                <w:rFonts w:ascii="Cambria" w:hAnsi="Cambria"/>
              </w:rPr>
              <w:tab/>
            </w:r>
            <w:r w:rsidR="00801CAE" w:rsidRPr="00A52AB8">
              <w:rPr>
                <w:rFonts w:ascii="Cambria" w:hAnsi="Cambria"/>
                <w:b/>
                <w:bCs/>
              </w:rPr>
              <w:t>mcv</w:t>
            </w:r>
            <w:r w:rsidR="002F395E" w:rsidRPr="00A52AB8">
              <w:rPr>
                <w:rFonts w:ascii="Cambria" w:hAnsi="Cambria"/>
                <w:b/>
                <w:bCs/>
              </w:rPr>
              <w:t>_occupancy_resolution_</w:t>
            </w:r>
            <w:r w:rsidR="00A317E1" w:rsidRPr="00A52AB8">
              <w:rPr>
                <w:rFonts w:ascii="Cambria" w:hAnsi="Cambria"/>
                <w:b/>
                <w:bCs/>
              </w:rPr>
              <w:t>present_flag</w:t>
            </w:r>
          </w:p>
        </w:tc>
        <w:tc>
          <w:tcPr>
            <w:tcW w:w="1331" w:type="dxa"/>
            <w:vAlign w:val="center"/>
          </w:tcPr>
          <w:p w14:paraId="22BD30F4" w14:textId="77777777" w:rsidR="001B63A9" w:rsidRPr="00A52AB8" w:rsidRDefault="001B63A9" w:rsidP="00895494">
            <w:pPr>
              <w:keepNext/>
              <w:keepLines/>
              <w:tabs>
                <w:tab w:val="clear" w:pos="1985"/>
              </w:tabs>
              <w:overflowPunct/>
              <w:autoSpaceDE/>
              <w:autoSpaceDN/>
              <w:adjustRightInd/>
              <w:spacing w:before="20" w:after="20"/>
              <w:jc w:val="center"/>
              <w:rPr>
                <w:rFonts w:ascii="Cambria" w:hAnsi="Cambria"/>
                <w:bCs/>
                <w:sz w:val="20"/>
                <w:szCs w:val="20"/>
                <w:lang w:eastAsia="en-US"/>
              </w:rPr>
            </w:pPr>
            <w:r w:rsidRPr="00A52AB8">
              <w:rPr>
                <w:bCs/>
                <w:sz w:val="20"/>
                <w:szCs w:val="20"/>
              </w:rPr>
              <w:t>u(</w:t>
            </w:r>
            <w:r w:rsidR="001C2DB1" w:rsidRPr="00A52AB8">
              <w:rPr>
                <w:bCs/>
                <w:sz w:val="20"/>
                <w:szCs w:val="20"/>
              </w:rPr>
              <w:t>1</w:t>
            </w:r>
            <w:r w:rsidRPr="00A52AB8">
              <w:rPr>
                <w:bCs/>
                <w:sz w:val="20"/>
                <w:szCs w:val="20"/>
              </w:rPr>
              <w:t>)</w:t>
            </w:r>
          </w:p>
        </w:tc>
      </w:tr>
      <w:tr w:rsidR="001B63A9" w:rsidRPr="00A52AB8" w14:paraId="1FEC42E6" w14:textId="77777777" w:rsidTr="00895494">
        <w:trPr>
          <w:jc w:val="center"/>
        </w:trPr>
        <w:tc>
          <w:tcPr>
            <w:tcW w:w="8411" w:type="dxa"/>
          </w:tcPr>
          <w:p w14:paraId="12BB6A06" w14:textId="77777777" w:rsidR="001B63A9" w:rsidRPr="00A52AB8" w:rsidRDefault="001B63A9" w:rsidP="00AF6B06">
            <w:pPr>
              <w:pStyle w:val="tablesyntax"/>
              <w:tabs>
                <w:tab w:val="clear" w:pos="1985"/>
              </w:tabs>
              <w:spacing w:before="0"/>
              <w:rPr>
                <w:rFonts w:ascii="Cambria" w:hAnsi="Cambria"/>
                <w:b/>
                <w:bCs/>
                <w:lang w:eastAsia="en-US"/>
              </w:rPr>
            </w:pPr>
            <w:r w:rsidRPr="00A52AB8">
              <w:rPr>
                <w:rFonts w:ascii="Cambria" w:hAnsi="Cambria"/>
              </w:rPr>
              <w:tab/>
            </w:r>
            <w:r w:rsidR="00801CAE" w:rsidRPr="00A52AB8">
              <w:rPr>
                <w:rFonts w:ascii="Cambria" w:hAnsi="Cambria"/>
                <w:b/>
                <w:bCs/>
              </w:rPr>
              <w:t>mcv</w:t>
            </w:r>
            <w:r w:rsidR="00854192" w:rsidRPr="00A52AB8">
              <w:rPr>
                <w:rFonts w:ascii="Cambria" w:hAnsi="Cambria"/>
                <w:b/>
                <w:bCs/>
              </w:rPr>
              <w:t>_geometry_resolution_</w:t>
            </w:r>
            <w:r w:rsidR="00A317E1" w:rsidRPr="00A52AB8">
              <w:rPr>
                <w:rFonts w:ascii="Cambria" w:hAnsi="Cambria"/>
                <w:b/>
                <w:bCs/>
              </w:rPr>
              <w:t>present_flag</w:t>
            </w:r>
          </w:p>
        </w:tc>
        <w:tc>
          <w:tcPr>
            <w:tcW w:w="1331" w:type="dxa"/>
            <w:vAlign w:val="center"/>
          </w:tcPr>
          <w:p w14:paraId="3ADF3475" w14:textId="77777777" w:rsidR="001B63A9" w:rsidRPr="00A52AB8" w:rsidRDefault="001B63A9" w:rsidP="00895494">
            <w:pPr>
              <w:keepNext/>
              <w:keepLines/>
              <w:tabs>
                <w:tab w:val="clear" w:pos="1985"/>
              </w:tabs>
              <w:overflowPunct/>
              <w:autoSpaceDE/>
              <w:autoSpaceDN/>
              <w:adjustRightInd/>
              <w:spacing w:before="20" w:after="20"/>
              <w:jc w:val="center"/>
              <w:rPr>
                <w:rFonts w:ascii="Cambria" w:hAnsi="Cambria"/>
                <w:bCs/>
                <w:sz w:val="20"/>
                <w:szCs w:val="20"/>
                <w:lang w:eastAsia="en-US"/>
              </w:rPr>
            </w:pPr>
            <w:r w:rsidRPr="00A52AB8">
              <w:rPr>
                <w:bCs/>
                <w:sz w:val="20"/>
                <w:szCs w:val="20"/>
              </w:rPr>
              <w:t>u(1)</w:t>
            </w:r>
          </w:p>
        </w:tc>
      </w:tr>
      <w:tr w:rsidR="001B63A9" w:rsidRPr="00A52AB8" w14:paraId="0F90F1FF" w14:textId="77777777" w:rsidTr="00895494">
        <w:trPr>
          <w:jc w:val="center"/>
        </w:trPr>
        <w:tc>
          <w:tcPr>
            <w:tcW w:w="8411" w:type="dxa"/>
          </w:tcPr>
          <w:p w14:paraId="45CF3597" w14:textId="77777777" w:rsidR="001B63A9" w:rsidRPr="00A52AB8" w:rsidRDefault="001B63A9" w:rsidP="00AF6B06">
            <w:pPr>
              <w:pStyle w:val="tablesyntax"/>
              <w:tabs>
                <w:tab w:val="clear" w:pos="1985"/>
              </w:tabs>
              <w:spacing w:before="0"/>
              <w:rPr>
                <w:rFonts w:ascii="Cambria" w:hAnsi="Cambria"/>
                <w:b/>
                <w:bCs/>
                <w:lang w:eastAsia="en-US"/>
              </w:rPr>
            </w:pPr>
            <w:r w:rsidRPr="00A52AB8">
              <w:rPr>
                <w:rFonts w:ascii="Cambria" w:hAnsi="Cambria"/>
              </w:rPr>
              <w:tab/>
            </w:r>
            <w:r w:rsidR="00801CAE" w:rsidRPr="00A52AB8">
              <w:rPr>
                <w:rFonts w:ascii="Cambria" w:hAnsi="Cambria"/>
                <w:b/>
                <w:bCs/>
              </w:rPr>
              <w:t>mcv</w:t>
            </w:r>
            <w:r w:rsidR="001C2DB1" w:rsidRPr="00A52AB8">
              <w:rPr>
                <w:rFonts w:ascii="Cambria" w:hAnsi="Cambria"/>
                <w:b/>
                <w:bCs/>
              </w:rPr>
              <w:t>_attribute_resolution_</w:t>
            </w:r>
            <w:r w:rsidR="00A317E1" w:rsidRPr="00A52AB8">
              <w:rPr>
                <w:rFonts w:ascii="Cambria" w:hAnsi="Cambria"/>
                <w:b/>
                <w:bCs/>
              </w:rPr>
              <w:t>present_flag</w:t>
            </w:r>
          </w:p>
        </w:tc>
        <w:tc>
          <w:tcPr>
            <w:tcW w:w="1331" w:type="dxa"/>
            <w:vAlign w:val="center"/>
          </w:tcPr>
          <w:p w14:paraId="3947B8FF" w14:textId="77777777" w:rsidR="001B63A9" w:rsidRPr="00A52AB8" w:rsidRDefault="001B63A9" w:rsidP="00895494">
            <w:pPr>
              <w:keepNext/>
              <w:keepLines/>
              <w:tabs>
                <w:tab w:val="clear" w:pos="1985"/>
              </w:tabs>
              <w:overflowPunct/>
              <w:autoSpaceDE/>
              <w:autoSpaceDN/>
              <w:adjustRightInd/>
              <w:spacing w:before="20" w:after="20"/>
              <w:jc w:val="center"/>
              <w:rPr>
                <w:rFonts w:ascii="Cambria" w:hAnsi="Cambria"/>
                <w:bCs/>
                <w:sz w:val="20"/>
                <w:szCs w:val="20"/>
                <w:lang w:eastAsia="en-US"/>
              </w:rPr>
            </w:pPr>
            <w:r w:rsidRPr="00A52AB8">
              <w:rPr>
                <w:bCs/>
                <w:sz w:val="20"/>
                <w:szCs w:val="20"/>
              </w:rPr>
              <w:t>u(1)</w:t>
            </w:r>
          </w:p>
        </w:tc>
      </w:tr>
      <w:tr w:rsidR="001C2DB1" w:rsidRPr="00A52AB8" w14:paraId="510ADFBC" w14:textId="77777777" w:rsidTr="00895494">
        <w:trPr>
          <w:jc w:val="center"/>
        </w:trPr>
        <w:tc>
          <w:tcPr>
            <w:tcW w:w="8411" w:type="dxa"/>
          </w:tcPr>
          <w:p w14:paraId="46A07191" w14:textId="33D74927" w:rsidR="001C2DB1" w:rsidRPr="00A52AB8" w:rsidRDefault="001C2DB1" w:rsidP="00AF6B06">
            <w:pPr>
              <w:pStyle w:val="tablesyntax"/>
              <w:tabs>
                <w:tab w:val="clear" w:pos="1985"/>
              </w:tabs>
              <w:spacing w:before="0"/>
              <w:rPr>
                <w:rFonts w:ascii="Cambria" w:hAnsi="Cambria"/>
                <w:lang w:eastAsia="en-US"/>
              </w:rPr>
            </w:pPr>
            <w:r w:rsidRPr="00A52AB8">
              <w:rPr>
                <w:rFonts w:ascii="Cambria" w:hAnsi="Cambria"/>
              </w:rPr>
              <w:tab/>
            </w:r>
            <w:r w:rsidR="0016605E" w:rsidRPr="00A52AB8">
              <w:rPr>
                <w:rFonts w:ascii="Cambria" w:hAnsi="Cambria"/>
              </w:rPr>
              <w:t>if(</w:t>
            </w:r>
            <w:r w:rsidR="002C493C" w:rsidRPr="00A52AB8">
              <w:rPr>
                <w:rFonts w:ascii="Cambria" w:hAnsi="Cambria"/>
              </w:rPr>
              <w:t> mcv</w:t>
            </w:r>
            <w:r w:rsidR="0016605E" w:rsidRPr="00A52AB8">
              <w:rPr>
                <w:rFonts w:ascii="Cambria" w:hAnsi="Cambria"/>
              </w:rPr>
              <w:t>_occupancy_resolution_</w:t>
            </w:r>
            <w:r w:rsidR="00653019" w:rsidRPr="00A52AB8">
              <w:rPr>
                <w:rFonts w:ascii="Cambria" w:hAnsi="Cambria"/>
              </w:rPr>
              <w:t>present_</w:t>
            </w:r>
            <w:r w:rsidR="0016605E" w:rsidRPr="00A52AB8">
              <w:rPr>
                <w:rFonts w:ascii="Cambria" w:hAnsi="Cambria"/>
              </w:rPr>
              <w:t>flag</w:t>
            </w:r>
            <w:r w:rsidR="002C493C" w:rsidRPr="00A52AB8">
              <w:rPr>
                <w:rFonts w:ascii="Cambria" w:hAnsi="Cambria"/>
              </w:rPr>
              <w:t> </w:t>
            </w:r>
            <w:r w:rsidR="00900B12" w:rsidRPr="00A52AB8">
              <w:rPr>
                <w:rFonts w:ascii="Cambria" w:hAnsi="Cambria"/>
              </w:rPr>
              <w:t>) {</w:t>
            </w:r>
          </w:p>
        </w:tc>
        <w:tc>
          <w:tcPr>
            <w:tcW w:w="1331" w:type="dxa"/>
            <w:vAlign w:val="center"/>
          </w:tcPr>
          <w:p w14:paraId="1431AEC8" w14:textId="77777777" w:rsidR="001C2DB1" w:rsidRPr="00A52AB8" w:rsidRDefault="001C2DB1" w:rsidP="00895494">
            <w:pPr>
              <w:keepNext/>
              <w:keepLines/>
              <w:tabs>
                <w:tab w:val="clear" w:pos="1985"/>
              </w:tabs>
              <w:overflowPunct/>
              <w:autoSpaceDE/>
              <w:autoSpaceDN/>
              <w:adjustRightInd/>
              <w:spacing w:before="20" w:after="20"/>
              <w:jc w:val="center"/>
              <w:rPr>
                <w:rFonts w:ascii="Cambria" w:hAnsi="Cambria"/>
                <w:bCs/>
                <w:sz w:val="20"/>
                <w:szCs w:val="20"/>
                <w:lang w:eastAsia="en-US"/>
              </w:rPr>
            </w:pPr>
          </w:p>
        </w:tc>
      </w:tr>
      <w:tr w:rsidR="001C2DB1" w:rsidRPr="00A52AB8" w14:paraId="7C8A2FC6" w14:textId="77777777" w:rsidTr="00895494">
        <w:trPr>
          <w:jc w:val="center"/>
        </w:trPr>
        <w:tc>
          <w:tcPr>
            <w:tcW w:w="8411" w:type="dxa"/>
          </w:tcPr>
          <w:p w14:paraId="2936082A" w14:textId="77777777" w:rsidR="001C2DB1" w:rsidRPr="00A52AB8" w:rsidRDefault="00D71873" w:rsidP="00895494">
            <w:pPr>
              <w:keepNext/>
              <w:keepLines/>
              <w:spacing w:before="20" w:after="20"/>
              <w:jc w:val="left"/>
              <w:rPr>
                <w:rFonts w:ascii="Cambria" w:hAnsi="Cambria"/>
                <w:b/>
                <w:bCs/>
                <w:sz w:val="20"/>
                <w:szCs w:val="20"/>
                <w:lang w:eastAsia="en-US"/>
              </w:rPr>
            </w:pPr>
            <w:r w:rsidRPr="00A52AB8">
              <w:rPr>
                <w:b/>
                <w:bCs/>
                <w:sz w:val="20"/>
                <w:szCs w:val="20"/>
              </w:rPr>
              <w:tab/>
            </w:r>
            <w:r w:rsidRPr="00A52AB8">
              <w:rPr>
                <w:b/>
                <w:bCs/>
                <w:sz w:val="20"/>
                <w:szCs w:val="20"/>
              </w:rPr>
              <w:tab/>
            </w:r>
            <w:r w:rsidR="007E02FF" w:rsidRPr="00A52AB8">
              <w:rPr>
                <w:b/>
                <w:bCs/>
                <w:sz w:val="20"/>
                <w:szCs w:val="20"/>
              </w:rPr>
              <w:t>mcv</w:t>
            </w:r>
            <w:r w:rsidRPr="00A52AB8">
              <w:rPr>
                <w:b/>
                <w:bCs/>
                <w:sz w:val="20"/>
                <w:szCs w:val="20"/>
              </w:rPr>
              <w:t>_occupancy_width</w:t>
            </w:r>
          </w:p>
        </w:tc>
        <w:tc>
          <w:tcPr>
            <w:tcW w:w="1331" w:type="dxa"/>
            <w:vAlign w:val="center"/>
          </w:tcPr>
          <w:p w14:paraId="18E3F712" w14:textId="77777777" w:rsidR="001C2DB1" w:rsidRPr="00A52AB8" w:rsidRDefault="009F10F7" w:rsidP="00895494">
            <w:pPr>
              <w:keepNext/>
              <w:keepLines/>
              <w:tabs>
                <w:tab w:val="clear" w:pos="1985"/>
              </w:tabs>
              <w:overflowPunct/>
              <w:autoSpaceDE/>
              <w:autoSpaceDN/>
              <w:adjustRightInd/>
              <w:spacing w:before="20" w:after="20"/>
              <w:jc w:val="center"/>
              <w:rPr>
                <w:rFonts w:ascii="Cambria" w:hAnsi="Cambria"/>
                <w:bCs/>
                <w:sz w:val="20"/>
                <w:szCs w:val="20"/>
              </w:rPr>
            </w:pPr>
            <w:r w:rsidRPr="00A52AB8">
              <w:rPr>
                <w:bCs/>
                <w:sz w:val="20"/>
                <w:szCs w:val="20"/>
              </w:rPr>
              <w:t>ue(v)</w:t>
            </w:r>
          </w:p>
        </w:tc>
      </w:tr>
      <w:tr w:rsidR="001C2DB1" w:rsidRPr="00A52AB8" w14:paraId="1EB3987F" w14:textId="77777777" w:rsidTr="00895494">
        <w:trPr>
          <w:jc w:val="center"/>
        </w:trPr>
        <w:tc>
          <w:tcPr>
            <w:tcW w:w="8411" w:type="dxa"/>
          </w:tcPr>
          <w:p w14:paraId="5C57AEA5" w14:textId="77777777" w:rsidR="001C2DB1" w:rsidRPr="00A52AB8" w:rsidRDefault="00CA436D" w:rsidP="00895494">
            <w:pPr>
              <w:keepNext/>
              <w:keepLines/>
              <w:spacing w:before="20" w:after="20"/>
              <w:jc w:val="left"/>
              <w:rPr>
                <w:rFonts w:ascii="Cambria" w:hAnsi="Cambria"/>
                <w:b/>
                <w:bCs/>
                <w:sz w:val="20"/>
                <w:szCs w:val="20"/>
                <w:lang w:eastAsia="en-US"/>
              </w:rPr>
            </w:pPr>
            <w:r w:rsidRPr="00A52AB8">
              <w:rPr>
                <w:b/>
                <w:bCs/>
                <w:sz w:val="20"/>
                <w:szCs w:val="20"/>
              </w:rPr>
              <w:tab/>
            </w:r>
            <w:r w:rsidRPr="00A52AB8">
              <w:rPr>
                <w:b/>
                <w:bCs/>
                <w:sz w:val="20"/>
                <w:szCs w:val="20"/>
              </w:rPr>
              <w:tab/>
            </w:r>
            <w:r w:rsidR="007E02FF" w:rsidRPr="00A52AB8">
              <w:rPr>
                <w:b/>
                <w:bCs/>
                <w:sz w:val="20"/>
                <w:szCs w:val="20"/>
              </w:rPr>
              <w:t>mcv</w:t>
            </w:r>
            <w:r w:rsidRPr="00A52AB8">
              <w:rPr>
                <w:b/>
                <w:bCs/>
                <w:sz w:val="20"/>
                <w:szCs w:val="20"/>
              </w:rPr>
              <w:t>_occupancy_height</w:t>
            </w:r>
          </w:p>
        </w:tc>
        <w:tc>
          <w:tcPr>
            <w:tcW w:w="1331" w:type="dxa"/>
            <w:vAlign w:val="center"/>
          </w:tcPr>
          <w:p w14:paraId="2AD3E98D" w14:textId="77777777" w:rsidR="001C2DB1" w:rsidRPr="00A52AB8" w:rsidRDefault="009F10F7" w:rsidP="00895494">
            <w:pPr>
              <w:keepNext/>
              <w:keepLines/>
              <w:tabs>
                <w:tab w:val="clear" w:pos="1985"/>
              </w:tabs>
              <w:overflowPunct/>
              <w:autoSpaceDE/>
              <w:autoSpaceDN/>
              <w:adjustRightInd/>
              <w:spacing w:before="20" w:after="20"/>
              <w:jc w:val="center"/>
              <w:rPr>
                <w:rFonts w:ascii="Cambria" w:hAnsi="Cambria"/>
                <w:bCs/>
                <w:sz w:val="20"/>
                <w:szCs w:val="20"/>
              </w:rPr>
            </w:pPr>
            <w:r w:rsidRPr="00A52AB8">
              <w:rPr>
                <w:bCs/>
                <w:sz w:val="20"/>
                <w:szCs w:val="20"/>
              </w:rPr>
              <w:t>ue(v)</w:t>
            </w:r>
          </w:p>
        </w:tc>
      </w:tr>
      <w:tr w:rsidR="001C2DB1" w:rsidRPr="00A52AB8" w14:paraId="24D0376F" w14:textId="77777777" w:rsidTr="00895494">
        <w:trPr>
          <w:jc w:val="center"/>
        </w:trPr>
        <w:tc>
          <w:tcPr>
            <w:tcW w:w="8411" w:type="dxa"/>
          </w:tcPr>
          <w:p w14:paraId="6AEE048B" w14:textId="77777777" w:rsidR="001C2DB1" w:rsidRPr="00A52AB8" w:rsidRDefault="001C2DB1" w:rsidP="00895494">
            <w:pPr>
              <w:keepNext/>
              <w:keepLines/>
              <w:spacing w:before="20" w:after="20"/>
              <w:jc w:val="left"/>
              <w:rPr>
                <w:rFonts w:ascii="Cambria" w:hAnsi="Cambria"/>
                <w:sz w:val="20"/>
                <w:szCs w:val="20"/>
                <w:lang w:eastAsia="en-US"/>
              </w:rPr>
            </w:pPr>
            <w:r w:rsidRPr="00A52AB8">
              <w:rPr>
                <w:sz w:val="20"/>
                <w:szCs w:val="20"/>
              </w:rPr>
              <w:tab/>
            </w:r>
            <w:r w:rsidR="009F10F7" w:rsidRPr="00A52AB8">
              <w:rPr>
                <w:sz w:val="20"/>
                <w:szCs w:val="20"/>
              </w:rPr>
              <w:t>}</w:t>
            </w:r>
          </w:p>
        </w:tc>
        <w:tc>
          <w:tcPr>
            <w:tcW w:w="1331" w:type="dxa"/>
            <w:vAlign w:val="center"/>
          </w:tcPr>
          <w:p w14:paraId="4831427B" w14:textId="77777777" w:rsidR="001C2DB1" w:rsidRPr="00A52AB8" w:rsidRDefault="001C2DB1" w:rsidP="00895494">
            <w:pPr>
              <w:keepNext/>
              <w:keepLines/>
              <w:tabs>
                <w:tab w:val="clear" w:pos="1985"/>
              </w:tabs>
              <w:overflowPunct/>
              <w:autoSpaceDE/>
              <w:autoSpaceDN/>
              <w:adjustRightInd/>
              <w:spacing w:before="20" w:after="20"/>
              <w:jc w:val="center"/>
              <w:rPr>
                <w:rFonts w:ascii="Cambria" w:hAnsi="Cambria"/>
                <w:bCs/>
                <w:sz w:val="20"/>
                <w:szCs w:val="20"/>
                <w:lang w:eastAsia="en-US"/>
              </w:rPr>
            </w:pPr>
          </w:p>
        </w:tc>
      </w:tr>
      <w:tr w:rsidR="001C2DB1" w:rsidRPr="00A52AB8" w14:paraId="768ADA34" w14:textId="77777777" w:rsidTr="00895494">
        <w:trPr>
          <w:jc w:val="center"/>
        </w:trPr>
        <w:tc>
          <w:tcPr>
            <w:tcW w:w="8411" w:type="dxa"/>
          </w:tcPr>
          <w:p w14:paraId="62EB737D" w14:textId="651E2FA9" w:rsidR="001C2DB1" w:rsidRPr="00A52AB8" w:rsidRDefault="0016605E" w:rsidP="00895494">
            <w:pPr>
              <w:keepNext/>
              <w:keepLines/>
              <w:spacing w:before="20" w:after="20"/>
              <w:jc w:val="left"/>
              <w:rPr>
                <w:rFonts w:ascii="Cambria" w:hAnsi="Cambria"/>
                <w:sz w:val="20"/>
                <w:szCs w:val="20"/>
                <w:lang w:eastAsia="en-US"/>
              </w:rPr>
            </w:pPr>
            <w:r w:rsidRPr="00A52AB8">
              <w:rPr>
                <w:sz w:val="20"/>
                <w:szCs w:val="20"/>
              </w:rPr>
              <w:tab/>
              <w:t>if(</w:t>
            </w:r>
            <w:r w:rsidR="002C493C" w:rsidRPr="00A52AB8">
              <w:rPr>
                <w:sz w:val="20"/>
                <w:szCs w:val="20"/>
              </w:rPr>
              <w:t> mcv</w:t>
            </w:r>
            <w:r w:rsidRPr="00A52AB8">
              <w:rPr>
                <w:sz w:val="20"/>
                <w:szCs w:val="20"/>
              </w:rPr>
              <w:t>_</w:t>
            </w:r>
            <w:r w:rsidR="004A658F" w:rsidRPr="00A52AB8">
              <w:rPr>
                <w:sz w:val="20"/>
                <w:szCs w:val="20"/>
              </w:rPr>
              <w:t>geometry</w:t>
            </w:r>
            <w:r w:rsidRPr="00A52AB8">
              <w:rPr>
                <w:sz w:val="20"/>
                <w:szCs w:val="20"/>
              </w:rPr>
              <w:t>_resolution_</w:t>
            </w:r>
            <w:r w:rsidR="00653019" w:rsidRPr="00A52AB8">
              <w:rPr>
                <w:sz w:val="20"/>
                <w:szCs w:val="20"/>
              </w:rPr>
              <w:t>present_</w:t>
            </w:r>
            <w:r w:rsidRPr="00A52AB8">
              <w:rPr>
                <w:sz w:val="20"/>
                <w:szCs w:val="20"/>
              </w:rPr>
              <w:t>flag</w:t>
            </w:r>
            <w:r w:rsidR="002C493C" w:rsidRPr="00A52AB8">
              <w:rPr>
                <w:sz w:val="20"/>
                <w:szCs w:val="20"/>
              </w:rPr>
              <w:t> </w:t>
            </w:r>
            <w:r w:rsidR="00900B12" w:rsidRPr="00A52AB8">
              <w:rPr>
                <w:sz w:val="20"/>
                <w:szCs w:val="20"/>
              </w:rPr>
              <w:t>) {</w:t>
            </w:r>
          </w:p>
        </w:tc>
        <w:tc>
          <w:tcPr>
            <w:tcW w:w="1331" w:type="dxa"/>
            <w:vAlign w:val="center"/>
          </w:tcPr>
          <w:p w14:paraId="7DBA7E43" w14:textId="77777777" w:rsidR="001C2DB1" w:rsidRPr="00A52AB8" w:rsidRDefault="001C2DB1" w:rsidP="00895494">
            <w:pPr>
              <w:keepNext/>
              <w:keepLines/>
              <w:tabs>
                <w:tab w:val="clear" w:pos="1985"/>
              </w:tabs>
              <w:overflowPunct/>
              <w:autoSpaceDE/>
              <w:autoSpaceDN/>
              <w:adjustRightInd/>
              <w:spacing w:before="20" w:after="20"/>
              <w:jc w:val="center"/>
              <w:rPr>
                <w:rFonts w:ascii="Cambria" w:hAnsi="Cambria"/>
                <w:bCs/>
                <w:sz w:val="20"/>
                <w:szCs w:val="20"/>
              </w:rPr>
            </w:pPr>
          </w:p>
        </w:tc>
      </w:tr>
      <w:tr w:rsidR="001C2DB1" w:rsidRPr="00A52AB8" w14:paraId="29D83058" w14:textId="77777777" w:rsidTr="00895494">
        <w:trPr>
          <w:jc w:val="center"/>
        </w:trPr>
        <w:tc>
          <w:tcPr>
            <w:tcW w:w="8411" w:type="dxa"/>
          </w:tcPr>
          <w:p w14:paraId="47E2057C" w14:textId="77777777" w:rsidR="001C2DB1" w:rsidRPr="00A52AB8" w:rsidRDefault="00531209" w:rsidP="00895494">
            <w:pPr>
              <w:keepNext/>
              <w:keepLines/>
              <w:spacing w:before="20" w:after="20"/>
              <w:jc w:val="left"/>
              <w:rPr>
                <w:rFonts w:ascii="Cambria" w:hAnsi="Cambria"/>
                <w:b/>
                <w:bCs/>
                <w:sz w:val="20"/>
                <w:szCs w:val="20"/>
                <w:lang w:eastAsia="en-US"/>
              </w:rPr>
            </w:pPr>
            <w:r w:rsidRPr="00A52AB8">
              <w:rPr>
                <w:b/>
                <w:bCs/>
                <w:sz w:val="20"/>
                <w:szCs w:val="20"/>
              </w:rPr>
              <w:tab/>
            </w:r>
            <w:r w:rsidRPr="00A52AB8">
              <w:rPr>
                <w:b/>
                <w:bCs/>
                <w:sz w:val="20"/>
                <w:szCs w:val="20"/>
              </w:rPr>
              <w:tab/>
            </w:r>
            <w:r w:rsidR="007E02FF" w:rsidRPr="00A52AB8">
              <w:rPr>
                <w:b/>
                <w:bCs/>
                <w:sz w:val="20"/>
                <w:szCs w:val="20"/>
              </w:rPr>
              <w:t>mcv</w:t>
            </w:r>
            <w:r w:rsidRPr="00A52AB8">
              <w:rPr>
                <w:b/>
                <w:bCs/>
                <w:sz w:val="20"/>
                <w:szCs w:val="20"/>
              </w:rPr>
              <w:t>_geometry_width</w:t>
            </w:r>
          </w:p>
        </w:tc>
        <w:tc>
          <w:tcPr>
            <w:tcW w:w="1331" w:type="dxa"/>
            <w:vAlign w:val="center"/>
          </w:tcPr>
          <w:p w14:paraId="44F944FB" w14:textId="77777777" w:rsidR="001C2DB1" w:rsidRPr="00A52AB8" w:rsidRDefault="009F10F7" w:rsidP="00895494">
            <w:pPr>
              <w:keepNext/>
              <w:keepLines/>
              <w:tabs>
                <w:tab w:val="clear" w:pos="1985"/>
              </w:tabs>
              <w:overflowPunct/>
              <w:autoSpaceDE/>
              <w:autoSpaceDN/>
              <w:adjustRightInd/>
              <w:spacing w:before="20" w:after="20"/>
              <w:jc w:val="center"/>
              <w:rPr>
                <w:rFonts w:ascii="Cambria" w:hAnsi="Cambria"/>
                <w:bCs/>
                <w:sz w:val="20"/>
                <w:szCs w:val="20"/>
              </w:rPr>
            </w:pPr>
            <w:r w:rsidRPr="00A52AB8">
              <w:rPr>
                <w:bCs/>
                <w:sz w:val="20"/>
                <w:szCs w:val="20"/>
              </w:rPr>
              <w:t>ue(v)</w:t>
            </w:r>
          </w:p>
        </w:tc>
      </w:tr>
      <w:tr w:rsidR="001B63A9" w:rsidRPr="00A52AB8" w14:paraId="311F011D" w14:textId="77777777" w:rsidTr="00895494">
        <w:trPr>
          <w:jc w:val="center"/>
        </w:trPr>
        <w:tc>
          <w:tcPr>
            <w:tcW w:w="8411" w:type="dxa"/>
          </w:tcPr>
          <w:p w14:paraId="65C36DAB" w14:textId="77777777" w:rsidR="001B63A9" w:rsidRPr="00A52AB8" w:rsidRDefault="00801CAE" w:rsidP="00895494">
            <w:pPr>
              <w:keepNext/>
              <w:keepLines/>
              <w:spacing w:before="20" w:after="20"/>
              <w:jc w:val="left"/>
              <w:rPr>
                <w:rFonts w:ascii="Cambria" w:hAnsi="Cambria"/>
                <w:b/>
                <w:bCs/>
                <w:sz w:val="20"/>
                <w:szCs w:val="20"/>
                <w:lang w:eastAsia="en-US"/>
              </w:rPr>
            </w:pPr>
            <w:r w:rsidRPr="00A52AB8">
              <w:rPr>
                <w:b/>
                <w:bCs/>
                <w:sz w:val="20"/>
                <w:szCs w:val="20"/>
              </w:rPr>
              <w:tab/>
            </w:r>
            <w:r w:rsidRPr="00A52AB8">
              <w:rPr>
                <w:b/>
                <w:bCs/>
                <w:sz w:val="20"/>
                <w:szCs w:val="20"/>
              </w:rPr>
              <w:tab/>
            </w:r>
            <w:r w:rsidR="007E02FF" w:rsidRPr="00A52AB8">
              <w:rPr>
                <w:b/>
                <w:bCs/>
                <w:sz w:val="20"/>
                <w:szCs w:val="20"/>
              </w:rPr>
              <w:t>mcv</w:t>
            </w:r>
            <w:r w:rsidRPr="00A52AB8">
              <w:rPr>
                <w:b/>
                <w:bCs/>
                <w:sz w:val="20"/>
                <w:szCs w:val="20"/>
              </w:rPr>
              <w:t>_geometry_height</w:t>
            </w:r>
          </w:p>
        </w:tc>
        <w:tc>
          <w:tcPr>
            <w:tcW w:w="1331" w:type="dxa"/>
            <w:vAlign w:val="center"/>
          </w:tcPr>
          <w:p w14:paraId="155320D3" w14:textId="77777777" w:rsidR="001B63A9" w:rsidRPr="00A52AB8" w:rsidRDefault="009F10F7" w:rsidP="00895494">
            <w:pPr>
              <w:keepNext/>
              <w:keepLines/>
              <w:tabs>
                <w:tab w:val="clear" w:pos="1985"/>
              </w:tabs>
              <w:overflowPunct/>
              <w:autoSpaceDE/>
              <w:autoSpaceDN/>
              <w:adjustRightInd/>
              <w:spacing w:before="20" w:after="20"/>
              <w:jc w:val="center"/>
              <w:rPr>
                <w:rFonts w:ascii="Cambria" w:hAnsi="Cambria"/>
                <w:bCs/>
                <w:sz w:val="20"/>
                <w:szCs w:val="20"/>
                <w:lang w:eastAsia="en-US"/>
              </w:rPr>
            </w:pPr>
            <w:r w:rsidRPr="00A52AB8">
              <w:rPr>
                <w:bCs/>
                <w:sz w:val="20"/>
                <w:szCs w:val="20"/>
              </w:rPr>
              <w:t>ue(v)</w:t>
            </w:r>
          </w:p>
        </w:tc>
      </w:tr>
      <w:tr w:rsidR="001C2DB1" w:rsidRPr="00A52AB8" w14:paraId="29C366CD" w14:textId="77777777" w:rsidTr="00895494">
        <w:trPr>
          <w:jc w:val="center"/>
        </w:trPr>
        <w:tc>
          <w:tcPr>
            <w:tcW w:w="8411" w:type="dxa"/>
          </w:tcPr>
          <w:p w14:paraId="0D7A93CC" w14:textId="77777777" w:rsidR="001C2DB1" w:rsidRPr="00A52AB8" w:rsidRDefault="009F10F7" w:rsidP="00895494">
            <w:pPr>
              <w:keepNext/>
              <w:keepLines/>
              <w:spacing w:before="20" w:after="20"/>
              <w:jc w:val="left"/>
              <w:rPr>
                <w:rFonts w:ascii="Cambria" w:hAnsi="Cambria"/>
                <w:sz w:val="20"/>
                <w:szCs w:val="20"/>
                <w:lang w:eastAsia="en-US"/>
              </w:rPr>
            </w:pPr>
            <w:r w:rsidRPr="00A52AB8">
              <w:rPr>
                <w:sz w:val="20"/>
                <w:szCs w:val="20"/>
              </w:rPr>
              <w:tab/>
              <w:t>}</w:t>
            </w:r>
          </w:p>
        </w:tc>
        <w:tc>
          <w:tcPr>
            <w:tcW w:w="1331" w:type="dxa"/>
            <w:vAlign w:val="center"/>
          </w:tcPr>
          <w:p w14:paraId="3284BFEB" w14:textId="77777777" w:rsidR="001C2DB1" w:rsidRPr="00A52AB8" w:rsidRDefault="001C2DB1" w:rsidP="00895494">
            <w:pPr>
              <w:keepNext/>
              <w:keepLines/>
              <w:tabs>
                <w:tab w:val="clear" w:pos="1985"/>
              </w:tabs>
              <w:overflowPunct/>
              <w:autoSpaceDE/>
              <w:autoSpaceDN/>
              <w:adjustRightInd/>
              <w:spacing w:before="20" w:after="20"/>
              <w:jc w:val="center"/>
              <w:rPr>
                <w:rFonts w:ascii="Cambria" w:hAnsi="Cambria"/>
                <w:bCs/>
                <w:sz w:val="20"/>
                <w:szCs w:val="20"/>
              </w:rPr>
            </w:pPr>
          </w:p>
        </w:tc>
      </w:tr>
      <w:tr w:rsidR="001C2DB1" w:rsidRPr="00A52AB8" w14:paraId="5BEE9C5C" w14:textId="77777777" w:rsidTr="00895494">
        <w:trPr>
          <w:jc w:val="center"/>
        </w:trPr>
        <w:tc>
          <w:tcPr>
            <w:tcW w:w="8411" w:type="dxa"/>
          </w:tcPr>
          <w:p w14:paraId="484B8470" w14:textId="52176612" w:rsidR="001C2DB1" w:rsidRPr="00A52AB8" w:rsidRDefault="0016605E" w:rsidP="00895494">
            <w:pPr>
              <w:keepNext/>
              <w:keepLines/>
              <w:spacing w:before="20" w:after="20"/>
              <w:jc w:val="left"/>
              <w:rPr>
                <w:rFonts w:ascii="Cambria" w:hAnsi="Cambria"/>
                <w:sz w:val="20"/>
                <w:szCs w:val="20"/>
                <w:lang w:eastAsia="en-US"/>
              </w:rPr>
            </w:pPr>
            <w:r w:rsidRPr="00A52AB8">
              <w:rPr>
                <w:sz w:val="20"/>
                <w:szCs w:val="20"/>
              </w:rPr>
              <w:tab/>
              <w:t>if(</w:t>
            </w:r>
            <w:r w:rsidR="002C493C" w:rsidRPr="00A52AB8">
              <w:rPr>
                <w:sz w:val="20"/>
                <w:szCs w:val="20"/>
              </w:rPr>
              <w:t> mcv</w:t>
            </w:r>
            <w:r w:rsidRPr="00A52AB8">
              <w:rPr>
                <w:sz w:val="20"/>
                <w:szCs w:val="20"/>
              </w:rPr>
              <w:t>_</w:t>
            </w:r>
            <w:r w:rsidR="004A658F" w:rsidRPr="00A52AB8">
              <w:rPr>
                <w:sz w:val="20"/>
                <w:szCs w:val="20"/>
              </w:rPr>
              <w:t>attribute</w:t>
            </w:r>
            <w:r w:rsidRPr="00A52AB8">
              <w:rPr>
                <w:sz w:val="20"/>
                <w:szCs w:val="20"/>
              </w:rPr>
              <w:t>_resolution_</w:t>
            </w:r>
            <w:r w:rsidR="00653019" w:rsidRPr="00A52AB8">
              <w:rPr>
                <w:sz w:val="20"/>
                <w:szCs w:val="20"/>
              </w:rPr>
              <w:t>present_</w:t>
            </w:r>
            <w:r w:rsidRPr="00A52AB8">
              <w:rPr>
                <w:sz w:val="20"/>
                <w:szCs w:val="20"/>
              </w:rPr>
              <w:t>flag</w:t>
            </w:r>
            <w:r w:rsidR="002C493C" w:rsidRPr="00A52AB8">
              <w:rPr>
                <w:sz w:val="20"/>
                <w:szCs w:val="20"/>
              </w:rPr>
              <w:t> </w:t>
            </w:r>
            <w:r w:rsidR="00900B12" w:rsidRPr="00A52AB8">
              <w:rPr>
                <w:sz w:val="20"/>
                <w:szCs w:val="20"/>
              </w:rPr>
              <w:t>) {</w:t>
            </w:r>
          </w:p>
        </w:tc>
        <w:tc>
          <w:tcPr>
            <w:tcW w:w="1331" w:type="dxa"/>
            <w:vAlign w:val="center"/>
          </w:tcPr>
          <w:p w14:paraId="14249ED9" w14:textId="77777777" w:rsidR="001C2DB1" w:rsidRPr="00A52AB8" w:rsidRDefault="001C2DB1" w:rsidP="00895494">
            <w:pPr>
              <w:keepNext/>
              <w:keepLines/>
              <w:tabs>
                <w:tab w:val="clear" w:pos="1985"/>
              </w:tabs>
              <w:overflowPunct/>
              <w:autoSpaceDE/>
              <w:autoSpaceDN/>
              <w:adjustRightInd/>
              <w:spacing w:before="20" w:after="20"/>
              <w:jc w:val="center"/>
              <w:rPr>
                <w:rFonts w:ascii="Cambria" w:hAnsi="Cambria"/>
                <w:bCs/>
                <w:sz w:val="20"/>
                <w:szCs w:val="20"/>
              </w:rPr>
            </w:pPr>
          </w:p>
        </w:tc>
      </w:tr>
      <w:tr w:rsidR="001B63A9" w:rsidRPr="00A52AB8" w14:paraId="66E0E5F2" w14:textId="77777777" w:rsidTr="00C86722">
        <w:trPr>
          <w:jc w:val="center"/>
        </w:trPr>
        <w:tc>
          <w:tcPr>
            <w:tcW w:w="8411" w:type="dxa"/>
          </w:tcPr>
          <w:p w14:paraId="6BF151BB" w14:textId="77777777" w:rsidR="001B63A9" w:rsidRPr="00A52AB8" w:rsidRDefault="001B63A9">
            <w:pPr>
              <w:pStyle w:val="tablesyntax"/>
              <w:tabs>
                <w:tab w:val="clear" w:pos="1985"/>
              </w:tabs>
              <w:spacing w:before="0"/>
              <w:rPr>
                <w:rFonts w:ascii="Cambria" w:hAnsi="Cambria"/>
                <w:b/>
                <w:bCs/>
              </w:rPr>
            </w:pPr>
            <w:r w:rsidRPr="00A52AB8">
              <w:rPr>
                <w:rFonts w:ascii="Cambria" w:hAnsi="Cambria"/>
                <w:b/>
                <w:bCs/>
              </w:rPr>
              <w:tab/>
            </w:r>
            <w:r w:rsidR="002C4824" w:rsidRPr="00A52AB8">
              <w:rPr>
                <w:rFonts w:ascii="Cambria" w:hAnsi="Cambria"/>
                <w:b/>
                <w:bCs/>
              </w:rPr>
              <w:tab/>
            </w:r>
            <w:r w:rsidR="007E02FF" w:rsidRPr="00A52AB8">
              <w:rPr>
                <w:rFonts w:ascii="Cambria" w:hAnsi="Cambria"/>
                <w:b/>
                <w:bCs/>
              </w:rPr>
              <w:t>mcv</w:t>
            </w:r>
            <w:r w:rsidR="002C4824" w:rsidRPr="00A52AB8">
              <w:rPr>
                <w:rFonts w:ascii="Cambria" w:hAnsi="Cambria"/>
                <w:b/>
                <w:bCs/>
              </w:rPr>
              <w:t>_attribute_width</w:t>
            </w:r>
          </w:p>
        </w:tc>
        <w:tc>
          <w:tcPr>
            <w:tcW w:w="1331" w:type="dxa"/>
          </w:tcPr>
          <w:p w14:paraId="23D96ABF" w14:textId="77777777" w:rsidR="001B63A9" w:rsidRPr="00A52AB8" w:rsidRDefault="009F10F7" w:rsidP="00895494">
            <w:pPr>
              <w:keepNext/>
              <w:keepLines/>
              <w:tabs>
                <w:tab w:val="clear" w:pos="1985"/>
              </w:tabs>
              <w:overflowPunct/>
              <w:autoSpaceDE/>
              <w:autoSpaceDN/>
              <w:adjustRightInd/>
              <w:spacing w:before="20" w:after="20"/>
              <w:jc w:val="center"/>
              <w:rPr>
                <w:rFonts w:ascii="Cambria" w:hAnsi="Cambria"/>
                <w:bCs/>
                <w:sz w:val="20"/>
                <w:szCs w:val="20"/>
                <w:lang w:eastAsia="en-US"/>
              </w:rPr>
            </w:pPr>
            <w:r w:rsidRPr="00A52AB8">
              <w:rPr>
                <w:bCs/>
                <w:sz w:val="20"/>
                <w:szCs w:val="20"/>
              </w:rPr>
              <w:t>ue(v)</w:t>
            </w:r>
          </w:p>
        </w:tc>
      </w:tr>
      <w:tr w:rsidR="009F10F7" w:rsidRPr="00A52AB8" w14:paraId="3CFC7A26" w14:textId="77777777" w:rsidTr="00C86722">
        <w:trPr>
          <w:jc w:val="center"/>
        </w:trPr>
        <w:tc>
          <w:tcPr>
            <w:tcW w:w="8411" w:type="dxa"/>
          </w:tcPr>
          <w:p w14:paraId="5CE25678" w14:textId="77777777" w:rsidR="009F10F7" w:rsidRPr="00A52AB8" w:rsidRDefault="00667AA8" w:rsidP="00C86722">
            <w:pPr>
              <w:keepNext/>
              <w:keepLines/>
              <w:spacing w:before="20" w:after="20"/>
              <w:jc w:val="left"/>
              <w:rPr>
                <w:rFonts w:ascii="Cambria" w:hAnsi="Cambria"/>
                <w:b/>
                <w:bCs/>
                <w:sz w:val="20"/>
                <w:szCs w:val="20"/>
              </w:rPr>
            </w:pPr>
            <w:r w:rsidRPr="00A52AB8">
              <w:rPr>
                <w:sz w:val="20"/>
                <w:szCs w:val="20"/>
              </w:rPr>
              <w:tab/>
            </w:r>
            <w:r w:rsidRPr="00A52AB8">
              <w:rPr>
                <w:b/>
                <w:bCs/>
                <w:sz w:val="20"/>
                <w:szCs w:val="20"/>
              </w:rPr>
              <w:tab/>
            </w:r>
            <w:r w:rsidR="007E02FF" w:rsidRPr="00A52AB8">
              <w:rPr>
                <w:b/>
                <w:bCs/>
                <w:sz w:val="20"/>
                <w:szCs w:val="20"/>
              </w:rPr>
              <w:t>mcv</w:t>
            </w:r>
            <w:r w:rsidRPr="00A52AB8">
              <w:rPr>
                <w:b/>
                <w:bCs/>
                <w:sz w:val="20"/>
                <w:szCs w:val="20"/>
              </w:rPr>
              <w:t>_attribute_height</w:t>
            </w:r>
          </w:p>
        </w:tc>
        <w:tc>
          <w:tcPr>
            <w:tcW w:w="1331" w:type="dxa"/>
          </w:tcPr>
          <w:p w14:paraId="721C2676" w14:textId="77777777" w:rsidR="009F10F7" w:rsidRPr="00A52AB8" w:rsidRDefault="009F10F7" w:rsidP="00C86722">
            <w:pPr>
              <w:keepNext/>
              <w:keepLines/>
              <w:spacing w:before="20" w:after="20"/>
              <w:jc w:val="center"/>
              <w:rPr>
                <w:rFonts w:ascii="Cambria" w:hAnsi="Cambria"/>
                <w:sz w:val="20"/>
                <w:szCs w:val="20"/>
              </w:rPr>
            </w:pPr>
            <w:r w:rsidRPr="00A52AB8">
              <w:rPr>
                <w:sz w:val="20"/>
                <w:szCs w:val="20"/>
              </w:rPr>
              <w:t>ue(v)</w:t>
            </w:r>
          </w:p>
        </w:tc>
      </w:tr>
      <w:tr w:rsidR="009F10F7" w:rsidRPr="00A52AB8" w14:paraId="3607850B" w14:textId="77777777" w:rsidTr="00C86722">
        <w:trPr>
          <w:jc w:val="center"/>
        </w:trPr>
        <w:tc>
          <w:tcPr>
            <w:tcW w:w="8411" w:type="dxa"/>
          </w:tcPr>
          <w:p w14:paraId="3CE6D241" w14:textId="77777777" w:rsidR="009F10F7" w:rsidRPr="00A52AB8" w:rsidRDefault="009F10F7" w:rsidP="009F10F7">
            <w:pPr>
              <w:keepNext/>
              <w:keepLines/>
              <w:spacing w:before="20" w:after="20"/>
              <w:jc w:val="left"/>
              <w:rPr>
                <w:rFonts w:ascii="Cambria" w:hAnsi="Cambria"/>
                <w:sz w:val="20"/>
                <w:szCs w:val="20"/>
              </w:rPr>
            </w:pPr>
            <w:r w:rsidRPr="00A52AB8">
              <w:rPr>
                <w:sz w:val="20"/>
                <w:szCs w:val="20"/>
              </w:rPr>
              <w:tab/>
              <w:t>}</w:t>
            </w:r>
          </w:p>
        </w:tc>
        <w:tc>
          <w:tcPr>
            <w:tcW w:w="1331" w:type="dxa"/>
          </w:tcPr>
          <w:p w14:paraId="7E1CE844" w14:textId="77777777" w:rsidR="009F10F7" w:rsidRPr="00A52AB8" w:rsidRDefault="009F10F7" w:rsidP="00895494">
            <w:pPr>
              <w:keepNext/>
              <w:keepLines/>
              <w:tabs>
                <w:tab w:val="clear" w:pos="1985"/>
              </w:tabs>
              <w:overflowPunct/>
              <w:autoSpaceDE/>
              <w:autoSpaceDN/>
              <w:adjustRightInd/>
              <w:spacing w:before="20" w:after="20"/>
              <w:jc w:val="center"/>
              <w:rPr>
                <w:rFonts w:ascii="Cambria" w:hAnsi="Cambria"/>
                <w:bCs/>
                <w:sz w:val="20"/>
                <w:szCs w:val="20"/>
              </w:rPr>
            </w:pPr>
          </w:p>
        </w:tc>
      </w:tr>
      <w:tr w:rsidR="001B63A9" w:rsidRPr="00A52AB8" w14:paraId="469102DF" w14:textId="77777777" w:rsidTr="00D451D4">
        <w:trPr>
          <w:trHeight w:val="68"/>
          <w:jc w:val="center"/>
        </w:trPr>
        <w:tc>
          <w:tcPr>
            <w:tcW w:w="8411" w:type="dxa"/>
          </w:tcPr>
          <w:p w14:paraId="5987D913" w14:textId="77777777" w:rsidR="001B63A9" w:rsidRPr="00A52AB8" w:rsidRDefault="001B63A9" w:rsidP="00895494">
            <w:pPr>
              <w:keepNext/>
              <w:keepLines/>
              <w:spacing w:before="20" w:after="20"/>
              <w:jc w:val="left"/>
              <w:rPr>
                <w:rFonts w:ascii="Cambria" w:hAnsi="Cambria"/>
                <w:sz w:val="20"/>
                <w:szCs w:val="20"/>
                <w:lang w:eastAsia="en-US"/>
              </w:rPr>
            </w:pPr>
            <w:r w:rsidRPr="00A52AB8">
              <w:rPr>
                <w:sz w:val="20"/>
                <w:szCs w:val="20"/>
              </w:rPr>
              <w:t>}</w:t>
            </w:r>
          </w:p>
        </w:tc>
        <w:tc>
          <w:tcPr>
            <w:tcW w:w="1331" w:type="dxa"/>
            <w:vAlign w:val="center"/>
          </w:tcPr>
          <w:p w14:paraId="4B9FA530" w14:textId="77777777" w:rsidR="001B63A9" w:rsidRPr="00A52AB8" w:rsidRDefault="001B63A9" w:rsidP="00895494">
            <w:pPr>
              <w:keepNext/>
              <w:keepLines/>
              <w:tabs>
                <w:tab w:val="clear" w:pos="1985"/>
              </w:tabs>
              <w:overflowPunct/>
              <w:autoSpaceDE/>
              <w:autoSpaceDN/>
              <w:adjustRightInd/>
              <w:spacing w:before="20" w:after="20"/>
              <w:jc w:val="center"/>
              <w:rPr>
                <w:rFonts w:ascii="Cambria" w:hAnsi="Cambria"/>
                <w:bCs/>
                <w:sz w:val="20"/>
                <w:szCs w:val="20"/>
                <w:lang w:eastAsia="en-US"/>
              </w:rPr>
            </w:pPr>
          </w:p>
        </w:tc>
      </w:tr>
    </w:tbl>
    <w:p w14:paraId="4427F616" w14:textId="77777777" w:rsidR="00F36093" w:rsidRPr="00A52AB8" w:rsidRDefault="00C279A8" w:rsidP="00F36093">
      <w:pPr>
        <w:pStyle w:val="a3"/>
        <w:numPr>
          <w:ilvl w:val="2"/>
          <w:numId w:val="19"/>
        </w:numPr>
      </w:pPr>
      <w:bookmarkStart w:id="6080" w:name="_Toc52181759"/>
      <w:r w:rsidRPr="00A52AB8">
        <w:t>Coordinate system parameters syntax</w:t>
      </w:r>
      <w:bookmarkEnd w:id="6080"/>
    </w:p>
    <w:tbl>
      <w:tblPr>
        <w:tblStyle w:val="TableGrid2"/>
        <w:tblW w:w="5000" w:type="pct"/>
        <w:jc w:val="center"/>
        <w:tblInd w:w="0" w:type="dxa"/>
        <w:tblLook w:val="04A0" w:firstRow="1" w:lastRow="0" w:firstColumn="1" w:lastColumn="0" w:noHBand="0" w:noVBand="1"/>
      </w:tblPr>
      <w:tblGrid>
        <w:gridCol w:w="8411"/>
        <w:gridCol w:w="1331"/>
      </w:tblGrid>
      <w:tr w:rsidR="002B0B01" w:rsidRPr="00A52AB8" w14:paraId="2DDCDE23" w14:textId="77777777" w:rsidTr="00A252B5">
        <w:trPr>
          <w:jc w:val="center"/>
        </w:trPr>
        <w:tc>
          <w:tcPr>
            <w:tcW w:w="7921" w:type="dxa"/>
          </w:tcPr>
          <w:p w14:paraId="4C1871FF" w14:textId="66B3AE28" w:rsidR="002B0B01" w:rsidRPr="00A52AB8" w:rsidRDefault="00134B9B" w:rsidP="002B0B01">
            <w:pPr>
              <w:pStyle w:val="tablesyntax"/>
              <w:tabs>
                <w:tab w:val="clear" w:pos="1985"/>
              </w:tabs>
              <w:spacing w:before="0"/>
              <w:rPr>
                <w:rFonts w:ascii="Cambria" w:hAnsi="Cambria"/>
                <w:lang w:eastAsia="en-US"/>
              </w:rPr>
            </w:pPr>
            <w:r w:rsidRPr="00A52AB8">
              <w:rPr>
                <w:rFonts w:ascii="Cambria" w:hAnsi="Cambria"/>
              </w:rPr>
              <w:t>coordinate_system_parameters</w:t>
            </w:r>
            <w:r w:rsidR="002B0B01" w:rsidRPr="00A52AB8">
              <w:rPr>
                <w:rFonts w:ascii="Cambria" w:hAnsi="Cambria"/>
              </w:rPr>
              <w:t>(</w:t>
            </w:r>
            <w:r w:rsidR="006B590C" w:rsidRPr="00A52AB8">
              <w:rPr>
                <w:rFonts w:ascii="Cambria" w:hAnsi="Cambria"/>
              </w:rPr>
              <w:t> </w:t>
            </w:r>
            <w:r w:rsidR="008F1F82" w:rsidRPr="00A52AB8">
              <w:rPr>
                <w:rFonts w:ascii="Cambria" w:hAnsi="Cambria"/>
              </w:rPr>
              <w:t>) {</w:t>
            </w:r>
          </w:p>
        </w:tc>
        <w:tc>
          <w:tcPr>
            <w:tcW w:w="1253" w:type="dxa"/>
          </w:tcPr>
          <w:p w14:paraId="60DA32D4" w14:textId="77777777" w:rsidR="002B0B01" w:rsidRPr="00A52AB8" w:rsidRDefault="002B0B01" w:rsidP="002B0B01">
            <w:pPr>
              <w:keepNext/>
              <w:keepLines/>
              <w:spacing w:before="20" w:after="20"/>
              <w:jc w:val="center"/>
              <w:rPr>
                <w:rFonts w:ascii="Cambria" w:hAnsi="Cambria"/>
                <w:bCs/>
                <w:sz w:val="20"/>
                <w:szCs w:val="20"/>
                <w:lang w:eastAsia="en-US"/>
              </w:rPr>
            </w:pPr>
            <w:r w:rsidRPr="00A52AB8">
              <w:rPr>
                <w:b/>
                <w:bCs/>
                <w:sz w:val="20"/>
                <w:szCs w:val="20"/>
              </w:rPr>
              <w:t>Descriptor</w:t>
            </w:r>
          </w:p>
        </w:tc>
      </w:tr>
      <w:tr w:rsidR="002B0B01" w:rsidRPr="00A52AB8" w14:paraId="31923977" w14:textId="77777777" w:rsidTr="00A252B5">
        <w:trPr>
          <w:jc w:val="center"/>
        </w:trPr>
        <w:tc>
          <w:tcPr>
            <w:tcW w:w="7921" w:type="dxa"/>
          </w:tcPr>
          <w:p w14:paraId="0D42A681" w14:textId="77777777" w:rsidR="002B0B01" w:rsidRPr="00A52AB8" w:rsidRDefault="002B0B01" w:rsidP="002B0B01">
            <w:pPr>
              <w:pStyle w:val="tablesyntax"/>
              <w:tabs>
                <w:tab w:val="clear" w:pos="1985"/>
              </w:tabs>
              <w:spacing w:before="0"/>
              <w:rPr>
                <w:rFonts w:ascii="Cambria" w:hAnsi="Cambria"/>
                <w:b/>
                <w:bCs/>
                <w:lang w:eastAsia="en-US"/>
              </w:rPr>
            </w:pPr>
            <w:r w:rsidRPr="00A52AB8">
              <w:rPr>
                <w:rFonts w:ascii="Cambria" w:hAnsi="Cambria"/>
              </w:rPr>
              <w:tab/>
            </w:r>
            <w:r w:rsidRPr="00A52AB8">
              <w:rPr>
                <w:rFonts w:ascii="Cambria" w:hAnsi="Cambria"/>
                <w:b/>
                <w:bCs/>
              </w:rPr>
              <w:t>cs</w:t>
            </w:r>
            <w:r w:rsidR="004369F2" w:rsidRPr="00A52AB8">
              <w:rPr>
                <w:rFonts w:ascii="Cambria" w:hAnsi="Cambria"/>
                <w:b/>
                <w:bCs/>
              </w:rPr>
              <w:t>p</w:t>
            </w:r>
            <w:r w:rsidRPr="00A52AB8">
              <w:rPr>
                <w:rFonts w:ascii="Cambria" w:hAnsi="Cambria"/>
                <w:b/>
                <w:bCs/>
              </w:rPr>
              <w:t>_forward_axis</w:t>
            </w:r>
          </w:p>
        </w:tc>
        <w:tc>
          <w:tcPr>
            <w:tcW w:w="1253" w:type="dxa"/>
          </w:tcPr>
          <w:p w14:paraId="50FA68C5" w14:textId="77777777" w:rsidR="002B0B01" w:rsidRPr="00A52AB8" w:rsidRDefault="002B0B01" w:rsidP="002B0B01">
            <w:pPr>
              <w:keepNext/>
              <w:keepLines/>
              <w:spacing w:before="20" w:after="20"/>
              <w:jc w:val="center"/>
              <w:rPr>
                <w:rFonts w:ascii="Cambria" w:hAnsi="Cambria"/>
                <w:bCs/>
                <w:sz w:val="20"/>
                <w:szCs w:val="20"/>
                <w:lang w:eastAsia="en-US"/>
              </w:rPr>
            </w:pPr>
            <w:r w:rsidRPr="00A52AB8">
              <w:rPr>
                <w:bCs/>
                <w:sz w:val="20"/>
                <w:szCs w:val="20"/>
              </w:rPr>
              <w:t>u(2)</w:t>
            </w:r>
          </w:p>
        </w:tc>
      </w:tr>
      <w:tr w:rsidR="002B0B01" w:rsidRPr="00A52AB8" w14:paraId="7260C17F" w14:textId="77777777" w:rsidTr="00A252B5">
        <w:trPr>
          <w:jc w:val="center"/>
        </w:trPr>
        <w:tc>
          <w:tcPr>
            <w:tcW w:w="7921" w:type="dxa"/>
          </w:tcPr>
          <w:p w14:paraId="51B35349" w14:textId="6B107638" w:rsidR="002B0B01" w:rsidRPr="00A52AB8" w:rsidRDefault="002B0B01" w:rsidP="002B0B01">
            <w:pPr>
              <w:pStyle w:val="tablesyntax"/>
              <w:tabs>
                <w:tab w:val="clear" w:pos="1985"/>
              </w:tabs>
              <w:spacing w:before="0"/>
              <w:rPr>
                <w:rFonts w:ascii="Cambria" w:hAnsi="Cambria"/>
                <w:b/>
                <w:bCs/>
                <w:lang w:eastAsia="en-US"/>
              </w:rPr>
            </w:pPr>
            <w:r w:rsidRPr="00A52AB8">
              <w:rPr>
                <w:rFonts w:ascii="Cambria" w:hAnsi="Cambria"/>
              </w:rPr>
              <w:tab/>
            </w:r>
            <w:r w:rsidRPr="00A52AB8">
              <w:rPr>
                <w:rFonts w:ascii="Cambria" w:hAnsi="Cambria"/>
                <w:b/>
                <w:bCs/>
              </w:rPr>
              <w:t>cs</w:t>
            </w:r>
            <w:r w:rsidR="004369F2" w:rsidRPr="00A52AB8">
              <w:rPr>
                <w:rFonts w:ascii="Cambria" w:hAnsi="Cambria"/>
                <w:b/>
                <w:bCs/>
              </w:rPr>
              <w:t>p</w:t>
            </w:r>
            <w:r w:rsidRPr="00A52AB8">
              <w:rPr>
                <w:rFonts w:ascii="Cambria" w:hAnsi="Cambria"/>
                <w:b/>
                <w:bCs/>
              </w:rPr>
              <w:t>_delta_left_axis</w:t>
            </w:r>
            <w:r w:rsidR="007F0C4B" w:rsidRPr="00A52AB8">
              <w:rPr>
                <w:rFonts w:ascii="Cambria" w:hAnsi="Cambria"/>
                <w:b/>
                <w:bCs/>
              </w:rPr>
              <w:t>_minus1</w:t>
            </w:r>
          </w:p>
        </w:tc>
        <w:tc>
          <w:tcPr>
            <w:tcW w:w="1253" w:type="dxa"/>
          </w:tcPr>
          <w:p w14:paraId="678EF52E" w14:textId="77777777" w:rsidR="002B0B01" w:rsidRPr="00A52AB8" w:rsidRDefault="002B0B01" w:rsidP="002B0B01">
            <w:pPr>
              <w:keepNext/>
              <w:keepLines/>
              <w:spacing w:before="20" w:after="20"/>
              <w:jc w:val="center"/>
              <w:rPr>
                <w:rFonts w:ascii="Cambria" w:hAnsi="Cambria"/>
                <w:bCs/>
                <w:sz w:val="20"/>
                <w:szCs w:val="20"/>
                <w:lang w:eastAsia="en-US"/>
              </w:rPr>
            </w:pPr>
            <w:r w:rsidRPr="00A52AB8">
              <w:rPr>
                <w:bCs/>
                <w:sz w:val="20"/>
                <w:szCs w:val="20"/>
              </w:rPr>
              <w:t>u(1)</w:t>
            </w:r>
          </w:p>
        </w:tc>
      </w:tr>
      <w:tr w:rsidR="002B0B01" w:rsidRPr="00A52AB8" w14:paraId="7AAE469F" w14:textId="77777777" w:rsidTr="00A252B5">
        <w:trPr>
          <w:jc w:val="center"/>
        </w:trPr>
        <w:tc>
          <w:tcPr>
            <w:tcW w:w="7921" w:type="dxa"/>
          </w:tcPr>
          <w:p w14:paraId="04EC1289" w14:textId="77777777" w:rsidR="002B0B01" w:rsidRPr="00A52AB8" w:rsidRDefault="002B0B01" w:rsidP="002B0B01">
            <w:pPr>
              <w:pStyle w:val="tablesyntax"/>
              <w:tabs>
                <w:tab w:val="clear" w:pos="1985"/>
              </w:tabs>
              <w:spacing w:before="0"/>
              <w:rPr>
                <w:rFonts w:ascii="Cambria" w:hAnsi="Cambria"/>
                <w:b/>
                <w:bCs/>
                <w:lang w:eastAsia="en-US"/>
              </w:rPr>
            </w:pPr>
            <w:r w:rsidRPr="00A52AB8">
              <w:rPr>
                <w:rFonts w:ascii="Cambria" w:hAnsi="Cambria"/>
              </w:rPr>
              <w:tab/>
            </w:r>
            <w:r w:rsidRPr="00A52AB8">
              <w:rPr>
                <w:rFonts w:ascii="Cambria" w:hAnsi="Cambria"/>
                <w:b/>
                <w:bCs/>
              </w:rPr>
              <w:t>cs</w:t>
            </w:r>
            <w:r w:rsidR="004369F2" w:rsidRPr="00A52AB8">
              <w:rPr>
                <w:rFonts w:ascii="Cambria" w:hAnsi="Cambria"/>
                <w:b/>
                <w:bCs/>
              </w:rPr>
              <w:t>p</w:t>
            </w:r>
            <w:r w:rsidRPr="00A52AB8">
              <w:rPr>
                <w:rFonts w:ascii="Cambria" w:hAnsi="Cambria"/>
                <w:b/>
                <w:bCs/>
              </w:rPr>
              <w:t>_forward_sign</w:t>
            </w:r>
          </w:p>
        </w:tc>
        <w:tc>
          <w:tcPr>
            <w:tcW w:w="1253" w:type="dxa"/>
          </w:tcPr>
          <w:p w14:paraId="6F8FCCBC" w14:textId="77777777" w:rsidR="002B0B01" w:rsidRPr="00A52AB8" w:rsidRDefault="002B0B01" w:rsidP="002B0B01">
            <w:pPr>
              <w:keepNext/>
              <w:keepLines/>
              <w:spacing w:before="20" w:after="20"/>
              <w:jc w:val="center"/>
              <w:rPr>
                <w:rFonts w:ascii="Cambria" w:hAnsi="Cambria"/>
                <w:bCs/>
                <w:sz w:val="20"/>
                <w:szCs w:val="20"/>
                <w:lang w:eastAsia="en-US"/>
              </w:rPr>
            </w:pPr>
            <w:r w:rsidRPr="00A52AB8">
              <w:rPr>
                <w:bCs/>
                <w:sz w:val="20"/>
                <w:szCs w:val="20"/>
              </w:rPr>
              <w:t>u(1)</w:t>
            </w:r>
          </w:p>
        </w:tc>
      </w:tr>
      <w:tr w:rsidR="002B0B01" w:rsidRPr="00A52AB8" w14:paraId="2FD484AF" w14:textId="77777777" w:rsidTr="00A252B5">
        <w:trPr>
          <w:jc w:val="center"/>
        </w:trPr>
        <w:tc>
          <w:tcPr>
            <w:tcW w:w="7921" w:type="dxa"/>
          </w:tcPr>
          <w:p w14:paraId="0AD84B8F" w14:textId="77777777" w:rsidR="002B0B01" w:rsidRPr="00A52AB8" w:rsidRDefault="002B0B01" w:rsidP="002B0B01">
            <w:pPr>
              <w:pStyle w:val="tablesyntax"/>
              <w:tabs>
                <w:tab w:val="clear" w:pos="1985"/>
              </w:tabs>
              <w:spacing w:before="0"/>
              <w:rPr>
                <w:rFonts w:ascii="Cambria" w:hAnsi="Cambria"/>
                <w:b/>
                <w:bCs/>
                <w:lang w:eastAsia="en-US"/>
              </w:rPr>
            </w:pPr>
            <w:r w:rsidRPr="00A52AB8">
              <w:rPr>
                <w:rFonts w:ascii="Cambria" w:hAnsi="Cambria"/>
              </w:rPr>
              <w:tab/>
            </w:r>
            <w:r w:rsidRPr="00A52AB8">
              <w:rPr>
                <w:rFonts w:ascii="Cambria" w:hAnsi="Cambria"/>
                <w:b/>
                <w:bCs/>
              </w:rPr>
              <w:t>cs</w:t>
            </w:r>
            <w:r w:rsidR="004369F2" w:rsidRPr="00A52AB8">
              <w:rPr>
                <w:rFonts w:ascii="Cambria" w:hAnsi="Cambria"/>
                <w:b/>
                <w:bCs/>
              </w:rPr>
              <w:t>p</w:t>
            </w:r>
            <w:r w:rsidRPr="00A52AB8">
              <w:rPr>
                <w:rFonts w:ascii="Cambria" w:hAnsi="Cambria"/>
                <w:b/>
                <w:bCs/>
              </w:rPr>
              <w:t>_left_sign</w:t>
            </w:r>
          </w:p>
        </w:tc>
        <w:tc>
          <w:tcPr>
            <w:tcW w:w="1253" w:type="dxa"/>
          </w:tcPr>
          <w:p w14:paraId="26D761ED" w14:textId="77777777" w:rsidR="002B0B01" w:rsidRPr="00A52AB8" w:rsidRDefault="002B0B01" w:rsidP="002B0B01">
            <w:pPr>
              <w:keepNext/>
              <w:keepLines/>
              <w:spacing w:before="20" w:after="20"/>
              <w:jc w:val="center"/>
              <w:rPr>
                <w:rFonts w:ascii="Cambria" w:hAnsi="Cambria"/>
                <w:bCs/>
                <w:sz w:val="20"/>
                <w:szCs w:val="20"/>
                <w:lang w:eastAsia="en-US"/>
              </w:rPr>
            </w:pPr>
            <w:r w:rsidRPr="00A52AB8">
              <w:rPr>
                <w:bCs/>
                <w:sz w:val="20"/>
                <w:szCs w:val="20"/>
              </w:rPr>
              <w:t>u(1)</w:t>
            </w:r>
          </w:p>
        </w:tc>
      </w:tr>
      <w:tr w:rsidR="002B0B01" w:rsidRPr="00A52AB8" w14:paraId="7EA6B610" w14:textId="77777777" w:rsidTr="00A252B5">
        <w:trPr>
          <w:jc w:val="center"/>
        </w:trPr>
        <w:tc>
          <w:tcPr>
            <w:tcW w:w="7921" w:type="dxa"/>
          </w:tcPr>
          <w:p w14:paraId="06F30146" w14:textId="77777777" w:rsidR="002B0B01" w:rsidRPr="00A52AB8" w:rsidRDefault="002B0B01" w:rsidP="002B0B01">
            <w:pPr>
              <w:pStyle w:val="tablesyntax"/>
              <w:tabs>
                <w:tab w:val="clear" w:pos="1985"/>
              </w:tabs>
              <w:spacing w:before="0"/>
              <w:rPr>
                <w:rFonts w:ascii="Cambria" w:hAnsi="Cambria"/>
                <w:b/>
                <w:bCs/>
                <w:lang w:eastAsia="en-US"/>
              </w:rPr>
            </w:pPr>
            <w:r w:rsidRPr="00A52AB8">
              <w:rPr>
                <w:rFonts w:ascii="Cambria" w:hAnsi="Cambria"/>
              </w:rPr>
              <w:tab/>
            </w:r>
            <w:r w:rsidRPr="00A52AB8">
              <w:rPr>
                <w:rFonts w:ascii="Cambria" w:hAnsi="Cambria"/>
                <w:b/>
                <w:bCs/>
              </w:rPr>
              <w:t>cs</w:t>
            </w:r>
            <w:r w:rsidR="004369F2" w:rsidRPr="00A52AB8">
              <w:rPr>
                <w:rFonts w:ascii="Cambria" w:hAnsi="Cambria"/>
                <w:b/>
                <w:bCs/>
              </w:rPr>
              <w:t>p</w:t>
            </w:r>
            <w:r w:rsidRPr="00A52AB8">
              <w:rPr>
                <w:rFonts w:ascii="Cambria" w:hAnsi="Cambria"/>
                <w:b/>
                <w:bCs/>
              </w:rPr>
              <w:t>_up_sign</w:t>
            </w:r>
          </w:p>
        </w:tc>
        <w:tc>
          <w:tcPr>
            <w:tcW w:w="1253" w:type="dxa"/>
          </w:tcPr>
          <w:p w14:paraId="338489C9" w14:textId="77777777" w:rsidR="002B0B01" w:rsidRPr="00A52AB8" w:rsidRDefault="002B0B01" w:rsidP="002B0B01">
            <w:pPr>
              <w:keepNext/>
              <w:keepLines/>
              <w:spacing w:before="20" w:after="20"/>
              <w:jc w:val="center"/>
              <w:rPr>
                <w:rFonts w:ascii="Cambria" w:hAnsi="Cambria"/>
                <w:bCs/>
                <w:sz w:val="20"/>
                <w:szCs w:val="20"/>
                <w:lang w:eastAsia="en-US"/>
              </w:rPr>
            </w:pPr>
            <w:r w:rsidRPr="00A52AB8">
              <w:rPr>
                <w:bCs/>
                <w:sz w:val="20"/>
                <w:szCs w:val="20"/>
              </w:rPr>
              <w:t>u(1)</w:t>
            </w:r>
          </w:p>
        </w:tc>
      </w:tr>
      <w:tr w:rsidR="002B0B01" w:rsidRPr="00A52AB8" w14:paraId="091BFB8E" w14:textId="77777777" w:rsidTr="00A252B5">
        <w:trPr>
          <w:jc w:val="center"/>
        </w:trPr>
        <w:tc>
          <w:tcPr>
            <w:tcW w:w="7921" w:type="dxa"/>
          </w:tcPr>
          <w:p w14:paraId="5CA3800B" w14:textId="77777777" w:rsidR="002B0B01" w:rsidRPr="00A52AB8" w:rsidRDefault="002B0B01" w:rsidP="002B0B01">
            <w:pPr>
              <w:pStyle w:val="tablesyntax"/>
              <w:tabs>
                <w:tab w:val="clear" w:pos="1985"/>
              </w:tabs>
              <w:spacing w:before="0"/>
              <w:rPr>
                <w:rFonts w:ascii="Cambria" w:hAnsi="Cambria"/>
                <w:lang w:eastAsia="en-US"/>
              </w:rPr>
            </w:pPr>
            <w:r w:rsidRPr="00A52AB8">
              <w:rPr>
                <w:rFonts w:ascii="Cambria" w:hAnsi="Cambria"/>
              </w:rPr>
              <w:t>}</w:t>
            </w:r>
          </w:p>
        </w:tc>
        <w:tc>
          <w:tcPr>
            <w:tcW w:w="1253" w:type="dxa"/>
          </w:tcPr>
          <w:p w14:paraId="07740622" w14:textId="77777777" w:rsidR="002B0B01" w:rsidRPr="00A52AB8" w:rsidRDefault="002B0B01" w:rsidP="002B0B01">
            <w:pPr>
              <w:keepNext/>
              <w:keepLines/>
              <w:spacing w:before="20" w:after="20"/>
              <w:jc w:val="center"/>
              <w:rPr>
                <w:rFonts w:ascii="Cambria" w:hAnsi="Cambria"/>
                <w:bCs/>
                <w:sz w:val="20"/>
                <w:szCs w:val="20"/>
                <w:lang w:eastAsia="en-US"/>
              </w:rPr>
            </w:pPr>
          </w:p>
        </w:tc>
      </w:tr>
    </w:tbl>
    <w:p w14:paraId="118E28B7" w14:textId="77777777" w:rsidR="00CE17FE" w:rsidRPr="00A52AB8" w:rsidRDefault="00CE17FE">
      <w:pPr>
        <w:pStyle w:val="a2"/>
        <w:numPr>
          <w:ilvl w:val="1"/>
          <w:numId w:val="14"/>
        </w:numPr>
        <w:tabs>
          <w:tab w:val="clear" w:pos="567"/>
          <w:tab w:val="clear" w:pos="720"/>
          <w:tab w:val="left" w:pos="403"/>
        </w:tabs>
        <w:rPr>
          <w:color w:val="000000" w:themeColor="text1"/>
        </w:rPr>
      </w:pPr>
      <w:bookmarkStart w:id="6081" w:name="_Toc52181760"/>
      <w:r w:rsidRPr="00A52AB8">
        <w:rPr>
          <w:color w:val="000000" w:themeColor="text1"/>
        </w:rPr>
        <w:t>VUI semantics</w:t>
      </w:r>
      <w:bookmarkEnd w:id="6081"/>
    </w:p>
    <w:p w14:paraId="15BCBBD1" w14:textId="77777777" w:rsidR="00CE17FE" w:rsidRPr="00A52AB8" w:rsidRDefault="00CE17FE">
      <w:pPr>
        <w:pStyle w:val="a3"/>
        <w:numPr>
          <w:ilvl w:val="2"/>
          <w:numId w:val="19"/>
        </w:numPr>
      </w:pPr>
      <w:bookmarkStart w:id="6082" w:name="_Toc52181761"/>
      <w:r w:rsidRPr="00A52AB8">
        <w:t>VUI parameters semantics</w:t>
      </w:r>
      <w:bookmarkEnd w:id="6082"/>
    </w:p>
    <w:bookmarkEnd w:id="6069"/>
    <w:bookmarkEnd w:id="6070"/>
    <w:bookmarkEnd w:id="6071"/>
    <w:bookmarkEnd w:id="6072"/>
    <w:bookmarkEnd w:id="6073"/>
    <w:bookmarkEnd w:id="6074"/>
    <w:bookmarkEnd w:id="6075"/>
    <w:bookmarkEnd w:id="6076"/>
    <w:bookmarkEnd w:id="6077"/>
    <w:bookmarkEnd w:id="6078"/>
    <w:p w14:paraId="047DF169" w14:textId="77777777" w:rsidR="00FD3B5D" w:rsidRPr="00A52AB8" w:rsidRDefault="0078453F">
      <w:r w:rsidRPr="00A52AB8">
        <w:rPr>
          <w:b/>
        </w:rPr>
        <w:t>vui</w:t>
      </w:r>
      <w:r w:rsidR="00FD3B5D" w:rsidRPr="00A52AB8">
        <w:rPr>
          <w:b/>
        </w:rPr>
        <w:t>_timing_info_present_flag</w:t>
      </w:r>
      <w:r w:rsidR="00FD3B5D" w:rsidRPr="00A52AB8">
        <w:t xml:space="preserve"> equal to 1 specifies that </w:t>
      </w:r>
      <w:r w:rsidRPr="00A52AB8">
        <w:t>vui</w:t>
      </w:r>
      <w:r w:rsidR="00FD3B5D" w:rsidRPr="00A52AB8">
        <w:t xml:space="preserve">_num_units_in_tick, </w:t>
      </w:r>
      <w:r w:rsidRPr="00A52AB8">
        <w:t>vui</w:t>
      </w:r>
      <w:r w:rsidR="00FD3B5D" w:rsidRPr="00A52AB8">
        <w:t xml:space="preserve">_time_scale, </w:t>
      </w:r>
      <w:r w:rsidRPr="00A52AB8">
        <w:t>vui</w:t>
      </w:r>
      <w:r w:rsidR="00FD3B5D" w:rsidRPr="00A52AB8">
        <w:t>_poc_</w:t>
      </w:r>
      <w:r w:rsidR="00FD3B5D" w:rsidRPr="00A52AB8">
        <w:rPr>
          <w:bCs/>
        </w:rPr>
        <w:t>proportional_to_timing_flag</w:t>
      </w:r>
      <w:r w:rsidR="00E277D4" w:rsidRPr="00A52AB8">
        <w:rPr>
          <w:bCs/>
        </w:rPr>
        <w:t>,</w:t>
      </w:r>
      <w:r w:rsidR="00FD3B5D" w:rsidRPr="00A52AB8">
        <w:rPr>
          <w:bCs/>
        </w:rPr>
        <w:t xml:space="preserve"> and </w:t>
      </w:r>
      <w:r w:rsidRPr="00A52AB8">
        <w:rPr>
          <w:bCs/>
        </w:rPr>
        <w:t>vui</w:t>
      </w:r>
      <w:r w:rsidR="00FD3B5D" w:rsidRPr="00A52AB8">
        <w:rPr>
          <w:bCs/>
        </w:rPr>
        <w:t xml:space="preserve">_hrd_parameters_present_flag </w:t>
      </w:r>
      <w:r w:rsidR="00FD3B5D" w:rsidRPr="00A52AB8">
        <w:t xml:space="preserve">are present in the </w:t>
      </w:r>
      <w:r w:rsidRPr="00A52AB8">
        <w:t>vui</w:t>
      </w:r>
      <w:r w:rsidR="00FD3B5D" w:rsidRPr="00A52AB8">
        <w:t xml:space="preserve">_parameters( ) syntax structure. </w:t>
      </w:r>
      <w:r w:rsidRPr="00A52AB8">
        <w:t>vui</w:t>
      </w:r>
      <w:r w:rsidR="00FD3B5D" w:rsidRPr="00A52AB8">
        <w:t xml:space="preserve">_timing_info_present_flag equal to 0 specifies that </w:t>
      </w:r>
      <w:r w:rsidRPr="00A52AB8">
        <w:t>vui</w:t>
      </w:r>
      <w:r w:rsidR="00FD3B5D" w:rsidRPr="00A52AB8">
        <w:t xml:space="preserve">_num_units_in_tick, </w:t>
      </w:r>
      <w:r w:rsidRPr="00A52AB8">
        <w:t>vui</w:t>
      </w:r>
      <w:r w:rsidR="00FD3B5D" w:rsidRPr="00A52AB8">
        <w:t xml:space="preserve">_time_scale, </w:t>
      </w:r>
      <w:r w:rsidRPr="00A52AB8">
        <w:t>vui</w:t>
      </w:r>
      <w:r w:rsidR="00FD3B5D" w:rsidRPr="00A52AB8">
        <w:t>_poc_</w:t>
      </w:r>
      <w:r w:rsidR="00FD3B5D" w:rsidRPr="00A52AB8">
        <w:rPr>
          <w:bCs/>
        </w:rPr>
        <w:t>proportional_to_timing_flag</w:t>
      </w:r>
      <w:r w:rsidR="00E277D4" w:rsidRPr="00A52AB8">
        <w:rPr>
          <w:bCs/>
        </w:rPr>
        <w:t>,</w:t>
      </w:r>
      <w:r w:rsidR="00FD3B5D" w:rsidRPr="00A52AB8">
        <w:rPr>
          <w:bCs/>
        </w:rPr>
        <w:t xml:space="preserve"> and </w:t>
      </w:r>
      <w:r w:rsidRPr="00A52AB8">
        <w:rPr>
          <w:bCs/>
        </w:rPr>
        <w:t>vui</w:t>
      </w:r>
      <w:r w:rsidR="00FD3B5D" w:rsidRPr="00A52AB8">
        <w:rPr>
          <w:bCs/>
        </w:rPr>
        <w:t xml:space="preserve">_hrd_parameters_present_flag </w:t>
      </w:r>
      <w:r w:rsidR="00FD3B5D" w:rsidRPr="00A52AB8">
        <w:t xml:space="preserve">are not present in the </w:t>
      </w:r>
      <w:r w:rsidRPr="00A52AB8">
        <w:t>vui</w:t>
      </w:r>
      <w:r w:rsidR="00FD3B5D" w:rsidRPr="00A52AB8">
        <w:t>_parameters( ) syntax structure.</w:t>
      </w:r>
    </w:p>
    <w:p w14:paraId="6EA2EA43" w14:textId="77777777" w:rsidR="00FD3B5D" w:rsidRPr="00A52AB8" w:rsidRDefault="0078453F">
      <w:r w:rsidRPr="00A52AB8">
        <w:rPr>
          <w:b/>
        </w:rPr>
        <w:t>vui</w:t>
      </w:r>
      <w:r w:rsidR="00FD3B5D" w:rsidRPr="00A52AB8">
        <w:rPr>
          <w:b/>
        </w:rPr>
        <w:t>_num_units_in_tick</w:t>
      </w:r>
      <w:r w:rsidR="00FD3B5D" w:rsidRPr="00A52AB8">
        <w:t xml:space="preserve"> is the number of time units of a clock operating at the frequency </w:t>
      </w:r>
      <w:r w:rsidRPr="00A52AB8">
        <w:t>vui</w:t>
      </w:r>
      <w:r w:rsidR="00FD3B5D" w:rsidRPr="00A52AB8">
        <w:t xml:space="preserve">_time_scale Hz that corresponds to one increment (called a clock tick) of a clock tick counter. </w:t>
      </w:r>
      <w:r w:rsidRPr="00A52AB8">
        <w:t>vui</w:t>
      </w:r>
      <w:r w:rsidR="00FD3B5D" w:rsidRPr="00A52AB8">
        <w:t xml:space="preserve">_num_units_in_tick shall be greater than 0. A clock tick, in units of seconds, is equal to the quotient of </w:t>
      </w:r>
      <w:r w:rsidRPr="00A52AB8">
        <w:t>vui</w:t>
      </w:r>
      <w:r w:rsidR="00FD3B5D" w:rsidRPr="00A52AB8">
        <w:t xml:space="preserve">_num_units_in_tick divided by </w:t>
      </w:r>
      <w:r w:rsidRPr="00A52AB8">
        <w:t>vui</w:t>
      </w:r>
      <w:r w:rsidR="00FD3B5D" w:rsidRPr="00A52AB8">
        <w:t xml:space="preserve">_time_scale. For example, when the </w:t>
      </w:r>
      <w:r w:rsidR="00E277D4" w:rsidRPr="00A52AB8">
        <w:t>frame</w:t>
      </w:r>
      <w:r w:rsidR="00FD3B5D" w:rsidRPr="00A52AB8">
        <w:t xml:space="preserve"> rate of a</w:t>
      </w:r>
      <w:r w:rsidR="00E277D4" w:rsidRPr="00A52AB8">
        <w:t>n</w:t>
      </w:r>
      <w:r w:rsidR="00FD3B5D" w:rsidRPr="00A52AB8">
        <w:t xml:space="preserve"> </w:t>
      </w:r>
      <w:r w:rsidR="00E277D4" w:rsidRPr="00A52AB8">
        <w:t>atlas</w:t>
      </w:r>
      <w:r w:rsidR="00FD3B5D" w:rsidRPr="00A52AB8">
        <w:t xml:space="preserve"> signal is 25 Hz, </w:t>
      </w:r>
      <w:r w:rsidRPr="00A52AB8">
        <w:t>vui</w:t>
      </w:r>
      <w:r w:rsidR="00FD3B5D" w:rsidRPr="00A52AB8">
        <w:t xml:space="preserve">_time_scale may be equal to 27 000 000 and </w:t>
      </w:r>
      <w:r w:rsidRPr="00A52AB8">
        <w:t>vui</w:t>
      </w:r>
      <w:r w:rsidR="00FD3B5D" w:rsidRPr="00A52AB8">
        <w:t>_num_units_in_tick may be equal to 1 080 000 and consequently a clock tick may be equal to 0.04 seconds.</w:t>
      </w:r>
    </w:p>
    <w:p w14:paraId="7B01F11D" w14:textId="77777777" w:rsidR="00FD3B5D" w:rsidRPr="00A52AB8" w:rsidRDefault="0078453F">
      <w:r w:rsidRPr="00A52AB8">
        <w:rPr>
          <w:b/>
        </w:rPr>
        <w:t>vui</w:t>
      </w:r>
      <w:r w:rsidR="00FD3B5D" w:rsidRPr="00A52AB8">
        <w:rPr>
          <w:b/>
        </w:rPr>
        <w:t>_time_scale</w:t>
      </w:r>
      <w:r w:rsidR="00FD3B5D" w:rsidRPr="00A52AB8">
        <w:t xml:space="preserve"> is the number of time units that pass in one second. For example, a time coordinate system that measures time using a 27 MHz clock has a </w:t>
      </w:r>
      <w:r w:rsidRPr="00A52AB8">
        <w:t>vui</w:t>
      </w:r>
      <w:r w:rsidR="00FD3B5D" w:rsidRPr="00A52AB8">
        <w:t xml:space="preserve">_time_scale of 27 000 000. The value of </w:t>
      </w:r>
      <w:r w:rsidRPr="00A52AB8">
        <w:t>vui</w:t>
      </w:r>
      <w:r w:rsidR="00FD3B5D" w:rsidRPr="00A52AB8">
        <w:t>_time_scale shall be greater than 0.</w:t>
      </w:r>
    </w:p>
    <w:p w14:paraId="148BF194" w14:textId="3BE21E44" w:rsidR="00FD3B5D" w:rsidRPr="00A52AB8" w:rsidRDefault="0078453F">
      <w:r w:rsidRPr="00A52AB8">
        <w:rPr>
          <w:b/>
        </w:rPr>
        <w:t>vui</w:t>
      </w:r>
      <w:r w:rsidR="00FD3B5D" w:rsidRPr="00A52AB8">
        <w:rPr>
          <w:b/>
        </w:rPr>
        <w:t>_poc_proportional_to_timing_flag</w:t>
      </w:r>
      <w:r w:rsidR="00FD3B5D" w:rsidRPr="00A52AB8">
        <w:t xml:space="preserve"> equal to 1 indicates that the </w:t>
      </w:r>
      <w:r w:rsidR="00E277D4" w:rsidRPr="00A52AB8">
        <w:t>atlas frame</w:t>
      </w:r>
      <w:r w:rsidR="00FD3B5D" w:rsidRPr="00A52AB8">
        <w:t xml:space="preserve"> order count value for each </w:t>
      </w:r>
      <w:r w:rsidR="00E277D4" w:rsidRPr="00A52AB8">
        <w:t>atlas</w:t>
      </w:r>
      <w:r w:rsidR="00FD3B5D" w:rsidRPr="00A52AB8">
        <w:t xml:space="preserve"> </w:t>
      </w:r>
      <w:r w:rsidR="006B6213" w:rsidRPr="00A52AB8">
        <w:t xml:space="preserve">frame </w:t>
      </w:r>
      <w:r w:rsidR="00FD3B5D" w:rsidRPr="00A52AB8">
        <w:t>in the C</w:t>
      </w:r>
      <w:r w:rsidR="00E277D4" w:rsidRPr="00A52AB8">
        <w:t>A</w:t>
      </w:r>
      <w:r w:rsidR="00FD3B5D" w:rsidRPr="00A52AB8">
        <w:t xml:space="preserve">S that is not the first </w:t>
      </w:r>
      <w:r w:rsidR="00E277D4" w:rsidRPr="00A52AB8">
        <w:t>atlas</w:t>
      </w:r>
      <w:r w:rsidR="00FD3B5D" w:rsidRPr="00A52AB8">
        <w:t xml:space="preserve"> </w:t>
      </w:r>
      <w:r w:rsidR="006B6213" w:rsidRPr="00A52AB8">
        <w:t xml:space="preserve">frame </w:t>
      </w:r>
      <w:r w:rsidR="00FD3B5D" w:rsidRPr="00A52AB8">
        <w:t xml:space="preserve">in the </w:t>
      </w:r>
      <w:r w:rsidR="00E277D4" w:rsidRPr="00A52AB8">
        <w:t>CAS</w:t>
      </w:r>
      <w:r w:rsidR="00FD3B5D" w:rsidRPr="00A52AB8">
        <w:t xml:space="preserve">, in decoding order, is proportional to the output time of the </w:t>
      </w:r>
      <w:r w:rsidR="00E277D4" w:rsidRPr="00A52AB8">
        <w:t>atlas</w:t>
      </w:r>
      <w:r w:rsidR="00FD3B5D" w:rsidRPr="00A52AB8">
        <w:t xml:space="preserve"> </w:t>
      </w:r>
      <w:r w:rsidR="006B6213" w:rsidRPr="00A52AB8">
        <w:t xml:space="preserve">frame </w:t>
      </w:r>
      <w:r w:rsidR="00FD3B5D" w:rsidRPr="00A52AB8">
        <w:t xml:space="preserve">relative to the output time of the first </w:t>
      </w:r>
      <w:r w:rsidR="00E277D4" w:rsidRPr="00A52AB8">
        <w:t>atlas</w:t>
      </w:r>
      <w:r w:rsidR="00FD3B5D" w:rsidRPr="00A52AB8">
        <w:t xml:space="preserve"> </w:t>
      </w:r>
      <w:r w:rsidR="006B6213" w:rsidRPr="00A52AB8">
        <w:t xml:space="preserve">frame </w:t>
      </w:r>
      <w:r w:rsidR="00FD3B5D" w:rsidRPr="00A52AB8">
        <w:t xml:space="preserve">in the </w:t>
      </w:r>
      <w:r w:rsidR="00E277D4" w:rsidRPr="00A52AB8">
        <w:t>CAS</w:t>
      </w:r>
      <w:r w:rsidR="00FD3B5D" w:rsidRPr="00A52AB8">
        <w:t xml:space="preserve">. </w:t>
      </w:r>
      <w:r w:rsidRPr="00A52AB8">
        <w:t>vui</w:t>
      </w:r>
      <w:r w:rsidR="00FD3B5D" w:rsidRPr="00A52AB8">
        <w:t xml:space="preserve">_poc_proportional_to_timing_flag equal to 0 indicates that the </w:t>
      </w:r>
      <w:r w:rsidR="00E277D4" w:rsidRPr="00A52AB8">
        <w:t>atlas frame</w:t>
      </w:r>
      <w:r w:rsidR="00FD3B5D" w:rsidRPr="00A52AB8">
        <w:t xml:space="preserve"> order count value for each </w:t>
      </w:r>
      <w:r w:rsidR="00E277D4" w:rsidRPr="00A52AB8">
        <w:t>atlas</w:t>
      </w:r>
      <w:r w:rsidR="00FD3B5D" w:rsidRPr="00A52AB8">
        <w:t xml:space="preserve"> </w:t>
      </w:r>
      <w:r w:rsidR="006B6213" w:rsidRPr="00A52AB8">
        <w:t xml:space="preserve">frame </w:t>
      </w:r>
      <w:r w:rsidR="00FD3B5D" w:rsidRPr="00A52AB8">
        <w:t xml:space="preserve">in the </w:t>
      </w:r>
      <w:r w:rsidR="00E277D4" w:rsidRPr="00A52AB8">
        <w:t>CAS</w:t>
      </w:r>
      <w:r w:rsidR="00FD3B5D" w:rsidRPr="00A52AB8">
        <w:t xml:space="preserve"> that is not the first </w:t>
      </w:r>
      <w:r w:rsidR="00E277D4" w:rsidRPr="00A52AB8">
        <w:t>atlas</w:t>
      </w:r>
      <w:r w:rsidR="00FD3B5D" w:rsidRPr="00A52AB8">
        <w:t xml:space="preserve"> </w:t>
      </w:r>
      <w:r w:rsidR="006B6213" w:rsidRPr="00A52AB8">
        <w:t xml:space="preserve">frame </w:t>
      </w:r>
      <w:r w:rsidR="00FD3B5D" w:rsidRPr="00A52AB8">
        <w:t xml:space="preserve">in the </w:t>
      </w:r>
      <w:r w:rsidR="00E277D4" w:rsidRPr="00A52AB8">
        <w:t>CAS</w:t>
      </w:r>
      <w:r w:rsidR="00FD3B5D" w:rsidRPr="00A52AB8">
        <w:t xml:space="preserve">, in decoding order, may or may not be proportional to the output time of the </w:t>
      </w:r>
      <w:r w:rsidR="00E277D4" w:rsidRPr="00A52AB8">
        <w:t>atlas</w:t>
      </w:r>
      <w:r w:rsidR="00FD3B5D" w:rsidRPr="00A52AB8">
        <w:t xml:space="preserve"> </w:t>
      </w:r>
      <w:r w:rsidR="006B6213" w:rsidRPr="00A52AB8">
        <w:t xml:space="preserve">frame </w:t>
      </w:r>
      <w:r w:rsidR="00FD3B5D" w:rsidRPr="00A52AB8">
        <w:t xml:space="preserve">relative to the output time of the first </w:t>
      </w:r>
      <w:r w:rsidR="00E277D4" w:rsidRPr="00A52AB8">
        <w:t>atlas</w:t>
      </w:r>
      <w:r w:rsidR="00FD3B5D" w:rsidRPr="00A52AB8">
        <w:t xml:space="preserve"> </w:t>
      </w:r>
      <w:r w:rsidR="006B6213" w:rsidRPr="00A52AB8">
        <w:t xml:space="preserve">frame </w:t>
      </w:r>
      <w:r w:rsidR="00FD3B5D" w:rsidRPr="00A52AB8">
        <w:t xml:space="preserve">in the </w:t>
      </w:r>
      <w:r w:rsidR="00E277D4" w:rsidRPr="00A52AB8">
        <w:t>CAS</w:t>
      </w:r>
      <w:r w:rsidR="00FD3B5D" w:rsidRPr="00A52AB8">
        <w:t>.</w:t>
      </w:r>
    </w:p>
    <w:p w14:paraId="57BF80F9" w14:textId="77777777" w:rsidR="00FD3B5D" w:rsidRPr="00A52AB8" w:rsidRDefault="0078453F">
      <w:r w:rsidRPr="00A52AB8">
        <w:rPr>
          <w:b/>
        </w:rPr>
        <w:t>vui</w:t>
      </w:r>
      <w:r w:rsidR="00FD3B5D" w:rsidRPr="00A52AB8">
        <w:rPr>
          <w:b/>
        </w:rPr>
        <w:t>_num_ticks_poc_diff_one_minus1</w:t>
      </w:r>
      <w:r w:rsidR="00FD3B5D" w:rsidRPr="00A52AB8">
        <w:t xml:space="preserve"> plus 1 specifies the number of clock ticks corresponding to a difference of </w:t>
      </w:r>
      <w:r w:rsidR="0027217C" w:rsidRPr="00A52AB8">
        <w:t>atlas frame</w:t>
      </w:r>
      <w:r w:rsidR="00FD3B5D" w:rsidRPr="00A52AB8">
        <w:t xml:space="preserve"> order count values equal to 1. The value of </w:t>
      </w:r>
      <w:r w:rsidRPr="00A52AB8">
        <w:t>vui</w:t>
      </w:r>
      <w:r w:rsidR="00FD3B5D" w:rsidRPr="00A52AB8">
        <w:t>_num_ticks_poc_diff_one_minus1 shall be in the range of 0 to 2</w:t>
      </w:r>
      <w:r w:rsidR="00FD3B5D" w:rsidRPr="00A52AB8">
        <w:rPr>
          <w:position w:val="6"/>
          <w:vertAlign w:val="superscript"/>
        </w:rPr>
        <w:t>32</w:t>
      </w:r>
      <w:r w:rsidR="00FD3B5D" w:rsidRPr="00A52AB8">
        <w:t> − 2, inclusive.</w:t>
      </w:r>
    </w:p>
    <w:p w14:paraId="68C3B1DD" w14:textId="77777777" w:rsidR="00FD3B5D" w:rsidRPr="00A52AB8" w:rsidRDefault="0078453F">
      <w:r w:rsidRPr="00A52AB8">
        <w:rPr>
          <w:b/>
        </w:rPr>
        <w:t>vui</w:t>
      </w:r>
      <w:r w:rsidR="00FD3B5D" w:rsidRPr="00A52AB8">
        <w:rPr>
          <w:b/>
        </w:rPr>
        <w:t>_hrd_parameters_present_flag</w:t>
      </w:r>
      <w:r w:rsidR="00FD3B5D" w:rsidRPr="00A52AB8">
        <w:t xml:space="preserve"> equal to 1 specifies that the syntax structure hrd_parameters( ) is present in the </w:t>
      </w:r>
      <w:r w:rsidRPr="00A52AB8">
        <w:t>vui</w:t>
      </w:r>
      <w:r w:rsidR="00FD3B5D" w:rsidRPr="00A52AB8">
        <w:t xml:space="preserve">_parameters( ) syntax structure. </w:t>
      </w:r>
      <w:r w:rsidRPr="00A52AB8">
        <w:t>vui</w:t>
      </w:r>
      <w:r w:rsidR="00FD3B5D" w:rsidRPr="00A52AB8">
        <w:t xml:space="preserve">_hrd_parameters_present_flag equal to 0 specifies that the syntax structure hrd_parameters( ) is not present in the </w:t>
      </w:r>
      <w:r w:rsidRPr="00A52AB8">
        <w:t>vui</w:t>
      </w:r>
      <w:r w:rsidR="00FD3B5D" w:rsidRPr="00A52AB8">
        <w:t>_parameters( ) syntax structure.</w:t>
      </w:r>
    </w:p>
    <w:p w14:paraId="368B4A38" w14:textId="505A782D" w:rsidR="00B4581E" w:rsidRPr="00A52AB8" w:rsidRDefault="00B4581E" w:rsidP="00B4581E">
      <w:r w:rsidRPr="00A52AB8">
        <w:rPr>
          <w:b/>
          <w:bCs/>
        </w:rPr>
        <w:t>vui_tile_restrictions_present_flag</w:t>
      </w:r>
      <w:r w:rsidRPr="00A52AB8">
        <w:t xml:space="preserve"> equal to 1 specifies that the syntax</w:t>
      </w:r>
      <w:r w:rsidR="00C61E38" w:rsidRPr="00A52AB8">
        <w:t xml:space="preserve"> </w:t>
      </w:r>
      <w:r w:rsidRPr="00A52AB8">
        <w:t>elements vui_fixed_atlas_tile_structure_flag, vui_fixed_video_tile_structure_flag, vui_constrained_tiles_across_v3c_components_idc, and vui_max_num_tiles_per_atlas_minus1 are present in the vui_parameters( ) syntax structure. vui_tile_restrictions_present_flag equal to 0 specifies that the syntax</w:t>
      </w:r>
      <w:r w:rsidR="00C61E38" w:rsidRPr="00A52AB8">
        <w:t xml:space="preserve"> </w:t>
      </w:r>
      <w:r w:rsidRPr="00A52AB8">
        <w:t>elements vui_fixed_atlas_tile_structure_flag, vui_fixed_video_tile_structure_flag, vui_constrained_tiles_across_v3c_components_idc, and vui_max_num_tiles_per_atlas_minus1 are not present in the vui_parameters( ) syntax structure.</w:t>
      </w:r>
    </w:p>
    <w:p w14:paraId="18AB2581" w14:textId="77777777" w:rsidR="00B4581E" w:rsidRPr="00A52AB8" w:rsidRDefault="00B4581E" w:rsidP="00B4581E">
      <w:pPr>
        <w:rPr>
          <w:bCs/>
        </w:rPr>
      </w:pPr>
      <w:r w:rsidRPr="00A52AB8">
        <w:rPr>
          <w:b/>
          <w:bCs/>
        </w:rPr>
        <w:t>vui_fixed_atlas_tile_structure_flag</w:t>
      </w:r>
      <w:r w:rsidRPr="00A52AB8">
        <w:rPr>
          <w:bCs/>
        </w:rPr>
        <w:t xml:space="preserve"> equal to 1 indicates that all the atlas frames of the current atlas shall have the same tiling structure. vui_fixed_atlas_tile_structure_flag equal to 0 indicates that atlas frames of the current atlas may or may not have the same tiling structure. When the vui_fixed_atlas_tile_structure_flag syntax element is not present, it is inferred to be equal to 0.</w:t>
      </w:r>
    </w:p>
    <w:p w14:paraId="78CA9390" w14:textId="54B12C79" w:rsidR="00B4581E" w:rsidRPr="00A52AB8" w:rsidRDefault="00B4581E" w:rsidP="00B4581E">
      <w:pPr>
        <w:rPr>
          <w:bCs/>
        </w:rPr>
      </w:pPr>
      <w:r w:rsidRPr="00A52AB8">
        <w:rPr>
          <w:b/>
          <w:bCs/>
        </w:rPr>
        <w:t xml:space="preserve">vui_fixed_video_tile_structure_flag </w:t>
      </w:r>
      <w:r w:rsidRPr="00A52AB8">
        <w:rPr>
          <w:bCs/>
        </w:rPr>
        <w:t>equal to 1 indicates that for each video sub-bitstream associated with the current atlas, all of its frames shall have the same tiling structure. vui_fixed_video_tile_structure_flag equal to 0 indicates that for each video sub-bitstream associated with the current atlas, frames may or may not have the same tiling structure. When the vui_fixed_video_tile_structure_flag syntax element is not present, it is inferred to be equal to 0.</w:t>
      </w:r>
    </w:p>
    <w:p w14:paraId="0E8BE304" w14:textId="4E556A4E" w:rsidR="00B4581E" w:rsidRPr="00A52AB8" w:rsidRDefault="00B4581E" w:rsidP="00B4581E">
      <w:pPr>
        <w:rPr>
          <w:bCs/>
        </w:rPr>
      </w:pPr>
      <w:r w:rsidRPr="00A52AB8">
        <w:rPr>
          <w:b/>
          <w:bCs/>
        </w:rPr>
        <w:t>vui_constrained_tiles_across_v3c_components_idc</w:t>
      </w:r>
      <w:r w:rsidRPr="00A52AB8">
        <w:rPr>
          <w:bCs/>
        </w:rPr>
        <w:t xml:space="preserve"> indicates whether any constraints apply to the sizes of tiles in the atlas sub-bitstream and the video tiles in the video sub-bitstreams, as specified in </w:t>
      </w:r>
      <w:r w:rsidRPr="00496A4D">
        <w:rPr>
          <w:bCs/>
        </w:rPr>
        <w:fldChar w:fldCharType="begin"/>
      </w:r>
      <w:r w:rsidRPr="00A52AB8">
        <w:rPr>
          <w:bCs/>
        </w:rPr>
        <w:instrText xml:space="preserve"> REF _Ref45530844 \h </w:instrText>
      </w:r>
      <w:r w:rsidR="006371AA" w:rsidRPr="00A52AB8">
        <w:rPr>
          <w:bCs/>
        </w:rPr>
        <w:instrText xml:space="preserve"> \* MERGEFORMAT </w:instrText>
      </w:r>
      <w:r w:rsidRPr="00496A4D">
        <w:rPr>
          <w:bCs/>
        </w:rPr>
      </w:r>
      <w:r w:rsidRPr="00496A4D">
        <w:rPr>
          <w:bCs/>
        </w:rPr>
        <w:fldChar w:fldCharType="separate"/>
      </w:r>
      <w:r w:rsidR="00507A67" w:rsidRPr="00A52AB8">
        <w:t>Table G.</w:t>
      </w:r>
      <w:r w:rsidR="00507A67">
        <w:t>7</w:t>
      </w:r>
      <w:r w:rsidRPr="00496A4D">
        <w:rPr>
          <w:bCs/>
        </w:rPr>
        <w:fldChar w:fldCharType="end"/>
      </w:r>
      <w:r w:rsidRPr="00A52AB8">
        <w:rPr>
          <w:bCs/>
        </w:rPr>
        <w:t>.</w:t>
      </w:r>
    </w:p>
    <w:p w14:paraId="2790D2EB" w14:textId="7D7DF935" w:rsidR="00B4581E" w:rsidRPr="00A52AB8" w:rsidRDefault="00B4581E" w:rsidP="00B4581E">
      <w:pPr>
        <w:pStyle w:val="Caption"/>
        <w:rPr>
          <w:rFonts w:ascii="Cambria" w:hAnsi="Cambria"/>
          <w:bCs w:val="0"/>
          <w:szCs w:val="22"/>
        </w:rPr>
      </w:pPr>
      <w:bookmarkStart w:id="6083" w:name="_Ref45530844"/>
      <w:r w:rsidRPr="00A52AB8">
        <w:rPr>
          <w:rFonts w:ascii="Cambria" w:hAnsi="Cambria"/>
        </w:rPr>
        <w:t>Table G.</w:t>
      </w:r>
      <w:r w:rsidRPr="00496A4D">
        <w:rPr>
          <w:rFonts w:ascii="Cambria" w:hAnsi="Cambria"/>
        </w:rPr>
        <w:fldChar w:fldCharType="begin"/>
      </w:r>
      <w:r w:rsidRPr="00A52AB8">
        <w:rPr>
          <w:rFonts w:ascii="Cambria" w:hAnsi="Cambria"/>
        </w:rPr>
        <w:instrText xml:space="preserve"> SEQ Table \* ARABIC \s 1 </w:instrText>
      </w:r>
      <w:r w:rsidRPr="00496A4D">
        <w:rPr>
          <w:rFonts w:ascii="Cambria" w:hAnsi="Cambria"/>
        </w:rPr>
        <w:fldChar w:fldCharType="separate"/>
      </w:r>
      <w:r w:rsidR="00507A67">
        <w:rPr>
          <w:rFonts w:ascii="Cambria" w:hAnsi="Cambria"/>
          <w:noProof/>
        </w:rPr>
        <w:t>7</w:t>
      </w:r>
      <w:r w:rsidRPr="00496A4D">
        <w:rPr>
          <w:rFonts w:ascii="Cambria" w:hAnsi="Cambria"/>
        </w:rPr>
        <w:fldChar w:fldCharType="end"/>
      </w:r>
      <w:bookmarkEnd w:id="6083"/>
      <w:r w:rsidR="008E3554" w:rsidRPr="00A52AB8">
        <w:rPr>
          <w:rFonts w:ascii="Cambria" w:hAnsi="Cambria" w:cs="Calibri"/>
          <w:bCs w:val="0"/>
        </w:rPr>
        <w:t> </w:t>
      </w:r>
      <w:r w:rsidR="008E3554" w:rsidRPr="00A52AB8">
        <w:rPr>
          <w:rFonts w:ascii="Cambria" w:hAnsi="Cambria"/>
        </w:rPr>
        <w:t>– </w:t>
      </w:r>
      <w:r w:rsidRPr="00A52AB8">
        <w:rPr>
          <w:rFonts w:ascii="Cambria" w:hAnsi="Cambria"/>
          <w:bCs w:val="0"/>
        </w:rPr>
        <w:t>Definition of vui_constrained_tiles_across_v3c_components_idc</w:t>
      </w:r>
    </w:p>
    <w:tbl>
      <w:tblPr>
        <w:tblStyle w:val="TableGrid"/>
        <w:tblW w:w="0" w:type="auto"/>
        <w:jc w:val="center"/>
        <w:tblLook w:val="04A0" w:firstRow="1" w:lastRow="0" w:firstColumn="1" w:lastColumn="0" w:noHBand="0" w:noVBand="1"/>
      </w:tblPr>
      <w:tblGrid>
        <w:gridCol w:w="790"/>
        <w:gridCol w:w="5116"/>
      </w:tblGrid>
      <w:tr w:rsidR="00B4581E" w:rsidRPr="00A52AB8" w14:paraId="6DDBA7E0" w14:textId="77777777" w:rsidTr="00534D1F">
        <w:trPr>
          <w:jc w:val="center"/>
        </w:trPr>
        <w:tc>
          <w:tcPr>
            <w:tcW w:w="0" w:type="auto"/>
          </w:tcPr>
          <w:p w14:paraId="79F83944" w14:textId="77777777" w:rsidR="00B4581E" w:rsidRPr="00A52AB8" w:rsidRDefault="00B4581E" w:rsidP="00534D1F">
            <w:pPr>
              <w:tabs>
                <w:tab w:val="left" w:pos="5490"/>
              </w:tabs>
              <w:spacing w:before="120" w:after="120"/>
              <w:jc w:val="center"/>
              <w:rPr>
                <w:b/>
                <w:bCs/>
              </w:rPr>
            </w:pPr>
            <w:r w:rsidRPr="00A52AB8">
              <w:rPr>
                <w:b/>
                <w:bCs/>
              </w:rPr>
              <w:t>Value</w:t>
            </w:r>
          </w:p>
        </w:tc>
        <w:tc>
          <w:tcPr>
            <w:tcW w:w="0" w:type="auto"/>
          </w:tcPr>
          <w:p w14:paraId="42B9D2E0" w14:textId="77777777" w:rsidR="00B4581E" w:rsidRPr="00A52AB8" w:rsidRDefault="00B4581E" w:rsidP="00534D1F">
            <w:pPr>
              <w:tabs>
                <w:tab w:val="left" w:pos="5490"/>
              </w:tabs>
              <w:spacing w:before="120" w:after="120"/>
              <w:jc w:val="center"/>
              <w:rPr>
                <w:b/>
                <w:bCs/>
              </w:rPr>
            </w:pPr>
            <w:r w:rsidRPr="00A52AB8">
              <w:rPr>
                <w:b/>
                <w:bCs/>
              </w:rPr>
              <w:t>Interpretation</w:t>
            </w:r>
          </w:p>
        </w:tc>
      </w:tr>
      <w:tr w:rsidR="00B4581E" w:rsidRPr="00A52AB8" w14:paraId="464FF995" w14:textId="77777777" w:rsidTr="00534D1F">
        <w:trPr>
          <w:jc w:val="center"/>
        </w:trPr>
        <w:tc>
          <w:tcPr>
            <w:tcW w:w="0" w:type="auto"/>
          </w:tcPr>
          <w:p w14:paraId="1EC427AD" w14:textId="77777777" w:rsidR="00B4581E" w:rsidRPr="00A52AB8" w:rsidRDefault="00B4581E" w:rsidP="00534D1F">
            <w:pPr>
              <w:tabs>
                <w:tab w:val="left" w:pos="5490"/>
              </w:tabs>
              <w:spacing w:before="120" w:after="120"/>
              <w:jc w:val="center"/>
            </w:pPr>
            <w:r w:rsidRPr="00A52AB8">
              <w:t>0</w:t>
            </w:r>
          </w:p>
        </w:tc>
        <w:tc>
          <w:tcPr>
            <w:tcW w:w="0" w:type="auto"/>
          </w:tcPr>
          <w:p w14:paraId="6632CF84" w14:textId="77777777" w:rsidR="00B4581E" w:rsidRPr="00A52AB8" w:rsidRDefault="00B4581E" w:rsidP="00534D1F">
            <w:pPr>
              <w:tabs>
                <w:tab w:val="left" w:pos="5490"/>
              </w:tabs>
              <w:spacing w:before="120" w:after="120"/>
              <w:jc w:val="center"/>
            </w:pPr>
            <w:r w:rsidRPr="00A52AB8">
              <w:t>Unconstrained</w:t>
            </w:r>
          </w:p>
        </w:tc>
      </w:tr>
      <w:tr w:rsidR="00B4581E" w:rsidRPr="00A52AB8" w14:paraId="4EA9CF1F" w14:textId="77777777" w:rsidTr="00534D1F">
        <w:trPr>
          <w:jc w:val="center"/>
        </w:trPr>
        <w:tc>
          <w:tcPr>
            <w:tcW w:w="0" w:type="auto"/>
          </w:tcPr>
          <w:p w14:paraId="0526A1EC" w14:textId="77777777" w:rsidR="00B4581E" w:rsidRPr="00A52AB8" w:rsidRDefault="00B4581E" w:rsidP="00534D1F">
            <w:pPr>
              <w:tabs>
                <w:tab w:val="left" w:pos="5490"/>
              </w:tabs>
              <w:spacing w:before="120" w:after="120"/>
              <w:jc w:val="center"/>
            </w:pPr>
            <w:r w:rsidRPr="00A52AB8">
              <w:t>1</w:t>
            </w:r>
          </w:p>
        </w:tc>
        <w:tc>
          <w:tcPr>
            <w:tcW w:w="0" w:type="auto"/>
          </w:tcPr>
          <w:p w14:paraId="361E9794" w14:textId="77777777" w:rsidR="00B4581E" w:rsidRPr="00A52AB8" w:rsidRDefault="00B4581E" w:rsidP="00534D1F">
            <w:pPr>
              <w:tabs>
                <w:tab w:val="left" w:pos="5490"/>
              </w:tabs>
              <w:spacing w:before="120" w:after="120"/>
              <w:jc w:val="center"/>
            </w:pPr>
            <w:r w:rsidRPr="00A52AB8">
              <w:t>Proportionally constrained video tiles</w:t>
            </w:r>
          </w:p>
        </w:tc>
      </w:tr>
      <w:tr w:rsidR="00B4581E" w:rsidRPr="00A52AB8" w14:paraId="48C74BE8" w14:textId="77777777" w:rsidTr="00534D1F">
        <w:trPr>
          <w:jc w:val="center"/>
        </w:trPr>
        <w:tc>
          <w:tcPr>
            <w:tcW w:w="0" w:type="auto"/>
          </w:tcPr>
          <w:p w14:paraId="637BC79A" w14:textId="77777777" w:rsidR="00B4581E" w:rsidRPr="00A52AB8" w:rsidRDefault="00B4581E" w:rsidP="00534D1F">
            <w:pPr>
              <w:tabs>
                <w:tab w:val="left" w:pos="5490"/>
              </w:tabs>
              <w:spacing w:before="120" w:after="120"/>
              <w:jc w:val="center"/>
            </w:pPr>
            <w:r w:rsidRPr="00A52AB8">
              <w:t>2</w:t>
            </w:r>
          </w:p>
        </w:tc>
        <w:tc>
          <w:tcPr>
            <w:tcW w:w="0" w:type="auto"/>
          </w:tcPr>
          <w:p w14:paraId="1EA55C01" w14:textId="77777777" w:rsidR="00B4581E" w:rsidRPr="00A52AB8" w:rsidRDefault="00B4581E" w:rsidP="00534D1F">
            <w:pPr>
              <w:tabs>
                <w:tab w:val="left" w:pos="5490"/>
              </w:tabs>
              <w:spacing w:before="120" w:after="120"/>
              <w:jc w:val="center"/>
            </w:pPr>
            <w:r w:rsidRPr="00A52AB8">
              <w:t>Atlas based constrained video tiles with exact match</w:t>
            </w:r>
          </w:p>
        </w:tc>
      </w:tr>
      <w:tr w:rsidR="00B4581E" w:rsidRPr="00A52AB8" w14:paraId="1FFBF13A" w14:textId="77777777" w:rsidTr="00534D1F">
        <w:trPr>
          <w:jc w:val="center"/>
        </w:trPr>
        <w:tc>
          <w:tcPr>
            <w:tcW w:w="0" w:type="auto"/>
          </w:tcPr>
          <w:p w14:paraId="20B7F04E" w14:textId="77777777" w:rsidR="00B4581E" w:rsidRPr="00A52AB8" w:rsidRDefault="00B4581E" w:rsidP="00534D1F">
            <w:pPr>
              <w:tabs>
                <w:tab w:val="left" w:pos="5490"/>
              </w:tabs>
              <w:spacing w:before="120" w:after="120"/>
              <w:jc w:val="center"/>
            </w:pPr>
            <w:r w:rsidRPr="00A52AB8">
              <w:t>3</w:t>
            </w:r>
          </w:p>
        </w:tc>
        <w:tc>
          <w:tcPr>
            <w:tcW w:w="0" w:type="auto"/>
          </w:tcPr>
          <w:p w14:paraId="4B8A9ED3" w14:textId="77777777" w:rsidR="00B4581E" w:rsidRPr="00A52AB8" w:rsidRDefault="00B4581E" w:rsidP="00534D1F">
            <w:pPr>
              <w:tabs>
                <w:tab w:val="left" w:pos="5490"/>
              </w:tabs>
              <w:spacing w:before="120" w:after="120"/>
              <w:jc w:val="center"/>
            </w:pPr>
            <w:r w:rsidRPr="00A52AB8">
              <w:t>Atlas based constrained video tiles</w:t>
            </w:r>
          </w:p>
        </w:tc>
      </w:tr>
      <w:tr w:rsidR="00B4581E" w:rsidRPr="00A52AB8" w14:paraId="3E4B56C1" w14:textId="77777777" w:rsidTr="00534D1F">
        <w:trPr>
          <w:jc w:val="center"/>
        </w:trPr>
        <w:tc>
          <w:tcPr>
            <w:tcW w:w="0" w:type="auto"/>
          </w:tcPr>
          <w:p w14:paraId="1F61F91E" w14:textId="77777777" w:rsidR="00B4581E" w:rsidRPr="00A52AB8" w:rsidRDefault="00B4581E" w:rsidP="00534D1F">
            <w:pPr>
              <w:tabs>
                <w:tab w:val="left" w:pos="5490"/>
              </w:tabs>
              <w:spacing w:before="120" w:after="120"/>
              <w:jc w:val="center"/>
            </w:pPr>
            <w:r w:rsidRPr="00A52AB8">
              <w:t>4</w:t>
            </w:r>
          </w:p>
        </w:tc>
        <w:tc>
          <w:tcPr>
            <w:tcW w:w="0" w:type="auto"/>
          </w:tcPr>
          <w:p w14:paraId="0C9EAC79" w14:textId="77777777" w:rsidR="00B4581E" w:rsidRPr="00A52AB8" w:rsidRDefault="00B4581E" w:rsidP="00534D1F">
            <w:pPr>
              <w:tabs>
                <w:tab w:val="left" w:pos="5490"/>
              </w:tabs>
              <w:spacing w:before="120" w:after="120"/>
              <w:jc w:val="center"/>
            </w:pPr>
            <w:r w:rsidRPr="00A52AB8">
              <w:t>Edge based constrained video tiles</w:t>
            </w:r>
          </w:p>
        </w:tc>
      </w:tr>
    </w:tbl>
    <w:p w14:paraId="6B4BF7D0" w14:textId="5DCE932B" w:rsidR="00B4581E" w:rsidRPr="00A52AB8" w:rsidRDefault="00B4581E" w:rsidP="00B4581E">
      <w:pPr>
        <w:tabs>
          <w:tab w:val="left" w:pos="5490"/>
        </w:tabs>
        <w:spacing w:before="120" w:after="120"/>
      </w:pPr>
      <w:r w:rsidRPr="00A52AB8">
        <w:t xml:space="preserve">Values outside </w:t>
      </w:r>
      <w:r w:rsidRPr="00A52AB8">
        <w:rPr>
          <w:bCs/>
        </w:rPr>
        <w:t>the 0 to 4 range</w:t>
      </w:r>
      <w:r w:rsidR="00064B64" w:rsidRPr="00A52AB8">
        <w:rPr>
          <w:bCs/>
        </w:rPr>
        <w:t>, inclusive,</w:t>
      </w:r>
      <w:r w:rsidRPr="00A52AB8">
        <w:rPr>
          <w:bCs/>
        </w:rPr>
        <w:t xml:space="preserve"> </w:t>
      </w:r>
      <w:r w:rsidRPr="00A52AB8">
        <w:t xml:space="preserve">are reserved for future use by ISO/IEC. It is a requirement of bitstream conformance that bitstreams conforming to this version of this document shall not contain such values of </w:t>
      </w:r>
      <w:r w:rsidRPr="00A52AB8">
        <w:rPr>
          <w:bCs/>
        </w:rPr>
        <w:t>vui_constrained_tiles_across_v3c_components_idc</w:t>
      </w:r>
      <w:r w:rsidRPr="00A52AB8">
        <w:t>.</w:t>
      </w:r>
    </w:p>
    <w:p w14:paraId="26690908" w14:textId="77777777" w:rsidR="0050235C" w:rsidRPr="00A52AB8" w:rsidRDefault="00B4581E" w:rsidP="00B4581E">
      <w:pPr>
        <w:rPr>
          <w:bCs/>
        </w:rPr>
      </w:pPr>
      <w:r w:rsidRPr="00A52AB8">
        <w:rPr>
          <w:bCs/>
        </w:rPr>
        <w:t>Video tiles can be independent coding units defined by the video or image coding specification and may vary in name according to such specification. Names could include slices, partitions, tiles, or sub-pictures, among others. Some specifications may not support multiple tiles, i.e. are limited to a single video tile. The specification of such tiles is outside the scope of this document.</w:t>
      </w:r>
    </w:p>
    <w:p w14:paraId="21EBC92B" w14:textId="14BCB499" w:rsidR="00B4581E" w:rsidRPr="00A52AB8" w:rsidRDefault="00B4581E" w:rsidP="00B4581E">
      <w:pPr>
        <w:rPr>
          <w:bCs/>
        </w:rPr>
      </w:pPr>
      <w:r w:rsidRPr="00A52AB8">
        <w:rPr>
          <w:bCs/>
        </w:rPr>
        <w:t xml:space="preserve">vui_constrained_tiles_across_v3c_components_idc equal to 0 means that the tile sizes of the video are constrained only by the video coding specification used. The tile sizes of the atlas sub-bitstream are constrained by </w:t>
      </w:r>
      <w:r w:rsidR="00B455AC" w:rsidRPr="00A52AB8">
        <w:rPr>
          <w:bCs/>
        </w:rPr>
        <w:t>this document</w:t>
      </w:r>
      <w:r w:rsidRPr="00A52AB8">
        <w:rPr>
          <w:bCs/>
        </w:rPr>
        <w:t>.</w:t>
      </w:r>
    </w:p>
    <w:p w14:paraId="6D912E84" w14:textId="77777777" w:rsidR="00B4581E" w:rsidRPr="00A52AB8" w:rsidRDefault="00B4581E" w:rsidP="00B4581E">
      <w:pPr>
        <w:rPr>
          <w:bCs/>
        </w:rPr>
      </w:pPr>
      <w:r w:rsidRPr="00A52AB8">
        <w:rPr>
          <w:bCs/>
        </w:rPr>
        <w:t>vui_constrained_tiles_across_v3c_components_idc equal to 1 means that the tile sizes of the video and atlas sub-bitstreams are constrained as follows:</w:t>
      </w:r>
    </w:p>
    <w:p w14:paraId="6CCA84DB" w14:textId="411EC5BD" w:rsidR="0050235C" w:rsidRPr="00A52AB8" w:rsidRDefault="00B4581E" w:rsidP="00B4581E">
      <w:pPr>
        <w:rPr>
          <w:bCs/>
        </w:rPr>
      </w:pPr>
      <w:r w:rsidRPr="00A52AB8">
        <w:rPr>
          <w:bCs/>
        </w:rPr>
        <w:t xml:space="preserve">For each tile in the atlas sub-bitstream, there is a corresponding video tile for each video sub-bitstream present (attributes, geometry, and occupancy) such that the video tile, when scaled to the nominal format, as defined in Annex </w:t>
      </w:r>
      <w:r w:rsidRPr="00496A4D">
        <w:rPr>
          <w:bCs/>
        </w:rPr>
        <w:fldChar w:fldCharType="begin"/>
      </w:r>
      <w:r w:rsidRPr="00A52AB8">
        <w:rPr>
          <w:bCs/>
        </w:rPr>
        <w:instrText xml:space="preserve"> REF _Ref41560808 \r \h </w:instrText>
      </w:r>
      <w:r w:rsidR="006371AA" w:rsidRPr="00A52AB8">
        <w:rPr>
          <w:bCs/>
        </w:rPr>
        <w:instrText xml:space="preserve"> \* MERGEFORMAT </w:instrText>
      </w:r>
      <w:r w:rsidRPr="00496A4D">
        <w:rPr>
          <w:bCs/>
        </w:rPr>
      </w:r>
      <w:r w:rsidRPr="00496A4D">
        <w:rPr>
          <w:bCs/>
        </w:rPr>
        <w:fldChar w:fldCharType="separate"/>
      </w:r>
      <w:r w:rsidR="00507A67">
        <w:rPr>
          <w:bCs/>
        </w:rPr>
        <w:t>B.2</w:t>
      </w:r>
      <w:r w:rsidRPr="00496A4D">
        <w:rPr>
          <w:bCs/>
        </w:rPr>
        <w:fldChar w:fldCharType="end"/>
      </w:r>
      <w:r w:rsidRPr="00A52AB8">
        <w:rPr>
          <w:bCs/>
        </w:rPr>
        <w:t>, represents exactly the same area on the atlas as the corresponding atlas tile.</w:t>
      </w:r>
    </w:p>
    <w:p w14:paraId="58C47720" w14:textId="6A505C7F" w:rsidR="00B4581E" w:rsidRPr="00A52AB8" w:rsidRDefault="00B4581E" w:rsidP="00B4581E">
      <w:pPr>
        <w:pStyle w:val="Note"/>
        <w:spacing w:after="120"/>
        <w:ind w:firstLine="792"/>
      </w:pPr>
      <w:r w:rsidRPr="00A52AB8">
        <w:t>NOTE </w:t>
      </w:r>
      <w:r w:rsidR="00ED42A3" w:rsidRPr="00496A4D">
        <w:fldChar w:fldCharType="begin"/>
      </w:r>
      <w:r w:rsidR="00ED42A3" w:rsidRPr="00A52AB8">
        <w:instrText xml:space="preserve"> SEQ NoteCounter \r 1 \s 9 \* MERGEFORMAT </w:instrText>
      </w:r>
      <w:r w:rsidR="00ED42A3" w:rsidRPr="00496A4D">
        <w:fldChar w:fldCharType="separate"/>
      </w:r>
      <w:r w:rsidR="00507A67">
        <w:rPr>
          <w:noProof/>
        </w:rPr>
        <w:t>1</w:t>
      </w:r>
      <w:r w:rsidR="00ED42A3" w:rsidRPr="00496A4D">
        <w:fldChar w:fldCharType="end"/>
      </w:r>
      <w:r w:rsidRPr="00A52AB8">
        <w:t> –</w:t>
      </w:r>
      <w:r w:rsidR="008034A3" w:rsidRPr="00A52AB8">
        <w:t> </w:t>
      </w:r>
      <w:r w:rsidRPr="00A52AB8">
        <w:t>In this version of this document the nominal format has the same resolution as the atlas.</w:t>
      </w:r>
    </w:p>
    <w:p w14:paraId="041AF200" w14:textId="77777777" w:rsidR="00B4581E" w:rsidRPr="00A52AB8" w:rsidRDefault="00B4581E" w:rsidP="00B4581E">
      <w:pPr>
        <w:rPr>
          <w:bCs/>
        </w:rPr>
      </w:pPr>
      <w:r w:rsidRPr="00A52AB8">
        <w:rPr>
          <w:bCs/>
        </w:rPr>
        <w:t>Let the width and height of the video be videoWidth and videoHeight, respectively. Let the width and height of the video tile be videoTileWidth and videoTileHeight, respectively. Let the width and height of the atlas tile be atlasTileWidth and atlasTileHeight, respectively. Then,</w:t>
      </w:r>
    </w:p>
    <w:p w14:paraId="18C2A8A5" w14:textId="58F0BD06" w:rsidR="00B4581E" w:rsidRPr="00A52AB8" w:rsidRDefault="00B4581E" w:rsidP="00F01345">
      <w:pPr>
        <w:ind w:left="360"/>
        <w:rPr>
          <w:bCs/>
        </w:rPr>
      </w:pPr>
      <w:r w:rsidRPr="00A52AB8">
        <w:rPr>
          <w:bCs/>
        </w:rPr>
        <w:t>videoTileWidth</w:t>
      </w:r>
      <w:r w:rsidR="00D47707" w:rsidRPr="00A52AB8">
        <w:rPr>
          <w:bCs/>
        </w:rPr>
        <w:t> = </w:t>
      </w:r>
      <w:r w:rsidRPr="00A52AB8">
        <w:rPr>
          <w:bCs/>
        </w:rPr>
        <w:t>atlasTileWidth </w:t>
      </w:r>
      <w:r w:rsidR="00064B64" w:rsidRPr="00A52AB8">
        <w:rPr>
          <w:bCs/>
        </w:rPr>
        <w:t>*</w:t>
      </w:r>
      <w:r w:rsidRPr="00A52AB8">
        <w:rPr>
          <w:bCs/>
        </w:rPr>
        <w:t> videoWidth / asps_frame_width and</w:t>
      </w:r>
    </w:p>
    <w:p w14:paraId="7ECC6FB8" w14:textId="2690784E" w:rsidR="00B4581E" w:rsidRPr="00A52AB8" w:rsidRDefault="00B4581E" w:rsidP="00F01345">
      <w:pPr>
        <w:ind w:left="360"/>
        <w:rPr>
          <w:bCs/>
        </w:rPr>
      </w:pPr>
      <w:r w:rsidRPr="00A52AB8">
        <w:rPr>
          <w:bCs/>
        </w:rPr>
        <w:t>videoTileHeight</w:t>
      </w:r>
      <w:r w:rsidR="00D47707" w:rsidRPr="00A52AB8">
        <w:rPr>
          <w:bCs/>
        </w:rPr>
        <w:t> = </w:t>
      </w:r>
      <w:r w:rsidRPr="00A52AB8">
        <w:rPr>
          <w:bCs/>
        </w:rPr>
        <w:t>atlasTileHeight </w:t>
      </w:r>
      <w:r w:rsidR="00064B64" w:rsidRPr="00A52AB8">
        <w:rPr>
          <w:bCs/>
        </w:rPr>
        <w:t>*</w:t>
      </w:r>
      <w:r w:rsidRPr="00A52AB8">
        <w:rPr>
          <w:bCs/>
        </w:rPr>
        <w:t> videoHeight / asps_frame_height.</w:t>
      </w:r>
    </w:p>
    <w:p w14:paraId="03E6E560" w14:textId="77777777" w:rsidR="00B4581E" w:rsidRPr="00A52AB8" w:rsidRDefault="00B4581E" w:rsidP="00B4581E">
      <w:pPr>
        <w:rPr>
          <w:bCs/>
        </w:rPr>
      </w:pPr>
      <w:r w:rsidRPr="00A52AB8">
        <w:rPr>
          <w:bCs/>
        </w:rPr>
        <w:t>It shall be possible to decode each video tile that corresponds to a tile in the atlas sub-bitstream without reference to any information from other video tiles in that sub-bitstream.</w:t>
      </w:r>
    </w:p>
    <w:p w14:paraId="4BFA4D58" w14:textId="77777777" w:rsidR="00B4581E" w:rsidRPr="00A52AB8" w:rsidRDefault="00B4581E" w:rsidP="00B4581E">
      <w:pPr>
        <w:rPr>
          <w:bCs/>
        </w:rPr>
      </w:pPr>
      <w:r w:rsidRPr="00A52AB8">
        <w:rPr>
          <w:bCs/>
        </w:rPr>
        <w:t>vui_constrained_tiles_across_v3c_components_idc equal to 2 means that the tile sizes of the video and atlas sub-bitstreams are constrained as follows:</w:t>
      </w:r>
    </w:p>
    <w:p w14:paraId="5C760F05" w14:textId="24D7A2F9" w:rsidR="00B4581E" w:rsidRPr="00A52AB8" w:rsidRDefault="00B4581E" w:rsidP="0017580F">
      <w:pPr>
        <w:ind w:left="403"/>
        <w:rPr>
          <w:bCs/>
        </w:rPr>
      </w:pPr>
      <w:r w:rsidRPr="00A52AB8">
        <w:rPr>
          <w:bCs/>
        </w:rPr>
        <w:t xml:space="preserve">For each tile in the atlas sub-bitstream, there is a set of video tiles for each video sub-bitstream present (occupancy, geometry, and attributes) such that the set of video tiles, when scaled to the nominal format, as defined in Annex </w:t>
      </w:r>
      <w:r w:rsidRPr="00496A4D">
        <w:rPr>
          <w:bCs/>
        </w:rPr>
        <w:fldChar w:fldCharType="begin"/>
      </w:r>
      <w:r w:rsidRPr="00A52AB8">
        <w:rPr>
          <w:bCs/>
        </w:rPr>
        <w:instrText xml:space="preserve"> REF _Ref41560808 \r \h </w:instrText>
      </w:r>
      <w:r w:rsidR="006371AA" w:rsidRPr="00A52AB8">
        <w:rPr>
          <w:bCs/>
        </w:rPr>
        <w:instrText xml:space="preserve"> \* MERGEFORMAT </w:instrText>
      </w:r>
      <w:r w:rsidRPr="00496A4D">
        <w:rPr>
          <w:bCs/>
        </w:rPr>
      </w:r>
      <w:r w:rsidRPr="00496A4D">
        <w:rPr>
          <w:bCs/>
        </w:rPr>
        <w:fldChar w:fldCharType="separate"/>
      </w:r>
      <w:r w:rsidR="00507A67">
        <w:rPr>
          <w:bCs/>
        </w:rPr>
        <w:t>B.2</w:t>
      </w:r>
      <w:r w:rsidRPr="00496A4D">
        <w:rPr>
          <w:bCs/>
        </w:rPr>
        <w:fldChar w:fldCharType="end"/>
      </w:r>
      <w:r w:rsidRPr="00A52AB8">
        <w:rPr>
          <w:bCs/>
        </w:rPr>
        <w:t>, together, represent exactly the same area on the atlas as the atlas tile.</w:t>
      </w:r>
    </w:p>
    <w:p w14:paraId="382B1BCB" w14:textId="6A5F0155" w:rsidR="00B4581E" w:rsidRPr="00A52AB8" w:rsidRDefault="00B4581E" w:rsidP="00B4581E">
      <w:pPr>
        <w:pStyle w:val="Note"/>
        <w:spacing w:after="120"/>
        <w:ind w:firstLine="792"/>
      </w:pPr>
      <w:r w:rsidRPr="00A52AB8">
        <w:t>NOTE </w:t>
      </w:r>
      <w:r w:rsidR="00ED42A3" w:rsidRPr="00496A4D">
        <w:fldChar w:fldCharType="begin"/>
      </w:r>
      <w:r w:rsidR="00ED42A3" w:rsidRPr="00A52AB8">
        <w:instrText xml:space="preserve"> SEQ NoteCounter \s 9 \* MERGEFORMAT </w:instrText>
      </w:r>
      <w:r w:rsidR="00ED42A3" w:rsidRPr="00496A4D">
        <w:fldChar w:fldCharType="separate"/>
      </w:r>
      <w:r w:rsidR="00507A67">
        <w:rPr>
          <w:noProof/>
        </w:rPr>
        <w:t>2</w:t>
      </w:r>
      <w:r w:rsidR="00ED42A3" w:rsidRPr="00496A4D">
        <w:fldChar w:fldCharType="end"/>
      </w:r>
      <w:r w:rsidRPr="00A52AB8">
        <w:t> –</w:t>
      </w:r>
      <w:r w:rsidR="008034A3" w:rsidRPr="00A52AB8">
        <w:t> </w:t>
      </w:r>
      <w:r w:rsidRPr="00A52AB8">
        <w:t>In this version of this document the nominal format has the same resolution as the atlas.</w:t>
      </w:r>
    </w:p>
    <w:p w14:paraId="68D60094" w14:textId="77777777" w:rsidR="00B4581E" w:rsidRPr="00A52AB8" w:rsidRDefault="00B4581E" w:rsidP="00B4581E">
      <w:pPr>
        <w:rPr>
          <w:bCs/>
        </w:rPr>
      </w:pPr>
      <w:r w:rsidRPr="00A52AB8">
        <w:rPr>
          <w:bCs/>
        </w:rPr>
        <w:t>It shall be possible to decode each set of video tiles that corresponds to a tile in the atlas sub-bitstream without reference to any information from video tiles from that sub-bitstream that are outside that set.</w:t>
      </w:r>
    </w:p>
    <w:p w14:paraId="74E112B1" w14:textId="77777777" w:rsidR="00B4581E" w:rsidRPr="00A52AB8" w:rsidRDefault="00B4581E" w:rsidP="00B4581E">
      <w:pPr>
        <w:rPr>
          <w:bCs/>
        </w:rPr>
      </w:pPr>
      <w:r w:rsidRPr="00A52AB8">
        <w:rPr>
          <w:bCs/>
        </w:rPr>
        <w:t>vui_constrained_tiles_across_v3c_components_idc equal to 3 means that the tile sizes of the video and atlas sub-bitstreams are constrained as follows:</w:t>
      </w:r>
    </w:p>
    <w:p w14:paraId="799703D6" w14:textId="2C9E6B5F" w:rsidR="00B4581E" w:rsidRPr="00A52AB8" w:rsidRDefault="00B4581E" w:rsidP="00734C2B">
      <w:pPr>
        <w:ind w:left="403"/>
        <w:rPr>
          <w:bCs/>
        </w:rPr>
      </w:pPr>
      <w:r w:rsidRPr="00A52AB8">
        <w:rPr>
          <w:bCs/>
        </w:rPr>
        <w:t xml:space="preserve">For each tile in the atlas sub-bitstream, there is a </w:t>
      </w:r>
      <w:r w:rsidR="00D24766" w:rsidRPr="00A52AB8">
        <w:rPr>
          <w:bCs/>
        </w:rPr>
        <w:t xml:space="preserve">corresponding </w:t>
      </w:r>
      <w:r w:rsidRPr="00A52AB8">
        <w:rPr>
          <w:bCs/>
        </w:rPr>
        <w:t xml:space="preserve">video tile for each video sub-bitstream present (occupancy, geometry, and attributes) such that the video tile, when scaled to the nominal format, as defined in Annex </w:t>
      </w:r>
      <w:r w:rsidRPr="00496A4D">
        <w:rPr>
          <w:bCs/>
        </w:rPr>
        <w:fldChar w:fldCharType="begin"/>
      </w:r>
      <w:r w:rsidRPr="00A52AB8">
        <w:rPr>
          <w:bCs/>
        </w:rPr>
        <w:instrText xml:space="preserve"> REF _Ref41560808 \r \h </w:instrText>
      </w:r>
      <w:r w:rsidR="006371AA" w:rsidRPr="00A52AB8">
        <w:rPr>
          <w:bCs/>
        </w:rPr>
        <w:instrText xml:space="preserve"> \* MERGEFORMAT </w:instrText>
      </w:r>
      <w:r w:rsidRPr="00496A4D">
        <w:rPr>
          <w:bCs/>
        </w:rPr>
      </w:r>
      <w:r w:rsidRPr="00496A4D">
        <w:rPr>
          <w:bCs/>
        </w:rPr>
        <w:fldChar w:fldCharType="separate"/>
      </w:r>
      <w:r w:rsidR="00507A67">
        <w:rPr>
          <w:bCs/>
        </w:rPr>
        <w:t>B.2</w:t>
      </w:r>
      <w:r w:rsidRPr="00496A4D">
        <w:rPr>
          <w:bCs/>
        </w:rPr>
        <w:fldChar w:fldCharType="end"/>
      </w:r>
      <w:r w:rsidRPr="00A52AB8">
        <w:rPr>
          <w:bCs/>
        </w:rPr>
        <w:t>, represents an area on the atlas that is greater than or equal to the area represented by the atlas tile.</w:t>
      </w:r>
    </w:p>
    <w:p w14:paraId="317B2C8B" w14:textId="49E722C4" w:rsidR="00B4581E" w:rsidRPr="00A52AB8" w:rsidRDefault="00B4581E" w:rsidP="00B4581E">
      <w:pPr>
        <w:pStyle w:val="Note"/>
        <w:spacing w:after="120"/>
        <w:ind w:firstLine="792"/>
      </w:pPr>
      <w:r w:rsidRPr="00A52AB8">
        <w:t>NOTE </w:t>
      </w:r>
      <w:r w:rsidR="00ED42A3" w:rsidRPr="00496A4D">
        <w:fldChar w:fldCharType="begin"/>
      </w:r>
      <w:r w:rsidR="00ED42A3" w:rsidRPr="00A52AB8">
        <w:instrText xml:space="preserve"> SEQ NoteCounter \s 9 \* MERGEFORMAT </w:instrText>
      </w:r>
      <w:r w:rsidR="00ED42A3" w:rsidRPr="00496A4D">
        <w:fldChar w:fldCharType="separate"/>
      </w:r>
      <w:r w:rsidR="00507A67">
        <w:rPr>
          <w:noProof/>
        </w:rPr>
        <w:t>3</w:t>
      </w:r>
      <w:r w:rsidR="00ED42A3" w:rsidRPr="00496A4D">
        <w:fldChar w:fldCharType="end"/>
      </w:r>
      <w:r w:rsidRPr="00A52AB8">
        <w:t> –</w:t>
      </w:r>
      <w:r w:rsidR="008034A3" w:rsidRPr="00A52AB8">
        <w:t> </w:t>
      </w:r>
      <w:r w:rsidRPr="00A52AB8">
        <w:t>In this version of this document the nominal format has the same resolution as the atlas.</w:t>
      </w:r>
    </w:p>
    <w:p w14:paraId="5D689774" w14:textId="77777777" w:rsidR="00B4581E" w:rsidRPr="00A52AB8" w:rsidRDefault="00B4581E" w:rsidP="00B4581E">
      <w:pPr>
        <w:rPr>
          <w:bCs/>
        </w:rPr>
      </w:pPr>
      <w:r w:rsidRPr="00A52AB8">
        <w:rPr>
          <w:bCs/>
        </w:rPr>
        <w:t>The number of luma samples in the video tile shall be less than or equal to the number of samples in the atlas tile.</w:t>
      </w:r>
    </w:p>
    <w:p w14:paraId="10871782" w14:textId="77777777" w:rsidR="00B4581E" w:rsidRPr="00A52AB8" w:rsidRDefault="00B4581E" w:rsidP="00B4581E">
      <w:pPr>
        <w:rPr>
          <w:bCs/>
        </w:rPr>
      </w:pPr>
      <w:r w:rsidRPr="00A52AB8">
        <w:rPr>
          <w:bCs/>
        </w:rPr>
        <w:t>It shall be possible to decode each video tile that corresponds to a tile in the atlas sub-bitstream without reference to any information from other video tiles in that sub-bitstream.</w:t>
      </w:r>
    </w:p>
    <w:p w14:paraId="299D8BF4" w14:textId="470457F1" w:rsidR="00B4581E" w:rsidRPr="00A52AB8" w:rsidRDefault="00B4581E" w:rsidP="00B4581E">
      <w:pPr>
        <w:rPr>
          <w:bCs/>
        </w:rPr>
      </w:pPr>
      <w:r w:rsidRPr="00A52AB8">
        <w:rPr>
          <w:bCs/>
        </w:rPr>
        <w:t xml:space="preserve">vui_constrained_tiles_across_video_components_idc equal to 4 means that for all video sub-bitstreams, the tiling pattern, after scaling to the nominal format, as defined in Annex </w:t>
      </w:r>
      <w:r w:rsidRPr="00496A4D">
        <w:rPr>
          <w:bCs/>
        </w:rPr>
        <w:fldChar w:fldCharType="begin"/>
      </w:r>
      <w:r w:rsidRPr="00A52AB8">
        <w:rPr>
          <w:bCs/>
        </w:rPr>
        <w:instrText xml:space="preserve"> REF _Ref41560808 \r \h </w:instrText>
      </w:r>
      <w:r w:rsidR="006371AA" w:rsidRPr="00A52AB8">
        <w:rPr>
          <w:bCs/>
        </w:rPr>
        <w:instrText xml:space="preserve"> \* MERGEFORMAT </w:instrText>
      </w:r>
      <w:r w:rsidRPr="00496A4D">
        <w:rPr>
          <w:bCs/>
        </w:rPr>
      </w:r>
      <w:r w:rsidRPr="00496A4D">
        <w:rPr>
          <w:bCs/>
        </w:rPr>
        <w:fldChar w:fldCharType="separate"/>
      </w:r>
      <w:r w:rsidR="00507A67">
        <w:rPr>
          <w:bCs/>
        </w:rPr>
        <w:t>B.2</w:t>
      </w:r>
      <w:r w:rsidRPr="00496A4D">
        <w:rPr>
          <w:bCs/>
        </w:rPr>
        <w:fldChar w:fldCharType="end"/>
      </w:r>
      <w:r w:rsidRPr="00A52AB8">
        <w:rPr>
          <w:bCs/>
        </w:rPr>
        <w:t>, is considered, is such that one of the following must hold for any pair of tiles, X from one sub-bitstream and Y from another sub</w:t>
      </w:r>
      <w:r w:rsidRPr="00A52AB8">
        <w:rPr>
          <w:bCs/>
        </w:rPr>
        <w:noBreakHyphen/>
        <w:t>bitstream:</w:t>
      </w:r>
    </w:p>
    <w:p w14:paraId="1C0ECC2F" w14:textId="77777777" w:rsidR="00B4581E" w:rsidRPr="00A52AB8" w:rsidRDefault="00B4581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X and Y are non-overlapping</w:t>
      </w:r>
    </w:p>
    <w:p w14:paraId="7EBBF7EB" w14:textId="77777777" w:rsidR="00B4581E" w:rsidRPr="00A52AB8" w:rsidRDefault="00B4581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X is completely contained in Y</w:t>
      </w:r>
    </w:p>
    <w:p w14:paraId="0C22F234" w14:textId="77777777" w:rsidR="00B4581E" w:rsidRPr="00A52AB8" w:rsidRDefault="00B4581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Y is completely contained in X.</w:t>
      </w:r>
    </w:p>
    <w:p w14:paraId="33B263DF" w14:textId="77777777" w:rsidR="00B4581E" w:rsidRPr="00A52AB8" w:rsidRDefault="00B4581E" w:rsidP="00B4581E">
      <w:r w:rsidRPr="00A52AB8">
        <w:rPr>
          <w:bCs/>
        </w:rPr>
        <w:t>It shall be possible to decode each tile in the video sub-bitstreams without reference to any information from other tiles in that video bitstream.</w:t>
      </w:r>
    </w:p>
    <w:p w14:paraId="5DAE3794" w14:textId="2282FD5C" w:rsidR="00B4581E" w:rsidRPr="00A52AB8" w:rsidRDefault="00B4581E" w:rsidP="00B4581E">
      <w:pPr>
        <w:pStyle w:val="Note"/>
        <w:spacing w:after="120"/>
        <w:ind w:firstLine="792"/>
      </w:pPr>
      <w:r w:rsidRPr="00A52AB8">
        <w:t>NOTE </w:t>
      </w:r>
      <w:r w:rsidR="00ED42A3" w:rsidRPr="00496A4D">
        <w:fldChar w:fldCharType="begin"/>
      </w:r>
      <w:r w:rsidR="00ED42A3" w:rsidRPr="00A52AB8">
        <w:instrText xml:space="preserve"> SEQ NoteCounter \s 9 \* MERGEFORMAT </w:instrText>
      </w:r>
      <w:r w:rsidR="00ED42A3" w:rsidRPr="00496A4D">
        <w:fldChar w:fldCharType="separate"/>
      </w:r>
      <w:r w:rsidR="00507A67">
        <w:rPr>
          <w:noProof/>
        </w:rPr>
        <w:t>4</w:t>
      </w:r>
      <w:r w:rsidR="00ED42A3" w:rsidRPr="00496A4D">
        <w:fldChar w:fldCharType="end"/>
      </w:r>
      <w:r w:rsidRPr="00A52AB8">
        <w:t> –</w:t>
      </w:r>
      <w:r w:rsidR="003C0FF5" w:rsidRPr="00A52AB8">
        <w:t> </w:t>
      </w:r>
      <w:r w:rsidRPr="00A52AB8">
        <w:t>In this version of this document the nominal format has the same resolution as the atlas.</w:t>
      </w:r>
    </w:p>
    <w:p w14:paraId="7F97133C" w14:textId="77777777" w:rsidR="00B4581E" w:rsidRPr="00A52AB8" w:rsidRDefault="00B4581E" w:rsidP="00F01345">
      <w:r w:rsidRPr="00A52AB8">
        <w:t xml:space="preserve">The sizes of the tiles in </w:t>
      </w:r>
      <w:r w:rsidR="003C0FF5" w:rsidRPr="00A52AB8">
        <w:t xml:space="preserve">the </w:t>
      </w:r>
      <w:r w:rsidRPr="00A52AB8">
        <w:t xml:space="preserve">auxiliary atlas sub-bitstream and the video tiles in the auxiliary video sub-bitstreams are also constrained depending on the value of </w:t>
      </w:r>
      <w:r w:rsidRPr="00A52AB8">
        <w:rPr>
          <w:bCs/>
        </w:rPr>
        <w:t>vui_constrained_tiles_across_video_components_idc</w:t>
      </w:r>
      <w:r w:rsidR="003C0FF5" w:rsidRPr="00A52AB8">
        <w:rPr>
          <w:bCs/>
        </w:rPr>
        <w:t>.</w:t>
      </w:r>
    </w:p>
    <w:p w14:paraId="61C9E945" w14:textId="77777777" w:rsidR="00FE186B" w:rsidRPr="00A52AB8" w:rsidRDefault="00FE186B" w:rsidP="00FE186B">
      <w:r w:rsidRPr="00A52AB8">
        <w:rPr>
          <w:b/>
          <w:bCs/>
        </w:rPr>
        <w:t>vui_max_num_</w:t>
      </w:r>
      <w:r w:rsidR="00B8075E" w:rsidRPr="00A52AB8">
        <w:rPr>
          <w:b/>
          <w:bCs/>
        </w:rPr>
        <w:t>tile</w:t>
      </w:r>
      <w:r w:rsidR="00174EAA" w:rsidRPr="00A52AB8">
        <w:rPr>
          <w:b/>
          <w:bCs/>
        </w:rPr>
        <w:t>s</w:t>
      </w:r>
      <w:r w:rsidRPr="00A52AB8">
        <w:rPr>
          <w:b/>
          <w:bCs/>
        </w:rPr>
        <w:t>_per_atlas</w:t>
      </w:r>
      <w:r w:rsidR="007B2AA9" w:rsidRPr="00A52AB8">
        <w:rPr>
          <w:b/>
          <w:bCs/>
        </w:rPr>
        <w:t xml:space="preserve">_minus1 </w:t>
      </w:r>
      <w:r w:rsidR="007B2AA9" w:rsidRPr="00A52AB8">
        <w:rPr>
          <w:bCs/>
        </w:rPr>
        <w:t>plus 1</w:t>
      </w:r>
      <w:r w:rsidRPr="00A52AB8">
        <w:rPr>
          <w:b/>
          <w:bCs/>
        </w:rPr>
        <w:t xml:space="preserve"> </w:t>
      </w:r>
      <w:r w:rsidRPr="00A52AB8">
        <w:t xml:space="preserve">indicates the maximum number of </w:t>
      </w:r>
      <w:r w:rsidR="00B8075E" w:rsidRPr="00A52AB8">
        <w:t>tile</w:t>
      </w:r>
      <w:r w:rsidRPr="00A52AB8">
        <w:t xml:space="preserve">s present in the </w:t>
      </w:r>
      <w:r w:rsidR="00C70006" w:rsidRPr="00A52AB8">
        <w:t>CAS</w:t>
      </w:r>
      <w:r w:rsidR="001E585B" w:rsidRPr="00A52AB8">
        <w:t>.</w:t>
      </w:r>
    </w:p>
    <w:p w14:paraId="1A06DB4E" w14:textId="77777777" w:rsidR="000E2D87" w:rsidRPr="00A52AB8" w:rsidRDefault="000E2D87" w:rsidP="00FE186B">
      <w:pPr>
        <w:rPr>
          <w:b/>
          <w:bCs/>
        </w:rPr>
      </w:pPr>
      <w:r w:rsidRPr="00A52AB8">
        <w:rPr>
          <w:b/>
          <w:bCs/>
        </w:rPr>
        <w:t xml:space="preserve">vui_max_coded_video_resolution_present_flag </w:t>
      </w:r>
      <w:r w:rsidRPr="00A52AB8">
        <w:t xml:space="preserve">equal to 1 specifies that the syntax structure </w:t>
      </w:r>
      <w:r w:rsidR="00CE22B2" w:rsidRPr="00A52AB8">
        <w:t>max_coded_video_resolution</w:t>
      </w:r>
      <w:r w:rsidRPr="00A52AB8">
        <w:t xml:space="preserve">( ) is present in the vui_parameters( ) syntax structure. </w:t>
      </w:r>
      <w:r w:rsidR="00CE22B2" w:rsidRPr="00A52AB8">
        <w:t>vui_max_coded_video_resolution_present_flag</w:t>
      </w:r>
      <w:r w:rsidRPr="00A52AB8">
        <w:t xml:space="preserve"> equal to 0 specifies that the syntax structure </w:t>
      </w:r>
      <w:r w:rsidR="00CE22B2" w:rsidRPr="00A52AB8">
        <w:t>max_coded_video_resolution</w:t>
      </w:r>
      <w:r w:rsidRPr="00A52AB8">
        <w:t>( ) is not present in the vui_parameters( ) syntax structure.</w:t>
      </w:r>
    </w:p>
    <w:p w14:paraId="1417EDA5" w14:textId="77777777" w:rsidR="001E585B" w:rsidRPr="00A52AB8" w:rsidRDefault="001E585B" w:rsidP="00FE186B">
      <w:r w:rsidRPr="00A52AB8">
        <w:rPr>
          <w:b/>
          <w:bCs/>
        </w:rPr>
        <w:t>vui_coordinate_system_parameters_present_flag</w:t>
      </w:r>
      <w:r w:rsidRPr="00A52AB8">
        <w:t xml:space="preserve"> equal to 1 specifies that the syntax structure coordinate_system_parameters( ) is present in the vui_parameters( ) syntax structure. vui_coordinate_system_parameters_present_flag equal to 0 specifies that the syntax structure coordinate_system_parameters( ) is not present in the vui_parameters( ) syntax structure.</w:t>
      </w:r>
    </w:p>
    <w:p w14:paraId="75049028" w14:textId="77777777" w:rsidR="00897DCF" w:rsidRPr="00A52AB8" w:rsidRDefault="00897DCF" w:rsidP="00FE186B">
      <w:r w:rsidRPr="00A52AB8">
        <w:rPr>
          <w:b/>
          <w:bCs/>
        </w:rPr>
        <w:t>vui_unit_in_metres_flag</w:t>
      </w:r>
      <w:r w:rsidRPr="00A52AB8">
        <w:t xml:space="preserve"> equal to 1 specifies that the real-world coordinates information is expressed in metres. vui_unit_in_metres_flag equal to 0 specifies that the world coordinates are unitless. If vui_unit_in_metres_flag is not present, it shall be inferred to be equal to 0.</w:t>
      </w:r>
    </w:p>
    <w:p w14:paraId="4B1B37BB" w14:textId="4AE45159" w:rsidR="00240013" w:rsidRPr="00A52AB8" w:rsidRDefault="00240013" w:rsidP="00FE186B">
      <w:r w:rsidRPr="00A52AB8">
        <w:rPr>
          <w:b/>
          <w:bCs/>
        </w:rPr>
        <w:t>vui_</w:t>
      </w:r>
      <w:r w:rsidR="00071FC6" w:rsidRPr="00A52AB8">
        <w:rPr>
          <w:b/>
          <w:bCs/>
        </w:rPr>
        <w:t>display</w:t>
      </w:r>
      <w:r w:rsidRPr="00A52AB8">
        <w:rPr>
          <w:b/>
          <w:bCs/>
        </w:rPr>
        <w:t>_box_info_present_flag</w:t>
      </w:r>
      <w:r w:rsidRPr="00A52AB8">
        <w:t xml:space="preserve"> equal to 1 </w:t>
      </w:r>
      <w:r w:rsidR="00D61BCF" w:rsidRPr="00A52AB8">
        <w:t>specifies that the syntax elements</w:t>
      </w:r>
      <w:r w:rsidRPr="00A52AB8">
        <w:t xml:space="preserve"> </w:t>
      </w:r>
      <w:r w:rsidR="00064B64" w:rsidRPr="00A52AB8">
        <w:t>vui_</w:t>
      </w:r>
      <w:r w:rsidRPr="00A52AB8">
        <w:t>display_box_origin[</w:t>
      </w:r>
      <w:r w:rsidR="00064B64" w:rsidRPr="00A52AB8">
        <w:t> </w:t>
      </w:r>
      <w:r w:rsidRPr="00A52AB8">
        <w:t>d</w:t>
      </w:r>
      <w:r w:rsidR="00064B64" w:rsidRPr="00A52AB8">
        <w:t> </w:t>
      </w:r>
      <w:r w:rsidRPr="00A52AB8">
        <w:t>]</w:t>
      </w:r>
      <w:r w:rsidR="00064B64" w:rsidRPr="00A52AB8">
        <w:t xml:space="preserve"> and </w:t>
      </w:r>
      <w:r w:rsidRPr="00A52AB8">
        <w:t>vui_display_box_size</w:t>
      </w:r>
      <w:r w:rsidR="00395064" w:rsidRPr="00A52AB8">
        <w:t>[ d </w:t>
      </w:r>
      <w:r w:rsidR="00064B64" w:rsidRPr="00A52AB8">
        <w:t>]</w:t>
      </w:r>
      <w:r w:rsidRPr="00A52AB8">
        <w:t xml:space="preserve"> are present in the vui_parameters</w:t>
      </w:r>
      <w:r w:rsidR="00D61BCF" w:rsidRPr="00A52AB8">
        <w:t xml:space="preserve">( ) </w:t>
      </w:r>
      <w:r w:rsidR="00537717" w:rsidRPr="00A52AB8">
        <w:t xml:space="preserve">syntax </w:t>
      </w:r>
      <w:r w:rsidRPr="00A52AB8">
        <w:t xml:space="preserve">structure. </w:t>
      </w:r>
      <w:r w:rsidR="00D61BCF" w:rsidRPr="00A52AB8">
        <w:t>vui_</w:t>
      </w:r>
      <w:r w:rsidR="00071FC6" w:rsidRPr="00A52AB8">
        <w:t>display</w:t>
      </w:r>
      <w:r w:rsidR="00D61BCF" w:rsidRPr="00A52AB8">
        <w:t xml:space="preserve">_box_info_present_flag </w:t>
      </w:r>
      <w:r w:rsidRPr="00A52AB8">
        <w:t xml:space="preserve">equal to 0 </w:t>
      </w:r>
      <w:r w:rsidR="00D61BCF" w:rsidRPr="00A52AB8">
        <w:t xml:space="preserve">specifies </w:t>
      </w:r>
      <w:r w:rsidRPr="00A52AB8">
        <w:t xml:space="preserve">that </w:t>
      </w:r>
      <w:r w:rsidR="00D61BCF" w:rsidRPr="00A52AB8">
        <w:t xml:space="preserve">the syntax elements </w:t>
      </w:r>
      <w:r w:rsidR="00064B64" w:rsidRPr="00A52AB8">
        <w:t>vui_</w:t>
      </w:r>
      <w:r w:rsidRPr="00A52AB8">
        <w:t>display_box_origin</w:t>
      </w:r>
      <w:r w:rsidR="00395064" w:rsidRPr="00A52AB8">
        <w:t>[ d ]</w:t>
      </w:r>
      <w:r w:rsidR="00064B64" w:rsidRPr="00A52AB8">
        <w:t xml:space="preserve"> and </w:t>
      </w:r>
      <w:r w:rsidRPr="00A52AB8">
        <w:t>vui_display_box_size</w:t>
      </w:r>
      <w:r w:rsidR="00395064" w:rsidRPr="00A52AB8">
        <w:t>[ d </w:t>
      </w:r>
      <w:r w:rsidR="00064B64" w:rsidRPr="00A52AB8">
        <w:t>]</w:t>
      </w:r>
      <w:r w:rsidRPr="00A52AB8">
        <w:t xml:space="preserve"> elements are not present in the vui_parameters</w:t>
      </w:r>
      <w:r w:rsidR="00D61BCF" w:rsidRPr="00A52AB8">
        <w:t xml:space="preserve">( ) </w:t>
      </w:r>
      <w:r w:rsidR="00BA2128" w:rsidRPr="00A52AB8">
        <w:t xml:space="preserve">syntax </w:t>
      </w:r>
      <w:r w:rsidRPr="00A52AB8">
        <w:t>structure</w:t>
      </w:r>
      <w:r w:rsidR="0084479F" w:rsidRPr="00A52AB8">
        <w:t>.</w:t>
      </w:r>
      <w:r w:rsidR="00ED3E24" w:rsidRPr="00A52AB8">
        <w:t xml:space="preserve"> </w:t>
      </w:r>
      <w:r w:rsidR="00ED3E24" w:rsidRPr="00A52AB8">
        <w:rPr>
          <w:rStyle w:val="fontstyle01"/>
          <w:rFonts w:ascii="Cambria" w:hAnsi="Cambria"/>
          <w:color w:val="000000" w:themeColor="text1"/>
          <w:sz w:val="22"/>
          <w:szCs w:val="22"/>
        </w:rPr>
        <w:t>The values of d equal to</w:t>
      </w:r>
      <w:r w:rsidR="00ED3E24" w:rsidRPr="00A52AB8">
        <w:rPr>
          <w:color w:val="000000" w:themeColor="text1"/>
        </w:rPr>
        <w:t xml:space="preserve"> 0, 1, and 2 correspond to the X, Y, and Z axis, respectively.</w:t>
      </w:r>
    </w:p>
    <w:p w14:paraId="6E35DBAB" w14:textId="1C95D4C3" w:rsidR="0084479F" w:rsidRPr="00A52AB8" w:rsidRDefault="0084479F" w:rsidP="0084479F">
      <w:r w:rsidRPr="00A52AB8">
        <w:rPr>
          <w:b/>
          <w:bCs/>
        </w:rPr>
        <w:t>vui_display_box_origin</w:t>
      </w:r>
      <w:r w:rsidR="00395064" w:rsidRPr="00A52AB8">
        <w:t>[ d ]</w:t>
      </w:r>
      <w:r w:rsidRPr="00A52AB8">
        <w:t xml:space="preserve"> specifies an offset with respect to the coordi</w:t>
      </w:r>
      <w:r w:rsidR="00064B64" w:rsidRPr="00A52AB8">
        <w:t>n</w:t>
      </w:r>
      <w:r w:rsidRPr="00A52AB8">
        <w:t>ate system origin point along the axis d. When elements of the vui_display_box_origin</w:t>
      </w:r>
      <w:r w:rsidR="00395064" w:rsidRPr="00A52AB8">
        <w:t>[ d ]</w:t>
      </w:r>
      <w:r w:rsidRPr="00A52AB8">
        <w:t xml:space="preserve"> are not present, its values shall be inferred to be equal to 0.</w:t>
      </w:r>
      <w:r w:rsidR="005A73BF" w:rsidRPr="00A52AB8">
        <w:t xml:space="preserve"> </w:t>
      </w:r>
      <w:r w:rsidR="005A73BF" w:rsidRPr="00A52AB8">
        <w:rPr>
          <w:color w:val="000000" w:themeColor="text1"/>
        </w:rPr>
        <w:t>The number of bits used to represent vui_display_box_origin</w:t>
      </w:r>
      <w:r w:rsidR="00EB66EF" w:rsidRPr="00A52AB8">
        <w:rPr>
          <w:color w:val="000000" w:themeColor="text1"/>
        </w:rPr>
        <w:t>[ d ]</w:t>
      </w:r>
      <w:r w:rsidR="005A73BF" w:rsidRPr="00A52AB8">
        <w:rPr>
          <w:color w:val="000000" w:themeColor="text1"/>
        </w:rPr>
        <w:t xml:space="preserve"> is asps_geometry_3d_bit</w:t>
      </w:r>
      <w:r w:rsidR="00BD1BF4" w:rsidRPr="00A52AB8">
        <w:rPr>
          <w:color w:val="000000" w:themeColor="text1"/>
        </w:rPr>
        <w:t>_</w:t>
      </w:r>
      <w:r w:rsidR="005A73BF" w:rsidRPr="00A52AB8">
        <w:rPr>
          <w:color w:val="000000" w:themeColor="text1"/>
        </w:rPr>
        <w:t>depth_minus1 +1.</w:t>
      </w:r>
      <w:r w:rsidR="006A0484" w:rsidRPr="00A52AB8">
        <w:rPr>
          <w:color w:val="000000" w:themeColor="text1"/>
        </w:rPr>
        <w:t xml:space="preserve"> </w:t>
      </w:r>
      <w:r w:rsidR="006A0484" w:rsidRPr="00A52AB8">
        <w:rPr>
          <w:rStyle w:val="fontstyle01"/>
          <w:rFonts w:ascii="Cambria" w:hAnsi="Cambria"/>
          <w:color w:val="000000" w:themeColor="text1"/>
          <w:sz w:val="22"/>
          <w:szCs w:val="22"/>
        </w:rPr>
        <w:t>The values of d equal to</w:t>
      </w:r>
      <w:r w:rsidR="006A0484" w:rsidRPr="00A52AB8">
        <w:rPr>
          <w:color w:val="000000" w:themeColor="text1"/>
        </w:rPr>
        <w:t xml:space="preserve"> 0, 1, and 2 correspond to the X, Y, and Z axis, respectively.</w:t>
      </w:r>
    </w:p>
    <w:p w14:paraId="23392E0D" w14:textId="28A422E2" w:rsidR="0084479F" w:rsidRPr="00A52AB8" w:rsidRDefault="0084479F" w:rsidP="0084479F">
      <w:r w:rsidRPr="00A52AB8">
        <w:rPr>
          <w:b/>
          <w:bCs/>
        </w:rPr>
        <w:t>vui_display_box_size</w:t>
      </w:r>
      <w:r w:rsidR="00395064" w:rsidRPr="00A52AB8">
        <w:t>[ d ]</w:t>
      </w:r>
      <w:r w:rsidRPr="00A52AB8">
        <w:t xml:space="preserve"> specifies the size of the display box in terms of samples in the direction of the axis d. When elements of the vui_display_box_size</w:t>
      </w:r>
      <w:r w:rsidR="00395064" w:rsidRPr="00A52AB8">
        <w:t>[ d ]</w:t>
      </w:r>
      <w:r w:rsidRPr="00A52AB8">
        <w:t xml:space="preserve"> are not present, its values </w:t>
      </w:r>
      <w:r w:rsidR="009525E0" w:rsidRPr="00A52AB8">
        <w:t>are unknown</w:t>
      </w:r>
      <w:r w:rsidRPr="00A52AB8">
        <w:t>.</w:t>
      </w:r>
      <w:r w:rsidR="005A73BF" w:rsidRPr="00A52AB8">
        <w:rPr>
          <w:color w:val="000000" w:themeColor="text1"/>
        </w:rPr>
        <w:t xml:space="preserve"> The number of bits used to represent vui_display_box_origin</w:t>
      </w:r>
      <w:r w:rsidR="00EB66EF" w:rsidRPr="00A52AB8">
        <w:rPr>
          <w:color w:val="000000" w:themeColor="text1"/>
        </w:rPr>
        <w:t>[ d ]</w:t>
      </w:r>
      <w:r w:rsidR="005A73BF" w:rsidRPr="00A52AB8">
        <w:rPr>
          <w:color w:val="000000" w:themeColor="text1"/>
        </w:rPr>
        <w:t xml:space="preserve"> is asps_geometry_3d_bit</w:t>
      </w:r>
      <w:r w:rsidR="00BD1BF4" w:rsidRPr="00A52AB8">
        <w:rPr>
          <w:color w:val="000000" w:themeColor="text1"/>
        </w:rPr>
        <w:t>_</w:t>
      </w:r>
      <w:r w:rsidR="005A73BF" w:rsidRPr="00A52AB8">
        <w:rPr>
          <w:color w:val="000000" w:themeColor="text1"/>
        </w:rPr>
        <w:t>depth_minus1 +</w:t>
      </w:r>
      <w:r w:rsidR="00EB66EF" w:rsidRPr="00A52AB8">
        <w:rPr>
          <w:color w:val="000000" w:themeColor="text1"/>
        </w:rPr>
        <w:t> </w:t>
      </w:r>
      <w:r w:rsidR="005A73BF" w:rsidRPr="00A52AB8">
        <w:rPr>
          <w:color w:val="000000" w:themeColor="text1"/>
        </w:rPr>
        <w:t>1.</w:t>
      </w:r>
    </w:p>
    <w:p w14:paraId="63A8772C" w14:textId="77777777" w:rsidR="00CC4D45" w:rsidRPr="00A52AB8" w:rsidRDefault="0084479F" w:rsidP="0084479F">
      <w:r w:rsidRPr="00A52AB8">
        <w:t>The following variables are derived from the display box parameters:</w:t>
      </w:r>
    </w:p>
    <w:p w14:paraId="50F0B3A4" w14:textId="74BCC262" w:rsidR="0084479F" w:rsidRPr="00A52AB8" w:rsidRDefault="00484DF4" w:rsidP="00A252B5">
      <w:r w:rsidRPr="00A52AB8">
        <w:tab/>
      </w:r>
      <w:r w:rsidR="0084479F" w:rsidRPr="00A52AB8">
        <w:t>minOffset</w:t>
      </w:r>
      <w:r w:rsidR="00395064" w:rsidRPr="00A52AB8">
        <w:t>[ d ]</w:t>
      </w:r>
      <w:r w:rsidR="00D47707" w:rsidRPr="00A52AB8">
        <w:t> = </w:t>
      </w:r>
      <w:r w:rsidR="0084479F" w:rsidRPr="00A52AB8">
        <w:t>vui_display_box_origin</w:t>
      </w:r>
      <w:r w:rsidR="00395064" w:rsidRPr="00A52AB8">
        <w:t>[ d ]</w:t>
      </w:r>
      <w:r w:rsidR="00064B64" w:rsidRPr="00A52AB8">
        <w:tab/>
      </w:r>
      <w:r w:rsidR="00796873" w:rsidRPr="00A52AB8">
        <w:tab/>
        <w:t>(</w:t>
      </w:r>
      <w:r w:rsidR="0094617B" w:rsidRPr="00A52AB8">
        <w:t>G</w:t>
      </w:r>
      <w:r w:rsidR="00796873" w:rsidRPr="00A52AB8">
        <w:noBreakHyphen/>
      </w:r>
      <w:r w:rsidR="00796873" w:rsidRPr="00496A4D">
        <w:fldChar w:fldCharType="begin"/>
      </w:r>
      <w:r w:rsidR="00796873" w:rsidRPr="00A52AB8">
        <w:instrText xml:space="preserve"> SEQ Equation \* ARABIC </w:instrText>
      </w:r>
      <w:r w:rsidR="0094617B" w:rsidRPr="00A52AB8">
        <w:instrText>\r 1</w:instrText>
      </w:r>
      <w:r w:rsidR="00796873" w:rsidRPr="00496A4D">
        <w:fldChar w:fldCharType="separate"/>
      </w:r>
      <w:r w:rsidR="00507A67">
        <w:rPr>
          <w:noProof/>
        </w:rPr>
        <w:t>1</w:t>
      </w:r>
      <w:r w:rsidR="00796873" w:rsidRPr="00496A4D">
        <w:fldChar w:fldCharType="end"/>
      </w:r>
      <w:r w:rsidR="00796873" w:rsidRPr="00A52AB8">
        <w:t>)</w:t>
      </w:r>
    </w:p>
    <w:p w14:paraId="3D28808E" w14:textId="32A54AE7" w:rsidR="0084479F" w:rsidRPr="00A52AB8" w:rsidRDefault="00484DF4" w:rsidP="00A252B5">
      <w:r w:rsidRPr="00A52AB8">
        <w:tab/>
      </w:r>
      <w:r w:rsidR="0084479F" w:rsidRPr="00A52AB8">
        <w:t>maxOffset</w:t>
      </w:r>
      <w:r w:rsidR="00395064" w:rsidRPr="00A52AB8">
        <w:t>[ d ]</w:t>
      </w:r>
      <w:r w:rsidR="00D47707" w:rsidRPr="00A52AB8">
        <w:t> = </w:t>
      </w:r>
      <w:r w:rsidR="0084479F" w:rsidRPr="00A52AB8">
        <w:t>vui_displa</w:t>
      </w:r>
      <w:r w:rsidR="00EB66EF" w:rsidRPr="00A52AB8">
        <w:t>y</w:t>
      </w:r>
      <w:r w:rsidR="0084479F" w:rsidRPr="00A52AB8">
        <w:t>_box_origin</w:t>
      </w:r>
      <w:r w:rsidR="00395064" w:rsidRPr="00A52AB8">
        <w:t>[ d ]</w:t>
      </w:r>
      <w:r w:rsidR="00892F30" w:rsidRPr="00A52AB8">
        <w:t> </w:t>
      </w:r>
      <w:r w:rsidR="0084479F" w:rsidRPr="00A52AB8">
        <w:t>+</w:t>
      </w:r>
      <w:r w:rsidR="00892F30" w:rsidRPr="00A52AB8">
        <w:t> </w:t>
      </w:r>
      <w:r w:rsidR="0084479F" w:rsidRPr="00A52AB8">
        <w:t>vui_displa</w:t>
      </w:r>
      <w:r w:rsidR="00EB66EF" w:rsidRPr="00A52AB8">
        <w:t>y</w:t>
      </w:r>
      <w:r w:rsidR="0084479F" w:rsidRPr="00A52AB8">
        <w:t>_box_size</w:t>
      </w:r>
      <w:r w:rsidR="00395064" w:rsidRPr="00A52AB8">
        <w:t>[ d ]</w:t>
      </w:r>
      <w:r w:rsidR="00796873" w:rsidRPr="00A52AB8">
        <w:tab/>
        <w:t>(</w:t>
      </w:r>
      <w:r w:rsidR="0094617B" w:rsidRPr="00A52AB8">
        <w:t>G</w:t>
      </w:r>
      <w:r w:rsidR="00796873" w:rsidRPr="00A52AB8">
        <w:noBreakHyphen/>
      </w:r>
      <w:r w:rsidR="00796873" w:rsidRPr="00496A4D">
        <w:fldChar w:fldCharType="begin"/>
      </w:r>
      <w:r w:rsidR="00796873" w:rsidRPr="00A52AB8">
        <w:instrText xml:space="preserve"> SEQ Equation \* ARABIC </w:instrText>
      </w:r>
      <w:r w:rsidR="00796873" w:rsidRPr="00496A4D">
        <w:fldChar w:fldCharType="separate"/>
      </w:r>
      <w:r w:rsidR="00507A67">
        <w:rPr>
          <w:noProof/>
        </w:rPr>
        <w:t>2</w:t>
      </w:r>
      <w:r w:rsidR="00796873" w:rsidRPr="00496A4D">
        <w:fldChar w:fldCharType="end"/>
      </w:r>
      <w:r w:rsidR="00796873" w:rsidRPr="00A52AB8">
        <w:t>)</w:t>
      </w:r>
    </w:p>
    <w:p w14:paraId="620DCE12" w14:textId="200862F4" w:rsidR="00E86558" w:rsidRPr="00A52AB8" w:rsidRDefault="00E86558" w:rsidP="00A252B5">
      <w:r w:rsidRPr="00A52AB8">
        <w:t xml:space="preserve">where </w:t>
      </w:r>
      <w:r w:rsidRPr="00A52AB8">
        <w:rPr>
          <w:rStyle w:val="fontstyle01"/>
          <w:rFonts w:ascii="Cambria" w:hAnsi="Cambria"/>
          <w:color w:val="000000" w:themeColor="text1"/>
          <w:sz w:val="22"/>
          <w:szCs w:val="22"/>
        </w:rPr>
        <w:t>the values of d equal to</w:t>
      </w:r>
      <w:r w:rsidRPr="00A52AB8">
        <w:rPr>
          <w:color w:val="000000" w:themeColor="text1"/>
        </w:rPr>
        <w:t xml:space="preserve"> 0, 1, and 2 correspond to the X, Y, and Z axis, respectively.</w:t>
      </w:r>
    </w:p>
    <w:p w14:paraId="55D8A997" w14:textId="7EA6AE78" w:rsidR="00C15F7D" w:rsidRPr="00A52AB8" w:rsidRDefault="00C15F7D" w:rsidP="00C15F7D">
      <w:r w:rsidRPr="00A52AB8">
        <w:rPr>
          <w:b/>
          <w:bCs/>
        </w:rPr>
        <w:t>vui_anchor_point_present_flag</w:t>
      </w:r>
      <w:r w:rsidRPr="00A52AB8">
        <w:t xml:space="preserve"> equal to 1 indicates that vui_anchor_point</w:t>
      </w:r>
      <w:r w:rsidR="00395064" w:rsidRPr="00A52AB8">
        <w:t>[ d ]</w:t>
      </w:r>
      <w:r w:rsidRPr="00A52AB8">
        <w:t xml:space="preserve"> </w:t>
      </w:r>
      <w:r w:rsidR="00332551" w:rsidRPr="00A52AB8">
        <w:t xml:space="preserve">syntax </w:t>
      </w:r>
      <w:r w:rsidRPr="00A52AB8">
        <w:t>elements are present in the vui_parameters</w:t>
      </w:r>
      <w:r w:rsidR="00DD2037" w:rsidRPr="00A52AB8">
        <w:t>( )</w:t>
      </w:r>
      <w:r w:rsidRPr="00A52AB8">
        <w:t xml:space="preserve"> </w:t>
      </w:r>
      <w:r w:rsidR="00221DD6" w:rsidRPr="00A52AB8">
        <w:t xml:space="preserve">syntax </w:t>
      </w:r>
      <w:r w:rsidRPr="00A52AB8">
        <w:t>structure. vui_anchor_point_present_flag equal to 0 indicates that vui_anchor_point</w:t>
      </w:r>
      <w:r w:rsidR="00395064" w:rsidRPr="00A52AB8">
        <w:t>[ d ]</w:t>
      </w:r>
      <w:r w:rsidRPr="00A52AB8">
        <w:t xml:space="preserve"> elements are not present</w:t>
      </w:r>
      <w:r w:rsidR="004F41F9" w:rsidRPr="00A52AB8">
        <w:t>.</w:t>
      </w:r>
      <w:r w:rsidR="007919D3" w:rsidRPr="00A52AB8">
        <w:t xml:space="preserve"> </w:t>
      </w:r>
    </w:p>
    <w:p w14:paraId="73EEF62C" w14:textId="3ADEE4DF" w:rsidR="005A73BF" w:rsidRPr="00A52AB8" w:rsidRDefault="00C15F7D">
      <w:r w:rsidRPr="00A52AB8">
        <w:rPr>
          <w:b/>
          <w:bCs/>
        </w:rPr>
        <w:t>vui_anchor_point</w:t>
      </w:r>
      <w:r w:rsidR="00395064" w:rsidRPr="00A52AB8">
        <w:t>[ d ]</w:t>
      </w:r>
      <w:r w:rsidRPr="00A52AB8">
        <w:t xml:space="preserve"> </w:t>
      </w:r>
      <w:r w:rsidR="005A73BF" w:rsidRPr="00A52AB8">
        <w:t>indicates a position of a</w:t>
      </w:r>
      <w:r w:rsidR="00EB66EF" w:rsidRPr="00A52AB8">
        <w:t>n</w:t>
      </w:r>
      <w:r w:rsidR="005A73BF" w:rsidRPr="00A52AB8">
        <w:t xml:space="preserve"> anchor point along the d axis. The value of vui_anchor_point</w:t>
      </w:r>
      <w:r w:rsidR="00395064" w:rsidRPr="00A52AB8">
        <w:t>[ d ]</w:t>
      </w:r>
      <w:r w:rsidR="005A73BF" w:rsidRPr="00A52AB8">
        <w:t xml:space="preserve"> shall be in range of 0 to 2</w:t>
      </w:r>
      <w:r w:rsidR="005A73BF" w:rsidRPr="00A52AB8">
        <w:rPr>
          <w:color w:val="000000" w:themeColor="text1"/>
          <w:position w:val="6"/>
          <w:vertAlign w:val="superscript"/>
        </w:rPr>
        <w:t>asps_geometry_3d_bit</w:t>
      </w:r>
      <w:r w:rsidR="00BD1BF4" w:rsidRPr="00A52AB8">
        <w:rPr>
          <w:color w:val="000000" w:themeColor="text1"/>
          <w:position w:val="6"/>
          <w:vertAlign w:val="superscript"/>
        </w:rPr>
        <w:t>_</w:t>
      </w:r>
      <w:r w:rsidR="005A73BF" w:rsidRPr="00A52AB8">
        <w:rPr>
          <w:color w:val="000000" w:themeColor="text1"/>
          <w:position w:val="6"/>
          <w:vertAlign w:val="superscript"/>
        </w:rPr>
        <w:t>depth_minus1+1</w:t>
      </w:r>
      <w:r w:rsidR="00EB66EF" w:rsidRPr="00A52AB8">
        <w:t> </w:t>
      </w:r>
      <w:r w:rsidR="00EB66EF" w:rsidRPr="00A52AB8">
        <w:rPr>
          <w:color w:val="000000" w:themeColor="text1"/>
        </w:rPr>
        <w:t>− </w:t>
      </w:r>
      <w:r w:rsidR="005A73BF" w:rsidRPr="00A52AB8">
        <w:t>1. If vui_anchor_point</w:t>
      </w:r>
      <w:r w:rsidR="00395064" w:rsidRPr="00A52AB8">
        <w:t>[ d ]</w:t>
      </w:r>
      <w:r w:rsidR="005A73BF" w:rsidRPr="00A52AB8">
        <w:t xml:space="preserve"> is not present it shall be inferred to be equal to 0. </w:t>
      </w:r>
      <w:r w:rsidR="005A73BF" w:rsidRPr="00A52AB8">
        <w:rPr>
          <w:color w:val="000000" w:themeColor="text1"/>
        </w:rPr>
        <w:t>The number of bits used to represent vui_</w:t>
      </w:r>
      <w:r w:rsidR="00F9636E" w:rsidRPr="00A52AB8">
        <w:rPr>
          <w:color w:val="000000" w:themeColor="text1"/>
        </w:rPr>
        <w:t>anchor_point</w:t>
      </w:r>
      <w:r w:rsidR="00EB66EF" w:rsidRPr="00A52AB8">
        <w:rPr>
          <w:color w:val="000000" w:themeColor="text1"/>
        </w:rPr>
        <w:t>[ d ]</w:t>
      </w:r>
      <w:r w:rsidR="005A73BF" w:rsidRPr="00A52AB8">
        <w:rPr>
          <w:color w:val="000000" w:themeColor="text1"/>
        </w:rPr>
        <w:t xml:space="preserve"> is asps_geometry_3d_bit</w:t>
      </w:r>
      <w:r w:rsidR="00BD1BF4" w:rsidRPr="00A52AB8">
        <w:rPr>
          <w:color w:val="000000" w:themeColor="text1"/>
        </w:rPr>
        <w:t>_</w:t>
      </w:r>
      <w:r w:rsidR="005A73BF" w:rsidRPr="00A52AB8">
        <w:rPr>
          <w:color w:val="000000" w:themeColor="text1"/>
        </w:rPr>
        <w:t>depth_minus1 + 1.</w:t>
      </w:r>
      <w:r w:rsidR="00F23525" w:rsidRPr="00A52AB8">
        <w:rPr>
          <w:color w:val="000000" w:themeColor="text1"/>
        </w:rPr>
        <w:t xml:space="preserve"> </w:t>
      </w:r>
      <w:r w:rsidR="00F23525" w:rsidRPr="00A52AB8">
        <w:rPr>
          <w:rStyle w:val="fontstyle01"/>
          <w:rFonts w:ascii="Cambria" w:hAnsi="Cambria"/>
          <w:color w:val="000000" w:themeColor="text1"/>
          <w:sz w:val="22"/>
          <w:szCs w:val="22"/>
        </w:rPr>
        <w:t>The values of d equal to</w:t>
      </w:r>
      <w:r w:rsidR="00F23525" w:rsidRPr="00A52AB8">
        <w:rPr>
          <w:color w:val="000000" w:themeColor="text1"/>
        </w:rPr>
        <w:t xml:space="preserve"> 0, 1, and 2 correspond to the X, Y, and Z axis, respectively.</w:t>
      </w:r>
      <w:r w:rsidR="008A373A" w:rsidRPr="00A52AB8">
        <w:rPr>
          <w:color w:val="000000" w:themeColor="text1"/>
        </w:rPr>
        <w:t xml:space="preserve"> </w:t>
      </w:r>
    </w:p>
    <w:p w14:paraId="3166DA8A" w14:textId="77777777" w:rsidR="00CE17FE" w:rsidRPr="00A52AB8" w:rsidRDefault="00CE17FE">
      <w:pPr>
        <w:pStyle w:val="a3"/>
        <w:numPr>
          <w:ilvl w:val="2"/>
          <w:numId w:val="19"/>
        </w:numPr>
      </w:pPr>
      <w:bookmarkStart w:id="6084" w:name="_Ref21510556"/>
      <w:bookmarkStart w:id="6085" w:name="_Ref21511327"/>
      <w:bookmarkStart w:id="6086" w:name="_Toc358292282"/>
      <w:bookmarkStart w:id="6087" w:name="_Toc52181762"/>
      <w:r w:rsidRPr="00A52AB8">
        <w:t>HRD parameters semantics</w:t>
      </w:r>
      <w:bookmarkEnd w:id="6084"/>
      <w:bookmarkEnd w:id="6085"/>
      <w:bookmarkEnd w:id="6087"/>
    </w:p>
    <w:bookmarkEnd w:id="6086"/>
    <w:p w14:paraId="51DAB0FB" w14:textId="77777777" w:rsidR="00FD3B5D" w:rsidRPr="00A52AB8" w:rsidRDefault="00FD3B5D">
      <w:pPr>
        <w:rPr>
          <w:bCs/>
        </w:rPr>
      </w:pPr>
      <w:r w:rsidRPr="00A52AB8">
        <w:t xml:space="preserve">The hrd_parameters( ) syntax structure provides HRD parameters used in the HRD operations for a layer set. </w:t>
      </w:r>
      <w:r w:rsidR="00AA470A" w:rsidRPr="00A52AB8">
        <w:t>It is a requirement for bitstream conformance to this version of th</w:t>
      </w:r>
      <w:r w:rsidR="00DC1967" w:rsidRPr="00A52AB8">
        <w:t xml:space="preserve">is document </w:t>
      </w:r>
      <w:r w:rsidR="00AA470A" w:rsidRPr="00A52AB8">
        <w:t xml:space="preserve">that only one layer shall be supported, i.e. nal_layer_id and nal_temporal_id shall be equal to 0. </w:t>
      </w:r>
      <w:r w:rsidRPr="00A52AB8">
        <w:rPr>
          <w:bCs/>
        </w:rPr>
        <w:t xml:space="preserve">When the </w:t>
      </w:r>
      <w:r w:rsidRPr="00A52AB8">
        <w:t xml:space="preserve">hrd_parameters( ) </w:t>
      </w:r>
      <w:r w:rsidRPr="00A52AB8">
        <w:rPr>
          <w:bCs/>
        </w:rPr>
        <w:t xml:space="preserve">syntax structure is included in an ASPS, the layer set to which the </w:t>
      </w:r>
      <w:r w:rsidRPr="00A52AB8">
        <w:t xml:space="preserve">hrd_parameters( ) </w:t>
      </w:r>
      <w:r w:rsidRPr="00A52AB8">
        <w:rPr>
          <w:bCs/>
        </w:rPr>
        <w:t>syntax structure</w:t>
      </w:r>
      <w:r w:rsidRPr="00A52AB8">
        <w:t xml:space="preserve"> applies is the </w:t>
      </w:r>
      <w:r w:rsidRPr="00A52AB8">
        <w:rPr>
          <w:bCs/>
        </w:rPr>
        <w:t xml:space="preserve">layer set for which the associated layer identifier list contains all </w:t>
      </w:r>
      <w:r w:rsidR="00AA470A" w:rsidRPr="00A52AB8">
        <w:rPr>
          <w:bCs/>
        </w:rPr>
        <w:t>nal_layer_id</w:t>
      </w:r>
      <w:r w:rsidRPr="00A52AB8">
        <w:rPr>
          <w:bCs/>
        </w:rPr>
        <w:t xml:space="preserve"> values present in the CAS.</w:t>
      </w:r>
    </w:p>
    <w:p w14:paraId="4DC466A6" w14:textId="77777777" w:rsidR="00FD3B5D" w:rsidRPr="00A52AB8" w:rsidRDefault="00FD3B5D">
      <w:pPr>
        <w:rPr>
          <w:bCs/>
        </w:rPr>
      </w:pPr>
      <w:r w:rsidRPr="00A52AB8">
        <w:t>For interpretation of the following semantics, the bitstream (or a part thereof) refers to the bitstream subset (or a part thereof) associated with the layer set to which the hrd_parameters( ) syntax structure applies.</w:t>
      </w:r>
    </w:p>
    <w:p w14:paraId="02A2C381" w14:textId="77777777" w:rsidR="00FD3B5D" w:rsidRPr="00A52AB8" w:rsidRDefault="00CE17FE">
      <w:r w:rsidRPr="00A52AB8">
        <w:rPr>
          <w:b/>
        </w:rPr>
        <w:t>hrd_nal_parameters_present_flag</w:t>
      </w:r>
      <w:r w:rsidR="00FD3B5D" w:rsidRPr="00A52AB8">
        <w:t xml:space="preserve"> equal to 1 specifies that NAL HRD parameters (pertaining to Type II bitstream conformance) are present in the hrd_parameters( ) syntax structure. </w:t>
      </w:r>
      <w:r w:rsidRPr="00A52AB8">
        <w:t>hrd_nal_parameters_present_flag</w:t>
      </w:r>
      <w:r w:rsidR="00FD3B5D" w:rsidRPr="00A52AB8">
        <w:t xml:space="preserve"> equal to 0 specifies that NAL HRD parameters are not present in the hrd_parameters( ) syntax structure.</w:t>
      </w:r>
    </w:p>
    <w:p w14:paraId="3932CD22" w14:textId="065BF198" w:rsidR="00FD3B5D" w:rsidRPr="00A52AB8" w:rsidRDefault="00FD3B5D" w:rsidP="00895494">
      <w:pPr>
        <w:pStyle w:val="Note1"/>
        <w:rPr>
          <w:rFonts w:ascii="Cambria" w:hAnsi="Cambria"/>
        </w:rPr>
      </w:pPr>
      <w:r w:rsidRPr="00A52AB8">
        <w:rPr>
          <w:rFonts w:ascii="Cambria" w:hAnsi="Cambria"/>
        </w:rPr>
        <w:t>NOTE </w:t>
      </w:r>
      <w:r w:rsidRPr="00496A4D">
        <w:rPr>
          <w:rFonts w:ascii="Cambria" w:hAnsi="Cambria"/>
        </w:rPr>
        <w:fldChar w:fldCharType="begin"/>
      </w:r>
      <w:r w:rsidRPr="00A52AB8">
        <w:rPr>
          <w:rFonts w:ascii="Cambria" w:hAnsi="Cambria"/>
        </w:rPr>
        <w:instrText xml:space="preserve"> SEQ NoteCounter \r 1 \* MERGEFORMAT </w:instrText>
      </w:r>
      <w:r w:rsidRPr="00496A4D">
        <w:rPr>
          <w:rFonts w:ascii="Cambria" w:hAnsi="Cambria"/>
        </w:rPr>
        <w:fldChar w:fldCharType="separate"/>
      </w:r>
      <w:r w:rsidR="00507A67">
        <w:rPr>
          <w:rFonts w:ascii="Cambria" w:hAnsi="Cambria"/>
          <w:noProof/>
        </w:rPr>
        <w:t>1</w:t>
      </w:r>
      <w:r w:rsidRPr="00496A4D">
        <w:rPr>
          <w:rFonts w:ascii="Cambria" w:hAnsi="Cambria"/>
        </w:rPr>
        <w:fldChar w:fldCharType="end"/>
      </w:r>
      <w:r w:rsidRPr="00A52AB8">
        <w:rPr>
          <w:rFonts w:ascii="Cambria" w:hAnsi="Cambria"/>
        </w:rPr>
        <w:t xml:space="preserve"> – When </w:t>
      </w:r>
      <w:r w:rsidR="00CE17FE" w:rsidRPr="00A52AB8">
        <w:rPr>
          <w:rFonts w:ascii="Cambria" w:hAnsi="Cambria"/>
        </w:rPr>
        <w:t>hrd_nal_parameters_present_flag</w:t>
      </w:r>
      <w:r w:rsidRPr="00A52AB8">
        <w:rPr>
          <w:rFonts w:ascii="Cambria" w:hAnsi="Cambria"/>
        </w:rPr>
        <w:t xml:space="preserve"> is equal to 0, the conformance of the bitstream cannot be verified without provision of the NAL HRD parameters and all buffering period and atlas timing SEI messages, by some means not specified in </w:t>
      </w:r>
      <w:r w:rsidR="00FD4C0B" w:rsidRPr="00A52AB8">
        <w:rPr>
          <w:rFonts w:ascii="Cambria" w:hAnsi="Cambria"/>
        </w:rPr>
        <w:t>this document</w:t>
      </w:r>
      <w:r w:rsidRPr="00A52AB8">
        <w:rPr>
          <w:rFonts w:ascii="Cambria" w:hAnsi="Cambria"/>
        </w:rPr>
        <w:t>.</w:t>
      </w:r>
    </w:p>
    <w:p w14:paraId="03372296" w14:textId="77777777" w:rsidR="00FD3B5D" w:rsidRPr="00A52AB8" w:rsidRDefault="00CE17FE">
      <w:r w:rsidRPr="00A52AB8">
        <w:rPr>
          <w:b/>
        </w:rPr>
        <w:t>hrd_acl_parameters_present_flag</w:t>
      </w:r>
      <w:r w:rsidR="00FD3B5D" w:rsidRPr="00A52AB8">
        <w:t xml:space="preserve"> equal to 1 specifies that ACL HRD parameters (pertaining to all bitstream conformance</w:t>
      </w:r>
      <w:r w:rsidR="001F63A2" w:rsidRPr="00A52AB8">
        <w:t xml:space="preserve"> types</w:t>
      </w:r>
      <w:r w:rsidR="00FD3B5D" w:rsidRPr="00A52AB8">
        <w:t xml:space="preserve">) are present in the hrd_parameters( ) syntax structure. </w:t>
      </w:r>
      <w:r w:rsidRPr="00A52AB8">
        <w:t>hrd_acl_parameters_present_flag</w:t>
      </w:r>
      <w:r w:rsidR="00FD3B5D" w:rsidRPr="00A52AB8">
        <w:t xml:space="preserve"> equal to 0 specifies that ACL HRD parameters are not present in the hrd_parameters( ) syntax structure.</w:t>
      </w:r>
    </w:p>
    <w:p w14:paraId="75369813" w14:textId="6AF05610" w:rsidR="00FD3B5D" w:rsidRPr="00A52AB8" w:rsidRDefault="00FD3B5D" w:rsidP="00895494">
      <w:pPr>
        <w:pStyle w:val="Note1"/>
        <w:rPr>
          <w:rFonts w:ascii="Cambria" w:hAnsi="Cambria"/>
        </w:rPr>
      </w:pPr>
      <w:r w:rsidRPr="00A52AB8">
        <w:rPr>
          <w:rFonts w:ascii="Cambria" w:hAnsi="Cambria"/>
        </w:rPr>
        <w:t>NOTE </w:t>
      </w:r>
      <w:r w:rsidRPr="00496A4D">
        <w:rPr>
          <w:rFonts w:ascii="Cambria" w:hAnsi="Cambria"/>
        </w:rPr>
        <w:fldChar w:fldCharType="begin"/>
      </w:r>
      <w:r w:rsidRPr="00A52AB8">
        <w:rPr>
          <w:rFonts w:ascii="Cambria" w:hAnsi="Cambria"/>
        </w:rPr>
        <w:instrText xml:space="preserve"> SEQ NoteCounter \* MERGEFORMAT </w:instrText>
      </w:r>
      <w:r w:rsidRPr="00496A4D">
        <w:rPr>
          <w:rFonts w:ascii="Cambria" w:hAnsi="Cambria"/>
        </w:rPr>
        <w:fldChar w:fldCharType="separate"/>
      </w:r>
      <w:r w:rsidR="00507A67">
        <w:rPr>
          <w:rFonts w:ascii="Cambria" w:hAnsi="Cambria"/>
          <w:noProof/>
        </w:rPr>
        <w:t>2</w:t>
      </w:r>
      <w:r w:rsidRPr="00496A4D">
        <w:rPr>
          <w:rFonts w:ascii="Cambria" w:hAnsi="Cambria"/>
        </w:rPr>
        <w:fldChar w:fldCharType="end"/>
      </w:r>
      <w:r w:rsidRPr="00A52AB8">
        <w:rPr>
          <w:rFonts w:ascii="Cambria" w:hAnsi="Cambria"/>
        </w:rPr>
        <w:t xml:space="preserve"> – When </w:t>
      </w:r>
      <w:r w:rsidR="00CE17FE" w:rsidRPr="00A52AB8">
        <w:rPr>
          <w:rFonts w:ascii="Cambria" w:hAnsi="Cambria"/>
        </w:rPr>
        <w:t>hrd_acl_parameters_present_flag</w:t>
      </w:r>
      <w:r w:rsidRPr="00A52AB8">
        <w:rPr>
          <w:rFonts w:ascii="Cambria" w:hAnsi="Cambria"/>
        </w:rPr>
        <w:t xml:space="preserve"> is equal to 0, the conformance of the bitstream cannot be verified without provision of the ACL HRD parameters and all buffering period and atlas timing SEI messages, by some means not specified in </w:t>
      </w:r>
      <w:r w:rsidR="00FD4C0B" w:rsidRPr="00A52AB8">
        <w:rPr>
          <w:rFonts w:ascii="Cambria" w:hAnsi="Cambria"/>
        </w:rPr>
        <w:t>this document</w:t>
      </w:r>
      <w:r w:rsidRPr="00A52AB8">
        <w:rPr>
          <w:rFonts w:ascii="Cambria" w:hAnsi="Cambria"/>
        </w:rPr>
        <w:t>.</w:t>
      </w:r>
    </w:p>
    <w:p w14:paraId="6833EFB4" w14:textId="4CC5114E" w:rsidR="00BD55CC" w:rsidRPr="00A52AB8" w:rsidRDefault="00BD55CC" w:rsidP="00BD55CC">
      <w:r w:rsidRPr="00A52AB8">
        <w:rPr>
          <w:b/>
        </w:rPr>
        <w:t>hrd_bit_rate_scale</w:t>
      </w:r>
      <w:r w:rsidR="000A024F" w:rsidRPr="00A52AB8">
        <w:t xml:space="preserve">, </w:t>
      </w:r>
      <w:r w:rsidRPr="00A52AB8">
        <w:t>together with hrd_bit_rate_value_minus1</w:t>
      </w:r>
      <w:r w:rsidR="00902CA8" w:rsidRPr="00A52AB8">
        <w:t>[ h ]</w:t>
      </w:r>
      <w:r w:rsidRPr="00A52AB8">
        <w:t>[ i ][ j ]</w:t>
      </w:r>
      <w:r w:rsidR="000A024F" w:rsidRPr="00A52AB8">
        <w:t xml:space="preserve">, </w:t>
      </w:r>
      <w:r w:rsidRPr="00A52AB8">
        <w:t>specifies the maximum input bit rate of the j-th CAB when Htid is equal to i.</w:t>
      </w:r>
      <w:r w:rsidR="00B6722B" w:rsidRPr="00A52AB8">
        <w:t xml:space="preserve"> When hrd_bit_rate_scale is not present, its value is inferred to be equal to 1.</w:t>
      </w:r>
    </w:p>
    <w:p w14:paraId="2B7FC6E6" w14:textId="0A2B91C0" w:rsidR="00BD55CC" w:rsidRPr="00A52AB8" w:rsidRDefault="00BD55CC" w:rsidP="00D451D4">
      <w:r w:rsidRPr="00A52AB8">
        <w:rPr>
          <w:b/>
        </w:rPr>
        <w:t>hrd_cab_size_scale</w:t>
      </w:r>
      <w:r w:rsidR="000A024F" w:rsidRPr="00A52AB8">
        <w:t xml:space="preserve">, </w:t>
      </w:r>
      <w:r w:rsidRPr="00A52AB8">
        <w:t>together with hrd_cab_size_value_minus1</w:t>
      </w:r>
      <w:r w:rsidR="00902CA8" w:rsidRPr="00A52AB8">
        <w:t>[ h ]</w:t>
      </w:r>
      <w:r w:rsidRPr="00A52AB8">
        <w:t>[ i ][ j ]</w:t>
      </w:r>
      <w:r w:rsidR="000A024F" w:rsidRPr="00A52AB8">
        <w:t xml:space="preserve">, </w:t>
      </w:r>
      <w:r w:rsidRPr="00A52AB8">
        <w:t>specifies the CAB size of the j-th CAB when Htid is equal to i and when the CAB operates at the coded atlas access unit level</w:t>
      </w:r>
      <w:r w:rsidR="00990654" w:rsidRPr="00A52AB8">
        <w:t>.</w:t>
      </w:r>
      <w:r w:rsidR="00B6722B" w:rsidRPr="00A52AB8">
        <w:t xml:space="preserve"> When hrd_cab_size_scale is not present, its value is inferred to be equal to 1.</w:t>
      </w:r>
    </w:p>
    <w:p w14:paraId="6C5CBBE8" w14:textId="73EBACEF" w:rsidR="00FD3B5D" w:rsidRPr="00A52AB8" w:rsidRDefault="00D62934">
      <w:r w:rsidRPr="00A52AB8">
        <w:rPr>
          <w:b/>
        </w:rPr>
        <w:t>hrd_</w:t>
      </w:r>
      <w:r w:rsidR="00FD3B5D" w:rsidRPr="00A52AB8">
        <w:rPr>
          <w:b/>
        </w:rPr>
        <w:t>fixed_atlas_rate_general_flag</w:t>
      </w:r>
      <w:r w:rsidR="001F4484" w:rsidRPr="00A52AB8">
        <w:t>[ i ]</w:t>
      </w:r>
      <w:r w:rsidR="00FD3B5D" w:rsidRPr="00A52AB8">
        <w:t xml:space="preserve"> equal to 1 indicates that, when H</w:t>
      </w:r>
      <w:r w:rsidR="00F4336E" w:rsidRPr="00A52AB8">
        <w:t>t</w:t>
      </w:r>
      <w:r w:rsidR="00FD3B5D" w:rsidRPr="00A52AB8">
        <w:t>id is equal to i, the temporal distance between the HRD output times of consecutive atlas</w:t>
      </w:r>
      <w:r w:rsidR="00B406D4" w:rsidRPr="00A52AB8">
        <w:t xml:space="preserve"> fram</w:t>
      </w:r>
      <w:r w:rsidRPr="00A52AB8">
        <w:t>e</w:t>
      </w:r>
      <w:r w:rsidR="00FD3B5D" w:rsidRPr="00A52AB8">
        <w:t xml:space="preserve">s in output order is constrained </w:t>
      </w:r>
      <w:r w:rsidR="00B406D4" w:rsidRPr="00A52AB8">
        <w:t>using additional syntax elements</w:t>
      </w:r>
      <w:r w:rsidR="00FD3B5D" w:rsidRPr="00A52AB8">
        <w:t xml:space="preserve">. </w:t>
      </w:r>
      <w:r w:rsidRPr="00A52AB8">
        <w:t>hrd_fixed_atlas_rate_general_flag</w:t>
      </w:r>
      <w:r w:rsidR="001F4484" w:rsidRPr="00A52AB8">
        <w:t>[ i ]</w:t>
      </w:r>
      <w:r w:rsidR="00FD3B5D" w:rsidRPr="00A52AB8">
        <w:t xml:space="preserve"> equal to 0 indicates that this constraint may not apply.</w:t>
      </w:r>
      <w:r w:rsidR="008374ED" w:rsidRPr="00A52AB8">
        <w:t xml:space="preserve"> </w:t>
      </w:r>
      <w:r w:rsidR="00FD3B5D" w:rsidRPr="00A52AB8">
        <w:t xml:space="preserve">When </w:t>
      </w:r>
      <w:r w:rsidRPr="00A52AB8">
        <w:t>hrd_fixed_atlas_rate_general_flag</w:t>
      </w:r>
      <w:r w:rsidR="001F4484" w:rsidRPr="00A52AB8">
        <w:t>[ i ]</w:t>
      </w:r>
      <w:r w:rsidR="00FD3B5D" w:rsidRPr="00A52AB8">
        <w:t xml:space="preserve"> is not present, it is inferred to be equal to 0.</w:t>
      </w:r>
    </w:p>
    <w:p w14:paraId="20F3FEDE" w14:textId="0D6BFE9C" w:rsidR="00FD3B5D" w:rsidRPr="00A52AB8" w:rsidRDefault="00D62934">
      <w:r w:rsidRPr="00A52AB8">
        <w:rPr>
          <w:b/>
        </w:rPr>
        <w:t>hrd_</w:t>
      </w:r>
      <w:r w:rsidR="00FD3B5D" w:rsidRPr="00A52AB8">
        <w:rPr>
          <w:b/>
        </w:rPr>
        <w:t>fixed_atlas_rate_within_cas_flag</w:t>
      </w:r>
      <w:r w:rsidR="001F4484" w:rsidRPr="00A52AB8">
        <w:t>[ i ]</w:t>
      </w:r>
      <w:r w:rsidR="00FD3B5D" w:rsidRPr="00A52AB8">
        <w:t xml:space="preserve"> equal to 1 indicates that, when H</w:t>
      </w:r>
      <w:r w:rsidR="00F4336E" w:rsidRPr="00A52AB8">
        <w:t>t</w:t>
      </w:r>
      <w:r w:rsidR="00FD3B5D" w:rsidRPr="00A52AB8">
        <w:t xml:space="preserve">id is equal to i, the temporal distance between the HRD output times of consecutive atlases in output order is constrained </w:t>
      </w:r>
      <w:r w:rsidR="00BB6FCF" w:rsidRPr="00A52AB8">
        <w:t>using additional syntax elements</w:t>
      </w:r>
      <w:r w:rsidR="00FD3B5D" w:rsidRPr="00A52AB8">
        <w:t xml:space="preserve">. </w:t>
      </w:r>
      <w:r w:rsidRPr="00A52AB8">
        <w:t>hrd_fixed_atlas_rate_within_cas_flag</w:t>
      </w:r>
      <w:r w:rsidR="001F4484" w:rsidRPr="00A52AB8">
        <w:t>[ i ]</w:t>
      </w:r>
      <w:r w:rsidR="00FD3B5D" w:rsidRPr="00A52AB8">
        <w:t xml:space="preserve"> equal to 0 indicates that this constraint may not apply.</w:t>
      </w:r>
      <w:r w:rsidR="00D22F3F" w:rsidRPr="00A52AB8">
        <w:t xml:space="preserve"> </w:t>
      </w:r>
      <w:r w:rsidR="00FD3B5D" w:rsidRPr="00A52AB8">
        <w:t xml:space="preserve">When </w:t>
      </w:r>
      <w:r w:rsidR="00CA22C7" w:rsidRPr="00A52AB8">
        <w:t>hrd_fixed_atlas_rate_within_cas_flag[ i ] is not present (</w:t>
      </w:r>
      <w:r w:rsidRPr="00A52AB8">
        <w:t>hrd_fixed_atlas_rate_general_flag</w:t>
      </w:r>
      <w:r w:rsidR="001F4484" w:rsidRPr="00A52AB8">
        <w:t>[ i ]</w:t>
      </w:r>
      <w:r w:rsidR="00FD3B5D" w:rsidRPr="00A52AB8">
        <w:t xml:space="preserve"> is equal to 1</w:t>
      </w:r>
      <w:r w:rsidR="00CA22C7" w:rsidRPr="00A52AB8">
        <w:t>)</w:t>
      </w:r>
      <w:r w:rsidR="00FD3B5D" w:rsidRPr="00A52AB8">
        <w:t xml:space="preserve">, the value of </w:t>
      </w:r>
      <w:r w:rsidRPr="00A52AB8">
        <w:t>hrd_fixed_atlas_rate_within_cas_flag</w:t>
      </w:r>
      <w:r w:rsidR="001F4484" w:rsidRPr="00A52AB8">
        <w:t>[ i ]</w:t>
      </w:r>
      <w:r w:rsidR="00FD3B5D" w:rsidRPr="00A52AB8">
        <w:t xml:space="preserve"> is inferred to be equal to 1.</w:t>
      </w:r>
    </w:p>
    <w:p w14:paraId="4B854B89" w14:textId="33739272" w:rsidR="00FD3B5D" w:rsidRPr="00A52AB8" w:rsidRDefault="00F4178F">
      <w:r w:rsidRPr="00A52AB8">
        <w:rPr>
          <w:b/>
        </w:rPr>
        <w:t>hrd_elemental_duration_in_tc_minus1</w:t>
      </w:r>
      <w:r w:rsidR="001F4484" w:rsidRPr="00A52AB8">
        <w:t>[ i ]</w:t>
      </w:r>
      <w:r w:rsidR="00FD3B5D" w:rsidRPr="00A52AB8">
        <w:t xml:space="preserve"> plus 1</w:t>
      </w:r>
      <w:r w:rsidR="000A024F" w:rsidRPr="00A52AB8">
        <w:t xml:space="preserve">, </w:t>
      </w:r>
      <w:r w:rsidR="00FD3B5D" w:rsidRPr="00A52AB8">
        <w:t>when present</w:t>
      </w:r>
      <w:r w:rsidR="000A024F" w:rsidRPr="00A52AB8">
        <w:t>,</w:t>
      </w:r>
      <w:r w:rsidR="00FD3B5D" w:rsidRPr="00A52AB8">
        <w:t xml:space="preserve"> specifies, when H</w:t>
      </w:r>
      <w:r w:rsidR="00EB66EF" w:rsidRPr="00A52AB8">
        <w:t>t</w:t>
      </w:r>
      <w:r w:rsidR="00FD3B5D" w:rsidRPr="00A52AB8">
        <w:t>id is equal to i, the temporal distance, in clock ticks, between the elemental units that specify the HRD output times of consecutive atlas</w:t>
      </w:r>
      <w:r w:rsidR="00D62934" w:rsidRPr="00A52AB8">
        <w:t>e</w:t>
      </w:r>
      <w:r w:rsidR="00FD3B5D" w:rsidRPr="00A52AB8">
        <w:t xml:space="preserve">s in output order as specified below. The value of </w:t>
      </w:r>
      <w:r w:rsidRPr="00A52AB8">
        <w:t>hrd_elemental_duration_in_tc_minus1</w:t>
      </w:r>
      <w:r w:rsidR="001F4484" w:rsidRPr="00A52AB8">
        <w:t>[ i ]</w:t>
      </w:r>
      <w:r w:rsidR="00FD3B5D" w:rsidRPr="00A52AB8">
        <w:t xml:space="preserve"> shall be in the range of 0 to 2047, inclusive.</w:t>
      </w:r>
    </w:p>
    <w:p w14:paraId="5A917DDF" w14:textId="307DAE61" w:rsidR="00FD3B5D" w:rsidRPr="00A52AB8" w:rsidRDefault="00FD3B5D">
      <w:r w:rsidRPr="00A52AB8">
        <w:t>When H</w:t>
      </w:r>
      <w:r w:rsidR="00F4336E" w:rsidRPr="00A52AB8">
        <w:t>t</w:t>
      </w:r>
      <w:r w:rsidRPr="00A52AB8">
        <w:t xml:space="preserve">id is equal to i and </w:t>
      </w:r>
      <w:r w:rsidR="00D62934" w:rsidRPr="00A52AB8">
        <w:t>hrd_fixed_atlas_rate_general_flag</w:t>
      </w:r>
      <w:r w:rsidR="001F4484" w:rsidRPr="00A52AB8">
        <w:t>[ i ]</w:t>
      </w:r>
      <w:r w:rsidRPr="00A52AB8">
        <w:t xml:space="preserve"> is equal to 1 for a CAS containing atlas</w:t>
      </w:r>
      <w:r w:rsidR="00E61AED" w:rsidRPr="00A52AB8">
        <w:t xml:space="preserve"> frame</w:t>
      </w:r>
      <w:r w:rsidRPr="00A52AB8">
        <w:t xml:space="preserve"> n, the value computed for </w:t>
      </w:r>
      <w:r w:rsidR="00963194" w:rsidRPr="00A52AB8">
        <w:t>DabOutputInterval</w:t>
      </w:r>
      <w:r w:rsidR="000B7FBC" w:rsidRPr="00A52AB8">
        <w:t>[ n ]</w:t>
      </w:r>
      <w:r w:rsidR="00963194" w:rsidRPr="00A52AB8">
        <w:t xml:space="preserve"> </w:t>
      </w:r>
      <w:r w:rsidRPr="00A52AB8">
        <w:t>shall be equal to ClockTick * ( </w:t>
      </w:r>
      <w:r w:rsidR="00F4178F" w:rsidRPr="00A52AB8">
        <w:t>hrd_elemental_duration_in_tc_minus1</w:t>
      </w:r>
      <w:r w:rsidR="001F4484" w:rsidRPr="00A52AB8">
        <w:t>[ i ]</w:t>
      </w:r>
      <w:r w:rsidRPr="00A52AB8">
        <w:t> + 1 ), wherein ClockTick is as specified in Equation</w:t>
      </w:r>
      <w:r w:rsidR="000E7540" w:rsidRPr="00A52AB8">
        <w:t xml:space="preserve"> </w:t>
      </w:r>
      <w:r w:rsidR="00990A4B" w:rsidRPr="00496A4D">
        <w:fldChar w:fldCharType="begin"/>
      </w:r>
      <w:r w:rsidR="00990A4B" w:rsidRPr="00A52AB8">
        <w:instrText xml:space="preserve"> REF Eqn_ClockTick \h  \* MERGEFORMAT </w:instrText>
      </w:r>
      <w:r w:rsidR="00990A4B" w:rsidRPr="00496A4D">
        <w:fldChar w:fldCharType="separate"/>
      </w:r>
      <w:r w:rsidR="00507A67" w:rsidRPr="00A52AB8">
        <w:t>E-</w:t>
      </w:r>
      <w:r w:rsidR="00507A67">
        <w:t>1</w:t>
      </w:r>
      <w:r w:rsidR="00990A4B" w:rsidRPr="00496A4D">
        <w:fldChar w:fldCharType="end"/>
      </w:r>
      <w:r w:rsidR="00990A4B" w:rsidRPr="00A52AB8">
        <w:t xml:space="preserve"> </w:t>
      </w:r>
      <w:r w:rsidRPr="00A52AB8">
        <w:t>(using the value of ClockTick for the CAS containing atlas</w:t>
      </w:r>
      <w:r w:rsidR="00E61AED" w:rsidRPr="00A52AB8">
        <w:t xml:space="preserve"> frame</w:t>
      </w:r>
      <w:r w:rsidRPr="00A52AB8">
        <w:t xml:space="preserve"> n) when one of the following conditions is true for the following atlas in output order next</w:t>
      </w:r>
      <w:r w:rsidR="00472D5E" w:rsidRPr="00A52AB8">
        <w:t>AtlasFrame</w:t>
      </w:r>
      <w:r w:rsidRPr="00A52AB8">
        <w:t>InOutputOrder that is specified for use in</w:t>
      </w:r>
      <w:r w:rsidR="00FA1FF7" w:rsidRPr="00A52AB8">
        <w:t xml:space="preserve"> </w:t>
      </w:r>
      <w:r w:rsidR="00990A4B" w:rsidRPr="00A52AB8">
        <w:t xml:space="preserve">Equation </w:t>
      </w:r>
      <w:r w:rsidR="00FA1FF7" w:rsidRPr="00496A4D">
        <w:fldChar w:fldCharType="begin"/>
      </w:r>
      <w:r w:rsidR="00FA1FF7" w:rsidRPr="00A52AB8">
        <w:instrText xml:space="preserve"> REF Eqn_DabOutputInterval \h </w:instrText>
      </w:r>
      <w:r w:rsidR="006371AA" w:rsidRPr="00A52AB8">
        <w:instrText xml:space="preserve"> \* MERGEFORMAT </w:instrText>
      </w:r>
      <w:r w:rsidR="00FA1FF7" w:rsidRPr="00496A4D">
        <w:fldChar w:fldCharType="separate"/>
      </w:r>
      <w:r w:rsidR="00507A67" w:rsidRPr="00A52AB8">
        <w:t>E</w:t>
      </w:r>
      <w:r w:rsidR="00507A67" w:rsidRPr="00A52AB8">
        <w:noBreakHyphen/>
      </w:r>
      <w:r w:rsidR="00507A67">
        <w:t>12</w:t>
      </w:r>
      <w:r w:rsidR="00FA1FF7" w:rsidRPr="00496A4D">
        <w:fldChar w:fldCharType="end"/>
      </w:r>
      <w:r w:rsidR="00FA1FF7" w:rsidRPr="00A52AB8">
        <w:t xml:space="preserve"> </w:t>
      </w:r>
      <w:r w:rsidRPr="00A52AB8">
        <w:t>:</w:t>
      </w:r>
    </w:p>
    <w:p w14:paraId="1A96C109" w14:textId="61ABDCB5" w:rsidR="00FD3B5D" w:rsidRPr="00A52AB8" w:rsidRDefault="009908E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the </w:t>
      </w:r>
      <w:r w:rsidR="00FD3B5D" w:rsidRPr="00A52AB8">
        <w:rPr>
          <w:color w:val="000000" w:themeColor="text1"/>
        </w:rPr>
        <w:t xml:space="preserve">atlas </w:t>
      </w:r>
      <w:r w:rsidR="00D62934" w:rsidRPr="00A52AB8">
        <w:rPr>
          <w:color w:val="000000" w:themeColor="text1"/>
        </w:rPr>
        <w:t xml:space="preserve">frame </w:t>
      </w:r>
      <w:r w:rsidR="00FD3B5D" w:rsidRPr="00A52AB8">
        <w:rPr>
          <w:color w:val="000000" w:themeColor="text1"/>
        </w:rPr>
        <w:t>nextAtlas</w:t>
      </w:r>
      <w:r w:rsidR="00D62934" w:rsidRPr="00A52AB8">
        <w:rPr>
          <w:color w:val="000000" w:themeColor="text1"/>
        </w:rPr>
        <w:t>Frame</w:t>
      </w:r>
      <w:r w:rsidR="00FD3B5D" w:rsidRPr="00A52AB8">
        <w:rPr>
          <w:color w:val="000000" w:themeColor="text1"/>
        </w:rPr>
        <w:t xml:space="preserve">InOutputOrder is in the same CAS as </w:t>
      </w:r>
      <w:r w:rsidRPr="00A52AB8">
        <w:rPr>
          <w:color w:val="000000" w:themeColor="text1"/>
        </w:rPr>
        <w:t xml:space="preserve">the </w:t>
      </w:r>
      <w:r w:rsidR="00FD3B5D" w:rsidRPr="00A52AB8">
        <w:rPr>
          <w:color w:val="000000" w:themeColor="text1"/>
        </w:rPr>
        <w:t xml:space="preserve">atlas </w:t>
      </w:r>
      <w:r w:rsidRPr="00A52AB8">
        <w:rPr>
          <w:color w:val="000000" w:themeColor="text1"/>
        </w:rPr>
        <w:t xml:space="preserve">frame </w:t>
      </w:r>
      <w:r w:rsidR="00FD3B5D" w:rsidRPr="00A52AB8">
        <w:rPr>
          <w:color w:val="000000" w:themeColor="text1"/>
        </w:rPr>
        <w:t>n.</w:t>
      </w:r>
    </w:p>
    <w:p w14:paraId="247834C3" w14:textId="1D230815" w:rsidR="00FD3B5D" w:rsidRPr="00A52AB8" w:rsidRDefault="009908E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the </w:t>
      </w:r>
      <w:r w:rsidR="00FD3B5D" w:rsidRPr="00A52AB8">
        <w:rPr>
          <w:color w:val="000000" w:themeColor="text1"/>
        </w:rPr>
        <w:t xml:space="preserve">atlas </w:t>
      </w:r>
      <w:r w:rsidRPr="00A52AB8">
        <w:rPr>
          <w:color w:val="000000" w:themeColor="text1"/>
        </w:rPr>
        <w:t xml:space="preserve">frame </w:t>
      </w:r>
      <w:r w:rsidR="00FD3B5D" w:rsidRPr="00A52AB8">
        <w:rPr>
          <w:color w:val="000000" w:themeColor="text1"/>
        </w:rPr>
        <w:t>nextAtlas</w:t>
      </w:r>
      <w:r w:rsidRPr="00A52AB8">
        <w:rPr>
          <w:color w:val="000000" w:themeColor="text1"/>
        </w:rPr>
        <w:t>Frame</w:t>
      </w:r>
      <w:r w:rsidR="00FD3B5D" w:rsidRPr="00A52AB8">
        <w:rPr>
          <w:color w:val="000000" w:themeColor="text1"/>
        </w:rPr>
        <w:t xml:space="preserve">InOutputOrder is in a different CAS and </w:t>
      </w:r>
      <w:r w:rsidR="00D62934" w:rsidRPr="00A52AB8">
        <w:rPr>
          <w:color w:val="000000" w:themeColor="text1"/>
        </w:rPr>
        <w:t>hrd_fixed_atlas_rate_general_flag</w:t>
      </w:r>
      <w:r w:rsidR="001F4484" w:rsidRPr="00A52AB8">
        <w:rPr>
          <w:color w:val="000000" w:themeColor="text1"/>
        </w:rPr>
        <w:t>[ i ]</w:t>
      </w:r>
      <w:r w:rsidR="00FD3B5D" w:rsidRPr="00A52AB8">
        <w:rPr>
          <w:color w:val="000000" w:themeColor="text1"/>
        </w:rPr>
        <w:t xml:space="preserve"> is equal to 1 in the CAS containing </w:t>
      </w:r>
      <w:r w:rsidRPr="00A52AB8">
        <w:rPr>
          <w:color w:val="000000" w:themeColor="text1"/>
        </w:rPr>
        <w:t xml:space="preserve">the </w:t>
      </w:r>
      <w:r w:rsidR="00FD3B5D" w:rsidRPr="00A52AB8">
        <w:rPr>
          <w:color w:val="000000" w:themeColor="text1"/>
        </w:rPr>
        <w:t>atlas</w:t>
      </w:r>
      <w:r w:rsidRPr="00A52AB8">
        <w:rPr>
          <w:color w:val="000000" w:themeColor="text1"/>
        </w:rPr>
        <w:t xml:space="preserve"> frame </w:t>
      </w:r>
      <w:r w:rsidR="00FD3B5D" w:rsidRPr="00A52AB8">
        <w:rPr>
          <w:color w:val="000000" w:themeColor="text1"/>
        </w:rPr>
        <w:t>nextAtlas</w:t>
      </w:r>
      <w:r w:rsidRPr="00A52AB8">
        <w:rPr>
          <w:color w:val="000000" w:themeColor="text1"/>
        </w:rPr>
        <w:t>Frame</w:t>
      </w:r>
      <w:r w:rsidR="00FD3B5D" w:rsidRPr="00A52AB8">
        <w:rPr>
          <w:color w:val="000000" w:themeColor="text1"/>
        </w:rPr>
        <w:t xml:space="preserve">InOutputOrder, the value of ClockTick is the same for both CASs, and the value of </w:t>
      </w:r>
      <w:r w:rsidR="00F4178F" w:rsidRPr="00A52AB8">
        <w:rPr>
          <w:color w:val="000000" w:themeColor="text1"/>
        </w:rPr>
        <w:t>hrd_elemental_duration_in_tc_minus1</w:t>
      </w:r>
      <w:r w:rsidR="001F4484" w:rsidRPr="00A52AB8">
        <w:rPr>
          <w:color w:val="000000" w:themeColor="text1"/>
        </w:rPr>
        <w:t>[ i ]</w:t>
      </w:r>
      <w:r w:rsidR="00FD3B5D" w:rsidRPr="00A52AB8">
        <w:rPr>
          <w:color w:val="000000" w:themeColor="text1"/>
        </w:rPr>
        <w:t xml:space="preserve"> is the same for both CASs.</w:t>
      </w:r>
    </w:p>
    <w:p w14:paraId="328CE30C" w14:textId="73FF2C5C" w:rsidR="00FD3B5D" w:rsidRPr="00A52AB8" w:rsidRDefault="00FD3B5D">
      <w:r w:rsidRPr="00A52AB8">
        <w:t>When H</w:t>
      </w:r>
      <w:r w:rsidR="00F4336E" w:rsidRPr="00A52AB8">
        <w:t>t</w:t>
      </w:r>
      <w:r w:rsidRPr="00A52AB8">
        <w:t xml:space="preserve">id is equal to i and </w:t>
      </w:r>
      <w:r w:rsidR="009908EC" w:rsidRPr="00A52AB8">
        <w:t>hrd_</w:t>
      </w:r>
      <w:r w:rsidRPr="00A52AB8">
        <w:t>fixed_atlas_rate_within_cas_flag</w:t>
      </w:r>
      <w:r w:rsidR="001F4484" w:rsidRPr="00A52AB8">
        <w:t>[ i ]</w:t>
      </w:r>
      <w:r w:rsidRPr="00A52AB8">
        <w:t xml:space="preserve"> is equal to 1 for a CAS containing atlas </w:t>
      </w:r>
      <w:r w:rsidR="009908EC" w:rsidRPr="00A52AB8">
        <w:t xml:space="preserve">frame </w:t>
      </w:r>
      <w:r w:rsidRPr="00A52AB8">
        <w:t xml:space="preserve">n, the value computed for </w:t>
      </w:r>
      <w:r w:rsidR="00963194" w:rsidRPr="00A52AB8">
        <w:t>DabOutputInterval</w:t>
      </w:r>
      <w:r w:rsidR="000B7FBC" w:rsidRPr="00A52AB8">
        <w:t>[ n ]</w:t>
      </w:r>
      <w:r w:rsidR="00963194" w:rsidRPr="00A52AB8">
        <w:t xml:space="preserve"> </w:t>
      </w:r>
      <w:r w:rsidRPr="00A52AB8">
        <w:t>shall be equal to ClockTick *</w:t>
      </w:r>
      <w:r w:rsidR="009908EC" w:rsidRPr="00A52AB8">
        <w:t> </w:t>
      </w:r>
      <w:r w:rsidRPr="00A52AB8">
        <w:t>( </w:t>
      </w:r>
      <w:r w:rsidR="00F4178F" w:rsidRPr="00A52AB8">
        <w:t>hrd_elemental_duration_in_tc_minus1</w:t>
      </w:r>
      <w:r w:rsidR="001F4484" w:rsidRPr="00A52AB8">
        <w:t>[ i ]</w:t>
      </w:r>
      <w:r w:rsidRPr="00A52AB8">
        <w:t xml:space="preserve"> + 1 ), wherein ClockTick is as specified in Equation </w:t>
      </w:r>
      <w:r w:rsidR="00382610" w:rsidRPr="00496A4D">
        <w:fldChar w:fldCharType="begin"/>
      </w:r>
      <w:r w:rsidR="00382610" w:rsidRPr="00A52AB8">
        <w:instrText xml:space="preserve"> REF Eqn_ClockTick \h  \* MERGEFORMAT </w:instrText>
      </w:r>
      <w:r w:rsidR="00382610" w:rsidRPr="00496A4D">
        <w:fldChar w:fldCharType="separate"/>
      </w:r>
      <w:r w:rsidR="00507A67" w:rsidRPr="00A52AB8">
        <w:t>E-</w:t>
      </w:r>
      <w:r w:rsidR="00507A67">
        <w:t>1</w:t>
      </w:r>
      <w:r w:rsidR="00382610" w:rsidRPr="00496A4D">
        <w:fldChar w:fldCharType="end"/>
      </w:r>
      <w:r w:rsidR="00382610" w:rsidRPr="00A52AB8">
        <w:t xml:space="preserve"> </w:t>
      </w:r>
      <w:r w:rsidRPr="00A52AB8">
        <w:t xml:space="preserve">(using the value of ClockTick for the CAS containing atlas </w:t>
      </w:r>
      <w:r w:rsidR="009908EC" w:rsidRPr="00A52AB8">
        <w:t xml:space="preserve">frame </w:t>
      </w:r>
      <w:r w:rsidRPr="00A52AB8">
        <w:t xml:space="preserve">n) when the following atlas </w:t>
      </w:r>
      <w:r w:rsidR="009908EC" w:rsidRPr="00A52AB8">
        <w:t xml:space="preserve">frame </w:t>
      </w:r>
      <w:r w:rsidRPr="00A52AB8">
        <w:t>in output order nextAtlas</w:t>
      </w:r>
      <w:r w:rsidR="00472D5E" w:rsidRPr="00A52AB8">
        <w:t>Frame</w:t>
      </w:r>
      <w:r w:rsidRPr="00A52AB8">
        <w:t xml:space="preserve">InOutputOrder that is specified for use in Equation </w:t>
      </w:r>
      <w:r w:rsidR="00D85333" w:rsidRPr="00496A4D">
        <w:fldChar w:fldCharType="begin"/>
      </w:r>
      <w:r w:rsidR="00D85333" w:rsidRPr="00A52AB8">
        <w:instrText xml:space="preserve"> REF Eqn_DabOutputInterval \h </w:instrText>
      </w:r>
      <w:r w:rsidR="006371AA" w:rsidRPr="00A52AB8">
        <w:instrText xml:space="preserve"> \* MERGEFORMAT </w:instrText>
      </w:r>
      <w:r w:rsidR="00D85333" w:rsidRPr="00496A4D">
        <w:fldChar w:fldCharType="separate"/>
      </w:r>
      <w:r w:rsidR="00507A67" w:rsidRPr="00A52AB8">
        <w:t>E</w:t>
      </w:r>
      <w:r w:rsidR="00507A67" w:rsidRPr="00A52AB8">
        <w:noBreakHyphen/>
      </w:r>
      <w:r w:rsidR="00507A67">
        <w:t>12</w:t>
      </w:r>
      <w:r w:rsidR="00D85333" w:rsidRPr="00496A4D">
        <w:fldChar w:fldCharType="end"/>
      </w:r>
      <w:r w:rsidR="00D85333" w:rsidRPr="00A52AB8">
        <w:t xml:space="preserve"> </w:t>
      </w:r>
      <w:r w:rsidRPr="00A52AB8">
        <w:t xml:space="preserve">is in the same CAS as atlas </w:t>
      </w:r>
      <w:r w:rsidR="009908EC" w:rsidRPr="00A52AB8">
        <w:t xml:space="preserve">frame </w:t>
      </w:r>
      <w:r w:rsidRPr="00A52AB8">
        <w:t>n.</w:t>
      </w:r>
    </w:p>
    <w:p w14:paraId="61EF24C4" w14:textId="3477EBBE" w:rsidR="00FD3B5D" w:rsidRPr="00A52AB8" w:rsidRDefault="00F4178F">
      <w:r w:rsidRPr="00A52AB8">
        <w:rPr>
          <w:b/>
        </w:rPr>
        <w:t>hrd_low_delay_flag</w:t>
      </w:r>
      <w:r w:rsidR="001F4484" w:rsidRPr="00A52AB8">
        <w:t>[ i ]</w:t>
      </w:r>
      <w:r w:rsidR="00FD3B5D" w:rsidRPr="00A52AB8">
        <w:t xml:space="preserve"> specifies the HRD operational mode, when H</w:t>
      </w:r>
      <w:r w:rsidR="00F4336E" w:rsidRPr="00A52AB8">
        <w:t>t</w:t>
      </w:r>
      <w:r w:rsidR="00FD3B5D" w:rsidRPr="00A52AB8">
        <w:t xml:space="preserve">id is equal to i, as specified in </w:t>
      </w:r>
      <w:r w:rsidR="009E2225" w:rsidRPr="00496A4D">
        <w:fldChar w:fldCharType="begin"/>
      </w:r>
      <w:r w:rsidR="009E2225" w:rsidRPr="00A52AB8">
        <w:instrText xml:space="preserve"> REF _Ref21527634 \r \h </w:instrText>
      </w:r>
      <w:r w:rsidR="00025423" w:rsidRPr="00A52AB8">
        <w:instrText xml:space="preserve"> \* MERGEFORMAT </w:instrText>
      </w:r>
      <w:r w:rsidR="009E2225" w:rsidRPr="00496A4D">
        <w:fldChar w:fldCharType="separate"/>
      </w:r>
      <w:r w:rsidR="00507A67">
        <w:t>Annex E</w:t>
      </w:r>
      <w:r w:rsidR="009E2225" w:rsidRPr="00496A4D">
        <w:fldChar w:fldCharType="end"/>
      </w:r>
      <w:r w:rsidR="00FD3B5D" w:rsidRPr="00A52AB8">
        <w:t xml:space="preserve">. When not present, the value of </w:t>
      </w:r>
      <w:r w:rsidRPr="00A52AB8">
        <w:t>hrd_low_delay_flag</w:t>
      </w:r>
      <w:r w:rsidR="001F4484" w:rsidRPr="00A52AB8">
        <w:t>[ i ]</w:t>
      </w:r>
      <w:r w:rsidR="00FD3B5D" w:rsidRPr="00A52AB8">
        <w:t xml:space="preserve"> is inferred to be equal to 0.</w:t>
      </w:r>
    </w:p>
    <w:p w14:paraId="2E625223" w14:textId="2AE95E1F" w:rsidR="00FD3B5D" w:rsidRPr="00A52AB8" w:rsidRDefault="00FD3B5D" w:rsidP="00895494">
      <w:pPr>
        <w:pStyle w:val="Note1"/>
        <w:rPr>
          <w:rFonts w:ascii="Cambria" w:hAnsi="Cambria"/>
        </w:rPr>
      </w:pPr>
      <w:r w:rsidRPr="00A52AB8">
        <w:rPr>
          <w:rFonts w:ascii="Cambria" w:hAnsi="Cambria"/>
        </w:rPr>
        <w:t>NOTE </w:t>
      </w:r>
      <w:r w:rsidRPr="00496A4D">
        <w:rPr>
          <w:rFonts w:ascii="Cambria" w:hAnsi="Cambria"/>
        </w:rPr>
        <w:fldChar w:fldCharType="begin"/>
      </w:r>
      <w:r w:rsidRPr="00A52AB8">
        <w:rPr>
          <w:rFonts w:ascii="Cambria" w:hAnsi="Cambria"/>
        </w:rPr>
        <w:instrText xml:space="preserve"> SEQ NoteCounter \* MERGEFORMAT </w:instrText>
      </w:r>
      <w:r w:rsidRPr="00496A4D">
        <w:rPr>
          <w:rFonts w:ascii="Cambria" w:hAnsi="Cambria"/>
        </w:rPr>
        <w:fldChar w:fldCharType="separate"/>
      </w:r>
      <w:r w:rsidR="00507A67">
        <w:rPr>
          <w:rFonts w:ascii="Cambria" w:hAnsi="Cambria"/>
          <w:noProof/>
        </w:rPr>
        <w:t>3</w:t>
      </w:r>
      <w:r w:rsidRPr="00496A4D">
        <w:rPr>
          <w:rFonts w:ascii="Cambria" w:hAnsi="Cambria"/>
        </w:rPr>
        <w:fldChar w:fldCharType="end"/>
      </w:r>
      <w:r w:rsidRPr="00A52AB8">
        <w:rPr>
          <w:rFonts w:ascii="Cambria" w:hAnsi="Cambria"/>
        </w:rPr>
        <w:t xml:space="preserve"> – When </w:t>
      </w:r>
      <w:r w:rsidR="00F4178F" w:rsidRPr="00A52AB8">
        <w:rPr>
          <w:rFonts w:ascii="Cambria" w:hAnsi="Cambria"/>
        </w:rPr>
        <w:t>hrd_low_delay_flag</w:t>
      </w:r>
      <w:r w:rsidR="001F4484" w:rsidRPr="00A52AB8">
        <w:rPr>
          <w:rFonts w:ascii="Cambria" w:hAnsi="Cambria"/>
        </w:rPr>
        <w:t>[ i ]</w:t>
      </w:r>
      <w:r w:rsidRPr="00A52AB8">
        <w:rPr>
          <w:rFonts w:ascii="Cambria" w:hAnsi="Cambria"/>
        </w:rPr>
        <w:t xml:space="preserve"> is equal to 1, "big atlas</w:t>
      </w:r>
      <w:r w:rsidR="009E2225" w:rsidRPr="00A52AB8">
        <w:rPr>
          <w:rFonts w:ascii="Cambria" w:hAnsi="Cambria"/>
        </w:rPr>
        <w:t>e</w:t>
      </w:r>
      <w:r w:rsidRPr="00A52AB8">
        <w:rPr>
          <w:rFonts w:ascii="Cambria" w:hAnsi="Cambria"/>
        </w:rPr>
        <w:t>s" that violate the nominal CAB removal times due to the number of bits used by an access unit are permitted. It is expected, but not required, that such "big atlas</w:t>
      </w:r>
      <w:r w:rsidR="009E2225" w:rsidRPr="00A52AB8">
        <w:rPr>
          <w:rFonts w:ascii="Cambria" w:hAnsi="Cambria"/>
        </w:rPr>
        <w:t>e</w:t>
      </w:r>
      <w:r w:rsidRPr="00A52AB8">
        <w:rPr>
          <w:rFonts w:ascii="Cambria" w:hAnsi="Cambria"/>
        </w:rPr>
        <w:t>s" occur only occasionally.</w:t>
      </w:r>
    </w:p>
    <w:p w14:paraId="0CF5E7E1" w14:textId="59C8FD8B" w:rsidR="00FD3B5D" w:rsidRPr="00A52AB8" w:rsidRDefault="00F4178F">
      <w:r w:rsidRPr="00A52AB8">
        <w:rPr>
          <w:b/>
        </w:rPr>
        <w:t>hrd_cab_cnt_minus1</w:t>
      </w:r>
      <w:r w:rsidR="001F4484" w:rsidRPr="00A52AB8">
        <w:t>[ i ]</w:t>
      </w:r>
      <w:r w:rsidR="00FD3B5D" w:rsidRPr="00A52AB8">
        <w:t xml:space="preserve"> plus 1 specifies the number of alternative CAB specifications in the bitstream of the CAS when H</w:t>
      </w:r>
      <w:r w:rsidR="00F4336E" w:rsidRPr="00A52AB8">
        <w:t>t</w:t>
      </w:r>
      <w:r w:rsidR="00FD3B5D" w:rsidRPr="00A52AB8">
        <w:t xml:space="preserve">id is equal to i. The value of </w:t>
      </w:r>
      <w:r w:rsidRPr="00A52AB8">
        <w:t>hrd_cab_cnt_minus1</w:t>
      </w:r>
      <w:r w:rsidR="001F4484" w:rsidRPr="00A52AB8">
        <w:t>[ i ]</w:t>
      </w:r>
      <w:r w:rsidR="00FD3B5D" w:rsidRPr="00A52AB8">
        <w:t xml:space="preserve"> shall be in the range of 0 to 31, inclusive. When not present, the value of </w:t>
      </w:r>
      <w:r w:rsidRPr="00A52AB8">
        <w:t>hrd_cab_cnt_minus1</w:t>
      </w:r>
      <w:r w:rsidR="001F4484" w:rsidRPr="00A52AB8">
        <w:t>[ i ]</w:t>
      </w:r>
      <w:r w:rsidR="00FD3B5D" w:rsidRPr="00A52AB8">
        <w:t xml:space="preserve"> is inferred to be equal to 0.</w:t>
      </w:r>
    </w:p>
    <w:p w14:paraId="50CD4A13" w14:textId="77777777" w:rsidR="00CE17FE" w:rsidRPr="00A52AB8" w:rsidRDefault="009E2225">
      <w:pPr>
        <w:pStyle w:val="a3"/>
        <w:numPr>
          <w:ilvl w:val="2"/>
          <w:numId w:val="19"/>
        </w:numPr>
      </w:pPr>
      <w:bookmarkStart w:id="6088" w:name="_Ref21520767"/>
      <w:bookmarkStart w:id="6089" w:name="_Ref330938577"/>
      <w:bookmarkStart w:id="6090" w:name="_Ref330938596"/>
      <w:bookmarkStart w:id="6091" w:name="_Toc358292283"/>
      <w:bookmarkStart w:id="6092" w:name="_Toc52181763"/>
      <w:r w:rsidRPr="00A52AB8">
        <w:t xml:space="preserve">HRD </w:t>
      </w:r>
      <w:r w:rsidR="00736AE4" w:rsidRPr="00A52AB8">
        <w:t>s</w:t>
      </w:r>
      <w:r w:rsidR="00CE17FE" w:rsidRPr="00A52AB8">
        <w:t>ub-layer parameters semantics</w:t>
      </w:r>
      <w:bookmarkEnd w:id="6088"/>
      <w:bookmarkEnd w:id="6092"/>
    </w:p>
    <w:bookmarkEnd w:id="6089"/>
    <w:bookmarkEnd w:id="6090"/>
    <w:bookmarkEnd w:id="6091"/>
    <w:p w14:paraId="6E9FA29A" w14:textId="644A8687" w:rsidR="00FD3B5D" w:rsidRPr="00A52AB8" w:rsidRDefault="00FD3B5D">
      <w:r w:rsidRPr="00A52AB8">
        <w:t>The variable CabCnt is set equal to</w:t>
      </w:r>
      <w:r w:rsidR="00726C3A" w:rsidRPr="00A52AB8">
        <w:t xml:space="preserve"> </w:t>
      </w:r>
      <w:r w:rsidR="00F4178F" w:rsidRPr="00A52AB8">
        <w:t>hrd_cab_cnt_minus1</w:t>
      </w:r>
      <w:r w:rsidRPr="00A52AB8">
        <w:t>[ subLayer</w:t>
      </w:r>
      <w:r w:rsidR="007812ED" w:rsidRPr="00A52AB8">
        <w:t xml:space="preserve">ID </w:t>
      </w:r>
      <w:r w:rsidRPr="00A52AB8">
        <w:t>].</w:t>
      </w:r>
    </w:p>
    <w:p w14:paraId="7D2DD6C4" w14:textId="725EAE7A" w:rsidR="00FD3B5D" w:rsidRPr="00A52AB8" w:rsidRDefault="00604353">
      <w:r w:rsidRPr="00A52AB8">
        <w:rPr>
          <w:b/>
        </w:rPr>
        <w:t>hrd_bit_rate_value_minus1</w:t>
      </w:r>
      <w:r w:rsidR="00A800B4" w:rsidRPr="00A52AB8">
        <w:rPr>
          <w:bCs/>
        </w:rPr>
        <w:t>[ </w:t>
      </w:r>
      <w:r w:rsidR="002D0AF8" w:rsidRPr="00A52AB8">
        <w:rPr>
          <w:bCs/>
        </w:rPr>
        <w:t>h</w:t>
      </w:r>
      <w:r w:rsidR="00A800B4" w:rsidRPr="00A52AB8">
        <w:rPr>
          <w:bCs/>
        </w:rPr>
        <w:t> ]</w:t>
      </w:r>
      <w:r w:rsidR="001F4484" w:rsidRPr="00A52AB8">
        <w:rPr>
          <w:bCs/>
        </w:rPr>
        <w:t>[ </w:t>
      </w:r>
      <w:r w:rsidR="00FF170C" w:rsidRPr="00A52AB8">
        <w:rPr>
          <w:bCs/>
        </w:rPr>
        <w:t>i</w:t>
      </w:r>
      <w:r w:rsidR="001F4484" w:rsidRPr="00A52AB8">
        <w:rPr>
          <w:bCs/>
        </w:rPr>
        <w:t> ]</w:t>
      </w:r>
      <w:r w:rsidR="001F4484" w:rsidRPr="00A52AB8">
        <w:t>[ </w:t>
      </w:r>
      <w:r w:rsidR="00FF170C" w:rsidRPr="00A52AB8">
        <w:t>j</w:t>
      </w:r>
      <w:r w:rsidR="001F4484" w:rsidRPr="00A52AB8">
        <w:t> ]</w:t>
      </w:r>
      <w:r w:rsidR="00FD3B5D" w:rsidRPr="00A52AB8">
        <w:t xml:space="preserve"> </w:t>
      </w:r>
      <w:r w:rsidR="00FF170C" w:rsidRPr="00A52AB8">
        <w:t xml:space="preserve">(together with </w:t>
      </w:r>
      <w:r w:rsidR="00B6722B" w:rsidRPr="00A52AB8">
        <w:t>hrd_</w:t>
      </w:r>
      <w:r w:rsidR="00FF170C" w:rsidRPr="00A52AB8">
        <w:t>bit_rate_scale) specifies the maximum input bit rate for the j-th CAB</w:t>
      </w:r>
      <w:r w:rsidR="00316B1F" w:rsidRPr="00A52AB8">
        <w:t xml:space="preserve">, for the </w:t>
      </w:r>
      <w:r w:rsidR="00FF170C" w:rsidRPr="00A52AB8">
        <w:t>i</w:t>
      </w:r>
      <w:r w:rsidR="00316B1F" w:rsidRPr="00A52AB8">
        <w:t>-th sub-layer,</w:t>
      </w:r>
      <w:r w:rsidR="00FF170C" w:rsidRPr="00A52AB8">
        <w:t xml:space="preserve"> when the CAB operates at the access unit level</w:t>
      </w:r>
      <w:r w:rsidR="00A800B4" w:rsidRPr="00A52AB8">
        <w:t xml:space="preserve">, with </w:t>
      </w:r>
      <w:r w:rsidR="002D0AF8" w:rsidRPr="00A52AB8">
        <w:t>h</w:t>
      </w:r>
      <w:r w:rsidR="00A800B4" w:rsidRPr="00A52AB8">
        <w:t xml:space="preserve"> indicating the type of bitstream conformance</w:t>
      </w:r>
      <w:r w:rsidR="00FF170C" w:rsidRPr="00A52AB8">
        <w:t xml:space="preserve">. </w:t>
      </w:r>
      <w:r w:rsidR="00B6722B" w:rsidRPr="00A52AB8">
        <w:t>hrd_</w:t>
      </w:r>
      <w:r w:rsidR="00FF170C" w:rsidRPr="00A52AB8">
        <w:t>bit_rate_value_minus1</w:t>
      </w:r>
      <w:r w:rsidR="00A800B4" w:rsidRPr="00A52AB8">
        <w:rPr>
          <w:bCs/>
        </w:rPr>
        <w:t>[ </w:t>
      </w:r>
      <w:r w:rsidR="002D0AF8" w:rsidRPr="00A52AB8">
        <w:rPr>
          <w:bCs/>
        </w:rPr>
        <w:t>h</w:t>
      </w:r>
      <w:r w:rsidR="00A800B4" w:rsidRPr="00A52AB8">
        <w:rPr>
          <w:bCs/>
        </w:rPr>
        <w:t> ]</w:t>
      </w:r>
      <w:r w:rsidR="00FF170C" w:rsidRPr="00A52AB8">
        <w:t>[</w:t>
      </w:r>
      <w:r w:rsidR="00A800B4" w:rsidRPr="00A52AB8">
        <w:t> </w:t>
      </w:r>
      <w:r w:rsidR="00FF170C" w:rsidRPr="00A52AB8">
        <w:t>i</w:t>
      </w:r>
      <w:r w:rsidR="00A800B4" w:rsidRPr="00A52AB8">
        <w:t> </w:t>
      </w:r>
      <w:r w:rsidR="00FF170C" w:rsidRPr="00A52AB8">
        <w:t>][</w:t>
      </w:r>
      <w:r w:rsidR="00A800B4" w:rsidRPr="00A52AB8">
        <w:t> </w:t>
      </w:r>
      <w:r w:rsidR="00FF170C" w:rsidRPr="00A52AB8">
        <w:t>j</w:t>
      </w:r>
      <w:r w:rsidR="00A800B4" w:rsidRPr="00A52AB8">
        <w:t> </w:t>
      </w:r>
      <w:r w:rsidR="00FF170C" w:rsidRPr="00A52AB8">
        <w:t xml:space="preserve">] shall be in the range of 0 to </w:t>
      </w:r>
      <w:r w:rsidR="00C47FBF" w:rsidRPr="00A52AB8">
        <w:t>2</w:t>
      </w:r>
      <w:r w:rsidR="00C47FBF" w:rsidRPr="00A52AB8">
        <w:rPr>
          <w:vertAlign w:val="superscript"/>
        </w:rPr>
        <w:t>32</w:t>
      </w:r>
      <w:r w:rsidR="00C47FBF" w:rsidRPr="00A52AB8">
        <w:t> − 2</w:t>
      </w:r>
      <w:r w:rsidR="00FF170C" w:rsidRPr="00A52AB8">
        <w:t xml:space="preserve">, inclusive. For any j greater than 0 and any particular value of i, </w:t>
      </w:r>
      <w:r w:rsidR="00B6722B" w:rsidRPr="00A52AB8">
        <w:t>hrd_</w:t>
      </w:r>
      <w:r w:rsidR="00FF170C" w:rsidRPr="00A52AB8">
        <w:t>bit_rate_value_minus1</w:t>
      </w:r>
      <w:r w:rsidR="00A800B4" w:rsidRPr="00A52AB8">
        <w:t>[ </w:t>
      </w:r>
      <w:r w:rsidR="002D0AF8" w:rsidRPr="00A52AB8">
        <w:t>h</w:t>
      </w:r>
      <w:r w:rsidR="00A800B4" w:rsidRPr="00A52AB8">
        <w:t> ]</w:t>
      </w:r>
      <w:r w:rsidR="00FF170C" w:rsidRPr="00A52AB8">
        <w:t>[</w:t>
      </w:r>
      <w:r w:rsidR="00A800B4" w:rsidRPr="00A52AB8">
        <w:t> </w:t>
      </w:r>
      <w:r w:rsidR="00FF170C" w:rsidRPr="00A52AB8">
        <w:t>i</w:t>
      </w:r>
      <w:r w:rsidR="00A800B4" w:rsidRPr="00A52AB8">
        <w:t> </w:t>
      </w:r>
      <w:r w:rsidR="00FF170C" w:rsidRPr="00A52AB8">
        <w:t>][</w:t>
      </w:r>
      <w:r w:rsidR="00A800B4" w:rsidRPr="00A52AB8">
        <w:t> </w:t>
      </w:r>
      <w:r w:rsidR="00FF170C" w:rsidRPr="00A52AB8">
        <w:t>j</w:t>
      </w:r>
      <w:r w:rsidR="00A800B4" w:rsidRPr="00A52AB8">
        <w:t> </w:t>
      </w:r>
      <w:r w:rsidR="00FF170C" w:rsidRPr="00A52AB8">
        <w:t xml:space="preserve">] shall be greater than </w:t>
      </w:r>
      <w:r w:rsidR="00B6722B" w:rsidRPr="00A52AB8">
        <w:t>hrd_</w:t>
      </w:r>
      <w:r w:rsidR="00FF170C" w:rsidRPr="00A52AB8">
        <w:t>bit_rate_value_minus1</w:t>
      </w:r>
      <w:r w:rsidR="00A800B4" w:rsidRPr="00A52AB8">
        <w:t>[ </w:t>
      </w:r>
      <w:r w:rsidR="002D0AF8" w:rsidRPr="00A52AB8">
        <w:t>h</w:t>
      </w:r>
      <w:r w:rsidR="00A800B4" w:rsidRPr="00A52AB8">
        <w:t> ]</w:t>
      </w:r>
      <w:r w:rsidR="00FF170C" w:rsidRPr="00A52AB8">
        <w:t>[</w:t>
      </w:r>
      <w:r w:rsidR="00A800B4" w:rsidRPr="00A52AB8">
        <w:t> </w:t>
      </w:r>
      <w:r w:rsidR="00FF170C" w:rsidRPr="00A52AB8">
        <w:t>i</w:t>
      </w:r>
      <w:r w:rsidR="00A800B4" w:rsidRPr="00A52AB8">
        <w:t> </w:t>
      </w:r>
      <w:r w:rsidR="00FF170C" w:rsidRPr="00A52AB8">
        <w:t>][</w:t>
      </w:r>
      <w:r w:rsidR="00A800B4" w:rsidRPr="00A52AB8">
        <w:t> </w:t>
      </w:r>
      <w:r w:rsidR="00FF170C" w:rsidRPr="00A52AB8">
        <w:t>j</w:t>
      </w:r>
      <w:r w:rsidR="00A800B4" w:rsidRPr="00A52AB8">
        <w:t> – </w:t>
      </w:r>
      <w:r w:rsidR="00FF170C" w:rsidRPr="00A52AB8">
        <w:t>1</w:t>
      </w:r>
      <w:r w:rsidR="00A800B4" w:rsidRPr="00A52AB8">
        <w:t> </w:t>
      </w:r>
      <w:r w:rsidR="00FF170C" w:rsidRPr="00A52AB8">
        <w:t>]</w:t>
      </w:r>
      <w:r w:rsidR="00FD3B5D" w:rsidRPr="00A52AB8">
        <w:t>.</w:t>
      </w:r>
    </w:p>
    <w:p w14:paraId="629521E6" w14:textId="77777777" w:rsidR="00FD3B5D" w:rsidRPr="00A52AB8" w:rsidRDefault="00FD3B5D">
      <w:r w:rsidRPr="00A52AB8">
        <w:t>The bit rate in bits per second is given by:</w:t>
      </w:r>
    </w:p>
    <w:p w14:paraId="0E4268C6" w14:textId="6807E0A5" w:rsidR="00FD3B5D" w:rsidRPr="00A52AB8" w:rsidRDefault="003730AF" w:rsidP="00A252B5">
      <w:pPr>
        <w:pStyle w:val="Equation"/>
        <w:tabs>
          <w:tab w:val="left" w:pos="403"/>
        </w:tabs>
      </w:pPr>
      <w:r w:rsidRPr="00A52AB8">
        <w:tab/>
      </w:r>
      <w:r w:rsidR="00FD3B5D" w:rsidRPr="00A52AB8">
        <w:t>BitRate</w:t>
      </w:r>
      <w:r w:rsidR="002700E6" w:rsidRPr="00A52AB8">
        <w:t>[ </w:t>
      </w:r>
      <w:r w:rsidR="002D0AF8" w:rsidRPr="00A52AB8">
        <w:t>h</w:t>
      </w:r>
      <w:r w:rsidR="002700E6" w:rsidRPr="00A52AB8">
        <w:t> ]</w:t>
      </w:r>
      <w:r w:rsidR="001F4484" w:rsidRPr="00A52AB8">
        <w:t>[ </w:t>
      </w:r>
      <w:r w:rsidR="00E61AED" w:rsidRPr="00A52AB8">
        <w:t>i</w:t>
      </w:r>
      <w:r w:rsidR="001F4484" w:rsidRPr="00A52AB8">
        <w:t> ][ </w:t>
      </w:r>
      <w:r w:rsidR="00E61AED" w:rsidRPr="00A52AB8">
        <w:t>j</w:t>
      </w:r>
      <w:r w:rsidR="001F4484" w:rsidRPr="00A52AB8">
        <w:t> ]</w:t>
      </w:r>
      <w:r w:rsidR="00D47707" w:rsidRPr="00A52AB8">
        <w:t> = </w:t>
      </w:r>
      <w:r w:rsidR="00FD3B5D" w:rsidRPr="00A52AB8">
        <w:t>(</w:t>
      </w:r>
      <w:r w:rsidRPr="00A52AB8">
        <w:t> </w:t>
      </w:r>
      <w:r w:rsidR="00604353" w:rsidRPr="00A52AB8">
        <w:t>hrd_bit_rate_value_minus1</w:t>
      </w:r>
      <w:r w:rsidR="002700E6" w:rsidRPr="00A52AB8">
        <w:t>[ </w:t>
      </w:r>
      <w:r w:rsidR="002D0AF8" w:rsidRPr="00A52AB8">
        <w:t>h</w:t>
      </w:r>
      <w:r w:rsidR="002700E6" w:rsidRPr="00A52AB8">
        <w:t> ]</w:t>
      </w:r>
      <w:r w:rsidR="001F4484" w:rsidRPr="00A52AB8">
        <w:rPr>
          <w:bCs/>
        </w:rPr>
        <w:t>[ </w:t>
      </w:r>
      <w:r w:rsidR="00E61AED" w:rsidRPr="00A52AB8">
        <w:rPr>
          <w:bCs/>
        </w:rPr>
        <w:t>i</w:t>
      </w:r>
      <w:r w:rsidR="001F4484" w:rsidRPr="00A52AB8">
        <w:rPr>
          <w:bCs/>
        </w:rPr>
        <w:t> ]</w:t>
      </w:r>
      <w:r w:rsidR="001F4484" w:rsidRPr="00A52AB8">
        <w:t>[ </w:t>
      </w:r>
      <w:r w:rsidR="00E61AED" w:rsidRPr="00A52AB8">
        <w:t>j</w:t>
      </w:r>
      <w:r w:rsidR="001F4484" w:rsidRPr="00A52AB8">
        <w:t> ]</w:t>
      </w:r>
      <w:r w:rsidR="00FD3B5D" w:rsidRPr="00A52AB8">
        <w:t> + 1</w:t>
      </w:r>
      <w:r w:rsidRPr="00A52AB8">
        <w:t> </w:t>
      </w:r>
      <w:r w:rsidR="00FD3B5D" w:rsidRPr="00A52AB8">
        <w:t>)</w:t>
      </w:r>
      <w:r w:rsidRPr="00A52AB8">
        <w:t> </w:t>
      </w:r>
      <w:r w:rsidR="00FD3B5D" w:rsidRPr="00A52AB8">
        <w:t>*</w:t>
      </w:r>
      <w:r w:rsidRPr="00A52AB8">
        <w:t> </w:t>
      </w:r>
      <w:r w:rsidR="00FD3B5D" w:rsidRPr="00A52AB8">
        <w:t>2</w:t>
      </w:r>
      <w:r w:rsidR="00FD3B5D" w:rsidRPr="00A52AB8">
        <w:rPr>
          <w:position w:val="6"/>
          <w:vertAlign w:val="superscript"/>
        </w:rPr>
        <w:t>( 6</w:t>
      </w:r>
      <w:r w:rsidRPr="00A52AB8">
        <w:rPr>
          <w:position w:val="6"/>
          <w:vertAlign w:val="superscript"/>
        </w:rPr>
        <w:t> </w:t>
      </w:r>
      <w:r w:rsidR="00FD3B5D" w:rsidRPr="00A52AB8">
        <w:rPr>
          <w:position w:val="6"/>
          <w:vertAlign w:val="superscript"/>
        </w:rPr>
        <w:t>+</w:t>
      </w:r>
      <w:r w:rsidRPr="00A52AB8">
        <w:rPr>
          <w:position w:val="6"/>
          <w:vertAlign w:val="superscript"/>
        </w:rPr>
        <w:t> </w:t>
      </w:r>
      <w:r w:rsidR="00F4178F" w:rsidRPr="00A52AB8">
        <w:rPr>
          <w:position w:val="6"/>
          <w:vertAlign w:val="superscript"/>
        </w:rPr>
        <w:t>hrd_bit_rate_scale</w:t>
      </w:r>
      <w:r w:rsidR="00FD3B5D" w:rsidRPr="00A52AB8">
        <w:rPr>
          <w:position w:val="6"/>
          <w:vertAlign w:val="superscript"/>
        </w:rPr>
        <w:t> )</w:t>
      </w:r>
      <w:r w:rsidR="00FD3B5D" w:rsidRPr="00A52AB8">
        <w:tab/>
        <w:t>(</w:t>
      </w:r>
      <w:bookmarkStart w:id="6093" w:name="BitRate_Eqn"/>
      <w:r w:rsidR="000B1C77" w:rsidRPr="00A52AB8">
        <w:t>G</w:t>
      </w:r>
      <w:r w:rsidR="00FD3B5D" w:rsidRPr="00A52AB8">
        <w:noBreakHyphen/>
      </w:r>
      <w:r w:rsidR="00FD3B5D" w:rsidRPr="00496A4D">
        <w:fldChar w:fldCharType="begin"/>
      </w:r>
      <w:r w:rsidR="00FD3B5D" w:rsidRPr="00A52AB8">
        <w:instrText xml:space="preserve"> SEQ Equation \* ARABIC </w:instrText>
      </w:r>
      <w:r w:rsidR="00FD3B5D" w:rsidRPr="00496A4D">
        <w:fldChar w:fldCharType="separate"/>
      </w:r>
      <w:r w:rsidR="00507A67">
        <w:rPr>
          <w:noProof/>
        </w:rPr>
        <w:t>3</w:t>
      </w:r>
      <w:r w:rsidR="00FD3B5D" w:rsidRPr="00496A4D">
        <w:fldChar w:fldCharType="end"/>
      </w:r>
      <w:bookmarkEnd w:id="6093"/>
      <w:r w:rsidR="00FD3B5D" w:rsidRPr="00A52AB8">
        <w:t>)</w:t>
      </w:r>
    </w:p>
    <w:p w14:paraId="24BA1CD8" w14:textId="2DF7E5E0" w:rsidR="00FD3B5D" w:rsidRPr="00A52AB8" w:rsidRDefault="00FD3B5D">
      <w:r w:rsidRPr="00A52AB8">
        <w:t xml:space="preserve">When the </w:t>
      </w:r>
      <w:r w:rsidR="00604353" w:rsidRPr="00A52AB8">
        <w:t>hrd_bit_rate_value_minus1</w:t>
      </w:r>
      <w:r w:rsidR="002700E6" w:rsidRPr="00A52AB8">
        <w:t>[ </w:t>
      </w:r>
      <w:r w:rsidR="002D0AF8" w:rsidRPr="00A52AB8">
        <w:t>h</w:t>
      </w:r>
      <w:r w:rsidR="002700E6" w:rsidRPr="00A52AB8">
        <w:t> ]</w:t>
      </w:r>
      <w:r w:rsidR="001F4484" w:rsidRPr="00A52AB8">
        <w:rPr>
          <w:bCs/>
        </w:rPr>
        <w:t>[ </w:t>
      </w:r>
      <w:r w:rsidR="00E30FBB" w:rsidRPr="00A52AB8">
        <w:rPr>
          <w:bCs/>
        </w:rPr>
        <w:t>i</w:t>
      </w:r>
      <w:r w:rsidR="001F4484" w:rsidRPr="00A52AB8">
        <w:rPr>
          <w:bCs/>
        </w:rPr>
        <w:t> ]</w:t>
      </w:r>
      <w:r w:rsidR="001F4484" w:rsidRPr="00A52AB8">
        <w:t>[ </w:t>
      </w:r>
      <w:r w:rsidR="00E30FBB" w:rsidRPr="00A52AB8">
        <w:t>j</w:t>
      </w:r>
      <w:r w:rsidR="001F4484" w:rsidRPr="00A52AB8">
        <w:t> ]</w:t>
      </w:r>
      <w:r w:rsidRPr="00A52AB8">
        <w:t xml:space="preserve"> syntax element is not present, the value of BitRate</w:t>
      </w:r>
      <w:r w:rsidR="002700E6" w:rsidRPr="00A52AB8">
        <w:t>[ </w:t>
      </w:r>
      <w:r w:rsidR="002D0AF8" w:rsidRPr="00A52AB8">
        <w:t>h</w:t>
      </w:r>
      <w:r w:rsidR="002700E6" w:rsidRPr="00A52AB8">
        <w:t> ]</w:t>
      </w:r>
      <w:r w:rsidR="001F4484" w:rsidRPr="00A52AB8">
        <w:t>[ </w:t>
      </w:r>
      <w:r w:rsidR="00E30FBB" w:rsidRPr="00A52AB8">
        <w:t>i</w:t>
      </w:r>
      <w:r w:rsidR="001F4484" w:rsidRPr="00A52AB8">
        <w:t> ][ </w:t>
      </w:r>
      <w:r w:rsidR="00E30FBB" w:rsidRPr="00A52AB8">
        <w:t>j</w:t>
      </w:r>
      <w:r w:rsidR="001F4484" w:rsidRPr="00A52AB8">
        <w:t> ]</w:t>
      </w:r>
      <w:r w:rsidRPr="00A52AB8">
        <w:t xml:space="preserve"> is inferred to be equal to</w:t>
      </w:r>
      <w:r w:rsidR="00F4336E" w:rsidRPr="00A52AB8">
        <w:t xml:space="preserve"> </w:t>
      </w:r>
      <w:r w:rsidR="00F72C43" w:rsidRPr="00A52AB8">
        <w:t>MaxAtlasBR</w:t>
      </w:r>
      <w:r w:rsidR="00F4336E" w:rsidRPr="00A52AB8">
        <w:t>,</w:t>
      </w:r>
      <w:r w:rsidR="00EB66EF" w:rsidRPr="00A52AB8">
        <w:t xml:space="preserve"> </w:t>
      </w:r>
      <w:r w:rsidR="00F4336E" w:rsidRPr="00A52AB8">
        <w:t xml:space="preserve">where </w:t>
      </w:r>
      <w:r w:rsidR="0007527F" w:rsidRPr="00A52AB8">
        <w:t xml:space="preserve">MaxAtlasBR </w:t>
      </w:r>
      <w:r w:rsidR="00F4336E" w:rsidRPr="00A52AB8">
        <w:t xml:space="preserve">is specified in </w:t>
      </w:r>
      <w:r w:rsidR="009E2225" w:rsidRPr="00496A4D">
        <w:fldChar w:fldCharType="begin"/>
      </w:r>
      <w:r w:rsidR="009E2225" w:rsidRPr="00A52AB8">
        <w:instrText xml:space="preserve"> REF _Ref21508199 \r \h </w:instrText>
      </w:r>
      <w:r w:rsidR="00025423" w:rsidRPr="00A52AB8">
        <w:instrText xml:space="preserve"> \* MERGEFORMAT </w:instrText>
      </w:r>
      <w:r w:rsidR="009E2225" w:rsidRPr="00496A4D">
        <w:fldChar w:fldCharType="separate"/>
      </w:r>
      <w:r w:rsidR="00507A67">
        <w:t>Annex A</w:t>
      </w:r>
      <w:r w:rsidR="009E2225" w:rsidRPr="00496A4D">
        <w:fldChar w:fldCharType="end"/>
      </w:r>
      <w:r w:rsidRPr="00A52AB8">
        <w:t>.</w:t>
      </w:r>
    </w:p>
    <w:p w14:paraId="12F144B1" w14:textId="152B71EA" w:rsidR="00FD3B5D" w:rsidRPr="00A52AB8" w:rsidRDefault="00604353">
      <w:r w:rsidRPr="00A52AB8">
        <w:rPr>
          <w:b/>
        </w:rPr>
        <w:t>hrd_cab_size_value_minus1</w:t>
      </w:r>
      <w:r w:rsidR="002700E6" w:rsidRPr="00A52AB8">
        <w:rPr>
          <w:bCs/>
        </w:rPr>
        <w:t>[ </w:t>
      </w:r>
      <w:r w:rsidR="002D0AF8" w:rsidRPr="00A52AB8">
        <w:rPr>
          <w:bCs/>
        </w:rPr>
        <w:t>h</w:t>
      </w:r>
      <w:r w:rsidR="002700E6" w:rsidRPr="00A52AB8">
        <w:rPr>
          <w:bCs/>
        </w:rPr>
        <w:t> ]</w:t>
      </w:r>
      <w:r w:rsidR="001F4484" w:rsidRPr="00A52AB8">
        <w:rPr>
          <w:bCs/>
        </w:rPr>
        <w:t>[ </w:t>
      </w:r>
      <w:r w:rsidR="00E61AED" w:rsidRPr="00A52AB8">
        <w:rPr>
          <w:bCs/>
        </w:rPr>
        <w:t>i</w:t>
      </w:r>
      <w:r w:rsidR="001F4484" w:rsidRPr="00A52AB8">
        <w:rPr>
          <w:bCs/>
        </w:rPr>
        <w:t> ]</w:t>
      </w:r>
      <w:r w:rsidR="001F4484" w:rsidRPr="00A52AB8">
        <w:t>[ </w:t>
      </w:r>
      <w:r w:rsidR="00E61AED" w:rsidRPr="00A52AB8">
        <w:t>j</w:t>
      </w:r>
      <w:r w:rsidR="001F4484" w:rsidRPr="00A52AB8">
        <w:t> ]</w:t>
      </w:r>
      <w:r w:rsidR="00FD3B5D" w:rsidRPr="00A52AB8">
        <w:t xml:space="preserve"> </w:t>
      </w:r>
      <w:r w:rsidR="00E61AED" w:rsidRPr="00A52AB8">
        <w:t>is used together with cpb_size_scale to specify the j-th CAB size</w:t>
      </w:r>
      <w:r w:rsidR="00316B1F" w:rsidRPr="00A52AB8">
        <w:t>,</w:t>
      </w:r>
      <w:r w:rsidR="00E61AED" w:rsidRPr="00A52AB8">
        <w:t xml:space="preserve"> </w:t>
      </w:r>
      <w:r w:rsidR="00316B1F" w:rsidRPr="00A52AB8">
        <w:t xml:space="preserve">for the i-th sub-layer, </w:t>
      </w:r>
      <w:r w:rsidR="00E61AED" w:rsidRPr="00A52AB8">
        <w:t>when the CAB operates at the access unit level</w:t>
      </w:r>
      <w:r w:rsidR="002D0AF8" w:rsidRPr="00A52AB8">
        <w:t>, with h indicating the type of bitstream conformance</w:t>
      </w:r>
      <w:r w:rsidR="00E61AED" w:rsidRPr="00A52AB8">
        <w:t xml:space="preserve">. </w:t>
      </w:r>
      <w:r w:rsidR="002D0AF8" w:rsidRPr="00A52AB8">
        <w:t>hrd_</w:t>
      </w:r>
      <w:r w:rsidR="00E61AED" w:rsidRPr="00A52AB8">
        <w:t>c</w:t>
      </w:r>
      <w:r w:rsidR="00C47FBF" w:rsidRPr="00A52AB8">
        <w:t>a</w:t>
      </w:r>
      <w:r w:rsidR="00E61AED" w:rsidRPr="00A52AB8">
        <w:t>b_size_value_minus1</w:t>
      </w:r>
      <w:r w:rsidR="002D0AF8" w:rsidRPr="00A52AB8">
        <w:t>[ h ]</w:t>
      </w:r>
      <w:r w:rsidR="00E61AED" w:rsidRPr="00A52AB8">
        <w:t>[</w:t>
      </w:r>
      <w:r w:rsidR="002D0AF8" w:rsidRPr="00A52AB8">
        <w:t> </w:t>
      </w:r>
      <w:r w:rsidR="00E61AED" w:rsidRPr="00A52AB8">
        <w:t>i</w:t>
      </w:r>
      <w:r w:rsidR="002D0AF8" w:rsidRPr="00A52AB8">
        <w:t> </w:t>
      </w:r>
      <w:r w:rsidR="00E61AED" w:rsidRPr="00A52AB8">
        <w:t>][</w:t>
      </w:r>
      <w:r w:rsidR="002D0AF8" w:rsidRPr="00A52AB8">
        <w:t> </w:t>
      </w:r>
      <w:r w:rsidR="00E61AED" w:rsidRPr="00A52AB8">
        <w:t>j</w:t>
      </w:r>
      <w:r w:rsidR="002D0AF8" w:rsidRPr="00A52AB8">
        <w:t> </w:t>
      </w:r>
      <w:r w:rsidR="00E61AED" w:rsidRPr="00A52AB8">
        <w:t xml:space="preserve">] shall be in the range of 0 to </w:t>
      </w:r>
      <w:r w:rsidR="00C47FBF" w:rsidRPr="00A52AB8">
        <w:t>2</w:t>
      </w:r>
      <w:r w:rsidR="00C47FBF" w:rsidRPr="00A52AB8">
        <w:rPr>
          <w:vertAlign w:val="superscript"/>
        </w:rPr>
        <w:t>32</w:t>
      </w:r>
      <w:r w:rsidR="00C47FBF" w:rsidRPr="00A52AB8">
        <w:t> − 2</w:t>
      </w:r>
      <w:r w:rsidR="00E61AED" w:rsidRPr="00A52AB8">
        <w:t xml:space="preserve">, inclusive. For any j greater than 0 and any particular value of i, </w:t>
      </w:r>
      <w:r w:rsidR="002D0AF8" w:rsidRPr="00A52AB8">
        <w:t>hrd_</w:t>
      </w:r>
      <w:r w:rsidR="00E61AED" w:rsidRPr="00A52AB8">
        <w:t>c</w:t>
      </w:r>
      <w:r w:rsidR="00B27A01" w:rsidRPr="00A52AB8">
        <w:t>a</w:t>
      </w:r>
      <w:r w:rsidR="00E61AED" w:rsidRPr="00A52AB8">
        <w:t>b_size_value_minus1</w:t>
      </w:r>
      <w:r w:rsidR="002D0AF8" w:rsidRPr="00A52AB8">
        <w:t>[ h ]</w:t>
      </w:r>
      <w:r w:rsidR="00E61AED" w:rsidRPr="00A52AB8">
        <w:t>[</w:t>
      </w:r>
      <w:r w:rsidR="002D0AF8" w:rsidRPr="00A52AB8">
        <w:t> </w:t>
      </w:r>
      <w:r w:rsidR="00E61AED" w:rsidRPr="00A52AB8">
        <w:t>i</w:t>
      </w:r>
      <w:r w:rsidR="002D0AF8" w:rsidRPr="00A52AB8">
        <w:t> </w:t>
      </w:r>
      <w:r w:rsidR="00E61AED" w:rsidRPr="00A52AB8">
        <w:t>][</w:t>
      </w:r>
      <w:r w:rsidR="002D0AF8" w:rsidRPr="00A52AB8">
        <w:t> </w:t>
      </w:r>
      <w:r w:rsidR="00E61AED" w:rsidRPr="00A52AB8">
        <w:t>j</w:t>
      </w:r>
      <w:r w:rsidR="002D0AF8" w:rsidRPr="00A52AB8">
        <w:t> </w:t>
      </w:r>
      <w:r w:rsidR="00E61AED" w:rsidRPr="00A52AB8">
        <w:t xml:space="preserve">] shall be less than or equal to </w:t>
      </w:r>
      <w:r w:rsidR="002D0AF8" w:rsidRPr="00A52AB8">
        <w:t>hrd_</w:t>
      </w:r>
      <w:r w:rsidR="00E61AED" w:rsidRPr="00A52AB8">
        <w:t>c</w:t>
      </w:r>
      <w:r w:rsidR="00B27A01" w:rsidRPr="00A52AB8">
        <w:t>a</w:t>
      </w:r>
      <w:r w:rsidR="00E61AED" w:rsidRPr="00A52AB8">
        <w:t>b_size_value_minus1</w:t>
      </w:r>
      <w:r w:rsidR="002D0AF8" w:rsidRPr="00A52AB8">
        <w:t>[ h ]</w:t>
      </w:r>
      <w:r w:rsidR="00E61AED" w:rsidRPr="00A52AB8">
        <w:t>[</w:t>
      </w:r>
      <w:r w:rsidR="002D0AF8" w:rsidRPr="00A52AB8">
        <w:t> </w:t>
      </w:r>
      <w:r w:rsidR="00E61AED" w:rsidRPr="00A52AB8">
        <w:t>i</w:t>
      </w:r>
      <w:r w:rsidR="002D0AF8" w:rsidRPr="00A52AB8">
        <w:t> </w:t>
      </w:r>
      <w:r w:rsidR="00E61AED" w:rsidRPr="00A52AB8">
        <w:t>][</w:t>
      </w:r>
      <w:r w:rsidR="002D0AF8" w:rsidRPr="00A52AB8">
        <w:t> </w:t>
      </w:r>
      <w:r w:rsidR="00E61AED" w:rsidRPr="00A52AB8">
        <w:t>j</w:t>
      </w:r>
      <w:r w:rsidR="002D0AF8" w:rsidRPr="00A52AB8">
        <w:t> – </w:t>
      </w:r>
      <w:r w:rsidR="00E61AED" w:rsidRPr="00A52AB8">
        <w:t>1</w:t>
      </w:r>
      <w:r w:rsidR="002D0AF8" w:rsidRPr="00A52AB8">
        <w:t> </w:t>
      </w:r>
      <w:r w:rsidR="00E61AED" w:rsidRPr="00A52AB8">
        <w:t>].</w:t>
      </w:r>
    </w:p>
    <w:p w14:paraId="4CE4F2F2" w14:textId="77777777" w:rsidR="00FD3B5D" w:rsidRPr="00A52AB8" w:rsidRDefault="00FD3B5D">
      <w:r w:rsidRPr="00A52AB8">
        <w:t>The CAB size in bits is given by:</w:t>
      </w:r>
    </w:p>
    <w:p w14:paraId="0649140C" w14:textId="469955BA" w:rsidR="00FD3B5D" w:rsidRPr="00A52AB8" w:rsidRDefault="003730AF" w:rsidP="00A252B5">
      <w:pPr>
        <w:pStyle w:val="Equation"/>
        <w:tabs>
          <w:tab w:val="left" w:pos="403"/>
        </w:tabs>
      </w:pPr>
      <w:r w:rsidRPr="00A52AB8">
        <w:tab/>
      </w:r>
      <w:r w:rsidR="00FD3B5D" w:rsidRPr="00A52AB8">
        <w:t>CabSize</w:t>
      </w:r>
      <w:r w:rsidR="002D0AF8" w:rsidRPr="00A52AB8">
        <w:t>[ h ]</w:t>
      </w:r>
      <w:r w:rsidR="001F4484" w:rsidRPr="00A52AB8">
        <w:rPr>
          <w:bCs/>
        </w:rPr>
        <w:t>[ </w:t>
      </w:r>
      <w:r w:rsidR="00F72C43" w:rsidRPr="00A52AB8">
        <w:rPr>
          <w:bCs/>
        </w:rPr>
        <w:t>i</w:t>
      </w:r>
      <w:r w:rsidR="001F4484" w:rsidRPr="00A52AB8">
        <w:rPr>
          <w:bCs/>
        </w:rPr>
        <w:t> ]</w:t>
      </w:r>
      <w:r w:rsidR="001F4484" w:rsidRPr="00A52AB8">
        <w:t>[ </w:t>
      </w:r>
      <w:r w:rsidR="00F72C43" w:rsidRPr="00A52AB8">
        <w:t>j</w:t>
      </w:r>
      <w:r w:rsidR="001F4484" w:rsidRPr="00A52AB8">
        <w:t> ]</w:t>
      </w:r>
      <w:r w:rsidR="00D47707" w:rsidRPr="00A52AB8">
        <w:t> = </w:t>
      </w:r>
      <w:r w:rsidR="00FD3B5D" w:rsidRPr="00A52AB8">
        <w:t>(</w:t>
      </w:r>
      <w:r w:rsidRPr="00A52AB8">
        <w:t> </w:t>
      </w:r>
      <w:r w:rsidR="00604353" w:rsidRPr="00A52AB8">
        <w:t>hrd_cab_size_value_minus1</w:t>
      </w:r>
      <w:r w:rsidR="002D0AF8" w:rsidRPr="00A52AB8">
        <w:t>[ h ]</w:t>
      </w:r>
      <w:r w:rsidR="001F4484" w:rsidRPr="00A52AB8">
        <w:rPr>
          <w:bCs/>
        </w:rPr>
        <w:t>[ </w:t>
      </w:r>
      <w:r w:rsidR="00F72C43" w:rsidRPr="00A52AB8">
        <w:rPr>
          <w:bCs/>
        </w:rPr>
        <w:t>i</w:t>
      </w:r>
      <w:r w:rsidR="001F4484" w:rsidRPr="00A52AB8">
        <w:rPr>
          <w:bCs/>
        </w:rPr>
        <w:t> ]</w:t>
      </w:r>
      <w:r w:rsidR="001F4484" w:rsidRPr="00A52AB8">
        <w:t>[ </w:t>
      </w:r>
      <w:r w:rsidR="00F72C43" w:rsidRPr="00A52AB8">
        <w:t>j</w:t>
      </w:r>
      <w:r w:rsidR="001F4484" w:rsidRPr="00A52AB8">
        <w:t> ]</w:t>
      </w:r>
      <w:r w:rsidR="00FD3B5D" w:rsidRPr="00A52AB8">
        <w:t> + 1</w:t>
      </w:r>
      <w:r w:rsidRPr="00A52AB8">
        <w:t> </w:t>
      </w:r>
      <w:r w:rsidR="00FD3B5D" w:rsidRPr="00A52AB8">
        <w:t>)</w:t>
      </w:r>
      <w:r w:rsidRPr="00A52AB8">
        <w:t> </w:t>
      </w:r>
      <w:r w:rsidR="00FD3B5D" w:rsidRPr="00A52AB8">
        <w:t>*</w:t>
      </w:r>
      <w:r w:rsidRPr="00A52AB8">
        <w:t> </w:t>
      </w:r>
      <w:r w:rsidR="00FD3B5D" w:rsidRPr="00A52AB8">
        <w:t>2</w:t>
      </w:r>
      <w:r w:rsidR="00FD3B5D" w:rsidRPr="00A52AB8">
        <w:rPr>
          <w:position w:val="6"/>
          <w:vertAlign w:val="superscript"/>
        </w:rPr>
        <w:t>( 4</w:t>
      </w:r>
      <w:r w:rsidRPr="00A52AB8">
        <w:rPr>
          <w:position w:val="6"/>
          <w:vertAlign w:val="superscript"/>
        </w:rPr>
        <w:t> </w:t>
      </w:r>
      <w:r w:rsidR="00FD3B5D" w:rsidRPr="00A52AB8">
        <w:rPr>
          <w:position w:val="6"/>
          <w:vertAlign w:val="superscript"/>
        </w:rPr>
        <w:t>+</w:t>
      </w:r>
      <w:r w:rsidRPr="00A52AB8">
        <w:rPr>
          <w:position w:val="6"/>
          <w:vertAlign w:val="superscript"/>
        </w:rPr>
        <w:t> </w:t>
      </w:r>
      <w:r w:rsidR="00F4178F" w:rsidRPr="00A52AB8">
        <w:rPr>
          <w:position w:val="6"/>
          <w:vertAlign w:val="superscript"/>
        </w:rPr>
        <w:t>hrd_cab_size_scale</w:t>
      </w:r>
      <w:r w:rsidR="00FD3B5D" w:rsidRPr="00A52AB8">
        <w:rPr>
          <w:position w:val="6"/>
          <w:vertAlign w:val="superscript"/>
        </w:rPr>
        <w:t> )</w:t>
      </w:r>
      <w:r w:rsidR="00FD3B5D" w:rsidRPr="00A52AB8">
        <w:tab/>
        <w:t>(</w:t>
      </w:r>
      <w:bookmarkStart w:id="6094" w:name="CpbSize_Eqn"/>
      <w:r w:rsidR="000B1C77" w:rsidRPr="00A52AB8">
        <w:t>G</w:t>
      </w:r>
      <w:r w:rsidR="00FD3B5D" w:rsidRPr="00A52AB8">
        <w:noBreakHyphen/>
      </w:r>
      <w:r w:rsidR="00FD3B5D" w:rsidRPr="00496A4D">
        <w:fldChar w:fldCharType="begin"/>
      </w:r>
      <w:r w:rsidR="00FD3B5D" w:rsidRPr="00A52AB8">
        <w:instrText xml:space="preserve"> SEQ Equation \* ARABIC </w:instrText>
      </w:r>
      <w:r w:rsidR="00FD3B5D" w:rsidRPr="00496A4D">
        <w:fldChar w:fldCharType="separate"/>
      </w:r>
      <w:r w:rsidR="00507A67">
        <w:rPr>
          <w:noProof/>
        </w:rPr>
        <w:t>4</w:t>
      </w:r>
      <w:r w:rsidR="00FD3B5D" w:rsidRPr="00496A4D">
        <w:fldChar w:fldCharType="end"/>
      </w:r>
      <w:bookmarkEnd w:id="6094"/>
      <w:r w:rsidR="00FD3B5D" w:rsidRPr="00A52AB8">
        <w:t>)</w:t>
      </w:r>
    </w:p>
    <w:p w14:paraId="3C92B394" w14:textId="0F26DAFA" w:rsidR="00FD3B5D" w:rsidRPr="00A52AB8" w:rsidRDefault="00FD3B5D">
      <w:r w:rsidRPr="00A52AB8">
        <w:t xml:space="preserve">When the </w:t>
      </w:r>
      <w:r w:rsidR="00604353" w:rsidRPr="00A52AB8">
        <w:t>hrd_cab_size_value_minus1</w:t>
      </w:r>
      <w:r w:rsidR="002D0AF8" w:rsidRPr="00A52AB8">
        <w:t>[ h ]</w:t>
      </w:r>
      <w:r w:rsidR="001F4484" w:rsidRPr="00A52AB8">
        <w:rPr>
          <w:bCs/>
        </w:rPr>
        <w:t>[ </w:t>
      </w:r>
      <w:r w:rsidR="00F72C43" w:rsidRPr="00A52AB8">
        <w:rPr>
          <w:bCs/>
        </w:rPr>
        <w:t>i</w:t>
      </w:r>
      <w:r w:rsidR="001F4484" w:rsidRPr="00A52AB8">
        <w:rPr>
          <w:bCs/>
        </w:rPr>
        <w:t> ]</w:t>
      </w:r>
      <w:r w:rsidR="001F4484" w:rsidRPr="00A52AB8">
        <w:t>[ </w:t>
      </w:r>
      <w:r w:rsidR="00F72C43" w:rsidRPr="00A52AB8">
        <w:t>j </w:t>
      </w:r>
      <w:r w:rsidR="001F4484" w:rsidRPr="00A52AB8">
        <w:t>]</w:t>
      </w:r>
      <w:r w:rsidRPr="00A52AB8">
        <w:t xml:space="preserve"> syntax element is not present, the value of CabSize</w:t>
      </w:r>
      <w:r w:rsidR="002D0AF8" w:rsidRPr="00A52AB8">
        <w:t>[ h ]</w:t>
      </w:r>
      <w:r w:rsidR="001F4484" w:rsidRPr="00A52AB8">
        <w:rPr>
          <w:bCs/>
        </w:rPr>
        <w:t>[ </w:t>
      </w:r>
      <w:r w:rsidR="0007527F" w:rsidRPr="00A52AB8">
        <w:rPr>
          <w:bCs/>
        </w:rPr>
        <w:t>i</w:t>
      </w:r>
      <w:r w:rsidR="001F4484" w:rsidRPr="00A52AB8">
        <w:rPr>
          <w:bCs/>
        </w:rPr>
        <w:t> ]</w:t>
      </w:r>
      <w:r w:rsidR="001F4484" w:rsidRPr="00A52AB8">
        <w:t>[ </w:t>
      </w:r>
      <w:r w:rsidR="0007527F" w:rsidRPr="00A52AB8">
        <w:t>j</w:t>
      </w:r>
      <w:r w:rsidR="001F4484" w:rsidRPr="00A52AB8">
        <w:t> ]</w:t>
      </w:r>
      <w:r w:rsidRPr="00A52AB8">
        <w:t xml:space="preserve"> is inferred to be equal to MaxCAB</w:t>
      </w:r>
      <w:r w:rsidR="00AA350C" w:rsidRPr="00A52AB8">
        <w:t>Size</w:t>
      </w:r>
      <w:r w:rsidR="002D0AF8" w:rsidRPr="00A52AB8">
        <w:t>,</w:t>
      </w:r>
      <w:r w:rsidRPr="00A52AB8">
        <w:t xml:space="preserve"> </w:t>
      </w:r>
      <w:r w:rsidR="00A473AF" w:rsidRPr="00A52AB8">
        <w:t xml:space="preserve">where MaxCABSize is </w:t>
      </w:r>
      <w:r w:rsidRPr="00A52AB8">
        <w:t xml:space="preserve">specified in </w:t>
      </w:r>
      <w:r w:rsidR="009E2225" w:rsidRPr="00496A4D">
        <w:fldChar w:fldCharType="begin"/>
      </w:r>
      <w:r w:rsidR="009E2225" w:rsidRPr="00A52AB8">
        <w:instrText xml:space="preserve"> REF _Ref21508199 \r \h </w:instrText>
      </w:r>
      <w:r w:rsidR="00025423" w:rsidRPr="00A52AB8">
        <w:instrText xml:space="preserve"> \* MERGEFORMAT </w:instrText>
      </w:r>
      <w:r w:rsidR="009E2225" w:rsidRPr="00496A4D">
        <w:fldChar w:fldCharType="separate"/>
      </w:r>
      <w:r w:rsidR="00507A67">
        <w:t>Annex A</w:t>
      </w:r>
      <w:r w:rsidR="009E2225" w:rsidRPr="00496A4D">
        <w:fldChar w:fldCharType="end"/>
      </w:r>
      <w:r w:rsidRPr="00A52AB8">
        <w:t>.</w:t>
      </w:r>
    </w:p>
    <w:p w14:paraId="62FFF67A" w14:textId="57E04A8F" w:rsidR="008B23AA" w:rsidRPr="00A52AB8" w:rsidRDefault="008B23AA">
      <w:r w:rsidRPr="00A52AB8">
        <w:rPr>
          <w:b/>
          <w:bCs/>
        </w:rPr>
        <w:t>hrd_cbr_flag</w:t>
      </w:r>
      <w:r w:rsidR="002D0AF8" w:rsidRPr="00A52AB8">
        <w:t>[ h ]</w:t>
      </w:r>
      <w:r w:rsidR="001F4484" w:rsidRPr="00A52AB8">
        <w:t>[ </w:t>
      </w:r>
      <w:r w:rsidR="0007527F" w:rsidRPr="00A52AB8">
        <w:t>i</w:t>
      </w:r>
      <w:r w:rsidR="001F4484" w:rsidRPr="00A52AB8">
        <w:t> ][ </w:t>
      </w:r>
      <w:r w:rsidR="0007527F" w:rsidRPr="00A52AB8">
        <w:t>j</w:t>
      </w:r>
      <w:r w:rsidR="001F4484" w:rsidRPr="00A52AB8">
        <w:t> </w:t>
      </w:r>
      <w:r w:rsidR="0007527F" w:rsidRPr="00A52AB8">
        <w:t xml:space="preserve">] equal to 0 specifies that to decode this </w:t>
      </w:r>
      <w:r w:rsidR="00133300" w:rsidRPr="00A52AB8">
        <w:t xml:space="preserve">CAS </w:t>
      </w:r>
      <w:r w:rsidR="0007527F" w:rsidRPr="00A52AB8">
        <w:t xml:space="preserve">bitstream by the HRD using the j-th CAB specification, </w:t>
      </w:r>
      <w:r w:rsidR="00316B1F" w:rsidRPr="00A52AB8">
        <w:t xml:space="preserve">for the i-th sub-layer and with h indicating the type of bitstream conformance, </w:t>
      </w:r>
      <w:r w:rsidR="0007527F" w:rsidRPr="00A52AB8">
        <w:t xml:space="preserve">the hypothetical stream scheduler (HSS) operates in an intermittent bit rate mode. </w:t>
      </w:r>
      <w:r w:rsidR="00316B1F" w:rsidRPr="00A52AB8">
        <w:t>hrd_</w:t>
      </w:r>
      <w:r w:rsidR="0007527F" w:rsidRPr="00A52AB8">
        <w:t>cbr_flag</w:t>
      </w:r>
      <w:r w:rsidR="00316B1F" w:rsidRPr="00A52AB8">
        <w:t>[ h ]</w:t>
      </w:r>
      <w:r w:rsidR="0007527F" w:rsidRPr="00A52AB8">
        <w:t>[</w:t>
      </w:r>
      <w:r w:rsidR="00316B1F" w:rsidRPr="00A52AB8">
        <w:t> </w:t>
      </w:r>
      <w:r w:rsidR="0007527F" w:rsidRPr="00A52AB8">
        <w:t>i</w:t>
      </w:r>
      <w:r w:rsidR="00316B1F" w:rsidRPr="00A52AB8">
        <w:t> </w:t>
      </w:r>
      <w:r w:rsidR="0007527F" w:rsidRPr="00A52AB8">
        <w:t>][</w:t>
      </w:r>
      <w:r w:rsidR="00316B1F" w:rsidRPr="00A52AB8">
        <w:t> </w:t>
      </w:r>
      <w:r w:rsidR="0007527F" w:rsidRPr="00A52AB8">
        <w:t>j</w:t>
      </w:r>
      <w:r w:rsidR="00316B1F" w:rsidRPr="00A52AB8">
        <w:t> </w:t>
      </w:r>
      <w:r w:rsidR="0007527F" w:rsidRPr="00A52AB8">
        <w:t>] equal to 1 specifies that the HSS operates in a constant bit rate (CBR) mode</w:t>
      </w:r>
      <w:r w:rsidRPr="00A52AB8">
        <w:t>. When not present, the value of hrd_cbr_flag</w:t>
      </w:r>
      <w:r w:rsidR="00316B1F" w:rsidRPr="00A52AB8">
        <w:t>[ h ]</w:t>
      </w:r>
      <w:r w:rsidR="001F4484" w:rsidRPr="00A52AB8">
        <w:t>[ </w:t>
      </w:r>
      <w:r w:rsidR="00A473AF" w:rsidRPr="00A52AB8">
        <w:t>i</w:t>
      </w:r>
      <w:r w:rsidR="001F4484" w:rsidRPr="00A52AB8">
        <w:t> ][ </w:t>
      </w:r>
      <w:r w:rsidR="00A473AF" w:rsidRPr="00A52AB8">
        <w:t>j</w:t>
      </w:r>
      <w:r w:rsidR="001F4484" w:rsidRPr="00A52AB8">
        <w:t> ]</w:t>
      </w:r>
      <w:r w:rsidRPr="00A52AB8">
        <w:t xml:space="preserve"> is inferred to be equal to 0.</w:t>
      </w:r>
    </w:p>
    <w:p w14:paraId="2DC70F94" w14:textId="77777777" w:rsidR="0050235C" w:rsidRPr="00A52AB8" w:rsidRDefault="00A1090A" w:rsidP="00687ED0">
      <w:pPr>
        <w:pStyle w:val="a3"/>
        <w:numPr>
          <w:ilvl w:val="2"/>
          <w:numId w:val="19"/>
        </w:numPr>
      </w:pPr>
      <w:bookmarkStart w:id="6095" w:name="_Toc52181764"/>
      <w:r w:rsidRPr="00A52AB8">
        <w:t>Maximum coded video resolution semantics</w:t>
      </w:r>
      <w:bookmarkEnd w:id="6095"/>
    </w:p>
    <w:p w14:paraId="53BC42C7" w14:textId="5B12055D" w:rsidR="006A28BD" w:rsidRPr="00A52AB8" w:rsidRDefault="006A28BD" w:rsidP="00FE0F43">
      <w:pPr>
        <w:rPr>
          <w:b/>
          <w:bCs/>
        </w:rPr>
      </w:pPr>
      <w:r w:rsidRPr="00A52AB8">
        <w:rPr>
          <w:b/>
          <w:bCs/>
        </w:rPr>
        <w:t>mcv_occupancy_resolution_</w:t>
      </w:r>
      <w:r w:rsidR="00234630" w:rsidRPr="00A52AB8">
        <w:rPr>
          <w:b/>
          <w:bCs/>
        </w:rPr>
        <w:t>present_</w:t>
      </w:r>
      <w:r w:rsidRPr="00A52AB8">
        <w:rPr>
          <w:b/>
          <w:bCs/>
        </w:rPr>
        <w:t>flag</w:t>
      </w:r>
      <w:r w:rsidR="008F4BB2" w:rsidRPr="00A52AB8">
        <w:rPr>
          <w:b/>
          <w:bCs/>
        </w:rPr>
        <w:t xml:space="preserve"> </w:t>
      </w:r>
      <w:r w:rsidR="008F4BB2" w:rsidRPr="00A52AB8">
        <w:t xml:space="preserve">equal to 1 specifies that </w:t>
      </w:r>
      <w:r w:rsidR="007478BA" w:rsidRPr="00A52AB8">
        <w:t xml:space="preserve">the syntax elements </w:t>
      </w:r>
      <w:r w:rsidR="00C80AB9" w:rsidRPr="00A52AB8">
        <w:t>mcv_occupancy_width and mcv_occupancy_height are</w:t>
      </w:r>
      <w:r w:rsidR="008F4BB2" w:rsidRPr="00A52AB8">
        <w:t xml:space="preserve"> present</w:t>
      </w:r>
      <w:r w:rsidR="009D5CD9" w:rsidRPr="00A52AB8">
        <w:t xml:space="preserve"> in </w:t>
      </w:r>
      <w:r w:rsidR="007478BA" w:rsidRPr="00A52AB8">
        <w:t xml:space="preserve">the </w:t>
      </w:r>
      <w:r w:rsidR="009D5CD9" w:rsidRPr="00A52AB8">
        <w:t>max_coded_video_resolution( ) syntax structure</w:t>
      </w:r>
      <w:r w:rsidR="008F4BB2" w:rsidRPr="00A52AB8">
        <w:t xml:space="preserve">. </w:t>
      </w:r>
      <w:r w:rsidR="00C80AB9" w:rsidRPr="00A52AB8">
        <w:t>mcv_occupancy_resolution_</w:t>
      </w:r>
      <w:r w:rsidR="00E87C09" w:rsidRPr="00A52AB8">
        <w:t>present_</w:t>
      </w:r>
      <w:r w:rsidR="00C80AB9" w:rsidRPr="00A52AB8">
        <w:t>flag</w:t>
      </w:r>
      <w:r w:rsidR="008F4BB2" w:rsidRPr="00A52AB8">
        <w:t xml:space="preserve"> equal to 0 specifies that </w:t>
      </w:r>
      <w:r w:rsidR="007478BA" w:rsidRPr="00A52AB8">
        <w:t xml:space="preserve">the syntax elements </w:t>
      </w:r>
      <w:r w:rsidR="00C80AB9" w:rsidRPr="00A52AB8">
        <w:t>mcv_occupancy_width and mcv_occupancy_height are</w:t>
      </w:r>
      <w:r w:rsidR="008F4BB2" w:rsidRPr="00A52AB8">
        <w:t xml:space="preserve"> not present.</w:t>
      </w:r>
      <w:r w:rsidR="007478BA" w:rsidRPr="00A52AB8">
        <w:t xml:space="preserve"> When mcv_occupancy_resolution_present_flag is not present, its value is inferred to be equal to 0.</w:t>
      </w:r>
    </w:p>
    <w:p w14:paraId="785ABB55" w14:textId="575641D5" w:rsidR="006A28BD" w:rsidRPr="00A52AB8" w:rsidRDefault="006A28BD" w:rsidP="00FE0F43">
      <w:pPr>
        <w:rPr>
          <w:b/>
        </w:rPr>
      </w:pPr>
      <w:r w:rsidRPr="00A52AB8">
        <w:rPr>
          <w:b/>
        </w:rPr>
        <w:t>mcv_geometry_resolution_</w:t>
      </w:r>
      <w:r w:rsidR="00234630" w:rsidRPr="00A52AB8">
        <w:rPr>
          <w:b/>
          <w:bCs/>
        </w:rPr>
        <w:t>present_</w:t>
      </w:r>
      <w:r w:rsidRPr="00A52AB8">
        <w:rPr>
          <w:b/>
        </w:rPr>
        <w:t>flag</w:t>
      </w:r>
      <w:r w:rsidR="00C80AB9" w:rsidRPr="00A52AB8">
        <w:rPr>
          <w:b/>
        </w:rPr>
        <w:t xml:space="preserve"> </w:t>
      </w:r>
      <w:r w:rsidR="00C80AB9" w:rsidRPr="00A52AB8">
        <w:t xml:space="preserve">equal to 1 specifies that </w:t>
      </w:r>
      <w:r w:rsidR="007478BA" w:rsidRPr="00A52AB8">
        <w:t xml:space="preserve">the syntax elements </w:t>
      </w:r>
      <w:r w:rsidR="00C80AB9" w:rsidRPr="00A52AB8">
        <w:t>mcv_</w:t>
      </w:r>
      <w:r w:rsidR="0015325D" w:rsidRPr="00A52AB8">
        <w:t>geometry</w:t>
      </w:r>
      <w:r w:rsidR="00C80AB9" w:rsidRPr="00A52AB8">
        <w:t>_width and mcv_</w:t>
      </w:r>
      <w:r w:rsidR="0015325D" w:rsidRPr="00A52AB8">
        <w:t>geometry</w:t>
      </w:r>
      <w:r w:rsidR="00C80AB9" w:rsidRPr="00A52AB8">
        <w:t>_height are present</w:t>
      </w:r>
      <w:r w:rsidR="009D5CD9" w:rsidRPr="00A52AB8">
        <w:t xml:space="preserve"> in </w:t>
      </w:r>
      <w:r w:rsidR="007478BA" w:rsidRPr="00A52AB8">
        <w:t xml:space="preserve">the </w:t>
      </w:r>
      <w:r w:rsidR="009D5CD9" w:rsidRPr="00A52AB8">
        <w:t>max_coded_video_resolution( ) syntax structure</w:t>
      </w:r>
      <w:r w:rsidR="00C80AB9" w:rsidRPr="00A52AB8">
        <w:t>. mcv_</w:t>
      </w:r>
      <w:r w:rsidR="0015325D" w:rsidRPr="00A52AB8">
        <w:t>geometry</w:t>
      </w:r>
      <w:r w:rsidR="00C80AB9" w:rsidRPr="00A52AB8">
        <w:t>_resolution_</w:t>
      </w:r>
      <w:r w:rsidR="00E87C09" w:rsidRPr="00A52AB8">
        <w:t>present_</w:t>
      </w:r>
      <w:r w:rsidR="00C80AB9" w:rsidRPr="00A52AB8">
        <w:t xml:space="preserve">flag equal to 0 specifies that </w:t>
      </w:r>
      <w:r w:rsidR="007478BA" w:rsidRPr="00A52AB8">
        <w:t xml:space="preserve">the syntax elements </w:t>
      </w:r>
      <w:r w:rsidR="00C80AB9" w:rsidRPr="00A52AB8">
        <w:t>mcv_</w:t>
      </w:r>
      <w:r w:rsidR="0015325D" w:rsidRPr="00A52AB8">
        <w:t>geometry</w:t>
      </w:r>
      <w:r w:rsidR="00C80AB9" w:rsidRPr="00A52AB8">
        <w:t>_width and mcv_</w:t>
      </w:r>
      <w:r w:rsidR="0015325D" w:rsidRPr="00A52AB8">
        <w:t>geometry</w:t>
      </w:r>
      <w:r w:rsidR="00C80AB9" w:rsidRPr="00A52AB8">
        <w:t>_height are not present.</w:t>
      </w:r>
      <w:r w:rsidR="007478BA" w:rsidRPr="00A52AB8">
        <w:t xml:space="preserve"> When mcv_geometry_resolution_present_flag is not present, its value is inferred to be equal to 0.</w:t>
      </w:r>
    </w:p>
    <w:p w14:paraId="4BD1B36C" w14:textId="42529F78" w:rsidR="006A28BD" w:rsidRPr="00A52AB8" w:rsidRDefault="006A28BD" w:rsidP="00FE0F43">
      <w:pPr>
        <w:rPr>
          <w:b/>
        </w:rPr>
      </w:pPr>
      <w:r w:rsidRPr="00A52AB8">
        <w:rPr>
          <w:b/>
        </w:rPr>
        <w:t>mcv_attribute_resolution_</w:t>
      </w:r>
      <w:r w:rsidR="00234630" w:rsidRPr="00A52AB8">
        <w:rPr>
          <w:b/>
          <w:bCs/>
        </w:rPr>
        <w:t>present_</w:t>
      </w:r>
      <w:r w:rsidRPr="00A52AB8">
        <w:rPr>
          <w:b/>
        </w:rPr>
        <w:t>flag</w:t>
      </w:r>
      <w:r w:rsidR="00C80AB9" w:rsidRPr="00A52AB8">
        <w:rPr>
          <w:b/>
        </w:rPr>
        <w:t xml:space="preserve"> </w:t>
      </w:r>
      <w:r w:rsidR="00C80AB9" w:rsidRPr="00A52AB8">
        <w:t xml:space="preserve">equal to 1 specifies that </w:t>
      </w:r>
      <w:r w:rsidR="00F864C8" w:rsidRPr="00A52AB8">
        <w:t xml:space="preserve">the syntax elements </w:t>
      </w:r>
      <w:r w:rsidR="00C80AB9" w:rsidRPr="00A52AB8">
        <w:t>mcv_</w:t>
      </w:r>
      <w:r w:rsidR="0084631A" w:rsidRPr="00A52AB8">
        <w:t>attribute</w:t>
      </w:r>
      <w:r w:rsidR="00C80AB9" w:rsidRPr="00A52AB8">
        <w:t>_width and mcv_</w:t>
      </w:r>
      <w:r w:rsidR="0084631A" w:rsidRPr="00A52AB8">
        <w:t>attribute</w:t>
      </w:r>
      <w:r w:rsidR="00C80AB9" w:rsidRPr="00A52AB8">
        <w:t>_height are present</w:t>
      </w:r>
      <w:r w:rsidR="009C29BD" w:rsidRPr="00A52AB8">
        <w:t xml:space="preserve"> </w:t>
      </w:r>
      <w:r w:rsidR="009D5CD9" w:rsidRPr="00A52AB8">
        <w:t>in max_coded_video_resolution( ) syntax structure</w:t>
      </w:r>
      <w:r w:rsidR="00C80AB9" w:rsidRPr="00A52AB8">
        <w:t xml:space="preserve">. </w:t>
      </w:r>
      <w:r w:rsidR="0084631A" w:rsidRPr="00A52AB8">
        <w:t>mcv_attribute_resolution_</w:t>
      </w:r>
      <w:r w:rsidR="00E87C09" w:rsidRPr="00A52AB8">
        <w:t>present_</w:t>
      </w:r>
      <w:r w:rsidR="0084631A" w:rsidRPr="00A52AB8">
        <w:t xml:space="preserve">flag </w:t>
      </w:r>
      <w:r w:rsidR="00C80AB9" w:rsidRPr="00A52AB8">
        <w:t xml:space="preserve">equal to 0 specifies that </w:t>
      </w:r>
      <w:r w:rsidR="00F864C8" w:rsidRPr="00A52AB8">
        <w:t xml:space="preserve">the syntax elements </w:t>
      </w:r>
      <w:r w:rsidR="0084631A" w:rsidRPr="00A52AB8">
        <w:t xml:space="preserve">mcv_attribute_width and mcv_attribute_height </w:t>
      </w:r>
      <w:r w:rsidR="00C80AB9" w:rsidRPr="00A52AB8">
        <w:t>are not present.</w:t>
      </w:r>
      <w:r w:rsidR="007478BA" w:rsidRPr="00A52AB8">
        <w:t xml:space="preserve"> When mcv_</w:t>
      </w:r>
      <w:r w:rsidR="00F864C8" w:rsidRPr="00A52AB8">
        <w:t>attribute</w:t>
      </w:r>
      <w:r w:rsidR="007478BA" w:rsidRPr="00A52AB8">
        <w:t>_resolution_present_flag is not present, its value is inferred to be equal to 0.</w:t>
      </w:r>
    </w:p>
    <w:p w14:paraId="0E73977C" w14:textId="2C257D12" w:rsidR="00FF1BAF" w:rsidRPr="00A52AB8" w:rsidRDefault="00FF1BAF" w:rsidP="00DC54CF">
      <w:pPr>
        <w:rPr>
          <w:bCs/>
        </w:rPr>
      </w:pPr>
      <w:r w:rsidRPr="00A52AB8">
        <w:rPr>
          <w:b/>
        </w:rPr>
        <w:t xml:space="preserve">mcv_occupancy_width </w:t>
      </w:r>
      <w:r w:rsidRPr="00A52AB8">
        <w:rPr>
          <w:bCs/>
        </w:rPr>
        <w:t xml:space="preserve">specifies the maximum width value allowed for any frame in the occupancy </w:t>
      </w:r>
      <w:r w:rsidR="00EC2A5A" w:rsidRPr="00A52AB8">
        <w:rPr>
          <w:bCs/>
        </w:rPr>
        <w:t>sub</w:t>
      </w:r>
      <w:r w:rsidR="004315F4" w:rsidRPr="00A52AB8">
        <w:rPr>
          <w:bCs/>
        </w:rPr>
        <w:noBreakHyphen/>
      </w:r>
      <w:r w:rsidR="00EC2A5A" w:rsidRPr="00A52AB8">
        <w:rPr>
          <w:bCs/>
        </w:rPr>
        <w:t>bitstream</w:t>
      </w:r>
      <w:r w:rsidR="004315F4" w:rsidRPr="00A52AB8">
        <w:rPr>
          <w:bCs/>
        </w:rPr>
        <w:t xml:space="preserve"> of the current atlas, </w:t>
      </w:r>
      <w:r w:rsidR="007F7419" w:rsidRPr="00A52AB8">
        <w:rPr>
          <w:bCs/>
        </w:rPr>
        <w:t>VUIAtlasID</w:t>
      </w:r>
      <w:r w:rsidRPr="00A52AB8">
        <w:rPr>
          <w:bCs/>
        </w:rPr>
        <w:t>. mcv_occupancy_width shall be larger than or equal to</w:t>
      </w:r>
      <w:r w:rsidRPr="00A52AB8">
        <w:rPr>
          <w:b/>
        </w:rPr>
        <w:t xml:space="preserve"> </w:t>
      </w:r>
      <w:r w:rsidRPr="00A52AB8">
        <w:rPr>
          <w:bCs/>
        </w:rPr>
        <w:t>DecOccWidth[ i ]</w:t>
      </w:r>
      <w:r w:rsidR="00EC2A5A" w:rsidRPr="00A52AB8">
        <w:rPr>
          <w:bCs/>
        </w:rPr>
        <w:t xml:space="preserve">, as defined in subclause </w:t>
      </w:r>
      <w:r w:rsidR="00EC2A5A" w:rsidRPr="00496A4D">
        <w:rPr>
          <w:bCs/>
        </w:rPr>
        <w:fldChar w:fldCharType="begin"/>
      </w:r>
      <w:r w:rsidR="00EC2A5A" w:rsidRPr="00A52AB8">
        <w:rPr>
          <w:bCs/>
        </w:rPr>
        <w:instrText xml:space="preserve"> REF _Ref516064490 \n \h  </w:instrText>
      </w:r>
      <w:r w:rsidR="008F69D5" w:rsidRPr="00A52AB8">
        <w:rPr>
          <w:bCs/>
        </w:rPr>
        <w:instrText xml:space="preserve"> \* MERGEFORMAT </w:instrText>
      </w:r>
      <w:r w:rsidR="00EC2A5A" w:rsidRPr="00496A4D">
        <w:rPr>
          <w:bCs/>
        </w:rPr>
      </w:r>
      <w:r w:rsidR="00EC2A5A" w:rsidRPr="00496A4D">
        <w:rPr>
          <w:bCs/>
        </w:rPr>
        <w:fldChar w:fldCharType="separate"/>
      </w:r>
      <w:r w:rsidR="00507A67">
        <w:rPr>
          <w:bCs/>
        </w:rPr>
        <w:t>9.3</w:t>
      </w:r>
      <w:r w:rsidR="00EC2A5A" w:rsidRPr="00496A4D">
        <w:rPr>
          <w:bCs/>
        </w:rPr>
        <w:fldChar w:fldCharType="end"/>
      </w:r>
      <w:r w:rsidR="00EC2A5A" w:rsidRPr="00A52AB8">
        <w:rPr>
          <w:bCs/>
        </w:rPr>
        <w:t>,</w:t>
      </w:r>
      <w:r w:rsidRPr="00A52AB8">
        <w:rPr>
          <w:bCs/>
        </w:rPr>
        <w:t xml:space="preserve"> for i in the range of 0 to</w:t>
      </w:r>
      <w:r w:rsidR="00EC2A5A" w:rsidRPr="00A52AB8">
        <w:rPr>
          <w:bCs/>
        </w:rPr>
        <w:t xml:space="preserve"> </w:t>
      </w:r>
      <w:r w:rsidRPr="00A52AB8">
        <w:rPr>
          <w:bCs/>
        </w:rPr>
        <w:t>NumDecOccFrames – 1, inclusive.</w:t>
      </w:r>
      <w:r w:rsidR="00EC2A5A" w:rsidRPr="00A52AB8">
        <w:rPr>
          <w:bCs/>
        </w:rPr>
        <w:t xml:space="preserve"> If mcv_occupancy_width is not present, then no constraint to the width of the occupancy sub-bitstream frames is specified.</w:t>
      </w:r>
    </w:p>
    <w:p w14:paraId="3DBFC8B7" w14:textId="57BD21DC" w:rsidR="00EC2A5A" w:rsidRPr="00A52AB8" w:rsidRDefault="00EC2A5A" w:rsidP="00EC2A5A">
      <w:pPr>
        <w:rPr>
          <w:bCs/>
        </w:rPr>
      </w:pPr>
      <w:r w:rsidRPr="00A52AB8">
        <w:rPr>
          <w:b/>
        </w:rPr>
        <w:t xml:space="preserve">mcv_occupancy_height </w:t>
      </w:r>
      <w:r w:rsidRPr="00A52AB8">
        <w:rPr>
          <w:bCs/>
        </w:rPr>
        <w:t>specifies the maximum height value allowed for any frame in the occupancy sub</w:t>
      </w:r>
      <w:r w:rsidR="004315F4" w:rsidRPr="00A52AB8">
        <w:rPr>
          <w:bCs/>
        </w:rPr>
        <w:noBreakHyphen/>
      </w:r>
      <w:r w:rsidRPr="00A52AB8">
        <w:rPr>
          <w:bCs/>
        </w:rPr>
        <w:t>bitstream</w:t>
      </w:r>
      <w:r w:rsidR="004315F4" w:rsidRPr="00A52AB8">
        <w:rPr>
          <w:bCs/>
        </w:rPr>
        <w:t xml:space="preserve"> of the current atlas, </w:t>
      </w:r>
      <w:r w:rsidR="007F7419" w:rsidRPr="00A52AB8">
        <w:rPr>
          <w:bCs/>
        </w:rPr>
        <w:t>VUIAtlasID</w:t>
      </w:r>
      <w:r w:rsidRPr="00A52AB8">
        <w:rPr>
          <w:bCs/>
        </w:rPr>
        <w:t>. mcv_occupancy_height shall be larger than or equal to</w:t>
      </w:r>
      <w:r w:rsidRPr="00A52AB8">
        <w:rPr>
          <w:b/>
        </w:rPr>
        <w:t xml:space="preserve"> </w:t>
      </w:r>
      <w:r w:rsidRPr="00A52AB8">
        <w:rPr>
          <w:bCs/>
        </w:rPr>
        <w:t xml:space="preserve">DecOccHeight[ i ], as defined in subclause </w:t>
      </w:r>
      <w:r w:rsidRPr="00496A4D">
        <w:rPr>
          <w:bCs/>
        </w:rPr>
        <w:fldChar w:fldCharType="begin"/>
      </w:r>
      <w:r w:rsidRPr="00A52AB8">
        <w:rPr>
          <w:bCs/>
        </w:rPr>
        <w:instrText xml:space="preserve"> REF _Ref516064490 \n \h  </w:instrText>
      </w:r>
      <w:r w:rsidR="008F69D5" w:rsidRPr="00A52AB8">
        <w:rPr>
          <w:bCs/>
        </w:rPr>
        <w:instrText xml:space="preserve"> \* MERGEFORMAT </w:instrText>
      </w:r>
      <w:r w:rsidRPr="00496A4D">
        <w:rPr>
          <w:bCs/>
        </w:rPr>
      </w:r>
      <w:r w:rsidRPr="00496A4D">
        <w:rPr>
          <w:bCs/>
        </w:rPr>
        <w:fldChar w:fldCharType="separate"/>
      </w:r>
      <w:r w:rsidR="00507A67">
        <w:rPr>
          <w:bCs/>
        </w:rPr>
        <w:t>9.3</w:t>
      </w:r>
      <w:r w:rsidRPr="00496A4D">
        <w:rPr>
          <w:bCs/>
        </w:rPr>
        <w:fldChar w:fldCharType="end"/>
      </w:r>
      <w:r w:rsidRPr="00A52AB8">
        <w:rPr>
          <w:bCs/>
        </w:rPr>
        <w:t>, for i in the range of 0 to NumDecOccFrames – 1, inclusive. If mcv_occupancy_height is not present, then no constraint to the height of the occupancy sub-bitstream frames is specified.</w:t>
      </w:r>
    </w:p>
    <w:p w14:paraId="5BD5F3CF" w14:textId="6B49652A" w:rsidR="00EC2A5A" w:rsidRPr="00A52AB8" w:rsidRDefault="00EC2A5A" w:rsidP="00EC2A5A">
      <w:pPr>
        <w:rPr>
          <w:bCs/>
        </w:rPr>
      </w:pPr>
      <w:r w:rsidRPr="00A52AB8">
        <w:rPr>
          <w:b/>
        </w:rPr>
        <w:t xml:space="preserve">mcv_geometry_width </w:t>
      </w:r>
      <w:r w:rsidRPr="00A52AB8">
        <w:rPr>
          <w:bCs/>
        </w:rPr>
        <w:t>specifies the maximum width value allowed for any frame in the geometry auxiliary and non-auxiliary sub-bitstreams</w:t>
      </w:r>
      <w:r w:rsidR="004315F4" w:rsidRPr="00A52AB8">
        <w:rPr>
          <w:bCs/>
        </w:rPr>
        <w:t xml:space="preserve"> of the current atlas, </w:t>
      </w:r>
      <w:r w:rsidR="00995A0F" w:rsidRPr="00A52AB8">
        <w:rPr>
          <w:bCs/>
        </w:rPr>
        <w:t>VUIAtlasID</w:t>
      </w:r>
      <w:r w:rsidRPr="00A52AB8">
        <w:rPr>
          <w:bCs/>
        </w:rPr>
        <w:t>. mcv_geometry_width shall be larger than or equal to</w:t>
      </w:r>
      <w:r w:rsidRPr="00A52AB8">
        <w:rPr>
          <w:b/>
        </w:rPr>
        <w:t xml:space="preserve"> </w:t>
      </w:r>
      <w:r w:rsidRPr="00A52AB8">
        <w:rPr>
          <w:bCs/>
        </w:rPr>
        <w:t>DecGeoWidth</w:t>
      </w:r>
      <w:r w:rsidR="00CD7D5B" w:rsidRPr="00A52AB8">
        <w:rPr>
          <w:color w:val="000000" w:themeColor="text1"/>
        </w:rPr>
        <w:t>[ </w:t>
      </w:r>
      <w:r w:rsidR="00770A2E" w:rsidRPr="00A52AB8">
        <w:rPr>
          <w:color w:val="000000" w:themeColor="text1"/>
        </w:rPr>
        <w:t>geoBitstreamIdx </w:t>
      </w:r>
      <w:r w:rsidR="00CD7D5B" w:rsidRPr="00A52AB8">
        <w:rPr>
          <w:color w:val="000000" w:themeColor="text1"/>
        </w:rPr>
        <w:t>]</w:t>
      </w:r>
      <w:r w:rsidRPr="00A52AB8">
        <w:rPr>
          <w:bCs/>
        </w:rPr>
        <w:t xml:space="preserve">[ i ] and </w:t>
      </w:r>
      <w:r w:rsidRPr="00A52AB8">
        <w:rPr>
          <w:color w:val="000000" w:themeColor="text1"/>
        </w:rPr>
        <w:t>DecGeoAuxWidth[ j ]</w:t>
      </w:r>
      <w:r w:rsidRPr="00A52AB8">
        <w:rPr>
          <w:bCs/>
        </w:rPr>
        <w:t xml:space="preserve">, </w:t>
      </w:r>
      <w:r w:rsidR="00CD7D5B" w:rsidRPr="00A52AB8">
        <w:rPr>
          <w:bCs/>
        </w:rPr>
        <w:t xml:space="preserve">as defined in subclause </w:t>
      </w:r>
      <w:r w:rsidR="00CD7D5B" w:rsidRPr="00496A4D">
        <w:rPr>
          <w:bCs/>
        </w:rPr>
        <w:fldChar w:fldCharType="begin"/>
      </w:r>
      <w:r w:rsidR="00CD7D5B" w:rsidRPr="00A52AB8">
        <w:rPr>
          <w:bCs/>
        </w:rPr>
        <w:instrText xml:space="preserve"> REF _Ref38443293 \n \</w:instrText>
      </w:r>
      <w:r w:rsidR="00D60157" w:rsidRPr="00A52AB8">
        <w:rPr>
          <w:bCs/>
        </w:rPr>
        <w:instrText>h</w:instrText>
      </w:r>
      <w:r w:rsidR="008F69D5" w:rsidRPr="00A52AB8">
        <w:rPr>
          <w:bCs/>
        </w:rPr>
        <w:instrText xml:space="preserve"> \* MERGEFORMAT </w:instrText>
      </w:r>
      <w:r w:rsidR="00CD7D5B" w:rsidRPr="00496A4D">
        <w:rPr>
          <w:bCs/>
        </w:rPr>
      </w:r>
      <w:r w:rsidR="00CD7D5B" w:rsidRPr="00496A4D">
        <w:rPr>
          <w:bCs/>
        </w:rPr>
        <w:fldChar w:fldCharType="separate"/>
      </w:r>
      <w:r w:rsidR="00507A67">
        <w:rPr>
          <w:bCs/>
        </w:rPr>
        <w:t>9.4</w:t>
      </w:r>
      <w:r w:rsidR="00CD7D5B" w:rsidRPr="00496A4D">
        <w:rPr>
          <w:bCs/>
        </w:rPr>
        <w:fldChar w:fldCharType="end"/>
      </w:r>
      <w:r w:rsidR="00CD7D5B" w:rsidRPr="00A52AB8">
        <w:rPr>
          <w:bCs/>
        </w:rPr>
        <w:t xml:space="preserve">, </w:t>
      </w:r>
      <w:r w:rsidR="004315F4" w:rsidRPr="00A52AB8">
        <w:rPr>
          <w:bCs/>
        </w:rPr>
        <w:t>with</w:t>
      </w:r>
      <w:r w:rsidR="00CD7D5B" w:rsidRPr="00A52AB8">
        <w:rPr>
          <w:bCs/>
        </w:rPr>
        <w:t xml:space="preserve"> </w:t>
      </w:r>
      <w:r w:rsidR="00770A2E" w:rsidRPr="00A52AB8">
        <w:rPr>
          <w:color w:val="000000" w:themeColor="text1"/>
        </w:rPr>
        <w:t>geoBitstreamIdx</w:t>
      </w:r>
      <w:r w:rsidR="00C170AA" w:rsidRPr="00A52AB8">
        <w:rPr>
          <w:bCs/>
        </w:rPr>
        <w:t xml:space="preserve"> </w:t>
      </w:r>
      <w:r w:rsidR="00CD7D5B" w:rsidRPr="00A52AB8">
        <w:rPr>
          <w:bCs/>
        </w:rPr>
        <w:t xml:space="preserve">in the range of 0 to </w:t>
      </w:r>
      <w:r w:rsidR="00CD7D5B" w:rsidRPr="00A52AB8">
        <w:t>vps_multiple_map_streams_present_flag[ </w:t>
      </w:r>
      <w:r w:rsidR="00995A0F" w:rsidRPr="00A52AB8">
        <w:t>VUIAtlasID</w:t>
      </w:r>
      <w:r w:rsidR="00CD7D5B" w:rsidRPr="00A52AB8">
        <w:t> ]</w:t>
      </w:r>
      <w:r w:rsidR="00CD7D5B" w:rsidRPr="00A52AB8">
        <w:rPr>
          <w:bCs/>
          <w:color w:val="000000" w:themeColor="text1"/>
        </w:rPr>
        <w:t> ? vps_map_count_minus1[ j ]</w:t>
      </w:r>
      <w:r w:rsidR="00770A2E" w:rsidRPr="00A52AB8">
        <w:rPr>
          <w:bCs/>
          <w:color w:val="000000" w:themeColor="text1"/>
        </w:rPr>
        <w:t> </w:t>
      </w:r>
      <w:r w:rsidR="00D60157" w:rsidRPr="00A52AB8">
        <w:rPr>
          <w:bCs/>
          <w:color w:val="000000" w:themeColor="text1"/>
        </w:rPr>
        <w:t>:</w:t>
      </w:r>
      <w:r w:rsidR="00770A2E" w:rsidRPr="00A52AB8">
        <w:rPr>
          <w:bCs/>
          <w:color w:val="000000" w:themeColor="text1"/>
        </w:rPr>
        <w:t> </w:t>
      </w:r>
      <w:r w:rsidR="00D60157" w:rsidRPr="00A52AB8">
        <w:rPr>
          <w:bCs/>
          <w:color w:val="000000" w:themeColor="text1"/>
        </w:rPr>
        <w:t>0, inclusive</w:t>
      </w:r>
      <w:r w:rsidR="00CD7D5B" w:rsidRPr="00A52AB8">
        <w:rPr>
          <w:bCs/>
          <w:color w:val="000000" w:themeColor="text1"/>
        </w:rPr>
        <w:t xml:space="preserve">, </w:t>
      </w:r>
      <w:r w:rsidRPr="00A52AB8">
        <w:rPr>
          <w:bCs/>
        </w:rPr>
        <w:t>i in the range of 0 to NumDecGeoFrames – 1, inclusive</w:t>
      </w:r>
      <w:r w:rsidR="00770A2E" w:rsidRPr="00A52AB8">
        <w:rPr>
          <w:bCs/>
        </w:rPr>
        <w:t>,</w:t>
      </w:r>
      <w:r w:rsidRPr="00A52AB8">
        <w:rPr>
          <w:bCs/>
        </w:rPr>
        <w:t xml:space="preserve"> and j in the range of 0 to NumDecGeoAuxFrames – 1, inclusive. If mcv_geometry_width is not present, then no constraint to the width of the geometry auxiliary and non-auxiliary sub-bitstream frames is specified.</w:t>
      </w:r>
    </w:p>
    <w:p w14:paraId="5C093F88" w14:textId="149F5630" w:rsidR="00EC2A5A" w:rsidRPr="00A52AB8" w:rsidRDefault="00EC2A5A" w:rsidP="00EC2A5A">
      <w:pPr>
        <w:rPr>
          <w:bCs/>
        </w:rPr>
      </w:pPr>
      <w:r w:rsidRPr="00A52AB8">
        <w:rPr>
          <w:b/>
        </w:rPr>
        <w:t xml:space="preserve">mcv_geometry_height </w:t>
      </w:r>
      <w:r w:rsidRPr="00A52AB8">
        <w:rPr>
          <w:bCs/>
        </w:rPr>
        <w:t>specifies the maximum height value allowed for any frame in the geometry auxiliary and non-auxiliary sub-bitstreams</w:t>
      </w:r>
      <w:r w:rsidR="004315F4" w:rsidRPr="00A52AB8">
        <w:rPr>
          <w:bCs/>
        </w:rPr>
        <w:t xml:space="preserve"> of the current atlas, </w:t>
      </w:r>
      <w:r w:rsidR="00995A0F" w:rsidRPr="00A52AB8">
        <w:rPr>
          <w:bCs/>
        </w:rPr>
        <w:t>VUIAtlasID</w:t>
      </w:r>
      <w:r w:rsidRPr="00A52AB8">
        <w:rPr>
          <w:bCs/>
        </w:rPr>
        <w:t>. mcv_geometry_height shall be larger than or equal to</w:t>
      </w:r>
      <w:r w:rsidRPr="00A52AB8">
        <w:rPr>
          <w:b/>
        </w:rPr>
        <w:t xml:space="preserve"> </w:t>
      </w:r>
      <w:r w:rsidRPr="00A52AB8">
        <w:rPr>
          <w:bCs/>
        </w:rPr>
        <w:t>DecGeoHeight</w:t>
      </w:r>
      <w:r w:rsidRPr="00A52AB8">
        <w:rPr>
          <w:color w:val="000000" w:themeColor="text1"/>
        </w:rPr>
        <w:t>[ </w:t>
      </w:r>
      <w:r w:rsidR="00770A2E" w:rsidRPr="00A52AB8">
        <w:rPr>
          <w:color w:val="000000" w:themeColor="text1"/>
        </w:rPr>
        <w:t>geoBitstream</w:t>
      </w:r>
      <w:r w:rsidRPr="00A52AB8">
        <w:rPr>
          <w:color w:val="000000" w:themeColor="text1"/>
        </w:rPr>
        <w:t>Idx ]</w:t>
      </w:r>
      <w:r w:rsidRPr="00A52AB8">
        <w:rPr>
          <w:bCs/>
        </w:rPr>
        <w:t xml:space="preserve">[ i ] and </w:t>
      </w:r>
      <w:r w:rsidRPr="00A52AB8">
        <w:rPr>
          <w:color w:val="000000" w:themeColor="text1"/>
        </w:rPr>
        <w:t>DecGeoAuxHeight[ j ]</w:t>
      </w:r>
      <w:r w:rsidRPr="00A52AB8">
        <w:rPr>
          <w:bCs/>
        </w:rPr>
        <w:t xml:space="preserve">, as defined in subclause </w:t>
      </w:r>
      <w:r w:rsidRPr="00496A4D">
        <w:rPr>
          <w:bCs/>
        </w:rPr>
        <w:fldChar w:fldCharType="begin"/>
      </w:r>
      <w:r w:rsidRPr="00A52AB8">
        <w:rPr>
          <w:bCs/>
        </w:rPr>
        <w:instrText xml:space="preserve"> REF _Ref38443293 \n \h </w:instrText>
      </w:r>
      <w:r w:rsidR="005A0C25" w:rsidRPr="00A52AB8">
        <w:rPr>
          <w:bCs/>
        </w:rPr>
        <w:instrText xml:space="preserve"> \* MERGEFORMAT </w:instrText>
      </w:r>
      <w:r w:rsidRPr="00496A4D">
        <w:rPr>
          <w:bCs/>
        </w:rPr>
      </w:r>
      <w:r w:rsidRPr="00496A4D">
        <w:rPr>
          <w:bCs/>
        </w:rPr>
        <w:fldChar w:fldCharType="separate"/>
      </w:r>
      <w:r w:rsidR="00507A67">
        <w:rPr>
          <w:bCs/>
        </w:rPr>
        <w:t>9.4</w:t>
      </w:r>
      <w:r w:rsidRPr="00496A4D">
        <w:rPr>
          <w:bCs/>
        </w:rPr>
        <w:fldChar w:fldCharType="end"/>
      </w:r>
      <w:r w:rsidRPr="00A52AB8">
        <w:rPr>
          <w:bCs/>
        </w:rPr>
        <w:t xml:space="preserve">, </w:t>
      </w:r>
      <w:r w:rsidR="004315F4" w:rsidRPr="00A52AB8">
        <w:rPr>
          <w:bCs/>
        </w:rPr>
        <w:t>with</w:t>
      </w:r>
      <w:r w:rsidRPr="00A52AB8">
        <w:rPr>
          <w:bCs/>
        </w:rPr>
        <w:t xml:space="preserve"> </w:t>
      </w:r>
      <w:r w:rsidR="00770A2E" w:rsidRPr="00A52AB8">
        <w:rPr>
          <w:color w:val="000000" w:themeColor="text1"/>
        </w:rPr>
        <w:t>geoBitstreamIdx</w:t>
      </w:r>
      <w:r w:rsidR="00C170AA" w:rsidRPr="00A52AB8">
        <w:rPr>
          <w:bCs/>
        </w:rPr>
        <w:t xml:space="preserve"> </w:t>
      </w:r>
      <w:r w:rsidRPr="00A52AB8">
        <w:rPr>
          <w:bCs/>
        </w:rPr>
        <w:t xml:space="preserve">in the range of 0 to </w:t>
      </w:r>
      <w:r w:rsidR="00CD7D5B" w:rsidRPr="00A52AB8">
        <w:t>vps_multiple_map_streams_present_flag[ </w:t>
      </w:r>
      <w:r w:rsidR="00995A0F" w:rsidRPr="00A52AB8">
        <w:t>VUIAtlasID</w:t>
      </w:r>
      <w:r w:rsidR="00CD7D5B" w:rsidRPr="00A52AB8">
        <w:t> ]</w:t>
      </w:r>
      <w:r w:rsidR="00CD7D5B" w:rsidRPr="00A52AB8">
        <w:rPr>
          <w:bCs/>
          <w:color w:val="000000" w:themeColor="text1"/>
        </w:rPr>
        <w:t> ? </w:t>
      </w:r>
      <w:r w:rsidR="005A0C25" w:rsidRPr="00A52AB8">
        <w:rPr>
          <w:bCs/>
          <w:color w:val="000000" w:themeColor="text1"/>
        </w:rPr>
        <w:t>vps_map_count_minus1[ j ]</w:t>
      </w:r>
      <w:r w:rsidR="00D60157" w:rsidRPr="00A52AB8">
        <w:rPr>
          <w:bCs/>
          <w:color w:val="000000" w:themeColor="text1"/>
        </w:rPr>
        <w:t xml:space="preserve"> : 0, inclusive</w:t>
      </w:r>
      <w:r w:rsidR="00CD7D5B" w:rsidRPr="00A52AB8">
        <w:rPr>
          <w:bCs/>
          <w:color w:val="000000" w:themeColor="text1"/>
        </w:rPr>
        <w:t xml:space="preserve">, </w:t>
      </w:r>
      <w:r w:rsidRPr="00A52AB8">
        <w:rPr>
          <w:bCs/>
        </w:rPr>
        <w:t>i in the range of 0 to NumDecGeoFrames – 1, inclusive</w:t>
      </w:r>
      <w:r w:rsidR="00770A2E" w:rsidRPr="00A52AB8">
        <w:rPr>
          <w:bCs/>
        </w:rPr>
        <w:t>,</w:t>
      </w:r>
      <w:r w:rsidRPr="00A52AB8">
        <w:rPr>
          <w:bCs/>
        </w:rPr>
        <w:t xml:space="preserve"> and j in the range of 0 to NumDecGeoAuxFrames – 1, inclusive. If mcv_geometry_height is not present, then no constraint to the height of the geometry auxiliary and non-auxiliary sub-bitstream frames is specified.</w:t>
      </w:r>
    </w:p>
    <w:p w14:paraId="10DB269D" w14:textId="638C74A9" w:rsidR="00770A2E" w:rsidRPr="00A52AB8" w:rsidRDefault="00770A2E" w:rsidP="00770A2E">
      <w:pPr>
        <w:rPr>
          <w:bCs/>
        </w:rPr>
      </w:pPr>
      <w:r w:rsidRPr="00A52AB8">
        <w:rPr>
          <w:b/>
        </w:rPr>
        <w:t xml:space="preserve">mcv_attribute_width </w:t>
      </w:r>
      <w:r w:rsidRPr="00A52AB8">
        <w:rPr>
          <w:bCs/>
        </w:rPr>
        <w:t>specifies the maximum width value allowed for any frame in the attribute auxiliary and non-auxiliary sub-bitstreams</w:t>
      </w:r>
      <w:r w:rsidR="004315F4" w:rsidRPr="00A52AB8">
        <w:rPr>
          <w:bCs/>
        </w:rPr>
        <w:t xml:space="preserve"> of the current atlas, </w:t>
      </w:r>
      <w:r w:rsidR="00995A0F" w:rsidRPr="00A52AB8">
        <w:rPr>
          <w:bCs/>
        </w:rPr>
        <w:t>VUIAtlasID</w:t>
      </w:r>
      <w:r w:rsidRPr="00A52AB8">
        <w:rPr>
          <w:bCs/>
        </w:rPr>
        <w:t>. mcv_attribute_width shall be larger than or equal to</w:t>
      </w:r>
      <w:r w:rsidRPr="00A52AB8">
        <w:rPr>
          <w:b/>
        </w:rPr>
        <w:t xml:space="preserve"> </w:t>
      </w:r>
      <w:r w:rsidRPr="00A52AB8">
        <w:rPr>
          <w:bCs/>
        </w:rPr>
        <w:t>DecAttrWidth</w:t>
      </w:r>
      <w:r w:rsidRPr="00A52AB8">
        <w:rPr>
          <w:color w:val="000000" w:themeColor="text1"/>
        </w:rPr>
        <w:t>[ attrIdx ][ partIdx ][ attrBitstreamIdx ]</w:t>
      </w:r>
      <w:r w:rsidRPr="00A52AB8">
        <w:rPr>
          <w:bCs/>
        </w:rPr>
        <w:t xml:space="preserve">[ i ] and </w:t>
      </w:r>
      <w:r w:rsidRPr="00A52AB8">
        <w:rPr>
          <w:color w:val="000000" w:themeColor="text1"/>
        </w:rPr>
        <w:t>Dec</w:t>
      </w:r>
      <w:r w:rsidR="004315F4" w:rsidRPr="00A52AB8">
        <w:rPr>
          <w:color w:val="000000" w:themeColor="text1"/>
        </w:rPr>
        <w:t>Attr</w:t>
      </w:r>
      <w:r w:rsidRPr="00A52AB8">
        <w:rPr>
          <w:color w:val="000000" w:themeColor="text1"/>
        </w:rPr>
        <w:t>AuxWidth[ attrIdx ][ partIdx ][ j ]</w:t>
      </w:r>
      <w:r w:rsidRPr="00A52AB8">
        <w:rPr>
          <w:bCs/>
        </w:rPr>
        <w:t xml:space="preserve">, as defined in subclause </w:t>
      </w:r>
      <w:r w:rsidRPr="00496A4D">
        <w:rPr>
          <w:bCs/>
        </w:rPr>
        <w:fldChar w:fldCharType="begin"/>
      </w:r>
      <w:r w:rsidRPr="00A52AB8">
        <w:rPr>
          <w:bCs/>
        </w:rPr>
        <w:instrText xml:space="preserve"> REF _Ref38443294 \n \h </w:instrText>
      </w:r>
      <w:r w:rsidR="008F69D5" w:rsidRPr="00A52AB8">
        <w:rPr>
          <w:bCs/>
        </w:rPr>
        <w:instrText xml:space="preserve"> \* MERGEFORMAT </w:instrText>
      </w:r>
      <w:r w:rsidRPr="00496A4D">
        <w:rPr>
          <w:bCs/>
        </w:rPr>
      </w:r>
      <w:r w:rsidRPr="00496A4D">
        <w:rPr>
          <w:bCs/>
        </w:rPr>
        <w:fldChar w:fldCharType="separate"/>
      </w:r>
      <w:r w:rsidR="00507A67">
        <w:rPr>
          <w:bCs/>
        </w:rPr>
        <w:t>9.5</w:t>
      </w:r>
      <w:r w:rsidRPr="00496A4D">
        <w:rPr>
          <w:bCs/>
        </w:rPr>
        <w:fldChar w:fldCharType="end"/>
      </w:r>
      <w:r w:rsidRPr="00A52AB8">
        <w:rPr>
          <w:bCs/>
        </w:rPr>
        <w:t>, with attrIdx in the range of 0 to ai_attribute_count[ </w:t>
      </w:r>
      <w:r w:rsidR="00995A0F" w:rsidRPr="00A52AB8">
        <w:t>VUIAtlasID</w:t>
      </w:r>
      <w:r w:rsidRPr="00A52AB8">
        <w:t> </w:t>
      </w:r>
      <w:r w:rsidRPr="00A52AB8">
        <w:rPr>
          <w:bCs/>
        </w:rPr>
        <w:t xml:space="preserve">] – 1, inclusive, </w:t>
      </w:r>
      <w:r w:rsidR="004315F4" w:rsidRPr="00A52AB8">
        <w:rPr>
          <w:bCs/>
        </w:rPr>
        <w:t>partIdx in the range of 0 to ai_attribute_dimension_partitions_minus1[</w:t>
      </w:r>
      <w:r w:rsidR="009453BF" w:rsidRPr="00A52AB8">
        <w:rPr>
          <w:bCs/>
        </w:rPr>
        <w:t> </w:t>
      </w:r>
      <w:r w:rsidR="007F7419" w:rsidRPr="00A52AB8">
        <w:rPr>
          <w:bCs/>
        </w:rPr>
        <w:t>VUIAtlasID</w:t>
      </w:r>
      <w:r w:rsidR="009453BF" w:rsidRPr="00A52AB8">
        <w:rPr>
          <w:bCs/>
        </w:rPr>
        <w:t> </w:t>
      </w:r>
      <w:r w:rsidR="004315F4" w:rsidRPr="00A52AB8">
        <w:rPr>
          <w:bCs/>
        </w:rPr>
        <w:t>][</w:t>
      </w:r>
      <w:r w:rsidR="009453BF" w:rsidRPr="00A52AB8">
        <w:rPr>
          <w:bCs/>
        </w:rPr>
        <w:t> </w:t>
      </w:r>
      <w:r w:rsidR="004315F4" w:rsidRPr="00A52AB8">
        <w:rPr>
          <w:color w:val="000000" w:themeColor="text1"/>
        </w:rPr>
        <w:t>attrIdx</w:t>
      </w:r>
      <w:r w:rsidR="009453BF" w:rsidRPr="00A52AB8">
        <w:rPr>
          <w:bCs/>
        </w:rPr>
        <w:t> </w:t>
      </w:r>
      <w:r w:rsidR="004315F4" w:rsidRPr="00A52AB8">
        <w:rPr>
          <w:bCs/>
        </w:rPr>
        <w:t xml:space="preserve">], inclusive, </w:t>
      </w:r>
      <w:r w:rsidRPr="00A52AB8">
        <w:rPr>
          <w:color w:val="000000" w:themeColor="text1"/>
        </w:rPr>
        <w:t>attrBitstreamIdx</w:t>
      </w:r>
      <w:r w:rsidRPr="00A52AB8">
        <w:rPr>
          <w:bCs/>
        </w:rPr>
        <w:t xml:space="preserve"> in the range of 0 to </w:t>
      </w:r>
      <w:r w:rsidRPr="00A52AB8">
        <w:t>vps_multiple_map_streams_present_flag[ </w:t>
      </w:r>
      <w:r w:rsidR="007F7419" w:rsidRPr="00A52AB8">
        <w:t>VUIAtlasID</w:t>
      </w:r>
      <w:r w:rsidRPr="00A52AB8">
        <w:t> ]</w:t>
      </w:r>
      <w:r w:rsidRPr="00A52AB8">
        <w:rPr>
          <w:bCs/>
          <w:color w:val="000000" w:themeColor="text1"/>
        </w:rPr>
        <w:t> ? vps_map_count_minus1[ j ] : 0, inclusive, ,</w:t>
      </w:r>
      <w:r w:rsidRPr="00A52AB8">
        <w:rPr>
          <w:bCs/>
        </w:rPr>
        <w:t xml:space="preserve"> i in the range of 0 to NumDec</w:t>
      </w:r>
      <w:r w:rsidR="004315F4" w:rsidRPr="00A52AB8">
        <w:rPr>
          <w:bCs/>
        </w:rPr>
        <w:t>Attr</w:t>
      </w:r>
      <w:r w:rsidRPr="00A52AB8">
        <w:rPr>
          <w:bCs/>
        </w:rPr>
        <w:t>Frames – 1, inclusive, and j in the range of 0 to NumDec</w:t>
      </w:r>
      <w:r w:rsidR="004315F4" w:rsidRPr="00A52AB8">
        <w:rPr>
          <w:bCs/>
        </w:rPr>
        <w:t>Attr</w:t>
      </w:r>
      <w:r w:rsidRPr="00A52AB8">
        <w:rPr>
          <w:bCs/>
        </w:rPr>
        <w:t>AuxFrames – 1, inclusive. If mcv_</w:t>
      </w:r>
      <w:r w:rsidR="004315F4" w:rsidRPr="00A52AB8">
        <w:rPr>
          <w:bCs/>
        </w:rPr>
        <w:t>attribute</w:t>
      </w:r>
      <w:r w:rsidRPr="00A52AB8">
        <w:rPr>
          <w:bCs/>
        </w:rPr>
        <w:t xml:space="preserve">_width is not present, then no constraint to the width of the </w:t>
      </w:r>
      <w:r w:rsidR="004315F4" w:rsidRPr="00A52AB8">
        <w:rPr>
          <w:bCs/>
        </w:rPr>
        <w:t>attribute</w:t>
      </w:r>
      <w:r w:rsidRPr="00A52AB8">
        <w:rPr>
          <w:bCs/>
        </w:rPr>
        <w:t xml:space="preserve"> auxiliary and non-auxiliary sub-bitstream frames is specified.</w:t>
      </w:r>
    </w:p>
    <w:p w14:paraId="785EB869" w14:textId="0B7026BF" w:rsidR="00AB20A6" w:rsidRPr="00A52AB8" w:rsidRDefault="004315F4" w:rsidP="00195915">
      <w:r w:rsidRPr="00A52AB8">
        <w:rPr>
          <w:b/>
        </w:rPr>
        <w:t xml:space="preserve">mcv_attribute_height </w:t>
      </w:r>
      <w:r w:rsidRPr="00A52AB8">
        <w:rPr>
          <w:bCs/>
        </w:rPr>
        <w:t xml:space="preserve">specifies the maximum height value allowed for any frame in the attribute auxiliary and non-auxiliary sub-bitstreams of the current atlas, </w:t>
      </w:r>
      <w:r w:rsidR="007F7419" w:rsidRPr="00A52AB8">
        <w:rPr>
          <w:bCs/>
        </w:rPr>
        <w:t>VUIAtlasID</w:t>
      </w:r>
      <w:r w:rsidRPr="00A52AB8">
        <w:rPr>
          <w:bCs/>
        </w:rPr>
        <w:t>. mcv_attribute_height shall be larger than or equal to</w:t>
      </w:r>
      <w:r w:rsidRPr="00A52AB8">
        <w:rPr>
          <w:b/>
        </w:rPr>
        <w:t xml:space="preserve"> </w:t>
      </w:r>
      <w:r w:rsidRPr="00A52AB8">
        <w:rPr>
          <w:bCs/>
        </w:rPr>
        <w:t>DecAttrHeight</w:t>
      </w:r>
      <w:r w:rsidRPr="00A52AB8">
        <w:rPr>
          <w:color w:val="000000" w:themeColor="text1"/>
        </w:rPr>
        <w:t>[ attrIdx ][ partIdx ][ attrBitstreamIdx ]</w:t>
      </w:r>
      <w:r w:rsidRPr="00A52AB8">
        <w:rPr>
          <w:bCs/>
        </w:rPr>
        <w:t xml:space="preserve">[ i ] and </w:t>
      </w:r>
      <w:r w:rsidRPr="00A52AB8">
        <w:rPr>
          <w:color w:val="000000" w:themeColor="text1"/>
        </w:rPr>
        <w:t>DecAttrAuxHeight[ attrIdx ][ partIdx ][ j ]</w:t>
      </w:r>
      <w:r w:rsidRPr="00A52AB8">
        <w:rPr>
          <w:bCs/>
        </w:rPr>
        <w:t xml:space="preserve">, as defined in subclause </w:t>
      </w:r>
      <w:r w:rsidRPr="00496A4D">
        <w:rPr>
          <w:bCs/>
        </w:rPr>
        <w:fldChar w:fldCharType="begin"/>
      </w:r>
      <w:r w:rsidRPr="00A52AB8">
        <w:rPr>
          <w:bCs/>
        </w:rPr>
        <w:instrText xml:space="preserve"> REF _Ref38443294 \n \h </w:instrText>
      </w:r>
      <w:r w:rsidR="008F69D5" w:rsidRPr="00A52AB8">
        <w:rPr>
          <w:bCs/>
        </w:rPr>
        <w:instrText xml:space="preserve"> \* MERGEFORMAT </w:instrText>
      </w:r>
      <w:r w:rsidRPr="00496A4D">
        <w:rPr>
          <w:bCs/>
        </w:rPr>
      </w:r>
      <w:r w:rsidRPr="00496A4D">
        <w:rPr>
          <w:bCs/>
        </w:rPr>
        <w:fldChar w:fldCharType="separate"/>
      </w:r>
      <w:r w:rsidR="00507A67">
        <w:rPr>
          <w:bCs/>
        </w:rPr>
        <w:t>9.5</w:t>
      </w:r>
      <w:r w:rsidRPr="00496A4D">
        <w:rPr>
          <w:bCs/>
        </w:rPr>
        <w:fldChar w:fldCharType="end"/>
      </w:r>
      <w:r w:rsidRPr="00A52AB8">
        <w:rPr>
          <w:bCs/>
        </w:rPr>
        <w:t>, with attrIdx in the range of 0 to ai_attribute_count[ </w:t>
      </w:r>
      <w:r w:rsidR="007F7419" w:rsidRPr="00A52AB8">
        <w:t>VUIAtlasID</w:t>
      </w:r>
      <w:r w:rsidRPr="00A52AB8">
        <w:t> </w:t>
      </w:r>
      <w:r w:rsidRPr="00A52AB8">
        <w:rPr>
          <w:bCs/>
        </w:rPr>
        <w:t>] – 1, inclusive, partIdx in the range of 0 to ai_attribute_dimension_partitions_minus1[</w:t>
      </w:r>
      <w:r w:rsidR="009453BF" w:rsidRPr="00A52AB8">
        <w:rPr>
          <w:bCs/>
        </w:rPr>
        <w:t> </w:t>
      </w:r>
      <w:r w:rsidR="007F7419" w:rsidRPr="00A52AB8">
        <w:rPr>
          <w:bCs/>
        </w:rPr>
        <w:t>VUIAtlasID</w:t>
      </w:r>
      <w:r w:rsidR="009453BF" w:rsidRPr="00A52AB8">
        <w:rPr>
          <w:bCs/>
        </w:rPr>
        <w:t> </w:t>
      </w:r>
      <w:r w:rsidRPr="00A52AB8">
        <w:rPr>
          <w:bCs/>
        </w:rPr>
        <w:t>][</w:t>
      </w:r>
      <w:r w:rsidR="009453BF" w:rsidRPr="00A52AB8">
        <w:rPr>
          <w:bCs/>
        </w:rPr>
        <w:t> </w:t>
      </w:r>
      <w:r w:rsidRPr="00A52AB8">
        <w:rPr>
          <w:color w:val="000000" w:themeColor="text1"/>
        </w:rPr>
        <w:t>attrIdx </w:t>
      </w:r>
      <w:r w:rsidRPr="00A52AB8">
        <w:rPr>
          <w:bCs/>
        </w:rPr>
        <w:t xml:space="preserve">], inclusive, </w:t>
      </w:r>
      <w:r w:rsidRPr="00A52AB8">
        <w:rPr>
          <w:color w:val="000000" w:themeColor="text1"/>
        </w:rPr>
        <w:t>attrBitstreamIdx</w:t>
      </w:r>
      <w:r w:rsidRPr="00A52AB8">
        <w:rPr>
          <w:bCs/>
        </w:rPr>
        <w:t xml:space="preserve"> in the range of 0 to </w:t>
      </w:r>
      <w:r w:rsidRPr="00A52AB8">
        <w:t>vps_multiple_map_streams_present_flag[ </w:t>
      </w:r>
      <w:r w:rsidR="007F7419" w:rsidRPr="00A52AB8">
        <w:t>VUIAtlasID</w:t>
      </w:r>
      <w:r w:rsidRPr="00A52AB8">
        <w:t> ]</w:t>
      </w:r>
      <w:r w:rsidRPr="00A52AB8">
        <w:rPr>
          <w:bCs/>
          <w:color w:val="000000" w:themeColor="text1"/>
        </w:rPr>
        <w:t> ? vps_map_count_minus1[ j ] : 0, inclusive, ,</w:t>
      </w:r>
      <w:r w:rsidRPr="00A52AB8">
        <w:rPr>
          <w:bCs/>
        </w:rPr>
        <w:t xml:space="preserve"> i in the range of 0 to NumDecAttrFrames – 1, inclusive, and j in the range of 0 to NumDecAttrAuxFrames – 1, inclusive. If mcv_attribute_height is not present, then no constraint to the height of the attribute auxiliary and non-auxiliary sub-bitstream frames is specified.</w:t>
      </w:r>
    </w:p>
    <w:p w14:paraId="64D5989E" w14:textId="77777777" w:rsidR="00687ED0" w:rsidRPr="00A52AB8" w:rsidRDefault="00687ED0" w:rsidP="00687ED0">
      <w:pPr>
        <w:pStyle w:val="a3"/>
        <w:numPr>
          <w:ilvl w:val="2"/>
          <w:numId w:val="19"/>
        </w:numPr>
      </w:pPr>
      <w:bookmarkStart w:id="6096" w:name="_Toc52181765"/>
      <w:r w:rsidRPr="00A52AB8">
        <w:t>Coordinate system parameters semantics</w:t>
      </w:r>
      <w:bookmarkEnd w:id="6096"/>
    </w:p>
    <w:p w14:paraId="3E8DE8CA" w14:textId="48857678" w:rsidR="0050235C" w:rsidRPr="00A52AB8" w:rsidRDefault="00E552F9" w:rsidP="00E552F9">
      <w:pPr>
        <w:tabs>
          <w:tab w:val="left" w:pos="1584"/>
        </w:tabs>
      </w:pPr>
      <w:r w:rsidRPr="00A52AB8">
        <w:t xml:space="preserve">The coordinate system </w:t>
      </w:r>
      <w:r w:rsidR="009A1FB2" w:rsidRPr="00A52AB8">
        <w:t xml:space="preserve">parameters </w:t>
      </w:r>
      <w:r w:rsidRPr="00A52AB8">
        <w:t>assign the orthogonal directions forward, left and up to the axis indices 0..2 corresponding to abstract dimensions x, y</w:t>
      </w:r>
      <w:r w:rsidR="00EB66EF" w:rsidRPr="00A52AB8">
        <w:t>,</w:t>
      </w:r>
      <w:r w:rsidRPr="00A52AB8">
        <w:t xml:space="preserve"> and z.</w:t>
      </w:r>
    </w:p>
    <w:p w14:paraId="29204F86" w14:textId="48AD61CE" w:rsidR="00E552F9" w:rsidRPr="00A52AB8" w:rsidRDefault="00E552F9" w:rsidP="00E552F9">
      <w:pPr>
        <w:tabs>
          <w:tab w:val="left" w:pos="1584"/>
        </w:tabs>
      </w:pPr>
      <w:r w:rsidRPr="00A52AB8">
        <w:rPr>
          <w:b/>
          <w:bCs/>
        </w:rPr>
        <w:t>cs</w:t>
      </w:r>
      <w:r w:rsidR="00AF2B92" w:rsidRPr="00A52AB8">
        <w:rPr>
          <w:b/>
          <w:bCs/>
        </w:rPr>
        <w:t>p</w:t>
      </w:r>
      <w:r w:rsidRPr="00A52AB8">
        <w:rPr>
          <w:b/>
          <w:bCs/>
        </w:rPr>
        <w:t>_forward_axis</w:t>
      </w:r>
      <w:r w:rsidRPr="00A52AB8">
        <w:t xml:space="preserve"> specifies the axis index of the forward direction. The variable Cs</w:t>
      </w:r>
      <w:r w:rsidR="00575EBF" w:rsidRPr="00A52AB8">
        <w:t>p</w:t>
      </w:r>
      <w:r w:rsidRPr="00A52AB8">
        <w:t>ForwardAxisIndex is derived as follows:</w:t>
      </w:r>
    </w:p>
    <w:p w14:paraId="5797850B" w14:textId="21C721D6" w:rsidR="00E552F9" w:rsidRPr="00A52AB8" w:rsidRDefault="003730AF" w:rsidP="00A252B5">
      <w:pPr>
        <w:pStyle w:val="Equation"/>
        <w:tabs>
          <w:tab w:val="left" w:pos="403"/>
        </w:tabs>
      </w:pPr>
      <w:r w:rsidRPr="00A52AB8">
        <w:tab/>
      </w:r>
      <w:r w:rsidR="00E552F9" w:rsidRPr="00A52AB8">
        <w:t>Cs</w:t>
      </w:r>
      <w:r w:rsidR="00575EBF" w:rsidRPr="00A52AB8">
        <w:t>p</w:t>
      </w:r>
      <w:r w:rsidR="00E552F9" w:rsidRPr="00A52AB8">
        <w:t>ForwardAxisIndex</w:t>
      </w:r>
      <w:r w:rsidR="00D47707" w:rsidRPr="00A52AB8">
        <w:t> = </w:t>
      </w:r>
      <w:r w:rsidR="00E552F9" w:rsidRPr="00A52AB8">
        <w:t>cs</w:t>
      </w:r>
      <w:r w:rsidR="00575EBF" w:rsidRPr="00A52AB8">
        <w:t>p</w:t>
      </w:r>
      <w:r w:rsidR="00E552F9" w:rsidRPr="00A52AB8">
        <w:t>_forward_axis</w:t>
      </w:r>
      <w:r w:rsidR="00665C33" w:rsidRPr="00A52AB8">
        <w:t xml:space="preserve"> </w:t>
      </w:r>
      <w:r w:rsidR="00665C33" w:rsidRPr="00A52AB8">
        <w:tab/>
      </w:r>
      <w:r w:rsidR="00EB66EF" w:rsidRPr="00A52AB8">
        <w:tab/>
      </w:r>
      <w:r w:rsidR="00665C33" w:rsidRPr="00A52AB8">
        <w:t>(</w:t>
      </w:r>
      <w:r w:rsidR="000B1C77" w:rsidRPr="00A52AB8">
        <w:t>G</w:t>
      </w:r>
      <w:r w:rsidR="00665C33" w:rsidRPr="00A52AB8">
        <w:noBreakHyphen/>
      </w:r>
      <w:r w:rsidR="00665C33" w:rsidRPr="00496A4D">
        <w:fldChar w:fldCharType="begin"/>
      </w:r>
      <w:r w:rsidR="00665C33" w:rsidRPr="00A52AB8">
        <w:instrText xml:space="preserve"> SEQ Equation \* ARABIC </w:instrText>
      </w:r>
      <w:r w:rsidR="00665C33" w:rsidRPr="00496A4D">
        <w:fldChar w:fldCharType="separate"/>
      </w:r>
      <w:r w:rsidR="00507A67">
        <w:rPr>
          <w:noProof/>
        </w:rPr>
        <w:t>5</w:t>
      </w:r>
      <w:r w:rsidR="00665C33" w:rsidRPr="00496A4D">
        <w:fldChar w:fldCharType="end"/>
      </w:r>
      <w:r w:rsidR="00665C33" w:rsidRPr="00A52AB8">
        <w:t>)</w:t>
      </w:r>
    </w:p>
    <w:p w14:paraId="6AD7EE21" w14:textId="2375A952" w:rsidR="00E552F9" w:rsidRPr="00A52AB8" w:rsidRDefault="00E552F9" w:rsidP="00E552F9">
      <w:pPr>
        <w:tabs>
          <w:tab w:val="left" w:pos="1584"/>
        </w:tabs>
      </w:pPr>
      <w:r w:rsidRPr="00A52AB8">
        <w:rPr>
          <w:b/>
          <w:bCs/>
        </w:rPr>
        <w:t>cs</w:t>
      </w:r>
      <w:r w:rsidR="00AF2B92" w:rsidRPr="00A52AB8">
        <w:rPr>
          <w:b/>
          <w:bCs/>
        </w:rPr>
        <w:t>p</w:t>
      </w:r>
      <w:r w:rsidRPr="00A52AB8">
        <w:rPr>
          <w:b/>
          <w:bCs/>
        </w:rPr>
        <w:t>_delta_left_axis</w:t>
      </w:r>
      <w:r w:rsidR="00536DD5" w:rsidRPr="00A52AB8">
        <w:rPr>
          <w:b/>
          <w:bCs/>
        </w:rPr>
        <w:t xml:space="preserve">_minus1 </w:t>
      </w:r>
      <w:r w:rsidR="00FE266F" w:rsidRPr="00A52AB8">
        <w:t>plus 1</w:t>
      </w:r>
      <w:r w:rsidR="00004972" w:rsidRPr="00A52AB8">
        <w:t xml:space="preserve"> </w:t>
      </w:r>
      <w:r w:rsidRPr="00A52AB8">
        <w:t xml:space="preserve">specifies </w:t>
      </w:r>
      <w:r w:rsidR="005C6F94" w:rsidRPr="00A52AB8">
        <w:t xml:space="preserve">the difference between </w:t>
      </w:r>
      <w:r w:rsidRPr="00A52AB8">
        <w:t>the</w:t>
      </w:r>
      <w:r w:rsidR="000D7E6A" w:rsidRPr="00A52AB8">
        <w:t xml:space="preserve"> left axis index</w:t>
      </w:r>
      <w:r w:rsidR="00FE266F" w:rsidRPr="00A52AB8">
        <w:t>, CspLeftAxisIndex,</w:t>
      </w:r>
      <w:r w:rsidR="000D7E6A" w:rsidRPr="00A52AB8">
        <w:t xml:space="preserve"> and the forward</w:t>
      </w:r>
      <w:r w:rsidRPr="00A52AB8">
        <w:t xml:space="preserve"> axis index</w:t>
      </w:r>
      <w:r w:rsidR="00004972" w:rsidRPr="00A52AB8">
        <w:t>, CspForwardAxisIndex</w:t>
      </w:r>
      <w:r w:rsidRPr="00A52AB8">
        <w:t>. The variable Cs</w:t>
      </w:r>
      <w:r w:rsidR="00575EBF" w:rsidRPr="00A52AB8">
        <w:t>p</w:t>
      </w:r>
      <w:r w:rsidRPr="00A52AB8">
        <w:t>LeftAxisIndex is derived as follows:</w:t>
      </w:r>
    </w:p>
    <w:p w14:paraId="78D760D8" w14:textId="6427CED7" w:rsidR="00E552F9" w:rsidRPr="00A52AB8" w:rsidRDefault="003730AF" w:rsidP="00A252B5">
      <w:pPr>
        <w:pStyle w:val="Equation"/>
        <w:tabs>
          <w:tab w:val="left" w:pos="403"/>
        </w:tabs>
      </w:pPr>
      <w:r w:rsidRPr="00A52AB8">
        <w:tab/>
      </w:r>
      <w:r w:rsidR="00E552F9" w:rsidRPr="00A52AB8">
        <w:t>Cs</w:t>
      </w:r>
      <w:r w:rsidR="00575EBF" w:rsidRPr="00A52AB8">
        <w:t>p</w:t>
      </w:r>
      <w:r w:rsidR="00E552F9" w:rsidRPr="00A52AB8">
        <w:t>LeftAxisIndex</w:t>
      </w:r>
      <w:r w:rsidR="00D47707" w:rsidRPr="00A52AB8">
        <w:t> = </w:t>
      </w:r>
      <w:r w:rsidR="00E552F9" w:rsidRPr="00A52AB8">
        <w:t>(Cs</w:t>
      </w:r>
      <w:r w:rsidR="00575EBF" w:rsidRPr="00A52AB8">
        <w:t>p</w:t>
      </w:r>
      <w:r w:rsidR="00E552F9" w:rsidRPr="00A52AB8">
        <w:t>ForwardAxisIndex</w:t>
      </w:r>
      <w:r w:rsidR="00B41032" w:rsidRPr="00A52AB8">
        <w:t> </w:t>
      </w:r>
      <w:r w:rsidR="00E552F9" w:rsidRPr="00A52AB8">
        <w:t>+</w:t>
      </w:r>
      <w:r w:rsidR="006E28A3" w:rsidRPr="00A52AB8">
        <w:t> </w:t>
      </w:r>
      <w:r w:rsidR="00E552F9" w:rsidRPr="00A52AB8">
        <w:t>cs</w:t>
      </w:r>
      <w:r w:rsidR="00575EBF" w:rsidRPr="00A52AB8">
        <w:t>p</w:t>
      </w:r>
      <w:r w:rsidR="00E552F9" w:rsidRPr="00A52AB8">
        <w:t>_delta_left_axis</w:t>
      </w:r>
      <w:r w:rsidR="00001AD7" w:rsidRPr="00A52AB8">
        <w:t>_minus1</w:t>
      </w:r>
      <w:r w:rsidR="006E28A3" w:rsidRPr="00A52AB8">
        <w:t> </w:t>
      </w:r>
      <w:r w:rsidR="00E552F9" w:rsidRPr="00A52AB8">
        <w:t>+</w:t>
      </w:r>
      <w:r w:rsidR="006E28A3" w:rsidRPr="00A52AB8">
        <w:t> </w:t>
      </w:r>
      <w:r w:rsidR="00E552F9" w:rsidRPr="00A52AB8">
        <w:t>1)</w:t>
      </w:r>
      <w:r w:rsidR="006E28A3" w:rsidRPr="00A52AB8">
        <w:t> </w:t>
      </w:r>
      <w:r w:rsidR="00E552F9" w:rsidRPr="00A52AB8">
        <w:t>%</w:t>
      </w:r>
      <w:r w:rsidR="006E28A3" w:rsidRPr="00A52AB8">
        <w:t> </w:t>
      </w:r>
      <w:r w:rsidR="00E552F9" w:rsidRPr="00A52AB8">
        <w:t>3</w:t>
      </w:r>
      <w:r w:rsidR="00665C33" w:rsidRPr="00A52AB8">
        <w:tab/>
        <w:t>(</w:t>
      </w:r>
      <w:r w:rsidR="000B1C77" w:rsidRPr="00A52AB8">
        <w:t>G</w:t>
      </w:r>
      <w:r w:rsidR="00665C33" w:rsidRPr="00A52AB8">
        <w:noBreakHyphen/>
      </w:r>
      <w:r w:rsidR="00665C33" w:rsidRPr="00496A4D">
        <w:fldChar w:fldCharType="begin"/>
      </w:r>
      <w:r w:rsidR="00665C33" w:rsidRPr="00A52AB8">
        <w:instrText xml:space="preserve"> SEQ Equation \* ARABIC </w:instrText>
      </w:r>
      <w:r w:rsidR="00665C33" w:rsidRPr="00496A4D">
        <w:fldChar w:fldCharType="separate"/>
      </w:r>
      <w:r w:rsidR="00507A67">
        <w:rPr>
          <w:noProof/>
        </w:rPr>
        <w:t>6</w:t>
      </w:r>
      <w:r w:rsidR="00665C33" w:rsidRPr="00496A4D">
        <w:fldChar w:fldCharType="end"/>
      </w:r>
      <w:r w:rsidR="00665C33" w:rsidRPr="00A52AB8">
        <w:t>)</w:t>
      </w:r>
    </w:p>
    <w:p w14:paraId="79AB3E38" w14:textId="77777777" w:rsidR="00E552F9" w:rsidRPr="00A52AB8" w:rsidRDefault="00E552F9" w:rsidP="00E552F9">
      <w:pPr>
        <w:tabs>
          <w:tab w:val="left" w:pos="1584"/>
        </w:tabs>
      </w:pPr>
      <w:r w:rsidRPr="00A52AB8">
        <w:t>The variable Cs</w:t>
      </w:r>
      <w:r w:rsidR="00575EBF" w:rsidRPr="00A52AB8">
        <w:t>p</w:t>
      </w:r>
      <w:r w:rsidRPr="00A52AB8">
        <w:t>UpAxisIndex is derived from the Cs</w:t>
      </w:r>
      <w:r w:rsidR="00575EBF" w:rsidRPr="00A52AB8">
        <w:t>p</w:t>
      </w:r>
      <w:r w:rsidRPr="00A52AB8">
        <w:t>ForwardAxisIndex and Cs</w:t>
      </w:r>
      <w:r w:rsidR="00575EBF" w:rsidRPr="00A52AB8">
        <w:t>p</w:t>
      </w:r>
      <w:r w:rsidRPr="00A52AB8">
        <w:t>LeftAxisIndex variables:</w:t>
      </w:r>
    </w:p>
    <w:p w14:paraId="397EDF02" w14:textId="3FDCA65D" w:rsidR="00E552F9" w:rsidRPr="00A52AB8" w:rsidRDefault="00E552F9" w:rsidP="00007BE2">
      <w:pPr>
        <w:pStyle w:val="Equation"/>
        <w:tabs>
          <w:tab w:val="left" w:pos="403"/>
        </w:tabs>
        <w:ind w:left="403"/>
      </w:pPr>
      <w:r w:rsidRPr="00A52AB8">
        <w:t>if(</w:t>
      </w:r>
      <w:r w:rsidR="006E28A3" w:rsidRPr="00A52AB8">
        <w:t> </w:t>
      </w:r>
      <w:r w:rsidRPr="00A52AB8">
        <w:t>Cs</w:t>
      </w:r>
      <w:r w:rsidR="00575EBF" w:rsidRPr="00A52AB8">
        <w:t>p</w:t>
      </w:r>
      <w:r w:rsidRPr="00A52AB8">
        <w:t>ForwardAxisIndex</w:t>
      </w:r>
      <w:r w:rsidR="006E28A3" w:rsidRPr="00A52AB8">
        <w:t> </w:t>
      </w:r>
      <w:r w:rsidR="00E963F3" w:rsidRPr="00A52AB8">
        <w:t>!=</w:t>
      </w:r>
      <w:r w:rsidR="00D47707" w:rsidRPr="00A52AB8">
        <w:t> </w:t>
      </w:r>
      <w:r w:rsidRPr="00A52AB8">
        <w:t>(Cs</w:t>
      </w:r>
      <w:r w:rsidR="00575EBF" w:rsidRPr="00A52AB8">
        <w:t>p</w:t>
      </w:r>
      <w:r w:rsidRPr="00A52AB8">
        <w:t>LeftAxisIndex</w:t>
      </w:r>
      <w:r w:rsidR="006E28A3" w:rsidRPr="00A52AB8">
        <w:t> </w:t>
      </w:r>
      <w:r w:rsidRPr="00A52AB8">
        <w:t>+</w:t>
      </w:r>
      <w:r w:rsidR="006E28A3" w:rsidRPr="00A52AB8">
        <w:t> </w:t>
      </w:r>
      <w:r w:rsidRPr="00A52AB8">
        <w:t>1)</w:t>
      </w:r>
      <w:r w:rsidR="006E28A3" w:rsidRPr="00A52AB8">
        <w:t> </w:t>
      </w:r>
      <w:r w:rsidRPr="00A52AB8">
        <w:t>%</w:t>
      </w:r>
      <w:r w:rsidR="006E28A3" w:rsidRPr="00A52AB8">
        <w:t> </w:t>
      </w:r>
      <w:r w:rsidRPr="00A52AB8">
        <w:t>3)</w:t>
      </w:r>
    </w:p>
    <w:p w14:paraId="533E2285" w14:textId="42AC22C6" w:rsidR="00E552F9" w:rsidRPr="00A52AB8" w:rsidRDefault="00E552F9" w:rsidP="00A252B5">
      <w:pPr>
        <w:pStyle w:val="Equation"/>
        <w:tabs>
          <w:tab w:val="left" w:pos="403"/>
        </w:tabs>
      </w:pPr>
      <w:r w:rsidRPr="00A52AB8">
        <w:tab/>
      </w:r>
      <w:r w:rsidR="00E11126" w:rsidRPr="00A52AB8">
        <w:tab/>
      </w:r>
      <w:r w:rsidRPr="00A52AB8">
        <w:t>Cs</w:t>
      </w:r>
      <w:r w:rsidR="00575EBF" w:rsidRPr="00A52AB8">
        <w:t>p</w:t>
      </w:r>
      <w:r w:rsidRPr="00A52AB8">
        <w:t>UpAxisIndex</w:t>
      </w:r>
      <w:r w:rsidR="00D47707" w:rsidRPr="00A52AB8">
        <w:t> = </w:t>
      </w:r>
      <w:r w:rsidRPr="00A52AB8">
        <w:t>(Cs</w:t>
      </w:r>
      <w:r w:rsidR="00575EBF" w:rsidRPr="00A52AB8">
        <w:t>p</w:t>
      </w:r>
      <w:r w:rsidRPr="00A52AB8">
        <w:t>LeftAxisIndex</w:t>
      </w:r>
      <w:r w:rsidR="006E28A3" w:rsidRPr="00A52AB8">
        <w:t> </w:t>
      </w:r>
      <w:r w:rsidRPr="00A52AB8">
        <w:t>+</w:t>
      </w:r>
      <w:r w:rsidR="006E28A3" w:rsidRPr="00A52AB8">
        <w:t> </w:t>
      </w:r>
      <w:r w:rsidRPr="00A52AB8">
        <w:t>1)</w:t>
      </w:r>
      <w:r w:rsidR="006E28A3" w:rsidRPr="00A52AB8">
        <w:t> </w:t>
      </w:r>
      <w:r w:rsidRPr="00A52AB8">
        <w:t>%</w:t>
      </w:r>
      <w:r w:rsidR="006E28A3" w:rsidRPr="00A52AB8">
        <w:t> </w:t>
      </w:r>
      <w:r w:rsidRPr="00A52AB8">
        <w:t>3</w:t>
      </w:r>
      <w:r w:rsidR="000750E4" w:rsidRPr="00A52AB8">
        <w:tab/>
        <w:t>(</w:t>
      </w:r>
      <w:r w:rsidR="000B1C77" w:rsidRPr="00A52AB8">
        <w:t>G</w:t>
      </w:r>
      <w:r w:rsidR="000750E4" w:rsidRPr="00A52AB8">
        <w:noBreakHyphen/>
      </w:r>
      <w:r w:rsidR="000750E4" w:rsidRPr="00496A4D">
        <w:fldChar w:fldCharType="begin"/>
      </w:r>
      <w:r w:rsidR="000750E4" w:rsidRPr="00A52AB8">
        <w:instrText xml:space="preserve"> SEQ Equation \* ARABIC </w:instrText>
      </w:r>
      <w:r w:rsidR="000750E4" w:rsidRPr="00496A4D">
        <w:fldChar w:fldCharType="separate"/>
      </w:r>
      <w:r w:rsidR="00507A67">
        <w:rPr>
          <w:noProof/>
        </w:rPr>
        <w:t>7</w:t>
      </w:r>
      <w:r w:rsidR="000750E4" w:rsidRPr="00496A4D">
        <w:fldChar w:fldCharType="end"/>
      </w:r>
      <w:r w:rsidR="000750E4" w:rsidRPr="00A52AB8">
        <w:t>)</w:t>
      </w:r>
    </w:p>
    <w:p w14:paraId="11BF3D82" w14:textId="77777777" w:rsidR="00E552F9" w:rsidRPr="00A52AB8" w:rsidRDefault="00E552F9" w:rsidP="00007BE2">
      <w:pPr>
        <w:pStyle w:val="Equation"/>
        <w:tabs>
          <w:tab w:val="left" w:pos="403"/>
        </w:tabs>
        <w:ind w:left="403"/>
      </w:pPr>
      <w:r w:rsidRPr="00A52AB8">
        <w:t>else</w:t>
      </w:r>
    </w:p>
    <w:p w14:paraId="70A75AFF" w14:textId="0558F244" w:rsidR="00E552F9" w:rsidRPr="00A52AB8" w:rsidRDefault="00E552F9" w:rsidP="00A252B5">
      <w:pPr>
        <w:pStyle w:val="Equation"/>
        <w:tabs>
          <w:tab w:val="left" w:pos="403"/>
        </w:tabs>
      </w:pPr>
      <w:r w:rsidRPr="00A52AB8">
        <w:tab/>
      </w:r>
      <w:r w:rsidR="00E11126" w:rsidRPr="00A52AB8">
        <w:tab/>
      </w:r>
      <w:r w:rsidRPr="00A52AB8">
        <w:t>Cs</w:t>
      </w:r>
      <w:r w:rsidR="00575EBF" w:rsidRPr="00A52AB8">
        <w:t>p</w:t>
      </w:r>
      <w:r w:rsidRPr="00A52AB8">
        <w:t>UpAxisIndex</w:t>
      </w:r>
      <w:r w:rsidR="00D47707" w:rsidRPr="00A52AB8">
        <w:t> = </w:t>
      </w:r>
      <w:r w:rsidRPr="00A52AB8">
        <w:t>(Cs</w:t>
      </w:r>
      <w:r w:rsidR="00575EBF" w:rsidRPr="00A52AB8">
        <w:t>p</w:t>
      </w:r>
      <w:r w:rsidRPr="00A52AB8">
        <w:t>LeftAxisIndex</w:t>
      </w:r>
      <w:r w:rsidR="006E28A3" w:rsidRPr="00A52AB8">
        <w:t> </w:t>
      </w:r>
      <w:r w:rsidRPr="00A52AB8">
        <w:t>+</w:t>
      </w:r>
      <w:r w:rsidR="006E28A3" w:rsidRPr="00A52AB8">
        <w:t> </w:t>
      </w:r>
      <w:r w:rsidRPr="00A52AB8">
        <w:t>2)</w:t>
      </w:r>
      <w:r w:rsidR="006E28A3" w:rsidRPr="00A52AB8">
        <w:t> </w:t>
      </w:r>
      <w:r w:rsidRPr="00A52AB8">
        <w:t>%</w:t>
      </w:r>
      <w:r w:rsidR="006E28A3" w:rsidRPr="00A52AB8">
        <w:t> </w:t>
      </w:r>
      <w:r w:rsidRPr="00A52AB8">
        <w:t>3</w:t>
      </w:r>
      <w:r w:rsidR="000750E4" w:rsidRPr="00A52AB8">
        <w:tab/>
        <w:t>(</w:t>
      </w:r>
      <w:r w:rsidR="000B1C77" w:rsidRPr="00A52AB8">
        <w:t>G</w:t>
      </w:r>
      <w:r w:rsidR="000750E4" w:rsidRPr="00A52AB8">
        <w:noBreakHyphen/>
      </w:r>
      <w:r w:rsidR="000750E4" w:rsidRPr="00496A4D">
        <w:fldChar w:fldCharType="begin"/>
      </w:r>
      <w:r w:rsidR="000750E4" w:rsidRPr="00A52AB8">
        <w:instrText xml:space="preserve"> SEQ Equation \* ARABIC </w:instrText>
      </w:r>
      <w:r w:rsidR="000750E4" w:rsidRPr="00496A4D">
        <w:fldChar w:fldCharType="separate"/>
      </w:r>
      <w:r w:rsidR="00507A67">
        <w:rPr>
          <w:noProof/>
        </w:rPr>
        <w:t>8</w:t>
      </w:r>
      <w:r w:rsidR="000750E4" w:rsidRPr="00496A4D">
        <w:fldChar w:fldCharType="end"/>
      </w:r>
      <w:r w:rsidR="000750E4" w:rsidRPr="00A52AB8">
        <w:t>)</w:t>
      </w:r>
    </w:p>
    <w:p w14:paraId="5F5AE05F" w14:textId="0C0A7E71" w:rsidR="00E552F9" w:rsidRPr="00A52AB8" w:rsidRDefault="00E552F9" w:rsidP="00E552F9">
      <w:pPr>
        <w:tabs>
          <w:tab w:val="left" w:pos="1584"/>
        </w:tabs>
      </w:pPr>
      <w:r w:rsidRPr="00A52AB8">
        <w:rPr>
          <w:b/>
          <w:bCs/>
        </w:rPr>
        <w:t>cs</w:t>
      </w:r>
      <w:r w:rsidR="00AF2B92" w:rsidRPr="00A52AB8">
        <w:rPr>
          <w:b/>
          <w:bCs/>
        </w:rPr>
        <w:t>p</w:t>
      </w:r>
      <w:r w:rsidRPr="00A52AB8">
        <w:rPr>
          <w:b/>
          <w:bCs/>
        </w:rPr>
        <w:t>_forward_sign</w:t>
      </w:r>
      <w:r w:rsidRPr="00A52AB8">
        <w:t xml:space="preserve"> specifies the forward direction in relation to the forward axis. cs</w:t>
      </w:r>
      <w:r w:rsidR="00575EBF" w:rsidRPr="00A52AB8">
        <w:t>p</w:t>
      </w:r>
      <w:r w:rsidRPr="00A52AB8">
        <w:t>_forward_sign equal to 1 specifies that</w:t>
      </w:r>
      <w:r w:rsidR="00C61E38" w:rsidRPr="00A52AB8">
        <w:t xml:space="preserve"> </w:t>
      </w:r>
      <w:r w:rsidRPr="00A52AB8">
        <w:t>the forward direction is equal to the forward axis direction. cs</w:t>
      </w:r>
      <w:r w:rsidR="00575EBF" w:rsidRPr="00A52AB8">
        <w:t>p</w:t>
      </w:r>
      <w:r w:rsidRPr="00A52AB8">
        <w:t>_forward_sign equal to 0 specifies that the forward direction is opposite to the forward axis direction.</w:t>
      </w:r>
    </w:p>
    <w:p w14:paraId="3C5E808B" w14:textId="77777777" w:rsidR="00E552F9" w:rsidRPr="00A52AB8" w:rsidRDefault="00E552F9" w:rsidP="00E552F9">
      <w:pPr>
        <w:tabs>
          <w:tab w:val="left" w:pos="1584"/>
        </w:tabs>
      </w:pPr>
      <w:r w:rsidRPr="00A52AB8">
        <w:t>The variable array Cs</w:t>
      </w:r>
      <w:r w:rsidR="00575EBF" w:rsidRPr="00A52AB8">
        <w:t>p</w:t>
      </w:r>
      <w:r w:rsidRPr="00A52AB8">
        <w:t>ForwardVector[</w:t>
      </w:r>
      <w:r w:rsidR="006E28A3" w:rsidRPr="00A52AB8">
        <w:t> </w:t>
      </w:r>
      <w:r w:rsidR="00F90C2C" w:rsidRPr="00A52AB8">
        <w:t>i</w:t>
      </w:r>
      <w:r w:rsidR="006E28A3" w:rsidRPr="00A52AB8">
        <w:t> </w:t>
      </w:r>
      <w:r w:rsidRPr="00A52AB8">
        <w:t>] is the forward direction as a unit vector with i the axis number and is derived as follows:</w:t>
      </w:r>
    </w:p>
    <w:p w14:paraId="10761AC8" w14:textId="253E1022" w:rsidR="00E11126" w:rsidRPr="00A52AB8" w:rsidRDefault="00E552F9" w:rsidP="00007BE2">
      <w:pPr>
        <w:pStyle w:val="Equation"/>
        <w:tabs>
          <w:tab w:val="left" w:pos="403"/>
        </w:tabs>
        <w:ind w:left="403"/>
      </w:pPr>
      <w:r w:rsidRPr="00A52AB8">
        <w:t>for(</w:t>
      </w:r>
      <w:r w:rsidR="00B41032" w:rsidRPr="00A52AB8">
        <w:t> i</w:t>
      </w:r>
      <w:r w:rsidR="00D47707" w:rsidRPr="00A52AB8">
        <w:t> = </w:t>
      </w:r>
      <w:r w:rsidRPr="00A52AB8">
        <w:t>0;</w:t>
      </w:r>
      <w:r w:rsidR="00B41032" w:rsidRPr="00A52AB8">
        <w:t> i </w:t>
      </w:r>
      <w:r w:rsidRPr="00A52AB8">
        <w:t>&lt;</w:t>
      </w:r>
      <w:r w:rsidR="00B41032" w:rsidRPr="00A52AB8">
        <w:t> </w:t>
      </w:r>
      <w:r w:rsidRPr="00A52AB8">
        <w:t>3;</w:t>
      </w:r>
      <w:r w:rsidR="00B41032" w:rsidRPr="00A52AB8">
        <w:t> </w:t>
      </w:r>
      <w:r w:rsidRPr="00A52AB8">
        <w:t>i</w:t>
      </w:r>
      <w:r w:rsidR="00006CCF" w:rsidRPr="00A52AB8">
        <w:t>++ )</w:t>
      </w:r>
    </w:p>
    <w:p w14:paraId="1DEE2CAC" w14:textId="7EED0391" w:rsidR="00E552F9" w:rsidRPr="00A52AB8" w:rsidRDefault="00E552F9" w:rsidP="00A252B5">
      <w:pPr>
        <w:pStyle w:val="Equation"/>
        <w:tabs>
          <w:tab w:val="left" w:pos="403"/>
        </w:tabs>
      </w:pPr>
      <w:r w:rsidRPr="00A52AB8">
        <w:tab/>
      </w:r>
      <w:r w:rsidR="00E11126" w:rsidRPr="00A52AB8">
        <w:tab/>
      </w:r>
      <w:r w:rsidRPr="00A52AB8">
        <w:t>Cs</w:t>
      </w:r>
      <w:r w:rsidR="00B41032" w:rsidRPr="00A52AB8">
        <w:t>p</w:t>
      </w:r>
      <w:r w:rsidRPr="00A52AB8">
        <w:t>ForwardVector[</w:t>
      </w:r>
      <w:r w:rsidR="00F90C2C" w:rsidRPr="00A52AB8">
        <w:t> i </w:t>
      </w:r>
      <w:r w:rsidRPr="00A52AB8">
        <w:t>]</w:t>
      </w:r>
      <w:r w:rsidR="00D47707" w:rsidRPr="00A52AB8">
        <w:t> = </w:t>
      </w:r>
      <w:r w:rsidR="00CF1C5E" w:rsidRPr="00A52AB8">
        <w:t>(</w:t>
      </w:r>
      <w:r w:rsidR="00F90C2C" w:rsidRPr="00A52AB8">
        <w:t>i</w:t>
      </w:r>
      <w:r w:rsidR="008768E9" w:rsidRPr="00A52AB8">
        <w:t> </w:t>
      </w:r>
      <w:r w:rsidR="00726AAE" w:rsidRPr="00A52AB8">
        <w:t>==</w:t>
      </w:r>
      <w:r w:rsidR="00D47707" w:rsidRPr="00A52AB8">
        <w:t> </w:t>
      </w:r>
      <w:r w:rsidRPr="00A52AB8">
        <w:t>Cs</w:t>
      </w:r>
      <w:r w:rsidR="00B41032" w:rsidRPr="00A52AB8">
        <w:t>p</w:t>
      </w:r>
      <w:r w:rsidRPr="00A52AB8">
        <w:t>ForwardAxisIndex</w:t>
      </w:r>
      <w:r w:rsidR="00CF1C5E" w:rsidRPr="00A52AB8">
        <w:t> ) </w:t>
      </w:r>
      <w:r w:rsidRPr="00A52AB8">
        <w:t>?</w:t>
      </w:r>
      <w:r w:rsidR="00F90C2C" w:rsidRPr="00A52AB8">
        <w:t> </w:t>
      </w:r>
      <w:r w:rsidRPr="00A52AB8">
        <w:t>(2</w:t>
      </w:r>
      <w:r w:rsidR="00F90C2C" w:rsidRPr="00A52AB8">
        <w:t> </w:t>
      </w:r>
      <w:r w:rsidRPr="00A52AB8">
        <w:t>*</w:t>
      </w:r>
      <w:r w:rsidR="00F90C2C" w:rsidRPr="00A52AB8">
        <w:t> </w:t>
      </w:r>
      <w:r w:rsidRPr="00A52AB8">
        <w:t>cs</w:t>
      </w:r>
      <w:r w:rsidR="00B41032" w:rsidRPr="00A52AB8">
        <w:t>p</w:t>
      </w:r>
      <w:r w:rsidRPr="00A52AB8">
        <w:t>_forward_sign</w:t>
      </w:r>
      <w:r w:rsidR="00F90C2C" w:rsidRPr="00A52AB8">
        <w:t> – </w:t>
      </w:r>
      <w:r w:rsidRPr="00A52AB8">
        <w:t>1</w:t>
      </w:r>
      <w:r w:rsidR="00F90C2C" w:rsidRPr="00A52AB8">
        <w:t> </w:t>
      </w:r>
      <w:r w:rsidRPr="00A52AB8">
        <w:t>)</w:t>
      </w:r>
      <w:r w:rsidR="00F90C2C" w:rsidRPr="00A52AB8">
        <w:t> </w:t>
      </w:r>
      <w:r w:rsidRPr="00A52AB8">
        <w:t>:</w:t>
      </w:r>
      <w:r w:rsidR="00CF6FAE" w:rsidRPr="00A52AB8">
        <w:t> </w:t>
      </w:r>
      <w:r w:rsidR="005E1C5E" w:rsidRPr="00A52AB8">
        <w:t>0</w:t>
      </w:r>
      <w:r w:rsidR="00BC40C9" w:rsidRPr="00A52AB8">
        <w:tab/>
        <w:t>(</w:t>
      </w:r>
      <w:r w:rsidR="000B1C77" w:rsidRPr="00A52AB8">
        <w:t>G</w:t>
      </w:r>
      <w:r w:rsidR="00BC40C9" w:rsidRPr="00A52AB8">
        <w:noBreakHyphen/>
      </w:r>
      <w:r w:rsidR="00BC40C9" w:rsidRPr="00496A4D">
        <w:fldChar w:fldCharType="begin"/>
      </w:r>
      <w:r w:rsidR="00BC40C9" w:rsidRPr="00A52AB8">
        <w:instrText xml:space="preserve"> SEQ Equation \* ARABIC </w:instrText>
      </w:r>
      <w:r w:rsidR="00BC40C9" w:rsidRPr="00496A4D">
        <w:fldChar w:fldCharType="separate"/>
      </w:r>
      <w:r w:rsidR="00507A67">
        <w:rPr>
          <w:noProof/>
        </w:rPr>
        <w:t>9</w:t>
      </w:r>
      <w:r w:rsidR="00BC40C9" w:rsidRPr="00496A4D">
        <w:fldChar w:fldCharType="end"/>
      </w:r>
      <w:r w:rsidR="00BC40C9" w:rsidRPr="00A52AB8">
        <w:t>)</w:t>
      </w:r>
    </w:p>
    <w:p w14:paraId="553476EF" w14:textId="478E795A" w:rsidR="00E552F9" w:rsidRPr="00A52AB8" w:rsidRDefault="00E552F9" w:rsidP="00E552F9">
      <w:pPr>
        <w:tabs>
          <w:tab w:val="left" w:pos="1584"/>
        </w:tabs>
      </w:pPr>
      <w:r w:rsidRPr="00A52AB8">
        <w:rPr>
          <w:b/>
          <w:bCs/>
        </w:rPr>
        <w:t>cs</w:t>
      </w:r>
      <w:r w:rsidR="00AF2B92" w:rsidRPr="00A52AB8">
        <w:rPr>
          <w:b/>
          <w:bCs/>
        </w:rPr>
        <w:t>p</w:t>
      </w:r>
      <w:r w:rsidRPr="00A52AB8">
        <w:rPr>
          <w:b/>
          <w:bCs/>
        </w:rPr>
        <w:t>_left_sign</w:t>
      </w:r>
      <w:r w:rsidRPr="00A52AB8">
        <w:t xml:space="preserve"> specifies the left direction in relation to the left axis. cs</w:t>
      </w:r>
      <w:r w:rsidR="00B41032" w:rsidRPr="00A52AB8">
        <w:t>p</w:t>
      </w:r>
      <w:r w:rsidRPr="00A52AB8">
        <w:t>_left_sign equal to 1 specifies that the left direction is equal to the left axis direction.</w:t>
      </w:r>
      <w:r w:rsidR="00C61E38" w:rsidRPr="00A52AB8">
        <w:t xml:space="preserve"> </w:t>
      </w:r>
      <w:r w:rsidRPr="00A52AB8">
        <w:t>cs</w:t>
      </w:r>
      <w:r w:rsidR="00B41032" w:rsidRPr="00A52AB8">
        <w:t>p</w:t>
      </w:r>
      <w:r w:rsidRPr="00A52AB8">
        <w:t>_left_sign equal to</w:t>
      </w:r>
      <w:r w:rsidR="00C61E38" w:rsidRPr="00A52AB8">
        <w:t xml:space="preserve"> </w:t>
      </w:r>
      <w:r w:rsidRPr="00A52AB8">
        <w:t>0 specifies that the left direction is opposite to the left axis direction.</w:t>
      </w:r>
    </w:p>
    <w:p w14:paraId="58C38E5B" w14:textId="77777777" w:rsidR="00E552F9" w:rsidRPr="00A52AB8" w:rsidRDefault="00E552F9" w:rsidP="00E552F9">
      <w:pPr>
        <w:tabs>
          <w:tab w:val="left" w:pos="1584"/>
        </w:tabs>
      </w:pPr>
      <w:r w:rsidRPr="00A52AB8">
        <w:t>The variable array Cs</w:t>
      </w:r>
      <w:r w:rsidR="00B41032" w:rsidRPr="00A52AB8">
        <w:t>p</w:t>
      </w:r>
      <w:r w:rsidRPr="00A52AB8">
        <w:t>LeftVector[</w:t>
      </w:r>
      <w:r w:rsidR="00C217C4" w:rsidRPr="00A52AB8">
        <w:t> i </w:t>
      </w:r>
      <w:r w:rsidRPr="00A52AB8">
        <w:t>] is the left direction as a unit vector with i the axis number and is derived as follows:</w:t>
      </w:r>
    </w:p>
    <w:p w14:paraId="61392999" w14:textId="494CFCF4" w:rsidR="00CF6FAE" w:rsidRPr="00A52AB8" w:rsidRDefault="00E552F9" w:rsidP="00007BE2">
      <w:pPr>
        <w:pStyle w:val="Equation"/>
        <w:tabs>
          <w:tab w:val="left" w:pos="403"/>
        </w:tabs>
        <w:ind w:left="403"/>
      </w:pPr>
      <w:r w:rsidRPr="00A52AB8">
        <w:t>for(</w:t>
      </w:r>
      <w:r w:rsidR="00CF6FAE" w:rsidRPr="00A52AB8">
        <w:t> i</w:t>
      </w:r>
      <w:r w:rsidR="00D47707" w:rsidRPr="00A52AB8">
        <w:t> = </w:t>
      </w:r>
      <w:r w:rsidRPr="00A52AB8">
        <w:t>0;</w:t>
      </w:r>
      <w:r w:rsidR="00CF6FAE" w:rsidRPr="00A52AB8">
        <w:t> i </w:t>
      </w:r>
      <w:r w:rsidRPr="00A52AB8">
        <w:t>&lt;</w:t>
      </w:r>
      <w:r w:rsidR="00CF6FAE" w:rsidRPr="00A52AB8">
        <w:t> </w:t>
      </w:r>
      <w:r w:rsidRPr="00A52AB8">
        <w:t>3;</w:t>
      </w:r>
      <w:r w:rsidR="00CF6FAE" w:rsidRPr="00A52AB8">
        <w:t> </w:t>
      </w:r>
      <w:r w:rsidRPr="00A52AB8">
        <w:t>i</w:t>
      </w:r>
      <w:r w:rsidR="00006CCF" w:rsidRPr="00A52AB8">
        <w:t>++ )</w:t>
      </w:r>
    </w:p>
    <w:p w14:paraId="68FDCC0A" w14:textId="0D0BCB05" w:rsidR="00E552F9" w:rsidRPr="00A52AB8" w:rsidRDefault="00E552F9" w:rsidP="00A252B5">
      <w:pPr>
        <w:pStyle w:val="Equation"/>
        <w:tabs>
          <w:tab w:val="left" w:pos="403"/>
        </w:tabs>
      </w:pPr>
      <w:r w:rsidRPr="00A52AB8">
        <w:tab/>
      </w:r>
      <w:r w:rsidR="002A1CFE" w:rsidRPr="00A52AB8">
        <w:tab/>
      </w:r>
      <w:r w:rsidRPr="00A52AB8">
        <w:t>Cs</w:t>
      </w:r>
      <w:r w:rsidR="00B41032" w:rsidRPr="00A52AB8">
        <w:t>p</w:t>
      </w:r>
      <w:r w:rsidRPr="00A52AB8">
        <w:t>LeftVector[</w:t>
      </w:r>
      <w:r w:rsidR="00CF6FAE" w:rsidRPr="00A52AB8">
        <w:t> i </w:t>
      </w:r>
      <w:r w:rsidRPr="00A52AB8">
        <w:t>]</w:t>
      </w:r>
      <w:r w:rsidR="00D47707" w:rsidRPr="00A52AB8">
        <w:t> = </w:t>
      </w:r>
      <w:r w:rsidR="00CF1C5E" w:rsidRPr="00A52AB8">
        <w:t>( </w:t>
      </w:r>
      <w:r w:rsidR="00CF6FAE" w:rsidRPr="00A52AB8">
        <w:t>i</w:t>
      </w:r>
      <w:r w:rsidR="008768E9" w:rsidRPr="00A52AB8">
        <w:t> </w:t>
      </w:r>
      <w:r w:rsidR="00726AAE" w:rsidRPr="00A52AB8">
        <w:t>==</w:t>
      </w:r>
      <w:r w:rsidR="00D47707" w:rsidRPr="00A52AB8">
        <w:t> </w:t>
      </w:r>
      <w:r w:rsidRPr="00A52AB8">
        <w:t>Cs</w:t>
      </w:r>
      <w:r w:rsidR="00B41032" w:rsidRPr="00A52AB8">
        <w:t>p</w:t>
      </w:r>
      <w:r w:rsidRPr="00A52AB8">
        <w:t>LeftAxisIndex</w:t>
      </w:r>
      <w:r w:rsidR="00CF1C5E" w:rsidRPr="00A52AB8">
        <w:t> ) </w:t>
      </w:r>
      <w:r w:rsidRPr="00A52AB8">
        <w:t>?</w:t>
      </w:r>
      <w:r w:rsidR="00CF6FAE" w:rsidRPr="00A52AB8">
        <w:t> </w:t>
      </w:r>
      <w:r w:rsidRPr="00A52AB8">
        <w:t>(2</w:t>
      </w:r>
      <w:r w:rsidR="00CF6FAE" w:rsidRPr="00A52AB8">
        <w:t> </w:t>
      </w:r>
      <w:r w:rsidRPr="00A52AB8">
        <w:t>*</w:t>
      </w:r>
      <w:r w:rsidR="00CF6FAE" w:rsidRPr="00A52AB8">
        <w:t> </w:t>
      </w:r>
      <w:r w:rsidRPr="00A52AB8">
        <w:t>cs</w:t>
      </w:r>
      <w:r w:rsidR="00B41032" w:rsidRPr="00A52AB8">
        <w:t>p</w:t>
      </w:r>
      <w:r w:rsidRPr="00A52AB8">
        <w:t>_left_sign</w:t>
      </w:r>
      <w:r w:rsidR="00CF6FAE" w:rsidRPr="00A52AB8">
        <w:t> – </w:t>
      </w:r>
      <w:r w:rsidRPr="00A52AB8">
        <w:t>1</w:t>
      </w:r>
      <w:r w:rsidR="00CF6FAE" w:rsidRPr="00A52AB8">
        <w:t> </w:t>
      </w:r>
      <w:r w:rsidRPr="00A52AB8">
        <w:t>)</w:t>
      </w:r>
      <w:r w:rsidR="00CF6FAE" w:rsidRPr="00A52AB8">
        <w:t> </w:t>
      </w:r>
      <w:r w:rsidRPr="00A52AB8">
        <w:t>:</w:t>
      </w:r>
      <w:r w:rsidR="00CF6FAE" w:rsidRPr="00A52AB8">
        <w:t> </w:t>
      </w:r>
      <w:r w:rsidRPr="00A52AB8">
        <w:t>0</w:t>
      </w:r>
      <w:r w:rsidR="00BC40C9" w:rsidRPr="00A52AB8">
        <w:tab/>
        <w:t>(</w:t>
      </w:r>
      <w:r w:rsidR="000B1C77" w:rsidRPr="00A52AB8">
        <w:t>G</w:t>
      </w:r>
      <w:r w:rsidR="00BC40C9" w:rsidRPr="00A52AB8">
        <w:noBreakHyphen/>
      </w:r>
      <w:r w:rsidR="00BC40C9" w:rsidRPr="00496A4D">
        <w:fldChar w:fldCharType="begin"/>
      </w:r>
      <w:r w:rsidR="00BC40C9" w:rsidRPr="00A52AB8">
        <w:instrText xml:space="preserve"> SEQ Equation \* ARABIC </w:instrText>
      </w:r>
      <w:r w:rsidR="00BC40C9" w:rsidRPr="00496A4D">
        <w:fldChar w:fldCharType="separate"/>
      </w:r>
      <w:r w:rsidR="00507A67">
        <w:rPr>
          <w:noProof/>
        </w:rPr>
        <w:t>10</w:t>
      </w:r>
      <w:r w:rsidR="00BC40C9" w:rsidRPr="00496A4D">
        <w:fldChar w:fldCharType="end"/>
      </w:r>
      <w:r w:rsidR="00BC40C9" w:rsidRPr="00A52AB8">
        <w:t>)</w:t>
      </w:r>
    </w:p>
    <w:p w14:paraId="6B898654" w14:textId="77777777" w:rsidR="00E552F9" w:rsidRPr="00A52AB8" w:rsidRDefault="00E552F9" w:rsidP="00E552F9">
      <w:pPr>
        <w:tabs>
          <w:tab w:val="left" w:pos="1584"/>
        </w:tabs>
      </w:pPr>
      <w:r w:rsidRPr="00A52AB8">
        <w:rPr>
          <w:b/>
          <w:bCs/>
        </w:rPr>
        <w:t>cs</w:t>
      </w:r>
      <w:r w:rsidR="00AF2B92" w:rsidRPr="00A52AB8">
        <w:rPr>
          <w:b/>
          <w:bCs/>
        </w:rPr>
        <w:t>p</w:t>
      </w:r>
      <w:r w:rsidRPr="00A52AB8">
        <w:rPr>
          <w:b/>
          <w:bCs/>
        </w:rPr>
        <w:t>_up_sign</w:t>
      </w:r>
      <w:r w:rsidRPr="00A52AB8">
        <w:t xml:space="preserve"> specifies the up direction in relation to the up axis. cs</w:t>
      </w:r>
      <w:r w:rsidR="00B41032" w:rsidRPr="00A52AB8">
        <w:t>p</w:t>
      </w:r>
      <w:r w:rsidRPr="00A52AB8">
        <w:t>_up_sign equal to 1 specifies that the up direction is equal to the up axis direction. cs</w:t>
      </w:r>
      <w:r w:rsidR="00B41032" w:rsidRPr="00A52AB8">
        <w:t>p</w:t>
      </w:r>
      <w:r w:rsidRPr="00A52AB8">
        <w:t>_up_sign equal to 0 specifies that the up direction is opposite to the up axis direction.</w:t>
      </w:r>
    </w:p>
    <w:p w14:paraId="15F33789" w14:textId="77777777" w:rsidR="00E552F9" w:rsidRPr="00A52AB8" w:rsidRDefault="00E552F9" w:rsidP="00E552F9">
      <w:pPr>
        <w:tabs>
          <w:tab w:val="left" w:pos="1584"/>
        </w:tabs>
      </w:pPr>
      <w:r w:rsidRPr="00A52AB8">
        <w:t>The variable array Cs</w:t>
      </w:r>
      <w:r w:rsidR="00B41032" w:rsidRPr="00A52AB8">
        <w:t>p</w:t>
      </w:r>
      <w:r w:rsidRPr="00A52AB8">
        <w:t>UpVector[</w:t>
      </w:r>
      <w:r w:rsidR="00C217C4" w:rsidRPr="00A52AB8">
        <w:t> i </w:t>
      </w:r>
      <w:r w:rsidRPr="00A52AB8">
        <w:t>] is the up direction as a unit vector with i the axis number and is derived as follows:</w:t>
      </w:r>
    </w:p>
    <w:p w14:paraId="2EA62F5A" w14:textId="424A7D94" w:rsidR="00E552F9" w:rsidRPr="00A52AB8" w:rsidRDefault="00E552F9" w:rsidP="00007BE2">
      <w:pPr>
        <w:pStyle w:val="Equation"/>
        <w:tabs>
          <w:tab w:val="left" w:pos="403"/>
        </w:tabs>
        <w:ind w:left="403"/>
      </w:pPr>
      <w:r w:rsidRPr="00A52AB8">
        <w:t>for(</w:t>
      </w:r>
      <w:r w:rsidR="00CF6FAE" w:rsidRPr="00A52AB8">
        <w:t> i</w:t>
      </w:r>
      <w:r w:rsidR="00D47707" w:rsidRPr="00A52AB8">
        <w:t> = </w:t>
      </w:r>
      <w:r w:rsidRPr="00A52AB8">
        <w:t>0;</w:t>
      </w:r>
      <w:r w:rsidR="00CF6FAE" w:rsidRPr="00A52AB8">
        <w:t> i </w:t>
      </w:r>
      <w:r w:rsidRPr="00A52AB8">
        <w:t>&lt;</w:t>
      </w:r>
      <w:r w:rsidR="00CF6FAE" w:rsidRPr="00A52AB8">
        <w:t> </w:t>
      </w:r>
      <w:r w:rsidRPr="00A52AB8">
        <w:t>3;</w:t>
      </w:r>
      <w:r w:rsidR="00CF6FAE" w:rsidRPr="00A52AB8">
        <w:t> </w:t>
      </w:r>
      <w:r w:rsidRPr="00A52AB8">
        <w:t>i</w:t>
      </w:r>
      <w:r w:rsidR="00006CCF" w:rsidRPr="00A52AB8">
        <w:t>++ )</w:t>
      </w:r>
    </w:p>
    <w:p w14:paraId="38736C75" w14:textId="5BC25184" w:rsidR="00FD3B5D" w:rsidRPr="00A52AB8" w:rsidRDefault="00E552F9" w:rsidP="00A252B5">
      <w:pPr>
        <w:pStyle w:val="Equation"/>
        <w:tabs>
          <w:tab w:val="left" w:pos="403"/>
        </w:tabs>
      </w:pPr>
      <w:r w:rsidRPr="00A52AB8">
        <w:tab/>
      </w:r>
      <w:r w:rsidR="002A1CFE" w:rsidRPr="00A52AB8">
        <w:tab/>
      </w:r>
      <w:r w:rsidRPr="00A52AB8">
        <w:t>Cs</w:t>
      </w:r>
      <w:r w:rsidR="00B41032" w:rsidRPr="00A52AB8">
        <w:t>p</w:t>
      </w:r>
      <w:r w:rsidRPr="00A52AB8">
        <w:t>UpVector[</w:t>
      </w:r>
      <w:r w:rsidR="00CF6FAE" w:rsidRPr="00A52AB8">
        <w:t> </w:t>
      </w:r>
      <w:r w:rsidRPr="00A52AB8">
        <w:t>i</w:t>
      </w:r>
      <w:r w:rsidR="00CF6FAE" w:rsidRPr="00A52AB8">
        <w:t> </w:t>
      </w:r>
      <w:r w:rsidRPr="00A52AB8">
        <w:t>]</w:t>
      </w:r>
      <w:r w:rsidR="00D47707" w:rsidRPr="00A52AB8">
        <w:t> = </w:t>
      </w:r>
      <w:r w:rsidR="00CF1C5E" w:rsidRPr="00A52AB8">
        <w:t>( </w:t>
      </w:r>
      <w:r w:rsidR="00CF6FAE" w:rsidRPr="00A52AB8">
        <w:t>i</w:t>
      </w:r>
      <w:r w:rsidR="008768E9" w:rsidRPr="00A52AB8">
        <w:t> </w:t>
      </w:r>
      <w:r w:rsidR="00726AAE" w:rsidRPr="00A52AB8">
        <w:t>==</w:t>
      </w:r>
      <w:r w:rsidR="00D47707" w:rsidRPr="00A52AB8">
        <w:t> </w:t>
      </w:r>
      <w:r w:rsidRPr="00A52AB8">
        <w:t>Cs</w:t>
      </w:r>
      <w:r w:rsidR="00B41032" w:rsidRPr="00A52AB8">
        <w:t>p</w:t>
      </w:r>
      <w:r w:rsidRPr="00A52AB8">
        <w:t>UpAxisIndex</w:t>
      </w:r>
      <w:r w:rsidR="00CF1C5E" w:rsidRPr="00A52AB8">
        <w:t> ) </w:t>
      </w:r>
      <w:r w:rsidRPr="00A52AB8">
        <w:t>?</w:t>
      </w:r>
      <w:r w:rsidR="00CF6FAE" w:rsidRPr="00A52AB8">
        <w:t> </w:t>
      </w:r>
      <w:r w:rsidRPr="00A52AB8">
        <w:t>(</w:t>
      </w:r>
      <w:r w:rsidR="00CF6FAE" w:rsidRPr="00A52AB8">
        <w:t> </w:t>
      </w:r>
      <w:r w:rsidRPr="00A52AB8">
        <w:t>2</w:t>
      </w:r>
      <w:r w:rsidR="00CF6FAE" w:rsidRPr="00A52AB8">
        <w:t> </w:t>
      </w:r>
      <w:r w:rsidRPr="00A52AB8">
        <w:t>*</w:t>
      </w:r>
      <w:r w:rsidR="00CF6FAE" w:rsidRPr="00A52AB8">
        <w:t> </w:t>
      </w:r>
      <w:r w:rsidRPr="00A52AB8">
        <w:t>cs</w:t>
      </w:r>
      <w:r w:rsidR="00B41032" w:rsidRPr="00A52AB8">
        <w:t>p</w:t>
      </w:r>
      <w:r w:rsidRPr="00A52AB8">
        <w:t>_up_sign</w:t>
      </w:r>
      <w:r w:rsidR="00CF6FAE" w:rsidRPr="00A52AB8">
        <w:t> – </w:t>
      </w:r>
      <w:r w:rsidRPr="00A52AB8">
        <w:t>1</w:t>
      </w:r>
      <w:r w:rsidR="00CF6FAE" w:rsidRPr="00A52AB8">
        <w:t> </w:t>
      </w:r>
      <w:r w:rsidRPr="00A52AB8">
        <w:t>)</w:t>
      </w:r>
      <w:r w:rsidR="00CF6FAE" w:rsidRPr="00A52AB8">
        <w:t> </w:t>
      </w:r>
      <w:r w:rsidRPr="00A52AB8">
        <w:t>:</w:t>
      </w:r>
      <w:r w:rsidR="00CF6FAE" w:rsidRPr="00A52AB8">
        <w:t> </w:t>
      </w:r>
      <w:r w:rsidRPr="00A52AB8">
        <w:t>0</w:t>
      </w:r>
      <w:r w:rsidR="00BC40C9" w:rsidRPr="00A52AB8">
        <w:tab/>
        <w:t>(</w:t>
      </w:r>
      <w:r w:rsidR="000B1C77" w:rsidRPr="00A52AB8">
        <w:t>G</w:t>
      </w:r>
      <w:r w:rsidR="00BC40C9" w:rsidRPr="00A52AB8">
        <w:noBreakHyphen/>
      </w:r>
      <w:r w:rsidR="00BC40C9" w:rsidRPr="00496A4D">
        <w:fldChar w:fldCharType="begin"/>
      </w:r>
      <w:r w:rsidR="00BC40C9" w:rsidRPr="00A52AB8">
        <w:instrText xml:space="preserve"> SEQ Equation \* ARABIC </w:instrText>
      </w:r>
      <w:r w:rsidR="00BC40C9" w:rsidRPr="00496A4D">
        <w:fldChar w:fldCharType="separate"/>
      </w:r>
      <w:r w:rsidR="00507A67">
        <w:rPr>
          <w:noProof/>
        </w:rPr>
        <w:t>11</w:t>
      </w:r>
      <w:r w:rsidR="00BC40C9" w:rsidRPr="00496A4D">
        <w:fldChar w:fldCharType="end"/>
      </w:r>
      <w:r w:rsidR="00BC40C9" w:rsidRPr="00A52AB8">
        <w:t>)</w:t>
      </w:r>
    </w:p>
    <w:p w14:paraId="0BBF5E60" w14:textId="08376B73" w:rsidR="00534892" w:rsidRPr="00A52AB8" w:rsidRDefault="00534892" w:rsidP="00D451D4">
      <w:pPr>
        <w:pStyle w:val="Note1"/>
        <w:rPr>
          <w:rFonts w:ascii="Cambria" w:hAnsi="Cambria"/>
        </w:rPr>
      </w:pPr>
      <w:r w:rsidRPr="00A52AB8">
        <w:rPr>
          <w:rFonts w:ascii="Cambria" w:hAnsi="Cambria"/>
        </w:rPr>
        <w:t>NOTE – The three vectors CspForwardVector, CspLeftVector and CspUpVector can be combined into a coordinate transformation matrix for rendering purposes. The layout of the coordinate transformation matrix is out of scope of this document.</w:t>
      </w:r>
    </w:p>
    <w:p w14:paraId="3F149966" w14:textId="77777777" w:rsidR="00846AF8" w:rsidRPr="00A52AB8" w:rsidRDefault="00846AF8" w:rsidP="00846AF8">
      <w:pPr>
        <w:pStyle w:val="ANNEX"/>
        <w:numPr>
          <w:ilvl w:val="0"/>
          <w:numId w:val="19"/>
        </w:numPr>
        <w:rPr>
          <w:color w:val="000000" w:themeColor="text1"/>
        </w:rPr>
      </w:pPr>
      <w:r w:rsidRPr="00A52AB8">
        <w:rPr>
          <w:color w:val="000000" w:themeColor="text1"/>
        </w:rPr>
        <w:br/>
      </w:r>
      <w:bookmarkStart w:id="6097" w:name="_Ref44323689"/>
      <w:bookmarkStart w:id="6098" w:name="_Ref44433898"/>
      <w:bookmarkStart w:id="6099" w:name="_Toc52181766"/>
      <w:r w:rsidR="0043040A" w:rsidRPr="00A52AB8">
        <w:rPr>
          <w:color w:val="000000" w:themeColor="text1"/>
        </w:rPr>
        <w:t>(normative)</w:t>
      </w:r>
      <w:r w:rsidRPr="00A52AB8">
        <w:rPr>
          <w:color w:val="000000" w:themeColor="text1"/>
        </w:rPr>
        <w:br/>
      </w:r>
      <w:r w:rsidR="005A6643" w:rsidRPr="00A52AB8">
        <w:rPr>
          <w:color w:val="000000" w:themeColor="text1"/>
        </w:rPr>
        <w:t>Video-based Point Cloud Coding</w:t>
      </w:r>
      <w:bookmarkEnd w:id="6097"/>
      <w:bookmarkEnd w:id="6098"/>
      <w:bookmarkEnd w:id="6099"/>
    </w:p>
    <w:p w14:paraId="144DB02E" w14:textId="77777777" w:rsidR="00846AF8" w:rsidRPr="00A52AB8" w:rsidRDefault="006812BA" w:rsidP="00846AF8">
      <w:pPr>
        <w:pStyle w:val="a2"/>
        <w:numPr>
          <w:ilvl w:val="1"/>
          <w:numId w:val="14"/>
        </w:numPr>
        <w:tabs>
          <w:tab w:val="num" w:pos="4613"/>
        </w:tabs>
        <w:rPr>
          <w:color w:val="000000" w:themeColor="text1"/>
        </w:rPr>
      </w:pPr>
      <w:bookmarkStart w:id="6100" w:name="_Toc52181767"/>
      <w:r w:rsidRPr="00A52AB8">
        <w:rPr>
          <w:color w:val="000000" w:themeColor="text1"/>
        </w:rPr>
        <w:t>Scope</w:t>
      </w:r>
      <w:bookmarkEnd w:id="6100"/>
    </w:p>
    <w:p w14:paraId="036C8B30" w14:textId="196F0DBB" w:rsidR="00DF1B7B" w:rsidRPr="00A52AB8" w:rsidRDefault="005700C3" w:rsidP="00EE3D19">
      <w:pPr>
        <w:rPr>
          <w:rFonts w:eastAsia="Malgun Gothic"/>
          <w:szCs w:val="24"/>
        </w:rPr>
      </w:pPr>
      <w:r w:rsidRPr="00A52AB8">
        <w:t xml:space="preserve">This annex specifies the syntax, semantics, decoding, </w:t>
      </w:r>
      <w:r w:rsidR="008E01A9" w:rsidRPr="00A52AB8">
        <w:t xml:space="preserve">post-decoding, </w:t>
      </w:r>
      <w:r w:rsidRPr="00A52AB8">
        <w:t xml:space="preserve">pre-reconstruction, reconstruction, post-reconstructions, and adaptation </w:t>
      </w:r>
      <w:r w:rsidR="00DF1B7B" w:rsidRPr="00A52AB8">
        <w:t xml:space="preserve">processes for </w:t>
      </w:r>
      <w:r w:rsidRPr="00A52AB8">
        <w:t>v</w:t>
      </w:r>
      <w:r w:rsidR="00DF1B7B" w:rsidRPr="00A52AB8">
        <w:t>ideo-</w:t>
      </w:r>
      <w:r w:rsidRPr="00A52AB8">
        <w:t>b</w:t>
      </w:r>
      <w:r w:rsidR="00DF1B7B" w:rsidRPr="00A52AB8">
        <w:t>ase</w:t>
      </w:r>
      <w:r w:rsidR="00BD0EEF" w:rsidRPr="00A52AB8">
        <w:t>d</w:t>
      </w:r>
      <w:r w:rsidR="00DF1B7B" w:rsidRPr="00A52AB8">
        <w:t xml:space="preserve"> </w:t>
      </w:r>
      <w:r w:rsidRPr="00A52AB8">
        <w:t>p</w:t>
      </w:r>
      <w:r w:rsidR="00DF1B7B" w:rsidRPr="00A52AB8">
        <w:t xml:space="preserve">oint </w:t>
      </w:r>
      <w:r w:rsidRPr="00A52AB8">
        <w:t>c</w:t>
      </w:r>
      <w:r w:rsidR="00DF1B7B" w:rsidRPr="00A52AB8">
        <w:t xml:space="preserve">loud </w:t>
      </w:r>
      <w:r w:rsidRPr="00A52AB8">
        <w:t>c</w:t>
      </w:r>
      <w:r w:rsidR="00DF1B7B" w:rsidRPr="00A52AB8">
        <w:t>ompression</w:t>
      </w:r>
      <w:r w:rsidRPr="00A52AB8">
        <w:t xml:space="preserve"> that use the syntax, semantics, decoding, </w:t>
      </w:r>
      <w:r w:rsidR="008E01A9" w:rsidRPr="00A52AB8">
        <w:t xml:space="preserve">post-decoding, </w:t>
      </w:r>
      <w:r w:rsidRPr="00A52AB8">
        <w:t>pre-reconstruction, reconstruction, post-reconstructions, and adaptation processes specified in clauses</w:t>
      </w:r>
      <w:r w:rsidR="00DF1B7B" w:rsidRPr="00A52AB8">
        <w:t xml:space="preserve"> </w:t>
      </w:r>
      <w:r w:rsidR="0008519A" w:rsidRPr="00496A4D">
        <w:fldChar w:fldCharType="begin"/>
      </w:r>
      <w:r w:rsidR="0008519A" w:rsidRPr="00A52AB8">
        <w:instrText xml:space="preserve"> REF _Ref18670923 \n \h </w:instrText>
      </w:r>
      <w:r w:rsidR="00CA5401" w:rsidRPr="00A52AB8">
        <w:instrText xml:space="preserve"> \* MERGEFORMAT </w:instrText>
      </w:r>
      <w:r w:rsidR="0008519A" w:rsidRPr="00496A4D">
        <w:fldChar w:fldCharType="separate"/>
      </w:r>
      <w:r w:rsidR="00507A67">
        <w:t>2</w:t>
      </w:r>
      <w:r w:rsidR="0008519A" w:rsidRPr="00496A4D">
        <w:fldChar w:fldCharType="end"/>
      </w:r>
      <w:r w:rsidR="00BD0EEF" w:rsidRPr="00A52AB8">
        <w:t xml:space="preserve"> through </w:t>
      </w:r>
      <w:r w:rsidR="001B0C8A" w:rsidRPr="00496A4D">
        <w:fldChar w:fldCharType="begin"/>
      </w:r>
      <w:r w:rsidR="001B0C8A" w:rsidRPr="00A52AB8">
        <w:instrText xml:space="preserve"> REF _Ref38318384 \r \h </w:instrText>
      </w:r>
      <w:r w:rsidR="00CA5401" w:rsidRPr="00A52AB8">
        <w:instrText xml:space="preserve"> \* MERGEFORMAT </w:instrText>
      </w:r>
      <w:r w:rsidR="001B0C8A" w:rsidRPr="00496A4D">
        <w:fldChar w:fldCharType="separate"/>
      </w:r>
      <w:r w:rsidR="00507A67">
        <w:t>14</w:t>
      </w:r>
      <w:r w:rsidR="001B0C8A" w:rsidRPr="00496A4D">
        <w:fldChar w:fldCharType="end"/>
      </w:r>
      <w:r w:rsidR="00BD0EEF" w:rsidRPr="00A52AB8">
        <w:t>, inclusive</w:t>
      </w:r>
      <w:r w:rsidR="00DF1B7B" w:rsidRPr="00A52AB8">
        <w:t xml:space="preserve"> and </w:t>
      </w:r>
      <w:r w:rsidR="0008519A" w:rsidRPr="00496A4D">
        <w:fldChar w:fldCharType="begin"/>
      </w:r>
      <w:r w:rsidR="0008519A" w:rsidRPr="00A52AB8">
        <w:instrText xml:space="preserve"> REF _Ref21508199 \n \h </w:instrText>
      </w:r>
      <w:r w:rsidR="00CA5401" w:rsidRPr="00A52AB8">
        <w:instrText xml:space="preserve"> \* MERGEFORMAT </w:instrText>
      </w:r>
      <w:r w:rsidR="0008519A" w:rsidRPr="00496A4D">
        <w:fldChar w:fldCharType="separate"/>
      </w:r>
      <w:r w:rsidR="00507A67">
        <w:t>Annex A</w:t>
      </w:r>
      <w:r w:rsidR="0008519A" w:rsidRPr="00496A4D">
        <w:fldChar w:fldCharType="end"/>
      </w:r>
      <w:r w:rsidR="00BD0EEF" w:rsidRPr="00A52AB8">
        <w:t xml:space="preserve"> through </w:t>
      </w:r>
      <w:r w:rsidR="001344F0" w:rsidRPr="00496A4D">
        <w:fldChar w:fldCharType="begin"/>
      </w:r>
      <w:r w:rsidR="001344F0" w:rsidRPr="00A52AB8">
        <w:instrText xml:space="preserve"> REF _Ref7723976 \n \h </w:instrText>
      </w:r>
      <w:r w:rsidR="00CA5401" w:rsidRPr="00A52AB8">
        <w:instrText xml:space="preserve"> \* MERGEFORMAT </w:instrText>
      </w:r>
      <w:r w:rsidR="001344F0" w:rsidRPr="00496A4D">
        <w:fldChar w:fldCharType="separate"/>
      </w:r>
      <w:r w:rsidR="00507A67">
        <w:t>Annex F</w:t>
      </w:r>
      <w:r w:rsidR="001344F0" w:rsidRPr="00496A4D">
        <w:fldChar w:fldCharType="end"/>
      </w:r>
      <w:r w:rsidR="00BD0EEF" w:rsidRPr="00A52AB8">
        <w:t>, inclusive</w:t>
      </w:r>
      <w:r w:rsidR="00DF1B7B" w:rsidRPr="00A52AB8">
        <w:t>.</w:t>
      </w:r>
      <w:r w:rsidRPr="00A52AB8">
        <w:t xml:space="preserve"> This annex also specifies profiles, tiers, and levels for video-based point cloud compression.</w:t>
      </w:r>
    </w:p>
    <w:p w14:paraId="762465EF" w14:textId="77777777" w:rsidR="00DF1B7B" w:rsidRPr="00A52AB8" w:rsidRDefault="00DF1B7B" w:rsidP="00DF1B7B">
      <w:pPr>
        <w:pStyle w:val="a2"/>
        <w:numPr>
          <w:ilvl w:val="1"/>
          <w:numId w:val="14"/>
        </w:numPr>
      </w:pPr>
      <w:bookmarkStart w:id="6101" w:name="_Toc37760790"/>
      <w:bookmarkStart w:id="6102" w:name="_Toc52181768"/>
      <w:r w:rsidRPr="00A52AB8">
        <w:t>Normative References</w:t>
      </w:r>
      <w:bookmarkEnd w:id="6101"/>
      <w:bookmarkEnd w:id="6102"/>
    </w:p>
    <w:p w14:paraId="6D67762F" w14:textId="2BE8BAAA" w:rsidR="00DF1B7B" w:rsidRPr="00A52AB8" w:rsidRDefault="00DF1B7B" w:rsidP="00DF1B7B">
      <w:pPr>
        <w:rPr>
          <w:lang w:eastAsia="ja-JP"/>
        </w:rPr>
      </w:pPr>
      <w:r w:rsidRPr="00A52AB8">
        <w:t xml:space="preserve">The list of normative references in </w:t>
      </w:r>
      <w:r w:rsidR="0086472B" w:rsidRPr="00A52AB8">
        <w:t>Clause</w:t>
      </w:r>
      <w:r w:rsidRPr="00A52AB8">
        <w:t xml:space="preserve"> </w:t>
      </w:r>
      <w:r w:rsidR="0005349C" w:rsidRPr="00496A4D">
        <w:fldChar w:fldCharType="begin"/>
      </w:r>
      <w:r w:rsidR="0005349C" w:rsidRPr="00A52AB8">
        <w:instrText xml:space="preserve"> REF _Ref18670923 \n \h </w:instrText>
      </w:r>
      <w:r w:rsidR="00CA5401" w:rsidRPr="00A52AB8">
        <w:instrText xml:space="preserve"> \* MERGEFORMAT </w:instrText>
      </w:r>
      <w:r w:rsidR="0005349C" w:rsidRPr="00496A4D">
        <w:fldChar w:fldCharType="separate"/>
      </w:r>
      <w:r w:rsidR="00507A67">
        <w:t>2</w:t>
      </w:r>
      <w:r w:rsidR="0005349C" w:rsidRPr="00496A4D">
        <w:fldChar w:fldCharType="end"/>
      </w:r>
      <w:r w:rsidRPr="00A52AB8">
        <w:t xml:space="preserve"> applies.</w:t>
      </w:r>
    </w:p>
    <w:p w14:paraId="352DECB9" w14:textId="77777777" w:rsidR="00DF1B7B" w:rsidRPr="00A52AB8" w:rsidRDefault="00DF1B7B" w:rsidP="00DF1B7B">
      <w:pPr>
        <w:pStyle w:val="a2"/>
        <w:numPr>
          <w:ilvl w:val="1"/>
          <w:numId w:val="14"/>
        </w:numPr>
      </w:pPr>
      <w:bookmarkStart w:id="6103" w:name="_Toc37760791"/>
      <w:bookmarkStart w:id="6104" w:name="_Toc52181769"/>
      <w:r w:rsidRPr="00A52AB8">
        <w:t>Terms and definitions</w:t>
      </w:r>
      <w:bookmarkEnd w:id="6103"/>
      <w:bookmarkEnd w:id="6104"/>
    </w:p>
    <w:p w14:paraId="3DDF5497" w14:textId="57353C45" w:rsidR="00DF1B7B" w:rsidRPr="00A52AB8" w:rsidRDefault="00DF1B7B" w:rsidP="00DF1B7B">
      <w:r w:rsidRPr="00A52AB8">
        <w:t xml:space="preserve">For the purpose of this annex, the following definitions apply in addition to the definitions in </w:t>
      </w:r>
      <w:r w:rsidR="0086472B" w:rsidRPr="00A52AB8">
        <w:t>Clause</w:t>
      </w:r>
      <w:r w:rsidRPr="00A52AB8">
        <w:t xml:space="preserve"> 3. These definitions are either not present in </w:t>
      </w:r>
      <w:r w:rsidR="0086472B" w:rsidRPr="00A52AB8">
        <w:t>Clause</w:t>
      </w:r>
      <w:r w:rsidRPr="00A52AB8">
        <w:t xml:space="preserve"> </w:t>
      </w:r>
      <w:r w:rsidR="0005349C" w:rsidRPr="00496A4D">
        <w:fldChar w:fldCharType="begin"/>
      </w:r>
      <w:r w:rsidR="0005349C" w:rsidRPr="00A52AB8">
        <w:instrText xml:space="preserve"> REF _Ref38313941 \n \h </w:instrText>
      </w:r>
      <w:r w:rsidR="00CA5401" w:rsidRPr="00A52AB8">
        <w:instrText xml:space="preserve"> \* MERGEFORMAT </w:instrText>
      </w:r>
      <w:r w:rsidR="0005349C" w:rsidRPr="00496A4D">
        <w:fldChar w:fldCharType="separate"/>
      </w:r>
      <w:r w:rsidR="00507A67">
        <w:t>3</w:t>
      </w:r>
      <w:r w:rsidR="0005349C" w:rsidRPr="00496A4D">
        <w:fldChar w:fldCharType="end"/>
      </w:r>
      <w:r w:rsidRPr="00A52AB8">
        <w:t xml:space="preserve"> or replace definitions in </w:t>
      </w:r>
      <w:r w:rsidR="0086472B" w:rsidRPr="00A52AB8">
        <w:t>Clause</w:t>
      </w:r>
      <w:r w:rsidRPr="00A52AB8">
        <w:t xml:space="preserve"> </w:t>
      </w:r>
      <w:r w:rsidR="0005349C" w:rsidRPr="00496A4D">
        <w:fldChar w:fldCharType="begin"/>
      </w:r>
      <w:r w:rsidR="0005349C" w:rsidRPr="00A52AB8">
        <w:instrText xml:space="preserve"> REF _Ref38313948 \n \h </w:instrText>
      </w:r>
      <w:r w:rsidR="00CA5401" w:rsidRPr="00A52AB8">
        <w:instrText xml:space="preserve"> \* MERGEFORMAT </w:instrText>
      </w:r>
      <w:r w:rsidR="0005349C" w:rsidRPr="00496A4D">
        <w:fldChar w:fldCharType="separate"/>
      </w:r>
      <w:r w:rsidR="00507A67">
        <w:t>3</w:t>
      </w:r>
      <w:r w:rsidR="0005349C" w:rsidRPr="00496A4D">
        <w:fldChar w:fldCharType="end"/>
      </w:r>
      <w:r w:rsidRPr="00A52AB8">
        <w:t>.</w:t>
      </w:r>
    </w:p>
    <w:p w14:paraId="3BBD0776" w14:textId="77777777" w:rsidR="00EA5317" w:rsidRPr="00A52AB8" w:rsidRDefault="00EA5317" w:rsidP="00EA5317">
      <w:pPr>
        <w:numPr>
          <w:ilvl w:val="1"/>
          <w:numId w:val="270"/>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bookmarkStart w:id="6105" w:name="_Ref49509393"/>
    </w:p>
    <w:bookmarkEnd w:id="6105"/>
    <w:p w14:paraId="5DD41534" w14:textId="77777777" w:rsidR="00EA5317" w:rsidRPr="00A52AB8" w:rsidRDefault="00EA5317" w:rsidP="00EA5317">
      <w:pPr>
        <w:pStyle w:val="Terms"/>
        <w:tabs>
          <w:tab w:val="clear" w:pos="806"/>
        </w:tabs>
        <w:rPr>
          <w:color w:val="000000" w:themeColor="text1"/>
        </w:rPr>
      </w:pPr>
      <w:r w:rsidRPr="00A52AB8">
        <w:rPr>
          <w:color w:val="000000" w:themeColor="text1"/>
        </w:rPr>
        <w:t>point</w:t>
      </w:r>
    </w:p>
    <w:p w14:paraId="2C3E55D7" w14:textId="0159F791" w:rsidR="00EA5317" w:rsidRPr="00A52AB8" w:rsidRDefault="00EA5317" w:rsidP="00EA5317">
      <w:pPr>
        <w:pStyle w:val="Definition"/>
        <w:tabs>
          <w:tab w:val="clear" w:pos="806"/>
        </w:tabs>
        <w:rPr>
          <w:color w:val="000000" w:themeColor="text1"/>
        </w:rPr>
      </w:pPr>
      <w:r w:rsidRPr="00A52AB8">
        <w:rPr>
          <w:color w:val="000000" w:themeColor="text1"/>
        </w:rPr>
        <w:t xml:space="preserve">data specified by single set of </w:t>
      </w:r>
      <w:r w:rsidRPr="00A52AB8">
        <w:rPr>
          <w:i/>
          <w:iCs/>
          <w:color w:val="000000" w:themeColor="text1"/>
        </w:rPr>
        <w:t>cartesian coordinates</w:t>
      </w:r>
      <w:r w:rsidRPr="00A52AB8">
        <w:rPr>
          <w:color w:val="000000" w:themeColor="text1"/>
        </w:rPr>
        <w:t xml:space="preserve"> (</w:t>
      </w:r>
      <w:r w:rsidR="00DC10B0" w:rsidRPr="00496A4D">
        <w:rPr>
          <w:color w:val="000000" w:themeColor="text1"/>
        </w:rPr>
        <w:fldChar w:fldCharType="begin"/>
      </w:r>
      <w:r w:rsidR="00DC10B0" w:rsidRPr="00A52AB8">
        <w:rPr>
          <w:color w:val="000000" w:themeColor="text1"/>
        </w:rPr>
        <w:instrText xml:space="preserve"> REF _Ref47526144 \r \h </w:instrText>
      </w:r>
      <w:r w:rsidR="00345B2A" w:rsidRPr="00A52AB8">
        <w:rPr>
          <w:color w:val="000000" w:themeColor="text1"/>
        </w:rPr>
        <w:instrText xml:space="preserve"> \* MERGEFORMAT </w:instrText>
      </w:r>
      <w:r w:rsidR="00DC10B0" w:rsidRPr="00496A4D">
        <w:rPr>
          <w:color w:val="000000" w:themeColor="text1"/>
        </w:rPr>
      </w:r>
      <w:r w:rsidR="00DC10B0" w:rsidRPr="00496A4D">
        <w:rPr>
          <w:color w:val="000000" w:themeColor="text1"/>
        </w:rPr>
        <w:fldChar w:fldCharType="separate"/>
      </w:r>
      <w:r w:rsidR="00507A67">
        <w:rPr>
          <w:color w:val="000000" w:themeColor="text1"/>
        </w:rPr>
        <w:t>3.30</w:t>
      </w:r>
      <w:r w:rsidR="00DC10B0" w:rsidRPr="00496A4D">
        <w:rPr>
          <w:color w:val="000000" w:themeColor="text1"/>
        </w:rPr>
        <w:fldChar w:fldCharType="end"/>
      </w:r>
      <w:r w:rsidRPr="00A52AB8">
        <w:rPr>
          <w:color w:val="000000" w:themeColor="text1"/>
        </w:rPr>
        <w:t xml:space="preserve">) and zero or more corresponding </w:t>
      </w:r>
      <w:r w:rsidRPr="00A52AB8">
        <w:rPr>
          <w:i/>
          <w:iCs/>
          <w:color w:val="000000" w:themeColor="text1"/>
        </w:rPr>
        <w:t>attribute</w:t>
      </w:r>
      <w:r w:rsidR="00345B2A" w:rsidRPr="00A52AB8">
        <w:rPr>
          <w:i/>
          <w:iCs/>
          <w:color w:val="000000" w:themeColor="text1"/>
        </w:rPr>
        <w:t>s</w:t>
      </w:r>
      <w:r w:rsidRPr="00A52AB8">
        <w:rPr>
          <w:color w:val="000000" w:themeColor="text1"/>
        </w:rPr>
        <w:t xml:space="preserve"> </w:t>
      </w:r>
      <w:r w:rsidR="00345B2A" w:rsidRPr="00A52AB8">
        <w:rPr>
          <w:color w:val="000000" w:themeColor="text1"/>
        </w:rPr>
        <w:t>(</w:t>
      </w:r>
      <w:r w:rsidR="00345B2A" w:rsidRPr="00496A4D">
        <w:rPr>
          <w:color w:val="000000" w:themeColor="text1"/>
        </w:rPr>
        <w:fldChar w:fldCharType="begin"/>
      </w:r>
      <w:r w:rsidR="00345B2A" w:rsidRPr="00A52AB8">
        <w:rPr>
          <w:color w:val="000000" w:themeColor="text1"/>
        </w:rPr>
        <w:instrText xml:space="preserve"> REF _Ref49509311 \r \h  \* MERGEFORMAT </w:instrText>
      </w:r>
      <w:r w:rsidR="00345B2A" w:rsidRPr="00496A4D">
        <w:rPr>
          <w:color w:val="000000" w:themeColor="text1"/>
        </w:rPr>
      </w:r>
      <w:r w:rsidR="00345B2A" w:rsidRPr="00496A4D">
        <w:rPr>
          <w:color w:val="000000" w:themeColor="text1"/>
        </w:rPr>
        <w:fldChar w:fldCharType="separate"/>
      </w:r>
      <w:r w:rsidR="00507A67">
        <w:rPr>
          <w:color w:val="000000" w:themeColor="text1"/>
        </w:rPr>
        <w:t>3.15</w:t>
      </w:r>
      <w:r w:rsidR="00345B2A" w:rsidRPr="00496A4D">
        <w:rPr>
          <w:color w:val="000000" w:themeColor="text1"/>
        </w:rPr>
        <w:fldChar w:fldCharType="end"/>
      </w:r>
      <w:r w:rsidR="00345B2A" w:rsidRPr="00A52AB8">
        <w:rPr>
          <w:color w:val="000000" w:themeColor="text1"/>
        </w:rPr>
        <w:t>)</w:t>
      </w:r>
    </w:p>
    <w:p w14:paraId="10742D5E" w14:textId="681B34C1" w:rsidR="00AE4AD6" w:rsidRPr="00A52AB8" w:rsidRDefault="00AE4AD6" w:rsidP="00AE4AD6">
      <w:pPr>
        <w:numPr>
          <w:ilvl w:val="1"/>
          <w:numId w:val="270"/>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bookmarkStart w:id="6106" w:name="_Ref49509145"/>
    </w:p>
    <w:bookmarkEnd w:id="6106"/>
    <w:p w14:paraId="53FD1CC7" w14:textId="5AD7ED99" w:rsidR="00AE4AD6" w:rsidRPr="00A52AB8" w:rsidRDefault="000F288B" w:rsidP="00CD7999">
      <w:pPr>
        <w:pStyle w:val="Terms"/>
        <w:rPr>
          <w:color w:val="000000" w:themeColor="text1"/>
        </w:rPr>
      </w:pPr>
      <w:r w:rsidRPr="00A52AB8">
        <w:rPr>
          <w:color w:val="000000" w:themeColor="text1"/>
        </w:rPr>
        <w:t>point cloud</w:t>
      </w:r>
    </w:p>
    <w:p w14:paraId="0E75BB9B" w14:textId="55068470" w:rsidR="00D061EC" w:rsidRPr="00A52AB8" w:rsidRDefault="00D061EC" w:rsidP="00D061EC">
      <w:r w:rsidRPr="00A52AB8">
        <w:rPr>
          <w:color w:val="000000" w:themeColor="text1"/>
        </w:rPr>
        <w:t xml:space="preserve">set of </w:t>
      </w:r>
      <w:r w:rsidRPr="00A52AB8">
        <w:rPr>
          <w:i/>
          <w:iCs/>
          <w:color w:val="000000" w:themeColor="text1"/>
        </w:rPr>
        <w:t>points</w:t>
      </w:r>
      <w:r w:rsidRPr="00A52AB8">
        <w:rPr>
          <w:color w:val="000000" w:themeColor="text1"/>
        </w:rPr>
        <w:t xml:space="preserve"> </w:t>
      </w:r>
      <w:r w:rsidR="00345B2A" w:rsidRPr="00A52AB8">
        <w:rPr>
          <w:color w:val="000000" w:themeColor="text1"/>
        </w:rPr>
        <w:t>(</w:t>
      </w:r>
      <w:r w:rsidR="00345B2A" w:rsidRPr="00496A4D">
        <w:rPr>
          <w:color w:val="000000" w:themeColor="text1"/>
        </w:rPr>
        <w:fldChar w:fldCharType="begin"/>
      </w:r>
      <w:r w:rsidR="00345B2A" w:rsidRPr="00A52AB8">
        <w:rPr>
          <w:color w:val="000000" w:themeColor="text1"/>
        </w:rPr>
        <w:instrText xml:space="preserve"> REF _Ref49509393 \r \h </w:instrText>
      </w:r>
      <w:r w:rsidR="00007BE2" w:rsidRPr="00A52AB8">
        <w:rPr>
          <w:color w:val="000000" w:themeColor="text1"/>
        </w:rPr>
        <w:instrText xml:space="preserve"> \* MERGEFORMAT </w:instrText>
      </w:r>
      <w:r w:rsidR="00345B2A" w:rsidRPr="00496A4D">
        <w:rPr>
          <w:color w:val="000000" w:themeColor="text1"/>
        </w:rPr>
      </w:r>
      <w:r w:rsidR="00345B2A" w:rsidRPr="00496A4D">
        <w:rPr>
          <w:color w:val="000000" w:themeColor="text1"/>
        </w:rPr>
        <w:fldChar w:fldCharType="separate"/>
      </w:r>
      <w:r w:rsidR="00507A67">
        <w:rPr>
          <w:color w:val="000000" w:themeColor="text1"/>
        </w:rPr>
        <w:t>H.3.1</w:t>
      </w:r>
      <w:r w:rsidR="00345B2A" w:rsidRPr="00496A4D">
        <w:rPr>
          <w:color w:val="000000" w:themeColor="text1"/>
        </w:rPr>
        <w:fldChar w:fldCharType="end"/>
      </w:r>
      <w:r w:rsidR="00345B2A" w:rsidRPr="00A52AB8">
        <w:rPr>
          <w:color w:val="000000" w:themeColor="text1"/>
        </w:rPr>
        <w:t xml:space="preserve">) </w:t>
      </w:r>
      <w:r w:rsidRPr="00A52AB8">
        <w:rPr>
          <w:color w:val="000000" w:themeColor="text1"/>
        </w:rPr>
        <w:t>at a particular time instance</w:t>
      </w:r>
    </w:p>
    <w:p w14:paraId="3045EFE3" w14:textId="77777777" w:rsidR="00AE4AD6" w:rsidRPr="00A52AB8" w:rsidRDefault="00AE4AD6" w:rsidP="00AE4AD6">
      <w:pPr>
        <w:numPr>
          <w:ilvl w:val="1"/>
          <w:numId w:val="270"/>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bookmarkStart w:id="6107" w:name="_Ref49438347"/>
    </w:p>
    <w:bookmarkEnd w:id="6107"/>
    <w:p w14:paraId="576F0583" w14:textId="77777777" w:rsidR="0050235C" w:rsidRPr="00A52AB8" w:rsidRDefault="009518C4" w:rsidP="009518C4">
      <w:pPr>
        <w:pStyle w:val="Terms"/>
        <w:rPr>
          <w:color w:val="000000" w:themeColor="text1"/>
        </w:rPr>
      </w:pPr>
      <w:r w:rsidRPr="00A52AB8">
        <w:rPr>
          <w:color w:val="000000" w:themeColor="text1"/>
        </w:rPr>
        <w:t>point cloud frame</w:t>
      </w:r>
    </w:p>
    <w:p w14:paraId="738E2297" w14:textId="69D5BB74" w:rsidR="009518C4" w:rsidRPr="00A52AB8" w:rsidRDefault="009518C4" w:rsidP="009518C4">
      <w:pPr>
        <w:pStyle w:val="Definition"/>
        <w:rPr>
          <w:iCs/>
          <w:color w:val="000000" w:themeColor="text1"/>
        </w:rPr>
      </w:pPr>
      <w:r w:rsidRPr="00A52AB8">
        <w:rPr>
          <w:color w:val="000000" w:themeColor="text1"/>
        </w:rPr>
        <w:t xml:space="preserve">see </w:t>
      </w:r>
      <w:r w:rsidRPr="00A52AB8">
        <w:rPr>
          <w:i/>
          <w:color w:val="000000" w:themeColor="text1"/>
        </w:rPr>
        <w:t xml:space="preserve">point cloud </w:t>
      </w:r>
      <w:r w:rsidR="00C947C6" w:rsidRPr="00A52AB8">
        <w:rPr>
          <w:iCs/>
          <w:color w:val="000000" w:themeColor="text1"/>
        </w:rPr>
        <w:t>(</w:t>
      </w:r>
      <w:r w:rsidR="00C947C6" w:rsidRPr="00496A4D">
        <w:rPr>
          <w:iCs/>
          <w:color w:val="000000" w:themeColor="text1"/>
        </w:rPr>
        <w:fldChar w:fldCharType="begin"/>
      </w:r>
      <w:r w:rsidR="00C947C6" w:rsidRPr="00A52AB8">
        <w:rPr>
          <w:iCs/>
          <w:color w:val="000000" w:themeColor="text1"/>
        </w:rPr>
        <w:instrText xml:space="preserve"> REF _Ref49509145 \r \h </w:instrText>
      </w:r>
      <w:r w:rsidR="00007BE2" w:rsidRPr="00A52AB8">
        <w:rPr>
          <w:iCs/>
          <w:color w:val="000000" w:themeColor="text1"/>
        </w:rPr>
        <w:instrText xml:space="preserve"> \* MERGEFORMAT </w:instrText>
      </w:r>
      <w:r w:rsidR="00C947C6" w:rsidRPr="00496A4D">
        <w:rPr>
          <w:iCs/>
          <w:color w:val="000000" w:themeColor="text1"/>
        </w:rPr>
      </w:r>
      <w:r w:rsidR="00C947C6" w:rsidRPr="00496A4D">
        <w:rPr>
          <w:iCs/>
          <w:color w:val="000000" w:themeColor="text1"/>
        </w:rPr>
        <w:fldChar w:fldCharType="separate"/>
      </w:r>
      <w:r w:rsidR="00507A67">
        <w:rPr>
          <w:iCs/>
          <w:color w:val="000000" w:themeColor="text1"/>
        </w:rPr>
        <w:t>H.3.2</w:t>
      </w:r>
      <w:r w:rsidR="00C947C6" w:rsidRPr="00496A4D">
        <w:rPr>
          <w:iCs/>
          <w:color w:val="000000" w:themeColor="text1"/>
        </w:rPr>
        <w:fldChar w:fldCharType="end"/>
      </w:r>
      <w:r w:rsidR="00C947C6" w:rsidRPr="00A52AB8">
        <w:rPr>
          <w:iCs/>
          <w:color w:val="000000" w:themeColor="text1"/>
        </w:rPr>
        <w:t>)</w:t>
      </w:r>
    </w:p>
    <w:p w14:paraId="2526FD3A" w14:textId="77777777" w:rsidR="00A154E9" w:rsidRPr="00A52AB8" w:rsidRDefault="00A154E9" w:rsidP="005C26E9">
      <w:pPr>
        <w:numPr>
          <w:ilvl w:val="1"/>
          <w:numId w:val="270"/>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bookmarkStart w:id="6108" w:name="_Toc37760792"/>
    </w:p>
    <w:p w14:paraId="63CD667F" w14:textId="77777777" w:rsidR="00A154E9" w:rsidRPr="00A52AB8" w:rsidRDefault="00A154E9" w:rsidP="00A154E9">
      <w:pPr>
        <w:pStyle w:val="Terms"/>
        <w:rPr>
          <w:color w:val="000000" w:themeColor="text1"/>
        </w:rPr>
      </w:pPr>
      <w:r w:rsidRPr="00A52AB8">
        <w:rPr>
          <w:color w:val="000000" w:themeColor="text1"/>
        </w:rPr>
        <w:t>point cloud sequence</w:t>
      </w:r>
    </w:p>
    <w:p w14:paraId="59E1FA77" w14:textId="5C9A9C29" w:rsidR="00A154E9" w:rsidRPr="00A52AB8" w:rsidRDefault="00A154E9" w:rsidP="00A154E9">
      <w:pPr>
        <w:pStyle w:val="Definition"/>
        <w:rPr>
          <w:i/>
          <w:color w:val="000000" w:themeColor="text1"/>
        </w:rPr>
      </w:pPr>
      <w:r w:rsidRPr="00A52AB8">
        <w:rPr>
          <w:color w:val="000000" w:themeColor="text1"/>
        </w:rPr>
        <w:t xml:space="preserve">sequence of </w:t>
      </w:r>
      <w:r w:rsidRPr="00A52AB8">
        <w:rPr>
          <w:i/>
          <w:color w:val="000000" w:themeColor="text1"/>
        </w:rPr>
        <w:t>point cloud frames</w:t>
      </w:r>
      <w:r w:rsidR="00725264" w:rsidRPr="00A52AB8">
        <w:rPr>
          <w:i/>
          <w:color w:val="000000" w:themeColor="text1"/>
        </w:rPr>
        <w:t xml:space="preserve"> </w:t>
      </w:r>
      <w:r w:rsidR="00725264" w:rsidRPr="00A52AB8">
        <w:rPr>
          <w:iCs/>
          <w:color w:val="000000" w:themeColor="text1"/>
        </w:rPr>
        <w:t>(</w:t>
      </w:r>
      <w:r w:rsidR="00830B4D" w:rsidRPr="00496A4D">
        <w:rPr>
          <w:iCs/>
          <w:color w:val="000000" w:themeColor="text1"/>
        </w:rPr>
        <w:fldChar w:fldCharType="begin"/>
      </w:r>
      <w:r w:rsidR="00830B4D" w:rsidRPr="00A52AB8">
        <w:rPr>
          <w:iCs/>
          <w:color w:val="000000" w:themeColor="text1"/>
        </w:rPr>
        <w:instrText xml:space="preserve"> REF _Ref49438347 \r \h </w:instrText>
      </w:r>
      <w:r w:rsidR="00007BE2" w:rsidRPr="00A52AB8">
        <w:rPr>
          <w:iCs/>
          <w:color w:val="000000" w:themeColor="text1"/>
        </w:rPr>
        <w:instrText xml:space="preserve"> \* MERGEFORMAT </w:instrText>
      </w:r>
      <w:r w:rsidR="00830B4D" w:rsidRPr="00496A4D">
        <w:rPr>
          <w:iCs/>
          <w:color w:val="000000" w:themeColor="text1"/>
        </w:rPr>
      </w:r>
      <w:r w:rsidR="00830B4D" w:rsidRPr="00496A4D">
        <w:rPr>
          <w:iCs/>
          <w:color w:val="000000" w:themeColor="text1"/>
        </w:rPr>
        <w:fldChar w:fldCharType="separate"/>
      </w:r>
      <w:r w:rsidR="00507A67">
        <w:rPr>
          <w:iCs/>
          <w:color w:val="000000" w:themeColor="text1"/>
        </w:rPr>
        <w:t>H.3.3</w:t>
      </w:r>
      <w:r w:rsidR="00830B4D" w:rsidRPr="00496A4D">
        <w:rPr>
          <w:iCs/>
          <w:color w:val="000000" w:themeColor="text1"/>
        </w:rPr>
        <w:fldChar w:fldCharType="end"/>
      </w:r>
      <w:r w:rsidR="00725264" w:rsidRPr="00A52AB8">
        <w:rPr>
          <w:iCs/>
          <w:color w:val="000000" w:themeColor="text1"/>
        </w:rPr>
        <w:t>)</w:t>
      </w:r>
    </w:p>
    <w:p w14:paraId="4D528963" w14:textId="77777777" w:rsidR="00DF1B7B" w:rsidRPr="00A52AB8" w:rsidRDefault="00406A86" w:rsidP="00DF1B7B">
      <w:pPr>
        <w:pStyle w:val="a2"/>
        <w:numPr>
          <w:ilvl w:val="1"/>
          <w:numId w:val="14"/>
        </w:numPr>
      </w:pPr>
      <w:bookmarkStart w:id="6109" w:name="_Toc52181770"/>
      <w:bookmarkEnd w:id="6108"/>
      <w:r w:rsidRPr="00A52AB8">
        <w:t>Abbreviated terms</w:t>
      </w:r>
      <w:bookmarkEnd w:id="6109"/>
    </w:p>
    <w:p w14:paraId="726D72DA" w14:textId="05EE4AF3" w:rsidR="00DF1B7B" w:rsidRPr="00A52AB8" w:rsidRDefault="004C4C00" w:rsidP="00DF1B7B">
      <w:r w:rsidRPr="00A52AB8">
        <w:t>The specifications in Clause</w:t>
      </w:r>
      <w:r w:rsidR="00DF1B7B" w:rsidRPr="00A52AB8">
        <w:t xml:space="preserve"> </w:t>
      </w:r>
      <w:r w:rsidR="0052755A">
        <w:fldChar w:fldCharType="begin"/>
      </w:r>
      <w:r w:rsidR="0052755A">
        <w:instrText xml:space="preserve"> REF _Ref51840397 \r \h </w:instrText>
      </w:r>
      <w:r w:rsidR="0052755A">
        <w:fldChar w:fldCharType="separate"/>
      </w:r>
      <w:r w:rsidR="00507A67">
        <w:t>4</w:t>
      </w:r>
      <w:r w:rsidR="0052755A">
        <w:fldChar w:fldCharType="end"/>
      </w:r>
      <w:r w:rsidR="0052755A">
        <w:t xml:space="preserve"> </w:t>
      </w:r>
      <w:r w:rsidRPr="00A52AB8">
        <w:t>apply</w:t>
      </w:r>
      <w:r w:rsidR="00C76AD0" w:rsidRPr="00A52AB8">
        <w:t xml:space="preserve"> with the following additions</w:t>
      </w:r>
      <w:r w:rsidRPr="00A52AB8">
        <w:t>.</w:t>
      </w:r>
    </w:p>
    <w:p w14:paraId="537A0224" w14:textId="77777777" w:rsidR="00C76AD0" w:rsidRPr="00A52AB8" w:rsidRDefault="00C76AD0" w:rsidP="00C76AD0">
      <w:pPr>
        <w:tabs>
          <w:tab w:val="clear" w:pos="403"/>
        </w:tabs>
        <w:rPr>
          <w:color w:val="000000" w:themeColor="text1"/>
        </w:rPr>
      </w:pPr>
      <w:r w:rsidRPr="00A52AB8">
        <w:rPr>
          <w:color w:val="000000" w:themeColor="text1"/>
        </w:rPr>
        <w:t>PBF</w:t>
      </w:r>
      <w:r w:rsidRPr="00A52AB8">
        <w:rPr>
          <w:color w:val="000000" w:themeColor="text1"/>
        </w:rPr>
        <w:tab/>
        <w:t>Patch Border Filtering</w:t>
      </w:r>
    </w:p>
    <w:p w14:paraId="2D9B4E6E" w14:textId="77777777" w:rsidR="00DF1B7B" w:rsidRPr="00A52AB8" w:rsidRDefault="00DF1B7B" w:rsidP="00DF1B7B">
      <w:pPr>
        <w:pStyle w:val="a2"/>
        <w:numPr>
          <w:ilvl w:val="1"/>
          <w:numId w:val="14"/>
        </w:numPr>
      </w:pPr>
      <w:bookmarkStart w:id="6110" w:name="_Toc37760793"/>
      <w:bookmarkStart w:id="6111" w:name="_Toc52181771"/>
      <w:r w:rsidRPr="00A52AB8">
        <w:t>Conventions</w:t>
      </w:r>
      <w:bookmarkEnd w:id="6110"/>
      <w:bookmarkEnd w:id="6111"/>
    </w:p>
    <w:p w14:paraId="3A1C8D3B" w14:textId="10B8E469" w:rsidR="00DF1B7B" w:rsidRPr="00A52AB8" w:rsidRDefault="00DF1B7B" w:rsidP="00DF1B7B">
      <w:pPr>
        <w:rPr>
          <w:lang w:eastAsia="ja-JP"/>
        </w:rPr>
      </w:pPr>
      <w:r w:rsidRPr="00A52AB8">
        <w:t xml:space="preserve">The specifications in </w:t>
      </w:r>
      <w:r w:rsidR="0086472B" w:rsidRPr="00A52AB8">
        <w:t>Clause</w:t>
      </w:r>
      <w:r w:rsidRPr="00A52AB8">
        <w:t xml:space="preserve"> </w:t>
      </w:r>
      <w:r w:rsidR="00DE4966" w:rsidRPr="00496A4D">
        <w:fldChar w:fldCharType="begin"/>
      </w:r>
      <w:r w:rsidR="00DE4966" w:rsidRPr="00A52AB8">
        <w:instrText xml:space="preserve"> REF _Ref38313976 \n \h </w:instrText>
      </w:r>
      <w:r w:rsidR="00CA5401" w:rsidRPr="00A52AB8">
        <w:instrText xml:space="preserve"> \* MERGEFORMAT </w:instrText>
      </w:r>
      <w:r w:rsidR="00DE4966" w:rsidRPr="00496A4D">
        <w:fldChar w:fldCharType="separate"/>
      </w:r>
      <w:r w:rsidR="00507A67">
        <w:t>5</w:t>
      </w:r>
      <w:r w:rsidR="00DE4966" w:rsidRPr="00496A4D">
        <w:fldChar w:fldCharType="end"/>
      </w:r>
      <w:r w:rsidRPr="00A52AB8">
        <w:t xml:space="preserve"> and its subclauses apply.</w:t>
      </w:r>
    </w:p>
    <w:p w14:paraId="2021C879" w14:textId="77777777" w:rsidR="0050235C" w:rsidRPr="00A52AB8" w:rsidRDefault="00A37974" w:rsidP="004109F0">
      <w:pPr>
        <w:pStyle w:val="a2"/>
        <w:numPr>
          <w:ilvl w:val="1"/>
          <w:numId w:val="14"/>
        </w:numPr>
      </w:pPr>
      <w:bookmarkStart w:id="6112" w:name="_Toc48345677"/>
      <w:bookmarkStart w:id="6113" w:name="_Toc37760794"/>
      <w:bookmarkStart w:id="6114" w:name="_Toc52181772"/>
      <w:r w:rsidRPr="00A52AB8">
        <w:rPr>
          <w:color w:val="000000" w:themeColor="text1"/>
        </w:rPr>
        <w:t>Overall V-PCC characteristics, decoding operations, and post-decoding processes</w:t>
      </w:r>
      <w:bookmarkEnd w:id="6112"/>
      <w:bookmarkEnd w:id="6114"/>
    </w:p>
    <w:p w14:paraId="693E9FFF" w14:textId="59334D1A" w:rsidR="00864657" w:rsidRPr="00A52AB8" w:rsidRDefault="00864657" w:rsidP="00007BE2">
      <w:pPr>
        <w:pStyle w:val="a2"/>
        <w:numPr>
          <w:ilvl w:val="2"/>
          <w:numId w:val="14"/>
        </w:numPr>
        <w:rPr>
          <w:color w:val="000000" w:themeColor="text1"/>
        </w:rPr>
      </w:pPr>
      <w:bookmarkStart w:id="6115" w:name="_Toc52181773"/>
      <w:r w:rsidRPr="00A52AB8">
        <w:rPr>
          <w:color w:val="000000" w:themeColor="text1"/>
        </w:rPr>
        <w:t>V3C characteristics</w:t>
      </w:r>
      <w:bookmarkEnd w:id="6115"/>
    </w:p>
    <w:p w14:paraId="0FE80672" w14:textId="6A6C3CB1" w:rsidR="004109F0" w:rsidRPr="00A52AB8" w:rsidRDefault="004109F0" w:rsidP="004109F0">
      <w:r w:rsidRPr="00A52AB8">
        <w:t xml:space="preserve">The specifications in </w:t>
      </w:r>
      <w:r w:rsidR="00864657" w:rsidRPr="00A52AB8">
        <w:t>subclause </w:t>
      </w:r>
      <w:r w:rsidR="00864657" w:rsidRPr="00496A4D">
        <w:fldChar w:fldCharType="begin"/>
      </w:r>
      <w:r w:rsidR="00864657" w:rsidRPr="00A52AB8">
        <w:instrText xml:space="preserve"> REF _Ref49424622 \r \h </w:instrText>
      </w:r>
      <w:r w:rsidR="00007BE2" w:rsidRPr="00A52AB8">
        <w:instrText xml:space="preserve"> \* MERGEFORMAT </w:instrText>
      </w:r>
      <w:r w:rsidR="00864657" w:rsidRPr="00496A4D">
        <w:fldChar w:fldCharType="separate"/>
      </w:r>
      <w:r w:rsidR="00507A67">
        <w:t>6.1</w:t>
      </w:r>
      <w:r w:rsidR="00864657" w:rsidRPr="00496A4D">
        <w:fldChar w:fldCharType="end"/>
      </w:r>
      <w:r w:rsidRPr="00A52AB8">
        <w:t xml:space="preserve"> apply.</w:t>
      </w:r>
    </w:p>
    <w:p w14:paraId="549C846D" w14:textId="2714A362" w:rsidR="00864657" w:rsidRPr="00A52AB8" w:rsidRDefault="00864657">
      <w:pPr>
        <w:pStyle w:val="a2"/>
        <w:numPr>
          <w:ilvl w:val="2"/>
          <w:numId w:val="14"/>
        </w:numPr>
        <w:rPr>
          <w:color w:val="000000" w:themeColor="text1"/>
        </w:rPr>
      </w:pPr>
      <w:bookmarkStart w:id="6116" w:name="_Toc52181774"/>
      <w:r w:rsidRPr="00A52AB8">
        <w:rPr>
          <w:color w:val="000000" w:themeColor="text1"/>
        </w:rPr>
        <w:t>V3C bitstream characteristics, decoding operations, and post-decoding processes</w:t>
      </w:r>
      <w:bookmarkEnd w:id="6116"/>
    </w:p>
    <w:p w14:paraId="0BA205B8" w14:textId="736C230B" w:rsidR="00864657" w:rsidRPr="00A52AB8" w:rsidRDefault="00864657" w:rsidP="00864657">
      <w:pPr>
        <w:rPr>
          <w:lang w:eastAsia="ja-JP"/>
        </w:rPr>
      </w:pPr>
      <w:r w:rsidRPr="00A52AB8">
        <w:rPr>
          <w:lang w:eastAsia="ja-JP"/>
        </w:rPr>
        <w:t xml:space="preserve">This subclause provides high-level description of the characteristics and the operations needed for the decoding of V3C bitstreams and optional post-decoding </w:t>
      </w:r>
      <w:r w:rsidR="00E51FD6" w:rsidRPr="00A52AB8">
        <w:rPr>
          <w:lang w:eastAsia="ja-JP"/>
        </w:rPr>
        <w:t xml:space="preserve">and reconstruction related </w:t>
      </w:r>
      <w:r w:rsidRPr="00A52AB8">
        <w:rPr>
          <w:lang w:eastAsia="ja-JP"/>
        </w:rPr>
        <w:t>processes needed by applications, which may include nominal format conversion, pre-reconstruction, reconstruction, post-reconstruction, and adaptation.</w:t>
      </w:r>
    </w:p>
    <w:p w14:paraId="6C3C7B92" w14:textId="543BCD64" w:rsidR="0050235C" w:rsidRPr="00A52AB8" w:rsidRDefault="00864657" w:rsidP="00864657">
      <w:pPr>
        <w:rPr>
          <w:lang w:eastAsia="ja-JP"/>
        </w:rPr>
      </w:pPr>
      <w:r w:rsidRPr="00A52AB8">
        <w:rPr>
          <w:lang w:eastAsia="ja-JP"/>
        </w:rPr>
        <w:t xml:space="preserve">As mentioned in subclause </w:t>
      </w:r>
      <w:r w:rsidRPr="00496A4D">
        <w:rPr>
          <w:lang w:eastAsia="ja-JP"/>
        </w:rPr>
        <w:fldChar w:fldCharType="begin"/>
      </w:r>
      <w:r w:rsidRPr="00A52AB8">
        <w:rPr>
          <w:lang w:eastAsia="ja-JP"/>
        </w:rPr>
        <w:instrText xml:space="preserve"> REF _Ref49424622 \r \h </w:instrText>
      </w:r>
      <w:r w:rsidR="00007BE2" w:rsidRPr="00A52AB8">
        <w:rPr>
          <w:lang w:eastAsia="ja-JP"/>
        </w:rPr>
        <w:instrText xml:space="preserve"> \* MERGEFORMAT </w:instrText>
      </w:r>
      <w:r w:rsidRPr="00496A4D">
        <w:rPr>
          <w:lang w:eastAsia="ja-JP"/>
        </w:rPr>
      </w:r>
      <w:r w:rsidRPr="00496A4D">
        <w:rPr>
          <w:lang w:eastAsia="ja-JP"/>
        </w:rPr>
        <w:fldChar w:fldCharType="separate"/>
      </w:r>
      <w:r w:rsidR="00507A67">
        <w:rPr>
          <w:lang w:eastAsia="ja-JP"/>
        </w:rPr>
        <w:t>6.1</w:t>
      </w:r>
      <w:r w:rsidRPr="00496A4D">
        <w:rPr>
          <w:lang w:eastAsia="ja-JP"/>
        </w:rPr>
        <w:fldChar w:fldCharType="end"/>
      </w:r>
      <w:r w:rsidRPr="00A52AB8">
        <w:rPr>
          <w:lang w:eastAsia="ja-JP"/>
        </w:rPr>
        <w:t xml:space="preserve">, </w:t>
      </w:r>
      <w:r w:rsidR="008E01A9" w:rsidRPr="00A52AB8">
        <w:rPr>
          <w:lang w:eastAsia="ja-JP"/>
        </w:rPr>
        <w:t xml:space="preserve">a </w:t>
      </w:r>
      <w:r w:rsidRPr="00A52AB8">
        <w:rPr>
          <w:lang w:eastAsia="ja-JP"/>
        </w:rPr>
        <w:t>V3C bitstream is composed of a collection of V3C components, such as atlas, occupancy, geometry, and attribute</w:t>
      </w:r>
      <w:r w:rsidR="00541531" w:rsidRPr="00A52AB8">
        <w:rPr>
          <w:lang w:eastAsia="ja-JP"/>
        </w:rPr>
        <w:t xml:space="preserve"> component</w:t>
      </w:r>
      <w:r w:rsidR="008E01A9" w:rsidRPr="00A52AB8">
        <w:rPr>
          <w:lang w:eastAsia="ja-JP"/>
        </w:rPr>
        <w:t>s</w:t>
      </w:r>
      <w:r w:rsidRPr="00A52AB8">
        <w:rPr>
          <w:lang w:eastAsia="ja-JP"/>
        </w:rPr>
        <w:t xml:space="preserve">. Furthermore, to provide additional functionalities and similar flexibility as available in many video specifications, the atlas component may be divided into tiles and is encapsulated into NAL units. Clause </w:t>
      </w:r>
      <w:r w:rsidRPr="00496A4D">
        <w:rPr>
          <w:lang w:eastAsia="ja-JP"/>
        </w:rPr>
        <w:fldChar w:fldCharType="begin"/>
      </w:r>
      <w:r w:rsidRPr="00A52AB8">
        <w:rPr>
          <w:lang w:eastAsia="ja-JP"/>
        </w:rPr>
        <w:instrText xml:space="preserve"> REF _Ref48762072 \n \h  \* MERGEFORMAT </w:instrText>
      </w:r>
      <w:r w:rsidRPr="00496A4D">
        <w:rPr>
          <w:lang w:eastAsia="ja-JP"/>
        </w:rPr>
      </w:r>
      <w:r w:rsidRPr="00496A4D">
        <w:rPr>
          <w:lang w:eastAsia="ja-JP"/>
        </w:rPr>
        <w:fldChar w:fldCharType="separate"/>
      </w:r>
      <w:r w:rsidR="00507A67">
        <w:rPr>
          <w:lang w:eastAsia="ja-JP"/>
        </w:rPr>
        <w:t>7</w:t>
      </w:r>
      <w:r w:rsidRPr="00496A4D">
        <w:rPr>
          <w:lang w:eastAsia="ja-JP"/>
        </w:rPr>
        <w:fldChar w:fldCharType="end"/>
      </w:r>
      <w:r w:rsidRPr="00A52AB8">
        <w:rPr>
          <w:lang w:eastAsia="ja-JP"/>
        </w:rPr>
        <w:t xml:space="preserve"> provides further details on the encapsulation of V3C component bitstreams into V3C units and NAL units.</w:t>
      </w:r>
    </w:p>
    <w:p w14:paraId="28CCA4A1" w14:textId="52BF709A" w:rsidR="00864657" w:rsidRPr="00A52AB8" w:rsidRDefault="00864657" w:rsidP="00864657">
      <w:pPr>
        <w:rPr>
          <w:lang w:eastAsia="ja-JP"/>
        </w:rPr>
      </w:pPr>
      <w:r w:rsidRPr="00A52AB8">
        <w:rPr>
          <w:lang w:eastAsia="ja-JP"/>
        </w:rPr>
        <w:t xml:space="preserve">V3C bitstream syntax elements and their semantics are specified in Clause </w:t>
      </w:r>
      <w:r w:rsidRPr="00496A4D">
        <w:rPr>
          <w:lang w:eastAsia="ja-JP"/>
        </w:rPr>
        <w:fldChar w:fldCharType="begin"/>
      </w:r>
      <w:r w:rsidRPr="00A52AB8">
        <w:rPr>
          <w:lang w:eastAsia="ja-JP"/>
        </w:rPr>
        <w:instrText xml:space="preserve"> REF _Ref50231572 \r \h </w:instrText>
      </w:r>
      <w:r w:rsidR="00007BE2" w:rsidRPr="00A52AB8">
        <w:rPr>
          <w:lang w:eastAsia="ja-JP"/>
        </w:rPr>
        <w:instrText xml:space="preserve"> \* MERGEFORMAT </w:instrText>
      </w:r>
      <w:r w:rsidRPr="00496A4D">
        <w:rPr>
          <w:lang w:eastAsia="ja-JP"/>
        </w:rPr>
      </w:r>
      <w:r w:rsidRPr="00496A4D">
        <w:rPr>
          <w:lang w:eastAsia="ja-JP"/>
        </w:rPr>
        <w:fldChar w:fldCharType="separate"/>
      </w:r>
      <w:r w:rsidR="00507A67">
        <w:rPr>
          <w:lang w:eastAsia="ja-JP"/>
        </w:rPr>
        <w:t>H.8</w:t>
      </w:r>
      <w:r w:rsidRPr="00496A4D">
        <w:rPr>
          <w:lang w:eastAsia="ja-JP"/>
        </w:rPr>
        <w:fldChar w:fldCharType="end"/>
      </w:r>
      <w:r w:rsidRPr="00A52AB8">
        <w:rPr>
          <w:lang w:eastAsia="ja-JP"/>
        </w:rPr>
        <w:t>. Particular focus is placed on the atlas bitstream, its characteristics, and any constraints that may apply on such syntax.</w:t>
      </w:r>
    </w:p>
    <w:p w14:paraId="4DD47D65" w14:textId="2BE6285D" w:rsidR="00864657" w:rsidRPr="00A52AB8" w:rsidRDefault="00864657" w:rsidP="00864657">
      <w:pPr>
        <w:rPr>
          <w:lang w:eastAsia="ja-JP"/>
        </w:rPr>
      </w:pPr>
      <w:r w:rsidRPr="00A52AB8">
        <w:rPr>
          <w:lang w:eastAsia="ja-JP"/>
        </w:rPr>
        <w:t xml:space="preserve">Clause </w:t>
      </w:r>
      <w:r w:rsidRPr="00496A4D">
        <w:rPr>
          <w:lang w:eastAsia="ja-JP"/>
        </w:rPr>
        <w:fldChar w:fldCharType="begin"/>
      </w:r>
      <w:r w:rsidRPr="00A52AB8">
        <w:rPr>
          <w:lang w:eastAsia="ja-JP"/>
        </w:rPr>
        <w:instrText xml:space="preserve"> REF _Ref49201538 \r \h </w:instrText>
      </w:r>
      <w:r w:rsidR="00007BE2" w:rsidRPr="00A52AB8">
        <w:rPr>
          <w:lang w:eastAsia="ja-JP"/>
        </w:rPr>
        <w:instrText xml:space="preserve"> \* MERGEFORMAT </w:instrText>
      </w:r>
      <w:r w:rsidRPr="00496A4D">
        <w:rPr>
          <w:lang w:eastAsia="ja-JP"/>
        </w:rPr>
      </w:r>
      <w:r w:rsidRPr="00496A4D">
        <w:rPr>
          <w:lang w:eastAsia="ja-JP"/>
        </w:rPr>
        <w:fldChar w:fldCharType="separate"/>
      </w:r>
      <w:r w:rsidR="00507A67">
        <w:rPr>
          <w:lang w:eastAsia="ja-JP"/>
        </w:rPr>
        <w:t>H.9</w:t>
      </w:r>
      <w:r w:rsidRPr="00496A4D">
        <w:rPr>
          <w:lang w:eastAsia="ja-JP"/>
        </w:rPr>
        <w:fldChar w:fldCharType="end"/>
      </w:r>
      <w:r w:rsidRPr="00A52AB8">
        <w:rPr>
          <w:lang w:eastAsia="ja-JP"/>
        </w:rPr>
        <w:t xml:space="preserve"> invokes the decoding process of a V3C bitstream or a collection of V3C sub-bitstreams, with outputs composed of decoded atlas information</w:t>
      </w:r>
      <w:r w:rsidRPr="00A52AB8">
        <w:rPr>
          <w:color w:val="000000" w:themeColor="text1"/>
        </w:rPr>
        <w:t>, a set of decoded video streams, corresponding to the occupancy, geometry, and attribute</w:t>
      </w:r>
      <w:r w:rsidR="00541531" w:rsidRPr="00A52AB8">
        <w:rPr>
          <w:color w:val="000000" w:themeColor="text1"/>
        </w:rPr>
        <w:t xml:space="preserve"> components</w:t>
      </w:r>
      <w:r w:rsidRPr="00A52AB8">
        <w:rPr>
          <w:color w:val="000000" w:themeColor="text1"/>
        </w:rPr>
        <w:t xml:space="preserve">, if available, and </w:t>
      </w:r>
      <w:r w:rsidR="00E51FD6" w:rsidRPr="00A52AB8">
        <w:rPr>
          <w:color w:val="000000" w:themeColor="text1"/>
        </w:rPr>
        <w:t>any assoc</w:t>
      </w:r>
      <w:r w:rsidRPr="00A52AB8">
        <w:rPr>
          <w:color w:val="000000" w:themeColor="text1"/>
        </w:rPr>
        <w:t>i</w:t>
      </w:r>
      <w:r w:rsidR="00E51FD6" w:rsidRPr="00A52AB8">
        <w:rPr>
          <w:color w:val="000000" w:themeColor="text1"/>
        </w:rPr>
        <w:t>ated i</w:t>
      </w:r>
      <w:r w:rsidRPr="00A52AB8">
        <w:rPr>
          <w:color w:val="000000" w:themeColor="text1"/>
        </w:rPr>
        <w:t xml:space="preserve">nformation </w:t>
      </w:r>
      <w:r w:rsidR="00E51FD6" w:rsidRPr="00A52AB8">
        <w:rPr>
          <w:color w:val="000000" w:themeColor="text1"/>
        </w:rPr>
        <w:t xml:space="preserve">from </w:t>
      </w:r>
      <w:r w:rsidRPr="00A52AB8">
        <w:rPr>
          <w:color w:val="000000" w:themeColor="text1"/>
        </w:rPr>
        <w:t xml:space="preserve">the </w:t>
      </w:r>
      <w:r w:rsidR="00E51FD6" w:rsidRPr="00A52AB8">
        <w:rPr>
          <w:color w:val="000000" w:themeColor="text1"/>
        </w:rPr>
        <w:t>VPS if available</w:t>
      </w:r>
      <w:r w:rsidRPr="00A52AB8">
        <w:rPr>
          <w:lang w:eastAsia="ja-JP"/>
        </w:rPr>
        <w:t>.</w:t>
      </w:r>
    </w:p>
    <w:p w14:paraId="6BDB5B6A" w14:textId="3D15A98D" w:rsidR="00864657" w:rsidRPr="00A52AB8" w:rsidRDefault="00864657" w:rsidP="00864657">
      <w:pPr>
        <w:rPr>
          <w:lang w:eastAsia="ja-JP"/>
        </w:rPr>
      </w:pPr>
      <w:r w:rsidRPr="00A52AB8">
        <w:rPr>
          <w:lang w:eastAsia="ja-JP"/>
        </w:rPr>
        <w:t xml:space="preserve">The decoded video frames may require the application of additional transformations, as described in </w:t>
      </w:r>
      <w:r w:rsidRPr="00496A4D">
        <w:rPr>
          <w:lang w:eastAsia="ja-JP"/>
        </w:rPr>
        <w:fldChar w:fldCharType="begin"/>
      </w:r>
      <w:r w:rsidRPr="00A52AB8">
        <w:rPr>
          <w:lang w:eastAsia="ja-JP"/>
        </w:rPr>
        <w:instrText xml:space="preserve"> REF _Ref38561253 \n \h  \* MERGEFORMAT </w:instrText>
      </w:r>
      <w:r w:rsidRPr="00496A4D">
        <w:rPr>
          <w:lang w:eastAsia="ja-JP"/>
        </w:rPr>
      </w:r>
      <w:r w:rsidRPr="00496A4D">
        <w:rPr>
          <w:lang w:eastAsia="ja-JP"/>
        </w:rPr>
        <w:fldChar w:fldCharType="separate"/>
      </w:r>
      <w:r w:rsidR="00507A67">
        <w:rPr>
          <w:lang w:eastAsia="ja-JP"/>
        </w:rPr>
        <w:t>Annex B</w:t>
      </w:r>
      <w:r w:rsidRPr="00496A4D">
        <w:rPr>
          <w:lang w:eastAsia="ja-JP"/>
        </w:rPr>
        <w:fldChar w:fldCharType="end"/>
      </w:r>
      <w:r w:rsidRPr="00A52AB8">
        <w:rPr>
          <w:lang w:eastAsia="ja-JP"/>
        </w:rPr>
        <w:t>, before any reconstruction operations. For example, the different components may need to be time-aligned and converted to a nominal video format.</w:t>
      </w:r>
      <w:r w:rsidR="00F62E91" w:rsidRPr="00A52AB8">
        <w:rPr>
          <w:lang w:eastAsia="ja-JP"/>
        </w:rPr>
        <w:t xml:space="preserve"> The outputs of </w:t>
      </w:r>
      <w:r w:rsidR="00F62E91" w:rsidRPr="00496A4D">
        <w:rPr>
          <w:lang w:eastAsia="ja-JP"/>
        </w:rPr>
        <w:fldChar w:fldCharType="begin"/>
      </w:r>
      <w:r w:rsidR="00F62E91" w:rsidRPr="00A52AB8">
        <w:rPr>
          <w:lang w:eastAsia="ja-JP"/>
        </w:rPr>
        <w:instrText xml:space="preserve"> REF _Ref38561253 \n \h  \* MERGEFORMAT </w:instrText>
      </w:r>
      <w:r w:rsidR="00F62E91" w:rsidRPr="00496A4D">
        <w:rPr>
          <w:lang w:eastAsia="ja-JP"/>
        </w:rPr>
      </w:r>
      <w:r w:rsidR="00F62E91" w:rsidRPr="00496A4D">
        <w:rPr>
          <w:lang w:eastAsia="ja-JP"/>
        </w:rPr>
        <w:fldChar w:fldCharType="separate"/>
      </w:r>
      <w:r w:rsidR="00507A67">
        <w:rPr>
          <w:lang w:eastAsia="ja-JP"/>
        </w:rPr>
        <w:t>Annex B</w:t>
      </w:r>
      <w:r w:rsidR="00F62E91" w:rsidRPr="00496A4D">
        <w:rPr>
          <w:lang w:eastAsia="ja-JP"/>
        </w:rPr>
        <w:fldChar w:fldCharType="end"/>
      </w:r>
      <w:r w:rsidR="00F62E91" w:rsidRPr="00A52AB8">
        <w:rPr>
          <w:lang w:eastAsia="ja-JP"/>
        </w:rPr>
        <w:t xml:space="preserve"> are the following videos in the nominal format: </w:t>
      </w:r>
      <w:r w:rsidR="00F62E91" w:rsidRPr="00A52AB8">
        <w:rPr>
          <w:color w:val="000000" w:themeColor="text1"/>
        </w:rPr>
        <w:t xml:space="preserve">OccFramesNF and GeoFramesNF, </w:t>
      </w:r>
      <w:r w:rsidR="00F62E91" w:rsidRPr="00A52AB8">
        <w:rPr>
          <w:lang w:eastAsia="ja-JP"/>
        </w:rPr>
        <w:t xml:space="preserve">and, if present, </w:t>
      </w:r>
      <w:r w:rsidR="00F62E91" w:rsidRPr="00A52AB8">
        <w:rPr>
          <w:color w:val="000000" w:themeColor="text1"/>
        </w:rPr>
        <w:t>GeoAuxFramesNF, AttrFramesNF, and AttrAuxFramesNF.</w:t>
      </w:r>
    </w:p>
    <w:p w14:paraId="594ED589" w14:textId="5502C6ED" w:rsidR="00864657" w:rsidRPr="00A52AB8" w:rsidRDefault="00864657" w:rsidP="00864657">
      <w:pPr>
        <w:rPr>
          <w:lang w:eastAsia="ja-JP"/>
        </w:rPr>
      </w:pPr>
      <w:r w:rsidRPr="00A52AB8">
        <w:rPr>
          <w:lang w:eastAsia="ja-JP"/>
        </w:rPr>
        <w:t xml:space="preserve">With the V3C components in the nominal format, </w:t>
      </w:r>
      <w:r w:rsidR="00097F72" w:rsidRPr="00A52AB8">
        <w:rPr>
          <w:lang w:eastAsia="ja-JP"/>
        </w:rPr>
        <w:t xml:space="preserve">the </w:t>
      </w:r>
      <w:r w:rsidR="00F62E91" w:rsidRPr="00A52AB8">
        <w:rPr>
          <w:lang w:eastAsia="ja-JP"/>
        </w:rPr>
        <w:t>point cloud</w:t>
      </w:r>
      <w:r w:rsidR="00097F72" w:rsidRPr="00A52AB8">
        <w:rPr>
          <w:lang w:eastAsia="ja-JP"/>
        </w:rPr>
        <w:t xml:space="preserve"> content </w:t>
      </w:r>
      <w:r w:rsidRPr="00A52AB8">
        <w:rPr>
          <w:lang w:eastAsia="ja-JP"/>
        </w:rPr>
        <w:t xml:space="preserve">is obtained </w:t>
      </w:r>
      <w:r w:rsidR="000A487E" w:rsidRPr="00A52AB8">
        <w:rPr>
          <w:lang w:eastAsia="ja-JP"/>
        </w:rPr>
        <w:t xml:space="preserve">by invoking several additional steps, including </w:t>
      </w:r>
      <w:r w:rsidRPr="00A52AB8">
        <w:rPr>
          <w:lang w:eastAsia="ja-JP"/>
        </w:rPr>
        <w:t>pre-reconstruction, reconstruction, post-reconstruction, and adaptation.</w:t>
      </w:r>
    </w:p>
    <w:p w14:paraId="4062D57E" w14:textId="001DD686" w:rsidR="00864657" w:rsidRPr="00A52AB8" w:rsidRDefault="000A487E" w:rsidP="00864657">
      <w:pPr>
        <w:rPr>
          <w:lang w:eastAsia="ja-JP"/>
        </w:rPr>
      </w:pPr>
      <w:r w:rsidRPr="00A52AB8">
        <w:rPr>
          <w:lang w:eastAsia="ja-JP"/>
        </w:rPr>
        <w:t xml:space="preserve">The </w:t>
      </w:r>
      <w:r w:rsidR="00864657" w:rsidRPr="00A52AB8">
        <w:rPr>
          <w:lang w:eastAsia="ja-JP"/>
        </w:rPr>
        <w:t>pre-reconstruction</w:t>
      </w:r>
      <w:r w:rsidRPr="00A52AB8">
        <w:rPr>
          <w:lang w:eastAsia="ja-JP"/>
        </w:rPr>
        <w:t xml:space="preserve"> process</w:t>
      </w:r>
      <w:r w:rsidR="00864657" w:rsidRPr="00A52AB8">
        <w:rPr>
          <w:lang w:eastAsia="ja-JP"/>
        </w:rPr>
        <w:t xml:space="preserve">, </w:t>
      </w:r>
      <w:r w:rsidRPr="00A52AB8">
        <w:rPr>
          <w:lang w:eastAsia="ja-JP"/>
        </w:rPr>
        <w:t xml:space="preserve">which is </w:t>
      </w:r>
      <w:r w:rsidR="00864657" w:rsidRPr="00A52AB8">
        <w:rPr>
          <w:lang w:eastAsia="ja-JP"/>
        </w:rPr>
        <w:t xml:space="preserve">specified in Clause </w:t>
      </w:r>
      <w:r w:rsidR="00864657" w:rsidRPr="00496A4D">
        <w:rPr>
          <w:lang w:eastAsia="ja-JP"/>
        </w:rPr>
        <w:fldChar w:fldCharType="begin"/>
      </w:r>
      <w:r w:rsidR="00864657" w:rsidRPr="00A52AB8">
        <w:rPr>
          <w:lang w:eastAsia="ja-JP"/>
        </w:rPr>
        <w:instrText xml:space="preserve"> REF _Ref49343853 \r \h </w:instrText>
      </w:r>
      <w:r w:rsidR="00007BE2" w:rsidRPr="00A52AB8">
        <w:rPr>
          <w:lang w:eastAsia="ja-JP"/>
        </w:rPr>
        <w:instrText xml:space="preserve"> \* MERGEFORMAT </w:instrText>
      </w:r>
      <w:r w:rsidR="00864657" w:rsidRPr="00496A4D">
        <w:rPr>
          <w:lang w:eastAsia="ja-JP"/>
        </w:rPr>
      </w:r>
      <w:r w:rsidR="00864657" w:rsidRPr="00496A4D">
        <w:rPr>
          <w:lang w:eastAsia="ja-JP"/>
        </w:rPr>
        <w:fldChar w:fldCharType="separate"/>
      </w:r>
      <w:r w:rsidR="00507A67">
        <w:rPr>
          <w:lang w:eastAsia="ja-JP"/>
        </w:rPr>
        <w:t>H.10</w:t>
      </w:r>
      <w:r w:rsidR="00864657" w:rsidRPr="00496A4D">
        <w:rPr>
          <w:lang w:eastAsia="ja-JP"/>
        </w:rPr>
        <w:fldChar w:fldCharType="end"/>
      </w:r>
      <w:r w:rsidR="00864657" w:rsidRPr="00A52AB8">
        <w:rPr>
          <w:lang w:eastAsia="ja-JP"/>
        </w:rPr>
        <w:t xml:space="preserve">, </w:t>
      </w:r>
      <w:r w:rsidRPr="00A52AB8">
        <w:rPr>
          <w:lang w:eastAsia="ja-JP"/>
        </w:rPr>
        <w:t xml:space="preserve">may specify additional  processes to be applied on the reconstructed video frames, such as certain forms of post-filtering, which may result in improved visual quality or other benefits. Currently a process that </w:t>
      </w:r>
      <w:r w:rsidR="00D93F58" w:rsidRPr="00A52AB8">
        <w:rPr>
          <w:lang w:eastAsia="ja-JP"/>
        </w:rPr>
        <w:t xml:space="preserve">allows for the </w:t>
      </w:r>
      <w:r w:rsidRPr="00A52AB8">
        <w:rPr>
          <w:lang w:eastAsia="ja-JP"/>
        </w:rPr>
        <w:t>modifi</w:t>
      </w:r>
      <w:r w:rsidR="00D93F58" w:rsidRPr="00A52AB8">
        <w:rPr>
          <w:lang w:eastAsia="ja-JP"/>
        </w:rPr>
        <w:t>cation</w:t>
      </w:r>
      <w:r w:rsidRPr="00A52AB8">
        <w:rPr>
          <w:lang w:eastAsia="ja-JP"/>
        </w:rPr>
        <w:t xml:space="preserve"> </w:t>
      </w:r>
      <w:r w:rsidR="00D93F58" w:rsidRPr="00A52AB8">
        <w:rPr>
          <w:lang w:eastAsia="ja-JP"/>
        </w:rPr>
        <w:t xml:space="preserve">of the </w:t>
      </w:r>
      <w:r w:rsidR="00097F72" w:rsidRPr="00A52AB8">
        <w:rPr>
          <w:lang w:eastAsia="ja-JP"/>
        </w:rPr>
        <w:t xml:space="preserve">occupancy frames, </w:t>
      </w:r>
      <w:r w:rsidR="00F62E91" w:rsidRPr="00A52AB8">
        <w:rPr>
          <w:color w:val="000000" w:themeColor="text1"/>
        </w:rPr>
        <w:t>OccFramesNF</w:t>
      </w:r>
      <w:r w:rsidR="00097F72" w:rsidRPr="00A52AB8">
        <w:rPr>
          <w:color w:val="000000" w:themeColor="text1"/>
        </w:rPr>
        <w:t>,</w:t>
      </w:r>
      <w:r w:rsidR="00F62E91" w:rsidRPr="00A52AB8">
        <w:rPr>
          <w:color w:val="000000" w:themeColor="text1"/>
        </w:rPr>
        <w:t xml:space="preserve"> </w:t>
      </w:r>
      <w:r w:rsidR="00D93F58" w:rsidRPr="00A52AB8">
        <w:rPr>
          <w:color w:val="000000" w:themeColor="text1"/>
        </w:rPr>
        <w:t>is specified</w:t>
      </w:r>
      <w:r w:rsidR="00097F72" w:rsidRPr="00A52AB8">
        <w:rPr>
          <w:color w:val="000000" w:themeColor="text1"/>
        </w:rPr>
        <w:t xml:space="preserve">. </w:t>
      </w:r>
      <w:r w:rsidRPr="00A52AB8">
        <w:rPr>
          <w:color w:val="000000" w:themeColor="text1"/>
        </w:rPr>
        <w:t xml:space="preserve">In particular, </w:t>
      </w:r>
      <w:r w:rsidR="00097F72" w:rsidRPr="00A52AB8">
        <w:rPr>
          <w:color w:val="000000" w:themeColor="text1"/>
        </w:rPr>
        <w:t xml:space="preserve">the </w:t>
      </w:r>
      <w:r w:rsidR="00D93F58" w:rsidRPr="00A52AB8">
        <w:rPr>
          <w:color w:val="000000" w:themeColor="text1"/>
        </w:rPr>
        <w:t xml:space="preserve">technique named as the </w:t>
      </w:r>
      <w:r w:rsidR="00097F72" w:rsidRPr="00A52AB8">
        <w:rPr>
          <w:color w:val="000000" w:themeColor="text1"/>
        </w:rPr>
        <w:t xml:space="preserve">occupancy synthesis process </w:t>
      </w:r>
      <w:r w:rsidRPr="00A52AB8">
        <w:rPr>
          <w:color w:val="000000" w:themeColor="text1"/>
        </w:rPr>
        <w:t>i</w:t>
      </w:r>
      <w:r w:rsidR="00097F72" w:rsidRPr="00A52AB8">
        <w:rPr>
          <w:color w:val="000000" w:themeColor="text1"/>
        </w:rPr>
        <w:t xml:space="preserve">s specified </w:t>
      </w:r>
      <w:r w:rsidR="00F62E91" w:rsidRPr="00A52AB8">
        <w:rPr>
          <w:color w:val="000000" w:themeColor="text1"/>
        </w:rPr>
        <w:t>in subclause </w:t>
      </w:r>
      <w:r w:rsidR="00097F72" w:rsidRPr="00496A4D">
        <w:rPr>
          <w:color w:val="000000" w:themeColor="text1"/>
        </w:rPr>
        <w:fldChar w:fldCharType="begin"/>
      </w:r>
      <w:r w:rsidR="00097F72" w:rsidRPr="00A52AB8">
        <w:rPr>
          <w:color w:val="000000" w:themeColor="text1"/>
        </w:rPr>
        <w:instrText xml:space="preserve"> REF _Ref49344920 \r \h </w:instrText>
      </w:r>
      <w:r w:rsidR="00007BE2" w:rsidRPr="00A52AB8">
        <w:rPr>
          <w:color w:val="000000" w:themeColor="text1"/>
        </w:rPr>
        <w:instrText xml:space="preserve"> \* MERGEFORMAT </w:instrText>
      </w:r>
      <w:r w:rsidR="00097F72" w:rsidRPr="00496A4D">
        <w:rPr>
          <w:color w:val="000000" w:themeColor="text1"/>
        </w:rPr>
      </w:r>
      <w:r w:rsidR="00097F72" w:rsidRPr="00496A4D">
        <w:rPr>
          <w:color w:val="000000" w:themeColor="text1"/>
        </w:rPr>
        <w:fldChar w:fldCharType="separate"/>
      </w:r>
      <w:r w:rsidR="00507A67">
        <w:rPr>
          <w:color w:val="000000" w:themeColor="text1"/>
        </w:rPr>
        <w:t>H.10.2</w:t>
      </w:r>
      <w:r w:rsidR="00097F72" w:rsidRPr="00496A4D">
        <w:rPr>
          <w:color w:val="000000" w:themeColor="text1"/>
        </w:rPr>
        <w:fldChar w:fldCharType="end"/>
      </w:r>
      <w:r w:rsidR="00097F72" w:rsidRPr="00A52AB8">
        <w:rPr>
          <w:color w:val="000000" w:themeColor="text1"/>
        </w:rPr>
        <w:t>.</w:t>
      </w:r>
    </w:p>
    <w:p w14:paraId="2AA50BC1" w14:textId="1B3C0809" w:rsidR="00864657" w:rsidRPr="00A52AB8" w:rsidRDefault="00864657" w:rsidP="00864657">
      <w:pPr>
        <w:rPr>
          <w:lang w:eastAsia="ja-JP"/>
        </w:rPr>
      </w:pPr>
      <w:r w:rsidRPr="00A52AB8">
        <w:rPr>
          <w:lang w:eastAsia="ja-JP"/>
        </w:rPr>
        <w:t xml:space="preserve">In the reconstruction stage, described in Clause </w:t>
      </w:r>
      <w:r w:rsidRPr="00496A4D">
        <w:rPr>
          <w:lang w:eastAsia="ja-JP"/>
        </w:rPr>
        <w:fldChar w:fldCharType="begin"/>
      </w:r>
      <w:r w:rsidRPr="00A52AB8">
        <w:rPr>
          <w:lang w:eastAsia="ja-JP"/>
        </w:rPr>
        <w:instrText xml:space="preserve"> REF _Ref50231796 \r \h </w:instrText>
      </w:r>
      <w:r w:rsidR="00007BE2" w:rsidRPr="00A52AB8">
        <w:rPr>
          <w:lang w:eastAsia="ja-JP"/>
        </w:rPr>
        <w:instrText xml:space="preserve"> \* MERGEFORMAT </w:instrText>
      </w:r>
      <w:r w:rsidRPr="00496A4D">
        <w:rPr>
          <w:lang w:eastAsia="ja-JP"/>
        </w:rPr>
      </w:r>
      <w:r w:rsidRPr="00496A4D">
        <w:rPr>
          <w:lang w:eastAsia="ja-JP"/>
        </w:rPr>
        <w:fldChar w:fldCharType="separate"/>
      </w:r>
      <w:r w:rsidR="00507A67">
        <w:rPr>
          <w:lang w:eastAsia="ja-JP"/>
        </w:rPr>
        <w:t>H.11</w:t>
      </w:r>
      <w:r w:rsidRPr="00496A4D">
        <w:rPr>
          <w:lang w:eastAsia="ja-JP"/>
        </w:rPr>
        <w:fldChar w:fldCharType="end"/>
      </w:r>
      <w:r w:rsidRPr="00A52AB8">
        <w:rPr>
          <w:lang w:eastAsia="ja-JP"/>
        </w:rPr>
        <w:t xml:space="preserve">, the video components </w:t>
      </w:r>
      <w:r w:rsidR="00097F72" w:rsidRPr="00A52AB8">
        <w:rPr>
          <w:lang w:eastAsia="ja-JP"/>
        </w:rPr>
        <w:t xml:space="preserve">in the nominal format, </w:t>
      </w:r>
      <w:r w:rsidR="00097F72" w:rsidRPr="00A52AB8">
        <w:rPr>
          <w:color w:val="000000" w:themeColor="text1"/>
        </w:rPr>
        <w:t xml:space="preserve">OccFramesNF and GeoFramesNF, </w:t>
      </w:r>
      <w:r w:rsidR="00097F72" w:rsidRPr="00A52AB8">
        <w:rPr>
          <w:lang w:eastAsia="ja-JP"/>
        </w:rPr>
        <w:t xml:space="preserve">and, if present, </w:t>
      </w:r>
      <w:r w:rsidR="00097F72" w:rsidRPr="00A52AB8">
        <w:rPr>
          <w:color w:val="000000" w:themeColor="text1"/>
        </w:rPr>
        <w:t>GeoAuxFramesNF, AttrFramesNF, and AttrAuxFramesNF,</w:t>
      </w:r>
      <w:r w:rsidR="00097F72" w:rsidRPr="00A52AB8">
        <w:rPr>
          <w:lang w:eastAsia="ja-JP"/>
        </w:rPr>
        <w:t xml:space="preserve"> </w:t>
      </w:r>
      <w:r w:rsidRPr="00A52AB8">
        <w:rPr>
          <w:lang w:eastAsia="ja-JP"/>
        </w:rPr>
        <w:t>along with the decoded atlas data</w:t>
      </w:r>
      <w:r w:rsidR="003122DE" w:rsidRPr="00A52AB8">
        <w:rPr>
          <w:lang w:eastAsia="ja-JP"/>
        </w:rPr>
        <w:t>,</w:t>
      </w:r>
      <w:r w:rsidRPr="00A52AB8">
        <w:rPr>
          <w:lang w:eastAsia="ja-JP"/>
        </w:rPr>
        <w:t xml:space="preserve"> are processed to reconstruct the </w:t>
      </w:r>
      <w:r w:rsidR="00097F72" w:rsidRPr="00A52AB8">
        <w:rPr>
          <w:lang w:eastAsia="ja-JP"/>
        </w:rPr>
        <w:t>point cloud</w:t>
      </w:r>
      <w:r w:rsidR="00E51FD6" w:rsidRPr="00A52AB8">
        <w:rPr>
          <w:lang w:eastAsia="ja-JP"/>
        </w:rPr>
        <w:t xml:space="preserve"> </w:t>
      </w:r>
      <w:r w:rsidR="00097F72" w:rsidRPr="00A52AB8">
        <w:rPr>
          <w:lang w:eastAsia="ja-JP"/>
        </w:rPr>
        <w:t>content</w:t>
      </w:r>
      <w:r w:rsidRPr="00A52AB8">
        <w:rPr>
          <w:lang w:eastAsia="ja-JP"/>
        </w:rPr>
        <w:t>.</w:t>
      </w:r>
    </w:p>
    <w:p w14:paraId="18C0C1CF" w14:textId="4490D81F" w:rsidR="00864657" w:rsidRPr="00A52AB8" w:rsidRDefault="00864657" w:rsidP="00864657">
      <w:pPr>
        <w:rPr>
          <w:lang w:eastAsia="ja-JP"/>
        </w:rPr>
      </w:pPr>
      <w:r w:rsidRPr="00A52AB8">
        <w:rPr>
          <w:lang w:eastAsia="ja-JP"/>
        </w:rPr>
        <w:t xml:space="preserve">The </w:t>
      </w:r>
      <w:r w:rsidR="00BE51D1" w:rsidRPr="00A52AB8">
        <w:rPr>
          <w:lang w:eastAsia="ja-JP"/>
        </w:rPr>
        <w:t xml:space="preserve">reconstructed </w:t>
      </w:r>
      <w:r w:rsidR="00097F72" w:rsidRPr="00A52AB8">
        <w:rPr>
          <w:lang w:eastAsia="ja-JP"/>
        </w:rPr>
        <w:t>point cloud</w:t>
      </w:r>
      <w:r w:rsidRPr="00A52AB8">
        <w:rPr>
          <w:lang w:eastAsia="ja-JP"/>
        </w:rPr>
        <w:t xml:space="preserve"> content can be further processed</w:t>
      </w:r>
      <w:r w:rsidR="00BE51D1" w:rsidRPr="00A52AB8">
        <w:rPr>
          <w:lang w:eastAsia="ja-JP"/>
        </w:rPr>
        <w:t xml:space="preserve"> </w:t>
      </w:r>
      <w:r w:rsidRPr="00A52AB8">
        <w:rPr>
          <w:lang w:eastAsia="ja-JP"/>
        </w:rPr>
        <w:t xml:space="preserve">by applying informative post-reconstruction methods, as described in Clause </w:t>
      </w:r>
      <w:r w:rsidRPr="00496A4D">
        <w:rPr>
          <w:lang w:eastAsia="ja-JP"/>
        </w:rPr>
        <w:fldChar w:fldCharType="begin"/>
      </w:r>
      <w:r w:rsidRPr="00A52AB8">
        <w:rPr>
          <w:lang w:eastAsia="ja-JP"/>
        </w:rPr>
        <w:instrText xml:space="preserve"> REF _Ref47628918 \r \h </w:instrText>
      </w:r>
      <w:r w:rsidR="00007BE2" w:rsidRPr="00A52AB8">
        <w:rPr>
          <w:lang w:eastAsia="ja-JP"/>
        </w:rPr>
        <w:instrText xml:space="preserve"> \* MERGEFORMAT </w:instrText>
      </w:r>
      <w:r w:rsidRPr="00496A4D">
        <w:rPr>
          <w:lang w:eastAsia="ja-JP"/>
        </w:rPr>
      </w:r>
      <w:r w:rsidRPr="00496A4D">
        <w:rPr>
          <w:lang w:eastAsia="ja-JP"/>
        </w:rPr>
        <w:fldChar w:fldCharType="separate"/>
      </w:r>
      <w:r w:rsidR="00507A67">
        <w:rPr>
          <w:lang w:eastAsia="ja-JP"/>
        </w:rPr>
        <w:t>H.12</w:t>
      </w:r>
      <w:r w:rsidRPr="00496A4D">
        <w:rPr>
          <w:lang w:eastAsia="ja-JP"/>
        </w:rPr>
        <w:fldChar w:fldCharType="end"/>
      </w:r>
      <w:r w:rsidRPr="00A52AB8">
        <w:rPr>
          <w:lang w:eastAsia="ja-JP"/>
        </w:rPr>
        <w:t>.</w:t>
      </w:r>
      <w:r w:rsidR="00BE51D1" w:rsidRPr="00A52AB8">
        <w:rPr>
          <w:lang w:eastAsia="ja-JP"/>
        </w:rPr>
        <w:t xml:space="preserve"> For example, </w:t>
      </w:r>
      <w:r w:rsidR="00BE51D1" w:rsidRPr="00A52AB8">
        <w:rPr>
          <w:color w:val="000000" w:themeColor="text1"/>
        </w:rPr>
        <w:t xml:space="preserve">point cloud post-reconstruction in the form of </w:t>
      </w:r>
      <w:r w:rsidR="00B56703" w:rsidRPr="00A52AB8">
        <w:rPr>
          <w:color w:val="000000" w:themeColor="text1"/>
        </w:rPr>
        <w:t xml:space="preserve">applying a </w:t>
      </w:r>
      <w:r w:rsidR="00BE51D1" w:rsidRPr="00A52AB8">
        <w:rPr>
          <w:color w:val="000000" w:themeColor="text1"/>
        </w:rPr>
        <w:t>geometry smoothing, attribute smoothing,</w:t>
      </w:r>
      <w:r w:rsidR="009E52B9" w:rsidRPr="00A52AB8">
        <w:rPr>
          <w:color w:val="000000" w:themeColor="text1"/>
        </w:rPr>
        <w:t xml:space="preserve"> </w:t>
      </w:r>
      <w:r w:rsidR="00B56703" w:rsidRPr="00A52AB8">
        <w:rPr>
          <w:color w:val="000000" w:themeColor="text1"/>
        </w:rPr>
        <w:t>and/</w:t>
      </w:r>
      <w:r w:rsidR="009E52B9" w:rsidRPr="00A52AB8">
        <w:rPr>
          <w:color w:val="000000" w:themeColor="text1"/>
        </w:rPr>
        <w:t>or attribute transfer</w:t>
      </w:r>
      <w:r w:rsidR="00B56703" w:rsidRPr="00A52AB8">
        <w:rPr>
          <w:color w:val="000000" w:themeColor="text1"/>
        </w:rPr>
        <w:t xml:space="preserve"> process</w:t>
      </w:r>
      <w:r w:rsidR="009E52B9" w:rsidRPr="00A52AB8">
        <w:rPr>
          <w:color w:val="000000" w:themeColor="text1"/>
        </w:rPr>
        <w:t>,</w:t>
      </w:r>
      <w:r w:rsidR="00BE51D1" w:rsidRPr="00A52AB8">
        <w:rPr>
          <w:color w:val="000000" w:themeColor="text1"/>
        </w:rPr>
        <w:t xml:space="preserve"> may be performed on the reconstructed point cloud, as specified in subclauses </w:t>
      </w:r>
      <w:r w:rsidR="00BE51D1" w:rsidRPr="00496A4D">
        <w:rPr>
          <w:color w:val="000000" w:themeColor="text1"/>
        </w:rPr>
        <w:fldChar w:fldCharType="begin"/>
      </w:r>
      <w:r w:rsidR="00BE51D1" w:rsidRPr="00A52AB8">
        <w:rPr>
          <w:color w:val="000000" w:themeColor="text1"/>
        </w:rPr>
        <w:instrText xml:space="preserve"> REF _Ref39773040 \r \h </w:instrText>
      </w:r>
      <w:r w:rsidR="00007BE2" w:rsidRPr="00A52AB8">
        <w:rPr>
          <w:color w:val="000000" w:themeColor="text1"/>
        </w:rPr>
        <w:instrText xml:space="preserve"> \* MERGEFORMAT </w:instrText>
      </w:r>
      <w:r w:rsidR="00BE51D1" w:rsidRPr="00496A4D">
        <w:rPr>
          <w:color w:val="000000" w:themeColor="text1"/>
        </w:rPr>
      </w:r>
      <w:r w:rsidR="00BE51D1" w:rsidRPr="00496A4D">
        <w:rPr>
          <w:color w:val="000000" w:themeColor="text1"/>
        </w:rPr>
        <w:fldChar w:fldCharType="separate"/>
      </w:r>
      <w:r w:rsidR="00507A67">
        <w:rPr>
          <w:color w:val="000000" w:themeColor="text1"/>
        </w:rPr>
        <w:t>H.12.2</w:t>
      </w:r>
      <w:r w:rsidR="00BE51D1" w:rsidRPr="00496A4D">
        <w:rPr>
          <w:color w:val="000000" w:themeColor="text1"/>
        </w:rPr>
        <w:fldChar w:fldCharType="end"/>
      </w:r>
      <w:r w:rsidR="00BE51D1" w:rsidRPr="00A52AB8">
        <w:rPr>
          <w:color w:val="000000" w:themeColor="text1"/>
        </w:rPr>
        <w:t xml:space="preserve">, </w:t>
      </w:r>
      <w:r w:rsidR="00BE51D1" w:rsidRPr="00496A4D">
        <w:rPr>
          <w:color w:val="000000" w:themeColor="text1"/>
        </w:rPr>
        <w:fldChar w:fldCharType="begin"/>
      </w:r>
      <w:r w:rsidR="00BE51D1" w:rsidRPr="00A52AB8">
        <w:rPr>
          <w:color w:val="000000" w:themeColor="text1"/>
        </w:rPr>
        <w:instrText xml:space="preserve"> REF _Ref49358175 \n \h  \* MERGEFORMAT </w:instrText>
      </w:r>
      <w:r w:rsidR="00BE51D1" w:rsidRPr="00496A4D">
        <w:rPr>
          <w:color w:val="000000" w:themeColor="text1"/>
        </w:rPr>
      </w:r>
      <w:r w:rsidR="00BE51D1" w:rsidRPr="00496A4D">
        <w:rPr>
          <w:color w:val="000000" w:themeColor="text1"/>
        </w:rPr>
        <w:fldChar w:fldCharType="separate"/>
      </w:r>
      <w:r w:rsidR="00507A67">
        <w:rPr>
          <w:color w:val="000000" w:themeColor="text1"/>
        </w:rPr>
        <w:t>H.12.3</w:t>
      </w:r>
      <w:r w:rsidR="00BE51D1" w:rsidRPr="00496A4D">
        <w:rPr>
          <w:color w:val="000000" w:themeColor="text1"/>
        </w:rPr>
        <w:fldChar w:fldCharType="end"/>
      </w:r>
      <w:r w:rsidR="00BE51D1" w:rsidRPr="00A52AB8">
        <w:rPr>
          <w:color w:val="000000" w:themeColor="text1"/>
        </w:rPr>
        <w:t>,</w:t>
      </w:r>
      <w:r w:rsidR="009E52B9" w:rsidRPr="00A52AB8">
        <w:rPr>
          <w:color w:val="000000" w:themeColor="text1"/>
        </w:rPr>
        <w:t xml:space="preserve"> and </w:t>
      </w:r>
      <w:r w:rsidR="009E52B9" w:rsidRPr="00496A4D">
        <w:rPr>
          <w:color w:val="000000" w:themeColor="text1"/>
        </w:rPr>
        <w:fldChar w:fldCharType="begin"/>
      </w:r>
      <w:r w:rsidR="009E52B9" w:rsidRPr="00A52AB8">
        <w:rPr>
          <w:color w:val="000000" w:themeColor="text1"/>
        </w:rPr>
        <w:instrText xml:space="preserve"> REF _Ref49423376 \r \h </w:instrText>
      </w:r>
      <w:r w:rsidR="00007BE2" w:rsidRPr="00A52AB8">
        <w:rPr>
          <w:color w:val="000000" w:themeColor="text1"/>
        </w:rPr>
        <w:instrText xml:space="preserve"> \* MERGEFORMAT </w:instrText>
      </w:r>
      <w:r w:rsidR="009E52B9" w:rsidRPr="00496A4D">
        <w:rPr>
          <w:color w:val="000000" w:themeColor="text1"/>
        </w:rPr>
      </w:r>
      <w:r w:rsidR="009E52B9" w:rsidRPr="00496A4D">
        <w:rPr>
          <w:color w:val="000000" w:themeColor="text1"/>
        </w:rPr>
        <w:fldChar w:fldCharType="separate"/>
      </w:r>
      <w:r w:rsidR="00507A67">
        <w:rPr>
          <w:color w:val="000000" w:themeColor="text1"/>
        </w:rPr>
        <w:t>H.12.8</w:t>
      </w:r>
      <w:r w:rsidR="009E52B9" w:rsidRPr="00496A4D">
        <w:rPr>
          <w:color w:val="000000" w:themeColor="text1"/>
        </w:rPr>
        <w:fldChar w:fldCharType="end"/>
      </w:r>
      <w:r w:rsidR="009E52B9" w:rsidRPr="00A52AB8">
        <w:rPr>
          <w:color w:val="000000" w:themeColor="text1"/>
        </w:rPr>
        <w:t>,</w:t>
      </w:r>
      <w:r w:rsidR="00BE51D1" w:rsidRPr="00A52AB8">
        <w:rPr>
          <w:color w:val="000000" w:themeColor="text1"/>
        </w:rPr>
        <w:t xml:space="preserve"> respectively.</w:t>
      </w:r>
    </w:p>
    <w:p w14:paraId="35D7DBBF" w14:textId="742A2CA0" w:rsidR="00864657" w:rsidRPr="00A52AB8" w:rsidRDefault="00864657" w:rsidP="00864657">
      <w:pPr>
        <w:rPr>
          <w:lang w:eastAsia="ja-JP"/>
        </w:rPr>
      </w:pPr>
      <w:r w:rsidRPr="00A52AB8">
        <w:rPr>
          <w:lang w:eastAsia="ja-JP"/>
        </w:rPr>
        <w:t xml:space="preserve">Depending on the application, the </w:t>
      </w:r>
      <w:r w:rsidR="00BE51D1" w:rsidRPr="00A52AB8">
        <w:rPr>
          <w:lang w:eastAsia="ja-JP"/>
        </w:rPr>
        <w:t>post-reconstructed point cloud</w:t>
      </w:r>
      <w:r w:rsidRPr="00A52AB8">
        <w:rPr>
          <w:lang w:eastAsia="ja-JP"/>
        </w:rPr>
        <w:t xml:space="preserve"> content can be further optionally processed by additional transformations, as described in Clause </w:t>
      </w:r>
      <w:r w:rsidRPr="00496A4D">
        <w:rPr>
          <w:lang w:eastAsia="ja-JP"/>
        </w:rPr>
        <w:fldChar w:fldCharType="begin"/>
      </w:r>
      <w:r w:rsidRPr="00A52AB8">
        <w:rPr>
          <w:lang w:eastAsia="ja-JP"/>
        </w:rPr>
        <w:instrText xml:space="preserve"> REF _Ref44438783 \r \h </w:instrText>
      </w:r>
      <w:r w:rsidR="00007BE2" w:rsidRPr="00A52AB8">
        <w:rPr>
          <w:lang w:eastAsia="ja-JP"/>
        </w:rPr>
        <w:instrText xml:space="preserve"> \* MERGEFORMAT </w:instrText>
      </w:r>
      <w:r w:rsidRPr="00496A4D">
        <w:rPr>
          <w:lang w:eastAsia="ja-JP"/>
        </w:rPr>
      </w:r>
      <w:r w:rsidRPr="00496A4D">
        <w:rPr>
          <w:lang w:eastAsia="ja-JP"/>
        </w:rPr>
        <w:fldChar w:fldCharType="separate"/>
      </w:r>
      <w:r w:rsidR="00507A67">
        <w:rPr>
          <w:lang w:eastAsia="ja-JP"/>
        </w:rPr>
        <w:t>H.13</w:t>
      </w:r>
      <w:r w:rsidRPr="00496A4D">
        <w:rPr>
          <w:lang w:eastAsia="ja-JP"/>
        </w:rPr>
        <w:fldChar w:fldCharType="end"/>
      </w:r>
      <w:r w:rsidRPr="00A52AB8">
        <w:rPr>
          <w:lang w:eastAsia="ja-JP"/>
        </w:rPr>
        <w:t>.</w:t>
      </w:r>
    </w:p>
    <w:p w14:paraId="534BEBF3" w14:textId="77777777" w:rsidR="004109F0" w:rsidRPr="00A52AB8" w:rsidRDefault="004109F0" w:rsidP="004109F0">
      <w:pPr>
        <w:pStyle w:val="a2"/>
        <w:numPr>
          <w:ilvl w:val="1"/>
          <w:numId w:val="14"/>
        </w:numPr>
      </w:pPr>
      <w:bookmarkStart w:id="6117" w:name="_Toc50238071"/>
      <w:bookmarkStart w:id="6118" w:name="_Toc48345678"/>
      <w:bookmarkStart w:id="6119" w:name="_Toc52181775"/>
      <w:bookmarkEnd w:id="6117"/>
      <w:r w:rsidRPr="00A52AB8">
        <w:t>Bitstream format, partitioning, and scanning process</w:t>
      </w:r>
      <w:bookmarkEnd w:id="6118"/>
      <w:bookmarkEnd w:id="6119"/>
    </w:p>
    <w:p w14:paraId="22A7AD62" w14:textId="204B258B" w:rsidR="004109F0" w:rsidRPr="00A52AB8" w:rsidRDefault="004109F0" w:rsidP="004109F0">
      <w:r w:rsidRPr="00A52AB8">
        <w:t xml:space="preserve">The specifications in Clause </w:t>
      </w:r>
      <w:r w:rsidRPr="00496A4D">
        <w:fldChar w:fldCharType="begin"/>
      </w:r>
      <w:r w:rsidRPr="00A52AB8">
        <w:instrText xml:space="preserve"> REF _Ref48313807 \r \h </w:instrText>
      </w:r>
      <w:r w:rsidR="007812ED" w:rsidRPr="00A52AB8">
        <w:instrText xml:space="preserve"> \* MERGEFORMAT </w:instrText>
      </w:r>
      <w:r w:rsidRPr="00496A4D">
        <w:fldChar w:fldCharType="separate"/>
      </w:r>
      <w:r w:rsidR="00507A67">
        <w:t>7</w:t>
      </w:r>
      <w:r w:rsidRPr="00496A4D">
        <w:fldChar w:fldCharType="end"/>
      </w:r>
      <w:r w:rsidRPr="00A52AB8">
        <w:t xml:space="preserve"> and its subclauses apply.</w:t>
      </w:r>
    </w:p>
    <w:p w14:paraId="1873C6F8" w14:textId="77777777" w:rsidR="00DF1B7B" w:rsidRPr="00A52AB8" w:rsidRDefault="00DF1B7B" w:rsidP="00DF1B7B">
      <w:pPr>
        <w:pStyle w:val="a2"/>
        <w:numPr>
          <w:ilvl w:val="1"/>
          <w:numId w:val="14"/>
        </w:numPr>
      </w:pPr>
      <w:bookmarkStart w:id="6120" w:name="_Toc48346036"/>
      <w:bookmarkStart w:id="6121" w:name="_Toc48346396"/>
      <w:bookmarkStart w:id="6122" w:name="_Toc48346756"/>
      <w:bookmarkStart w:id="6123" w:name="_Toc48347116"/>
      <w:bookmarkStart w:id="6124" w:name="_Toc48347478"/>
      <w:bookmarkStart w:id="6125" w:name="_Toc48347839"/>
      <w:bookmarkStart w:id="6126" w:name="_Toc48750333"/>
      <w:bookmarkStart w:id="6127" w:name="_Toc48753307"/>
      <w:bookmarkStart w:id="6128" w:name="_Toc48753842"/>
      <w:bookmarkStart w:id="6129" w:name="_Toc48821249"/>
      <w:bookmarkStart w:id="6130" w:name="_Toc48822594"/>
      <w:bookmarkStart w:id="6131" w:name="_Toc49012820"/>
      <w:bookmarkStart w:id="6132" w:name="_Toc49013365"/>
      <w:bookmarkStart w:id="6133" w:name="_Toc49014482"/>
      <w:bookmarkStart w:id="6134" w:name="_Toc49095718"/>
      <w:bookmarkStart w:id="6135" w:name="_Toc48346037"/>
      <w:bookmarkStart w:id="6136" w:name="_Toc48346397"/>
      <w:bookmarkStart w:id="6137" w:name="_Toc48346757"/>
      <w:bookmarkStart w:id="6138" w:name="_Toc48347117"/>
      <w:bookmarkStart w:id="6139" w:name="_Toc48347479"/>
      <w:bookmarkStart w:id="6140" w:name="_Toc48347840"/>
      <w:bookmarkStart w:id="6141" w:name="_Toc48750334"/>
      <w:bookmarkStart w:id="6142" w:name="_Toc48753308"/>
      <w:bookmarkStart w:id="6143" w:name="_Toc48753843"/>
      <w:bookmarkStart w:id="6144" w:name="_Toc48821250"/>
      <w:bookmarkStart w:id="6145" w:name="_Toc48822595"/>
      <w:bookmarkStart w:id="6146" w:name="_Toc49012821"/>
      <w:bookmarkStart w:id="6147" w:name="_Toc49013366"/>
      <w:bookmarkStart w:id="6148" w:name="_Toc49014483"/>
      <w:bookmarkStart w:id="6149" w:name="_Toc49095719"/>
      <w:bookmarkStart w:id="6150" w:name="_Toc37760795"/>
      <w:bookmarkStart w:id="6151" w:name="_Ref45107375"/>
      <w:bookmarkStart w:id="6152" w:name="_Ref50231572"/>
      <w:bookmarkStart w:id="6153" w:name="_Toc52181776"/>
      <w:bookmarkEnd w:id="6113"/>
      <w:bookmarkEnd w:id="6120"/>
      <w:bookmarkEnd w:id="6121"/>
      <w:bookmarkEnd w:id="6122"/>
      <w:bookmarkEnd w:id="6123"/>
      <w:bookmarkEnd w:id="6124"/>
      <w:bookmarkEnd w:id="6125"/>
      <w:bookmarkEnd w:id="6126"/>
      <w:bookmarkEnd w:id="6127"/>
      <w:bookmarkEnd w:id="6128"/>
      <w:bookmarkEnd w:id="6129"/>
      <w:bookmarkEnd w:id="6130"/>
      <w:bookmarkEnd w:id="6131"/>
      <w:bookmarkEnd w:id="6132"/>
      <w:bookmarkEnd w:id="6133"/>
      <w:bookmarkEnd w:id="6134"/>
      <w:bookmarkEnd w:id="6135"/>
      <w:bookmarkEnd w:id="6136"/>
      <w:bookmarkEnd w:id="6137"/>
      <w:bookmarkEnd w:id="6138"/>
      <w:bookmarkEnd w:id="6139"/>
      <w:bookmarkEnd w:id="6140"/>
      <w:bookmarkEnd w:id="6141"/>
      <w:bookmarkEnd w:id="6142"/>
      <w:bookmarkEnd w:id="6143"/>
      <w:bookmarkEnd w:id="6144"/>
      <w:bookmarkEnd w:id="6145"/>
      <w:bookmarkEnd w:id="6146"/>
      <w:bookmarkEnd w:id="6147"/>
      <w:bookmarkEnd w:id="6148"/>
      <w:bookmarkEnd w:id="6149"/>
      <w:r w:rsidRPr="00A52AB8">
        <w:t>Syntax and Semantics</w:t>
      </w:r>
      <w:bookmarkEnd w:id="6150"/>
      <w:bookmarkEnd w:id="6151"/>
      <w:bookmarkEnd w:id="6152"/>
      <w:bookmarkEnd w:id="6153"/>
    </w:p>
    <w:p w14:paraId="4975CDF6" w14:textId="77777777" w:rsidR="00DF1B7B" w:rsidRPr="00A52AB8" w:rsidRDefault="00DF1B7B" w:rsidP="00DF1B7B">
      <w:pPr>
        <w:pStyle w:val="a3"/>
        <w:numPr>
          <w:ilvl w:val="2"/>
          <w:numId w:val="14"/>
        </w:numPr>
      </w:pPr>
      <w:bookmarkStart w:id="6154" w:name="_Toc48346039"/>
      <w:bookmarkStart w:id="6155" w:name="_Toc48346399"/>
      <w:bookmarkStart w:id="6156" w:name="_Toc48346759"/>
      <w:bookmarkStart w:id="6157" w:name="_Toc48347119"/>
      <w:bookmarkStart w:id="6158" w:name="_Toc48347481"/>
      <w:bookmarkStart w:id="6159" w:name="_Toc48347842"/>
      <w:bookmarkStart w:id="6160" w:name="_Toc48750336"/>
      <w:bookmarkStart w:id="6161" w:name="_Toc48753310"/>
      <w:bookmarkStart w:id="6162" w:name="_Toc48753845"/>
      <w:bookmarkStart w:id="6163" w:name="_Toc48821252"/>
      <w:bookmarkStart w:id="6164" w:name="_Toc48822597"/>
      <w:bookmarkStart w:id="6165" w:name="_Toc49012823"/>
      <w:bookmarkStart w:id="6166" w:name="_Toc49013368"/>
      <w:bookmarkStart w:id="6167" w:name="_Toc49014485"/>
      <w:bookmarkStart w:id="6168" w:name="_Toc49095721"/>
      <w:bookmarkStart w:id="6169" w:name="_Toc37760796"/>
      <w:bookmarkStart w:id="6170" w:name="_Toc52181777"/>
      <w:bookmarkEnd w:id="6154"/>
      <w:bookmarkEnd w:id="6155"/>
      <w:bookmarkEnd w:id="6156"/>
      <w:bookmarkEnd w:id="6157"/>
      <w:bookmarkEnd w:id="6158"/>
      <w:bookmarkEnd w:id="6159"/>
      <w:bookmarkEnd w:id="6160"/>
      <w:bookmarkEnd w:id="6161"/>
      <w:bookmarkEnd w:id="6162"/>
      <w:bookmarkEnd w:id="6163"/>
      <w:bookmarkEnd w:id="6164"/>
      <w:bookmarkEnd w:id="6165"/>
      <w:bookmarkEnd w:id="6166"/>
      <w:bookmarkEnd w:id="6167"/>
      <w:bookmarkEnd w:id="6168"/>
      <w:r w:rsidRPr="00A52AB8">
        <w:t>Method of specifying syntax in tabular form</w:t>
      </w:r>
      <w:bookmarkEnd w:id="6169"/>
      <w:bookmarkEnd w:id="6170"/>
    </w:p>
    <w:p w14:paraId="476B2B56" w14:textId="63533C41" w:rsidR="00DF1B7B" w:rsidRPr="00A52AB8" w:rsidRDefault="00DF1B7B" w:rsidP="00DF1B7B">
      <w:pPr>
        <w:rPr>
          <w:lang w:eastAsia="ja-JP"/>
        </w:rPr>
      </w:pPr>
      <w:r w:rsidRPr="00A52AB8">
        <w:rPr>
          <w:lang w:eastAsia="ja-JP"/>
        </w:rPr>
        <w:t xml:space="preserve">The specifications in </w:t>
      </w:r>
      <w:r w:rsidR="00406A86" w:rsidRPr="00A52AB8">
        <w:rPr>
          <w:lang w:eastAsia="ja-JP"/>
        </w:rPr>
        <w:t>subclause</w:t>
      </w:r>
      <w:r w:rsidRPr="00A52AB8">
        <w:rPr>
          <w:lang w:eastAsia="ja-JP"/>
        </w:rPr>
        <w:t xml:space="preserve"> </w:t>
      </w:r>
      <w:r w:rsidR="00370101" w:rsidRPr="00496A4D">
        <w:rPr>
          <w:lang w:eastAsia="ja-JP"/>
        </w:rPr>
        <w:fldChar w:fldCharType="begin"/>
      </w:r>
      <w:r w:rsidR="00370101" w:rsidRPr="00A52AB8">
        <w:rPr>
          <w:lang w:eastAsia="ja-JP"/>
        </w:rPr>
        <w:instrText xml:space="preserve"> REF _Ref33101620 \n \h </w:instrText>
      </w:r>
      <w:r w:rsidR="00CA5401" w:rsidRPr="00A52AB8">
        <w:rPr>
          <w:lang w:eastAsia="ja-JP"/>
        </w:rPr>
        <w:instrText xml:space="preserve"> \* MERGEFORMAT </w:instrText>
      </w:r>
      <w:r w:rsidR="00370101" w:rsidRPr="00496A4D">
        <w:rPr>
          <w:lang w:eastAsia="ja-JP"/>
        </w:rPr>
      </w:r>
      <w:r w:rsidR="00370101" w:rsidRPr="00496A4D">
        <w:rPr>
          <w:lang w:eastAsia="ja-JP"/>
        </w:rPr>
        <w:fldChar w:fldCharType="separate"/>
      </w:r>
      <w:r w:rsidR="00507A67">
        <w:rPr>
          <w:lang w:eastAsia="ja-JP"/>
        </w:rPr>
        <w:t>8.1</w:t>
      </w:r>
      <w:r w:rsidR="00370101" w:rsidRPr="00496A4D">
        <w:rPr>
          <w:lang w:eastAsia="ja-JP"/>
        </w:rPr>
        <w:fldChar w:fldCharType="end"/>
      </w:r>
      <w:r w:rsidRPr="00A52AB8">
        <w:rPr>
          <w:lang w:eastAsia="ja-JP"/>
        </w:rPr>
        <w:t xml:space="preserve"> appl</w:t>
      </w:r>
      <w:r w:rsidR="004F3179" w:rsidRPr="00A52AB8">
        <w:rPr>
          <w:lang w:eastAsia="ja-JP"/>
        </w:rPr>
        <w:t>y</w:t>
      </w:r>
      <w:r w:rsidRPr="00A52AB8">
        <w:rPr>
          <w:lang w:eastAsia="ja-JP"/>
        </w:rPr>
        <w:t>.</w:t>
      </w:r>
    </w:p>
    <w:p w14:paraId="756A5B54" w14:textId="77777777" w:rsidR="00DF1B7B" w:rsidRPr="00A52AB8" w:rsidRDefault="00DF1B7B" w:rsidP="00DF1B7B">
      <w:pPr>
        <w:pStyle w:val="a3"/>
        <w:numPr>
          <w:ilvl w:val="2"/>
          <w:numId w:val="14"/>
        </w:numPr>
        <w:rPr>
          <w:color w:val="000000" w:themeColor="text1"/>
        </w:rPr>
      </w:pPr>
      <w:bookmarkStart w:id="6171" w:name="_Toc37760797"/>
      <w:bookmarkStart w:id="6172" w:name="_Toc52181778"/>
      <w:r w:rsidRPr="00A52AB8">
        <w:rPr>
          <w:color w:val="000000" w:themeColor="text1"/>
        </w:rPr>
        <w:t>Specification of syntax functions and descriptors</w:t>
      </w:r>
      <w:bookmarkEnd w:id="6171"/>
      <w:bookmarkEnd w:id="6172"/>
    </w:p>
    <w:p w14:paraId="0C3EA499" w14:textId="0165DF2D" w:rsidR="00DF1B7B" w:rsidRPr="00A52AB8" w:rsidRDefault="00DF1B7B" w:rsidP="00DF1B7B">
      <w:pPr>
        <w:rPr>
          <w:lang w:eastAsia="ja-JP"/>
        </w:rPr>
      </w:pPr>
      <w:r w:rsidRPr="00A52AB8">
        <w:rPr>
          <w:lang w:eastAsia="ja-JP"/>
        </w:rPr>
        <w:t xml:space="preserve">The specifications in </w:t>
      </w:r>
      <w:r w:rsidR="00406A86" w:rsidRPr="00A52AB8">
        <w:rPr>
          <w:lang w:eastAsia="ja-JP"/>
        </w:rPr>
        <w:t>subclause</w:t>
      </w:r>
      <w:r w:rsidRPr="00A52AB8">
        <w:rPr>
          <w:lang w:eastAsia="ja-JP"/>
        </w:rPr>
        <w:t xml:space="preserve"> </w:t>
      </w:r>
      <w:r w:rsidR="00370101" w:rsidRPr="00496A4D">
        <w:rPr>
          <w:lang w:eastAsia="ja-JP"/>
        </w:rPr>
        <w:fldChar w:fldCharType="begin"/>
      </w:r>
      <w:r w:rsidR="00370101" w:rsidRPr="00A52AB8">
        <w:rPr>
          <w:lang w:eastAsia="ja-JP"/>
        </w:rPr>
        <w:instrText xml:space="preserve"> REF _Ref38314045 \n \h </w:instrText>
      </w:r>
      <w:r w:rsidR="00CA5401" w:rsidRPr="00A52AB8">
        <w:rPr>
          <w:lang w:eastAsia="ja-JP"/>
        </w:rPr>
        <w:instrText xml:space="preserve"> \* MERGEFORMAT </w:instrText>
      </w:r>
      <w:r w:rsidR="00370101" w:rsidRPr="00496A4D">
        <w:rPr>
          <w:lang w:eastAsia="ja-JP"/>
        </w:rPr>
      </w:r>
      <w:r w:rsidR="00370101" w:rsidRPr="00496A4D">
        <w:rPr>
          <w:lang w:eastAsia="ja-JP"/>
        </w:rPr>
        <w:fldChar w:fldCharType="separate"/>
      </w:r>
      <w:r w:rsidR="00507A67">
        <w:rPr>
          <w:lang w:eastAsia="ja-JP"/>
        </w:rPr>
        <w:t>8.2</w:t>
      </w:r>
      <w:r w:rsidR="00370101" w:rsidRPr="00496A4D">
        <w:rPr>
          <w:lang w:eastAsia="ja-JP"/>
        </w:rPr>
        <w:fldChar w:fldCharType="end"/>
      </w:r>
      <w:r w:rsidRPr="00A52AB8">
        <w:rPr>
          <w:lang w:eastAsia="ja-JP"/>
        </w:rPr>
        <w:t xml:space="preserve"> appl</w:t>
      </w:r>
      <w:r w:rsidR="004F3179" w:rsidRPr="00A52AB8">
        <w:rPr>
          <w:lang w:eastAsia="ja-JP"/>
        </w:rPr>
        <w:t>y</w:t>
      </w:r>
    </w:p>
    <w:p w14:paraId="5A3D3774" w14:textId="13CFA25D" w:rsidR="00DF1B7B" w:rsidRPr="00A52AB8" w:rsidRDefault="00DF1B7B" w:rsidP="00DF1B7B">
      <w:pPr>
        <w:pStyle w:val="a3"/>
        <w:numPr>
          <w:ilvl w:val="2"/>
          <w:numId w:val="14"/>
        </w:numPr>
      </w:pPr>
      <w:bookmarkStart w:id="6173" w:name="_Toc37760798"/>
      <w:bookmarkStart w:id="6174" w:name="_Toc52181779"/>
      <w:r w:rsidRPr="00A52AB8">
        <w:rPr>
          <w:color w:val="000000" w:themeColor="text1"/>
        </w:rPr>
        <w:t>Syntax in tabular form</w:t>
      </w:r>
      <w:bookmarkEnd w:id="6173"/>
      <w:bookmarkEnd w:id="6174"/>
    </w:p>
    <w:p w14:paraId="79854DFB" w14:textId="076B3970" w:rsidR="00DF1B7B" w:rsidRPr="00A52AB8" w:rsidRDefault="00DF1B7B" w:rsidP="00DF1B7B">
      <w:pPr>
        <w:pStyle w:val="a4"/>
        <w:numPr>
          <w:ilvl w:val="3"/>
          <w:numId w:val="14"/>
        </w:numPr>
      </w:pPr>
      <w:bookmarkStart w:id="6175" w:name="_Toc37760799"/>
      <w:r w:rsidRPr="00A52AB8">
        <w:rPr>
          <w:color w:val="000000" w:themeColor="text1"/>
        </w:rPr>
        <w:t>General</w:t>
      </w:r>
      <w:bookmarkEnd w:id="6175"/>
    </w:p>
    <w:p w14:paraId="0A0D8528" w14:textId="0578FF1F" w:rsidR="00DF1B7B" w:rsidRPr="00A52AB8" w:rsidRDefault="00DF1B7B" w:rsidP="00DF1B7B">
      <w:pPr>
        <w:rPr>
          <w:lang w:eastAsia="ja-JP"/>
        </w:rPr>
      </w:pPr>
      <w:r w:rsidRPr="00A52AB8">
        <w:rPr>
          <w:lang w:eastAsia="ja-JP"/>
        </w:rPr>
        <w:t xml:space="preserve">The specifications in </w:t>
      </w:r>
      <w:r w:rsidR="00406A86" w:rsidRPr="00A52AB8">
        <w:rPr>
          <w:lang w:eastAsia="ja-JP"/>
        </w:rPr>
        <w:t>subclause</w:t>
      </w:r>
      <w:r w:rsidRPr="00A52AB8">
        <w:rPr>
          <w:lang w:eastAsia="ja-JP"/>
        </w:rPr>
        <w:t xml:space="preserve"> </w:t>
      </w:r>
      <w:r w:rsidR="00370101" w:rsidRPr="00496A4D">
        <w:rPr>
          <w:lang w:eastAsia="ja-JP"/>
        </w:rPr>
        <w:fldChar w:fldCharType="begin"/>
      </w:r>
      <w:r w:rsidR="00370101" w:rsidRPr="00A52AB8">
        <w:rPr>
          <w:lang w:eastAsia="ja-JP"/>
        </w:rPr>
        <w:instrText xml:space="preserve"> REF _Ref38314064 \n \h </w:instrText>
      </w:r>
      <w:r w:rsidR="00CA5401" w:rsidRPr="00A52AB8">
        <w:rPr>
          <w:lang w:eastAsia="ja-JP"/>
        </w:rPr>
        <w:instrText xml:space="preserve"> \* MERGEFORMAT </w:instrText>
      </w:r>
      <w:r w:rsidR="00370101" w:rsidRPr="00496A4D">
        <w:rPr>
          <w:lang w:eastAsia="ja-JP"/>
        </w:rPr>
      </w:r>
      <w:r w:rsidR="00370101" w:rsidRPr="00496A4D">
        <w:rPr>
          <w:lang w:eastAsia="ja-JP"/>
        </w:rPr>
        <w:fldChar w:fldCharType="separate"/>
      </w:r>
      <w:r w:rsidR="00507A67">
        <w:rPr>
          <w:lang w:eastAsia="ja-JP"/>
        </w:rPr>
        <w:t>8.3.1</w:t>
      </w:r>
      <w:r w:rsidR="00370101" w:rsidRPr="00496A4D">
        <w:rPr>
          <w:lang w:eastAsia="ja-JP"/>
        </w:rPr>
        <w:fldChar w:fldCharType="end"/>
      </w:r>
      <w:r w:rsidRPr="00A52AB8">
        <w:rPr>
          <w:lang w:eastAsia="ja-JP"/>
        </w:rPr>
        <w:t xml:space="preserve"> </w:t>
      </w:r>
      <w:r w:rsidRPr="00A52AB8">
        <w:t>and its subclauses apply</w:t>
      </w:r>
      <w:r w:rsidRPr="00A52AB8">
        <w:rPr>
          <w:lang w:eastAsia="ja-JP"/>
        </w:rPr>
        <w:t>.</w:t>
      </w:r>
    </w:p>
    <w:p w14:paraId="43BA0375" w14:textId="21ACC173" w:rsidR="00DF1B7B" w:rsidRPr="00A52AB8" w:rsidRDefault="00DF1B7B" w:rsidP="00DF1B7B">
      <w:pPr>
        <w:pStyle w:val="a4"/>
        <w:numPr>
          <w:ilvl w:val="3"/>
          <w:numId w:val="14"/>
        </w:numPr>
      </w:pPr>
      <w:bookmarkStart w:id="6176" w:name="_Toc37760800"/>
      <w:r w:rsidRPr="00A52AB8">
        <w:rPr>
          <w:color w:val="000000" w:themeColor="text1"/>
        </w:rPr>
        <w:t xml:space="preserve">V3C </w:t>
      </w:r>
      <w:r w:rsidRPr="00A52AB8">
        <w:t>unit syntax</w:t>
      </w:r>
      <w:bookmarkEnd w:id="6176"/>
    </w:p>
    <w:p w14:paraId="5223749F" w14:textId="62E38930" w:rsidR="00DF1B7B" w:rsidRPr="00A52AB8" w:rsidRDefault="00DF1B7B" w:rsidP="00DF1B7B">
      <w:pPr>
        <w:rPr>
          <w:lang w:eastAsia="ja-JP"/>
        </w:rPr>
      </w:pPr>
      <w:r w:rsidRPr="00A52AB8">
        <w:rPr>
          <w:lang w:eastAsia="ja-JP"/>
        </w:rPr>
        <w:t xml:space="preserve">The specifications in </w:t>
      </w:r>
      <w:r w:rsidR="00406A86" w:rsidRPr="00A52AB8">
        <w:rPr>
          <w:lang w:eastAsia="ja-JP"/>
        </w:rPr>
        <w:t>subclause</w:t>
      </w:r>
      <w:r w:rsidRPr="00A52AB8">
        <w:rPr>
          <w:lang w:eastAsia="ja-JP"/>
        </w:rPr>
        <w:t xml:space="preserve"> </w:t>
      </w:r>
      <w:r w:rsidR="00370101" w:rsidRPr="00496A4D">
        <w:rPr>
          <w:lang w:eastAsia="ja-JP"/>
        </w:rPr>
        <w:fldChar w:fldCharType="begin"/>
      </w:r>
      <w:r w:rsidR="00370101" w:rsidRPr="00A52AB8">
        <w:rPr>
          <w:lang w:eastAsia="ja-JP"/>
        </w:rPr>
        <w:instrText xml:space="preserve"> REF _Ref38314076 \n \h </w:instrText>
      </w:r>
      <w:r w:rsidR="00CA5401" w:rsidRPr="00A52AB8">
        <w:rPr>
          <w:lang w:eastAsia="ja-JP"/>
        </w:rPr>
        <w:instrText xml:space="preserve"> \* MERGEFORMAT </w:instrText>
      </w:r>
      <w:r w:rsidR="00370101" w:rsidRPr="00496A4D">
        <w:rPr>
          <w:lang w:eastAsia="ja-JP"/>
        </w:rPr>
      </w:r>
      <w:r w:rsidR="00370101" w:rsidRPr="00496A4D">
        <w:rPr>
          <w:lang w:eastAsia="ja-JP"/>
        </w:rPr>
        <w:fldChar w:fldCharType="separate"/>
      </w:r>
      <w:r w:rsidR="00507A67">
        <w:rPr>
          <w:lang w:eastAsia="ja-JP"/>
        </w:rPr>
        <w:t>8.3.2</w:t>
      </w:r>
      <w:r w:rsidR="00370101" w:rsidRPr="00496A4D">
        <w:rPr>
          <w:lang w:eastAsia="ja-JP"/>
        </w:rPr>
        <w:fldChar w:fldCharType="end"/>
      </w:r>
      <w:r w:rsidRPr="00A52AB8">
        <w:rPr>
          <w:lang w:eastAsia="ja-JP"/>
        </w:rPr>
        <w:t xml:space="preserve"> </w:t>
      </w:r>
      <w:r w:rsidRPr="00A52AB8">
        <w:t>and its subclauses apply</w:t>
      </w:r>
      <w:r w:rsidRPr="00A52AB8">
        <w:rPr>
          <w:lang w:eastAsia="ja-JP"/>
        </w:rPr>
        <w:t>.</w:t>
      </w:r>
    </w:p>
    <w:p w14:paraId="353DDECA" w14:textId="55210A83" w:rsidR="00DF1B7B" w:rsidRPr="00A52AB8" w:rsidRDefault="00DF1B7B" w:rsidP="00DF1B7B">
      <w:pPr>
        <w:pStyle w:val="a4"/>
        <w:numPr>
          <w:ilvl w:val="3"/>
          <w:numId w:val="14"/>
        </w:numPr>
      </w:pPr>
      <w:bookmarkStart w:id="6177" w:name="_Toc37760801"/>
      <w:r w:rsidRPr="00A52AB8">
        <w:t xml:space="preserve">Byte </w:t>
      </w:r>
      <w:r w:rsidR="00D24766" w:rsidRPr="00A52AB8">
        <w:t xml:space="preserve">alignment </w:t>
      </w:r>
      <w:r w:rsidRPr="00A52AB8">
        <w:t>syntax</w:t>
      </w:r>
      <w:bookmarkEnd w:id="6177"/>
    </w:p>
    <w:p w14:paraId="2198BBDC" w14:textId="439EDC06" w:rsidR="00DF1B7B" w:rsidRPr="00A52AB8" w:rsidRDefault="00DF1B7B" w:rsidP="00DF1B7B">
      <w:pPr>
        <w:rPr>
          <w:lang w:eastAsia="ja-JP"/>
        </w:rPr>
      </w:pPr>
      <w:r w:rsidRPr="00A52AB8">
        <w:rPr>
          <w:lang w:eastAsia="ja-JP"/>
        </w:rPr>
        <w:t xml:space="preserve">The specifications in </w:t>
      </w:r>
      <w:r w:rsidR="00406A86" w:rsidRPr="00A52AB8">
        <w:rPr>
          <w:lang w:eastAsia="ja-JP"/>
        </w:rPr>
        <w:t>subclause</w:t>
      </w:r>
      <w:r w:rsidRPr="00A52AB8">
        <w:rPr>
          <w:lang w:eastAsia="ja-JP"/>
        </w:rPr>
        <w:t xml:space="preserve"> </w:t>
      </w:r>
      <w:r w:rsidR="00370101" w:rsidRPr="00496A4D">
        <w:rPr>
          <w:lang w:eastAsia="ja-JP"/>
        </w:rPr>
        <w:fldChar w:fldCharType="begin"/>
      </w:r>
      <w:r w:rsidR="00370101" w:rsidRPr="00A52AB8">
        <w:rPr>
          <w:lang w:eastAsia="ja-JP"/>
        </w:rPr>
        <w:instrText xml:space="preserve"> REF _Ref38314087 \n \h </w:instrText>
      </w:r>
      <w:r w:rsidR="00CA5401" w:rsidRPr="00A52AB8">
        <w:rPr>
          <w:lang w:eastAsia="ja-JP"/>
        </w:rPr>
        <w:instrText xml:space="preserve"> \* MERGEFORMAT </w:instrText>
      </w:r>
      <w:r w:rsidR="00370101" w:rsidRPr="00496A4D">
        <w:rPr>
          <w:lang w:eastAsia="ja-JP"/>
        </w:rPr>
      </w:r>
      <w:r w:rsidR="00370101" w:rsidRPr="00496A4D">
        <w:rPr>
          <w:lang w:eastAsia="ja-JP"/>
        </w:rPr>
        <w:fldChar w:fldCharType="separate"/>
      </w:r>
      <w:r w:rsidR="00507A67">
        <w:rPr>
          <w:lang w:eastAsia="ja-JP"/>
        </w:rPr>
        <w:t>8.3.3</w:t>
      </w:r>
      <w:r w:rsidR="00370101" w:rsidRPr="00496A4D">
        <w:rPr>
          <w:lang w:eastAsia="ja-JP"/>
        </w:rPr>
        <w:fldChar w:fldCharType="end"/>
      </w:r>
      <w:r w:rsidRPr="00A52AB8">
        <w:rPr>
          <w:lang w:eastAsia="ja-JP"/>
        </w:rPr>
        <w:t xml:space="preserve"> </w:t>
      </w:r>
      <w:r w:rsidRPr="00A52AB8">
        <w:t>and its subclauses apply</w:t>
      </w:r>
      <w:r w:rsidRPr="00A52AB8">
        <w:rPr>
          <w:lang w:eastAsia="ja-JP"/>
        </w:rPr>
        <w:t>.</w:t>
      </w:r>
    </w:p>
    <w:p w14:paraId="7B6B9D8B" w14:textId="63232DAB" w:rsidR="00DF1B7B" w:rsidRPr="00A52AB8" w:rsidRDefault="00DF1B7B" w:rsidP="00DF1B7B">
      <w:pPr>
        <w:pStyle w:val="a4"/>
        <w:numPr>
          <w:ilvl w:val="3"/>
          <w:numId w:val="14"/>
        </w:numPr>
      </w:pPr>
      <w:bookmarkStart w:id="6178" w:name="_Toc37760802"/>
      <w:r w:rsidRPr="00A52AB8">
        <w:t>V3C parameter set syntax</w:t>
      </w:r>
      <w:bookmarkEnd w:id="6178"/>
    </w:p>
    <w:p w14:paraId="6A87C74B" w14:textId="7E8AA3C9" w:rsidR="00DF1B7B" w:rsidRPr="00A52AB8" w:rsidRDefault="00DF1B7B" w:rsidP="00DF1B7B">
      <w:pPr>
        <w:rPr>
          <w:lang w:eastAsia="ja-JP"/>
        </w:rPr>
      </w:pPr>
      <w:r w:rsidRPr="00A52AB8">
        <w:t xml:space="preserve">The specifications in </w:t>
      </w:r>
      <w:r w:rsidR="00406A86" w:rsidRPr="00A52AB8">
        <w:t>subclause</w:t>
      </w:r>
      <w:r w:rsidRPr="00A52AB8">
        <w:t xml:space="preserve"> </w:t>
      </w:r>
      <w:r w:rsidR="00066DA0" w:rsidRPr="00496A4D">
        <w:fldChar w:fldCharType="begin"/>
      </w:r>
      <w:r w:rsidR="00066DA0" w:rsidRPr="00A52AB8">
        <w:instrText xml:space="preserve"> REF _Ref38314099 \n \h </w:instrText>
      </w:r>
      <w:r w:rsidR="00CA5401" w:rsidRPr="00A52AB8">
        <w:instrText xml:space="preserve"> \* MERGEFORMAT </w:instrText>
      </w:r>
      <w:r w:rsidR="00066DA0" w:rsidRPr="00496A4D">
        <w:fldChar w:fldCharType="separate"/>
      </w:r>
      <w:r w:rsidR="00507A67">
        <w:t>8.3.4</w:t>
      </w:r>
      <w:r w:rsidR="00066DA0" w:rsidRPr="00496A4D">
        <w:fldChar w:fldCharType="end"/>
      </w:r>
      <w:r w:rsidRPr="00A52AB8">
        <w:t xml:space="preserve"> and its subclauses apply</w:t>
      </w:r>
      <w:r w:rsidR="00B56703" w:rsidRPr="00A52AB8">
        <w:t>.</w:t>
      </w:r>
    </w:p>
    <w:p w14:paraId="0BADBC9C" w14:textId="579BE1F2" w:rsidR="00DF1B7B" w:rsidRPr="00A52AB8" w:rsidRDefault="00E93F7B" w:rsidP="00DF1B7B">
      <w:pPr>
        <w:pStyle w:val="a4"/>
        <w:numPr>
          <w:ilvl w:val="3"/>
          <w:numId w:val="14"/>
        </w:numPr>
      </w:pPr>
      <w:bookmarkStart w:id="6179" w:name="_Toc49012831"/>
      <w:bookmarkStart w:id="6180" w:name="_Toc49013376"/>
      <w:bookmarkStart w:id="6181" w:name="_Toc49014493"/>
      <w:bookmarkStart w:id="6182" w:name="_Toc49095729"/>
      <w:bookmarkStart w:id="6183" w:name="_Toc37760804"/>
      <w:bookmarkEnd w:id="6179"/>
      <w:bookmarkEnd w:id="6180"/>
      <w:bookmarkEnd w:id="6181"/>
      <w:bookmarkEnd w:id="6182"/>
      <w:r w:rsidRPr="00A52AB8">
        <w:t>NAL unit</w:t>
      </w:r>
      <w:r w:rsidR="00DF1B7B" w:rsidRPr="00A52AB8">
        <w:t xml:space="preserve"> syntax</w:t>
      </w:r>
      <w:bookmarkEnd w:id="6183"/>
    </w:p>
    <w:p w14:paraId="23296731" w14:textId="3225FEE8" w:rsidR="00DF1B7B" w:rsidRPr="00A52AB8" w:rsidRDefault="00DF1B7B" w:rsidP="00DF1B7B">
      <w:r w:rsidRPr="00A52AB8">
        <w:t xml:space="preserve">The specifications in </w:t>
      </w:r>
      <w:r w:rsidR="00406A86" w:rsidRPr="00A52AB8">
        <w:t>subclause</w:t>
      </w:r>
      <w:r w:rsidRPr="00A52AB8">
        <w:t xml:space="preserve"> </w:t>
      </w:r>
      <w:r w:rsidR="00B56703" w:rsidRPr="00496A4D">
        <w:fldChar w:fldCharType="begin"/>
      </w:r>
      <w:r w:rsidR="00B56703" w:rsidRPr="00A52AB8">
        <w:instrText xml:space="preserve"> REF _Ref51540694 \r \h </w:instrText>
      </w:r>
      <w:r w:rsidR="008F69D5" w:rsidRPr="00A52AB8">
        <w:instrText xml:space="preserve"> \* MERGEFORMAT </w:instrText>
      </w:r>
      <w:r w:rsidR="00B56703" w:rsidRPr="00496A4D">
        <w:fldChar w:fldCharType="separate"/>
      </w:r>
      <w:r w:rsidR="00507A67">
        <w:t>8.3.4.7</w:t>
      </w:r>
      <w:r w:rsidR="00B56703" w:rsidRPr="00496A4D">
        <w:fldChar w:fldCharType="end"/>
      </w:r>
      <w:r w:rsidR="00B56703" w:rsidRPr="00A52AB8">
        <w:t xml:space="preserve"> </w:t>
      </w:r>
      <w:r w:rsidRPr="00A52AB8">
        <w:t>and its subclauses apply.</w:t>
      </w:r>
    </w:p>
    <w:p w14:paraId="06689753" w14:textId="1237DF2D" w:rsidR="00DF1B7B" w:rsidRPr="00A52AB8" w:rsidRDefault="00DF1B7B" w:rsidP="00DF1B7B">
      <w:pPr>
        <w:pStyle w:val="a4"/>
        <w:numPr>
          <w:ilvl w:val="3"/>
          <w:numId w:val="14"/>
        </w:numPr>
      </w:pPr>
      <w:bookmarkStart w:id="6184" w:name="_Toc37760805"/>
      <w:r w:rsidRPr="00A52AB8">
        <w:t>Raw byte sequence payloads, trailing bits, and byte alignment syntax</w:t>
      </w:r>
      <w:bookmarkEnd w:id="6184"/>
    </w:p>
    <w:p w14:paraId="7581FA6E" w14:textId="78847A72" w:rsidR="00DF1B7B" w:rsidRPr="00A52AB8" w:rsidRDefault="00DF1B7B" w:rsidP="00DF1B7B">
      <w:pPr>
        <w:pStyle w:val="a5"/>
        <w:numPr>
          <w:ilvl w:val="4"/>
          <w:numId w:val="14"/>
        </w:numPr>
      </w:pPr>
      <w:bookmarkStart w:id="6185" w:name="_Toc37760806"/>
      <w:r w:rsidRPr="00A52AB8">
        <w:t>Atlas sequence parameter set RBSP syntax</w:t>
      </w:r>
      <w:bookmarkEnd w:id="6185"/>
    </w:p>
    <w:p w14:paraId="6BF54792" w14:textId="1079FF6D" w:rsidR="00097F8C" w:rsidRPr="00A52AB8" w:rsidRDefault="00097F8C" w:rsidP="004A7026">
      <w:pPr>
        <w:pStyle w:val="a6"/>
        <w:numPr>
          <w:ilvl w:val="5"/>
          <w:numId w:val="14"/>
        </w:numPr>
      </w:pPr>
      <w:bookmarkStart w:id="6186" w:name="_Toc51581652"/>
      <w:bookmarkStart w:id="6187" w:name="_Toc51583193"/>
      <w:bookmarkEnd w:id="6186"/>
      <w:bookmarkEnd w:id="6187"/>
      <w:r w:rsidRPr="00A52AB8">
        <w:t>General atlas sequence parameter set RBSP syntax</w:t>
      </w:r>
    </w:p>
    <w:p w14:paraId="3348A39C" w14:textId="79B97B9D" w:rsidR="00097F8C" w:rsidRPr="00A52AB8" w:rsidRDefault="00097F8C">
      <w:pPr>
        <w:rPr>
          <w:lang w:eastAsia="ja-JP"/>
        </w:rPr>
      </w:pPr>
      <w:r w:rsidRPr="00A52AB8">
        <w:t xml:space="preserve">The specifications in subclause </w:t>
      </w:r>
      <w:r w:rsidRPr="00496A4D">
        <w:fldChar w:fldCharType="begin"/>
      </w:r>
      <w:r w:rsidRPr="00A52AB8">
        <w:instrText xml:space="preserve"> REF _Ref49199107 \n \h </w:instrText>
      </w:r>
      <w:r w:rsidR="00007BE2" w:rsidRPr="00A52AB8">
        <w:instrText xml:space="preserve"> \* MERGEFORMAT </w:instrText>
      </w:r>
      <w:r w:rsidRPr="00496A4D">
        <w:fldChar w:fldCharType="separate"/>
      </w:r>
      <w:r w:rsidR="00507A67">
        <w:t>8.3.6.1.1</w:t>
      </w:r>
      <w:r w:rsidRPr="00496A4D">
        <w:fldChar w:fldCharType="end"/>
      </w:r>
      <w:r w:rsidRPr="00A52AB8">
        <w:t xml:space="preserve"> apply.</w:t>
      </w:r>
    </w:p>
    <w:p w14:paraId="6674AC6A" w14:textId="66B12E95" w:rsidR="00097F8C" w:rsidRPr="00A52AB8" w:rsidRDefault="00097F8C" w:rsidP="004A7026">
      <w:pPr>
        <w:pStyle w:val="a6"/>
        <w:numPr>
          <w:ilvl w:val="5"/>
          <w:numId w:val="14"/>
        </w:numPr>
      </w:pPr>
      <w:r w:rsidRPr="00A52AB8">
        <w:t>Point local reconstruction information syntax</w:t>
      </w:r>
    </w:p>
    <w:p w14:paraId="36550769" w14:textId="29F55DFF" w:rsidR="00097F8C" w:rsidRPr="00A52AB8" w:rsidRDefault="00097F8C">
      <w:pPr>
        <w:rPr>
          <w:lang w:eastAsia="ja-JP"/>
        </w:rPr>
      </w:pPr>
      <w:r w:rsidRPr="00A52AB8">
        <w:t xml:space="preserve">The specifications in subclause </w:t>
      </w:r>
      <w:r w:rsidRPr="00496A4D">
        <w:fldChar w:fldCharType="begin"/>
      </w:r>
      <w:r w:rsidRPr="00A52AB8">
        <w:instrText xml:space="preserve"> REF _Ref19902496 \n \h </w:instrText>
      </w:r>
      <w:r w:rsidR="00007BE2" w:rsidRPr="00A52AB8">
        <w:instrText xml:space="preserve"> \* MERGEFORMAT </w:instrText>
      </w:r>
      <w:r w:rsidRPr="00496A4D">
        <w:fldChar w:fldCharType="separate"/>
      </w:r>
      <w:r w:rsidR="00507A67">
        <w:t>8.3.6.1.2</w:t>
      </w:r>
      <w:r w:rsidRPr="00496A4D">
        <w:fldChar w:fldCharType="end"/>
      </w:r>
      <w:r w:rsidRPr="00A52AB8">
        <w:t xml:space="preserve"> apply.</w:t>
      </w:r>
    </w:p>
    <w:p w14:paraId="119A2C8F" w14:textId="77777777" w:rsidR="00DF1B7B" w:rsidRPr="00A52AB8" w:rsidRDefault="00DF1B7B" w:rsidP="00DF1B7B">
      <w:pPr>
        <w:pStyle w:val="a6"/>
        <w:numPr>
          <w:ilvl w:val="5"/>
          <w:numId w:val="14"/>
        </w:numPr>
      </w:pPr>
      <w:bookmarkStart w:id="6188" w:name="_Toc37760807"/>
      <w:r w:rsidRPr="00A52AB8">
        <w:t>ASPS V-PCC extension syntax</w:t>
      </w:r>
      <w:bookmarkEnd w:id="6188"/>
    </w:p>
    <w:tbl>
      <w:tblPr>
        <w:tblStyle w:val="TableGrid"/>
        <w:tblW w:w="5000" w:type="pct"/>
        <w:jc w:val="center"/>
        <w:tblLook w:val="04A0" w:firstRow="1" w:lastRow="0" w:firstColumn="1" w:lastColumn="0" w:noHBand="0" w:noVBand="1"/>
      </w:tblPr>
      <w:tblGrid>
        <w:gridCol w:w="8411"/>
        <w:gridCol w:w="1331"/>
      </w:tblGrid>
      <w:tr w:rsidR="00DF1B7B" w:rsidRPr="00A52AB8" w14:paraId="405AE9B3" w14:textId="77777777" w:rsidTr="00A252B5">
        <w:trPr>
          <w:jc w:val="center"/>
        </w:trPr>
        <w:tc>
          <w:tcPr>
            <w:tcW w:w="7921" w:type="dxa"/>
          </w:tcPr>
          <w:p w14:paraId="62AC3121" w14:textId="21A9F163" w:rsidR="00DF1B7B" w:rsidRPr="00A52AB8" w:rsidRDefault="00DF1B7B" w:rsidP="001B0754">
            <w:pPr>
              <w:keepNext/>
              <w:spacing w:before="20" w:after="20"/>
              <w:rPr>
                <w:color w:val="000000" w:themeColor="text1"/>
                <w:sz w:val="20"/>
                <w:szCs w:val="20"/>
              </w:rPr>
            </w:pPr>
            <w:r w:rsidRPr="00A52AB8">
              <w:rPr>
                <w:color w:val="000000" w:themeColor="text1"/>
                <w:sz w:val="20"/>
                <w:szCs w:val="20"/>
              </w:rPr>
              <w:t>asps_vpcc_extension( </w:t>
            </w:r>
            <w:r w:rsidR="008F1F82" w:rsidRPr="00A52AB8">
              <w:rPr>
                <w:color w:val="000000" w:themeColor="text1"/>
                <w:sz w:val="20"/>
                <w:szCs w:val="20"/>
              </w:rPr>
              <w:t>) {</w:t>
            </w:r>
          </w:p>
        </w:tc>
        <w:tc>
          <w:tcPr>
            <w:tcW w:w="1253" w:type="dxa"/>
          </w:tcPr>
          <w:p w14:paraId="02E5AE43" w14:textId="77777777" w:rsidR="00DF1B7B" w:rsidRPr="00A52AB8" w:rsidRDefault="00DF1B7B" w:rsidP="001B0754">
            <w:pPr>
              <w:keepNext/>
              <w:spacing w:before="20" w:after="20"/>
              <w:jc w:val="center"/>
              <w:rPr>
                <w:b/>
                <w:color w:val="000000" w:themeColor="text1"/>
                <w:sz w:val="20"/>
                <w:szCs w:val="20"/>
              </w:rPr>
            </w:pPr>
            <w:r w:rsidRPr="00A52AB8">
              <w:rPr>
                <w:b/>
                <w:color w:val="000000" w:themeColor="text1"/>
                <w:sz w:val="20"/>
                <w:szCs w:val="20"/>
              </w:rPr>
              <w:t>Descriptor</w:t>
            </w:r>
          </w:p>
        </w:tc>
      </w:tr>
      <w:tr w:rsidR="00810E21" w:rsidRPr="00A52AB8" w14:paraId="2DE673AF" w14:textId="77777777" w:rsidTr="00A252B5">
        <w:trPr>
          <w:jc w:val="center"/>
        </w:trPr>
        <w:tc>
          <w:tcPr>
            <w:tcW w:w="7921" w:type="dxa"/>
          </w:tcPr>
          <w:p w14:paraId="7AC45C0E" w14:textId="77777777" w:rsidR="00810E21" w:rsidRPr="00A52AB8" w:rsidRDefault="00810E21" w:rsidP="001B0754">
            <w:pPr>
              <w:spacing w:before="20" w:after="20"/>
              <w:rPr>
                <w:b/>
                <w:bCs/>
                <w:color w:val="000000" w:themeColor="text1"/>
                <w:sz w:val="20"/>
                <w:szCs w:val="20"/>
              </w:rPr>
            </w:pPr>
            <w:r w:rsidRPr="00A52AB8">
              <w:rPr>
                <w:color w:val="000000" w:themeColor="text1"/>
                <w:sz w:val="20"/>
                <w:szCs w:val="20"/>
              </w:rPr>
              <w:tab/>
            </w:r>
            <w:r w:rsidRPr="00A52AB8">
              <w:rPr>
                <w:b/>
                <w:bCs/>
                <w:color w:val="000000" w:themeColor="text1"/>
                <w:sz w:val="20"/>
                <w:szCs w:val="20"/>
              </w:rPr>
              <w:t>asps_vpcc_remove_duplicate_point_enabled_flag</w:t>
            </w:r>
          </w:p>
        </w:tc>
        <w:tc>
          <w:tcPr>
            <w:tcW w:w="1253" w:type="dxa"/>
          </w:tcPr>
          <w:p w14:paraId="5A0C88BC" w14:textId="77777777" w:rsidR="00810E21" w:rsidRPr="00A52AB8" w:rsidRDefault="00810E21" w:rsidP="001B0754">
            <w:pPr>
              <w:spacing w:before="20" w:after="20"/>
              <w:jc w:val="center"/>
              <w:rPr>
                <w:color w:val="000000" w:themeColor="text1"/>
                <w:sz w:val="20"/>
                <w:szCs w:val="20"/>
              </w:rPr>
            </w:pPr>
            <w:r w:rsidRPr="00A52AB8">
              <w:rPr>
                <w:sz w:val="20"/>
                <w:szCs w:val="20"/>
              </w:rPr>
              <w:t>u(1)</w:t>
            </w:r>
          </w:p>
        </w:tc>
      </w:tr>
      <w:tr w:rsidR="00DF1B7B" w:rsidRPr="00A52AB8" w14:paraId="20A0E95E" w14:textId="77777777" w:rsidTr="00A252B5">
        <w:trPr>
          <w:jc w:val="center"/>
        </w:trPr>
        <w:tc>
          <w:tcPr>
            <w:tcW w:w="7921" w:type="dxa"/>
          </w:tcPr>
          <w:p w14:paraId="7CF0BCD0" w14:textId="17C34745" w:rsidR="00DF1B7B" w:rsidRPr="00A52AB8" w:rsidRDefault="00DF1B7B" w:rsidP="001B0754">
            <w:pPr>
              <w:spacing w:before="20" w:after="20"/>
              <w:rPr>
                <w:b/>
                <w:color w:val="000000" w:themeColor="text1"/>
                <w:sz w:val="20"/>
                <w:szCs w:val="20"/>
              </w:rPr>
            </w:pPr>
            <w:r w:rsidRPr="00A52AB8">
              <w:rPr>
                <w:color w:val="000000" w:themeColor="text1"/>
                <w:sz w:val="20"/>
                <w:szCs w:val="20"/>
              </w:rPr>
              <w:tab/>
              <w:t>if( asps_pixel_deinterleaving_enabled_flag </w:t>
            </w:r>
            <w:r w:rsidR="008768E9" w:rsidRPr="00A52AB8">
              <w:rPr>
                <w:color w:val="000000" w:themeColor="text1"/>
                <w:sz w:val="20"/>
                <w:szCs w:val="20"/>
              </w:rPr>
              <w:t>||</w:t>
            </w:r>
            <w:r w:rsidRPr="00A52AB8">
              <w:rPr>
                <w:color w:val="000000" w:themeColor="text1"/>
                <w:sz w:val="20"/>
                <w:szCs w:val="20"/>
              </w:rPr>
              <w:t> asps_</w:t>
            </w:r>
            <w:r w:rsidR="00D375CC" w:rsidRPr="00A52AB8">
              <w:rPr>
                <w:color w:val="000000" w:themeColor="text1"/>
                <w:sz w:val="20"/>
                <w:szCs w:val="20"/>
              </w:rPr>
              <w:t>plr</w:t>
            </w:r>
            <w:r w:rsidRPr="00A52AB8">
              <w:rPr>
                <w:color w:val="000000" w:themeColor="text1"/>
                <w:sz w:val="20"/>
                <w:szCs w:val="20"/>
              </w:rPr>
              <w:t>_enabled_flag )</w:t>
            </w:r>
          </w:p>
        </w:tc>
        <w:tc>
          <w:tcPr>
            <w:tcW w:w="1253" w:type="dxa"/>
          </w:tcPr>
          <w:p w14:paraId="3A887944" w14:textId="77777777" w:rsidR="00DF1B7B" w:rsidRPr="00A52AB8" w:rsidRDefault="00DF1B7B" w:rsidP="001B0754">
            <w:pPr>
              <w:spacing w:before="20" w:after="20"/>
              <w:jc w:val="center"/>
              <w:rPr>
                <w:color w:val="000000" w:themeColor="text1"/>
                <w:sz w:val="20"/>
                <w:szCs w:val="20"/>
              </w:rPr>
            </w:pPr>
          </w:p>
        </w:tc>
      </w:tr>
      <w:tr w:rsidR="00DF1B7B" w:rsidRPr="00A52AB8" w14:paraId="144B154D" w14:textId="77777777" w:rsidTr="00A252B5">
        <w:trPr>
          <w:jc w:val="center"/>
        </w:trPr>
        <w:tc>
          <w:tcPr>
            <w:tcW w:w="7921" w:type="dxa"/>
          </w:tcPr>
          <w:p w14:paraId="58256F72" w14:textId="77777777" w:rsidR="00DF1B7B" w:rsidRPr="00A52AB8" w:rsidRDefault="00DF1B7B" w:rsidP="001B0754">
            <w:pPr>
              <w:spacing w:before="20" w:after="20"/>
              <w:rPr>
                <w:color w:val="000000" w:themeColor="text1"/>
                <w:sz w:val="20"/>
                <w:szCs w:val="20"/>
              </w:rPr>
            </w:pPr>
            <w:r w:rsidRPr="00A52AB8">
              <w:rPr>
                <w:color w:val="000000" w:themeColor="text1"/>
                <w:sz w:val="20"/>
                <w:szCs w:val="20"/>
              </w:rPr>
              <w:tab/>
            </w:r>
            <w:r w:rsidRPr="00A52AB8">
              <w:rPr>
                <w:color w:val="000000" w:themeColor="text1"/>
                <w:sz w:val="20"/>
                <w:szCs w:val="20"/>
              </w:rPr>
              <w:tab/>
            </w:r>
            <w:r w:rsidRPr="00A52AB8">
              <w:rPr>
                <w:b/>
                <w:color w:val="000000" w:themeColor="text1"/>
                <w:sz w:val="20"/>
                <w:szCs w:val="20"/>
              </w:rPr>
              <w:t>asps_</w:t>
            </w:r>
            <w:r w:rsidR="00E064DA" w:rsidRPr="00A52AB8">
              <w:rPr>
                <w:b/>
                <w:color w:val="000000" w:themeColor="text1"/>
                <w:sz w:val="20"/>
                <w:szCs w:val="20"/>
              </w:rPr>
              <w:t>vpcc_</w:t>
            </w:r>
            <w:r w:rsidRPr="00A52AB8">
              <w:rPr>
                <w:b/>
                <w:color w:val="000000" w:themeColor="text1"/>
                <w:sz w:val="20"/>
                <w:szCs w:val="20"/>
              </w:rPr>
              <w:t>surface_thickness_minus1</w:t>
            </w:r>
          </w:p>
        </w:tc>
        <w:tc>
          <w:tcPr>
            <w:tcW w:w="1253" w:type="dxa"/>
          </w:tcPr>
          <w:p w14:paraId="2F316060" w14:textId="77777777" w:rsidR="00DF1B7B" w:rsidRPr="00A52AB8" w:rsidRDefault="001903D6" w:rsidP="001B0754">
            <w:pPr>
              <w:spacing w:before="20" w:after="20"/>
              <w:jc w:val="center"/>
              <w:rPr>
                <w:color w:val="000000" w:themeColor="text1"/>
                <w:sz w:val="20"/>
                <w:szCs w:val="20"/>
              </w:rPr>
            </w:pPr>
            <w:r w:rsidRPr="00A52AB8">
              <w:rPr>
                <w:color w:val="000000" w:themeColor="text1"/>
                <w:sz w:val="20"/>
                <w:szCs w:val="20"/>
              </w:rPr>
              <w:t>ue</w:t>
            </w:r>
            <w:r w:rsidR="006D291F" w:rsidRPr="00A52AB8">
              <w:rPr>
                <w:color w:val="000000" w:themeColor="text1"/>
                <w:sz w:val="20"/>
                <w:szCs w:val="20"/>
              </w:rPr>
              <w:t>(</w:t>
            </w:r>
            <w:r w:rsidRPr="00A52AB8">
              <w:rPr>
                <w:color w:val="000000" w:themeColor="text1"/>
                <w:sz w:val="20"/>
                <w:szCs w:val="20"/>
              </w:rPr>
              <w:t>v)</w:t>
            </w:r>
          </w:p>
        </w:tc>
      </w:tr>
      <w:tr w:rsidR="00DF1B7B" w:rsidRPr="00A52AB8" w14:paraId="6265BF19" w14:textId="77777777" w:rsidTr="00A252B5">
        <w:trPr>
          <w:jc w:val="center"/>
        </w:trPr>
        <w:tc>
          <w:tcPr>
            <w:tcW w:w="7921" w:type="dxa"/>
          </w:tcPr>
          <w:p w14:paraId="1F7CD6F5" w14:textId="77777777" w:rsidR="00DF1B7B" w:rsidRPr="00A52AB8" w:rsidRDefault="00DF1B7B" w:rsidP="001B0754">
            <w:pPr>
              <w:spacing w:before="20" w:after="20"/>
              <w:rPr>
                <w:color w:val="000000" w:themeColor="text1"/>
                <w:sz w:val="20"/>
                <w:szCs w:val="20"/>
              </w:rPr>
            </w:pPr>
            <w:r w:rsidRPr="00A52AB8">
              <w:rPr>
                <w:color w:val="000000" w:themeColor="text1"/>
                <w:sz w:val="20"/>
                <w:szCs w:val="20"/>
              </w:rPr>
              <w:t>}</w:t>
            </w:r>
          </w:p>
        </w:tc>
        <w:tc>
          <w:tcPr>
            <w:tcW w:w="1253" w:type="dxa"/>
          </w:tcPr>
          <w:p w14:paraId="134F4063" w14:textId="77777777" w:rsidR="00DF1B7B" w:rsidRPr="00A52AB8" w:rsidRDefault="00DF1B7B" w:rsidP="001B0754">
            <w:pPr>
              <w:spacing w:before="20" w:after="20"/>
              <w:jc w:val="center"/>
              <w:rPr>
                <w:color w:val="000000" w:themeColor="text1"/>
                <w:sz w:val="20"/>
                <w:szCs w:val="20"/>
              </w:rPr>
            </w:pPr>
          </w:p>
        </w:tc>
      </w:tr>
    </w:tbl>
    <w:p w14:paraId="74611791" w14:textId="77777777" w:rsidR="00DF1B7B" w:rsidRPr="00A52AB8" w:rsidRDefault="00DF1B7B" w:rsidP="00DF1B7B">
      <w:pPr>
        <w:pStyle w:val="a5"/>
        <w:numPr>
          <w:ilvl w:val="4"/>
          <w:numId w:val="14"/>
        </w:numPr>
      </w:pPr>
      <w:bookmarkStart w:id="6189" w:name="_Toc37760808"/>
      <w:r w:rsidRPr="00A52AB8">
        <w:t>Atlas frame parameter set RBSP syntax</w:t>
      </w:r>
      <w:bookmarkEnd w:id="6189"/>
    </w:p>
    <w:p w14:paraId="4BD20EAF" w14:textId="08C2ECDF" w:rsidR="00DF1B7B" w:rsidRPr="00A52AB8" w:rsidRDefault="00DF1B7B" w:rsidP="00DF1B7B">
      <w:r w:rsidRPr="00A52AB8">
        <w:t xml:space="preserve">The specifications in </w:t>
      </w:r>
      <w:r w:rsidR="00406A86" w:rsidRPr="00A52AB8">
        <w:t>subclause</w:t>
      </w:r>
      <w:r w:rsidRPr="00A52AB8">
        <w:t xml:space="preserve"> </w:t>
      </w:r>
      <w:r w:rsidR="00E156A2" w:rsidRPr="00496A4D">
        <w:fldChar w:fldCharType="begin"/>
      </w:r>
      <w:r w:rsidR="00E156A2" w:rsidRPr="00A52AB8">
        <w:instrText xml:space="preserve"> REF _Ref38314355 \n \h </w:instrText>
      </w:r>
      <w:r w:rsidR="00CA5401" w:rsidRPr="00A52AB8">
        <w:instrText xml:space="preserve"> \* MERGEFORMAT </w:instrText>
      </w:r>
      <w:r w:rsidR="00E156A2" w:rsidRPr="00496A4D">
        <w:fldChar w:fldCharType="separate"/>
      </w:r>
      <w:r w:rsidR="00507A67">
        <w:t>8.3.6.2</w:t>
      </w:r>
      <w:r w:rsidR="00E156A2" w:rsidRPr="00496A4D">
        <w:fldChar w:fldCharType="end"/>
      </w:r>
      <w:r w:rsidRPr="00A52AB8">
        <w:t xml:space="preserve"> and its subclauses apply</w:t>
      </w:r>
      <w:r w:rsidR="00EE4E99" w:rsidRPr="00A52AB8">
        <w:t>.</w:t>
      </w:r>
    </w:p>
    <w:p w14:paraId="1BA87A6C" w14:textId="6293C9D5" w:rsidR="00DF1B7B" w:rsidRPr="00A52AB8" w:rsidRDefault="00DF1B7B" w:rsidP="00DF1B7B">
      <w:pPr>
        <w:pStyle w:val="a5"/>
        <w:numPr>
          <w:ilvl w:val="4"/>
          <w:numId w:val="14"/>
        </w:numPr>
      </w:pPr>
      <w:bookmarkStart w:id="6190" w:name="_Toc49012846"/>
      <w:bookmarkStart w:id="6191" w:name="_Toc49013391"/>
      <w:bookmarkStart w:id="6192" w:name="_Toc49014508"/>
      <w:bookmarkStart w:id="6193" w:name="_Toc49095744"/>
      <w:bookmarkStart w:id="6194" w:name="_Toc37760810"/>
      <w:bookmarkEnd w:id="6190"/>
      <w:bookmarkEnd w:id="6191"/>
      <w:bookmarkEnd w:id="6192"/>
      <w:bookmarkEnd w:id="6193"/>
      <w:r w:rsidRPr="00A52AB8">
        <w:t>Atlas adaptation parameter set RBSP syntax</w:t>
      </w:r>
      <w:bookmarkEnd w:id="6194"/>
    </w:p>
    <w:p w14:paraId="1C6B6553" w14:textId="0F255588" w:rsidR="00B56703" w:rsidRPr="00A52AB8" w:rsidRDefault="00AF4803" w:rsidP="00983491">
      <w:pPr>
        <w:pStyle w:val="a6"/>
        <w:numPr>
          <w:ilvl w:val="5"/>
          <w:numId w:val="14"/>
        </w:numPr>
      </w:pPr>
      <w:r w:rsidRPr="00EE3D19">
        <w:t>General atlas adaptation parameter set RBSP syntax</w:t>
      </w:r>
    </w:p>
    <w:p w14:paraId="5AB2E797" w14:textId="2F796C25" w:rsidR="00B56703" w:rsidRPr="00A52AB8" w:rsidRDefault="00AF4803" w:rsidP="00EE3D19">
      <w:r w:rsidRPr="00A52AB8">
        <w:t xml:space="preserve">The specifications in subclause </w:t>
      </w:r>
      <w:r w:rsidR="00CA49A1">
        <w:fldChar w:fldCharType="begin"/>
      </w:r>
      <w:r w:rsidR="00CA49A1">
        <w:instrText xml:space="preserve"> REF _Ref38314387 \r \h </w:instrText>
      </w:r>
      <w:r w:rsidR="00CA49A1">
        <w:fldChar w:fldCharType="separate"/>
      </w:r>
      <w:r w:rsidR="00507A67">
        <w:t>8.3.6.3</w:t>
      </w:r>
      <w:r w:rsidR="00CA49A1">
        <w:fldChar w:fldCharType="end"/>
      </w:r>
      <w:r w:rsidR="00380F1C">
        <w:t xml:space="preserve"> </w:t>
      </w:r>
      <w:r w:rsidRPr="00A52AB8">
        <w:t>and its subclauses apply.</w:t>
      </w:r>
    </w:p>
    <w:p w14:paraId="0BA61A43" w14:textId="77777777" w:rsidR="00C61E38" w:rsidRPr="00A52AB8" w:rsidRDefault="00DF1B7B" w:rsidP="00DF1B7B">
      <w:pPr>
        <w:pStyle w:val="a6"/>
        <w:numPr>
          <w:ilvl w:val="5"/>
          <w:numId w:val="14"/>
        </w:numPr>
      </w:pPr>
      <w:bookmarkStart w:id="6195" w:name="_Toc51581658"/>
      <w:bookmarkStart w:id="6196" w:name="_Toc51583199"/>
      <w:bookmarkStart w:id="6197" w:name="_Toc37760811"/>
      <w:bookmarkEnd w:id="6195"/>
      <w:bookmarkEnd w:id="6196"/>
      <w:r w:rsidRPr="00A52AB8">
        <w:t>AAPS V-PCC extension syntax</w:t>
      </w:r>
      <w:bookmarkEnd w:id="6197"/>
    </w:p>
    <w:tbl>
      <w:tblPr>
        <w:tblStyle w:val="TableGrid"/>
        <w:tblW w:w="5000" w:type="pct"/>
        <w:tblLook w:val="04A0" w:firstRow="1" w:lastRow="0" w:firstColumn="1" w:lastColumn="0" w:noHBand="0" w:noVBand="1"/>
      </w:tblPr>
      <w:tblGrid>
        <w:gridCol w:w="8411"/>
        <w:gridCol w:w="1331"/>
      </w:tblGrid>
      <w:tr w:rsidR="00DF1B7B" w:rsidRPr="00A52AB8" w14:paraId="7D55B62B" w14:textId="77777777" w:rsidTr="00A252B5">
        <w:tc>
          <w:tcPr>
            <w:tcW w:w="7921" w:type="dxa"/>
          </w:tcPr>
          <w:p w14:paraId="428ECEEB" w14:textId="4228582F" w:rsidR="00DF1B7B" w:rsidRPr="00A52AB8" w:rsidRDefault="00DF1B7B" w:rsidP="001B0754">
            <w:pPr>
              <w:keepNext/>
              <w:tabs>
                <w:tab w:val="clear" w:pos="403"/>
              </w:tabs>
              <w:spacing w:before="20" w:after="40"/>
              <w:rPr>
                <w:sz w:val="20"/>
              </w:rPr>
            </w:pPr>
            <w:r w:rsidRPr="00A52AB8">
              <w:rPr>
                <w:bCs/>
                <w:sz w:val="20"/>
                <w:szCs w:val="20"/>
              </w:rPr>
              <w:t>aaps_vpcc_extension</w:t>
            </w:r>
            <w:r w:rsidRPr="00A52AB8">
              <w:rPr>
                <w:sz w:val="20"/>
              </w:rPr>
              <w:t xml:space="preserve"> </w:t>
            </w:r>
            <w:r w:rsidR="00395064" w:rsidRPr="00A52AB8">
              <w:rPr>
                <w:sz w:val="20"/>
              </w:rPr>
              <w:t>( )</w:t>
            </w:r>
            <w:r w:rsidR="008F1F82" w:rsidRPr="00A52AB8">
              <w:rPr>
                <w:sz w:val="20"/>
              </w:rPr>
              <w:t> {</w:t>
            </w:r>
          </w:p>
        </w:tc>
        <w:tc>
          <w:tcPr>
            <w:tcW w:w="1253" w:type="dxa"/>
          </w:tcPr>
          <w:p w14:paraId="7BA4D393" w14:textId="77777777" w:rsidR="00DF1B7B" w:rsidRPr="00A52AB8" w:rsidRDefault="00DF1B7B" w:rsidP="001B0754">
            <w:pPr>
              <w:spacing w:before="20" w:after="20"/>
              <w:jc w:val="center"/>
              <w:rPr>
                <w:b/>
                <w:color w:val="000000" w:themeColor="text1"/>
                <w:sz w:val="20"/>
                <w:szCs w:val="20"/>
              </w:rPr>
            </w:pPr>
            <w:r w:rsidRPr="00A52AB8">
              <w:rPr>
                <w:b/>
                <w:color w:val="000000" w:themeColor="text1"/>
                <w:sz w:val="20"/>
                <w:szCs w:val="20"/>
              </w:rPr>
              <w:t>Descriptor</w:t>
            </w:r>
          </w:p>
        </w:tc>
      </w:tr>
      <w:tr w:rsidR="00DF1B7B" w:rsidRPr="00A52AB8" w14:paraId="342240FB" w14:textId="77777777" w:rsidTr="00A252B5">
        <w:tc>
          <w:tcPr>
            <w:tcW w:w="7921" w:type="dxa"/>
          </w:tcPr>
          <w:p w14:paraId="5C3A94EB" w14:textId="77777777" w:rsidR="00DF1B7B" w:rsidRPr="00A52AB8" w:rsidRDefault="00DF1B7B" w:rsidP="001B0754">
            <w:pPr>
              <w:spacing w:before="20" w:after="20"/>
              <w:rPr>
                <w:b/>
                <w:bCs/>
                <w:color w:val="000000" w:themeColor="text1"/>
                <w:sz w:val="20"/>
                <w:szCs w:val="20"/>
              </w:rPr>
            </w:pPr>
            <w:r w:rsidRPr="00A52AB8">
              <w:rPr>
                <w:color w:val="000000" w:themeColor="text1"/>
                <w:sz w:val="20"/>
                <w:szCs w:val="20"/>
              </w:rPr>
              <w:tab/>
            </w:r>
            <w:r w:rsidRPr="00A52AB8">
              <w:rPr>
                <w:b/>
                <w:bCs/>
                <w:color w:val="000000" w:themeColor="text1"/>
                <w:sz w:val="20"/>
                <w:szCs w:val="20"/>
              </w:rPr>
              <w:t>aaps_</w:t>
            </w:r>
            <w:r w:rsidR="00370806" w:rsidRPr="00A52AB8">
              <w:rPr>
                <w:b/>
                <w:bCs/>
                <w:color w:val="000000" w:themeColor="text1"/>
                <w:sz w:val="20"/>
                <w:szCs w:val="20"/>
              </w:rPr>
              <w:t>vpcc_</w:t>
            </w:r>
            <w:r w:rsidRPr="00A52AB8">
              <w:rPr>
                <w:b/>
                <w:bCs/>
                <w:color w:val="000000" w:themeColor="text1"/>
                <w:sz w:val="20"/>
                <w:szCs w:val="20"/>
              </w:rPr>
              <w:t>camera_parameters_present_flag</w:t>
            </w:r>
          </w:p>
        </w:tc>
        <w:tc>
          <w:tcPr>
            <w:tcW w:w="1253" w:type="dxa"/>
          </w:tcPr>
          <w:p w14:paraId="4E6FDA9B" w14:textId="77777777" w:rsidR="00DF1B7B" w:rsidRPr="00A52AB8" w:rsidRDefault="00DF1B7B" w:rsidP="001B0754">
            <w:pPr>
              <w:spacing w:before="20" w:after="20"/>
              <w:jc w:val="center"/>
              <w:rPr>
                <w:color w:val="000000" w:themeColor="text1"/>
                <w:sz w:val="20"/>
                <w:szCs w:val="20"/>
              </w:rPr>
            </w:pPr>
            <w:r w:rsidRPr="00A52AB8">
              <w:rPr>
                <w:color w:val="000000" w:themeColor="text1"/>
                <w:sz w:val="20"/>
                <w:szCs w:val="20"/>
              </w:rPr>
              <w:t>u(1)</w:t>
            </w:r>
          </w:p>
        </w:tc>
      </w:tr>
      <w:tr w:rsidR="00DF1B7B" w:rsidRPr="00A52AB8" w14:paraId="5766AC5A" w14:textId="77777777" w:rsidTr="00A252B5">
        <w:tc>
          <w:tcPr>
            <w:tcW w:w="7921" w:type="dxa"/>
          </w:tcPr>
          <w:p w14:paraId="21239A67" w14:textId="20CBDC04" w:rsidR="00DF1B7B" w:rsidRPr="00A52AB8" w:rsidRDefault="00DF1B7B" w:rsidP="001B0754">
            <w:pPr>
              <w:spacing w:before="20" w:after="20"/>
              <w:rPr>
                <w:color w:val="000000" w:themeColor="text1"/>
                <w:sz w:val="20"/>
                <w:szCs w:val="20"/>
              </w:rPr>
            </w:pPr>
            <w:r w:rsidRPr="00A52AB8">
              <w:rPr>
                <w:color w:val="000000" w:themeColor="text1"/>
                <w:sz w:val="20"/>
                <w:szCs w:val="20"/>
              </w:rPr>
              <w:tab/>
            </w:r>
            <w:r w:rsidR="00D63ACE" w:rsidRPr="00A52AB8">
              <w:rPr>
                <w:color w:val="000000" w:themeColor="text1"/>
                <w:sz w:val="20"/>
                <w:szCs w:val="20"/>
              </w:rPr>
              <w:t>if(</w:t>
            </w:r>
            <w:r w:rsidRPr="00A52AB8">
              <w:rPr>
                <w:color w:val="000000" w:themeColor="text1"/>
                <w:sz w:val="20"/>
                <w:szCs w:val="20"/>
              </w:rPr>
              <w:t> aaps_</w:t>
            </w:r>
            <w:r w:rsidR="00370806" w:rsidRPr="00A52AB8">
              <w:rPr>
                <w:color w:val="000000" w:themeColor="text1"/>
                <w:sz w:val="20"/>
                <w:szCs w:val="20"/>
              </w:rPr>
              <w:t>vpcc_</w:t>
            </w:r>
            <w:r w:rsidRPr="00A52AB8">
              <w:rPr>
                <w:color w:val="000000" w:themeColor="text1"/>
                <w:sz w:val="20"/>
                <w:szCs w:val="20"/>
              </w:rPr>
              <w:t>camera_parameters_present_flag )</w:t>
            </w:r>
          </w:p>
        </w:tc>
        <w:tc>
          <w:tcPr>
            <w:tcW w:w="1253" w:type="dxa"/>
          </w:tcPr>
          <w:p w14:paraId="6DE72440" w14:textId="77777777" w:rsidR="00DF1B7B" w:rsidRPr="00A52AB8" w:rsidRDefault="00DF1B7B" w:rsidP="001B0754">
            <w:pPr>
              <w:spacing w:before="20" w:after="20"/>
              <w:rPr>
                <w:color w:val="000000" w:themeColor="text1"/>
                <w:sz w:val="20"/>
                <w:szCs w:val="20"/>
              </w:rPr>
            </w:pPr>
          </w:p>
        </w:tc>
      </w:tr>
      <w:tr w:rsidR="00DF1B7B" w:rsidRPr="00A52AB8" w14:paraId="17976131" w14:textId="77777777" w:rsidTr="00A252B5">
        <w:tc>
          <w:tcPr>
            <w:tcW w:w="7921" w:type="dxa"/>
          </w:tcPr>
          <w:p w14:paraId="18EED157" w14:textId="77777777" w:rsidR="00DF1B7B" w:rsidRPr="00A52AB8" w:rsidRDefault="00DF1B7B" w:rsidP="001B0754">
            <w:pPr>
              <w:spacing w:before="20" w:after="20"/>
              <w:rPr>
                <w:color w:val="000000" w:themeColor="text1"/>
                <w:sz w:val="20"/>
                <w:szCs w:val="20"/>
              </w:rPr>
            </w:pPr>
            <w:r w:rsidRPr="00A52AB8">
              <w:rPr>
                <w:color w:val="000000" w:themeColor="text1"/>
                <w:sz w:val="20"/>
                <w:szCs w:val="20"/>
              </w:rPr>
              <w:tab/>
            </w:r>
            <w:r w:rsidRPr="00A52AB8">
              <w:rPr>
                <w:color w:val="000000" w:themeColor="text1"/>
                <w:sz w:val="20"/>
                <w:szCs w:val="20"/>
              </w:rPr>
              <w:tab/>
              <w:t>atlas_camera_parameters( )</w:t>
            </w:r>
          </w:p>
        </w:tc>
        <w:tc>
          <w:tcPr>
            <w:tcW w:w="1253" w:type="dxa"/>
          </w:tcPr>
          <w:p w14:paraId="1CE1A583" w14:textId="77777777" w:rsidR="00DF1B7B" w:rsidRPr="00A52AB8" w:rsidRDefault="00DF1B7B" w:rsidP="001B0754">
            <w:pPr>
              <w:spacing w:before="20" w:after="20"/>
              <w:rPr>
                <w:color w:val="000000" w:themeColor="text1"/>
                <w:sz w:val="20"/>
                <w:szCs w:val="20"/>
              </w:rPr>
            </w:pPr>
          </w:p>
        </w:tc>
      </w:tr>
      <w:tr w:rsidR="00DF1B7B" w:rsidRPr="00A52AB8" w14:paraId="30CB4B56" w14:textId="77777777" w:rsidTr="00A252B5">
        <w:tc>
          <w:tcPr>
            <w:tcW w:w="7921" w:type="dxa"/>
          </w:tcPr>
          <w:p w14:paraId="25785D09" w14:textId="77777777" w:rsidR="00DF1B7B" w:rsidRPr="00A52AB8" w:rsidRDefault="00DF1B7B" w:rsidP="001B0754">
            <w:pPr>
              <w:spacing w:before="20" w:after="20"/>
              <w:rPr>
                <w:color w:val="000000" w:themeColor="text1"/>
                <w:sz w:val="20"/>
                <w:szCs w:val="20"/>
              </w:rPr>
            </w:pPr>
            <w:r w:rsidRPr="00A52AB8">
              <w:rPr>
                <w:color w:val="000000" w:themeColor="text1"/>
                <w:sz w:val="20"/>
                <w:szCs w:val="20"/>
              </w:rPr>
              <w:t>}</w:t>
            </w:r>
          </w:p>
        </w:tc>
        <w:tc>
          <w:tcPr>
            <w:tcW w:w="1253" w:type="dxa"/>
          </w:tcPr>
          <w:p w14:paraId="1595D9A5" w14:textId="77777777" w:rsidR="00DF1B7B" w:rsidRPr="00A52AB8" w:rsidRDefault="00DF1B7B" w:rsidP="001B0754">
            <w:pPr>
              <w:spacing w:before="20" w:after="20"/>
              <w:rPr>
                <w:color w:val="000000" w:themeColor="text1"/>
                <w:sz w:val="20"/>
                <w:szCs w:val="20"/>
              </w:rPr>
            </w:pPr>
          </w:p>
        </w:tc>
      </w:tr>
    </w:tbl>
    <w:p w14:paraId="7E8F3CCD" w14:textId="77777777" w:rsidR="00C61E38" w:rsidRPr="00A52AB8" w:rsidRDefault="00DF1B7B" w:rsidP="00DF1B7B">
      <w:pPr>
        <w:pStyle w:val="a6"/>
        <w:numPr>
          <w:ilvl w:val="5"/>
          <w:numId w:val="14"/>
        </w:numPr>
      </w:pPr>
      <w:bookmarkStart w:id="6198" w:name="_Toc37760812"/>
      <w:r w:rsidRPr="00A52AB8">
        <w:t>Atlas camera parameters syntax</w:t>
      </w:r>
      <w:bookmarkEnd w:id="6198"/>
    </w:p>
    <w:tbl>
      <w:tblPr>
        <w:tblStyle w:val="TableGrid"/>
        <w:tblW w:w="5000" w:type="pct"/>
        <w:jc w:val="center"/>
        <w:tblLook w:val="04A0" w:firstRow="1" w:lastRow="0" w:firstColumn="1" w:lastColumn="0" w:noHBand="0" w:noVBand="1"/>
      </w:tblPr>
      <w:tblGrid>
        <w:gridCol w:w="8411"/>
        <w:gridCol w:w="1331"/>
      </w:tblGrid>
      <w:tr w:rsidR="00DF1B7B" w:rsidRPr="00A52AB8" w14:paraId="5DA2C8F7" w14:textId="77777777" w:rsidTr="00A252B5">
        <w:trPr>
          <w:jc w:val="center"/>
        </w:trPr>
        <w:tc>
          <w:tcPr>
            <w:tcW w:w="7921" w:type="dxa"/>
          </w:tcPr>
          <w:p w14:paraId="1D04EAE0" w14:textId="5146CBE9" w:rsidR="00DF1B7B" w:rsidRPr="00A52AB8" w:rsidRDefault="00DF1B7B" w:rsidP="008F2A42">
            <w:pPr>
              <w:spacing w:after="0" w:line="240" w:lineRule="auto"/>
              <w:rPr>
                <w:sz w:val="20"/>
                <w:szCs w:val="20"/>
              </w:rPr>
            </w:pPr>
            <w:r w:rsidRPr="00A52AB8">
              <w:rPr>
                <w:sz w:val="20"/>
                <w:szCs w:val="20"/>
              </w:rPr>
              <w:t>atlas_camera_parameters</w:t>
            </w:r>
            <w:r w:rsidR="00395064" w:rsidRPr="00A52AB8">
              <w:rPr>
                <w:sz w:val="20"/>
                <w:szCs w:val="20"/>
              </w:rPr>
              <w:t>( )</w:t>
            </w:r>
            <w:r w:rsidR="008F1F82" w:rsidRPr="00A52AB8">
              <w:rPr>
                <w:sz w:val="20"/>
                <w:szCs w:val="20"/>
              </w:rPr>
              <w:t> {</w:t>
            </w:r>
          </w:p>
        </w:tc>
        <w:tc>
          <w:tcPr>
            <w:tcW w:w="1253" w:type="dxa"/>
          </w:tcPr>
          <w:p w14:paraId="60B367D2" w14:textId="77777777" w:rsidR="00DF1B7B" w:rsidRPr="00A52AB8" w:rsidRDefault="00DF1B7B" w:rsidP="008F2A42">
            <w:pPr>
              <w:spacing w:after="0" w:line="240" w:lineRule="auto"/>
              <w:jc w:val="center"/>
              <w:rPr>
                <w:b/>
                <w:color w:val="000000" w:themeColor="text1"/>
                <w:sz w:val="20"/>
                <w:szCs w:val="20"/>
              </w:rPr>
            </w:pPr>
            <w:r w:rsidRPr="00A52AB8">
              <w:rPr>
                <w:b/>
                <w:color w:val="000000" w:themeColor="text1"/>
                <w:sz w:val="20"/>
                <w:szCs w:val="20"/>
              </w:rPr>
              <w:t>Descriptor</w:t>
            </w:r>
          </w:p>
        </w:tc>
      </w:tr>
      <w:tr w:rsidR="00DF1B7B" w:rsidRPr="00A52AB8" w14:paraId="45693548" w14:textId="77777777" w:rsidTr="00A252B5">
        <w:trPr>
          <w:jc w:val="center"/>
        </w:trPr>
        <w:tc>
          <w:tcPr>
            <w:tcW w:w="7921" w:type="dxa"/>
          </w:tcPr>
          <w:p w14:paraId="4904983A" w14:textId="77777777" w:rsidR="00DF1B7B" w:rsidRPr="00A52AB8" w:rsidRDefault="00DF1B7B" w:rsidP="008F2A42">
            <w:pPr>
              <w:spacing w:after="0" w:line="240" w:lineRule="auto"/>
              <w:rPr>
                <w:b/>
                <w:bCs/>
                <w:sz w:val="20"/>
                <w:szCs w:val="20"/>
              </w:rPr>
            </w:pPr>
            <w:r w:rsidRPr="00A52AB8">
              <w:rPr>
                <w:sz w:val="20"/>
                <w:szCs w:val="20"/>
              </w:rPr>
              <w:tab/>
            </w:r>
            <w:r w:rsidRPr="00A52AB8">
              <w:rPr>
                <w:b/>
                <w:bCs/>
                <w:sz w:val="20"/>
                <w:szCs w:val="20"/>
              </w:rPr>
              <w:t>acp_camera_model</w:t>
            </w:r>
          </w:p>
        </w:tc>
        <w:tc>
          <w:tcPr>
            <w:tcW w:w="1253" w:type="dxa"/>
          </w:tcPr>
          <w:p w14:paraId="5050C382" w14:textId="77777777" w:rsidR="00DF1B7B" w:rsidRPr="00A52AB8" w:rsidRDefault="00DF1B7B" w:rsidP="008F2A42">
            <w:pPr>
              <w:spacing w:after="0" w:line="240" w:lineRule="auto"/>
              <w:jc w:val="center"/>
              <w:rPr>
                <w:color w:val="000000" w:themeColor="text1"/>
                <w:sz w:val="20"/>
                <w:szCs w:val="20"/>
              </w:rPr>
            </w:pPr>
            <w:r w:rsidRPr="00A52AB8">
              <w:rPr>
                <w:color w:val="000000" w:themeColor="text1"/>
                <w:sz w:val="20"/>
                <w:szCs w:val="20"/>
              </w:rPr>
              <w:t>u(8)</w:t>
            </w:r>
          </w:p>
        </w:tc>
      </w:tr>
      <w:tr w:rsidR="00DF1B7B" w:rsidRPr="00A52AB8" w14:paraId="0F55E8E0" w14:textId="77777777" w:rsidTr="00A252B5">
        <w:trPr>
          <w:jc w:val="center"/>
        </w:trPr>
        <w:tc>
          <w:tcPr>
            <w:tcW w:w="7921" w:type="dxa"/>
          </w:tcPr>
          <w:p w14:paraId="702DE9F0" w14:textId="1C942EC3" w:rsidR="00DF1B7B" w:rsidRPr="00A52AB8" w:rsidRDefault="00DF1B7B" w:rsidP="008F2A42">
            <w:pPr>
              <w:spacing w:after="0" w:line="240" w:lineRule="auto"/>
              <w:rPr>
                <w:sz w:val="20"/>
                <w:szCs w:val="20"/>
              </w:rPr>
            </w:pPr>
            <w:r w:rsidRPr="00A52AB8">
              <w:rPr>
                <w:sz w:val="20"/>
                <w:szCs w:val="20"/>
              </w:rPr>
              <w:tab/>
              <w:t>if( acp_camera_model</w:t>
            </w:r>
            <w:r w:rsidR="008768E9" w:rsidRPr="00A52AB8">
              <w:rPr>
                <w:sz w:val="20"/>
                <w:szCs w:val="20"/>
              </w:rPr>
              <w:t> </w:t>
            </w:r>
            <w:r w:rsidR="00726AAE" w:rsidRPr="00A52AB8">
              <w:rPr>
                <w:sz w:val="20"/>
                <w:szCs w:val="20"/>
              </w:rPr>
              <w:t>==</w:t>
            </w:r>
            <w:r w:rsidR="00D47707" w:rsidRPr="00A52AB8">
              <w:rPr>
                <w:sz w:val="20"/>
                <w:szCs w:val="20"/>
              </w:rPr>
              <w:t> </w:t>
            </w:r>
            <w:r w:rsidRPr="00A52AB8">
              <w:rPr>
                <w:sz w:val="20"/>
                <w:szCs w:val="20"/>
              </w:rPr>
              <w:t>1</w:t>
            </w:r>
            <w:r w:rsidR="008F1F82" w:rsidRPr="00A52AB8">
              <w:rPr>
                <w:sz w:val="20"/>
                <w:szCs w:val="20"/>
              </w:rPr>
              <w:t>) {</w:t>
            </w:r>
          </w:p>
        </w:tc>
        <w:tc>
          <w:tcPr>
            <w:tcW w:w="1253" w:type="dxa"/>
          </w:tcPr>
          <w:p w14:paraId="2C7493C6" w14:textId="77777777" w:rsidR="00DF1B7B" w:rsidRPr="00A52AB8" w:rsidRDefault="00DF1B7B" w:rsidP="008F2A42">
            <w:pPr>
              <w:spacing w:after="0" w:line="240" w:lineRule="auto"/>
              <w:jc w:val="center"/>
              <w:rPr>
                <w:color w:val="000000" w:themeColor="text1"/>
                <w:sz w:val="20"/>
                <w:szCs w:val="20"/>
              </w:rPr>
            </w:pPr>
          </w:p>
        </w:tc>
      </w:tr>
      <w:tr w:rsidR="00DF1B7B" w:rsidRPr="00A52AB8" w14:paraId="7AB378FA" w14:textId="77777777" w:rsidTr="00A252B5">
        <w:trPr>
          <w:jc w:val="center"/>
        </w:trPr>
        <w:tc>
          <w:tcPr>
            <w:tcW w:w="7921" w:type="dxa"/>
          </w:tcPr>
          <w:p w14:paraId="6DD399F6" w14:textId="77777777" w:rsidR="00DF1B7B" w:rsidRPr="00A52AB8" w:rsidRDefault="00DF1B7B" w:rsidP="008F2A42">
            <w:pPr>
              <w:spacing w:after="0" w:line="240" w:lineRule="auto"/>
              <w:rPr>
                <w:b/>
                <w:bCs/>
                <w:sz w:val="20"/>
                <w:szCs w:val="20"/>
              </w:rPr>
            </w:pPr>
            <w:r w:rsidRPr="00A52AB8">
              <w:rPr>
                <w:b/>
                <w:bCs/>
                <w:sz w:val="20"/>
                <w:szCs w:val="20"/>
              </w:rPr>
              <w:tab/>
            </w:r>
            <w:r w:rsidRPr="00A52AB8">
              <w:rPr>
                <w:b/>
                <w:bCs/>
                <w:sz w:val="20"/>
                <w:szCs w:val="20"/>
              </w:rPr>
              <w:tab/>
              <w:t>acp_scale_enabled_flag</w:t>
            </w:r>
          </w:p>
        </w:tc>
        <w:tc>
          <w:tcPr>
            <w:tcW w:w="1253" w:type="dxa"/>
          </w:tcPr>
          <w:p w14:paraId="69C6623C" w14:textId="77777777" w:rsidR="00DF1B7B" w:rsidRPr="00A52AB8" w:rsidRDefault="00DF1B7B" w:rsidP="008F2A42">
            <w:pPr>
              <w:spacing w:after="0" w:line="240" w:lineRule="auto"/>
              <w:jc w:val="center"/>
              <w:rPr>
                <w:color w:val="000000" w:themeColor="text1"/>
                <w:sz w:val="20"/>
                <w:szCs w:val="20"/>
              </w:rPr>
            </w:pPr>
            <w:r w:rsidRPr="00A52AB8">
              <w:rPr>
                <w:color w:val="000000" w:themeColor="text1"/>
                <w:sz w:val="20"/>
                <w:szCs w:val="20"/>
              </w:rPr>
              <w:t>u(1)</w:t>
            </w:r>
          </w:p>
        </w:tc>
      </w:tr>
      <w:tr w:rsidR="00DF1B7B" w:rsidRPr="00A52AB8" w14:paraId="7D057FA7" w14:textId="77777777" w:rsidTr="00A252B5">
        <w:trPr>
          <w:jc w:val="center"/>
        </w:trPr>
        <w:tc>
          <w:tcPr>
            <w:tcW w:w="7921" w:type="dxa"/>
          </w:tcPr>
          <w:p w14:paraId="5234FF36" w14:textId="77777777" w:rsidR="00DF1B7B" w:rsidRPr="00A52AB8" w:rsidRDefault="00DF1B7B" w:rsidP="008F2A42">
            <w:pPr>
              <w:spacing w:after="0" w:line="240" w:lineRule="auto"/>
              <w:rPr>
                <w:b/>
                <w:bCs/>
                <w:sz w:val="20"/>
                <w:szCs w:val="20"/>
              </w:rPr>
            </w:pPr>
            <w:r w:rsidRPr="00A52AB8">
              <w:rPr>
                <w:b/>
                <w:bCs/>
                <w:sz w:val="20"/>
                <w:szCs w:val="20"/>
              </w:rPr>
              <w:tab/>
            </w:r>
            <w:r w:rsidRPr="00A52AB8">
              <w:rPr>
                <w:b/>
                <w:bCs/>
                <w:sz w:val="20"/>
                <w:szCs w:val="20"/>
              </w:rPr>
              <w:tab/>
              <w:t>acp_offset_enabled_flag</w:t>
            </w:r>
          </w:p>
        </w:tc>
        <w:tc>
          <w:tcPr>
            <w:tcW w:w="1253" w:type="dxa"/>
          </w:tcPr>
          <w:p w14:paraId="562FA623" w14:textId="77777777" w:rsidR="00DF1B7B" w:rsidRPr="00A52AB8" w:rsidRDefault="00DF1B7B" w:rsidP="008F2A42">
            <w:pPr>
              <w:spacing w:after="0" w:line="240" w:lineRule="auto"/>
              <w:jc w:val="center"/>
              <w:rPr>
                <w:color w:val="000000" w:themeColor="text1"/>
                <w:sz w:val="20"/>
                <w:szCs w:val="20"/>
              </w:rPr>
            </w:pPr>
            <w:r w:rsidRPr="00A52AB8">
              <w:rPr>
                <w:color w:val="000000" w:themeColor="text1"/>
                <w:sz w:val="20"/>
                <w:szCs w:val="20"/>
              </w:rPr>
              <w:t>u(1)</w:t>
            </w:r>
          </w:p>
        </w:tc>
      </w:tr>
      <w:tr w:rsidR="00DF1B7B" w:rsidRPr="00A52AB8" w14:paraId="7F51002B" w14:textId="77777777" w:rsidTr="00A252B5">
        <w:trPr>
          <w:jc w:val="center"/>
        </w:trPr>
        <w:tc>
          <w:tcPr>
            <w:tcW w:w="7921" w:type="dxa"/>
          </w:tcPr>
          <w:p w14:paraId="56FF1BEF" w14:textId="77777777" w:rsidR="00DF1B7B" w:rsidRPr="00A52AB8" w:rsidRDefault="00DF1B7B" w:rsidP="008F2A42">
            <w:pPr>
              <w:spacing w:after="0" w:line="240" w:lineRule="auto"/>
              <w:rPr>
                <w:b/>
                <w:bCs/>
                <w:sz w:val="20"/>
                <w:szCs w:val="20"/>
              </w:rPr>
            </w:pPr>
            <w:r w:rsidRPr="00A52AB8">
              <w:rPr>
                <w:b/>
                <w:bCs/>
                <w:sz w:val="20"/>
                <w:szCs w:val="20"/>
              </w:rPr>
              <w:tab/>
            </w:r>
            <w:r w:rsidRPr="00A52AB8">
              <w:rPr>
                <w:b/>
                <w:bCs/>
                <w:sz w:val="20"/>
                <w:szCs w:val="20"/>
              </w:rPr>
              <w:tab/>
              <w:t>acp_rotation_enabled_flag</w:t>
            </w:r>
          </w:p>
        </w:tc>
        <w:tc>
          <w:tcPr>
            <w:tcW w:w="1253" w:type="dxa"/>
          </w:tcPr>
          <w:p w14:paraId="13DF79D1" w14:textId="77777777" w:rsidR="00DF1B7B" w:rsidRPr="00A52AB8" w:rsidRDefault="00DF1B7B" w:rsidP="008F2A42">
            <w:pPr>
              <w:spacing w:after="0" w:line="240" w:lineRule="auto"/>
              <w:jc w:val="center"/>
              <w:rPr>
                <w:color w:val="000000" w:themeColor="text1"/>
                <w:sz w:val="20"/>
                <w:szCs w:val="20"/>
              </w:rPr>
            </w:pPr>
            <w:r w:rsidRPr="00A52AB8">
              <w:rPr>
                <w:color w:val="000000" w:themeColor="text1"/>
                <w:sz w:val="20"/>
                <w:szCs w:val="20"/>
              </w:rPr>
              <w:t>u(1)</w:t>
            </w:r>
          </w:p>
        </w:tc>
      </w:tr>
      <w:tr w:rsidR="00DF1B7B" w:rsidRPr="00A52AB8" w14:paraId="4B3E9718" w14:textId="77777777" w:rsidTr="00A252B5">
        <w:trPr>
          <w:jc w:val="center"/>
        </w:trPr>
        <w:tc>
          <w:tcPr>
            <w:tcW w:w="7921" w:type="dxa"/>
          </w:tcPr>
          <w:p w14:paraId="61806921" w14:textId="77777777" w:rsidR="00DF1B7B" w:rsidRPr="00A52AB8" w:rsidRDefault="00DF1B7B" w:rsidP="008F2A42">
            <w:pPr>
              <w:spacing w:after="0" w:line="240" w:lineRule="auto"/>
              <w:rPr>
                <w:sz w:val="20"/>
                <w:szCs w:val="20"/>
              </w:rPr>
            </w:pPr>
            <w:r w:rsidRPr="00A52AB8">
              <w:rPr>
                <w:sz w:val="20"/>
                <w:szCs w:val="20"/>
              </w:rPr>
              <w:tab/>
            </w:r>
            <w:r w:rsidRPr="00A52AB8">
              <w:rPr>
                <w:sz w:val="20"/>
                <w:szCs w:val="20"/>
              </w:rPr>
              <w:tab/>
              <w:t>if( acp_scale_enabled_flag )</w:t>
            </w:r>
          </w:p>
        </w:tc>
        <w:tc>
          <w:tcPr>
            <w:tcW w:w="1253" w:type="dxa"/>
          </w:tcPr>
          <w:p w14:paraId="164E0C67" w14:textId="77777777" w:rsidR="00DF1B7B" w:rsidRPr="00A52AB8" w:rsidRDefault="00DF1B7B" w:rsidP="008F2A42">
            <w:pPr>
              <w:spacing w:after="0" w:line="240" w:lineRule="auto"/>
              <w:jc w:val="center"/>
              <w:rPr>
                <w:color w:val="000000" w:themeColor="text1"/>
                <w:sz w:val="20"/>
                <w:szCs w:val="20"/>
              </w:rPr>
            </w:pPr>
          </w:p>
        </w:tc>
      </w:tr>
      <w:tr w:rsidR="00DF1B7B" w:rsidRPr="00A52AB8" w14:paraId="1D90CF92" w14:textId="77777777" w:rsidTr="00A252B5">
        <w:trPr>
          <w:jc w:val="center"/>
        </w:trPr>
        <w:tc>
          <w:tcPr>
            <w:tcW w:w="7921" w:type="dxa"/>
          </w:tcPr>
          <w:p w14:paraId="3B375F17" w14:textId="7BD2B93E" w:rsidR="00DF1B7B" w:rsidRPr="00A52AB8" w:rsidRDefault="00DF1B7B" w:rsidP="008F2A42">
            <w:pPr>
              <w:spacing w:after="0" w:line="240" w:lineRule="auto"/>
              <w:rPr>
                <w:sz w:val="20"/>
                <w:szCs w:val="20"/>
              </w:rPr>
            </w:pPr>
            <w:r w:rsidRPr="00A52AB8">
              <w:rPr>
                <w:sz w:val="20"/>
                <w:szCs w:val="20"/>
              </w:rPr>
              <w:tab/>
            </w:r>
            <w:r w:rsidRPr="00A52AB8">
              <w:rPr>
                <w:sz w:val="20"/>
                <w:szCs w:val="20"/>
              </w:rPr>
              <w:tab/>
            </w:r>
            <w:r w:rsidRPr="00A52AB8">
              <w:rPr>
                <w:sz w:val="20"/>
                <w:szCs w:val="20"/>
              </w:rPr>
              <w:tab/>
              <w:t>for( d</w:t>
            </w:r>
            <w:r w:rsidR="00D47707" w:rsidRPr="00A52AB8">
              <w:rPr>
                <w:sz w:val="20"/>
                <w:szCs w:val="20"/>
              </w:rPr>
              <w:t> = </w:t>
            </w:r>
            <w:r w:rsidRPr="00A52AB8">
              <w:rPr>
                <w:sz w:val="20"/>
                <w:szCs w:val="20"/>
              </w:rPr>
              <w:t>0; d &lt; 3; d</w:t>
            </w:r>
            <w:r w:rsidR="00006CCF" w:rsidRPr="00A52AB8">
              <w:rPr>
                <w:sz w:val="20"/>
                <w:szCs w:val="20"/>
              </w:rPr>
              <w:t>++ )</w:t>
            </w:r>
          </w:p>
        </w:tc>
        <w:tc>
          <w:tcPr>
            <w:tcW w:w="1253" w:type="dxa"/>
          </w:tcPr>
          <w:p w14:paraId="5647DA5C" w14:textId="77777777" w:rsidR="00DF1B7B" w:rsidRPr="00A52AB8" w:rsidRDefault="00DF1B7B" w:rsidP="008F2A42">
            <w:pPr>
              <w:spacing w:after="0" w:line="240" w:lineRule="auto"/>
              <w:jc w:val="center"/>
              <w:rPr>
                <w:color w:val="000000" w:themeColor="text1"/>
                <w:sz w:val="20"/>
                <w:szCs w:val="20"/>
              </w:rPr>
            </w:pPr>
          </w:p>
        </w:tc>
      </w:tr>
      <w:tr w:rsidR="00DF1B7B" w:rsidRPr="00A52AB8" w14:paraId="002EEE81" w14:textId="77777777" w:rsidTr="00A252B5">
        <w:trPr>
          <w:jc w:val="center"/>
        </w:trPr>
        <w:tc>
          <w:tcPr>
            <w:tcW w:w="7921" w:type="dxa"/>
          </w:tcPr>
          <w:p w14:paraId="5777C6D7" w14:textId="5E196786" w:rsidR="00DF1B7B" w:rsidRPr="00A52AB8" w:rsidRDefault="00DF1B7B" w:rsidP="008F2A42">
            <w:pPr>
              <w:spacing w:after="0" w:line="240" w:lineRule="auto"/>
              <w:rPr>
                <w:sz w:val="20"/>
                <w:szCs w:val="20"/>
              </w:rPr>
            </w:pPr>
            <w:r w:rsidRPr="00A52AB8">
              <w:rPr>
                <w:sz w:val="20"/>
                <w:szCs w:val="20"/>
              </w:rPr>
              <w:tab/>
            </w:r>
            <w:r w:rsidRPr="00A52AB8">
              <w:rPr>
                <w:sz w:val="20"/>
                <w:szCs w:val="20"/>
              </w:rPr>
              <w:tab/>
            </w:r>
            <w:r w:rsidRPr="00A52AB8">
              <w:rPr>
                <w:sz w:val="20"/>
                <w:szCs w:val="20"/>
              </w:rPr>
              <w:tab/>
            </w:r>
            <w:r w:rsidRPr="00A52AB8">
              <w:rPr>
                <w:sz w:val="20"/>
                <w:szCs w:val="20"/>
              </w:rPr>
              <w:tab/>
            </w:r>
            <w:r w:rsidRPr="00A52AB8">
              <w:rPr>
                <w:b/>
                <w:bCs/>
                <w:sz w:val="20"/>
                <w:szCs w:val="20"/>
              </w:rPr>
              <w:t>acp_scale_on_axis</w:t>
            </w:r>
            <w:r w:rsidR="00395064" w:rsidRPr="00A52AB8">
              <w:rPr>
                <w:sz w:val="20"/>
                <w:szCs w:val="20"/>
              </w:rPr>
              <w:t>[ d ]</w:t>
            </w:r>
          </w:p>
        </w:tc>
        <w:tc>
          <w:tcPr>
            <w:tcW w:w="1253" w:type="dxa"/>
          </w:tcPr>
          <w:p w14:paraId="291405CA" w14:textId="77777777" w:rsidR="00DF1B7B" w:rsidRPr="00A52AB8" w:rsidRDefault="00DF1B7B" w:rsidP="008F2A42">
            <w:pPr>
              <w:spacing w:after="0" w:line="240" w:lineRule="auto"/>
              <w:jc w:val="center"/>
              <w:rPr>
                <w:color w:val="000000" w:themeColor="text1"/>
                <w:sz w:val="20"/>
                <w:szCs w:val="20"/>
              </w:rPr>
            </w:pPr>
            <w:r w:rsidRPr="00A52AB8">
              <w:rPr>
                <w:color w:val="000000" w:themeColor="text1"/>
                <w:sz w:val="20"/>
                <w:szCs w:val="20"/>
              </w:rPr>
              <w:t>u(32)</w:t>
            </w:r>
          </w:p>
        </w:tc>
      </w:tr>
      <w:tr w:rsidR="00DF1B7B" w:rsidRPr="00A52AB8" w14:paraId="61E44E6F" w14:textId="77777777" w:rsidTr="00A252B5">
        <w:trPr>
          <w:jc w:val="center"/>
        </w:trPr>
        <w:tc>
          <w:tcPr>
            <w:tcW w:w="7921" w:type="dxa"/>
          </w:tcPr>
          <w:p w14:paraId="23806F5B" w14:textId="77777777" w:rsidR="00DF1B7B" w:rsidRPr="00A52AB8" w:rsidRDefault="00DF1B7B" w:rsidP="008F2A42">
            <w:pPr>
              <w:spacing w:after="0" w:line="240" w:lineRule="auto"/>
              <w:rPr>
                <w:sz w:val="20"/>
                <w:szCs w:val="20"/>
              </w:rPr>
            </w:pPr>
            <w:r w:rsidRPr="00A52AB8">
              <w:rPr>
                <w:sz w:val="20"/>
                <w:szCs w:val="20"/>
              </w:rPr>
              <w:tab/>
            </w:r>
            <w:r w:rsidRPr="00A52AB8">
              <w:rPr>
                <w:sz w:val="20"/>
                <w:szCs w:val="20"/>
              </w:rPr>
              <w:tab/>
              <w:t>if( acp_offset_enabled_flag )</w:t>
            </w:r>
          </w:p>
        </w:tc>
        <w:tc>
          <w:tcPr>
            <w:tcW w:w="1253" w:type="dxa"/>
          </w:tcPr>
          <w:p w14:paraId="113CBB26" w14:textId="77777777" w:rsidR="00DF1B7B" w:rsidRPr="00A52AB8" w:rsidRDefault="00DF1B7B" w:rsidP="008F2A42">
            <w:pPr>
              <w:spacing w:after="0" w:line="240" w:lineRule="auto"/>
              <w:jc w:val="center"/>
              <w:rPr>
                <w:color w:val="000000" w:themeColor="text1"/>
                <w:sz w:val="20"/>
                <w:szCs w:val="20"/>
              </w:rPr>
            </w:pPr>
          </w:p>
        </w:tc>
      </w:tr>
      <w:tr w:rsidR="00DF1B7B" w:rsidRPr="00A52AB8" w14:paraId="7792B130" w14:textId="77777777" w:rsidTr="00A252B5">
        <w:trPr>
          <w:jc w:val="center"/>
        </w:trPr>
        <w:tc>
          <w:tcPr>
            <w:tcW w:w="7921" w:type="dxa"/>
          </w:tcPr>
          <w:p w14:paraId="0EA1E9EB" w14:textId="0FA55E05" w:rsidR="00DF1B7B" w:rsidRPr="00A52AB8" w:rsidRDefault="00DF1B7B" w:rsidP="008F2A42">
            <w:pPr>
              <w:spacing w:after="0" w:line="240" w:lineRule="auto"/>
              <w:rPr>
                <w:sz w:val="20"/>
                <w:szCs w:val="20"/>
              </w:rPr>
            </w:pPr>
            <w:r w:rsidRPr="00A52AB8">
              <w:rPr>
                <w:sz w:val="20"/>
                <w:szCs w:val="20"/>
              </w:rPr>
              <w:tab/>
            </w:r>
            <w:r w:rsidRPr="00A52AB8">
              <w:rPr>
                <w:sz w:val="20"/>
                <w:szCs w:val="20"/>
              </w:rPr>
              <w:tab/>
            </w:r>
            <w:r w:rsidRPr="00A52AB8">
              <w:rPr>
                <w:sz w:val="20"/>
                <w:szCs w:val="20"/>
              </w:rPr>
              <w:tab/>
              <w:t>for( d</w:t>
            </w:r>
            <w:r w:rsidR="00D47707" w:rsidRPr="00A52AB8">
              <w:rPr>
                <w:sz w:val="20"/>
                <w:szCs w:val="20"/>
              </w:rPr>
              <w:t> = </w:t>
            </w:r>
            <w:r w:rsidRPr="00A52AB8">
              <w:rPr>
                <w:sz w:val="20"/>
                <w:szCs w:val="20"/>
              </w:rPr>
              <w:t>0; d &lt; 3; d</w:t>
            </w:r>
            <w:r w:rsidR="00006CCF" w:rsidRPr="00A52AB8">
              <w:rPr>
                <w:sz w:val="20"/>
                <w:szCs w:val="20"/>
              </w:rPr>
              <w:t>++ )</w:t>
            </w:r>
          </w:p>
        </w:tc>
        <w:tc>
          <w:tcPr>
            <w:tcW w:w="1253" w:type="dxa"/>
          </w:tcPr>
          <w:p w14:paraId="74979DEE" w14:textId="77777777" w:rsidR="00DF1B7B" w:rsidRPr="00A52AB8" w:rsidRDefault="00DF1B7B" w:rsidP="008F2A42">
            <w:pPr>
              <w:spacing w:after="0" w:line="240" w:lineRule="auto"/>
              <w:jc w:val="center"/>
              <w:rPr>
                <w:color w:val="000000" w:themeColor="text1"/>
                <w:sz w:val="20"/>
                <w:szCs w:val="20"/>
              </w:rPr>
            </w:pPr>
          </w:p>
        </w:tc>
      </w:tr>
      <w:tr w:rsidR="00DF1B7B" w:rsidRPr="00A52AB8" w14:paraId="453EEAE2" w14:textId="77777777" w:rsidTr="00A252B5">
        <w:trPr>
          <w:jc w:val="center"/>
        </w:trPr>
        <w:tc>
          <w:tcPr>
            <w:tcW w:w="7921" w:type="dxa"/>
          </w:tcPr>
          <w:p w14:paraId="51A476D9" w14:textId="56148D3A" w:rsidR="00DF1B7B" w:rsidRPr="00A52AB8" w:rsidRDefault="00DF1B7B" w:rsidP="008F2A42">
            <w:pPr>
              <w:spacing w:after="0" w:line="240" w:lineRule="auto"/>
              <w:rPr>
                <w:sz w:val="20"/>
                <w:szCs w:val="20"/>
              </w:rPr>
            </w:pPr>
            <w:r w:rsidRPr="00A52AB8">
              <w:rPr>
                <w:sz w:val="20"/>
                <w:szCs w:val="20"/>
              </w:rPr>
              <w:tab/>
            </w:r>
            <w:r w:rsidRPr="00A52AB8">
              <w:rPr>
                <w:sz w:val="20"/>
                <w:szCs w:val="20"/>
              </w:rPr>
              <w:tab/>
            </w:r>
            <w:r w:rsidRPr="00A52AB8">
              <w:rPr>
                <w:sz w:val="20"/>
                <w:szCs w:val="20"/>
              </w:rPr>
              <w:tab/>
            </w:r>
            <w:r w:rsidRPr="00A52AB8">
              <w:rPr>
                <w:sz w:val="20"/>
                <w:szCs w:val="20"/>
              </w:rPr>
              <w:tab/>
            </w:r>
            <w:r w:rsidRPr="00A52AB8">
              <w:rPr>
                <w:b/>
                <w:bCs/>
                <w:sz w:val="20"/>
                <w:szCs w:val="20"/>
              </w:rPr>
              <w:t>acp_offset_on_axis</w:t>
            </w:r>
            <w:r w:rsidR="00395064" w:rsidRPr="00A52AB8">
              <w:rPr>
                <w:sz w:val="20"/>
                <w:szCs w:val="20"/>
              </w:rPr>
              <w:t>[ d ]</w:t>
            </w:r>
          </w:p>
        </w:tc>
        <w:tc>
          <w:tcPr>
            <w:tcW w:w="1253" w:type="dxa"/>
          </w:tcPr>
          <w:p w14:paraId="2D7038C7" w14:textId="77777777" w:rsidR="00DF1B7B" w:rsidRPr="00A52AB8" w:rsidRDefault="00DF1B7B" w:rsidP="008F2A42">
            <w:pPr>
              <w:spacing w:after="0" w:line="240" w:lineRule="auto"/>
              <w:jc w:val="center"/>
              <w:rPr>
                <w:color w:val="000000" w:themeColor="text1"/>
                <w:sz w:val="20"/>
                <w:szCs w:val="20"/>
              </w:rPr>
            </w:pPr>
            <w:r w:rsidRPr="00A52AB8">
              <w:rPr>
                <w:color w:val="000000" w:themeColor="text1"/>
                <w:sz w:val="20"/>
                <w:szCs w:val="20"/>
              </w:rPr>
              <w:t>i(32)</w:t>
            </w:r>
          </w:p>
        </w:tc>
      </w:tr>
      <w:tr w:rsidR="00DF1B7B" w:rsidRPr="00A52AB8" w14:paraId="14334BEF" w14:textId="77777777" w:rsidTr="00A252B5">
        <w:trPr>
          <w:jc w:val="center"/>
        </w:trPr>
        <w:tc>
          <w:tcPr>
            <w:tcW w:w="7921" w:type="dxa"/>
          </w:tcPr>
          <w:p w14:paraId="19C5A99C" w14:textId="6D7AD8BD" w:rsidR="00DF1B7B" w:rsidRPr="00A52AB8" w:rsidRDefault="00DF1B7B" w:rsidP="008F2A42">
            <w:pPr>
              <w:spacing w:after="0" w:line="240" w:lineRule="auto"/>
              <w:rPr>
                <w:sz w:val="20"/>
                <w:szCs w:val="20"/>
              </w:rPr>
            </w:pPr>
            <w:r w:rsidRPr="00A52AB8">
              <w:rPr>
                <w:sz w:val="20"/>
                <w:szCs w:val="20"/>
              </w:rPr>
              <w:tab/>
            </w:r>
            <w:r w:rsidRPr="00A52AB8">
              <w:rPr>
                <w:sz w:val="20"/>
                <w:szCs w:val="20"/>
              </w:rPr>
              <w:tab/>
              <w:t>if( acp_rotation_enabled_flag </w:t>
            </w:r>
            <w:r w:rsidR="008F1F82" w:rsidRPr="00A52AB8">
              <w:rPr>
                <w:sz w:val="20"/>
                <w:szCs w:val="20"/>
              </w:rPr>
              <w:t>) {</w:t>
            </w:r>
          </w:p>
        </w:tc>
        <w:tc>
          <w:tcPr>
            <w:tcW w:w="1253" w:type="dxa"/>
          </w:tcPr>
          <w:p w14:paraId="4F08806A" w14:textId="77777777" w:rsidR="00DF1B7B" w:rsidRPr="00A52AB8" w:rsidRDefault="00DF1B7B" w:rsidP="008F2A42">
            <w:pPr>
              <w:spacing w:after="0" w:line="240" w:lineRule="auto"/>
              <w:jc w:val="center"/>
              <w:rPr>
                <w:color w:val="000000" w:themeColor="text1"/>
                <w:sz w:val="20"/>
                <w:szCs w:val="20"/>
              </w:rPr>
            </w:pPr>
          </w:p>
        </w:tc>
      </w:tr>
      <w:tr w:rsidR="00DF1B7B" w:rsidRPr="00A52AB8" w14:paraId="59AF1B83" w14:textId="77777777" w:rsidTr="00A252B5">
        <w:trPr>
          <w:jc w:val="center"/>
        </w:trPr>
        <w:tc>
          <w:tcPr>
            <w:tcW w:w="7921" w:type="dxa"/>
          </w:tcPr>
          <w:p w14:paraId="0EF4D91B" w14:textId="77777777" w:rsidR="00DF1B7B" w:rsidRPr="00A52AB8" w:rsidRDefault="00DF1B7B" w:rsidP="008F2A42">
            <w:pPr>
              <w:spacing w:after="0" w:line="240" w:lineRule="auto"/>
              <w:rPr>
                <w:b/>
                <w:bCs/>
                <w:sz w:val="20"/>
                <w:szCs w:val="20"/>
              </w:rPr>
            </w:pPr>
            <w:r w:rsidRPr="00A52AB8">
              <w:rPr>
                <w:b/>
                <w:bCs/>
                <w:sz w:val="20"/>
                <w:szCs w:val="20"/>
              </w:rPr>
              <w:tab/>
            </w:r>
            <w:r w:rsidRPr="00A52AB8">
              <w:rPr>
                <w:b/>
                <w:bCs/>
                <w:sz w:val="20"/>
                <w:szCs w:val="20"/>
              </w:rPr>
              <w:tab/>
            </w:r>
            <w:r w:rsidRPr="00A52AB8">
              <w:rPr>
                <w:b/>
                <w:bCs/>
                <w:sz w:val="20"/>
                <w:szCs w:val="20"/>
              </w:rPr>
              <w:tab/>
              <w:t>acp_rotation_qx</w:t>
            </w:r>
          </w:p>
        </w:tc>
        <w:tc>
          <w:tcPr>
            <w:tcW w:w="1253" w:type="dxa"/>
          </w:tcPr>
          <w:p w14:paraId="6239AD02" w14:textId="1740D819" w:rsidR="00DF1B7B" w:rsidRPr="00A52AB8" w:rsidRDefault="005713D3" w:rsidP="008F2A42">
            <w:pPr>
              <w:spacing w:after="0" w:line="240" w:lineRule="auto"/>
              <w:jc w:val="center"/>
              <w:rPr>
                <w:color w:val="000000" w:themeColor="text1"/>
                <w:sz w:val="20"/>
                <w:szCs w:val="20"/>
              </w:rPr>
            </w:pPr>
            <w:r w:rsidRPr="00A52AB8">
              <w:rPr>
                <w:color w:val="000000" w:themeColor="text1"/>
                <w:sz w:val="20"/>
                <w:szCs w:val="20"/>
              </w:rPr>
              <w:t>i</w:t>
            </w:r>
            <w:r w:rsidR="00DF1B7B" w:rsidRPr="00A52AB8">
              <w:rPr>
                <w:color w:val="000000" w:themeColor="text1"/>
                <w:sz w:val="20"/>
                <w:szCs w:val="20"/>
              </w:rPr>
              <w:t>(16)</w:t>
            </w:r>
          </w:p>
        </w:tc>
      </w:tr>
      <w:tr w:rsidR="00DF1B7B" w:rsidRPr="00A52AB8" w14:paraId="0CF55D11" w14:textId="77777777" w:rsidTr="00A252B5">
        <w:trPr>
          <w:jc w:val="center"/>
        </w:trPr>
        <w:tc>
          <w:tcPr>
            <w:tcW w:w="7921" w:type="dxa"/>
          </w:tcPr>
          <w:p w14:paraId="2DBF5F1C" w14:textId="77777777" w:rsidR="00DF1B7B" w:rsidRPr="00A52AB8" w:rsidRDefault="00DF1B7B" w:rsidP="008F2A42">
            <w:pPr>
              <w:spacing w:after="0" w:line="240" w:lineRule="auto"/>
              <w:rPr>
                <w:b/>
                <w:bCs/>
                <w:sz w:val="20"/>
                <w:szCs w:val="20"/>
              </w:rPr>
            </w:pPr>
            <w:r w:rsidRPr="00A52AB8">
              <w:rPr>
                <w:b/>
                <w:bCs/>
                <w:sz w:val="20"/>
                <w:szCs w:val="20"/>
              </w:rPr>
              <w:tab/>
            </w:r>
            <w:r w:rsidRPr="00A52AB8">
              <w:rPr>
                <w:b/>
                <w:bCs/>
                <w:sz w:val="20"/>
                <w:szCs w:val="20"/>
              </w:rPr>
              <w:tab/>
            </w:r>
            <w:r w:rsidRPr="00A52AB8">
              <w:rPr>
                <w:b/>
                <w:bCs/>
                <w:sz w:val="20"/>
                <w:szCs w:val="20"/>
              </w:rPr>
              <w:tab/>
              <w:t>acp_rotation_qy</w:t>
            </w:r>
          </w:p>
        </w:tc>
        <w:tc>
          <w:tcPr>
            <w:tcW w:w="1253" w:type="dxa"/>
          </w:tcPr>
          <w:p w14:paraId="21B08BF1" w14:textId="2C380CCD" w:rsidR="00DF1B7B" w:rsidRPr="00A52AB8" w:rsidRDefault="005713D3" w:rsidP="008F2A42">
            <w:pPr>
              <w:spacing w:after="0" w:line="240" w:lineRule="auto"/>
              <w:jc w:val="center"/>
              <w:rPr>
                <w:color w:val="000000" w:themeColor="text1"/>
                <w:sz w:val="20"/>
                <w:szCs w:val="20"/>
              </w:rPr>
            </w:pPr>
            <w:r w:rsidRPr="00A52AB8">
              <w:rPr>
                <w:color w:val="000000" w:themeColor="text1"/>
                <w:sz w:val="20"/>
                <w:szCs w:val="20"/>
              </w:rPr>
              <w:t>i</w:t>
            </w:r>
            <w:r w:rsidR="00DF1B7B" w:rsidRPr="00A52AB8">
              <w:rPr>
                <w:color w:val="000000" w:themeColor="text1"/>
                <w:sz w:val="20"/>
                <w:szCs w:val="20"/>
              </w:rPr>
              <w:t>(16)</w:t>
            </w:r>
          </w:p>
        </w:tc>
      </w:tr>
      <w:tr w:rsidR="00DF1B7B" w:rsidRPr="00A52AB8" w14:paraId="4520C705" w14:textId="77777777" w:rsidTr="00A252B5">
        <w:trPr>
          <w:jc w:val="center"/>
        </w:trPr>
        <w:tc>
          <w:tcPr>
            <w:tcW w:w="7921" w:type="dxa"/>
          </w:tcPr>
          <w:p w14:paraId="3C0017B6" w14:textId="77777777" w:rsidR="00DF1B7B" w:rsidRPr="00A52AB8" w:rsidRDefault="00DF1B7B" w:rsidP="008F2A42">
            <w:pPr>
              <w:spacing w:after="0" w:line="240" w:lineRule="auto"/>
              <w:rPr>
                <w:b/>
                <w:bCs/>
                <w:sz w:val="20"/>
                <w:szCs w:val="20"/>
              </w:rPr>
            </w:pPr>
            <w:r w:rsidRPr="00A52AB8">
              <w:rPr>
                <w:b/>
                <w:bCs/>
                <w:sz w:val="20"/>
                <w:szCs w:val="20"/>
              </w:rPr>
              <w:tab/>
            </w:r>
            <w:r w:rsidRPr="00A52AB8">
              <w:rPr>
                <w:b/>
                <w:bCs/>
                <w:sz w:val="20"/>
                <w:szCs w:val="20"/>
              </w:rPr>
              <w:tab/>
            </w:r>
            <w:r w:rsidRPr="00A52AB8">
              <w:rPr>
                <w:b/>
                <w:bCs/>
                <w:sz w:val="20"/>
                <w:szCs w:val="20"/>
              </w:rPr>
              <w:tab/>
              <w:t>acp_rotation_qz</w:t>
            </w:r>
          </w:p>
        </w:tc>
        <w:tc>
          <w:tcPr>
            <w:tcW w:w="1253" w:type="dxa"/>
          </w:tcPr>
          <w:p w14:paraId="6A9A8658" w14:textId="7CB2F909" w:rsidR="00DF1B7B" w:rsidRPr="00A52AB8" w:rsidRDefault="005713D3" w:rsidP="008F2A42">
            <w:pPr>
              <w:spacing w:after="0" w:line="240" w:lineRule="auto"/>
              <w:jc w:val="center"/>
              <w:rPr>
                <w:color w:val="000000" w:themeColor="text1"/>
                <w:sz w:val="20"/>
                <w:szCs w:val="20"/>
              </w:rPr>
            </w:pPr>
            <w:r w:rsidRPr="00A52AB8">
              <w:rPr>
                <w:color w:val="000000" w:themeColor="text1"/>
                <w:sz w:val="20"/>
                <w:szCs w:val="20"/>
              </w:rPr>
              <w:t>i</w:t>
            </w:r>
            <w:r w:rsidR="00DF1B7B" w:rsidRPr="00A52AB8">
              <w:rPr>
                <w:color w:val="000000" w:themeColor="text1"/>
                <w:sz w:val="20"/>
                <w:szCs w:val="20"/>
              </w:rPr>
              <w:t>(16)</w:t>
            </w:r>
          </w:p>
        </w:tc>
      </w:tr>
      <w:tr w:rsidR="00DF1B7B" w:rsidRPr="00A52AB8" w14:paraId="108B23CF" w14:textId="77777777" w:rsidTr="00A252B5">
        <w:trPr>
          <w:jc w:val="center"/>
        </w:trPr>
        <w:tc>
          <w:tcPr>
            <w:tcW w:w="7921" w:type="dxa"/>
          </w:tcPr>
          <w:p w14:paraId="157FD79F" w14:textId="77777777" w:rsidR="00DF1B7B" w:rsidRPr="00A52AB8" w:rsidRDefault="00DF1B7B" w:rsidP="008F2A42">
            <w:pPr>
              <w:spacing w:after="0" w:line="240" w:lineRule="auto"/>
              <w:rPr>
                <w:sz w:val="20"/>
                <w:szCs w:val="20"/>
              </w:rPr>
            </w:pPr>
            <w:r w:rsidRPr="00A52AB8">
              <w:rPr>
                <w:sz w:val="20"/>
                <w:szCs w:val="20"/>
              </w:rPr>
              <w:tab/>
            </w:r>
            <w:r w:rsidRPr="00A52AB8">
              <w:rPr>
                <w:sz w:val="20"/>
                <w:szCs w:val="20"/>
              </w:rPr>
              <w:tab/>
              <w:t>}</w:t>
            </w:r>
          </w:p>
        </w:tc>
        <w:tc>
          <w:tcPr>
            <w:tcW w:w="1253" w:type="dxa"/>
          </w:tcPr>
          <w:p w14:paraId="647FA934" w14:textId="77777777" w:rsidR="00DF1B7B" w:rsidRPr="00A52AB8" w:rsidRDefault="00DF1B7B" w:rsidP="008F2A42">
            <w:pPr>
              <w:spacing w:after="0" w:line="240" w:lineRule="auto"/>
              <w:jc w:val="center"/>
              <w:rPr>
                <w:color w:val="000000" w:themeColor="text1"/>
                <w:sz w:val="20"/>
                <w:szCs w:val="20"/>
              </w:rPr>
            </w:pPr>
          </w:p>
        </w:tc>
      </w:tr>
      <w:tr w:rsidR="00DF1B7B" w:rsidRPr="00A52AB8" w14:paraId="0D5C8AD2" w14:textId="77777777" w:rsidTr="00A252B5">
        <w:trPr>
          <w:jc w:val="center"/>
        </w:trPr>
        <w:tc>
          <w:tcPr>
            <w:tcW w:w="7921" w:type="dxa"/>
          </w:tcPr>
          <w:p w14:paraId="44E96F9A" w14:textId="77777777" w:rsidR="00DF1B7B" w:rsidRPr="00A52AB8" w:rsidRDefault="00DF1B7B" w:rsidP="008F2A42">
            <w:pPr>
              <w:spacing w:after="0" w:line="240" w:lineRule="auto"/>
              <w:rPr>
                <w:sz w:val="20"/>
                <w:szCs w:val="20"/>
              </w:rPr>
            </w:pPr>
            <w:r w:rsidRPr="00A52AB8">
              <w:rPr>
                <w:sz w:val="20"/>
                <w:szCs w:val="20"/>
              </w:rPr>
              <w:tab/>
              <w:t>}</w:t>
            </w:r>
          </w:p>
        </w:tc>
        <w:tc>
          <w:tcPr>
            <w:tcW w:w="1253" w:type="dxa"/>
          </w:tcPr>
          <w:p w14:paraId="4A6B31A6" w14:textId="77777777" w:rsidR="00DF1B7B" w:rsidRPr="00A52AB8" w:rsidRDefault="00DF1B7B" w:rsidP="008F2A42">
            <w:pPr>
              <w:spacing w:after="0" w:line="240" w:lineRule="auto"/>
              <w:jc w:val="center"/>
              <w:rPr>
                <w:color w:val="000000" w:themeColor="text1"/>
                <w:sz w:val="20"/>
                <w:szCs w:val="20"/>
              </w:rPr>
            </w:pPr>
          </w:p>
        </w:tc>
      </w:tr>
      <w:tr w:rsidR="00DF1B7B" w:rsidRPr="00A52AB8" w14:paraId="23AB2143" w14:textId="77777777" w:rsidTr="00A252B5">
        <w:trPr>
          <w:jc w:val="center"/>
        </w:trPr>
        <w:tc>
          <w:tcPr>
            <w:tcW w:w="7921" w:type="dxa"/>
          </w:tcPr>
          <w:p w14:paraId="324641C7" w14:textId="77777777" w:rsidR="00DF1B7B" w:rsidRPr="00A52AB8" w:rsidRDefault="00DF1B7B" w:rsidP="008F2A42">
            <w:pPr>
              <w:spacing w:after="0" w:line="240" w:lineRule="auto"/>
              <w:rPr>
                <w:sz w:val="20"/>
                <w:szCs w:val="20"/>
              </w:rPr>
            </w:pPr>
            <w:r w:rsidRPr="00A52AB8">
              <w:rPr>
                <w:sz w:val="20"/>
                <w:szCs w:val="20"/>
              </w:rPr>
              <w:t>}</w:t>
            </w:r>
          </w:p>
        </w:tc>
        <w:tc>
          <w:tcPr>
            <w:tcW w:w="1253" w:type="dxa"/>
          </w:tcPr>
          <w:p w14:paraId="4C563E91" w14:textId="77777777" w:rsidR="00DF1B7B" w:rsidRPr="00A52AB8" w:rsidRDefault="00DF1B7B" w:rsidP="008F2A42">
            <w:pPr>
              <w:spacing w:after="0" w:line="240" w:lineRule="auto"/>
              <w:jc w:val="center"/>
              <w:rPr>
                <w:color w:val="000000" w:themeColor="text1"/>
                <w:sz w:val="20"/>
                <w:szCs w:val="20"/>
              </w:rPr>
            </w:pPr>
          </w:p>
        </w:tc>
      </w:tr>
    </w:tbl>
    <w:p w14:paraId="7727BFFC" w14:textId="77777777" w:rsidR="00DF1B7B" w:rsidRPr="00A52AB8" w:rsidRDefault="00DF1B7B" w:rsidP="00DF1B7B">
      <w:pPr>
        <w:pStyle w:val="a5"/>
        <w:numPr>
          <w:ilvl w:val="4"/>
          <w:numId w:val="14"/>
        </w:numPr>
      </w:pPr>
      <w:bookmarkStart w:id="6199" w:name="_Toc37760813"/>
      <w:r w:rsidRPr="00A52AB8">
        <w:t>Supplemental enhancement information RBSP syntax</w:t>
      </w:r>
      <w:bookmarkEnd w:id="6199"/>
    </w:p>
    <w:p w14:paraId="4AFD0CAC" w14:textId="29E78390" w:rsidR="00DF1B7B" w:rsidRPr="00A52AB8" w:rsidRDefault="00DF1B7B" w:rsidP="00DF1B7B">
      <w:pPr>
        <w:rPr>
          <w:lang w:eastAsia="ja-JP"/>
        </w:rPr>
      </w:pPr>
      <w:r w:rsidRPr="00A52AB8">
        <w:t xml:space="preserve">The specifications in </w:t>
      </w:r>
      <w:r w:rsidR="00406A86" w:rsidRPr="00A52AB8">
        <w:t>subclause</w:t>
      </w:r>
      <w:r w:rsidRPr="00A52AB8">
        <w:t xml:space="preserve"> </w:t>
      </w:r>
      <w:r w:rsidR="005A277C" w:rsidRPr="00496A4D">
        <w:fldChar w:fldCharType="begin"/>
      </w:r>
      <w:r w:rsidR="005A277C" w:rsidRPr="00A52AB8">
        <w:instrText xml:space="preserve"> REF _Ref38314422 \n \h </w:instrText>
      </w:r>
      <w:r w:rsidR="00CA5401" w:rsidRPr="00A52AB8">
        <w:instrText xml:space="preserve"> \* MERGEFORMAT </w:instrText>
      </w:r>
      <w:r w:rsidR="005A277C" w:rsidRPr="00496A4D">
        <w:fldChar w:fldCharType="separate"/>
      </w:r>
      <w:r w:rsidR="00507A67">
        <w:t>8.3.6.4</w:t>
      </w:r>
      <w:r w:rsidR="005A277C" w:rsidRPr="00496A4D">
        <w:fldChar w:fldCharType="end"/>
      </w:r>
      <w:r w:rsidRPr="00A52AB8">
        <w:t xml:space="preserve"> and its subclauses apply.</w:t>
      </w:r>
    </w:p>
    <w:p w14:paraId="68DC1280" w14:textId="77777777" w:rsidR="00DF1B7B" w:rsidRPr="00A52AB8" w:rsidRDefault="00DF1B7B" w:rsidP="00DF1B7B">
      <w:pPr>
        <w:pStyle w:val="a5"/>
        <w:numPr>
          <w:ilvl w:val="4"/>
          <w:numId w:val="14"/>
        </w:numPr>
      </w:pPr>
      <w:bookmarkStart w:id="6200" w:name="_Toc37760814"/>
      <w:r w:rsidRPr="00A52AB8">
        <w:t>Access unit delimiter RBSP syntax</w:t>
      </w:r>
      <w:bookmarkEnd w:id="6200"/>
    </w:p>
    <w:p w14:paraId="5DBEA78B" w14:textId="21D8A12E" w:rsidR="00DF1B7B" w:rsidRPr="00A52AB8" w:rsidRDefault="00DF1B7B" w:rsidP="00DF1B7B">
      <w:pPr>
        <w:rPr>
          <w:lang w:eastAsia="ja-JP"/>
        </w:rPr>
      </w:pPr>
      <w:r w:rsidRPr="00A52AB8">
        <w:t xml:space="preserve">The specifications in </w:t>
      </w:r>
      <w:r w:rsidR="00406A86" w:rsidRPr="00A52AB8">
        <w:t>subclause</w:t>
      </w:r>
      <w:r w:rsidRPr="00A52AB8">
        <w:t xml:space="preserve"> </w:t>
      </w:r>
      <w:r w:rsidR="005A277C" w:rsidRPr="00496A4D">
        <w:fldChar w:fldCharType="begin"/>
      </w:r>
      <w:r w:rsidR="005A277C" w:rsidRPr="00A52AB8">
        <w:instrText xml:space="preserve"> REF _Ref38314433 \n \h </w:instrText>
      </w:r>
      <w:r w:rsidR="00CA5401" w:rsidRPr="00A52AB8">
        <w:instrText xml:space="preserve"> \* MERGEFORMAT </w:instrText>
      </w:r>
      <w:r w:rsidR="005A277C" w:rsidRPr="00496A4D">
        <w:fldChar w:fldCharType="separate"/>
      </w:r>
      <w:r w:rsidR="00507A67">
        <w:t>8.3.6.5</w:t>
      </w:r>
      <w:r w:rsidR="005A277C" w:rsidRPr="00496A4D">
        <w:fldChar w:fldCharType="end"/>
      </w:r>
      <w:r w:rsidRPr="00A52AB8">
        <w:t xml:space="preserve"> and its subclauses apply.</w:t>
      </w:r>
    </w:p>
    <w:p w14:paraId="762E60AD" w14:textId="77777777" w:rsidR="00DF1B7B" w:rsidRPr="00A52AB8" w:rsidRDefault="00DF1B7B" w:rsidP="00DF1B7B">
      <w:pPr>
        <w:pStyle w:val="a5"/>
        <w:numPr>
          <w:ilvl w:val="4"/>
          <w:numId w:val="14"/>
        </w:numPr>
      </w:pPr>
      <w:bookmarkStart w:id="6201" w:name="_Toc37760815"/>
      <w:r w:rsidRPr="00A52AB8">
        <w:t>End of sequence RBSP syntax</w:t>
      </w:r>
      <w:bookmarkEnd w:id="6201"/>
    </w:p>
    <w:p w14:paraId="6C3FBD3D" w14:textId="7C28736C" w:rsidR="00DF1B7B" w:rsidRPr="00A52AB8" w:rsidRDefault="00DF1B7B" w:rsidP="00DF1B7B">
      <w:r w:rsidRPr="00A52AB8">
        <w:t xml:space="preserve">The specifications in </w:t>
      </w:r>
      <w:r w:rsidR="00406A86" w:rsidRPr="00A52AB8">
        <w:t>subclause</w:t>
      </w:r>
      <w:r w:rsidRPr="00A52AB8">
        <w:t xml:space="preserve"> </w:t>
      </w:r>
      <w:r w:rsidR="005A277C" w:rsidRPr="00496A4D">
        <w:fldChar w:fldCharType="begin"/>
      </w:r>
      <w:r w:rsidR="005A277C" w:rsidRPr="00A52AB8">
        <w:instrText xml:space="preserve"> REF _Ref38314444 \n \h </w:instrText>
      </w:r>
      <w:r w:rsidR="00CA5401" w:rsidRPr="00A52AB8">
        <w:instrText xml:space="preserve"> \* MERGEFORMAT </w:instrText>
      </w:r>
      <w:r w:rsidR="005A277C" w:rsidRPr="00496A4D">
        <w:fldChar w:fldCharType="separate"/>
      </w:r>
      <w:r w:rsidR="00507A67">
        <w:t>8.3.6.6</w:t>
      </w:r>
      <w:r w:rsidR="005A277C" w:rsidRPr="00496A4D">
        <w:fldChar w:fldCharType="end"/>
      </w:r>
      <w:r w:rsidRPr="00A52AB8">
        <w:t xml:space="preserve"> and its subclauses apply.</w:t>
      </w:r>
    </w:p>
    <w:p w14:paraId="644BB8AE" w14:textId="77777777" w:rsidR="00EC0051" w:rsidRPr="00A52AB8" w:rsidRDefault="00EC0051" w:rsidP="00EC0051">
      <w:pPr>
        <w:pStyle w:val="a5"/>
        <w:numPr>
          <w:ilvl w:val="4"/>
          <w:numId w:val="14"/>
        </w:numPr>
      </w:pPr>
      <w:r w:rsidRPr="00A52AB8">
        <w:t xml:space="preserve">End of </w:t>
      </w:r>
      <w:r w:rsidR="00136304" w:rsidRPr="00A52AB8">
        <w:t>bitstream</w:t>
      </w:r>
      <w:r w:rsidRPr="00A52AB8">
        <w:t xml:space="preserve"> RBSP syntax</w:t>
      </w:r>
    </w:p>
    <w:p w14:paraId="47F8DE3A" w14:textId="701B8FD7" w:rsidR="00B17832" w:rsidRPr="00A52AB8" w:rsidRDefault="00B17832" w:rsidP="005E690F">
      <w:pPr>
        <w:rPr>
          <w:lang w:eastAsia="ja-JP"/>
        </w:rPr>
      </w:pPr>
      <w:r w:rsidRPr="00A52AB8">
        <w:rPr>
          <w:lang w:eastAsia="ja-JP"/>
        </w:rPr>
        <w:t xml:space="preserve">The specifications in </w:t>
      </w:r>
      <w:r w:rsidR="00406A86" w:rsidRPr="00A52AB8">
        <w:rPr>
          <w:lang w:eastAsia="ja-JP"/>
        </w:rPr>
        <w:t>subclause</w:t>
      </w:r>
      <w:r w:rsidRPr="00A52AB8">
        <w:rPr>
          <w:lang w:eastAsia="ja-JP"/>
        </w:rPr>
        <w:t xml:space="preserve"> </w:t>
      </w:r>
      <w:r w:rsidR="00904868" w:rsidRPr="00496A4D">
        <w:rPr>
          <w:lang w:eastAsia="ja-JP"/>
        </w:rPr>
        <w:fldChar w:fldCharType="begin"/>
      </w:r>
      <w:r w:rsidR="00904868" w:rsidRPr="00A52AB8">
        <w:rPr>
          <w:lang w:eastAsia="ja-JP"/>
        </w:rPr>
        <w:instrText xml:space="preserve"> REF _Ref38314650 \n \h </w:instrText>
      </w:r>
      <w:r w:rsidR="00CA5401" w:rsidRPr="00A52AB8">
        <w:rPr>
          <w:lang w:eastAsia="ja-JP"/>
        </w:rPr>
        <w:instrText xml:space="preserve"> \* MERGEFORMAT </w:instrText>
      </w:r>
      <w:r w:rsidR="00904868" w:rsidRPr="00496A4D">
        <w:rPr>
          <w:lang w:eastAsia="ja-JP"/>
        </w:rPr>
      </w:r>
      <w:r w:rsidR="00904868" w:rsidRPr="00496A4D">
        <w:rPr>
          <w:lang w:eastAsia="ja-JP"/>
        </w:rPr>
        <w:fldChar w:fldCharType="separate"/>
      </w:r>
      <w:r w:rsidR="00507A67">
        <w:rPr>
          <w:lang w:eastAsia="ja-JP"/>
        </w:rPr>
        <w:t>8.3.6.7</w:t>
      </w:r>
      <w:r w:rsidR="00904868" w:rsidRPr="00496A4D">
        <w:rPr>
          <w:lang w:eastAsia="ja-JP"/>
        </w:rPr>
        <w:fldChar w:fldCharType="end"/>
      </w:r>
      <w:r w:rsidR="00904868" w:rsidRPr="00A52AB8">
        <w:rPr>
          <w:lang w:eastAsia="ja-JP"/>
        </w:rPr>
        <w:t xml:space="preserve"> </w:t>
      </w:r>
      <w:r w:rsidRPr="00A52AB8">
        <w:rPr>
          <w:lang w:eastAsia="ja-JP"/>
        </w:rPr>
        <w:t>and its subclauses apply.</w:t>
      </w:r>
    </w:p>
    <w:p w14:paraId="317229F1" w14:textId="77777777" w:rsidR="00EC0051" w:rsidRPr="00A52AB8" w:rsidRDefault="00136304" w:rsidP="00EC0051">
      <w:pPr>
        <w:pStyle w:val="a5"/>
        <w:numPr>
          <w:ilvl w:val="4"/>
          <w:numId w:val="14"/>
        </w:numPr>
      </w:pPr>
      <w:r w:rsidRPr="00A52AB8">
        <w:t xml:space="preserve">Filler data </w:t>
      </w:r>
      <w:r w:rsidR="00EC0051" w:rsidRPr="00A52AB8">
        <w:t>RBSP syntax</w:t>
      </w:r>
    </w:p>
    <w:p w14:paraId="03BFD859" w14:textId="40EF5D4E" w:rsidR="00B17832" w:rsidRPr="00A52AB8" w:rsidRDefault="00B17832" w:rsidP="005E690F">
      <w:pPr>
        <w:rPr>
          <w:lang w:eastAsia="ja-JP"/>
        </w:rPr>
      </w:pPr>
      <w:r w:rsidRPr="00A52AB8">
        <w:rPr>
          <w:lang w:eastAsia="ja-JP"/>
        </w:rPr>
        <w:t xml:space="preserve">The specifications in </w:t>
      </w:r>
      <w:r w:rsidR="00406A86" w:rsidRPr="00A52AB8">
        <w:rPr>
          <w:lang w:eastAsia="ja-JP"/>
        </w:rPr>
        <w:t>subclause</w:t>
      </w:r>
      <w:r w:rsidRPr="00A52AB8">
        <w:rPr>
          <w:lang w:eastAsia="ja-JP"/>
        </w:rPr>
        <w:t xml:space="preserve"> </w:t>
      </w:r>
      <w:r w:rsidR="00904868" w:rsidRPr="00496A4D">
        <w:rPr>
          <w:lang w:eastAsia="ja-JP"/>
        </w:rPr>
        <w:fldChar w:fldCharType="begin"/>
      </w:r>
      <w:r w:rsidR="00904868" w:rsidRPr="00A52AB8">
        <w:rPr>
          <w:lang w:eastAsia="ja-JP"/>
        </w:rPr>
        <w:instrText xml:space="preserve"> REF _Ref38314657 \n \h </w:instrText>
      </w:r>
      <w:r w:rsidR="00CA5401" w:rsidRPr="00A52AB8">
        <w:rPr>
          <w:lang w:eastAsia="ja-JP"/>
        </w:rPr>
        <w:instrText xml:space="preserve"> \* MERGEFORMAT </w:instrText>
      </w:r>
      <w:r w:rsidR="00904868" w:rsidRPr="00496A4D">
        <w:rPr>
          <w:lang w:eastAsia="ja-JP"/>
        </w:rPr>
      </w:r>
      <w:r w:rsidR="00904868" w:rsidRPr="00496A4D">
        <w:rPr>
          <w:lang w:eastAsia="ja-JP"/>
        </w:rPr>
        <w:fldChar w:fldCharType="separate"/>
      </w:r>
      <w:r w:rsidR="00507A67">
        <w:rPr>
          <w:lang w:eastAsia="ja-JP"/>
        </w:rPr>
        <w:t>8.3.6.8</w:t>
      </w:r>
      <w:r w:rsidR="00904868" w:rsidRPr="00496A4D">
        <w:rPr>
          <w:lang w:eastAsia="ja-JP"/>
        </w:rPr>
        <w:fldChar w:fldCharType="end"/>
      </w:r>
      <w:r w:rsidR="00904868" w:rsidRPr="00A52AB8">
        <w:rPr>
          <w:lang w:eastAsia="ja-JP"/>
        </w:rPr>
        <w:t xml:space="preserve"> </w:t>
      </w:r>
      <w:r w:rsidRPr="00A52AB8">
        <w:rPr>
          <w:lang w:eastAsia="ja-JP"/>
        </w:rPr>
        <w:t>and its subclauses apply.</w:t>
      </w:r>
    </w:p>
    <w:p w14:paraId="71DB80FB" w14:textId="77777777" w:rsidR="00EC0051" w:rsidRPr="00A52AB8" w:rsidRDefault="00136304" w:rsidP="00EC0051">
      <w:pPr>
        <w:pStyle w:val="a5"/>
        <w:numPr>
          <w:ilvl w:val="4"/>
          <w:numId w:val="14"/>
        </w:numPr>
      </w:pPr>
      <w:r w:rsidRPr="00A52AB8">
        <w:t xml:space="preserve">Atlas </w:t>
      </w:r>
      <w:r w:rsidR="00B8075E" w:rsidRPr="00A52AB8">
        <w:t>tile</w:t>
      </w:r>
      <w:r w:rsidRPr="00A52AB8">
        <w:t xml:space="preserve"> layer</w:t>
      </w:r>
      <w:r w:rsidR="00EC0051" w:rsidRPr="00A52AB8">
        <w:t xml:space="preserve"> RBSP syntax</w:t>
      </w:r>
    </w:p>
    <w:p w14:paraId="0CF0154C" w14:textId="2D4F3FD1" w:rsidR="00B17832" w:rsidRPr="00A52AB8" w:rsidRDefault="00B17832" w:rsidP="005E690F">
      <w:pPr>
        <w:rPr>
          <w:lang w:eastAsia="ja-JP"/>
        </w:rPr>
      </w:pPr>
      <w:r w:rsidRPr="00A52AB8">
        <w:rPr>
          <w:lang w:eastAsia="ja-JP"/>
        </w:rPr>
        <w:t xml:space="preserve">The specifications in </w:t>
      </w:r>
      <w:r w:rsidR="00406A86" w:rsidRPr="00A52AB8">
        <w:rPr>
          <w:lang w:eastAsia="ja-JP"/>
        </w:rPr>
        <w:t>subclause</w:t>
      </w:r>
      <w:r w:rsidRPr="00A52AB8">
        <w:rPr>
          <w:lang w:eastAsia="ja-JP"/>
        </w:rPr>
        <w:t xml:space="preserve"> </w:t>
      </w:r>
      <w:r w:rsidR="00904868" w:rsidRPr="00496A4D">
        <w:rPr>
          <w:lang w:eastAsia="ja-JP"/>
        </w:rPr>
        <w:fldChar w:fldCharType="begin"/>
      </w:r>
      <w:r w:rsidR="00904868" w:rsidRPr="00A52AB8">
        <w:rPr>
          <w:lang w:eastAsia="ja-JP"/>
        </w:rPr>
        <w:instrText xml:space="preserve"> REF _Ref38314663 \n \h </w:instrText>
      </w:r>
      <w:r w:rsidR="00CA5401" w:rsidRPr="00A52AB8">
        <w:rPr>
          <w:lang w:eastAsia="ja-JP"/>
        </w:rPr>
        <w:instrText xml:space="preserve"> \* MERGEFORMAT </w:instrText>
      </w:r>
      <w:r w:rsidR="00904868" w:rsidRPr="00496A4D">
        <w:rPr>
          <w:lang w:eastAsia="ja-JP"/>
        </w:rPr>
      </w:r>
      <w:r w:rsidR="00904868" w:rsidRPr="00496A4D">
        <w:rPr>
          <w:lang w:eastAsia="ja-JP"/>
        </w:rPr>
        <w:fldChar w:fldCharType="separate"/>
      </w:r>
      <w:r w:rsidR="00507A67">
        <w:rPr>
          <w:lang w:eastAsia="ja-JP"/>
        </w:rPr>
        <w:t>8.3.6.9</w:t>
      </w:r>
      <w:r w:rsidR="00904868" w:rsidRPr="00496A4D">
        <w:rPr>
          <w:lang w:eastAsia="ja-JP"/>
        </w:rPr>
        <w:fldChar w:fldCharType="end"/>
      </w:r>
      <w:r w:rsidRPr="00A52AB8">
        <w:rPr>
          <w:lang w:eastAsia="ja-JP"/>
        </w:rPr>
        <w:t xml:space="preserve"> and its subclauses apply.</w:t>
      </w:r>
    </w:p>
    <w:p w14:paraId="716DBEAD" w14:textId="77777777" w:rsidR="00EC0051" w:rsidRPr="00A52AB8" w:rsidRDefault="00B17832" w:rsidP="00EC0051">
      <w:pPr>
        <w:pStyle w:val="a5"/>
        <w:numPr>
          <w:ilvl w:val="4"/>
          <w:numId w:val="14"/>
        </w:numPr>
      </w:pPr>
      <w:r w:rsidRPr="00A52AB8">
        <w:t>RBSP trailing bit</w:t>
      </w:r>
      <w:r w:rsidR="00EC0051" w:rsidRPr="00A52AB8">
        <w:t xml:space="preserve"> syntax</w:t>
      </w:r>
    </w:p>
    <w:p w14:paraId="1A38EA49" w14:textId="1A42B5B2" w:rsidR="00B17832" w:rsidRPr="00A52AB8" w:rsidRDefault="00B17832" w:rsidP="005E690F">
      <w:pPr>
        <w:rPr>
          <w:lang w:eastAsia="ja-JP"/>
        </w:rPr>
      </w:pPr>
      <w:r w:rsidRPr="00A52AB8">
        <w:rPr>
          <w:lang w:eastAsia="ja-JP"/>
        </w:rPr>
        <w:t xml:space="preserve">The specifications in </w:t>
      </w:r>
      <w:r w:rsidR="00406A86" w:rsidRPr="00A52AB8">
        <w:rPr>
          <w:lang w:eastAsia="ja-JP"/>
        </w:rPr>
        <w:t>subclause</w:t>
      </w:r>
      <w:r w:rsidR="00904868" w:rsidRPr="00A52AB8">
        <w:rPr>
          <w:lang w:eastAsia="ja-JP"/>
        </w:rPr>
        <w:t xml:space="preserve"> </w:t>
      </w:r>
      <w:r w:rsidR="00904868" w:rsidRPr="00496A4D">
        <w:rPr>
          <w:lang w:eastAsia="ja-JP"/>
        </w:rPr>
        <w:fldChar w:fldCharType="begin"/>
      </w:r>
      <w:r w:rsidR="00904868" w:rsidRPr="00A52AB8">
        <w:rPr>
          <w:lang w:eastAsia="ja-JP"/>
        </w:rPr>
        <w:instrText xml:space="preserve"> REF _Ref38314677 \n \h </w:instrText>
      </w:r>
      <w:r w:rsidR="00CA5401" w:rsidRPr="00A52AB8">
        <w:rPr>
          <w:lang w:eastAsia="ja-JP"/>
        </w:rPr>
        <w:instrText xml:space="preserve"> \* MERGEFORMAT </w:instrText>
      </w:r>
      <w:r w:rsidR="00904868" w:rsidRPr="00496A4D">
        <w:rPr>
          <w:lang w:eastAsia="ja-JP"/>
        </w:rPr>
      </w:r>
      <w:r w:rsidR="00904868" w:rsidRPr="00496A4D">
        <w:rPr>
          <w:lang w:eastAsia="ja-JP"/>
        </w:rPr>
        <w:fldChar w:fldCharType="separate"/>
      </w:r>
      <w:r w:rsidR="00507A67">
        <w:rPr>
          <w:lang w:eastAsia="ja-JP"/>
        </w:rPr>
        <w:t>8.3.6.10</w:t>
      </w:r>
      <w:r w:rsidR="00904868" w:rsidRPr="00496A4D">
        <w:rPr>
          <w:lang w:eastAsia="ja-JP"/>
        </w:rPr>
        <w:fldChar w:fldCharType="end"/>
      </w:r>
      <w:r w:rsidR="00904868" w:rsidRPr="00A52AB8">
        <w:rPr>
          <w:lang w:eastAsia="ja-JP"/>
        </w:rPr>
        <w:t xml:space="preserve"> </w:t>
      </w:r>
      <w:r w:rsidRPr="00A52AB8">
        <w:rPr>
          <w:lang w:eastAsia="ja-JP"/>
        </w:rPr>
        <w:t>and its subclauses apply.</w:t>
      </w:r>
    </w:p>
    <w:p w14:paraId="1480BAAE" w14:textId="77777777" w:rsidR="00EC0051" w:rsidRPr="00A52AB8" w:rsidRDefault="00B17832" w:rsidP="00DF1B7B">
      <w:pPr>
        <w:pStyle w:val="a5"/>
        <w:numPr>
          <w:ilvl w:val="4"/>
          <w:numId w:val="14"/>
        </w:numPr>
      </w:pPr>
      <w:r w:rsidRPr="00A52AB8">
        <w:t xml:space="preserve">Atlas </w:t>
      </w:r>
      <w:r w:rsidR="00B8075E" w:rsidRPr="00A52AB8">
        <w:t>tile</w:t>
      </w:r>
      <w:r w:rsidRPr="00A52AB8">
        <w:t xml:space="preserve"> header </w:t>
      </w:r>
      <w:r w:rsidR="00136304" w:rsidRPr="00A52AB8">
        <w:t>syntax</w:t>
      </w:r>
    </w:p>
    <w:p w14:paraId="2986559E" w14:textId="38E93C07" w:rsidR="00B17832" w:rsidRPr="00A52AB8" w:rsidRDefault="00B17832" w:rsidP="005E690F">
      <w:pPr>
        <w:rPr>
          <w:lang w:eastAsia="ja-JP"/>
        </w:rPr>
      </w:pPr>
      <w:r w:rsidRPr="00A52AB8">
        <w:rPr>
          <w:lang w:eastAsia="ja-JP"/>
        </w:rPr>
        <w:t xml:space="preserve">The specifications in </w:t>
      </w:r>
      <w:r w:rsidR="00406A86" w:rsidRPr="00A52AB8">
        <w:rPr>
          <w:lang w:eastAsia="ja-JP"/>
        </w:rPr>
        <w:t>subclause</w:t>
      </w:r>
      <w:r w:rsidR="00904868" w:rsidRPr="00A52AB8">
        <w:rPr>
          <w:lang w:eastAsia="ja-JP"/>
        </w:rPr>
        <w:t xml:space="preserve"> </w:t>
      </w:r>
      <w:r w:rsidR="00904868" w:rsidRPr="00496A4D">
        <w:rPr>
          <w:lang w:eastAsia="ja-JP"/>
        </w:rPr>
        <w:fldChar w:fldCharType="begin"/>
      </w:r>
      <w:r w:rsidR="00904868" w:rsidRPr="00A52AB8">
        <w:rPr>
          <w:lang w:eastAsia="ja-JP"/>
        </w:rPr>
        <w:instrText xml:space="preserve"> REF _Ref38314683 \n \h </w:instrText>
      </w:r>
      <w:r w:rsidR="00CA5401" w:rsidRPr="00A52AB8">
        <w:rPr>
          <w:lang w:eastAsia="ja-JP"/>
        </w:rPr>
        <w:instrText xml:space="preserve"> \* MERGEFORMAT </w:instrText>
      </w:r>
      <w:r w:rsidR="00904868" w:rsidRPr="00496A4D">
        <w:rPr>
          <w:lang w:eastAsia="ja-JP"/>
        </w:rPr>
      </w:r>
      <w:r w:rsidR="00904868" w:rsidRPr="00496A4D">
        <w:rPr>
          <w:lang w:eastAsia="ja-JP"/>
        </w:rPr>
        <w:fldChar w:fldCharType="separate"/>
      </w:r>
      <w:r w:rsidR="00507A67">
        <w:rPr>
          <w:lang w:eastAsia="ja-JP"/>
        </w:rPr>
        <w:t>8.3.6.11</w:t>
      </w:r>
      <w:r w:rsidR="00904868" w:rsidRPr="00496A4D">
        <w:rPr>
          <w:lang w:eastAsia="ja-JP"/>
        </w:rPr>
        <w:fldChar w:fldCharType="end"/>
      </w:r>
      <w:r w:rsidRPr="00A52AB8">
        <w:rPr>
          <w:lang w:eastAsia="ja-JP"/>
        </w:rPr>
        <w:t xml:space="preserve"> and its subclauses apply.</w:t>
      </w:r>
    </w:p>
    <w:p w14:paraId="218F4EEA" w14:textId="77777777" w:rsidR="00B17832" w:rsidRPr="00A52AB8" w:rsidRDefault="00B17832" w:rsidP="00B17832">
      <w:pPr>
        <w:pStyle w:val="a5"/>
        <w:numPr>
          <w:ilvl w:val="4"/>
          <w:numId w:val="14"/>
        </w:numPr>
      </w:pPr>
      <w:r w:rsidRPr="00A52AB8">
        <w:t>Reference list structure syntax</w:t>
      </w:r>
    </w:p>
    <w:p w14:paraId="11D3298C" w14:textId="22EEF454" w:rsidR="00B17832" w:rsidRPr="00A52AB8" w:rsidRDefault="00B17832" w:rsidP="00B17832">
      <w:pPr>
        <w:rPr>
          <w:lang w:eastAsia="ja-JP"/>
        </w:rPr>
      </w:pPr>
      <w:r w:rsidRPr="00A52AB8">
        <w:rPr>
          <w:lang w:eastAsia="ja-JP"/>
        </w:rPr>
        <w:t xml:space="preserve">The specifications in </w:t>
      </w:r>
      <w:r w:rsidR="00406A86" w:rsidRPr="00A52AB8">
        <w:rPr>
          <w:lang w:eastAsia="ja-JP"/>
        </w:rPr>
        <w:t>subclause</w:t>
      </w:r>
      <w:r w:rsidRPr="00A52AB8">
        <w:rPr>
          <w:lang w:eastAsia="ja-JP"/>
        </w:rPr>
        <w:t xml:space="preserve"> </w:t>
      </w:r>
      <w:r w:rsidR="00904868" w:rsidRPr="00496A4D">
        <w:rPr>
          <w:lang w:eastAsia="ja-JP"/>
        </w:rPr>
        <w:fldChar w:fldCharType="begin"/>
      </w:r>
      <w:r w:rsidR="00904868" w:rsidRPr="00A52AB8">
        <w:rPr>
          <w:lang w:eastAsia="ja-JP"/>
        </w:rPr>
        <w:instrText xml:space="preserve"> REF _Ref38314712 \n \h </w:instrText>
      </w:r>
      <w:r w:rsidR="00CA5401" w:rsidRPr="00A52AB8">
        <w:rPr>
          <w:lang w:eastAsia="ja-JP"/>
        </w:rPr>
        <w:instrText xml:space="preserve"> \* MERGEFORMAT </w:instrText>
      </w:r>
      <w:r w:rsidR="00904868" w:rsidRPr="00496A4D">
        <w:rPr>
          <w:lang w:eastAsia="ja-JP"/>
        </w:rPr>
      </w:r>
      <w:r w:rsidR="00904868" w:rsidRPr="00496A4D">
        <w:rPr>
          <w:lang w:eastAsia="ja-JP"/>
        </w:rPr>
        <w:fldChar w:fldCharType="separate"/>
      </w:r>
      <w:r w:rsidR="00507A67">
        <w:rPr>
          <w:lang w:eastAsia="ja-JP"/>
        </w:rPr>
        <w:t>8.3.6.12</w:t>
      </w:r>
      <w:r w:rsidR="00904868" w:rsidRPr="00496A4D">
        <w:rPr>
          <w:lang w:eastAsia="ja-JP"/>
        </w:rPr>
        <w:fldChar w:fldCharType="end"/>
      </w:r>
      <w:r w:rsidRPr="00A52AB8">
        <w:rPr>
          <w:lang w:eastAsia="ja-JP"/>
        </w:rPr>
        <w:t xml:space="preserve"> and its subclauses apply.</w:t>
      </w:r>
    </w:p>
    <w:p w14:paraId="6CED9EB9" w14:textId="77777777" w:rsidR="004160E4" w:rsidRPr="00A52AB8" w:rsidRDefault="004160E4" w:rsidP="004160E4">
      <w:pPr>
        <w:pStyle w:val="a4"/>
        <w:numPr>
          <w:ilvl w:val="3"/>
          <w:numId w:val="14"/>
        </w:numPr>
      </w:pPr>
      <w:r w:rsidRPr="00A52AB8">
        <w:t>Atlas tile data unit syntax</w:t>
      </w:r>
    </w:p>
    <w:p w14:paraId="72EF0841" w14:textId="1AE55953" w:rsidR="003006A8" w:rsidRPr="00A52AB8" w:rsidRDefault="003006A8" w:rsidP="00B17832">
      <w:pPr>
        <w:rPr>
          <w:lang w:eastAsia="ja-JP"/>
        </w:rPr>
      </w:pPr>
      <w:r w:rsidRPr="00A52AB8">
        <w:rPr>
          <w:lang w:eastAsia="ja-JP"/>
        </w:rPr>
        <w:t xml:space="preserve">The specifications in subclause </w:t>
      </w:r>
      <w:r w:rsidR="00930E1F" w:rsidRPr="00496A4D">
        <w:rPr>
          <w:lang w:eastAsia="ja-JP"/>
        </w:rPr>
        <w:fldChar w:fldCharType="begin"/>
      </w:r>
      <w:r w:rsidR="00930E1F" w:rsidRPr="00A52AB8">
        <w:rPr>
          <w:lang w:eastAsia="ja-JP"/>
        </w:rPr>
        <w:instrText xml:space="preserve"> REF _Ref1641520 \r \h </w:instrText>
      </w:r>
      <w:r w:rsidR="00851254" w:rsidRPr="00A52AB8">
        <w:rPr>
          <w:lang w:eastAsia="ja-JP"/>
        </w:rPr>
        <w:instrText xml:space="preserve"> \* MERGEFORMAT </w:instrText>
      </w:r>
      <w:r w:rsidR="00930E1F" w:rsidRPr="00496A4D">
        <w:rPr>
          <w:lang w:eastAsia="ja-JP"/>
        </w:rPr>
      </w:r>
      <w:r w:rsidR="00930E1F" w:rsidRPr="00496A4D">
        <w:rPr>
          <w:lang w:eastAsia="ja-JP"/>
        </w:rPr>
        <w:fldChar w:fldCharType="separate"/>
      </w:r>
      <w:r w:rsidR="00507A67">
        <w:rPr>
          <w:lang w:eastAsia="ja-JP"/>
        </w:rPr>
        <w:t>8.3.6.13</w:t>
      </w:r>
      <w:r w:rsidR="00930E1F" w:rsidRPr="00496A4D">
        <w:rPr>
          <w:lang w:eastAsia="ja-JP"/>
        </w:rPr>
        <w:fldChar w:fldCharType="end"/>
      </w:r>
      <w:r w:rsidR="00930E1F" w:rsidRPr="00A52AB8">
        <w:rPr>
          <w:lang w:eastAsia="ja-JP"/>
        </w:rPr>
        <w:t xml:space="preserve"> </w:t>
      </w:r>
      <w:r w:rsidRPr="00A52AB8">
        <w:rPr>
          <w:lang w:eastAsia="ja-JP"/>
        </w:rPr>
        <w:t>and its subclauses apply.</w:t>
      </w:r>
    </w:p>
    <w:p w14:paraId="571C98ED" w14:textId="77777777" w:rsidR="00CA0AD4" w:rsidRPr="00A52AB8" w:rsidRDefault="00CA0AD4" w:rsidP="00CA0AD4">
      <w:pPr>
        <w:pStyle w:val="ListParagraph"/>
        <w:numPr>
          <w:ilvl w:val="3"/>
          <w:numId w:val="14"/>
        </w:numPr>
        <w:ind w:leftChars="0"/>
        <w:rPr>
          <w:rFonts w:eastAsia="MS Mincho"/>
          <w:b/>
          <w:bCs/>
          <w:iCs/>
          <w:lang w:eastAsia="ja-JP"/>
        </w:rPr>
      </w:pPr>
      <w:r w:rsidRPr="00A52AB8">
        <w:rPr>
          <w:rFonts w:eastAsia="MS Mincho"/>
          <w:b/>
          <w:bCs/>
          <w:iCs/>
          <w:lang w:eastAsia="ja-JP"/>
        </w:rPr>
        <w:t>Supplemental enhancement information message syntax</w:t>
      </w:r>
    </w:p>
    <w:p w14:paraId="7F23AAEA" w14:textId="0696C649" w:rsidR="00CA0AD4" w:rsidRPr="00A52AB8" w:rsidRDefault="00CA0AD4" w:rsidP="00B17832">
      <w:pPr>
        <w:rPr>
          <w:lang w:eastAsia="ja-JP"/>
        </w:rPr>
      </w:pPr>
      <w:r w:rsidRPr="00A52AB8">
        <w:rPr>
          <w:lang w:eastAsia="ja-JP"/>
        </w:rPr>
        <w:t xml:space="preserve">The specifications in subclause </w:t>
      </w:r>
      <w:r w:rsidRPr="00496A4D">
        <w:rPr>
          <w:lang w:eastAsia="ja-JP"/>
        </w:rPr>
        <w:fldChar w:fldCharType="begin"/>
      </w:r>
      <w:r w:rsidRPr="00A52AB8">
        <w:rPr>
          <w:lang w:eastAsia="ja-JP"/>
        </w:rPr>
        <w:instrText xml:space="preserve"> REF _Ref5888159 \r \h </w:instrText>
      </w:r>
      <w:r w:rsidR="00851254" w:rsidRPr="00A52AB8">
        <w:rPr>
          <w:lang w:eastAsia="ja-JP"/>
        </w:rPr>
        <w:instrText xml:space="preserve"> \* MERGEFORMAT </w:instrText>
      </w:r>
      <w:r w:rsidRPr="00496A4D">
        <w:rPr>
          <w:lang w:eastAsia="ja-JP"/>
        </w:rPr>
      </w:r>
      <w:r w:rsidRPr="00496A4D">
        <w:rPr>
          <w:lang w:eastAsia="ja-JP"/>
        </w:rPr>
        <w:fldChar w:fldCharType="separate"/>
      </w:r>
      <w:r w:rsidR="00507A67">
        <w:rPr>
          <w:lang w:eastAsia="ja-JP"/>
        </w:rPr>
        <w:t>8.3.8</w:t>
      </w:r>
      <w:r w:rsidRPr="00496A4D">
        <w:rPr>
          <w:lang w:eastAsia="ja-JP"/>
        </w:rPr>
        <w:fldChar w:fldCharType="end"/>
      </w:r>
      <w:r w:rsidRPr="00A52AB8">
        <w:rPr>
          <w:lang w:eastAsia="ja-JP"/>
        </w:rPr>
        <w:t xml:space="preserve"> and its subclauses apply.</w:t>
      </w:r>
    </w:p>
    <w:p w14:paraId="0A56D901" w14:textId="77777777" w:rsidR="0050235C" w:rsidRPr="00A52AB8" w:rsidRDefault="00DF1B7B" w:rsidP="00DF1B7B">
      <w:pPr>
        <w:pStyle w:val="a3"/>
        <w:numPr>
          <w:ilvl w:val="2"/>
          <w:numId w:val="14"/>
        </w:numPr>
      </w:pPr>
      <w:bookmarkStart w:id="6202" w:name="_Toc37760816"/>
      <w:bookmarkStart w:id="6203" w:name="_Toc52181780"/>
      <w:r w:rsidRPr="00A52AB8">
        <w:rPr>
          <w:color w:val="000000" w:themeColor="text1"/>
        </w:rPr>
        <w:t>Semantics</w:t>
      </w:r>
      <w:bookmarkEnd w:id="6202"/>
      <w:bookmarkEnd w:id="6203"/>
    </w:p>
    <w:p w14:paraId="784878BC" w14:textId="77777777" w:rsidR="0050235C" w:rsidRPr="00A52AB8" w:rsidRDefault="00C17222" w:rsidP="00C17222">
      <w:pPr>
        <w:pStyle w:val="a4"/>
        <w:numPr>
          <w:ilvl w:val="3"/>
          <w:numId w:val="14"/>
        </w:numPr>
      </w:pPr>
      <w:r w:rsidRPr="00A52AB8">
        <w:rPr>
          <w:color w:val="000000" w:themeColor="text1"/>
        </w:rPr>
        <w:t>General</w:t>
      </w:r>
    </w:p>
    <w:p w14:paraId="0F5021CF" w14:textId="2A31C4D4" w:rsidR="00C17222" w:rsidRPr="00A52AB8" w:rsidRDefault="00C17222" w:rsidP="00C17222">
      <w:pPr>
        <w:rPr>
          <w:lang w:eastAsia="ja-JP"/>
        </w:rPr>
      </w:pPr>
      <w:r w:rsidRPr="00A52AB8">
        <w:rPr>
          <w:lang w:eastAsia="ja-JP"/>
        </w:rPr>
        <w:t xml:space="preserve">The specifications in </w:t>
      </w:r>
      <w:r w:rsidR="00406A86" w:rsidRPr="00A52AB8">
        <w:rPr>
          <w:lang w:eastAsia="ja-JP"/>
        </w:rPr>
        <w:t>subclause</w:t>
      </w:r>
      <w:r w:rsidRPr="00A52AB8">
        <w:rPr>
          <w:lang w:eastAsia="ja-JP"/>
        </w:rPr>
        <w:t xml:space="preserve"> </w:t>
      </w:r>
      <w:r w:rsidR="00B83C15" w:rsidRPr="00496A4D">
        <w:rPr>
          <w:lang w:eastAsia="ja-JP"/>
        </w:rPr>
        <w:fldChar w:fldCharType="begin"/>
      </w:r>
      <w:r w:rsidR="00B83C15" w:rsidRPr="00A52AB8">
        <w:rPr>
          <w:lang w:eastAsia="ja-JP"/>
        </w:rPr>
        <w:instrText xml:space="preserve"> REF _Ref38315343 \n \h </w:instrText>
      </w:r>
      <w:r w:rsidR="00CA5401" w:rsidRPr="00A52AB8">
        <w:rPr>
          <w:lang w:eastAsia="ja-JP"/>
        </w:rPr>
        <w:instrText xml:space="preserve"> \* MERGEFORMAT </w:instrText>
      </w:r>
      <w:r w:rsidR="00B83C15" w:rsidRPr="00496A4D">
        <w:rPr>
          <w:lang w:eastAsia="ja-JP"/>
        </w:rPr>
      </w:r>
      <w:r w:rsidR="00B83C15" w:rsidRPr="00496A4D">
        <w:rPr>
          <w:lang w:eastAsia="ja-JP"/>
        </w:rPr>
        <w:fldChar w:fldCharType="separate"/>
      </w:r>
      <w:r w:rsidR="00507A67">
        <w:rPr>
          <w:lang w:eastAsia="ja-JP"/>
        </w:rPr>
        <w:t>8.4.1</w:t>
      </w:r>
      <w:r w:rsidR="00B83C15" w:rsidRPr="00496A4D">
        <w:rPr>
          <w:lang w:eastAsia="ja-JP"/>
        </w:rPr>
        <w:fldChar w:fldCharType="end"/>
      </w:r>
      <w:r w:rsidRPr="00A52AB8">
        <w:rPr>
          <w:lang w:eastAsia="ja-JP"/>
        </w:rPr>
        <w:t xml:space="preserve"> </w:t>
      </w:r>
      <w:r w:rsidRPr="00A52AB8">
        <w:t>and its subclauses apply</w:t>
      </w:r>
      <w:r w:rsidRPr="00A52AB8">
        <w:rPr>
          <w:lang w:eastAsia="ja-JP"/>
        </w:rPr>
        <w:t>.</w:t>
      </w:r>
    </w:p>
    <w:p w14:paraId="0D8026AB" w14:textId="77777777" w:rsidR="0050235C" w:rsidRPr="00A52AB8" w:rsidRDefault="00C17222" w:rsidP="00C17222">
      <w:pPr>
        <w:pStyle w:val="a4"/>
        <w:numPr>
          <w:ilvl w:val="3"/>
          <w:numId w:val="14"/>
        </w:numPr>
      </w:pPr>
      <w:r w:rsidRPr="00A52AB8">
        <w:rPr>
          <w:color w:val="000000" w:themeColor="text1"/>
        </w:rPr>
        <w:t xml:space="preserve">V3C </w:t>
      </w:r>
      <w:r w:rsidRPr="00A52AB8">
        <w:t>unit s</w:t>
      </w:r>
      <w:r w:rsidR="00A1413B" w:rsidRPr="00A52AB8">
        <w:t>emantics</w:t>
      </w:r>
    </w:p>
    <w:p w14:paraId="42FBD267" w14:textId="33EBB540" w:rsidR="00C17222" w:rsidRPr="00A52AB8" w:rsidRDefault="00C17222" w:rsidP="00C17222">
      <w:pPr>
        <w:rPr>
          <w:lang w:eastAsia="ja-JP"/>
        </w:rPr>
      </w:pPr>
      <w:r w:rsidRPr="00A52AB8">
        <w:rPr>
          <w:lang w:eastAsia="ja-JP"/>
        </w:rPr>
        <w:t xml:space="preserve">The specifications in </w:t>
      </w:r>
      <w:r w:rsidR="00406A86" w:rsidRPr="00A52AB8">
        <w:rPr>
          <w:lang w:eastAsia="ja-JP"/>
        </w:rPr>
        <w:t>subclause</w:t>
      </w:r>
      <w:r w:rsidRPr="00A52AB8">
        <w:rPr>
          <w:lang w:eastAsia="ja-JP"/>
        </w:rPr>
        <w:t xml:space="preserve"> </w:t>
      </w:r>
      <w:r w:rsidR="00B83C15" w:rsidRPr="00496A4D">
        <w:rPr>
          <w:lang w:eastAsia="ja-JP"/>
        </w:rPr>
        <w:fldChar w:fldCharType="begin"/>
      </w:r>
      <w:r w:rsidR="00B83C15" w:rsidRPr="00A52AB8">
        <w:rPr>
          <w:lang w:eastAsia="ja-JP"/>
        </w:rPr>
        <w:instrText xml:space="preserve"> REF _Ref38315352 \n \h </w:instrText>
      </w:r>
      <w:r w:rsidR="00CA5401" w:rsidRPr="00A52AB8">
        <w:rPr>
          <w:lang w:eastAsia="ja-JP"/>
        </w:rPr>
        <w:instrText xml:space="preserve"> \* MERGEFORMAT </w:instrText>
      </w:r>
      <w:r w:rsidR="00B83C15" w:rsidRPr="00496A4D">
        <w:rPr>
          <w:lang w:eastAsia="ja-JP"/>
        </w:rPr>
      </w:r>
      <w:r w:rsidR="00B83C15" w:rsidRPr="00496A4D">
        <w:rPr>
          <w:lang w:eastAsia="ja-JP"/>
        </w:rPr>
        <w:fldChar w:fldCharType="separate"/>
      </w:r>
      <w:r w:rsidR="00507A67">
        <w:rPr>
          <w:lang w:eastAsia="ja-JP"/>
        </w:rPr>
        <w:t>8.4.2</w:t>
      </w:r>
      <w:r w:rsidR="00B83C15" w:rsidRPr="00496A4D">
        <w:rPr>
          <w:lang w:eastAsia="ja-JP"/>
        </w:rPr>
        <w:fldChar w:fldCharType="end"/>
      </w:r>
      <w:r w:rsidRPr="00A52AB8">
        <w:rPr>
          <w:lang w:eastAsia="ja-JP"/>
        </w:rPr>
        <w:t xml:space="preserve"> </w:t>
      </w:r>
      <w:r w:rsidRPr="00A52AB8">
        <w:t>and its subclauses apply</w:t>
      </w:r>
      <w:r w:rsidRPr="00A52AB8">
        <w:rPr>
          <w:lang w:eastAsia="ja-JP"/>
        </w:rPr>
        <w:t>.</w:t>
      </w:r>
    </w:p>
    <w:p w14:paraId="51C386AB" w14:textId="6F9D16E8" w:rsidR="00C17222" w:rsidRPr="00A52AB8" w:rsidRDefault="00C17222" w:rsidP="00C17222">
      <w:pPr>
        <w:pStyle w:val="a4"/>
        <w:numPr>
          <w:ilvl w:val="3"/>
          <w:numId w:val="14"/>
        </w:numPr>
      </w:pPr>
      <w:r w:rsidRPr="00A52AB8">
        <w:t xml:space="preserve">Byte </w:t>
      </w:r>
      <w:r w:rsidR="00D24766" w:rsidRPr="00A52AB8">
        <w:t xml:space="preserve">alignment </w:t>
      </w:r>
      <w:r w:rsidR="0047013F" w:rsidRPr="00A52AB8">
        <w:t>semantics</w:t>
      </w:r>
    </w:p>
    <w:p w14:paraId="55123260" w14:textId="18AA054F" w:rsidR="00C17222" w:rsidRPr="00A52AB8" w:rsidRDefault="00C17222" w:rsidP="00C17222">
      <w:pPr>
        <w:rPr>
          <w:lang w:eastAsia="ja-JP"/>
        </w:rPr>
      </w:pPr>
      <w:r w:rsidRPr="00A52AB8">
        <w:rPr>
          <w:lang w:eastAsia="ja-JP"/>
        </w:rPr>
        <w:t xml:space="preserve">The specifications in </w:t>
      </w:r>
      <w:r w:rsidR="00406A86" w:rsidRPr="00A52AB8">
        <w:rPr>
          <w:lang w:eastAsia="ja-JP"/>
        </w:rPr>
        <w:t>subclause</w:t>
      </w:r>
      <w:r w:rsidRPr="00A52AB8">
        <w:rPr>
          <w:lang w:eastAsia="ja-JP"/>
        </w:rPr>
        <w:t xml:space="preserve"> </w:t>
      </w:r>
      <w:r w:rsidR="00B83C15" w:rsidRPr="00496A4D">
        <w:rPr>
          <w:lang w:eastAsia="ja-JP"/>
        </w:rPr>
        <w:fldChar w:fldCharType="begin"/>
      </w:r>
      <w:r w:rsidR="00B83C15" w:rsidRPr="00A52AB8">
        <w:rPr>
          <w:lang w:eastAsia="ja-JP"/>
        </w:rPr>
        <w:instrText xml:space="preserve"> REF _Ref38315363 \n \h </w:instrText>
      </w:r>
      <w:r w:rsidR="00CA5401" w:rsidRPr="00A52AB8">
        <w:rPr>
          <w:lang w:eastAsia="ja-JP"/>
        </w:rPr>
        <w:instrText xml:space="preserve"> \* MERGEFORMAT </w:instrText>
      </w:r>
      <w:r w:rsidR="00B83C15" w:rsidRPr="00496A4D">
        <w:rPr>
          <w:lang w:eastAsia="ja-JP"/>
        </w:rPr>
      </w:r>
      <w:r w:rsidR="00B83C15" w:rsidRPr="00496A4D">
        <w:rPr>
          <w:lang w:eastAsia="ja-JP"/>
        </w:rPr>
        <w:fldChar w:fldCharType="separate"/>
      </w:r>
      <w:r w:rsidR="00507A67">
        <w:rPr>
          <w:lang w:eastAsia="ja-JP"/>
        </w:rPr>
        <w:t>8.4.3</w:t>
      </w:r>
      <w:r w:rsidR="00B83C15" w:rsidRPr="00496A4D">
        <w:rPr>
          <w:lang w:eastAsia="ja-JP"/>
        </w:rPr>
        <w:fldChar w:fldCharType="end"/>
      </w:r>
      <w:r w:rsidR="00B83C15" w:rsidRPr="00A52AB8">
        <w:rPr>
          <w:lang w:eastAsia="ja-JP"/>
        </w:rPr>
        <w:t xml:space="preserve"> </w:t>
      </w:r>
      <w:r w:rsidRPr="00A52AB8">
        <w:t>and its subclauses apply</w:t>
      </w:r>
      <w:r w:rsidRPr="00A52AB8">
        <w:rPr>
          <w:lang w:eastAsia="ja-JP"/>
        </w:rPr>
        <w:t>.</w:t>
      </w:r>
    </w:p>
    <w:p w14:paraId="36236810" w14:textId="77777777" w:rsidR="00C17222" w:rsidRPr="00A52AB8" w:rsidRDefault="00C17222" w:rsidP="00C17222">
      <w:pPr>
        <w:pStyle w:val="a4"/>
        <w:numPr>
          <w:ilvl w:val="3"/>
          <w:numId w:val="14"/>
        </w:numPr>
      </w:pPr>
      <w:r w:rsidRPr="00A52AB8">
        <w:t xml:space="preserve">V3C parameter set </w:t>
      </w:r>
      <w:r w:rsidR="0047013F" w:rsidRPr="00A52AB8">
        <w:t>semantics</w:t>
      </w:r>
    </w:p>
    <w:p w14:paraId="075C09D4" w14:textId="378B894B" w:rsidR="00C17222" w:rsidRPr="00A52AB8" w:rsidRDefault="00C17222" w:rsidP="00C17222">
      <w:pPr>
        <w:rPr>
          <w:lang w:eastAsia="ja-JP"/>
        </w:rPr>
      </w:pPr>
      <w:r w:rsidRPr="00A52AB8">
        <w:t xml:space="preserve">The specifications in </w:t>
      </w:r>
      <w:r w:rsidR="00406A86" w:rsidRPr="00A52AB8">
        <w:t>subclause</w:t>
      </w:r>
      <w:r w:rsidRPr="00A52AB8">
        <w:t xml:space="preserve"> </w:t>
      </w:r>
      <w:r w:rsidR="007822A9" w:rsidRPr="00496A4D">
        <w:fldChar w:fldCharType="begin"/>
      </w:r>
      <w:r w:rsidR="007822A9" w:rsidRPr="00A52AB8">
        <w:instrText xml:space="preserve"> REF _Ref38315625 \n \h </w:instrText>
      </w:r>
      <w:r w:rsidR="00CA5401" w:rsidRPr="00A52AB8">
        <w:instrText xml:space="preserve"> \* MERGEFORMAT </w:instrText>
      </w:r>
      <w:r w:rsidR="007822A9" w:rsidRPr="00496A4D">
        <w:fldChar w:fldCharType="separate"/>
      </w:r>
      <w:r w:rsidR="00507A67">
        <w:t>8.4.4</w:t>
      </w:r>
      <w:r w:rsidR="007822A9" w:rsidRPr="00496A4D">
        <w:fldChar w:fldCharType="end"/>
      </w:r>
      <w:r w:rsidR="00B83C15" w:rsidRPr="00A52AB8">
        <w:t xml:space="preserve"> </w:t>
      </w:r>
      <w:r w:rsidRPr="00A52AB8">
        <w:t>and its subclauses apply</w:t>
      </w:r>
      <w:r w:rsidR="002E5343" w:rsidRPr="00A52AB8">
        <w:t>.</w:t>
      </w:r>
    </w:p>
    <w:p w14:paraId="054FD8D4" w14:textId="77777777" w:rsidR="00C17222" w:rsidRPr="00A52AB8" w:rsidRDefault="00C17222" w:rsidP="00C17222">
      <w:pPr>
        <w:pStyle w:val="a4"/>
        <w:numPr>
          <w:ilvl w:val="3"/>
          <w:numId w:val="14"/>
        </w:numPr>
      </w:pPr>
      <w:bookmarkStart w:id="6204" w:name="_Toc49012874"/>
      <w:bookmarkStart w:id="6205" w:name="_Toc49013419"/>
      <w:bookmarkStart w:id="6206" w:name="_Toc49014536"/>
      <w:bookmarkStart w:id="6207" w:name="_Toc49095772"/>
      <w:bookmarkEnd w:id="6204"/>
      <w:bookmarkEnd w:id="6205"/>
      <w:bookmarkEnd w:id="6206"/>
      <w:bookmarkEnd w:id="6207"/>
      <w:r w:rsidRPr="00A52AB8">
        <w:t xml:space="preserve">NAL unit </w:t>
      </w:r>
      <w:r w:rsidR="0047013F" w:rsidRPr="00A52AB8">
        <w:t>semantics</w:t>
      </w:r>
    </w:p>
    <w:p w14:paraId="633DEFE4" w14:textId="5D97CD8B" w:rsidR="00C17222" w:rsidRDefault="00C17222" w:rsidP="00C17222">
      <w:r w:rsidRPr="00A52AB8">
        <w:t xml:space="preserve">The specifications in </w:t>
      </w:r>
      <w:r w:rsidR="00406A86" w:rsidRPr="00A52AB8">
        <w:t>subclause</w:t>
      </w:r>
      <w:r w:rsidRPr="00A52AB8">
        <w:t xml:space="preserve"> </w:t>
      </w:r>
      <w:r w:rsidR="00B83C15" w:rsidRPr="00496A4D">
        <w:fldChar w:fldCharType="begin"/>
      </w:r>
      <w:r w:rsidR="00B83C15" w:rsidRPr="00A52AB8">
        <w:instrText xml:space="preserve"> REF _Ref38315389 \n \h </w:instrText>
      </w:r>
      <w:r w:rsidR="00CA5401" w:rsidRPr="00A52AB8">
        <w:instrText xml:space="preserve"> \* MERGEFORMAT </w:instrText>
      </w:r>
      <w:r w:rsidR="00B83C15" w:rsidRPr="00496A4D">
        <w:fldChar w:fldCharType="separate"/>
      </w:r>
      <w:r w:rsidR="00507A67">
        <w:t>8.4.4.7</w:t>
      </w:r>
      <w:r w:rsidR="00B83C15" w:rsidRPr="00496A4D">
        <w:fldChar w:fldCharType="end"/>
      </w:r>
      <w:r w:rsidRPr="00A52AB8">
        <w:t xml:space="preserve"> and its subclauses apply</w:t>
      </w:r>
      <w:r w:rsidR="007B1C76">
        <w:t>, with the following modification:</w:t>
      </w:r>
    </w:p>
    <w:p w14:paraId="4CC6D4EB" w14:textId="4925D89B" w:rsidR="007B1C76" w:rsidRPr="00A52AB8" w:rsidRDefault="007B1C76" w:rsidP="00C17222">
      <w:r>
        <w:t>nal_unit_type shall not be equal to NAL_CAF.</w:t>
      </w:r>
    </w:p>
    <w:p w14:paraId="5A28E47B" w14:textId="77777777" w:rsidR="00C17222" w:rsidRPr="00A52AB8" w:rsidRDefault="00C17222" w:rsidP="00C17222">
      <w:pPr>
        <w:pStyle w:val="a4"/>
        <w:numPr>
          <w:ilvl w:val="3"/>
          <w:numId w:val="14"/>
        </w:numPr>
      </w:pPr>
      <w:r w:rsidRPr="00A52AB8">
        <w:t xml:space="preserve">Raw byte sequence payloads, trailing bits, and byte alignment </w:t>
      </w:r>
      <w:r w:rsidR="0047013F" w:rsidRPr="00A52AB8">
        <w:t>semantics</w:t>
      </w:r>
    </w:p>
    <w:p w14:paraId="6DD216AD" w14:textId="228B19E1" w:rsidR="00C17222" w:rsidRPr="00A52AB8" w:rsidRDefault="00C17222" w:rsidP="00C17222">
      <w:pPr>
        <w:pStyle w:val="a5"/>
        <w:numPr>
          <w:ilvl w:val="4"/>
          <w:numId w:val="14"/>
        </w:numPr>
      </w:pPr>
      <w:r w:rsidRPr="00A52AB8">
        <w:t xml:space="preserve">Atlas sequence parameter set RBSP </w:t>
      </w:r>
      <w:r w:rsidR="0047013F" w:rsidRPr="00A52AB8">
        <w:t>semantics</w:t>
      </w:r>
    </w:p>
    <w:p w14:paraId="4D6C9C16" w14:textId="6471DE83" w:rsidR="001E6B1E" w:rsidRPr="00A52AB8" w:rsidRDefault="001E6B1E" w:rsidP="004A7026">
      <w:pPr>
        <w:pStyle w:val="a6"/>
        <w:numPr>
          <w:ilvl w:val="5"/>
          <w:numId w:val="14"/>
        </w:numPr>
      </w:pPr>
      <w:r w:rsidRPr="00A52AB8">
        <w:t>General atlas sequence parameter set RBSP semantics</w:t>
      </w:r>
    </w:p>
    <w:p w14:paraId="2FBCDC71" w14:textId="78E951F2" w:rsidR="00C17222" w:rsidRPr="00A52AB8" w:rsidRDefault="00C17222" w:rsidP="00C17222">
      <w:r w:rsidRPr="00A52AB8">
        <w:t xml:space="preserve">The specifications in </w:t>
      </w:r>
      <w:r w:rsidR="00406A86" w:rsidRPr="00A52AB8">
        <w:t>subclause</w:t>
      </w:r>
      <w:r w:rsidRPr="00A52AB8">
        <w:t xml:space="preserve"> </w:t>
      </w:r>
      <w:r w:rsidR="001E6B1E" w:rsidRPr="00496A4D">
        <w:fldChar w:fldCharType="begin"/>
      </w:r>
      <w:r w:rsidR="001E6B1E" w:rsidRPr="00A52AB8">
        <w:instrText xml:space="preserve"> REF _Ref49198420 \n \h </w:instrText>
      </w:r>
      <w:r w:rsidR="00007BE2" w:rsidRPr="00A52AB8">
        <w:instrText xml:space="preserve"> \* MERGEFORMAT </w:instrText>
      </w:r>
      <w:r w:rsidR="001E6B1E" w:rsidRPr="00496A4D">
        <w:fldChar w:fldCharType="separate"/>
      </w:r>
      <w:r w:rsidR="00507A67">
        <w:t>8.4.6.1.1</w:t>
      </w:r>
      <w:r w:rsidR="001E6B1E" w:rsidRPr="00496A4D">
        <w:fldChar w:fldCharType="end"/>
      </w:r>
      <w:r w:rsidRPr="00A52AB8">
        <w:t xml:space="preserve"> and its subclauses apply, with the following </w:t>
      </w:r>
      <w:r w:rsidR="001D3212" w:rsidRPr="00A52AB8">
        <w:t>modifications</w:t>
      </w:r>
      <w:r w:rsidRPr="00A52AB8">
        <w:t>:</w:t>
      </w:r>
    </w:p>
    <w:p w14:paraId="3A214A52" w14:textId="6764AD17" w:rsidR="00097F8C" w:rsidRPr="00A52AB8" w:rsidRDefault="00537AF4" w:rsidP="00C17222">
      <w:pPr>
        <w:rPr>
          <w:color w:val="000000" w:themeColor="text1"/>
        </w:rPr>
      </w:pPr>
      <w:r w:rsidRPr="00A52AB8">
        <w:rPr>
          <w:b/>
        </w:rPr>
        <w:t xml:space="preserve">asps_max_number_projections_minus1 </w:t>
      </w:r>
      <w:r w:rsidRPr="00A52AB8">
        <w:rPr>
          <w:rStyle w:val="fontstyle01"/>
          <w:rFonts w:ascii="Cambria" w:hAnsi="Cambria"/>
          <w:color w:val="000000" w:themeColor="text1"/>
          <w:sz w:val="22"/>
          <w:szCs w:val="22"/>
        </w:rPr>
        <w:t xml:space="preserve">plus 1 </w:t>
      </w:r>
      <w:r w:rsidR="001D3212" w:rsidRPr="00A52AB8">
        <w:rPr>
          <w:rStyle w:val="fontstyle01"/>
          <w:rFonts w:ascii="Cambria" w:hAnsi="Cambria"/>
          <w:color w:val="000000" w:themeColor="text1"/>
          <w:sz w:val="22"/>
          <w:szCs w:val="22"/>
        </w:rPr>
        <w:t xml:space="preserve">specifies </w:t>
      </w:r>
      <w:r w:rsidR="00F655C4" w:rsidRPr="00A52AB8">
        <w:rPr>
          <w:rStyle w:val="fontstyle01"/>
          <w:rFonts w:ascii="Cambria" w:hAnsi="Cambria"/>
          <w:color w:val="000000" w:themeColor="text1"/>
          <w:sz w:val="22"/>
          <w:szCs w:val="22"/>
        </w:rPr>
        <w:t xml:space="preserve">the maximum value </w:t>
      </w:r>
      <w:r w:rsidR="00F655C4" w:rsidRPr="00A52AB8">
        <w:rPr>
          <w:rFonts w:eastAsia="Times New Roman"/>
        </w:rPr>
        <w:t>of pdu_</w:t>
      </w:r>
      <w:r w:rsidR="00F655C4" w:rsidRPr="00A52AB8">
        <w:t>projection_id</w:t>
      </w:r>
      <w:r w:rsidR="00EA5317" w:rsidRPr="00A52AB8">
        <w:rPr>
          <w:lang w:eastAsia="ja-JP"/>
        </w:rPr>
        <w:t>[ tileID ][ p ]</w:t>
      </w:r>
      <w:r w:rsidR="00EA5317" w:rsidRPr="00A52AB8">
        <w:t xml:space="preserve"> </w:t>
      </w:r>
      <w:r w:rsidR="00F655C4" w:rsidRPr="00A52AB8">
        <w:rPr>
          <w:rStyle w:val="normaltextrun1"/>
        </w:rPr>
        <w:t>in the patch_data_unit( ) syntax structure</w:t>
      </w:r>
      <w:r w:rsidR="00EA5317" w:rsidRPr="00A52AB8">
        <w:rPr>
          <w:rStyle w:val="normaltextrun1"/>
        </w:rPr>
        <w:t xml:space="preserve"> for a patch with index p in a tile with tile ID equal to tileID</w:t>
      </w:r>
      <w:r w:rsidRPr="00A52AB8">
        <w:rPr>
          <w:rStyle w:val="fontstyle01"/>
          <w:rFonts w:ascii="Cambria" w:hAnsi="Cambria"/>
          <w:color w:val="000000" w:themeColor="text1"/>
          <w:sz w:val="22"/>
          <w:szCs w:val="22"/>
        </w:rPr>
        <w:t>.</w:t>
      </w:r>
      <w:r w:rsidR="00F655C4" w:rsidRPr="00A52AB8">
        <w:rPr>
          <w:rStyle w:val="fontstyle01"/>
          <w:rFonts w:ascii="Cambria" w:hAnsi="Cambria"/>
          <w:color w:val="000000" w:themeColor="text1"/>
          <w:sz w:val="22"/>
          <w:szCs w:val="22"/>
        </w:rPr>
        <w:t xml:space="preserve"> </w:t>
      </w:r>
      <w:r w:rsidRPr="00A52AB8">
        <w:rPr>
          <w:color w:val="000000" w:themeColor="text1"/>
        </w:rPr>
        <w:t xml:space="preserve">When asps_extended_projection_enabled_flag is set to 1, </w:t>
      </w:r>
      <w:r w:rsidRPr="00A52AB8">
        <w:rPr>
          <w:rStyle w:val="fontstyle01"/>
          <w:rFonts w:ascii="Cambria" w:hAnsi="Cambria"/>
          <w:color w:val="000000" w:themeColor="text1"/>
          <w:sz w:val="22"/>
          <w:szCs w:val="22"/>
        </w:rPr>
        <w:t>asps_max_number_projections_minus1</w:t>
      </w:r>
      <w:r w:rsidRPr="00A52AB8">
        <w:rPr>
          <w:color w:val="000000" w:themeColor="text1"/>
        </w:rPr>
        <w:t xml:space="preserve"> shall be equal to </w:t>
      </w:r>
      <w:r w:rsidRPr="00A52AB8">
        <w:rPr>
          <w:rStyle w:val="fontstyle01"/>
          <w:rFonts w:ascii="Cambria" w:hAnsi="Cambria"/>
          <w:color w:val="000000" w:themeColor="text1"/>
          <w:sz w:val="22"/>
          <w:szCs w:val="22"/>
        </w:rPr>
        <w:t>17</w:t>
      </w:r>
      <w:r w:rsidRPr="00A52AB8">
        <w:rPr>
          <w:color w:val="000000" w:themeColor="text1"/>
        </w:rPr>
        <w:t xml:space="preserve">. When </w:t>
      </w:r>
      <w:r w:rsidRPr="00A52AB8">
        <w:rPr>
          <w:rStyle w:val="fontstyle01"/>
          <w:rFonts w:ascii="Cambria" w:hAnsi="Cambria"/>
          <w:color w:val="000000" w:themeColor="text1"/>
          <w:sz w:val="22"/>
          <w:szCs w:val="22"/>
        </w:rPr>
        <w:t>asps_max_number_projections_minus1</w:t>
      </w:r>
      <w:r w:rsidRPr="00A52AB8">
        <w:rPr>
          <w:color w:val="000000" w:themeColor="text1"/>
        </w:rPr>
        <w:t xml:space="preserve"> is not present, it shall be inferred to be equal to </w:t>
      </w:r>
      <w:r w:rsidRPr="00A52AB8">
        <w:rPr>
          <w:rStyle w:val="fontstyle01"/>
          <w:rFonts w:ascii="Cambria" w:hAnsi="Cambria"/>
          <w:color w:val="000000" w:themeColor="text1"/>
          <w:sz w:val="22"/>
          <w:szCs w:val="22"/>
        </w:rPr>
        <w:t>5</w:t>
      </w:r>
      <w:r w:rsidRPr="00A52AB8">
        <w:rPr>
          <w:color w:val="000000" w:themeColor="text1"/>
        </w:rPr>
        <w:t>.</w:t>
      </w:r>
    </w:p>
    <w:p w14:paraId="6F430D62" w14:textId="77777777" w:rsidR="00B84C25" w:rsidRPr="00A52AB8" w:rsidRDefault="00B84C25" w:rsidP="00B84C25">
      <w:pPr>
        <w:pStyle w:val="a6"/>
        <w:numPr>
          <w:ilvl w:val="5"/>
          <w:numId w:val="14"/>
        </w:numPr>
      </w:pPr>
      <w:r w:rsidRPr="00A52AB8">
        <w:t>Point local reconstruction information syntax</w:t>
      </w:r>
    </w:p>
    <w:p w14:paraId="7B619C9C" w14:textId="67860640" w:rsidR="00537AF4" w:rsidRPr="00A52AB8" w:rsidRDefault="00B84C25" w:rsidP="00C17222">
      <w:pPr>
        <w:rPr>
          <w:b/>
        </w:rPr>
      </w:pPr>
      <w:r w:rsidRPr="00A52AB8">
        <w:t>The specifications in subclause</w:t>
      </w:r>
      <w:r w:rsidRPr="00A52AB8">
        <w:rPr>
          <w:rStyle w:val="fontstyle01"/>
          <w:rFonts w:ascii="Cambria" w:hAnsi="Cambria"/>
          <w:color w:val="000000" w:themeColor="text1"/>
          <w:sz w:val="22"/>
          <w:szCs w:val="22"/>
        </w:rPr>
        <w:t xml:space="preserve"> </w:t>
      </w:r>
      <w:r w:rsidRPr="00496A4D">
        <w:rPr>
          <w:rStyle w:val="fontstyle01"/>
          <w:rFonts w:ascii="Cambria" w:hAnsi="Cambria"/>
          <w:color w:val="000000" w:themeColor="text1"/>
          <w:sz w:val="22"/>
          <w:szCs w:val="22"/>
        </w:rPr>
        <w:fldChar w:fldCharType="begin"/>
      </w:r>
      <w:r w:rsidRPr="00A52AB8">
        <w:rPr>
          <w:rStyle w:val="fontstyle01"/>
          <w:rFonts w:ascii="Cambria" w:hAnsi="Cambria"/>
          <w:color w:val="000000" w:themeColor="text1"/>
          <w:sz w:val="22"/>
          <w:szCs w:val="22"/>
        </w:rPr>
        <w:instrText xml:space="preserve"> REF _Ref49199500 \n \h </w:instrText>
      </w:r>
      <w:r w:rsidR="00007BE2" w:rsidRPr="00A52AB8">
        <w:rPr>
          <w:rStyle w:val="fontstyle01"/>
          <w:rFonts w:ascii="Cambria" w:hAnsi="Cambria"/>
          <w:color w:val="000000" w:themeColor="text1"/>
          <w:sz w:val="22"/>
          <w:szCs w:val="22"/>
        </w:rPr>
        <w:instrText xml:space="preserve"> \* MERGEFORMAT </w:instrText>
      </w:r>
      <w:r w:rsidRPr="00496A4D">
        <w:rPr>
          <w:rStyle w:val="fontstyle01"/>
          <w:rFonts w:ascii="Cambria" w:hAnsi="Cambria"/>
          <w:color w:val="000000" w:themeColor="text1"/>
          <w:sz w:val="22"/>
          <w:szCs w:val="22"/>
        </w:rPr>
      </w:r>
      <w:r w:rsidRPr="00496A4D">
        <w:rPr>
          <w:rStyle w:val="fontstyle01"/>
          <w:rFonts w:ascii="Cambria" w:hAnsi="Cambria"/>
          <w:color w:val="000000" w:themeColor="text1"/>
          <w:sz w:val="22"/>
          <w:szCs w:val="22"/>
        </w:rPr>
        <w:fldChar w:fldCharType="separate"/>
      </w:r>
      <w:r w:rsidR="00507A67">
        <w:rPr>
          <w:rStyle w:val="fontstyle01"/>
          <w:rFonts w:ascii="Cambria" w:hAnsi="Cambria"/>
          <w:color w:val="000000" w:themeColor="text1"/>
          <w:sz w:val="22"/>
          <w:szCs w:val="22"/>
        </w:rPr>
        <w:t>8.4.6.1.2</w:t>
      </w:r>
      <w:r w:rsidRPr="00496A4D">
        <w:rPr>
          <w:rStyle w:val="fontstyle01"/>
          <w:rFonts w:ascii="Cambria" w:hAnsi="Cambria"/>
          <w:color w:val="000000" w:themeColor="text1"/>
          <w:sz w:val="22"/>
          <w:szCs w:val="22"/>
        </w:rPr>
        <w:fldChar w:fldCharType="end"/>
      </w:r>
      <w:r w:rsidRPr="00A52AB8">
        <w:rPr>
          <w:rStyle w:val="fontstyle01"/>
          <w:rFonts w:ascii="Cambria" w:hAnsi="Cambria"/>
          <w:color w:val="000000" w:themeColor="text1"/>
          <w:sz w:val="22"/>
          <w:szCs w:val="22"/>
        </w:rPr>
        <w:t xml:space="preserve"> apply.</w:t>
      </w:r>
    </w:p>
    <w:p w14:paraId="6AC20A66" w14:textId="023C28C3" w:rsidR="00C17222" w:rsidRPr="00A52AB8" w:rsidRDefault="00C17222" w:rsidP="00C17222">
      <w:pPr>
        <w:pStyle w:val="a6"/>
        <w:numPr>
          <w:ilvl w:val="5"/>
          <w:numId w:val="14"/>
        </w:numPr>
      </w:pPr>
      <w:r w:rsidRPr="00A52AB8">
        <w:t xml:space="preserve">ASPS V-PCC extension </w:t>
      </w:r>
      <w:r w:rsidR="0047013F" w:rsidRPr="00A52AB8">
        <w:t>semantics</w:t>
      </w:r>
    </w:p>
    <w:p w14:paraId="3115E377" w14:textId="77777777" w:rsidR="00461016" w:rsidRPr="00A52AB8" w:rsidRDefault="00461016" w:rsidP="00461016">
      <w:pPr>
        <w:rPr>
          <w:rFonts w:cs="Arial"/>
          <w:bCs/>
        </w:rPr>
      </w:pPr>
      <w:r w:rsidRPr="00A52AB8">
        <w:rPr>
          <w:rFonts w:cs="Arial"/>
          <w:b/>
        </w:rPr>
        <w:t xml:space="preserve">asps_vpcc_remove_duplicate_point_enabled_flag </w:t>
      </w:r>
      <w:r w:rsidRPr="00A52AB8">
        <w:rPr>
          <w:rFonts w:cs="Arial"/>
          <w:bCs/>
        </w:rPr>
        <w:t>equal to 1 indicates that duplicated points shall not be reconstructed for the current atlas, where a duplicated point is a point with the same 2D and 3D geometry coordinates as another point from a lower index</w:t>
      </w:r>
      <w:r w:rsidR="00F20721" w:rsidRPr="00A52AB8">
        <w:rPr>
          <w:rFonts w:cs="Arial"/>
          <w:bCs/>
        </w:rPr>
        <w:t>ed</w:t>
      </w:r>
      <w:r w:rsidRPr="00A52AB8">
        <w:rPr>
          <w:rFonts w:cs="Arial"/>
          <w:bCs/>
        </w:rPr>
        <w:t xml:space="preserve"> map</w:t>
      </w:r>
      <w:r w:rsidR="00F20721" w:rsidRPr="00A52AB8">
        <w:rPr>
          <w:rFonts w:cs="Arial"/>
          <w:bCs/>
        </w:rPr>
        <w:t xml:space="preserve"> associated with the same patch</w:t>
      </w:r>
      <w:r w:rsidRPr="00A52AB8">
        <w:rPr>
          <w:rFonts w:cs="Arial"/>
          <w:bCs/>
        </w:rPr>
        <w:t>. asps_vpcc_remove_duplicate_point_enabled_flag equal to 0 indicates that all points shall be reconstructed.</w:t>
      </w:r>
    </w:p>
    <w:p w14:paraId="2FC42219" w14:textId="66C15411" w:rsidR="00F20721" w:rsidRPr="00A52AB8" w:rsidRDefault="00F20721" w:rsidP="00F01345">
      <w:pPr>
        <w:pStyle w:val="Note1"/>
        <w:rPr>
          <w:rFonts w:ascii="Cambria" w:hAnsi="Cambria" w:cs="Arial"/>
          <w:b/>
        </w:rPr>
      </w:pPr>
      <w:r w:rsidRPr="00A52AB8">
        <w:rPr>
          <w:rFonts w:ascii="Cambria" w:hAnsi="Cambria"/>
        </w:rPr>
        <w:t>NOTE – </w:t>
      </w:r>
      <w:r w:rsidRPr="00A52AB8">
        <w:rPr>
          <w:rFonts w:ascii="Cambria" w:hAnsi="Cambria"/>
          <w:color w:val="000000" w:themeColor="text1"/>
        </w:rPr>
        <w:t>This process only caters for duplicated points that may be associated with a single patch because of the presence of</w:t>
      </w:r>
      <w:r w:rsidR="00CB1F1A" w:rsidRPr="00A52AB8">
        <w:rPr>
          <w:rFonts w:ascii="Cambria" w:hAnsi="Cambria"/>
          <w:color w:val="000000" w:themeColor="text1"/>
        </w:rPr>
        <w:t xml:space="preserve"> </w:t>
      </w:r>
      <w:r w:rsidRPr="00A52AB8">
        <w:rPr>
          <w:rFonts w:ascii="Cambria" w:hAnsi="Cambria"/>
          <w:color w:val="000000" w:themeColor="text1"/>
        </w:rPr>
        <w:t>multiple maps. Duplicated points due to other PROJECTED patches or RAW and EOM patches are not accounted for in this process.</w:t>
      </w:r>
    </w:p>
    <w:p w14:paraId="125CF911" w14:textId="35ABC840" w:rsidR="009D0D94" w:rsidRPr="00A52AB8" w:rsidRDefault="009D0D94" w:rsidP="009D0D94">
      <w:pPr>
        <w:rPr>
          <w:rFonts w:cs="Arial"/>
        </w:rPr>
      </w:pPr>
      <w:r w:rsidRPr="00A52AB8">
        <w:rPr>
          <w:rFonts w:cs="Arial"/>
          <w:b/>
        </w:rPr>
        <w:t>asps_</w:t>
      </w:r>
      <w:r w:rsidR="00E064DA" w:rsidRPr="00A52AB8">
        <w:rPr>
          <w:rFonts w:cs="Arial"/>
          <w:b/>
        </w:rPr>
        <w:t>vpcc_</w:t>
      </w:r>
      <w:r w:rsidRPr="00A52AB8">
        <w:rPr>
          <w:rFonts w:cs="Arial"/>
          <w:b/>
        </w:rPr>
        <w:t>surface_thickness_minus1</w:t>
      </w:r>
      <w:r w:rsidRPr="00A52AB8">
        <w:rPr>
          <w:rFonts w:cs="Arial"/>
        </w:rPr>
        <w:t xml:space="preserve"> plus 1 specifies the maximum absolute difference be</w:t>
      </w:r>
      <w:r w:rsidR="00D24766" w:rsidRPr="00A52AB8">
        <w:rPr>
          <w:rFonts w:cs="Arial"/>
        </w:rPr>
        <w:t>t</w:t>
      </w:r>
      <w:r w:rsidRPr="00A52AB8">
        <w:rPr>
          <w:rFonts w:cs="Arial"/>
        </w:rPr>
        <w:t>ween an explicitly coded depth value and interpolated depth value when asps_pixel_deinterleaving_enabled_flag or asps_</w:t>
      </w:r>
      <w:r w:rsidR="00D375CC" w:rsidRPr="00A52AB8">
        <w:rPr>
          <w:rFonts w:cs="Arial"/>
        </w:rPr>
        <w:t>plr</w:t>
      </w:r>
      <w:r w:rsidRPr="00A52AB8">
        <w:rPr>
          <w:rFonts w:cs="Arial"/>
        </w:rPr>
        <w:t>_enabled_flag is equal to 1.</w:t>
      </w:r>
    </w:p>
    <w:p w14:paraId="13CBCECE" w14:textId="77777777" w:rsidR="00C17222" w:rsidRPr="00A52AB8" w:rsidRDefault="00C17222" w:rsidP="00C17222">
      <w:pPr>
        <w:pStyle w:val="a5"/>
        <w:numPr>
          <w:ilvl w:val="4"/>
          <w:numId w:val="14"/>
        </w:numPr>
      </w:pPr>
      <w:r w:rsidRPr="00A52AB8">
        <w:t xml:space="preserve">Atlas frame parameter set RBSP </w:t>
      </w:r>
      <w:r w:rsidR="0047013F" w:rsidRPr="00A52AB8">
        <w:t>semantics</w:t>
      </w:r>
    </w:p>
    <w:p w14:paraId="0CC96F35" w14:textId="00D32B6A" w:rsidR="00C17222" w:rsidRPr="00A52AB8" w:rsidRDefault="00C17222" w:rsidP="00C17222">
      <w:r w:rsidRPr="00A52AB8">
        <w:t xml:space="preserve">The specifications in </w:t>
      </w:r>
      <w:r w:rsidR="00406A86" w:rsidRPr="00A52AB8">
        <w:t>subclause</w:t>
      </w:r>
      <w:r w:rsidRPr="00A52AB8">
        <w:t xml:space="preserve"> </w:t>
      </w:r>
      <w:r w:rsidR="00F5422D" w:rsidRPr="00496A4D">
        <w:fldChar w:fldCharType="begin"/>
      </w:r>
      <w:r w:rsidR="00F5422D" w:rsidRPr="00A52AB8">
        <w:instrText xml:space="preserve"> REF _Ref38315450 \n \h </w:instrText>
      </w:r>
      <w:r w:rsidR="00CA5401" w:rsidRPr="00A52AB8">
        <w:instrText xml:space="preserve"> \* MERGEFORMAT </w:instrText>
      </w:r>
      <w:r w:rsidR="00F5422D" w:rsidRPr="00496A4D">
        <w:fldChar w:fldCharType="separate"/>
      </w:r>
      <w:r w:rsidR="00507A67">
        <w:t>8.4.6.2</w:t>
      </w:r>
      <w:r w:rsidR="00F5422D" w:rsidRPr="00496A4D">
        <w:fldChar w:fldCharType="end"/>
      </w:r>
      <w:r w:rsidR="00F5422D" w:rsidRPr="00A52AB8">
        <w:t xml:space="preserve"> </w:t>
      </w:r>
      <w:r w:rsidRPr="00A52AB8">
        <w:t>and its subclauses apply</w:t>
      </w:r>
      <w:r w:rsidR="00CB1F1A" w:rsidRPr="00A52AB8">
        <w:t>.</w:t>
      </w:r>
    </w:p>
    <w:p w14:paraId="67F0C6B7" w14:textId="53152A0F" w:rsidR="00CB1F1A" w:rsidRPr="00A52AB8" w:rsidRDefault="00CB1F1A" w:rsidP="00C17222">
      <w:pPr>
        <w:pStyle w:val="a5"/>
        <w:numPr>
          <w:ilvl w:val="4"/>
          <w:numId w:val="14"/>
        </w:numPr>
      </w:pPr>
      <w:bookmarkStart w:id="6208" w:name="_Toc49012880"/>
      <w:bookmarkStart w:id="6209" w:name="_Toc49013425"/>
      <w:bookmarkStart w:id="6210" w:name="_Toc49014542"/>
      <w:bookmarkStart w:id="6211" w:name="_Toc49095778"/>
      <w:bookmarkEnd w:id="6208"/>
      <w:bookmarkEnd w:id="6209"/>
      <w:bookmarkEnd w:id="6210"/>
      <w:bookmarkEnd w:id="6211"/>
      <w:r w:rsidRPr="00A52AB8">
        <w:t>Atlas adaptation parameter set RBSP semantics</w:t>
      </w:r>
    </w:p>
    <w:p w14:paraId="16F891A1" w14:textId="512ADC61" w:rsidR="00C17222" w:rsidRPr="00A52AB8" w:rsidRDefault="00CB1F1A" w:rsidP="00EE3D19">
      <w:pPr>
        <w:pStyle w:val="a5"/>
        <w:numPr>
          <w:ilvl w:val="5"/>
          <w:numId w:val="14"/>
        </w:numPr>
        <w:outlineLvl w:val="5"/>
      </w:pPr>
      <w:r w:rsidRPr="00A52AB8">
        <w:t>General a</w:t>
      </w:r>
      <w:r w:rsidR="00C17222" w:rsidRPr="00A52AB8">
        <w:t xml:space="preserve">tlas adaptation parameter set RBSP </w:t>
      </w:r>
      <w:r w:rsidR="0047013F" w:rsidRPr="00A52AB8">
        <w:t>semantics</w:t>
      </w:r>
    </w:p>
    <w:p w14:paraId="767BD8DE" w14:textId="512DBC86" w:rsidR="00CB1F1A" w:rsidRPr="00A52AB8" w:rsidRDefault="00CB1F1A" w:rsidP="004A7026">
      <w:r w:rsidRPr="00A52AB8">
        <w:rPr>
          <w:lang w:eastAsia="ja-JP"/>
        </w:rPr>
        <w:t xml:space="preserve">The specifications in subclause </w:t>
      </w:r>
      <w:r w:rsidR="003D02DC">
        <w:rPr>
          <w:lang w:eastAsia="ja-JP"/>
        </w:rPr>
        <w:fldChar w:fldCharType="begin"/>
      </w:r>
      <w:r w:rsidR="003D02DC">
        <w:rPr>
          <w:lang w:eastAsia="ja-JP"/>
        </w:rPr>
        <w:instrText xml:space="preserve"> REF _Ref38315825 \r \h </w:instrText>
      </w:r>
      <w:r w:rsidR="003D02DC">
        <w:rPr>
          <w:lang w:eastAsia="ja-JP"/>
        </w:rPr>
      </w:r>
      <w:r w:rsidR="003D02DC">
        <w:rPr>
          <w:lang w:eastAsia="ja-JP"/>
        </w:rPr>
        <w:fldChar w:fldCharType="separate"/>
      </w:r>
      <w:r w:rsidR="00507A67">
        <w:rPr>
          <w:lang w:eastAsia="ja-JP"/>
        </w:rPr>
        <w:t>8.4.6.3</w:t>
      </w:r>
      <w:r w:rsidR="003D02DC">
        <w:rPr>
          <w:lang w:eastAsia="ja-JP"/>
        </w:rPr>
        <w:fldChar w:fldCharType="end"/>
      </w:r>
      <w:r w:rsidR="00380F1C">
        <w:rPr>
          <w:lang w:eastAsia="ja-JP"/>
        </w:rPr>
        <w:t xml:space="preserve"> </w:t>
      </w:r>
      <w:r w:rsidRPr="00A52AB8">
        <w:rPr>
          <w:lang w:eastAsia="ja-JP"/>
        </w:rPr>
        <w:t>apply.</w:t>
      </w:r>
    </w:p>
    <w:p w14:paraId="2D880DF6" w14:textId="32A3C006" w:rsidR="00C17222" w:rsidRPr="00A52AB8" w:rsidRDefault="00C17222" w:rsidP="00C17222">
      <w:pPr>
        <w:pStyle w:val="a6"/>
        <w:numPr>
          <w:ilvl w:val="5"/>
          <w:numId w:val="14"/>
        </w:numPr>
      </w:pPr>
      <w:bookmarkStart w:id="6212" w:name="_Toc49257774"/>
      <w:bookmarkStart w:id="6213" w:name="_Toc49345274"/>
      <w:bookmarkStart w:id="6214" w:name="_Toc49350175"/>
      <w:bookmarkEnd w:id="6212"/>
      <w:bookmarkEnd w:id="6213"/>
      <w:bookmarkEnd w:id="6214"/>
      <w:r w:rsidRPr="00A52AB8">
        <w:t>AAPS V-PCC extension s</w:t>
      </w:r>
      <w:r w:rsidR="000D414B" w:rsidRPr="00A52AB8">
        <w:t>emantics</w:t>
      </w:r>
    </w:p>
    <w:p w14:paraId="578C5275" w14:textId="4F0A7FDE" w:rsidR="00370806" w:rsidRPr="00A52AB8" w:rsidRDefault="00370806" w:rsidP="00370806">
      <w:pPr>
        <w:rPr>
          <w:lang w:eastAsia="ja-JP"/>
        </w:rPr>
      </w:pPr>
      <w:r w:rsidRPr="00A52AB8">
        <w:rPr>
          <w:b/>
          <w:bCs/>
          <w:lang w:eastAsia="ja-JP"/>
        </w:rPr>
        <w:t>aaps_vpcc_camera_parameters_present_flag</w:t>
      </w:r>
      <w:r w:rsidRPr="00A52AB8">
        <w:rPr>
          <w:lang w:eastAsia="ja-JP"/>
        </w:rPr>
        <w:t xml:space="preserve"> equal to 1 specifies that camera parameters shall be present in the current atlas adaptation parameter set. aaps_vpcc_camera_parameters_present_flag equal to 0 specifies that camera parameters for the current adaptation parameter set shall not be present.</w:t>
      </w:r>
    </w:p>
    <w:p w14:paraId="3D444645" w14:textId="77777777" w:rsidR="008253CE" w:rsidRPr="00A52AB8" w:rsidRDefault="00C17222" w:rsidP="00057357">
      <w:pPr>
        <w:pStyle w:val="a6"/>
        <w:numPr>
          <w:ilvl w:val="5"/>
          <w:numId w:val="14"/>
        </w:numPr>
      </w:pPr>
      <w:r w:rsidRPr="00A52AB8">
        <w:t xml:space="preserve">Atlas camera parameters </w:t>
      </w:r>
      <w:r w:rsidR="0047013F" w:rsidRPr="00A52AB8">
        <w:t>semantics</w:t>
      </w:r>
    </w:p>
    <w:p w14:paraId="7F4890E4" w14:textId="21A66962" w:rsidR="00630675" w:rsidRPr="00A52AB8" w:rsidRDefault="00CB1F1A" w:rsidP="007656E5">
      <w:r w:rsidRPr="00A52AB8">
        <w:rPr>
          <w:lang w:eastAsia="ja-JP"/>
        </w:rPr>
        <w:t>This subclause describes camera parameters related to scale, offset</w:t>
      </w:r>
      <w:r w:rsidR="00BE4FA3" w:rsidRPr="00A52AB8">
        <w:rPr>
          <w:lang w:eastAsia="ja-JP"/>
        </w:rPr>
        <w:t>,</w:t>
      </w:r>
      <w:r w:rsidRPr="00A52AB8">
        <w:rPr>
          <w:lang w:eastAsia="ja-JP"/>
        </w:rPr>
        <w:t xml:space="preserve"> and rotation that may be used for reconstruction </w:t>
      </w:r>
      <w:r w:rsidR="00D12599" w:rsidRPr="00A52AB8">
        <w:rPr>
          <w:lang w:eastAsia="ja-JP"/>
        </w:rPr>
        <w:t xml:space="preserve">operations </w:t>
      </w:r>
      <w:r w:rsidRPr="00A52AB8">
        <w:rPr>
          <w:lang w:eastAsia="ja-JP"/>
        </w:rPr>
        <w:t>after decoding as</w:t>
      </w:r>
      <w:r w:rsidR="00D12599" w:rsidRPr="00A52AB8">
        <w:rPr>
          <w:lang w:eastAsia="ja-JP"/>
        </w:rPr>
        <w:t xml:space="preserve"> described in</w:t>
      </w:r>
      <w:r w:rsidR="00B64AC3" w:rsidRPr="00A52AB8">
        <w:rPr>
          <w:lang w:eastAsia="ja-JP"/>
        </w:rPr>
        <w:t xml:space="preserve"> </w:t>
      </w:r>
      <w:r w:rsidR="00DE0A07" w:rsidRPr="00A52AB8">
        <w:rPr>
          <w:lang w:eastAsia="ja-JP"/>
        </w:rPr>
        <w:t xml:space="preserve">subclause </w:t>
      </w:r>
      <w:r w:rsidR="008575AB" w:rsidRPr="00496A4D">
        <w:rPr>
          <w:lang w:eastAsia="ja-JP"/>
        </w:rPr>
        <w:fldChar w:fldCharType="begin"/>
      </w:r>
      <w:r w:rsidR="008575AB" w:rsidRPr="00A52AB8">
        <w:rPr>
          <w:lang w:eastAsia="ja-JP"/>
        </w:rPr>
        <w:instrText xml:space="preserve"> REF _Ref44438783 \r \h  \* MERGEFORMAT </w:instrText>
      </w:r>
      <w:r w:rsidR="008575AB" w:rsidRPr="00496A4D">
        <w:rPr>
          <w:lang w:eastAsia="ja-JP"/>
        </w:rPr>
      </w:r>
      <w:r w:rsidR="008575AB" w:rsidRPr="00496A4D">
        <w:rPr>
          <w:lang w:eastAsia="ja-JP"/>
        </w:rPr>
        <w:fldChar w:fldCharType="separate"/>
      </w:r>
      <w:r w:rsidR="00507A67">
        <w:rPr>
          <w:lang w:eastAsia="ja-JP"/>
        </w:rPr>
        <w:t>H.13</w:t>
      </w:r>
      <w:r w:rsidR="008575AB" w:rsidRPr="00496A4D">
        <w:rPr>
          <w:lang w:eastAsia="ja-JP"/>
        </w:rPr>
        <w:fldChar w:fldCharType="end"/>
      </w:r>
      <w:r w:rsidR="00D12599" w:rsidRPr="00A52AB8">
        <w:rPr>
          <w:lang w:eastAsia="ja-JP"/>
        </w:rPr>
        <w:t>.</w:t>
      </w:r>
    </w:p>
    <w:p w14:paraId="1DEB7424" w14:textId="4A6F1532" w:rsidR="00057357" w:rsidRPr="00A52AB8" w:rsidRDefault="00057357" w:rsidP="00057357">
      <w:r w:rsidRPr="00A52AB8">
        <w:rPr>
          <w:b/>
          <w:color w:val="000000" w:themeColor="text1"/>
        </w:rPr>
        <w:t xml:space="preserve">acp_camera_model </w:t>
      </w:r>
      <w:r w:rsidRPr="00A52AB8">
        <w:rPr>
          <w:bCs/>
          <w:color w:val="000000" w:themeColor="text1"/>
        </w:rPr>
        <w:t>indicates the camera model for point cloud frames that are associated with the current adaptation parameter set</w:t>
      </w:r>
      <w:r w:rsidR="00BE4FA3" w:rsidRPr="00A52AB8">
        <w:rPr>
          <w:bCs/>
          <w:color w:val="000000" w:themeColor="text1"/>
        </w:rPr>
        <w:t>,</w:t>
      </w:r>
      <w:r w:rsidRPr="00A52AB8">
        <w:rPr>
          <w:bCs/>
          <w:color w:val="000000" w:themeColor="text1"/>
        </w:rPr>
        <w:t xml:space="preserve"> as listed in</w:t>
      </w:r>
      <w:r w:rsidR="001E4608" w:rsidRPr="00A52AB8">
        <w:rPr>
          <w:bCs/>
          <w:color w:val="000000" w:themeColor="text1"/>
        </w:rPr>
        <w:t xml:space="preserve"> </w:t>
      </w:r>
      <w:r w:rsidR="001E4608" w:rsidRPr="00496A4D">
        <w:rPr>
          <w:bCs/>
          <w:color w:val="000000" w:themeColor="text1"/>
        </w:rPr>
        <w:fldChar w:fldCharType="begin"/>
      </w:r>
      <w:r w:rsidR="001E4608" w:rsidRPr="00A52AB8">
        <w:rPr>
          <w:bCs/>
          <w:color w:val="000000" w:themeColor="text1"/>
        </w:rPr>
        <w:instrText xml:space="preserve"> REF _Ref39815444 \h </w:instrText>
      </w:r>
      <w:r w:rsidR="00CA5401" w:rsidRPr="00A52AB8">
        <w:rPr>
          <w:bCs/>
          <w:color w:val="000000" w:themeColor="text1"/>
        </w:rPr>
        <w:instrText xml:space="preserve"> \* MERGEFORMAT </w:instrText>
      </w:r>
      <w:r w:rsidR="001E4608" w:rsidRPr="00496A4D">
        <w:rPr>
          <w:bCs/>
          <w:color w:val="000000" w:themeColor="text1"/>
        </w:rPr>
      </w:r>
      <w:r w:rsidR="001E4608" w:rsidRPr="00496A4D">
        <w:rPr>
          <w:bCs/>
          <w:color w:val="000000" w:themeColor="text1"/>
        </w:rPr>
        <w:fldChar w:fldCharType="separate"/>
      </w:r>
      <w:r w:rsidR="00507A67" w:rsidRPr="00A52AB8">
        <w:t>Table H</w:t>
      </w:r>
      <w:r w:rsidR="00507A67" w:rsidRPr="00A52AB8">
        <w:noBreakHyphen/>
      </w:r>
      <w:r w:rsidR="00507A67">
        <w:t>1</w:t>
      </w:r>
      <w:r w:rsidR="001E4608" w:rsidRPr="00496A4D">
        <w:rPr>
          <w:bCs/>
          <w:color w:val="000000" w:themeColor="text1"/>
        </w:rPr>
        <w:fldChar w:fldCharType="end"/>
      </w:r>
      <w:r w:rsidR="001E4608" w:rsidRPr="00A52AB8">
        <w:rPr>
          <w:bCs/>
          <w:color w:val="000000" w:themeColor="text1"/>
        </w:rPr>
        <w:t xml:space="preserve">. </w:t>
      </w:r>
      <w:r w:rsidRPr="00A52AB8">
        <w:rPr>
          <w:bCs/>
          <w:color w:val="000000" w:themeColor="text1"/>
        </w:rPr>
        <w:t xml:space="preserve">The </w:t>
      </w:r>
      <w:r w:rsidRPr="00A52AB8">
        <w:rPr>
          <w:color w:val="000000" w:themeColor="text1"/>
        </w:rPr>
        <w:t xml:space="preserve">value of acp_camera_model shall be equal to 0 or 1 in bitstreams conforming to this version of this document. </w:t>
      </w:r>
      <w:r w:rsidRPr="00A52AB8">
        <w:t xml:space="preserve">Other values of acp_camera_model are reserved for future use by </w:t>
      </w:r>
      <w:r w:rsidRPr="00A52AB8">
        <w:rPr>
          <w:rFonts w:eastAsia="MS Mincho"/>
        </w:rPr>
        <w:t>ISO/IEC</w:t>
      </w:r>
      <w:r w:rsidRPr="00A52AB8">
        <w:t>. Decoders conforming to this version of this document shall ignore reserved values of acp_camera_model.</w:t>
      </w:r>
    </w:p>
    <w:p w14:paraId="6CD33F8C" w14:textId="1D0DDEC2" w:rsidR="00057357" w:rsidRPr="00A52AB8" w:rsidRDefault="00057357" w:rsidP="00057357">
      <w:pPr>
        <w:pStyle w:val="Caption"/>
        <w:rPr>
          <w:rFonts w:ascii="Cambria" w:hAnsi="Cambria"/>
        </w:rPr>
      </w:pPr>
      <w:bookmarkStart w:id="6215" w:name="_Ref39815444"/>
      <w:bookmarkStart w:id="6216" w:name="_Ref45107089"/>
      <w:r w:rsidRPr="00A52AB8">
        <w:rPr>
          <w:rFonts w:ascii="Cambria" w:hAnsi="Cambria"/>
        </w:rPr>
        <w:t>Table </w:t>
      </w:r>
      <w:r w:rsidR="001B0C8A" w:rsidRPr="00A52AB8">
        <w:rPr>
          <w:rFonts w:ascii="Cambria" w:hAnsi="Cambria"/>
        </w:rPr>
        <w:t>H</w:t>
      </w:r>
      <w:r w:rsidRPr="00A52AB8">
        <w:rPr>
          <w:rFonts w:ascii="Cambria" w:hAnsi="Cambria"/>
        </w:rPr>
        <w:noBreakHyphen/>
      </w:r>
      <w:r w:rsidRPr="00496A4D">
        <w:rPr>
          <w:rFonts w:ascii="Cambria" w:hAnsi="Cambria"/>
        </w:rPr>
        <w:fldChar w:fldCharType="begin"/>
      </w:r>
      <w:r w:rsidRPr="00A52AB8">
        <w:rPr>
          <w:rFonts w:ascii="Cambria" w:hAnsi="Cambria"/>
        </w:rPr>
        <w:instrText xml:space="preserve"> SEQ Table \* ARABIC \</w:instrText>
      </w:r>
      <w:r w:rsidR="00B76FE0" w:rsidRPr="00A52AB8">
        <w:rPr>
          <w:rFonts w:ascii="Cambria" w:hAnsi="Cambria"/>
        </w:rPr>
        <w:instrText>r</w:instrText>
      </w:r>
      <w:r w:rsidRPr="00A52AB8">
        <w:rPr>
          <w:rFonts w:ascii="Cambria" w:hAnsi="Cambria"/>
        </w:rPr>
        <w:instrText xml:space="preserve"> 1 </w:instrText>
      </w:r>
      <w:r w:rsidRPr="00496A4D">
        <w:rPr>
          <w:rFonts w:ascii="Cambria" w:hAnsi="Cambria"/>
        </w:rPr>
        <w:fldChar w:fldCharType="separate"/>
      </w:r>
      <w:r w:rsidR="00507A67">
        <w:rPr>
          <w:rFonts w:ascii="Cambria" w:hAnsi="Cambria"/>
          <w:noProof/>
        </w:rPr>
        <w:t>1</w:t>
      </w:r>
      <w:r w:rsidRPr="00496A4D">
        <w:rPr>
          <w:rFonts w:ascii="Cambria" w:hAnsi="Cambria"/>
        </w:rPr>
        <w:fldChar w:fldCharType="end"/>
      </w:r>
      <w:bookmarkEnd w:id="6215"/>
      <w:r w:rsidR="008E3554" w:rsidRPr="00A52AB8">
        <w:rPr>
          <w:rFonts w:ascii="Cambria" w:hAnsi="Cambria" w:cs="Calibri"/>
          <w:bCs w:val="0"/>
        </w:rPr>
        <w:t> </w:t>
      </w:r>
      <w:r w:rsidR="008E3554" w:rsidRPr="00A52AB8">
        <w:rPr>
          <w:rFonts w:ascii="Cambria" w:hAnsi="Cambria"/>
        </w:rPr>
        <w:t>– </w:t>
      </w:r>
      <w:r w:rsidRPr="00A52AB8">
        <w:rPr>
          <w:rFonts w:ascii="Cambria" w:hAnsi="Cambria"/>
        </w:rPr>
        <w:t>Interpretation of acp_camera_model</w:t>
      </w:r>
      <w:bookmarkEnd w:id="6216"/>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80" w:type="dxa"/>
          <w:right w:w="80" w:type="dxa"/>
        </w:tblCellMar>
        <w:tblLook w:val="0000" w:firstRow="0" w:lastRow="0" w:firstColumn="0" w:lastColumn="0" w:noHBand="0" w:noVBand="0"/>
      </w:tblPr>
      <w:tblGrid>
        <w:gridCol w:w="2066"/>
        <w:gridCol w:w="5166"/>
      </w:tblGrid>
      <w:tr w:rsidR="00057357" w:rsidRPr="00A52AB8" w14:paraId="1298A24E" w14:textId="77777777" w:rsidTr="001B0754">
        <w:trPr>
          <w:cantSplit/>
          <w:jc w:val="center"/>
        </w:trPr>
        <w:tc>
          <w:tcPr>
            <w:tcW w:w="1892" w:type="dxa"/>
          </w:tcPr>
          <w:p w14:paraId="7F39E015" w14:textId="77777777" w:rsidR="00057357" w:rsidRPr="00A52AB8" w:rsidRDefault="00057357" w:rsidP="001B0754">
            <w:pPr>
              <w:pStyle w:val="TableText"/>
              <w:keepNext/>
              <w:spacing w:before="80" w:after="80"/>
              <w:jc w:val="center"/>
              <w:rPr>
                <w:rFonts w:ascii="Cambria" w:hAnsi="Cambria"/>
                <w:b/>
                <w:bCs/>
                <w:sz w:val="22"/>
                <w:szCs w:val="22"/>
              </w:rPr>
            </w:pPr>
            <w:r w:rsidRPr="00A52AB8">
              <w:rPr>
                <w:rFonts w:ascii="Cambria" w:hAnsi="Cambria"/>
                <w:b/>
                <w:bCs/>
                <w:sz w:val="22"/>
                <w:szCs w:val="22"/>
              </w:rPr>
              <w:t>acp_camera_model</w:t>
            </w:r>
          </w:p>
        </w:tc>
        <w:tc>
          <w:tcPr>
            <w:tcW w:w="5166" w:type="dxa"/>
          </w:tcPr>
          <w:p w14:paraId="6A567A24" w14:textId="77777777" w:rsidR="00057357" w:rsidRPr="00A52AB8" w:rsidRDefault="00057357" w:rsidP="004A7026">
            <w:pPr>
              <w:pStyle w:val="TableText"/>
              <w:keepNext/>
              <w:spacing w:before="80" w:after="80"/>
              <w:jc w:val="center"/>
              <w:rPr>
                <w:rFonts w:ascii="Cambria" w:hAnsi="Cambria"/>
                <w:b/>
                <w:bCs/>
                <w:sz w:val="22"/>
                <w:szCs w:val="22"/>
              </w:rPr>
            </w:pPr>
            <w:r w:rsidRPr="00A52AB8">
              <w:rPr>
                <w:rFonts w:ascii="Cambria" w:hAnsi="Cambria"/>
                <w:b/>
                <w:bCs/>
                <w:sz w:val="22"/>
                <w:szCs w:val="22"/>
              </w:rPr>
              <w:t>Name of acp_camera_model</w:t>
            </w:r>
          </w:p>
        </w:tc>
      </w:tr>
      <w:tr w:rsidR="00057357" w:rsidRPr="00A52AB8" w14:paraId="5739573B" w14:textId="77777777" w:rsidTr="001B0754">
        <w:trPr>
          <w:cantSplit/>
          <w:jc w:val="center"/>
        </w:trPr>
        <w:tc>
          <w:tcPr>
            <w:tcW w:w="1892" w:type="dxa"/>
            <w:vAlign w:val="center"/>
          </w:tcPr>
          <w:p w14:paraId="04973B0B" w14:textId="77777777" w:rsidR="00057357" w:rsidRPr="00A52AB8" w:rsidRDefault="00057357" w:rsidP="001B0754">
            <w:pPr>
              <w:pStyle w:val="TableText"/>
              <w:jc w:val="center"/>
              <w:rPr>
                <w:rFonts w:ascii="Cambria" w:hAnsi="Cambria"/>
                <w:sz w:val="22"/>
                <w:szCs w:val="22"/>
              </w:rPr>
            </w:pPr>
            <w:r w:rsidRPr="00A52AB8">
              <w:rPr>
                <w:rFonts w:ascii="Cambria" w:hAnsi="Cambria"/>
                <w:sz w:val="22"/>
                <w:szCs w:val="22"/>
              </w:rPr>
              <w:t>0</w:t>
            </w:r>
          </w:p>
        </w:tc>
        <w:tc>
          <w:tcPr>
            <w:tcW w:w="5166" w:type="dxa"/>
          </w:tcPr>
          <w:p w14:paraId="38C0CB05" w14:textId="77777777" w:rsidR="00057357" w:rsidRPr="00A52AB8" w:rsidRDefault="00057357" w:rsidP="004A7026">
            <w:pPr>
              <w:pStyle w:val="TableText"/>
              <w:jc w:val="center"/>
              <w:rPr>
                <w:rFonts w:ascii="Cambria" w:hAnsi="Cambria"/>
                <w:sz w:val="22"/>
                <w:szCs w:val="22"/>
              </w:rPr>
            </w:pPr>
            <w:r w:rsidRPr="00A52AB8">
              <w:rPr>
                <w:rFonts w:ascii="Cambria" w:hAnsi="Cambria"/>
                <w:sz w:val="22"/>
                <w:szCs w:val="22"/>
              </w:rPr>
              <w:t>UNSPECIFIED</w:t>
            </w:r>
          </w:p>
        </w:tc>
      </w:tr>
      <w:tr w:rsidR="00057357" w:rsidRPr="00A52AB8" w14:paraId="0B5D4308" w14:textId="77777777" w:rsidTr="001B0754">
        <w:trPr>
          <w:cantSplit/>
          <w:jc w:val="center"/>
        </w:trPr>
        <w:tc>
          <w:tcPr>
            <w:tcW w:w="1892" w:type="dxa"/>
            <w:vAlign w:val="center"/>
          </w:tcPr>
          <w:p w14:paraId="4DD45929" w14:textId="77777777" w:rsidR="00057357" w:rsidRPr="00A52AB8" w:rsidRDefault="00057357" w:rsidP="001B0754">
            <w:pPr>
              <w:pStyle w:val="TableText"/>
              <w:jc w:val="center"/>
              <w:rPr>
                <w:rFonts w:ascii="Cambria" w:hAnsi="Cambria"/>
                <w:sz w:val="22"/>
                <w:szCs w:val="22"/>
              </w:rPr>
            </w:pPr>
            <w:r w:rsidRPr="00A52AB8">
              <w:rPr>
                <w:rFonts w:ascii="Cambria" w:hAnsi="Cambria"/>
                <w:sz w:val="22"/>
                <w:szCs w:val="22"/>
              </w:rPr>
              <w:t>1</w:t>
            </w:r>
          </w:p>
        </w:tc>
        <w:tc>
          <w:tcPr>
            <w:tcW w:w="5166" w:type="dxa"/>
          </w:tcPr>
          <w:p w14:paraId="666D54DB" w14:textId="77777777" w:rsidR="00057357" w:rsidRPr="00A52AB8" w:rsidRDefault="00057357" w:rsidP="004A7026">
            <w:pPr>
              <w:pStyle w:val="TableText"/>
              <w:jc w:val="center"/>
              <w:rPr>
                <w:rFonts w:ascii="Cambria" w:hAnsi="Cambria"/>
                <w:sz w:val="22"/>
                <w:szCs w:val="22"/>
              </w:rPr>
            </w:pPr>
            <w:r w:rsidRPr="00A52AB8">
              <w:rPr>
                <w:rFonts w:ascii="Cambria" w:hAnsi="Cambria"/>
                <w:sz w:val="22"/>
                <w:szCs w:val="22"/>
              </w:rPr>
              <w:t>Orthographic camera model</w:t>
            </w:r>
          </w:p>
        </w:tc>
      </w:tr>
      <w:tr w:rsidR="00057357" w:rsidRPr="00A52AB8" w14:paraId="1532EDB8" w14:textId="77777777" w:rsidTr="001B0754">
        <w:trPr>
          <w:cantSplit/>
          <w:jc w:val="center"/>
        </w:trPr>
        <w:tc>
          <w:tcPr>
            <w:tcW w:w="1892" w:type="dxa"/>
            <w:vAlign w:val="center"/>
          </w:tcPr>
          <w:p w14:paraId="13E14BD9" w14:textId="77777777" w:rsidR="00057357" w:rsidRPr="00A52AB8" w:rsidRDefault="00057357" w:rsidP="001B0754">
            <w:pPr>
              <w:pStyle w:val="TableText"/>
              <w:jc w:val="center"/>
              <w:rPr>
                <w:rFonts w:ascii="Cambria" w:hAnsi="Cambria"/>
                <w:sz w:val="22"/>
                <w:szCs w:val="22"/>
              </w:rPr>
            </w:pPr>
            <w:r w:rsidRPr="00A52AB8">
              <w:rPr>
                <w:rFonts w:ascii="Cambria" w:hAnsi="Cambria"/>
                <w:sz w:val="22"/>
                <w:szCs w:val="22"/>
              </w:rPr>
              <w:t>2 - 255</w:t>
            </w:r>
          </w:p>
        </w:tc>
        <w:tc>
          <w:tcPr>
            <w:tcW w:w="5166" w:type="dxa"/>
          </w:tcPr>
          <w:p w14:paraId="45277150" w14:textId="77777777" w:rsidR="00057357" w:rsidRPr="00A52AB8" w:rsidRDefault="00057357" w:rsidP="004A7026">
            <w:pPr>
              <w:pStyle w:val="TableText"/>
              <w:jc w:val="center"/>
              <w:rPr>
                <w:rFonts w:ascii="Cambria" w:hAnsi="Cambria"/>
                <w:sz w:val="22"/>
                <w:szCs w:val="22"/>
              </w:rPr>
            </w:pPr>
            <w:r w:rsidRPr="00A52AB8">
              <w:rPr>
                <w:rFonts w:ascii="Cambria" w:hAnsi="Cambria"/>
                <w:sz w:val="22"/>
                <w:szCs w:val="22"/>
              </w:rPr>
              <w:t>RESERVED</w:t>
            </w:r>
          </w:p>
        </w:tc>
      </w:tr>
    </w:tbl>
    <w:p w14:paraId="3A10451B" w14:textId="77777777" w:rsidR="0050235C" w:rsidRPr="00A52AB8" w:rsidRDefault="00057357" w:rsidP="00C86722">
      <w:pPr>
        <w:spacing w:before="120"/>
        <w:rPr>
          <w:bCs/>
          <w:color w:val="000000" w:themeColor="text1"/>
        </w:rPr>
      </w:pPr>
      <w:r w:rsidRPr="00A52AB8">
        <w:rPr>
          <w:b/>
          <w:color w:val="000000" w:themeColor="text1"/>
        </w:rPr>
        <w:t xml:space="preserve">acp_scale_enabled_flag </w:t>
      </w:r>
      <w:r w:rsidRPr="00A52AB8">
        <w:rPr>
          <w:color w:val="000000" w:themeColor="text1"/>
        </w:rPr>
        <w:t>equal to 1 indicates that scale parameters for the current camera model are present. acp_scale_enabled_flag</w:t>
      </w:r>
      <w:r w:rsidRPr="00A52AB8">
        <w:rPr>
          <w:b/>
          <w:color w:val="000000" w:themeColor="text1"/>
        </w:rPr>
        <w:t xml:space="preserve"> </w:t>
      </w:r>
      <w:r w:rsidRPr="00A52AB8">
        <w:rPr>
          <w:color w:val="000000" w:themeColor="text1"/>
        </w:rPr>
        <w:t>equal to 0 indicates that scale parameters for the current camera model are not present. When acp_scale_enabled_flag</w:t>
      </w:r>
      <w:r w:rsidRPr="00A52AB8">
        <w:rPr>
          <w:b/>
          <w:color w:val="000000" w:themeColor="text1"/>
        </w:rPr>
        <w:t xml:space="preserve"> </w:t>
      </w:r>
      <w:r w:rsidRPr="00A52AB8">
        <w:rPr>
          <w:bCs/>
          <w:color w:val="000000" w:themeColor="text1"/>
        </w:rPr>
        <w:t xml:space="preserve">is not present, it shall be inferred to be equal to </w:t>
      </w:r>
      <w:r w:rsidRPr="00A52AB8">
        <w:rPr>
          <w:color w:val="000000" w:themeColor="text1"/>
        </w:rPr>
        <w:t>0</w:t>
      </w:r>
      <w:r w:rsidRPr="00A52AB8">
        <w:rPr>
          <w:bCs/>
          <w:color w:val="000000" w:themeColor="text1"/>
        </w:rPr>
        <w:t>.</w:t>
      </w:r>
    </w:p>
    <w:p w14:paraId="059C7FE3" w14:textId="77777777" w:rsidR="0050235C" w:rsidRPr="00A52AB8" w:rsidRDefault="00057357" w:rsidP="00057357">
      <w:pPr>
        <w:rPr>
          <w:bCs/>
          <w:color w:val="000000" w:themeColor="text1"/>
        </w:rPr>
      </w:pPr>
      <w:r w:rsidRPr="00A52AB8">
        <w:rPr>
          <w:b/>
          <w:color w:val="000000" w:themeColor="text1"/>
        </w:rPr>
        <w:t xml:space="preserve">acp_offset_enabled_flag </w:t>
      </w:r>
      <w:r w:rsidRPr="00A52AB8">
        <w:rPr>
          <w:color w:val="000000" w:themeColor="text1"/>
        </w:rPr>
        <w:t>equal to 1 indicates that offset parameters for the current camera model are present. acp_offset_enabled_flag</w:t>
      </w:r>
      <w:r w:rsidRPr="00A52AB8">
        <w:rPr>
          <w:b/>
          <w:color w:val="000000" w:themeColor="text1"/>
        </w:rPr>
        <w:t xml:space="preserve"> </w:t>
      </w:r>
      <w:r w:rsidRPr="00A52AB8">
        <w:rPr>
          <w:color w:val="000000" w:themeColor="text1"/>
        </w:rPr>
        <w:t>equal to 0 indicates that offset parameters for the current camera model are not present. When acp_offset_enabled_flag</w:t>
      </w:r>
      <w:r w:rsidRPr="00A52AB8">
        <w:rPr>
          <w:b/>
          <w:color w:val="000000" w:themeColor="text1"/>
        </w:rPr>
        <w:t xml:space="preserve"> </w:t>
      </w:r>
      <w:r w:rsidRPr="00A52AB8">
        <w:rPr>
          <w:bCs/>
          <w:color w:val="000000" w:themeColor="text1"/>
        </w:rPr>
        <w:t xml:space="preserve">is not present, it shall be inferred to be equal to </w:t>
      </w:r>
      <w:r w:rsidRPr="00A52AB8">
        <w:rPr>
          <w:color w:val="000000" w:themeColor="text1"/>
        </w:rPr>
        <w:t>0</w:t>
      </w:r>
      <w:r w:rsidRPr="00A52AB8">
        <w:rPr>
          <w:bCs/>
          <w:color w:val="000000" w:themeColor="text1"/>
        </w:rPr>
        <w:t>.</w:t>
      </w:r>
    </w:p>
    <w:p w14:paraId="1E1E33E8" w14:textId="77777777" w:rsidR="0050235C" w:rsidRPr="00A52AB8" w:rsidRDefault="00057357" w:rsidP="00057357">
      <w:pPr>
        <w:rPr>
          <w:bCs/>
          <w:color w:val="000000" w:themeColor="text1"/>
        </w:rPr>
      </w:pPr>
      <w:r w:rsidRPr="00A52AB8">
        <w:rPr>
          <w:b/>
          <w:color w:val="000000" w:themeColor="text1"/>
        </w:rPr>
        <w:t xml:space="preserve">acp_rotation_enabled_flag </w:t>
      </w:r>
      <w:r w:rsidRPr="00A52AB8">
        <w:rPr>
          <w:color w:val="000000" w:themeColor="text1"/>
        </w:rPr>
        <w:t>equal to 1 indicates that rotation parameters for the current camera model are present. acp_rotation_enabled_flag</w:t>
      </w:r>
      <w:r w:rsidRPr="00A52AB8">
        <w:rPr>
          <w:b/>
          <w:color w:val="000000" w:themeColor="text1"/>
        </w:rPr>
        <w:t xml:space="preserve"> </w:t>
      </w:r>
      <w:r w:rsidRPr="00A52AB8">
        <w:rPr>
          <w:color w:val="000000" w:themeColor="text1"/>
        </w:rPr>
        <w:t>equal to 0 indicates that rotation parameters for the current camera model are not present. When acp_rotation_enabled_flag</w:t>
      </w:r>
      <w:r w:rsidRPr="00A52AB8">
        <w:rPr>
          <w:b/>
          <w:color w:val="000000" w:themeColor="text1"/>
        </w:rPr>
        <w:t xml:space="preserve"> </w:t>
      </w:r>
      <w:r w:rsidRPr="00A52AB8">
        <w:rPr>
          <w:bCs/>
          <w:color w:val="000000" w:themeColor="text1"/>
        </w:rPr>
        <w:t xml:space="preserve">is not present, it shall be inferred to be equal to </w:t>
      </w:r>
      <w:r w:rsidRPr="00A52AB8">
        <w:rPr>
          <w:color w:val="000000" w:themeColor="text1"/>
        </w:rPr>
        <w:t>0</w:t>
      </w:r>
      <w:r w:rsidRPr="00A52AB8">
        <w:rPr>
          <w:bCs/>
          <w:color w:val="000000" w:themeColor="text1"/>
        </w:rPr>
        <w:t>.</w:t>
      </w:r>
    </w:p>
    <w:p w14:paraId="654084A0" w14:textId="2D51107B" w:rsidR="00057357" w:rsidRPr="00A52AB8" w:rsidRDefault="00057357" w:rsidP="00057357">
      <w:pPr>
        <w:rPr>
          <w:color w:val="000000" w:themeColor="text1"/>
          <w:lang w:eastAsia="ja-JP"/>
        </w:rPr>
      </w:pPr>
      <w:r w:rsidRPr="00A52AB8">
        <w:rPr>
          <w:b/>
          <w:color w:val="000000" w:themeColor="text1"/>
        </w:rPr>
        <w:t>acp</w:t>
      </w:r>
      <w:r w:rsidRPr="00A52AB8">
        <w:rPr>
          <w:b/>
          <w:bCs/>
          <w:color w:val="000000" w:themeColor="text1"/>
        </w:rPr>
        <w:t>_scale_on_axis</w:t>
      </w:r>
      <w:r w:rsidR="00395064" w:rsidRPr="00A52AB8">
        <w:rPr>
          <w:bCs/>
          <w:color w:val="000000" w:themeColor="text1"/>
        </w:rPr>
        <w:t>[ d ]</w:t>
      </w:r>
      <w:r w:rsidRPr="00A52AB8">
        <w:rPr>
          <w:bCs/>
          <w:color w:val="000000" w:themeColor="text1"/>
        </w:rPr>
        <w:t xml:space="preserve"> specifies the value of the scale, Scale</w:t>
      </w:r>
      <w:r w:rsidR="00395064" w:rsidRPr="00A52AB8">
        <w:rPr>
          <w:bCs/>
          <w:color w:val="000000" w:themeColor="text1"/>
        </w:rPr>
        <w:t>[ d ]</w:t>
      </w:r>
      <w:r w:rsidRPr="00A52AB8">
        <w:rPr>
          <w:bCs/>
          <w:color w:val="000000" w:themeColor="text1"/>
        </w:rPr>
        <w:t xml:space="preserve">, along the d axis for the current camera model in increments of </w:t>
      </w:r>
      <w:r w:rsidRPr="00A52AB8">
        <w:rPr>
          <w:rStyle w:val="fontstyle01"/>
          <w:rFonts w:ascii="Cambria" w:hAnsi="Cambria"/>
          <w:color w:val="000000" w:themeColor="text1"/>
          <w:sz w:val="22"/>
          <w:szCs w:val="22"/>
        </w:rPr>
        <w:t>2</w:t>
      </w:r>
      <w:r w:rsidR="00121B80" w:rsidRPr="00A52AB8">
        <w:rPr>
          <w:rStyle w:val="fontstyle01"/>
          <w:rFonts w:ascii="Cambria" w:hAnsi="Cambria"/>
          <w:color w:val="000000" w:themeColor="text1"/>
          <w:position w:val="6"/>
          <w:sz w:val="22"/>
          <w:szCs w:val="22"/>
          <w:vertAlign w:val="superscript"/>
        </w:rPr>
        <w:t>–1</w:t>
      </w:r>
      <w:r w:rsidR="001F55FA" w:rsidRPr="00A52AB8">
        <w:rPr>
          <w:rStyle w:val="fontstyle01"/>
          <w:rFonts w:ascii="Cambria" w:hAnsi="Cambria"/>
          <w:color w:val="000000" w:themeColor="text1"/>
          <w:position w:val="6"/>
          <w:sz w:val="22"/>
          <w:szCs w:val="22"/>
          <w:vertAlign w:val="superscript"/>
        </w:rPr>
        <w:t>6</w:t>
      </w:r>
      <w:r w:rsidRPr="00A52AB8">
        <w:rPr>
          <w:rStyle w:val="fontstyle01"/>
          <w:rFonts w:ascii="Cambria" w:hAnsi="Cambria"/>
          <w:color w:val="000000" w:themeColor="text1"/>
          <w:sz w:val="22"/>
          <w:szCs w:val="22"/>
        </w:rPr>
        <w:t xml:space="preserve">. The value of d is in the range of 0 to 2, inclusive, with the </w:t>
      </w:r>
      <w:r w:rsidRPr="00A52AB8">
        <w:rPr>
          <w:color w:val="000000" w:themeColor="text1"/>
        </w:rPr>
        <w:t>values of 0, 1, and 2 corresponding to the X, Y, and Z axis, respectively.</w:t>
      </w:r>
      <w:r w:rsidR="00D24766" w:rsidRPr="00A52AB8">
        <w:rPr>
          <w:color w:val="000000" w:themeColor="text1"/>
        </w:rPr>
        <w:t xml:space="preserve"> </w:t>
      </w:r>
      <w:r w:rsidRPr="00A52AB8">
        <w:rPr>
          <w:rStyle w:val="fontstyle01"/>
          <w:rFonts w:ascii="Cambria" w:hAnsi="Cambria"/>
          <w:color w:val="000000" w:themeColor="text1"/>
          <w:sz w:val="22"/>
          <w:szCs w:val="22"/>
        </w:rPr>
        <w:t>The value of acp_scale_on_axis</w:t>
      </w:r>
      <w:r w:rsidR="00395064" w:rsidRPr="00A52AB8">
        <w:rPr>
          <w:rStyle w:val="fontstyle01"/>
          <w:rFonts w:ascii="Cambria" w:hAnsi="Cambria"/>
          <w:color w:val="000000" w:themeColor="text1"/>
          <w:sz w:val="22"/>
          <w:szCs w:val="22"/>
        </w:rPr>
        <w:t>[ d ]</w:t>
      </w:r>
      <w:r w:rsidRPr="00A52AB8">
        <w:rPr>
          <w:rStyle w:val="fontstyle01"/>
          <w:rFonts w:ascii="Cambria" w:hAnsi="Cambria"/>
          <w:color w:val="000000" w:themeColor="text1"/>
          <w:sz w:val="22"/>
          <w:szCs w:val="22"/>
        </w:rPr>
        <w:t>, shall be in the range of 1 to 2</w:t>
      </w:r>
      <w:r w:rsidR="001F55FA" w:rsidRPr="00A52AB8">
        <w:rPr>
          <w:rStyle w:val="fontstyle01"/>
          <w:rFonts w:ascii="Cambria" w:hAnsi="Cambria"/>
          <w:color w:val="000000" w:themeColor="text1"/>
          <w:position w:val="6"/>
          <w:sz w:val="22"/>
          <w:szCs w:val="22"/>
          <w:vertAlign w:val="superscript"/>
        </w:rPr>
        <w:t>32</w:t>
      </w:r>
      <w:r w:rsidRPr="00A52AB8">
        <w:rPr>
          <w:rStyle w:val="fontstyle01"/>
          <w:rFonts w:ascii="Cambria" w:hAnsi="Cambria"/>
          <w:color w:val="000000" w:themeColor="text1"/>
          <w:sz w:val="22"/>
          <w:szCs w:val="22"/>
        </w:rPr>
        <w:t xml:space="preserve"> – 1, inclusive</w:t>
      </w:r>
      <w:r w:rsidR="00B9162A" w:rsidRPr="00A52AB8">
        <w:rPr>
          <w:rStyle w:val="fontstyle01"/>
          <w:rFonts w:ascii="Cambria" w:hAnsi="Cambria"/>
          <w:color w:val="000000" w:themeColor="text1"/>
          <w:sz w:val="22"/>
          <w:szCs w:val="22"/>
        </w:rPr>
        <w:t>.</w:t>
      </w:r>
      <w:r w:rsidRPr="00A52AB8">
        <w:rPr>
          <w:rStyle w:val="fontstyle01"/>
          <w:rFonts w:ascii="Cambria" w:hAnsi="Cambria"/>
          <w:color w:val="000000" w:themeColor="text1"/>
          <w:sz w:val="22"/>
          <w:szCs w:val="22"/>
        </w:rPr>
        <w:t xml:space="preserve"> </w:t>
      </w:r>
      <w:r w:rsidRPr="00A52AB8">
        <w:rPr>
          <w:color w:val="000000" w:themeColor="text1"/>
        </w:rPr>
        <w:t xml:space="preserve">When </w:t>
      </w:r>
      <w:r w:rsidRPr="00A52AB8">
        <w:rPr>
          <w:rStyle w:val="fontstyle01"/>
          <w:rFonts w:ascii="Cambria" w:hAnsi="Cambria"/>
          <w:color w:val="000000" w:themeColor="text1"/>
          <w:sz w:val="22"/>
          <w:szCs w:val="22"/>
        </w:rPr>
        <w:t>acp_scale_on_axis</w:t>
      </w:r>
      <w:r w:rsidR="00395064" w:rsidRPr="00A52AB8">
        <w:rPr>
          <w:rStyle w:val="fontstyle01"/>
          <w:rFonts w:ascii="Cambria" w:hAnsi="Cambria"/>
          <w:color w:val="000000" w:themeColor="text1"/>
          <w:sz w:val="22"/>
          <w:szCs w:val="22"/>
        </w:rPr>
        <w:t>[ d ]</w:t>
      </w:r>
      <w:r w:rsidRPr="00A52AB8">
        <w:rPr>
          <w:color w:val="000000" w:themeColor="text1"/>
        </w:rPr>
        <w:t xml:space="preserve"> is not present, it shall be inferred to be equal to </w:t>
      </w:r>
      <w:r w:rsidRPr="00A52AB8">
        <w:rPr>
          <w:rStyle w:val="fontstyle01"/>
          <w:rFonts w:ascii="Cambria" w:hAnsi="Cambria"/>
          <w:color w:val="000000" w:themeColor="text1"/>
          <w:sz w:val="22"/>
          <w:szCs w:val="22"/>
        </w:rPr>
        <w:t>2</w:t>
      </w:r>
      <w:r w:rsidR="001F55FA" w:rsidRPr="00A52AB8">
        <w:rPr>
          <w:rStyle w:val="fontstyle01"/>
          <w:rFonts w:ascii="Cambria" w:hAnsi="Cambria"/>
          <w:color w:val="000000" w:themeColor="text1"/>
          <w:position w:val="6"/>
          <w:sz w:val="22"/>
          <w:szCs w:val="22"/>
          <w:vertAlign w:val="superscript"/>
        </w:rPr>
        <w:t>16</w:t>
      </w:r>
      <w:r w:rsidRPr="00A52AB8">
        <w:rPr>
          <w:color w:val="000000" w:themeColor="text1"/>
        </w:rPr>
        <w:t xml:space="preserve">. </w:t>
      </w:r>
      <w:r w:rsidRPr="00A52AB8">
        <w:rPr>
          <w:color w:val="000000" w:themeColor="text1"/>
          <w:lang w:eastAsia="ja-JP"/>
        </w:rPr>
        <w:t xml:space="preserve">The value of </w:t>
      </w:r>
      <w:r w:rsidRPr="00A52AB8">
        <w:rPr>
          <w:bCs/>
          <w:color w:val="000000" w:themeColor="text1"/>
        </w:rPr>
        <w:t>Scale</w:t>
      </w:r>
      <w:r w:rsidR="00395064" w:rsidRPr="00A52AB8">
        <w:rPr>
          <w:bCs/>
          <w:color w:val="000000" w:themeColor="text1"/>
        </w:rPr>
        <w:t>[ d ]</w:t>
      </w:r>
      <w:r w:rsidRPr="00A52AB8">
        <w:rPr>
          <w:bCs/>
          <w:color w:val="000000" w:themeColor="text1"/>
        </w:rPr>
        <w:t xml:space="preserve"> </w:t>
      </w:r>
      <w:r w:rsidRPr="00A52AB8">
        <w:rPr>
          <w:color w:val="000000" w:themeColor="text1"/>
          <w:lang w:eastAsia="ja-JP"/>
        </w:rPr>
        <w:t>is computed as follows:</w:t>
      </w:r>
    </w:p>
    <w:p w14:paraId="772CD29A" w14:textId="3F31501C" w:rsidR="00057357" w:rsidRPr="00A52AB8" w:rsidRDefault="00057357" w:rsidP="00057357">
      <w:pPr>
        <w:rPr>
          <w:color w:val="000000" w:themeColor="text1"/>
          <w:vertAlign w:val="superscript"/>
        </w:rPr>
      </w:pPr>
      <w:r w:rsidRPr="00A52AB8">
        <w:rPr>
          <w:color w:val="000000" w:themeColor="text1"/>
          <w:lang w:eastAsia="ja-JP"/>
        </w:rPr>
        <w:tab/>
      </w:r>
      <w:r w:rsidRPr="00A52AB8">
        <w:rPr>
          <w:bCs/>
          <w:color w:val="000000" w:themeColor="text1"/>
        </w:rPr>
        <w:t>Scale</w:t>
      </w:r>
      <w:r w:rsidR="00395064" w:rsidRPr="00A52AB8">
        <w:rPr>
          <w:bCs/>
          <w:color w:val="000000" w:themeColor="text1"/>
        </w:rPr>
        <w:t>[ d ]</w:t>
      </w:r>
      <w:r w:rsidR="00D47707" w:rsidRPr="00A52AB8">
        <w:rPr>
          <w:bCs/>
          <w:color w:val="000000" w:themeColor="text1"/>
        </w:rPr>
        <w:t> </w:t>
      </w:r>
      <w:r w:rsidR="00D47707" w:rsidRPr="00A52AB8">
        <w:rPr>
          <w:color w:val="000000" w:themeColor="text1"/>
          <w:lang w:eastAsia="ja-JP"/>
        </w:rPr>
        <w:t>= </w:t>
      </w:r>
      <w:r w:rsidRPr="00A52AB8">
        <w:rPr>
          <w:bCs/>
          <w:color w:val="000000" w:themeColor="text1"/>
        </w:rPr>
        <w:t>acp_scale_on_axis</w:t>
      </w:r>
      <w:r w:rsidR="00395064" w:rsidRPr="00A52AB8">
        <w:rPr>
          <w:bCs/>
          <w:color w:val="000000" w:themeColor="text1"/>
        </w:rPr>
        <w:t>[ d ]</w:t>
      </w:r>
      <w:r w:rsidRPr="00A52AB8">
        <w:rPr>
          <w:bCs/>
          <w:color w:val="000000" w:themeColor="text1"/>
        </w:rPr>
        <w:t> </w:t>
      </w:r>
      <w:r w:rsidRPr="00A52AB8">
        <w:rPr>
          <w:rFonts w:cs="Symbol"/>
          <w:color w:val="000000" w:themeColor="text1"/>
        </w:rPr>
        <w:sym w:font="Symbol" w:char="F0B8"/>
      </w:r>
      <w:r w:rsidRPr="00A52AB8">
        <w:rPr>
          <w:color w:val="000000" w:themeColor="text1"/>
          <w:lang w:eastAsia="ja-JP"/>
        </w:rPr>
        <w:t> </w:t>
      </w:r>
      <w:r w:rsidRPr="00A52AB8">
        <w:rPr>
          <w:rStyle w:val="fontstyle01"/>
          <w:rFonts w:ascii="Cambria" w:hAnsi="Cambria"/>
          <w:color w:val="000000" w:themeColor="text1"/>
          <w:sz w:val="22"/>
          <w:szCs w:val="22"/>
        </w:rPr>
        <w:t>2</w:t>
      </w:r>
      <w:r w:rsidR="00774B03" w:rsidRPr="00A52AB8">
        <w:rPr>
          <w:rStyle w:val="fontstyle01"/>
          <w:rFonts w:ascii="Cambria" w:hAnsi="Cambria"/>
          <w:color w:val="000000" w:themeColor="text1"/>
          <w:position w:val="6"/>
          <w:sz w:val="22"/>
          <w:szCs w:val="22"/>
          <w:vertAlign w:val="superscript"/>
        </w:rPr>
        <w:t>16</w:t>
      </w:r>
    </w:p>
    <w:p w14:paraId="0D984E0B" w14:textId="77777777" w:rsidR="00057357" w:rsidRPr="00A52AB8" w:rsidRDefault="00057357" w:rsidP="00057357">
      <w:pPr>
        <w:rPr>
          <w:bCs/>
        </w:rPr>
      </w:pPr>
      <w:r w:rsidRPr="00A52AB8">
        <w:rPr>
          <w:bCs/>
        </w:rPr>
        <w:t>A ScaleMatrix can be represented as follows:</w:t>
      </w:r>
    </w:p>
    <w:p w14:paraId="26F6A549" w14:textId="77777777" w:rsidR="00057357" w:rsidRPr="00A52AB8" w:rsidRDefault="00057357" w:rsidP="00057357">
      <w:pPr>
        <w:rPr>
          <w:color w:val="000000" w:themeColor="text1"/>
        </w:rPr>
      </w:pPr>
      <m:oMathPara>
        <m:oMath>
          <m:r>
            <m:rPr>
              <m:sty m:val="p"/>
            </m:rPr>
            <w:rPr>
              <w:rFonts w:ascii="Cambria Math" w:hAnsi="Cambria Math"/>
              <w:color w:val="000000" w:themeColor="text1"/>
            </w:rPr>
            <m:t>ScaleMatrix</m:t>
          </m:r>
          <m:r>
            <w:rPr>
              <w:rFonts w:ascii="Cambria Math" w:hAnsi="Cambria Math"/>
              <w:color w:val="000000" w:themeColor="text1"/>
            </w:rPr>
            <m:t>=</m:t>
          </m:r>
          <m:d>
            <m:dPr>
              <m:begChr m:val="["/>
              <m:endChr m:val="]"/>
              <m:ctrlPr>
                <w:rPr>
                  <w:rFonts w:ascii="Cambria Math" w:hAnsi="Cambria Math"/>
                  <w:i/>
                  <w:color w:val="000000" w:themeColor="text1"/>
                </w:rPr>
              </m:ctrlPr>
            </m:dPr>
            <m:e>
              <m:m>
                <m:mPr>
                  <m:mcs>
                    <m:mc>
                      <m:mcPr>
                        <m:count m:val="4"/>
                        <m:mcJc m:val="center"/>
                      </m:mcPr>
                    </m:mc>
                  </m:mcs>
                  <m:ctrlPr>
                    <w:rPr>
                      <w:rFonts w:ascii="Cambria Math" w:hAnsi="Cambria Math"/>
                      <w:i/>
                      <w:color w:val="000000" w:themeColor="text1"/>
                    </w:rPr>
                  </m:ctrlPr>
                </m:mPr>
                <m:mr>
                  <m:e>
                    <m:r>
                      <m:rPr>
                        <m:sty m:val="p"/>
                      </m:rPr>
                      <w:rPr>
                        <w:rFonts w:ascii="Cambria Math" w:hAnsi="Cambria Math"/>
                        <w:color w:val="000000" w:themeColor="text1"/>
                      </w:rPr>
                      <m:t>Scale[0]</m:t>
                    </m:r>
                  </m:e>
                  <m:e>
                    <m:r>
                      <w:rPr>
                        <w:rFonts w:ascii="Cambria Math" w:hAnsi="Cambria Math"/>
                        <w:color w:val="000000" w:themeColor="text1"/>
                      </w:rPr>
                      <m:t>0</m:t>
                    </m:r>
                  </m:e>
                  <m:e>
                    <m:r>
                      <w:rPr>
                        <w:rFonts w:ascii="Cambria Math" w:hAnsi="Cambria Math"/>
                        <w:color w:val="000000" w:themeColor="text1"/>
                      </w:rPr>
                      <m:t>0</m:t>
                    </m:r>
                  </m:e>
                  <m:e>
                    <m:r>
                      <w:rPr>
                        <w:rFonts w:ascii="Cambria Math" w:hAnsi="Cambria Math"/>
                        <w:color w:val="000000" w:themeColor="text1"/>
                      </w:rPr>
                      <m:t>0</m:t>
                    </m:r>
                    <m:ctrlPr>
                      <w:rPr>
                        <w:rFonts w:ascii="Cambria Math" w:eastAsia="Times New Roman" w:hAnsi="Cambria Math"/>
                        <w:i/>
                        <w:color w:val="000000" w:themeColor="text1"/>
                      </w:rPr>
                    </m:ctrlPr>
                  </m:e>
                </m:mr>
                <m:mr>
                  <m:e>
                    <m:r>
                      <w:rPr>
                        <w:rFonts w:ascii="Cambria Math" w:hAnsi="Cambria Math"/>
                        <w:color w:val="000000" w:themeColor="text1"/>
                      </w:rPr>
                      <m:t>0</m:t>
                    </m:r>
                  </m:e>
                  <m:e>
                    <m:r>
                      <m:rPr>
                        <m:sty m:val="p"/>
                      </m:rPr>
                      <w:rPr>
                        <w:rFonts w:ascii="Cambria Math" w:hAnsi="Cambria Math"/>
                        <w:color w:val="000000" w:themeColor="text1"/>
                      </w:rPr>
                      <m:t>Scale[1]</m:t>
                    </m:r>
                  </m:e>
                  <m:e>
                    <m:r>
                      <w:rPr>
                        <w:rFonts w:ascii="Cambria Math" w:hAnsi="Cambria Math"/>
                        <w:color w:val="000000" w:themeColor="text1"/>
                      </w:rPr>
                      <m:t>0</m:t>
                    </m:r>
                  </m:e>
                  <m:e>
                    <m:r>
                      <w:rPr>
                        <w:rFonts w:ascii="Cambria Math" w:hAnsi="Cambria Math"/>
                        <w:color w:val="000000" w:themeColor="text1"/>
                      </w:rPr>
                      <m:t>0</m:t>
                    </m:r>
                    <m:ctrlPr>
                      <w:rPr>
                        <w:rFonts w:ascii="Cambria Math" w:eastAsia="Times New Roman" w:hAnsi="Cambria Math"/>
                        <w:i/>
                        <w:color w:val="000000" w:themeColor="text1"/>
                      </w:rPr>
                    </m:ctrlPr>
                  </m:e>
                </m:mr>
                <m:mr>
                  <m:e>
                    <m:r>
                      <w:rPr>
                        <w:rFonts w:ascii="Cambria Math" w:hAnsi="Cambria Math"/>
                        <w:color w:val="000000" w:themeColor="text1"/>
                      </w:rPr>
                      <m:t>0</m:t>
                    </m:r>
                  </m:e>
                  <m:e>
                    <m:r>
                      <w:rPr>
                        <w:rFonts w:ascii="Cambria Math" w:hAnsi="Cambria Math"/>
                        <w:color w:val="000000" w:themeColor="text1"/>
                      </w:rPr>
                      <m:t>0</m:t>
                    </m:r>
                  </m:e>
                  <m:e>
                    <m:r>
                      <m:rPr>
                        <m:sty m:val="p"/>
                      </m:rPr>
                      <w:rPr>
                        <w:rFonts w:ascii="Cambria Math" w:hAnsi="Cambria Math"/>
                        <w:color w:val="000000" w:themeColor="text1"/>
                      </w:rPr>
                      <m:t>Scale[2]</m:t>
                    </m:r>
                    <m:ctrlPr>
                      <w:rPr>
                        <w:rFonts w:ascii="Cambria Math" w:eastAsia="Times New Roman" w:hAnsi="Cambria Math"/>
                        <w:color w:val="000000" w:themeColor="text1"/>
                      </w:rPr>
                    </m:ctrlPr>
                  </m:e>
                  <m:e>
                    <m:r>
                      <w:rPr>
                        <w:rFonts w:ascii="Cambria Math" w:eastAsia="Times New Roman" w:hAnsi="Cambria Math" w:cs="Cambria Math"/>
                        <w:color w:val="000000" w:themeColor="text1"/>
                      </w:rPr>
                      <m:t>0</m:t>
                    </m:r>
                    <m:ctrlPr>
                      <w:rPr>
                        <w:rFonts w:ascii="Cambria Math" w:eastAsia="Times New Roman" w:hAnsi="Cambria Math"/>
                        <w:i/>
                        <w:color w:val="000000" w:themeColor="text1"/>
                      </w:rPr>
                    </m:ctrlPr>
                  </m:e>
                </m:mr>
                <m:mr>
                  <m:e>
                    <m:r>
                      <w:rPr>
                        <w:rFonts w:ascii="Cambria Math" w:eastAsia="Times New Roman" w:hAnsi="Cambria Math" w:cs="Cambria Math"/>
                        <w:color w:val="000000" w:themeColor="text1"/>
                      </w:rPr>
                      <m:t>0</m:t>
                    </m:r>
                    <m:ctrlPr>
                      <w:rPr>
                        <w:rFonts w:ascii="Cambria Math" w:eastAsia="Times New Roman" w:hAnsi="Cambria Math"/>
                        <w:color w:val="000000" w:themeColor="text1"/>
                      </w:rPr>
                    </m:ctrlPr>
                  </m:e>
                  <m:e>
                    <m:r>
                      <w:rPr>
                        <w:rFonts w:ascii="Cambria Math" w:eastAsia="Times New Roman" w:hAnsi="Cambria Math" w:cs="Cambria Math"/>
                        <w:color w:val="000000" w:themeColor="text1"/>
                      </w:rPr>
                      <m:t>0</m:t>
                    </m:r>
                    <m:ctrlPr>
                      <w:rPr>
                        <w:rFonts w:ascii="Cambria Math" w:eastAsia="Times New Roman" w:hAnsi="Cambria Math"/>
                        <w:color w:val="000000" w:themeColor="text1"/>
                      </w:rPr>
                    </m:ctrlPr>
                  </m:e>
                  <m:e>
                    <m:r>
                      <w:rPr>
                        <w:rFonts w:ascii="Cambria Math" w:eastAsia="Times New Roman" w:hAnsi="Cambria Math" w:cs="Cambria Math"/>
                        <w:color w:val="000000" w:themeColor="text1"/>
                      </w:rPr>
                      <m:t>0</m:t>
                    </m:r>
                    <m:ctrlPr>
                      <w:rPr>
                        <w:rFonts w:ascii="Cambria Math" w:eastAsia="Times New Roman" w:hAnsi="Cambria Math"/>
                        <w:i/>
                        <w:color w:val="000000" w:themeColor="text1"/>
                      </w:rPr>
                    </m:ctrlPr>
                  </m:e>
                  <m:e>
                    <m:r>
                      <w:rPr>
                        <w:rFonts w:ascii="Cambria Math" w:eastAsia="Times New Roman" w:hAnsi="Cambria Math" w:cs="Cambria Math"/>
                        <w:color w:val="000000" w:themeColor="text1"/>
                      </w:rPr>
                      <m:t>1</m:t>
                    </m:r>
                  </m:e>
                </m:mr>
              </m:m>
            </m:e>
          </m:d>
        </m:oMath>
      </m:oMathPara>
    </w:p>
    <w:p w14:paraId="5F2F9837" w14:textId="3BB6AF51" w:rsidR="00057357" w:rsidRPr="00A52AB8" w:rsidRDefault="00057357" w:rsidP="00057357">
      <w:pPr>
        <w:rPr>
          <w:color w:val="000000" w:themeColor="text1"/>
        </w:rPr>
      </w:pPr>
      <w:r w:rsidRPr="00A52AB8">
        <w:rPr>
          <w:b/>
          <w:color w:val="000000" w:themeColor="text1"/>
        </w:rPr>
        <w:t>acp_</w:t>
      </w:r>
      <w:r w:rsidRPr="00A52AB8">
        <w:rPr>
          <w:b/>
          <w:bCs/>
          <w:color w:val="000000" w:themeColor="text1"/>
        </w:rPr>
        <w:t>offset_on_axis</w:t>
      </w:r>
      <w:r w:rsidR="00395064" w:rsidRPr="00A52AB8">
        <w:rPr>
          <w:rStyle w:val="fontstyle01"/>
          <w:rFonts w:ascii="Cambria" w:hAnsi="Cambria"/>
          <w:color w:val="000000" w:themeColor="text1"/>
          <w:sz w:val="22"/>
          <w:szCs w:val="22"/>
        </w:rPr>
        <w:t>[ d ]</w:t>
      </w:r>
      <w:r w:rsidRPr="00A52AB8">
        <w:rPr>
          <w:b/>
          <w:bCs/>
          <w:color w:val="000000" w:themeColor="text1"/>
        </w:rPr>
        <w:t xml:space="preserve"> </w:t>
      </w:r>
      <w:r w:rsidRPr="00A52AB8">
        <w:rPr>
          <w:bCs/>
          <w:color w:val="000000" w:themeColor="text1"/>
        </w:rPr>
        <w:t>indicates the value of the offset, Offset[d], along the d axis for the current camera model</w:t>
      </w:r>
      <w:r w:rsidR="00CC36A0" w:rsidRPr="00A52AB8">
        <w:rPr>
          <w:bCs/>
          <w:color w:val="000000" w:themeColor="text1"/>
        </w:rPr>
        <w:t xml:space="preserve"> in increments of </w:t>
      </w:r>
      <w:r w:rsidR="00121B80" w:rsidRPr="00A52AB8">
        <w:rPr>
          <w:rStyle w:val="fontstyle01"/>
          <w:rFonts w:ascii="Cambria" w:hAnsi="Cambria"/>
          <w:color w:val="000000" w:themeColor="text1"/>
          <w:sz w:val="22"/>
          <w:szCs w:val="22"/>
        </w:rPr>
        <w:t>2</w:t>
      </w:r>
      <w:r w:rsidR="00121B80" w:rsidRPr="00A52AB8">
        <w:rPr>
          <w:rStyle w:val="fontstyle01"/>
          <w:rFonts w:ascii="Cambria" w:hAnsi="Cambria"/>
          <w:color w:val="000000" w:themeColor="text1"/>
          <w:position w:val="6"/>
          <w:sz w:val="22"/>
          <w:szCs w:val="22"/>
          <w:vertAlign w:val="superscript"/>
        </w:rPr>
        <w:t>–16</w:t>
      </w:r>
      <w:r w:rsidRPr="00A52AB8">
        <w:rPr>
          <w:rStyle w:val="fontstyle01"/>
          <w:rFonts w:ascii="Cambria" w:hAnsi="Cambria"/>
          <w:color w:val="000000" w:themeColor="text1"/>
          <w:sz w:val="22"/>
          <w:szCs w:val="22"/>
        </w:rPr>
        <w:t>. The value of acp_offset_on_axis</w:t>
      </w:r>
      <w:r w:rsidR="00395064" w:rsidRPr="00A52AB8">
        <w:rPr>
          <w:rStyle w:val="fontstyle01"/>
          <w:rFonts w:ascii="Cambria" w:hAnsi="Cambria"/>
          <w:color w:val="000000" w:themeColor="text1"/>
          <w:sz w:val="22"/>
          <w:szCs w:val="22"/>
        </w:rPr>
        <w:t>[ d ]</w:t>
      </w:r>
      <w:r w:rsidRPr="00A52AB8">
        <w:rPr>
          <w:rStyle w:val="fontstyle01"/>
          <w:rFonts w:ascii="Cambria" w:hAnsi="Cambria"/>
          <w:color w:val="000000" w:themeColor="text1"/>
          <w:sz w:val="22"/>
          <w:szCs w:val="22"/>
        </w:rPr>
        <w:t xml:space="preserve"> shall be in the range of −2</w:t>
      </w:r>
      <w:r w:rsidR="001F55FA" w:rsidRPr="00A52AB8">
        <w:rPr>
          <w:rStyle w:val="fontstyle01"/>
          <w:rFonts w:ascii="Cambria" w:hAnsi="Cambria"/>
          <w:color w:val="000000" w:themeColor="text1"/>
          <w:position w:val="6"/>
          <w:sz w:val="22"/>
          <w:szCs w:val="22"/>
          <w:vertAlign w:val="superscript"/>
        </w:rPr>
        <w:t>31</w:t>
      </w:r>
      <w:r w:rsidRPr="00A52AB8">
        <w:rPr>
          <w:rStyle w:val="fontstyle01"/>
          <w:rFonts w:ascii="Cambria" w:hAnsi="Cambria"/>
          <w:color w:val="000000" w:themeColor="text1"/>
          <w:sz w:val="22"/>
          <w:szCs w:val="22"/>
        </w:rPr>
        <w:t xml:space="preserve"> to 2</w:t>
      </w:r>
      <w:r w:rsidR="001F55FA" w:rsidRPr="00A52AB8">
        <w:rPr>
          <w:rStyle w:val="fontstyle01"/>
          <w:rFonts w:ascii="Cambria" w:hAnsi="Cambria"/>
          <w:color w:val="000000" w:themeColor="text1"/>
          <w:position w:val="6"/>
          <w:sz w:val="22"/>
          <w:szCs w:val="22"/>
          <w:vertAlign w:val="superscript"/>
        </w:rPr>
        <w:t>31</w:t>
      </w:r>
      <w:r w:rsidRPr="00A52AB8">
        <w:rPr>
          <w:rStyle w:val="fontstyle01"/>
          <w:rFonts w:ascii="Cambria" w:hAnsi="Cambria"/>
          <w:color w:val="000000" w:themeColor="text1"/>
          <w:sz w:val="22"/>
          <w:szCs w:val="22"/>
        </w:rPr>
        <w:t xml:space="preserve"> − 1, inclusive, where d is in the range of 0 to 2, inclusive. The values of d equal to</w:t>
      </w:r>
      <w:r w:rsidRPr="00A52AB8">
        <w:rPr>
          <w:color w:val="000000" w:themeColor="text1"/>
        </w:rPr>
        <w:t xml:space="preserve"> 0, 1, and 2 correspond to the X, Y, and Z axis, respectively. When </w:t>
      </w:r>
      <w:r w:rsidRPr="00A52AB8">
        <w:rPr>
          <w:rStyle w:val="fontstyle01"/>
          <w:rFonts w:ascii="Cambria" w:hAnsi="Cambria"/>
          <w:color w:val="000000" w:themeColor="text1"/>
          <w:sz w:val="22"/>
          <w:szCs w:val="22"/>
        </w:rPr>
        <w:t>acp_offset_on_axis</w:t>
      </w:r>
      <w:r w:rsidR="00395064" w:rsidRPr="00A52AB8">
        <w:rPr>
          <w:rStyle w:val="fontstyle01"/>
          <w:rFonts w:ascii="Cambria" w:hAnsi="Cambria"/>
          <w:color w:val="000000" w:themeColor="text1"/>
          <w:sz w:val="22"/>
          <w:szCs w:val="22"/>
        </w:rPr>
        <w:t>[ d ]</w:t>
      </w:r>
      <w:r w:rsidRPr="00A52AB8">
        <w:rPr>
          <w:color w:val="000000" w:themeColor="text1"/>
        </w:rPr>
        <w:t xml:space="preserve"> is not present, it shall be inferred to be equal to </w:t>
      </w:r>
      <w:r w:rsidRPr="00A52AB8">
        <w:rPr>
          <w:rStyle w:val="fontstyle01"/>
          <w:rFonts w:ascii="Cambria" w:hAnsi="Cambria"/>
          <w:color w:val="000000" w:themeColor="text1"/>
          <w:sz w:val="22"/>
          <w:szCs w:val="22"/>
        </w:rPr>
        <w:t>0</w:t>
      </w:r>
      <w:r w:rsidRPr="00A52AB8">
        <w:rPr>
          <w:color w:val="000000" w:themeColor="text1"/>
        </w:rPr>
        <w:t>.</w:t>
      </w:r>
    </w:p>
    <w:p w14:paraId="3D1C074A" w14:textId="57D54022" w:rsidR="00CC36A0" w:rsidRPr="00A52AB8" w:rsidRDefault="00CC36A0" w:rsidP="00057357">
      <w:pPr>
        <w:rPr>
          <w:color w:val="000000" w:themeColor="text1"/>
          <w:vertAlign w:val="superscript"/>
        </w:rPr>
      </w:pPr>
      <w:r w:rsidRPr="00A52AB8">
        <w:rPr>
          <w:color w:val="000000" w:themeColor="text1"/>
          <w:lang w:eastAsia="ja-JP"/>
        </w:rPr>
        <w:tab/>
      </w:r>
      <w:r w:rsidRPr="00A52AB8">
        <w:rPr>
          <w:bCs/>
          <w:color w:val="000000" w:themeColor="text1"/>
        </w:rPr>
        <w:t>Offset[ d ] </w:t>
      </w:r>
      <w:r w:rsidRPr="00A52AB8">
        <w:rPr>
          <w:color w:val="000000" w:themeColor="text1"/>
          <w:lang w:eastAsia="ja-JP"/>
        </w:rPr>
        <w:t>= </w:t>
      </w:r>
      <w:r w:rsidRPr="00A52AB8">
        <w:rPr>
          <w:bCs/>
          <w:color w:val="000000" w:themeColor="text1"/>
        </w:rPr>
        <w:t>acp_offset_on_axis[ d ] </w:t>
      </w:r>
      <w:r w:rsidRPr="00A52AB8">
        <w:rPr>
          <w:rFonts w:cs="Symbol"/>
          <w:color w:val="000000" w:themeColor="text1"/>
        </w:rPr>
        <w:sym w:font="Symbol" w:char="F0B8"/>
      </w:r>
      <w:r w:rsidRPr="00A52AB8">
        <w:rPr>
          <w:color w:val="000000" w:themeColor="text1"/>
          <w:lang w:eastAsia="ja-JP"/>
        </w:rPr>
        <w:t> </w:t>
      </w:r>
      <w:r w:rsidRPr="00A52AB8">
        <w:rPr>
          <w:rStyle w:val="fontstyle01"/>
          <w:rFonts w:ascii="Cambria" w:hAnsi="Cambria"/>
          <w:color w:val="000000" w:themeColor="text1"/>
          <w:sz w:val="22"/>
          <w:szCs w:val="22"/>
        </w:rPr>
        <w:t>2</w:t>
      </w:r>
      <w:r w:rsidRPr="00A52AB8">
        <w:rPr>
          <w:rStyle w:val="fontstyle01"/>
          <w:rFonts w:ascii="Cambria" w:hAnsi="Cambria"/>
          <w:color w:val="000000" w:themeColor="text1"/>
          <w:position w:val="6"/>
          <w:sz w:val="22"/>
          <w:szCs w:val="22"/>
          <w:vertAlign w:val="superscript"/>
        </w:rPr>
        <w:t>16</w:t>
      </w:r>
    </w:p>
    <w:p w14:paraId="3FEF66BF" w14:textId="77777777" w:rsidR="00057357" w:rsidRPr="00A52AB8" w:rsidRDefault="00057357" w:rsidP="00057357">
      <w:pPr>
        <w:rPr>
          <w:bCs/>
        </w:rPr>
      </w:pPr>
      <w:r w:rsidRPr="00A52AB8">
        <w:rPr>
          <w:bCs/>
        </w:rPr>
        <w:t>An offset matrix can be represented as follows:</w:t>
      </w:r>
    </w:p>
    <w:p w14:paraId="5E459563" w14:textId="64869381" w:rsidR="00057357" w:rsidRPr="00A52AB8" w:rsidRDefault="00057357" w:rsidP="00057357">
      <w:pPr>
        <w:rPr>
          <w:color w:val="000000" w:themeColor="text1"/>
        </w:rPr>
      </w:pPr>
      <m:oMathPara>
        <m:oMath>
          <m:r>
            <m:rPr>
              <m:sty m:val="p"/>
            </m:rPr>
            <w:rPr>
              <w:rFonts w:ascii="Cambria Math" w:hAnsi="Cambria Math"/>
              <w:color w:val="000000" w:themeColor="text1"/>
            </w:rPr>
            <m:t>OffsetMatrix</m:t>
          </m:r>
          <m:r>
            <w:rPr>
              <w:rFonts w:ascii="Cambria Math" w:hAnsi="Cambria Math"/>
              <w:color w:val="000000" w:themeColor="text1"/>
            </w:rPr>
            <m:t> = </m:t>
          </m:r>
          <m:d>
            <m:dPr>
              <m:begChr m:val="["/>
              <m:endChr m:val="]"/>
              <m:ctrlPr>
                <w:rPr>
                  <w:rFonts w:ascii="Cambria Math" w:hAnsi="Cambria Math"/>
                  <w:i/>
                  <w:color w:val="000000" w:themeColor="text1"/>
                </w:rPr>
              </m:ctrlPr>
            </m:dPr>
            <m:e>
              <m:m>
                <m:mPr>
                  <m:mcs>
                    <m:mc>
                      <m:mcPr>
                        <m:count m:val="4"/>
                        <m:mcJc m:val="center"/>
                      </m:mcPr>
                    </m:mc>
                  </m:mcs>
                  <m:ctrlPr>
                    <w:rPr>
                      <w:rFonts w:ascii="Cambria Math" w:hAnsi="Cambria Math"/>
                      <w:i/>
                      <w:color w:val="000000" w:themeColor="text1"/>
                    </w:rPr>
                  </m:ctrlPr>
                </m:mPr>
                <m:mr>
                  <m:e>
                    <m:r>
                      <w:rPr>
                        <w:rFonts w:ascii="Cambria Math" w:hAnsi="Cambria Math"/>
                        <w:color w:val="000000" w:themeColor="text1"/>
                      </w:rPr>
                      <m:t>1</m:t>
                    </m:r>
                  </m:e>
                  <m:e>
                    <m:r>
                      <w:rPr>
                        <w:rFonts w:ascii="Cambria Math" w:hAnsi="Cambria Math"/>
                        <w:color w:val="000000" w:themeColor="text1"/>
                      </w:rPr>
                      <m:t>0</m:t>
                    </m:r>
                  </m:e>
                  <m:e>
                    <m:r>
                      <w:rPr>
                        <w:rFonts w:ascii="Cambria Math" w:hAnsi="Cambria Math"/>
                        <w:color w:val="000000" w:themeColor="text1"/>
                      </w:rPr>
                      <m:t>0</m:t>
                    </m:r>
                  </m:e>
                  <m:e>
                    <m:r>
                      <m:rPr>
                        <m:sty m:val="p"/>
                      </m:rPr>
                      <w:rPr>
                        <w:rFonts w:ascii="Cambria Math" w:hAnsi="Cambria Math"/>
                        <w:color w:val="000000" w:themeColor="text1"/>
                      </w:rPr>
                      <m:t>Offset[0]</m:t>
                    </m:r>
                    <m:ctrlPr>
                      <w:rPr>
                        <w:rFonts w:ascii="Cambria Math" w:eastAsia="Times New Roman" w:hAnsi="Cambria Math"/>
                        <w:i/>
                        <w:color w:val="000000" w:themeColor="text1"/>
                      </w:rPr>
                    </m:ctrlPr>
                  </m:e>
                </m:mr>
                <m:mr>
                  <m:e>
                    <m:r>
                      <w:rPr>
                        <w:rFonts w:ascii="Cambria Math" w:eastAsia="Times New Roman" w:hAnsi="Cambria Math" w:cs="Cambria Math"/>
                        <w:color w:val="000000" w:themeColor="text1"/>
                      </w:rPr>
                      <m:t>0</m:t>
                    </m:r>
                  </m:e>
                  <m:e>
                    <m:r>
                      <w:rPr>
                        <w:rFonts w:ascii="Cambria Math" w:hAnsi="Cambria Math"/>
                        <w:color w:val="000000" w:themeColor="text1"/>
                      </w:rPr>
                      <m:t>1</m:t>
                    </m:r>
                  </m:e>
                  <m:e>
                    <m:r>
                      <w:rPr>
                        <w:rFonts w:ascii="Cambria Math" w:hAnsi="Cambria Math"/>
                        <w:color w:val="000000" w:themeColor="text1"/>
                      </w:rPr>
                      <m:t>0</m:t>
                    </m:r>
                  </m:e>
                  <m:e>
                    <m:r>
                      <m:rPr>
                        <m:sty m:val="p"/>
                      </m:rPr>
                      <w:rPr>
                        <w:rFonts w:ascii="Cambria Math" w:hAnsi="Cambria Math"/>
                        <w:color w:val="000000" w:themeColor="text1"/>
                      </w:rPr>
                      <m:t>Offset[1]</m:t>
                    </m:r>
                    <m:ctrlPr>
                      <w:rPr>
                        <w:rFonts w:ascii="Cambria Math" w:eastAsia="Times New Roman" w:hAnsi="Cambria Math"/>
                        <w:i/>
                        <w:color w:val="000000" w:themeColor="text1"/>
                      </w:rPr>
                    </m:ctrlPr>
                  </m:e>
                </m:mr>
                <m:mr>
                  <m:e>
                    <m:r>
                      <w:rPr>
                        <w:rFonts w:ascii="Cambria Math" w:eastAsia="Times New Roman" w:hAnsi="Cambria Math" w:cs="Cambria Math"/>
                        <w:color w:val="000000" w:themeColor="text1"/>
                      </w:rPr>
                      <m:t>0</m:t>
                    </m:r>
                    <m:ctrlPr>
                      <w:rPr>
                        <w:rFonts w:ascii="Cambria Math" w:eastAsia="Times New Roman" w:hAnsi="Cambria Math"/>
                        <w:i/>
                        <w:color w:val="000000" w:themeColor="text1"/>
                      </w:rPr>
                    </m:ctrlPr>
                  </m:e>
                  <m:e>
                    <m:r>
                      <w:rPr>
                        <w:rFonts w:ascii="Cambria Math" w:eastAsia="Times New Roman" w:hAnsi="Cambria Math" w:cs="Cambria Math"/>
                        <w:color w:val="000000" w:themeColor="text1"/>
                      </w:rPr>
                      <m:t>0</m:t>
                    </m:r>
                    <m:ctrlPr>
                      <w:rPr>
                        <w:rFonts w:ascii="Cambria Math" w:eastAsia="Times New Roman" w:hAnsi="Cambria Math"/>
                        <w:i/>
                        <w:color w:val="000000" w:themeColor="text1"/>
                      </w:rPr>
                    </m:ctrlPr>
                  </m:e>
                  <m:e>
                    <m:r>
                      <w:rPr>
                        <w:rFonts w:ascii="Cambria Math" w:eastAsia="Times New Roman" w:hAnsi="Cambria Math" w:cs="Cambria Math"/>
                        <w:color w:val="000000" w:themeColor="text1"/>
                      </w:rPr>
                      <m:t>1</m:t>
                    </m:r>
                    <m:ctrlPr>
                      <w:rPr>
                        <w:rFonts w:ascii="Cambria Math" w:eastAsia="Times New Roman" w:hAnsi="Cambria Math"/>
                        <w:i/>
                        <w:color w:val="000000" w:themeColor="text1"/>
                      </w:rPr>
                    </m:ctrlPr>
                  </m:e>
                  <m:e>
                    <m:r>
                      <m:rPr>
                        <m:sty m:val="p"/>
                      </m:rPr>
                      <w:rPr>
                        <w:rFonts w:ascii="Cambria Math" w:hAnsi="Cambria Math"/>
                        <w:color w:val="000000" w:themeColor="text1"/>
                      </w:rPr>
                      <m:t>Offset[2]</m:t>
                    </m:r>
                    <m:ctrlPr>
                      <w:rPr>
                        <w:rFonts w:ascii="Cambria Math" w:eastAsia="Times New Roman" w:hAnsi="Cambria Math"/>
                        <w:i/>
                        <w:color w:val="000000" w:themeColor="text1"/>
                      </w:rPr>
                    </m:ctrlPr>
                  </m:e>
                </m:mr>
                <m:mr>
                  <m:e>
                    <m:r>
                      <w:rPr>
                        <w:rFonts w:ascii="Cambria Math" w:eastAsia="Times New Roman" w:hAnsi="Cambria Math" w:cs="Cambria Math"/>
                        <w:color w:val="000000" w:themeColor="text1"/>
                      </w:rPr>
                      <m:t>0</m:t>
                    </m:r>
                  </m:e>
                  <m:e>
                    <m:r>
                      <w:rPr>
                        <w:rFonts w:ascii="Cambria Math" w:hAnsi="Cambria Math"/>
                        <w:color w:val="000000" w:themeColor="text1"/>
                      </w:rPr>
                      <m:t>0</m:t>
                    </m:r>
                  </m:e>
                  <m:e>
                    <m:r>
                      <w:rPr>
                        <w:rFonts w:ascii="Cambria Math" w:hAnsi="Cambria Math"/>
                        <w:color w:val="000000" w:themeColor="text1"/>
                      </w:rPr>
                      <m:t>0</m:t>
                    </m:r>
                    <m:ctrlPr>
                      <w:rPr>
                        <w:rFonts w:ascii="Cambria Math" w:eastAsia="Times New Roman" w:hAnsi="Cambria Math"/>
                        <w:i/>
                        <w:color w:val="000000" w:themeColor="text1"/>
                      </w:rPr>
                    </m:ctrlPr>
                  </m:e>
                  <m:e>
                    <m:r>
                      <w:rPr>
                        <w:rFonts w:ascii="Cambria Math" w:eastAsia="Times New Roman" w:hAnsi="Cambria Math" w:cs="Cambria Math"/>
                        <w:color w:val="000000" w:themeColor="text1"/>
                      </w:rPr>
                      <m:t>1</m:t>
                    </m:r>
                  </m:e>
                </m:mr>
              </m:m>
            </m:e>
          </m:d>
        </m:oMath>
      </m:oMathPara>
    </w:p>
    <w:p w14:paraId="2E80D54D" w14:textId="21510100" w:rsidR="00057357" w:rsidRPr="00A52AB8" w:rsidRDefault="00057357" w:rsidP="00057357">
      <w:pPr>
        <w:rPr>
          <w:color w:val="000000" w:themeColor="text1"/>
          <w:lang w:eastAsia="ja-JP"/>
        </w:rPr>
      </w:pPr>
      <w:r w:rsidRPr="00A52AB8">
        <w:rPr>
          <w:b/>
          <w:color w:val="000000" w:themeColor="text1"/>
        </w:rPr>
        <w:t>acp_rotation_qx</w:t>
      </w:r>
      <w:r w:rsidRPr="00A52AB8">
        <w:rPr>
          <w:bCs/>
          <w:color w:val="000000" w:themeColor="text1"/>
        </w:rPr>
        <w:t xml:space="preserve"> specifies the x component, qX, for the rotation of the current camera model using the quaternion representation. </w:t>
      </w:r>
      <w:r w:rsidRPr="00A52AB8">
        <w:rPr>
          <w:rStyle w:val="fontstyle01"/>
          <w:rFonts w:ascii="Cambria" w:hAnsi="Cambria"/>
          <w:color w:val="000000" w:themeColor="text1"/>
          <w:sz w:val="22"/>
          <w:szCs w:val="22"/>
        </w:rPr>
        <w:t xml:space="preserve">The value of </w:t>
      </w:r>
      <w:r w:rsidRPr="00A52AB8">
        <w:rPr>
          <w:color w:val="000000" w:themeColor="text1"/>
        </w:rPr>
        <w:t>acp_rotation_qx</w:t>
      </w:r>
      <w:r w:rsidRPr="00A52AB8">
        <w:rPr>
          <w:bCs/>
          <w:color w:val="000000" w:themeColor="text1"/>
        </w:rPr>
        <w:t xml:space="preserve"> </w:t>
      </w:r>
      <w:r w:rsidRPr="00A52AB8">
        <w:rPr>
          <w:rStyle w:val="fontstyle01"/>
          <w:rFonts w:ascii="Cambria" w:hAnsi="Cambria"/>
          <w:color w:val="000000" w:themeColor="text1"/>
          <w:sz w:val="22"/>
          <w:szCs w:val="22"/>
        </w:rPr>
        <w:t xml:space="preserve">shall be in the range of </w:t>
      </w:r>
      <w:r w:rsidR="00021054" w:rsidRPr="00A52AB8">
        <w:rPr>
          <w:rStyle w:val="fontstyle01"/>
          <w:rFonts w:ascii="Cambria" w:hAnsi="Cambria"/>
          <w:color w:val="000000" w:themeColor="text1"/>
          <w:sz w:val="22"/>
          <w:szCs w:val="22"/>
        </w:rPr>
        <w:t>−2</w:t>
      </w:r>
      <w:r w:rsidR="001F55FA" w:rsidRPr="00A52AB8">
        <w:rPr>
          <w:rStyle w:val="fontstyle01"/>
          <w:rFonts w:ascii="Cambria" w:hAnsi="Cambria"/>
          <w:color w:val="000000" w:themeColor="text1"/>
          <w:position w:val="6"/>
          <w:sz w:val="22"/>
          <w:szCs w:val="22"/>
          <w:vertAlign w:val="superscript"/>
        </w:rPr>
        <w:t>14</w:t>
      </w:r>
      <w:r w:rsidR="00021054" w:rsidRPr="00A52AB8">
        <w:rPr>
          <w:rStyle w:val="fontstyle01"/>
          <w:rFonts w:ascii="Cambria" w:hAnsi="Cambria"/>
          <w:color w:val="000000" w:themeColor="text1"/>
          <w:sz w:val="22"/>
          <w:szCs w:val="22"/>
        </w:rPr>
        <w:t xml:space="preserve"> to 2</w:t>
      </w:r>
      <w:r w:rsidR="001F55FA" w:rsidRPr="00A52AB8">
        <w:rPr>
          <w:rStyle w:val="fontstyle01"/>
          <w:rFonts w:ascii="Cambria" w:hAnsi="Cambria"/>
          <w:color w:val="000000" w:themeColor="text1"/>
          <w:position w:val="6"/>
          <w:sz w:val="22"/>
          <w:szCs w:val="22"/>
          <w:vertAlign w:val="superscript"/>
        </w:rPr>
        <w:t>14</w:t>
      </w:r>
      <w:r w:rsidRPr="00A52AB8">
        <w:rPr>
          <w:rStyle w:val="fontstyle01"/>
          <w:rFonts w:ascii="Cambria" w:hAnsi="Cambria"/>
          <w:color w:val="000000" w:themeColor="text1"/>
          <w:sz w:val="22"/>
          <w:szCs w:val="22"/>
        </w:rPr>
        <w:t xml:space="preserve">, inclusive. When </w:t>
      </w:r>
      <w:r w:rsidRPr="00A52AB8">
        <w:rPr>
          <w:color w:val="000000" w:themeColor="text1"/>
        </w:rPr>
        <w:t xml:space="preserve">acp_rotation_qx is not present, its value shall be inferred to be equal to </w:t>
      </w:r>
      <w:r w:rsidR="005713D3" w:rsidRPr="00A52AB8">
        <w:rPr>
          <w:rStyle w:val="fontstyle01"/>
          <w:rFonts w:ascii="Cambria" w:hAnsi="Cambria"/>
          <w:color w:val="000000" w:themeColor="text1"/>
          <w:sz w:val="22"/>
          <w:szCs w:val="22"/>
        </w:rPr>
        <w:t>0</w:t>
      </w:r>
      <w:r w:rsidRPr="00A52AB8">
        <w:rPr>
          <w:color w:val="000000" w:themeColor="text1"/>
        </w:rPr>
        <w:t xml:space="preserve">. </w:t>
      </w:r>
      <w:r w:rsidRPr="00A52AB8">
        <w:rPr>
          <w:color w:val="000000" w:themeColor="text1"/>
          <w:lang w:eastAsia="ja-JP"/>
        </w:rPr>
        <w:t xml:space="preserve">The value of </w:t>
      </w:r>
      <w:r w:rsidRPr="00A52AB8">
        <w:rPr>
          <w:bCs/>
          <w:color w:val="000000" w:themeColor="text1"/>
        </w:rPr>
        <w:t xml:space="preserve">qX </w:t>
      </w:r>
      <w:r w:rsidRPr="00A52AB8">
        <w:rPr>
          <w:color w:val="000000" w:themeColor="text1"/>
          <w:lang w:eastAsia="ja-JP"/>
        </w:rPr>
        <w:t>is computed as follows:</w:t>
      </w:r>
    </w:p>
    <w:p w14:paraId="0D411DC5" w14:textId="07CA1CCE" w:rsidR="00413608" w:rsidRPr="00A52AB8" w:rsidRDefault="00057357" w:rsidP="00413608">
      <w:r w:rsidRPr="00A52AB8">
        <w:rPr>
          <w:color w:val="000000" w:themeColor="text1"/>
          <w:lang w:eastAsia="ja-JP"/>
        </w:rPr>
        <w:tab/>
      </w:r>
      <w:r w:rsidRPr="00A52AB8">
        <w:rPr>
          <w:bCs/>
          <w:color w:val="000000" w:themeColor="text1"/>
        </w:rPr>
        <w:t>qX</w:t>
      </w:r>
      <w:r w:rsidR="00D47707" w:rsidRPr="00A52AB8">
        <w:rPr>
          <w:bCs/>
          <w:color w:val="000000" w:themeColor="text1"/>
        </w:rPr>
        <w:t> </w:t>
      </w:r>
      <w:r w:rsidR="00D47707" w:rsidRPr="00A52AB8">
        <w:rPr>
          <w:color w:val="000000" w:themeColor="text1"/>
          <w:lang w:eastAsia="ja-JP"/>
        </w:rPr>
        <w:t>= </w:t>
      </w:r>
      <w:r w:rsidRPr="00A52AB8">
        <w:rPr>
          <w:bCs/>
          <w:color w:val="000000" w:themeColor="text1"/>
        </w:rPr>
        <w:t>acp_rotation_qx </w:t>
      </w:r>
      <w:r w:rsidR="002125F9" w:rsidRPr="00A52AB8">
        <w:rPr>
          <w:rFonts w:cs="Symbol"/>
          <w:color w:val="000000" w:themeColor="text1"/>
        </w:rPr>
        <w:sym w:font="Symbol" w:char="F0B8"/>
      </w:r>
      <w:r w:rsidR="002125F9" w:rsidRPr="00A52AB8">
        <w:rPr>
          <w:color w:val="000000" w:themeColor="text1"/>
          <w:lang w:eastAsia="ja-JP"/>
        </w:rPr>
        <w:t> </w:t>
      </w:r>
      <w:r w:rsidR="002125F9" w:rsidRPr="00A52AB8">
        <w:t>2</w:t>
      </w:r>
      <w:r w:rsidR="001F55FA" w:rsidRPr="00A52AB8">
        <w:rPr>
          <w:rStyle w:val="fontstyle01"/>
          <w:rFonts w:ascii="Cambria" w:hAnsi="Cambria"/>
          <w:color w:val="000000" w:themeColor="text1"/>
          <w:position w:val="6"/>
          <w:sz w:val="22"/>
          <w:szCs w:val="22"/>
          <w:vertAlign w:val="superscript"/>
        </w:rPr>
        <w:t>14</w:t>
      </w:r>
    </w:p>
    <w:p w14:paraId="1B53660F" w14:textId="14F8A817" w:rsidR="00057357" w:rsidRPr="00A52AB8" w:rsidRDefault="00057357" w:rsidP="00057357">
      <w:pPr>
        <w:rPr>
          <w:color w:val="000000" w:themeColor="text1"/>
          <w:lang w:eastAsia="ja-JP"/>
        </w:rPr>
      </w:pPr>
      <w:r w:rsidRPr="00A52AB8">
        <w:rPr>
          <w:b/>
          <w:color w:val="000000" w:themeColor="text1"/>
        </w:rPr>
        <w:t>acp_rotation_qy</w:t>
      </w:r>
      <w:r w:rsidRPr="00A52AB8">
        <w:rPr>
          <w:bCs/>
          <w:color w:val="000000" w:themeColor="text1"/>
        </w:rPr>
        <w:t xml:space="preserve"> specifies the y component, qY, for the rotation of the current camera model using the quaternion representation. </w:t>
      </w:r>
      <w:r w:rsidRPr="00A52AB8">
        <w:rPr>
          <w:rStyle w:val="fontstyle01"/>
          <w:rFonts w:ascii="Cambria" w:hAnsi="Cambria"/>
          <w:color w:val="000000" w:themeColor="text1"/>
          <w:sz w:val="22"/>
          <w:szCs w:val="22"/>
        </w:rPr>
        <w:t xml:space="preserve">The value of </w:t>
      </w:r>
      <w:r w:rsidRPr="00A52AB8">
        <w:rPr>
          <w:color w:val="000000" w:themeColor="text1"/>
        </w:rPr>
        <w:t>acp_rotation_qy</w:t>
      </w:r>
      <w:r w:rsidRPr="00A52AB8">
        <w:rPr>
          <w:bCs/>
          <w:color w:val="000000" w:themeColor="text1"/>
        </w:rPr>
        <w:t xml:space="preserve"> </w:t>
      </w:r>
      <w:r w:rsidRPr="00A52AB8">
        <w:rPr>
          <w:rStyle w:val="fontstyle01"/>
          <w:rFonts w:ascii="Cambria" w:hAnsi="Cambria"/>
          <w:color w:val="000000" w:themeColor="text1"/>
          <w:sz w:val="22"/>
          <w:szCs w:val="22"/>
        </w:rPr>
        <w:t xml:space="preserve">shall be in the range of </w:t>
      </w:r>
      <w:r w:rsidR="00D11C0D" w:rsidRPr="00A52AB8">
        <w:rPr>
          <w:rStyle w:val="fontstyle01"/>
          <w:rFonts w:ascii="Cambria" w:hAnsi="Cambria"/>
          <w:color w:val="000000" w:themeColor="text1"/>
          <w:sz w:val="22"/>
          <w:szCs w:val="22"/>
        </w:rPr>
        <w:t>−2</w:t>
      </w:r>
      <w:r w:rsidR="001F55FA" w:rsidRPr="00A52AB8">
        <w:rPr>
          <w:rStyle w:val="fontstyle01"/>
          <w:rFonts w:ascii="Cambria" w:hAnsi="Cambria"/>
          <w:color w:val="000000" w:themeColor="text1"/>
          <w:position w:val="6"/>
          <w:sz w:val="22"/>
          <w:szCs w:val="22"/>
          <w:vertAlign w:val="superscript"/>
        </w:rPr>
        <w:t>14</w:t>
      </w:r>
      <w:r w:rsidR="00D11C0D" w:rsidRPr="00A52AB8">
        <w:rPr>
          <w:rStyle w:val="fontstyle01"/>
          <w:rFonts w:ascii="Cambria" w:hAnsi="Cambria"/>
          <w:color w:val="000000" w:themeColor="text1"/>
          <w:sz w:val="22"/>
          <w:szCs w:val="22"/>
        </w:rPr>
        <w:t xml:space="preserve"> to 2</w:t>
      </w:r>
      <w:r w:rsidR="001F55FA" w:rsidRPr="00A52AB8">
        <w:rPr>
          <w:rStyle w:val="fontstyle01"/>
          <w:rFonts w:ascii="Cambria" w:hAnsi="Cambria"/>
          <w:color w:val="000000" w:themeColor="text1"/>
          <w:position w:val="6"/>
          <w:sz w:val="22"/>
          <w:szCs w:val="22"/>
          <w:vertAlign w:val="superscript"/>
        </w:rPr>
        <w:t>14</w:t>
      </w:r>
      <w:r w:rsidRPr="00A52AB8">
        <w:rPr>
          <w:rStyle w:val="fontstyle01"/>
          <w:rFonts w:ascii="Cambria" w:hAnsi="Cambria"/>
          <w:color w:val="000000" w:themeColor="text1"/>
          <w:sz w:val="22"/>
          <w:szCs w:val="22"/>
        </w:rPr>
        <w:t xml:space="preserve">, inclusive. When </w:t>
      </w:r>
      <w:r w:rsidRPr="00A52AB8">
        <w:rPr>
          <w:color w:val="000000" w:themeColor="text1"/>
        </w:rPr>
        <w:t xml:space="preserve">acp_rotation_qy is not present, its value shall be inferred to be equal to </w:t>
      </w:r>
      <w:r w:rsidR="005713D3" w:rsidRPr="00A52AB8">
        <w:rPr>
          <w:rStyle w:val="fontstyle01"/>
          <w:rFonts w:ascii="Cambria" w:hAnsi="Cambria"/>
          <w:color w:val="000000" w:themeColor="text1"/>
          <w:sz w:val="22"/>
          <w:szCs w:val="22"/>
        </w:rPr>
        <w:t>0</w:t>
      </w:r>
      <w:r w:rsidRPr="00A52AB8">
        <w:rPr>
          <w:color w:val="000000" w:themeColor="text1"/>
        </w:rPr>
        <w:t xml:space="preserve">. </w:t>
      </w:r>
      <w:r w:rsidRPr="00A52AB8">
        <w:rPr>
          <w:color w:val="000000" w:themeColor="text1"/>
          <w:lang w:eastAsia="ja-JP"/>
        </w:rPr>
        <w:t xml:space="preserve">The value of </w:t>
      </w:r>
      <w:r w:rsidRPr="00A52AB8">
        <w:rPr>
          <w:bCs/>
          <w:color w:val="000000" w:themeColor="text1"/>
        </w:rPr>
        <w:t xml:space="preserve">qY </w:t>
      </w:r>
      <w:r w:rsidRPr="00A52AB8">
        <w:rPr>
          <w:color w:val="000000" w:themeColor="text1"/>
          <w:lang w:eastAsia="ja-JP"/>
        </w:rPr>
        <w:t>is computed as follows:</w:t>
      </w:r>
    </w:p>
    <w:p w14:paraId="3BAB5AA2" w14:textId="3A0B27B2" w:rsidR="00413608" w:rsidRPr="00A52AB8" w:rsidRDefault="00057357" w:rsidP="00413608">
      <w:r w:rsidRPr="00A52AB8">
        <w:rPr>
          <w:color w:val="000000" w:themeColor="text1"/>
          <w:lang w:eastAsia="ja-JP"/>
        </w:rPr>
        <w:tab/>
      </w:r>
      <w:r w:rsidRPr="00A52AB8">
        <w:rPr>
          <w:bCs/>
          <w:color w:val="000000" w:themeColor="text1"/>
        </w:rPr>
        <w:t>qY</w:t>
      </w:r>
      <w:r w:rsidR="00D47707" w:rsidRPr="00A52AB8">
        <w:rPr>
          <w:bCs/>
          <w:color w:val="000000" w:themeColor="text1"/>
        </w:rPr>
        <w:t> </w:t>
      </w:r>
      <w:r w:rsidR="00D47707" w:rsidRPr="00A52AB8">
        <w:rPr>
          <w:color w:val="000000" w:themeColor="text1"/>
          <w:lang w:eastAsia="ja-JP"/>
        </w:rPr>
        <w:t>= </w:t>
      </w:r>
      <w:r w:rsidRPr="00A52AB8">
        <w:rPr>
          <w:bCs/>
          <w:color w:val="000000" w:themeColor="text1"/>
        </w:rPr>
        <w:t>acp_rotation_qy </w:t>
      </w:r>
      <w:r w:rsidR="00413608" w:rsidRPr="00A52AB8">
        <w:rPr>
          <w:rFonts w:cs="Symbol"/>
          <w:color w:val="000000" w:themeColor="text1"/>
        </w:rPr>
        <w:sym w:font="Symbol" w:char="F0B8"/>
      </w:r>
      <w:r w:rsidR="00413608" w:rsidRPr="00A52AB8">
        <w:rPr>
          <w:color w:val="000000" w:themeColor="text1"/>
          <w:lang w:eastAsia="ja-JP"/>
        </w:rPr>
        <w:t> </w:t>
      </w:r>
      <w:r w:rsidR="00413608" w:rsidRPr="00A52AB8">
        <w:t>2</w:t>
      </w:r>
      <w:r w:rsidR="001F55FA" w:rsidRPr="00A52AB8">
        <w:rPr>
          <w:rStyle w:val="fontstyle01"/>
          <w:rFonts w:ascii="Cambria" w:hAnsi="Cambria"/>
          <w:color w:val="000000" w:themeColor="text1"/>
          <w:position w:val="6"/>
          <w:sz w:val="22"/>
          <w:szCs w:val="22"/>
          <w:vertAlign w:val="superscript"/>
        </w:rPr>
        <w:t>14</w:t>
      </w:r>
    </w:p>
    <w:p w14:paraId="49F42304" w14:textId="6A2CCE8C" w:rsidR="00057357" w:rsidRPr="00A52AB8" w:rsidRDefault="00057357" w:rsidP="00057357">
      <w:pPr>
        <w:rPr>
          <w:color w:val="000000" w:themeColor="text1"/>
          <w:lang w:eastAsia="ja-JP"/>
        </w:rPr>
      </w:pPr>
      <w:r w:rsidRPr="00A52AB8">
        <w:rPr>
          <w:b/>
          <w:color w:val="000000" w:themeColor="text1"/>
        </w:rPr>
        <w:t>acp_rotation_qz</w:t>
      </w:r>
      <w:r w:rsidRPr="00A52AB8">
        <w:rPr>
          <w:bCs/>
          <w:color w:val="000000" w:themeColor="text1"/>
        </w:rPr>
        <w:t xml:space="preserve"> specifies the z component, qZ, for the rotation of the current camera model using the quaternion representation. </w:t>
      </w:r>
      <w:r w:rsidRPr="00A52AB8">
        <w:rPr>
          <w:rStyle w:val="fontstyle01"/>
          <w:rFonts w:ascii="Cambria" w:hAnsi="Cambria"/>
          <w:color w:val="000000" w:themeColor="text1"/>
          <w:sz w:val="22"/>
          <w:szCs w:val="22"/>
        </w:rPr>
        <w:t xml:space="preserve">The value of </w:t>
      </w:r>
      <w:r w:rsidRPr="00A52AB8">
        <w:rPr>
          <w:color w:val="000000" w:themeColor="text1"/>
        </w:rPr>
        <w:t>acp_rotation_qz</w:t>
      </w:r>
      <w:r w:rsidRPr="00A52AB8">
        <w:rPr>
          <w:bCs/>
          <w:color w:val="000000" w:themeColor="text1"/>
        </w:rPr>
        <w:t xml:space="preserve"> </w:t>
      </w:r>
      <w:r w:rsidRPr="00A52AB8">
        <w:rPr>
          <w:rStyle w:val="fontstyle01"/>
          <w:rFonts w:ascii="Cambria" w:hAnsi="Cambria"/>
          <w:color w:val="000000" w:themeColor="text1"/>
          <w:sz w:val="22"/>
          <w:szCs w:val="22"/>
        </w:rPr>
        <w:t xml:space="preserve">shall be in the range of </w:t>
      </w:r>
      <w:r w:rsidR="00D11C0D" w:rsidRPr="00A52AB8">
        <w:rPr>
          <w:rStyle w:val="fontstyle01"/>
          <w:rFonts w:ascii="Cambria" w:hAnsi="Cambria"/>
          <w:color w:val="000000" w:themeColor="text1"/>
          <w:sz w:val="22"/>
          <w:szCs w:val="22"/>
        </w:rPr>
        <w:t>−2</w:t>
      </w:r>
      <w:r w:rsidR="001F55FA" w:rsidRPr="00A52AB8">
        <w:rPr>
          <w:rStyle w:val="fontstyle01"/>
          <w:rFonts w:ascii="Cambria" w:hAnsi="Cambria"/>
          <w:color w:val="000000" w:themeColor="text1"/>
          <w:position w:val="6"/>
          <w:sz w:val="22"/>
          <w:szCs w:val="22"/>
          <w:vertAlign w:val="superscript"/>
        </w:rPr>
        <w:t>14</w:t>
      </w:r>
      <w:r w:rsidR="00D11C0D" w:rsidRPr="00A52AB8">
        <w:rPr>
          <w:rStyle w:val="fontstyle01"/>
          <w:rFonts w:ascii="Cambria" w:hAnsi="Cambria"/>
          <w:color w:val="000000" w:themeColor="text1"/>
          <w:sz w:val="22"/>
          <w:szCs w:val="22"/>
        </w:rPr>
        <w:t xml:space="preserve"> to 2</w:t>
      </w:r>
      <w:r w:rsidR="001F55FA" w:rsidRPr="00A52AB8">
        <w:rPr>
          <w:rStyle w:val="fontstyle01"/>
          <w:rFonts w:ascii="Cambria" w:hAnsi="Cambria"/>
          <w:color w:val="000000" w:themeColor="text1"/>
          <w:position w:val="6"/>
          <w:sz w:val="22"/>
          <w:szCs w:val="22"/>
          <w:vertAlign w:val="superscript"/>
        </w:rPr>
        <w:t>14</w:t>
      </w:r>
      <w:r w:rsidRPr="00A52AB8">
        <w:rPr>
          <w:rStyle w:val="fontstyle01"/>
          <w:rFonts w:ascii="Cambria" w:hAnsi="Cambria"/>
          <w:color w:val="000000" w:themeColor="text1"/>
          <w:sz w:val="22"/>
          <w:szCs w:val="22"/>
        </w:rPr>
        <w:t xml:space="preserve">, inclusive. When </w:t>
      </w:r>
      <w:r w:rsidRPr="00A52AB8">
        <w:rPr>
          <w:color w:val="000000" w:themeColor="text1"/>
        </w:rPr>
        <w:t xml:space="preserve">acp_rotation_qz is not present, its value shall be inferred to be equal to </w:t>
      </w:r>
      <w:r w:rsidR="005713D3" w:rsidRPr="00A52AB8">
        <w:rPr>
          <w:rStyle w:val="fontstyle01"/>
          <w:rFonts w:ascii="Cambria" w:hAnsi="Cambria"/>
          <w:color w:val="000000" w:themeColor="text1"/>
          <w:sz w:val="22"/>
          <w:szCs w:val="22"/>
        </w:rPr>
        <w:t>0</w:t>
      </w:r>
      <w:r w:rsidRPr="00A52AB8">
        <w:rPr>
          <w:color w:val="000000" w:themeColor="text1"/>
        </w:rPr>
        <w:t xml:space="preserve">. </w:t>
      </w:r>
      <w:r w:rsidRPr="00A52AB8">
        <w:rPr>
          <w:color w:val="000000" w:themeColor="text1"/>
          <w:lang w:eastAsia="ja-JP"/>
        </w:rPr>
        <w:t xml:space="preserve">The value of </w:t>
      </w:r>
      <w:r w:rsidRPr="00A52AB8">
        <w:rPr>
          <w:bCs/>
          <w:color w:val="000000" w:themeColor="text1"/>
        </w:rPr>
        <w:t xml:space="preserve">qZ </w:t>
      </w:r>
      <w:r w:rsidRPr="00A52AB8">
        <w:rPr>
          <w:color w:val="000000" w:themeColor="text1"/>
          <w:lang w:eastAsia="ja-JP"/>
        </w:rPr>
        <w:t>is computed as follows:</w:t>
      </w:r>
    </w:p>
    <w:p w14:paraId="06FC318E" w14:textId="2509E331" w:rsidR="00413608" w:rsidRPr="00A52AB8" w:rsidRDefault="00057357" w:rsidP="00413608">
      <w:r w:rsidRPr="00A52AB8">
        <w:rPr>
          <w:color w:val="000000" w:themeColor="text1"/>
          <w:lang w:eastAsia="ja-JP"/>
        </w:rPr>
        <w:tab/>
      </w:r>
      <w:r w:rsidRPr="00A52AB8">
        <w:rPr>
          <w:bCs/>
          <w:color w:val="000000" w:themeColor="text1"/>
        </w:rPr>
        <w:t>qZ</w:t>
      </w:r>
      <w:r w:rsidR="00D47707" w:rsidRPr="00A52AB8">
        <w:rPr>
          <w:bCs/>
          <w:color w:val="000000" w:themeColor="text1"/>
        </w:rPr>
        <w:t> </w:t>
      </w:r>
      <w:r w:rsidR="00D47707" w:rsidRPr="00A52AB8">
        <w:rPr>
          <w:color w:val="000000" w:themeColor="text1"/>
          <w:lang w:eastAsia="ja-JP"/>
        </w:rPr>
        <w:t>= </w:t>
      </w:r>
      <w:r w:rsidRPr="00A52AB8">
        <w:rPr>
          <w:bCs/>
          <w:color w:val="000000" w:themeColor="text1"/>
        </w:rPr>
        <w:t>acp_rotation_qz </w:t>
      </w:r>
      <w:r w:rsidR="00413608" w:rsidRPr="00A52AB8">
        <w:rPr>
          <w:rFonts w:cs="Symbol"/>
          <w:color w:val="000000" w:themeColor="text1"/>
        </w:rPr>
        <w:sym w:font="Symbol" w:char="F0B8"/>
      </w:r>
      <w:r w:rsidR="00413608" w:rsidRPr="00A52AB8">
        <w:t> 2</w:t>
      </w:r>
      <w:r w:rsidR="001F55FA" w:rsidRPr="00A52AB8">
        <w:rPr>
          <w:rStyle w:val="fontstyle01"/>
          <w:rFonts w:ascii="Cambria" w:hAnsi="Cambria"/>
          <w:color w:val="000000" w:themeColor="text1"/>
          <w:position w:val="6"/>
          <w:sz w:val="22"/>
          <w:szCs w:val="22"/>
          <w:vertAlign w:val="superscript"/>
        </w:rPr>
        <w:t>14</w:t>
      </w:r>
    </w:p>
    <w:p w14:paraId="04FF0F32" w14:textId="77777777" w:rsidR="0050235C" w:rsidRPr="00A52AB8" w:rsidRDefault="00057357" w:rsidP="00057357">
      <w:r w:rsidRPr="00A52AB8">
        <w:t xml:space="preserve">The fourth component, </w:t>
      </w:r>
      <w:r w:rsidRPr="00A52AB8">
        <w:rPr>
          <w:bCs/>
          <w:color w:val="000000" w:themeColor="text1"/>
        </w:rPr>
        <w:t>qW,</w:t>
      </w:r>
      <w:r w:rsidRPr="00A52AB8">
        <w:t xml:space="preserve"> </w:t>
      </w:r>
      <w:r w:rsidRPr="00A52AB8">
        <w:rPr>
          <w:bCs/>
          <w:color w:val="000000" w:themeColor="text1"/>
        </w:rPr>
        <w:t>for the rotation of the current camera model using the quaternion representation</w:t>
      </w:r>
      <w:r w:rsidRPr="00A52AB8">
        <w:t xml:space="preserve"> is calculated as follows:</w:t>
      </w:r>
    </w:p>
    <w:p w14:paraId="679D67B0" w14:textId="5620D673" w:rsidR="00057357" w:rsidRPr="00A52AB8" w:rsidRDefault="00057357" w:rsidP="00057357">
      <w:pPr>
        <w:rPr>
          <w:bCs/>
        </w:rPr>
      </w:pPr>
      <w:r w:rsidRPr="00A52AB8">
        <w:tab/>
        <w:t>qW</w:t>
      </w:r>
      <w:r w:rsidR="00D47707" w:rsidRPr="00A52AB8">
        <w:t> = </w:t>
      </w:r>
      <w:r w:rsidRPr="00A52AB8">
        <w:t>Sqrt( 1 – ( qX</w:t>
      </w:r>
      <w:r w:rsidR="001F55FA" w:rsidRPr="00A52AB8">
        <w:rPr>
          <w:rStyle w:val="fontstyle01"/>
          <w:rFonts w:ascii="Cambria" w:hAnsi="Cambria"/>
          <w:color w:val="000000" w:themeColor="text1"/>
          <w:position w:val="6"/>
          <w:sz w:val="22"/>
          <w:szCs w:val="22"/>
          <w:vertAlign w:val="superscript"/>
        </w:rPr>
        <w:t>2</w:t>
      </w:r>
      <w:r w:rsidRPr="00A52AB8">
        <w:rPr>
          <w:bCs/>
        </w:rPr>
        <w:t> + </w:t>
      </w:r>
      <w:r w:rsidRPr="00A52AB8">
        <w:t>qY</w:t>
      </w:r>
      <w:r w:rsidR="001F55FA" w:rsidRPr="00A52AB8">
        <w:rPr>
          <w:rStyle w:val="fontstyle01"/>
          <w:rFonts w:ascii="Cambria" w:hAnsi="Cambria"/>
          <w:color w:val="000000" w:themeColor="text1"/>
          <w:position w:val="6"/>
          <w:sz w:val="22"/>
          <w:szCs w:val="22"/>
          <w:vertAlign w:val="superscript"/>
        </w:rPr>
        <w:t>2</w:t>
      </w:r>
      <w:r w:rsidRPr="00A52AB8">
        <w:rPr>
          <w:bCs/>
        </w:rPr>
        <w:t> + </w:t>
      </w:r>
      <w:r w:rsidRPr="00A52AB8">
        <w:t>qZ</w:t>
      </w:r>
      <w:r w:rsidR="001F55FA" w:rsidRPr="00A52AB8">
        <w:rPr>
          <w:rStyle w:val="fontstyle01"/>
          <w:rFonts w:ascii="Cambria" w:hAnsi="Cambria"/>
          <w:color w:val="000000" w:themeColor="text1"/>
          <w:position w:val="6"/>
          <w:sz w:val="22"/>
          <w:szCs w:val="22"/>
          <w:vertAlign w:val="superscript"/>
        </w:rPr>
        <w:t>2</w:t>
      </w:r>
      <w:r w:rsidRPr="00A52AB8">
        <w:rPr>
          <w:bCs/>
        </w:rPr>
        <w:t> ) )</w:t>
      </w:r>
    </w:p>
    <w:p w14:paraId="1C9FC1DA" w14:textId="77777777" w:rsidR="00A03EE3" w:rsidRPr="00A52AB8" w:rsidRDefault="00A03EE3" w:rsidP="00C86722">
      <w:pPr>
        <w:pStyle w:val="Note1"/>
        <w:rPr>
          <w:rFonts w:ascii="Cambria" w:hAnsi="Cambria"/>
        </w:rPr>
      </w:pPr>
      <w:r w:rsidRPr="00A52AB8">
        <w:rPr>
          <w:rFonts w:ascii="Cambria" w:hAnsi="Cambria"/>
        </w:rPr>
        <w:t>NOTE </w:t>
      </w:r>
      <w:r w:rsidR="00D1499F" w:rsidRPr="00A52AB8">
        <w:rPr>
          <w:rFonts w:ascii="Cambria" w:hAnsi="Cambria"/>
        </w:rPr>
        <w:t>–</w:t>
      </w:r>
      <w:r w:rsidRPr="00A52AB8">
        <w:rPr>
          <w:rFonts w:ascii="Cambria" w:hAnsi="Cambria"/>
        </w:rPr>
        <w:t xml:space="preserve"> In the context of this document qW is always positive. If a negative qW is </w:t>
      </w:r>
      <w:r w:rsidR="00EC0B3A" w:rsidRPr="00A52AB8">
        <w:rPr>
          <w:rFonts w:ascii="Cambria" w:hAnsi="Cambria"/>
        </w:rPr>
        <w:t>desired</w:t>
      </w:r>
      <w:r w:rsidRPr="00A52AB8">
        <w:rPr>
          <w:rFonts w:ascii="Cambria" w:hAnsi="Cambria"/>
        </w:rPr>
        <w:t>, one may signal all three syntax elements, acp_rotation_qx, acp_rotation_qy, and acp_rotation_qz, with an opposite sign</w:t>
      </w:r>
      <w:r w:rsidR="00EC0B3A" w:rsidRPr="00A52AB8">
        <w:rPr>
          <w:rFonts w:ascii="Cambria" w:hAnsi="Cambria"/>
        </w:rPr>
        <w:t>, which is equivalent</w:t>
      </w:r>
      <w:r w:rsidRPr="00A52AB8">
        <w:rPr>
          <w:rFonts w:ascii="Cambria" w:hAnsi="Cambria"/>
        </w:rPr>
        <w:t>.</w:t>
      </w:r>
    </w:p>
    <w:p w14:paraId="37DC85CA" w14:textId="77777777" w:rsidR="00057357" w:rsidRPr="00A52AB8" w:rsidRDefault="00057357" w:rsidP="00057357">
      <w:pPr>
        <w:rPr>
          <w:bCs/>
        </w:rPr>
      </w:pPr>
      <w:r w:rsidRPr="00A52AB8">
        <w:rPr>
          <w:bCs/>
        </w:rPr>
        <w:t>A unit quaternion can be represented as a rotation matrix R as follows:</w:t>
      </w:r>
    </w:p>
    <w:p w14:paraId="220555B3" w14:textId="55D3CEEF" w:rsidR="00057357" w:rsidRPr="00A52AB8" w:rsidRDefault="001F55FA" w:rsidP="00057357">
      <w:pPr>
        <w:rPr>
          <w:color w:val="000000" w:themeColor="text1"/>
        </w:rPr>
      </w:pPr>
      <m:oMathPara>
        <m:oMath>
          <m:r>
            <m:rPr>
              <m:sty m:val="p"/>
            </m:rPr>
            <w:rPr>
              <w:rFonts w:ascii="Cambria Math" w:hAnsi="Cambria Math"/>
              <w:color w:val="000000" w:themeColor="text1"/>
            </w:rPr>
            <m:t>RotationMatrix = </m:t>
          </m:r>
          <m:d>
            <m:dPr>
              <m:begChr m:val="["/>
              <m:endChr m:val="]"/>
              <m:ctrlPr>
                <w:rPr>
                  <w:rFonts w:ascii="Cambria Math" w:hAnsi="Cambria Math"/>
                  <w:color w:val="000000" w:themeColor="text1"/>
                </w:rPr>
              </m:ctrlPr>
            </m:dPr>
            <m:e>
              <m:m>
                <m:mPr>
                  <m:mcs>
                    <m:mc>
                      <m:mcPr>
                        <m:count m:val="4"/>
                        <m:mcJc m:val="center"/>
                      </m:mcPr>
                    </m:mc>
                  </m:mcs>
                  <m:ctrlPr>
                    <w:rPr>
                      <w:rFonts w:ascii="Cambria Math" w:hAnsi="Cambria Math"/>
                      <w:color w:val="000000" w:themeColor="text1"/>
                    </w:rPr>
                  </m:ctrlPr>
                </m:mPr>
                <m:mr>
                  <m:e>
                    <m:r>
                      <m:rPr>
                        <m:sty m:val="p"/>
                      </m:rPr>
                      <w:rPr>
                        <w:rFonts w:ascii="Cambria Math" w:hAnsi="Cambria Math"/>
                        <w:color w:val="000000" w:themeColor="text1"/>
                      </w:rPr>
                      <m:t>1-2*(</m:t>
                    </m:r>
                    <m:sSup>
                      <m:sSupPr>
                        <m:ctrlPr>
                          <w:rPr>
                            <w:rFonts w:ascii="Cambria Math" w:hAnsi="Cambria Math"/>
                            <w:color w:val="000000" w:themeColor="text1"/>
                          </w:rPr>
                        </m:ctrlPr>
                      </m:sSupPr>
                      <m:e>
                        <m:r>
                          <m:rPr>
                            <m:sty m:val="p"/>
                          </m:rPr>
                          <w:rPr>
                            <w:rFonts w:ascii="Cambria Math" w:hAnsi="Cambria Math"/>
                            <w:color w:val="000000" w:themeColor="text1"/>
                          </w:rPr>
                          <m:t>qY</m:t>
                        </m:r>
                      </m:e>
                      <m:sup>
                        <m:r>
                          <m:rPr>
                            <m:sty m:val="p"/>
                          </m:rPr>
                          <w:rPr>
                            <w:rFonts w:ascii="Cambria Math" w:hAnsi="Cambria Math"/>
                            <w:color w:val="000000" w:themeColor="text1"/>
                          </w:rPr>
                          <m:t>2</m:t>
                        </m:r>
                      </m:sup>
                    </m:sSup>
                    <m:r>
                      <m:rPr>
                        <m:sty m:val="p"/>
                      </m:rPr>
                      <w:rPr>
                        <w:rFonts w:ascii="Cambria Math" w:hAnsi="Cambria Math"/>
                        <w:color w:val="000000" w:themeColor="text1"/>
                      </w:rPr>
                      <m:t>+</m:t>
                    </m:r>
                    <m:sSup>
                      <m:sSupPr>
                        <m:ctrlPr>
                          <w:rPr>
                            <w:rFonts w:ascii="Cambria Math" w:hAnsi="Cambria Math"/>
                            <w:color w:val="000000" w:themeColor="text1"/>
                          </w:rPr>
                        </m:ctrlPr>
                      </m:sSupPr>
                      <m:e>
                        <m:r>
                          <m:rPr>
                            <m:sty m:val="p"/>
                          </m:rPr>
                          <w:rPr>
                            <w:rFonts w:ascii="Cambria Math" w:hAnsi="Cambria Math"/>
                            <w:color w:val="000000" w:themeColor="text1"/>
                          </w:rPr>
                          <m:t>qZ</m:t>
                        </m:r>
                      </m:e>
                      <m:sup>
                        <m:r>
                          <m:rPr>
                            <m:sty m:val="p"/>
                          </m:rPr>
                          <w:rPr>
                            <w:rFonts w:ascii="Cambria Math" w:hAnsi="Cambria Math"/>
                            <w:color w:val="000000" w:themeColor="text1"/>
                          </w:rPr>
                          <m:t>2</m:t>
                        </m:r>
                      </m:sup>
                    </m:sSup>
                    <m:r>
                      <m:rPr>
                        <m:sty m:val="p"/>
                      </m:rPr>
                      <w:rPr>
                        <w:rFonts w:ascii="Cambria Math" w:hAnsi="Cambria Math"/>
                        <w:color w:val="000000" w:themeColor="text1"/>
                      </w:rPr>
                      <m:t>)</m:t>
                    </m:r>
                  </m:e>
                  <m:e>
                    <m:r>
                      <m:rPr>
                        <m:sty m:val="p"/>
                      </m:rPr>
                      <w:rPr>
                        <w:rFonts w:ascii="Cambria Math" w:hAnsi="Cambria Math"/>
                        <w:color w:val="000000" w:themeColor="text1"/>
                      </w:rPr>
                      <m:t>2*(qX*qY-qZ*qW)</m:t>
                    </m:r>
                  </m:e>
                  <m:e>
                    <m:r>
                      <m:rPr>
                        <m:sty m:val="p"/>
                      </m:rPr>
                      <w:rPr>
                        <w:rFonts w:ascii="Cambria Math" w:hAnsi="Cambria Math"/>
                        <w:color w:val="000000" w:themeColor="text1"/>
                      </w:rPr>
                      <m:t>2*(qX*qZ+qY*qW)</m:t>
                    </m:r>
                  </m:e>
                  <m:e>
                    <m:r>
                      <m:rPr>
                        <m:sty m:val="p"/>
                      </m:rPr>
                      <w:rPr>
                        <w:rFonts w:ascii="Cambria Math" w:hAnsi="Cambria Math"/>
                        <w:color w:val="000000" w:themeColor="text1"/>
                      </w:rPr>
                      <m:t>0</m:t>
                    </m:r>
                    <m:ctrlPr>
                      <w:rPr>
                        <w:rFonts w:ascii="Cambria Math" w:eastAsia="Times New Roman" w:hAnsi="Cambria Math"/>
                        <w:color w:val="000000" w:themeColor="text1"/>
                      </w:rPr>
                    </m:ctrlPr>
                  </m:e>
                </m:mr>
                <m:mr>
                  <m:e>
                    <m:r>
                      <m:rPr>
                        <m:sty m:val="p"/>
                      </m:rPr>
                      <w:rPr>
                        <w:rFonts w:ascii="Cambria Math" w:hAnsi="Cambria Math"/>
                        <w:color w:val="000000" w:themeColor="text1"/>
                      </w:rPr>
                      <m:t>2*(qX*qY+qZ*qW)</m:t>
                    </m:r>
                  </m:e>
                  <m:e>
                    <m:r>
                      <m:rPr>
                        <m:sty m:val="p"/>
                      </m:rPr>
                      <w:rPr>
                        <w:rFonts w:ascii="Cambria Math" w:hAnsi="Cambria Math"/>
                        <w:color w:val="000000" w:themeColor="text1"/>
                      </w:rPr>
                      <m:t>1-2*(</m:t>
                    </m:r>
                    <m:sSup>
                      <m:sSupPr>
                        <m:ctrlPr>
                          <w:rPr>
                            <w:rFonts w:ascii="Cambria Math" w:hAnsi="Cambria Math"/>
                            <w:color w:val="000000" w:themeColor="text1"/>
                          </w:rPr>
                        </m:ctrlPr>
                      </m:sSupPr>
                      <m:e>
                        <m:r>
                          <m:rPr>
                            <m:sty m:val="p"/>
                          </m:rPr>
                          <w:rPr>
                            <w:rFonts w:ascii="Cambria Math" w:hAnsi="Cambria Math"/>
                            <w:color w:val="000000" w:themeColor="text1"/>
                          </w:rPr>
                          <m:t>qX</m:t>
                        </m:r>
                      </m:e>
                      <m:sup>
                        <m:r>
                          <m:rPr>
                            <m:sty m:val="p"/>
                          </m:rPr>
                          <w:rPr>
                            <w:rFonts w:ascii="Cambria Math" w:hAnsi="Cambria Math"/>
                            <w:color w:val="000000" w:themeColor="text1"/>
                          </w:rPr>
                          <m:t>2</m:t>
                        </m:r>
                      </m:sup>
                    </m:sSup>
                    <m:r>
                      <m:rPr>
                        <m:sty m:val="p"/>
                      </m:rPr>
                      <w:rPr>
                        <w:rFonts w:ascii="Cambria Math" w:hAnsi="Cambria Math"/>
                        <w:color w:val="000000" w:themeColor="text1"/>
                      </w:rPr>
                      <m:t>+</m:t>
                    </m:r>
                    <m:sSup>
                      <m:sSupPr>
                        <m:ctrlPr>
                          <w:rPr>
                            <w:rFonts w:ascii="Cambria Math" w:hAnsi="Cambria Math"/>
                            <w:color w:val="000000" w:themeColor="text1"/>
                          </w:rPr>
                        </m:ctrlPr>
                      </m:sSupPr>
                      <m:e>
                        <m:r>
                          <m:rPr>
                            <m:sty m:val="p"/>
                          </m:rPr>
                          <w:rPr>
                            <w:rFonts w:ascii="Cambria Math" w:hAnsi="Cambria Math"/>
                            <w:color w:val="000000" w:themeColor="text1"/>
                          </w:rPr>
                          <m:t>qZ</m:t>
                        </m:r>
                      </m:e>
                      <m:sup>
                        <m:r>
                          <m:rPr>
                            <m:sty m:val="p"/>
                          </m:rPr>
                          <w:rPr>
                            <w:rFonts w:ascii="Cambria Math" w:hAnsi="Cambria Math"/>
                            <w:color w:val="000000" w:themeColor="text1"/>
                          </w:rPr>
                          <m:t>2</m:t>
                        </m:r>
                      </m:sup>
                    </m:sSup>
                    <m:r>
                      <m:rPr>
                        <m:sty m:val="p"/>
                      </m:rPr>
                      <w:rPr>
                        <w:rFonts w:ascii="Cambria Math" w:hAnsi="Cambria Math"/>
                        <w:color w:val="000000" w:themeColor="text1"/>
                      </w:rPr>
                      <m:t>)</m:t>
                    </m:r>
                  </m:e>
                  <m:e>
                    <m:r>
                      <m:rPr>
                        <m:sty m:val="p"/>
                      </m:rPr>
                      <w:rPr>
                        <w:rFonts w:ascii="Cambria Math" w:hAnsi="Cambria Math"/>
                        <w:color w:val="000000" w:themeColor="text1"/>
                      </w:rPr>
                      <m:t>2*(qY*qZ-qX*qW)</m:t>
                    </m:r>
                  </m:e>
                  <m:e>
                    <m:r>
                      <m:rPr>
                        <m:sty m:val="p"/>
                      </m:rPr>
                      <w:rPr>
                        <w:rFonts w:ascii="Cambria Math" w:hAnsi="Cambria Math"/>
                        <w:color w:val="000000" w:themeColor="text1"/>
                      </w:rPr>
                      <m:t>0</m:t>
                    </m:r>
                    <m:ctrlPr>
                      <w:rPr>
                        <w:rFonts w:ascii="Cambria Math" w:eastAsia="Times New Roman" w:hAnsi="Cambria Math"/>
                        <w:color w:val="000000" w:themeColor="text1"/>
                      </w:rPr>
                    </m:ctrlPr>
                  </m:e>
                </m:mr>
                <m:mr>
                  <m:e>
                    <m:r>
                      <m:rPr>
                        <m:sty m:val="p"/>
                      </m:rPr>
                      <w:rPr>
                        <w:rFonts w:ascii="Cambria Math" w:hAnsi="Cambria Math"/>
                        <w:color w:val="000000" w:themeColor="text1"/>
                      </w:rPr>
                      <m:t>2*(qX*qZ-qY*qW)</m:t>
                    </m:r>
                  </m:e>
                  <m:e>
                    <m:r>
                      <m:rPr>
                        <m:sty m:val="p"/>
                      </m:rPr>
                      <w:rPr>
                        <w:rFonts w:ascii="Cambria Math" w:hAnsi="Cambria Math"/>
                        <w:color w:val="000000" w:themeColor="text1"/>
                      </w:rPr>
                      <m:t>2*(qY*qZ+qX*qW)</m:t>
                    </m:r>
                  </m:e>
                  <m:e>
                    <m:r>
                      <m:rPr>
                        <m:sty m:val="p"/>
                      </m:rPr>
                      <w:rPr>
                        <w:rFonts w:ascii="Cambria Math" w:hAnsi="Cambria Math"/>
                        <w:color w:val="000000" w:themeColor="text1"/>
                      </w:rPr>
                      <m:t>1-2*(</m:t>
                    </m:r>
                    <m:sSup>
                      <m:sSupPr>
                        <m:ctrlPr>
                          <w:rPr>
                            <w:rFonts w:ascii="Cambria Math" w:hAnsi="Cambria Math"/>
                            <w:color w:val="000000" w:themeColor="text1"/>
                          </w:rPr>
                        </m:ctrlPr>
                      </m:sSupPr>
                      <m:e>
                        <m:r>
                          <m:rPr>
                            <m:sty m:val="p"/>
                          </m:rPr>
                          <w:rPr>
                            <w:rFonts w:ascii="Cambria Math" w:hAnsi="Cambria Math"/>
                            <w:color w:val="000000" w:themeColor="text1"/>
                          </w:rPr>
                          <m:t>qX</m:t>
                        </m:r>
                      </m:e>
                      <m:sup>
                        <m:r>
                          <m:rPr>
                            <m:sty m:val="p"/>
                          </m:rPr>
                          <w:rPr>
                            <w:rFonts w:ascii="Cambria Math" w:hAnsi="Cambria Math"/>
                            <w:color w:val="000000" w:themeColor="text1"/>
                          </w:rPr>
                          <m:t>2</m:t>
                        </m:r>
                      </m:sup>
                    </m:sSup>
                    <m:r>
                      <m:rPr>
                        <m:sty m:val="p"/>
                      </m:rPr>
                      <w:rPr>
                        <w:rFonts w:ascii="Cambria Math" w:hAnsi="Cambria Math"/>
                        <w:color w:val="000000" w:themeColor="text1"/>
                      </w:rPr>
                      <m:t>+</m:t>
                    </m:r>
                    <m:sSup>
                      <m:sSupPr>
                        <m:ctrlPr>
                          <w:rPr>
                            <w:rFonts w:ascii="Cambria Math" w:hAnsi="Cambria Math"/>
                            <w:color w:val="000000" w:themeColor="text1"/>
                          </w:rPr>
                        </m:ctrlPr>
                      </m:sSupPr>
                      <m:e>
                        <m:r>
                          <m:rPr>
                            <m:sty m:val="p"/>
                          </m:rPr>
                          <w:rPr>
                            <w:rFonts w:ascii="Cambria Math" w:hAnsi="Cambria Math"/>
                            <w:color w:val="000000" w:themeColor="text1"/>
                          </w:rPr>
                          <m:t>qY</m:t>
                        </m:r>
                      </m:e>
                      <m:sup>
                        <m:r>
                          <m:rPr>
                            <m:sty m:val="p"/>
                          </m:rPr>
                          <w:rPr>
                            <w:rFonts w:ascii="Cambria Math" w:hAnsi="Cambria Math"/>
                            <w:color w:val="000000" w:themeColor="text1"/>
                          </w:rPr>
                          <m:t>2</m:t>
                        </m:r>
                      </m:sup>
                    </m:sSup>
                    <m:r>
                      <m:rPr>
                        <m:sty m:val="p"/>
                      </m:rPr>
                      <w:rPr>
                        <w:rFonts w:ascii="Cambria Math" w:hAnsi="Cambria Math"/>
                        <w:color w:val="000000" w:themeColor="text1"/>
                      </w:rPr>
                      <m:t>)</m:t>
                    </m:r>
                    <m:ctrlPr>
                      <w:rPr>
                        <w:rFonts w:ascii="Cambria Math" w:eastAsia="Times New Roman" w:hAnsi="Cambria Math"/>
                        <w:color w:val="000000" w:themeColor="text1"/>
                      </w:rPr>
                    </m:ctrlPr>
                  </m:e>
                  <m:e>
                    <m:r>
                      <m:rPr>
                        <m:sty m:val="p"/>
                      </m:rPr>
                      <w:rPr>
                        <w:rFonts w:ascii="Cambria Math" w:eastAsia="Times New Roman" w:hAnsi="Cambria Math" w:cs="Cambria Math"/>
                        <w:color w:val="000000" w:themeColor="text1"/>
                      </w:rPr>
                      <m:t>0</m:t>
                    </m:r>
                    <m:ctrlPr>
                      <w:rPr>
                        <w:rFonts w:ascii="Cambria Math" w:eastAsia="Times New Roman" w:hAnsi="Cambria Math"/>
                        <w:color w:val="000000" w:themeColor="text1"/>
                      </w:rPr>
                    </m:ctrlPr>
                  </m:e>
                </m:mr>
                <m:mr>
                  <m:e>
                    <m:r>
                      <m:rPr>
                        <m:sty m:val="p"/>
                      </m:rPr>
                      <w:rPr>
                        <w:rFonts w:ascii="Cambria Math" w:eastAsia="Times New Roman" w:hAnsi="Cambria Math" w:cs="Cambria Math"/>
                        <w:color w:val="000000" w:themeColor="text1"/>
                      </w:rPr>
                      <m:t>0</m:t>
                    </m:r>
                    <m:ctrlPr>
                      <w:rPr>
                        <w:rFonts w:ascii="Cambria Math" w:eastAsia="Times New Roman" w:hAnsi="Cambria Math"/>
                        <w:color w:val="000000" w:themeColor="text1"/>
                      </w:rPr>
                    </m:ctrlPr>
                  </m:e>
                  <m:e>
                    <m:r>
                      <m:rPr>
                        <m:sty m:val="p"/>
                      </m:rPr>
                      <w:rPr>
                        <w:rFonts w:ascii="Cambria Math" w:eastAsia="Times New Roman" w:hAnsi="Cambria Math" w:cs="Cambria Math"/>
                        <w:color w:val="000000" w:themeColor="text1"/>
                      </w:rPr>
                      <m:t>0</m:t>
                    </m:r>
                    <m:ctrlPr>
                      <w:rPr>
                        <w:rFonts w:ascii="Cambria Math" w:eastAsia="Times New Roman" w:hAnsi="Cambria Math"/>
                        <w:color w:val="000000" w:themeColor="text1"/>
                      </w:rPr>
                    </m:ctrlPr>
                  </m:e>
                  <m:e>
                    <m:r>
                      <m:rPr>
                        <m:sty m:val="p"/>
                      </m:rPr>
                      <w:rPr>
                        <w:rFonts w:ascii="Cambria Math" w:eastAsia="Times New Roman" w:hAnsi="Cambria Math" w:cs="Cambria Math"/>
                        <w:color w:val="000000" w:themeColor="text1"/>
                      </w:rPr>
                      <m:t>0</m:t>
                    </m:r>
                    <m:ctrlPr>
                      <w:rPr>
                        <w:rFonts w:ascii="Cambria Math" w:eastAsia="Times New Roman" w:hAnsi="Cambria Math"/>
                        <w:color w:val="000000" w:themeColor="text1"/>
                      </w:rPr>
                    </m:ctrlPr>
                  </m:e>
                  <m:e>
                    <m:r>
                      <m:rPr>
                        <m:sty m:val="p"/>
                      </m:rPr>
                      <w:rPr>
                        <w:rFonts w:ascii="Cambria Math" w:eastAsia="Times New Roman" w:hAnsi="Cambria Math" w:cs="Cambria Math"/>
                        <w:color w:val="000000" w:themeColor="text1"/>
                      </w:rPr>
                      <m:t>1</m:t>
                    </m:r>
                  </m:e>
                </m:mr>
              </m:m>
            </m:e>
          </m:d>
        </m:oMath>
      </m:oMathPara>
    </w:p>
    <w:p w14:paraId="41B57A29" w14:textId="48CE04F3" w:rsidR="0087330D" w:rsidRPr="00A52AB8" w:rsidRDefault="0087330D" w:rsidP="00057357">
      <w:pPr>
        <w:rPr>
          <w:color w:val="000000" w:themeColor="text1"/>
        </w:rPr>
      </w:pPr>
      <w:r w:rsidRPr="00A52AB8">
        <w:rPr>
          <w:color w:val="000000" w:themeColor="text1"/>
        </w:rPr>
        <w:t xml:space="preserve">It is </w:t>
      </w:r>
      <w:r w:rsidR="00CF376B" w:rsidRPr="00A52AB8">
        <w:rPr>
          <w:color w:val="000000" w:themeColor="text1"/>
        </w:rPr>
        <w:t xml:space="preserve">a </w:t>
      </w:r>
      <w:r w:rsidRPr="00A52AB8">
        <w:rPr>
          <w:color w:val="000000" w:themeColor="text1"/>
        </w:rPr>
        <w:t xml:space="preserve">requirement of bitstream conformance that </w:t>
      </w:r>
      <w:r w:rsidRPr="00A52AB8">
        <w:t>qX</w:t>
      </w:r>
      <w:r w:rsidR="001F55FA" w:rsidRPr="00A52AB8">
        <w:rPr>
          <w:rStyle w:val="fontstyle01"/>
          <w:rFonts w:ascii="Cambria" w:hAnsi="Cambria"/>
          <w:color w:val="000000" w:themeColor="text1"/>
          <w:position w:val="6"/>
          <w:sz w:val="22"/>
          <w:szCs w:val="22"/>
          <w:vertAlign w:val="superscript"/>
        </w:rPr>
        <w:t>2</w:t>
      </w:r>
      <w:r w:rsidRPr="00A52AB8">
        <w:rPr>
          <w:bCs/>
        </w:rPr>
        <w:t> + </w:t>
      </w:r>
      <w:r w:rsidRPr="00A52AB8">
        <w:t>qY</w:t>
      </w:r>
      <w:r w:rsidR="001F55FA" w:rsidRPr="00A52AB8">
        <w:rPr>
          <w:rStyle w:val="fontstyle01"/>
          <w:rFonts w:ascii="Cambria" w:hAnsi="Cambria"/>
          <w:color w:val="000000" w:themeColor="text1"/>
          <w:position w:val="6"/>
          <w:sz w:val="22"/>
          <w:szCs w:val="22"/>
          <w:vertAlign w:val="superscript"/>
        </w:rPr>
        <w:t>2</w:t>
      </w:r>
      <w:r w:rsidRPr="00A52AB8">
        <w:rPr>
          <w:bCs/>
        </w:rPr>
        <w:t> + </w:t>
      </w:r>
      <w:r w:rsidRPr="00A52AB8">
        <w:t>qZ</w:t>
      </w:r>
      <w:r w:rsidR="001F55FA" w:rsidRPr="00A52AB8">
        <w:rPr>
          <w:rStyle w:val="fontstyle01"/>
          <w:rFonts w:ascii="Cambria" w:hAnsi="Cambria"/>
          <w:color w:val="000000" w:themeColor="text1"/>
          <w:position w:val="6"/>
          <w:sz w:val="22"/>
          <w:szCs w:val="22"/>
          <w:vertAlign w:val="superscript"/>
        </w:rPr>
        <w:t>2</w:t>
      </w:r>
      <w:r w:rsidRPr="00A52AB8">
        <w:rPr>
          <w:bCs/>
        </w:rPr>
        <w:t> </w:t>
      </w:r>
      <w:r w:rsidR="00A234FD" w:rsidRPr="00A52AB8">
        <w:rPr>
          <w:bCs/>
        </w:rPr>
        <w:t>&lt;=</w:t>
      </w:r>
      <w:r w:rsidR="00D47707" w:rsidRPr="00A52AB8">
        <w:rPr>
          <w:bCs/>
        </w:rPr>
        <w:t> </w:t>
      </w:r>
      <w:r w:rsidR="00A03EE3" w:rsidRPr="00A52AB8">
        <w:rPr>
          <w:bCs/>
        </w:rPr>
        <w:t>1</w:t>
      </w:r>
      <w:r w:rsidRPr="00A52AB8">
        <w:rPr>
          <w:bCs/>
        </w:rPr>
        <w:t>.</w:t>
      </w:r>
    </w:p>
    <w:p w14:paraId="6A1C5155" w14:textId="77777777" w:rsidR="00C17222" w:rsidRPr="00A52AB8" w:rsidRDefault="00C17222" w:rsidP="00C17222">
      <w:pPr>
        <w:pStyle w:val="a5"/>
        <w:numPr>
          <w:ilvl w:val="4"/>
          <w:numId w:val="14"/>
        </w:numPr>
      </w:pPr>
      <w:r w:rsidRPr="00A52AB8">
        <w:t xml:space="preserve">Supplemental enhancement information RBSP </w:t>
      </w:r>
      <w:r w:rsidR="0047013F" w:rsidRPr="00A52AB8">
        <w:t>semantics</w:t>
      </w:r>
    </w:p>
    <w:p w14:paraId="5B690CEF" w14:textId="15A6BF20" w:rsidR="00C17222" w:rsidRPr="00A52AB8" w:rsidRDefault="00C17222" w:rsidP="00C17222">
      <w:pPr>
        <w:rPr>
          <w:lang w:eastAsia="ja-JP"/>
        </w:rPr>
      </w:pPr>
      <w:r w:rsidRPr="00A52AB8">
        <w:t xml:space="preserve">The specifications in </w:t>
      </w:r>
      <w:r w:rsidR="00406A86" w:rsidRPr="00A52AB8">
        <w:t>subclause</w:t>
      </w:r>
      <w:r w:rsidRPr="00A52AB8">
        <w:t xml:space="preserve"> </w:t>
      </w:r>
      <w:r w:rsidR="00D92A0E" w:rsidRPr="00496A4D">
        <w:fldChar w:fldCharType="begin"/>
      </w:r>
      <w:r w:rsidR="00D92A0E" w:rsidRPr="00A52AB8">
        <w:instrText xml:space="preserve"> REF _Ref38315838 \n \h </w:instrText>
      </w:r>
      <w:r w:rsidR="00CA5401" w:rsidRPr="00A52AB8">
        <w:instrText xml:space="preserve"> \* MERGEFORMAT </w:instrText>
      </w:r>
      <w:r w:rsidR="00D92A0E" w:rsidRPr="00496A4D">
        <w:fldChar w:fldCharType="separate"/>
      </w:r>
      <w:r w:rsidR="00507A67">
        <w:t>8.4.6.4</w:t>
      </w:r>
      <w:r w:rsidR="00D92A0E" w:rsidRPr="00496A4D">
        <w:fldChar w:fldCharType="end"/>
      </w:r>
      <w:r w:rsidR="00E923EE" w:rsidRPr="00A52AB8">
        <w:t xml:space="preserve"> </w:t>
      </w:r>
      <w:r w:rsidRPr="00A52AB8">
        <w:t>and its subclauses apply.</w:t>
      </w:r>
    </w:p>
    <w:p w14:paraId="68220B9B" w14:textId="77777777" w:rsidR="00C17222" w:rsidRPr="00A52AB8" w:rsidRDefault="00C17222" w:rsidP="00C17222">
      <w:pPr>
        <w:pStyle w:val="a5"/>
        <w:numPr>
          <w:ilvl w:val="4"/>
          <w:numId w:val="14"/>
        </w:numPr>
      </w:pPr>
      <w:r w:rsidRPr="00A52AB8">
        <w:t xml:space="preserve">Access unit delimiter RBSP </w:t>
      </w:r>
      <w:r w:rsidR="0047013F" w:rsidRPr="00A52AB8">
        <w:t>semantics</w:t>
      </w:r>
    </w:p>
    <w:p w14:paraId="7D2430E4" w14:textId="290EC4C3" w:rsidR="00C17222" w:rsidRPr="00A52AB8" w:rsidRDefault="00C17222" w:rsidP="00C17222">
      <w:pPr>
        <w:rPr>
          <w:lang w:eastAsia="ja-JP"/>
        </w:rPr>
      </w:pPr>
      <w:r w:rsidRPr="00A52AB8">
        <w:t xml:space="preserve">The specifications in </w:t>
      </w:r>
      <w:r w:rsidR="00406A86" w:rsidRPr="00A52AB8">
        <w:t>subclause</w:t>
      </w:r>
      <w:r w:rsidRPr="00A52AB8">
        <w:t xml:space="preserve"> </w:t>
      </w:r>
      <w:r w:rsidR="00D92A0E" w:rsidRPr="00496A4D">
        <w:fldChar w:fldCharType="begin"/>
      </w:r>
      <w:r w:rsidR="00D92A0E" w:rsidRPr="00A52AB8">
        <w:instrText xml:space="preserve"> REF _Ref38315846 \n \h </w:instrText>
      </w:r>
      <w:r w:rsidR="00CA5401" w:rsidRPr="00A52AB8">
        <w:instrText xml:space="preserve"> \* MERGEFORMAT </w:instrText>
      </w:r>
      <w:r w:rsidR="00D92A0E" w:rsidRPr="00496A4D">
        <w:fldChar w:fldCharType="separate"/>
      </w:r>
      <w:r w:rsidR="00507A67">
        <w:t>8.4.6.5</w:t>
      </w:r>
      <w:r w:rsidR="00D92A0E" w:rsidRPr="00496A4D">
        <w:fldChar w:fldCharType="end"/>
      </w:r>
      <w:r w:rsidRPr="00A52AB8">
        <w:t xml:space="preserve"> and its subclauses apply.</w:t>
      </w:r>
    </w:p>
    <w:p w14:paraId="70749722" w14:textId="77777777" w:rsidR="00C17222" w:rsidRPr="00A52AB8" w:rsidRDefault="00C17222" w:rsidP="00C17222">
      <w:pPr>
        <w:pStyle w:val="a5"/>
        <w:numPr>
          <w:ilvl w:val="4"/>
          <w:numId w:val="14"/>
        </w:numPr>
      </w:pPr>
      <w:r w:rsidRPr="00A52AB8">
        <w:t xml:space="preserve">End of sequence RBSP </w:t>
      </w:r>
      <w:r w:rsidR="0047013F" w:rsidRPr="00A52AB8">
        <w:t>semantics</w:t>
      </w:r>
    </w:p>
    <w:p w14:paraId="43D6DA61" w14:textId="12796BA9" w:rsidR="00C17222" w:rsidRPr="00A52AB8" w:rsidRDefault="00C17222" w:rsidP="00C17222">
      <w:r w:rsidRPr="00A52AB8">
        <w:t xml:space="preserve">The specifications in </w:t>
      </w:r>
      <w:r w:rsidR="00406A86" w:rsidRPr="00A52AB8">
        <w:t>subclause</w:t>
      </w:r>
      <w:r w:rsidRPr="00A52AB8">
        <w:t xml:space="preserve"> </w:t>
      </w:r>
      <w:r w:rsidR="00D92A0E" w:rsidRPr="00496A4D">
        <w:fldChar w:fldCharType="begin"/>
      </w:r>
      <w:r w:rsidR="00D92A0E" w:rsidRPr="00A52AB8">
        <w:instrText xml:space="preserve"> REF _Ref398989280 \n \h </w:instrText>
      </w:r>
      <w:r w:rsidR="00CA5401" w:rsidRPr="00A52AB8">
        <w:instrText xml:space="preserve"> \* MERGEFORMAT </w:instrText>
      </w:r>
      <w:r w:rsidR="00D92A0E" w:rsidRPr="00496A4D">
        <w:fldChar w:fldCharType="separate"/>
      </w:r>
      <w:r w:rsidR="00507A67">
        <w:t>8.4.6.6</w:t>
      </w:r>
      <w:r w:rsidR="00D92A0E" w:rsidRPr="00496A4D">
        <w:fldChar w:fldCharType="end"/>
      </w:r>
      <w:r w:rsidR="00D92A0E" w:rsidRPr="00A52AB8">
        <w:t xml:space="preserve"> </w:t>
      </w:r>
      <w:r w:rsidRPr="00A52AB8">
        <w:t>and its subclauses apply.</w:t>
      </w:r>
    </w:p>
    <w:p w14:paraId="24848BCA" w14:textId="77777777" w:rsidR="00C17222" w:rsidRPr="00A52AB8" w:rsidRDefault="00C17222" w:rsidP="00C17222">
      <w:pPr>
        <w:pStyle w:val="a5"/>
        <w:numPr>
          <w:ilvl w:val="4"/>
          <w:numId w:val="14"/>
        </w:numPr>
      </w:pPr>
      <w:r w:rsidRPr="00A52AB8">
        <w:t xml:space="preserve">End of bitstream RBSP </w:t>
      </w:r>
      <w:r w:rsidR="0047013F" w:rsidRPr="00A52AB8">
        <w:t>semantics</w:t>
      </w:r>
    </w:p>
    <w:p w14:paraId="0BF381FA" w14:textId="180E03FD" w:rsidR="00C17222" w:rsidRPr="00A52AB8" w:rsidRDefault="00C17222" w:rsidP="00C17222">
      <w:pPr>
        <w:rPr>
          <w:lang w:eastAsia="ja-JP"/>
        </w:rPr>
      </w:pPr>
      <w:r w:rsidRPr="00A52AB8">
        <w:rPr>
          <w:lang w:eastAsia="ja-JP"/>
        </w:rPr>
        <w:t xml:space="preserve">The specifications in </w:t>
      </w:r>
      <w:r w:rsidR="00406A86" w:rsidRPr="00A52AB8">
        <w:rPr>
          <w:lang w:eastAsia="ja-JP"/>
        </w:rPr>
        <w:t>subclause</w:t>
      </w:r>
      <w:r w:rsidRPr="00A52AB8">
        <w:rPr>
          <w:lang w:eastAsia="ja-JP"/>
        </w:rPr>
        <w:t xml:space="preserve"> </w:t>
      </w:r>
      <w:r w:rsidR="0054356C" w:rsidRPr="00496A4D">
        <w:rPr>
          <w:lang w:eastAsia="ja-JP"/>
        </w:rPr>
        <w:fldChar w:fldCharType="begin"/>
      </w:r>
      <w:r w:rsidR="0054356C" w:rsidRPr="00A52AB8">
        <w:rPr>
          <w:lang w:eastAsia="ja-JP"/>
        </w:rPr>
        <w:instrText xml:space="preserve"> REF _Ref38315884 \n \h </w:instrText>
      </w:r>
      <w:r w:rsidR="00CA5401" w:rsidRPr="00A52AB8">
        <w:rPr>
          <w:lang w:eastAsia="ja-JP"/>
        </w:rPr>
        <w:instrText xml:space="preserve"> \* MERGEFORMAT </w:instrText>
      </w:r>
      <w:r w:rsidR="0054356C" w:rsidRPr="00496A4D">
        <w:rPr>
          <w:lang w:eastAsia="ja-JP"/>
        </w:rPr>
      </w:r>
      <w:r w:rsidR="0054356C" w:rsidRPr="00496A4D">
        <w:rPr>
          <w:lang w:eastAsia="ja-JP"/>
        </w:rPr>
        <w:fldChar w:fldCharType="separate"/>
      </w:r>
      <w:r w:rsidR="00507A67">
        <w:rPr>
          <w:lang w:eastAsia="ja-JP"/>
        </w:rPr>
        <w:t>8.4.6.7</w:t>
      </w:r>
      <w:r w:rsidR="0054356C" w:rsidRPr="00496A4D">
        <w:rPr>
          <w:lang w:eastAsia="ja-JP"/>
        </w:rPr>
        <w:fldChar w:fldCharType="end"/>
      </w:r>
      <w:r w:rsidR="0054356C" w:rsidRPr="00A52AB8">
        <w:rPr>
          <w:lang w:eastAsia="ja-JP"/>
        </w:rPr>
        <w:t xml:space="preserve"> </w:t>
      </w:r>
      <w:r w:rsidRPr="00A52AB8">
        <w:rPr>
          <w:lang w:eastAsia="ja-JP"/>
        </w:rPr>
        <w:t>and its subclauses apply.</w:t>
      </w:r>
    </w:p>
    <w:p w14:paraId="17CE1323" w14:textId="77777777" w:rsidR="00C17222" w:rsidRPr="00A52AB8" w:rsidRDefault="00C17222" w:rsidP="00C17222">
      <w:pPr>
        <w:pStyle w:val="a5"/>
        <w:numPr>
          <w:ilvl w:val="4"/>
          <w:numId w:val="14"/>
        </w:numPr>
      </w:pPr>
      <w:r w:rsidRPr="00A52AB8">
        <w:t xml:space="preserve">Filler data RBSP </w:t>
      </w:r>
      <w:r w:rsidR="0047013F" w:rsidRPr="00A52AB8">
        <w:t>semantics</w:t>
      </w:r>
    </w:p>
    <w:p w14:paraId="57C0EBD9" w14:textId="779F7029" w:rsidR="00C17222" w:rsidRPr="00A52AB8" w:rsidRDefault="00C17222" w:rsidP="00C17222">
      <w:pPr>
        <w:rPr>
          <w:lang w:eastAsia="ja-JP"/>
        </w:rPr>
      </w:pPr>
      <w:r w:rsidRPr="00A52AB8">
        <w:rPr>
          <w:lang w:eastAsia="ja-JP"/>
        </w:rPr>
        <w:t xml:space="preserve">The specifications in </w:t>
      </w:r>
      <w:r w:rsidR="00406A86" w:rsidRPr="00A52AB8">
        <w:rPr>
          <w:lang w:eastAsia="ja-JP"/>
        </w:rPr>
        <w:t>subclause</w:t>
      </w:r>
      <w:r w:rsidR="00D92A0E" w:rsidRPr="00A52AB8">
        <w:rPr>
          <w:lang w:eastAsia="ja-JP"/>
        </w:rPr>
        <w:t xml:space="preserve"> </w:t>
      </w:r>
      <w:r w:rsidR="0054356C" w:rsidRPr="00496A4D">
        <w:rPr>
          <w:lang w:eastAsia="ja-JP"/>
        </w:rPr>
        <w:fldChar w:fldCharType="begin"/>
      </w:r>
      <w:r w:rsidR="0054356C" w:rsidRPr="00A52AB8">
        <w:rPr>
          <w:lang w:eastAsia="ja-JP"/>
        </w:rPr>
        <w:instrText xml:space="preserve"> REF _Ref38315871 \n \h </w:instrText>
      </w:r>
      <w:r w:rsidR="00CA5401" w:rsidRPr="00A52AB8">
        <w:rPr>
          <w:lang w:eastAsia="ja-JP"/>
        </w:rPr>
        <w:instrText xml:space="preserve"> \* MERGEFORMAT </w:instrText>
      </w:r>
      <w:r w:rsidR="0054356C" w:rsidRPr="00496A4D">
        <w:rPr>
          <w:lang w:eastAsia="ja-JP"/>
        </w:rPr>
      </w:r>
      <w:r w:rsidR="0054356C" w:rsidRPr="00496A4D">
        <w:rPr>
          <w:lang w:eastAsia="ja-JP"/>
        </w:rPr>
        <w:fldChar w:fldCharType="separate"/>
      </w:r>
      <w:r w:rsidR="00507A67">
        <w:rPr>
          <w:lang w:eastAsia="ja-JP"/>
        </w:rPr>
        <w:t>8.4.6.8</w:t>
      </w:r>
      <w:r w:rsidR="0054356C" w:rsidRPr="00496A4D">
        <w:rPr>
          <w:lang w:eastAsia="ja-JP"/>
        </w:rPr>
        <w:fldChar w:fldCharType="end"/>
      </w:r>
      <w:r w:rsidRPr="00A52AB8">
        <w:rPr>
          <w:lang w:eastAsia="ja-JP"/>
        </w:rPr>
        <w:t xml:space="preserve"> and its subclauses apply.</w:t>
      </w:r>
    </w:p>
    <w:p w14:paraId="1F24BE46" w14:textId="77777777" w:rsidR="00C17222" w:rsidRPr="00A52AB8" w:rsidRDefault="00C17222" w:rsidP="00C17222">
      <w:pPr>
        <w:pStyle w:val="a5"/>
        <w:numPr>
          <w:ilvl w:val="4"/>
          <w:numId w:val="14"/>
        </w:numPr>
      </w:pPr>
      <w:r w:rsidRPr="00A52AB8">
        <w:t xml:space="preserve">Atlas </w:t>
      </w:r>
      <w:r w:rsidR="00B8075E" w:rsidRPr="00A52AB8">
        <w:t>tile</w:t>
      </w:r>
      <w:r w:rsidRPr="00A52AB8">
        <w:t xml:space="preserve"> layer RBSP </w:t>
      </w:r>
      <w:r w:rsidR="0047013F" w:rsidRPr="00A52AB8">
        <w:t>semantics</w:t>
      </w:r>
    </w:p>
    <w:p w14:paraId="5FA4401F" w14:textId="78F20261" w:rsidR="00C17222" w:rsidRPr="00A52AB8" w:rsidRDefault="00C17222" w:rsidP="00C17222">
      <w:pPr>
        <w:rPr>
          <w:lang w:eastAsia="ja-JP"/>
        </w:rPr>
      </w:pPr>
      <w:r w:rsidRPr="00A52AB8">
        <w:rPr>
          <w:lang w:eastAsia="ja-JP"/>
        </w:rPr>
        <w:t xml:space="preserve">The specifications in </w:t>
      </w:r>
      <w:r w:rsidR="00406A86" w:rsidRPr="00A52AB8">
        <w:rPr>
          <w:lang w:eastAsia="ja-JP"/>
        </w:rPr>
        <w:t>subclause</w:t>
      </w:r>
      <w:r w:rsidRPr="00A52AB8">
        <w:rPr>
          <w:lang w:eastAsia="ja-JP"/>
        </w:rPr>
        <w:t xml:space="preserve"> </w:t>
      </w:r>
      <w:r w:rsidR="0054356C" w:rsidRPr="00496A4D">
        <w:rPr>
          <w:lang w:eastAsia="ja-JP"/>
        </w:rPr>
        <w:fldChar w:fldCharType="begin"/>
      </w:r>
      <w:r w:rsidR="0054356C" w:rsidRPr="00A52AB8">
        <w:rPr>
          <w:lang w:eastAsia="ja-JP"/>
        </w:rPr>
        <w:instrText xml:space="preserve"> REF _Ref38315893 \n \h </w:instrText>
      </w:r>
      <w:r w:rsidR="00CA5401" w:rsidRPr="00A52AB8">
        <w:rPr>
          <w:lang w:eastAsia="ja-JP"/>
        </w:rPr>
        <w:instrText xml:space="preserve"> \* MERGEFORMAT </w:instrText>
      </w:r>
      <w:r w:rsidR="0054356C" w:rsidRPr="00496A4D">
        <w:rPr>
          <w:lang w:eastAsia="ja-JP"/>
        </w:rPr>
      </w:r>
      <w:r w:rsidR="0054356C" w:rsidRPr="00496A4D">
        <w:rPr>
          <w:lang w:eastAsia="ja-JP"/>
        </w:rPr>
        <w:fldChar w:fldCharType="separate"/>
      </w:r>
      <w:r w:rsidR="00507A67">
        <w:rPr>
          <w:lang w:eastAsia="ja-JP"/>
        </w:rPr>
        <w:t>8.4.6.9</w:t>
      </w:r>
      <w:r w:rsidR="0054356C" w:rsidRPr="00496A4D">
        <w:rPr>
          <w:lang w:eastAsia="ja-JP"/>
        </w:rPr>
        <w:fldChar w:fldCharType="end"/>
      </w:r>
      <w:r w:rsidR="0054356C" w:rsidRPr="00A52AB8">
        <w:rPr>
          <w:lang w:eastAsia="ja-JP"/>
        </w:rPr>
        <w:t xml:space="preserve"> </w:t>
      </w:r>
      <w:r w:rsidRPr="00A52AB8">
        <w:rPr>
          <w:lang w:eastAsia="ja-JP"/>
        </w:rPr>
        <w:t>and its subclauses apply.</w:t>
      </w:r>
    </w:p>
    <w:p w14:paraId="3B3CC40C" w14:textId="77777777" w:rsidR="00C17222" w:rsidRPr="00A52AB8" w:rsidRDefault="00C17222" w:rsidP="00C17222">
      <w:pPr>
        <w:pStyle w:val="a5"/>
        <w:numPr>
          <w:ilvl w:val="4"/>
          <w:numId w:val="14"/>
        </w:numPr>
      </w:pPr>
      <w:r w:rsidRPr="00A52AB8">
        <w:t xml:space="preserve">RBSP trailing bit </w:t>
      </w:r>
      <w:r w:rsidR="0047013F" w:rsidRPr="00A52AB8">
        <w:t>semantics</w:t>
      </w:r>
    </w:p>
    <w:p w14:paraId="2539D195" w14:textId="297C3D2D" w:rsidR="00C17222" w:rsidRPr="00A52AB8" w:rsidRDefault="00C17222" w:rsidP="00C17222">
      <w:pPr>
        <w:rPr>
          <w:lang w:eastAsia="ja-JP"/>
        </w:rPr>
      </w:pPr>
      <w:r w:rsidRPr="00A52AB8">
        <w:rPr>
          <w:lang w:eastAsia="ja-JP"/>
        </w:rPr>
        <w:t xml:space="preserve">The specifications in </w:t>
      </w:r>
      <w:r w:rsidR="00406A86" w:rsidRPr="00A52AB8">
        <w:rPr>
          <w:lang w:eastAsia="ja-JP"/>
        </w:rPr>
        <w:t>subclause</w:t>
      </w:r>
      <w:r w:rsidRPr="00A52AB8">
        <w:rPr>
          <w:lang w:eastAsia="ja-JP"/>
        </w:rPr>
        <w:t xml:space="preserve"> </w:t>
      </w:r>
      <w:r w:rsidR="0054356C" w:rsidRPr="00496A4D">
        <w:rPr>
          <w:lang w:eastAsia="ja-JP"/>
        </w:rPr>
        <w:fldChar w:fldCharType="begin"/>
      </w:r>
      <w:r w:rsidR="0054356C" w:rsidRPr="00A52AB8">
        <w:rPr>
          <w:lang w:eastAsia="ja-JP"/>
        </w:rPr>
        <w:instrText xml:space="preserve"> REF _Ref38315906 \n \h </w:instrText>
      </w:r>
      <w:r w:rsidR="00CA5401" w:rsidRPr="00A52AB8">
        <w:rPr>
          <w:lang w:eastAsia="ja-JP"/>
        </w:rPr>
        <w:instrText xml:space="preserve"> \* MERGEFORMAT </w:instrText>
      </w:r>
      <w:r w:rsidR="0054356C" w:rsidRPr="00496A4D">
        <w:rPr>
          <w:lang w:eastAsia="ja-JP"/>
        </w:rPr>
      </w:r>
      <w:r w:rsidR="0054356C" w:rsidRPr="00496A4D">
        <w:rPr>
          <w:lang w:eastAsia="ja-JP"/>
        </w:rPr>
        <w:fldChar w:fldCharType="separate"/>
      </w:r>
      <w:r w:rsidR="00507A67">
        <w:rPr>
          <w:lang w:eastAsia="ja-JP"/>
        </w:rPr>
        <w:t>8.4.6.10</w:t>
      </w:r>
      <w:r w:rsidR="0054356C" w:rsidRPr="00496A4D">
        <w:rPr>
          <w:lang w:eastAsia="ja-JP"/>
        </w:rPr>
        <w:fldChar w:fldCharType="end"/>
      </w:r>
      <w:r w:rsidRPr="00A52AB8">
        <w:rPr>
          <w:lang w:eastAsia="ja-JP"/>
        </w:rPr>
        <w:t xml:space="preserve"> and its subclauses apply.</w:t>
      </w:r>
    </w:p>
    <w:p w14:paraId="362A1713" w14:textId="77777777" w:rsidR="00C17222" w:rsidRPr="00A52AB8" w:rsidRDefault="00C17222" w:rsidP="00C17222">
      <w:pPr>
        <w:pStyle w:val="a5"/>
        <w:numPr>
          <w:ilvl w:val="4"/>
          <w:numId w:val="14"/>
        </w:numPr>
      </w:pPr>
      <w:r w:rsidRPr="00A52AB8">
        <w:t xml:space="preserve">Atlas </w:t>
      </w:r>
      <w:r w:rsidR="00B8075E" w:rsidRPr="00A52AB8">
        <w:t>tile</w:t>
      </w:r>
      <w:r w:rsidRPr="00A52AB8">
        <w:t xml:space="preserve"> header </w:t>
      </w:r>
      <w:r w:rsidR="0047013F" w:rsidRPr="00A52AB8">
        <w:t>semantics</w:t>
      </w:r>
    </w:p>
    <w:p w14:paraId="07C3F47F" w14:textId="26F2B026" w:rsidR="00C17222" w:rsidRPr="00A52AB8" w:rsidRDefault="00C17222" w:rsidP="00C17222">
      <w:pPr>
        <w:rPr>
          <w:lang w:eastAsia="ja-JP"/>
        </w:rPr>
      </w:pPr>
      <w:r w:rsidRPr="00A52AB8">
        <w:rPr>
          <w:lang w:eastAsia="ja-JP"/>
        </w:rPr>
        <w:t xml:space="preserve">The specifications in </w:t>
      </w:r>
      <w:r w:rsidR="00406A86" w:rsidRPr="00A52AB8">
        <w:rPr>
          <w:lang w:eastAsia="ja-JP"/>
        </w:rPr>
        <w:t>subclause</w:t>
      </w:r>
      <w:r w:rsidRPr="00A52AB8">
        <w:rPr>
          <w:lang w:eastAsia="ja-JP"/>
        </w:rPr>
        <w:t xml:space="preserve"> </w:t>
      </w:r>
      <w:r w:rsidR="0054356C" w:rsidRPr="00496A4D">
        <w:rPr>
          <w:lang w:eastAsia="ja-JP"/>
        </w:rPr>
        <w:fldChar w:fldCharType="begin"/>
      </w:r>
      <w:r w:rsidR="0054356C" w:rsidRPr="00A52AB8">
        <w:rPr>
          <w:lang w:eastAsia="ja-JP"/>
        </w:rPr>
        <w:instrText xml:space="preserve"> REF _Ref38315913 \n \h </w:instrText>
      </w:r>
      <w:r w:rsidR="00CA5401" w:rsidRPr="00A52AB8">
        <w:rPr>
          <w:lang w:eastAsia="ja-JP"/>
        </w:rPr>
        <w:instrText xml:space="preserve"> \* MERGEFORMAT </w:instrText>
      </w:r>
      <w:r w:rsidR="0054356C" w:rsidRPr="00496A4D">
        <w:rPr>
          <w:lang w:eastAsia="ja-JP"/>
        </w:rPr>
      </w:r>
      <w:r w:rsidR="0054356C" w:rsidRPr="00496A4D">
        <w:rPr>
          <w:lang w:eastAsia="ja-JP"/>
        </w:rPr>
        <w:fldChar w:fldCharType="separate"/>
      </w:r>
      <w:r w:rsidR="00507A67">
        <w:rPr>
          <w:lang w:eastAsia="ja-JP"/>
        </w:rPr>
        <w:t>8.4.6.11</w:t>
      </w:r>
      <w:r w:rsidR="0054356C" w:rsidRPr="00496A4D">
        <w:rPr>
          <w:lang w:eastAsia="ja-JP"/>
        </w:rPr>
        <w:fldChar w:fldCharType="end"/>
      </w:r>
      <w:r w:rsidRPr="00A52AB8">
        <w:rPr>
          <w:lang w:eastAsia="ja-JP"/>
        </w:rPr>
        <w:t xml:space="preserve"> and its subclauses apply.</w:t>
      </w:r>
    </w:p>
    <w:p w14:paraId="03874F48" w14:textId="77777777" w:rsidR="00C17222" w:rsidRPr="00A52AB8" w:rsidRDefault="00C17222" w:rsidP="00C17222">
      <w:pPr>
        <w:pStyle w:val="a5"/>
        <w:numPr>
          <w:ilvl w:val="4"/>
          <w:numId w:val="14"/>
        </w:numPr>
      </w:pPr>
      <w:r w:rsidRPr="00A52AB8">
        <w:t xml:space="preserve">Reference list structure </w:t>
      </w:r>
      <w:r w:rsidR="0047013F" w:rsidRPr="00A52AB8">
        <w:t>semantics</w:t>
      </w:r>
    </w:p>
    <w:p w14:paraId="78F937E6" w14:textId="3E06A865" w:rsidR="00DF1B7B" w:rsidRPr="00A52AB8" w:rsidRDefault="00C17222" w:rsidP="00DF1B7B">
      <w:pPr>
        <w:rPr>
          <w:lang w:eastAsia="ja-JP"/>
        </w:rPr>
      </w:pPr>
      <w:r w:rsidRPr="00A52AB8">
        <w:rPr>
          <w:lang w:eastAsia="ja-JP"/>
        </w:rPr>
        <w:t xml:space="preserve">The specifications in </w:t>
      </w:r>
      <w:r w:rsidR="00406A86" w:rsidRPr="00A52AB8">
        <w:rPr>
          <w:lang w:eastAsia="ja-JP"/>
        </w:rPr>
        <w:t>subclause</w:t>
      </w:r>
      <w:r w:rsidRPr="00A52AB8">
        <w:rPr>
          <w:lang w:eastAsia="ja-JP"/>
        </w:rPr>
        <w:t xml:space="preserve"> </w:t>
      </w:r>
      <w:r w:rsidR="0054356C" w:rsidRPr="00496A4D">
        <w:rPr>
          <w:lang w:eastAsia="ja-JP"/>
        </w:rPr>
        <w:fldChar w:fldCharType="begin"/>
      </w:r>
      <w:r w:rsidR="0054356C" w:rsidRPr="00A52AB8">
        <w:rPr>
          <w:lang w:eastAsia="ja-JP"/>
        </w:rPr>
        <w:instrText xml:space="preserve"> REF _Ref38315920 \n \h </w:instrText>
      </w:r>
      <w:r w:rsidR="00CA5401" w:rsidRPr="00A52AB8">
        <w:rPr>
          <w:lang w:eastAsia="ja-JP"/>
        </w:rPr>
        <w:instrText xml:space="preserve"> \* MERGEFORMAT </w:instrText>
      </w:r>
      <w:r w:rsidR="0054356C" w:rsidRPr="00496A4D">
        <w:rPr>
          <w:lang w:eastAsia="ja-JP"/>
        </w:rPr>
      </w:r>
      <w:r w:rsidR="0054356C" w:rsidRPr="00496A4D">
        <w:rPr>
          <w:lang w:eastAsia="ja-JP"/>
        </w:rPr>
        <w:fldChar w:fldCharType="separate"/>
      </w:r>
      <w:r w:rsidR="00507A67">
        <w:rPr>
          <w:lang w:eastAsia="ja-JP"/>
        </w:rPr>
        <w:t>8.4.6.12</w:t>
      </w:r>
      <w:r w:rsidR="0054356C" w:rsidRPr="00496A4D">
        <w:rPr>
          <w:lang w:eastAsia="ja-JP"/>
        </w:rPr>
        <w:fldChar w:fldCharType="end"/>
      </w:r>
      <w:r w:rsidR="0054356C" w:rsidRPr="00A52AB8">
        <w:rPr>
          <w:lang w:eastAsia="ja-JP"/>
        </w:rPr>
        <w:t xml:space="preserve"> </w:t>
      </w:r>
      <w:r w:rsidRPr="00A52AB8">
        <w:rPr>
          <w:lang w:eastAsia="ja-JP"/>
        </w:rPr>
        <w:t>and its subclauses apply.</w:t>
      </w:r>
    </w:p>
    <w:p w14:paraId="0BE25BFB" w14:textId="77777777" w:rsidR="00DF16E1" w:rsidRPr="00A52AB8" w:rsidRDefault="00DF16E1" w:rsidP="00DF16E1">
      <w:pPr>
        <w:pStyle w:val="a4"/>
        <w:numPr>
          <w:ilvl w:val="3"/>
          <w:numId w:val="14"/>
        </w:numPr>
      </w:pPr>
      <w:r w:rsidRPr="00A52AB8">
        <w:t xml:space="preserve">Atlas tile data unit </w:t>
      </w:r>
      <w:r w:rsidR="004E07D6" w:rsidRPr="00A52AB8">
        <w:t>semantics</w:t>
      </w:r>
    </w:p>
    <w:p w14:paraId="05EF758B" w14:textId="110CA60C" w:rsidR="00DF16E1" w:rsidRPr="00A52AB8" w:rsidRDefault="00DF16E1" w:rsidP="00DF16E1">
      <w:pPr>
        <w:rPr>
          <w:lang w:eastAsia="ja-JP"/>
        </w:rPr>
      </w:pPr>
      <w:r w:rsidRPr="00A52AB8">
        <w:rPr>
          <w:lang w:eastAsia="ja-JP"/>
        </w:rPr>
        <w:t xml:space="preserve">The specifications in subclause </w:t>
      </w:r>
      <w:r w:rsidR="004E07D6" w:rsidRPr="00496A4D">
        <w:rPr>
          <w:lang w:eastAsia="ja-JP"/>
        </w:rPr>
        <w:fldChar w:fldCharType="begin"/>
      </w:r>
      <w:r w:rsidR="004E07D6" w:rsidRPr="00A52AB8">
        <w:rPr>
          <w:lang w:eastAsia="ja-JP"/>
        </w:rPr>
        <w:instrText xml:space="preserve"> REF _Ref48219443 \r \h </w:instrText>
      </w:r>
      <w:r w:rsidR="00851254" w:rsidRPr="00A52AB8">
        <w:rPr>
          <w:lang w:eastAsia="ja-JP"/>
        </w:rPr>
        <w:instrText xml:space="preserve"> \* MERGEFORMAT </w:instrText>
      </w:r>
      <w:r w:rsidR="004E07D6" w:rsidRPr="00496A4D">
        <w:rPr>
          <w:lang w:eastAsia="ja-JP"/>
        </w:rPr>
      </w:r>
      <w:r w:rsidR="004E07D6" w:rsidRPr="00496A4D">
        <w:rPr>
          <w:lang w:eastAsia="ja-JP"/>
        </w:rPr>
        <w:fldChar w:fldCharType="separate"/>
      </w:r>
      <w:r w:rsidR="00507A67">
        <w:rPr>
          <w:lang w:eastAsia="ja-JP"/>
        </w:rPr>
        <w:t>8.4.6.13</w:t>
      </w:r>
      <w:r w:rsidR="004E07D6" w:rsidRPr="00496A4D">
        <w:rPr>
          <w:lang w:eastAsia="ja-JP"/>
        </w:rPr>
        <w:fldChar w:fldCharType="end"/>
      </w:r>
      <w:r w:rsidRPr="00A52AB8">
        <w:rPr>
          <w:lang w:eastAsia="ja-JP"/>
        </w:rPr>
        <w:t xml:space="preserve"> and its subclauses apply.</w:t>
      </w:r>
    </w:p>
    <w:p w14:paraId="4E7D024D" w14:textId="7B669BCE" w:rsidR="00DF16E1" w:rsidRPr="00A52AB8" w:rsidRDefault="00DF16E1" w:rsidP="00DF16E1">
      <w:pPr>
        <w:pStyle w:val="ListParagraph"/>
        <w:numPr>
          <w:ilvl w:val="3"/>
          <w:numId w:val="14"/>
        </w:numPr>
        <w:ind w:leftChars="0"/>
        <w:rPr>
          <w:rFonts w:eastAsia="MS Mincho"/>
          <w:b/>
          <w:bCs/>
          <w:iCs/>
          <w:lang w:eastAsia="ja-JP"/>
        </w:rPr>
      </w:pPr>
      <w:r w:rsidRPr="00A52AB8">
        <w:rPr>
          <w:rFonts w:eastAsia="MS Mincho"/>
          <w:b/>
          <w:bCs/>
          <w:iCs/>
          <w:lang w:eastAsia="ja-JP"/>
        </w:rPr>
        <w:t xml:space="preserve">Supplemental enhancement information message </w:t>
      </w:r>
      <w:r w:rsidR="004E07D6" w:rsidRPr="00A52AB8">
        <w:rPr>
          <w:b/>
          <w:bCs/>
        </w:rPr>
        <w:t>semantics</w:t>
      </w:r>
    </w:p>
    <w:p w14:paraId="2A741ED4" w14:textId="2A8513E1" w:rsidR="00924E4F" w:rsidRPr="00A52AB8" w:rsidRDefault="00924E4F" w:rsidP="004A7026">
      <w:pPr>
        <w:pStyle w:val="ListParagraph"/>
        <w:ind w:leftChars="0" w:left="0"/>
        <w:rPr>
          <w:rFonts w:eastAsia="MS Mincho"/>
          <w:b/>
          <w:bCs/>
          <w:iCs/>
          <w:lang w:eastAsia="ja-JP"/>
        </w:rPr>
      </w:pPr>
      <w:r w:rsidRPr="00A52AB8">
        <w:t xml:space="preserve">The specifications in subclause </w:t>
      </w:r>
      <w:r w:rsidRPr="00496A4D">
        <w:fldChar w:fldCharType="begin"/>
      </w:r>
      <w:r w:rsidRPr="00A52AB8">
        <w:instrText xml:space="preserve"> REF _Ref48219458 \r \h  \* MERGEFORMAT </w:instrText>
      </w:r>
      <w:r w:rsidRPr="00496A4D">
        <w:fldChar w:fldCharType="separate"/>
      </w:r>
      <w:r w:rsidR="00507A67">
        <w:t>8.4.8</w:t>
      </w:r>
      <w:r w:rsidRPr="00496A4D">
        <w:fldChar w:fldCharType="end"/>
      </w:r>
      <w:r w:rsidRPr="00A52AB8">
        <w:t xml:space="preserve"> and its subclauses apply.</w:t>
      </w:r>
    </w:p>
    <w:p w14:paraId="2CCE35A4" w14:textId="6BAF93EB" w:rsidR="00DF1B7B" w:rsidRPr="00A52AB8" w:rsidRDefault="00DF1B7B" w:rsidP="00DF1B7B">
      <w:pPr>
        <w:pStyle w:val="a2"/>
        <w:numPr>
          <w:ilvl w:val="1"/>
          <w:numId w:val="14"/>
        </w:numPr>
      </w:pPr>
      <w:bookmarkStart w:id="6217" w:name="_Ref49201538"/>
      <w:bookmarkStart w:id="6218" w:name="_Toc37760817"/>
      <w:bookmarkStart w:id="6219" w:name="_Toc52181781"/>
      <w:r w:rsidRPr="00A52AB8">
        <w:t xml:space="preserve">Decoding </w:t>
      </w:r>
      <w:r w:rsidR="00095CE3" w:rsidRPr="00A52AB8">
        <w:t>p</w:t>
      </w:r>
      <w:r w:rsidRPr="00A52AB8">
        <w:t>rocess</w:t>
      </w:r>
      <w:bookmarkEnd w:id="6217"/>
      <w:bookmarkEnd w:id="6218"/>
      <w:bookmarkEnd w:id="6219"/>
    </w:p>
    <w:p w14:paraId="7DEC9D1B" w14:textId="32811E2A" w:rsidR="00DF1B7B" w:rsidRPr="00A52AB8" w:rsidRDefault="00DF1B7B" w:rsidP="00DF1B7B">
      <w:r w:rsidRPr="00A52AB8">
        <w:t xml:space="preserve">The specifications in </w:t>
      </w:r>
      <w:r w:rsidR="001203F9" w:rsidRPr="00A52AB8">
        <w:t>C</w:t>
      </w:r>
      <w:r w:rsidR="00406A86" w:rsidRPr="00A52AB8">
        <w:t>lause</w:t>
      </w:r>
      <w:r w:rsidRPr="00A52AB8">
        <w:t xml:space="preserve"> </w:t>
      </w:r>
      <w:r w:rsidR="00920035" w:rsidRPr="00496A4D">
        <w:fldChar w:fldCharType="begin"/>
      </w:r>
      <w:r w:rsidR="00920035" w:rsidRPr="00A52AB8">
        <w:instrText xml:space="preserve"> REF _Ref389779808 \n \h </w:instrText>
      </w:r>
      <w:r w:rsidR="00CA5401" w:rsidRPr="00A52AB8">
        <w:instrText xml:space="preserve"> \* MERGEFORMAT </w:instrText>
      </w:r>
      <w:r w:rsidR="00920035" w:rsidRPr="00496A4D">
        <w:fldChar w:fldCharType="separate"/>
      </w:r>
      <w:r w:rsidR="00507A67">
        <w:t>9</w:t>
      </w:r>
      <w:r w:rsidR="00920035" w:rsidRPr="00496A4D">
        <w:fldChar w:fldCharType="end"/>
      </w:r>
      <w:r w:rsidR="00920035" w:rsidRPr="00A52AB8">
        <w:t xml:space="preserve"> </w:t>
      </w:r>
      <w:r w:rsidRPr="00A52AB8">
        <w:t>and its subclauses apply.</w:t>
      </w:r>
    </w:p>
    <w:p w14:paraId="79540E6A" w14:textId="77777777" w:rsidR="00DF1B7B" w:rsidRPr="00A52AB8" w:rsidRDefault="00DF1B7B" w:rsidP="00DF1B7B">
      <w:pPr>
        <w:pStyle w:val="a3"/>
        <w:numPr>
          <w:ilvl w:val="2"/>
          <w:numId w:val="14"/>
        </w:numPr>
      </w:pPr>
      <w:bookmarkStart w:id="6220" w:name="_Toc37760818"/>
      <w:bookmarkStart w:id="6221" w:name="_Toc52181782"/>
      <w:r w:rsidRPr="00A52AB8">
        <w:t>General decoding process</w:t>
      </w:r>
      <w:bookmarkEnd w:id="6220"/>
      <w:bookmarkEnd w:id="6221"/>
    </w:p>
    <w:p w14:paraId="28B9F138" w14:textId="2296EBF3" w:rsidR="00DF1B7B" w:rsidRPr="00A52AB8" w:rsidRDefault="00DF1B7B" w:rsidP="00DF1B7B">
      <w:pPr>
        <w:rPr>
          <w:lang w:eastAsia="ja-JP"/>
        </w:rPr>
      </w:pPr>
      <w:r w:rsidRPr="00A52AB8">
        <w:t xml:space="preserve">The specifications in </w:t>
      </w:r>
      <w:r w:rsidR="00406A86" w:rsidRPr="00A52AB8">
        <w:t>subclause</w:t>
      </w:r>
      <w:r w:rsidRPr="00A52AB8">
        <w:t xml:space="preserve"> </w:t>
      </w:r>
      <w:r w:rsidR="00920035" w:rsidRPr="00496A4D">
        <w:fldChar w:fldCharType="begin"/>
      </w:r>
      <w:r w:rsidR="00920035" w:rsidRPr="00A52AB8">
        <w:instrText xml:space="preserve"> REF _Ref38315980 \n \h </w:instrText>
      </w:r>
      <w:r w:rsidR="00CA5401" w:rsidRPr="00A52AB8">
        <w:instrText xml:space="preserve"> \* MERGEFORMAT </w:instrText>
      </w:r>
      <w:r w:rsidR="00920035" w:rsidRPr="00496A4D">
        <w:fldChar w:fldCharType="separate"/>
      </w:r>
      <w:r w:rsidR="00507A67">
        <w:t>9.1</w:t>
      </w:r>
      <w:r w:rsidR="00920035" w:rsidRPr="00496A4D">
        <w:fldChar w:fldCharType="end"/>
      </w:r>
      <w:r w:rsidRPr="00A52AB8">
        <w:t xml:space="preserve"> apply.</w:t>
      </w:r>
    </w:p>
    <w:p w14:paraId="0067BCCD" w14:textId="77777777" w:rsidR="00DF1B7B" w:rsidRPr="00A52AB8" w:rsidRDefault="00DF1B7B" w:rsidP="00DF1B7B">
      <w:pPr>
        <w:pStyle w:val="a3"/>
        <w:numPr>
          <w:ilvl w:val="2"/>
          <w:numId w:val="14"/>
        </w:numPr>
        <w:rPr>
          <w:color w:val="000000" w:themeColor="text1"/>
        </w:rPr>
      </w:pPr>
      <w:bookmarkStart w:id="6222" w:name="_Toc37760822"/>
      <w:bookmarkStart w:id="6223" w:name="_Ref45107333"/>
      <w:bookmarkStart w:id="6224" w:name="_Toc52181783"/>
      <w:r w:rsidRPr="00A52AB8">
        <w:rPr>
          <w:color w:val="000000" w:themeColor="text1"/>
        </w:rPr>
        <w:t>Atlas data decoding process</w:t>
      </w:r>
      <w:bookmarkEnd w:id="6222"/>
      <w:bookmarkEnd w:id="6223"/>
      <w:bookmarkEnd w:id="6224"/>
    </w:p>
    <w:p w14:paraId="16965CC6" w14:textId="5CB9A9F4" w:rsidR="00DF1B7B" w:rsidRPr="00A52AB8" w:rsidRDefault="00DF1B7B" w:rsidP="00DF1B7B">
      <w:pPr>
        <w:pStyle w:val="a4"/>
        <w:numPr>
          <w:ilvl w:val="3"/>
          <w:numId w:val="14"/>
        </w:numPr>
      </w:pPr>
      <w:bookmarkStart w:id="6225" w:name="_Toc51581700"/>
      <w:bookmarkStart w:id="6226" w:name="_Toc51583241"/>
      <w:bookmarkStart w:id="6227" w:name="_Toc37760823"/>
      <w:bookmarkEnd w:id="6225"/>
      <w:bookmarkEnd w:id="6226"/>
      <w:r w:rsidRPr="00A52AB8">
        <w:t>General atlas data decoding process</w:t>
      </w:r>
      <w:bookmarkEnd w:id="6227"/>
    </w:p>
    <w:p w14:paraId="2171D2FA" w14:textId="31A2AEE3" w:rsidR="00DF1B7B" w:rsidRPr="00A52AB8" w:rsidRDefault="00DF1B7B" w:rsidP="00DF1B7B">
      <w:r w:rsidRPr="00A52AB8">
        <w:t xml:space="preserve">The specifications in </w:t>
      </w:r>
      <w:r w:rsidR="00744D39" w:rsidRPr="00A52AB8">
        <w:t>subclause</w:t>
      </w:r>
      <w:r w:rsidRPr="00A52AB8">
        <w:t xml:space="preserve"> </w:t>
      </w:r>
      <w:r w:rsidR="00A71B79" w:rsidRPr="00496A4D">
        <w:fldChar w:fldCharType="begin"/>
      </w:r>
      <w:r w:rsidR="00A71B79" w:rsidRPr="00A52AB8">
        <w:instrText xml:space="preserve"> REF _Ref38316048 \n \h </w:instrText>
      </w:r>
      <w:r w:rsidR="00CA5401" w:rsidRPr="00A52AB8">
        <w:instrText xml:space="preserve"> \* MERGEFORMAT </w:instrText>
      </w:r>
      <w:r w:rsidR="00A71B79" w:rsidRPr="00496A4D">
        <w:fldChar w:fldCharType="separate"/>
      </w:r>
      <w:r w:rsidR="00507A67">
        <w:t>9.2.1</w:t>
      </w:r>
      <w:r w:rsidR="00A71B79" w:rsidRPr="00496A4D">
        <w:fldChar w:fldCharType="end"/>
      </w:r>
      <w:r w:rsidR="00251070" w:rsidRPr="00A52AB8">
        <w:t xml:space="preserve"> </w:t>
      </w:r>
      <w:r w:rsidRPr="00A52AB8">
        <w:t>and its subclauses apply</w:t>
      </w:r>
    </w:p>
    <w:p w14:paraId="26B77965" w14:textId="77777777" w:rsidR="00251070" w:rsidRPr="00A52AB8" w:rsidRDefault="00251070" w:rsidP="00251070">
      <w:pPr>
        <w:pStyle w:val="a4"/>
        <w:numPr>
          <w:ilvl w:val="3"/>
          <w:numId w:val="14"/>
        </w:numPr>
      </w:pPr>
      <w:r w:rsidRPr="00A52AB8">
        <w:t>Decoding process for a coded atlas frame</w:t>
      </w:r>
    </w:p>
    <w:p w14:paraId="67B8D07C" w14:textId="53389D8B" w:rsidR="00251070" w:rsidRPr="00A52AB8" w:rsidRDefault="00251070" w:rsidP="00DF1B7B">
      <w:pPr>
        <w:rPr>
          <w:lang w:eastAsia="ja-JP"/>
        </w:rPr>
      </w:pPr>
      <w:r w:rsidRPr="00A52AB8">
        <w:t xml:space="preserve">The specifications in subclause </w:t>
      </w:r>
      <w:r w:rsidRPr="00496A4D">
        <w:fldChar w:fldCharType="begin"/>
      </w:r>
      <w:r w:rsidRPr="00A52AB8">
        <w:instrText xml:space="preserve"> REF _Ref47867895 \r \h </w:instrText>
      </w:r>
      <w:r w:rsidR="00851254" w:rsidRPr="00A52AB8">
        <w:instrText xml:space="preserve"> \* MERGEFORMAT </w:instrText>
      </w:r>
      <w:r w:rsidRPr="00496A4D">
        <w:fldChar w:fldCharType="separate"/>
      </w:r>
      <w:r w:rsidR="00507A67">
        <w:t>9.2.2</w:t>
      </w:r>
      <w:r w:rsidRPr="00496A4D">
        <w:fldChar w:fldCharType="end"/>
      </w:r>
      <w:r w:rsidRPr="00A52AB8">
        <w:t xml:space="preserve"> and its subclauses apply</w:t>
      </w:r>
    </w:p>
    <w:p w14:paraId="3823191D" w14:textId="77777777" w:rsidR="00DF1B7B" w:rsidRPr="00A52AB8" w:rsidRDefault="00DF1B7B" w:rsidP="00DF1B7B">
      <w:pPr>
        <w:pStyle w:val="a4"/>
        <w:numPr>
          <w:ilvl w:val="3"/>
          <w:numId w:val="14"/>
        </w:numPr>
      </w:pPr>
      <w:bookmarkStart w:id="6228" w:name="_Toc37760824"/>
      <w:r w:rsidRPr="00A52AB8">
        <w:t xml:space="preserve">Atlas </w:t>
      </w:r>
      <w:r w:rsidR="00934DAB" w:rsidRPr="00A52AB8">
        <w:t xml:space="preserve">NAL </w:t>
      </w:r>
      <w:r w:rsidRPr="00A52AB8">
        <w:t>unit decoding process</w:t>
      </w:r>
      <w:bookmarkEnd w:id="6228"/>
    </w:p>
    <w:p w14:paraId="35872EE0" w14:textId="3F9F8C38" w:rsidR="00DF1B7B" w:rsidRPr="00A52AB8" w:rsidRDefault="00DF1B7B" w:rsidP="00DF1B7B">
      <w:r w:rsidRPr="00A52AB8">
        <w:t xml:space="preserve">The specifications in </w:t>
      </w:r>
      <w:r w:rsidR="00744D39" w:rsidRPr="00A52AB8">
        <w:t>subclause</w:t>
      </w:r>
      <w:r w:rsidRPr="00A52AB8">
        <w:t xml:space="preserve"> </w:t>
      </w:r>
      <w:r w:rsidR="00A71B79" w:rsidRPr="00496A4D">
        <w:fldChar w:fldCharType="begin"/>
      </w:r>
      <w:r w:rsidR="00A71B79" w:rsidRPr="00A52AB8">
        <w:instrText xml:space="preserve"> REF _Ref1136789 \n \h </w:instrText>
      </w:r>
      <w:r w:rsidR="00CA5401" w:rsidRPr="00A52AB8">
        <w:instrText xml:space="preserve"> \* MERGEFORMAT </w:instrText>
      </w:r>
      <w:r w:rsidR="00A71B79" w:rsidRPr="00496A4D">
        <w:fldChar w:fldCharType="separate"/>
      </w:r>
      <w:r w:rsidR="00507A67">
        <w:t>9.2.3</w:t>
      </w:r>
      <w:r w:rsidR="00A71B79" w:rsidRPr="00496A4D">
        <w:fldChar w:fldCharType="end"/>
      </w:r>
      <w:r w:rsidR="00A71B79" w:rsidRPr="00A52AB8">
        <w:t xml:space="preserve"> </w:t>
      </w:r>
      <w:r w:rsidRPr="00A52AB8">
        <w:t>and its subclauses apply</w:t>
      </w:r>
    </w:p>
    <w:p w14:paraId="1E1E09D7" w14:textId="77777777" w:rsidR="00DF1B7B" w:rsidRPr="00A52AB8" w:rsidRDefault="00DF1B7B" w:rsidP="00DF1B7B">
      <w:pPr>
        <w:pStyle w:val="a4"/>
        <w:numPr>
          <w:ilvl w:val="3"/>
          <w:numId w:val="14"/>
        </w:numPr>
      </w:pPr>
      <w:bookmarkStart w:id="6229" w:name="_Toc37760825"/>
      <w:r w:rsidRPr="00A52AB8">
        <w:t xml:space="preserve">Atlas </w:t>
      </w:r>
      <w:r w:rsidR="00456507" w:rsidRPr="00A52AB8">
        <w:t xml:space="preserve">tile </w:t>
      </w:r>
      <w:r w:rsidRPr="00A52AB8">
        <w:t>header decoding process</w:t>
      </w:r>
      <w:bookmarkEnd w:id="6229"/>
    </w:p>
    <w:p w14:paraId="016C3502" w14:textId="4D94783E" w:rsidR="00DF1B7B" w:rsidRPr="00A52AB8" w:rsidRDefault="00DF1B7B" w:rsidP="00DF1B7B">
      <w:pPr>
        <w:rPr>
          <w:lang w:eastAsia="ja-JP"/>
        </w:rPr>
      </w:pPr>
      <w:r w:rsidRPr="00A52AB8">
        <w:rPr>
          <w:lang w:eastAsia="ja-JP"/>
        </w:rPr>
        <w:t xml:space="preserve">The specifications in </w:t>
      </w:r>
      <w:r w:rsidR="00744D39" w:rsidRPr="00A52AB8">
        <w:rPr>
          <w:lang w:eastAsia="ja-JP"/>
        </w:rPr>
        <w:t>subclause</w:t>
      </w:r>
      <w:r w:rsidRPr="00A52AB8">
        <w:rPr>
          <w:lang w:eastAsia="ja-JP"/>
        </w:rPr>
        <w:t xml:space="preserve"> </w:t>
      </w:r>
      <w:r w:rsidR="00A71B79" w:rsidRPr="00496A4D">
        <w:rPr>
          <w:lang w:eastAsia="ja-JP"/>
        </w:rPr>
        <w:fldChar w:fldCharType="begin"/>
      </w:r>
      <w:r w:rsidR="00A71B79" w:rsidRPr="00A52AB8">
        <w:rPr>
          <w:lang w:eastAsia="ja-JP"/>
        </w:rPr>
        <w:instrText xml:space="preserve"> REF _Ref1136816 \n \h </w:instrText>
      </w:r>
      <w:r w:rsidR="00CA5401" w:rsidRPr="00A52AB8">
        <w:rPr>
          <w:lang w:eastAsia="ja-JP"/>
        </w:rPr>
        <w:instrText xml:space="preserve"> \* MERGEFORMAT </w:instrText>
      </w:r>
      <w:r w:rsidR="00A71B79" w:rsidRPr="00496A4D">
        <w:rPr>
          <w:lang w:eastAsia="ja-JP"/>
        </w:rPr>
      </w:r>
      <w:r w:rsidR="00A71B79" w:rsidRPr="00496A4D">
        <w:rPr>
          <w:lang w:eastAsia="ja-JP"/>
        </w:rPr>
        <w:fldChar w:fldCharType="separate"/>
      </w:r>
      <w:r w:rsidR="00507A67">
        <w:rPr>
          <w:lang w:eastAsia="ja-JP"/>
        </w:rPr>
        <w:t>9.2.4</w:t>
      </w:r>
      <w:r w:rsidR="00A71B79" w:rsidRPr="00496A4D">
        <w:rPr>
          <w:lang w:eastAsia="ja-JP"/>
        </w:rPr>
        <w:fldChar w:fldCharType="end"/>
      </w:r>
      <w:r w:rsidRPr="00A52AB8">
        <w:rPr>
          <w:lang w:eastAsia="ja-JP"/>
        </w:rPr>
        <w:t xml:space="preserve"> </w:t>
      </w:r>
      <w:r w:rsidRPr="00A52AB8">
        <w:t xml:space="preserve">and its subclauses </w:t>
      </w:r>
      <w:r w:rsidRPr="00A52AB8">
        <w:rPr>
          <w:lang w:eastAsia="ja-JP"/>
        </w:rPr>
        <w:t>apply</w:t>
      </w:r>
    </w:p>
    <w:p w14:paraId="2F3A2E2C" w14:textId="77777777" w:rsidR="00DF1B7B" w:rsidRPr="00A52AB8" w:rsidRDefault="00DF1B7B" w:rsidP="00DF1B7B">
      <w:pPr>
        <w:pStyle w:val="a4"/>
        <w:numPr>
          <w:ilvl w:val="3"/>
          <w:numId w:val="14"/>
        </w:numPr>
      </w:pPr>
      <w:bookmarkStart w:id="6230" w:name="_Toc37760826"/>
      <w:r w:rsidRPr="00A52AB8">
        <w:t xml:space="preserve">Decoding process for </w:t>
      </w:r>
      <w:r w:rsidR="00E63010" w:rsidRPr="00A52AB8">
        <w:t>patch data unit</w:t>
      </w:r>
      <w:r w:rsidRPr="00A52AB8">
        <w:t>s</w:t>
      </w:r>
      <w:bookmarkEnd w:id="6230"/>
    </w:p>
    <w:p w14:paraId="660A1A69" w14:textId="77777777" w:rsidR="0052339D" w:rsidRPr="00A52AB8" w:rsidRDefault="00371ED8" w:rsidP="00EE3D19">
      <w:pPr>
        <w:pStyle w:val="a4"/>
        <w:numPr>
          <w:ilvl w:val="4"/>
          <w:numId w:val="14"/>
        </w:numPr>
        <w:outlineLvl w:val="4"/>
      </w:pPr>
      <w:bookmarkStart w:id="6231" w:name="_Toc48259508"/>
      <w:bookmarkEnd w:id="6231"/>
      <w:r w:rsidRPr="00A52AB8">
        <w:t>Gener</w:t>
      </w:r>
      <w:r w:rsidR="00C43799" w:rsidRPr="00A52AB8">
        <w:t xml:space="preserve">al </w:t>
      </w:r>
      <w:r w:rsidRPr="00A52AB8">
        <w:t xml:space="preserve">decoding process for </w:t>
      </w:r>
      <w:r w:rsidR="00E63010" w:rsidRPr="00A52AB8">
        <w:t>patch data unit</w:t>
      </w:r>
      <w:r w:rsidRPr="00A52AB8">
        <w:t>s</w:t>
      </w:r>
    </w:p>
    <w:p w14:paraId="2CA41DFA" w14:textId="4B5CF9CD" w:rsidR="0000342C" w:rsidRPr="00A52AB8" w:rsidRDefault="00FD602B" w:rsidP="00792CFF">
      <w:pPr>
        <w:rPr>
          <w:lang w:eastAsia="ja-JP"/>
        </w:rPr>
      </w:pPr>
      <w:r w:rsidRPr="00A52AB8">
        <w:rPr>
          <w:lang w:eastAsia="ja-JP"/>
        </w:rPr>
        <w:t xml:space="preserve">The specifications in subclause </w:t>
      </w:r>
      <w:r w:rsidR="002F4AE4" w:rsidRPr="00496A4D">
        <w:rPr>
          <w:lang w:eastAsia="ja-JP"/>
        </w:rPr>
        <w:fldChar w:fldCharType="begin"/>
      </w:r>
      <w:r w:rsidR="002F4AE4" w:rsidRPr="00A52AB8">
        <w:rPr>
          <w:lang w:eastAsia="ja-JP"/>
        </w:rPr>
        <w:instrText xml:space="preserve"> REF _Ref19814252 \r \h </w:instrText>
      </w:r>
      <w:r w:rsidR="00CA5401" w:rsidRPr="00A52AB8">
        <w:rPr>
          <w:lang w:eastAsia="ja-JP"/>
        </w:rPr>
        <w:instrText xml:space="preserve"> \* MERGEFORMAT </w:instrText>
      </w:r>
      <w:r w:rsidR="002F4AE4" w:rsidRPr="00496A4D">
        <w:rPr>
          <w:lang w:eastAsia="ja-JP"/>
        </w:rPr>
      </w:r>
      <w:r w:rsidR="002F4AE4" w:rsidRPr="00496A4D">
        <w:rPr>
          <w:lang w:eastAsia="ja-JP"/>
        </w:rPr>
        <w:fldChar w:fldCharType="separate"/>
      </w:r>
      <w:r w:rsidR="00507A67">
        <w:rPr>
          <w:lang w:eastAsia="ja-JP"/>
        </w:rPr>
        <w:t>9.2.5.1</w:t>
      </w:r>
      <w:r w:rsidR="002F4AE4" w:rsidRPr="00496A4D">
        <w:rPr>
          <w:lang w:eastAsia="ja-JP"/>
        </w:rPr>
        <w:fldChar w:fldCharType="end"/>
      </w:r>
      <w:r w:rsidR="00D82334" w:rsidRPr="00A52AB8">
        <w:rPr>
          <w:lang w:eastAsia="ja-JP"/>
        </w:rPr>
        <w:t xml:space="preserve"> </w:t>
      </w:r>
      <w:r w:rsidRPr="00A52AB8">
        <w:rPr>
          <w:lang w:eastAsia="ja-JP"/>
        </w:rPr>
        <w:t>apply with the following modifications and additions:</w:t>
      </w:r>
    </w:p>
    <w:p w14:paraId="2F1ECA4D" w14:textId="77777777" w:rsidR="0000342C" w:rsidRPr="00A52AB8" w:rsidRDefault="0000342C" w:rsidP="0000342C">
      <w:pPr>
        <w:rPr>
          <w:lang w:eastAsia="ja-JP"/>
        </w:rPr>
      </w:pPr>
      <w:r w:rsidRPr="00A52AB8">
        <w:t>Tile</w:t>
      </w:r>
      <w:r w:rsidR="00254895" w:rsidRPr="00A52AB8">
        <w:rPr>
          <w:lang w:eastAsia="ja-JP"/>
        </w:rPr>
        <w:t>PatchAxisU</w:t>
      </w:r>
      <w:r w:rsidRPr="00A52AB8">
        <w:rPr>
          <w:lang w:eastAsia="ja-JP"/>
        </w:rPr>
        <w:t>[ tileID ][ p ] is the index of the tangent to the projection plane for the current patch with patch index p. The value of Tile</w:t>
      </w:r>
      <w:r w:rsidR="00254895" w:rsidRPr="00A52AB8">
        <w:rPr>
          <w:lang w:eastAsia="ja-JP"/>
        </w:rPr>
        <w:t>PatchAxisU</w:t>
      </w:r>
      <w:r w:rsidRPr="00A52AB8">
        <w:rPr>
          <w:lang w:eastAsia="ja-JP"/>
        </w:rPr>
        <w:t>[ tileID ][ p ] shall be in range of 0 to 2, inclusive.</w:t>
      </w:r>
    </w:p>
    <w:p w14:paraId="4B43B494" w14:textId="6B95C905" w:rsidR="00FD602B" w:rsidRPr="00A52AB8" w:rsidRDefault="0000342C" w:rsidP="00792CFF">
      <w:pPr>
        <w:rPr>
          <w:lang w:eastAsia="ja-JP"/>
        </w:rPr>
      </w:pPr>
      <w:r w:rsidRPr="00A52AB8">
        <w:t>Tile</w:t>
      </w:r>
      <w:r w:rsidR="00254895" w:rsidRPr="00A52AB8">
        <w:rPr>
          <w:lang w:eastAsia="ja-JP"/>
        </w:rPr>
        <w:t>PatchAxisV</w:t>
      </w:r>
      <w:r w:rsidRPr="00A52AB8">
        <w:rPr>
          <w:lang w:eastAsia="ja-JP"/>
        </w:rPr>
        <w:t>[ tileID ][ p ] is the index of the bi-tangent to the projection plane for the current patch with patch index p. The value of Tile</w:t>
      </w:r>
      <w:r w:rsidR="00254895" w:rsidRPr="00A52AB8">
        <w:rPr>
          <w:lang w:eastAsia="ja-JP"/>
        </w:rPr>
        <w:t>PatchAxisV</w:t>
      </w:r>
      <w:r w:rsidRPr="00A52AB8">
        <w:rPr>
          <w:lang w:eastAsia="ja-JP"/>
        </w:rPr>
        <w:t>[ tileID ][ p ] shall be in range of 0 to 2, inclusive.</w:t>
      </w:r>
    </w:p>
    <w:p w14:paraId="7F736BFA" w14:textId="7D3EB190" w:rsidR="00FD602B" w:rsidRPr="00A52AB8" w:rsidRDefault="00AE17BE" w:rsidP="00792CFF">
      <w:pPr>
        <w:rPr>
          <w:lang w:eastAsia="ja-JP"/>
        </w:rPr>
      </w:pPr>
      <w:r w:rsidRPr="00A52AB8">
        <w:t>Tile</w:t>
      </w:r>
      <w:r w:rsidR="00254895" w:rsidRPr="00A52AB8">
        <w:rPr>
          <w:lang w:eastAsia="ja-JP"/>
        </w:rPr>
        <w:t>PatchAxisD</w:t>
      </w:r>
      <w:r w:rsidR="00FD602B" w:rsidRPr="00A52AB8">
        <w:rPr>
          <w:lang w:eastAsia="ja-JP"/>
        </w:rPr>
        <w:t>[</w:t>
      </w:r>
      <w:r w:rsidR="00372D32" w:rsidRPr="00A52AB8">
        <w:rPr>
          <w:lang w:eastAsia="ja-JP"/>
        </w:rPr>
        <w:t> </w:t>
      </w:r>
      <w:r w:rsidR="00632FA7" w:rsidRPr="00A52AB8">
        <w:rPr>
          <w:lang w:eastAsia="ja-JP"/>
        </w:rPr>
        <w:t>tileID</w:t>
      </w:r>
      <w:r w:rsidR="00372D32" w:rsidRPr="00A52AB8">
        <w:rPr>
          <w:lang w:eastAsia="ja-JP"/>
        </w:rPr>
        <w:t> </w:t>
      </w:r>
      <w:r w:rsidR="00FD602B" w:rsidRPr="00A52AB8">
        <w:rPr>
          <w:lang w:eastAsia="ja-JP"/>
        </w:rPr>
        <w:t>][</w:t>
      </w:r>
      <w:r w:rsidR="00372D32" w:rsidRPr="00A52AB8">
        <w:rPr>
          <w:lang w:eastAsia="ja-JP"/>
        </w:rPr>
        <w:t> </w:t>
      </w:r>
      <w:r w:rsidR="00FD602B" w:rsidRPr="00A52AB8">
        <w:rPr>
          <w:lang w:eastAsia="ja-JP"/>
        </w:rPr>
        <w:t>p</w:t>
      </w:r>
      <w:r w:rsidR="00372D32" w:rsidRPr="00A52AB8">
        <w:rPr>
          <w:lang w:eastAsia="ja-JP"/>
        </w:rPr>
        <w:t> </w:t>
      </w:r>
      <w:r w:rsidR="00FD602B" w:rsidRPr="00A52AB8">
        <w:rPr>
          <w:lang w:eastAsia="ja-JP"/>
        </w:rPr>
        <w:t xml:space="preserve">] is the index of the normal to the projection plane for the current patch with patch index p. The value of </w:t>
      </w:r>
      <w:r w:rsidR="0038038E" w:rsidRPr="00A52AB8">
        <w:rPr>
          <w:lang w:eastAsia="ja-JP"/>
        </w:rPr>
        <w:t>Tile</w:t>
      </w:r>
      <w:r w:rsidR="00254895" w:rsidRPr="00A52AB8">
        <w:rPr>
          <w:lang w:eastAsia="ja-JP"/>
        </w:rPr>
        <w:t>PatchAxisD</w:t>
      </w:r>
      <w:r w:rsidR="00FD602B" w:rsidRPr="00A52AB8">
        <w:rPr>
          <w:lang w:eastAsia="ja-JP"/>
        </w:rPr>
        <w:t>[</w:t>
      </w:r>
      <w:r w:rsidR="00372D32" w:rsidRPr="00A52AB8">
        <w:rPr>
          <w:lang w:eastAsia="ja-JP"/>
        </w:rPr>
        <w:t> </w:t>
      </w:r>
      <w:r w:rsidR="00632FA7" w:rsidRPr="00A52AB8">
        <w:rPr>
          <w:lang w:eastAsia="ja-JP"/>
        </w:rPr>
        <w:t>tileID</w:t>
      </w:r>
      <w:r w:rsidR="00372D32" w:rsidRPr="00A52AB8">
        <w:rPr>
          <w:lang w:eastAsia="ja-JP"/>
        </w:rPr>
        <w:t> </w:t>
      </w:r>
      <w:r w:rsidR="00FD602B" w:rsidRPr="00A52AB8">
        <w:rPr>
          <w:lang w:eastAsia="ja-JP"/>
        </w:rPr>
        <w:t>][</w:t>
      </w:r>
      <w:r w:rsidR="00372D32" w:rsidRPr="00A52AB8">
        <w:rPr>
          <w:lang w:eastAsia="ja-JP"/>
        </w:rPr>
        <w:t> </w:t>
      </w:r>
      <w:r w:rsidR="00FD602B" w:rsidRPr="00A52AB8">
        <w:rPr>
          <w:lang w:eastAsia="ja-JP"/>
        </w:rPr>
        <w:t>p</w:t>
      </w:r>
      <w:r w:rsidR="00372D32" w:rsidRPr="00A52AB8">
        <w:rPr>
          <w:lang w:eastAsia="ja-JP"/>
        </w:rPr>
        <w:t> </w:t>
      </w:r>
      <w:r w:rsidR="00FD602B" w:rsidRPr="00A52AB8">
        <w:rPr>
          <w:lang w:eastAsia="ja-JP"/>
        </w:rPr>
        <w:t>] shall be in range of 0 to 2, inclusive.</w:t>
      </w:r>
    </w:p>
    <w:p w14:paraId="5D1C8D7B" w14:textId="2EF10D0D" w:rsidR="0050235C" w:rsidRPr="00A52AB8" w:rsidRDefault="00827257" w:rsidP="00792CFF">
      <w:pPr>
        <w:rPr>
          <w:lang w:eastAsia="ja-JP"/>
        </w:rPr>
      </w:pPr>
      <w:r w:rsidRPr="00A52AB8">
        <w:t>Tile</w:t>
      </w:r>
      <w:r w:rsidR="00FD602B" w:rsidRPr="00A52AB8">
        <w:rPr>
          <w:lang w:eastAsia="ja-JP"/>
        </w:rPr>
        <w:t>PatchProjectionFlag[</w:t>
      </w:r>
      <w:r w:rsidR="00377324" w:rsidRPr="00A52AB8">
        <w:rPr>
          <w:lang w:eastAsia="ja-JP"/>
        </w:rPr>
        <w:t> </w:t>
      </w:r>
      <w:r w:rsidR="00632FA7" w:rsidRPr="00A52AB8">
        <w:rPr>
          <w:lang w:eastAsia="ja-JP"/>
        </w:rPr>
        <w:t>tileID</w:t>
      </w:r>
      <w:r w:rsidR="00377324" w:rsidRPr="00A52AB8">
        <w:rPr>
          <w:lang w:eastAsia="ja-JP"/>
        </w:rPr>
        <w:t> </w:t>
      </w:r>
      <w:r w:rsidR="00FD602B" w:rsidRPr="00A52AB8">
        <w:rPr>
          <w:lang w:eastAsia="ja-JP"/>
        </w:rPr>
        <w:t>][</w:t>
      </w:r>
      <w:r w:rsidR="00377324" w:rsidRPr="00A52AB8">
        <w:rPr>
          <w:lang w:eastAsia="ja-JP"/>
        </w:rPr>
        <w:t> </w:t>
      </w:r>
      <w:r w:rsidR="00FD602B" w:rsidRPr="00A52AB8">
        <w:rPr>
          <w:lang w:eastAsia="ja-JP"/>
        </w:rPr>
        <w:t>p</w:t>
      </w:r>
      <w:r w:rsidR="00377324" w:rsidRPr="00A52AB8">
        <w:rPr>
          <w:lang w:eastAsia="ja-JP"/>
        </w:rPr>
        <w:t> </w:t>
      </w:r>
      <w:r w:rsidR="00FD602B" w:rsidRPr="00A52AB8">
        <w:rPr>
          <w:lang w:eastAsia="ja-JP"/>
        </w:rPr>
        <w:t xml:space="preserve">] specifies on which one of two </w:t>
      </w:r>
      <w:r w:rsidR="00D24766" w:rsidRPr="00A52AB8">
        <w:rPr>
          <w:lang w:eastAsia="ja-JP"/>
        </w:rPr>
        <w:t>projection</w:t>
      </w:r>
      <w:r w:rsidR="00D24766" w:rsidRPr="00A52AB8" w:rsidDel="00D24766">
        <w:rPr>
          <w:lang w:eastAsia="ja-JP"/>
        </w:rPr>
        <w:t xml:space="preserve"> </w:t>
      </w:r>
      <w:r w:rsidR="00FD602B" w:rsidRPr="00A52AB8">
        <w:rPr>
          <w:lang w:eastAsia="ja-JP"/>
        </w:rPr>
        <w:t>planes</w:t>
      </w:r>
      <w:r w:rsidR="00390A0E" w:rsidRPr="00A52AB8">
        <w:rPr>
          <w:lang w:eastAsia="ja-JP"/>
        </w:rPr>
        <w:t>,</w:t>
      </w:r>
      <w:r w:rsidR="00FD602B" w:rsidRPr="00A52AB8">
        <w:rPr>
          <w:lang w:eastAsia="ja-JP"/>
        </w:rPr>
        <w:t xml:space="preserve"> indicated by </w:t>
      </w:r>
      <w:r w:rsidR="00390A0E" w:rsidRPr="00A52AB8">
        <w:rPr>
          <w:lang w:eastAsia="ja-JP"/>
        </w:rPr>
        <w:t>the</w:t>
      </w:r>
      <w:r w:rsidR="00FD602B" w:rsidRPr="00A52AB8">
        <w:rPr>
          <w:lang w:eastAsia="ja-JP"/>
        </w:rPr>
        <w:t xml:space="preserve"> </w:t>
      </w:r>
      <w:r w:rsidR="00372D32" w:rsidRPr="00A52AB8">
        <w:rPr>
          <w:lang w:eastAsia="ja-JP"/>
        </w:rPr>
        <w:t>Tile</w:t>
      </w:r>
      <w:r w:rsidR="00254895" w:rsidRPr="00A52AB8">
        <w:rPr>
          <w:lang w:eastAsia="ja-JP"/>
        </w:rPr>
        <w:t>PatchAxisD</w:t>
      </w:r>
      <w:r w:rsidR="00FD602B" w:rsidRPr="00A52AB8">
        <w:rPr>
          <w:lang w:eastAsia="ja-JP"/>
        </w:rPr>
        <w:t>[</w:t>
      </w:r>
      <w:r w:rsidR="00377324" w:rsidRPr="00A52AB8">
        <w:rPr>
          <w:lang w:eastAsia="ja-JP"/>
        </w:rPr>
        <w:t> </w:t>
      </w:r>
      <w:r w:rsidR="00632FA7" w:rsidRPr="00A52AB8">
        <w:rPr>
          <w:lang w:eastAsia="ja-JP"/>
        </w:rPr>
        <w:t>tileID</w:t>
      </w:r>
      <w:r w:rsidR="00377324" w:rsidRPr="00A52AB8">
        <w:rPr>
          <w:lang w:eastAsia="ja-JP"/>
        </w:rPr>
        <w:t> </w:t>
      </w:r>
      <w:r w:rsidR="00FD602B" w:rsidRPr="00A52AB8">
        <w:rPr>
          <w:lang w:eastAsia="ja-JP"/>
        </w:rPr>
        <w:t>][</w:t>
      </w:r>
      <w:r w:rsidR="00377324" w:rsidRPr="00A52AB8">
        <w:rPr>
          <w:lang w:eastAsia="ja-JP"/>
        </w:rPr>
        <w:t> </w:t>
      </w:r>
      <w:r w:rsidR="00FD602B" w:rsidRPr="00A52AB8">
        <w:rPr>
          <w:lang w:eastAsia="ja-JP"/>
        </w:rPr>
        <w:t>p</w:t>
      </w:r>
      <w:r w:rsidR="00377324" w:rsidRPr="00A52AB8">
        <w:rPr>
          <w:lang w:eastAsia="ja-JP"/>
        </w:rPr>
        <w:t> </w:t>
      </w:r>
      <w:r w:rsidR="00FD602B" w:rsidRPr="00A52AB8">
        <w:rPr>
          <w:lang w:eastAsia="ja-JP"/>
        </w:rPr>
        <w:t>] plane</w:t>
      </w:r>
      <w:r w:rsidR="00390A0E" w:rsidRPr="00A52AB8">
        <w:rPr>
          <w:lang w:eastAsia="ja-JP"/>
        </w:rPr>
        <w:t>,</w:t>
      </w:r>
      <w:r w:rsidR="00FD602B" w:rsidRPr="00A52AB8">
        <w:rPr>
          <w:lang w:eastAsia="ja-JP"/>
        </w:rPr>
        <w:t xml:space="preserve"> the current patch with patch index p is to be projected.</w:t>
      </w:r>
    </w:p>
    <w:p w14:paraId="14EA8A1B" w14:textId="47F6AB75" w:rsidR="00FD602B" w:rsidRPr="00A52AB8" w:rsidRDefault="00827257" w:rsidP="00792CFF">
      <w:pPr>
        <w:rPr>
          <w:lang w:eastAsia="ja-JP"/>
        </w:rPr>
      </w:pPr>
      <w:r w:rsidRPr="00A52AB8">
        <w:t>Tile</w:t>
      </w:r>
      <w:r w:rsidR="00440C68" w:rsidRPr="00A52AB8">
        <w:rPr>
          <w:lang w:eastAsia="ja-JP"/>
        </w:rPr>
        <w:t>Patch</w:t>
      </w:r>
      <w:r w:rsidR="00FD17BC" w:rsidRPr="00A52AB8">
        <w:rPr>
          <w:lang w:eastAsia="ja-JP"/>
        </w:rPr>
        <w:t>45Degree</w:t>
      </w:r>
      <w:r w:rsidR="00440C68" w:rsidRPr="00A52AB8">
        <w:rPr>
          <w:lang w:eastAsia="ja-JP"/>
        </w:rPr>
        <w:t>Mode</w:t>
      </w:r>
      <w:r w:rsidR="00FD602B" w:rsidRPr="00A52AB8">
        <w:rPr>
          <w:lang w:eastAsia="ja-JP"/>
        </w:rPr>
        <w:t>[</w:t>
      </w:r>
      <w:r w:rsidR="00A83288" w:rsidRPr="00A52AB8">
        <w:rPr>
          <w:lang w:eastAsia="ja-JP"/>
        </w:rPr>
        <w:t> </w:t>
      </w:r>
      <w:r w:rsidR="00632FA7" w:rsidRPr="00A52AB8">
        <w:rPr>
          <w:lang w:eastAsia="ja-JP"/>
        </w:rPr>
        <w:t>tileID</w:t>
      </w:r>
      <w:r w:rsidR="00A83288" w:rsidRPr="00A52AB8">
        <w:rPr>
          <w:lang w:eastAsia="ja-JP"/>
        </w:rPr>
        <w:t> </w:t>
      </w:r>
      <w:r w:rsidR="00FD602B" w:rsidRPr="00A52AB8">
        <w:rPr>
          <w:lang w:eastAsia="ja-JP"/>
        </w:rPr>
        <w:t>][</w:t>
      </w:r>
      <w:r w:rsidR="00A83288" w:rsidRPr="00A52AB8">
        <w:rPr>
          <w:lang w:eastAsia="ja-JP"/>
        </w:rPr>
        <w:t> </w:t>
      </w:r>
      <w:r w:rsidR="00FD602B" w:rsidRPr="00A52AB8">
        <w:rPr>
          <w:lang w:eastAsia="ja-JP"/>
        </w:rPr>
        <w:t>p</w:t>
      </w:r>
      <w:r w:rsidR="00A83288" w:rsidRPr="00A52AB8">
        <w:rPr>
          <w:lang w:eastAsia="ja-JP"/>
        </w:rPr>
        <w:t> </w:t>
      </w:r>
      <w:r w:rsidR="00FD602B" w:rsidRPr="00A52AB8">
        <w:rPr>
          <w:lang w:eastAsia="ja-JP"/>
        </w:rPr>
        <w:t>] specifies the mode that indicates the axis around which the patch projection rotation is applied for the patch with index p.</w:t>
      </w:r>
    </w:p>
    <w:p w14:paraId="04C0DE84" w14:textId="0679303E" w:rsidR="00AA6751" w:rsidRPr="00A52AB8" w:rsidRDefault="00AA6751" w:rsidP="00AA6751">
      <w:pPr>
        <w:rPr>
          <w:lang w:eastAsia="ja-JP"/>
        </w:rPr>
      </w:pPr>
      <w:r w:rsidRPr="00A52AB8">
        <w:rPr>
          <w:color w:val="000000" w:themeColor="text1"/>
        </w:rPr>
        <w:t>If atdu_patch_mode</w:t>
      </w:r>
      <w:r w:rsidRPr="00A52AB8">
        <w:t>[ </w:t>
      </w:r>
      <w:r w:rsidR="00632FA7" w:rsidRPr="00A52AB8">
        <w:t>tileID</w:t>
      </w:r>
      <w:r w:rsidRPr="00A52AB8">
        <w:t> ]</w:t>
      </w:r>
      <w:r w:rsidRPr="00A52AB8">
        <w:rPr>
          <w:color w:val="000000" w:themeColor="text1"/>
        </w:rPr>
        <w:t xml:space="preserve">[ p ] is equal to I_INTRA or P_INTRA, then the process for decoding intra coded patches in subclause </w:t>
      </w:r>
      <w:r w:rsidRPr="00496A4D">
        <w:rPr>
          <w:color w:val="000000" w:themeColor="text1"/>
        </w:rPr>
        <w:fldChar w:fldCharType="begin"/>
      </w:r>
      <w:r w:rsidRPr="00A52AB8">
        <w:rPr>
          <w:color w:val="000000" w:themeColor="text1"/>
        </w:rPr>
        <w:instrText xml:space="preserve"> REF _Ref46398545 \r \h </w:instrText>
      </w:r>
      <w:r w:rsidR="00F20721"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H.9.2.5.2</w:t>
      </w:r>
      <w:r w:rsidRPr="00496A4D">
        <w:rPr>
          <w:color w:val="000000" w:themeColor="text1"/>
        </w:rPr>
        <w:fldChar w:fldCharType="end"/>
      </w:r>
      <w:r w:rsidRPr="00A52AB8">
        <w:rPr>
          <w:color w:val="000000" w:themeColor="text1"/>
        </w:rPr>
        <w:t xml:space="preserve"> is </w:t>
      </w:r>
      <w:r w:rsidR="00F20721" w:rsidRPr="00A52AB8">
        <w:rPr>
          <w:color w:val="000000" w:themeColor="text1"/>
        </w:rPr>
        <w:t>invoked</w:t>
      </w:r>
      <w:r w:rsidRPr="00A52AB8">
        <w:rPr>
          <w:color w:val="000000" w:themeColor="text1"/>
        </w:rPr>
        <w:t xml:space="preserve">, with </w:t>
      </w:r>
      <w:r w:rsidR="00390A0E" w:rsidRPr="00A52AB8">
        <w:rPr>
          <w:color w:val="000000" w:themeColor="text1"/>
        </w:rPr>
        <w:t xml:space="preserve">p and </w:t>
      </w:r>
      <w:r w:rsidR="00632FA7" w:rsidRPr="00A52AB8">
        <w:rPr>
          <w:color w:val="000000" w:themeColor="text1"/>
        </w:rPr>
        <w:t>tileID</w:t>
      </w:r>
      <w:r w:rsidRPr="00A52AB8">
        <w:rPr>
          <w:color w:val="000000" w:themeColor="text1"/>
        </w:rPr>
        <w:t xml:space="preserve"> as the input to that process, and the outputs of that process are used as the output</w:t>
      </w:r>
      <w:r w:rsidR="00F20721" w:rsidRPr="00A52AB8">
        <w:rPr>
          <w:color w:val="000000" w:themeColor="text1"/>
        </w:rPr>
        <w:t>s of the current process</w:t>
      </w:r>
      <w:r w:rsidRPr="00A52AB8">
        <w:rPr>
          <w:color w:val="000000" w:themeColor="text1"/>
        </w:rPr>
        <w:t>.</w:t>
      </w:r>
    </w:p>
    <w:p w14:paraId="762523F9" w14:textId="117D5CE2" w:rsidR="00AA6751" w:rsidRPr="00A52AB8" w:rsidRDefault="00AA6751" w:rsidP="00AA6751">
      <w:pPr>
        <w:rPr>
          <w:color w:val="000000" w:themeColor="text1"/>
        </w:rPr>
      </w:pPr>
      <w:r w:rsidRPr="00A52AB8">
        <w:rPr>
          <w:color w:val="000000" w:themeColor="text1"/>
        </w:rPr>
        <w:t>If atdu_patch_mode</w:t>
      </w:r>
      <w:r w:rsidRPr="00A52AB8">
        <w:t>[ </w:t>
      </w:r>
      <w:r w:rsidR="00632FA7" w:rsidRPr="00A52AB8">
        <w:t>tileID</w:t>
      </w:r>
      <w:r w:rsidRPr="00A52AB8">
        <w:t> ]</w:t>
      </w:r>
      <w:r w:rsidRPr="00A52AB8">
        <w:rPr>
          <w:color w:val="000000" w:themeColor="text1"/>
        </w:rPr>
        <w:t xml:space="preserve">[ p ] is equal to P_SKIP, then the process for decoding skip coded patches in subclause </w:t>
      </w:r>
      <w:r w:rsidRPr="00496A4D">
        <w:rPr>
          <w:color w:val="000000" w:themeColor="text1"/>
        </w:rPr>
        <w:fldChar w:fldCharType="begin"/>
      </w:r>
      <w:r w:rsidRPr="00A52AB8">
        <w:rPr>
          <w:color w:val="000000" w:themeColor="text1"/>
        </w:rPr>
        <w:instrText xml:space="preserve"> REF _Ref46398965 \r \h </w:instrText>
      </w:r>
      <w:r w:rsidR="00F20721"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H.9.2.5.3</w:t>
      </w:r>
      <w:r w:rsidRPr="00496A4D">
        <w:rPr>
          <w:color w:val="000000" w:themeColor="text1"/>
        </w:rPr>
        <w:fldChar w:fldCharType="end"/>
      </w:r>
      <w:r w:rsidRPr="00A52AB8">
        <w:rPr>
          <w:color w:val="000000" w:themeColor="text1"/>
        </w:rPr>
        <w:t xml:space="preserve"> is </w:t>
      </w:r>
      <w:r w:rsidR="00F20721" w:rsidRPr="00A52AB8">
        <w:rPr>
          <w:color w:val="000000" w:themeColor="text1"/>
        </w:rPr>
        <w:t>invoked</w:t>
      </w:r>
      <w:r w:rsidRPr="00A52AB8">
        <w:rPr>
          <w:color w:val="000000" w:themeColor="text1"/>
        </w:rPr>
        <w:t xml:space="preserve">, with </w:t>
      </w:r>
      <w:r w:rsidR="00390A0E" w:rsidRPr="00A52AB8">
        <w:rPr>
          <w:color w:val="000000" w:themeColor="text1"/>
        </w:rPr>
        <w:t xml:space="preserve">p and </w:t>
      </w:r>
      <w:r w:rsidR="00632FA7" w:rsidRPr="00A52AB8">
        <w:rPr>
          <w:color w:val="000000" w:themeColor="text1"/>
        </w:rPr>
        <w:t>tileID</w:t>
      </w:r>
      <w:r w:rsidRPr="00A52AB8">
        <w:rPr>
          <w:color w:val="000000" w:themeColor="text1"/>
        </w:rPr>
        <w:t xml:space="preserve"> as the input to that process, and the outputs of that process are used as the output</w:t>
      </w:r>
      <w:r w:rsidR="00F20721" w:rsidRPr="00A52AB8">
        <w:rPr>
          <w:color w:val="000000" w:themeColor="text1"/>
        </w:rPr>
        <w:t>s of the current process</w:t>
      </w:r>
      <w:r w:rsidRPr="00A52AB8">
        <w:rPr>
          <w:color w:val="000000" w:themeColor="text1"/>
        </w:rPr>
        <w:t>.</w:t>
      </w:r>
    </w:p>
    <w:p w14:paraId="09E2063D" w14:textId="546DC016" w:rsidR="00AA6751" w:rsidRPr="00A52AB8" w:rsidRDefault="00AA6751" w:rsidP="00AA6751">
      <w:pPr>
        <w:rPr>
          <w:color w:val="000000" w:themeColor="text1"/>
        </w:rPr>
      </w:pPr>
      <w:r w:rsidRPr="00A52AB8">
        <w:rPr>
          <w:color w:val="000000" w:themeColor="text1"/>
        </w:rPr>
        <w:t>If atdu_patch_mode</w:t>
      </w:r>
      <w:r w:rsidRPr="00A52AB8">
        <w:t>[ </w:t>
      </w:r>
      <w:r w:rsidR="00632FA7" w:rsidRPr="00A52AB8">
        <w:t>tileID</w:t>
      </w:r>
      <w:r w:rsidRPr="00A52AB8">
        <w:t> ]</w:t>
      </w:r>
      <w:r w:rsidRPr="00A52AB8">
        <w:rPr>
          <w:color w:val="000000" w:themeColor="text1"/>
        </w:rPr>
        <w:t xml:space="preserve">[ p ] is equal to P_MERGE, then the process for decoding merge coded patches in </w:t>
      </w:r>
      <w:r w:rsidRPr="00496A4D">
        <w:rPr>
          <w:color w:val="000000" w:themeColor="text1"/>
        </w:rPr>
        <w:fldChar w:fldCharType="begin"/>
      </w:r>
      <w:r w:rsidRPr="00A52AB8">
        <w:rPr>
          <w:color w:val="000000" w:themeColor="text1"/>
        </w:rPr>
        <w:instrText xml:space="preserve"> REF _Ref46398967 \r \h </w:instrText>
      </w:r>
      <w:r w:rsidR="00F20721"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H.9.2.5.4</w:t>
      </w:r>
      <w:r w:rsidRPr="00496A4D">
        <w:rPr>
          <w:color w:val="000000" w:themeColor="text1"/>
        </w:rPr>
        <w:fldChar w:fldCharType="end"/>
      </w:r>
      <w:r w:rsidRPr="00A52AB8">
        <w:rPr>
          <w:color w:val="000000" w:themeColor="text1"/>
        </w:rPr>
        <w:t xml:space="preserve"> is </w:t>
      </w:r>
      <w:r w:rsidR="00F20721" w:rsidRPr="00A52AB8">
        <w:rPr>
          <w:color w:val="000000" w:themeColor="text1"/>
        </w:rPr>
        <w:t>invoked</w:t>
      </w:r>
      <w:r w:rsidRPr="00A52AB8">
        <w:rPr>
          <w:color w:val="000000" w:themeColor="text1"/>
        </w:rPr>
        <w:t xml:space="preserve">, with </w:t>
      </w:r>
      <w:r w:rsidR="00390A0E" w:rsidRPr="00A52AB8">
        <w:rPr>
          <w:color w:val="000000" w:themeColor="text1"/>
        </w:rPr>
        <w:t xml:space="preserve">p and </w:t>
      </w:r>
      <w:r w:rsidR="00632FA7" w:rsidRPr="00A52AB8">
        <w:rPr>
          <w:color w:val="000000" w:themeColor="text1"/>
        </w:rPr>
        <w:t>tileID</w:t>
      </w:r>
      <w:r w:rsidRPr="00A52AB8">
        <w:rPr>
          <w:color w:val="000000" w:themeColor="text1"/>
        </w:rPr>
        <w:t xml:space="preserve"> as the input to that process, and the outputs of that process are used as the output</w:t>
      </w:r>
      <w:r w:rsidR="00F20721" w:rsidRPr="00A52AB8">
        <w:rPr>
          <w:color w:val="000000" w:themeColor="text1"/>
        </w:rPr>
        <w:t>s of the current process</w:t>
      </w:r>
      <w:r w:rsidRPr="00A52AB8">
        <w:rPr>
          <w:color w:val="000000" w:themeColor="text1"/>
        </w:rPr>
        <w:t>.</w:t>
      </w:r>
    </w:p>
    <w:p w14:paraId="3F161286" w14:textId="692B8EC0" w:rsidR="00AA6751" w:rsidRPr="00A52AB8" w:rsidRDefault="00AA6751" w:rsidP="00AA6751">
      <w:pPr>
        <w:rPr>
          <w:color w:val="000000" w:themeColor="text1"/>
        </w:rPr>
      </w:pPr>
      <w:r w:rsidRPr="00A52AB8">
        <w:rPr>
          <w:color w:val="000000" w:themeColor="text1"/>
        </w:rPr>
        <w:t>If atdu_patch_mode</w:t>
      </w:r>
      <w:r w:rsidRPr="00A52AB8">
        <w:t>[ </w:t>
      </w:r>
      <w:r w:rsidR="00632FA7" w:rsidRPr="00A52AB8">
        <w:t>tileID</w:t>
      </w:r>
      <w:r w:rsidRPr="00A52AB8">
        <w:t> ]</w:t>
      </w:r>
      <w:r w:rsidRPr="00A52AB8">
        <w:rPr>
          <w:color w:val="000000" w:themeColor="text1"/>
        </w:rPr>
        <w:t xml:space="preserve">[ p ] is equal to P_INTER, then the process for decoding inter coded patches in subclause </w:t>
      </w:r>
      <w:r w:rsidRPr="00496A4D">
        <w:rPr>
          <w:color w:val="000000" w:themeColor="text1"/>
        </w:rPr>
        <w:fldChar w:fldCharType="begin"/>
      </w:r>
      <w:r w:rsidRPr="00A52AB8">
        <w:rPr>
          <w:color w:val="000000" w:themeColor="text1"/>
        </w:rPr>
        <w:instrText xml:space="preserve"> REF _Ref46398969 \r \h </w:instrText>
      </w:r>
      <w:r w:rsidR="00F20721"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H.9.2.5.5</w:t>
      </w:r>
      <w:r w:rsidRPr="00496A4D">
        <w:rPr>
          <w:color w:val="000000" w:themeColor="text1"/>
        </w:rPr>
        <w:fldChar w:fldCharType="end"/>
      </w:r>
      <w:r w:rsidRPr="00A52AB8">
        <w:rPr>
          <w:color w:val="000000" w:themeColor="text1"/>
        </w:rPr>
        <w:t xml:space="preserve"> is </w:t>
      </w:r>
      <w:r w:rsidR="00F20721" w:rsidRPr="00A52AB8">
        <w:rPr>
          <w:color w:val="000000" w:themeColor="text1"/>
        </w:rPr>
        <w:t>invoked</w:t>
      </w:r>
      <w:r w:rsidRPr="00A52AB8">
        <w:rPr>
          <w:color w:val="000000" w:themeColor="text1"/>
        </w:rPr>
        <w:t xml:space="preserve">, with </w:t>
      </w:r>
      <w:r w:rsidR="00390A0E" w:rsidRPr="00A52AB8">
        <w:rPr>
          <w:color w:val="000000" w:themeColor="text1"/>
        </w:rPr>
        <w:t xml:space="preserve">p and </w:t>
      </w:r>
      <w:r w:rsidR="00632FA7" w:rsidRPr="00A52AB8">
        <w:rPr>
          <w:color w:val="000000" w:themeColor="text1"/>
        </w:rPr>
        <w:t>tileID</w:t>
      </w:r>
      <w:r w:rsidRPr="00A52AB8">
        <w:rPr>
          <w:color w:val="000000" w:themeColor="text1"/>
        </w:rPr>
        <w:t xml:space="preserve"> as the input to that process, and the outputs of that process are used as the output</w:t>
      </w:r>
      <w:r w:rsidR="00F20721" w:rsidRPr="00A52AB8">
        <w:rPr>
          <w:color w:val="000000" w:themeColor="text1"/>
        </w:rPr>
        <w:t>s of the current process</w:t>
      </w:r>
      <w:r w:rsidRPr="00A52AB8">
        <w:rPr>
          <w:color w:val="000000" w:themeColor="text1"/>
        </w:rPr>
        <w:t>.</w:t>
      </w:r>
    </w:p>
    <w:p w14:paraId="4CD179A4" w14:textId="5998F1D4" w:rsidR="00AA6751" w:rsidRPr="00A52AB8" w:rsidRDefault="00AA6751" w:rsidP="00AA6751">
      <w:pPr>
        <w:rPr>
          <w:color w:val="000000" w:themeColor="text1"/>
        </w:rPr>
      </w:pPr>
      <w:r w:rsidRPr="00A52AB8">
        <w:rPr>
          <w:color w:val="000000" w:themeColor="text1"/>
        </w:rPr>
        <w:t>If atdu_patch_mode</w:t>
      </w:r>
      <w:r w:rsidRPr="00A52AB8">
        <w:t>[ </w:t>
      </w:r>
      <w:r w:rsidR="00632FA7" w:rsidRPr="00A52AB8">
        <w:t>tileID</w:t>
      </w:r>
      <w:r w:rsidRPr="00A52AB8">
        <w:t> ]</w:t>
      </w:r>
      <w:r w:rsidRPr="00A52AB8">
        <w:rPr>
          <w:color w:val="000000" w:themeColor="text1"/>
        </w:rPr>
        <w:t xml:space="preserve">[ p ] is equal to I_RAW or P_RAW, then the process for decoding RAW coded patches in subclause </w:t>
      </w:r>
      <w:r w:rsidR="00D82334" w:rsidRPr="00496A4D">
        <w:rPr>
          <w:color w:val="000000" w:themeColor="text1"/>
        </w:rPr>
        <w:fldChar w:fldCharType="begin"/>
      </w:r>
      <w:r w:rsidR="00D82334" w:rsidRPr="00A52AB8">
        <w:rPr>
          <w:color w:val="000000" w:themeColor="text1"/>
        </w:rPr>
        <w:instrText xml:space="preserve"> REF _Ref46399383 \r \h </w:instrText>
      </w:r>
      <w:r w:rsidR="00F20721" w:rsidRPr="00A52AB8">
        <w:rPr>
          <w:color w:val="000000" w:themeColor="text1"/>
        </w:rPr>
        <w:instrText xml:space="preserve"> \* MERGEFORMAT </w:instrText>
      </w:r>
      <w:r w:rsidR="00D82334" w:rsidRPr="00496A4D">
        <w:rPr>
          <w:color w:val="000000" w:themeColor="text1"/>
        </w:rPr>
      </w:r>
      <w:r w:rsidR="00D82334" w:rsidRPr="00496A4D">
        <w:rPr>
          <w:color w:val="000000" w:themeColor="text1"/>
        </w:rPr>
        <w:fldChar w:fldCharType="separate"/>
      </w:r>
      <w:r w:rsidR="00507A67">
        <w:rPr>
          <w:color w:val="000000" w:themeColor="text1"/>
        </w:rPr>
        <w:t>H.9.2.5.6</w:t>
      </w:r>
      <w:r w:rsidR="00D82334" w:rsidRPr="00496A4D">
        <w:rPr>
          <w:color w:val="000000" w:themeColor="text1"/>
        </w:rPr>
        <w:fldChar w:fldCharType="end"/>
      </w:r>
      <w:r w:rsidRPr="00A52AB8">
        <w:rPr>
          <w:color w:val="000000" w:themeColor="text1"/>
        </w:rPr>
        <w:t xml:space="preserve"> is </w:t>
      </w:r>
      <w:r w:rsidR="00F20721" w:rsidRPr="00A52AB8">
        <w:rPr>
          <w:color w:val="000000" w:themeColor="text1"/>
        </w:rPr>
        <w:t>invoked</w:t>
      </w:r>
      <w:r w:rsidRPr="00A52AB8">
        <w:rPr>
          <w:color w:val="000000" w:themeColor="text1"/>
        </w:rPr>
        <w:t xml:space="preserve">, with </w:t>
      </w:r>
      <w:r w:rsidR="00390A0E" w:rsidRPr="00A52AB8">
        <w:rPr>
          <w:color w:val="000000" w:themeColor="text1"/>
        </w:rPr>
        <w:t xml:space="preserve">p and </w:t>
      </w:r>
      <w:r w:rsidR="00632FA7" w:rsidRPr="00A52AB8">
        <w:rPr>
          <w:color w:val="000000" w:themeColor="text1"/>
        </w:rPr>
        <w:t>tileID</w:t>
      </w:r>
      <w:r w:rsidRPr="00A52AB8">
        <w:rPr>
          <w:color w:val="000000" w:themeColor="text1"/>
        </w:rPr>
        <w:t xml:space="preserve"> as the input to that process, and the outputs of that process are used as </w:t>
      </w:r>
      <w:r w:rsidR="00F20721" w:rsidRPr="00A52AB8">
        <w:rPr>
          <w:color w:val="000000" w:themeColor="text1"/>
        </w:rPr>
        <w:t xml:space="preserve">the </w:t>
      </w:r>
      <w:r w:rsidRPr="00A52AB8">
        <w:rPr>
          <w:color w:val="000000" w:themeColor="text1"/>
        </w:rPr>
        <w:t>output</w:t>
      </w:r>
      <w:r w:rsidR="00F20721" w:rsidRPr="00A52AB8">
        <w:rPr>
          <w:color w:val="000000" w:themeColor="text1"/>
        </w:rPr>
        <w:t>s of the current process</w:t>
      </w:r>
      <w:r w:rsidRPr="00A52AB8">
        <w:rPr>
          <w:color w:val="000000" w:themeColor="text1"/>
        </w:rPr>
        <w:t>.</w:t>
      </w:r>
    </w:p>
    <w:p w14:paraId="1B34760D" w14:textId="2E40668E" w:rsidR="00AA6751" w:rsidRPr="00A52AB8" w:rsidRDefault="00AA6751" w:rsidP="00792CFF">
      <w:pPr>
        <w:rPr>
          <w:color w:val="000000" w:themeColor="text1"/>
        </w:rPr>
      </w:pPr>
      <w:r w:rsidRPr="00A52AB8">
        <w:rPr>
          <w:color w:val="000000" w:themeColor="text1"/>
        </w:rPr>
        <w:t>If atdu_patch_mode</w:t>
      </w:r>
      <w:r w:rsidRPr="00A52AB8">
        <w:t>[ </w:t>
      </w:r>
      <w:r w:rsidR="00632FA7" w:rsidRPr="00A52AB8">
        <w:t>tileID</w:t>
      </w:r>
      <w:r w:rsidRPr="00A52AB8">
        <w:t> ]</w:t>
      </w:r>
      <w:r w:rsidRPr="00A52AB8">
        <w:rPr>
          <w:color w:val="000000" w:themeColor="text1"/>
        </w:rPr>
        <w:t xml:space="preserve">[ p ] is equal to I_EOM or P_EOM, then the process for decoding EOM coded patches in subclause </w:t>
      </w:r>
      <w:r w:rsidR="00D82334" w:rsidRPr="00496A4D">
        <w:rPr>
          <w:color w:val="000000" w:themeColor="text1"/>
        </w:rPr>
        <w:fldChar w:fldCharType="begin"/>
      </w:r>
      <w:r w:rsidR="00D82334" w:rsidRPr="00A52AB8">
        <w:rPr>
          <w:color w:val="000000" w:themeColor="text1"/>
        </w:rPr>
        <w:instrText xml:space="preserve"> REF _Ref46399385 \r \h </w:instrText>
      </w:r>
      <w:r w:rsidR="00F20721" w:rsidRPr="00A52AB8">
        <w:rPr>
          <w:color w:val="000000" w:themeColor="text1"/>
        </w:rPr>
        <w:instrText xml:space="preserve"> \* MERGEFORMAT </w:instrText>
      </w:r>
      <w:r w:rsidR="00D82334" w:rsidRPr="00496A4D">
        <w:rPr>
          <w:color w:val="000000" w:themeColor="text1"/>
        </w:rPr>
      </w:r>
      <w:r w:rsidR="00D82334" w:rsidRPr="00496A4D">
        <w:rPr>
          <w:color w:val="000000" w:themeColor="text1"/>
        </w:rPr>
        <w:fldChar w:fldCharType="separate"/>
      </w:r>
      <w:r w:rsidR="00507A67">
        <w:rPr>
          <w:color w:val="000000" w:themeColor="text1"/>
        </w:rPr>
        <w:t>H.9.2.5.7</w:t>
      </w:r>
      <w:r w:rsidR="00D82334" w:rsidRPr="00496A4D">
        <w:rPr>
          <w:color w:val="000000" w:themeColor="text1"/>
        </w:rPr>
        <w:fldChar w:fldCharType="end"/>
      </w:r>
      <w:r w:rsidRPr="00A52AB8">
        <w:rPr>
          <w:color w:val="000000" w:themeColor="text1"/>
        </w:rPr>
        <w:t xml:space="preserve"> is </w:t>
      </w:r>
      <w:r w:rsidR="00F20721" w:rsidRPr="00A52AB8">
        <w:rPr>
          <w:color w:val="000000" w:themeColor="text1"/>
        </w:rPr>
        <w:t>invoked</w:t>
      </w:r>
      <w:r w:rsidRPr="00A52AB8">
        <w:rPr>
          <w:color w:val="000000" w:themeColor="text1"/>
        </w:rPr>
        <w:t xml:space="preserve">, with </w:t>
      </w:r>
      <w:r w:rsidR="00390A0E" w:rsidRPr="00A52AB8">
        <w:rPr>
          <w:color w:val="000000" w:themeColor="text1"/>
        </w:rPr>
        <w:t xml:space="preserve">p and </w:t>
      </w:r>
      <w:r w:rsidR="00632FA7" w:rsidRPr="00A52AB8">
        <w:rPr>
          <w:color w:val="000000" w:themeColor="text1"/>
        </w:rPr>
        <w:t>tileID</w:t>
      </w:r>
      <w:r w:rsidRPr="00A52AB8">
        <w:rPr>
          <w:color w:val="000000" w:themeColor="text1"/>
        </w:rPr>
        <w:t xml:space="preserve"> as the input to that process, and the outputs of that process are used as </w:t>
      </w:r>
      <w:r w:rsidR="00F20721" w:rsidRPr="00A52AB8">
        <w:rPr>
          <w:color w:val="000000" w:themeColor="text1"/>
        </w:rPr>
        <w:t xml:space="preserve">the </w:t>
      </w:r>
      <w:r w:rsidRPr="00A52AB8">
        <w:rPr>
          <w:color w:val="000000" w:themeColor="text1"/>
        </w:rPr>
        <w:t>output</w:t>
      </w:r>
      <w:r w:rsidR="00F20721" w:rsidRPr="00A52AB8">
        <w:rPr>
          <w:color w:val="000000" w:themeColor="text1"/>
        </w:rPr>
        <w:t>s of the current process</w:t>
      </w:r>
      <w:r w:rsidRPr="00A52AB8">
        <w:rPr>
          <w:color w:val="000000" w:themeColor="text1"/>
        </w:rPr>
        <w:t>.</w:t>
      </w:r>
    </w:p>
    <w:p w14:paraId="46A192A9" w14:textId="77777777" w:rsidR="004E584F" w:rsidRPr="00A52AB8" w:rsidRDefault="004E584F" w:rsidP="004E584F">
      <w:pPr>
        <w:rPr>
          <w:color w:val="000000" w:themeColor="text1"/>
        </w:rPr>
      </w:pPr>
      <w:r w:rsidRPr="00A52AB8">
        <w:rPr>
          <w:color w:val="000000" w:themeColor="text1"/>
        </w:rPr>
        <w:t>These additional variables are initially set as follows:</w:t>
      </w:r>
    </w:p>
    <w:p w14:paraId="40BB3D2A" w14:textId="1B28C368" w:rsidR="00FE55DB" w:rsidRPr="00A52AB8" w:rsidRDefault="004E584F" w:rsidP="004E584F">
      <w:pPr>
        <w:rPr>
          <w:color w:val="000000" w:themeColor="text1"/>
        </w:rPr>
      </w:pPr>
      <w:r w:rsidRPr="00A52AB8">
        <w:rPr>
          <w:color w:val="000000" w:themeColor="text1"/>
        </w:rPr>
        <w:tab/>
      </w:r>
      <w:r w:rsidR="00254895" w:rsidRPr="00A52AB8">
        <w:t>Tile</w:t>
      </w:r>
      <w:r w:rsidR="00254895" w:rsidRPr="00A52AB8">
        <w:rPr>
          <w:lang w:eastAsia="ja-JP"/>
        </w:rPr>
        <w:t>PatchAxisU</w:t>
      </w:r>
      <w:r w:rsidR="00254895" w:rsidRPr="00A52AB8">
        <w:rPr>
          <w:color w:val="000000" w:themeColor="text1"/>
        </w:rPr>
        <w:t>[ tileID ][ p ]</w:t>
      </w:r>
      <w:r w:rsidR="00D47707" w:rsidRPr="00A52AB8">
        <w:rPr>
          <w:color w:val="000000" w:themeColor="text1"/>
        </w:rPr>
        <w:t> = </w:t>
      </w:r>
      <w:r w:rsidR="00254895" w:rsidRPr="00A52AB8">
        <w:rPr>
          <w:color w:val="000000" w:themeColor="text1"/>
        </w:rPr>
        <w:t>0</w:t>
      </w:r>
      <w:r w:rsidR="00254895" w:rsidRPr="00A52AB8">
        <w:rPr>
          <w:color w:val="000000" w:themeColor="text1"/>
        </w:rPr>
        <w:br/>
      </w:r>
      <w:r w:rsidR="00254895" w:rsidRPr="00A52AB8">
        <w:rPr>
          <w:color w:val="000000" w:themeColor="text1"/>
        </w:rPr>
        <w:tab/>
      </w:r>
      <w:r w:rsidR="00254895" w:rsidRPr="00A52AB8">
        <w:t>Tile</w:t>
      </w:r>
      <w:r w:rsidR="00254895" w:rsidRPr="00A52AB8">
        <w:rPr>
          <w:lang w:eastAsia="ja-JP"/>
        </w:rPr>
        <w:t>PatchAxisV</w:t>
      </w:r>
      <w:r w:rsidR="00254895" w:rsidRPr="00A52AB8">
        <w:rPr>
          <w:color w:val="000000" w:themeColor="text1"/>
        </w:rPr>
        <w:t>[ tileID ][ p ]</w:t>
      </w:r>
      <w:r w:rsidR="00D47707" w:rsidRPr="00A52AB8">
        <w:rPr>
          <w:color w:val="000000" w:themeColor="text1"/>
        </w:rPr>
        <w:t> = </w:t>
      </w:r>
      <w:r w:rsidR="00254895" w:rsidRPr="00A52AB8">
        <w:rPr>
          <w:color w:val="000000" w:themeColor="text1"/>
        </w:rPr>
        <w:t>0</w:t>
      </w:r>
      <w:r w:rsidR="00254895" w:rsidRPr="00A52AB8">
        <w:rPr>
          <w:color w:val="000000" w:themeColor="text1"/>
        </w:rPr>
        <w:br/>
      </w:r>
      <w:r w:rsidR="00254895" w:rsidRPr="00A52AB8">
        <w:rPr>
          <w:color w:val="000000" w:themeColor="text1"/>
        </w:rPr>
        <w:tab/>
      </w:r>
      <w:r w:rsidRPr="00A52AB8">
        <w:t>Tile</w:t>
      </w:r>
      <w:r w:rsidR="00254895" w:rsidRPr="00A52AB8">
        <w:rPr>
          <w:lang w:eastAsia="ja-JP"/>
        </w:rPr>
        <w:t>PatchAxisD</w:t>
      </w:r>
      <w:r w:rsidRPr="00A52AB8">
        <w:rPr>
          <w:color w:val="000000" w:themeColor="text1"/>
        </w:rPr>
        <w:t>[ tileID ][ p ]</w:t>
      </w:r>
      <w:r w:rsidR="00D47707" w:rsidRPr="00A52AB8">
        <w:rPr>
          <w:color w:val="000000" w:themeColor="text1"/>
        </w:rPr>
        <w:t> = </w:t>
      </w:r>
      <w:r w:rsidRPr="00A52AB8">
        <w:rPr>
          <w:color w:val="000000" w:themeColor="text1"/>
        </w:rPr>
        <w:t>0</w:t>
      </w:r>
      <w:r w:rsidRPr="00A52AB8">
        <w:rPr>
          <w:color w:val="000000" w:themeColor="text1"/>
        </w:rPr>
        <w:br/>
      </w:r>
      <w:r w:rsidRPr="00A52AB8">
        <w:rPr>
          <w:color w:val="000000" w:themeColor="text1"/>
        </w:rPr>
        <w:tab/>
      </w:r>
      <w:r w:rsidRPr="00A52AB8">
        <w:t>Tile</w:t>
      </w:r>
      <w:r w:rsidRPr="00A52AB8">
        <w:rPr>
          <w:lang w:eastAsia="ja-JP"/>
        </w:rPr>
        <w:t>PatchProjectionFlag</w:t>
      </w:r>
      <w:r w:rsidRPr="00A52AB8">
        <w:t>[ tileID ]</w:t>
      </w:r>
      <w:r w:rsidRPr="00A52AB8">
        <w:rPr>
          <w:color w:val="000000" w:themeColor="text1"/>
        </w:rPr>
        <w:t>[ p ]</w:t>
      </w:r>
      <w:r w:rsidR="00D47707" w:rsidRPr="00A52AB8">
        <w:rPr>
          <w:color w:val="000000" w:themeColor="text1"/>
        </w:rPr>
        <w:t> = </w:t>
      </w:r>
      <w:r w:rsidRPr="00A52AB8">
        <w:rPr>
          <w:color w:val="000000" w:themeColor="text1"/>
        </w:rPr>
        <w:t>0</w:t>
      </w:r>
      <w:r w:rsidRPr="00A52AB8">
        <w:rPr>
          <w:color w:val="000000" w:themeColor="text1"/>
        </w:rPr>
        <w:br/>
      </w:r>
      <w:r w:rsidRPr="00A52AB8">
        <w:rPr>
          <w:color w:val="000000" w:themeColor="text1"/>
        </w:rPr>
        <w:tab/>
      </w:r>
      <w:r w:rsidRPr="00A52AB8">
        <w:t>Tile</w:t>
      </w:r>
      <w:r w:rsidRPr="00A52AB8">
        <w:rPr>
          <w:lang w:eastAsia="ja-JP"/>
        </w:rPr>
        <w:t>Patch45DegreeMode</w:t>
      </w:r>
      <w:r w:rsidRPr="00A52AB8">
        <w:t>[ tileID ]</w:t>
      </w:r>
      <w:r w:rsidRPr="00A52AB8">
        <w:rPr>
          <w:color w:val="000000" w:themeColor="text1"/>
        </w:rPr>
        <w:t>[ p ]</w:t>
      </w:r>
      <w:r w:rsidR="00D47707" w:rsidRPr="00A52AB8">
        <w:rPr>
          <w:color w:val="000000" w:themeColor="text1"/>
        </w:rPr>
        <w:t> = </w:t>
      </w:r>
      <w:r w:rsidRPr="00A52AB8">
        <w:rPr>
          <w:color w:val="000000" w:themeColor="text1"/>
        </w:rPr>
        <w:t>0</w:t>
      </w:r>
    </w:p>
    <w:p w14:paraId="21EE2F7B" w14:textId="77777777" w:rsidR="008653F5" w:rsidRPr="00A52AB8" w:rsidRDefault="002D637B" w:rsidP="00EE3D19">
      <w:pPr>
        <w:pStyle w:val="a4"/>
        <w:numPr>
          <w:ilvl w:val="4"/>
          <w:numId w:val="14"/>
        </w:numPr>
        <w:outlineLvl w:val="4"/>
      </w:pPr>
      <w:bookmarkStart w:id="6232" w:name="_Ref46398545"/>
      <w:r w:rsidRPr="00A52AB8">
        <w:t xml:space="preserve">Decoding process for </w:t>
      </w:r>
      <w:r w:rsidR="00E63010" w:rsidRPr="00A52AB8">
        <w:t>patch data unit</w:t>
      </w:r>
      <w:r w:rsidRPr="00A52AB8">
        <w:t>s coded in intra mode</w:t>
      </w:r>
      <w:bookmarkEnd w:id="6232"/>
    </w:p>
    <w:p w14:paraId="49A05155" w14:textId="7D473A44" w:rsidR="00894C0E" w:rsidRPr="00A52AB8" w:rsidRDefault="00061BDA" w:rsidP="00792CFF">
      <w:pPr>
        <w:rPr>
          <w:lang w:eastAsia="ja-JP"/>
        </w:rPr>
      </w:pPr>
      <w:r w:rsidRPr="00A52AB8">
        <w:rPr>
          <w:lang w:eastAsia="ja-JP"/>
        </w:rPr>
        <w:t xml:space="preserve">The specifications in subclause </w:t>
      </w:r>
      <w:r w:rsidR="005C0803" w:rsidRPr="00496A4D">
        <w:rPr>
          <w:lang w:eastAsia="ja-JP"/>
        </w:rPr>
        <w:fldChar w:fldCharType="begin"/>
      </w:r>
      <w:r w:rsidR="005C0803" w:rsidRPr="00A52AB8">
        <w:rPr>
          <w:lang w:eastAsia="ja-JP"/>
        </w:rPr>
        <w:instrText xml:space="preserve"> REF _Ref991397 \r \h </w:instrText>
      </w:r>
      <w:r w:rsidR="00CA5401" w:rsidRPr="00A52AB8">
        <w:rPr>
          <w:lang w:eastAsia="ja-JP"/>
        </w:rPr>
        <w:instrText xml:space="preserve"> \* MERGEFORMAT </w:instrText>
      </w:r>
      <w:r w:rsidR="005C0803" w:rsidRPr="00496A4D">
        <w:rPr>
          <w:lang w:eastAsia="ja-JP"/>
        </w:rPr>
      </w:r>
      <w:r w:rsidR="005C0803" w:rsidRPr="00496A4D">
        <w:rPr>
          <w:lang w:eastAsia="ja-JP"/>
        </w:rPr>
        <w:fldChar w:fldCharType="separate"/>
      </w:r>
      <w:r w:rsidR="00507A67">
        <w:rPr>
          <w:lang w:eastAsia="ja-JP"/>
        </w:rPr>
        <w:t>9.2.5.2</w:t>
      </w:r>
      <w:r w:rsidR="005C0803" w:rsidRPr="00496A4D">
        <w:rPr>
          <w:lang w:eastAsia="ja-JP"/>
        </w:rPr>
        <w:fldChar w:fldCharType="end"/>
      </w:r>
      <w:r w:rsidR="005C0803" w:rsidRPr="00A52AB8">
        <w:rPr>
          <w:lang w:eastAsia="ja-JP"/>
        </w:rPr>
        <w:t xml:space="preserve"> </w:t>
      </w:r>
      <w:r w:rsidRPr="00A52AB8">
        <w:rPr>
          <w:lang w:eastAsia="ja-JP"/>
        </w:rPr>
        <w:t>apply with the following modifications and additions:</w:t>
      </w:r>
    </w:p>
    <w:p w14:paraId="265D06F1" w14:textId="1C6F108C" w:rsidR="002361AC" w:rsidRPr="00A52AB8" w:rsidRDefault="00FE55DB" w:rsidP="00792CFF">
      <w:pPr>
        <w:rPr>
          <w:lang w:eastAsia="ja-JP"/>
        </w:rPr>
      </w:pPr>
      <w:r w:rsidRPr="00A52AB8">
        <w:rPr>
          <w:lang w:eastAsia="ja-JP"/>
        </w:rPr>
        <w:t xml:space="preserve">In addition to the variables derived in subclause </w:t>
      </w:r>
      <w:r w:rsidRPr="00496A4D">
        <w:rPr>
          <w:lang w:eastAsia="ja-JP"/>
        </w:rPr>
        <w:fldChar w:fldCharType="begin"/>
      </w:r>
      <w:r w:rsidRPr="00A52AB8">
        <w:rPr>
          <w:lang w:eastAsia="ja-JP"/>
        </w:rPr>
        <w:instrText xml:space="preserve"> REF _Ref991397 \n \h </w:instrText>
      </w:r>
      <w:r w:rsidR="00007BE2" w:rsidRPr="00A52AB8">
        <w:rPr>
          <w:lang w:eastAsia="ja-JP"/>
        </w:rPr>
        <w:instrText xml:space="preserve"> \* MERGEFORMAT </w:instrText>
      </w:r>
      <w:r w:rsidRPr="00496A4D">
        <w:rPr>
          <w:lang w:eastAsia="ja-JP"/>
        </w:rPr>
      </w:r>
      <w:r w:rsidRPr="00496A4D">
        <w:rPr>
          <w:lang w:eastAsia="ja-JP"/>
        </w:rPr>
        <w:fldChar w:fldCharType="separate"/>
      </w:r>
      <w:r w:rsidR="00507A67">
        <w:rPr>
          <w:lang w:eastAsia="ja-JP"/>
        </w:rPr>
        <w:t>9.2.5.2</w:t>
      </w:r>
      <w:r w:rsidRPr="00496A4D">
        <w:rPr>
          <w:lang w:eastAsia="ja-JP"/>
        </w:rPr>
        <w:fldChar w:fldCharType="end"/>
      </w:r>
      <w:r w:rsidRPr="00A52AB8">
        <w:rPr>
          <w:lang w:eastAsia="ja-JP"/>
        </w:rPr>
        <w:t xml:space="preserve"> t</w:t>
      </w:r>
      <w:r w:rsidR="002361AC" w:rsidRPr="00A52AB8">
        <w:rPr>
          <w:lang w:eastAsia="ja-JP"/>
        </w:rPr>
        <w:t xml:space="preserve">he variables </w:t>
      </w:r>
      <w:r w:rsidR="001F29B1" w:rsidRPr="00A52AB8">
        <w:t>Tile</w:t>
      </w:r>
      <w:r w:rsidR="00254895" w:rsidRPr="00A52AB8">
        <w:rPr>
          <w:lang w:eastAsia="ja-JP"/>
        </w:rPr>
        <w:t>PatchAxisU</w:t>
      </w:r>
      <w:r w:rsidR="00EA5317" w:rsidRPr="00A52AB8">
        <w:t>[ tileID ][ p ]</w:t>
      </w:r>
      <w:r w:rsidR="002361AC" w:rsidRPr="00A52AB8">
        <w:rPr>
          <w:lang w:eastAsia="ja-JP"/>
        </w:rPr>
        <w:t xml:space="preserve">, </w:t>
      </w:r>
      <w:r w:rsidR="001F29B1" w:rsidRPr="00A52AB8">
        <w:t>Tile</w:t>
      </w:r>
      <w:r w:rsidR="00254895" w:rsidRPr="00A52AB8">
        <w:rPr>
          <w:lang w:eastAsia="ja-JP"/>
        </w:rPr>
        <w:t>PatchAxisV</w:t>
      </w:r>
      <w:r w:rsidR="00EA5317" w:rsidRPr="00A52AB8">
        <w:t>[ tileID ][ p ]</w:t>
      </w:r>
      <w:r w:rsidR="002361AC" w:rsidRPr="00A52AB8">
        <w:rPr>
          <w:lang w:eastAsia="ja-JP"/>
        </w:rPr>
        <w:t xml:space="preserve">, </w:t>
      </w:r>
      <w:r w:rsidR="001F29B1" w:rsidRPr="00A52AB8">
        <w:t>Tile</w:t>
      </w:r>
      <w:r w:rsidR="00254895" w:rsidRPr="00A52AB8">
        <w:rPr>
          <w:lang w:eastAsia="ja-JP"/>
        </w:rPr>
        <w:t>PatchAxisD</w:t>
      </w:r>
      <w:r w:rsidR="00EA5317" w:rsidRPr="00A52AB8">
        <w:t>[ tileID ][ p ]</w:t>
      </w:r>
      <w:r w:rsidR="002361AC" w:rsidRPr="00A52AB8">
        <w:rPr>
          <w:lang w:eastAsia="ja-JP"/>
        </w:rPr>
        <w:t xml:space="preserve">, </w:t>
      </w:r>
      <w:r w:rsidR="001F29B1" w:rsidRPr="00A52AB8">
        <w:t>Tile</w:t>
      </w:r>
      <w:r w:rsidR="00440C68" w:rsidRPr="00A52AB8">
        <w:rPr>
          <w:lang w:eastAsia="ja-JP"/>
        </w:rPr>
        <w:t>Patch</w:t>
      </w:r>
      <w:r w:rsidR="00354BB6" w:rsidRPr="00A52AB8">
        <w:rPr>
          <w:lang w:eastAsia="ja-JP"/>
        </w:rPr>
        <w:t>45Degree</w:t>
      </w:r>
      <w:r w:rsidR="00440C68" w:rsidRPr="00A52AB8">
        <w:rPr>
          <w:lang w:eastAsia="ja-JP"/>
        </w:rPr>
        <w:t>Mode</w:t>
      </w:r>
      <w:r w:rsidR="00EA5317" w:rsidRPr="00A52AB8">
        <w:t>[ tileID ][ p ]</w:t>
      </w:r>
      <w:r w:rsidR="0000342C" w:rsidRPr="00A52AB8">
        <w:rPr>
          <w:lang w:eastAsia="ja-JP"/>
        </w:rPr>
        <w:t>,</w:t>
      </w:r>
      <w:r w:rsidR="002361AC" w:rsidRPr="00A52AB8">
        <w:rPr>
          <w:lang w:eastAsia="ja-JP"/>
        </w:rPr>
        <w:t xml:space="preserve"> and </w:t>
      </w:r>
      <w:r w:rsidR="001F29B1" w:rsidRPr="00A52AB8">
        <w:t>Tile</w:t>
      </w:r>
      <w:r w:rsidR="002361AC" w:rsidRPr="00A52AB8">
        <w:rPr>
          <w:lang w:eastAsia="ja-JP"/>
        </w:rPr>
        <w:t>PatchProjectionFlag</w:t>
      </w:r>
      <w:r w:rsidR="00EA5317" w:rsidRPr="00A52AB8">
        <w:t>[ tileID ][ p ]</w:t>
      </w:r>
      <w:r w:rsidR="002361AC" w:rsidRPr="00A52AB8">
        <w:rPr>
          <w:lang w:eastAsia="ja-JP"/>
        </w:rPr>
        <w:t xml:space="preserve">, for patch with index p </w:t>
      </w:r>
      <w:r w:rsidR="00EA5317" w:rsidRPr="00A52AB8">
        <w:rPr>
          <w:lang w:eastAsia="ja-JP"/>
        </w:rPr>
        <w:t xml:space="preserve">in </w:t>
      </w:r>
      <w:r w:rsidR="002361AC" w:rsidRPr="00A52AB8">
        <w:rPr>
          <w:lang w:eastAsia="ja-JP"/>
        </w:rPr>
        <w:t xml:space="preserve">the atlas tile with index </w:t>
      </w:r>
      <w:r w:rsidR="00632FA7" w:rsidRPr="00A52AB8">
        <w:rPr>
          <w:lang w:eastAsia="ja-JP"/>
        </w:rPr>
        <w:t>tileID</w:t>
      </w:r>
      <w:r w:rsidR="002361AC" w:rsidRPr="00A52AB8">
        <w:rPr>
          <w:lang w:eastAsia="ja-JP"/>
        </w:rPr>
        <w:t>, are derived as follows:</w:t>
      </w:r>
    </w:p>
    <w:p w14:paraId="59E015F4" w14:textId="418DF166" w:rsidR="002361AC" w:rsidRPr="00A52AB8" w:rsidRDefault="002361AC" w:rsidP="00A252B5">
      <w:r w:rsidRPr="00A52AB8">
        <w:tab/>
      </w:r>
      <w:bookmarkStart w:id="6233" w:name="_Ref46497562"/>
      <w:r w:rsidR="0000342C" w:rsidRPr="00A52AB8">
        <w:t>projectionPlane</w:t>
      </w:r>
      <w:r w:rsidR="00D47707" w:rsidRPr="00A52AB8">
        <w:t> = </w:t>
      </w:r>
      <w:r w:rsidRPr="00A52AB8">
        <w:t>pdu_projection_id[</w:t>
      </w:r>
      <w:r w:rsidR="00A2483D" w:rsidRPr="00A52AB8">
        <w:t> </w:t>
      </w:r>
      <w:r w:rsidR="00632FA7" w:rsidRPr="00A52AB8">
        <w:t>tileID</w:t>
      </w:r>
      <w:r w:rsidR="00A2483D" w:rsidRPr="00A52AB8">
        <w:t> </w:t>
      </w:r>
      <w:r w:rsidRPr="00A52AB8">
        <w:t>][</w:t>
      </w:r>
      <w:r w:rsidR="00A2483D" w:rsidRPr="00A52AB8">
        <w:t> </w:t>
      </w:r>
      <w:r w:rsidRPr="00A52AB8">
        <w:t>p</w:t>
      </w:r>
      <w:r w:rsidR="00A2483D" w:rsidRPr="00A52AB8">
        <w:t> </w:t>
      </w:r>
      <w:r w:rsidRPr="00A52AB8">
        <w:t>]</w:t>
      </w:r>
      <w:r w:rsidR="00D338FC" w:rsidRPr="00A52AB8">
        <w:tab/>
        <w:t>(</w:t>
      </w:r>
      <w:bookmarkStart w:id="6234" w:name="Eqn_pduProjectionPlane"/>
      <w:r w:rsidR="00D338FC" w:rsidRPr="00A52AB8">
        <w:t>H</w:t>
      </w:r>
      <w:r w:rsidR="00D338FC" w:rsidRPr="00A52AB8">
        <w:noBreakHyphen/>
      </w:r>
      <w:r w:rsidR="00D338FC" w:rsidRPr="00496A4D">
        <w:fldChar w:fldCharType="begin"/>
      </w:r>
      <w:r w:rsidR="00D338FC" w:rsidRPr="00A52AB8">
        <w:instrText xml:space="preserve"> SEQ Equation \* ARABIC \</w:instrText>
      </w:r>
      <w:r w:rsidR="00EA6211" w:rsidRPr="00A52AB8">
        <w:instrText>r</w:instrText>
      </w:r>
      <w:r w:rsidR="00D338FC" w:rsidRPr="00A52AB8">
        <w:instrText xml:space="preserve"> 1 </w:instrText>
      </w:r>
      <w:r w:rsidR="00D338FC" w:rsidRPr="00496A4D">
        <w:fldChar w:fldCharType="separate"/>
      </w:r>
      <w:r w:rsidR="00507A67">
        <w:rPr>
          <w:noProof/>
        </w:rPr>
        <w:t>1</w:t>
      </w:r>
      <w:r w:rsidR="00D338FC" w:rsidRPr="00496A4D">
        <w:fldChar w:fldCharType="end"/>
      </w:r>
      <w:bookmarkStart w:id="6235" w:name="_Ref46497573"/>
      <w:bookmarkEnd w:id="6233"/>
      <w:bookmarkEnd w:id="6234"/>
      <w:r w:rsidR="00D338FC" w:rsidRPr="00A52AB8">
        <w:t>)</w:t>
      </w:r>
      <w:bookmarkEnd w:id="6235"/>
    </w:p>
    <w:p w14:paraId="04B719A5" w14:textId="1B7F9311" w:rsidR="002361AC" w:rsidRPr="00A52AB8" w:rsidRDefault="002361AC" w:rsidP="00A252B5">
      <w:r w:rsidRPr="00A52AB8">
        <w:tab/>
      </w:r>
      <w:r w:rsidR="0000342C" w:rsidRPr="00A52AB8">
        <w:t>rotationAxisMode</w:t>
      </w:r>
      <w:r w:rsidR="00D47707" w:rsidRPr="00A52AB8">
        <w:t> = </w:t>
      </w:r>
      <w:r w:rsidRPr="00A52AB8">
        <w:t>Max(</w:t>
      </w:r>
      <w:r w:rsidR="00676247" w:rsidRPr="00A52AB8">
        <w:t> </w:t>
      </w:r>
      <w:r w:rsidRPr="00A52AB8">
        <w:t>0,</w:t>
      </w:r>
      <w:r w:rsidR="00676247" w:rsidRPr="00A52AB8">
        <w:t> </w:t>
      </w:r>
      <w:r w:rsidRPr="00A52AB8">
        <w:t>(</w:t>
      </w:r>
      <w:r w:rsidR="00676247" w:rsidRPr="00A52AB8">
        <w:t> </w:t>
      </w:r>
      <w:r w:rsidR="0000342C" w:rsidRPr="00A52AB8">
        <w:t>p</w:t>
      </w:r>
      <w:r w:rsidRPr="00A52AB8">
        <w:t>rojectionPlane</w:t>
      </w:r>
      <w:r w:rsidR="002606C2" w:rsidRPr="00A52AB8">
        <w:t> </w:t>
      </w:r>
      <w:r w:rsidR="0000342C" w:rsidRPr="00A52AB8">
        <w:t>−</w:t>
      </w:r>
      <w:r w:rsidR="002606C2" w:rsidRPr="00A52AB8">
        <w:t> </w:t>
      </w:r>
      <w:r w:rsidRPr="00A52AB8">
        <w:t>2)/4</w:t>
      </w:r>
      <w:r w:rsidR="00676247" w:rsidRPr="00A52AB8">
        <w:t> </w:t>
      </w:r>
      <w:r w:rsidRPr="00A52AB8">
        <w:t>)</w:t>
      </w:r>
      <w:r w:rsidR="007E77C0" w:rsidRPr="00A52AB8">
        <w:tab/>
        <w:t>(H</w:t>
      </w:r>
      <w:r w:rsidR="007E77C0" w:rsidRPr="00A52AB8">
        <w:noBreakHyphen/>
      </w:r>
      <w:r w:rsidR="007E77C0" w:rsidRPr="00496A4D">
        <w:fldChar w:fldCharType="begin"/>
      </w:r>
      <w:r w:rsidR="007E77C0" w:rsidRPr="00A52AB8">
        <w:instrText xml:space="preserve"> SEQ Equation \* ARABIC \s 1 </w:instrText>
      </w:r>
      <w:r w:rsidR="007E77C0" w:rsidRPr="00496A4D">
        <w:fldChar w:fldCharType="separate"/>
      </w:r>
      <w:r w:rsidR="00507A67">
        <w:rPr>
          <w:noProof/>
        </w:rPr>
        <w:t>2</w:t>
      </w:r>
      <w:r w:rsidR="007E77C0" w:rsidRPr="00496A4D">
        <w:fldChar w:fldCharType="end"/>
      </w:r>
      <w:r w:rsidR="007E77C0" w:rsidRPr="00A52AB8">
        <w:t>)</w:t>
      </w:r>
    </w:p>
    <w:p w14:paraId="7F5F86E9" w14:textId="48F1781D" w:rsidR="002361AC" w:rsidRPr="00A52AB8" w:rsidRDefault="002361AC" w:rsidP="00A252B5">
      <w:pPr>
        <w:pStyle w:val="Equation"/>
        <w:tabs>
          <w:tab w:val="left" w:pos="403"/>
        </w:tabs>
      </w:pPr>
      <w:r w:rsidRPr="00A52AB8">
        <w:t xml:space="preserve">If </w:t>
      </w:r>
      <w:r w:rsidR="0000342C" w:rsidRPr="00A52AB8">
        <w:t>rotationAxisMode</w:t>
      </w:r>
      <w:r w:rsidRPr="00A52AB8">
        <w:t xml:space="preserve"> </w:t>
      </w:r>
      <w:r w:rsidR="0000342C" w:rsidRPr="00A52AB8">
        <w:t xml:space="preserve">is </w:t>
      </w:r>
      <w:r w:rsidRPr="00A52AB8">
        <w:t>equal to 0</w:t>
      </w:r>
      <w:r w:rsidR="00F417EA" w:rsidRPr="00A52AB8">
        <w:t xml:space="preserve"> then the following applies:</w:t>
      </w:r>
    </w:p>
    <w:p w14:paraId="0EC78CC9" w14:textId="252FDAFC" w:rsidR="002361AC" w:rsidRPr="00A52AB8" w:rsidRDefault="002361AC" w:rsidP="0068547D">
      <w:r w:rsidRPr="00A52AB8">
        <w:tab/>
      </w:r>
      <w:r w:rsidR="00291BCF" w:rsidRPr="00A52AB8">
        <w:t>Tile</w:t>
      </w:r>
      <w:r w:rsidRPr="00A52AB8">
        <w:t>PatchProjectionFlag</w:t>
      </w:r>
      <w:r w:rsidR="00740349" w:rsidRPr="00A52AB8">
        <w:t>[ </w:t>
      </w:r>
      <w:r w:rsidR="00632FA7" w:rsidRPr="00A52AB8">
        <w:t>tileID</w:t>
      </w:r>
      <w:r w:rsidR="00740349" w:rsidRPr="00A52AB8">
        <w:t> ][ p ]</w:t>
      </w:r>
      <w:r w:rsidR="00D47707" w:rsidRPr="00A52AB8">
        <w:t> = </w:t>
      </w:r>
      <w:r w:rsidRPr="00A52AB8">
        <w:t>Clip3(</w:t>
      </w:r>
      <w:r w:rsidR="00E45E42" w:rsidRPr="00A52AB8">
        <w:t> </w:t>
      </w:r>
      <w:r w:rsidRPr="00A52AB8">
        <w:t>0,</w:t>
      </w:r>
      <w:r w:rsidR="00E45E42" w:rsidRPr="00A52AB8">
        <w:t> </w:t>
      </w:r>
      <w:r w:rsidRPr="00A52AB8">
        <w:t>1,</w:t>
      </w:r>
      <w:r w:rsidR="00E45E42" w:rsidRPr="00A52AB8">
        <w:t> </w:t>
      </w:r>
      <w:r w:rsidR="0000342C" w:rsidRPr="00A52AB8">
        <w:t>projectionPlane</w:t>
      </w:r>
      <w:r w:rsidR="00E45E42" w:rsidRPr="00A52AB8">
        <w:t> </w:t>
      </w:r>
      <w:r w:rsidRPr="00A52AB8">
        <w:t>/</w:t>
      </w:r>
      <w:r w:rsidR="00E45E42" w:rsidRPr="00A52AB8">
        <w:t> </w:t>
      </w:r>
      <w:r w:rsidRPr="00A52AB8">
        <w:t>3)</w:t>
      </w:r>
      <w:r w:rsidR="007E77C0" w:rsidRPr="00A52AB8">
        <w:tab/>
        <w:t>(H</w:t>
      </w:r>
      <w:r w:rsidR="007E77C0" w:rsidRPr="00A52AB8">
        <w:noBreakHyphen/>
      </w:r>
      <w:r w:rsidR="007E77C0" w:rsidRPr="00496A4D">
        <w:fldChar w:fldCharType="begin"/>
      </w:r>
      <w:r w:rsidR="007E77C0" w:rsidRPr="00A52AB8">
        <w:instrText xml:space="preserve"> SEQ Equation \* ARABIC \s 1 </w:instrText>
      </w:r>
      <w:r w:rsidR="007E77C0" w:rsidRPr="00496A4D">
        <w:fldChar w:fldCharType="separate"/>
      </w:r>
      <w:r w:rsidR="00507A67">
        <w:rPr>
          <w:noProof/>
        </w:rPr>
        <w:t>3</w:t>
      </w:r>
      <w:r w:rsidR="007E77C0" w:rsidRPr="00496A4D">
        <w:fldChar w:fldCharType="end"/>
      </w:r>
      <w:r w:rsidR="007E77C0" w:rsidRPr="00A52AB8">
        <w:t>)</w:t>
      </w:r>
    </w:p>
    <w:p w14:paraId="1870C37A" w14:textId="031B5FA7" w:rsidR="002361AC" w:rsidRPr="00A52AB8" w:rsidRDefault="002361AC" w:rsidP="00A252B5">
      <w:r w:rsidRPr="00A52AB8">
        <w:tab/>
      </w:r>
      <w:r w:rsidR="00291BCF" w:rsidRPr="00A52AB8">
        <w:t>Tile</w:t>
      </w:r>
      <w:r w:rsidR="00254895" w:rsidRPr="00A52AB8">
        <w:t>PatchAxisD</w:t>
      </w:r>
      <w:r w:rsidR="00416553" w:rsidRPr="00A52AB8">
        <w:t>[ </w:t>
      </w:r>
      <w:r w:rsidR="00632FA7" w:rsidRPr="00A52AB8">
        <w:t>tileID</w:t>
      </w:r>
      <w:r w:rsidR="00416553" w:rsidRPr="00A52AB8">
        <w:t> ][ p ]</w:t>
      </w:r>
      <w:r w:rsidR="00D47707" w:rsidRPr="00A52AB8">
        <w:t> = </w:t>
      </w:r>
      <w:r w:rsidR="0000342C" w:rsidRPr="00A52AB8">
        <w:t>projectionPlane</w:t>
      </w:r>
      <w:r w:rsidR="00BB7231" w:rsidRPr="00A52AB8">
        <w:t> </w:t>
      </w:r>
      <w:r w:rsidRPr="00A52AB8">
        <w:t>%</w:t>
      </w:r>
      <w:r w:rsidR="001F328D" w:rsidRPr="00A52AB8">
        <w:t> </w:t>
      </w:r>
      <w:r w:rsidRPr="00A52AB8">
        <w:t>3</w:t>
      </w:r>
      <w:r w:rsidR="007E77C0" w:rsidRPr="00A52AB8">
        <w:tab/>
        <w:t>(H</w:t>
      </w:r>
      <w:r w:rsidR="007E77C0" w:rsidRPr="00A52AB8">
        <w:noBreakHyphen/>
      </w:r>
      <w:r w:rsidR="007E77C0" w:rsidRPr="00496A4D">
        <w:fldChar w:fldCharType="begin"/>
      </w:r>
      <w:r w:rsidR="007E77C0" w:rsidRPr="00A52AB8">
        <w:instrText xml:space="preserve"> SEQ Equation \* ARABIC \s 1 </w:instrText>
      </w:r>
      <w:r w:rsidR="007E77C0" w:rsidRPr="00496A4D">
        <w:fldChar w:fldCharType="separate"/>
      </w:r>
      <w:r w:rsidR="00507A67">
        <w:rPr>
          <w:noProof/>
        </w:rPr>
        <w:t>4</w:t>
      </w:r>
      <w:r w:rsidR="007E77C0" w:rsidRPr="00496A4D">
        <w:fldChar w:fldCharType="end"/>
      </w:r>
      <w:r w:rsidR="007E77C0" w:rsidRPr="00A52AB8">
        <w:t>)</w:t>
      </w:r>
    </w:p>
    <w:p w14:paraId="3907EB99" w14:textId="688E617B" w:rsidR="002361AC" w:rsidRPr="00A52AB8" w:rsidRDefault="002361AC" w:rsidP="00A252B5">
      <w:pPr>
        <w:pStyle w:val="Equation"/>
        <w:tabs>
          <w:tab w:val="left" w:pos="403"/>
        </w:tabs>
      </w:pPr>
      <w:r w:rsidRPr="00A52AB8">
        <w:t>Otherwise</w:t>
      </w:r>
      <w:r w:rsidR="00F417EA" w:rsidRPr="00A52AB8">
        <w:t>:</w:t>
      </w:r>
    </w:p>
    <w:p w14:paraId="7FE622F9" w14:textId="7D0B0E6D" w:rsidR="002361AC" w:rsidRPr="00A52AB8" w:rsidRDefault="00B62E25" w:rsidP="00A252B5">
      <w:r w:rsidRPr="00A52AB8">
        <w:tab/>
      </w:r>
      <w:r w:rsidR="00291BCF" w:rsidRPr="00A52AB8">
        <w:t>Tile</w:t>
      </w:r>
      <w:r w:rsidR="002361AC" w:rsidRPr="00A52AB8">
        <w:t>PatchProjectionFlag</w:t>
      </w:r>
      <w:r w:rsidR="00471E7C" w:rsidRPr="00A52AB8">
        <w:t>[ </w:t>
      </w:r>
      <w:r w:rsidR="00632FA7" w:rsidRPr="00A52AB8">
        <w:t>tileID</w:t>
      </w:r>
      <w:r w:rsidR="00471E7C" w:rsidRPr="00A52AB8">
        <w:t> ][ p ]</w:t>
      </w:r>
      <w:r w:rsidR="00D47707" w:rsidRPr="00A52AB8">
        <w:t> = </w:t>
      </w:r>
      <w:r w:rsidR="00460941" w:rsidRPr="00A52AB8">
        <w:t>Min</w:t>
      </w:r>
      <w:r w:rsidR="002361AC" w:rsidRPr="00A52AB8">
        <w:t>(</w:t>
      </w:r>
      <w:r w:rsidR="00D802AF" w:rsidRPr="00A52AB8">
        <w:t> </w:t>
      </w:r>
      <w:r w:rsidR="002361AC" w:rsidRPr="00A52AB8">
        <w:t>1,</w:t>
      </w:r>
      <w:r w:rsidR="00D802AF" w:rsidRPr="00A52AB8">
        <w:t> ( </w:t>
      </w:r>
      <w:r w:rsidR="002361AC" w:rsidRPr="00A52AB8">
        <w:t>(</w:t>
      </w:r>
      <w:r w:rsidR="0000342C" w:rsidRPr="00A52AB8">
        <w:t> projectionPlane</w:t>
      </w:r>
      <w:r w:rsidR="00564919" w:rsidRPr="00A52AB8">
        <w:t> </w:t>
      </w:r>
      <w:r w:rsidR="0000342C" w:rsidRPr="00A52AB8">
        <w:t>– 6 ) % </w:t>
      </w:r>
      <w:r w:rsidR="002361AC" w:rsidRPr="00A52AB8">
        <w:t>4</w:t>
      </w:r>
      <w:r w:rsidR="0000342C" w:rsidRPr="00A52AB8">
        <w:t>) / </w:t>
      </w:r>
      <w:r w:rsidR="002361AC" w:rsidRPr="00A52AB8">
        <w:t>2</w:t>
      </w:r>
      <w:r w:rsidR="0000342C" w:rsidRPr="00A52AB8">
        <w:t> </w:t>
      </w:r>
      <w:r w:rsidR="002361AC" w:rsidRPr="00A52AB8">
        <w:t>)</w:t>
      </w:r>
      <w:r w:rsidR="007E77C0" w:rsidRPr="00A52AB8">
        <w:tab/>
        <w:t>(H</w:t>
      </w:r>
      <w:r w:rsidR="007E77C0" w:rsidRPr="00A52AB8">
        <w:noBreakHyphen/>
      </w:r>
      <w:r w:rsidR="007E77C0" w:rsidRPr="00496A4D">
        <w:fldChar w:fldCharType="begin"/>
      </w:r>
      <w:r w:rsidR="007E77C0" w:rsidRPr="00A52AB8">
        <w:instrText xml:space="preserve"> SEQ Equation \* ARABIC \s 1 </w:instrText>
      </w:r>
      <w:r w:rsidR="007E77C0" w:rsidRPr="00496A4D">
        <w:fldChar w:fldCharType="separate"/>
      </w:r>
      <w:r w:rsidR="00507A67">
        <w:rPr>
          <w:noProof/>
        </w:rPr>
        <w:t>5</w:t>
      </w:r>
      <w:r w:rsidR="007E77C0" w:rsidRPr="00496A4D">
        <w:fldChar w:fldCharType="end"/>
      </w:r>
      <w:r w:rsidR="007E77C0" w:rsidRPr="00A52AB8">
        <w:t>)</w:t>
      </w:r>
    </w:p>
    <w:p w14:paraId="21D36CB4" w14:textId="26C66032" w:rsidR="00733526" w:rsidRPr="00A52AB8" w:rsidRDefault="00733526" w:rsidP="004A6049">
      <w:pPr>
        <w:jc w:val="left"/>
      </w:pPr>
      <w:r w:rsidRPr="00A52AB8">
        <w:tab/>
        <w:t>if( rotationAxisMode</w:t>
      </w:r>
      <w:r w:rsidR="008768E9" w:rsidRPr="00A52AB8">
        <w:t> </w:t>
      </w:r>
      <w:r w:rsidR="00726AAE" w:rsidRPr="00A52AB8">
        <w:t>==</w:t>
      </w:r>
      <w:r w:rsidR="00D47707" w:rsidRPr="00A52AB8">
        <w:t> </w:t>
      </w:r>
      <w:r w:rsidRPr="00A52AB8">
        <w:t>1 )</w:t>
      </w:r>
      <w:r w:rsidRPr="00A52AB8">
        <w:br/>
      </w:r>
      <w:r w:rsidRPr="00A52AB8">
        <w:tab/>
      </w:r>
      <w:r w:rsidRPr="00A52AB8">
        <w:tab/>
        <w:t>TilePatchAxisD[ tileID ][ p ]</w:t>
      </w:r>
      <w:r w:rsidR="00D47707" w:rsidRPr="00A52AB8">
        <w:t> = </w:t>
      </w:r>
      <w:r w:rsidRPr="00A52AB8">
        <w:t>2 * ( projectionPlane % 2 )</w:t>
      </w:r>
      <w:r w:rsidRPr="00A52AB8">
        <w:br/>
      </w:r>
      <w:r w:rsidRPr="00A52AB8">
        <w:tab/>
        <w:t>else if( rotationAxisMode</w:t>
      </w:r>
      <w:r w:rsidR="008768E9" w:rsidRPr="00A52AB8">
        <w:t> </w:t>
      </w:r>
      <w:r w:rsidR="00726AAE" w:rsidRPr="00A52AB8">
        <w:t>==</w:t>
      </w:r>
      <w:r w:rsidR="00D47707" w:rsidRPr="00A52AB8">
        <w:t> </w:t>
      </w:r>
      <w:r w:rsidRPr="00A52AB8">
        <w:t>2 )</w:t>
      </w:r>
      <w:r w:rsidRPr="00A52AB8">
        <w:br/>
      </w:r>
      <w:r w:rsidRPr="00A52AB8">
        <w:tab/>
      </w:r>
      <w:r w:rsidRPr="00A52AB8">
        <w:tab/>
        <w:t>TilePatchAxisD[ tileID ][ p ]</w:t>
      </w:r>
      <w:r w:rsidR="00D47707" w:rsidRPr="00A52AB8">
        <w:t> = </w:t>
      </w:r>
      <w:r w:rsidRPr="00A52AB8">
        <w:t>2 − ( projectionPlane % 2 )</w:t>
      </w:r>
      <w:r w:rsidRPr="00A52AB8">
        <w:tab/>
        <w:t>(H</w:t>
      </w:r>
      <w:r w:rsidRPr="00A52AB8">
        <w:noBreakHyphen/>
      </w:r>
      <w:r w:rsidRPr="00496A4D">
        <w:fldChar w:fldCharType="begin"/>
      </w:r>
      <w:r w:rsidRPr="00A52AB8">
        <w:instrText xml:space="preserve"> SEQ Equation \* ARABIC \s 1 </w:instrText>
      </w:r>
      <w:r w:rsidRPr="00496A4D">
        <w:fldChar w:fldCharType="separate"/>
      </w:r>
      <w:r w:rsidR="00507A67">
        <w:rPr>
          <w:noProof/>
        </w:rPr>
        <w:t>6</w:t>
      </w:r>
      <w:r w:rsidRPr="00496A4D">
        <w:fldChar w:fldCharType="end"/>
      </w:r>
      <w:r w:rsidRPr="00A52AB8">
        <w:t>)</w:t>
      </w:r>
      <w:r w:rsidRPr="00A52AB8">
        <w:br/>
      </w:r>
      <w:r w:rsidRPr="00A52AB8">
        <w:tab/>
        <w:t>else</w:t>
      </w:r>
      <w:r w:rsidRPr="00A52AB8">
        <w:br/>
      </w:r>
      <w:r w:rsidRPr="00A52AB8">
        <w:tab/>
      </w:r>
      <w:r w:rsidRPr="00A52AB8">
        <w:tab/>
        <w:t>TilePatchAxisD[ tileID ][ p ]</w:t>
      </w:r>
      <w:r w:rsidR="00D47707" w:rsidRPr="00A52AB8">
        <w:t> = </w:t>
      </w:r>
      <w:r w:rsidRPr="00A52AB8">
        <w:t>1 − ( projectionPlane % 2 )</w:t>
      </w:r>
    </w:p>
    <w:p w14:paraId="46FDF262" w14:textId="42401461" w:rsidR="002361AC" w:rsidRPr="00A52AB8" w:rsidRDefault="002361AC" w:rsidP="00A252B5">
      <w:r w:rsidRPr="00A52AB8">
        <w:tab/>
      </w:r>
      <w:r w:rsidR="00291BCF" w:rsidRPr="00A52AB8">
        <w:t>Tile</w:t>
      </w:r>
      <w:r w:rsidR="00254895" w:rsidRPr="00A52AB8">
        <w:t>PatchAxisU</w:t>
      </w:r>
      <w:r w:rsidR="00DF3782" w:rsidRPr="00A52AB8">
        <w:t>[ </w:t>
      </w:r>
      <w:r w:rsidR="00632FA7" w:rsidRPr="00A52AB8">
        <w:t>tileID</w:t>
      </w:r>
      <w:r w:rsidR="00DF3782" w:rsidRPr="00A52AB8">
        <w:t> ][ p ]</w:t>
      </w:r>
      <w:r w:rsidR="00D47707" w:rsidRPr="00A52AB8">
        <w:t> = </w:t>
      </w:r>
      <w:r w:rsidRPr="00A52AB8">
        <w:t>(</w:t>
      </w:r>
      <w:r w:rsidR="00394FE7" w:rsidRPr="00A52AB8">
        <w:t> </w:t>
      </w:r>
      <w:r w:rsidR="00A235A7" w:rsidRPr="00A52AB8">
        <w:t>Tile</w:t>
      </w:r>
      <w:r w:rsidR="00254895" w:rsidRPr="00A52AB8">
        <w:t>PatchAxisD</w:t>
      </w:r>
      <w:r w:rsidR="00733603" w:rsidRPr="00A52AB8">
        <w:t>[ </w:t>
      </w:r>
      <w:r w:rsidR="00632FA7" w:rsidRPr="00A52AB8">
        <w:t>tileID</w:t>
      </w:r>
      <w:r w:rsidR="00733603" w:rsidRPr="00A52AB8">
        <w:t> ][ p ]</w:t>
      </w:r>
      <w:r w:rsidR="008768E9" w:rsidRPr="00A52AB8">
        <w:t> </w:t>
      </w:r>
      <w:r w:rsidR="00726AAE" w:rsidRPr="00A52AB8">
        <w:t>==</w:t>
      </w:r>
      <w:r w:rsidR="00D47707" w:rsidRPr="00A52AB8">
        <w:t> </w:t>
      </w:r>
      <w:r w:rsidRPr="00A52AB8">
        <w:t>2</w:t>
      </w:r>
      <w:r w:rsidR="00394FE7" w:rsidRPr="00A52AB8">
        <w:t> </w:t>
      </w:r>
      <w:r w:rsidRPr="00A52AB8">
        <w:t>)</w:t>
      </w:r>
      <w:r w:rsidR="00394FE7" w:rsidRPr="00A52AB8">
        <w:t> </w:t>
      </w:r>
      <w:r w:rsidRPr="00A52AB8">
        <w:t>?</w:t>
      </w:r>
      <w:r w:rsidR="00394FE7" w:rsidRPr="00A52AB8">
        <w:t> </w:t>
      </w:r>
      <w:r w:rsidRPr="00A52AB8">
        <w:t>0</w:t>
      </w:r>
      <w:r w:rsidR="00394FE7" w:rsidRPr="00A52AB8">
        <w:t> </w:t>
      </w:r>
      <w:r w:rsidRPr="00A52AB8">
        <w:t>:</w:t>
      </w:r>
      <w:r w:rsidR="00394FE7" w:rsidRPr="00A52AB8">
        <w:t> </w:t>
      </w:r>
      <w:r w:rsidRPr="00A52AB8">
        <w:t>2</w:t>
      </w:r>
      <w:r w:rsidR="007E77C0" w:rsidRPr="00A52AB8">
        <w:tab/>
        <w:t>(H</w:t>
      </w:r>
      <w:r w:rsidR="007E77C0" w:rsidRPr="00A52AB8">
        <w:noBreakHyphen/>
      </w:r>
      <w:r w:rsidR="007E77C0" w:rsidRPr="00496A4D">
        <w:fldChar w:fldCharType="begin"/>
      </w:r>
      <w:r w:rsidR="007E77C0" w:rsidRPr="00A52AB8">
        <w:instrText xml:space="preserve"> SEQ Equation \* ARABIC \s 1 </w:instrText>
      </w:r>
      <w:r w:rsidR="007E77C0" w:rsidRPr="00496A4D">
        <w:fldChar w:fldCharType="separate"/>
      </w:r>
      <w:r w:rsidR="00507A67">
        <w:rPr>
          <w:noProof/>
        </w:rPr>
        <w:t>7</w:t>
      </w:r>
      <w:r w:rsidR="007E77C0" w:rsidRPr="00496A4D">
        <w:fldChar w:fldCharType="end"/>
      </w:r>
      <w:r w:rsidR="007E77C0" w:rsidRPr="00A52AB8">
        <w:t>)</w:t>
      </w:r>
    </w:p>
    <w:p w14:paraId="17486DE6" w14:textId="582FF192" w:rsidR="002361AC" w:rsidRPr="00A52AB8" w:rsidRDefault="002361AC" w:rsidP="00A252B5">
      <w:r w:rsidRPr="00A52AB8">
        <w:tab/>
      </w:r>
      <w:bookmarkStart w:id="6236" w:name="_Ref46914103"/>
      <w:r w:rsidR="00291BCF" w:rsidRPr="00A52AB8">
        <w:t>Tile</w:t>
      </w:r>
      <w:r w:rsidR="00254895" w:rsidRPr="00A52AB8">
        <w:t>PatchAxisV</w:t>
      </w:r>
      <w:r w:rsidR="00A71D91" w:rsidRPr="00A52AB8">
        <w:t>[ </w:t>
      </w:r>
      <w:r w:rsidR="00632FA7" w:rsidRPr="00A52AB8">
        <w:t>tileID</w:t>
      </w:r>
      <w:r w:rsidR="00A71D91" w:rsidRPr="00A52AB8">
        <w:t> ][ p ]</w:t>
      </w:r>
      <w:r w:rsidR="00D47707" w:rsidRPr="00A52AB8">
        <w:t> = </w:t>
      </w:r>
      <w:r w:rsidRPr="00A52AB8">
        <w:t>(</w:t>
      </w:r>
      <w:r w:rsidR="00394FE7" w:rsidRPr="00A52AB8">
        <w:t> </w:t>
      </w:r>
      <w:r w:rsidR="00A235A7" w:rsidRPr="00A52AB8">
        <w:t>Tile</w:t>
      </w:r>
      <w:r w:rsidR="00254895" w:rsidRPr="00A52AB8">
        <w:t>PatchAxisD</w:t>
      </w:r>
      <w:r w:rsidR="00C27FB3" w:rsidRPr="00A52AB8">
        <w:t>[ </w:t>
      </w:r>
      <w:r w:rsidR="00632FA7" w:rsidRPr="00A52AB8">
        <w:t>tileID</w:t>
      </w:r>
      <w:r w:rsidR="00C27FB3" w:rsidRPr="00A52AB8">
        <w:t> ][ p ]</w:t>
      </w:r>
      <w:r w:rsidR="008768E9" w:rsidRPr="00A52AB8">
        <w:t> </w:t>
      </w:r>
      <w:r w:rsidR="00726AAE" w:rsidRPr="00A52AB8">
        <w:t>==</w:t>
      </w:r>
      <w:r w:rsidR="00D47707" w:rsidRPr="00A52AB8">
        <w:t> </w:t>
      </w:r>
      <w:r w:rsidRPr="00A52AB8">
        <w:t>1</w:t>
      </w:r>
      <w:r w:rsidR="00394FE7" w:rsidRPr="00A52AB8">
        <w:t> </w:t>
      </w:r>
      <w:r w:rsidRPr="00A52AB8">
        <w:t>)</w:t>
      </w:r>
      <w:r w:rsidR="00394FE7" w:rsidRPr="00A52AB8">
        <w:t> </w:t>
      </w:r>
      <w:r w:rsidRPr="00A52AB8">
        <w:t>?</w:t>
      </w:r>
      <w:r w:rsidR="00394FE7" w:rsidRPr="00A52AB8">
        <w:t> </w:t>
      </w:r>
      <w:r w:rsidRPr="00A52AB8">
        <w:t>0</w:t>
      </w:r>
      <w:r w:rsidR="00394FE7" w:rsidRPr="00A52AB8">
        <w:t> </w:t>
      </w:r>
      <w:r w:rsidRPr="00A52AB8">
        <w:t>:</w:t>
      </w:r>
      <w:r w:rsidR="00394FE7" w:rsidRPr="00A52AB8">
        <w:t> </w:t>
      </w:r>
      <w:r w:rsidRPr="00A52AB8">
        <w:t>1</w:t>
      </w:r>
      <w:r w:rsidR="007E77C0" w:rsidRPr="00A52AB8">
        <w:tab/>
        <w:t>(</w:t>
      </w:r>
      <w:bookmarkStart w:id="6237" w:name="Eqn_TilePatchAxisY_annexH"/>
      <w:r w:rsidR="007E77C0" w:rsidRPr="00A52AB8">
        <w:t>H</w:t>
      </w:r>
      <w:r w:rsidR="007E77C0" w:rsidRPr="00A52AB8">
        <w:noBreakHyphen/>
      </w:r>
      <w:r w:rsidR="007E77C0" w:rsidRPr="00496A4D">
        <w:fldChar w:fldCharType="begin"/>
      </w:r>
      <w:r w:rsidR="007E77C0" w:rsidRPr="00A52AB8">
        <w:instrText xml:space="preserve"> SEQ Equation \* ARABIC \s 1 </w:instrText>
      </w:r>
      <w:r w:rsidR="007E77C0" w:rsidRPr="00496A4D">
        <w:fldChar w:fldCharType="separate"/>
      </w:r>
      <w:r w:rsidR="00507A67">
        <w:rPr>
          <w:noProof/>
        </w:rPr>
        <w:t>8</w:t>
      </w:r>
      <w:r w:rsidR="007E77C0" w:rsidRPr="00496A4D">
        <w:fldChar w:fldCharType="end"/>
      </w:r>
      <w:bookmarkEnd w:id="6236"/>
      <w:bookmarkEnd w:id="6237"/>
      <w:r w:rsidR="007E77C0" w:rsidRPr="00A52AB8">
        <w:t>)</w:t>
      </w:r>
    </w:p>
    <w:p w14:paraId="50ACD14B" w14:textId="7E22C005" w:rsidR="002361AC" w:rsidRPr="00A52AB8" w:rsidRDefault="002361AC" w:rsidP="00792CFF">
      <w:pPr>
        <w:rPr>
          <w:lang w:eastAsia="ja-JP"/>
        </w:rPr>
      </w:pPr>
      <w:r w:rsidRPr="00A52AB8">
        <w:rPr>
          <w:lang w:eastAsia="ja-JP"/>
        </w:rPr>
        <w:t xml:space="preserve">The values of the variables </w:t>
      </w:r>
      <w:r w:rsidR="00756055" w:rsidRPr="00A52AB8">
        <w:rPr>
          <w:lang w:eastAsia="ja-JP"/>
        </w:rPr>
        <w:t>Tile</w:t>
      </w:r>
      <w:r w:rsidR="00254895" w:rsidRPr="00A52AB8">
        <w:rPr>
          <w:lang w:eastAsia="ja-JP"/>
        </w:rPr>
        <w:t>PatchAxisU</w:t>
      </w:r>
      <w:r w:rsidR="00EA5317" w:rsidRPr="00A52AB8">
        <w:t>[ tileID ][ p ]</w:t>
      </w:r>
      <w:r w:rsidRPr="00A52AB8">
        <w:rPr>
          <w:lang w:eastAsia="ja-JP"/>
        </w:rPr>
        <w:t xml:space="preserve">, </w:t>
      </w:r>
      <w:r w:rsidR="00756055" w:rsidRPr="00A52AB8">
        <w:rPr>
          <w:lang w:eastAsia="ja-JP"/>
        </w:rPr>
        <w:t>Tile</w:t>
      </w:r>
      <w:r w:rsidR="00254895" w:rsidRPr="00A52AB8">
        <w:rPr>
          <w:lang w:eastAsia="ja-JP"/>
        </w:rPr>
        <w:t>PatchAxisV</w:t>
      </w:r>
      <w:r w:rsidR="00EA5317" w:rsidRPr="00A52AB8">
        <w:t>[ tileID ][ p ]</w:t>
      </w:r>
      <w:r w:rsidRPr="00A52AB8">
        <w:rPr>
          <w:lang w:eastAsia="ja-JP"/>
        </w:rPr>
        <w:t xml:space="preserve">, </w:t>
      </w:r>
      <w:r w:rsidR="00756055" w:rsidRPr="00A52AB8">
        <w:rPr>
          <w:lang w:eastAsia="ja-JP"/>
        </w:rPr>
        <w:t>Tile</w:t>
      </w:r>
      <w:r w:rsidR="00254895" w:rsidRPr="00A52AB8">
        <w:rPr>
          <w:lang w:eastAsia="ja-JP"/>
        </w:rPr>
        <w:t>PatchAxisD</w:t>
      </w:r>
      <w:r w:rsidR="00EA5317" w:rsidRPr="00A52AB8">
        <w:t>[ tileID ][ p ]</w:t>
      </w:r>
      <w:r w:rsidRPr="00A52AB8">
        <w:rPr>
          <w:lang w:eastAsia="ja-JP"/>
        </w:rPr>
        <w:t xml:space="preserve">, </w:t>
      </w:r>
      <w:r w:rsidR="00756055" w:rsidRPr="00A52AB8">
        <w:rPr>
          <w:lang w:eastAsia="ja-JP"/>
        </w:rPr>
        <w:t>Tile</w:t>
      </w:r>
      <w:r w:rsidR="00440C68" w:rsidRPr="00A52AB8">
        <w:rPr>
          <w:lang w:eastAsia="ja-JP"/>
        </w:rPr>
        <w:t>Patch</w:t>
      </w:r>
      <w:r w:rsidR="00354BB6" w:rsidRPr="00A52AB8">
        <w:rPr>
          <w:lang w:eastAsia="ja-JP"/>
        </w:rPr>
        <w:t>45Degree</w:t>
      </w:r>
      <w:r w:rsidR="00440C68" w:rsidRPr="00A52AB8">
        <w:rPr>
          <w:lang w:eastAsia="ja-JP"/>
        </w:rPr>
        <w:t>Mode</w:t>
      </w:r>
      <w:r w:rsidR="00EA5317" w:rsidRPr="00A52AB8">
        <w:t>[ tileID ][ p ]</w:t>
      </w:r>
      <w:r w:rsidR="00A235A7" w:rsidRPr="00A52AB8">
        <w:rPr>
          <w:lang w:eastAsia="ja-JP"/>
        </w:rPr>
        <w:t>,</w:t>
      </w:r>
      <w:r w:rsidRPr="00A52AB8">
        <w:rPr>
          <w:lang w:eastAsia="ja-JP"/>
        </w:rPr>
        <w:t xml:space="preserve"> and </w:t>
      </w:r>
      <w:r w:rsidR="00756055" w:rsidRPr="00A52AB8">
        <w:rPr>
          <w:lang w:eastAsia="ja-JP"/>
        </w:rPr>
        <w:t>Tile</w:t>
      </w:r>
      <w:r w:rsidRPr="00A52AB8">
        <w:rPr>
          <w:lang w:eastAsia="ja-JP"/>
        </w:rPr>
        <w:t>PatchProjectionFlag</w:t>
      </w:r>
      <w:r w:rsidR="00EA5317" w:rsidRPr="00A52AB8">
        <w:t>[ tileID ][ p ]</w:t>
      </w:r>
      <w:r w:rsidRPr="00A52AB8">
        <w:rPr>
          <w:lang w:eastAsia="ja-JP"/>
        </w:rPr>
        <w:t xml:space="preserve"> </w:t>
      </w:r>
      <w:r w:rsidR="00E067C8" w:rsidRPr="00A52AB8">
        <w:rPr>
          <w:lang w:eastAsia="ja-JP"/>
        </w:rPr>
        <w:t xml:space="preserve">that are </w:t>
      </w:r>
      <w:r w:rsidRPr="00A52AB8">
        <w:rPr>
          <w:lang w:eastAsia="ja-JP"/>
        </w:rPr>
        <w:t>derived from</w:t>
      </w:r>
      <w:r w:rsidR="009A1CCF" w:rsidRPr="00A52AB8">
        <w:rPr>
          <w:lang w:eastAsia="ja-JP"/>
        </w:rPr>
        <w:t xml:space="preserve"> </w:t>
      </w:r>
      <w:r w:rsidR="009A1CCF" w:rsidRPr="00A52AB8">
        <w:t>Equation</w:t>
      </w:r>
      <w:r w:rsidR="00EA5317" w:rsidRPr="00A52AB8">
        <w:t>s</w:t>
      </w:r>
      <w:r w:rsidR="009A1CCF" w:rsidRPr="00A52AB8">
        <w:rPr>
          <w:lang w:eastAsia="ja-JP"/>
        </w:rPr>
        <w:t xml:space="preserve"> </w:t>
      </w:r>
      <w:r w:rsidR="009A1CCF" w:rsidRPr="00496A4D">
        <w:rPr>
          <w:lang w:eastAsia="ja-JP"/>
        </w:rPr>
        <w:fldChar w:fldCharType="begin"/>
      </w:r>
      <w:r w:rsidR="009A1CCF" w:rsidRPr="00A52AB8">
        <w:rPr>
          <w:lang w:eastAsia="ja-JP"/>
        </w:rPr>
        <w:instrText xml:space="preserve"> REF Eqn_pduProjectionPlane \h </w:instrText>
      </w:r>
      <w:r w:rsidR="006371AA" w:rsidRPr="00A52AB8">
        <w:rPr>
          <w:lang w:eastAsia="ja-JP"/>
        </w:rPr>
        <w:instrText xml:space="preserve"> \* MERGEFORMAT </w:instrText>
      </w:r>
      <w:r w:rsidR="009A1CCF" w:rsidRPr="00496A4D">
        <w:rPr>
          <w:lang w:eastAsia="ja-JP"/>
        </w:rPr>
      </w:r>
      <w:r w:rsidR="009A1CCF" w:rsidRPr="00496A4D">
        <w:rPr>
          <w:lang w:eastAsia="ja-JP"/>
        </w:rPr>
        <w:fldChar w:fldCharType="separate"/>
      </w:r>
      <w:r w:rsidR="00507A67" w:rsidRPr="00A52AB8">
        <w:t>H</w:t>
      </w:r>
      <w:r w:rsidR="00507A67" w:rsidRPr="00A52AB8">
        <w:noBreakHyphen/>
      </w:r>
      <w:r w:rsidR="00507A67">
        <w:t>1</w:t>
      </w:r>
      <w:r w:rsidR="009A1CCF" w:rsidRPr="00496A4D">
        <w:rPr>
          <w:lang w:eastAsia="ja-JP"/>
        </w:rPr>
        <w:fldChar w:fldCharType="end"/>
      </w:r>
      <w:r w:rsidR="009A1CCF" w:rsidRPr="00A52AB8">
        <w:rPr>
          <w:lang w:eastAsia="ja-JP"/>
        </w:rPr>
        <w:t xml:space="preserve"> to </w:t>
      </w:r>
      <w:r w:rsidR="009A1CCF" w:rsidRPr="00496A4D">
        <w:rPr>
          <w:lang w:eastAsia="ja-JP"/>
        </w:rPr>
        <w:fldChar w:fldCharType="begin"/>
      </w:r>
      <w:r w:rsidR="009A1CCF" w:rsidRPr="00A52AB8">
        <w:rPr>
          <w:lang w:eastAsia="ja-JP"/>
        </w:rPr>
        <w:instrText xml:space="preserve"> REF Eqn_TilePatchAxisY_annexH \h </w:instrText>
      </w:r>
      <w:r w:rsidR="006371AA" w:rsidRPr="00A52AB8">
        <w:rPr>
          <w:lang w:eastAsia="ja-JP"/>
        </w:rPr>
        <w:instrText xml:space="preserve"> \* MERGEFORMAT </w:instrText>
      </w:r>
      <w:r w:rsidR="009A1CCF" w:rsidRPr="00496A4D">
        <w:rPr>
          <w:lang w:eastAsia="ja-JP"/>
        </w:rPr>
      </w:r>
      <w:r w:rsidR="009A1CCF" w:rsidRPr="00496A4D">
        <w:rPr>
          <w:lang w:eastAsia="ja-JP"/>
        </w:rPr>
        <w:fldChar w:fldCharType="separate"/>
      </w:r>
      <w:r w:rsidR="00507A67" w:rsidRPr="00A52AB8">
        <w:t>H</w:t>
      </w:r>
      <w:r w:rsidR="00507A67" w:rsidRPr="00A52AB8">
        <w:noBreakHyphen/>
      </w:r>
      <w:r w:rsidR="00507A67">
        <w:t>8</w:t>
      </w:r>
      <w:r w:rsidR="009A1CCF" w:rsidRPr="00496A4D">
        <w:rPr>
          <w:lang w:eastAsia="ja-JP"/>
        </w:rPr>
        <w:fldChar w:fldCharType="end"/>
      </w:r>
      <w:r w:rsidR="00D21F1D" w:rsidRPr="00A52AB8">
        <w:rPr>
          <w:lang w:eastAsia="ja-JP"/>
        </w:rPr>
        <w:t xml:space="preserve"> </w:t>
      </w:r>
      <w:r w:rsidR="00EA5317" w:rsidRPr="00A52AB8">
        <w:rPr>
          <w:lang w:eastAsia="ja-JP"/>
        </w:rPr>
        <w:t xml:space="preserve">are also presented in tabular form in </w:t>
      </w:r>
      <w:r w:rsidR="00985C52" w:rsidRPr="00496A4D">
        <w:rPr>
          <w:lang w:eastAsia="ja-JP"/>
        </w:rPr>
        <w:fldChar w:fldCharType="begin"/>
      </w:r>
      <w:r w:rsidR="00985C52" w:rsidRPr="00A52AB8">
        <w:rPr>
          <w:lang w:eastAsia="ja-JP"/>
        </w:rPr>
        <w:instrText xml:space="preserve"> REF _Ref46497496 \h </w:instrText>
      </w:r>
      <w:r w:rsidR="006371AA" w:rsidRPr="00A52AB8">
        <w:rPr>
          <w:lang w:eastAsia="ja-JP"/>
        </w:rPr>
        <w:instrText xml:space="preserve"> \* MERGEFORMAT </w:instrText>
      </w:r>
      <w:r w:rsidR="00985C52" w:rsidRPr="00496A4D">
        <w:rPr>
          <w:lang w:eastAsia="ja-JP"/>
        </w:rPr>
      </w:r>
      <w:r w:rsidR="00985C52" w:rsidRPr="00496A4D">
        <w:rPr>
          <w:lang w:eastAsia="ja-JP"/>
        </w:rPr>
        <w:fldChar w:fldCharType="separate"/>
      </w:r>
      <w:r w:rsidR="00507A67" w:rsidRPr="00507A67">
        <w:t>Table H</w:t>
      </w:r>
      <w:r w:rsidR="00507A67" w:rsidRPr="00507A67">
        <w:noBreakHyphen/>
        <w:t>2</w:t>
      </w:r>
      <w:r w:rsidR="00985C52" w:rsidRPr="00496A4D">
        <w:rPr>
          <w:lang w:eastAsia="ja-JP"/>
        </w:rPr>
        <w:fldChar w:fldCharType="end"/>
      </w:r>
      <w:r w:rsidRPr="00A52AB8">
        <w:rPr>
          <w:lang w:eastAsia="ja-JP"/>
        </w:rPr>
        <w:t>.</w:t>
      </w:r>
    </w:p>
    <w:p w14:paraId="6CA89859" w14:textId="5B430761" w:rsidR="00C61E38" w:rsidRPr="00A52AB8" w:rsidRDefault="00D21F1D" w:rsidP="00EA5317">
      <w:pPr>
        <w:jc w:val="center"/>
        <w:rPr>
          <w:rStyle w:val="CaptionChar1"/>
          <w:lang w:val="en-CA"/>
        </w:rPr>
      </w:pPr>
      <w:bookmarkStart w:id="6238" w:name="_Ref46497496"/>
      <w:r w:rsidRPr="00A52AB8">
        <w:rPr>
          <w:rStyle w:val="CaptionChar1"/>
          <w:lang w:val="en-CA"/>
        </w:rPr>
        <w:t>Table H</w:t>
      </w:r>
      <w:r w:rsidRPr="00A52AB8">
        <w:rPr>
          <w:rStyle w:val="CaptionChar1"/>
          <w:lang w:val="en-CA"/>
        </w:rPr>
        <w:noBreakHyphen/>
      </w:r>
      <w:r w:rsidRPr="00496A4D">
        <w:rPr>
          <w:rStyle w:val="CaptionChar1"/>
          <w:lang w:val="en-CA"/>
        </w:rPr>
        <w:fldChar w:fldCharType="begin"/>
      </w:r>
      <w:r w:rsidRPr="00A52AB8">
        <w:rPr>
          <w:rStyle w:val="CaptionChar1"/>
          <w:lang w:val="en-CA"/>
        </w:rPr>
        <w:instrText xml:space="preserve"> SEQ Table \* ARABIC \s 1 </w:instrText>
      </w:r>
      <w:r w:rsidRPr="00496A4D">
        <w:rPr>
          <w:rStyle w:val="CaptionChar1"/>
          <w:lang w:val="en-CA"/>
        </w:rPr>
        <w:fldChar w:fldCharType="separate"/>
      </w:r>
      <w:r w:rsidR="00507A67">
        <w:rPr>
          <w:rStyle w:val="CaptionChar1"/>
          <w:noProof/>
          <w:lang w:val="en-CA"/>
        </w:rPr>
        <w:t>2</w:t>
      </w:r>
      <w:r w:rsidRPr="00496A4D">
        <w:rPr>
          <w:rStyle w:val="CaptionChar1"/>
          <w:lang w:val="en-CA"/>
        </w:rPr>
        <w:fldChar w:fldCharType="end"/>
      </w:r>
      <w:bookmarkEnd w:id="6238"/>
      <w:r w:rsidR="00553C48" w:rsidRPr="00A52AB8">
        <w:rPr>
          <w:rStyle w:val="CaptionChar1"/>
          <w:lang w:val="en-CA"/>
        </w:rPr>
        <w:t> – </w:t>
      </w:r>
      <w:r w:rsidR="00EA5317" w:rsidRPr="00A52AB8">
        <w:rPr>
          <w:rStyle w:val="CaptionChar1"/>
          <w:lang w:val="en-CA"/>
        </w:rPr>
        <w:t>Derivation of patch projection variables based on pdu_projection_id[ tileID ][ p ] values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3596"/>
        <w:gridCol w:w="341"/>
        <w:gridCol w:w="341"/>
        <w:gridCol w:w="343"/>
        <w:gridCol w:w="341"/>
        <w:gridCol w:w="343"/>
        <w:gridCol w:w="341"/>
        <w:gridCol w:w="343"/>
        <w:gridCol w:w="341"/>
        <w:gridCol w:w="343"/>
        <w:gridCol w:w="341"/>
        <w:gridCol w:w="341"/>
        <w:gridCol w:w="343"/>
        <w:gridCol w:w="341"/>
        <w:gridCol w:w="343"/>
        <w:gridCol w:w="341"/>
        <w:gridCol w:w="343"/>
        <w:gridCol w:w="341"/>
        <w:gridCol w:w="335"/>
      </w:tblGrid>
      <w:tr w:rsidR="00EA5317" w:rsidRPr="00A52AB8" w14:paraId="5A74798A" w14:textId="77777777" w:rsidTr="004A6049">
        <w:tc>
          <w:tcPr>
            <w:tcW w:w="1846" w:type="pct"/>
            <w:shd w:val="clear" w:color="auto" w:fill="AEAAAA" w:themeFill="background2" w:themeFillShade="BF"/>
            <w:tcMar>
              <w:top w:w="43" w:type="dxa"/>
              <w:left w:w="15" w:type="dxa"/>
              <w:bottom w:w="43" w:type="dxa"/>
              <w:right w:w="15" w:type="dxa"/>
            </w:tcMar>
            <w:vAlign w:val="center"/>
          </w:tcPr>
          <w:p w14:paraId="62DB95CD" w14:textId="6B1701AF" w:rsidR="00EA5317" w:rsidRPr="00A52AB8" w:rsidRDefault="00EA5317" w:rsidP="002E5343">
            <w:pPr>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s>
              <w:snapToGrid w:val="0"/>
              <w:spacing w:after="0" w:line="240" w:lineRule="auto"/>
              <w:jc w:val="center"/>
              <w:rPr>
                <w:rFonts w:cs="Calibri"/>
                <w:b/>
                <w:bCs/>
                <w:color w:val="000000" w:themeColor="text1"/>
                <w:sz w:val="20"/>
                <w:szCs w:val="20"/>
              </w:rPr>
            </w:pPr>
          </w:p>
        </w:tc>
        <w:tc>
          <w:tcPr>
            <w:tcW w:w="3154" w:type="pct"/>
            <w:gridSpan w:val="18"/>
            <w:shd w:val="clear" w:color="auto" w:fill="AEAAAA" w:themeFill="background2" w:themeFillShade="BF"/>
            <w:tcMar>
              <w:top w:w="43" w:type="dxa"/>
              <w:left w:w="15" w:type="dxa"/>
              <w:bottom w:w="43" w:type="dxa"/>
              <w:right w:w="15" w:type="dxa"/>
            </w:tcMar>
            <w:vAlign w:val="center"/>
          </w:tcPr>
          <w:p w14:paraId="1D0EC3A6" w14:textId="77777777" w:rsidR="00EA5317" w:rsidRPr="00A52AB8" w:rsidRDefault="00EA5317" w:rsidP="002E5343">
            <w:pPr>
              <w:snapToGrid w:val="0"/>
              <w:spacing w:after="0" w:line="240" w:lineRule="auto"/>
              <w:jc w:val="center"/>
              <w:rPr>
                <w:rFonts w:cs="Calibri"/>
                <w:b/>
                <w:bCs/>
                <w:color w:val="000000" w:themeColor="text1"/>
                <w:sz w:val="20"/>
                <w:szCs w:val="20"/>
              </w:rPr>
            </w:pPr>
            <w:r w:rsidRPr="00A52AB8">
              <w:rPr>
                <w:rFonts w:cs="Calibri"/>
                <w:b/>
                <w:bCs/>
                <w:color w:val="000000" w:themeColor="text1"/>
                <w:sz w:val="20"/>
                <w:szCs w:val="20"/>
              </w:rPr>
              <w:t>pdu_projection_id[ tileID ][ p ] values</w:t>
            </w:r>
          </w:p>
        </w:tc>
      </w:tr>
      <w:tr w:rsidR="00870213" w:rsidRPr="00A52AB8" w14:paraId="25341986" w14:textId="77777777" w:rsidTr="00FE55DB">
        <w:tc>
          <w:tcPr>
            <w:tcW w:w="1846" w:type="pct"/>
            <w:shd w:val="clear" w:color="auto" w:fill="AEAAAA" w:themeFill="background2" w:themeFillShade="BF"/>
            <w:tcMar>
              <w:top w:w="43" w:type="dxa"/>
              <w:left w:w="15" w:type="dxa"/>
              <w:bottom w:w="43" w:type="dxa"/>
              <w:right w:w="15" w:type="dxa"/>
            </w:tcMar>
            <w:vAlign w:val="center"/>
            <w:hideMark/>
          </w:tcPr>
          <w:p w14:paraId="416792DA" w14:textId="77777777" w:rsidR="00EA5317" w:rsidRPr="00A52AB8" w:rsidRDefault="00EA5317" w:rsidP="002E5343">
            <w:pPr>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s>
              <w:snapToGrid w:val="0"/>
              <w:spacing w:after="0" w:line="240" w:lineRule="auto"/>
              <w:jc w:val="center"/>
              <w:rPr>
                <w:rFonts w:cs="Calibri"/>
                <w:b/>
                <w:bCs/>
                <w:color w:val="000000"/>
                <w:sz w:val="20"/>
                <w:szCs w:val="20"/>
              </w:rPr>
            </w:pPr>
            <w:r w:rsidRPr="00A52AB8">
              <w:rPr>
                <w:rFonts w:cs="Calibri"/>
                <w:b/>
                <w:bCs/>
                <w:color w:val="000000"/>
                <w:sz w:val="20"/>
                <w:szCs w:val="20"/>
              </w:rPr>
              <w:t>Projection Variables</w:t>
            </w:r>
          </w:p>
        </w:tc>
        <w:tc>
          <w:tcPr>
            <w:tcW w:w="175" w:type="pct"/>
            <w:shd w:val="clear" w:color="auto" w:fill="E7E6E6" w:themeFill="background2"/>
            <w:tcMar>
              <w:top w:w="43" w:type="dxa"/>
              <w:left w:w="15" w:type="dxa"/>
              <w:bottom w:w="43" w:type="dxa"/>
              <w:right w:w="15" w:type="dxa"/>
            </w:tcMar>
            <w:vAlign w:val="center"/>
            <w:hideMark/>
          </w:tcPr>
          <w:p w14:paraId="3D79885E" w14:textId="77777777" w:rsidR="00EA5317" w:rsidRPr="00A52AB8" w:rsidRDefault="00EA5317" w:rsidP="002E5343">
            <w:pPr>
              <w:snapToGrid w:val="0"/>
              <w:spacing w:after="0" w:line="240" w:lineRule="auto"/>
              <w:jc w:val="center"/>
              <w:rPr>
                <w:rFonts w:cs="Calibri"/>
                <w:b/>
                <w:bCs/>
                <w:color w:val="000000"/>
                <w:sz w:val="20"/>
                <w:szCs w:val="20"/>
              </w:rPr>
            </w:pPr>
            <w:r w:rsidRPr="00A52AB8">
              <w:rPr>
                <w:rFonts w:cs="Calibri"/>
                <w:b/>
                <w:bCs/>
                <w:color w:val="000000" w:themeColor="text1"/>
                <w:sz w:val="20"/>
                <w:szCs w:val="20"/>
              </w:rPr>
              <w:t>0</w:t>
            </w:r>
          </w:p>
        </w:tc>
        <w:tc>
          <w:tcPr>
            <w:tcW w:w="175" w:type="pct"/>
            <w:shd w:val="clear" w:color="auto" w:fill="E7E6E6" w:themeFill="background2"/>
            <w:tcMar>
              <w:top w:w="43" w:type="dxa"/>
              <w:left w:w="15" w:type="dxa"/>
              <w:bottom w:w="43" w:type="dxa"/>
              <w:right w:w="15" w:type="dxa"/>
            </w:tcMar>
            <w:vAlign w:val="center"/>
            <w:hideMark/>
          </w:tcPr>
          <w:p w14:paraId="7A714973" w14:textId="77777777" w:rsidR="00EA5317" w:rsidRPr="00A52AB8" w:rsidRDefault="00EA5317" w:rsidP="002E5343">
            <w:pPr>
              <w:snapToGrid w:val="0"/>
              <w:spacing w:after="0" w:line="240" w:lineRule="auto"/>
              <w:jc w:val="center"/>
              <w:rPr>
                <w:rFonts w:cs="Calibri"/>
                <w:b/>
                <w:bCs/>
                <w:color w:val="000000"/>
                <w:sz w:val="20"/>
                <w:szCs w:val="20"/>
              </w:rPr>
            </w:pPr>
            <w:r w:rsidRPr="00A52AB8">
              <w:rPr>
                <w:rFonts w:cs="Calibri"/>
                <w:b/>
                <w:bCs/>
                <w:color w:val="000000" w:themeColor="text1"/>
                <w:sz w:val="20"/>
                <w:szCs w:val="20"/>
              </w:rPr>
              <w:t>1</w:t>
            </w:r>
          </w:p>
        </w:tc>
        <w:tc>
          <w:tcPr>
            <w:tcW w:w="176" w:type="pct"/>
            <w:shd w:val="clear" w:color="auto" w:fill="E7E6E6" w:themeFill="background2"/>
            <w:tcMar>
              <w:top w:w="43" w:type="dxa"/>
              <w:left w:w="15" w:type="dxa"/>
              <w:bottom w:w="43" w:type="dxa"/>
              <w:right w:w="15" w:type="dxa"/>
            </w:tcMar>
            <w:vAlign w:val="center"/>
            <w:hideMark/>
          </w:tcPr>
          <w:p w14:paraId="671BAFAB" w14:textId="77777777" w:rsidR="00EA5317" w:rsidRPr="00A52AB8" w:rsidRDefault="00EA5317" w:rsidP="002E5343">
            <w:pPr>
              <w:snapToGrid w:val="0"/>
              <w:spacing w:after="0" w:line="240" w:lineRule="auto"/>
              <w:jc w:val="center"/>
              <w:rPr>
                <w:rFonts w:cs="Calibri"/>
                <w:b/>
                <w:bCs/>
                <w:color w:val="000000"/>
                <w:sz w:val="20"/>
                <w:szCs w:val="20"/>
              </w:rPr>
            </w:pPr>
            <w:r w:rsidRPr="00A52AB8">
              <w:rPr>
                <w:rFonts w:cs="Calibri"/>
                <w:b/>
                <w:bCs/>
                <w:color w:val="000000" w:themeColor="text1"/>
                <w:sz w:val="20"/>
                <w:szCs w:val="20"/>
              </w:rPr>
              <w:t>2</w:t>
            </w:r>
          </w:p>
        </w:tc>
        <w:tc>
          <w:tcPr>
            <w:tcW w:w="175" w:type="pct"/>
            <w:shd w:val="clear" w:color="auto" w:fill="E7E6E6" w:themeFill="background2"/>
            <w:tcMar>
              <w:top w:w="43" w:type="dxa"/>
              <w:left w:w="15" w:type="dxa"/>
              <w:bottom w:w="43" w:type="dxa"/>
              <w:right w:w="15" w:type="dxa"/>
            </w:tcMar>
            <w:vAlign w:val="center"/>
            <w:hideMark/>
          </w:tcPr>
          <w:p w14:paraId="2C2F2CBB" w14:textId="77777777" w:rsidR="00EA5317" w:rsidRPr="00A52AB8" w:rsidRDefault="00EA5317" w:rsidP="002E5343">
            <w:pPr>
              <w:snapToGrid w:val="0"/>
              <w:spacing w:after="0" w:line="240" w:lineRule="auto"/>
              <w:jc w:val="center"/>
              <w:rPr>
                <w:rFonts w:cs="Calibri"/>
                <w:b/>
                <w:bCs/>
                <w:color w:val="000000"/>
                <w:sz w:val="20"/>
                <w:szCs w:val="20"/>
              </w:rPr>
            </w:pPr>
            <w:r w:rsidRPr="00A52AB8">
              <w:rPr>
                <w:rFonts w:cs="Calibri"/>
                <w:b/>
                <w:bCs/>
                <w:color w:val="000000" w:themeColor="text1"/>
                <w:sz w:val="20"/>
                <w:szCs w:val="20"/>
              </w:rPr>
              <w:t>3</w:t>
            </w:r>
          </w:p>
        </w:tc>
        <w:tc>
          <w:tcPr>
            <w:tcW w:w="176" w:type="pct"/>
            <w:shd w:val="clear" w:color="auto" w:fill="E7E6E6" w:themeFill="background2"/>
            <w:tcMar>
              <w:top w:w="43" w:type="dxa"/>
              <w:left w:w="15" w:type="dxa"/>
              <w:bottom w:w="43" w:type="dxa"/>
              <w:right w:w="15" w:type="dxa"/>
            </w:tcMar>
            <w:vAlign w:val="center"/>
            <w:hideMark/>
          </w:tcPr>
          <w:p w14:paraId="28D3D435" w14:textId="77777777" w:rsidR="00EA5317" w:rsidRPr="00A52AB8" w:rsidRDefault="00EA5317" w:rsidP="002E5343">
            <w:pPr>
              <w:snapToGrid w:val="0"/>
              <w:spacing w:after="0" w:line="240" w:lineRule="auto"/>
              <w:jc w:val="center"/>
              <w:rPr>
                <w:rFonts w:cs="Calibri"/>
                <w:b/>
                <w:bCs/>
                <w:color w:val="000000"/>
                <w:sz w:val="20"/>
                <w:szCs w:val="20"/>
              </w:rPr>
            </w:pPr>
            <w:r w:rsidRPr="00A52AB8">
              <w:rPr>
                <w:rFonts w:cs="Calibri"/>
                <w:b/>
                <w:bCs/>
                <w:color w:val="000000" w:themeColor="text1"/>
                <w:sz w:val="20"/>
                <w:szCs w:val="20"/>
              </w:rPr>
              <w:t>4</w:t>
            </w:r>
          </w:p>
        </w:tc>
        <w:tc>
          <w:tcPr>
            <w:tcW w:w="175" w:type="pct"/>
            <w:shd w:val="clear" w:color="auto" w:fill="E7E6E6" w:themeFill="background2"/>
            <w:tcMar>
              <w:top w:w="43" w:type="dxa"/>
              <w:left w:w="15" w:type="dxa"/>
              <w:bottom w:w="43" w:type="dxa"/>
              <w:right w:w="15" w:type="dxa"/>
            </w:tcMar>
            <w:vAlign w:val="center"/>
            <w:hideMark/>
          </w:tcPr>
          <w:p w14:paraId="6180B9A9" w14:textId="77777777" w:rsidR="00EA5317" w:rsidRPr="00A52AB8" w:rsidRDefault="00EA5317" w:rsidP="002E5343">
            <w:pPr>
              <w:snapToGrid w:val="0"/>
              <w:spacing w:after="0" w:line="240" w:lineRule="auto"/>
              <w:jc w:val="center"/>
              <w:rPr>
                <w:rFonts w:cs="Calibri"/>
                <w:b/>
                <w:bCs/>
                <w:color w:val="000000"/>
                <w:sz w:val="20"/>
                <w:szCs w:val="20"/>
              </w:rPr>
            </w:pPr>
            <w:r w:rsidRPr="00A52AB8">
              <w:rPr>
                <w:rFonts w:cs="Calibri"/>
                <w:b/>
                <w:bCs/>
                <w:color w:val="000000" w:themeColor="text1"/>
                <w:sz w:val="20"/>
                <w:szCs w:val="20"/>
              </w:rPr>
              <w:t>5</w:t>
            </w:r>
          </w:p>
        </w:tc>
        <w:tc>
          <w:tcPr>
            <w:tcW w:w="176" w:type="pct"/>
            <w:shd w:val="clear" w:color="auto" w:fill="E7E6E6" w:themeFill="background2"/>
            <w:tcMar>
              <w:top w:w="43" w:type="dxa"/>
              <w:left w:w="15" w:type="dxa"/>
              <w:bottom w:w="43" w:type="dxa"/>
              <w:right w:w="15" w:type="dxa"/>
            </w:tcMar>
            <w:vAlign w:val="center"/>
            <w:hideMark/>
          </w:tcPr>
          <w:p w14:paraId="225F8261" w14:textId="77777777" w:rsidR="00EA5317" w:rsidRPr="00A52AB8" w:rsidRDefault="00EA5317" w:rsidP="002E5343">
            <w:pPr>
              <w:snapToGrid w:val="0"/>
              <w:spacing w:after="0" w:line="240" w:lineRule="auto"/>
              <w:jc w:val="center"/>
              <w:rPr>
                <w:rFonts w:cs="Calibri"/>
                <w:b/>
                <w:bCs/>
                <w:color w:val="000000"/>
                <w:sz w:val="20"/>
                <w:szCs w:val="20"/>
              </w:rPr>
            </w:pPr>
            <w:r w:rsidRPr="00A52AB8">
              <w:rPr>
                <w:rFonts w:cs="Calibri"/>
                <w:b/>
                <w:bCs/>
                <w:color w:val="000000" w:themeColor="text1"/>
                <w:sz w:val="20"/>
                <w:szCs w:val="20"/>
              </w:rPr>
              <w:t>6</w:t>
            </w:r>
          </w:p>
        </w:tc>
        <w:tc>
          <w:tcPr>
            <w:tcW w:w="175" w:type="pct"/>
            <w:shd w:val="clear" w:color="auto" w:fill="E7E6E6" w:themeFill="background2"/>
            <w:tcMar>
              <w:top w:w="43" w:type="dxa"/>
              <w:left w:w="15" w:type="dxa"/>
              <w:bottom w:w="43" w:type="dxa"/>
              <w:right w:w="15" w:type="dxa"/>
            </w:tcMar>
            <w:vAlign w:val="center"/>
            <w:hideMark/>
          </w:tcPr>
          <w:p w14:paraId="451991FD" w14:textId="77777777" w:rsidR="00EA5317" w:rsidRPr="00A52AB8" w:rsidRDefault="00EA5317" w:rsidP="002E5343">
            <w:pPr>
              <w:snapToGrid w:val="0"/>
              <w:spacing w:after="0" w:line="240" w:lineRule="auto"/>
              <w:jc w:val="center"/>
              <w:rPr>
                <w:rFonts w:cs="Calibri"/>
                <w:b/>
                <w:bCs/>
                <w:color w:val="000000"/>
                <w:sz w:val="20"/>
                <w:szCs w:val="20"/>
              </w:rPr>
            </w:pPr>
            <w:r w:rsidRPr="00A52AB8">
              <w:rPr>
                <w:rFonts w:cs="Calibri"/>
                <w:b/>
                <w:bCs/>
                <w:color w:val="000000" w:themeColor="text1"/>
                <w:sz w:val="20"/>
                <w:szCs w:val="20"/>
              </w:rPr>
              <w:t>7</w:t>
            </w:r>
          </w:p>
        </w:tc>
        <w:tc>
          <w:tcPr>
            <w:tcW w:w="176" w:type="pct"/>
            <w:shd w:val="clear" w:color="auto" w:fill="E7E6E6" w:themeFill="background2"/>
            <w:tcMar>
              <w:top w:w="43" w:type="dxa"/>
              <w:left w:w="15" w:type="dxa"/>
              <w:bottom w:w="43" w:type="dxa"/>
              <w:right w:w="15" w:type="dxa"/>
            </w:tcMar>
            <w:vAlign w:val="center"/>
            <w:hideMark/>
          </w:tcPr>
          <w:p w14:paraId="01026D15" w14:textId="77777777" w:rsidR="00EA5317" w:rsidRPr="00A52AB8" w:rsidRDefault="00EA5317" w:rsidP="002E5343">
            <w:pPr>
              <w:snapToGrid w:val="0"/>
              <w:spacing w:after="0" w:line="240" w:lineRule="auto"/>
              <w:jc w:val="center"/>
              <w:rPr>
                <w:rFonts w:cs="Calibri"/>
                <w:b/>
                <w:bCs/>
                <w:color w:val="000000"/>
                <w:sz w:val="20"/>
                <w:szCs w:val="20"/>
              </w:rPr>
            </w:pPr>
            <w:r w:rsidRPr="00A52AB8">
              <w:rPr>
                <w:rFonts w:cs="Calibri"/>
                <w:b/>
                <w:bCs/>
                <w:color w:val="000000" w:themeColor="text1"/>
                <w:sz w:val="20"/>
                <w:szCs w:val="20"/>
              </w:rPr>
              <w:t>8</w:t>
            </w:r>
          </w:p>
        </w:tc>
        <w:tc>
          <w:tcPr>
            <w:tcW w:w="175" w:type="pct"/>
            <w:shd w:val="clear" w:color="auto" w:fill="E7E6E6" w:themeFill="background2"/>
            <w:tcMar>
              <w:top w:w="43" w:type="dxa"/>
              <w:left w:w="15" w:type="dxa"/>
              <w:bottom w:w="43" w:type="dxa"/>
              <w:right w:w="15" w:type="dxa"/>
            </w:tcMar>
            <w:vAlign w:val="center"/>
            <w:hideMark/>
          </w:tcPr>
          <w:p w14:paraId="551F6DC2" w14:textId="77777777" w:rsidR="00EA5317" w:rsidRPr="00A52AB8" w:rsidRDefault="00EA5317" w:rsidP="002E5343">
            <w:pPr>
              <w:snapToGrid w:val="0"/>
              <w:spacing w:after="0" w:line="240" w:lineRule="auto"/>
              <w:jc w:val="center"/>
              <w:rPr>
                <w:rFonts w:cs="Calibri"/>
                <w:b/>
                <w:bCs/>
                <w:color w:val="000000"/>
                <w:sz w:val="20"/>
                <w:szCs w:val="20"/>
              </w:rPr>
            </w:pPr>
            <w:r w:rsidRPr="00A52AB8">
              <w:rPr>
                <w:rFonts w:cs="Calibri"/>
                <w:b/>
                <w:bCs/>
                <w:color w:val="000000" w:themeColor="text1"/>
                <w:sz w:val="20"/>
                <w:szCs w:val="20"/>
              </w:rPr>
              <w:t>9</w:t>
            </w:r>
          </w:p>
        </w:tc>
        <w:tc>
          <w:tcPr>
            <w:tcW w:w="175" w:type="pct"/>
            <w:shd w:val="clear" w:color="auto" w:fill="E7E6E6" w:themeFill="background2"/>
            <w:tcMar>
              <w:top w:w="43" w:type="dxa"/>
              <w:left w:w="15" w:type="dxa"/>
              <w:bottom w:w="43" w:type="dxa"/>
              <w:right w:w="15" w:type="dxa"/>
            </w:tcMar>
            <w:vAlign w:val="center"/>
            <w:hideMark/>
          </w:tcPr>
          <w:p w14:paraId="31C28EFC" w14:textId="77777777" w:rsidR="00EA5317" w:rsidRPr="00A52AB8" w:rsidRDefault="00EA5317" w:rsidP="002E5343">
            <w:pPr>
              <w:snapToGrid w:val="0"/>
              <w:spacing w:after="0" w:line="240" w:lineRule="auto"/>
              <w:jc w:val="center"/>
              <w:rPr>
                <w:rFonts w:cs="Calibri"/>
                <w:b/>
                <w:bCs/>
                <w:color w:val="000000"/>
                <w:sz w:val="20"/>
                <w:szCs w:val="20"/>
              </w:rPr>
            </w:pPr>
            <w:r w:rsidRPr="00A52AB8">
              <w:rPr>
                <w:rFonts w:cs="Calibri"/>
                <w:b/>
                <w:bCs/>
                <w:color w:val="000000" w:themeColor="text1"/>
                <w:sz w:val="20"/>
                <w:szCs w:val="20"/>
              </w:rPr>
              <w:t>10</w:t>
            </w:r>
          </w:p>
        </w:tc>
        <w:tc>
          <w:tcPr>
            <w:tcW w:w="176" w:type="pct"/>
            <w:shd w:val="clear" w:color="auto" w:fill="E7E6E6" w:themeFill="background2"/>
            <w:tcMar>
              <w:top w:w="43" w:type="dxa"/>
              <w:left w:w="15" w:type="dxa"/>
              <w:bottom w:w="43" w:type="dxa"/>
              <w:right w:w="15" w:type="dxa"/>
            </w:tcMar>
            <w:vAlign w:val="center"/>
            <w:hideMark/>
          </w:tcPr>
          <w:p w14:paraId="0FF420E2" w14:textId="77777777" w:rsidR="00EA5317" w:rsidRPr="00A52AB8" w:rsidRDefault="00EA5317" w:rsidP="002E5343">
            <w:pPr>
              <w:snapToGrid w:val="0"/>
              <w:spacing w:after="0" w:line="240" w:lineRule="auto"/>
              <w:jc w:val="center"/>
              <w:rPr>
                <w:rFonts w:cs="Calibri"/>
                <w:b/>
                <w:bCs/>
                <w:color w:val="000000"/>
                <w:sz w:val="20"/>
                <w:szCs w:val="20"/>
              </w:rPr>
            </w:pPr>
            <w:r w:rsidRPr="00A52AB8">
              <w:rPr>
                <w:rFonts w:cs="Calibri"/>
                <w:b/>
                <w:bCs/>
                <w:color w:val="000000" w:themeColor="text1"/>
                <w:sz w:val="20"/>
                <w:szCs w:val="20"/>
              </w:rPr>
              <w:t>11</w:t>
            </w:r>
          </w:p>
        </w:tc>
        <w:tc>
          <w:tcPr>
            <w:tcW w:w="175" w:type="pct"/>
            <w:shd w:val="clear" w:color="auto" w:fill="E7E6E6" w:themeFill="background2"/>
            <w:tcMar>
              <w:top w:w="43" w:type="dxa"/>
              <w:left w:w="15" w:type="dxa"/>
              <w:bottom w:w="43" w:type="dxa"/>
              <w:right w:w="15" w:type="dxa"/>
            </w:tcMar>
            <w:vAlign w:val="center"/>
            <w:hideMark/>
          </w:tcPr>
          <w:p w14:paraId="239E2E95" w14:textId="77777777" w:rsidR="00EA5317" w:rsidRPr="00A52AB8" w:rsidRDefault="00EA5317" w:rsidP="002E5343">
            <w:pPr>
              <w:snapToGrid w:val="0"/>
              <w:spacing w:after="0" w:line="240" w:lineRule="auto"/>
              <w:jc w:val="center"/>
              <w:rPr>
                <w:rFonts w:cs="Calibri"/>
                <w:b/>
                <w:bCs/>
                <w:color w:val="000000"/>
                <w:sz w:val="20"/>
                <w:szCs w:val="20"/>
              </w:rPr>
            </w:pPr>
            <w:r w:rsidRPr="00A52AB8">
              <w:rPr>
                <w:rFonts w:cs="Calibri"/>
                <w:b/>
                <w:bCs/>
                <w:color w:val="000000" w:themeColor="text1"/>
                <w:sz w:val="20"/>
                <w:szCs w:val="20"/>
              </w:rPr>
              <w:t>12</w:t>
            </w:r>
          </w:p>
        </w:tc>
        <w:tc>
          <w:tcPr>
            <w:tcW w:w="176" w:type="pct"/>
            <w:shd w:val="clear" w:color="auto" w:fill="E7E6E6" w:themeFill="background2"/>
            <w:tcMar>
              <w:top w:w="43" w:type="dxa"/>
              <w:left w:w="15" w:type="dxa"/>
              <w:bottom w:w="43" w:type="dxa"/>
              <w:right w:w="15" w:type="dxa"/>
            </w:tcMar>
            <w:vAlign w:val="center"/>
            <w:hideMark/>
          </w:tcPr>
          <w:p w14:paraId="066DD19D" w14:textId="77777777" w:rsidR="00EA5317" w:rsidRPr="00A52AB8" w:rsidRDefault="00EA5317" w:rsidP="002E5343">
            <w:pPr>
              <w:snapToGrid w:val="0"/>
              <w:spacing w:after="0" w:line="240" w:lineRule="auto"/>
              <w:jc w:val="center"/>
              <w:rPr>
                <w:rFonts w:cs="Calibri"/>
                <w:b/>
                <w:bCs/>
                <w:color w:val="000000"/>
                <w:sz w:val="20"/>
                <w:szCs w:val="20"/>
              </w:rPr>
            </w:pPr>
            <w:r w:rsidRPr="00A52AB8">
              <w:rPr>
                <w:rFonts w:cs="Calibri"/>
                <w:b/>
                <w:bCs/>
                <w:color w:val="000000" w:themeColor="text1"/>
                <w:sz w:val="20"/>
                <w:szCs w:val="20"/>
              </w:rPr>
              <w:t>13</w:t>
            </w:r>
          </w:p>
        </w:tc>
        <w:tc>
          <w:tcPr>
            <w:tcW w:w="175" w:type="pct"/>
            <w:shd w:val="clear" w:color="auto" w:fill="E7E6E6" w:themeFill="background2"/>
            <w:tcMar>
              <w:top w:w="43" w:type="dxa"/>
              <w:left w:w="15" w:type="dxa"/>
              <w:bottom w:w="43" w:type="dxa"/>
              <w:right w:w="15" w:type="dxa"/>
            </w:tcMar>
            <w:vAlign w:val="center"/>
            <w:hideMark/>
          </w:tcPr>
          <w:p w14:paraId="3E0F3273" w14:textId="77777777" w:rsidR="00EA5317" w:rsidRPr="00A52AB8" w:rsidRDefault="00EA5317" w:rsidP="002E5343">
            <w:pPr>
              <w:snapToGrid w:val="0"/>
              <w:spacing w:after="0" w:line="240" w:lineRule="auto"/>
              <w:jc w:val="center"/>
              <w:rPr>
                <w:rFonts w:cs="Calibri"/>
                <w:b/>
                <w:bCs/>
                <w:color w:val="000000"/>
                <w:sz w:val="20"/>
                <w:szCs w:val="20"/>
              </w:rPr>
            </w:pPr>
            <w:r w:rsidRPr="00A52AB8">
              <w:rPr>
                <w:rFonts w:cs="Calibri"/>
                <w:b/>
                <w:bCs/>
                <w:color w:val="000000" w:themeColor="text1"/>
                <w:sz w:val="20"/>
                <w:szCs w:val="20"/>
              </w:rPr>
              <w:t>14</w:t>
            </w:r>
          </w:p>
        </w:tc>
        <w:tc>
          <w:tcPr>
            <w:tcW w:w="176" w:type="pct"/>
            <w:shd w:val="clear" w:color="auto" w:fill="E7E6E6" w:themeFill="background2"/>
            <w:tcMar>
              <w:top w:w="43" w:type="dxa"/>
              <w:left w:w="15" w:type="dxa"/>
              <w:bottom w:w="43" w:type="dxa"/>
              <w:right w:w="15" w:type="dxa"/>
            </w:tcMar>
            <w:vAlign w:val="center"/>
            <w:hideMark/>
          </w:tcPr>
          <w:p w14:paraId="680F4B61" w14:textId="77777777" w:rsidR="00EA5317" w:rsidRPr="00A52AB8" w:rsidRDefault="00EA5317" w:rsidP="002E5343">
            <w:pPr>
              <w:snapToGrid w:val="0"/>
              <w:spacing w:after="0" w:line="240" w:lineRule="auto"/>
              <w:jc w:val="center"/>
              <w:rPr>
                <w:rFonts w:cs="Calibri"/>
                <w:b/>
                <w:bCs/>
                <w:color w:val="000000"/>
                <w:sz w:val="20"/>
                <w:szCs w:val="20"/>
              </w:rPr>
            </w:pPr>
            <w:r w:rsidRPr="00A52AB8">
              <w:rPr>
                <w:rFonts w:cs="Calibri"/>
                <w:b/>
                <w:bCs/>
                <w:color w:val="000000" w:themeColor="text1"/>
                <w:sz w:val="20"/>
                <w:szCs w:val="20"/>
              </w:rPr>
              <w:t>15</w:t>
            </w:r>
          </w:p>
        </w:tc>
        <w:tc>
          <w:tcPr>
            <w:tcW w:w="175" w:type="pct"/>
            <w:shd w:val="clear" w:color="auto" w:fill="E7E6E6" w:themeFill="background2"/>
            <w:tcMar>
              <w:top w:w="43" w:type="dxa"/>
              <w:left w:w="15" w:type="dxa"/>
              <w:bottom w:w="43" w:type="dxa"/>
              <w:right w:w="15" w:type="dxa"/>
            </w:tcMar>
            <w:vAlign w:val="center"/>
            <w:hideMark/>
          </w:tcPr>
          <w:p w14:paraId="2DCBADC4" w14:textId="77777777" w:rsidR="00EA5317" w:rsidRPr="00A52AB8" w:rsidRDefault="00EA5317" w:rsidP="002E5343">
            <w:pPr>
              <w:snapToGrid w:val="0"/>
              <w:spacing w:after="0" w:line="240" w:lineRule="auto"/>
              <w:jc w:val="center"/>
              <w:rPr>
                <w:rFonts w:cs="Calibri"/>
                <w:b/>
                <w:bCs/>
                <w:color w:val="000000"/>
                <w:sz w:val="20"/>
                <w:szCs w:val="20"/>
              </w:rPr>
            </w:pPr>
            <w:r w:rsidRPr="00A52AB8">
              <w:rPr>
                <w:rFonts w:cs="Calibri"/>
                <w:b/>
                <w:bCs/>
                <w:color w:val="000000" w:themeColor="text1"/>
                <w:sz w:val="20"/>
                <w:szCs w:val="20"/>
              </w:rPr>
              <w:t>16</w:t>
            </w:r>
          </w:p>
        </w:tc>
        <w:tc>
          <w:tcPr>
            <w:tcW w:w="176" w:type="pct"/>
            <w:shd w:val="clear" w:color="auto" w:fill="E7E6E6" w:themeFill="background2"/>
            <w:tcMar>
              <w:top w:w="43" w:type="dxa"/>
              <w:left w:w="15" w:type="dxa"/>
              <w:bottom w:w="43" w:type="dxa"/>
              <w:right w:w="15" w:type="dxa"/>
            </w:tcMar>
            <w:vAlign w:val="center"/>
            <w:hideMark/>
          </w:tcPr>
          <w:p w14:paraId="79D616C2" w14:textId="77777777" w:rsidR="00EA5317" w:rsidRPr="00A52AB8" w:rsidRDefault="00EA5317" w:rsidP="002E5343">
            <w:pPr>
              <w:snapToGrid w:val="0"/>
              <w:spacing w:after="0" w:line="240" w:lineRule="auto"/>
              <w:jc w:val="center"/>
              <w:rPr>
                <w:rFonts w:cs="Calibri"/>
                <w:b/>
                <w:bCs/>
                <w:color w:val="000000"/>
                <w:sz w:val="20"/>
                <w:szCs w:val="20"/>
              </w:rPr>
            </w:pPr>
            <w:r w:rsidRPr="00A52AB8">
              <w:rPr>
                <w:rFonts w:cs="Calibri"/>
                <w:b/>
                <w:bCs/>
                <w:color w:val="000000" w:themeColor="text1"/>
                <w:sz w:val="20"/>
                <w:szCs w:val="20"/>
              </w:rPr>
              <w:t>17</w:t>
            </w:r>
          </w:p>
        </w:tc>
      </w:tr>
      <w:tr w:rsidR="00870213" w:rsidRPr="00A52AB8" w14:paraId="336D63BD" w14:textId="77777777" w:rsidTr="00FE55DB">
        <w:tc>
          <w:tcPr>
            <w:tcW w:w="1846" w:type="pct"/>
            <w:shd w:val="clear" w:color="auto" w:fill="E7E6E6" w:themeFill="background2"/>
            <w:tcMar>
              <w:top w:w="43" w:type="dxa"/>
              <w:left w:w="15" w:type="dxa"/>
              <w:bottom w:w="43" w:type="dxa"/>
              <w:right w:w="15" w:type="dxa"/>
            </w:tcMar>
            <w:vAlign w:val="center"/>
            <w:hideMark/>
          </w:tcPr>
          <w:p w14:paraId="5AC3E5B2" w14:textId="77777777" w:rsidR="00EA5317" w:rsidRPr="00A52AB8" w:rsidRDefault="00EA5317" w:rsidP="002E5343">
            <w:pPr>
              <w:snapToGrid w:val="0"/>
              <w:spacing w:after="0" w:line="240" w:lineRule="auto"/>
              <w:jc w:val="center"/>
              <w:rPr>
                <w:rFonts w:cs="Calibri"/>
                <w:color w:val="000000"/>
                <w:sz w:val="20"/>
                <w:szCs w:val="20"/>
              </w:rPr>
            </w:pPr>
            <w:r w:rsidRPr="00A52AB8">
              <w:rPr>
                <w:rFonts w:cs="Calibri"/>
                <w:color w:val="000000" w:themeColor="text1"/>
                <w:sz w:val="20"/>
                <w:szCs w:val="20"/>
              </w:rPr>
              <w:t>TilePatchAxisU</w:t>
            </w:r>
            <w:r w:rsidRPr="00A52AB8">
              <w:rPr>
                <w:rFonts w:cs="Calibri"/>
                <w:color w:val="000000"/>
                <w:sz w:val="20"/>
                <w:szCs w:val="20"/>
              </w:rPr>
              <w:t>[ tileID ][ p ]</w:t>
            </w:r>
          </w:p>
        </w:tc>
        <w:tc>
          <w:tcPr>
            <w:tcW w:w="175" w:type="pct"/>
            <w:shd w:val="clear" w:color="auto" w:fill="auto"/>
            <w:tcMar>
              <w:top w:w="43" w:type="dxa"/>
              <w:left w:w="15" w:type="dxa"/>
              <w:bottom w:w="43" w:type="dxa"/>
              <w:right w:w="15" w:type="dxa"/>
            </w:tcMar>
            <w:vAlign w:val="center"/>
            <w:hideMark/>
          </w:tcPr>
          <w:p w14:paraId="284FCA76" w14:textId="77777777" w:rsidR="00EA5317" w:rsidRPr="00A52AB8" w:rsidRDefault="00EA5317" w:rsidP="002E5343">
            <w:pPr>
              <w:snapToGrid w:val="0"/>
              <w:spacing w:after="0" w:line="240" w:lineRule="auto"/>
              <w:jc w:val="center"/>
              <w:rPr>
                <w:rFonts w:cs="Calibri"/>
                <w:color w:val="000000"/>
                <w:sz w:val="20"/>
                <w:szCs w:val="20"/>
              </w:rPr>
            </w:pPr>
            <w:r w:rsidRPr="00A52AB8">
              <w:rPr>
                <w:rFonts w:cs="Calibri"/>
                <w:color w:val="000000" w:themeColor="text1"/>
                <w:sz w:val="20"/>
                <w:szCs w:val="20"/>
              </w:rPr>
              <w:t>2</w:t>
            </w:r>
          </w:p>
        </w:tc>
        <w:tc>
          <w:tcPr>
            <w:tcW w:w="175" w:type="pct"/>
            <w:shd w:val="clear" w:color="auto" w:fill="auto"/>
            <w:tcMar>
              <w:top w:w="43" w:type="dxa"/>
              <w:left w:w="15" w:type="dxa"/>
              <w:bottom w:w="43" w:type="dxa"/>
              <w:right w:w="15" w:type="dxa"/>
            </w:tcMar>
            <w:vAlign w:val="center"/>
            <w:hideMark/>
          </w:tcPr>
          <w:p w14:paraId="1816E0D2" w14:textId="77777777" w:rsidR="00EA5317" w:rsidRPr="00A52AB8" w:rsidRDefault="00EA5317" w:rsidP="002E5343">
            <w:pPr>
              <w:snapToGrid w:val="0"/>
              <w:spacing w:after="0" w:line="240" w:lineRule="auto"/>
              <w:jc w:val="center"/>
              <w:rPr>
                <w:rFonts w:cs="Calibri"/>
                <w:color w:val="000000"/>
                <w:sz w:val="20"/>
                <w:szCs w:val="20"/>
              </w:rPr>
            </w:pPr>
            <w:r w:rsidRPr="00A52AB8">
              <w:rPr>
                <w:rFonts w:cs="Calibri"/>
                <w:color w:val="000000" w:themeColor="text1"/>
                <w:sz w:val="20"/>
                <w:szCs w:val="20"/>
              </w:rPr>
              <w:t>2</w:t>
            </w:r>
          </w:p>
        </w:tc>
        <w:tc>
          <w:tcPr>
            <w:tcW w:w="176" w:type="pct"/>
            <w:shd w:val="clear" w:color="auto" w:fill="auto"/>
            <w:tcMar>
              <w:top w:w="43" w:type="dxa"/>
              <w:left w:w="15" w:type="dxa"/>
              <w:bottom w:w="43" w:type="dxa"/>
              <w:right w:w="15" w:type="dxa"/>
            </w:tcMar>
            <w:vAlign w:val="center"/>
            <w:hideMark/>
          </w:tcPr>
          <w:p w14:paraId="40BB847F" w14:textId="77777777" w:rsidR="00EA5317" w:rsidRPr="00A52AB8" w:rsidRDefault="00EA5317" w:rsidP="002E5343">
            <w:pPr>
              <w:snapToGrid w:val="0"/>
              <w:spacing w:after="0" w:line="240" w:lineRule="auto"/>
              <w:jc w:val="center"/>
              <w:rPr>
                <w:rFonts w:cs="Calibri"/>
                <w:color w:val="000000"/>
                <w:sz w:val="20"/>
                <w:szCs w:val="20"/>
              </w:rPr>
            </w:pPr>
            <w:r w:rsidRPr="00A52AB8">
              <w:rPr>
                <w:rFonts w:cs="Calibri"/>
                <w:color w:val="000000" w:themeColor="text1"/>
                <w:sz w:val="20"/>
                <w:szCs w:val="20"/>
              </w:rPr>
              <w:t>0</w:t>
            </w:r>
          </w:p>
        </w:tc>
        <w:tc>
          <w:tcPr>
            <w:tcW w:w="175" w:type="pct"/>
            <w:shd w:val="clear" w:color="auto" w:fill="auto"/>
            <w:tcMar>
              <w:top w:w="43" w:type="dxa"/>
              <w:left w:w="15" w:type="dxa"/>
              <w:bottom w:w="43" w:type="dxa"/>
              <w:right w:w="15" w:type="dxa"/>
            </w:tcMar>
            <w:vAlign w:val="center"/>
            <w:hideMark/>
          </w:tcPr>
          <w:p w14:paraId="74D6DC6B" w14:textId="77777777" w:rsidR="00EA5317" w:rsidRPr="00A52AB8" w:rsidRDefault="00EA5317" w:rsidP="002E5343">
            <w:pPr>
              <w:snapToGrid w:val="0"/>
              <w:spacing w:after="0" w:line="240" w:lineRule="auto"/>
              <w:jc w:val="center"/>
              <w:rPr>
                <w:rFonts w:cs="Calibri"/>
                <w:color w:val="000000"/>
                <w:sz w:val="20"/>
                <w:szCs w:val="20"/>
              </w:rPr>
            </w:pPr>
            <w:r w:rsidRPr="00A52AB8">
              <w:rPr>
                <w:rFonts w:cs="Calibri"/>
                <w:color w:val="000000" w:themeColor="text1"/>
                <w:sz w:val="20"/>
                <w:szCs w:val="20"/>
              </w:rPr>
              <w:t>2</w:t>
            </w:r>
          </w:p>
        </w:tc>
        <w:tc>
          <w:tcPr>
            <w:tcW w:w="176" w:type="pct"/>
            <w:shd w:val="clear" w:color="auto" w:fill="auto"/>
            <w:tcMar>
              <w:top w:w="43" w:type="dxa"/>
              <w:left w:w="15" w:type="dxa"/>
              <w:bottom w:w="43" w:type="dxa"/>
              <w:right w:w="15" w:type="dxa"/>
            </w:tcMar>
            <w:vAlign w:val="center"/>
            <w:hideMark/>
          </w:tcPr>
          <w:p w14:paraId="71D2DE5E" w14:textId="77777777" w:rsidR="00EA5317" w:rsidRPr="00A52AB8" w:rsidRDefault="00EA5317" w:rsidP="002E5343">
            <w:pPr>
              <w:snapToGrid w:val="0"/>
              <w:spacing w:after="0" w:line="240" w:lineRule="auto"/>
              <w:jc w:val="center"/>
              <w:rPr>
                <w:rFonts w:cs="Calibri"/>
                <w:color w:val="000000"/>
                <w:sz w:val="20"/>
                <w:szCs w:val="20"/>
              </w:rPr>
            </w:pPr>
            <w:r w:rsidRPr="00A52AB8">
              <w:rPr>
                <w:rFonts w:cs="Calibri"/>
                <w:color w:val="000000" w:themeColor="text1"/>
                <w:sz w:val="20"/>
                <w:szCs w:val="20"/>
              </w:rPr>
              <w:t>2</w:t>
            </w:r>
          </w:p>
        </w:tc>
        <w:tc>
          <w:tcPr>
            <w:tcW w:w="175" w:type="pct"/>
            <w:shd w:val="clear" w:color="auto" w:fill="auto"/>
            <w:tcMar>
              <w:top w:w="43" w:type="dxa"/>
              <w:left w:w="15" w:type="dxa"/>
              <w:bottom w:w="43" w:type="dxa"/>
              <w:right w:w="15" w:type="dxa"/>
            </w:tcMar>
            <w:vAlign w:val="center"/>
            <w:hideMark/>
          </w:tcPr>
          <w:p w14:paraId="41A9B2C3" w14:textId="77777777" w:rsidR="00EA5317" w:rsidRPr="00A52AB8" w:rsidRDefault="00EA5317" w:rsidP="002E5343">
            <w:pPr>
              <w:snapToGrid w:val="0"/>
              <w:spacing w:after="0" w:line="240" w:lineRule="auto"/>
              <w:jc w:val="center"/>
              <w:rPr>
                <w:rFonts w:cs="Calibri"/>
                <w:color w:val="000000"/>
                <w:sz w:val="20"/>
                <w:szCs w:val="20"/>
              </w:rPr>
            </w:pPr>
            <w:r w:rsidRPr="00A52AB8">
              <w:rPr>
                <w:rFonts w:cs="Calibri"/>
                <w:color w:val="000000" w:themeColor="text1"/>
                <w:sz w:val="20"/>
                <w:szCs w:val="20"/>
              </w:rPr>
              <w:t>0</w:t>
            </w:r>
          </w:p>
        </w:tc>
        <w:tc>
          <w:tcPr>
            <w:tcW w:w="176" w:type="pct"/>
            <w:shd w:val="clear" w:color="auto" w:fill="auto"/>
            <w:tcMar>
              <w:top w:w="43" w:type="dxa"/>
              <w:left w:w="15" w:type="dxa"/>
              <w:bottom w:w="43" w:type="dxa"/>
              <w:right w:w="15" w:type="dxa"/>
            </w:tcMar>
            <w:vAlign w:val="center"/>
            <w:hideMark/>
          </w:tcPr>
          <w:p w14:paraId="263BAAFF" w14:textId="77777777" w:rsidR="00EA5317" w:rsidRPr="00A52AB8" w:rsidRDefault="00EA5317" w:rsidP="002E5343">
            <w:pPr>
              <w:snapToGrid w:val="0"/>
              <w:spacing w:after="0" w:line="240" w:lineRule="auto"/>
              <w:jc w:val="center"/>
              <w:rPr>
                <w:rFonts w:cs="Calibri"/>
                <w:color w:val="000000"/>
                <w:sz w:val="20"/>
                <w:szCs w:val="20"/>
              </w:rPr>
            </w:pPr>
            <w:r w:rsidRPr="00A52AB8">
              <w:rPr>
                <w:rFonts w:cs="Calibri"/>
                <w:color w:val="000000" w:themeColor="text1"/>
                <w:sz w:val="20"/>
                <w:szCs w:val="20"/>
              </w:rPr>
              <w:t>2</w:t>
            </w:r>
          </w:p>
        </w:tc>
        <w:tc>
          <w:tcPr>
            <w:tcW w:w="175" w:type="pct"/>
            <w:shd w:val="clear" w:color="auto" w:fill="auto"/>
            <w:tcMar>
              <w:top w:w="43" w:type="dxa"/>
              <w:left w:w="15" w:type="dxa"/>
              <w:bottom w:w="43" w:type="dxa"/>
              <w:right w:w="15" w:type="dxa"/>
            </w:tcMar>
            <w:vAlign w:val="center"/>
            <w:hideMark/>
          </w:tcPr>
          <w:p w14:paraId="5A1BCF67" w14:textId="77777777" w:rsidR="00EA5317" w:rsidRPr="00A52AB8" w:rsidRDefault="00EA5317" w:rsidP="002E5343">
            <w:pPr>
              <w:snapToGrid w:val="0"/>
              <w:spacing w:after="0" w:line="240" w:lineRule="auto"/>
              <w:jc w:val="center"/>
              <w:rPr>
                <w:rFonts w:cs="Calibri"/>
                <w:color w:val="000000"/>
                <w:sz w:val="20"/>
                <w:szCs w:val="20"/>
              </w:rPr>
            </w:pPr>
            <w:r w:rsidRPr="00A52AB8">
              <w:rPr>
                <w:rFonts w:cs="Calibri"/>
                <w:color w:val="000000" w:themeColor="text1"/>
                <w:sz w:val="20"/>
                <w:szCs w:val="20"/>
              </w:rPr>
              <w:t>0</w:t>
            </w:r>
          </w:p>
        </w:tc>
        <w:tc>
          <w:tcPr>
            <w:tcW w:w="176" w:type="pct"/>
            <w:shd w:val="clear" w:color="auto" w:fill="auto"/>
            <w:tcMar>
              <w:top w:w="43" w:type="dxa"/>
              <w:left w:w="15" w:type="dxa"/>
              <w:bottom w:w="43" w:type="dxa"/>
              <w:right w:w="15" w:type="dxa"/>
            </w:tcMar>
            <w:vAlign w:val="center"/>
            <w:hideMark/>
          </w:tcPr>
          <w:p w14:paraId="77F0894B" w14:textId="77777777" w:rsidR="00EA5317" w:rsidRPr="00A52AB8" w:rsidRDefault="00EA5317" w:rsidP="002E5343">
            <w:pPr>
              <w:snapToGrid w:val="0"/>
              <w:spacing w:after="0" w:line="240" w:lineRule="auto"/>
              <w:jc w:val="center"/>
              <w:rPr>
                <w:rFonts w:cs="Calibri"/>
                <w:color w:val="000000"/>
                <w:sz w:val="20"/>
                <w:szCs w:val="20"/>
              </w:rPr>
            </w:pPr>
            <w:r w:rsidRPr="00A52AB8">
              <w:rPr>
                <w:rFonts w:cs="Calibri"/>
                <w:color w:val="000000" w:themeColor="text1"/>
                <w:sz w:val="20"/>
                <w:szCs w:val="20"/>
              </w:rPr>
              <w:t>2</w:t>
            </w:r>
          </w:p>
        </w:tc>
        <w:tc>
          <w:tcPr>
            <w:tcW w:w="175" w:type="pct"/>
            <w:shd w:val="clear" w:color="auto" w:fill="auto"/>
            <w:tcMar>
              <w:top w:w="43" w:type="dxa"/>
              <w:left w:w="15" w:type="dxa"/>
              <w:bottom w:w="43" w:type="dxa"/>
              <w:right w:w="15" w:type="dxa"/>
            </w:tcMar>
            <w:vAlign w:val="center"/>
            <w:hideMark/>
          </w:tcPr>
          <w:p w14:paraId="61CFEB25" w14:textId="77777777" w:rsidR="00EA5317" w:rsidRPr="00A52AB8" w:rsidRDefault="00EA5317" w:rsidP="002E5343">
            <w:pPr>
              <w:snapToGrid w:val="0"/>
              <w:spacing w:after="0" w:line="240" w:lineRule="auto"/>
              <w:jc w:val="center"/>
              <w:rPr>
                <w:rFonts w:cs="Calibri"/>
                <w:color w:val="000000"/>
                <w:sz w:val="20"/>
                <w:szCs w:val="20"/>
              </w:rPr>
            </w:pPr>
            <w:r w:rsidRPr="00A52AB8">
              <w:rPr>
                <w:rFonts w:cs="Calibri"/>
                <w:color w:val="000000" w:themeColor="text1"/>
                <w:sz w:val="20"/>
                <w:szCs w:val="20"/>
              </w:rPr>
              <w:t>0</w:t>
            </w:r>
          </w:p>
        </w:tc>
        <w:tc>
          <w:tcPr>
            <w:tcW w:w="175" w:type="pct"/>
            <w:shd w:val="clear" w:color="auto" w:fill="auto"/>
            <w:tcMar>
              <w:top w:w="43" w:type="dxa"/>
              <w:left w:w="15" w:type="dxa"/>
              <w:bottom w:w="43" w:type="dxa"/>
              <w:right w:w="15" w:type="dxa"/>
            </w:tcMar>
            <w:vAlign w:val="center"/>
            <w:hideMark/>
          </w:tcPr>
          <w:p w14:paraId="007CCFAC" w14:textId="77777777" w:rsidR="00EA5317" w:rsidRPr="00A52AB8" w:rsidRDefault="00EA5317" w:rsidP="002E5343">
            <w:pPr>
              <w:snapToGrid w:val="0"/>
              <w:spacing w:after="0" w:line="240" w:lineRule="auto"/>
              <w:jc w:val="center"/>
              <w:rPr>
                <w:rFonts w:cs="Calibri"/>
                <w:color w:val="000000"/>
                <w:sz w:val="20"/>
                <w:szCs w:val="20"/>
              </w:rPr>
            </w:pPr>
            <w:r w:rsidRPr="00A52AB8">
              <w:rPr>
                <w:rFonts w:cs="Calibri"/>
                <w:color w:val="000000" w:themeColor="text1"/>
                <w:sz w:val="20"/>
                <w:szCs w:val="20"/>
              </w:rPr>
              <w:t>0</w:t>
            </w:r>
          </w:p>
        </w:tc>
        <w:tc>
          <w:tcPr>
            <w:tcW w:w="176" w:type="pct"/>
            <w:shd w:val="clear" w:color="auto" w:fill="auto"/>
            <w:tcMar>
              <w:top w:w="43" w:type="dxa"/>
              <w:left w:w="15" w:type="dxa"/>
              <w:bottom w:w="43" w:type="dxa"/>
              <w:right w:w="15" w:type="dxa"/>
            </w:tcMar>
            <w:vAlign w:val="center"/>
            <w:hideMark/>
          </w:tcPr>
          <w:p w14:paraId="4F37BC2C" w14:textId="77777777" w:rsidR="00EA5317" w:rsidRPr="00A52AB8" w:rsidRDefault="00EA5317" w:rsidP="002E5343">
            <w:pPr>
              <w:snapToGrid w:val="0"/>
              <w:spacing w:after="0" w:line="240" w:lineRule="auto"/>
              <w:jc w:val="center"/>
              <w:rPr>
                <w:rFonts w:cs="Calibri"/>
                <w:color w:val="000000"/>
                <w:sz w:val="20"/>
                <w:szCs w:val="20"/>
              </w:rPr>
            </w:pPr>
            <w:r w:rsidRPr="00A52AB8">
              <w:rPr>
                <w:rFonts w:cs="Calibri"/>
                <w:color w:val="000000" w:themeColor="text1"/>
                <w:sz w:val="20"/>
                <w:szCs w:val="20"/>
              </w:rPr>
              <w:t>2</w:t>
            </w:r>
          </w:p>
        </w:tc>
        <w:tc>
          <w:tcPr>
            <w:tcW w:w="175" w:type="pct"/>
            <w:shd w:val="clear" w:color="auto" w:fill="auto"/>
            <w:tcMar>
              <w:top w:w="43" w:type="dxa"/>
              <w:left w:w="15" w:type="dxa"/>
              <w:bottom w:w="43" w:type="dxa"/>
              <w:right w:w="15" w:type="dxa"/>
            </w:tcMar>
            <w:vAlign w:val="center"/>
            <w:hideMark/>
          </w:tcPr>
          <w:p w14:paraId="283AB0CA" w14:textId="77777777" w:rsidR="00EA5317" w:rsidRPr="00A52AB8" w:rsidRDefault="00EA5317" w:rsidP="002E5343">
            <w:pPr>
              <w:snapToGrid w:val="0"/>
              <w:spacing w:after="0" w:line="240" w:lineRule="auto"/>
              <w:jc w:val="center"/>
              <w:rPr>
                <w:rFonts w:cs="Calibri"/>
                <w:color w:val="000000"/>
                <w:sz w:val="20"/>
                <w:szCs w:val="20"/>
              </w:rPr>
            </w:pPr>
            <w:r w:rsidRPr="00A52AB8">
              <w:rPr>
                <w:rFonts w:cs="Calibri"/>
                <w:color w:val="000000" w:themeColor="text1"/>
                <w:sz w:val="20"/>
                <w:szCs w:val="20"/>
              </w:rPr>
              <w:t>0</w:t>
            </w:r>
          </w:p>
        </w:tc>
        <w:tc>
          <w:tcPr>
            <w:tcW w:w="176" w:type="pct"/>
            <w:shd w:val="clear" w:color="auto" w:fill="auto"/>
            <w:tcMar>
              <w:top w:w="43" w:type="dxa"/>
              <w:left w:w="15" w:type="dxa"/>
              <w:bottom w:w="43" w:type="dxa"/>
              <w:right w:w="15" w:type="dxa"/>
            </w:tcMar>
            <w:vAlign w:val="center"/>
            <w:hideMark/>
          </w:tcPr>
          <w:p w14:paraId="6E9CFB4A" w14:textId="77777777" w:rsidR="00EA5317" w:rsidRPr="00A52AB8" w:rsidRDefault="00EA5317" w:rsidP="002E5343">
            <w:pPr>
              <w:snapToGrid w:val="0"/>
              <w:spacing w:after="0" w:line="240" w:lineRule="auto"/>
              <w:jc w:val="center"/>
              <w:rPr>
                <w:rFonts w:cs="Calibri"/>
                <w:color w:val="000000"/>
                <w:sz w:val="20"/>
                <w:szCs w:val="20"/>
              </w:rPr>
            </w:pPr>
            <w:r w:rsidRPr="00A52AB8">
              <w:rPr>
                <w:rFonts w:cs="Calibri"/>
                <w:color w:val="000000" w:themeColor="text1"/>
                <w:sz w:val="20"/>
                <w:szCs w:val="20"/>
              </w:rPr>
              <w:t>2</w:t>
            </w:r>
          </w:p>
        </w:tc>
        <w:tc>
          <w:tcPr>
            <w:tcW w:w="175" w:type="pct"/>
            <w:shd w:val="clear" w:color="auto" w:fill="auto"/>
            <w:tcMar>
              <w:top w:w="43" w:type="dxa"/>
              <w:left w:w="15" w:type="dxa"/>
              <w:bottom w:w="43" w:type="dxa"/>
              <w:right w:w="15" w:type="dxa"/>
            </w:tcMar>
            <w:vAlign w:val="center"/>
            <w:hideMark/>
          </w:tcPr>
          <w:p w14:paraId="176131C8" w14:textId="77777777" w:rsidR="00EA5317" w:rsidRPr="00A52AB8" w:rsidRDefault="00EA5317" w:rsidP="002E5343">
            <w:pPr>
              <w:snapToGrid w:val="0"/>
              <w:spacing w:after="0" w:line="240" w:lineRule="auto"/>
              <w:jc w:val="center"/>
              <w:rPr>
                <w:rFonts w:cs="Calibri"/>
                <w:color w:val="000000"/>
                <w:sz w:val="20"/>
                <w:szCs w:val="20"/>
              </w:rPr>
            </w:pPr>
            <w:r w:rsidRPr="00A52AB8">
              <w:rPr>
                <w:rFonts w:cs="Calibri"/>
                <w:color w:val="000000" w:themeColor="text1"/>
                <w:sz w:val="20"/>
                <w:szCs w:val="20"/>
              </w:rPr>
              <w:t>2</w:t>
            </w:r>
          </w:p>
        </w:tc>
        <w:tc>
          <w:tcPr>
            <w:tcW w:w="176" w:type="pct"/>
            <w:shd w:val="clear" w:color="auto" w:fill="auto"/>
            <w:tcMar>
              <w:top w:w="43" w:type="dxa"/>
              <w:left w:w="15" w:type="dxa"/>
              <w:bottom w:w="43" w:type="dxa"/>
              <w:right w:w="15" w:type="dxa"/>
            </w:tcMar>
            <w:vAlign w:val="center"/>
            <w:hideMark/>
          </w:tcPr>
          <w:p w14:paraId="06BF8EB7" w14:textId="77777777" w:rsidR="00EA5317" w:rsidRPr="00A52AB8" w:rsidRDefault="00EA5317" w:rsidP="002E5343">
            <w:pPr>
              <w:snapToGrid w:val="0"/>
              <w:spacing w:after="0" w:line="240" w:lineRule="auto"/>
              <w:jc w:val="center"/>
              <w:rPr>
                <w:rFonts w:cs="Calibri"/>
                <w:color w:val="000000"/>
                <w:sz w:val="20"/>
                <w:szCs w:val="20"/>
              </w:rPr>
            </w:pPr>
            <w:r w:rsidRPr="00A52AB8">
              <w:rPr>
                <w:rFonts w:cs="Calibri"/>
                <w:color w:val="000000" w:themeColor="text1"/>
                <w:sz w:val="20"/>
                <w:szCs w:val="20"/>
              </w:rPr>
              <w:t>2</w:t>
            </w:r>
          </w:p>
        </w:tc>
        <w:tc>
          <w:tcPr>
            <w:tcW w:w="175" w:type="pct"/>
            <w:shd w:val="clear" w:color="auto" w:fill="auto"/>
            <w:tcMar>
              <w:top w:w="43" w:type="dxa"/>
              <w:left w:w="15" w:type="dxa"/>
              <w:bottom w:w="43" w:type="dxa"/>
              <w:right w:w="15" w:type="dxa"/>
            </w:tcMar>
            <w:vAlign w:val="center"/>
            <w:hideMark/>
          </w:tcPr>
          <w:p w14:paraId="7DD2B9C6" w14:textId="77777777" w:rsidR="00EA5317" w:rsidRPr="00A52AB8" w:rsidRDefault="00EA5317" w:rsidP="002E5343">
            <w:pPr>
              <w:snapToGrid w:val="0"/>
              <w:spacing w:after="0" w:line="240" w:lineRule="auto"/>
              <w:jc w:val="center"/>
              <w:rPr>
                <w:rFonts w:cs="Calibri"/>
                <w:color w:val="000000"/>
                <w:sz w:val="20"/>
                <w:szCs w:val="20"/>
              </w:rPr>
            </w:pPr>
            <w:r w:rsidRPr="00A52AB8">
              <w:rPr>
                <w:rFonts w:cs="Calibri"/>
                <w:color w:val="000000" w:themeColor="text1"/>
                <w:sz w:val="20"/>
                <w:szCs w:val="20"/>
              </w:rPr>
              <w:t>2</w:t>
            </w:r>
          </w:p>
        </w:tc>
        <w:tc>
          <w:tcPr>
            <w:tcW w:w="176" w:type="pct"/>
            <w:shd w:val="clear" w:color="auto" w:fill="auto"/>
            <w:tcMar>
              <w:top w:w="43" w:type="dxa"/>
              <w:left w:w="15" w:type="dxa"/>
              <w:bottom w:w="43" w:type="dxa"/>
              <w:right w:w="15" w:type="dxa"/>
            </w:tcMar>
            <w:vAlign w:val="center"/>
            <w:hideMark/>
          </w:tcPr>
          <w:p w14:paraId="182DE315" w14:textId="77777777" w:rsidR="00EA5317" w:rsidRPr="00A52AB8" w:rsidRDefault="00EA5317" w:rsidP="002E5343">
            <w:pPr>
              <w:snapToGrid w:val="0"/>
              <w:spacing w:after="0" w:line="240" w:lineRule="auto"/>
              <w:jc w:val="center"/>
              <w:rPr>
                <w:rFonts w:cs="Calibri"/>
                <w:color w:val="000000"/>
                <w:sz w:val="20"/>
                <w:szCs w:val="20"/>
              </w:rPr>
            </w:pPr>
            <w:r w:rsidRPr="00A52AB8">
              <w:rPr>
                <w:rFonts w:cs="Calibri"/>
                <w:color w:val="000000" w:themeColor="text1"/>
                <w:sz w:val="20"/>
                <w:szCs w:val="20"/>
              </w:rPr>
              <w:t>2</w:t>
            </w:r>
          </w:p>
        </w:tc>
      </w:tr>
      <w:tr w:rsidR="00870213" w:rsidRPr="00A52AB8" w14:paraId="7BCC14B1" w14:textId="77777777" w:rsidTr="00FE55DB">
        <w:tc>
          <w:tcPr>
            <w:tcW w:w="1846" w:type="pct"/>
            <w:shd w:val="clear" w:color="auto" w:fill="E7E6E6" w:themeFill="background2"/>
            <w:tcMar>
              <w:top w:w="43" w:type="dxa"/>
              <w:left w:w="15" w:type="dxa"/>
              <w:bottom w:w="43" w:type="dxa"/>
              <w:right w:w="15" w:type="dxa"/>
            </w:tcMar>
            <w:vAlign w:val="center"/>
            <w:hideMark/>
          </w:tcPr>
          <w:p w14:paraId="06980B9A" w14:textId="77777777" w:rsidR="00EA5317" w:rsidRPr="00A52AB8" w:rsidRDefault="00EA5317" w:rsidP="002E5343">
            <w:pPr>
              <w:snapToGrid w:val="0"/>
              <w:spacing w:after="0" w:line="240" w:lineRule="auto"/>
              <w:jc w:val="center"/>
              <w:rPr>
                <w:rFonts w:cs="Calibri"/>
                <w:color w:val="000000"/>
                <w:sz w:val="20"/>
                <w:szCs w:val="20"/>
              </w:rPr>
            </w:pPr>
            <w:r w:rsidRPr="00A52AB8">
              <w:rPr>
                <w:rFonts w:cs="Calibri"/>
                <w:color w:val="000000" w:themeColor="text1"/>
                <w:sz w:val="20"/>
                <w:szCs w:val="20"/>
              </w:rPr>
              <w:t>TilePatchAxisV</w:t>
            </w:r>
            <w:r w:rsidRPr="00A52AB8">
              <w:rPr>
                <w:rFonts w:cs="Calibri"/>
                <w:color w:val="000000"/>
                <w:sz w:val="20"/>
                <w:szCs w:val="20"/>
              </w:rPr>
              <w:t>[ tileID ][ p ]</w:t>
            </w:r>
          </w:p>
        </w:tc>
        <w:tc>
          <w:tcPr>
            <w:tcW w:w="175" w:type="pct"/>
            <w:shd w:val="clear" w:color="auto" w:fill="auto"/>
            <w:tcMar>
              <w:top w:w="43" w:type="dxa"/>
              <w:left w:w="15" w:type="dxa"/>
              <w:bottom w:w="43" w:type="dxa"/>
              <w:right w:w="15" w:type="dxa"/>
            </w:tcMar>
            <w:vAlign w:val="center"/>
            <w:hideMark/>
          </w:tcPr>
          <w:p w14:paraId="1201C06E" w14:textId="77777777" w:rsidR="00EA5317" w:rsidRPr="00A52AB8" w:rsidRDefault="00EA5317" w:rsidP="002E5343">
            <w:pPr>
              <w:snapToGrid w:val="0"/>
              <w:spacing w:after="0" w:line="240" w:lineRule="auto"/>
              <w:jc w:val="center"/>
              <w:rPr>
                <w:rFonts w:cs="Calibri"/>
                <w:color w:val="000000"/>
                <w:sz w:val="20"/>
                <w:szCs w:val="20"/>
              </w:rPr>
            </w:pPr>
            <w:r w:rsidRPr="00A52AB8">
              <w:rPr>
                <w:rFonts w:cs="Calibri"/>
                <w:color w:val="000000" w:themeColor="text1"/>
                <w:sz w:val="20"/>
                <w:szCs w:val="20"/>
              </w:rPr>
              <w:t>1</w:t>
            </w:r>
          </w:p>
        </w:tc>
        <w:tc>
          <w:tcPr>
            <w:tcW w:w="175" w:type="pct"/>
            <w:shd w:val="clear" w:color="auto" w:fill="auto"/>
            <w:tcMar>
              <w:top w:w="43" w:type="dxa"/>
              <w:left w:w="15" w:type="dxa"/>
              <w:bottom w:w="43" w:type="dxa"/>
              <w:right w:w="15" w:type="dxa"/>
            </w:tcMar>
            <w:vAlign w:val="center"/>
            <w:hideMark/>
          </w:tcPr>
          <w:p w14:paraId="683FF940" w14:textId="77777777" w:rsidR="00EA5317" w:rsidRPr="00A52AB8" w:rsidRDefault="00EA5317" w:rsidP="002E5343">
            <w:pPr>
              <w:snapToGrid w:val="0"/>
              <w:spacing w:after="0" w:line="240" w:lineRule="auto"/>
              <w:jc w:val="center"/>
              <w:rPr>
                <w:rFonts w:cs="Calibri"/>
                <w:color w:val="000000"/>
                <w:sz w:val="20"/>
                <w:szCs w:val="20"/>
              </w:rPr>
            </w:pPr>
            <w:r w:rsidRPr="00A52AB8">
              <w:rPr>
                <w:rFonts w:cs="Calibri"/>
                <w:color w:val="000000" w:themeColor="text1"/>
                <w:sz w:val="20"/>
                <w:szCs w:val="20"/>
              </w:rPr>
              <w:t>0</w:t>
            </w:r>
          </w:p>
        </w:tc>
        <w:tc>
          <w:tcPr>
            <w:tcW w:w="176" w:type="pct"/>
            <w:shd w:val="clear" w:color="auto" w:fill="auto"/>
            <w:tcMar>
              <w:top w:w="43" w:type="dxa"/>
              <w:left w:w="15" w:type="dxa"/>
              <w:bottom w:w="43" w:type="dxa"/>
              <w:right w:w="15" w:type="dxa"/>
            </w:tcMar>
            <w:vAlign w:val="center"/>
            <w:hideMark/>
          </w:tcPr>
          <w:p w14:paraId="7949FC6A" w14:textId="77777777" w:rsidR="00EA5317" w:rsidRPr="00A52AB8" w:rsidRDefault="00EA5317" w:rsidP="002E5343">
            <w:pPr>
              <w:snapToGrid w:val="0"/>
              <w:spacing w:after="0" w:line="240" w:lineRule="auto"/>
              <w:jc w:val="center"/>
              <w:rPr>
                <w:rFonts w:cs="Calibri"/>
                <w:color w:val="000000"/>
                <w:sz w:val="20"/>
                <w:szCs w:val="20"/>
              </w:rPr>
            </w:pPr>
            <w:r w:rsidRPr="00A52AB8">
              <w:rPr>
                <w:rFonts w:cs="Calibri"/>
                <w:color w:val="000000" w:themeColor="text1"/>
                <w:sz w:val="20"/>
                <w:szCs w:val="20"/>
              </w:rPr>
              <w:t>1</w:t>
            </w:r>
          </w:p>
        </w:tc>
        <w:tc>
          <w:tcPr>
            <w:tcW w:w="175" w:type="pct"/>
            <w:shd w:val="clear" w:color="auto" w:fill="auto"/>
            <w:tcMar>
              <w:top w:w="43" w:type="dxa"/>
              <w:left w:w="15" w:type="dxa"/>
              <w:bottom w:w="43" w:type="dxa"/>
              <w:right w:w="15" w:type="dxa"/>
            </w:tcMar>
            <w:vAlign w:val="center"/>
            <w:hideMark/>
          </w:tcPr>
          <w:p w14:paraId="26656B7D" w14:textId="77777777" w:rsidR="00EA5317" w:rsidRPr="00A52AB8" w:rsidRDefault="00EA5317" w:rsidP="002E5343">
            <w:pPr>
              <w:snapToGrid w:val="0"/>
              <w:spacing w:after="0" w:line="240" w:lineRule="auto"/>
              <w:jc w:val="center"/>
              <w:rPr>
                <w:rFonts w:cs="Calibri"/>
                <w:color w:val="000000"/>
                <w:sz w:val="20"/>
                <w:szCs w:val="20"/>
              </w:rPr>
            </w:pPr>
            <w:r w:rsidRPr="00A52AB8">
              <w:rPr>
                <w:rFonts w:cs="Calibri"/>
                <w:color w:val="000000" w:themeColor="text1"/>
                <w:sz w:val="20"/>
                <w:szCs w:val="20"/>
              </w:rPr>
              <w:t>1</w:t>
            </w:r>
          </w:p>
        </w:tc>
        <w:tc>
          <w:tcPr>
            <w:tcW w:w="176" w:type="pct"/>
            <w:shd w:val="clear" w:color="auto" w:fill="auto"/>
            <w:tcMar>
              <w:top w:w="43" w:type="dxa"/>
              <w:left w:w="15" w:type="dxa"/>
              <w:bottom w:w="43" w:type="dxa"/>
              <w:right w:w="15" w:type="dxa"/>
            </w:tcMar>
            <w:vAlign w:val="center"/>
            <w:hideMark/>
          </w:tcPr>
          <w:p w14:paraId="1BD9735A" w14:textId="77777777" w:rsidR="00EA5317" w:rsidRPr="00A52AB8" w:rsidRDefault="00EA5317" w:rsidP="002E5343">
            <w:pPr>
              <w:snapToGrid w:val="0"/>
              <w:spacing w:after="0" w:line="240" w:lineRule="auto"/>
              <w:jc w:val="center"/>
              <w:rPr>
                <w:rFonts w:cs="Calibri"/>
                <w:color w:val="000000"/>
                <w:sz w:val="20"/>
                <w:szCs w:val="20"/>
              </w:rPr>
            </w:pPr>
            <w:r w:rsidRPr="00A52AB8">
              <w:rPr>
                <w:rFonts w:cs="Calibri"/>
                <w:color w:val="000000" w:themeColor="text1"/>
                <w:sz w:val="20"/>
                <w:szCs w:val="20"/>
              </w:rPr>
              <w:t>0</w:t>
            </w:r>
          </w:p>
        </w:tc>
        <w:tc>
          <w:tcPr>
            <w:tcW w:w="175" w:type="pct"/>
            <w:shd w:val="clear" w:color="auto" w:fill="auto"/>
            <w:tcMar>
              <w:top w:w="43" w:type="dxa"/>
              <w:left w:w="15" w:type="dxa"/>
              <w:bottom w:w="43" w:type="dxa"/>
              <w:right w:w="15" w:type="dxa"/>
            </w:tcMar>
            <w:vAlign w:val="center"/>
            <w:hideMark/>
          </w:tcPr>
          <w:p w14:paraId="002B0E7A" w14:textId="77777777" w:rsidR="00EA5317" w:rsidRPr="00A52AB8" w:rsidRDefault="00EA5317" w:rsidP="002E5343">
            <w:pPr>
              <w:snapToGrid w:val="0"/>
              <w:spacing w:after="0" w:line="240" w:lineRule="auto"/>
              <w:jc w:val="center"/>
              <w:rPr>
                <w:rFonts w:cs="Calibri"/>
                <w:color w:val="000000"/>
                <w:sz w:val="20"/>
                <w:szCs w:val="20"/>
              </w:rPr>
            </w:pPr>
            <w:r w:rsidRPr="00A52AB8">
              <w:rPr>
                <w:rFonts w:cs="Calibri"/>
                <w:color w:val="000000" w:themeColor="text1"/>
                <w:sz w:val="20"/>
                <w:szCs w:val="20"/>
              </w:rPr>
              <w:t>1</w:t>
            </w:r>
          </w:p>
        </w:tc>
        <w:tc>
          <w:tcPr>
            <w:tcW w:w="176" w:type="pct"/>
            <w:shd w:val="clear" w:color="auto" w:fill="auto"/>
            <w:tcMar>
              <w:top w:w="43" w:type="dxa"/>
              <w:left w:w="15" w:type="dxa"/>
              <w:bottom w:w="43" w:type="dxa"/>
              <w:right w:w="15" w:type="dxa"/>
            </w:tcMar>
            <w:vAlign w:val="center"/>
            <w:hideMark/>
          </w:tcPr>
          <w:p w14:paraId="0ED71C70" w14:textId="77777777" w:rsidR="00EA5317" w:rsidRPr="00A52AB8" w:rsidRDefault="00EA5317" w:rsidP="002E5343">
            <w:pPr>
              <w:snapToGrid w:val="0"/>
              <w:spacing w:after="0" w:line="240" w:lineRule="auto"/>
              <w:jc w:val="center"/>
              <w:rPr>
                <w:rFonts w:cs="Calibri"/>
                <w:color w:val="000000"/>
                <w:sz w:val="20"/>
                <w:szCs w:val="20"/>
              </w:rPr>
            </w:pPr>
            <w:r w:rsidRPr="00A52AB8">
              <w:rPr>
                <w:rFonts w:cs="Calibri"/>
                <w:color w:val="000000" w:themeColor="text1"/>
                <w:sz w:val="20"/>
                <w:szCs w:val="20"/>
              </w:rPr>
              <w:t>1</w:t>
            </w:r>
          </w:p>
        </w:tc>
        <w:tc>
          <w:tcPr>
            <w:tcW w:w="175" w:type="pct"/>
            <w:shd w:val="clear" w:color="auto" w:fill="auto"/>
            <w:tcMar>
              <w:top w:w="43" w:type="dxa"/>
              <w:left w:w="15" w:type="dxa"/>
              <w:bottom w:w="43" w:type="dxa"/>
              <w:right w:w="15" w:type="dxa"/>
            </w:tcMar>
            <w:vAlign w:val="center"/>
            <w:hideMark/>
          </w:tcPr>
          <w:p w14:paraId="6D6ABE6A" w14:textId="77777777" w:rsidR="00EA5317" w:rsidRPr="00A52AB8" w:rsidRDefault="00EA5317" w:rsidP="002E5343">
            <w:pPr>
              <w:snapToGrid w:val="0"/>
              <w:spacing w:after="0" w:line="240" w:lineRule="auto"/>
              <w:jc w:val="center"/>
              <w:rPr>
                <w:rFonts w:cs="Calibri"/>
                <w:color w:val="000000"/>
                <w:sz w:val="20"/>
                <w:szCs w:val="20"/>
              </w:rPr>
            </w:pPr>
            <w:r w:rsidRPr="00A52AB8">
              <w:rPr>
                <w:rFonts w:cs="Calibri"/>
                <w:color w:val="000000" w:themeColor="text1"/>
                <w:sz w:val="20"/>
                <w:szCs w:val="20"/>
              </w:rPr>
              <w:t>1</w:t>
            </w:r>
          </w:p>
        </w:tc>
        <w:tc>
          <w:tcPr>
            <w:tcW w:w="176" w:type="pct"/>
            <w:shd w:val="clear" w:color="auto" w:fill="auto"/>
            <w:tcMar>
              <w:top w:w="43" w:type="dxa"/>
              <w:left w:w="15" w:type="dxa"/>
              <w:bottom w:w="43" w:type="dxa"/>
              <w:right w:w="15" w:type="dxa"/>
            </w:tcMar>
            <w:vAlign w:val="center"/>
            <w:hideMark/>
          </w:tcPr>
          <w:p w14:paraId="3317ECE3" w14:textId="77777777" w:rsidR="00EA5317" w:rsidRPr="00A52AB8" w:rsidRDefault="00EA5317" w:rsidP="002E5343">
            <w:pPr>
              <w:snapToGrid w:val="0"/>
              <w:spacing w:after="0" w:line="240" w:lineRule="auto"/>
              <w:jc w:val="center"/>
              <w:rPr>
                <w:rFonts w:cs="Calibri"/>
                <w:color w:val="000000"/>
                <w:sz w:val="20"/>
                <w:szCs w:val="20"/>
              </w:rPr>
            </w:pPr>
            <w:r w:rsidRPr="00A52AB8">
              <w:rPr>
                <w:rFonts w:cs="Calibri"/>
                <w:color w:val="000000" w:themeColor="text1"/>
                <w:sz w:val="20"/>
                <w:szCs w:val="20"/>
              </w:rPr>
              <w:t>1</w:t>
            </w:r>
          </w:p>
        </w:tc>
        <w:tc>
          <w:tcPr>
            <w:tcW w:w="175" w:type="pct"/>
            <w:shd w:val="clear" w:color="auto" w:fill="auto"/>
            <w:tcMar>
              <w:top w:w="43" w:type="dxa"/>
              <w:left w:w="15" w:type="dxa"/>
              <w:bottom w:w="43" w:type="dxa"/>
              <w:right w:w="15" w:type="dxa"/>
            </w:tcMar>
            <w:vAlign w:val="center"/>
            <w:hideMark/>
          </w:tcPr>
          <w:p w14:paraId="37E7A099" w14:textId="77777777" w:rsidR="00EA5317" w:rsidRPr="00A52AB8" w:rsidRDefault="00EA5317" w:rsidP="002E5343">
            <w:pPr>
              <w:snapToGrid w:val="0"/>
              <w:spacing w:after="0" w:line="240" w:lineRule="auto"/>
              <w:jc w:val="center"/>
              <w:rPr>
                <w:rFonts w:cs="Calibri"/>
                <w:color w:val="000000"/>
                <w:sz w:val="20"/>
                <w:szCs w:val="20"/>
              </w:rPr>
            </w:pPr>
            <w:r w:rsidRPr="00A52AB8">
              <w:rPr>
                <w:rFonts w:cs="Calibri"/>
                <w:color w:val="000000" w:themeColor="text1"/>
                <w:sz w:val="20"/>
                <w:szCs w:val="20"/>
              </w:rPr>
              <w:t>1</w:t>
            </w:r>
          </w:p>
        </w:tc>
        <w:tc>
          <w:tcPr>
            <w:tcW w:w="175" w:type="pct"/>
            <w:shd w:val="clear" w:color="auto" w:fill="auto"/>
            <w:tcMar>
              <w:top w:w="43" w:type="dxa"/>
              <w:left w:w="15" w:type="dxa"/>
              <w:bottom w:w="43" w:type="dxa"/>
              <w:right w:w="15" w:type="dxa"/>
            </w:tcMar>
            <w:vAlign w:val="center"/>
            <w:hideMark/>
          </w:tcPr>
          <w:p w14:paraId="4C08E925" w14:textId="77777777" w:rsidR="00EA5317" w:rsidRPr="00A52AB8" w:rsidRDefault="00EA5317" w:rsidP="002E5343">
            <w:pPr>
              <w:snapToGrid w:val="0"/>
              <w:spacing w:after="0" w:line="240" w:lineRule="auto"/>
              <w:jc w:val="center"/>
              <w:rPr>
                <w:rFonts w:cs="Calibri"/>
                <w:color w:val="000000"/>
                <w:sz w:val="20"/>
                <w:szCs w:val="20"/>
              </w:rPr>
            </w:pPr>
            <w:r w:rsidRPr="00A52AB8">
              <w:rPr>
                <w:rFonts w:cs="Calibri"/>
                <w:color w:val="000000" w:themeColor="text1"/>
                <w:sz w:val="20"/>
                <w:szCs w:val="20"/>
              </w:rPr>
              <w:t>1</w:t>
            </w:r>
          </w:p>
        </w:tc>
        <w:tc>
          <w:tcPr>
            <w:tcW w:w="176" w:type="pct"/>
            <w:shd w:val="clear" w:color="auto" w:fill="auto"/>
            <w:tcMar>
              <w:top w:w="43" w:type="dxa"/>
              <w:left w:w="15" w:type="dxa"/>
              <w:bottom w:w="43" w:type="dxa"/>
              <w:right w:w="15" w:type="dxa"/>
            </w:tcMar>
            <w:vAlign w:val="center"/>
            <w:hideMark/>
          </w:tcPr>
          <w:p w14:paraId="0CE508EF" w14:textId="77777777" w:rsidR="00EA5317" w:rsidRPr="00A52AB8" w:rsidRDefault="00EA5317" w:rsidP="002E5343">
            <w:pPr>
              <w:snapToGrid w:val="0"/>
              <w:spacing w:after="0" w:line="240" w:lineRule="auto"/>
              <w:jc w:val="center"/>
              <w:rPr>
                <w:rFonts w:cs="Calibri"/>
                <w:color w:val="000000"/>
                <w:sz w:val="20"/>
                <w:szCs w:val="20"/>
              </w:rPr>
            </w:pPr>
            <w:r w:rsidRPr="00A52AB8">
              <w:rPr>
                <w:rFonts w:cs="Calibri"/>
                <w:color w:val="000000" w:themeColor="text1"/>
                <w:sz w:val="20"/>
                <w:szCs w:val="20"/>
              </w:rPr>
              <w:t>0</w:t>
            </w:r>
          </w:p>
        </w:tc>
        <w:tc>
          <w:tcPr>
            <w:tcW w:w="175" w:type="pct"/>
            <w:shd w:val="clear" w:color="auto" w:fill="auto"/>
            <w:tcMar>
              <w:top w:w="43" w:type="dxa"/>
              <w:left w:w="15" w:type="dxa"/>
              <w:bottom w:w="43" w:type="dxa"/>
              <w:right w:w="15" w:type="dxa"/>
            </w:tcMar>
            <w:vAlign w:val="center"/>
            <w:hideMark/>
          </w:tcPr>
          <w:p w14:paraId="49948028" w14:textId="77777777" w:rsidR="00EA5317" w:rsidRPr="00A52AB8" w:rsidRDefault="00EA5317" w:rsidP="002E5343">
            <w:pPr>
              <w:snapToGrid w:val="0"/>
              <w:spacing w:after="0" w:line="240" w:lineRule="auto"/>
              <w:jc w:val="center"/>
              <w:rPr>
                <w:rFonts w:cs="Calibri"/>
                <w:color w:val="000000"/>
                <w:sz w:val="20"/>
                <w:szCs w:val="20"/>
              </w:rPr>
            </w:pPr>
            <w:r w:rsidRPr="00A52AB8">
              <w:rPr>
                <w:rFonts w:cs="Calibri"/>
                <w:color w:val="000000" w:themeColor="text1"/>
                <w:sz w:val="20"/>
                <w:szCs w:val="20"/>
              </w:rPr>
              <w:t>1</w:t>
            </w:r>
          </w:p>
        </w:tc>
        <w:tc>
          <w:tcPr>
            <w:tcW w:w="176" w:type="pct"/>
            <w:shd w:val="clear" w:color="auto" w:fill="auto"/>
            <w:tcMar>
              <w:top w:w="43" w:type="dxa"/>
              <w:left w:w="15" w:type="dxa"/>
              <w:bottom w:w="43" w:type="dxa"/>
              <w:right w:w="15" w:type="dxa"/>
            </w:tcMar>
            <w:vAlign w:val="center"/>
            <w:hideMark/>
          </w:tcPr>
          <w:p w14:paraId="6105555F" w14:textId="77777777" w:rsidR="00EA5317" w:rsidRPr="00A52AB8" w:rsidRDefault="00EA5317" w:rsidP="002E5343">
            <w:pPr>
              <w:snapToGrid w:val="0"/>
              <w:spacing w:after="0" w:line="240" w:lineRule="auto"/>
              <w:jc w:val="center"/>
              <w:rPr>
                <w:rFonts w:cs="Calibri"/>
                <w:color w:val="000000"/>
                <w:sz w:val="20"/>
                <w:szCs w:val="20"/>
              </w:rPr>
            </w:pPr>
            <w:r w:rsidRPr="00A52AB8">
              <w:rPr>
                <w:rFonts w:cs="Calibri"/>
                <w:color w:val="000000" w:themeColor="text1"/>
                <w:sz w:val="20"/>
                <w:szCs w:val="20"/>
              </w:rPr>
              <w:t>0</w:t>
            </w:r>
          </w:p>
        </w:tc>
        <w:tc>
          <w:tcPr>
            <w:tcW w:w="175" w:type="pct"/>
            <w:shd w:val="clear" w:color="auto" w:fill="auto"/>
            <w:tcMar>
              <w:top w:w="43" w:type="dxa"/>
              <w:left w:w="15" w:type="dxa"/>
              <w:bottom w:w="43" w:type="dxa"/>
              <w:right w:w="15" w:type="dxa"/>
            </w:tcMar>
            <w:vAlign w:val="center"/>
            <w:hideMark/>
          </w:tcPr>
          <w:p w14:paraId="24A90B5C" w14:textId="77777777" w:rsidR="00EA5317" w:rsidRPr="00A52AB8" w:rsidRDefault="00EA5317" w:rsidP="002E5343">
            <w:pPr>
              <w:snapToGrid w:val="0"/>
              <w:spacing w:after="0" w:line="240" w:lineRule="auto"/>
              <w:jc w:val="center"/>
              <w:rPr>
                <w:rFonts w:cs="Calibri"/>
                <w:color w:val="000000"/>
                <w:sz w:val="20"/>
                <w:szCs w:val="20"/>
              </w:rPr>
            </w:pPr>
            <w:r w:rsidRPr="00A52AB8">
              <w:rPr>
                <w:rFonts w:cs="Calibri"/>
                <w:color w:val="000000" w:themeColor="text1"/>
                <w:sz w:val="20"/>
                <w:szCs w:val="20"/>
              </w:rPr>
              <w:t>0</w:t>
            </w:r>
          </w:p>
        </w:tc>
        <w:tc>
          <w:tcPr>
            <w:tcW w:w="176" w:type="pct"/>
            <w:shd w:val="clear" w:color="auto" w:fill="auto"/>
            <w:tcMar>
              <w:top w:w="43" w:type="dxa"/>
              <w:left w:w="15" w:type="dxa"/>
              <w:bottom w:w="43" w:type="dxa"/>
              <w:right w:w="15" w:type="dxa"/>
            </w:tcMar>
            <w:vAlign w:val="center"/>
            <w:hideMark/>
          </w:tcPr>
          <w:p w14:paraId="042586D7" w14:textId="77777777" w:rsidR="00EA5317" w:rsidRPr="00A52AB8" w:rsidRDefault="00EA5317" w:rsidP="002E5343">
            <w:pPr>
              <w:snapToGrid w:val="0"/>
              <w:spacing w:after="0" w:line="240" w:lineRule="auto"/>
              <w:jc w:val="center"/>
              <w:rPr>
                <w:rFonts w:cs="Calibri"/>
                <w:color w:val="000000"/>
                <w:sz w:val="20"/>
                <w:szCs w:val="20"/>
              </w:rPr>
            </w:pPr>
            <w:r w:rsidRPr="00A52AB8">
              <w:rPr>
                <w:rFonts w:cs="Calibri"/>
                <w:color w:val="000000" w:themeColor="text1"/>
                <w:sz w:val="20"/>
                <w:szCs w:val="20"/>
              </w:rPr>
              <w:t>1</w:t>
            </w:r>
          </w:p>
        </w:tc>
        <w:tc>
          <w:tcPr>
            <w:tcW w:w="175" w:type="pct"/>
            <w:shd w:val="clear" w:color="auto" w:fill="auto"/>
            <w:tcMar>
              <w:top w:w="43" w:type="dxa"/>
              <w:left w:w="15" w:type="dxa"/>
              <w:bottom w:w="43" w:type="dxa"/>
              <w:right w:w="15" w:type="dxa"/>
            </w:tcMar>
            <w:vAlign w:val="center"/>
            <w:hideMark/>
          </w:tcPr>
          <w:p w14:paraId="2EB2A559" w14:textId="77777777" w:rsidR="00EA5317" w:rsidRPr="00A52AB8" w:rsidRDefault="00EA5317" w:rsidP="002E5343">
            <w:pPr>
              <w:snapToGrid w:val="0"/>
              <w:spacing w:after="0" w:line="240" w:lineRule="auto"/>
              <w:jc w:val="center"/>
              <w:rPr>
                <w:rFonts w:cs="Calibri"/>
                <w:color w:val="000000"/>
                <w:sz w:val="20"/>
                <w:szCs w:val="20"/>
              </w:rPr>
            </w:pPr>
            <w:r w:rsidRPr="00A52AB8">
              <w:rPr>
                <w:rFonts w:cs="Calibri"/>
                <w:color w:val="000000" w:themeColor="text1"/>
                <w:sz w:val="20"/>
                <w:szCs w:val="20"/>
              </w:rPr>
              <w:t>0</w:t>
            </w:r>
          </w:p>
        </w:tc>
        <w:tc>
          <w:tcPr>
            <w:tcW w:w="176" w:type="pct"/>
            <w:shd w:val="clear" w:color="auto" w:fill="auto"/>
            <w:tcMar>
              <w:top w:w="43" w:type="dxa"/>
              <w:left w:w="15" w:type="dxa"/>
              <w:bottom w:w="43" w:type="dxa"/>
              <w:right w:w="15" w:type="dxa"/>
            </w:tcMar>
            <w:vAlign w:val="center"/>
            <w:hideMark/>
          </w:tcPr>
          <w:p w14:paraId="167E0680" w14:textId="77777777" w:rsidR="00EA5317" w:rsidRPr="00A52AB8" w:rsidRDefault="00EA5317" w:rsidP="002E5343">
            <w:pPr>
              <w:snapToGrid w:val="0"/>
              <w:spacing w:after="0" w:line="240" w:lineRule="auto"/>
              <w:jc w:val="center"/>
              <w:rPr>
                <w:rFonts w:cs="Calibri"/>
                <w:color w:val="000000"/>
                <w:sz w:val="20"/>
                <w:szCs w:val="20"/>
              </w:rPr>
            </w:pPr>
            <w:r w:rsidRPr="00A52AB8">
              <w:rPr>
                <w:rFonts w:cs="Calibri"/>
                <w:color w:val="000000" w:themeColor="text1"/>
                <w:sz w:val="20"/>
                <w:szCs w:val="20"/>
              </w:rPr>
              <w:t>1</w:t>
            </w:r>
          </w:p>
        </w:tc>
      </w:tr>
      <w:tr w:rsidR="00870213" w:rsidRPr="00A52AB8" w14:paraId="65AFAD97" w14:textId="77777777" w:rsidTr="00FE55DB">
        <w:tc>
          <w:tcPr>
            <w:tcW w:w="1846" w:type="pct"/>
            <w:shd w:val="clear" w:color="auto" w:fill="E7E6E6" w:themeFill="background2"/>
            <w:tcMar>
              <w:top w:w="43" w:type="dxa"/>
              <w:left w:w="15" w:type="dxa"/>
              <w:bottom w:w="43" w:type="dxa"/>
              <w:right w:w="15" w:type="dxa"/>
            </w:tcMar>
            <w:vAlign w:val="center"/>
            <w:hideMark/>
          </w:tcPr>
          <w:p w14:paraId="5F42D358" w14:textId="77777777" w:rsidR="00EA5317" w:rsidRPr="00A52AB8" w:rsidRDefault="00EA5317" w:rsidP="002E5343">
            <w:pPr>
              <w:snapToGrid w:val="0"/>
              <w:spacing w:after="0" w:line="240" w:lineRule="auto"/>
              <w:jc w:val="center"/>
              <w:rPr>
                <w:rFonts w:cs="Calibri"/>
                <w:color w:val="000000"/>
                <w:sz w:val="20"/>
                <w:szCs w:val="20"/>
              </w:rPr>
            </w:pPr>
            <w:r w:rsidRPr="00A52AB8">
              <w:rPr>
                <w:rFonts w:cs="Calibri"/>
                <w:color w:val="000000" w:themeColor="text1"/>
                <w:sz w:val="20"/>
                <w:szCs w:val="20"/>
              </w:rPr>
              <w:t>TilePatchAxisD</w:t>
            </w:r>
            <w:r w:rsidRPr="00A52AB8">
              <w:rPr>
                <w:rFonts w:cs="Calibri"/>
                <w:color w:val="000000"/>
                <w:sz w:val="20"/>
                <w:szCs w:val="20"/>
              </w:rPr>
              <w:t>[ tileID ][ p ]</w:t>
            </w:r>
          </w:p>
        </w:tc>
        <w:tc>
          <w:tcPr>
            <w:tcW w:w="175" w:type="pct"/>
            <w:shd w:val="clear" w:color="auto" w:fill="auto"/>
            <w:tcMar>
              <w:top w:w="43" w:type="dxa"/>
              <w:left w:w="15" w:type="dxa"/>
              <w:bottom w:w="43" w:type="dxa"/>
              <w:right w:w="15" w:type="dxa"/>
            </w:tcMar>
            <w:vAlign w:val="center"/>
            <w:hideMark/>
          </w:tcPr>
          <w:p w14:paraId="21B2B95A" w14:textId="77777777" w:rsidR="00EA5317" w:rsidRPr="00A52AB8" w:rsidRDefault="00EA5317" w:rsidP="002E5343">
            <w:pPr>
              <w:snapToGrid w:val="0"/>
              <w:spacing w:after="0" w:line="240" w:lineRule="auto"/>
              <w:jc w:val="center"/>
              <w:rPr>
                <w:rFonts w:cs="Calibri"/>
                <w:color w:val="000000"/>
                <w:sz w:val="20"/>
                <w:szCs w:val="20"/>
              </w:rPr>
            </w:pPr>
            <w:r w:rsidRPr="00A52AB8">
              <w:rPr>
                <w:rFonts w:cs="Calibri"/>
                <w:color w:val="000000" w:themeColor="text1"/>
                <w:sz w:val="20"/>
                <w:szCs w:val="20"/>
              </w:rPr>
              <w:t>0</w:t>
            </w:r>
          </w:p>
        </w:tc>
        <w:tc>
          <w:tcPr>
            <w:tcW w:w="175" w:type="pct"/>
            <w:shd w:val="clear" w:color="auto" w:fill="auto"/>
            <w:tcMar>
              <w:top w:w="43" w:type="dxa"/>
              <w:left w:w="15" w:type="dxa"/>
              <w:bottom w:w="43" w:type="dxa"/>
              <w:right w:w="15" w:type="dxa"/>
            </w:tcMar>
            <w:vAlign w:val="center"/>
            <w:hideMark/>
          </w:tcPr>
          <w:p w14:paraId="607D7820" w14:textId="77777777" w:rsidR="00EA5317" w:rsidRPr="00A52AB8" w:rsidRDefault="00EA5317" w:rsidP="002E5343">
            <w:pPr>
              <w:snapToGrid w:val="0"/>
              <w:spacing w:after="0" w:line="240" w:lineRule="auto"/>
              <w:jc w:val="center"/>
              <w:rPr>
                <w:rFonts w:cs="Calibri"/>
                <w:color w:val="000000"/>
                <w:sz w:val="20"/>
                <w:szCs w:val="20"/>
              </w:rPr>
            </w:pPr>
            <w:r w:rsidRPr="00A52AB8">
              <w:rPr>
                <w:rFonts w:cs="Calibri"/>
                <w:color w:val="000000" w:themeColor="text1"/>
                <w:sz w:val="20"/>
                <w:szCs w:val="20"/>
              </w:rPr>
              <w:t>1</w:t>
            </w:r>
          </w:p>
        </w:tc>
        <w:tc>
          <w:tcPr>
            <w:tcW w:w="176" w:type="pct"/>
            <w:shd w:val="clear" w:color="auto" w:fill="auto"/>
            <w:tcMar>
              <w:top w:w="43" w:type="dxa"/>
              <w:left w:w="15" w:type="dxa"/>
              <w:bottom w:w="43" w:type="dxa"/>
              <w:right w:w="15" w:type="dxa"/>
            </w:tcMar>
            <w:vAlign w:val="center"/>
            <w:hideMark/>
          </w:tcPr>
          <w:p w14:paraId="487659F0" w14:textId="77777777" w:rsidR="00EA5317" w:rsidRPr="00A52AB8" w:rsidRDefault="00EA5317" w:rsidP="002E5343">
            <w:pPr>
              <w:snapToGrid w:val="0"/>
              <w:spacing w:after="0" w:line="240" w:lineRule="auto"/>
              <w:jc w:val="center"/>
              <w:rPr>
                <w:rFonts w:cs="Calibri"/>
                <w:color w:val="000000"/>
                <w:sz w:val="20"/>
                <w:szCs w:val="20"/>
              </w:rPr>
            </w:pPr>
            <w:r w:rsidRPr="00A52AB8">
              <w:rPr>
                <w:rFonts w:cs="Calibri"/>
                <w:color w:val="000000" w:themeColor="text1"/>
                <w:sz w:val="20"/>
                <w:szCs w:val="20"/>
              </w:rPr>
              <w:t>2</w:t>
            </w:r>
          </w:p>
        </w:tc>
        <w:tc>
          <w:tcPr>
            <w:tcW w:w="175" w:type="pct"/>
            <w:shd w:val="clear" w:color="auto" w:fill="auto"/>
            <w:tcMar>
              <w:top w:w="43" w:type="dxa"/>
              <w:left w:w="15" w:type="dxa"/>
              <w:bottom w:w="43" w:type="dxa"/>
              <w:right w:w="15" w:type="dxa"/>
            </w:tcMar>
            <w:vAlign w:val="center"/>
            <w:hideMark/>
          </w:tcPr>
          <w:p w14:paraId="7F651EC1" w14:textId="77777777" w:rsidR="00EA5317" w:rsidRPr="00A52AB8" w:rsidRDefault="00EA5317" w:rsidP="002E5343">
            <w:pPr>
              <w:snapToGrid w:val="0"/>
              <w:spacing w:after="0" w:line="240" w:lineRule="auto"/>
              <w:jc w:val="center"/>
              <w:rPr>
                <w:rFonts w:cs="Calibri"/>
                <w:color w:val="000000"/>
                <w:sz w:val="20"/>
                <w:szCs w:val="20"/>
              </w:rPr>
            </w:pPr>
            <w:r w:rsidRPr="00A52AB8">
              <w:rPr>
                <w:rFonts w:cs="Calibri"/>
                <w:color w:val="000000" w:themeColor="text1"/>
                <w:sz w:val="20"/>
                <w:szCs w:val="20"/>
              </w:rPr>
              <w:t>0</w:t>
            </w:r>
          </w:p>
        </w:tc>
        <w:tc>
          <w:tcPr>
            <w:tcW w:w="176" w:type="pct"/>
            <w:shd w:val="clear" w:color="auto" w:fill="auto"/>
            <w:tcMar>
              <w:top w:w="43" w:type="dxa"/>
              <w:left w:w="15" w:type="dxa"/>
              <w:bottom w:w="43" w:type="dxa"/>
              <w:right w:w="15" w:type="dxa"/>
            </w:tcMar>
            <w:vAlign w:val="center"/>
            <w:hideMark/>
          </w:tcPr>
          <w:p w14:paraId="6559D8C2" w14:textId="77777777" w:rsidR="00EA5317" w:rsidRPr="00A52AB8" w:rsidRDefault="00EA5317" w:rsidP="002E5343">
            <w:pPr>
              <w:snapToGrid w:val="0"/>
              <w:spacing w:after="0" w:line="240" w:lineRule="auto"/>
              <w:jc w:val="center"/>
              <w:rPr>
                <w:rFonts w:cs="Calibri"/>
                <w:color w:val="000000"/>
                <w:sz w:val="20"/>
                <w:szCs w:val="20"/>
              </w:rPr>
            </w:pPr>
            <w:r w:rsidRPr="00A52AB8">
              <w:rPr>
                <w:rFonts w:cs="Calibri"/>
                <w:color w:val="000000" w:themeColor="text1"/>
                <w:sz w:val="20"/>
                <w:szCs w:val="20"/>
              </w:rPr>
              <w:t>1</w:t>
            </w:r>
          </w:p>
        </w:tc>
        <w:tc>
          <w:tcPr>
            <w:tcW w:w="175" w:type="pct"/>
            <w:shd w:val="clear" w:color="auto" w:fill="auto"/>
            <w:tcMar>
              <w:top w:w="43" w:type="dxa"/>
              <w:left w:w="15" w:type="dxa"/>
              <w:bottom w:w="43" w:type="dxa"/>
              <w:right w:w="15" w:type="dxa"/>
            </w:tcMar>
            <w:vAlign w:val="center"/>
            <w:hideMark/>
          </w:tcPr>
          <w:p w14:paraId="42DD740D" w14:textId="77777777" w:rsidR="00EA5317" w:rsidRPr="00A52AB8" w:rsidRDefault="00EA5317" w:rsidP="002E5343">
            <w:pPr>
              <w:snapToGrid w:val="0"/>
              <w:spacing w:after="0" w:line="240" w:lineRule="auto"/>
              <w:jc w:val="center"/>
              <w:rPr>
                <w:rFonts w:cs="Calibri"/>
                <w:color w:val="000000"/>
                <w:sz w:val="20"/>
                <w:szCs w:val="20"/>
              </w:rPr>
            </w:pPr>
            <w:r w:rsidRPr="00A52AB8">
              <w:rPr>
                <w:rFonts w:cs="Calibri"/>
                <w:color w:val="000000" w:themeColor="text1"/>
                <w:sz w:val="20"/>
                <w:szCs w:val="20"/>
              </w:rPr>
              <w:t>2</w:t>
            </w:r>
          </w:p>
        </w:tc>
        <w:tc>
          <w:tcPr>
            <w:tcW w:w="176" w:type="pct"/>
            <w:shd w:val="clear" w:color="auto" w:fill="auto"/>
            <w:tcMar>
              <w:top w:w="43" w:type="dxa"/>
              <w:left w:w="15" w:type="dxa"/>
              <w:bottom w:w="43" w:type="dxa"/>
              <w:right w:w="15" w:type="dxa"/>
            </w:tcMar>
            <w:vAlign w:val="center"/>
            <w:hideMark/>
          </w:tcPr>
          <w:p w14:paraId="44B9EDF0" w14:textId="77777777" w:rsidR="00EA5317" w:rsidRPr="00A52AB8" w:rsidRDefault="00EA5317" w:rsidP="002E5343">
            <w:pPr>
              <w:snapToGrid w:val="0"/>
              <w:spacing w:after="0" w:line="240" w:lineRule="auto"/>
              <w:jc w:val="center"/>
              <w:rPr>
                <w:rFonts w:cs="Calibri"/>
                <w:color w:val="000000"/>
                <w:sz w:val="20"/>
                <w:szCs w:val="20"/>
              </w:rPr>
            </w:pPr>
            <w:r w:rsidRPr="00A52AB8">
              <w:rPr>
                <w:rFonts w:cs="Calibri"/>
                <w:color w:val="000000" w:themeColor="text1"/>
                <w:sz w:val="20"/>
                <w:szCs w:val="20"/>
              </w:rPr>
              <w:t>0</w:t>
            </w:r>
          </w:p>
        </w:tc>
        <w:tc>
          <w:tcPr>
            <w:tcW w:w="175" w:type="pct"/>
            <w:shd w:val="clear" w:color="auto" w:fill="auto"/>
            <w:tcMar>
              <w:top w:w="43" w:type="dxa"/>
              <w:left w:w="15" w:type="dxa"/>
              <w:bottom w:w="43" w:type="dxa"/>
              <w:right w:w="15" w:type="dxa"/>
            </w:tcMar>
            <w:vAlign w:val="center"/>
            <w:hideMark/>
          </w:tcPr>
          <w:p w14:paraId="2BE9FA83" w14:textId="77777777" w:rsidR="00EA5317" w:rsidRPr="00A52AB8" w:rsidRDefault="00EA5317" w:rsidP="002E5343">
            <w:pPr>
              <w:snapToGrid w:val="0"/>
              <w:spacing w:after="0" w:line="240" w:lineRule="auto"/>
              <w:jc w:val="center"/>
              <w:rPr>
                <w:rFonts w:cs="Calibri"/>
                <w:color w:val="000000"/>
                <w:sz w:val="20"/>
                <w:szCs w:val="20"/>
              </w:rPr>
            </w:pPr>
            <w:r w:rsidRPr="00A52AB8">
              <w:rPr>
                <w:rFonts w:cs="Calibri"/>
                <w:color w:val="000000" w:themeColor="text1"/>
                <w:sz w:val="20"/>
                <w:szCs w:val="20"/>
              </w:rPr>
              <w:t>2</w:t>
            </w:r>
          </w:p>
        </w:tc>
        <w:tc>
          <w:tcPr>
            <w:tcW w:w="176" w:type="pct"/>
            <w:shd w:val="clear" w:color="auto" w:fill="auto"/>
            <w:tcMar>
              <w:top w:w="43" w:type="dxa"/>
              <w:left w:w="15" w:type="dxa"/>
              <w:bottom w:w="43" w:type="dxa"/>
              <w:right w:w="15" w:type="dxa"/>
            </w:tcMar>
            <w:vAlign w:val="center"/>
            <w:hideMark/>
          </w:tcPr>
          <w:p w14:paraId="4A3C43C3" w14:textId="77777777" w:rsidR="00EA5317" w:rsidRPr="00A52AB8" w:rsidRDefault="00EA5317" w:rsidP="002E5343">
            <w:pPr>
              <w:snapToGrid w:val="0"/>
              <w:spacing w:after="0" w:line="240" w:lineRule="auto"/>
              <w:jc w:val="center"/>
              <w:rPr>
                <w:rFonts w:cs="Calibri"/>
                <w:color w:val="000000"/>
                <w:sz w:val="20"/>
                <w:szCs w:val="20"/>
              </w:rPr>
            </w:pPr>
            <w:r w:rsidRPr="00A52AB8">
              <w:rPr>
                <w:rFonts w:cs="Calibri"/>
                <w:color w:val="000000" w:themeColor="text1"/>
                <w:sz w:val="20"/>
                <w:szCs w:val="20"/>
              </w:rPr>
              <w:t>0</w:t>
            </w:r>
          </w:p>
        </w:tc>
        <w:tc>
          <w:tcPr>
            <w:tcW w:w="175" w:type="pct"/>
            <w:shd w:val="clear" w:color="auto" w:fill="auto"/>
            <w:tcMar>
              <w:top w:w="43" w:type="dxa"/>
              <w:left w:w="15" w:type="dxa"/>
              <w:bottom w:w="43" w:type="dxa"/>
              <w:right w:w="15" w:type="dxa"/>
            </w:tcMar>
            <w:vAlign w:val="center"/>
            <w:hideMark/>
          </w:tcPr>
          <w:p w14:paraId="05007752" w14:textId="77777777" w:rsidR="00EA5317" w:rsidRPr="00A52AB8" w:rsidRDefault="00EA5317" w:rsidP="002E5343">
            <w:pPr>
              <w:snapToGrid w:val="0"/>
              <w:spacing w:after="0" w:line="240" w:lineRule="auto"/>
              <w:jc w:val="center"/>
              <w:rPr>
                <w:rFonts w:cs="Calibri"/>
                <w:color w:val="000000"/>
                <w:sz w:val="20"/>
                <w:szCs w:val="20"/>
              </w:rPr>
            </w:pPr>
            <w:r w:rsidRPr="00A52AB8">
              <w:rPr>
                <w:rFonts w:cs="Calibri"/>
                <w:color w:val="000000" w:themeColor="text1"/>
                <w:sz w:val="20"/>
                <w:szCs w:val="20"/>
              </w:rPr>
              <w:t>2</w:t>
            </w:r>
          </w:p>
        </w:tc>
        <w:tc>
          <w:tcPr>
            <w:tcW w:w="175" w:type="pct"/>
            <w:shd w:val="clear" w:color="auto" w:fill="auto"/>
            <w:tcMar>
              <w:top w:w="43" w:type="dxa"/>
              <w:left w:w="15" w:type="dxa"/>
              <w:bottom w:w="43" w:type="dxa"/>
              <w:right w:w="15" w:type="dxa"/>
            </w:tcMar>
            <w:vAlign w:val="center"/>
            <w:hideMark/>
          </w:tcPr>
          <w:p w14:paraId="7DEE3258" w14:textId="77777777" w:rsidR="00EA5317" w:rsidRPr="00A52AB8" w:rsidRDefault="00EA5317" w:rsidP="002E5343">
            <w:pPr>
              <w:snapToGrid w:val="0"/>
              <w:spacing w:after="0" w:line="240" w:lineRule="auto"/>
              <w:jc w:val="center"/>
              <w:rPr>
                <w:rFonts w:cs="Calibri"/>
                <w:color w:val="000000"/>
                <w:sz w:val="20"/>
                <w:szCs w:val="20"/>
              </w:rPr>
            </w:pPr>
            <w:r w:rsidRPr="00A52AB8">
              <w:rPr>
                <w:rFonts w:cs="Calibri"/>
                <w:color w:val="000000" w:themeColor="text1"/>
                <w:sz w:val="20"/>
                <w:szCs w:val="20"/>
              </w:rPr>
              <w:t>2</w:t>
            </w:r>
          </w:p>
        </w:tc>
        <w:tc>
          <w:tcPr>
            <w:tcW w:w="176" w:type="pct"/>
            <w:shd w:val="clear" w:color="auto" w:fill="auto"/>
            <w:tcMar>
              <w:top w:w="43" w:type="dxa"/>
              <w:left w:w="15" w:type="dxa"/>
              <w:bottom w:w="43" w:type="dxa"/>
              <w:right w:w="15" w:type="dxa"/>
            </w:tcMar>
            <w:vAlign w:val="center"/>
            <w:hideMark/>
          </w:tcPr>
          <w:p w14:paraId="360E4498" w14:textId="77777777" w:rsidR="00EA5317" w:rsidRPr="00A52AB8" w:rsidRDefault="00EA5317" w:rsidP="002E5343">
            <w:pPr>
              <w:snapToGrid w:val="0"/>
              <w:spacing w:after="0" w:line="240" w:lineRule="auto"/>
              <w:jc w:val="center"/>
              <w:rPr>
                <w:rFonts w:cs="Calibri"/>
                <w:color w:val="000000"/>
                <w:sz w:val="20"/>
                <w:szCs w:val="20"/>
              </w:rPr>
            </w:pPr>
            <w:r w:rsidRPr="00A52AB8">
              <w:rPr>
                <w:rFonts w:cs="Calibri"/>
                <w:color w:val="000000" w:themeColor="text1"/>
                <w:sz w:val="20"/>
                <w:szCs w:val="20"/>
              </w:rPr>
              <w:t>1</w:t>
            </w:r>
          </w:p>
        </w:tc>
        <w:tc>
          <w:tcPr>
            <w:tcW w:w="175" w:type="pct"/>
            <w:shd w:val="clear" w:color="auto" w:fill="auto"/>
            <w:tcMar>
              <w:top w:w="43" w:type="dxa"/>
              <w:left w:w="15" w:type="dxa"/>
              <w:bottom w:w="43" w:type="dxa"/>
              <w:right w:w="15" w:type="dxa"/>
            </w:tcMar>
            <w:vAlign w:val="center"/>
            <w:hideMark/>
          </w:tcPr>
          <w:p w14:paraId="5C6A40FA" w14:textId="77777777" w:rsidR="00EA5317" w:rsidRPr="00A52AB8" w:rsidRDefault="00EA5317" w:rsidP="002E5343">
            <w:pPr>
              <w:snapToGrid w:val="0"/>
              <w:spacing w:after="0" w:line="240" w:lineRule="auto"/>
              <w:jc w:val="center"/>
              <w:rPr>
                <w:rFonts w:cs="Calibri"/>
                <w:color w:val="000000"/>
                <w:sz w:val="20"/>
                <w:szCs w:val="20"/>
              </w:rPr>
            </w:pPr>
            <w:r w:rsidRPr="00A52AB8">
              <w:rPr>
                <w:rFonts w:cs="Calibri"/>
                <w:color w:val="000000" w:themeColor="text1"/>
                <w:sz w:val="20"/>
                <w:szCs w:val="20"/>
              </w:rPr>
              <w:t>2</w:t>
            </w:r>
          </w:p>
        </w:tc>
        <w:tc>
          <w:tcPr>
            <w:tcW w:w="176" w:type="pct"/>
            <w:shd w:val="clear" w:color="auto" w:fill="auto"/>
            <w:tcMar>
              <w:top w:w="43" w:type="dxa"/>
              <w:left w:w="15" w:type="dxa"/>
              <w:bottom w:w="43" w:type="dxa"/>
              <w:right w:w="15" w:type="dxa"/>
            </w:tcMar>
            <w:vAlign w:val="center"/>
            <w:hideMark/>
          </w:tcPr>
          <w:p w14:paraId="734B94C7" w14:textId="77777777" w:rsidR="00EA5317" w:rsidRPr="00A52AB8" w:rsidRDefault="00EA5317" w:rsidP="002E5343">
            <w:pPr>
              <w:snapToGrid w:val="0"/>
              <w:spacing w:after="0" w:line="240" w:lineRule="auto"/>
              <w:jc w:val="center"/>
              <w:rPr>
                <w:rFonts w:cs="Calibri"/>
                <w:color w:val="000000"/>
                <w:sz w:val="20"/>
                <w:szCs w:val="20"/>
              </w:rPr>
            </w:pPr>
            <w:r w:rsidRPr="00A52AB8">
              <w:rPr>
                <w:rFonts w:cs="Calibri"/>
                <w:color w:val="000000" w:themeColor="text1"/>
                <w:sz w:val="20"/>
                <w:szCs w:val="20"/>
              </w:rPr>
              <w:t>1</w:t>
            </w:r>
          </w:p>
        </w:tc>
        <w:tc>
          <w:tcPr>
            <w:tcW w:w="175" w:type="pct"/>
            <w:shd w:val="clear" w:color="auto" w:fill="auto"/>
            <w:tcMar>
              <w:top w:w="43" w:type="dxa"/>
              <w:left w:w="15" w:type="dxa"/>
              <w:bottom w:w="43" w:type="dxa"/>
              <w:right w:w="15" w:type="dxa"/>
            </w:tcMar>
            <w:vAlign w:val="center"/>
            <w:hideMark/>
          </w:tcPr>
          <w:p w14:paraId="35978DF4" w14:textId="77777777" w:rsidR="00EA5317" w:rsidRPr="00A52AB8" w:rsidRDefault="00EA5317" w:rsidP="002E5343">
            <w:pPr>
              <w:snapToGrid w:val="0"/>
              <w:spacing w:after="0" w:line="240" w:lineRule="auto"/>
              <w:jc w:val="center"/>
              <w:rPr>
                <w:rFonts w:cs="Calibri"/>
                <w:color w:val="000000"/>
                <w:sz w:val="20"/>
                <w:szCs w:val="20"/>
              </w:rPr>
            </w:pPr>
            <w:r w:rsidRPr="00A52AB8">
              <w:rPr>
                <w:rFonts w:cs="Calibri"/>
                <w:color w:val="000000" w:themeColor="text1"/>
                <w:sz w:val="20"/>
                <w:szCs w:val="20"/>
              </w:rPr>
              <w:t>1</w:t>
            </w:r>
          </w:p>
        </w:tc>
        <w:tc>
          <w:tcPr>
            <w:tcW w:w="176" w:type="pct"/>
            <w:shd w:val="clear" w:color="auto" w:fill="auto"/>
            <w:tcMar>
              <w:top w:w="43" w:type="dxa"/>
              <w:left w:w="15" w:type="dxa"/>
              <w:bottom w:w="43" w:type="dxa"/>
              <w:right w:w="15" w:type="dxa"/>
            </w:tcMar>
            <w:vAlign w:val="center"/>
            <w:hideMark/>
          </w:tcPr>
          <w:p w14:paraId="122DA6A1" w14:textId="77777777" w:rsidR="00EA5317" w:rsidRPr="00A52AB8" w:rsidRDefault="00EA5317" w:rsidP="002E5343">
            <w:pPr>
              <w:snapToGrid w:val="0"/>
              <w:spacing w:after="0" w:line="240" w:lineRule="auto"/>
              <w:jc w:val="center"/>
              <w:rPr>
                <w:rFonts w:cs="Calibri"/>
                <w:color w:val="000000"/>
                <w:sz w:val="20"/>
                <w:szCs w:val="20"/>
              </w:rPr>
            </w:pPr>
            <w:r w:rsidRPr="00A52AB8">
              <w:rPr>
                <w:rFonts w:cs="Calibri"/>
                <w:color w:val="000000" w:themeColor="text1"/>
                <w:sz w:val="20"/>
                <w:szCs w:val="20"/>
              </w:rPr>
              <w:t>0</w:t>
            </w:r>
          </w:p>
        </w:tc>
        <w:tc>
          <w:tcPr>
            <w:tcW w:w="175" w:type="pct"/>
            <w:shd w:val="clear" w:color="auto" w:fill="auto"/>
            <w:tcMar>
              <w:top w:w="43" w:type="dxa"/>
              <w:left w:w="15" w:type="dxa"/>
              <w:bottom w:w="43" w:type="dxa"/>
              <w:right w:w="15" w:type="dxa"/>
            </w:tcMar>
            <w:vAlign w:val="center"/>
            <w:hideMark/>
          </w:tcPr>
          <w:p w14:paraId="7C5E31EC" w14:textId="77777777" w:rsidR="00EA5317" w:rsidRPr="00A52AB8" w:rsidRDefault="00EA5317" w:rsidP="002E5343">
            <w:pPr>
              <w:snapToGrid w:val="0"/>
              <w:spacing w:after="0" w:line="240" w:lineRule="auto"/>
              <w:jc w:val="center"/>
              <w:rPr>
                <w:rFonts w:cs="Calibri"/>
                <w:color w:val="000000"/>
                <w:sz w:val="20"/>
                <w:szCs w:val="20"/>
              </w:rPr>
            </w:pPr>
            <w:r w:rsidRPr="00A52AB8">
              <w:rPr>
                <w:rFonts w:cs="Calibri"/>
                <w:color w:val="000000" w:themeColor="text1"/>
                <w:sz w:val="20"/>
                <w:szCs w:val="20"/>
              </w:rPr>
              <w:t>1</w:t>
            </w:r>
          </w:p>
        </w:tc>
        <w:tc>
          <w:tcPr>
            <w:tcW w:w="176" w:type="pct"/>
            <w:shd w:val="clear" w:color="auto" w:fill="auto"/>
            <w:tcMar>
              <w:top w:w="43" w:type="dxa"/>
              <w:left w:w="15" w:type="dxa"/>
              <w:bottom w:w="43" w:type="dxa"/>
              <w:right w:w="15" w:type="dxa"/>
            </w:tcMar>
            <w:vAlign w:val="center"/>
            <w:hideMark/>
          </w:tcPr>
          <w:p w14:paraId="44AE16DB" w14:textId="77777777" w:rsidR="00EA5317" w:rsidRPr="00A52AB8" w:rsidRDefault="00EA5317" w:rsidP="002E5343">
            <w:pPr>
              <w:snapToGrid w:val="0"/>
              <w:spacing w:after="0" w:line="240" w:lineRule="auto"/>
              <w:jc w:val="center"/>
              <w:rPr>
                <w:rFonts w:cs="Calibri"/>
                <w:color w:val="000000"/>
                <w:sz w:val="20"/>
                <w:szCs w:val="20"/>
              </w:rPr>
            </w:pPr>
            <w:r w:rsidRPr="00A52AB8">
              <w:rPr>
                <w:rFonts w:cs="Calibri"/>
                <w:color w:val="000000" w:themeColor="text1"/>
                <w:sz w:val="20"/>
                <w:szCs w:val="20"/>
              </w:rPr>
              <w:t>0</w:t>
            </w:r>
          </w:p>
        </w:tc>
      </w:tr>
      <w:tr w:rsidR="00870213" w:rsidRPr="00A52AB8" w14:paraId="4ABA1150" w14:textId="77777777" w:rsidTr="00FE55DB">
        <w:tc>
          <w:tcPr>
            <w:tcW w:w="1846" w:type="pct"/>
            <w:shd w:val="clear" w:color="auto" w:fill="E7E6E6" w:themeFill="background2"/>
            <w:tcMar>
              <w:top w:w="43" w:type="dxa"/>
              <w:left w:w="15" w:type="dxa"/>
              <w:bottom w:w="43" w:type="dxa"/>
              <w:right w:w="15" w:type="dxa"/>
            </w:tcMar>
            <w:vAlign w:val="center"/>
            <w:hideMark/>
          </w:tcPr>
          <w:p w14:paraId="1FA3787D" w14:textId="77777777" w:rsidR="00EA5317" w:rsidRPr="00A52AB8" w:rsidRDefault="00EA5317" w:rsidP="002E5343">
            <w:pPr>
              <w:snapToGrid w:val="0"/>
              <w:spacing w:after="0" w:line="240" w:lineRule="auto"/>
              <w:jc w:val="center"/>
              <w:rPr>
                <w:rFonts w:cs="Calibri"/>
                <w:color w:val="000000"/>
                <w:sz w:val="20"/>
                <w:szCs w:val="20"/>
              </w:rPr>
            </w:pPr>
            <w:r w:rsidRPr="00A52AB8">
              <w:rPr>
                <w:rFonts w:cs="Calibri"/>
                <w:color w:val="000000" w:themeColor="text1"/>
                <w:sz w:val="20"/>
                <w:szCs w:val="20"/>
              </w:rPr>
              <w:t>TilePatchProjectionFlag</w:t>
            </w:r>
            <w:r w:rsidRPr="00A52AB8">
              <w:rPr>
                <w:rFonts w:cs="Calibri"/>
                <w:color w:val="000000"/>
                <w:sz w:val="20"/>
                <w:szCs w:val="20"/>
              </w:rPr>
              <w:t>[ tileID ][ p ]</w:t>
            </w:r>
          </w:p>
        </w:tc>
        <w:tc>
          <w:tcPr>
            <w:tcW w:w="175" w:type="pct"/>
            <w:shd w:val="clear" w:color="auto" w:fill="auto"/>
            <w:tcMar>
              <w:top w:w="43" w:type="dxa"/>
              <w:left w:w="15" w:type="dxa"/>
              <w:bottom w:w="43" w:type="dxa"/>
              <w:right w:w="15" w:type="dxa"/>
            </w:tcMar>
            <w:vAlign w:val="center"/>
            <w:hideMark/>
          </w:tcPr>
          <w:p w14:paraId="5D5205D6" w14:textId="77777777" w:rsidR="00EA5317" w:rsidRPr="00A52AB8" w:rsidRDefault="00EA5317" w:rsidP="002E5343">
            <w:pPr>
              <w:snapToGrid w:val="0"/>
              <w:spacing w:after="0" w:line="240" w:lineRule="auto"/>
              <w:jc w:val="center"/>
              <w:rPr>
                <w:rFonts w:cs="Calibri"/>
                <w:color w:val="000000"/>
                <w:sz w:val="20"/>
                <w:szCs w:val="20"/>
              </w:rPr>
            </w:pPr>
            <w:r w:rsidRPr="00A52AB8">
              <w:rPr>
                <w:rFonts w:cs="Calibri"/>
                <w:color w:val="000000" w:themeColor="text1"/>
                <w:sz w:val="20"/>
                <w:szCs w:val="20"/>
              </w:rPr>
              <w:t>0</w:t>
            </w:r>
          </w:p>
        </w:tc>
        <w:tc>
          <w:tcPr>
            <w:tcW w:w="175" w:type="pct"/>
            <w:shd w:val="clear" w:color="auto" w:fill="auto"/>
            <w:tcMar>
              <w:top w:w="43" w:type="dxa"/>
              <w:left w:w="15" w:type="dxa"/>
              <w:bottom w:w="43" w:type="dxa"/>
              <w:right w:w="15" w:type="dxa"/>
            </w:tcMar>
            <w:vAlign w:val="center"/>
            <w:hideMark/>
          </w:tcPr>
          <w:p w14:paraId="2EB6C5F3" w14:textId="77777777" w:rsidR="00EA5317" w:rsidRPr="00A52AB8" w:rsidRDefault="00EA5317" w:rsidP="002E5343">
            <w:pPr>
              <w:snapToGrid w:val="0"/>
              <w:spacing w:after="0" w:line="240" w:lineRule="auto"/>
              <w:jc w:val="center"/>
              <w:rPr>
                <w:rFonts w:cs="Calibri"/>
                <w:color w:val="000000"/>
                <w:sz w:val="20"/>
                <w:szCs w:val="20"/>
              </w:rPr>
            </w:pPr>
            <w:r w:rsidRPr="00A52AB8">
              <w:rPr>
                <w:rFonts w:cs="Calibri"/>
                <w:color w:val="000000" w:themeColor="text1"/>
                <w:sz w:val="20"/>
                <w:szCs w:val="20"/>
              </w:rPr>
              <w:t>0</w:t>
            </w:r>
          </w:p>
        </w:tc>
        <w:tc>
          <w:tcPr>
            <w:tcW w:w="176" w:type="pct"/>
            <w:shd w:val="clear" w:color="auto" w:fill="auto"/>
            <w:tcMar>
              <w:top w:w="43" w:type="dxa"/>
              <w:left w:w="15" w:type="dxa"/>
              <w:bottom w:w="43" w:type="dxa"/>
              <w:right w:w="15" w:type="dxa"/>
            </w:tcMar>
            <w:vAlign w:val="center"/>
            <w:hideMark/>
          </w:tcPr>
          <w:p w14:paraId="34D4C1A3" w14:textId="77777777" w:rsidR="00EA5317" w:rsidRPr="00A52AB8" w:rsidRDefault="00EA5317" w:rsidP="002E5343">
            <w:pPr>
              <w:snapToGrid w:val="0"/>
              <w:spacing w:after="0" w:line="240" w:lineRule="auto"/>
              <w:jc w:val="center"/>
              <w:rPr>
                <w:rFonts w:cs="Calibri"/>
                <w:color w:val="000000"/>
                <w:sz w:val="20"/>
                <w:szCs w:val="20"/>
              </w:rPr>
            </w:pPr>
            <w:r w:rsidRPr="00A52AB8">
              <w:rPr>
                <w:rFonts w:cs="Calibri"/>
                <w:color w:val="000000" w:themeColor="text1"/>
                <w:sz w:val="20"/>
                <w:szCs w:val="20"/>
              </w:rPr>
              <w:t>0</w:t>
            </w:r>
          </w:p>
        </w:tc>
        <w:tc>
          <w:tcPr>
            <w:tcW w:w="175" w:type="pct"/>
            <w:shd w:val="clear" w:color="auto" w:fill="auto"/>
            <w:tcMar>
              <w:top w:w="43" w:type="dxa"/>
              <w:left w:w="15" w:type="dxa"/>
              <w:bottom w:w="43" w:type="dxa"/>
              <w:right w:w="15" w:type="dxa"/>
            </w:tcMar>
            <w:vAlign w:val="center"/>
            <w:hideMark/>
          </w:tcPr>
          <w:p w14:paraId="61155331" w14:textId="77777777" w:rsidR="00EA5317" w:rsidRPr="00A52AB8" w:rsidRDefault="00EA5317" w:rsidP="002E5343">
            <w:pPr>
              <w:snapToGrid w:val="0"/>
              <w:spacing w:after="0" w:line="240" w:lineRule="auto"/>
              <w:jc w:val="center"/>
              <w:rPr>
                <w:rFonts w:cs="Calibri"/>
                <w:color w:val="000000"/>
                <w:sz w:val="20"/>
                <w:szCs w:val="20"/>
              </w:rPr>
            </w:pPr>
            <w:r w:rsidRPr="00A52AB8">
              <w:rPr>
                <w:rFonts w:cs="Calibri"/>
                <w:color w:val="000000" w:themeColor="text1"/>
                <w:sz w:val="20"/>
                <w:szCs w:val="20"/>
              </w:rPr>
              <w:t>1</w:t>
            </w:r>
          </w:p>
        </w:tc>
        <w:tc>
          <w:tcPr>
            <w:tcW w:w="176" w:type="pct"/>
            <w:shd w:val="clear" w:color="auto" w:fill="auto"/>
            <w:tcMar>
              <w:top w:w="43" w:type="dxa"/>
              <w:left w:w="15" w:type="dxa"/>
              <w:bottom w:w="43" w:type="dxa"/>
              <w:right w:w="15" w:type="dxa"/>
            </w:tcMar>
            <w:vAlign w:val="center"/>
            <w:hideMark/>
          </w:tcPr>
          <w:p w14:paraId="0A257BDC" w14:textId="77777777" w:rsidR="00EA5317" w:rsidRPr="00A52AB8" w:rsidRDefault="00EA5317" w:rsidP="002E5343">
            <w:pPr>
              <w:snapToGrid w:val="0"/>
              <w:spacing w:after="0" w:line="240" w:lineRule="auto"/>
              <w:jc w:val="center"/>
              <w:rPr>
                <w:rFonts w:cs="Calibri"/>
                <w:color w:val="000000"/>
                <w:sz w:val="20"/>
                <w:szCs w:val="20"/>
              </w:rPr>
            </w:pPr>
            <w:r w:rsidRPr="00A52AB8">
              <w:rPr>
                <w:rFonts w:cs="Calibri"/>
                <w:color w:val="000000" w:themeColor="text1"/>
                <w:sz w:val="20"/>
                <w:szCs w:val="20"/>
              </w:rPr>
              <w:t>1</w:t>
            </w:r>
          </w:p>
        </w:tc>
        <w:tc>
          <w:tcPr>
            <w:tcW w:w="175" w:type="pct"/>
            <w:shd w:val="clear" w:color="auto" w:fill="auto"/>
            <w:tcMar>
              <w:top w:w="43" w:type="dxa"/>
              <w:left w:w="15" w:type="dxa"/>
              <w:bottom w:w="43" w:type="dxa"/>
              <w:right w:w="15" w:type="dxa"/>
            </w:tcMar>
            <w:vAlign w:val="center"/>
            <w:hideMark/>
          </w:tcPr>
          <w:p w14:paraId="5B0D6077" w14:textId="77777777" w:rsidR="00EA5317" w:rsidRPr="00A52AB8" w:rsidRDefault="00EA5317" w:rsidP="002E5343">
            <w:pPr>
              <w:snapToGrid w:val="0"/>
              <w:spacing w:after="0" w:line="240" w:lineRule="auto"/>
              <w:jc w:val="center"/>
              <w:rPr>
                <w:rFonts w:cs="Calibri"/>
                <w:color w:val="000000"/>
                <w:sz w:val="20"/>
                <w:szCs w:val="20"/>
              </w:rPr>
            </w:pPr>
            <w:r w:rsidRPr="00A52AB8">
              <w:rPr>
                <w:rFonts w:cs="Calibri"/>
                <w:color w:val="000000" w:themeColor="text1"/>
                <w:sz w:val="20"/>
                <w:szCs w:val="20"/>
              </w:rPr>
              <w:t>1</w:t>
            </w:r>
          </w:p>
        </w:tc>
        <w:tc>
          <w:tcPr>
            <w:tcW w:w="176" w:type="pct"/>
            <w:shd w:val="clear" w:color="auto" w:fill="auto"/>
            <w:tcMar>
              <w:top w:w="43" w:type="dxa"/>
              <w:left w:w="15" w:type="dxa"/>
              <w:bottom w:w="43" w:type="dxa"/>
              <w:right w:w="15" w:type="dxa"/>
            </w:tcMar>
            <w:vAlign w:val="center"/>
            <w:hideMark/>
          </w:tcPr>
          <w:p w14:paraId="2B3AA241" w14:textId="77777777" w:rsidR="00EA5317" w:rsidRPr="00A52AB8" w:rsidRDefault="00EA5317" w:rsidP="002E5343">
            <w:pPr>
              <w:snapToGrid w:val="0"/>
              <w:spacing w:after="0" w:line="240" w:lineRule="auto"/>
              <w:jc w:val="center"/>
              <w:rPr>
                <w:rFonts w:cs="Calibri"/>
                <w:color w:val="000000"/>
                <w:sz w:val="20"/>
                <w:szCs w:val="20"/>
              </w:rPr>
            </w:pPr>
            <w:r w:rsidRPr="00A52AB8">
              <w:rPr>
                <w:rFonts w:cs="Calibri"/>
                <w:color w:val="000000" w:themeColor="text1"/>
                <w:sz w:val="20"/>
                <w:szCs w:val="20"/>
              </w:rPr>
              <w:t>0</w:t>
            </w:r>
          </w:p>
        </w:tc>
        <w:tc>
          <w:tcPr>
            <w:tcW w:w="175" w:type="pct"/>
            <w:shd w:val="clear" w:color="auto" w:fill="auto"/>
            <w:tcMar>
              <w:top w:w="43" w:type="dxa"/>
              <w:left w:w="15" w:type="dxa"/>
              <w:bottom w:w="43" w:type="dxa"/>
              <w:right w:w="15" w:type="dxa"/>
            </w:tcMar>
            <w:vAlign w:val="center"/>
            <w:hideMark/>
          </w:tcPr>
          <w:p w14:paraId="036F561C" w14:textId="77777777" w:rsidR="00EA5317" w:rsidRPr="00A52AB8" w:rsidRDefault="00EA5317" w:rsidP="002E5343">
            <w:pPr>
              <w:snapToGrid w:val="0"/>
              <w:spacing w:after="0" w:line="240" w:lineRule="auto"/>
              <w:jc w:val="center"/>
              <w:rPr>
                <w:rFonts w:cs="Calibri"/>
                <w:color w:val="000000"/>
                <w:sz w:val="20"/>
                <w:szCs w:val="20"/>
              </w:rPr>
            </w:pPr>
            <w:r w:rsidRPr="00A52AB8">
              <w:rPr>
                <w:rFonts w:cs="Calibri"/>
                <w:color w:val="000000" w:themeColor="text1"/>
                <w:sz w:val="20"/>
                <w:szCs w:val="20"/>
              </w:rPr>
              <w:t>0</w:t>
            </w:r>
          </w:p>
        </w:tc>
        <w:tc>
          <w:tcPr>
            <w:tcW w:w="176" w:type="pct"/>
            <w:shd w:val="clear" w:color="auto" w:fill="auto"/>
            <w:tcMar>
              <w:top w:w="43" w:type="dxa"/>
              <w:left w:w="15" w:type="dxa"/>
              <w:bottom w:w="43" w:type="dxa"/>
              <w:right w:w="15" w:type="dxa"/>
            </w:tcMar>
            <w:vAlign w:val="center"/>
            <w:hideMark/>
          </w:tcPr>
          <w:p w14:paraId="61471004" w14:textId="77777777" w:rsidR="00EA5317" w:rsidRPr="00A52AB8" w:rsidRDefault="00EA5317" w:rsidP="002E5343">
            <w:pPr>
              <w:snapToGrid w:val="0"/>
              <w:spacing w:after="0" w:line="240" w:lineRule="auto"/>
              <w:jc w:val="center"/>
              <w:rPr>
                <w:rFonts w:cs="Calibri"/>
                <w:color w:val="000000"/>
                <w:sz w:val="20"/>
                <w:szCs w:val="20"/>
              </w:rPr>
            </w:pPr>
            <w:r w:rsidRPr="00A52AB8">
              <w:rPr>
                <w:rFonts w:cs="Calibri"/>
                <w:color w:val="000000" w:themeColor="text1"/>
                <w:sz w:val="20"/>
                <w:szCs w:val="20"/>
              </w:rPr>
              <w:t>1</w:t>
            </w:r>
          </w:p>
        </w:tc>
        <w:tc>
          <w:tcPr>
            <w:tcW w:w="175" w:type="pct"/>
            <w:shd w:val="clear" w:color="auto" w:fill="auto"/>
            <w:tcMar>
              <w:top w:w="43" w:type="dxa"/>
              <w:left w:w="15" w:type="dxa"/>
              <w:bottom w:w="43" w:type="dxa"/>
              <w:right w:w="15" w:type="dxa"/>
            </w:tcMar>
            <w:vAlign w:val="center"/>
            <w:hideMark/>
          </w:tcPr>
          <w:p w14:paraId="7E3E4ADB" w14:textId="77777777" w:rsidR="00EA5317" w:rsidRPr="00A52AB8" w:rsidRDefault="00EA5317" w:rsidP="002E5343">
            <w:pPr>
              <w:snapToGrid w:val="0"/>
              <w:spacing w:after="0" w:line="240" w:lineRule="auto"/>
              <w:jc w:val="center"/>
              <w:rPr>
                <w:rFonts w:cs="Calibri"/>
                <w:color w:val="000000"/>
                <w:sz w:val="20"/>
                <w:szCs w:val="20"/>
              </w:rPr>
            </w:pPr>
            <w:r w:rsidRPr="00A52AB8">
              <w:rPr>
                <w:rFonts w:cs="Calibri"/>
                <w:color w:val="000000" w:themeColor="text1"/>
                <w:sz w:val="20"/>
                <w:szCs w:val="20"/>
              </w:rPr>
              <w:t>1</w:t>
            </w:r>
          </w:p>
        </w:tc>
        <w:tc>
          <w:tcPr>
            <w:tcW w:w="175" w:type="pct"/>
            <w:shd w:val="clear" w:color="auto" w:fill="auto"/>
            <w:tcMar>
              <w:top w:w="43" w:type="dxa"/>
              <w:left w:w="15" w:type="dxa"/>
              <w:bottom w:w="43" w:type="dxa"/>
              <w:right w:w="15" w:type="dxa"/>
            </w:tcMar>
            <w:vAlign w:val="center"/>
            <w:hideMark/>
          </w:tcPr>
          <w:p w14:paraId="36CAB8DB" w14:textId="77777777" w:rsidR="00EA5317" w:rsidRPr="00A52AB8" w:rsidRDefault="00EA5317" w:rsidP="002E5343">
            <w:pPr>
              <w:snapToGrid w:val="0"/>
              <w:spacing w:after="0" w:line="240" w:lineRule="auto"/>
              <w:jc w:val="center"/>
              <w:rPr>
                <w:rFonts w:cs="Calibri"/>
                <w:color w:val="000000"/>
                <w:sz w:val="20"/>
                <w:szCs w:val="20"/>
              </w:rPr>
            </w:pPr>
            <w:r w:rsidRPr="00A52AB8">
              <w:rPr>
                <w:rFonts w:cs="Calibri"/>
                <w:color w:val="000000" w:themeColor="text1"/>
                <w:sz w:val="20"/>
                <w:szCs w:val="20"/>
              </w:rPr>
              <w:t>0</w:t>
            </w:r>
          </w:p>
        </w:tc>
        <w:tc>
          <w:tcPr>
            <w:tcW w:w="176" w:type="pct"/>
            <w:shd w:val="clear" w:color="auto" w:fill="auto"/>
            <w:tcMar>
              <w:top w:w="43" w:type="dxa"/>
              <w:left w:w="15" w:type="dxa"/>
              <w:bottom w:w="43" w:type="dxa"/>
              <w:right w:w="15" w:type="dxa"/>
            </w:tcMar>
            <w:vAlign w:val="center"/>
            <w:hideMark/>
          </w:tcPr>
          <w:p w14:paraId="1A2288CC" w14:textId="77777777" w:rsidR="00EA5317" w:rsidRPr="00A52AB8" w:rsidRDefault="00EA5317" w:rsidP="002E5343">
            <w:pPr>
              <w:snapToGrid w:val="0"/>
              <w:spacing w:after="0" w:line="240" w:lineRule="auto"/>
              <w:jc w:val="center"/>
              <w:rPr>
                <w:rFonts w:cs="Calibri"/>
                <w:color w:val="000000"/>
                <w:sz w:val="20"/>
                <w:szCs w:val="20"/>
              </w:rPr>
            </w:pPr>
            <w:r w:rsidRPr="00A52AB8">
              <w:rPr>
                <w:rFonts w:cs="Calibri"/>
                <w:color w:val="000000" w:themeColor="text1"/>
                <w:sz w:val="20"/>
                <w:szCs w:val="20"/>
              </w:rPr>
              <w:t>0</w:t>
            </w:r>
          </w:p>
        </w:tc>
        <w:tc>
          <w:tcPr>
            <w:tcW w:w="175" w:type="pct"/>
            <w:shd w:val="clear" w:color="auto" w:fill="auto"/>
            <w:tcMar>
              <w:top w:w="43" w:type="dxa"/>
              <w:left w:w="15" w:type="dxa"/>
              <w:bottom w:w="43" w:type="dxa"/>
              <w:right w:w="15" w:type="dxa"/>
            </w:tcMar>
            <w:vAlign w:val="center"/>
            <w:hideMark/>
          </w:tcPr>
          <w:p w14:paraId="39E6A86A" w14:textId="77777777" w:rsidR="00EA5317" w:rsidRPr="00A52AB8" w:rsidRDefault="00EA5317" w:rsidP="002E5343">
            <w:pPr>
              <w:snapToGrid w:val="0"/>
              <w:spacing w:after="0" w:line="240" w:lineRule="auto"/>
              <w:jc w:val="center"/>
              <w:rPr>
                <w:rFonts w:cs="Calibri"/>
                <w:color w:val="000000"/>
                <w:sz w:val="20"/>
                <w:szCs w:val="20"/>
              </w:rPr>
            </w:pPr>
            <w:r w:rsidRPr="00A52AB8">
              <w:rPr>
                <w:rFonts w:cs="Calibri"/>
                <w:color w:val="000000" w:themeColor="text1"/>
                <w:sz w:val="20"/>
                <w:szCs w:val="20"/>
              </w:rPr>
              <w:t>1</w:t>
            </w:r>
          </w:p>
        </w:tc>
        <w:tc>
          <w:tcPr>
            <w:tcW w:w="176" w:type="pct"/>
            <w:shd w:val="clear" w:color="auto" w:fill="auto"/>
            <w:tcMar>
              <w:top w:w="43" w:type="dxa"/>
              <w:left w:w="15" w:type="dxa"/>
              <w:bottom w:w="43" w:type="dxa"/>
              <w:right w:w="15" w:type="dxa"/>
            </w:tcMar>
            <w:vAlign w:val="center"/>
            <w:hideMark/>
          </w:tcPr>
          <w:p w14:paraId="60D7CE16" w14:textId="77777777" w:rsidR="00EA5317" w:rsidRPr="00A52AB8" w:rsidRDefault="00EA5317" w:rsidP="002E5343">
            <w:pPr>
              <w:snapToGrid w:val="0"/>
              <w:spacing w:after="0" w:line="240" w:lineRule="auto"/>
              <w:jc w:val="center"/>
              <w:rPr>
                <w:rFonts w:cs="Calibri"/>
                <w:color w:val="000000"/>
                <w:sz w:val="20"/>
                <w:szCs w:val="20"/>
              </w:rPr>
            </w:pPr>
            <w:r w:rsidRPr="00A52AB8">
              <w:rPr>
                <w:rFonts w:cs="Calibri"/>
                <w:color w:val="000000" w:themeColor="text1"/>
                <w:sz w:val="20"/>
                <w:szCs w:val="20"/>
              </w:rPr>
              <w:t>1</w:t>
            </w:r>
          </w:p>
        </w:tc>
        <w:tc>
          <w:tcPr>
            <w:tcW w:w="175" w:type="pct"/>
            <w:shd w:val="clear" w:color="auto" w:fill="auto"/>
            <w:tcMar>
              <w:top w:w="43" w:type="dxa"/>
              <w:left w:w="15" w:type="dxa"/>
              <w:bottom w:w="43" w:type="dxa"/>
              <w:right w:w="15" w:type="dxa"/>
            </w:tcMar>
            <w:vAlign w:val="center"/>
            <w:hideMark/>
          </w:tcPr>
          <w:p w14:paraId="520A0B31" w14:textId="77777777" w:rsidR="00EA5317" w:rsidRPr="00A52AB8" w:rsidRDefault="00EA5317" w:rsidP="002E5343">
            <w:pPr>
              <w:snapToGrid w:val="0"/>
              <w:spacing w:after="0" w:line="240" w:lineRule="auto"/>
              <w:jc w:val="center"/>
              <w:rPr>
                <w:rFonts w:cs="Calibri"/>
                <w:color w:val="000000"/>
                <w:sz w:val="20"/>
                <w:szCs w:val="20"/>
              </w:rPr>
            </w:pPr>
            <w:r w:rsidRPr="00A52AB8">
              <w:rPr>
                <w:rFonts w:cs="Calibri"/>
                <w:color w:val="000000" w:themeColor="text1"/>
                <w:sz w:val="20"/>
                <w:szCs w:val="20"/>
              </w:rPr>
              <w:t>0</w:t>
            </w:r>
          </w:p>
        </w:tc>
        <w:tc>
          <w:tcPr>
            <w:tcW w:w="176" w:type="pct"/>
            <w:shd w:val="clear" w:color="auto" w:fill="auto"/>
            <w:tcMar>
              <w:top w:w="43" w:type="dxa"/>
              <w:left w:w="15" w:type="dxa"/>
              <w:bottom w:w="43" w:type="dxa"/>
              <w:right w:w="15" w:type="dxa"/>
            </w:tcMar>
            <w:vAlign w:val="center"/>
            <w:hideMark/>
          </w:tcPr>
          <w:p w14:paraId="665C3189" w14:textId="77777777" w:rsidR="00EA5317" w:rsidRPr="00A52AB8" w:rsidRDefault="00EA5317" w:rsidP="002E5343">
            <w:pPr>
              <w:snapToGrid w:val="0"/>
              <w:spacing w:after="0" w:line="240" w:lineRule="auto"/>
              <w:jc w:val="center"/>
              <w:rPr>
                <w:rFonts w:cs="Calibri"/>
                <w:color w:val="000000"/>
                <w:sz w:val="20"/>
                <w:szCs w:val="20"/>
              </w:rPr>
            </w:pPr>
            <w:r w:rsidRPr="00A52AB8">
              <w:rPr>
                <w:rFonts w:cs="Calibri"/>
                <w:color w:val="000000" w:themeColor="text1"/>
                <w:sz w:val="20"/>
                <w:szCs w:val="20"/>
              </w:rPr>
              <w:t>0</w:t>
            </w:r>
          </w:p>
        </w:tc>
        <w:tc>
          <w:tcPr>
            <w:tcW w:w="175" w:type="pct"/>
            <w:shd w:val="clear" w:color="auto" w:fill="auto"/>
            <w:tcMar>
              <w:top w:w="43" w:type="dxa"/>
              <w:left w:w="15" w:type="dxa"/>
              <w:bottom w:w="43" w:type="dxa"/>
              <w:right w:w="15" w:type="dxa"/>
            </w:tcMar>
            <w:vAlign w:val="center"/>
            <w:hideMark/>
          </w:tcPr>
          <w:p w14:paraId="79E553B2" w14:textId="77777777" w:rsidR="00EA5317" w:rsidRPr="00A52AB8" w:rsidRDefault="00EA5317" w:rsidP="002E5343">
            <w:pPr>
              <w:snapToGrid w:val="0"/>
              <w:spacing w:after="0" w:line="240" w:lineRule="auto"/>
              <w:jc w:val="center"/>
              <w:rPr>
                <w:rFonts w:cs="Calibri"/>
                <w:color w:val="000000"/>
                <w:sz w:val="20"/>
                <w:szCs w:val="20"/>
              </w:rPr>
            </w:pPr>
            <w:r w:rsidRPr="00A52AB8">
              <w:rPr>
                <w:rFonts w:cs="Calibri"/>
                <w:color w:val="000000" w:themeColor="text1"/>
                <w:sz w:val="20"/>
                <w:szCs w:val="20"/>
              </w:rPr>
              <w:t>1</w:t>
            </w:r>
          </w:p>
        </w:tc>
        <w:tc>
          <w:tcPr>
            <w:tcW w:w="176" w:type="pct"/>
            <w:shd w:val="clear" w:color="auto" w:fill="auto"/>
            <w:tcMar>
              <w:top w:w="43" w:type="dxa"/>
              <w:left w:w="15" w:type="dxa"/>
              <w:bottom w:w="43" w:type="dxa"/>
              <w:right w:w="15" w:type="dxa"/>
            </w:tcMar>
            <w:vAlign w:val="center"/>
            <w:hideMark/>
          </w:tcPr>
          <w:p w14:paraId="6DC8C853" w14:textId="77777777" w:rsidR="00EA5317" w:rsidRPr="00A52AB8" w:rsidRDefault="00EA5317" w:rsidP="002E5343">
            <w:pPr>
              <w:snapToGrid w:val="0"/>
              <w:spacing w:after="0" w:line="240" w:lineRule="auto"/>
              <w:jc w:val="center"/>
              <w:rPr>
                <w:rFonts w:cs="Calibri"/>
                <w:color w:val="000000"/>
                <w:sz w:val="20"/>
                <w:szCs w:val="20"/>
              </w:rPr>
            </w:pPr>
            <w:r w:rsidRPr="00A52AB8">
              <w:rPr>
                <w:rFonts w:cs="Calibri"/>
                <w:color w:val="000000" w:themeColor="text1"/>
                <w:sz w:val="20"/>
                <w:szCs w:val="20"/>
              </w:rPr>
              <w:t>1</w:t>
            </w:r>
          </w:p>
        </w:tc>
      </w:tr>
      <w:tr w:rsidR="00870213" w:rsidRPr="00A52AB8" w14:paraId="643DA4EA" w14:textId="77777777" w:rsidTr="00FE55DB">
        <w:tc>
          <w:tcPr>
            <w:tcW w:w="1846" w:type="pct"/>
            <w:shd w:val="clear" w:color="auto" w:fill="E7E6E6" w:themeFill="background2"/>
            <w:tcMar>
              <w:top w:w="43" w:type="dxa"/>
              <w:left w:w="15" w:type="dxa"/>
              <w:bottom w:w="43" w:type="dxa"/>
              <w:right w:w="15" w:type="dxa"/>
            </w:tcMar>
            <w:vAlign w:val="center"/>
            <w:hideMark/>
          </w:tcPr>
          <w:p w14:paraId="5F36F8F6" w14:textId="77777777" w:rsidR="00EA5317" w:rsidRPr="00A52AB8" w:rsidRDefault="00EA5317" w:rsidP="002E5343">
            <w:pPr>
              <w:snapToGrid w:val="0"/>
              <w:spacing w:after="0" w:line="240" w:lineRule="auto"/>
              <w:jc w:val="center"/>
              <w:rPr>
                <w:rFonts w:cs="Calibri"/>
                <w:color w:val="000000"/>
                <w:sz w:val="20"/>
                <w:szCs w:val="20"/>
              </w:rPr>
            </w:pPr>
            <w:r w:rsidRPr="00A52AB8">
              <w:rPr>
                <w:rFonts w:cs="Calibri"/>
                <w:color w:val="000000" w:themeColor="text1"/>
                <w:sz w:val="20"/>
                <w:szCs w:val="20"/>
              </w:rPr>
              <w:t>TilePatch45DegreeMode</w:t>
            </w:r>
            <w:r w:rsidRPr="00A52AB8">
              <w:rPr>
                <w:rFonts w:cs="Calibri"/>
                <w:color w:val="000000"/>
                <w:sz w:val="20"/>
                <w:szCs w:val="20"/>
              </w:rPr>
              <w:t>[ tileID ][ p ]</w:t>
            </w:r>
          </w:p>
        </w:tc>
        <w:tc>
          <w:tcPr>
            <w:tcW w:w="175" w:type="pct"/>
            <w:shd w:val="clear" w:color="auto" w:fill="auto"/>
            <w:tcMar>
              <w:top w:w="43" w:type="dxa"/>
              <w:left w:w="15" w:type="dxa"/>
              <w:bottom w:w="43" w:type="dxa"/>
              <w:right w:w="15" w:type="dxa"/>
            </w:tcMar>
            <w:vAlign w:val="center"/>
            <w:hideMark/>
          </w:tcPr>
          <w:p w14:paraId="5AF9D978" w14:textId="77777777" w:rsidR="00EA5317" w:rsidRPr="00A52AB8" w:rsidRDefault="00EA5317" w:rsidP="002E5343">
            <w:pPr>
              <w:snapToGrid w:val="0"/>
              <w:spacing w:after="0" w:line="240" w:lineRule="auto"/>
              <w:jc w:val="center"/>
              <w:rPr>
                <w:rFonts w:cs="Calibri"/>
                <w:color w:val="000000"/>
                <w:sz w:val="20"/>
                <w:szCs w:val="20"/>
              </w:rPr>
            </w:pPr>
            <w:r w:rsidRPr="00A52AB8">
              <w:rPr>
                <w:rFonts w:cs="Calibri"/>
                <w:color w:val="000000" w:themeColor="text1"/>
                <w:sz w:val="20"/>
                <w:szCs w:val="20"/>
              </w:rPr>
              <w:t>0</w:t>
            </w:r>
          </w:p>
        </w:tc>
        <w:tc>
          <w:tcPr>
            <w:tcW w:w="175" w:type="pct"/>
            <w:shd w:val="clear" w:color="auto" w:fill="auto"/>
            <w:tcMar>
              <w:top w:w="43" w:type="dxa"/>
              <w:left w:w="15" w:type="dxa"/>
              <w:bottom w:w="43" w:type="dxa"/>
              <w:right w:w="15" w:type="dxa"/>
            </w:tcMar>
            <w:vAlign w:val="center"/>
            <w:hideMark/>
          </w:tcPr>
          <w:p w14:paraId="3E18C435" w14:textId="77777777" w:rsidR="00EA5317" w:rsidRPr="00A52AB8" w:rsidRDefault="00EA5317" w:rsidP="002E5343">
            <w:pPr>
              <w:snapToGrid w:val="0"/>
              <w:spacing w:after="0" w:line="240" w:lineRule="auto"/>
              <w:jc w:val="center"/>
              <w:rPr>
                <w:rFonts w:cs="Calibri"/>
                <w:color w:val="000000"/>
                <w:sz w:val="20"/>
                <w:szCs w:val="20"/>
              </w:rPr>
            </w:pPr>
            <w:r w:rsidRPr="00A52AB8">
              <w:rPr>
                <w:rFonts w:cs="Calibri"/>
                <w:color w:val="000000" w:themeColor="text1"/>
                <w:sz w:val="20"/>
                <w:szCs w:val="20"/>
              </w:rPr>
              <w:t>0</w:t>
            </w:r>
          </w:p>
        </w:tc>
        <w:tc>
          <w:tcPr>
            <w:tcW w:w="176" w:type="pct"/>
            <w:shd w:val="clear" w:color="auto" w:fill="auto"/>
            <w:tcMar>
              <w:top w:w="43" w:type="dxa"/>
              <w:left w:w="15" w:type="dxa"/>
              <w:bottom w:w="43" w:type="dxa"/>
              <w:right w:w="15" w:type="dxa"/>
            </w:tcMar>
            <w:vAlign w:val="center"/>
            <w:hideMark/>
          </w:tcPr>
          <w:p w14:paraId="572C0982" w14:textId="77777777" w:rsidR="00EA5317" w:rsidRPr="00A52AB8" w:rsidRDefault="00EA5317" w:rsidP="002E5343">
            <w:pPr>
              <w:snapToGrid w:val="0"/>
              <w:spacing w:after="0" w:line="240" w:lineRule="auto"/>
              <w:jc w:val="center"/>
              <w:rPr>
                <w:rFonts w:cs="Calibri"/>
                <w:color w:val="000000"/>
                <w:sz w:val="20"/>
                <w:szCs w:val="20"/>
              </w:rPr>
            </w:pPr>
            <w:r w:rsidRPr="00A52AB8">
              <w:rPr>
                <w:rFonts w:cs="Calibri"/>
                <w:color w:val="000000" w:themeColor="text1"/>
                <w:sz w:val="20"/>
                <w:szCs w:val="20"/>
              </w:rPr>
              <w:t>0</w:t>
            </w:r>
          </w:p>
        </w:tc>
        <w:tc>
          <w:tcPr>
            <w:tcW w:w="175" w:type="pct"/>
            <w:shd w:val="clear" w:color="auto" w:fill="auto"/>
            <w:tcMar>
              <w:top w:w="43" w:type="dxa"/>
              <w:left w:w="15" w:type="dxa"/>
              <w:bottom w:w="43" w:type="dxa"/>
              <w:right w:w="15" w:type="dxa"/>
            </w:tcMar>
            <w:vAlign w:val="center"/>
            <w:hideMark/>
          </w:tcPr>
          <w:p w14:paraId="4F759B6A" w14:textId="77777777" w:rsidR="00EA5317" w:rsidRPr="00A52AB8" w:rsidRDefault="00EA5317" w:rsidP="002E5343">
            <w:pPr>
              <w:snapToGrid w:val="0"/>
              <w:spacing w:after="0" w:line="240" w:lineRule="auto"/>
              <w:jc w:val="center"/>
              <w:rPr>
                <w:rFonts w:cs="Calibri"/>
                <w:color w:val="000000"/>
                <w:sz w:val="20"/>
                <w:szCs w:val="20"/>
              </w:rPr>
            </w:pPr>
            <w:r w:rsidRPr="00A52AB8">
              <w:rPr>
                <w:rFonts w:cs="Calibri"/>
                <w:color w:val="000000" w:themeColor="text1"/>
                <w:sz w:val="20"/>
                <w:szCs w:val="20"/>
              </w:rPr>
              <w:t>0</w:t>
            </w:r>
          </w:p>
        </w:tc>
        <w:tc>
          <w:tcPr>
            <w:tcW w:w="176" w:type="pct"/>
            <w:shd w:val="clear" w:color="auto" w:fill="auto"/>
            <w:tcMar>
              <w:top w:w="43" w:type="dxa"/>
              <w:left w:w="15" w:type="dxa"/>
              <w:bottom w:w="43" w:type="dxa"/>
              <w:right w:w="15" w:type="dxa"/>
            </w:tcMar>
            <w:vAlign w:val="center"/>
            <w:hideMark/>
          </w:tcPr>
          <w:p w14:paraId="6DD80D84" w14:textId="77777777" w:rsidR="00EA5317" w:rsidRPr="00A52AB8" w:rsidRDefault="00EA5317" w:rsidP="002E5343">
            <w:pPr>
              <w:snapToGrid w:val="0"/>
              <w:spacing w:after="0" w:line="240" w:lineRule="auto"/>
              <w:jc w:val="center"/>
              <w:rPr>
                <w:rFonts w:cs="Calibri"/>
                <w:color w:val="000000"/>
                <w:sz w:val="20"/>
                <w:szCs w:val="20"/>
              </w:rPr>
            </w:pPr>
            <w:r w:rsidRPr="00A52AB8">
              <w:rPr>
                <w:rFonts w:cs="Calibri"/>
                <w:color w:val="000000" w:themeColor="text1"/>
                <w:sz w:val="20"/>
                <w:szCs w:val="20"/>
              </w:rPr>
              <w:t>0</w:t>
            </w:r>
          </w:p>
        </w:tc>
        <w:tc>
          <w:tcPr>
            <w:tcW w:w="175" w:type="pct"/>
            <w:shd w:val="clear" w:color="auto" w:fill="auto"/>
            <w:tcMar>
              <w:top w:w="43" w:type="dxa"/>
              <w:left w:w="15" w:type="dxa"/>
              <w:bottom w:w="43" w:type="dxa"/>
              <w:right w:w="15" w:type="dxa"/>
            </w:tcMar>
            <w:vAlign w:val="center"/>
            <w:hideMark/>
          </w:tcPr>
          <w:p w14:paraId="148B8342" w14:textId="77777777" w:rsidR="00EA5317" w:rsidRPr="00A52AB8" w:rsidRDefault="00EA5317" w:rsidP="002E5343">
            <w:pPr>
              <w:snapToGrid w:val="0"/>
              <w:spacing w:after="0" w:line="240" w:lineRule="auto"/>
              <w:jc w:val="center"/>
              <w:rPr>
                <w:rFonts w:cs="Calibri"/>
                <w:color w:val="000000"/>
                <w:sz w:val="20"/>
                <w:szCs w:val="20"/>
              </w:rPr>
            </w:pPr>
            <w:r w:rsidRPr="00A52AB8">
              <w:rPr>
                <w:rFonts w:cs="Calibri"/>
                <w:color w:val="000000" w:themeColor="text1"/>
                <w:sz w:val="20"/>
                <w:szCs w:val="20"/>
              </w:rPr>
              <w:t>0</w:t>
            </w:r>
          </w:p>
        </w:tc>
        <w:tc>
          <w:tcPr>
            <w:tcW w:w="176" w:type="pct"/>
            <w:shd w:val="clear" w:color="auto" w:fill="auto"/>
            <w:tcMar>
              <w:top w:w="43" w:type="dxa"/>
              <w:left w:w="15" w:type="dxa"/>
              <w:bottom w:w="43" w:type="dxa"/>
              <w:right w:w="15" w:type="dxa"/>
            </w:tcMar>
            <w:vAlign w:val="center"/>
            <w:hideMark/>
          </w:tcPr>
          <w:p w14:paraId="473729A8" w14:textId="77777777" w:rsidR="00EA5317" w:rsidRPr="00A52AB8" w:rsidRDefault="00EA5317" w:rsidP="002E5343">
            <w:pPr>
              <w:snapToGrid w:val="0"/>
              <w:spacing w:after="0" w:line="240" w:lineRule="auto"/>
              <w:jc w:val="center"/>
              <w:rPr>
                <w:rFonts w:cs="Calibri"/>
                <w:color w:val="000000"/>
                <w:sz w:val="20"/>
                <w:szCs w:val="20"/>
              </w:rPr>
            </w:pPr>
            <w:r w:rsidRPr="00A52AB8">
              <w:rPr>
                <w:rFonts w:cs="Calibri"/>
                <w:color w:val="000000" w:themeColor="text1"/>
                <w:sz w:val="20"/>
                <w:szCs w:val="20"/>
              </w:rPr>
              <w:t>1</w:t>
            </w:r>
          </w:p>
        </w:tc>
        <w:tc>
          <w:tcPr>
            <w:tcW w:w="175" w:type="pct"/>
            <w:shd w:val="clear" w:color="auto" w:fill="auto"/>
            <w:tcMar>
              <w:top w:w="43" w:type="dxa"/>
              <w:left w:w="15" w:type="dxa"/>
              <w:bottom w:w="43" w:type="dxa"/>
              <w:right w:w="15" w:type="dxa"/>
            </w:tcMar>
            <w:vAlign w:val="center"/>
            <w:hideMark/>
          </w:tcPr>
          <w:p w14:paraId="2A45F217" w14:textId="77777777" w:rsidR="00EA5317" w:rsidRPr="00A52AB8" w:rsidRDefault="00EA5317" w:rsidP="002E5343">
            <w:pPr>
              <w:snapToGrid w:val="0"/>
              <w:spacing w:after="0" w:line="240" w:lineRule="auto"/>
              <w:jc w:val="center"/>
              <w:rPr>
                <w:rFonts w:cs="Calibri"/>
                <w:color w:val="000000"/>
                <w:sz w:val="20"/>
                <w:szCs w:val="20"/>
              </w:rPr>
            </w:pPr>
            <w:r w:rsidRPr="00A52AB8">
              <w:rPr>
                <w:rFonts w:cs="Calibri"/>
                <w:color w:val="000000" w:themeColor="text1"/>
                <w:sz w:val="20"/>
                <w:szCs w:val="20"/>
              </w:rPr>
              <w:t>1</w:t>
            </w:r>
          </w:p>
        </w:tc>
        <w:tc>
          <w:tcPr>
            <w:tcW w:w="176" w:type="pct"/>
            <w:shd w:val="clear" w:color="auto" w:fill="auto"/>
            <w:tcMar>
              <w:top w:w="43" w:type="dxa"/>
              <w:left w:w="15" w:type="dxa"/>
              <w:bottom w:w="43" w:type="dxa"/>
              <w:right w:w="15" w:type="dxa"/>
            </w:tcMar>
            <w:vAlign w:val="center"/>
            <w:hideMark/>
          </w:tcPr>
          <w:p w14:paraId="586530F3" w14:textId="77777777" w:rsidR="00EA5317" w:rsidRPr="00A52AB8" w:rsidRDefault="00EA5317" w:rsidP="002E5343">
            <w:pPr>
              <w:snapToGrid w:val="0"/>
              <w:spacing w:after="0" w:line="240" w:lineRule="auto"/>
              <w:jc w:val="center"/>
              <w:rPr>
                <w:rFonts w:cs="Calibri"/>
                <w:color w:val="000000"/>
                <w:sz w:val="20"/>
                <w:szCs w:val="20"/>
              </w:rPr>
            </w:pPr>
            <w:r w:rsidRPr="00A52AB8">
              <w:rPr>
                <w:rFonts w:cs="Calibri"/>
                <w:color w:val="000000" w:themeColor="text1"/>
                <w:sz w:val="20"/>
                <w:szCs w:val="20"/>
              </w:rPr>
              <w:t>1</w:t>
            </w:r>
          </w:p>
        </w:tc>
        <w:tc>
          <w:tcPr>
            <w:tcW w:w="175" w:type="pct"/>
            <w:shd w:val="clear" w:color="auto" w:fill="auto"/>
            <w:tcMar>
              <w:top w:w="43" w:type="dxa"/>
              <w:left w:w="15" w:type="dxa"/>
              <w:bottom w:w="43" w:type="dxa"/>
              <w:right w:w="15" w:type="dxa"/>
            </w:tcMar>
            <w:vAlign w:val="center"/>
            <w:hideMark/>
          </w:tcPr>
          <w:p w14:paraId="3D13B6E4" w14:textId="77777777" w:rsidR="00EA5317" w:rsidRPr="00A52AB8" w:rsidRDefault="00EA5317" w:rsidP="002E5343">
            <w:pPr>
              <w:snapToGrid w:val="0"/>
              <w:spacing w:after="0" w:line="240" w:lineRule="auto"/>
              <w:jc w:val="center"/>
              <w:rPr>
                <w:rFonts w:cs="Calibri"/>
                <w:color w:val="000000"/>
                <w:sz w:val="20"/>
                <w:szCs w:val="20"/>
              </w:rPr>
            </w:pPr>
            <w:r w:rsidRPr="00A52AB8">
              <w:rPr>
                <w:rFonts w:cs="Calibri"/>
                <w:color w:val="000000" w:themeColor="text1"/>
                <w:sz w:val="20"/>
                <w:szCs w:val="20"/>
              </w:rPr>
              <w:t>1</w:t>
            </w:r>
          </w:p>
        </w:tc>
        <w:tc>
          <w:tcPr>
            <w:tcW w:w="175" w:type="pct"/>
            <w:shd w:val="clear" w:color="auto" w:fill="auto"/>
            <w:tcMar>
              <w:top w:w="43" w:type="dxa"/>
              <w:left w:w="15" w:type="dxa"/>
              <w:bottom w:w="43" w:type="dxa"/>
              <w:right w:w="15" w:type="dxa"/>
            </w:tcMar>
            <w:vAlign w:val="center"/>
            <w:hideMark/>
          </w:tcPr>
          <w:p w14:paraId="385C0FC9" w14:textId="77777777" w:rsidR="00EA5317" w:rsidRPr="00A52AB8" w:rsidRDefault="00EA5317" w:rsidP="002E5343">
            <w:pPr>
              <w:snapToGrid w:val="0"/>
              <w:spacing w:after="0" w:line="240" w:lineRule="auto"/>
              <w:jc w:val="center"/>
              <w:rPr>
                <w:rFonts w:cs="Calibri"/>
                <w:color w:val="000000"/>
                <w:sz w:val="20"/>
                <w:szCs w:val="20"/>
              </w:rPr>
            </w:pPr>
            <w:r w:rsidRPr="00A52AB8">
              <w:rPr>
                <w:rFonts w:cs="Calibri"/>
                <w:color w:val="000000" w:themeColor="text1"/>
                <w:sz w:val="20"/>
                <w:szCs w:val="20"/>
              </w:rPr>
              <w:t>2</w:t>
            </w:r>
          </w:p>
        </w:tc>
        <w:tc>
          <w:tcPr>
            <w:tcW w:w="176" w:type="pct"/>
            <w:shd w:val="clear" w:color="auto" w:fill="auto"/>
            <w:tcMar>
              <w:top w:w="43" w:type="dxa"/>
              <w:left w:w="15" w:type="dxa"/>
              <w:bottom w:w="43" w:type="dxa"/>
              <w:right w:w="15" w:type="dxa"/>
            </w:tcMar>
            <w:vAlign w:val="center"/>
            <w:hideMark/>
          </w:tcPr>
          <w:p w14:paraId="3ED66C62" w14:textId="77777777" w:rsidR="00EA5317" w:rsidRPr="00A52AB8" w:rsidRDefault="00EA5317" w:rsidP="002E5343">
            <w:pPr>
              <w:snapToGrid w:val="0"/>
              <w:spacing w:after="0" w:line="240" w:lineRule="auto"/>
              <w:jc w:val="center"/>
              <w:rPr>
                <w:rFonts w:cs="Calibri"/>
                <w:color w:val="000000"/>
                <w:sz w:val="20"/>
                <w:szCs w:val="20"/>
              </w:rPr>
            </w:pPr>
            <w:r w:rsidRPr="00A52AB8">
              <w:rPr>
                <w:rFonts w:cs="Calibri"/>
                <w:color w:val="000000" w:themeColor="text1"/>
                <w:sz w:val="20"/>
                <w:szCs w:val="20"/>
              </w:rPr>
              <w:t>2</w:t>
            </w:r>
          </w:p>
        </w:tc>
        <w:tc>
          <w:tcPr>
            <w:tcW w:w="175" w:type="pct"/>
            <w:shd w:val="clear" w:color="auto" w:fill="auto"/>
            <w:tcMar>
              <w:top w:w="43" w:type="dxa"/>
              <w:left w:w="15" w:type="dxa"/>
              <w:bottom w:w="43" w:type="dxa"/>
              <w:right w:w="15" w:type="dxa"/>
            </w:tcMar>
            <w:vAlign w:val="center"/>
            <w:hideMark/>
          </w:tcPr>
          <w:p w14:paraId="4308C7B0" w14:textId="77777777" w:rsidR="00EA5317" w:rsidRPr="00A52AB8" w:rsidRDefault="00EA5317" w:rsidP="002E5343">
            <w:pPr>
              <w:snapToGrid w:val="0"/>
              <w:spacing w:after="0" w:line="240" w:lineRule="auto"/>
              <w:jc w:val="center"/>
              <w:rPr>
                <w:rFonts w:cs="Calibri"/>
                <w:color w:val="000000"/>
                <w:sz w:val="20"/>
                <w:szCs w:val="20"/>
              </w:rPr>
            </w:pPr>
            <w:r w:rsidRPr="00A52AB8">
              <w:rPr>
                <w:rFonts w:cs="Calibri"/>
                <w:color w:val="000000" w:themeColor="text1"/>
                <w:sz w:val="20"/>
                <w:szCs w:val="20"/>
              </w:rPr>
              <w:t>2</w:t>
            </w:r>
          </w:p>
        </w:tc>
        <w:tc>
          <w:tcPr>
            <w:tcW w:w="176" w:type="pct"/>
            <w:shd w:val="clear" w:color="auto" w:fill="auto"/>
            <w:tcMar>
              <w:top w:w="43" w:type="dxa"/>
              <w:left w:w="15" w:type="dxa"/>
              <w:bottom w:w="43" w:type="dxa"/>
              <w:right w:w="15" w:type="dxa"/>
            </w:tcMar>
            <w:vAlign w:val="center"/>
            <w:hideMark/>
          </w:tcPr>
          <w:p w14:paraId="42E18DD8" w14:textId="77777777" w:rsidR="00EA5317" w:rsidRPr="00A52AB8" w:rsidRDefault="00EA5317" w:rsidP="002E5343">
            <w:pPr>
              <w:snapToGrid w:val="0"/>
              <w:spacing w:after="0" w:line="240" w:lineRule="auto"/>
              <w:jc w:val="center"/>
              <w:rPr>
                <w:rFonts w:cs="Calibri"/>
                <w:color w:val="000000"/>
                <w:sz w:val="20"/>
                <w:szCs w:val="20"/>
              </w:rPr>
            </w:pPr>
            <w:r w:rsidRPr="00A52AB8">
              <w:rPr>
                <w:rFonts w:cs="Calibri"/>
                <w:color w:val="000000" w:themeColor="text1"/>
                <w:sz w:val="20"/>
                <w:szCs w:val="20"/>
              </w:rPr>
              <w:t>2</w:t>
            </w:r>
          </w:p>
        </w:tc>
        <w:tc>
          <w:tcPr>
            <w:tcW w:w="175" w:type="pct"/>
            <w:shd w:val="clear" w:color="auto" w:fill="auto"/>
            <w:tcMar>
              <w:top w:w="43" w:type="dxa"/>
              <w:left w:w="15" w:type="dxa"/>
              <w:bottom w:w="43" w:type="dxa"/>
              <w:right w:w="15" w:type="dxa"/>
            </w:tcMar>
            <w:vAlign w:val="center"/>
            <w:hideMark/>
          </w:tcPr>
          <w:p w14:paraId="620B6851" w14:textId="77777777" w:rsidR="00EA5317" w:rsidRPr="00A52AB8" w:rsidRDefault="00EA5317" w:rsidP="002E5343">
            <w:pPr>
              <w:snapToGrid w:val="0"/>
              <w:spacing w:after="0" w:line="240" w:lineRule="auto"/>
              <w:jc w:val="center"/>
              <w:rPr>
                <w:rFonts w:cs="Calibri"/>
                <w:color w:val="000000"/>
                <w:sz w:val="20"/>
                <w:szCs w:val="20"/>
              </w:rPr>
            </w:pPr>
            <w:r w:rsidRPr="00A52AB8">
              <w:rPr>
                <w:rFonts w:cs="Calibri"/>
                <w:color w:val="000000" w:themeColor="text1"/>
                <w:sz w:val="20"/>
                <w:szCs w:val="20"/>
              </w:rPr>
              <w:t>3</w:t>
            </w:r>
          </w:p>
        </w:tc>
        <w:tc>
          <w:tcPr>
            <w:tcW w:w="176" w:type="pct"/>
            <w:shd w:val="clear" w:color="auto" w:fill="auto"/>
            <w:tcMar>
              <w:top w:w="43" w:type="dxa"/>
              <w:left w:w="15" w:type="dxa"/>
              <w:bottom w:w="43" w:type="dxa"/>
              <w:right w:w="15" w:type="dxa"/>
            </w:tcMar>
            <w:vAlign w:val="center"/>
            <w:hideMark/>
          </w:tcPr>
          <w:p w14:paraId="6AADC4E3" w14:textId="77777777" w:rsidR="00EA5317" w:rsidRPr="00A52AB8" w:rsidRDefault="00EA5317" w:rsidP="002E5343">
            <w:pPr>
              <w:snapToGrid w:val="0"/>
              <w:spacing w:after="0" w:line="240" w:lineRule="auto"/>
              <w:jc w:val="center"/>
              <w:rPr>
                <w:rFonts w:cs="Calibri"/>
                <w:color w:val="000000"/>
                <w:sz w:val="20"/>
                <w:szCs w:val="20"/>
              </w:rPr>
            </w:pPr>
            <w:r w:rsidRPr="00A52AB8">
              <w:rPr>
                <w:rFonts w:cs="Calibri"/>
                <w:color w:val="000000" w:themeColor="text1"/>
                <w:sz w:val="20"/>
                <w:szCs w:val="20"/>
              </w:rPr>
              <w:t>3</w:t>
            </w:r>
          </w:p>
        </w:tc>
        <w:tc>
          <w:tcPr>
            <w:tcW w:w="175" w:type="pct"/>
            <w:shd w:val="clear" w:color="auto" w:fill="auto"/>
            <w:tcMar>
              <w:top w:w="43" w:type="dxa"/>
              <w:left w:w="15" w:type="dxa"/>
              <w:bottom w:w="43" w:type="dxa"/>
              <w:right w:w="15" w:type="dxa"/>
            </w:tcMar>
            <w:vAlign w:val="center"/>
            <w:hideMark/>
          </w:tcPr>
          <w:p w14:paraId="27673406" w14:textId="77777777" w:rsidR="00EA5317" w:rsidRPr="00A52AB8" w:rsidRDefault="00EA5317" w:rsidP="002E5343">
            <w:pPr>
              <w:snapToGrid w:val="0"/>
              <w:spacing w:after="0" w:line="240" w:lineRule="auto"/>
              <w:jc w:val="center"/>
              <w:rPr>
                <w:rFonts w:cs="Calibri"/>
                <w:color w:val="000000"/>
                <w:sz w:val="20"/>
                <w:szCs w:val="20"/>
              </w:rPr>
            </w:pPr>
            <w:r w:rsidRPr="00A52AB8">
              <w:rPr>
                <w:rFonts w:cs="Calibri"/>
                <w:color w:val="000000" w:themeColor="text1"/>
                <w:sz w:val="20"/>
                <w:szCs w:val="20"/>
              </w:rPr>
              <w:t>3</w:t>
            </w:r>
          </w:p>
        </w:tc>
        <w:tc>
          <w:tcPr>
            <w:tcW w:w="176" w:type="pct"/>
            <w:shd w:val="clear" w:color="auto" w:fill="auto"/>
            <w:tcMar>
              <w:top w:w="43" w:type="dxa"/>
              <w:left w:w="15" w:type="dxa"/>
              <w:bottom w:w="43" w:type="dxa"/>
              <w:right w:w="15" w:type="dxa"/>
            </w:tcMar>
            <w:vAlign w:val="center"/>
            <w:hideMark/>
          </w:tcPr>
          <w:p w14:paraId="3D4391D0" w14:textId="77777777" w:rsidR="00EA5317" w:rsidRPr="00A52AB8" w:rsidRDefault="00EA5317" w:rsidP="002E5343">
            <w:pPr>
              <w:snapToGrid w:val="0"/>
              <w:spacing w:after="0" w:line="240" w:lineRule="auto"/>
              <w:jc w:val="center"/>
              <w:rPr>
                <w:rFonts w:cs="Calibri"/>
                <w:color w:val="000000"/>
                <w:sz w:val="20"/>
                <w:szCs w:val="20"/>
              </w:rPr>
            </w:pPr>
            <w:r w:rsidRPr="00A52AB8">
              <w:rPr>
                <w:rFonts w:cs="Calibri"/>
                <w:color w:val="000000" w:themeColor="text1"/>
                <w:sz w:val="20"/>
                <w:szCs w:val="20"/>
              </w:rPr>
              <w:t>3</w:t>
            </w:r>
          </w:p>
        </w:tc>
      </w:tr>
    </w:tbl>
    <w:p w14:paraId="680B84E2" w14:textId="77777777" w:rsidR="00610079" w:rsidRPr="00A52AB8" w:rsidRDefault="00610079" w:rsidP="00EE3D19">
      <w:pPr>
        <w:pStyle w:val="a4"/>
        <w:numPr>
          <w:ilvl w:val="4"/>
          <w:numId w:val="14"/>
        </w:numPr>
        <w:outlineLvl w:val="4"/>
      </w:pPr>
      <w:bookmarkStart w:id="6239" w:name="_Toc49012904"/>
      <w:bookmarkStart w:id="6240" w:name="_Toc49013449"/>
      <w:bookmarkStart w:id="6241" w:name="_Toc49014566"/>
      <w:bookmarkStart w:id="6242" w:name="_Toc49095802"/>
      <w:bookmarkStart w:id="6243" w:name="_Ref46398965"/>
      <w:bookmarkEnd w:id="6239"/>
      <w:bookmarkEnd w:id="6240"/>
      <w:bookmarkEnd w:id="6241"/>
      <w:bookmarkEnd w:id="6242"/>
      <w:r w:rsidRPr="00A52AB8">
        <w:t xml:space="preserve">Decoding process for </w:t>
      </w:r>
      <w:r w:rsidR="00E63010" w:rsidRPr="00A52AB8">
        <w:t>patch data unit</w:t>
      </w:r>
      <w:r w:rsidRPr="00A52AB8">
        <w:t xml:space="preserve">s coded in </w:t>
      </w:r>
      <w:r w:rsidR="00335DC4" w:rsidRPr="00A52AB8">
        <w:t xml:space="preserve">skip prediction </w:t>
      </w:r>
      <w:r w:rsidRPr="00A52AB8">
        <w:t>mode</w:t>
      </w:r>
      <w:bookmarkEnd w:id="6243"/>
    </w:p>
    <w:p w14:paraId="1CF5CDBC" w14:textId="68F44463" w:rsidR="007121CF" w:rsidRPr="00A52AB8" w:rsidRDefault="002D61D4" w:rsidP="00792CFF">
      <w:pPr>
        <w:rPr>
          <w:lang w:eastAsia="ja-JP"/>
        </w:rPr>
      </w:pPr>
      <w:r w:rsidRPr="00A52AB8">
        <w:rPr>
          <w:lang w:eastAsia="ja-JP"/>
        </w:rPr>
        <w:t xml:space="preserve">The specifications in subclause </w:t>
      </w:r>
      <w:r w:rsidR="00251070" w:rsidRPr="00496A4D">
        <w:rPr>
          <w:lang w:eastAsia="ja-JP"/>
        </w:rPr>
        <w:fldChar w:fldCharType="begin"/>
      </w:r>
      <w:r w:rsidR="00251070" w:rsidRPr="00A52AB8">
        <w:rPr>
          <w:lang w:eastAsia="ja-JP"/>
        </w:rPr>
        <w:instrText xml:space="preserve"> REF _Ref21509819 \r \h </w:instrText>
      </w:r>
      <w:r w:rsidR="00851254" w:rsidRPr="00A52AB8">
        <w:rPr>
          <w:lang w:eastAsia="ja-JP"/>
        </w:rPr>
        <w:instrText xml:space="preserve"> \* MERGEFORMAT </w:instrText>
      </w:r>
      <w:r w:rsidR="00251070" w:rsidRPr="00496A4D">
        <w:rPr>
          <w:lang w:eastAsia="ja-JP"/>
        </w:rPr>
      </w:r>
      <w:r w:rsidR="00251070" w:rsidRPr="00496A4D">
        <w:rPr>
          <w:lang w:eastAsia="ja-JP"/>
        </w:rPr>
        <w:fldChar w:fldCharType="separate"/>
      </w:r>
      <w:r w:rsidR="00507A67">
        <w:rPr>
          <w:lang w:eastAsia="ja-JP"/>
        </w:rPr>
        <w:t>9.2.5.3</w:t>
      </w:r>
      <w:r w:rsidR="00251070" w:rsidRPr="00496A4D">
        <w:rPr>
          <w:lang w:eastAsia="ja-JP"/>
        </w:rPr>
        <w:fldChar w:fldCharType="end"/>
      </w:r>
      <w:r w:rsidRPr="00A52AB8">
        <w:rPr>
          <w:lang w:eastAsia="ja-JP"/>
        </w:rPr>
        <w:t xml:space="preserve"> apply with the following modifications and additions:</w:t>
      </w:r>
    </w:p>
    <w:p w14:paraId="1CE273E6" w14:textId="77777777" w:rsidR="00E0304E" w:rsidRPr="00A52AB8" w:rsidRDefault="00E0304E" w:rsidP="00E0304E">
      <w:pPr>
        <w:pStyle w:val="Equation"/>
        <w:spacing w:before="120" w:after="120"/>
        <w:jc w:val="both"/>
        <w:rPr>
          <w:color w:val="000000" w:themeColor="text1"/>
        </w:rPr>
      </w:pPr>
      <w:r w:rsidRPr="00A52AB8">
        <w:rPr>
          <w:color w:val="000000" w:themeColor="text1"/>
        </w:rPr>
        <w:t>First, refIdx is set to 0</w:t>
      </w:r>
      <w:r w:rsidR="00080011" w:rsidRPr="00A52AB8">
        <w:rPr>
          <w:color w:val="000000" w:themeColor="text1"/>
        </w:rPr>
        <w:t>.</w:t>
      </w:r>
    </w:p>
    <w:p w14:paraId="368506C9" w14:textId="77777777" w:rsidR="006826BC" w:rsidRPr="00A52AB8" w:rsidRDefault="006826BC" w:rsidP="006826BC">
      <w:pPr>
        <w:pStyle w:val="Equation"/>
        <w:spacing w:before="120" w:after="120"/>
        <w:jc w:val="both"/>
        <w:rPr>
          <w:color w:val="000000" w:themeColor="text1"/>
          <w:lang w:eastAsia="ja-JP"/>
        </w:rPr>
      </w:pPr>
      <w:r w:rsidRPr="00A52AB8">
        <w:rPr>
          <w:color w:val="000000" w:themeColor="text1"/>
          <w:lang w:eastAsia="ja-JP"/>
        </w:rPr>
        <w:t xml:space="preserve">If p is equal to 0, then </w:t>
      </w:r>
      <w:r w:rsidR="00846E23" w:rsidRPr="00A52AB8">
        <w:rPr>
          <w:color w:val="000000" w:themeColor="text1"/>
          <w:lang w:eastAsia="ja-JP"/>
        </w:rPr>
        <w:t>P</w:t>
      </w:r>
      <w:r w:rsidRPr="00A52AB8">
        <w:rPr>
          <w:color w:val="000000" w:themeColor="text1"/>
          <w:lang w:eastAsia="ja-JP"/>
        </w:rPr>
        <w:t>redictorIdx is set to 0.</w:t>
      </w:r>
    </w:p>
    <w:p w14:paraId="28622AC2" w14:textId="42798C5B" w:rsidR="006826BC" w:rsidRPr="00A52AB8" w:rsidRDefault="006826BC" w:rsidP="006826BC">
      <w:pPr>
        <w:pStyle w:val="Equation"/>
        <w:spacing w:before="120" w:after="120"/>
        <w:jc w:val="both"/>
        <w:rPr>
          <w:color w:val="000000" w:themeColor="text1"/>
          <w:lang w:eastAsia="ja-JP"/>
        </w:rPr>
      </w:pPr>
      <w:r w:rsidRPr="00A52AB8">
        <w:rPr>
          <w:color w:val="000000" w:themeColor="text1"/>
          <w:lang w:eastAsia="ja-JP"/>
        </w:rPr>
        <w:t xml:space="preserve">Then the corresponding patch index, </w:t>
      </w:r>
      <w:r w:rsidR="00F35D53" w:rsidRPr="00A52AB8">
        <w:rPr>
          <w:color w:val="000000" w:themeColor="text1"/>
          <w:lang w:eastAsia="ja-JP"/>
        </w:rPr>
        <w:t xml:space="preserve">RefPatchIdx, in </w:t>
      </w:r>
      <w:r w:rsidR="00F35D53" w:rsidRPr="00A52AB8">
        <w:rPr>
          <w:color w:val="000000" w:themeColor="text1"/>
        </w:rPr>
        <w:t xml:space="preserve">the atlas frame corresponding to the first entry in the reference atlas frame list </w:t>
      </w:r>
      <w:r w:rsidR="00F35D53" w:rsidRPr="00A52AB8">
        <w:t>RefAtlasFrmList, RefAtlasFrmList[ </w:t>
      </w:r>
      <w:r w:rsidR="00BF412C" w:rsidRPr="00A52AB8">
        <w:t>refIdx</w:t>
      </w:r>
      <w:r w:rsidR="00F35D53" w:rsidRPr="00A52AB8">
        <w:t> ]</w:t>
      </w:r>
      <w:r w:rsidR="00F35D53" w:rsidRPr="00A52AB8">
        <w:rPr>
          <w:color w:val="000000" w:themeColor="text1"/>
          <w:lang w:eastAsia="ja-JP"/>
        </w:rPr>
        <w:t xml:space="preserve"> for the current tile is computed as</w:t>
      </w:r>
      <w:r w:rsidRPr="00A52AB8">
        <w:rPr>
          <w:color w:val="000000" w:themeColor="text1"/>
          <w:lang w:eastAsia="ja-JP"/>
        </w:rPr>
        <w:t>:</w:t>
      </w:r>
    </w:p>
    <w:p w14:paraId="590F10DE" w14:textId="233DCECF" w:rsidR="006826BC" w:rsidRPr="00A52AB8" w:rsidRDefault="006826BC" w:rsidP="006826BC">
      <w:pPr>
        <w:rPr>
          <w:lang w:eastAsia="ja-JP"/>
        </w:rPr>
      </w:pPr>
      <w:r w:rsidRPr="00A52AB8">
        <w:rPr>
          <w:lang w:eastAsia="ja-JP"/>
        </w:rPr>
        <w:tab/>
      </w:r>
      <w:r w:rsidR="00040667" w:rsidRPr="00A52AB8">
        <w:rPr>
          <w:lang w:eastAsia="ja-JP"/>
        </w:rPr>
        <w:t>R</w:t>
      </w:r>
      <w:r w:rsidRPr="00A52AB8">
        <w:rPr>
          <w:lang w:eastAsia="ja-JP"/>
        </w:rPr>
        <w:t>efPatchIdx</w:t>
      </w:r>
      <w:r w:rsidR="0023721F" w:rsidRPr="00A52AB8">
        <w:rPr>
          <w:lang w:eastAsia="ja-JP"/>
        </w:rPr>
        <w:t> </w:t>
      </w:r>
      <w:r w:rsidR="00D47707" w:rsidRPr="00A52AB8">
        <w:rPr>
          <w:lang w:eastAsia="ja-JP"/>
        </w:rPr>
        <w:t>= </w:t>
      </w:r>
      <w:r w:rsidRPr="00A52AB8">
        <w:rPr>
          <w:lang w:eastAsia="ja-JP"/>
        </w:rPr>
        <w:t>PredictorIdx</w:t>
      </w:r>
      <w:r w:rsidR="00554303" w:rsidRPr="00A52AB8">
        <w:rPr>
          <w:lang w:eastAsia="ja-JP"/>
        </w:rPr>
        <w:tab/>
      </w:r>
      <w:r w:rsidR="00FE55DB" w:rsidRPr="00A52AB8">
        <w:rPr>
          <w:lang w:eastAsia="ja-JP"/>
        </w:rPr>
        <w:tab/>
      </w:r>
      <w:r w:rsidR="00FE55DB" w:rsidRPr="00A52AB8">
        <w:rPr>
          <w:lang w:eastAsia="ja-JP"/>
        </w:rPr>
        <w:tab/>
      </w:r>
      <w:r w:rsidR="00FE55DB" w:rsidRPr="00A52AB8">
        <w:rPr>
          <w:lang w:eastAsia="ja-JP"/>
        </w:rPr>
        <w:tab/>
      </w:r>
      <w:r w:rsidR="00FE55DB" w:rsidRPr="00A52AB8">
        <w:rPr>
          <w:lang w:eastAsia="ja-JP"/>
        </w:rPr>
        <w:tab/>
      </w:r>
      <w:r w:rsidR="00554303" w:rsidRPr="00A52AB8">
        <w:rPr>
          <w:lang w:eastAsia="ja-JP"/>
        </w:rPr>
        <w:t>(H</w:t>
      </w:r>
      <w:r w:rsidR="00554303" w:rsidRPr="00A52AB8">
        <w:rPr>
          <w:lang w:eastAsia="ja-JP"/>
        </w:rPr>
        <w:noBreakHyphen/>
      </w:r>
      <w:r w:rsidR="00554303" w:rsidRPr="00496A4D">
        <w:rPr>
          <w:lang w:eastAsia="ja-JP"/>
        </w:rPr>
        <w:fldChar w:fldCharType="begin"/>
      </w:r>
      <w:r w:rsidR="00554303" w:rsidRPr="00A52AB8">
        <w:rPr>
          <w:lang w:eastAsia="ja-JP"/>
        </w:rPr>
        <w:instrText xml:space="preserve"> SEQ Equation \* ARABIC \s 1 </w:instrText>
      </w:r>
      <w:r w:rsidR="00554303" w:rsidRPr="00496A4D">
        <w:rPr>
          <w:lang w:eastAsia="ja-JP"/>
        </w:rPr>
        <w:fldChar w:fldCharType="separate"/>
      </w:r>
      <w:r w:rsidR="00507A67">
        <w:rPr>
          <w:noProof/>
          <w:lang w:eastAsia="ja-JP"/>
        </w:rPr>
        <w:t>9</w:t>
      </w:r>
      <w:r w:rsidR="00554303" w:rsidRPr="00496A4D">
        <w:rPr>
          <w:lang w:eastAsia="ja-JP"/>
        </w:rPr>
        <w:fldChar w:fldCharType="end"/>
      </w:r>
      <w:r w:rsidR="00554303" w:rsidRPr="00A52AB8">
        <w:rPr>
          <w:lang w:eastAsia="ja-JP"/>
        </w:rPr>
        <w:t>)</w:t>
      </w:r>
    </w:p>
    <w:p w14:paraId="3206FDED" w14:textId="77777777" w:rsidR="006826BC" w:rsidRPr="00A52AB8" w:rsidRDefault="006826BC" w:rsidP="006826BC">
      <w:pPr>
        <w:pStyle w:val="Equation"/>
        <w:spacing w:before="120" w:after="120"/>
        <w:rPr>
          <w:color w:val="000000" w:themeColor="text1"/>
        </w:rPr>
      </w:pPr>
      <w:r w:rsidRPr="00A52AB8">
        <w:rPr>
          <w:color w:val="000000" w:themeColor="text1"/>
        </w:rPr>
        <w:t xml:space="preserve">and PredictorIdx is set to </w:t>
      </w:r>
      <w:r w:rsidR="00ED6ADA" w:rsidRPr="00A52AB8">
        <w:rPr>
          <w:color w:val="000000" w:themeColor="text1"/>
        </w:rPr>
        <w:t>R</w:t>
      </w:r>
      <w:r w:rsidRPr="00A52AB8">
        <w:rPr>
          <w:color w:val="000000" w:themeColor="text1"/>
        </w:rPr>
        <w:t>efPatchIdx</w:t>
      </w:r>
      <w:r w:rsidR="00384FFF" w:rsidRPr="00A52AB8">
        <w:rPr>
          <w:color w:val="000000" w:themeColor="text1"/>
        </w:rPr>
        <w:t> </w:t>
      </w:r>
      <w:r w:rsidRPr="00A52AB8">
        <w:rPr>
          <w:color w:val="000000" w:themeColor="text1"/>
        </w:rPr>
        <w:t>+</w:t>
      </w:r>
      <w:r w:rsidR="00384FFF" w:rsidRPr="00A52AB8">
        <w:rPr>
          <w:color w:val="000000" w:themeColor="text1"/>
        </w:rPr>
        <w:t> </w:t>
      </w:r>
      <w:r w:rsidRPr="00A52AB8">
        <w:rPr>
          <w:color w:val="000000" w:themeColor="text1"/>
        </w:rPr>
        <w:t>1.</w:t>
      </w:r>
    </w:p>
    <w:p w14:paraId="2BCA7777" w14:textId="7B421779" w:rsidR="007927D5" w:rsidRPr="00A52AB8" w:rsidRDefault="00122502" w:rsidP="00273F30">
      <w:pPr>
        <w:rPr>
          <w:color w:val="000000" w:themeColor="text1"/>
        </w:rPr>
      </w:pPr>
      <w:r w:rsidRPr="00A52AB8">
        <w:rPr>
          <w:color w:val="000000" w:themeColor="text1"/>
        </w:rPr>
        <w:t xml:space="preserve">The process described in subclause </w:t>
      </w:r>
      <w:r w:rsidRPr="00496A4D">
        <w:rPr>
          <w:color w:val="000000" w:themeColor="text1"/>
        </w:rPr>
        <w:fldChar w:fldCharType="begin"/>
      </w:r>
      <w:r w:rsidRPr="00A52AB8">
        <w:rPr>
          <w:color w:val="000000" w:themeColor="text1"/>
        </w:rPr>
        <w:instrText xml:space="preserve"> REF _Ref46275299 \r \h  \* MERGEFORMAT </w:instrText>
      </w:r>
      <w:r w:rsidRPr="00496A4D">
        <w:rPr>
          <w:color w:val="000000" w:themeColor="text1"/>
        </w:rPr>
      </w:r>
      <w:r w:rsidRPr="00496A4D">
        <w:rPr>
          <w:color w:val="000000" w:themeColor="text1"/>
        </w:rPr>
        <w:fldChar w:fldCharType="separate"/>
      </w:r>
      <w:r w:rsidR="00507A67">
        <w:rPr>
          <w:color w:val="000000" w:themeColor="text1"/>
        </w:rPr>
        <w:t>H.9.2.5.5.2</w:t>
      </w:r>
      <w:r w:rsidRPr="00496A4D">
        <w:rPr>
          <w:color w:val="000000" w:themeColor="text1"/>
        </w:rPr>
        <w:fldChar w:fldCharType="end"/>
      </w:r>
      <w:r w:rsidRPr="00A52AB8">
        <w:rPr>
          <w:color w:val="000000" w:themeColor="text1"/>
        </w:rPr>
        <w:t xml:space="preserve"> </w:t>
      </w:r>
      <w:r w:rsidR="007927D5" w:rsidRPr="00A52AB8">
        <w:rPr>
          <w:color w:val="000000" w:themeColor="text1"/>
        </w:rPr>
        <w:t xml:space="preserve">is invoked with the variables refIdx, RefPatchIdx, and tileID as inputs, and the </w:t>
      </w:r>
      <w:r w:rsidR="009069AB" w:rsidRPr="00A52AB8">
        <w:rPr>
          <w:color w:val="000000" w:themeColor="text1"/>
        </w:rPr>
        <w:t>outputs</w:t>
      </w:r>
      <w:r w:rsidR="007927D5" w:rsidRPr="00A52AB8">
        <w:rPr>
          <w:color w:val="000000" w:themeColor="text1"/>
        </w:rPr>
        <w:t xml:space="preserve"> are the variables refPatchType, ref</w:t>
      </w:r>
      <w:r w:rsidR="007927D5" w:rsidRPr="00A52AB8">
        <w:rPr>
          <w:lang w:eastAsia="ja-JP"/>
        </w:rPr>
        <w:t xml:space="preserve">Patch2dPosX, refPatch2dPosY, refPatch2dSizeX, refPatch2dSizeY, refPatch3dOffsetU, refPatch3dOffsetV, refPatch3dOffsetD, refPatch3dRangeD, refPatchProjectionID, refPatchOrientationIndex, refPatchLoDScaleX, refPachLoDScaleY, refPatchRawPoints, </w:t>
      </w:r>
      <w:r w:rsidR="007927D5" w:rsidRPr="00A52AB8">
        <w:rPr>
          <w:color w:val="000000" w:themeColor="text1"/>
        </w:rPr>
        <w:t xml:space="preserve">refPatchEomPatchCount, refPatchAxisU, refPatchAxisV, refPatchAxisD, refPatch45DegreeMode, and refPatchProjectionFlag, </w:t>
      </w:r>
      <w:r w:rsidR="00CB2378" w:rsidRPr="00A52AB8">
        <w:rPr>
          <w:color w:val="000000" w:themeColor="text1"/>
        </w:rPr>
        <w:t>the</w:t>
      </w:r>
      <w:r w:rsidR="007927D5" w:rsidRPr="00A52AB8">
        <w:rPr>
          <w:color w:val="000000" w:themeColor="text1"/>
        </w:rPr>
        <w:t xml:space="preserve"> 1D arrays </w:t>
      </w:r>
      <w:r w:rsidR="007927D5" w:rsidRPr="00A52AB8">
        <w:t>refP</w:t>
      </w:r>
      <w:r w:rsidR="007927D5" w:rsidRPr="00A52AB8">
        <w:rPr>
          <w:color w:val="000000" w:themeColor="text1"/>
        </w:rPr>
        <w:t xml:space="preserve">atchAssociatedPatchIndex </w:t>
      </w:r>
      <w:r w:rsidR="00CB2378" w:rsidRPr="00A52AB8">
        <w:rPr>
          <w:color w:val="000000" w:themeColor="text1"/>
        </w:rPr>
        <w:t xml:space="preserve">and </w:t>
      </w:r>
      <w:r w:rsidR="007927D5" w:rsidRPr="00A52AB8">
        <w:rPr>
          <w:lang w:eastAsia="ja-JP"/>
        </w:rPr>
        <w:t>ref</w:t>
      </w:r>
      <w:r w:rsidR="007927D5" w:rsidRPr="00A52AB8">
        <w:rPr>
          <w:color w:val="000000" w:themeColor="text1"/>
        </w:rPr>
        <w:t>PatchEomPoints</w:t>
      </w:r>
      <w:r w:rsidR="00CB2378" w:rsidRPr="00A52AB8">
        <w:rPr>
          <w:color w:val="000000" w:themeColor="text1"/>
        </w:rPr>
        <w:t>,</w:t>
      </w:r>
      <w:r w:rsidR="007927D5" w:rsidRPr="00A52AB8">
        <w:rPr>
          <w:color w:val="000000" w:themeColor="text1"/>
        </w:rPr>
        <w:t xml:space="preserve"> </w:t>
      </w:r>
      <w:r w:rsidR="007927D5" w:rsidRPr="00A52AB8">
        <w:rPr>
          <w:lang w:eastAsia="ja-JP"/>
        </w:rPr>
        <w:t>and</w:t>
      </w:r>
      <w:r w:rsidR="00CB2378" w:rsidRPr="00A52AB8">
        <w:rPr>
          <w:lang w:eastAsia="ja-JP"/>
        </w:rPr>
        <w:t>,</w:t>
      </w:r>
      <w:r w:rsidR="007927D5" w:rsidRPr="00A52AB8">
        <w:rPr>
          <w:lang w:eastAsia="ja-JP"/>
        </w:rPr>
        <w:t xml:space="preserve"> if asps_plr_enabled_flag is equal to 1, the 1D arrays </w:t>
      </w:r>
      <w:r w:rsidR="007927D5" w:rsidRPr="00A52AB8">
        <w:rPr>
          <w:color w:val="000000" w:themeColor="text1"/>
        </w:rPr>
        <w:t>refPatchPlrdLevel, refPatchPlrdPresentFlag, and refPlrdModeMinus1, and the 2D arrays refPatchPlrdPresentBlockFlag and refPatchPlrdBlockModeMinus1</w:t>
      </w:r>
      <w:r w:rsidR="00CB2378" w:rsidRPr="00A52AB8">
        <w:rPr>
          <w:color w:val="000000" w:themeColor="text1"/>
        </w:rPr>
        <w:t>.</w:t>
      </w:r>
    </w:p>
    <w:p w14:paraId="4F1115D0" w14:textId="77777777" w:rsidR="00AB50C7" w:rsidRPr="00A52AB8" w:rsidRDefault="00DF1E12" w:rsidP="009F42AE">
      <w:pPr>
        <w:pStyle w:val="Equation"/>
        <w:spacing w:before="120" w:after="120"/>
        <w:jc w:val="both"/>
        <w:rPr>
          <w:color w:val="000000" w:themeColor="text1"/>
        </w:rPr>
      </w:pPr>
      <w:r w:rsidRPr="00A52AB8">
        <w:rPr>
          <w:color w:val="000000" w:themeColor="text1"/>
        </w:rPr>
        <w:t xml:space="preserve">If </w:t>
      </w:r>
      <w:r w:rsidR="00440C68" w:rsidRPr="00A52AB8">
        <w:rPr>
          <w:color w:val="000000" w:themeColor="text1"/>
        </w:rPr>
        <w:t>refPatchType</w:t>
      </w:r>
      <w:r w:rsidRPr="00A52AB8">
        <w:rPr>
          <w:color w:val="000000" w:themeColor="text1"/>
        </w:rPr>
        <w:t xml:space="preserve"> is </w:t>
      </w:r>
      <w:r w:rsidR="00440C68" w:rsidRPr="00A52AB8">
        <w:rPr>
          <w:color w:val="000000" w:themeColor="text1"/>
        </w:rPr>
        <w:t>equal to PROJECTED</w:t>
      </w:r>
      <w:r w:rsidRPr="00A52AB8">
        <w:rPr>
          <w:color w:val="000000" w:themeColor="text1"/>
        </w:rPr>
        <w:t xml:space="preserve"> </w:t>
      </w:r>
      <w:r w:rsidRPr="00A52AB8">
        <w:rPr>
          <w:lang w:eastAsia="ja-JP"/>
        </w:rPr>
        <w:t>t</w:t>
      </w:r>
      <w:r w:rsidR="00FF3ADC" w:rsidRPr="00A52AB8">
        <w:rPr>
          <w:lang w:eastAsia="ja-JP"/>
        </w:rPr>
        <w:t>hen, the</w:t>
      </w:r>
      <w:r w:rsidRPr="00A52AB8">
        <w:rPr>
          <w:lang w:eastAsia="ja-JP"/>
        </w:rPr>
        <w:t xml:space="preserve">se additional variables </w:t>
      </w:r>
      <w:r w:rsidR="0050020C" w:rsidRPr="00A52AB8">
        <w:rPr>
          <w:lang w:eastAsia="ja-JP"/>
        </w:rPr>
        <w:t>are derived:</w:t>
      </w:r>
    </w:p>
    <w:p w14:paraId="5D2A6174" w14:textId="2C45DCE6" w:rsidR="00BA3556" w:rsidRPr="00A52AB8" w:rsidRDefault="00BA3556" w:rsidP="00243187">
      <w:pPr>
        <w:rPr>
          <w:lang w:eastAsia="ja-JP"/>
        </w:rPr>
      </w:pPr>
      <w:r w:rsidRPr="00A52AB8">
        <w:rPr>
          <w:lang w:eastAsia="ja-JP"/>
        </w:rPr>
        <w:tab/>
      </w:r>
      <w:r w:rsidR="003774AC" w:rsidRPr="00A52AB8">
        <w:rPr>
          <w:lang w:eastAsia="ja-JP"/>
        </w:rPr>
        <w:t>Tile</w:t>
      </w:r>
      <w:r w:rsidR="00254895" w:rsidRPr="00A52AB8">
        <w:rPr>
          <w:lang w:eastAsia="ja-JP"/>
        </w:rPr>
        <w:t>PatchAxisU</w:t>
      </w:r>
      <w:r w:rsidRPr="00A52AB8">
        <w:rPr>
          <w:lang w:eastAsia="ja-JP"/>
        </w:rPr>
        <w:t>[</w:t>
      </w:r>
      <w:r w:rsidR="00D60317" w:rsidRPr="00A52AB8">
        <w:rPr>
          <w:lang w:eastAsia="ja-JP"/>
        </w:rPr>
        <w:t> </w:t>
      </w:r>
      <w:r w:rsidR="00632FA7" w:rsidRPr="00A52AB8">
        <w:rPr>
          <w:lang w:eastAsia="ja-JP"/>
        </w:rPr>
        <w:t>tileID</w:t>
      </w:r>
      <w:r w:rsidR="00D9473F" w:rsidRPr="00A52AB8">
        <w:rPr>
          <w:lang w:eastAsia="ja-JP"/>
        </w:rPr>
        <w:t> </w:t>
      </w:r>
      <w:r w:rsidRPr="00A52AB8">
        <w:rPr>
          <w:lang w:eastAsia="ja-JP"/>
        </w:rPr>
        <w:t>][</w:t>
      </w:r>
      <w:r w:rsidR="00D9473F" w:rsidRPr="00A52AB8">
        <w:rPr>
          <w:lang w:eastAsia="ja-JP"/>
        </w:rPr>
        <w:t xml:space="preserve"> </w:t>
      </w:r>
      <w:r w:rsidRPr="00A52AB8">
        <w:rPr>
          <w:lang w:eastAsia="ja-JP"/>
        </w:rPr>
        <w:t>p</w:t>
      </w:r>
      <w:r w:rsidR="00D9473F" w:rsidRPr="00A52AB8">
        <w:rPr>
          <w:lang w:eastAsia="ja-JP"/>
        </w:rPr>
        <w:t> </w:t>
      </w:r>
      <w:r w:rsidRPr="00A52AB8">
        <w:rPr>
          <w:lang w:eastAsia="ja-JP"/>
        </w:rPr>
        <w:t>]</w:t>
      </w:r>
      <w:r w:rsidR="00D47707" w:rsidRPr="00A52AB8">
        <w:rPr>
          <w:lang w:eastAsia="ja-JP"/>
        </w:rPr>
        <w:t> = </w:t>
      </w:r>
      <w:r w:rsidRPr="00A52AB8">
        <w:rPr>
          <w:lang w:eastAsia="ja-JP"/>
        </w:rPr>
        <w:t>ref</w:t>
      </w:r>
      <w:r w:rsidR="00254895" w:rsidRPr="00A52AB8">
        <w:rPr>
          <w:lang w:eastAsia="ja-JP"/>
        </w:rPr>
        <w:t>PatchAxisU</w:t>
      </w:r>
      <w:r w:rsidRPr="00A52AB8">
        <w:rPr>
          <w:lang w:eastAsia="ja-JP"/>
        </w:rPr>
        <w:tab/>
      </w:r>
      <w:r w:rsidR="00243187" w:rsidRPr="00A52AB8">
        <w:rPr>
          <w:lang w:eastAsia="ja-JP"/>
        </w:rPr>
        <w:t>(H</w:t>
      </w:r>
      <w:r w:rsidR="00243187" w:rsidRPr="00A52AB8">
        <w:rPr>
          <w:lang w:eastAsia="ja-JP"/>
        </w:rPr>
        <w:noBreakHyphen/>
      </w:r>
      <w:r w:rsidR="00243187" w:rsidRPr="00496A4D">
        <w:rPr>
          <w:lang w:eastAsia="ja-JP"/>
        </w:rPr>
        <w:fldChar w:fldCharType="begin"/>
      </w:r>
      <w:r w:rsidR="00243187" w:rsidRPr="00A52AB8">
        <w:rPr>
          <w:lang w:eastAsia="ja-JP"/>
        </w:rPr>
        <w:instrText xml:space="preserve"> SEQ Equation \* ARABIC \s 1 </w:instrText>
      </w:r>
      <w:r w:rsidR="00243187" w:rsidRPr="00496A4D">
        <w:rPr>
          <w:lang w:eastAsia="ja-JP"/>
        </w:rPr>
        <w:fldChar w:fldCharType="separate"/>
      </w:r>
      <w:r w:rsidR="00507A67">
        <w:rPr>
          <w:noProof/>
          <w:lang w:eastAsia="ja-JP"/>
        </w:rPr>
        <w:t>10</w:t>
      </w:r>
      <w:r w:rsidR="00243187" w:rsidRPr="00496A4D">
        <w:rPr>
          <w:lang w:eastAsia="ja-JP"/>
        </w:rPr>
        <w:fldChar w:fldCharType="end"/>
      </w:r>
      <w:r w:rsidR="00243187" w:rsidRPr="00A52AB8">
        <w:rPr>
          <w:lang w:eastAsia="ja-JP"/>
        </w:rPr>
        <w:t>)</w:t>
      </w:r>
    </w:p>
    <w:p w14:paraId="3DE98245" w14:textId="658677B2" w:rsidR="00BA3556" w:rsidRPr="00A52AB8" w:rsidRDefault="00BA3556" w:rsidP="00243187">
      <w:pPr>
        <w:rPr>
          <w:lang w:eastAsia="ja-JP"/>
        </w:rPr>
      </w:pPr>
      <w:r w:rsidRPr="00A52AB8">
        <w:rPr>
          <w:lang w:eastAsia="ja-JP"/>
        </w:rPr>
        <w:tab/>
      </w:r>
      <w:r w:rsidR="003774AC" w:rsidRPr="00A52AB8">
        <w:rPr>
          <w:lang w:eastAsia="ja-JP"/>
        </w:rPr>
        <w:t>Tile</w:t>
      </w:r>
      <w:r w:rsidR="00254895" w:rsidRPr="00A52AB8">
        <w:rPr>
          <w:lang w:eastAsia="ja-JP"/>
        </w:rPr>
        <w:t>PatchAxisV</w:t>
      </w:r>
      <w:r w:rsidRPr="00A52AB8">
        <w:rPr>
          <w:lang w:eastAsia="ja-JP"/>
        </w:rPr>
        <w:t>[</w:t>
      </w:r>
      <w:r w:rsidR="00D60317" w:rsidRPr="00A52AB8">
        <w:rPr>
          <w:lang w:eastAsia="ja-JP"/>
        </w:rPr>
        <w:t> </w:t>
      </w:r>
      <w:r w:rsidR="00632FA7" w:rsidRPr="00A52AB8">
        <w:rPr>
          <w:lang w:eastAsia="ja-JP"/>
        </w:rPr>
        <w:t>tileID</w:t>
      </w:r>
      <w:r w:rsidR="00D9473F" w:rsidRPr="00A52AB8">
        <w:rPr>
          <w:lang w:eastAsia="ja-JP"/>
        </w:rPr>
        <w:t> </w:t>
      </w:r>
      <w:r w:rsidRPr="00A52AB8">
        <w:rPr>
          <w:lang w:eastAsia="ja-JP"/>
        </w:rPr>
        <w:t>][</w:t>
      </w:r>
      <w:r w:rsidR="00D9473F" w:rsidRPr="00A52AB8">
        <w:rPr>
          <w:lang w:eastAsia="ja-JP"/>
        </w:rPr>
        <w:t> </w:t>
      </w:r>
      <w:r w:rsidRPr="00A52AB8">
        <w:rPr>
          <w:lang w:eastAsia="ja-JP"/>
        </w:rPr>
        <w:t>p</w:t>
      </w:r>
      <w:r w:rsidR="00D9473F" w:rsidRPr="00A52AB8">
        <w:rPr>
          <w:lang w:eastAsia="ja-JP"/>
        </w:rPr>
        <w:t> </w:t>
      </w:r>
      <w:r w:rsidRPr="00A52AB8">
        <w:rPr>
          <w:lang w:eastAsia="ja-JP"/>
        </w:rPr>
        <w:t>]</w:t>
      </w:r>
      <w:r w:rsidR="00D47707" w:rsidRPr="00A52AB8">
        <w:rPr>
          <w:lang w:eastAsia="ja-JP"/>
        </w:rPr>
        <w:t> = </w:t>
      </w:r>
      <w:r w:rsidRPr="00A52AB8">
        <w:rPr>
          <w:lang w:eastAsia="ja-JP"/>
        </w:rPr>
        <w:t>ref</w:t>
      </w:r>
      <w:r w:rsidR="00254895" w:rsidRPr="00A52AB8">
        <w:rPr>
          <w:lang w:eastAsia="ja-JP"/>
        </w:rPr>
        <w:t>PatchAxisV</w:t>
      </w:r>
      <w:r w:rsidRPr="00A52AB8">
        <w:rPr>
          <w:lang w:eastAsia="ja-JP"/>
        </w:rPr>
        <w:tab/>
      </w:r>
      <w:r w:rsidR="00243187" w:rsidRPr="00A52AB8">
        <w:rPr>
          <w:lang w:eastAsia="ja-JP"/>
        </w:rPr>
        <w:t>(H</w:t>
      </w:r>
      <w:r w:rsidR="00243187" w:rsidRPr="00A52AB8">
        <w:rPr>
          <w:lang w:eastAsia="ja-JP"/>
        </w:rPr>
        <w:noBreakHyphen/>
      </w:r>
      <w:r w:rsidR="00243187" w:rsidRPr="00496A4D">
        <w:rPr>
          <w:lang w:eastAsia="ja-JP"/>
        </w:rPr>
        <w:fldChar w:fldCharType="begin"/>
      </w:r>
      <w:r w:rsidR="00243187" w:rsidRPr="00A52AB8">
        <w:rPr>
          <w:lang w:eastAsia="ja-JP"/>
        </w:rPr>
        <w:instrText xml:space="preserve"> SEQ Equation \* ARABIC \s 1 </w:instrText>
      </w:r>
      <w:r w:rsidR="00243187" w:rsidRPr="00496A4D">
        <w:rPr>
          <w:lang w:eastAsia="ja-JP"/>
        </w:rPr>
        <w:fldChar w:fldCharType="separate"/>
      </w:r>
      <w:r w:rsidR="00507A67">
        <w:rPr>
          <w:noProof/>
          <w:lang w:eastAsia="ja-JP"/>
        </w:rPr>
        <w:t>11</w:t>
      </w:r>
      <w:r w:rsidR="00243187" w:rsidRPr="00496A4D">
        <w:rPr>
          <w:lang w:eastAsia="ja-JP"/>
        </w:rPr>
        <w:fldChar w:fldCharType="end"/>
      </w:r>
      <w:r w:rsidR="00243187" w:rsidRPr="00A52AB8">
        <w:rPr>
          <w:lang w:eastAsia="ja-JP"/>
        </w:rPr>
        <w:t>)</w:t>
      </w:r>
    </w:p>
    <w:p w14:paraId="423776D2" w14:textId="45307E79" w:rsidR="00243187" w:rsidRPr="00A52AB8" w:rsidRDefault="00243187" w:rsidP="00243187">
      <w:pPr>
        <w:rPr>
          <w:lang w:eastAsia="ja-JP"/>
        </w:rPr>
      </w:pPr>
      <w:r w:rsidRPr="00A52AB8">
        <w:rPr>
          <w:lang w:eastAsia="ja-JP"/>
        </w:rPr>
        <w:tab/>
        <w:t>Tile</w:t>
      </w:r>
      <w:r w:rsidR="00254895" w:rsidRPr="00A52AB8">
        <w:rPr>
          <w:lang w:eastAsia="ja-JP"/>
        </w:rPr>
        <w:t>PatchAxisD</w:t>
      </w:r>
      <w:r w:rsidRPr="00A52AB8">
        <w:rPr>
          <w:lang w:eastAsia="ja-JP"/>
        </w:rPr>
        <w:t>[</w:t>
      </w:r>
      <w:r w:rsidR="00D60317" w:rsidRPr="00A52AB8">
        <w:rPr>
          <w:lang w:eastAsia="ja-JP"/>
        </w:rPr>
        <w:t> </w:t>
      </w:r>
      <w:r w:rsidR="00632FA7" w:rsidRPr="00A52AB8">
        <w:rPr>
          <w:lang w:eastAsia="ja-JP"/>
        </w:rPr>
        <w:t>tileID</w:t>
      </w:r>
      <w:r w:rsidR="00D9473F" w:rsidRPr="00A52AB8">
        <w:rPr>
          <w:lang w:eastAsia="ja-JP"/>
        </w:rPr>
        <w:t> </w:t>
      </w:r>
      <w:r w:rsidRPr="00A52AB8">
        <w:rPr>
          <w:lang w:eastAsia="ja-JP"/>
        </w:rPr>
        <w:t>][</w:t>
      </w:r>
      <w:r w:rsidR="00D9473F" w:rsidRPr="00A52AB8">
        <w:rPr>
          <w:lang w:eastAsia="ja-JP"/>
        </w:rPr>
        <w:t> </w:t>
      </w:r>
      <w:r w:rsidRPr="00A52AB8">
        <w:rPr>
          <w:lang w:eastAsia="ja-JP"/>
        </w:rPr>
        <w:t>p</w:t>
      </w:r>
      <w:r w:rsidR="00D9473F" w:rsidRPr="00A52AB8">
        <w:rPr>
          <w:lang w:eastAsia="ja-JP"/>
        </w:rPr>
        <w:t> </w:t>
      </w:r>
      <w:r w:rsidRPr="00A52AB8">
        <w:rPr>
          <w:lang w:eastAsia="ja-JP"/>
        </w:rPr>
        <w:t>]</w:t>
      </w:r>
      <w:r w:rsidR="00D47707" w:rsidRPr="00A52AB8">
        <w:rPr>
          <w:lang w:eastAsia="ja-JP"/>
        </w:rPr>
        <w:t> = </w:t>
      </w:r>
      <w:r w:rsidRPr="00A52AB8">
        <w:rPr>
          <w:lang w:eastAsia="ja-JP"/>
        </w:rPr>
        <w:t>ref</w:t>
      </w:r>
      <w:r w:rsidR="00254895" w:rsidRPr="00A52AB8">
        <w:rPr>
          <w:lang w:eastAsia="ja-JP"/>
        </w:rPr>
        <w:t>PatchAxisD</w:t>
      </w:r>
      <w:r w:rsidRPr="00A52AB8">
        <w:rPr>
          <w:lang w:eastAsia="ja-JP"/>
        </w:rPr>
        <w:tab/>
        <w:t>(H</w:t>
      </w:r>
      <w:r w:rsidRPr="00A52AB8">
        <w:rPr>
          <w:lang w:eastAsia="ja-JP"/>
        </w:rPr>
        <w:noBreakHyphen/>
      </w:r>
      <w:r w:rsidRPr="00496A4D">
        <w:rPr>
          <w:lang w:eastAsia="ja-JP"/>
        </w:rPr>
        <w:fldChar w:fldCharType="begin"/>
      </w:r>
      <w:r w:rsidRPr="00A52AB8">
        <w:rPr>
          <w:lang w:eastAsia="ja-JP"/>
        </w:rPr>
        <w:instrText xml:space="preserve"> SEQ Equation \* ARABIC \s 1 </w:instrText>
      </w:r>
      <w:r w:rsidRPr="00496A4D">
        <w:rPr>
          <w:lang w:eastAsia="ja-JP"/>
        </w:rPr>
        <w:fldChar w:fldCharType="separate"/>
      </w:r>
      <w:r w:rsidR="00507A67">
        <w:rPr>
          <w:noProof/>
          <w:lang w:eastAsia="ja-JP"/>
        </w:rPr>
        <w:t>12</w:t>
      </w:r>
      <w:r w:rsidRPr="00496A4D">
        <w:rPr>
          <w:lang w:eastAsia="ja-JP"/>
        </w:rPr>
        <w:fldChar w:fldCharType="end"/>
      </w:r>
      <w:r w:rsidRPr="00A52AB8">
        <w:rPr>
          <w:lang w:eastAsia="ja-JP"/>
        </w:rPr>
        <w:t>)</w:t>
      </w:r>
    </w:p>
    <w:p w14:paraId="64D62363" w14:textId="754C142D" w:rsidR="00BA3556" w:rsidRPr="00A52AB8" w:rsidRDefault="00BA3556" w:rsidP="00966AAC">
      <w:pPr>
        <w:rPr>
          <w:lang w:eastAsia="ja-JP"/>
        </w:rPr>
      </w:pPr>
      <w:r w:rsidRPr="00A52AB8">
        <w:rPr>
          <w:lang w:eastAsia="ja-JP"/>
        </w:rPr>
        <w:tab/>
      </w:r>
      <w:r w:rsidR="003774AC" w:rsidRPr="00A52AB8">
        <w:rPr>
          <w:lang w:eastAsia="ja-JP"/>
        </w:rPr>
        <w:t>Tile</w:t>
      </w:r>
      <w:r w:rsidR="00440C68" w:rsidRPr="00A52AB8">
        <w:rPr>
          <w:lang w:eastAsia="ja-JP"/>
        </w:rPr>
        <w:t>Patch</w:t>
      </w:r>
      <w:r w:rsidR="00354BB6" w:rsidRPr="00A52AB8">
        <w:rPr>
          <w:lang w:eastAsia="ja-JP"/>
        </w:rPr>
        <w:t>45Degree</w:t>
      </w:r>
      <w:r w:rsidR="00440C68" w:rsidRPr="00A52AB8">
        <w:rPr>
          <w:lang w:eastAsia="ja-JP"/>
        </w:rPr>
        <w:t>Mode</w:t>
      </w:r>
      <w:r w:rsidRPr="00A52AB8">
        <w:rPr>
          <w:lang w:eastAsia="ja-JP"/>
        </w:rPr>
        <w:t>[</w:t>
      </w:r>
      <w:r w:rsidR="00D60317" w:rsidRPr="00A52AB8">
        <w:rPr>
          <w:lang w:eastAsia="ja-JP"/>
        </w:rPr>
        <w:t> </w:t>
      </w:r>
      <w:r w:rsidR="00632FA7" w:rsidRPr="00A52AB8">
        <w:rPr>
          <w:lang w:eastAsia="ja-JP"/>
        </w:rPr>
        <w:t>tileID</w:t>
      </w:r>
      <w:r w:rsidR="00D60317" w:rsidRPr="00A52AB8">
        <w:rPr>
          <w:lang w:eastAsia="ja-JP"/>
        </w:rPr>
        <w:t> </w:t>
      </w:r>
      <w:r w:rsidRPr="00A52AB8">
        <w:rPr>
          <w:lang w:eastAsia="ja-JP"/>
        </w:rPr>
        <w:t>][</w:t>
      </w:r>
      <w:r w:rsidR="00D60317" w:rsidRPr="00A52AB8">
        <w:rPr>
          <w:lang w:eastAsia="ja-JP"/>
        </w:rPr>
        <w:t> </w:t>
      </w:r>
      <w:r w:rsidRPr="00A52AB8">
        <w:rPr>
          <w:lang w:eastAsia="ja-JP"/>
        </w:rPr>
        <w:t>p</w:t>
      </w:r>
      <w:r w:rsidR="00D60317" w:rsidRPr="00A52AB8">
        <w:rPr>
          <w:lang w:eastAsia="ja-JP"/>
        </w:rPr>
        <w:t> </w:t>
      </w:r>
      <w:r w:rsidRPr="00A52AB8">
        <w:rPr>
          <w:lang w:eastAsia="ja-JP"/>
        </w:rPr>
        <w:t>]</w:t>
      </w:r>
      <w:r w:rsidR="00D47707" w:rsidRPr="00A52AB8">
        <w:rPr>
          <w:lang w:eastAsia="ja-JP"/>
        </w:rPr>
        <w:t> = </w:t>
      </w:r>
      <w:r w:rsidRPr="00A52AB8">
        <w:rPr>
          <w:lang w:eastAsia="ja-JP"/>
        </w:rPr>
        <w:t>ref</w:t>
      </w:r>
      <w:r w:rsidR="00440C68" w:rsidRPr="00A52AB8">
        <w:rPr>
          <w:lang w:eastAsia="ja-JP"/>
        </w:rPr>
        <w:t>Patch</w:t>
      </w:r>
      <w:r w:rsidR="00354BB6" w:rsidRPr="00A52AB8">
        <w:rPr>
          <w:lang w:eastAsia="ja-JP"/>
        </w:rPr>
        <w:t>45Degree</w:t>
      </w:r>
      <w:r w:rsidR="00440C68" w:rsidRPr="00A52AB8">
        <w:rPr>
          <w:lang w:eastAsia="ja-JP"/>
        </w:rPr>
        <w:t>Mode</w:t>
      </w:r>
      <w:r w:rsidRPr="00A52AB8">
        <w:rPr>
          <w:lang w:eastAsia="ja-JP"/>
        </w:rPr>
        <w:tab/>
      </w:r>
      <w:r w:rsidR="00243187" w:rsidRPr="00A52AB8">
        <w:rPr>
          <w:lang w:eastAsia="ja-JP"/>
        </w:rPr>
        <w:t>(H</w:t>
      </w:r>
      <w:r w:rsidR="00243187" w:rsidRPr="00A52AB8">
        <w:rPr>
          <w:lang w:eastAsia="ja-JP"/>
        </w:rPr>
        <w:noBreakHyphen/>
      </w:r>
      <w:r w:rsidR="00243187" w:rsidRPr="00496A4D">
        <w:rPr>
          <w:lang w:eastAsia="ja-JP"/>
        </w:rPr>
        <w:fldChar w:fldCharType="begin"/>
      </w:r>
      <w:r w:rsidR="00243187" w:rsidRPr="00A52AB8">
        <w:rPr>
          <w:lang w:eastAsia="ja-JP"/>
        </w:rPr>
        <w:instrText xml:space="preserve"> SEQ Equation \* ARABIC \s 1 </w:instrText>
      </w:r>
      <w:r w:rsidR="00243187" w:rsidRPr="00496A4D">
        <w:rPr>
          <w:lang w:eastAsia="ja-JP"/>
        </w:rPr>
        <w:fldChar w:fldCharType="separate"/>
      </w:r>
      <w:r w:rsidR="00507A67">
        <w:rPr>
          <w:noProof/>
          <w:lang w:eastAsia="ja-JP"/>
        </w:rPr>
        <w:t>13</w:t>
      </w:r>
      <w:r w:rsidR="00243187" w:rsidRPr="00496A4D">
        <w:rPr>
          <w:lang w:eastAsia="ja-JP"/>
        </w:rPr>
        <w:fldChar w:fldCharType="end"/>
      </w:r>
      <w:r w:rsidR="00243187" w:rsidRPr="00A52AB8">
        <w:rPr>
          <w:lang w:eastAsia="ja-JP"/>
        </w:rPr>
        <w:t>)</w:t>
      </w:r>
    </w:p>
    <w:p w14:paraId="061889A6" w14:textId="228477B4" w:rsidR="00A235A7" w:rsidRPr="00A52AB8" w:rsidRDefault="00A235A7" w:rsidP="00966AAC">
      <w:pPr>
        <w:rPr>
          <w:lang w:eastAsia="ja-JP"/>
        </w:rPr>
      </w:pPr>
      <w:r w:rsidRPr="00A52AB8">
        <w:rPr>
          <w:lang w:eastAsia="ja-JP"/>
        </w:rPr>
        <w:tab/>
        <w:t>TilePatchProjectionFlag[ tileID ][ p ]</w:t>
      </w:r>
      <w:r w:rsidR="00D47707" w:rsidRPr="00A52AB8">
        <w:rPr>
          <w:lang w:eastAsia="ja-JP"/>
        </w:rPr>
        <w:t> = </w:t>
      </w:r>
      <w:r w:rsidRPr="00A52AB8">
        <w:rPr>
          <w:lang w:eastAsia="ja-JP"/>
        </w:rPr>
        <w:t>refPatchProjectionFlag</w:t>
      </w:r>
      <w:r w:rsidRPr="00A52AB8">
        <w:rPr>
          <w:lang w:eastAsia="ja-JP"/>
        </w:rPr>
        <w:tab/>
        <w:t>(H</w:t>
      </w:r>
      <w:r w:rsidRPr="00A52AB8">
        <w:rPr>
          <w:lang w:eastAsia="ja-JP"/>
        </w:rPr>
        <w:noBreakHyphen/>
      </w:r>
      <w:r w:rsidRPr="00496A4D">
        <w:rPr>
          <w:lang w:eastAsia="ja-JP"/>
        </w:rPr>
        <w:fldChar w:fldCharType="begin"/>
      </w:r>
      <w:r w:rsidRPr="00A52AB8">
        <w:rPr>
          <w:lang w:eastAsia="ja-JP"/>
        </w:rPr>
        <w:instrText xml:space="preserve"> SEQ Equation \* ARABIC \s 1 </w:instrText>
      </w:r>
      <w:r w:rsidRPr="00496A4D">
        <w:rPr>
          <w:lang w:eastAsia="ja-JP"/>
        </w:rPr>
        <w:fldChar w:fldCharType="separate"/>
      </w:r>
      <w:r w:rsidR="00507A67">
        <w:rPr>
          <w:noProof/>
          <w:lang w:eastAsia="ja-JP"/>
        </w:rPr>
        <w:t>14</w:t>
      </w:r>
      <w:r w:rsidRPr="00496A4D">
        <w:rPr>
          <w:lang w:eastAsia="ja-JP"/>
        </w:rPr>
        <w:fldChar w:fldCharType="end"/>
      </w:r>
      <w:r w:rsidRPr="00A52AB8">
        <w:rPr>
          <w:lang w:eastAsia="ja-JP"/>
        </w:rPr>
        <w:t>)</w:t>
      </w:r>
    </w:p>
    <w:p w14:paraId="7665625E" w14:textId="77777777" w:rsidR="008D0DDB" w:rsidRPr="00A52AB8" w:rsidRDefault="008D0DDB" w:rsidP="00EE3D19">
      <w:pPr>
        <w:pStyle w:val="a4"/>
        <w:numPr>
          <w:ilvl w:val="4"/>
          <w:numId w:val="14"/>
        </w:numPr>
        <w:outlineLvl w:val="4"/>
      </w:pPr>
      <w:bookmarkStart w:id="6244" w:name="_Ref46398967"/>
      <w:r w:rsidRPr="00A52AB8">
        <w:t xml:space="preserve">Decoding process for </w:t>
      </w:r>
      <w:r w:rsidR="00E63010" w:rsidRPr="00A52AB8">
        <w:t>patch data unit</w:t>
      </w:r>
      <w:r w:rsidRPr="00A52AB8">
        <w:t xml:space="preserve">s coded in </w:t>
      </w:r>
      <w:r w:rsidR="001175B2" w:rsidRPr="00A52AB8">
        <w:t>merge</w:t>
      </w:r>
      <w:r w:rsidRPr="00A52AB8">
        <w:t xml:space="preserve"> prediction mode</w:t>
      </w:r>
      <w:bookmarkEnd w:id="6244"/>
    </w:p>
    <w:p w14:paraId="2A7BB1C7" w14:textId="0AD3C322" w:rsidR="002D61D4" w:rsidRPr="00A52AB8" w:rsidRDefault="002D61D4" w:rsidP="00792CFF">
      <w:pPr>
        <w:rPr>
          <w:lang w:eastAsia="ja-JP"/>
        </w:rPr>
      </w:pPr>
      <w:r w:rsidRPr="00A52AB8">
        <w:rPr>
          <w:lang w:eastAsia="ja-JP"/>
        </w:rPr>
        <w:t xml:space="preserve">The specifications in subclause </w:t>
      </w:r>
      <w:r w:rsidR="00251070" w:rsidRPr="00496A4D">
        <w:rPr>
          <w:lang w:eastAsia="ja-JP"/>
        </w:rPr>
        <w:fldChar w:fldCharType="begin"/>
      </w:r>
      <w:r w:rsidR="00251070" w:rsidRPr="00A52AB8">
        <w:rPr>
          <w:lang w:eastAsia="ja-JP"/>
        </w:rPr>
        <w:instrText xml:space="preserve"> REF _Ref21509822 \r \h </w:instrText>
      </w:r>
      <w:r w:rsidR="00851254" w:rsidRPr="00A52AB8">
        <w:rPr>
          <w:lang w:eastAsia="ja-JP"/>
        </w:rPr>
        <w:instrText xml:space="preserve"> \* MERGEFORMAT </w:instrText>
      </w:r>
      <w:r w:rsidR="00251070" w:rsidRPr="00496A4D">
        <w:rPr>
          <w:lang w:eastAsia="ja-JP"/>
        </w:rPr>
      </w:r>
      <w:r w:rsidR="00251070" w:rsidRPr="00496A4D">
        <w:rPr>
          <w:lang w:eastAsia="ja-JP"/>
        </w:rPr>
        <w:fldChar w:fldCharType="separate"/>
      </w:r>
      <w:r w:rsidR="00507A67">
        <w:rPr>
          <w:lang w:eastAsia="ja-JP"/>
        </w:rPr>
        <w:t>9.2.5.4</w:t>
      </w:r>
      <w:r w:rsidR="00251070" w:rsidRPr="00496A4D">
        <w:rPr>
          <w:lang w:eastAsia="ja-JP"/>
        </w:rPr>
        <w:fldChar w:fldCharType="end"/>
      </w:r>
      <w:r w:rsidRPr="00A52AB8">
        <w:rPr>
          <w:lang w:eastAsia="ja-JP"/>
        </w:rPr>
        <w:t xml:space="preserve"> apply with the following modifications and additions:</w:t>
      </w:r>
    </w:p>
    <w:p w14:paraId="665FDC0F" w14:textId="77777777" w:rsidR="002F72C0" w:rsidRPr="00A52AB8" w:rsidRDefault="002F72C0" w:rsidP="002F72C0">
      <w:pPr>
        <w:rPr>
          <w:color w:val="000000" w:themeColor="text1"/>
        </w:rPr>
      </w:pPr>
      <w:r w:rsidRPr="00A52AB8">
        <w:t xml:space="preserve">First, the reference atlas frame index, refIdx, is derived as </w:t>
      </w:r>
      <w:r w:rsidRPr="00A52AB8">
        <w:rPr>
          <w:color w:val="000000" w:themeColor="text1"/>
        </w:rPr>
        <w:t>mpdu_ref_index[ </w:t>
      </w:r>
      <w:r w:rsidR="00632FA7" w:rsidRPr="00A52AB8">
        <w:rPr>
          <w:color w:val="000000" w:themeColor="text1"/>
        </w:rPr>
        <w:t>tileID</w:t>
      </w:r>
      <w:r w:rsidRPr="00A52AB8">
        <w:rPr>
          <w:color w:val="000000" w:themeColor="text1"/>
        </w:rPr>
        <w:t> ][ p ].</w:t>
      </w:r>
    </w:p>
    <w:p w14:paraId="068A1135" w14:textId="77777777" w:rsidR="00FC36FA" w:rsidRPr="00A52AB8" w:rsidRDefault="00FC36FA" w:rsidP="00FC36FA">
      <w:pPr>
        <w:rPr>
          <w:color w:val="000000" w:themeColor="text1"/>
        </w:rPr>
      </w:pPr>
      <w:r w:rsidRPr="00A52AB8">
        <w:rPr>
          <w:color w:val="000000" w:themeColor="text1"/>
        </w:rPr>
        <w:t xml:space="preserve">Then the reference atlas frame, refAtlasFrm, is selected as the atlas frame corresponding to the ( refIdx + 1 )-th entry in the reference atlas frame list </w:t>
      </w:r>
      <w:r w:rsidRPr="00A52AB8">
        <w:t>RefAtlasFrmList, RefAtlasFrmList[ refIdx ].</w:t>
      </w:r>
    </w:p>
    <w:p w14:paraId="79C2C4FD" w14:textId="77777777" w:rsidR="00A3231D" w:rsidRPr="00A52AB8" w:rsidRDefault="00A3231D" w:rsidP="00A3231D">
      <w:pPr>
        <w:pStyle w:val="Equation"/>
        <w:spacing w:before="120" w:after="120"/>
        <w:rPr>
          <w:color w:val="000000" w:themeColor="text1"/>
          <w:lang w:eastAsia="ja-JP"/>
        </w:rPr>
      </w:pPr>
      <w:r w:rsidRPr="00A52AB8">
        <w:rPr>
          <w:color w:val="000000" w:themeColor="text1"/>
          <w:lang w:eastAsia="ja-JP"/>
        </w:rPr>
        <w:t>If p is equal to 0, then PredictorIdx is set to 0.</w:t>
      </w:r>
    </w:p>
    <w:p w14:paraId="400C1A97" w14:textId="77777777" w:rsidR="00A3231D" w:rsidRPr="00A52AB8" w:rsidRDefault="00A3231D" w:rsidP="00A3231D">
      <w:pPr>
        <w:pStyle w:val="Equation"/>
        <w:spacing w:before="120" w:after="120"/>
        <w:rPr>
          <w:color w:val="000000" w:themeColor="text1"/>
          <w:lang w:eastAsia="ja-JP"/>
        </w:rPr>
      </w:pPr>
      <w:r w:rsidRPr="00A52AB8">
        <w:rPr>
          <w:color w:val="000000" w:themeColor="text1"/>
          <w:lang w:eastAsia="ja-JP"/>
        </w:rPr>
        <w:t xml:space="preserve">Then the corresponding patch index, </w:t>
      </w:r>
      <w:r w:rsidR="00207720" w:rsidRPr="00A52AB8">
        <w:rPr>
          <w:color w:val="000000" w:themeColor="text1"/>
          <w:lang w:eastAsia="ja-JP"/>
        </w:rPr>
        <w:t>RefPatchIdx, in the reference atlas frame, refAtlasFrm, for the current tile is computed as:</w:t>
      </w:r>
    </w:p>
    <w:p w14:paraId="2B64F649" w14:textId="5DFBBCA7" w:rsidR="00A3231D" w:rsidRPr="00A52AB8" w:rsidRDefault="00A3231D" w:rsidP="00A3231D">
      <w:pPr>
        <w:rPr>
          <w:lang w:eastAsia="ja-JP"/>
        </w:rPr>
      </w:pPr>
      <w:r w:rsidRPr="00A52AB8">
        <w:rPr>
          <w:lang w:eastAsia="ja-JP"/>
        </w:rPr>
        <w:tab/>
      </w:r>
      <w:r w:rsidR="005F4268" w:rsidRPr="00A52AB8">
        <w:rPr>
          <w:lang w:eastAsia="ja-JP"/>
        </w:rPr>
        <w:t>R</w:t>
      </w:r>
      <w:r w:rsidRPr="00A52AB8">
        <w:rPr>
          <w:lang w:eastAsia="ja-JP"/>
        </w:rPr>
        <w:t>efPatchIdx</w:t>
      </w:r>
      <w:r w:rsidR="00D47707" w:rsidRPr="00A52AB8">
        <w:rPr>
          <w:lang w:eastAsia="ja-JP"/>
        </w:rPr>
        <w:t> = </w:t>
      </w:r>
      <w:r w:rsidRPr="00A52AB8">
        <w:rPr>
          <w:lang w:eastAsia="ja-JP"/>
        </w:rPr>
        <w:t>PredictorIdx</w:t>
      </w:r>
      <w:r w:rsidR="00386F75" w:rsidRPr="00A52AB8">
        <w:rPr>
          <w:lang w:eastAsia="ja-JP"/>
        </w:rPr>
        <w:tab/>
      </w:r>
      <w:r w:rsidR="00EA5317" w:rsidRPr="00A52AB8">
        <w:rPr>
          <w:lang w:eastAsia="ja-JP"/>
        </w:rPr>
        <w:tab/>
      </w:r>
      <w:r w:rsidR="00EA5317" w:rsidRPr="00A52AB8">
        <w:rPr>
          <w:lang w:eastAsia="ja-JP"/>
        </w:rPr>
        <w:tab/>
      </w:r>
      <w:r w:rsidR="00EA5317" w:rsidRPr="00A52AB8">
        <w:rPr>
          <w:lang w:eastAsia="ja-JP"/>
        </w:rPr>
        <w:tab/>
      </w:r>
      <w:r w:rsidR="00EA5317" w:rsidRPr="00A52AB8">
        <w:rPr>
          <w:lang w:eastAsia="ja-JP"/>
        </w:rPr>
        <w:tab/>
      </w:r>
      <w:r w:rsidR="00386F75" w:rsidRPr="00A52AB8">
        <w:rPr>
          <w:lang w:eastAsia="ja-JP"/>
        </w:rPr>
        <w:t>(H</w:t>
      </w:r>
      <w:r w:rsidR="00386F75" w:rsidRPr="00A52AB8">
        <w:rPr>
          <w:lang w:eastAsia="ja-JP"/>
        </w:rPr>
        <w:noBreakHyphen/>
      </w:r>
      <w:r w:rsidR="00386F75" w:rsidRPr="00496A4D">
        <w:rPr>
          <w:lang w:eastAsia="ja-JP"/>
        </w:rPr>
        <w:fldChar w:fldCharType="begin"/>
      </w:r>
      <w:r w:rsidR="00386F75" w:rsidRPr="00A52AB8">
        <w:rPr>
          <w:lang w:eastAsia="ja-JP"/>
        </w:rPr>
        <w:instrText xml:space="preserve"> SEQ Equation \* ARABIC \s 1 </w:instrText>
      </w:r>
      <w:r w:rsidR="00386F75" w:rsidRPr="00496A4D">
        <w:rPr>
          <w:lang w:eastAsia="ja-JP"/>
        </w:rPr>
        <w:fldChar w:fldCharType="separate"/>
      </w:r>
      <w:r w:rsidR="00507A67">
        <w:rPr>
          <w:noProof/>
          <w:lang w:eastAsia="ja-JP"/>
        </w:rPr>
        <w:t>15</w:t>
      </w:r>
      <w:r w:rsidR="00386F75" w:rsidRPr="00496A4D">
        <w:rPr>
          <w:lang w:eastAsia="ja-JP"/>
        </w:rPr>
        <w:fldChar w:fldCharType="end"/>
      </w:r>
      <w:r w:rsidR="00386F75" w:rsidRPr="00A52AB8">
        <w:rPr>
          <w:lang w:eastAsia="ja-JP"/>
        </w:rPr>
        <w:t>)</w:t>
      </w:r>
    </w:p>
    <w:p w14:paraId="5B4929C8" w14:textId="77777777" w:rsidR="00A3231D" w:rsidRPr="00A52AB8" w:rsidRDefault="00A3231D" w:rsidP="00A3231D">
      <w:pPr>
        <w:pStyle w:val="Equation"/>
        <w:spacing w:before="120" w:after="120"/>
        <w:rPr>
          <w:color w:val="000000" w:themeColor="text1"/>
        </w:rPr>
      </w:pPr>
      <w:r w:rsidRPr="00A52AB8">
        <w:rPr>
          <w:color w:val="000000" w:themeColor="text1"/>
        </w:rPr>
        <w:t xml:space="preserve">and PredictorIdx is set to </w:t>
      </w:r>
      <w:r w:rsidR="005F4268" w:rsidRPr="00A52AB8">
        <w:rPr>
          <w:color w:val="000000" w:themeColor="text1"/>
        </w:rPr>
        <w:t>R</w:t>
      </w:r>
      <w:r w:rsidRPr="00A52AB8">
        <w:rPr>
          <w:color w:val="000000" w:themeColor="text1"/>
        </w:rPr>
        <w:t>efPatchIdx + 1.</w:t>
      </w:r>
    </w:p>
    <w:p w14:paraId="436F31FE" w14:textId="024449FE" w:rsidR="00CB2378" w:rsidRPr="00A52AB8" w:rsidRDefault="00830A45" w:rsidP="00830A45">
      <w:pPr>
        <w:pStyle w:val="Equation"/>
        <w:spacing w:before="120" w:after="120"/>
        <w:jc w:val="both"/>
        <w:rPr>
          <w:color w:val="000000" w:themeColor="text1"/>
        </w:rPr>
      </w:pPr>
      <w:r w:rsidRPr="00A52AB8">
        <w:rPr>
          <w:color w:val="000000" w:themeColor="text1"/>
        </w:rPr>
        <w:t xml:space="preserve">The process described in </w:t>
      </w:r>
      <w:r w:rsidR="006365E4" w:rsidRPr="00A52AB8">
        <w:rPr>
          <w:color w:val="000000" w:themeColor="text1"/>
        </w:rPr>
        <w:t xml:space="preserve">subclause </w:t>
      </w:r>
      <w:r w:rsidR="00EC35FF" w:rsidRPr="00496A4D">
        <w:rPr>
          <w:color w:val="000000" w:themeColor="text1"/>
        </w:rPr>
        <w:fldChar w:fldCharType="begin"/>
      </w:r>
      <w:r w:rsidR="00EC35FF" w:rsidRPr="00A52AB8">
        <w:rPr>
          <w:color w:val="000000" w:themeColor="text1"/>
        </w:rPr>
        <w:instrText xml:space="preserve"> REF _Ref46275299 \r \h </w:instrText>
      </w:r>
      <w:r w:rsidR="00CA5401" w:rsidRPr="00A52AB8">
        <w:rPr>
          <w:color w:val="000000" w:themeColor="text1"/>
        </w:rPr>
        <w:instrText xml:space="preserve"> \* MERGEFORMAT </w:instrText>
      </w:r>
      <w:r w:rsidR="00EC35FF" w:rsidRPr="00496A4D">
        <w:rPr>
          <w:color w:val="000000" w:themeColor="text1"/>
        </w:rPr>
      </w:r>
      <w:r w:rsidR="00EC35FF" w:rsidRPr="00496A4D">
        <w:rPr>
          <w:color w:val="000000" w:themeColor="text1"/>
        </w:rPr>
        <w:fldChar w:fldCharType="separate"/>
      </w:r>
      <w:r w:rsidR="00507A67">
        <w:rPr>
          <w:color w:val="000000" w:themeColor="text1"/>
        </w:rPr>
        <w:t>H.9.2.5.5.2</w:t>
      </w:r>
      <w:r w:rsidR="00EC35FF" w:rsidRPr="00496A4D">
        <w:rPr>
          <w:color w:val="000000" w:themeColor="text1"/>
        </w:rPr>
        <w:fldChar w:fldCharType="end"/>
      </w:r>
      <w:r w:rsidRPr="00A52AB8">
        <w:rPr>
          <w:color w:val="000000" w:themeColor="text1"/>
        </w:rPr>
        <w:t xml:space="preserve"> is </w:t>
      </w:r>
      <w:r w:rsidR="00CB2378" w:rsidRPr="00A52AB8">
        <w:rPr>
          <w:color w:val="000000" w:themeColor="text1"/>
        </w:rPr>
        <w:t xml:space="preserve">invoked with the variables refIdx, RefPatchIdx, and tileID as inputs, and the </w:t>
      </w:r>
      <w:r w:rsidR="009069AB" w:rsidRPr="00A52AB8">
        <w:rPr>
          <w:color w:val="000000" w:themeColor="text1"/>
        </w:rPr>
        <w:t>outputs</w:t>
      </w:r>
      <w:r w:rsidR="00CB2378" w:rsidRPr="00A52AB8">
        <w:rPr>
          <w:color w:val="000000" w:themeColor="text1"/>
        </w:rPr>
        <w:t xml:space="preserve"> are the variables refPatchType, ref</w:t>
      </w:r>
      <w:r w:rsidR="00CB2378" w:rsidRPr="00A52AB8">
        <w:rPr>
          <w:lang w:eastAsia="ja-JP"/>
        </w:rPr>
        <w:t xml:space="preserve">Patch2dPosX, refPatch2dPosY, refPatch2dSizeX, refPatch2dSizeY, refPatch3dOffsetU, refPatch3dOffsetV, refPatch3dOffsetD, refPatch3dRangeD, refPatchProjectionID, refPatchOrientationIndex, refPatchLoDScaleX, refPachLoDScaleY, refPatchRawPoints, </w:t>
      </w:r>
      <w:r w:rsidR="00CB2378" w:rsidRPr="00A52AB8">
        <w:rPr>
          <w:color w:val="000000" w:themeColor="text1"/>
        </w:rPr>
        <w:t xml:space="preserve">refPatchEomPatchCount, refPatchAxisU, refPatchAxisV, refPatchAxisD, refPatch45DegreeMode, and refPatchProjectionFlag, the 1D arrays </w:t>
      </w:r>
      <w:r w:rsidR="00CB2378" w:rsidRPr="00A52AB8">
        <w:t>refP</w:t>
      </w:r>
      <w:r w:rsidR="00CB2378" w:rsidRPr="00A52AB8">
        <w:rPr>
          <w:color w:val="000000" w:themeColor="text1"/>
        </w:rPr>
        <w:t xml:space="preserve">atchAssociatedPatchIndex and </w:t>
      </w:r>
      <w:r w:rsidR="00CB2378" w:rsidRPr="00A52AB8">
        <w:rPr>
          <w:lang w:eastAsia="ja-JP"/>
        </w:rPr>
        <w:t>ref</w:t>
      </w:r>
      <w:r w:rsidR="00CB2378" w:rsidRPr="00A52AB8">
        <w:rPr>
          <w:color w:val="000000" w:themeColor="text1"/>
        </w:rPr>
        <w:t xml:space="preserve">PatchEomPoints, </w:t>
      </w:r>
      <w:r w:rsidR="00CB2378" w:rsidRPr="00A52AB8">
        <w:rPr>
          <w:lang w:eastAsia="ja-JP"/>
        </w:rPr>
        <w:t xml:space="preserve">and, if asps_plr_enabled_flag is equal to 1, the 1D arrays </w:t>
      </w:r>
      <w:r w:rsidR="00CB2378" w:rsidRPr="00A52AB8">
        <w:rPr>
          <w:color w:val="000000" w:themeColor="text1"/>
        </w:rPr>
        <w:t>refPatchPlrdLevel, refPatchPlrdPresentFlag, and refPlrdModeMinus1, and the 2D arrays refPatchPlrdPresentBlockFlag and refPatchPlrdBlockModeMinus1</w:t>
      </w:r>
      <w:r w:rsidR="00CB2378" w:rsidRPr="00A52AB8">
        <w:rPr>
          <w:lang w:eastAsia="ja-JP"/>
        </w:rPr>
        <w:t>.</w:t>
      </w:r>
    </w:p>
    <w:p w14:paraId="20D4C0A4" w14:textId="528B41FC" w:rsidR="00830A45" w:rsidRPr="00A52AB8" w:rsidRDefault="00830A45" w:rsidP="00830A45">
      <w:pPr>
        <w:pStyle w:val="Equation"/>
        <w:spacing w:before="120" w:after="120"/>
        <w:jc w:val="both"/>
        <w:rPr>
          <w:color w:val="000000" w:themeColor="text1"/>
        </w:rPr>
      </w:pPr>
      <w:r w:rsidRPr="00A52AB8">
        <w:rPr>
          <w:color w:val="000000" w:themeColor="text1"/>
        </w:rPr>
        <w:t xml:space="preserve">It is a requirement of bitstream conformance that </w:t>
      </w:r>
      <w:r w:rsidR="00440C68" w:rsidRPr="00A52AB8">
        <w:rPr>
          <w:color w:val="000000" w:themeColor="text1"/>
        </w:rPr>
        <w:t>refPatchType</w:t>
      </w:r>
      <w:r w:rsidRPr="00A52AB8">
        <w:rPr>
          <w:color w:val="000000" w:themeColor="text1"/>
        </w:rPr>
        <w:t xml:space="preserve"> is equal to</w:t>
      </w:r>
      <w:r w:rsidR="00440C68" w:rsidRPr="00A52AB8">
        <w:rPr>
          <w:color w:val="000000" w:themeColor="text1"/>
        </w:rPr>
        <w:t xml:space="preserve"> PROJECTED</w:t>
      </w:r>
      <w:r w:rsidRPr="00A52AB8">
        <w:rPr>
          <w:color w:val="000000" w:themeColor="text1"/>
        </w:rPr>
        <w:t>.</w:t>
      </w:r>
    </w:p>
    <w:p w14:paraId="1CEF0509" w14:textId="4C185E94" w:rsidR="0061708A" w:rsidRPr="00A52AB8" w:rsidRDefault="003B57FA" w:rsidP="00792CFF">
      <w:pPr>
        <w:rPr>
          <w:lang w:eastAsia="ja-JP"/>
        </w:rPr>
      </w:pPr>
      <w:r w:rsidRPr="00A52AB8">
        <w:rPr>
          <w:lang w:eastAsia="ja-JP"/>
        </w:rPr>
        <w:t>Then, t</w:t>
      </w:r>
      <w:r w:rsidR="000C495A" w:rsidRPr="00A52AB8">
        <w:rPr>
          <w:lang w:eastAsia="ja-JP"/>
        </w:rPr>
        <w:t>he</w:t>
      </w:r>
      <w:r w:rsidR="00202A0C" w:rsidRPr="00A52AB8">
        <w:rPr>
          <w:lang w:eastAsia="ja-JP"/>
        </w:rPr>
        <w:t>se additional</w:t>
      </w:r>
      <w:r w:rsidR="000C495A" w:rsidRPr="00A52AB8">
        <w:rPr>
          <w:lang w:eastAsia="ja-JP"/>
        </w:rPr>
        <w:t xml:space="preserve"> variables</w:t>
      </w:r>
      <w:r w:rsidR="00202A0C" w:rsidRPr="00A52AB8">
        <w:rPr>
          <w:lang w:eastAsia="ja-JP"/>
        </w:rPr>
        <w:t xml:space="preserve"> </w:t>
      </w:r>
      <w:r w:rsidR="000C495A" w:rsidRPr="00A52AB8">
        <w:rPr>
          <w:lang w:eastAsia="ja-JP"/>
        </w:rPr>
        <w:t>are derived:</w:t>
      </w:r>
    </w:p>
    <w:p w14:paraId="6DBB41D1" w14:textId="67E8904A" w:rsidR="00005C2B" w:rsidRPr="00A52AB8" w:rsidRDefault="00005C2B" w:rsidP="00386F75">
      <w:pPr>
        <w:rPr>
          <w:lang w:eastAsia="ja-JP"/>
        </w:rPr>
      </w:pPr>
      <w:r w:rsidRPr="00A52AB8">
        <w:rPr>
          <w:lang w:eastAsia="ja-JP"/>
        </w:rPr>
        <w:tab/>
      </w:r>
      <w:r w:rsidR="00CD11E0" w:rsidRPr="00A52AB8">
        <w:rPr>
          <w:lang w:eastAsia="ja-JP"/>
        </w:rPr>
        <w:t>Tile</w:t>
      </w:r>
      <w:r w:rsidR="00254895" w:rsidRPr="00A52AB8">
        <w:rPr>
          <w:lang w:eastAsia="ja-JP"/>
        </w:rPr>
        <w:t>PatchAxisU</w:t>
      </w:r>
      <w:r w:rsidRPr="00A52AB8">
        <w:rPr>
          <w:lang w:eastAsia="ja-JP"/>
        </w:rPr>
        <w:t>[</w:t>
      </w:r>
      <w:r w:rsidR="00386F75" w:rsidRPr="00A52AB8">
        <w:rPr>
          <w:lang w:eastAsia="ja-JP"/>
        </w:rPr>
        <w:t> </w:t>
      </w:r>
      <w:r w:rsidR="00632FA7" w:rsidRPr="00A52AB8">
        <w:rPr>
          <w:lang w:eastAsia="ja-JP"/>
        </w:rPr>
        <w:t>tileID</w:t>
      </w:r>
      <w:r w:rsidR="00386F75" w:rsidRPr="00A52AB8">
        <w:rPr>
          <w:lang w:eastAsia="ja-JP"/>
        </w:rPr>
        <w:t> </w:t>
      </w:r>
      <w:r w:rsidR="00E952BB" w:rsidRPr="00A52AB8">
        <w:rPr>
          <w:lang w:eastAsia="ja-JP"/>
        </w:rPr>
        <w:t>][ </w:t>
      </w:r>
      <w:r w:rsidRPr="00A52AB8">
        <w:rPr>
          <w:lang w:eastAsia="ja-JP"/>
        </w:rPr>
        <w:t>p</w:t>
      </w:r>
      <w:r w:rsidR="00E952BB" w:rsidRPr="00A52AB8">
        <w:rPr>
          <w:lang w:eastAsia="ja-JP"/>
        </w:rPr>
        <w:t> </w:t>
      </w:r>
      <w:r w:rsidRPr="00A52AB8">
        <w:rPr>
          <w:lang w:eastAsia="ja-JP"/>
        </w:rPr>
        <w:t>]</w:t>
      </w:r>
      <w:r w:rsidR="00D47707" w:rsidRPr="00A52AB8">
        <w:rPr>
          <w:lang w:eastAsia="ja-JP"/>
        </w:rPr>
        <w:t> = </w:t>
      </w:r>
      <w:r w:rsidRPr="00A52AB8">
        <w:rPr>
          <w:lang w:eastAsia="ja-JP"/>
        </w:rPr>
        <w:t>ref</w:t>
      </w:r>
      <w:r w:rsidR="00254895" w:rsidRPr="00A52AB8">
        <w:rPr>
          <w:lang w:eastAsia="ja-JP"/>
        </w:rPr>
        <w:t>PatchAxisU</w:t>
      </w:r>
      <w:r w:rsidRPr="00A52AB8">
        <w:rPr>
          <w:lang w:eastAsia="ja-JP"/>
        </w:rPr>
        <w:tab/>
      </w:r>
      <w:r w:rsidR="00491347" w:rsidRPr="00A52AB8">
        <w:rPr>
          <w:lang w:eastAsia="ja-JP"/>
        </w:rPr>
        <w:t>(H</w:t>
      </w:r>
      <w:r w:rsidR="00491347" w:rsidRPr="00A52AB8">
        <w:rPr>
          <w:lang w:eastAsia="ja-JP"/>
        </w:rPr>
        <w:noBreakHyphen/>
      </w:r>
      <w:r w:rsidR="00491347" w:rsidRPr="00496A4D">
        <w:rPr>
          <w:lang w:eastAsia="ja-JP"/>
        </w:rPr>
        <w:fldChar w:fldCharType="begin"/>
      </w:r>
      <w:r w:rsidR="00491347" w:rsidRPr="00A52AB8">
        <w:rPr>
          <w:lang w:eastAsia="ja-JP"/>
        </w:rPr>
        <w:instrText xml:space="preserve"> SEQ Equation \* ARABIC \s 1 </w:instrText>
      </w:r>
      <w:r w:rsidR="00491347" w:rsidRPr="00496A4D">
        <w:rPr>
          <w:lang w:eastAsia="ja-JP"/>
        </w:rPr>
        <w:fldChar w:fldCharType="separate"/>
      </w:r>
      <w:r w:rsidR="00507A67">
        <w:rPr>
          <w:noProof/>
          <w:lang w:eastAsia="ja-JP"/>
        </w:rPr>
        <w:t>16</w:t>
      </w:r>
      <w:r w:rsidR="00491347" w:rsidRPr="00496A4D">
        <w:rPr>
          <w:lang w:eastAsia="ja-JP"/>
        </w:rPr>
        <w:fldChar w:fldCharType="end"/>
      </w:r>
      <w:r w:rsidR="00491347" w:rsidRPr="00A52AB8">
        <w:rPr>
          <w:lang w:eastAsia="ja-JP"/>
        </w:rPr>
        <w:t>)</w:t>
      </w:r>
    </w:p>
    <w:p w14:paraId="43D8D966" w14:textId="528A620D" w:rsidR="00005C2B" w:rsidRPr="00A52AB8" w:rsidRDefault="00005C2B" w:rsidP="00491347">
      <w:pPr>
        <w:rPr>
          <w:lang w:eastAsia="ja-JP"/>
        </w:rPr>
      </w:pPr>
      <w:r w:rsidRPr="00A52AB8">
        <w:rPr>
          <w:lang w:eastAsia="ja-JP"/>
        </w:rPr>
        <w:tab/>
      </w:r>
      <w:r w:rsidR="00CD11E0" w:rsidRPr="00A52AB8">
        <w:rPr>
          <w:lang w:eastAsia="ja-JP"/>
        </w:rPr>
        <w:t>Tile</w:t>
      </w:r>
      <w:r w:rsidR="00254895" w:rsidRPr="00A52AB8">
        <w:rPr>
          <w:lang w:eastAsia="ja-JP"/>
        </w:rPr>
        <w:t>PatchAxisV</w:t>
      </w:r>
      <w:r w:rsidRPr="00A52AB8">
        <w:rPr>
          <w:lang w:eastAsia="ja-JP"/>
        </w:rPr>
        <w:t>[</w:t>
      </w:r>
      <w:r w:rsidR="00386F75" w:rsidRPr="00A52AB8">
        <w:rPr>
          <w:lang w:eastAsia="ja-JP"/>
        </w:rPr>
        <w:t> </w:t>
      </w:r>
      <w:r w:rsidR="00632FA7" w:rsidRPr="00A52AB8">
        <w:rPr>
          <w:lang w:eastAsia="ja-JP"/>
        </w:rPr>
        <w:t>tileID</w:t>
      </w:r>
      <w:r w:rsidR="00386F75" w:rsidRPr="00A52AB8">
        <w:rPr>
          <w:lang w:eastAsia="ja-JP"/>
        </w:rPr>
        <w:t> </w:t>
      </w:r>
      <w:r w:rsidRPr="00A52AB8">
        <w:rPr>
          <w:lang w:eastAsia="ja-JP"/>
        </w:rPr>
        <w:t>][</w:t>
      </w:r>
      <w:r w:rsidR="00E952BB" w:rsidRPr="00A52AB8">
        <w:rPr>
          <w:lang w:eastAsia="ja-JP"/>
        </w:rPr>
        <w:t> </w:t>
      </w:r>
      <w:r w:rsidRPr="00A52AB8">
        <w:rPr>
          <w:lang w:eastAsia="ja-JP"/>
        </w:rPr>
        <w:t>p</w:t>
      </w:r>
      <w:r w:rsidR="00E952BB" w:rsidRPr="00A52AB8">
        <w:rPr>
          <w:lang w:eastAsia="ja-JP"/>
        </w:rPr>
        <w:t> </w:t>
      </w:r>
      <w:r w:rsidRPr="00A52AB8">
        <w:rPr>
          <w:lang w:eastAsia="ja-JP"/>
        </w:rPr>
        <w:t>]</w:t>
      </w:r>
      <w:r w:rsidR="00D47707" w:rsidRPr="00A52AB8">
        <w:rPr>
          <w:lang w:eastAsia="ja-JP"/>
        </w:rPr>
        <w:t> = </w:t>
      </w:r>
      <w:r w:rsidRPr="00A52AB8">
        <w:rPr>
          <w:lang w:eastAsia="ja-JP"/>
        </w:rPr>
        <w:t>ref</w:t>
      </w:r>
      <w:r w:rsidR="00254895" w:rsidRPr="00A52AB8">
        <w:rPr>
          <w:lang w:eastAsia="ja-JP"/>
        </w:rPr>
        <w:t>PatchAxisV</w:t>
      </w:r>
      <w:r w:rsidRPr="00A52AB8">
        <w:rPr>
          <w:lang w:eastAsia="ja-JP"/>
        </w:rPr>
        <w:tab/>
      </w:r>
      <w:r w:rsidR="00491347" w:rsidRPr="00A52AB8">
        <w:rPr>
          <w:lang w:eastAsia="ja-JP"/>
        </w:rPr>
        <w:t>(H</w:t>
      </w:r>
      <w:r w:rsidR="00491347" w:rsidRPr="00A52AB8">
        <w:rPr>
          <w:lang w:eastAsia="ja-JP"/>
        </w:rPr>
        <w:noBreakHyphen/>
      </w:r>
      <w:r w:rsidR="00491347" w:rsidRPr="00496A4D">
        <w:rPr>
          <w:lang w:eastAsia="ja-JP"/>
        </w:rPr>
        <w:fldChar w:fldCharType="begin"/>
      </w:r>
      <w:r w:rsidR="00491347" w:rsidRPr="00A52AB8">
        <w:rPr>
          <w:lang w:eastAsia="ja-JP"/>
        </w:rPr>
        <w:instrText xml:space="preserve"> SEQ Equation \* ARABIC \s 1 </w:instrText>
      </w:r>
      <w:r w:rsidR="00491347" w:rsidRPr="00496A4D">
        <w:rPr>
          <w:lang w:eastAsia="ja-JP"/>
        </w:rPr>
        <w:fldChar w:fldCharType="separate"/>
      </w:r>
      <w:r w:rsidR="00507A67">
        <w:rPr>
          <w:noProof/>
          <w:lang w:eastAsia="ja-JP"/>
        </w:rPr>
        <w:t>17</w:t>
      </w:r>
      <w:r w:rsidR="00491347" w:rsidRPr="00496A4D">
        <w:rPr>
          <w:lang w:eastAsia="ja-JP"/>
        </w:rPr>
        <w:fldChar w:fldCharType="end"/>
      </w:r>
      <w:r w:rsidR="00491347" w:rsidRPr="00A52AB8">
        <w:rPr>
          <w:lang w:eastAsia="ja-JP"/>
        </w:rPr>
        <w:t>)</w:t>
      </w:r>
    </w:p>
    <w:p w14:paraId="7118FC3D" w14:textId="71E13121" w:rsidR="00491347" w:rsidRPr="00A52AB8" w:rsidRDefault="00491347" w:rsidP="007871A0">
      <w:pPr>
        <w:rPr>
          <w:lang w:eastAsia="ja-JP"/>
        </w:rPr>
      </w:pPr>
      <w:r w:rsidRPr="00A52AB8">
        <w:rPr>
          <w:lang w:eastAsia="ja-JP"/>
        </w:rPr>
        <w:tab/>
        <w:t>Tile</w:t>
      </w:r>
      <w:r w:rsidR="00254895" w:rsidRPr="00A52AB8">
        <w:rPr>
          <w:lang w:eastAsia="ja-JP"/>
        </w:rPr>
        <w:t>PatchAxisD</w:t>
      </w:r>
      <w:r w:rsidRPr="00A52AB8">
        <w:rPr>
          <w:lang w:eastAsia="ja-JP"/>
        </w:rPr>
        <w:t>[</w:t>
      </w:r>
      <w:r w:rsidR="00386F75" w:rsidRPr="00A52AB8">
        <w:rPr>
          <w:lang w:eastAsia="ja-JP"/>
        </w:rPr>
        <w:t> </w:t>
      </w:r>
      <w:r w:rsidR="00632FA7" w:rsidRPr="00A52AB8">
        <w:rPr>
          <w:lang w:eastAsia="ja-JP"/>
        </w:rPr>
        <w:t>tileID</w:t>
      </w:r>
      <w:r w:rsidR="00386F75" w:rsidRPr="00A52AB8">
        <w:rPr>
          <w:lang w:eastAsia="ja-JP"/>
        </w:rPr>
        <w:t> </w:t>
      </w:r>
      <w:r w:rsidRPr="00A52AB8">
        <w:rPr>
          <w:lang w:eastAsia="ja-JP"/>
        </w:rPr>
        <w:t>][</w:t>
      </w:r>
      <w:r w:rsidR="00E952BB" w:rsidRPr="00A52AB8">
        <w:rPr>
          <w:lang w:eastAsia="ja-JP"/>
        </w:rPr>
        <w:t> </w:t>
      </w:r>
      <w:r w:rsidRPr="00A52AB8">
        <w:rPr>
          <w:lang w:eastAsia="ja-JP"/>
        </w:rPr>
        <w:t>p</w:t>
      </w:r>
      <w:r w:rsidR="00E952BB" w:rsidRPr="00A52AB8">
        <w:rPr>
          <w:lang w:eastAsia="ja-JP"/>
        </w:rPr>
        <w:t> </w:t>
      </w:r>
      <w:r w:rsidRPr="00A52AB8">
        <w:rPr>
          <w:lang w:eastAsia="ja-JP"/>
        </w:rPr>
        <w:t>]</w:t>
      </w:r>
      <w:r w:rsidR="00D47707" w:rsidRPr="00A52AB8">
        <w:rPr>
          <w:lang w:eastAsia="ja-JP"/>
        </w:rPr>
        <w:t> = </w:t>
      </w:r>
      <w:r w:rsidRPr="00A52AB8">
        <w:rPr>
          <w:lang w:eastAsia="ja-JP"/>
        </w:rPr>
        <w:t>ref</w:t>
      </w:r>
      <w:r w:rsidR="00254895" w:rsidRPr="00A52AB8">
        <w:rPr>
          <w:lang w:eastAsia="ja-JP"/>
        </w:rPr>
        <w:t>PatchAxisD</w:t>
      </w:r>
      <w:r w:rsidRPr="00A52AB8">
        <w:rPr>
          <w:lang w:eastAsia="ja-JP"/>
        </w:rPr>
        <w:tab/>
        <w:t>(H</w:t>
      </w:r>
      <w:r w:rsidRPr="00A52AB8">
        <w:rPr>
          <w:lang w:eastAsia="ja-JP"/>
        </w:rPr>
        <w:noBreakHyphen/>
      </w:r>
      <w:r w:rsidRPr="00496A4D">
        <w:rPr>
          <w:lang w:eastAsia="ja-JP"/>
        </w:rPr>
        <w:fldChar w:fldCharType="begin"/>
      </w:r>
      <w:r w:rsidRPr="00A52AB8">
        <w:rPr>
          <w:lang w:eastAsia="ja-JP"/>
        </w:rPr>
        <w:instrText xml:space="preserve"> SEQ Equation \* ARABIC \s 1 </w:instrText>
      </w:r>
      <w:r w:rsidRPr="00496A4D">
        <w:rPr>
          <w:lang w:eastAsia="ja-JP"/>
        </w:rPr>
        <w:fldChar w:fldCharType="separate"/>
      </w:r>
      <w:r w:rsidR="00507A67">
        <w:rPr>
          <w:noProof/>
          <w:lang w:eastAsia="ja-JP"/>
        </w:rPr>
        <w:t>18</w:t>
      </w:r>
      <w:r w:rsidRPr="00496A4D">
        <w:rPr>
          <w:lang w:eastAsia="ja-JP"/>
        </w:rPr>
        <w:fldChar w:fldCharType="end"/>
      </w:r>
      <w:r w:rsidRPr="00A52AB8">
        <w:rPr>
          <w:lang w:eastAsia="ja-JP"/>
        </w:rPr>
        <w:t>)</w:t>
      </w:r>
    </w:p>
    <w:p w14:paraId="6691965C" w14:textId="6331111D" w:rsidR="00005C2B" w:rsidRPr="00A52AB8" w:rsidRDefault="00005C2B" w:rsidP="007871A0">
      <w:pPr>
        <w:rPr>
          <w:lang w:eastAsia="ja-JP"/>
        </w:rPr>
      </w:pPr>
      <w:r w:rsidRPr="00A52AB8">
        <w:rPr>
          <w:lang w:eastAsia="ja-JP"/>
        </w:rPr>
        <w:tab/>
      </w:r>
      <w:r w:rsidR="00CD11E0" w:rsidRPr="00A52AB8">
        <w:rPr>
          <w:lang w:eastAsia="ja-JP"/>
        </w:rPr>
        <w:t>Tile</w:t>
      </w:r>
      <w:r w:rsidR="00440C68" w:rsidRPr="00A52AB8">
        <w:rPr>
          <w:lang w:eastAsia="ja-JP"/>
        </w:rPr>
        <w:t>Patch</w:t>
      </w:r>
      <w:r w:rsidR="00354BB6" w:rsidRPr="00A52AB8">
        <w:rPr>
          <w:lang w:eastAsia="ja-JP"/>
        </w:rPr>
        <w:t>45Degree</w:t>
      </w:r>
      <w:r w:rsidR="00440C68" w:rsidRPr="00A52AB8">
        <w:rPr>
          <w:lang w:eastAsia="ja-JP"/>
        </w:rPr>
        <w:t>Mode</w:t>
      </w:r>
      <w:r w:rsidRPr="00A52AB8">
        <w:rPr>
          <w:lang w:eastAsia="ja-JP"/>
        </w:rPr>
        <w:t>[</w:t>
      </w:r>
      <w:r w:rsidR="001C483D" w:rsidRPr="00A52AB8">
        <w:rPr>
          <w:lang w:eastAsia="ja-JP"/>
        </w:rPr>
        <w:t> </w:t>
      </w:r>
      <w:r w:rsidR="00632FA7" w:rsidRPr="00A52AB8">
        <w:rPr>
          <w:lang w:eastAsia="ja-JP"/>
        </w:rPr>
        <w:t>tileID</w:t>
      </w:r>
      <w:r w:rsidR="001C483D" w:rsidRPr="00A52AB8">
        <w:rPr>
          <w:lang w:eastAsia="ja-JP"/>
        </w:rPr>
        <w:t> </w:t>
      </w:r>
      <w:r w:rsidRPr="00A52AB8">
        <w:rPr>
          <w:lang w:eastAsia="ja-JP"/>
        </w:rPr>
        <w:t>][</w:t>
      </w:r>
      <w:r w:rsidR="001C483D" w:rsidRPr="00A52AB8">
        <w:rPr>
          <w:lang w:eastAsia="ja-JP"/>
        </w:rPr>
        <w:t> </w:t>
      </w:r>
      <w:r w:rsidRPr="00A52AB8">
        <w:rPr>
          <w:lang w:eastAsia="ja-JP"/>
        </w:rPr>
        <w:t>p</w:t>
      </w:r>
      <w:r w:rsidR="001C483D" w:rsidRPr="00A52AB8">
        <w:rPr>
          <w:lang w:eastAsia="ja-JP"/>
        </w:rPr>
        <w:t> </w:t>
      </w:r>
      <w:r w:rsidRPr="00A52AB8">
        <w:rPr>
          <w:lang w:eastAsia="ja-JP"/>
        </w:rPr>
        <w:t>]</w:t>
      </w:r>
      <w:r w:rsidR="00D47707" w:rsidRPr="00A52AB8">
        <w:rPr>
          <w:lang w:eastAsia="ja-JP"/>
        </w:rPr>
        <w:t> = </w:t>
      </w:r>
      <w:r w:rsidRPr="00A52AB8">
        <w:rPr>
          <w:lang w:eastAsia="ja-JP"/>
        </w:rPr>
        <w:t>ref</w:t>
      </w:r>
      <w:r w:rsidR="00440C68" w:rsidRPr="00A52AB8">
        <w:rPr>
          <w:lang w:eastAsia="ja-JP"/>
        </w:rPr>
        <w:t>Patch</w:t>
      </w:r>
      <w:r w:rsidR="00354BB6" w:rsidRPr="00A52AB8">
        <w:rPr>
          <w:lang w:eastAsia="ja-JP"/>
        </w:rPr>
        <w:t>45Degree</w:t>
      </w:r>
      <w:r w:rsidR="00440C68" w:rsidRPr="00A52AB8">
        <w:rPr>
          <w:lang w:eastAsia="ja-JP"/>
        </w:rPr>
        <w:t>Mode</w:t>
      </w:r>
      <w:r w:rsidRPr="00A52AB8">
        <w:rPr>
          <w:lang w:eastAsia="ja-JP"/>
        </w:rPr>
        <w:tab/>
      </w:r>
      <w:r w:rsidR="00491347" w:rsidRPr="00A52AB8">
        <w:rPr>
          <w:lang w:eastAsia="ja-JP"/>
        </w:rPr>
        <w:t>(H</w:t>
      </w:r>
      <w:r w:rsidR="00491347" w:rsidRPr="00A52AB8">
        <w:rPr>
          <w:lang w:eastAsia="ja-JP"/>
        </w:rPr>
        <w:noBreakHyphen/>
      </w:r>
      <w:r w:rsidR="00491347" w:rsidRPr="00496A4D">
        <w:rPr>
          <w:lang w:eastAsia="ja-JP"/>
        </w:rPr>
        <w:fldChar w:fldCharType="begin"/>
      </w:r>
      <w:r w:rsidR="00491347" w:rsidRPr="00A52AB8">
        <w:rPr>
          <w:lang w:eastAsia="ja-JP"/>
        </w:rPr>
        <w:instrText xml:space="preserve"> SEQ Equation \* ARABIC \s 1 </w:instrText>
      </w:r>
      <w:r w:rsidR="00491347" w:rsidRPr="00496A4D">
        <w:rPr>
          <w:lang w:eastAsia="ja-JP"/>
        </w:rPr>
        <w:fldChar w:fldCharType="separate"/>
      </w:r>
      <w:r w:rsidR="00507A67">
        <w:rPr>
          <w:noProof/>
          <w:lang w:eastAsia="ja-JP"/>
        </w:rPr>
        <w:t>19</w:t>
      </w:r>
      <w:r w:rsidR="00491347" w:rsidRPr="00496A4D">
        <w:rPr>
          <w:lang w:eastAsia="ja-JP"/>
        </w:rPr>
        <w:fldChar w:fldCharType="end"/>
      </w:r>
      <w:r w:rsidR="00491347" w:rsidRPr="00A52AB8">
        <w:rPr>
          <w:lang w:eastAsia="ja-JP"/>
        </w:rPr>
        <w:t>)</w:t>
      </w:r>
    </w:p>
    <w:p w14:paraId="5A5E26D5" w14:textId="025C8CAF" w:rsidR="00A235A7" w:rsidRPr="00A52AB8" w:rsidRDefault="00A235A7" w:rsidP="007871A0">
      <w:pPr>
        <w:rPr>
          <w:lang w:eastAsia="ja-JP"/>
        </w:rPr>
      </w:pPr>
      <w:r w:rsidRPr="00A52AB8">
        <w:rPr>
          <w:lang w:eastAsia="ja-JP"/>
        </w:rPr>
        <w:tab/>
        <w:t>TilePatchProjectionFlag[ tileID ][ p ]</w:t>
      </w:r>
      <w:r w:rsidR="00D47707" w:rsidRPr="00A52AB8">
        <w:rPr>
          <w:lang w:eastAsia="ja-JP"/>
        </w:rPr>
        <w:t> = </w:t>
      </w:r>
      <w:r w:rsidRPr="00A52AB8">
        <w:rPr>
          <w:lang w:eastAsia="ja-JP"/>
        </w:rPr>
        <w:t>refPatchProjectionFlag</w:t>
      </w:r>
      <w:r w:rsidRPr="00A52AB8">
        <w:rPr>
          <w:lang w:eastAsia="ja-JP"/>
        </w:rPr>
        <w:tab/>
        <w:t>(H</w:t>
      </w:r>
      <w:r w:rsidRPr="00A52AB8">
        <w:rPr>
          <w:lang w:eastAsia="ja-JP"/>
        </w:rPr>
        <w:noBreakHyphen/>
      </w:r>
      <w:r w:rsidRPr="00496A4D">
        <w:rPr>
          <w:lang w:eastAsia="ja-JP"/>
        </w:rPr>
        <w:fldChar w:fldCharType="begin"/>
      </w:r>
      <w:r w:rsidRPr="00A52AB8">
        <w:rPr>
          <w:lang w:eastAsia="ja-JP"/>
        </w:rPr>
        <w:instrText xml:space="preserve"> SEQ Equation \* ARABIC \s 1 </w:instrText>
      </w:r>
      <w:r w:rsidRPr="00496A4D">
        <w:rPr>
          <w:lang w:eastAsia="ja-JP"/>
        </w:rPr>
        <w:fldChar w:fldCharType="separate"/>
      </w:r>
      <w:r w:rsidR="00507A67">
        <w:rPr>
          <w:noProof/>
          <w:lang w:eastAsia="ja-JP"/>
        </w:rPr>
        <w:t>20</w:t>
      </w:r>
      <w:r w:rsidRPr="00496A4D">
        <w:rPr>
          <w:lang w:eastAsia="ja-JP"/>
        </w:rPr>
        <w:fldChar w:fldCharType="end"/>
      </w:r>
      <w:r w:rsidRPr="00A52AB8">
        <w:rPr>
          <w:lang w:eastAsia="ja-JP"/>
        </w:rPr>
        <w:t>)</w:t>
      </w:r>
    </w:p>
    <w:p w14:paraId="69049F34" w14:textId="77777777" w:rsidR="008653F5" w:rsidRPr="00A52AB8" w:rsidRDefault="00737C19" w:rsidP="00EE3D19">
      <w:pPr>
        <w:pStyle w:val="a4"/>
        <w:numPr>
          <w:ilvl w:val="4"/>
          <w:numId w:val="14"/>
        </w:numPr>
        <w:outlineLvl w:val="4"/>
      </w:pPr>
      <w:bookmarkStart w:id="6245" w:name="_Ref46398969"/>
      <w:r w:rsidRPr="00A52AB8">
        <w:t xml:space="preserve">Decoding process for </w:t>
      </w:r>
      <w:r w:rsidR="00E63010" w:rsidRPr="00A52AB8">
        <w:t>patch data unit</w:t>
      </w:r>
      <w:r w:rsidRPr="00A52AB8">
        <w:t xml:space="preserve">s coded in </w:t>
      </w:r>
      <w:r w:rsidR="0009468D" w:rsidRPr="00A52AB8">
        <w:t>inter</w:t>
      </w:r>
      <w:r w:rsidRPr="00A52AB8">
        <w:t xml:space="preserve"> prediction mode</w:t>
      </w:r>
      <w:bookmarkEnd w:id="6245"/>
    </w:p>
    <w:p w14:paraId="715C8852" w14:textId="2DAFE198" w:rsidR="00206906" w:rsidRPr="00A52AB8" w:rsidRDefault="008D489A" w:rsidP="00EE3D19">
      <w:pPr>
        <w:pStyle w:val="a4"/>
        <w:numPr>
          <w:ilvl w:val="5"/>
          <w:numId w:val="14"/>
        </w:numPr>
        <w:outlineLvl w:val="5"/>
      </w:pPr>
      <w:r w:rsidRPr="00A52AB8">
        <w:t>Gener</w:t>
      </w:r>
      <w:r w:rsidR="00C43799" w:rsidRPr="00A52AB8">
        <w:t>al</w:t>
      </w:r>
    </w:p>
    <w:p w14:paraId="05E6AA5A" w14:textId="5F0B248E" w:rsidR="005219CC" w:rsidRPr="00A52AB8" w:rsidRDefault="0037324B" w:rsidP="00AF2430">
      <w:pPr>
        <w:rPr>
          <w:lang w:eastAsia="ja-JP"/>
        </w:rPr>
      </w:pPr>
      <w:r w:rsidRPr="00A52AB8">
        <w:rPr>
          <w:lang w:eastAsia="ja-JP"/>
        </w:rPr>
        <w:t xml:space="preserve">The specifications in subclause </w:t>
      </w:r>
      <w:r w:rsidR="00C513EA" w:rsidRPr="00496A4D">
        <w:rPr>
          <w:lang w:eastAsia="ja-JP"/>
        </w:rPr>
        <w:fldChar w:fldCharType="begin"/>
      </w:r>
      <w:r w:rsidR="00C513EA" w:rsidRPr="00A52AB8">
        <w:rPr>
          <w:lang w:eastAsia="ja-JP"/>
        </w:rPr>
        <w:instrText xml:space="preserve"> REF _Ref46926590 \r \h </w:instrText>
      </w:r>
      <w:r w:rsidR="006371AA" w:rsidRPr="00A52AB8">
        <w:rPr>
          <w:lang w:eastAsia="ja-JP"/>
        </w:rPr>
        <w:instrText xml:space="preserve"> \* MERGEFORMAT </w:instrText>
      </w:r>
      <w:r w:rsidR="00C513EA" w:rsidRPr="00496A4D">
        <w:rPr>
          <w:lang w:eastAsia="ja-JP"/>
        </w:rPr>
      </w:r>
      <w:r w:rsidR="00C513EA" w:rsidRPr="00496A4D">
        <w:rPr>
          <w:lang w:eastAsia="ja-JP"/>
        </w:rPr>
        <w:fldChar w:fldCharType="separate"/>
      </w:r>
      <w:r w:rsidR="00507A67">
        <w:rPr>
          <w:lang w:eastAsia="ja-JP"/>
        </w:rPr>
        <w:t>9.2.5.5.1</w:t>
      </w:r>
      <w:r w:rsidR="00C513EA" w:rsidRPr="00496A4D">
        <w:rPr>
          <w:lang w:eastAsia="ja-JP"/>
        </w:rPr>
        <w:fldChar w:fldCharType="end"/>
      </w:r>
      <w:r w:rsidR="00C513EA" w:rsidRPr="00A52AB8">
        <w:rPr>
          <w:lang w:eastAsia="ja-JP"/>
        </w:rPr>
        <w:t xml:space="preserve"> </w:t>
      </w:r>
      <w:r w:rsidRPr="00A52AB8">
        <w:rPr>
          <w:lang w:eastAsia="ja-JP"/>
        </w:rPr>
        <w:t>apply with the following modifications and additions:</w:t>
      </w:r>
    </w:p>
    <w:p w14:paraId="7D21FC35" w14:textId="77777777" w:rsidR="00C00BEB" w:rsidRPr="00A52AB8" w:rsidRDefault="00C00BEB" w:rsidP="00C00BEB">
      <w:pPr>
        <w:rPr>
          <w:color w:val="000000" w:themeColor="text1"/>
        </w:rPr>
      </w:pPr>
      <w:r w:rsidRPr="00A52AB8">
        <w:t xml:space="preserve">First, the reference atlas frame index, refIdx, is derived as </w:t>
      </w:r>
      <w:r w:rsidRPr="00A52AB8">
        <w:rPr>
          <w:color w:val="000000" w:themeColor="text1"/>
        </w:rPr>
        <w:t>ipdu_ref_index[ </w:t>
      </w:r>
      <w:r w:rsidR="00632FA7" w:rsidRPr="00A52AB8">
        <w:rPr>
          <w:color w:val="000000" w:themeColor="text1"/>
        </w:rPr>
        <w:t>tileID</w:t>
      </w:r>
      <w:r w:rsidRPr="00A52AB8">
        <w:rPr>
          <w:color w:val="000000" w:themeColor="text1"/>
        </w:rPr>
        <w:t> ][ p ].</w:t>
      </w:r>
    </w:p>
    <w:p w14:paraId="1BD58254" w14:textId="77777777" w:rsidR="00C00BEB" w:rsidRPr="00A52AB8" w:rsidRDefault="00C00BEB" w:rsidP="00C00BEB">
      <w:pPr>
        <w:rPr>
          <w:color w:val="000000" w:themeColor="text1"/>
        </w:rPr>
      </w:pPr>
      <w:r w:rsidRPr="00A52AB8">
        <w:rPr>
          <w:color w:val="000000" w:themeColor="text1"/>
        </w:rPr>
        <w:t xml:space="preserve">Then the reference atlas frame, refAtlasFrm, is selected as the atlas frame corresponding to the ( refIdx + 1 )-th entry in the reference atlas frame list </w:t>
      </w:r>
      <w:r w:rsidRPr="00A52AB8">
        <w:t>RefAtlasFrmList, RefAtlasFrmList[ refIdx ].</w:t>
      </w:r>
    </w:p>
    <w:p w14:paraId="68F59AC4" w14:textId="77777777" w:rsidR="00C00BEB" w:rsidRPr="00A52AB8" w:rsidRDefault="00C00BEB" w:rsidP="00C00BEB">
      <w:pPr>
        <w:pStyle w:val="Equation"/>
        <w:spacing w:before="120" w:after="120"/>
        <w:rPr>
          <w:color w:val="000000" w:themeColor="text1"/>
          <w:lang w:eastAsia="ja-JP"/>
        </w:rPr>
      </w:pPr>
      <w:r w:rsidRPr="00A52AB8">
        <w:rPr>
          <w:color w:val="000000" w:themeColor="text1"/>
          <w:lang w:eastAsia="ja-JP"/>
        </w:rPr>
        <w:t>If p is equal to 0, then PredictorIdx is set to 0.</w:t>
      </w:r>
    </w:p>
    <w:p w14:paraId="313F51A2" w14:textId="4F6E4DCC" w:rsidR="00C00BEB" w:rsidRPr="00A52AB8" w:rsidRDefault="00C00BEB" w:rsidP="004A6049">
      <w:pPr>
        <w:pStyle w:val="Equation"/>
        <w:spacing w:before="120" w:after="120"/>
        <w:jc w:val="both"/>
        <w:rPr>
          <w:color w:val="000000" w:themeColor="text1"/>
          <w:lang w:eastAsia="ja-JP"/>
        </w:rPr>
      </w:pPr>
      <w:r w:rsidRPr="00A52AB8">
        <w:rPr>
          <w:color w:val="000000" w:themeColor="text1"/>
          <w:lang w:eastAsia="ja-JP"/>
        </w:rPr>
        <w:t>Then the corresponding patch index, RefPatchIdx, in the reference atlas frame, refAtlasFrm, for the</w:t>
      </w:r>
      <w:r w:rsidR="00EA5317" w:rsidRPr="00A52AB8">
        <w:rPr>
          <w:color w:val="000000" w:themeColor="text1"/>
          <w:lang w:eastAsia="ja-JP"/>
        </w:rPr>
        <w:t xml:space="preserve"> </w:t>
      </w:r>
      <w:r w:rsidRPr="00A52AB8">
        <w:rPr>
          <w:color w:val="000000" w:themeColor="text1"/>
          <w:lang w:eastAsia="ja-JP"/>
        </w:rPr>
        <w:t>current tile is computed as:</w:t>
      </w:r>
    </w:p>
    <w:p w14:paraId="652B7410" w14:textId="3BBBEDF0" w:rsidR="008A262C" w:rsidRPr="00A52AB8" w:rsidRDefault="008A262C" w:rsidP="008A262C">
      <w:pPr>
        <w:rPr>
          <w:lang w:eastAsia="ja-JP"/>
        </w:rPr>
      </w:pPr>
      <w:r w:rsidRPr="00A52AB8">
        <w:rPr>
          <w:lang w:eastAsia="ja-JP"/>
        </w:rPr>
        <w:tab/>
      </w:r>
      <w:r w:rsidR="00203CB9" w:rsidRPr="00A52AB8">
        <w:rPr>
          <w:lang w:eastAsia="ja-JP"/>
        </w:rPr>
        <w:t>R</w:t>
      </w:r>
      <w:r w:rsidRPr="00A52AB8">
        <w:rPr>
          <w:lang w:eastAsia="ja-JP"/>
        </w:rPr>
        <w:t>efPatchIdx</w:t>
      </w:r>
      <w:r w:rsidR="00D47707" w:rsidRPr="00A52AB8">
        <w:rPr>
          <w:lang w:eastAsia="ja-JP"/>
        </w:rPr>
        <w:t> = </w:t>
      </w:r>
      <w:r w:rsidRPr="00A52AB8">
        <w:rPr>
          <w:lang w:eastAsia="ja-JP"/>
        </w:rPr>
        <w:t>PredictorIdx</w:t>
      </w:r>
      <w:r w:rsidR="001C483D" w:rsidRPr="00A52AB8">
        <w:rPr>
          <w:lang w:eastAsia="ja-JP"/>
        </w:rPr>
        <w:t> </w:t>
      </w:r>
      <w:r w:rsidRPr="00A52AB8">
        <w:rPr>
          <w:lang w:eastAsia="ja-JP"/>
        </w:rPr>
        <w:t>+</w:t>
      </w:r>
      <w:r w:rsidR="001C483D" w:rsidRPr="00A52AB8">
        <w:rPr>
          <w:lang w:eastAsia="ja-JP"/>
        </w:rPr>
        <w:t> </w:t>
      </w:r>
      <w:r w:rsidRPr="00A52AB8">
        <w:rPr>
          <w:lang w:eastAsia="ja-JP"/>
        </w:rPr>
        <w:t>ipdu_patch_index</w:t>
      </w:r>
      <w:r w:rsidRPr="00A52AB8">
        <w:t>[ </w:t>
      </w:r>
      <w:r w:rsidR="00632FA7" w:rsidRPr="00A52AB8">
        <w:t>tileID</w:t>
      </w:r>
      <w:r w:rsidRPr="00A52AB8">
        <w:t> ]</w:t>
      </w:r>
      <w:r w:rsidRPr="00A52AB8">
        <w:rPr>
          <w:lang w:eastAsia="ja-JP"/>
        </w:rPr>
        <w:t>[ p ]</w:t>
      </w:r>
      <w:r w:rsidR="00A90820" w:rsidRPr="00A52AB8">
        <w:rPr>
          <w:lang w:eastAsia="ja-JP"/>
        </w:rPr>
        <w:tab/>
        <w:t>(H</w:t>
      </w:r>
      <w:r w:rsidR="00A90820" w:rsidRPr="00A52AB8">
        <w:rPr>
          <w:lang w:eastAsia="ja-JP"/>
        </w:rPr>
        <w:noBreakHyphen/>
      </w:r>
      <w:r w:rsidR="00A90820" w:rsidRPr="00496A4D">
        <w:rPr>
          <w:lang w:eastAsia="ja-JP"/>
        </w:rPr>
        <w:fldChar w:fldCharType="begin"/>
      </w:r>
      <w:r w:rsidR="00A90820" w:rsidRPr="00A52AB8">
        <w:rPr>
          <w:lang w:eastAsia="ja-JP"/>
        </w:rPr>
        <w:instrText xml:space="preserve"> SEQ Equation \* ARABIC \s 1 </w:instrText>
      </w:r>
      <w:r w:rsidR="00A90820" w:rsidRPr="00496A4D">
        <w:rPr>
          <w:lang w:eastAsia="ja-JP"/>
        </w:rPr>
        <w:fldChar w:fldCharType="separate"/>
      </w:r>
      <w:r w:rsidR="00507A67">
        <w:rPr>
          <w:noProof/>
          <w:lang w:eastAsia="ja-JP"/>
        </w:rPr>
        <w:t>21</w:t>
      </w:r>
      <w:r w:rsidR="00A90820" w:rsidRPr="00496A4D">
        <w:rPr>
          <w:lang w:eastAsia="ja-JP"/>
        </w:rPr>
        <w:fldChar w:fldCharType="end"/>
      </w:r>
      <w:r w:rsidR="00A90820" w:rsidRPr="00A52AB8">
        <w:rPr>
          <w:lang w:eastAsia="ja-JP"/>
        </w:rPr>
        <w:t>)</w:t>
      </w:r>
    </w:p>
    <w:p w14:paraId="4F107D34" w14:textId="5B8484B4" w:rsidR="008A262C" w:rsidRPr="00A52AB8" w:rsidRDefault="008A262C" w:rsidP="008A262C">
      <w:pPr>
        <w:pStyle w:val="Equation"/>
        <w:spacing w:before="120" w:after="120"/>
        <w:rPr>
          <w:color w:val="000000" w:themeColor="text1"/>
        </w:rPr>
      </w:pPr>
      <w:r w:rsidRPr="00A52AB8">
        <w:rPr>
          <w:color w:val="000000" w:themeColor="text1"/>
        </w:rPr>
        <w:t xml:space="preserve">and PredictorIdx is set to </w:t>
      </w:r>
      <w:r w:rsidR="008A2741" w:rsidRPr="00A52AB8">
        <w:rPr>
          <w:color w:val="000000" w:themeColor="text1"/>
        </w:rPr>
        <w:t>RefPatchIdx + </w:t>
      </w:r>
      <w:r w:rsidRPr="00A52AB8">
        <w:rPr>
          <w:color w:val="000000" w:themeColor="text1"/>
        </w:rPr>
        <w:t>1.</w:t>
      </w:r>
    </w:p>
    <w:p w14:paraId="62931DAF" w14:textId="30E5F0C5" w:rsidR="008A2741" w:rsidRPr="00A52AB8" w:rsidRDefault="008A262C" w:rsidP="008A262C">
      <w:pPr>
        <w:pStyle w:val="Equation"/>
        <w:spacing w:before="120" w:after="120"/>
        <w:jc w:val="both"/>
        <w:rPr>
          <w:color w:val="000000" w:themeColor="text1"/>
        </w:rPr>
      </w:pPr>
      <w:r w:rsidRPr="00A52AB8">
        <w:rPr>
          <w:color w:val="000000" w:themeColor="text1"/>
        </w:rPr>
        <w:t xml:space="preserve">The process described in </w:t>
      </w:r>
      <w:r w:rsidR="006365E4" w:rsidRPr="00A52AB8">
        <w:rPr>
          <w:color w:val="000000" w:themeColor="text1"/>
        </w:rPr>
        <w:t xml:space="preserve">subclause </w:t>
      </w:r>
      <w:r w:rsidR="00F66777" w:rsidRPr="00496A4D">
        <w:rPr>
          <w:color w:val="000000" w:themeColor="text1"/>
        </w:rPr>
        <w:fldChar w:fldCharType="begin"/>
      </w:r>
      <w:r w:rsidR="00F66777" w:rsidRPr="00A52AB8">
        <w:rPr>
          <w:color w:val="000000" w:themeColor="text1"/>
        </w:rPr>
        <w:instrText xml:space="preserve"> REF _Ref46275299 \r \h </w:instrText>
      </w:r>
      <w:r w:rsidR="00CA5401" w:rsidRPr="00A52AB8">
        <w:rPr>
          <w:color w:val="000000" w:themeColor="text1"/>
        </w:rPr>
        <w:instrText xml:space="preserve"> \* MERGEFORMAT </w:instrText>
      </w:r>
      <w:r w:rsidR="00F66777" w:rsidRPr="00496A4D">
        <w:rPr>
          <w:color w:val="000000" w:themeColor="text1"/>
        </w:rPr>
      </w:r>
      <w:r w:rsidR="00F66777" w:rsidRPr="00496A4D">
        <w:rPr>
          <w:color w:val="000000" w:themeColor="text1"/>
        </w:rPr>
        <w:fldChar w:fldCharType="separate"/>
      </w:r>
      <w:r w:rsidR="00507A67">
        <w:rPr>
          <w:color w:val="000000" w:themeColor="text1"/>
        </w:rPr>
        <w:t>H.9.2.5.5.2</w:t>
      </w:r>
      <w:r w:rsidR="00F66777" w:rsidRPr="00496A4D">
        <w:rPr>
          <w:color w:val="000000" w:themeColor="text1"/>
        </w:rPr>
        <w:fldChar w:fldCharType="end"/>
      </w:r>
      <w:r w:rsidRPr="00A52AB8">
        <w:rPr>
          <w:color w:val="000000" w:themeColor="text1"/>
        </w:rPr>
        <w:t xml:space="preserve"> </w:t>
      </w:r>
      <w:r w:rsidR="008A2741" w:rsidRPr="00A52AB8">
        <w:rPr>
          <w:color w:val="000000" w:themeColor="text1"/>
        </w:rPr>
        <w:t xml:space="preserve">is invoked </w:t>
      </w:r>
      <w:r w:rsidR="0019520B" w:rsidRPr="00A52AB8">
        <w:rPr>
          <w:color w:val="000000" w:themeColor="text1"/>
        </w:rPr>
        <w:t xml:space="preserve">with </w:t>
      </w:r>
      <w:r w:rsidR="008A2741" w:rsidRPr="00A52AB8">
        <w:rPr>
          <w:color w:val="000000" w:themeColor="text1"/>
        </w:rPr>
        <w:t xml:space="preserve">the variables refIdx, RefPatchIdx, and tileID as inputs, and the </w:t>
      </w:r>
      <w:r w:rsidR="009069AB" w:rsidRPr="00A52AB8">
        <w:rPr>
          <w:color w:val="000000" w:themeColor="text1"/>
        </w:rPr>
        <w:t>outputs</w:t>
      </w:r>
      <w:r w:rsidR="008A2741" w:rsidRPr="00A52AB8">
        <w:rPr>
          <w:color w:val="000000" w:themeColor="text1"/>
        </w:rPr>
        <w:t xml:space="preserve"> are the variables refPatchType, ref</w:t>
      </w:r>
      <w:r w:rsidR="008A2741" w:rsidRPr="00A52AB8">
        <w:rPr>
          <w:lang w:eastAsia="ja-JP"/>
        </w:rPr>
        <w:t xml:space="preserve">Patch2dPosX, refPatch2dPosY, refPatch2dSizeX, refPatch2dSizeY, refPatch3dOffsetU, refPatch3dOffsetV, refPatch3dOffsetD, refPatch3dRangeD, refPatchProjectionID, refPatchOrientationIndex, refPatchLoDScaleX, refPachLoDScaleY, refPatchRawPoints, </w:t>
      </w:r>
      <w:r w:rsidR="008A2741" w:rsidRPr="00A52AB8">
        <w:rPr>
          <w:color w:val="000000" w:themeColor="text1"/>
        </w:rPr>
        <w:t xml:space="preserve">refPatchEomPatchCount, refPatchAxisU, refPatchAxisV, refPatchAxisD, refPatch45DegreeMode, and refPatchProjectionFlag, the 1D arrays </w:t>
      </w:r>
      <w:r w:rsidR="008A2741" w:rsidRPr="00A52AB8">
        <w:t>refP</w:t>
      </w:r>
      <w:r w:rsidR="008A2741" w:rsidRPr="00A52AB8">
        <w:rPr>
          <w:color w:val="000000" w:themeColor="text1"/>
        </w:rPr>
        <w:t xml:space="preserve">atchAssociatedPatchIndex and </w:t>
      </w:r>
      <w:r w:rsidR="008A2741" w:rsidRPr="00A52AB8">
        <w:rPr>
          <w:lang w:eastAsia="ja-JP"/>
        </w:rPr>
        <w:t>ref</w:t>
      </w:r>
      <w:r w:rsidR="008A2741" w:rsidRPr="00A52AB8">
        <w:rPr>
          <w:color w:val="000000" w:themeColor="text1"/>
        </w:rPr>
        <w:t xml:space="preserve">PatchEomPoints, </w:t>
      </w:r>
      <w:r w:rsidR="008A2741" w:rsidRPr="00A52AB8">
        <w:rPr>
          <w:lang w:eastAsia="ja-JP"/>
        </w:rPr>
        <w:t xml:space="preserve">and, if asps_plr_enabled_flag is equal to 1, the 1D arrays </w:t>
      </w:r>
      <w:r w:rsidR="008A2741" w:rsidRPr="00A52AB8">
        <w:rPr>
          <w:color w:val="000000" w:themeColor="text1"/>
        </w:rPr>
        <w:t>refPatchPlrdLevel, refPatchPlrdPresentFlag, and refPlrdModeMinus1, and the 2D arrays refPatchPlrdPresentBlockFlag and refPatchPlrdBlockModeMinus1</w:t>
      </w:r>
      <w:r w:rsidR="008A2741" w:rsidRPr="00A52AB8">
        <w:rPr>
          <w:lang w:eastAsia="ja-JP"/>
        </w:rPr>
        <w:t>.</w:t>
      </w:r>
    </w:p>
    <w:p w14:paraId="46A0033D" w14:textId="414A8312" w:rsidR="008A262C" w:rsidRPr="00A52AB8" w:rsidRDefault="008A262C" w:rsidP="008A262C">
      <w:pPr>
        <w:pStyle w:val="Equation"/>
        <w:spacing w:before="120" w:after="120"/>
        <w:jc w:val="both"/>
        <w:rPr>
          <w:color w:val="000000" w:themeColor="text1"/>
        </w:rPr>
      </w:pPr>
      <w:r w:rsidRPr="00A52AB8">
        <w:rPr>
          <w:color w:val="000000" w:themeColor="text1"/>
        </w:rPr>
        <w:t xml:space="preserve">It is a requirement of bitstream conformance that </w:t>
      </w:r>
      <w:r w:rsidR="00440C68" w:rsidRPr="00A52AB8">
        <w:rPr>
          <w:color w:val="000000" w:themeColor="text1"/>
        </w:rPr>
        <w:t>refPatchType</w:t>
      </w:r>
      <w:r w:rsidRPr="00A52AB8">
        <w:rPr>
          <w:color w:val="000000" w:themeColor="text1"/>
        </w:rPr>
        <w:t xml:space="preserve"> is equal to </w:t>
      </w:r>
      <w:r w:rsidR="00440C68" w:rsidRPr="00A52AB8">
        <w:rPr>
          <w:color w:val="000000" w:themeColor="text1"/>
        </w:rPr>
        <w:t>PROJECTED</w:t>
      </w:r>
      <w:r w:rsidRPr="00A52AB8">
        <w:rPr>
          <w:color w:val="000000" w:themeColor="text1"/>
        </w:rPr>
        <w:t>.</w:t>
      </w:r>
    </w:p>
    <w:p w14:paraId="0E40EEDB" w14:textId="77777777" w:rsidR="00202A0C" w:rsidRPr="00A52AB8" w:rsidRDefault="00202A0C" w:rsidP="00202A0C">
      <w:pPr>
        <w:rPr>
          <w:lang w:eastAsia="ja-JP"/>
        </w:rPr>
      </w:pPr>
      <w:r w:rsidRPr="00A52AB8">
        <w:rPr>
          <w:lang w:eastAsia="ja-JP"/>
        </w:rPr>
        <w:t>Then, these additional variables are derived:</w:t>
      </w:r>
    </w:p>
    <w:p w14:paraId="0AA57B02" w14:textId="30995BEC" w:rsidR="00FC34D9" w:rsidRPr="00A52AB8" w:rsidRDefault="00FC34D9" w:rsidP="00966AAC">
      <w:pPr>
        <w:rPr>
          <w:lang w:eastAsia="ja-JP"/>
        </w:rPr>
      </w:pPr>
      <w:r w:rsidRPr="00A52AB8">
        <w:rPr>
          <w:lang w:eastAsia="ja-JP"/>
        </w:rPr>
        <w:tab/>
      </w:r>
      <w:r w:rsidR="00535094" w:rsidRPr="00A52AB8">
        <w:rPr>
          <w:lang w:eastAsia="ja-JP"/>
        </w:rPr>
        <w:t>Tile</w:t>
      </w:r>
      <w:r w:rsidR="00254895" w:rsidRPr="00A52AB8">
        <w:rPr>
          <w:lang w:eastAsia="ja-JP"/>
        </w:rPr>
        <w:t>PatchAxisU</w:t>
      </w:r>
      <w:r w:rsidR="001C483D" w:rsidRPr="00A52AB8">
        <w:rPr>
          <w:lang w:eastAsia="ja-JP"/>
        </w:rPr>
        <w:t>[ </w:t>
      </w:r>
      <w:r w:rsidR="00632FA7" w:rsidRPr="00A52AB8">
        <w:rPr>
          <w:lang w:eastAsia="ja-JP"/>
        </w:rPr>
        <w:t>tileID</w:t>
      </w:r>
      <w:r w:rsidR="001C483D" w:rsidRPr="00A52AB8">
        <w:rPr>
          <w:lang w:eastAsia="ja-JP"/>
        </w:rPr>
        <w:t> ][ p ]</w:t>
      </w:r>
      <w:r w:rsidR="00D47707" w:rsidRPr="00A52AB8">
        <w:rPr>
          <w:lang w:eastAsia="ja-JP"/>
        </w:rPr>
        <w:t> = </w:t>
      </w:r>
      <w:r w:rsidRPr="00A52AB8">
        <w:rPr>
          <w:lang w:eastAsia="ja-JP"/>
        </w:rPr>
        <w:t>ref</w:t>
      </w:r>
      <w:r w:rsidR="00254895" w:rsidRPr="00A52AB8">
        <w:rPr>
          <w:lang w:eastAsia="ja-JP"/>
        </w:rPr>
        <w:t>PatchAxisU</w:t>
      </w:r>
      <w:r w:rsidRPr="00A52AB8">
        <w:rPr>
          <w:lang w:eastAsia="ja-JP"/>
        </w:rPr>
        <w:tab/>
      </w:r>
      <w:r w:rsidR="00382AE2" w:rsidRPr="00A52AB8">
        <w:rPr>
          <w:lang w:eastAsia="ja-JP"/>
        </w:rPr>
        <w:t>(H</w:t>
      </w:r>
      <w:r w:rsidR="00382AE2" w:rsidRPr="00A52AB8">
        <w:rPr>
          <w:lang w:eastAsia="ja-JP"/>
        </w:rPr>
        <w:noBreakHyphen/>
      </w:r>
      <w:r w:rsidR="00382AE2" w:rsidRPr="00496A4D">
        <w:rPr>
          <w:lang w:eastAsia="ja-JP"/>
        </w:rPr>
        <w:fldChar w:fldCharType="begin"/>
      </w:r>
      <w:r w:rsidR="00382AE2" w:rsidRPr="00A52AB8">
        <w:rPr>
          <w:lang w:eastAsia="ja-JP"/>
        </w:rPr>
        <w:instrText xml:space="preserve"> SEQ Equation \* ARABIC \s 1 </w:instrText>
      </w:r>
      <w:r w:rsidR="00382AE2" w:rsidRPr="00496A4D">
        <w:rPr>
          <w:lang w:eastAsia="ja-JP"/>
        </w:rPr>
        <w:fldChar w:fldCharType="separate"/>
      </w:r>
      <w:r w:rsidR="00507A67">
        <w:rPr>
          <w:noProof/>
          <w:lang w:eastAsia="ja-JP"/>
        </w:rPr>
        <w:t>22</w:t>
      </w:r>
      <w:r w:rsidR="00382AE2" w:rsidRPr="00496A4D">
        <w:rPr>
          <w:lang w:eastAsia="ja-JP"/>
        </w:rPr>
        <w:fldChar w:fldCharType="end"/>
      </w:r>
      <w:r w:rsidR="00382AE2" w:rsidRPr="00A52AB8">
        <w:rPr>
          <w:lang w:eastAsia="ja-JP"/>
        </w:rPr>
        <w:t>)</w:t>
      </w:r>
    </w:p>
    <w:p w14:paraId="096CBBDE" w14:textId="6C04E374" w:rsidR="00FC34D9" w:rsidRPr="00A52AB8" w:rsidRDefault="00FC34D9" w:rsidP="00966AAC">
      <w:pPr>
        <w:rPr>
          <w:lang w:eastAsia="ja-JP"/>
        </w:rPr>
      </w:pPr>
      <w:r w:rsidRPr="00A52AB8">
        <w:rPr>
          <w:lang w:eastAsia="ja-JP"/>
        </w:rPr>
        <w:tab/>
      </w:r>
      <w:r w:rsidR="00535094" w:rsidRPr="00A52AB8">
        <w:rPr>
          <w:lang w:eastAsia="ja-JP"/>
        </w:rPr>
        <w:t>Tile</w:t>
      </w:r>
      <w:r w:rsidR="00254895" w:rsidRPr="00A52AB8">
        <w:rPr>
          <w:lang w:eastAsia="ja-JP"/>
        </w:rPr>
        <w:t>PatchAxisV</w:t>
      </w:r>
      <w:r w:rsidR="001C483D" w:rsidRPr="00A52AB8">
        <w:rPr>
          <w:lang w:eastAsia="ja-JP"/>
        </w:rPr>
        <w:t>[ </w:t>
      </w:r>
      <w:r w:rsidR="00632FA7" w:rsidRPr="00A52AB8">
        <w:rPr>
          <w:lang w:eastAsia="ja-JP"/>
        </w:rPr>
        <w:t>tileID</w:t>
      </w:r>
      <w:r w:rsidR="001C483D" w:rsidRPr="00A52AB8">
        <w:rPr>
          <w:lang w:eastAsia="ja-JP"/>
        </w:rPr>
        <w:t> ][ p ]</w:t>
      </w:r>
      <w:r w:rsidR="00D47707" w:rsidRPr="00A52AB8">
        <w:rPr>
          <w:lang w:eastAsia="ja-JP"/>
        </w:rPr>
        <w:t> = </w:t>
      </w:r>
      <w:r w:rsidRPr="00A52AB8">
        <w:rPr>
          <w:lang w:eastAsia="ja-JP"/>
        </w:rPr>
        <w:t>ref</w:t>
      </w:r>
      <w:r w:rsidR="00254895" w:rsidRPr="00A52AB8">
        <w:rPr>
          <w:lang w:eastAsia="ja-JP"/>
        </w:rPr>
        <w:t>PatchAxisV</w:t>
      </w:r>
      <w:r w:rsidRPr="00A52AB8">
        <w:rPr>
          <w:lang w:eastAsia="ja-JP"/>
        </w:rPr>
        <w:tab/>
      </w:r>
      <w:r w:rsidR="00382AE2" w:rsidRPr="00A52AB8">
        <w:rPr>
          <w:lang w:eastAsia="ja-JP"/>
        </w:rPr>
        <w:t>(H</w:t>
      </w:r>
      <w:r w:rsidR="00382AE2" w:rsidRPr="00A52AB8">
        <w:rPr>
          <w:lang w:eastAsia="ja-JP"/>
        </w:rPr>
        <w:noBreakHyphen/>
      </w:r>
      <w:r w:rsidR="00382AE2" w:rsidRPr="00496A4D">
        <w:rPr>
          <w:lang w:eastAsia="ja-JP"/>
        </w:rPr>
        <w:fldChar w:fldCharType="begin"/>
      </w:r>
      <w:r w:rsidR="00382AE2" w:rsidRPr="00A52AB8">
        <w:rPr>
          <w:lang w:eastAsia="ja-JP"/>
        </w:rPr>
        <w:instrText xml:space="preserve"> SEQ Equation \* ARABIC \s 1 </w:instrText>
      </w:r>
      <w:r w:rsidR="00382AE2" w:rsidRPr="00496A4D">
        <w:rPr>
          <w:lang w:eastAsia="ja-JP"/>
        </w:rPr>
        <w:fldChar w:fldCharType="separate"/>
      </w:r>
      <w:r w:rsidR="00507A67">
        <w:rPr>
          <w:noProof/>
          <w:lang w:eastAsia="ja-JP"/>
        </w:rPr>
        <w:t>23</w:t>
      </w:r>
      <w:r w:rsidR="00382AE2" w:rsidRPr="00496A4D">
        <w:rPr>
          <w:lang w:eastAsia="ja-JP"/>
        </w:rPr>
        <w:fldChar w:fldCharType="end"/>
      </w:r>
      <w:r w:rsidR="00382AE2" w:rsidRPr="00A52AB8">
        <w:rPr>
          <w:lang w:eastAsia="ja-JP"/>
        </w:rPr>
        <w:t>)</w:t>
      </w:r>
    </w:p>
    <w:p w14:paraId="2B6FF9B5" w14:textId="4803C7A1" w:rsidR="00C43799" w:rsidRPr="00A52AB8" w:rsidRDefault="00C43799" w:rsidP="00C43799">
      <w:pPr>
        <w:rPr>
          <w:lang w:eastAsia="ja-JP"/>
        </w:rPr>
      </w:pPr>
      <w:r w:rsidRPr="00A52AB8">
        <w:rPr>
          <w:lang w:eastAsia="ja-JP"/>
        </w:rPr>
        <w:tab/>
        <w:t>Tile</w:t>
      </w:r>
      <w:r w:rsidR="00254895" w:rsidRPr="00A52AB8">
        <w:rPr>
          <w:lang w:eastAsia="ja-JP"/>
        </w:rPr>
        <w:t>PatchAxisD</w:t>
      </w:r>
      <w:r w:rsidRPr="00A52AB8">
        <w:rPr>
          <w:lang w:eastAsia="ja-JP"/>
        </w:rPr>
        <w:t>[ tileID ][ p ]</w:t>
      </w:r>
      <w:r w:rsidR="00D47707" w:rsidRPr="00A52AB8">
        <w:rPr>
          <w:lang w:eastAsia="ja-JP"/>
        </w:rPr>
        <w:t> = </w:t>
      </w:r>
      <w:r w:rsidRPr="00A52AB8">
        <w:rPr>
          <w:lang w:eastAsia="ja-JP"/>
        </w:rPr>
        <w:t>ref</w:t>
      </w:r>
      <w:r w:rsidR="00254895" w:rsidRPr="00A52AB8">
        <w:rPr>
          <w:lang w:eastAsia="ja-JP"/>
        </w:rPr>
        <w:t>PatchAxisD</w:t>
      </w:r>
      <w:r w:rsidRPr="00A52AB8">
        <w:rPr>
          <w:lang w:eastAsia="ja-JP"/>
        </w:rPr>
        <w:tab/>
        <w:t>(H</w:t>
      </w:r>
      <w:r w:rsidRPr="00A52AB8">
        <w:rPr>
          <w:lang w:eastAsia="ja-JP"/>
        </w:rPr>
        <w:noBreakHyphen/>
      </w:r>
      <w:r w:rsidRPr="00496A4D">
        <w:rPr>
          <w:lang w:eastAsia="ja-JP"/>
        </w:rPr>
        <w:fldChar w:fldCharType="begin"/>
      </w:r>
      <w:r w:rsidRPr="00A52AB8">
        <w:rPr>
          <w:lang w:eastAsia="ja-JP"/>
        </w:rPr>
        <w:instrText xml:space="preserve"> SEQ Equation \* ARABIC \s 1 </w:instrText>
      </w:r>
      <w:r w:rsidRPr="00496A4D">
        <w:rPr>
          <w:lang w:eastAsia="ja-JP"/>
        </w:rPr>
        <w:fldChar w:fldCharType="separate"/>
      </w:r>
      <w:r w:rsidR="00507A67">
        <w:rPr>
          <w:noProof/>
          <w:lang w:eastAsia="ja-JP"/>
        </w:rPr>
        <w:t>24</w:t>
      </w:r>
      <w:r w:rsidRPr="00496A4D">
        <w:rPr>
          <w:lang w:eastAsia="ja-JP"/>
        </w:rPr>
        <w:fldChar w:fldCharType="end"/>
      </w:r>
      <w:r w:rsidRPr="00A52AB8">
        <w:rPr>
          <w:lang w:eastAsia="ja-JP"/>
        </w:rPr>
        <w:t>)</w:t>
      </w:r>
    </w:p>
    <w:p w14:paraId="01CB683A" w14:textId="72B8B985" w:rsidR="00FC34D9" w:rsidRPr="00A52AB8" w:rsidRDefault="00FC34D9" w:rsidP="00966AAC">
      <w:pPr>
        <w:rPr>
          <w:lang w:eastAsia="ja-JP"/>
        </w:rPr>
      </w:pPr>
      <w:r w:rsidRPr="00A52AB8">
        <w:rPr>
          <w:lang w:eastAsia="ja-JP"/>
        </w:rPr>
        <w:tab/>
      </w:r>
      <w:r w:rsidR="00535094" w:rsidRPr="00A52AB8">
        <w:rPr>
          <w:lang w:eastAsia="ja-JP"/>
        </w:rPr>
        <w:t>Tile</w:t>
      </w:r>
      <w:r w:rsidR="00440C68" w:rsidRPr="00A52AB8">
        <w:rPr>
          <w:lang w:eastAsia="ja-JP"/>
        </w:rPr>
        <w:t>Patch</w:t>
      </w:r>
      <w:r w:rsidR="008050C1" w:rsidRPr="00A52AB8">
        <w:rPr>
          <w:lang w:eastAsia="ja-JP"/>
        </w:rPr>
        <w:t>45Degree</w:t>
      </w:r>
      <w:r w:rsidR="00440C68" w:rsidRPr="00A52AB8">
        <w:rPr>
          <w:lang w:eastAsia="ja-JP"/>
        </w:rPr>
        <w:t>Mode</w:t>
      </w:r>
      <w:r w:rsidR="001C483D" w:rsidRPr="00A52AB8">
        <w:rPr>
          <w:lang w:eastAsia="ja-JP"/>
        </w:rPr>
        <w:t>[ </w:t>
      </w:r>
      <w:r w:rsidR="00632FA7" w:rsidRPr="00A52AB8">
        <w:rPr>
          <w:lang w:eastAsia="ja-JP"/>
        </w:rPr>
        <w:t>tileID</w:t>
      </w:r>
      <w:r w:rsidR="001C483D" w:rsidRPr="00A52AB8">
        <w:rPr>
          <w:lang w:eastAsia="ja-JP"/>
        </w:rPr>
        <w:t> ][ p ]</w:t>
      </w:r>
      <w:r w:rsidR="00D47707" w:rsidRPr="00A52AB8">
        <w:rPr>
          <w:lang w:eastAsia="ja-JP"/>
        </w:rPr>
        <w:t> = </w:t>
      </w:r>
      <w:r w:rsidRPr="00A52AB8">
        <w:rPr>
          <w:lang w:eastAsia="ja-JP"/>
        </w:rPr>
        <w:t>ref</w:t>
      </w:r>
      <w:r w:rsidR="00440C68" w:rsidRPr="00A52AB8">
        <w:rPr>
          <w:lang w:eastAsia="ja-JP"/>
        </w:rPr>
        <w:t>Patch</w:t>
      </w:r>
      <w:r w:rsidR="008050C1" w:rsidRPr="00A52AB8">
        <w:rPr>
          <w:lang w:eastAsia="ja-JP"/>
        </w:rPr>
        <w:t>45Degree</w:t>
      </w:r>
      <w:r w:rsidR="00440C68" w:rsidRPr="00A52AB8">
        <w:rPr>
          <w:lang w:eastAsia="ja-JP"/>
        </w:rPr>
        <w:t>Mode</w:t>
      </w:r>
      <w:r w:rsidRPr="00A52AB8">
        <w:rPr>
          <w:lang w:eastAsia="ja-JP"/>
        </w:rPr>
        <w:tab/>
      </w:r>
      <w:r w:rsidR="00382AE2" w:rsidRPr="00A52AB8">
        <w:rPr>
          <w:lang w:eastAsia="ja-JP"/>
        </w:rPr>
        <w:t>(H</w:t>
      </w:r>
      <w:r w:rsidR="00382AE2" w:rsidRPr="00A52AB8">
        <w:rPr>
          <w:lang w:eastAsia="ja-JP"/>
        </w:rPr>
        <w:noBreakHyphen/>
      </w:r>
      <w:r w:rsidR="00382AE2" w:rsidRPr="00496A4D">
        <w:rPr>
          <w:lang w:eastAsia="ja-JP"/>
        </w:rPr>
        <w:fldChar w:fldCharType="begin"/>
      </w:r>
      <w:r w:rsidR="00382AE2" w:rsidRPr="00A52AB8">
        <w:rPr>
          <w:lang w:eastAsia="ja-JP"/>
        </w:rPr>
        <w:instrText xml:space="preserve"> SEQ Equation \* ARABIC \s 1 </w:instrText>
      </w:r>
      <w:r w:rsidR="00382AE2" w:rsidRPr="00496A4D">
        <w:rPr>
          <w:lang w:eastAsia="ja-JP"/>
        </w:rPr>
        <w:fldChar w:fldCharType="separate"/>
      </w:r>
      <w:r w:rsidR="00507A67">
        <w:rPr>
          <w:noProof/>
          <w:lang w:eastAsia="ja-JP"/>
        </w:rPr>
        <w:t>25</w:t>
      </w:r>
      <w:r w:rsidR="00382AE2" w:rsidRPr="00496A4D">
        <w:rPr>
          <w:lang w:eastAsia="ja-JP"/>
        </w:rPr>
        <w:fldChar w:fldCharType="end"/>
      </w:r>
      <w:r w:rsidR="00382AE2" w:rsidRPr="00A52AB8">
        <w:rPr>
          <w:lang w:eastAsia="ja-JP"/>
        </w:rPr>
        <w:t>)</w:t>
      </w:r>
    </w:p>
    <w:p w14:paraId="736A39E1" w14:textId="376EBBCF" w:rsidR="00C43799" w:rsidRPr="00A52AB8" w:rsidRDefault="00C43799" w:rsidP="00966AAC">
      <w:pPr>
        <w:rPr>
          <w:lang w:eastAsia="ja-JP"/>
        </w:rPr>
      </w:pPr>
      <w:r w:rsidRPr="00A52AB8">
        <w:rPr>
          <w:lang w:eastAsia="ja-JP"/>
        </w:rPr>
        <w:tab/>
        <w:t>TilePatchProjectionFlag[ tileID ][ p ]</w:t>
      </w:r>
      <w:r w:rsidR="00D47707" w:rsidRPr="00A52AB8">
        <w:rPr>
          <w:lang w:eastAsia="ja-JP"/>
        </w:rPr>
        <w:t> = </w:t>
      </w:r>
      <w:r w:rsidRPr="00A52AB8">
        <w:rPr>
          <w:lang w:eastAsia="ja-JP"/>
        </w:rPr>
        <w:t>refPatchProjectionFlag</w:t>
      </w:r>
      <w:r w:rsidRPr="00A52AB8">
        <w:rPr>
          <w:lang w:eastAsia="ja-JP"/>
        </w:rPr>
        <w:tab/>
        <w:t>(H</w:t>
      </w:r>
      <w:r w:rsidRPr="00A52AB8">
        <w:rPr>
          <w:lang w:eastAsia="ja-JP"/>
        </w:rPr>
        <w:noBreakHyphen/>
      </w:r>
      <w:r w:rsidRPr="00496A4D">
        <w:rPr>
          <w:lang w:eastAsia="ja-JP"/>
        </w:rPr>
        <w:fldChar w:fldCharType="begin"/>
      </w:r>
      <w:r w:rsidRPr="00A52AB8">
        <w:rPr>
          <w:lang w:eastAsia="ja-JP"/>
        </w:rPr>
        <w:instrText xml:space="preserve"> SEQ Equation \* ARABIC \s 1 </w:instrText>
      </w:r>
      <w:r w:rsidRPr="00496A4D">
        <w:rPr>
          <w:lang w:eastAsia="ja-JP"/>
        </w:rPr>
        <w:fldChar w:fldCharType="separate"/>
      </w:r>
      <w:r w:rsidR="00507A67">
        <w:rPr>
          <w:noProof/>
          <w:lang w:eastAsia="ja-JP"/>
        </w:rPr>
        <w:t>26</w:t>
      </w:r>
      <w:r w:rsidRPr="00496A4D">
        <w:rPr>
          <w:lang w:eastAsia="ja-JP"/>
        </w:rPr>
        <w:fldChar w:fldCharType="end"/>
      </w:r>
      <w:r w:rsidRPr="00A52AB8">
        <w:rPr>
          <w:lang w:eastAsia="ja-JP"/>
        </w:rPr>
        <w:t>)</w:t>
      </w:r>
    </w:p>
    <w:p w14:paraId="4D3B7183" w14:textId="77777777" w:rsidR="00AE5288" w:rsidRPr="00A52AB8" w:rsidRDefault="007E0BFA" w:rsidP="00EE3D19">
      <w:pPr>
        <w:pStyle w:val="a4"/>
        <w:numPr>
          <w:ilvl w:val="5"/>
          <w:numId w:val="14"/>
        </w:numPr>
        <w:outlineLvl w:val="5"/>
      </w:pPr>
      <w:bookmarkStart w:id="6246" w:name="_Ref46275299"/>
      <w:r w:rsidRPr="00A52AB8">
        <w:t>Derivation of inter reference patch parameters</w:t>
      </w:r>
      <w:bookmarkEnd w:id="6246"/>
    </w:p>
    <w:p w14:paraId="7C7E9A69" w14:textId="377AD1CD" w:rsidR="008A0342" w:rsidRPr="00A52AB8" w:rsidRDefault="00A22A48" w:rsidP="00EE3D19">
      <w:pPr>
        <w:pStyle w:val="a4"/>
        <w:numPr>
          <w:ilvl w:val="6"/>
          <w:numId w:val="14"/>
        </w:numPr>
        <w:tabs>
          <w:tab w:val="clear" w:pos="7200"/>
        </w:tabs>
        <w:outlineLvl w:val="6"/>
      </w:pPr>
      <w:r w:rsidRPr="00A52AB8">
        <w:t>Gener</w:t>
      </w:r>
      <w:r w:rsidR="00C43799" w:rsidRPr="00A52AB8">
        <w:t xml:space="preserve">al </w:t>
      </w:r>
      <w:r w:rsidR="00E23476" w:rsidRPr="00A52AB8">
        <w:t>derivation of inter reference patch parameters</w:t>
      </w:r>
    </w:p>
    <w:p w14:paraId="7DEB1540" w14:textId="45E1E0C8" w:rsidR="0050235C" w:rsidRPr="00A52AB8" w:rsidRDefault="00307272" w:rsidP="00792CFF">
      <w:pPr>
        <w:rPr>
          <w:lang w:eastAsia="ja-JP"/>
        </w:rPr>
      </w:pPr>
      <w:r w:rsidRPr="00A52AB8">
        <w:rPr>
          <w:lang w:eastAsia="ja-JP"/>
        </w:rPr>
        <w:t>The specifications in subclause</w:t>
      </w:r>
      <w:r w:rsidR="00AE3F1E" w:rsidRPr="00A52AB8">
        <w:rPr>
          <w:lang w:eastAsia="ja-JP"/>
        </w:rPr>
        <w:t xml:space="preserve"> </w:t>
      </w:r>
      <w:r w:rsidR="00863D40" w:rsidRPr="00496A4D">
        <w:rPr>
          <w:lang w:eastAsia="ja-JP"/>
        </w:rPr>
        <w:fldChar w:fldCharType="begin"/>
      </w:r>
      <w:r w:rsidR="00863D40" w:rsidRPr="00A52AB8">
        <w:rPr>
          <w:lang w:eastAsia="ja-JP"/>
        </w:rPr>
        <w:instrText xml:space="preserve"> REF _Ref46926089 \r \h </w:instrText>
      </w:r>
      <w:r w:rsidR="006371AA" w:rsidRPr="00A52AB8">
        <w:rPr>
          <w:lang w:eastAsia="ja-JP"/>
        </w:rPr>
        <w:instrText xml:space="preserve"> \* MERGEFORMAT </w:instrText>
      </w:r>
      <w:r w:rsidR="00863D40" w:rsidRPr="00496A4D">
        <w:rPr>
          <w:lang w:eastAsia="ja-JP"/>
        </w:rPr>
      </w:r>
      <w:r w:rsidR="00863D40" w:rsidRPr="00496A4D">
        <w:rPr>
          <w:lang w:eastAsia="ja-JP"/>
        </w:rPr>
        <w:fldChar w:fldCharType="separate"/>
      </w:r>
      <w:r w:rsidR="00507A67">
        <w:rPr>
          <w:lang w:eastAsia="ja-JP"/>
        </w:rPr>
        <w:t>9.2.5.5.2.1</w:t>
      </w:r>
      <w:r w:rsidR="00863D40" w:rsidRPr="00496A4D">
        <w:rPr>
          <w:lang w:eastAsia="ja-JP"/>
        </w:rPr>
        <w:fldChar w:fldCharType="end"/>
      </w:r>
      <w:r w:rsidR="00863D40" w:rsidRPr="00A52AB8">
        <w:rPr>
          <w:lang w:eastAsia="ja-JP"/>
        </w:rPr>
        <w:t xml:space="preserve"> </w:t>
      </w:r>
      <w:r w:rsidRPr="00A52AB8">
        <w:rPr>
          <w:lang w:eastAsia="ja-JP"/>
        </w:rPr>
        <w:t>apply with the following modifications and additions:</w:t>
      </w:r>
    </w:p>
    <w:p w14:paraId="14B68CBA" w14:textId="2B6C89B1" w:rsidR="00202A0C" w:rsidRPr="00A52AB8" w:rsidRDefault="00202A0C" w:rsidP="00202A0C">
      <w:pPr>
        <w:rPr>
          <w:lang w:eastAsia="ja-JP"/>
        </w:rPr>
      </w:pPr>
      <w:r w:rsidRPr="00A52AB8">
        <w:rPr>
          <w:color w:val="000000" w:themeColor="text1"/>
        </w:rPr>
        <w:t>Outputs to this process are the variables refPatchType, ref</w:t>
      </w:r>
      <w:r w:rsidRPr="00A52AB8">
        <w:rPr>
          <w:lang w:eastAsia="ja-JP"/>
        </w:rPr>
        <w:t xml:space="preserve">Patch2dPosX, refPatch2dPosY, refPatch2dSizeX, refPatch2dSizeY, refPatch3dOffsetU, refPatch3dOffsetV, refPatch3dOffsetD, refPatch3dRangeD, refPatchProjectionID, refPatchOrientationIndex, refPatchLoDScaleX, refPachLoDScaleY, refPatchRawPoints, </w:t>
      </w:r>
      <w:r w:rsidRPr="00A52AB8">
        <w:rPr>
          <w:color w:val="000000" w:themeColor="text1"/>
        </w:rPr>
        <w:t xml:space="preserve">refPatchEomPatchCount, </w:t>
      </w:r>
      <w:r w:rsidRPr="00A52AB8">
        <w:rPr>
          <w:lang w:eastAsia="ja-JP"/>
        </w:rPr>
        <w:t xml:space="preserve">refPatchAxisU, refPatchAxisV, refPatchAxisD, refPatchProjectionFlag, and </w:t>
      </w:r>
      <w:r w:rsidRPr="00A52AB8">
        <w:rPr>
          <w:color w:val="000000" w:themeColor="text1"/>
        </w:rPr>
        <w:t>refPatch45DegreeMode</w:t>
      </w:r>
      <w:r w:rsidRPr="00A52AB8">
        <w:rPr>
          <w:lang w:eastAsia="ja-JP"/>
        </w:rPr>
        <w:t>,</w:t>
      </w:r>
      <w:r w:rsidRPr="00A52AB8">
        <w:rPr>
          <w:color w:val="000000" w:themeColor="text1"/>
        </w:rPr>
        <w:t xml:space="preserve"> the 1D arrays </w:t>
      </w:r>
      <w:r w:rsidRPr="00A52AB8">
        <w:t>refP</w:t>
      </w:r>
      <w:r w:rsidRPr="00A52AB8">
        <w:rPr>
          <w:color w:val="000000" w:themeColor="text1"/>
        </w:rPr>
        <w:t xml:space="preserve">atchAssociatedPatchIndex and </w:t>
      </w:r>
      <w:r w:rsidRPr="00A52AB8">
        <w:rPr>
          <w:lang w:eastAsia="ja-JP"/>
        </w:rPr>
        <w:t>ref</w:t>
      </w:r>
      <w:r w:rsidRPr="00A52AB8">
        <w:rPr>
          <w:color w:val="000000" w:themeColor="text1"/>
        </w:rPr>
        <w:t xml:space="preserve">PatchEomPoints, </w:t>
      </w:r>
      <w:r w:rsidRPr="00A52AB8">
        <w:rPr>
          <w:lang w:eastAsia="ja-JP"/>
        </w:rPr>
        <w:t xml:space="preserve">and, if asps_plr_enabled_flag is equal to 1, the 1D arrays </w:t>
      </w:r>
      <w:r w:rsidRPr="00A52AB8">
        <w:rPr>
          <w:color w:val="000000" w:themeColor="text1"/>
        </w:rPr>
        <w:t>refPatchPlrdLevel, refPatchPlrdPresentFlag, and refPlrdModeMinus1, and the 2D arrays refPatchPlrdPresentBlockFlag and refPatchPlrdBlockModeMinus1</w:t>
      </w:r>
      <w:r w:rsidRPr="00A52AB8">
        <w:rPr>
          <w:lang w:eastAsia="ja-JP"/>
        </w:rPr>
        <w:t>.</w:t>
      </w:r>
    </w:p>
    <w:p w14:paraId="22349222" w14:textId="77777777" w:rsidR="00F40B2D" w:rsidRPr="00A52AB8" w:rsidRDefault="00F40B2D" w:rsidP="00F40B2D">
      <w:pPr>
        <w:spacing w:before="120" w:after="120"/>
        <w:rPr>
          <w:color w:val="000000" w:themeColor="text1"/>
        </w:rPr>
      </w:pPr>
      <w:r w:rsidRPr="00A52AB8">
        <w:rPr>
          <w:color w:val="000000" w:themeColor="text1"/>
        </w:rPr>
        <w:t>First, the patch, refPatch, is determined that has an index equal to refPatchIdx in the tile with tile ID equal to tileID of the ( refIdx + 1 )-th entry of the reference atlas frame list RefAtlasFrmList, RefAtlasFrmList[ refIdx ].</w:t>
      </w:r>
    </w:p>
    <w:p w14:paraId="55D6DD78" w14:textId="63D7EAEA" w:rsidR="00F40B2D" w:rsidRPr="00A52AB8" w:rsidRDefault="00F40B2D" w:rsidP="00F40B2D">
      <w:pPr>
        <w:spacing w:before="120" w:after="120"/>
        <w:rPr>
          <w:color w:val="000000" w:themeColor="text1"/>
        </w:rPr>
      </w:pPr>
      <w:r w:rsidRPr="00A52AB8">
        <w:rPr>
          <w:color w:val="000000" w:themeColor="text1"/>
        </w:rPr>
        <w:t>Then, the outputs of this process are derived based on the associated parameters of the patch, refPatch</w:t>
      </w:r>
      <w:r w:rsidR="00E067C8" w:rsidRPr="00A52AB8">
        <w:rPr>
          <w:color w:val="000000" w:themeColor="text1"/>
        </w:rPr>
        <w:t>,</w:t>
      </w:r>
      <w:r w:rsidRPr="00A52AB8">
        <w:rPr>
          <w:color w:val="000000" w:themeColor="text1"/>
        </w:rPr>
        <w:t xml:space="preserve"> as follows:</w:t>
      </w:r>
    </w:p>
    <w:p w14:paraId="2EFB2A7F" w14:textId="319F8FB2" w:rsidR="00F40B2D" w:rsidRPr="00A52AB8" w:rsidRDefault="00F40B2D" w:rsidP="00F40B2D">
      <w:pPr>
        <w:rPr>
          <w:lang w:eastAsia="ja-JP"/>
        </w:rPr>
      </w:pPr>
      <w:r w:rsidRPr="00A52AB8">
        <w:rPr>
          <w:lang w:eastAsia="ja-JP"/>
        </w:rPr>
        <w:tab/>
        <w:t>refPatchType</w:t>
      </w:r>
      <w:r w:rsidR="00D47707" w:rsidRPr="00A52AB8">
        <w:rPr>
          <w:lang w:eastAsia="ja-JP"/>
        </w:rPr>
        <w:t> = </w:t>
      </w:r>
      <w:r w:rsidRPr="00A52AB8">
        <w:rPr>
          <w:lang w:eastAsia="ja-JP"/>
        </w:rPr>
        <w:t>TilePatchType[ tileID ][ refPatchIdx ]</w:t>
      </w:r>
      <w:r w:rsidRPr="00A52AB8">
        <w:rPr>
          <w:lang w:eastAsia="ja-JP"/>
        </w:rPr>
        <w:tab/>
        <w:t>(H</w:t>
      </w:r>
      <w:r w:rsidRPr="00A52AB8">
        <w:rPr>
          <w:lang w:eastAsia="ja-JP"/>
        </w:rPr>
        <w:noBreakHyphen/>
      </w:r>
      <w:r w:rsidRPr="00496A4D">
        <w:rPr>
          <w:lang w:eastAsia="ja-JP"/>
        </w:rPr>
        <w:fldChar w:fldCharType="begin"/>
      </w:r>
      <w:r w:rsidRPr="00A52AB8">
        <w:rPr>
          <w:lang w:eastAsia="ja-JP"/>
        </w:rPr>
        <w:instrText xml:space="preserve"> SEQ Equation \* ARABIC \s 1 </w:instrText>
      </w:r>
      <w:r w:rsidRPr="00496A4D">
        <w:rPr>
          <w:lang w:eastAsia="ja-JP"/>
        </w:rPr>
        <w:fldChar w:fldCharType="separate"/>
      </w:r>
      <w:r w:rsidR="00507A67">
        <w:rPr>
          <w:noProof/>
          <w:lang w:eastAsia="ja-JP"/>
        </w:rPr>
        <w:t>27</w:t>
      </w:r>
      <w:r w:rsidRPr="00496A4D">
        <w:rPr>
          <w:lang w:eastAsia="ja-JP"/>
        </w:rPr>
        <w:fldChar w:fldCharType="end"/>
      </w:r>
      <w:r w:rsidRPr="00A52AB8">
        <w:rPr>
          <w:lang w:eastAsia="ja-JP"/>
        </w:rPr>
        <w:t>)</w:t>
      </w:r>
    </w:p>
    <w:p w14:paraId="749A252C" w14:textId="60F9D61B" w:rsidR="00F40B2D" w:rsidRPr="00A52AB8" w:rsidRDefault="00F40B2D" w:rsidP="00F40B2D">
      <w:pPr>
        <w:rPr>
          <w:lang w:eastAsia="ja-JP"/>
        </w:rPr>
      </w:pPr>
      <w:r w:rsidRPr="00A52AB8">
        <w:rPr>
          <w:lang w:eastAsia="ja-JP"/>
        </w:rPr>
        <w:tab/>
        <w:t>refPatchInAuxVideo</w:t>
      </w:r>
      <w:r w:rsidR="00D47707" w:rsidRPr="00A52AB8">
        <w:rPr>
          <w:lang w:eastAsia="ja-JP"/>
        </w:rPr>
        <w:t> = </w:t>
      </w:r>
      <w:r w:rsidRPr="00A52AB8">
        <w:rPr>
          <w:lang w:eastAsia="ja-JP"/>
        </w:rPr>
        <w:t>TilePatchInAuxVideo[ tileID ][ refPatchIdx ]</w:t>
      </w:r>
      <w:r w:rsidRPr="00A52AB8">
        <w:rPr>
          <w:lang w:eastAsia="ja-JP"/>
        </w:rPr>
        <w:tab/>
        <w:t>(H</w:t>
      </w:r>
      <w:r w:rsidRPr="00A52AB8">
        <w:rPr>
          <w:lang w:eastAsia="ja-JP"/>
        </w:rPr>
        <w:noBreakHyphen/>
      </w:r>
      <w:r w:rsidRPr="00496A4D">
        <w:rPr>
          <w:lang w:eastAsia="ja-JP"/>
        </w:rPr>
        <w:fldChar w:fldCharType="begin"/>
      </w:r>
      <w:r w:rsidRPr="00A52AB8">
        <w:rPr>
          <w:lang w:eastAsia="ja-JP"/>
        </w:rPr>
        <w:instrText xml:space="preserve"> SEQ Equation \* ARABIC \s 1 </w:instrText>
      </w:r>
      <w:r w:rsidRPr="00496A4D">
        <w:rPr>
          <w:lang w:eastAsia="ja-JP"/>
        </w:rPr>
        <w:fldChar w:fldCharType="separate"/>
      </w:r>
      <w:r w:rsidR="00507A67">
        <w:rPr>
          <w:noProof/>
          <w:lang w:eastAsia="ja-JP"/>
        </w:rPr>
        <w:t>28</w:t>
      </w:r>
      <w:r w:rsidRPr="00496A4D">
        <w:rPr>
          <w:lang w:eastAsia="ja-JP"/>
        </w:rPr>
        <w:fldChar w:fldCharType="end"/>
      </w:r>
      <w:r w:rsidRPr="00A52AB8">
        <w:rPr>
          <w:lang w:eastAsia="ja-JP"/>
        </w:rPr>
        <w:t>)</w:t>
      </w:r>
    </w:p>
    <w:p w14:paraId="5890FD6C" w14:textId="2598FF10" w:rsidR="00F40B2D" w:rsidRPr="00A52AB8" w:rsidRDefault="00F40B2D" w:rsidP="00F40B2D">
      <w:pPr>
        <w:rPr>
          <w:lang w:eastAsia="ja-JP"/>
        </w:rPr>
      </w:pPr>
      <w:r w:rsidRPr="00A52AB8">
        <w:rPr>
          <w:lang w:eastAsia="ja-JP"/>
        </w:rPr>
        <w:tab/>
        <w:t>refPatch2dPosX</w:t>
      </w:r>
      <w:r w:rsidR="00D47707" w:rsidRPr="00A52AB8">
        <w:rPr>
          <w:lang w:eastAsia="ja-JP"/>
        </w:rPr>
        <w:t> = </w:t>
      </w:r>
      <w:r w:rsidRPr="00A52AB8">
        <w:rPr>
          <w:lang w:eastAsia="ja-JP"/>
        </w:rPr>
        <w:t>TilePatch2dPosX</w:t>
      </w:r>
      <w:r w:rsidRPr="00A52AB8">
        <w:t>[ tileID ]</w:t>
      </w:r>
      <w:r w:rsidRPr="00A52AB8">
        <w:rPr>
          <w:lang w:eastAsia="ja-JP"/>
        </w:rPr>
        <w:t>[ refPatchIdx ]</w:t>
      </w:r>
      <w:r w:rsidRPr="00A52AB8">
        <w:rPr>
          <w:lang w:eastAsia="ja-JP"/>
        </w:rPr>
        <w:tab/>
        <w:t>(H</w:t>
      </w:r>
      <w:r w:rsidRPr="00A52AB8">
        <w:rPr>
          <w:lang w:eastAsia="ja-JP"/>
        </w:rPr>
        <w:noBreakHyphen/>
      </w:r>
      <w:r w:rsidRPr="00496A4D">
        <w:rPr>
          <w:lang w:eastAsia="ja-JP"/>
        </w:rPr>
        <w:fldChar w:fldCharType="begin"/>
      </w:r>
      <w:r w:rsidRPr="00A52AB8">
        <w:rPr>
          <w:lang w:eastAsia="ja-JP"/>
        </w:rPr>
        <w:instrText xml:space="preserve"> SEQ Equation \* ARABIC \s 1 </w:instrText>
      </w:r>
      <w:r w:rsidRPr="00496A4D">
        <w:rPr>
          <w:lang w:eastAsia="ja-JP"/>
        </w:rPr>
        <w:fldChar w:fldCharType="separate"/>
      </w:r>
      <w:r w:rsidR="00507A67">
        <w:rPr>
          <w:noProof/>
          <w:lang w:eastAsia="ja-JP"/>
        </w:rPr>
        <w:t>29</w:t>
      </w:r>
      <w:r w:rsidRPr="00496A4D">
        <w:rPr>
          <w:lang w:eastAsia="ja-JP"/>
        </w:rPr>
        <w:fldChar w:fldCharType="end"/>
      </w:r>
      <w:r w:rsidRPr="00A52AB8">
        <w:rPr>
          <w:lang w:eastAsia="ja-JP"/>
        </w:rPr>
        <w:t>)</w:t>
      </w:r>
    </w:p>
    <w:p w14:paraId="4D56FC90" w14:textId="243EE190" w:rsidR="00F40B2D" w:rsidRPr="00A52AB8" w:rsidRDefault="00F40B2D" w:rsidP="00F40B2D">
      <w:pPr>
        <w:rPr>
          <w:lang w:eastAsia="ja-JP"/>
        </w:rPr>
      </w:pPr>
      <w:r w:rsidRPr="00A52AB8">
        <w:rPr>
          <w:lang w:eastAsia="ja-JP"/>
        </w:rPr>
        <w:tab/>
        <w:t>refPatch2dPosY</w:t>
      </w:r>
      <w:r w:rsidR="00D47707" w:rsidRPr="00A52AB8">
        <w:rPr>
          <w:lang w:eastAsia="ja-JP"/>
        </w:rPr>
        <w:t> = </w:t>
      </w:r>
      <w:r w:rsidRPr="00A52AB8">
        <w:rPr>
          <w:lang w:eastAsia="ja-JP"/>
        </w:rPr>
        <w:t>TilePatch2dPosY</w:t>
      </w:r>
      <w:r w:rsidRPr="00A52AB8">
        <w:t>[ tileID ]</w:t>
      </w:r>
      <w:r w:rsidRPr="00A52AB8">
        <w:rPr>
          <w:lang w:eastAsia="ja-JP"/>
        </w:rPr>
        <w:t>[ refPatchIdx ]</w:t>
      </w:r>
      <w:r w:rsidRPr="00A52AB8">
        <w:rPr>
          <w:lang w:eastAsia="ja-JP"/>
        </w:rPr>
        <w:tab/>
        <w:t>(H</w:t>
      </w:r>
      <w:r w:rsidRPr="00A52AB8">
        <w:rPr>
          <w:lang w:eastAsia="ja-JP"/>
        </w:rPr>
        <w:noBreakHyphen/>
      </w:r>
      <w:r w:rsidRPr="00496A4D">
        <w:rPr>
          <w:lang w:eastAsia="ja-JP"/>
        </w:rPr>
        <w:fldChar w:fldCharType="begin"/>
      </w:r>
      <w:r w:rsidRPr="00A52AB8">
        <w:rPr>
          <w:lang w:eastAsia="ja-JP"/>
        </w:rPr>
        <w:instrText xml:space="preserve"> SEQ Equation \* ARABIC \s 1 </w:instrText>
      </w:r>
      <w:r w:rsidRPr="00496A4D">
        <w:rPr>
          <w:lang w:eastAsia="ja-JP"/>
        </w:rPr>
        <w:fldChar w:fldCharType="separate"/>
      </w:r>
      <w:r w:rsidR="00507A67">
        <w:rPr>
          <w:noProof/>
          <w:lang w:eastAsia="ja-JP"/>
        </w:rPr>
        <w:t>30</w:t>
      </w:r>
      <w:r w:rsidRPr="00496A4D">
        <w:rPr>
          <w:lang w:eastAsia="ja-JP"/>
        </w:rPr>
        <w:fldChar w:fldCharType="end"/>
      </w:r>
      <w:r w:rsidRPr="00A52AB8">
        <w:rPr>
          <w:lang w:eastAsia="ja-JP"/>
        </w:rPr>
        <w:t>)</w:t>
      </w:r>
    </w:p>
    <w:p w14:paraId="1D240279" w14:textId="6DEDD43E" w:rsidR="00F40B2D" w:rsidRPr="00A52AB8" w:rsidRDefault="00F40B2D" w:rsidP="00F40B2D">
      <w:pPr>
        <w:rPr>
          <w:lang w:eastAsia="ja-JP"/>
        </w:rPr>
      </w:pPr>
      <w:r w:rsidRPr="00A52AB8">
        <w:rPr>
          <w:lang w:eastAsia="ja-JP"/>
        </w:rPr>
        <w:tab/>
        <w:t>refPatch2dSizeX</w:t>
      </w:r>
      <w:r w:rsidR="00D47707" w:rsidRPr="00A52AB8">
        <w:rPr>
          <w:lang w:eastAsia="ja-JP"/>
        </w:rPr>
        <w:t> = </w:t>
      </w:r>
      <w:r w:rsidRPr="00A52AB8">
        <w:rPr>
          <w:lang w:eastAsia="ja-JP"/>
        </w:rPr>
        <w:t>TilePatch2dSizeX</w:t>
      </w:r>
      <w:r w:rsidRPr="00A52AB8">
        <w:t>[ tileID ]</w:t>
      </w:r>
      <w:r w:rsidRPr="00A52AB8">
        <w:rPr>
          <w:lang w:eastAsia="ja-JP"/>
        </w:rPr>
        <w:t>[ refPatchIdx ]</w:t>
      </w:r>
      <w:r w:rsidRPr="00A52AB8">
        <w:rPr>
          <w:lang w:eastAsia="ja-JP"/>
        </w:rPr>
        <w:tab/>
        <w:t>(H</w:t>
      </w:r>
      <w:r w:rsidRPr="00A52AB8">
        <w:rPr>
          <w:lang w:eastAsia="ja-JP"/>
        </w:rPr>
        <w:noBreakHyphen/>
      </w:r>
      <w:r w:rsidRPr="00496A4D">
        <w:rPr>
          <w:lang w:eastAsia="ja-JP"/>
        </w:rPr>
        <w:fldChar w:fldCharType="begin"/>
      </w:r>
      <w:r w:rsidRPr="00A52AB8">
        <w:rPr>
          <w:lang w:eastAsia="ja-JP"/>
        </w:rPr>
        <w:instrText xml:space="preserve"> SEQ Equation \* ARABIC \s 1 </w:instrText>
      </w:r>
      <w:r w:rsidRPr="00496A4D">
        <w:rPr>
          <w:lang w:eastAsia="ja-JP"/>
        </w:rPr>
        <w:fldChar w:fldCharType="separate"/>
      </w:r>
      <w:r w:rsidR="00507A67">
        <w:rPr>
          <w:noProof/>
          <w:lang w:eastAsia="ja-JP"/>
        </w:rPr>
        <w:t>31</w:t>
      </w:r>
      <w:r w:rsidRPr="00496A4D">
        <w:rPr>
          <w:lang w:eastAsia="ja-JP"/>
        </w:rPr>
        <w:fldChar w:fldCharType="end"/>
      </w:r>
      <w:r w:rsidRPr="00A52AB8">
        <w:rPr>
          <w:lang w:eastAsia="ja-JP"/>
        </w:rPr>
        <w:t>)</w:t>
      </w:r>
    </w:p>
    <w:p w14:paraId="097F8D7D" w14:textId="19F02944" w:rsidR="00F40B2D" w:rsidRPr="00A52AB8" w:rsidRDefault="00F40B2D" w:rsidP="00F40B2D">
      <w:pPr>
        <w:rPr>
          <w:lang w:eastAsia="ja-JP"/>
        </w:rPr>
      </w:pPr>
      <w:r w:rsidRPr="00A52AB8">
        <w:rPr>
          <w:lang w:eastAsia="ja-JP"/>
        </w:rPr>
        <w:tab/>
        <w:t>refPatch2dSizeY</w:t>
      </w:r>
      <w:r w:rsidR="00D47707" w:rsidRPr="00A52AB8">
        <w:rPr>
          <w:lang w:eastAsia="ja-JP"/>
        </w:rPr>
        <w:t> = </w:t>
      </w:r>
      <w:r w:rsidRPr="00A52AB8">
        <w:rPr>
          <w:lang w:eastAsia="ja-JP"/>
        </w:rPr>
        <w:t>TilePatch2dSizeY</w:t>
      </w:r>
      <w:r w:rsidRPr="00A52AB8">
        <w:t>[ tileID ]</w:t>
      </w:r>
      <w:r w:rsidRPr="00A52AB8">
        <w:rPr>
          <w:lang w:eastAsia="ja-JP"/>
        </w:rPr>
        <w:t>[ refPatchIdx ]</w:t>
      </w:r>
      <w:r w:rsidRPr="00A52AB8">
        <w:rPr>
          <w:lang w:eastAsia="ja-JP"/>
        </w:rPr>
        <w:tab/>
        <w:t>(H</w:t>
      </w:r>
      <w:r w:rsidRPr="00A52AB8">
        <w:rPr>
          <w:lang w:eastAsia="ja-JP"/>
        </w:rPr>
        <w:noBreakHyphen/>
      </w:r>
      <w:r w:rsidRPr="00496A4D">
        <w:rPr>
          <w:lang w:eastAsia="ja-JP"/>
        </w:rPr>
        <w:fldChar w:fldCharType="begin"/>
      </w:r>
      <w:r w:rsidRPr="00A52AB8">
        <w:rPr>
          <w:lang w:eastAsia="ja-JP"/>
        </w:rPr>
        <w:instrText xml:space="preserve"> SEQ Equation \* ARABIC \s 1 </w:instrText>
      </w:r>
      <w:r w:rsidRPr="00496A4D">
        <w:rPr>
          <w:lang w:eastAsia="ja-JP"/>
        </w:rPr>
        <w:fldChar w:fldCharType="separate"/>
      </w:r>
      <w:r w:rsidR="00507A67">
        <w:rPr>
          <w:noProof/>
          <w:lang w:eastAsia="ja-JP"/>
        </w:rPr>
        <w:t>32</w:t>
      </w:r>
      <w:r w:rsidRPr="00496A4D">
        <w:rPr>
          <w:lang w:eastAsia="ja-JP"/>
        </w:rPr>
        <w:fldChar w:fldCharType="end"/>
      </w:r>
      <w:r w:rsidRPr="00A52AB8">
        <w:rPr>
          <w:lang w:eastAsia="ja-JP"/>
        </w:rPr>
        <w:t>)</w:t>
      </w:r>
    </w:p>
    <w:p w14:paraId="30955B2C" w14:textId="1B5F57E5" w:rsidR="00F40B2D" w:rsidRPr="00A52AB8" w:rsidRDefault="00F40B2D" w:rsidP="00F40B2D">
      <w:pPr>
        <w:rPr>
          <w:lang w:eastAsia="ja-JP"/>
        </w:rPr>
      </w:pPr>
      <w:r w:rsidRPr="00A52AB8">
        <w:rPr>
          <w:color w:val="000000" w:themeColor="text1"/>
        </w:rPr>
        <w:t xml:space="preserve">If </w:t>
      </w:r>
      <w:r w:rsidRPr="00A52AB8">
        <w:rPr>
          <w:lang w:eastAsia="ja-JP"/>
        </w:rPr>
        <w:t xml:space="preserve">refPatchType </w:t>
      </w:r>
      <w:r w:rsidRPr="00A52AB8">
        <w:rPr>
          <w:color w:val="000000" w:themeColor="text1"/>
        </w:rPr>
        <w:t xml:space="preserve">is equal to PROJECTED, then the process in subclause </w:t>
      </w:r>
      <w:r w:rsidRPr="00496A4D">
        <w:rPr>
          <w:color w:val="000000" w:themeColor="text1"/>
        </w:rPr>
        <w:fldChar w:fldCharType="begin"/>
      </w:r>
      <w:r w:rsidRPr="00A52AB8">
        <w:rPr>
          <w:color w:val="000000" w:themeColor="text1"/>
        </w:rPr>
        <w:instrText xml:space="preserve"> REF _Ref50200145 \r \h </w:instrText>
      </w:r>
      <w:r w:rsidR="00007BE2"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H.9.2.5.5.2.2</w:t>
      </w:r>
      <w:r w:rsidRPr="00496A4D">
        <w:rPr>
          <w:color w:val="000000" w:themeColor="text1"/>
        </w:rPr>
        <w:fldChar w:fldCharType="end"/>
      </w:r>
      <w:r w:rsidRPr="00A52AB8">
        <w:rPr>
          <w:color w:val="000000" w:themeColor="text1"/>
        </w:rPr>
        <w:t xml:space="preserve"> is invoked with refIdx, tileID, and refPatchIdx as inputs. The outputs of the process are the variables </w:t>
      </w:r>
      <w:r w:rsidRPr="00A52AB8">
        <w:rPr>
          <w:lang w:eastAsia="ja-JP"/>
        </w:rPr>
        <w:t>refPatch3dOffsetU, refPatch3dOffsetV, refPatchProjectionID, refPatch3dOffsetD,</w:t>
      </w:r>
      <w:r w:rsidRPr="00A52AB8">
        <w:rPr>
          <w:color w:val="000000" w:themeColor="text1"/>
        </w:rPr>
        <w:t xml:space="preserve"> refPatch3dRangeD, </w:t>
      </w:r>
      <w:r w:rsidRPr="00A52AB8">
        <w:rPr>
          <w:lang w:eastAsia="ja-JP"/>
        </w:rPr>
        <w:t xml:space="preserve">refPatchOrientationIndex, refPatchLoDScaleX, refPatchLoDScaleY, </w:t>
      </w:r>
      <w:r w:rsidR="00511876" w:rsidRPr="00A52AB8">
        <w:rPr>
          <w:lang w:eastAsia="ja-JP"/>
        </w:rPr>
        <w:t xml:space="preserve">refPatchAxisU, refPatchAxisV, refPatchAxisD, refPatchProjectionFlag, and </w:t>
      </w:r>
      <w:r w:rsidR="00511876" w:rsidRPr="00A52AB8">
        <w:rPr>
          <w:color w:val="000000" w:themeColor="text1"/>
        </w:rPr>
        <w:t>refPatch45DegreeMode,</w:t>
      </w:r>
      <w:r w:rsidR="00511876" w:rsidRPr="00A52AB8">
        <w:rPr>
          <w:lang w:eastAsia="ja-JP"/>
        </w:rPr>
        <w:t xml:space="preserve"> </w:t>
      </w:r>
      <w:r w:rsidRPr="00A52AB8">
        <w:rPr>
          <w:lang w:eastAsia="ja-JP"/>
        </w:rPr>
        <w:t xml:space="preserve">and, if asps_plr_enabled_flag is equal to 1, the 1D arrays </w:t>
      </w:r>
      <w:r w:rsidRPr="00A52AB8">
        <w:rPr>
          <w:color w:val="000000" w:themeColor="text1"/>
        </w:rPr>
        <w:t>refPatchPlrdLevel, refPatchPlrdPresentFlag, and refPlrdModeMinus1, and the 2D arrays refPatchPlrdPresentBlockFlag and refPatchPlrdBlockModeMinus1</w:t>
      </w:r>
      <w:r w:rsidRPr="00A52AB8">
        <w:rPr>
          <w:lang w:eastAsia="ja-JP"/>
        </w:rPr>
        <w:t>.</w:t>
      </w:r>
    </w:p>
    <w:p w14:paraId="6CD766F9" w14:textId="406A8EF9" w:rsidR="00F40B2D" w:rsidRPr="00A52AB8" w:rsidRDefault="00F40B2D" w:rsidP="00F40B2D">
      <w:pPr>
        <w:rPr>
          <w:color w:val="000000" w:themeColor="text1"/>
        </w:rPr>
      </w:pPr>
      <w:r w:rsidRPr="00A52AB8">
        <w:rPr>
          <w:color w:val="000000" w:themeColor="text1"/>
        </w:rPr>
        <w:t xml:space="preserve">If </w:t>
      </w:r>
      <w:r w:rsidRPr="00A52AB8">
        <w:rPr>
          <w:lang w:eastAsia="ja-JP"/>
        </w:rPr>
        <w:t>refPatchType</w:t>
      </w:r>
      <w:r w:rsidRPr="00A52AB8">
        <w:rPr>
          <w:color w:val="000000" w:themeColor="text1"/>
        </w:rPr>
        <w:t xml:space="preserve"> is equal to RAW, then the process in subclause </w:t>
      </w:r>
      <w:r w:rsidRPr="00496A4D">
        <w:rPr>
          <w:color w:val="000000" w:themeColor="text1"/>
        </w:rPr>
        <w:fldChar w:fldCharType="begin"/>
      </w:r>
      <w:r w:rsidRPr="00A52AB8">
        <w:rPr>
          <w:color w:val="000000" w:themeColor="text1"/>
        </w:rPr>
        <w:instrText xml:space="preserve"> REF _Ref50200176 \r \h </w:instrText>
      </w:r>
      <w:r w:rsidR="00007BE2"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H.9.2.5.5.2.3</w:t>
      </w:r>
      <w:r w:rsidRPr="00496A4D">
        <w:rPr>
          <w:color w:val="000000" w:themeColor="text1"/>
        </w:rPr>
        <w:fldChar w:fldCharType="end"/>
      </w:r>
      <w:r w:rsidRPr="00A52AB8">
        <w:rPr>
          <w:color w:val="000000" w:themeColor="text1"/>
        </w:rPr>
        <w:t xml:space="preserve"> is invoked with refIdx, tileID, and refPatchIdx as inputs. The outputs of the process are</w:t>
      </w:r>
      <w:r w:rsidRPr="00A52AB8">
        <w:rPr>
          <w:lang w:eastAsia="ja-JP"/>
        </w:rPr>
        <w:t xml:space="preserve"> the variables refPatch3dOffsetU, refPatch3dOffsetV, refPatch3dOffsetD, and refPatchRawPoints.</w:t>
      </w:r>
    </w:p>
    <w:p w14:paraId="1E963CF2" w14:textId="1FF00B11" w:rsidR="00F40B2D" w:rsidRPr="00A52AB8" w:rsidRDefault="00F40B2D" w:rsidP="00F40B2D">
      <w:pPr>
        <w:rPr>
          <w:color w:val="000000" w:themeColor="text1"/>
        </w:rPr>
      </w:pPr>
      <w:r w:rsidRPr="00A52AB8">
        <w:rPr>
          <w:color w:val="000000" w:themeColor="text1"/>
        </w:rPr>
        <w:t xml:space="preserve">If </w:t>
      </w:r>
      <w:r w:rsidRPr="00A52AB8">
        <w:rPr>
          <w:lang w:eastAsia="ja-JP"/>
        </w:rPr>
        <w:t>refPatchType</w:t>
      </w:r>
      <w:r w:rsidRPr="00A52AB8">
        <w:rPr>
          <w:color w:val="000000" w:themeColor="text1"/>
        </w:rPr>
        <w:t xml:space="preserve"> is equal to EOM, then the process in subclause </w:t>
      </w:r>
      <w:r w:rsidRPr="00496A4D">
        <w:rPr>
          <w:color w:val="000000" w:themeColor="text1"/>
        </w:rPr>
        <w:fldChar w:fldCharType="begin"/>
      </w:r>
      <w:r w:rsidRPr="00A52AB8">
        <w:rPr>
          <w:color w:val="000000" w:themeColor="text1"/>
        </w:rPr>
        <w:instrText xml:space="preserve"> REF _Ref50200187 \r \h </w:instrText>
      </w:r>
      <w:r w:rsidR="00007BE2"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H.9.2.5.5.2.4</w:t>
      </w:r>
      <w:r w:rsidRPr="00496A4D">
        <w:rPr>
          <w:color w:val="000000" w:themeColor="text1"/>
        </w:rPr>
        <w:fldChar w:fldCharType="end"/>
      </w:r>
      <w:r w:rsidRPr="00A52AB8">
        <w:rPr>
          <w:color w:val="000000" w:themeColor="text1"/>
        </w:rPr>
        <w:t xml:space="preserve"> is invoked with refIdx, tileID, and refPatchIdx as inputs. The outputs of the process are the variable refPatchEomPatchCount, and the 1D arrays </w:t>
      </w:r>
      <w:r w:rsidRPr="00A52AB8">
        <w:t>refP</w:t>
      </w:r>
      <w:r w:rsidRPr="00A52AB8">
        <w:rPr>
          <w:color w:val="000000" w:themeColor="text1"/>
        </w:rPr>
        <w:t xml:space="preserve">atchAssociatedPatchIndex and </w:t>
      </w:r>
      <w:r w:rsidRPr="00A52AB8">
        <w:rPr>
          <w:lang w:eastAsia="ja-JP"/>
        </w:rPr>
        <w:t>ref</w:t>
      </w:r>
      <w:r w:rsidRPr="00A52AB8">
        <w:rPr>
          <w:color w:val="000000" w:themeColor="text1"/>
        </w:rPr>
        <w:t>PatchEomPoints.</w:t>
      </w:r>
    </w:p>
    <w:p w14:paraId="021BB187" w14:textId="77777777" w:rsidR="002D4366" w:rsidRPr="00A52AB8" w:rsidRDefault="00991734" w:rsidP="00EE3D19">
      <w:pPr>
        <w:pStyle w:val="a4"/>
        <w:numPr>
          <w:ilvl w:val="6"/>
          <w:numId w:val="14"/>
        </w:numPr>
        <w:tabs>
          <w:tab w:val="clear" w:pos="7200"/>
        </w:tabs>
        <w:outlineLvl w:val="6"/>
      </w:pPr>
      <w:bookmarkStart w:id="6247" w:name="_Toc50200624"/>
      <w:bookmarkStart w:id="6248" w:name="_Toc50238143"/>
      <w:bookmarkStart w:id="6249" w:name="_Toc50200625"/>
      <w:bookmarkStart w:id="6250" w:name="_Toc50238144"/>
      <w:bookmarkStart w:id="6251" w:name="_Toc50200626"/>
      <w:bookmarkStart w:id="6252" w:name="_Toc50238145"/>
      <w:bookmarkStart w:id="6253" w:name="_Toc50200627"/>
      <w:bookmarkStart w:id="6254" w:name="_Toc50238146"/>
      <w:bookmarkStart w:id="6255" w:name="_Toc50200628"/>
      <w:bookmarkStart w:id="6256" w:name="_Toc50238147"/>
      <w:bookmarkStart w:id="6257" w:name="_Toc50200629"/>
      <w:bookmarkStart w:id="6258" w:name="_Toc50238148"/>
      <w:bookmarkStart w:id="6259" w:name="_Toc50200630"/>
      <w:bookmarkStart w:id="6260" w:name="_Toc50238149"/>
      <w:bookmarkStart w:id="6261" w:name="_Toc50200631"/>
      <w:bookmarkStart w:id="6262" w:name="_Toc50238150"/>
      <w:bookmarkStart w:id="6263" w:name="_Ref50200145"/>
      <w:bookmarkEnd w:id="6247"/>
      <w:bookmarkEnd w:id="6248"/>
      <w:bookmarkEnd w:id="6249"/>
      <w:bookmarkEnd w:id="6250"/>
      <w:bookmarkEnd w:id="6251"/>
      <w:bookmarkEnd w:id="6252"/>
      <w:bookmarkEnd w:id="6253"/>
      <w:bookmarkEnd w:id="6254"/>
      <w:bookmarkEnd w:id="6255"/>
      <w:bookmarkEnd w:id="6256"/>
      <w:bookmarkEnd w:id="6257"/>
      <w:bookmarkEnd w:id="6258"/>
      <w:bookmarkEnd w:id="6259"/>
      <w:bookmarkEnd w:id="6260"/>
      <w:bookmarkEnd w:id="6261"/>
      <w:bookmarkEnd w:id="6262"/>
      <w:r w:rsidRPr="00A52AB8">
        <w:t>Reference patches in PROJECTED mode</w:t>
      </w:r>
      <w:bookmarkEnd w:id="6263"/>
    </w:p>
    <w:p w14:paraId="7B7635AC" w14:textId="36841D1B" w:rsidR="00CE141C" w:rsidRPr="00A52AB8" w:rsidRDefault="00CE141C" w:rsidP="00966AAC">
      <w:pPr>
        <w:rPr>
          <w:lang w:eastAsia="ja-JP"/>
        </w:rPr>
      </w:pPr>
      <w:r w:rsidRPr="00A52AB8">
        <w:rPr>
          <w:lang w:eastAsia="ja-JP"/>
        </w:rPr>
        <w:t xml:space="preserve">The specifications in subclause </w:t>
      </w:r>
      <w:r w:rsidRPr="00496A4D">
        <w:rPr>
          <w:lang w:eastAsia="ja-JP"/>
        </w:rPr>
        <w:fldChar w:fldCharType="begin"/>
      </w:r>
      <w:r w:rsidRPr="00A52AB8">
        <w:rPr>
          <w:lang w:eastAsia="ja-JP"/>
        </w:rPr>
        <w:instrText xml:space="preserve"> REF _Ref46926083 \r \h </w:instrText>
      </w:r>
      <w:r w:rsidR="006371AA" w:rsidRPr="00A52AB8">
        <w:rPr>
          <w:lang w:eastAsia="ja-JP"/>
        </w:rPr>
        <w:instrText xml:space="preserve"> \* MERGEFORMAT </w:instrText>
      </w:r>
      <w:r w:rsidRPr="00496A4D">
        <w:rPr>
          <w:lang w:eastAsia="ja-JP"/>
        </w:rPr>
      </w:r>
      <w:r w:rsidRPr="00496A4D">
        <w:rPr>
          <w:lang w:eastAsia="ja-JP"/>
        </w:rPr>
        <w:fldChar w:fldCharType="separate"/>
      </w:r>
      <w:r w:rsidR="00507A67">
        <w:rPr>
          <w:lang w:eastAsia="ja-JP"/>
        </w:rPr>
        <w:t>9.2.5.5.2.2</w:t>
      </w:r>
      <w:r w:rsidRPr="00496A4D">
        <w:rPr>
          <w:lang w:eastAsia="ja-JP"/>
        </w:rPr>
        <w:fldChar w:fldCharType="end"/>
      </w:r>
      <w:r w:rsidRPr="00A52AB8">
        <w:rPr>
          <w:lang w:eastAsia="ja-JP"/>
        </w:rPr>
        <w:t xml:space="preserve"> apply</w:t>
      </w:r>
      <w:r w:rsidR="00511876" w:rsidRPr="00A52AB8">
        <w:rPr>
          <w:lang w:eastAsia="ja-JP"/>
        </w:rPr>
        <w:t xml:space="preserve"> with the following modifications and additions:</w:t>
      </w:r>
    </w:p>
    <w:p w14:paraId="2CF8EB62" w14:textId="279F3018" w:rsidR="00511876" w:rsidRPr="00A52AB8" w:rsidRDefault="00511876" w:rsidP="00511876">
      <w:pPr>
        <w:rPr>
          <w:lang w:eastAsia="ja-JP"/>
        </w:rPr>
      </w:pPr>
      <w:r w:rsidRPr="00A52AB8">
        <w:rPr>
          <w:color w:val="000000" w:themeColor="text1"/>
        </w:rPr>
        <w:t xml:space="preserve">Outputs to this process are the variables </w:t>
      </w:r>
      <w:r w:rsidRPr="00A52AB8">
        <w:rPr>
          <w:lang w:eastAsia="ja-JP"/>
        </w:rPr>
        <w:t xml:space="preserve">refPatch3dOffsetU, refPatch3dOffsetV, refPatch3dOffsetD, refPatch3dRangeD, refPatchProjectionID, refPatchOrientationIndex, refPatchLoDScaleX, refPachLoDScaleY, refPatchAxisU, refPatchAxisV, refPatchAxisD, refPatchProjectionFlag, and </w:t>
      </w:r>
      <w:r w:rsidRPr="00A52AB8">
        <w:rPr>
          <w:color w:val="000000" w:themeColor="text1"/>
        </w:rPr>
        <w:t>refPatch45DegreeMode,</w:t>
      </w:r>
      <w:r w:rsidRPr="00A52AB8">
        <w:rPr>
          <w:lang w:eastAsia="ja-JP"/>
        </w:rPr>
        <w:t xml:space="preserve"> and, if asps_plr_enabled_flag is equal to 1, the 1D arrays </w:t>
      </w:r>
      <w:r w:rsidRPr="00A52AB8">
        <w:rPr>
          <w:color w:val="000000" w:themeColor="text1"/>
        </w:rPr>
        <w:t>refPatchPlrdLevel, refPatchPlrdPresentFlag, and refPlrdModeMinus1, and the 2D arrays refPatchPlrdPresentBlockFlag and refPatchPlrdBlockModeMinus1</w:t>
      </w:r>
      <w:r w:rsidRPr="00A52AB8">
        <w:rPr>
          <w:lang w:eastAsia="ja-JP"/>
        </w:rPr>
        <w:t>.</w:t>
      </w:r>
    </w:p>
    <w:p w14:paraId="16D54F8D" w14:textId="51A732B7" w:rsidR="00F40B2D" w:rsidRPr="00A52AB8" w:rsidRDefault="00511876" w:rsidP="00F40B2D">
      <w:pPr>
        <w:rPr>
          <w:lang w:eastAsia="ja-JP"/>
        </w:rPr>
      </w:pPr>
      <w:r w:rsidRPr="00A52AB8">
        <w:rPr>
          <w:lang w:eastAsia="ja-JP"/>
        </w:rPr>
        <w:t>T</w:t>
      </w:r>
      <w:r w:rsidR="00F40B2D" w:rsidRPr="00A52AB8">
        <w:rPr>
          <w:lang w:eastAsia="ja-JP"/>
        </w:rPr>
        <w:t>hese additional output variables are derived:</w:t>
      </w:r>
    </w:p>
    <w:p w14:paraId="105980A9" w14:textId="54C4C490" w:rsidR="00F40B2D" w:rsidRPr="00A52AB8" w:rsidRDefault="00F40B2D" w:rsidP="00F40B2D">
      <w:pPr>
        <w:rPr>
          <w:lang w:eastAsia="ja-JP"/>
        </w:rPr>
      </w:pPr>
      <w:r w:rsidRPr="00A52AB8">
        <w:rPr>
          <w:lang w:eastAsia="ja-JP"/>
        </w:rPr>
        <w:tab/>
        <w:t>refPatchAxisU</w:t>
      </w:r>
      <w:r w:rsidR="00D47707" w:rsidRPr="00A52AB8">
        <w:rPr>
          <w:lang w:eastAsia="ja-JP"/>
        </w:rPr>
        <w:t> = </w:t>
      </w:r>
      <w:r w:rsidRPr="00A52AB8">
        <w:rPr>
          <w:lang w:eastAsia="ja-JP"/>
        </w:rPr>
        <w:t>TilePatchAxisU[ tileID ][ refPatchIdx ]</w:t>
      </w:r>
      <w:r w:rsidRPr="00A52AB8">
        <w:rPr>
          <w:lang w:eastAsia="ja-JP"/>
        </w:rPr>
        <w:tab/>
        <w:t>(H</w:t>
      </w:r>
      <w:r w:rsidRPr="00A52AB8">
        <w:rPr>
          <w:lang w:eastAsia="ja-JP"/>
        </w:rPr>
        <w:noBreakHyphen/>
      </w:r>
      <w:r w:rsidRPr="00496A4D">
        <w:rPr>
          <w:lang w:eastAsia="ja-JP"/>
        </w:rPr>
        <w:fldChar w:fldCharType="begin"/>
      </w:r>
      <w:r w:rsidRPr="00A52AB8">
        <w:rPr>
          <w:lang w:eastAsia="ja-JP"/>
        </w:rPr>
        <w:instrText xml:space="preserve"> SEQ Equation \* ARABIC \s 1 </w:instrText>
      </w:r>
      <w:r w:rsidRPr="00496A4D">
        <w:rPr>
          <w:lang w:eastAsia="ja-JP"/>
        </w:rPr>
        <w:fldChar w:fldCharType="separate"/>
      </w:r>
      <w:r w:rsidR="00507A67">
        <w:rPr>
          <w:noProof/>
          <w:lang w:eastAsia="ja-JP"/>
        </w:rPr>
        <w:t>33</w:t>
      </w:r>
      <w:r w:rsidRPr="00496A4D">
        <w:rPr>
          <w:lang w:eastAsia="ja-JP"/>
        </w:rPr>
        <w:fldChar w:fldCharType="end"/>
      </w:r>
      <w:r w:rsidRPr="00A52AB8">
        <w:rPr>
          <w:lang w:eastAsia="ja-JP"/>
        </w:rPr>
        <w:t>)</w:t>
      </w:r>
    </w:p>
    <w:p w14:paraId="54A97BDB" w14:textId="16565A67" w:rsidR="00F40B2D" w:rsidRPr="00A52AB8" w:rsidRDefault="00F40B2D" w:rsidP="00F40B2D">
      <w:pPr>
        <w:rPr>
          <w:lang w:eastAsia="ja-JP"/>
        </w:rPr>
      </w:pPr>
      <w:r w:rsidRPr="00A52AB8">
        <w:rPr>
          <w:lang w:eastAsia="ja-JP"/>
        </w:rPr>
        <w:tab/>
        <w:t>refPatchAxisV</w:t>
      </w:r>
      <w:r w:rsidR="00D47707" w:rsidRPr="00A52AB8">
        <w:rPr>
          <w:lang w:eastAsia="ja-JP"/>
        </w:rPr>
        <w:t> = </w:t>
      </w:r>
      <w:r w:rsidRPr="00A52AB8">
        <w:rPr>
          <w:lang w:eastAsia="ja-JP"/>
        </w:rPr>
        <w:t>TilePatchAxisV[ tileID ][ refPatchIdx ]</w:t>
      </w:r>
      <w:r w:rsidRPr="00A52AB8">
        <w:rPr>
          <w:lang w:eastAsia="ja-JP"/>
        </w:rPr>
        <w:tab/>
        <w:t>(H</w:t>
      </w:r>
      <w:r w:rsidRPr="00A52AB8">
        <w:rPr>
          <w:lang w:eastAsia="ja-JP"/>
        </w:rPr>
        <w:noBreakHyphen/>
      </w:r>
      <w:r w:rsidRPr="00496A4D">
        <w:rPr>
          <w:lang w:eastAsia="ja-JP"/>
        </w:rPr>
        <w:fldChar w:fldCharType="begin"/>
      </w:r>
      <w:r w:rsidRPr="00A52AB8">
        <w:rPr>
          <w:lang w:eastAsia="ja-JP"/>
        </w:rPr>
        <w:instrText xml:space="preserve"> SEQ Equation \* ARABIC \s 1 </w:instrText>
      </w:r>
      <w:r w:rsidRPr="00496A4D">
        <w:rPr>
          <w:lang w:eastAsia="ja-JP"/>
        </w:rPr>
        <w:fldChar w:fldCharType="separate"/>
      </w:r>
      <w:r w:rsidR="00507A67">
        <w:rPr>
          <w:noProof/>
          <w:lang w:eastAsia="ja-JP"/>
        </w:rPr>
        <w:t>34</w:t>
      </w:r>
      <w:r w:rsidRPr="00496A4D">
        <w:rPr>
          <w:lang w:eastAsia="ja-JP"/>
        </w:rPr>
        <w:fldChar w:fldCharType="end"/>
      </w:r>
      <w:r w:rsidRPr="00A52AB8">
        <w:rPr>
          <w:lang w:eastAsia="ja-JP"/>
        </w:rPr>
        <w:t>)</w:t>
      </w:r>
    </w:p>
    <w:p w14:paraId="05015DB3" w14:textId="76A321F8" w:rsidR="00F40B2D" w:rsidRPr="00A52AB8" w:rsidRDefault="00F40B2D" w:rsidP="00F40B2D">
      <w:pPr>
        <w:rPr>
          <w:lang w:eastAsia="ja-JP"/>
        </w:rPr>
      </w:pPr>
      <w:r w:rsidRPr="00A52AB8">
        <w:rPr>
          <w:lang w:eastAsia="ja-JP"/>
        </w:rPr>
        <w:tab/>
        <w:t>refPatchAxisD</w:t>
      </w:r>
      <w:r w:rsidR="00D47707" w:rsidRPr="00A52AB8">
        <w:rPr>
          <w:lang w:eastAsia="ja-JP"/>
        </w:rPr>
        <w:t> = </w:t>
      </w:r>
      <w:r w:rsidRPr="00A52AB8">
        <w:rPr>
          <w:lang w:eastAsia="ja-JP"/>
        </w:rPr>
        <w:t>TilePatchAxisD[ tileID ][ refPatchIdx ]</w:t>
      </w:r>
      <w:r w:rsidRPr="00A52AB8">
        <w:rPr>
          <w:lang w:eastAsia="ja-JP"/>
        </w:rPr>
        <w:tab/>
        <w:t>(H</w:t>
      </w:r>
      <w:r w:rsidRPr="00A52AB8">
        <w:rPr>
          <w:lang w:eastAsia="ja-JP"/>
        </w:rPr>
        <w:noBreakHyphen/>
      </w:r>
      <w:r w:rsidRPr="00496A4D">
        <w:rPr>
          <w:lang w:eastAsia="ja-JP"/>
        </w:rPr>
        <w:fldChar w:fldCharType="begin"/>
      </w:r>
      <w:r w:rsidRPr="00A52AB8">
        <w:rPr>
          <w:lang w:eastAsia="ja-JP"/>
        </w:rPr>
        <w:instrText xml:space="preserve"> SEQ Equation \* ARABIC \s 1 </w:instrText>
      </w:r>
      <w:r w:rsidRPr="00496A4D">
        <w:rPr>
          <w:lang w:eastAsia="ja-JP"/>
        </w:rPr>
        <w:fldChar w:fldCharType="separate"/>
      </w:r>
      <w:r w:rsidR="00507A67">
        <w:rPr>
          <w:noProof/>
          <w:lang w:eastAsia="ja-JP"/>
        </w:rPr>
        <w:t>35</w:t>
      </w:r>
      <w:r w:rsidRPr="00496A4D">
        <w:rPr>
          <w:lang w:eastAsia="ja-JP"/>
        </w:rPr>
        <w:fldChar w:fldCharType="end"/>
      </w:r>
      <w:r w:rsidRPr="00A52AB8">
        <w:rPr>
          <w:lang w:eastAsia="ja-JP"/>
        </w:rPr>
        <w:t>)</w:t>
      </w:r>
    </w:p>
    <w:p w14:paraId="2074470A" w14:textId="6177F7A7" w:rsidR="00F40B2D" w:rsidRPr="00A52AB8" w:rsidRDefault="00F40B2D" w:rsidP="00F40B2D">
      <w:pPr>
        <w:rPr>
          <w:lang w:eastAsia="ja-JP"/>
        </w:rPr>
      </w:pPr>
      <w:r w:rsidRPr="00A52AB8">
        <w:rPr>
          <w:lang w:eastAsia="ja-JP"/>
        </w:rPr>
        <w:tab/>
        <w:t>refPatch45DegreeMode</w:t>
      </w:r>
      <w:r w:rsidR="00D47707" w:rsidRPr="00A52AB8">
        <w:rPr>
          <w:lang w:eastAsia="ja-JP"/>
        </w:rPr>
        <w:t> = </w:t>
      </w:r>
      <w:r w:rsidRPr="00A52AB8">
        <w:rPr>
          <w:lang w:eastAsia="ja-JP"/>
        </w:rPr>
        <w:t>TilePatch45DegreeMode[ tileID ][ refPatchIdx ]</w:t>
      </w:r>
      <w:r w:rsidRPr="00A52AB8">
        <w:rPr>
          <w:lang w:eastAsia="ja-JP"/>
        </w:rPr>
        <w:tab/>
        <w:t>(H</w:t>
      </w:r>
      <w:r w:rsidRPr="00A52AB8">
        <w:rPr>
          <w:lang w:eastAsia="ja-JP"/>
        </w:rPr>
        <w:noBreakHyphen/>
      </w:r>
      <w:r w:rsidRPr="00496A4D">
        <w:rPr>
          <w:lang w:eastAsia="ja-JP"/>
        </w:rPr>
        <w:fldChar w:fldCharType="begin"/>
      </w:r>
      <w:r w:rsidRPr="00A52AB8">
        <w:rPr>
          <w:lang w:eastAsia="ja-JP"/>
        </w:rPr>
        <w:instrText xml:space="preserve"> SEQ Equation \* ARABIC \s 1 </w:instrText>
      </w:r>
      <w:r w:rsidRPr="00496A4D">
        <w:rPr>
          <w:lang w:eastAsia="ja-JP"/>
        </w:rPr>
        <w:fldChar w:fldCharType="separate"/>
      </w:r>
      <w:r w:rsidR="00507A67">
        <w:rPr>
          <w:noProof/>
          <w:lang w:eastAsia="ja-JP"/>
        </w:rPr>
        <w:t>36</w:t>
      </w:r>
      <w:r w:rsidRPr="00496A4D">
        <w:rPr>
          <w:lang w:eastAsia="ja-JP"/>
        </w:rPr>
        <w:fldChar w:fldCharType="end"/>
      </w:r>
      <w:r w:rsidRPr="00A52AB8">
        <w:rPr>
          <w:lang w:eastAsia="ja-JP"/>
        </w:rPr>
        <w:t>)</w:t>
      </w:r>
    </w:p>
    <w:p w14:paraId="3C67CE8B" w14:textId="75C4B681" w:rsidR="00F40B2D" w:rsidRPr="00A52AB8" w:rsidRDefault="00F40B2D" w:rsidP="00966AAC">
      <w:pPr>
        <w:rPr>
          <w:lang w:eastAsia="ja-JP"/>
        </w:rPr>
      </w:pPr>
      <w:r w:rsidRPr="00A52AB8">
        <w:rPr>
          <w:lang w:eastAsia="ja-JP"/>
        </w:rPr>
        <w:tab/>
        <w:t>refPatchProjectionFlag</w:t>
      </w:r>
      <w:r w:rsidR="00D47707" w:rsidRPr="00A52AB8">
        <w:rPr>
          <w:lang w:eastAsia="ja-JP"/>
        </w:rPr>
        <w:t> = </w:t>
      </w:r>
      <w:r w:rsidRPr="00A52AB8">
        <w:rPr>
          <w:lang w:eastAsia="ja-JP"/>
        </w:rPr>
        <w:t>TilePatchProjectionFlag[ tileID ][ refPatchIdx ]</w:t>
      </w:r>
      <w:r w:rsidRPr="00A52AB8">
        <w:rPr>
          <w:lang w:eastAsia="ja-JP"/>
        </w:rPr>
        <w:tab/>
        <w:t>(H</w:t>
      </w:r>
      <w:r w:rsidRPr="00A52AB8">
        <w:rPr>
          <w:lang w:eastAsia="ja-JP"/>
        </w:rPr>
        <w:noBreakHyphen/>
      </w:r>
      <w:r w:rsidRPr="00496A4D">
        <w:rPr>
          <w:lang w:eastAsia="ja-JP"/>
        </w:rPr>
        <w:fldChar w:fldCharType="begin"/>
      </w:r>
      <w:r w:rsidRPr="00A52AB8">
        <w:rPr>
          <w:lang w:eastAsia="ja-JP"/>
        </w:rPr>
        <w:instrText xml:space="preserve"> SEQ Equation \* ARABIC \s 1 </w:instrText>
      </w:r>
      <w:r w:rsidRPr="00496A4D">
        <w:rPr>
          <w:lang w:eastAsia="ja-JP"/>
        </w:rPr>
        <w:fldChar w:fldCharType="separate"/>
      </w:r>
      <w:r w:rsidR="00507A67">
        <w:rPr>
          <w:noProof/>
          <w:lang w:eastAsia="ja-JP"/>
        </w:rPr>
        <w:t>37</w:t>
      </w:r>
      <w:r w:rsidRPr="00496A4D">
        <w:rPr>
          <w:lang w:eastAsia="ja-JP"/>
        </w:rPr>
        <w:fldChar w:fldCharType="end"/>
      </w:r>
      <w:r w:rsidRPr="00A52AB8">
        <w:rPr>
          <w:lang w:eastAsia="ja-JP"/>
        </w:rPr>
        <w:t>)</w:t>
      </w:r>
    </w:p>
    <w:p w14:paraId="00F60494" w14:textId="77777777" w:rsidR="00CE141C" w:rsidRPr="00A52AB8" w:rsidRDefault="00FE4A54" w:rsidP="00EE3D19">
      <w:pPr>
        <w:pStyle w:val="a4"/>
        <w:numPr>
          <w:ilvl w:val="6"/>
          <w:numId w:val="14"/>
        </w:numPr>
        <w:tabs>
          <w:tab w:val="clear" w:pos="7200"/>
        </w:tabs>
        <w:outlineLvl w:val="6"/>
      </w:pPr>
      <w:bookmarkStart w:id="6264" w:name="_Ref50200176"/>
      <w:r w:rsidRPr="00A52AB8">
        <w:t>Reference Patches in RAW mode</w:t>
      </w:r>
      <w:bookmarkEnd w:id="6264"/>
    </w:p>
    <w:p w14:paraId="791A5B15" w14:textId="39F5F645" w:rsidR="0069625E" w:rsidRPr="00A52AB8" w:rsidRDefault="0069625E" w:rsidP="00966AAC">
      <w:r w:rsidRPr="00A52AB8">
        <w:rPr>
          <w:lang w:eastAsia="ja-JP"/>
        </w:rPr>
        <w:t xml:space="preserve">The specifications in subclause </w:t>
      </w:r>
      <w:r w:rsidRPr="00496A4D">
        <w:rPr>
          <w:lang w:eastAsia="ja-JP"/>
        </w:rPr>
        <w:fldChar w:fldCharType="begin"/>
      </w:r>
      <w:r w:rsidRPr="00A52AB8">
        <w:rPr>
          <w:lang w:eastAsia="ja-JP"/>
        </w:rPr>
        <w:instrText xml:space="preserve"> REF _Ref46926067 \r \h </w:instrText>
      </w:r>
      <w:r w:rsidR="006371AA" w:rsidRPr="00A52AB8">
        <w:rPr>
          <w:lang w:eastAsia="ja-JP"/>
        </w:rPr>
        <w:instrText xml:space="preserve"> \* MERGEFORMAT </w:instrText>
      </w:r>
      <w:r w:rsidRPr="00496A4D">
        <w:rPr>
          <w:lang w:eastAsia="ja-JP"/>
        </w:rPr>
      </w:r>
      <w:r w:rsidRPr="00496A4D">
        <w:rPr>
          <w:lang w:eastAsia="ja-JP"/>
        </w:rPr>
        <w:fldChar w:fldCharType="separate"/>
      </w:r>
      <w:r w:rsidR="00507A67">
        <w:rPr>
          <w:lang w:eastAsia="ja-JP"/>
        </w:rPr>
        <w:t>9.2.5.5.2.3</w:t>
      </w:r>
      <w:r w:rsidRPr="00496A4D">
        <w:rPr>
          <w:lang w:eastAsia="ja-JP"/>
        </w:rPr>
        <w:fldChar w:fldCharType="end"/>
      </w:r>
      <w:r w:rsidRPr="00A52AB8">
        <w:rPr>
          <w:lang w:eastAsia="ja-JP"/>
        </w:rPr>
        <w:t xml:space="preserve"> apply</w:t>
      </w:r>
    </w:p>
    <w:p w14:paraId="0325331D" w14:textId="77777777" w:rsidR="002D4366" w:rsidRPr="00A52AB8" w:rsidRDefault="00FE4A54" w:rsidP="00EE3D19">
      <w:pPr>
        <w:pStyle w:val="a4"/>
        <w:numPr>
          <w:ilvl w:val="6"/>
          <w:numId w:val="14"/>
        </w:numPr>
        <w:tabs>
          <w:tab w:val="clear" w:pos="7200"/>
        </w:tabs>
        <w:outlineLvl w:val="6"/>
      </w:pPr>
      <w:bookmarkStart w:id="6265" w:name="_Ref50200187"/>
      <w:r w:rsidRPr="00A52AB8">
        <w:t>Reference Patches in EOM mode</w:t>
      </w:r>
      <w:bookmarkEnd w:id="6265"/>
    </w:p>
    <w:p w14:paraId="45268F90" w14:textId="08133977" w:rsidR="002D4366" w:rsidRPr="00A52AB8" w:rsidRDefault="002D4366">
      <w:pPr>
        <w:rPr>
          <w:b/>
          <w:lang w:eastAsia="ja-JP"/>
        </w:rPr>
      </w:pPr>
      <w:r w:rsidRPr="00A52AB8">
        <w:rPr>
          <w:lang w:eastAsia="ja-JP"/>
        </w:rPr>
        <w:t>The specifications in subclause</w:t>
      </w:r>
      <w:r w:rsidR="00A22A48" w:rsidRPr="00A52AB8">
        <w:rPr>
          <w:lang w:eastAsia="ja-JP"/>
        </w:rPr>
        <w:t xml:space="preserve"> </w:t>
      </w:r>
      <w:r w:rsidR="00A22A48" w:rsidRPr="00496A4D">
        <w:rPr>
          <w:lang w:eastAsia="ja-JP"/>
        </w:rPr>
        <w:fldChar w:fldCharType="begin"/>
      </w:r>
      <w:r w:rsidR="00A22A48" w:rsidRPr="00A52AB8">
        <w:rPr>
          <w:lang w:eastAsia="ja-JP"/>
        </w:rPr>
        <w:instrText xml:space="preserve"> REF _Ref46926074 \r \h </w:instrText>
      </w:r>
      <w:r w:rsidR="006371AA" w:rsidRPr="00A52AB8">
        <w:rPr>
          <w:lang w:eastAsia="ja-JP"/>
        </w:rPr>
        <w:instrText xml:space="preserve"> \* MERGEFORMAT </w:instrText>
      </w:r>
      <w:r w:rsidR="00A22A48" w:rsidRPr="00496A4D">
        <w:rPr>
          <w:lang w:eastAsia="ja-JP"/>
        </w:rPr>
      </w:r>
      <w:r w:rsidR="00A22A48" w:rsidRPr="00496A4D">
        <w:rPr>
          <w:lang w:eastAsia="ja-JP"/>
        </w:rPr>
        <w:fldChar w:fldCharType="separate"/>
      </w:r>
      <w:r w:rsidR="00507A67">
        <w:rPr>
          <w:lang w:eastAsia="ja-JP"/>
        </w:rPr>
        <w:t>9.2.5.5.2.4</w:t>
      </w:r>
      <w:r w:rsidR="00A22A48" w:rsidRPr="00496A4D">
        <w:rPr>
          <w:lang w:eastAsia="ja-JP"/>
        </w:rPr>
        <w:fldChar w:fldCharType="end"/>
      </w:r>
      <w:r w:rsidR="00A22A48" w:rsidRPr="00A52AB8">
        <w:rPr>
          <w:lang w:eastAsia="ja-JP"/>
        </w:rPr>
        <w:t xml:space="preserve"> </w:t>
      </w:r>
      <w:r w:rsidRPr="00A52AB8">
        <w:rPr>
          <w:lang w:eastAsia="ja-JP"/>
        </w:rPr>
        <w:t>apply</w:t>
      </w:r>
    </w:p>
    <w:p w14:paraId="735E71B6" w14:textId="77777777" w:rsidR="00CC6DDE" w:rsidRPr="00A52AB8" w:rsidRDefault="00377DC6" w:rsidP="00EE3D19">
      <w:pPr>
        <w:pStyle w:val="a4"/>
        <w:numPr>
          <w:ilvl w:val="4"/>
          <w:numId w:val="14"/>
        </w:numPr>
        <w:outlineLvl w:val="4"/>
      </w:pPr>
      <w:bookmarkStart w:id="6266" w:name="_Ref46399383"/>
      <w:r w:rsidRPr="00A52AB8">
        <w:t xml:space="preserve">Decoding process for </w:t>
      </w:r>
      <w:r w:rsidR="00FC5C09" w:rsidRPr="00A52AB8">
        <w:t>patch data unit</w:t>
      </w:r>
      <w:r w:rsidRPr="00A52AB8">
        <w:t>s coded in RAW mode</w:t>
      </w:r>
      <w:bookmarkEnd w:id="6266"/>
    </w:p>
    <w:p w14:paraId="093D4144" w14:textId="0A771321" w:rsidR="00B72EF0" w:rsidRPr="00A52AB8" w:rsidRDefault="00B72EF0" w:rsidP="00792CFF">
      <w:pPr>
        <w:rPr>
          <w:b/>
          <w:lang w:eastAsia="ja-JP"/>
        </w:rPr>
      </w:pPr>
      <w:r w:rsidRPr="00A52AB8">
        <w:rPr>
          <w:lang w:eastAsia="ja-JP"/>
        </w:rPr>
        <w:t xml:space="preserve">The specifications in subclause </w:t>
      </w:r>
      <w:r w:rsidR="00251070" w:rsidRPr="00496A4D">
        <w:rPr>
          <w:lang w:eastAsia="ja-JP"/>
        </w:rPr>
        <w:fldChar w:fldCharType="begin"/>
      </w:r>
      <w:r w:rsidR="00251070" w:rsidRPr="00A52AB8">
        <w:rPr>
          <w:lang w:eastAsia="ja-JP"/>
        </w:rPr>
        <w:instrText xml:space="preserve"> REF _Ref47041328 \r \h </w:instrText>
      </w:r>
      <w:r w:rsidR="00851254" w:rsidRPr="00A52AB8">
        <w:rPr>
          <w:lang w:eastAsia="ja-JP"/>
        </w:rPr>
        <w:instrText xml:space="preserve"> \* MERGEFORMAT </w:instrText>
      </w:r>
      <w:r w:rsidR="00251070" w:rsidRPr="00496A4D">
        <w:rPr>
          <w:lang w:eastAsia="ja-JP"/>
        </w:rPr>
      </w:r>
      <w:r w:rsidR="00251070" w:rsidRPr="00496A4D">
        <w:rPr>
          <w:lang w:eastAsia="ja-JP"/>
        </w:rPr>
        <w:fldChar w:fldCharType="separate"/>
      </w:r>
      <w:r w:rsidR="00507A67">
        <w:rPr>
          <w:lang w:eastAsia="ja-JP"/>
        </w:rPr>
        <w:t>9.2.5.6</w:t>
      </w:r>
      <w:r w:rsidR="00251070" w:rsidRPr="00496A4D">
        <w:rPr>
          <w:lang w:eastAsia="ja-JP"/>
        </w:rPr>
        <w:fldChar w:fldCharType="end"/>
      </w:r>
      <w:r w:rsidR="00D82334" w:rsidRPr="00A52AB8">
        <w:rPr>
          <w:lang w:eastAsia="ja-JP"/>
        </w:rPr>
        <w:t xml:space="preserve"> </w:t>
      </w:r>
      <w:r w:rsidRPr="00A52AB8">
        <w:rPr>
          <w:lang w:eastAsia="ja-JP"/>
        </w:rPr>
        <w:t>apply</w:t>
      </w:r>
    </w:p>
    <w:p w14:paraId="0DFD81C8" w14:textId="77777777" w:rsidR="00966792" w:rsidRPr="00A52AB8" w:rsidRDefault="0016197B" w:rsidP="00EE3D19">
      <w:pPr>
        <w:pStyle w:val="a4"/>
        <w:numPr>
          <w:ilvl w:val="4"/>
          <w:numId w:val="14"/>
        </w:numPr>
        <w:outlineLvl w:val="4"/>
      </w:pPr>
      <w:bookmarkStart w:id="6267" w:name="_Ref46399385"/>
      <w:r w:rsidRPr="00A52AB8">
        <w:t xml:space="preserve">Decoding process for </w:t>
      </w:r>
      <w:r w:rsidR="00FC5C09" w:rsidRPr="00A52AB8">
        <w:t>patch data unit</w:t>
      </w:r>
      <w:r w:rsidRPr="00A52AB8">
        <w:t>s coded in EOM mode</w:t>
      </w:r>
      <w:bookmarkEnd w:id="6267"/>
    </w:p>
    <w:p w14:paraId="51689259" w14:textId="5F730168" w:rsidR="00CC6DDE" w:rsidRPr="00A52AB8" w:rsidRDefault="00BC04CE" w:rsidP="00792CFF">
      <w:pPr>
        <w:rPr>
          <w:lang w:eastAsia="ja-JP"/>
        </w:rPr>
      </w:pPr>
      <w:r w:rsidRPr="00A52AB8">
        <w:rPr>
          <w:lang w:eastAsia="ja-JP"/>
        </w:rPr>
        <w:t xml:space="preserve">The specifications in subclause </w:t>
      </w:r>
      <w:r w:rsidR="00D82334" w:rsidRPr="00496A4D">
        <w:rPr>
          <w:lang w:eastAsia="ja-JP"/>
        </w:rPr>
        <w:fldChar w:fldCharType="begin"/>
      </w:r>
      <w:r w:rsidR="00D82334" w:rsidRPr="00A52AB8">
        <w:rPr>
          <w:lang w:eastAsia="ja-JP"/>
        </w:rPr>
        <w:instrText xml:space="preserve"> REF _Ref20430307 \r \h </w:instrText>
      </w:r>
      <w:r w:rsidR="006371AA" w:rsidRPr="00A52AB8">
        <w:rPr>
          <w:lang w:eastAsia="ja-JP"/>
        </w:rPr>
        <w:instrText xml:space="preserve"> \* MERGEFORMAT </w:instrText>
      </w:r>
      <w:r w:rsidR="00D82334" w:rsidRPr="00496A4D">
        <w:rPr>
          <w:lang w:eastAsia="ja-JP"/>
        </w:rPr>
      </w:r>
      <w:r w:rsidR="00D82334" w:rsidRPr="00496A4D">
        <w:rPr>
          <w:lang w:eastAsia="ja-JP"/>
        </w:rPr>
        <w:fldChar w:fldCharType="separate"/>
      </w:r>
      <w:r w:rsidR="00507A67">
        <w:rPr>
          <w:lang w:eastAsia="ja-JP"/>
        </w:rPr>
        <w:t>9.2.5.7</w:t>
      </w:r>
      <w:r w:rsidR="00D82334" w:rsidRPr="00496A4D">
        <w:rPr>
          <w:lang w:eastAsia="ja-JP"/>
        </w:rPr>
        <w:fldChar w:fldCharType="end"/>
      </w:r>
      <w:r w:rsidRPr="00A52AB8">
        <w:rPr>
          <w:lang w:eastAsia="ja-JP"/>
        </w:rPr>
        <w:t xml:space="preserve"> apply</w:t>
      </w:r>
    </w:p>
    <w:p w14:paraId="33C33F1E" w14:textId="77777777" w:rsidR="006F6C9C" w:rsidRPr="00A52AB8" w:rsidRDefault="006F6C9C" w:rsidP="00DF1B7B">
      <w:pPr>
        <w:pStyle w:val="a4"/>
        <w:numPr>
          <w:ilvl w:val="3"/>
          <w:numId w:val="14"/>
        </w:numPr>
      </w:pPr>
      <w:bookmarkStart w:id="6268" w:name="_Toc46302184"/>
      <w:bookmarkStart w:id="6269" w:name="_Toc46303009"/>
      <w:bookmarkEnd w:id="6268"/>
      <w:bookmarkEnd w:id="6269"/>
      <w:r w:rsidRPr="00A52AB8">
        <w:t>Decoding process of the block to patch map</w:t>
      </w:r>
    </w:p>
    <w:p w14:paraId="6459331E" w14:textId="45F01671" w:rsidR="006F6C9C" w:rsidRPr="00A52AB8" w:rsidRDefault="006F6C9C" w:rsidP="006F6C9C">
      <w:pPr>
        <w:rPr>
          <w:lang w:eastAsia="ja-JP"/>
        </w:rPr>
      </w:pPr>
      <w:r w:rsidRPr="00A52AB8">
        <w:rPr>
          <w:lang w:eastAsia="ja-JP"/>
        </w:rPr>
        <w:t xml:space="preserve">The specifications in </w:t>
      </w:r>
      <w:r w:rsidR="00744D39" w:rsidRPr="00A52AB8">
        <w:rPr>
          <w:lang w:eastAsia="ja-JP"/>
        </w:rPr>
        <w:t>subclause</w:t>
      </w:r>
      <w:r w:rsidRPr="00A52AB8">
        <w:rPr>
          <w:lang w:eastAsia="ja-JP"/>
        </w:rPr>
        <w:t xml:space="preserve"> </w:t>
      </w:r>
      <w:r w:rsidRPr="00496A4D">
        <w:rPr>
          <w:lang w:eastAsia="ja-JP"/>
        </w:rPr>
        <w:fldChar w:fldCharType="begin"/>
      </w:r>
      <w:r w:rsidRPr="00A52AB8">
        <w:rPr>
          <w:lang w:eastAsia="ja-JP"/>
        </w:rPr>
        <w:instrText xml:space="preserve"> REF _Ref1592626 \n \h </w:instrText>
      </w:r>
      <w:r w:rsidR="00CA5401" w:rsidRPr="00A52AB8">
        <w:rPr>
          <w:lang w:eastAsia="ja-JP"/>
        </w:rPr>
        <w:instrText xml:space="preserve"> \* MERGEFORMAT </w:instrText>
      </w:r>
      <w:r w:rsidRPr="00496A4D">
        <w:rPr>
          <w:lang w:eastAsia="ja-JP"/>
        </w:rPr>
      </w:r>
      <w:r w:rsidRPr="00496A4D">
        <w:rPr>
          <w:lang w:eastAsia="ja-JP"/>
        </w:rPr>
        <w:fldChar w:fldCharType="separate"/>
      </w:r>
      <w:r w:rsidR="00507A67">
        <w:rPr>
          <w:lang w:eastAsia="ja-JP"/>
        </w:rPr>
        <w:t>9.2.6</w:t>
      </w:r>
      <w:r w:rsidRPr="00496A4D">
        <w:rPr>
          <w:lang w:eastAsia="ja-JP"/>
        </w:rPr>
        <w:fldChar w:fldCharType="end"/>
      </w:r>
      <w:r w:rsidRPr="00A52AB8">
        <w:rPr>
          <w:lang w:eastAsia="ja-JP"/>
        </w:rPr>
        <w:t xml:space="preserve"> and its subclauses apply</w:t>
      </w:r>
    </w:p>
    <w:p w14:paraId="4D0B0234" w14:textId="77777777" w:rsidR="00DF1B7B" w:rsidRPr="00A52AB8" w:rsidRDefault="00DF1B7B" w:rsidP="00DF1B7B">
      <w:pPr>
        <w:pStyle w:val="a4"/>
        <w:numPr>
          <w:ilvl w:val="3"/>
          <w:numId w:val="14"/>
        </w:numPr>
      </w:pPr>
      <w:bookmarkStart w:id="6270" w:name="_Toc37760827"/>
      <w:bookmarkStart w:id="6271" w:name="_Ref47039489"/>
      <w:bookmarkStart w:id="6272" w:name="_Ref49091440"/>
      <w:r w:rsidRPr="00A52AB8">
        <w:t xml:space="preserve">Conversion of </w:t>
      </w:r>
      <w:r w:rsidR="00B8075E" w:rsidRPr="00A52AB8">
        <w:t>tile</w:t>
      </w:r>
      <w:r w:rsidRPr="00A52AB8">
        <w:t xml:space="preserve"> level information to </w:t>
      </w:r>
      <w:r w:rsidR="004628F2" w:rsidRPr="00A52AB8">
        <w:t>a</w:t>
      </w:r>
      <w:r w:rsidRPr="00A52AB8">
        <w:t>tlas level information</w:t>
      </w:r>
      <w:bookmarkEnd w:id="6270"/>
      <w:bookmarkEnd w:id="6271"/>
      <w:bookmarkEnd w:id="6272"/>
    </w:p>
    <w:p w14:paraId="656C9977" w14:textId="77777777" w:rsidR="0050235C" w:rsidRPr="00A52AB8" w:rsidRDefault="00976AFA" w:rsidP="00EE3D19">
      <w:pPr>
        <w:pStyle w:val="a4"/>
        <w:numPr>
          <w:ilvl w:val="4"/>
          <w:numId w:val="14"/>
        </w:numPr>
        <w:outlineLvl w:val="4"/>
      </w:pPr>
      <w:r w:rsidRPr="00A52AB8">
        <w:t>General</w:t>
      </w:r>
    </w:p>
    <w:p w14:paraId="201606FA" w14:textId="739E13F0" w:rsidR="00976AFA" w:rsidRPr="00A52AB8" w:rsidRDefault="00976AFA" w:rsidP="00F01345">
      <w:r w:rsidRPr="00A52AB8">
        <w:rPr>
          <w:lang w:eastAsia="ja-JP"/>
        </w:rPr>
        <w:t xml:space="preserve">The specifications in subclause </w:t>
      </w:r>
      <w:r w:rsidRPr="00496A4D">
        <w:rPr>
          <w:lang w:eastAsia="ja-JP"/>
        </w:rPr>
        <w:fldChar w:fldCharType="begin"/>
      </w:r>
      <w:r w:rsidRPr="00A52AB8">
        <w:rPr>
          <w:lang w:eastAsia="ja-JP"/>
        </w:rPr>
        <w:instrText xml:space="preserve"> REF _Ref47729585 \w \h </w:instrText>
      </w:r>
      <w:r w:rsidR="006371AA" w:rsidRPr="00A52AB8">
        <w:rPr>
          <w:lang w:eastAsia="ja-JP"/>
        </w:rPr>
        <w:instrText xml:space="preserve"> \* MERGEFORMAT </w:instrText>
      </w:r>
      <w:r w:rsidRPr="00496A4D">
        <w:rPr>
          <w:lang w:eastAsia="ja-JP"/>
        </w:rPr>
      </w:r>
      <w:r w:rsidRPr="00496A4D">
        <w:rPr>
          <w:lang w:eastAsia="ja-JP"/>
        </w:rPr>
        <w:fldChar w:fldCharType="separate"/>
      </w:r>
      <w:r w:rsidR="00507A67">
        <w:rPr>
          <w:lang w:eastAsia="ja-JP"/>
        </w:rPr>
        <w:t>9.2.7.1</w:t>
      </w:r>
      <w:r w:rsidRPr="00496A4D">
        <w:rPr>
          <w:lang w:eastAsia="ja-JP"/>
        </w:rPr>
        <w:fldChar w:fldCharType="end"/>
      </w:r>
      <w:r w:rsidRPr="00A52AB8">
        <w:rPr>
          <w:lang w:eastAsia="ja-JP"/>
        </w:rPr>
        <w:t xml:space="preserve"> apply</w:t>
      </w:r>
    </w:p>
    <w:p w14:paraId="08165F91" w14:textId="0229F2A0" w:rsidR="00E42B79" w:rsidRPr="00A52AB8" w:rsidRDefault="00E42B79" w:rsidP="00EE3D19">
      <w:pPr>
        <w:pStyle w:val="a4"/>
        <w:numPr>
          <w:ilvl w:val="4"/>
          <w:numId w:val="14"/>
        </w:numPr>
        <w:outlineLvl w:val="4"/>
      </w:pPr>
      <w:r w:rsidRPr="00A52AB8">
        <w:t xml:space="preserve">Conversion of tile level </w:t>
      </w:r>
      <w:r w:rsidR="005B4A2B" w:rsidRPr="00A52AB8">
        <w:t>blockToPatch</w:t>
      </w:r>
      <w:r w:rsidRPr="00A52AB8">
        <w:t xml:space="preserve"> </w:t>
      </w:r>
      <w:r w:rsidR="005B4A2B" w:rsidRPr="00A52AB8">
        <w:t xml:space="preserve">information </w:t>
      </w:r>
      <w:r w:rsidRPr="00A52AB8">
        <w:t xml:space="preserve">to </w:t>
      </w:r>
      <w:r w:rsidR="004628F2" w:rsidRPr="00A52AB8">
        <w:t>a</w:t>
      </w:r>
      <w:r w:rsidRPr="00A52AB8">
        <w:t xml:space="preserve">tlas level </w:t>
      </w:r>
      <w:r w:rsidR="005B4A2B" w:rsidRPr="00A52AB8">
        <w:t>blockToPatch</w:t>
      </w:r>
      <w:r w:rsidR="00C61E38" w:rsidRPr="00A52AB8">
        <w:t xml:space="preserve"> </w:t>
      </w:r>
      <w:r w:rsidR="005B4A2B" w:rsidRPr="00A52AB8">
        <w:t>information</w:t>
      </w:r>
    </w:p>
    <w:p w14:paraId="5D5D00BC" w14:textId="67B95F40" w:rsidR="00976AFA" w:rsidRPr="00A52AB8" w:rsidRDefault="00976AFA" w:rsidP="00F01345">
      <w:r w:rsidRPr="00A52AB8">
        <w:rPr>
          <w:lang w:eastAsia="ja-JP"/>
        </w:rPr>
        <w:t xml:space="preserve">The specifications in subclause </w:t>
      </w:r>
      <w:r w:rsidRPr="00496A4D">
        <w:rPr>
          <w:lang w:eastAsia="ja-JP"/>
        </w:rPr>
        <w:fldChar w:fldCharType="begin"/>
      </w:r>
      <w:r w:rsidRPr="00A52AB8">
        <w:rPr>
          <w:lang w:eastAsia="ja-JP"/>
        </w:rPr>
        <w:instrText xml:space="preserve"> REF _Ref47696990 \w \h </w:instrText>
      </w:r>
      <w:r w:rsidR="006371AA" w:rsidRPr="00A52AB8">
        <w:rPr>
          <w:lang w:eastAsia="ja-JP"/>
        </w:rPr>
        <w:instrText xml:space="preserve"> \* MERGEFORMAT </w:instrText>
      </w:r>
      <w:r w:rsidRPr="00496A4D">
        <w:rPr>
          <w:lang w:eastAsia="ja-JP"/>
        </w:rPr>
      </w:r>
      <w:r w:rsidRPr="00496A4D">
        <w:rPr>
          <w:lang w:eastAsia="ja-JP"/>
        </w:rPr>
        <w:fldChar w:fldCharType="separate"/>
      </w:r>
      <w:r w:rsidR="00507A67">
        <w:rPr>
          <w:lang w:eastAsia="ja-JP"/>
        </w:rPr>
        <w:t>9.2.7.2</w:t>
      </w:r>
      <w:r w:rsidRPr="00496A4D">
        <w:rPr>
          <w:lang w:eastAsia="ja-JP"/>
        </w:rPr>
        <w:fldChar w:fldCharType="end"/>
      </w:r>
      <w:r w:rsidRPr="00A52AB8">
        <w:rPr>
          <w:lang w:eastAsia="ja-JP"/>
        </w:rPr>
        <w:t xml:space="preserve"> apply.</w:t>
      </w:r>
    </w:p>
    <w:p w14:paraId="53F21BF0" w14:textId="1CD26C0C" w:rsidR="005B4A2B" w:rsidRPr="00A52AB8" w:rsidRDefault="00AE093A" w:rsidP="00EE3D19">
      <w:pPr>
        <w:pStyle w:val="a4"/>
        <w:numPr>
          <w:ilvl w:val="4"/>
          <w:numId w:val="14"/>
        </w:numPr>
        <w:outlineLvl w:val="4"/>
      </w:pPr>
      <w:bookmarkStart w:id="6273" w:name="_Toc47886810"/>
      <w:bookmarkStart w:id="6274" w:name="_Toc47887218"/>
      <w:bookmarkStart w:id="6275" w:name="_Toc47887626"/>
      <w:bookmarkStart w:id="6276" w:name="_Toc47888034"/>
      <w:bookmarkStart w:id="6277" w:name="_Toc47952121"/>
      <w:bookmarkStart w:id="6278" w:name="_Toc47983188"/>
      <w:bookmarkStart w:id="6279" w:name="_Toc47886811"/>
      <w:bookmarkStart w:id="6280" w:name="_Toc47887219"/>
      <w:bookmarkStart w:id="6281" w:name="_Toc47887627"/>
      <w:bookmarkStart w:id="6282" w:name="_Toc47888035"/>
      <w:bookmarkStart w:id="6283" w:name="_Toc47952122"/>
      <w:bookmarkStart w:id="6284" w:name="_Toc47983189"/>
      <w:bookmarkStart w:id="6285" w:name="_Toc47886812"/>
      <w:bookmarkStart w:id="6286" w:name="_Toc47887220"/>
      <w:bookmarkStart w:id="6287" w:name="_Toc47887628"/>
      <w:bookmarkStart w:id="6288" w:name="_Toc47888036"/>
      <w:bookmarkStart w:id="6289" w:name="_Toc47952123"/>
      <w:bookmarkStart w:id="6290" w:name="_Toc47983190"/>
      <w:bookmarkStart w:id="6291" w:name="_Toc47886813"/>
      <w:bookmarkStart w:id="6292" w:name="_Toc47887221"/>
      <w:bookmarkStart w:id="6293" w:name="_Toc47887629"/>
      <w:bookmarkStart w:id="6294" w:name="_Toc47888037"/>
      <w:bookmarkStart w:id="6295" w:name="_Toc47952124"/>
      <w:bookmarkStart w:id="6296" w:name="_Toc47983191"/>
      <w:bookmarkStart w:id="6297" w:name="_Toc47886814"/>
      <w:bookmarkStart w:id="6298" w:name="_Toc47887222"/>
      <w:bookmarkStart w:id="6299" w:name="_Toc47887630"/>
      <w:bookmarkStart w:id="6300" w:name="_Toc47888038"/>
      <w:bookmarkStart w:id="6301" w:name="_Toc47952125"/>
      <w:bookmarkStart w:id="6302" w:name="_Toc47983192"/>
      <w:bookmarkStart w:id="6303" w:name="_Toc47886815"/>
      <w:bookmarkStart w:id="6304" w:name="_Toc47887223"/>
      <w:bookmarkStart w:id="6305" w:name="_Toc47887631"/>
      <w:bookmarkStart w:id="6306" w:name="_Toc47888039"/>
      <w:bookmarkStart w:id="6307" w:name="_Toc47952126"/>
      <w:bookmarkStart w:id="6308" w:name="_Toc47983193"/>
      <w:bookmarkStart w:id="6309" w:name="_Toc47886816"/>
      <w:bookmarkStart w:id="6310" w:name="_Toc47887224"/>
      <w:bookmarkStart w:id="6311" w:name="_Toc47887632"/>
      <w:bookmarkStart w:id="6312" w:name="_Toc47888040"/>
      <w:bookmarkStart w:id="6313" w:name="_Toc47952127"/>
      <w:bookmarkStart w:id="6314" w:name="_Toc47983194"/>
      <w:bookmarkStart w:id="6315" w:name="_Toc47886817"/>
      <w:bookmarkStart w:id="6316" w:name="_Toc47887225"/>
      <w:bookmarkStart w:id="6317" w:name="_Toc47887633"/>
      <w:bookmarkStart w:id="6318" w:name="_Toc47888041"/>
      <w:bookmarkStart w:id="6319" w:name="_Toc47952128"/>
      <w:bookmarkStart w:id="6320" w:name="_Toc47983195"/>
      <w:bookmarkStart w:id="6321" w:name="_Toc47886818"/>
      <w:bookmarkStart w:id="6322" w:name="_Toc47887226"/>
      <w:bookmarkStart w:id="6323" w:name="_Toc47887634"/>
      <w:bookmarkStart w:id="6324" w:name="_Toc47888042"/>
      <w:bookmarkStart w:id="6325" w:name="_Toc47952129"/>
      <w:bookmarkStart w:id="6326" w:name="_Toc47983196"/>
      <w:bookmarkEnd w:id="6273"/>
      <w:bookmarkEnd w:id="6274"/>
      <w:bookmarkEnd w:id="6275"/>
      <w:bookmarkEnd w:id="6276"/>
      <w:bookmarkEnd w:id="6277"/>
      <w:bookmarkEnd w:id="6278"/>
      <w:bookmarkEnd w:id="6279"/>
      <w:bookmarkEnd w:id="6280"/>
      <w:bookmarkEnd w:id="6281"/>
      <w:bookmarkEnd w:id="6282"/>
      <w:bookmarkEnd w:id="6283"/>
      <w:bookmarkEnd w:id="6284"/>
      <w:bookmarkEnd w:id="6285"/>
      <w:bookmarkEnd w:id="6286"/>
      <w:bookmarkEnd w:id="6287"/>
      <w:bookmarkEnd w:id="6288"/>
      <w:bookmarkEnd w:id="6289"/>
      <w:bookmarkEnd w:id="6290"/>
      <w:bookmarkEnd w:id="6291"/>
      <w:bookmarkEnd w:id="6292"/>
      <w:bookmarkEnd w:id="6293"/>
      <w:bookmarkEnd w:id="6294"/>
      <w:bookmarkEnd w:id="6295"/>
      <w:bookmarkEnd w:id="6296"/>
      <w:bookmarkEnd w:id="6297"/>
      <w:bookmarkEnd w:id="6298"/>
      <w:bookmarkEnd w:id="6299"/>
      <w:bookmarkEnd w:id="6300"/>
      <w:bookmarkEnd w:id="6301"/>
      <w:bookmarkEnd w:id="6302"/>
      <w:bookmarkEnd w:id="6303"/>
      <w:bookmarkEnd w:id="6304"/>
      <w:bookmarkEnd w:id="6305"/>
      <w:bookmarkEnd w:id="6306"/>
      <w:bookmarkEnd w:id="6307"/>
      <w:bookmarkEnd w:id="6308"/>
      <w:bookmarkEnd w:id="6309"/>
      <w:bookmarkEnd w:id="6310"/>
      <w:bookmarkEnd w:id="6311"/>
      <w:bookmarkEnd w:id="6312"/>
      <w:bookmarkEnd w:id="6313"/>
      <w:bookmarkEnd w:id="6314"/>
      <w:bookmarkEnd w:id="6315"/>
      <w:bookmarkEnd w:id="6316"/>
      <w:bookmarkEnd w:id="6317"/>
      <w:bookmarkEnd w:id="6318"/>
      <w:bookmarkEnd w:id="6319"/>
      <w:bookmarkEnd w:id="6320"/>
      <w:bookmarkEnd w:id="6321"/>
      <w:bookmarkEnd w:id="6322"/>
      <w:bookmarkEnd w:id="6323"/>
      <w:bookmarkEnd w:id="6324"/>
      <w:bookmarkEnd w:id="6325"/>
      <w:bookmarkEnd w:id="6326"/>
      <w:r w:rsidRPr="00A52AB8">
        <w:t xml:space="preserve">Conversion of tile level </w:t>
      </w:r>
      <w:r w:rsidR="00A72A05" w:rsidRPr="00A52AB8">
        <w:t>patch information</w:t>
      </w:r>
      <w:r w:rsidRPr="00A52AB8">
        <w:t xml:space="preserve"> to </w:t>
      </w:r>
      <w:r w:rsidR="004628F2" w:rsidRPr="00A52AB8">
        <w:t>a</w:t>
      </w:r>
      <w:r w:rsidRPr="00A52AB8">
        <w:t xml:space="preserve">tlas level </w:t>
      </w:r>
      <w:r w:rsidR="001557FA" w:rsidRPr="00A52AB8">
        <w:t>patch informati</w:t>
      </w:r>
      <w:r w:rsidR="00E23476" w:rsidRPr="00A52AB8">
        <w:t>on</w:t>
      </w:r>
    </w:p>
    <w:p w14:paraId="0A26B8C2" w14:textId="77777777" w:rsidR="005B4A2B" w:rsidRPr="00A52AB8" w:rsidRDefault="005B4A2B" w:rsidP="00EE3D19">
      <w:pPr>
        <w:pStyle w:val="a4"/>
        <w:numPr>
          <w:ilvl w:val="5"/>
          <w:numId w:val="14"/>
        </w:numPr>
        <w:outlineLvl w:val="5"/>
      </w:pPr>
      <w:r w:rsidRPr="00A52AB8">
        <w:t>General</w:t>
      </w:r>
    </w:p>
    <w:p w14:paraId="0A8A938A" w14:textId="759771E9" w:rsidR="00AF71FF" w:rsidRPr="00A52AB8" w:rsidRDefault="00AF71FF" w:rsidP="00AF71FF">
      <w:r w:rsidRPr="00A52AB8">
        <w:rPr>
          <w:lang w:eastAsia="ja-JP"/>
        </w:rPr>
        <w:t xml:space="preserve">The specifications in subclause </w:t>
      </w:r>
      <w:r w:rsidRPr="00496A4D">
        <w:rPr>
          <w:lang w:eastAsia="ja-JP"/>
        </w:rPr>
        <w:fldChar w:fldCharType="begin"/>
      </w:r>
      <w:r w:rsidRPr="00A52AB8">
        <w:rPr>
          <w:lang w:eastAsia="ja-JP"/>
        </w:rPr>
        <w:instrText xml:space="preserve"> REF _Ref48258561 \r \h </w:instrText>
      </w:r>
      <w:r w:rsidR="00851254" w:rsidRPr="00A52AB8">
        <w:rPr>
          <w:lang w:eastAsia="ja-JP"/>
        </w:rPr>
        <w:instrText xml:space="preserve"> \* MERGEFORMAT </w:instrText>
      </w:r>
      <w:r w:rsidRPr="00496A4D">
        <w:rPr>
          <w:lang w:eastAsia="ja-JP"/>
        </w:rPr>
      </w:r>
      <w:r w:rsidRPr="00496A4D">
        <w:rPr>
          <w:lang w:eastAsia="ja-JP"/>
        </w:rPr>
        <w:fldChar w:fldCharType="separate"/>
      </w:r>
      <w:r w:rsidR="00507A67">
        <w:rPr>
          <w:lang w:eastAsia="ja-JP"/>
        </w:rPr>
        <w:t>9.2.7.3.1</w:t>
      </w:r>
      <w:r w:rsidRPr="00496A4D">
        <w:rPr>
          <w:lang w:eastAsia="ja-JP"/>
        </w:rPr>
        <w:fldChar w:fldCharType="end"/>
      </w:r>
      <w:r w:rsidRPr="00A52AB8">
        <w:rPr>
          <w:lang w:eastAsia="ja-JP"/>
        </w:rPr>
        <w:t xml:space="preserve"> apply.</w:t>
      </w:r>
    </w:p>
    <w:p w14:paraId="014ADD4B" w14:textId="77777777" w:rsidR="00AF71FF" w:rsidRPr="00A52AB8" w:rsidRDefault="00AF71FF" w:rsidP="00AF71FF">
      <w:pPr>
        <w:pStyle w:val="ListParagraph"/>
        <w:numPr>
          <w:ilvl w:val="5"/>
          <w:numId w:val="14"/>
        </w:numPr>
        <w:ind w:leftChars="0"/>
        <w:rPr>
          <w:rFonts w:eastAsia="MS Mincho"/>
          <w:b/>
          <w:bCs/>
          <w:iCs/>
          <w:lang w:eastAsia="ja-JP"/>
        </w:rPr>
      </w:pPr>
      <w:r w:rsidRPr="00A52AB8">
        <w:rPr>
          <w:rFonts w:eastAsia="MS Mincho"/>
          <w:b/>
          <w:bCs/>
          <w:iCs/>
          <w:lang w:eastAsia="ja-JP"/>
        </w:rPr>
        <w:t>Process of copying common patch parameters from a tile to an atlas representation</w:t>
      </w:r>
    </w:p>
    <w:p w14:paraId="301836A7" w14:textId="07758ABA" w:rsidR="00AF71FF" w:rsidRPr="00A52AB8" w:rsidRDefault="00AF71FF" w:rsidP="007656E5">
      <w:r w:rsidRPr="00A52AB8">
        <w:rPr>
          <w:lang w:eastAsia="ja-JP"/>
        </w:rPr>
        <w:t xml:space="preserve">The specifications in subclause </w:t>
      </w:r>
      <w:r w:rsidRPr="00496A4D">
        <w:rPr>
          <w:lang w:eastAsia="ja-JP"/>
        </w:rPr>
        <w:fldChar w:fldCharType="begin"/>
      </w:r>
      <w:r w:rsidRPr="00A52AB8">
        <w:rPr>
          <w:lang w:eastAsia="ja-JP"/>
        </w:rPr>
        <w:instrText xml:space="preserve"> REF _Ref48257389 \r \h </w:instrText>
      </w:r>
      <w:r w:rsidR="00851254" w:rsidRPr="00A52AB8">
        <w:rPr>
          <w:lang w:eastAsia="ja-JP"/>
        </w:rPr>
        <w:instrText xml:space="preserve"> \* MERGEFORMAT </w:instrText>
      </w:r>
      <w:r w:rsidRPr="00496A4D">
        <w:rPr>
          <w:lang w:eastAsia="ja-JP"/>
        </w:rPr>
      </w:r>
      <w:r w:rsidRPr="00496A4D">
        <w:rPr>
          <w:lang w:eastAsia="ja-JP"/>
        </w:rPr>
        <w:fldChar w:fldCharType="separate"/>
      </w:r>
      <w:r w:rsidR="00507A67">
        <w:rPr>
          <w:lang w:eastAsia="ja-JP"/>
        </w:rPr>
        <w:t>9.2.7.3.2</w:t>
      </w:r>
      <w:r w:rsidRPr="00496A4D">
        <w:rPr>
          <w:lang w:eastAsia="ja-JP"/>
        </w:rPr>
        <w:fldChar w:fldCharType="end"/>
      </w:r>
      <w:r w:rsidRPr="00A52AB8">
        <w:rPr>
          <w:lang w:eastAsia="ja-JP"/>
        </w:rPr>
        <w:t xml:space="preserve"> apply.</w:t>
      </w:r>
    </w:p>
    <w:p w14:paraId="2BF5652F" w14:textId="77777777" w:rsidR="00AF71FF" w:rsidRPr="00A52AB8" w:rsidRDefault="00AF71FF" w:rsidP="00EE3D19">
      <w:pPr>
        <w:pStyle w:val="a4"/>
        <w:numPr>
          <w:ilvl w:val="5"/>
          <w:numId w:val="14"/>
        </w:numPr>
        <w:outlineLvl w:val="5"/>
      </w:pPr>
      <w:r w:rsidRPr="00A52AB8">
        <w:t>Process of copying application specific patch parameters from a tile to an atlas representation</w:t>
      </w:r>
    </w:p>
    <w:p w14:paraId="00378A1E" w14:textId="166A834D" w:rsidR="003774F7" w:rsidRPr="00A52AB8" w:rsidRDefault="00AF71FF" w:rsidP="00972B10">
      <w:r w:rsidRPr="00A52AB8">
        <w:rPr>
          <w:lang w:eastAsia="ja-JP"/>
        </w:rPr>
        <w:t xml:space="preserve">The specifications in subclause </w:t>
      </w:r>
      <w:r w:rsidRPr="00496A4D">
        <w:rPr>
          <w:lang w:eastAsia="ja-JP"/>
        </w:rPr>
        <w:fldChar w:fldCharType="begin"/>
      </w:r>
      <w:r w:rsidRPr="00A52AB8">
        <w:rPr>
          <w:lang w:eastAsia="ja-JP"/>
        </w:rPr>
        <w:instrText xml:space="preserve"> REF _Ref48257391 \r \h </w:instrText>
      </w:r>
      <w:r w:rsidR="00851254" w:rsidRPr="00A52AB8">
        <w:rPr>
          <w:lang w:eastAsia="ja-JP"/>
        </w:rPr>
        <w:instrText xml:space="preserve"> \* MERGEFORMAT </w:instrText>
      </w:r>
      <w:r w:rsidRPr="00496A4D">
        <w:rPr>
          <w:lang w:eastAsia="ja-JP"/>
        </w:rPr>
      </w:r>
      <w:r w:rsidRPr="00496A4D">
        <w:rPr>
          <w:lang w:eastAsia="ja-JP"/>
        </w:rPr>
        <w:fldChar w:fldCharType="separate"/>
      </w:r>
      <w:r w:rsidR="00507A67">
        <w:rPr>
          <w:lang w:eastAsia="ja-JP"/>
        </w:rPr>
        <w:t>9.2.7.3.3</w:t>
      </w:r>
      <w:r w:rsidRPr="00496A4D">
        <w:rPr>
          <w:lang w:eastAsia="ja-JP"/>
        </w:rPr>
        <w:fldChar w:fldCharType="end"/>
      </w:r>
      <w:r w:rsidRPr="00A52AB8">
        <w:rPr>
          <w:lang w:eastAsia="ja-JP"/>
        </w:rPr>
        <w:t xml:space="preserve"> apply </w:t>
      </w:r>
      <w:r w:rsidR="00F45BFC" w:rsidRPr="00A52AB8">
        <w:t>with the following modifications and additions:</w:t>
      </w:r>
    </w:p>
    <w:p w14:paraId="6DBA480C" w14:textId="77777777" w:rsidR="00AF71FF" w:rsidRPr="00A52AB8" w:rsidRDefault="00AF71FF" w:rsidP="00AF71FF">
      <w:pPr>
        <w:rPr>
          <w:lang w:eastAsia="ja-JP"/>
        </w:rPr>
      </w:pPr>
      <w:r w:rsidRPr="00A52AB8">
        <w:rPr>
          <w:lang w:eastAsia="ja-JP"/>
        </w:rPr>
        <w:t>The process ApplicationTilePatchParamsToAtlas( atlasP</w:t>
      </w:r>
      <w:r w:rsidRPr="00A52AB8">
        <w:rPr>
          <w:color w:val="000000" w:themeColor="text1"/>
        </w:rPr>
        <w:t>atchIdx,</w:t>
      </w:r>
      <w:r w:rsidRPr="00A52AB8">
        <w:rPr>
          <w:lang w:eastAsia="ja-JP"/>
        </w:rPr>
        <w:t> tileID, p</w:t>
      </w:r>
      <w:r w:rsidRPr="00A52AB8">
        <w:t>, offsetPatch</w:t>
      </w:r>
      <w:r w:rsidRPr="00A52AB8">
        <w:rPr>
          <w:lang w:eastAsia="ja-JP"/>
        </w:rPr>
        <w:t> ) is defined as follows:</w:t>
      </w:r>
    </w:p>
    <w:p w14:paraId="373EE2CE" w14:textId="5CD9FD5E" w:rsidR="00AF71FF" w:rsidRPr="00A52AB8" w:rsidRDefault="00AF71FF" w:rsidP="00007BE2">
      <w:pPr>
        <w:spacing w:after="0"/>
        <w:ind w:left="403"/>
        <w:rPr>
          <w:color w:val="000000" w:themeColor="text1"/>
        </w:rPr>
      </w:pPr>
      <w:r w:rsidRPr="00A52AB8">
        <w:rPr>
          <w:lang w:eastAsia="ja-JP"/>
        </w:rPr>
        <w:t>ApplicationTilePatchParamsToAtlas( atlasP</w:t>
      </w:r>
      <w:r w:rsidRPr="00A52AB8">
        <w:rPr>
          <w:color w:val="000000" w:themeColor="text1"/>
        </w:rPr>
        <w:t>atchIdx</w:t>
      </w:r>
      <w:r w:rsidRPr="00A52AB8">
        <w:rPr>
          <w:lang w:eastAsia="ja-JP"/>
        </w:rPr>
        <w:t>, tileID, p,</w:t>
      </w:r>
      <w:r w:rsidRPr="00A52AB8">
        <w:t> offsetPatch</w:t>
      </w:r>
      <w:r w:rsidRPr="00A52AB8">
        <w:rPr>
          <w:lang w:eastAsia="ja-JP"/>
        </w:rPr>
        <w:t> </w:t>
      </w:r>
      <w:r w:rsidR="008F1F82" w:rsidRPr="00A52AB8">
        <w:rPr>
          <w:lang w:eastAsia="ja-JP"/>
        </w:rPr>
        <w:t>) {</w:t>
      </w:r>
      <w:r w:rsidR="00D47911" w:rsidRPr="00A52AB8">
        <w:rPr>
          <w:lang w:eastAsia="ja-JP"/>
        </w:rPr>
        <w:br/>
      </w:r>
      <w:r w:rsidR="00D47911" w:rsidRPr="00A52AB8">
        <w:rPr>
          <w:lang w:eastAsia="ja-JP"/>
        </w:rPr>
        <w:tab/>
      </w:r>
      <w:r w:rsidR="00D47911" w:rsidRPr="00A52AB8">
        <w:t>blockCnt</w:t>
      </w:r>
      <w:r w:rsidR="00D47707" w:rsidRPr="00A52AB8">
        <w:t> = </w:t>
      </w:r>
      <w:r w:rsidR="00D47911" w:rsidRPr="00A52AB8">
        <w:t>BlockCnt( TilePatch2dSizeX[ tileID ][ p ], TilePatch2dSizeY[ tileID ][ p ] )</w:t>
      </w:r>
      <w:r w:rsidRPr="00A52AB8">
        <w:rPr>
          <w:lang w:eastAsia="ja-JP"/>
        </w:rPr>
        <w:br/>
      </w:r>
      <w:r w:rsidRPr="00A52AB8">
        <w:rPr>
          <w:lang w:eastAsia="ja-JP"/>
        </w:rPr>
        <w:tab/>
      </w:r>
      <w:r w:rsidR="00D63ACE" w:rsidRPr="00A52AB8">
        <w:rPr>
          <w:lang w:eastAsia="ja-JP"/>
        </w:rPr>
        <w:t>if(</w:t>
      </w:r>
      <w:r w:rsidRPr="00A52AB8">
        <w:rPr>
          <w:lang w:eastAsia="ja-JP"/>
        </w:rPr>
        <w:t> </w:t>
      </w:r>
      <w:r w:rsidRPr="00A52AB8">
        <w:rPr>
          <w:color w:val="000000" w:themeColor="text1"/>
        </w:rPr>
        <w:t>AtlasPatchType[ </w:t>
      </w:r>
      <w:r w:rsidRPr="00A52AB8">
        <w:rPr>
          <w:lang w:eastAsia="ja-JP"/>
        </w:rPr>
        <w:t>atlasPatchIdx</w:t>
      </w:r>
      <w:r w:rsidRPr="00A52AB8">
        <w:rPr>
          <w:color w:val="000000" w:themeColor="text1"/>
        </w:rPr>
        <w:t> ]</w:t>
      </w:r>
      <w:r w:rsidR="008768E9" w:rsidRPr="00A52AB8">
        <w:rPr>
          <w:color w:val="000000" w:themeColor="text1"/>
        </w:rPr>
        <w:t> </w:t>
      </w:r>
      <w:r w:rsidR="00726AAE" w:rsidRPr="00A52AB8">
        <w:rPr>
          <w:color w:val="000000" w:themeColor="text1"/>
        </w:rPr>
        <w:t>==</w:t>
      </w:r>
      <w:r w:rsidR="00D47707" w:rsidRPr="00A52AB8">
        <w:rPr>
          <w:color w:val="000000" w:themeColor="text1"/>
        </w:rPr>
        <w:t> </w:t>
      </w:r>
      <w:r w:rsidRPr="00A52AB8">
        <w:rPr>
          <w:color w:val="000000" w:themeColor="text1"/>
        </w:rPr>
        <w:t>PROJECTED </w:t>
      </w:r>
      <w:r w:rsidR="008F1F82" w:rsidRPr="00A52AB8">
        <w:rPr>
          <w:lang w:eastAsia="ja-JP"/>
        </w:rPr>
        <w:t>) {</w:t>
      </w:r>
      <w:r w:rsidRPr="00A52AB8">
        <w:rPr>
          <w:color w:val="000000" w:themeColor="text1"/>
        </w:rPr>
        <w:br/>
      </w:r>
      <w:r w:rsidRPr="00A52AB8">
        <w:rPr>
          <w:lang w:eastAsia="ja-JP"/>
        </w:rPr>
        <w:tab/>
      </w:r>
      <w:r w:rsidRPr="00A52AB8">
        <w:rPr>
          <w:lang w:eastAsia="ja-JP"/>
        </w:rPr>
        <w:tab/>
        <w:t>Atlas</w:t>
      </w:r>
      <w:r w:rsidR="00D12C68" w:rsidRPr="00A52AB8">
        <w:rPr>
          <w:lang w:eastAsia="ja-JP"/>
        </w:rPr>
        <w:t>TotalNum</w:t>
      </w:r>
      <w:r w:rsidRPr="00A52AB8">
        <w:rPr>
          <w:lang w:eastAsia="ja-JP"/>
        </w:rPr>
        <w:t>P</w:t>
      </w:r>
      <w:r w:rsidR="00D12C68" w:rsidRPr="00A52AB8">
        <w:rPr>
          <w:lang w:eastAsia="ja-JP"/>
        </w:rPr>
        <w:t>roj</w:t>
      </w:r>
      <w:r w:rsidRPr="00A52AB8">
        <w:rPr>
          <w:lang w:eastAsia="ja-JP"/>
        </w:rPr>
        <w:t>Patches </w:t>
      </w:r>
      <w:r w:rsidR="00A234FD" w:rsidRPr="00A52AB8">
        <w:rPr>
          <w:lang w:eastAsia="ja-JP"/>
        </w:rPr>
        <w:t>+=</w:t>
      </w:r>
      <w:r w:rsidR="00D47707" w:rsidRPr="00A52AB8">
        <w:rPr>
          <w:lang w:eastAsia="ja-JP"/>
        </w:rPr>
        <w:t> </w:t>
      </w:r>
      <w:r w:rsidRPr="00A52AB8">
        <w:rPr>
          <w:lang w:eastAsia="ja-JP"/>
        </w:rPr>
        <w:t>1</w:t>
      </w:r>
      <w:r w:rsidR="008B6F6D" w:rsidRPr="00A52AB8">
        <w:rPr>
          <w:lang w:eastAsia="ja-JP"/>
        </w:rPr>
        <w:br/>
      </w:r>
      <w:r w:rsidR="008B6F6D" w:rsidRPr="00A52AB8">
        <w:rPr>
          <w:color w:val="000000" w:themeColor="text1"/>
        </w:rPr>
        <w:tab/>
      </w:r>
      <w:r w:rsidR="008B6F6D" w:rsidRPr="00A52AB8">
        <w:rPr>
          <w:color w:val="000000" w:themeColor="text1"/>
        </w:rPr>
        <w:tab/>
        <w:t>AtlasPatchProjectionFlag[ </w:t>
      </w:r>
      <w:r w:rsidR="008B6F6D" w:rsidRPr="00A52AB8">
        <w:rPr>
          <w:lang w:eastAsia="ja-JP"/>
        </w:rPr>
        <w:t>atlasPatchIdx</w:t>
      </w:r>
      <w:r w:rsidR="008B6F6D" w:rsidRPr="00A52AB8">
        <w:rPr>
          <w:color w:val="000000" w:themeColor="text1"/>
        </w:rPr>
        <w:t> ]</w:t>
      </w:r>
      <w:r w:rsidR="00D47707" w:rsidRPr="00A52AB8">
        <w:rPr>
          <w:color w:val="000000" w:themeColor="text1"/>
        </w:rPr>
        <w:t> = </w:t>
      </w:r>
      <w:r w:rsidR="008B6F6D" w:rsidRPr="00A52AB8">
        <w:rPr>
          <w:lang w:eastAsia="ja-JP"/>
        </w:rPr>
        <w:t>Tile</w:t>
      </w:r>
      <w:r w:rsidR="008B6F6D" w:rsidRPr="00A52AB8">
        <w:rPr>
          <w:color w:val="000000" w:themeColor="text1"/>
        </w:rPr>
        <w:t>PatchProjectionFlag[ tileID ][ p ]</w:t>
      </w:r>
      <w:r w:rsidR="0003130D" w:rsidRPr="00A52AB8">
        <w:rPr>
          <w:color w:val="000000" w:themeColor="text1"/>
        </w:rPr>
        <w:br/>
      </w:r>
      <w:r w:rsidR="008B6F6D" w:rsidRPr="00A52AB8">
        <w:rPr>
          <w:color w:val="000000" w:themeColor="text1"/>
        </w:rPr>
        <w:tab/>
      </w:r>
      <w:r w:rsidR="008B6F6D" w:rsidRPr="00A52AB8">
        <w:rPr>
          <w:color w:val="000000" w:themeColor="text1"/>
        </w:rPr>
        <w:tab/>
      </w:r>
      <w:r w:rsidR="00254895" w:rsidRPr="00A52AB8">
        <w:rPr>
          <w:color w:val="000000" w:themeColor="text1"/>
        </w:rPr>
        <w:t>AtlasPatchAxisU</w:t>
      </w:r>
      <w:r w:rsidR="008B6F6D" w:rsidRPr="00A52AB8">
        <w:rPr>
          <w:color w:val="000000" w:themeColor="text1"/>
        </w:rPr>
        <w:t>[ </w:t>
      </w:r>
      <w:r w:rsidR="008B6F6D" w:rsidRPr="00A52AB8">
        <w:rPr>
          <w:lang w:eastAsia="ja-JP"/>
        </w:rPr>
        <w:t>atlasPatchIdx</w:t>
      </w:r>
      <w:r w:rsidR="008B6F6D" w:rsidRPr="00A52AB8">
        <w:rPr>
          <w:color w:val="000000" w:themeColor="text1"/>
        </w:rPr>
        <w:t> ]</w:t>
      </w:r>
      <w:r w:rsidR="00D47707" w:rsidRPr="00A52AB8">
        <w:rPr>
          <w:color w:val="000000" w:themeColor="text1"/>
        </w:rPr>
        <w:t> = </w:t>
      </w:r>
      <w:r w:rsidR="008B6F6D" w:rsidRPr="00A52AB8">
        <w:rPr>
          <w:lang w:eastAsia="ja-JP"/>
        </w:rPr>
        <w:t>Tile</w:t>
      </w:r>
      <w:r w:rsidR="00254895" w:rsidRPr="00A52AB8">
        <w:rPr>
          <w:color w:val="000000" w:themeColor="text1"/>
        </w:rPr>
        <w:t>PatchAxisU</w:t>
      </w:r>
      <w:r w:rsidR="008B6F6D" w:rsidRPr="00A52AB8">
        <w:rPr>
          <w:color w:val="000000" w:themeColor="text1"/>
        </w:rPr>
        <w:t>[ tileID ][ p ]</w:t>
      </w:r>
      <w:r w:rsidR="0003130D" w:rsidRPr="00A52AB8">
        <w:rPr>
          <w:color w:val="000000" w:themeColor="text1"/>
        </w:rPr>
        <w:br/>
      </w:r>
      <w:r w:rsidR="008B6F6D" w:rsidRPr="00A52AB8">
        <w:rPr>
          <w:color w:val="000000" w:themeColor="text1"/>
        </w:rPr>
        <w:tab/>
      </w:r>
      <w:r w:rsidR="008B6F6D" w:rsidRPr="00A52AB8">
        <w:rPr>
          <w:color w:val="000000" w:themeColor="text1"/>
        </w:rPr>
        <w:tab/>
        <w:t>Atlas</w:t>
      </w:r>
      <w:r w:rsidR="00254895" w:rsidRPr="00A52AB8">
        <w:rPr>
          <w:color w:val="000000" w:themeColor="text1"/>
        </w:rPr>
        <w:t>PatchAxisV</w:t>
      </w:r>
      <w:r w:rsidR="008B6F6D" w:rsidRPr="00A52AB8">
        <w:rPr>
          <w:color w:val="000000" w:themeColor="text1"/>
        </w:rPr>
        <w:t>[ </w:t>
      </w:r>
      <w:r w:rsidR="008B6F6D" w:rsidRPr="00A52AB8">
        <w:rPr>
          <w:lang w:eastAsia="ja-JP"/>
        </w:rPr>
        <w:t>atlasPatchIdx</w:t>
      </w:r>
      <w:r w:rsidR="008B6F6D" w:rsidRPr="00A52AB8">
        <w:rPr>
          <w:color w:val="000000" w:themeColor="text1"/>
        </w:rPr>
        <w:t> ]</w:t>
      </w:r>
      <w:r w:rsidR="00D47707" w:rsidRPr="00A52AB8">
        <w:rPr>
          <w:color w:val="000000" w:themeColor="text1"/>
        </w:rPr>
        <w:t> = </w:t>
      </w:r>
      <w:r w:rsidR="008B6F6D" w:rsidRPr="00A52AB8">
        <w:rPr>
          <w:lang w:eastAsia="ja-JP"/>
        </w:rPr>
        <w:t>Tile</w:t>
      </w:r>
      <w:r w:rsidR="00254895" w:rsidRPr="00A52AB8">
        <w:rPr>
          <w:color w:val="000000" w:themeColor="text1"/>
        </w:rPr>
        <w:t>PatchAxisV</w:t>
      </w:r>
      <w:r w:rsidR="008B6F6D" w:rsidRPr="00A52AB8">
        <w:rPr>
          <w:color w:val="000000" w:themeColor="text1"/>
        </w:rPr>
        <w:t>[ tileID ][ p ]</w:t>
      </w:r>
      <w:r w:rsidR="0003130D" w:rsidRPr="00A52AB8">
        <w:rPr>
          <w:color w:val="000000" w:themeColor="text1"/>
        </w:rPr>
        <w:br/>
      </w:r>
      <w:r w:rsidR="008B6F6D" w:rsidRPr="00A52AB8">
        <w:rPr>
          <w:color w:val="000000" w:themeColor="text1"/>
        </w:rPr>
        <w:tab/>
      </w:r>
      <w:r w:rsidR="008B6F6D" w:rsidRPr="00A52AB8">
        <w:rPr>
          <w:color w:val="000000" w:themeColor="text1"/>
        </w:rPr>
        <w:tab/>
        <w:t>Atlas</w:t>
      </w:r>
      <w:r w:rsidR="00254895" w:rsidRPr="00A52AB8">
        <w:rPr>
          <w:color w:val="000000" w:themeColor="text1"/>
        </w:rPr>
        <w:t>PatchAxisD</w:t>
      </w:r>
      <w:r w:rsidR="008B6F6D" w:rsidRPr="00A52AB8">
        <w:rPr>
          <w:color w:val="000000" w:themeColor="text1"/>
        </w:rPr>
        <w:t>[ </w:t>
      </w:r>
      <w:r w:rsidR="008B6F6D" w:rsidRPr="00A52AB8">
        <w:rPr>
          <w:lang w:eastAsia="ja-JP"/>
        </w:rPr>
        <w:t>atlasPatchIdx</w:t>
      </w:r>
      <w:r w:rsidR="008B6F6D" w:rsidRPr="00A52AB8">
        <w:rPr>
          <w:color w:val="000000" w:themeColor="text1"/>
        </w:rPr>
        <w:t> ]</w:t>
      </w:r>
      <w:r w:rsidR="00D47707" w:rsidRPr="00A52AB8">
        <w:rPr>
          <w:color w:val="000000" w:themeColor="text1"/>
        </w:rPr>
        <w:t> = </w:t>
      </w:r>
      <w:r w:rsidR="008B6F6D" w:rsidRPr="00A52AB8">
        <w:rPr>
          <w:lang w:eastAsia="ja-JP"/>
        </w:rPr>
        <w:t>Tile</w:t>
      </w:r>
      <w:r w:rsidR="00254895" w:rsidRPr="00A52AB8">
        <w:rPr>
          <w:color w:val="000000" w:themeColor="text1"/>
        </w:rPr>
        <w:t>PatchAxisD</w:t>
      </w:r>
      <w:r w:rsidR="008B6F6D" w:rsidRPr="00A52AB8">
        <w:rPr>
          <w:color w:val="000000" w:themeColor="text1"/>
        </w:rPr>
        <w:t>[ tileID ][ p ]</w:t>
      </w:r>
      <w:r w:rsidR="0003130D" w:rsidRPr="00A52AB8">
        <w:rPr>
          <w:color w:val="000000" w:themeColor="text1"/>
        </w:rPr>
        <w:br/>
      </w:r>
      <w:r w:rsidR="008B6F6D" w:rsidRPr="00A52AB8">
        <w:rPr>
          <w:color w:val="000000" w:themeColor="text1"/>
        </w:rPr>
        <w:tab/>
      </w:r>
      <w:r w:rsidR="008B6F6D" w:rsidRPr="00A52AB8">
        <w:rPr>
          <w:color w:val="000000" w:themeColor="text1"/>
        </w:rPr>
        <w:tab/>
        <w:t>Atlas</w:t>
      </w:r>
      <w:r w:rsidR="008B6F6D" w:rsidRPr="00A52AB8">
        <w:rPr>
          <w:lang w:eastAsia="ja-JP"/>
        </w:rPr>
        <w:t>Patch45DegreeMode</w:t>
      </w:r>
      <w:r w:rsidR="008B6F6D" w:rsidRPr="00A52AB8">
        <w:rPr>
          <w:color w:val="000000" w:themeColor="text1"/>
        </w:rPr>
        <w:t>[ </w:t>
      </w:r>
      <w:r w:rsidR="008B6F6D" w:rsidRPr="00A52AB8">
        <w:rPr>
          <w:lang w:eastAsia="ja-JP"/>
        </w:rPr>
        <w:t>atlasPatchIdx</w:t>
      </w:r>
      <w:r w:rsidR="008B6F6D" w:rsidRPr="00A52AB8">
        <w:rPr>
          <w:color w:val="000000" w:themeColor="text1"/>
        </w:rPr>
        <w:t> ]</w:t>
      </w:r>
      <w:r w:rsidR="00D47707" w:rsidRPr="00A52AB8">
        <w:rPr>
          <w:color w:val="000000" w:themeColor="text1"/>
        </w:rPr>
        <w:t> = </w:t>
      </w:r>
      <w:r w:rsidR="008B6F6D" w:rsidRPr="00A52AB8">
        <w:rPr>
          <w:lang w:eastAsia="ja-JP"/>
        </w:rPr>
        <w:t>TilePatch45DegreeMode[ tileID ][ p ]</w:t>
      </w:r>
      <w:r w:rsidR="0003130D" w:rsidRPr="00A52AB8">
        <w:rPr>
          <w:lang w:eastAsia="ja-JP"/>
        </w:rPr>
        <w:br/>
      </w:r>
      <w:r w:rsidR="00A235A7" w:rsidRPr="00A52AB8">
        <w:rPr>
          <w:color w:val="000000" w:themeColor="text1"/>
        </w:rPr>
        <w:tab/>
      </w:r>
      <w:r w:rsidR="00A235A7" w:rsidRPr="00A52AB8">
        <w:rPr>
          <w:color w:val="000000" w:themeColor="text1"/>
        </w:rPr>
        <w:tab/>
      </w:r>
      <w:r w:rsidRPr="00A52AB8">
        <w:rPr>
          <w:color w:val="000000" w:themeColor="text1"/>
        </w:rPr>
        <w:t>for( m</w:t>
      </w:r>
      <w:r w:rsidR="00D47707" w:rsidRPr="00A52AB8">
        <w:rPr>
          <w:color w:val="000000" w:themeColor="text1"/>
        </w:rPr>
        <w:t> = </w:t>
      </w:r>
      <w:r w:rsidRPr="00A52AB8">
        <w:rPr>
          <w:color w:val="000000" w:themeColor="text1"/>
        </w:rPr>
        <w:t>0; m &lt; asps_map_count_minus1 + 1; m</w:t>
      </w:r>
      <w:r w:rsidR="00006CCF" w:rsidRPr="00A52AB8">
        <w:rPr>
          <w:color w:val="000000" w:themeColor="text1"/>
        </w:rPr>
        <w:t>++ </w:t>
      </w:r>
      <w:r w:rsidR="008F1F82" w:rsidRPr="00A52AB8">
        <w:rPr>
          <w:color w:val="000000" w:themeColor="text1"/>
        </w:rPr>
        <w:t>) {</w:t>
      </w:r>
      <w:r w:rsidRPr="00A52AB8">
        <w:rPr>
          <w:lang w:eastAsia="ja-JP"/>
        </w:rPr>
        <w:br/>
      </w:r>
      <w:r w:rsidRPr="00A52AB8">
        <w:rPr>
          <w:color w:val="000000" w:themeColor="text1"/>
        </w:rPr>
        <w:tab/>
      </w:r>
      <w:r w:rsidRPr="00A52AB8">
        <w:rPr>
          <w:color w:val="000000" w:themeColor="text1"/>
        </w:rPr>
        <w:tab/>
      </w:r>
      <w:r w:rsidRPr="00A52AB8">
        <w:rPr>
          <w:color w:val="000000" w:themeColor="text1"/>
        </w:rPr>
        <w:tab/>
        <w:t>if( plri_map_present_flag[ m ]</w:t>
      </w:r>
      <w:r w:rsidR="008768E9" w:rsidRPr="00A52AB8">
        <w:rPr>
          <w:color w:val="000000" w:themeColor="text1"/>
        </w:rPr>
        <w:t> </w:t>
      </w:r>
      <w:r w:rsidR="00726AAE" w:rsidRPr="00A52AB8">
        <w:rPr>
          <w:color w:val="000000" w:themeColor="text1"/>
        </w:rPr>
        <w:t>==</w:t>
      </w:r>
      <w:r w:rsidR="00D47707" w:rsidRPr="00A52AB8">
        <w:rPr>
          <w:color w:val="000000" w:themeColor="text1"/>
        </w:rPr>
        <w:t> </w:t>
      </w:r>
      <w:r w:rsidRPr="00A52AB8">
        <w:rPr>
          <w:color w:val="000000" w:themeColor="text1"/>
        </w:rPr>
        <w:t>1 </w:t>
      </w:r>
      <w:r w:rsidR="008F1F82" w:rsidRPr="00A52AB8">
        <w:rPr>
          <w:color w:val="000000" w:themeColor="text1"/>
        </w:rPr>
        <w:t>) {</w:t>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t>AtlasPlrdLevel</w:t>
      </w:r>
      <w:r w:rsidR="00B620A9" w:rsidRPr="00A52AB8">
        <w:rPr>
          <w:color w:val="000000" w:themeColor="text1"/>
        </w:rPr>
        <w:t>[ atlasPatchIdx ][ m ]</w:t>
      </w:r>
      <w:r w:rsidR="00D47707" w:rsidRPr="00A52AB8">
        <w:rPr>
          <w:color w:val="000000" w:themeColor="text1"/>
        </w:rPr>
        <w:t> = </w:t>
      </w:r>
      <w:r w:rsidR="00E567A0" w:rsidRPr="00A52AB8">
        <w:rPr>
          <w:color w:val="000000" w:themeColor="text1"/>
        </w:rPr>
        <w:t>TilePatchPlrdLevel</w:t>
      </w:r>
      <w:r w:rsidR="00490929" w:rsidRPr="00A52AB8">
        <w:rPr>
          <w:color w:val="000000" w:themeColor="text1"/>
        </w:rPr>
        <w:t>[ tileID ][ p ][ m ]</w:t>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t>if</w:t>
      </w:r>
      <w:r w:rsidR="0003130D" w:rsidRPr="00A52AB8">
        <w:rPr>
          <w:color w:val="000000" w:themeColor="text1"/>
        </w:rPr>
        <w:t>( </w:t>
      </w:r>
      <w:r w:rsidRPr="00A52AB8">
        <w:rPr>
          <w:color w:val="000000" w:themeColor="text1"/>
        </w:rPr>
        <w:t>AtlasPlrdLevel</w:t>
      </w:r>
      <w:r w:rsidR="00B620A9" w:rsidRPr="00A52AB8">
        <w:rPr>
          <w:color w:val="000000" w:themeColor="text1"/>
        </w:rPr>
        <w:t>[ atlasPatchIdx ][ m ]</w:t>
      </w:r>
      <w:r w:rsidR="008768E9" w:rsidRPr="00A52AB8">
        <w:rPr>
          <w:color w:val="000000" w:themeColor="text1"/>
        </w:rPr>
        <w:t> </w:t>
      </w:r>
      <w:r w:rsidR="00726AAE" w:rsidRPr="00A52AB8">
        <w:rPr>
          <w:color w:val="000000" w:themeColor="text1"/>
        </w:rPr>
        <w:t>==</w:t>
      </w:r>
      <w:r w:rsidR="00D47707" w:rsidRPr="00A52AB8">
        <w:rPr>
          <w:color w:val="000000" w:themeColor="text1"/>
        </w:rPr>
        <w:t> </w:t>
      </w:r>
      <w:r w:rsidRPr="00A52AB8">
        <w:rPr>
          <w:color w:val="000000" w:themeColor="text1"/>
        </w:rPr>
        <w:t>0 </w:t>
      </w:r>
      <w:r w:rsidR="008F1F82" w:rsidRPr="00A52AB8">
        <w:rPr>
          <w:color w:val="000000" w:themeColor="text1"/>
        </w:rPr>
        <w:t>) {</w:t>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t>for( j</w:t>
      </w:r>
      <w:r w:rsidR="00D47707" w:rsidRPr="00A52AB8">
        <w:rPr>
          <w:color w:val="000000" w:themeColor="text1"/>
        </w:rPr>
        <w:t> = </w:t>
      </w:r>
      <w:r w:rsidRPr="00A52AB8">
        <w:rPr>
          <w:color w:val="000000" w:themeColor="text1"/>
        </w:rPr>
        <w:t>0; j &lt; </w:t>
      </w:r>
      <w:r w:rsidR="00D47911" w:rsidRPr="00A52AB8">
        <w:rPr>
          <w:color w:val="000000" w:themeColor="text1"/>
        </w:rPr>
        <w:t>b</w:t>
      </w:r>
      <w:r w:rsidR="001B27C9" w:rsidRPr="00A52AB8">
        <w:rPr>
          <w:color w:val="000000" w:themeColor="text1"/>
        </w:rPr>
        <w:t>lockCnt</w:t>
      </w:r>
      <w:r w:rsidRPr="00A52AB8">
        <w:rPr>
          <w:color w:val="000000" w:themeColor="text1"/>
        </w:rPr>
        <w:t>; j</w:t>
      </w:r>
      <w:r w:rsidR="00006CCF" w:rsidRPr="00A52AB8">
        <w:rPr>
          <w:color w:val="000000" w:themeColor="text1"/>
        </w:rPr>
        <w:t>++ </w:t>
      </w:r>
      <w:r w:rsidR="008F1F82" w:rsidRPr="00A52AB8">
        <w:rPr>
          <w:color w:val="000000" w:themeColor="text1"/>
        </w:rPr>
        <w:t>) {</w:t>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t>AtlasPlrdPresentBlockFlag</w:t>
      </w:r>
      <w:r w:rsidR="00B620A9" w:rsidRPr="00A52AB8">
        <w:rPr>
          <w:color w:val="000000" w:themeColor="text1"/>
        </w:rPr>
        <w:t>[ atlasPatchIdx ][ m ]</w:t>
      </w:r>
      <w:r w:rsidRPr="00A52AB8">
        <w:rPr>
          <w:color w:val="000000" w:themeColor="text1"/>
        </w:rPr>
        <w:t>[ j ] =</w:t>
      </w:r>
      <w:r w:rsidR="00C61E38"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00E567A0" w:rsidRPr="00A52AB8">
        <w:rPr>
          <w:color w:val="000000" w:themeColor="text1"/>
        </w:rPr>
        <w:t>TilePatchPlrdPresentBlockFlag</w:t>
      </w:r>
      <w:r w:rsidR="00490929" w:rsidRPr="00A52AB8">
        <w:rPr>
          <w:color w:val="000000" w:themeColor="text1"/>
        </w:rPr>
        <w:t>[ tileID ][ p ][ m ]</w:t>
      </w:r>
      <w:r w:rsidRPr="00A52AB8">
        <w:rPr>
          <w:color w:val="000000" w:themeColor="text1"/>
        </w:rPr>
        <w:t>[ j ]</w:t>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t>if( AtlasPlrdPresentBlockFlag</w:t>
      </w:r>
      <w:r w:rsidR="00B620A9" w:rsidRPr="00A52AB8">
        <w:rPr>
          <w:color w:val="000000" w:themeColor="text1"/>
        </w:rPr>
        <w:t>[ atlasPatchIdx ][ m ]</w:t>
      </w:r>
      <w:r w:rsidRPr="00A52AB8">
        <w:rPr>
          <w:color w:val="000000" w:themeColor="text1"/>
        </w:rPr>
        <w:t>[ j ]</w:t>
      </w:r>
      <w:r w:rsidR="008768E9" w:rsidRPr="00A52AB8">
        <w:rPr>
          <w:color w:val="000000" w:themeColor="text1"/>
        </w:rPr>
        <w:t> </w:t>
      </w:r>
      <w:r w:rsidR="00726AAE" w:rsidRPr="00A52AB8">
        <w:rPr>
          <w:color w:val="000000" w:themeColor="text1"/>
        </w:rPr>
        <w:t>==</w:t>
      </w:r>
      <w:r w:rsidR="00D47707" w:rsidRPr="00A52AB8">
        <w:rPr>
          <w:color w:val="000000" w:themeColor="text1"/>
        </w:rPr>
        <w:t> </w:t>
      </w:r>
      <w:r w:rsidRPr="00A52AB8">
        <w:rPr>
          <w:color w:val="000000" w:themeColor="text1"/>
        </w:rPr>
        <w:t>1 )</w:t>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t>AtlasPlrdBlockModeMinus1</w:t>
      </w:r>
      <w:r w:rsidR="00B620A9" w:rsidRPr="00A52AB8">
        <w:rPr>
          <w:color w:val="000000" w:themeColor="text1"/>
        </w:rPr>
        <w:t>[ atlasPatchIdx ][ m ]</w:t>
      </w:r>
      <w:r w:rsidRPr="00A52AB8">
        <w:rPr>
          <w:color w:val="000000" w:themeColor="text1"/>
        </w:rPr>
        <w:t>[ j ] =</w:t>
      </w:r>
      <w:r w:rsidR="00C61E38"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00E567A0" w:rsidRPr="00A52AB8">
        <w:rPr>
          <w:color w:val="000000" w:themeColor="text1"/>
        </w:rPr>
        <w:t>TilePatchPlrd</w:t>
      </w:r>
      <w:r w:rsidR="00F467CE" w:rsidRPr="00A52AB8">
        <w:rPr>
          <w:color w:val="000000" w:themeColor="text1"/>
        </w:rPr>
        <w:t>BlockModeMinus1</w:t>
      </w:r>
      <w:r w:rsidR="00490929" w:rsidRPr="00A52AB8">
        <w:rPr>
          <w:color w:val="000000" w:themeColor="text1"/>
        </w:rPr>
        <w:t>[ tileID ][ p ][ m ]</w:t>
      </w:r>
      <w:r w:rsidRPr="00A52AB8">
        <w:rPr>
          <w:color w:val="000000" w:themeColor="text1"/>
        </w:rPr>
        <w:t>[ j ]</w:t>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t>}</w:t>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0023721F" w:rsidRPr="00A52AB8">
        <w:rPr>
          <w:color w:val="000000" w:themeColor="text1"/>
        </w:rPr>
        <w:t>} else {</w:t>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00B620A9" w:rsidRPr="00A52AB8">
        <w:rPr>
          <w:color w:val="000000" w:themeColor="text1"/>
        </w:rPr>
        <w:tab/>
      </w:r>
      <w:r w:rsidRPr="00A52AB8">
        <w:rPr>
          <w:color w:val="000000" w:themeColor="text1"/>
        </w:rPr>
        <w:t>AtlasPlrdPresentFlag</w:t>
      </w:r>
      <w:r w:rsidR="00B620A9" w:rsidRPr="00A52AB8">
        <w:rPr>
          <w:color w:val="000000" w:themeColor="text1"/>
        </w:rPr>
        <w:t>[ atlasPatchIdx ][ m ]</w:t>
      </w:r>
      <w:r w:rsidRPr="00A52AB8">
        <w:rPr>
          <w:color w:val="000000" w:themeColor="text1"/>
        </w:rPr>
        <w:t> =</w:t>
      </w:r>
      <w:r w:rsidR="00C61E38" w:rsidRPr="00A52AB8">
        <w:rPr>
          <w:color w:val="000000" w:themeColor="text1"/>
        </w:rPr>
        <w:br/>
      </w:r>
      <w:r w:rsidR="00B620A9" w:rsidRPr="00A52AB8">
        <w:rPr>
          <w:color w:val="000000" w:themeColor="text1"/>
        </w:rPr>
        <w:tab/>
      </w:r>
      <w:r w:rsidR="00B620A9" w:rsidRPr="00A52AB8">
        <w:rPr>
          <w:color w:val="000000" w:themeColor="text1"/>
        </w:rPr>
        <w:tab/>
      </w:r>
      <w:r w:rsidR="00B620A9" w:rsidRPr="00A52AB8">
        <w:rPr>
          <w:color w:val="000000" w:themeColor="text1"/>
        </w:rPr>
        <w:tab/>
      </w:r>
      <w:r w:rsidR="00B620A9" w:rsidRPr="00A52AB8">
        <w:rPr>
          <w:color w:val="000000" w:themeColor="text1"/>
        </w:rPr>
        <w:tab/>
      </w:r>
      <w:r w:rsidR="00B620A9" w:rsidRPr="00A52AB8">
        <w:rPr>
          <w:color w:val="000000" w:themeColor="text1"/>
        </w:rPr>
        <w:tab/>
      </w:r>
      <w:r w:rsidR="00B620A9" w:rsidRPr="00A52AB8">
        <w:rPr>
          <w:color w:val="000000" w:themeColor="text1"/>
        </w:rPr>
        <w:tab/>
      </w:r>
      <w:r w:rsidR="00E567A0" w:rsidRPr="00A52AB8">
        <w:rPr>
          <w:color w:val="000000" w:themeColor="text1"/>
        </w:rPr>
        <w:t>TilePatchPlrdPresentFlag</w:t>
      </w:r>
      <w:r w:rsidR="00490929" w:rsidRPr="00A52AB8">
        <w:rPr>
          <w:color w:val="000000" w:themeColor="text1"/>
        </w:rPr>
        <w:t>[ tileID ][ p ][ m ]</w:t>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t>if( AtlasPlrdPresentFlag</w:t>
      </w:r>
      <w:r w:rsidR="00B620A9" w:rsidRPr="00A52AB8">
        <w:rPr>
          <w:color w:val="000000" w:themeColor="text1"/>
        </w:rPr>
        <w:t>[ atlasPatchIdx ][ m ]</w:t>
      </w:r>
      <w:r w:rsidR="008768E9" w:rsidRPr="00A52AB8">
        <w:rPr>
          <w:color w:val="000000" w:themeColor="text1"/>
        </w:rPr>
        <w:t> </w:t>
      </w:r>
      <w:r w:rsidR="00726AAE" w:rsidRPr="00A52AB8">
        <w:rPr>
          <w:color w:val="000000" w:themeColor="text1"/>
        </w:rPr>
        <w:t>==</w:t>
      </w:r>
      <w:r w:rsidR="00D47707" w:rsidRPr="00A52AB8">
        <w:rPr>
          <w:color w:val="000000" w:themeColor="text1"/>
        </w:rPr>
        <w:t> </w:t>
      </w:r>
      <w:r w:rsidRPr="00A52AB8">
        <w:rPr>
          <w:color w:val="000000" w:themeColor="text1"/>
        </w:rPr>
        <w:t>1 )</w:t>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t>AtlasPlrdModeMinus1</w:t>
      </w:r>
      <w:r w:rsidR="00B620A9" w:rsidRPr="00A52AB8">
        <w:rPr>
          <w:color w:val="000000" w:themeColor="text1"/>
        </w:rPr>
        <w:t>[ atlasPatchIdx ][ m ]</w:t>
      </w:r>
      <w:r w:rsidRPr="00A52AB8">
        <w:rPr>
          <w:color w:val="000000" w:themeColor="text1"/>
        </w:rPr>
        <w:t> =</w:t>
      </w:r>
      <w:r w:rsidR="00C61E38"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00E567A0" w:rsidRPr="00A52AB8">
        <w:rPr>
          <w:color w:val="000000" w:themeColor="text1"/>
        </w:rPr>
        <w:t>TilePatchPlrdModeMinus1</w:t>
      </w:r>
      <w:r w:rsidR="00490929" w:rsidRPr="00A52AB8">
        <w:rPr>
          <w:color w:val="000000" w:themeColor="text1"/>
        </w:rPr>
        <w:t>[ tileID ][ p ][ m ]</w:t>
      </w:r>
      <w:r w:rsidRPr="00A52AB8">
        <w:rPr>
          <w:lang w:eastAsia="ja-JP"/>
        </w:rPr>
        <w:br/>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t>}</w:t>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t>}</w:t>
      </w:r>
      <w:r w:rsidRPr="00A52AB8">
        <w:rPr>
          <w:color w:val="000000" w:themeColor="text1"/>
        </w:rPr>
        <w:br/>
      </w:r>
      <w:r w:rsidRPr="00A52AB8">
        <w:rPr>
          <w:color w:val="000000" w:themeColor="text1"/>
        </w:rPr>
        <w:tab/>
      </w:r>
      <w:r w:rsidRPr="00A52AB8">
        <w:rPr>
          <w:color w:val="000000" w:themeColor="text1"/>
        </w:rPr>
        <w:tab/>
        <w:t>}</w:t>
      </w:r>
      <w:r w:rsidRPr="00A52AB8">
        <w:rPr>
          <w:color w:val="000000" w:themeColor="text1"/>
        </w:rPr>
        <w:br/>
      </w:r>
      <w:r w:rsidRPr="00A52AB8">
        <w:rPr>
          <w:color w:val="000000" w:themeColor="text1"/>
        </w:rPr>
        <w:tab/>
        <w:t>}</w:t>
      </w:r>
      <w:r w:rsidRPr="00A52AB8">
        <w:rPr>
          <w:color w:val="000000" w:themeColor="text1"/>
        </w:rPr>
        <w:br/>
      </w:r>
      <w:r w:rsidRPr="00A52AB8">
        <w:rPr>
          <w:lang w:eastAsia="ja-JP"/>
        </w:rPr>
        <w:tab/>
        <w:t>if( </w:t>
      </w:r>
      <w:r w:rsidRPr="00A52AB8">
        <w:rPr>
          <w:color w:val="000000" w:themeColor="text1"/>
        </w:rPr>
        <w:t>AtlasPatchType[ </w:t>
      </w:r>
      <w:r w:rsidRPr="00A52AB8">
        <w:rPr>
          <w:lang w:eastAsia="ja-JP"/>
        </w:rPr>
        <w:t>atlasPatchIdx</w:t>
      </w:r>
      <w:r w:rsidRPr="00A52AB8">
        <w:rPr>
          <w:color w:val="000000" w:themeColor="text1"/>
        </w:rPr>
        <w:t> ]</w:t>
      </w:r>
      <w:r w:rsidR="008768E9" w:rsidRPr="00A52AB8">
        <w:rPr>
          <w:color w:val="000000" w:themeColor="text1"/>
        </w:rPr>
        <w:t> </w:t>
      </w:r>
      <w:r w:rsidR="00726AAE" w:rsidRPr="00A52AB8">
        <w:rPr>
          <w:color w:val="000000" w:themeColor="text1"/>
        </w:rPr>
        <w:t>==</w:t>
      </w:r>
      <w:r w:rsidR="00D47707" w:rsidRPr="00A52AB8">
        <w:rPr>
          <w:color w:val="000000" w:themeColor="text1"/>
        </w:rPr>
        <w:t> </w:t>
      </w:r>
      <w:r w:rsidRPr="00A52AB8">
        <w:rPr>
          <w:color w:val="000000" w:themeColor="text1"/>
        </w:rPr>
        <w:t>EOM </w:t>
      </w:r>
      <w:r w:rsidR="008F1F82" w:rsidRPr="00A52AB8">
        <w:rPr>
          <w:lang w:eastAsia="ja-JP"/>
        </w:rPr>
        <w:t>) {</w:t>
      </w:r>
      <w:r w:rsidRPr="00A52AB8">
        <w:rPr>
          <w:lang w:eastAsia="ja-JP"/>
        </w:rPr>
        <w:br/>
      </w:r>
      <w:r w:rsidRPr="00A52AB8">
        <w:rPr>
          <w:color w:val="000000" w:themeColor="text1"/>
        </w:rPr>
        <w:tab/>
      </w:r>
      <w:r w:rsidRPr="00A52AB8">
        <w:rPr>
          <w:color w:val="000000" w:themeColor="text1"/>
        </w:rPr>
        <w:tab/>
      </w:r>
      <w:r w:rsidRPr="00A52AB8">
        <w:rPr>
          <w:lang w:eastAsia="ja-JP"/>
        </w:rPr>
        <w:t>Atlas</w:t>
      </w:r>
      <w:r w:rsidR="00D12C68" w:rsidRPr="00A52AB8">
        <w:rPr>
          <w:lang w:eastAsia="ja-JP"/>
        </w:rPr>
        <w:t>TotalNum</w:t>
      </w:r>
      <w:r w:rsidRPr="00A52AB8">
        <w:rPr>
          <w:lang w:eastAsia="ja-JP"/>
        </w:rPr>
        <w:t>EOMPatches </w:t>
      </w:r>
      <w:r w:rsidR="00A234FD" w:rsidRPr="00A52AB8">
        <w:rPr>
          <w:lang w:eastAsia="ja-JP"/>
        </w:rPr>
        <w:t>+=</w:t>
      </w:r>
      <w:r w:rsidR="00D47707" w:rsidRPr="00A52AB8">
        <w:rPr>
          <w:lang w:eastAsia="ja-JP"/>
        </w:rPr>
        <w:t> </w:t>
      </w:r>
      <w:r w:rsidRPr="00A52AB8">
        <w:rPr>
          <w:lang w:eastAsia="ja-JP"/>
        </w:rPr>
        <w:t>1</w:t>
      </w:r>
      <w:r w:rsidRPr="00A52AB8">
        <w:rPr>
          <w:lang w:eastAsia="ja-JP"/>
        </w:rPr>
        <w:br/>
      </w:r>
      <w:r w:rsidRPr="00A52AB8">
        <w:rPr>
          <w:lang w:eastAsia="ja-JP"/>
        </w:rPr>
        <w:tab/>
      </w:r>
      <w:r w:rsidRPr="00A52AB8">
        <w:rPr>
          <w:lang w:eastAsia="ja-JP"/>
        </w:rPr>
        <w:tab/>
        <w:t>for( i</w:t>
      </w:r>
      <w:r w:rsidR="00D47707" w:rsidRPr="00A52AB8">
        <w:rPr>
          <w:lang w:eastAsia="ja-JP"/>
        </w:rPr>
        <w:t> = </w:t>
      </w:r>
      <w:r w:rsidRPr="00A52AB8">
        <w:rPr>
          <w:lang w:eastAsia="ja-JP"/>
        </w:rPr>
        <w:t>0; i &lt; AtlasEpduPatchCount[ atlasPatchIdx</w:t>
      </w:r>
      <w:r w:rsidRPr="00A52AB8">
        <w:rPr>
          <w:color w:val="000000" w:themeColor="text1"/>
        </w:rPr>
        <w:t> </w:t>
      </w:r>
      <w:r w:rsidRPr="00A52AB8">
        <w:rPr>
          <w:lang w:eastAsia="ja-JP"/>
        </w:rPr>
        <w:t>]; i</w:t>
      </w:r>
      <w:r w:rsidR="00006CCF" w:rsidRPr="00A52AB8">
        <w:rPr>
          <w:lang w:eastAsia="ja-JP"/>
        </w:rPr>
        <w:t>++ </w:t>
      </w:r>
      <w:r w:rsidR="008F1F82" w:rsidRPr="00A52AB8">
        <w:rPr>
          <w:lang w:eastAsia="ja-JP"/>
        </w:rPr>
        <w:t>) {</w:t>
      </w:r>
      <w:r w:rsidRPr="00A52AB8">
        <w:rPr>
          <w:lang w:eastAsia="ja-JP"/>
        </w:rPr>
        <w:br/>
      </w:r>
      <w:r w:rsidRPr="00A52AB8">
        <w:rPr>
          <w:lang w:eastAsia="ja-JP"/>
        </w:rPr>
        <w:tab/>
      </w:r>
      <w:r w:rsidRPr="00A52AB8">
        <w:rPr>
          <w:lang w:eastAsia="ja-JP"/>
        </w:rPr>
        <w:tab/>
      </w:r>
      <w:r w:rsidRPr="00A52AB8">
        <w:rPr>
          <w:lang w:eastAsia="ja-JP"/>
        </w:rPr>
        <w:tab/>
        <w:t>NumEOMPoints </w:t>
      </w:r>
      <w:r w:rsidR="00A234FD" w:rsidRPr="00A52AB8">
        <w:rPr>
          <w:lang w:eastAsia="ja-JP"/>
        </w:rPr>
        <w:t>+=</w:t>
      </w:r>
      <w:r w:rsidR="00D47707" w:rsidRPr="00A52AB8">
        <w:rPr>
          <w:lang w:eastAsia="ja-JP"/>
        </w:rPr>
        <w:t> </w:t>
      </w:r>
      <w:r w:rsidRPr="00A52AB8">
        <w:rPr>
          <w:lang w:eastAsia="ja-JP"/>
        </w:rPr>
        <w:t>TilePatchEomPoints[ tileID ][ p ][ i ]</w:t>
      </w:r>
      <w:r w:rsidRPr="00A52AB8">
        <w:rPr>
          <w:lang w:eastAsia="ja-JP"/>
        </w:rPr>
        <w:br/>
      </w:r>
      <w:r w:rsidRPr="00A52AB8">
        <w:rPr>
          <w:lang w:eastAsia="ja-JP"/>
        </w:rPr>
        <w:tab/>
      </w:r>
      <w:r w:rsidRPr="00A52AB8">
        <w:rPr>
          <w:lang w:eastAsia="ja-JP"/>
        </w:rPr>
        <w:tab/>
      </w:r>
      <w:r w:rsidRPr="00A52AB8">
        <w:rPr>
          <w:lang w:eastAsia="ja-JP"/>
        </w:rPr>
        <w:tab/>
        <w:t>AtlasEpduPoints[ atlasPatchIdx</w:t>
      </w:r>
      <w:r w:rsidRPr="00A52AB8">
        <w:rPr>
          <w:color w:val="000000" w:themeColor="text1"/>
        </w:rPr>
        <w:t> </w:t>
      </w:r>
      <w:r w:rsidRPr="00A52AB8">
        <w:rPr>
          <w:lang w:eastAsia="ja-JP"/>
        </w:rPr>
        <w:t>][ i ]</w:t>
      </w:r>
      <w:r w:rsidR="00D47707" w:rsidRPr="00A52AB8">
        <w:rPr>
          <w:lang w:eastAsia="ja-JP"/>
        </w:rPr>
        <w:t> = </w:t>
      </w:r>
      <w:r w:rsidRPr="00A52AB8">
        <w:rPr>
          <w:lang w:eastAsia="ja-JP"/>
        </w:rPr>
        <w:t>TilePatchEomPoints[ tileID ][ p ][ i ]</w:t>
      </w:r>
      <w:r w:rsidRPr="00A52AB8">
        <w:rPr>
          <w:lang w:eastAsia="ja-JP"/>
        </w:rPr>
        <w:br/>
      </w:r>
      <w:r w:rsidRPr="00A52AB8">
        <w:rPr>
          <w:lang w:eastAsia="ja-JP"/>
        </w:rPr>
        <w:tab/>
      </w:r>
      <w:r w:rsidRPr="00A52AB8">
        <w:rPr>
          <w:lang w:eastAsia="ja-JP"/>
        </w:rPr>
        <w:tab/>
      </w:r>
      <w:r w:rsidRPr="00A52AB8">
        <w:rPr>
          <w:lang w:eastAsia="ja-JP"/>
        </w:rPr>
        <w:tab/>
        <w:t>AtlasEpduAssociatedPatchIndex[ atlasPatchIdx</w:t>
      </w:r>
      <w:r w:rsidRPr="00A52AB8">
        <w:rPr>
          <w:color w:val="000000" w:themeColor="text1"/>
        </w:rPr>
        <w:t> </w:t>
      </w:r>
      <w:r w:rsidRPr="00A52AB8">
        <w:rPr>
          <w:lang w:eastAsia="ja-JP"/>
        </w:rPr>
        <w:t>][ i ] =</w:t>
      </w:r>
      <w:r w:rsidRPr="00A52AB8">
        <w:rPr>
          <w:lang w:eastAsia="ja-JP"/>
        </w:rPr>
        <w:br/>
      </w:r>
      <w:r w:rsidRPr="00A52AB8">
        <w:rPr>
          <w:lang w:eastAsia="ja-JP"/>
        </w:rPr>
        <w:tab/>
      </w:r>
      <w:r w:rsidRPr="00A52AB8">
        <w:rPr>
          <w:lang w:eastAsia="ja-JP"/>
        </w:rPr>
        <w:tab/>
      </w:r>
      <w:r w:rsidRPr="00A52AB8">
        <w:rPr>
          <w:lang w:eastAsia="ja-JP"/>
        </w:rPr>
        <w:tab/>
      </w:r>
      <w:r w:rsidRPr="00A52AB8">
        <w:rPr>
          <w:lang w:eastAsia="ja-JP"/>
        </w:rPr>
        <w:tab/>
        <w:t>TilePatch</w:t>
      </w:r>
      <w:r w:rsidRPr="00A52AB8">
        <w:t>AssociatedPatchIndex[ tileID ][ p ][ i ] + offsetPatch</w:t>
      </w:r>
      <w:r w:rsidR="00C61E38" w:rsidRPr="00A52AB8">
        <w:rPr>
          <w:lang w:eastAsia="ja-JP"/>
        </w:rPr>
        <w:br/>
      </w:r>
      <w:r w:rsidRPr="00A52AB8">
        <w:rPr>
          <w:lang w:eastAsia="ja-JP"/>
        </w:rPr>
        <w:tab/>
      </w:r>
      <w:r w:rsidRPr="00A52AB8">
        <w:rPr>
          <w:lang w:eastAsia="ja-JP"/>
        </w:rPr>
        <w:tab/>
        <w:t>}</w:t>
      </w:r>
      <w:r w:rsidRPr="00A52AB8">
        <w:rPr>
          <w:lang w:eastAsia="ja-JP"/>
        </w:rPr>
        <w:br/>
      </w:r>
      <w:r w:rsidRPr="00A52AB8">
        <w:rPr>
          <w:lang w:eastAsia="ja-JP"/>
        </w:rPr>
        <w:tab/>
        <w:t>}</w:t>
      </w:r>
      <w:r w:rsidRPr="00A52AB8">
        <w:rPr>
          <w:lang w:eastAsia="ja-JP"/>
        </w:rPr>
        <w:br/>
      </w:r>
      <w:r w:rsidRPr="00A52AB8">
        <w:rPr>
          <w:lang w:eastAsia="ja-JP"/>
        </w:rPr>
        <w:tab/>
      </w:r>
      <w:r w:rsidRPr="00A52AB8">
        <w:rPr>
          <w:color w:val="000000" w:themeColor="text1"/>
        </w:rPr>
        <w:t>if( AtlasPatchType[ </w:t>
      </w:r>
      <w:r w:rsidRPr="00A52AB8">
        <w:rPr>
          <w:lang w:eastAsia="ja-JP"/>
        </w:rPr>
        <w:t>atlasPatchIdx</w:t>
      </w:r>
      <w:r w:rsidRPr="00A52AB8">
        <w:rPr>
          <w:color w:val="000000" w:themeColor="text1"/>
        </w:rPr>
        <w:t> ]</w:t>
      </w:r>
      <w:r w:rsidR="008768E9" w:rsidRPr="00A52AB8">
        <w:rPr>
          <w:color w:val="000000" w:themeColor="text1"/>
        </w:rPr>
        <w:t> </w:t>
      </w:r>
      <w:r w:rsidR="00726AAE" w:rsidRPr="00A52AB8">
        <w:rPr>
          <w:color w:val="000000" w:themeColor="text1"/>
        </w:rPr>
        <w:t>==</w:t>
      </w:r>
      <w:r w:rsidR="00D47707" w:rsidRPr="00A52AB8">
        <w:rPr>
          <w:color w:val="000000" w:themeColor="text1"/>
        </w:rPr>
        <w:t> </w:t>
      </w:r>
      <w:r w:rsidRPr="00A52AB8">
        <w:rPr>
          <w:color w:val="000000" w:themeColor="text1"/>
        </w:rPr>
        <w:t>RAW </w:t>
      </w:r>
      <w:r w:rsidR="008F1F82" w:rsidRPr="00A52AB8">
        <w:rPr>
          <w:color w:val="000000" w:themeColor="text1"/>
        </w:rPr>
        <w:t>) {</w:t>
      </w:r>
      <w:r w:rsidRPr="00A52AB8">
        <w:rPr>
          <w:color w:val="000000" w:themeColor="text1"/>
        </w:rPr>
        <w:br/>
      </w:r>
      <w:r w:rsidRPr="00A52AB8">
        <w:rPr>
          <w:color w:val="000000" w:themeColor="text1"/>
        </w:rPr>
        <w:tab/>
      </w:r>
      <w:r w:rsidRPr="00A52AB8">
        <w:rPr>
          <w:color w:val="000000" w:themeColor="text1"/>
        </w:rPr>
        <w:tab/>
        <w:t>Atlas</w:t>
      </w:r>
      <w:r w:rsidR="00D12C68" w:rsidRPr="00A52AB8">
        <w:rPr>
          <w:color w:val="000000" w:themeColor="text1"/>
        </w:rPr>
        <w:t>TotalNum</w:t>
      </w:r>
      <w:r w:rsidRPr="00A52AB8">
        <w:rPr>
          <w:color w:val="000000" w:themeColor="text1"/>
        </w:rPr>
        <w:t>RawPatches </w:t>
      </w:r>
      <w:r w:rsidR="00A234FD" w:rsidRPr="00A52AB8">
        <w:rPr>
          <w:color w:val="000000" w:themeColor="text1"/>
        </w:rPr>
        <w:t>+=</w:t>
      </w:r>
      <w:r w:rsidR="00D47707" w:rsidRPr="00A52AB8">
        <w:rPr>
          <w:color w:val="000000" w:themeColor="text1"/>
        </w:rPr>
        <w:t> </w:t>
      </w:r>
      <w:r w:rsidRPr="00A52AB8">
        <w:rPr>
          <w:color w:val="000000" w:themeColor="text1"/>
        </w:rPr>
        <w:t>1</w:t>
      </w:r>
      <w:r w:rsidRPr="00A52AB8">
        <w:rPr>
          <w:color w:val="000000" w:themeColor="text1"/>
        </w:rPr>
        <w:br/>
      </w:r>
      <w:r w:rsidRPr="00A52AB8">
        <w:rPr>
          <w:color w:val="000000" w:themeColor="text1"/>
        </w:rPr>
        <w:tab/>
      </w:r>
      <w:r w:rsidRPr="00A52AB8">
        <w:rPr>
          <w:color w:val="000000" w:themeColor="text1"/>
        </w:rPr>
        <w:tab/>
        <w:t>NumRawPoints </w:t>
      </w:r>
      <w:r w:rsidR="00A234FD" w:rsidRPr="00A52AB8">
        <w:rPr>
          <w:color w:val="000000" w:themeColor="text1"/>
        </w:rPr>
        <w:t>+=</w:t>
      </w:r>
      <w:r w:rsidR="00D47707" w:rsidRPr="00A52AB8">
        <w:rPr>
          <w:color w:val="000000" w:themeColor="text1"/>
        </w:rPr>
        <w:t> </w:t>
      </w:r>
      <w:r w:rsidRPr="00A52AB8">
        <w:rPr>
          <w:lang w:eastAsia="ja-JP"/>
        </w:rPr>
        <w:t>TilePatchRawPoints</w:t>
      </w:r>
      <w:r w:rsidRPr="00A52AB8">
        <w:rPr>
          <w:color w:val="000000" w:themeColor="text1"/>
        </w:rPr>
        <w:t>[ tileID ][ p ]</w:t>
      </w:r>
      <w:r w:rsidRPr="00A52AB8">
        <w:rPr>
          <w:color w:val="000000" w:themeColor="text1"/>
        </w:rPr>
        <w:br/>
      </w:r>
      <w:r w:rsidRPr="00A52AB8">
        <w:rPr>
          <w:color w:val="000000" w:themeColor="text1"/>
        </w:rPr>
        <w:tab/>
        <w:t>}</w:t>
      </w:r>
      <w:r w:rsidRPr="00A52AB8">
        <w:rPr>
          <w:color w:val="000000" w:themeColor="text1"/>
        </w:rPr>
        <w:br/>
      </w:r>
      <w:r w:rsidRPr="00A52AB8">
        <w:rPr>
          <w:lang w:eastAsia="ja-JP"/>
        </w:rPr>
        <w:t>}</w:t>
      </w:r>
      <w:r w:rsidRPr="00A52AB8">
        <w:rPr>
          <w:lang w:eastAsia="ja-JP"/>
        </w:rPr>
        <w:br/>
      </w:r>
    </w:p>
    <w:p w14:paraId="5F956AEB" w14:textId="77777777" w:rsidR="00BE5C5C" w:rsidRPr="00A52AB8" w:rsidRDefault="00BE5C5C" w:rsidP="00BE5C5C">
      <w:pPr>
        <w:pStyle w:val="a3"/>
        <w:numPr>
          <w:ilvl w:val="2"/>
          <w:numId w:val="14"/>
        </w:numPr>
      </w:pPr>
      <w:bookmarkStart w:id="6327" w:name="_Toc37760819"/>
      <w:bookmarkStart w:id="6328" w:name="_Toc52181784"/>
      <w:r w:rsidRPr="00A52AB8">
        <w:t>Occupancy video decoding process</w:t>
      </w:r>
      <w:bookmarkEnd w:id="6327"/>
      <w:bookmarkEnd w:id="6328"/>
    </w:p>
    <w:p w14:paraId="0233A8CC" w14:textId="0862CE26" w:rsidR="00BE5C5C" w:rsidRPr="00A52AB8" w:rsidRDefault="00BE5C5C" w:rsidP="00BE5C5C">
      <w:pPr>
        <w:rPr>
          <w:lang w:eastAsia="ja-JP"/>
        </w:rPr>
      </w:pPr>
      <w:r w:rsidRPr="00A52AB8">
        <w:t xml:space="preserve">The specifications in subclause </w:t>
      </w:r>
      <w:r w:rsidRPr="00496A4D">
        <w:fldChar w:fldCharType="begin"/>
      </w:r>
      <w:r w:rsidRPr="00A52AB8">
        <w:instrText xml:space="preserve"> REF _Ref516064490 \r \h </w:instrText>
      </w:r>
      <w:r w:rsidR="00CA5401" w:rsidRPr="00A52AB8">
        <w:instrText xml:space="preserve"> \* MERGEFORMAT </w:instrText>
      </w:r>
      <w:r w:rsidRPr="00496A4D">
        <w:fldChar w:fldCharType="separate"/>
      </w:r>
      <w:r w:rsidR="00507A67">
        <w:t>9.3</w:t>
      </w:r>
      <w:r w:rsidRPr="00496A4D">
        <w:fldChar w:fldCharType="end"/>
      </w:r>
      <w:r w:rsidRPr="00A52AB8">
        <w:t xml:space="preserve"> apply.</w:t>
      </w:r>
    </w:p>
    <w:p w14:paraId="12DF420D" w14:textId="77777777" w:rsidR="00BE5C5C" w:rsidRPr="00A52AB8" w:rsidRDefault="00BE5C5C" w:rsidP="00BE5C5C">
      <w:pPr>
        <w:pStyle w:val="a3"/>
        <w:numPr>
          <w:ilvl w:val="2"/>
          <w:numId w:val="14"/>
        </w:numPr>
      </w:pPr>
      <w:bookmarkStart w:id="6329" w:name="_Toc37760820"/>
      <w:bookmarkStart w:id="6330" w:name="_Toc52181785"/>
      <w:r w:rsidRPr="00A52AB8">
        <w:t>Geometry video decoding process</w:t>
      </w:r>
      <w:bookmarkEnd w:id="6329"/>
      <w:bookmarkEnd w:id="6330"/>
    </w:p>
    <w:p w14:paraId="19F59916" w14:textId="637CC133" w:rsidR="00BE5C5C" w:rsidRPr="00A52AB8" w:rsidRDefault="00BE5C5C" w:rsidP="00BE5C5C">
      <w:pPr>
        <w:rPr>
          <w:lang w:eastAsia="ja-JP"/>
        </w:rPr>
      </w:pPr>
      <w:r w:rsidRPr="00A52AB8">
        <w:t xml:space="preserve">The specifications in subclause </w:t>
      </w:r>
      <w:r w:rsidRPr="00496A4D">
        <w:fldChar w:fldCharType="begin"/>
      </w:r>
      <w:r w:rsidRPr="00A52AB8">
        <w:instrText xml:space="preserve"> REF _Ref38443293 \r \h </w:instrText>
      </w:r>
      <w:r w:rsidR="00CA5401" w:rsidRPr="00A52AB8">
        <w:instrText xml:space="preserve"> \* MERGEFORMAT </w:instrText>
      </w:r>
      <w:r w:rsidRPr="00496A4D">
        <w:fldChar w:fldCharType="separate"/>
      </w:r>
      <w:r w:rsidR="00507A67">
        <w:t>9.4</w:t>
      </w:r>
      <w:r w:rsidRPr="00496A4D">
        <w:fldChar w:fldCharType="end"/>
      </w:r>
      <w:r w:rsidRPr="00A52AB8">
        <w:t xml:space="preserve"> apply.</w:t>
      </w:r>
    </w:p>
    <w:p w14:paraId="7DFE997C" w14:textId="77777777" w:rsidR="00BE5C5C" w:rsidRPr="00A52AB8" w:rsidRDefault="00BE5C5C" w:rsidP="00BE5C5C">
      <w:pPr>
        <w:pStyle w:val="a3"/>
        <w:numPr>
          <w:ilvl w:val="2"/>
          <w:numId w:val="14"/>
        </w:numPr>
      </w:pPr>
      <w:bookmarkStart w:id="6331" w:name="_Toc37760821"/>
      <w:bookmarkStart w:id="6332" w:name="_Toc52181786"/>
      <w:r w:rsidRPr="00A52AB8">
        <w:t>Attribute video decoding process</w:t>
      </w:r>
      <w:bookmarkEnd w:id="6331"/>
      <w:bookmarkEnd w:id="6332"/>
    </w:p>
    <w:p w14:paraId="2B53289A" w14:textId="35FB70EE" w:rsidR="00BE5C5C" w:rsidRPr="00A52AB8" w:rsidRDefault="00BE5C5C" w:rsidP="00792CFF">
      <w:r w:rsidRPr="00A52AB8">
        <w:t xml:space="preserve">The specifications in subclause </w:t>
      </w:r>
      <w:r w:rsidRPr="00496A4D">
        <w:fldChar w:fldCharType="begin"/>
      </w:r>
      <w:r w:rsidRPr="00A52AB8">
        <w:instrText xml:space="preserve"> REF _Ref38443294 \r \h </w:instrText>
      </w:r>
      <w:r w:rsidR="00CA5401" w:rsidRPr="00A52AB8">
        <w:instrText xml:space="preserve"> \* MERGEFORMAT </w:instrText>
      </w:r>
      <w:r w:rsidRPr="00496A4D">
        <w:fldChar w:fldCharType="separate"/>
      </w:r>
      <w:r w:rsidR="00507A67">
        <w:t>9.5</w:t>
      </w:r>
      <w:r w:rsidRPr="00496A4D">
        <w:fldChar w:fldCharType="end"/>
      </w:r>
      <w:r w:rsidRPr="00A52AB8">
        <w:t xml:space="preserve"> apply.</w:t>
      </w:r>
    </w:p>
    <w:p w14:paraId="6E4CF78B" w14:textId="48648481" w:rsidR="00835796" w:rsidRPr="00A52AB8" w:rsidRDefault="00C83F20" w:rsidP="00051899">
      <w:pPr>
        <w:pStyle w:val="a3"/>
        <w:numPr>
          <w:ilvl w:val="2"/>
          <w:numId w:val="14"/>
        </w:numPr>
      </w:pPr>
      <w:bookmarkStart w:id="6333" w:name="_Toc52181787"/>
      <w:r w:rsidRPr="00A52AB8">
        <w:t>Sub-bitstream extraction process</w:t>
      </w:r>
      <w:bookmarkEnd w:id="6333"/>
    </w:p>
    <w:p w14:paraId="5D5D719E" w14:textId="409F7FD9" w:rsidR="00835796" w:rsidRPr="00A52AB8" w:rsidRDefault="00835796" w:rsidP="00835796">
      <w:r w:rsidRPr="00A52AB8">
        <w:t xml:space="preserve">The specifications in subclause </w:t>
      </w:r>
      <w:r w:rsidR="00C83F20" w:rsidRPr="00496A4D">
        <w:fldChar w:fldCharType="begin"/>
      </w:r>
      <w:r w:rsidR="00C83F20" w:rsidRPr="00A52AB8">
        <w:instrText xml:space="preserve"> REF _Ref34235094 \r \h </w:instrText>
      </w:r>
      <w:r w:rsidR="00007BE2" w:rsidRPr="00A52AB8">
        <w:instrText xml:space="preserve"> \* MERGEFORMAT </w:instrText>
      </w:r>
      <w:r w:rsidR="00C83F20" w:rsidRPr="00496A4D">
        <w:fldChar w:fldCharType="separate"/>
      </w:r>
      <w:r w:rsidR="00507A67">
        <w:t>9.6</w:t>
      </w:r>
      <w:r w:rsidR="00C83F20" w:rsidRPr="00496A4D">
        <w:fldChar w:fldCharType="end"/>
      </w:r>
      <w:r w:rsidRPr="00A52AB8">
        <w:t xml:space="preserve"> apply.</w:t>
      </w:r>
    </w:p>
    <w:p w14:paraId="0B95EA7F" w14:textId="2834F8E0" w:rsidR="00D25697" w:rsidRPr="00A52AB8" w:rsidRDefault="00D25697" w:rsidP="00D25697">
      <w:pPr>
        <w:pStyle w:val="a2"/>
        <w:numPr>
          <w:ilvl w:val="1"/>
          <w:numId w:val="14"/>
        </w:numPr>
      </w:pPr>
      <w:bookmarkStart w:id="6334" w:name="_Ref49343853"/>
      <w:bookmarkStart w:id="6335" w:name="_Toc52181788"/>
      <w:r w:rsidRPr="00A52AB8">
        <w:t>Pre-reconstruction process</w:t>
      </w:r>
      <w:bookmarkEnd w:id="6334"/>
      <w:bookmarkEnd w:id="6335"/>
    </w:p>
    <w:p w14:paraId="0F5B1682" w14:textId="77777777" w:rsidR="00D25697" w:rsidRPr="00A52AB8" w:rsidRDefault="00D25697" w:rsidP="00EE3D19">
      <w:pPr>
        <w:pStyle w:val="a5"/>
        <w:numPr>
          <w:ilvl w:val="2"/>
          <w:numId w:val="14"/>
        </w:numPr>
        <w:outlineLvl w:val="2"/>
      </w:pPr>
      <w:bookmarkStart w:id="6336" w:name="_Ref50232392"/>
      <w:r w:rsidRPr="00A52AB8">
        <w:t>General</w:t>
      </w:r>
      <w:bookmarkEnd w:id="6336"/>
    </w:p>
    <w:p w14:paraId="39B4E72C" w14:textId="740F669D" w:rsidR="00C50E43" w:rsidRPr="00A52AB8" w:rsidRDefault="00C50E43">
      <w:pPr>
        <w:rPr>
          <w:lang w:eastAsia="ja-JP"/>
        </w:rPr>
      </w:pPr>
      <w:r w:rsidRPr="00A52AB8">
        <w:rPr>
          <w:lang w:eastAsia="ja-JP"/>
        </w:rPr>
        <w:t xml:space="preserve">The pre-reconstruction process depends on the profiles defined in subclause </w:t>
      </w:r>
      <w:r w:rsidRPr="00496A4D">
        <w:rPr>
          <w:lang w:eastAsia="ja-JP"/>
        </w:rPr>
        <w:fldChar w:fldCharType="begin"/>
      </w:r>
      <w:r w:rsidRPr="00A52AB8">
        <w:rPr>
          <w:lang w:eastAsia="ja-JP"/>
        </w:rPr>
        <w:instrText xml:space="preserve"> REF _Ref49330659 \n \h </w:instrText>
      </w:r>
      <w:r w:rsidR="00007BE2" w:rsidRPr="00A52AB8">
        <w:rPr>
          <w:lang w:eastAsia="ja-JP"/>
        </w:rPr>
        <w:instrText xml:space="preserve"> \* MERGEFORMAT </w:instrText>
      </w:r>
      <w:r w:rsidRPr="00496A4D">
        <w:rPr>
          <w:lang w:eastAsia="ja-JP"/>
        </w:rPr>
      </w:r>
      <w:r w:rsidRPr="00496A4D">
        <w:rPr>
          <w:lang w:eastAsia="ja-JP"/>
        </w:rPr>
        <w:fldChar w:fldCharType="separate"/>
      </w:r>
      <w:r w:rsidR="00507A67">
        <w:rPr>
          <w:lang w:eastAsia="ja-JP"/>
        </w:rPr>
        <w:t>H.15</w:t>
      </w:r>
      <w:r w:rsidRPr="00496A4D">
        <w:rPr>
          <w:lang w:eastAsia="ja-JP"/>
        </w:rPr>
        <w:fldChar w:fldCharType="end"/>
      </w:r>
      <w:r w:rsidRPr="00A52AB8">
        <w:rPr>
          <w:lang w:eastAsia="ja-JP"/>
        </w:rPr>
        <w:t>.</w:t>
      </w:r>
    </w:p>
    <w:p w14:paraId="13504DAA" w14:textId="5D3127C0" w:rsidR="001A3B23" w:rsidRPr="00A52AB8" w:rsidRDefault="001A3B23">
      <w:pPr>
        <w:rPr>
          <w:lang w:eastAsia="ja-JP"/>
        </w:rPr>
      </w:pPr>
      <w:r w:rsidRPr="00A52AB8">
        <w:rPr>
          <w:color w:val="000000" w:themeColor="text1"/>
        </w:rPr>
        <w:t xml:space="preserve">The processes described in this subclause are invoked for </w:t>
      </w:r>
      <w:r w:rsidRPr="00A52AB8">
        <w:t xml:space="preserve">decoded occupancy frames at nominal resolution, and syntax elements </w:t>
      </w:r>
      <w:r w:rsidRPr="00A52AB8">
        <w:rPr>
          <w:color w:val="000000" w:themeColor="text1"/>
        </w:rPr>
        <w:t xml:space="preserve">associated </w:t>
      </w:r>
      <w:r w:rsidRPr="00A52AB8">
        <w:t xml:space="preserve">with the same atlas ID, </w:t>
      </w:r>
      <w:r w:rsidRPr="00A52AB8">
        <w:rPr>
          <w:color w:val="000000" w:themeColor="text1"/>
        </w:rPr>
        <w:t>identified by a variable OccSynAtlasID.</w:t>
      </w:r>
    </w:p>
    <w:p w14:paraId="02AC9944" w14:textId="29E13691" w:rsidR="00BA11F9" w:rsidRPr="00A52AB8" w:rsidRDefault="00BA11F9" w:rsidP="00BA11F9">
      <w:pPr>
        <w:rPr>
          <w:color w:val="000000" w:themeColor="text1"/>
        </w:rPr>
      </w:pPr>
      <w:r w:rsidRPr="00A52AB8">
        <w:rPr>
          <w:color w:val="000000" w:themeColor="text1"/>
        </w:rPr>
        <w:t>The pre-reconstruction process</w:t>
      </w:r>
      <w:r w:rsidR="00E067C8" w:rsidRPr="00A52AB8">
        <w:rPr>
          <w:color w:val="000000" w:themeColor="text1"/>
        </w:rPr>
        <w:t>,</w:t>
      </w:r>
      <w:r w:rsidRPr="00A52AB8">
        <w:rPr>
          <w:color w:val="000000" w:themeColor="text1"/>
        </w:rPr>
        <w:t xml:space="preserve"> for the current point cloud frame with</w:t>
      </w:r>
      <w:r w:rsidR="00E2576A" w:rsidRPr="00A52AB8">
        <w:rPr>
          <w:color w:val="000000" w:themeColor="text1"/>
        </w:rPr>
        <w:t xml:space="preserve"> a</w:t>
      </w:r>
      <w:r w:rsidRPr="00A52AB8">
        <w:rPr>
          <w:color w:val="000000" w:themeColor="text1"/>
        </w:rPr>
        <w:t xml:space="preserve"> composition </w:t>
      </w:r>
      <w:r w:rsidR="00E2576A" w:rsidRPr="00A52AB8">
        <w:rPr>
          <w:color w:val="000000" w:themeColor="text1"/>
        </w:rPr>
        <w:t xml:space="preserve">time </w:t>
      </w:r>
      <w:r w:rsidRPr="00A52AB8">
        <w:rPr>
          <w:color w:val="000000" w:themeColor="text1"/>
        </w:rPr>
        <w:t xml:space="preserve">index compTimeIdx, takes as inputs </w:t>
      </w:r>
      <w:r w:rsidRPr="00A52AB8">
        <w:t>the syntax elements and upper-case variables from subclauses </w:t>
      </w:r>
      <w:r w:rsidRPr="00496A4D">
        <w:fldChar w:fldCharType="begin"/>
      </w:r>
      <w:r w:rsidRPr="00A52AB8">
        <w:instrText xml:space="preserve"> REF _Ref45107375 \r \h  \* MERGEFORMAT </w:instrText>
      </w:r>
      <w:r w:rsidRPr="00496A4D">
        <w:fldChar w:fldCharType="separate"/>
      </w:r>
      <w:r w:rsidR="00507A67">
        <w:t>H.8</w:t>
      </w:r>
      <w:r w:rsidRPr="00496A4D">
        <w:fldChar w:fldCharType="end"/>
      </w:r>
      <w:r w:rsidRPr="00A52AB8">
        <w:t xml:space="preserve">, </w:t>
      </w:r>
      <w:r w:rsidRPr="00496A4D">
        <w:fldChar w:fldCharType="begin"/>
      </w:r>
      <w:r w:rsidRPr="00A52AB8">
        <w:instrText xml:space="preserve"> REF _Ref49201538 \n \h </w:instrText>
      </w:r>
      <w:r w:rsidR="00007BE2" w:rsidRPr="00A52AB8">
        <w:instrText xml:space="preserve"> \* MERGEFORMAT </w:instrText>
      </w:r>
      <w:r w:rsidRPr="00496A4D">
        <w:fldChar w:fldCharType="separate"/>
      </w:r>
      <w:r w:rsidR="00507A67">
        <w:t>H.9</w:t>
      </w:r>
      <w:r w:rsidRPr="00496A4D">
        <w:fldChar w:fldCharType="end"/>
      </w:r>
      <w:r w:rsidRPr="00A52AB8">
        <w:t xml:space="preserve">, and </w:t>
      </w:r>
      <w:r w:rsidR="00726803" w:rsidRPr="00496A4D">
        <w:fldChar w:fldCharType="begin"/>
      </w:r>
      <w:r w:rsidR="00726803" w:rsidRPr="00A52AB8">
        <w:instrText xml:space="preserve"> REF _Ref38561253 \r \h </w:instrText>
      </w:r>
      <w:r w:rsidR="00007BE2" w:rsidRPr="00A52AB8">
        <w:instrText xml:space="preserve"> \* MERGEFORMAT </w:instrText>
      </w:r>
      <w:r w:rsidR="00726803" w:rsidRPr="00496A4D">
        <w:fldChar w:fldCharType="separate"/>
      </w:r>
      <w:r w:rsidR="00507A67">
        <w:t>Annex B</w:t>
      </w:r>
      <w:r w:rsidR="00726803" w:rsidRPr="00496A4D">
        <w:fldChar w:fldCharType="end"/>
      </w:r>
      <w:r w:rsidR="00726803" w:rsidRPr="00A52AB8">
        <w:t>.</w:t>
      </w:r>
    </w:p>
    <w:p w14:paraId="7FAA56B0" w14:textId="07E6F450" w:rsidR="00291502" w:rsidRPr="00A52AB8" w:rsidRDefault="00726803" w:rsidP="00007BE2">
      <w:pPr>
        <w:pStyle w:val="ListParagraph"/>
        <w:ind w:leftChars="0" w:left="0"/>
      </w:pPr>
      <w:r w:rsidRPr="00A52AB8">
        <w:rPr>
          <w:color w:val="000000" w:themeColor="text1"/>
        </w:rPr>
        <w:t xml:space="preserve">If a bitstream contains an occupancy synthesis SEI message with a value of </w:t>
      </w:r>
      <w:r w:rsidRPr="00A52AB8">
        <w:t>os_method_type[ k ]</w:t>
      </w:r>
      <w:r w:rsidRPr="00A52AB8">
        <w:rPr>
          <w:color w:val="000000" w:themeColor="text1"/>
        </w:rPr>
        <w:t xml:space="preserve"> </w:t>
      </w:r>
      <w:r w:rsidR="00291502" w:rsidRPr="00A52AB8">
        <w:rPr>
          <w:color w:val="000000" w:themeColor="text1"/>
        </w:rPr>
        <w:t xml:space="preserve">larger than zero </w:t>
      </w:r>
      <w:r w:rsidRPr="00A52AB8">
        <w:rPr>
          <w:color w:val="000000" w:themeColor="text1"/>
        </w:rPr>
        <w:t xml:space="preserve">at time instance compTimeIdx, and the point cloud reconstruction system has selected to use this k-th occupancy synthesis instance, subclause </w:t>
      </w:r>
      <w:r w:rsidRPr="00496A4D">
        <w:rPr>
          <w:color w:val="000000" w:themeColor="text1"/>
        </w:rPr>
        <w:fldChar w:fldCharType="begin"/>
      </w:r>
      <w:r w:rsidRPr="00A52AB8">
        <w:rPr>
          <w:color w:val="000000" w:themeColor="text1"/>
        </w:rPr>
        <w:instrText xml:space="preserve"> REF _Ref49344778 \r \h </w:instrText>
      </w:r>
      <w:r w:rsidR="00007BE2"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H.10.2.2</w:t>
      </w:r>
      <w:r w:rsidRPr="00496A4D">
        <w:rPr>
          <w:color w:val="000000" w:themeColor="text1"/>
        </w:rPr>
        <w:fldChar w:fldCharType="end"/>
      </w:r>
      <w:r w:rsidRPr="00A52AB8">
        <w:rPr>
          <w:color w:val="000000" w:themeColor="text1"/>
        </w:rPr>
        <w:t xml:space="preserve"> is invoked.</w:t>
      </w:r>
    </w:p>
    <w:p w14:paraId="26CD0F1E" w14:textId="77777777" w:rsidR="00D25697" w:rsidRPr="00A52AB8" w:rsidRDefault="00D25697" w:rsidP="004A7026">
      <w:pPr>
        <w:pStyle w:val="a3"/>
        <w:numPr>
          <w:ilvl w:val="2"/>
          <w:numId w:val="14"/>
        </w:numPr>
      </w:pPr>
      <w:bookmarkStart w:id="6337" w:name="_Toc50238169"/>
      <w:bookmarkStart w:id="6338" w:name="_Ref49344920"/>
      <w:bookmarkStart w:id="6339" w:name="_Toc52181789"/>
      <w:bookmarkEnd w:id="6337"/>
      <w:r w:rsidRPr="00A52AB8">
        <w:t>Occupancy synthesis process</w:t>
      </w:r>
      <w:bookmarkEnd w:id="6338"/>
      <w:bookmarkEnd w:id="6339"/>
    </w:p>
    <w:p w14:paraId="23C9CAFD" w14:textId="77777777" w:rsidR="00D25697" w:rsidRPr="00A52AB8" w:rsidRDefault="00D25697" w:rsidP="00EE3D19">
      <w:pPr>
        <w:pStyle w:val="a5"/>
        <w:numPr>
          <w:ilvl w:val="3"/>
          <w:numId w:val="19"/>
        </w:numPr>
        <w:outlineLvl w:val="3"/>
      </w:pPr>
      <w:r w:rsidRPr="00A52AB8">
        <w:t>General</w:t>
      </w:r>
    </w:p>
    <w:p w14:paraId="7F1996A4" w14:textId="5ECFEE05" w:rsidR="0050235C" w:rsidRPr="00A52AB8" w:rsidRDefault="00291502" w:rsidP="005848B5">
      <w:pPr>
        <w:pStyle w:val="ListParagraph"/>
        <w:ind w:leftChars="0" w:left="0"/>
        <w:rPr>
          <w:color w:val="000000" w:themeColor="text1"/>
        </w:rPr>
      </w:pPr>
      <w:r w:rsidRPr="00A52AB8">
        <w:rPr>
          <w:lang w:eastAsia="ja-JP"/>
        </w:rPr>
        <w:t xml:space="preserve">If </w:t>
      </w:r>
      <w:r w:rsidRPr="00A52AB8">
        <w:t>os_method_type[ k ]</w:t>
      </w:r>
      <w:r w:rsidRPr="00A52AB8">
        <w:rPr>
          <w:color w:val="000000" w:themeColor="text1"/>
        </w:rPr>
        <w:t xml:space="preserve"> is equal to 1, </w:t>
      </w:r>
      <w:r w:rsidR="00C76AD0" w:rsidRPr="00A52AB8">
        <w:rPr>
          <w:color w:val="000000" w:themeColor="text1"/>
        </w:rPr>
        <w:t xml:space="preserve">which indicates the patch border filtering method, </w:t>
      </w:r>
      <w:r w:rsidRPr="00A52AB8">
        <w:rPr>
          <w:color w:val="000000" w:themeColor="text1"/>
        </w:rPr>
        <w:t>then subclause </w:t>
      </w:r>
      <w:r w:rsidRPr="00496A4D">
        <w:rPr>
          <w:color w:val="000000" w:themeColor="text1"/>
        </w:rPr>
        <w:fldChar w:fldCharType="begin"/>
      </w:r>
      <w:r w:rsidRPr="00A52AB8">
        <w:rPr>
          <w:color w:val="000000" w:themeColor="text1"/>
        </w:rPr>
        <w:instrText xml:space="preserve"> REF _Ref49344778 \r \h </w:instrText>
      </w:r>
      <w:r w:rsidR="005848B5"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H.10.2.2</w:t>
      </w:r>
      <w:r w:rsidRPr="00496A4D">
        <w:rPr>
          <w:color w:val="000000" w:themeColor="text1"/>
        </w:rPr>
        <w:fldChar w:fldCharType="end"/>
      </w:r>
      <w:r w:rsidR="00D25697" w:rsidRPr="00A52AB8">
        <w:rPr>
          <w:lang w:eastAsia="ja-JP"/>
        </w:rPr>
        <w:t xml:space="preserve"> is invoked </w:t>
      </w:r>
      <w:r w:rsidR="005848B5" w:rsidRPr="00A52AB8">
        <w:rPr>
          <w:color w:val="000000" w:themeColor="text1"/>
        </w:rPr>
        <w:t>with OccFramesNF[ compTimeIdx ][ 0 ] and GeoFramesNF[ 0 ][ compTimeIdx ][ 0 ] as inputs and the modified array OccFramesNF[ compTimeIdx ][ 0 ] as output.</w:t>
      </w:r>
    </w:p>
    <w:p w14:paraId="4AE7B7AA" w14:textId="7C7EF246" w:rsidR="005848B5" w:rsidRPr="00A52AB8" w:rsidRDefault="005848B5" w:rsidP="005848B5">
      <w:pPr>
        <w:pStyle w:val="Note1"/>
        <w:rPr>
          <w:rFonts w:ascii="Cambria" w:hAnsi="Cambria"/>
        </w:rPr>
      </w:pPr>
      <w:r w:rsidRPr="00A52AB8">
        <w:rPr>
          <w:rFonts w:ascii="Cambria" w:hAnsi="Cambria"/>
        </w:rPr>
        <w:t xml:space="preserve">NOTE – If subclause </w:t>
      </w:r>
      <w:r w:rsidRPr="00496A4D">
        <w:rPr>
          <w:rFonts w:ascii="Cambria" w:hAnsi="Cambria"/>
          <w:color w:val="000000" w:themeColor="text1"/>
        </w:rPr>
        <w:fldChar w:fldCharType="begin"/>
      </w:r>
      <w:r w:rsidRPr="00A52AB8">
        <w:rPr>
          <w:rFonts w:ascii="Cambria" w:hAnsi="Cambria"/>
          <w:color w:val="000000" w:themeColor="text1"/>
        </w:rPr>
        <w:instrText xml:space="preserve"> REF _Ref49344778 \r \h </w:instrText>
      </w:r>
      <w:r w:rsidR="00007BE2" w:rsidRPr="00A52AB8">
        <w:rPr>
          <w:rFonts w:ascii="Cambria" w:hAnsi="Cambria"/>
          <w:color w:val="000000" w:themeColor="text1"/>
        </w:rPr>
        <w:instrText xml:space="preserve"> \* MERGEFORMAT </w:instrText>
      </w:r>
      <w:r w:rsidRPr="00496A4D">
        <w:rPr>
          <w:rFonts w:ascii="Cambria" w:hAnsi="Cambria"/>
          <w:color w:val="000000" w:themeColor="text1"/>
        </w:rPr>
      </w:r>
      <w:r w:rsidRPr="00496A4D">
        <w:rPr>
          <w:rFonts w:ascii="Cambria" w:hAnsi="Cambria"/>
          <w:color w:val="000000" w:themeColor="text1"/>
        </w:rPr>
        <w:fldChar w:fldCharType="separate"/>
      </w:r>
      <w:r w:rsidR="00507A67">
        <w:rPr>
          <w:rFonts w:ascii="Cambria" w:hAnsi="Cambria"/>
          <w:color w:val="000000" w:themeColor="text1"/>
        </w:rPr>
        <w:t>H.10.2.2</w:t>
      </w:r>
      <w:r w:rsidRPr="00496A4D">
        <w:rPr>
          <w:rFonts w:ascii="Cambria" w:hAnsi="Cambria"/>
          <w:color w:val="000000" w:themeColor="text1"/>
        </w:rPr>
        <w:fldChar w:fldCharType="end"/>
      </w:r>
      <w:r w:rsidRPr="00A52AB8">
        <w:rPr>
          <w:rFonts w:ascii="Cambria" w:hAnsi="Cambria"/>
          <w:color w:val="000000" w:themeColor="text1"/>
        </w:rPr>
        <w:t xml:space="preserve"> is not invoked, OccFramesNF[ compTimeIdx ][ 0 ] is not modified.</w:t>
      </w:r>
    </w:p>
    <w:p w14:paraId="2202C84C" w14:textId="5C4EC508" w:rsidR="00D25697" w:rsidRPr="00A52AB8" w:rsidRDefault="00D25697" w:rsidP="00EE3D19">
      <w:pPr>
        <w:pStyle w:val="a5"/>
        <w:numPr>
          <w:ilvl w:val="3"/>
          <w:numId w:val="19"/>
        </w:numPr>
        <w:outlineLvl w:val="3"/>
      </w:pPr>
      <w:bookmarkStart w:id="6340" w:name="_Toc50238172"/>
      <w:bookmarkStart w:id="6341" w:name="_Toc50238173"/>
      <w:bookmarkStart w:id="6342" w:name="_Toc50238174"/>
      <w:bookmarkStart w:id="6343" w:name="_Toc50238175"/>
      <w:bookmarkStart w:id="6344" w:name="_Toc50238176"/>
      <w:bookmarkStart w:id="6345" w:name="_Toc50238177"/>
      <w:bookmarkStart w:id="6346" w:name="_Toc50238178"/>
      <w:bookmarkStart w:id="6347" w:name="_Toc50238179"/>
      <w:bookmarkStart w:id="6348" w:name="_Ref49344778"/>
      <w:bookmarkEnd w:id="6340"/>
      <w:bookmarkEnd w:id="6341"/>
      <w:bookmarkEnd w:id="6342"/>
      <w:bookmarkEnd w:id="6343"/>
      <w:bookmarkEnd w:id="6344"/>
      <w:bookmarkEnd w:id="6345"/>
      <w:bookmarkEnd w:id="6346"/>
      <w:bookmarkEnd w:id="6347"/>
      <w:r w:rsidRPr="00A52AB8">
        <w:t>Patch Border Filtering</w:t>
      </w:r>
      <w:bookmarkEnd w:id="6348"/>
      <w:r w:rsidR="00C76AD0" w:rsidRPr="00A52AB8">
        <w:t xml:space="preserve"> (PBF)</w:t>
      </w:r>
    </w:p>
    <w:p w14:paraId="7550A2A8" w14:textId="5BDC815B" w:rsidR="00FE00FF" w:rsidRPr="00A52AB8" w:rsidRDefault="00FE00FF" w:rsidP="00007BE2">
      <w:pPr>
        <w:pStyle w:val="a5"/>
        <w:numPr>
          <w:ilvl w:val="4"/>
          <w:numId w:val="19"/>
        </w:numPr>
      </w:pPr>
      <w:r w:rsidRPr="00A52AB8">
        <w:t>General</w:t>
      </w:r>
    </w:p>
    <w:p w14:paraId="21BD76C2" w14:textId="77777777" w:rsidR="0050235C" w:rsidRPr="00A52AB8" w:rsidRDefault="00291502" w:rsidP="00291502">
      <w:pPr>
        <w:rPr>
          <w:lang w:eastAsia="ja-JP"/>
        </w:rPr>
      </w:pPr>
      <w:r w:rsidRPr="00A52AB8">
        <w:rPr>
          <w:lang w:eastAsia="ja-JP"/>
        </w:rPr>
        <w:t>Inputs to this process are:</w:t>
      </w:r>
    </w:p>
    <w:p w14:paraId="2E025DE1" w14:textId="7AECDAC3" w:rsidR="008B4DD5" w:rsidRPr="00A52AB8" w:rsidRDefault="00547B34" w:rsidP="0029150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variable </w:t>
      </w:r>
      <w:r w:rsidR="008B4DD5" w:rsidRPr="00A52AB8">
        <w:rPr>
          <w:color w:val="000000" w:themeColor="text1"/>
        </w:rPr>
        <w:t xml:space="preserve">k, </w:t>
      </w:r>
      <w:r w:rsidRPr="00A52AB8">
        <w:rPr>
          <w:color w:val="000000" w:themeColor="text1"/>
        </w:rPr>
        <w:t xml:space="preserve">indicating the selected </w:t>
      </w:r>
      <w:r w:rsidR="008B4DD5" w:rsidRPr="00A52AB8">
        <w:rPr>
          <w:color w:val="000000" w:themeColor="text1"/>
        </w:rPr>
        <w:t>occupancy synthesis filter instance,</w:t>
      </w:r>
    </w:p>
    <w:p w14:paraId="709AFA54" w14:textId="6B916425" w:rsidR="00291502" w:rsidRPr="00A52AB8" w:rsidRDefault="00547B34" w:rsidP="0029150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2D array </w:t>
      </w:r>
      <w:r w:rsidR="00291502" w:rsidRPr="00A52AB8">
        <w:rPr>
          <w:color w:val="000000" w:themeColor="text1"/>
        </w:rPr>
        <w:t>oFrame, of size asps_frame_height× asps_frame_width,</w:t>
      </w:r>
      <w:r w:rsidR="005848B5" w:rsidRPr="00A52AB8">
        <w:rPr>
          <w:color w:val="000000" w:themeColor="text1"/>
        </w:rPr>
        <w:t xml:space="preserve"> and</w:t>
      </w:r>
    </w:p>
    <w:p w14:paraId="04825730" w14:textId="43BBE2A4" w:rsidR="00291502" w:rsidRPr="00A52AB8" w:rsidRDefault="00547B34" w:rsidP="0029150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2D array </w:t>
      </w:r>
      <w:r w:rsidR="00291502" w:rsidRPr="00A52AB8">
        <w:rPr>
          <w:color w:val="000000" w:themeColor="text1"/>
        </w:rPr>
        <w:t>gFrame, of size asps_frame_height× asps_frame_width.</w:t>
      </w:r>
    </w:p>
    <w:p w14:paraId="17578ADB" w14:textId="4E8F37FF" w:rsidR="00291502" w:rsidRPr="00A52AB8" w:rsidRDefault="00291502" w:rsidP="00291502">
      <w:pPr>
        <w:rPr>
          <w:rFonts w:eastAsia="Times New Roman"/>
          <w:color w:val="000000"/>
        </w:rPr>
      </w:pPr>
      <w:r w:rsidRPr="00A52AB8">
        <w:rPr>
          <w:rFonts w:eastAsia="Times New Roman"/>
          <w:color w:val="000000"/>
        </w:rPr>
        <w:t xml:space="preserve">Output </w:t>
      </w:r>
      <w:r w:rsidR="005848B5" w:rsidRPr="00A52AB8">
        <w:rPr>
          <w:rFonts w:eastAsia="Times New Roman"/>
          <w:color w:val="000000"/>
        </w:rPr>
        <w:t xml:space="preserve">of </w:t>
      </w:r>
      <w:r w:rsidRPr="00A52AB8">
        <w:rPr>
          <w:rFonts w:eastAsia="Times New Roman"/>
          <w:color w:val="000000"/>
        </w:rPr>
        <w:t xml:space="preserve">this process is </w:t>
      </w:r>
      <w:r w:rsidR="005848B5" w:rsidRPr="00A52AB8">
        <w:rPr>
          <w:rFonts w:eastAsia="Times New Roman"/>
          <w:color w:val="000000"/>
        </w:rPr>
        <w:t xml:space="preserve">the </w:t>
      </w:r>
      <w:r w:rsidRPr="00A52AB8">
        <w:rPr>
          <w:rFonts w:eastAsia="Times New Roman"/>
          <w:color w:val="000000"/>
        </w:rPr>
        <w:t>modified array oFrame.</w:t>
      </w:r>
    </w:p>
    <w:p w14:paraId="1502B33D" w14:textId="77777777" w:rsidR="0050235C" w:rsidRPr="00A52AB8" w:rsidRDefault="00291502" w:rsidP="00291502">
      <w:pPr>
        <w:pStyle w:val="Note1"/>
        <w:rPr>
          <w:rFonts w:ascii="Cambria" w:hAnsi="Cambria"/>
        </w:rPr>
      </w:pPr>
      <w:r w:rsidRPr="00A52AB8">
        <w:rPr>
          <w:rFonts w:ascii="Cambria" w:hAnsi="Cambria"/>
        </w:rPr>
        <w:t xml:space="preserve">NOTE – This process may not be effective when the occupancy video is coded at </w:t>
      </w:r>
      <w:r w:rsidR="005848B5" w:rsidRPr="00A52AB8">
        <w:rPr>
          <w:rFonts w:ascii="Cambria" w:hAnsi="Cambria"/>
        </w:rPr>
        <w:t xml:space="preserve">the </w:t>
      </w:r>
      <w:r w:rsidRPr="00A52AB8">
        <w:rPr>
          <w:rFonts w:ascii="Cambria" w:hAnsi="Cambria"/>
        </w:rPr>
        <w:t>nominal resolution.</w:t>
      </w:r>
    </w:p>
    <w:p w14:paraId="07A0CEF9" w14:textId="7C81A778" w:rsidR="00740C3C" w:rsidRPr="00A52AB8" w:rsidRDefault="005848B5" w:rsidP="00007BE2">
      <w:r w:rsidRPr="00A52AB8">
        <w:t>T</w:t>
      </w:r>
      <w:r w:rsidR="00740C3C" w:rsidRPr="00A52AB8">
        <w:t>he following applies:</w:t>
      </w:r>
    </w:p>
    <w:p w14:paraId="281C99DC" w14:textId="470396F2" w:rsidR="002F773A" w:rsidRPr="00A52AB8" w:rsidRDefault="002F773A"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after="120" w:line="240" w:lineRule="auto"/>
        <w:ind w:leftChars="0" w:left="806" w:hanging="403"/>
        <w:textAlignment w:val="baseline"/>
        <w:rPr>
          <w:color w:val="000000" w:themeColor="text1"/>
        </w:rPr>
      </w:pPr>
      <w:r w:rsidRPr="00A52AB8">
        <w:rPr>
          <w:color w:val="000000" w:themeColor="text1"/>
        </w:rPr>
        <w:t>Let the variable boxExtension be set to 8</w:t>
      </w:r>
      <w:r w:rsidR="0073197B" w:rsidRPr="00A52AB8">
        <w:rPr>
          <w:color w:val="000000" w:themeColor="text1"/>
        </w:rPr>
        <w:t>.</w:t>
      </w:r>
    </w:p>
    <w:p w14:paraId="5717E993" w14:textId="7C3C15C8" w:rsidR="00171800" w:rsidRPr="00A52AB8" w:rsidRDefault="00171800"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after="120" w:line="240" w:lineRule="auto"/>
        <w:ind w:leftChars="0" w:left="806" w:hanging="403"/>
        <w:textAlignment w:val="baseline"/>
        <w:rPr>
          <w:color w:val="000000" w:themeColor="text1"/>
        </w:rPr>
      </w:pPr>
      <w:r w:rsidRPr="00A52AB8">
        <w:rPr>
          <w:color w:val="000000" w:themeColor="text1"/>
        </w:rPr>
        <w:t>If asps_eom_patch_enabled_flag is equal to 1, the array oFrame is returned without modification.</w:t>
      </w:r>
    </w:p>
    <w:p w14:paraId="1983CF87" w14:textId="77875100" w:rsidR="00D25697" w:rsidRPr="00A52AB8" w:rsidRDefault="00171800"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Otherwise ( asps_eom_patch_enabled_flag is equal to 0 ), t</w:t>
      </w:r>
      <w:r w:rsidR="00D25697" w:rsidRPr="00A52AB8">
        <w:rPr>
          <w:color w:val="000000" w:themeColor="text1"/>
        </w:rPr>
        <w:t xml:space="preserve">he </w:t>
      </w:r>
      <w:r w:rsidR="005848B5" w:rsidRPr="00A52AB8">
        <w:rPr>
          <w:color w:val="000000" w:themeColor="text1"/>
        </w:rPr>
        <w:t>following process is performed</w:t>
      </w:r>
      <w:r w:rsidR="00D25697" w:rsidRPr="00A52AB8">
        <w:rPr>
          <w:color w:val="000000" w:themeColor="text1"/>
        </w:rPr>
        <w:t>:</w:t>
      </w:r>
    </w:p>
    <w:p w14:paraId="617CA541" w14:textId="0BDEF562" w:rsidR="00903D80" w:rsidRPr="00A52AB8" w:rsidRDefault="00DB1D10"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First</w:t>
      </w:r>
      <w:r w:rsidR="00903D80" w:rsidRPr="00A52AB8">
        <w:rPr>
          <w:color w:val="000000" w:themeColor="text1"/>
        </w:rPr>
        <w:t>, the following arrays are defined:</w:t>
      </w:r>
    </w:p>
    <w:p w14:paraId="14F04BA9" w14:textId="3C6207EA" w:rsidR="00903D80" w:rsidRPr="00A52AB8" w:rsidRDefault="00903D80"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1" w:hanging="403"/>
        <w:textAlignment w:val="baseline"/>
        <w:rPr>
          <w:color w:val="000000" w:themeColor="text1"/>
        </w:rPr>
      </w:pPr>
      <w:r w:rsidRPr="00A52AB8">
        <w:rPr>
          <w:color w:val="000000" w:themeColor="text1"/>
        </w:rPr>
        <w:tab/>
        <w:t xml:space="preserve">borderPointCnt, a </w:t>
      </w:r>
      <w:r w:rsidR="007A02CD" w:rsidRPr="00A52AB8">
        <w:rPr>
          <w:color w:val="000000" w:themeColor="text1"/>
        </w:rPr>
        <w:t>1D array of size Atlas</w:t>
      </w:r>
      <w:r w:rsidR="00D12C68" w:rsidRPr="00A52AB8">
        <w:rPr>
          <w:color w:val="000000" w:themeColor="text1"/>
        </w:rPr>
        <w:t>TotalNum</w:t>
      </w:r>
      <w:r w:rsidR="007A02CD" w:rsidRPr="00A52AB8">
        <w:rPr>
          <w:color w:val="000000" w:themeColor="text1"/>
        </w:rPr>
        <w:t>Patches</w:t>
      </w:r>
      <w:r w:rsidRPr="00A52AB8">
        <w:rPr>
          <w:color w:val="000000" w:themeColor="text1"/>
        </w:rPr>
        <w:t>,</w:t>
      </w:r>
    </w:p>
    <w:p w14:paraId="76C0E010" w14:textId="39EEB58A" w:rsidR="007A02CD" w:rsidRPr="00A52AB8" w:rsidRDefault="00903D80">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1" w:hanging="403"/>
        <w:textAlignment w:val="baseline"/>
        <w:rPr>
          <w:color w:val="000000" w:themeColor="text1"/>
        </w:rPr>
      </w:pPr>
      <w:r w:rsidRPr="00A52AB8">
        <w:rPr>
          <w:color w:val="000000" w:themeColor="text1"/>
        </w:rPr>
        <w:tab/>
      </w:r>
      <w:r w:rsidR="007A02CD" w:rsidRPr="00A52AB8">
        <w:rPr>
          <w:color w:val="000000" w:themeColor="text1"/>
        </w:rPr>
        <w:t>neighPatchCnt</w:t>
      </w:r>
      <w:r w:rsidRPr="00A52AB8">
        <w:rPr>
          <w:color w:val="000000" w:themeColor="text1"/>
        </w:rPr>
        <w:t>, a 1D array of size Atlas</w:t>
      </w:r>
      <w:r w:rsidR="00D12C68" w:rsidRPr="00A52AB8">
        <w:rPr>
          <w:color w:val="000000" w:themeColor="text1"/>
        </w:rPr>
        <w:t>TotalNum</w:t>
      </w:r>
      <w:r w:rsidRPr="00A52AB8">
        <w:rPr>
          <w:color w:val="000000" w:themeColor="text1"/>
        </w:rPr>
        <w:t>Patches,</w:t>
      </w:r>
    </w:p>
    <w:p w14:paraId="09D87173" w14:textId="594B8AE2" w:rsidR="00CC31C6" w:rsidRPr="00A52AB8" w:rsidRDefault="007E0A41">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1" w:hanging="403"/>
        <w:textAlignment w:val="baseline"/>
        <w:rPr>
          <w:color w:val="000000" w:themeColor="text1"/>
        </w:rPr>
      </w:pPr>
      <w:r w:rsidRPr="00A52AB8">
        <w:rPr>
          <w:color w:val="000000" w:themeColor="text1"/>
        </w:rPr>
        <w:t>neighbouringPatches, a 2D array of size Atlas</w:t>
      </w:r>
      <w:r w:rsidR="00D12C68" w:rsidRPr="00A52AB8">
        <w:rPr>
          <w:color w:val="000000" w:themeColor="text1"/>
        </w:rPr>
        <w:t>TotalNum</w:t>
      </w:r>
      <w:r w:rsidRPr="00A52AB8">
        <w:rPr>
          <w:color w:val="000000" w:themeColor="text1"/>
        </w:rPr>
        <w:t>Patches × Atlas</w:t>
      </w:r>
      <w:r w:rsidR="00D12C68" w:rsidRPr="00A52AB8">
        <w:rPr>
          <w:color w:val="000000" w:themeColor="text1"/>
        </w:rPr>
        <w:t>TotalNum</w:t>
      </w:r>
      <w:r w:rsidRPr="00A52AB8">
        <w:rPr>
          <w:color w:val="000000" w:themeColor="text1"/>
        </w:rPr>
        <w:t>Patches</w:t>
      </w:r>
      <w:r w:rsidR="008305FF" w:rsidRPr="00A52AB8">
        <w:rPr>
          <w:color w:val="000000" w:themeColor="text1"/>
        </w:rPr>
        <w:t>,</w:t>
      </w:r>
    </w:p>
    <w:p w14:paraId="6DD1D5CE" w14:textId="00898550" w:rsidR="00C448D6" w:rsidRPr="00A52AB8" w:rsidRDefault="00C448D6" w:rsidP="00C448D6">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1" w:hanging="403"/>
        <w:textAlignment w:val="baseline"/>
        <w:rPr>
          <w:color w:val="000000" w:themeColor="text1"/>
        </w:rPr>
      </w:pPr>
      <w:r w:rsidRPr="00A52AB8">
        <w:rPr>
          <w:color w:val="000000" w:themeColor="text1"/>
        </w:rPr>
        <w:t>borderPoints, a 3D array of size Atlas</w:t>
      </w:r>
      <w:r w:rsidR="00D12C68" w:rsidRPr="00A52AB8">
        <w:rPr>
          <w:color w:val="000000" w:themeColor="text1"/>
        </w:rPr>
        <w:t>TotalNum</w:t>
      </w:r>
      <w:r w:rsidRPr="00A52AB8">
        <w:rPr>
          <w:color w:val="000000" w:themeColor="text1"/>
        </w:rPr>
        <w:t>Patches × </w:t>
      </w:r>
      <w:r w:rsidR="00234369" w:rsidRPr="00A52AB8">
        <w:rPr>
          <w:color w:val="000000" w:themeColor="text1"/>
        </w:rPr>
        <w:t>AspsFrameSize</w:t>
      </w:r>
      <w:r w:rsidRPr="00A52AB8">
        <w:rPr>
          <w:color w:val="000000" w:themeColor="text1"/>
        </w:rPr>
        <w:t> × 3</w:t>
      </w:r>
      <w:r w:rsidR="001B0675" w:rsidRPr="00A52AB8">
        <w:rPr>
          <w:color w:val="000000" w:themeColor="text1"/>
        </w:rPr>
        <w:t>,</w:t>
      </w:r>
    </w:p>
    <w:p w14:paraId="5FBF6FDE" w14:textId="4BC2B145" w:rsidR="00CC31C6" w:rsidRPr="00A52AB8" w:rsidRDefault="00CC31C6">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1" w:hanging="403"/>
        <w:textAlignment w:val="baseline"/>
        <w:rPr>
          <w:color w:val="000000" w:themeColor="text1"/>
        </w:rPr>
      </w:pPr>
      <w:r w:rsidRPr="00A52AB8">
        <w:rPr>
          <w:color w:val="000000" w:themeColor="text1"/>
        </w:rPr>
        <w:t xml:space="preserve">bBox, a 3D array </w:t>
      </w:r>
      <w:r w:rsidR="001B0675" w:rsidRPr="00A52AB8">
        <w:rPr>
          <w:color w:val="000000" w:themeColor="text1"/>
        </w:rPr>
        <w:t xml:space="preserve">of size </w:t>
      </w:r>
      <w:r w:rsidRPr="00A52AB8">
        <w:rPr>
          <w:color w:val="000000" w:themeColor="text1"/>
        </w:rPr>
        <w:t>Atlas</w:t>
      </w:r>
      <w:r w:rsidR="00D12C68" w:rsidRPr="00A52AB8">
        <w:rPr>
          <w:color w:val="000000" w:themeColor="text1"/>
        </w:rPr>
        <w:t>TotalNum</w:t>
      </w:r>
      <w:r w:rsidRPr="00A52AB8">
        <w:rPr>
          <w:color w:val="000000" w:themeColor="text1"/>
        </w:rPr>
        <w:t>Patches</w:t>
      </w:r>
      <w:r w:rsidR="001B0675" w:rsidRPr="00A52AB8">
        <w:rPr>
          <w:color w:val="000000" w:themeColor="text1"/>
        </w:rPr>
        <w:t> × 2 × 3,</w:t>
      </w:r>
      <w:r w:rsidR="00322644" w:rsidRPr="00A52AB8">
        <w:rPr>
          <w:color w:val="000000" w:themeColor="text1"/>
        </w:rPr>
        <w:t xml:space="preserve"> </w:t>
      </w:r>
      <w:r w:rsidR="00322644" w:rsidRPr="00A52AB8">
        <w:t>and</w:t>
      </w:r>
    </w:p>
    <w:p w14:paraId="353F8248" w14:textId="1BAFFB7E" w:rsidR="00F62FF6" w:rsidRPr="00A52AB8" w:rsidRDefault="00F62FF6">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1" w:hanging="403"/>
        <w:textAlignment w:val="baseline"/>
        <w:rPr>
          <w:color w:val="000000" w:themeColor="text1"/>
        </w:rPr>
      </w:pPr>
      <w:r w:rsidRPr="00A52AB8">
        <w:t xml:space="preserve">neighbourDepth, a </w:t>
      </w:r>
      <w:r w:rsidR="00013D9F" w:rsidRPr="00A52AB8">
        <w:t>2</w:t>
      </w:r>
      <w:r w:rsidRPr="00A52AB8">
        <w:t xml:space="preserve">D array of size </w:t>
      </w:r>
      <w:r w:rsidRPr="00A52AB8">
        <w:rPr>
          <w:color w:val="000000" w:themeColor="text1"/>
        </w:rPr>
        <w:t>asps_frame_height × asps_frame_width</w:t>
      </w:r>
      <w:r w:rsidR="00322644" w:rsidRPr="00A52AB8">
        <w:t>.</w:t>
      </w:r>
    </w:p>
    <w:p w14:paraId="32C8B86B" w14:textId="3EDF21E4" w:rsidR="00322644" w:rsidRPr="00A52AB8" w:rsidRDefault="00322644" w:rsidP="00007BE2">
      <w:pPr>
        <w:pStyle w:val="Note1"/>
        <w:ind w:left="1208"/>
        <w:rPr>
          <w:rFonts w:ascii="Cambria" w:hAnsi="Cambria"/>
        </w:rPr>
      </w:pPr>
      <w:r w:rsidRPr="00A52AB8">
        <w:rPr>
          <w:rFonts w:ascii="Cambria" w:hAnsi="Cambria"/>
        </w:rPr>
        <w:t xml:space="preserve">NOTE – The allocated sizes of </w:t>
      </w:r>
      <w:r w:rsidRPr="00A52AB8">
        <w:rPr>
          <w:rFonts w:ascii="Cambria" w:hAnsi="Cambria"/>
          <w:color w:val="000000" w:themeColor="text1"/>
        </w:rPr>
        <w:t>neighbouringPatches</w:t>
      </w:r>
      <w:r w:rsidRPr="00A52AB8">
        <w:rPr>
          <w:rFonts w:ascii="Cambria" w:hAnsi="Cambria"/>
        </w:rPr>
        <w:t xml:space="preserve"> and borderPoints use the maximum possible values according to this document. Different, more efficient implementations may be used.</w:t>
      </w:r>
    </w:p>
    <w:p w14:paraId="70BD2A82" w14:textId="091D35AA" w:rsidR="00D25697" w:rsidRPr="00A52AB8" w:rsidRDefault="00D2569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For pIdx</w:t>
      </w:r>
      <w:r w:rsidR="00D47707" w:rsidRPr="00A52AB8">
        <w:rPr>
          <w:color w:val="000000" w:themeColor="text1"/>
        </w:rPr>
        <w:t> = </w:t>
      </w:r>
      <w:r w:rsidRPr="00A52AB8">
        <w:rPr>
          <w:color w:val="000000" w:themeColor="text1"/>
        </w:rPr>
        <w:t>0 .. Atlas</w:t>
      </w:r>
      <w:r w:rsidR="00D12C68" w:rsidRPr="00A52AB8">
        <w:rPr>
          <w:color w:val="000000" w:themeColor="text1"/>
        </w:rPr>
        <w:t>TotalNum</w:t>
      </w:r>
      <w:r w:rsidRPr="00A52AB8">
        <w:rPr>
          <w:color w:val="000000" w:themeColor="text1"/>
        </w:rPr>
        <w:t>Patches </w:t>
      </w:r>
      <w:r w:rsidR="00FB0E89" w:rsidRPr="00A52AB8">
        <w:rPr>
          <w:color w:val="000000" w:themeColor="text1"/>
        </w:rPr>
        <w:t>− </w:t>
      </w:r>
      <w:r w:rsidRPr="00A52AB8">
        <w:rPr>
          <w:color w:val="000000" w:themeColor="text1"/>
        </w:rPr>
        <w:t>1, the following applies:</w:t>
      </w:r>
    </w:p>
    <w:p w14:paraId="530660B4" w14:textId="74E7EB27" w:rsidR="00D25697" w:rsidRPr="00A52AB8" w:rsidRDefault="0045549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1" w:hanging="403"/>
        <w:textAlignment w:val="baseline"/>
        <w:rPr>
          <w:color w:val="000000" w:themeColor="text1"/>
        </w:rPr>
      </w:pPr>
      <w:r w:rsidRPr="00A52AB8">
        <w:rPr>
          <w:color w:val="000000" w:themeColor="text1"/>
        </w:rPr>
        <w:t>subclause </w:t>
      </w:r>
      <w:r w:rsidRPr="00496A4D">
        <w:rPr>
          <w:color w:val="000000" w:themeColor="text1"/>
        </w:rPr>
        <w:fldChar w:fldCharType="begin"/>
      </w:r>
      <w:r w:rsidRPr="00A52AB8">
        <w:rPr>
          <w:color w:val="000000" w:themeColor="text1"/>
        </w:rPr>
        <w:instrText xml:space="preserve"> REF _Ref50113919 \n \h </w:instrText>
      </w:r>
      <w:r w:rsidR="00007BE2"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H.10.2.2.2</w:t>
      </w:r>
      <w:r w:rsidRPr="00496A4D">
        <w:rPr>
          <w:color w:val="000000" w:themeColor="text1"/>
        </w:rPr>
        <w:fldChar w:fldCharType="end"/>
      </w:r>
      <w:r w:rsidRPr="00A52AB8">
        <w:rPr>
          <w:color w:val="000000" w:themeColor="text1"/>
        </w:rPr>
        <w:t xml:space="preserve"> is invoked with pIdx, oFrame, and gFrame, as inputs, and </w:t>
      </w:r>
      <w:r w:rsidR="00F475AD" w:rsidRPr="00A52AB8">
        <w:rPr>
          <w:color w:val="000000" w:themeColor="text1"/>
        </w:rPr>
        <w:t xml:space="preserve">borderPointCnt[ pIdx ], borderPoints[ pIdx ], and bBox[ pIdx ] </w:t>
      </w:r>
      <w:r w:rsidRPr="00A52AB8">
        <w:rPr>
          <w:color w:val="000000" w:themeColor="text1"/>
        </w:rPr>
        <w:t>as outputs</w:t>
      </w:r>
      <w:r w:rsidR="00C448D6" w:rsidRPr="00A52AB8">
        <w:rPr>
          <w:color w:val="000000" w:themeColor="text1"/>
        </w:rPr>
        <w:t>.</w:t>
      </w:r>
    </w:p>
    <w:p w14:paraId="36B8C091" w14:textId="40A080F7" w:rsidR="00D25697" w:rsidRPr="00A52AB8" w:rsidRDefault="00D25697" w:rsidP="008D14A1">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67" w:hanging="403"/>
        <w:textAlignment w:val="baseline"/>
        <w:rPr>
          <w:color w:val="000000" w:themeColor="text1"/>
        </w:rPr>
      </w:pPr>
      <w:r w:rsidRPr="00A52AB8">
        <w:rPr>
          <w:color w:val="000000" w:themeColor="text1"/>
        </w:rPr>
        <w:t>For pIdx</w:t>
      </w:r>
      <w:r w:rsidR="00D47707" w:rsidRPr="00A52AB8">
        <w:rPr>
          <w:color w:val="000000" w:themeColor="text1"/>
        </w:rPr>
        <w:t> = </w:t>
      </w:r>
      <w:r w:rsidRPr="00A52AB8">
        <w:rPr>
          <w:color w:val="000000" w:themeColor="text1"/>
        </w:rPr>
        <w:t>0 .. Atlas</w:t>
      </w:r>
      <w:r w:rsidR="00D12C68" w:rsidRPr="00A52AB8">
        <w:rPr>
          <w:color w:val="000000" w:themeColor="text1"/>
        </w:rPr>
        <w:t>TotalNum</w:t>
      </w:r>
      <w:r w:rsidRPr="00A52AB8">
        <w:rPr>
          <w:color w:val="000000" w:themeColor="text1"/>
        </w:rPr>
        <w:t>Patches − 1, the following applies:</w:t>
      </w:r>
    </w:p>
    <w:p w14:paraId="5E9C048B" w14:textId="10BA55F4" w:rsidR="008D14A1" w:rsidRPr="00A52AB8" w:rsidRDefault="008D14A1"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1" w:hanging="403"/>
        <w:textAlignment w:val="baseline"/>
        <w:rPr>
          <w:color w:val="000000" w:themeColor="text1"/>
        </w:rPr>
      </w:pPr>
      <w:r w:rsidRPr="00A52AB8">
        <w:rPr>
          <w:color w:val="000000" w:themeColor="text1"/>
        </w:rPr>
        <w:t>subclause </w:t>
      </w:r>
      <w:r w:rsidRPr="00496A4D">
        <w:rPr>
          <w:color w:val="000000" w:themeColor="text1"/>
        </w:rPr>
        <w:fldChar w:fldCharType="begin"/>
      </w:r>
      <w:r w:rsidRPr="00A52AB8">
        <w:rPr>
          <w:color w:val="000000" w:themeColor="text1"/>
        </w:rPr>
        <w:instrText xml:space="preserve"> REF _Ref50115406 \n \h </w:instrText>
      </w:r>
      <w:r w:rsidR="00007BE2"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H.10.2.2.3</w:t>
      </w:r>
      <w:r w:rsidRPr="00496A4D">
        <w:rPr>
          <w:color w:val="000000" w:themeColor="text1"/>
        </w:rPr>
        <w:fldChar w:fldCharType="end"/>
      </w:r>
      <w:r w:rsidRPr="00A52AB8">
        <w:rPr>
          <w:color w:val="000000" w:themeColor="text1"/>
        </w:rPr>
        <w:t xml:space="preserve"> is invoked with </w:t>
      </w:r>
      <w:r w:rsidR="004B2258" w:rsidRPr="00A52AB8">
        <w:rPr>
          <w:color w:val="000000" w:themeColor="text1"/>
        </w:rPr>
        <w:t>pIdx and bBox</w:t>
      </w:r>
      <w:r w:rsidR="001B0675" w:rsidRPr="00A52AB8">
        <w:rPr>
          <w:color w:val="000000" w:themeColor="text1"/>
        </w:rPr>
        <w:t xml:space="preserve"> </w:t>
      </w:r>
      <w:r w:rsidRPr="00A52AB8">
        <w:rPr>
          <w:color w:val="000000" w:themeColor="text1"/>
        </w:rPr>
        <w:t>as inputs, and neighPatchCnt[ pIdx ] and neighbouringPatches[ pIdx ] as outputs.</w:t>
      </w:r>
    </w:p>
    <w:p w14:paraId="01362859" w14:textId="6C7B54A6" w:rsidR="00F62FF6" w:rsidRPr="00A52AB8" w:rsidRDefault="00F62FF6" w:rsidP="00F62FF6">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67" w:hanging="403"/>
        <w:textAlignment w:val="baseline"/>
        <w:rPr>
          <w:color w:val="000000" w:themeColor="text1"/>
        </w:rPr>
      </w:pPr>
      <w:r w:rsidRPr="00A52AB8">
        <w:rPr>
          <w:color w:val="000000" w:themeColor="text1"/>
        </w:rPr>
        <w:t>subclause </w:t>
      </w:r>
      <w:r w:rsidR="00013D9F" w:rsidRPr="00496A4D">
        <w:rPr>
          <w:color w:val="000000" w:themeColor="text1"/>
        </w:rPr>
        <w:fldChar w:fldCharType="begin"/>
      </w:r>
      <w:r w:rsidR="00013D9F" w:rsidRPr="00A52AB8">
        <w:rPr>
          <w:color w:val="000000" w:themeColor="text1"/>
        </w:rPr>
        <w:instrText xml:space="preserve"> REF _Ref50215769 \r \h </w:instrText>
      </w:r>
      <w:r w:rsidR="00007BE2" w:rsidRPr="00A52AB8">
        <w:rPr>
          <w:color w:val="000000" w:themeColor="text1"/>
        </w:rPr>
        <w:instrText xml:space="preserve"> \* MERGEFORMAT </w:instrText>
      </w:r>
      <w:r w:rsidR="00013D9F" w:rsidRPr="00496A4D">
        <w:rPr>
          <w:color w:val="000000" w:themeColor="text1"/>
        </w:rPr>
      </w:r>
      <w:r w:rsidR="00013D9F" w:rsidRPr="00496A4D">
        <w:rPr>
          <w:color w:val="000000" w:themeColor="text1"/>
        </w:rPr>
        <w:fldChar w:fldCharType="separate"/>
      </w:r>
      <w:r w:rsidR="00507A67">
        <w:rPr>
          <w:color w:val="000000" w:themeColor="text1"/>
        </w:rPr>
        <w:t>H.10.2.2.4</w:t>
      </w:r>
      <w:r w:rsidR="00013D9F" w:rsidRPr="00496A4D">
        <w:rPr>
          <w:color w:val="000000" w:themeColor="text1"/>
        </w:rPr>
        <w:fldChar w:fldCharType="end"/>
      </w:r>
      <w:r w:rsidRPr="00A52AB8">
        <w:rPr>
          <w:color w:val="000000" w:themeColor="text1"/>
        </w:rPr>
        <w:t xml:space="preserve"> is invoked with</w:t>
      </w:r>
      <w:r w:rsidR="004B2258" w:rsidRPr="00A52AB8">
        <w:rPr>
          <w:color w:val="000000" w:themeColor="text1"/>
        </w:rPr>
        <w:t xml:space="preserve"> </w:t>
      </w:r>
      <w:r w:rsidR="0073197B" w:rsidRPr="00A52AB8">
        <w:rPr>
          <w:color w:val="000000" w:themeColor="text1"/>
        </w:rPr>
        <w:t xml:space="preserve">variables </w:t>
      </w:r>
      <w:r w:rsidR="008307CF" w:rsidRPr="00A52AB8">
        <w:rPr>
          <w:rFonts w:eastAsia="Times New Roman"/>
          <w:bCs/>
          <w:color w:val="000000"/>
        </w:rPr>
        <w:t xml:space="preserve">PbfThreshold[ k ], </w:t>
      </w:r>
      <w:r w:rsidR="0073197B" w:rsidRPr="00A52AB8">
        <w:rPr>
          <w:rFonts w:eastAsia="Times New Roman"/>
          <w:bCs/>
          <w:color w:val="000000"/>
        </w:rPr>
        <w:t xml:space="preserve">boxExtension, and </w:t>
      </w:r>
      <w:r w:rsidR="004B2258" w:rsidRPr="00A52AB8">
        <w:rPr>
          <w:color w:val="000000" w:themeColor="text1"/>
        </w:rPr>
        <w:t xml:space="preserve">borderPointCnt, </w:t>
      </w:r>
      <w:r w:rsidR="0073197B" w:rsidRPr="00A52AB8">
        <w:rPr>
          <w:color w:val="000000" w:themeColor="text1"/>
        </w:rPr>
        <w:t xml:space="preserve">and arrays </w:t>
      </w:r>
      <w:r w:rsidR="004B2258" w:rsidRPr="00A52AB8">
        <w:rPr>
          <w:color w:val="000000" w:themeColor="text1"/>
        </w:rPr>
        <w:t>borderPoints, bBox, neighPatchCnt, and neighbouringPatches</w:t>
      </w:r>
      <w:r w:rsidRPr="00A52AB8">
        <w:rPr>
          <w:color w:val="000000" w:themeColor="text1"/>
        </w:rPr>
        <w:t xml:space="preserve">, as inputs, and </w:t>
      </w:r>
      <w:r w:rsidR="0073197B" w:rsidRPr="00A52AB8">
        <w:rPr>
          <w:color w:val="000000" w:themeColor="text1"/>
        </w:rPr>
        <w:t xml:space="preserve">the array </w:t>
      </w:r>
      <w:r w:rsidR="001B0675" w:rsidRPr="00A52AB8">
        <w:t>neighbourDepth</w:t>
      </w:r>
      <w:r w:rsidRPr="00A52AB8">
        <w:rPr>
          <w:color w:val="000000" w:themeColor="text1"/>
        </w:rPr>
        <w:t xml:space="preserve"> as output</w:t>
      </w:r>
      <w:r w:rsidR="001B0675" w:rsidRPr="00A52AB8">
        <w:rPr>
          <w:color w:val="000000" w:themeColor="text1"/>
        </w:rPr>
        <w:t>.</w:t>
      </w:r>
    </w:p>
    <w:p w14:paraId="39EDA8C4" w14:textId="798C088B" w:rsidR="0050235C" w:rsidRPr="00A52AB8" w:rsidRDefault="00BC749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67" w:hanging="403"/>
        <w:textAlignment w:val="baseline"/>
      </w:pPr>
      <w:r w:rsidRPr="00A52AB8">
        <w:t xml:space="preserve">subclause </w:t>
      </w:r>
      <w:r w:rsidR="00776DC9" w:rsidRPr="00496A4D">
        <w:fldChar w:fldCharType="begin"/>
      </w:r>
      <w:r w:rsidR="00776DC9" w:rsidRPr="00A52AB8">
        <w:instrText xml:space="preserve"> REF _Ref50237652 \r \h </w:instrText>
      </w:r>
      <w:r w:rsidR="00007BE2" w:rsidRPr="00A52AB8">
        <w:instrText xml:space="preserve"> \* MERGEFORMAT </w:instrText>
      </w:r>
      <w:r w:rsidR="00776DC9" w:rsidRPr="00496A4D">
        <w:fldChar w:fldCharType="separate"/>
      </w:r>
      <w:r w:rsidR="00507A67">
        <w:t>H.10.2.2.5</w:t>
      </w:r>
      <w:r w:rsidR="00776DC9" w:rsidRPr="00496A4D">
        <w:fldChar w:fldCharType="end"/>
      </w:r>
      <w:r w:rsidR="00776DC9" w:rsidRPr="00A52AB8">
        <w:t xml:space="preserve"> is </w:t>
      </w:r>
      <w:r w:rsidRPr="00A52AB8">
        <w:t xml:space="preserve">invoked with </w:t>
      </w:r>
      <w:r w:rsidR="0073197B" w:rsidRPr="00A52AB8">
        <w:t xml:space="preserve">variables </w:t>
      </w:r>
      <w:r w:rsidR="008307CF" w:rsidRPr="00A52AB8">
        <w:rPr>
          <w:rFonts w:eastAsia="Times New Roman"/>
          <w:bCs/>
          <w:color w:val="000000"/>
        </w:rPr>
        <w:t xml:space="preserve">PbfPasses[ k ], </w:t>
      </w:r>
      <w:r w:rsidR="008B4DD5" w:rsidRPr="00A52AB8">
        <w:rPr>
          <w:rFonts w:eastAsia="Times New Roman"/>
          <w:bCs/>
          <w:color w:val="000000"/>
        </w:rPr>
        <w:t>PbfSizeX[ k ],</w:t>
      </w:r>
      <w:r w:rsidR="002971CD" w:rsidRPr="00A52AB8">
        <w:rPr>
          <w:rFonts w:eastAsia="Times New Roman"/>
          <w:bCs/>
          <w:color w:val="000000"/>
        </w:rPr>
        <w:t xml:space="preserve"> and</w:t>
      </w:r>
      <w:r w:rsidR="008B4DD5" w:rsidRPr="00A52AB8">
        <w:rPr>
          <w:rFonts w:eastAsia="Times New Roman"/>
          <w:bCs/>
          <w:color w:val="000000"/>
        </w:rPr>
        <w:t xml:space="preserve"> PbfSizeY[ k ], </w:t>
      </w:r>
      <w:r w:rsidR="002971CD" w:rsidRPr="00A52AB8">
        <w:rPr>
          <w:rFonts w:eastAsia="Times New Roman"/>
          <w:bCs/>
          <w:color w:val="000000"/>
        </w:rPr>
        <w:t xml:space="preserve">and arrays </w:t>
      </w:r>
      <w:r w:rsidRPr="00A52AB8">
        <w:rPr>
          <w:color w:val="000000" w:themeColor="text1"/>
        </w:rPr>
        <w:t xml:space="preserve">oFrame, gFrame, and neighbourDepth as inputs, and </w:t>
      </w:r>
      <w:r w:rsidRPr="00A52AB8">
        <w:t xml:space="preserve">the modified </w:t>
      </w:r>
      <w:r w:rsidR="002971CD" w:rsidRPr="00A52AB8">
        <w:t xml:space="preserve">array </w:t>
      </w:r>
      <w:r w:rsidRPr="00A52AB8">
        <w:t>oFrame as output.</w:t>
      </w:r>
    </w:p>
    <w:p w14:paraId="239E2F81" w14:textId="23A2DC64" w:rsidR="008305FF" w:rsidRPr="00A52AB8" w:rsidRDefault="008305FF" w:rsidP="00007BE2">
      <w:pPr>
        <w:pStyle w:val="a5"/>
        <w:numPr>
          <w:ilvl w:val="4"/>
          <w:numId w:val="19"/>
        </w:numPr>
      </w:pPr>
      <w:bookmarkStart w:id="6349" w:name="_Ref50113919"/>
      <w:r w:rsidRPr="00A52AB8">
        <w:t>Bounding box and border point determination</w:t>
      </w:r>
      <w:bookmarkEnd w:id="6349"/>
    </w:p>
    <w:p w14:paraId="111CF59D" w14:textId="77777777" w:rsidR="00446592" w:rsidRPr="00A52AB8" w:rsidRDefault="00446592" w:rsidP="00446592">
      <w:pPr>
        <w:rPr>
          <w:rFonts w:eastAsia="Times New Roman"/>
          <w:color w:val="000000"/>
        </w:rPr>
      </w:pPr>
      <w:r w:rsidRPr="00A52AB8">
        <w:rPr>
          <w:lang w:eastAsia="ja-JP"/>
        </w:rPr>
        <w:t>Inputs to this process are:</w:t>
      </w:r>
    </w:p>
    <w:p w14:paraId="07B286B4" w14:textId="19F28985" w:rsidR="0050235C" w:rsidRPr="00A52AB8" w:rsidRDefault="00547B34" w:rsidP="0044659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variable </w:t>
      </w:r>
      <w:r w:rsidR="00446592" w:rsidRPr="00A52AB8">
        <w:rPr>
          <w:color w:val="000000" w:themeColor="text1"/>
        </w:rPr>
        <w:t>pIdx, indicating the patch index,</w:t>
      </w:r>
    </w:p>
    <w:p w14:paraId="1F07379E" w14:textId="089261ED" w:rsidR="00446592" w:rsidRPr="00A52AB8" w:rsidRDefault="00547B34" w:rsidP="0044659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2D array </w:t>
      </w:r>
      <w:r w:rsidR="00446592" w:rsidRPr="00A52AB8">
        <w:rPr>
          <w:color w:val="000000" w:themeColor="text1"/>
        </w:rPr>
        <w:t>oFrame, of size asps_frame_height × asps_frame_width, corresponding to the occupancy frame in the nominal format, and</w:t>
      </w:r>
    </w:p>
    <w:p w14:paraId="72ED747C" w14:textId="72C373D2" w:rsidR="00446592" w:rsidRPr="00A52AB8" w:rsidRDefault="00547B34" w:rsidP="0044659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2D array </w:t>
      </w:r>
      <w:r w:rsidR="00446592" w:rsidRPr="00A52AB8">
        <w:rPr>
          <w:color w:val="000000" w:themeColor="text1"/>
        </w:rPr>
        <w:t>gFrame, of size asps_frame_height × asps_frame_width, corresponding to the geometry frame in the nominal format.</w:t>
      </w:r>
    </w:p>
    <w:p w14:paraId="18DB2B58" w14:textId="154302A9" w:rsidR="008305FF" w:rsidRPr="00A52AB8" w:rsidRDefault="00446592" w:rsidP="008305FF">
      <w:pPr>
        <w:rPr>
          <w:lang w:eastAsia="ja-JP"/>
        </w:rPr>
      </w:pPr>
      <w:r w:rsidRPr="00A52AB8">
        <w:rPr>
          <w:lang w:eastAsia="ja-JP"/>
        </w:rPr>
        <w:t>Outputs of this process are:</w:t>
      </w:r>
    </w:p>
    <w:p w14:paraId="46D90716" w14:textId="48487863" w:rsidR="00446592" w:rsidRPr="00A52AB8" w:rsidRDefault="00547B34"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variable </w:t>
      </w:r>
      <w:r w:rsidR="00446592" w:rsidRPr="00A52AB8">
        <w:rPr>
          <w:color w:val="000000" w:themeColor="text1"/>
        </w:rPr>
        <w:t xml:space="preserve">borderPointCnt, </w:t>
      </w:r>
      <w:r w:rsidR="00C448D6" w:rsidRPr="00A52AB8">
        <w:rPr>
          <w:color w:val="000000" w:themeColor="text1"/>
        </w:rPr>
        <w:t>indicating the number of border points</w:t>
      </w:r>
      <w:r w:rsidR="00BC7493" w:rsidRPr="00A52AB8">
        <w:rPr>
          <w:color w:val="000000" w:themeColor="text1"/>
        </w:rPr>
        <w:t>,</w:t>
      </w:r>
    </w:p>
    <w:p w14:paraId="010EECD5" w14:textId="60D63807" w:rsidR="00446592" w:rsidRPr="00A52AB8" w:rsidRDefault="00547B34" w:rsidP="0044659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2D array </w:t>
      </w:r>
      <w:r w:rsidR="00446592" w:rsidRPr="00A52AB8">
        <w:rPr>
          <w:color w:val="000000" w:themeColor="text1"/>
        </w:rPr>
        <w:t xml:space="preserve">borderPoints, of size </w:t>
      </w:r>
      <w:r w:rsidR="00234369" w:rsidRPr="00A52AB8">
        <w:rPr>
          <w:color w:val="000000" w:themeColor="text1"/>
        </w:rPr>
        <w:t>AspsFrameSize</w:t>
      </w:r>
      <w:r w:rsidR="00446592" w:rsidRPr="00A52AB8">
        <w:rPr>
          <w:color w:val="000000" w:themeColor="text1"/>
        </w:rPr>
        <w:t> ×</w:t>
      </w:r>
      <w:r w:rsidR="00F475AD" w:rsidRPr="00A52AB8">
        <w:rPr>
          <w:color w:val="000000" w:themeColor="text1"/>
        </w:rPr>
        <w:t> </w:t>
      </w:r>
      <w:r w:rsidR="00446592" w:rsidRPr="00A52AB8">
        <w:rPr>
          <w:color w:val="000000" w:themeColor="text1"/>
        </w:rPr>
        <w:t>3</w:t>
      </w:r>
      <w:r w:rsidR="00BC7493" w:rsidRPr="00A52AB8">
        <w:rPr>
          <w:color w:val="000000" w:themeColor="text1"/>
        </w:rPr>
        <w:t>, and</w:t>
      </w:r>
    </w:p>
    <w:p w14:paraId="4ACB3150" w14:textId="65CD22E5" w:rsidR="00F475AD" w:rsidRPr="00A52AB8" w:rsidRDefault="00547B34">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2D array </w:t>
      </w:r>
      <w:r w:rsidR="00F475AD" w:rsidRPr="00A52AB8">
        <w:rPr>
          <w:color w:val="000000" w:themeColor="text1"/>
        </w:rPr>
        <w:t>bBox, of size 2 × 3</w:t>
      </w:r>
      <w:r w:rsidR="00BC7493" w:rsidRPr="00A52AB8">
        <w:rPr>
          <w:color w:val="000000" w:themeColor="text1"/>
        </w:rPr>
        <w:t>.</w:t>
      </w:r>
    </w:p>
    <w:p w14:paraId="696ED293" w14:textId="3D194359" w:rsidR="00446592" w:rsidRPr="00A52AB8" w:rsidRDefault="00446592" w:rsidP="00446592">
      <w:p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textAlignment w:val="baseline"/>
        <w:rPr>
          <w:color w:val="000000" w:themeColor="text1"/>
        </w:rPr>
      </w:pPr>
      <w:r w:rsidRPr="00A52AB8">
        <w:rPr>
          <w:color w:val="000000" w:themeColor="text1"/>
        </w:rPr>
        <w:t>Let borderPointCnt and bBox</w:t>
      </w:r>
      <w:r w:rsidR="00455497" w:rsidRPr="00A52AB8">
        <w:rPr>
          <w:color w:val="000000" w:themeColor="text1"/>
        </w:rPr>
        <w:t xml:space="preserve"> </w:t>
      </w:r>
      <w:r w:rsidRPr="00A52AB8">
        <w:rPr>
          <w:color w:val="000000" w:themeColor="text1"/>
        </w:rPr>
        <w:t>be initialized as follows:</w:t>
      </w:r>
    </w:p>
    <w:p w14:paraId="4C35FB0C" w14:textId="5F7B6929" w:rsidR="008305FF" w:rsidRPr="00A52AB8" w:rsidRDefault="008305FF" w:rsidP="00007BE2">
      <w:p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textAlignment w:val="baseline"/>
      </w:pPr>
      <w:r w:rsidRPr="00A52AB8">
        <w:rPr>
          <w:color w:val="000000" w:themeColor="text1"/>
        </w:rPr>
        <w:tab/>
        <w:t>borderPointCnt</w:t>
      </w:r>
      <w:r w:rsidR="00D47707" w:rsidRPr="00A52AB8">
        <w:rPr>
          <w:color w:val="000000" w:themeColor="text1"/>
        </w:rPr>
        <w:t> = </w:t>
      </w:r>
      <w:r w:rsidRPr="00A52AB8">
        <w:rPr>
          <w:color w:val="000000" w:themeColor="text1"/>
        </w:rPr>
        <w:t>0.</w:t>
      </w:r>
      <w:r w:rsidR="00446592" w:rsidRPr="00A52AB8">
        <w:rPr>
          <w:color w:val="000000" w:themeColor="text1"/>
        </w:rPr>
        <w:br/>
      </w:r>
      <w:r w:rsidRPr="00A52AB8">
        <w:rPr>
          <w:color w:val="000000" w:themeColor="text1"/>
        </w:rPr>
        <w:tab/>
        <w:t>for( k</w:t>
      </w:r>
      <w:r w:rsidR="00D47707" w:rsidRPr="00A52AB8">
        <w:rPr>
          <w:color w:val="000000" w:themeColor="text1"/>
        </w:rPr>
        <w:t> = </w:t>
      </w:r>
      <w:r w:rsidRPr="00A52AB8">
        <w:rPr>
          <w:color w:val="000000" w:themeColor="text1"/>
        </w:rPr>
        <w:t>0; k &lt; 3; k++ </w:t>
      </w:r>
      <w:r w:rsidR="008F1F82" w:rsidRPr="00A52AB8">
        <w:rPr>
          <w:color w:val="000000" w:themeColor="text1"/>
        </w:rPr>
        <w:t>) {</w:t>
      </w:r>
      <w:r w:rsidRPr="00A52AB8">
        <w:rPr>
          <w:color w:val="000000" w:themeColor="text1"/>
        </w:rPr>
        <w:br/>
      </w:r>
      <w:r w:rsidRPr="00A52AB8">
        <w:rPr>
          <w:color w:val="000000" w:themeColor="text1"/>
        </w:rPr>
        <w:tab/>
      </w:r>
      <w:r w:rsidRPr="00A52AB8">
        <w:rPr>
          <w:color w:val="000000" w:themeColor="text1"/>
        </w:rPr>
        <w:tab/>
        <w:t>bBox</w:t>
      </w:r>
      <w:r w:rsidRPr="00A52AB8">
        <w:rPr>
          <w:rFonts w:eastAsia="Times New Roman"/>
          <w:color w:val="000000"/>
        </w:rPr>
        <w:t>[ 0 ][ k ]</w:t>
      </w:r>
      <w:r w:rsidR="00D47707" w:rsidRPr="00A52AB8">
        <w:rPr>
          <w:rFonts w:eastAsia="Times New Roman"/>
          <w:color w:val="000000"/>
        </w:rPr>
        <w:t> = </w:t>
      </w:r>
      <w:r w:rsidRPr="00A52AB8">
        <w:rPr>
          <w:rFonts w:eastAsia="Times New Roman"/>
          <w:color w:val="000000"/>
        </w:rPr>
        <w:t>0xFFFF</w:t>
      </w:r>
      <w:r w:rsidRPr="00A52AB8">
        <w:rPr>
          <w:rFonts w:eastAsia="Times New Roman"/>
          <w:color w:val="000000"/>
        </w:rPr>
        <w:br/>
      </w:r>
      <w:r w:rsidRPr="00A52AB8">
        <w:rPr>
          <w:rFonts w:eastAsia="Times New Roman"/>
          <w:color w:val="000000"/>
        </w:rPr>
        <w:tab/>
      </w:r>
      <w:r w:rsidRPr="00A52AB8">
        <w:rPr>
          <w:rFonts w:eastAsia="Times New Roman"/>
          <w:color w:val="000000"/>
        </w:rPr>
        <w:tab/>
      </w:r>
      <w:r w:rsidRPr="00A52AB8">
        <w:rPr>
          <w:color w:val="000000" w:themeColor="text1"/>
        </w:rPr>
        <w:t>bBox</w:t>
      </w:r>
      <w:r w:rsidRPr="00A52AB8">
        <w:t>[ 1 ][ k ]</w:t>
      </w:r>
      <w:r w:rsidR="00D47707" w:rsidRPr="00A52AB8">
        <w:t> = </w:t>
      </w:r>
      <w:r w:rsidRPr="00A52AB8">
        <w:t>0</w:t>
      </w:r>
      <w:r w:rsidRPr="00A52AB8">
        <w:br/>
      </w:r>
      <w:r w:rsidRPr="00A52AB8">
        <w:tab/>
        <w:t>}</w:t>
      </w:r>
    </w:p>
    <w:p w14:paraId="0FFE971F" w14:textId="77777777" w:rsidR="007A7CF8" w:rsidRPr="00A52AB8" w:rsidRDefault="00877964" w:rsidP="00007BE2">
      <w:p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textAlignment w:val="baseline"/>
      </w:pPr>
      <w:r w:rsidRPr="00A52AB8">
        <w:t xml:space="preserve">Let yStart, yEnd, xStart, and xEnd be </w:t>
      </w:r>
      <w:r w:rsidR="007A7CF8" w:rsidRPr="00A52AB8">
        <w:t>computed as follows:</w:t>
      </w:r>
    </w:p>
    <w:p w14:paraId="5A41E5D9" w14:textId="760D5F56" w:rsidR="00877964" w:rsidRPr="00A52AB8" w:rsidRDefault="007A7CF8" w:rsidP="00007BE2">
      <w:p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textAlignment w:val="baseline"/>
      </w:pPr>
      <w:r w:rsidRPr="00A52AB8">
        <w:tab/>
        <w:t>yStart</w:t>
      </w:r>
      <w:r w:rsidR="00D47707" w:rsidRPr="00A52AB8">
        <w:t> = </w:t>
      </w:r>
      <w:r w:rsidR="00877964" w:rsidRPr="00A52AB8">
        <w:t>Atlas</w:t>
      </w:r>
      <w:r w:rsidR="00877964" w:rsidRPr="00A52AB8">
        <w:rPr>
          <w:color w:val="000000" w:themeColor="text1"/>
        </w:rPr>
        <w:t>Patch2dPosY</w:t>
      </w:r>
      <w:r w:rsidR="00877964" w:rsidRPr="00A52AB8">
        <w:rPr>
          <w:lang w:eastAsia="ja-JP"/>
        </w:rPr>
        <w:t>[ pIdx ]</w:t>
      </w:r>
      <w:r w:rsidRPr="00A52AB8">
        <w:rPr>
          <w:lang w:eastAsia="ja-JP"/>
        </w:rPr>
        <w:br/>
      </w:r>
      <w:r w:rsidRPr="00A52AB8">
        <w:tab/>
        <w:t>yEnd</w:t>
      </w:r>
      <w:r w:rsidR="00D47707" w:rsidRPr="00A52AB8">
        <w:t> = </w:t>
      </w:r>
      <w:r w:rsidRPr="00A52AB8">
        <w:t>Atlas</w:t>
      </w:r>
      <w:r w:rsidRPr="00A52AB8">
        <w:rPr>
          <w:color w:val="000000" w:themeColor="text1"/>
        </w:rPr>
        <w:t>Patch2dPosY</w:t>
      </w:r>
      <w:r w:rsidRPr="00A52AB8">
        <w:rPr>
          <w:lang w:eastAsia="ja-JP"/>
        </w:rPr>
        <w:t>[ pIdx ] + </w:t>
      </w:r>
      <w:r w:rsidRPr="00A52AB8">
        <w:rPr>
          <w:color w:val="000000" w:themeColor="text1"/>
        </w:rPr>
        <w:t>AtlasPatch2dSizeY[ pIdx ]</w:t>
      </w:r>
      <w:r w:rsidRPr="00A52AB8">
        <w:rPr>
          <w:color w:val="000000" w:themeColor="text1"/>
        </w:rPr>
        <w:br/>
      </w:r>
      <w:r w:rsidRPr="00A52AB8">
        <w:tab/>
        <w:t>xStart</w:t>
      </w:r>
      <w:r w:rsidR="00D47707" w:rsidRPr="00A52AB8">
        <w:t> = </w:t>
      </w:r>
      <w:r w:rsidRPr="00A52AB8">
        <w:t>Atlas</w:t>
      </w:r>
      <w:r w:rsidRPr="00A52AB8">
        <w:rPr>
          <w:color w:val="000000" w:themeColor="text1"/>
        </w:rPr>
        <w:t>Patch2dPosX</w:t>
      </w:r>
      <w:r w:rsidRPr="00A52AB8">
        <w:rPr>
          <w:lang w:eastAsia="ja-JP"/>
        </w:rPr>
        <w:t>[ pIdx ]</w:t>
      </w:r>
      <w:r w:rsidRPr="00A52AB8">
        <w:rPr>
          <w:lang w:eastAsia="ja-JP"/>
        </w:rPr>
        <w:br/>
      </w:r>
      <w:r w:rsidRPr="00A52AB8">
        <w:tab/>
        <w:t>xEnd</w:t>
      </w:r>
      <w:r w:rsidR="00D47707" w:rsidRPr="00A52AB8">
        <w:t> = </w:t>
      </w:r>
      <w:r w:rsidRPr="00A52AB8">
        <w:t>Atlas</w:t>
      </w:r>
      <w:r w:rsidRPr="00A52AB8">
        <w:rPr>
          <w:color w:val="000000" w:themeColor="text1"/>
        </w:rPr>
        <w:t>Patch2dPosX</w:t>
      </w:r>
      <w:r w:rsidRPr="00A52AB8">
        <w:rPr>
          <w:lang w:eastAsia="ja-JP"/>
        </w:rPr>
        <w:t>[ pIdx ] + </w:t>
      </w:r>
      <w:r w:rsidRPr="00A52AB8">
        <w:rPr>
          <w:color w:val="000000" w:themeColor="text1"/>
        </w:rPr>
        <w:t>AtlasPatch2dSizeX[ pIdx ]</w:t>
      </w:r>
    </w:p>
    <w:p w14:paraId="4DECD439" w14:textId="01F7E5FC" w:rsidR="008305FF" w:rsidRPr="00A52AB8" w:rsidRDefault="008305FF" w:rsidP="00007BE2">
      <w:p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textAlignment w:val="baseline"/>
        <w:rPr>
          <w:color w:val="000000" w:themeColor="text1"/>
        </w:rPr>
      </w:pPr>
      <w:r w:rsidRPr="00A52AB8">
        <w:rPr>
          <w:color w:val="000000" w:themeColor="text1"/>
        </w:rPr>
        <w:t>Then the following applies:</w:t>
      </w:r>
    </w:p>
    <w:p w14:paraId="119678E2" w14:textId="7C6F7BD2" w:rsidR="008305FF" w:rsidRPr="00A52AB8" w:rsidRDefault="00446592" w:rsidP="008305FF">
      <w:pPr>
        <w:rPr>
          <w:color w:val="000000" w:themeColor="text1"/>
        </w:rPr>
      </w:pPr>
      <w:r w:rsidRPr="00A52AB8">
        <w:rPr>
          <w:color w:val="000000" w:themeColor="text1"/>
        </w:rPr>
        <w:tab/>
      </w:r>
      <w:r w:rsidR="008305FF" w:rsidRPr="00A52AB8">
        <w:rPr>
          <w:color w:val="000000" w:themeColor="text1"/>
        </w:rPr>
        <w:t>for( </w:t>
      </w:r>
      <w:r w:rsidR="00877964" w:rsidRPr="00A52AB8">
        <w:rPr>
          <w:color w:val="000000" w:themeColor="text1"/>
        </w:rPr>
        <w:t>y</w:t>
      </w:r>
      <w:r w:rsidR="00D47707" w:rsidRPr="00A52AB8">
        <w:rPr>
          <w:color w:val="000000" w:themeColor="text1"/>
        </w:rPr>
        <w:t> = </w:t>
      </w:r>
      <w:r w:rsidR="007A7CF8" w:rsidRPr="00A52AB8">
        <w:t>yStart</w:t>
      </w:r>
      <w:r w:rsidR="008305FF" w:rsidRPr="00A52AB8">
        <w:rPr>
          <w:color w:val="000000" w:themeColor="text1"/>
        </w:rPr>
        <w:t>; </w:t>
      </w:r>
      <w:r w:rsidR="00877964" w:rsidRPr="00A52AB8">
        <w:rPr>
          <w:color w:val="000000" w:themeColor="text1"/>
        </w:rPr>
        <w:t>y </w:t>
      </w:r>
      <w:r w:rsidR="008305FF" w:rsidRPr="00A52AB8">
        <w:rPr>
          <w:color w:val="000000" w:themeColor="text1"/>
        </w:rPr>
        <w:t>&lt;</w:t>
      </w:r>
      <w:r w:rsidR="00877964" w:rsidRPr="00A52AB8">
        <w:rPr>
          <w:color w:val="000000" w:themeColor="text1"/>
        </w:rPr>
        <w:t> </w:t>
      </w:r>
      <w:r w:rsidR="007A7CF8" w:rsidRPr="00A52AB8">
        <w:t>yEnd</w:t>
      </w:r>
      <w:r w:rsidR="008305FF" w:rsidRPr="00A52AB8">
        <w:rPr>
          <w:color w:val="000000" w:themeColor="text1"/>
        </w:rPr>
        <w:t>; </w:t>
      </w:r>
      <w:r w:rsidR="00877964" w:rsidRPr="00A52AB8">
        <w:rPr>
          <w:color w:val="000000" w:themeColor="text1"/>
        </w:rPr>
        <w:t>y</w:t>
      </w:r>
      <w:r w:rsidR="008305FF" w:rsidRPr="00A52AB8">
        <w:rPr>
          <w:color w:val="000000" w:themeColor="text1"/>
        </w:rPr>
        <w:t>++ </w:t>
      </w:r>
      <w:r w:rsidR="008F1F82" w:rsidRPr="00A52AB8">
        <w:rPr>
          <w:color w:val="000000" w:themeColor="text1"/>
        </w:rPr>
        <w:t>) {</w:t>
      </w:r>
      <w:r w:rsidR="007A7CF8" w:rsidRPr="00A52AB8">
        <w:rPr>
          <w:color w:val="000000" w:themeColor="text1"/>
        </w:rPr>
        <w:br/>
      </w:r>
      <w:r w:rsidR="007A7CF8" w:rsidRPr="00A52AB8">
        <w:rPr>
          <w:color w:val="000000" w:themeColor="text1"/>
        </w:rPr>
        <w:tab/>
      </w:r>
      <w:r w:rsidR="007A7CF8" w:rsidRPr="00A52AB8">
        <w:rPr>
          <w:color w:val="000000" w:themeColor="text1"/>
        </w:rPr>
        <w:tab/>
        <w:t>yBlock</w:t>
      </w:r>
      <w:r w:rsidR="00D47707" w:rsidRPr="00A52AB8">
        <w:rPr>
          <w:color w:val="000000" w:themeColor="text1"/>
        </w:rPr>
        <w:t> = </w:t>
      </w:r>
      <w:r w:rsidR="007A7CF8" w:rsidRPr="00A52AB8">
        <w:rPr>
          <w:lang w:eastAsia="ja-JP"/>
        </w:rPr>
        <w:t>y</w:t>
      </w:r>
      <w:r w:rsidR="007A7CF8" w:rsidRPr="00A52AB8">
        <w:t> </w:t>
      </w:r>
      <w:r w:rsidR="007A7CF8" w:rsidRPr="00A52AB8">
        <w:rPr>
          <w:lang w:eastAsia="ja-JP"/>
        </w:rPr>
        <w:t>/ PatchPackingBlockSize</w:t>
      </w:r>
      <w:r w:rsidR="007A7CF8" w:rsidRPr="00A52AB8">
        <w:rPr>
          <w:color w:val="000000" w:themeColor="text1"/>
        </w:rPr>
        <w:br/>
      </w:r>
      <w:r w:rsidR="008305FF" w:rsidRPr="00A52AB8">
        <w:rPr>
          <w:color w:val="000000" w:themeColor="text1"/>
        </w:rPr>
        <w:tab/>
      </w:r>
      <w:r w:rsidR="008305FF" w:rsidRPr="00A52AB8">
        <w:rPr>
          <w:color w:val="000000" w:themeColor="text1"/>
        </w:rPr>
        <w:tab/>
        <w:t>for( </w:t>
      </w:r>
      <w:r w:rsidR="00877964" w:rsidRPr="00A52AB8">
        <w:rPr>
          <w:color w:val="000000" w:themeColor="text1"/>
        </w:rPr>
        <w:t>x</w:t>
      </w:r>
      <w:r w:rsidR="00D47707" w:rsidRPr="00A52AB8">
        <w:rPr>
          <w:color w:val="000000" w:themeColor="text1"/>
        </w:rPr>
        <w:t> = </w:t>
      </w:r>
      <w:r w:rsidR="007A7CF8" w:rsidRPr="00A52AB8">
        <w:t>xStart</w:t>
      </w:r>
      <w:r w:rsidR="008305FF" w:rsidRPr="00A52AB8">
        <w:rPr>
          <w:color w:val="000000" w:themeColor="text1"/>
        </w:rPr>
        <w:t>; </w:t>
      </w:r>
      <w:r w:rsidR="00877964" w:rsidRPr="00A52AB8">
        <w:rPr>
          <w:color w:val="000000" w:themeColor="text1"/>
        </w:rPr>
        <w:t>x </w:t>
      </w:r>
      <w:r w:rsidR="008305FF" w:rsidRPr="00A52AB8">
        <w:rPr>
          <w:color w:val="000000" w:themeColor="text1"/>
        </w:rPr>
        <w:t>&lt;</w:t>
      </w:r>
      <w:r w:rsidR="00877964" w:rsidRPr="00A52AB8">
        <w:rPr>
          <w:color w:val="000000" w:themeColor="text1"/>
        </w:rPr>
        <w:t> </w:t>
      </w:r>
      <w:r w:rsidR="007A7CF8" w:rsidRPr="00A52AB8">
        <w:t>xEnd</w:t>
      </w:r>
      <w:r w:rsidR="008305FF" w:rsidRPr="00A52AB8">
        <w:rPr>
          <w:color w:val="000000" w:themeColor="text1"/>
        </w:rPr>
        <w:t>; </w:t>
      </w:r>
      <w:r w:rsidR="00877964" w:rsidRPr="00A52AB8">
        <w:rPr>
          <w:color w:val="000000" w:themeColor="text1"/>
        </w:rPr>
        <w:t>x</w:t>
      </w:r>
      <w:r w:rsidR="008305FF" w:rsidRPr="00A52AB8">
        <w:rPr>
          <w:color w:val="000000" w:themeColor="text1"/>
        </w:rPr>
        <w:t>++ </w:t>
      </w:r>
      <w:r w:rsidR="008F1F82" w:rsidRPr="00A52AB8">
        <w:rPr>
          <w:color w:val="000000" w:themeColor="text1"/>
        </w:rPr>
        <w:t>) {</w:t>
      </w:r>
      <w:r w:rsidR="007A7CF8" w:rsidRPr="00A52AB8">
        <w:rPr>
          <w:color w:val="000000" w:themeColor="text1"/>
        </w:rPr>
        <w:br/>
      </w:r>
      <w:r w:rsidR="007A7CF8" w:rsidRPr="00A52AB8">
        <w:rPr>
          <w:color w:val="000000" w:themeColor="text1"/>
        </w:rPr>
        <w:tab/>
      </w:r>
      <w:r w:rsidR="007A7CF8" w:rsidRPr="00A52AB8">
        <w:rPr>
          <w:color w:val="000000" w:themeColor="text1"/>
        </w:rPr>
        <w:tab/>
      </w:r>
      <w:r w:rsidR="007A7CF8" w:rsidRPr="00A52AB8">
        <w:rPr>
          <w:color w:val="000000" w:themeColor="text1"/>
        </w:rPr>
        <w:tab/>
        <w:t>xBlock</w:t>
      </w:r>
      <w:r w:rsidR="00D47707" w:rsidRPr="00A52AB8">
        <w:rPr>
          <w:color w:val="000000" w:themeColor="text1"/>
        </w:rPr>
        <w:t> = </w:t>
      </w:r>
      <w:r w:rsidR="007A7CF8" w:rsidRPr="00A52AB8">
        <w:rPr>
          <w:lang w:eastAsia="ja-JP"/>
        </w:rPr>
        <w:t>x</w:t>
      </w:r>
      <w:r w:rsidR="007A7CF8" w:rsidRPr="00A52AB8">
        <w:t> </w:t>
      </w:r>
      <w:r w:rsidR="007A7CF8" w:rsidRPr="00A52AB8">
        <w:rPr>
          <w:lang w:eastAsia="ja-JP"/>
        </w:rPr>
        <w:t>/ PatchPackingBlockSize</w:t>
      </w:r>
      <w:r w:rsidR="007A7CF8" w:rsidRPr="00A52AB8">
        <w:rPr>
          <w:rFonts w:eastAsia="Times New Roman"/>
          <w:color w:val="000000"/>
        </w:rPr>
        <w:br/>
      </w:r>
      <w:r w:rsidR="008305FF" w:rsidRPr="00A52AB8">
        <w:rPr>
          <w:lang w:eastAsia="ja-JP"/>
        </w:rPr>
        <w:tab/>
      </w:r>
      <w:r w:rsidR="008305FF" w:rsidRPr="00A52AB8">
        <w:rPr>
          <w:lang w:eastAsia="ja-JP"/>
        </w:rPr>
        <w:tab/>
      </w:r>
      <w:r w:rsidR="008305FF" w:rsidRPr="00A52AB8">
        <w:rPr>
          <w:lang w:eastAsia="ja-JP"/>
        </w:rPr>
        <w:tab/>
      </w:r>
      <w:r w:rsidR="008305FF" w:rsidRPr="00A52AB8">
        <w:rPr>
          <w:color w:val="000000" w:themeColor="text1"/>
        </w:rPr>
        <w:t>isBoundaryPoint</w:t>
      </w:r>
      <w:r w:rsidR="00D47707" w:rsidRPr="00A52AB8">
        <w:rPr>
          <w:color w:val="000000" w:themeColor="text1"/>
        </w:rPr>
        <w:t> = </w:t>
      </w:r>
      <w:r w:rsidR="008305FF" w:rsidRPr="00A52AB8">
        <w:rPr>
          <w:color w:val="000000" w:themeColor="text1"/>
        </w:rPr>
        <w:t>0</w:t>
      </w:r>
    </w:p>
    <w:p w14:paraId="54A83856" w14:textId="45004DFC" w:rsidR="008305FF" w:rsidRPr="00A52AB8" w:rsidRDefault="008305FF" w:rsidP="00007BE2">
      <w:pPr>
        <w:ind w:left="1210"/>
        <w:rPr>
          <w:color w:val="000000" w:themeColor="text1"/>
        </w:rPr>
      </w:pPr>
      <w:r w:rsidRPr="00A52AB8">
        <w:t>If oFrame[ y ][ x ] is not equal to zero</w:t>
      </w:r>
      <w:r w:rsidR="00AE28A6" w:rsidRPr="00A52AB8">
        <w:t xml:space="preserve"> and AtlasBlockToPatchMap[ </w:t>
      </w:r>
      <w:r w:rsidR="007A7CF8" w:rsidRPr="00A52AB8">
        <w:rPr>
          <w:lang w:eastAsia="ja-JP"/>
        </w:rPr>
        <w:t>yBlock</w:t>
      </w:r>
      <w:r w:rsidR="00AE28A6" w:rsidRPr="00A52AB8">
        <w:rPr>
          <w:lang w:eastAsia="ja-JP"/>
        </w:rPr>
        <w:t> </w:t>
      </w:r>
      <w:r w:rsidR="00AE28A6" w:rsidRPr="00A52AB8">
        <w:t>][</w:t>
      </w:r>
      <w:r w:rsidR="00AE28A6" w:rsidRPr="00A52AB8">
        <w:rPr>
          <w:lang w:eastAsia="ja-JP"/>
        </w:rPr>
        <w:t> x</w:t>
      </w:r>
      <w:r w:rsidR="006A6CF0" w:rsidRPr="00A52AB8">
        <w:rPr>
          <w:lang w:eastAsia="ja-JP"/>
        </w:rPr>
        <w:t>Block</w:t>
      </w:r>
      <w:r w:rsidR="00AE28A6" w:rsidRPr="00A52AB8">
        <w:rPr>
          <w:lang w:eastAsia="ja-JP"/>
        </w:rPr>
        <w:t> </w:t>
      </w:r>
      <w:r w:rsidR="00AE28A6" w:rsidRPr="00A52AB8">
        <w:t>] is equal to pIdx</w:t>
      </w:r>
      <w:r w:rsidRPr="00A52AB8">
        <w:t>, then subclause </w:t>
      </w:r>
      <w:r w:rsidRPr="00496A4D">
        <w:fldChar w:fldCharType="begin"/>
      </w:r>
      <w:r w:rsidRPr="00A52AB8">
        <w:instrText xml:space="preserve"> REF _Ref39817343 \r \h  \* MERGEFORMAT </w:instrText>
      </w:r>
      <w:r w:rsidRPr="00496A4D">
        <w:fldChar w:fldCharType="separate"/>
      </w:r>
      <w:r w:rsidR="00507A67">
        <w:t>H.12.5</w:t>
      </w:r>
      <w:r w:rsidRPr="00496A4D">
        <w:fldChar w:fldCharType="end"/>
      </w:r>
      <w:r w:rsidRPr="00A52AB8">
        <w:t xml:space="preserve"> is invoked with array oFrame, and variables y and x as inputs. The output is the modified variable isBoundaryPoint.</w:t>
      </w:r>
    </w:p>
    <w:p w14:paraId="54862AF6" w14:textId="513482D9" w:rsidR="008305FF" w:rsidRPr="00A52AB8" w:rsidRDefault="00F475AD" w:rsidP="00007BE2">
      <w:pPr>
        <w:ind w:left="1209"/>
        <w:rPr>
          <w:color w:val="000000" w:themeColor="text1"/>
        </w:rPr>
      </w:pPr>
      <w:r w:rsidRPr="00A52AB8">
        <w:rPr>
          <w:color w:val="000000" w:themeColor="text1"/>
        </w:rPr>
        <w:tab/>
      </w:r>
      <w:r w:rsidR="008305FF" w:rsidRPr="00A52AB8">
        <w:rPr>
          <w:color w:val="000000" w:themeColor="text1"/>
        </w:rPr>
        <w:t>If isBoundaryPoint is equal to one, then the following applies:</w:t>
      </w:r>
    </w:p>
    <w:p w14:paraId="3A2AF28A" w14:textId="5758575A" w:rsidR="008305FF" w:rsidRPr="00A52AB8" w:rsidRDefault="00F475AD" w:rsidP="00007BE2">
      <w:pPr>
        <w:ind w:left="1613"/>
        <w:rPr>
          <w:color w:val="000000" w:themeColor="text1"/>
        </w:rPr>
      </w:pPr>
      <w:r w:rsidRPr="00A52AB8">
        <w:rPr>
          <w:color w:val="000000" w:themeColor="text1"/>
        </w:rPr>
        <w:t>T</w:t>
      </w:r>
      <w:r w:rsidR="008305FF" w:rsidRPr="00A52AB8">
        <w:rPr>
          <w:color w:val="000000" w:themeColor="text1"/>
        </w:rPr>
        <w:t>he 3D coordinates corresponding to the</w:t>
      </w:r>
      <w:r w:rsidR="008305FF" w:rsidRPr="00A52AB8">
        <w:t xml:space="preserve"> </w:t>
      </w:r>
      <w:r w:rsidR="008305FF" w:rsidRPr="00A52AB8">
        <w:rPr>
          <w:color w:val="000000" w:themeColor="text1"/>
        </w:rPr>
        <w:t>point with atlas coordinates ( x, y ) are derived by invoking subclause </w:t>
      </w:r>
      <w:r w:rsidR="008305FF" w:rsidRPr="00496A4D">
        <w:rPr>
          <w:color w:val="000000" w:themeColor="text1"/>
        </w:rPr>
        <w:fldChar w:fldCharType="begin"/>
      </w:r>
      <w:r w:rsidR="008305FF" w:rsidRPr="00A52AB8">
        <w:rPr>
          <w:color w:val="000000" w:themeColor="text1"/>
        </w:rPr>
        <w:instrText xml:space="preserve"> REF _Ref48425253 \r \h  \* MERGEFORMAT </w:instrText>
      </w:r>
      <w:r w:rsidR="008305FF" w:rsidRPr="00496A4D">
        <w:rPr>
          <w:color w:val="000000" w:themeColor="text1"/>
        </w:rPr>
      </w:r>
      <w:r w:rsidR="008305FF" w:rsidRPr="00496A4D">
        <w:rPr>
          <w:color w:val="000000" w:themeColor="text1"/>
        </w:rPr>
        <w:fldChar w:fldCharType="separate"/>
      </w:r>
      <w:r w:rsidR="00507A67">
        <w:rPr>
          <w:color w:val="000000" w:themeColor="text1"/>
        </w:rPr>
        <w:t>H.11.5</w:t>
      </w:r>
      <w:r w:rsidR="008305FF" w:rsidRPr="00496A4D">
        <w:rPr>
          <w:color w:val="000000" w:themeColor="text1"/>
        </w:rPr>
        <w:fldChar w:fldCharType="end"/>
      </w:r>
      <w:r w:rsidR="008305FF" w:rsidRPr="00A52AB8">
        <w:rPr>
          <w:color w:val="000000" w:themeColor="text1"/>
        </w:rPr>
        <w:t xml:space="preserve"> with variables pIdx, gFrame[ y ][ x ], </w:t>
      </w:r>
      <w:r w:rsidR="00626298" w:rsidRPr="00A52AB8">
        <w:rPr>
          <w:color w:val="000000" w:themeColor="text1"/>
        </w:rPr>
        <w:t>x</w:t>
      </w:r>
      <w:r w:rsidR="00A42A07" w:rsidRPr="00A52AB8">
        <w:rPr>
          <w:color w:val="000000" w:themeColor="text1"/>
        </w:rPr>
        <w:t xml:space="preserve">, and </w:t>
      </w:r>
      <w:r w:rsidR="00626298" w:rsidRPr="00A52AB8">
        <w:rPr>
          <w:color w:val="000000" w:themeColor="text1"/>
        </w:rPr>
        <w:t>y</w:t>
      </w:r>
      <w:r w:rsidR="008305FF" w:rsidRPr="00A52AB8">
        <w:rPr>
          <w:color w:val="000000" w:themeColor="text1"/>
        </w:rPr>
        <w:t xml:space="preserve"> as inputs. The output is an array, pos3D, containing the 3D coordinates of the point.</w:t>
      </w:r>
    </w:p>
    <w:p w14:paraId="1CA76370" w14:textId="47B43408" w:rsidR="008305FF" w:rsidRPr="00A52AB8" w:rsidRDefault="008305FF" w:rsidP="00007BE2">
      <w:pPr>
        <w:ind w:left="1613"/>
        <w:rPr>
          <w:color w:val="000000" w:themeColor="text1"/>
        </w:rPr>
      </w:pPr>
      <w:r w:rsidRPr="00A52AB8">
        <w:rPr>
          <w:color w:val="000000" w:themeColor="text1"/>
        </w:rPr>
        <w:t xml:space="preserve">The 3D coordinates corresponding to the point </w:t>
      </w:r>
      <w:r w:rsidR="00200D03" w:rsidRPr="00A52AB8">
        <w:rPr>
          <w:color w:val="000000" w:themeColor="text1"/>
        </w:rPr>
        <w:t xml:space="preserve">are </w:t>
      </w:r>
      <w:r w:rsidRPr="00A52AB8">
        <w:rPr>
          <w:color w:val="000000" w:themeColor="text1"/>
        </w:rPr>
        <w:t>added to the 3D boundary points array as follows:</w:t>
      </w:r>
    </w:p>
    <w:p w14:paraId="5C9E8837" w14:textId="59E9A478" w:rsidR="008305FF" w:rsidRPr="00A52AB8" w:rsidRDefault="008305FF" w:rsidP="008305FF">
      <w:pPr>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textAlignment w:val="baseline"/>
        <w:rPr>
          <w:rFonts w:eastAsia="Times New Roman"/>
          <w:color w:val="000000"/>
        </w:rPr>
      </w:pP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t>for( k</w:t>
      </w:r>
      <w:r w:rsidR="00D47707" w:rsidRPr="00A52AB8">
        <w:rPr>
          <w:color w:val="000000" w:themeColor="text1"/>
        </w:rPr>
        <w:t> = </w:t>
      </w:r>
      <w:r w:rsidRPr="00A52AB8">
        <w:rPr>
          <w:color w:val="000000" w:themeColor="text1"/>
        </w:rPr>
        <w:t>0; k &lt; 3; k++ )</w:t>
      </w:r>
      <w:r w:rsidRPr="00A52AB8">
        <w:rPr>
          <w:rFonts w:eastAsia="Times New Roman"/>
          <w:color w:val="000000"/>
        </w:rPr>
        <w:br/>
      </w:r>
      <w:r w:rsidRPr="00A52AB8">
        <w:rPr>
          <w:rFonts w:eastAsia="Times New Roman"/>
          <w:color w:val="000000"/>
        </w:rPr>
        <w:tab/>
      </w:r>
      <w:r w:rsidRPr="00A52AB8">
        <w:rPr>
          <w:rFonts w:eastAsia="Times New Roman"/>
          <w:color w:val="000000"/>
        </w:rPr>
        <w:tab/>
      </w:r>
      <w:r w:rsidRPr="00A52AB8">
        <w:rPr>
          <w:rFonts w:eastAsia="Times New Roman"/>
          <w:color w:val="000000"/>
        </w:rPr>
        <w:tab/>
      </w:r>
      <w:r w:rsidRPr="00A52AB8">
        <w:rPr>
          <w:rFonts w:eastAsia="Times New Roman"/>
          <w:color w:val="000000"/>
        </w:rPr>
        <w:tab/>
      </w:r>
      <w:r w:rsidRPr="00A52AB8">
        <w:rPr>
          <w:rFonts w:eastAsia="Times New Roman"/>
          <w:color w:val="000000"/>
        </w:rPr>
        <w:tab/>
      </w:r>
      <w:r w:rsidRPr="00A52AB8">
        <w:rPr>
          <w:rFonts w:eastAsia="Times New Roman"/>
          <w:color w:val="000000"/>
        </w:rPr>
        <w:tab/>
        <w:t>borderPoints[ borderPointCnt ][ k ]</w:t>
      </w:r>
      <w:r w:rsidR="00D47707" w:rsidRPr="00A52AB8">
        <w:rPr>
          <w:rFonts w:eastAsia="Times New Roman"/>
          <w:color w:val="000000"/>
        </w:rPr>
        <w:t> = </w:t>
      </w:r>
      <w:r w:rsidRPr="00A52AB8">
        <w:rPr>
          <w:rFonts w:eastAsia="Times New Roman"/>
          <w:color w:val="000000"/>
        </w:rPr>
        <w:t>pos3D[ k ]</w:t>
      </w:r>
      <w:r w:rsidRPr="00A52AB8">
        <w:rPr>
          <w:rFonts w:eastAsia="Times New Roman"/>
          <w:color w:val="000000"/>
        </w:rPr>
        <w:br/>
      </w:r>
      <w:r w:rsidRPr="00A52AB8">
        <w:rPr>
          <w:rFonts w:eastAsia="Times New Roman"/>
          <w:color w:val="000000"/>
        </w:rPr>
        <w:tab/>
      </w:r>
      <w:r w:rsidRPr="00A52AB8">
        <w:rPr>
          <w:rFonts w:eastAsia="Times New Roman"/>
          <w:color w:val="000000"/>
        </w:rPr>
        <w:tab/>
      </w:r>
      <w:r w:rsidRPr="00A52AB8">
        <w:rPr>
          <w:rFonts w:eastAsia="Times New Roman"/>
          <w:color w:val="000000"/>
        </w:rPr>
        <w:tab/>
      </w:r>
      <w:r w:rsidRPr="00A52AB8">
        <w:rPr>
          <w:rFonts w:eastAsia="Times New Roman"/>
          <w:color w:val="000000"/>
        </w:rPr>
        <w:tab/>
      </w:r>
      <w:r w:rsidRPr="00A52AB8">
        <w:rPr>
          <w:rFonts w:eastAsia="Times New Roman"/>
          <w:color w:val="000000"/>
        </w:rPr>
        <w:tab/>
        <w:t>borderPointCnt++</w:t>
      </w:r>
    </w:p>
    <w:p w14:paraId="3077AE75" w14:textId="77777777" w:rsidR="0050235C" w:rsidRPr="00A52AB8" w:rsidRDefault="008305FF" w:rsidP="00007BE2">
      <w:pPr>
        <w:pStyle w:val="ListParagraph"/>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3"/>
        <w:textAlignment w:val="baseline"/>
        <w:rPr>
          <w:color w:val="000000" w:themeColor="text1"/>
        </w:rPr>
      </w:pPr>
      <w:r w:rsidRPr="00A52AB8">
        <w:rPr>
          <w:color w:val="000000" w:themeColor="text1"/>
        </w:rPr>
        <w:t xml:space="preserve">The 3D coordinates corresponding to the point </w:t>
      </w:r>
      <w:r w:rsidR="00200D03" w:rsidRPr="00A52AB8">
        <w:rPr>
          <w:color w:val="000000" w:themeColor="text1"/>
        </w:rPr>
        <w:t xml:space="preserve">are </w:t>
      </w:r>
      <w:r w:rsidRPr="00A52AB8">
        <w:rPr>
          <w:color w:val="000000" w:themeColor="text1"/>
        </w:rPr>
        <w:t>added to the border bounding box array as follows:</w:t>
      </w:r>
    </w:p>
    <w:p w14:paraId="02DA9A21" w14:textId="37BEBE46" w:rsidR="008305FF" w:rsidRPr="00A52AB8" w:rsidRDefault="008305FF" w:rsidP="00F475AD">
      <w:pPr>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s>
        <w:jc w:val="left"/>
        <w:rPr>
          <w:rFonts w:eastAsia="Times New Roman"/>
          <w:color w:val="000000"/>
        </w:rPr>
      </w:pP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t>for( k</w:t>
      </w:r>
      <w:r w:rsidR="00D47707" w:rsidRPr="00A52AB8">
        <w:rPr>
          <w:color w:val="000000" w:themeColor="text1"/>
        </w:rPr>
        <w:t> = </w:t>
      </w:r>
      <w:r w:rsidRPr="00A52AB8">
        <w:rPr>
          <w:color w:val="000000" w:themeColor="text1"/>
        </w:rPr>
        <w:t>0; k &lt; 3; k++ </w:t>
      </w:r>
      <w:r w:rsidR="008F1F82" w:rsidRPr="00A52AB8">
        <w:rPr>
          <w:color w:val="000000" w:themeColor="text1"/>
        </w:rPr>
        <w:t>) {</w:t>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t>bBox</w:t>
      </w:r>
      <w:r w:rsidRPr="00A52AB8">
        <w:rPr>
          <w:rFonts w:eastAsia="Times New Roman"/>
          <w:color w:val="000000"/>
        </w:rPr>
        <w:t>[ 0 ][ k ]</w:t>
      </w:r>
      <w:r w:rsidR="00D47707" w:rsidRPr="00A52AB8">
        <w:rPr>
          <w:rFonts w:eastAsia="Times New Roman"/>
          <w:color w:val="000000"/>
        </w:rPr>
        <w:t> = </w:t>
      </w:r>
      <w:r w:rsidRPr="00A52AB8">
        <w:rPr>
          <w:rFonts w:eastAsia="Times New Roman"/>
          <w:color w:val="000000"/>
        </w:rPr>
        <w:t>Min( pos3D[ k ],</w:t>
      </w:r>
      <w:r w:rsidRPr="00A52AB8">
        <w:rPr>
          <w:color w:val="000000" w:themeColor="text1"/>
        </w:rPr>
        <w:t> bBox</w:t>
      </w:r>
      <w:r w:rsidRPr="00A52AB8">
        <w:rPr>
          <w:rFonts w:eastAsia="Times New Roman"/>
          <w:color w:val="000000"/>
        </w:rPr>
        <w:t>[ 0 ][ k ] )</w:t>
      </w:r>
      <w:r w:rsidRPr="00A52AB8">
        <w:rPr>
          <w:color w:val="000000" w:themeColor="text1"/>
        </w:rPr>
        <w:t xml:space="preserve"> </w:t>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t>bBox</w:t>
      </w:r>
      <w:r w:rsidRPr="00A52AB8">
        <w:rPr>
          <w:rFonts w:eastAsia="Times New Roman"/>
          <w:color w:val="000000"/>
        </w:rPr>
        <w:t>[ 1 ][ k ]</w:t>
      </w:r>
      <w:r w:rsidR="00D47707" w:rsidRPr="00A52AB8">
        <w:rPr>
          <w:rFonts w:eastAsia="Times New Roman"/>
          <w:color w:val="000000"/>
        </w:rPr>
        <w:t> = </w:t>
      </w:r>
      <w:r w:rsidRPr="00A52AB8">
        <w:rPr>
          <w:rFonts w:eastAsia="Times New Roman"/>
          <w:color w:val="000000"/>
        </w:rPr>
        <w:t>Max( pos3D[ k ],</w:t>
      </w:r>
      <w:r w:rsidRPr="00A52AB8">
        <w:rPr>
          <w:color w:val="000000" w:themeColor="text1"/>
        </w:rPr>
        <w:t> bBox</w:t>
      </w:r>
      <w:r w:rsidRPr="00A52AB8">
        <w:rPr>
          <w:rFonts w:eastAsia="Times New Roman"/>
          <w:color w:val="000000"/>
        </w:rPr>
        <w:t>[ 1 ][ k ] )</w:t>
      </w:r>
      <w:r w:rsidR="00F475AD" w:rsidRPr="00A52AB8">
        <w:rPr>
          <w:rFonts w:eastAsia="Times New Roman"/>
          <w:color w:val="000000"/>
        </w:rPr>
        <w:br/>
      </w:r>
      <w:r w:rsidRPr="00A52AB8">
        <w:rPr>
          <w:rFonts w:eastAsia="Times New Roman"/>
          <w:color w:val="000000"/>
        </w:rPr>
        <w:tab/>
      </w:r>
      <w:r w:rsidRPr="00A52AB8">
        <w:rPr>
          <w:rFonts w:eastAsia="Times New Roman"/>
          <w:color w:val="000000"/>
        </w:rPr>
        <w:tab/>
      </w:r>
      <w:r w:rsidRPr="00A52AB8">
        <w:rPr>
          <w:rFonts w:eastAsia="Times New Roman"/>
          <w:color w:val="000000"/>
        </w:rPr>
        <w:tab/>
      </w:r>
      <w:r w:rsidRPr="00A52AB8">
        <w:rPr>
          <w:rFonts w:eastAsia="Times New Roman"/>
          <w:color w:val="000000"/>
        </w:rPr>
        <w:tab/>
      </w:r>
      <w:r w:rsidRPr="00A52AB8">
        <w:rPr>
          <w:rFonts w:eastAsia="Times New Roman"/>
          <w:color w:val="000000"/>
        </w:rPr>
        <w:tab/>
        <w:t>}</w:t>
      </w:r>
      <w:r w:rsidRPr="00A52AB8">
        <w:rPr>
          <w:rFonts w:eastAsia="Times New Roman"/>
          <w:color w:val="000000"/>
        </w:rPr>
        <w:br/>
      </w:r>
      <w:r w:rsidRPr="00A52AB8">
        <w:rPr>
          <w:rFonts w:eastAsia="Times New Roman"/>
          <w:color w:val="000000"/>
        </w:rPr>
        <w:tab/>
      </w:r>
      <w:r w:rsidRPr="00A52AB8">
        <w:rPr>
          <w:rFonts w:eastAsia="Times New Roman"/>
          <w:color w:val="000000"/>
        </w:rPr>
        <w:tab/>
        <w:t>}</w:t>
      </w:r>
      <w:r w:rsidRPr="00A52AB8">
        <w:rPr>
          <w:rFonts w:eastAsia="Times New Roman"/>
          <w:color w:val="000000"/>
        </w:rPr>
        <w:br/>
      </w:r>
      <w:r w:rsidRPr="00A52AB8">
        <w:rPr>
          <w:rFonts w:eastAsia="Times New Roman"/>
          <w:color w:val="000000"/>
        </w:rPr>
        <w:tab/>
        <w:t>}</w:t>
      </w:r>
    </w:p>
    <w:p w14:paraId="33DE12E3" w14:textId="6B5B8F0C" w:rsidR="00C448D6" w:rsidRPr="00A52AB8" w:rsidRDefault="00C448D6" w:rsidP="00007BE2">
      <w:pPr>
        <w:pStyle w:val="a5"/>
        <w:numPr>
          <w:ilvl w:val="4"/>
          <w:numId w:val="19"/>
        </w:numPr>
      </w:pPr>
      <w:bookmarkStart w:id="6350" w:name="_Ref50115406"/>
      <w:r w:rsidRPr="00A52AB8">
        <w:t>Neighbouring patches determination</w:t>
      </w:r>
      <w:bookmarkEnd w:id="6350"/>
    </w:p>
    <w:p w14:paraId="660BB43B" w14:textId="77777777" w:rsidR="00C448D6" w:rsidRPr="00A52AB8" w:rsidRDefault="00C448D6" w:rsidP="00C448D6">
      <w:pPr>
        <w:rPr>
          <w:rFonts w:eastAsia="Times New Roman"/>
          <w:color w:val="000000"/>
        </w:rPr>
      </w:pPr>
      <w:r w:rsidRPr="00A52AB8">
        <w:rPr>
          <w:lang w:eastAsia="ja-JP"/>
        </w:rPr>
        <w:t>Inputs to this process are:</w:t>
      </w:r>
    </w:p>
    <w:p w14:paraId="6A0E2947" w14:textId="09C08BC7" w:rsidR="00C448D6" w:rsidRPr="00A52AB8" w:rsidRDefault="0017304D" w:rsidP="00C448D6">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variable </w:t>
      </w:r>
      <w:r w:rsidR="00C448D6" w:rsidRPr="00A52AB8">
        <w:rPr>
          <w:color w:val="000000" w:themeColor="text1"/>
        </w:rPr>
        <w:t xml:space="preserve">pIdx, indicating the patch index, </w:t>
      </w:r>
      <w:r w:rsidR="008D14A1" w:rsidRPr="00A52AB8">
        <w:rPr>
          <w:color w:val="000000" w:themeColor="text1"/>
        </w:rPr>
        <w:t>and</w:t>
      </w:r>
    </w:p>
    <w:p w14:paraId="1694B3D9" w14:textId="3ABF09F0" w:rsidR="00C448D6" w:rsidRPr="00A52AB8" w:rsidRDefault="0017304D" w:rsidP="00C448D6">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3D array </w:t>
      </w:r>
      <w:r w:rsidR="00C448D6" w:rsidRPr="00A52AB8">
        <w:rPr>
          <w:color w:val="000000" w:themeColor="text1"/>
        </w:rPr>
        <w:t>bBox, of size Atlas</w:t>
      </w:r>
      <w:r w:rsidR="00D12C68" w:rsidRPr="00A52AB8">
        <w:rPr>
          <w:color w:val="000000" w:themeColor="text1"/>
        </w:rPr>
        <w:t>TotalNum</w:t>
      </w:r>
      <w:r w:rsidR="00C448D6" w:rsidRPr="00A52AB8">
        <w:rPr>
          <w:color w:val="000000" w:themeColor="text1"/>
        </w:rPr>
        <w:t>Patches × 2 × 3</w:t>
      </w:r>
      <w:r w:rsidR="008D14A1" w:rsidRPr="00A52AB8">
        <w:rPr>
          <w:color w:val="000000" w:themeColor="text1"/>
        </w:rPr>
        <w:t>.</w:t>
      </w:r>
    </w:p>
    <w:p w14:paraId="2A5BFC1C" w14:textId="72A12A4A" w:rsidR="00C448D6" w:rsidRPr="00A52AB8" w:rsidRDefault="00C448D6" w:rsidP="00C448D6">
      <w:pPr>
        <w:rPr>
          <w:lang w:eastAsia="ja-JP"/>
        </w:rPr>
      </w:pPr>
      <w:r w:rsidRPr="00A52AB8">
        <w:rPr>
          <w:lang w:eastAsia="ja-JP"/>
        </w:rPr>
        <w:t>Outputs of this process are:</w:t>
      </w:r>
    </w:p>
    <w:p w14:paraId="57174623" w14:textId="4DED2250" w:rsidR="008D14A1" w:rsidRPr="00A52AB8" w:rsidRDefault="0017304D" w:rsidP="008D14A1">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variable </w:t>
      </w:r>
      <w:r w:rsidR="008D14A1" w:rsidRPr="00A52AB8">
        <w:rPr>
          <w:color w:val="000000" w:themeColor="text1"/>
        </w:rPr>
        <w:t>neighPatchCnt, indicating the number of neighbouring patches for the patch with index pIdx, and</w:t>
      </w:r>
    </w:p>
    <w:p w14:paraId="32EA916B" w14:textId="1D4A4702" w:rsidR="008D14A1" w:rsidRPr="00A52AB8" w:rsidRDefault="0017304D" w:rsidP="008D14A1">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1D array </w:t>
      </w:r>
      <w:r w:rsidR="008D14A1" w:rsidRPr="00A52AB8">
        <w:rPr>
          <w:color w:val="000000" w:themeColor="text1"/>
        </w:rPr>
        <w:t>neighbouringPatches, of size Atlas</w:t>
      </w:r>
      <w:r w:rsidR="00D12C68" w:rsidRPr="00A52AB8">
        <w:rPr>
          <w:color w:val="000000" w:themeColor="text1"/>
        </w:rPr>
        <w:t>TotalNum</w:t>
      </w:r>
      <w:r w:rsidR="008D14A1" w:rsidRPr="00A52AB8">
        <w:rPr>
          <w:color w:val="000000" w:themeColor="text1"/>
        </w:rPr>
        <w:t>Patches.</w:t>
      </w:r>
    </w:p>
    <w:p w14:paraId="2BE04DD9" w14:textId="77777777" w:rsidR="008D14A1" w:rsidRPr="00A52AB8" w:rsidRDefault="008D14A1" w:rsidP="00C448D6">
      <w:pPr>
        <w:rPr>
          <w:lang w:eastAsia="ja-JP"/>
        </w:rPr>
      </w:pPr>
    </w:p>
    <w:p w14:paraId="76EFE80B" w14:textId="128ADA25" w:rsidR="00C448D6" w:rsidRPr="00A52AB8" w:rsidRDefault="00C448D6" w:rsidP="00C448D6">
      <w:p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textAlignment w:val="baseline"/>
        <w:rPr>
          <w:color w:val="000000" w:themeColor="text1"/>
        </w:rPr>
      </w:pPr>
      <w:r w:rsidRPr="00A52AB8">
        <w:rPr>
          <w:color w:val="000000" w:themeColor="text1"/>
        </w:rPr>
        <w:t>Let neighPatchCnt be initialized as follows:</w:t>
      </w:r>
    </w:p>
    <w:p w14:paraId="2068FE49" w14:textId="2B96491D" w:rsidR="00C448D6" w:rsidRPr="00A52AB8" w:rsidRDefault="00C448D6" w:rsidP="00C448D6">
      <w:pPr>
        <w:rPr>
          <w:color w:val="000000" w:themeColor="text1"/>
        </w:rPr>
      </w:pPr>
      <w:r w:rsidRPr="00A52AB8">
        <w:rPr>
          <w:color w:val="000000" w:themeColor="text1"/>
        </w:rPr>
        <w:tab/>
        <w:t>neighPatchCnt</w:t>
      </w:r>
      <w:r w:rsidR="00D47707" w:rsidRPr="00A52AB8">
        <w:rPr>
          <w:color w:val="000000" w:themeColor="text1"/>
        </w:rPr>
        <w:t> = </w:t>
      </w:r>
      <w:r w:rsidRPr="00A52AB8">
        <w:rPr>
          <w:color w:val="000000" w:themeColor="text1"/>
        </w:rPr>
        <w:t>0</w:t>
      </w:r>
    </w:p>
    <w:p w14:paraId="730B1B2A" w14:textId="77777777" w:rsidR="00C448D6" w:rsidRPr="00A52AB8" w:rsidRDefault="00C448D6" w:rsidP="00C448D6">
      <w:p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textAlignment w:val="baseline"/>
        <w:rPr>
          <w:color w:val="000000" w:themeColor="text1"/>
        </w:rPr>
      </w:pPr>
      <w:r w:rsidRPr="00A52AB8">
        <w:rPr>
          <w:color w:val="000000" w:themeColor="text1"/>
        </w:rPr>
        <w:t>Then the following applies:</w:t>
      </w:r>
    </w:p>
    <w:p w14:paraId="58FBF2DD" w14:textId="5BF3B5AD" w:rsidR="00C448D6" w:rsidRPr="00A52AB8" w:rsidRDefault="00C448D6" w:rsidP="00F475AD">
      <w:pPr>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s>
        <w:jc w:val="left"/>
        <w:rPr>
          <w:color w:val="000000" w:themeColor="text1"/>
        </w:rPr>
      </w:pPr>
      <w:r w:rsidRPr="00A52AB8">
        <w:rPr>
          <w:color w:val="000000" w:themeColor="text1"/>
        </w:rPr>
        <w:tab/>
        <w:t>for( p</w:t>
      </w:r>
      <w:r w:rsidR="00D47707" w:rsidRPr="00A52AB8">
        <w:rPr>
          <w:color w:val="000000" w:themeColor="text1"/>
        </w:rPr>
        <w:t> = </w:t>
      </w:r>
      <w:r w:rsidRPr="00A52AB8">
        <w:rPr>
          <w:color w:val="000000" w:themeColor="text1"/>
        </w:rPr>
        <w:t>0; p &lt; Atlas</w:t>
      </w:r>
      <w:r w:rsidR="00D12C68" w:rsidRPr="00A52AB8">
        <w:rPr>
          <w:color w:val="000000" w:themeColor="text1"/>
        </w:rPr>
        <w:t>TotalNum</w:t>
      </w:r>
      <w:r w:rsidRPr="00A52AB8">
        <w:rPr>
          <w:color w:val="000000" w:themeColor="text1"/>
        </w:rPr>
        <w:t>Patches; p++ </w:t>
      </w:r>
      <w:r w:rsidR="008F1F82" w:rsidRPr="00A52AB8">
        <w:rPr>
          <w:color w:val="000000" w:themeColor="text1"/>
        </w:rPr>
        <w:t>) {</w:t>
      </w:r>
      <w:r w:rsidRPr="00A52AB8">
        <w:rPr>
          <w:color w:val="000000" w:themeColor="text1"/>
        </w:rPr>
        <w:br/>
      </w:r>
      <w:r w:rsidRPr="00A52AB8">
        <w:rPr>
          <w:color w:val="000000" w:themeColor="text1"/>
        </w:rPr>
        <w:tab/>
      </w:r>
      <w:r w:rsidRPr="00A52AB8">
        <w:rPr>
          <w:color w:val="000000" w:themeColor="text1"/>
        </w:rPr>
        <w:tab/>
        <w:t>isIntersect</w:t>
      </w:r>
      <w:r w:rsidR="00D47707" w:rsidRPr="00A52AB8">
        <w:rPr>
          <w:color w:val="000000" w:themeColor="text1"/>
        </w:rPr>
        <w:t> = </w:t>
      </w:r>
      <w:r w:rsidRPr="00A52AB8">
        <w:rPr>
          <w:color w:val="000000" w:themeColor="text1"/>
        </w:rPr>
        <w:t>0</w:t>
      </w:r>
      <w:r w:rsidRPr="00A52AB8">
        <w:rPr>
          <w:color w:val="000000" w:themeColor="text1"/>
        </w:rPr>
        <w:br/>
      </w:r>
      <w:r w:rsidRPr="00A52AB8">
        <w:rPr>
          <w:color w:val="000000" w:themeColor="text1"/>
        </w:rPr>
        <w:tab/>
      </w:r>
      <w:r w:rsidRPr="00A52AB8">
        <w:rPr>
          <w:color w:val="000000" w:themeColor="text1"/>
        </w:rPr>
        <w:tab/>
        <w:t>if( p </w:t>
      </w:r>
      <w:r w:rsidR="00E963F3" w:rsidRPr="00A52AB8">
        <w:rPr>
          <w:color w:val="000000" w:themeColor="text1"/>
        </w:rPr>
        <w:t>!=</w:t>
      </w:r>
      <w:r w:rsidR="00D47707" w:rsidRPr="00A52AB8">
        <w:rPr>
          <w:color w:val="000000" w:themeColor="text1"/>
        </w:rPr>
        <w:t> </w:t>
      </w:r>
      <w:r w:rsidRPr="00A52AB8">
        <w:rPr>
          <w:color w:val="000000" w:themeColor="text1"/>
        </w:rPr>
        <w:t>pIdx</w:t>
      </w:r>
      <w:r w:rsidR="008F1F82" w:rsidRPr="00A52AB8">
        <w:rPr>
          <w:color w:val="000000" w:themeColor="text1"/>
        </w:rPr>
        <w:t>) {</w:t>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t>isIntersect =</w:t>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t>bBox[ pIdx ][ 1 ][ 0 ] </w:t>
      </w:r>
      <w:r w:rsidR="00A234FD" w:rsidRPr="00A52AB8">
        <w:rPr>
          <w:color w:val="000000" w:themeColor="text1"/>
        </w:rPr>
        <w:t>&gt;=</w:t>
      </w:r>
      <w:r w:rsidR="00D47707" w:rsidRPr="00A52AB8">
        <w:rPr>
          <w:color w:val="000000" w:themeColor="text1"/>
        </w:rPr>
        <w:t> </w:t>
      </w:r>
      <w:r w:rsidRPr="00A52AB8">
        <w:rPr>
          <w:color w:val="000000" w:themeColor="text1"/>
        </w:rPr>
        <w:t>bBox[ p ][ 0 ][ 0 ] &amp;&amp;</w:t>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t>bBox[ pIdx ][ 0 ][ 0 ] </w:t>
      </w:r>
      <w:r w:rsidR="00A234FD" w:rsidRPr="00A52AB8">
        <w:rPr>
          <w:color w:val="000000" w:themeColor="text1"/>
        </w:rPr>
        <w:t>&lt;=</w:t>
      </w:r>
      <w:r w:rsidR="00D47707" w:rsidRPr="00A52AB8">
        <w:rPr>
          <w:color w:val="000000" w:themeColor="text1"/>
        </w:rPr>
        <w:t> </w:t>
      </w:r>
      <w:r w:rsidRPr="00A52AB8">
        <w:rPr>
          <w:color w:val="000000" w:themeColor="text1"/>
        </w:rPr>
        <w:t>bBox[ p ][ 1 ][ 0 ] &amp;&amp;</w:t>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t>bBox[ pIdx ][ 1 ][ 1 ] </w:t>
      </w:r>
      <w:r w:rsidR="00A234FD" w:rsidRPr="00A52AB8">
        <w:rPr>
          <w:color w:val="000000" w:themeColor="text1"/>
        </w:rPr>
        <w:t>&gt;=</w:t>
      </w:r>
      <w:r w:rsidR="00D47707" w:rsidRPr="00A52AB8">
        <w:rPr>
          <w:color w:val="000000" w:themeColor="text1"/>
        </w:rPr>
        <w:t> </w:t>
      </w:r>
      <w:r w:rsidRPr="00A52AB8">
        <w:rPr>
          <w:color w:val="000000" w:themeColor="text1"/>
        </w:rPr>
        <w:t>bBox[ p ][ 0 ][ 1 ] &amp;&amp;</w:t>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t>bBox[ pIdx ][ 0 ][ 1 ] </w:t>
      </w:r>
      <w:r w:rsidR="00A234FD" w:rsidRPr="00A52AB8">
        <w:rPr>
          <w:color w:val="000000" w:themeColor="text1"/>
        </w:rPr>
        <w:t>&lt;=</w:t>
      </w:r>
      <w:r w:rsidR="00D47707" w:rsidRPr="00A52AB8">
        <w:rPr>
          <w:color w:val="000000" w:themeColor="text1"/>
        </w:rPr>
        <w:t> </w:t>
      </w:r>
      <w:r w:rsidRPr="00A52AB8">
        <w:rPr>
          <w:color w:val="000000" w:themeColor="text1"/>
        </w:rPr>
        <w:t>bBox[ p ][ 1 ][ 1 ] &amp;&amp;</w:t>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t>bBox[ pIdx ][ 1 ][ 2 ] </w:t>
      </w:r>
      <w:r w:rsidR="00A234FD" w:rsidRPr="00A52AB8">
        <w:rPr>
          <w:color w:val="000000" w:themeColor="text1"/>
        </w:rPr>
        <w:t>&gt;=</w:t>
      </w:r>
      <w:r w:rsidR="00D47707" w:rsidRPr="00A52AB8">
        <w:rPr>
          <w:color w:val="000000" w:themeColor="text1"/>
        </w:rPr>
        <w:t> </w:t>
      </w:r>
      <w:r w:rsidRPr="00A52AB8">
        <w:rPr>
          <w:color w:val="000000" w:themeColor="text1"/>
        </w:rPr>
        <w:t>bBox[ p ][ 0 ][ 2 ] &amp;&amp;</w:t>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t>bBox[ pIdx ][ 0 ][ 2 ] </w:t>
      </w:r>
      <w:r w:rsidR="00A234FD" w:rsidRPr="00A52AB8">
        <w:rPr>
          <w:color w:val="000000" w:themeColor="text1"/>
        </w:rPr>
        <w:t>&lt;=</w:t>
      </w:r>
      <w:r w:rsidR="00D47707" w:rsidRPr="00A52AB8">
        <w:rPr>
          <w:color w:val="000000" w:themeColor="text1"/>
        </w:rPr>
        <w:t> </w:t>
      </w:r>
      <w:r w:rsidRPr="00A52AB8">
        <w:rPr>
          <w:color w:val="000000" w:themeColor="text1"/>
        </w:rPr>
        <w:t>bBox[ p ][ 1 ][ 2 ]</w:t>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t>if( isIntersect </w:t>
      </w:r>
      <w:r w:rsidR="008F1F82" w:rsidRPr="00A52AB8">
        <w:rPr>
          <w:color w:val="000000" w:themeColor="text1"/>
        </w:rPr>
        <w:t>) {</w:t>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t>neighbouringPatches[ neighPatchCnt ]</w:t>
      </w:r>
      <w:r w:rsidR="00D47707" w:rsidRPr="00A52AB8">
        <w:rPr>
          <w:color w:val="000000" w:themeColor="text1"/>
        </w:rPr>
        <w:t> = </w:t>
      </w:r>
      <w:r w:rsidRPr="00A52AB8">
        <w:rPr>
          <w:color w:val="000000" w:themeColor="text1"/>
        </w:rPr>
        <w:t>p</w:t>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t>neighPatchCnt++</w:t>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t>}</w:t>
      </w:r>
      <w:r w:rsidRPr="00A52AB8">
        <w:rPr>
          <w:color w:val="000000" w:themeColor="text1"/>
        </w:rPr>
        <w:br/>
      </w:r>
      <w:r w:rsidRPr="00A52AB8">
        <w:rPr>
          <w:color w:val="000000" w:themeColor="text1"/>
        </w:rPr>
        <w:tab/>
      </w:r>
      <w:r w:rsidRPr="00A52AB8">
        <w:rPr>
          <w:color w:val="000000" w:themeColor="text1"/>
        </w:rPr>
        <w:tab/>
        <w:t>}</w:t>
      </w:r>
      <w:r w:rsidRPr="00A52AB8">
        <w:rPr>
          <w:color w:val="000000" w:themeColor="text1"/>
        </w:rPr>
        <w:br/>
      </w:r>
      <w:r w:rsidRPr="00A52AB8">
        <w:rPr>
          <w:color w:val="000000" w:themeColor="text1"/>
        </w:rPr>
        <w:tab/>
        <w:t>}</w:t>
      </w:r>
    </w:p>
    <w:p w14:paraId="3ED58BD8" w14:textId="67B221CF" w:rsidR="00C448D6" w:rsidRPr="00A52AB8" w:rsidRDefault="00C448D6">
      <w:pPr>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s>
        <w:jc w:val="left"/>
        <w:rPr>
          <w:color w:val="000000" w:themeColor="text1"/>
        </w:rPr>
      </w:pPr>
    </w:p>
    <w:p w14:paraId="0B9BA2ED" w14:textId="43E5B578" w:rsidR="00F62FF6" w:rsidRPr="00A52AB8" w:rsidRDefault="00F62FF6" w:rsidP="00007BE2">
      <w:pPr>
        <w:pStyle w:val="a5"/>
        <w:numPr>
          <w:ilvl w:val="4"/>
          <w:numId w:val="19"/>
        </w:numPr>
      </w:pPr>
      <w:bookmarkStart w:id="6351" w:name="_Ref50215769"/>
      <w:r w:rsidRPr="00A52AB8">
        <w:t>Neighbouring depth determination</w:t>
      </w:r>
      <w:bookmarkEnd w:id="6351"/>
    </w:p>
    <w:p w14:paraId="090B4A4C" w14:textId="77777777" w:rsidR="00F62FF6" w:rsidRPr="00A52AB8" w:rsidRDefault="00F62FF6" w:rsidP="00F62FF6">
      <w:pPr>
        <w:rPr>
          <w:rFonts w:eastAsia="Times New Roman"/>
          <w:color w:val="000000"/>
        </w:rPr>
      </w:pPr>
      <w:r w:rsidRPr="00A52AB8">
        <w:rPr>
          <w:lang w:eastAsia="ja-JP"/>
        </w:rPr>
        <w:t>Inputs to this process are:</w:t>
      </w:r>
    </w:p>
    <w:p w14:paraId="2246659F" w14:textId="632EA20E" w:rsidR="008307CF" w:rsidRPr="00A52AB8" w:rsidRDefault="00FB5D5A" w:rsidP="00F62FF6">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variable </w:t>
      </w:r>
      <w:r w:rsidR="008307CF" w:rsidRPr="00A52AB8">
        <w:rPr>
          <w:color w:val="000000" w:themeColor="text1"/>
        </w:rPr>
        <w:t>depthThreshold, indicating the threshold for determining the neighbo</w:t>
      </w:r>
      <w:r w:rsidR="00985B55" w:rsidRPr="00A52AB8">
        <w:rPr>
          <w:color w:val="000000" w:themeColor="text1"/>
        </w:rPr>
        <w:t>u</w:t>
      </w:r>
      <w:r w:rsidR="008307CF" w:rsidRPr="00A52AB8">
        <w:rPr>
          <w:color w:val="000000" w:themeColor="text1"/>
        </w:rPr>
        <w:t>ring depth value,</w:t>
      </w:r>
    </w:p>
    <w:p w14:paraId="30431A7E" w14:textId="77777777" w:rsidR="0050235C" w:rsidRPr="00A52AB8" w:rsidRDefault="00FB5D5A" w:rsidP="00F62FF6">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variable boxExtension, indicating </w:t>
      </w:r>
      <w:r w:rsidR="002F773A" w:rsidRPr="00A52AB8">
        <w:rPr>
          <w:color w:val="000000" w:themeColor="text1"/>
        </w:rPr>
        <w:t xml:space="preserve">by how much the bounding </w:t>
      </w:r>
      <w:r w:rsidRPr="00A52AB8">
        <w:rPr>
          <w:color w:val="000000" w:themeColor="text1"/>
        </w:rPr>
        <w:t>box</w:t>
      </w:r>
      <w:r w:rsidR="002F773A" w:rsidRPr="00A52AB8">
        <w:rPr>
          <w:color w:val="000000" w:themeColor="text1"/>
        </w:rPr>
        <w:t xml:space="preserve"> should be extended</w:t>
      </w:r>
      <w:r w:rsidRPr="00A52AB8">
        <w:rPr>
          <w:color w:val="000000" w:themeColor="text1"/>
        </w:rPr>
        <w:t>,</w:t>
      </w:r>
    </w:p>
    <w:p w14:paraId="4B6D52C1" w14:textId="0F8115FD" w:rsidR="008307CF" w:rsidRPr="00A52AB8" w:rsidRDefault="00FB5D5A">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1D array </w:t>
      </w:r>
      <w:r w:rsidR="00F62FF6" w:rsidRPr="00A52AB8">
        <w:rPr>
          <w:color w:val="000000" w:themeColor="text1"/>
        </w:rPr>
        <w:t>borderPointCnt</w:t>
      </w:r>
      <w:r w:rsidR="0017304D" w:rsidRPr="00A52AB8">
        <w:rPr>
          <w:color w:val="000000" w:themeColor="text1"/>
        </w:rPr>
        <w:t>,</w:t>
      </w:r>
      <w:r w:rsidR="00F62FF6" w:rsidRPr="00A52AB8">
        <w:rPr>
          <w:color w:val="000000" w:themeColor="text1"/>
        </w:rPr>
        <w:t xml:space="preserve"> of size Atlas</w:t>
      </w:r>
      <w:r w:rsidR="00D12C68" w:rsidRPr="00A52AB8">
        <w:rPr>
          <w:color w:val="000000" w:themeColor="text1"/>
        </w:rPr>
        <w:t>TotalNum</w:t>
      </w:r>
      <w:r w:rsidR="00F62FF6" w:rsidRPr="00A52AB8">
        <w:rPr>
          <w:color w:val="000000" w:themeColor="text1"/>
        </w:rPr>
        <w:t>Patches</w:t>
      </w:r>
      <w:r w:rsidR="00BC7493" w:rsidRPr="00A52AB8">
        <w:rPr>
          <w:color w:val="000000" w:themeColor="text1"/>
        </w:rPr>
        <w:t>,</w:t>
      </w:r>
    </w:p>
    <w:p w14:paraId="6A523B51" w14:textId="0357C968" w:rsidR="00F62FF6" w:rsidRPr="00A52AB8" w:rsidRDefault="00FB5D5A" w:rsidP="00F62FF6">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3D array </w:t>
      </w:r>
      <w:r w:rsidR="00F62FF6" w:rsidRPr="00A52AB8">
        <w:rPr>
          <w:color w:val="000000" w:themeColor="text1"/>
        </w:rPr>
        <w:t>borderPoints</w:t>
      </w:r>
      <w:r w:rsidR="0017304D" w:rsidRPr="00A52AB8">
        <w:rPr>
          <w:color w:val="000000" w:themeColor="text1"/>
        </w:rPr>
        <w:t>,</w:t>
      </w:r>
      <w:r w:rsidRPr="00A52AB8">
        <w:rPr>
          <w:color w:val="000000" w:themeColor="text1"/>
        </w:rPr>
        <w:t xml:space="preserve"> </w:t>
      </w:r>
      <w:r w:rsidR="00F62FF6" w:rsidRPr="00A52AB8">
        <w:rPr>
          <w:color w:val="000000" w:themeColor="text1"/>
        </w:rPr>
        <w:t>of</w:t>
      </w:r>
      <w:r w:rsidRPr="00A52AB8">
        <w:rPr>
          <w:color w:val="000000" w:themeColor="text1"/>
        </w:rPr>
        <w:t xml:space="preserve"> </w:t>
      </w:r>
      <w:r w:rsidR="00F62FF6" w:rsidRPr="00A52AB8">
        <w:rPr>
          <w:color w:val="000000" w:themeColor="text1"/>
        </w:rPr>
        <w:t>size</w:t>
      </w:r>
      <w:r w:rsidR="00234369" w:rsidRPr="00A52AB8">
        <w:rPr>
          <w:color w:val="000000" w:themeColor="text1"/>
        </w:rPr>
        <w:t xml:space="preserve"> </w:t>
      </w:r>
      <w:r w:rsidR="00F62FF6" w:rsidRPr="00A52AB8">
        <w:rPr>
          <w:color w:val="000000" w:themeColor="text1"/>
        </w:rPr>
        <w:t>Atlas</w:t>
      </w:r>
      <w:r w:rsidR="00D12C68" w:rsidRPr="00A52AB8">
        <w:rPr>
          <w:color w:val="000000" w:themeColor="text1"/>
        </w:rPr>
        <w:t>TotalNum</w:t>
      </w:r>
      <w:r w:rsidR="00F62FF6" w:rsidRPr="00A52AB8">
        <w:rPr>
          <w:color w:val="000000" w:themeColor="text1"/>
        </w:rPr>
        <w:t>Patches× </w:t>
      </w:r>
      <w:r w:rsidR="00234369" w:rsidRPr="00A52AB8">
        <w:rPr>
          <w:color w:val="000000" w:themeColor="text1"/>
        </w:rPr>
        <w:t>AspsFrameSize</w:t>
      </w:r>
      <w:r w:rsidR="00F62FF6" w:rsidRPr="00A52AB8">
        <w:rPr>
          <w:color w:val="000000" w:themeColor="text1"/>
        </w:rPr>
        <w:t> × 3</w:t>
      </w:r>
      <w:r w:rsidR="00BC7493" w:rsidRPr="00A52AB8">
        <w:rPr>
          <w:color w:val="000000" w:themeColor="text1"/>
        </w:rPr>
        <w:t>,</w:t>
      </w:r>
    </w:p>
    <w:p w14:paraId="2CC206C4" w14:textId="461B70CE" w:rsidR="00F62FF6" w:rsidRPr="00A52AB8" w:rsidRDefault="00FB5D5A" w:rsidP="00F62FF6">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3D array </w:t>
      </w:r>
      <w:r w:rsidR="00F62FF6" w:rsidRPr="00A52AB8">
        <w:rPr>
          <w:color w:val="000000" w:themeColor="text1"/>
        </w:rPr>
        <w:t>bBox</w:t>
      </w:r>
      <w:r w:rsidR="0017304D" w:rsidRPr="00A52AB8">
        <w:rPr>
          <w:color w:val="000000" w:themeColor="text1"/>
        </w:rPr>
        <w:t>,</w:t>
      </w:r>
      <w:r w:rsidRPr="00A52AB8">
        <w:rPr>
          <w:color w:val="000000" w:themeColor="text1"/>
        </w:rPr>
        <w:t xml:space="preserve"> </w:t>
      </w:r>
      <w:r w:rsidR="00F62FF6" w:rsidRPr="00A52AB8">
        <w:rPr>
          <w:color w:val="000000" w:themeColor="text1"/>
        </w:rPr>
        <w:t>of size Atlas</w:t>
      </w:r>
      <w:r w:rsidR="00D12C68" w:rsidRPr="00A52AB8">
        <w:rPr>
          <w:color w:val="000000" w:themeColor="text1"/>
        </w:rPr>
        <w:t>TotalNum</w:t>
      </w:r>
      <w:r w:rsidR="00F62FF6" w:rsidRPr="00A52AB8">
        <w:rPr>
          <w:color w:val="000000" w:themeColor="text1"/>
        </w:rPr>
        <w:t>Patches × 2 × 3</w:t>
      </w:r>
      <w:r w:rsidR="00BC7493" w:rsidRPr="00A52AB8">
        <w:rPr>
          <w:color w:val="000000" w:themeColor="text1"/>
        </w:rPr>
        <w:t>,</w:t>
      </w:r>
    </w:p>
    <w:p w14:paraId="4FD7B4F7" w14:textId="59DC7F3A" w:rsidR="00F62FF6" w:rsidRPr="00A52AB8" w:rsidRDefault="00FB5D5A" w:rsidP="00F62FF6">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1D array </w:t>
      </w:r>
      <w:r w:rsidR="00F62FF6" w:rsidRPr="00A52AB8">
        <w:rPr>
          <w:color w:val="000000" w:themeColor="text1"/>
        </w:rPr>
        <w:t>neighPatchCnt</w:t>
      </w:r>
      <w:r w:rsidR="0017304D" w:rsidRPr="00A52AB8">
        <w:rPr>
          <w:color w:val="000000" w:themeColor="text1"/>
        </w:rPr>
        <w:t>,</w:t>
      </w:r>
      <w:r w:rsidR="00F62FF6" w:rsidRPr="00A52AB8">
        <w:rPr>
          <w:color w:val="000000" w:themeColor="text1"/>
        </w:rPr>
        <w:t xml:space="preserve"> of size Atlas</w:t>
      </w:r>
      <w:r w:rsidR="00D12C68" w:rsidRPr="00A52AB8">
        <w:rPr>
          <w:color w:val="000000" w:themeColor="text1"/>
        </w:rPr>
        <w:t>TotalNum</w:t>
      </w:r>
      <w:r w:rsidR="00F62FF6" w:rsidRPr="00A52AB8">
        <w:rPr>
          <w:color w:val="000000" w:themeColor="text1"/>
        </w:rPr>
        <w:t>Patches</w:t>
      </w:r>
      <w:r w:rsidR="00BC7493" w:rsidRPr="00A52AB8">
        <w:rPr>
          <w:color w:val="000000" w:themeColor="text1"/>
        </w:rPr>
        <w:t>, and</w:t>
      </w:r>
    </w:p>
    <w:p w14:paraId="1293EC2A" w14:textId="0C122DF4" w:rsidR="00F62FF6" w:rsidRPr="00A52AB8" w:rsidRDefault="00FB5D5A">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1D array </w:t>
      </w:r>
      <w:r w:rsidR="00F62FF6" w:rsidRPr="00A52AB8">
        <w:rPr>
          <w:color w:val="000000" w:themeColor="text1"/>
        </w:rPr>
        <w:t>neighbouringPatches</w:t>
      </w:r>
      <w:r w:rsidR="0017304D" w:rsidRPr="00A52AB8">
        <w:rPr>
          <w:color w:val="000000" w:themeColor="text1"/>
        </w:rPr>
        <w:t>,</w:t>
      </w:r>
      <w:r w:rsidR="00F62FF6" w:rsidRPr="00A52AB8">
        <w:rPr>
          <w:color w:val="000000" w:themeColor="text1"/>
        </w:rPr>
        <w:t xml:space="preserve"> of size Atlas</w:t>
      </w:r>
      <w:r w:rsidR="00D12C68" w:rsidRPr="00A52AB8">
        <w:rPr>
          <w:color w:val="000000" w:themeColor="text1"/>
        </w:rPr>
        <w:t>TotalNum</w:t>
      </w:r>
      <w:r w:rsidR="00F62FF6" w:rsidRPr="00A52AB8">
        <w:rPr>
          <w:color w:val="000000" w:themeColor="text1"/>
        </w:rPr>
        <w:t>Patches.</w:t>
      </w:r>
    </w:p>
    <w:p w14:paraId="2A8A6B17" w14:textId="6EED4E2D" w:rsidR="00F62FF6" w:rsidRPr="00A52AB8" w:rsidRDefault="00F62FF6" w:rsidP="00F62FF6">
      <w:pPr>
        <w:rPr>
          <w:lang w:eastAsia="ja-JP"/>
        </w:rPr>
      </w:pPr>
      <w:r w:rsidRPr="00A52AB8">
        <w:rPr>
          <w:lang w:eastAsia="ja-JP"/>
        </w:rPr>
        <w:t xml:space="preserve">Output of this process </w:t>
      </w:r>
      <w:r w:rsidR="00BC7493" w:rsidRPr="00A52AB8">
        <w:rPr>
          <w:lang w:eastAsia="ja-JP"/>
        </w:rPr>
        <w:t>is</w:t>
      </w:r>
      <w:r w:rsidRPr="00A52AB8">
        <w:rPr>
          <w:lang w:eastAsia="ja-JP"/>
        </w:rPr>
        <w:t>:</w:t>
      </w:r>
    </w:p>
    <w:p w14:paraId="45A1E99B" w14:textId="049B02C6" w:rsidR="00F62FF6" w:rsidRPr="00A52AB8" w:rsidRDefault="00FB5D5A" w:rsidP="00F62FF6">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2D array </w:t>
      </w:r>
      <w:r w:rsidR="0032467E" w:rsidRPr="00A52AB8">
        <w:rPr>
          <w:color w:val="000000" w:themeColor="text1"/>
        </w:rPr>
        <w:t>neighbourDepth</w:t>
      </w:r>
      <w:r w:rsidR="0017304D" w:rsidRPr="00A52AB8">
        <w:rPr>
          <w:color w:val="000000" w:themeColor="text1"/>
        </w:rPr>
        <w:t>,</w:t>
      </w:r>
      <w:r w:rsidR="00F62FF6" w:rsidRPr="00A52AB8">
        <w:rPr>
          <w:color w:val="000000" w:themeColor="text1"/>
        </w:rPr>
        <w:t xml:space="preserve"> of size asps_frame_height × asps_frame_width.</w:t>
      </w:r>
    </w:p>
    <w:p w14:paraId="1D4BD7A7" w14:textId="35CBB95C" w:rsidR="00BE591C" w:rsidRPr="00A52AB8" w:rsidRDefault="00BE591C" w:rsidP="00007BE2">
      <w:p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textAlignment w:val="baseline"/>
        <w:rPr>
          <w:color w:val="000000" w:themeColor="text1"/>
        </w:rPr>
      </w:pPr>
      <w:r w:rsidRPr="00A52AB8">
        <w:rPr>
          <w:color w:val="000000" w:themeColor="text1"/>
        </w:rPr>
        <w:t>The neighbouring depth values are initialized as follows</w:t>
      </w:r>
      <w:r w:rsidR="00FB5D5A" w:rsidRPr="00A52AB8">
        <w:rPr>
          <w:color w:val="000000" w:themeColor="text1"/>
        </w:rPr>
        <w:t>:</w:t>
      </w:r>
    </w:p>
    <w:p w14:paraId="6B082FA0" w14:textId="71A45935" w:rsidR="00FB5D5A" w:rsidRPr="00A52AB8" w:rsidRDefault="00BE591C" w:rsidP="00BE591C">
      <w:p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textAlignment w:val="baseline"/>
        <w:rPr>
          <w:color w:val="000000" w:themeColor="text1"/>
        </w:rPr>
      </w:pPr>
      <w:r w:rsidRPr="00A52AB8">
        <w:rPr>
          <w:color w:val="000000" w:themeColor="text1"/>
        </w:rPr>
        <w:tab/>
      </w:r>
      <w:r w:rsidR="00322644" w:rsidRPr="00A52AB8">
        <w:rPr>
          <w:color w:val="000000" w:themeColor="text1"/>
        </w:rPr>
        <w:t>f</w:t>
      </w:r>
      <w:r w:rsidRPr="00A52AB8">
        <w:rPr>
          <w:color w:val="000000" w:themeColor="text1"/>
        </w:rPr>
        <w:t>or ( y</w:t>
      </w:r>
      <w:r w:rsidR="00D47707" w:rsidRPr="00A52AB8">
        <w:rPr>
          <w:color w:val="000000" w:themeColor="text1"/>
        </w:rPr>
        <w:t> = </w:t>
      </w:r>
      <w:r w:rsidRPr="00A52AB8">
        <w:rPr>
          <w:color w:val="000000" w:themeColor="text1"/>
        </w:rPr>
        <w:t xml:space="preserve">0; y &lt; asps_frame_height, y++ ) </w:t>
      </w:r>
      <w:r w:rsidRPr="00A52AB8">
        <w:rPr>
          <w:color w:val="000000" w:themeColor="text1"/>
        </w:rPr>
        <w:br/>
      </w:r>
      <w:r w:rsidRPr="00A52AB8">
        <w:rPr>
          <w:color w:val="000000" w:themeColor="text1"/>
        </w:rPr>
        <w:tab/>
      </w:r>
      <w:r w:rsidRPr="00A52AB8">
        <w:rPr>
          <w:color w:val="000000" w:themeColor="text1"/>
        </w:rPr>
        <w:tab/>
        <w:t>for ( x</w:t>
      </w:r>
      <w:r w:rsidR="00D47707" w:rsidRPr="00A52AB8">
        <w:rPr>
          <w:color w:val="000000" w:themeColor="text1"/>
        </w:rPr>
        <w:t> = </w:t>
      </w:r>
      <w:r w:rsidRPr="00A52AB8">
        <w:rPr>
          <w:color w:val="000000" w:themeColor="text1"/>
        </w:rPr>
        <w:t>0; x &lt; asps_frame_width, x++ )</w:t>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t>neighbourDepth[ y ][ x ]</w:t>
      </w:r>
      <w:r w:rsidR="00D47707" w:rsidRPr="00A52AB8">
        <w:rPr>
          <w:color w:val="000000" w:themeColor="text1"/>
        </w:rPr>
        <w:t> = </w:t>
      </w:r>
      <w:r w:rsidRPr="00A52AB8">
        <w:rPr>
          <w:color w:val="000000" w:themeColor="text1"/>
        </w:rPr>
        <w:t>−1</w:t>
      </w:r>
    </w:p>
    <w:p w14:paraId="710E22C4" w14:textId="0F2B37ED" w:rsidR="00BE591C" w:rsidRPr="00A52AB8" w:rsidRDefault="00BE591C" w:rsidP="00BE591C">
      <w:p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textAlignment w:val="baseline"/>
        <w:rPr>
          <w:color w:val="000000" w:themeColor="text1"/>
        </w:rPr>
      </w:pPr>
      <w:r w:rsidRPr="00A52AB8">
        <w:rPr>
          <w:color w:val="000000" w:themeColor="text1"/>
        </w:rPr>
        <w:t>Then the</w:t>
      </w:r>
      <w:r w:rsidR="008307CF" w:rsidRPr="00A52AB8">
        <w:rPr>
          <w:color w:val="000000" w:themeColor="text1"/>
        </w:rPr>
        <w:t xml:space="preserve"> </w:t>
      </w:r>
      <w:r w:rsidRPr="00A52AB8">
        <w:rPr>
          <w:color w:val="000000" w:themeColor="text1"/>
        </w:rPr>
        <w:t>values are determined as follows</w:t>
      </w:r>
    </w:p>
    <w:p w14:paraId="389A529C" w14:textId="42762D8F" w:rsidR="00013D9F" w:rsidRPr="00A52AB8" w:rsidRDefault="00BE591C" w:rsidP="00013D9F">
      <w:pPr>
        <w:rPr>
          <w:color w:val="000000" w:themeColor="text1"/>
        </w:rPr>
      </w:pPr>
      <w:r w:rsidRPr="00A52AB8">
        <w:rPr>
          <w:color w:val="000000" w:themeColor="text1"/>
        </w:rPr>
        <w:tab/>
        <w:t>for( pIdx</w:t>
      </w:r>
      <w:r w:rsidR="00D47707" w:rsidRPr="00A52AB8">
        <w:rPr>
          <w:color w:val="000000" w:themeColor="text1"/>
        </w:rPr>
        <w:t> = </w:t>
      </w:r>
      <w:r w:rsidRPr="00A52AB8">
        <w:rPr>
          <w:color w:val="000000" w:themeColor="text1"/>
        </w:rPr>
        <w:t>0; pIdx &lt; Atlas</w:t>
      </w:r>
      <w:r w:rsidR="00D12C68" w:rsidRPr="00A52AB8">
        <w:rPr>
          <w:color w:val="000000" w:themeColor="text1"/>
        </w:rPr>
        <w:t>TotalNum</w:t>
      </w:r>
      <w:r w:rsidRPr="00A52AB8">
        <w:rPr>
          <w:color w:val="000000" w:themeColor="text1"/>
        </w:rPr>
        <w:t>Patches, pIdx++ </w:t>
      </w:r>
      <w:r w:rsidR="008F1F82" w:rsidRPr="00A52AB8">
        <w:rPr>
          <w:color w:val="000000" w:themeColor="text1"/>
        </w:rPr>
        <w:t>) {</w:t>
      </w:r>
      <w:r w:rsidRPr="00A52AB8">
        <w:rPr>
          <w:color w:val="000000" w:themeColor="text1"/>
        </w:rPr>
        <w:br/>
      </w:r>
      <w:r w:rsidRPr="00A52AB8">
        <w:rPr>
          <w:color w:val="000000" w:themeColor="text1"/>
        </w:rPr>
        <w:tab/>
      </w:r>
      <w:r w:rsidRPr="00A52AB8">
        <w:rPr>
          <w:color w:val="000000" w:themeColor="text1"/>
        </w:rPr>
        <w:tab/>
        <w:t>for( q</w:t>
      </w:r>
      <w:r w:rsidR="00D47707" w:rsidRPr="00A52AB8">
        <w:rPr>
          <w:color w:val="000000" w:themeColor="text1"/>
        </w:rPr>
        <w:t> = </w:t>
      </w:r>
      <w:r w:rsidRPr="00A52AB8">
        <w:rPr>
          <w:color w:val="000000" w:themeColor="text1"/>
        </w:rPr>
        <w:t>0; q &lt; neighPatchCnt[ pIdx ], q++ </w:t>
      </w:r>
      <w:r w:rsidR="008F1F82" w:rsidRPr="00A52AB8">
        <w:rPr>
          <w:color w:val="000000" w:themeColor="text1"/>
        </w:rPr>
        <w:t>) {</w:t>
      </w:r>
      <w:r w:rsidR="008307CF" w:rsidRPr="00A52AB8">
        <w:rPr>
          <w:color w:val="000000" w:themeColor="text1"/>
        </w:rPr>
        <w:br/>
      </w:r>
      <w:r w:rsidR="008307CF" w:rsidRPr="00A52AB8">
        <w:rPr>
          <w:color w:val="000000" w:themeColor="text1"/>
        </w:rPr>
        <w:tab/>
      </w:r>
      <w:r w:rsidR="008307CF" w:rsidRPr="00A52AB8">
        <w:rPr>
          <w:color w:val="000000" w:themeColor="text1"/>
        </w:rPr>
        <w:tab/>
      </w:r>
      <w:r w:rsidR="008307CF" w:rsidRPr="00A52AB8">
        <w:rPr>
          <w:color w:val="000000" w:themeColor="text1"/>
        </w:rPr>
        <w:tab/>
        <w:t>nIdx</w:t>
      </w:r>
      <w:r w:rsidR="00D47707" w:rsidRPr="00A52AB8">
        <w:rPr>
          <w:color w:val="000000" w:themeColor="text1"/>
        </w:rPr>
        <w:t> = </w:t>
      </w:r>
      <w:r w:rsidR="008307CF" w:rsidRPr="00A52AB8">
        <w:rPr>
          <w:color w:val="000000" w:themeColor="text1"/>
        </w:rPr>
        <w:t>neighbouringPatches[ q ]</w:t>
      </w:r>
      <w:r w:rsidR="008307CF"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t>for ( b</w:t>
      </w:r>
      <w:r w:rsidR="00D47707" w:rsidRPr="00A52AB8">
        <w:rPr>
          <w:color w:val="000000" w:themeColor="text1"/>
        </w:rPr>
        <w:t> = </w:t>
      </w:r>
      <w:r w:rsidRPr="00A52AB8">
        <w:rPr>
          <w:color w:val="000000" w:themeColor="text1"/>
        </w:rPr>
        <w:t>0; b &lt; borderPointCnt[ q ], b++ </w:t>
      </w:r>
      <w:r w:rsidR="008F1F82" w:rsidRPr="00A52AB8">
        <w:rPr>
          <w:color w:val="000000" w:themeColor="text1"/>
        </w:rPr>
        <w:t>) {</w:t>
      </w:r>
      <w:r w:rsidR="008307CF"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00365B75" w:rsidRPr="00A52AB8">
        <w:rPr>
          <w:color w:val="000000" w:themeColor="text1"/>
        </w:rPr>
        <w:t>if(</w:t>
      </w:r>
      <w:r w:rsidR="00F62FF6" w:rsidRPr="00A52AB8">
        <w:rPr>
          <w:color w:val="000000" w:themeColor="text1"/>
        </w:rPr>
        <w:t> !( ( borderPoints[ nIdx ][ b ][ 0 ] &lt; bBox[ pIdx ][ 0 ][ 0 ] </w:t>
      </w:r>
      <w:r w:rsidR="002F773A" w:rsidRPr="00A52AB8">
        <w:t>–</w:t>
      </w:r>
      <w:r w:rsidR="00916C4F" w:rsidRPr="00A52AB8">
        <w:rPr>
          <w:color w:val="000000" w:themeColor="text1"/>
        </w:rPr>
        <w:t> </w:t>
      </w:r>
      <w:r w:rsidR="002F773A" w:rsidRPr="00A52AB8">
        <w:rPr>
          <w:color w:val="000000" w:themeColor="text1"/>
        </w:rPr>
        <w:t>boxExtension </w:t>
      </w:r>
      <w:r w:rsidR="00F62FF6" w:rsidRPr="00A52AB8">
        <w:rPr>
          <w:color w:val="000000" w:themeColor="text1"/>
        </w:rPr>
        <w:t>) ||</w:t>
      </w:r>
      <w:r w:rsidR="00F62FF6" w:rsidRPr="00A52AB8">
        <w:rPr>
          <w:color w:val="000000" w:themeColor="text1"/>
        </w:rPr>
        <w:br/>
      </w:r>
      <w:r w:rsidR="00F62FF6" w:rsidRPr="00A52AB8">
        <w:rPr>
          <w:color w:val="000000" w:themeColor="text1"/>
        </w:rPr>
        <w:tab/>
      </w:r>
      <w:r w:rsidR="00F62FF6" w:rsidRPr="00A52AB8">
        <w:rPr>
          <w:color w:val="000000" w:themeColor="text1"/>
        </w:rPr>
        <w:tab/>
      </w:r>
      <w:r w:rsidR="00F62FF6" w:rsidRPr="00A52AB8">
        <w:rPr>
          <w:color w:val="000000" w:themeColor="text1"/>
        </w:rPr>
        <w:tab/>
      </w:r>
      <w:r w:rsidRPr="00A52AB8">
        <w:rPr>
          <w:color w:val="000000" w:themeColor="text1"/>
        </w:rPr>
        <w:tab/>
      </w:r>
      <w:r w:rsidR="00F62FF6" w:rsidRPr="00A52AB8">
        <w:rPr>
          <w:color w:val="000000" w:themeColor="text1"/>
        </w:rPr>
        <w:tab/>
        <w:t>( borderPoints[ nIdx ][ b ][ 0 ] &gt; bBox[ pIdx ][ 1 ][ 0 ] </w:t>
      </w:r>
      <w:r w:rsidR="00916C4F" w:rsidRPr="00A52AB8">
        <w:rPr>
          <w:color w:val="000000" w:themeColor="text1"/>
        </w:rPr>
        <w:t>+ </w:t>
      </w:r>
      <w:r w:rsidR="002F773A" w:rsidRPr="00A52AB8">
        <w:rPr>
          <w:color w:val="000000" w:themeColor="text1"/>
        </w:rPr>
        <w:t>boxExtension </w:t>
      </w:r>
      <w:r w:rsidR="00F62FF6" w:rsidRPr="00A52AB8">
        <w:rPr>
          <w:color w:val="000000" w:themeColor="text1"/>
        </w:rPr>
        <w:t>) ||</w:t>
      </w:r>
      <w:r w:rsidR="00F62FF6" w:rsidRPr="00A52AB8">
        <w:rPr>
          <w:color w:val="000000" w:themeColor="text1"/>
        </w:rPr>
        <w:br/>
      </w:r>
      <w:r w:rsidR="00F62FF6" w:rsidRPr="00A52AB8">
        <w:rPr>
          <w:color w:val="000000" w:themeColor="text1"/>
        </w:rPr>
        <w:tab/>
      </w:r>
      <w:r w:rsidR="00F62FF6" w:rsidRPr="00A52AB8">
        <w:rPr>
          <w:color w:val="000000" w:themeColor="text1"/>
        </w:rPr>
        <w:tab/>
      </w:r>
      <w:r w:rsidR="00F62FF6" w:rsidRPr="00A52AB8">
        <w:rPr>
          <w:color w:val="000000" w:themeColor="text1"/>
        </w:rPr>
        <w:tab/>
      </w:r>
      <w:r w:rsidR="00F62FF6" w:rsidRPr="00A52AB8">
        <w:rPr>
          <w:color w:val="000000" w:themeColor="text1"/>
        </w:rPr>
        <w:tab/>
      </w:r>
      <w:r w:rsidRPr="00A52AB8">
        <w:rPr>
          <w:color w:val="000000" w:themeColor="text1"/>
        </w:rPr>
        <w:tab/>
      </w:r>
      <w:r w:rsidR="00F62FF6" w:rsidRPr="00A52AB8">
        <w:rPr>
          <w:color w:val="000000" w:themeColor="text1"/>
        </w:rPr>
        <w:t>( borderPoints[ nIdx ][ b ][ 1 ] &lt; bBox[ pIdx ][ 0 ][ 1 ] </w:t>
      </w:r>
      <w:r w:rsidR="002F773A" w:rsidRPr="00A52AB8">
        <w:t>–</w:t>
      </w:r>
      <w:r w:rsidR="00916C4F" w:rsidRPr="00A52AB8">
        <w:rPr>
          <w:color w:val="000000" w:themeColor="text1"/>
        </w:rPr>
        <w:t> </w:t>
      </w:r>
      <w:r w:rsidR="002F773A" w:rsidRPr="00A52AB8">
        <w:rPr>
          <w:color w:val="000000" w:themeColor="text1"/>
        </w:rPr>
        <w:t>boxExtension </w:t>
      </w:r>
      <w:r w:rsidR="00F62FF6" w:rsidRPr="00A52AB8">
        <w:rPr>
          <w:color w:val="000000" w:themeColor="text1"/>
        </w:rPr>
        <w:t>) ||</w:t>
      </w:r>
      <w:r w:rsidR="00F62FF6" w:rsidRPr="00A52AB8">
        <w:rPr>
          <w:color w:val="000000" w:themeColor="text1"/>
        </w:rPr>
        <w:br/>
      </w:r>
      <w:r w:rsidRPr="00A52AB8">
        <w:rPr>
          <w:color w:val="000000" w:themeColor="text1"/>
        </w:rPr>
        <w:tab/>
      </w:r>
      <w:r w:rsidR="00F62FF6" w:rsidRPr="00A52AB8">
        <w:rPr>
          <w:color w:val="000000" w:themeColor="text1"/>
        </w:rPr>
        <w:tab/>
      </w:r>
      <w:r w:rsidR="00F62FF6" w:rsidRPr="00A52AB8">
        <w:rPr>
          <w:color w:val="000000" w:themeColor="text1"/>
        </w:rPr>
        <w:tab/>
      </w:r>
      <w:r w:rsidR="00F62FF6" w:rsidRPr="00A52AB8">
        <w:rPr>
          <w:color w:val="000000" w:themeColor="text1"/>
        </w:rPr>
        <w:tab/>
      </w:r>
      <w:r w:rsidR="00F62FF6" w:rsidRPr="00A52AB8">
        <w:rPr>
          <w:color w:val="000000" w:themeColor="text1"/>
        </w:rPr>
        <w:tab/>
        <w:t>( borderPoints[ nIdx ][ b ][ 1 ] &gt; bBox[ pIdx ][ 1 ][ 1 ] </w:t>
      </w:r>
      <w:r w:rsidR="00916C4F" w:rsidRPr="00A52AB8">
        <w:rPr>
          <w:color w:val="000000" w:themeColor="text1"/>
        </w:rPr>
        <w:t>+ </w:t>
      </w:r>
      <w:r w:rsidR="002F773A" w:rsidRPr="00A52AB8">
        <w:rPr>
          <w:color w:val="000000" w:themeColor="text1"/>
        </w:rPr>
        <w:t>boxExtension </w:t>
      </w:r>
      <w:r w:rsidR="00F62FF6" w:rsidRPr="00A52AB8">
        <w:rPr>
          <w:color w:val="000000" w:themeColor="text1"/>
        </w:rPr>
        <w:t>) ||</w:t>
      </w:r>
      <w:r w:rsidR="00F62FF6" w:rsidRPr="00A52AB8">
        <w:rPr>
          <w:color w:val="000000" w:themeColor="text1"/>
        </w:rPr>
        <w:br/>
      </w:r>
      <w:r w:rsidR="00F62FF6" w:rsidRPr="00A52AB8">
        <w:rPr>
          <w:color w:val="000000" w:themeColor="text1"/>
        </w:rPr>
        <w:tab/>
      </w:r>
      <w:r w:rsidRPr="00A52AB8">
        <w:rPr>
          <w:color w:val="000000" w:themeColor="text1"/>
        </w:rPr>
        <w:tab/>
      </w:r>
      <w:r w:rsidR="00F62FF6" w:rsidRPr="00A52AB8">
        <w:rPr>
          <w:color w:val="000000" w:themeColor="text1"/>
        </w:rPr>
        <w:tab/>
      </w:r>
      <w:r w:rsidR="00F62FF6" w:rsidRPr="00A52AB8">
        <w:rPr>
          <w:color w:val="000000" w:themeColor="text1"/>
        </w:rPr>
        <w:tab/>
      </w:r>
      <w:r w:rsidR="00F62FF6" w:rsidRPr="00A52AB8">
        <w:rPr>
          <w:color w:val="000000" w:themeColor="text1"/>
        </w:rPr>
        <w:tab/>
        <w:t>( borderPoints[ nIdx ][ b ][ 2 ] &lt; bBox[ pIdx ][ 0 ][ 2 ] </w:t>
      </w:r>
      <w:r w:rsidR="002F773A" w:rsidRPr="00A52AB8">
        <w:t>–</w:t>
      </w:r>
      <w:r w:rsidR="00916C4F" w:rsidRPr="00A52AB8">
        <w:rPr>
          <w:color w:val="000000" w:themeColor="text1"/>
        </w:rPr>
        <w:t> </w:t>
      </w:r>
      <w:r w:rsidR="002F773A" w:rsidRPr="00A52AB8">
        <w:rPr>
          <w:color w:val="000000" w:themeColor="text1"/>
        </w:rPr>
        <w:t>boxExtension </w:t>
      </w:r>
      <w:r w:rsidR="00F62FF6" w:rsidRPr="00A52AB8">
        <w:rPr>
          <w:color w:val="000000" w:themeColor="text1"/>
        </w:rPr>
        <w:t>) ||</w:t>
      </w:r>
      <w:r w:rsidR="00F62FF6" w:rsidRPr="00A52AB8">
        <w:rPr>
          <w:color w:val="000000" w:themeColor="text1"/>
        </w:rPr>
        <w:br/>
      </w:r>
      <w:r w:rsidR="00F62FF6" w:rsidRPr="00A52AB8">
        <w:rPr>
          <w:color w:val="000000" w:themeColor="text1"/>
        </w:rPr>
        <w:tab/>
      </w:r>
      <w:r w:rsidR="00F62FF6" w:rsidRPr="00A52AB8">
        <w:rPr>
          <w:color w:val="000000" w:themeColor="text1"/>
        </w:rPr>
        <w:tab/>
      </w:r>
      <w:r w:rsidRPr="00A52AB8">
        <w:rPr>
          <w:color w:val="000000" w:themeColor="text1"/>
        </w:rPr>
        <w:tab/>
      </w:r>
      <w:r w:rsidR="00F62FF6" w:rsidRPr="00A52AB8">
        <w:rPr>
          <w:color w:val="000000" w:themeColor="text1"/>
        </w:rPr>
        <w:tab/>
      </w:r>
      <w:r w:rsidR="00F62FF6" w:rsidRPr="00A52AB8">
        <w:rPr>
          <w:color w:val="000000" w:themeColor="text1"/>
        </w:rPr>
        <w:tab/>
        <w:t>( borderPoints[ nIdx ][ b ][ 2 ] &gt; bBox[ pIdx ][ 1 ][ 2 ] </w:t>
      </w:r>
      <w:r w:rsidR="00916C4F" w:rsidRPr="00A52AB8">
        <w:rPr>
          <w:color w:val="000000" w:themeColor="text1"/>
        </w:rPr>
        <w:t>+ </w:t>
      </w:r>
      <w:r w:rsidR="002F773A" w:rsidRPr="00A52AB8">
        <w:rPr>
          <w:color w:val="000000" w:themeColor="text1"/>
        </w:rPr>
        <w:t>boxExtension </w:t>
      </w:r>
      <w:r w:rsidR="00F62FF6" w:rsidRPr="00A52AB8">
        <w:rPr>
          <w:color w:val="000000" w:themeColor="text1"/>
        </w:rPr>
        <w:t>) )</w:t>
      </w:r>
      <w:r w:rsidR="00365B75" w:rsidRPr="00A52AB8">
        <w:rPr>
          <w:color w:val="000000" w:themeColor="text1"/>
        </w:rPr>
        <w:t> </w:t>
      </w:r>
      <w:r w:rsidR="008F1F82" w:rsidRPr="00A52AB8">
        <w:rPr>
          <w:color w:val="000000" w:themeColor="text1"/>
        </w:rPr>
        <w:t>) {</w:t>
      </w:r>
    </w:p>
    <w:p w14:paraId="4EAA2585" w14:textId="161B97C2" w:rsidR="00F62FF6" w:rsidRPr="00A52AB8" w:rsidRDefault="00F62FF6" w:rsidP="00007BE2">
      <w:pPr>
        <w:ind w:left="2016"/>
        <w:rPr>
          <w:color w:val="000000" w:themeColor="text1"/>
        </w:rPr>
      </w:pPr>
      <w:r w:rsidRPr="00A52AB8">
        <w:rPr>
          <w:color w:val="000000" w:themeColor="text1"/>
        </w:rPr>
        <w:t>The</w:t>
      </w:r>
      <w:r w:rsidR="00013D9F" w:rsidRPr="00A52AB8">
        <w:rPr>
          <w:color w:val="000000" w:themeColor="text1"/>
        </w:rPr>
        <w:t xml:space="preserve"> atlas coordinates ( x, y ) and variable borderPointDepth are derived by invoking</w:t>
      </w:r>
      <w:r w:rsidRPr="00A52AB8">
        <w:rPr>
          <w:color w:val="000000" w:themeColor="text1"/>
        </w:rPr>
        <w:t xml:space="preserve"> subclause </w:t>
      </w:r>
      <w:r w:rsidRPr="00496A4D">
        <w:rPr>
          <w:color w:val="000000" w:themeColor="text1"/>
        </w:rPr>
        <w:fldChar w:fldCharType="begin"/>
      </w:r>
      <w:r w:rsidRPr="00A52AB8">
        <w:rPr>
          <w:color w:val="000000" w:themeColor="text1"/>
        </w:rPr>
        <w:instrText xml:space="preserve"> REF _Ref49344844 \r \h  \* MERGEFORMAT </w:instrText>
      </w:r>
      <w:r w:rsidRPr="00496A4D">
        <w:rPr>
          <w:color w:val="000000" w:themeColor="text1"/>
        </w:rPr>
      </w:r>
      <w:r w:rsidRPr="00496A4D">
        <w:rPr>
          <w:color w:val="000000" w:themeColor="text1"/>
        </w:rPr>
        <w:fldChar w:fldCharType="separate"/>
      </w:r>
      <w:r w:rsidR="00507A67">
        <w:rPr>
          <w:color w:val="000000" w:themeColor="text1"/>
        </w:rPr>
        <w:t>H.10.2.2.6</w:t>
      </w:r>
      <w:r w:rsidRPr="00496A4D">
        <w:rPr>
          <w:color w:val="000000" w:themeColor="text1"/>
        </w:rPr>
        <w:fldChar w:fldCharType="end"/>
      </w:r>
      <w:r w:rsidRPr="00A52AB8">
        <w:rPr>
          <w:color w:val="000000" w:themeColor="text1"/>
        </w:rPr>
        <w:t xml:space="preserve"> with variable pIdx and array borderPoints[ pIdx ][ b ] as inputs</w:t>
      </w:r>
      <w:r w:rsidR="00AA7F68" w:rsidRPr="00A52AB8">
        <w:rPr>
          <w:color w:val="000000" w:themeColor="text1"/>
        </w:rPr>
        <w:t xml:space="preserve"> and the variables x, y, and borderPointDepth as outputs</w:t>
      </w:r>
      <w:r w:rsidRPr="00A52AB8">
        <w:rPr>
          <w:color w:val="000000" w:themeColor="text1"/>
        </w:rPr>
        <w:t>.</w:t>
      </w:r>
    </w:p>
    <w:p w14:paraId="706E3BC6" w14:textId="563B9847" w:rsidR="00F62FF6" w:rsidRPr="00A52AB8" w:rsidRDefault="00F62FF6" w:rsidP="00F62FF6">
      <w:pPr>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s>
        <w:jc w:val="left"/>
        <w:rPr>
          <w:color w:val="000000" w:themeColor="text1"/>
        </w:rPr>
      </w:pPr>
      <w:r w:rsidRPr="00A52AB8">
        <w:rPr>
          <w:rFonts w:eastAsia="Times New Roman"/>
          <w:color w:val="000000"/>
        </w:rPr>
        <w:tab/>
      </w:r>
      <w:r w:rsidRPr="00A52AB8">
        <w:rPr>
          <w:rFonts w:eastAsia="Times New Roman"/>
          <w:color w:val="000000"/>
        </w:rPr>
        <w:tab/>
      </w:r>
      <w:r w:rsidRPr="00A52AB8">
        <w:rPr>
          <w:rFonts w:eastAsia="Times New Roman"/>
          <w:color w:val="000000"/>
        </w:rPr>
        <w:tab/>
      </w:r>
      <w:r w:rsidRPr="00A52AB8">
        <w:rPr>
          <w:rFonts w:eastAsia="Times New Roman"/>
          <w:color w:val="000000"/>
        </w:rPr>
        <w:tab/>
      </w:r>
      <w:r w:rsidR="00013D9F" w:rsidRPr="00A52AB8">
        <w:rPr>
          <w:rFonts w:eastAsia="Times New Roman"/>
          <w:color w:val="000000"/>
        </w:rPr>
        <w:tab/>
      </w:r>
      <w:r w:rsidR="00654BAA" w:rsidRPr="00A52AB8">
        <w:rPr>
          <w:rFonts w:eastAsia="Times New Roman"/>
          <w:color w:val="000000"/>
        </w:rPr>
        <w:t>absDistance</w:t>
      </w:r>
      <w:r w:rsidR="00D47707" w:rsidRPr="00A52AB8">
        <w:rPr>
          <w:rFonts w:eastAsia="Times New Roman"/>
          <w:color w:val="000000"/>
        </w:rPr>
        <w:t> = </w:t>
      </w:r>
      <w:r w:rsidR="00654BAA" w:rsidRPr="00A52AB8">
        <w:t>Abs( borderPointDepth − gFrame[ y ][ x ]</w:t>
      </w:r>
      <w:r w:rsidR="006F7189" w:rsidRPr="00A52AB8">
        <w:t> )</w:t>
      </w:r>
      <w:r w:rsidR="00654BAA" w:rsidRPr="00A52AB8">
        <w:rPr>
          <w:rFonts w:eastAsia="Times New Roman"/>
          <w:color w:val="000000"/>
        </w:rPr>
        <w:br/>
      </w:r>
      <w:r w:rsidR="00654BAA" w:rsidRPr="00A52AB8">
        <w:rPr>
          <w:rFonts w:eastAsia="Times New Roman"/>
          <w:color w:val="000000"/>
        </w:rPr>
        <w:tab/>
      </w:r>
      <w:r w:rsidR="00654BAA" w:rsidRPr="00A52AB8">
        <w:rPr>
          <w:rFonts w:eastAsia="Times New Roman"/>
          <w:color w:val="000000"/>
        </w:rPr>
        <w:tab/>
      </w:r>
      <w:r w:rsidR="00654BAA" w:rsidRPr="00A52AB8">
        <w:rPr>
          <w:rFonts w:eastAsia="Times New Roman"/>
          <w:color w:val="000000"/>
        </w:rPr>
        <w:tab/>
      </w:r>
      <w:r w:rsidR="00654BAA" w:rsidRPr="00A52AB8">
        <w:rPr>
          <w:rFonts w:eastAsia="Times New Roman"/>
          <w:color w:val="000000"/>
        </w:rPr>
        <w:tab/>
      </w:r>
      <w:r w:rsidR="00654BAA" w:rsidRPr="00A52AB8">
        <w:rPr>
          <w:rFonts w:eastAsia="Times New Roman"/>
          <w:color w:val="000000"/>
        </w:rPr>
        <w:tab/>
      </w:r>
      <w:r w:rsidRPr="00A52AB8">
        <w:t>if(</w:t>
      </w:r>
      <w:r w:rsidR="00013D9F" w:rsidRPr="00A52AB8">
        <w:t> </w:t>
      </w:r>
      <w:r w:rsidR="00654BAA" w:rsidRPr="00A52AB8">
        <w:rPr>
          <w:rFonts w:eastAsia="Times New Roman"/>
          <w:color w:val="000000"/>
        </w:rPr>
        <w:t>absDistance</w:t>
      </w:r>
      <w:r w:rsidRPr="00A52AB8">
        <w:t> </w:t>
      </w:r>
      <w:r w:rsidR="00A234FD" w:rsidRPr="00A52AB8">
        <w:t>&lt;=</w:t>
      </w:r>
      <w:r w:rsidR="00D47707" w:rsidRPr="00A52AB8">
        <w:t> </w:t>
      </w:r>
      <w:r w:rsidR="008307CF" w:rsidRPr="00A52AB8">
        <w:t>depthT</w:t>
      </w:r>
      <w:r w:rsidRPr="00A52AB8">
        <w:t>hreshold </w:t>
      </w:r>
      <w:r w:rsidR="008F1F82" w:rsidRPr="00A52AB8">
        <w:t>) {</w:t>
      </w:r>
      <w:r w:rsidRPr="00A52AB8">
        <w:br/>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00013D9F" w:rsidRPr="00A52AB8">
        <w:rPr>
          <w:color w:val="000000" w:themeColor="text1"/>
        </w:rPr>
        <w:tab/>
      </w:r>
      <w:r w:rsidRPr="00A52AB8">
        <w:rPr>
          <w:color w:val="000000" w:themeColor="text1"/>
        </w:rPr>
        <w:t>if( </w:t>
      </w:r>
      <w:r w:rsidR="00654BAA" w:rsidRPr="00A52AB8">
        <w:rPr>
          <w:rFonts w:eastAsia="Times New Roman"/>
          <w:color w:val="000000"/>
        </w:rPr>
        <w:t>absDistance </w:t>
      </w:r>
      <w:r w:rsidRPr="00A52AB8">
        <w:rPr>
          <w:color w:val="000000" w:themeColor="text1"/>
        </w:rPr>
        <w:t>&lt;</w:t>
      </w:r>
      <w:r w:rsidR="00654BAA" w:rsidRPr="00A52AB8">
        <w:rPr>
          <w:color w:val="000000" w:themeColor="text1"/>
        </w:rPr>
        <w:t> </w:t>
      </w:r>
      <w:r w:rsidRPr="00A52AB8">
        <w:rPr>
          <w:color w:val="000000" w:themeColor="text1"/>
        </w:rPr>
        <w:t>Abs( neighbourDepth[ y ][ x ] − gFrame[ y ][ x ] ) </w:t>
      </w:r>
      <w:r w:rsidR="008F1F82" w:rsidRPr="00A52AB8">
        <w:rPr>
          <w:color w:val="000000" w:themeColor="text1"/>
        </w:rPr>
        <w:t>) {</w:t>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00013D9F" w:rsidRPr="00A52AB8">
        <w:rPr>
          <w:color w:val="000000" w:themeColor="text1"/>
        </w:rPr>
        <w:tab/>
      </w:r>
      <w:r w:rsidRPr="00A52AB8">
        <w:rPr>
          <w:color w:val="000000" w:themeColor="text1"/>
        </w:rPr>
        <w:t>neighbourDepth[ y ][ x ]</w:t>
      </w:r>
      <w:r w:rsidR="00D47707" w:rsidRPr="00A52AB8">
        <w:rPr>
          <w:color w:val="000000" w:themeColor="text1"/>
        </w:rPr>
        <w:t> = </w:t>
      </w:r>
      <w:r w:rsidRPr="00A52AB8">
        <w:rPr>
          <w:color w:val="000000" w:themeColor="text1"/>
        </w:rPr>
        <w:t>borderPointDepth</w:t>
      </w:r>
      <w:r w:rsidR="00013D9F" w:rsidRPr="00A52AB8">
        <w:rPr>
          <w:color w:val="000000" w:themeColor="text1"/>
        </w:rPr>
        <w:br/>
      </w:r>
      <w:r w:rsidR="00013D9F" w:rsidRPr="00A52AB8">
        <w:rPr>
          <w:color w:val="000000" w:themeColor="text1"/>
        </w:rPr>
        <w:tab/>
      </w:r>
      <w:r w:rsidR="00013D9F" w:rsidRPr="00A52AB8">
        <w:rPr>
          <w:color w:val="000000" w:themeColor="text1"/>
        </w:rPr>
        <w:tab/>
      </w:r>
      <w:r w:rsidR="00013D9F" w:rsidRPr="00A52AB8">
        <w:rPr>
          <w:color w:val="000000" w:themeColor="text1"/>
        </w:rPr>
        <w:tab/>
      </w:r>
      <w:r w:rsidR="00013D9F" w:rsidRPr="00A52AB8">
        <w:rPr>
          <w:color w:val="000000" w:themeColor="text1"/>
        </w:rPr>
        <w:tab/>
      </w:r>
      <w:r w:rsidR="00013D9F" w:rsidRPr="00A52AB8">
        <w:rPr>
          <w:color w:val="000000" w:themeColor="text1"/>
        </w:rPr>
        <w:tab/>
      </w:r>
      <w:r w:rsidR="00013D9F" w:rsidRPr="00A52AB8">
        <w:rPr>
          <w:color w:val="000000" w:themeColor="text1"/>
        </w:rPr>
        <w:tab/>
        <w:t>}</w:t>
      </w:r>
      <w:r w:rsidR="00013D9F" w:rsidRPr="00A52AB8">
        <w:rPr>
          <w:color w:val="000000" w:themeColor="text1"/>
        </w:rPr>
        <w:br/>
      </w:r>
      <w:r w:rsidR="00013D9F" w:rsidRPr="00A52AB8">
        <w:rPr>
          <w:color w:val="000000" w:themeColor="text1"/>
        </w:rPr>
        <w:tab/>
      </w:r>
      <w:r w:rsidR="00013D9F" w:rsidRPr="00A52AB8">
        <w:rPr>
          <w:color w:val="000000" w:themeColor="text1"/>
        </w:rPr>
        <w:tab/>
      </w:r>
      <w:r w:rsidR="00013D9F" w:rsidRPr="00A52AB8">
        <w:rPr>
          <w:color w:val="000000" w:themeColor="text1"/>
        </w:rPr>
        <w:tab/>
      </w:r>
      <w:r w:rsidR="00013D9F" w:rsidRPr="00A52AB8">
        <w:rPr>
          <w:color w:val="000000" w:themeColor="text1"/>
        </w:rPr>
        <w:tab/>
      </w:r>
      <w:r w:rsidR="00013D9F" w:rsidRPr="00A52AB8">
        <w:rPr>
          <w:color w:val="000000" w:themeColor="text1"/>
        </w:rPr>
        <w:tab/>
        <w:t>}</w:t>
      </w:r>
      <w:r w:rsidR="00013D9F" w:rsidRPr="00A52AB8">
        <w:rPr>
          <w:color w:val="000000" w:themeColor="text1"/>
        </w:rPr>
        <w:br/>
      </w:r>
      <w:r w:rsidR="00013D9F" w:rsidRPr="00A52AB8">
        <w:rPr>
          <w:color w:val="000000" w:themeColor="text1"/>
        </w:rPr>
        <w:tab/>
      </w:r>
      <w:r w:rsidR="00013D9F" w:rsidRPr="00A52AB8">
        <w:rPr>
          <w:color w:val="000000" w:themeColor="text1"/>
        </w:rPr>
        <w:tab/>
      </w:r>
      <w:r w:rsidR="00013D9F" w:rsidRPr="00A52AB8">
        <w:rPr>
          <w:color w:val="000000" w:themeColor="text1"/>
        </w:rPr>
        <w:tab/>
      </w:r>
      <w:r w:rsidR="00013D9F" w:rsidRPr="00A52AB8">
        <w:rPr>
          <w:color w:val="000000" w:themeColor="text1"/>
        </w:rPr>
        <w:tab/>
        <w:t>}</w:t>
      </w:r>
      <w:r w:rsidR="00013D9F" w:rsidRPr="00A52AB8">
        <w:rPr>
          <w:color w:val="000000" w:themeColor="text1"/>
        </w:rPr>
        <w:br/>
      </w:r>
      <w:r w:rsidR="00013D9F" w:rsidRPr="00A52AB8">
        <w:rPr>
          <w:color w:val="000000" w:themeColor="text1"/>
        </w:rPr>
        <w:tab/>
      </w:r>
      <w:r w:rsidR="00013D9F" w:rsidRPr="00A52AB8">
        <w:rPr>
          <w:color w:val="000000" w:themeColor="text1"/>
        </w:rPr>
        <w:tab/>
      </w:r>
      <w:r w:rsidR="00013D9F" w:rsidRPr="00A52AB8">
        <w:rPr>
          <w:color w:val="000000" w:themeColor="text1"/>
        </w:rPr>
        <w:tab/>
        <w:t>}</w:t>
      </w:r>
      <w:r w:rsidR="00013D9F" w:rsidRPr="00A52AB8">
        <w:rPr>
          <w:color w:val="000000" w:themeColor="text1"/>
        </w:rPr>
        <w:br/>
      </w:r>
      <w:r w:rsidR="00013D9F" w:rsidRPr="00A52AB8">
        <w:rPr>
          <w:color w:val="000000" w:themeColor="text1"/>
        </w:rPr>
        <w:tab/>
      </w:r>
      <w:r w:rsidR="00013D9F" w:rsidRPr="00A52AB8">
        <w:rPr>
          <w:color w:val="000000" w:themeColor="text1"/>
        </w:rPr>
        <w:tab/>
        <w:t>}</w:t>
      </w:r>
      <w:r w:rsidR="00013D9F" w:rsidRPr="00A52AB8">
        <w:rPr>
          <w:color w:val="000000" w:themeColor="text1"/>
        </w:rPr>
        <w:br/>
      </w:r>
      <w:r w:rsidR="00013D9F" w:rsidRPr="00A52AB8">
        <w:rPr>
          <w:color w:val="000000" w:themeColor="text1"/>
        </w:rPr>
        <w:tab/>
        <w:t>}</w:t>
      </w:r>
    </w:p>
    <w:p w14:paraId="507988A0" w14:textId="14B0A0BE" w:rsidR="002B2191" w:rsidRPr="00A52AB8" w:rsidRDefault="002B2191" w:rsidP="00007BE2">
      <w:pPr>
        <w:pStyle w:val="a5"/>
        <w:numPr>
          <w:ilvl w:val="4"/>
          <w:numId w:val="19"/>
        </w:numPr>
      </w:pPr>
      <w:bookmarkStart w:id="6352" w:name="_Ref50237652"/>
      <w:r w:rsidRPr="00A52AB8">
        <w:t>Occupancy filtering</w:t>
      </w:r>
      <w:bookmarkEnd w:id="6352"/>
    </w:p>
    <w:p w14:paraId="5446828D" w14:textId="77777777" w:rsidR="002B2191" w:rsidRPr="00A52AB8" w:rsidRDefault="002B2191" w:rsidP="002B2191">
      <w:pPr>
        <w:rPr>
          <w:rFonts w:eastAsia="Times New Roman"/>
          <w:color w:val="000000"/>
        </w:rPr>
      </w:pPr>
      <w:r w:rsidRPr="00A52AB8">
        <w:rPr>
          <w:lang w:eastAsia="ja-JP"/>
        </w:rPr>
        <w:t>Inputs to this process are:</w:t>
      </w:r>
    </w:p>
    <w:p w14:paraId="4D1554BD" w14:textId="2E6AE7BA" w:rsidR="00DD4BC7" w:rsidRPr="00A52AB8" w:rsidRDefault="002971CD" w:rsidP="002B2191">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variable </w:t>
      </w:r>
      <w:r w:rsidR="00DD4BC7" w:rsidRPr="00A52AB8">
        <w:rPr>
          <w:color w:val="000000" w:themeColor="text1"/>
        </w:rPr>
        <w:t>numPasses, indicating the number of passes</w:t>
      </w:r>
    </w:p>
    <w:p w14:paraId="41D0E1A8" w14:textId="77777777" w:rsidR="0073197B" w:rsidRPr="00A52AB8" w:rsidRDefault="0073197B" w:rsidP="0073197B">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variable filterSizeX, indicating the size of the filter in the x-dimension,</w:t>
      </w:r>
    </w:p>
    <w:p w14:paraId="1B47D639" w14:textId="74801DDF" w:rsidR="0073197B" w:rsidRPr="00A52AB8" w:rsidRDefault="0073197B" w:rsidP="0073197B">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variable filterSizeY, indicating the size of the filter in the y-dimension,</w:t>
      </w:r>
    </w:p>
    <w:p w14:paraId="40F2C87E" w14:textId="6388A916" w:rsidR="002B2191" w:rsidRPr="00A52AB8" w:rsidRDefault="002971CD" w:rsidP="002B2191">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2D array </w:t>
      </w:r>
      <w:r w:rsidR="002B2191" w:rsidRPr="00A52AB8">
        <w:rPr>
          <w:color w:val="000000" w:themeColor="text1"/>
        </w:rPr>
        <w:t>oFrame</w:t>
      </w:r>
      <w:r w:rsidR="0017304D" w:rsidRPr="00A52AB8">
        <w:rPr>
          <w:color w:val="000000" w:themeColor="text1"/>
        </w:rPr>
        <w:t>,</w:t>
      </w:r>
      <w:r w:rsidR="002B2191" w:rsidRPr="00A52AB8">
        <w:rPr>
          <w:color w:val="000000" w:themeColor="text1"/>
        </w:rPr>
        <w:t xml:space="preserve"> of size asps_frame_height× asps_frame_width,</w:t>
      </w:r>
    </w:p>
    <w:p w14:paraId="45A42C1E" w14:textId="1C69544B" w:rsidR="002B2191" w:rsidRPr="00A52AB8" w:rsidRDefault="002971CD" w:rsidP="002B2191">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2D array </w:t>
      </w:r>
      <w:r w:rsidR="002B2191" w:rsidRPr="00A52AB8">
        <w:rPr>
          <w:color w:val="000000" w:themeColor="text1"/>
        </w:rPr>
        <w:t>gFrame</w:t>
      </w:r>
      <w:r w:rsidR="0017304D" w:rsidRPr="00A52AB8">
        <w:rPr>
          <w:color w:val="000000" w:themeColor="text1"/>
        </w:rPr>
        <w:t>,</w:t>
      </w:r>
      <w:r w:rsidR="002B2191" w:rsidRPr="00A52AB8">
        <w:rPr>
          <w:color w:val="000000" w:themeColor="text1"/>
        </w:rPr>
        <w:t xml:space="preserve"> of size asps_frame_height× asps_frame_width,</w:t>
      </w:r>
      <w:r w:rsidRPr="00A52AB8">
        <w:rPr>
          <w:color w:val="000000" w:themeColor="text1"/>
        </w:rPr>
        <w:t xml:space="preserve"> and</w:t>
      </w:r>
    </w:p>
    <w:p w14:paraId="64AACFEA" w14:textId="08F7A73C" w:rsidR="002B2191" w:rsidRPr="00A52AB8" w:rsidRDefault="002971CD" w:rsidP="002971CD">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2D array </w:t>
      </w:r>
      <w:r w:rsidR="002B2191" w:rsidRPr="00A52AB8">
        <w:rPr>
          <w:color w:val="000000" w:themeColor="text1"/>
        </w:rPr>
        <w:t>neighbourDepth</w:t>
      </w:r>
      <w:r w:rsidR="0017304D" w:rsidRPr="00A52AB8">
        <w:rPr>
          <w:color w:val="000000" w:themeColor="text1"/>
        </w:rPr>
        <w:t>,</w:t>
      </w:r>
      <w:r w:rsidR="002B2191" w:rsidRPr="00A52AB8">
        <w:rPr>
          <w:color w:val="000000" w:themeColor="text1"/>
        </w:rPr>
        <w:t xml:space="preserve"> of size asps_frame_height × asps_frame_width.</w:t>
      </w:r>
    </w:p>
    <w:p w14:paraId="0F6E65A2" w14:textId="3D728F39" w:rsidR="002B2191" w:rsidRPr="00A52AB8" w:rsidRDefault="002B2191" w:rsidP="002B2191">
      <w:pPr>
        <w:rPr>
          <w:lang w:eastAsia="ja-JP"/>
        </w:rPr>
      </w:pPr>
      <w:r w:rsidRPr="00A52AB8">
        <w:rPr>
          <w:lang w:eastAsia="ja-JP"/>
        </w:rPr>
        <w:t xml:space="preserve">Output of this process </w:t>
      </w:r>
      <w:r w:rsidR="00BC7493" w:rsidRPr="00A52AB8">
        <w:rPr>
          <w:lang w:eastAsia="ja-JP"/>
        </w:rPr>
        <w:t>is</w:t>
      </w:r>
      <w:r w:rsidRPr="00A52AB8">
        <w:rPr>
          <w:lang w:eastAsia="ja-JP"/>
        </w:rPr>
        <w:t>:</w:t>
      </w:r>
    </w:p>
    <w:p w14:paraId="193DC063" w14:textId="4D42DA81" w:rsidR="002B2191" w:rsidRPr="00A52AB8" w:rsidRDefault="002B2191" w:rsidP="002B2191">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the modified array oFrame.</w:t>
      </w:r>
    </w:p>
    <w:p w14:paraId="18C55D68" w14:textId="10D6FDB8" w:rsidR="00A22FB2" w:rsidRPr="00A52AB8" w:rsidRDefault="00A22FB2" w:rsidP="00146C43">
      <w:p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textAlignment w:val="baseline"/>
        <w:rPr>
          <w:color w:val="000000" w:themeColor="text1"/>
        </w:rPr>
      </w:pPr>
      <w:r w:rsidRPr="00A52AB8">
        <w:t xml:space="preserve">Let the 2D array </w:t>
      </w:r>
      <w:r w:rsidRPr="00A52AB8">
        <w:rPr>
          <w:color w:val="000000" w:themeColor="text1"/>
        </w:rPr>
        <w:t>oPbfFrame, of size asps_frame_height × asps_frame_width</w:t>
      </w:r>
      <w:r w:rsidRPr="00A52AB8">
        <w:t xml:space="preserve">, be </w:t>
      </w:r>
      <w:r w:rsidR="00146C43" w:rsidRPr="00A52AB8">
        <w:t xml:space="preserve">used as a temporary array in this process. </w:t>
      </w:r>
    </w:p>
    <w:p w14:paraId="2FA32AF2" w14:textId="43E14038" w:rsidR="002B2191" w:rsidRPr="00A52AB8" w:rsidRDefault="002B2191" w:rsidP="00007BE2">
      <w:p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textAlignment w:val="baseline"/>
        <w:rPr>
          <w:color w:val="000000" w:themeColor="text1"/>
        </w:rPr>
      </w:pPr>
      <w:r w:rsidRPr="00A52AB8">
        <w:t>The occupancy is pruned as follows:</w:t>
      </w:r>
    </w:p>
    <w:p w14:paraId="7DB14F63" w14:textId="55A031A9" w:rsidR="00AE28A6" w:rsidRPr="00A52AB8" w:rsidRDefault="002B2191" w:rsidP="00007BE2">
      <w:pPr>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s>
        <w:spacing w:after="0"/>
        <w:jc w:val="left"/>
        <w:rPr>
          <w:color w:val="000000" w:themeColor="text1"/>
        </w:rPr>
      </w:pPr>
      <w:r w:rsidRPr="00A52AB8">
        <w:tab/>
        <w:t>for</w:t>
      </w:r>
      <w:r w:rsidRPr="00A52AB8">
        <w:rPr>
          <w:color w:val="000000" w:themeColor="text1"/>
        </w:rPr>
        <w:t> ( pIdx</w:t>
      </w:r>
      <w:r w:rsidR="00D47707" w:rsidRPr="00A52AB8">
        <w:rPr>
          <w:color w:val="000000" w:themeColor="text1"/>
        </w:rPr>
        <w:t> = </w:t>
      </w:r>
      <w:r w:rsidRPr="00A52AB8">
        <w:rPr>
          <w:color w:val="000000" w:themeColor="text1"/>
        </w:rPr>
        <w:t>0; pIdx &lt; Atlas</w:t>
      </w:r>
      <w:r w:rsidR="00D12C68" w:rsidRPr="00A52AB8">
        <w:rPr>
          <w:color w:val="000000" w:themeColor="text1"/>
        </w:rPr>
        <w:t>TotalNum</w:t>
      </w:r>
      <w:r w:rsidRPr="00A52AB8">
        <w:rPr>
          <w:color w:val="000000" w:themeColor="text1"/>
        </w:rPr>
        <w:t>Patches, pIdx++ </w:t>
      </w:r>
      <w:r w:rsidR="008F1F82" w:rsidRPr="00A52AB8">
        <w:rPr>
          <w:color w:val="000000" w:themeColor="text1"/>
        </w:rPr>
        <w:t>) {</w:t>
      </w:r>
    </w:p>
    <w:p w14:paraId="1D08592F" w14:textId="30144F65" w:rsidR="00AE28A6" w:rsidRPr="00A52AB8" w:rsidRDefault="00AE28A6" w:rsidP="00AE28A6">
      <w:p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textAlignment w:val="baseline"/>
        <w:rPr>
          <w:color w:val="000000" w:themeColor="text1"/>
        </w:rPr>
      </w:pPr>
      <w:r w:rsidRPr="00A52AB8">
        <w:rPr>
          <w:color w:val="000000" w:themeColor="text1"/>
        </w:rPr>
        <w:tab/>
      </w:r>
      <w:r w:rsidRPr="00A52AB8">
        <w:rPr>
          <w:color w:val="000000" w:themeColor="text1"/>
        </w:rPr>
        <w:tab/>
        <w:t>for ( y</w:t>
      </w:r>
      <w:r w:rsidR="00D47707" w:rsidRPr="00A52AB8">
        <w:rPr>
          <w:color w:val="000000" w:themeColor="text1"/>
        </w:rPr>
        <w:t> = </w:t>
      </w:r>
      <w:r w:rsidRPr="00A52AB8">
        <w:rPr>
          <w:color w:val="000000" w:themeColor="text1"/>
        </w:rPr>
        <w:t xml:space="preserve">0; y &lt; asps_frame_height, y++ ) </w:t>
      </w:r>
      <w:r w:rsidRPr="00A52AB8">
        <w:rPr>
          <w:color w:val="000000" w:themeColor="text1"/>
        </w:rPr>
        <w:br/>
      </w:r>
      <w:r w:rsidRPr="00A52AB8">
        <w:rPr>
          <w:color w:val="000000" w:themeColor="text1"/>
        </w:rPr>
        <w:tab/>
      </w:r>
      <w:r w:rsidRPr="00A52AB8">
        <w:rPr>
          <w:color w:val="000000" w:themeColor="text1"/>
        </w:rPr>
        <w:tab/>
      </w:r>
      <w:r w:rsidR="006A6CF0" w:rsidRPr="00A52AB8">
        <w:rPr>
          <w:color w:val="000000" w:themeColor="text1"/>
        </w:rPr>
        <w:tab/>
      </w:r>
      <w:r w:rsidRPr="00A52AB8">
        <w:rPr>
          <w:color w:val="000000" w:themeColor="text1"/>
        </w:rPr>
        <w:t>for ( x</w:t>
      </w:r>
      <w:r w:rsidR="00D47707" w:rsidRPr="00A52AB8">
        <w:rPr>
          <w:color w:val="000000" w:themeColor="text1"/>
        </w:rPr>
        <w:t> = </w:t>
      </w:r>
      <w:r w:rsidRPr="00A52AB8">
        <w:rPr>
          <w:color w:val="000000" w:themeColor="text1"/>
        </w:rPr>
        <w:t>0; x &lt; asps_frame_width, x++ )</w:t>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t>oPbfFrame[ y ][ x ]</w:t>
      </w:r>
      <w:r w:rsidR="0017304D" w:rsidRPr="00A52AB8">
        <w:rPr>
          <w:color w:val="000000" w:themeColor="text1"/>
        </w:rPr>
        <w:t> </w:t>
      </w:r>
      <w:r w:rsidRPr="00A52AB8">
        <w:rPr>
          <w:color w:val="000000" w:themeColor="text1"/>
        </w:rPr>
        <w:t>=</w:t>
      </w:r>
      <w:r w:rsidR="0017304D" w:rsidRPr="00A52AB8">
        <w:rPr>
          <w:color w:val="000000" w:themeColor="text1"/>
        </w:rPr>
        <w:t> </w:t>
      </w:r>
      <w:r w:rsidRPr="00A52AB8">
        <w:rPr>
          <w:color w:val="000000" w:themeColor="text1"/>
        </w:rPr>
        <w:t>0</w:t>
      </w:r>
    </w:p>
    <w:p w14:paraId="5B04E8E4" w14:textId="1E1C827F" w:rsidR="00A73BCC" w:rsidRPr="00A52AB8" w:rsidRDefault="00A73BCC" w:rsidP="00A73BCC">
      <w:pPr>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s>
        <w:spacing w:after="0"/>
        <w:jc w:val="left"/>
        <w:rPr>
          <w:lang w:eastAsia="ja-JP"/>
        </w:rPr>
      </w:pPr>
      <w:r w:rsidRPr="00A52AB8">
        <w:rPr>
          <w:color w:val="000000" w:themeColor="text1"/>
        </w:rPr>
        <w:tab/>
      </w:r>
      <w:r w:rsidRPr="00A52AB8">
        <w:rPr>
          <w:color w:val="000000" w:themeColor="text1"/>
        </w:rPr>
        <w:tab/>
        <w:t>yStart</w:t>
      </w:r>
      <w:r w:rsidR="00D47707" w:rsidRPr="00A52AB8">
        <w:rPr>
          <w:color w:val="000000" w:themeColor="text1"/>
        </w:rPr>
        <w:t> = </w:t>
      </w:r>
      <w:r w:rsidRPr="00A52AB8">
        <w:t>Atlas</w:t>
      </w:r>
      <w:r w:rsidRPr="00A52AB8">
        <w:rPr>
          <w:color w:val="000000" w:themeColor="text1"/>
        </w:rPr>
        <w:t>Patch2dPosY</w:t>
      </w:r>
      <w:r w:rsidRPr="00A52AB8">
        <w:rPr>
          <w:lang w:eastAsia="ja-JP"/>
        </w:rPr>
        <w:t>[ pIdx ]</w:t>
      </w:r>
      <w:r w:rsidRPr="00A52AB8">
        <w:rPr>
          <w:lang w:eastAsia="ja-JP"/>
        </w:rPr>
        <w:br/>
      </w:r>
      <w:r w:rsidRPr="00A52AB8">
        <w:rPr>
          <w:color w:val="000000" w:themeColor="text1"/>
        </w:rPr>
        <w:tab/>
      </w:r>
      <w:r w:rsidRPr="00A52AB8">
        <w:rPr>
          <w:color w:val="000000" w:themeColor="text1"/>
        </w:rPr>
        <w:tab/>
        <w:t>yEnd</w:t>
      </w:r>
      <w:r w:rsidR="00D47707" w:rsidRPr="00A52AB8">
        <w:rPr>
          <w:color w:val="000000" w:themeColor="text1"/>
        </w:rPr>
        <w:t> = </w:t>
      </w:r>
      <w:r w:rsidRPr="00A52AB8">
        <w:t>Atlas</w:t>
      </w:r>
      <w:r w:rsidRPr="00A52AB8">
        <w:rPr>
          <w:color w:val="000000" w:themeColor="text1"/>
        </w:rPr>
        <w:t>Patch2dPosY</w:t>
      </w:r>
      <w:r w:rsidRPr="00A52AB8">
        <w:rPr>
          <w:lang w:eastAsia="ja-JP"/>
        </w:rPr>
        <w:t>[ pIdx ] + </w:t>
      </w:r>
      <w:r w:rsidRPr="00A52AB8">
        <w:rPr>
          <w:color w:val="000000" w:themeColor="text1"/>
        </w:rPr>
        <w:t>AtlasPatch2dSizeY[ pIdx ]</w:t>
      </w:r>
      <w:r w:rsidRPr="00A52AB8">
        <w:rPr>
          <w:lang w:eastAsia="ja-JP"/>
        </w:rPr>
        <w:br/>
      </w:r>
      <w:r w:rsidRPr="00A52AB8">
        <w:rPr>
          <w:color w:val="000000" w:themeColor="text1"/>
        </w:rPr>
        <w:tab/>
      </w:r>
      <w:r w:rsidRPr="00A52AB8">
        <w:rPr>
          <w:color w:val="000000" w:themeColor="text1"/>
        </w:rPr>
        <w:tab/>
        <w:t>xStart</w:t>
      </w:r>
      <w:r w:rsidR="00D47707" w:rsidRPr="00A52AB8">
        <w:rPr>
          <w:color w:val="000000" w:themeColor="text1"/>
        </w:rPr>
        <w:t> = </w:t>
      </w:r>
      <w:r w:rsidRPr="00A52AB8">
        <w:t>Atlas</w:t>
      </w:r>
      <w:r w:rsidRPr="00A52AB8">
        <w:rPr>
          <w:color w:val="000000" w:themeColor="text1"/>
        </w:rPr>
        <w:t>Patch2dPosX</w:t>
      </w:r>
      <w:r w:rsidRPr="00A52AB8">
        <w:rPr>
          <w:lang w:eastAsia="ja-JP"/>
        </w:rPr>
        <w:t>[ pIdx ]</w:t>
      </w:r>
    </w:p>
    <w:p w14:paraId="27D1E14E" w14:textId="46C70858" w:rsidR="00A73BCC" w:rsidRPr="00A52AB8" w:rsidRDefault="00A73BCC" w:rsidP="00A73BCC">
      <w:pPr>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s>
        <w:spacing w:after="0"/>
        <w:jc w:val="left"/>
        <w:rPr>
          <w:lang w:eastAsia="ja-JP"/>
        </w:rPr>
      </w:pPr>
      <w:r w:rsidRPr="00A52AB8">
        <w:rPr>
          <w:color w:val="000000" w:themeColor="text1"/>
        </w:rPr>
        <w:tab/>
      </w:r>
      <w:r w:rsidRPr="00A52AB8">
        <w:rPr>
          <w:color w:val="000000" w:themeColor="text1"/>
        </w:rPr>
        <w:tab/>
        <w:t>xEnd</w:t>
      </w:r>
      <w:r w:rsidR="00D47707" w:rsidRPr="00A52AB8">
        <w:rPr>
          <w:color w:val="000000" w:themeColor="text1"/>
        </w:rPr>
        <w:t> = </w:t>
      </w:r>
      <w:r w:rsidRPr="00A52AB8">
        <w:t>Atlas</w:t>
      </w:r>
      <w:r w:rsidRPr="00A52AB8">
        <w:rPr>
          <w:color w:val="000000" w:themeColor="text1"/>
        </w:rPr>
        <w:t>Patch2dPosX</w:t>
      </w:r>
      <w:r w:rsidRPr="00A52AB8">
        <w:rPr>
          <w:lang w:eastAsia="ja-JP"/>
        </w:rPr>
        <w:t>[ pIdx ] + </w:t>
      </w:r>
      <w:r w:rsidRPr="00A52AB8">
        <w:rPr>
          <w:color w:val="000000" w:themeColor="text1"/>
        </w:rPr>
        <w:t>AtlasPatch2dSizeX[ pIdx ]</w:t>
      </w:r>
    </w:p>
    <w:p w14:paraId="63907FCD" w14:textId="2CE0025C" w:rsidR="007B6D73" w:rsidRPr="00A52AB8" w:rsidRDefault="002B2191" w:rsidP="00007BE2">
      <w:pPr>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s>
        <w:spacing w:after="0"/>
        <w:jc w:val="left"/>
        <w:rPr>
          <w:lang w:eastAsia="ja-JP"/>
        </w:rPr>
      </w:pPr>
      <w:r w:rsidRPr="00A52AB8">
        <w:tab/>
      </w:r>
      <w:r w:rsidRPr="00A52AB8">
        <w:tab/>
        <w:t>for ( iter</w:t>
      </w:r>
      <w:r w:rsidR="00D47707" w:rsidRPr="00A52AB8">
        <w:t> = </w:t>
      </w:r>
      <w:r w:rsidRPr="00A52AB8">
        <w:t>0; iter &lt; </w:t>
      </w:r>
      <w:r w:rsidR="00DD4BC7" w:rsidRPr="00A52AB8">
        <w:rPr>
          <w:color w:val="000000" w:themeColor="text1"/>
        </w:rPr>
        <w:t>numPasses</w:t>
      </w:r>
      <w:r w:rsidRPr="00A52AB8">
        <w:t>; iter++ </w:t>
      </w:r>
      <w:r w:rsidR="008F1F82" w:rsidRPr="00A52AB8">
        <w:t>) {</w:t>
      </w:r>
      <w:r w:rsidR="007B6D73" w:rsidRPr="00A52AB8">
        <w:br/>
      </w:r>
      <w:r w:rsidR="007B6D73" w:rsidRPr="00A52AB8">
        <w:tab/>
      </w:r>
      <w:r w:rsidR="007B6D73" w:rsidRPr="00A52AB8">
        <w:tab/>
      </w:r>
      <w:r w:rsidR="007B6D73" w:rsidRPr="00A52AB8">
        <w:tab/>
        <w:t>if( iter &amp; 0x1 </w:t>
      </w:r>
      <w:r w:rsidR="008F1F82" w:rsidRPr="00A52AB8">
        <w:t>) {</w:t>
      </w:r>
    </w:p>
    <w:p w14:paraId="44230940" w14:textId="77777777" w:rsidR="007B6D73" w:rsidRPr="00A52AB8" w:rsidRDefault="007B6D73" w:rsidP="00007BE2">
      <w:pPr>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s>
        <w:spacing w:after="0"/>
        <w:ind w:left="1613"/>
        <w:jc w:val="left"/>
      </w:pPr>
      <w:r w:rsidRPr="00A52AB8">
        <w:t>Let the pSrc and pDst arrays correspond to the arrays oFrame and oPbfFrame, respectively.</w:t>
      </w:r>
    </w:p>
    <w:p w14:paraId="235691C4" w14:textId="25A53B32" w:rsidR="007B6D73" w:rsidRPr="00A52AB8" w:rsidRDefault="007B6D73" w:rsidP="00007BE2">
      <w:pPr>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s>
        <w:spacing w:after="0"/>
        <w:jc w:val="left"/>
      </w:pPr>
      <w:r w:rsidRPr="00A52AB8">
        <w:tab/>
      </w:r>
      <w:r w:rsidRPr="00A52AB8">
        <w:tab/>
      </w:r>
      <w:r w:rsidRPr="00A52AB8">
        <w:tab/>
      </w:r>
      <w:r w:rsidR="0023721F" w:rsidRPr="00A52AB8">
        <w:t>} else {</w:t>
      </w:r>
    </w:p>
    <w:p w14:paraId="694EB895" w14:textId="762B8AC0" w:rsidR="007B6D73" w:rsidRPr="00A52AB8" w:rsidRDefault="007B6D73" w:rsidP="00007BE2">
      <w:pPr>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s>
        <w:spacing w:after="0"/>
        <w:ind w:left="1613"/>
        <w:jc w:val="left"/>
      </w:pPr>
      <w:r w:rsidRPr="00A52AB8">
        <w:t>Let the pSrc and pDst arrays correspond to the arrays oPbfFrame and oFrame, respectively.</w:t>
      </w:r>
    </w:p>
    <w:p w14:paraId="21B34348" w14:textId="591218F1" w:rsidR="002B2191" w:rsidRPr="00A52AB8" w:rsidRDefault="007B6D73" w:rsidP="00007BE2">
      <w:pPr>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s>
        <w:spacing w:after="0"/>
        <w:jc w:val="left"/>
        <w:rPr>
          <w:lang w:eastAsia="ja-JP"/>
        </w:rPr>
      </w:pPr>
      <w:r w:rsidRPr="00A52AB8">
        <w:tab/>
      </w:r>
      <w:r w:rsidRPr="00A52AB8">
        <w:tab/>
      </w:r>
      <w:r w:rsidRPr="00A52AB8">
        <w:tab/>
        <w:t>}</w:t>
      </w:r>
      <w:r w:rsidR="002B2191" w:rsidRPr="00A52AB8">
        <w:br/>
      </w:r>
      <w:r w:rsidR="002B2191" w:rsidRPr="00A52AB8">
        <w:rPr>
          <w:color w:val="000000" w:themeColor="text1"/>
        </w:rPr>
        <w:tab/>
      </w:r>
      <w:r w:rsidR="002B2191" w:rsidRPr="00A52AB8">
        <w:rPr>
          <w:color w:val="000000" w:themeColor="text1"/>
        </w:rPr>
        <w:tab/>
      </w:r>
      <w:r w:rsidR="002B2191" w:rsidRPr="00A52AB8">
        <w:rPr>
          <w:color w:val="000000" w:themeColor="text1"/>
        </w:rPr>
        <w:tab/>
        <w:t>for( </w:t>
      </w:r>
      <w:r w:rsidR="00A73BCC" w:rsidRPr="00A52AB8">
        <w:rPr>
          <w:color w:val="000000" w:themeColor="text1"/>
        </w:rPr>
        <w:t>y</w:t>
      </w:r>
      <w:r w:rsidR="00D47707" w:rsidRPr="00A52AB8">
        <w:rPr>
          <w:color w:val="000000" w:themeColor="text1"/>
        </w:rPr>
        <w:t> = </w:t>
      </w:r>
      <w:r w:rsidR="00A73BCC" w:rsidRPr="00A52AB8">
        <w:rPr>
          <w:color w:val="000000" w:themeColor="text1"/>
        </w:rPr>
        <w:t>yStart</w:t>
      </w:r>
      <w:r w:rsidR="002B2191" w:rsidRPr="00A52AB8">
        <w:rPr>
          <w:color w:val="000000" w:themeColor="text1"/>
        </w:rPr>
        <w:t>; </w:t>
      </w:r>
      <w:r w:rsidR="00A73BCC" w:rsidRPr="00A52AB8">
        <w:rPr>
          <w:color w:val="000000" w:themeColor="text1"/>
        </w:rPr>
        <w:t>y</w:t>
      </w:r>
      <w:r w:rsidR="00DD4BC7" w:rsidRPr="00A52AB8">
        <w:rPr>
          <w:color w:val="000000" w:themeColor="text1"/>
        </w:rPr>
        <w:t> </w:t>
      </w:r>
      <w:r w:rsidR="002B2191" w:rsidRPr="00A52AB8">
        <w:rPr>
          <w:color w:val="000000" w:themeColor="text1"/>
        </w:rPr>
        <w:t>&lt;</w:t>
      </w:r>
      <w:r w:rsidR="00DD4BC7" w:rsidRPr="00A52AB8">
        <w:rPr>
          <w:color w:val="000000" w:themeColor="text1"/>
        </w:rPr>
        <w:t> </w:t>
      </w:r>
      <w:r w:rsidR="00A73BCC" w:rsidRPr="00A52AB8">
        <w:rPr>
          <w:color w:val="000000" w:themeColor="text1"/>
        </w:rPr>
        <w:t>yEnd</w:t>
      </w:r>
      <w:r w:rsidR="002B2191" w:rsidRPr="00A52AB8">
        <w:rPr>
          <w:color w:val="000000" w:themeColor="text1"/>
        </w:rPr>
        <w:t>; </w:t>
      </w:r>
      <w:r w:rsidR="00A73BCC" w:rsidRPr="00A52AB8">
        <w:rPr>
          <w:color w:val="000000" w:themeColor="text1"/>
        </w:rPr>
        <w:t>y</w:t>
      </w:r>
      <w:r w:rsidR="002B2191" w:rsidRPr="00A52AB8">
        <w:rPr>
          <w:color w:val="000000" w:themeColor="text1"/>
        </w:rPr>
        <w:t>++ </w:t>
      </w:r>
      <w:r w:rsidR="008F1F82" w:rsidRPr="00A52AB8">
        <w:rPr>
          <w:color w:val="000000" w:themeColor="text1"/>
        </w:rPr>
        <w:t>) {</w:t>
      </w:r>
      <w:r w:rsidR="00A73BCC" w:rsidRPr="00A52AB8">
        <w:rPr>
          <w:color w:val="000000" w:themeColor="text1"/>
        </w:rPr>
        <w:br/>
      </w:r>
      <w:r w:rsidR="008C58AB" w:rsidRPr="00A52AB8">
        <w:rPr>
          <w:lang w:eastAsia="ja-JP"/>
        </w:rPr>
        <w:tab/>
      </w:r>
      <w:r w:rsidR="008C58AB" w:rsidRPr="00A52AB8">
        <w:rPr>
          <w:lang w:eastAsia="ja-JP"/>
        </w:rPr>
        <w:tab/>
      </w:r>
      <w:r w:rsidR="008C58AB" w:rsidRPr="00A52AB8">
        <w:rPr>
          <w:lang w:eastAsia="ja-JP"/>
        </w:rPr>
        <w:tab/>
      </w:r>
      <w:r w:rsidR="008C58AB" w:rsidRPr="00A52AB8">
        <w:rPr>
          <w:lang w:eastAsia="ja-JP"/>
        </w:rPr>
        <w:tab/>
        <w:t>subBlkY</w:t>
      </w:r>
      <w:r w:rsidR="00D47707" w:rsidRPr="00A52AB8">
        <w:rPr>
          <w:lang w:eastAsia="ja-JP"/>
        </w:rPr>
        <w:t> = </w:t>
      </w:r>
      <w:r w:rsidR="008C58AB" w:rsidRPr="00A52AB8">
        <w:rPr>
          <w:lang w:eastAsia="ja-JP"/>
        </w:rPr>
        <w:t>y / PatchPackingBlockSize</w:t>
      </w:r>
      <w:r w:rsidR="00C61E38" w:rsidRPr="00A52AB8">
        <w:rPr>
          <w:lang w:eastAsia="ja-JP"/>
        </w:rPr>
        <w:br/>
      </w:r>
      <w:r w:rsidR="002B2191" w:rsidRPr="00A52AB8">
        <w:rPr>
          <w:color w:val="000000" w:themeColor="text1"/>
        </w:rPr>
        <w:tab/>
      </w:r>
      <w:r w:rsidR="002B2191" w:rsidRPr="00A52AB8">
        <w:rPr>
          <w:color w:val="000000" w:themeColor="text1"/>
        </w:rPr>
        <w:tab/>
      </w:r>
      <w:r w:rsidR="002B2191" w:rsidRPr="00A52AB8">
        <w:rPr>
          <w:color w:val="000000" w:themeColor="text1"/>
        </w:rPr>
        <w:tab/>
      </w:r>
      <w:r w:rsidR="002B2191" w:rsidRPr="00A52AB8">
        <w:rPr>
          <w:color w:val="000000" w:themeColor="text1"/>
        </w:rPr>
        <w:tab/>
        <w:t>for( </w:t>
      </w:r>
      <w:r w:rsidR="00A73BCC" w:rsidRPr="00A52AB8">
        <w:rPr>
          <w:color w:val="000000" w:themeColor="text1"/>
        </w:rPr>
        <w:t>x</w:t>
      </w:r>
      <w:r w:rsidR="00D47707" w:rsidRPr="00A52AB8">
        <w:rPr>
          <w:color w:val="000000" w:themeColor="text1"/>
        </w:rPr>
        <w:t> = </w:t>
      </w:r>
      <w:r w:rsidR="00A73BCC" w:rsidRPr="00A52AB8">
        <w:rPr>
          <w:color w:val="000000" w:themeColor="text1"/>
        </w:rPr>
        <w:t>xStart</w:t>
      </w:r>
      <w:r w:rsidR="002B2191" w:rsidRPr="00A52AB8">
        <w:rPr>
          <w:color w:val="000000" w:themeColor="text1"/>
        </w:rPr>
        <w:t>; </w:t>
      </w:r>
      <w:r w:rsidR="00A73BCC" w:rsidRPr="00A52AB8">
        <w:rPr>
          <w:color w:val="000000" w:themeColor="text1"/>
        </w:rPr>
        <w:t>x</w:t>
      </w:r>
      <w:r w:rsidR="00DD4BC7" w:rsidRPr="00A52AB8">
        <w:rPr>
          <w:color w:val="000000" w:themeColor="text1"/>
        </w:rPr>
        <w:t> </w:t>
      </w:r>
      <w:r w:rsidR="002B2191" w:rsidRPr="00A52AB8">
        <w:rPr>
          <w:color w:val="000000" w:themeColor="text1"/>
        </w:rPr>
        <w:t>&lt;</w:t>
      </w:r>
      <w:r w:rsidR="00DD4BC7" w:rsidRPr="00A52AB8">
        <w:rPr>
          <w:color w:val="000000" w:themeColor="text1"/>
        </w:rPr>
        <w:t> </w:t>
      </w:r>
      <w:r w:rsidR="00A73BCC" w:rsidRPr="00A52AB8">
        <w:rPr>
          <w:color w:val="000000" w:themeColor="text1"/>
        </w:rPr>
        <w:t>xEnd</w:t>
      </w:r>
      <w:r w:rsidR="002B2191" w:rsidRPr="00A52AB8">
        <w:rPr>
          <w:color w:val="000000" w:themeColor="text1"/>
        </w:rPr>
        <w:t>; </w:t>
      </w:r>
      <w:r w:rsidR="00A73BCC" w:rsidRPr="00A52AB8">
        <w:rPr>
          <w:color w:val="000000" w:themeColor="text1"/>
        </w:rPr>
        <w:t>x</w:t>
      </w:r>
      <w:r w:rsidR="002B2191" w:rsidRPr="00A52AB8">
        <w:rPr>
          <w:color w:val="000000" w:themeColor="text1"/>
        </w:rPr>
        <w:t>++ </w:t>
      </w:r>
      <w:r w:rsidR="008F1F82" w:rsidRPr="00A52AB8">
        <w:rPr>
          <w:color w:val="000000" w:themeColor="text1"/>
        </w:rPr>
        <w:t>) {</w:t>
      </w:r>
      <w:r w:rsidR="00A73BCC" w:rsidRPr="00A52AB8">
        <w:rPr>
          <w:lang w:eastAsia="ja-JP"/>
        </w:rPr>
        <w:br/>
      </w:r>
      <w:r w:rsidR="008C58AB" w:rsidRPr="00A52AB8">
        <w:rPr>
          <w:lang w:eastAsia="ja-JP"/>
        </w:rPr>
        <w:tab/>
      </w:r>
      <w:r w:rsidR="008C58AB" w:rsidRPr="00A52AB8">
        <w:rPr>
          <w:lang w:eastAsia="ja-JP"/>
        </w:rPr>
        <w:tab/>
      </w:r>
      <w:r w:rsidR="008C58AB" w:rsidRPr="00A52AB8">
        <w:rPr>
          <w:lang w:eastAsia="ja-JP"/>
        </w:rPr>
        <w:tab/>
      </w:r>
      <w:r w:rsidR="008C58AB" w:rsidRPr="00A52AB8">
        <w:rPr>
          <w:lang w:eastAsia="ja-JP"/>
        </w:rPr>
        <w:tab/>
      </w:r>
      <w:r w:rsidR="008C58AB" w:rsidRPr="00A52AB8">
        <w:rPr>
          <w:lang w:eastAsia="ja-JP"/>
        </w:rPr>
        <w:tab/>
        <w:t>subBlkX</w:t>
      </w:r>
      <w:r w:rsidR="00D47707" w:rsidRPr="00A52AB8">
        <w:rPr>
          <w:lang w:eastAsia="ja-JP"/>
        </w:rPr>
        <w:t> = </w:t>
      </w:r>
      <w:r w:rsidR="008C58AB" w:rsidRPr="00A52AB8">
        <w:rPr>
          <w:lang w:eastAsia="ja-JP"/>
        </w:rPr>
        <w:t>x / PatchPackingBlockSize</w:t>
      </w:r>
      <w:r w:rsidR="00C61E38" w:rsidRPr="00A52AB8">
        <w:rPr>
          <w:lang w:eastAsia="ja-JP"/>
        </w:rPr>
        <w:br/>
      </w:r>
      <w:r w:rsidR="008C58AB" w:rsidRPr="00A52AB8">
        <w:rPr>
          <w:lang w:eastAsia="ja-JP"/>
        </w:rPr>
        <w:tab/>
      </w:r>
      <w:r w:rsidR="008C58AB" w:rsidRPr="00A52AB8">
        <w:rPr>
          <w:lang w:eastAsia="ja-JP"/>
        </w:rPr>
        <w:tab/>
      </w:r>
      <w:r w:rsidR="008C58AB" w:rsidRPr="00A52AB8">
        <w:rPr>
          <w:lang w:eastAsia="ja-JP"/>
        </w:rPr>
        <w:tab/>
      </w:r>
      <w:r w:rsidR="008C58AB" w:rsidRPr="00A52AB8">
        <w:rPr>
          <w:lang w:eastAsia="ja-JP"/>
        </w:rPr>
        <w:tab/>
      </w:r>
      <w:r w:rsidR="008C58AB" w:rsidRPr="00A52AB8">
        <w:rPr>
          <w:lang w:eastAsia="ja-JP"/>
        </w:rPr>
        <w:tab/>
        <w:t>if(</w:t>
      </w:r>
      <w:r w:rsidR="006A6CF0" w:rsidRPr="00A52AB8">
        <w:rPr>
          <w:lang w:eastAsia="ja-JP"/>
        </w:rPr>
        <w:t> </w:t>
      </w:r>
      <w:r w:rsidR="008C58AB" w:rsidRPr="00A52AB8">
        <w:t>AtlasBlockToPatchMap[ </w:t>
      </w:r>
      <w:r w:rsidR="008C58AB" w:rsidRPr="00A52AB8">
        <w:rPr>
          <w:lang w:eastAsia="ja-JP"/>
        </w:rPr>
        <w:t>subBlkY </w:t>
      </w:r>
      <w:r w:rsidR="008C58AB" w:rsidRPr="00A52AB8">
        <w:t>][</w:t>
      </w:r>
      <w:r w:rsidR="008C58AB" w:rsidRPr="00A52AB8">
        <w:rPr>
          <w:lang w:eastAsia="ja-JP"/>
        </w:rPr>
        <w:t> subBlkX </w:t>
      </w:r>
      <w:r w:rsidR="008C58AB" w:rsidRPr="00A52AB8">
        <w:t>]</w:t>
      </w:r>
      <w:r w:rsidR="008C58AB" w:rsidRPr="00A52AB8">
        <w:rPr>
          <w:color w:val="000000" w:themeColor="text1"/>
        </w:rPr>
        <w:t> </w:t>
      </w:r>
      <w:r w:rsidR="00726AAE" w:rsidRPr="00A52AB8">
        <w:rPr>
          <w:color w:val="000000" w:themeColor="text1"/>
        </w:rPr>
        <w:t>==</w:t>
      </w:r>
      <w:r w:rsidR="00D47707" w:rsidRPr="00A52AB8">
        <w:rPr>
          <w:color w:val="000000" w:themeColor="text1"/>
        </w:rPr>
        <w:t> </w:t>
      </w:r>
      <w:r w:rsidR="008C58AB" w:rsidRPr="00A52AB8">
        <w:rPr>
          <w:color w:val="000000" w:themeColor="text1"/>
        </w:rPr>
        <w:t>pIdx</w:t>
      </w:r>
      <w:r w:rsidR="006A6CF0" w:rsidRPr="00A52AB8">
        <w:rPr>
          <w:color w:val="000000" w:themeColor="text1"/>
        </w:rPr>
        <w:t> </w:t>
      </w:r>
      <w:r w:rsidR="008F1F82" w:rsidRPr="00A52AB8">
        <w:rPr>
          <w:color w:val="000000" w:themeColor="text1"/>
        </w:rPr>
        <w:t>) {</w:t>
      </w:r>
      <w:r w:rsidR="00C61E38" w:rsidRPr="00A52AB8">
        <w:rPr>
          <w:color w:val="000000" w:themeColor="text1"/>
        </w:rPr>
        <w:br/>
      </w:r>
      <w:r w:rsidR="002B2191" w:rsidRPr="00A52AB8">
        <w:rPr>
          <w:lang w:eastAsia="ja-JP"/>
        </w:rPr>
        <w:tab/>
      </w:r>
      <w:r w:rsidR="002B2191" w:rsidRPr="00A52AB8">
        <w:rPr>
          <w:lang w:eastAsia="ja-JP"/>
        </w:rPr>
        <w:tab/>
      </w:r>
      <w:r w:rsidR="002B2191" w:rsidRPr="00A52AB8">
        <w:rPr>
          <w:lang w:eastAsia="ja-JP"/>
        </w:rPr>
        <w:tab/>
      </w:r>
      <w:r w:rsidR="002B2191" w:rsidRPr="00A52AB8">
        <w:rPr>
          <w:lang w:eastAsia="ja-JP"/>
        </w:rPr>
        <w:tab/>
      </w:r>
      <w:r w:rsidR="002B2191" w:rsidRPr="00A52AB8">
        <w:rPr>
          <w:lang w:eastAsia="ja-JP"/>
        </w:rPr>
        <w:tab/>
      </w:r>
      <w:r w:rsidR="008C58AB" w:rsidRPr="00A52AB8">
        <w:rPr>
          <w:lang w:eastAsia="ja-JP"/>
        </w:rPr>
        <w:tab/>
      </w:r>
      <w:r w:rsidR="00D63ACE" w:rsidRPr="00A52AB8">
        <w:rPr>
          <w:lang w:eastAsia="ja-JP"/>
        </w:rPr>
        <w:t>if(</w:t>
      </w:r>
      <w:r w:rsidR="002B2191" w:rsidRPr="00A52AB8">
        <w:rPr>
          <w:lang w:eastAsia="ja-JP"/>
        </w:rPr>
        <w:t> </w:t>
      </w:r>
      <w:r w:rsidRPr="00A52AB8">
        <w:rPr>
          <w:lang w:eastAsia="ja-JP"/>
        </w:rPr>
        <w:t>p</w:t>
      </w:r>
      <w:r w:rsidR="002B2191" w:rsidRPr="00A52AB8">
        <w:rPr>
          <w:lang w:eastAsia="ja-JP"/>
        </w:rPr>
        <w:t>Src</w:t>
      </w:r>
      <w:r w:rsidR="002B2191" w:rsidRPr="00A52AB8">
        <w:rPr>
          <w:color w:val="000000" w:themeColor="text1"/>
        </w:rPr>
        <w:t>[ y ][ x ] </w:t>
      </w:r>
      <w:r w:rsidR="00726AAE" w:rsidRPr="00A52AB8">
        <w:rPr>
          <w:color w:val="000000" w:themeColor="text1"/>
        </w:rPr>
        <w:t>==</w:t>
      </w:r>
      <w:r w:rsidR="00D47707" w:rsidRPr="00A52AB8">
        <w:rPr>
          <w:color w:val="000000" w:themeColor="text1"/>
        </w:rPr>
        <w:t> </w:t>
      </w:r>
      <w:r w:rsidR="002B2191" w:rsidRPr="00A52AB8">
        <w:rPr>
          <w:color w:val="000000" w:themeColor="text1"/>
        </w:rPr>
        <w:t>0 </w:t>
      </w:r>
      <w:r w:rsidR="008F1F82" w:rsidRPr="00A52AB8">
        <w:rPr>
          <w:color w:val="000000" w:themeColor="text1"/>
        </w:rPr>
        <w:t>) {</w:t>
      </w:r>
      <w:r w:rsidR="002B2191" w:rsidRPr="00A52AB8">
        <w:rPr>
          <w:color w:val="000000" w:themeColor="text1"/>
        </w:rPr>
        <w:br/>
      </w:r>
      <w:r w:rsidR="002B2191" w:rsidRPr="00A52AB8">
        <w:rPr>
          <w:color w:val="000000" w:themeColor="text1"/>
        </w:rPr>
        <w:tab/>
      </w:r>
      <w:r w:rsidR="002B2191" w:rsidRPr="00A52AB8">
        <w:rPr>
          <w:color w:val="000000" w:themeColor="text1"/>
        </w:rPr>
        <w:tab/>
      </w:r>
      <w:r w:rsidR="002B2191" w:rsidRPr="00A52AB8">
        <w:rPr>
          <w:color w:val="000000" w:themeColor="text1"/>
        </w:rPr>
        <w:tab/>
      </w:r>
      <w:r w:rsidR="002B2191" w:rsidRPr="00A52AB8">
        <w:rPr>
          <w:color w:val="000000" w:themeColor="text1"/>
        </w:rPr>
        <w:tab/>
      </w:r>
      <w:r w:rsidR="002B2191" w:rsidRPr="00A52AB8">
        <w:rPr>
          <w:color w:val="000000" w:themeColor="text1"/>
        </w:rPr>
        <w:tab/>
      </w:r>
      <w:r w:rsidR="002B2191" w:rsidRPr="00A52AB8">
        <w:rPr>
          <w:color w:val="000000" w:themeColor="text1"/>
        </w:rPr>
        <w:tab/>
      </w:r>
      <w:r w:rsidR="008C58AB" w:rsidRPr="00A52AB8">
        <w:rPr>
          <w:color w:val="000000" w:themeColor="text1"/>
        </w:rPr>
        <w:tab/>
      </w:r>
      <w:r w:rsidRPr="00A52AB8">
        <w:rPr>
          <w:color w:val="000000" w:themeColor="text1"/>
        </w:rPr>
        <w:t>p</w:t>
      </w:r>
      <w:r w:rsidR="002B2191" w:rsidRPr="00A52AB8">
        <w:rPr>
          <w:color w:val="000000" w:themeColor="text1"/>
        </w:rPr>
        <w:t>Dst[ y ][ x ]</w:t>
      </w:r>
      <w:r w:rsidR="00D47707" w:rsidRPr="00A52AB8">
        <w:rPr>
          <w:color w:val="000000" w:themeColor="text1"/>
        </w:rPr>
        <w:t> = </w:t>
      </w:r>
      <w:r w:rsidR="002B2191" w:rsidRPr="00A52AB8">
        <w:rPr>
          <w:color w:val="000000" w:themeColor="text1"/>
        </w:rPr>
        <w:t>0</w:t>
      </w:r>
      <w:r w:rsidR="002B2191" w:rsidRPr="00A52AB8">
        <w:rPr>
          <w:color w:val="000000" w:themeColor="text1"/>
        </w:rPr>
        <w:br/>
      </w:r>
      <w:r w:rsidR="002B2191" w:rsidRPr="00A52AB8">
        <w:rPr>
          <w:color w:val="000000" w:themeColor="text1"/>
        </w:rPr>
        <w:tab/>
      </w:r>
      <w:r w:rsidR="002B2191" w:rsidRPr="00A52AB8">
        <w:rPr>
          <w:color w:val="000000" w:themeColor="text1"/>
        </w:rPr>
        <w:tab/>
      </w:r>
      <w:r w:rsidR="002B2191" w:rsidRPr="00A52AB8">
        <w:rPr>
          <w:color w:val="000000" w:themeColor="text1"/>
        </w:rPr>
        <w:tab/>
      </w:r>
      <w:r w:rsidR="002B2191" w:rsidRPr="00A52AB8">
        <w:rPr>
          <w:color w:val="000000" w:themeColor="text1"/>
        </w:rPr>
        <w:tab/>
      </w:r>
      <w:r w:rsidR="002B2191" w:rsidRPr="00A52AB8">
        <w:rPr>
          <w:color w:val="000000" w:themeColor="text1"/>
        </w:rPr>
        <w:tab/>
      </w:r>
      <w:r w:rsidR="008C58AB" w:rsidRPr="00A52AB8">
        <w:rPr>
          <w:color w:val="000000" w:themeColor="text1"/>
        </w:rPr>
        <w:tab/>
      </w:r>
      <w:r w:rsidR="0023721F" w:rsidRPr="00A52AB8">
        <w:rPr>
          <w:color w:val="000000" w:themeColor="text1"/>
        </w:rPr>
        <w:t>} else {</w:t>
      </w:r>
      <w:r w:rsidR="002B2191" w:rsidRPr="00A52AB8">
        <w:rPr>
          <w:rFonts w:eastAsia="Times New Roman"/>
          <w:color w:val="000000"/>
        </w:rPr>
        <w:br/>
      </w:r>
      <w:r w:rsidR="002B2191" w:rsidRPr="00A52AB8">
        <w:rPr>
          <w:rFonts w:eastAsia="Times New Roman"/>
          <w:color w:val="000000"/>
        </w:rPr>
        <w:tab/>
      </w:r>
      <w:r w:rsidR="002B2191" w:rsidRPr="00A52AB8">
        <w:rPr>
          <w:rFonts w:eastAsia="Times New Roman"/>
          <w:color w:val="000000"/>
        </w:rPr>
        <w:tab/>
      </w:r>
      <w:r w:rsidR="002B2191" w:rsidRPr="00A52AB8">
        <w:rPr>
          <w:rFonts w:eastAsia="Times New Roman"/>
          <w:color w:val="000000"/>
        </w:rPr>
        <w:tab/>
      </w:r>
      <w:r w:rsidR="002B2191" w:rsidRPr="00A52AB8">
        <w:rPr>
          <w:rFonts w:eastAsia="Times New Roman"/>
          <w:color w:val="000000"/>
        </w:rPr>
        <w:tab/>
      </w:r>
      <w:r w:rsidR="002B2191" w:rsidRPr="00A52AB8">
        <w:rPr>
          <w:rFonts w:eastAsia="Times New Roman"/>
          <w:color w:val="000000"/>
        </w:rPr>
        <w:tab/>
      </w:r>
      <w:r w:rsidR="002B2191" w:rsidRPr="00A52AB8">
        <w:rPr>
          <w:rFonts w:eastAsia="Times New Roman"/>
          <w:color w:val="000000"/>
        </w:rPr>
        <w:tab/>
      </w:r>
      <w:r w:rsidR="008C58AB" w:rsidRPr="00A52AB8">
        <w:rPr>
          <w:rFonts w:eastAsia="Times New Roman"/>
          <w:color w:val="000000"/>
        </w:rPr>
        <w:tab/>
      </w:r>
      <w:r w:rsidR="002B2191" w:rsidRPr="00A52AB8">
        <w:rPr>
          <w:rFonts w:eastAsia="Times New Roman"/>
          <w:color w:val="000000"/>
        </w:rPr>
        <w:t>countNeighbour</w:t>
      </w:r>
      <w:r w:rsidR="00D47707" w:rsidRPr="00A52AB8">
        <w:rPr>
          <w:rFonts w:eastAsia="Times New Roman"/>
          <w:color w:val="000000"/>
        </w:rPr>
        <w:t> = </w:t>
      </w:r>
      <w:r w:rsidR="002B2191" w:rsidRPr="00A52AB8">
        <w:rPr>
          <w:rFonts w:eastAsia="Times New Roman"/>
          <w:color w:val="000000"/>
        </w:rPr>
        <w:t>( x – 1 &gt; 0 ) ? </w:t>
      </w:r>
      <w:r w:rsidRPr="00A52AB8">
        <w:rPr>
          <w:rFonts w:eastAsia="Times New Roman"/>
          <w:color w:val="000000"/>
        </w:rPr>
        <w:t>p</w:t>
      </w:r>
      <w:r w:rsidR="002B2191" w:rsidRPr="00A52AB8">
        <w:rPr>
          <w:rFonts w:eastAsia="Times New Roman"/>
          <w:color w:val="000000"/>
        </w:rPr>
        <w:t>Src[ y ]</w:t>
      </w:r>
      <w:r w:rsidR="00DD3142" w:rsidRPr="00A52AB8">
        <w:rPr>
          <w:rFonts w:eastAsia="Times New Roman"/>
          <w:color w:val="000000"/>
        </w:rPr>
        <w:t>[ x − 1 ]</w:t>
      </w:r>
      <w:r w:rsidR="002B2191" w:rsidRPr="00A52AB8">
        <w:rPr>
          <w:rFonts w:eastAsia="Times New Roman"/>
          <w:color w:val="000000"/>
        </w:rPr>
        <w:t> : 0</w:t>
      </w:r>
      <w:r w:rsidR="002B2191" w:rsidRPr="00A52AB8">
        <w:rPr>
          <w:color w:val="000000" w:themeColor="text1"/>
        </w:rPr>
        <w:br/>
      </w:r>
      <w:r w:rsidR="002B2191" w:rsidRPr="00A52AB8">
        <w:rPr>
          <w:rFonts w:eastAsia="Times New Roman"/>
          <w:color w:val="000000"/>
        </w:rPr>
        <w:tab/>
      </w:r>
      <w:r w:rsidR="002B2191" w:rsidRPr="00A52AB8">
        <w:rPr>
          <w:rFonts w:eastAsia="Times New Roman"/>
          <w:color w:val="000000"/>
        </w:rPr>
        <w:tab/>
      </w:r>
      <w:r w:rsidR="002B2191" w:rsidRPr="00A52AB8">
        <w:rPr>
          <w:rFonts w:eastAsia="Times New Roman"/>
          <w:color w:val="000000"/>
        </w:rPr>
        <w:tab/>
      </w:r>
      <w:r w:rsidR="002B2191" w:rsidRPr="00A52AB8">
        <w:rPr>
          <w:rFonts w:eastAsia="Times New Roman"/>
          <w:color w:val="000000"/>
        </w:rPr>
        <w:tab/>
      </w:r>
      <w:r w:rsidR="002B2191" w:rsidRPr="00A52AB8">
        <w:rPr>
          <w:rFonts w:eastAsia="Times New Roman"/>
          <w:color w:val="000000"/>
        </w:rPr>
        <w:tab/>
      </w:r>
      <w:r w:rsidR="002B2191" w:rsidRPr="00A52AB8">
        <w:rPr>
          <w:rFonts w:eastAsia="Times New Roman"/>
          <w:color w:val="000000"/>
        </w:rPr>
        <w:tab/>
      </w:r>
      <w:r w:rsidR="008C58AB" w:rsidRPr="00A52AB8">
        <w:rPr>
          <w:rFonts w:eastAsia="Times New Roman"/>
          <w:color w:val="000000"/>
        </w:rPr>
        <w:tab/>
      </w:r>
      <w:r w:rsidR="002B2191" w:rsidRPr="00A52AB8">
        <w:rPr>
          <w:rFonts w:eastAsia="Times New Roman"/>
          <w:color w:val="000000"/>
        </w:rPr>
        <w:t>countNeighbour </w:t>
      </w:r>
      <w:r w:rsidR="00A234FD" w:rsidRPr="00A52AB8">
        <w:rPr>
          <w:rFonts w:eastAsia="Times New Roman"/>
          <w:color w:val="000000"/>
        </w:rPr>
        <w:t>+=</w:t>
      </w:r>
      <w:r w:rsidR="00D47707" w:rsidRPr="00A52AB8">
        <w:rPr>
          <w:rFonts w:eastAsia="Times New Roman"/>
          <w:color w:val="000000"/>
        </w:rPr>
        <w:t> </w:t>
      </w:r>
      <w:r w:rsidR="002B2191" w:rsidRPr="00A52AB8">
        <w:rPr>
          <w:rFonts w:eastAsia="Times New Roman"/>
          <w:color w:val="000000"/>
        </w:rPr>
        <w:t>( x + 1 &lt; </w:t>
      </w:r>
      <w:r w:rsidR="002B2191" w:rsidRPr="00A52AB8">
        <w:rPr>
          <w:color w:val="000000" w:themeColor="text1"/>
        </w:rPr>
        <w:t>asps_frame_width</w:t>
      </w:r>
      <w:r w:rsidR="002B2191" w:rsidRPr="00A52AB8">
        <w:rPr>
          <w:rFonts w:eastAsia="Times New Roman"/>
          <w:color w:val="000000"/>
        </w:rPr>
        <w:t> ) ? </w:t>
      </w:r>
      <w:r w:rsidRPr="00A52AB8">
        <w:rPr>
          <w:rFonts w:eastAsia="Times New Roman"/>
          <w:color w:val="000000"/>
        </w:rPr>
        <w:t>p</w:t>
      </w:r>
      <w:r w:rsidR="002B2191" w:rsidRPr="00A52AB8">
        <w:rPr>
          <w:rFonts w:eastAsia="Times New Roman"/>
          <w:color w:val="000000"/>
        </w:rPr>
        <w:t>Src[ y ][ x + 1 ] :</w:t>
      </w:r>
      <w:r w:rsidR="008A30B4" w:rsidRPr="00A52AB8">
        <w:rPr>
          <w:rFonts w:eastAsia="Times New Roman"/>
          <w:color w:val="000000"/>
        </w:rPr>
        <w:t> </w:t>
      </w:r>
      <w:r w:rsidR="002B2191" w:rsidRPr="00A52AB8">
        <w:rPr>
          <w:rFonts w:eastAsia="Times New Roman"/>
          <w:color w:val="000000"/>
        </w:rPr>
        <w:t>0</w:t>
      </w:r>
      <w:r w:rsidR="002B2191" w:rsidRPr="00A52AB8">
        <w:rPr>
          <w:rFonts w:eastAsia="Times New Roman"/>
          <w:color w:val="000000"/>
        </w:rPr>
        <w:br/>
      </w:r>
      <w:r w:rsidR="002B2191" w:rsidRPr="00A52AB8">
        <w:rPr>
          <w:rFonts w:eastAsia="Times New Roman"/>
          <w:color w:val="000000"/>
        </w:rPr>
        <w:tab/>
      </w:r>
      <w:r w:rsidR="002B2191" w:rsidRPr="00A52AB8">
        <w:rPr>
          <w:rFonts w:eastAsia="Times New Roman"/>
          <w:color w:val="000000"/>
        </w:rPr>
        <w:tab/>
      </w:r>
      <w:r w:rsidR="002B2191" w:rsidRPr="00A52AB8">
        <w:rPr>
          <w:rFonts w:eastAsia="Times New Roman"/>
          <w:color w:val="000000"/>
        </w:rPr>
        <w:tab/>
      </w:r>
      <w:r w:rsidR="002B2191" w:rsidRPr="00A52AB8">
        <w:rPr>
          <w:rFonts w:eastAsia="Times New Roman"/>
          <w:color w:val="000000"/>
        </w:rPr>
        <w:tab/>
      </w:r>
      <w:r w:rsidR="002B2191" w:rsidRPr="00A52AB8">
        <w:rPr>
          <w:rFonts w:eastAsia="Times New Roman"/>
          <w:color w:val="000000"/>
        </w:rPr>
        <w:tab/>
      </w:r>
      <w:r w:rsidR="002B2191" w:rsidRPr="00A52AB8">
        <w:rPr>
          <w:rFonts w:eastAsia="Times New Roman"/>
          <w:color w:val="000000"/>
        </w:rPr>
        <w:tab/>
      </w:r>
      <w:r w:rsidR="008C58AB" w:rsidRPr="00A52AB8">
        <w:rPr>
          <w:rFonts w:eastAsia="Times New Roman"/>
          <w:color w:val="000000"/>
        </w:rPr>
        <w:tab/>
      </w:r>
      <w:r w:rsidR="002B2191" w:rsidRPr="00A52AB8">
        <w:rPr>
          <w:rFonts w:eastAsia="Times New Roman"/>
          <w:color w:val="000000"/>
        </w:rPr>
        <w:t>countNeighbour </w:t>
      </w:r>
      <w:r w:rsidR="00A234FD" w:rsidRPr="00A52AB8">
        <w:rPr>
          <w:rFonts w:eastAsia="Times New Roman"/>
          <w:color w:val="000000"/>
        </w:rPr>
        <w:t>+=</w:t>
      </w:r>
      <w:r w:rsidR="00D47707" w:rsidRPr="00A52AB8">
        <w:rPr>
          <w:rFonts w:eastAsia="Times New Roman"/>
          <w:color w:val="000000"/>
        </w:rPr>
        <w:t> </w:t>
      </w:r>
      <w:r w:rsidR="002B2191" w:rsidRPr="00A52AB8">
        <w:rPr>
          <w:rFonts w:eastAsia="Times New Roman"/>
          <w:color w:val="000000"/>
        </w:rPr>
        <w:t>( y – 1 &gt; 0 ) ? </w:t>
      </w:r>
      <w:r w:rsidRPr="00A52AB8">
        <w:rPr>
          <w:rFonts w:eastAsia="Times New Roman"/>
          <w:color w:val="000000"/>
        </w:rPr>
        <w:t>p</w:t>
      </w:r>
      <w:r w:rsidR="002B2191" w:rsidRPr="00A52AB8">
        <w:rPr>
          <w:rFonts w:eastAsia="Times New Roman"/>
          <w:color w:val="000000"/>
        </w:rPr>
        <w:t>Src[ y − 1 ][ x ] : 0</w:t>
      </w:r>
      <w:r w:rsidR="002B2191" w:rsidRPr="00A52AB8">
        <w:rPr>
          <w:color w:val="000000" w:themeColor="text1"/>
        </w:rPr>
        <w:br/>
      </w:r>
      <w:r w:rsidR="002B2191" w:rsidRPr="00A52AB8">
        <w:rPr>
          <w:rFonts w:eastAsia="Times New Roman"/>
          <w:color w:val="000000"/>
        </w:rPr>
        <w:tab/>
      </w:r>
      <w:r w:rsidR="002B2191" w:rsidRPr="00A52AB8">
        <w:rPr>
          <w:rFonts w:eastAsia="Times New Roman"/>
          <w:color w:val="000000"/>
        </w:rPr>
        <w:tab/>
      </w:r>
      <w:r w:rsidR="002B2191" w:rsidRPr="00A52AB8">
        <w:rPr>
          <w:rFonts w:eastAsia="Times New Roman"/>
          <w:color w:val="000000"/>
        </w:rPr>
        <w:tab/>
      </w:r>
      <w:r w:rsidR="002B2191" w:rsidRPr="00A52AB8">
        <w:rPr>
          <w:rFonts w:eastAsia="Times New Roman"/>
          <w:color w:val="000000"/>
        </w:rPr>
        <w:tab/>
      </w:r>
      <w:r w:rsidR="002B2191" w:rsidRPr="00A52AB8">
        <w:rPr>
          <w:rFonts w:eastAsia="Times New Roman"/>
          <w:color w:val="000000"/>
        </w:rPr>
        <w:tab/>
      </w:r>
      <w:r w:rsidR="002B2191" w:rsidRPr="00A52AB8">
        <w:rPr>
          <w:rFonts w:eastAsia="Times New Roman"/>
          <w:color w:val="000000"/>
        </w:rPr>
        <w:tab/>
      </w:r>
      <w:r w:rsidR="008C58AB" w:rsidRPr="00A52AB8">
        <w:rPr>
          <w:rFonts w:eastAsia="Times New Roman"/>
          <w:color w:val="000000"/>
        </w:rPr>
        <w:tab/>
      </w:r>
      <w:r w:rsidR="002B2191" w:rsidRPr="00A52AB8">
        <w:rPr>
          <w:rFonts w:eastAsia="Times New Roman"/>
          <w:color w:val="000000"/>
        </w:rPr>
        <w:t>countNeighbour </w:t>
      </w:r>
      <w:r w:rsidR="00A234FD" w:rsidRPr="00A52AB8">
        <w:rPr>
          <w:rFonts w:eastAsia="Times New Roman"/>
          <w:color w:val="000000"/>
        </w:rPr>
        <w:t>+=</w:t>
      </w:r>
      <w:r w:rsidR="00D47707" w:rsidRPr="00A52AB8">
        <w:rPr>
          <w:rFonts w:eastAsia="Times New Roman"/>
          <w:color w:val="000000"/>
        </w:rPr>
        <w:t> </w:t>
      </w:r>
      <w:r w:rsidR="002B2191" w:rsidRPr="00A52AB8">
        <w:rPr>
          <w:rFonts w:eastAsia="Times New Roman"/>
          <w:color w:val="000000"/>
        </w:rPr>
        <w:t>( y + 1 &lt; </w:t>
      </w:r>
      <w:r w:rsidR="002B2191" w:rsidRPr="00A52AB8">
        <w:rPr>
          <w:color w:val="000000" w:themeColor="text1"/>
        </w:rPr>
        <w:t>asps_frame_height</w:t>
      </w:r>
      <w:r w:rsidR="002B2191" w:rsidRPr="00A52AB8">
        <w:rPr>
          <w:rFonts w:eastAsia="Times New Roman"/>
          <w:color w:val="000000"/>
        </w:rPr>
        <w:t> ) ? </w:t>
      </w:r>
      <w:r w:rsidRPr="00A52AB8">
        <w:rPr>
          <w:rFonts w:eastAsia="Times New Roman"/>
          <w:color w:val="000000"/>
        </w:rPr>
        <w:t>p</w:t>
      </w:r>
      <w:r w:rsidR="002B2191" w:rsidRPr="00A52AB8">
        <w:rPr>
          <w:rFonts w:eastAsia="Times New Roman"/>
          <w:color w:val="000000"/>
        </w:rPr>
        <w:t>Src[ y + 1 ][ x ] :</w:t>
      </w:r>
      <w:r w:rsidR="008A30B4" w:rsidRPr="00A52AB8">
        <w:rPr>
          <w:rFonts w:eastAsia="Times New Roman"/>
          <w:color w:val="000000"/>
        </w:rPr>
        <w:t> </w:t>
      </w:r>
      <w:r w:rsidR="002B2191" w:rsidRPr="00A52AB8">
        <w:rPr>
          <w:rFonts w:eastAsia="Times New Roman"/>
          <w:color w:val="000000"/>
        </w:rPr>
        <w:t>0</w:t>
      </w:r>
      <w:r w:rsidR="002B2191" w:rsidRPr="00A52AB8">
        <w:rPr>
          <w:rFonts w:eastAsia="Times New Roman"/>
          <w:color w:val="000000"/>
        </w:rPr>
        <w:br/>
      </w:r>
      <w:r w:rsidR="002B2191" w:rsidRPr="00A52AB8">
        <w:rPr>
          <w:rFonts w:eastAsia="Times New Roman"/>
          <w:color w:val="000000"/>
        </w:rPr>
        <w:tab/>
      </w:r>
      <w:r w:rsidR="002B2191" w:rsidRPr="00A52AB8">
        <w:rPr>
          <w:rFonts w:eastAsia="Times New Roman"/>
          <w:color w:val="000000"/>
        </w:rPr>
        <w:tab/>
      </w:r>
      <w:r w:rsidR="002B2191" w:rsidRPr="00A52AB8">
        <w:rPr>
          <w:rFonts w:eastAsia="Times New Roman"/>
          <w:color w:val="000000"/>
        </w:rPr>
        <w:tab/>
      </w:r>
      <w:r w:rsidR="002B2191" w:rsidRPr="00A52AB8">
        <w:rPr>
          <w:rFonts w:eastAsia="Times New Roman"/>
          <w:color w:val="000000"/>
        </w:rPr>
        <w:tab/>
      </w:r>
      <w:r w:rsidR="002B2191" w:rsidRPr="00A52AB8">
        <w:rPr>
          <w:rFonts w:eastAsia="Times New Roman"/>
          <w:color w:val="000000"/>
        </w:rPr>
        <w:tab/>
      </w:r>
      <w:r w:rsidR="002B2191" w:rsidRPr="00A52AB8">
        <w:rPr>
          <w:rFonts w:eastAsia="Times New Roman"/>
          <w:color w:val="000000"/>
        </w:rPr>
        <w:tab/>
      </w:r>
      <w:r w:rsidR="008C58AB" w:rsidRPr="00A52AB8">
        <w:rPr>
          <w:rFonts w:eastAsia="Times New Roman"/>
          <w:color w:val="000000"/>
        </w:rPr>
        <w:tab/>
      </w:r>
      <w:r w:rsidR="00D63ACE" w:rsidRPr="00A52AB8">
        <w:rPr>
          <w:rFonts w:eastAsia="Times New Roman"/>
          <w:color w:val="000000"/>
        </w:rPr>
        <w:t>if(</w:t>
      </w:r>
      <w:r w:rsidR="002B2191" w:rsidRPr="00A52AB8">
        <w:rPr>
          <w:rFonts w:eastAsia="Times New Roman"/>
          <w:color w:val="000000"/>
        </w:rPr>
        <w:t> countNeighbour </w:t>
      </w:r>
      <w:r w:rsidR="00726AAE" w:rsidRPr="00A52AB8">
        <w:rPr>
          <w:rFonts w:eastAsia="Times New Roman"/>
          <w:color w:val="000000"/>
        </w:rPr>
        <w:t>==</w:t>
      </w:r>
      <w:r w:rsidR="00D47707" w:rsidRPr="00A52AB8">
        <w:rPr>
          <w:rFonts w:eastAsia="Times New Roman"/>
          <w:color w:val="000000"/>
        </w:rPr>
        <w:t> </w:t>
      </w:r>
      <w:r w:rsidR="002B2191" w:rsidRPr="00A52AB8">
        <w:rPr>
          <w:rFonts w:eastAsia="Times New Roman"/>
          <w:color w:val="000000"/>
        </w:rPr>
        <w:t>0 </w:t>
      </w:r>
      <w:r w:rsidR="008A30B4" w:rsidRPr="00A52AB8">
        <w:rPr>
          <w:rFonts w:eastAsia="Times New Roman"/>
          <w:color w:val="000000"/>
        </w:rPr>
        <w:t>|| countNeighbour </w:t>
      </w:r>
      <w:r w:rsidR="00726AAE" w:rsidRPr="00A52AB8">
        <w:rPr>
          <w:rFonts w:eastAsia="Times New Roman"/>
          <w:color w:val="000000"/>
        </w:rPr>
        <w:t>==</w:t>
      </w:r>
      <w:r w:rsidR="00D47707" w:rsidRPr="00A52AB8">
        <w:rPr>
          <w:rFonts w:eastAsia="Times New Roman"/>
          <w:color w:val="000000"/>
        </w:rPr>
        <w:t> </w:t>
      </w:r>
      <w:r w:rsidR="008A30B4" w:rsidRPr="00A52AB8">
        <w:rPr>
          <w:rFonts w:eastAsia="Times New Roman"/>
          <w:color w:val="000000"/>
        </w:rPr>
        <w:t>4 </w:t>
      </w:r>
      <w:r w:rsidR="008F1F82" w:rsidRPr="00A52AB8">
        <w:rPr>
          <w:rFonts w:eastAsia="Times New Roman"/>
          <w:color w:val="000000"/>
        </w:rPr>
        <w:t>) {</w:t>
      </w:r>
      <w:r w:rsidR="002B2191" w:rsidRPr="00A52AB8">
        <w:rPr>
          <w:rFonts w:eastAsia="Times New Roman"/>
          <w:color w:val="000000"/>
        </w:rPr>
        <w:br/>
      </w:r>
      <w:r w:rsidR="002B2191" w:rsidRPr="00A52AB8">
        <w:rPr>
          <w:rFonts w:eastAsia="Times New Roman"/>
          <w:color w:val="000000"/>
        </w:rPr>
        <w:tab/>
      </w:r>
      <w:r w:rsidR="002B2191" w:rsidRPr="00A52AB8">
        <w:rPr>
          <w:rFonts w:eastAsia="Times New Roman"/>
          <w:color w:val="000000"/>
        </w:rPr>
        <w:tab/>
      </w:r>
      <w:r w:rsidR="002B2191" w:rsidRPr="00A52AB8">
        <w:rPr>
          <w:rFonts w:eastAsia="Times New Roman"/>
          <w:color w:val="000000"/>
        </w:rPr>
        <w:tab/>
      </w:r>
      <w:r w:rsidR="002B2191" w:rsidRPr="00A52AB8">
        <w:rPr>
          <w:rFonts w:eastAsia="Times New Roman"/>
          <w:color w:val="000000"/>
        </w:rPr>
        <w:tab/>
      </w:r>
      <w:r w:rsidR="002B2191" w:rsidRPr="00A52AB8">
        <w:rPr>
          <w:rFonts w:eastAsia="Times New Roman"/>
          <w:color w:val="000000"/>
        </w:rPr>
        <w:tab/>
      </w:r>
      <w:r w:rsidR="002B2191" w:rsidRPr="00A52AB8">
        <w:rPr>
          <w:rFonts w:eastAsia="Times New Roman"/>
          <w:color w:val="000000"/>
        </w:rPr>
        <w:tab/>
      </w:r>
      <w:r w:rsidR="002B2191" w:rsidRPr="00A52AB8">
        <w:rPr>
          <w:rFonts w:eastAsia="Times New Roman"/>
          <w:color w:val="000000"/>
        </w:rPr>
        <w:tab/>
      </w:r>
      <w:r w:rsidR="008C58AB" w:rsidRPr="00A52AB8">
        <w:rPr>
          <w:rFonts w:eastAsia="Times New Roman"/>
          <w:color w:val="000000"/>
        </w:rPr>
        <w:tab/>
      </w:r>
      <w:r w:rsidRPr="00A52AB8">
        <w:rPr>
          <w:color w:val="000000" w:themeColor="text1"/>
        </w:rPr>
        <w:t>p</w:t>
      </w:r>
      <w:r w:rsidR="002B2191" w:rsidRPr="00A52AB8">
        <w:rPr>
          <w:color w:val="000000" w:themeColor="text1"/>
        </w:rPr>
        <w:t>Dst[ y ][ x ]</w:t>
      </w:r>
      <w:r w:rsidR="00D47707" w:rsidRPr="00A52AB8">
        <w:rPr>
          <w:color w:val="000000" w:themeColor="text1"/>
        </w:rPr>
        <w:t> = </w:t>
      </w:r>
      <w:r w:rsidR="002B2191" w:rsidRPr="00A52AB8">
        <w:rPr>
          <w:color w:val="000000" w:themeColor="text1"/>
        </w:rPr>
        <w:t>0</w:t>
      </w:r>
      <w:r w:rsidR="002B2191" w:rsidRPr="00A52AB8">
        <w:rPr>
          <w:color w:val="000000" w:themeColor="text1"/>
        </w:rPr>
        <w:br/>
      </w:r>
      <w:r w:rsidR="002B2191" w:rsidRPr="00A52AB8">
        <w:rPr>
          <w:color w:val="000000" w:themeColor="text1"/>
        </w:rPr>
        <w:tab/>
      </w:r>
      <w:r w:rsidR="002B2191" w:rsidRPr="00A52AB8">
        <w:rPr>
          <w:color w:val="000000" w:themeColor="text1"/>
        </w:rPr>
        <w:tab/>
      </w:r>
      <w:r w:rsidR="002B2191" w:rsidRPr="00A52AB8">
        <w:rPr>
          <w:color w:val="000000" w:themeColor="text1"/>
        </w:rPr>
        <w:tab/>
      </w:r>
      <w:r w:rsidR="002B2191" w:rsidRPr="00A52AB8">
        <w:rPr>
          <w:color w:val="000000" w:themeColor="text1"/>
        </w:rPr>
        <w:tab/>
      </w:r>
      <w:r w:rsidR="002B2191" w:rsidRPr="00A52AB8">
        <w:rPr>
          <w:color w:val="000000" w:themeColor="text1"/>
        </w:rPr>
        <w:tab/>
      </w:r>
      <w:r w:rsidR="002B2191" w:rsidRPr="00A52AB8">
        <w:rPr>
          <w:color w:val="000000" w:themeColor="text1"/>
        </w:rPr>
        <w:tab/>
      </w:r>
      <w:r w:rsidR="008C58AB" w:rsidRPr="00A52AB8">
        <w:rPr>
          <w:color w:val="000000" w:themeColor="text1"/>
        </w:rPr>
        <w:tab/>
      </w:r>
      <w:r w:rsidR="0023721F" w:rsidRPr="00A52AB8">
        <w:rPr>
          <w:color w:val="000000" w:themeColor="text1"/>
        </w:rPr>
        <w:t>} else {</w:t>
      </w:r>
    </w:p>
    <w:p w14:paraId="7528F1ED" w14:textId="10F6F459" w:rsidR="002B2191" w:rsidRPr="00A52AB8" w:rsidRDefault="00A22FB2" w:rsidP="008F2A42">
      <w:pPr>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s>
        <w:spacing w:after="0"/>
        <w:ind w:left="3224"/>
        <w:rPr>
          <w:color w:val="000000" w:themeColor="text1"/>
        </w:rPr>
      </w:pPr>
      <w:r w:rsidRPr="00A52AB8">
        <w:rPr>
          <w:color w:val="000000" w:themeColor="text1"/>
        </w:rPr>
        <w:t>S</w:t>
      </w:r>
      <w:r w:rsidR="002B2191" w:rsidRPr="00A52AB8">
        <w:rPr>
          <w:color w:val="000000" w:themeColor="text1"/>
        </w:rPr>
        <w:t xml:space="preserve">ubclause </w:t>
      </w:r>
      <w:r w:rsidR="002B2191" w:rsidRPr="00496A4D">
        <w:rPr>
          <w:color w:val="000000" w:themeColor="text1"/>
        </w:rPr>
        <w:fldChar w:fldCharType="begin"/>
      </w:r>
      <w:r w:rsidR="002B2191" w:rsidRPr="00A52AB8">
        <w:rPr>
          <w:color w:val="000000" w:themeColor="text1"/>
        </w:rPr>
        <w:instrText xml:space="preserve"> REF _Ref49344868 \r \h  \* MERGEFORMAT </w:instrText>
      </w:r>
      <w:r w:rsidR="002B2191" w:rsidRPr="00496A4D">
        <w:rPr>
          <w:color w:val="000000" w:themeColor="text1"/>
        </w:rPr>
      </w:r>
      <w:r w:rsidR="002B2191" w:rsidRPr="00496A4D">
        <w:rPr>
          <w:color w:val="000000" w:themeColor="text1"/>
        </w:rPr>
        <w:fldChar w:fldCharType="separate"/>
      </w:r>
      <w:r w:rsidR="00507A67">
        <w:rPr>
          <w:color w:val="000000" w:themeColor="text1"/>
        </w:rPr>
        <w:t>H.10.2.2.7</w:t>
      </w:r>
      <w:r w:rsidR="002B2191" w:rsidRPr="00496A4D">
        <w:rPr>
          <w:color w:val="000000" w:themeColor="text1"/>
        </w:rPr>
        <w:fldChar w:fldCharType="end"/>
      </w:r>
      <w:r w:rsidR="002B2191" w:rsidRPr="00A52AB8">
        <w:rPr>
          <w:color w:val="000000" w:themeColor="text1"/>
        </w:rPr>
        <w:t xml:space="preserve"> is invoked with </w:t>
      </w:r>
      <w:r w:rsidR="0073197B" w:rsidRPr="00A52AB8">
        <w:rPr>
          <w:color w:val="000000" w:themeColor="text1"/>
        </w:rPr>
        <w:t>variables filterSizeX</w:t>
      </w:r>
      <w:r w:rsidR="008546B3" w:rsidRPr="00A52AB8">
        <w:rPr>
          <w:color w:val="000000" w:themeColor="text1"/>
        </w:rPr>
        <w:t xml:space="preserve">, </w:t>
      </w:r>
      <w:r w:rsidR="0073197B" w:rsidRPr="00A52AB8">
        <w:rPr>
          <w:color w:val="000000" w:themeColor="text1"/>
        </w:rPr>
        <w:t xml:space="preserve">filterSizeY, </w:t>
      </w:r>
      <w:r w:rsidR="008546B3" w:rsidRPr="00A52AB8">
        <w:rPr>
          <w:color w:val="000000" w:themeColor="text1"/>
        </w:rPr>
        <w:t xml:space="preserve">x, and y, </w:t>
      </w:r>
      <w:r w:rsidR="0073197B" w:rsidRPr="00A52AB8">
        <w:rPr>
          <w:color w:val="000000" w:themeColor="text1"/>
        </w:rPr>
        <w:t xml:space="preserve">and the arrays </w:t>
      </w:r>
      <w:r w:rsidR="007B6D73" w:rsidRPr="00A52AB8">
        <w:rPr>
          <w:color w:val="000000" w:themeColor="text1"/>
        </w:rPr>
        <w:t>p</w:t>
      </w:r>
      <w:r w:rsidR="002B2191" w:rsidRPr="00A52AB8">
        <w:rPr>
          <w:color w:val="000000" w:themeColor="text1"/>
        </w:rPr>
        <w:t>Src, gFrame</w:t>
      </w:r>
      <w:r w:rsidR="0073197B" w:rsidRPr="00A52AB8">
        <w:rPr>
          <w:color w:val="000000" w:themeColor="text1"/>
        </w:rPr>
        <w:t>,</w:t>
      </w:r>
      <w:r w:rsidR="002B2191" w:rsidRPr="00A52AB8">
        <w:rPr>
          <w:color w:val="000000" w:themeColor="text1"/>
        </w:rPr>
        <w:t xml:space="preserve"> and neighbourDepth[ pIdx ] as inputs and </w:t>
      </w:r>
      <w:r w:rsidR="007B6D73" w:rsidRPr="00A52AB8">
        <w:rPr>
          <w:color w:val="000000" w:themeColor="text1"/>
        </w:rPr>
        <w:t>p</w:t>
      </w:r>
      <w:r w:rsidR="002B2191" w:rsidRPr="00A52AB8">
        <w:rPr>
          <w:color w:val="000000" w:themeColor="text1"/>
        </w:rPr>
        <w:t>Dst[ y ][ x ] as output</w:t>
      </w:r>
      <w:r w:rsidR="0073197B" w:rsidRPr="00A52AB8">
        <w:rPr>
          <w:color w:val="000000" w:themeColor="text1"/>
        </w:rPr>
        <w:t>.</w:t>
      </w:r>
    </w:p>
    <w:p w14:paraId="5B058619" w14:textId="14160927" w:rsidR="008C58AB" w:rsidRPr="00A52AB8" w:rsidRDefault="008C58AB" w:rsidP="00007BE2">
      <w:pPr>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s>
        <w:spacing w:after="0"/>
        <w:ind w:left="2821"/>
        <w:jc w:val="left"/>
        <w:rPr>
          <w:color w:val="000000" w:themeColor="text1"/>
        </w:rPr>
      </w:pPr>
      <w:r w:rsidRPr="00A52AB8">
        <w:rPr>
          <w:color w:val="000000" w:themeColor="text1"/>
        </w:rPr>
        <w:t>}</w:t>
      </w:r>
    </w:p>
    <w:p w14:paraId="4834E0DC" w14:textId="3A100191" w:rsidR="002B2191" w:rsidRPr="00A52AB8" w:rsidRDefault="002B2191" w:rsidP="00FC028E">
      <w:pPr>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s>
        <w:jc w:val="left"/>
        <w:rPr>
          <w:lang w:eastAsia="ja-JP"/>
        </w:rPr>
      </w:pP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t>}</w:t>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t>}</w:t>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t>}</w:t>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t>}</w:t>
      </w:r>
      <w:r w:rsidR="007B6D73" w:rsidRPr="00A52AB8">
        <w:rPr>
          <w:color w:val="000000" w:themeColor="text1"/>
        </w:rPr>
        <w:br/>
      </w:r>
      <w:r w:rsidR="007B6D73" w:rsidRPr="00A52AB8">
        <w:rPr>
          <w:color w:val="000000" w:themeColor="text1"/>
        </w:rPr>
        <w:tab/>
      </w:r>
      <w:r w:rsidR="007B6D73" w:rsidRPr="00A52AB8">
        <w:rPr>
          <w:color w:val="000000" w:themeColor="text1"/>
        </w:rPr>
        <w:tab/>
        <w:t>}</w:t>
      </w:r>
      <w:r w:rsidR="007B6D73" w:rsidRPr="00A52AB8">
        <w:rPr>
          <w:color w:val="000000" w:themeColor="text1"/>
        </w:rPr>
        <w:br/>
      </w:r>
      <w:r w:rsidR="00DD4BC7" w:rsidRPr="00A52AB8">
        <w:rPr>
          <w:color w:val="000000" w:themeColor="text1"/>
        </w:rPr>
        <w:tab/>
      </w:r>
      <w:r w:rsidR="00DD4BC7" w:rsidRPr="00A52AB8">
        <w:rPr>
          <w:color w:val="000000" w:themeColor="text1"/>
        </w:rPr>
        <w:tab/>
      </w:r>
      <w:r w:rsidR="00D63ACE" w:rsidRPr="00A52AB8">
        <w:rPr>
          <w:color w:val="000000" w:themeColor="text1"/>
        </w:rPr>
        <w:t>if(</w:t>
      </w:r>
      <w:r w:rsidR="00DD4BC7" w:rsidRPr="00A52AB8">
        <w:rPr>
          <w:color w:val="000000" w:themeColor="text1"/>
        </w:rPr>
        <w:t> numPasses</w:t>
      </w:r>
      <w:r w:rsidR="00DD4BC7" w:rsidRPr="00A52AB8">
        <w:t> &amp;</w:t>
      </w:r>
      <w:r w:rsidR="00297BC6" w:rsidRPr="00A52AB8">
        <w:t> </w:t>
      </w:r>
      <w:r w:rsidR="00DD4BC7" w:rsidRPr="00A52AB8">
        <w:t>0x1 </w:t>
      </w:r>
      <w:r w:rsidR="008F1F82" w:rsidRPr="00A52AB8">
        <w:t>) {</w:t>
      </w:r>
      <w:r w:rsidR="002566D0" w:rsidRPr="00A52AB8">
        <w:br/>
      </w:r>
      <w:r w:rsidR="00FC028E" w:rsidRPr="00A52AB8">
        <w:rPr>
          <w:color w:val="000000" w:themeColor="text1"/>
        </w:rPr>
        <w:tab/>
      </w:r>
      <w:r w:rsidR="00FC028E" w:rsidRPr="00A52AB8">
        <w:rPr>
          <w:color w:val="000000" w:themeColor="text1"/>
        </w:rPr>
        <w:tab/>
      </w:r>
      <w:r w:rsidR="00FC028E" w:rsidRPr="00A52AB8">
        <w:rPr>
          <w:color w:val="000000" w:themeColor="text1"/>
        </w:rPr>
        <w:tab/>
        <w:t>for( </w:t>
      </w:r>
      <w:r w:rsidR="008A30B4" w:rsidRPr="00A52AB8">
        <w:rPr>
          <w:color w:val="000000" w:themeColor="text1"/>
        </w:rPr>
        <w:t>y</w:t>
      </w:r>
      <w:r w:rsidR="00D47707" w:rsidRPr="00A52AB8">
        <w:rPr>
          <w:color w:val="000000" w:themeColor="text1"/>
        </w:rPr>
        <w:t> = </w:t>
      </w:r>
      <w:r w:rsidR="008A30B4" w:rsidRPr="00A52AB8">
        <w:rPr>
          <w:color w:val="000000" w:themeColor="text1"/>
        </w:rPr>
        <w:t>yStart</w:t>
      </w:r>
      <w:r w:rsidR="00FC028E" w:rsidRPr="00A52AB8">
        <w:rPr>
          <w:color w:val="000000" w:themeColor="text1"/>
        </w:rPr>
        <w:t>; </w:t>
      </w:r>
      <w:r w:rsidR="008A30B4" w:rsidRPr="00A52AB8">
        <w:rPr>
          <w:color w:val="000000" w:themeColor="text1"/>
        </w:rPr>
        <w:t>y</w:t>
      </w:r>
      <w:r w:rsidR="00FC028E" w:rsidRPr="00A52AB8">
        <w:rPr>
          <w:color w:val="000000" w:themeColor="text1"/>
        </w:rPr>
        <w:t> &lt; </w:t>
      </w:r>
      <w:r w:rsidR="008A30B4" w:rsidRPr="00A52AB8">
        <w:rPr>
          <w:color w:val="000000" w:themeColor="text1"/>
        </w:rPr>
        <w:t>yEnd</w:t>
      </w:r>
      <w:r w:rsidR="00FC028E" w:rsidRPr="00A52AB8">
        <w:rPr>
          <w:color w:val="000000" w:themeColor="text1"/>
        </w:rPr>
        <w:t>; </w:t>
      </w:r>
      <w:r w:rsidR="008A30B4" w:rsidRPr="00A52AB8">
        <w:rPr>
          <w:color w:val="000000" w:themeColor="text1"/>
        </w:rPr>
        <w:t>y</w:t>
      </w:r>
      <w:r w:rsidR="00FC028E" w:rsidRPr="00A52AB8">
        <w:rPr>
          <w:color w:val="000000" w:themeColor="text1"/>
        </w:rPr>
        <w:t>++ </w:t>
      </w:r>
      <w:r w:rsidR="008F1F82" w:rsidRPr="00A52AB8">
        <w:rPr>
          <w:color w:val="000000" w:themeColor="text1"/>
        </w:rPr>
        <w:t>) {</w:t>
      </w:r>
      <w:r w:rsidR="008A30B4" w:rsidRPr="00A52AB8">
        <w:rPr>
          <w:lang w:eastAsia="ja-JP"/>
        </w:rPr>
        <w:br/>
      </w:r>
      <w:r w:rsidR="00FC028E" w:rsidRPr="00A52AB8">
        <w:rPr>
          <w:lang w:eastAsia="ja-JP"/>
        </w:rPr>
        <w:tab/>
      </w:r>
      <w:r w:rsidR="00FC028E" w:rsidRPr="00A52AB8">
        <w:rPr>
          <w:lang w:eastAsia="ja-JP"/>
        </w:rPr>
        <w:tab/>
      </w:r>
      <w:r w:rsidR="00FC028E" w:rsidRPr="00A52AB8">
        <w:rPr>
          <w:lang w:eastAsia="ja-JP"/>
        </w:rPr>
        <w:tab/>
      </w:r>
      <w:r w:rsidR="00FC028E" w:rsidRPr="00A52AB8">
        <w:rPr>
          <w:lang w:eastAsia="ja-JP"/>
        </w:rPr>
        <w:tab/>
        <w:t>subBlkY</w:t>
      </w:r>
      <w:r w:rsidR="00D47707" w:rsidRPr="00A52AB8">
        <w:rPr>
          <w:lang w:eastAsia="ja-JP"/>
        </w:rPr>
        <w:t> = </w:t>
      </w:r>
      <w:r w:rsidR="00FC028E" w:rsidRPr="00A52AB8">
        <w:rPr>
          <w:lang w:eastAsia="ja-JP"/>
        </w:rPr>
        <w:t>y / PatchPackingBlockSize</w:t>
      </w:r>
      <w:r w:rsidR="00C61E38" w:rsidRPr="00A52AB8">
        <w:rPr>
          <w:lang w:eastAsia="ja-JP"/>
        </w:rPr>
        <w:br/>
      </w:r>
      <w:r w:rsidR="00FC028E" w:rsidRPr="00A52AB8">
        <w:rPr>
          <w:color w:val="000000" w:themeColor="text1"/>
        </w:rPr>
        <w:tab/>
      </w:r>
      <w:r w:rsidR="00FC028E" w:rsidRPr="00A52AB8">
        <w:rPr>
          <w:color w:val="000000" w:themeColor="text1"/>
        </w:rPr>
        <w:tab/>
      </w:r>
      <w:r w:rsidR="00FC028E" w:rsidRPr="00A52AB8">
        <w:rPr>
          <w:color w:val="000000" w:themeColor="text1"/>
        </w:rPr>
        <w:tab/>
      </w:r>
      <w:r w:rsidR="00FC028E" w:rsidRPr="00A52AB8">
        <w:rPr>
          <w:color w:val="000000" w:themeColor="text1"/>
        </w:rPr>
        <w:tab/>
        <w:t>for( </w:t>
      </w:r>
      <w:r w:rsidR="008A30B4" w:rsidRPr="00A52AB8">
        <w:rPr>
          <w:color w:val="000000" w:themeColor="text1"/>
        </w:rPr>
        <w:t>x</w:t>
      </w:r>
      <w:r w:rsidR="00D47707" w:rsidRPr="00A52AB8">
        <w:rPr>
          <w:color w:val="000000" w:themeColor="text1"/>
        </w:rPr>
        <w:t> = </w:t>
      </w:r>
      <w:r w:rsidR="008A30B4" w:rsidRPr="00A52AB8">
        <w:rPr>
          <w:color w:val="000000" w:themeColor="text1"/>
        </w:rPr>
        <w:t>xStart</w:t>
      </w:r>
      <w:r w:rsidR="00FC028E" w:rsidRPr="00A52AB8">
        <w:rPr>
          <w:color w:val="000000" w:themeColor="text1"/>
        </w:rPr>
        <w:t>; </w:t>
      </w:r>
      <w:r w:rsidR="008A30B4" w:rsidRPr="00A52AB8">
        <w:rPr>
          <w:color w:val="000000" w:themeColor="text1"/>
        </w:rPr>
        <w:t>x</w:t>
      </w:r>
      <w:r w:rsidR="00FC028E" w:rsidRPr="00A52AB8">
        <w:rPr>
          <w:color w:val="000000" w:themeColor="text1"/>
        </w:rPr>
        <w:t> &lt; </w:t>
      </w:r>
      <w:r w:rsidR="008A30B4" w:rsidRPr="00A52AB8">
        <w:rPr>
          <w:color w:val="000000" w:themeColor="text1"/>
        </w:rPr>
        <w:t>xEnd</w:t>
      </w:r>
      <w:r w:rsidR="00FC028E" w:rsidRPr="00A52AB8">
        <w:rPr>
          <w:color w:val="000000" w:themeColor="text1"/>
        </w:rPr>
        <w:t>; </w:t>
      </w:r>
      <w:r w:rsidR="008A30B4" w:rsidRPr="00A52AB8">
        <w:rPr>
          <w:color w:val="000000" w:themeColor="text1"/>
        </w:rPr>
        <w:t>x</w:t>
      </w:r>
      <w:r w:rsidR="00FC028E" w:rsidRPr="00A52AB8">
        <w:rPr>
          <w:color w:val="000000" w:themeColor="text1"/>
        </w:rPr>
        <w:t>++ </w:t>
      </w:r>
      <w:r w:rsidR="008F1F82" w:rsidRPr="00A52AB8">
        <w:rPr>
          <w:color w:val="000000" w:themeColor="text1"/>
        </w:rPr>
        <w:t>) {</w:t>
      </w:r>
      <w:r w:rsidR="008A30B4" w:rsidRPr="00A52AB8">
        <w:rPr>
          <w:lang w:eastAsia="ja-JP"/>
        </w:rPr>
        <w:br/>
      </w:r>
      <w:r w:rsidR="00FC028E" w:rsidRPr="00A52AB8">
        <w:rPr>
          <w:lang w:eastAsia="ja-JP"/>
        </w:rPr>
        <w:tab/>
      </w:r>
      <w:r w:rsidR="00FC028E" w:rsidRPr="00A52AB8">
        <w:rPr>
          <w:lang w:eastAsia="ja-JP"/>
        </w:rPr>
        <w:tab/>
      </w:r>
      <w:r w:rsidR="00FC028E" w:rsidRPr="00A52AB8">
        <w:rPr>
          <w:lang w:eastAsia="ja-JP"/>
        </w:rPr>
        <w:tab/>
      </w:r>
      <w:r w:rsidR="00FC028E" w:rsidRPr="00A52AB8">
        <w:rPr>
          <w:lang w:eastAsia="ja-JP"/>
        </w:rPr>
        <w:tab/>
      </w:r>
      <w:r w:rsidR="00FC028E" w:rsidRPr="00A52AB8">
        <w:rPr>
          <w:lang w:eastAsia="ja-JP"/>
        </w:rPr>
        <w:tab/>
        <w:t>subBlkX</w:t>
      </w:r>
      <w:r w:rsidR="00D47707" w:rsidRPr="00A52AB8">
        <w:rPr>
          <w:lang w:eastAsia="ja-JP"/>
        </w:rPr>
        <w:t> = </w:t>
      </w:r>
      <w:r w:rsidR="00FC028E" w:rsidRPr="00A52AB8">
        <w:rPr>
          <w:lang w:eastAsia="ja-JP"/>
        </w:rPr>
        <w:t>x / PatchPackingBlockSize</w:t>
      </w:r>
      <w:r w:rsidR="00C61E38" w:rsidRPr="00A52AB8">
        <w:rPr>
          <w:lang w:eastAsia="ja-JP"/>
        </w:rPr>
        <w:br/>
      </w:r>
      <w:r w:rsidR="00FC028E" w:rsidRPr="00A52AB8">
        <w:rPr>
          <w:lang w:eastAsia="ja-JP"/>
        </w:rPr>
        <w:tab/>
      </w:r>
      <w:r w:rsidR="00FC028E" w:rsidRPr="00A52AB8">
        <w:rPr>
          <w:lang w:eastAsia="ja-JP"/>
        </w:rPr>
        <w:tab/>
      </w:r>
      <w:r w:rsidR="00FC028E" w:rsidRPr="00A52AB8">
        <w:rPr>
          <w:lang w:eastAsia="ja-JP"/>
        </w:rPr>
        <w:tab/>
      </w:r>
      <w:r w:rsidR="00FC028E" w:rsidRPr="00A52AB8">
        <w:rPr>
          <w:lang w:eastAsia="ja-JP"/>
        </w:rPr>
        <w:tab/>
      </w:r>
      <w:r w:rsidR="00FC028E" w:rsidRPr="00A52AB8">
        <w:rPr>
          <w:lang w:eastAsia="ja-JP"/>
        </w:rPr>
        <w:tab/>
        <w:t>if(</w:t>
      </w:r>
      <w:r w:rsidR="008A30B4" w:rsidRPr="00A52AB8">
        <w:rPr>
          <w:lang w:eastAsia="ja-JP"/>
        </w:rPr>
        <w:t> </w:t>
      </w:r>
      <w:r w:rsidR="00FC028E" w:rsidRPr="00A52AB8">
        <w:t>AtlasBlockToPatchMap[ </w:t>
      </w:r>
      <w:r w:rsidR="00FC028E" w:rsidRPr="00A52AB8">
        <w:rPr>
          <w:lang w:eastAsia="ja-JP"/>
        </w:rPr>
        <w:t>subBlkY </w:t>
      </w:r>
      <w:r w:rsidR="00FC028E" w:rsidRPr="00A52AB8">
        <w:t>][</w:t>
      </w:r>
      <w:r w:rsidR="00FC028E" w:rsidRPr="00A52AB8">
        <w:rPr>
          <w:lang w:eastAsia="ja-JP"/>
        </w:rPr>
        <w:t> subBlkX </w:t>
      </w:r>
      <w:r w:rsidR="00FC028E" w:rsidRPr="00A52AB8">
        <w:t>]</w:t>
      </w:r>
      <w:r w:rsidR="00FC028E" w:rsidRPr="00A52AB8">
        <w:rPr>
          <w:color w:val="000000" w:themeColor="text1"/>
        </w:rPr>
        <w:t> </w:t>
      </w:r>
      <w:r w:rsidR="00726AAE" w:rsidRPr="00A52AB8">
        <w:rPr>
          <w:color w:val="000000" w:themeColor="text1"/>
        </w:rPr>
        <w:t>==</w:t>
      </w:r>
      <w:r w:rsidR="00D47707" w:rsidRPr="00A52AB8">
        <w:rPr>
          <w:color w:val="000000" w:themeColor="text1"/>
        </w:rPr>
        <w:t> </w:t>
      </w:r>
      <w:r w:rsidR="00FC028E" w:rsidRPr="00A52AB8">
        <w:rPr>
          <w:color w:val="000000" w:themeColor="text1"/>
        </w:rPr>
        <w:t>pIdx</w:t>
      </w:r>
      <w:r w:rsidR="008A30B4" w:rsidRPr="00A52AB8">
        <w:rPr>
          <w:color w:val="000000" w:themeColor="text1"/>
        </w:rPr>
        <w:t> </w:t>
      </w:r>
      <w:r w:rsidR="00FC028E" w:rsidRPr="00A52AB8">
        <w:rPr>
          <w:color w:val="000000" w:themeColor="text1"/>
        </w:rPr>
        <w:t>)</w:t>
      </w:r>
      <w:r w:rsidR="00DD4BC7" w:rsidRPr="00A52AB8">
        <w:rPr>
          <w:color w:val="000000" w:themeColor="text1"/>
        </w:rPr>
        <w:br/>
      </w:r>
      <w:r w:rsidR="00DD4BC7" w:rsidRPr="00A52AB8">
        <w:rPr>
          <w:color w:val="000000" w:themeColor="text1"/>
        </w:rPr>
        <w:tab/>
      </w:r>
      <w:r w:rsidR="00DD4BC7" w:rsidRPr="00A52AB8">
        <w:rPr>
          <w:color w:val="000000" w:themeColor="text1"/>
        </w:rPr>
        <w:tab/>
      </w:r>
      <w:r w:rsidR="00DD4BC7" w:rsidRPr="00A52AB8">
        <w:rPr>
          <w:color w:val="000000" w:themeColor="text1"/>
        </w:rPr>
        <w:tab/>
      </w:r>
      <w:r w:rsidR="00DD4BC7" w:rsidRPr="00A52AB8">
        <w:rPr>
          <w:color w:val="000000" w:themeColor="text1"/>
        </w:rPr>
        <w:tab/>
      </w:r>
      <w:r w:rsidR="00FC028E" w:rsidRPr="00A52AB8">
        <w:rPr>
          <w:color w:val="000000" w:themeColor="text1"/>
        </w:rPr>
        <w:tab/>
      </w:r>
      <w:r w:rsidR="00FC028E" w:rsidRPr="00A52AB8">
        <w:rPr>
          <w:color w:val="000000" w:themeColor="text1"/>
        </w:rPr>
        <w:tab/>
      </w:r>
      <w:r w:rsidR="00DD4BC7" w:rsidRPr="00A52AB8">
        <w:rPr>
          <w:color w:val="000000" w:themeColor="text1"/>
        </w:rPr>
        <w:t>oFrame[ y ][ x ]</w:t>
      </w:r>
      <w:r w:rsidR="00D47707" w:rsidRPr="00A52AB8">
        <w:rPr>
          <w:color w:val="000000" w:themeColor="text1"/>
        </w:rPr>
        <w:t> = </w:t>
      </w:r>
      <w:r w:rsidR="00DD4BC7" w:rsidRPr="00A52AB8">
        <w:rPr>
          <w:color w:val="000000" w:themeColor="text1"/>
        </w:rPr>
        <w:t>oPbfFrame[ y ][ x ]</w:t>
      </w:r>
      <w:r w:rsidR="008A30B4" w:rsidRPr="00A52AB8">
        <w:rPr>
          <w:color w:val="000000" w:themeColor="text1"/>
        </w:rPr>
        <w:br/>
      </w:r>
      <w:r w:rsidR="008A30B4" w:rsidRPr="00A52AB8">
        <w:rPr>
          <w:color w:val="000000" w:themeColor="text1"/>
        </w:rPr>
        <w:tab/>
      </w:r>
      <w:r w:rsidR="008A30B4" w:rsidRPr="00A52AB8">
        <w:rPr>
          <w:color w:val="000000" w:themeColor="text1"/>
        </w:rPr>
        <w:tab/>
      </w:r>
      <w:r w:rsidR="008A30B4" w:rsidRPr="00A52AB8">
        <w:rPr>
          <w:color w:val="000000" w:themeColor="text1"/>
        </w:rPr>
        <w:tab/>
      </w:r>
      <w:r w:rsidR="008A30B4" w:rsidRPr="00A52AB8">
        <w:rPr>
          <w:color w:val="000000" w:themeColor="text1"/>
        </w:rPr>
        <w:tab/>
        <w:t>}</w:t>
      </w:r>
      <w:r w:rsidR="008A30B4" w:rsidRPr="00A52AB8">
        <w:rPr>
          <w:color w:val="000000" w:themeColor="text1"/>
        </w:rPr>
        <w:br/>
      </w:r>
      <w:r w:rsidR="008A30B4" w:rsidRPr="00A52AB8">
        <w:rPr>
          <w:color w:val="000000" w:themeColor="text1"/>
        </w:rPr>
        <w:tab/>
      </w:r>
      <w:r w:rsidR="008A30B4" w:rsidRPr="00A52AB8">
        <w:rPr>
          <w:color w:val="000000" w:themeColor="text1"/>
        </w:rPr>
        <w:tab/>
      </w:r>
      <w:r w:rsidR="008A30B4" w:rsidRPr="00A52AB8">
        <w:rPr>
          <w:color w:val="000000" w:themeColor="text1"/>
        </w:rPr>
        <w:tab/>
        <w:t>}</w:t>
      </w:r>
      <w:r w:rsidR="008A30B4" w:rsidRPr="00A52AB8">
        <w:rPr>
          <w:color w:val="000000" w:themeColor="text1"/>
        </w:rPr>
        <w:br/>
      </w:r>
      <w:r w:rsidR="008A30B4" w:rsidRPr="00A52AB8">
        <w:rPr>
          <w:color w:val="000000" w:themeColor="text1"/>
        </w:rPr>
        <w:tab/>
      </w:r>
      <w:r w:rsidR="008A30B4" w:rsidRPr="00A52AB8">
        <w:rPr>
          <w:color w:val="000000" w:themeColor="text1"/>
        </w:rPr>
        <w:tab/>
        <w:t>}</w:t>
      </w:r>
      <w:r w:rsidR="00DD4BC7" w:rsidRPr="00A52AB8">
        <w:rPr>
          <w:color w:val="000000" w:themeColor="text1"/>
        </w:rPr>
        <w:br/>
      </w:r>
      <w:r w:rsidRPr="00A52AB8">
        <w:rPr>
          <w:color w:val="000000" w:themeColor="text1"/>
        </w:rPr>
        <w:tab/>
        <w:t>}</w:t>
      </w:r>
      <w:r w:rsidR="00DD4BC7" w:rsidRPr="00A52AB8">
        <w:rPr>
          <w:color w:val="000000" w:themeColor="text1"/>
        </w:rPr>
        <w:br/>
      </w:r>
      <w:bookmarkStart w:id="6353" w:name="_Toc50238186"/>
      <w:bookmarkEnd w:id="6353"/>
    </w:p>
    <w:p w14:paraId="64589853" w14:textId="5A254FD1" w:rsidR="00D25697" w:rsidRPr="00A52AB8" w:rsidRDefault="00D25697" w:rsidP="00007BE2">
      <w:pPr>
        <w:pStyle w:val="a5"/>
        <w:numPr>
          <w:ilvl w:val="4"/>
          <w:numId w:val="19"/>
        </w:numPr>
      </w:pPr>
      <w:bookmarkStart w:id="6354" w:name="_Toc50238187"/>
      <w:bookmarkStart w:id="6355" w:name="_Ref49344844"/>
      <w:bookmarkEnd w:id="6354"/>
      <w:r w:rsidRPr="00A52AB8">
        <w:t xml:space="preserve">Conversion from </w:t>
      </w:r>
      <w:r w:rsidR="005C58AC" w:rsidRPr="00A52AB8">
        <w:t xml:space="preserve">a </w:t>
      </w:r>
      <w:r w:rsidRPr="00A52AB8">
        <w:t>3D point position to atlas coordinates and depth</w:t>
      </w:r>
      <w:bookmarkEnd w:id="6355"/>
    </w:p>
    <w:p w14:paraId="35D88AD5" w14:textId="77777777" w:rsidR="00D25697" w:rsidRPr="00A52AB8" w:rsidRDefault="00D25697" w:rsidP="00007BE2">
      <w:r w:rsidRPr="00A52AB8">
        <w:t>Inputs to this process are:</w:t>
      </w:r>
    </w:p>
    <w:p w14:paraId="4F52EFAF" w14:textId="395C40E4" w:rsidR="00D25697" w:rsidRPr="00A52AB8" w:rsidRDefault="00D2569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variable pIdx, </w:t>
      </w:r>
      <w:r w:rsidR="00A22FB2" w:rsidRPr="00A52AB8">
        <w:rPr>
          <w:color w:val="000000" w:themeColor="text1"/>
        </w:rPr>
        <w:t xml:space="preserve">indicating </w:t>
      </w:r>
      <w:r w:rsidRPr="00A52AB8">
        <w:rPr>
          <w:color w:val="000000" w:themeColor="text1"/>
        </w:rPr>
        <w:t>the patch index and</w:t>
      </w:r>
    </w:p>
    <w:p w14:paraId="3BC1F267" w14:textId="27B9EE34" w:rsidR="00D25697" w:rsidRPr="00A52AB8" w:rsidRDefault="00D2569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w:t>
      </w:r>
      <w:r w:rsidR="00A22FB2" w:rsidRPr="00A52AB8">
        <w:rPr>
          <w:color w:val="000000" w:themeColor="text1"/>
        </w:rPr>
        <w:t xml:space="preserve">1D </w:t>
      </w:r>
      <w:r w:rsidRPr="00A52AB8">
        <w:rPr>
          <w:color w:val="000000" w:themeColor="text1"/>
        </w:rPr>
        <w:t>array pos3D</w:t>
      </w:r>
      <w:r w:rsidR="005C58AC" w:rsidRPr="00A52AB8">
        <w:rPr>
          <w:color w:val="000000" w:themeColor="text1"/>
        </w:rPr>
        <w:t>,</w:t>
      </w:r>
      <w:r w:rsidR="00A22FB2" w:rsidRPr="00A52AB8">
        <w:rPr>
          <w:color w:val="000000" w:themeColor="text1"/>
        </w:rPr>
        <w:t xml:space="preserve"> of size 3</w:t>
      </w:r>
      <w:r w:rsidRPr="00A52AB8">
        <w:rPr>
          <w:color w:val="000000" w:themeColor="text1"/>
        </w:rPr>
        <w:t xml:space="preserve">, </w:t>
      </w:r>
      <w:r w:rsidR="00A22FB2" w:rsidRPr="00A52AB8">
        <w:rPr>
          <w:color w:val="000000" w:themeColor="text1"/>
        </w:rPr>
        <w:t xml:space="preserve">indicating </w:t>
      </w:r>
      <w:r w:rsidRPr="00A52AB8">
        <w:rPr>
          <w:color w:val="000000" w:themeColor="text1"/>
        </w:rPr>
        <w:t xml:space="preserve">the </w:t>
      </w:r>
      <w:r w:rsidR="003B2002" w:rsidRPr="00A52AB8">
        <w:rPr>
          <w:color w:val="000000" w:themeColor="text1"/>
        </w:rPr>
        <w:t>3D</w:t>
      </w:r>
      <w:r w:rsidRPr="00A52AB8">
        <w:rPr>
          <w:color w:val="000000" w:themeColor="text1"/>
        </w:rPr>
        <w:t xml:space="preserve"> coordinates of a point.</w:t>
      </w:r>
    </w:p>
    <w:p w14:paraId="7C2161D0" w14:textId="77777777" w:rsidR="0050235C" w:rsidRPr="00A52AB8" w:rsidRDefault="00D25697" w:rsidP="00007BE2">
      <w:r w:rsidRPr="00A52AB8">
        <w:t>Outputs of this process are:</w:t>
      </w:r>
    </w:p>
    <w:p w14:paraId="021F3C51" w14:textId="77777777" w:rsidR="0050235C" w:rsidRPr="00A52AB8" w:rsidRDefault="00D2569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w:t>
      </w:r>
      <w:r w:rsidR="00654BAA" w:rsidRPr="00A52AB8">
        <w:rPr>
          <w:color w:val="000000" w:themeColor="text1"/>
        </w:rPr>
        <w:t xml:space="preserve">variable </w:t>
      </w:r>
      <w:r w:rsidRPr="00A52AB8">
        <w:rPr>
          <w:color w:val="000000" w:themeColor="text1"/>
        </w:rPr>
        <w:t>x, </w:t>
      </w:r>
      <w:r w:rsidR="00654BAA" w:rsidRPr="00A52AB8">
        <w:rPr>
          <w:color w:val="000000" w:themeColor="text1"/>
        </w:rPr>
        <w:t xml:space="preserve">indicating the x </w:t>
      </w:r>
      <w:r w:rsidRPr="00A52AB8">
        <w:rPr>
          <w:color w:val="000000" w:themeColor="text1"/>
        </w:rPr>
        <w:t>atlas coordinate,</w:t>
      </w:r>
    </w:p>
    <w:p w14:paraId="4F46E69B" w14:textId="27B266D2" w:rsidR="00D25697" w:rsidRPr="00A52AB8" w:rsidRDefault="00654BAA"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variable y, indicating the y atlas coordinate, </w:t>
      </w:r>
      <w:r w:rsidR="00D25697" w:rsidRPr="00A52AB8">
        <w:rPr>
          <w:color w:val="000000" w:themeColor="text1"/>
        </w:rPr>
        <w:t>and</w:t>
      </w:r>
    </w:p>
    <w:p w14:paraId="6E09AC1C" w14:textId="0781C2DC" w:rsidR="00D25697" w:rsidRPr="00A52AB8" w:rsidRDefault="00D2569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variable depthValue, </w:t>
      </w:r>
      <w:r w:rsidR="00A22FB2" w:rsidRPr="00A52AB8">
        <w:rPr>
          <w:color w:val="000000" w:themeColor="text1"/>
        </w:rPr>
        <w:t xml:space="preserve">indicating </w:t>
      </w:r>
      <w:r w:rsidRPr="00A52AB8">
        <w:rPr>
          <w:color w:val="000000" w:themeColor="text1"/>
        </w:rPr>
        <w:t>the depth of a point.</w:t>
      </w:r>
    </w:p>
    <w:p w14:paraId="041CAC48" w14:textId="77777777" w:rsidR="00D25697" w:rsidRPr="00A52AB8" w:rsidRDefault="00D25697" w:rsidP="00007BE2">
      <w:r w:rsidRPr="00A52AB8">
        <w:t>The following applies:</w:t>
      </w:r>
    </w:p>
    <w:p w14:paraId="5B09EE3E" w14:textId="24DEA346" w:rsidR="00D25697" w:rsidRPr="00A52AB8" w:rsidRDefault="00D2569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The 3D coordinates are converted to </w:t>
      </w:r>
      <w:r w:rsidR="00AA7F68" w:rsidRPr="00A52AB8">
        <w:rPr>
          <w:color w:val="000000" w:themeColor="text1"/>
        </w:rPr>
        <w:t xml:space="preserve">a </w:t>
      </w:r>
      <w:r w:rsidRPr="00A52AB8">
        <w:rPr>
          <w:color w:val="000000" w:themeColor="text1"/>
        </w:rPr>
        <w:t>local patch coordinate</w:t>
      </w:r>
      <w:r w:rsidRPr="00A52AB8" w:rsidDel="00A50278">
        <w:rPr>
          <w:color w:val="000000" w:themeColor="text1"/>
        </w:rPr>
        <w:t xml:space="preserve"> </w:t>
      </w:r>
      <w:r w:rsidRPr="00A52AB8">
        <w:rPr>
          <w:color w:val="000000" w:themeColor="text1"/>
        </w:rPr>
        <w:t>pair ( u, v ) and the variable depthValue is computed as follows:</w:t>
      </w:r>
    </w:p>
    <w:p w14:paraId="2705A12F" w14:textId="41C560CB" w:rsidR="00D25697" w:rsidRPr="00A52AB8" w:rsidRDefault="00601F01" w:rsidP="00FB4953">
      <w:pPr>
        <w:rPr>
          <w:lang w:eastAsia="ja-JP"/>
        </w:rPr>
      </w:pPr>
      <w:r w:rsidRPr="00A52AB8">
        <w:rPr>
          <w:lang w:eastAsia="ja-JP"/>
        </w:rPr>
        <w:tab/>
      </w:r>
      <w:r w:rsidR="00654BAA" w:rsidRPr="00A52AB8">
        <w:rPr>
          <w:lang w:eastAsia="ja-JP"/>
        </w:rPr>
        <w:tab/>
      </w:r>
      <w:r w:rsidR="00D25697" w:rsidRPr="00A52AB8">
        <w:rPr>
          <w:lang w:eastAsia="ja-JP"/>
        </w:rPr>
        <w:t>u</w:t>
      </w:r>
      <w:r w:rsidR="00D47707" w:rsidRPr="00A52AB8">
        <w:rPr>
          <w:lang w:eastAsia="ja-JP"/>
        </w:rPr>
        <w:t> = </w:t>
      </w:r>
      <w:r w:rsidR="00D25697" w:rsidRPr="00A52AB8">
        <w:rPr>
          <w:lang w:eastAsia="ja-JP"/>
        </w:rPr>
        <w:t>(pos3D[ AtlasPatchAxisU[ pIdx ]] – AtlasPatch3dOffsetU[ pIdx ])</w:t>
      </w:r>
      <w:r w:rsidR="00D25697" w:rsidRPr="00A52AB8">
        <w:rPr>
          <w:lang w:eastAsia="ja-JP"/>
        </w:rPr>
        <w:tab/>
        <w:t>(H</w:t>
      </w:r>
      <w:r w:rsidR="00D25697" w:rsidRPr="00A52AB8">
        <w:rPr>
          <w:lang w:eastAsia="ja-JP"/>
        </w:rPr>
        <w:noBreakHyphen/>
      </w:r>
      <w:r w:rsidR="00D25697" w:rsidRPr="00496A4D">
        <w:rPr>
          <w:lang w:eastAsia="ja-JP"/>
        </w:rPr>
        <w:fldChar w:fldCharType="begin"/>
      </w:r>
      <w:r w:rsidR="00D25697" w:rsidRPr="00A52AB8">
        <w:rPr>
          <w:lang w:eastAsia="ja-JP"/>
        </w:rPr>
        <w:instrText xml:space="preserve"> SEQ Equation \* ARABIC \s 1 </w:instrText>
      </w:r>
      <w:r w:rsidR="00D25697" w:rsidRPr="00496A4D">
        <w:rPr>
          <w:lang w:eastAsia="ja-JP"/>
        </w:rPr>
        <w:fldChar w:fldCharType="separate"/>
      </w:r>
      <w:r w:rsidR="00507A67">
        <w:rPr>
          <w:noProof/>
          <w:lang w:eastAsia="ja-JP"/>
        </w:rPr>
        <w:t>38</w:t>
      </w:r>
      <w:r w:rsidR="00D25697" w:rsidRPr="00496A4D">
        <w:rPr>
          <w:lang w:eastAsia="ja-JP"/>
        </w:rPr>
        <w:fldChar w:fldCharType="end"/>
      </w:r>
      <w:r w:rsidR="00D25697" w:rsidRPr="00A52AB8">
        <w:rPr>
          <w:lang w:eastAsia="ja-JP"/>
        </w:rPr>
        <w:t>)</w:t>
      </w:r>
    </w:p>
    <w:p w14:paraId="1E0547B1" w14:textId="0A6D3D6A" w:rsidR="00D25697" w:rsidRPr="00A52AB8" w:rsidRDefault="00D25697" w:rsidP="00FB4953">
      <w:pPr>
        <w:rPr>
          <w:lang w:eastAsia="ja-JP"/>
        </w:rPr>
      </w:pPr>
      <w:r w:rsidRPr="00A52AB8">
        <w:rPr>
          <w:lang w:eastAsia="ja-JP"/>
        </w:rPr>
        <w:tab/>
      </w:r>
      <w:r w:rsidR="00654BAA" w:rsidRPr="00A52AB8">
        <w:rPr>
          <w:lang w:eastAsia="ja-JP"/>
        </w:rPr>
        <w:tab/>
      </w:r>
      <w:r w:rsidRPr="00A52AB8">
        <w:rPr>
          <w:lang w:eastAsia="ja-JP"/>
        </w:rPr>
        <w:t>v</w:t>
      </w:r>
      <w:r w:rsidR="00D47707" w:rsidRPr="00A52AB8">
        <w:rPr>
          <w:lang w:eastAsia="ja-JP"/>
        </w:rPr>
        <w:t> = </w:t>
      </w:r>
      <w:r w:rsidRPr="00A52AB8">
        <w:rPr>
          <w:lang w:eastAsia="ja-JP"/>
        </w:rPr>
        <w:t>(pos3D[ AtlasPatchAxisV[ pIdx ]] – AtlasPatch3dOffsetV[ pIdx ])</w:t>
      </w:r>
      <w:r w:rsidRPr="00A52AB8">
        <w:rPr>
          <w:lang w:eastAsia="ja-JP"/>
        </w:rPr>
        <w:tab/>
        <w:t>(H</w:t>
      </w:r>
      <w:r w:rsidRPr="00A52AB8">
        <w:rPr>
          <w:lang w:eastAsia="ja-JP"/>
        </w:rPr>
        <w:noBreakHyphen/>
      </w:r>
      <w:r w:rsidRPr="00496A4D">
        <w:rPr>
          <w:lang w:eastAsia="ja-JP"/>
        </w:rPr>
        <w:fldChar w:fldCharType="begin"/>
      </w:r>
      <w:r w:rsidRPr="00A52AB8">
        <w:rPr>
          <w:lang w:eastAsia="ja-JP"/>
        </w:rPr>
        <w:instrText xml:space="preserve"> SEQ Equation \* ARABIC \s 1 </w:instrText>
      </w:r>
      <w:r w:rsidRPr="00496A4D">
        <w:rPr>
          <w:lang w:eastAsia="ja-JP"/>
        </w:rPr>
        <w:fldChar w:fldCharType="separate"/>
      </w:r>
      <w:r w:rsidR="00507A67">
        <w:rPr>
          <w:noProof/>
          <w:lang w:eastAsia="ja-JP"/>
        </w:rPr>
        <w:t>39</w:t>
      </w:r>
      <w:r w:rsidRPr="00496A4D">
        <w:rPr>
          <w:lang w:eastAsia="ja-JP"/>
        </w:rPr>
        <w:fldChar w:fldCharType="end"/>
      </w:r>
      <w:r w:rsidRPr="00A52AB8">
        <w:rPr>
          <w:lang w:eastAsia="ja-JP"/>
        </w:rPr>
        <w:t>)</w:t>
      </w:r>
    </w:p>
    <w:p w14:paraId="4B9C0CF1" w14:textId="06DE237C" w:rsidR="00D25697" w:rsidRPr="00A52AB8" w:rsidRDefault="00D25697" w:rsidP="00FB4953">
      <w:pPr>
        <w:rPr>
          <w:lang w:eastAsia="ja-JP"/>
        </w:rPr>
      </w:pPr>
      <w:r w:rsidRPr="00A52AB8">
        <w:rPr>
          <w:lang w:eastAsia="ja-JP"/>
        </w:rPr>
        <w:tab/>
      </w:r>
      <w:r w:rsidR="00654BAA" w:rsidRPr="00A52AB8">
        <w:rPr>
          <w:lang w:eastAsia="ja-JP"/>
        </w:rPr>
        <w:tab/>
      </w:r>
      <w:r w:rsidRPr="00A52AB8">
        <w:rPr>
          <w:lang w:eastAsia="ja-JP"/>
        </w:rPr>
        <w:t>projScale</w:t>
      </w:r>
      <w:r w:rsidR="00D47707" w:rsidRPr="00A52AB8">
        <w:rPr>
          <w:lang w:eastAsia="ja-JP"/>
        </w:rPr>
        <w:t> = </w:t>
      </w:r>
      <w:r w:rsidRPr="00A52AB8">
        <w:rPr>
          <w:lang w:eastAsia="ja-JP"/>
        </w:rPr>
        <w:t>(1</w:t>
      </w:r>
      <w:r w:rsidR="00352459" w:rsidRPr="00A52AB8">
        <w:rPr>
          <w:lang w:eastAsia="ja-JP"/>
        </w:rPr>
        <w:t> </w:t>
      </w:r>
      <w:r w:rsidRPr="00A52AB8">
        <w:rPr>
          <w:lang w:eastAsia="ja-JP"/>
        </w:rPr>
        <w:t>–</w:t>
      </w:r>
      <w:r w:rsidR="00352459" w:rsidRPr="00A52AB8">
        <w:rPr>
          <w:lang w:eastAsia="ja-JP"/>
        </w:rPr>
        <w:t> </w:t>
      </w:r>
      <w:r w:rsidRPr="00A52AB8">
        <w:rPr>
          <w:lang w:eastAsia="ja-JP"/>
        </w:rPr>
        <w:t>2*</w:t>
      </w:r>
      <w:r w:rsidR="00352459" w:rsidRPr="00A52AB8">
        <w:rPr>
          <w:lang w:eastAsia="ja-JP"/>
        </w:rPr>
        <w:t> </w:t>
      </w:r>
      <w:r w:rsidRPr="00A52AB8">
        <w:rPr>
          <w:lang w:eastAsia="ja-JP"/>
        </w:rPr>
        <w:t>AtlasPatchProjectionFlag[ pIdx ])</w:t>
      </w:r>
      <w:r w:rsidRPr="00A52AB8">
        <w:rPr>
          <w:lang w:eastAsia="ja-JP"/>
        </w:rPr>
        <w:tab/>
        <w:t>(H</w:t>
      </w:r>
      <w:r w:rsidRPr="00A52AB8">
        <w:rPr>
          <w:lang w:eastAsia="ja-JP"/>
        </w:rPr>
        <w:noBreakHyphen/>
      </w:r>
      <w:r w:rsidRPr="00496A4D">
        <w:rPr>
          <w:lang w:eastAsia="ja-JP"/>
        </w:rPr>
        <w:fldChar w:fldCharType="begin"/>
      </w:r>
      <w:r w:rsidRPr="00A52AB8">
        <w:rPr>
          <w:lang w:eastAsia="ja-JP"/>
        </w:rPr>
        <w:instrText xml:space="preserve"> SEQ Equation \* ARABIC \s 1 </w:instrText>
      </w:r>
      <w:r w:rsidRPr="00496A4D">
        <w:rPr>
          <w:lang w:eastAsia="ja-JP"/>
        </w:rPr>
        <w:fldChar w:fldCharType="separate"/>
      </w:r>
      <w:r w:rsidR="00507A67">
        <w:rPr>
          <w:noProof/>
          <w:lang w:eastAsia="ja-JP"/>
        </w:rPr>
        <w:t>40</w:t>
      </w:r>
      <w:r w:rsidRPr="00496A4D">
        <w:rPr>
          <w:lang w:eastAsia="ja-JP"/>
        </w:rPr>
        <w:fldChar w:fldCharType="end"/>
      </w:r>
      <w:r w:rsidRPr="00A52AB8">
        <w:rPr>
          <w:lang w:eastAsia="ja-JP"/>
        </w:rPr>
        <w:t>)</w:t>
      </w:r>
    </w:p>
    <w:p w14:paraId="3CA969DE" w14:textId="48D17A3B" w:rsidR="00D25697" w:rsidRPr="00A52AB8" w:rsidRDefault="00654BAA" w:rsidP="00D25697">
      <w:pPr>
        <w:spacing w:before="100" w:beforeAutospacing="1" w:after="100" w:afterAutospacing="1"/>
        <w:rPr>
          <w:lang w:eastAsia="ja-JP"/>
        </w:rPr>
      </w:pPr>
      <w:r w:rsidRPr="00A52AB8">
        <w:rPr>
          <w:lang w:eastAsia="ja-JP"/>
        </w:rPr>
        <w:tab/>
      </w:r>
      <w:r w:rsidRPr="00A52AB8">
        <w:rPr>
          <w:lang w:eastAsia="ja-JP"/>
        </w:rPr>
        <w:tab/>
      </w:r>
      <w:r w:rsidR="00D25697" w:rsidRPr="00A52AB8">
        <w:rPr>
          <w:lang w:eastAsia="ja-JP"/>
        </w:rPr>
        <w:t>depthValue =</w:t>
      </w:r>
      <w:r w:rsidRPr="00A52AB8">
        <w:rPr>
          <w:lang w:eastAsia="ja-JP"/>
        </w:rPr>
        <w:tab/>
      </w:r>
      <w:r w:rsidRPr="00A52AB8">
        <w:rPr>
          <w:lang w:eastAsia="ja-JP"/>
        </w:rPr>
        <w:tab/>
      </w:r>
      <w:r w:rsidRPr="00A52AB8">
        <w:rPr>
          <w:lang w:eastAsia="ja-JP"/>
        </w:rPr>
        <w:tab/>
      </w:r>
      <w:r w:rsidRPr="00A52AB8">
        <w:rPr>
          <w:lang w:eastAsia="ja-JP"/>
        </w:rPr>
        <w:tab/>
      </w:r>
      <w:r w:rsidRPr="00A52AB8">
        <w:rPr>
          <w:lang w:eastAsia="ja-JP"/>
        </w:rPr>
        <w:tab/>
      </w:r>
      <w:r w:rsidR="00AA7F68" w:rsidRPr="00A52AB8">
        <w:rPr>
          <w:lang w:eastAsia="ja-JP"/>
        </w:rPr>
        <w:tab/>
      </w:r>
      <w:r w:rsidR="00D25697" w:rsidRPr="00A52AB8">
        <w:rPr>
          <w:lang w:eastAsia="ja-JP"/>
        </w:rPr>
        <w:tab/>
        <w:t>(H</w:t>
      </w:r>
      <w:r w:rsidR="00D25697" w:rsidRPr="00A52AB8">
        <w:rPr>
          <w:lang w:eastAsia="ja-JP"/>
        </w:rPr>
        <w:noBreakHyphen/>
      </w:r>
      <w:r w:rsidR="00D25697" w:rsidRPr="00496A4D">
        <w:rPr>
          <w:lang w:eastAsia="ja-JP"/>
        </w:rPr>
        <w:fldChar w:fldCharType="begin"/>
      </w:r>
      <w:r w:rsidR="00D25697" w:rsidRPr="00A52AB8">
        <w:rPr>
          <w:lang w:eastAsia="ja-JP"/>
        </w:rPr>
        <w:instrText xml:space="preserve"> SEQ Equation \* ARABIC \s 1 </w:instrText>
      </w:r>
      <w:r w:rsidR="00D25697" w:rsidRPr="00496A4D">
        <w:rPr>
          <w:lang w:eastAsia="ja-JP"/>
        </w:rPr>
        <w:fldChar w:fldCharType="separate"/>
      </w:r>
      <w:r w:rsidR="00507A67">
        <w:rPr>
          <w:noProof/>
          <w:lang w:eastAsia="ja-JP"/>
        </w:rPr>
        <w:t>41</w:t>
      </w:r>
      <w:r w:rsidR="00D25697" w:rsidRPr="00496A4D">
        <w:rPr>
          <w:lang w:eastAsia="ja-JP"/>
        </w:rPr>
        <w:fldChar w:fldCharType="end"/>
      </w:r>
      <w:r w:rsidR="00D25697" w:rsidRPr="00A52AB8">
        <w:rPr>
          <w:lang w:eastAsia="ja-JP"/>
        </w:rPr>
        <w:t>)</w:t>
      </w:r>
      <w:r w:rsidRPr="00A52AB8">
        <w:rPr>
          <w:lang w:eastAsia="ja-JP"/>
        </w:rPr>
        <w:br/>
      </w:r>
      <w:r w:rsidRPr="00A52AB8">
        <w:rPr>
          <w:lang w:eastAsia="ja-JP"/>
        </w:rPr>
        <w:tab/>
      </w:r>
      <w:r w:rsidRPr="00A52AB8">
        <w:rPr>
          <w:lang w:eastAsia="ja-JP"/>
        </w:rPr>
        <w:tab/>
      </w:r>
      <w:r w:rsidRPr="00A52AB8">
        <w:rPr>
          <w:lang w:eastAsia="ja-JP"/>
        </w:rPr>
        <w:tab/>
        <w:t>Max( 0, (pos3D[ AtlasPatchAxisD[ pIdx ] ] − AtlasPatch3dOffsetD[ pIdx ]) * projScale)</w:t>
      </w:r>
    </w:p>
    <w:p w14:paraId="4A4F4E34" w14:textId="77777777" w:rsidR="00D25697" w:rsidRPr="00A52AB8" w:rsidRDefault="00D2569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variable oIdx is set to AtlasPatchOrientationIndex[ pIdx ].</w:t>
      </w:r>
    </w:p>
    <w:p w14:paraId="5F77F196" w14:textId="77777777" w:rsidR="00D25697" w:rsidRPr="00A52AB8" w:rsidRDefault="00D2569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Variables posX, posY, sizeX, sizeY, lodX, and lodY are assigned as follows:</w:t>
      </w:r>
    </w:p>
    <w:p w14:paraId="0A1B020A" w14:textId="45DAF466" w:rsidR="00D25697" w:rsidRPr="00A52AB8" w:rsidRDefault="00D25697" w:rsidP="00FB4953">
      <w:pPr>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s>
        <w:jc w:val="left"/>
        <w:rPr>
          <w:color w:val="000000" w:themeColor="text1"/>
        </w:rPr>
      </w:pPr>
      <w:r w:rsidRPr="00A52AB8">
        <w:rPr>
          <w:color w:val="000000" w:themeColor="text1"/>
        </w:rPr>
        <w:tab/>
      </w:r>
      <w:r w:rsidR="00FD231B" w:rsidRPr="00A52AB8">
        <w:rPr>
          <w:color w:val="000000" w:themeColor="text1"/>
        </w:rPr>
        <w:tab/>
      </w:r>
      <w:r w:rsidRPr="00A52AB8">
        <w:rPr>
          <w:color w:val="000000" w:themeColor="text1"/>
        </w:rPr>
        <w:t>posX</w:t>
      </w:r>
      <w:r w:rsidR="00D47707" w:rsidRPr="00A52AB8">
        <w:rPr>
          <w:color w:val="000000" w:themeColor="text1"/>
        </w:rPr>
        <w:t> = </w:t>
      </w:r>
      <w:r w:rsidRPr="00A52AB8">
        <w:rPr>
          <w:color w:val="000000" w:themeColor="text1"/>
        </w:rPr>
        <w:t>AtlasPatch2dPosX[ pIdx ]</w:t>
      </w:r>
      <w:r w:rsidRPr="00A52AB8">
        <w:rPr>
          <w:color w:val="000000" w:themeColor="text1"/>
        </w:rPr>
        <w:br/>
      </w:r>
      <w:r w:rsidRPr="00A52AB8">
        <w:rPr>
          <w:color w:val="000000" w:themeColor="text1"/>
        </w:rPr>
        <w:tab/>
      </w:r>
      <w:r w:rsidR="00FD231B" w:rsidRPr="00A52AB8">
        <w:rPr>
          <w:color w:val="000000" w:themeColor="text1"/>
        </w:rPr>
        <w:tab/>
      </w:r>
      <w:r w:rsidRPr="00A52AB8">
        <w:rPr>
          <w:color w:val="000000" w:themeColor="text1"/>
        </w:rPr>
        <w:t>posY</w:t>
      </w:r>
      <w:r w:rsidR="00D47707" w:rsidRPr="00A52AB8">
        <w:rPr>
          <w:color w:val="000000" w:themeColor="text1"/>
        </w:rPr>
        <w:t> = </w:t>
      </w:r>
      <w:r w:rsidRPr="00A52AB8">
        <w:rPr>
          <w:color w:val="000000" w:themeColor="text1"/>
        </w:rPr>
        <w:t>AtlasPatch2dPosY[ pIdx ]</w:t>
      </w:r>
      <w:r w:rsidRPr="00A52AB8">
        <w:rPr>
          <w:color w:val="000000" w:themeColor="text1"/>
        </w:rPr>
        <w:br/>
      </w:r>
      <w:r w:rsidRPr="00A52AB8">
        <w:rPr>
          <w:color w:val="000000" w:themeColor="text1"/>
        </w:rPr>
        <w:tab/>
      </w:r>
      <w:r w:rsidR="00FD231B" w:rsidRPr="00A52AB8">
        <w:rPr>
          <w:color w:val="000000" w:themeColor="text1"/>
        </w:rPr>
        <w:tab/>
      </w:r>
      <w:r w:rsidRPr="00A52AB8">
        <w:rPr>
          <w:color w:val="000000" w:themeColor="text1"/>
        </w:rPr>
        <w:t>sizeX</w:t>
      </w:r>
      <w:r w:rsidR="00D47707" w:rsidRPr="00A52AB8">
        <w:rPr>
          <w:color w:val="000000" w:themeColor="text1"/>
        </w:rPr>
        <w:t> = </w:t>
      </w:r>
      <w:r w:rsidRPr="00A52AB8">
        <w:rPr>
          <w:color w:val="000000" w:themeColor="text1"/>
        </w:rPr>
        <w:t>AtlasPatch2dSizeX[ pIdx ]</w:t>
      </w:r>
      <w:r w:rsidRPr="00A52AB8">
        <w:rPr>
          <w:color w:val="000000" w:themeColor="text1"/>
        </w:rPr>
        <w:br/>
      </w:r>
      <w:r w:rsidRPr="00A52AB8">
        <w:rPr>
          <w:color w:val="000000" w:themeColor="text1"/>
        </w:rPr>
        <w:tab/>
      </w:r>
      <w:r w:rsidR="00FD231B" w:rsidRPr="00A52AB8">
        <w:rPr>
          <w:color w:val="000000" w:themeColor="text1"/>
        </w:rPr>
        <w:tab/>
      </w:r>
      <w:r w:rsidRPr="00A52AB8">
        <w:rPr>
          <w:color w:val="000000" w:themeColor="text1"/>
        </w:rPr>
        <w:t>sizeY</w:t>
      </w:r>
      <w:r w:rsidR="00D47707" w:rsidRPr="00A52AB8">
        <w:rPr>
          <w:color w:val="000000" w:themeColor="text1"/>
        </w:rPr>
        <w:t> = </w:t>
      </w:r>
      <w:r w:rsidRPr="00A52AB8">
        <w:rPr>
          <w:color w:val="000000" w:themeColor="text1"/>
        </w:rPr>
        <w:t>AtlasPatch2dSizeY[ pIdx ]</w:t>
      </w:r>
      <w:r w:rsidRPr="00A52AB8">
        <w:rPr>
          <w:color w:val="000000" w:themeColor="text1"/>
        </w:rPr>
        <w:br/>
      </w:r>
      <w:r w:rsidRPr="00A52AB8">
        <w:rPr>
          <w:color w:val="000000" w:themeColor="text1"/>
        </w:rPr>
        <w:tab/>
      </w:r>
      <w:r w:rsidR="00FD231B" w:rsidRPr="00A52AB8">
        <w:rPr>
          <w:color w:val="000000" w:themeColor="text1"/>
        </w:rPr>
        <w:tab/>
      </w:r>
      <w:r w:rsidRPr="00A52AB8">
        <w:rPr>
          <w:color w:val="000000" w:themeColor="text1"/>
        </w:rPr>
        <w:t>lodX</w:t>
      </w:r>
      <w:r w:rsidR="00D47707" w:rsidRPr="00A52AB8">
        <w:rPr>
          <w:color w:val="000000" w:themeColor="text1"/>
        </w:rPr>
        <w:t> = </w:t>
      </w:r>
      <w:r w:rsidRPr="00A52AB8">
        <w:rPr>
          <w:color w:val="000000" w:themeColor="text1"/>
        </w:rPr>
        <w:t>AtlasPatchLoDScaleX[ pIdx ]</w:t>
      </w:r>
      <w:r w:rsidR="00FD231B" w:rsidRPr="00A52AB8">
        <w:rPr>
          <w:color w:val="000000" w:themeColor="text1"/>
        </w:rPr>
        <w:br/>
      </w:r>
      <w:r w:rsidRPr="00A52AB8">
        <w:rPr>
          <w:color w:val="000000" w:themeColor="text1"/>
        </w:rPr>
        <w:tab/>
      </w:r>
      <w:r w:rsidR="00FD231B" w:rsidRPr="00A52AB8">
        <w:rPr>
          <w:color w:val="000000" w:themeColor="text1"/>
        </w:rPr>
        <w:tab/>
      </w:r>
      <w:r w:rsidRPr="00A52AB8">
        <w:rPr>
          <w:color w:val="000000" w:themeColor="text1"/>
        </w:rPr>
        <w:t>lodY</w:t>
      </w:r>
      <w:r w:rsidR="00D47707" w:rsidRPr="00A52AB8">
        <w:rPr>
          <w:color w:val="000000" w:themeColor="text1"/>
        </w:rPr>
        <w:t> = </w:t>
      </w:r>
      <w:r w:rsidRPr="00A52AB8">
        <w:rPr>
          <w:color w:val="000000" w:themeColor="text1"/>
        </w:rPr>
        <w:t>AtlasPatchLoDScaleY[ pIdx ]</w:t>
      </w:r>
    </w:p>
    <w:p w14:paraId="066BE956" w14:textId="708E58DC" w:rsidR="007B2681" w:rsidRPr="00A52AB8" w:rsidRDefault="00D2569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The local patch coordinate</w:t>
      </w:r>
      <w:r w:rsidRPr="00A52AB8" w:rsidDel="00A50278">
        <w:rPr>
          <w:color w:val="000000" w:themeColor="text1"/>
        </w:rPr>
        <w:t xml:space="preserve"> </w:t>
      </w:r>
      <w:r w:rsidRPr="00A52AB8">
        <w:rPr>
          <w:color w:val="000000" w:themeColor="text1"/>
        </w:rPr>
        <w:t>pair ( u, v ) are converted to atlas coordinates (x, y) as follows:</w:t>
      </w:r>
    </w:p>
    <w:p w14:paraId="6B629B59" w14:textId="556CDE03" w:rsidR="00D25697" w:rsidRPr="00A52AB8" w:rsidRDefault="000E745B" w:rsidP="00D25697">
      <w:pPr>
        <w:spacing w:before="100" w:beforeAutospacing="1" w:after="100" w:afterAutospacing="1"/>
        <w:ind w:left="360"/>
      </w:pPr>
      <m:oMath>
        <m:d>
          <m:dPr>
            <m:begChr m:val="["/>
            <m:endChr m:val="]"/>
            <m:ctrlPr>
              <w:rPr>
                <w:rFonts w:ascii="Cambria Math" w:hAnsi="Cambria Math"/>
                <w:bCs/>
                <w:i/>
                <w:iCs/>
                <w:color w:val="000000" w:themeColor="text1"/>
              </w:rPr>
            </m:ctrlPr>
          </m:dPr>
          <m:e>
            <m:m>
              <m:mPr>
                <m:plcHide m:val="1"/>
                <m:mcs>
                  <m:mc>
                    <m:mcPr>
                      <m:count m:val="1"/>
                      <m:mcJc m:val="center"/>
                    </m:mcPr>
                  </m:mc>
                </m:mcs>
                <m:ctrlPr>
                  <w:rPr>
                    <w:rFonts w:ascii="Cambria Math" w:hAnsi="Cambria Math"/>
                    <w:bCs/>
                    <w:iCs/>
                    <w:color w:val="000000" w:themeColor="text1"/>
                  </w:rPr>
                </m:ctrlPr>
              </m:mPr>
              <m:mr>
                <m:e>
                  <m:r>
                    <m:rPr>
                      <m:sty m:val="p"/>
                    </m:rPr>
                    <w:rPr>
                      <w:rFonts w:ascii="Cambria Math" w:hAnsi="Cambria Math"/>
                      <w:color w:val="000000" w:themeColor="text1"/>
                    </w:rPr>
                    <m:t>x</m:t>
                  </m:r>
                </m:e>
              </m:mr>
              <m:mr>
                <m:e>
                  <m:r>
                    <m:rPr>
                      <m:sty m:val="p"/>
                    </m:rPr>
                    <w:rPr>
                      <w:rFonts w:ascii="Cambria Math" w:hAnsi="Cambria Math"/>
                      <w:color w:val="000000" w:themeColor="text1"/>
                    </w:rPr>
                    <m:t>y</m:t>
                  </m:r>
                </m:e>
              </m:mr>
            </m:m>
          </m:e>
        </m:d>
        <m:r>
          <m:rPr>
            <m:sty m:val="p"/>
          </m:rPr>
          <w:rPr>
            <w:rFonts w:ascii="Cambria Math" w:hAnsi="Cambria Math"/>
            <w:color w:val="000000" w:themeColor="text1"/>
          </w:rPr>
          <m:t>=</m:t>
        </m:r>
        <m:d>
          <m:dPr>
            <m:begChr m:val="["/>
            <m:endChr m:val="]"/>
            <m:ctrlPr>
              <w:rPr>
                <w:rFonts w:ascii="Cambria Math" w:hAnsi="Cambria Math"/>
                <w:i/>
                <w:color w:val="000000" w:themeColor="text1"/>
              </w:rPr>
            </m:ctrlPr>
          </m:dPr>
          <m:e>
            <m:m>
              <m:mPr>
                <m:mcs>
                  <m:mc>
                    <m:mcPr>
                      <m:count m:val="2"/>
                      <m:mcJc m:val="center"/>
                    </m:mcPr>
                  </m:mc>
                </m:mcs>
                <m:ctrlPr>
                  <w:rPr>
                    <w:rFonts w:ascii="Cambria Math" w:hAnsi="Cambria Math"/>
                    <w:color w:val="000000" w:themeColor="text1"/>
                  </w:rPr>
                </m:ctrlPr>
              </m:mPr>
              <m:mr>
                <m:e>
                  <m:f>
                    <m:fPr>
                      <m:ctrlPr>
                        <w:rPr>
                          <w:rFonts w:ascii="Cambria Math" w:hAnsi="Cambria Math"/>
                          <w:color w:val="000000" w:themeColor="text1"/>
                        </w:rPr>
                      </m:ctrlPr>
                    </m:fPr>
                    <m:num>
                      <m:r>
                        <m:rPr>
                          <m:sty m:val="p"/>
                        </m:rPr>
                        <w:rPr>
                          <w:rFonts w:ascii="Cambria Math" w:hAnsi="Cambria Math"/>
                          <w:color w:val="000000" w:themeColor="text1"/>
                        </w:rPr>
                        <m:t>1</m:t>
                      </m:r>
                    </m:num>
                    <m:den>
                      <m:r>
                        <m:rPr>
                          <m:sty m:val="p"/>
                        </m:rPr>
                        <w:rPr>
                          <w:rFonts w:ascii="Cambria Math" w:hAnsi="Cambria Math"/>
                          <w:color w:val="000000" w:themeColor="text1"/>
                        </w:rPr>
                        <m:t>lodX</m:t>
                      </m:r>
                    </m:den>
                  </m:f>
                </m:e>
                <m:e>
                  <m:r>
                    <m:rPr>
                      <m:sty m:val="p"/>
                    </m:rPr>
                    <w:rPr>
                      <w:rFonts w:ascii="Cambria Math" w:hAnsi="Cambria Math"/>
                      <w:color w:val="000000" w:themeColor="text1"/>
                    </w:rPr>
                    <m:t>0</m:t>
                  </m:r>
                </m:e>
              </m:mr>
              <m:mr>
                <m:e>
                  <m:r>
                    <m:rPr>
                      <m:sty m:val="p"/>
                    </m:rPr>
                    <w:rPr>
                      <w:rFonts w:ascii="Cambria Math" w:hAnsi="Cambria Math"/>
                      <w:color w:val="000000" w:themeColor="text1"/>
                    </w:rPr>
                    <m:t>0</m:t>
                  </m:r>
                </m:e>
                <m:e>
                  <m:f>
                    <m:fPr>
                      <m:ctrlPr>
                        <w:rPr>
                          <w:rFonts w:ascii="Cambria Math" w:hAnsi="Cambria Math"/>
                          <w:color w:val="000000" w:themeColor="text1"/>
                        </w:rPr>
                      </m:ctrlPr>
                    </m:fPr>
                    <m:num>
                      <m:r>
                        <m:rPr>
                          <m:sty m:val="p"/>
                        </m:rPr>
                        <w:rPr>
                          <w:rFonts w:ascii="Cambria Math" w:hAnsi="Cambria Math"/>
                          <w:color w:val="000000" w:themeColor="text1"/>
                        </w:rPr>
                        <m:t>1</m:t>
                      </m:r>
                    </m:num>
                    <m:den>
                      <m:r>
                        <m:rPr>
                          <m:sty m:val="p"/>
                        </m:rPr>
                        <w:rPr>
                          <w:rFonts w:ascii="Cambria Math" w:hAnsi="Cambria Math"/>
                          <w:color w:val="000000" w:themeColor="text1"/>
                        </w:rPr>
                        <m:t>lodY</m:t>
                      </m:r>
                    </m:den>
                  </m:f>
                </m:e>
              </m:mr>
            </m:m>
          </m:e>
        </m:d>
        <m:r>
          <m:rPr>
            <m:sty m:val="bi"/>
          </m:rPr>
          <w:rPr>
            <w:rFonts w:ascii="Cambria Math" w:hAnsi="Cambria Math"/>
            <w:color w:val="000000" w:themeColor="text1"/>
          </w:rPr>
          <m:t>*</m:t>
        </m:r>
        <m:sSup>
          <m:sSupPr>
            <m:ctrlPr>
              <w:rPr>
                <w:rFonts w:ascii="Cambria Math" w:hAnsi="Cambria Math"/>
                <w:color w:val="000000" w:themeColor="text1"/>
              </w:rPr>
            </m:ctrlPr>
          </m:sSupPr>
          <m:e>
            <m:d>
              <m:dPr>
                <m:ctrlPr>
                  <w:rPr>
                    <w:rFonts w:ascii="Cambria Math" w:hAnsi="Cambria Math"/>
                    <w:color w:val="000000" w:themeColor="text1"/>
                  </w:rPr>
                </m:ctrlPr>
              </m:dPr>
              <m:e>
                <m:sSub>
                  <m:sSubPr>
                    <m:ctrlPr>
                      <w:rPr>
                        <w:rFonts w:ascii="Cambria Math" w:hAnsi="Cambria Math"/>
                        <w:color w:val="000000" w:themeColor="text1"/>
                      </w:rPr>
                    </m:ctrlPr>
                  </m:sSubPr>
                  <m:e>
                    <m:r>
                      <m:rPr>
                        <m:sty m:val="b"/>
                      </m:rPr>
                      <w:rPr>
                        <w:rFonts w:ascii="Cambria Math" w:hAnsi="Cambria Math"/>
                        <w:color w:val="000000" w:themeColor="text1"/>
                      </w:rPr>
                      <m:t>R</m:t>
                    </m:r>
                  </m:e>
                  <m:sub>
                    <m:r>
                      <m:rPr>
                        <m:sty m:val="p"/>
                      </m:rPr>
                      <w:rPr>
                        <w:rFonts w:ascii="Cambria Math" w:hAnsi="Cambria Math"/>
                        <w:color w:val="000000" w:themeColor="text1"/>
                      </w:rPr>
                      <m:t>o</m:t>
                    </m:r>
                  </m:sub>
                </m:sSub>
                <m:d>
                  <m:dPr>
                    <m:ctrlPr>
                      <w:rPr>
                        <w:rFonts w:ascii="Cambria Math" w:hAnsi="Cambria Math"/>
                        <w:bCs/>
                        <w:i/>
                        <w:iCs/>
                        <w:color w:val="000000" w:themeColor="text1"/>
                      </w:rPr>
                    </m:ctrlPr>
                  </m:dPr>
                  <m:e>
                    <m:r>
                      <m:rPr>
                        <m:sty m:val="p"/>
                      </m:rPr>
                      <w:rPr>
                        <w:rFonts w:ascii="Cambria Math" w:hAnsi="Cambria Math"/>
                        <w:color w:val="000000" w:themeColor="text1"/>
                      </w:rPr>
                      <m:t>oIdx</m:t>
                    </m:r>
                  </m:e>
                </m:d>
              </m:e>
            </m:d>
          </m:e>
          <m:sup>
            <m:r>
              <w:rPr>
                <w:rFonts w:ascii="Cambria Math" w:hAnsi="Cambria Math"/>
                <w:color w:val="000000" w:themeColor="text1"/>
              </w:rPr>
              <m:t>-1</m:t>
            </m:r>
          </m:sup>
        </m:sSup>
        <m:r>
          <w:rPr>
            <w:rFonts w:ascii="Cambria Math" w:hAnsi="Cambria Math"/>
            <w:color w:val="000000" w:themeColor="text1"/>
          </w:rPr>
          <m:t>*</m:t>
        </m:r>
        <m:d>
          <m:dPr>
            <m:ctrlPr>
              <w:rPr>
                <w:rFonts w:ascii="Cambria Math" w:hAnsi="Cambria Math"/>
                <w:bCs/>
                <w:i/>
                <w:iCs/>
                <w:color w:val="000000" w:themeColor="text1"/>
              </w:rPr>
            </m:ctrlPr>
          </m:dPr>
          <m:e>
            <m:d>
              <m:dPr>
                <m:begChr m:val="["/>
                <m:endChr m:val="]"/>
                <m:ctrlPr>
                  <w:rPr>
                    <w:rFonts w:ascii="Cambria Math" w:hAnsi="Cambria Math"/>
                    <w:bCs/>
                    <w:i/>
                    <w:iCs/>
                    <w:color w:val="000000" w:themeColor="text1"/>
                  </w:rPr>
                </m:ctrlPr>
              </m:dPr>
              <m:e>
                <m:m>
                  <m:mPr>
                    <m:plcHide m:val="1"/>
                    <m:mcs>
                      <m:mc>
                        <m:mcPr>
                          <m:count m:val="1"/>
                          <m:mcJc m:val="center"/>
                        </m:mcPr>
                      </m:mc>
                    </m:mcs>
                    <m:ctrlPr>
                      <w:rPr>
                        <w:rFonts w:ascii="Cambria Math" w:hAnsi="Cambria Math"/>
                        <w:bCs/>
                        <w:iCs/>
                        <w:color w:val="000000" w:themeColor="text1"/>
                      </w:rPr>
                    </m:ctrlPr>
                  </m:mPr>
                  <m:mr>
                    <m:e>
                      <m:r>
                        <m:rPr>
                          <m:sty m:val="p"/>
                        </m:rPr>
                        <w:rPr>
                          <w:rFonts w:ascii="Cambria Math" w:hAnsi="Cambria Math"/>
                          <w:color w:val="000000" w:themeColor="text1"/>
                        </w:rPr>
                        <m:t>u</m:t>
                      </m:r>
                    </m:e>
                  </m:mr>
                  <m:mr>
                    <m:e>
                      <m:r>
                        <m:rPr>
                          <m:sty m:val="p"/>
                        </m:rPr>
                        <w:rPr>
                          <w:rFonts w:ascii="Cambria Math" w:hAnsi="Cambria Math"/>
                          <w:color w:val="000000" w:themeColor="text1"/>
                        </w:rPr>
                        <m:t>v</m:t>
                      </m:r>
                    </m:e>
                  </m:mr>
                </m:m>
              </m:e>
            </m:d>
            <m:r>
              <m:rPr>
                <m:sty m:val="p"/>
              </m:rPr>
              <w:rPr>
                <w:rFonts w:ascii="Cambria Math" w:hAnsi="Cambria Math"/>
                <w:color w:val="000000" w:themeColor="text1"/>
              </w:rPr>
              <m:t>-</m:t>
            </m:r>
            <m:sSub>
              <m:sSubPr>
                <m:ctrlPr>
                  <w:rPr>
                    <w:rFonts w:ascii="Cambria Math" w:hAnsi="Cambria Math"/>
                    <w:color w:val="000000" w:themeColor="text1"/>
                  </w:rPr>
                </m:ctrlPr>
              </m:sSubPr>
              <m:e>
                <m:r>
                  <m:rPr>
                    <m:sty m:val="b"/>
                  </m:rPr>
                  <w:rPr>
                    <w:rFonts w:ascii="Cambria Math" w:hAnsi="Cambria Math"/>
                    <w:color w:val="000000" w:themeColor="text1"/>
                  </w:rPr>
                  <m:t>R</m:t>
                </m:r>
              </m:e>
              <m:sub>
                <m:r>
                  <m:rPr>
                    <m:sty m:val="p"/>
                  </m:rPr>
                  <w:rPr>
                    <w:rFonts w:ascii="Cambria Math" w:hAnsi="Cambria Math"/>
                    <w:color w:val="000000" w:themeColor="text1"/>
                  </w:rPr>
                  <m:t>s</m:t>
                </m:r>
              </m:sub>
            </m:sSub>
            <m:d>
              <m:dPr>
                <m:ctrlPr>
                  <w:rPr>
                    <w:rFonts w:ascii="Cambria Math" w:hAnsi="Cambria Math"/>
                    <w:bCs/>
                    <w:i/>
                    <w:iCs/>
                    <w:color w:val="000000" w:themeColor="text1"/>
                  </w:rPr>
                </m:ctrlPr>
              </m:dPr>
              <m:e>
                <m:r>
                  <m:rPr>
                    <m:sty m:val="p"/>
                  </m:rPr>
                  <w:rPr>
                    <w:rFonts w:ascii="Cambria Math" w:hAnsi="Cambria Math"/>
                    <w:color w:val="000000" w:themeColor="text1"/>
                  </w:rPr>
                  <m:t>oIdx</m:t>
                </m:r>
              </m:e>
            </m:d>
            <m:r>
              <w:rPr>
                <w:rFonts w:ascii="Cambria Math" w:hAnsi="Cambria Math"/>
                <w:color w:val="000000" w:themeColor="text1"/>
              </w:rPr>
              <m:t>*</m:t>
            </m:r>
            <m:d>
              <m:dPr>
                <m:begChr m:val="["/>
                <m:endChr m:val="]"/>
                <m:ctrlPr>
                  <w:rPr>
                    <w:rFonts w:ascii="Cambria Math" w:hAnsi="Cambria Math"/>
                    <w:i/>
                    <w:color w:val="000000" w:themeColor="text1"/>
                  </w:rPr>
                </m:ctrlPr>
              </m:dPr>
              <m:e>
                <m:m>
                  <m:mPr>
                    <m:mcs>
                      <m:mc>
                        <m:mcPr>
                          <m:count m:val="2"/>
                          <m:mcJc m:val="center"/>
                        </m:mcPr>
                      </m:mc>
                    </m:mcs>
                    <m:ctrlPr>
                      <w:rPr>
                        <w:rFonts w:ascii="Cambria Math" w:hAnsi="Cambria Math"/>
                        <w:color w:val="000000" w:themeColor="text1"/>
                      </w:rPr>
                    </m:ctrlPr>
                  </m:mPr>
                  <m:mr>
                    <m:e>
                      <m:r>
                        <m:rPr>
                          <m:sty m:val="p"/>
                        </m:rPr>
                        <w:rPr>
                          <w:rFonts w:ascii="Cambria Math" w:hAnsi="Cambria Math"/>
                          <w:color w:val="000000" w:themeColor="text1"/>
                        </w:rPr>
                        <m:t>lodX</m:t>
                      </m:r>
                    </m:e>
                    <m:e>
                      <m:r>
                        <m:rPr>
                          <m:sty m:val="p"/>
                        </m:rPr>
                        <w:rPr>
                          <w:rFonts w:ascii="Cambria Math" w:hAnsi="Cambria Math"/>
                          <w:color w:val="000000" w:themeColor="text1"/>
                        </w:rPr>
                        <m:t>0</m:t>
                      </m:r>
                    </m:e>
                  </m:mr>
                  <m:mr>
                    <m:e>
                      <m:r>
                        <m:rPr>
                          <m:sty m:val="p"/>
                        </m:rPr>
                        <w:rPr>
                          <w:rFonts w:ascii="Cambria Math" w:hAnsi="Cambria Math"/>
                          <w:color w:val="000000" w:themeColor="text1"/>
                        </w:rPr>
                        <m:t>0</m:t>
                      </m:r>
                    </m:e>
                    <m:e>
                      <m:r>
                        <m:rPr>
                          <m:sty m:val="p"/>
                        </m:rPr>
                        <w:rPr>
                          <w:rFonts w:ascii="Cambria Math" w:hAnsi="Cambria Math"/>
                          <w:color w:val="000000" w:themeColor="text1"/>
                        </w:rPr>
                        <m:t>lodY</m:t>
                      </m:r>
                    </m:e>
                  </m:mr>
                </m:m>
              </m:e>
            </m:d>
            <m:r>
              <w:rPr>
                <w:rFonts w:ascii="Cambria Math" w:hAnsi="Cambria Math"/>
                <w:color w:val="000000" w:themeColor="text1"/>
              </w:rPr>
              <m:t>*</m:t>
            </m:r>
            <m:d>
              <m:dPr>
                <m:begChr m:val="["/>
                <m:endChr m:val="]"/>
                <m:ctrlPr>
                  <w:rPr>
                    <w:rFonts w:ascii="Cambria Math" w:hAnsi="Cambria Math"/>
                    <w:bCs/>
                    <w:i/>
                    <w:iCs/>
                    <w:color w:val="000000" w:themeColor="text1"/>
                  </w:rPr>
                </m:ctrlPr>
              </m:dPr>
              <m:e>
                <m:m>
                  <m:mPr>
                    <m:plcHide m:val="1"/>
                    <m:mcs>
                      <m:mc>
                        <m:mcPr>
                          <m:count m:val="1"/>
                          <m:mcJc m:val="center"/>
                        </m:mcPr>
                      </m:mc>
                    </m:mcs>
                    <m:ctrlPr>
                      <w:rPr>
                        <w:rFonts w:ascii="Cambria Math" w:hAnsi="Cambria Math"/>
                        <w:bCs/>
                        <w:i/>
                        <w:iCs/>
                        <w:color w:val="000000" w:themeColor="text1"/>
                      </w:rPr>
                    </m:ctrlPr>
                  </m:mPr>
                  <m:mr>
                    <m:e>
                      <m:r>
                        <m:rPr>
                          <m:sty m:val="p"/>
                        </m:rPr>
                        <w:rPr>
                          <w:rFonts w:ascii="Cambria Math" w:hAnsi="Cambria Math"/>
                          <w:color w:val="000000" w:themeColor="text1"/>
                        </w:rPr>
                        <m:t>sizeX</m:t>
                      </m:r>
                      <m:r>
                        <w:rPr>
                          <w:rFonts w:ascii="Cambria Math" w:hAnsi="Cambria Math"/>
                          <w:color w:val="000000" w:themeColor="text1"/>
                        </w:rPr>
                        <m:t>-1</m:t>
                      </m:r>
                    </m:e>
                  </m:mr>
                  <m:mr>
                    <m:e>
                      <m:r>
                        <m:rPr>
                          <m:sty m:val="p"/>
                        </m:rPr>
                        <w:rPr>
                          <w:rFonts w:ascii="Cambria Math" w:hAnsi="Cambria Math"/>
                          <w:color w:val="000000" w:themeColor="text1"/>
                        </w:rPr>
                        <m:t>sizeY</m:t>
                      </m:r>
                      <m:r>
                        <w:rPr>
                          <w:rFonts w:ascii="Cambria Math" w:hAnsi="Cambria Math"/>
                          <w:color w:val="000000" w:themeColor="text1"/>
                        </w:rPr>
                        <m:t>-1</m:t>
                      </m:r>
                    </m:e>
                  </m:mr>
                </m:m>
              </m:e>
            </m:d>
          </m:e>
        </m:d>
        <m:r>
          <w:rPr>
            <w:rFonts w:ascii="Cambria Math" w:hAnsi="Cambria Math"/>
            <w:color w:val="000000" w:themeColor="text1"/>
          </w:rPr>
          <m:t>+</m:t>
        </m:r>
        <m:d>
          <m:dPr>
            <m:begChr m:val="["/>
            <m:endChr m:val="]"/>
            <m:ctrlPr>
              <w:rPr>
                <w:rFonts w:ascii="Cambria Math" w:hAnsi="Cambria Math"/>
                <w:bCs/>
                <w:i/>
                <w:iCs/>
                <w:color w:val="000000" w:themeColor="text1"/>
              </w:rPr>
            </m:ctrlPr>
          </m:dPr>
          <m:e>
            <m:m>
              <m:mPr>
                <m:plcHide m:val="1"/>
                <m:mcs>
                  <m:mc>
                    <m:mcPr>
                      <m:count m:val="1"/>
                      <m:mcJc m:val="center"/>
                    </m:mcPr>
                  </m:mc>
                </m:mcs>
                <m:ctrlPr>
                  <w:rPr>
                    <w:rFonts w:ascii="Cambria Math" w:hAnsi="Cambria Math"/>
                    <w:bCs/>
                    <w:iCs/>
                    <w:color w:val="000000" w:themeColor="text1"/>
                  </w:rPr>
                </m:ctrlPr>
              </m:mPr>
              <m:mr>
                <m:e>
                  <m:r>
                    <m:rPr>
                      <m:sty m:val="p"/>
                    </m:rPr>
                    <w:rPr>
                      <w:rFonts w:ascii="Cambria Math" w:hAnsi="Cambria Math"/>
                      <w:color w:val="000000" w:themeColor="text1"/>
                    </w:rPr>
                    <m:t>posX</m:t>
                  </m:r>
                </m:e>
              </m:mr>
              <m:mr>
                <m:e>
                  <m:r>
                    <m:rPr>
                      <m:sty m:val="p"/>
                    </m:rPr>
                    <w:rPr>
                      <w:rFonts w:ascii="Cambria Math" w:hAnsi="Cambria Math"/>
                      <w:color w:val="000000" w:themeColor="text1"/>
                    </w:rPr>
                    <m:t>posY</m:t>
                  </m:r>
                </m:e>
              </m:mr>
            </m:m>
          </m:e>
        </m:d>
      </m:oMath>
      <w:r w:rsidR="00D25697" w:rsidRPr="00A52AB8">
        <w:rPr>
          <w:lang w:eastAsia="ja-JP"/>
        </w:rPr>
        <w:tab/>
      </w:r>
      <w:r w:rsidR="00D25697" w:rsidRPr="00A52AB8">
        <w:t>(H</w:t>
      </w:r>
      <w:r w:rsidR="00D25697" w:rsidRPr="00A52AB8">
        <w:noBreakHyphen/>
      </w:r>
      <w:r w:rsidR="00D25697" w:rsidRPr="00496A4D">
        <w:fldChar w:fldCharType="begin"/>
      </w:r>
      <w:r w:rsidR="00D25697" w:rsidRPr="00A52AB8">
        <w:instrText xml:space="preserve"> SEQ Equation \* ARABIC \s 1 </w:instrText>
      </w:r>
      <w:r w:rsidR="00D25697" w:rsidRPr="00496A4D">
        <w:fldChar w:fldCharType="separate"/>
      </w:r>
      <w:r w:rsidR="00507A67">
        <w:rPr>
          <w:noProof/>
        </w:rPr>
        <w:t>42</w:t>
      </w:r>
      <w:r w:rsidR="00D25697" w:rsidRPr="00496A4D">
        <w:fldChar w:fldCharType="end"/>
      </w:r>
      <w:r w:rsidR="00D25697" w:rsidRPr="00A52AB8">
        <w:t>)</w:t>
      </w:r>
    </w:p>
    <w:p w14:paraId="40EE858A" w14:textId="6A2967F2" w:rsidR="00D25697" w:rsidRPr="00A52AB8" w:rsidRDefault="00D25697" w:rsidP="008F2A42">
      <w:pPr>
        <w:spacing w:before="100" w:beforeAutospacing="1" w:after="100" w:afterAutospacing="1"/>
        <w:ind w:left="806"/>
        <w:rPr>
          <w:color w:val="000000" w:themeColor="text1"/>
        </w:rPr>
      </w:pPr>
      <w:r w:rsidRPr="00A52AB8">
        <w:rPr>
          <w:color w:val="000000" w:themeColor="text1"/>
        </w:rPr>
        <w:t xml:space="preserve">where </w:t>
      </w:r>
      <w:r w:rsidRPr="00A52AB8">
        <w:rPr>
          <w:b/>
          <w:color w:val="000000" w:themeColor="text1"/>
        </w:rPr>
        <w:t>R</w:t>
      </w:r>
      <w:r w:rsidRPr="00A52AB8">
        <w:rPr>
          <w:color w:val="000000" w:themeColor="text1"/>
          <w:vertAlign w:val="subscript"/>
        </w:rPr>
        <w:t>o</w:t>
      </w:r>
      <w:r w:rsidRPr="00A52AB8" w:rsidDel="00A469C3">
        <w:rPr>
          <w:color w:val="000000" w:themeColor="text1"/>
        </w:rPr>
        <w:t xml:space="preserve"> </w:t>
      </w:r>
      <w:r w:rsidRPr="00A52AB8">
        <w:rPr>
          <w:color w:val="000000" w:themeColor="text1"/>
        </w:rPr>
        <w:t xml:space="preserve">and </w:t>
      </w:r>
      <w:r w:rsidRPr="00A52AB8">
        <w:rPr>
          <w:b/>
          <w:color w:val="000000" w:themeColor="text1"/>
        </w:rPr>
        <w:t>R</w:t>
      </w:r>
      <w:r w:rsidRPr="00A52AB8">
        <w:rPr>
          <w:color w:val="000000" w:themeColor="text1"/>
          <w:vertAlign w:val="subscript"/>
        </w:rPr>
        <w:t>s</w:t>
      </w:r>
      <w:r w:rsidRPr="00A52AB8">
        <w:rPr>
          <w:color w:val="000000" w:themeColor="text1"/>
        </w:rPr>
        <w:t xml:space="preserve"> </w:t>
      </w:r>
      <w:r w:rsidR="0082408E" w:rsidRPr="00A52AB8">
        <w:rPr>
          <w:color w:val="000000" w:themeColor="text1"/>
        </w:rPr>
        <w:t xml:space="preserve">are </w:t>
      </w:r>
      <w:r w:rsidRPr="00A52AB8">
        <w:rPr>
          <w:color w:val="000000" w:themeColor="text1"/>
        </w:rPr>
        <w:t xml:space="preserve">specified in </w:t>
      </w:r>
      <w:r w:rsidR="00011E42" w:rsidRPr="00496A4D">
        <w:rPr>
          <w:color w:val="000000" w:themeColor="text1"/>
        </w:rPr>
        <w:fldChar w:fldCharType="begin"/>
      </w:r>
      <w:r w:rsidR="00011E42" w:rsidRPr="00A52AB8">
        <w:rPr>
          <w:color w:val="000000" w:themeColor="text1"/>
        </w:rPr>
        <w:instrText xml:space="preserve"> REF _Ref49681413 \h </w:instrText>
      </w:r>
      <w:r w:rsidR="00007BE2" w:rsidRPr="00A52AB8">
        <w:rPr>
          <w:color w:val="000000" w:themeColor="text1"/>
        </w:rPr>
        <w:instrText xml:space="preserve"> \* MERGEFORMAT </w:instrText>
      </w:r>
      <w:r w:rsidR="00011E42" w:rsidRPr="00496A4D">
        <w:rPr>
          <w:color w:val="000000" w:themeColor="text1"/>
        </w:rPr>
      </w:r>
      <w:r w:rsidR="00011E42" w:rsidRPr="00496A4D">
        <w:rPr>
          <w:color w:val="000000" w:themeColor="text1"/>
        </w:rPr>
        <w:fldChar w:fldCharType="separate"/>
      </w:r>
      <w:r w:rsidR="00507A67" w:rsidRPr="00A52AB8">
        <w:rPr>
          <w:color w:val="000000" w:themeColor="text1"/>
        </w:rPr>
        <w:t xml:space="preserve">Table </w:t>
      </w:r>
      <w:r w:rsidR="00507A67">
        <w:rPr>
          <w:color w:val="000000" w:themeColor="text1"/>
        </w:rPr>
        <w:t>11</w:t>
      </w:r>
      <w:r w:rsidR="00011E42" w:rsidRPr="00496A4D">
        <w:rPr>
          <w:color w:val="000000" w:themeColor="text1"/>
        </w:rPr>
        <w:fldChar w:fldCharType="end"/>
      </w:r>
      <w:r w:rsidRPr="00A52AB8">
        <w:rPr>
          <w:color w:val="000000" w:themeColor="text1"/>
        </w:rPr>
        <w:t>.</w:t>
      </w:r>
    </w:p>
    <w:p w14:paraId="1985E1AB" w14:textId="77777777" w:rsidR="00D25697" w:rsidRPr="00A52AB8" w:rsidRDefault="00D25697" w:rsidP="00007BE2">
      <w:pPr>
        <w:pStyle w:val="a5"/>
        <w:numPr>
          <w:ilvl w:val="4"/>
          <w:numId w:val="19"/>
        </w:numPr>
      </w:pPr>
      <w:bookmarkStart w:id="6356" w:name="_Toc49723275"/>
      <w:bookmarkStart w:id="6357" w:name="_Ref49344868"/>
      <w:bookmarkEnd w:id="6356"/>
      <w:r w:rsidRPr="00A52AB8">
        <w:t>Occupancy pruning</w:t>
      </w:r>
      <w:bookmarkEnd w:id="6357"/>
    </w:p>
    <w:p w14:paraId="27BA8A13" w14:textId="63485FBB" w:rsidR="0032467E" w:rsidRPr="00A52AB8" w:rsidRDefault="0032467E" w:rsidP="0032467E">
      <w:pPr>
        <w:rPr>
          <w:rFonts w:eastAsia="Times New Roman"/>
          <w:color w:val="000000"/>
        </w:rPr>
      </w:pPr>
      <w:r w:rsidRPr="00A52AB8">
        <w:rPr>
          <w:lang w:eastAsia="ja-JP"/>
        </w:rPr>
        <w:t>Inputs to this process are:</w:t>
      </w:r>
    </w:p>
    <w:p w14:paraId="66A89E64" w14:textId="673EF0DB" w:rsidR="008B4DD5" w:rsidRPr="00A52AB8" w:rsidRDefault="0073197B" w:rsidP="0032467E">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variable </w:t>
      </w:r>
      <w:r w:rsidR="008B4DD5" w:rsidRPr="00A52AB8">
        <w:rPr>
          <w:color w:val="000000" w:themeColor="text1"/>
        </w:rPr>
        <w:t>filterSizeX</w:t>
      </w:r>
      <w:r w:rsidRPr="00A52AB8">
        <w:rPr>
          <w:color w:val="000000" w:themeColor="text1"/>
        </w:rPr>
        <w:t>,</w:t>
      </w:r>
      <w:r w:rsidR="008B4DD5" w:rsidRPr="00A52AB8">
        <w:rPr>
          <w:color w:val="000000" w:themeColor="text1"/>
        </w:rPr>
        <w:t xml:space="preserve"> indicating the size of the filter in the x-dimension,</w:t>
      </w:r>
    </w:p>
    <w:p w14:paraId="55EF00C0" w14:textId="2CCE8FA2" w:rsidR="008B4DD5" w:rsidRPr="00A52AB8" w:rsidRDefault="0073197B" w:rsidP="008B4DD5">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variable </w:t>
      </w:r>
      <w:r w:rsidR="008B4DD5" w:rsidRPr="00A52AB8">
        <w:rPr>
          <w:color w:val="000000" w:themeColor="text1"/>
        </w:rPr>
        <w:t>filterSizeY</w:t>
      </w:r>
      <w:r w:rsidRPr="00A52AB8">
        <w:rPr>
          <w:color w:val="000000" w:themeColor="text1"/>
        </w:rPr>
        <w:t>,</w:t>
      </w:r>
      <w:r w:rsidR="008B4DD5" w:rsidRPr="00A52AB8">
        <w:rPr>
          <w:color w:val="000000" w:themeColor="text1"/>
        </w:rPr>
        <w:t xml:space="preserve"> indicating the size of the filter in the y-dimension,</w:t>
      </w:r>
    </w:p>
    <w:p w14:paraId="0BE64B2B" w14:textId="77777777" w:rsidR="008546B3" w:rsidRPr="00A52AB8" w:rsidRDefault="008546B3" w:rsidP="008546B3">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variable x, specifying the x coordinate of a point on the atlas frame,</w:t>
      </w:r>
    </w:p>
    <w:p w14:paraId="0B6908FB" w14:textId="3D4B773E" w:rsidR="008546B3" w:rsidRPr="00A52AB8" w:rsidRDefault="008546B3" w:rsidP="008546B3">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pPr>
      <w:r w:rsidRPr="00A52AB8">
        <w:rPr>
          <w:color w:val="000000" w:themeColor="text1"/>
        </w:rPr>
        <w:t>a variable y, specifying the y coordinate of a point on the atlas frame,</w:t>
      </w:r>
    </w:p>
    <w:p w14:paraId="1F06C3B9" w14:textId="638A1913" w:rsidR="0032467E" w:rsidRPr="00A52AB8" w:rsidRDefault="0073197B" w:rsidP="0032467E">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2D array </w:t>
      </w:r>
      <w:r w:rsidR="0032467E" w:rsidRPr="00A52AB8">
        <w:rPr>
          <w:color w:val="000000" w:themeColor="text1"/>
        </w:rPr>
        <w:t>oFrame</w:t>
      </w:r>
      <w:r w:rsidR="005C58AC" w:rsidRPr="00A52AB8">
        <w:rPr>
          <w:color w:val="000000" w:themeColor="text1"/>
        </w:rPr>
        <w:t>,</w:t>
      </w:r>
      <w:r w:rsidR="0032467E" w:rsidRPr="00A52AB8">
        <w:rPr>
          <w:color w:val="000000" w:themeColor="text1"/>
        </w:rPr>
        <w:t xml:space="preserve"> of size asps_frame_height × asps_frame_width, corresponding to the occupancy frame in the nominal format, and</w:t>
      </w:r>
    </w:p>
    <w:p w14:paraId="618F44E1" w14:textId="6450995F" w:rsidR="0032467E" w:rsidRPr="00A52AB8" w:rsidRDefault="0073197B" w:rsidP="0032467E">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2D array </w:t>
      </w:r>
      <w:r w:rsidR="0032467E" w:rsidRPr="00A52AB8">
        <w:rPr>
          <w:color w:val="000000" w:themeColor="text1"/>
        </w:rPr>
        <w:t>gFrame</w:t>
      </w:r>
      <w:r w:rsidR="005C58AC" w:rsidRPr="00A52AB8">
        <w:rPr>
          <w:color w:val="000000" w:themeColor="text1"/>
        </w:rPr>
        <w:t>,</w:t>
      </w:r>
      <w:r w:rsidR="0032467E" w:rsidRPr="00A52AB8">
        <w:rPr>
          <w:color w:val="000000" w:themeColor="text1"/>
        </w:rPr>
        <w:t xml:space="preserve"> of size asps_frame_height × asps_frame_width, corresponding to the geometry frame in the nominal format.</w:t>
      </w:r>
    </w:p>
    <w:p w14:paraId="747E137F" w14:textId="702FCF2C" w:rsidR="0032467E" w:rsidRPr="00A52AB8" w:rsidRDefault="0073197B">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2D array </w:t>
      </w:r>
      <w:r w:rsidR="0032467E" w:rsidRPr="00A52AB8">
        <w:rPr>
          <w:color w:val="000000" w:themeColor="text1"/>
        </w:rPr>
        <w:t>neighbourDepth</w:t>
      </w:r>
      <w:r w:rsidR="005C58AC" w:rsidRPr="00A52AB8">
        <w:rPr>
          <w:color w:val="000000" w:themeColor="text1"/>
        </w:rPr>
        <w:t>,</w:t>
      </w:r>
      <w:r w:rsidR="0032467E" w:rsidRPr="00A52AB8">
        <w:rPr>
          <w:color w:val="000000" w:themeColor="text1"/>
        </w:rPr>
        <w:t xml:space="preserve"> of size</w:t>
      </w:r>
      <w:r w:rsidRPr="00A52AB8">
        <w:rPr>
          <w:color w:val="000000" w:themeColor="text1"/>
        </w:rPr>
        <w:tab/>
      </w:r>
      <w:r w:rsidR="0032467E" w:rsidRPr="00A52AB8">
        <w:rPr>
          <w:color w:val="000000" w:themeColor="text1"/>
        </w:rPr>
        <w:t xml:space="preserve"> Atlas</w:t>
      </w:r>
      <w:r w:rsidR="00D12C68" w:rsidRPr="00A52AB8">
        <w:rPr>
          <w:color w:val="000000" w:themeColor="text1"/>
        </w:rPr>
        <w:t>TotalNum</w:t>
      </w:r>
      <w:r w:rsidR="0032467E" w:rsidRPr="00A52AB8">
        <w:rPr>
          <w:color w:val="000000" w:themeColor="text1"/>
        </w:rPr>
        <w:t>Patches × asps_frame_height × asps_frame_width.</w:t>
      </w:r>
    </w:p>
    <w:p w14:paraId="5052602D" w14:textId="0864D89C" w:rsidR="0032467E" w:rsidRPr="00A52AB8" w:rsidRDefault="0032467E" w:rsidP="0032467E">
      <w:pPr>
        <w:rPr>
          <w:lang w:eastAsia="ja-JP"/>
        </w:rPr>
      </w:pPr>
      <w:r w:rsidRPr="00A52AB8">
        <w:rPr>
          <w:lang w:eastAsia="ja-JP"/>
        </w:rPr>
        <w:t xml:space="preserve">Output of this process </w:t>
      </w:r>
      <w:r w:rsidR="005C58AC" w:rsidRPr="00A52AB8">
        <w:rPr>
          <w:lang w:eastAsia="ja-JP"/>
        </w:rPr>
        <w:t>is</w:t>
      </w:r>
      <w:r w:rsidRPr="00A52AB8">
        <w:rPr>
          <w:lang w:eastAsia="ja-JP"/>
        </w:rPr>
        <w:t>:</w:t>
      </w:r>
    </w:p>
    <w:p w14:paraId="03408288" w14:textId="7E5D091E" w:rsidR="0032467E" w:rsidRPr="00A52AB8" w:rsidRDefault="0073197B" w:rsidP="0032467E">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variable</w:t>
      </w:r>
      <w:r w:rsidRPr="00A52AB8">
        <w:t xml:space="preserve"> </w:t>
      </w:r>
      <w:r w:rsidR="0032467E" w:rsidRPr="00A52AB8">
        <w:t>oPbfFrameValue,</w:t>
      </w:r>
      <w:r w:rsidR="0032467E" w:rsidRPr="00A52AB8">
        <w:rPr>
          <w:color w:val="000000" w:themeColor="text1"/>
        </w:rPr>
        <w:t xml:space="preserve"> indicating </w:t>
      </w:r>
      <w:r w:rsidR="0032467E" w:rsidRPr="00A52AB8">
        <w:t>the occupancy value modified by the PBF process</w:t>
      </w:r>
    </w:p>
    <w:p w14:paraId="54F39A7A" w14:textId="77777777" w:rsidR="00D25697" w:rsidRPr="00A52AB8" w:rsidRDefault="00D25697" w:rsidP="00FB4953">
      <w:r w:rsidRPr="00A52AB8">
        <w:t>The following steps apply:</w:t>
      </w:r>
    </w:p>
    <w:p w14:paraId="09F37193" w14:textId="77777777" w:rsidR="00D25697" w:rsidRPr="00A52AB8" w:rsidRDefault="00D2569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The variable boundaryOrientation is derived as follows:</w:t>
      </w:r>
    </w:p>
    <w:p w14:paraId="58AD944D" w14:textId="2699FD67" w:rsidR="00D25697" w:rsidRPr="00A52AB8" w:rsidRDefault="004B2414" w:rsidP="00D25697">
      <w:pPr>
        <w:spacing w:after="0"/>
        <w:rPr>
          <w:color w:val="000000"/>
        </w:rPr>
      </w:pPr>
      <w:r w:rsidRPr="00A52AB8">
        <w:rPr>
          <w:color w:val="000000"/>
        </w:rPr>
        <w:tab/>
      </w:r>
      <w:r w:rsidRPr="00A52AB8">
        <w:rPr>
          <w:color w:val="000000"/>
        </w:rPr>
        <w:tab/>
      </w:r>
      <w:r w:rsidR="00DD7090" w:rsidRPr="00A52AB8">
        <w:rPr>
          <w:color w:val="000000"/>
        </w:rPr>
        <w:tab/>
      </w:r>
      <w:r w:rsidRPr="00A52AB8">
        <w:rPr>
          <w:color w:val="000000"/>
        </w:rPr>
        <w:t>top</w:t>
      </w:r>
      <w:r w:rsidR="00D47707" w:rsidRPr="00A52AB8">
        <w:rPr>
          <w:color w:val="000000"/>
        </w:rPr>
        <w:t> = </w:t>
      </w:r>
      <w:r w:rsidRPr="00A52AB8">
        <w:rPr>
          <w:color w:val="000000"/>
        </w:rPr>
        <w:t>Max(</w:t>
      </w:r>
      <w:r w:rsidR="00AA7F68" w:rsidRPr="00A52AB8">
        <w:rPr>
          <w:color w:val="000000"/>
        </w:rPr>
        <w:t> </w:t>
      </w:r>
      <w:r w:rsidRPr="00A52AB8">
        <w:rPr>
          <w:color w:val="000000"/>
        </w:rPr>
        <w:t>0, y − 1 )</w:t>
      </w:r>
      <w:r w:rsidRPr="00A52AB8">
        <w:rPr>
          <w:color w:val="000000"/>
        </w:rPr>
        <w:br/>
      </w:r>
      <w:r w:rsidRPr="00A52AB8">
        <w:rPr>
          <w:color w:val="000000"/>
        </w:rPr>
        <w:tab/>
      </w:r>
      <w:r w:rsidRPr="00A52AB8">
        <w:rPr>
          <w:color w:val="000000"/>
        </w:rPr>
        <w:tab/>
      </w:r>
      <w:r w:rsidRPr="00A52AB8">
        <w:rPr>
          <w:color w:val="000000"/>
        </w:rPr>
        <w:tab/>
        <w:t>bottom</w:t>
      </w:r>
      <w:r w:rsidR="00D47707" w:rsidRPr="00A52AB8">
        <w:rPr>
          <w:color w:val="000000"/>
        </w:rPr>
        <w:t> = </w:t>
      </w:r>
      <w:r w:rsidRPr="00A52AB8">
        <w:rPr>
          <w:color w:val="000000"/>
        </w:rPr>
        <w:t>Min(</w:t>
      </w:r>
      <w:r w:rsidR="00AA7F68" w:rsidRPr="00A52AB8">
        <w:rPr>
          <w:color w:val="000000"/>
        </w:rPr>
        <w:t> </w:t>
      </w:r>
      <w:r w:rsidRPr="00A52AB8">
        <w:rPr>
          <w:color w:val="000000" w:themeColor="text1"/>
        </w:rPr>
        <w:t>asps_frame_height </w:t>
      </w:r>
      <w:r w:rsidRPr="00A52AB8">
        <w:rPr>
          <w:color w:val="000000"/>
        </w:rPr>
        <w:t>– 1, y + 1 )</w:t>
      </w:r>
      <w:r w:rsidRPr="00A52AB8">
        <w:rPr>
          <w:color w:val="000000"/>
        </w:rPr>
        <w:br/>
      </w:r>
      <w:r w:rsidRPr="00A52AB8">
        <w:rPr>
          <w:color w:val="000000"/>
        </w:rPr>
        <w:tab/>
      </w:r>
      <w:r w:rsidRPr="00A52AB8">
        <w:rPr>
          <w:color w:val="000000"/>
        </w:rPr>
        <w:tab/>
      </w:r>
      <w:r w:rsidRPr="00A52AB8">
        <w:rPr>
          <w:color w:val="000000"/>
        </w:rPr>
        <w:tab/>
        <w:t>left</w:t>
      </w:r>
      <w:r w:rsidR="00D47707" w:rsidRPr="00A52AB8">
        <w:rPr>
          <w:color w:val="000000"/>
        </w:rPr>
        <w:t> = </w:t>
      </w:r>
      <w:r w:rsidRPr="00A52AB8">
        <w:rPr>
          <w:color w:val="000000"/>
        </w:rPr>
        <w:t>Max(</w:t>
      </w:r>
      <w:r w:rsidR="00AA7F68" w:rsidRPr="00A52AB8">
        <w:rPr>
          <w:color w:val="000000"/>
        </w:rPr>
        <w:t> </w:t>
      </w:r>
      <w:r w:rsidRPr="00A52AB8">
        <w:rPr>
          <w:color w:val="000000"/>
        </w:rPr>
        <w:t>0, x − 1 )</w:t>
      </w:r>
      <w:r w:rsidRPr="00A52AB8">
        <w:rPr>
          <w:color w:val="000000"/>
        </w:rPr>
        <w:br/>
      </w:r>
      <w:r w:rsidRPr="00A52AB8">
        <w:rPr>
          <w:color w:val="000000"/>
        </w:rPr>
        <w:tab/>
      </w:r>
      <w:r w:rsidRPr="00A52AB8">
        <w:rPr>
          <w:color w:val="000000"/>
        </w:rPr>
        <w:tab/>
      </w:r>
      <w:r w:rsidRPr="00A52AB8">
        <w:rPr>
          <w:color w:val="000000"/>
        </w:rPr>
        <w:tab/>
        <w:t>right</w:t>
      </w:r>
      <w:r w:rsidR="00D47707" w:rsidRPr="00A52AB8">
        <w:rPr>
          <w:color w:val="000000"/>
        </w:rPr>
        <w:t> = </w:t>
      </w:r>
      <w:r w:rsidRPr="00A52AB8">
        <w:rPr>
          <w:color w:val="000000"/>
        </w:rPr>
        <w:t>Min(</w:t>
      </w:r>
      <w:r w:rsidR="00AA7F68" w:rsidRPr="00A52AB8">
        <w:rPr>
          <w:color w:val="000000"/>
        </w:rPr>
        <w:t> </w:t>
      </w:r>
      <w:r w:rsidRPr="00A52AB8">
        <w:rPr>
          <w:color w:val="000000" w:themeColor="text1"/>
        </w:rPr>
        <w:t>asps_frame_width</w:t>
      </w:r>
      <w:r w:rsidRPr="00A52AB8">
        <w:rPr>
          <w:color w:val="000000"/>
        </w:rPr>
        <w:t>– 1, x + 1 )</w:t>
      </w:r>
      <w:r w:rsidRPr="00A52AB8">
        <w:rPr>
          <w:color w:val="000000"/>
        </w:rPr>
        <w:br/>
      </w:r>
      <w:r w:rsidR="0032467E" w:rsidRPr="00A52AB8">
        <w:rPr>
          <w:color w:val="000000"/>
        </w:rPr>
        <w:tab/>
      </w:r>
      <w:r w:rsidRPr="00A52AB8">
        <w:rPr>
          <w:color w:val="000000"/>
        </w:rPr>
        <w:tab/>
      </w:r>
      <w:r w:rsidRPr="00A52AB8">
        <w:rPr>
          <w:color w:val="000000"/>
        </w:rPr>
        <w:tab/>
      </w:r>
      <w:r w:rsidR="00D25697" w:rsidRPr="00A52AB8">
        <w:rPr>
          <w:color w:val="000000"/>
        </w:rPr>
        <w:t>boundaryOrientation</w:t>
      </w:r>
      <w:r w:rsidR="00D47707" w:rsidRPr="00A52AB8">
        <w:rPr>
          <w:color w:val="000000"/>
        </w:rPr>
        <w:t> = </w:t>
      </w:r>
      <w:r w:rsidR="00D25697" w:rsidRPr="00A52AB8">
        <w:rPr>
          <w:color w:val="000000"/>
        </w:rPr>
        <w:t>orientArr[</w:t>
      </w:r>
      <w:r w:rsidR="00C61E38" w:rsidRPr="00A52AB8">
        <w:rPr>
          <w:color w:val="000000"/>
        </w:rPr>
        <w:br/>
      </w:r>
      <w:r w:rsidRPr="00A52AB8">
        <w:rPr>
          <w:color w:val="000000"/>
        </w:rPr>
        <w:tab/>
      </w:r>
      <w:r w:rsidRPr="00A52AB8">
        <w:rPr>
          <w:color w:val="000000"/>
        </w:rPr>
        <w:tab/>
      </w:r>
      <w:r w:rsidRPr="00A52AB8">
        <w:rPr>
          <w:color w:val="000000"/>
        </w:rPr>
        <w:tab/>
      </w:r>
      <w:r w:rsidRPr="00A52AB8">
        <w:rPr>
          <w:color w:val="000000"/>
        </w:rPr>
        <w:tab/>
      </w:r>
      <w:r w:rsidR="00D25697" w:rsidRPr="00A52AB8">
        <w:rPr>
          <w:color w:val="000000"/>
        </w:rPr>
        <w:t>(oFrame[ </w:t>
      </w:r>
      <w:r w:rsidRPr="00A52AB8">
        <w:rPr>
          <w:color w:val="000000"/>
        </w:rPr>
        <w:t>top</w:t>
      </w:r>
      <w:r w:rsidR="00D25697" w:rsidRPr="00A52AB8">
        <w:rPr>
          <w:color w:val="000000"/>
        </w:rPr>
        <w:t> ][ </w:t>
      </w:r>
      <w:r w:rsidRPr="00A52AB8">
        <w:rPr>
          <w:color w:val="000000"/>
        </w:rPr>
        <w:t>left</w:t>
      </w:r>
      <w:r w:rsidR="00D25697" w:rsidRPr="00A52AB8">
        <w:rPr>
          <w:color w:val="000000"/>
        </w:rPr>
        <w:t> ]</w:t>
      </w:r>
      <w:r w:rsidR="00C61E38" w:rsidRPr="00A52AB8">
        <w:rPr>
          <w:color w:val="000000"/>
        </w:rPr>
        <w:t> </w:t>
      </w:r>
      <w:r w:rsidR="00D25697" w:rsidRPr="00A52AB8">
        <w:rPr>
          <w:color w:val="000000"/>
        </w:rPr>
        <w:t>&lt;&lt;</w:t>
      </w:r>
      <w:r w:rsidR="00C61E38" w:rsidRPr="00A52AB8">
        <w:rPr>
          <w:color w:val="000000"/>
        </w:rPr>
        <w:t> </w:t>
      </w:r>
      <w:r w:rsidR="00D25697" w:rsidRPr="00A52AB8">
        <w:rPr>
          <w:color w:val="000000"/>
        </w:rPr>
        <w:t>7) | (oFrame[ </w:t>
      </w:r>
      <w:r w:rsidRPr="00A52AB8">
        <w:rPr>
          <w:color w:val="000000"/>
        </w:rPr>
        <w:t>top</w:t>
      </w:r>
      <w:r w:rsidR="00D25697" w:rsidRPr="00A52AB8">
        <w:rPr>
          <w:color w:val="000000"/>
        </w:rPr>
        <w:t> ][ x ]</w:t>
      </w:r>
      <w:r w:rsidR="00C61E38" w:rsidRPr="00A52AB8">
        <w:rPr>
          <w:color w:val="000000"/>
        </w:rPr>
        <w:t> </w:t>
      </w:r>
      <w:r w:rsidR="00D25697" w:rsidRPr="00A52AB8">
        <w:rPr>
          <w:color w:val="000000"/>
        </w:rPr>
        <w:t>&lt;&lt;</w:t>
      </w:r>
      <w:r w:rsidR="00C61E38" w:rsidRPr="00A52AB8">
        <w:rPr>
          <w:color w:val="000000"/>
        </w:rPr>
        <w:t> </w:t>
      </w:r>
      <w:r w:rsidR="00D25697" w:rsidRPr="00A52AB8">
        <w:rPr>
          <w:color w:val="000000"/>
        </w:rPr>
        <w:t>6) |</w:t>
      </w:r>
      <w:r w:rsidR="00C61E38" w:rsidRPr="00A52AB8">
        <w:rPr>
          <w:color w:val="000000"/>
        </w:rPr>
        <w:br/>
      </w:r>
      <w:r w:rsidR="00D25697" w:rsidRPr="00A52AB8">
        <w:rPr>
          <w:color w:val="000000"/>
        </w:rPr>
        <w:tab/>
      </w:r>
      <w:r w:rsidR="00D25697" w:rsidRPr="00A52AB8">
        <w:rPr>
          <w:color w:val="000000"/>
        </w:rPr>
        <w:tab/>
      </w:r>
      <w:r w:rsidR="00D25697" w:rsidRPr="00A52AB8">
        <w:rPr>
          <w:color w:val="000000"/>
        </w:rPr>
        <w:tab/>
      </w:r>
      <w:r w:rsidR="00D25697" w:rsidRPr="00A52AB8">
        <w:rPr>
          <w:color w:val="000000"/>
        </w:rPr>
        <w:tab/>
        <w:t>(oFrame[ </w:t>
      </w:r>
      <w:r w:rsidRPr="00A52AB8">
        <w:rPr>
          <w:color w:val="000000"/>
        </w:rPr>
        <w:t>top</w:t>
      </w:r>
      <w:r w:rsidR="00D25697" w:rsidRPr="00A52AB8">
        <w:rPr>
          <w:color w:val="000000"/>
        </w:rPr>
        <w:t> ][ </w:t>
      </w:r>
      <w:r w:rsidRPr="00A52AB8">
        <w:rPr>
          <w:color w:val="000000"/>
        </w:rPr>
        <w:t>right</w:t>
      </w:r>
      <w:r w:rsidR="00D25697" w:rsidRPr="00A52AB8">
        <w:rPr>
          <w:color w:val="000000"/>
        </w:rPr>
        <w:t> ]</w:t>
      </w:r>
      <w:r w:rsidR="00C61E38" w:rsidRPr="00A52AB8">
        <w:rPr>
          <w:color w:val="000000"/>
        </w:rPr>
        <w:t> </w:t>
      </w:r>
      <w:r w:rsidR="00D25697" w:rsidRPr="00A52AB8">
        <w:rPr>
          <w:color w:val="000000"/>
        </w:rPr>
        <w:t>&lt;&lt;</w:t>
      </w:r>
      <w:r w:rsidR="00C61E38" w:rsidRPr="00A52AB8">
        <w:rPr>
          <w:color w:val="000000"/>
        </w:rPr>
        <w:t> </w:t>
      </w:r>
      <w:r w:rsidR="00D25697" w:rsidRPr="00A52AB8">
        <w:rPr>
          <w:color w:val="000000"/>
        </w:rPr>
        <w:t>5) | (oFrame[ y ][ </w:t>
      </w:r>
      <w:r w:rsidRPr="00A52AB8">
        <w:rPr>
          <w:color w:val="000000"/>
        </w:rPr>
        <w:t>left </w:t>
      </w:r>
      <w:r w:rsidR="00D25697" w:rsidRPr="00A52AB8">
        <w:rPr>
          <w:color w:val="000000"/>
        </w:rPr>
        <w:t>]</w:t>
      </w:r>
      <w:r w:rsidR="00C61E38" w:rsidRPr="00A52AB8">
        <w:rPr>
          <w:color w:val="000000"/>
        </w:rPr>
        <w:t> </w:t>
      </w:r>
      <w:r w:rsidR="00D25697" w:rsidRPr="00A52AB8">
        <w:rPr>
          <w:color w:val="000000"/>
        </w:rPr>
        <w:t>&lt;&lt;</w:t>
      </w:r>
      <w:r w:rsidR="00C61E38" w:rsidRPr="00A52AB8">
        <w:rPr>
          <w:color w:val="000000"/>
        </w:rPr>
        <w:t> </w:t>
      </w:r>
      <w:r w:rsidR="00D25697" w:rsidRPr="00A52AB8">
        <w:rPr>
          <w:color w:val="000000"/>
        </w:rPr>
        <w:t>4) |</w:t>
      </w:r>
      <w:r w:rsidR="00770DC5" w:rsidRPr="00A52AB8">
        <w:rPr>
          <w:color w:val="000000"/>
        </w:rPr>
        <w:br/>
      </w:r>
      <w:r w:rsidR="00D25697" w:rsidRPr="00A52AB8">
        <w:rPr>
          <w:color w:val="000000"/>
        </w:rPr>
        <w:tab/>
      </w:r>
      <w:r w:rsidR="00D25697" w:rsidRPr="00A52AB8">
        <w:rPr>
          <w:color w:val="000000"/>
        </w:rPr>
        <w:tab/>
      </w:r>
      <w:r w:rsidR="00D25697" w:rsidRPr="00A52AB8">
        <w:rPr>
          <w:color w:val="000000"/>
        </w:rPr>
        <w:tab/>
      </w:r>
      <w:r w:rsidR="00D25697" w:rsidRPr="00A52AB8">
        <w:rPr>
          <w:color w:val="000000"/>
        </w:rPr>
        <w:tab/>
        <w:t>(oFrame[ y ][ </w:t>
      </w:r>
      <w:r w:rsidRPr="00A52AB8">
        <w:rPr>
          <w:color w:val="000000"/>
        </w:rPr>
        <w:t>right</w:t>
      </w:r>
      <w:r w:rsidR="00D25697" w:rsidRPr="00A52AB8">
        <w:rPr>
          <w:color w:val="000000"/>
        </w:rPr>
        <w:t> ]</w:t>
      </w:r>
      <w:r w:rsidR="00C61E38" w:rsidRPr="00A52AB8">
        <w:rPr>
          <w:color w:val="000000"/>
        </w:rPr>
        <w:t> </w:t>
      </w:r>
      <w:r w:rsidR="00D25697" w:rsidRPr="00A52AB8">
        <w:rPr>
          <w:color w:val="000000"/>
        </w:rPr>
        <w:t>&lt;&lt;</w:t>
      </w:r>
      <w:r w:rsidR="00C61E38" w:rsidRPr="00A52AB8">
        <w:rPr>
          <w:color w:val="000000"/>
        </w:rPr>
        <w:t> </w:t>
      </w:r>
      <w:r w:rsidR="00D25697" w:rsidRPr="00A52AB8">
        <w:rPr>
          <w:color w:val="000000"/>
        </w:rPr>
        <w:t>3) | (oFrame[ </w:t>
      </w:r>
      <w:r w:rsidRPr="00A52AB8">
        <w:rPr>
          <w:color w:val="000000"/>
        </w:rPr>
        <w:t>bottom </w:t>
      </w:r>
      <w:r w:rsidR="00D25697" w:rsidRPr="00A52AB8">
        <w:rPr>
          <w:color w:val="000000"/>
        </w:rPr>
        <w:t>][ </w:t>
      </w:r>
      <w:r w:rsidRPr="00A52AB8">
        <w:rPr>
          <w:color w:val="000000"/>
        </w:rPr>
        <w:t>left</w:t>
      </w:r>
      <w:r w:rsidR="00D25697" w:rsidRPr="00A52AB8">
        <w:rPr>
          <w:color w:val="000000"/>
        </w:rPr>
        <w:t> ]</w:t>
      </w:r>
      <w:r w:rsidR="00C61E38" w:rsidRPr="00A52AB8">
        <w:rPr>
          <w:color w:val="000000"/>
        </w:rPr>
        <w:t> </w:t>
      </w:r>
      <w:r w:rsidR="00D25697" w:rsidRPr="00A52AB8">
        <w:rPr>
          <w:color w:val="000000"/>
        </w:rPr>
        <w:t>&lt;&lt;</w:t>
      </w:r>
      <w:r w:rsidR="00C61E38" w:rsidRPr="00A52AB8">
        <w:rPr>
          <w:color w:val="000000"/>
        </w:rPr>
        <w:t> </w:t>
      </w:r>
      <w:r w:rsidR="00D25697" w:rsidRPr="00A52AB8">
        <w:rPr>
          <w:color w:val="000000"/>
        </w:rPr>
        <w:t>2) |</w:t>
      </w:r>
      <w:r w:rsidR="00770DC5" w:rsidRPr="00A52AB8">
        <w:rPr>
          <w:color w:val="000000"/>
        </w:rPr>
        <w:br/>
      </w:r>
      <w:r w:rsidR="00D25697" w:rsidRPr="00A52AB8">
        <w:rPr>
          <w:color w:val="000000"/>
        </w:rPr>
        <w:tab/>
      </w:r>
      <w:r w:rsidR="00D25697" w:rsidRPr="00A52AB8">
        <w:rPr>
          <w:color w:val="000000"/>
        </w:rPr>
        <w:tab/>
      </w:r>
      <w:r w:rsidR="00D25697" w:rsidRPr="00A52AB8">
        <w:rPr>
          <w:color w:val="000000"/>
        </w:rPr>
        <w:tab/>
      </w:r>
      <w:r w:rsidR="00D25697" w:rsidRPr="00A52AB8">
        <w:rPr>
          <w:color w:val="000000"/>
        </w:rPr>
        <w:tab/>
        <w:t>(oFrame[ </w:t>
      </w:r>
      <w:r w:rsidRPr="00A52AB8">
        <w:rPr>
          <w:color w:val="000000"/>
        </w:rPr>
        <w:t>bottom</w:t>
      </w:r>
      <w:r w:rsidR="00D25697" w:rsidRPr="00A52AB8">
        <w:rPr>
          <w:color w:val="000000"/>
        </w:rPr>
        <w:t> ][ </w:t>
      </w:r>
      <w:r w:rsidRPr="00A52AB8">
        <w:rPr>
          <w:color w:val="000000"/>
        </w:rPr>
        <w:t>x </w:t>
      </w:r>
      <w:r w:rsidR="00D25697" w:rsidRPr="00A52AB8">
        <w:rPr>
          <w:color w:val="000000"/>
        </w:rPr>
        <w:t>]</w:t>
      </w:r>
      <w:r w:rsidR="00C61E38" w:rsidRPr="00A52AB8">
        <w:rPr>
          <w:color w:val="000000"/>
        </w:rPr>
        <w:t> </w:t>
      </w:r>
      <w:r w:rsidR="00D25697" w:rsidRPr="00A52AB8">
        <w:rPr>
          <w:color w:val="000000"/>
        </w:rPr>
        <w:t>&lt;&lt;</w:t>
      </w:r>
      <w:r w:rsidR="00C61E38" w:rsidRPr="00A52AB8">
        <w:rPr>
          <w:color w:val="000000"/>
        </w:rPr>
        <w:t> </w:t>
      </w:r>
      <w:r w:rsidR="00D25697" w:rsidRPr="00A52AB8">
        <w:rPr>
          <w:color w:val="000000"/>
        </w:rPr>
        <w:t>1) | (oFrame[ </w:t>
      </w:r>
      <w:r w:rsidRPr="00A52AB8">
        <w:rPr>
          <w:color w:val="000000"/>
        </w:rPr>
        <w:t>bottom </w:t>
      </w:r>
      <w:r w:rsidR="00D25697" w:rsidRPr="00A52AB8">
        <w:rPr>
          <w:color w:val="000000"/>
        </w:rPr>
        <w:t>][ </w:t>
      </w:r>
      <w:r w:rsidRPr="00A52AB8">
        <w:rPr>
          <w:color w:val="000000"/>
        </w:rPr>
        <w:t>right</w:t>
      </w:r>
      <w:r w:rsidR="00D25697" w:rsidRPr="00A52AB8">
        <w:rPr>
          <w:color w:val="000000"/>
        </w:rPr>
        <w:t> ])</w:t>
      </w:r>
      <w:r w:rsidR="00770DC5" w:rsidRPr="00A52AB8">
        <w:rPr>
          <w:color w:val="000000"/>
        </w:rPr>
        <w:t> </w:t>
      </w:r>
      <w:r w:rsidR="00D25697" w:rsidRPr="00A52AB8">
        <w:rPr>
          <w:color w:val="000000"/>
        </w:rPr>
        <w:t>]</w:t>
      </w:r>
    </w:p>
    <w:p w14:paraId="161F4137" w14:textId="77777777" w:rsidR="00D25697" w:rsidRPr="00A52AB8" w:rsidRDefault="00D25697" w:rsidP="00007BE2">
      <w:pPr>
        <w:spacing w:before="120"/>
        <w:ind w:left="1209"/>
      </w:pPr>
      <w:r w:rsidRPr="00A52AB8">
        <w:t>where the array orientArr is defined as follows:</w:t>
      </w:r>
    </w:p>
    <w:p w14:paraId="2094AC0D" w14:textId="7C9B1076" w:rsidR="0050235C" w:rsidRPr="00A52AB8" w:rsidRDefault="00D25697" w:rsidP="00D25697">
      <w:pPr>
        <w:spacing w:after="0"/>
        <w:rPr>
          <w:color w:val="000000"/>
        </w:rPr>
      </w:pPr>
      <w:r w:rsidRPr="00A52AB8">
        <w:rPr>
          <w:color w:val="000000"/>
        </w:rPr>
        <w:tab/>
      </w:r>
      <w:r w:rsidRPr="00A52AB8">
        <w:rPr>
          <w:color w:val="000000"/>
        </w:rPr>
        <w:tab/>
      </w:r>
      <w:r w:rsidR="00DD7090" w:rsidRPr="00A52AB8">
        <w:rPr>
          <w:color w:val="000000"/>
        </w:rPr>
        <w:tab/>
      </w:r>
      <w:r w:rsidRPr="00A52AB8">
        <w:rPr>
          <w:color w:val="000000"/>
        </w:rPr>
        <w:tab/>
        <w:t>orientArr[ 256 ]</w:t>
      </w:r>
      <w:r w:rsidR="00D47707" w:rsidRPr="00A52AB8">
        <w:rPr>
          <w:color w:val="000000"/>
        </w:rPr>
        <w:t> = </w:t>
      </w:r>
      <w:r w:rsidRPr="00A52AB8">
        <w:rPr>
          <w:color w:val="000000"/>
        </w:rPr>
        <w:t>{</w:t>
      </w:r>
    </w:p>
    <w:p w14:paraId="001D9820" w14:textId="0359A17B" w:rsidR="00D25697" w:rsidRPr="00A52AB8" w:rsidRDefault="00DD7090" w:rsidP="00D25697">
      <w:pPr>
        <w:spacing w:after="0"/>
        <w:rPr>
          <w:color w:val="000000"/>
        </w:rPr>
      </w:pPr>
      <w:r w:rsidRPr="00A52AB8">
        <w:rPr>
          <w:color w:val="000000"/>
        </w:rPr>
        <w:tab/>
      </w:r>
      <w:r w:rsidR="00D25697" w:rsidRPr="00A52AB8">
        <w:rPr>
          <w:color w:val="000000"/>
        </w:rPr>
        <w:tab/>
      </w:r>
      <w:r w:rsidR="00D25697" w:rsidRPr="00A52AB8">
        <w:rPr>
          <w:color w:val="000000"/>
        </w:rPr>
        <w:tab/>
      </w:r>
      <w:r w:rsidR="00D25697" w:rsidRPr="00A52AB8">
        <w:rPr>
          <w:color w:val="000000"/>
        </w:rPr>
        <w:tab/>
        <w:t>0, 0, 6, 0, 0, 0, 0, 6, 4, 0, 0, 5, 0, 0, 0, 5,</w:t>
      </w:r>
    </w:p>
    <w:p w14:paraId="0A61B767" w14:textId="6AC8FA7C" w:rsidR="00D25697" w:rsidRPr="00A52AB8" w:rsidRDefault="00D25697" w:rsidP="00D25697">
      <w:pPr>
        <w:spacing w:after="0"/>
        <w:rPr>
          <w:color w:val="000000"/>
        </w:rPr>
      </w:pPr>
      <w:r w:rsidRPr="00A52AB8">
        <w:rPr>
          <w:color w:val="000000"/>
        </w:rPr>
        <w:tab/>
      </w:r>
      <w:r w:rsidR="00DD7090" w:rsidRPr="00A52AB8">
        <w:rPr>
          <w:color w:val="000000"/>
        </w:rPr>
        <w:tab/>
      </w:r>
      <w:r w:rsidRPr="00A52AB8">
        <w:rPr>
          <w:color w:val="000000"/>
        </w:rPr>
        <w:tab/>
      </w:r>
      <w:r w:rsidRPr="00A52AB8">
        <w:rPr>
          <w:color w:val="000000"/>
        </w:rPr>
        <w:tab/>
        <w:t>0, 0, 0, 0, 0, 0, 7, 7, 0, 0, 0, 0, 0, 0, 0, 6,</w:t>
      </w:r>
    </w:p>
    <w:p w14:paraId="61C5B199" w14:textId="3B3E4BFA" w:rsidR="00D25697" w:rsidRPr="00A52AB8" w:rsidRDefault="00D25697" w:rsidP="00D25697">
      <w:pPr>
        <w:spacing w:after="0"/>
        <w:rPr>
          <w:color w:val="000000"/>
        </w:rPr>
      </w:pPr>
      <w:r w:rsidRPr="00A52AB8">
        <w:rPr>
          <w:color w:val="000000"/>
        </w:rPr>
        <w:tab/>
      </w:r>
      <w:r w:rsidRPr="00A52AB8">
        <w:rPr>
          <w:color w:val="000000"/>
        </w:rPr>
        <w:tab/>
      </w:r>
      <w:r w:rsidR="00DD7090" w:rsidRPr="00A52AB8">
        <w:rPr>
          <w:color w:val="000000"/>
        </w:rPr>
        <w:tab/>
      </w:r>
      <w:r w:rsidRPr="00A52AB8">
        <w:rPr>
          <w:color w:val="000000"/>
        </w:rPr>
        <w:tab/>
        <w:t>0, 0, 0, 0, 0, 0, 0, 0, 0, 4, 0, 5, 0, 0, 0, 5,</w:t>
      </w:r>
    </w:p>
    <w:p w14:paraId="783B3839" w14:textId="5FF58312" w:rsidR="00D25697" w:rsidRPr="00A52AB8" w:rsidRDefault="00D25697" w:rsidP="00D25697">
      <w:pPr>
        <w:spacing w:after="0"/>
        <w:rPr>
          <w:color w:val="000000"/>
        </w:rPr>
      </w:pPr>
      <w:r w:rsidRPr="00A52AB8">
        <w:rPr>
          <w:color w:val="000000"/>
        </w:rPr>
        <w:tab/>
      </w:r>
      <w:r w:rsidRPr="00A52AB8">
        <w:rPr>
          <w:color w:val="000000"/>
        </w:rPr>
        <w:tab/>
      </w:r>
      <w:r w:rsidRPr="00A52AB8">
        <w:rPr>
          <w:color w:val="000000"/>
        </w:rPr>
        <w:tab/>
      </w:r>
      <w:r w:rsidR="00DD7090" w:rsidRPr="00A52AB8">
        <w:rPr>
          <w:color w:val="000000"/>
        </w:rPr>
        <w:tab/>
      </w:r>
      <w:r w:rsidRPr="00A52AB8">
        <w:rPr>
          <w:color w:val="000000"/>
        </w:rPr>
        <w:t>0, 0, 0, 0, 0, 0, 7, 0, 0, 0, 0, 0, 0, 0, 0, 5,</w:t>
      </w:r>
    </w:p>
    <w:p w14:paraId="12E8EB14" w14:textId="68B22DCA" w:rsidR="00D25697" w:rsidRPr="00A52AB8" w:rsidRDefault="00DD7090" w:rsidP="00D25697">
      <w:pPr>
        <w:spacing w:after="0"/>
        <w:rPr>
          <w:color w:val="000000"/>
        </w:rPr>
      </w:pPr>
      <w:r w:rsidRPr="00A52AB8">
        <w:rPr>
          <w:color w:val="000000"/>
        </w:rPr>
        <w:tab/>
      </w:r>
      <w:r w:rsidR="00D25697" w:rsidRPr="00A52AB8">
        <w:rPr>
          <w:color w:val="000000"/>
        </w:rPr>
        <w:tab/>
      </w:r>
      <w:r w:rsidR="00D25697" w:rsidRPr="00A52AB8">
        <w:rPr>
          <w:color w:val="000000"/>
        </w:rPr>
        <w:tab/>
      </w:r>
      <w:r w:rsidR="00D25697" w:rsidRPr="00A52AB8">
        <w:rPr>
          <w:color w:val="000000"/>
        </w:rPr>
        <w:tab/>
        <w:t>2, 0, 0, 0, 0, 0, 0, 0, 0, 0, 0, 0, 0, 0, 0, 0,</w:t>
      </w:r>
    </w:p>
    <w:p w14:paraId="0C8F2839" w14:textId="16939FF0" w:rsidR="00D25697" w:rsidRPr="00A52AB8" w:rsidRDefault="00D25697" w:rsidP="00D25697">
      <w:pPr>
        <w:spacing w:after="0"/>
        <w:rPr>
          <w:color w:val="000000"/>
        </w:rPr>
      </w:pPr>
      <w:r w:rsidRPr="00A52AB8">
        <w:rPr>
          <w:color w:val="000000"/>
        </w:rPr>
        <w:tab/>
      </w:r>
      <w:r w:rsidR="00DD7090" w:rsidRPr="00A52AB8">
        <w:rPr>
          <w:color w:val="000000"/>
        </w:rPr>
        <w:tab/>
      </w:r>
      <w:r w:rsidRPr="00A52AB8">
        <w:rPr>
          <w:color w:val="000000"/>
        </w:rPr>
        <w:tab/>
      </w:r>
      <w:r w:rsidRPr="00A52AB8">
        <w:rPr>
          <w:color w:val="000000"/>
        </w:rPr>
        <w:tab/>
        <w:t>0, 0, 0, 0, 0, 0, 0, 0, 0, 0, 0, 0, 0, 0, 0, 0,</w:t>
      </w:r>
    </w:p>
    <w:p w14:paraId="6B06D0E5" w14:textId="386B6FD6" w:rsidR="00D25697" w:rsidRPr="00A52AB8" w:rsidRDefault="00D25697" w:rsidP="00D25697">
      <w:pPr>
        <w:spacing w:after="0"/>
        <w:rPr>
          <w:color w:val="000000"/>
        </w:rPr>
      </w:pPr>
      <w:r w:rsidRPr="00A52AB8">
        <w:rPr>
          <w:color w:val="000000"/>
        </w:rPr>
        <w:tab/>
      </w:r>
      <w:r w:rsidRPr="00A52AB8">
        <w:rPr>
          <w:color w:val="000000"/>
        </w:rPr>
        <w:tab/>
      </w:r>
      <w:r w:rsidR="00DD7090" w:rsidRPr="00A52AB8">
        <w:rPr>
          <w:color w:val="000000"/>
        </w:rPr>
        <w:tab/>
      </w:r>
      <w:r w:rsidRPr="00A52AB8">
        <w:rPr>
          <w:color w:val="000000"/>
        </w:rPr>
        <w:tab/>
        <w:t>0, 0, 0, 0, 0, 0, 0, 0, 3, 3, 0, 4, 3, 0, 0, 5,</w:t>
      </w:r>
    </w:p>
    <w:p w14:paraId="7F88D840" w14:textId="0CAE40AF" w:rsidR="00D25697" w:rsidRPr="00A52AB8" w:rsidRDefault="00D25697" w:rsidP="00D25697">
      <w:pPr>
        <w:spacing w:after="0"/>
        <w:rPr>
          <w:color w:val="000000"/>
        </w:rPr>
      </w:pPr>
      <w:r w:rsidRPr="00A52AB8">
        <w:rPr>
          <w:color w:val="000000"/>
        </w:rPr>
        <w:tab/>
      </w:r>
      <w:r w:rsidRPr="00A52AB8">
        <w:rPr>
          <w:color w:val="000000"/>
        </w:rPr>
        <w:tab/>
      </w:r>
      <w:r w:rsidRPr="00A52AB8">
        <w:rPr>
          <w:color w:val="000000"/>
        </w:rPr>
        <w:tab/>
      </w:r>
      <w:r w:rsidR="00DD7090" w:rsidRPr="00A52AB8">
        <w:rPr>
          <w:color w:val="000000"/>
        </w:rPr>
        <w:tab/>
      </w:r>
      <w:r w:rsidRPr="00A52AB8">
        <w:rPr>
          <w:color w:val="000000"/>
        </w:rPr>
        <w:t>0, 0, 0, 0, 0, 0, 0, 0, 0, 0, 0, 0, 0, 0, 0, 0,</w:t>
      </w:r>
    </w:p>
    <w:p w14:paraId="3FDD0137" w14:textId="13F4282F" w:rsidR="00D25697" w:rsidRPr="00A52AB8" w:rsidRDefault="00DD7090" w:rsidP="00D25697">
      <w:pPr>
        <w:spacing w:after="0"/>
        <w:rPr>
          <w:color w:val="000000"/>
        </w:rPr>
      </w:pPr>
      <w:r w:rsidRPr="00A52AB8">
        <w:rPr>
          <w:color w:val="000000"/>
        </w:rPr>
        <w:tab/>
      </w:r>
      <w:r w:rsidR="00D25697" w:rsidRPr="00A52AB8">
        <w:rPr>
          <w:color w:val="000000"/>
        </w:rPr>
        <w:tab/>
      </w:r>
      <w:r w:rsidR="00D25697" w:rsidRPr="00A52AB8">
        <w:rPr>
          <w:color w:val="000000"/>
        </w:rPr>
        <w:tab/>
      </w:r>
      <w:r w:rsidR="00D25697" w:rsidRPr="00A52AB8">
        <w:rPr>
          <w:color w:val="000000"/>
        </w:rPr>
        <w:tab/>
        <w:t>0, 0, 0, 0, 0, 0, 0, 0, 0, 0, 0, 5, 0, 0, 0, 0,</w:t>
      </w:r>
    </w:p>
    <w:p w14:paraId="1C847F76" w14:textId="18B645CE" w:rsidR="00D25697" w:rsidRPr="00A52AB8" w:rsidRDefault="00D25697" w:rsidP="00D25697">
      <w:pPr>
        <w:spacing w:after="0"/>
        <w:rPr>
          <w:color w:val="000000"/>
        </w:rPr>
      </w:pPr>
      <w:r w:rsidRPr="00A52AB8">
        <w:rPr>
          <w:color w:val="000000"/>
        </w:rPr>
        <w:tab/>
      </w:r>
      <w:r w:rsidR="00DD7090" w:rsidRPr="00A52AB8">
        <w:rPr>
          <w:color w:val="000000"/>
        </w:rPr>
        <w:tab/>
      </w:r>
      <w:r w:rsidRPr="00A52AB8">
        <w:rPr>
          <w:color w:val="000000"/>
        </w:rPr>
        <w:tab/>
      </w:r>
      <w:r w:rsidRPr="00A52AB8">
        <w:rPr>
          <w:color w:val="000000"/>
        </w:rPr>
        <w:tab/>
        <w:t>0, 0, 0, 0, 0, 0, 7, 7, 0, 0, 0, 0, 0, 0, 0, 7,</w:t>
      </w:r>
    </w:p>
    <w:p w14:paraId="221A9B99" w14:textId="23A0A231" w:rsidR="00D25697" w:rsidRPr="00A52AB8" w:rsidRDefault="00D25697" w:rsidP="00D25697">
      <w:pPr>
        <w:spacing w:after="0"/>
        <w:rPr>
          <w:color w:val="000000"/>
        </w:rPr>
      </w:pPr>
      <w:r w:rsidRPr="00A52AB8">
        <w:rPr>
          <w:color w:val="000000"/>
        </w:rPr>
        <w:tab/>
      </w:r>
      <w:r w:rsidRPr="00A52AB8">
        <w:rPr>
          <w:color w:val="000000"/>
        </w:rPr>
        <w:tab/>
      </w:r>
      <w:r w:rsidR="00DD7090" w:rsidRPr="00A52AB8">
        <w:rPr>
          <w:color w:val="000000"/>
        </w:rPr>
        <w:tab/>
      </w:r>
      <w:r w:rsidRPr="00A52AB8">
        <w:rPr>
          <w:color w:val="000000"/>
        </w:rPr>
        <w:tab/>
        <w:t>0, 0, 0, 0, 0, 0, 0, 0, 0, 0, 0, 0, 0, 0, 0, 0,</w:t>
      </w:r>
    </w:p>
    <w:p w14:paraId="71D00C3A" w14:textId="647AE7AC" w:rsidR="00D25697" w:rsidRPr="00A52AB8" w:rsidRDefault="00D25697" w:rsidP="00D25697">
      <w:pPr>
        <w:spacing w:after="0"/>
        <w:rPr>
          <w:color w:val="000000"/>
        </w:rPr>
      </w:pPr>
      <w:r w:rsidRPr="00A52AB8">
        <w:rPr>
          <w:color w:val="000000"/>
        </w:rPr>
        <w:tab/>
      </w:r>
      <w:r w:rsidRPr="00A52AB8">
        <w:rPr>
          <w:color w:val="000000"/>
        </w:rPr>
        <w:tab/>
      </w:r>
      <w:r w:rsidRPr="00A52AB8">
        <w:rPr>
          <w:color w:val="000000"/>
        </w:rPr>
        <w:tab/>
      </w:r>
      <w:r w:rsidR="00DD7090" w:rsidRPr="00A52AB8">
        <w:rPr>
          <w:color w:val="000000"/>
        </w:rPr>
        <w:tab/>
      </w:r>
      <w:r w:rsidRPr="00A52AB8">
        <w:rPr>
          <w:color w:val="000000"/>
        </w:rPr>
        <w:t>0, 0, 0, 0, 0, 0, 0, 0, 0, 0, 0, 0, 0, 0, 0, 6,</w:t>
      </w:r>
    </w:p>
    <w:p w14:paraId="5572107E" w14:textId="5A16A253" w:rsidR="00D25697" w:rsidRPr="00A52AB8" w:rsidRDefault="00DD7090" w:rsidP="00D25697">
      <w:pPr>
        <w:spacing w:after="0"/>
        <w:rPr>
          <w:color w:val="000000"/>
        </w:rPr>
      </w:pPr>
      <w:r w:rsidRPr="00A52AB8">
        <w:rPr>
          <w:color w:val="000000"/>
        </w:rPr>
        <w:tab/>
      </w:r>
      <w:r w:rsidR="00D25697" w:rsidRPr="00A52AB8">
        <w:rPr>
          <w:color w:val="000000"/>
        </w:rPr>
        <w:tab/>
      </w:r>
      <w:r w:rsidR="00D25697" w:rsidRPr="00A52AB8">
        <w:rPr>
          <w:color w:val="000000"/>
        </w:rPr>
        <w:tab/>
      </w:r>
      <w:r w:rsidR="00D25697" w:rsidRPr="00A52AB8">
        <w:rPr>
          <w:color w:val="000000"/>
        </w:rPr>
        <w:tab/>
        <w:t>0, 0, 0, 0, 0, 0, 0, 0, 0, 0, 0, 0, 0, 0, 0, 0,</w:t>
      </w:r>
    </w:p>
    <w:p w14:paraId="13EFA2B2" w14:textId="315E391F" w:rsidR="00D25697" w:rsidRPr="00A52AB8" w:rsidRDefault="00D25697" w:rsidP="00D25697">
      <w:pPr>
        <w:spacing w:after="0"/>
        <w:rPr>
          <w:color w:val="000000"/>
        </w:rPr>
      </w:pPr>
      <w:r w:rsidRPr="00A52AB8">
        <w:rPr>
          <w:color w:val="000000"/>
        </w:rPr>
        <w:tab/>
      </w:r>
      <w:r w:rsidR="00DD7090" w:rsidRPr="00A52AB8">
        <w:rPr>
          <w:color w:val="000000"/>
        </w:rPr>
        <w:tab/>
      </w:r>
      <w:r w:rsidRPr="00A52AB8">
        <w:rPr>
          <w:color w:val="000000"/>
        </w:rPr>
        <w:tab/>
      </w:r>
      <w:r w:rsidRPr="00A52AB8">
        <w:rPr>
          <w:color w:val="000000"/>
        </w:rPr>
        <w:tab/>
        <w:t>1, 1, 0, 0, 1, 0, 0, 7, 0, 0, 0, 0, 0, 0, 0, 0,</w:t>
      </w:r>
    </w:p>
    <w:p w14:paraId="6B412FDF" w14:textId="06C2347B" w:rsidR="00D25697" w:rsidRPr="00A52AB8" w:rsidRDefault="00D25697" w:rsidP="00D25697">
      <w:pPr>
        <w:spacing w:after="0"/>
        <w:rPr>
          <w:color w:val="000000"/>
        </w:rPr>
      </w:pPr>
      <w:r w:rsidRPr="00A52AB8">
        <w:rPr>
          <w:color w:val="000000"/>
        </w:rPr>
        <w:tab/>
      </w:r>
      <w:r w:rsidRPr="00A52AB8">
        <w:rPr>
          <w:color w:val="000000"/>
        </w:rPr>
        <w:tab/>
      </w:r>
      <w:r w:rsidR="00DD7090" w:rsidRPr="00A52AB8">
        <w:rPr>
          <w:color w:val="000000"/>
        </w:rPr>
        <w:tab/>
      </w:r>
      <w:r w:rsidRPr="00A52AB8">
        <w:rPr>
          <w:color w:val="000000"/>
        </w:rPr>
        <w:tab/>
        <w:t>2, 0, 0, 0, 0, 0, 0, 0, 3, 3, 0, 3, 0, 0, 0, 4,</w:t>
      </w:r>
    </w:p>
    <w:p w14:paraId="3ED67A78" w14:textId="6363FA78" w:rsidR="00D25697" w:rsidRPr="00A52AB8" w:rsidRDefault="00D25697" w:rsidP="00D25697">
      <w:pPr>
        <w:spacing w:after="0"/>
        <w:rPr>
          <w:color w:val="000000"/>
        </w:rPr>
      </w:pPr>
      <w:r w:rsidRPr="00A52AB8">
        <w:rPr>
          <w:color w:val="000000"/>
        </w:rPr>
        <w:tab/>
      </w:r>
      <w:r w:rsidRPr="00A52AB8">
        <w:rPr>
          <w:color w:val="000000"/>
        </w:rPr>
        <w:tab/>
      </w:r>
      <w:r w:rsidRPr="00A52AB8">
        <w:rPr>
          <w:color w:val="000000"/>
        </w:rPr>
        <w:tab/>
      </w:r>
      <w:r w:rsidR="00DD7090" w:rsidRPr="00A52AB8">
        <w:rPr>
          <w:color w:val="000000"/>
        </w:rPr>
        <w:tab/>
      </w:r>
      <w:r w:rsidRPr="00A52AB8">
        <w:rPr>
          <w:color w:val="000000"/>
        </w:rPr>
        <w:t>1, 0, 0, 0, 1, 0, 1, 0, 2, 3, 0, 0, 1, 2, 0, 0 }</w:t>
      </w:r>
    </w:p>
    <w:p w14:paraId="45251C32" w14:textId="77777777" w:rsidR="00D25697" w:rsidRPr="00A52AB8" w:rsidRDefault="00D2569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The arrays vX and vY of size 2 are derived as follows:</w:t>
      </w:r>
    </w:p>
    <w:p w14:paraId="1205CA07" w14:textId="13F26582" w:rsidR="00DE68F1" w:rsidRPr="00A52AB8" w:rsidRDefault="00DD7090" w:rsidP="009C6742">
      <w:pPr>
        <w:rPr>
          <w:color w:val="000000"/>
        </w:rPr>
      </w:pPr>
      <w:r w:rsidRPr="00A52AB8">
        <w:tab/>
      </w:r>
      <w:r w:rsidRPr="00A52AB8">
        <w:tab/>
      </w:r>
      <w:r w:rsidR="00DE68F1" w:rsidRPr="00A52AB8">
        <w:tab/>
      </w:r>
      <w:r w:rsidR="00D25697" w:rsidRPr="00A52AB8">
        <w:t>vX</w:t>
      </w:r>
      <w:r w:rsidR="00BE1043" w:rsidRPr="00A52AB8">
        <w:t>[ 0 ]</w:t>
      </w:r>
      <w:r w:rsidR="00D47707" w:rsidRPr="00A52AB8">
        <w:t> = </w:t>
      </w:r>
      <w:r w:rsidR="00D25697" w:rsidRPr="00A52AB8">
        <w:t>vectorOrientation[ boundaryOrientation ]</w:t>
      </w:r>
      <w:r w:rsidR="00BE1043" w:rsidRPr="00A52AB8">
        <w:t>[ 0 ]</w:t>
      </w:r>
      <w:r w:rsidR="00BE1043" w:rsidRPr="00A52AB8">
        <w:br/>
      </w:r>
      <w:r w:rsidR="00BE1043" w:rsidRPr="00A52AB8">
        <w:tab/>
      </w:r>
      <w:r w:rsidR="00BE1043" w:rsidRPr="00A52AB8">
        <w:tab/>
      </w:r>
      <w:r w:rsidR="00BE1043" w:rsidRPr="00A52AB8">
        <w:tab/>
        <w:t>vX[ 1 ]</w:t>
      </w:r>
      <w:r w:rsidR="00D47707" w:rsidRPr="00A52AB8">
        <w:t> = </w:t>
      </w:r>
      <w:r w:rsidR="00BE1043" w:rsidRPr="00A52AB8">
        <w:t>vectorOrientation[ boundaryOrientation ][ 1 ]</w:t>
      </w:r>
      <w:r w:rsidR="00DE68F1" w:rsidRPr="00A52AB8">
        <w:rPr>
          <w:color w:val="000000"/>
        </w:rPr>
        <w:br/>
      </w:r>
      <w:r w:rsidRPr="00A52AB8">
        <w:rPr>
          <w:color w:val="000000"/>
        </w:rPr>
        <w:tab/>
      </w:r>
      <w:r w:rsidRPr="00A52AB8">
        <w:rPr>
          <w:color w:val="000000"/>
        </w:rPr>
        <w:tab/>
      </w:r>
      <w:r w:rsidR="00DE68F1" w:rsidRPr="00A52AB8">
        <w:rPr>
          <w:color w:val="000000"/>
        </w:rPr>
        <w:tab/>
      </w:r>
      <w:r w:rsidR="00D25697" w:rsidRPr="00A52AB8">
        <w:rPr>
          <w:color w:val="000000"/>
        </w:rPr>
        <w:t>vY</w:t>
      </w:r>
      <w:r w:rsidR="00BE1043" w:rsidRPr="00A52AB8">
        <w:t>[ 0 ]</w:t>
      </w:r>
      <w:r w:rsidR="00D47707" w:rsidRPr="00A52AB8">
        <w:rPr>
          <w:color w:val="000000"/>
        </w:rPr>
        <w:t> = </w:t>
      </w:r>
      <w:r w:rsidR="00D25697" w:rsidRPr="00A52AB8">
        <w:rPr>
          <w:color w:val="000000"/>
        </w:rPr>
        <w:t>vectorOrientation[ (</w:t>
      </w:r>
      <w:r w:rsidR="00DE68F1" w:rsidRPr="00A52AB8">
        <w:rPr>
          <w:color w:val="000000"/>
        </w:rPr>
        <w:t> </w:t>
      </w:r>
      <w:r w:rsidR="00D25697" w:rsidRPr="00A52AB8">
        <w:rPr>
          <w:color w:val="000000"/>
        </w:rPr>
        <w:t>boundaryOrientation +</w:t>
      </w:r>
      <w:r w:rsidR="00DE68F1" w:rsidRPr="00A52AB8">
        <w:rPr>
          <w:color w:val="000000"/>
        </w:rPr>
        <w:t> </w:t>
      </w:r>
      <w:r w:rsidR="00D25697" w:rsidRPr="00A52AB8">
        <w:rPr>
          <w:color w:val="000000"/>
        </w:rPr>
        <w:t>2</w:t>
      </w:r>
      <w:r w:rsidR="00DE68F1" w:rsidRPr="00A52AB8">
        <w:rPr>
          <w:color w:val="000000"/>
        </w:rPr>
        <w:t> </w:t>
      </w:r>
      <w:r w:rsidR="00D25697" w:rsidRPr="00A52AB8">
        <w:rPr>
          <w:color w:val="000000"/>
        </w:rPr>
        <w:t>)</w:t>
      </w:r>
      <w:r w:rsidR="00DE68F1" w:rsidRPr="00A52AB8">
        <w:rPr>
          <w:color w:val="000000"/>
        </w:rPr>
        <w:t> </w:t>
      </w:r>
      <w:r w:rsidR="00D25697" w:rsidRPr="00A52AB8">
        <w:rPr>
          <w:color w:val="000000"/>
        </w:rPr>
        <w:t>%</w:t>
      </w:r>
      <w:r w:rsidR="00DE68F1" w:rsidRPr="00A52AB8">
        <w:rPr>
          <w:color w:val="000000"/>
        </w:rPr>
        <w:t> </w:t>
      </w:r>
      <w:r w:rsidR="00D25697" w:rsidRPr="00A52AB8">
        <w:rPr>
          <w:color w:val="000000"/>
        </w:rPr>
        <w:t>8 ]</w:t>
      </w:r>
      <w:r w:rsidR="00BE1043" w:rsidRPr="00A52AB8">
        <w:t>[ 0 ]</w:t>
      </w:r>
      <w:r w:rsidR="00BE1043" w:rsidRPr="00A52AB8">
        <w:br/>
      </w:r>
      <w:r w:rsidR="00BE1043" w:rsidRPr="00A52AB8">
        <w:rPr>
          <w:color w:val="000000"/>
        </w:rPr>
        <w:tab/>
      </w:r>
      <w:r w:rsidR="00BE1043" w:rsidRPr="00A52AB8">
        <w:rPr>
          <w:color w:val="000000"/>
        </w:rPr>
        <w:tab/>
      </w:r>
      <w:r w:rsidR="00BE1043" w:rsidRPr="00A52AB8">
        <w:rPr>
          <w:color w:val="000000"/>
        </w:rPr>
        <w:tab/>
        <w:t>vY</w:t>
      </w:r>
      <w:r w:rsidR="00BE1043" w:rsidRPr="00A52AB8">
        <w:t>[ 1 ]</w:t>
      </w:r>
      <w:r w:rsidR="00D47707" w:rsidRPr="00A52AB8">
        <w:rPr>
          <w:color w:val="000000"/>
        </w:rPr>
        <w:t> = </w:t>
      </w:r>
      <w:r w:rsidR="00BE1043" w:rsidRPr="00A52AB8">
        <w:rPr>
          <w:color w:val="000000"/>
        </w:rPr>
        <w:t>vectorOrientation[ ( boundaryOrientation + 2 ) % 8 ]</w:t>
      </w:r>
      <w:r w:rsidR="00BE1043" w:rsidRPr="00A52AB8">
        <w:t>[ 1 ]</w:t>
      </w:r>
    </w:p>
    <w:p w14:paraId="7C7BBA5A" w14:textId="0440DA28" w:rsidR="00D25697" w:rsidRPr="00A52AB8" w:rsidRDefault="00DE68F1" w:rsidP="009C6742">
      <w:pPr>
        <w:rPr>
          <w:color w:val="000000"/>
        </w:rPr>
      </w:pPr>
      <w:r w:rsidRPr="00A52AB8">
        <w:rPr>
          <w:color w:val="000000"/>
        </w:rPr>
        <w:tab/>
      </w:r>
      <w:r w:rsidR="00DD7090" w:rsidRPr="00A52AB8">
        <w:rPr>
          <w:color w:val="000000"/>
        </w:rPr>
        <w:tab/>
      </w:r>
      <w:r w:rsidR="00DD7090" w:rsidRPr="00A52AB8">
        <w:rPr>
          <w:color w:val="000000"/>
        </w:rPr>
        <w:tab/>
      </w:r>
      <w:r w:rsidR="00D25697" w:rsidRPr="00A52AB8">
        <w:rPr>
          <w:color w:val="000000"/>
        </w:rPr>
        <w:t>where vectorOrientation is defined as follows:</w:t>
      </w:r>
    </w:p>
    <w:p w14:paraId="31A8F7F9" w14:textId="5DBE3D71" w:rsidR="00D25697" w:rsidRPr="00A52AB8" w:rsidRDefault="00DE68F1" w:rsidP="009C6742">
      <w:r w:rsidRPr="00A52AB8">
        <w:tab/>
      </w:r>
      <w:r w:rsidR="00DD7090" w:rsidRPr="00A52AB8">
        <w:tab/>
      </w:r>
      <w:r w:rsidR="00DD7090" w:rsidRPr="00A52AB8">
        <w:tab/>
      </w:r>
      <w:r w:rsidRPr="00A52AB8">
        <w:tab/>
      </w:r>
      <w:r w:rsidR="00D25697" w:rsidRPr="00A52AB8">
        <w:t>vectorOrientation[ 8 ][ 2 </w:t>
      </w:r>
      <w:r w:rsidR="00DD7090" w:rsidRPr="00A52AB8">
        <w:t>] </w:t>
      </w:r>
      <w:r w:rsidR="00D25697" w:rsidRPr="00A52AB8">
        <w:t>=</w:t>
      </w:r>
      <w:r w:rsidR="00C61E38" w:rsidRPr="00A52AB8">
        <w:br/>
      </w:r>
      <w:r w:rsidR="00DD7090" w:rsidRPr="00A52AB8">
        <w:tab/>
      </w:r>
      <w:r w:rsidR="00DD7090" w:rsidRPr="00A52AB8">
        <w:tab/>
      </w:r>
      <w:r w:rsidR="00DD7090" w:rsidRPr="00A52AB8">
        <w:tab/>
      </w:r>
      <w:r w:rsidR="00DD7090" w:rsidRPr="00A52AB8">
        <w:tab/>
      </w:r>
      <w:r w:rsidR="00DD7090" w:rsidRPr="00A52AB8">
        <w:tab/>
      </w:r>
      <w:r w:rsidR="00D25697" w:rsidRPr="00A52AB8">
        <w:t>{ {1,</w:t>
      </w:r>
      <w:r w:rsidRPr="00A52AB8">
        <w:t> </w:t>
      </w:r>
      <w:r w:rsidR="00D25697" w:rsidRPr="00A52AB8">
        <w:t>0}, {1,</w:t>
      </w:r>
      <w:r w:rsidRPr="00A52AB8">
        <w:t> </w:t>
      </w:r>
      <w:r w:rsidR="00D25697" w:rsidRPr="00A52AB8">
        <w:t>1}, {0,</w:t>
      </w:r>
      <w:r w:rsidRPr="00A52AB8">
        <w:t> </w:t>
      </w:r>
      <w:r w:rsidR="00D25697" w:rsidRPr="00A52AB8">
        <w:t>1}, {</w:t>
      </w:r>
      <w:r w:rsidRPr="00A52AB8">
        <w:t>−</w:t>
      </w:r>
      <w:r w:rsidR="00D25697" w:rsidRPr="00A52AB8">
        <w:t>1,</w:t>
      </w:r>
      <w:r w:rsidRPr="00A52AB8">
        <w:t> </w:t>
      </w:r>
      <w:r w:rsidR="00D25697" w:rsidRPr="00A52AB8">
        <w:t>1},</w:t>
      </w:r>
      <w:r w:rsidR="00925BC3" w:rsidRPr="00A52AB8">
        <w:t> </w:t>
      </w:r>
      <w:r w:rsidR="00D25697" w:rsidRPr="00A52AB8">
        <w:t>{</w:t>
      </w:r>
      <w:r w:rsidRPr="00A52AB8">
        <w:t>−</w:t>
      </w:r>
      <w:r w:rsidR="00D25697" w:rsidRPr="00A52AB8">
        <w:t>1,</w:t>
      </w:r>
      <w:r w:rsidRPr="00A52AB8">
        <w:t> </w:t>
      </w:r>
      <w:r w:rsidR="00D25697" w:rsidRPr="00A52AB8">
        <w:t>0}, {</w:t>
      </w:r>
      <w:r w:rsidRPr="00A52AB8">
        <w:t>−</w:t>
      </w:r>
      <w:r w:rsidR="00D25697" w:rsidRPr="00A52AB8">
        <w:t>1,</w:t>
      </w:r>
      <w:r w:rsidRPr="00A52AB8">
        <w:t> −</w:t>
      </w:r>
      <w:r w:rsidR="00D25697" w:rsidRPr="00A52AB8">
        <w:t>1}, {0,</w:t>
      </w:r>
      <w:r w:rsidRPr="00A52AB8">
        <w:t> −</w:t>
      </w:r>
      <w:r w:rsidR="00D25697" w:rsidRPr="00A52AB8">
        <w:t>1}, {1,</w:t>
      </w:r>
      <w:r w:rsidRPr="00A52AB8">
        <w:t> −</w:t>
      </w:r>
      <w:r w:rsidR="00D25697" w:rsidRPr="00A52AB8">
        <w:t>1} }</w:t>
      </w:r>
    </w:p>
    <w:p w14:paraId="7ED5D0A0" w14:textId="478F459E" w:rsidR="00DE68F1" w:rsidRPr="00A52AB8" w:rsidRDefault="00DE68F1"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Then the following applies:</w:t>
      </w:r>
    </w:p>
    <w:p w14:paraId="5285832A" w14:textId="78196A2F" w:rsidR="00D25697" w:rsidRPr="00A52AB8" w:rsidRDefault="00DD7090" w:rsidP="00D25697">
      <w:pPr>
        <w:rPr>
          <w:lang w:eastAsia="ja-JP"/>
        </w:rPr>
      </w:pPr>
      <w:r w:rsidRPr="00A52AB8">
        <w:tab/>
      </w:r>
      <w:r w:rsidRPr="00A52AB8">
        <w:tab/>
      </w:r>
      <w:r w:rsidRPr="00A52AB8">
        <w:tab/>
        <w:t>sumP</w:t>
      </w:r>
      <w:r w:rsidR="00D47707" w:rsidRPr="00A52AB8">
        <w:t> = </w:t>
      </w:r>
      <w:r w:rsidRPr="00A52AB8">
        <w:t>0</w:t>
      </w:r>
      <w:r w:rsidRPr="00A52AB8">
        <w:br/>
      </w:r>
      <w:r w:rsidRPr="00A52AB8">
        <w:tab/>
      </w:r>
      <w:r w:rsidRPr="00A52AB8">
        <w:tab/>
      </w:r>
      <w:r w:rsidRPr="00A52AB8">
        <w:tab/>
        <w:t>sumE</w:t>
      </w:r>
      <w:r w:rsidR="00D47707" w:rsidRPr="00A52AB8">
        <w:t> = </w:t>
      </w:r>
      <w:r w:rsidRPr="00A52AB8">
        <w:t>0</w:t>
      </w:r>
      <w:r w:rsidRPr="00A52AB8">
        <w:br/>
      </w:r>
      <w:r w:rsidRPr="00A52AB8">
        <w:tab/>
      </w:r>
      <w:r w:rsidRPr="00A52AB8">
        <w:tab/>
      </w:r>
      <w:r w:rsidRPr="00A52AB8">
        <w:tab/>
      </w:r>
      <w:r w:rsidRPr="00A52AB8">
        <w:rPr>
          <w:color w:val="000000" w:themeColor="text1"/>
        </w:rPr>
        <w:t>windowCount</w:t>
      </w:r>
      <w:r w:rsidR="00D47707" w:rsidRPr="00A52AB8">
        <w:rPr>
          <w:color w:val="000000" w:themeColor="text1"/>
        </w:rPr>
        <w:t> = </w:t>
      </w:r>
      <w:r w:rsidRPr="00A52AB8">
        <w:rPr>
          <w:color w:val="000000" w:themeColor="text1"/>
        </w:rPr>
        <w:t>0</w:t>
      </w:r>
      <w:r w:rsidR="00C61E38" w:rsidRPr="00A52AB8">
        <w:rPr>
          <w:color w:val="000000" w:themeColor="text1"/>
        </w:rPr>
        <w:br/>
      </w:r>
      <w:r w:rsidR="00DE68F1" w:rsidRPr="00A52AB8">
        <w:tab/>
      </w:r>
      <w:r w:rsidRPr="00A52AB8">
        <w:tab/>
      </w:r>
      <w:r w:rsidRPr="00A52AB8">
        <w:tab/>
      </w:r>
      <w:r w:rsidR="001E10FA" w:rsidRPr="00A52AB8">
        <w:t>for( xW</w:t>
      </w:r>
      <w:r w:rsidR="00D47707" w:rsidRPr="00A52AB8">
        <w:t> = </w:t>
      </w:r>
      <w:r w:rsidR="00DE68F1" w:rsidRPr="00A52AB8">
        <w:t>−</w:t>
      </w:r>
      <w:r w:rsidR="008B4DD5" w:rsidRPr="00A52AB8">
        <w:t>filterSizeX</w:t>
      </w:r>
      <w:r w:rsidR="00DE68F1" w:rsidRPr="00A52AB8">
        <w:t>; xW </w:t>
      </w:r>
      <w:r w:rsidR="00A234FD" w:rsidRPr="00A52AB8">
        <w:t>&lt;=</w:t>
      </w:r>
      <w:r w:rsidR="00D47707" w:rsidRPr="00A52AB8">
        <w:t> </w:t>
      </w:r>
      <w:r w:rsidR="008B4DD5" w:rsidRPr="00A52AB8">
        <w:t>filterSizeX</w:t>
      </w:r>
      <w:r w:rsidR="00DE68F1" w:rsidRPr="00A52AB8">
        <w:t>; xW++ </w:t>
      </w:r>
      <w:r w:rsidR="008F1F82" w:rsidRPr="00A52AB8">
        <w:t>) {</w:t>
      </w:r>
      <w:r w:rsidR="00DE68F1" w:rsidRPr="00A52AB8">
        <w:br/>
      </w:r>
      <w:r w:rsidRPr="00A52AB8">
        <w:tab/>
      </w:r>
      <w:r w:rsidRPr="00A52AB8">
        <w:tab/>
      </w:r>
      <w:r w:rsidR="00DE68F1" w:rsidRPr="00A52AB8">
        <w:tab/>
      </w:r>
      <w:r w:rsidR="00DE68F1" w:rsidRPr="00A52AB8">
        <w:tab/>
        <w:t>for( yW</w:t>
      </w:r>
      <w:r w:rsidR="00D47707" w:rsidRPr="00A52AB8">
        <w:t> = </w:t>
      </w:r>
      <w:r w:rsidR="00DE68F1" w:rsidRPr="00A52AB8">
        <w:t>−</w:t>
      </w:r>
      <w:r w:rsidR="008B4DD5" w:rsidRPr="00A52AB8">
        <w:t>filterSizeY</w:t>
      </w:r>
      <w:r w:rsidR="00DE68F1" w:rsidRPr="00A52AB8">
        <w:t>; yW </w:t>
      </w:r>
      <w:r w:rsidR="00A234FD" w:rsidRPr="00A52AB8">
        <w:t>&lt;=</w:t>
      </w:r>
      <w:r w:rsidR="00D47707" w:rsidRPr="00A52AB8">
        <w:t> </w:t>
      </w:r>
      <w:r w:rsidR="008B4DD5" w:rsidRPr="00A52AB8">
        <w:t>filterSizeY</w:t>
      </w:r>
      <w:r w:rsidR="00DE68F1" w:rsidRPr="00A52AB8">
        <w:t>; yW++ </w:t>
      </w:r>
      <w:r w:rsidR="008F1F82" w:rsidRPr="00A52AB8">
        <w:t>) {</w:t>
      </w:r>
      <w:r w:rsidR="00DE68F1" w:rsidRPr="00A52AB8">
        <w:br/>
      </w:r>
      <w:r w:rsidRPr="00A52AB8">
        <w:tab/>
      </w:r>
      <w:r w:rsidRPr="00A52AB8">
        <w:tab/>
      </w:r>
      <w:r w:rsidR="001E10FA" w:rsidRPr="00A52AB8">
        <w:tab/>
      </w:r>
      <w:r w:rsidR="001E10FA" w:rsidRPr="00A52AB8">
        <w:tab/>
      </w:r>
      <w:r w:rsidR="001E10FA" w:rsidRPr="00A52AB8">
        <w:tab/>
        <w:t>yPos</w:t>
      </w:r>
      <w:r w:rsidR="00D47707" w:rsidRPr="00A52AB8">
        <w:t> = </w:t>
      </w:r>
      <w:r w:rsidRPr="00A52AB8">
        <w:t>Clip</w:t>
      </w:r>
      <w:r w:rsidR="004102FE" w:rsidRPr="00A52AB8">
        <w:t>3</w:t>
      </w:r>
      <w:r w:rsidRPr="00A52AB8">
        <w:t>(</w:t>
      </w:r>
      <w:r w:rsidR="004102FE" w:rsidRPr="00A52AB8">
        <w:t> 0, </w:t>
      </w:r>
      <w:r w:rsidR="004102FE" w:rsidRPr="00A52AB8">
        <w:rPr>
          <w:color w:val="000000" w:themeColor="text1"/>
        </w:rPr>
        <w:t>asps_frame_height </w:t>
      </w:r>
      <w:r w:rsidR="004102FE" w:rsidRPr="00A52AB8">
        <w:t>− 1</w:t>
      </w:r>
      <w:r w:rsidR="004102FE" w:rsidRPr="00A52AB8">
        <w:rPr>
          <w:color w:val="000000" w:themeColor="text1"/>
        </w:rPr>
        <w:t>,</w:t>
      </w:r>
      <w:r w:rsidR="001E10FA" w:rsidRPr="00A52AB8">
        <w:rPr>
          <w:shd w:val="clear" w:color="auto" w:fill="FFFFFF"/>
        </w:rPr>
        <w:t> y + vX[ 1 ] * xW</w:t>
      </w:r>
      <w:r w:rsidR="001E10FA" w:rsidRPr="00A52AB8">
        <w:t> </w:t>
      </w:r>
      <w:r w:rsidR="001E10FA" w:rsidRPr="00A52AB8">
        <w:rPr>
          <w:shd w:val="clear" w:color="auto" w:fill="FFFFFF"/>
        </w:rPr>
        <w:t>+ vY[ 1 ] * yW</w:t>
      </w:r>
      <w:r w:rsidR="004102FE" w:rsidRPr="00A52AB8">
        <w:rPr>
          <w:shd w:val="clear" w:color="auto" w:fill="FFFFFF"/>
        </w:rPr>
        <w:t> )</w:t>
      </w:r>
      <w:r w:rsidR="001E10FA" w:rsidRPr="00A52AB8">
        <w:rPr>
          <w:shd w:val="clear" w:color="auto" w:fill="FFFFFF"/>
        </w:rPr>
        <w:br/>
      </w:r>
      <w:r w:rsidR="001E10FA" w:rsidRPr="00A52AB8">
        <w:rPr>
          <w:shd w:val="clear" w:color="auto" w:fill="FFFFFF"/>
        </w:rPr>
        <w:tab/>
      </w:r>
      <w:r w:rsidRPr="00A52AB8">
        <w:rPr>
          <w:shd w:val="clear" w:color="auto" w:fill="FFFFFF"/>
        </w:rPr>
        <w:tab/>
      </w:r>
      <w:r w:rsidRPr="00A52AB8">
        <w:rPr>
          <w:shd w:val="clear" w:color="auto" w:fill="FFFFFF"/>
        </w:rPr>
        <w:tab/>
      </w:r>
      <w:r w:rsidR="001E10FA" w:rsidRPr="00A52AB8">
        <w:rPr>
          <w:shd w:val="clear" w:color="auto" w:fill="FFFFFF"/>
        </w:rPr>
        <w:tab/>
      </w:r>
      <w:r w:rsidR="001E10FA" w:rsidRPr="00A52AB8">
        <w:rPr>
          <w:shd w:val="clear" w:color="auto" w:fill="FFFFFF"/>
        </w:rPr>
        <w:tab/>
        <w:t>xPos</w:t>
      </w:r>
      <w:r w:rsidR="00D47707" w:rsidRPr="00A52AB8">
        <w:rPr>
          <w:shd w:val="clear" w:color="auto" w:fill="FFFFFF"/>
        </w:rPr>
        <w:t> = </w:t>
      </w:r>
      <w:r w:rsidR="004102FE" w:rsidRPr="00A52AB8">
        <w:t>Clip3( 0, </w:t>
      </w:r>
      <w:r w:rsidR="004102FE" w:rsidRPr="00A52AB8">
        <w:rPr>
          <w:color w:val="000000" w:themeColor="text1"/>
        </w:rPr>
        <w:t>asps_frame_width </w:t>
      </w:r>
      <w:r w:rsidR="004102FE" w:rsidRPr="00A52AB8">
        <w:t>− 1</w:t>
      </w:r>
      <w:r w:rsidR="004102FE" w:rsidRPr="00A52AB8">
        <w:rPr>
          <w:color w:val="000000" w:themeColor="text1"/>
        </w:rPr>
        <w:t>,</w:t>
      </w:r>
      <w:r w:rsidR="001E10FA" w:rsidRPr="00A52AB8">
        <w:rPr>
          <w:shd w:val="clear" w:color="auto" w:fill="FFFFFF"/>
        </w:rPr>
        <w:t> x + vX[ 0 ] * xW + vY[ 0 ] * yW</w:t>
      </w:r>
      <w:r w:rsidR="004102FE" w:rsidRPr="00A52AB8">
        <w:rPr>
          <w:shd w:val="clear" w:color="auto" w:fill="FFFFFF"/>
        </w:rPr>
        <w:t> )</w:t>
      </w:r>
      <w:r w:rsidR="001E10FA" w:rsidRPr="00A52AB8">
        <w:br/>
      </w:r>
      <w:r w:rsidR="004102FE" w:rsidRPr="00A52AB8">
        <w:tab/>
      </w:r>
      <w:r w:rsidR="004102FE" w:rsidRPr="00A52AB8">
        <w:tab/>
      </w:r>
      <w:r w:rsidR="004102FE" w:rsidRPr="00A52AB8">
        <w:tab/>
      </w:r>
      <w:r w:rsidR="004102FE" w:rsidRPr="00A52AB8">
        <w:tab/>
      </w:r>
      <w:r w:rsidR="004102FE" w:rsidRPr="00A52AB8">
        <w:tab/>
        <w:t>yPosG</w:t>
      </w:r>
      <w:r w:rsidR="00D47707" w:rsidRPr="00A52AB8">
        <w:t> = </w:t>
      </w:r>
      <w:r w:rsidR="004102FE" w:rsidRPr="00A52AB8">
        <w:t>Clip3( 0, </w:t>
      </w:r>
      <w:r w:rsidR="004102FE" w:rsidRPr="00A52AB8">
        <w:rPr>
          <w:color w:val="000000" w:themeColor="text1"/>
        </w:rPr>
        <w:t>asps_frame_height </w:t>
      </w:r>
      <w:r w:rsidR="004102FE" w:rsidRPr="00A52AB8">
        <w:t>− 1</w:t>
      </w:r>
      <w:r w:rsidR="004102FE" w:rsidRPr="00A52AB8">
        <w:rPr>
          <w:color w:val="000000" w:themeColor="text1"/>
        </w:rPr>
        <w:t>,</w:t>
      </w:r>
      <w:r w:rsidR="004102FE" w:rsidRPr="00A52AB8">
        <w:rPr>
          <w:shd w:val="clear" w:color="auto" w:fill="FFFFFF"/>
        </w:rPr>
        <w:t> </w:t>
      </w:r>
      <w:r w:rsidR="004102FE" w:rsidRPr="00A52AB8">
        <w:t>y − vX[ 1] </w:t>
      </w:r>
      <w:r w:rsidR="004102FE" w:rsidRPr="00A52AB8">
        <w:rPr>
          <w:shd w:val="clear" w:color="auto" w:fill="FFFFFF"/>
        </w:rPr>
        <w:t>)</w:t>
      </w:r>
      <w:r w:rsidR="004102FE" w:rsidRPr="00A52AB8">
        <w:rPr>
          <w:shd w:val="clear" w:color="auto" w:fill="FFFFFF"/>
        </w:rPr>
        <w:br/>
      </w:r>
      <w:r w:rsidR="004102FE" w:rsidRPr="00A52AB8">
        <w:rPr>
          <w:shd w:val="clear" w:color="auto" w:fill="FFFFFF"/>
        </w:rPr>
        <w:tab/>
      </w:r>
      <w:r w:rsidR="004102FE" w:rsidRPr="00A52AB8">
        <w:rPr>
          <w:shd w:val="clear" w:color="auto" w:fill="FFFFFF"/>
        </w:rPr>
        <w:tab/>
      </w:r>
      <w:r w:rsidR="004102FE" w:rsidRPr="00A52AB8">
        <w:rPr>
          <w:shd w:val="clear" w:color="auto" w:fill="FFFFFF"/>
        </w:rPr>
        <w:tab/>
      </w:r>
      <w:r w:rsidR="004102FE" w:rsidRPr="00A52AB8">
        <w:rPr>
          <w:shd w:val="clear" w:color="auto" w:fill="FFFFFF"/>
        </w:rPr>
        <w:tab/>
      </w:r>
      <w:r w:rsidR="004102FE" w:rsidRPr="00A52AB8">
        <w:rPr>
          <w:shd w:val="clear" w:color="auto" w:fill="FFFFFF"/>
        </w:rPr>
        <w:tab/>
        <w:t>xPosG</w:t>
      </w:r>
      <w:r w:rsidR="00D47707" w:rsidRPr="00A52AB8">
        <w:rPr>
          <w:shd w:val="clear" w:color="auto" w:fill="FFFFFF"/>
        </w:rPr>
        <w:t> = </w:t>
      </w:r>
      <w:r w:rsidR="004102FE" w:rsidRPr="00A52AB8">
        <w:t>Clip3( 0, </w:t>
      </w:r>
      <w:r w:rsidR="004102FE" w:rsidRPr="00A52AB8">
        <w:rPr>
          <w:color w:val="000000" w:themeColor="text1"/>
        </w:rPr>
        <w:t>asps_frame_width </w:t>
      </w:r>
      <w:r w:rsidR="004102FE" w:rsidRPr="00A52AB8">
        <w:t>− 1</w:t>
      </w:r>
      <w:r w:rsidR="004102FE" w:rsidRPr="00A52AB8">
        <w:rPr>
          <w:color w:val="000000" w:themeColor="text1"/>
        </w:rPr>
        <w:t>,</w:t>
      </w:r>
      <w:r w:rsidR="004102FE" w:rsidRPr="00A52AB8">
        <w:rPr>
          <w:shd w:val="clear" w:color="auto" w:fill="FFFFFF"/>
        </w:rPr>
        <w:t> </w:t>
      </w:r>
      <w:r w:rsidR="004102FE" w:rsidRPr="00A52AB8">
        <w:t>x − vX[ 0 ] </w:t>
      </w:r>
      <w:r w:rsidR="004102FE" w:rsidRPr="00A52AB8">
        <w:rPr>
          <w:shd w:val="clear" w:color="auto" w:fill="FFFFFF"/>
        </w:rPr>
        <w:t>)</w:t>
      </w:r>
      <w:r w:rsidR="004102FE" w:rsidRPr="00A52AB8">
        <w:br/>
      </w:r>
      <w:r w:rsidRPr="00A52AB8">
        <w:tab/>
      </w:r>
      <w:r w:rsidRPr="00A52AB8">
        <w:tab/>
      </w:r>
      <w:r w:rsidR="001E10FA" w:rsidRPr="00A52AB8">
        <w:tab/>
      </w:r>
      <w:r w:rsidR="001E10FA" w:rsidRPr="00A52AB8">
        <w:tab/>
      </w:r>
      <w:r w:rsidR="001E10FA" w:rsidRPr="00A52AB8">
        <w:tab/>
      </w:r>
      <w:r w:rsidR="00D25697" w:rsidRPr="00A52AB8">
        <w:t>if( neighbourDepth[ </w:t>
      </w:r>
      <w:r w:rsidR="001E10FA" w:rsidRPr="00A52AB8">
        <w:rPr>
          <w:shd w:val="clear" w:color="auto" w:fill="FFFFFF"/>
        </w:rPr>
        <w:t>yPos</w:t>
      </w:r>
      <w:r w:rsidR="00D25697" w:rsidRPr="00A52AB8">
        <w:t> ][ </w:t>
      </w:r>
      <w:r w:rsidR="001E10FA" w:rsidRPr="00A52AB8">
        <w:rPr>
          <w:shd w:val="clear" w:color="auto" w:fill="FFFFFF"/>
        </w:rPr>
        <w:t>xPos</w:t>
      </w:r>
      <w:r w:rsidR="00D25697" w:rsidRPr="00A52AB8">
        <w:t> ]</w:t>
      </w:r>
      <w:r w:rsidR="001E10FA" w:rsidRPr="00A52AB8">
        <w:t> </w:t>
      </w:r>
      <w:r w:rsidRPr="00A52AB8">
        <w:t>&gt; 0</w:t>
      </w:r>
      <w:r w:rsidR="008F1F82" w:rsidRPr="00A52AB8">
        <w:t>) {</w:t>
      </w:r>
      <w:r w:rsidRPr="00A52AB8">
        <w:br/>
      </w:r>
      <w:r w:rsidR="001E10FA" w:rsidRPr="00A52AB8">
        <w:tab/>
      </w:r>
      <w:r w:rsidRPr="00A52AB8">
        <w:tab/>
      </w:r>
      <w:r w:rsidRPr="00A52AB8">
        <w:tab/>
      </w:r>
      <w:r w:rsidR="001E10FA" w:rsidRPr="00A52AB8">
        <w:tab/>
      </w:r>
      <w:r w:rsidR="001E10FA" w:rsidRPr="00A52AB8">
        <w:tab/>
      </w:r>
      <w:r w:rsidR="001E10FA" w:rsidRPr="00A52AB8">
        <w:tab/>
      </w:r>
      <w:r w:rsidR="00B063CF" w:rsidRPr="00A52AB8">
        <w:t>p</w:t>
      </w:r>
      <w:r w:rsidR="00D47707" w:rsidRPr="00A52AB8">
        <w:t> = </w:t>
      </w:r>
      <w:r w:rsidR="00D25697" w:rsidRPr="00A52AB8">
        <w:t>( xW</w:t>
      </w:r>
      <w:r w:rsidR="008768E9" w:rsidRPr="00A52AB8">
        <w:t> </w:t>
      </w:r>
      <w:r w:rsidR="00D25697" w:rsidRPr="00A52AB8">
        <w:t>*</w:t>
      </w:r>
      <w:r w:rsidR="008768E9" w:rsidRPr="00A52AB8">
        <w:t> </w:t>
      </w:r>
      <w:r w:rsidR="00D25697" w:rsidRPr="00A52AB8">
        <w:t>vX[ 0 ]</w:t>
      </w:r>
      <w:r w:rsidR="008768E9" w:rsidRPr="00A52AB8">
        <w:t> </w:t>
      </w:r>
      <w:r w:rsidR="00D25697" w:rsidRPr="00A52AB8">
        <w:t>+</w:t>
      </w:r>
      <w:r w:rsidR="008768E9" w:rsidRPr="00A52AB8">
        <w:t> </w:t>
      </w:r>
      <w:r w:rsidR="00D25697" w:rsidRPr="00A52AB8">
        <w:t>yW</w:t>
      </w:r>
      <w:r w:rsidR="008768E9" w:rsidRPr="00A52AB8">
        <w:t> </w:t>
      </w:r>
      <w:r w:rsidR="00D25697" w:rsidRPr="00A52AB8">
        <w:t>*</w:t>
      </w:r>
      <w:r w:rsidR="008768E9" w:rsidRPr="00A52AB8">
        <w:t> </w:t>
      </w:r>
      <w:r w:rsidR="00D25697" w:rsidRPr="00A52AB8">
        <w:t>vY[ 0 ] )</w:t>
      </w:r>
      <w:r w:rsidR="00DE68F1" w:rsidRPr="00A52AB8">
        <w:rPr>
          <w:position w:val="6"/>
          <w:vertAlign w:val="superscript"/>
        </w:rPr>
        <w:t>2</w:t>
      </w:r>
      <w:r w:rsidR="00C61E38" w:rsidRPr="00A52AB8">
        <w:br/>
      </w:r>
      <w:r w:rsidRPr="00A52AB8">
        <w:tab/>
      </w:r>
      <w:r w:rsidRPr="00A52AB8">
        <w:tab/>
      </w:r>
      <w:r w:rsidRPr="00A52AB8">
        <w:tab/>
      </w:r>
      <w:r w:rsidRPr="00A52AB8">
        <w:tab/>
      </w:r>
      <w:r w:rsidRPr="00A52AB8">
        <w:tab/>
      </w:r>
      <w:r w:rsidRPr="00A52AB8">
        <w:tab/>
      </w:r>
      <w:r w:rsidR="00B063CF" w:rsidRPr="00A52AB8">
        <w:t>p </w:t>
      </w:r>
      <w:r w:rsidR="00A234FD" w:rsidRPr="00A52AB8">
        <w:t>+=</w:t>
      </w:r>
      <w:r w:rsidR="00D47707" w:rsidRPr="00A52AB8">
        <w:t> </w:t>
      </w:r>
      <w:r w:rsidR="00D25697" w:rsidRPr="00A52AB8">
        <w:t>( xW</w:t>
      </w:r>
      <w:r w:rsidR="008768E9" w:rsidRPr="00A52AB8">
        <w:t> </w:t>
      </w:r>
      <w:r w:rsidR="00D25697" w:rsidRPr="00A52AB8">
        <w:t>*</w:t>
      </w:r>
      <w:r w:rsidR="008768E9" w:rsidRPr="00A52AB8">
        <w:t> </w:t>
      </w:r>
      <w:r w:rsidR="00D25697" w:rsidRPr="00A52AB8">
        <w:t>vX[ 1 ] + </w:t>
      </w:r>
      <w:r w:rsidR="00BE1043" w:rsidRPr="00A52AB8">
        <w:t>y</w:t>
      </w:r>
      <w:r w:rsidR="00D25697" w:rsidRPr="00A52AB8">
        <w:t>W</w:t>
      </w:r>
      <w:r w:rsidR="008768E9" w:rsidRPr="00A52AB8">
        <w:t> </w:t>
      </w:r>
      <w:r w:rsidR="00D25697" w:rsidRPr="00A52AB8">
        <w:t>*</w:t>
      </w:r>
      <w:r w:rsidR="008768E9" w:rsidRPr="00A52AB8">
        <w:t> </w:t>
      </w:r>
      <w:r w:rsidR="00D25697" w:rsidRPr="00A52AB8">
        <w:t>vY[ 1 ]</w:t>
      </w:r>
      <w:r w:rsidR="008768E9" w:rsidRPr="00A52AB8">
        <w:t> </w:t>
      </w:r>
      <w:r w:rsidR="00D25697" w:rsidRPr="00A52AB8">
        <w:t>)</w:t>
      </w:r>
      <w:r w:rsidR="00DE68F1" w:rsidRPr="00A52AB8">
        <w:rPr>
          <w:position w:val="6"/>
          <w:vertAlign w:val="superscript"/>
        </w:rPr>
        <w:t>2</w:t>
      </w:r>
      <w:r w:rsidRPr="00A52AB8">
        <w:br/>
      </w:r>
      <w:r w:rsidRPr="00A52AB8">
        <w:tab/>
      </w:r>
      <w:r w:rsidRPr="00A52AB8">
        <w:tab/>
      </w:r>
      <w:r w:rsidRPr="00A52AB8">
        <w:tab/>
      </w:r>
      <w:r w:rsidRPr="00A52AB8">
        <w:tab/>
      </w:r>
      <w:r w:rsidRPr="00A52AB8">
        <w:tab/>
      </w:r>
      <w:r w:rsidRPr="00A52AB8">
        <w:tab/>
      </w:r>
      <w:r w:rsidR="00B063CF" w:rsidRPr="00A52AB8">
        <w:t>p </w:t>
      </w:r>
      <w:r w:rsidR="00A234FD" w:rsidRPr="00A52AB8">
        <w:t>+=</w:t>
      </w:r>
      <w:r w:rsidR="00D47707" w:rsidRPr="00A52AB8">
        <w:t> </w:t>
      </w:r>
      <w:r w:rsidR="00D25697" w:rsidRPr="00A52AB8">
        <w:t>( neighbourDepth[ </w:t>
      </w:r>
      <w:r w:rsidR="001E10FA" w:rsidRPr="00A52AB8">
        <w:t>yPos</w:t>
      </w:r>
      <w:r w:rsidR="00D25697" w:rsidRPr="00A52AB8">
        <w:t>][</w:t>
      </w:r>
      <w:r w:rsidR="001E10FA" w:rsidRPr="00A52AB8">
        <w:t> </w:t>
      </w:r>
      <w:r w:rsidR="001E10FA" w:rsidRPr="00A52AB8">
        <w:rPr>
          <w:shd w:val="clear" w:color="auto" w:fill="FFFFFF"/>
        </w:rPr>
        <w:t>xPos</w:t>
      </w:r>
      <w:r w:rsidR="00D25697" w:rsidRPr="00A52AB8">
        <w:t> ] − gFrame[ y ][ x ] )</w:t>
      </w:r>
      <w:r w:rsidR="00DE68F1" w:rsidRPr="00A52AB8">
        <w:rPr>
          <w:position w:val="6"/>
          <w:vertAlign w:val="superscript"/>
        </w:rPr>
        <w:t>2</w:t>
      </w:r>
      <w:r w:rsidR="00B063CF" w:rsidRPr="00A52AB8">
        <w:br/>
      </w:r>
      <w:r w:rsidR="00B063CF" w:rsidRPr="00A52AB8">
        <w:tab/>
      </w:r>
      <w:r w:rsidR="00B063CF" w:rsidRPr="00A52AB8">
        <w:tab/>
      </w:r>
      <w:r w:rsidR="00B063CF" w:rsidRPr="00A52AB8">
        <w:tab/>
      </w:r>
      <w:r w:rsidR="00B063CF" w:rsidRPr="00A52AB8">
        <w:tab/>
      </w:r>
      <w:r w:rsidR="00B063CF" w:rsidRPr="00A52AB8">
        <w:tab/>
      </w:r>
      <w:r w:rsidR="00B063CF" w:rsidRPr="00A52AB8">
        <w:tab/>
        <w:t>sumP </w:t>
      </w:r>
      <w:r w:rsidR="00A234FD" w:rsidRPr="00A52AB8">
        <w:t>+=</w:t>
      </w:r>
      <w:r w:rsidR="00D47707" w:rsidRPr="00A52AB8">
        <w:t> </w:t>
      </w:r>
      <w:r w:rsidR="00B063CF" w:rsidRPr="00A52AB8">
        <w:t>Sqrt( p )</w:t>
      </w:r>
      <w:r w:rsidR="00B063CF" w:rsidRPr="00A52AB8">
        <w:br/>
      </w:r>
      <w:r w:rsidR="001E10FA" w:rsidRPr="00A52AB8">
        <w:tab/>
      </w:r>
      <w:r w:rsidR="001E10FA" w:rsidRPr="00A52AB8">
        <w:tab/>
      </w:r>
      <w:r w:rsidRPr="00A52AB8">
        <w:tab/>
      </w:r>
      <w:r w:rsidRPr="00A52AB8">
        <w:tab/>
      </w:r>
      <w:r w:rsidR="001E10FA" w:rsidRPr="00A52AB8">
        <w:tab/>
      </w:r>
      <w:r w:rsidR="001E10FA" w:rsidRPr="00A52AB8">
        <w:tab/>
      </w:r>
      <w:r w:rsidR="00B063CF" w:rsidRPr="00A52AB8">
        <w:t>e</w:t>
      </w:r>
      <w:r w:rsidR="00D47707" w:rsidRPr="00A52AB8">
        <w:t> = </w:t>
      </w:r>
      <w:r w:rsidR="00D25697" w:rsidRPr="00A52AB8">
        <w:t>( (</w:t>
      </w:r>
      <w:r w:rsidR="00AA7F68" w:rsidRPr="00A52AB8">
        <w:t> </w:t>
      </w:r>
      <w:r w:rsidR="00D25697" w:rsidRPr="00A52AB8">
        <w:t>xW + 1</w:t>
      </w:r>
      <w:r w:rsidR="00AA7F68" w:rsidRPr="00A52AB8">
        <w:t> </w:t>
      </w:r>
      <w:r w:rsidR="00D25697" w:rsidRPr="00A52AB8">
        <w:t>)</w:t>
      </w:r>
      <w:r w:rsidR="008768E9" w:rsidRPr="00A52AB8">
        <w:t> </w:t>
      </w:r>
      <w:r w:rsidR="00D25697" w:rsidRPr="00A52AB8">
        <w:t>*</w:t>
      </w:r>
      <w:r w:rsidR="008768E9" w:rsidRPr="00A52AB8">
        <w:t> </w:t>
      </w:r>
      <w:r w:rsidR="00D25697" w:rsidRPr="00A52AB8">
        <w:t>vX[ 0 ]</w:t>
      </w:r>
      <w:r w:rsidR="008768E9" w:rsidRPr="00A52AB8">
        <w:t> </w:t>
      </w:r>
      <w:r w:rsidR="00D25697" w:rsidRPr="00A52AB8">
        <w:t>+</w:t>
      </w:r>
      <w:r w:rsidR="008768E9" w:rsidRPr="00A52AB8">
        <w:t> </w:t>
      </w:r>
      <w:r w:rsidR="00D25697" w:rsidRPr="00A52AB8">
        <w:t>yW</w:t>
      </w:r>
      <w:r w:rsidR="008768E9" w:rsidRPr="00A52AB8">
        <w:t> </w:t>
      </w:r>
      <w:r w:rsidR="00D25697" w:rsidRPr="00A52AB8">
        <w:t>*</w:t>
      </w:r>
      <w:r w:rsidR="008768E9" w:rsidRPr="00A52AB8">
        <w:t> </w:t>
      </w:r>
      <w:r w:rsidR="00D25697" w:rsidRPr="00A52AB8">
        <w:t>vY[ 0 ] )</w:t>
      </w:r>
      <w:r w:rsidR="00DE68F1" w:rsidRPr="00A52AB8">
        <w:rPr>
          <w:position w:val="6"/>
          <w:vertAlign w:val="superscript"/>
        </w:rPr>
        <w:t>2</w:t>
      </w:r>
      <w:r w:rsidRPr="00A52AB8">
        <w:br/>
      </w:r>
      <w:r w:rsidRPr="00A52AB8">
        <w:tab/>
      </w:r>
      <w:r w:rsidRPr="00A52AB8">
        <w:tab/>
      </w:r>
      <w:r w:rsidRPr="00A52AB8">
        <w:tab/>
      </w:r>
      <w:r w:rsidRPr="00A52AB8">
        <w:tab/>
      </w:r>
      <w:r w:rsidRPr="00A52AB8">
        <w:tab/>
      </w:r>
      <w:r w:rsidRPr="00A52AB8">
        <w:tab/>
      </w:r>
      <w:r w:rsidR="00B063CF" w:rsidRPr="00A52AB8">
        <w:t>e </w:t>
      </w:r>
      <w:r w:rsidR="00A234FD" w:rsidRPr="00A52AB8">
        <w:t>+=</w:t>
      </w:r>
      <w:r w:rsidR="00D47707" w:rsidRPr="00A52AB8">
        <w:t> </w:t>
      </w:r>
      <w:r w:rsidR="00460941" w:rsidRPr="00A52AB8">
        <w:t>(</w:t>
      </w:r>
      <w:r w:rsidR="004A5CD5" w:rsidRPr="00A52AB8">
        <w:t> </w:t>
      </w:r>
      <w:r w:rsidR="00D25697" w:rsidRPr="00A52AB8">
        <w:t>(</w:t>
      </w:r>
      <w:r w:rsidR="00AA7F68" w:rsidRPr="00A52AB8">
        <w:t> </w:t>
      </w:r>
      <w:r w:rsidR="00D25697" w:rsidRPr="00A52AB8">
        <w:t>xW + 1</w:t>
      </w:r>
      <w:r w:rsidR="008768E9" w:rsidRPr="00A52AB8">
        <w:t> </w:t>
      </w:r>
      <w:r w:rsidR="00D25697" w:rsidRPr="00A52AB8">
        <w:t>)</w:t>
      </w:r>
      <w:r w:rsidR="008768E9" w:rsidRPr="00A52AB8">
        <w:t> </w:t>
      </w:r>
      <w:r w:rsidR="00D25697" w:rsidRPr="00A52AB8">
        <w:t>*</w:t>
      </w:r>
      <w:r w:rsidR="008768E9" w:rsidRPr="00A52AB8">
        <w:t> </w:t>
      </w:r>
      <w:r w:rsidR="00D25697" w:rsidRPr="00A52AB8">
        <w:t>vX[ 1 ] + yW</w:t>
      </w:r>
      <w:r w:rsidR="008768E9" w:rsidRPr="00A52AB8">
        <w:t> </w:t>
      </w:r>
      <w:r w:rsidR="00D25697" w:rsidRPr="00A52AB8">
        <w:t>*</w:t>
      </w:r>
      <w:r w:rsidR="008768E9" w:rsidRPr="00A52AB8">
        <w:t> </w:t>
      </w:r>
      <w:r w:rsidR="00D25697" w:rsidRPr="00A52AB8">
        <w:t>vY[ 1 ]</w:t>
      </w:r>
      <w:r w:rsidR="008768E9" w:rsidRPr="00A52AB8">
        <w:t> </w:t>
      </w:r>
      <w:r w:rsidR="00D25697" w:rsidRPr="00A52AB8">
        <w:t>)</w:t>
      </w:r>
      <w:r w:rsidR="00DE68F1" w:rsidRPr="00A52AB8">
        <w:rPr>
          <w:position w:val="6"/>
          <w:vertAlign w:val="superscript"/>
        </w:rPr>
        <w:t>2</w:t>
      </w:r>
      <w:r w:rsidR="00C61E38" w:rsidRPr="00A52AB8">
        <w:br/>
      </w:r>
      <w:r w:rsidR="004102FE" w:rsidRPr="00A52AB8">
        <w:tab/>
      </w:r>
      <w:r w:rsidRPr="00A52AB8">
        <w:tab/>
      </w:r>
      <w:r w:rsidRPr="00A52AB8">
        <w:tab/>
      </w:r>
      <w:r w:rsidRPr="00A52AB8">
        <w:tab/>
      </w:r>
      <w:r w:rsidRPr="00A52AB8">
        <w:tab/>
      </w:r>
      <w:r w:rsidRPr="00A52AB8">
        <w:tab/>
      </w:r>
      <w:r w:rsidR="00B063CF" w:rsidRPr="00A52AB8">
        <w:t>e </w:t>
      </w:r>
      <w:r w:rsidR="00A234FD" w:rsidRPr="00A52AB8">
        <w:t>+=</w:t>
      </w:r>
      <w:r w:rsidR="00D47707" w:rsidRPr="00A52AB8">
        <w:t> </w:t>
      </w:r>
      <w:r w:rsidR="00D25697" w:rsidRPr="00A52AB8">
        <w:t>( neighbourDepth[ y</w:t>
      </w:r>
      <w:r w:rsidR="001E10FA" w:rsidRPr="00A52AB8">
        <w:t>Pos </w:t>
      </w:r>
      <w:r w:rsidR="00D25697" w:rsidRPr="00A52AB8">
        <w:t>][</w:t>
      </w:r>
      <w:r w:rsidR="001E10FA" w:rsidRPr="00A52AB8">
        <w:t> </w:t>
      </w:r>
      <w:r w:rsidR="00D25697" w:rsidRPr="00A52AB8">
        <w:t>x</w:t>
      </w:r>
      <w:r w:rsidR="001E10FA" w:rsidRPr="00A52AB8">
        <w:t>Pos </w:t>
      </w:r>
      <w:r w:rsidR="00D25697" w:rsidRPr="00A52AB8">
        <w:t>]</w:t>
      </w:r>
      <w:r w:rsidR="001E10FA" w:rsidRPr="00A52AB8">
        <w:t> </w:t>
      </w:r>
      <w:r w:rsidR="00D25697" w:rsidRPr="00A52AB8">
        <w:t>− gFrame[ y</w:t>
      </w:r>
      <w:r w:rsidR="004102FE" w:rsidRPr="00A52AB8">
        <w:t>PosG</w:t>
      </w:r>
      <w:r w:rsidR="00D25697" w:rsidRPr="00A52AB8">
        <w:t> ][ x</w:t>
      </w:r>
      <w:r w:rsidR="004102FE" w:rsidRPr="00A52AB8">
        <w:t>PosG</w:t>
      </w:r>
      <w:r w:rsidR="00D25697" w:rsidRPr="00A52AB8">
        <w:t> ] )</w:t>
      </w:r>
      <w:r w:rsidR="00DE68F1" w:rsidRPr="00A52AB8">
        <w:rPr>
          <w:position w:val="6"/>
          <w:vertAlign w:val="superscript"/>
        </w:rPr>
        <w:t>2</w:t>
      </w:r>
      <w:r w:rsidR="004102FE" w:rsidRPr="00A52AB8">
        <w:rPr>
          <w:color w:val="000000"/>
        </w:rPr>
        <w:br/>
      </w:r>
      <w:r w:rsidR="00B063CF" w:rsidRPr="00A52AB8">
        <w:rPr>
          <w:color w:val="000000"/>
        </w:rPr>
        <w:tab/>
      </w:r>
      <w:r w:rsidR="00B063CF" w:rsidRPr="00A52AB8">
        <w:rPr>
          <w:color w:val="000000"/>
        </w:rPr>
        <w:tab/>
      </w:r>
      <w:r w:rsidR="00B063CF" w:rsidRPr="00A52AB8">
        <w:rPr>
          <w:color w:val="000000"/>
        </w:rPr>
        <w:tab/>
      </w:r>
      <w:r w:rsidR="00B063CF" w:rsidRPr="00A52AB8">
        <w:rPr>
          <w:color w:val="000000"/>
        </w:rPr>
        <w:tab/>
      </w:r>
      <w:r w:rsidR="00B063CF" w:rsidRPr="00A52AB8">
        <w:rPr>
          <w:color w:val="000000"/>
        </w:rPr>
        <w:tab/>
      </w:r>
      <w:r w:rsidR="00B063CF" w:rsidRPr="00A52AB8">
        <w:rPr>
          <w:color w:val="000000"/>
        </w:rPr>
        <w:tab/>
        <w:t>sumE</w:t>
      </w:r>
      <w:r w:rsidR="00B063CF" w:rsidRPr="00A52AB8">
        <w:t> </w:t>
      </w:r>
      <w:r w:rsidR="00A234FD" w:rsidRPr="00A52AB8">
        <w:rPr>
          <w:color w:val="000000"/>
        </w:rPr>
        <w:t>+=</w:t>
      </w:r>
      <w:r w:rsidR="00D47707" w:rsidRPr="00A52AB8">
        <w:rPr>
          <w:color w:val="000000"/>
        </w:rPr>
        <w:t> </w:t>
      </w:r>
      <w:r w:rsidR="00B063CF" w:rsidRPr="00A52AB8">
        <w:rPr>
          <w:color w:val="000000"/>
        </w:rPr>
        <w:t>Sqrt(</w:t>
      </w:r>
      <w:r w:rsidR="00B063CF" w:rsidRPr="00A52AB8">
        <w:t> </w:t>
      </w:r>
      <w:r w:rsidR="00B063CF" w:rsidRPr="00A52AB8">
        <w:rPr>
          <w:color w:val="000000"/>
        </w:rPr>
        <w:t>e</w:t>
      </w:r>
      <w:r w:rsidR="00B063CF" w:rsidRPr="00A52AB8">
        <w:t> </w:t>
      </w:r>
      <w:r w:rsidR="00B063CF" w:rsidRPr="00A52AB8">
        <w:rPr>
          <w:color w:val="000000"/>
        </w:rPr>
        <w:t>)</w:t>
      </w:r>
      <w:r w:rsidR="00B063CF" w:rsidRPr="00A52AB8">
        <w:rPr>
          <w:color w:val="000000"/>
        </w:rPr>
        <w:br/>
      </w:r>
      <w:r w:rsidR="004102FE" w:rsidRPr="00A52AB8">
        <w:rPr>
          <w:color w:val="000000"/>
        </w:rPr>
        <w:tab/>
      </w:r>
      <w:r w:rsidR="004102FE" w:rsidRPr="00A52AB8">
        <w:rPr>
          <w:color w:val="000000"/>
        </w:rPr>
        <w:tab/>
      </w:r>
      <w:r w:rsidR="004102FE" w:rsidRPr="00A52AB8">
        <w:rPr>
          <w:color w:val="000000"/>
        </w:rPr>
        <w:tab/>
      </w:r>
      <w:r w:rsidR="004102FE" w:rsidRPr="00A52AB8">
        <w:rPr>
          <w:color w:val="000000"/>
        </w:rPr>
        <w:tab/>
      </w:r>
      <w:r w:rsidR="004102FE" w:rsidRPr="00A52AB8">
        <w:rPr>
          <w:color w:val="000000"/>
        </w:rPr>
        <w:tab/>
      </w:r>
      <w:r w:rsidR="004102FE" w:rsidRPr="00A52AB8">
        <w:rPr>
          <w:color w:val="000000"/>
        </w:rPr>
        <w:tab/>
        <w:t>w</w:t>
      </w:r>
      <w:r w:rsidR="001E10FA" w:rsidRPr="00A52AB8">
        <w:rPr>
          <w:color w:val="000000"/>
        </w:rPr>
        <w:t>indowCount++</w:t>
      </w:r>
      <w:r w:rsidRPr="00A52AB8">
        <w:rPr>
          <w:color w:val="000000"/>
        </w:rPr>
        <w:br/>
      </w:r>
      <w:r w:rsidRPr="00A52AB8">
        <w:rPr>
          <w:color w:val="000000"/>
        </w:rPr>
        <w:tab/>
      </w:r>
      <w:r w:rsidRPr="00A52AB8">
        <w:rPr>
          <w:color w:val="000000"/>
        </w:rPr>
        <w:tab/>
      </w:r>
      <w:r w:rsidRPr="00A52AB8">
        <w:rPr>
          <w:color w:val="000000"/>
        </w:rPr>
        <w:tab/>
      </w:r>
      <w:r w:rsidRPr="00A52AB8">
        <w:rPr>
          <w:color w:val="000000"/>
        </w:rPr>
        <w:tab/>
      </w:r>
      <w:r w:rsidRPr="00A52AB8">
        <w:rPr>
          <w:color w:val="000000"/>
        </w:rPr>
        <w:tab/>
        <w:t>}</w:t>
      </w:r>
      <w:r w:rsidR="001E10FA" w:rsidRPr="00A52AB8">
        <w:rPr>
          <w:color w:val="000000"/>
        </w:rPr>
        <w:br/>
      </w:r>
      <w:r w:rsidR="001E10FA" w:rsidRPr="00A52AB8">
        <w:rPr>
          <w:color w:val="000000"/>
        </w:rPr>
        <w:tab/>
      </w:r>
      <w:r w:rsidR="001E10FA" w:rsidRPr="00A52AB8">
        <w:rPr>
          <w:color w:val="000000"/>
        </w:rPr>
        <w:tab/>
      </w:r>
      <w:r w:rsidR="001E10FA" w:rsidRPr="00A52AB8">
        <w:rPr>
          <w:color w:val="000000"/>
        </w:rPr>
        <w:tab/>
      </w:r>
      <w:r w:rsidRPr="00A52AB8">
        <w:rPr>
          <w:color w:val="000000"/>
        </w:rPr>
        <w:tab/>
      </w:r>
      <w:r w:rsidR="001E10FA" w:rsidRPr="00A52AB8">
        <w:rPr>
          <w:color w:val="000000"/>
        </w:rPr>
        <w:t>}</w:t>
      </w:r>
      <w:r w:rsidR="001E10FA" w:rsidRPr="00A52AB8">
        <w:rPr>
          <w:color w:val="000000"/>
        </w:rPr>
        <w:br/>
      </w:r>
      <w:r w:rsidR="001E10FA" w:rsidRPr="00A52AB8">
        <w:rPr>
          <w:color w:val="000000"/>
        </w:rPr>
        <w:tab/>
      </w:r>
      <w:r w:rsidR="001E10FA" w:rsidRPr="00A52AB8">
        <w:rPr>
          <w:color w:val="000000"/>
        </w:rPr>
        <w:tab/>
      </w:r>
      <w:r w:rsidRPr="00A52AB8">
        <w:rPr>
          <w:color w:val="000000"/>
        </w:rPr>
        <w:tab/>
      </w:r>
      <w:r w:rsidR="001E10FA" w:rsidRPr="00A52AB8">
        <w:rPr>
          <w:color w:val="000000"/>
        </w:rPr>
        <w:t>}</w:t>
      </w:r>
      <w:r w:rsidRPr="00A52AB8">
        <w:rPr>
          <w:color w:val="000000"/>
        </w:rPr>
        <w:br/>
      </w:r>
      <w:r w:rsidRPr="00A52AB8">
        <w:rPr>
          <w:color w:val="000000"/>
        </w:rPr>
        <w:tab/>
      </w:r>
      <w:r w:rsidRPr="00A52AB8">
        <w:rPr>
          <w:color w:val="000000"/>
        </w:rPr>
        <w:tab/>
      </w:r>
      <w:r w:rsidR="00DE68F1" w:rsidRPr="00A52AB8">
        <w:rPr>
          <w:color w:val="000000"/>
        </w:rPr>
        <w:tab/>
      </w:r>
      <w:r w:rsidR="00D25697" w:rsidRPr="00A52AB8">
        <w:rPr>
          <w:color w:val="000000"/>
        </w:rPr>
        <w:t>oPbfFrameValue</w:t>
      </w:r>
      <w:r w:rsidR="00D47707" w:rsidRPr="00A52AB8">
        <w:rPr>
          <w:color w:val="000000"/>
        </w:rPr>
        <w:t> = </w:t>
      </w:r>
      <w:r w:rsidR="00D25697" w:rsidRPr="00A52AB8">
        <w:rPr>
          <w:color w:val="000000"/>
        </w:rPr>
        <w:t>( windowCount</w:t>
      </w:r>
      <w:r w:rsidR="008768E9" w:rsidRPr="00A52AB8">
        <w:rPr>
          <w:color w:val="000000"/>
        </w:rPr>
        <w:t> </w:t>
      </w:r>
      <w:r w:rsidR="00726AAE" w:rsidRPr="00A52AB8">
        <w:rPr>
          <w:color w:val="000000"/>
        </w:rPr>
        <w:t>==</w:t>
      </w:r>
      <w:r w:rsidR="00D47707" w:rsidRPr="00A52AB8">
        <w:rPr>
          <w:color w:val="000000"/>
        </w:rPr>
        <w:t> </w:t>
      </w:r>
      <w:r w:rsidR="00D25697" w:rsidRPr="00A52AB8">
        <w:rPr>
          <w:color w:val="000000"/>
        </w:rPr>
        <w:t>0 </w:t>
      </w:r>
      <w:r w:rsidR="00D004C2" w:rsidRPr="00A52AB8">
        <w:rPr>
          <w:color w:val="000000"/>
        </w:rPr>
        <w:t>)</w:t>
      </w:r>
      <w:r w:rsidR="008768E9" w:rsidRPr="00A52AB8">
        <w:rPr>
          <w:color w:val="000000"/>
        </w:rPr>
        <w:t> || </w:t>
      </w:r>
      <w:r w:rsidR="00D004C2" w:rsidRPr="00A52AB8">
        <w:rPr>
          <w:color w:val="000000"/>
        </w:rPr>
        <w:t>(</w:t>
      </w:r>
      <w:r w:rsidR="00D25697" w:rsidRPr="00A52AB8">
        <w:rPr>
          <w:color w:val="000000"/>
        </w:rPr>
        <w:t> sumE </w:t>
      </w:r>
      <w:r w:rsidR="00A234FD" w:rsidRPr="00A52AB8">
        <w:rPr>
          <w:color w:val="000000"/>
        </w:rPr>
        <w:t>&gt;=</w:t>
      </w:r>
      <w:r w:rsidR="00D47707" w:rsidRPr="00A52AB8">
        <w:rPr>
          <w:color w:val="000000"/>
        </w:rPr>
        <w:t> </w:t>
      </w:r>
      <w:r w:rsidR="00D25697" w:rsidRPr="00A52AB8">
        <w:rPr>
          <w:color w:val="000000"/>
        </w:rPr>
        <w:t>sumP )</w:t>
      </w:r>
    </w:p>
    <w:p w14:paraId="30496DD8" w14:textId="77777777" w:rsidR="00DF1B7B" w:rsidRPr="00A52AB8" w:rsidRDefault="00DF1B7B" w:rsidP="00DF1B7B">
      <w:pPr>
        <w:pStyle w:val="a2"/>
        <w:numPr>
          <w:ilvl w:val="1"/>
          <w:numId w:val="14"/>
        </w:numPr>
      </w:pPr>
      <w:bookmarkStart w:id="6358" w:name="_Toc37760829"/>
      <w:bookmarkStart w:id="6359" w:name="_Ref39815707"/>
      <w:bookmarkStart w:id="6360" w:name="_Ref44323705"/>
      <w:bookmarkStart w:id="6361" w:name="_Ref47953704"/>
      <w:bookmarkStart w:id="6362" w:name="_Ref47523377"/>
      <w:bookmarkStart w:id="6363" w:name="_Ref49543101"/>
      <w:bookmarkStart w:id="6364" w:name="_Ref50021523"/>
      <w:bookmarkStart w:id="6365" w:name="_Ref50231796"/>
      <w:bookmarkStart w:id="6366" w:name="_Ref50371071"/>
      <w:bookmarkStart w:id="6367" w:name="_Toc52181790"/>
      <w:r w:rsidRPr="00A52AB8">
        <w:t xml:space="preserve">Reconstruction </w:t>
      </w:r>
      <w:r w:rsidR="00DA77A1" w:rsidRPr="00A52AB8">
        <w:t>p</w:t>
      </w:r>
      <w:r w:rsidRPr="00A52AB8">
        <w:t>rocess</w:t>
      </w:r>
      <w:bookmarkEnd w:id="6358"/>
      <w:bookmarkEnd w:id="6359"/>
      <w:bookmarkEnd w:id="6360"/>
      <w:bookmarkEnd w:id="6361"/>
      <w:bookmarkEnd w:id="6362"/>
      <w:bookmarkEnd w:id="6363"/>
      <w:bookmarkEnd w:id="6364"/>
      <w:bookmarkEnd w:id="6365"/>
      <w:bookmarkEnd w:id="6366"/>
      <w:bookmarkEnd w:id="6367"/>
    </w:p>
    <w:p w14:paraId="0C07BF67" w14:textId="77777777" w:rsidR="00DF1B7B" w:rsidRPr="00A52AB8" w:rsidRDefault="00DF1B7B" w:rsidP="00DF1B7B">
      <w:pPr>
        <w:pStyle w:val="a3"/>
        <w:numPr>
          <w:ilvl w:val="2"/>
          <w:numId w:val="14"/>
        </w:numPr>
      </w:pPr>
      <w:bookmarkStart w:id="6368" w:name="_Toc37760830"/>
      <w:bookmarkStart w:id="6369" w:name="_Ref42596505"/>
      <w:bookmarkStart w:id="6370" w:name="_Ref47686382"/>
      <w:bookmarkStart w:id="6371" w:name="_Toc52181791"/>
      <w:r w:rsidRPr="00A52AB8">
        <w:t>General</w:t>
      </w:r>
      <w:bookmarkEnd w:id="6368"/>
      <w:bookmarkEnd w:id="6369"/>
      <w:bookmarkEnd w:id="6370"/>
      <w:bookmarkEnd w:id="6371"/>
    </w:p>
    <w:p w14:paraId="431548A2" w14:textId="0F515272" w:rsidR="00C50E43" w:rsidRPr="00A52AB8" w:rsidRDefault="00C50E43" w:rsidP="001002D0">
      <w:pPr>
        <w:rPr>
          <w:lang w:eastAsia="ja-JP"/>
        </w:rPr>
      </w:pPr>
      <w:r w:rsidRPr="00A52AB8">
        <w:rPr>
          <w:lang w:eastAsia="ja-JP"/>
        </w:rPr>
        <w:t xml:space="preserve">The reconstruction process depends on the profiles defined in subclause </w:t>
      </w:r>
      <w:r w:rsidRPr="00496A4D">
        <w:rPr>
          <w:lang w:eastAsia="ja-JP"/>
        </w:rPr>
        <w:fldChar w:fldCharType="begin"/>
      </w:r>
      <w:r w:rsidRPr="00A52AB8">
        <w:rPr>
          <w:lang w:eastAsia="ja-JP"/>
        </w:rPr>
        <w:instrText xml:space="preserve"> REF _Ref49330659 \n \h </w:instrText>
      </w:r>
      <w:r w:rsidR="00007BE2" w:rsidRPr="00A52AB8">
        <w:rPr>
          <w:lang w:eastAsia="ja-JP"/>
        </w:rPr>
        <w:instrText xml:space="preserve"> \* MERGEFORMAT </w:instrText>
      </w:r>
      <w:r w:rsidRPr="00496A4D">
        <w:rPr>
          <w:lang w:eastAsia="ja-JP"/>
        </w:rPr>
      </w:r>
      <w:r w:rsidRPr="00496A4D">
        <w:rPr>
          <w:lang w:eastAsia="ja-JP"/>
        </w:rPr>
        <w:fldChar w:fldCharType="separate"/>
      </w:r>
      <w:r w:rsidR="00507A67">
        <w:rPr>
          <w:lang w:eastAsia="ja-JP"/>
        </w:rPr>
        <w:t>H.15</w:t>
      </w:r>
      <w:r w:rsidRPr="00496A4D">
        <w:rPr>
          <w:lang w:eastAsia="ja-JP"/>
        </w:rPr>
        <w:fldChar w:fldCharType="end"/>
      </w:r>
      <w:r w:rsidRPr="00A52AB8">
        <w:rPr>
          <w:lang w:eastAsia="ja-JP"/>
        </w:rPr>
        <w:t>.</w:t>
      </w:r>
    </w:p>
    <w:p w14:paraId="4EB35B08" w14:textId="506D4B64" w:rsidR="00DB1F0F" w:rsidRPr="00A52AB8" w:rsidRDefault="00DB1F0F" w:rsidP="001002D0">
      <w:pPr>
        <w:rPr>
          <w:lang w:eastAsia="ja-JP"/>
        </w:rPr>
      </w:pPr>
      <w:r w:rsidRPr="00A52AB8">
        <w:rPr>
          <w:color w:val="000000" w:themeColor="text1"/>
        </w:rPr>
        <w:t>The processes described in</w:t>
      </w:r>
      <w:r w:rsidR="00CB1F1A" w:rsidRPr="00A52AB8">
        <w:rPr>
          <w:color w:val="000000" w:themeColor="text1"/>
        </w:rPr>
        <w:t xml:space="preserve"> this subclause </w:t>
      </w:r>
      <w:r w:rsidRPr="00A52AB8">
        <w:rPr>
          <w:color w:val="000000" w:themeColor="text1"/>
        </w:rPr>
        <w:t xml:space="preserve">are invoked </w:t>
      </w:r>
      <w:r w:rsidR="00313B32" w:rsidRPr="00A52AB8">
        <w:rPr>
          <w:color w:val="000000" w:themeColor="text1"/>
        </w:rPr>
        <w:t xml:space="preserve">for </w:t>
      </w:r>
      <w:r w:rsidR="00585AA9" w:rsidRPr="00A52AB8">
        <w:t>decoded atlas frames, decoded video frames, and syntax element</w:t>
      </w:r>
      <w:r w:rsidR="00313B32" w:rsidRPr="00A52AB8">
        <w:t>s</w:t>
      </w:r>
      <w:r w:rsidR="00585AA9" w:rsidRPr="00A52AB8">
        <w:t xml:space="preserve"> </w:t>
      </w:r>
      <w:r w:rsidRPr="00A52AB8">
        <w:rPr>
          <w:color w:val="000000" w:themeColor="text1"/>
        </w:rPr>
        <w:t xml:space="preserve">associated </w:t>
      </w:r>
      <w:r w:rsidRPr="00A52AB8">
        <w:t xml:space="preserve">with the same atlas ID, </w:t>
      </w:r>
      <w:r w:rsidRPr="00A52AB8">
        <w:rPr>
          <w:color w:val="000000" w:themeColor="text1"/>
        </w:rPr>
        <w:t xml:space="preserve">identified by </w:t>
      </w:r>
      <w:r w:rsidR="008A6BDB" w:rsidRPr="00A52AB8">
        <w:rPr>
          <w:color w:val="000000" w:themeColor="text1"/>
        </w:rPr>
        <w:t xml:space="preserve">a </w:t>
      </w:r>
      <w:r w:rsidRPr="00A52AB8">
        <w:rPr>
          <w:color w:val="000000" w:themeColor="text1"/>
        </w:rPr>
        <w:t xml:space="preserve">variable </w:t>
      </w:r>
      <w:r w:rsidR="008B72EB" w:rsidRPr="00A52AB8">
        <w:rPr>
          <w:color w:val="000000" w:themeColor="text1"/>
        </w:rPr>
        <w:t>Rec</w:t>
      </w:r>
      <w:r w:rsidRPr="00A52AB8">
        <w:rPr>
          <w:color w:val="000000" w:themeColor="text1"/>
        </w:rPr>
        <w:t>AtlasID.</w:t>
      </w:r>
    </w:p>
    <w:p w14:paraId="2123E802" w14:textId="212D0D8A" w:rsidR="00C50271" w:rsidRPr="00A52AB8" w:rsidRDefault="00CB1F1A" w:rsidP="004A7026">
      <w:pPr>
        <w:rPr>
          <w:color w:val="000000" w:themeColor="text1"/>
        </w:rPr>
      </w:pPr>
      <w:r w:rsidRPr="00A52AB8">
        <w:rPr>
          <w:color w:val="000000" w:themeColor="text1"/>
        </w:rPr>
        <w:t>The reconstruction process f</w:t>
      </w:r>
      <w:r w:rsidR="00925CA2" w:rsidRPr="00A52AB8">
        <w:rPr>
          <w:color w:val="000000" w:themeColor="text1"/>
        </w:rPr>
        <w:t xml:space="preserve">or the current point cloud frame with </w:t>
      </w:r>
      <w:r w:rsidR="00E2576A" w:rsidRPr="00A52AB8">
        <w:rPr>
          <w:color w:val="000000" w:themeColor="text1"/>
        </w:rPr>
        <w:t xml:space="preserve">a </w:t>
      </w:r>
      <w:r w:rsidR="00925CA2" w:rsidRPr="00A52AB8">
        <w:rPr>
          <w:color w:val="000000" w:themeColor="text1"/>
        </w:rPr>
        <w:t xml:space="preserve">composition </w:t>
      </w:r>
      <w:r w:rsidR="00E2576A" w:rsidRPr="00A52AB8">
        <w:rPr>
          <w:color w:val="000000" w:themeColor="text1"/>
        </w:rPr>
        <w:t xml:space="preserve">time </w:t>
      </w:r>
      <w:r w:rsidR="00925CA2" w:rsidRPr="00A52AB8">
        <w:rPr>
          <w:color w:val="000000" w:themeColor="text1"/>
        </w:rPr>
        <w:t xml:space="preserve">index compTimeIdx, </w:t>
      </w:r>
      <w:r w:rsidRPr="00A52AB8">
        <w:rPr>
          <w:color w:val="000000" w:themeColor="text1"/>
        </w:rPr>
        <w:t>takes as</w:t>
      </w:r>
      <w:r w:rsidR="00925CA2" w:rsidRPr="00A52AB8">
        <w:rPr>
          <w:color w:val="000000" w:themeColor="text1"/>
        </w:rPr>
        <w:t xml:space="preserve"> inputs </w:t>
      </w:r>
      <w:r w:rsidR="00C50271" w:rsidRPr="00A52AB8">
        <w:t>the syntax elements and upper-case variables from subclause</w:t>
      </w:r>
      <w:r w:rsidRPr="00A52AB8">
        <w:t>s</w:t>
      </w:r>
      <w:r w:rsidR="001E4608" w:rsidRPr="00A52AB8">
        <w:t xml:space="preserve"> </w:t>
      </w:r>
      <w:r w:rsidR="001E4608" w:rsidRPr="00496A4D">
        <w:fldChar w:fldCharType="begin"/>
      </w:r>
      <w:r w:rsidR="001E4608" w:rsidRPr="00A52AB8">
        <w:instrText xml:space="preserve"> REF _Ref45107375 \r \h </w:instrText>
      </w:r>
      <w:r w:rsidR="00CA5401" w:rsidRPr="00A52AB8">
        <w:instrText xml:space="preserve"> \* MERGEFORMAT </w:instrText>
      </w:r>
      <w:r w:rsidR="001E4608" w:rsidRPr="00496A4D">
        <w:fldChar w:fldCharType="separate"/>
      </w:r>
      <w:r w:rsidR="00507A67">
        <w:t>H.8</w:t>
      </w:r>
      <w:r w:rsidR="001E4608" w:rsidRPr="00496A4D">
        <w:fldChar w:fldCharType="end"/>
      </w:r>
      <w:r w:rsidRPr="00A52AB8">
        <w:t xml:space="preserve"> and </w:t>
      </w:r>
      <w:r w:rsidRPr="00496A4D">
        <w:fldChar w:fldCharType="begin"/>
      </w:r>
      <w:r w:rsidRPr="00A52AB8">
        <w:instrText xml:space="preserve"> REF _Ref49201538 \n \h </w:instrText>
      </w:r>
      <w:r w:rsidR="00007BE2" w:rsidRPr="00A52AB8">
        <w:instrText xml:space="preserve"> \* MERGEFORMAT </w:instrText>
      </w:r>
      <w:r w:rsidRPr="00496A4D">
        <w:fldChar w:fldCharType="separate"/>
      </w:r>
      <w:r w:rsidR="00507A67">
        <w:t>H.9</w:t>
      </w:r>
      <w:r w:rsidRPr="00496A4D">
        <w:fldChar w:fldCharType="end"/>
      </w:r>
      <w:r w:rsidR="00396B4D" w:rsidRPr="00A52AB8">
        <w:t>, and the following arrays:</w:t>
      </w:r>
    </w:p>
    <w:p w14:paraId="28BCF670" w14:textId="0C8E5DCF" w:rsidR="006D74F2" w:rsidRPr="00A52AB8" w:rsidRDefault="00BE242A" w:rsidP="00743B88">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403" w:hanging="403"/>
        <w:textAlignment w:val="baseline"/>
        <w:rPr>
          <w:color w:val="000000" w:themeColor="text1"/>
        </w:rPr>
      </w:pPr>
      <w:r w:rsidRPr="00A52AB8">
        <w:rPr>
          <w:color w:val="000000" w:themeColor="text1"/>
        </w:rPr>
        <w:t>a 5D</w:t>
      </w:r>
      <w:r w:rsidR="00F57BB4" w:rsidRPr="00A52AB8">
        <w:rPr>
          <w:color w:val="000000" w:themeColor="text1"/>
        </w:rPr>
        <w:t xml:space="preserve"> array </w:t>
      </w:r>
      <w:r w:rsidR="00073201" w:rsidRPr="00A52AB8">
        <w:rPr>
          <w:color w:val="000000" w:themeColor="text1"/>
        </w:rPr>
        <w:t>g</w:t>
      </w:r>
      <w:r w:rsidR="006D74F2" w:rsidRPr="00A52AB8">
        <w:rPr>
          <w:color w:val="000000" w:themeColor="text1"/>
        </w:rPr>
        <w:t>eoFrame</w:t>
      </w:r>
      <w:r w:rsidR="00153EEE" w:rsidRPr="00A52AB8">
        <w:rPr>
          <w:color w:val="000000" w:themeColor="text1"/>
        </w:rPr>
        <w:t>s</w:t>
      </w:r>
      <w:r w:rsidR="006D74F2" w:rsidRPr="00A52AB8">
        <w:rPr>
          <w:color w:val="000000" w:themeColor="text1"/>
        </w:rPr>
        <w:t>N</w:t>
      </w:r>
      <w:r w:rsidR="007219B7" w:rsidRPr="00A52AB8">
        <w:rPr>
          <w:color w:val="000000" w:themeColor="text1"/>
        </w:rPr>
        <w:t>F</w:t>
      </w:r>
      <w:r w:rsidR="006D74F2" w:rsidRPr="00A52AB8">
        <w:rPr>
          <w:color w:val="000000" w:themeColor="text1"/>
        </w:rPr>
        <w:t>[ mapIdx ][ </w:t>
      </w:r>
      <w:r w:rsidR="00073201" w:rsidRPr="00A52AB8">
        <w:rPr>
          <w:color w:val="000000" w:themeColor="text1"/>
        </w:rPr>
        <w:t>compTimeIdx </w:t>
      </w:r>
      <w:r w:rsidR="006D74F2" w:rsidRPr="00A52AB8">
        <w:rPr>
          <w:color w:val="000000" w:themeColor="text1"/>
        </w:rPr>
        <w:t>]</w:t>
      </w:r>
      <w:r w:rsidR="00D770D3" w:rsidRPr="00A52AB8">
        <w:rPr>
          <w:color w:val="000000" w:themeColor="text1"/>
        </w:rPr>
        <w:t>[ </w:t>
      </w:r>
      <w:r w:rsidR="00DA77A1" w:rsidRPr="00A52AB8">
        <w:rPr>
          <w:color w:val="000000" w:themeColor="text1"/>
        </w:rPr>
        <w:t>0 </w:t>
      </w:r>
      <w:r w:rsidR="00D770D3" w:rsidRPr="00A52AB8">
        <w:rPr>
          <w:color w:val="000000" w:themeColor="text1"/>
        </w:rPr>
        <w:t>]</w:t>
      </w:r>
      <w:r w:rsidR="004B7314" w:rsidRPr="00A52AB8">
        <w:rPr>
          <w:color w:val="000000" w:themeColor="text1"/>
        </w:rPr>
        <w:t>[ y ][ x </w:t>
      </w:r>
      <w:r w:rsidR="00396B4D" w:rsidRPr="00A52AB8">
        <w:rPr>
          <w:color w:val="000000" w:themeColor="text1"/>
        </w:rPr>
        <w:t xml:space="preserve">] specifying </w:t>
      </w:r>
      <w:r w:rsidR="00073201" w:rsidRPr="00A52AB8">
        <w:rPr>
          <w:color w:val="000000" w:themeColor="text1"/>
        </w:rPr>
        <w:t>the</w:t>
      </w:r>
      <w:r w:rsidR="006D74F2" w:rsidRPr="00A52AB8">
        <w:rPr>
          <w:color w:val="000000" w:themeColor="text1"/>
        </w:rPr>
        <w:t xml:space="preserve"> decoded geometry frame</w:t>
      </w:r>
      <w:r w:rsidR="00AB3274" w:rsidRPr="00A52AB8">
        <w:rPr>
          <w:color w:val="000000" w:themeColor="text1"/>
        </w:rPr>
        <w:t>s</w:t>
      </w:r>
      <w:r w:rsidR="006D74F2" w:rsidRPr="00A52AB8">
        <w:rPr>
          <w:color w:val="000000" w:themeColor="text1"/>
        </w:rPr>
        <w:t xml:space="preserve"> </w:t>
      </w:r>
      <w:r w:rsidR="00E15B63" w:rsidRPr="00A52AB8">
        <w:rPr>
          <w:color w:val="000000" w:themeColor="text1"/>
        </w:rPr>
        <w:t>in</w:t>
      </w:r>
      <w:r w:rsidR="006D74F2" w:rsidRPr="00A52AB8">
        <w:rPr>
          <w:color w:val="000000" w:themeColor="text1"/>
        </w:rPr>
        <w:t xml:space="preserve"> </w:t>
      </w:r>
      <w:r w:rsidR="0065222A" w:rsidRPr="00A52AB8">
        <w:rPr>
          <w:color w:val="000000" w:themeColor="text1"/>
        </w:rPr>
        <w:t xml:space="preserve">the </w:t>
      </w:r>
      <w:r w:rsidR="006D74F2" w:rsidRPr="00A52AB8">
        <w:rPr>
          <w:color w:val="000000" w:themeColor="text1"/>
        </w:rPr>
        <w:t xml:space="preserve">nominal </w:t>
      </w:r>
      <w:r w:rsidR="00E15B63" w:rsidRPr="00A52AB8">
        <w:rPr>
          <w:color w:val="000000" w:themeColor="text1"/>
        </w:rPr>
        <w:t>format</w:t>
      </w:r>
      <w:r w:rsidR="006D74F2" w:rsidRPr="00A52AB8">
        <w:rPr>
          <w:color w:val="000000" w:themeColor="text1"/>
        </w:rPr>
        <w:t xml:space="preserve">, </w:t>
      </w:r>
      <w:r w:rsidR="00073201" w:rsidRPr="00A52AB8">
        <w:rPr>
          <w:color w:val="000000" w:themeColor="text1"/>
        </w:rPr>
        <w:t xml:space="preserve">where mapIdx is in the range of 0 to asps_map_count_minus1, inclusive, </w:t>
      </w:r>
      <w:r w:rsidR="00D456C1" w:rsidRPr="00A52AB8">
        <w:rPr>
          <w:color w:val="000000" w:themeColor="text1"/>
        </w:rPr>
        <w:t xml:space="preserve">y is in the range of 0 to </w:t>
      </w:r>
      <w:r w:rsidR="00263433" w:rsidRPr="00A52AB8">
        <w:rPr>
          <w:color w:val="000000" w:themeColor="text1"/>
        </w:rPr>
        <w:t>asps_frame_height </w:t>
      </w:r>
      <w:r w:rsidR="00D456C1" w:rsidRPr="00A52AB8">
        <w:rPr>
          <w:color w:val="000000" w:themeColor="text1"/>
        </w:rPr>
        <w:t xml:space="preserve">– 1, inclusive, and x is in the range of 0 </w:t>
      </w:r>
      <w:r w:rsidR="00154020" w:rsidRPr="00A52AB8">
        <w:rPr>
          <w:color w:val="000000" w:themeColor="text1"/>
        </w:rPr>
        <w:t xml:space="preserve">to </w:t>
      </w:r>
      <w:r w:rsidR="00263433" w:rsidRPr="00A52AB8">
        <w:rPr>
          <w:color w:val="000000" w:themeColor="text1"/>
        </w:rPr>
        <w:t>asps_frame_</w:t>
      </w:r>
      <w:r w:rsidR="00A235BD" w:rsidRPr="00A52AB8">
        <w:rPr>
          <w:color w:val="000000" w:themeColor="text1"/>
        </w:rPr>
        <w:t>width </w:t>
      </w:r>
      <w:r w:rsidR="00D456C1" w:rsidRPr="00A52AB8">
        <w:rPr>
          <w:color w:val="000000" w:themeColor="text1"/>
        </w:rPr>
        <w:t>– 1, inclusive</w:t>
      </w:r>
      <w:r w:rsidR="005A79E5" w:rsidRPr="00A52AB8">
        <w:rPr>
          <w:color w:val="000000" w:themeColor="text1"/>
        </w:rPr>
        <w:t>,</w:t>
      </w:r>
    </w:p>
    <w:p w14:paraId="4B5F0A95" w14:textId="77777777" w:rsidR="0050235C" w:rsidRPr="00A52AB8" w:rsidRDefault="00F57BB4">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403" w:hanging="403"/>
        <w:textAlignment w:val="baseline"/>
        <w:rPr>
          <w:color w:val="000000" w:themeColor="text1"/>
        </w:rPr>
      </w:pPr>
      <w:r w:rsidRPr="00A52AB8">
        <w:rPr>
          <w:color w:val="000000" w:themeColor="text1"/>
        </w:rPr>
        <w:t>a</w:t>
      </w:r>
      <w:r w:rsidR="00BE242A" w:rsidRPr="00A52AB8">
        <w:rPr>
          <w:color w:val="000000" w:themeColor="text1"/>
        </w:rPr>
        <w:t xml:space="preserve"> 4D</w:t>
      </w:r>
      <w:r w:rsidRPr="00A52AB8">
        <w:rPr>
          <w:color w:val="000000" w:themeColor="text1"/>
        </w:rPr>
        <w:t xml:space="preserve"> array </w:t>
      </w:r>
      <w:r w:rsidR="005A79E5" w:rsidRPr="00A52AB8">
        <w:rPr>
          <w:color w:val="000000" w:themeColor="text1"/>
        </w:rPr>
        <w:t>o</w:t>
      </w:r>
      <w:r w:rsidR="006D74F2" w:rsidRPr="00A52AB8">
        <w:rPr>
          <w:color w:val="000000" w:themeColor="text1"/>
        </w:rPr>
        <w:t>ccFrame</w:t>
      </w:r>
      <w:r w:rsidR="00153EEE" w:rsidRPr="00A52AB8">
        <w:rPr>
          <w:color w:val="000000" w:themeColor="text1"/>
        </w:rPr>
        <w:t>s</w:t>
      </w:r>
      <w:r w:rsidR="006D74F2" w:rsidRPr="00A52AB8">
        <w:rPr>
          <w:color w:val="000000" w:themeColor="text1"/>
        </w:rPr>
        <w:t>N</w:t>
      </w:r>
      <w:r w:rsidR="00225BF0" w:rsidRPr="00A52AB8">
        <w:rPr>
          <w:color w:val="000000" w:themeColor="text1"/>
        </w:rPr>
        <w:t>F</w:t>
      </w:r>
      <w:r w:rsidR="006D74F2" w:rsidRPr="00A52AB8">
        <w:rPr>
          <w:color w:val="000000" w:themeColor="text1"/>
        </w:rPr>
        <w:t>[ </w:t>
      </w:r>
      <w:r w:rsidR="00E15B63" w:rsidRPr="00A52AB8">
        <w:rPr>
          <w:color w:val="000000" w:themeColor="text1"/>
        </w:rPr>
        <w:t>compTimeIdx </w:t>
      </w:r>
      <w:r w:rsidR="006D74F2" w:rsidRPr="00A52AB8">
        <w:rPr>
          <w:color w:val="000000" w:themeColor="text1"/>
        </w:rPr>
        <w:t>]</w:t>
      </w:r>
      <w:r w:rsidR="00D770D3" w:rsidRPr="00A52AB8">
        <w:rPr>
          <w:color w:val="000000" w:themeColor="text1"/>
        </w:rPr>
        <w:t>[ </w:t>
      </w:r>
      <w:r w:rsidR="008D76ED" w:rsidRPr="00A52AB8">
        <w:rPr>
          <w:color w:val="000000" w:themeColor="text1"/>
        </w:rPr>
        <w:t>0 </w:t>
      </w:r>
      <w:r w:rsidR="00D770D3" w:rsidRPr="00A52AB8">
        <w:rPr>
          <w:color w:val="000000" w:themeColor="text1"/>
        </w:rPr>
        <w:t>]</w:t>
      </w:r>
      <w:r w:rsidR="004B7314" w:rsidRPr="00A52AB8">
        <w:rPr>
          <w:color w:val="000000" w:themeColor="text1"/>
        </w:rPr>
        <w:t>[ y ][ x </w:t>
      </w:r>
      <w:r w:rsidR="00396B4D" w:rsidRPr="00A52AB8">
        <w:rPr>
          <w:color w:val="000000" w:themeColor="text1"/>
        </w:rPr>
        <w:t xml:space="preserve">] specifying </w:t>
      </w:r>
      <w:r w:rsidR="006D74F2" w:rsidRPr="00A52AB8">
        <w:rPr>
          <w:color w:val="000000" w:themeColor="text1"/>
        </w:rPr>
        <w:t xml:space="preserve">the decoded </w:t>
      </w:r>
      <w:r w:rsidR="0003372C" w:rsidRPr="00A52AB8">
        <w:rPr>
          <w:color w:val="000000" w:themeColor="text1"/>
        </w:rPr>
        <w:t>occupancy</w:t>
      </w:r>
      <w:r w:rsidR="006D74F2" w:rsidRPr="00A52AB8">
        <w:rPr>
          <w:color w:val="000000" w:themeColor="text1"/>
        </w:rPr>
        <w:t xml:space="preserve"> frame</w:t>
      </w:r>
      <w:r w:rsidR="00AB3274" w:rsidRPr="00A52AB8">
        <w:rPr>
          <w:color w:val="000000" w:themeColor="text1"/>
        </w:rPr>
        <w:t>s</w:t>
      </w:r>
      <w:r w:rsidR="006D74F2" w:rsidRPr="00A52AB8">
        <w:rPr>
          <w:color w:val="000000" w:themeColor="text1"/>
        </w:rPr>
        <w:t xml:space="preserve"> </w:t>
      </w:r>
      <w:r w:rsidR="00E15B63" w:rsidRPr="00A52AB8">
        <w:rPr>
          <w:color w:val="000000" w:themeColor="text1"/>
        </w:rPr>
        <w:t>in</w:t>
      </w:r>
      <w:r w:rsidR="006D74F2" w:rsidRPr="00A52AB8">
        <w:rPr>
          <w:color w:val="000000" w:themeColor="text1"/>
        </w:rPr>
        <w:t xml:space="preserve"> </w:t>
      </w:r>
      <w:r w:rsidR="0065222A" w:rsidRPr="00A52AB8">
        <w:rPr>
          <w:color w:val="000000" w:themeColor="text1"/>
        </w:rPr>
        <w:t xml:space="preserve">the </w:t>
      </w:r>
      <w:r w:rsidR="006D74F2" w:rsidRPr="00A52AB8">
        <w:rPr>
          <w:color w:val="000000" w:themeColor="text1"/>
        </w:rPr>
        <w:t xml:space="preserve">nominal </w:t>
      </w:r>
      <w:r w:rsidR="00E15B63" w:rsidRPr="00A52AB8">
        <w:rPr>
          <w:color w:val="000000" w:themeColor="text1"/>
        </w:rPr>
        <w:t>format</w:t>
      </w:r>
      <w:r w:rsidR="00E74304" w:rsidRPr="00A52AB8">
        <w:rPr>
          <w:color w:val="000000" w:themeColor="text1"/>
        </w:rPr>
        <w:t xml:space="preserve">, </w:t>
      </w:r>
      <w:r w:rsidR="00EF76C3" w:rsidRPr="00A52AB8">
        <w:rPr>
          <w:color w:val="000000" w:themeColor="text1"/>
        </w:rPr>
        <w:t xml:space="preserve">where y is in the range of 0 to </w:t>
      </w:r>
      <w:r w:rsidR="007658DB" w:rsidRPr="00A52AB8">
        <w:rPr>
          <w:color w:val="000000" w:themeColor="text1"/>
        </w:rPr>
        <w:t>asps_frame_height</w:t>
      </w:r>
      <w:r w:rsidR="008A1A61" w:rsidRPr="00A52AB8">
        <w:rPr>
          <w:color w:val="000000" w:themeColor="text1"/>
        </w:rPr>
        <w:t> </w:t>
      </w:r>
      <w:r w:rsidR="00EF76C3" w:rsidRPr="00A52AB8">
        <w:rPr>
          <w:color w:val="000000" w:themeColor="text1"/>
        </w:rPr>
        <w:t xml:space="preserve">– 1, inclusive, and x is in the range of 0 </w:t>
      </w:r>
      <w:r w:rsidR="00154020" w:rsidRPr="00A52AB8">
        <w:rPr>
          <w:color w:val="000000" w:themeColor="text1"/>
        </w:rPr>
        <w:t xml:space="preserve">to </w:t>
      </w:r>
      <w:r w:rsidR="007658DB" w:rsidRPr="00A52AB8">
        <w:rPr>
          <w:color w:val="000000" w:themeColor="text1"/>
        </w:rPr>
        <w:t>asps_frame_</w:t>
      </w:r>
      <w:r w:rsidR="00A235BD" w:rsidRPr="00A52AB8">
        <w:rPr>
          <w:color w:val="000000" w:themeColor="text1"/>
        </w:rPr>
        <w:t>width </w:t>
      </w:r>
      <w:r w:rsidR="00EF76C3" w:rsidRPr="00A52AB8">
        <w:rPr>
          <w:color w:val="000000" w:themeColor="text1"/>
        </w:rPr>
        <w:t>– 1, inclusive</w:t>
      </w:r>
      <w:r w:rsidR="00A235BD" w:rsidRPr="00A52AB8">
        <w:rPr>
          <w:color w:val="000000" w:themeColor="text1"/>
        </w:rPr>
        <w:t>,</w:t>
      </w:r>
    </w:p>
    <w:p w14:paraId="61B5B1AF" w14:textId="02993A52" w:rsidR="004871AE" w:rsidRPr="00A52AB8" w:rsidRDefault="00F255BC" w:rsidP="00743B88">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403" w:hanging="403"/>
        <w:textAlignment w:val="baseline"/>
        <w:rPr>
          <w:color w:val="000000" w:themeColor="text1"/>
        </w:rPr>
      </w:pPr>
      <w:r w:rsidRPr="00A52AB8">
        <w:rPr>
          <w:color w:val="000000" w:themeColor="text1"/>
        </w:rPr>
        <w:t>when ai_attribute_count[ </w:t>
      </w:r>
      <w:r w:rsidR="008B3934" w:rsidRPr="00A52AB8">
        <w:rPr>
          <w:color w:val="000000" w:themeColor="text1"/>
        </w:rPr>
        <w:t>RecAtlasID</w:t>
      </w:r>
      <w:r w:rsidRPr="00A52AB8">
        <w:rPr>
          <w:color w:val="000000" w:themeColor="text1"/>
        </w:rPr>
        <w:t> ] is gr</w:t>
      </w:r>
      <w:r w:rsidR="005B7A56" w:rsidRPr="00A52AB8">
        <w:rPr>
          <w:color w:val="000000" w:themeColor="text1"/>
        </w:rPr>
        <w:t>e</w:t>
      </w:r>
      <w:r w:rsidRPr="00A52AB8">
        <w:rPr>
          <w:color w:val="000000" w:themeColor="text1"/>
        </w:rPr>
        <w:t xml:space="preserve">ater than 0, </w:t>
      </w:r>
      <w:r w:rsidR="00BE242A" w:rsidRPr="00A52AB8">
        <w:rPr>
          <w:color w:val="000000" w:themeColor="text1"/>
        </w:rPr>
        <w:t xml:space="preserve">a 6D </w:t>
      </w:r>
      <w:r w:rsidR="004871AE" w:rsidRPr="00A52AB8">
        <w:rPr>
          <w:color w:val="000000" w:themeColor="text1"/>
        </w:rPr>
        <w:t>array attrFrame</w:t>
      </w:r>
      <w:r w:rsidR="00153EEE" w:rsidRPr="00A52AB8">
        <w:rPr>
          <w:color w:val="000000" w:themeColor="text1"/>
        </w:rPr>
        <w:t>s</w:t>
      </w:r>
      <w:r w:rsidR="00734798" w:rsidRPr="00A52AB8">
        <w:rPr>
          <w:color w:val="000000" w:themeColor="text1"/>
        </w:rPr>
        <w:t>NF</w:t>
      </w:r>
      <w:r w:rsidR="004871AE" w:rsidRPr="00A52AB8">
        <w:rPr>
          <w:color w:val="000000" w:themeColor="text1"/>
        </w:rPr>
        <w:t>[ attrIdx ][ mapIdx ][ compTimeIdx ][ compIdx ]</w:t>
      </w:r>
      <w:r w:rsidR="004B7314" w:rsidRPr="00A52AB8">
        <w:rPr>
          <w:color w:val="000000" w:themeColor="text1"/>
        </w:rPr>
        <w:t>[ y ][ x </w:t>
      </w:r>
      <w:r w:rsidR="00396B4D" w:rsidRPr="00A52AB8">
        <w:rPr>
          <w:color w:val="000000" w:themeColor="text1"/>
        </w:rPr>
        <w:t xml:space="preserve">] specifying </w:t>
      </w:r>
      <w:r w:rsidR="004871AE" w:rsidRPr="00A52AB8">
        <w:rPr>
          <w:color w:val="000000" w:themeColor="text1"/>
        </w:rPr>
        <w:t xml:space="preserve">the decoded attribute frames in </w:t>
      </w:r>
      <w:r w:rsidR="0065222A" w:rsidRPr="00A52AB8">
        <w:rPr>
          <w:color w:val="000000" w:themeColor="text1"/>
        </w:rPr>
        <w:t xml:space="preserve">the </w:t>
      </w:r>
      <w:r w:rsidR="004871AE" w:rsidRPr="00A52AB8">
        <w:rPr>
          <w:color w:val="000000" w:themeColor="text1"/>
        </w:rPr>
        <w:t xml:space="preserve">nominal format, where attrIdx is in the range of </w:t>
      </w:r>
      <w:r w:rsidR="00295E07" w:rsidRPr="00A52AB8">
        <w:rPr>
          <w:color w:val="000000" w:themeColor="text1"/>
        </w:rPr>
        <w:t xml:space="preserve">0 to </w:t>
      </w:r>
      <w:r w:rsidR="004871AE" w:rsidRPr="00A52AB8">
        <w:rPr>
          <w:color w:val="000000" w:themeColor="text1"/>
        </w:rPr>
        <w:t>ai_attribute_count[ </w:t>
      </w:r>
      <w:r w:rsidR="008B3934" w:rsidRPr="00A52AB8">
        <w:rPr>
          <w:color w:val="000000" w:themeColor="text1"/>
        </w:rPr>
        <w:t>RecAtlasID</w:t>
      </w:r>
      <w:r w:rsidR="004871AE" w:rsidRPr="00A52AB8">
        <w:rPr>
          <w:color w:val="000000" w:themeColor="text1"/>
        </w:rPr>
        <w:t xml:space="preserve"> ] − 1, inclusive, mapIdx is in the range of 0 to asps_map_count_minus1, inclusive, </w:t>
      </w:r>
      <w:r w:rsidR="00295E07" w:rsidRPr="00A52AB8">
        <w:rPr>
          <w:color w:val="000000" w:themeColor="text1"/>
        </w:rPr>
        <w:t xml:space="preserve">compIdx </w:t>
      </w:r>
      <w:r w:rsidR="004871AE" w:rsidRPr="00A52AB8">
        <w:rPr>
          <w:color w:val="000000" w:themeColor="text1"/>
        </w:rPr>
        <w:t>is in the range of 0 to ai_attribute_dimension_minus1[ </w:t>
      </w:r>
      <w:r w:rsidR="008B3934" w:rsidRPr="00A52AB8">
        <w:rPr>
          <w:color w:val="000000" w:themeColor="text1"/>
        </w:rPr>
        <w:t>RecAtlasID</w:t>
      </w:r>
      <w:r w:rsidR="004871AE" w:rsidRPr="00A52AB8">
        <w:rPr>
          <w:color w:val="000000" w:themeColor="text1"/>
        </w:rPr>
        <w:t xml:space="preserve"> ][ attrIdx ], inclusive, y is in the range of 0 to </w:t>
      </w:r>
      <w:r w:rsidR="00E22E36" w:rsidRPr="00A52AB8">
        <w:rPr>
          <w:color w:val="000000" w:themeColor="text1"/>
        </w:rPr>
        <w:t>asps_frame_</w:t>
      </w:r>
      <w:r w:rsidR="00295E07" w:rsidRPr="00A52AB8">
        <w:rPr>
          <w:color w:val="000000" w:themeColor="text1"/>
        </w:rPr>
        <w:t>height </w:t>
      </w:r>
      <w:r w:rsidR="004871AE" w:rsidRPr="00A52AB8">
        <w:rPr>
          <w:color w:val="000000" w:themeColor="text1"/>
        </w:rPr>
        <w:t xml:space="preserve">– 1, inclusive, and x is in the range of 0 </w:t>
      </w:r>
      <w:r w:rsidR="00295E07" w:rsidRPr="00A52AB8">
        <w:rPr>
          <w:color w:val="000000" w:themeColor="text1"/>
        </w:rPr>
        <w:t xml:space="preserve">to </w:t>
      </w:r>
      <w:r w:rsidR="009C7266" w:rsidRPr="00A52AB8">
        <w:rPr>
          <w:color w:val="000000" w:themeColor="text1"/>
        </w:rPr>
        <w:t>asps_frame_</w:t>
      </w:r>
      <w:r w:rsidR="00A235BD" w:rsidRPr="00A52AB8">
        <w:rPr>
          <w:color w:val="000000" w:themeColor="text1"/>
        </w:rPr>
        <w:t>width </w:t>
      </w:r>
      <w:r w:rsidR="004871AE" w:rsidRPr="00A52AB8">
        <w:rPr>
          <w:color w:val="000000" w:themeColor="text1"/>
        </w:rPr>
        <w:t>– 1, inclusive</w:t>
      </w:r>
      <w:r w:rsidR="00A235BD" w:rsidRPr="00A52AB8">
        <w:rPr>
          <w:color w:val="000000" w:themeColor="text1"/>
        </w:rPr>
        <w:t>.</w:t>
      </w:r>
    </w:p>
    <w:p w14:paraId="3180BCA5" w14:textId="791027D4" w:rsidR="00AB3274" w:rsidRPr="00A52AB8" w:rsidRDefault="00DA77A1" w:rsidP="00743B88">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403" w:hanging="403"/>
        <w:textAlignment w:val="baseline"/>
        <w:rPr>
          <w:color w:val="000000" w:themeColor="text1"/>
        </w:rPr>
      </w:pPr>
      <w:r w:rsidRPr="00A52AB8">
        <w:rPr>
          <w:color w:val="000000" w:themeColor="text1"/>
        </w:rPr>
        <w:t>when</w:t>
      </w:r>
      <w:r w:rsidR="00396B4D" w:rsidRPr="00A52AB8">
        <w:rPr>
          <w:color w:val="000000" w:themeColor="text1"/>
        </w:rPr>
        <w:t xml:space="preserve"> ( asps_auxiliary_video_enabled_flag</w:t>
      </w:r>
      <w:r w:rsidR="008768E9" w:rsidRPr="00A52AB8">
        <w:rPr>
          <w:color w:val="000000" w:themeColor="text1"/>
        </w:rPr>
        <w:t> &amp;&amp; </w:t>
      </w:r>
      <w:r w:rsidRPr="00A52AB8">
        <w:rPr>
          <w:color w:val="000000" w:themeColor="text1"/>
        </w:rPr>
        <w:t>asps_raw_patch_enabled_flag</w:t>
      </w:r>
      <w:r w:rsidR="00396B4D" w:rsidRPr="00A52AB8">
        <w:rPr>
          <w:color w:val="000000" w:themeColor="text1"/>
        </w:rPr>
        <w:t> )</w:t>
      </w:r>
      <w:r w:rsidRPr="00A52AB8">
        <w:rPr>
          <w:color w:val="000000" w:themeColor="text1"/>
        </w:rPr>
        <w:t xml:space="preserve">, </w:t>
      </w:r>
      <w:r w:rsidR="00F57BB4" w:rsidRPr="00A52AB8">
        <w:rPr>
          <w:color w:val="000000" w:themeColor="text1"/>
        </w:rPr>
        <w:t>a</w:t>
      </w:r>
      <w:r w:rsidR="00BE242A" w:rsidRPr="00A52AB8">
        <w:rPr>
          <w:color w:val="000000" w:themeColor="text1"/>
        </w:rPr>
        <w:t xml:space="preserve"> 4D</w:t>
      </w:r>
      <w:r w:rsidR="00F57BB4" w:rsidRPr="00A52AB8">
        <w:rPr>
          <w:color w:val="000000" w:themeColor="text1"/>
        </w:rPr>
        <w:t xml:space="preserve"> array </w:t>
      </w:r>
      <w:r w:rsidR="00AB3274" w:rsidRPr="00A52AB8">
        <w:rPr>
          <w:color w:val="000000" w:themeColor="text1"/>
        </w:rPr>
        <w:t>geoAuxFrame</w:t>
      </w:r>
      <w:r w:rsidR="00153EEE" w:rsidRPr="00A52AB8">
        <w:rPr>
          <w:color w:val="000000" w:themeColor="text1"/>
        </w:rPr>
        <w:t>s</w:t>
      </w:r>
      <w:r w:rsidR="00AB3274" w:rsidRPr="00A52AB8">
        <w:rPr>
          <w:color w:val="000000" w:themeColor="text1"/>
        </w:rPr>
        <w:t>N</w:t>
      </w:r>
      <w:r w:rsidR="00B050C9" w:rsidRPr="00A52AB8">
        <w:rPr>
          <w:color w:val="000000" w:themeColor="text1"/>
        </w:rPr>
        <w:t>F</w:t>
      </w:r>
      <w:r w:rsidR="00AB3274" w:rsidRPr="00A52AB8">
        <w:rPr>
          <w:color w:val="000000" w:themeColor="text1"/>
        </w:rPr>
        <w:t>[ compTimeIdx ][ </w:t>
      </w:r>
      <w:r w:rsidRPr="00A52AB8">
        <w:rPr>
          <w:color w:val="000000" w:themeColor="text1"/>
        </w:rPr>
        <w:t>0 </w:t>
      </w:r>
      <w:r w:rsidR="00AB3274" w:rsidRPr="00A52AB8">
        <w:rPr>
          <w:color w:val="000000" w:themeColor="text1"/>
        </w:rPr>
        <w:t>]</w:t>
      </w:r>
      <w:r w:rsidR="004B7314" w:rsidRPr="00A52AB8">
        <w:rPr>
          <w:color w:val="000000" w:themeColor="text1"/>
        </w:rPr>
        <w:t>[ y ][ x ]</w:t>
      </w:r>
      <w:r w:rsidR="00396B4D" w:rsidRPr="00A52AB8">
        <w:rPr>
          <w:color w:val="000000" w:themeColor="text1"/>
        </w:rPr>
        <w:t xml:space="preserve"> specifying</w:t>
      </w:r>
      <w:r w:rsidR="00AB3274" w:rsidRPr="00A52AB8">
        <w:rPr>
          <w:color w:val="000000" w:themeColor="text1"/>
        </w:rPr>
        <w:t xml:space="preserve"> decoded geometry auxiliary frames in </w:t>
      </w:r>
      <w:r w:rsidR="0065222A" w:rsidRPr="00A52AB8">
        <w:rPr>
          <w:color w:val="000000" w:themeColor="text1"/>
        </w:rPr>
        <w:t xml:space="preserve">the </w:t>
      </w:r>
      <w:r w:rsidR="00AB3274" w:rsidRPr="00A52AB8">
        <w:rPr>
          <w:color w:val="000000" w:themeColor="text1"/>
        </w:rPr>
        <w:t xml:space="preserve">nominal format, where y is in the range of 0 to </w:t>
      </w:r>
      <w:r w:rsidR="007D654F" w:rsidRPr="00A52AB8">
        <w:rPr>
          <w:color w:val="000000" w:themeColor="text1"/>
        </w:rPr>
        <w:t>AuxVideoHeight</w:t>
      </w:r>
      <w:r w:rsidR="00734798" w:rsidRPr="00A52AB8">
        <w:rPr>
          <w:color w:val="000000" w:themeColor="text1"/>
        </w:rPr>
        <w:t>NF</w:t>
      </w:r>
      <w:r w:rsidR="00295E07" w:rsidRPr="00A52AB8">
        <w:rPr>
          <w:color w:val="000000" w:themeColor="text1"/>
        </w:rPr>
        <w:t> </w:t>
      </w:r>
      <w:r w:rsidR="00AB3274" w:rsidRPr="00A52AB8">
        <w:rPr>
          <w:color w:val="000000" w:themeColor="text1"/>
        </w:rPr>
        <w:t>– 1, inclusive, and x is in the range of 0 to </w:t>
      </w:r>
      <w:r w:rsidR="007D654F" w:rsidRPr="00A52AB8">
        <w:rPr>
          <w:color w:val="000000" w:themeColor="text1"/>
        </w:rPr>
        <w:t>AuxVideoWidth</w:t>
      </w:r>
      <w:r w:rsidR="00734798" w:rsidRPr="00A52AB8">
        <w:rPr>
          <w:color w:val="000000" w:themeColor="text1"/>
        </w:rPr>
        <w:t>NF</w:t>
      </w:r>
      <w:r w:rsidR="00AB3274" w:rsidRPr="00A52AB8">
        <w:rPr>
          <w:color w:val="000000" w:themeColor="text1"/>
        </w:rPr>
        <w:t> – 1, inclusive,</w:t>
      </w:r>
      <w:r w:rsidR="00E1655F" w:rsidRPr="00A52AB8">
        <w:rPr>
          <w:color w:val="000000" w:themeColor="text1"/>
        </w:rPr>
        <w:t xml:space="preserve"> and</w:t>
      </w:r>
    </w:p>
    <w:p w14:paraId="32D1CA34" w14:textId="285DBF4E" w:rsidR="00AB3274" w:rsidRPr="00A52AB8" w:rsidRDefault="00CB5AE2" w:rsidP="00743B88">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403" w:hanging="403"/>
        <w:textAlignment w:val="baseline"/>
        <w:rPr>
          <w:color w:val="000000" w:themeColor="text1"/>
        </w:rPr>
      </w:pPr>
      <w:r w:rsidRPr="00A52AB8">
        <w:rPr>
          <w:color w:val="000000" w:themeColor="text1"/>
        </w:rPr>
        <w:t xml:space="preserve">when </w:t>
      </w:r>
      <w:r w:rsidR="00396B4D" w:rsidRPr="00A52AB8">
        <w:rPr>
          <w:color w:val="000000" w:themeColor="text1"/>
        </w:rPr>
        <w:t>( asps_auxiliary_video_enabled_flag</w:t>
      </w:r>
      <w:r w:rsidR="008768E9" w:rsidRPr="00A52AB8">
        <w:rPr>
          <w:color w:val="000000" w:themeColor="text1"/>
        </w:rPr>
        <w:t> &amp;&amp; </w:t>
      </w:r>
      <w:r w:rsidR="00396B4D" w:rsidRPr="00A52AB8">
        <w:rPr>
          <w:color w:val="000000" w:themeColor="text1"/>
        </w:rPr>
        <w:t>( </w:t>
      </w:r>
      <w:r w:rsidRPr="00A52AB8">
        <w:rPr>
          <w:color w:val="000000" w:themeColor="text1"/>
        </w:rPr>
        <w:t>ai_attribute_count[ </w:t>
      </w:r>
      <w:r w:rsidR="0030179A" w:rsidRPr="00A52AB8">
        <w:rPr>
          <w:color w:val="000000" w:themeColor="text1"/>
        </w:rPr>
        <w:t>RecAtlasID</w:t>
      </w:r>
      <w:r w:rsidRPr="00A52AB8">
        <w:rPr>
          <w:color w:val="000000" w:themeColor="text1"/>
        </w:rPr>
        <w:t> </w:t>
      </w:r>
      <w:r w:rsidR="00396B4D" w:rsidRPr="00A52AB8">
        <w:rPr>
          <w:color w:val="000000" w:themeColor="text1"/>
        </w:rPr>
        <w:t>] &gt; </w:t>
      </w:r>
      <w:r w:rsidRPr="00A52AB8">
        <w:rPr>
          <w:color w:val="000000" w:themeColor="text1"/>
        </w:rPr>
        <w:t>0</w:t>
      </w:r>
      <w:r w:rsidR="00396B4D" w:rsidRPr="00A52AB8">
        <w:rPr>
          <w:color w:val="000000" w:themeColor="text1"/>
        </w:rPr>
        <w:t> ) )</w:t>
      </w:r>
      <w:r w:rsidRPr="00A52AB8">
        <w:rPr>
          <w:color w:val="000000" w:themeColor="text1"/>
        </w:rPr>
        <w:t xml:space="preserve">, </w:t>
      </w:r>
      <w:r w:rsidR="00F57BB4" w:rsidRPr="00A52AB8">
        <w:rPr>
          <w:color w:val="000000" w:themeColor="text1"/>
        </w:rPr>
        <w:t>a</w:t>
      </w:r>
      <w:r w:rsidR="00BE242A" w:rsidRPr="00A52AB8">
        <w:rPr>
          <w:color w:val="000000" w:themeColor="text1"/>
        </w:rPr>
        <w:t xml:space="preserve"> 5D</w:t>
      </w:r>
      <w:r w:rsidR="00F57BB4" w:rsidRPr="00A52AB8">
        <w:rPr>
          <w:color w:val="000000" w:themeColor="text1"/>
        </w:rPr>
        <w:t xml:space="preserve"> array </w:t>
      </w:r>
      <w:r w:rsidR="00AB3274" w:rsidRPr="00A52AB8">
        <w:rPr>
          <w:color w:val="000000" w:themeColor="text1"/>
        </w:rPr>
        <w:t>attrAuxFrame</w:t>
      </w:r>
      <w:r w:rsidR="00153EEE" w:rsidRPr="00A52AB8">
        <w:rPr>
          <w:color w:val="000000" w:themeColor="text1"/>
        </w:rPr>
        <w:t>s</w:t>
      </w:r>
      <w:r w:rsidR="00734798" w:rsidRPr="00A52AB8">
        <w:rPr>
          <w:color w:val="000000" w:themeColor="text1"/>
        </w:rPr>
        <w:t>NF</w:t>
      </w:r>
      <w:r w:rsidR="00AB3274" w:rsidRPr="00A52AB8">
        <w:rPr>
          <w:color w:val="000000" w:themeColor="text1"/>
        </w:rPr>
        <w:t>[ attrIdx ][ compTimeIdx ][ compIdx ]</w:t>
      </w:r>
      <w:r w:rsidR="004B7314" w:rsidRPr="00A52AB8">
        <w:rPr>
          <w:color w:val="000000" w:themeColor="text1"/>
        </w:rPr>
        <w:t>[ y ][ x ]</w:t>
      </w:r>
      <w:r w:rsidR="00396B4D" w:rsidRPr="00A52AB8">
        <w:rPr>
          <w:color w:val="000000" w:themeColor="text1"/>
        </w:rPr>
        <w:t xml:space="preserve"> specifying</w:t>
      </w:r>
      <w:r w:rsidR="00AB3274" w:rsidRPr="00A52AB8">
        <w:rPr>
          <w:color w:val="000000" w:themeColor="text1"/>
        </w:rPr>
        <w:t xml:space="preserve"> the decoded attribute auxiliary frames in </w:t>
      </w:r>
      <w:r w:rsidR="0065222A" w:rsidRPr="00A52AB8">
        <w:rPr>
          <w:color w:val="000000" w:themeColor="text1"/>
        </w:rPr>
        <w:t xml:space="preserve">the </w:t>
      </w:r>
      <w:r w:rsidR="00AB3274" w:rsidRPr="00A52AB8">
        <w:rPr>
          <w:color w:val="000000" w:themeColor="text1"/>
        </w:rPr>
        <w:t xml:space="preserve">nominal format, where attrIdx is in the range of 0 </w:t>
      </w:r>
      <w:r w:rsidR="00483ED4" w:rsidRPr="00A52AB8">
        <w:rPr>
          <w:color w:val="000000" w:themeColor="text1"/>
        </w:rPr>
        <w:t xml:space="preserve">to </w:t>
      </w:r>
      <w:r w:rsidR="00AB3274" w:rsidRPr="00A52AB8">
        <w:rPr>
          <w:color w:val="000000" w:themeColor="text1"/>
        </w:rPr>
        <w:t>ai_attribute_count[ </w:t>
      </w:r>
      <w:r w:rsidR="0030179A" w:rsidRPr="00A52AB8">
        <w:rPr>
          <w:color w:val="000000" w:themeColor="text1"/>
        </w:rPr>
        <w:t>RecAtlasID</w:t>
      </w:r>
      <w:r w:rsidR="00AB3274" w:rsidRPr="00A52AB8">
        <w:rPr>
          <w:color w:val="000000" w:themeColor="text1"/>
        </w:rPr>
        <w:t xml:space="preserve"> ] − 1, inclusive, </w:t>
      </w:r>
      <w:r w:rsidR="00295E07" w:rsidRPr="00A52AB8">
        <w:rPr>
          <w:color w:val="000000" w:themeColor="text1"/>
        </w:rPr>
        <w:t xml:space="preserve">compIdx </w:t>
      </w:r>
      <w:r w:rsidR="008A2795" w:rsidRPr="00A52AB8">
        <w:rPr>
          <w:color w:val="000000" w:themeColor="text1"/>
        </w:rPr>
        <w:t>is in the range of 0 to ai_attribute_dimension_minus1[ </w:t>
      </w:r>
      <w:r w:rsidR="0030179A" w:rsidRPr="00A52AB8">
        <w:rPr>
          <w:color w:val="000000" w:themeColor="text1"/>
        </w:rPr>
        <w:t>RecAtlasID</w:t>
      </w:r>
      <w:r w:rsidR="008A2795" w:rsidRPr="00A52AB8">
        <w:rPr>
          <w:color w:val="000000" w:themeColor="text1"/>
        </w:rPr>
        <w:t xml:space="preserve"> ][ attrIdx ], inclusive, </w:t>
      </w:r>
      <w:r w:rsidR="00AB3274" w:rsidRPr="00A52AB8">
        <w:rPr>
          <w:color w:val="000000" w:themeColor="text1"/>
        </w:rPr>
        <w:t xml:space="preserve">y is in the range of 0 to </w:t>
      </w:r>
      <w:r w:rsidR="007D654F" w:rsidRPr="00A52AB8">
        <w:rPr>
          <w:color w:val="000000" w:themeColor="text1"/>
        </w:rPr>
        <w:t>AuxVideoHeight</w:t>
      </w:r>
      <w:r w:rsidR="00734798" w:rsidRPr="00A52AB8">
        <w:rPr>
          <w:color w:val="000000" w:themeColor="text1"/>
        </w:rPr>
        <w:t>NF</w:t>
      </w:r>
      <w:r w:rsidR="00396B4D" w:rsidRPr="00A52AB8">
        <w:rPr>
          <w:color w:val="000000" w:themeColor="text1"/>
        </w:rPr>
        <w:t> </w:t>
      </w:r>
      <w:r w:rsidR="00AB3274" w:rsidRPr="00A52AB8">
        <w:rPr>
          <w:color w:val="000000" w:themeColor="text1"/>
        </w:rPr>
        <w:t>– 1, inclusive, and x is in the range of 0 to </w:t>
      </w:r>
      <w:r w:rsidR="007D654F" w:rsidRPr="00A52AB8">
        <w:rPr>
          <w:color w:val="000000" w:themeColor="text1"/>
        </w:rPr>
        <w:t>AuxVideoWidth</w:t>
      </w:r>
      <w:r w:rsidR="00734798" w:rsidRPr="00A52AB8">
        <w:rPr>
          <w:color w:val="000000" w:themeColor="text1"/>
        </w:rPr>
        <w:t>NF</w:t>
      </w:r>
      <w:r w:rsidR="00396B4D" w:rsidRPr="00A52AB8">
        <w:rPr>
          <w:color w:val="000000" w:themeColor="text1"/>
        </w:rPr>
        <w:t> </w:t>
      </w:r>
      <w:r w:rsidR="00AB3274" w:rsidRPr="00A52AB8">
        <w:rPr>
          <w:color w:val="000000" w:themeColor="text1"/>
        </w:rPr>
        <w:t>– 1, inclusive</w:t>
      </w:r>
      <w:r w:rsidR="000A6294" w:rsidRPr="00A52AB8">
        <w:rPr>
          <w:color w:val="000000" w:themeColor="text1"/>
        </w:rPr>
        <w:t>.</w:t>
      </w:r>
    </w:p>
    <w:p w14:paraId="6718A01C" w14:textId="076081BC" w:rsidR="006D74F2" w:rsidRPr="00A52AB8" w:rsidRDefault="008018A9" w:rsidP="006D74F2">
      <w:pPr>
        <w:rPr>
          <w:color w:val="000000" w:themeColor="text1"/>
        </w:rPr>
      </w:pPr>
      <w:r w:rsidRPr="00A52AB8">
        <w:rPr>
          <w:color w:val="000000" w:themeColor="text1"/>
        </w:rPr>
        <w:br/>
        <w:t>O</w:t>
      </w:r>
      <w:r w:rsidR="006D74F2" w:rsidRPr="00A52AB8">
        <w:rPr>
          <w:color w:val="000000" w:themeColor="text1"/>
        </w:rPr>
        <w:t xml:space="preserve">utput of this process </w:t>
      </w:r>
      <w:r w:rsidR="00925CA2" w:rsidRPr="00A52AB8">
        <w:rPr>
          <w:color w:val="000000" w:themeColor="text1"/>
        </w:rPr>
        <w:t xml:space="preserve">is a sequence of reconstructed point cloud frames before </w:t>
      </w:r>
      <w:r w:rsidR="00BE242A" w:rsidRPr="00A52AB8">
        <w:rPr>
          <w:color w:val="000000" w:themeColor="text1"/>
        </w:rPr>
        <w:t xml:space="preserve">the </w:t>
      </w:r>
      <w:r w:rsidR="007D654F" w:rsidRPr="00A52AB8">
        <w:rPr>
          <w:color w:val="000000" w:themeColor="text1"/>
        </w:rPr>
        <w:t>post-reconstruction step</w:t>
      </w:r>
      <w:r w:rsidR="00925CA2" w:rsidRPr="00A52AB8">
        <w:rPr>
          <w:color w:val="000000" w:themeColor="text1"/>
        </w:rPr>
        <w:t>. The following information is output for each reconstructed point cloud frame</w:t>
      </w:r>
      <w:r w:rsidR="006D74F2" w:rsidRPr="00A52AB8">
        <w:rPr>
          <w:color w:val="000000" w:themeColor="text1"/>
        </w:rPr>
        <w:t>:</w:t>
      </w:r>
    </w:p>
    <w:p w14:paraId="36C32EB6" w14:textId="508F3779" w:rsidR="00154020" w:rsidRPr="00A52AB8" w:rsidRDefault="00F57BB4" w:rsidP="00743B88">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403" w:hanging="403"/>
        <w:textAlignment w:val="baseline"/>
        <w:rPr>
          <w:color w:val="000000" w:themeColor="text1"/>
        </w:rPr>
      </w:pPr>
      <w:r w:rsidRPr="00A52AB8">
        <w:rPr>
          <w:color w:val="000000" w:themeColor="text1"/>
        </w:rPr>
        <w:t xml:space="preserve">a variable </w:t>
      </w:r>
      <w:r w:rsidR="00921FCA" w:rsidRPr="00A52AB8">
        <w:rPr>
          <w:color w:val="000000" w:themeColor="text1"/>
        </w:rPr>
        <w:t>p</w:t>
      </w:r>
      <w:r w:rsidR="006D74F2" w:rsidRPr="00A52AB8">
        <w:rPr>
          <w:color w:val="000000" w:themeColor="text1"/>
        </w:rPr>
        <w:t>ointCnt</w:t>
      </w:r>
      <w:r w:rsidR="00396B4D" w:rsidRPr="00A52AB8">
        <w:rPr>
          <w:color w:val="000000" w:themeColor="text1"/>
        </w:rPr>
        <w:t xml:space="preserve">, specifying </w:t>
      </w:r>
      <w:r w:rsidR="006D74F2" w:rsidRPr="00A52AB8">
        <w:rPr>
          <w:color w:val="000000" w:themeColor="text1"/>
        </w:rPr>
        <w:t>the number of points in the reconstructed point cloud frame</w:t>
      </w:r>
      <w:r w:rsidR="00A9769F" w:rsidRPr="00A52AB8">
        <w:rPr>
          <w:color w:val="000000" w:themeColor="text1"/>
        </w:rPr>
        <w:t>,</w:t>
      </w:r>
    </w:p>
    <w:p w14:paraId="78E3BC1A" w14:textId="0EE3B300" w:rsidR="00154020" w:rsidRPr="00A52AB8" w:rsidRDefault="00154020" w:rsidP="00743B88">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403" w:hanging="403"/>
        <w:textAlignment w:val="baseline"/>
        <w:rPr>
          <w:color w:val="000000" w:themeColor="text1"/>
        </w:rPr>
      </w:pPr>
      <w:r w:rsidRPr="00A52AB8">
        <w:rPr>
          <w:color w:val="000000" w:themeColor="text1"/>
        </w:rPr>
        <w:t>a</w:t>
      </w:r>
      <w:r w:rsidR="00BE242A" w:rsidRPr="00A52AB8">
        <w:rPr>
          <w:color w:val="000000" w:themeColor="text1"/>
        </w:rPr>
        <w:t xml:space="preserve"> 1D</w:t>
      </w:r>
      <w:r w:rsidRPr="00A52AB8">
        <w:rPr>
          <w:color w:val="000000" w:themeColor="text1"/>
        </w:rPr>
        <w:t xml:space="preserve"> array pointToPatch</w:t>
      </w:r>
      <w:r w:rsidR="008018A9" w:rsidRPr="00A52AB8">
        <w:rPr>
          <w:color w:val="000000" w:themeColor="text1"/>
        </w:rPr>
        <w:t>,</w:t>
      </w:r>
      <w:r w:rsidR="00BE242A" w:rsidRPr="00A52AB8">
        <w:rPr>
          <w:color w:val="000000" w:themeColor="text1"/>
        </w:rPr>
        <w:t xml:space="preserve"> of size pointCnt</w:t>
      </w:r>
      <w:r w:rsidR="00396B4D" w:rsidRPr="00A52AB8">
        <w:rPr>
          <w:color w:val="000000" w:themeColor="text1"/>
        </w:rPr>
        <w:t>, specifying</w:t>
      </w:r>
      <w:r w:rsidRPr="00A52AB8">
        <w:rPr>
          <w:color w:val="000000" w:themeColor="text1"/>
        </w:rPr>
        <w:t xml:space="preserve"> the patch index corresponding to </w:t>
      </w:r>
      <w:r w:rsidR="00BE242A" w:rsidRPr="00A52AB8">
        <w:rPr>
          <w:color w:val="000000" w:themeColor="text1"/>
        </w:rPr>
        <w:t xml:space="preserve">each </w:t>
      </w:r>
      <w:r w:rsidRPr="00A52AB8">
        <w:rPr>
          <w:color w:val="000000" w:themeColor="text1"/>
        </w:rPr>
        <w:t>reconstructed point,</w:t>
      </w:r>
    </w:p>
    <w:p w14:paraId="53B4364B" w14:textId="182EA12C" w:rsidR="00154020" w:rsidRPr="00A52AB8" w:rsidRDefault="00154020" w:rsidP="00743B88">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403" w:hanging="403"/>
        <w:textAlignment w:val="baseline"/>
        <w:rPr>
          <w:color w:val="000000" w:themeColor="text1"/>
        </w:rPr>
      </w:pPr>
      <w:r w:rsidRPr="00A52AB8">
        <w:rPr>
          <w:color w:val="000000" w:themeColor="text1"/>
        </w:rPr>
        <w:t>a</w:t>
      </w:r>
      <w:r w:rsidR="00BE242A" w:rsidRPr="00A52AB8">
        <w:rPr>
          <w:color w:val="000000" w:themeColor="text1"/>
        </w:rPr>
        <w:t xml:space="preserve"> 2D</w:t>
      </w:r>
      <w:r w:rsidRPr="00A52AB8">
        <w:rPr>
          <w:color w:val="000000" w:themeColor="text1"/>
        </w:rPr>
        <w:t xml:space="preserve"> array pointToPixel</w:t>
      </w:r>
      <w:r w:rsidR="008018A9" w:rsidRPr="00A52AB8">
        <w:rPr>
          <w:color w:val="000000" w:themeColor="text1"/>
        </w:rPr>
        <w:t>,</w:t>
      </w:r>
      <w:r w:rsidRPr="00A52AB8">
        <w:rPr>
          <w:color w:val="000000" w:themeColor="text1"/>
        </w:rPr>
        <w:t xml:space="preserve"> </w:t>
      </w:r>
      <w:r w:rsidR="00B26084" w:rsidRPr="00A52AB8">
        <w:rPr>
          <w:color w:val="000000" w:themeColor="text1"/>
        </w:rPr>
        <w:t xml:space="preserve">of size pointCnt × 2, </w:t>
      </w:r>
      <w:r w:rsidR="00396B4D" w:rsidRPr="00A52AB8">
        <w:rPr>
          <w:color w:val="000000" w:themeColor="text1"/>
        </w:rPr>
        <w:t xml:space="preserve">specifying </w:t>
      </w:r>
      <w:r w:rsidRPr="00A52AB8">
        <w:rPr>
          <w:color w:val="000000" w:themeColor="text1"/>
        </w:rPr>
        <w:t xml:space="preserve">the atlas coordinates corresponding to </w:t>
      </w:r>
      <w:r w:rsidR="00BE242A" w:rsidRPr="00A52AB8">
        <w:rPr>
          <w:color w:val="000000" w:themeColor="text1"/>
        </w:rPr>
        <w:t xml:space="preserve">each </w:t>
      </w:r>
      <w:r w:rsidRPr="00A52AB8">
        <w:rPr>
          <w:color w:val="000000" w:themeColor="text1"/>
        </w:rPr>
        <w:t>reconstructed point</w:t>
      </w:r>
      <w:r w:rsidR="00DE3AA8" w:rsidRPr="00A52AB8">
        <w:rPr>
          <w:color w:val="000000" w:themeColor="text1"/>
        </w:rPr>
        <w:t>,</w:t>
      </w:r>
    </w:p>
    <w:p w14:paraId="4393B709" w14:textId="49A3B513" w:rsidR="006D74F2" w:rsidRPr="00A52AB8" w:rsidRDefault="00F57BB4" w:rsidP="00743B88">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403" w:hanging="403"/>
        <w:textAlignment w:val="baseline"/>
        <w:rPr>
          <w:color w:val="000000" w:themeColor="text1"/>
        </w:rPr>
      </w:pPr>
      <w:r w:rsidRPr="00A52AB8">
        <w:rPr>
          <w:color w:val="000000" w:themeColor="text1"/>
        </w:rPr>
        <w:t>a</w:t>
      </w:r>
      <w:r w:rsidR="00BE242A" w:rsidRPr="00A52AB8">
        <w:rPr>
          <w:color w:val="000000" w:themeColor="text1"/>
        </w:rPr>
        <w:t xml:space="preserve"> 2D</w:t>
      </w:r>
      <w:r w:rsidRPr="00A52AB8">
        <w:rPr>
          <w:color w:val="000000" w:themeColor="text1"/>
        </w:rPr>
        <w:t xml:space="preserve"> array </w:t>
      </w:r>
      <w:r w:rsidR="00921FCA" w:rsidRPr="00A52AB8">
        <w:rPr>
          <w:color w:val="000000" w:themeColor="text1"/>
        </w:rPr>
        <w:t>r</w:t>
      </w:r>
      <w:r w:rsidR="006D74F2" w:rsidRPr="00A52AB8">
        <w:rPr>
          <w:color w:val="000000" w:themeColor="text1"/>
        </w:rPr>
        <w:t>ecPcGeo</w:t>
      </w:r>
      <w:r w:rsidR="008018A9" w:rsidRPr="00A52AB8">
        <w:rPr>
          <w:color w:val="000000" w:themeColor="text1"/>
        </w:rPr>
        <w:t>,</w:t>
      </w:r>
      <w:r w:rsidR="006D74F2" w:rsidRPr="00A52AB8">
        <w:rPr>
          <w:color w:val="000000" w:themeColor="text1"/>
        </w:rPr>
        <w:t xml:space="preserve"> </w:t>
      </w:r>
      <w:r w:rsidR="00B26084" w:rsidRPr="00A52AB8">
        <w:rPr>
          <w:color w:val="000000" w:themeColor="text1"/>
        </w:rPr>
        <w:t xml:space="preserve">of size pointCnt × 3, </w:t>
      </w:r>
      <w:r w:rsidR="00396B4D" w:rsidRPr="00A52AB8">
        <w:rPr>
          <w:color w:val="000000" w:themeColor="text1"/>
        </w:rPr>
        <w:t xml:space="preserve">specifying </w:t>
      </w:r>
      <w:r w:rsidR="00BE242A" w:rsidRPr="00A52AB8">
        <w:rPr>
          <w:color w:val="000000" w:themeColor="text1"/>
        </w:rPr>
        <w:t xml:space="preserve">the </w:t>
      </w:r>
      <w:r w:rsidR="006D74F2" w:rsidRPr="00A52AB8">
        <w:rPr>
          <w:color w:val="000000" w:themeColor="text1"/>
        </w:rPr>
        <w:t xml:space="preserve">list of coordinates </w:t>
      </w:r>
      <w:r w:rsidR="00BE242A" w:rsidRPr="00A52AB8">
        <w:rPr>
          <w:color w:val="000000" w:themeColor="text1"/>
        </w:rPr>
        <w:t>corresponding to each reconstructed point</w:t>
      </w:r>
      <w:r w:rsidR="008F6477" w:rsidRPr="00A52AB8">
        <w:rPr>
          <w:color w:val="000000" w:themeColor="text1"/>
        </w:rPr>
        <w:t>,</w:t>
      </w:r>
      <w:r w:rsidR="006D74F2" w:rsidRPr="00A52AB8">
        <w:rPr>
          <w:color w:val="000000" w:themeColor="text1"/>
        </w:rPr>
        <w:t xml:space="preserve"> and</w:t>
      </w:r>
      <w:r w:rsidR="008F6477" w:rsidRPr="00A52AB8">
        <w:rPr>
          <w:color w:val="000000" w:themeColor="text1"/>
        </w:rPr>
        <w:t>,</w:t>
      </w:r>
    </w:p>
    <w:p w14:paraId="14E19B4E" w14:textId="6F23B3A6" w:rsidR="006D74F2" w:rsidRPr="00A52AB8" w:rsidRDefault="006D74F2" w:rsidP="00743B88">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403" w:hanging="403"/>
        <w:textAlignment w:val="baseline"/>
        <w:rPr>
          <w:color w:val="000000" w:themeColor="text1"/>
        </w:rPr>
      </w:pPr>
      <w:r w:rsidRPr="00A52AB8">
        <w:rPr>
          <w:color w:val="000000" w:themeColor="text1"/>
        </w:rPr>
        <w:t>when ai_attribute_count[</w:t>
      </w:r>
      <w:r w:rsidR="00BD0D8B" w:rsidRPr="00A52AB8">
        <w:rPr>
          <w:color w:val="000000" w:themeColor="text1"/>
        </w:rPr>
        <w:t> </w:t>
      </w:r>
      <w:r w:rsidR="0030179A" w:rsidRPr="00A52AB8">
        <w:rPr>
          <w:color w:val="000000" w:themeColor="text1"/>
        </w:rPr>
        <w:t>RecAtlasID</w:t>
      </w:r>
      <w:r w:rsidR="00BD0D8B" w:rsidRPr="00A52AB8">
        <w:rPr>
          <w:color w:val="000000" w:themeColor="text1"/>
        </w:rPr>
        <w:t> </w:t>
      </w:r>
      <w:r w:rsidRPr="00A52AB8">
        <w:rPr>
          <w:color w:val="000000" w:themeColor="text1"/>
        </w:rPr>
        <w:t xml:space="preserve">] is greater than 0, </w:t>
      </w:r>
      <w:r w:rsidR="00B9024B" w:rsidRPr="00A52AB8">
        <w:rPr>
          <w:color w:val="000000" w:themeColor="text1"/>
        </w:rPr>
        <w:t>a</w:t>
      </w:r>
      <w:r w:rsidR="006A06AE" w:rsidRPr="00A52AB8">
        <w:rPr>
          <w:color w:val="000000" w:themeColor="text1"/>
        </w:rPr>
        <w:t xml:space="preserve"> 3D</w:t>
      </w:r>
      <w:r w:rsidR="00B9024B" w:rsidRPr="00A52AB8">
        <w:rPr>
          <w:color w:val="000000" w:themeColor="text1"/>
        </w:rPr>
        <w:t xml:space="preserve"> array </w:t>
      </w:r>
      <w:r w:rsidR="00921FCA" w:rsidRPr="00A52AB8">
        <w:rPr>
          <w:color w:val="000000" w:themeColor="text1"/>
        </w:rPr>
        <w:t>r</w:t>
      </w:r>
      <w:r w:rsidRPr="00A52AB8">
        <w:rPr>
          <w:color w:val="000000" w:themeColor="text1"/>
        </w:rPr>
        <w:t xml:space="preserve">ecPcAttr, </w:t>
      </w:r>
      <w:r w:rsidR="00EC28F8" w:rsidRPr="00A52AB8">
        <w:rPr>
          <w:color w:val="000000" w:themeColor="text1"/>
        </w:rPr>
        <w:t>specifying the attributes associated with the points in the reconstructed point cloud frame, where the three dimensions correspond to the index of the reconstructed point, the attribute index, and the attribute dimension, respectively.</w:t>
      </w:r>
    </w:p>
    <w:p w14:paraId="2C6B1A4E" w14:textId="77777777" w:rsidR="004D3ADC" w:rsidRPr="00A52AB8" w:rsidRDefault="004D3ADC">
      <w:pPr>
        <w:rPr>
          <w:color w:val="000000" w:themeColor="text1"/>
        </w:rPr>
      </w:pPr>
      <w:r w:rsidRPr="00A52AB8">
        <w:rPr>
          <w:color w:val="000000" w:themeColor="text1"/>
        </w:rPr>
        <w:t xml:space="preserve">The </w:t>
      </w:r>
      <w:r w:rsidR="00EB04FA" w:rsidRPr="00A52AB8">
        <w:rPr>
          <w:color w:val="000000" w:themeColor="text1"/>
        </w:rPr>
        <w:t>arrays</w:t>
      </w:r>
      <w:r w:rsidRPr="00A52AB8">
        <w:rPr>
          <w:color w:val="000000" w:themeColor="text1"/>
        </w:rPr>
        <w:t xml:space="preserve"> gFrame[ </w:t>
      </w:r>
      <w:r w:rsidR="0072325E" w:rsidRPr="00A52AB8">
        <w:rPr>
          <w:color w:val="000000" w:themeColor="text1"/>
        </w:rPr>
        <w:t>mapIdx</w:t>
      </w:r>
      <w:r w:rsidRPr="00A52AB8">
        <w:rPr>
          <w:color w:val="000000" w:themeColor="text1"/>
        </w:rPr>
        <w:t> ]</w:t>
      </w:r>
      <w:r w:rsidR="004B7314" w:rsidRPr="00A52AB8">
        <w:rPr>
          <w:color w:val="000000" w:themeColor="text1"/>
        </w:rPr>
        <w:t>[ y ][ x ]</w:t>
      </w:r>
      <w:r w:rsidRPr="00A52AB8">
        <w:rPr>
          <w:color w:val="000000" w:themeColor="text1"/>
        </w:rPr>
        <w:t>, aFrame</w:t>
      </w:r>
      <w:r w:rsidR="00430527" w:rsidRPr="00A52AB8">
        <w:rPr>
          <w:color w:val="000000" w:themeColor="text1"/>
        </w:rPr>
        <w:t>[ mapIdx ]</w:t>
      </w:r>
      <w:r w:rsidRPr="00A52AB8">
        <w:rPr>
          <w:color w:val="000000" w:themeColor="text1"/>
        </w:rPr>
        <w:t>[ </w:t>
      </w:r>
      <w:r w:rsidR="0072325E" w:rsidRPr="00A52AB8">
        <w:rPr>
          <w:color w:val="000000" w:themeColor="text1"/>
        </w:rPr>
        <w:t>attrIdx</w:t>
      </w:r>
      <w:r w:rsidRPr="00A52AB8">
        <w:rPr>
          <w:color w:val="000000" w:themeColor="text1"/>
        </w:rPr>
        <w:t> ]</w:t>
      </w:r>
      <w:r w:rsidR="0072325E" w:rsidRPr="00A52AB8">
        <w:rPr>
          <w:color w:val="000000" w:themeColor="text1"/>
        </w:rPr>
        <w:t>[ compIdx ]</w:t>
      </w:r>
      <w:r w:rsidR="004B7314" w:rsidRPr="00A52AB8">
        <w:rPr>
          <w:color w:val="000000" w:themeColor="text1"/>
        </w:rPr>
        <w:t>[ y ][ x ]</w:t>
      </w:r>
      <w:r w:rsidR="00154020" w:rsidRPr="00A52AB8">
        <w:rPr>
          <w:color w:val="000000" w:themeColor="text1"/>
        </w:rPr>
        <w:t>,</w:t>
      </w:r>
      <w:r w:rsidR="00EB04FA" w:rsidRPr="00A52AB8">
        <w:rPr>
          <w:color w:val="000000" w:themeColor="text1"/>
        </w:rPr>
        <w:t xml:space="preserve"> and</w:t>
      </w:r>
      <w:r w:rsidRPr="00A52AB8">
        <w:rPr>
          <w:color w:val="000000" w:themeColor="text1"/>
        </w:rPr>
        <w:t xml:space="preserve"> oFrame</w:t>
      </w:r>
      <w:r w:rsidR="004B7314" w:rsidRPr="00A52AB8">
        <w:rPr>
          <w:color w:val="000000" w:themeColor="text1"/>
        </w:rPr>
        <w:t>[ y ][ x ]</w:t>
      </w:r>
      <w:r w:rsidRPr="00A52AB8">
        <w:rPr>
          <w:color w:val="000000" w:themeColor="text1"/>
        </w:rPr>
        <w:t xml:space="preserve"> are derived as follows:</w:t>
      </w:r>
    </w:p>
    <w:p w14:paraId="23DCDF41" w14:textId="41C848C5" w:rsidR="001C1396" w:rsidRPr="00A52AB8" w:rsidRDefault="00F958E5" w:rsidP="004A6049">
      <w:pPr>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 w:val="left" w:pos="360"/>
          <w:tab w:val="left" w:pos="720"/>
          <w:tab w:val="left" w:pos="1080"/>
          <w:tab w:val="left" w:pos="1440"/>
          <w:tab w:val="left" w:pos="1800"/>
        </w:tabs>
        <w:jc w:val="left"/>
        <w:rPr>
          <w:color w:val="000000" w:themeColor="text1"/>
        </w:rPr>
      </w:pPr>
      <w:r w:rsidRPr="00A52AB8">
        <w:rPr>
          <w:rFonts w:eastAsia="Malgun Gothic"/>
        </w:rPr>
        <w:tab/>
        <w:t>for</w:t>
      </w:r>
      <w:r w:rsidR="00154020" w:rsidRPr="00A52AB8">
        <w:rPr>
          <w:rFonts w:eastAsia="Malgun Gothic"/>
        </w:rPr>
        <w:t>( </w:t>
      </w:r>
      <w:r w:rsidR="006A06AE" w:rsidRPr="00A52AB8">
        <w:rPr>
          <w:rFonts w:eastAsia="Malgun Gothic"/>
        </w:rPr>
        <w:t>j</w:t>
      </w:r>
      <w:r w:rsidR="00D47707" w:rsidRPr="00A52AB8">
        <w:rPr>
          <w:rFonts w:eastAsia="Malgun Gothic"/>
        </w:rPr>
        <w:t> = </w:t>
      </w:r>
      <w:r w:rsidRPr="00A52AB8">
        <w:rPr>
          <w:rFonts w:eastAsia="Malgun Gothic"/>
        </w:rPr>
        <w:t>0;</w:t>
      </w:r>
      <w:r w:rsidR="006A06AE" w:rsidRPr="00A52AB8">
        <w:rPr>
          <w:rFonts w:eastAsia="Malgun Gothic"/>
        </w:rPr>
        <w:t> </w:t>
      </w:r>
      <w:r w:rsidRPr="00A52AB8">
        <w:rPr>
          <w:rFonts w:eastAsia="Malgun Gothic"/>
        </w:rPr>
        <w:t>j</w:t>
      </w:r>
      <w:r w:rsidR="006A06AE" w:rsidRPr="00A52AB8">
        <w:rPr>
          <w:rFonts w:eastAsia="Malgun Gothic"/>
        </w:rPr>
        <w:t> </w:t>
      </w:r>
      <w:r w:rsidRPr="00A52AB8">
        <w:rPr>
          <w:rFonts w:eastAsia="Malgun Gothic"/>
        </w:rPr>
        <w:t>&lt;</w:t>
      </w:r>
      <w:r w:rsidR="006A06AE" w:rsidRPr="00A52AB8">
        <w:rPr>
          <w:rFonts w:eastAsia="Malgun Gothic"/>
        </w:rPr>
        <w:t> </w:t>
      </w:r>
      <w:r w:rsidR="007A70FB" w:rsidRPr="00A52AB8">
        <w:rPr>
          <w:color w:val="000000" w:themeColor="text1"/>
        </w:rPr>
        <w:t>asps_frame_height</w:t>
      </w:r>
      <w:r w:rsidRPr="00A52AB8">
        <w:rPr>
          <w:rFonts w:eastAsia="Malgun Gothic"/>
        </w:rPr>
        <w:t>;</w:t>
      </w:r>
      <w:r w:rsidR="006A06AE" w:rsidRPr="00A52AB8">
        <w:rPr>
          <w:rFonts w:eastAsia="Malgun Gothic"/>
        </w:rPr>
        <w:t> </w:t>
      </w:r>
      <w:r w:rsidRPr="00A52AB8">
        <w:rPr>
          <w:rFonts w:eastAsia="Malgun Gothic"/>
        </w:rPr>
        <w:t>j</w:t>
      </w:r>
      <w:r w:rsidR="00006CCF" w:rsidRPr="00A52AB8">
        <w:rPr>
          <w:rFonts w:eastAsia="Malgun Gothic"/>
        </w:rPr>
        <w:t>++ )</w:t>
      </w:r>
      <w:r w:rsidR="001C1396" w:rsidRPr="00A52AB8">
        <w:rPr>
          <w:rFonts w:eastAsia="Malgun Gothic"/>
        </w:rPr>
        <w:br/>
      </w:r>
      <w:r w:rsidRPr="00A52AB8">
        <w:rPr>
          <w:rFonts w:eastAsia="Malgun Gothic"/>
        </w:rPr>
        <w:tab/>
      </w:r>
      <w:r w:rsidRPr="00A52AB8">
        <w:rPr>
          <w:rFonts w:eastAsia="Malgun Gothic"/>
        </w:rPr>
        <w:tab/>
        <w:t>for</w:t>
      </w:r>
      <w:r w:rsidR="00154020" w:rsidRPr="00A52AB8">
        <w:rPr>
          <w:rFonts w:eastAsia="Malgun Gothic"/>
        </w:rPr>
        <w:t>( </w:t>
      </w:r>
      <w:r w:rsidR="006A06AE" w:rsidRPr="00A52AB8">
        <w:rPr>
          <w:rFonts w:eastAsia="Malgun Gothic"/>
        </w:rPr>
        <w:t>i</w:t>
      </w:r>
      <w:r w:rsidR="00D47707" w:rsidRPr="00A52AB8">
        <w:rPr>
          <w:rFonts w:eastAsia="Malgun Gothic"/>
        </w:rPr>
        <w:t> = </w:t>
      </w:r>
      <w:r w:rsidRPr="00A52AB8">
        <w:rPr>
          <w:rFonts w:eastAsia="Malgun Gothic"/>
        </w:rPr>
        <w:t>0;</w:t>
      </w:r>
      <w:r w:rsidR="006A06AE" w:rsidRPr="00A52AB8">
        <w:rPr>
          <w:rFonts w:eastAsia="Malgun Gothic"/>
        </w:rPr>
        <w:t> i </w:t>
      </w:r>
      <w:r w:rsidRPr="00A52AB8">
        <w:rPr>
          <w:rFonts w:eastAsia="Malgun Gothic"/>
        </w:rPr>
        <w:t>&lt;</w:t>
      </w:r>
      <w:r w:rsidR="006A06AE" w:rsidRPr="00A52AB8">
        <w:rPr>
          <w:rFonts w:eastAsia="Malgun Gothic"/>
        </w:rPr>
        <w:t> </w:t>
      </w:r>
      <w:r w:rsidR="007A70FB" w:rsidRPr="00A52AB8">
        <w:rPr>
          <w:color w:val="000000" w:themeColor="text1"/>
        </w:rPr>
        <w:t>asps_frame_width</w:t>
      </w:r>
      <w:r w:rsidRPr="00A52AB8">
        <w:rPr>
          <w:rFonts w:eastAsia="Malgun Gothic"/>
        </w:rPr>
        <w:t>;</w:t>
      </w:r>
      <w:r w:rsidR="006A06AE" w:rsidRPr="00A52AB8">
        <w:rPr>
          <w:rFonts w:eastAsia="Malgun Gothic"/>
        </w:rPr>
        <w:t> </w:t>
      </w:r>
      <w:r w:rsidRPr="00A52AB8">
        <w:rPr>
          <w:rFonts w:eastAsia="Malgun Gothic"/>
        </w:rPr>
        <w:t>i</w:t>
      </w:r>
      <w:r w:rsidR="00006CCF" w:rsidRPr="00A52AB8">
        <w:rPr>
          <w:rFonts w:eastAsia="Malgun Gothic"/>
        </w:rPr>
        <w:t>++ </w:t>
      </w:r>
      <w:r w:rsidR="008F1F82" w:rsidRPr="00A52AB8">
        <w:rPr>
          <w:rFonts w:eastAsia="Malgun Gothic"/>
        </w:rPr>
        <w:t>) {</w:t>
      </w:r>
      <w:r w:rsidR="001C1396" w:rsidRPr="00A52AB8">
        <w:rPr>
          <w:rFonts w:eastAsia="Malgun Gothic"/>
        </w:rPr>
        <w:br/>
      </w:r>
      <w:r w:rsidR="0004164A" w:rsidRPr="00A52AB8">
        <w:rPr>
          <w:color w:val="000000" w:themeColor="text1"/>
        </w:rPr>
        <w:tab/>
      </w:r>
      <w:r w:rsidR="0004164A" w:rsidRPr="00A52AB8">
        <w:rPr>
          <w:color w:val="000000" w:themeColor="text1"/>
        </w:rPr>
        <w:tab/>
      </w:r>
      <w:r w:rsidR="0004164A" w:rsidRPr="00A52AB8">
        <w:rPr>
          <w:color w:val="000000" w:themeColor="text1"/>
        </w:rPr>
        <w:tab/>
        <w:t>oFrame[ j ][ i ]</w:t>
      </w:r>
      <w:r w:rsidR="00D47707" w:rsidRPr="00A52AB8">
        <w:rPr>
          <w:color w:val="000000" w:themeColor="text1"/>
        </w:rPr>
        <w:t> = </w:t>
      </w:r>
      <w:r w:rsidR="0004164A" w:rsidRPr="00A52AB8">
        <w:rPr>
          <w:color w:val="000000" w:themeColor="text1"/>
        </w:rPr>
        <w:t>occFrame</w:t>
      </w:r>
      <w:r w:rsidR="00153EEE" w:rsidRPr="00A52AB8">
        <w:rPr>
          <w:color w:val="000000" w:themeColor="text1"/>
        </w:rPr>
        <w:t>s</w:t>
      </w:r>
      <w:r w:rsidR="0004164A" w:rsidRPr="00A52AB8">
        <w:rPr>
          <w:color w:val="000000" w:themeColor="text1"/>
        </w:rPr>
        <w:t>N</w:t>
      </w:r>
      <w:r w:rsidR="00225BF0" w:rsidRPr="00A52AB8">
        <w:rPr>
          <w:color w:val="000000" w:themeColor="text1"/>
        </w:rPr>
        <w:t>F</w:t>
      </w:r>
      <w:r w:rsidR="0004164A" w:rsidRPr="00A52AB8">
        <w:rPr>
          <w:color w:val="000000" w:themeColor="text1"/>
        </w:rPr>
        <w:t>[ compTimeIdx ][ 0 ][ </w:t>
      </w:r>
      <w:r w:rsidR="00812B84" w:rsidRPr="00A52AB8">
        <w:rPr>
          <w:color w:val="000000" w:themeColor="text1"/>
        </w:rPr>
        <w:t>j</w:t>
      </w:r>
      <w:r w:rsidR="0004164A" w:rsidRPr="00A52AB8">
        <w:rPr>
          <w:color w:val="000000" w:themeColor="text1"/>
        </w:rPr>
        <w:t> ][ </w:t>
      </w:r>
      <w:r w:rsidR="00812B84" w:rsidRPr="00A52AB8">
        <w:rPr>
          <w:color w:val="000000" w:themeColor="text1"/>
        </w:rPr>
        <w:t>i</w:t>
      </w:r>
      <w:r w:rsidR="0004164A" w:rsidRPr="00A52AB8">
        <w:rPr>
          <w:color w:val="000000" w:themeColor="text1"/>
        </w:rPr>
        <w:t> ]</w:t>
      </w:r>
      <w:r w:rsidR="001C1396" w:rsidRPr="00A52AB8">
        <w:rPr>
          <w:color w:val="000000" w:themeColor="text1"/>
        </w:rPr>
        <w:br/>
      </w:r>
      <w:r w:rsidR="0004164A" w:rsidRPr="00A52AB8">
        <w:rPr>
          <w:rFonts w:eastAsia="Malgun Gothic"/>
        </w:rPr>
        <w:tab/>
      </w:r>
      <w:r w:rsidR="0004164A" w:rsidRPr="00A52AB8">
        <w:rPr>
          <w:rFonts w:eastAsia="Malgun Gothic"/>
        </w:rPr>
        <w:tab/>
      </w:r>
      <w:r w:rsidR="0004164A" w:rsidRPr="00A52AB8">
        <w:rPr>
          <w:rFonts w:eastAsia="Malgun Gothic"/>
        </w:rPr>
        <w:tab/>
        <w:t>for</w:t>
      </w:r>
      <w:r w:rsidR="00154020" w:rsidRPr="00A52AB8">
        <w:rPr>
          <w:rFonts w:eastAsia="Malgun Gothic"/>
        </w:rPr>
        <w:t>( </w:t>
      </w:r>
      <w:r w:rsidR="0004164A" w:rsidRPr="00A52AB8">
        <w:rPr>
          <w:rFonts w:eastAsia="Malgun Gothic"/>
        </w:rPr>
        <w:t>m</w:t>
      </w:r>
      <w:r w:rsidR="00D47707" w:rsidRPr="00A52AB8">
        <w:rPr>
          <w:rFonts w:eastAsia="Malgun Gothic"/>
        </w:rPr>
        <w:t> = </w:t>
      </w:r>
      <w:r w:rsidR="0004164A" w:rsidRPr="00A52AB8">
        <w:rPr>
          <w:rFonts w:eastAsia="Malgun Gothic"/>
        </w:rPr>
        <w:t>0;</w:t>
      </w:r>
      <w:r w:rsidR="006A06AE" w:rsidRPr="00A52AB8">
        <w:rPr>
          <w:rFonts w:eastAsia="Malgun Gothic"/>
        </w:rPr>
        <w:t> </w:t>
      </w:r>
      <w:r w:rsidR="0004164A" w:rsidRPr="00A52AB8">
        <w:rPr>
          <w:rFonts w:eastAsia="Malgun Gothic"/>
        </w:rPr>
        <w:t>m</w:t>
      </w:r>
      <w:r w:rsidR="006A06AE" w:rsidRPr="00A52AB8">
        <w:rPr>
          <w:rFonts w:eastAsia="Malgun Gothic"/>
        </w:rPr>
        <w:t> </w:t>
      </w:r>
      <w:r w:rsidR="0004164A" w:rsidRPr="00A52AB8">
        <w:rPr>
          <w:rFonts w:eastAsia="Malgun Gothic"/>
        </w:rPr>
        <w:t>&lt;</w:t>
      </w:r>
      <w:r w:rsidR="006A06AE" w:rsidRPr="00A52AB8">
        <w:rPr>
          <w:rFonts w:eastAsia="Malgun Gothic"/>
        </w:rPr>
        <w:t> </w:t>
      </w:r>
      <w:r w:rsidR="0004164A" w:rsidRPr="00A52AB8">
        <w:rPr>
          <w:rFonts w:eastAsia="Malgun Gothic"/>
        </w:rPr>
        <w:t>asps_map_count_minus1</w:t>
      </w:r>
      <w:r w:rsidR="006A06AE" w:rsidRPr="00A52AB8">
        <w:rPr>
          <w:rFonts w:eastAsia="Malgun Gothic"/>
        </w:rPr>
        <w:t> </w:t>
      </w:r>
      <w:r w:rsidR="0004164A" w:rsidRPr="00A52AB8">
        <w:rPr>
          <w:rFonts w:eastAsia="Malgun Gothic"/>
        </w:rPr>
        <w:t>+</w:t>
      </w:r>
      <w:r w:rsidR="006A06AE" w:rsidRPr="00A52AB8">
        <w:rPr>
          <w:rFonts w:eastAsia="Malgun Gothic"/>
        </w:rPr>
        <w:t> </w:t>
      </w:r>
      <w:r w:rsidR="0004164A" w:rsidRPr="00A52AB8">
        <w:rPr>
          <w:rFonts w:eastAsia="Malgun Gothic"/>
        </w:rPr>
        <w:t>1;</w:t>
      </w:r>
      <w:r w:rsidR="006A06AE" w:rsidRPr="00A52AB8">
        <w:rPr>
          <w:rFonts w:eastAsia="Malgun Gothic"/>
        </w:rPr>
        <w:t> </w:t>
      </w:r>
      <w:r w:rsidR="0004164A" w:rsidRPr="00A52AB8">
        <w:rPr>
          <w:rFonts w:eastAsia="Malgun Gothic"/>
        </w:rPr>
        <w:t>m</w:t>
      </w:r>
      <w:r w:rsidR="00006CCF" w:rsidRPr="00A52AB8">
        <w:rPr>
          <w:rFonts w:eastAsia="Malgun Gothic"/>
        </w:rPr>
        <w:t>++ </w:t>
      </w:r>
      <w:r w:rsidR="008F1F82" w:rsidRPr="00A52AB8">
        <w:rPr>
          <w:rFonts w:eastAsia="Malgun Gothic"/>
        </w:rPr>
        <w:t>) {</w:t>
      </w:r>
      <w:r w:rsidR="001C1396" w:rsidRPr="00A52AB8">
        <w:rPr>
          <w:rFonts w:eastAsia="Malgun Gothic"/>
        </w:rPr>
        <w:br/>
      </w:r>
      <w:r w:rsidR="006F1AB7" w:rsidRPr="00A52AB8">
        <w:rPr>
          <w:rFonts w:eastAsia="Malgun Gothic"/>
        </w:rPr>
        <w:tab/>
      </w:r>
      <w:r w:rsidR="006F1AB7" w:rsidRPr="00A52AB8">
        <w:rPr>
          <w:rFonts w:eastAsia="Malgun Gothic"/>
        </w:rPr>
        <w:tab/>
      </w:r>
      <w:r w:rsidR="006F1AB7" w:rsidRPr="00A52AB8">
        <w:rPr>
          <w:rFonts w:eastAsia="Malgun Gothic"/>
        </w:rPr>
        <w:tab/>
      </w:r>
      <w:r w:rsidR="006F1AB7" w:rsidRPr="00A52AB8">
        <w:rPr>
          <w:rFonts w:eastAsia="Malgun Gothic"/>
        </w:rPr>
        <w:tab/>
        <w:t>gFrame[ m ][ j ][ i ]</w:t>
      </w:r>
      <w:r w:rsidR="00D47707" w:rsidRPr="00A52AB8">
        <w:rPr>
          <w:rFonts w:eastAsia="Malgun Gothic"/>
        </w:rPr>
        <w:t> = </w:t>
      </w:r>
      <w:r w:rsidR="006F1AB7" w:rsidRPr="00A52AB8">
        <w:rPr>
          <w:color w:val="000000" w:themeColor="text1"/>
        </w:rPr>
        <w:t>geoFrame</w:t>
      </w:r>
      <w:r w:rsidR="00153EEE" w:rsidRPr="00A52AB8">
        <w:rPr>
          <w:color w:val="000000" w:themeColor="text1"/>
        </w:rPr>
        <w:t>s</w:t>
      </w:r>
      <w:r w:rsidR="006F1AB7" w:rsidRPr="00A52AB8">
        <w:rPr>
          <w:color w:val="000000" w:themeColor="text1"/>
        </w:rPr>
        <w:t>N</w:t>
      </w:r>
      <w:r w:rsidR="007219B7" w:rsidRPr="00A52AB8">
        <w:rPr>
          <w:color w:val="000000" w:themeColor="text1"/>
        </w:rPr>
        <w:t>F</w:t>
      </w:r>
      <w:r w:rsidR="006F1AB7" w:rsidRPr="00A52AB8">
        <w:rPr>
          <w:color w:val="000000" w:themeColor="text1"/>
        </w:rPr>
        <w:t>[ m ][ compTimeIdx ][ 0 ][ </w:t>
      </w:r>
      <w:r w:rsidR="00812B84" w:rsidRPr="00A52AB8">
        <w:rPr>
          <w:color w:val="000000" w:themeColor="text1"/>
        </w:rPr>
        <w:t>j</w:t>
      </w:r>
      <w:r w:rsidR="006F1AB7" w:rsidRPr="00A52AB8">
        <w:rPr>
          <w:color w:val="000000" w:themeColor="text1"/>
        </w:rPr>
        <w:t> ][ </w:t>
      </w:r>
      <w:r w:rsidR="00812B84" w:rsidRPr="00A52AB8">
        <w:rPr>
          <w:color w:val="000000" w:themeColor="text1"/>
        </w:rPr>
        <w:t>i</w:t>
      </w:r>
      <w:r w:rsidR="006F1AB7" w:rsidRPr="00A52AB8">
        <w:rPr>
          <w:color w:val="000000" w:themeColor="text1"/>
        </w:rPr>
        <w:t> ]</w:t>
      </w:r>
      <w:r w:rsidR="001C1396" w:rsidRPr="00A52AB8">
        <w:rPr>
          <w:color w:val="000000" w:themeColor="text1"/>
        </w:rPr>
        <w:br/>
      </w:r>
      <w:r w:rsidR="006F1AB7" w:rsidRPr="00A52AB8">
        <w:rPr>
          <w:color w:val="000000" w:themeColor="text1"/>
        </w:rPr>
        <w:tab/>
      </w:r>
      <w:r w:rsidR="006F1AB7" w:rsidRPr="00A52AB8">
        <w:rPr>
          <w:color w:val="000000" w:themeColor="text1"/>
        </w:rPr>
        <w:tab/>
      </w:r>
      <w:r w:rsidR="006F1AB7" w:rsidRPr="00A52AB8">
        <w:rPr>
          <w:color w:val="000000" w:themeColor="text1"/>
        </w:rPr>
        <w:tab/>
      </w:r>
      <w:r w:rsidR="006F1AB7" w:rsidRPr="00A52AB8">
        <w:rPr>
          <w:color w:val="000000" w:themeColor="text1"/>
        </w:rPr>
        <w:tab/>
        <w:t>for</w:t>
      </w:r>
      <w:r w:rsidR="001C1396" w:rsidRPr="00A52AB8">
        <w:rPr>
          <w:color w:val="000000" w:themeColor="text1"/>
        </w:rPr>
        <w:t>( </w:t>
      </w:r>
      <w:r w:rsidR="006F1AB7" w:rsidRPr="00A52AB8">
        <w:rPr>
          <w:color w:val="000000" w:themeColor="text1"/>
        </w:rPr>
        <w:t>a</w:t>
      </w:r>
      <w:r w:rsidR="00D47707" w:rsidRPr="00A52AB8">
        <w:rPr>
          <w:color w:val="000000" w:themeColor="text1"/>
        </w:rPr>
        <w:t> = </w:t>
      </w:r>
      <w:r w:rsidR="006F1AB7" w:rsidRPr="00A52AB8">
        <w:rPr>
          <w:color w:val="000000" w:themeColor="text1"/>
        </w:rPr>
        <w:t>0;</w:t>
      </w:r>
      <w:r w:rsidR="006A06AE" w:rsidRPr="00A52AB8">
        <w:rPr>
          <w:color w:val="000000" w:themeColor="text1"/>
        </w:rPr>
        <w:t> </w:t>
      </w:r>
      <w:r w:rsidR="006F1AB7" w:rsidRPr="00A52AB8">
        <w:rPr>
          <w:color w:val="000000" w:themeColor="text1"/>
        </w:rPr>
        <w:t>a</w:t>
      </w:r>
      <w:r w:rsidR="006A06AE" w:rsidRPr="00A52AB8">
        <w:rPr>
          <w:color w:val="000000" w:themeColor="text1"/>
        </w:rPr>
        <w:t> </w:t>
      </w:r>
      <w:r w:rsidR="006F1AB7" w:rsidRPr="00A52AB8">
        <w:rPr>
          <w:color w:val="000000" w:themeColor="text1"/>
        </w:rPr>
        <w:t>&lt;</w:t>
      </w:r>
      <w:r w:rsidR="006A06AE" w:rsidRPr="00A52AB8">
        <w:rPr>
          <w:color w:val="000000" w:themeColor="text1"/>
        </w:rPr>
        <w:t> </w:t>
      </w:r>
      <w:r w:rsidR="006F1AB7" w:rsidRPr="00A52AB8">
        <w:rPr>
          <w:color w:val="000000" w:themeColor="text1"/>
        </w:rPr>
        <w:t>ai_attribute_count[ </w:t>
      </w:r>
      <w:r w:rsidR="0030179A" w:rsidRPr="00A52AB8">
        <w:rPr>
          <w:color w:val="000000" w:themeColor="text1"/>
        </w:rPr>
        <w:t>RecAtlasID</w:t>
      </w:r>
      <w:r w:rsidR="006F1AB7" w:rsidRPr="00A52AB8">
        <w:rPr>
          <w:color w:val="000000" w:themeColor="text1"/>
        </w:rPr>
        <w:t> ];</w:t>
      </w:r>
      <w:r w:rsidR="006A06AE" w:rsidRPr="00A52AB8">
        <w:rPr>
          <w:color w:val="000000" w:themeColor="text1"/>
        </w:rPr>
        <w:t> </w:t>
      </w:r>
      <w:r w:rsidR="006F1AB7" w:rsidRPr="00A52AB8">
        <w:rPr>
          <w:color w:val="000000" w:themeColor="text1"/>
        </w:rPr>
        <w:t>a</w:t>
      </w:r>
      <w:r w:rsidR="00006CCF" w:rsidRPr="00A52AB8">
        <w:rPr>
          <w:color w:val="000000" w:themeColor="text1"/>
        </w:rPr>
        <w:t>++ )</w:t>
      </w:r>
      <w:r w:rsidR="001C1396" w:rsidRPr="00A52AB8">
        <w:rPr>
          <w:color w:val="000000" w:themeColor="text1"/>
        </w:rPr>
        <w:br/>
      </w:r>
      <w:r w:rsidR="00D205EB" w:rsidRPr="00A52AB8">
        <w:rPr>
          <w:color w:val="000000" w:themeColor="text1"/>
        </w:rPr>
        <w:tab/>
      </w:r>
      <w:r w:rsidR="00D205EB" w:rsidRPr="00A52AB8">
        <w:rPr>
          <w:color w:val="000000" w:themeColor="text1"/>
        </w:rPr>
        <w:tab/>
      </w:r>
      <w:r w:rsidR="00D205EB" w:rsidRPr="00A52AB8">
        <w:rPr>
          <w:color w:val="000000" w:themeColor="text1"/>
        </w:rPr>
        <w:tab/>
      </w:r>
      <w:r w:rsidR="00D205EB" w:rsidRPr="00A52AB8">
        <w:rPr>
          <w:color w:val="000000" w:themeColor="text1"/>
        </w:rPr>
        <w:tab/>
      </w:r>
      <w:r w:rsidR="00D205EB" w:rsidRPr="00A52AB8">
        <w:rPr>
          <w:color w:val="000000" w:themeColor="text1"/>
        </w:rPr>
        <w:tab/>
        <w:t>for</w:t>
      </w:r>
      <w:r w:rsidR="001C1396" w:rsidRPr="00A52AB8">
        <w:rPr>
          <w:color w:val="000000" w:themeColor="text1"/>
        </w:rPr>
        <w:t>( </w:t>
      </w:r>
      <w:r w:rsidR="00D205EB" w:rsidRPr="00A52AB8">
        <w:rPr>
          <w:color w:val="000000" w:themeColor="text1"/>
        </w:rPr>
        <w:t>c</w:t>
      </w:r>
      <w:r w:rsidR="00D47707" w:rsidRPr="00A52AB8">
        <w:rPr>
          <w:color w:val="000000" w:themeColor="text1"/>
        </w:rPr>
        <w:t> = </w:t>
      </w:r>
      <w:r w:rsidR="00D205EB" w:rsidRPr="00A52AB8">
        <w:rPr>
          <w:color w:val="000000" w:themeColor="text1"/>
        </w:rPr>
        <w:t>0;</w:t>
      </w:r>
      <w:r w:rsidR="006A06AE" w:rsidRPr="00A52AB8">
        <w:rPr>
          <w:color w:val="000000" w:themeColor="text1"/>
        </w:rPr>
        <w:t> </w:t>
      </w:r>
      <w:r w:rsidR="00D205EB" w:rsidRPr="00A52AB8">
        <w:rPr>
          <w:color w:val="000000" w:themeColor="text1"/>
        </w:rPr>
        <w:t>c</w:t>
      </w:r>
      <w:r w:rsidR="006A06AE" w:rsidRPr="00A52AB8">
        <w:rPr>
          <w:color w:val="000000" w:themeColor="text1"/>
        </w:rPr>
        <w:t> </w:t>
      </w:r>
      <w:r w:rsidR="00D205EB" w:rsidRPr="00A52AB8">
        <w:rPr>
          <w:color w:val="000000" w:themeColor="text1"/>
        </w:rPr>
        <w:t>&lt;</w:t>
      </w:r>
      <w:r w:rsidR="006A06AE" w:rsidRPr="00A52AB8">
        <w:rPr>
          <w:color w:val="000000" w:themeColor="text1"/>
        </w:rPr>
        <w:t> </w:t>
      </w:r>
      <w:r w:rsidR="00D205EB" w:rsidRPr="00A52AB8">
        <w:rPr>
          <w:color w:val="000000" w:themeColor="text1"/>
        </w:rPr>
        <w:t>ai_attribute_dimension_minus1[ </w:t>
      </w:r>
      <w:r w:rsidR="0030179A" w:rsidRPr="00A52AB8">
        <w:rPr>
          <w:color w:val="000000" w:themeColor="text1"/>
        </w:rPr>
        <w:t>RecAtlasID</w:t>
      </w:r>
      <w:r w:rsidR="00D205EB" w:rsidRPr="00A52AB8">
        <w:rPr>
          <w:color w:val="000000" w:themeColor="text1"/>
        </w:rPr>
        <w:t> ][ a ]</w:t>
      </w:r>
      <w:r w:rsidR="006A06AE" w:rsidRPr="00A52AB8">
        <w:rPr>
          <w:color w:val="000000" w:themeColor="text1"/>
        </w:rPr>
        <w:t> </w:t>
      </w:r>
      <w:r w:rsidR="00B87593" w:rsidRPr="00A52AB8">
        <w:rPr>
          <w:color w:val="000000" w:themeColor="text1"/>
        </w:rPr>
        <w:t>+</w:t>
      </w:r>
      <w:r w:rsidR="006A06AE" w:rsidRPr="00A52AB8">
        <w:rPr>
          <w:color w:val="000000" w:themeColor="text1"/>
        </w:rPr>
        <w:t> </w:t>
      </w:r>
      <w:r w:rsidR="00B87593" w:rsidRPr="00A52AB8">
        <w:rPr>
          <w:color w:val="000000" w:themeColor="text1"/>
        </w:rPr>
        <w:t>1</w:t>
      </w:r>
      <w:r w:rsidR="00D205EB" w:rsidRPr="00A52AB8">
        <w:rPr>
          <w:color w:val="000000" w:themeColor="text1"/>
        </w:rPr>
        <w:t>;</w:t>
      </w:r>
      <w:r w:rsidR="006A06AE" w:rsidRPr="00A52AB8">
        <w:rPr>
          <w:color w:val="000000" w:themeColor="text1"/>
        </w:rPr>
        <w:t> </w:t>
      </w:r>
      <w:r w:rsidR="00D205EB" w:rsidRPr="00A52AB8">
        <w:rPr>
          <w:color w:val="000000" w:themeColor="text1"/>
        </w:rPr>
        <w:t>c</w:t>
      </w:r>
      <w:r w:rsidR="00006CCF" w:rsidRPr="00A52AB8">
        <w:rPr>
          <w:color w:val="000000" w:themeColor="text1"/>
        </w:rPr>
        <w:t>++ )</w:t>
      </w:r>
      <w:r w:rsidR="001C1396" w:rsidRPr="00A52AB8">
        <w:rPr>
          <w:color w:val="000000" w:themeColor="text1"/>
        </w:rPr>
        <w:br/>
      </w:r>
      <w:r w:rsidR="006F1AB7" w:rsidRPr="00A52AB8">
        <w:rPr>
          <w:color w:val="000000" w:themeColor="text1"/>
        </w:rPr>
        <w:tab/>
      </w:r>
      <w:r w:rsidR="006F1AB7" w:rsidRPr="00A52AB8">
        <w:rPr>
          <w:color w:val="000000" w:themeColor="text1"/>
        </w:rPr>
        <w:tab/>
      </w:r>
      <w:r w:rsidR="006F1AB7" w:rsidRPr="00A52AB8">
        <w:rPr>
          <w:color w:val="000000" w:themeColor="text1"/>
        </w:rPr>
        <w:tab/>
      </w:r>
      <w:r w:rsidR="006F1AB7" w:rsidRPr="00A52AB8">
        <w:rPr>
          <w:color w:val="000000" w:themeColor="text1"/>
        </w:rPr>
        <w:tab/>
      </w:r>
      <w:r w:rsidR="006F1AB7" w:rsidRPr="00A52AB8">
        <w:rPr>
          <w:color w:val="000000" w:themeColor="text1"/>
        </w:rPr>
        <w:tab/>
      </w:r>
      <w:r w:rsidR="00001D4C" w:rsidRPr="00A52AB8">
        <w:rPr>
          <w:color w:val="000000" w:themeColor="text1"/>
        </w:rPr>
        <w:tab/>
      </w:r>
      <w:r w:rsidR="006F1AB7" w:rsidRPr="00A52AB8">
        <w:rPr>
          <w:color w:val="000000" w:themeColor="text1"/>
        </w:rPr>
        <w:t>aFrame</w:t>
      </w:r>
      <w:r w:rsidR="008D76ED" w:rsidRPr="00A52AB8">
        <w:rPr>
          <w:color w:val="000000" w:themeColor="text1"/>
        </w:rPr>
        <w:t>[ m ]</w:t>
      </w:r>
      <w:r w:rsidR="006F1AB7" w:rsidRPr="00A52AB8">
        <w:rPr>
          <w:color w:val="000000" w:themeColor="text1"/>
        </w:rPr>
        <w:t>[ </w:t>
      </w:r>
      <w:r w:rsidR="001C1396" w:rsidRPr="00A52AB8">
        <w:rPr>
          <w:color w:val="000000" w:themeColor="text1"/>
        </w:rPr>
        <w:t>a </w:t>
      </w:r>
      <w:r w:rsidR="006F1AB7" w:rsidRPr="00A52AB8">
        <w:rPr>
          <w:color w:val="000000" w:themeColor="text1"/>
        </w:rPr>
        <w:t>][ </w:t>
      </w:r>
      <w:r w:rsidR="00D205EB" w:rsidRPr="00A52AB8">
        <w:rPr>
          <w:color w:val="000000" w:themeColor="text1"/>
        </w:rPr>
        <w:t>c</w:t>
      </w:r>
      <w:r w:rsidR="006F1AB7" w:rsidRPr="00A52AB8">
        <w:rPr>
          <w:color w:val="000000" w:themeColor="text1"/>
        </w:rPr>
        <w:t> ][ j ][ i ]</w:t>
      </w:r>
      <w:r w:rsidR="00D47707" w:rsidRPr="00A52AB8">
        <w:rPr>
          <w:color w:val="000000" w:themeColor="text1"/>
        </w:rPr>
        <w:t> = </w:t>
      </w:r>
      <w:r w:rsidR="00244714" w:rsidRPr="00A52AB8">
        <w:rPr>
          <w:color w:val="000000" w:themeColor="text1"/>
        </w:rPr>
        <w:t>attrFrame</w:t>
      </w:r>
      <w:r w:rsidR="00153EEE" w:rsidRPr="00A52AB8">
        <w:rPr>
          <w:color w:val="000000" w:themeColor="text1"/>
        </w:rPr>
        <w:t>s</w:t>
      </w:r>
      <w:r w:rsidR="00734798" w:rsidRPr="00A52AB8">
        <w:rPr>
          <w:color w:val="000000" w:themeColor="text1"/>
        </w:rPr>
        <w:t>NF</w:t>
      </w:r>
      <w:r w:rsidR="00244714" w:rsidRPr="00A52AB8">
        <w:rPr>
          <w:color w:val="000000" w:themeColor="text1"/>
        </w:rPr>
        <w:t>[ a ][ m ][ compTimeIdx ][ c ][ j ][ i ]</w:t>
      </w:r>
      <w:r w:rsidR="001C1396" w:rsidRPr="00A52AB8">
        <w:rPr>
          <w:color w:val="000000" w:themeColor="text1"/>
        </w:rPr>
        <w:br/>
      </w:r>
      <w:r w:rsidR="003214B9" w:rsidRPr="00A52AB8">
        <w:rPr>
          <w:color w:val="000000" w:themeColor="text1"/>
        </w:rPr>
        <w:tab/>
      </w:r>
      <w:r w:rsidR="003214B9" w:rsidRPr="00A52AB8">
        <w:rPr>
          <w:color w:val="000000" w:themeColor="text1"/>
        </w:rPr>
        <w:tab/>
      </w:r>
      <w:r w:rsidR="003214B9" w:rsidRPr="00A52AB8">
        <w:rPr>
          <w:color w:val="000000" w:themeColor="text1"/>
        </w:rPr>
        <w:tab/>
        <w:t>}</w:t>
      </w:r>
      <w:r w:rsidR="001C1396" w:rsidRPr="00A52AB8">
        <w:rPr>
          <w:color w:val="000000" w:themeColor="text1"/>
        </w:rPr>
        <w:br/>
      </w:r>
      <w:r w:rsidR="00D7273B" w:rsidRPr="00A52AB8">
        <w:rPr>
          <w:color w:val="000000" w:themeColor="text1"/>
        </w:rPr>
        <w:tab/>
      </w:r>
      <w:r w:rsidR="00D7273B" w:rsidRPr="00A52AB8">
        <w:rPr>
          <w:color w:val="000000" w:themeColor="text1"/>
        </w:rPr>
        <w:tab/>
        <w:t>}</w:t>
      </w:r>
    </w:p>
    <w:p w14:paraId="6B6D8DF0" w14:textId="3F470EBC" w:rsidR="004D3ADC" w:rsidRPr="00A52AB8" w:rsidRDefault="00EB04FA" w:rsidP="004A6049">
      <w:pPr>
        <w:rPr>
          <w:color w:val="000000" w:themeColor="text1"/>
        </w:rPr>
      </w:pPr>
      <w:r w:rsidRPr="00A52AB8">
        <w:rPr>
          <w:color w:val="000000" w:themeColor="text1"/>
        </w:rPr>
        <w:t xml:space="preserve">When </w:t>
      </w:r>
      <w:r w:rsidR="00DE3AA8" w:rsidRPr="00A52AB8">
        <w:rPr>
          <w:color w:val="000000" w:themeColor="text1"/>
        </w:rPr>
        <w:t>asps</w:t>
      </w:r>
      <w:r w:rsidRPr="00A52AB8">
        <w:rPr>
          <w:color w:val="000000" w:themeColor="text1"/>
        </w:rPr>
        <w:t>_auxiliary_video_</w:t>
      </w:r>
      <w:r w:rsidR="00DE3AA8" w:rsidRPr="00A52AB8">
        <w:rPr>
          <w:color w:val="000000" w:themeColor="text1"/>
        </w:rPr>
        <w:t>enabled</w:t>
      </w:r>
      <w:r w:rsidRPr="00A52AB8">
        <w:rPr>
          <w:color w:val="000000" w:themeColor="text1"/>
        </w:rPr>
        <w:t>_flag is equal to 1, the arrays gAuxFrame</w:t>
      </w:r>
      <w:r w:rsidR="004B7314" w:rsidRPr="00A52AB8">
        <w:rPr>
          <w:color w:val="000000" w:themeColor="text1"/>
        </w:rPr>
        <w:t>[ y ][ x ]</w:t>
      </w:r>
      <w:r w:rsidRPr="00A52AB8">
        <w:rPr>
          <w:color w:val="000000" w:themeColor="text1"/>
        </w:rPr>
        <w:t xml:space="preserve"> and aAuxFrame[ attrIdx ]</w:t>
      </w:r>
      <w:r w:rsidR="00780B5E" w:rsidRPr="00A52AB8">
        <w:rPr>
          <w:color w:val="000000" w:themeColor="text1"/>
        </w:rPr>
        <w:t>[</w:t>
      </w:r>
      <w:r w:rsidRPr="00A52AB8">
        <w:rPr>
          <w:color w:val="000000" w:themeColor="text1"/>
        </w:rPr>
        <w:t> compIdx ]</w:t>
      </w:r>
      <w:r w:rsidR="004B7314" w:rsidRPr="00A52AB8">
        <w:rPr>
          <w:color w:val="000000" w:themeColor="text1"/>
        </w:rPr>
        <w:t>[ y ][ x ]</w:t>
      </w:r>
      <w:r w:rsidRPr="00A52AB8">
        <w:rPr>
          <w:color w:val="000000" w:themeColor="text1"/>
        </w:rPr>
        <w:t xml:space="preserve"> are derived as follows:</w:t>
      </w:r>
    </w:p>
    <w:p w14:paraId="64EB1B68" w14:textId="3B81FE08" w:rsidR="00000F26" w:rsidRPr="00A52AB8" w:rsidRDefault="00000F26">
      <w:pPr>
        <w:jc w:val="left"/>
        <w:rPr>
          <w:rFonts w:eastAsia="Malgun Gothic"/>
        </w:rPr>
      </w:pPr>
      <w:r w:rsidRPr="00A52AB8">
        <w:rPr>
          <w:color w:val="000000" w:themeColor="text1"/>
        </w:rPr>
        <w:tab/>
      </w:r>
      <w:r w:rsidRPr="00A52AB8">
        <w:rPr>
          <w:rFonts w:eastAsia="Malgun Gothic"/>
        </w:rPr>
        <w:t>if(</w:t>
      </w:r>
      <w:r w:rsidR="00A0721A" w:rsidRPr="00A52AB8">
        <w:rPr>
          <w:rFonts w:eastAsia="Malgun Gothic"/>
        </w:rPr>
        <w:t> </w:t>
      </w:r>
      <w:r w:rsidRPr="00A52AB8">
        <w:rPr>
          <w:rFonts w:eastAsia="Malgun Gothic"/>
        </w:rPr>
        <w:t>asps_raw_patch_enabled_flag</w:t>
      </w:r>
      <w:r w:rsidR="00A0721A" w:rsidRPr="00A52AB8">
        <w:rPr>
          <w:rFonts w:eastAsia="Malgun Gothic"/>
        </w:rPr>
        <w:t> </w:t>
      </w:r>
      <w:r w:rsidRPr="00A52AB8">
        <w:rPr>
          <w:rFonts w:eastAsia="Malgun Gothic"/>
        </w:rPr>
        <w:t>)</w:t>
      </w:r>
      <w:r w:rsidRPr="00A52AB8">
        <w:rPr>
          <w:color w:val="000000" w:themeColor="text1"/>
        </w:rPr>
        <w:br/>
      </w:r>
      <w:r w:rsidRPr="00A52AB8">
        <w:rPr>
          <w:rFonts w:eastAsia="Malgun Gothic"/>
        </w:rPr>
        <w:tab/>
      </w:r>
      <w:r w:rsidRPr="00A52AB8">
        <w:rPr>
          <w:rFonts w:eastAsia="Malgun Gothic"/>
        </w:rPr>
        <w:tab/>
        <w:t>for( j</w:t>
      </w:r>
      <w:r w:rsidR="00D47707" w:rsidRPr="00A52AB8">
        <w:rPr>
          <w:rFonts w:eastAsia="Malgun Gothic"/>
        </w:rPr>
        <w:t> = </w:t>
      </w:r>
      <w:r w:rsidRPr="00A52AB8">
        <w:rPr>
          <w:rFonts w:eastAsia="Malgun Gothic"/>
        </w:rPr>
        <w:t>0;</w:t>
      </w:r>
      <w:r w:rsidR="00A0721A" w:rsidRPr="00A52AB8">
        <w:rPr>
          <w:rFonts w:eastAsia="Malgun Gothic"/>
        </w:rPr>
        <w:t> </w:t>
      </w:r>
      <w:r w:rsidRPr="00A52AB8">
        <w:rPr>
          <w:rFonts w:eastAsia="Malgun Gothic"/>
        </w:rPr>
        <w:t>j</w:t>
      </w:r>
      <w:r w:rsidR="00A0721A" w:rsidRPr="00A52AB8">
        <w:rPr>
          <w:rFonts w:eastAsia="Malgun Gothic"/>
        </w:rPr>
        <w:t> </w:t>
      </w:r>
      <w:r w:rsidRPr="00A52AB8">
        <w:rPr>
          <w:rFonts w:eastAsia="Malgun Gothic"/>
        </w:rPr>
        <w:t>&lt;</w:t>
      </w:r>
      <w:r w:rsidR="006A06AE" w:rsidRPr="00A52AB8">
        <w:rPr>
          <w:rFonts w:eastAsia="Malgun Gothic"/>
        </w:rPr>
        <w:t> </w:t>
      </w:r>
      <w:r w:rsidR="007D654F" w:rsidRPr="00A52AB8">
        <w:rPr>
          <w:color w:val="000000" w:themeColor="text1"/>
        </w:rPr>
        <w:t>AuxVideoHeight</w:t>
      </w:r>
      <w:r w:rsidR="00734798" w:rsidRPr="00A52AB8">
        <w:rPr>
          <w:color w:val="000000" w:themeColor="text1"/>
        </w:rPr>
        <w:t>NF</w:t>
      </w:r>
      <w:r w:rsidRPr="00A52AB8">
        <w:rPr>
          <w:rFonts w:eastAsia="Malgun Gothic"/>
        </w:rPr>
        <w:t>;</w:t>
      </w:r>
      <w:r w:rsidR="00A0721A" w:rsidRPr="00A52AB8">
        <w:rPr>
          <w:rFonts w:eastAsia="Malgun Gothic"/>
        </w:rPr>
        <w:t> </w:t>
      </w:r>
      <w:r w:rsidRPr="00A52AB8">
        <w:rPr>
          <w:rFonts w:eastAsia="Malgun Gothic"/>
        </w:rPr>
        <w:t>j</w:t>
      </w:r>
      <w:r w:rsidR="00006CCF" w:rsidRPr="00A52AB8">
        <w:rPr>
          <w:rFonts w:eastAsia="Malgun Gothic"/>
        </w:rPr>
        <w:t>++ )</w:t>
      </w:r>
      <w:r w:rsidRPr="00A52AB8">
        <w:rPr>
          <w:rFonts w:eastAsia="Malgun Gothic"/>
        </w:rPr>
        <w:br/>
      </w:r>
      <w:r w:rsidRPr="00A52AB8">
        <w:rPr>
          <w:rFonts w:eastAsia="Malgun Gothic"/>
        </w:rPr>
        <w:tab/>
      </w:r>
      <w:r w:rsidRPr="00A52AB8">
        <w:rPr>
          <w:rFonts w:eastAsia="Malgun Gothic"/>
        </w:rPr>
        <w:tab/>
      </w:r>
      <w:r w:rsidRPr="00A52AB8">
        <w:rPr>
          <w:rFonts w:eastAsia="Malgun Gothic"/>
        </w:rPr>
        <w:tab/>
        <w:t>for( </w:t>
      </w:r>
      <w:r w:rsidR="00A0721A" w:rsidRPr="00A52AB8">
        <w:rPr>
          <w:rFonts w:eastAsia="Malgun Gothic"/>
        </w:rPr>
        <w:t>i</w:t>
      </w:r>
      <w:r w:rsidR="00D47707" w:rsidRPr="00A52AB8">
        <w:rPr>
          <w:rFonts w:eastAsia="Malgun Gothic"/>
        </w:rPr>
        <w:t> = </w:t>
      </w:r>
      <w:r w:rsidRPr="00A52AB8">
        <w:rPr>
          <w:rFonts w:eastAsia="Malgun Gothic"/>
        </w:rPr>
        <w:t>0;</w:t>
      </w:r>
      <w:r w:rsidR="00A0721A" w:rsidRPr="00A52AB8">
        <w:rPr>
          <w:rFonts w:eastAsia="Malgun Gothic"/>
        </w:rPr>
        <w:t> i </w:t>
      </w:r>
      <w:r w:rsidRPr="00A52AB8">
        <w:rPr>
          <w:rFonts w:eastAsia="Malgun Gothic"/>
        </w:rPr>
        <w:t>&lt;</w:t>
      </w:r>
      <w:r w:rsidR="00A0721A" w:rsidRPr="00A52AB8">
        <w:rPr>
          <w:rFonts w:eastAsia="Malgun Gothic"/>
        </w:rPr>
        <w:t> </w:t>
      </w:r>
      <w:r w:rsidR="007D654F" w:rsidRPr="00A52AB8">
        <w:rPr>
          <w:color w:val="000000" w:themeColor="text1"/>
        </w:rPr>
        <w:t>AuxVideoWidth</w:t>
      </w:r>
      <w:r w:rsidR="00734798" w:rsidRPr="00A52AB8">
        <w:rPr>
          <w:color w:val="000000" w:themeColor="text1"/>
        </w:rPr>
        <w:t>NF</w:t>
      </w:r>
      <w:r w:rsidRPr="00A52AB8">
        <w:rPr>
          <w:rFonts w:eastAsia="Malgun Gothic"/>
        </w:rPr>
        <w:t>;</w:t>
      </w:r>
      <w:r w:rsidR="00A0721A" w:rsidRPr="00A52AB8">
        <w:rPr>
          <w:rFonts w:eastAsia="Malgun Gothic"/>
        </w:rPr>
        <w:t> </w:t>
      </w:r>
      <w:r w:rsidRPr="00A52AB8">
        <w:rPr>
          <w:rFonts w:eastAsia="Malgun Gothic"/>
        </w:rPr>
        <w:t>i</w:t>
      </w:r>
      <w:r w:rsidR="00006CCF" w:rsidRPr="00A52AB8">
        <w:rPr>
          <w:rFonts w:eastAsia="Malgun Gothic"/>
        </w:rPr>
        <w:t>++ )</w:t>
      </w:r>
      <w:r w:rsidRPr="00A52AB8">
        <w:rPr>
          <w:rFonts w:eastAsia="Malgun Gothic"/>
        </w:rPr>
        <w:br/>
      </w:r>
      <w:r w:rsidRPr="00A52AB8">
        <w:rPr>
          <w:rFonts w:eastAsia="Malgun Gothic"/>
        </w:rPr>
        <w:tab/>
      </w:r>
      <w:r w:rsidRPr="00A52AB8">
        <w:rPr>
          <w:rFonts w:eastAsia="Malgun Gothic"/>
        </w:rPr>
        <w:tab/>
      </w:r>
      <w:r w:rsidRPr="00A52AB8">
        <w:rPr>
          <w:rFonts w:eastAsia="Malgun Gothic"/>
        </w:rPr>
        <w:tab/>
      </w:r>
      <w:r w:rsidRPr="00A52AB8">
        <w:rPr>
          <w:rFonts w:eastAsia="Malgun Gothic"/>
        </w:rPr>
        <w:tab/>
        <w:t>gAuxFrame[ j ][ i ]</w:t>
      </w:r>
      <w:r w:rsidR="00D47707" w:rsidRPr="00A52AB8">
        <w:rPr>
          <w:rFonts w:eastAsia="Malgun Gothic"/>
        </w:rPr>
        <w:t> = </w:t>
      </w:r>
      <w:r w:rsidRPr="00A52AB8">
        <w:rPr>
          <w:color w:val="000000" w:themeColor="text1"/>
        </w:rPr>
        <w:t>geoAuxFrame</w:t>
      </w:r>
      <w:r w:rsidR="00153EEE" w:rsidRPr="00A52AB8">
        <w:rPr>
          <w:color w:val="000000" w:themeColor="text1"/>
        </w:rPr>
        <w:t>s</w:t>
      </w:r>
      <w:r w:rsidRPr="00A52AB8">
        <w:rPr>
          <w:color w:val="000000" w:themeColor="text1"/>
        </w:rPr>
        <w:t>N</w:t>
      </w:r>
      <w:r w:rsidR="00B050C9" w:rsidRPr="00A52AB8">
        <w:rPr>
          <w:color w:val="000000" w:themeColor="text1"/>
        </w:rPr>
        <w:t>F</w:t>
      </w:r>
      <w:r w:rsidRPr="00A52AB8">
        <w:rPr>
          <w:color w:val="000000" w:themeColor="text1"/>
        </w:rPr>
        <w:t>[ compTimeIdx ][ 0 ][ j ][ i ]</w:t>
      </w:r>
    </w:p>
    <w:p w14:paraId="26D26DE0" w14:textId="7F9FAE30" w:rsidR="00EA047C" w:rsidRPr="00A52AB8" w:rsidRDefault="00000F26">
      <w:pPr>
        <w:jc w:val="left"/>
        <w:rPr>
          <w:color w:val="000000" w:themeColor="text1"/>
        </w:rPr>
      </w:pPr>
      <w:r w:rsidRPr="00A52AB8">
        <w:rPr>
          <w:color w:val="000000" w:themeColor="text1"/>
        </w:rPr>
        <w:tab/>
        <w:t>for( a</w:t>
      </w:r>
      <w:r w:rsidR="00D47707" w:rsidRPr="00A52AB8">
        <w:rPr>
          <w:color w:val="000000" w:themeColor="text1"/>
        </w:rPr>
        <w:t> = </w:t>
      </w:r>
      <w:r w:rsidRPr="00A52AB8">
        <w:rPr>
          <w:color w:val="000000" w:themeColor="text1"/>
        </w:rPr>
        <w:t>0;</w:t>
      </w:r>
      <w:r w:rsidR="00A0721A" w:rsidRPr="00A52AB8">
        <w:rPr>
          <w:color w:val="000000" w:themeColor="text1"/>
        </w:rPr>
        <w:t> </w:t>
      </w:r>
      <w:r w:rsidRPr="00A52AB8">
        <w:rPr>
          <w:color w:val="000000" w:themeColor="text1"/>
        </w:rPr>
        <w:t>a</w:t>
      </w:r>
      <w:r w:rsidR="00A0721A" w:rsidRPr="00A52AB8">
        <w:rPr>
          <w:color w:val="000000" w:themeColor="text1"/>
        </w:rPr>
        <w:t> </w:t>
      </w:r>
      <w:r w:rsidRPr="00A52AB8">
        <w:rPr>
          <w:color w:val="000000" w:themeColor="text1"/>
        </w:rPr>
        <w:t>&lt;</w:t>
      </w:r>
      <w:r w:rsidR="00A0721A" w:rsidRPr="00A52AB8">
        <w:rPr>
          <w:color w:val="000000" w:themeColor="text1"/>
        </w:rPr>
        <w:t> </w:t>
      </w:r>
      <w:r w:rsidRPr="00A52AB8">
        <w:rPr>
          <w:color w:val="000000" w:themeColor="text1"/>
        </w:rPr>
        <w:t>ai_attribute_count[ RecAtlasID ];</w:t>
      </w:r>
      <w:r w:rsidR="00A0721A" w:rsidRPr="00A52AB8">
        <w:rPr>
          <w:color w:val="000000" w:themeColor="text1"/>
        </w:rPr>
        <w:t> </w:t>
      </w:r>
      <w:r w:rsidRPr="00A52AB8">
        <w:rPr>
          <w:color w:val="000000" w:themeColor="text1"/>
        </w:rPr>
        <w:t>a</w:t>
      </w:r>
      <w:r w:rsidR="00006CCF" w:rsidRPr="00A52AB8">
        <w:rPr>
          <w:color w:val="000000" w:themeColor="text1"/>
        </w:rPr>
        <w:t>++ )</w:t>
      </w:r>
      <w:r w:rsidRPr="00A52AB8">
        <w:rPr>
          <w:color w:val="000000" w:themeColor="text1"/>
        </w:rPr>
        <w:br/>
      </w:r>
      <w:r w:rsidRPr="00A52AB8">
        <w:rPr>
          <w:color w:val="000000" w:themeColor="text1"/>
        </w:rPr>
        <w:tab/>
      </w:r>
      <w:r w:rsidRPr="00A52AB8">
        <w:rPr>
          <w:color w:val="000000" w:themeColor="text1"/>
        </w:rPr>
        <w:tab/>
        <w:t>for( c</w:t>
      </w:r>
      <w:r w:rsidR="00D47707" w:rsidRPr="00A52AB8">
        <w:rPr>
          <w:color w:val="000000" w:themeColor="text1"/>
        </w:rPr>
        <w:t> = </w:t>
      </w:r>
      <w:r w:rsidRPr="00A52AB8">
        <w:rPr>
          <w:color w:val="000000" w:themeColor="text1"/>
        </w:rPr>
        <w:t>0;</w:t>
      </w:r>
      <w:r w:rsidR="00A0721A" w:rsidRPr="00A52AB8">
        <w:rPr>
          <w:color w:val="000000" w:themeColor="text1"/>
        </w:rPr>
        <w:t> </w:t>
      </w:r>
      <w:r w:rsidRPr="00A52AB8">
        <w:rPr>
          <w:color w:val="000000" w:themeColor="text1"/>
        </w:rPr>
        <w:t>c</w:t>
      </w:r>
      <w:r w:rsidR="00A0721A" w:rsidRPr="00A52AB8">
        <w:rPr>
          <w:color w:val="000000" w:themeColor="text1"/>
        </w:rPr>
        <w:t> </w:t>
      </w:r>
      <w:r w:rsidRPr="00A52AB8">
        <w:rPr>
          <w:color w:val="000000" w:themeColor="text1"/>
        </w:rPr>
        <w:t>&lt;</w:t>
      </w:r>
      <w:r w:rsidR="00A0721A" w:rsidRPr="00A52AB8">
        <w:rPr>
          <w:color w:val="000000" w:themeColor="text1"/>
        </w:rPr>
        <w:t> </w:t>
      </w:r>
      <w:r w:rsidRPr="00A52AB8">
        <w:rPr>
          <w:color w:val="000000" w:themeColor="text1"/>
        </w:rPr>
        <w:t>ai_attribute_dimension_minus1[ RecAtlasID ][ a ] + 1; c</w:t>
      </w:r>
      <w:r w:rsidR="00006CCF" w:rsidRPr="00A52AB8">
        <w:rPr>
          <w:color w:val="000000" w:themeColor="text1"/>
        </w:rPr>
        <w:t>++ )</w:t>
      </w:r>
      <w:r w:rsidRPr="00A52AB8">
        <w:rPr>
          <w:color w:val="000000" w:themeColor="text1"/>
        </w:rPr>
        <w:br/>
      </w:r>
      <w:r w:rsidR="00C202E0" w:rsidRPr="00A52AB8">
        <w:rPr>
          <w:rFonts w:eastAsia="Malgun Gothic"/>
        </w:rPr>
        <w:tab/>
      </w:r>
      <w:r w:rsidRPr="00A52AB8">
        <w:rPr>
          <w:rFonts w:eastAsia="Malgun Gothic"/>
        </w:rPr>
        <w:tab/>
      </w:r>
      <w:r w:rsidRPr="00A52AB8">
        <w:rPr>
          <w:rFonts w:eastAsia="Malgun Gothic"/>
        </w:rPr>
        <w:tab/>
      </w:r>
      <w:r w:rsidR="00C202E0" w:rsidRPr="00A52AB8">
        <w:rPr>
          <w:rFonts w:eastAsia="Malgun Gothic"/>
        </w:rPr>
        <w:t>for</w:t>
      </w:r>
      <w:r w:rsidR="001C1396" w:rsidRPr="00A52AB8">
        <w:rPr>
          <w:rFonts w:eastAsia="Malgun Gothic"/>
        </w:rPr>
        <w:t>( </w:t>
      </w:r>
      <w:r w:rsidR="00C202E0" w:rsidRPr="00A52AB8">
        <w:rPr>
          <w:rFonts w:eastAsia="Malgun Gothic"/>
        </w:rPr>
        <w:t>j</w:t>
      </w:r>
      <w:r w:rsidR="00D47707" w:rsidRPr="00A52AB8">
        <w:rPr>
          <w:rFonts w:eastAsia="Malgun Gothic"/>
        </w:rPr>
        <w:t> = </w:t>
      </w:r>
      <w:r w:rsidR="00C202E0" w:rsidRPr="00A52AB8">
        <w:rPr>
          <w:rFonts w:eastAsia="Malgun Gothic"/>
        </w:rPr>
        <w:t>0;</w:t>
      </w:r>
      <w:r w:rsidR="00A0721A" w:rsidRPr="00A52AB8">
        <w:rPr>
          <w:rFonts w:eastAsia="Malgun Gothic"/>
        </w:rPr>
        <w:t> </w:t>
      </w:r>
      <w:r w:rsidR="00C202E0" w:rsidRPr="00A52AB8">
        <w:rPr>
          <w:rFonts w:eastAsia="Malgun Gothic"/>
        </w:rPr>
        <w:t>j</w:t>
      </w:r>
      <w:r w:rsidR="00A0721A" w:rsidRPr="00A52AB8">
        <w:rPr>
          <w:rFonts w:eastAsia="Malgun Gothic"/>
        </w:rPr>
        <w:t> </w:t>
      </w:r>
      <w:r w:rsidR="00C202E0" w:rsidRPr="00A52AB8">
        <w:rPr>
          <w:rFonts w:eastAsia="Malgun Gothic"/>
        </w:rPr>
        <w:t>&lt;</w:t>
      </w:r>
      <w:r w:rsidR="00A0721A" w:rsidRPr="00A52AB8">
        <w:rPr>
          <w:rFonts w:eastAsia="Malgun Gothic"/>
        </w:rPr>
        <w:t> </w:t>
      </w:r>
      <w:r w:rsidR="007D654F" w:rsidRPr="00A52AB8">
        <w:rPr>
          <w:color w:val="000000" w:themeColor="text1"/>
        </w:rPr>
        <w:t>AuxVideoHeight</w:t>
      </w:r>
      <w:r w:rsidR="00734798" w:rsidRPr="00A52AB8">
        <w:rPr>
          <w:color w:val="000000" w:themeColor="text1"/>
        </w:rPr>
        <w:t>NF</w:t>
      </w:r>
      <w:r w:rsidR="00C202E0" w:rsidRPr="00A52AB8">
        <w:rPr>
          <w:rFonts w:eastAsia="Malgun Gothic"/>
        </w:rPr>
        <w:t>;</w:t>
      </w:r>
      <w:r w:rsidR="00A0721A" w:rsidRPr="00A52AB8">
        <w:rPr>
          <w:rFonts w:eastAsia="Malgun Gothic"/>
        </w:rPr>
        <w:t> </w:t>
      </w:r>
      <w:r w:rsidR="00C202E0" w:rsidRPr="00A52AB8">
        <w:rPr>
          <w:rFonts w:eastAsia="Malgun Gothic"/>
        </w:rPr>
        <w:t>j</w:t>
      </w:r>
      <w:r w:rsidR="00006CCF" w:rsidRPr="00A52AB8">
        <w:rPr>
          <w:rFonts w:eastAsia="Malgun Gothic"/>
        </w:rPr>
        <w:t>++ )</w:t>
      </w:r>
      <w:r w:rsidR="001C1396" w:rsidRPr="00A52AB8">
        <w:rPr>
          <w:rFonts w:eastAsia="Malgun Gothic"/>
        </w:rPr>
        <w:br/>
      </w:r>
      <w:r w:rsidR="00C202E0" w:rsidRPr="00A52AB8">
        <w:rPr>
          <w:rFonts w:eastAsia="Malgun Gothic"/>
        </w:rPr>
        <w:tab/>
      </w:r>
      <w:r w:rsidR="00C202E0" w:rsidRPr="00A52AB8">
        <w:rPr>
          <w:rFonts w:eastAsia="Malgun Gothic"/>
        </w:rPr>
        <w:tab/>
      </w:r>
      <w:r w:rsidRPr="00A52AB8">
        <w:rPr>
          <w:rFonts w:eastAsia="Malgun Gothic"/>
        </w:rPr>
        <w:tab/>
      </w:r>
      <w:r w:rsidRPr="00A52AB8">
        <w:rPr>
          <w:rFonts w:eastAsia="Malgun Gothic"/>
        </w:rPr>
        <w:tab/>
      </w:r>
      <w:r w:rsidR="00C202E0" w:rsidRPr="00A52AB8">
        <w:rPr>
          <w:rFonts w:eastAsia="Malgun Gothic"/>
        </w:rPr>
        <w:t>for</w:t>
      </w:r>
      <w:r w:rsidR="001C1396" w:rsidRPr="00A52AB8">
        <w:rPr>
          <w:rFonts w:eastAsia="Malgun Gothic"/>
        </w:rPr>
        <w:t>( </w:t>
      </w:r>
      <w:r w:rsidR="00A0721A" w:rsidRPr="00A52AB8">
        <w:rPr>
          <w:rFonts w:eastAsia="Malgun Gothic"/>
        </w:rPr>
        <w:t>i</w:t>
      </w:r>
      <w:r w:rsidR="00D47707" w:rsidRPr="00A52AB8">
        <w:rPr>
          <w:rFonts w:eastAsia="Malgun Gothic"/>
        </w:rPr>
        <w:t> = </w:t>
      </w:r>
      <w:r w:rsidR="00C202E0" w:rsidRPr="00A52AB8">
        <w:rPr>
          <w:rFonts w:eastAsia="Malgun Gothic"/>
        </w:rPr>
        <w:t>0;</w:t>
      </w:r>
      <w:r w:rsidR="00A0721A" w:rsidRPr="00A52AB8">
        <w:rPr>
          <w:rFonts w:eastAsia="Malgun Gothic"/>
        </w:rPr>
        <w:t> i </w:t>
      </w:r>
      <w:r w:rsidR="00C202E0" w:rsidRPr="00A52AB8">
        <w:rPr>
          <w:rFonts w:eastAsia="Malgun Gothic"/>
        </w:rPr>
        <w:t>&lt;</w:t>
      </w:r>
      <w:r w:rsidR="00A0721A" w:rsidRPr="00A52AB8">
        <w:rPr>
          <w:rFonts w:eastAsia="Malgun Gothic"/>
        </w:rPr>
        <w:t> </w:t>
      </w:r>
      <w:r w:rsidR="007D654F" w:rsidRPr="00A52AB8">
        <w:rPr>
          <w:color w:val="000000" w:themeColor="text1"/>
        </w:rPr>
        <w:t>AuxVideoWidth</w:t>
      </w:r>
      <w:r w:rsidR="00734798" w:rsidRPr="00A52AB8">
        <w:rPr>
          <w:color w:val="000000" w:themeColor="text1"/>
        </w:rPr>
        <w:t>NF</w:t>
      </w:r>
      <w:r w:rsidR="00C202E0" w:rsidRPr="00A52AB8">
        <w:rPr>
          <w:rFonts w:eastAsia="Malgun Gothic"/>
        </w:rPr>
        <w:t>;</w:t>
      </w:r>
      <w:r w:rsidR="00A0721A" w:rsidRPr="00A52AB8">
        <w:rPr>
          <w:rFonts w:eastAsia="Malgun Gothic"/>
        </w:rPr>
        <w:t> </w:t>
      </w:r>
      <w:r w:rsidR="00C202E0" w:rsidRPr="00A52AB8">
        <w:rPr>
          <w:rFonts w:eastAsia="Malgun Gothic"/>
        </w:rPr>
        <w:t>i</w:t>
      </w:r>
      <w:r w:rsidR="00006CCF" w:rsidRPr="00A52AB8">
        <w:rPr>
          <w:rFonts w:eastAsia="Malgun Gothic"/>
        </w:rPr>
        <w:t>++ )</w:t>
      </w:r>
      <w:r w:rsidR="00F554F4" w:rsidRPr="00A52AB8">
        <w:rPr>
          <w:rFonts w:eastAsia="Malgun Gothic"/>
        </w:rPr>
        <w:br/>
      </w:r>
      <w:r w:rsidR="00F554F4" w:rsidRPr="00A52AB8">
        <w:rPr>
          <w:rFonts w:eastAsia="Malgun Gothic"/>
        </w:rPr>
        <w:tab/>
      </w:r>
      <w:r w:rsidR="00F554F4" w:rsidRPr="00A52AB8">
        <w:rPr>
          <w:rFonts w:eastAsia="Malgun Gothic"/>
        </w:rPr>
        <w:tab/>
      </w:r>
      <w:r w:rsidR="00F554F4" w:rsidRPr="00A52AB8">
        <w:rPr>
          <w:rFonts w:eastAsia="Malgun Gothic"/>
        </w:rPr>
        <w:tab/>
      </w:r>
      <w:r w:rsidR="00F554F4" w:rsidRPr="00A52AB8">
        <w:rPr>
          <w:rFonts w:eastAsia="Malgun Gothic"/>
        </w:rPr>
        <w:tab/>
      </w:r>
      <w:r w:rsidR="00F554F4" w:rsidRPr="00A52AB8">
        <w:rPr>
          <w:rFonts w:eastAsia="Malgun Gothic"/>
        </w:rPr>
        <w:tab/>
      </w:r>
      <w:r w:rsidR="00C202E0" w:rsidRPr="00A52AB8">
        <w:rPr>
          <w:color w:val="000000" w:themeColor="text1"/>
        </w:rPr>
        <w:t>aAuxFrame[ </w:t>
      </w:r>
      <w:r w:rsidR="001C1396" w:rsidRPr="00A52AB8">
        <w:rPr>
          <w:color w:val="000000" w:themeColor="text1"/>
        </w:rPr>
        <w:t>a </w:t>
      </w:r>
      <w:r w:rsidR="00C202E0" w:rsidRPr="00A52AB8">
        <w:rPr>
          <w:color w:val="000000" w:themeColor="text1"/>
        </w:rPr>
        <w:t>][ c ][ j ][ i ]</w:t>
      </w:r>
      <w:r w:rsidR="00D47707" w:rsidRPr="00A52AB8">
        <w:rPr>
          <w:color w:val="000000" w:themeColor="text1"/>
        </w:rPr>
        <w:t> = </w:t>
      </w:r>
      <w:r w:rsidR="00C02892" w:rsidRPr="00A52AB8">
        <w:rPr>
          <w:color w:val="000000" w:themeColor="text1"/>
        </w:rPr>
        <w:t>a</w:t>
      </w:r>
      <w:r w:rsidR="00C202E0" w:rsidRPr="00A52AB8">
        <w:rPr>
          <w:color w:val="000000" w:themeColor="text1"/>
        </w:rPr>
        <w:t>ttrAuxFrame</w:t>
      </w:r>
      <w:r w:rsidR="00153EEE" w:rsidRPr="00A52AB8">
        <w:rPr>
          <w:color w:val="000000" w:themeColor="text1"/>
        </w:rPr>
        <w:t>s</w:t>
      </w:r>
      <w:r w:rsidR="00734798" w:rsidRPr="00A52AB8">
        <w:rPr>
          <w:color w:val="000000" w:themeColor="text1"/>
        </w:rPr>
        <w:t>NF</w:t>
      </w:r>
      <w:r w:rsidR="00C202E0" w:rsidRPr="00A52AB8">
        <w:rPr>
          <w:color w:val="000000" w:themeColor="text1"/>
        </w:rPr>
        <w:t>[ a ][ compTimeIdx ][ c ][ j ][ i ]</w:t>
      </w:r>
    </w:p>
    <w:p w14:paraId="71CDFEAB" w14:textId="75949EDA" w:rsidR="00EA047C" w:rsidRPr="00A52AB8" w:rsidRDefault="00EA047C" w:rsidP="00007BE2">
      <w:pPr>
        <w:jc w:val="left"/>
        <w:rPr>
          <w:color w:val="000000" w:themeColor="text1"/>
        </w:rPr>
      </w:pPr>
      <w:r w:rsidRPr="00A52AB8">
        <w:rPr>
          <w:color w:val="000000" w:themeColor="text1"/>
        </w:rPr>
        <w:t>When asps_plr_enabled_flag is equal to 1</w:t>
      </w:r>
      <w:r w:rsidR="006A06AE" w:rsidRPr="00A52AB8">
        <w:rPr>
          <w:color w:val="000000" w:themeColor="text1"/>
        </w:rPr>
        <w:t xml:space="preserve"> </w:t>
      </w:r>
      <w:r w:rsidRPr="00A52AB8">
        <w:rPr>
          <w:color w:val="000000" w:themeColor="text1"/>
        </w:rPr>
        <w:t>the following applies:</w:t>
      </w:r>
    </w:p>
    <w:p w14:paraId="4D199F4B" w14:textId="337A558A" w:rsidR="006E7D16" w:rsidRPr="00A52AB8" w:rsidRDefault="002227F4"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Arrays</w:t>
      </w:r>
      <w:r w:rsidR="00EA047C" w:rsidRPr="00A52AB8">
        <w:rPr>
          <w:color w:val="000000" w:themeColor="text1"/>
        </w:rPr>
        <w:t xml:space="preserve"> plrMode[ p ]</w:t>
      </w:r>
      <w:r w:rsidR="00922858" w:rsidRPr="00A52AB8">
        <w:rPr>
          <w:color w:val="000000" w:themeColor="text1"/>
        </w:rPr>
        <w:t>[ mapIdx ]</w:t>
      </w:r>
      <w:r w:rsidR="00EA047C" w:rsidRPr="00A52AB8">
        <w:rPr>
          <w:color w:val="000000" w:themeColor="text1"/>
        </w:rPr>
        <w:t>[ bIdxY ][ bIdxX ]</w:t>
      </w:r>
      <w:r w:rsidRPr="00A52AB8">
        <w:rPr>
          <w:color w:val="000000" w:themeColor="text1"/>
        </w:rPr>
        <w:t>, plrInterpolateFlag[ mapIdx ][ bIdxY ][ bIdxX ], plrFillingFlag[ mapIdx ][ bIdxY ][ bIdxX ], plrMinimumDepth[ mapIdx ][ bIdxY ][ bIdxX ], and plrNeighbour[ mapIdx ][ bIdxY ][ bIdxX ] are</w:t>
      </w:r>
      <w:r w:rsidR="00EA047C" w:rsidRPr="00A52AB8">
        <w:rPr>
          <w:color w:val="000000" w:themeColor="text1"/>
        </w:rPr>
        <w:t xml:space="preserve"> derived for each block </w:t>
      </w:r>
      <w:r w:rsidR="00BD0FBB" w:rsidRPr="00A52AB8">
        <w:rPr>
          <w:color w:val="000000" w:themeColor="text1"/>
        </w:rPr>
        <w:t xml:space="preserve">with </w:t>
      </w:r>
      <w:r w:rsidR="00EA047C" w:rsidRPr="00A52AB8">
        <w:rPr>
          <w:color w:val="000000" w:themeColor="text1"/>
        </w:rPr>
        <w:t>coordinates (bIdxX</w:t>
      </w:r>
      <w:r w:rsidR="00BD0FBB" w:rsidRPr="00A52AB8">
        <w:rPr>
          <w:color w:val="000000" w:themeColor="text1"/>
        </w:rPr>
        <w:t>, </w:t>
      </w:r>
      <w:r w:rsidR="00EA047C" w:rsidRPr="00A52AB8">
        <w:rPr>
          <w:color w:val="000000" w:themeColor="text1"/>
        </w:rPr>
        <w:t>bIdxY</w:t>
      </w:r>
      <w:r w:rsidR="00BD0FBB" w:rsidRPr="00A52AB8">
        <w:rPr>
          <w:color w:val="000000" w:themeColor="text1"/>
        </w:rPr>
        <w:t> </w:t>
      </w:r>
      <w:r w:rsidR="00EA047C" w:rsidRPr="00A52AB8">
        <w:rPr>
          <w:color w:val="000000" w:themeColor="text1"/>
        </w:rPr>
        <w:t>)</w:t>
      </w:r>
      <w:r w:rsidR="00BD0FBB" w:rsidRPr="00A52AB8">
        <w:rPr>
          <w:color w:val="000000" w:themeColor="text1"/>
        </w:rPr>
        <w:t>,</w:t>
      </w:r>
      <w:r w:rsidR="00EA047C" w:rsidRPr="00A52AB8">
        <w:rPr>
          <w:color w:val="000000" w:themeColor="text1"/>
        </w:rPr>
        <w:t xml:space="preserve"> for the map </w:t>
      </w:r>
      <w:r w:rsidR="00BD0FBB" w:rsidRPr="00A52AB8">
        <w:rPr>
          <w:color w:val="000000" w:themeColor="text1"/>
        </w:rPr>
        <w:t xml:space="preserve">with index </w:t>
      </w:r>
      <w:r w:rsidR="00EA047C" w:rsidRPr="00A52AB8">
        <w:rPr>
          <w:color w:val="000000" w:themeColor="text1"/>
        </w:rPr>
        <w:t xml:space="preserve">mapIdx of the patch </w:t>
      </w:r>
      <w:r w:rsidR="00BD0FBB" w:rsidRPr="00A52AB8">
        <w:rPr>
          <w:color w:val="000000" w:themeColor="text1"/>
        </w:rPr>
        <w:t xml:space="preserve">with </w:t>
      </w:r>
      <w:r w:rsidR="00EA047C" w:rsidRPr="00A52AB8">
        <w:rPr>
          <w:color w:val="000000" w:themeColor="text1"/>
        </w:rPr>
        <w:t>index p, as follows:</w:t>
      </w:r>
    </w:p>
    <w:p w14:paraId="6B00E8D8" w14:textId="595D7E7F" w:rsidR="00BD0FBB" w:rsidRPr="00A52AB8" w:rsidRDefault="007E37DF"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For m</w:t>
      </w:r>
      <w:r w:rsidR="00D47707" w:rsidRPr="00A52AB8">
        <w:rPr>
          <w:color w:val="000000" w:themeColor="text1"/>
        </w:rPr>
        <w:t> = </w:t>
      </w:r>
      <w:r w:rsidRPr="00A52AB8">
        <w:rPr>
          <w:color w:val="000000" w:themeColor="text1"/>
        </w:rPr>
        <w:t>0.. asps_map_count_minus1</w:t>
      </w:r>
      <w:r w:rsidR="00BD0FBB" w:rsidRPr="00A52AB8">
        <w:rPr>
          <w:color w:val="000000" w:themeColor="text1"/>
        </w:rPr>
        <w:t xml:space="preserve"> and</w:t>
      </w:r>
      <w:r w:rsidRPr="00A52AB8">
        <w:rPr>
          <w:color w:val="000000" w:themeColor="text1"/>
        </w:rPr>
        <w:t xml:space="preserve"> p</w:t>
      </w:r>
      <w:r w:rsidR="00D47707" w:rsidRPr="00A52AB8">
        <w:rPr>
          <w:color w:val="000000" w:themeColor="text1"/>
        </w:rPr>
        <w:t> = </w:t>
      </w:r>
      <w:r w:rsidRPr="00A52AB8">
        <w:rPr>
          <w:color w:val="000000" w:themeColor="text1"/>
        </w:rPr>
        <w:t>0.. Atlas</w:t>
      </w:r>
      <w:r w:rsidR="00D12C68" w:rsidRPr="00A52AB8">
        <w:rPr>
          <w:color w:val="000000" w:themeColor="text1"/>
        </w:rPr>
        <w:t>TotalNum</w:t>
      </w:r>
      <w:r w:rsidRPr="00A52AB8">
        <w:rPr>
          <w:color w:val="000000" w:themeColor="text1"/>
        </w:rPr>
        <w:t>Patches – 1</w:t>
      </w:r>
      <w:r w:rsidR="00BD0FBB" w:rsidRPr="00A52AB8">
        <w:rPr>
          <w:color w:val="000000" w:themeColor="text1"/>
        </w:rPr>
        <w:t xml:space="preserve"> the following applies:</w:t>
      </w:r>
    </w:p>
    <w:p w14:paraId="76A9732E" w14:textId="4D6B637B" w:rsidR="004D1D53" w:rsidRPr="00A52AB8" w:rsidRDefault="004D1D5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1" w:hanging="403"/>
        <w:textAlignment w:val="baseline"/>
        <w:rPr>
          <w:color w:val="000000" w:themeColor="text1"/>
        </w:rPr>
      </w:pPr>
      <w:r w:rsidRPr="00A52AB8">
        <w:rPr>
          <w:color w:val="000000" w:themeColor="text1"/>
        </w:rPr>
        <w:t>Variables blockCnt and numCols are derived as follows:</w:t>
      </w:r>
    </w:p>
    <w:p w14:paraId="5DB4B1C2" w14:textId="72CAAA4C" w:rsidR="004D1D53" w:rsidRPr="00A52AB8" w:rsidRDefault="004D1D53" w:rsidP="00E860C4">
      <w:pPr>
        <w:rPr>
          <w:color w:val="000000" w:themeColor="text1"/>
        </w:rPr>
      </w:pPr>
      <w:r w:rsidRPr="00A52AB8">
        <w:tab/>
      </w:r>
      <w:r w:rsidRPr="00A52AB8">
        <w:tab/>
      </w:r>
      <w:r w:rsidRPr="00A52AB8">
        <w:tab/>
      </w:r>
      <w:r w:rsidR="00E4386A" w:rsidRPr="00A52AB8">
        <w:tab/>
      </w:r>
      <w:r w:rsidRPr="00A52AB8">
        <w:t>blockCnt</w:t>
      </w:r>
      <w:r w:rsidR="00D47707" w:rsidRPr="00A52AB8">
        <w:t> = </w:t>
      </w:r>
      <w:r w:rsidRPr="00A52AB8">
        <w:t>BlockCnt( AtlasPatch2dSizeX[ p ], AtlasPatch2dSizeY[ p ] )</w:t>
      </w:r>
      <w:r w:rsidRPr="00A52AB8">
        <w:br/>
      </w:r>
      <w:r w:rsidRPr="00A52AB8">
        <w:tab/>
      </w:r>
      <w:r w:rsidRPr="00A52AB8">
        <w:tab/>
      </w:r>
      <w:r w:rsidRPr="00A52AB8">
        <w:tab/>
      </w:r>
      <w:r w:rsidR="00E4386A" w:rsidRPr="00A52AB8">
        <w:tab/>
      </w:r>
      <w:r w:rsidRPr="00A52AB8">
        <w:t>numCols =</w:t>
      </w:r>
      <w:r w:rsidR="00C61E38" w:rsidRPr="00A52AB8">
        <w:br/>
      </w:r>
      <w:r w:rsidR="00E4386A" w:rsidRPr="00A52AB8">
        <w:tab/>
      </w:r>
      <w:r w:rsidR="00E4386A" w:rsidRPr="00A52AB8">
        <w:tab/>
      </w:r>
      <w:r w:rsidR="00E4386A" w:rsidRPr="00A52AB8">
        <w:tab/>
      </w:r>
      <w:r w:rsidR="00E4386A" w:rsidRPr="00A52AB8">
        <w:tab/>
      </w:r>
      <w:r w:rsidR="00E4386A" w:rsidRPr="00A52AB8">
        <w:tab/>
      </w:r>
      <w:r w:rsidRPr="00A52AB8">
        <w:t>(AtlasPatch2dSizeX[ p ] + PatchPackingBlockSize – 1 ) / PatchPackingBlockSize</w:t>
      </w:r>
    </w:p>
    <w:p w14:paraId="1CF19630" w14:textId="2DB39C9A" w:rsidR="007E37DF" w:rsidRPr="00A52AB8" w:rsidRDefault="00BD0FBB"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1" w:hanging="403"/>
        <w:textAlignment w:val="baseline"/>
        <w:rPr>
          <w:color w:val="000000" w:themeColor="text1"/>
        </w:rPr>
      </w:pPr>
      <w:r w:rsidRPr="00A52AB8">
        <w:rPr>
          <w:color w:val="000000" w:themeColor="text1"/>
        </w:rPr>
        <w:t>I</w:t>
      </w:r>
      <w:r w:rsidR="007E37DF" w:rsidRPr="00A52AB8">
        <w:rPr>
          <w:color w:val="000000" w:themeColor="text1"/>
        </w:rPr>
        <w:t>f plri_map_present_flag[ m ] is equal to 1, the following applies:</w:t>
      </w:r>
    </w:p>
    <w:p w14:paraId="4F5A353E" w14:textId="095D8622" w:rsidR="00E4386A" w:rsidRPr="00A52AB8" w:rsidRDefault="004A0BAE" w:rsidP="00FB4953">
      <w:r w:rsidRPr="00A52AB8">
        <w:tab/>
      </w:r>
      <w:r w:rsidRPr="00A52AB8">
        <w:tab/>
      </w:r>
      <w:r w:rsidR="00E4386A" w:rsidRPr="00A52AB8">
        <w:tab/>
      </w:r>
      <w:r w:rsidRPr="00A52AB8">
        <w:tab/>
      </w:r>
      <w:r w:rsidR="00126651" w:rsidRPr="00A52AB8">
        <w:t>for ( n</w:t>
      </w:r>
      <w:r w:rsidR="00D47707" w:rsidRPr="00A52AB8">
        <w:t> = </w:t>
      </w:r>
      <w:r w:rsidR="00126651" w:rsidRPr="00A52AB8">
        <w:t>0; n &lt; blockCnt; n++ </w:t>
      </w:r>
      <w:r w:rsidR="008F1F82" w:rsidRPr="00A52AB8">
        <w:t>) {</w:t>
      </w:r>
      <w:r w:rsidR="00126651" w:rsidRPr="00A52AB8">
        <w:br/>
      </w:r>
      <w:r w:rsidRPr="00A52AB8">
        <w:tab/>
      </w:r>
      <w:r w:rsidRPr="00A52AB8">
        <w:tab/>
      </w:r>
      <w:r w:rsidRPr="00A52AB8">
        <w:tab/>
      </w:r>
      <w:r w:rsidR="00E4386A" w:rsidRPr="00A52AB8">
        <w:tab/>
      </w:r>
      <w:r w:rsidRPr="00A52AB8">
        <w:tab/>
      </w:r>
      <w:r w:rsidR="000C1228" w:rsidRPr="00A52AB8">
        <w:t>bIdx</w:t>
      </w:r>
      <w:r w:rsidR="00126651" w:rsidRPr="00A52AB8">
        <w:t>Y</w:t>
      </w:r>
      <w:r w:rsidR="00D47707" w:rsidRPr="00A52AB8">
        <w:t> = </w:t>
      </w:r>
      <w:r w:rsidR="00126651" w:rsidRPr="00A52AB8">
        <w:t>n / </w:t>
      </w:r>
      <w:r w:rsidR="000C1228" w:rsidRPr="00A52AB8">
        <w:t>numCols</w:t>
      </w:r>
      <w:r w:rsidR="000C1228" w:rsidRPr="00A52AB8">
        <w:br/>
      </w:r>
      <w:r w:rsidRPr="00A52AB8">
        <w:tab/>
      </w:r>
      <w:r w:rsidRPr="00A52AB8">
        <w:tab/>
      </w:r>
      <w:r w:rsidRPr="00A52AB8">
        <w:tab/>
      </w:r>
      <w:r w:rsidR="00E4386A" w:rsidRPr="00A52AB8">
        <w:tab/>
      </w:r>
      <w:r w:rsidRPr="00A52AB8">
        <w:tab/>
      </w:r>
      <w:r w:rsidR="000C1228" w:rsidRPr="00A52AB8">
        <w:t>bIdxX</w:t>
      </w:r>
      <w:r w:rsidR="00D47707" w:rsidRPr="00A52AB8">
        <w:t> = </w:t>
      </w:r>
      <w:r w:rsidR="000C1228" w:rsidRPr="00A52AB8">
        <w:t>n % numCols</w:t>
      </w:r>
    </w:p>
    <w:p w14:paraId="5B9ED83E" w14:textId="27BD676B" w:rsidR="00EA047C" w:rsidRPr="00A52AB8" w:rsidRDefault="00E4386A" w:rsidP="00FB4953">
      <w:pPr>
        <w:rPr>
          <w:color w:val="000000" w:themeColor="text1"/>
        </w:rPr>
      </w:pPr>
      <w:r w:rsidRPr="00A52AB8">
        <w:tab/>
      </w:r>
      <w:r w:rsidR="004A0BAE" w:rsidRPr="00A52AB8">
        <w:tab/>
      </w:r>
      <w:r w:rsidR="004A0BAE" w:rsidRPr="00A52AB8">
        <w:tab/>
      </w:r>
      <w:r w:rsidR="004A0BAE" w:rsidRPr="00A52AB8">
        <w:tab/>
      </w:r>
      <w:r w:rsidR="004A0BAE" w:rsidRPr="00A52AB8">
        <w:tab/>
      </w:r>
      <w:r w:rsidR="00EA047C" w:rsidRPr="00A52AB8">
        <w:t>if(</w:t>
      </w:r>
      <w:r w:rsidR="004A0BAE" w:rsidRPr="00A52AB8">
        <w:t> </w:t>
      </w:r>
      <w:r w:rsidR="00EA047C" w:rsidRPr="00A52AB8">
        <w:t>AtlasPlrdLevel[ p ]</w:t>
      </w:r>
      <w:r w:rsidR="00922858" w:rsidRPr="00A52AB8">
        <w:t>[ m ]</w:t>
      </w:r>
      <w:r w:rsidR="008768E9" w:rsidRPr="00A52AB8">
        <w:t> </w:t>
      </w:r>
      <w:r w:rsidR="00726AAE" w:rsidRPr="00A52AB8">
        <w:t>==</w:t>
      </w:r>
      <w:r w:rsidR="00D47707" w:rsidRPr="00A52AB8">
        <w:t> </w:t>
      </w:r>
      <w:r w:rsidR="00EA047C" w:rsidRPr="00A52AB8">
        <w:t>0 )</w:t>
      </w:r>
      <w:r w:rsidR="000C1228" w:rsidRPr="00A52AB8">
        <w:br/>
      </w:r>
      <w:r w:rsidR="004A0BAE" w:rsidRPr="00A52AB8">
        <w:tab/>
      </w:r>
      <w:r w:rsidR="004A0BAE" w:rsidRPr="00A52AB8">
        <w:tab/>
      </w:r>
      <w:r w:rsidR="004A0BAE" w:rsidRPr="00A52AB8">
        <w:tab/>
      </w:r>
      <w:r w:rsidR="004A0BAE" w:rsidRPr="00A52AB8">
        <w:tab/>
      </w:r>
      <w:r w:rsidRPr="00A52AB8">
        <w:tab/>
      </w:r>
      <w:r w:rsidR="004A0BAE" w:rsidRPr="00A52AB8">
        <w:tab/>
      </w:r>
      <w:r w:rsidR="000C1228" w:rsidRPr="00A52AB8">
        <w:t>if( AtlasPlrdPresentBlockFlag[ p ][ m ][ n ]</w:t>
      </w:r>
      <w:r w:rsidR="008768E9" w:rsidRPr="00A52AB8">
        <w:t> </w:t>
      </w:r>
      <w:r w:rsidR="00726AAE" w:rsidRPr="00A52AB8">
        <w:t>==</w:t>
      </w:r>
      <w:r w:rsidR="00D47707" w:rsidRPr="00A52AB8">
        <w:t> </w:t>
      </w:r>
      <w:r w:rsidR="000C1228" w:rsidRPr="00A52AB8">
        <w:t>0 )</w:t>
      </w:r>
      <w:r w:rsidR="000C1228" w:rsidRPr="00A52AB8">
        <w:br/>
      </w:r>
      <w:r w:rsidR="000C1228" w:rsidRPr="00A52AB8">
        <w:tab/>
      </w:r>
      <w:r w:rsidR="000C1228" w:rsidRPr="00A52AB8">
        <w:tab/>
      </w:r>
      <w:r w:rsidR="000C1228" w:rsidRPr="00A52AB8">
        <w:tab/>
      </w:r>
      <w:r w:rsidRPr="00A52AB8">
        <w:tab/>
      </w:r>
      <w:r w:rsidR="004A0BAE" w:rsidRPr="00A52AB8">
        <w:tab/>
      </w:r>
      <w:r w:rsidR="004A0BAE" w:rsidRPr="00A52AB8">
        <w:tab/>
      </w:r>
      <w:r w:rsidR="004A0BAE" w:rsidRPr="00A52AB8">
        <w:tab/>
      </w:r>
      <w:r w:rsidR="000C1228" w:rsidRPr="00A52AB8">
        <w:t>plrMode[ p ][ m ][ bIdxY ][ bIdxX ]</w:t>
      </w:r>
      <w:r w:rsidR="00D47707" w:rsidRPr="00A52AB8">
        <w:t> = </w:t>
      </w:r>
      <w:r w:rsidR="000C1228" w:rsidRPr="00A52AB8">
        <w:t>0</w:t>
      </w:r>
      <w:r w:rsidR="000C1228" w:rsidRPr="00A52AB8">
        <w:br/>
      </w:r>
      <w:r w:rsidR="000C1228" w:rsidRPr="00A52AB8">
        <w:tab/>
      </w:r>
      <w:r w:rsidR="000C1228" w:rsidRPr="00A52AB8">
        <w:tab/>
      </w:r>
      <w:r w:rsidR="004A0BAE" w:rsidRPr="00A52AB8">
        <w:tab/>
      </w:r>
      <w:r w:rsidRPr="00A52AB8">
        <w:tab/>
      </w:r>
      <w:r w:rsidR="004A0BAE" w:rsidRPr="00A52AB8">
        <w:tab/>
      </w:r>
      <w:r w:rsidR="004A0BAE" w:rsidRPr="00A52AB8">
        <w:tab/>
      </w:r>
      <w:r w:rsidR="000C1228" w:rsidRPr="00A52AB8">
        <w:t>else</w:t>
      </w:r>
      <w:r w:rsidR="000C1228" w:rsidRPr="00A52AB8">
        <w:br/>
      </w:r>
      <w:r w:rsidR="00EA047C" w:rsidRPr="00A52AB8">
        <w:tab/>
      </w:r>
      <w:r w:rsidR="00DD2F5A" w:rsidRPr="00A52AB8">
        <w:tab/>
      </w:r>
      <w:r w:rsidR="003F3099" w:rsidRPr="00A52AB8">
        <w:tab/>
      </w:r>
      <w:r w:rsidRPr="00A52AB8">
        <w:tab/>
      </w:r>
      <w:r w:rsidR="004A0BAE" w:rsidRPr="00A52AB8">
        <w:tab/>
      </w:r>
      <w:r w:rsidR="004A0BAE" w:rsidRPr="00A52AB8">
        <w:tab/>
      </w:r>
      <w:r w:rsidR="004A0BAE" w:rsidRPr="00A52AB8">
        <w:tab/>
      </w:r>
      <w:r w:rsidR="00EA047C" w:rsidRPr="00A52AB8">
        <w:t>plrMode</w:t>
      </w:r>
      <w:r w:rsidR="00E60761" w:rsidRPr="00A52AB8">
        <w:t>[ p ]</w:t>
      </w:r>
      <w:r w:rsidR="00102A86" w:rsidRPr="00A52AB8">
        <w:t>[ m ]</w:t>
      </w:r>
      <w:r w:rsidR="00EA047C" w:rsidRPr="00A52AB8">
        <w:t>[ bIdxY ][ bIdxX ] =</w:t>
      </w:r>
      <w:r w:rsidR="003F3099" w:rsidRPr="00A52AB8">
        <w:br/>
      </w:r>
      <w:r w:rsidR="003F3099" w:rsidRPr="00A52AB8">
        <w:tab/>
      </w:r>
      <w:r w:rsidR="003F3099" w:rsidRPr="00A52AB8">
        <w:tab/>
      </w:r>
      <w:r w:rsidR="003F3099" w:rsidRPr="00A52AB8">
        <w:tab/>
      </w:r>
      <w:r w:rsidR="003F3099" w:rsidRPr="00A52AB8">
        <w:tab/>
      </w:r>
      <w:r w:rsidR="004A0BAE" w:rsidRPr="00A52AB8">
        <w:tab/>
      </w:r>
      <w:r w:rsidR="004A0BAE" w:rsidRPr="00A52AB8">
        <w:tab/>
      </w:r>
      <w:r w:rsidR="004A0BAE" w:rsidRPr="00A52AB8">
        <w:tab/>
      </w:r>
      <w:r w:rsidR="004A0BAE" w:rsidRPr="00A52AB8">
        <w:tab/>
      </w:r>
      <w:r w:rsidR="000C1228" w:rsidRPr="00A52AB8">
        <w:t>AtlasPlrdBlockModeMinus1[ p ][ m ][ n ] + 1</w:t>
      </w:r>
      <w:r w:rsidR="000C1228" w:rsidRPr="00A52AB8">
        <w:br/>
      </w:r>
      <w:r w:rsidR="00EA047C" w:rsidRPr="00A52AB8">
        <w:tab/>
      </w:r>
      <w:r w:rsidR="004A0BAE" w:rsidRPr="00A52AB8">
        <w:tab/>
      </w:r>
      <w:r w:rsidR="004A0BAE" w:rsidRPr="00A52AB8">
        <w:tab/>
      </w:r>
      <w:r w:rsidRPr="00A52AB8">
        <w:tab/>
      </w:r>
      <w:r w:rsidR="004A0BAE" w:rsidRPr="00A52AB8">
        <w:tab/>
      </w:r>
      <w:r w:rsidR="00EA047C" w:rsidRPr="00A52AB8">
        <w:t>else</w:t>
      </w:r>
      <w:r w:rsidR="004A0BAE" w:rsidRPr="00A52AB8">
        <w:t> </w:t>
      </w:r>
      <w:r w:rsidR="00D63ACE" w:rsidRPr="00A52AB8">
        <w:t>if(</w:t>
      </w:r>
      <w:r w:rsidR="000B2401" w:rsidRPr="00A52AB8">
        <w:t> AtlasPlrdPresentFlag[ p ][ m ]</w:t>
      </w:r>
      <w:r w:rsidR="008768E9" w:rsidRPr="00A52AB8">
        <w:t> </w:t>
      </w:r>
      <w:r w:rsidR="00726AAE" w:rsidRPr="00A52AB8">
        <w:t>==</w:t>
      </w:r>
      <w:r w:rsidR="00D47707" w:rsidRPr="00A52AB8">
        <w:t> </w:t>
      </w:r>
      <w:r w:rsidR="000B2401" w:rsidRPr="00A52AB8">
        <w:t>0</w:t>
      </w:r>
      <w:r w:rsidR="00396B4D" w:rsidRPr="00A52AB8">
        <w:t> )</w:t>
      </w:r>
      <w:r w:rsidR="000C1228" w:rsidRPr="00A52AB8">
        <w:br/>
      </w:r>
      <w:r w:rsidR="00EA047C" w:rsidRPr="00A52AB8">
        <w:tab/>
      </w:r>
      <w:r w:rsidR="00EA047C" w:rsidRPr="00A52AB8">
        <w:tab/>
      </w:r>
      <w:r w:rsidR="004A0BAE" w:rsidRPr="00A52AB8">
        <w:tab/>
      </w:r>
      <w:r w:rsidR="004A0BAE" w:rsidRPr="00A52AB8">
        <w:tab/>
      </w:r>
      <w:r w:rsidRPr="00A52AB8">
        <w:tab/>
      </w:r>
      <w:r w:rsidR="004A0BAE" w:rsidRPr="00A52AB8">
        <w:tab/>
      </w:r>
      <w:r w:rsidR="00EA047C" w:rsidRPr="00A52AB8">
        <w:t>plrMode[ p ]</w:t>
      </w:r>
      <w:r w:rsidR="00102A86" w:rsidRPr="00A52AB8">
        <w:t>[ m ]</w:t>
      </w:r>
      <w:r w:rsidR="00EA047C" w:rsidRPr="00A52AB8">
        <w:t>[ bIdxY ][ bIdxX ]</w:t>
      </w:r>
      <w:r w:rsidR="00D47707" w:rsidRPr="00A52AB8">
        <w:t> = </w:t>
      </w:r>
      <w:r w:rsidR="000B2401" w:rsidRPr="00A52AB8">
        <w:t>0</w:t>
      </w:r>
      <w:r w:rsidR="000B2401" w:rsidRPr="00A52AB8">
        <w:br/>
      </w:r>
      <w:r w:rsidR="000B2401" w:rsidRPr="00A52AB8">
        <w:tab/>
      </w:r>
      <w:r w:rsidR="004A0BAE" w:rsidRPr="00A52AB8">
        <w:tab/>
      </w:r>
      <w:r w:rsidR="004A0BAE" w:rsidRPr="00A52AB8">
        <w:tab/>
      </w:r>
      <w:r w:rsidRPr="00A52AB8">
        <w:tab/>
      </w:r>
      <w:r w:rsidR="004A0BAE" w:rsidRPr="00A52AB8">
        <w:tab/>
      </w:r>
      <w:r w:rsidR="000B2401" w:rsidRPr="00A52AB8">
        <w:t>else</w:t>
      </w:r>
      <w:r w:rsidR="00102A86" w:rsidRPr="00A52AB8">
        <w:br/>
      </w:r>
      <w:r w:rsidR="00EA047C" w:rsidRPr="00A52AB8">
        <w:tab/>
      </w:r>
      <w:r w:rsidR="00EA047C" w:rsidRPr="00A52AB8">
        <w:tab/>
      </w:r>
      <w:r w:rsidR="004A0BAE" w:rsidRPr="00A52AB8">
        <w:tab/>
      </w:r>
      <w:r w:rsidR="004A0BAE" w:rsidRPr="00A52AB8">
        <w:tab/>
      </w:r>
      <w:r w:rsidRPr="00A52AB8">
        <w:tab/>
      </w:r>
      <w:r w:rsidR="004A0BAE" w:rsidRPr="00A52AB8">
        <w:tab/>
      </w:r>
      <w:r w:rsidR="000B2401" w:rsidRPr="00A52AB8">
        <w:t>plrMode[ p ][ m ][ bIdxY ][ bIdxX ]</w:t>
      </w:r>
      <w:r w:rsidR="00D47707" w:rsidRPr="00A52AB8">
        <w:t> = </w:t>
      </w:r>
      <w:r w:rsidR="00EA047C" w:rsidRPr="00A52AB8">
        <w:t>AtlasPlrdModeMinus1[ p ]</w:t>
      </w:r>
      <w:r w:rsidR="00922858" w:rsidRPr="00A52AB8">
        <w:t>[ m ] </w:t>
      </w:r>
      <w:r w:rsidR="00EA047C" w:rsidRPr="00A52AB8">
        <w:t>+ 1</w:t>
      </w:r>
      <w:r w:rsidR="002227F4" w:rsidRPr="00A52AB8">
        <w:br/>
      </w:r>
      <w:r w:rsidR="002227F4" w:rsidRPr="00A52AB8">
        <w:br/>
      </w:r>
      <w:r w:rsidR="002227F4" w:rsidRPr="00A52AB8">
        <w:tab/>
      </w:r>
      <w:r w:rsidR="002227F4" w:rsidRPr="00A52AB8">
        <w:tab/>
      </w:r>
      <w:r w:rsidR="002227F4" w:rsidRPr="00A52AB8">
        <w:tab/>
      </w:r>
      <w:r w:rsidRPr="00A52AB8">
        <w:tab/>
      </w:r>
      <w:r w:rsidR="002227F4" w:rsidRPr="00A52AB8">
        <w:tab/>
        <w:t>pMode</w:t>
      </w:r>
      <w:r w:rsidR="00D47707" w:rsidRPr="00A52AB8">
        <w:t> = </w:t>
      </w:r>
      <w:r w:rsidR="002227F4" w:rsidRPr="00A52AB8">
        <w:rPr>
          <w:color w:val="000000" w:themeColor="text1"/>
        </w:rPr>
        <w:t>plrMode[ p ][ m ][ bIdxY ][ bIdxX ]</w:t>
      </w:r>
      <w:r w:rsidR="002227F4" w:rsidRPr="00A52AB8">
        <w:br/>
      </w:r>
      <w:r w:rsidR="002227F4" w:rsidRPr="00A52AB8">
        <w:rPr>
          <w:color w:val="000000" w:themeColor="text1"/>
        </w:rPr>
        <w:tab/>
      </w:r>
      <w:r w:rsidR="002227F4" w:rsidRPr="00A52AB8">
        <w:rPr>
          <w:color w:val="000000" w:themeColor="text1"/>
        </w:rPr>
        <w:tab/>
      </w:r>
      <w:r w:rsidRPr="00A52AB8">
        <w:rPr>
          <w:color w:val="000000" w:themeColor="text1"/>
        </w:rPr>
        <w:tab/>
      </w:r>
      <w:r w:rsidR="002227F4" w:rsidRPr="00A52AB8">
        <w:rPr>
          <w:color w:val="000000" w:themeColor="text1"/>
        </w:rPr>
        <w:tab/>
      </w:r>
      <w:r w:rsidR="002227F4" w:rsidRPr="00A52AB8">
        <w:rPr>
          <w:color w:val="000000" w:themeColor="text1"/>
        </w:rPr>
        <w:tab/>
        <w:t>plrInterpolateFlag[ m ][ bIdxY ][ bIdxX ]</w:t>
      </w:r>
      <w:r w:rsidR="00D47707" w:rsidRPr="00A52AB8">
        <w:rPr>
          <w:color w:val="000000" w:themeColor="text1"/>
        </w:rPr>
        <w:t> = </w:t>
      </w:r>
      <w:r w:rsidR="002227F4" w:rsidRPr="00A52AB8">
        <w:rPr>
          <w:color w:val="000000" w:themeColor="text1"/>
        </w:rPr>
        <w:t>plri_interpolate_flag[ m ][ pMode ]</w:t>
      </w:r>
      <w:r w:rsidR="002227F4" w:rsidRPr="00A52AB8">
        <w:rPr>
          <w:color w:val="000000" w:themeColor="text1"/>
        </w:rPr>
        <w:br/>
      </w:r>
      <w:r w:rsidR="002227F4" w:rsidRPr="00A52AB8">
        <w:rPr>
          <w:color w:val="000000" w:themeColor="text1"/>
        </w:rPr>
        <w:tab/>
      </w:r>
      <w:r w:rsidR="002227F4" w:rsidRPr="00A52AB8">
        <w:rPr>
          <w:color w:val="000000" w:themeColor="text1"/>
        </w:rPr>
        <w:tab/>
      </w:r>
      <w:r w:rsidRPr="00A52AB8">
        <w:rPr>
          <w:color w:val="000000" w:themeColor="text1"/>
        </w:rPr>
        <w:tab/>
      </w:r>
      <w:r w:rsidR="002227F4" w:rsidRPr="00A52AB8">
        <w:rPr>
          <w:color w:val="000000" w:themeColor="text1"/>
        </w:rPr>
        <w:tab/>
      </w:r>
      <w:r w:rsidR="002227F4" w:rsidRPr="00A52AB8">
        <w:rPr>
          <w:color w:val="000000" w:themeColor="text1"/>
        </w:rPr>
        <w:tab/>
        <w:t>plrFillingFlag[ m ][ bIdxY ][ bIdxX ]</w:t>
      </w:r>
      <w:r w:rsidR="00D47707" w:rsidRPr="00A52AB8">
        <w:rPr>
          <w:color w:val="000000" w:themeColor="text1"/>
        </w:rPr>
        <w:t> = </w:t>
      </w:r>
      <w:r w:rsidR="002227F4" w:rsidRPr="00A52AB8">
        <w:t>plri_filling_flag[ m ][ pMode ]</w:t>
      </w:r>
      <w:r w:rsidR="002227F4" w:rsidRPr="00A52AB8">
        <w:br/>
      </w:r>
      <w:r w:rsidR="002227F4" w:rsidRPr="00A52AB8">
        <w:rPr>
          <w:color w:val="000000" w:themeColor="text1"/>
        </w:rPr>
        <w:tab/>
      </w:r>
      <w:r w:rsidR="002227F4" w:rsidRPr="00A52AB8">
        <w:rPr>
          <w:color w:val="000000" w:themeColor="text1"/>
        </w:rPr>
        <w:tab/>
      </w:r>
      <w:r w:rsidRPr="00A52AB8">
        <w:rPr>
          <w:color w:val="000000" w:themeColor="text1"/>
        </w:rPr>
        <w:tab/>
      </w:r>
      <w:r w:rsidR="002227F4" w:rsidRPr="00A52AB8">
        <w:rPr>
          <w:color w:val="000000" w:themeColor="text1"/>
        </w:rPr>
        <w:tab/>
      </w:r>
      <w:r w:rsidR="002227F4" w:rsidRPr="00A52AB8">
        <w:rPr>
          <w:color w:val="000000" w:themeColor="text1"/>
        </w:rPr>
        <w:tab/>
        <w:t>plrMinimumDepth[ m ][ bIdxY ][ bIdxX ]</w:t>
      </w:r>
      <w:r w:rsidR="00D47707" w:rsidRPr="00A52AB8">
        <w:rPr>
          <w:color w:val="000000" w:themeColor="text1"/>
        </w:rPr>
        <w:t> = </w:t>
      </w:r>
      <w:r w:rsidR="002227F4" w:rsidRPr="00A52AB8">
        <w:rPr>
          <w:color w:val="000000" w:themeColor="text1"/>
        </w:rPr>
        <w:t>plri_minimum_depth[ m ][ pMode ]</w:t>
      </w:r>
      <w:r w:rsidR="002227F4" w:rsidRPr="00A52AB8">
        <w:rPr>
          <w:color w:val="000000" w:themeColor="text1"/>
        </w:rPr>
        <w:br/>
      </w:r>
      <w:r w:rsidR="002227F4" w:rsidRPr="00A52AB8">
        <w:rPr>
          <w:color w:val="000000" w:themeColor="text1"/>
        </w:rPr>
        <w:tab/>
      </w:r>
      <w:r w:rsidR="002227F4" w:rsidRPr="00A52AB8">
        <w:rPr>
          <w:color w:val="000000" w:themeColor="text1"/>
        </w:rPr>
        <w:tab/>
      </w:r>
      <w:r w:rsidRPr="00A52AB8">
        <w:rPr>
          <w:color w:val="000000" w:themeColor="text1"/>
        </w:rPr>
        <w:tab/>
      </w:r>
      <w:r w:rsidR="002227F4" w:rsidRPr="00A52AB8">
        <w:rPr>
          <w:color w:val="000000" w:themeColor="text1"/>
        </w:rPr>
        <w:tab/>
      </w:r>
      <w:r w:rsidR="002227F4" w:rsidRPr="00A52AB8">
        <w:rPr>
          <w:color w:val="000000" w:themeColor="text1"/>
        </w:rPr>
        <w:tab/>
        <w:t>plrNeighbour[ m ][ bIdxY ][ bIdxX ]</w:t>
      </w:r>
      <w:r w:rsidR="00D47707" w:rsidRPr="00A52AB8">
        <w:rPr>
          <w:color w:val="000000" w:themeColor="text1"/>
        </w:rPr>
        <w:t> = </w:t>
      </w:r>
      <w:r w:rsidR="002227F4" w:rsidRPr="00A52AB8">
        <w:rPr>
          <w:color w:val="000000" w:themeColor="text1"/>
        </w:rPr>
        <w:t>plri_neighbour_minus1[ m ][ pMode ] + 1</w:t>
      </w:r>
      <w:r w:rsidR="004A0BAE" w:rsidRPr="00A52AB8">
        <w:br/>
      </w:r>
      <w:r w:rsidR="004A0BAE" w:rsidRPr="00A52AB8">
        <w:tab/>
      </w:r>
      <w:r w:rsidRPr="00A52AB8">
        <w:tab/>
      </w:r>
      <w:r w:rsidR="004A0BAE" w:rsidRPr="00A52AB8">
        <w:tab/>
      </w:r>
      <w:r w:rsidR="004A0BAE" w:rsidRPr="00A52AB8">
        <w:tab/>
      </w:r>
      <w:r w:rsidR="00EA047C" w:rsidRPr="00A52AB8">
        <w:rPr>
          <w:color w:val="000000" w:themeColor="text1"/>
        </w:rPr>
        <w:t>}</w:t>
      </w:r>
    </w:p>
    <w:p w14:paraId="229D405C" w14:textId="55FB75EA" w:rsidR="006D74F2" w:rsidRPr="00A52AB8" w:rsidRDefault="002227F4" w:rsidP="006D74F2">
      <w:pPr>
        <w:rPr>
          <w:color w:val="000000" w:themeColor="text1"/>
        </w:rPr>
      </w:pPr>
      <w:r w:rsidRPr="00A52AB8">
        <w:rPr>
          <w:color w:val="000000" w:themeColor="text1"/>
        </w:rPr>
        <w:t xml:space="preserve">Depending on the type of </w:t>
      </w:r>
      <w:r w:rsidR="00C32313" w:rsidRPr="00A52AB8">
        <w:rPr>
          <w:color w:val="000000" w:themeColor="text1"/>
        </w:rPr>
        <w:t xml:space="preserve">a </w:t>
      </w:r>
      <w:r w:rsidRPr="00A52AB8">
        <w:rPr>
          <w:color w:val="000000" w:themeColor="text1"/>
        </w:rPr>
        <w:t>patch</w:t>
      </w:r>
      <w:r w:rsidR="00705245" w:rsidRPr="00A52AB8">
        <w:rPr>
          <w:color w:val="000000" w:themeColor="text1"/>
        </w:rPr>
        <w:t>,</w:t>
      </w:r>
      <w:r w:rsidRPr="00A52AB8">
        <w:rPr>
          <w:color w:val="000000" w:themeColor="text1"/>
        </w:rPr>
        <w:t xml:space="preserve"> </w:t>
      </w:r>
      <w:r w:rsidR="00705245" w:rsidRPr="00A52AB8">
        <w:rPr>
          <w:color w:val="000000" w:themeColor="text1"/>
        </w:rPr>
        <w:t xml:space="preserve">the </w:t>
      </w:r>
      <w:r w:rsidRPr="00A52AB8">
        <w:rPr>
          <w:color w:val="000000" w:themeColor="text1"/>
        </w:rPr>
        <w:t>reconstruction of points in the patch is performed as follows:</w:t>
      </w:r>
    </w:p>
    <w:p w14:paraId="05BACF1C" w14:textId="47AFD2D4" w:rsidR="006D74F2" w:rsidRPr="00A52AB8"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variable </w:t>
      </w:r>
      <w:r w:rsidR="00F51023" w:rsidRPr="00A52AB8">
        <w:rPr>
          <w:color w:val="000000" w:themeColor="text1"/>
        </w:rPr>
        <w:t>p</w:t>
      </w:r>
      <w:r w:rsidRPr="00A52AB8">
        <w:rPr>
          <w:color w:val="000000" w:themeColor="text1"/>
        </w:rPr>
        <w:t>ointCnt is initialized to 0. Arrays</w:t>
      </w:r>
      <w:r w:rsidR="00694E12" w:rsidRPr="00A52AB8">
        <w:rPr>
          <w:color w:val="000000" w:themeColor="text1"/>
        </w:rPr>
        <w:t xml:space="preserve"> </w:t>
      </w:r>
      <w:r w:rsidR="00F51023" w:rsidRPr="00A52AB8">
        <w:rPr>
          <w:color w:val="000000" w:themeColor="text1"/>
        </w:rPr>
        <w:t>r</w:t>
      </w:r>
      <w:r w:rsidRPr="00A52AB8">
        <w:rPr>
          <w:color w:val="000000" w:themeColor="text1"/>
        </w:rPr>
        <w:t xml:space="preserve">ecPcGeo, </w:t>
      </w:r>
      <w:r w:rsidR="00F51023" w:rsidRPr="00A52AB8">
        <w:rPr>
          <w:color w:val="000000" w:themeColor="text1"/>
        </w:rPr>
        <w:t>r</w:t>
      </w:r>
      <w:r w:rsidRPr="00A52AB8">
        <w:rPr>
          <w:color w:val="000000" w:themeColor="text1"/>
        </w:rPr>
        <w:t xml:space="preserve">ecPcAttr, </w:t>
      </w:r>
      <w:r w:rsidR="00F51023" w:rsidRPr="00A52AB8">
        <w:rPr>
          <w:color w:val="000000" w:themeColor="text1"/>
        </w:rPr>
        <w:t>p</w:t>
      </w:r>
      <w:r w:rsidRPr="00A52AB8">
        <w:rPr>
          <w:color w:val="000000" w:themeColor="text1"/>
        </w:rPr>
        <w:t xml:space="preserve">ointToPatch, </w:t>
      </w:r>
      <w:r w:rsidR="001C1396" w:rsidRPr="00A52AB8">
        <w:rPr>
          <w:color w:val="000000" w:themeColor="text1"/>
        </w:rPr>
        <w:t xml:space="preserve">pointToPixel, </w:t>
      </w:r>
      <w:r w:rsidRPr="00A52AB8">
        <w:rPr>
          <w:color w:val="000000" w:themeColor="text1"/>
        </w:rPr>
        <w:t xml:space="preserve">and </w:t>
      </w:r>
      <w:r w:rsidR="00F51023" w:rsidRPr="00A52AB8">
        <w:rPr>
          <w:color w:val="000000" w:themeColor="text1"/>
        </w:rPr>
        <w:t>a</w:t>
      </w:r>
      <w:r w:rsidRPr="00A52AB8">
        <w:rPr>
          <w:color w:val="000000" w:themeColor="text1"/>
        </w:rPr>
        <w:t>ttrPresent are initially empty.</w:t>
      </w:r>
      <w:r w:rsidR="00627EDD" w:rsidRPr="00A52AB8">
        <w:rPr>
          <w:color w:val="000000" w:themeColor="text1"/>
        </w:rPr>
        <w:t xml:space="preserve"> A</w:t>
      </w:r>
      <w:r w:rsidR="002227F4" w:rsidRPr="00A52AB8">
        <w:rPr>
          <w:color w:val="000000" w:themeColor="text1"/>
        </w:rPr>
        <w:t xml:space="preserve"> 2D </w:t>
      </w:r>
      <w:r w:rsidR="00627EDD" w:rsidRPr="00A52AB8">
        <w:rPr>
          <w:color w:val="000000" w:themeColor="text1"/>
        </w:rPr>
        <w:t>array pos3D</w:t>
      </w:r>
      <w:r w:rsidR="0039392A" w:rsidRPr="00A52AB8">
        <w:rPr>
          <w:color w:val="000000" w:themeColor="text1"/>
        </w:rPr>
        <w:t xml:space="preserve"> of size ( asps_map_count_minus1 + 1 ) × 3</w:t>
      </w:r>
      <w:r w:rsidR="00627EDD" w:rsidRPr="00A52AB8">
        <w:rPr>
          <w:color w:val="000000" w:themeColor="text1"/>
        </w:rPr>
        <w:t xml:space="preserve">, </w:t>
      </w:r>
      <w:r w:rsidR="00CD2815" w:rsidRPr="00A52AB8">
        <w:rPr>
          <w:color w:val="000000" w:themeColor="text1"/>
        </w:rPr>
        <w:t>s</w:t>
      </w:r>
      <w:r w:rsidR="0011542D" w:rsidRPr="00A52AB8">
        <w:rPr>
          <w:color w:val="000000" w:themeColor="text1"/>
        </w:rPr>
        <w:t>pe</w:t>
      </w:r>
      <w:r w:rsidR="00CD2815" w:rsidRPr="00A52AB8">
        <w:rPr>
          <w:color w:val="000000" w:themeColor="text1"/>
        </w:rPr>
        <w:t>cifying</w:t>
      </w:r>
      <w:r w:rsidR="00CD2815" w:rsidRPr="00A52AB8" w:rsidDel="00CD2815">
        <w:rPr>
          <w:color w:val="000000" w:themeColor="text1"/>
        </w:rPr>
        <w:t xml:space="preserve"> </w:t>
      </w:r>
      <w:r w:rsidR="00627EDD" w:rsidRPr="00A52AB8">
        <w:rPr>
          <w:color w:val="000000" w:themeColor="text1"/>
        </w:rPr>
        <w:t xml:space="preserve">the </w:t>
      </w:r>
      <w:r w:rsidR="002227F4" w:rsidRPr="00A52AB8">
        <w:rPr>
          <w:color w:val="000000" w:themeColor="text1"/>
        </w:rPr>
        <w:t>3D</w:t>
      </w:r>
      <w:r w:rsidR="00627EDD" w:rsidRPr="00A52AB8">
        <w:rPr>
          <w:color w:val="000000" w:themeColor="text1"/>
        </w:rPr>
        <w:t xml:space="preserve"> coordinates </w:t>
      </w:r>
      <w:r w:rsidR="0039392A" w:rsidRPr="00A52AB8">
        <w:rPr>
          <w:color w:val="000000" w:themeColor="text1"/>
        </w:rPr>
        <w:t xml:space="preserve">of a </w:t>
      </w:r>
      <w:r w:rsidR="002227F4" w:rsidRPr="00A52AB8">
        <w:rPr>
          <w:color w:val="000000" w:themeColor="text1"/>
        </w:rPr>
        <w:t xml:space="preserve">reconstructed </w:t>
      </w:r>
      <w:r w:rsidR="0039392A" w:rsidRPr="00A52AB8">
        <w:rPr>
          <w:color w:val="000000" w:themeColor="text1"/>
        </w:rPr>
        <w:t>point corresponding to a particular atlas position</w:t>
      </w:r>
      <w:r w:rsidR="00627EDD" w:rsidRPr="00A52AB8">
        <w:rPr>
          <w:color w:val="000000" w:themeColor="text1"/>
        </w:rPr>
        <w:t>, is initialized to 0.</w:t>
      </w:r>
    </w:p>
    <w:p w14:paraId="6AA815CC" w14:textId="283546F8" w:rsidR="006D74F2" w:rsidRPr="00A52AB8"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For </w:t>
      </w:r>
      <w:r w:rsidR="00360753" w:rsidRPr="00A52AB8">
        <w:rPr>
          <w:color w:val="000000" w:themeColor="text1"/>
        </w:rPr>
        <w:t>p</w:t>
      </w:r>
      <w:r w:rsidR="00D47707" w:rsidRPr="00A52AB8">
        <w:rPr>
          <w:color w:val="000000" w:themeColor="text1"/>
        </w:rPr>
        <w:t> = </w:t>
      </w:r>
      <w:r w:rsidRPr="00A52AB8">
        <w:rPr>
          <w:color w:val="000000" w:themeColor="text1"/>
        </w:rPr>
        <w:t>0..Atlas</w:t>
      </w:r>
      <w:r w:rsidR="00D12C68" w:rsidRPr="00A52AB8">
        <w:rPr>
          <w:color w:val="000000" w:themeColor="text1"/>
        </w:rPr>
        <w:t>TotalNum</w:t>
      </w:r>
      <w:r w:rsidRPr="00A52AB8">
        <w:rPr>
          <w:color w:val="000000" w:themeColor="text1"/>
        </w:rPr>
        <w:t>Patches</w:t>
      </w:r>
      <w:r w:rsidR="00360753" w:rsidRPr="00A52AB8">
        <w:rPr>
          <w:color w:val="000000" w:themeColor="text1"/>
        </w:rPr>
        <w:t> − </w:t>
      </w:r>
      <w:r w:rsidRPr="00A52AB8">
        <w:rPr>
          <w:color w:val="000000" w:themeColor="text1"/>
        </w:rPr>
        <w:t>1, the following applies:</w:t>
      </w:r>
    </w:p>
    <w:p w14:paraId="4D592EE4" w14:textId="5295C706" w:rsidR="002D09E3" w:rsidRPr="00A52AB8" w:rsidRDefault="002D09E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 xml:space="preserve">If AtlasPatchType[ p ] is </w:t>
      </w:r>
      <w:r w:rsidR="00C32313" w:rsidRPr="00A52AB8">
        <w:rPr>
          <w:color w:val="000000" w:themeColor="text1"/>
        </w:rPr>
        <w:t xml:space="preserve">equal to </w:t>
      </w:r>
      <w:r w:rsidRPr="00A52AB8">
        <w:rPr>
          <w:color w:val="000000" w:themeColor="text1"/>
        </w:rPr>
        <w:t>EOM, the following applies:</w:t>
      </w:r>
    </w:p>
    <w:p w14:paraId="7168BD5D" w14:textId="6FE71EB5" w:rsidR="002D09E3" w:rsidRPr="00A52AB8" w:rsidRDefault="002D09E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1" w:hanging="403"/>
        <w:textAlignment w:val="baseline"/>
        <w:rPr>
          <w:color w:val="000000" w:themeColor="text1"/>
        </w:rPr>
      </w:pPr>
      <w:r w:rsidRPr="00A52AB8">
        <w:rPr>
          <w:color w:val="000000" w:themeColor="text1"/>
        </w:rPr>
        <w:t xml:space="preserve">If </w:t>
      </w:r>
      <w:r w:rsidR="00976AFA" w:rsidRPr="00A52AB8">
        <w:rPr>
          <w:color w:val="000000" w:themeColor="text1"/>
        </w:rPr>
        <w:t>AtlasPatchInAuxVideo</w:t>
      </w:r>
      <w:r w:rsidRPr="00A52AB8">
        <w:rPr>
          <w:color w:val="000000" w:themeColor="text1"/>
        </w:rPr>
        <w:t xml:space="preserve">[ p ] is equal to 1, subclause </w:t>
      </w:r>
      <w:r w:rsidR="003F2617" w:rsidRPr="00496A4D">
        <w:rPr>
          <w:color w:val="000000" w:themeColor="text1"/>
        </w:rPr>
        <w:fldChar w:fldCharType="begin"/>
      </w:r>
      <w:r w:rsidR="003F2617" w:rsidRPr="00A52AB8">
        <w:rPr>
          <w:color w:val="000000" w:themeColor="text1"/>
        </w:rPr>
        <w:instrText xml:space="preserve"> REF _Ref47687018 \r \h </w:instrText>
      </w:r>
      <w:r w:rsidR="00851254" w:rsidRPr="00A52AB8">
        <w:rPr>
          <w:color w:val="000000" w:themeColor="text1"/>
        </w:rPr>
        <w:instrText xml:space="preserve"> \* MERGEFORMAT </w:instrText>
      </w:r>
      <w:r w:rsidR="003F2617" w:rsidRPr="00496A4D">
        <w:rPr>
          <w:color w:val="000000" w:themeColor="text1"/>
        </w:rPr>
      </w:r>
      <w:r w:rsidR="003F2617" w:rsidRPr="00496A4D">
        <w:rPr>
          <w:color w:val="000000" w:themeColor="text1"/>
        </w:rPr>
        <w:fldChar w:fldCharType="separate"/>
      </w:r>
      <w:r w:rsidR="00507A67">
        <w:rPr>
          <w:color w:val="000000" w:themeColor="text1"/>
        </w:rPr>
        <w:t>H.11.3</w:t>
      </w:r>
      <w:r w:rsidR="003F2617" w:rsidRPr="00496A4D">
        <w:rPr>
          <w:color w:val="000000" w:themeColor="text1"/>
        </w:rPr>
        <w:fldChar w:fldCharType="end"/>
      </w:r>
      <w:r w:rsidR="003F2617" w:rsidRPr="00A52AB8">
        <w:rPr>
          <w:color w:val="000000" w:themeColor="text1"/>
        </w:rPr>
        <w:t xml:space="preserve"> </w:t>
      </w:r>
      <w:r w:rsidRPr="00A52AB8">
        <w:rPr>
          <w:color w:val="000000" w:themeColor="text1"/>
        </w:rPr>
        <w:t xml:space="preserve">is invoked with variables pointCnt, patch index p, </w:t>
      </w:r>
      <w:r w:rsidR="007D654F" w:rsidRPr="00A52AB8">
        <w:rPr>
          <w:color w:val="000000" w:themeColor="text1"/>
        </w:rPr>
        <w:t>AuxVideoHeight</w:t>
      </w:r>
      <w:r w:rsidR="00734798" w:rsidRPr="00A52AB8">
        <w:rPr>
          <w:color w:val="000000" w:themeColor="text1"/>
        </w:rPr>
        <w:t>NF</w:t>
      </w:r>
      <w:r w:rsidR="00602CC1" w:rsidRPr="00A52AB8">
        <w:rPr>
          <w:color w:val="000000" w:themeColor="text1"/>
        </w:rPr>
        <w:t>,</w:t>
      </w:r>
      <w:r w:rsidRPr="00A52AB8">
        <w:rPr>
          <w:color w:val="000000" w:themeColor="text1"/>
        </w:rPr>
        <w:t xml:space="preserve"> and </w:t>
      </w:r>
      <w:r w:rsidR="007D654F" w:rsidRPr="00A52AB8">
        <w:rPr>
          <w:color w:val="000000" w:themeColor="text1"/>
        </w:rPr>
        <w:t>AuxVideoWidth</w:t>
      </w:r>
      <w:r w:rsidR="00734798" w:rsidRPr="00A52AB8">
        <w:rPr>
          <w:color w:val="000000" w:themeColor="text1"/>
        </w:rPr>
        <w:t>NF</w:t>
      </w:r>
      <w:r w:rsidRPr="00A52AB8">
        <w:rPr>
          <w:color w:val="000000" w:themeColor="text1"/>
        </w:rPr>
        <w:t xml:space="preserve">, arrays pointToPatch, pointToPixel, attrPresent, oFrame, gFrame, recPcGeo, </w:t>
      </w:r>
      <w:r w:rsidR="00602CC1" w:rsidRPr="00A52AB8">
        <w:rPr>
          <w:color w:val="000000" w:themeColor="text1"/>
        </w:rPr>
        <w:t xml:space="preserve">and, </w:t>
      </w:r>
      <w:r w:rsidRPr="00A52AB8">
        <w:rPr>
          <w:color w:val="000000" w:themeColor="text1"/>
        </w:rPr>
        <w:t>when ai_attribute_count[ RecAtlasID ] is greater than 0, arrays aAuxFrame and recPcAttr</w:t>
      </w:r>
      <w:r w:rsidR="00C32313" w:rsidRPr="00A52AB8">
        <w:rPr>
          <w:color w:val="000000" w:themeColor="text1"/>
        </w:rPr>
        <w:t>,</w:t>
      </w:r>
      <w:r w:rsidRPr="00A52AB8">
        <w:rPr>
          <w:color w:val="000000" w:themeColor="text1"/>
        </w:rPr>
        <w:t xml:space="preserve"> as inputs. The outputs are the modified variable pointCnt and </w:t>
      </w:r>
      <w:r w:rsidR="00EA164D" w:rsidRPr="00A52AB8">
        <w:rPr>
          <w:color w:val="000000" w:themeColor="text1"/>
        </w:rPr>
        <w:t xml:space="preserve">the </w:t>
      </w:r>
      <w:r w:rsidRPr="00A52AB8">
        <w:rPr>
          <w:color w:val="000000" w:themeColor="text1"/>
        </w:rPr>
        <w:t>modified arrays pointToPatch, pointToPixel, attrPresent, recPcGeo, and recPcAttr.</w:t>
      </w:r>
    </w:p>
    <w:p w14:paraId="5A357F23" w14:textId="4B6BCBA7" w:rsidR="002D09E3" w:rsidRPr="00A52AB8" w:rsidRDefault="002D09E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1" w:hanging="403"/>
        <w:textAlignment w:val="baseline"/>
        <w:rPr>
          <w:color w:val="000000" w:themeColor="text1"/>
        </w:rPr>
      </w:pPr>
      <w:r w:rsidRPr="00A52AB8">
        <w:rPr>
          <w:color w:val="000000" w:themeColor="text1"/>
        </w:rPr>
        <w:t>Otherwise ( </w:t>
      </w:r>
      <w:r w:rsidR="00976AFA" w:rsidRPr="00A52AB8">
        <w:rPr>
          <w:color w:val="000000" w:themeColor="text1"/>
        </w:rPr>
        <w:t>AtlasPatchInAuxVideo</w:t>
      </w:r>
      <w:r w:rsidRPr="00A52AB8">
        <w:rPr>
          <w:color w:val="000000" w:themeColor="text1"/>
        </w:rPr>
        <w:t xml:space="preserve">[ p ] is equal to 0 ), subclause </w:t>
      </w:r>
      <w:r w:rsidR="003F2617" w:rsidRPr="00496A4D">
        <w:rPr>
          <w:color w:val="000000" w:themeColor="text1"/>
        </w:rPr>
        <w:fldChar w:fldCharType="begin"/>
      </w:r>
      <w:r w:rsidR="003F2617" w:rsidRPr="00A52AB8">
        <w:rPr>
          <w:color w:val="000000" w:themeColor="text1"/>
        </w:rPr>
        <w:instrText xml:space="preserve"> REF _Ref47687018 \r \h </w:instrText>
      </w:r>
      <w:r w:rsidR="00851254" w:rsidRPr="00A52AB8">
        <w:rPr>
          <w:color w:val="000000" w:themeColor="text1"/>
        </w:rPr>
        <w:instrText xml:space="preserve"> \* MERGEFORMAT </w:instrText>
      </w:r>
      <w:r w:rsidR="003F2617" w:rsidRPr="00496A4D">
        <w:rPr>
          <w:color w:val="000000" w:themeColor="text1"/>
        </w:rPr>
      </w:r>
      <w:r w:rsidR="003F2617" w:rsidRPr="00496A4D">
        <w:rPr>
          <w:color w:val="000000" w:themeColor="text1"/>
        </w:rPr>
        <w:fldChar w:fldCharType="separate"/>
      </w:r>
      <w:r w:rsidR="00507A67">
        <w:rPr>
          <w:color w:val="000000" w:themeColor="text1"/>
        </w:rPr>
        <w:t>H.11.3</w:t>
      </w:r>
      <w:r w:rsidR="003F2617" w:rsidRPr="00496A4D">
        <w:rPr>
          <w:color w:val="000000" w:themeColor="text1"/>
        </w:rPr>
        <w:fldChar w:fldCharType="end"/>
      </w:r>
      <w:r w:rsidR="003F2617" w:rsidRPr="00A52AB8">
        <w:rPr>
          <w:color w:val="000000" w:themeColor="text1"/>
        </w:rPr>
        <w:t xml:space="preserve"> </w:t>
      </w:r>
      <w:r w:rsidRPr="00A52AB8">
        <w:rPr>
          <w:color w:val="000000" w:themeColor="text1"/>
        </w:rPr>
        <w:t>is invoked with variables pointCnt, patch index p, asps_frame_height</w:t>
      </w:r>
      <w:r w:rsidR="00EA164D" w:rsidRPr="00A52AB8">
        <w:rPr>
          <w:color w:val="000000" w:themeColor="text1"/>
        </w:rPr>
        <w:t>,</w:t>
      </w:r>
      <w:r w:rsidRPr="00A52AB8">
        <w:rPr>
          <w:color w:val="000000" w:themeColor="text1"/>
        </w:rPr>
        <w:t xml:space="preserve"> and asps_frame_width, arrays pointToPatch, pointToPixel, attrPresent, oFrame, gFrame, recPcGeo, and</w:t>
      </w:r>
      <w:r w:rsidR="00602CC1" w:rsidRPr="00A52AB8">
        <w:rPr>
          <w:color w:val="000000" w:themeColor="text1"/>
        </w:rPr>
        <w:t>,</w:t>
      </w:r>
      <w:r w:rsidRPr="00A52AB8">
        <w:rPr>
          <w:color w:val="000000" w:themeColor="text1"/>
        </w:rPr>
        <w:t xml:space="preserve"> when ai_attribute_count[ RecAtlasID ] is greater than 0, arrays aFrame</w:t>
      </w:r>
      <w:r w:rsidR="00CF5005" w:rsidRPr="00A52AB8">
        <w:rPr>
          <w:color w:val="000000" w:themeColor="text1"/>
        </w:rPr>
        <w:t>[ 0 ]</w:t>
      </w:r>
      <w:r w:rsidRPr="00A52AB8">
        <w:rPr>
          <w:color w:val="000000" w:themeColor="text1"/>
        </w:rPr>
        <w:t xml:space="preserve"> and recPcAttr</w:t>
      </w:r>
      <w:r w:rsidR="00C32313" w:rsidRPr="00A52AB8">
        <w:rPr>
          <w:color w:val="000000" w:themeColor="text1"/>
        </w:rPr>
        <w:t>,</w:t>
      </w:r>
      <w:r w:rsidRPr="00A52AB8">
        <w:rPr>
          <w:color w:val="000000" w:themeColor="text1"/>
        </w:rPr>
        <w:t xml:space="preserve"> as inputs. The outputs are the modified variable pointCnt and </w:t>
      </w:r>
      <w:r w:rsidR="00EA164D" w:rsidRPr="00A52AB8">
        <w:rPr>
          <w:color w:val="000000" w:themeColor="text1"/>
        </w:rPr>
        <w:t xml:space="preserve">the </w:t>
      </w:r>
      <w:r w:rsidRPr="00A52AB8">
        <w:rPr>
          <w:color w:val="000000" w:themeColor="text1"/>
        </w:rPr>
        <w:t>modified arrays pointToPatch, pointToPixel, attrPresent, recPcGeo, and recPcAttr.</w:t>
      </w:r>
    </w:p>
    <w:p w14:paraId="515B4059" w14:textId="77777777" w:rsidR="00054B45" w:rsidRPr="00A52AB8" w:rsidRDefault="002D09E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Otherwise, i</w:t>
      </w:r>
      <w:r w:rsidR="006D74F2" w:rsidRPr="00A52AB8">
        <w:rPr>
          <w:color w:val="000000" w:themeColor="text1"/>
        </w:rPr>
        <w:t xml:space="preserve">f </w:t>
      </w:r>
      <w:r w:rsidR="00C3373C" w:rsidRPr="00A52AB8">
        <w:rPr>
          <w:color w:val="000000" w:themeColor="text1"/>
        </w:rPr>
        <w:t>AtlasPatchType</w:t>
      </w:r>
      <w:r w:rsidR="006D74F2" w:rsidRPr="00A52AB8">
        <w:rPr>
          <w:color w:val="000000" w:themeColor="text1"/>
        </w:rPr>
        <w:t xml:space="preserve">[ p ] is RAW, </w:t>
      </w:r>
      <w:r w:rsidR="00054B45" w:rsidRPr="00A52AB8">
        <w:rPr>
          <w:color w:val="000000" w:themeColor="text1"/>
        </w:rPr>
        <w:t>the following applies:</w:t>
      </w:r>
    </w:p>
    <w:p w14:paraId="34C07FFB" w14:textId="582E3533" w:rsidR="006D74F2" w:rsidRPr="00A52AB8" w:rsidRDefault="00054B4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1" w:hanging="403"/>
        <w:textAlignment w:val="baseline"/>
        <w:rPr>
          <w:color w:val="000000" w:themeColor="text1"/>
        </w:rPr>
      </w:pPr>
      <w:r w:rsidRPr="00A52AB8">
        <w:rPr>
          <w:color w:val="000000" w:themeColor="text1"/>
        </w:rPr>
        <w:t xml:space="preserve">If </w:t>
      </w:r>
      <w:r w:rsidR="00976AFA" w:rsidRPr="00A52AB8">
        <w:rPr>
          <w:color w:val="000000" w:themeColor="text1"/>
        </w:rPr>
        <w:t>AtlasPatchInAuxVideo</w:t>
      </w:r>
      <w:r w:rsidRPr="00A52AB8">
        <w:rPr>
          <w:color w:val="000000" w:themeColor="text1"/>
        </w:rPr>
        <w:t xml:space="preserve">[ p ] is equal to 1, </w:t>
      </w:r>
      <w:r w:rsidR="00744D39" w:rsidRPr="00A52AB8">
        <w:rPr>
          <w:color w:val="000000" w:themeColor="text1"/>
        </w:rPr>
        <w:t>subclause</w:t>
      </w:r>
      <w:r w:rsidR="006D74F2" w:rsidRPr="00A52AB8">
        <w:rPr>
          <w:color w:val="000000" w:themeColor="text1"/>
        </w:rPr>
        <w:t xml:space="preserve"> </w:t>
      </w:r>
      <w:r w:rsidR="003A0863" w:rsidRPr="00496A4D">
        <w:rPr>
          <w:color w:val="000000" w:themeColor="text1"/>
        </w:rPr>
        <w:fldChar w:fldCharType="begin"/>
      </w:r>
      <w:r w:rsidR="003A0863" w:rsidRPr="00A52AB8">
        <w:rPr>
          <w:color w:val="000000" w:themeColor="text1"/>
        </w:rPr>
        <w:instrText xml:space="preserve"> REF _Ref38890359 \r \h </w:instrText>
      </w:r>
      <w:r w:rsidR="00CA5401" w:rsidRPr="00A52AB8">
        <w:rPr>
          <w:color w:val="000000" w:themeColor="text1"/>
        </w:rPr>
        <w:instrText xml:space="preserve"> \* MERGEFORMAT </w:instrText>
      </w:r>
      <w:r w:rsidR="003A0863" w:rsidRPr="00496A4D">
        <w:rPr>
          <w:color w:val="000000" w:themeColor="text1"/>
        </w:rPr>
      </w:r>
      <w:r w:rsidR="003A0863" w:rsidRPr="00496A4D">
        <w:rPr>
          <w:color w:val="000000" w:themeColor="text1"/>
        </w:rPr>
        <w:fldChar w:fldCharType="separate"/>
      </w:r>
      <w:r w:rsidR="00507A67">
        <w:rPr>
          <w:color w:val="000000" w:themeColor="text1"/>
        </w:rPr>
        <w:t>H.11.4</w:t>
      </w:r>
      <w:r w:rsidR="003A0863" w:rsidRPr="00496A4D">
        <w:rPr>
          <w:color w:val="000000" w:themeColor="text1"/>
        </w:rPr>
        <w:fldChar w:fldCharType="end"/>
      </w:r>
      <w:r w:rsidR="006D74F2" w:rsidRPr="00A52AB8">
        <w:rPr>
          <w:color w:val="000000" w:themeColor="text1"/>
        </w:rPr>
        <w:t xml:space="preserve"> is invoked with variable</w:t>
      </w:r>
      <w:r w:rsidR="005C1E3A" w:rsidRPr="00A52AB8">
        <w:rPr>
          <w:color w:val="000000" w:themeColor="text1"/>
        </w:rPr>
        <w:t>s</w:t>
      </w:r>
      <w:r w:rsidR="006D74F2" w:rsidRPr="00A52AB8">
        <w:rPr>
          <w:color w:val="000000" w:themeColor="text1"/>
        </w:rPr>
        <w:t xml:space="preserve"> </w:t>
      </w:r>
      <w:r w:rsidR="005946DD" w:rsidRPr="00A52AB8">
        <w:rPr>
          <w:color w:val="000000" w:themeColor="text1"/>
        </w:rPr>
        <w:t>p</w:t>
      </w:r>
      <w:r w:rsidR="006D74F2" w:rsidRPr="00A52AB8">
        <w:rPr>
          <w:color w:val="000000" w:themeColor="text1"/>
        </w:rPr>
        <w:t>ointCnt</w:t>
      </w:r>
      <w:r w:rsidR="00366EF3" w:rsidRPr="00A52AB8">
        <w:rPr>
          <w:color w:val="000000" w:themeColor="text1"/>
        </w:rPr>
        <w:t xml:space="preserve">, </w:t>
      </w:r>
      <w:r w:rsidR="00567021" w:rsidRPr="00A52AB8">
        <w:rPr>
          <w:color w:val="000000" w:themeColor="text1"/>
        </w:rPr>
        <w:t xml:space="preserve">patch index p, </w:t>
      </w:r>
      <w:r w:rsidR="007D654F" w:rsidRPr="00A52AB8">
        <w:rPr>
          <w:color w:val="000000" w:themeColor="text1"/>
        </w:rPr>
        <w:t>AuxVideoHeight</w:t>
      </w:r>
      <w:r w:rsidR="00734798" w:rsidRPr="00A52AB8">
        <w:rPr>
          <w:color w:val="000000" w:themeColor="text1"/>
        </w:rPr>
        <w:t>NF</w:t>
      </w:r>
      <w:r w:rsidR="00602CC1" w:rsidRPr="00A52AB8">
        <w:rPr>
          <w:color w:val="000000" w:themeColor="text1"/>
        </w:rPr>
        <w:t>,</w:t>
      </w:r>
      <w:r w:rsidR="008E07AB" w:rsidRPr="00A52AB8">
        <w:rPr>
          <w:color w:val="000000" w:themeColor="text1"/>
        </w:rPr>
        <w:t xml:space="preserve"> and </w:t>
      </w:r>
      <w:r w:rsidR="007D654F" w:rsidRPr="00A52AB8">
        <w:rPr>
          <w:color w:val="000000" w:themeColor="text1"/>
        </w:rPr>
        <w:t>AuxVideoWidth</w:t>
      </w:r>
      <w:r w:rsidR="00734798" w:rsidRPr="00A52AB8">
        <w:rPr>
          <w:color w:val="000000" w:themeColor="text1"/>
        </w:rPr>
        <w:t>NF</w:t>
      </w:r>
      <w:r w:rsidR="008E07AB" w:rsidRPr="00A52AB8">
        <w:rPr>
          <w:color w:val="000000" w:themeColor="text1"/>
        </w:rPr>
        <w:t xml:space="preserve">, </w:t>
      </w:r>
      <w:r w:rsidR="005C1E3A" w:rsidRPr="00A52AB8">
        <w:rPr>
          <w:color w:val="000000" w:themeColor="text1"/>
        </w:rPr>
        <w:t xml:space="preserve">arrays </w:t>
      </w:r>
      <w:r w:rsidR="00505173" w:rsidRPr="00A52AB8">
        <w:rPr>
          <w:color w:val="000000" w:themeColor="text1"/>
        </w:rPr>
        <w:t xml:space="preserve">pointToPatch, </w:t>
      </w:r>
      <w:r w:rsidR="00360753" w:rsidRPr="00A52AB8">
        <w:rPr>
          <w:color w:val="000000" w:themeColor="text1"/>
        </w:rPr>
        <w:t xml:space="preserve">pointToPixel, </w:t>
      </w:r>
      <w:r w:rsidR="00505173" w:rsidRPr="00A52AB8">
        <w:rPr>
          <w:color w:val="000000" w:themeColor="text1"/>
        </w:rPr>
        <w:t xml:space="preserve">attrPresent, </w:t>
      </w:r>
      <w:r w:rsidR="005946DD" w:rsidRPr="00A52AB8">
        <w:rPr>
          <w:color w:val="000000" w:themeColor="text1"/>
        </w:rPr>
        <w:t>gAuxFrame</w:t>
      </w:r>
      <w:r w:rsidR="005C1E3A" w:rsidRPr="00A52AB8">
        <w:rPr>
          <w:color w:val="000000" w:themeColor="text1"/>
        </w:rPr>
        <w:t xml:space="preserve">, </w:t>
      </w:r>
      <w:r w:rsidR="00567021" w:rsidRPr="00A52AB8">
        <w:rPr>
          <w:color w:val="000000" w:themeColor="text1"/>
        </w:rPr>
        <w:t>recPcGeo, and</w:t>
      </w:r>
      <w:r w:rsidR="00602CC1" w:rsidRPr="00A52AB8">
        <w:rPr>
          <w:color w:val="000000" w:themeColor="text1"/>
        </w:rPr>
        <w:t>,</w:t>
      </w:r>
      <w:r w:rsidR="00567021" w:rsidRPr="00A52AB8">
        <w:rPr>
          <w:color w:val="000000" w:themeColor="text1"/>
        </w:rPr>
        <w:t xml:space="preserve"> </w:t>
      </w:r>
      <w:r w:rsidR="00EE6CE1" w:rsidRPr="00A52AB8">
        <w:rPr>
          <w:color w:val="000000" w:themeColor="text1"/>
        </w:rPr>
        <w:t>when ai_attribute_count</w:t>
      </w:r>
      <w:r w:rsidR="00360753" w:rsidRPr="00A52AB8">
        <w:rPr>
          <w:color w:val="000000" w:themeColor="text1"/>
        </w:rPr>
        <w:t>[ </w:t>
      </w:r>
      <w:r w:rsidR="003430D0" w:rsidRPr="00A52AB8">
        <w:rPr>
          <w:color w:val="000000" w:themeColor="text1"/>
        </w:rPr>
        <w:t>RecAtlasID</w:t>
      </w:r>
      <w:r w:rsidR="00360753" w:rsidRPr="00A52AB8">
        <w:rPr>
          <w:color w:val="000000" w:themeColor="text1"/>
        </w:rPr>
        <w:t> </w:t>
      </w:r>
      <w:r w:rsidR="00EE6CE1" w:rsidRPr="00A52AB8">
        <w:rPr>
          <w:color w:val="000000" w:themeColor="text1"/>
        </w:rPr>
        <w:t xml:space="preserve">] is greater than 0, </w:t>
      </w:r>
      <w:r w:rsidR="005C1E3A" w:rsidRPr="00A52AB8">
        <w:rPr>
          <w:color w:val="000000" w:themeColor="text1"/>
        </w:rPr>
        <w:t>arrays</w:t>
      </w:r>
      <w:r w:rsidR="00EE6CE1" w:rsidRPr="00A52AB8">
        <w:rPr>
          <w:color w:val="000000" w:themeColor="text1"/>
        </w:rPr>
        <w:t xml:space="preserve"> </w:t>
      </w:r>
      <w:r w:rsidR="005946DD" w:rsidRPr="00A52AB8">
        <w:rPr>
          <w:color w:val="000000" w:themeColor="text1"/>
        </w:rPr>
        <w:t>aAuxFrame</w:t>
      </w:r>
      <w:r w:rsidR="00567021" w:rsidRPr="00A52AB8">
        <w:rPr>
          <w:color w:val="000000" w:themeColor="text1"/>
        </w:rPr>
        <w:t xml:space="preserve"> and</w:t>
      </w:r>
      <w:r w:rsidR="006D74F2" w:rsidRPr="00A52AB8">
        <w:rPr>
          <w:color w:val="000000" w:themeColor="text1"/>
        </w:rPr>
        <w:t xml:space="preserve"> </w:t>
      </w:r>
      <w:r w:rsidR="00EE6CE1" w:rsidRPr="00A52AB8">
        <w:rPr>
          <w:color w:val="000000" w:themeColor="text1"/>
        </w:rPr>
        <w:t>recPc</w:t>
      </w:r>
      <w:r w:rsidR="00567021" w:rsidRPr="00A52AB8">
        <w:rPr>
          <w:color w:val="000000" w:themeColor="text1"/>
        </w:rPr>
        <w:t>Attr</w:t>
      </w:r>
      <w:r w:rsidR="00C32313" w:rsidRPr="00A52AB8">
        <w:rPr>
          <w:color w:val="000000" w:themeColor="text1"/>
        </w:rPr>
        <w:t>,</w:t>
      </w:r>
      <w:r w:rsidR="00EE6CE1" w:rsidRPr="00A52AB8">
        <w:rPr>
          <w:color w:val="000000" w:themeColor="text1"/>
        </w:rPr>
        <w:t xml:space="preserve"> </w:t>
      </w:r>
      <w:r w:rsidR="00567021" w:rsidRPr="00A52AB8">
        <w:rPr>
          <w:color w:val="000000" w:themeColor="text1"/>
        </w:rPr>
        <w:t>as inputs</w:t>
      </w:r>
      <w:r w:rsidR="006D74F2" w:rsidRPr="00A52AB8">
        <w:rPr>
          <w:color w:val="000000" w:themeColor="text1"/>
        </w:rPr>
        <w:t xml:space="preserve">. The outputs are the </w:t>
      </w:r>
      <w:r w:rsidR="005C1E3A" w:rsidRPr="00A52AB8">
        <w:rPr>
          <w:color w:val="000000" w:themeColor="text1"/>
        </w:rPr>
        <w:t xml:space="preserve">modified </w:t>
      </w:r>
      <w:r w:rsidR="006D74F2" w:rsidRPr="00A52AB8">
        <w:rPr>
          <w:color w:val="000000" w:themeColor="text1"/>
        </w:rPr>
        <w:t xml:space="preserve">variable </w:t>
      </w:r>
      <w:r w:rsidR="005C1E3A" w:rsidRPr="00A52AB8">
        <w:rPr>
          <w:color w:val="000000" w:themeColor="text1"/>
        </w:rPr>
        <w:t>p</w:t>
      </w:r>
      <w:r w:rsidR="006D74F2" w:rsidRPr="00A52AB8">
        <w:rPr>
          <w:color w:val="000000" w:themeColor="text1"/>
        </w:rPr>
        <w:t>ointCnt</w:t>
      </w:r>
      <w:r w:rsidR="005C1E3A" w:rsidRPr="00A52AB8">
        <w:rPr>
          <w:color w:val="000000" w:themeColor="text1"/>
        </w:rPr>
        <w:t xml:space="preserve"> and </w:t>
      </w:r>
      <w:r w:rsidR="00EA164D" w:rsidRPr="00A52AB8">
        <w:rPr>
          <w:color w:val="000000" w:themeColor="text1"/>
        </w:rPr>
        <w:t xml:space="preserve">the </w:t>
      </w:r>
      <w:r w:rsidR="00360753" w:rsidRPr="00A52AB8">
        <w:rPr>
          <w:color w:val="000000" w:themeColor="text1"/>
        </w:rPr>
        <w:t xml:space="preserve">modified </w:t>
      </w:r>
      <w:r w:rsidR="005C1E3A" w:rsidRPr="00A52AB8">
        <w:rPr>
          <w:color w:val="000000" w:themeColor="text1"/>
        </w:rPr>
        <w:t>arrays</w:t>
      </w:r>
      <w:r w:rsidR="00573344" w:rsidRPr="00A52AB8">
        <w:rPr>
          <w:color w:val="000000" w:themeColor="text1"/>
        </w:rPr>
        <w:t xml:space="preserve"> pointToPatch, </w:t>
      </w:r>
      <w:r w:rsidR="00360753" w:rsidRPr="00A52AB8">
        <w:rPr>
          <w:color w:val="000000" w:themeColor="text1"/>
        </w:rPr>
        <w:t xml:space="preserve">pointToPixel, </w:t>
      </w:r>
      <w:r w:rsidR="00573344" w:rsidRPr="00A52AB8">
        <w:rPr>
          <w:color w:val="000000" w:themeColor="text1"/>
        </w:rPr>
        <w:t xml:space="preserve">attrPresent, </w:t>
      </w:r>
      <w:r w:rsidR="005C1E3A" w:rsidRPr="00A52AB8">
        <w:rPr>
          <w:color w:val="000000" w:themeColor="text1"/>
        </w:rPr>
        <w:t>recPcGeo</w:t>
      </w:r>
      <w:r w:rsidR="00360753" w:rsidRPr="00A52AB8">
        <w:rPr>
          <w:color w:val="000000" w:themeColor="text1"/>
        </w:rPr>
        <w:t>,</w:t>
      </w:r>
      <w:r w:rsidR="005C1E3A" w:rsidRPr="00A52AB8">
        <w:rPr>
          <w:color w:val="000000" w:themeColor="text1"/>
        </w:rPr>
        <w:t xml:space="preserve"> and r</w:t>
      </w:r>
      <w:r w:rsidR="006D74F2" w:rsidRPr="00A52AB8">
        <w:rPr>
          <w:color w:val="000000" w:themeColor="text1"/>
        </w:rPr>
        <w:t>ecPcAttr.</w:t>
      </w:r>
    </w:p>
    <w:p w14:paraId="57FA9E5E" w14:textId="62EB1C4A" w:rsidR="00054B45" w:rsidRPr="00A52AB8" w:rsidRDefault="00054B4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1" w:hanging="403"/>
        <w:textAlignment w:val="baseline"/>
        <w:rPr>
          <w:color w:val="000000" w:themeColor="text1"/>
        </w:rPr>
      </w:pPr>
      <w:r w:rsidRPr="00A52AB8">
        <w:rPr>
          <w:color w:val="000000" w:themeColor="text1"/>
        </w:rPr>
        <w:t>Otherwise</w:t>
      </w:r>
      <w:r w:rsidR="00360753" w:rsidRPr="00A52AB8">
        <w:rPr>
          <w:color w:val="000000" w:themeColor="text1"/>
        </w:rPr>
        <w:t xml:space="preserve"> ( </w:t>
      </w:r>
      <w:r w:rsidR="00976AFA" w:rsidRPr="00A52AB8">
        <w:rPr>
          <w:color w:val="000000" w:themeColor="text1"/>
        </w:rPr>
        <w:t>AtlasPatchInAuxVideo</w:t>
      </w:r>
      <w:r w:rsidR="00360753" w:rsidRPr="00A52AB8">
        <w:rPr>
          <w:color w:val="000000" w:themeColor="text1"/>
        </w:rPr>
        <w:t>[ p ] is equal to 0 )</w:t>
      </w:r>
      <w:r w:rsidRPr="00A52AB8">
        <w:rPr>
          <w:color w:val="000000" w:themeColor="text1"/>
        </w:rPr>
        <w:t xml:space="preserve">, subclause </w:t>
      </w:r>
      <w:r w:rsidRPr="00496A4D">
        <w:rPr>
          <w:color w:val="000000" w:themeColor="text1"/>
        </w:rPr>
        <w:fldChar w:fldCharType="begin"/>
      </w:r>
      <w:r w:rsidRPr="00A52AB8">
        <w:rPr>
          <w:color w:val="000000" w:themeColor="text1"/>
        </w:rPr>
        <w:instrText xml:space="preserve"> REF _Ref38890359 \r \h </w:instrText>
      </w:r>
      <w:r w:rsidR="00CA5401"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H.11.4</w:t>
      </w:r>
      <w:r w:rsidRPr="00496A4D">
        <w:rPr>
          <w:color w:val="000000" w:themeColor="text1"/>
        </w:rPr>
        <w:fldChar w:fldCharType="end"/>
      </w:r>
      <w:r w:rsidRPr="00A52AB8">
        <w:rPr>
          <w:color w:val="000000" w:themeColor="text1"/>
        </w:rPr>
        <w:t xml:space="preserve"> is invoked with </w:t>
      </w:r>
      <w:r w:rsidR="000E15DC" w:rsidRPr="00A52AB8">
        <w:rPr>
          <w:color w:val="000000" w:themeColor="text1"/>
        </w:rPr>
        <w:t>variables pointCnt, patch index p,</w:t>
      </w:r>
      <w:r w:rsidR="008E07AB" w:rsidRPr="00A52AB8">
        <w:rPr>
          <w:color w:val="000000" w:themeColor="text1"/>
        </w:rPr>
        <w:t xml:space="preserve"> asps_frame_height</w:t>
      </w:r>
      <w:r w:rsidR="00EA164D" w:rsidRPr="00A52AB8">
        <w:rPr>
          <w:color w:val="000000" w:themeColor="text1"/>
        </w:rPr>
        <w:t>,</w:t>
      </w:r>
      <w:r w:rsidR="008E07AB" w:rsidRPr="00A52AB8">
        <w:rPr>
          <w:color w:val="000000" w:themeColor="text1"/>
        </w:rPr>
        <w:t xml:space="preserve"> and asps_frame_width,</w:t>
      </w:r>
      <w:r w:rsidR="000E15DC" w:rsidRPr="00A52AB8">
        <w:rPr>
          <w:color w:val="000000" w:themeColor="text1"/>
        </w:rPr>
        <w:t xml:space="preserve"> </w:t>
      </w:r>
      <w:r w:rsidR="008E07AB" w:rsidRPr="00A52AB8">
        <w:rPr>
          <w:color w:val="000000" w:themeColor="text1"/>
        </w:rPr>
        <w:t>a</w:t>
      </w:r>
      <w:r w:rsidR="000E15DC" w:rsidRPr="00A52AB8">
        <w:rPr>
          <w:color w:val="000000" w:themeColor="text1"/>
        </w:rPr>
        <w:t xml:space="preserve">rrays </w:t>
      </w:r>
      <w:r w:rsidR="00505173" w:rsidRPr="00A52AB8">
        <w:rPr>
          <w:color w:val="000000" w:themeColor="text1"/>
        </w:rPr>
        <w:t xml:space="preserve">pointToPatch, </w:t>
      </w:r>
      <w:r w:rsidR="00360753" w:rsidRPr="00A52AB8">
        <w:rPr>
          <w:color w:val="000000" w:themeColor="text1"/>
        </w:rPr>
        <w:t xml:space="preserve">pointToPixel, </w:t>
      </w:r>
      <w:r w:rsidR="00505173" w:rsidRPr="00A52AB8">
        <w:rPr>
          <w:color w:val="000000" w:themeColor="text1"/>
        </w:rPr>
        <w:t xml:space="preserve">attrPresent, </w:t>
      </w:r>
      <w:r w:rsidR="000E15DC" w:rsidRPr="00A52AB8">
        <w:rPr>
          <w:color w:val="000000" w:themeColor="text1"/>
        </w:rPr>
        <w:t>gFrame</w:t>
      </w:r>
      <w:r w:rsidR="00822204" w:rsidRPr="00A52AB8">
        <w:rPr>
          <w:color w:val="000000" w:themeColor="text1"/>
        </w:rPr>
        <w:t>[ 0 ]</w:t>
      </w:r>
      <w:r w:rsidR="000E15DC" w:rsidRPr="00A52AB8">
        <w:rPr>
          <w:color w:val="000000" w:themeColor="text1"/>
        </w:rPr>
        <w:t>, recPcGeo, and</w:t>
      </w:r>
      <w:r w:rsidR="00602CC1" w:rsidRPr="00A52AB8">
        <w:rPr>
          <w:color w:val="000000" w:themeColor="text1"/>
        </w:rPr>
        <w:t>,</w:t>
      </w:r>
      <w:r w:rsidR="000E15DC" w:rsidRPr="00A52AB8">
        <w:rPr>
          <w:color w:val="000000" w:themeColor="text1"/>
        </w:rPr>
        <w:t xml:space="preserve"> when ai_attribute_count[</w:t>
      </w:r>
      <w:r w:rsidR="007B3F6C" w:rsidRPr="00A52AB8">
        <w:rPr>
          <w:color w:val="000000" w:themeColor="text1"/>
        </w:rPr>
        <w:t> </w:t>
      </w:r>
      <w:r w:rsidR="003430D0" w:rsidRPr="00A52AB8">
        <w:rPr>
          <w:color w:val="000000" w:themeColor="text1"/>
        </w:rPr>
        <w:t>RecAtlasID</w:t>
      </w:r>
      <w:r w:rsidR="00360753" w:rsidRPr="00A52AB8">
        <w:rPr>
          <w:color w:val="000000" w:themeColor="text1"/>
        </w:rPr>
        <w:t> </w:t>
      </w:r>
      <w:r w:rsidR="000E15DC" w:rsidRPr="00A52AB8">
        <w:rPr>
          <w:color w:val="000000" w:themeColor="text1"/>
        </w:rPr>
        <w:t>] is greater than 0, arrays aFrame</w:t>
      </w:r>
      <w:r w:rsidR="00822204" w:rsidRPr="00A52AB8">
        <w:rPr>
          <w:color w:val="000000" w:themeColor="text1"/>
        </w:rPr>
        <w:t>[ 0 ]</w:t>
      </w:r>
      <w:r w:rsidR="000E15DC" w:rsidRPr="00A52AB8">
        <w:rPr>
          <w:color w:val="000000" w:themeColor="text1"/>
        </w:rPr>
        <w:t xml:space="preserve"> and recPcAttr</w:t>
      </w:r>
      <w:r w:rsidR="00C32313" w:rsidRPr="00A52AB8">
        <w:rPr>
          <w:color w:val="000000" w:themeColor="text1"/>
        </w:rPr>
        <w:t>,</w:t>
      </w:r>
      <w:r w:rsidR="000E15DC" w:rsidRPr="00A52AB8">
        <w:rPr>
          <w:color w:val="000000" w:themeColor="text1"/>
        </w:rPr>
        <w:t xml:space="preserve"> as inputs. </w:t>
      </w:r>
      <w:r w:rsidR="00573344" w:rsidRPr="00A52AB8">
        <w:rPr>
          <w:color w:val="000000" w:themeColor="text1"/>
        </w:rPr>
        <w:t xml:space="preserve">The outputs are the modified variable pointCnt and </w:t>
      </w:r>
      <w:r w:rsidR="00EA164D" w:rsidRPr="00A52AB8">
        <w:rPr>
          <w:color w:val="000000" w:themeColor="text1"/>
        </w:rPr>
        <w:t xml:space="preserve">the </w:t>
      </w:r>
      <w:r w:rsidR="00360753" w:rsidRPr="00A52AB8">
        <w:rPr>
          <w:color w:val="000000" w:themeColor="text1"/>
        </w:rPr>
        <w:t xml:space="preserve">modified </w:t>
      </w:r>
      <w:r w:rsidR="00573344" w:rsidRPr="00A52AB8">
        <w:rPr>
          <w:color w:val="000000" w:themeColor="text1"/>
        </w:rPr>
        <w:t xml:space="preserve">arrays pointToPatch, </w:t>
      </w:r>
      <w:r w:rsidR="00360753" w:rsidRPr="00A52AB8">
        <w:rPr>
          <w:color w:val="000000" w:themeColor="text1"/>
        </w:rPr>
        <w:t xml:space="preserve">pointToPixel, </w:t>
      </w:r>
      <w:r w:rsidR="00573344" w:rsidRPr="00A52AB8">
        <w:rPr>
          <w:color w:val="000000" w:themeColor="text1"/>
        </w:rPr>
        <w:t>attrPresent, recPcGeo</w:t>
      </w:r>
      <w:r w:rsidR="00360753" w:rsidRPr="00A52AB8">
        <w:rPr>
          <w:color w:val="000000" w:themeColor="text1"/>
        </w:rPr>
        <w:t>,</w:t>
      </w:r>
      <w:r w:rsidR="00573344" w:rsidRPr="00A52AB8">
        <w:rPr>
          <w:color w:val="000000" w:themeColor="text1"/>
        </w:rPr>
        <w:t xml:space="preserve"> and recPcAttr.</w:t>
      </w:r>
    </w:p>
    <w:p w14:paraId="449A625A" w14:textId="77777777" w:rsidR="006D74F2" w:rsidRPr="00A52AB8"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Otherwise (</w:t>
      </w:r>
      <w:r w:rsidR="00C3373C" w:rsidRPr="00A52AB8">
        <w:rPr>
          <w:color w:val="000000" w:themeColor="text1"/>
        </w:rPr>
        <w:t>AtlasPatchType</w:t>
      </w:r>
      <w:r w:rsidRPr="00A52AB8">
        <w:rPr>
          <w:color w:val="000000" w:themeColor="text1"/>
        </w:rPr>
        <w:t xml:space="preserve">[ p ] is </w:t>
      </w:r>
      <w:r w:rsidR="00976AFA" w:rsidRPr="00A52AB8">
        <w:rPr>
          <w:color w:val="000000" w:themeColor="text1"/>
        </w:rPr>
        <w:t>PROJECTED</w:t>
      </w:r>
      <w:r w:rsidRPr="00A52AB8">
        <w:rPr>
          <w:color w:val="000000" w:themeColor="text1"/>
        </w:rPr>
        <w:t>), the following applies:</w:t>
      </w:r>
    </w:p>
    <w:p w14:paraId="09CA9655" w14:textId="22A0B99E" w:rsidR="005D3EC8" w:rsidRPr="00A52AB8" w:rsidRDefault="005D3EC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1" w:hanging="403"/>
        <w:textAlignment w:val="baseline"/>
        <w:rPr>
          <w:color w:val="000000" w:themeColor="text1"/>
        </w:rPr>
      </w:pPr>
      <w:r w:rsidRPr="00A52AB8">
        <w:rPr>
          <w:color w:val="000000" w:themeColor="text1"/>
        </w:rPr>
        <w:t>A variable blockS</w:t>
      </w:r>
      <w:r w:rsidR="006F52F9" w:rsidRPr="00A52AB8">
        <w:rPr>
          <w:color w:val="000000" w:themeColor="text1"/>
        </w:rPr>
        <w:t>hift</w:t>
      </w:r>
      <w:r w:rsidRPr="00A52AB8">
        <w:rPr>
          <w:color w:val="000000" w:themeColor="text1"/>
        </w:rPr>
        <w:t xml:space="preserve"> is set to asps_log2_patch_packing_block_size.</w:t>
      </w:r>
    </w:p>
    <w:p w14:paraId="76BDDCDF" w14:textId="33514313" w:rsidR="005C346D" w:rsidRPr="00A52AB8"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1" w:hanging="403"/>
        <w:textAlignment w:val="baseline"/>
        <w:rPr>
          <w:color w:val="000000" w:themeColor="text1"/>
        </w:rPr>
      </w:pPr>
      <w:r w:rsidRPr="00A52AB8">
        <w:rPr>
          <w:color w:val="000000" w:themeColor="text1"/>
        </w:rPr>
        <w:t xml:space="preserve">For </w:t>
      </w:r>
      <w:r w:rsidR="007D4866" w:rsidRPr="00A52AB8">
        <w:rPr>
          <w:color w:val="000000" w:themeColor="text1"/>
        </w:rPr>
        <w:t>s</w:t>
      </w:r>
      <w:r w:rsidR="00D47707" w:rsidRPr="00A52AB8">
        <w:rPr>
          <w:color w:val="000000" w:themeColor="text1"/>
        </w:rPr>
        <w:t> = </w:t>
      </w:r>
      <w:r w:rsidRPr="00A52AB8">
        <w:rPr>
          <w:color w:val="000000" w:themeColor="text1"/>
        </w:rPr>
        <w:t>0..</w:t>
      </w:r>
      <w:r w:rsidR="005C346D" w:rsidRPr="00A52AB8">
        <w:rPr>
          <w:color w:val="000000" w:themeColor="text1"/>
        </w:rPr>
        <w:t>AtlasPatch2dSizeX[ p ]</w:t>
      </w:r>
      <w:r w:rsidRPr="00A52AB8">
        <w:rPr>
          <w:color w:val="000000" w:themeColor="text1"/>
        </w:rPr>
        <w:t> </w:t>
      </w:r>
      <w:r w:rsidR="00FA2552" w:rsidRPr="00A52AB8">
        <w:rPr>
          <w:color w:val="000000" w:themeColor="text1"/>
        </w:rPr>
        <w:t>–</w:t>
      </w:r>
      <w:r w:rsidRPr="00A52AB8">
        <w:rPr>
          <w:color w:val="000000" w:themeColor="text1"/>
        </w:rPr>
        <w:t> 1</w:t>
      </w:r>
      <w:r w:rsidR="00FA2552" w:rsidRPr="00A52AB8">
        <w:rPr>
          <w:color w:val="000000" w:themeColor="text1"/>
        </w:rPr>
        <w:t xml:space="preserve"> and</w:t>
      </w:r>
      <w:r w:rsidRPr="00A52AB8">
        <w:rPr>
          <w:color w:val="000000" w:themeColor="text1"/>
        </w:rPr>
        <w:t xml:space="preserve"> </w:t>
      </w:r>
      <w:r w:rsidR="007D4866" w:rsidRPr="00A52AB8">
        <w:rPr>
          <w:color w:val="000000" w:themeColor="text1"/>
        </w:rPr>
        <w:t>t</w:t>
      </w:r>
      <w:r w:rsidR="00D47707" w:rsidRPr="00A52AB8">
        <w:rPr>
          <w:color w:val="000000" w:themeColor="text1"/>
        </w:rPr>
        <w:t> = </w:t>
      </w:r>
      <w:r w:rsidRPr="00A52AB8">
        <w:rPr>
          <w:color w:val="000000" w:themeColor="text1"/>
        </w:rPr>
        <w:t>0..</w:t>
      </w:r>
      <w:r w:rsidR="005C346D" w:rsidRPr="00A52AB8">
        <w:rPr>
          <w:color w:val="000000" w:themeColor="text1"/>
        </w:rPr>
        <w:t xml:space="preserve"> AtlasPatch2dSizeY[ p ]</w:t>
      </w:r>
      <w:r w:rsidRPr="00A52AB8">
        <w:rPr>
          <w:color w:val="000000" w:themeColor="text1"/>
        </w:rPr>
        <w:t> – 1, the following applies:</w:t>
      </w:r>
    </w:p>
    <w:p w14:paraId="6CCF4F92" w14:textId="77777777" w:rsidR="007D4866" w:rsidRPr="00A52AB8" w:rsidRDefault="007D486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2013" w:hanging="403"/>
        <w:textAlignment w:val="baseline"/>
        <w:rPr>
          <w:color w:val="000000" w:themeColor="text1"/>
        </w:rPr>
      </w:pPr>
      <w:r w:rsidRPr="00A52AB8">
        <w:rPr>
          <w:color w:val="000000" w:themeColor="text1"/>
        </w:rPr>
        <w:t>The atlas coordinates ( x, y ) are derived as follows:</w:t>
      </w:r>
    </w:p>
    <w:p w14:paraId="682C77EB" w14:textId="2EBF6A15" w:rsidR="007D4866" w:rsidRPr="00A52AB8" w:rsidRDefault="00E4386A" w:rsidP="00007BE2">
      <w:pPr>
        <w:pStyle w:val="ListParagraph"/>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 w:val="left" w:pos="360"/>
          <w:tab w:val="left" w:pos="720"/>
          <w:tab w:val="left" w:pos="1080"/>
          <w:tab w:val="left" w:pos="1440"/>
        </w:tabs>
        <w:ind w:leftChars="0" w:left="1610"/>
        <w:rPr>
          <w:color w:val="000000" w:themeColor="text1"/>
        </w:rPr>
      </w:pPr>
      <w:r w:rsidRPr="00A52AB8">
        <w:rPr>
          <w:lang w:eastAsia="ja-JP"/>
        </w:rPr>
        <w:tab/>
      </w:r>
      <w:r w:rsidRPr="00A52AB8">
        <w:rPr>
          <w:lang w:eastAsia="ja-JP"/>
        </w:rPr>
        <w:tab/>
      </w:r>
      <w:r w:rsidR="007D4866" w:rsidRPr="00A52AB8">
        <w:rPr>
          <w:lang w:eastAsia="ja-JP"/>
        </w:rPr>
        <w:t>x</w:t>
      </w:r>
      <w:r w:rsidR="00D47707" w:rsidRPr="00A52AB8">
        <w:rPr>
          <w:lang w:eastAsia="ja-JP"/>
        </w:rPr>
        <w:t> = </w:t>
      </w:r>
      <w:r w:rsidR="007D4866" w:rsidRPr="00A52AB8">
        <w:rPr>
          <w:color w:val="000000" w:themeColor="text1"/>
        </w:rPr>
        <w:t>s + </w:t>
      </w:r>
      <w:r w:rsidR="007D4866" w:rsidRPr="00A52AB8">
        <w:t>Atlas</w:t>
      </w:r>
      <w:r w:rsidR="007D4866" w:rsidRPr="00A52AB8">
        <w:rPr>
          <w:color w:val="000000" w:themeColor="text1"/>
        </w:rPr>
        <w:t>Patch2dPosX</w:t>
      </w:r>
      <w:r w:rsidR="007D4866" w:rsidRPr="00A52AB8">
        <w:rPr>
          <w:lang w:eastAsia="ja-JP"/>
        </w:rPr>
        <w:t>[ </w:t>
      </w:r>
      <w:r w:rsidR="006D3978" w:rsidRPr="00A52AB8">
        <w:rPr>
          <w:lang w:eastAsia="ja-JP"/>
        </w:rPr>
        <w:t>pProjIdx</w:t>
      </w:r>
      <w:r w:rsidR="007D4866" w:rsidRPr="00A52AB8">
        <w:rPr>
          <w:lang w:eastAsia="ja-JP"/>
        </w:rPr>
        <w:t> ]</w:t>
      </w:r>
      <w:r w:rsidR="007D4866" w:rsidRPr="00A52AB8">
        <w:rPr>
          <w:color w:val="000000" w:themeColor="text1"/>
        </w:rPr>
        <w:br/>
      </w:r>
      <w:r w:rsidRPr="00A52AB8">
        <w:rPr>
          <w:lang w:eastAsia="ja-JP"/>
        </w:rPr>
        <w:tab/>
      </w:r>
      <w:r w:rsidRPr="00A52AB8">
        <w:rPr>
          <w:lang w:eastAsia="ja-JP"/>
        </w:rPr>
        <w:tab/>
      </w:r>
      <w:r w:rsidR="007D4866" w:rsidRPr="00A52AB8">
        <w:rPr>
          <w:lang w:eastAsia="ja-JP"/>
        </w:rPr>
        <w:t>y</w:t>
      </w:r>
      <w:r w:rsidR="00D47707" w:rsidRPr="00A52AB8">
        <w:rPr>
          <w:lang w:eastAsia="ja-JP"/>
        </w:rPr>
        <w:t> = </w:t>
      </w:r>
      <w:r w:rsidR="00FA2552" w:rsidRPr="00A52AB8">
        <w:rPr>
          <w:color w:val="000000" w:themeColor="text1"/>
        </w:rPr>
        <w:t>t</w:t>
      </w:r>
      <w:r w:rsidR="007D4866" w:rsidRPr="00A52AB8">
        <w:rPr>
          <w:color w:val="000000" w:themeColor="text1"/>
        </w:rPr>
        <w:t> + </w:t>
      </w:r>
      <w:r w:rsidR="007D4866" w:rsidRPr="00A52AB8">
        <w:t>Atlas</w:t>
      </w:r>
      <w:r w:rsidR="007D4866" w:rsidRPr="00A52AB8">
        <w:rPr>
          <w:color w:val="000000" w:themeColor="text1"/>
        </w:rPr>
        <w:t>Patch2dPosY</w:t>
      </w:r>
      <w:r w:rsidR="007D4866" w:rsidRPr="00A52AB8">
        <w:rPr>
          <w:lang w:eastAsia="ja-JP"/>
        </w:rPr>
        <w:t>[ </w:t>
      </w:r>
      <w:r w:rsidR="006D3978" w:rsidRPr="00A52AB8">
        <w:rPr>
          <w:lang w:eastAsia="ja-JP"/>
        </w:rPr>
        <w:t>pProjIdx</w:t>
      </w:r>
      <w:r w:rsidR="007D4866" w:rsidRPr="00A52AB8">
        <w:rPr>
          <w:lang w:eastAsia="ja-JP"/>
        </w:rPr>
        <w:t> ]</w:t>
      </w:r>
    </w:p>
    <w:p w14:paraId="598E8E0E" w14:textId="77777777" w:rsidR="006D74F2" w:rsidRPr="00A52AB8"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2013" w:hanging="403"/>
        <w:textAlignment w:val="baseline"/>
        <w:rPr>
          <w:color w:val="000000" w:themeColor="text1"/>
        </w:rPr>
      </w:pPr>
      <w:r w:rsidRPr="00A52AB8">
        <w:rPr>
          <w:color w:val="000000" w:themeColor="text1"/>
        </w:rPr>
        <w:t>The variables subBlkX and subBlkY are calculated as follows:</w:t>
      </w:r>
    </w:p>
    <w:p w14:paraId="7D47FA0F" w14:textId="6946A1EE" w:rsidR="0050235C" w:rsidRPr="00A52AB8" w:rsidRDefault="00E4386A" w:rsidP="00007BE2">
      <w:pPr>
        <w:pStyle w:val="ListParagraph"/>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 w:val="left" w:pos="360"/>
          <w:tab w:val="left" w:pos="720"/>
          <w:tab w:val="left" w:pos="1080"/>
          <w:tab w:val="left" w:pos="1440"/>
        </w:tabs>
        <w:ind w:leftChars="0" w:left="1610"/>
        <w:rPr>
          <w:lang w:eastAsia="ja-JP"/>
        </w:rPr>
      </w:pPr>
      <w:r w:rsidRPr="00A52AB8">
        <w:rPr>
          <w:lang w:eastAsia="ja-JP"/>
        </w:rPr>
        <w:tab/>
      </w:r>
      <w:r w:rsidR="006D74F2" w:rsidRPr="00A52AB8">
        <w:rPr>
          <w:lang w:eastAsia="ja-JP"/>
        </w:rPr>
        <w:tab/>
        <w:t>subBlkY</w:t>
      </w:r>
      <w:r w:rsidR="00D47707" w:rsidRPr="00A52AB8">
        <w:rPr>
          <w:lang w:eastAsia="ja-JP"/>
        </w:rPr>
        <w:t> = </w:t>
      </w:r>
      <w:r w:rsidR="006D74F2" w:rsidRPr="00A52AB8">
        <w:rPr>
          <w:lang w:eastAsia="ja-JP"/>
        </w:rPr>
        <w:t>y / PatchPackingBlockSize</w:t>
      </w:r>
      <w:r w:rsidR="00C61E38" w:rsidRPr="00A52AB8">
        <w:rPr>
          <w:lang w:eastAsia="ja-JP"/>
        </w:rPr>
        <w:br/>
      </w:r>
      <w:r w:rsidRPr="00A52AB8">
        <w:rPr>
          <w:lang w:eastAsia="ja-JP"/>
        </w:rPr>
        <w:tab/>
      </w:r>
      <w:r w:rsidR="006D74F2" w:rsidRPr="00A52AB8">
        <w:rPr>
          <w:lang w:eastAsia="ja-JP"/>
        </w:rPr>
        <w:tab/>
        <w:t>subBlkX</w:t>
      </w:r>
      <w:r w:rsidR="00D47707" w:rsidRPr="00A52AB8">
        <w:rPr>
          <w:lang w:eastAsia="ja-JP"/>
        </w:rPr>
        <w:t> = </w:t>
      </w:r>
      <w:r w:rsidR="006D74F2" w:rsidRPr="00A52AB8">
        <w:rPr>
          <w:lang w:eastAsia="ja-JP"/>
        </w:rPr>
        <w:t>x / PatchPackingBlockSize</w:t>
      </w:r>
    </w:p>
    <w:p w14:paraId="3B9D5424" w14:textId="77777777" w:rsidR="0050235C" w:rsidRPr="00A52AB8"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2013" w:hanging="403"/>
        <w:textAlignment w:val="baseline"/>
        <w:rPr>
          <w:color w:val="000000" w:themeColor="text1"/>
        </w:rPr>
      </w:pPr>
      <w:r w:rsidRPr="00A52AB8">
        <w:rPr>
          <w:color w:val="000000" w:themeColor="text1"/>
        </w:rPr>
        <w:t xml:space="preserve">If </w:t>
      </w:r>
      <w:r w:rsidR="00121E0D" w:rsidRPr="00A52AB8">
        <w:rPr>
          <w:color w:val="000000" w:themeColor="text1"/>
        </w:rPr>
        <w:t>o</w:t>
      </w:r>
      <w:r w:rsidRPr="00A52AB8">
        <w:rPr>
          <w:color w:val="000000" w:themeColor="text1"/>
        </w:rPr>
        <w:t>Frame</w:t>
      </w:r>
      <w:r w:rsidR="004B7314" w:rsidRPr="00A52AB8">
        <w:rPr>
          <w:color w:val="000000" w:themeColor="text1"/>
        </w:rPr>
        <w:t>[ y ][ x ]</w:t>
      </w:r>
      <w:r w:rsidRPr="00A52AB8">
        <w:rPr>
          <w:color w:val="000000" w:themeColor="text1"/>
        </w:rPr>
        <w:t xml:space="preserve"> is not equal to 0 and AtlasBlockToPatchMap[ subBlkY ][ subBlkX ] is equal to p, the following applies:</w:t>
      </w:r>
    </w:p>
    <w:p w14:paraId="08986AD3" w14:textId="55BF1A1A" w:rsidR="001A34CF" w:rsidRPr="00A52AB8" w:rsidRDefault="001A34CF"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2416" w:hanging="403"/>
        <w:textAlignment w:val="baseline"/>
        <w:rPr>
          <w:color w:val="000000" w:themeColor="text1"/>
        </w:rPr>
      </w:pPr>
      <w:r w:rsidRPr="00A52AB8">
        <w:rPr>
          <w:color w:val="000000" w:themeColor="text1"/>
        </w:rPr>
        <w:t>For mapIdx</w:t>
      </w:r>
      <w:r w:rsidR="00D47707" w:rsidRPr="00A52AB8">
        <w:rPr>
          <w:color w:val="000000" w:themeColor="text1"/>
        </w:rPr>
        <w:t> = </w:t>
      </w:r>
      <w:r w:rsidRPr="00A52AB8">
        <w:rPr>
          <w:color w:val="000000" w:themeColor="text1"/>
        </w:rPr>
        <w:t>0 .. asps_map_count_minus1,</w:t>
      </w:r>
      <w:r w:rsidR="00C5672A" w:rsidRPr="00A52AB8">
        <w:rPr>
          <w:color w:val="000000" w:themeColor="text1"/>
        </w:rPr>
        <w:t xml:space="preserve"> the following applies:</w:t>
      </w:r>
    </w:p>
    <w:p w14:paraId="5A46E3B6" w14:textId="23D3AA77" w:rsidR="00903009" w:rsidRPr="00A52AB8" w:rsidRDefault="00903009"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2818" w:hanging="403"/>
        <w:textAlignment w:val="baseline"/>
        <w:rPr>
          <w:color w:val="000000" w:themeColor="text1"/>
        </w:rPr>
      </w:pPr>
      <w:r w:rsidRPr="00A52AB8">
        <w:rPr>
          <w:color w:val="000000" w:themeColor="text1"/>
        </w:rPr>
        <w:t xml:space="preserve">Subclause </w:t>
      </w:r>
      <w:r w:rsidR="00CD27B6" w:rsidRPr="00496A4D">
        <w:rPr>
          <w:color w:val="000000" w:themeColor="text1"/>
        </w:rPr>
        <w:fldChar w:fldCharType="begin"/>
      </w:r>
      <w:r w:rsidR="00CD27B6" w:rsidRPr="00A52AB8">
        <w:rPr>
          <w:color w:val="000000" w:themeColor="text1"/>
        </w:rPr>
        <w:instrText xml:space="preserve"> REF _Ref47950139 \n \h </w:instrText>
      </w:r>
      <w:r w:rsidR="00851254" w:rsidRPr="00A52AB8">
        <w:rPr>
          <w:color w:val="000000" w:themeColor="text1"/>
        </w:rPr>
        <w:instrText xml:space="preserve"> \* MERGEFORMAT </w:instrText>
      </w:r>
      <w:r w:rsidR="00CD27B6" w:rsidRPr="00496A4D">
        <w:rPr>
          <w:color w:val="000000" w:themeColor="text1"/>
        </w:rPr>
      </w:r>
      <w:r w:rsidR="00CD27B6" w:rsidRPr="00496A4D">
        <w:rPr>
          <w:color w:val="000000" w:themeColor="text1"/>
        </w:rPr>
        <w:fldChar w:fldCharType="separate"/>
      </w:r>
      <w:r w:rsidR="00507A67">
        <w:rPr>
          <w:color w:val="000000" w:themeColor="text1"/>
        </w:rPr>
        <w:t>H.11.2.1</w:t>
      </w:r>
      <w:r w:rsidR="00CD27B6" w:rsidRPr="00496A4D">
        <w:rPr>
          <w:color w:val="000000" w:themeColor="text1"/>
        </w:rPr>
        <w:fldChar w:fldCharType="end"/>
      </w:r>
      <w:r w:rsidR="00CD27B6" w:rsidRPr="00A52AB8">
        <w:rPr>
          <w:color w:val="000000" w:themeColor="text1"/>
        </w:rPr>
        <w:t xml:space="preserve"> </w:t>
      </w:r>
      <w:r w:rsidRPr="00A52AB8">
        <w:rPr>
          <w:color w:val="000000" w:themeColor="text1"/>
        </w:rPr>
        <w:t>is invoked with variables pointCnt, patch index p</w:t>
      </w:r>
      <w:r w:rsidR="00EA164D" w:rsidRPr="00A52AB8">
        <w:rPr>
          <w:color w:val="000000" w:themeColor="text1"/>
        </w:rPr>
        <w:t>,</w:t>
      </w:r>
      <w:r w:rsidR="000A66F5" w:rsidRPr="00A52AB8">
        <w:rPr>
          <w:color w:val="000000" w:themeColor="text1"/>
        </w:rPr>
        <w:t xml:space="preserve"> </w:t>
      </w:r>
      <w:r w:rsidRPr="00A52AB8">
        <w:rPr>
          <w:color w:val="000000" w:themeColor="text1"/>
        </w:rPr>
        <w:t>mapIdx,</w:t>
      </w:r>
      <w:r w:rsidR="000678AC" w:rsidRPr="00A52AB8">
        <w:rPr>
          <w:color w:val="000000" w:themeColor="text1"/>
        </w:rPr>
        <w:t xml:space="preserve"> </w:t>
      </w:r>
      <w:r w:rsidRPr="00A52AB8">
        <w:rPr>
          <w:color w:val="000000" w:themeColor="text1"/>
        </w:rPr>
        <w:t>x,</w:t>
      </w:r>
      <w:r w:rsidR="000678AC" w:rsidRPr="00A52AB8">
        <w:rPr>
          <w:color w:val="000000" w:themeColor="text1"/>
        </w:rPr>
        <w:t xml:space="preserve"> and </w:t>
      </w:r>
      <w:r w:rsidRPr="00A52AB8">
        <w:rPr>
          <w:color w:val="000000" w:themeColor="text1"/>
        </w:rPr>
        <w:t>y</w:t>
      </w:r>
      <w:r w:rsidR="00EA164D" w:rsidRPr="00A52AB8">
        <w:rPr>
          <w:color w:val="000000" w:themeColor="text1"/>
        </w:rPr>
        <w:t>,</w:t>
      </w:r>
      <w:r w:rsidR="00396B4D" w:rsidRPr="00A52AB8">
        <w:rPr>
          <w:color w:val="000000" w:themeColor="text1"/>
        </w:rPr>
        <w:t xml:space="preserve"> and </w:t>
      </w:r>
      <w:r w:rsidRPr="00A52AB8">
        <w:rPr>
          <w:color w:val="000000" w:themeColor="text1"/>
        </w:rPr>
        <w:t xml:space="preserve">arrays </w:t>
      </w:r>
      <w:r w:rsidR="008414A6" w:rsidRPr="00A52AB8">
        <w:rPr>
          <w:color w:val="000000" w:themeColor="text1"/>
        </w:rPr>
        <w:t xml:space="preserve">pos3D[ mapIdx ], </w:t>
      </w:r>
      <w:r w:rsidRPr="00A52AB8">
        <w:rPr>
          <w:color w:val="000000" w:themeColor="text1"/>
        </w:rPr>
        <w:t>pointToPatch, pointToPixel, attrPresent, gFrame, recPcGeo, and</w:t>
      </w:r>
      <w:r w:rsidR="00C32313" w:rsidRPr="00A52AB8">
        <w:rPr>
          <w:color w:val="000000" w:themeColor="text1"/>
        </w:rPr>
        <w:t>,</w:t>
      </w:r>
      <w:r w:rsidRPr="00A52AB8">
        <w:rPr>
          <w:color w:val="000000" w:themeColor="text1"/>
        </w:rPr>
        <w:t xml:space="preserve"> when ai_attribute_count[ RecAtlasID ] is greater than 0, arrays aFrame[ mapIdx ] and recPcAttr</w:t>
      </w:r>
      <w:r w:rsidR="00C32313" w:rsidRPr="00A52AB8">
        <w:rPr>
          <w:color w:val="000000" w:themeColor="text1"/>
        </w:rPr>
        <w:t>,</w:t>
      </w:r>
      <w:r w:rsidRPr="00A52AB8">
        <w:rPr>
          <w:color w:val="000000" w:themeColor="text1"/>
        </w:rPr>
        <w:t xml:space="preserve"> as inputs. The outputs are the modified variable pointCnt,</w:t>
      </w:r>
      <w:r w:rsidR="00E21549" w:rsidRPr="00A52AB8">
        <w:rPr>
          <w:color w:val="000000" w:themeColor="text1"/>
        </w:rPr>
        <w:t xml:space="preserve"> </w:t>
      </w:r>
      <w:r w:rsidRPr="00A52AB8">
        <w:rPr>
          <w:color w:val="000000" w:themeColor="text1"/>
        </w:rPr>
        <w:t xml:space="preserve">and </w:t>
      </w:r>
      <w:r w:rsidR="00EA164D" w:rsidRPr="00A52AB8">
        <w:rPr>
          <w:color w:val="000000" w:themeColor="text1"/>
        </w:rPr>
        <w:t xml:space="preserve">the </w:t>
      </w:r>
      <w:r w:rsidRPr="00A52AB8">
        <w:rPr>
          <w:color w:val="000000" w:themeColor="text1"/>
        </w:rPr>
        <w:t xml:space="preserve">modified arrays </w:t>
      </w:r>
      <w:r w:rsidR="00E21549" w:rsidRPr="00A52AB8">
        <w:rPr>
          <w:color w:val="000000" w:themeColor="text1"/>
        </w:rPr>
        <w:t>pos3D[ mapIdx ]</w:t>
      </w:r>
      <w:r w:rsidR="00EB3E4B" w:rsidRPr="00A52AB8">
        <w:rPr>
          <w:color w:val="000000" w:themeColor="text1"/>
        </w:rPr>
        <w:t>,</w:t>
      </w:r>
      <w:r w:rsidR="00E21549" w:rsidRPr="00A52AB8">
        <w:rPr>
          <w:color w:val="000000" w:themeColor="text1"/>
        </w:rPr>
        <w:t xml:space="preserve"> </w:t>
      </w:r>
      <w:r w:rsidRPr="00A52AB8">
        <w:rPr>
          <w:color w:val="000000" w:themeColor="text1"/>
        </w:rPr>
        <w:t>pointToPatch, pointToPixel, attrPresent, recPcGeo, and recPcAttr.</w:t>
      </w:r>
    </w:p>
    <w:p w14:paraId="6C9AACC2" w14:textId="3D0A266C" w:rsidR="006D74F2" w:rsidRPr="00A52AB8"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2818" w:hanging="403"/>
        <w:textAlignment w:val="baseline"/>
        <w:rPr>
          <w:color w:val="000000" w:themeColor="text1"/>
        </w:rPr>
      </w:pPr>
      <w:r w:rsidRPr="00A52AB8">
        <w:rPr>
          <w:color w:val="000000" w:themeColor="text1"/>
        </w:rPr>
        <w:t xml:space="preserve">If </w:t>
      </w:r>
      <w:r w:rsidR="00903009" w:rsidRPr="00A52AB8">
        <w:rPr>
          <w:color w:val="000000" w:themeColor="text1"/>
        </w:rPr>
        <w:t>asps_map_</w:t>
      </w:r>
      <w:r w:rsidR="00FA2552" w:rsidRPr="00A52AB8">
        <w:rPr>
          <w:color w:val="000000" w:themeColor="text1"/>
        </w:rPr>
        <w:t>pixel_</w:t>
      </w:r>
      <w:r w:rsidR="00903009" w:rsidRPr="00A52AB8">
        <w:rPr>
          <w:color w:val="000000" w:themeColor="text1"/>
        </w:rPr>
        <w:t>deinterleaving_flag[ mapIdx ] is equal to 1</w:t>
      </w:r>
      <w:r w:rsidRPr="00A52AB8">
        <w:rPr>
          <w:color w:val="000000" w:themeColor="text1"/>
        </w:rPr>
        <w:t xml:space="preserve">, </w:t>
      </w:r>
      <w:r w:rsidR="00744D39" w:rsidRPr="00A52AB8">
        <w:rPr>
          <w:color w:val="000000" w:themeColor="text1"/>
        </w:rPr>
        <w:t>subclause</w:t>
      </w:r>
      <w:r w:rsidRPr="00A52AB8">
        <w:rPr>
          <w:color w:val="000000" w:themeColor="text1"/>
        </w:rPr>
        <w:t xml:space="preserve"> </w:t>
      </w:r>
      <w:r w:rsidR="003A0863" w:rsidRPr="00496A4D">
        <w:rPr>
          <w:color w:val="000000" w:themeColor="text1"/>
        </w:rPr>
        <w:fldChar w:fldCharType="begin"/>
      </w:r>
      <w:r w:rsidR="003A0863" w:rsidRPr="00A52AB8">
        <w:rPr>
          <w:color w:val="000000" w:themeColor="text1"/>
        </w:rPr>
        <w:instrText xml:space="preserve"> REF _Ref38890489 \r \h </w:instrText>
      </w:r>
      <w:r w:rsidR="00CA5401" w:rsidRPr="00A52AB8">
        <w:rPr>
          <w:color w:val="000000" w:themeColor="text1"/>
        </w:rPr>
        <w:instrText xml:space="preserve"> \* MERGEFORMAT </w:instrText>
      </w:r>
      <w:r w:rsidR="003A0863" w:rsidRPr="00496A4D">
        <w:rPr>
          <w:color w:val="000000" w:themeColor="text1"/>
        </w:rPr>
      </w:r>
      <w:r w:rsidR="003A0863" w:rsidRPr="00496A4D">
        <w:rPr>
          <w:color w:val="000000" w:themeColor="text1"/>
        </w:rPr>
        <w:fldChar w:fldCharType="separate"/>
      </w:r>
      <w:r w:rsidR="00507A67">
        <w:rPr>
          <w:color w:val="000000" w:themeColor="text1"/>
        </w:rPr>
        <w:t>H.11.2.3</w:t>
      </w:r>
      <w:r w:rsidR="003A0863" w:rsidRPr="00496A4D">
        <w:rPr>
          <w:color w:val="000000" w:themeColor="text1"/>
        </w:rPr>
        <w:fldChar w:fldCharType="end"/>
      </w:r>
      <w:r w:rsidR="003A0863" w:rsidRPr="00A52AB8">
        <w:rPr>
          <w:color w:val="000000" w:themeColor="text1"/>
        </w:rPr>
        <w:t xml:space="preserve"> </w:t>
      </w:r>
      <w:r w:rsidRPr="00A52AB8">
        <w:rPr>
          <w:color w:val="000000" w:themeColor="text1"/>
        </w:rPr>
        <w:t xml:space="preserve">is invoked </w:t>
      </w:r>
      <w:r w:rsidR="0098678B" w:rsidRPr="00A52AB8">
        <w:rPr>
          <w:color w:val="000000" w:themeColor="text1"/>
        </w:rPr>
        <w:t>with variables pointCnt</w:t>
      </w:r>
      <w:r w:rsidR="000678AC" w:rsidRPr="00A52AB8">
        <w:rPr>
          <w:color w:val="000000" w:themeColor="text1"/>
        </w:rPr>
        <w:t xml:space="preserve">, </w:t>
      </w:r>
      <w:r w:rsidR="0098678B" w:rsidRPr="00A52AB8">
        <w:rPr>
          <w:color w:val="000000" w:themeColor="text1"/>
        </w:rPr>
        <w:t>patch index p</w:t>
      </w:r>
      <w:r w:rsidR="00EA164D" w:rsidRPr="00A52AB8">
        <w:rPr>
          <w:color w:val="000000" w:themeColor="text1"/>
        </w:rPr>
        <w:t>,</w:t>
      </w:r>
      <w:r w:rsidR="000678AC" w:rsidRPr="00A52AB8">
        <w:rPr>
          <w:color w:val="000000" w:themeColor="text1"/>
        </w:rPr>
        <w:t xml:space="preserve"> x, and y, </w:t>
      </w:r>
      <w:r w:rsidR="00396B4D" w:rsidRPr="00A52AB8">
        <w:rPr>
          <w:color w:val="000000" w:themeColor="text1"/>
        </w:rPr>
        <w:t xml:space="preserve">and </w:t>
      </w:r>
      <w:r w:rsidR="0098678B" w:rsidRPr="00A52AB8">
        <w:rPr>
          <w:color w:val="000000" w:themeColor="text1"/>
        </w:rPr>
        <w:t xml:space="preserve">arrays </w:t>
      </w:r>
      <w:r w:rsidR="00DF2308" w:rsidRPr="00A52AB8">
        <w:rPr>
          <w:color w:val="000000" w:themeColor="text1"/>
        </w:rPr>
        <w:t>pos3D[ mapIdx ],</w:t>
      </w:r>
      <w:r w:rsidR="002D38A8" w:rsidRPr="00A52AB8">
        <w:rPr>
          <w:color w:val="000000" w:themeColor="text1"/>
        </w:rPr>
        <w:t xml:space="preserve"> </w:t>
      </w:r>
      <w:r w:rsidR="0098678B" w:rsidRPr="00A52AB8">
        <w:rPr>
          <w:color w:val="000000" w:themeColor="text1"/>
        </w:rPr>
        <w:t xml:space="preserve">pointToPatch, </w:t>
      </w:r>
      <w:r w:rsidR="00366EF3" w:rsidRPr="00A52AB8">
        <w:rPr>
          <w:color w:val="000000" w:themeColor="text1"/>
        </w:rPr>
        <w:t xml:space="preserve">pointToPixel, </w:t>
      </w:r>
      <w:r w:rsidR="0098678B" w:rsidRPr="00A52AB8">
        <w:rPr>
          <w:color w:val="000000" w:themeColor="text1"/>
        </w:rPr>
        <w:t>attrPresent, oFrame, gFrame</w:t>
      </w:r>
      <w:r w:rsidR="00876A81" w:rsidRPr="00A52AB8">
        <w:rPr>
          <w:color w:val="000000" w:themeColor="text1"/>
        </w:rPr>
        <w:t>[ mapIdx ]</w:t>
      </w:r>
      <w:r w:rsidR="00FA2552" w:rsidRPr="00A52AB8">
        <w:rPr>
          <w:color w:val="000000" w:themeColor="text1"/>
        </w:rPr>
        <w:t>,</w:t>
      </w:r>
      <w:r w:rsidR="00876A81" w:rsidRPr="00A52AB8">
        <w:rPr>
          <w:color w:val="000000" w:themeColor="text1"/>
        </w:rPr>
        <w:t xml:space="preserve"> and</w:t>
      </w:r>
      <w:r w:rsidR="0098678B" w:rsidRPr="00A52AB8">
        <w:rPr>
          <w:color w:val="000000" w:themeColor="text1"/>
        </w:rPr>
        <w:t xml:space="preserve"> recPcGeo</w:t>
      </w:r>
      <w:r w:rsidR="00876A81" w:rsidRPr="00A52AB8">
        <w:rPr>
          <w:color w:val="000000" w:themeColor="text1"/>
        </w:rPr>
        <w:t xml:space="preserve"> </w:t>
      </w:r>
      <w:r w:rsidR="0098678B" w:rsidRPr="00A52AB8">
        <w:rPr>
          <w:color w:val="000000" w:themeColor="text1"/>
        </w:rPr>
        <w:t xml:space="preserve">as inputs. The outputs are the modified variable pointCnt and </w:t>
      </w:r>
      <w:r w:rsidR="005D3EC8" w:rsidRPr="00A52AB8">
        <w:rPr>
          <w:color w:val="000000" w:themeColor="text1"/>
        </w:rPr>
        <w:t xml:space="preserve">the </w:t>
      </w:r>
      <w:r w:rsidR="00366EF3" w:rsidRPr="00A52AB8">
        <w:rPr>
          <w:color w:val="000000" w:themeColor="text1"/>
        </w:rPr>
        <w:t xml:space="preserve">modified </w:t>
      </w:r>
      <w:r w:rsidR="0098678B" w:rsidRPr="00A52AB8">
        <w:rPr>
          <w:color w:val="000000" w:themeColor="text1"/>
        </w:rPr>
        <w:t xml:space="preserve">arrays pointToPatch, </w:t>
      </w:r>
      <w:r w:rsidR="00366EF3" w:rsidRPr="00A52AB8">
        <w:rPr>
          <w:color w:val="000000" w:themeColor="text1"/>
        </w:rPr>
        <w:t xml:space="preserve">pointToPixel, </w:t>
      </w:r>
      <w:r w:rsidR="0098678B" w:rsidRPr="00A52AB8">
        <w:rPr>
          <w:color w:val="000000" w:themeColor="text1"/>
        </w:rPr>
        <w:t>attrPresent</w:t>
      </w:r>
      <w:r w:rsidR="00FA2552" w:rsidRPr="00A52AB8">
        <w:rPr>
          <w:color w:val="000000" w:themeColor="text1"/>
        </w:rPr>
        <w:t>,</w:t>
      </w:r>
      <w:r w:rsidR="00876A81" w:rsidRPr="00A52AB8">
        <w:rPr>
          <w:color w:val="000000" w:themeColor="text1"/>
        </w:rPr>
        <w:t xml:space="preserve"> and </w:t>
      </w:r>
      <w:r w:rsidR="0098678B" w:rsidRPr="00A52AB8">
        <w:rPr>
          <w:color w:val="000000" w:themeColor="text1"/>
        </w:rPr>
        <w:t>recPcGeo.</w:t>
      </w:r>
    </w:p>
    <w:p w14:paraId="04E2810C" w14:textId="06B31FB4" w:rsidR="006D74F2" w:rsidRPr="00A52AB8" w:rsidRDefault="00FA255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2818" w:hanging="403"/>
        <w:textAlignment w:val="baseline"/>
        <w:rPr>
          <w:color w:val="000000" w:themeColor="text1"/>
        </w:rPr>
      </w:pPr>
      <w:r w:rsidRPr="00A52AB8">
        <w:rPr>
          <w:color w:val="000000" w:themeColor="text1"/>
        </w:rPr>
        <w:t>I</w:t>
      </w:r>
      <w:r w:rsidR="006D74F2" w:rsidRPr="00A52AB8">
        <w:rPr>
          <w:color w:val="000000" w:themeColor="text1"/>
        </w:rPr>
        <w:t>f asps_</w:t>
      </w:r>
      <w:r w:rsidR="00D375CC" w:rsidRPr="00A52AB8">
        <w:rPr>
          <w:color w:val="000000" w:themeColor="text1"/>
        </w:rPr>
        <w:t>plr</w:t>
      </w:r>
      <w:r w:rsidR="006D74F2" w:rsidRPr="00A52AB8">
        <w:rPr>
          <w:color w:val="000000" w:themeColor="text1"/>
        </w:rPr>
        <w:t>_enabled_flag is equal to 1</w:t>
      </w:r>
      <w:r w:rsidR="00AC2BAD" w:rsidRPr="00A52AB8">
        <w:rPr>
          <w:color w:val="000000" w:themeColor="text1"/>
        </w:rPr>
        <w:t xml:space="preserve"> and plri_map_present_flag[ mapIdx ] is equal to 1</w:t>
      </w:r>
      <w:r w:rsidR="006D74F2" w:rsidRPr="00A52AB8">
        <w:rPr>
          <w:color w:val="000000" w:themeColor="text1"/>
        </w:rPr>
        <w:t>,</w:t>
      </w:r>
      <w:r w:rsidR="001A34CF" w:rsidRPr="00A52AB8">
        <w:rPr>
          <w:color w:val="000000" w:themeColor="text1"/>
        </w:rPr>
        <w:t xml:space="preserve"> </w:t>
      </w:r>
      <w:r w:rsidR="00744D39" w:rsidRPr="00A52AB8">
        <w:rPr>
          <w:color w:val="000000" w:themeColor="text1"/>
        </w:rPr>
        <w:t>subclause</w:t>
      </w:r>
      <w:r w:rsidR="003A0863" w:rsidRPr="00A52AB8">
        <w:rPr>
          <w:color w:val="000000" w:themeColor="text1"/>
        </w:rPr>
        <w:t xml:space="preserve"> </w:t>
      </w:r>
      <w:r w:rsidR="007D654F" w:rsidRPr="00496A4D">
        <w:rPr>
          <w:color w:val="000000" w:themeColor="text1"/>
        </w:rPr>
        <w:fldChar w:fldCharType="begin"/>
      </w:r>
      <w:r w:rsidR="007D654F" w:rsidRPr="00A52AB8">
        <w:rPr>
          <w:color w:val="000000" w:themeColor="text1"/>
        </w:rPr>
        <w:instrText xml:space="preserve"> REF _Ref38890468 \n \h </w:instrText>
      </w:r>
      <w:r w:rsidR="0029436D" w:rsidRPr="00A52AB8">
        <w:rPr>
          <w:color w:val="000000" w:themeColor="text1"/>
        </w:rPr>
        <w:instrText xml:space="preserve"> \* MERGEFORMAT </w:instrText>
      </w:r>
      <w:r w:rsidR="007D654F" w:rsidRPr="00496A4D">
        <w:rPr>
          <w:color w:val="000000" w:themeColor="text1"/>
        </w:rPr>
      </w:r>
      <w:r w:rsidR="007D654F" w:rsidRPr="00496A4D">
        <w:rPr>
          <w:color w:val="000000" w:themeColor="text1"/>
        </w:rPr>
        <w:fldChar w:fldCharType="separate"/>
      </w:r>
      <w:r w:rsidR="00507A67">
        <w:rPr>
          <w:color w:val="000000" w:themeColor="text1"/>
        </w:rPr>
        <w:t>H.11.2.4</w:t>
      </w:r>
      <w:r w:rsidR="007D654F" w:rsidRPr="00496A4D">
        <w:rPr>
          <w:color w:val="000000" w:themeColor="text1"/>
        </w:rPr>
        <w:fldChar w:fldCharType="end"/>
      </w:r>
      <w:r w:rsidR="007D654F" w:rsidRPr="00A52AB8">
        <w:rPr>
          <w:color w:val="000000" w:themeColor="text1"/>
        </w:rPr>
        <w:t xml:space="preserve"> </w:t>
      </w:r>
      <w:r w:rsidR="006D74F2" w:rsidRPr="00A52AB8">
        <w:rPr>
          <w:color w:val="000000" w:themeColor="text1"/>
        </w:rPr>
        <w:t xml:space="preserve">is invoked </w:t>
      </w:r>
      <w:r w:rsidR="00575B7B" w:rsidRPr="00A52AB8">
        <w:rPr>
          <w:color w:val="000000" w:themeColor="text1"/>
        </w:rPr>
        <w:t>with variables pointCnt, patch index p</w:t>
      </w:r>
      <w:r w:rsidRPr="00A52AB8">
        <w:rPr>
          <w:color w:val="000000" w:themeColor="text1"/>
        </w:rPr>
        <w:t>,</w:t>
      </w:r>
      <w:r w:rsidR="000E0C04" w:rsidRPr="00A52AB8">
        <w:rPr>
          <w:color w:val="000000" w:themeColor="text1"/>
        </w:rPr>
        <w:t xml:space="preserve"> </w:t>
      </w:r>
      <w:r w:rsidR="000678AC" w:rsidRPr="00A52AB8">
        <w:rPr>
          <w:color w:val="000000" w:themeColor="text1"/>
        </w:rPr>
        <w:t xml:space="preserve">x, y, </w:t>
      </w:r>
      <w:r w:rsidR="00396B4D" w:rsidRPr="00A52AB8">
        <w:rPr>
          <w:color w:val="000000" w:themeColor="text1"/>
        </w:rPr>
        <w:t xml:space="preserve">and </w:t>
      </w:r>
      <w:r w:rsidR="006B5586" w:rsidRPr="00A52AB8">
        <w:rPr>
          <w:color w:val="000000" w:themeColor="text1"/>
        </w:rPr>
        <w:t>blockS</w:t>
      </w:r>
      <w:r w:rsidR="006F52F9" w:rsidRPr="00A52AB8">
        <w:rPr>
          <w:color w:val="000000" w:themeColor="text1"/>
        </w:rPr>
        <w:t>hift</w:t>
      </w:r>
      <w:r w:rsidR="006B5586" w:rsidRPr="00A52AB8">
        <w:rPr>
          <w:color w:val="000000" w:themeColor="text1"/>
        </w:rPr>
        <w:t xml:space="preserve">, </w:t>
      </w:r>
      <w:r w:rsidR="00396B4D" w:rsidRPr="00A52AB8">
        <w:rPr>
          <w:color w:val="000000" w:themeColor="text1"/>
        </w:rPr>
        <w:t>and</w:t>
      </w:r>
      <w:r w:rsidR="008C6ED6" w:rsidRPr="00A52AB8">
        <w:rPr>
          <w:color w:val="000000" w:themeColor="text1"/>
        </w:rPr>
        <w:t xml:space="preserve"> </w:t>
      </w:r>
      <w:r w:rsidR="00D3345C" w:rsidRPr="00A52AB8">
        <w:rPr>
          <w:color w:val="000000" w:themeColor="text1"/>
        </w:rPr>
        <w:t>arrays plrMode</w:t>
      </w:r>
      <w:r w:rsidR="00922858" w:rsidRPr="00A52AB8">
        <w:rPr>
          <w:color w:val="000000" w:themeColor="text1"/>
        </w:rPr>
        <w:t>[ p ]</w:t>
      </w:r>
      <w:r w:rsidR="00D3345C" w:rsidRPr="00A52AB8">
        <w:rPr>
          <w:color w:val="000000" w:themeColor="text1"/>
        </w:rPr>
        <w:t xml:space="preserve">[ mapIdx ], plrInterpolateFlag[ mapIdx ], plrFillingFlag[ mapIdx ], plrMinimumDepth[ mapIdx ], plrNeighbour[ mapIdx ], </w:t>
      </w:r>
      <w:r w:rsidR="00147483" w:rsidRPr="00A52AB8">
        <w:rPr>
          <w:color w:val="000000" w:themeColor="text1"/>
        </w:rPr>
        <w:t xml:space="preserve">pos3D[ mapIdx ], </w:t>
      </w:r>
      <w:r w:rsidR="00575B7B" w:rsidRPr="00A52AB8">
        <w:rPr>
          <w:color w:val="000000" w:themeColor="text1"/>
        </w:rPr>
        <w:t xml:space="preserve">pointToPatch, </w:t>
      </w:r>
      <w:r w:rsidR="00366EF3" w:rsidRPr="00A52AB8">
        <w:rPr>
          <w:color w:val="000000" w:themeColor="text1"/>
        </w:rPr>
        <w:t xml:space="preserve">pointToPixel, </w:t>
      </w:r>
      <w:r w:rsidR="00575B7B" w:rsidRPr="00A52AB8">
        <w:rPr>
          <w:color w:val="000000" w:themeColor="text1"/>
        </w:rPr>
        <w:t>attrPresent</w:t>
      </w:r>
      <w:r w:rsidR="005A4321" w:rsidRPr="00A52AB8">
        <w:rPr>
          <w:color w:val="000000" w:themeColor="text1"/>
        </w:rPr>
        <w:t xml:space="preserve">, </w:t>
      </w:r>
      <w:r w:rsidR="00575B7B" w:rsidRPr="00A52AB8">
        <w:rPr>
          <w:color w:val="000000" w:themeColor="text1"/>
        </w:rPr>
        <w:t>gFrame</w:t>
      </w:r>
      <w:r w:rsidR="000E0C04" w:rsidRPr="00A52AB8">
        <w:rPr>
          <w:color w:val="000000" w:themeColor="text1"/>
        </w:rPr>
        <w:t>[ mapIdx ]</w:t>
      </w:r>
      <w:r w:rsidR="00366EF3" w:rsidRPr="00A52AB8">
        <w:rPr>
          <w:color w:val="000000" w:themeColor="text1"/>
        </w:rPr>
        <w:t>,</w:t>
      </w:r>
      <w:r w:rsidR="00DD1E53" w:rsidRPr="00A52AB8">
        <w:rPr>
          <w:color w:val="000000" w:themeColor="text1"/>
        </w:rPr>
        <w:t xml:space="preserve"> and</w:t>
      </w:r>
      <w:r w:rsidR="00575B7B" w:rsidRPr="00A52AB8">
        <w:rPr>
          <w:color w:val="000000" w:themeColor="text1"/>
        </w:rPr>
        <w:t xml:space="preserve"> recPcGeo. The outputs are the modified variable pointCnt and </w:t>
      </w:r>
      <w:r w:rsidR="006B5586" w:rsidRPr="00A52AB8">
        <w:rPr>
          <w:color w:val="000000" w:themeColor="text1"/>
        </w:rPr>
        <w:t xml:space="preserve">the modified </w:t>
      </w:r>
      <w:r w:rsidR="00575B7B" w:rsidRPr="00A52AB8">
        <w:rPr>
          <w:color w:val="000000" w:themeColor="text1"/>
        </w:rPr>
        <w:t xml:space="preserve">arrays pointToPatch, </w:t>
      </w:r>
      <w:r w:rsidR="00366EF3" w:rsidRPr="00A52AB8">
        <w:rPr>
          <w:color w:val="000000" w:themeColor="text1"/>
        </w:rPr>
        <w:t xml:space="preserve">pointToPixel, </w:t>
      </w:r>
      <w:r w:rsidR="009A3032" w:rsidRPr="00A52AB8">
        <w:rPr>
          <w:color w:val="000000" w:themeColor="text1"/>
        </w:rPr>
        <w:t>attrPresent</w:t>
      </w:r>
      <w:r w:rsidR="00366EF3" w:rsidRPr="00A52AB8">
        <w:rPr>
          <w:color w:val="000000" w:themeColor="text1"/>
        </w:rPr>
        <w:t>,</w:t>
      </w:r>
      <w:r w:rsidR="00575B7B" w:rsidRPr="00A52AB8">
        <w:rPr>
          <w:color w:val="000000" w:themeColor="text1"/>
        </w:rPr>
        <w:t xml:space="preserve"> </w:t>
      </w:r>
      <w:r w:rsidR="006B16FD" w:rsidRPr="00A52AB8">
        <w:rPr>
          <w:color w:val="000000" w:themeColor="text1"/>
        </w:rPr>
        <w:t xml:space="preserve">and </w:t>
      </w:r>
      <w:r w:rsidR="00575B7B" w:rsidRPr="00A52AB8">
        <w:rPr>
          <w:color w:val="000000" w:themeColor="text1"/>
        </w:rPr>
        <w:t>recPcGeo.</w:t>
      </w:r>
    </w:p>
    <w:p w14:paraId="62D2A142" w14:textId="1F593C3A" w:rsidR="006D74F2" w:rsidRPr="00A52AB8"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For n</w:t>
      </w:r>
      <w:r w:rsidR="00D47707" w:rsidRPr="00A52AB8">
        <w:rPr>
          <w:color w:val="000000" w:themeColor="text1"/>
        </w:rPr>
        <w:t> = </w:t>
      </w:r>
      <w:r w:rsidRPr="00A52AB8">
        <w:rPr>
          <w:color w:val="000000" w:themeColor="text1"/>
        </w:rPr>
        <w:t>0 .. ( </w:t>
      </w:r>
      <w:r w:rsidR="006F318E" w:rsidRPr="00A52AB8">
        <w:rPr>
          <w:color w:val="000000" w:themeColor="text1"/>
        </w:rPr>
        <w:t>p</w:t>
      </w:r>
      <w:r w:rsidRPr="00A52AB8">
        <w:rPr>
          <w:color w:val="000000" w:themeColor="text1"/>
        </w:rPr>
        <w:t>ointCnt – 1 ), the following applies:</w:t>
      </w:r>
    </w:p>
    <w:p w14:paraId="458159FD" w14:textId="7BD9FE02" w:rsidR="006D74F2" w:rsidRPr="00A52AB8"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 xml:space="preserve">If </w:t>
      </w:r>
      <w:r w:rsidR="008F64EB" w:rsidRPr="00A52AB8">
        <w:rPr>
          <w:color w:val="000000" w:themeColor="text1"/>
        </w:rPr>
        <w:t>Atlas</w:t>
      </w:r>
      <w:r w:rsidR="00440C68" w:rsidRPr="00A52AB8">
        <w:rPr>
          <w:color w:val="000000" w:themeColor="text1"/>
        </w:rPr>
        <w:t>Patch</w:t>
      </w:r>
      <w:r w:rsidR="008050C1" w:rsidRPr="00A52AB8">
        <w:rPr>
          <w:color w:val="000000" w:themeColor="text1"/>
        </w:rPr>
        <w:t>45Degree</w:t>
      </w:r>
      <w:r w:rsidR="00440C68" w:rsidRPr="00A52AB8">
        <w:rPr>
          <w:color w:val="000000" w:themeColor="text1"/>
        </w:rPr>
        <w:t>Mode</w:t>
      </w:r>
      <w:r w:rsidRPr="00A52AB8">
        <w:rPr>
          <w:color w:val="000000" w:themeColor="text1"/>
        </w:rPr>
        <w:t>[ </w:t>
      </w:r>
      <w:r w:rsidR="006F318E" w:rsidRPr="00A52AB8">
        <w:rPr>
          <w:color w:val="000000" w:themeColor="text1"/>
        </w:rPr>
        <w:t>p</w:t>
      </w:r>
      <w:r w:rsidRPr="00A52AB8">
        <w:rPr>
          <w:color w:val="000000" w:themeColor="text1"/>
        </w:rPr>
        <w:t>ointToPatch</w:t>
      </w:r>
      <w:r w:rsidR="000B7FBC" w:rsidRPr="00A52AB8">
        <w:rPr>
          <w:color w:val="000000" w:themeColor="text1"/>
        </w:rPr>
        <w:t>[ n ]</w:t>
      </w:r>
      <w:r w:rsidR="00801499" w:rsidRPr="00A52AB8">
        <w:rPr>
          <w:color w:val="000000" w:themeColor="text1"/>
        </w:rPr>
        <w:t> </w:t>
      </w:r>
      <w:r w:rsidRPr="00A52AB8">
        <w:rPr>
          <w:color w:val="000000" w:themeColor="text1"/>
        </w:rPr>
        <w:t xml:space="preserve">] is greater than 0, </w:t>
      </w:r>
      <w:r w:rsidR="00744D39" w:rsidRPr="00A52AB8">
        <w:rPr>
          <w:color w:val="000000" w:themeColor="text1"/>
        </w:rPr>
        <w:t>subclause</w:t>
      </w:r>
      <w:r w:rsidRPr="00A52AB8">
        <w:rPr>
          <w:color w:val="000000" w:themeColor="text1"/>
        </w:rPr>
        <w:t xml:space="preserve"> </w:t>
      </w:r>
      <w:r w:rsidR="00100B2B" w:rsidRPr="00496A4D">
        <w:rPr>
          <w:color w:val="000000" w:themeColor="text1"/>
        </w:rPr>
        <w:fldChar w:fldCharType="begin"/>
      </w:r>
      <w:r w:rsidR="00100B2B" w:rsidRPr="00A52AB8">
        <w:rPr>
          <w:color w:val="000000" w:themeColor="text1"/>
        </w:rPr>
        <w:instrText xml:space="preserve"> REF _Ref47950561 \n \h </w:instrText>
      </w:r>
      <w:r w:rsidR="00851254" w:rsidRPr="00A52AB8">
        <w:rPr>
          <w:color w:val="000000" w:themeColor="text1"/>
        </w:rPr>
        <w:instrText xml:space="preserve"> \* MERGEFORMAT </w:instrText>
      </w:r>
      <w:r w:rsidR="00100B2B" w:rsidRPr="00496A4D">
        <w:rPr>
          <w:color w:val="000000" w:themeColor="text1"/>
        </w:rPr>
      </w:r>
      <w:r w:rsidR="00100B2B" w:rsidRPr="00496A4D">
        <w:rPr>
          <w:color w:val="000000" w:themeColor="text1"/>
        </w:rPr>
        <w:fldChar w:fldCharType="separate"/>
      </w:r>
      <w:r w:rsidR="00507A67">
        <w:rPr>
          <w:color w:val="000000" w:themeColor="text1"/>
        </w:rPr>
        <w:t>H.11.6</w:t>
      </w:r>
      <w:r w:rsidR="00100B2B" w:rsidRPr="00496A4D">
        <w:rPr>
          <w:color w:val="000000" w:themeColor="text1"/>
        </w:rPr>
        <w:fldChar w:fldCharType="end"/>
      </w:r>
      <w:r w:rsidR="00100B2B" w:rsidRPr="00A52AB8">
        <w:rPr>
          <w:color w:val="000000" w:themeColor="text1"/>
        </w:rPr>
        <w:t xml:space="preserve"> </w:t>
      </w:r>
      <w:r w:rsidRPr="00A52AB8">
        <w:rPr>
          <w:color w:val="000000" w:themeColor="text1"/>
        </w:rPr>
        <w:t xml:space="preserve">is invoked with patch index p and the three-dimensional </w:t>
      </w:r>
      <w:r w:rsidR="007B12A7" w:rsidRPr="00A52AB8">
        <w:rPr>
          <w:color w:val="000000" w:themeColor="text1"/>
        </w:rPr>
        <w:t xml:space="preserve">array </w:t>
      </w:r>
      <w:r w:rsidR="006F318E" w:rsidRPr="00A52AB8">
        <w:rPr>
          <w:color w:val="000000" w:themeColor="text1"/>
        </w:rPr>
        <w:t>r</w:t>
      </w:r>
      <w:r w:rsidRPr="00A52AB8">
        <w:rPr>
          <w:color w:val="000000" w:themeColor="text1"/>
        </w:rPr>
        <w:t>ecPcGeo</w:t>
      </w:r>
      <w:r w:rsidR="000B7FBC" w:rsidRPr="00A52AB8">
        <w:rPr>
          <w:color w:val="000000" w:themeColor="text1"/>
        </w:rPr>
        <w:t>[ n ]</w:t>
      </w:r>
      <w:r w:rsidR="00332D1D" w:rsidRPr="00A52AB8">
        <w:rPr>
          <w:color w:val="000000" w:themeColor="text1"/>
        </w:rPr>
        <w:t xml:space="preserve"> </w:t>
      </w:r>
      <w:r w:rsidRPr="00A52AB8">
        <w:rPr>
          <w:color w:val="000000" w:themeColor="text1"/>
        </w:rPr>
        <w:t xml:space="preserve">as inputs. The output of this process is </w:t>
      </w:r>
      <w:r w:rsidR="00740C3C" w:rsidRPr="00A52AB8">
        <w:rPr>
          <w:color w:val="000000" w:themeColor="text1"/>
        </w:rPr>
        <w:t>the</w:t>
      </w:r>
      <w:r w:rsidR="00330EE2" w:rsidRPr="00A52AB8">
        <w:rPr>
          <w:color w:val="000000" w:themeColor="text1"/>
        </w:rPr>
        <w:t xml:space="preserve"> modified </w:t>
      </w:r>
      <w:r w:rsidR="007B12A7" w:rsidRPr="00A52AB8">
        <w:rPr>
          <w:color w:val="000000" w:themeColor="text1"/>
        </w:rPr>
        <w:t>array</w:t>
      </w:r>
      <w:r w:rsidRPr="00A52AB8">
        <w:rPr>
          <w:color w:val="000000" w:themeColor="text1"/>
        </w:rPr>
        <w:t xml:space="preserve"> </w:t>
      </w:r>
      <w:r w:rsidR="006F318E" w:rsidRPr="00A52AB8">
        <w:rPr>
          <w:color w:val="000000" w:themeColor="text1"/>
        </w:rPr>
        <w:t>r</w:t>
      </w:r>
      <w:r w:rsidRPr="00A52AB8">
        <w:rPr>
          <w:color w:val="000000" w:themeColor="text1"/>
        </w:rPr>
        <w:t>ecPcGeo[ n ].</w:t>
      </w:r>
    </w:p>
    <w:p w14:paraId="7BCAE6B2" w14:textId="3D73C833" w:rsidR="006D74F2" w:rsidRPr="00A52AB8"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 xml:space="preserve">If </w:t>
      </w:r>
      <w:r w:rsidR="0002522C" w:rsidRPr="00A52AB8">
        <w:rPr>
          <w:color w:val="000000" w:themeColor="text1"/>
        </w:rPr>
        <w:t xml:space="preserve">ai_attribute_count[ RecAtlasID ] is greater than 0 and </w:t>
      </w:r>
      <w:r w:rsidR="006F318E" w:rsidRPr="00A52AB8">
        <w:rPr>
          <w:color w:val="000000" w:themeColor="text1"/>
        </w:rPr>
        <w:t>a</w:t>
      </w:r>
      <w:r w:rsidRPr="00A52AB8">
        <w:rPr>
          <w:color w:val="000000" w:themeColor="text1"/>
        </w:rPr>
        <w:t>ttrPresent</w:t>
      </w:r>
      <w:r w:rsidR="000B7FBC" w:rsidRPr="00A52AB8">
        <w:rPr>
          <w:color w:val="000000" w:themeColor="text1"/>
        </w:rPr>
        <w:t>[ n ]</w:t>
      </w:r>
      <w:r w:rsidR="00D0209B" w:rsidRPr="00A52AB8">
        <w:rPr>
          <w:color w:val="000000" w:themeColor="text1"/>
        </w:rPr>
        <w:t xml:space="preserve"> </w:t>
      </w:r>
      <w:r w:rsidRPr="00A52AB8">
        <w:rPr>
          <w:color w:val="000000" w:themeColor="text1"/>
        </w:rPr>
        <w:t>is equal to 0, the following applies:</w:t>
      </w:r>
    </w:p>
    <w:p w14:paraId="1AF3991D" w14:textId="0854BE2C" w:rsidR="0039392A" w:rsidRPr="00A52AB8" w:rsidRDefault="0039392A"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1" w:hanging="403"/>
        <w:textAlignment w:val="baseline"/>
        <w:rPr>
          <w:color w:val="000000" w:themeColor="text1"/>
        </w:rPr>
      </w:pPr>
      <w:r w:rsidRPr="00A52AB8">
        <w:rPr>
          <w:color w:val="000000" w:themeColor="text1"/>
        </w:rPr>
        <w:t>Each reconstructed point with index q, where q </w:t>
      </w:r>
      <w:r w:rsidR="00E963F3" w:rsidRPr="00A52AB8">
        <w:rPr>
          <w:color w:val="000000" w:themeColor="text1"/>
        </w:rPr>
        <w:t>!=</w:t>
      </w:r>
      <w:r w:rsidR="00D47707" w:rsidRPr="00A52AB8">
        <w:rPr>
          <w:color w:val="000000" w:themeColor="text1"/>
        </w:rPr>
        <w:t> </w:t>
      </w:r>
      <w:r w:rsidRPr="00A52AB8">
        <w:rPr>
          <w:color w:val="000000" w:themeColor="text1"/>
        </w:rPr>
        <w:t>n, that satisfies pointToPatch[ q ] </w:t>
      </w:r>
      <w:r w:rsidR="00726AAE" w:rsidRPr="00A52AB8">
        <w:rPr>
          <w:color w:val="000000" w:themeColor="text1"/>
        </w:rPr>
        <w:t>==</w:t>
      </w:r>
      <w:r w:rsidR="00D47707" w:rsidRPr="00A52AB8">
        <w:rPr>
          <w:color w:val="000000" w:themeColor="text1"/>
        </w:rPr>
        <w:t> </w:t>
      </w:r>
      <w:r w:rsidRPr="00A52AB8">
        <w:rPr>
          <w:color w:val="000000" w:themeColor="text1"/>
        </w:rPr>
        <w:t>pointToPatch[ n ] and attrPresent[ q ] is equal to 1 is added to a set, neighbourSet.</w:t>
      </w:r>
    </w:p>
    <w:p w14:paraId="0E45C0B5" w14:textId="77777777" w:rsidR="0039392A" w:rsidRPr="00A52AB8" w:rsidRDefault="0039392A"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1" w:hanging="403"/>
        <w:textAlignment w:val="baseline"/>
        <w:rPr>
          <w:color w:val="000000" w:themeColor="text1"/>
        </w:rPr>
      </w:pPr>
      <w:r w:rsidRPr="00A52AB8">
        <w:rPr>
          <w:color w:val="000000" w:themeColor="text1"/>
        </w:rPr>
        <w:t>If neighbourSet is not empty, the following applies:</w:t>
      </w:r>
    </w:p>
    <w:p w14:paraId="24FEAB0F" w14:textId="77777777" w:rsidR="0039392A" w:rsidRPr="00A52AB8" w:rsidRDefault="0039392A"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2013" w:hanging="403"/>
        <w:textAlignment w:val="baseline"/>
        <w:rPr>
          <w:color w:val="000000" w:themeColor="text1"/>
        </w:rPr>
      </w:pPr>
      <w:r w:rsidRPr="00A52AB8">
        <w:rPr>
          <w:color w:val="000000" w:themeColor="text1"/>
        </w:rPr>
        <w:t>A point with index m from neighbourSet that is at the minimum distance to the reconstructed point with index n, where the distance is the Euclidean distance, is found. The attributes corresponding to the point with index m are assigned to the attributes for the reconstructed point with index n as follows:</w:t>
      </w:r>
    </w:p>
    <w:p w14:paraId="58F526FB" w14:textId="16E75E2C" w:rsidR="0039392A" w:rsidRPr="00A52AB8" w:rsidRDefault="0039392A" w:rsidP="0039392A">
      <w:r w:rsidRPr="00A52AB8">
        <w:tab/>
      </w:r>
      <w:r w:rsidRPr="00A52AB8">
        <w:tab/>
      </w:r>
      <w:r w:rsidRPr="00A52AB8">
        <w:tab/>
      </w:r>
      <w:r w:rsidRPr="00A52AB8">
        <w:tab/>
      </w:r>
      <w:r w:rsidR="00205C70" w:rsidRPr="00A52AB8">
        <w:tab/>
      </w:r>
      <w:r w:rsidRPr="00A52AB8">
        <w:t>for( a</w:t>
      </w:r>
      <w:r w:rsidR="00D47707" w:rsidRPr="00A52AB8">
        <w:t> = </w:t>
      </w:r>
      <w:r w:rsidRPr="00A52AB8">
        <w:t>0; a &lt; ai_attribute_count[ RecAtlasID ]; a++ )</w:t>
      </w:r>
      <w:r w:rsidRPr="00A52AB8">
        <w:br/>
      </w:r>
      <w:r w:rsidRPr="00A52AB8">
        <w:tab/>
      </w:r>
      <w:r w:rsidRPr="00A52AB8">
        <w:tab/>
      </w:r>
      <w:r w:rsidRPr="00A52AB8">
        <w:tab/>
      </w:r>
      <w:r w:rsidRPr="00A52AB8">
        <w:tab/>
      </w:r>
      <w:r w:rsidRPr="00A52AB8">
        <w:tab/>
      </w:r>
      <w:r w:rsidR="00205C70" w:rsidRPr="00A52AB8">
        <w:tab/>
      </w:r>
      <w:r w:rsidRPr="00A52AB8">
        <w:t>for( c</w:t>
      </w:r>
      <w:r w:rsidR="00D47707" w:rsidRPr="00A52AB8">
        <w:t> = </w:t>
      </w:r>
      <w:r w:rsidRPr="00A52AB8">
        <w:t>0; c &lt; ai_attribute_dimension_minus1[ RecAtlasID ][ a ] + 1; c++ )</w:t>
      </w:r>
      <w:r w:rsidRPr="00A52AB8">
        <w:br/>
      </w:r>
      <w:r w:rsidRPr="00A52AB8">
        <w:tab/>
      </w:r>
      <w:r w:rsidRPr="00A52AB8">
        <w:tab/>
      </w:r>
      <w:r w:rsidRPr="00A52AB8">
        <w:tab/>
      </w:r>
      <w:r w:rsidRPr="00A52AB8">
        <w:tab/>
      </w:r>
      <w:r w:rsidRPr="00A52AB8">
        <w:tab/>
      </w:r>
      <w:r w:rsidRPr="00A52AB8">
        <w:tab/>
      </w:r>
      <w:r w:rsidR="00205C70" w:rsidRPr="00A52AB8">
        <w:tab/>
      </w:r>
      <w:r w:rsidRPr="00A52AB8">
        <w:t>recPcAttr[ n ][ a ][ c ]</w:t>
      </w:r>
      <w:r w:rsidR="00D47707" w:rsidRPr="00A52AB8">
        <w:t> = </w:t>
      </w:r>
      <w:r w:rsidRPr="00A52AB8">
        <w:t>recPcAttr[ m ][ a ][ c ]</w:t>
      </w:r>
    </w:p>
    <w:p w14:paraId="168921D4" w14:textId="7DD8883D" w:rsidR="00186156" w:rsidRPr="00A52AB8" w:rsidRDefault="0039392A" w:rsidP="00007BE2">
      <w:pPr>
        <w:pStyle w:val="ListParagraph"/>
        <w:ind w:leftChars="0" w:left="1610"/>
      </w:pPr>
      <w:r w:rsidRPr="00A52AB8">
        <w:rPr>
          <w:color w:val="000000" w:themeColor="text1"/>
        </w:rPr>
        <w:t xml:space="preserve">If multiple reconstruction points from neighbourSet are at the same minimum distance from reconstructed point n, </w:t>
      </w:r>
      <w:r w:rsidR="005A00CE" w:rsidRPr="00A52AB8">
        <w:rPr>
          <w:color w:val="000000" w:themeColor="text1"/>
        </w:rPr>
        <w:t>the attribute values for an attribute with index a, are derived based on its corresponding ai_attribute_type_id[ </w:t>
      </w:r>
      <w:r w:rsidR="005A00CE" w:rsidRPr="00A52AB8">
        <w:t xml:space="preserve">RecAtlasID ][ a ]. In particular, for </w:t>
      </w:r>
      <w:r w:rsidR="005A00CE" w:rsidRPr="00A52AB8">
        <w:rPr>
          <w:color w:val="000000" w:themeColor="text1"/>
        </w:rPr>
        <w:t>ai_attribute_type_id[ </w:t>
      </w:r>
      <w:r w:rsidR="005A00CE" w:rsidRPr="00A52AB8">
        <w:t xml:space="preserve">RecAtlasID ][ a ] equal to </w:t>
      </w:r>
      <w:r w:rsidR="005A00CE" w:rsidRPr="00A52AB8">
        <w:rPr>
          <w:color w:val="000000" w:themeColor="text1"/>
          <w:lang w:eastAsia="ko-KR"/>
        </w:rPr>
        <w:t>ATTR</w:t>
      </w:r>
      <w:r w:rsidR="005A00CE" w:rsidRPr="00A52AB8">
        <w:t xml:space="preserve">_TEXTURE, </w:t>
      </w:r>
      <w:r w:rsidR="005A00CE" w:rsidRPr="00A52AB8">
        <w:rPr>
          <w:color w:val="000000" w:themeColor="text1"/>
          <w:lang w:eastAsia="ko-KR"/>
        </w:rPr>
        <w:t>ATTR_TRANSPARENCY, ATTR_REFLECTANCE</w:t>
      </w:r>
      <w:r w:rsidR="001427AF" w:rsidRPr="00A52AB8">
        <w:rPr>
          <w:color w:val="000000" w:themeColor="text1"/>
          <w:lang w:eastAsia="ko-KR"/>
        </w:rPr>
        <w:t>,</w:t>
      </w:r>
      <w:r w:rsidR="00412DC9" w:rsidRPr="00A52AB8">
        <w:rPr>
          <w:color w:val="000000" w:themeColor="text1"/>
          <w:lang w:eastAsia="ko-KR"/>
        </w:rPr>
        <w:t xml:space="preserve"> </w:t>
      </w:r>
      <w:r w:rsidR="001427AF" w:rsidRPr="00A52AB8">
        <w:rPr>
          <w:color w:val="000000" w:themeColor="text1"/>
          <w:lang w:eastAsia="ko-KR"/>
        </w:rPr>
        <w:t xml:space="preserve">and </w:t>
      </w:r>
      <w:r w:rsidR="001427AF" w:rsidRPr="00A52AB8">
        <w:t xml:space="preserve">ATTR_NORMAL </w:t>
      </w:r>
      <w:r w:rsidR="00412DC9" w:rsidRPr="00A52AB8">
        <w:rPr>
          <w:color w:val="000000" w:themeColor="text1"/>
          <w:lang w:eastAsia="ko-KR"/>
        </w:rPr>
        <w:t>the</w:t>
      </w:r>
      <w:r w:rsidRPr="00A52AB8">
        <w:rPr>
          <w:color w:val="000000" w:themeColor="text1"/>
        </w:rPr>
        <w:t xml:space="preserve"> average of the</w:t>
      </w:r>
      <w:r w:rsidR="00412DC9" w:rsidRPr="00A52AB8">
        <w:rPr>
          <w:color w:val="000000" w:themeColor="text1"/>
        </w:rPr>
        <w:t xml:space="preserve"> corresponding</w:t>
      </w:r>
      <w:r w:rsidRPr="00A52AB8">
        <w:rPr>
          <w:color w:val="000000" w:themeColor="text1"/>
        </w:rPr>
        <w:t xml:space="preserve"> attribute values</w:t>
      </w:r>
      <w:r w:rsidR="00B45835" w:rsidRPr="00A52AB8">
        <w:rPr>
          <w:color w:val="000000" w:themeColor="text1"/>
        </w:rPr>
        <w:t>, rounded to the nearest integer,</w:t>
      </w:r>
      <w:r w:rsidRPr="00A52AB8">
        <w:rPr>
          <w:color w:val="000000" w:themeColor="text1"/>
        </w:rPr>
        <w:t xml:space="preserve"> </w:t>
      </w:r>
      <w:r w:rsidR="00412DC9" w:rsidRPr="00A52AB8">
        <w:rPr>
          <w:color w:val="000000" w:themeColor="text1"/>
        </w:rPr>
        <w:t xml:space="preserve">of the reconstruction points from neighbourSet that are at the same minimum distance </w:t>
      </w:r>
      <w:r w:rsidRPr="00A52AB8">
        <w:rPr>
          <w:color w:val="000000" w:themeColor="text1"/>
        </w:rPr>
        <w:t xml:space="preserve">is assigned to the </w:t>
      </w:r>
      <w:r w:rsidR="00412DC9" w:rsidRPr="00A52AB8">
        <w:rPr>
          <w:color w:val="000000" w:themeColor="text1"/>
        </w:rPr>
        <w:t xml:space="preserve">corresponding </w:t>
      </w:r>
      <w:r w:rsidRPr="00A52AB8">
        <w:rPr>
          <w:color w:val="000000" w:themeColor="text1"/>
        </w:rPr>
        <w:t>attributes for the reconstructed point with index n.</w:t>
      </w:r>
      <w:r w:rsidR="00412DC9" w:rsidRPr="00A52AB8">
        <w:rPr>
          <w:color w:val="000000" w:themeColor="text1"/>
        </w:rPr>
        <w:t xml:space="preserve"> Otherwise, </w:t>
      </w:r>
      <w:r w:rsidR="00412DC9" w:rsidRPr="00A52AB8">
        <w:t xml:space="preserve">for </w:t>
      </w:r>
      <w:r w:rsidR="00412DC9" w:rsidRPr="00A52AB8">
        <w:rPr>
          <w:color w:val="000000" w:themeColor="text1"/>
        </w:rPr>
        <w:t>ai_attribute_type_id[ </w:t>
      </w:r>
      <w:r w:rsidR="00412DC9" w:rsidRPr="00A52AB8">
        <w:t xml:space="preserve">RecAtlasID ][ a ] equal to ATTR_MATERIAL_ID the median value is </w:t>
      </w:r>
      <w:r w:rsidR="001427AF" w:rsidRPr="00A52AB8">
        <w:t>assigned</w:t>
      </w:r>
      <w:r w:rsidR="00412DC9" w:rsidRPr="00A52AB8">
        <w:t>.</w:t>
      </w:r>
    </w:p>
    <w:p w14:paraId="5AF6C967" w14:textId="77777777" w:rsidR="00AB05A5" w:rsidRPr="00A52AB8" w:rsidRDefault="006D74F2" w:rsidP="00AB05A5">
      <w:pPr>
        <w:pStyle w:val="a3"/>
        <w:numPr>
          <w:ilvl w:val="2"/>
          <w:numId w:val="14"/>
        </w:numPr>
      </w:pPr>
      <w:bookmarkStart w:id="6372" w:name="_Toc49723280"/>
      <w:bookmarkStart w:id="6373" w:name="_Ref44439340"/>
      <w:bookmarkStart w:id="6374" w:name="_Toc52181792"/>
      <w:bookmarkEnd w:id="6372"/>
      <w:r w:rsidRPr="00A52AB8">
        <w:t xml:space="preserve">Reconstruction of points for </w:t>
      </w:r>
      <w:r w:rsidR="00C57DDB" w:rsidRPr="00A52AB8">
        <w:t>PROJECTED</w:t>
      </w:r>
      <w:r w:rsidRPr="00A52AB8">
        <w:t xml:space="preserve"> patches</w:t>
      </w:r>
      <w:bookmarkEnd w:id="6373"/>
      <w:bookmarkEnd w:id="6374"/>
    </w:p>
    <w:p w14:paraId="48995FF1" w14:textId="59B1E068" w:rsidR="00AF12B7" w:rsidRPr="00A52AB8" w:rsidRDefault="003A423E" w:rsidP="00AF12B7">
      <w:pPr>
        <w:pStyle w:val="a4"/>
        <w:numPr>
          <w:ilvl w:val="3"/>
          <w:numId w:val="19"/>
        </w:numPr>
      </w:pPr>
      <w:bookmarkStart w:id="6375" w:name="_Ref47950139"/>
      <w:r w:rsidRPr="00A52AB8">
        <w:t xml:space="preserve">Common </w:t>
      </w:r>
      <w:r w:rsidR="00903110" w:rsidRPr="00A52AB8">
        <w:t>r</w:t>
      </w:r>
      <w:r w:rsidR="000674DD" w:rsidRPr="00A52AB8">
        <w:t>econstruction</w:t>
      </w:r>
      <w:r w:rsidR="000C6D24" w:rsidRPr="00A52AB8">
        <w:t xml:space="preserve"> </w:t>
      </w:r>
      <w:r w:rsidRPr="00A52AB8">
        <w:t xml:space="preserve">process </w:t>
      </w:r>
      <w:r w:rsidR="000C6D24" w:rsidRPr="00A52AB8">
        <w:t>of points for PROJECTED patches</w:t>
      </w:r>
      <w:bookmarkEnd w:id="6375"/>
    </w:p>
    <w:p w14:paraId="3F026D21" w14:textId="77777777" w:rsidR="00AF12B7" w:rsidRPr="00A52AB8" w:rsidRDefault="00AF12B7" w:rsidP="00AF12B7">
      <w:pPr>
        <w:rPr>
          <w:color w:val="000000" w:themeColor="text1"/>
        </w:rPr>
      </w:pPr>
      <w:r w:rsidRPr="00A52AB8">
        <w:rPr>
          <w:color w:val="000000" w:themeColor="text1"/>
        </w:rPr>
        <w:t>The inputs to this process are:</w:t>
      </w:r>
    </w:p>
    <w:p w14:paraId="5B2156E4" w14:textId="1915CAD0" w:rsidR="00AF12B7" w:rsidRPr="00A52AB8" w:rsidRDefault="00A12F3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variable </w:t>
      </w:r>
      <w:r w:rsidR="00CD7965" w:rsidRPr="00A52AB8">
        <w:rPr>
          <w:color w:val="000000" w:themeColor="text1"/>
        </w:rPr>
        <w:t>p</w:t>
      </w:r>
      <w:r w:rsidR="00AF12B7" w:rsidRPr="00A52AB8">
        <w:rPr>
          <w:color w:val="000000" w:themeColor="text1"/>
        </w:rPr>
        <w:t xml:space="preserve">ointCnt, </w:t>
      </w:r>
      <w:r w:rsidR="006B5586" w:rsidRPr="00A52AB8">
        <w:rPr>
          <w:color w:val="000000" w:themeColor="text1"/>
        </w:rPr>
        <w:t xml:space="preserve">specifying </w:t>
      </w:r>
      <w:r w:rsidR="00AF12B7" w:rsidRPr="00A52AB8">
        <w:rPr>
          <w:color w:val="000000" w:themeColor="text1"/>
        </w:rPr>
        <w:t>the current number of points in the reconstructed point cloud frame,</w:t>
      </w:r>
    </w:p>
    <w:p w14:paraId="290F42BE" w14:textId="54CE1E73" w:rsidR="00AF12B7" w:rsidRPr="00A52AB8" w:rsidRDefault="00A12F3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variable </w:t>
      </w:r>
      <w:r w:rsidR="00AF12B7" w:rsidRPr="00A52AB8">
        <w:rPr>
          <w:color w:val="000000" w:themeColor="text1"/>
        </w:rPr>
        <w:t>p</w:t>
      </w:r>
      <w:r w:rsidR="00BC04A3" w:rsidRPr="00A52AB8">
        <w:rPr>
          <w:color w:val="000000" w:themeColor="text1"/>
        </w:rPr>
        <w:t>Idx</w:t>
      </w:r>
      <w:r w:rsidR="00AF12B7" w:rsidRPr="00A52AB8">
        <w:rPr>
          <w:color w:val="000000" w:themeColor="text1"/>
        </w:rPr>
        <w:t xml:space="preserve">, </w:t>
      </w:r>
      <w:r w:rsidR="006B5586" w:rsidRPr="00A52AB8">
        <w:rPr>
          <w:color w:val="000000" w:themeColor="text1"/>
        </w:rPr>
        <w:t xml:space="preserve">specifying </w:t>
      </w:r>
      <w:r w:rsidR="00AF12B7" w:rsidRPr="00A52AB8">
        <w:rPr>
          <w:color w:val="000000" w:themeColor="text1"/>
        </w:rPr>
        <w:t>the patch index,</w:t>
      </w:r>
    </w:p>
    <w:p w14:paraId="45D7B6D4" w14:textId="77777777" w:rsidR="0050235C" w:rsidRPr="00A52AB8" w:rsidRDefault="00C075D1" w:rsidP="000678AC">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variable mapIdx, </w:t>
      </w:r>
      <w:r w:rsidR="006B5586" w:rsidRPr="00A52AB8">
        <w:rPr>
          <w:color w:val="000000" w:themeColor="text1"/>
        </w:rPr>
        <w:t xml:space="preserve">specifying </w:t>
      </w:r>
      <w:r w:rsidRPr="00A52AB8">
        <w:rPr>
          <w:color w:val="000000" w:themeColor="text1"/>
        </w:rPr>
        <w:t>the map index,</w:t>
      </w:r>
    </w:p>
    <w:p w14:paraId="2A98964E" w14:textId="1DB1B775" w:rsidR="000678AC" w:rsidRPr="00A52AB8" w:rsidRDefault="000678AC" w:rsidP="000678AC">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variable x, specifying the x coordinate of a point on the atlas frame,</w:t>
      </w:r>
    </w:p>
    <w:p w14:paraId="3313F0E7" w14:textId="3F49DE8E" w:rsidR="000678AC" w:rsidRPr="00A52AB8" w:rsidRDefault="000678AC" w:rsidP="000678AC">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variable y, specifying the y coordinate of a point on the atlas frame,</w:t>
      </w:r>
    </w:p>
    <w:p w14:paraId="031D60AD" w14:textId="0035E4A7" w:rsidR="00903009" w:rsidRPr="00A52AB8" w:rsidRDefault="00903009"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w:t>
      </w:r>
      <w:r w:rsidR="006B5586" w:rsidRPr="00A52AB8">
        <w:rPr>
          <w:color w:val="000000" w:themeColor="text1"/>
        </w:rPr>
        <w:t xml:space="preserve"> 1D</w:t>
      </w:r>
      <w:r w:rsidR="006E3A04" w:rsidRPr="00A52AB8">
        <w:rPr>
          <w:color w:val="000000" w:themeColor="text1"/>
        </w:rPr>
        <w:t xml:space="preserve"> array </w:t>
      </w:r>
      <w:r w:rsidRPr="00A52AB8">
        <w:rPr>
          <w:color w:val="000000" w:themeColor="text1"/>
        </w:rPr>
        <w:t>pos3D</w:t>
      </w:r>
      <w:r w:rsidR="0040761D" w:rsidRPr="00A52AB8">
        <w:rPr>
          <w:color w:val="000000" w:themeColor="text1"/>
        </w:rPr>
        <w:t>,</w:t>
      </w:r>
      <w:r w:rsidR="006B5586" w:rsidRPr="00A52AB8">
        <w:rPr>
          <w:color w:val="000000" w:themeColor="text1"/>
        </w:rPr>
        <w:t xml:space="preserve"> of size 3</w:t>
      </w:r>
      <w:r w:rsidRPr="00A52AB8">
        <w:rPr>
          <w:color w:val="000000" w:themeColor="text1"/>
        </w:rPr>
        <w:t xml:space="preserve">, </w:t>
      </w:r>
      <w:r w:rsidR="006B5586" w:rsidRPr="00A52AB8">
        <w:rPr>
          <w:color w:val="000000" w:themeColor="text1"/>
        </w:rPr>
        <w:t xml:space="preserve">specifying </w:t>
      </w:r>
      <w:r w:rsidRPr="00A52AB8">
        <w:rPr>
          <w:color w:val="000000" w:themeColor="text1"/>
        </w:rPr>
        <w:t xml:space="preserve">the </w:t>
      </w:r>
      <w:r w:rsidR="006B5586" w:rsidRPr="00A52AB8">
        <w:rPr>
          <w:color w:val="000000" w:themeColor="text1"/>
        </w:rPr>
        <w:t>3D</w:t>
      </w:r>
      <w:r w:rsidRPr="00A52AB8">
        <w:rPr>
          <w:color w:val="000000" w:themeColor="text1"/>
        </w:rPr>
        <w:t xml:space="preserve"> coordinates of a point</w:t>
      </w:r>
      <w:r w:rsidR="006B5586" w:rsidRPr="00A52AB8">
        <w:rPr>
          <w:color w:val="000000" w:themeColor="text1"/>
        </w:rPr>
        <w:t>,</w:t>
      </w:r>
    </w:p>
    <w:p w14:paraId="19128439" w14:textId="593D2BC9" w:rsidR="003A2227" w:rsidRPr="00A52AB8" w:rsidRDefault="003A222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w:t>
      </w:r>
      <w:r w:rsidR="006B5586" w:rsidRPr="00A52AB8">
        <w:rPr>
          <w:color w:val="000000" w:themeColor="text1"/>
        </w:rPr>
        <w:t xml:space="preserve"> 1D</w:t>
      </w:r>
      <w:r w:rsidRPr="00A52AB8">
        <w:rPr>
          <w:color w:val="000000" w:themeColor="text1"/>
        </w:rPr>
        <w:t xml:space="preserve"> array pointToPatch</w:t>
      </w:r>
      <w:r w:rsidR="0040761D" w:rsidRPr="00A52AB8">
        <w:rPr>
          <w:color w:val="000000" w:themeColor="text1"/>
        </w:rPr>
        <w:t>,</w:t>
      </w:r>
      <w:r w:rsidR="006B5586" w:rsidRPr="00A52AB8">
        <w:rPr>
          <w:color w:val="000000" w:themeColor="text1"/>
        </w:rPr>
        <w:t xml:space="preserve"> of size pointCnt</w:t>
      </w:r>
      <w:r w:rsidRPr="00A52AB8">
        <w:rPr>
          <w:color w:val="000000" w:themeColor="text1"/>
        </w:rPr>
        <w:t xml:space="preserve">, </w:t>
      </w:r>
      <w:r w:rsidR="006B5586" w:rsidRPr="00A52AB8">
        <w:rPr>
          <w:color w:val="000000" w:themeColor="text1"/>
        </w:rPr>
        <w:t xml:space="preserve">specifying </w:t>
      </w:r>
      <w:r w:rsidRPr="00A52AB8">
        <w:rPr>
          <w:color w:val="000000" w:themeColor="text1"/>
        </w:rPr>
        <w:t xml:space="preserve">the patch index for </w:t>
      </w:r>
      <w:r w:rsidR="006B5586" w:rsidRPr="00A52AB8">
        <w:rPr>
          <w:color w:val="000000" w:themeColor="text1"/>
        </w:rPr>
        <w:t xml:space="preserve">each </w:t>
      </w:r>
      <w:r w:rsidRPr="00A52AB8">
        <w:rPr>
          <w:color w:val="000000" w:themeColor="text1"/>
        </w:rPr>
        <w:t>reconstructed point</w:t>
      </w:r>
      <w:r w:rsidR="006B5586" w:rsidRPr="00A52AB8">
        <w:rPr>
          <w:color w:val="000000" w:themeColor="text1"/>
        </w:rPr>
        <w:t xml:space="preserve"> in the reconstructed point cloud frame</w:t>
      </w:r>
      <w:r w:rsidRPr="00A52AB8">
        <w:rPr>
          <w:color w:val="000000" w:themeColor="text1"/>
        </w:rPr>
        <w:t>,</w:t>
      </w:r>
    </w:p>
    <w:p w14:paraId="76673B19" w14:textId="1C5DC791" w:rsidR="003A2227" w:rsidRPr="00A52AB8" w:rsidRDefault="003A222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w:t>
      </w:r>
      <w:r w:rsidR="006B5586" w:rsidRPr="00A52AB8">
        <w:rPr>
          <w:color w:val="000000" w:themeColor="text1"/>
        </w:rPr>
        <w:t xml:space="preserve"> 2D</w:t>
      </w:r>
      <w:r w:rsidRPr="00A52AB8">
        <w:rPr>
          <w:color w:val="000000" w:themeColor="text1"/>
        </w:rPr>
        <w:t xml:space="preserve"> array pointToPixel, </w:t>
      </w:r>
      <w:r w:rsidR="0040761D" w:rsidRPr="00A52AB8">
        <w:rPr>
          <w:color w:val="000000" w:themeColor="text1"/>
        </w:rPr>
        <w:t xml:space="preserve">of size pointCnt × 2, </w:t>
      </w:r>
      <w:r w:rsidR="006B5586" w:rsidRPr="00A52AB8">
        <w:rPr>
          <w:color w:val="000000" w:themeColor="text1"/>
        </w:rPr>
        <w:t xml:space="preserve">specifying </w:t>
      </w:r>
      <w:r w:rsidRPr="00A52AB8">
        <w:rPr>
          <w:color w:val="000000" w:themeColor="text1"/>
        </w:rPr>
        <w:t xml:space="preserve">the atlas coordinates for </w:t>
      </w:r>
      <w:r w:rsidR="006B5586" w:rsidRPr="00A52AB8">
        <w:rPr>
          <w:color w:val="000000" w:themeColor="text1"/>
        </w:rPr>
        <w:t xml:space="preserve">each </w:t>
      </w:r>
      <w:r w:rsidRPr="00A52AB8">
        <w:rPr>
          <w:color w:val="000000" w:themeColor="text1"/>
        </w:rPr>
        <w:t>reconstructed point</w:t>
      </w:r>
      <w:r w:rsidR="006B5586" w:rsidRPr="00A52AB8">
        <w:rPr>
          <w:color w:val="000000" w:themeColor="text1"/>
        </w:rPr>
        <w:t xml:space="preserve"> in the reconstructed point cloud frame</w:t>
      </w:r>
      <w:r w:rsidR="00DE3AA8" w:rsidRPr="00A52AB8">
        <w:rPr>
          <w:color w:val="000000" w:themeColor="text1"/>
        </w:rPr>
        <w:t>,</w:t>
      </w:r>
    </w:p>
    <w:p w14:paraId="71532E5B" w14:textId="0439214D" w:rsidR="00607670" w:rsidRPr="00A52AB8" w:rsidRDefault="006B558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1D array </w:t>
      </w:r>
      <w:r w:rsidR="003A2227" w:rsidRPr="00A52AB8">
        <w:rPr>
          <w:color w:val="000000" w:themeColor="text1"/>
        </w:rPr>
        <w:t>attrPresent</w:t>
      </w:r>
      <w:r w:rsidR="0040761D" w:rsidRPr="00A52AB8">
        <w:rPr>
          <w:color w:val="000000" w:themeColor="text1"/>
        </w:rPr>
        <w:t>,</w:t>
      </w:r>
      <w:r w:rsidRPr="00A52AB8">
        <w:rPr>
          <w:color w:val="000000" w:themeColor="text1"/>
        </w:rPr>
        <w:t xml:space="preserve"> of size pointCnt</w:t>
      </w:r>
      <w:r w:rsidR="003A2227" w:rsidRPr="00A52AB8">
        <w:rPr>
          <w:color w:val="000000" w:themeColor="text1"/>
        </w:rPr>
        <w:t xml:space="preserve">, specifying whether the attribute values for </w:t>
      </w:r>
      <w:r w:rsidRPr="00A52AB8">
        <w:rPr>
          <w:color w:val="000000" w:themeColor="text1"/>
        </w:rPr>
        <w:t xml:space="preserve">a </w:t>
      </w:r>
      <w:r w:rsidR="003A2227" w:rsidRPr="00A52AB8">
        <w:rPr>
          <w:color w:val="000000" w:themeColor="text1"/>
        </w:rPr>
        <w:t>reconstructed point are present in the attribute video bitstream,</w:t>
      </w:r>
    </w:p>
    <w:p w14:paraId="1F265810" w14:textId="05F7C64E" w:rsidR="00607670" w:rsidRPr="00A52AB8" w:rsidRDefault="00607670"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w:t>
      </w:r>
      <w:r w:rsidR="006E3A04" w:rsidRPr="00A52AB8">
        <w:rPr>
          <w:color w:val="000000" w:themeColor="text1"/>
        </w:rPr>
        <w:t xml:space="preserve"> </w:t>
      </w:r>
      <w:r w:rsidR="006B5586" w:rsidRPr="00A52AB8">
        <w:rPr>
          <w:color w:val="000000" w:themeColor="text1"/>
        </w:rPr>
        <w:t>3D</w:t>
      </w:r>
      <w:r w:rsidRPr="00A52AB8">
        <w:rPr>
          <w:color w:val="000000" w:themeColor="text1"/>
        </w:rPr>
        <w:t xml:space="preserve"> array gFrame</w:t>
      </w:r>
      <w:r w:rsidR="006E3A04" w:rsidRPr="00A52AB8">
        <w:rPr>
          <w:color w:val="000000" w:themeColor="text1"/>
        </w:rPr>
        <w:t xml:space="preserve"> specifying</w:t>
      </w:r>
      <w:r w:rsidRPr="00A52AB8">
        <w:rPr>
          <w:color w:val="000000" w:themeColor="text1"/>
        </w:rPr>
        <w:t xml:space="preserve"> the decoded geometry frames in </w:t>
      </w:r>
      <w:r w:rsidR="0065222A" w:rsidRPr="00A52AB8">
        <w:rPr>
          <w:color w:val="000000" w:themeColor="text1"/>
        </w:rPr>
        <w:t xml:space="preserve">the </w:t>
      </w:r>
      <w:r w:rsidRPr="00A52AB8">
        <w:rPr>
          <w:color w:val="000000" w:themeColor="text1"/>
        </w:rPr>
        <w:t xml:space="preserve">nominal format, where </w:t>
      </w:r>
      <w:r w:rsidR="006E3A04" w:rsidRPr="00A52AB8">
        <w:rPr>
          <w:color w:val="000000" w:themeColor="text1"/>
        </w:rPr>
        <w:t xml:space="preserve">the three dimensions correspond to the map index, row index, and column index, respectively, </w:t>
      </w:r>
      <w:r w:rsidR="001F3D2C" w:rsidRPr="00A52AB8">
        <w:rPr>
          <w:color w:val="000000" w:themeColor="text1"/>
        </w:rPr>
        <w:t>and</w:t>
      </w:r>
    </w:p>
    <w:p w14:paraId="1D0D3329" w14:textId="54BDB6FA" w:rsidR="00607670" w:rsidRPr="00A52AB8" w:rsidRDefault="00607670"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w:t>
      </w:r>
      <w:r w:rsidR="006B5586" w:rsidRPr="00A52AB8">
        <w:rPr>
          <w:color w:val="000000" w:themeColor="text1"/>
        </w:rPr>
        <w:t xml:space="preserve"> 2D </w:t>
      </w:r>
      <w:r w:rsidRPr="00A52AB8">
        <w:rPr>
          <w:color w:val="000000" w:themeColor="text1"/>
        </w:rPr>
        <w:t xml:space="preserve">array recPcGeo, </w:t>
      </w:r>
      <w:r w:rsidR="0040761D" w:rsidRPr="00A52AB8">
        <w:rPr>
          <w:color w:val="000000" w:themeColor="text1"/>
        </w:rPr>
        <w:t xml:space="preserve">of size pointCnt × 3, </w:t>
      </w:r>
      <w:r w:rsidR="006B5586" w:rsidRPr="00A52AB8">
        <w:rPr>
          <w:color w:val="000000" w:themeColor="text1"/>
        </w:rPr>
        <w:t>specifying the 3D</w:t>
      </w:r>
      <w:r w:rsidRPr="00A52AB8">
        <w:rPr>
          <w:color w:val="000000" w:themeColor="text1"/>
        </w:rPr>
        <w:t xml:space="preserve"> coordinates of </w:t>
      </w:r>
      <w:r w:rsidR="006B5586" w:rsidRPr="00A52AB8">
        <w:rPr>
          <w:color w:val="000000" w:themeColor="text1"/>
        </w:rPr>
        <w:t>each reconstructed</w:t>
      </w:r>
      <w:r w:rsidRPr="00A52AB8">
        <w:rPr>
          <w:color w:val="000000" w:themeColor="text1"/>
        </w:rPr>
        <w:t xml:space="preserve"> point in the reconstructed point cloud frame.</w:t>
      </w:r>
    </w:p>
    <w:p w14:paraId="1E705B1A" w14:textId="77777777" w:rsidR="00607670" w:rsidRPr="00A52AB8" w:rsidRDefault="00607670" w:rsidP="004A6049">
      <w:pPr>
        <w:pStyle w:val="ListParagraph"/>
        <w:ind w:leftChars="0" w:left="360" w:hanging="360"/>
        <w:rPr>
          <w:lang w:eastAsia="ja-JP"/>
        </w:rPr>
      </w:pPr>
      <w:r w:rsidRPr="00A52AB8">
        <w:rPr>
          <w:color w:val="000000" w:themeColor="text1"/>
        </w:rPr>
        <w:t>Additionally, when ai_attribute_count</w:t>
      </w:r>
      <w:r w:rsidR="003A2227" w:rsidRPr="00A52AB8">
        <w:rPr>
          <w:color w:val="000000" w:themeColor="text1"/>
        </w:rPr>
        <w:t>[ </w:t>
      </w:r>
      <w:r w:rsidR="00FE25E9" w:rsidRPr="00A52AB8">
        <w:rPr>
          <w:color w:val="000000" w:themeColor="text1"/>
        </w:rPr>
        <w:t>RecAtlasID</w:t>
      </w:r>
      <w:r w:rsidR="003A2227" w:rsidRPr="00A52AB8">
        <w:rPr>
          <w:color w:val="000000" w:themeColor="text1"/>
        </w:rPr>
        <w:t> </w:t>
      </w:r>
      <w:r w:rsidRPr="00A52AB8">
        <w:rPr>
          <w:color w:val="000000" w:themeColor="text1"/>
        </w:rPr>
        <w:t>] is greater than 0, the inputs to this process are:</w:t>
      </w:r>
    </w:p>
    <w:p w14:paraId="5763B88E" w14:textId="0D7F5004" w:rsidR="00D377C3" w:rsidRPr="00A52AB8" w:rsidRDefault="00D377C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w:t>
      </w:r>
      <w:r w:rsidR="006E3A04" w:rsidRPr="00A52AB8">
        <w:rPr>
          <w:color w:val="000000" w:themeColor="text1"/>
        </w:rPr>
        <w:t xml:space="preserve"> </w:t>
      </w:r>
      <w:r w:rsidR="00B4088D" w:rsidRPr="00A52AB8">
        <w:rPr>
          <w:color w:val="000000" w:themeColor="text1"/>
        </w:rPr>
        <w:t>4D</w:t>
      </w:r>
      <w:r w:rsidRPr="00A52AB8">
        <w:rPr>
          <w:color w:val="000000" w:themeColor="text1"/>
        </w:rPr>
        <w:t xml:space="preserve"> array aFrame</w:t>
      </w:r>
      <w:r w:rsidR="006B71A6" w:rsidRPr="00A52AB8">
        <w:rPr>
          <w:color w:val="000000" w:themeColor="text1"/>
        </w:rPr>
        <w:t>,</w:t>
      </w:r>
      <w:r w:rsidR="006E3A04" w:rsidRPr="00A52AB8">
        <w:rPr>
          <w:color w:val="000000" w:themeColor="text1"/>
        </w:rPr>
        <w:t xml:space="preserve"> specifying </w:t>
      </w:r>
      <w:r w:rsidRPr="00A52AB8">
        <w:rPr>
          <w:color w:val="000000" w:themeColor="text1"/>
        </w:rPr>
        <w:t xml:space="preserve">the decoded attribute frames in </w:t>
      </w:r>
      <w:r w:rsidR="0065222A" w:rsidRPr="00A52AB8">
        <w:rPr>
          <w:color w:val="000000" w:themeColor="text1"/>
        </w:rPr>
        <w:t xml:space="preserve">the </w:t>
      </w:r>
      <w:r w:rsidRPr="00A52AB8">
        <w:rPr>
          <w:color w:val="000000" w:themeColor="text1"/>
        </w:rPr>
        <w:t>nominal format, where</w:t>
      </w:r>
      <w:r w:rsidR="00B40E35" w:rsidRPr="00A52AB8">
        <w:rPr>
          <w:color w:val="000000" w:themeColor="text1"/>
        </w:rPr>
        <w:t xml:space="preserve"> </w:t>
      </w:r>
      <w:r w:rsidR="006E3A04" w:rsidRPr="00A52AB8">
        <w:rPr>
          <w:color w:val="000000" w:themeColor="text1"/>
        </w:rPr>
        <w:t>the four dimensions correspond to the attribute index, attribute dimension, row index, and column index</w:t>
      </w:r>
      <w:r w:rsidRPr="00A52AB8">
        <w:rPr>
          <w:color w:val="000000" w:themeColor="text1"/>
        </w:rPr>
        <w:t xml:space="preserve">, </w:t>
      </w:r>
      <w:r w:rsidR="006E3A04" w:rsidRPr="00A52AB8">
        <w:rPr>
          <w:color w:val="000000" w:themeColor="text1"/>
        </w:rPr>
        <w:t xml:space="preserve">respectively, </w:t>
      </w:r>
      <w:r w:rsidRPr="00A52AB8">
        <w:rPr>
          <w:color w:val="000000" w:themeColor="text1"/>
        </w:rPr>
        <w:t>and</w:t>
      </w:r>
    </w:p>
    <w:p w14:paraId="7E02B32A" w14:textId="77777777" w:rsidR="0050235C" w:rsidRPr="00A52AB8" w:rsidRDefault="00D377C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w:t>
      </w:r>
      <w:r w:rsidR="006B5586" w:rsidRPr="00A52AB8">
        <w:rPr>
          <w:color w:val="000000" w:themeColor="text1"/>
        </w:rPr>
        <w:t xml:space="preserve"> 3D</w:t>
      </w:r>
      <w:r w:rsidRPr="00A52AB8">
        <w:rPr>
          <w:color w:val="000000" w:themeColor="text1"/>
        </w:rPr>
        <w:t xml:space="preserve"> array recPcAttr, </w:t>
      </w:r>
      <w:r w:rsidR="00B4088D" w:rsidRPr="00A52AB8">
        <w:rPr>
          <w:color w:val="000000" w:themeColor="text1"/>
        </w:rPr>
        <w:t xml:space="preserve">specifying the </w:t>
      </w:r>
      <w:r w:rsidRPr="00A52AB8">
        <w:rPr>
          <w:color w:val="000000" w:themeColor="text1"/>
        </w:rPr>
        <w:t xml:space="preserve">attributes associated with the points in the reconstructed point cloud frame, where </w:t>
      </w:r>
      <w:r w:rsidR="00B4088D" w:rsidRPr="00A52AB8">
        <w:rPr>
          <w:color w:val="000000" w:themeColor="text1"/>
        </w:rPr>
        <w:t xml:space="preserve">the three dimensions correspond to </w:t>
      </w:r>
      <w:r w:rsidR="0039392A" w:rsidRPr="00A52AB8">
        <w:rPr>
          <w:color w:val="000000" w:themeColor="text1"/>
        </w:rPr>
        <w:t xml:space="preserve">the </w:t>
      </w:r>
      <w:r w:rsidR="00B4088D" w:rsidRPr="00A52AB8">
        <w:rPr>
          <w:color w:val="000000" w:themeColor="text1"/>
        </w:rPr>
        <w:t xml:space="preserve">index of the reconstructed point, </w:t>
      </w:r>
      <w:r w:rsidR="0039392A" w:rsidRPr="00A52AB8">
        <w:rPr>
          <w:color w:val="000000" w:themeColor="text1"/>
        </w:rPr>
        <w:t xml:space="preserve">the </w:t>
      </w:r>
      <w:r w:rsidR="003A2227" w:rsidRPr="00A52AB8">
        <w:rPr>
          <w:color w:val="000000" w:themeColor="text1"/>
        </w:rPr>
        <w:t>attr</w:t>
      </w:r>
      <w:r w:rsidR="00B4088D" w:rsidRPr="00A52AB8">
        <w:rPr>
          <w:color w:val="000000" w:themeColor="text1"/>
        </w:rPr>
        <w:t xml:space="preserve">ibute index, and </w:t>
      </w:r>
      <w:r w:rsidR="0039392A" w:rsidRPr="00A52AB8">
        <w:rPr>
          <w:color w:val="000000" w:themeColor="text1"/>
        </w:rPr>
        <w:t xml:space="preserve">the </w:t>
      </w:r>
      <w:r w:rsidR="00B4088D" w:rsidRPr="00A52AB8">
        <w:rPr>
          <w:color w:val="000000" w:themeColor="text1"/>
        </w:rPr>
        <w:t>attribute dimension, respectively.</w:t>
      </w:r>
    </w:p>
    <w:p w14:paraId="0C3074E7" w14:textId="133FF6C4" w:rsidR="00AF12B7" w:rsidRPr="00A52AB8" w:rsidRDefault="00AF12B7" w:rsidP="00AF12B7">
      <w:pPr>
        <w:rPr>
          <w:color w:val="000000" w:themeColor="text1"/>
        </w:rPr>
      </w:pPr>
      <w:r w:rsidRPr="00A52AB8">
        <w:rPr>
          <w:color w:val="000000" w:themeColor="text1"/>
        </w:rPr>
        <w:t>The outputs of this process are:</w:t>
      </w:r>
    </w:p>
    <w:p w14:paraId="3A017039" w14:textId="6D9DE4FF" w:rsidR="00D377C3" w:rsidRPr="00A52AB8" w:rsidRDefault="0040761D"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the </w:t>
      </w:r>
      <w:r w:rsidR="00D377C3" w:rsidRPr="00A52AB8">
        <w:rPr>
          <w:color w:val="000000" w:themeColor="text1"/>
        </w:rPr>
        <w:t>modified variable pointCnt</w:t>
      </w:r>
      <w:r w:rsidR="00085CF4" w:rsidRPr="00A52AB8">
        <w:rPr>
          <w:color w:val="000000" w:themeColor="text1"/>
        </w:rPr>
        <w:t>,</w:t>
      </w:r>
    </w:p>
    <w:p w14:paraId="643B1E49" w14:textId="7AF8A5F8" w:rsidR="008414A6" w:rsidRPr="00A52AB8" w:rsidRDefault="0040761D"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the </w:t>
      </w:r>
      <w:r w:rsidR="008414A6" w:rsidRPr="00A52AB8">
        <w:rPr>
          <w:color w:val="000000" w:themeColor="text1"/>
        </w:rPr>
        <w:t>modified array pos3D,</w:t>
      </w:r>
    </w:p>
    <w:p w14:paraId="4B05BFB8" w14:textId="1A3425C6" w:rsidR="00D377C3" w:rsidRPr="00A52AB8" w:rsidRDefault="0040761D"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the </w:t>
      </w:r>
      <w:r w:rsidR="00D377C3" w:rsidRPr="00A52AB8">
        <w:rPr>
          <w:color w:val="000000" w:themeColor="text1"/>
        </w:rPr>
        <w:t>modified array pointToPatch</w:t>
      </w:r>
      <w:r w:rsidR="003A2227" w:rsidRPr="00A52AB8">
        <w:rPr>
          <w:color w:val="000000" w:themeColor="text1"/>
        </w:rPr>
        <w:t>,</w:t>
      </w:r>
    </w:p>
    <w:p w14:paraId="3698D095" w14:textId="2DC80700" w:rsidR="003A2227" w:rsidRPr="00A52AB8" w:rsidRDefault="0040761D"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the </w:t>
      </w:r>
      <w:r w:rsidR="003A2227" w:rsidRPr="00A52AB8">
        <w:rPr>
          <w:color w:val="000000" w:themeColor="text1"/>
        </w:rPr>
        <w:t>modified array pointToPixel,</w:t>
      </w:r>
    </w:p>
    <w:p w14:paraId="1F86BCB2" w14:textId="7DAA5685" w:rsidR="00D377C3" w:rsidRPr="00A52AB8" w:rsidRDefault="0040761D"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the </w:t>
      </w:r>
      <w:r w:rsidR="00D377C3" w:rsidRPr="00A52AB8">
        <w:rPr>
          <w:color w:val="000000" w:themeColor="text1"/>
        </w:rPr>
        <w:t>modified array attrPresent</w:t>
      </w:r>
      <w:r w:rsidR="00085CF4" w:rsidRPr="00A52AB8">
        <w:rPr>
          <w:color w:val="000000" w:themeColor="text1"/>
        </w:rPr>
        <w:t>,</w:t>
      </w:r>
    </w:p>
    <w:p w14:paraId="0F01C6F8" w14:textId="596C4BAD" w:rsidR="00D377C3" w:rsidRPr="00A52AB8" w:rsidRDefault="0040761D"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the </w:t>
      </w:r>
      <w:r w:rsidR="00D377C3" w:rsidRPr="00A52AB8">
        <w:rPr>
          <w:color w:val="000000" w:themeColor="text1"/>
        </w:rPr>
        <w:t>modified array recPcGeo</w:t>
      </w:r>
      <w:r w:rsidR="00CF1BB6" w:rsidRPr="00A52AB8">
        <w:rPr>
          <w:color w:val="000000" w:themeColor="text1"/>
        </w:rPr>
        <w:t>, and</w:t>
      </w:r>
    </w:p>
    <w:p w14:paraId="523AC473" w14:textId="599C7904" w:rsidR="00D377C3" w:rsidRPr="00A52AB8" w:rsidRDefault="0040761D"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the </w:t>
      </w:r>
      <w:r w:rsidR="00D377C3" w:rsidRPr="00A52AB8">
        <w:rPr>
          <w:color w:val="000000" w:themeColor="text1"/>
        </w:rPr>
        <w:t>modified array recPcAttr</w:t>
      </w:r>
      <w:r w:rsidR="00CF1BB6" w:rsidRPr="00A52AB8">
        <w:rPr>
          <w:color w:val="000000" w:themeColor="text1"/>
        </w:rPr>
        <w:t>.</w:t>
      </w:r>
    </w:p>
    <w:p w14:paraId="338F5DFF" w14:textId="77777777" w:rsidR="00AF12B7" w:rsidRPr="00A52AB8" w:rsidRDefault="00AF12B7" w:rsidP="00AF12B7">
      <w:r w:rsidRPr="00A52AB8">
        <w:t>The following applies:</w:t>
      </w:r>
    </w:p>
    <w:p w14:paraId="1E15E0E5" w14:textId="19FE3A92" w:rsidR="00AF12B7" w:rsidRPr="00A52AB8" w:rsidRDefault="00AF12B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The 3D coordinates corresponding to the point with </w:t>
      </w:r>
      <w:r w:rsidR="00BC1C5A" w:rsidRPr="00A52AB8">
        <w:rPr>
          <w:color w:val="000000" w:themeColor="text1"/>
        </w:rPr>
        <w:t xml:space="preserve">atlas </w:t>
      </w:r>
      <w:r w:rsidRPr="00A52AB8">
        <w:rPr>
          <w:color w:val="000000" w:themeColor="text1"/>
        </w:rPr>
        <w:t>coordinates ( </w:t>
      </w:r>
      <w:r w:rsidR="00BC1C5A" w:rsidRPr="00A52AB8">
        <w:rPr>
          <w:color w:val="000000" w:themeColor="text1"/>
        </w:rPr>
        <w:t>x</w:t>
      </w:r>
      <w:r w:rsidRPr="00A52AB8">
        <w:rPr>
          <w:color w:val="000000" w:themeColor="text1"/>
        </w:rPr>
        <w:t>, </w:t>
      </w:r>
      <w:r w:rsidR="00BC1C5A" w:rsidRPr="00A52AB8">
        <w:rPr>
          <w:color w:val="000000" w:themeColor="text1"/>
        </w:rPr>
        <w:t>y </w:t>
      </w:r>
      <w:r w:rsidRPr="00A52AB8">
        <w:rPr>
          <w:color w:val="000000" w:themeColor="text1"/>
        </w:rPr>
        <w:t xml:space="preserve">) are derived by invoking </w:t>
      </w:r>
      <w:r w:rsidR="004E73C4" w:rsidRPr="00A52AB8">
        <w:rPr>
          <w:color w:val="000000" w:themeColor="text1"/>
        </w:rPr>
        <w:t xml:space="preserve">subclause </w:t>
      </w:r>
      <w:r w:rsidR="008E7960" w:rsidRPr="00496A4D">
        <w:rPr>
          <w:color w:val="000000" w:themeColor="text1"/>
        </w:rPr>
        <w:fldChar w:fldCharType="begin"/>
      </w:r>
      <w:r w:rsidR="008E7960" w:rsidRPr="00A52AB8">
        <w:rPr>
          <w:color w:val="000000" w:themeColor="text1"/>
        </w:rPr>
        <w:instrText xml:space="preserve"> REF _Ref48425253 \w \h </w:instrText>
      </w:r>
      <w:r w:rsidR="007812ED" w:rsidRPr="00A52AB8">
        <w:rPr>
          <w:color w:val="000000" w:themeColor="text1"/>
        </w:rPr>
        <w:instrText xml:space="preserve"> \* MERGEFORMAT </w:instrText>
      </w:r>
      <w:r w:rsidR="008E7960" w:rsidRPr="00496A4D">
        <w:rPr>
          <w:color w:val="000000" w:themeColor="text1"/>
        </w:rPr>
      </w:r>
      <w:r w:rsidR="008E7960" w:rsidRPr="00496A4D">
        <w:rPr>
          <w:color w:val="000000" w:themeColor="text1"/>
        </w:rPr>
        <w:fldChar w:fldCharType="separate"/>
      </w:r>
      <w:r w:rsidR="00507A67">
        <w:rPr>
          <w:color w:val="000000" w:themeColor="text1"/>
        </w:rPr>
        <w:t>H.11.5</w:t>
      </w:r>
      <w:r w:rsidR="008E7960" w:rsidRPr="00496A4D">
        <w:rPr>
          <w:color w:val="000000" w:themeColor="text1"/>
        </w:rPr>
        <w:fldChar w:fldCharType="end"/>
      </w:r>
      <w:r w:rsidR="008E7960" w:rsidRPr="00A52AB8">
        <w:rPr>
          <w:color w:val="000000" w:themeColor="text1"/>
        </w:rPr>
        <w:t xml:space="preserve"> </w:t>
      </w:r>
      <w:r w:rsidR="004E73C4" w:rsidRPr="00A52AB8">
        <w:rPr>
          <w:color w:val="000000" w:themeColor="text1"/>
        </w:rPr>
        <w:t xml:space="preserve">with variables pIdx, gFrame[ mapIdx ][ y ][ x ], </w:t>
      </w:r>
      <w:r w:rsidR="00626298" w:rsidRPr="00A52AB8">
        <w:rPr>
          <w:color w:val="000000" w:themeColor="text1"/>
        </w:rPr>
        <w:t>x</w:t>
      </w:r>
      <w:r w:rsidR="00A42A07" w:rsidRPr="00A52AB8">
        <w:rPr>
          <w:color w:val="000000" w:themeColor="text1"/>
        </w:rPr>
        <w:t xml:space="preserve">, and </w:t>
      </w:r>
      <w:r w:rsidR="00626298" w:rsidRPr="00A52AB8">
        <w:rPr>
          <w:color w:val="000000" w:themeColor="text1"/>
        </w:rPr>
        <w:t>y</w:t>
      </w:r>
      <w:r w:rsidR="004E73C4" w:rsidRPr="00A52AB8">
        <w:rPr>
          <w:color w:val="000000" w:themeColor="text1"/>
        </w:rPr>
        <w:t xml:space="preserve"> as inputs. </w:t>
      </w:r>
      <w:r w:rsidRPr="00A52AB8">
        <w:rPr>
          <w:color w:val="000000" w:themeColor="text1"/>
        </w:rPr>
        <w:t xml:space="preserve">The output is </w:t>
      </w:r>
      <w:r w:rsidR="006B71A6" w:rsidRPr="00A52AB8">
        <w:rPr>
          <w:color w:val="000000" w:themeColor="text1"/>
        </w:rPr>
        <w:t>used to update the array</w:t>
      </w:r>
      <w:r w:rsidRPr="00A52AB8">
        <w:rPr>
          <w:color w:val="000000" w:themeColor="text1"/>
        </w:rPr>
        <w:t xml:space="preserve"> pos3D.</w:t>
      </w:r>
    </w:p>
    <w:p w14:paraId="5FCC52D6" w14:textId="7AFB8641" w:rsidR="00AF12B7" w:rsidRPr="00A52AB8" w:rsidRDefault="00BC1C5A"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S</w:t>
      </w:r>
      <w:r w:rsidR="00AF12B7" w:rsidRPr="00A52AB8">
        <w:rPr>
          <w:color w:val="000000" w:themeColor="text1"/>
        </w:rPr>
        <w:t xml:space="preserve">ubclause </w:t>
      </w:r>
      <w:r w:rsidR="006E3A04" w:rsidRPr="00496A4D">
        <w:rPr>
          <w:color w:val="000000" w:themeColor="text1"/>
        </w:rPr>
        <w:fldChar w:fldCharType="begin"/>
      </w:r>
      <w:r w:rsidR="006E3A04" w:rsidRPr="00A52AB8">
        <w:rPr>
          <w:color w:val="000000" w:themeColor="text1"/>
        </w:rPr>
        <w:instrText xml:space="preserve"> REF _Ref49203881 \n \h </w:instrText>
      </w:r>
      <w:r w:rsidR="00D47B51" w:rsidRPr="00A52AB8">
        <w:rPr>
          <w:color w:val="000000" w:themeColor="text1"/>
        </w:rPr>
        <w:instrText xml:space="preserve"> \* MERGEFORMAT </w:instrText>
      </w:r>
      <w:r w:rsidR="006E3A04" w:rsidRPr="00496A4D">
        <w:rPr>
          <w:color w:val="000000" w:themeColor="text1"/>
        </w:rPr>
      </w:r>
      <w:r w:rsidR="006E3A04" w:rsidRPr="00496A4D">
        <w:rPr>
          <w:color w:val="000000" w:themeColor="text1"/>
        </w:rPr>
        <w:fldChar w:fldCharType="separate"/>
      </w:r>
      <w:r w:rsidR="00507A67">
        <w:rPr>
          <w:color w:val="000000" w:themeColor="text1"/>
        </w:rPr>
        <w:t>H.11.2.2</w:t>
      </w:r>
      <w:r w:rsidR="006E3A04" w:rsidRPr="00496A4D">
        <w:rPr>
          <w:color w:val="000000" w:themeColor="text1"/>
        </w:rPr>
        <w:fldChar w:fldCharType="end"/>
      </w:r>
      <w:r w:rsidR="006E3A04" w:rsidRPr="00A52AB8">
        <w:rPr>
          <w:color w:val="000000" w:themeColor="text1"/>
        </w:rPr>
        <w:t xml:space="preserve"> </w:t>
      </w:r>
      <w:r w:rsidR="00AF12B7" w:rsidRPr="00A52AB8">
        <w:rPr>
          <w:color w:val="000000" w:themeColor="text1"/>
        </w:rPr>
        <w:t xml:space="preserve">is invoked with </w:t>
      </w:r>
      <w:r w:rsidR="000C72A2" w:rsidRPr="00A52AB8">
        <w:rPr>
          <w:color w:val="000000" w:themeColor="text1"/>
        </w:rPr>
        <w:t xml:space="preserve">variables x, y, </w:t>
      </w:r>
      <w:r w:rsidR="00AF12B7" w:rsidRPr="00A52AB8">
        <w:rPr>
          <w:color w:val="000000" w:themeColor="text1"/>
        </w:rPr>
        <w:t xml:space="preserve">mapIdx, and </w:t>
      </w:r>
      <w:r w:rsidR="000C72A2" w:rsidRPr="00A52AB8">
        <w:rPr>
          <w:color w:val="000000" w:themeColor="text1"/>
        </w:rPr>
        <w:t xml:space="preserve">array </w:t>
      </w:r>
      <w:r w:rsidR="00AB6E79" w:rsidRPr="00A52AB8">
        <w:rPr>
          <w:color w:val="000000" w:themeColor="text1"/>
        </w:rPr>
        <w:t>g</w:t>
      </w:r>
      <w:r w:rsidR="00AF12B7" w:rsidRPr="00A52AB8">
        <w:rPr>
          <w:color w:val="000000" w:themeColor="text1"/>
        </w:rPr>
        <w:t xml:space="preserve">Frame as inputs. The output is </w:t>
      </w:r>
      <w:r w:rsidRPr="00A52AB8">
        <w:rPr>
          <w:color w:val="000000" w:themeColor="text1"/>
        </w:rPr>
        <w:t>assigned to a</w:t>
      </w:r>
      <w:r w:rsidR="00BB45CA" w:rsidRPr="00A52AB8">
        <w:rPr>
          <w:color w:val="000000" w:themeColor="text1"/>
        </w:rPr>
        <w:t xml:space="preserve"> </w:t>
      </w:r>
      <w:r w:rsidR="00AF12B7" w:rsidRPr="00A52AB8">
        <w:rPr>
          <w:color w:val="000000" w:themeColor="text1"/>
        </w:rPr>
        <w:t>variable isDuplicate.</w:t>
      </w:r>
    </w:p>
    <w:p w14:paraId="671E3AD4" w14:textId="77777777" w:rsidR="00AF12B7" w:rsidRPr="00A52AB8" w:rsidRDefault="00AF12B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If isDuplicate is equal to 0, the following applies:</w:t>
      </w:r>
    </w:p>
    <w:p w14:paraId="0DC3C2B1" w14:textId="46083B7B" w:rsidR="00AF12B7" w:rsidRPr="00A52AB8" w:rsidRDefault="00AF12B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 xml:space="preserve">The </w:t>
      </w:r>
      <w:r w:rsidR="008E3819" w:rsidRPr="00A52AB8">
        <w:rPr>
          <w:color w:val="000000" w:themeColor="text1"/>
        </w:rPr>
        <w:t>array</w:t>
      </w:r>
      <w:r w:rsidRPr="00A52AB8">
        <w:rPr>
          <w:color w:val="000000" w:themeColor="text1"/>
        </w:rPr>
        <w:t xml:space="preserve"> pos3D is copied over to a new entry in </w:t>
      </w:r>
      <w:r w:rsidR="00BB45CA" w:rsidRPr="00A52AB8">
        <w:rPr>
          <w:color w:val="000000" w:themeColor="text1"/>
        </w:rPr>
        <w:t xml:space="preserve">the array </w:t>
      </w:r>
      <w:r w:rsidR="00CD7965" w:rsidRPr="00A52AB8">
        <w:rPr>
          <w:color w:val="000000" w:themeColor="text1"/>
        </w:rPr>
        <w:t>r</w:t>
      </w:r>
      <w:r w:rsidRPr="00A52AB8">
        <w:rPr>
          <w:color w:val="000000" w:themeColor="text1"/>
        </w:rPr>
        <w:t>ecPcGeo</w:t>
      </w:r>
      <w:r w:rsidR="0040761D" w:rsidRPr="00A52AB8">
        <w:rPr>
          <w:color w:val="000000" w:themeColor="text1"/>
        </w:rPr>
        <w:t xml:space="preserve"> as follows:</w:t>
      </w:r>
    </w:p>
    <w:p w14:paraId="2A10B474" w14:textId="44DEC2D6" w:rsidR="00AF12B7" w:rsidRPr="00A52AB8" w:rsidRDefault="000C72A2" w:rsidP="008F2A42">
      <w:r w:rsidRPr="00A52AB8">
        <w:tab/>
      </w:r>
      <w:r w:rsidRPr="00A52AB8">
        <w:tab/>
      </w:r>
      <w:r w:rsidR="00AF12B7" w:rsidRPr="00A52AB8">
        <w:tab/>
        <w:t>for( </w:t>
      </w:r>
      <w:r w:rsidR="00BB45CA" w:rsidRPr="00A52AB8">
        <w:t>k</w:t>
      </w:r>
      <w:r w:rsidR="00AF12B7" w:rsidRPr="00A52AB8">
        <w:t>=0; </w:t>
      </w:r>
      <w:r w:rsidR="00BB45CA" w:rsidRPr="00A52AB8">
        <w:t>k </w:t>
      </w:r>
      <w:r w:rsidR="00AF12B7" w:rsidRPr="00A52AB8">
        <w:t>&lt; 3; </w:t>
      </w:r>
      <w:r w:rsidR="00BB45CA" w:rsidRPr="00A52AB8">
        <w:t>k</w:t>
      </w:r>
      <w:r w:rsidR="00006CCF" w:rsidRPr="00A52AB8">
        <w:t>++ )</w:t>
      </w:r>
      <w:r w:rsidR="00AF12B7" w:rsidRPr="00A52AB8">
        <w:br/>
      </w:r>
      <w:r w:rsidR="00AF12B7" w:rsidRPr="00A52AB8">
        <w:tab/>
      </w:r>
      <w:r w:rsidRPr="00A52AB8">
        <w:tab/>
      </w:r>
      <w:r w:rsidR="00AF12B7" w:rsidRPr="00A52AB8">
        <w:tab/>
      </w:r>
      <w:r w:rsidR="0040761D" w:rsidRPr="00A52AB8">
        <w:tab/>
      </w:r>
      <w:r w:rsidR="00CD7965" w:rsidRPr="00A52AB8">
        <w:t>r</w:t>
      </w:r>
      <w:r w:rsidR="00AF12B7" w:rsidRPr="00A52AB8">
        <w:t>ecPcGeo[ </w:t>
      </w:r>
      <w:r w:rsidR="00CD7965" w:rsidRPr="00A52AB8">
        <w:t>p</w:t>
      </w:r>
      <w:r w:rsidR="00AF12B7" w:rsidRPr="00A52AB8">
        <w:t>ointCnt ]</w:t>
      </w:r>
      <w:r w:rsidR="004B7314" w:rsidRPr="00A52AB8">
        <w:t>[ k ]</w:t>
      </w:r>
      <w:r w:rsidR="00D47707" w:rsidRPr="00A52AB8">
        <w:t> = </w:t>
      </w:r>
      <w:r w:rsidR="00AF12B7" w:rsidRPr="00A52AB8">
        <w:t>pos3D</w:t>
      </w:r>
      <w:r w:rsidR="004B7314" w:rsidRPr="00A52AB8">
        <w:t>[ k ]</w:t>
      </w:r>
    </w:p>
    <w:p w14:paraId="5DE789CD" w14:textId="14530654" w:rsidR="00BC1C5A" w:rsidRPr="00A52AB8" w:rsidRDefault="0040761D"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 xml:space="preserve">Then, </w:t>
      </w:r>
      <w:r w:rsidR="00BC1C5A" w:rsidRPr="00A52AB8">
        <w:rPr>
          <w:color w:val="000000" w:themeColor="text1"/>
        </w:rPr>
        <w:t>pointToPixel[ pointCnt ] and pointToPatch[ pointCnt ] are set as follows:</w:t>
      </w:r>
    </w:p>
    <w:p w14:paraId="169E5824" w14:textId="6411AE39" w:rsidR="00BC1C5A" w:rsidRPr="00A52AB8" w:rsidRDefault="00BC1C5A" w:rsidP="008F2A42">
      <w:r w:rsidRPr="00A52AB8">
        <w:tab/>
      </w:r>
      <w:r w:rsidR="000C72A2" w:rsidRPr="00A52AB8">
        <w:tab/>
      </w:r>
      <w:r w:rsidR="000C72A2" w:rsidRPr="00A52AB8">
        <w:tab/>
      </w:r>
      <w:r w:rsidRPr="00A52AB8">
        <w:t>pointToPixel[ pointCnt ][ 0 ]</w:t>
      </w:r>
      <w:r w:rsidR="00D47707" w:rsidRPr="00A52AB8">
        <w:t> = </w:t>
      </w:r>
      <w:r w:rsidRPr="00A52AB8">
        <w:t>x</w:t>
      </w:r>
      <w:r w:rsidRPr="00A52AB8">
        <w:br/>
      </w:r>
      <w:r w:rsidR="000C72A2" w:rsidRPr="00A52AB8">
        <w:tab/>
      </w:r>
      <w:r w:rsidR="000C72A2" w:rsidRPr="00A52AB8">
        <w:tab/>
      </w:r>
      <w:r w:rsidRPr="00A52AB8">
        <w:tab/>
        <w:t>pointToPixel[ pointCnt ][ 1 ]</w:t>
      </w:r>
      <w:r w:rsidR="00D47707" w:rsidRPr="00A52AB8">
        <w:t> = </w:t>
      </w:r>
      <w:r w:rsidRPr="00A52AB8">
        <w:t>y</w:t>
      </w:r>
      <w:r w:rsidRPr="00A52AB8">
        <w:br/>
      </w:r>
      <w:r w:rsidR="000C72A2" w:rsidRPr="00A52AB8">
        <w:tab/>
      </w:r>
      <w:r w:rsidR="000C72A2" w:rsidRPr="00A52AB8">
        <w:tab/>
      </w:r>
      <w:r w:rsidRPr="00A52AB8">
        <w:tab/>
        <w:t>pointToPatch[ pointCnt ]</w:t>
      </w:r>
      <w:r w:rsidR="00D47707" w:rsidRPr="00A52AB8">
        <w:t> = </w:t>
      </w:r>
      <w:r w:rsidRPr="00A52AB8">
        <w:t>pIdx</w:t>
      </w:r>
    </w:p>
    <w:p w14:paraId="53A80850" w14:textId="77777777" w:rsidR="00BC1C5A" w:rsidRPr="00A52AB8" w:rsidRDefault="00BC1C5A"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If ai_attribute_count[ RecAtlasID ] is greater than 0 the following applies:</w:t>
      </w:r>
    </w:p>
    <w:p w14:paraId="7053B77B" w14:textId="15559A66" w:rsidR="00AF12B7" w:rsidRPr="00A52AB8" w:rsidRDefault="00AF12B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1" w:hanging="403"/>
        <w:textAlignment w:val="baseline"/>
        <w:rPr>
          <w:color w:val="000000" w:themeColor="text1"/>
        </w:rPr>
      </w:pPr>
      <w:r w:rsidRPr="00A52AB8">
        <w:rPr>
          <w:color w:val="000000" w:themeColor="text1"/>
        </w:rPr>
        <w:t>For a</w:t>
      </w:r>
      <w:r w:rsidR="00CD7965" w:rsidRPr="00A52AB8">
        <w:rPr>
          <w:color w:val="000000" w:themeColor="text1"/>
        </w:rPr>
        <w:t>ttr</w:t>
      </w:r>
      <w:r w:rsidRPr="00A52AB8">
        <w:rPr>
          <w:color w:val="000000" w:themeColor="text1"/>
        </w:rPr>
        <w:t>Idx</w:t>
      </w:r>
      <w:r w:rsidR="00D47707" w:rsidRPr="00A52AB8">
        <w:rPr>
          <w:color w:val="000000" w:themeColor="text1"/>
        </w:rPr>
        <w:t> = </w:t>
      </w:r>
      <w:r w:rsidRPr="00A52AB8">
        <w:rPr>
          <w:color w:val="000000" w:themeColor="text1"/>
        </w:rPr>
        <w:t>0 .. ai_attribute_count[ </w:t>
      </w:r>
      <w:r w:rsidR="009F5B85" w:rsidRPr="00A52AB8">
        <w:rPr>
          <w:color w:val="000000" w:themeColor="text1"/>
        </w:rPr>
        <w:t>RecAtlasID</w:t>
      </w:r>
      <w:r w:rsidRPr="00A52AB8">
        <w:rPr>
          <w:color w:val="000000" w:themeColor="text1"/>
        </w:rPr>
        <w:t> ]</w:t>
      </w:r>
      <w:r w:rsidR="00E349A2" w:rsidRPr="00A52AB8">
        <w:rPr>
          <w:color w:val="000000" w:themeColor="text1"/>
        </w:rPr>
        <w:t> </w:t>
      </w:r>
      <w:r w:rsidRPr="00A52AB8">
        <w:rPr>
          <w:color w:val="000000" w:themeColor="text1"/>
        </w:rPr>
        <w:t>− 1, attributes are assigned to the newly added point as follows:</w:t>
      </w:r>
    </w:p>
    <w:p w14:paraId="56B2E264" w14:textId="017C128C" w:rsidR="00AF12B7" w:rsidRPr="00A52AB8" w:rsidRDefault="00AF12B7" w:rsidP="008F2A42">
      <w:r w:rsidRPr="00A52AB8">
        <w:tab/>
      </w:r>
      <w:r w:rsidR="000C72A2" w:rsidRPr="00A52AB8">
        <w:tab/>
      </w:r>
      <w:r w:rsidR="000C72A2" w:rsidRPr="00A52AB8">
        <w:tab/>
      </w:r>
      <w:r w:rsidR="000C72A2" w:rsidRPr="00A52AB8">
        <w:tab/>
      </w:r>
      <w:r w:rsidRPr="00A52AB8">
        <w:t>numComps</w:t>
      </w:r>
      <w:r w:rsidR="00D47707" w:rsidRPr="00A52AB8">
        <w:t> = </w:t>
      </w:r>
      <w:r w:rsidRPr="00A52AB8">
        <w:t>ai_attribute_dimension_minus1[ </w:t>
      </w:r>
      <w:r w:rsidR="009F5B85" w:rsidRPr="00A52AB8">
        <w:t>RecAtlasID</w:t>
      </w:r>
      <w:r w:rsidRPr="00A52AB8">
        <w:t> ][ a</w:t>
      </w:r>
      <w:r w:rsidR="00CD7965" w:rsidRPr="00A52AB8">
        <w:t>ttr</w:t>
      </w:r>
      <w:r w:rsidRPr="00A52AB8">
        <w:t>Idx ] + 1</w:t>
      </w:r>
      <w:r w:rsidRPr="00A52AB8">
        <w:br/>
      </w:r>
      <w:r w:rsidR="000C72A2" w:rsidRPr="00A52AB8">
        <w:tab/>
      </w:r>
      <w:r w:rsidR="000C72A2" w:rsidRPr="00A52AB8">
        <w:tab/>
      </w:r>
      <w:r w:rsidR="000C72A2" w:rsidRPr="00A52AB8">
        <w:tab/>
      </w:r>
      <w:r w:rsidR="000C72A2" w:rsidRPr="00A52AB8">
        <w:tab/>
      </w:r>
      <w:r w:rsidRPr="00A52AB8">
        <w:t>for( c</w:t>
      </w:r>
      <w:r w:rsidR="00CD7965" w:rsidRPr="00A52AB8">
        <w:t>omp</w:t>
      </w:r>
      <w:r w:rsidRPr="00A52AB8">
        <w:t>Idx</w:t>
      </w:r>
      <w:r w:rsidR="00D47707" w:rsidRPr="00A52AB8">
        <w:t> = </w:t>
      </w:r>
      <w:r w:rsidRPr="00A52AB8">
        <w:t>0; c</w:t>
      </w:r>
      <w:r w:rsidR="00CD7965" w:rsidRPr="00A52AB8">
        <w:t>omp</w:t>
      </w:r>
      <w:r w:rsidRPr="00A52AB8">
        <w:t>Idx &lt; numComps; c</w:t>
      </w:r>
      <w:r w:rsidR="00CD7965" w:rsidRPr="00A52AB8">
        <w:t>omp</w:t>
      </w:r>
      <w:r w:rsidRPr="00A52AB8">
        <w:t>Idx</w:t>
      </w:r>
      <w:r w:rsidR="00006CCF" w:rsidRPr="00A52AB8">
        <w:t>++ )</w:t>
      </w:r>
      <w:r w:rsidRPr="00A52AB8">
        <w:br/>
      </w:r>
      <w:r w:rsidR="000C72A2" w:rsidRPr="00A52AB8">
        <w:tab/>
      </w:r>
      <w:r w:rsidR="000C72A2" w:rsidRPr="00A52AB8">
        <w:tab/>
      </w:r>
      <w:r w:rsidR="000C72A2" w:rsidRPr="00A52AB8">
        <w:tab/>
      </w:r>
      <w:r w:rsidR="000C72A2" w:rsidRPr="00A52AB8">
        <w:tab/>
      </w:r>
      <w:r w:rsidRPr="00A52AB8">
        <w:tab/>
      </w:r>
      <w:r w:rsidR="00CD7965" w:rsidRPr="00A52AB8">
        <w:t>r</w:t>
      </w:r>
      <w:r w:rsidRPr="00A52AB8">
        <w:t>ecPcAttr[ </w:t>
      </w:r>
      <w:r w:rsidR="00CD7965" w:rsidRPr="00A52AB8">
        <w:t>p</w:t>
      </w:r>
      <w:r w:rsidRPr="00A52AB8">
        <w:t>ointCnt ][ a</w:t>
      </w:r>
      <w:r w:rsidR="00CD7965" w:rsidRPr="00A52AB8">
        <w:t>ttr</w:t>
      </w:r>
      <w:r w:rsidRPr="00A52AB8">
        <w:t>Idx ][ c</w:t>
      </w:r>
      <w:r w:rsidR="00CD7965" w:rsidRPr="00A52AB8">
        <w:t>omp</w:t>
      </w:r>
      <w:r w:rsidRPr="00A52AB8">
        <w:t>Idx ]</w:t>
      </w:r>
      <w:r w:rsidR="00D47707" w:rsidRPr="00A52AB8">
        <w:t> = </w:t>
      </w:r>
      <w:r w:rsidR="00CD7965" w:rsidRPr="00A52AB8">
        <w:t>a</w:t>
      </w:r>
      <w:r w:rsidRPr="00A52AB8">
        <w:t>Frame[ a</w:t>
      </w:r>
      <w:r w:rsidR="008631EF" w:rsidRPr="00A52AB8">
        <w:t>ttr</w:t>
      </w:r>
      <w:r w:rsidRPr="00A52AB8">
        <w:t>Idx ][ c</w:t>
      </w:r>
      <w:r w:rsidR="008631EF" w:rsidRPr="00A52AB8">
        <w:t>omp</w:t>
      </w:r>
      <w:r w:rsidRPr="00A52AB8">
        <w:t>Idx ]</w:t>
      </w:r>
      <w:r w:rsidR="004B7314" w:rsidRPr="00A52AB8">
        <w:t>[ y ][ x ]</w:t>
      </w:r>
    </w:p>
    <w:p w14:paraId="27A40825" w14:textId="6D4C5793" w:rsidR="00AF12B7" w:rsidRPr="00A52AB8" w:rsidRDefault="00A33B02" w:rsidP="00007BE2">
      <w:pPr>
        <w:pStyle w:val="ListParagraph"/>
        <w:numPr>
          <w:ilvl w:val="0"/>
          <w:numId w:val="112"/>
        </w:numPr>
        <w:spacing w:before="240" w:after="0"/>
        <w:ind w:leftChars="0" w:left="1565" w:hanging="357"/>
        <w:rPr>
          <w:color w:val="000000" w:themeColor="text1"/>
        </w:rPr>
      </w:pPr>
      <w:r w:rsidRPr="00A52AB8">
        <w:rPr>
          <w:color w:val="000000" w:themeColor="text1"/>
        </w:rPr>
        <w:t>a</w:t>
      </w:r>
      <w:r w:rsidR="00AF12B7" w:rsidRPr="00A52AB8">
        <w:rPr>
          <w:color w:val="000000" w:themeColor="text1"/>
        </w:rPr>
        <w:t>ttrPresent[ </w:t>
      </w:r>
      <w:r w:rsidRPr="00A52AB8">
        <w:rPr>
          <w:color w:val="000000" w:themeColor="text1"/>
        </w:rPr>
        <w:t>p</w:t>
      </w:r>
      <w:r w:rsidR="00AF12B7" w:rsidRPr="00A52AB8">
        <w:rPr>
          <w:color w:val="000000" w:themeColor="text1"/>
        </w:rPr>
        <w:t>ointCnt ]</w:t>
      </w:r>
      <w:r w:rsidR="00C77707" w:rsidRPr="00A52AB8">
        <w:rPr>
          <w:color w:val="000000" w:themeColor="text1"/>
        </w:rPr>
        <w:t xml:space="preserve"> is set to </w:t>
      </w:r>
      <w:r w:rsidR="00AF12B7" w:rsidRPr="00A52AB8">
        <w:rPr>
          <w:color w:val="000000" w:themeColor="text1"/>
        </w:rPr>
        <w:t>1</w:t>
      </w:r>
      <w:r w:rsidR="001967EF" w:rsidRPr="00A52AB8">
        <w:rPr>
          <w:color w:val="000000" w:themeColor="text1"/>
        </w:rPr>
        <w:t>.</w:t>
      </w:r>
    </w:p>
    <w:p w14:paraId="5AD949E8" w14:textId="77777777" w:rsidR="00AF12B7" w:rsidRPr="00A52AB8" w:rsidRDefault="001967EF"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Finally, </w:t>
      </w:r>
      <w:r w:rsidR="00A33B02" w:rsidRPr="00A52AB8">
        <w:rPr>
          <w:color w:val="000000" w:themeColor="text1"/>
        </w:rPr>
        <w:t>p</w:t>
      </w:r>
      <w:r w:rsidR="00AF12B7" w:rsidRPr="00A52AB8">
        <w:rPr>
          <w:color w:val="000000" w:themeColor="text1"/>
        </w:rPr>
        <w:t xml:space="preserve">ointCnt </w:t>
      </w:r>
      <w:r w:rsidR="00C77707" w:rsidRPr="00A52AB8">
        <w:rPr>
          <w:color w:val="000000" w:themeColor="text1"/>
        </w:rPr>
        <w:t>is incremented by 1</w:t>
      </w:r>
      <w:r w:rsidR="004F7CF2" w:rsidRPr="00A52AB8">
        <w:rPr>
          <w:color w:val="000000" w:themeColor="text1"/>
        </w:rPr>
        <w:t>.</w:t>
      </w:r>
    </w:p>
    <w:p w14:paraId="5CF53AA5" w14:textId="77777777" w:rsidR="006F3428" w:rsidRPr="00A52AB8" w:rsidRDefault="006F3428" w:rsidP="00743B88">
      <w:pPr>
        <w:pStyle w:val="a4"/>
        <w:numPr>
          <w:ilvl w:val="3"/>
          <w:numId w:val="14"/>
        </w:numPr>
        <w:tabs>
          <w:tab w:val="clear" w:pos="806"/>
          <w:tab w:val="clear" w:pos="1210"/>
          <w:tab w:val="clear" w:pos="1613"/>
          <w:tab w:val="clear" w:pos="2016"/>
          <w:tab w:val="clear" w:pos="2419"/>
          <w:tab w:val="clear" w:pos="2822"/>
          <w:tab w:val="clear" w:pos="3226"/>
          <w:tab w:val="clear" w:pos="3629"/>
          <w:tab w:val="clear" w:pos="4032"/>
          <w:tab w:val="clear" w:pos="4435"/>
          <w:tab w:val="clear" w:pos="7200"/>
          <w:tab w:val="clear" w:pos="9677"/>
        </w:tabs>
      </w:pPr>
      <w:bookmarkStart w:id="6376" w:name="_Ref49203881"/>
      <w:r w:rsidRPr="00A52AB8">
        <w:t>Process to check for duplicated points across maps</w:t>
      </w:r>
      <w:bookmarkEnd w:id="6376"/>
    </w:p>
    <w:p w14:paraId="46D7C553" w14:textId="77777777" w:rsidR="006F3428" w:rsidRPr="00A52AB8" w:rsidRDefault="006F3428" w:rsidP="00007BE2">
      <w:pPr>
        <w:rPr>
          <w:color w:val="000000" w:themeColor="text1"/>
        </w:rPr>
      </w:pPr>
      <w:r w:rsidRPr="00A52AB8">
        <w:rPr>
          <w:color w:val="000000" w:themeColor="text1"/>
        </w:rPr>
        <w:t>This process finds duplicated points that may be associated with a single patch because of the presence of multiple maps. Duplicated points due to other PROJECTED patches or RAW and EOM patches are not accounted for in this process.</w:t>
      </w:r>
    </w:p>
    <w:p w14:paraId="5EB9E4E1" w14:textId="77777777" w:rsidR="006F3428" w:rsidRPr="00A52AB8" w:rsidRDefault="006F3428">
      <w:pPr>
        <w:rPr>
          <w:lang w:eastAsia="ja-JP"/>
        </w:rPr>
      </w:pPr>
      <w:r w:rsidRPr="00A52AB8">
        <w:rPr>
          <w:lang w:eastAsia="ja-JP"/>
        </w:rPr>
        <w:t>Inputs to this process are:</w:t>
      </w:r>
    </w:p>
    <w:p w14:paraId="40489E57" w14:textId="145F46FB" w:rsidR="000C72A2" w:rsidRPr="00A52AB8" w:rsidRDefault="000C72A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variable xC, specifying the x atlas coordinate,</w:t>
      </w:r>
    </w:p>
    <w:p w14:paraId="1C4B6790" w14:textId="543B0F7B" w:rsidR="000C72A2" w:rsidRPr="00A52AB8" w:rsidRDefault="000C72A2" w:rsidP="000C72A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variable yC, specifying the y atlas coordinate,</w:t>
      </w:r>
    </w:p>
    <w:p w14:paraId="223F9DE0" w14:textId="2632D451" w:rsidR="006F3428" w:rsidRPr="00A52AB8" w:rsidRDefault="006F342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variable </w:t>
      </w:r>
      <w:r w:rsidR="0039392A" w:rsidRPr="00A52AB8">
        <w:rPr>
          <w:color w:val="000000" w:themeColor="text1"/>
        </w:rPr>
        <w:t>mapIdx</w:t>
      </w:r>
      <w:r w:rsidRPr="00A52AB8">
        <w:rPr>
          <w:color w:val="000000" w:themeColor="text1"/>
        </w:rPr>
        <w:t xml:space="preserve">, </w:t>
      </w:r>
      <w:r w:rsidR="0039392A" w:rsidRPr="00A52AB8">
        <w:rPr>
          <w:color w:val="000000" w:themeColor="text1"/>
        </w:rPr>
        <w:t xml:space="preserve">specifying </w:t>
      </w:r>
      <w:r w:rsidRPr="00A52AB8">
        <w:rPr>
          <w:color w:val="000000" w:themeColor="text1"/>
        </w:rPr>
        <w:t>a map index, and</w:t>
      </w:r>
    </w:p>
    <w:p w14:paraId="66EF0C98" w14:textId="0707E5B2" w:rsidR="005201C0" w:rsidRPr="00A52AB8" w:rsidRDefault="005201C0"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3D </w:t>
      </w:r>
      <w:r w:rsidR="006F3428" w:rsidRPr="00A52AB8">
        <w:rPr>
          <w:color w:val="000000" w:themeColor="text1"/>
        </w:rPr>
        <w:t xml:space="preserve">array gFrame, </w:t>
      </w:r>
      <w:r w:rsidR="00CD2815" w:rsidRPr="00A52AB8">
        <w:rPr>
          <w:color w:val="000000" w:themeColor="text1"/>
        </w:rPr>
        <w:t>s</w:t>
      </w:r>
      <w:r w:rsidR="000C72A2" w:rsidRPr="00A52AB8">
        <w:rPr>
          <w:color w:val="000000" w:themeColor="text1"/>
        </w:rPr>
        <w:t>p</w:t>
      </w:r>
      <w:r w:rsidR="00CD2815" w:rsidRPr="00A52AB8">
        <w:rPr>
          <w:color w:val="000000" w:themeColor="text1"/>
        </w:rPr>
        <w:t>ecifying</w:t>
      </w:r>
      <w:r w:rsidRPr="00A52AB8">
        <w:rPr>
          <w:color w:val="000000" w:themeColor="text1"/>
        </w:rPr>
        <w:t xml:space="preserve"> </w:t>
      </w:r>
      <w:r w:rsidR="006F3428" w:rsidRPr="00A52AB8">
        <w:rPr>
          <w:color w:val="000000" w:themeColor="text1"/>
        </w:rPr>
        <w:t xml:space="preserve">the decoded geometry frames in </w:t>
      </w:r>
      <w:r w:rsidR="0065222A" w:rsidRPr="00A52AB8">
        <w:rPr>
          <w:color w:val="000000" w:themeColor="text1"/>
        </w:rPr>
        <w:t xml:space="preserve">the </w:t>
      </w:r>
      <w:r w:rsidR="006F3428" w:rsidRPr="00A52AB8">
        <w:rPr>
          <w:color w:val="000000" w:themeColor="text1"/>
        </w:rPr>
        <w:t xml:space="preserve">nominal format, </w:t>
      </w:r>
      <w:r w:rsidRPr="00A52AB8">
        <w:rPr>
          <w:color w:val="000000" w:themeColor="text1"/>
        </w:rPr>
        <w:t xml:space="preserve">where the three dimensions correspond to the map index, </w:t>
      </w:r>
      <w:r w:rsidR="0039392A" w:rsidRPr="00A52AB8">
        <w:rPr>
          <w:color w:val="000000" w:themeColor="text1"/>
        </w:rPr>
        <w:t xml:space="preserve">the </w:t>
      </w:r>
      <w:r w:rsidRPr="00A52AB8">
        <w:rPr>
          <w:color w:val="000000" w:themeColor="text1"/>
        </w:rPr>
        <w:t xml:space="preserve">row index, and </w:t>
      </w:r>
      <w:r w:rsidR="0039392A" w:rsidRPr="00A52AB8">
        <w:rPr>
          <w:color w:val="000000" w:themeColor="text1"/>
        </w:rPr>
        <w:t xml:space="preserve">the </w:t>
      </w:r>
      <w:r w:rsidRPr="00A52AB8">
        <w:rPr>
          <w:color w:val="000000" w:themeColor="text1"/>
        </w:rPr>
        <w:t>column index, respectively.</w:t>
      </w:r>
    </w:p>
    <w:p w14:paraId="56DB56C5" w14:textId="1E13F473" w:rsidR="006F3428" w:rsidRPr="00A52AB8" w:rsidRDefault="006F3428" w:rsidP="006F3428">
      <w:pPr>
        <w:rPr>
          <w:lang w:eastAsia="ja-JP"/>
        </w:rPr>
      </w:pPr>
      <w:r w:rsidRPr="00A52AB8">
        <w:rPr>
          <w:lang w:eastAsia="ja-JP"/>
        </w:rPr>
        <w:t xml:space="preserve">Output of this process is a variable isDuplicate, indicating whether the point corresponding to </w:t>
      </w:r>
      <w:r w:rsidR="0039392A" w:rsidRPr="00A52AB8">
        <w:rPr>
          <w:lang w:eastAsia="ja-JP"/>
        </w:rPr>
        <w:t xml:space="preserve">mapIdx </w:t>
      </w:r>
      <w:r w:rsidRPr="00A52AB8">
        <w:rPr>
          <w:lang w:eastAsia="ja-JP"/>
        </w:rPr>
        <w:t>is a duplicate of a point from the set of points with map indices in the range of 0</w:t>
      </w:r>
      <w:r w:rsidR="005201C0" w:rsidRPr="00A52AB8">
        <w:rPr>
          <w:lang w:eastAsia="ja-JP"/>
        </w:rPr>
        <w:t xml:space="preserve"> </w:t>
      </w:r>
      <w:r w:rsidRPr="00A52AB8">
        <w:rPr>
          <w:lang w:eastAsia="ja-JP"/>
        </w:rPr>
        <w:t>to</w:t>
      </w:r>
      <w:r w:rsidR="005201C0" w:rsidRPr="00A52AB8">
        <w:rPr>
          <w:lang w:eastAsia="ja-JP"/>
        </w:rPr>
        <w:t xml:space="preserve"> </w:t>
      </w:r>
      <w:r w:rsidR="0039392A" w:rsidRPr="00A52AB8">
        <w:rPr>
          <w:lang w:eastAsia="ja-JP"/>
        </w:rPr>
        <w:t>map</w:t>
      </w:r>
      <w:r w:rsidRPr="00A52AB8">
        <w:rPr>
          <w:lang w:eastAsia="ja-JP"/>
        </w:rPr>
        <w:t>Idx</w:t>
      </w:r>
      <w:r w:rsidR="005201C0" w:rsidRPr="00A52AB8">
        <w:rPr>
          <w:lang w:eastAsia="ja-JP"/>
        </w:rPr>
        <w:t> </w:t>
      </w:r>
      <w:r w:rsidRPr="00A52AB8">
        <w:rPr>
          <w:lang w:eastAsia="ja-JP"/>
        </w:rPr>
        <w:t>–</w:t>
      </w:r>
      <w:r w:rsidR="005201C0" w:rsidRPr="00A52AB8">
        <w:rPr>
          <w:lang w:eastAsia="ja-JP"/>
        </w:rPr>
        <w:t> </w:t>
      </w:r>
      <w:r w:rsidRPr="00A52AB8">
        <w:rPr>
          <w:lang w:eastAsia="ja-JP"/>
        </w:rPr>
        <w:t>1, inclusive.</w:t>
      </w:r>
    </w:p>
    <w:p w14:paraId="379CB9E1" w14:textId="2B5CCFD6" w:rsidR="006F3428" w:rsidRPr="00A52AB8" w:rsidRDefault="00054F18" w:rsidP="006F3428">
      <w:pPr>
        <w:rPr>
          <w:lang w:eastAsia="ja-JP"/>
        </w:rPr>
      </w:pPr>
      <w:r w:rsidRPr="00A52AB8">
        <w:rPr>
          <w:lang w:eastAsia="ja-JP"/>
        </w:rPr>
        <w:t>T</w:t>
      </w:r>
      <w:r w:rsidR="006F3428" w:rsidRPr="00A52AB8">
        <w:rPr>
          <w:lang w:eastAsia="ja-JP"/>
        </w:rPr>
        <w:t xml:space="preserve">he variable isDuplicate is </w:t>
      </w:r>
      <w:r w:rsidRPr="00A52AB8">
        <w:rPr>
          <w:lang w:eastAsia="ja-JP"/>
        </w:rPr>
        <w:t xml:space="preserve">first initialized to </w:t>
      </w:r>
      <w:r w:rsidR="006F3428" w:rsidRPr="00A52AB8">
        <w:rPr>
          <w:lang w:eastAsia="ja-JP"/>
        </w:rPr>
        <w:t>0.</w:t>
      </w:r>
    </w:p>
    <w:p w14:paraId="1293BF50" w14:textId="3C822221" w:rsidR="006F3428" w:rsidRPr="00A52AB8" w:rsidRDefault="006F3428" w:rsidP="006F3428">
      <w:pPr>
        <w:rPr>
          <w:color w:val="000000" w:themeColor="text1"/>
        </w:rPr>
      </w:pPr>
      <w:r w:rsidRPr="00A52AB8">
        <w:rPr>
          <w:color w:val="000000" w:themeColor="text1"/>
        </w:rPr>
        <w:t>If asps_vpcc_remove_duplicate_point_enabled_flag is equal to 1, the following applies:</w:t>
      </w:r>
    </w:p>
    <w:p w14:paraId="491F19FB" w14:textId="7C8DDEC5" w:rsidR="006F3428" w:rsidRPr="00A52AB8" w:rsidRDefault="006F3428" w:rsidP="004A6049">
      <w:pPr>
        <w:tabs>
          <w:tab w:val="clear" w:pos="403"/>
          <w:tab w:val="clear" w:pos="806"/>
          <w:tab w:val="clear" w:pos="1210"/>
          <w:tab w:val="clear" w:pos="1613"/>
          <w:tab w:val="clear" w:pos="2016"/>
          <w:tab w:val="clear" w:pos="2419"/>
          <w:tab w:val="clear" w:pos="2822"/>
          <w:tab w:val="clear" w:pos="3226"/>
          <w:tab w:val="clear" w:pos="3629"/>
          <w:tab w:val="clear" w:pos="4032"/>
          <w:tab w:val="clear" w:pos="4435"/>
          <w:tab w:val="right" w:pos="360"/>
          <w:tab w:val="right" w:pos="720"/>
          <w:tab w:val="right" w:pos="1080"/>
          <w:tab w:val="right" w:pos="1440"/>
        </w:tabs>
        <w:ind w:left="360"/>
        <w:rPr>
          <w:lang w:eastAsia="ja-JP"/>
        </w:rPr>
      </w:pPr>
      <w:r w:rsidRPr="00A52AB8">
        <w:rPr>
          <w:lang w:eastAsia="ja-JP"/>
        </w:rPr>
        <w:tab/>
        <w:t>for( </w:t>
      </w:r>
      <w:r w:rsidR="005201C0" w:rsidRPr="00A52AB8">
        <w:rPr>
          <w:lang w:eastAsia="ja-JP"/>
        </w:rPr>
        <w:t>m</w:t>
      </w:r>
      <w:r w:rsidR="00D47707" w:rsidRPr="00A52AB8">
        <w:rPr>
          <w:lang w:eastAsia="ja-JP"/>
        </w:rPr>
        <w:t> = </w:t>
      </w:r>
      <w:r w:rsidRPr="00A52AB8">
        <w:rPr>
          <w:lang w:eastAsia="ja-JP"/>
        </w:rPr>
        <w:t>0; ( </w:t>
      </w:r>
      <w:r w:rsidR="005201C0" w:rsidRPr="00A52AB8">
        <w:rPr>
          <w:lang w:eastAsia="ja-JP"/>
        </w:rPr>
        <w:t>m </w:t>
      </w:r>
      <w:r w:rsidRPr="00A52AB8">
        <w:rPr>
          <w:lang w:eastAsia="ja-JP"/>
        </w:rPr>
        <w:t>&lt; </w:t>
      </w:r>
      <w:r w:rsidR="0039392A" w:rsidRPr="00A52AB8">
        <w:rPr>
          <w:lang w:eastAsia="ja-JP"/>
        </w:rPr>
        <w:t>mapIdx </w:t>
      </w:r>
      <w:r w:rsidR="008768E9" w:rsidRPr="00A52AB8">
        <w:rPr>
          <w:lang w:eastAsia="ja-JP"/>
        </w:rPr>
        <w:t>&amp;&amp; </w:t>
      </w:r>
      <w:r w:rsidRPr="00A52AB8">
        <w:rPr>
          <w:lang w:eastAsia="ja-JP"/>
        </w:rPr>
        <w:t>!isDuplicate ); </w:t>
      </w:r>
      <w:r w:rsidR="005201C0" w:rsidRPr="00A52AB8">
        <w:rPr>
          <w:lang w:eastAsia="ja-JP"/>
        </w:rPr>
        <w:t>m</w:t>
      </w:r>
      <w:r w:rsidR="00006CCF" w:rsidRPr="00A52AB8">
        <w:rPr>
          <w:lang w:eastAsia="ja-JP"/>
        </w:rPr>
        <w:t>++ )</w:t>
      </w:r>
      <w:r w:rsidRPr="00A52AB8">
        <w:rPr>
          <w:lang w:eastAsia="ja-JP"/>
        </w:rPr>
        <w:br/>
      </w:r>
      <w:r w:rsidRPr="00A52AB8">
        <w:rPr>
          <w:lang w:eastAsia="ja-JP"/>
        </w:rPr>
        <w:tab/>
      </w:r>
      <w:r w:rsidRPr="00A52AB8">
        <w:rPr>
          <w:lang w:eastAsia="ja-JP"/>
        </w:rPr>
        <w:tab/>
        <w:t>if( gFrame[ </w:t>
      </w:r>
      <w:r w:rsidR="005201C0" w:rsidRPr="00A52AB8">
        <w:rPr>
          <w:lang w:eastAsia="ja-JP"/>
        </w:rPr>
        <w:t>m </w:t>
      </w:r>
      <w:r w:rsidRPr="00A52AB8">
        <w:rPr>
          <w:lang w:eastAsia="ja-JP"/>
        </w:rPr>
        <w:t>][ yC ][ xC ]</w:t>
      </w:r>
      <w:r w:rsidR="008768E9" w:rsidRPr="00A52AB8">
        <w:rPr>
          <w:lang w:eastAsia="ja-JP"/>
        </w:rPr>
        <w:t> </w:t>
      </w:r>
      <w:r w:rsidR="00726AAE" w:rsidRPr="00A52AB8">
        <w:rPr>
          <w:lang w:eastAsia="ja-JP"/>
        </w:rPr>
        <w:t>==</w:t>
      </w:r>
      <w:r w:rsidR="00D47707" w:rsidRPr="00A52AB8">
        <w:rPr>
          <w:lang w:eastAsia="ja-JP"/>
        </w:rPr>
        <w:t> </w:t>
      </w:r>
      <w:r w:rsidRPr="00A52AB8">
        <w:rPr>
          <w:lang w:eastAsia="ja-JP"/>
        </w:rPr>
        <w:t>gFrame[ </w:t>
      </w:r>
      <w:r w:rsidR="0039392A" w:rsidRPr="00A52AB8">
        <w:rPr>
          <w:lang w:eastAsia="ja-JP"/>
        </w:rPr>
        <w:t>mapIdx </w:t>
      </w:r>
      <w:r w:rsidRPr="00A52AB8">
        <w:rPr>
          <w:lang w:eastAsia="ja-JP"/>
        </w:rPr>
        <w:t>][ yC ][ xC ] )</w:t>
      </w:r>
      <w:r w:rsidRPr="00A52AB8">
        <w:rPr>
          <w:lang w:eastAsia="ja-JP"/>
        </w:rPr>
        <w:br/>
      </w:r>
      <w:r w:rsidRPr="00A52AB8">
        <w:rPr>
          <w:lang w:eastAsia="ja-JP"/>
        </w:rPr>
        <w:tab/>
      </w:r>
      <w:r w:rsidRPr="00A52AB8">
        <w:rPr>
          <w:lang w:eastAsia="ja-JP"/>
        </w:rPr>
        <w:tab/>
      </w:r>
      <w:r w:rsidRPr="00A52AB8">
        <w:rPr>
          <w:lang w:eastAsia="ja-JP"/>
        </w:rPr>
        <w:tab/>
        <w:t>isDuplicate</w:t>
      </w:r>
      <w:r w:rsidR="00D47707" w:rsidRPr="00A52AB8">
        <w:rPr>
          <w:lang w:eastAsia="ja-JP"/>
        </w:rPr>
        <w:t> = </w:t>
      </w:r>
      <w:r w:rsidRPr="00A52AB8">
        <w:rPr>
          <w:lang w:eastAsia="ja-JP"/>
        </w:rPr>
        <w:t>1</w:t>
      </w:r>
    </w:p>
    <w:p w14:paraId="024558D4" w14:textId="48FE6DED" w:rsidR="006D74F2" w:rsidRPr="00A52AB8" w:rsidRDefault="006D74F2" w:rsidP="005C26E9">
      <w:pPr>
        <w:pStyle w:val="a4"/>
        <w:numPr>
          <w:ilvl w:val="3"/>
          <w:numId w:val="19"/>
        </w:numPr>
      </w:pPr>
      <w:bookmarkStart w:id="6377" w:name="_Toc48750425"/>
      <w:bookmarkStart w:id="6378" w:name="_Toc48753399"/>
      <w:bookmarkStart w:id="6379" w:name="_Toc48753934"/>
      <w:bookmarkStart w:id="6380" w:name="_Toc48821341"/>
      <w:bookmarkStart w:id="6381" w:name="_Toc48822686"/>
      <w:bookmarkStart w:id="6382" w:name="_Toc49013064"/>
      <w:bookmarkStart w:id="6383" w:name="_Toc49013609"/>
      <w:bookmarkStart w:id="6384" w:name="_Toc49014726"/>
      <w:bookmarkStart w:id="6385" w:name="_Toc49095962"/>
      <w:bookmarkStart w:id="6386" w:name="_Toc47685853"/>
      <w:bookmarkStart w:id="6387" w:name="_Ref38890489"/>
      <w:bookmarkEnd w:id="6377"/>
      <w:bookmarkEnd w:id="6378"/>
      <w:bookmarkEnd w:id="6379"/>
      <w:bookmarkEnd w:id="6380"/>
      <w:bookmarkEnd w:id="6381"/>
      <w:bookmarkEnd w:id="6382"/>
      <w:bookmarkEnd w:id="6383"/>
      <w:bookmarkEnd w:id="6384"/>
      <w:bookmarkEnd w:id="6385"/>
      <w:bookmarkEnd w:id="6386"/>
      <w:r w:rsidRPr="00A52AB8">
        <w:t xml:space="preserve">Reconstruction of points for </w:t>
      </w:r>
      <w:r w:rsidR="006012AF" w:rsidRPr="00A52AB8">
        <w:t>PROJECTED</w:t>
      </w:r>
      <w:r w:rsidRPr="00A52AB8">
        <w:t xml:space="preserve"> patches </w:t>
      </w:r>
      <w:r w:rsidR="000C6D24" w:rsidRPr="00A52AB8">
        <w:t>w</w:t>
      </w:r>
      <w:r w:rsidRPr="00A52AB8">
        <w:t>hen asps_pixel_deinterleaving_enabled_flag is equal to 1</w:t>
      </w:r>
      <w:bookmarkEnd w:id="6387"/>
    </w:p>
    <w:p w14:paraId="63CBF117" w14:textId="6C94CA14" w:rsidR="00D26830" w:rsidRPr="00A52AB8" w:rsidRDefault="00D26830" w:rsidP="00D26830">
      <w:pPr>
        <w:rPr>
          <w:lang w:eastAsia="ja-JP"/>
        </w:rPr>
      </w:pPr>
      <w:r w:rsidRPr="00A52AB8">
        <w:rPr>
          <w:lang w:eastAsia="ja-JP"/>
        </w:rPr>
        <w:t xml:space="preserve">The pixel deinterleaving process consists of two stages, a deinterleaving stage and a filling stage. During the deinterleaving stage, two surfaces are constructed, an inner and an outer surface. In the filling stage, points between the inner and outer surface are generated. An example is shown in </w:t>
      </w:r>
      <w:r w:rsidRPr="00496A4D">
        <w:rPr>
          <w:lang w:eastAsia="ja-JP"/>
        </w:rPr>
        <w:fldChar w:fldCharType="begin"/>
      </w:r>
      <w:r w:rsidRPr="00A52AB8">
        <w:rPr>
          <w:lang w:eastAsia="ja-JP"/>
        </w:rPr>
        <w:instrText xml:space="preserve"> REF _Ref50155139 \h </w:instrText>
      </w:r>
      <w:r w:rsidR="00007BE2" w:rsidRPr="00A52AB8">
        <w:rPr>
          <w:lang w:eastAsia="ja-JP"/>
        </w:rPr>
        <w:instrText xml:space="preserve"> \* MERGEFORMAT </w:instrText>
      </w:r>
      <w:r w:rsidRPr="00496A4D">
        <w:rPr>
          <w:lang w:eastAsia="ja-JP"/>
        </w:rPr>
      </w:r>
      <w:r w:rsidRPr="00496A4D">
        <w:rPr>
          <w:lang w:eastAsia="ja-JP"/>
        </w:rPr>
        <w:fldChar w:fldCharType="separate"/>
      </w:r>
      <w:r w:rsidR="00507A67" w:rsidRPr="00507A67">
        <w:rPr>
          <w:rFonts w:cs="Calibri"/>
          <w:bCs/>
        </w:rPr>
        <w:t>Figure H-</w:t>
      </w:r>
      <w:r w:rsidR="00507A67">
        <w:rPr>
          <w:rFonts w:cs="Calibri"/>
          <w:bCs/>
        </w:rPr>
        <w:t>1</w:t>
      </w:r>
      <w:r w:rsidRPr="00496A4D">
        <w:rPr>
          <w:lang w:eastAsia="ja-JP"/>
        </w:rPr>
        <w:fldChar w:fldCharType="end"/>
      </w:r>
      <w:r w:rsidRPr="00A52AB8">
        <w:rPr>
          <w:lang w:eastAsia="ja-JP"/>
        </w:rPr>
        <w:t>.</w:t>
      </w:r>
    </w:p>
    <w:p w14:paraId="068BE4AB" w14:textId="051EB34B" w:rsidR="00D26830" w:rsidRPr="00A52AB8" w:rsidRDefault="00D26830" w:rsidP="00007BE2">
      <w:pPr>
        <w:keepNext/>
      </w:pPr>
      <w:r w:rsidRPr="00496A4D">
        <w:rPr>
          <w:noProof/>
        </w:rPr>
        <w:drawing>
          <wp:inline distT="0" distB="0" distL="0" distR="0" wp14:anchorId="38B08DDE" wp14:editId="391CA0EB">
            <wp:extent cx="6192520" cy="2413635"/>
            <wp:effectExtent l="0" t="0" r="0" b="571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6192520" cy="2413635"/>
                    </a:xfrm>
                    <a:prstGeom prst="rect">
                      <a:avLst/>
                    </a:prstGeom>
                    <a:noFill/>
                    <a:ln>
                      <a:noFill/>
                    </a:ln>
                  </pic:spPr>
                </pic:pic>
              </a:graphicData>
            </a:graphic>
          </wp:inline>
        </w:drawing>
      </w:r>
    </w:p>
    <w:p w14:paraId="1E3679DF" w14:textId="7771E4F5" w:rsidR="00D26830" w:rsidRPr="00A52AB8" w:rsidRDefault="00D26830" w:rsidP="00D26830">
      <w:pPr>
        <w:pStyle w:val="Caption"/>
        <w:rPr>
          <w:rFonts w:ascii="Cambria" w:hAnsi="Cambria"/>
          <w:color w:val="000000" w:themeColor="text1"/>
        </w:rPr>
      </w:pPr>
      <w:bookmarkStart w:id="6388" w:name="_Ref50155139"/>
      <w:bookmarkStart w:id="6389" w:name="_Ref50153980"/>
      <w:r w:rsidRPr="00A52AB8">
        <w:rPr>
          <w:rFonts w:ascii="Cambria" w:hAnsi="Cambria" w:cs="Calibri"/>
          <w:bCs w:val="0"/>
        </w:rPr>
        <w:t>Figure H-</w:t>
      </w:r>
      <w:r w:rsidRPr="00496A4D">
        <w:rPr>
          <w:rFonts w:ascii="Cambria" w:hAnsi="Cambria" w:cs="Calibri"/>
          <w:b w:val="0"/>
        </w:rPr>
        <w:fldChar w:fldCharType="begin"/>
      </w:r>
      <w:r w:rsidRPr="00A52AB8">
        <w:rPr>
          <w:rFonts w:ascii="Cambria" w:hAnsi="Cambria" w:cs="Calibri"/>
          <w:bCs w:val="0"/>
        </w:rPr>
        <w:instrText xml:space="preserve"> SEQ Figure \* ARABIC \r 1</w:instrText>
      </w:r>
      <w:r w:rsidRPr="00496A4D">
        <w:rPr>
          <w:rFonts w:ascii="Cambria" w:hAnsi="Cambria" w:cs="Calibri"/>
          <w:b w:val="0"/>
        </w:rPr>
        <w:fldChar w:fldCharType="separate"/>
      </w:r>
      <w:r w:rsidR="00507A67">
        <w:rPr>
          <w:rFonts w:ascii="Cambria" w:hAnsi="Cambria" w:cs="Calibri"/>
          <w:bCs w:val="0"/>
          <w:noProof/>
        </w:rPr>
        <w:t>1</w:t>
      </w:r>
      <w:r w:rsidRPr="00496A4D">
        <w:rPr>
          <w:rFonts w:ascii="Cambria" w:hAnsi="Cambria" w:cs="Calibri"/>
          <w:b w:val="0"/>
        </w:rPr>
        <w:fldChar w:fldCharType="end"/>
      </w:r>
      <w:bookmarkEnd w:id="6388"/>
      <w:r w:rsidRPr="00A52AB8">
        <w:rPr>
          <w:rFonts w:ascii="Cambria" w:hAnsi="Cambria" w:cs="Calibri"/>
          <w:bCs w:val="0"/>
        </w:rPr>
        <w:t> </w:t>
      </w:r>
      <w:r w:rsidRPr="00A52AB8">
        <w:rPr>
          <w:rFonts w:ascii="Cambria" w:hAnsi="Cambria"/>
        </w:rPr>
        <w:t>– Example of pixel deinterleaving process</w:t>
      </w:r>
    </w:p>
    <w:bookmarkEnd w:id="6389"/>
    <w:p w14:paraId="058A41F7" w14:textId="586CCF16" w:rsidR="00070FB2" w:rsidRPr="00A52AB8" w:rsidRDefault="00070FB2" w:rsidP="006D74F2">
      <w:pPr>
        <w:rPr>
          <w:lang w:eastAsia="ja-JP"/>
        </w:rPr>
      </w:pPr>
      <w:r w:rsidRPr="00A52AB8">
        <w:rPr>
          <w:lang w:eastAsia="ja-JP"/>
        </w:rPr>
        <w:t>Inputs to this process are:</w:t>
      </w:r>
    </w:p>
    <w:p w14:paraId="33D82219" w14:textId="7EF642D2" w:rsidR="00EA17B6" w:rsidRPr="00A52AB8" w:rsidRDefault="00EA17B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variable pointCnt, </w:t>
      </w:r>
      <w:r w:rsidR="005201C0" w:rsidRPr="00A52AB8">
        <w:rPr>
          <w:color w:val="000000" w:themeColor="text1"/>
        </w:rPr>
        <w:t xml:space="preserve">specifying </w:t>
      </w:r>
      <w:r w:rsidRPr="00A52AB8">
        <w:rPr>
          <w:color w:val="000000" w:themeColor="text1"/>
        </w:rPr>
        <w:t xml:space="preserve">the number of </w:t>
      </w:r>
      <w:r w:rsidR="005201C0" w:rsidRPr="00A52AB8">
        <w:rPr>
          <w:color w:val="000000" w:themeColor="text1"/>
        </w:rPr>
        <w:t xml:space="preserve">reconstructed </w:t>
      </w:r>
      <w:r w:rsidRPr="00A52AB8">
        <w:rPr>
          <w:color w:val="000000" w:themeColor="text1"/>
        </w:rPr>
        <w:t>points in the reconstructed point cloud frame,</w:t>
      </w:r>
    </w:p>
    <w:p w14:paraId="05A0F4B9" w14:textId="77777777" w:rsidR="00EA17B6" w:rsidRPr="00A52AB8" w:rsidRDefault="00EA17B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variable pIdx, specifying the index of the patch,</w:t>
      </w:r>
    </w:p>
    <w:p w14:paraId="71420994" w14:textId="77777777" w:rsidR="000678AC" w:rsidRPr="00A52AB8" w:rsidRDefault="000678AC" w:rsidP="000678AC">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variable x, specifying the x coordinate of a point on the atlas frame,</w:t>
      </w:r>
    </w:p>
    <w:p w14:paraId="0D765501" w14:textId="77777777" w:rsidR="000678AC" w:rsidRPr="00A52AB8" w:rsidRDefault="000678AC" w:rsidP="000678AC">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variable y, specifying the y coordinate of a point on the atlas frame,</w:t>
      </w:r>
    </w:p>
    <w:p w14:paraId="4539718C" w14:textId="4CAAFD06" w:rsidR="00C50B78" w:rsidRPr="00A52AB8" w:rsidRDefault="00C50B7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w:t>
      </w:r>
      <w:r w:rsidR="005201C0" w:rsidRPr="00A52AB8">
        <w:rPr>
          <w:color w:val="000000" w:themeColor="text1"/>
        </w:rPr>
        <w:t xml:space="preserve"> 1D array</w:t>
      </w:r>
      <w:r w:rsidRPr="00A52AB8">
        <w:rPr>
          <w:color w:val="000000" w:themeColor="text1"/>
        </w:rPr>
        <w:t xml:space="preserve"> pos3D</w:t>
      </w:r>
      <w:r w:rsidR="00054F18" w:rsidRPr="00A52AB8">
        <w:rPr>
          <w:color w:val="000000" w:themeColor="text1"/>
        </w:rPr>
        <w:t>,</w:t>
      </w:r>
      <w:r w:rsidR="005201C0" w:rsidRPr="00A52AB8">
        <w:rPr>
          <w:color w:val="000000" w:themeColor="text1"/>
        </w:rPr>
        <w:t xml:space="preserve"> of size 3</w:t>
      </w:r>
      <w:r w:rsidRPr="00A52AB8">
        <w:rPr>
          <w:color w:val="000000" w:themeColor="text1"/>
        </w:rPr>
        <w:t xml:space="preserve">, </w:t>
      </w:r>
      <w:r w:rsidR="005201C0" w:rsidRPr="00A52AB8">
        <w:rPr>
          <w:color w:val="000000" w:themeColor="text1"/>
        </w:rPr>
        <w:t xml:space="preserve">specifying </w:t>
      </w:r>
      <w:r w:rsidRPr="00A52AB8">
        <w:rPr>
          <w:color w:val="000000" w:themeColor="text1"/>
        </w:rPr>
        <w:t xml:space="preserve">the </w:t>
      </w:r>
      <w:r w:rsidR="005201C0" w:rsidRPr="00A52AB8">
        <w:rPr>
          <w:color w:val="000000" w:themeColor="text1"/>
        </w:rPr>
        <w:t>3D</w:t>
      </w:r>
      <w:r w:rsidRPr="00A52AB8">
        <w:rPr>
          <w:color w:val="000000" w:themeColor="text1"/>
        </w:rPr>
        <w:t xml:space="preserve"> coordinates of a point,</w:t>
      </w:r>
    </w:p>
    <w:p w14:paraId="47C5DF13" w14:textId="7EC9AF89" w:rsidR="00C50B78" w:rsidRPr="00A52AB8" w:rsidRDefault="005201C0"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1D </w:t>
      </w:r>
      <w:r w:rsidR="00C50B78" w:rsidRPr="00A52AB8">
        <w:rPr>
          <w:color w:val="000000" w:themeColor="text1"/>
        </w:rPr>
        <w:t>array pointToPatch</w:t>
      </w:r>
      <w:r w:rsidR="00054F18" w:rsidRPr="00A52AB8">
        <w:rPr>
          <w:color w:val="000000" w:themeColor="text1"/>
        </w:rPr>
        <w:t>,</w:t>
      </w:r>
      <w:r w:rsidRPr="00A52AB8">
        <w:rPr>
          <w:color w:val="000000" w:themeColor="text1"/>
        </w:rPr>
        <w:t xml:space="preserve"> of size pointCnt</w:t>
      </w:r>
      <w:r w:rsidR="00C50B78" w:rsidRPr="00A52AB8">
        <w:rPr>
          <w:color w:val="000000" w:themeColor="text1"/>
        </w:rPr>
        <w:t xml:space="preserve">, </w:t>
      </w:r>
      <w:r w:rsidRPr="00A52AB8">
        <w:rPr>
          <w:color w:val="000000" w:themeColor="text1"/>
        </w:rPr>
        <w:t xml:space="preserve">specifying </w:t>
      </w:r>
      <w:r w:rsidR="00C50B78" w:rsidRPr="00A52AB8">
        <w:rPr>
          <w:color w:val="000000" w:themeColor="text1"/>
        </w:rPr>
        <w:t xml:space="preserve">the patch index for </w:t>
      </w:r>
      <w:r w:rsidRPr="00A52AB8">
        <w:rPr>
          <w:color w:val="000000" w:themeColor="text1"/>
        </w:rPr>
        <w:t>each</w:t>
      </w:r>
      <w:r w:rsidR="00C50B78" w:rsidRPr="00A52AB8">
        <w:rPr>
          <w:color w:val="000000" w:themeColor="text1"/>
        </w:rPr>
        <w:t xml:space="preserve"> reconstructed point </w:t>
      </w:r>
      <w:r w:rsidRPr="00A52AB8">
        <w:rPr>
          <w:color w:val="000000" w:themeColor="text1"/>
        </w:rPr>
        <w:t>in the reconstructed point cloud frame</w:t>
      </w:r>
      <w:r w:rsidR="00C50B78" w:rsidRPr="00A52AB8">
        <w:rPr>
          <w:color w:val="000000" w:themeColor="text1"/>
        </w:rPr>
        <w:t>,</w:t>
      </w:r>
    </w:p>
    <w:p w14:paraId="0D0BC63B" w14:textId="229E15E4" w:rsidR="00C50B78" w:rsidRPr="00A52AB8" w:rsidRDefault="00C50B7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w:t>
      </w:r>
      <w:r w:rsidR="005201C0" w:rsidRPr="00A52AB8">
        <w:rPr>
          <w:color w:val="000000" w:themeColor="text1"/>
        </w:rPr>
        <w:t xml:space="preserve"> 2D</w:t>
      </w:r>
      <w:r w:rsidRPr="00A52AB8">
        <w:rPr>
          <w:color w:val="000000" w:themeColor="text1"/>
        </w:rPr>
        <w:t xml:space="preserve"> array pointToPixel, </w:t>
      </w:r>
      <w:r w:rsidR="00054F18" w:rsidRPr="00A52AB8">
        <w:rPr>
          <w:color w:val="000000" w:themeColor="text1"/>
        </w:rPr>
        <w:t xml:space="preserve">of size pointCnt × 2, </w:t>
      </w:r>
      <w:r w:rsidR="005201C0" w:rsidRPr="00A52AB8">
        <w:rPr>
          <w:color w:val="000000" w:themeColor="text1"/>
        </w:rPr>
        <w:t xml:space="preserve">specifying </w:t>
      </w:r>
      <w:r w:rsidRPr="00A52AB8">
        <w:rPr>
          <w:color w:val="000000" w:themeColor="text1"/>
        </w:rPr>
        <w:t>the atlas coordinates for</w:t>
      </w:r>
      <w:r w:rsidR="005201C0" w:rsidRPr="00A52AB8">
        <w:rPr>
          <w:color w:val="000000" w:themeColor="text1"/>
        </w:rPr>
        <w:t xml:space="preserve"> each</w:t>
      </w:r>
      <w:r w:rsidRPr="00A52AB8">
        <w:rPr>
          <w:color w:val="000000" w:themeColor="text1"/>
        </w:rPr>
        <w:t xml:space="preserve"> reconstructed point </w:t>
      </w:r>
      <w:r w:rsidR="005201C0" w:rsidRPr="00A52AB8">
        <w:rPr>
          <w:color w:val="000000" w:themeColor="text1"/>
        </w:rPr>
        <w:t>in the reconstructed point cloud frame</w:t>
      </w:r>
      <w:r w:rsidR="00DE3AA8" w:rsidRPr="00A52AB8">
        <w:rPr>
          <w:color w:val="000000" w:themeColor="text1"/>
        </w:rPr>
        <w:t>,</w:t>
      </w:r>
    </w:p>
    <w:p w14:paraId="17C06F3F" w14:textId="325C0468" w:rsidR="00C50B78" w:rsidRPr="00A52AB8" w:rsidRDefault="005201C0"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1D array attrPresent</w:t>
      </w:r>
      <w:r w:rsidR="00054F18" w:rsidRPr="00A52AB8">
        <w:rPr>
          <w:color w:val="000000" w:themeColor="text1"/>
        </w:rPr>
        <w:t>,</w:t>
      </w:r>
      <w:r w:rsidRPr="00A52AB8">
        <w:rPr>
          <w:color w:val="000000" w:themeColor="text1"/>
        </w:rPr>
        <w:t xml:space="preserve"> of size pointCnt</w:t>
      </w:r>
      <w:r w:rsidR="00C50B78" w:rsidRPr="00A52AB8">
        <w:rPr>
          <w:color w:val="000000" w:themeColor="text1"/>
        </w:rPr>
        <w:t xml:space="preserve">, specifying whether the attribute values for </w:t>
      </w:r>
      <w:r w:rsidRPr="00A52AB8">
        <w:rPr>
          <w:color w:val="000000" w:themeColor="text1"/>
        </w:rPr>
        <w:t xml:space="preserve">each </w:t>
      </w:r>
      <w:r w:rsidR="00C50B78" w:rsidRPr="00A52AB8">
        <w:rPr>
          <w:color w:val="000000" w:themeColor="text1"/>
        </w:rPr>
        <w:t>reconstructed point are present in the attribute video bitstream,</w:t>
      </w:r>
    </w:p>
    <w:p w14:paraId="4C788500" w14:textId="3F37DBAB" w:rsidR="00EA17B6" w:rsidRPr="00A52AB8" w:rsidRDefault="0039392A"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2D </w:t>
      </w:r>
      <w:r w:rsidR="00EA17B6" w:rsidRPr="00A52AB8">
        <w:rPr>
          <w:color w:val="000000" w:themeColor="text1"/>
        </w:rPr>
        <w:t xml:space="preserve">array oFrame, </w:t>
      </w:r>
      <w:r w:rsidRPr="00A52AB8">
        <w:rPr>
          <w:color w:val="000000" w:themeColor="text1"/>
        </w:rPr>
        <w:t>of size asps_frame_height × asps_frame_width, s</w:t>
      </w:r>
      <w:r w:rsidR="0011542D" w:rsidRPr="00A52AB8">
        <w:rPr>
          <w:color w:val="000000" w:themeColor="text1"/>
        </w:rPr>
        <w:t>pe</w:t>
      </w:r>
      <w:r w:rsidRPr="00A52AB8">
        <w:rPr>
          <w:color w:val="000000" w:themeColor="text1"/>
        </w:rPr>
        <w:t xml:space="preserve">cifying </w:t>
      </w:r>
      <w:r w:rsidR="00EA17B6" w:rsidRPr="00A52AB8">
        <w:rPr>
          <w:color w:val="000000" w:themeColor="text1"/>
        </w:rPr>
        <w:t xml:space="preserve">the decoded occupancy frames in </w:t>
      </w:r>
      <w:r w:rsidR="0065222A" w:rsidRPr="00A52AB8">
        <w:rPr>
          <w:color w:val="000000" w:themeColor="text1"/>
        </w:rPr>
        <w:t xml:space="preserve">the </w:t>
      </w:r>
      <w:r w:rsidR="00EA17B6" w:rsidRPr="00A52AB8">
        <w:rPr>
          <w:color w:val="000000" w:themeColor="text1"/>
        </w:rPr>
        <w:t>nominal format,</w:t>
      </w:r>
    </w:p>
    <w:p w14:paraId="47B0DFD3" w14:textId="5CF301FE" w:rsidR="0050235C" w:rsidRPr="00A52AB8" w:rsidRDefault="0039392A"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2D </w:t>
      </w:r>
      <w:r w:rsidR="00EA17B6" w:rsidRPr="00A52AB8">
        <w:rPr>
          <w:color w:val="000000" w:themeColor="text1"/>
        </w:rPr>
        <w:t xml:space="preserve">array gFrame, </w:t>
      </w:r>
      <w:r w:rsidRPr="00A52AB8">
        <w:rPr>
          <w:color w:val="000000" w:themeColor="text1"/>
        </w:rPr>
        <w:t>of size asps_frame_height × asps_frame_width, s</w:t>
      </w:r>
      <w:r w:rsidR="0011542D" w:rsidRPr="00A52AB8">
        <w:rPr>
          <w:color w:val="000000" w:themeColor="text1"/>
        </w:rPr>
        <w:t>pe</w:t>
      </w:r>
      <w:r w:rsidRPr="00A52AB8">
        <w:rPr>
          <w:color w:val="000000" w:themeColor="text1"/>
        </w:rPr>
        <w:t xml:space="preserve">cifying </w:t>
      </w:r>
      <w:r w:rsidR="00EA17B6" w:rsidRPr="00A52AB8">
        <w:rPr>
          <w:color w:val="000000" w:themeColor="text1"/>
        </w:rPr>
        <w:t xml:space="preserve">the decoded geometry frames in </w:t>
      </w:r>
      <w:r w:rsidR="0065222A" w:rsidRPr="00A52AB8">
        <w:rPr>
          <w:color w:val="000000" w:themeColor="text1"/>
        </w:rPr>
        <w:t xml:space="preserve">the </w:t>
      </w:r>
      <w:r w:rsidR="00EA17B6" w:rsidRPr="00A52AB8">
        <w:rPr>
          <w:color w:val="000000" w:themeColor="text1"/>
        </w:rPr>
        <w:t>nominal format,</w:t>
      </w:r>
      <w:r w:rsidRPr="00A52AB8">
        <w:rPr>
          <w:color w:val="000000" w:themeColor="text1"/>
        </w:rPr>
        <w:t xml:space="preserve"> </w:t>
      </w:r>
      <w:r w:rsidR="00EA17B6" w:rsidRPr="00A52AB8">
        <w:rPr>
          <w:color w:val="000000" w:themeColor="text1"/>
        </w:rPr>
        <w:t>and</w:t>
      </w:r>
    </w:p>
    <w:p w14:paraId="15FC35FF" w14:textId="71A04310" w:rsidR="00EA17B6" w:rsidRPr="00A52AB8" w:rsidRDefault="0039392A"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2D </w:t>
      </w:r>
      <w:r w:rsidR="00EA17B6" w:rsidRPr="00A52AB8">
        <w:rPr>
          <w:color w:val="000000" w:themeColor="text1"/>
        </w:rPr>
        <w:t xml:space="preserve">array recPcGeo, </w:t>
      </w:r>
      <w:r w:rsidRPr="00A52AB8">
        <w:rPr>
          <w:color w:val="000000" w:themeColor="text1"/>
        </w:rPr>
        <w:t xml:space="preserve">of size pointCnt × 3, </w:t>
      </w:r>
      <w:r w:rsidR="00CD2815" w:rsidRPr="00A52AB8">
        <w:rPr>
          <w:color w:val="000000" w:themeColor="text1"/>
        </w:rPr>
        <w:t>s</w:t>
      </w:r>
      <w:r w:rsidR="0011542D" w:rsidRPr="00A52AB8">
        <w:rPr>
          <w:color w:val="000000" w:themeColor="text1"/>
        </w:rPr>
        <w:t>pe</w:t>
      </w:r>
      <w:r w:rsidR="00CD2815" w:rsidRPr="00A52AB8">
        <w:rPr>
          <w:color w:val="000000" w:themeColor="text1"/>
        </w:rPr>
        <w:t>cifying</w:t>
      </w:r>
      <w:r w:rsidRPr="00A52AB8">
        <w:rPr>
          <w:color w:val="000000" w:themeColor="text1"/>
        </w:rPr>
        <w:t xml:space="preserve"> </w:t>
      </w:r>
      <w:r w:rsidR="00EA17B6" w:rsidRPr="00A52AB8">
        <w:rPr>
          <w:color w:val="000000" w:themeColor="text1"/>
        </w:rPr>
        <w:t>coordinates of points in the reconstructed point cloud frame.</w:t>
      </w:r>
    </w:p>
    <w:p w14:paraId="07B03D53" w14:textId="77777777" w:rsidR="00EA17B6" w:rsidRPr="00A52AB8" w:rsidRDefault="00EA17B6" w:rsidP="00EA17B6">
      <w:pPr>
        <w:rPr>
          <w:color w:val="000000" w:themeColor="text1"/>
        </w:rPr>
      </w:pPr>
      <w:r w:rsidRPr="00A52AB8">
        <w:rPr>
          <w:color w:val="000000" w:themeColor="text1"/>
        </w:rPr>
        <w:t>Outputs of this process are:</w:t>
      </w:r>
    </w:p>
    <w:p w14:paraId="0F2D49C9" w14:textId="5026534D" w:rsidR="00EA17B6" w:rsidRPr="00A52AB8" w:rsidRDefault="00054F1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the </w:t>
      </w:r>
      <w:r w:rsidR="00EA17B6" w:rsidRPr="00A52AB8">
        <w:rPr>
          <w:color w:val="000000" w:themeColor="text1"/>
        </w:rPr>
        <w:t>modified variable pointCnt</w:t>
      </w:r>
      <w:r w:rsidR="00B902B7" w:rsidRPr="00A52AB8">
        <w:rPr>
          <w:color w:val="000000" w:themeColor="text1"/>
        </w:rPr>
        <w:t>,</w:t>
      </w:r>
    </w:p>
    <w:p w14:paraId="57745313" w14:textId="3E3D4490" w:rsidR="000B2458" w:rsidRPr="00A52AB8" w:rsidRDefault="00054F1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the </w:t>
      </w:r>
      <w:r w:rsidR="00EA17B6" w:rsidRPr="00A52AB8">
        <w:rPr>
          <w:color w:val="000000" w:themeColor="text1"/>
        </w:rPr>
        <w:t>modified array pointToPatch</w:t>
      </w:r>
      <w:r w:rsidR="00B902B7" w:rsidRPr="00A52AB8">
        <w:rPr>
          <w:color w:val="000000" w:themeColor="text1"/>
        </w:rPr>
        <w:t>,</w:t>
      </w:r>
    </w:p>
    <w:p w14:paraId="24A3DC71" w14:textId="6E039D56" w:rsidR="000B2458" w:rsidRPr="00A52AB8" w:rsidRDefault="00054F1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the </w:t>
      </w:r>
      <w:r w:rsidR="000B2458" w:rsidRPr="00A52AB8">
        <w:rPr>
          <w:color w:val="000000" w:themeColor="text1"/>
        </w:rPr>
        <w:t>modified array pointToPixel,</w:t>
      </w:r>
    </w:p>
    <w:p w14:paraId="3D4C9B0A" w14:textId="49ABA6AD" w:rsidR="00EA17B6" w:rsidRPr="00A52AB8" w:rsidRDefault="00054F1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the </w:t>
      </w:r>
      <w:r w:rsidR="00EA17B6" w:rsidRPr="00A52AB8">
        <w:rPr>
          <w:color w:val="000000" w:themeColor="text1"/>
        </w:rPr>
        <w:t>modified array attrPresent</w:t>
      </w:r>
      <w:r w:rsidR="00B902B7" w:rsidRPr="00A52AB8">
        <w:rPr>
          <w:color w:val="000000" w:themeColor="text1"/>
        </w:rPr>
        <w:t>,</w:t>
      </w:r>
      <w:r w:rsidR="005E05F5" w:rsidRPr="00A52AB8">
        <w:rPr>
          <w:color w:val="000000" w:themeColor="text1"/>
        </w:rPr>
        <w:t xml:space="preserve"> and</w:t>
      </w:r>
    </w:p>
    <w:p w14:paraId="3EE4AD1E" w14:textId="6A22D2CA" w:rsidR="00EA17B6" w:rsidRPr="00A52AB8" w:rsidRDefault="00054F1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the </w:t>
      </w:r>
      <w:r w:rsidR="00EA17B6" w:rsidRPr="00A52AB8">
        <w:rPr>
          <w:color w:val="000000" w:themeColor="text1"/>
        </w:rPr>
        <w:t>modified array recPcGeo</w:t>
      </w:r>
      <w:r w:rsidR="005E05F5" w:rsidRPr="00A52AB8">
        <w:rPr>
          <w:color w:val="000000" w:themeColor="text1"/>
        </w:rPr>
        <w:t>.</w:t>
      </w:r>
    </w:p>
    <w:p w14:paraId="65D2339C" w14:textId="77777777" w:rsidR="005C73E6" w:rsidRPr="00A52AB8" w:rsidRDefault="005C73E6" w:rsidP="006D74F2">
      <w:pPr>
        <w:rPr>
          <w:color w:val="000000" w:themeColor="text1"/>
        </w:rPr>
      </w:pPr>
      <w:r w:rsidRPr="00A52AB8">
        <w:rPr>
          <w:color w:val="000000" w:themeColor="text1"/>
        </w:rPr>
        <w:t>The following applies:</w:t>
      </w:r>
    </w:p>
    <w:p w14:paraId="375EB15D" w14:textId="621A221F" w:rsidR="006D74F2" w:rsidRPr="00A52AB8" w:rsidRDefault="006F342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w:t>
      </w:r>
      <w:r w:rsidR="006D74F2" w:rsidRPr="00A52AB8">
        <w:rPr>
          <w:color w:val="000000" w:themeColor="text1"/>
        </w:rPr>
        <w:t xml:space="preserve"> variable validNeighbourCount and array depthNeighbours are initialized as follows:</w:t>
      </w:r>
    </w:p>
    <w:p w14:paraId="46C6FD39" w14:textId="7E6A5E61" w:rsidR="006D74F2" w:rsidRPr="00A52AB8" w:rsidRDefault="006B4B0A" w:rsidP="004A6049">
      <w:r w:rsidRPr="00A52AB8">
        <w:tab/>
      </w:r>
      <w:r w:rsidRPr="00A52AB8">
        <w:tab/>
      </w:r>
      <w:r w:rsidR="006D74F2" w:rsidRPr="00A52AB8">
        <w:t>validNeighbourCount</w:t>
      </w:r>
      <w:r w:rsidR="00D47707" w:rsidRPr="00A52AB8">
        <w:t> = </w:t>
      </w:r>
      <w:r w:rsidR="006D74F2" w:rsidRPr="00A52AB8">
        <w:t>0</w:t>
      </w:r>
      <w:r w:rsidR="006D74F2" w:rsidRPr="00A52AB8">
        <w:br/>
      </w:r>
      <w:r w:rsidRPr="00A52AB8">
        <w:tab/>
      </w:r>
      <w:r w:rsidRPr="00A52AB8">
        <w:tab/>
      </w:r>
      <w:r w:rsidR="006D74F2" w:rsidRPr="00A52AB8">
        <w:t>for( k</w:t>
      </w:r>
      <w:r w:rsidR="00D47707" w:rsidRPr="00A52AB8">
        <w:t> = </w:t>
      </w:r>
      <w:r w:rsidR="006D74F2" w:rsidRPr="00A52AB8">
        <w:t>0; k &lt; 4; k</w:t>
      </w:r>
      <w:r w:rsidR="00006CCF" w:rsidRPr="00A52AB8">
        <w:t>++ )</w:t>
      </w:r>
      <w:r w:rsidR="006D74F2" w:rsidRPr="00A52AB8">
        <w:br/>
      </w:r>
      <w:r w:rsidR="006D74F2" w:rsidRPr="00A52AB8">
        <w:tab/>
      </w:r>
      <w:r w:rsidRPr="00A52AB8">
        <w:tab/>
      </w:r>
      <w:r w:rsidRPr="00A52AB8">
        <w:tab/>
      </w:r>
      <w:r w:rsidR="006D74F2" w:rsidRPr="00A52AB8">
        <w:t>depthNeighbours</w:t>
      </w:r>
      <w:r w:rsidR="004B7314" w:rsidRPr="00A52AB8">
        <w:t>[ k ]</w:t>
      </w:r>
      <w:r w:rsidR="00D47707" w:rsidRPr="00A52AB8">
        <w:t> = </w:t>
      </w:r>
      <w:r w:rsidR="006D74F2" w:rsidRPr="00A52AB8">
        <w:t>0</w:t>
      </w:r>
    </w:p>
    <w:p w14:paraId="5AED55A3" w14:textId="77777777" w:rsidR="006D74F2" w:rsidRPr="00A52AB8"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The neighbours of the pixel </w:t>
      </w:r>
      <w:r w:rsidR="006F3428" w:rsidRPr="00A52AB8">
        <w:rPr>
          <w:color w:val="000000" w:themeColor="text1"/>
        </w:rPr>
        <w:t xml:space="preserve">( x, y ) </w:t>
      </w:r>
      <w:r w:rsidRPr="00A52AB8">
        <w:rPr>
          <w:color w:val="000000" w:themeColor="text1"/>
        </w:rPr>
        <w:t>that belong to the patch with index pIdx, are identified and their minimum and maximum geometry values are derived as follows:</w:t>
      </w:r>
    </w:p>
    <w:p w14:paraId="5DFB3790" w14:textId="72B7F251" w:rsidR="006D74F2" w:rsidRPr="00A52AB8" w:rsidRDefault="006D74F2" w:rsidP="004A6049">
      <w:pPr>
        <w:pStyle w:val="ListParagraph"/>
        <w:tabs>
          <w:tab w:val="clear" w:pos="403"/>
          <w:tab w:val="left" w:pos="360"/>
          <w:tab w:val="left" w:pos="720"/>
          <w:tab w:val="left" w:pos="1080"/>
          <w:tab w:val="left" w:pos="1440"/>
          <w:tab w:val="left" w:pos="1800"/>
        </w:tabs>
        <w:ind w:leftChars="0" w:left="720"/>
        <w:rPr>
          <w:color w:val="000000" w:themeColor="text1"/>
        </w:rPr>
      </w:pPr>
      <w:r w:rsidRPr="00A52AB8">
        <w:rPr>
          <w:color w:val="000000" w:themeColor="text1"/>
        </w:rPr>
        <w:t>minDepth</w:t>
      </w:r>
      <w:r w:rsidR="00D47707" w:rsidRPr="00A52AB8">
        <w:rPr>
          <w:color w:val="000000" w:themeColor="text1"/>
        </w:rPr>
        <w:t> = </w:t>
      </w:r>
      <w:r w:rsidRPr="00A52AB8">
        <w:rPr>
          <w:color w:val="000000" w:themeColor="text1"/>
        </w:rPr>
        <w:t>po</w:t>
      </w:r>
      <w:r w:rsidR="00C719CB" w:rsidRPr="00A52AB8">
        <w:rPr>
          <w:color w:val="000000" w:themeColor="text1"/>
        </w:rPr>
        <w:t>s</w:t>
      </w:r>
      <w:r w:rsidRPr="00A52AB8">
        <w:rPr>
          <w:color w:val="000000" w:themeColor="text1"/>
        </w:rPr>
        <w:t>3D[ </w:t>
      </w:r>
      <w:r w:rsidR="00451935" w:rsidRPr="00A52AB8">
        <w:rPr>
          <w:color w:val="000000" w:themeColor="text1"/>
        </w:rPr>
        <w:t>Atlas</w:t>
      </w:r>
      <w:r w:rsidR="00254895" w:rsidRPr="00A52AB8">
        <w:rPr>
          <w:color w:val="000000" w:themeColor="text1"/>
        </w:rPr>
        <w:t>PatchAxisD</w:t>
      </w:r>
      <w:r w:rsidRPr="00A52AB8">
        <w:rPr>
          <w:color w:val="000000" w:themeColor="text1"/>
        </w:rPr>
        <w:t>[ pIdx ] ]</w:t>
      </w:r>
      <w:r w:rsidRPr="00A52AB8">
        <w:rPr>
          <w:color w:val="000000" w:themeColor="text1"/>
        </w:rPr>
        <w:br/>
        <w:t>maxDepth</w:t>
      </w:r>
      <w:r w:rsidR="00D47707" w:rsidRPr="00A52AB8">
        <w:rPr>
          <w:color w:val="000000" w:themeColor="text1"/>
        </w:rPr>
        <w:t> = </w:t>
      </w:r>
      <w:r w:rsidRPr="00A52AB8">
        <w:rPr>
          <w:color w:val="000000" w:themeColor="text1"/>
        </w:rPr>
        <w:t>po</w:t>
      </w:r>
      <w:r w:rsidR="00C719CB" w:rsidRPr="00A52AB8">
        <w:rPr>
          <w:color w:val="000000" w:themeColor="text1"/>
        </w:rPr>
        <w:t>s</w:t>
      </w:r>
      <w:r w:rsidRPr="00A52AB8">
        <w:rPr>
          <w:color w:val="000000" w:themeColor="text1"/>
        </w:rPr>
        <w:t>3D[ </w:t>
      </w:r>
      <w:r w:rsidR="00451935" w:rsidRPr="00A52AB8">
        <w:rPr>
          <w:color w:val="000000" w:themeColor="text1"/>
        </w:rPr>
        <w:t>Atlas</w:t>
      </w:r>
      <w:r w:rsidR="00254895" w:rsidRPr="00A52AB8">
        <w:rPr>
          <w:color w:val="000000" w:themeColor="text1"/>
        </w:rPr>
        <w:t>PatchAxisD</w:t>
      </w:r>
      <w:r w:rsidRPr="00A52AB8">
        <w:rPr>
          <w:color w:val="000000" w:themeColor="text1"/>
        </w:rPr>
        <w:t>[ pIdx ] ]</w:t>
      </w:r>
    </w:p>
    <w:p w14:paraId="5FFAF53B" w14:textId="74F3DABA" w:rsidR="006D74F2" w:rsidRPr="00A52AB8" w:rsidRDefault="006D74F2" w:rsidP="004A6049">
      <w:pPr>
        <w:tabs>
          <w:tab w:val="clear" w:pos="403"/>
          <w:tab w:val="clear" w:pos="806"/>
          <w:tab w:val="clear" w:pos="1210"/>
          <w:tab w:val="clear" w:pos="1613"/>
          <w:tab w:val="clear" w:pos="2016"/>
          <w:tab w:val="clear" w:pos="2419"/>
          <w:tab w:val="clear" w:pos="2822"/>
          <w:tab w:val="clear" w:pos="3226"/>
          <w:tab w:val="left" w:pos="360"/>
          <w:tab w:val="left" w:pos="720"/>
          <w:tab w:val="left" w:pos="1080"/>
          <w:tab w:val="left" w:pos="1440"/>
          <w:tab w:val="left" w:pos="1800"/>
          <w:tab w:val="left" w:pos="2160"/>
        </w:tabs>
        <w:ind w:left="720"/>
        <w:jc w:val="left"/>
        <w:rPr>
          <w:rFonts w:eastAsia="Malgun Gothic"/>
          <w:color w:val="000000" w:themeColor="text1"/>
        </w:rPr>
      </w:pPr>
      <w:r w:rsidRPr="00A52AB8">
        <w:rPr>
          <w:lang w:eastAsia="ja-JP"/>
        </w:rPr>
        <w:t>if( x</w:t>
      </w:r>
      <w:r w:rsidR="00C27CC5" w:rsidRPr="00A52AB8">
        <w:rPr>
          <w:lang w:eastAsia="ja-JP"/>
        </w:rPr>
        <w:t> </w:t>
      </w:r>
      <w:r w:rsidRPr="00A52AB8">
        <w:rPr>
          <w:lang w:eastAsia="ja-JP"/>
        </w:rPr>
        <w:t>&gt;</w:t>
      </w:r>
      <w:r w:rsidR="00C27CC5" w:rsidRPr="00A52AB8">
        <w:rPr>
          <w:lang w:eastAsia="ja-JP"/>
        </w:rPr>
        <w:t> </w:t>
      </w:r>
      <w:r w:rsidRPr="00A52AB8">
        <w:rPr>
          <w:lang w:eastAsia="ja-JP"/>
        </w:rPr>
        <w:t>0</w:t>
      </w:r>
      <w:r w:rsidR="00C719CB" w:rsidRPr="00A52AB8">
        <w:rPr>
          <w:lang w:eastAsia="ja-JP"/>
        </w:rPr>
        <w:t> </w:t>
      </w:r>
      <w:r w:rsidR="008F1F82" w:rsidRPr="00A52AB8">
        <w:rPr>
          <w:lang w:eastAsia="ja-JP"/>
        </w:rPr>
        <w:t>) {</w:t>
      </w:r>
      <w:r w:rsidRPr="00A52AB8">
        <w:rPr>
          <w:lang w:eastAsia="ja-JP"/>
        </w:rPr>
        <w:br/>
      </w:r>
      <w:r w:rsidRPr="00A52AB8">
        <w:rPr>
          <w:lang w:eastAsia="ja-JP"/>
        </w:rPr>
        <w:tab/>
        <w:t>subBlkY</w:t>
      </w:r>
      <w:r w:rsidR="00D47707" w:rsidRPr="00A52AB8">
        <w:rPr>
          <w:lang w:eastAsia="ja-JP"/>
        </w:rPr>
        <w:t> = </w:t>
      </w:r>
      <w:r w:rsidRPr="00A52AB8">
        <w:rPr>
          <w:color w:val="000000" w:themeColor="text1"/>
        </w:rPr>
        <w:t>y / PatchPackingBlockSize</w:t>
      </w:r>
      <w:r w:rsidR="00C61E38" w:rsidRPr="00A52AB8">
        <w:rPr>
          <w:color w:val="000000" w:themeColor="text1"/>
        </w:rPr>
        <w:br/>
      </w:r>
      <w:r w:rsidRPr="00A52AB8">
        <w:rPr>
          <w:lang w:eastAsia="ja-JP"/>
        </w:rPr>
        <w:tab/>
        <w:t>subBlkX</w:t>
      </w:r>
      <w:r w:rsidR="00D47707" w:rsidRPr="00A52AB8">
        <w:rPr>
          <w:lang w:eastAsia="ja-JP"/>
        </w:rPr>
        <w:t> = </w:t>
      </w:r>
      <w:r w:rsidRPr="00A52AB8">
        <w:rPr>
          <w:color w:val="000000" w:themeColor="text1"/>
        </w:rPr>
        <w:t>(x – 1) / PatchPackingBlockSize</w:t>
      </w:r>
      <w:r w:rsidR="00C61E38" w:rsidRPr="00A52AB8">
        <w:rPr>
          <w:color w:val="000000" w:themeColor="text1"/>
        </w:rPr>
        <w:br/>
      </w:r>
      <w:r w:rsidRPr="00A52AB8">
        <w:rPr>
          <w:rFonts w:eastAsia="Malgun Gothic"/>
          <w:color w:val="000000" w:themeColor="text1"/>
        </w:rPr>
        <w:tab/>
        <w:t>if( ( </w:t>
      </w:r>
      <w:r w:rsidR="00427C75" w:rsidRPr="00A52AB8">
        <w:rPr>
          <w:rFonts w:eastAsia="Malgun Gothic"/>
          <w:color w:val="000000" w:themeColor="text1"/>
        </w:rPr>
        <w:t>o</w:t>
      </w:r>
      <w:r w:rsidRPr="00A52AB8">
        <w:rPr>
          <w:rFonts w:eastAsia="Malgun Gothic"/>
          <w:color w:val="000000" w:themeColor="text1"/>
        </w:rPr>
        <w:t>Frame</w:t>
      </w:r>
      <w:r w:rsidR="004B7314" w:rsidRPr="00A52AB8">
        <w:rPr>
          <w:rFonts w:eastAsia="Malgun Gothic"/>
          <w:color w:val="000000" w:themeColor="text1"/>
        </w:rPr>
        <w:t>[ y ]</w:t>
      </w:r>
      <w:r w:rsidRPr="00A52AB8">
        <w:rPr>
          <w:rFonts w:eastAsia="Malgun Gothic"/>
          <w:color w:val="000000" w:themeColor="text1"/>
        </w:rPr>
        <w:t>[ x – 1 </w:t>
      </w:r>
      <w:r w:rsidR="00725788" w:rsidRPr="00A52AB8">
        <w:rPr>
          <w:rFonts w:eastAsia="Malgun Gothic"/>
          <w:color w:val="000000" w:themeColor="text1"/>
        </w:rPr>
        <w:t>] </w:t>
      </w:r>
      <w:r w:rsidR="00E963F3" w:rsidRPr="00A52AB8">
        <w:rPr>
          <w:rFonts w:eastAsia="Malgun Gothic"/>
          <w:color w:val="000000" w:themeColor="text1"/>
        </w:rPr>
        <w:t>!=</w:t>
      </w:r>
      <w:r w:rsidR="00D47707" w:rsidRPr="00A52AB8">
        <w:rPr>
          <w:rFonts w:eastAsia="Malgun Gothic"/>
          <w:color w:val="000000" w:themeColor="text1"/>
        </w:rPr>
        <w:t> </w:t>
      </w:r>
      <w:r w:rsidR="00725788" w:rsidRPr="00A52AB8">
        <w:rPr>
          <w:rFonts w:eastAsia="Malgun Gothic"/>
          <w:color w:val="000000" w:themeColor="text1"/>
        </w:rPr>
        <w:t>0 )</w:t>
      </w:r>
      <w:r w:rsidR="008768E9" w:rsidRPr="00A52AB8">
        <w:rPr>
          <w:rFonts w:eastAsia="Malgun Gothic"/>
          <w:color w:val="000000" w:themeColor="text1"/>
        </w:rPr>
        <w:t> &amp;&amp; </w:t>
      </w:r>
      <w:r w:rsidRPr="00A52AB8">
        <w:rPr>
          <w:rFonts w:eastAsia="Malgun Gothic"/>
          <w:color w:val="000000" w:themeColor="text1"/>
        </w:rPr>
        <w:t>(</w:t>
      </w:r>
      <w:r w:rsidR="009908FC" w:rsidRPr="00A52AB8">
        <w:rPr>
          <w:rFonts w:eastAsia="Malgun Gothic"/>
          <w:color w:val="000000" w:themeColor="text1"/>
        </w:rPr>
        <w:t> </w:t>
      </w:r>
      <w:r w:rsidR="00451935" w:rsidRPr="00A52AB8">
        <w:rPr>
          <w:color w:val="000000" w:themeColor="text1"/>
        </w:rPr>
        <w:t>Atlas</w:t>
      </w:r>
      <w:r w:rsidRPr="00A52AB8">
        <w:rPr>
          <w:color w:val="000000" w:themeColor="text1"/>
        </w:rPr>
        <w:t>BlockToPatchMap[ subBlkY ][ subBlkX ]</w:t>
      </w:r>
      <w:r w:rsidR="008768E9" w:rsidRPr="00A52AB8">
        <w:rPr>
          <w:color w:val="000000" w:themeColor="text1"/>
        </w:rPr>
        <w:t> </w:t>
      </w:r>
      <w:r w:rsidR="00726AAE" w:rsidRPr="00A52AB8">
        <w:rPr>
          <w:color w:val="000000" w:themeColor="text1"/>
        </w:rPr>
        <w:t>==</w:t>
      </w:r>
      <w:r w:rsidR="00D47707" w:rsidRPr="00A52AB8">
        <w:rPr>
          <w:color w:val="000000" w:themeColor="text1"/>
        </w:rPr>
        <w:t> </w:t>
      </w:r>
      <w:r w:rsidRPr="00A52AB8">
        <w:rPr>
          <w:color w:val="000000" w:themeColor="text1"/>
        </w:rPr>
        <w:t>pIdx ) </w:t>
      </w:r>
      <w:r w:rsidR="008F1F82" w:rsidRPr="00A52AB8">
        <w:rPr>
          <w:color w:val="000000" w:themeColor="text1"/>
        </w:rPr>
        <w:t>) {</w:t>
      </w:r>
      <w:r w:rsidRPr="00A52AB8">
        <w:rPr>
          <w:color w:val="000000" w:themeColor="text1"/>
        </w:rPr>
        <w:br/>
      </w:r>
      <w:r w:rsidRPr="00A52AB8">
        <w:rPr>
          <w:rFonts w:eastAsia="Malgun Gothic"/>
          <w:color w:val="000000" w:themeColor="text1"/>
        </w:rPr>
        <w:tab/>
      </w:r>
      <w:r w:rsidRPr="00A52AB8">
        <w:rPr>
          <w:rFonts w:eastAsia="Malgun Gothic"/>
          <w:color w:val="000000" w:themeColor="text1"/>
        </w:rPr>
        <w:tab/>
        <w:t>depthNeighbours</w:t>
      </w:r>
      <w:r w:rsidR="00D770D3" w:rsidRPr="00A52AB8">
        <w:rPr>
          <w:rFonts w:eastAsia="Malgun Gothic"/>
          <w:color w:val="000000" w:themeColor="text1"/>
        </w:rPr>
        <w:t>[ 0 ]</w:t>
      </w:r>
      <w:r w:rsidR="00D47707" w:rsidRPr="00A52AB8">
        <w:rPr>
          <w:rFonts w:eastAsia="Malgun Gothic"/>
          <w:color w:val="000000" w:themeColor="text1"/>
        </w:rPr>
        <w:t> = </w:t>
      </w:r>
      <w:r w:rsidR="00451935" w:rsidRPr="00A52AB8">
        <w:rPr>
          <w:color w:val="000000" w:themeColor="text1"/>
        </w:rPr>
        <w:t>Atlas</w:t>
      </w:r>
      <w:r w:rsidRPr="00A52AB8">
        <w:rPr>
          <w:rFonts w:eastAsia="Malgun Gothic"/>
          <w:color w:val="000000" w:themeColor="text1"/>
        </w:rPr>
        <w:t>Patch</w:t>
      </w:r>
      <w:r w:rsidR="001A4D59" w:rsidRPr="00A52AB8">
        <w:rPr>
          <w:rFonts w:eastAsia="Malgun Gothic"/>
          <w:color w:val="000000" w:themeColor="text1"/>
        </w:rPr>
        <w:t>3dOffsetD</w:t>
      </w:r>
      <w:r w:rsidRPr="00A52AB8">
        <w:rPr>
          <w:rFonts w:eastAsia="Malgun Gothic"/>
          <w:color w:val="000000" w:themeColor="text1"/>
        </w:rPr>
        <w:t>[ pIdx ] +</w:t>
      </w:r>
      <w:r w:rsidRPr="00A52AB8">
        <w:rPr>
          <w:rFonts w:eastAsia="Malgun Gothic"/>
          <w:color w:val="000000" w:themeColor="text1"/>
        </w:rPr>
        <w:br/>
      </w:r>
      <w:r w:rsidRPr="00A52AB8">
        <w:rPr>
          <w:rFonts w:eastAsia="Malgun Gothic"/>
          <w:color w:val="000000" w:themeColor="text1"/>
        </w:rPr>
        <w:tab/>
      </w:r>
      <w:r w:rsidRPr="00A52AB8">
        <w:rPr>
          <w:rFonts w:eastAsia="Malgun Gothic"/>
          <w:color w:val="000000" w:themeColor="text1"/>
        </w:rPr>
        <w:tab/>
      </w:r>
      <w:r w:rsidRPr="00A52AB8">
        <w:rPr>
          <w:rFonts w:eastAsia="Malgun Gothic"/>
          <w:color w:val="000000" w:themeColor="text1"/>
        </w:rPr>
        <w:tab/>
      </w:r>
      <w:r w:rsidR="00C719CB" w:rsidRPr="00A52AB8">
        <w:rPr>
          <w:rFonts w:eastAsia="Malgun Gothic"/>
          <w:color w:val="000000" w:themeColor="text1"/>
        </w:rPr>
        <w:tab/>
      </w:r>
      <w:r w:rsidRPr="00A52AB8">
        <w:rPr>
          <w:rFonts w:eastAsia="Malgun Gothic"/>
          <w:color w:val="000000" w:themeColor="text1"/>
        </w:rPr>
        <w:t>(</w:t>
      </w:r>
      <w:r w:rsidR="009908FC" w:rsidRPr="00A52AB8">
        <w:rPr>
          <w:rFonts w:eastAsia="Malgun Gothic"/>
          <w:color w:val="000000" w:themeColor="text1"/>
        </w:rPr>
        <w:t> </w:t>
      </w:r>
      <w:r w:rsidRPr="00A52AB8">
        <w:rPr>
          <w:rFonts w:eastAsia="Malgun Gothic"/>
          <w:color w:val="000000" w:themeColor="text1"/>
        </w:rPr>
        <w:t>1 – 2 * </w:t>
      </w:r>
      <w:r w:rsidR="00451935" w:rsidRPr="00A52AB8">
        <w:rPr>
          <w:color w:val="000000" w:themeColor="text1"/>
        </w:rPr>
        <w:t>Atlas</w:t>
      </w:r>
      <w:r w:rsidRPr="00A52AB8">
        <w:rPr>
          <w:rFonts w:eastAsia="Malgun Gothic"/>
          <w:color w:val="000000" w:themeColor="text1"/>
        </w:rPr>
        <w:t>PatchProjectionFlag[ pIdx ] ) * </w:t>
      </w:r>
      <w:r w:rsidR="00102F72" w:rsidRPr="00A52AB8">
        <w:rPr>
          <w:rFonts w:eastAsia="Malgun Gothic"/>
          <w:color w:val="000000" w:themeColor="text1"/>
        </w:rPr>
        <w:t>g</w:t>
      </w:r>
      <w:r w:rsidRPr="00A52AB8">
        <w:rPr>
          <w:rFonts w:eastAsia="Malgun Gothic"/>
          <w:color w:val="000000" w:themeColor="text1"/>
        </w:rPr>
        <w:t>Frame</w:t>
      </w:r>
      <w:r w:rsidR="004B7314" w:rsidRPr="00A52AB8">
        <w:rPr>
          <w:rFonts w:eastAsia="Malgun Gothic"/>
          <w:color w:val="000000" w:themeColor="text1"/>
        </w:rPr>
        <w:t>[ y ]</w:t>
      </w:r>
      <w:r w:rsidRPr="00A52AB8">
        <w:rPr>
          <w:rFonts w:eastAsia="Malgun Gothic"/>
          <w:color w:val="000000" w:themeColor="text1"/>
        </w:rPr>
        <w:t>[ x – 1 ]</w:t>
      </w:r>
      <w:r w:rsidRPr="00A52AB8">
        <w:rPr>
          <w:rFonts w:eastAsia="Malgun Gothic"/>
          <w:color w:val="000000" w:themeColor="text1"/>
        </w:rPr>
        <w:br/>
      </w:r>
      <w:r w:rsidRPr="00A52AB8">
        <w:rPr>
          <w:rFonts w:eastAsia="Malgun Gothic"/>
          <w:color w:val="000000" w:themeColor="text1"/>
        </w:rPr>
        <w:tab/>
      </w:r>
      <w:r w:rsidRPr="00A52AB8">
        <w:rPr>
          <w:rFonts w:eastAsia="Malgun Gothic"/>
          <w:color w:val="000000" w:themeColor="text1"/>
        </w:rPr>
        <w:tab/>
        <w:t>validNeighbourCount++</w:t>
      </w:r>
      <w:r w:rsidRPr="00A52AB8">
        <w:rPr>
          <w:rFonts w:eastAsia="Malgun Gothic"/>
          <w:color w:val="000000" w:themeColor="text1"/>
        </w:rPr>
        <w:br/>
      </w:r>
      <w:r w:rsidRPr="00A52AB8">
        <w:rPr>
          <w:rFonts w:eastAsia="Malgun Gothic"/>
          <w:color w:val="000000" w:themeColor="text1"/>
        </w:rPr>
        <w:tab/>
      </w:r>
      <w:r w:rsidRPr="00A52AB8">
        <w:rPr>
          <w:rFonts w:eastAsia="Malgun Gothic"/>
          <w:color w:val="000000" w:themeColor="text1"/>
        </w:rPr>
        <w:tab/>
        <w:t>minDepth</w:t>
      </w:r>
      <w:r w:rsidR="00D47707" w:rsidRPr="00A52AB8">
        <w:rPr>
          <w:rFonts w:eastAsia="Malgun Gothic"/>
          <w:color w:val="000000" w:themeColor="text1"/>
        </w:rPr>
        <w:t> = </w:t>
      </w:r>
      <w:r w:rsidRPr="00A52AB8">
        <w:rPr>
          <w:rFonts w:eastAsia="Malgun Gothic"/>
          <w:color w:val="000000" w:themeColor="text1"/>
        </w:rPr>
        <w:t>Min( minDepth, depthNeighbour</w:t>
      </w:r>
      <w:r w:rsidR="00D770D3" w:rsidRPr="00A52AB8">
        <w:rPr>
          <w:rFonts w:eastAsia="Malgun Gothic"/>
          <w:color w:val="000000" w:themeColor="text1"/>
        </w:rPr>
        <w:t>[ 0 ]</w:t>
      </w:r>
      <w:r w:rsidRPr="00A52AB8">
        <w:rPr>
          <w:rFonts w:eastAsia="Malgun Gothic"/>
          <w:color w:val="000000" w:themeColor="text1"/>
        </w:rPr>
        <w:t> )</w:t>
      </w:r>
      <w:r w:rsidRPr="00A52AB8">
        <w:rPr>
          <w:rFonts w:eastAsia="Malgun Gothic"/>
          <w:color w:val="000000" w:themeColor="text1"/>
        </w:rPr>
        <w:br/>
      </w:r>
      <w:r w:rsidRPr="00A52AB8">
        <w:rPr>
          <w:rFonts w:eastAsia="Malgun Gothic"/>
          <w:color w:val="000000" w:themeColor="text1"/>
        </w:rPr>
        <w:tab/>
      </w:r>
      <w:r w:rsidRPr="00A52AB8">
        <w:rPr>
          <w:rFonts w:eastAsia="Malgun Gothic"/>
          <w:color w:val="000000" w:themeColor="text1"/>
        </w:rPr>
        <w:tab/>
        <w:t>maxDepth</w:t>
      </w:r>
      <w:r w:rsidR="00D47707" w:rsidRPr="00A52AB8">
        <w:rPr>
          <w:rFonts w:eastAsia="Malgun Gothic"/>
          <w:color w:val="000000" w:themeColor="text1"/>
        </w:rPr>
        <w:t> = </w:t>
      </w:r>
      <w:r w:rsidRPr="00A52AB8">
        <w:rPr>
          <w:rFonts w:eastAsia="Malgun Gothic"/>
          <w:color w:val="000000" w:themeColor="text1"/>
        </w:rPr>
        <w:t>Max( maxDepth, depthNeighbour</w:t>
      </w:r>
      <w:r w:rsidR="00D770D3" w:rsidRPr="00A52AB8">
        <w:rPr>
          <w:rFonts w:eastAsia="Malgun Gothic"/>
          <w:color w:val="000000" w:themeColor="text1"/>
        </w:rPr>
        <w:t>[ 0 ]</w:t>
      </w:r>
      <w:r w:rsidRPr="00A52AB8">
        <w:rPr>
          <w:rFonts w:eastAsia="Malgun Gothic"/>
          <w:color w:val="000000" w:themeColor="text1"/>
        </w:rPr>
        <w:t> )</w:t>
      </w:r>
      <w:r w:rsidRPr="00A52AB8">
        <w:rPr>
          <w:rFonts w:eastAsia="Malgun Gothic"/>
          <w:color w:val="000000" w:themeColor="text1"/>
        </w:rPr>
        <w:br/>
      </w:r>
      <w:r w:rsidRPr="00A52AB8">
        <w:rPr>
          <w:rFonts w:eastAsia="Malgun Gothic"/>
          <w:color w:val="000000" w:themeColor="text1"/>
        </w:rPr>
        <w:tab/>
        <w:t>}</w:t>
      </w:r>
      <w:r w:rsidRPr="00A52AB8">
        <w:rPr>
          <w:rFonts w:eastAsia="Malgun Gothic"/>
          <w:color w:val="000000" w:themeColor="text1"/>
        </w:rPr>
        <w:br/>
        <w:t>}</w:t>
      </w:r>
    </w:p>
    <w:p w14:paraId="399ECDD9" w14:textId="6D78E8C7" w:rsidR="006D74F2" w:rsidRPr="00A52AB8" w:rsidRDefault="006D74F2" w:rsidP="004A6049">
      <w:pPr>
        <w:tabs>
          <w:tab w:val="clear" w:pos="403"/>
          <w:tab w:val="clear" w:pos="806"/>
          <w:tab w:val="clear" w:pos="1210"/>
          <w:tab w:val="clear" w:pos="1613"/>
          <w:tab w:val="clear" w:pos="2016"/>
          <w:tab w:val="clear" w:pos="2419"/>
          <w:tab w:val="clear" w:pos="2822"/>
          <w:tab w:val="clear" w:pos="3226"/>
          <w:tab w:val="left" w:pos="360"/>
          <w:tab w:val="left" w:pos="720"/>
          <w:tab w:val="left" w:pos="1080"/>
          <w:tab w:val="left" w:pos="1440"/>
          <w:tab w:val="left" w:pos="1800"/>
          <w:tab w:val="left" w:pos="2160"/>
        </w:tabs>
        <w:ind w:left="720"/>
        <w:jc w:val="left"/>
        <w:rPr>
          <w:lang w:eastAsia="ja-JP"/>
        </w:rPr>
      </w:pPr>
      <w:r w:rsidRPr="00A52AB8">
        <w:rPr>
          <w:lang w:eastAsia="ja-JP"/>
        </w:rPr>
        <w:t>if( x</w:t>
      </w:r>
      <w:r w:rsidR="009908FC" w:rsidRPr="00A52AB8">
        <w:rPr>
          <w:lang w:eastAsia="ja-JP"/>
        </w:rPr>
        <w:t> </w:t>
      </w:r>
      <w:r w:rsidRPr="00A52AB8">
        <w:rPr>
          <w:lang w:eastAsia="ja-JP"/>
        </w:rPr>
        <w:t>&lt;</w:t>
      </w:r>
      <w:r w:rsidR="009908FC" w:rsidRPr="00A52AB8">
        <w:rPr>
          <w:lang w:eastAsia="ja-JP"/>
        </w:rPr>
        <w:t> </w:t>
      </w:r>
      <w:r w:rsidRPr="00A52AB8">
        <w:rPr>
          <w:lang w:eastAsia="ja-JP"/>
        </w:rPr>
        <w:t>( asps_frame_width</w:t>
      </w:r>
      <w:r w:rsidR="00C27CC5" w:rsidRPr="00A52AB8">
        <w:rPr>
          <w:lang w:eastAsia="ja-JP"/>
        </w:rPr>
        <w:t> </w:t>
      </w:r>
      <w:r w:rsidRPr="00A52AB8">
        <w:rPr>
          <w:lang w:eastAsia="ja-JP"/>
        </w:rPr>
        <w:t>–</w:t>
      </w:r>
      <w:r w:rsidR="00C27CC5" w:rsidRPr="00A52AB8">
        <w:rPr>
          <w:lang w:eastAsia="ja-JP"/>
        </w:rPr>
        <w:t> </w:t>
      </w:r>
      <w:r w:rsidRPr="00A52AB8">
        <w:rPr>
          <w:lang w:eastAsia="ja-JP"/>
        </w:rPr>
        <w:t>1 ) </w:t>
      </w:r>
      <w:r w:rsidR="008F1F82" w:rsidRPr="00A52AB8">
        <w:rPr>
          <w:lang w:eastAsia="ja-JP"/>
        </w:rPr>
        <w:t>) {</w:t>
      </w:r>
      <w:r w:rsidRPr="00A52AB8">
        <w:rPr>
          <w:lang w:eastAsia="ja-JP"/>
        </w:rPr>
        <w:br/>
      </w:r>
      <w:r w:rsidRPr="00A52AB8">
        <w:rPr>
          <w:lang w:eastAsia="ja-JP"/>
        </w:rPr>
        <w:tab/>
        <w:t>subBlkY</w:t>
      </w:r>
      <w:r w:rsidR="00D47707" w:rsidRPr="00A52AB8">
        <w:rPr>
          <w:lang w:eastAsia="ja-JP"/>
        </w:rPr>
        <w:t> = </w:t>
      </w:r>
      <w:r w:rsidRPr="00A52AB8">
        <w:rPr>
          <w:lang w:eastAsia="ja-JP"/>
        </w:rPr>
        <w:t>y / PatchPackingBlockSize</w:t>
      </w:r>
      <w:r w:rsidR="00C61E38" w:rsidRPr="00A52AB8">
        <w:rPr>
          <w:lang w:eastAsia="ja-JP"/>
        </w:rPr>
        <w:br/>
      </w:r>
      <w:r w:rsidRPr="00A52AB8">
        <w:rPr>
          <w:lang w:eastAsia="ja-JP"/>
        </w:rPr>
        <w:tab/>
        <w:t>subBlkX</w:t>
      </w:r>
      <w:r w:rsidR="00D47707" w:rsidRPr="00A52AB8">
        <w:rPr>
          <w:lang w:eastAsia="ja-JP"/>
        </w:rPr>
        <w:t> = </w:t>
      </w:r>
      <w:r w:rsidRPr="00A52AB8">
        <w:rPr>
          <w:lang w:eastAsia="ja-JP"/>
        </w:rPr>
        <w:t>(x + 1) / PatchPackingBlockSize</w:t>
      </w:r>
      <w:r w:rsidRPr="00A52AB8">
        <w:rPr>
          <w:lang w:eastAsia="ja-JP"/>
        </w:rPr>
        <w:br/>
      </w:r>
      <w:r w:rsidRPr="00A52AB8">
        <w:rPr>
          <w:lang w:eastAsia="ja-JP"/>
        </w:rPr>
        <w:tab/>
        <w:t>if( ( </w:t>
      </w:r>
      <w:r w:rsidR="008E49AC" w:rsidRPr="00A52AB8">
        <w:rPr>
          <w:lang w:eastAsia="ja-JP"/>
        </w:rPr>
        <w:t>o</w:t>
      </w:r>
      <w:r w:rsidRPr="00A52AB8">
        <w:rPr>
          <w:lang w:eastAsia="ja-JP"/>
        </w:rPr>
        <w:t>Frame</w:t>
      </w:r>
      <w:r w:rsidR="004B7314" w:rsidRPr="00A52AB8">
        <w:rPr>
          <w:lang w:eastAsia="ja-JP"/>
        </w:rPr>
        <w:t>[ y ][ x + 1 </w:t>
      </w:r>
      <w:r w:rsidR="009908FC" w:rsidRPr="00A52AB8">
        <w:rPr>
          <w:lang w:eastAsia="ja-JP"/>
        </w:rPr>
        <w:t>] </w:t>
      </w:r>
      <w:r w:rsidR="00E963F3" w:rsidRPr="00A52AB8">
        <w:rPr>
          <w:lang w:eastAsia="ja-JP"/>
        </w:rPr>
        <w:t>!=</w:t>
      </w:r>
      <w:r w:rsidR="00D47707" w:rsidRPr="00A52AB8">
        <w:rPr>
          <w:lang w:eastAsia="ja-JP"/>
        </w:rPr>
        <w:t> </w:t>
      </w:r>
      <w:r w:rsidRPr="00A52AB8">
        <w:rPr>
          <w:lang w:eastAsia="ja-JP"/>
        </w:rPr>
        <w:t>0</w:t>
      </w:r>
      <w:r w:rsidR="009908FC" w:rsidRPr="00A52AB8">
        <w:rPr>
          <w:lang w:eastAsia="ja-JP"/>
        </w:rPr>
        <w:t> </w:t>
      </w:r>
      <w:r w:rsidRPr="00A52AB8">
        <w:rPr>
          <w:lang w:eastAsia="ja-JP"/>
        </w:rPr>
        <w:t>)</w:t>
      </w:r>
      <w:r w:rsidR="009908FC" w:rsidRPr="00A52AB8">
        <w:rPr>
          <w:lang w:eastAsia="ja-JP"/>
        </w:rPr>
        <w:t> </w:t>
      </w:r>
      <w:r w:rsidRPr="00A52AB8">
        <w:rPr>
          <w:lang w:eastAsia="ja-JP"/>
        </w:rPr>
        <w:t>&amp;&amp;</w:t>
      </w:r>
      <w:r w:rsidR="00D106B7" w:rsidRPr="00A52AB8">
        <w:rPr>
          <w:lang w:eastAsia="ja-JP"/>
        </w:rPr>
        <w:br/>
      </w:r>
      <w:r w:rsidR="00D106B7" w:rsidRPr="00A52AB8">
        <w:rPr>
          <w:lang w:eastAsia="ja-JP"/>
        </w:rPr>
        <w:tab/>
      </w:r>
      <w:r w:rsidR="00D106B7" w:rsidRPr="00A52AB8">
        <w:rPr>
          <w:lang w:eastAsia="ja-JP"/>
        </w:rPr>
        <w:tab/>
      </w:r>
      <w:r w:rsidR="00C719CB" w:rsidRPr="00A52AB8">
        <w:rPr>
          <w:lang w:eastAsia="ja-JP"/>
        </w:rPr>
        <w:tab/>
      </w:r>
      <w:r w:rsidRPr="00A52AB8">
        <w:rPr>
          <w:lang w:eastAsia="ja-JP"/>
        </w:rPr>
        <w:t>(</w:t>
      </w:r>
      <w:r w:rsidR="009908FC" w:rsidRPr="00A52AB8">
        <w:rPr>
          <w:lang w:eastAsia="ja-JP"/>
        </w:rPr>
        <w:t> </w:t>
      </w:r>
      <w:r w:rsidR="00451935" w:rsidRPr="00A52AB8">
        <w:rPr>
          <w:lang w:eastAsia="ja-JP"/>
        </w:rPr>
        <w:t>Atlas</w:t>
      </w:r>
      <w:r w:rsidRPr="00A52AB8">
        <w:rPr>
          <w:lang w:eastAsia="ja-JP"/>
        </w:rPr>
        <w:t>BlockToPatchMap[ subBlkY ][ subBlkX </w:t>
      </w:r>
      <w:r w:rsidR="00D106B7" w:rsidRPr="00A52AB8">
        <w:rPr>
          <w:lang w:eastAsia="ja-JP"/>
        </w:rPr>
        <w:t>]</w:t>
      </w:r>
      <w:r w:rsidR="008768E9" w:rsidRPr="00A52AB8">
        <w:rPr>
          <w:lang w:eastAsia="ja-JP"/>
        </w:rPr>
        <w:t> </w:t>
      </w:r>
      <w:r w:rsidR="00726AAE" w:rsidRPr="00A52AB8">
        <w:rPr>
          <w:lang w:eastAsia="ja-JP"/>
        </w:rPr>
        <w:t>==</w:t>
      </w:r>
      <w:r w:rsidR="00D47707" w:rsidRPr="00A52AB8">
        <w:rPr>
          <w:lang w:eastAsia="ja-JP"/>
        </w:rPr>
        <w:t> </w:t>
      </w:r>
      <w:r w:rsidRPr="00A52AB8">
        <w:rPr>
          <w:lang w:eastAsia="ja-JP"/>
        </w:rPr>
        <w:t>pIdx</w:t>
      </w:r>
      <w:r w:rsidR="009908FC" w:rsidRPr="00A52AB8">
        <w:rPr>
          <w:lang w:eastAsia="ja-JP"/>
        </w:rPr>
        <w:t> </w:t>
      </w:r>
      <w:r w:rsidRPr="00A52AB8">
        <w:rPr>
          <w:lang w:eastAsia="ja-JP"/>
        </w:rPr>
        <w:t>)</w:t>
      </w:r>
      <w:r w:rsidR="009908FC" w:rsidRPr="00A52AB8">
        <w:rPr>
          <w:lang w:eastAsia="ja-JP"/>
        </w:rPr>
        <w:t> </w:t>
      </w:r>
      <w:r w:rsidR="008F1F82" w:rsidRPr="00A52AB8">
        <w:rPr>
          <w:lang w:eastAsia="ja-JP"/>
        </w:rPr>
        <w:t>) {</w:t>
      </w:r>
      <w:r w:rsidRPr="00A52AB8">
        <w:rPr>
          <w:lang w:eastAsia="ja-JP"/>
        </w:rPr>
        <w:br/>
      </w:r>
      <w:r w:rsidRPr="00A52AB8">
        <w:rPr>
          <w:lang w:eastAsia="ja-JP"/>
        </w:rPr>
        <w:tab/>
      </w:r>
      <w:r w:rsidRPr="00A52AB8">
        <w:rPr>
          <w:lang w:eastAsia="ja-JP"/>
        </w:rPr>
        <w:tab/>
        <w:t>depthNeighbours[ 1 ]</w:t>
      </w:r>
      <w:r w:rsidR="00D47707" w:rsidRPr="00A52AB8">
        <w:rPr>
          <w:lang w:eastAsia="ja-JP"/>
        </w:rPr>
        <w:t> = </w:t>
      </w:r>
      <w:r w:rsidR="00451935" w:rsidRPr="00A52AB8">
        <w:rPr>
          <w:lang w:eastAsia="ja-JP"/>
        </w:rPr>
        <w:t>Atlas</w:t>
      </w:r>
      <w:r w:rsidRPr="00A52AB8">
        <w:rPr>
          <w:lang w:eastAsia="ja-JP"/>
        </w:rPr>
        <w:t>Patch</w:t>
      </w:r>
      <w:r w:rsidR="001A4D59" w:rsidRPr="00A52AB8">
        <w:rPr>
          <w:lang w:eastAsia="ja-JP"/>
        </w:rPr>
        <w:t>3dOffsetD</w:t>
      </w:r>
      <w:r w:rsidR="0006494C" w:rsidRPr="00A52AB8">
        <w:rPr>
          <w:lang w:eastAsia="ja-JP"/>
        </w:rPr>
        <w:t>[ </w:t>
      </w:r>
      <w:r w:rsidRPr="00A52AB8">
        <w:rPr>
          <w:lang w:eastAsia="ja-JP"/>
        </w:rPr>
        <w:t>pIdx </w:t>
      </w:r>
      <w:r w:rsidR="009908FC" w:rsidRPr="00A52AB8">
        <w:rPr>
          <w:lang w:eastAsia="ja-JP"/>
        </w:rPr>
        <w:t>] +</w:t>
      </w:r>
      <w:r w:rsidR="00C61E38" w:rsidRPr="00A52AB8">
        <w:rPr>
          <w:lang w:eastAsia="ja-JP"/>
        </w:rPr>
        <w:br/>
      </w:r>
      <w:r w:rsidRPr="00A52AB8">
        <w:rPr>
          <w:lang w:eastAsia="ja-JP"/>
        </w:rPr>
        <w:tab/>
      </w:r>
      <w:r w:rsidRPr="00A52AB8">
        <w:rPr>
          <w:lang w:eastAsia="ja-JP"/>
        </w:rPr>
        <w:tab/>
      </w:r>
      <w:r w:rsidRPr="00A52AB8">
        <w:rPr>
          <w:lang w:eastAsia="ja-JP"/>
        </w:rPr>
        <w:tab/>
      </w:r>
      <w:r w:rsidR="00C719CB" w:rsidRPr="00A52AB8">
        <w:rPr>
          <w:lang w:eastAsia="ja-JP"/>
        </w:rPr>
        <w:tab/>
      </w:r>
      <w:r w:rsidRPr="00A52AB8">
        <w:rPr>
          <w:lang w:eastAsia="ja-JP"/>
        </w:rPr>
        <w:t>(</w:t>
      </w:r>
      <w:r w:rsidR="009908FC" w:rsidRPr="00A52AB8">
        <w:rPr>
          <w:lang w:eastAsia="ja-JP"/>
        </w:rPr>
        <w:t> </w:t>
      </w:r>
      <w:r w:rsidRPr="00A52AB8">
        <w:rPr>
          <w:lang w:eastAsia="ja-JP"/>
        </w:rPr>
        <w:t>1 – 2 * </w:t>
      </w:r>
      <w:r w:rsidR="00451935" w:rsidRPr="00A52AB8">
        <w:rPr>
          <w:lang w:eastAsia="ja-JP"/>
        </w:rPr>
        <w:t>Atlas</w:t>
      </w:r>
      <w:r w:rsidRPr="00A52AB8">
        <w:rPr>
          <w:lang w:eastAsia="ja-JP"/>
        </w:rPr>
        <w:t>PatchProjectionFlag[ pIdx ] ) * </w:t>
      </w:r>
      <w:r w:rsidR="008E49AC" w:rsidRPr="00A52AB8">
        <w:rPr>
          <w:lang w:eastAsia="ja-JP"/>
        </w:rPr>
        <w:t>g</w:t>
      </w:r>
      <w:r w:rsidRPr="00A52AB8">
        <w:rPr>
          <w:lang w:eastAsia="ja-JP"/>
        </w:rPr>
        <w:t>Frame</w:t>
      </w:r>
      <w:r w:rsidR="004B7314" w:rsidRPr="00A52AB8">
        <w:rPr>
          <w:lang w:eastAsia="ja-JP"/>
        </w:rPr>
        <w:t>[ y ][ x + 1 ]</w:t>
      </w:r>
      <w:r w:rsidRPr="00A52AB8">
        <w:rPr>
          <w:lang w:eastAsia="ja-JP"/>
        </w:rPr>
        <w:br/>
      </w:r>
      <w:r w:rsidRPr="00A52AB8">
        <w:rPr>
          <w:lang w:eastAsia="ja-JP"/>
        </w:rPr>
        <w:tab/>
      </w:r>
      <w:r w:rsidRPr="00A52AB8">
        <w:rPr>
          <w:lang w:eastAsia="ja-JP"/>
        </w:rPr>
        <w:tab/>
        <w:t>validNeighbourCount++</w:t>
      </w:r>
      <w:r w:rsidRPr="00A52AB8">
        <w:rPr>
          <w:lang w:eastAsia="ja-JP"/>
        </w:rPr>
        <w:br/>
      </w:r>
      <w:r w:rsidRPr="00A52AB8">
        <w:rPr>
          <w:lang w:eastAsia="ja-JP"/>
        </w:rPr>
        <w:tab/>
      </w:r>
      <w:r w:rsidRPr="00A52AB8">
        <w:rPr>
          <w:lang w:eastAsia="ja-JP"/>
        </w:rPr>
        <w:tab/>
        <w:t>minDepth</w:t>
      </w:r>
      <w:r w:rsidR="00D47707" w:rsidRPr="00A52AB8">
        <w:rPr>
          <w:lang w:eastAsia="ja-JP"/>
        </w:rPr>
        <w:t> = </w:t>
      </w:r>
      <w:r w:rsidRPr="00A52AB8">
        <w:rPr>
          <w:lang w:eastAsia="ja-JP"/>
        </w:rPr>
        <w:t>Min( minDepth, depthNeighbour[ 1 ] )</w:t>
      </w:r>
      <w:r w:rsidRPr="00A52AB8">
        <w:rPr>
          <w:lang w:eastAsia="ja-JP"/>
        </w:rPr>
        <w:br/>
      </w:r>
      <w:r w:rsidRPr="00A52AB8">
        <w:rPr>
          <w:lang w:eastAsia="ja-JP"/>
        </w:rPr>
        <w:tab/>
      </w:r>
      <w:r w:rsidRPr="00A52AB8">
        <w:rPr>
          <w:lang w:eastAsia="ja-JP"/>
        </w:rPr>
        <w:tab/>
        <w:t>maxDepth</w:t>
      </w:r>
      <w:r w:rsidR="00D47707" w:rsidRPr="00A52AB8">
        <w:rPr>
          <w:lang w:eastAsia="ja-JP"/>
        </w:rPr>
        <w:t> = </w:t>
      </w:r>
      <w:r w:rsidRPr="00A52AB8">
        <w:rPr>
          <w:lang w:eastAsia="ja-JP"/>
        </w:rPr>
        <w:t>Max( maxDepth, depthNeighbour[ 1 ] )</w:t>
      </w:r>
      <w:r w:rsidRPr="00A52AB8">
        <w:rPr>
          <w:lang w:eastAsia="ja-JP"/>
        </w:rPr>
        <w:br/>
      </w:r>
      <w:r w:rsidRPr="00A52AB8">
        <w:rPr>
          <w:lang w:eastAsia="ja-JP"/>
        </w:rPr>
        <w:tab/>
        <w:t>}</w:t>
      </w:r>
      <w:r w:rsidRPr="00A52AB8">
        <w:rPr>
          <w:lang w:eastAsia="ja-JP"/>
        </w:rPr>
        <w:br/>
        <w:t>}</w:t>
      </w:r>
    </w:p>
    <w:p w14:paraId="5260108A" w14:textId="45D3DB72" w:rsidR="0050235C" w:rsidRPr="00A52AB8" w:rsidRDefault="006D74F2" w:rsidP="004A6049">
      <w:pPr>
        <w:tabs>
          <w:tab w:val="clear" w:pos="403"/>
          <w:tab w:val="clear" w:pos="806"/>
          <w:tab w:val="clear" w:pos="1210"/>
          <w:tab w:val="clear" w:pos="1613"/>
          <w:tab w:val="clear" w:pos="2016"/>
          <w:tab w:val="clear" w:pos="2419"/>
          <w:tab w:val="clear" w:pos="2822"/>
          <w:tab w:val="clear" w:pos="3226"/>
          <w:tab w:val="left" w:pos="360"/>
          <w:tab w:val="left" w:pos="720"/>
          <w:tab w:val="left" w:pos="1080"/>
          <w:tab w:val="left" w:pos="1440"/>
          <w:tab w:val="left" w:pos="1800"/>
          <w:tab w:val="left" w:pos="2160"/>
        </w:tabs>
        <w:ind w:left="720"/>
        <w:jc w:val="left"/>
        <w:rPr>
          <w:lang w:eastAsia="ja-JP"/>
        </w:rPr>
      </w:pPr>
      <w:r w:rsidRPr="00A52AB8">
        <w:rPr>
          <w:lang w:eastAsia="ja-JP"/>
        </w:rPr>
        <w:t>if( y &gt; 0 </w:t>
      </w:r>
      <w:r w:rsidR="008F1F82" w:rsidRPr="00A52AB8">
        <w:rPr>
          <w:lang w:eastAsia="ja-JP"/>
        </w:rPr>
        <w:t>) {</w:t>
      </w:r>
      <w:r w:rsidRPr="00A52AB8">
        <w:rPr>
          <w:lang w:eastAsia="ja-JP"/>
        </w:rPr>
        <w:br/>
      </w:r>
      <w:r w:rsidRPr="00A52AB8">
        <w:rPr>
          <w:lang w:eastAsia="ja-JP"/>
        </w:rPr>
        <w:tab/>
        <w:t>subBlkY</w:t>
      </w:r>
      <w:r w:rsidR="00D47707" w:rsidRPr="00A52AB8">
        <w:rPr>
          <w:lang w:eastAsia="ja-JP"/>
        </w:rPr>
        <w:t> = </w:t>
      </w:r>
      <w:r w:rsidRPr="00A52AB8">
        <w:rPr>
          <w:lang w:eastAsia="ja-JP"/>
        </w:rPr>
        <w:t>(y − 1) / PatchPackingBlockSize</w:t>
      </w:r>
      <w:r w:rsidR="00C61E38" w:rsidRPr="00A52AB8">
        <w:rPr>
          <w:lang w:eastAsia="ja-JP"/>
        </w:rPr>
        <w:br/>
      </w:r>
      <w:r w:rsidRPr="00A52AB8">
        <w:rPr>
          <w:lang w:eastAsia="ja-JP"/>
        </w:rPr>
        <w:tab/>
        <w:t>subBlkX</w:t>
      </w:r>
      <w:r w:rsidR="00D47707" w:rsidRPr="00A52AB8">
        <w:rPr>
          <w:lang w:eastAsia="ja-JP"/>
        </w:rPr>
        <w:t> = </w:t>
      </w:r>
      <w:r w:rsidRPr="00A52AB8">
        <w:rPr>
          <w:lang w:eastAsia="ja-JP"/>
        </w:rPr>
        <w:t>x / PatchPackingBlockSize</w:t>
      </w:r>
    </w:p>
    <w:p w14:paraId="227E6B9A" w14:textId="7615EFC2" w:rsidR="006D74F2" w:rsidRPr="00A52AB8" w:rsidRDefault="006D74F2" w:rsidP="004A6049">
      <w:pPr>
        <w:tabs>
          <w:tab w:val="clear" w:pos="403"/>
          <w:tab w:val="clear" w:pos="806"/>
          <w:tab w:val="clear" w:pos="1210"/>
          <w:tab w:val="clear" w:pos="1613"/>
          <w:tab w:val="clear" w:pos="2016"/>
          <w:tab w:val="clear" w:pos="2419"/>
          <w:tab w:val="clear" w:pos="2822"/>
          <w:tab w:val="clear" w:pos="3226"/>
          <w:tab w:val="left" w:pos="360"/>
          <w:tab w:val="left" w:pos="720"/>
          <w:tab w:val="left" w:pos="1080"/>
          <w:tab w:val="left" w:pos="1440"/>
          <w:tab w:val="left" w:pos="1800"/>
          <w:tab w:val="left" w:pos="2160"/>
        </w:tabs>
        <w:ind w:left="720"/>
        <w:jc w:val="left"/>
        <w:rPr>
          <w:lang w:eastAsia="ja-JP"/>
        </w:rPr>
      </w:pPr>
      <w:r w:rsidRPr="00A52AB8">
        <w:rPr>
          <w:lang w:eastAsia="ja-JP"/>
        </w:rPr>
        <w:tab/>
        <w:t>if( ( </w:t>
      </w:r>
      <w:r w:rsidR="003977AF" w:rsidRPr="00A52AB8">
        <w:rPr>
          <w:lang w:eastAsia="ja-JP"/>
        </w:rPr>
        <w:t>o</w:t>
      </w:r>
      <w:r w:rsidRPr="00A52AB8">
        <w:rPr>
          <w:lang w:eastAsia="ja-JP"/>
        </w:rPr>
        <w:t>Frame[ y− 1 ]</w:t>
      </w:r>
      <w:r w:rsidR="004B7314" w:rsidRPr="00A52AB8">
        <w:rPr>
          <w:lang w:eastAsia="ja-JP"/>
        </w:rPr>
        <w:t>[ x ]</w:t>
      </w:r>
      <w:r w:rsidR="009908FC" w:rsidRPr="00A52AB8">
        <w:rPr>
          <w:lang w:eastAsia="ja-JP"/>
        </w:rPr>
        <w:t> </w:t>
      </w:r>
      <w:r w:rsidR="00E963F3" w:rsidRPr="00A52AB8">
        <w:rPr>
          <w:lang w:eastAsia="ja-JP"/>
        </w:rPr>
        <w:t>!=</w:t>
      </w:r>
      <w:r w:rsidR="00D47707" w:rsidRPr="00A52AB8">
        <w:rPr>
          <w:lang w:eastAsia="ja-JP"/>
        </w:rPr>
        <w:t> </w:t>
      </w:r>
      <w:r w:rsidRPr="00A52AB8">
        <w:rPr>
          <w:lang w:eastAsia="ja-JP"/>
        </w:rPr>
        <w:t>0</w:t>
      </w:r>
      <w:r w:rsidR="009908FC" w:rsidRPr="00A52AB8">
        <w:rPr>
          <w:lang w:eastAsia="ja-JP"/>
        </w:rPr>
        <w:t> </w:t>
      </w:r>
      <w:r w:rsidRPr="00A52AB8">
        <w:rPr>
          <w:lang w:eastAsia="ja-JP"/>
        </w:rPr>
        <w:t>)</w:t>
      </w:r>
      <w:r w:rsidR="009908FC" w:rsidRPr="00A52AB8">
        <w:rPr>
          <w:lang w:eastAsia="ja-JP"/>
        </w:rPr>
        <w:t> </w:t>
      </w:r>
      <w:r w:rsidRPr="00A52AB8">
        <w:rPr>
          <w:lang w:eastAsia="ja-JP"/>
        </w:rPr>
        <w:t>&amp;&amp;</w:t>
      </w:r>
      <w:r w:rsidR="00D106B7" w:rsidRPr="00A52AB8">
        <w:rPr>
          <w:lang w:eastAsia="ja-JP"/>
        </w:rPr>
        <w:br/>
      </w:r>
      <w:r w:rsidR="00D106B7" w:rsidRPr="00A52AB8">
        <w:rPr>
          <w:lang w:eastAsia="ja-JP"/>
        </w:rPr>
        <w:tab/>
      </w:r>
      <w:r w:rsidR="00D106B7" w:rsidRPr="00A52AB8">
        <w:rPr>
          <w:lang w:eastAsia="ja-JP"/>
        </w:rPr>
        <w:tab/>
      </w:r>
      <w:r w:rsidR="00C719CB" w:rsidRPr="00A52AB8">
        <w:rPr>
          <w:lang w:eastAsia="ja-JP"/>
        </w:rPr>
        <w:tab/>
      </w:r>
      <w:r w:rsidRPr="00A52AB8">
        <w:rPr>
          <w:lang w:eastAsia="ja-JP"/>
        </w:rPr>
        <w:t>( </w:t>
      </w:r>
      <w:r w:rsidR="00973949" w:rsidRPr="00A52AB8">
        <w:rPr>
          <w:lang w:eastAsia="ja-JP"/>
        </w:rPr>
        <w:t>Atlas</w:t>
      </w:r>
      <w:r w:rsidRPr="00A52AB8">
        <w:rPr>
          <w:lang w:eastAsia="ja-JP"/>
        </w:rPr>
        <w:t>BlockToPatchMap[ subBlkY ][ subBlkX </w:t>
      </w:r>
      <w:r w:rsidR="00D106B7" w:rsidRPr="00A52AB8">
        <w:rPr>
          <w:lang w:eastAsia="ja-JP"/>
        </w:rPr>
        <w:t>]</w:t>
      </w:r>
      <w:r w:rsidR="008768E9" w:rsidRPr="00A52AB8">
        <w:rPr>
          <w:lang w:eastAsia="ja-JP"/>
        </w:rPr>
        <w:t> </w:t>
      </w:r>
      <w:r w:rsidR="00726AAE" w:rsidRPr="00A52AB8">
        <w:rPr>
          <w:lang w:eastAsia="ja-JP"/>
        </w:rPr>
        <w:t>==</w:t>
      </w:r>
      <w:r w:rsidR="00D47707" w:rsidRPr="00A52AB8">
        <w:rPr>
          <w:lang w:eastAsia="ja-JP"/>
        </w:rPr>
        <w:t> </w:t>
      </w:r>
      <w:r w:rsidRPr="00A52AB8">
        <w:rPr>
          <w:lang w:eastAsia="ja-JP"/>
        </w:rPr>
        <w:t>pIdx ) </w:t>
      </w:r>
      <w:r w:rsidR="008F1F82" w:rsidRPr="00A52AB8">
        <w:rPr>
          <w:lang w:eastAsia="ja-JP"/>
        </w:rPr>
        <w:t>) {</w:t>
      </w:r>
      <w:r w:rsidR="00D106B7" w:rsidRPr="00A52AB8">
        <w:rPr>
          <w:lang w:eastAsia="ja-JP"/>
        </w:rPr>
        <w:br/>
      </w:r>
      <w:r w:rsidR="00D106B7" w:rsidRPr="00A52AB8">
        <w:rPr>
          <w:lang w:eastAsia="ja-JP"/>
        </w:rPr>
        <w:tab/>
      </w:r>
      <w:r w:rsidR="00D106B7" w:rsidRPr="00A52AB8">
        <w:rPr>
          <w:lang w:eastAsia="ja-JP"/>
        </w:rPr>
        <w:tab/>
      </w:r>
      <w:r w:rsidRPr="00A52AB8">
        <w:rPr>
          <w:lang w:eastAsia="ja-JP"/>
        </w:rPr>
        <w:t>depthNeighbours[ 2 ]</w:t>
      </w:r>
      <w:r w:rsidR="00D47707" w:rsidRPr="00A52AB8">
        <w:rPr>
          <w:lang w:eastAsia="ja-JP"/>
        </w:rPr>
        <w:t> = </w:t>
      </w:r>
      <w:r w:rsidR="00395AA4" w:rsidRPr="00A52AB8">
        <w:rPr>
          <w:lang w:eastAsia="ja-JP"/>
        </w:rPr>
        <w:t>Atlas</w:t>
      </w:r>
      <w:r w:rsidRPr="00A52AB8">
        <w:rPr>
          <w:lang w:eastAsia="ja-JP"/>
        </w:rPr>
        <w:t>Patch</w:t>
      </w:r>
      <w:r w:rsidR="001A4D59" w:rsidRPr="00A52AB8">
        <w:rPr>
          <w:lang w:eastAsia="ja-JP"/>
        </w:rPr>
        <w:t>3dOffsetD</w:t>
      </w:r>
      <w:r w:rsidR="000B7FBC" w:rsidRPr="00A52AB8">
        <w:rPr>
          <w:lang w:eastAsia="ja-JP"/>
        </w:rPr>
        <w:t>[ </w:t>
      </w:r>
      <w:r w:rsidRPr="00A52AB8">
        <w:rPr>
          <w:lang w:eastAsia="ja-JP"/>
        </w:rPr>
        <w:t>pIdx ]</w:t>
      </w:r>
      <w:r w:rsidR="009908FC" w:rsidRPr="00A52AB8">
        <w:rPr>
          <w:lang w:eastAsia="ja-JP"/>
        </w:rPr>
        <w:t> </w:t>
      </w:r>
      <w:r w:rsidRPr="00A52AB8">
        <w:rPr>
          <w:lang w:eastAsia="ja-JP"/>
        </w:rPr>
        <w:t>+</w:t>
      </w:r>
      <w:r w:rsidR="00C61E38" w:rsidRPr="00A52AB8">
        <w:rPr>
          <w:lang w:eastAsia="ja-JP"/>
        </w:rPr>
        <w:br/>
      </w:r>
      <w:r w:rsidRPr="00A52AB8">
        <w:rPr>
          <w:lang w:eastAsia="ja-JP"/>
        </w:rPr>
        <w:tab/>
      </w:r>
      <w:r w:rsidRPr="00A52AB8">
        <w:rPr>
          <w:lang w:eastAsia="ja-JP"/>
        </w:rPr>
        <w:tab/>
      </w:r>
      <w:r w:rsidRPr="00A52AB8">
        <w:rPr>
          <w:lang w:eastAsia="ja-JP"/>
        </w:rPr>
        <w:tab/>
      </w:r>
      <w:r w:rsidR="00C719CB" w:rsidRPr="00A52AB8">
        <w:rPr>
          <w:lang w:eastAsia="ja-JP"/>
        </w:rPr>
        <w:tab/>
      </w:r>
      <w:r w:rsidRPr="00A52AB8">
        <w:rPr>
          <w:lang w:eastAsia="ja-JP"/>
        </w:rPr>
        <w:t>(</w:t>
      </w:r>
      <w:r w:rsidR="003A2227" w:rsidRPr="00A52AB8">
        <w:rPr>
          <w:lang w:eastAsia="ja-JP"/>
        </w:rPr>
        <w:t> </w:t>
      </w:r>
      <w:r w:rsidRPr="00A52AB8">
        <w:rPr>
          <w:lang w:eastAsia="ja-JP"/>
        </w:rPr>
        <w:t>1</w:t>
      </w:r>
      <w:r w:rsidR="00DE69FE" w:rsidRPr="00A52AB8">
        <w:rPr>
          <w:lang w:eastAsia="ja-JP"/>
        </w:rPr>
        <w:t> </w:t>
      </w:r>
      <w:r w:rsidRPr="00A52AB8">
        <w:rPr>
          <w:lang w:eastAsia="ja-JP"/>
        </w:rPr>
        <w:t>–</w:t>
      </w:r>
      <w:r w:rsidR="00DE69FE" w:rsidRPr="00A52AB8">
        <w:rPr>
          <w:lang w:eastAsia="ja-JP"/>
        </w:rPr>
        <w:t> </w:t>
      </w:r>
      <w:r w:rsidRPr="00A52AB8">
        <w:rPr>
          <w:lang w:eastAsia="ja-JP"/>
        </w:rPr>
        <w:t>2*</w:t>
      </w:r>
      <w:r w:rsidR="00DE69FE" w:rsidRPr="00A52AB8">
        <w:rPr>
          <w:lang w:eastAsia="ja-JP"/>
        </w:rPr>
        <w:t> </w:t>
      </w:r>
      <w:r w:rsidR="00973949" w:rsidRPr="00A52AB8">
        <w:rPr>
          <w:lang w:eastAsia="ja-JP"/>
        </w:rPr>
        <w:t>Atlas</w:t>
      </w:r>
      <w:r w:rsidRPr="00A52AB8">
        <w:rPr>
          <w:lang w:eastAsia="ja-JP"/>
        </w:rPr>
        <w:t>PatchProjectionFlag[ pIdx ]</w:t>
      </w:r>
      <w:r w:rsidR="003A2227" w:rsidRPr="00A52AB8">
        <w:rPr>
          <w:lang w:eastAsia="ja-JP"/>
        </w:rPr>
        <w:t> </w:t>
      </w:r>
      <w:r w:rsidRPr="00A52AB8">
        <w:rPr>
          <w:lang w:eastAsia="ja-JP"/>
        </w:rPr>
        <w:t>)</w:t>
      </w:r>
      <w:r w:rsidR="00DE69FE" w:rsidRPr="00A52AB8">
        <w:rPr>
          <w:lang w:eastAsia="ja-JP"/>
        </w:rPr>
        <w:t> </w:t>
      </w:r>
      <w:r w:rsidRPr="00A52AB8">
        <w:rPr>
          <w:lang w:eastAsia="ja-JP"/>
        </w:rPr>
        <w:t>* </w:t>
      </w:r>
      <w:r w:rsidR="003977AF" w:rsidRPr="00A52AB8">
        <w:rPr>
          <w:lang w:eastAsia="ja-JP"/>
        </w:rPr>
        <w:t>g</w:t>
      </w:r>
      <w:r w:rsidRPr="00A52AB8">
        <w:rPr>
          <w:lang w:eastAsia="ja-JP"/>
        </w:rPr>
        <w:t>Frame[ y – 1 ]</w:t>
      </w:r>
      <w:r w:rsidR="004B7314" w:rsidRPr="00A52AB8">
        <w:rPr>
          <w:lang w:eastAsia="ja-JP"/>
        </w:rPr>
        <w:t>[ x ]</w:t>
      </w:r>
      <w:r w:rsidRPr="00A52AB8">
        <w:rPr>
          <w:lang w:eastAsia="ja-JP"/>
        </w:rPr>
        <w:br/>
      </w:r>
      <w:r w:rsidRPr="00A52AB8">
        <w:rPr>
          <w:lang w:eastAsia="ja-JP"/>
        </w:rPr>
        <w:tab/>
      </w:r>
      <w:r w:rsidRPr="00A52AB8">
        <w:rPr>
          <w:lang w:eastAsia="ja-JP"/>
        </w:rPr>
        <w:tab/>
        <w:t>validNeighbourCount++</w:t>
      </w:r>
      <w:r w:rsidRPr="00A52AB8">
        <w:rPr>
          <w:lang w:eastAsia="ja-JP"/>
        </w:rPr>
        <w:br/>
      </w:r>
      <w:r w:rsidRPr="00A52AB8">
        <w:rPr>
          <w:lang w:eastAsia="ja-JP"/>
        </w:rPr>
        <w:tab/>
      </w:r>
      <w:r w:rsidRPr="00A52AB8">
        <w:rPr>
          <w:lang w:eastAsia="ja-JP"/>
        </w:rPr>
        <w:tab/>
        <w:t>minDepth</w:t>
      </w:r>
      <w:r w:rsidR="00D47707" w:rsidRPr="00A52AB8">
        <w:rPr>
          <w:lang w:eastAsia="ja-JP"/>
        </w:rPr>
        <w:t> = </w:t>
      </w:r>
      <w:r w:rsidRPr="00A52AB8">
        <w:rPr>
          <w:lang w:eastAsia="ja-JP"/>
        </w:rPr>
        <w:t>Min( minDepth, depthNeighbour[ 2 ] )</w:t>
      </w:r>
      <w:r w:rsidRPr="00A52AB8">
        <w:rPr>
          <w:lang w:eastAsia="ja-JP"/>
        </w:rPr>
        <w:br/>
      </w:r>
      <w:r w:rsidRPr="00A52AB8">
        <w:rPr>
          <w:lang w:eastAsia="ja-JP"/>
        </w:rPr>
        <w:tab/>
      </w:r>
      <w:r w:rsidRPr="00A52AB8">
        <w:rPr>
          <w:lang w:eastAsia="ja-JP"/>
        </w:rPr>
        <w:tab/>
        <w:t>maxDepth</w:t>
      </w:r>
      <w:r w:rsidR="00D47707" w:rsidRPr="00A52AB8">
        <w:rPr>
          <w:lang w:eastAsia="ja-JP"/>
        </w:rPr>
        <w:t> = </w:t>
      </w:r>
      <w:r w:rsidRPr="00A52AB8">
        <w:rPr>
          <w:lang w:eastAsia="ja-JP"/>
        </w:rPr>
        <w:t>Max( maxDepth, depthNeighbour[ 2 ] )</w:t>
      </w:r>
      <w:r w:rsidRPr="00A52AB8">
        <w:rPr>
          <w:lang w:eastAsia="ja-JP"/>
        </w:rPr>
        <w:br/>
      </w:r>
      <w:r w:rsidRPr="00A52AB8">
        <w:rPr>
          <w:lang w:eastAsia="ja-JP"/>
        </w:rPr>
        <w:tab/>
        <w:t>}</w:t>
      </w:r>
      <w:r w:rsidRPr="00A52AB8">
        <w:rPr>
          <w:lang w:eastAsia="ja-JP"/>
        </w:rPr>
        <w:br/>
        <w:t>}</w:t>
      </w:r>
    </w:p>
    <w:p w14:paraId="115D89ED" w14:textId="369A27C8" w:rsidR="006D74F2" w:rsidRPr="00A52AB8" w:rsidRDefault="006D74F2" w:rsidP="004A6049">
      <w:pPr>
        <w:tabs>
          <w:tab w:val="clear" w:pos="403"/>
          <w:tab w:val="clear" w:pos="806"/>
          <w:tab w:val="clear" w:pos="1210"/>
          <w:tab w:val="clear" w:pos="1613"/>
          <w:tab w:val="clear" w:pos="2016"/>
          <w:tab w:val="clear" w:pos="2419"/>
          <w:tab w:val="clear" w:pos="2822"/>
          <w:tab w:val="clear" w:pos="3226"/>
          <w:tab w:val="left" w:pos="360"/>
          <w:tab w:val="left" w:pos="720"/>
          <w:tab w:val="left" w:pos="1080"/>
          <w:tab w:val="left" w:pos="1440"/>
          <w:tab w:val="left" w:pos="1800"/>
          <w:tab w:val="left" w:pos="2160"/>
        </w:tabs>
        <w:ind w:left="720"/>
        <w:jc w:val="left"/>
        <w:rPr>
          <w:lang w:eastAsia="ja-JP"/>
        </w:rPr>
      </w:pPr>
      <w:r w:rsidRPr="00A52AB8">
        <w:rPr>
          <w:lang w:eastAsia="ja-JP"/>
        </w:rPr>
        <w:t>if( y &lt; ( asps_frame_height – 1 ) </w:t>
      </w:r>
      <w:r w:rsidR="008F1F82" w:rsidRPr="00A52AB8">
        <w:rPr>
          <w:lang w:eastAsia="ja-JP"/>
        </w:rPr>
        <w:t>) {</w:t>
      </w:r>
      <w:r w:rsidR="00C719CB" w:rsidRPr="00A52AB8">
        <w:rPr>
          <w:lang w:eastAsia="ja-JP"/>
        </w:rPr>
        <w:br/>
      </w:r>
      <w:r w:rsidRPr="00A52AB8">
        <w:rPr>
          <w:lang w:eastAsia="ja-JP"/>
        </w:rPr>
        <w:tab/>
        <w:t>subBlkY</w:t>
      </w:r>
      <w:r w:rsidR="00D47707" w:rsidRPr="00A52AB8">
        <w:rPr>
          <w:lang w:eastAsia="ja-JP"/>
        </w:rPr>
        <w:t> = </w:t>
      </w:r>
      <w:r w:rsidRPr="00A52AB8">
        <w:rPr>
          <w:lang w:eastAsia="ja-JP"/>
        </w:rPr>
        <w:t>(y + 1) / PatchPackingBlockSize</w:t>
      </w:r>
      <w:r w:rsidR="00C61E38" w:rsidRPr="00A52AB8">
        <w:rPr>
          <w:lang w:eastAsia="ja-JP"/>
        </w:rPr>
        <w:br/>
      </w:r>
      <w:r w:rsidRPr="00A52AB8">
        <w:rPr>
          <w:lang w:eastAsia="ja-JP"/>
        </w:rPr>
        <w:tab/>
        <w:t>subBlkX</w:t>
      </w:r>
      <w:r w:rsidR="00D47707" w:rsidRPr="00A52AB8">
        <w:rPr>
          <w:lang w:eastAsia="ja-JP"/>
        </w:rPr>
        <w:t> = </w:t>
      </w:r>
      <w:r w:rsidRPr="00A52AB8">
        <w:rPr>
          <w:lang w:eastAsia="ja-JP"/>
        </w:rPr>
        <w:t>x / PatchPackingBlockSize</w:t>
      </w:r>
      <w:r w:rsidR="00C61E38" w:rsidRPr="00A52AB8">
        <w:rPr>
          <w:lang w:eastAsia="ja-JP"/>
        </w:rPr>
        <w:br/>
      </w:r>
      <w:r w:rsidRPr="00A52AB8">
        <w:rPr>
          <w:lang w:eastAsia="ja-JP"/>
        </w:rPr>
        <w:tab/>
        <w:t>if( ( </w:t>
      </w:r>
      <w:r w:rsidR="00755A1B" w:rsidRPr="00A52AB8">
        <w:rPr>
          <w:lang w:eastAsia="ja-JP"/>
        </w:rPr>
        <w:t>o</w:t>
      </w:r>
      <w:r w:rsidRPr="00A52AB8">
        <w:rPr>
          <w:lang w:eastAsia="ja-JP"/>
        </w:rPr>
        <w:t>Frame[ y+ 1 ]</w:t>
      </w:r>
      <w:r w:rsidR="004B7314" w:rsidRPr="00A52AB8">
        <w:rPr>
          <w:lang w:eastAsia="ja-JP"/>
        </w:rPr>
        <w:t>[ x ]</w:t>
      </w:r>
      <w:r w:rsidR="009908FC" w:rsidRPr="00A52AB8">
        <w:rPr>
          <w:lang w:eastAsia="ja-JP"/>
        </w:rPr>
        <w:t> </w:t>
      </w:r>
      <w:r w:rsidR="00E963F3" w:rsidRPr="00A52AB8">
        <w:rPr>
          <w:lang w:eastAsia="ja-JP"/>
        </w:rPr>
        <w:t>!=</w:t>
      </w:r>
      <w:r w:rsidR="00D47707" w:rsidRPr="00A52AB8">
        <w:rPr>
          <w:lang w:eastAsia="ja-JP"/>
        </w:rPr>
        <w:t> </w:t>
      </w:r>
      <w:r w:rsidRPr="00A52AB8">
        <w:rPr>
          <w:lang w:eastAsia="ja-JP"/>
        </w:rPr>
        <w:t>0</w:t>
      </w:r>
      <w:r w:rsidR="009908FC" w:rsidRPr="00A52AB8">
        <w:rPr>
          <w:lang w:eastAsia="ja-JP"/>
        </w:rPr>
        <w:t> </w:t>
      </w:r>
      <w:r w:rsidRPr="00A52AB8">
        <w:rPr>
          <w:lang w:eastAsia="ja-JP"/>
        </w:rPr>
        <w:t>)</w:t>
      </w:r>
      <w:r w:rsidR="009908FC" w:rsidRPr="00A52AB8">
        <w:rPr>
          <w:lang w:eastAsia="ja-JP"/>
        </w:rPr>
        <w:t> </w:t>
      </w:r>
      <w:r w:rsidRPr="00A52AB8">
        <w:rPr>
          <w:lang w:eastAsia="ja-JP"/>
        </w:rPr>
        <w:t>&amp;&amp;</w:t>
      </w:r>
      <w:r w:rsidR="00D106B7" w:rsidRPr="00A52AB8">
        <w:rPr>
          <w:lang w:eastAsia="ja-JP"/>
        </w:rPr>
        <w:br/>
      </w:r>
      <w:r w:rsidR="00D106B7" w:rsidRPr="00A52AB8">
        <w:rPr>
          <w:lang w:eastAsia="ja-JP"/>
        </w:rPr>
        <w:tab/>
      </w:r>
      <w:r w:rsidR="00D106B7" w:rsidRPr="00A52AB8">
        <w:rPr>
          <w:lang w:eastAsia="ja-JP"/>
        </w:rPr>
        <w:tab/>
      </w:r>
      <w:r w:rsidR="00C719CB" w:rsidRPr="00A52AB8">
        <w:rPr>
          <w:lang w:eastAsia="ja-JP"/>
        </w:rPr>
        <w:tab/>
      </w:r>
      <w:r w:rsidRPr="00A52AB8">
        <w:rPr>
          <w:lang w:eastAsia="ja-JP"/>
        </w:rPr>
        <w:t>(</w:t>
      </w:r>
      <w:r w:rsidR="00D106B7" w:rsidRPr="00A52AB8">
        <w:rPr>
          <w:lang w:eastAsia="ja-JP"/>
        </w:rPr>
        <w:t> </w:t>
      </w:r>
      <w:r w:rsidR="00451935" w:rsidRPr="00A52AB8">
        <w:rPr>
          <w:lang w:eastAsia="ja-JP"/>
        </w:rPr>
        <w:t>Atlas</w:t>
      </w:r>
      <w:r w:rsidRPr="00A52AB8">
        <w:rPr>
          <w:lang w:eastAsia="ja-JP"/>
        </w:rPr>
        <w:t>BlockToPatchMap[ subBlkY ][ subBlkX </w:t>
      </w:r>
      <w:r w:rsidR="00D106B7" w:rsidRPr="00A52AB8">
        <w:rPr>
          <w:lang w:eastAsia="ja-JP"/>
        </w:rPr>
        <w:t>]</w:t>
      </w:r>
      <w:r w:rsidR="008768E9" w:rsidRPr="00A52AB8">
        <w:rPr>
          <w:lang w:eastAsia="ja-JP"/>
        </w:rPr>
        <w:t> </w:t>
      </w:r>
      <w:r w:rsidR="00726AAE" w:rsidRPr="00A52AB8">
        <w:rPr>
          <w:lang w:eastAsia="ja-JP"/>
        </w:rPr>
        <w:t>==</w:t>
      </w:r>
      <w:r w:rsidR="00D47707" w:rsidRPr="00A52AB8">
        <w:rPr>
          <w:lang w:eastAsia="ja-JP"/>
        </w:rPr>
        <w:t> </w:t>
      </w:r>
      <w:r w:rsidRPr="00A52AB8">
        <w:rPr>
          <w:lang w:eastAsia="ja-JP"/>
        </w:rPr>
        <w:t>pIdx ) </w:t>
      </w:r>
      <w:r w:rsidR="008F1F82" w:rsidRPr="00A52AB8">
        <w:rPr>
          <w:lang w:eastAsia="ja-JP"/>
        </w:rPr>
        <w:t>) {</w:t>
      </w:r>
      <w:r w:rsidRPr="00A52AB8">
        <w:rPr>
          <w:lang w:eastAsia="ja-JP"/>
        </w:rPr>
        <w:br/>
      </w:r>
      <w:r w:rsidRPr="00A52AB8">
        <w:rPr>
          <w:lang w:eastAsia="ja-JP"/>
        </w:rPr>
        <w:tab/>
      </w:r>
      <w:r w:rsidRPr="00A52AB8">
        <w:rPr>
          <w:lang w:eastAsia="ja-JP"/>
        </w:rPr>
        <w:tab/>
        <w:t>depthNeighbours[ 3 ]</w:t>
      </w:r>
      <w:r w:rsidR="00D47707" w:rsidRPr="00A52AB8">
        <w:rPr>
          <w:lang w:eastAsia="ja-JP"/>
        </w:rPr>
        <w:t> = </w:t>
      </w:r>
      <w:r w:rsidR="00451935" w:rsidRPr="00A52AB8">
        <w:rPr>
          <w:lang w:eastAsia="ja-JP"/>
        </w:rPr>
        <w:t>Atlas</w:t>
      </w:r>
      <w:r w:rsidRPr="00A52AB8">
        <w:rPr>
          <w:lang w:eastAsia="ja-JP"/>
        </w:rPr>
        <w:t>Patch</w:t>
      </w:r>
      <w:r w:rsidR="001A4D59" w:rsidRPr="00A52AB8">
        <w:rPr>
          <w:lang w:eastAsia="ja-JP"/>
        </w:rPr>
        <w:t>3dOffsetD</w:t>
      </w:r>
      <w:r w:rsidR="000B7FBC" w:rsidRPr="00A52AB8">
        <w:rPr>
          <w:lang w:eastAsia="ja-JP"/>
        </w:rPr>
        <w:t>[ </w:t>
      </w:r>
      <w:r w:rsidRPr="00A52AB8">
        <w:rPr>
          <w:lang w:eastAsia="ja-JP"/>
        </w:rPr>
        <w:t>pIdx ]</w:t>
      </w:r>
      <w:r w:rsidR="009908FC" w:rsidRPr="00A52AB8">
        <w:rPr>
          <w:lang w:eastAsia="ja-JP"/>
        </w:rPr>
        <w:t> </w:t>
      </w:r>
      <w:r w:rsidRPr="00A52AB8">
        <w:rPr>
          <w:lang w:eastAsia="ja-JP"/>
        </w:rPr>
        <w:t>+</w:t>
      </w:r>
      <w:r w:rsidRPr="00A52AB8">
        <w:rPr>
          <w:lang w:eastAsia="ja-JP"/>
        </w:rPr>
        <w:br/>
      </w:r>
      <w:r w:rsidRPr="00A52AB8">
        <w:rPr>
          <w:lang w:eastAsia="ja-JP"/>
        </w:rPr>
        <w:tab/>
      </w:r>
      <w:r w:rsidRPr="00A52AB8">
        <w:rPr>
          <w:lang w:eastAsia="ja-JP"/>
        </w:rPr>
        <w:tab/>
      </w:r>
      <w:r w:rsidRPr="00A52AB8">
        <w:rPr>
          <w:lang w:eastAsia="ja-JP"/>
        </w:rPr>
        <w:tab/>
      </w:r>
      <w:r w:rsidR="00C719CB" w:rsidRPr="00A52AB8">
        <w:rPr>
          <w:lang w:eastAsia="ja-JP"/>
        </w:rPr>
        <w:tab/>
      </w:r>
      <w:r w:rsidRPr="00A52AB8">
        <w:rPr>
          <w:lang w:eastAsia="ja-JP"/>
        </w:rPr>
        <w:t>(</w:t>
      </w:r>
      <w:r w:rsidR="00D106B7" w:rsidRPr="00A52AB8">
        <w:rPr>
          <w:lang w:eastAsia="ja-JP"/>
        </w:rPr>
        <w:t> 1 – 2 * </w:t>
      </w:r>
      <w:r w:rsidR="00451935" w:rsidRPr="00A52AB8">
        <w:rPr>
          <w:lang w:eastAsia="ja-JP"/>
        </w:rPr>
        <w:t>Atlas</w:t>
      </w:r>
      <w:r w:rsidRPr="00A52AB8">
        <w:rPr>
          <w:lang w:eastAsia="ja-JP"/>
        </w:rPr>
        <w:t>PatchProjectionFlag[ pIdx ]</w:t>
      </w:r>
      <w:r w:rsidR="00D106B7" w:rsidRPr="00A52AB8">
        <w:rPr>
          <w:lang w:eastAsia="ja-JP"/>
        </w:rPr>
        <w:t> ) </w:t>
      </w:r>
      <w:r w:rsidRPr="00A52AB8">
        <w:rPr>
          <w:lang w:eastAsia="ja-JP"/>
        </w:rPr>
        <w:t>* </w:t>
      </w:r>
      <w:r w:rsidR="00755A1B" w:rsidRPr="00A52AB8">
        <w:rPr>
          <w:lang w:eastAsia="ja-JP"/>
        </w:rPr>
        <w:t>g</w:t>
      </w:r>
      <w:r w:rsidRPr="00A52AB8">
        <w:rPr>
          <w:lang w:eastAsia="ja-JP"/>
        </w:rPr>
        <w:t>Frame</w:t>
      </w:r>
      <w:r w:rsidR="004B7314" w:rsidRPr="00A52AB8">
        <w:rPr>
          <w:lang w:eastAsia="ja-JP"/>
        </w:rPr>
        <w:t>[ y + 1 ][ x ]</w:t>
      </w:r>
      <w:r w:rsidRPr="00A52AB8">
        <w:rPr>
          <w:lang w:eastAsia="ja-JP"/>
        </w:rPr>
        <w:br/>
      </w:r>
      <w:r w:rsidRPr="00A52AB8">
        <w:rPr>
          <w:lang w:eastAsia="ja-JP"/>
        </w:rPr>
        <w:tab/>
      </w:r>
      <w:r w:rsidRPr="00A52AB8">
        <w:rPr>
          <w:lang w:eastAsia="ja-JP"/>
        </w:rPr>
        <w:tab/>
        <w:t>validNeighbourCount++</w:t>
      </w:r>
      <w:r w:rsidRPr="00A52AB8">
        <w:rPr>
          <w:lang w:eastAsia="ja-JP"/>
        </w:rPr>
        <w:br/>
      </w:r>
      <w:r w:rsidRPr="00A52AB8">
        <w:rPr>
          <w:lang w:eastAsia="ja-JP"/>
        </w:rPr>
        <w:tab/>
      </w:r>
      <w:r w:rsidRPr="00A52AB8">
        <w:rPr>
          <w:lang w:eastAsia="ja-JP"/>
        </w:rPr>
        <w:tab/>
        <w:t>minDepth</w:t>
      </w:r>
      <w:r w:rsidR="00D47707" w:rsidRPr="00A52AB8">
        <w:rPr>
          <w:lang w:eastAsia="ja-JP"/>
        </w:rPr>
        <w:t> = </w:t>
      </w:r>
      <w:r w:rsidRPr="00A52AB8">
        <w:rPr>
          <w:lang w:eastAsia="ja-JP"/>
        </w:rPr>
        <w:t>Min( minDepth, depthNeighbour[ 3 ] )</w:t>
      </w:r>
      <w:r w:rsidRPr="00A52AB8">
        <w:rPr>
          <w:lang w:eastAsia="ja-JP"/>
        </w:rPr>
        <w:br/>
      </w:r>
      <w:r w:rsidRPr="00A52AB8">
        <w:rPr>
          <w:lang w:eastAsia="ja-JP"/>
        </w:rPr>
        <w:tab/>
      </w:r>
      <w:r w:rsidRPr="00A52AB8">
        <w:rPr>
          <w:lang w:eastAsia="ja-JP"/>
        </w:rPr>
        <w:tab/>
        <w:t>maxDepth</w:t>
      </w:r>
      <w:r w:rsidR="00D47707" w:rsidRPr="00A52AB8">
        <w:rPr>
          <w:lang w:eastAsia="ja-JP"/>
        </w:rPr>
        <w:t> = </w:t>
      </w:r>
      <w:r w:rsidRPr="00A52AB8">
        <w:rPr>
          <w:lang w:eastAsia="ja-JP"/>
        </w:rPr>
        <w:t>Max( maxDepth, depthNeighbour[ 3 ] )</w:t>
      </w:r>
      <w:r w:rsidRPr="00A52AB8">
        <w:rPr>
          <w:lang w:eastAsia="ja-JP"/>
        </w:rPr>
        <w:br/>
      </w:r>
      <w:r w:rsidRPr="00A52AB8">
        <w:rPr>
          <w:lang w:eastAsia="ja-JP"/>
        </w:rPr>
        <w:tab/>
        <w:t>}</w:t>
      </w:r>
      <w:r w:rsidRPr="00A52AB8">
        <w:rPr>
          <w:lang w:eastAsia="ja-JP"/>
        </w:rPr>
        <w:br/>
        <w:t>}</w:t>
      </w:r>
    </w:p>
    <w:p w14:paraId="0B24480D" w14:textId="0FCBB183" w:rsidR="00C719CB" w:rsidRPr="00A52AB8" w:rsidRDefault="00C719CB"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If validNeighbourCount is greater than 0, the following applies:</w:t>
      </w:r>
    </w:p>
    <w:p w14:paraId="09ECDFCF" w14:textId="6688E1ED" w:rsidR="006D74F2" w:rsidRPr="00A52AB8" w:rsidRDefault="00D63AC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If(</w:t>
      </w:r>
      <w:r w:rsidR="00C719CB" w:rsidRPr="00A52AB8">
        <w:rPr>
          <w:color w:val="000000" w:themeColor="text1"/>
        </w:rPr>
        <w:t> </w:t>
      </w:r>
      <w:r w:rsidR="006D74F2" w:rsidRPr="00A52AB8">
        <w:rPr>
          <w:color w:val="000000" w:themeColor="text1"/>
        </w:rPr>
        <w:t>( x + y ) % 2 ) is equal to 1 the following applies:</w:t>
      </w:r>
    </w:p>
    <w:p w14:paraId="06AE4E3A" w14:textId="208ABBFE" w:rsidR="006D74F2" w:rsidRPr="00A52AB8" w:rsidRDefault="0039392A"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1" w:hanging="403"/>
        <w:textAlignment w:val="baseline"/>
        <w:rPr>
          <w:color w:val="000000" w:themeColor="text1"/>
        </w:rPr>
      </w:pPr>
      <w:r w:rsidRPr="00A52AB8">
        <w:rPr>
          <w:color w:val="000000" w:themeColor="text1"/>
        </w:rPr>
        <w:t>An additional</w:t>
      </w:r>
      <w:r w:rsidR="006D74F2" w:rsidRPr="00A52AB8">
        <w:rPr>
          <w:color w:val="000000" w:themeColor="text1"/>
        </w:rPr>
        <w:t xml:space="preserve"> depth value is estimated as follows:</w:t>
      </w:r>
    </w:p>
    <w:p w14:paraId="67FBBA3F" w14:textId="7692B2FF" w:rsidR="006D74F2" w:rsidRPr="00A52AB8" w:rsidRDefault="006D74F2" w:rsidP="00007BE2">
      <w:pPr>
        <w:pStyle w:val="ListParagraph"/>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 w:val="left" w:pos="360"/>
          <w:tab w:val="left" w:pos="720"/>
          <w:tab w:val="left" w:pos="1080"/>
          <w:tab w:val="left" w:pos="1440"/>
          <w:tab w:val="left" w:pos="1800"/>
          <w:tab w:val="left" w:pos="2160"/>
          <w:tab w:val="left" w:pos="2520"/>
        </w:tabs>
        <w:ind w:leftChars="0" w:left="1610"/>
        <w:jc w:val="left"/>
        <w:rPr>
          <w:color w:val="000000" w:themeColor="text1"/>
        </w:rPr>
      </w:pPr>
      <w:r w:rsidRPr="00A52AB8">
        <w:rPr>
          <w:color w:val="000000" w:themeColor="text1"/>
        </w:rPr>
        <w:t>depth1</w:t>
      </w:r>
      <w:r w:rsidR="00D47707" w:rsidRPr="00A52AB8">
        <w:rPr>
          <w:color w:val="000000" w:themeColor="text1"/>
        </w:rPr>
        <w:t> = </w:t>
      </w:r>
      <w:r w:rsidRPr="00A52AB8">
        <w:rPr>
          <w:color w:val="000000" w:themeColor="text1"/>
        </w:rPr>
        <w:t>po</w:t>
      </w:r>
      <w:r w:rsidR="00C719CB" w:rsidRPr="00A52AB8">
        <w:rPr>
          <w:color w:val="000000" w:themeColor="text1"/>
        </w:rPr>
        <w:t>s</w:t>
      </w:r>
      <w:r w:rsidRPr="00A52AB8">
        <w:rPr>
          <w:color w:val="000000" w:themeColor="text1"/>
        </w:rPr>
        <w:t>3D[ </w:t>
      </w:r>
      <w:r w:rsidR="00451935" w:rsidRPr="00A52AB8">
        <w:rPr>
          <w:color w:val="000000" w:themeColor="text1"/>
        </w:rPr>
        <w:t>Atlas</w:t>
      </w:r>
      <w:r w:rsidR="00254895" w:rsidRPr="00A52AB8">
        <w:rPr>
          <w:color w:val="000000" w:themeColor="text1"/>
        </w:rPr>
        <w:t>PatchAxisD</w:t>
      </w:r>
      <w:r w:rsidRPr="00A52AB8">
        <w:rPr>
          <w:color w:val="000000" w:themeColor="text1"/>
        </w:rPr>
        <w:t>[ p</w:t>
      </w:r>
      <w:r w:rsidRPr="00A52AB8">
        <w:rPr>
          <w:rFonts w:eastAsia="Malgun Gothic"/>
          <w:color w:val="000000" w:themeColor="text1"/>
        </w:rPr>
        <w:t>Idx</w:t>
      </w:r>
      <w:r w:rsidRPr="00A52AB8">
        <w:rPr>
          <w:color w:val="000000" w:themeColor="text1"/>
        </w:rPr>
        <w:t> ] ]</w:t>
      </w:r>
      <w:r w:rsidR="00C719CB" w:rsidRPr="00A52AB8">
        <w:rPr>
          <w:color w:val="000000" w:themeColor="text1"/>
        </w:rPr>
        <w:br/>
        <w:t>depthLowerBound</w:t>
      </w:r>
      <w:r w:rsidR="00D47707" w:rsidRPr="00A52AB8">
        <w:rPr>
          <w:color w:val="000000" w:themeColor="text1"/>
        </w:rPr>
        <w:t> = </w:t>
      </w:r>
      <w:r w:rsidR="00C719CB" w:rsidRPr="00A52AB8">
        <w:rPr>
          <w:color w:val="000000" w:themeColor="text1"/>
        </w:rPr>
        <w:t>depth1 – asps_vpcc_surface_thickness_minus1 – 1</w:t>
      </w:r>
      <w:r w:rsidR="00C719CB" w:rsidRPr="00A52AB8">
        <w:rPr>
          <w:color w:val="000000" w:themeColor="text1"/>
        </w:rPr>
        <w:br/>
        <w:t>depthUpperBound</w:t>
      </w:r>
      <w:r w:rsidR="00D47707" w:rsidRPr="00A52AB8">
        <w:rPr>
          <w:color w:val="000000" w:themeColor="text1"/>
        </w:rPr>
        <w:t> = </w:t>
      </w:r>
      <w:r w:rsidR="00C719CB" w:rsidRPr="00A52AB8">
        <w:rPr>
          <w:color w:val="000000" w:themeColor="text1"/>
        </w:rPr>
        <w:t>depth1 + asps_vpcc_surface_thickness_minus1 + 1</w:t>
      </w:r>
      <w:r w:rsidRPr="00A52AB8">
        <w:rPr>
          <w:color w:val="000000" w:themeColor="text1"/>
        </w:rPr>
        <w:br/>
        <w:t>for( k</w:t>
      </w:r>
      <w:r w:rsidR="00D47707" w:rsidRPr="00A52AB8">
        <w:rPr>
          <w:color w:val="000000" w:themeColor="text1"/>
        </w:rPr>
        <w:t> = </w:t>
      </w:r>
      <w:r w:rsidRPr="00A52AB8">
        <w:rPr>
          <w:color w:val="000000" w:themeColor="text1"/>
        </w:rPr>
        <w:t>0; k &lt; 3; k</w:t>
      </w:r>
      <w:r w:rsidR="00006CCF" w:rsidRPr="00A52AB8">
        <w:rPr>
          <w:color w:val="000000" w:themeColor="text1"/>
        </w:rPr>
        <w:t>++ )</w:t>
      </w:r>
      <w:r w:rsidRPr="00A52AB8">
        <w:rPr>
          <w:color w:val="000000" w:themeColor="text1"/>
        </w:rPr>
        <w:br/>
      </w:r>
      <w:r w:rsidRPr="00A52AB8">
        <w:rPr>
          <w:color w:val="000000" w:themeColor="text1"/>
        </w:rPr>
        <w:tab/>
      </w:r>
      <w:r w:rsidR="00C719CB" w:rsidRPr="00A52AB8">
        <w:rPr>
          <w:color w:val="000000" w:themeColor="text1"/>
        </w:rPr>
        <w:t>point3D</w:t>
      </w:r>
      <w:r w:rsidR="004B7314" w:rsidRPr="00A52AB8">
        <w:rPr>
          <w:color w:val="000000" w:themeColor="text1"/>
        </w:rPr>
        <w:t>[ k ]</w:t>
      </w:r>
      <w:r w:rsidR="00D47707" w:rsidRPr="00A52AB8">
        <w:rPr>
          <w:color w:val="000000" w:themeColor="text1"/>
        </w:rPr>
        <w:t> = </w:t>
      </w:r>
      <w:r w:rsidRPr="00A52AB8">
        <w:rPr>
          <w:color w:val="000000" w:themeColor="text1"/>
        </w:rPr>
        <w:t>po</w:t>
      </w:r>
      <w:r w:rsidR="00C719CB" w:rsidRPr="00A52AB8">
        <w:rPr>
          <w:color w:val="000000" w:themeColor="text1"/>
        </w:rPr>
        <w:t>s</w:t>
      </w:r>
      <w:r w:rsidRPr="00A52AB8">
        <w:rPr>
          <w:color w:val="000000" w:themeColor="text1"/>
        </w:rPr>
        <w:t>3D</w:t>
      </w:r>
      <w:r w:rsidR="004B7314" w:rsidRPr="00A52AB8">
        <w:rPr>
          <w:color w:val="000000" w:themeColor="text1"/>
        </w:rPr>
        <w:t>[ k ]</w:t>
      </w:r>
      <w:r w:rsidRPr="00A52AB8">
        <w:rPr>
          <w:color w:val="000000" w:themeColor="text1"/>
        </w:rPr>
        <w:br/>
        <w:t>if( </w:t>
      </w:r>
      <w:r w:rsidR="00451935" w:rsidRPr="00A52AB8">
        <w:rPr>
          <w:color w:val="000000" w:themeColor="text1"/>
        </w:rPr>
        <w:t>Atlas</w:t>
      </w:r>
      <w:r w:rsidRPr="00A52AB8">
        <w:rPr>
          <w:color w:val="000000" w:themeColor="text1"/>
        </w:rPr>
        <w:t>PatchProjectionFlag[ p</w:t>
      </w:r>
      <w:r w:rsidRPr="00A52AB8">
        <w:rPr>
          <w:rFonts w:eastAsia="Malgun Gothic"/>
          <w:color w:val="000000" w:themeColor="text1"/>
        </w:rPr>
        <w:t>Idx</w:t>
      </w:r>
      <w:r w:rsidRPr="00A52AB8">
        <w:rPr>
          <w:color w:val="000000" w:themeColor="text1"/>
        </w:rPr>
        <w:t> ]</w:t>
      </w:r>
      <w:r w:rsidR="008768E9" w:rsidRPr="00A52AB8">
        <w:rPr>
          <w:color w:val="000000" w:themeColor="text1"/>
        </w:rPr>
        <w:t> </w:t>
      </w:r>
      <w:r w:rsidR="00726AAE" w:rsidRPr="00A52AB8">
        <w:rPr>
          <w:color w:val="000000" w:themeColor="text1"/>
        </w:rPr>
        <w:t>==</w:t>
      </w:r>
      <w:r w:rsidR="00D47707" w:rsidRPr="00A52AB8">
        <w:rPr>
          <w:color w:val="000000" w:themeColor="text1"/>
        </w:rPr>
        <w:t> </w:t>
      </w:r>
      <w:r w:rsidRPr="00A52AB8">
        <w:rPr>
          <w:color w:val="000000" w:themeColor="text1"/>
        </w:rPr>
        <w:t>0 )</w:t>
      </w:r>
      <w:r w:rsidRPr="00A52AB8">
        <w:rPr>
          <w:color w:val="000000" w:themeColor="text1"/>
        </w:rPr>
        <w:br/>
      </w:r>
      <w:r w:rsidRPr="00A52AB8">
        <w:rPr>
          <w:color w:val="000000" w:themeColor="text1"/>
        </w:rPr>
        <w:tab/>
        <w:t>depth0</w:t>
      </w:r>
      <w:r w:rsidR="00D47707" w:rsidRPr="00A52AB8">
        <w:rPr>
          <w:color w:val="000000" w:themeColor="text1"/>
        </w:rPr>
        <w:t> = </w:t>
      </w:r>
      <w:r w:rsidRPr="00A52AB8">
        <w:rPr>
          <w:color w:val="000000" w:themeColor="text1"/>
        </w:rPr>
        <w:t>Clip3(</w:t>
      </w:r>
      <w:r w:rsidR="00C719CB" w:rsidRPr="00A52AB8">
        <w:rPr>
          <w:color w:val="000000" w:themeColor="text1"/>
        </w:rPr>
        <w:t>depthLowerBound</w:t>
      </w:r>
      <w:r w:rsidRPr="00A52AB8">
        <w:rPr>
          <w:color w:val="000000" w:themeColor="text1"/>
        </w:rPr>
        <w:t>, depth1, minDepth )</w:t>
      </w:r>
      <w:r w:rsidRPr="00A52AB8" w:rsidDel="007E00A9">
        <w:rPr>
          <w:color w:val="000000" w:themeColor="text1"/>
        </w:rPr>
        <w:t xml:space="preserve"> </w:t>
      </w:r>
      <w:r w:rsidRPr="00A52AB8">
        <w:rPr>
          <w:color w:val="000000" w:themeColor="text1"/>
        </w:rPr>
        <w:br/>
        <w:t>else</w:t>
      </w:r>
      <w:r w:rsidRPr="00A52AB8">
        <w:rPr>
          <w:color w:val="000000" w:themeColor="text1"/>
        </w:rPr>
        <w:br/>
      </w:r>
      <w:r w:rsidRPr="00A52AB8">
        <w:rPr>
          <w:color w:val="000000" w:themeColor="text1"/>
        </w:rPr>
        <w:tab/>
        <w:t>depth0</w:t>
      </w:r>
      <w:r w:rsidR="00D47707" w:rsidRPr="00A52AB8">
        <w:rPr>
          <w:color w:val="000000" w:themeColor="text1"/>
        </w:rPr>
        <w:t> = </w:t>
      </w:r>
      <w:r w:rsidRPr="00A52AB8">
        <w:rPr>
          <w:color w:val="000000" w:themeColor="text1"/>
        </w:rPr>
        <w:t>Clip3( depth1, </w:t>
      </w:r>
      <w:r w:rsidR="003E60B7" w:rsidRPr="00A52AB8">
        <w:rPr>
          <w:color w:val="000000" w:themeColor="text1"/>
        </w:rPr>
        <w:t>depthUpperBound</w:t>
      </w:r>
      <w:r w:rsidRPr="00A52AB8">
        <w:rPr>
          <w:color w:val="000000" w:themeColor="text1"/>
        </w:rPr>
        <w:t>, maxDepth )</w:t>
      </w:r>
    </w:p>
    <w:p w14:paraId="3F24DF0D" w14:textId="77777777" w:rsidR="006D74F2" w:rsidRPr="00A52AB8"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1" w:hanging="403"/>
        <w:textAlignment w:val="baseline"/>
        <w:rPr>
          <w:color w:val="000000" w:themeColor="text1"/>
        </w:rPr>
      </w:pPr>
      <w:r w:rsidRPr="00A52AB8">
        <w:rPr>
          <w:color w:val="000000" w:themeColor="text1"/>
        </w:rPr>
        <w:t>If depth0 is not equal to depth1, the following applies:</w:t>
      </w:r>
    </w:p>
    <w:p w14:paraId="048DB93D" w14:textId="0FC03B79" w:rsidR="006D74F2" w:rsidRPr="00A52AB8" w:rsidRDefault="003E60B7" w:rsidP="00007BE2">
      <w:pPr>
        <w:pStyle w:val="ListParagraph"/>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 w:val="left" w:pos="360"/>
          <w:tab w:val="left" w:pos="720"/>
          <w:tab w:val="left" w:pos="1080"/>
          <w:tab w:val="left" w:pos="1440"/>
          <w:tab w:val="left" w:pos="1800"/>
          <w:tab w:val="left" w:pos="2160"/>
          <w:tab w:val="left" w:pos="2520"/>
        </w:tabs>
        <w:ind w:leftChars="0" w:left="1610"/>
        <w:jc w:val="left"/>
        <w:rPr>
          <w:color w:val="000000" w:themeColor="text1"/>
        </w:rPr>
      </w:pPr>
      <w:r w:rsidRPr="00A52AB8">
        <w:rPr>
          <w:color w:val="000000" w:themeColor="text1"/>
        </w:rPr>
        <w:t>point3D</w:t>
      </w:r>
      <w:r w:rsidR="006D74F2" w:rsidRPr="00A52AB8">
        <w:rPr>
          <w:color w:val="000000" w:themeColor="text1"/>
        </w:rPr>
        <w:t>[ </w:t>
      </w:r>
      <w:r w:rsidR="00451935" w:rsidRPr="00A52AB8">
        <w:rPr>
          <w:color w:val="000000" w:themeColor="text1"/>
        </w:rPr>
        <w:t>Atlas</w:t>
      </w:r>
      <w:r w:rsidR="00254895" w:rsidRPr="00A52AB8">
        <w:rPr>
          <w:color w:val="000000" w:themeColor="text1"/>
        </w:rPr>
        <w:t>PatchAxisD</w:t>
      </w:r>
      <w:r w:rsidR="006D74F2" w:rsidRPr="00A52AB8">
        <w:rPr>
          <w:color w:val="000000" w:themeColor="text1"/>
        </w:rPr>
        <w:t>[ pIdx ] ]</w:t>
      </w:r>
      <w:r w:rsidR="00D47707" w:rsidRPr="00A52AB8">
        <w:rPr>
          <w:color w:val="000000" w:themeColor="text1"/>
        </w:rPr>
        <w:t> = </w:t>
      </w:r>
      <w:r w:rsidR="006D74F2" w:rsidRPr="00A52AB8">
        <w:rPr>
          <w:color w:val="000000" w:themeColor="text1"/>
        </w:rPr>
        <w:t>depth0</w:t>
      </w:r>
      <w:r w:rsidR="00C719CB" w:rsidRPr="00A52AB8">
        <w:rPr>
          <w:color w:val="000000" w:themeColor="text1"/>
        </w:rPr>
        <w:br/>
      </w:r>
      <w:r w:rsidR="006D74F2" w:rsidRPr="00A52AB8">
        <w:rPr>
          <w:color w:val="000000" w:themeColor="text1"/>
        </w:rPr>
        <w:t>for( k</w:t>
      </w:r>
      <w:r w:rsidR="00D47707" w:rsidRPr="00A52AB8">
        <w:rPr>
          <w:color w:val="000000" w:themeColor="text1"/>
        </w:rPr>
        <w:t> = </w:t>
      </w:r>
      <w:r w:rsidR="006D74F2" w:rsidRPr="00A52AB8">
        <w:rPr>
          <w:color w:val="000000" w:themeColor="text1"/>
        </w:rPr>
        <w:t>0; k &lt; 3; k</w:t>
      </w:r>
      <w:r w:rsidR="00006CCF" w:rsidRPr="00A52AB8">
        <w:rPr>
          <w:color w:val="000000" w:themeColor="text1"/>
        </w:rPr>
        <w:t>++ )</w:t>
      </w:r>
      <w:r w:rsidR="006D74F2" w:rsidRPr="00A52AB8">
        <w:rPr>
          <w:color w:val="000000" w:themeColor="text1"/>
        </w:rPr>
        <w:br/>
      </w:r>
      <w:r w:rsidR="006D74F2" w:rsidRPr="00A52AB8">
        <w:rPr>
          <w:color w:val="000000" w:themeColor="text1"/>
        </w:rPr>
        <w:tab/>
      </w:r>
      <w:r w:rsidR="00E63F45" w:rsidRPr="00A52AB8">
        <w:rPr>
          <w:color w:val="000000" w:themeColor="text1"/>
        </w:rPr>
        <w:t>r</w:t>
      </w:r>
      <w:r w:rsidR="006D74F2" w:rsidRPr="00A52AB8">
        <w:rPr>
          <w:color w:val="000000" w:themeColor="text1"/>
        </w:rPr>
        <w:t>ecPcGeo[ PointCnt ]</w:t>
      </w:r>
      <w:r w:rsidR="004B7314" w:rsidRPr="00A52AB8">
        <w:rPr>
          <w:color w:val="000000" w:themeColor="text1"/>
        </w:rPr>
        <w:t>[ k ]</w:t>
      </w:r>
      <w:r w:rsidR="00D47707" w:rsidRPr="00A52AB8">
        <w:rPr>
          <w:color w:val="000000" w:themeColor="text1"/>
        </w:rPr>
        <w:t> = </w:t>
      </w:r>
      <w:r w:rsidR="006D74F2" w:rsidRPr="00A52AB8">
        <w:rPr>
          <w:color w:val="000000" w:themeColor="text1"/>
        </w:rPr>
        <w:t>po</w:t>
      </w:r>
      <w:r w:rsidRPr="00A52AB8">
        <w:rPr>
          <w:color w:val="000000" w:themeColor="text1"/>
        </w:rPr>
        <w:t>int</w:t>
      </w:r>
      <w:r w:rsidR="006D74F2" w:rsidRPr="00A52AB8">
        <w:rPr>
          <w:color w:val="000000" w:themeColor="text1"/>
        </w:rPr>
        <w:t>3D</w:t>
      </w:r>
      <w:r w:rsidR="004B7314" w:rsidRPr="00A52AB8">
        <w:rPr>
          <w:color w:val="000000" w:themeColor="text1"/>
        </w:rPr>
        <w:t>[ k ]</w:t>
      </w:r>
      <w:r w:rsidR="006D74F2" w:rsidRPr="00A52AB8">
        <w:rPr>
          <w:color w:val="000000" w:themeColor="text1"/>
        </w:rPr>
        <w:br/>
      </w:r>
      <w:r w:rsidR="00E63F45" w:rsidRPr="00A52AB8">
        <w:rPr>
          <w:color w:val="000000" w:themeColor="text1"/>
        </w:rPr>
        <w:t>a</w:t>
      </w:r>
      <w:r w:rsidR="006D74F2" w:rsidRPr="00A52AB8">
        <w:rPr>
          <w:color w:val="000000" w:themeColor="text1"/>
        </w:rPr>
        <w:t>ttrPresent[ </w:t>
      </w:r>
      <w:r w:rsidR="00E63F45" w:rsidRPr="00A52AB8">
        <w:rPr>
          <w:color w:val="000000" w:themeColor="text1"/>
        </w:rPr>
        <w:t>p</w:t>
      </w:r>
      <w:r w:rsidR="006D74F2" w:rsidRPr="00A52AB8">
        <w:rPr>
          <w:color w:val="000000" w:themeColor="text1"/>
        </w:rPr>
        <w:t>ointCnt ]</w:t>
      </w:r>
      <w:r w:rsidR="00D47707" w:rsidRPr="00A52AB8">
        <w:rPr>
          <w:color w:val="000000" w:themeColor="text1"/>
        </w:rPr>
        <w:t> = </w:t>
      </w:r>
      <w:r w:rsidR="006D74F2" w:rsidRPr="00A52AB8">
        <w:rPr>
          <w:color w:val="000000" w:themeColor="text1"/>
        </w:rPr>
        <w:t>0</w:t>
      </w:r>
      <w:r w:rsidR="006D74F2" w:rsidRPr="00A52AB8">
        <w:rPr>
          <w:color w:val="000000" w:themeColor="text1"/>
        </w:rPr>
        <w:br/>
      </w:r>
      <w:r w:rsidR="00E63F45" w:rsidRPr="00A52AB8">
        <w:rPr>
          <w:color w:val="000000" w:themeColor="text1"/>
        </w:rPr>
        <w:t>p</w:t>
      </w:r>
      <w:r w:rsidR="006D74F2" w:rsidRPr="00A52AB8">
        <w:rPr>
          <w:color w:val="000000" w:themeColor="text1"/>
        </w:rPr>
        <w:t>ointToPatch[ </w:t>
      </w:r>
      <w:r w:rsidR="00E63F45" w:rsidRPr="00A52AB8">
        <w:rPr>
          <w:color w:val="000000" w:themeColor="text1"/>
        </w:rPr>
        <w:t>p</w:t>
      </w:r>
      <w:r w:rsidR="006D74F2" w:rsidRPr="00A52AB8">
        <w:rPr>
          <w:color w:val="000000" w:themeColor="text1"/>
        </w:rPr>
        <w:t>ointCnt ]</w:t>
      </w:r>
      <w:r w:rsidR="00D47707" w:rsidRPr="00A52AB8">
        <w:rPr>
          <w:color w:val="000000" w:themeColor="text1"/>
        </w:rPr>
        <w:t> = </w:t>
      </w:r>
      <w:r w:rsidR="006D74F2" w:rsidRPr="00A52AB8">
        <w:rPr>
          <w:color w:val="000000" w:themeColor="text1"/>
        </w:rPr>
        <w:t>pIdx</w:t>
      </w:r>
      <w:r w:rsidRPr="00A52AB8">
        <w:rPr>
          <w:color w:val="000000" w:themeColor="text1"/>
        </w:rPr>
        <w:br/>
        <w:t>pointToPixel[ pointCnt ][ 0 ]</w:t>
      </w:r>
      <w:r w:rsidR="00D47707" w:rsidRPr="00A52AB8">
        <w:rPr>
          <w:color w:val="000000" w:themeColor="text1"/>
        </w:rPr>
        <w:t> = </w:t>
      </w:r>
      <w:r w:rsidRPr="00A52AB8">
        <w:rPr>
          <w:color w:val="000000" w:themeColor="text1"/>
        </w:rPr>
        <w:t>x</w:t>
      </w:r>
      <w:r w:rsidRPr="00A52AB8">
        <w:rPr>
          <w:color w:val="000000" w:themeColor="text1"/>
        </w:rPr>
        <w:br/>
        <w:t>pointToPixel[ pointCnt ][ 1 ]</w:t>
      </w:r>
      <w:r w:rsidR="00D47707" w:rsidRPr="00A52AB8">
        <w:rPr>
          <w:color w:val="000000" w:themeColor="text1"/>
        </w:rPr>
        <w:t> = </w:t>
      </w:r>
      <w:r w:rsidRPr="00A52AB8">
        <w:rPr>
          <w:color w:val="000000" w:themeColor="text1"/>
        </w:rPr>
        <w:t>y</w:t>
      </w:r>
      <w:r w:rsidR="006D74F2" w:rsidRPr="00A52AB8">
        <w:rPr>
          <w:color w:val="000000" w:themeColor="text1"/>
        </w:rPr>
        <w:br/>
      </w:r>
      <w:r w:rsidR="00E63F45" w:rsidRPr="00A52AB8">
        <w:rPr>
          <w:color w:val="000000" w:themeColor="text1"/>
        </w:rPr>
        <w:t>p</w:t>
      </w:r>
      <w:r w:rsidR="006D74F2" w:rsidRPr="00A52AB8">
        <w:rPr>
          <w:color w:val="000000" w:themeColor="text1"/>
        </w:rPr>
        <w:t>ointCnt</w:t>
      </w:r>
      <w:r w:rsidR="008768E9" w:rsidRPr="00A52AB8">
        <w:rPr>
          <w:color w:val="000000" w:themeColor="text1"/>
        </w:rPr>
        <w:t>++</w:t>
      </w:r>
    </w:p>
    <w:p w14:paraId="4C07FF86" w14:textId="60EC0F54" w:rsidR="006D74F2" w:rsidRPr="00A52AB8"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Otherwise ( </w:t>
      </w:r>
      <w:r w:rsidR="005744FA" w:rsidRPr="00A52AB8">
        <w:rPr>
          <w:color w:val="000000" w:themeColor="text1"/>
        </w:rPr>
        <w:t>( </w:t>
      </w:r>
      <w:r w:rsidRPr="00A52AB8">
        <w:rPr>
          <w:color w:val="000000" w:themeColor="text1"/>
        </w:rPr>
        <w:t>( x + y ) % 2 ) is equal to 0 ) the following applies:</w:t>
      </w:r>
    </w:p>
    <w:p w14:paraId="33F56CFD" w14:textId="055AB753" w:rsidR="006D74F2" w:rsidRPr="00A52AB8" w:rsidRDefault="0039392A"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An additional</w:t>
      </w:r>
      <w:r w:rsidR="006D74F2" w:rsidRPr="00A52AB8">
        <w:rPr>
          <w:color w:val="000000" w:themeColor="text1"/>
        </w:rPr>
        <w:t xml:space="preserve"> depth value is estimated as follows:</w:t>
      </w:r>
    </w:p>
    <w:p w14:paraId="6962FF4C" w14:textId="30A7C297" w:rsidR="006D74F2" w:rsidRPr="00A52AB8" w:rsidRDefault="006D74F2" w:rsidP="00007BE2">
      <w:pPr>
        <w:pStyle w:val="ListParagraph"/>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 w:val="left" w:pos="360"/>
          <w:tab w:val="left" w:pos="720"/>
          <w:tab w:val="left" w:pos="1080"/>
          <w:tab w:val="left" w:pos="1440"/>
          <w:tab w:val="left" w:pos="1800"/>
          <w:tab w:val="left" w:pos="2160"/>
          <w:tab w:val="left" w:pos="2520"/>
        </w:tabs>
        <w:ind w:leftChars="0" w:left="1208"/>
        <w:jc w:val="left"/>
        <w:rPr>
          <w:color w:val="000000" w:themeColor="text1"/>
        </w:rPr>
      </w:pPr>
      <w:r w:rsidRPr="00A52AB8">
        <w:rPr>
          <w:color w:val="000000" w:themeColor="text1"/>
        </w:rPr>
        <w:t>depth0</w:t>
      </w:r>
      <w:r w:rsidR="00D47707" w:rsidRPr="00A52AB8">
        <w:rPr>
          <w:color w:val="000000" w:themeColor="text1"/>
        </w:rPr>
        <w:t> = </w:t>
      </w:r>
      <w:r w:rsidR="003E60B7" w:rsidRPr="00A52AB8">
        <w:rPr>
          <w:color w:val="000000" w:themeColor="text1"/>
        </w:rPr>
        <w:t>pos3D</w:t>
      </w:r>
      <w:r w:rsidRPr="00A52AB8">
        <w:rPr>
          <w:color w:val="000000" w:themeColor="text1"/>
        </w:rPr>
        <w:t>[ </w:t>
      </w:r>
      <w:r w:rsidR="00451935" w:rsidRPr="00A52AB8">
        <w:rPr>
          <w:color w:val="000000" w:themeColor="text1"/>
        </w:rPr>
        <w:t>Atlas</w:t>
      </w:r>
      <w:r w:rsidR="00254895" w:rsidRPr="00A52AB8">
        <w:rPr>
          <w:color w:val="000000" w:themeColor="text1"/>
        </w:rPr>
        <w:t>PatchAxisD</w:t>
      </w:r>
      <w:r w:rsidRPr="00A52AB8">
        <w:rPr>
          <w:color w:val="000000" w:themeColor="text1"/>
        </w:rPr>
        <w:t>[ pIdx ] ]</w:t>
      </w:r>
      <w:r w:rsidRPr="00A52AB8">
        <w:rPr>
          <w:color w:val="000000" w:themeColor="text1"/>
        </w:rPr>
        <w:br/>
        <w:t>for( k</w:t>
      </w:r>
      <w:r w:rsidR="00D47707" w:rsidRPr="00A52AB8">
        <w:rPr>
          <w:color w:val="000000" w:themeColor="text1"/>
        </w:rPr>
        <w:t> = </w:t>
      </w:r>
      <w:r w:rsidRPr="00A52AB8">
        <w:rPr>
          <w:color w:val="000000" w:themeColor="text1"/>
        </w:rPr>
        <w:t>0; k &lt; 3; k</w:t>
      </w:r>
      <w:r w:rsidR="00006CCF" w:rsidRPr="00A52AB8">
        <w:rPr>
          <w:color w:val="000000" w:themeColor="text1"/>
        </w:rPr>
        <w:t>++ )</w:t>
      </w:r>
      <w:r w:rsidRPr="00A52AB8">
        <w:rPr>
          <w:color w:val="000000" w:themeColor="text1"/>
        </w:rPr>
        <w:br/>
      </w:r>
      <w:r w:rsidRPr="00A52AB8">
        <w:rPr>
          <w:color w:val="000000" w:themeColor="text1"/>
        </w:rPr>
        <w:tab/>
      </w:r>
      <w:r w:rsidR="003E60B7" w:rsidRPr="00A52AB8">
        <w:rPr>
          <w:color w:val="000000" w:themeColor="text1"/>
        </w:rPr>
        <w:t>point3D</w:t>
      </w:r>
      <w:r w:rsidR="004B7314" w:rsidRPr="00A52AB8">
        <w:rPr>
          <w:color w:val="000000" w:themeColor="text1"/>
        </w:rPr>
        <w:t>[ k ]</w:t>
      </w:r>
      <w:r w:rsidR="00D47707" w:rsidRPr="00A52AB8">
        <w:rPr>
          <w:color w:val="000000" w:themeColor="text1"/>
        </w:rPr>
        <w:t> = </w:t>
      </w:r>
      <w:r w:rsidRPr="00A52AB8">
        <w:rPr>
          <w:color w:val="000000" w:themeColor="text1"/>
        </w:rPr>
        <w:t>po</w:t>
      </w:r>
      <w:r w:rsidR="003E60B7" w:rsidRPr="00A52AB8">
        <w:rPr>
          <w:color w:val="000000" w:themeColor="text1"/>
        </w:rPr>
        <w:t>s</w:t>
      </w:r>
      <w:r w:rsidRPr="00A52AB8">
        <w:rPr>
          <w:color w:val="000000" w:themeColor="text1"/>
        </w:rPr>
        <w:t>3D</w:t>
      </w:r>
      <w:r w:rsidR="004B7314" w:rsidRPr="00A52AB8">
        <w:rPr>
          <w:color w:val="000000" w:themeColor="text1"/>
        </w:rPr>
        <w:t>[ k ]</w:t>
      </w:r>
      <w:r w:rsidRPr="00A52AB8">
        <w:rPr>
          <w:color w:val="000000" w:themeColor="text1"/>
        </w:rPr>
        <w:br/>
        <w:t>averageDepth</w:t>
      </w:r>
      <w:r w:rsidR="00D47707" w:rsidRPr="00A52AB8">
        <w:rPr>
          <w:color w:val="000000" w:themeColor="text1"/>
        </w:rPr>
        <w:t> = </w:t>
      </w:r>
      <w:r w:rsidRPr="00A52AB8">
        <w:rPr>
          <w:color w:val="000000" w:themeColor="text1"/>
        </w:rPr>
        <w:t>0</w:t>
      </w:r>
      <w:r w:rsidRPr="00A52AB8">
        <w:rPr>
          <w:color w:val="000000" w:themeColor="text1"/>
        </w:rPr>
        <w:br/>
        <w:t>for( </w:t>
      </w:r>
      <w:r w:rsidR="003E60B7" w:rsidRPr="00A52AB8">
        <w:rPr>
          <w:color w:val="000000" w:themeColor="text1"/>
        </w:rPr>
        <w:t>d</w:t>
      </w:r>
      <w:r w:rsidR="00D47707" w:rsidRPr="00A52AB8">
        <w:rPr>
          <w:color w:val="000000" w:themeColor="text1"/>
        </w:rPr>
        <w:t> = </w:t>
      </w:r>
      <w:r w:rsidRPr="00A52AB8">
        <w:rPr>
          <w:color w:val="000000" w:themeColor="text1"/>
        </w:rPr>
        <w:t>0; </w:t>
      </w:r>
      <w:r w:rsidR="003E60B7" w:rsidRPr="00A52AB8">
        <w:rPr>
          <w:color w:val="000000" w:themeColor="text1"/>
        </w:rPr>
        <w:t>d </w:t>
      </w:r>
      <w:r w:rsidRPr="00A52AB8">
        <w:rPr>
          <w:color w:val="000000" w:themeColor="text1"/>
        </w:rPr>
        <w:t>&lt; 4; </w:t>
      </w:r>
      <w:r w:rsidR="003E60B7" w:rsidRPr="00A52AB8">
        <w:rPr>
          <w:color w:val="000000" w:themeColor="text1"/>
        </w:rPr>
        <w:t>d</w:t>
      </w:r>
      <w:r w:rsidR="00006CCF" w:rsidRPr="00A52AB8">
        <w:rPr>
          <w:color w:val="000000" w:themeColor="text1"/>
        </w:rPr>
        <w:t>++ )</w:t>
      </w:r>
      <w:r w:rsidRPr="00A52AB8">
        <w:rPr>
          <w:color w:val="000000" w:themeColor="text1"/>
        </w:rPr>
        <w:br/>
      </w:r>
      <w:r w:rsidRPr="00A52AB8">
        <w:rPr>
          <w:color w:val="000000" w:themeColor="text1"/>
        </w:rPr>
        <w:tab/>
        <w:t>averageDepth </w:t>
      </w:r>
      <w:r w:rsidR="00A234FD" w:rsidRPr="00A52AB8">
        <w:rPr>
          <w:color w:val="000000" w:themeColor="text1"/>
        </w:rPr>
        <w:t>+=</w:t>
      </w:r>
      <w:r w:rsidR="00D47707" w:rsidRPr="00A52AB8">
        <w:rPr>
          <w:color w:val="000000" w:themeColor="text1"/>
        </w:rPr>
        <w:t> </w:t>
      </w:r>
      <w:r w:rsidRPr="00A52AB8">
        <w:rPr>
          <w:color w:val="000000" w:themeColor="text1"/>
        </w:rPr>
        <w:t>depthNeighbours</w:t>
      </w:r>
      <w:r w:rsidR="00395064" w:rsidRPr="00A52AB8">
        <w:rPr>
          <w:color w:val="000000" w:themeColor="text1"/>
        </w:rPr>
        <w:t>[ d ]</w:t>
      </w:r>
      <w:r w:rsidRPr="00A52AB8">
        <w:rPr>
          <w:color w:val="000000" w:themeColor="text1"/>
        </w:rPr>
        <w:br/>
        <w:t>averageDepth</w:t>
      </w:r>
      <w:r w:rsidR="00D47707" w:rsidRPr="00A52AB8">
        <w:rPr>
          <w:color w:val="000000" w:themeColor="text1"/>
        </w:rPr>
        <w:t> = </w:t>
      </w:r>
      <w:r w:rsidRPr="00A52AB8">
        <w:rPr>
          <w:color w:val="000000" w:themeColor="text1"/>
        </w:rPr>
        <w:t>averageDepth / </w:t>
      </w:r>
      <w:r w:rsidR="009A2984" w:rsidRPr="00A52AB8">
        <w:rPr>
          <w:color w:val="000000" w:themeColor="text1"/>
        </w:rPr>
        <w:t>v</w:t>
      </w:r>
      <w:r w:rsidRPr="00A52AB8">
        <w:rPr>
          <w:color w:val="000000" w:themeColor="text1"/>
        </w:rPr>
        <w:t>alidNeighbourCount</w:t>
      </w:r>
      <w:r w:rsidR="003E60B7" w:rsidRPr="00A52AB8">
        <w:rPr>
          <w:color w:val="000000" w:themeColor="text1"/>
        </w:rPr>
        <w:br/>
        <w:t>depthLowerBound</w:t>
      </w:r>
      <w:r w:rsidR="00D47707" w:rsidRPr="00A52AB8">
        <w:rPr>
          <w:color w:val="000000" w:themeColor="text1"/>
        </w:rPr>
        <w:t> = </w:t>
      </w:r>
      <w:r w:rsidR="003E60B7" w:rsidRPr="00A52AB8">
        <w:rPr>
          <w:color w:val="000000" w:themeColor="text1"/>
        </w:rPr>
        <w:t>depth0 – asps_vpcc_surface_thickness_minus1 – 1</w:t>
      </w:r>
      <w:r w:rsidR="003E60B7" w:rsidRPr="00A52AB8">
        <w:rPr>
          <w:color w:val="000000" w:themeColor="text1"/>
        </w:rPr>
        <w:br/>
        <w:t>depthUpperBound</w:t>
      </w:r>
      <w:r w:rsidR="00D47707" w:rsidRPr="00A52AB8">
        <w:rPr>
          <w:color w:val="000000" w:themeColor="text1"/>
        </w:rPr>
        <w:t> = </w:t>
      </w:r>
      <w:r w:rsidR="003E60B7" w:rsidRPr="00A52AB8">
        <w:rPr>
          <w:color w:val="000000" w:themeColor="text1"/>
        </w:rPr>
        <w:t>depth0 + asps_vpcc_surface_thickness_minus1 + 1</w:t>
      </w:r>
      <w:r w:rsidRPr="00A52AB8">
        <w:rPr>
          <w:color w:val="000000" w:themeColor="text1"/>
        </w:rPr>
        <w:br/>
        <w:t>if( </w:t>
      </w:r>
      <w:r w:rsidR="00451935" w:rsidRPr="00A52AB8">
        <w:rPr>
          <w:color w:val="000000" w:themeColor="text1"/>
        </w:rPr>
        <w:t>Atlas</w:t>
      </w:r>
      <w:r w:rsidRPr="00A52AB8">
        <w:rPr>
          <w:color w:val="000000" w:themeColor="text1"/>
        </w:rPr>
        <w:t>PatchProjectionFlag[ pIdx ]</w:t>
      </w:r>
      <w:r w:rsidR="008768E9" w:rsidRPr="00A52AB8">
        <w:rPr>
          <w:color w:val="000000" w:themeColor="text1"/>
        </w:rPr>
        <w:t> </w:t>
      </w:r>
      <w:r w:rsidR="00726AAE" w:rsidRPr="00A52AB8">
        <w:rPr>
          <w:color w:val="000000" w:themeColor="text1"/>
        </w:rPr>
        <w:t>==</w:t>
      </w:r>
      <w:r w:rsidR="00D47707" w:rsidRPr="00A52AB8">
        <w:rPr>
          <w:color w:val="000000" w:themeColor="text1"/>
        </w:rPr>
        <w:t> </w:t>
      </w:r>
      <w:r w:rsidRPr="00A52AB8">
        <w:rPr>
          <w:color w:val="000000" w:themeColor="text1"/>
        </w:rPr>
        <w:t>0 )</w:t>
      </w:r>
      <w:r w:rsidRPr="00A52AB8">
        <w:rPr>
          <w:color w:val="000000" w:themeColor="text1"/>
        </w:rPr>
        <w:br/>
      </w:r>
      <w:r w:rsidRPr="00A52AB8">
        <w:rPr>
          <w:color w:val="000000" w:themeColor="text1"/>
        </w:rPr>
        <w:tab/>
        <w:t>depth1</w:t>
      </w:r>
      <w:r w:rsidR="00D47707" w:rsidRPr="00A52AB8">
        <w:rPr>
          <w:color w:val="000000" w:themeColor="text1"/>
        </w:rPr>
        <w:t> = </w:t>
      </w:r>
      <w:r w:rsidRPr="00A52AB8">
        <w:rPr>
          <w:color w:val="000000" w:themeColor="text1"/>
        </w:rPr>
        <w:t>Clip3( depth0, </w:t>
      </w:r>
      <w:r w:rsidR="003E60B7" w:rsidRPr="00A52AB8">
        <w:rPr>
          <w:color w:val="000000" w:themeColor="text1"/>
        </w:rPr>
        <w:t>depthUpperBound</w:t>
      </w:r>
      <w:r w:rsidRPr="00A52AB8">
        <w:rPr>
          <w:color w:val="000000" w:themeColor="text1"/>
        </w:rPr>
        <w:t>, averageDepth )</w:t>
      </w:r>
      <w:r w:rsidRPr="00A52AB8">
        <w:rPr>
          <w:color w:val="000000" w:themeColor="text1"/>
        </w:rPr>
        <w:br/>
        <w:t>else</w:t>
      </w:r>
      <w:r w:rsidRPr="00A52AB8">
        <w:rPr>
          <w:color w:val="000000" w:themeColor="text1"/>
        </w:rPr>
        <w:br/>
      </w:r>
      <w:r w:rsidRPr="00A52AB8">
        <w:rPr>
          <w:color w:val="000000" w:themeColor="text1"/>
        </w:rPr>
        <w:tab/>
        <w:t>depth1</w:t>
      </w:r>
      <w:r w:rsidR="00D47707" w:rsidRPr="00A52AB8">
        <w:rPr>
          <w:color w:val="000000" w:themeColor="text1"/>
        </w:rPr>
        <w:t> = </w:t>
      </w:r>
      <w:r w:rsidRPr="00A52AB8">
        <w:rPr>
          <w:color w:val="000000" w:themeColor="text1"/>
        </w:rPr>
        <w:t>Clip3( depth</w:t>
      </w:r>
      <w:r w:rsidR="003E60B7" w:rsidRPr="00A52AB8">
        <w:rPr>
          <w:color w:val="000000" w:themeColor="text1"/>
        </w:rPr>
        <w:t>LowerBound</w:t>
      </w:r>
      <w:r w:rsidRPr="00A52AB8">
        <w:rPr>
          <w:color w:val="000000" w:themeColor="text1"/>
        </w:rPr>
        <w:t>, depth0, averageDepth )</w:t>
      </w:r>
    </w:p>
    <w:p w14:paraId="15E8FB33" w14:textId="77777777" w:rsidR="006D74F2" w:rsidRPr="00A52AB8"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If depth1 is not equal to depth0, the following applies</w:t>
      </w:r>
      <w:r w:rsidRPr="00A52AB8" w:rsidDel="00F3669B">
        <w:rPr>
          <w:color w:val="000000" w:themeColor="text1"/>
        </w:rPr>
        <w:t xml:space="preserve"> </w:t>
      </w:r>
      <w:r w:rsidRPr="00A52AB8">
        <w:rPr>
          <w:color w:val="000000" w:themeColor="text1"/>
        </w:rPr>
        <w:t>:</w:t>
      </w:r>
    </w:p>
    <w:p w14:paraId="25F99F48" w14:textId="169AA4B3" w:rsidR="006D74F2" w:rsidRPr="00A52AB8" w:rsidRDefault="006D74F2" w:rsidP="00007BE2">
      <w:pPr>
        <w:pStyle w:val="ListParagraph"/>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 w:val="left" w:pos="360"/>
          <w:tab w:val="left" w:pos="720"/>
          <w:tab w:val="left" w:pos="1080"/>
          <w:tab w:val="left" w:pos="1440"/>
          <w:tab w:val="left" w:pos="1800"/>
          <w:tab w:val="left" w:pos="2160"/>
          <w:tab w:val="left" w:pos="2520"/>
        </w:tabs>
        <w:ind w:leftChars="0" w:left="1208"/>
        <w:jc w:val="left"/>
        <w:rPr>
          <w:color w:val="000000" w:themeColor="text1"/>
        </w:rPr>
      </w:pPr>
      <w:r w:rsidRPr="00A52AB8">
        <w:rPr>
          <w:color w:val="000000" w:themeColor="text1"/>
        </w:rPr>
        <w:t>po</w:t>
      </w:r>
      <w:r w:rsidR="003E60B7" w:rsidRPr="00A52AB8">
        <w:rPr>
          <w:color w:val="000000" w:themeColor="text1"/>
        </w:rPr>
        <w:t>int</w:t>
      </w:r>
      <w:r w:rsidRPr="00A52AB8">
        <w:rPr>
          <w:color w:val="000000" w:themeColor="text1"/>
        </w:rPr>
        <w:t>3D[ </w:t>
      </w:r>
      <w:r w:rsidR="00451935" w:rsidRPr="00A52AB8">
        <w:rPr>
          <w:color w:val="000000" w:themeColor="text1"/>
        </w:rPr>
        <w:t>Atlas</w:t>
      </w:r>
      <w:r w:rsidR="00254895" w:rsidRPr="00A52AB8">
        <w:rPr>
          <w:color w:val="000000" w:themeColor="text1"/>
        </w:rPr>
        <w:t>PatchAxisD</w:t>
      </w:r>
      <w:r w:rsidRPr="00A52AB8">
        <w:rPr>
          <w:color w:val="000000" w:themeColor="text1"/>
        </w:rPr>
        <w:t>[ pIdx ] ]</w:t>
      </w:r>
      <w:r w:rsidR="00D47707" w:rsidRPr="00A52AB8">
        <w:rPr>
          <w:color w:val="000000" w:themeColor="text1"/>
        </w:rPr>
        <w:t> = </w:t>
      </w:r>
      <w:r w:rsidRPr="00A52AB8">
        <w:rPr>
          <w:color w:val="000000" w:themeColor="text1"/>
        </w:rPr>
        <w:t>depth1</w:t>
      </w:r>
      <w:r w:rsidRPr="00A52AB8">
        <w:rPr>
          <w:color w:val="000000" w:themeColor="text1"/>
        </w:rPr>
        <w:br/>
        <w:t>for( k</w:t>
      </w:r>
      <w:r w:rsidR="00D47707" w:rsidRPr="00A52AB8">
        <w:rPr>
          <w:color w:val="000000" w:themeColor="text1"/>
        </w:rPr>
        <w:t> = </w:t>
      </w:r>
      <w:r w:rsidRPr="00A52AB8">
        <w:rPr>
          <w:color w:val="000000" w:themeColor="text1"/>
        </w:rPr>
        <w:t>0; k &lt; 3; k</w:t>
      </w:r>
      <w:r w:rsidR="00006CCF" w:rsidRPr="00A52AB8">
        <w:rPr>
          <w:color w:val="000000" w:themeColor="text1"/>
        </w:rPr>
        <w:t>++ )</w:t>
      </w:r>
      <w:r w:rsidRPr="00A52AB8">
        <w:rPr>
          <w:color w:val="000000" w:themeColor="text1"/>
        </w:rPr>
        <w:br/>
      </w:r>
      <w:r w:rsidRPr="00A52AB8">
        <w:rPr>
          <w:color w:val="000000" w:themeColor="text1"/>
        </w:rPr>
        <w:tab/>
      </w:r>
      <w:r w:rsidR="00240B2D" w:rsidRPr="00A52AB8">
        <w:rPr>
          <w:color w:val="000000" w:themeColor="text1"/>
        </w:rPr>
        <w:t>r</w:t>
      </w:r>
      <w:r w:rsidRPr="00A52AB8">
        <w:rPr>
          <w:color w:val="000000" w:themeColor="text1"/>
        </w:rPr>
        <w:t>ecPcGeo[ </w:t>
      </w:r>
      <w:r w:rsidR="00240B2D" w:rsidRPr="00A52AB8">
        <w:rPr>
          <w:color w:val="000000" w:themeColor="text1"/>
        </w:rPr>
        <w:t>p</w:t>
      </w:r>
      <w:r w:rsidRPr="00A52AB8">
        <w:rPr>
          <w:color w:val="000000" w:themeColor="text1"/>
        </w:rPr>
        <w:t>ointCnt ]</w:t>
      </w:r>
      <w:r w:rsidR="004B7314" w:rsidRPr="00A52AB8">
        <w:rPr>
          <w:color w:val="000000" w:themeColor="text1"/>
        </w:rPr>
        <w:t>[ k ]</w:t>
      </w:r>
      <w:r w:rsidR="00D47707" w:rsidRPr="00A52AB8">
        <w:rPr>
          <w:color w:val="000000" w:themeColor="text1"/>
        </w:rPr>
        <w:t> = </w:t>
      </w:r>
      <w:r w:rsidR="003E60B7" w:rsidRPr="00A52AB8">
        <w:rPr>
          <w:color w:val="000000" w:themeColor="text1"/>
        </w:rPr>
        <w:t>point3D</w:t>
      </w:r>
      <w:r w:rsidR="004B7314" w:rsidRPr="00A52AB8">
        <w:rPr>
          <w:color w:val="000000" w:themeColor="text1"/>
        </w:rPr>
        <w:t>[ k ]</w:t>
      </w:r>
      <w:r w:rsidRPr="00A52AB8">
        <w:rPr>
          <w:color w:val="000000" w:themeColor="text1"/>
        </w:rPr>
        <w:br/>
      </w:r>
      <w:r w:rsidR="00240B2D" w:rsidRPr="00A52AB8">
        <w:rPr>
          <w:color w:val="000000" w:themeColor="text1"/>
        </w:rPr>
        <w:t>a</w:t>
      </w:r>
      <w:r w:rsidRPr="00A52AB8">
        <w:rPr>
          <w:color w:val="000000" w:themeColor="text1"/>
        </w:rPr>
        <w:t>ttrPresent[ </w:t>
      </w:r>
      <w:r w:rsidR="00240B2D" w:rsidRPr="00A52AB8">
        <w:rPr>
          <w:color w:val="000000" w:themeColor="text1"/>
        </w:rPr>
        <w:t>p</w:t>
      </w:r>
      <w:r w:rsidRPr="00A52AB8">
        <w:rPr>
          <w:color w:val="000000" w:themeColor="text1"/>
        </w:rPr>
        <w:t>ointCnt ]</w:t>
      </w:r>
      <w:r w:rsidR="00D47707" w:rsidRPr="00A52AB8">
        <w:rPr>
          <w:color w:val="000000" w:themeColor="text1"/>
        </w:rPr>
        <w:t> = </w:t>
      </w:r>
      <w:r w:rsidRPr="00A52AB8">
        <w:rPr>
          <w:color w:val="000000" w:themeColor="text1"/>
        </w:rPr>
        <w:t>0</w:t>
      </w:r>
      <w:r w:rsidRPr="00A52AB8">
        <w:rPr>
          <w:color w:val="000000" w:themeColor="text1"/>
        </w:rPr>
        <w:br/>
      </w:r>
      <w:r w:rsidR="00240B2D" w:rsidRPr="00A52AB8">
        <w:rPr>
          <w:color w:val="000000" w:themeColor="text1"/>
        </w:rPr>
        <w:t>p</w:t>
      </w:r>
      <w:r w:rsidRPr="00A52AB8">
        <w:rPr>
          <w:color w:val="000000" w:themeColor="text1"/>
        </w:rPr>
        <w:t>ointToPatch[ </w:t>
      </w:r>
      <w:r w:rsidR="00240B2D" w:rsidRPr="00A52AB8">
        <w:rPr>
          <w:color w:val="000000" w:themeColor="text1"/>
        </w:rPr>
        <w:t>p</w:t>
      </w:r>
      <w:r w:rsidRPr="00A52AB8">
        <w:rPr>
          <w:color w:val="000000" w:themeColor="text1"/>
        </w:rPr>
        <w:t>ointCnt ]</w:t>
      </w:r>
      <w:r w:rsidR="00D47707" w:rsidRPr="00A52AB8">
        <w:rPr>
          <w:color w:val="000000" w:themeColor="text1"/>
        </w:rPr>
        <w:t> = </w:t>
      </w:r>
      <w:r w:rsidRPr="00A52AB8">
        <w:rPr>
          <w:color w:val="000000" w:themeColor="text1"/>
        </w:rPr>
        <w:t>pIdx</w:t>
      </w:r>
      <w:r w:rsidR="003E60B7" w:rsidRPr="00A52AB8">
        <w:rPr>
          <w:color w:val="000000" w:themeColor="text1"/>
        </w:rPr>
        <w:br/>
        <w:t>pointToPixel[ pointCnt ][ 0 ]</w:t>
      </w:r>
      <w:r w:rsidR="00D47707" w:rsidRPr="00A52AB8">
        <w:rPr>
          <w:color w:val="000000" w:themeColor="text1"/>
        </w:rPr>
        <w:t> = </w:t>
      </w:r>
      <w:r w:rsidR="003E60B7" w:rsidRPr="00A52AB8">
        <w:rPr>
          <w:color w:val="000000" w:themeColor="text1"/>
        </w:rPr>
        <w:t>x</w:t>
      </w:r>
      <w:r w:rsidR="003E60B7" w:rsidRPr="00A52AB8">
        <w:rPr>
          <w:color w:val="000000" w:themeColor="text1"/>
        </w:rPr>
        <w:br/>
        <w:t>pointToPixel[ pointCnt ][ 1 ]</w:t>
      </w:r>
      <w:r w:rsidR="00D47707" w:rsidRPr="00A52AB8">
        <w:rPr>
          <w:color w:val="000000" w:themeColor="text1"/>
        </w:rPr>
        <w:t> = </w:t>
      </w:r>
      <w:r w:rsidR="003E60B7" w:rsidRPr="00A52AB8">
        <w:rPr>
          <w:color w:val="000000" w:themeColor="text1"/>
        </w:rPr>
        <w:t>y</w:t>
      </w:r>
      <w:r w:rsidRPr="00A52AB8">
        <w:rPr>
          <w:color w:val="000000" w:themeColor="text1"/>
        </w:rPr>
        <w:br/>
      </w:r>
      <w:r w:rsidR="00240B2D" w:rsidRPr="00A52AB8">
        <w:rPr>
          <w:color w:val="000000" w:themeColor="text1"/>
        </w:rPr>
        <w:t>p</w:t>
      </w:r>
      <w:r w:rsidRPr="00A52AB8">
        <w:rPr>
          <w:color w:val="000000" w:themeColor="text1"/>
        </w:rPr>
        <w:t>ointCnt</w:t>
      </w:r>
      <w:r w:rsidR="008768E9" w:rsidRPr="00A52AB8">
        <w:rPr>
          <w:color w:val="000000" w:themeColor="text1"/>
        </w:rPr>
        <w:t>++</w:t>
      </w:r>
    </w:p>
    <w:p w14:paraId="74605921" w14:textId="77777777" w:rsidR="006D74F2" w:rsidRPr="00A52AB8"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The points between depth0 and depth1 are filled as follows:</w:t>
      </w:r>
    </w:p>
    <w:p w14:paraId="2F484E3C" w14:textId="1FB2F7F3" w:rsidR="006D74F2" w:rsidRPr="00A52AB8" w:rsidRDefault="006D74F2" w:rsidP="00007BE2">
      <w:pPr>
        <w:pStyle w:val="ListParagraph"/>
        <w:ind w:leftChars="0" w:left="805"/>
        <w:rPr>
          <w:rFonts w:eastAsia="Malgun Gothic"/>
          <w:color w:val="000000" w:themeColor="text1"/>
        </w:rPr>
      </w:pPr>
      <w:r w:rsidRPr="00A52AB8">
        <w:rPr>
          <w:rFonts w:eastAsia="Malgun Gothic"/>
          <w:color w:val="000000" w:themeColor="text1"/>
        </w:rPr>
        <w:t>maxDepth</w:t>
      </w:r>
      <w:r w:rsidR="00D47707" w:rsidRPr="00A52AB8">
        <w:rPr>
          <w:rFonts w:eastAsia="Malgun Gothic"/>
          <w:color w:val="000000" w:themeColor="text1"/>
        </w:rPr>
        <w:t> = </w:t>
      </w:r>
      <w:r w:rsidRPr="00A52AB8">
        <w:rPr>
          <w:rFonts w:eastAsia="Malgun Gothic"/>
          <w:color w:val="000000" w:themeColor="text1"/>
        </w:rPr>
        <w:t>Max( depth0, depth1 )</w:t>
      </w:r>
      <w:r w:rsidRPr="00A52AB8">
        <w:rPr>
          <w:rFonts w:eastAsia="Malgun Gothic"/>
          <w:color w:val="000000" w:themeColor="text1"/>
        </w:rPr>
        <w:br/>
        <w:t>minDepth</w:t>
      </w:r>
      <w:r w:rsidR="00D47707" w:rsidRPr="00A52AB8">
        <w:rPr>
          <w:rFonts w:eastAsia="Malgun Gothic"/>
          <w:color w:val="000000" w:themeColor="text1"/>
        </w:rPr>
        <w:t> = </w:t>
      </w:r>
      <w:r w:rsidRPr="00A52AB8">
        <w:rPr>
          <w:rFonts w:eastAsia="Malgun Gothic"/>
          <w:color w:val="000000" w:themeColor="text1"/>
        </w:rPr>
        <w:t>Min( depth0, depth1 )</w:t>
      </w:r>
    </w:p>
    <w:p w14:paraId="03EE2865" w14:textId="12B57B38" w:rsidR="006D74F2" w:rsidRPr="00A52AB8"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 xml:space="preserve">For </w:t>
      </w:r>
      <w:r w:rsidR="003E60B7" w:rsidRPr="00A52AB8">
        <w:rPr>
          <w:color w:val="000000" w:themeColor="text1"/>
        </w:rPr>
        <w:t>d</w:t>
      </w:r>
      <w:r w:rsidR="00D47707" w:rsidRPr="00A52AB8">
        <w:rPr>
          <w:color w:val="000000" w:themeColor="text1"/>
        </w:rPr>
        <w:t> = </w:t>
      </w:r>
      <w:r w:rsidRPr="00A52AB8">
        <w:rPr>
          <w:color w:val="000000" w:themeColor="text1"/>
        </w:rPr>
        <w:t>1..( maxDepth – minDepth – 1), the following applies:</w:t>
      </w:r>
    </w:p>
    <w:p w14:paraId="629060F0" w14:textId="4AEF3A4B" w:rsidR="006D74F2" w:rsidRPr="00A52AB8" w:rsidRDefault="002A3AF6" w:rsidP="00007BE2">
      <w:pPr>
        <w:pStyle w:val="ListParagraph"/>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 w:val="left" w:pos="360"/>
          <w:tab w:val="left" w:pos="720"/>
          <w:tab w:val="left" w:pos="1080"/>
          <w:tab w:val="left" w:pos="1440"/>
          <w:tab w:val="left" w:pos="1800"/>
          <w:tab w:val="left" w:pos="2160"/>
          <w:tab w:val="left" w:pos="2520"/>
        </w:tabs>
        <w:ind w:leftChars="0" w:left="1208"/>
        <w:jc w:val="left"/>
        <w:rPr>
          <w:color w:val="000000" w:themeColor="text1"/>
        </w:rPr>
      </w:pPr>
      <w:r w:rsidRPr="00A52AB8">
        <w:rPr>
          <w:color w:val="000000" w:themeColor="text1"/>
        </w:rPr>
        <w:t>point3D</w:t>
      </w:r>
      <w:r w:rsidR="006D74F2" w:rsidRPr="00A52AB8">
        <w:rPr>
          <w:color w:val="000000" w:themeColor="text1"/>
        </w:rPr>
        <w:t>[ </w:t>
      </w:r>
      <w:r w:rsidR="00451935" w:rsidRPr="00A52AB8">
        <w:rPr>
          <w:color w:val="000000" w:themeColor="text1"/>
        </w:rPr>
        <w:t>Atlas</w:t>
      </w:r>
      <w:r w:rsidR="00254895" w:rsidRPr="00A52AB8">
        <w:rPr>
          <w:color w:val="000000" w:themeColor="text1"/>
        </w:rPr>
        <w:t>PatchAxisD</w:t>
      </w:r>
      <w:r w:rsidR="006D74F2" w:rsidRPr="00A52AB8">
        <w:rPr>
          <w:color w:val="000000" w:themeColor="text1"/>
        </w:rPr>
        <w:t>[ pIdx ] ]</w:t>
      </w:r>
      <w:r w:rsidR="00D47707" w:rsidRPr="00A52AB8">
        <w:rPr>
          <w:color w:val="000000" w:themeColor="text1"/>
        </w:rPr>
        <w:t> = </w:t>
      </w:r>
      <w:r w:rsidR="006D74F2" w:rsidRPr="00A52AB8">
        <w:rPr>
          <w:color w:val="000000" w:themeColor="text1"/>
        </w:rPr>
        <w:t>mi</w:t>
      </w:r>
      <w:r w:rsidR="00451935" w:rsidRPr="00A52AB8">
        <w:rPr>
          <w:color w:val="000000" w:themeColor="text1"/>
        </w:rPr>
        <w:t>n</w:t>
      </w:r>
      <w:r w:rsidR="006D74F2" w:rsidRPr="00A52AB8">
        <w:rPr>
          <w:color w:val="000000" w:themeColor="text1"/>
        </w:rPr>
        <w:t>Depth + </w:t>
      </w:r>
      <w:r w:rsidR="003E60B7" w:rsidRPr="00A52AB8">
        <w:rPr>
          <w:color w:val="000000" w:themeColor="text1"/>
        </w:rPr>
        <w:t>d</w:t>
      </w:r>
      <w:r w:rsidR="006D74F2" w:rsidRPr="00A52AB8">
        <w:rPr>
          <w:color w:val="000000" w:themeColor="text1"/>
        </w:rPr>
        <w:br/>
        <w:t>for( k</w:t>
      </w:r>
      <w:r w:rsidR="00D47707" w:rsidRPr="00A52AB8">
        <w:rPr>
          <w:color w:val="000000" w:themeColor="text1"/>
        </w:rPr>
        <w:t> = </w:t>
      </w:r>
      <w:r w:rsidR="006D74F2" w:rsidRPr="00A52AB8">
        <w:rPr>
          <w:color w:val="000000" w:themeColor="text1"/>
        </w:rPr>
        <w:t>0; k &lt; 3; k</w:t>
      </w:r>
      <w:r w:rsidR="00006CCF" w:rsidRPr="00A52AB8">
        <w:rPr>
          <w:color w:val="000000" w:themeColor="text1"/>
        </w:rPr>
        <w:t>++ )</w:t>
      </w:r>
      <w:r w:rsidR="006D74F2" w:rsidRPr="00A52AB8">
        <w:rPr>
          <w:color w:val="000000" w:themeColor="text1"/>
        </w:rPr>
        <w:br/>
      </w:r>
      <w:r w:rsidR="006D74F2" w:rsidRPr="00A52AB8">
        <w:rPr>
          <w:color w:val="000000" w:themeColor="text1"/>
        </w:rPr>
        <w:tab/>
      </w:r>
      <w:r w:rsidR="00A20836" w:rsidRPr="00A52AB8">
        <w:rPr>
          <w:color w:val="000000" w:themeColor="text1"/>
        </w:rPr>
        <w:t>r</w:t>
      </w:r>
      <w:r w:rsidR="006D74F2" w:rsidRPr="00A52AB8">
        <w:rPr>
          <w:color w:val="000000" w:themeColor="text1"/>
        </w:rPr>
        <w:t>ecPcGeo[ </w:t>
      </w:r>
      <w:r w:rsidR="00A20836" w:rsidRPr="00A52AB8">
        <w:rPr>
          <w:color w:val="000000" w:themeColor="text1"/>
        </w:rPr>
        <w:t>p</w:t>
      </w:r>
      <w:r w:rsidR="006D74F2" w:rsidRPr="00A52AB8">
        <w:rPr>
          <w:color w:val="000000" w:themeColor="text1"/>
        </w:rPr>
        <w:t>ointCnt ]</w:t>
      </w:r>
      <w:r w:rsidR="004B7314" w:rsidRPr="00A52AB8">
        <w:rPr>
          <w:color w:val="000000" w:themeColor="text1"/>
        </w:rPr>
        <w:t>[ k ]</w:t>
      </w:r>
      <w:r w:rsidR="00D47707" w:rsidRPr="00A52AB8">
        <w:rPr>
          <w:color w:val="000000" w:themeColor="text1"/>
        </w:rPr>
        <w:t> = </w:t>
      </w:r>
      <w:r w:rsidRPr="00A52AB8">
        <w:rPr>
          <w:color w:val="000000" w:themeColor="text1"/>
        </w:rPr>
        <w:t>point3D</w:t>
      </w:r>
      <w:r w:rsidR="004B7314" w:rsidRPr="00A52AB8">
        <w:rPr>
          <w:color w:val="000000" w:themeColor="text1"/>
        </w:rPr>
        <w:t>[ k ]</w:t>
      </w:r>
      <w:r w:rsidR="006D74F2" w:rsidRPr="00A52AB8">
        <w:rPr>
          <w:color w:val="000000" w:themeColor="text1"/>
        </w:rPr>
        <w:br/>
      </w:r>
      <w:r w:rsidR="00A20836" w:rsidRPr="00A52AB8">
        <w:rPr>
          <w:color w:val="000000" w:themeColor="text1"/>
        </w:rPr>
        <w:t>a</w:t>
      </w:r>
      <w:r w:rsidR="006D74F2" w:rsidRPr="00A52AB8">
        <w:rPr>
          <w:color w:val="000000" w:themeColor="text1"/>
        </w:rPr>
        <w:t>ttrPresent[ </w:t>
      </w:r>
      <w:r w:rsidR="00A20836" w:rsidRPr="00A52AB8">
        <w:rPr>
          <w:color w:val="000000" w:themeColor="text1"/>
        </w:rPr>
        <w:t>p</w:t>
      </w:r>
      <w:r w:rsidR="006D74F2" w:rsidRPr="00A52AB8">
        <w:rPr>
          <w:color w:val="000000" w:themeColor="text1"/>
        </w:rPr>
        <w:t>ointCnt ]</w:t>
      </w:r>
      <w:r w:rsidR="00D47707" w:rsidRPr="00A52AB8">
        <w:rPr>
          <w:color w:val="000000" w:themeColor="text1"/>
        </w:rPr>
        <w:t> = </w:t>
      </w:r>
      <w:r w:rsidR="006D74F2" w:rsidRPr="00A52AB8">
        <w:rPr>
          <w:color w:val="000000" w:themeColor="text1"/>
        </w:rPr>
        <w:t>0</w:t>
      </w:r>
      <w:r w:rsidR="006D74F2" w:rsidRPr="00A52AB8">
        <w:rPr>
          <w:color w:val="000000" w:themeColor="text1"/>
        </w:rPr>
        <w:br/>
      </w:r>
      <w:r w:rsidR="00A20836" w:rsidRPr="00A52AB8">
        <w:rPr>
          <w:color w:val="000000" w:themeColor="text1"/>
        </w:rPr>
        <w:t>p</w:t>
      </w:r>
      <w:r w:rsidR="006D74F2" w:rsidRPr="00A52AB8">
        <w:rPr>
          <w:color w:val="000000" w:themeColor="text1"/>
        </w:rPr>
        <w:t>ointToPatch[ </w:t>
      </w:r>
      <w:r w:rsidR="00A20836" w:rsidRPr="00A52AB8">
        <w:rPr>
          <w:color w:val="000000" w:themeColor="text1"/>
        </w:rPr>
        <w:t>p</w:t>
      </w:r>
      <w:r w:rsidR="006D74F2" w:rsidRPr="00A52AB8">
        <w:rPr>
          <w:color w:val="000000" w:themeColor="text1"/>
        </w:rPr>
        <w:t>ointCnt ]</w:t>
      </w:r>
      <w:r w:rsidR="00D47707" w:rsidRPr="00A52AB8">
        <w:rPr>
          <w:color w:val="000000" w:themeColor="text1"/>
        </w:rPr>
        <w:t> = </w:t>
      </w:r>
      <w:r w:rsidR="006D74F2" w:rsidRPr="00A52AB8">
        <w:rPr>
          <w:color w:val="000000" w:themeColor="text1"/>
        </w:rPr>
        <w:t>pIdx</w:t>
      </w:r>
      <w:r w:rsidRPr="00A52AB8">
        <w:rPr>
          <w:color w:val="000000" w:themeColor="text1"/>
        </w:rPr>
        <w:br/>
        <w:t>pointToPixel[ pointCnt ][ 0 ]</w:t>
      </w:r>
      <w:r w:rsidR="00D47707" w:rsidRPr="00A52AB8">
        <w:rPr>
          <w:color w:val="000000" w:themeColor="text1"/>
        </w:rPr>
        <w:t> = </w:t>
      </w:r>
      <w:r w:rsidRPr="00A52AB8">
        <w:rPr>
          <w:color w:val="000000" w:themeColor="text1"/>
        </w:rPr>
        <w:t>x</w:t>
      </w:r>
      <w:r w:rsidRPr="00A52AB8">
        <w:rPr>
          <w:color w:val="000000" w:themeColor="text1"/>
        </w:rPr>
        <w:br/>
        <w:t>pointToPixel[ pointCnt ][ 1 ]</w:t>
      </w:r>
      <w:r w:rsidR="00D47707" w:rsidRPr="00A52AB8">
        <w:rPr>
          <w:color w:val="000000" w:themeColor="text1"/>
        </w:rPr>
        <w:t> = </w:t>
      </w:r>
      <w:r w:rsidRPr="00A52AB8">
        <w:rPr>
          <w:color w:val="000000" w:themeColor="text1"/>
        </w:rPr>
        <w:t>y</w:t>
      </w:r>
      <w:r w:rsidR="006D74F2" w:rsidRPr="00A52AB8">
        <w:rPr>
          <w:color w:val="000000" w:themeColor="text1"/>
        </w:rPr>
        <w:br/>
      </w:r>
      <w:r w:rsidR="00A20836" w:rsidRPr="00A52AB8">
        <w:rPr>
          <w:color w:val="000000" w:themeColor="text1"/>
        </w:rPr>
        <w:t>p</w:t>
      </w:r>
      <w:r w:rsidR="006D74F2" w:rsidRPr="00A52AB8">
        <w:rPr>
          <w:color w:val="000000" w:themeColor="text1"/>
        </w:rPr>
        <w:t>ointCnt</w:t>
      </w:r>
      <w:r w:rsidR="008768E9" w:rsidRPr="00A52AB8">
        <w:rPr>
          <w:color w:val="000000" w:themeColor="text1"/>
        </w:rPr>
        <w:t>++</w:t>
      </w:r>
    </w:p>
    <w:p w14:paraId="1F3CDF85" w14:textId="36F329C1" w:rsidR="00FF0C4A" w:rsidRPr="00A52AB8" w:rsidRDefault="006D74F2" w:rsidP="00FF0C4A">
      <w:pPr>
        <w:pStyle w:val="a4"/>
        <w:numPr>
          <w:ilvl w:val="3"/>
          <w:numId w:val="19"/>
        </w:numPr>
      </w:pPr>
      <w:bookmarkStart w:id="6390" w:name="_Ref38890468"/>
      <w:r w:rsidRPr="00A52AB8">
        <w:t xml:space="preserve">Reconstruction of points for </w:t>
      </w:r>
      <w:r w:rsidR="00874F66" w:rsidRPr="00A52AB8">
        <w:t>PROJECTED</w:t>
      </w:r>
      <w:r w:rsidRPr="00A52AB8">
        <w:t xml:space="preserve"> patches </w:t>
      </w:r>
      <w:r w:rsidR="00E13D94" w:rsidRPr="00A52AB8">
        <w:t>w</w:t>
      </w:r>
      <w:r w:rsidRPr="00A52AB8">
        <w:t xml:space="preserve">hen </w:t>
      </w:r>
      <w:r w:rsidR="000E126A" w:rsidRPr="00A52AB8">
        <w:t xml:space="preserve">asps_plr_enabled_flag </w:t>
      </w:r>
      <w:r w:rsidRPr="00A52AB8">
        <w:t>is equal to 1</w:t>
      </w:r>
      <w:bookmarkEnd w:id="6390"/>
    </w:p>
    <w:p w14:paraId="57F68997" w14:textId="77777777" w:rsidR="006D74F2" w:rsidRPr="00A52AB8" w:rsidRDefault="006D74F2" w:rsidP="006D74F2">
      <w:pPr>
        <w:rPr>
          <w:color w:val="000000" w:themeColor="text1"/>
        </w:rPr>
      </w:pPr>
      <w:r w:rsidRPr="00A52AB8">
        <w:rPr>
          <w:color w:val="000000" w:themeColor="text1"/>
        </w:rPr>
        <w:t>Inputs to this process are:</w:t>
      </w:r>
    </w:p>
    <w:p w14:paraId="280941F2" w14:textId="77777777" w:rsidR="007C7312" w:rsidRPr="00A52AB8" w:rsidRDefault="007C731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variable pointCnt, the number of points in the reconstructed point cloud frame,</w:t>
      </w:r>
    </w:p>
    <w:p w14:paraId="06339D76" w14:textId="77777777" w:rsidR="007C7312" w:rsidRPr="00A52AB8" w:rsidRDefault="007C731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variable pIdx, the index of the patch,</w:t>
      </w:r>
    </w:p>
    <w:p w14:paraId="0FC558F5" w14:textId="77777777" w:rsidR="000678AC" w:rsidRPr="00A52AB8" w:rsidRDefault="000678AC" w:rsidP="000678AC">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variable x, specifying the x coordinate of a point on the atlas frame,</w:t>
      </w:r>
    </w:p>
    <w:p w14:paraId="20F26002" w14:textId="77777777" w:rsidR="000678AC" w:rsidRPr="00A52AB8" w:rsidRDefault="000678AC" w:rsidP="000678AC">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variable y, specifying the y coordinate of a point on the atlas frame,</w:t>
      </w:r>
    </w:p>
    <w:p w14:paraId="052C625B" w14:textId="76EF8491" w:rsidR="006956A6" w:rsidRPr="00A52AB8" w:rsidRDefault="006956A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variable </w:t>
      </w:r>
      <w:r w:rsidR="006F52F9" w:rsidRPr="00A52AB8">
        <w:rPr>
          <w:color w:val="000000" w:themeColor="text1"/>
        </w:rPr>
        <w:t>blockShift</w:t>
      </w:r>
      <w:r w:rsidRPr="00A52AB8">
        <w:rPr>
          <w:color w:val="000000" w:themeColor="text1"/>
        </w:rPr>
        <w:t>,</w:t>
      </w:r>
      <w:r w:rsidR="00236D58" w:rsidRPr="00A52AB8">
        <w:rPr>
          <w:color w:val="000000" w:themeColor="text1"/>
        </w:rPr>
        <w:t xml:space="preserve"> the base-2 logarithm of PatchPackingBlockSize,</w:t>
      </w:r>
    </w:p>
    <w:p w14:paraId="12C5F02A" w14:textId="63917B2D" w:rsidR="006956A6" w:rsidRPr="00A52AB8" w:rsidRDefault="00CD281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2D </w:t>
      </w:r>
      <w:r w:rsidR="006956A6" w:rsidRPr="00A52AB8">
        <w:rPr>
          <w:color w:val="000000" w:themeColor="text1"/>
        </w:rPr>
        <w:t xml:space="preserve">array plrMode, </w:t>
      </w:r>
      <w:r w:rsidR="00FF0C4A" w:rsidRPr="00A52AB8">
        <w:rPr>
          <w:color w:val="000000" w:themeColor="text1"/>
        </w:rPr>
        <w:t xml:space="preserve">of size atlasBlockSizeY × atlasBlockSizeX, </w:t>
      </w:r>
      <w:r w:rsidRPr="00A52AB8">
        <w:rPr>
          <w:color w:val="000000" w:themeColor="text1"/>
        </w:rPr>
        <w:t xml:space="preserve">specifying </w:t>
      </w:r>
      <w:r w:rsidR="00BA3D8A" w:rsidRPr="00A52AB8">
        <w:rPr>
          <w:color w:val="000000" w:themeColor="text1"/>
        </w:rPr>
        <w:t xml:space="preserve">the PLR mode for </w:t>
      </w:r>
      <w:r w:rsidR="00FF0C4A" w:rsidRPr="00A52AB8">
        <w:rPr>
          <w:color w:val="000000" w:themeColor="text1"/>
        </w:rPr>
        <w:t xml:space="preserve">a </w:t>
      </w:r>
      <w:r w:rsidR="00BA3D8A" w:rsidRPr="00A52AB8">
        <w:rPr>
          <w:color w:val="000000" w:themeColor="text1"/>
        </w:rPr>
        <w:t>patch packing block in the current atlas frame,</w:t>
      </w:r>
    </w:p>
    <w:p w14:paraId="4E9B2A16" w14:textId="626805D2" w:rsidR="006956A6" w:rsidRPr="00A52AB8" w:rsidRDefault="006956A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w:t>
      </w:r>
      <w:r w:rsidR="00CD2815" w:rsidRPr="00A52AB8">
        <w:rPr>
          <w:color w:val="000000" w:themeColor="text1"/>
        </w:rPr>
        <w:t xml:space="preserve"> 2D</w:t>
      </w:r>
      <w:r w:rsidRPr="00A52AB8">
        <w:rPr>
          <w:color w:val="000000" w:themeColor="text1"/>
        </w:rPr>
        <w:t xml:space="preserve"> array plrInterpolateFlag</w:t>
      </w:r>
      <w:r w:rsidR="000C400D" w:rsidRPr="00A52AB8">
        <w:rPr>
          <w:color w:val="000000" w:themeColor="text1"/>
        </w:rPr>
        <w:t xml:space="preserve">, of size atlasBlockSizeY × atlasBlockSizeX, </w:t>
      </w:r>
      <w:r w:rsidR="00CD2815" w:rsidRPr="00A52AB8">
        <w:rPr>
          <w:color w:val="000000" w:themeColor="text1"/>
        </w:rPr>
        <w:t xml:space="preserve">specifying </w:t>
      </w:r>
      <w:r w:rsidR="00BA3D8A" w:rsidRPr="00A52AB8">
        <w:rPr>
          <w:color w:val="000000" w:themeColor="text1"/>
        </w:rPr>
        <w:t xml:space="preserve">the PLR interpolate flag for </w:t>
      </w:r>
      <w:r w:rsidR="00FF0C4A" w:rsidRPr="00A52AB8">
        <w:rPr>
          <w:color w:val="000000" w:themeColor="text1"/>
        </w:rPr>
        <w:t xml:space="preserve">a </w:t>
      </w:r>
      <w:r w:rsidR="00BA3D8A" w:rsidRPr="00A52AB8">
        <w:rPr>
          <w:color w:val="000000" w:themeColor="text1"/>
        </w:rPr>
        <w:t>patch packing block in the current atlas frame,</w:t>
      </w:r>
    </w:p>
    <w:p w14:paraId="31AA7BFD" w14:textId="6FEE3670" w:rsidR="006956A6" w:rsidRPr="00A52AB8" w:rsidRDefault="00CD281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2D </w:t>
      </w:r>
      <w:r w:rsidR="006956A6" w:rsidRPr="00A52AB8">
        <w:rPr>
          <w:color w:val="000000" w:themeColor="text1"/>
        </w:rPr>
        <w:t>array, plrFillingFlag,</w:t>
      </w:r>
      <w:r w:rsidR="001755C0" w:rsidRPr="00A52AB8">
        <w:rPr>
          <w:color w:val="000000" w:themeColor="text1"/>
        </w:rPr>
        <w:t xml:space="preserve"> </w:t>
      </w:r>
      <w:r w:rsidR="000C400D" w:rsidRPr="00A52AB8">
        <w:rPr>
          <w:color w:val="000000" w:themeColor="text1"/>
        </w:rPr>
        <w:t xml:space="preserve">of size atlasBlockSizeY × atlasBlockSizeX, </w:t>
      </w:r>
      <w:r w:rsidRPr="00A52AB8">
        <w:rPr>
          <w:color w:val="000000" w:themeColor="text1"/>
        </w:rPr>
        <w:t xml:space="preserve">specifying </w:t>
      </w:r>
      <w:r w:rsidR="00BA3D8A" w:rsidRPr="00A52AB8">
        <w:rPr>
          <w:color w:val="000000" w:themeColor="text1"/>
        </w:rPr>
        <w:t xml:space="preserve">the PLR filling flag for </w:t>
      </w:r>
      <w:r w:rsidR="00FF0C4A" w:rsidRPr="00A52AB8">
        <w:rPr>
          <w:color w:val="000000" w:themeColor="text1"/>
        </w:rPr>
        <w:t xml:space="preserve">a </w:t>
      </w:r>
      <w:r w:rsidR="00BA3D8A" w:rsidRPr="00A52AB8">
        <w:rPr>
          <w:color w:val="000000" w:themeColor="text1"/>
        </w:rPr>
        <w:t>patch packing block in the current atlas frame</w:t>
      </w:r>
      <w:r w:rsidR="001755C0" w:rsidRPr="00A52AB8">
        <w:rPr>
          <w:color w:val="000000" w:themeColor="text1"/>
        </w:rPr>
        <w:t>,</w:t>
      </w:r>
    </w:p>
    <w:p w14:paraId="74636542" w14:textId="1C97FB52" w:rsidR="006956A6" w:rsidRPr="00A52AB8" w:rsidRDefault="00CD281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2D </w:t>
      </w:r>
      <w:r w:rsidR="006956A6" w:rsidRPr="00A52AB8">
        <w:rPr>
          <w:color w:val="000000" w:themeColor="text1"/>
        </w:rPr>
        <w:t>array plrMinimumDepth,</w:t>
      </w:r>
      <w:r w:rsidR="001755C0" w:rsidRPr="00A52AB8">
        <w:rPr>
          <w:color w:val="000000" w:themeColor="text1"/>
        </w:rPr>
        <w:t xml:space="preserve"> </w:t>
      </w:r>
      <w:r w:rsidR="000C400D" w:rsidRPr="00A52AB8">
        <w:rPr>
          <w:color w:val="000000" w:themeColor="text1"/>
        </w:rPr>
        <w:t xml:space="preserve">of size atlasBlockSizeY × atlasBlockSizeX, </w:t>
      </w:r>
      <w:r w:rsidRPr="00A52AB8">
        <w:rPr>
          <w:color w:val="000000" w:themeColor="text1"/>
        </w:rPr>
        <w:t xml:space="preserve">specifying </w:t>
      </w:r>
      <w:r w:rsidR="00BA3D8A" w:rsidRPr="00A52AB8">
        <w:rPr>
          <w:color w:val="000000" w:themeColor="text1"/>
        </w:rPr>
        <w:t xml:space="preserve">the PLR minimum depth for </w:t>
      </w:r>
      <w:r w:rsidR="00FF0C4A" w:rsidRPr="00A52AB8">
        <w:rPr>
          <w:color w:val="000000" w:themeColor="text1"/>
        </w:rPr>
        <w:t xml:space="preserve">a </w:t>
      </w:r>
      <w:r w:rsidR="00BA3D8A" w:rsidRPr="00A52AB8">
        <w:rPr>
          <w:color w:val="000000" w:themeColor="text1"/>
        </w:rPr>
        <w:t>patch packing block in the current atlas frame</w:t>
      </w:r>
      <w:r w:rsidR="001755C0" w:rsidRPr="00A52AB8">
        <w:rPr>
          <w:color w:val="000000" w:themeColor="text1"/>
        </w:rPr>
        <w:t>,</w:t>
      </w:r>
    </w:p>
    <w:p w14:paraId="243098B4" w14:textId="49528EE2" w:rsidR="006956A6" w:rsidRPr="00A52AB8" w:rsidRDefault="00CD281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2D </w:t>
      </w:r>
      <w:r w:rsidR="006956A6" w:rsidRPr="00A52AB8">
        <w:rPr>
          <w:color w:val="000000" w:themeColor="text1"/>
        </w:rPr>
        <w:t xml:space="preserve">array plrNeighbour, </w:t>
      </w:r>
      <w:r w:rsidR="000C400D" w:rsidRPr="00A52AB8">
        <w:rPr>
          <w:color w:val="000000" w:themeColor="text1"/>
        </w:rPr>
        <w:t xml:space="preserve">of size atlasBlockSizeY × atlasBlockSizeX, </w:t>
      </w:r>
      <w:r w:rsidRPr="00A52AB8">
        <w:rPr>
          <w:color w:val="000000" w:themeColor="text1"/>
        </w:rPr>
        <w:t xml:space="preserve">specifying </w:t>
      </w:r>
      <w:r w:rsidR="00D652D5" w:rsidRPr="00A52AB8">
        <w:rPr>
          <w:color w:val="000000" w:themeColor="text1"/>
        </w:rPr>
        <w:t xml:space="preserve">the PLR neighbour for </w:t>
      </w:r>
      <w:r w:rsidR="00FF0C4A" w:rsidRPr="00A52AB8">
        <w:rPr>
          <w:color w:val="000000" w:themeColor="text1"/>
        </w:rPr>
        <w:t xml:space="preserve">a </w:t>
      </w:r>
      <w:r w:rsidR="00D652D5" w:rsidRPr="00A52AB8">
        <w:rPr>
          <w:color w:val="000000" w:themeColor="text1"/>
        </w:rPr>
        <w:t>patch packing block in the current atlas frame,</w:t>
      </w:r>
    </w:p>
    <w:p w14:paraId="775EF174" w14:textId="089B26B3" w:rsidR="00BA31E2" w:rsidRPr="00A52AB8" w:rsidRDefault="00CD281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1D </w:t>
      </w:r>
      <w:r w:rsidR="00BA31E2" w:rsidRPr="00A52AB8">
        <w:rPr>
          <w:color w:val="000000" w:themeColor="text1"/>
        </w:rPr>
        <w:t xml:space="preserve">array pos3D, </w:t>
      </w:r>
      <w:r w:rsidRPr="00A52AB8">
        <w:rPr>
          <w:color w:val="000000" w:themeColor="text1"/>
        </w:rPr>
        <w:t xml:space="preserve">of size 3, specifying </w:t>
      </w:r>
      <w:r w:rsidR="00BA31E2" w:rsidRPr="00A52AB8">
        <w:rPr>
          <w:color w:val="000000" w:themeColor="text1"/>
        </w:rPr>
        <w:t xml:space="preserve">the </w:t>
      </w:r>
      <w:r w:rsidR="006E3A04" w:rsidRPr="00A52AB8">
        <w:rPr>
          <w:color w:val="000000" w:themeColor="text1"/>
        </w:rPr>
        <w:t>3D</w:t>
      </w:r>
      <w:r w:rsidR="00BA31E2" w:rsidRPr="00A52AB8">
        <w:rPr>
          <w:color w:val="000000" w:themeColor="text1"/>
        </w:rPr>
        <w:t xml:space="preserve"> coordinates of a </w:t>
      </w:r>
      <w:r w:rsidRPr="00A52AB8">
        <w:rPr>
          <w:color w:val="000000" w:themeColor="text1"/>
        </w:rPr>
        <w:t xml:space="preserve">reconstructed </w:t>
      </w:r>
      <w:r w:rsidR="00BA31E2" w:rsidRPr="00A52AB8">
        <w:rPr>
          <w:color w:val="000000" w:themeColor="text1"/>
        </w:rPr>
        <w:t>point</w:t>
      </w:r>
      <w:r w:rsidRPr="00A52AB8">
        <w:rPr>
          <w:color w:val="000000" w:themeColor="text1"/>
        </w:rPr>
        <w:t xml:space="preserve"> in the reconstructed point cloud frame</w:t>
      </w:r>
      <w:r w:rsidR="00BA31E2" w:rsidRPr="00A52AB8">
        <w:rPr>
          <w:color w:val="000000" w:themeColor="text1"/>
        </w:rPr>
        <w:t>,</w:t>
      </w:r>
    </w:p>
    <w:p w14:paraId="1061D499" w14:textId="3D56BCE5" w:rsidR="00BA31E2" w:rsidRPr="00A52AB8" w:rsidRDefault="00CD281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1D </w:t>
      </w:r>
      <w:r w:rsidR="00BA31E2" w:rsidRPr="00A52AB8">
        <w:rPr>
          <w:color w:val="000000" w:themeColor="text1"/>
        </w:rPr>
        <w:t xml:space="preserve">array pointToPatch, </w:t>
      </w:r>
      <w:r w:rsidRPr="00A52AB8">
        <w:rPr>
          <w:color w:val="000000" w:themeColor="text1"/>
        </w:rPr>
        <w:t xml:space="preserve">of size pointCnt, specifying </w:t>
      </w:r>
      <w:r w:rsidR="00BA31E2" w:rsidRPr="00A52AB8">
        <w:rPr>
          <w:color w:val="000000" w:themeColor="text1"/>
        </w:rPr>
        <w:t xml:space="preserve">the patch index </w:t>
      </w:r>
      <w:r w:rsidRPr="00A52AB8">
        <w:rPr>
          <w:color w:val="000000" w:themeColor="text1"/>
        </w:rPr>
        <w:t>of each</w:t>
      </w:r>
      <w:r w:rsidR="00BA31E2" w:rsidRPr="00A52AB8">
        <w:rPr>
          <w:color w:val="000000" w:themeColor="text1"/>
        </w:rPr>
        <w:t xml:space="preserve"> reconstructed point </w:t>
      </w:r>
      <w:r w:rsidRPr="00A52AB8">
        <w:rPr>
          <w:color w:val="000000" w:themeColor="text1"/>
        </w:rPr>
        <w:t>in the reconstructed point cloud frame</w:t>
      </w:r>
      <w:r w:rsidR="00BA31E2" w:rsidRPr="00A52AB8">
        <w:rPr>
          <w:color w:val="000000" w:themeColor="text1"/>
        </w:rPr>
        <w:t>,</w:t>
      </w:r>
    </w:p>
    <w:p w14:paraId="1425A2F6" w14:textId="13A2F47A" w:rsidR="00BA31E2" w:rsidRPr="00A52AB8" w:rsidRDefault="00CD281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2D </w:t>
      </w:r>
      <w:r w:rsidR="00BA31E2" w:rsidRPr="00A52AB8">
        <w:rPr>
          <w:color w:val="000000" w:themeColor="text1"/>
        </w:rPr>
        <w:t xml:space="preserve">array pointToPixel, </w:t>
      </w:r>
      <w:r w:rsidRPr="00A52AB8">
        <w:rPr>
          <w:color w:val="000000" w:themeColor="text1"/>
        </w:rPr>
        <w:t xml:space="preserve">of size pointCnt × 2, specifying </w:t>
      </w:r>
      <w:r w:rsidR="00BA31E2" w:rsidRPr="00A52AB8">
        <w:rPr>
          <w:color w:val="000000" w:themeColor="text1"/>
        </w:rPr>
        <w:t xml:space="preserve">the atlas coordinates for </w:t>
      </w:r>
      <w:r w:rsidRPr="00A52AB8">
        <w:rPr>
          <w:color w:val="000000" w:themeColor="text1"/>
        </w:rPr>
        <w:t xml:space="preserve">each </w:t>
      </w:r>
      <w:r w:rsidR="00BA31E2" w:rsidRPr="00A52AB8">
        <w:rPr>
          <w:color w:val="000000" w:themeColor="text1"/>
        </w:rPr>
        <w:t xml:space="preserve">reconstructed point </w:t>
      </w:r>
      <w:r w:rsidRPr="00A52AB8">
        <w:rPr>
          <w:color w:val="000000" w:themeColor="text1"/>
        </w:rPr>
        <w:t>in the reconstructed point cloud frame</w:t>
      </w:r>
      <w:r w:rsidR="00DE3AA8" w:rsidRPr="00A52AB8">
        <w:rPr>
          <w:color w:val="000000" w:themeColor="text1"/>
        </w:rPr>
        <w:t>,</w:t>
      </w:r>
    </w:p>
    <w:p w14:paraId="02E985BF" w14:textId="752914D5" w:rsidR="00BA31E2" w:rsidRPr="00A52AB8" w:rsidRDefault="00CD281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1D </w:t>
      </w:r>
      <w:r w:rsidR="00BA31E2" w:rsidRPr="00A52AB8">
        <w:rPr>
          <w:color w:val="000000" w:themeColor="text1"/>
        </w:rPr>
        <w:t xml:space="preserve">array attrPresent, </w:t>
      </w:r>
      <w:r w:rsidRPr="00A52AB8">
        <w:rPr>
          <w:color w:val="000000" w:themeColor="text1"/>
        </w:rPr>
        <w:t xml:space="preserve">of size pointCnt, </w:t>
      </w:r>
      <w:r w:rsidR="00BA31E2" w:rsidRPr="00A52AB8">
        <w:rPr>
          <w:color w:val="000000" w:themeColor="text1"/>
        </w:rPr>
        <w:t xml:space="preserve">specifying whether the attribute values for </w:t>
      </w:r>
      <w:r w:rsidR="004F53B3" w:rsidRPr="00A52AB8">
        <w:rPr>
          <w:color w:val="000000" w:themeColor="text1"/>
        </w:rPr>
        <w:t xml:space="preserve">a </w:t>
      </w:r>
      <w:r w:rsidR="00BA31E2" w:rsidRPr="00A52AB8">
        <w:rPr>
          <w:color w:val="000000" w:themeColor="text1"/>
        </w:rPr>
        <w:t>reconstructed point are present in the attribute video bitstream,</w:t>
      </w:r>
    </w:p>
    <w:p w14:paraId="53BCA3B6" w14:textId="37AB1750" w:rsidR="003F5FC9" w:rsidRPr="00A52AB8" w:rsidRDefault="004F53B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2D </w:t>
      </w:r>
      <w:r w:rsidR="003F5FC9" w:rsidRPr="00A52AB8">
        <w:rPr>
          <w:color w:val="000000" w:themeColor="text1"/>
        </w:rPr>
        <w:t xml:space="preserve">array gFrame, </w:t>
      </w:r>
      <w:r w:rsidRPr="00A52AB8">
        <w:rPr>
          <w:color w:val="000000" w:themeColor="text1"/>
        </w:rPr>
        <w:t xml:space="preserve">of size asps_frame_height × asps_frame_width, specifying </w:t>
      </w:r>
      <w:r w:rsidR="003F5FC9" w:rsidRPr="00A52AB8">
        <w:rPr>
          <w:color w:val="000000" w:themeColor="text1"/>
        </w:rPr>
        <w:t xml:space="preserve">the decoded geometry frames in </w:t>
      </w:r>
      <w:r w:rsidR="0065222A" w:rsidRPr="00A52AB8">
        <w:rPr>
          <w:color w:val="000000" w:themeColor="text1"/>
        </w:rPr>
        <w:t xml:space="preserve">the </w:t>
      </w:r>
      <w:r w:rsidR="003F5FC9" w:rsidRPr="00A52AB8">
        <w:rPr>
          <w:color w:val="000000" w:themeColor="text1"/>
        </w:rPr>
        <w:t>nominal format, and</w:t>
      </w:r>
    </w:p>
    <w:p w14:paraId="47118C64" w14:textId="30BEDD19" w:rsidR="004F53B3" w:rsidRPr="00A52AB8" w:rsidRDefault="004F53B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2D </w:t>
      </w:r>
      <w:r w:rsidR="007C7312" w:rsidRPr="00A52AB8">
        <w:rPr>
          <w:color w:val="000000" w:themeColor="text1"/>
        </w:rPr>
        <w:t xml:space="preserve">array recPcGeo, </w:t>
      </w:r>
      <w:r w:rsidRPr="00A52AB8">
        <w:rPr>
          <w:color w:val="000000" w:themeColor="text1"/>
        </w:rPr>
        <w:t>of size pointCnt × 3, specifying the</w:t>
      </w:r>
      <w:r w:rsidR="007C7312" w:rsidRPr="00A52AB8">
        <w:rPr>
          <w:color w:val="000000" w:themeColor="text1"/>
        </w:rPr>
        <w:t xml:space="preserve"> coordinates of points in the reconstructed point cloud frame,</w:t>
      </w:r>
    </w:p>
    <w:p w14:paraId="06224525" w14:textId="5A21D00B" w:rsidR="00FF0C4A" w:rsidRPr="00A52AB8" w:rsidRDefault="00FF0C4A" w:rsidP="00007BE2">
      <w:pPr>
        <w:ind w:left="403"/>
        <w:rPr>
          <w:color w:val="000000" w:themeColor="text1"/>
        </w:rPr>
      </w:pPr>
      <w:r w:rsidRPr="00A52AB8">
        <w:rPr>
          <w:color w:val="000000" w:themeColor="text1"/>
        </w:rPr>
        <w:t>where the variables atlasBlockSizeY  and atlasBlockSizeX are equal to:</w:t>
      </w:r>
    </w:p>
    <w:p w14:paraId="18A9A92C" w14:textId="6666C7E6" w:rsidR="00FF0C4A" w:rsidRPr="00A52AB8" w:rsidRDefault="000C400D" w:rsidP="00007BE2">
      <w:pPr>
        <w:ind w:left="403"/>
        <w:rPr>
          <w:color w:val="000000" w:themeColor="text1"/>
        </w:rPr>
      </w:pPr>
      <w:r w:rsidRPr="00A52AB8">
        <w:rPr>
          <w:color w:val="000000" w:themeColor="text1"/>
        </w:rPr>
        <w:tab/>
      </w:r>
      <w:r w:rsidR="00FF0C4A" w:rsidRPr="00A52AB8">
        <w:rPr>
          <w:color w:val="000000" w:themeColor="text1"/>
        </w:rPr>
        <w:t>atlasBlockSizeY = ( </w:t>
      </w:r>
      <w:r w:rsidR="00FF0C4A" w:rsidRPr="00A52AB8">
        <w:t>( Atlas</w:t>
      </w:r>
      <w:r w:rsidR="00FF0C4A" w:rsidRPr="00A52AB8">
        <w:rPr>
          <w:color w:val="000000" w:themeColor="text1"/>
        </w:rPr>
        <w:t>Patch2dSizeY</w:t>
      </w:r>
      <w:r w:rsidR="00FF0C4A" w:rsidRPr="00A52AB8">
        <w:t>[ pIdx ] − 1 ) &gt;&gt; </w:t>
      </w:r>
      <w:r w:rsidR="00FF0C4A" w:rsidRPr="00A52AB8">
        <w:rPr>
          <w:color w:val="000000" w:themeColor="text1"/>
        </w:rPr>
        <w:t>blockShift ) + 1</w:t>
      </w:r>
    </w:p>
    <w:p w14:paraId="52B54D9C" w14:textId="577B6802" w:rsidR="00FF0C4A" w:rsidRPr="00A52AB8" w:rsidRDefault="000C400D" w:rsidP="00FF0C4A">
      <w:pPr>
        <w:ind w:left="403"/>
        <w:rPr>
          <w:color w:val="000000" w:themeColor="text1"/>
        </w:rPr>
      </w:pPr>
      <w:r w:rsidRPr="00A52AB8">
        <w:rPr>
          <w:color w:val="000000" w:themeColor="text1"/>
        </w:rPr>
        <w:tab/>
      </w:r>
      <w:r w:rsidR="00FF0C4A" w:rsidRPr="00A52AB8">
        <w:rPr>
          <w:color w:val="000000" w:themeColor="text1"/>
        </w:rPr>
        <w:t>atlasBlockSizeX = ( </w:t>
      </w:r>
      <w:r w:rsidR="00FF0C4A" w:rsidRPr="00A52AB8">
        <w:t>( Atlas</w:t>
      </w:r>
      <w:r w:rsidR="00FF0C4A" w:rsidRPr="00A52AB8">
        <w:rPr>
          <w:color w:val="000000" w:themeColor="text1"/>
        </w:rPr>
        <w:t>Patch2dSizeY</w:t>
      </w:r>
      <w:r w:rsidR="00FF0C4A" w:rsidRPr="00A52AB8">
        <w:t>[ pIdx ] − 1 ) &gt;&gt; </w:t>
      </w:r>
      <w:r w:rsidR="00FF0C4A" w:rsidRPr="00A52AB8">
        <w:rPr>
          <w:color w:val="000000" w:themeColor="text1"/>
        </w:rPr>
        <w:t>blockShift ) + 1</w:t>
      </w:r>
    </w:p>
    <w:p w14:paraId="1041A19E" w14:textId="77777777" w:rsidR="007C7312" w:rsidRPr="00A52AB8" w:rsidRDefault="007C7312" w:rsidP="007C7312">
      <w:pPr>
        <w:rPr>
          <w:color w:val="000000" w:themeColor="text1"/>
        </w:rPr>
      </w:pPr>
      <w:r w:rsidRPr="00A52AB8">
        <w:rPr>
          <w:color w:val="000000" w:themeColor="text1"/>
        </w:rPr>
        <w:t>Outputs of this process are:</w:t>
      </w:r>
    </w:p>
    <w:p w14:paraId="40E1EECF" w14:textId="2CE7A6D2" w:rsidR="007C7312" w:rsidRPr="00A52AB8" w:rsidRDefault="000C400D"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the </w:t>
      </w:r>
      <w:r w:rsidR="007C7312" w:rsidRPr="00A52AB8">
        <w:rPr>
          <w:color w:val="000000" w:themeColor="text1"/>
        </w:rPr>
        <w:t>modified variable pointCnt</w:t>
      </w:r>
      <w:r w:rsidR="008A5295" w:rsidRPr="00A52AB8">
        <w:rPr>
          <w:color w:val="000000" w:themeColor="text1"/>
        </w:rPr>
        <w:t>,</w:t>
      </w:r>
    </w:p>
    <w:p w14:paraId="36934ED2" w14:textId="4DA18DF1" w:rsidR="007C7312" w:rsidRPr="00A52AB8" w:rsidRDefault="000C400D"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the </w:t>
      </w:r>
      <w:r w:rsidR="007C7312" w:rsidRPr="00A52AB8">
        <w:rPr>
          <w:color w:val="000000" w:themeColor="text1"/>
        </w:rPr>
        <w:t>modified array pointToPatch</w:t>
      </w:r>
      <w:r w:rsidR="008A5295" w:rsidRPr="00A52AB8">
        <w:rPr>
          <w:color w:val="000000" w:themeColor="text1"/>
        </w:rPr>
        <w:t>,</w:t>
      </w:r>
    </w:p>
    <w:p w14:paraId="4C439D0A" w14:textId="026DB531" w:rsidR="008A5295" w:rsidRPr="00A52AB8" w:rsidRDefault="000C400D"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the </w:t>
      </w:r>
      <w:r w:rsidR="008A5295" w:rsidRPr="00A52AB8">
        <w:rPr>
          <w:color w:val="000000" w:themeColor="text1"/>
        </w:rPr>
        <w:t>modified array pointToPixel,</w:t>
      </w:r>
    </w:p>
    <w:p w14:paraId="58EC5ECD" w14:textId="3E04DC5D" w:rsidR="007C7312" w:rsidRPr="00A52AB8" w:rsidRDefault="000C400D"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the </w:t>
      </w:r>
      <w:r w:rsidR="007C7312" w:rsidRPr="00A52AB8">
        <w:rPr>
          <w:color w:val="000000" w:themeColor="text1"/>
        </w:rPr>
        <w:t>modified array attrPresent</w:t>
      </w:r>
      <w:r w:rsidR="008A5295" w:rsidRPr="00A52AB8">
        <w:rPr>
          <w:color w:val="000000" w:themeColor="text1"/>
        </w:rPr>
        <w:t>, and</w:t>
      </w:r>
    </w:p>
    <w:p w14:paraId="7EFDB3F6" w14:textId="26D1DCE5" w:rsidR="00237B30" w:rsidRPr="00A52AB8" w:rsidRDefault="000C400D"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bookmarkStart w:id="6391" w:name="_Hlk47539538"/>
      <w:r w:rsidRPr="00A52AB8">
        <w:rPr>
          <w:color w:val="000000" w:themeColor="text1"/>
        </w:rPr>
        <w:t xml:space="preserve">the </w:t>
      </w:r>
      <w:r w:rsidR="007C7312" w:rsidRPr="00A52AB8">
        <w:rPr>
          <w:color w:val="000000" w:themeColor="text1"/>
        </w:rPr>
        <w:t>modified array recPcGeo</w:t>
      </w:r>
      <w:r w:rsidR="008A5295" w:rsidRPr="00A52AB8">
        <w:rPr>
          <w:color w:val="000000" w:themeColor="text1"/>
        </w:rPr>
        <w:t>.</w:t>
      </w:r>
    </w:p>
    <w:bookmarkEnd w:id="6391"/>
    <w:p w14:paraId="65EDEE3C" w14:textId="77777777" w:rsidR="00093B76" w:rsidRPr="00A52AB8" w:rsidRDefault="00237B30" w:rsidP="00237B30">
      <w:pPr>
        <w:rPr>
          <w:color w:val="000000" w:themeColor="text1"/>
        </w:rPr>
      </w:pPr>
      <w:r w:rsidRPr="00A52AB8">
        <w:rPr>
          <w:color w:val="000000" w:themeColor="text1"/>
        </w:rPr>
        <w:t>The following applies:</w:t>
      </w:r>
    </w:p>
    <w:p w14:paraId="73D95606" w14:textId="4066A978" w:rsidR="003F18F0" w:rsidRPr="00A52AB8" w:rsidRDefault="003F18F0"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variable deltaDepth is initialized to 0</w:t>
      </w:r>
      <w:r w:rsidR="00DC2DD7" w:rsidRPr="00A52AB8">
        <w:rPr>
          <w:color w:val="000000" w:themeColor="text1"/>
        </w:rPr>
        <w:t>.</w:t>
      </w:r>
    </w:p>
    <w:p w14:paraId="09E2344A" w14:textId="77777777" w:rsidR="000C400D" w:rsidRPr="00A52AB8" w:rsidRDefault="00DC2DD7" w:rsidP="000C400D">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Set variables </w:t>
      </w:r>
      <w:r w:rsidR="000C400D" w:rsidRPr="00A52AB8">
        <w:rPr>
          <w:color w:val="000000" w:themeColor="text1"/>
        </w:rPr>
        <w:t>yN and xB as follows:</w:t>
      </w:r>
    </w:p>
    <w:p w14:paraId="14C429EF" w14:textId="5E371467" w:rsidR="000C400D" w:rsidRPr="00A52AB8" w:rsidRDefault="00DC2DD7" w:rsidP="000C400D">
      <w:pPr>
        <w:pStyle w:val="ListParagraph"/>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textAlignment w:val="baseline"/>
        <w:rPr>
          <w:color w:val="000000" w:themeColor="text1"/>
        </w:rPr>
      </w:pPr>
      <w:r w:rsidRPr="00A52AB8">
        <w:t>yB</w:t>
      </w:r>
      <w:r w:rsidR="00D47707" w:rsidRPr="00A52AB8">
        <w:t> = </w:t>
      </w:r>
      <w:r w:rsidRPr="00A52AB8">
        <w:t>( y</w:t>
      </w:r>
      <w:r w:rsidR="008768E9" w:rsidRPr="00A52AB8">
        <w:t> &gt;&gt; </w:t>
      </w:r>
      <w:r w:rsidR="006F52F9" w:rsidRPr="00A52AB8">
        <w:t>blockShift</w:t>
      </w:r>
      <w:r w:rsidRPr="00A52AB8">
        <w:t> )</w:t>
      </w:r>
    </w:p>
    <w:p w14:paraId="2B59CD41" w14:textId="3B32353A" w:rsidR="00DC2DD7" w:rsidRPr="00A52AB8" w:rsidRDefault="00DC2DD7" w:rsidP="00983491">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pPr>
      <w:r w:rsidRPr="00A52AB8">
        <w:t>xB</w:t>
      </w:r>
      <w:r w:rsidR="00D47707" w:rsidRPr="00A52AB8">
        <w:t> = </w:t>
      </w:r>
      <w:r w:rsidRPr="00A52AB8">
        <w:t>( x</w:t>
      </w:r>
      <w:r w:rsidR="008768E9" w:rsidRPr="00A52AB8">
        <w:t> &gt;&gt; </w:t>
      </w:r>
      <w:r w:rsidR="006F52F9" w:rsidRPr="00A52AB8">
        <w:t>blockShift </w:t>
      </w:r>
      <w:r w:rsidRPr="00A52AB8">
        <w:t>)</w:t>
      </w:r>
    </w:p>
    <w:p w14:paraId="73C62966" w14:textId="0A464935" w:rsidR="003F18F0" w:rsidRPr="00A52AB8" w:rsidRDefault="003F18F0"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If plrInterpolateFlag[ </w:t>
      </w:r>
      <w:r w:rsidR="00DC2DD7" w:rsidRPr="00A52AB8">
        <w:rPr>
          <w:color w:val="000000" w:themeColor="text1"/>
        </w:rPr>
        <w:t>yB</w:t>
      </w:r>
      <w:r w:rsidRPr="00A52AB8">
        <w:rPr>
          <w:color w:val="000000" w:themeColor="text1"/>
        </w:rPr>
        <w:t> ][ x</w:t>
      </w:r>
      <w:r w:rsidR="00DC2DD7" w:rsidRPr="00A52AB8">
        <w:rPr>
          <w:color w:val="000000" w:themeColor="text1"/>
        </w:rPr>
        <w:t>B</w:t>
      </w:r>
      <w:r w:rsidRPr="00A52AB8">
        <w:rPr>
          <w:color w:val="000000" w:themeColor="text1"/>
        </w:rPr>
        <w:t> ] is equal to 1, then</w:t>
      </w:r>
    </w:p>
    <w:p w14:paraId="457335A5" w14:textId="0B2ED440" w:rsidR="00B55833" w:rsidRPr="00A52AB8" w:rsidRDefault="00DC2470"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A variable deltaLimit is determined</w:t>
      </w:r>
      <w:r w:rsidR="000C400D" w:rsidRPr="00A52AB8">
        <w:rPr>
          <w:color w:val="000000" w:themeColor="text1"/>
        </w:rPr>
        <w:t>,</w:t>
      </w:r>
      <w:r w:rsidRPr="00A52AB8">
        <w:rPr>
          <w:color w:val="000000" w:themeColor="text1"/>
        </w:rPr>
        <w:t xml:space="preserve"> which identifies the maximum or minimum depth values in a neighbourhood depending on the value of the current patch’s projection flag, AtlasPatchProjectionFlag[ pIdx ], as follows</w:t>
      </w:r>
      <w:r w:rsidR="00B55833" w:rsidRPr="00A52AB8">
        <w:rPr>
          <w:color w:val="000000" w:themeColor="text1"/>
        </w:rPr>
        <w:t>:</w:t>
      </w:r>
    </w:p>
    <w:p w14:paraId="7CA57A70" w14:textId="633B2FB6" w:rsidR="00EF404E" w:rsidRPr="00A52AB8" w:rsidRDefault="00EF404E" w:rsidP="00983491">
      <w:pPr>
        <w:ind w:left="403"/>
      </w:pPr>
      <w:r w:rsidRPr="00A52AB8">
        <w:t>surfaceThickness</w:t>
      </w:r>
      <w:r w:rsidR="00D47707" w:rsidRPr="00A52AB8">
        <w:t> = </w:t>
      </w:r>
      <w:r w:rsidRPr="00A52AB8">
        <w:t>asps_vpcc_</w:t>
      </w:r>
      <w:r w:rsidRPr="00A52AB8">
        <w:rPr>
          <w:rFonts w:eastAsia="Malgun Gothic"/>
        </w:rPr>
        <w:t>surface_thickness_minus1 + 1</w:t>
      </w:r>
      <w:r w:rsidRPr="00A52AB8">
        <w:rPr>
          <w:rFonts w:eastAsia="Malgun Gothic"/>
        </w:rPr>
        <w:br/>
      </w:r>
      <w:r w:rsidRPr="00A52AB8">
        <w:tab/>
      </w:r>
      <w:r w:rsidRPr="00A52AB8">
        <w:tab/>
      </w:r>
      <w:r w:rsidR="00DC2470" w:rsidRPr="00A52AB8">
        <w:t>deltaLimit</w:t>
      </w:r>
      <w:r w:rsidR="00D47707" w:rsidRPr="00A52AB8">
        <w:t> = </w:t>
      </w:r>
      <w:r w:rsidRPr="00A52AB8">
        <w:t>0</w:t>
      </w:r>
      <w:r w:rsidRPr="00A52AB8">
        <w:br/>
      </w:r>
      <w:r w:rsidRPr="00A52AB8">
        <w:tab/>
      </w:r>
      <w:r w:rsidRPr="00A52AB8">
        <w:tab/>
        <w:t>startC</w:t>
      </w:r>
      <w:r w:rsidR="0087613F" w:rsidRPr="00A52AB8">
        <w:t>ol</w:t>
      </w:r>
      <w:r w:rsidR="00D47707" w:rsidRPr="00A52AB8">
        <w:t> = </w:t>
      </w:r>
      <w:r w:rsidRPr="00A52AB8">
        <w:t>Max( 0, x </w:t>
      </w:r>
      <w:r w:rsidR="000C400D" w:rsidRPr="00A52AB8">
        <w:t>–</w:t>
      </w:r>
      <w:r w:rsidRPr="00A52AB8">
        <w:t> plrNeighbour[ yB ][ xB ] )</w:t>
      </w:r>
      <w:r w:rsidRPr="00A52AB8">
        <w:br/>
      </w:r>
      <w:r w:rsidRPr="00A52AB8">
        <w:tab/>
      </w:r>
      <w:r w:rsidRPr="00A52AB8">
        <w:tab/>
        <w:t>endC</w:t>
      </w:r>
      <w:r w:rsidR="0087613F" w:rsidRPr="00A52AB8">
        <w:t>ol</w:t>
      </w:r>
      <w:r w:rsidR="00D47707" w:rsidRPr="00A52AB8">
        <w:t> = </w:t>
      </w:r>
      <w:r w:rsidRPr="00A52AB8">
        <w:t>Min( x + plrNeighbour[ yB ][ xB ], asps_frame_width – 1 )</w:t>
      </w:r>
      <w:r w:rsidRPr="00A52AB8">
        <w:br/>
      </w:r>
      <w:r w:rsidRPr="00A52AB8">
        <w:tab/>
      </w:r>
      <w:r w:rsidRPr="00A52AB8">
        <w:tab/>
        <w:t>startR</w:t>
      </w:r>
      <w:r w:rsidR="0087613F" w:rsidRPr="00A52AB8">
        <w:t>ow</w:t>
      </w:r>
      <w:r w:rsidR="00D47707" w:rsidRPr="00A52AB8">
        <w:t> = </w:t>
      </w:r>
      <w:r w:rsidRPr="00A52AB8">
        <w:t>Max( 0, y </w:t>
      </w:r>
      <w:r w:rsidR="000C400D" w:rsidRPr="00A52AB8">
        <w:t>–</w:t>
      </w:r>
      <w:r w:rsidRPr="00A52AB8">
        <w:t> plrNeighbour[ yB ][ xB ] )</w:t>
      </w:r>
      <w:r w:rsidRPr="00A52AB8">
        <w:br/>
      </w:r>
      <w:r w:rsidRPr="00A52AB8">
        <w:tab/>
      </w:r>
      <w:r w:rsidRPr="00A52AB8">
        <w:tab/>
        <w:t>endR</w:t>
      </w:r>
      <w:r w:rsidR="0087613F" w:rsidRPr="00A52AB8">
        <w:t>ow</w:t>
      </w:r>
      <w:r w:rsidR="00D47707" w:rsidRPr="00A52AB8">
        <w:t> = </w:t>
      </w:r>
      <w:r w:rsidRPr="00A52AB8">
        <w:t>Min( y + plrNeighbour[ yB ][ xB ], asps_frame_height – 1 )</w:t>
      </w:r>
      <w:r w:rsidRPr="00A52AB8">
        <w:br/>
      </w:r>
      <w:r w:rsidRPr="00A52AB8">
        <w:tab/>
      </w:r>
      <w:r w:rsidRPr="00A52AB8">
        <w:tab/>
        <w:t>for( s</w:t>
      </w:r>
      <w:r w:rsidR="00D47707" w:rsidRPr="00A52AB8">
        <w:t> = </w:t>
      </w:r>
      <w:r w:rsidRPr="00A52AB8">
        <w:t>startC</w:t>
      </w:r>
      <w:r w:rsidR="0087613F" w:rsidRPr="00A52AB8">
        <w:t>ol</w:t>
      </w:r>
      <w:r w:rsidRPr="00A52AB8">
        <w:t>; s </w:t>
      </w:r>
      <w:r w:rsidR="00A234FD" w:rsidRPr="00A52AB8">
        <w:t>&lt;=</w:t>
      </w:r>
      <w:r w:rsidR="00D47707" w:rsidRPr="00A52AB8">
        <w:t> </w:t>
      </w:r>
      <w:r w:rsidRPr="00A52AB8">
        <w:t>endC</w:t>
      </w:r>
      <w:r w:rsidR="0087613F" w:rsidRPr="00A52AB8">
        <w:t>ol</w:t>
      </w:r>
      <w:r w:rsidRPr="00A52AB8">
        <w:t>; s++ </w:t>
      </w:r>
      <w:r w:rsidR="008F1F82" w:rsidRPr="00A52AB8">
        <w:t>) {</w:t>
      </w:r>
      <w:r w:rsidRPr="00A52AB8">
        <w:br/>
      </w:r>
      <w:r w:rsidRPr="00A52AB8">
        <w:tab/>
      </w:r>
      <w:r w:rsidRPr="00A52AB8">
        <w:tab/>
      </w:r>
      <w:r w:rsidRPr="00A52AB8">
        <w:tab/>
        <w:t>sB</w:t>
      </w:r>
      <w:r w:rsidR="00D47707" w:rsidRPr="00A52AB8">
        <w:t> = </w:t>
      </w:r>
      <w:r w:rsidRPr="00A52AB8">
        <w:t>s &gt;&gt; </w:t>
      </w:r>
      <w:r w:rsidR="006F52F9" w:rsidRPr="00A52AB8">
        <w:t>blockShift</w:t>
      </w:r>
      <w:r w:rsidRPr="00A52AB8">
        <w:br/>
      </w:r>
      <w:r w:rsidRPr="00A52AB8">
        <w:tab/>
      </w:r>
      <w:r w:rsidRPr="00A52AB8">
        <w:tab/>
      </w:r>
      <w:r w:rsidRPr="00A52AB8">
        <w:tab/>
        <w:t>for( t</w:t>
      </w:r>
      <w:r w:rsidR="00D47707" w:rsidRPr="00A52AB8">
        <w:t> = </w:t>
      </w:r>
      <w:r w:rsidRPr="00A52AB8">
        <w:t>startR</w:t>
      </w:r>
      <w:r w:rsidR="0087613F" w:rsidRPr="00A52AB8">
        <w:t>ow</w:t>
      </w:r>
      <w:r w:rsidRPr="00A52AB8">
        <w:t>; </w:t>
      </w:r>
      <w:r w:rsidR="0087613F" w:rsidRPr="00A52AB8">
        <w:t>t </w:t>
      </w:r>
      <w:r w:rsidR="00A234FD" w:rsidRPr="00A52AB8">
        <w:t>&lt;=</w:t>
      </w:r>
      <w:r w:rsidR="00D47707" w:rsidRPr="00A52AB8">
        <w:t> </w:t>
      </w:r>
      <w:r w:rsidRPr="00A52AB8">
        <w:t>endR</w:t>
      </w:r>
      <w:r w:rsidR="0087613F" w:rsidRPr="00A52AB8">
        <w:t>ow</w:t>
      </w:r>
      <w:r w:rsidRPr="00A52AB8">
        <w:t>; t++ </w:t>
      </w:r>
      <w:r w:rsidR="008F1F82" w:rsidRPr="00A52AB8">
        <w:t>) {</w:t>
      </w:r>
      <w:r w:rsidRPr="00A52AB8">
        <w:br/>
      </w:r>
      <w:r w:rsidRPr="00A52AB8">
        <w:tab/>
      </w:r>
      <w:r w:rsidRPr="00A52AB8">
        <w:tab/>
      </w:r>
      <w:r w:rsidRPr="00A52AB8">
        <w:tab/>
      </w:r>
      <w:r w:rsidRPr="00A52AB8">
        <w:tab/>
        <w:t>tB</w:t>
      </w:r>
      <w:r w:rsidR="00D47707" w:rsidRPr="00A52AB8">
        <w:t> = </w:t>
      </w:r>
      <w:r w:rsidRPr="00A52AB8">
        <w:t>t &gt;&gt; </w:t>
      </w:r>
      <w:r w:rsidR="006F52F9" w:rsidRPr="00A52AB8">
        <w:t>blockShift</w:t>
      </w:r>
      <w:r w:rsidRPr="00A52AB8">
        <w:br/>
      </w:r>
      <w:r w:rsidRPr="00A52AB8">
        <w:tab/>
      </w:r>
      <w:r w:rsidRPr="00A52AB8">
        <w:tab/>
      </w:r>
      <w:r w:rsidRPr="00A52AB8">
        <w:tab/>
      </w:r>
      <w:r w:rsidRPr="00A52AB8">
        <w:tab/>
      </w:r>
      <w:r w:rsidRPr="00A52AB8">
        <w:br/>
      </w:r>
      <w:r w:rsidRPr="00A52AB8">
        <w:tab/>
      </w:r>
      <w:r w:rsidRPr="00A52AB8">
        <w:tab/>
      </w:r>
      <w:r w:rsidRPr="00A52AB8">
        <w:tab/>
      </w:r>
      <w:r w:rsidRPr="00A52AB8">
        <w:tab/>
        <w:t>if( ( </w:t>
      </w:r>
      <w:r w:rsidRPr="00A52AB8">
        <w:rPr>
          <w:rFonts w:eastAsia="Malgun Gothic"/>
        </w:rPr>
        <w:t>oFrame[ t ][ s ] </w:t>
      </w:r>
      <w:r w:rsidR="00E963F3" w:rsidRPr="00A52AB8">
        <w:rPr>
          <w:rFonts w:eastAsia="Malgun Gothic"/>
        </w:rPr>
        <w:t>!=</w:t>
      </w:r>
      <w:r w:rsidR="00D47707" w:rsidRPr="00A52AB8">
        <w:rPr>
          <w:rFonts w:eastAsia="Malgun Gothic"/>
        </w:rPr>
        <w:t> </w:t>
      </w:r>
      <w:r w:rsidRPr="00A52AB8">
        <w:rPr>
          <w:rFonts w:eastAsia="Malgun Gothic"/>
        </w:rPr>
        <w:t>0 )</w:t>
      </w:r>
      <w:r w:rsidR="008768E9" w:rsidRPr="00A52AB8">
        <w:rPr>
          <w:rFonts w:eastAsia="Malgun Gothic"/>
        </w:rPr>
        <w:t> &amp;&amp; </w:t>
      </w:r>
      <w:r w:rsidRPr="00A52AB8">
        <w:rPr>
          <w:rFonts w:eastAsia="Malgun Gothic"/>
        </w:rPr>
        <w:t>( </w:t>
      </w:r>
      <w:r w:rsidRPr="00A52AB8">
        <w:t>AtlasBlockToPatchMap[ tB ][ sB ]</w:t>
      </w:r>
      <w:r w:rsidR="008768E9" w:rsidRPr="00A52AB8">
        <w:t> </w:t>
      </w:r>
      <w:r w:rsidR="00726AAE" w:rsidRPr="00A52AB8">
        <w:t>==</w:t>
      </w:r>
      <w:r w:rsidR="00D47707" w:rsidRPr="00A52AB8">
        <w:t> </w:t>
      </w:r>
      <w:r w:rsidRPr="00A52AB8">
        <w:t>pIdx ) </w:t>
      </w:r>
      <w:r w:rsidR="008F1F82" w:rsidRPr="00A52AB8">
        <w:t>) {</w:t>
      </w:r>
      <w:r w:rsidR="00416379" w:rsidRPr="00A52AB8">
        <w:br/>
      </w:r>
      <w:r w:rsidR="00416379" w:rsidRPr="00A52AB8">
        <w:tab/>
      </w:r>
      <w:r w:rsidR="00416379" w:rsidRPr="00A52AB8">
        <w:tab/>
      </w:r>
      <w:r w:rsidR="00416379" w:rsidRPr="00A52AB8">
        <w:tab/>
      </w:r>
      <w:r w:rsidR="00416379" w:rsidRPr="00A52AB8">
        <w:tab/>
      </w:r>
      <w:r w:rsidR="00416379" w:rsidRPr="00A52AB8">
        <w:tab/>
        <w:t>diff</w:t>
      </w:r>
      <w:r w:rsidR="00D47707" w:rsidRPr="00A52AB8">
        <w:t> = </w:t>
      </w:r>
      <w:r w:rsidR="00416379" w:rsidRPr="00A52AB8">
        <w:t>gFrame[ t ][ s ] – gFrame[ y ][ x ]</w:t>
      </w:r>
      <w:r w:rsidRPr="00A52AB8">
        <w:br/>
      </w:r>
      <w:r w:rsidRPr="00A52AB8">
        <w:tab/>
      </w:r>
      <w:r w:rsidRPr="00A52AB8">
        <w:tab/>
      </w:r>
      <w:r w:rsidRPr="00A52AB8">
        <w:tab/>
      </w:r>
      <w:r w:rsidRPr="00A52AB8">
        <w:tab/>
      </w:r>
      <w:r w:rsidRPr="00A52AB8">
        <w:tab/>
        <w:t>if( AtlasPatchProjectionFlag[ pIdx ]</w:t>
      </w:r>
      <w:r w:rsidR="008768E9" w:rsidRPr="00A52AB8">
        <w:t> </w:t>
      </w:r>
      <w:r w:rsidR="00726AAE" w:rsidRPr="00A52AB8">
        <w:t>==</w:t>
      </w:r>
      <w:r w:rsidR="00D47707" w:rsidRPr="00A52AB8">
        <w:t> </w:t>
      </w:r>
      <w:r w:rsidRPr="00A52AB8">
        <w:t>0 </w:t>
      </w:r>
      <w:r w:rsidR="008F1F82" w:rsidRPr="00A52AB8">
        <w:t>) {</w:t>
      </w:r>
      <w:r w:rsidRPr="00A52AB8">
        <w:br/>
      </w:r>
      <w:r w:rsidRPr="00A52AB8">
        <w:tab/>
      </w:r>
      <w:r w:rsidRPr="00A52AB8">
        <w:tab/>
      </w:r>
      <w:r w:rsidRPr="00A52AB8">
        <w:tab/>
      </w:r>
      <w:r w:rsidRPr="00A52AB8">
        <w:tab/>
      </w:r>
      <w:r w:rsidRPr="00A52AB8">
        <w:tab/>
      </w:r>
      <w:r w:rsidRPr="00A52AB8">
        <w:tab/>
        <w:t>if( ( diff </w:t>
      </w:r>
      <w:r w:rsidR="00A234FD" w:rsidRPr="00A52AB8">
        <w:t>&lt;=</w:t>
      </w:r>
      <w:r w:rsidR="00D47707" w:rsidRPr="00A52AB8">
        <w:t> </w:t>
      </w:r>
      <w:r w:rsidRPr="00A52AB8">
        <w:t>surfaceThickness )</w:t>
      </w:r>
      <w:r w:rsidR="008768E9" w:rsidRPr="00A52AB8">
        <w:t> &amp;&amp; </w:t>
      </w:r>
      <w:r w:rsidRPr="00A52AB8">
        <w:t>(diff &gt; </w:t>
      </w:r>
      <w:r w:rsidR="00DC2470" w:rsidRPr="00A52AB8">
        <w:t>deltaLimit</w:t>
      </w:r>
      <w:r w:rsidRPr="00A52AB8">
        <w:t> ) )</w:t>
      </w:r>
      <w:r w:rsidRPr="00A52AB8">
        <w:br/>
      </w:r>
      <w:r w:rsidRPr="00A52AB8">
        <w:tab/>
      </w:r>
      <w:r w:rsidRPr="00A52AB8">
        <w:tab/>
      </w:r>
      <w:r w:rsidRPr="00A52AB8">
        <w:tab/>
      </w:r>
      <w:r w:rsidRPr="00A52AB8">
        <w:tab/>
      </w:r>
      <w:r w:rsidRPr="00A52AB8">
        <w:tab/>
      </w:r>
      <w:r w:rsidRPr="00A52AB8">
        <w:tab/>
      </w:r>
      <w:r w:rsidRPr="00A52AB8">
        <w:tab/>
      </w:r>
      <w:r w:rsidR="00DC2470" w:rsidRPr="00A52AB8">
        <w:t>deltaLimit</w:t>
      </w:r>
      <w:r w:rsidR="00D47707" w:rsidRPr="00A52AB8">
        <w:t> = </w:t>
      </w:r>
      <w:r w:rsidRPr="00A52AB8">
        <w:t>diff</w:t>
      </w:r>
      <w:r w:rsidRPr="00A52AB8">
        <w:br/>
      </w:r>
      <w:r w:rsidRPr="00A52AB8">
        <w:tab/>
      </w:r>
      <w:r w:rsidRPr="00A52AB8">
        <w:tab/>
      </w:r>
      <w:r w:rsidRPr="00A52AB8">
        <w:tab/>
      </w:r>
      <w:r w:rsidRPr="00A52AB8">
        <w:tab/>
      </w:r>
      <w:r w:rsidRPr="00A52AB8">
        <w:tab/>
        <w:t>} else </w:t>
      </w:r>
      <w:r w:rsidR="00D63ACE" w:rsidRPr="00A52AB8">
        <w:t>if(</w:t>
      </w:r>
      <w:r w:rsidRPr="00A52AB8">
        <w:t> ( diff </w:t>
      </w:r>
      <w:r w:rsidR="00A234FD" w:rsidRPr="00A52AB8">
        <w:t>&gt;=</w:t>
      </w:r>
      <w:r w:rsidR="00D47707" w:rsidRPr="00A52AB8">
        <w:t> </w:t>
      </w:r>
      <w:r w:rsidRPr="00A52AB8">
        <w:t>−surfaceThickness )</w:t>
      </w:r>
      <w:r w:rsidR="008768E9" w:rsidRPr="00A52AB8">
        <w:t> &amp;&amp; </w:t>
      </w:r>
      <w:r w:rsidRPr="00A52AB8">
        <w:t>(diff &lt; </w:t>
      </w:r>
      <w:r w:rsidR="00DC2470" w:rsidRPr="00A52AB8">
        <w:t>deltaLimit</w:t>
      </w:r>
      <w:r w:rsidRPr="00A52AB8">
        <w:t> ) </w:t>
      </w:r>
      <w:r w:rsidR="008F1F82" w:rsidRPr="00A52AB8">
        <w:t>) {</w:t>
      </w:r>
      <w:r w:rsidRPr="00A52AB8">
        <w:br/>
      </w:r>
      <w:r w:rsidRPr="00A52AB8">
        <w:tab/>
      </w:r>
      <w:r w:rsidRPr="00A52AB8">
        <w:tab/>
      </w:r>
      <w:r w:rsidRPr="00A52AB8">
        <w:tab/>
      </w:r>
      <w:r w:rsidRPr="00A52AB8">
        <w:tab/>
      </w:r>
      <w:r w:rsidRPr="00A52AB8">
        <w:tab/>
      </w:r>
      <w:r w:rsidRPr="00A52AB8">
        <w:tab/>
      </w:r>
      <w:r w:rsidR="00DC2470" w:rsidRPr="00A52AB8">
        <w:t>deltaLimit</w:t>
      </w:r>
      <w:r w:rsidR="00D47707" w:rsidRPr="00A52AB8">
        <w:t> = </w:t>
      </w:r>
      <w:r w:rsidRPr="00A52AB8">
        <w:t>diff</w:t>
      </w:r>
      <w:r w:rsidRPr="00A52AB8">
        <w:br/>
      </w:r>
      <w:r w:rsidRPr="00A52AB8">
        <w:tab/>
      </w:r>
      <w:r w:rsidRPr="00A52AB8">
        <w:tab/>
      </w:r>
      <w:r w:rsidRPr="00A52AB8">
        <w:tab/>
      </w:r>
      <w:r w:rsidRPr="00A52AB8">
        <w:tab/>
      </w:r>
      <w:r w:rsidRPr="00A52AB8">
        <w:tab/>
        <w:t>}</w:t>
      </w:r>
      <w:r w:rsidRPr="00A52AB8">
        <w:br/>
      </w:r>
      <w:r w:rsidRPr="00A52AB8">
        <w:tab/>
      </w:r>
      <w:r w:rsidRPr="00A52AB8">
        <w:tab/>
      </w:r>
      <w:r w:rsidRPr="00A52AB8">
        <w:tab/>
      </w:r>
      <w:r w:rsidRPr="00A52AB8">
        <w:tab/>
        <w:t>}</w:t>
      </w:r>
      <w:r w:rsidRPr="00A52AB8">
        <w:br/>
      </w:r>
      <w:r w:rsidRPr="00A52AB8">
        <w:tab/>
      </w:r>
      <w:r w:rsidRPr="00A52AB8">
        <w:tab/>
      </w:r>
      <w:r w:rsidRPr="00A52AB8">
        <w:tab/>
        <w:t>}</w:t>
      </w:r>
      <w:r w:rsidRPr="00A52AB8">
        <w:br/>
      </w:r>
      <w:r w:rsidRPr="00A52AB8">
        <w:tab/>
      </w:r>
      <w:r w:rsidRPr="00A52AB8">
        <w:tab/>
        <w:t>}</w:t>
      </w:r>
      <w:r w:rsidRPr="00A52AB8">
        <w:br/>
      </w:r>
      <w:r w:rsidRPr="00A52AB8">
        <w:br/>
      </w:r>
      <w:r w:rsidRPr="00A52AB8">
        <w:tab/>
      </w:r>
      <w:r w:rsidRPr="00A52AB8">
        <w:tab/>
        <w:t>if( </w:t>
      </w:r>
      <w:r w:rsidR="00DC2470" w:rsidRPr="00A52AB8">
        <w:t>deltaLimit</w:t>
      </w:r>
      <w:r w:rsidRPr="00A52AB8">
        <w:t> </w:t>
      </w:r>
      <w:r w:rsidR="00E963F3" w:rsidRPr="00A52AB8">
        <w:t>!=</w:t>
      </w:r>
      <w:r w:rsidR="00D47707" w:rsidRPr="00A52AB8">
        <w:t> </w:t>
      </w:r>
      <w:r w:rsidRPr="00A52AB8">
        <w:t>0 </w:t>
      </w:r>
      <w:r w:rsidR="008F1F82" w:rsidRPr="00A52AB8">
        <w:t>) {</w:t>
      </w:r>
      <w:r w:rsidRPr="00A52AB8">
        <w:br/>
      </w:r>
      <w:r w:rsidRPr="00A52AB8">
        <w:tab/>
      </w:r>
      <w:r w:rsidRPr="00A52AB8">
        <w:tab/>
      </w:r>
      <w:r w:rsidRPr="00A52AB8">
        <w:tab/>
        <w:t>if( AtlasPatchProjectionFlag[ pIdx ]</w:t>
      </w:r>
      <w:r w:rsidR="008768E9" w:rsidRPr="00A52AB8">
        <w:t> </w:t>
      </w:r>
      <w:r w:rsidR="00726AAE" w:rsidRPr="00A52AB8">
        <w:t>==</w:t>
      </w:r>
      <w:r w:rsidR="00D47707" w:rsidRPr="00A52AB8">
        <w:t> </w:t>
      </w:r>
      <w:r w:rsidRPr="00A52AB8">
        <w:t>0 </w:t>
      </w:r>
      <w:r w:rsidR="008F1F82" w:rsidRPr="00A52AB8">
        <w:t>) {</w:t>
      </w:r>
      <w:r w:rsidRPr="00A52AB8">
        <w:br/>
      </w:r>
      <w:r w:rsidRPr="00A52AB8">
        <w:tab/>
      </w:r>
      <w:r w:rsidRPr="00A52AB8">
        <w:tab/>
      </w:r>
      <w:r w:rsidRPr="00A52AB8">
        <w:tab/>
      </w:r>
      <w:r w:rsidRPr="00A52AB8">
        <w:tab/>
      </w:r>
      <w:r w:rsidR="00DC2470" w:rsidRPr="00A52AB8">
        <w:t>deltaLimit</w:t>
      </w:r>
      <w:r w:rsidR="00D47707" w:rsidRPr="00A52AB8">
        <w:t> = </w:t>
      </w:r>
      <w:r w:rsidR="00DC2470" w:rsidRPr="00A52AB8">
        <w:t>deltaLimit</w:t>
      </w:r>
      <w:r w:rsidRPr="00A52AB8">
        <w:t> – 1</w:t>
      </w:r>
      <w:r w:rsidRPr="00A52AB8">
        <w:br/>
      </w:r>
      <w:r w:rsidRPr="00A52AB8">
        <w:tab/>
      </w:r>
      <w:r w:rsidRPr="00A52AB8">
        <w:tab/>
      </w:r>
      <w:r w:rsidRPr="00A52AB8">
        <w:tab/>
        <w:t>}</w:t>
      </w:r>
      <w:r w:rsidRPr="00A52AB8">
        <w:br/>
      </w:r>
      <w:r w:rsidRPr="00A52AB8">
        <w:tab/>
      </w:r>
      <w:r w:rsidRPr="00A52AB8">
        <w:tab/>
      </w:r>
      <w:r w:rsidRPr="00A52AB8">
        <w:tab/>
        <w:t>else {</w:t>
      </w:r>
      <w:r w:rsidRPr="00A52AB8">
        <w:br/>
      </w:r>
      <w:r w:rsidRPr="00A52AB8">
        <w:tab/>
      </w:r>
      <w:r w:rsidRPr="00A52AB8">
        <w:tab/>
      </w:r>
      <w:r w:rsidRPr="00A52AB8">
        <w:tab/>
      </w:r>
      <w:r w:rsidRPr="00A52AB8">
        <w:tab/>
      </w:r>
      <w:r w:rsidR="00DC2470" w:rsidRPr="00A52AB8">
        <w:t>deltaLimit</w:t>
      </w:r>
      <w:r w:rsidR="00D47707" w:rsidRPr="00A52AB8">
        <w:t> = </w:t>
      </w:r>
      <w:r w:rsidR="00DC2470" w:rsidRPr="00A52AB8">
        <w:t>deltaLimit</w:t>
      </w:r>
      <w:r w:rsidRPr="00A52AB8">
        <w:t> + 1</w:t>
      </w:r>
      <w:r w:rsidRPr="00A52AB8">
        <w:br/>
      </w:r>
      <w:r w:rsidRPr="00A52AB8">
        <w:tab/>
      </w:r>
      <w:r w:rsidRPr="00A52AB8">
        <w:tab/>
      </w:r>
      <w:r w:rsidRPr="00A52AB8">
        <w:tab/>
        <w:t>}</w:t>
      </w:r>
      <w:r w:rsidRPr="00A52AB8">
        <w:br/>
      </w:r>
      <w:r w:rsidRPr="00A52AB8">
        <w:tab/>
      </w:r>
      <w:r w:rsidRPr="00A52AB8">
        <w:tab/>
        <w:t>}</w:t>
      </w:r>
    </w:p>
    <w:p w14:paraId="4CDAA1FE" w14:textId="76BD63ED" w:rsidR="006D74F2" w:rsidRPr="00A52AB8" w:rsidRDefault="00836728" w:rsidP="00007BE2">
      <w:pPr>
        <w:ind w:left="1208"/>
        <w:rPr>
          <w:color w:val="000000" w:themeColor="text1"/>
        </w:rPr>
      </w:pPr>
      <w:r w:rsidRPr="00A52AB8">
        <w:rPr>
          <w:color w:val="000000" w:themeColor="text1"/>
        </w:rPr>
        <w:t xml:space="preserve">Then the variable </w:t>
      </w:r>
      <w:r w:rsidR="006D74F2" w:rsidRPr="00A52AB8">
        <w:rPr>
          <w:color w:val="000000" w:themeColor="text1"/>
        </w:rPr>
        <w:t xml:space="preserve">deltaDepth </w:t>
      </w:r>
      <w:r w:rsidRPr="00A52AB8">
        <w:rPr>
          <w:color w:val="000000" w:themeColor="text1"/>
        </w:rPr>
        <w:t xml:space="preserve">is </w:t>
      </w:r>
      <w:r w:rsidR="006045B6" w:rsidRPr="00A52AB8">
        <w:rPr>
          <w:color w:val="000000" w:themeColor="text1"/>
        </w:rPr>
        <w:t xml:space="preserve">derived </w:t>
      </w:r>
      <w:r w:rsidR="006D74F2" w:rsidRPr="00A52AB8">
        <w:rPr>
          <w:color w:val="000000" w:themeColor="text1"/>
        </w:rPr>
        <w:t>as follows:</w:t>
      </w:r>
    </w:p>
    <w:p w14:paraId="7A857353" w14:textId="77777777" w:rsidR="006D74F2" w:rsidRPr="00A52AB8"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1" w:hanging="403"/>
        <w:textAlignment w:val="baseline"/>
        <w:rPr>
          <w:color w:val="000000" w:themeColor="text1"/>
        </w:rPr>
      </w:pPr>
      <w:r w:rsidRPr="00A52AB8">
        <w:rPr>
          <w:color w:val="000000" w:themeColor="text1"/>
        </w:rPr>
        <w:t xml:space="preserve">If </w:t>
      </w:r>
      <w:r w:rsidR="004B2B4D" w:rsidRPr="00A52AB8">
        <w:rPr>
          <w:color w:val="000000" w:themeColor="text1"/>
        </w:rPr>
        <w:t>Atlas</w:t>
      </w:r>
      <w:r w:rsidRPr="00A52AB8">
        <w:rPr>
          <w:color w:val="000000" w:themeColor="text1"/>
        </w:rPr>
        <w:t>PatchProjectionFlag[ pIdx ] is equal to 0 then,</w:t>
      </w:r>
    </w:p>
    <w:p w14:paraId="6CA62020" w14:textId="7D77BBDD" w:rsidR="006D74F2" w:rsidRPr="00A52AB8" w:rsidRDefault="006D74F2" w:rsidP="00007BE2">
      <w:pPr>
        <w:ind w:left="1610"/>
        <w:rPr>
          <w:color w:val="000000" w:themeColor="text1"/>
        </w:rPr>
      </w:pPr>
      <w:r w:rsidRPr="00A52AB8">
        <w:rPr>
          <w:color w:val="000000" w:themeColor="text1"/>
        </w:rPr>
        <w:t>deltaDepth</w:t>
      </w:r>
      <w:r w:rsidR="00D47707" w:rsidRPr="00A52AB8">
        <w:rPr>
          <w:color w:val="000000" w:themeColor="text1"/>
        </w:rPr>
        <w:t> = </w:t>
      </w:r>
      <w:r w:rsidRPr="00A52AB8">
        <w:rPr>
          <w:color w:val="000000" w:themeColor="text1"/>
        </w:rPr>
        <w:t>Max( </w:t>
      </w:r>
      <w:r w:rsidR="00DC2470" w:rsidRPr="00A52AB8">
        <w:rPr>
          <w:color w:val="000000" w:themeColor="text1"/>
        </w:rPr>
        <w:t>deltaLimit</w:t>
      </w:r>
      <w:r w:rsidRPr="00A52AB8">
        <w:rPr>
          <w:color w:val="000000" w:themeColor="text1"/>
        </w:rPr>
        <w:t>, plrMinimumDepth[ </w:t>
      </w:r>
      <w:r w:rsidR="00B55833" w:rsidRPr="00A52AB8">
        <w:rPr>
          <w:color w:val="000000" w:themeColor="text1"/>
        </w:rPr>
        <w:t>yB</w:t>
      </w:r>
      <w:r w:rsidRPr="00A52AB8">
        <w:rPr>
          <w:color w:val="000000" w:themeColor="text1"/>
        </w:rPr>
        <w:t> ][ </w:t>
      </w:r>
      <w:r w:rsidR="00B55833" w:rsidRPr="00A52AB8">
        <w:rPr>
          <w:color w:val="000000" w:themeColor="text1"/>
        </w:rPr>
        <w:t>xB</w:t>
      </w:r>
      <w:r w:rsidRPr="00A52AB8">
        <w:rPr>
          <w:color w:val="000000" w:themeColor="text1"/>
        </w:rPr>
        <w:t> ]</w:t>
      </w:r>
      <w:r w:rsidR="00B55833" w:rsidRPr="00A52AB8">
        <w:rPr>
          <w:color w:val="000000" w:themeColor="text1"/>
        </w:rPr>
        <w:t> </w:t>
      </w:r>
      <w:r w:rsidRPr="00A52AB8">
        <w:rPr>
          <w:color w:val="000000" w:themeColor="text1"/>
        </w:rPr>
        <w:t>)</w:t>
      </w:r>
    </w:p>
    <w:p w14:paraId="3C2B57E6" w14:textId="2537F347" w:rsidR="006D74F2" w:rsidRPr="00A52AB8" w:rsidRDefault="001C71B9"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1" w:hanging="403"/>
        <w:textAlignment w:val="baseline"/>
        <w:rPr>
          <w:color w:val="000000" w:themeColor="text1"/>
        </w:rPr>
      </w:pPr>
      <w:r w:rsidRPr="00A52AB8">
        <w:rPr>
          <w:color w:val="000000" w:themeColor="text1"/>
        </w:rPr>
        <w:t>Otherwise</w:t>
      </w:r>
      <w:r w:rsidR="00B55833" w:rsidRPr="00A52AB8">
        <w:rPr>
          <w:color w:val="000000" w:themeColor="text1"/>
        </w:rPr>
        <w:t xml:space="preserve"> ( </w:t>
      </w:r>
      <w:r w:rsidR="004B2B4D" w:rsidRPr="00A52AB8">
        <w:rPr>
          <w:color w:val="000000" w:themeColor="text1"/>
        </w:rPr>
        <w:t>Atlas</w:t>
      </w:r>
      <w:r w:rsidR="006D74F2" w:rsidRPr="00A52AB8">
        <w:rPr>
          <w:color w:val="000000" w:themeColor="text1"/>
        </w:rPr>
        <w:t>PatchProjectionFlag[ pIdx ] is equal to 1</w:t>
      </w:r>
      <w:r w:rsidR="00B55833" w:rsidRPr="00A52AB8">
        <w:rPr>
          <w:color w:val="000000" w:themeColor="text1"/>
        </w:rPr>
        <w:t> ),</w:t>
      </w:r>
    </w:p>
    <w:p w14:paraId="65D7D829" w14:textId="756F03F8" w:rsidR="006D74F2" w:rsidRPr="00A52AB8" w:rsidRDefault="006D74F2" w:rsidP="00007BE2">
      <w:pPr>
        <w:ind w:left="1610"/>
        <w:rPr>
          <w:color w:val="000000" w:themeColor="text1"/>
        </w:rPr>
      </w:pPr>
      <w:r w:rsidRPr="00A52AB8">
        <w:rPr>
          <w:color w:val="000000" w:themeColor="text1"/>
        </w:rPr>
        <w:t>deltaDepth</w:t>
      </w:r>
      <w:r w:rsidR="00D47707" w:rsidRPr="00A52AB8">
        <w:rPr>
          <w:color w:val="000000" w:themeColor="text1"/>
        </w:rPr>
        <w:t> = </w:t>
      </w:r>
      <w:r w:rsidRPr="00A52AB8">
        <w:rPr>
          <w:color w:val="000000" w:themeColor="text1"/>
        </w:rPr>
        <w:t>Min( </w:t>
      </w:r>
      <w:r w:rsidR="00DC2470" w:rsidRPr="00A52AB8">
        <w:rPr>
          <w:color w:val="000000" w:themeColor="text1"/>
        </w:rPr>
        <w:t>deltaLimit</w:t>
      </w:r>
      <w:r w:rsidRPr="00A52AB8">
        <w:rPr>
          <w:color w:val="000000" w:themeColor="text1"/>
        </w:rPr>
        <w:t>, – (</w:t>
      </w:r>
      <w:r w:rsidR="00B55833" w:rsidRPr="00A52AB8">
        <w:rPr>
          <w:color w:val="000000" w:themeColor="text1"/>
        </w:rPr>
        <w:t> </w:t>
      </w:r>
      <w:r w:rsidRPr="00A52AB8">
        <w:rPr>
          <w:color w:val="000000" w:themeColor="text1"/>
        </w:rPr>
        <w:t>plrMinimumDepth[ y</w:t>
      </w:r>
      <w:r w:rsidR="00B55833" w:rsidRPr="00A52AB8">
        <w:rPr>
          <w:color w:val="000000" w:themeColor="text1"/>
        </w:rPr>
        <w:t>B</w:t>
      </w:r>
      <w:r w:rsidRPr="00A52AB8">
        <w:rPr>
          <w:color w:val="000000" w:themeColor="text1"/>
        </w:rPr>
        <w:t> ]</w:t>
      </w:r>
      <w:r w:rsidR="000B7FBC" w:rsidRPr="00A52AB8">
        <w:rPr>
          <w:color w:val="000000" w:themeColor="text1"/>
        </w:rPr>
        <w:t>[ </w:t>
      </w:r>
      <w:r w:rsidRPr="00A52AB8">
        <w:rPr>
          <w:color w:val="000000" w:themeColor="text1"/>
        </w:rPr>
        <w:t>x</w:t>
      </w:r>
      <w:r w:rsidR="00B55833" w:rsidRPr="00A52AB8">
        <w:rPr>
          <w:color w:val="000000" w:themeColor="text1"/>
        </w:rPr>
        <w:t>B</w:t>
      </w:r>
      <w:r w:rsidRPr="00A52AB8">
        <w:rPr>
          <w:color w:val="000000" w:themeColor="text1"/>
        </w:rPr>
        <w:t> ])</w:t>
      </w:r>
      <w:r w:rsidR="00B55833" w:rsidRPr="00A52AB8">
        <w:rPr>
          <w:color w:val="000000" w:themeColor="text1"/>
        </w:rPr>
        <w:t> </w:t>
      </w:r>
      <w:r w:rsidRPr="00A52AB8">
        <w:rPr>
          <w:color w:val="000000" w:themeColor="text1"/>
        </w:rPr>
        <w:t>)</w:t>
      </w:r>
    </w:p>
    <w:p w14:paraId="248C9349" w14:textId="77777777" w:rsidR="006D74F2" w:rsidRPr="00A52AB8"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1" w:hanging="403"/>
        <w:textAlignment w:val="baseline"/>
        <w:rPr>
          <w:color w:val="000000" w:themeColor="text1"/>
        </w:rPr>
      </w:pPr>
      <w:r w:rsidRPr="00A52AB8">
        <w:rPr>
          <w:color w:val="000000" w:themeColor="text1"/>
        </w:rPr>
        <w:t xml:space="preserve">If deltaDepth is different from 0, </w:t>
      </w:r>
      <w:r w:rsidR="00825593" w:rsidRPr="00A52AB8">
        <w:rPr>
          <w:color w:val="000000" w:themeColor="text1"/>
        </w:rPr>
        <w:t>the following applies:</w:t>
      </w:r>
    </w:p>
    <w:p w14:paraId="3FFB0AB2" w14:textId="72A35C63" w:rsidR="00DB5999" w:rsidRPr="00A52AB8" w:rsidRDefault="00595A50"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2013" w:hanging="403"/>
        <w:textAlignment w:val="baseline"/>
        <w:rPr>
          <w:color w:val="000000" w:themeColor="text1"/>
        </w:rPr>
      </w:pPr>
      <w:r w:rsidRPr="00A52AB8">
        <w:rPr>
          <w:color w:val="000000" w:themeColor="text1"/>
        </w:rPr>
        <w:t>A</w:t>
      </w:r>
      <w:r w:rsidR="00DB5999" w:rsidRPr="00A52AB8">
        <w:rPr>
          <w:color w:val="000000" w:themeColor="text1"/>
        </w:rPr>
        <w:t xml:space="preserve"> variable plrDepth is set equal to gFrame</w:t>
      </w:r>
      <w:r w:rsidR="004B7314" w:rsidRPr="00A52AB8">
        <w:rPr>
          <w:color w:val="000000" w:themeColor="text1"/>
        </w:rPr>
        <w:t>[ y ][ x </w:t>
      </w:r>
      <w:r w:rsidR="00B55833" w:rsidRPr="00A52AB8">
        <w:rPr>
          <w:color w:val="000000" w:themeColor="text1"/>
        </w:rPr>
        <w:t>] + </w:t>
      </w:r>
      <w:r w:rsidR="00DB5999" w:rsidRPr="00A52AB8">
        <w:rPr>
          <w:color w:val="000000" w:themeColor="text1"/>
        </w:rPr>
        <w:t>deltaDepth</w:t>
      </w:r>
    </w:p>
    <w:p w14:paraId="1CD62AD4" w14:textId="77777777" w:rsidR="00DB5999" w:rsidRPr="00A52AB8" w:rsidRDefault="00595A50"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2013" w:hanging="403"/>
        <w:textAlignment w:val="baseline"/>
        <w:rPr>
          <w:color w:val="000000" w:themeColor="text1"/>
        </w:rPr>
      </w:pPr>
      <w:r w:rsidRPr="00A52AB8">
        <w:rPr>
          <w:color w:val="000000" w:themeColor="text1"/>
        </w:rPr>
        <w:t xml:space="preserve">A </w:t>
      </w:r>
      <w:r w:rsidR="00DB5999" w:rsidRPr="00A52AB8">
        <w:rPr>
          <w:color w:val="000000" w:themeColor="text1"/>
        </w:rPr>
        <w:t>variable orgDepth is set equal to gFrame</w:t>
      </w:r>
      <w:r w:rsidR="004B7314" w:rsidRPr="00A52AB8">
        <w:rPr>
          <w:color w:val="000000" w:themeColor="text1"/>
        </w:rPr>
        <w:t>[ y ][ x ]</w:t>
      </w:r>
    </w:p>
    <w:p w14:paraId="5F35CA86" w14:textId="24FD9A73" w:rsidR="006D74F2" w:rsidRPr="00A52AB8" w:rsidRDefault="0083672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2013" w:hanging="403"/>
        <w:textAlignment w:val="baseline"/>
        <w:rPr>
          <w:color w:val="000000" w:themeColor="text1"/>
        </w:rPr>
      </w:pPr>
      <w:r w:rsidRPr="00A52AB8">
        <w:rPr>
          <w:color w:val="000000" w:themeColor="text1"/>
        </w:rPr>
        <w:t xml:space="preserve">Then, a number of points sharing the same </w:t>
      </w:r>
      <w:r w:rsidR="000C15F8" w:rsidRPr="00A52AB8">
        <w:rPr>
          <w:color w:val="000000" w:themeColor="text1"/>
        </w:rPr>
        <w:t xml:space="preserve">x </w:t>
      </w:r>
      <w:r w:rsidRPr="00A52AB8">
        <w:rPr>
          <w:color w:val="000000" w:themeColor="text1"/>
        </w:rPr>
        <w:t xml:space="preserve">and </w:t>
      </w:r>
      <w:r w:rsidR="000C15F8" w:rsidRPr="00A52AB8">
        <w:rPr>
          <w:color w:val="000000" w:themeColor="text1"/>
        </w:rPr>
        <w:t xml:space="preserve">y </w:t>
      </w:r>
      <w:r w:rsidRPr="00A52AB8">
        <w:rPr>
          <w:color w:val="000000" w:themeColor="text1"/>
        </w:rPr>
        <w:t xml:space="preserve">coordinates in the </w:t>
      </w:r>
      <w:r w:rsidR="000C15F8" w:rsidRPr="00A52AB8">
        <w:rPr>
          <w:color w:val="000000" w:themeColor="text1"/>
        </w:rPr>
        <w:t xml:space="preserve">atlas </w:t>
      </w:r>
      <w:r w:rsidRPr="00A52AB8">
        <w:rPr>
          <w:color w:val="000000" w:themeColor="text1"/>
        </w:rPr>
        <w:t xml:space="preserve">coordinate space are generated with different depth values. </w:t>
      </w:r>
      <w:r w:rsidR="00DC2470" w:rsidRPr="00A52AB8">
        <w:rPr>
          <w:color w:val="000000" w:themeColor="text1"/>
        </w:rPr>
        <w:t>First</w:t>
      </w:r>
      <w:r w:rsidR="00B408AA" w:rsidRPr="00A52AB8">
        <w:rPr>
          <w:color w:val="000000" w:themeColor="text1"/>
        </w:rPr>
        <w:t>,</w:t>
      </w:r>
      <w:r w:rsidR="00DC2470" w:rsidRPr="00A52AB8">
        <w:rPr>
          <w:color w:val="000000" w:themeColor="text1"/>
        </w:rPr>
        <w:t xml:space="preserve"> a point at depth</w:t>
      </w:r>
      <w:r w:rsidRPr="00A52AB8">
        <w:rPr>
          <w:color w:val="000000" w:themeColor="text1"/>
        </w:rPr>
        <w:t xml:space="preserve"> plrDepth,</w:t>
      </w:r>
      <w:r w:rsidR="00DC2470" w:rsidRPr="00A52AB8">
        <w:rPr>
          <w:color w:val="000000" w:themeColor="text1"/>
        </w:rPr>
        <w:t xml:space="preserve"> </w:t>
      </w:r>
      <w:r w:rsidRPr="00A52AB8">
        <w:rPr>
          <w:color w:val="000000" w:themeColor="text1"/>
        </w:rPr>
        <w:t>is generated.</w:t>
      </w:r>
    </w:p>
    <w:p w14:paraId="0A918469" w14:textId="70A239FF" w:rsidR="006D74F2" w:rsidRPr="00A52AB8" w:rsidRDefault="006D74F2" w:rsidP="00983491">
      <w:pPr>
        <w:ind w:left="1208"/>
      </w:pPr>
      <w:r w:rsidRPr="00A52AB8">
        <w:t>pos</w:t>
      </w:r>
      <w:r w:rsidR="0049714D" w:rsidRPr="00A52AB8">
        <w:t>3D</w:t>
      </w:r>
      <w:r w:rsidRPr="00A52AB8">
        <w:t>[ </w:t>
      </w:r>
      <w:r w:rsidR="004B2B4D" w:rsidRPr="00A52AB8">
        <w:t>Atlas</w:t>
      </w:r>
      <w:r w:rsidR="00254895" w:rsidRPr="00A52AB8">
        <w:t>PatchAxisD</w:t>
      </w:r>
      <w:r w:rsidRPr="00A52AB8">
        <w:t>[ pIdx ] ]</w:t>
      </w:r>
      <w:r w:rsidR="00D47707" w:rsidRPr="00A52AB8">
        <w:t> = </w:t>
      </w:r>
      <w:r w:rsidRPr="00A52AB8">
        <w:t>plrDepth</w:t>
      </w:r>
      <w:r w:rsidRPr="00A52AB8">
        <w:br/>
      </w:r>
      <w:r w:rsidR="00B55833" w:rsidRPr="00A52AB8">
        <w:tab/>
      </w:r>
      <w:r w:rsidR="00B55833" w:rsidRPr="00A52AB8">
        <w:tab/>
      </w:r>
      <w:r w:rsidR="00B55833" w:rsidRPr="00A52AB8">
        <w:tab/>
      </w:r>
      <w:r w:rsidRPr="00A52AB8">
        <w:t>for( k</w:t>
      </w:r>
      <w:r w:rsidR="00D47707" w:rsidRPr="00A52AB8">
        <w:t> = </w:t>
      </w:r>
      <w:r w:rsidRPr="00A52AB8">
        <w:t>0; k &lt; 3; k</w:t>
      </w:r>
      <w:r w:rsidR="00006CCF" w:rsidRPr="00A52AB8">
        <w:t>++ )</w:t>
      </w:r>
      <w:r w:rsidRPr="00A52AB8">
        <w:br/>
      </w:r>
      <w:r w:rsidR="00CB7BFF" w:rsidRPr="00A52AB8">
        <w:tab/>
      </w:r>
      <w:r w:rsidR="00B55833" w:rsidRPr="00A52AB8">
        <w:tab/>
      </w:r>
      <w:r w:rsidR="00B55833" w:rsidRPr="00A52AB8">
        <w:tab/>
      </w:r>
      <w:r w:rsidR="00B55833" w:rsidRPr="00A52AB8">
        <w:tab/>
      </w:r>
      <w:r w:rsidRPr="00A52AB8">
        <w:t>recPcGeo[ </w:t>
      </w:r>
      <w:r w:rsidR="003976CA" w:rsidRPr="00A52AB8">
        <w:t>p</w:t>
      </w:r>
      <w:r w:rsidRPr="00A52AB8">
        <w:t>ointCnt ]</w:t>
      </w:r>
      <w:r w:rsidR="004B7314" w:rsidRPr="00A52AB8">
        <w:t>[ k ]</w:t>
      </w:r>
      <w:r w:rsidR="00D47707" w:rsidRPr="00A52AB8">
        <w:t> = </w:t>
      </w:r>
      <w:r w:rsidR="0049714D" w:rsidRPr="00A52AB8">
        <w:t>pos3D</w:t>
      </w:r>
      <w:r w:rsidR="004B7314" w:rsidRPr="00A52AB8">
        <w:t>[ k ]</w:t>
      </w:r>
      <w:r w:rsidRPr="00A52AB8">
        <w:br/>
      </w:r>
      <w:r w:rsidR="00B55833" w:rsidRPr="00A52AB8">
        <w:tab/>
      </w:r>
      <w:r w:rsidR="00B55833" w:rsidRPr="00A52AB8">
        <w:tab/>
      </w:r>
      <w:r w:rsidR="00B55833" w:rsidRPr="00A52AB8">
        <w:tab/>
      </w:r>
      <w:r w:rsidR="003976CA" w:rsidRPr="00A52AB8">
        <w:t>a</w:t>
      </w:r>
      <w:r w:rsidRPr="00A52AB8">
        <w:t>ttrPresent[ </w:t>
      </w:r>
      <w:r w:rsidR="001933E5" w:rsidRPr="00A52AB8">
        <w:t>p</w:t>
      </w:r>
      <w:r w:rsidRPr="00A52AB8">
        <w:t>ointCnt ]</w:t>
      </w:r>
      <w:r w:rsidR="00D47707" w:rsidRPr="00A52AB8">
        <w:t> = </w:t>
      </w:r>
      <w:r w:rsidRPr="00A52AB8">
        <w:t>0</w:t>
      </w:r>
      <w:r w:rsidR="00B55833" w:rsidRPr="00A52AB8">
        <w:br/>
      </w:r>
      <w:r w:rsidR="00B55833" w:rsidRPr="00A52AB8">
        <w:br/>
      </w:r>
      <w:r w:rsidR="00B55833" w:rsidRPr="00A52AB8">
        <w:tab/>
      </w:r>
      <w:r w:rsidR="00B55833" w:rsidRPr="00A52AB8">
        <w:tab/>
      </w:r>
      <w:r w:rsidR="00B55833" w:rsidRPr="00A52AB8">
        <w:tab/>
      </w:r>
      <w:r w:rsidR="009043DB" w:rsidRPr="00A52AB8">
        <w:t>pointToPatch[ pointCnt ]</w:t>
      </w:r>
      <w:r w:rsidR="00D47707" w:rsidRPr="00A52AB8">
        <w:t> = </w:t>
      </w:r>
      <w:r w:rsidR="009043DB" w:rsidRPr="00A52AB8">
        <w:t>p</w:t>
      </w:r>
      <w:r w:rsidR="009043DB" w:rsidRPr="00A52AB8">
        <w:rPr>
          <w:rFonts w:eastAsia="Malgun Gothic"/>
        </w:rPr>
        <w:t>Idx</w:t>
      </w:r>
      <w:r w:rsidR="007F1CAC" w:rsidRPr="00A52AB8">
        <w:rPr>
          <w:rFonts w:eastAsia="Malgun Gothic"/>
        </w:rPr>
        <w:br/>
      </w:r>
      <w:r w:rsidR="00B55833" w:rsidRPr="00A52AB8">
        <w:tab/>
      </w:r>
      <w:r w:rsidR="00B55833" w:rsidRPr="00A52AB8">
        <w:tab/>
      </w:r>
      <w:r w:rsidR="00B55833" w:rsidRPr="00A52AB8">
        <w:tab/>
      </w:r>
      <w:r w:rsidR="007F1CAC" w:rsidRPr="00A52AB8">
        <w:t>pointToPixel[ pointCnt ][ 0 ]</w:t>
      </w:r>
      <w:r w:rsidR="00D47707" w:rsidRPr="00A52AB8">
        <w:t> = </w:t>
      </w:r>
      <w:r w:rsidR="007F1CAC" w:rsidRPr="00A52AB8">
        <w:t>x</w:t>
      </w:r>
      <w:r w:rsidR="007F1CAC" w:rsidRPr="00A52AB8">
        <w:br/>
      </w:r>
      <w:r w:rsidR="00B55833" w:rsidRPr="00A52AB8">
        <w:tab/>
      </w:r>
      <w:r w:rsidR="00B55833" w:rsidRPr="00A52AB8">
        <w:tab/>
      </w:r>
      <w:r w:rsidR="00B55833" w:rsidRPr="00A52AB8">
        <w:tab/>
      </w:r>
      <w:r w:rsidR="007F1CAC" w:rsidRPr="00A52AB8">
        <w:t>pointToPixel[ pointCnt ][ 1 ]</w:t>
      </w:r>
      <w:r w:rsidR="00D47707" w:rsidRPr="00A52AB8">
        <w:t> = </w:t>
      </w:r>
      <w:r w:rsidR="007F1CAC" w:rsidRPr="00A52AB8">
        <w:t>y</w:t>
      </w:r>
      <w:r w:rsidRPr="00A52AB8">
        <w:br/>
      </w:r>
      <w:r w:rsidR="00B55833" w:rsidRPr="00A52AB8">
        <w:tab/>
      </w:r>
      <w:r w:rsidR="00B55833" w:rsidRPr="00A52AB8">
        <w:tab/>
      </w:r>
      <w:r w:rsidR="00B55833" w:rsidRPr="00A52AB8">
        <w:tab/>
      </w:r>
      <w:r w:rsidR="003976CA" w:rsidRPr="00A52AB8">
        <w:t>p</w:t>
      </w:r>
      <w:r w:rsidRPr="00A52AB8">
        <w:t>ointCnt</w:t>
      </w:r>
      <w:r w:rsidR="008768E9" w:rsidRPr="00A52AB8">
        <w:t>++</w:t>
      </w:r>
    </w:p>
    <w:p w14:paraId="0B915B75" w14:textId="7E74D04F" w:rsidR="006D74F2" w:rsidRPr="00A52AB8"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2013" w:hanging="403"/>
        <w:textAlignment w:val="baseline"/>
        <w:rPr>
          <w:color w:val="000000" w:themeColor="text1"/>
        </w:rPr>
      </w:pPr>
      <w:r w:rsidRPr="00A52AB8">
        <w:rPr>
          <w:color w:val="000000" w:themeColor="text1"/>
        </w:rPr>
        <w:t>If plrFillingFlag[ y</w:t>
      </w:r>
      <w:r w:rsidR="00B55833" w:rsidRPr="00A52AB8">
        <w:rPr>
          <w:color w:val="000000" w:themeColor="text1"/>
        </w:rPr>
        <w:t>B</w:t>
      </w:r>
      <w:r w:rsidRPr="00A52AB8">
        <w:rPr>
          <w:color w:val="000000" w:themeColor="text1"/>
        </w:rPr>
        <w:t> ][ x</w:t>
      </w:r>
      <w:r w:rsidR="00B55833" w:rsidRPr="00A52AB8">
        <w:rPr>
          <w:color w:val="000000" w:themeColor="text1"/>
        </w:rPr>
        <w:t>B</w:t>
      </w:r>
      <w:r w:rsidRPr="00A52AB8">
        <w:rPr>
          <w:color w:val="000000" w:themeColor="text1"/>
        </w:rPr>
        <w:t xml:space="preserve"> ] is equal to 1, then the points </w:t>
      </w:r>
      <w:r w:rsidR="00836728" w:rsidRPr="00A52AB8">
        <w:rPr>
          <w:color w:val="000000" w:themeColor="text1"/>
        </w:rPr>
        <w:t xml:space="preserve">corresponding to depth values </w:t>
      </w:r>
      <w:r w:rsidRPr="00A52AB8">
        <w:rPr>
          <w:color w:val="000000" w:themeColor="text1"/>
        </w:rPr>
        <w:t xml:space="preserve">between orgDepth and plrDepth are </w:t>
      </w:r>
      <w:r w:rsidR="00B55833" w:rsidRPr="00A52AB8">
        <w:rPr>
          <w:color w:val="000000" w:themeColor="text1"/>
        </w:rPr>
        <w:t xml:space="preserve">generated </w:t>
      </w:r>
      <w:r w:rsidRPr="00A52AB8">
        <w:rPr>
          <w:color w:val="000000" w:themeColor="text1"/>
        </w:rPr>
        <w:t>as follows:</w:t>
      </w:r>
    </w:p>
    <w:p w14:paraId="19A57668" w14:textId="1A97E686" w:rsidR="001C0382" w:rsidRPr="00A52AB8" w:rsidRDefault="006D74F2" w:rsidP="00983491">
      <w:pPr>
        <w:ind w:left="1208"/>
      </w:pPr>
      <w:r w:rsidRPr="00A52AB8">
        <w:rPr>
          <w:rFonts w:eastAsia="Malgun Gothic"/>
          <w:color w:val="000000" w:themeColor="text1"/>
        </w:rPr>
        <w:t>maxDepth</w:t>
      </w:r>
      <w:r w:rsidR="00D47707" w:rsidRPr="00A52AB8">
        <w:rPr>
          <w:rFonts w:eastAsia="Malgun Gothic"/>
          <w:color w:val="000000" w:themeColor="text1"/>
        </w:rPr>
        <w:t> = </w:t>
      </w:r>
      <w:r w:rsidRPr="00A52AB8">
        <w:rPr>
          <w:rFonts w:eastAsia="Malgun Gothic"/>
          <w:color w:val="000000" w:themeColor="text1"/>
        </w:rPr>
        <w:t>Max( orgDepth, plrDepth )</w:t>
      </w:r>
      <w:r w:rsidRPr="00A52AB8">
        <w:rPr>
          <w:rFonts w:eastAsia="Malgun Gothic"/>
          <w:color w:val="000000" w:themeColor="text1"/>
        </w:rPr>
        <w:br/>
      </w:r>
      <w:r w:rsidR="00207C24" w:rsidRPr="00A52AB8">
        <w:rPr>
          <w:rFonts w:eastAsia="Malgun Gothic"/>
          <w:color w:val="000000" w:themeColor="text1"/>
        </w:rPr>
        <w:tab/>
      </w:r>
      <w:r w:rsidR="00207C24" w:rsidRPr="00A52AB8">
        <w:rPr>
          <w:rFonts w:eastAsia="Malgun Gothic"/>
          <w:color w:val="000000" w:themeColor="text1"/>
        </w:rPr>
        <w:tab/>
      </w:r>
      <w:r w:rsidR="00207C24" w:rsidRPr="00A52AB8">
        <w:rPr>
          <w:rFonts w:eastAsia="Malgun Gothic"/>
          <w:color w:val="000000" w:themeColor="text1"/>
        </w:rPr>
        <w:tab/>
      </w:r>
      <w:r w:rsidRPr="00A52AB8">
        <w:rPr>
          <w:rFonts w:eastAsia="Malgun Gothic"/>
          <w:color w:val="000000" w:themeColor="text1"/>
        </w:rPr>
        <w:t>minDepth</w:t>
      </w:r>
      <w:r w:rsidR="00D47707" w:rsidRPr="00A52AB8">
        <w:rPr>
          <w:rFonts w:eastAsia="Malgun Gothic"/>
          <w:color w:val="000000" w:themeColor="text1"/>
        </w:rPr>
        <w:t> = </w:t>
      </w:r>
      <w:r w:rsidRPr="00A52AB8">
        <w:rPr>
          <w:rFonts w:eastAsia="Malgun Gothic"/>
          <w:color w:val="000000" w:themeColor="text1"/>
        </w:rPr>
        <w:t>Min( orgDepth, plrDepth )</w:t>
      </w:r>
      <w:r w:rsidR="00207C24" w:rsidRPr="00A52AB8">
        <w:br/>
      </w:r>
      <w:r w:rsidR="00207C24" w:rsidRPr="00A52AB8">
        <w:br/>
      </w:r>
      <w:r w:rsidR="00207C24" w:rsidRPr="00A52AB8">
        <w:tab/>
      </w:r>
      <w:r w:rsidR="00207C24" w:rsidRPr="00A52AB8">
        <w:tab/>
      </w:r>
      <w:r w:rsidR="00207C24" w:rsidRPr="00A52AB8">
        <w:tab/>
        <w:t>for( </w:t>
      </w:r>
      <w:r w:rsidR="00CB7BFF" w:rsidRPr="00A52AB8">
        <w:t>s</w:t>
      </w:r>
      <w:r w:rsidR="00D47707" w:rsidRPr="00A52AB8">
        <w:t> = </w:t>
      </w:r>
      <w:r w:rsidR="00A94B99" w:rsidRPr="00A52AB8">
        <w:t>minDepth + 1</w:t>
      </w:r>
      <w:r w:rsidR="00207C24" w:rsidRPr="00A52AB8">
        <w:t>; s &lt; </w:t>
      </w:r>
      <w:r w:rsidR="00CB7BFF" w:rsidRPr="00A52AB8">
        <w:t>maxDepth</w:t>
      </w:r>
      <w:r w:rsidR="00207C24" w:rsidRPr="00A52AB8">
        <w:t>; s++ </w:t>
      </w:r>
      <w:r w:rsidR="008F1F82" w:rsidRPr="00A52AB8">
        <w:t>) {</w:t>
      </w:r>
      <w:r w:rsidR="00207C24" w:rsidRPr="00A52AB8">
        <w:br/>
      </w:r>
      <w:r w:rsidR="00B55833" w:rsidRPr="00A52AB8">
        <w:tab/>
      </w:r>
      <w:r w:rsidR="00B55833" w:rsidRPr="00A52AB8">
        <w:tab/>
      </w:r>
      <w:r w:rsidR="00B55833" w:rsidRPr="00A52AB8">
        <w:tab/>
      </w:r>
      <w:r w:rsidR="00B55833" w:rsidRPr="00A52AB8">
        <w:tab/>
      </w:r>
      <w:r w:rsidR="00EF7219" w:rsidRPr="00A52AB8">
        <w:t>pos3D</w:t>
      </w:r>
      <w:r w:rsidRPr="00A52AB8">
        <w:t>[ </w:t>
      </w:r>
      <w:r w:rsidR="004B2B4D" w:rsidRPr="00A52AB8">
        <w:t>Atlas</w:t>
      </w:r>
      <w:r w:rsidR="00254895" w:rsidRPr="00A52AB8">
        <w:t>PatchAxisD</w:t>
      </w:r>
      <w:r w:rsidRPr="00A52AB8">
        <w:t>[ pIdx ] ]</w:t>
      </w:r>
      <w:r w:rsidR="00D47707" w:rsidRPr="00A52AB8">
        <w:t> = </w:t>
      </w:r>
      <w:r w:rsidR="00A94B99" w:rsidRPr="00A52AB8">
        <w:t>s</w:t>
      </w:r>
      <w:r w:rsidRPr="00A52AB8">
        <w:br/>
      </w:r>
      <w:r w:rsidR="00B55833" w:rsidRPr="00A52AB8">
        <w:tab/>
      </w:r>
      <w:r w:rsidR="00B55833" w:rsidRPr="00A52AB8">
        <w:tab/>
      </w:r>
      <w:r w:rsidR="00B55833" w:rsidRPr="00A52AB8">
        <w:tab/>
      </w:r>
      <w:r w:rsidR="00B55833" w:rsidRPr="00A52AB8">
        <w:tab/>
      </w:r>
      <w:r w:rsidRPr="00A52AB8">
        <w:t>for( k</w:t>
      </w:r>
      <w:r w:rsidR="00D47707" w:rsidRPr="00A52AB8">
        <w:t> = </w:t>
      </w:r>
      <w:r w:rsidRPr="00A52AB8">
        <w:t>0; k &lt; 3; k</w:t>
      </w:r>
      <w:r w:rsidR="00006CCF" w:rsidRPr="00A52AB8">
        <w:t>++ )</w:t>
      </w:r>
      <w:r w:rsidRPr="00A52AB8">
        <w:br/>
      </w:r>
      <w:r w:rsidRPr="00A52AB8">
        <w:tab/>
      </w:r>
      <w:r w:rsidR="00207C24" w:rsidRPr="00A52AB8">
        <w:tab/>
      </w:r>
      <w:r w:rsidR="00207C24" w:rsidRPr="00A52AB8">
        <w:tab/>
      </w:r>
      <w:r w:rsidR="00207C24" w:rsidRPr="00A52AB8">
        <w:tab/>
      </w:r>
      <w:r w:rsidR="00B55833" w:rsidRPr="00A52AB8">
        <w:tab/>
      </w:r>
      <w:r w:rsidRPr="00A52AB8">
        <w:t>recPcGeo[ </w:t>
      </w:r>
      <w:r w:rsidR="009F3B29" w:rsidRPr="00A52AB8">
        <w:t>p</w:t>
      </w:r>
      <w:r w:rsidRPr="00A52AB8">
        <w:t>ointCnt ]</w:t>
      </w:r>
      <w:r w:rsidR="004B7314" w:rsidRPr="00A52AB8">
        <w:t>[ k ]</w:t>
      </w:r>
      <w:r w:rsidR="00D47707" w:rsidRPr="00A52AB8">
        <w:t> = </w:t>
      </w:r>
      <w:r w:rsidR="00EF7219" w:rsidRPr="00A52AB8">
        <w:t>pos3D</w:t>
      </w:r>
      <w:r w:rsidR="004B7314" w:rsidRPr="00A52AB8">
        <w:t>[ k ]</w:t>
      </w:r>
      <w:r w:rsidRPr="00A52AB8">
        <w:br/>
      </w:r>
      <w:r w:rsidR="00207C24" w:rsidRPr="00A52AB8">
        <w:tab/>
      </w:r>
      <w:r w:rsidR="00207C24" w:rsidRPr="00A52AB8">
        <w:tab/>
      </w:r>
      <w:r w:rsidR="00207C24" w:rsidRPr="00A52AB8">
        <w:tab/>
      </w:r>
      <w:r w:rsidR="00B55833" w:rsidRPr="00A52AB8">
        <w:tab/>
      </w:r>
      <w:r w:rsidR="00605986" w:rsidRPr="00A52AB8">
        <w:t>a</w:t>
      </w:r>
      <w:r w:rsidRPr="00A52AB8">
        <w:t>ttrPresent[ </w:t>
      </w:r>
      <w:r w:rsidR="009F272E" w:rsidRPr="00A52AB8">
        <w:t>p</w:t>
      </w:r>
      <w:r w:rsidRPr="00A52AB8">
        <w:t>ointCnt ]</w:t>
      </w:r>
      <w:r w:rsidR="00D47707" w:rsidRPr="00A52AB8">
        <w:t> = </w:t>
      </w:r>
      <w:r w:rsidRPr="00A52AB8">
        <w:t>0</w:t>
      </w:r>
      <w:r w:rsidR="00207C24" w:rsidRPr="00A52AB8">
        <w:br/>
      </w:r>
      <w:r w:rsidR="00207C24" w:rsidRPr="00A52AB8">
        <w:br/>
      </w:r>
      <w:r w:rsidR="00207C24" w:rsidRPr="00A52AB8">
        <w:tab/>
      </w:r>
      <w:r w:rsidR="00207C24" w:rsidRPr="00A52AB8">
        <w:tab/>
      </w:r>
      <w:r w:rsidR="00B55833" w:rsidRPr="00A52AB8">
        <w:tab/>
      </w:r>
      <w:r w:rsidR="00B55833" w:rsidRPr="00A52AB8">
        <w:tab/>
      </w:r>
      <w:r w:rsidR="009F272E" w:rsidRPr="00A52AB8">
        <w:t>pointToPatch[ pointCnt ]</w:t>
      </w:r>
      <w:r w:rsidR="00D47707" w:rsidRPr="00A52AB8">
        <w:t> = </w:t>
      </w:r>
      <w:r w:rsidR="009F272E" w:rsidRPr="00A52AB8">
        <w:t>pIdx</w:t>
      </w:r>
      <w:r w:rsidR="00207C24" w:rsidRPr="00A52AB8">
        <w:br/>
      </w:r>
      <w:r w:rsidR="00207C24" w:rsidRPr="00A52AB8">
        <w:tab/>
      </w:r>
      <w:r w:rsidR="00B55833" w:rsidRPr="00A52AB8">
        <w:tab/>
      </w:r>
      <w:r w:rsidR="00B55833" w:rsidRPr="00A52AB8">
        <w:tab/>
      </w:r>
      <w:r w:rsidR="00B55833" w:rsidRPr="00A52AB8">
        <w:tab/>
      </w:r>
      <w:r w:rsidR="007F1CAC" w:rsidRPr="00A52AB8">
        <w:t>pointToPixel[ pointCnt ][ 0 ]</w:t>
      </w:r>
      <w:r w:rsidR="00D47707" w:rsidRPr="00A52AB8">
        <w:t> = </w:t>
      </w:r>
      <w:r w:rsidR="007F1CAC" w:rsidRPr="00A52AB8">
        <w:t>x</w:t>
      </w:r>
      <w:r w:rsidR="007F1CAC" w:rsidRPr="00A52AB8">
        <w:br/>
      </w:r>
      <w:r w:rsidR="00B55833" w:rsidRPr="00A52AB8">
        <w:tab/>
      </w:r>
      <w:r w:rsidR="00B55833" w:rsidRPr="00A52AB8">
        <w:tab/>
      </w:r>
      <w:r w:rsidR="00B55833" w:rsidRPr="00A52AB8">
        <w:tab/>
      </w:r>
      <w:r w:rsidR="00B55833" w:rsidRPr="00A52AB8">
        <w:tab/>
      </w:r>
      <w:r w:rsidR="007F1CAC" w:rsidRPr="00A52AB8">
        <w:t>pointToPixel[ pointCnt ][ 1 ]</w:t>
      </w:r>
      <w:r w:rsidR="00D47707" w:rsidRPr="00A52AB8">
        <w:t> = </w:t>
      </w:r>
      <w:r w:rsidR="007F1CAC" w:rsidRPr="00A52AB8">
        <w:t>y</w:t>
      </w:r>
      <w:r w:rsidRPr="00A52AB8">
        <w:br/>
      </w:r>
      <w:r w:rsidR="00207C24" w:rsidRPr="00A52AB8">
        <w:tab/>
      </w:r>
      <w:r w:rsidR="00207C24" w:rsidRPr="00A52AB8">
        <w:tab/>
      </w:r>
      <w:r w:rsidR="00B55833" w:rsidRPr="00A52AB8">
        <w:tab/>
      </w:r>
      <w:r w:rsidR="00B55833" w:rsidRPr="00A52AB8">
        <w:tab/>
      </w:r>
      <w:r w:rsidR="00605986" w:rsidRPr="00A52AB8">
        <w:t>p</w:t>
      </w:r>
      <w:r w:rsidRPr="00A52AB8">
        <w:t>ointCnt</w:t>
      </w:r>
      <w:r w:rsidR="008768E9" w:rsidRPr="00A52AB8">
        <w:t>++</w:t>
      </w:r>
      <w:r w:rsidR="00207C24" w:rsidRPr="00A52AB8">
        <w:br/>
      </w:r>
      <w:r w:rsidR="00207C24" w:rsidRPr="00A52AB8">
        <w:tab/>
      </w:r>
      <w:r w:rsidR="00207C24" w:rsidRPr="00A52AB8">
        <w:tab/>
      </w:r>
      <w:r w:rsidR="00207C24" w:rsidRPr="00A52AB8">
        <w:tab/>
        <w:t>}</w:t>
      </w:r>
    </w:p>
    <w:p w14:paraId="7B6EC9D4" w14:textId="77777777" w:rsidR="00925CA2" w:rsidRPr="00A52AB8" w:rsidRDefault="00925CA2" w:rsidP="00925CA2">
      <w:pPr>
        <w:pStyle w:val="a3"/>
        <w:numPr>
          <w:ilvl w:val="2"/>
          <w:numId w:val="14"/>
        </w:numPr>
      </w:pPr>
      <w:bookmarkStart w:id="6392" w:name="_Toc45530835"/>
      <w:bookmarkStart w:id="6393" w:name="_Toc46302202"/>
      <w:bookmarkStart w:id="6394" w:name="_Toc46303027"/>
      <w:bookmarkStart w:id="6395" w:name="_Toc45530836"/>
      <w:bookmarkStart w:id="6396" w:name="_Toc46302203"/>
      <w:bookmarkStart w:id="6397" w:name="_Toc46303028"/>
      <w:bookmarkStart w:id="6398" w:name="_Toc45530837"/>
      <w:bookmarkStart w:id="6399" w:name="_Toc46302204"/>
      <w:bookmarkStart w:id="6400" w:name="_Toc46303029"/>
      <w:bookmarkStart w:id="6401" w:name="_Toc45530838"/>
      <w:bookmarkStart w:id="6402" w:name="_Toc46302205"/>
      <w:bookmarkStart w:id="6403" w:name="_Toc46303030"/>
      <w:bookmarkStart w:id="6404" w:name="_Toc45530839"/>
      <w:bookmarkStart w:id="6405" w:name="_Toc46302206"/>
      <w:bookmarkStart w:id="6406" w:name="_Toc46303031"/>
      <w:bookmarkStart w:id="6407" w:name="_Toc45530840"/>
      <w:bookmarkStart w:id="6408" w:name="_Toc46302207"/>
      <w:bookmarkStart w:id="6409" w:name="_Toc46303032"/>
      <w:bookmarkStart w:id="6410" w:name="_Toc45530841"/>
      <w:bookmarkStart w:id="6411" w:name="_Toc46302208"/>
      <w:bookmarkStart w:id="6412" w:name="_Toc46303033"/>
      <w:bookmarkStart w:id="6413" w:name="_Toc45530842"/>
      <w:bookmarkStart w:id="6414" w:name="_Toc46302209"/>
      <w:bookmarkStart w:id="6415" w:name="_Toc46303034"/>
      <w:bookmarkStart w:id="6416" w:name="_Toc45530843"/>
      <w:bookmarkStart w:id="6417" w:name="_Toc46302210"/>
      <w:bookmarkStart w:id="6418" w:name="_Toc46303035"/>
      <w:bookmarkStart w:id="6419" w:name="_Toc45530844"/>
      <w:bookmarkStart w:id="6420" w:name="_Toc46302211"/>
      <w:bookmarkStart w:id="6421" w:name="_Toc46303036"/>
      <w:bookmarkStart w:id="6422" w:name="_Toc45530845"/>
      <w:bookmarkStart w:id="6423" w:name="_Toc46302212"/>
      <w:bookmarkStart w:id="6424" w:name="_Toc46303037"/>
      <w:bookmarkStart w:id="6425" w:name="_Toc45530846"/>
      <w:bookmarkStart w:id="6426" w:name="_Toc46302213"/>
      <w:bookmarkStart w:id="6427" w:name="_Toc46303038"/>
      <w:bookmarkStart w:id="6428" w:name="_Toc45530847"/>
      <w:bookmarkStart w:id="6429" w:name="_Toc46302214"/>
      <w:bookmarkStart w:id="6430" w:name="_Toc46303039"/>
      <w:bookmarkStart w:id="6431" w:name="_Toc45530848"/>
      <w:bookmarkStart w:id="6432" w:name="_Toc46302215"/>
      <w:bookmarkStart w:id="6433" w:name="_Toc46303040"/>
      <w:bookmarkStart w:id="6434" w:name="_Toc45530849"/>
      <w:bookmarkStart w:id="6435" w:name="_Toc46302216"/>
      <w:bookmarkStart w:id="6436" w:name="_Toc46303041"/>
      <w:bookmarkStart w:id="6437" w:name="_Toc45530850"/>
      <w:bookmarkStart w:id="6438" w:name="_Toc46302217"/>
      <w:bookmarkStart w:id="6439" w:name="_Toc46303042"/>
      <w:bookmarkStart w:id="6440" w:name="_Toc45530851"/>
      <w:bookmarkStart w:id="6441" w:name="_Toc46302218"/>
      <w:bookmarkStart w:id="6442" w:name="_Toc46303043"/>
      <w:bookmarkStart w:id="6443" w:name="_Toc45530852"/>
      <w:bookmarkStart w:id="6444" w:name="_Toc46302219"/>
      <w:bookmarkStart w:id="6445" w:name="_Toc46303044"/>
      <w:bookmarkStart w:id="6446" w:name="_Toc45530853"/>
      <w:bookmarkStart w:id="6447" w:name="_Toc46302220"/>
      <w:bookmarkStart w:id="6448" w:name="_Toc46303045"/>
      <w:bookmarkStart w:id="6449" w:name="_Toc45530854"/>
      <w:bookmarkStart w:id="6450" w:name="_Toc46302221"/>
      <w:bookmarkStart w:id="6451" w:name="_Toc46303046"/>
      <w:bookmarkStart w:id="6452" w:name="_Toc45530855"/>
      <w:bookmarkStart w:id="6453" w:name="_Toc46302222"/>
      <w:bookmarkStart w:id="6454" w:name="_Toc46303047"/>
      <w:bookmarkStart w:id="6455" w:name="_Toc45530856"/>
      <w:bookmarkStart w:id="6456" w:name="_Toc46302223"/>
      <w:bookmarkStart w:id="6457" w:name="_Toc46303048"/>
      <w:bookmarkStart w:id="6458" w:name="_Toc45530857"/>
      <w:bookmarkStart w:id="6459" w:name="_Toc46302224"/>
      <w:bookmarkStart w:id="6460" w:name="_Toc46303049"/>
      <w:bookmarkStart w:id="6461" w:name="_Toc45530858"/>
      <w:bookmarkStart w:id="6462" w:name="_Toc46302225"/>
      <w:bookmarkStart w:id="6463" w:name="_Toc46303050"/>
      <w:bookmarkStart w:id="6464" w:name="_Toc45530859"/>
      <w:bookmarkStart w:id="6465" w:name="_Toc46302226"/>
      <w:bookmarkStart w:id="6466" w:name="_Toc46303051"/>
      <w:bookmarkStart w:id="6467" w:name="_Toc45530860"/>
      <w:bookmarkStart w:id="6468" w:name="_Toc46302227"/>
      <w:bookmarkStart w:id="6469" w:name="_Toc46303052"/>
      <w:bookmarkStart w:id="6470" w:name="_Toc45530861"/>
      <w:bookmarkStart w:id="6471" w:name="_Toc46302228"/>
      <w:bookmarkStart w:id="6472" w:name="_Toc46303053"/>
      <w:bookmarkStart w:id="6473" w:name="_Toc45530862"/>
      <w:bookmarkStart w:id="6474" w:name="_Toc46302229"/>
      <w:bookmarkStart w:id="6475" w:name="_Toc46303054"/>
      <w:bookmarkStart w:id="6476" w:name="_Toc45530863"/>
      <w:bookmarkStart w:id="6477" w:name="_Toc46302230"/>
      <w:bookmarkStart w:id="6478" w:name="_Toc46303055"/>
      <w:bookmarkStart w:id="6479" w:name="_Toc45530864"/>
      <w:bookmarkStart w:id="6480" w:name="_Toc46302231"/>
      <w:bookmarkStart w:id="6481" w:name="_Toc46303056"/>
      <w:bookmarkStart w:id="6482" w:name="_Toc45530865"/>
      <w:bookmarkStart w:id="6483" w:name="_Toc46302232"/>
      <w:bookmarkStart w:id="6484" w:name="_Toc46303057"/>
      <w:bookmarkStart w:id="6485" w:name="_Toc45530866"/>
      <w:bookmarkStart w:id="6486" w:name="_Toc46302233"/>
      <w:bookmarkStart w:id="6487" w:name="_Toc46303058"/>
      <w:bookmarkStart w:id="6488" w:name="_Toc45530867"/>
      <w:bookmarkStart w:id="6489" w:name="_Toc46302234"/>
      <w:bookmarkStart w:id="6490" w:name="_Toc46303059"/>
      <w:bookmarkStart w:id="6491" w:name="_Toc45530868"/>
      <w:bookmarkStart w:id="6492" w:name="_Toc46302235"/>
      <w:bookmarkStart w:id="6493" w:name="_Toc46303060"/>
      <w:bookmarkStart w:id="6494" w:name="_Toc45530869"/>
      <w:bookmarkStart w:id="6495" w:name="_Toc46302236"/>
      <w:bookmarkStart w:id="6496" w:name="_Toc46303061"/>
      <w:bookmarkStart w:id="6497" w:name="_Toc45530870"/>
      <w:bookmarkStart w:id="6498" w:name="_Toc46302237"/>
      <w:bookmarkStart w:id="6499" w:name="_Toc46303062"/>
      <w:bookmarkStart w:id="6500" w:name="_Toc45530871"/>
      <w:bookmarkStart w:id="6501" w:name="_Toc46302238"/>
      <w:bookmarkStart w:id="6502" w:name="_Toc46303063"/>
      <w:bookmarkStart w:id="6503" w:name="_Toc45530872"/>
      <w:bookmarkStart w:id="6504" w:name="_Toc46302239"/>
      <w:bookmarkStart w:id="6505" w:name="_Toc46303064"/>
      <w:bookmarkStart w:id="6506" w:name="_Toc45530873"/>
      <w:bookmarkStart w:id="6507" w:name="_Toc46302240"/>
      <w:bookmarkStart w:id="6508" w:name="_Toc46303065"/>
      <w:bookmarkStart w:id="6509" w:name="_Toc45530874"/>
      <w:bookmarkStart w:id="6510" w:name="_Toc46302241"/>
      <w:bookmarkStart w:id="6511" w:name="_Toc46303066"/>
      <w:bookmarkStart w:id="6512" w:name="_Toc45530875"/>
      <w:bookmarkStart w:id="6513" w:name="_Toc46302242"/>
      <w:bookmarkStart w:id="6514" w:name="_Toc46303067"/>
      <w:bookmarkStart w:id="6515" w:name="_Toc45530876"/>
      <w:bookmarkStart w:id="6516" w:name="_Toc46302243"/>
      <w:bookmarkStart w:id="6517" w:name="_Toc46303068"/>
      <w:bookmarkStart w:id="6518" w:name="_Toc45530877"/>
      <w:bookmarkStart w:id="6519" w:name="_Toc46302244"/>
      <w:bookmarkStart w:id="6520" w:name="_Toc46303069"/>
      <w:bookmarkStart w:id="6521" w:name="_Toc45530878"/>
      <w:bookmarkStart w:id="6522" w:name="_Toc46302245"/>
      <w:bookmarkStart w:id="6523" w:name="_Toc46303070"/>
      <w:bookmarkStart w:id="6524" w:name="_Toc45530879"/>
      <w:bookmarkStart w:id="6525" w:name="_Toc46302246"/>
      <w:bookmarkStart w:id="6526" w:name="_Toc46303071"/>
      <w:bookmarkStart w:id="6527" w:name="_Toc45530880"/>
      <w:bookmarkStart w:id="6528" w:name="_Toc46302247"/>
      <w:bookmarkStart w:id="6529" w:name="_Toc46303072"/>
      <w:bookmarkStart w:id="6530" w:name="_Toc45530881"/>
      <w:bookmarkStart w:id="6531" w:name="_Toc46302248"/>
      <w:bookmarkStart w:id="6532" w:name="_Toc46303073"/>
      <w:bookmarkStart w:id="6533" w:name="_Toc45530882"/>
      <w:bookmarkStart w:id="6534" w:name="_Toc46302249"/>
      <w:bookmarkStart w:id="6535" w:name="_Toc46303074"/>
      <w:bookmarkStart w:id="6536" w:name="_Toc45530883"/>
      <w:bookmarkStart w:id="6537" w:name="_Toc46302250"/>
      <w:bookmarkStart w:id="6538" w:name="_Toc46303075"/>
      <w:bookmarkStart w:id="6539" w:name="_Toc45530884"/>
      <w:bookmarkStart w:id="6540" w:name="_Toc46302251"/>
      <w:bookmarkStart w:id="6541" w:name="_Toc46303076"/>
      <w:bookmarkStart w:id="6542" w:name="_Toc45530885"/>
      <w:bookmarkStart w:id="6543" w:name="_Toc46302252"/>
      <w:bookmarkStart w:id="6544" w:name="_Toc46303077"/>
      <w:bookmarkStart w:id="6545" w:name="_Toc45530886"/>
      <w:bookmarkStart w:id="6546" w:name="_Toc46302253"/>
      <w:bookmarkStart w:id="6547" w:name="_Toc46303078"/>
      <w:bookmarkStart w:id="6548" w:name="_Toc45530887"/>
      <w:bookmarkStart w:id="6549" w:name="_Toc46302254"/>
      <w:bookmarkStart w:id="6550" w:name="_Toc46303079"/>
      <w:bookmarkStart w:id="6551" w:name="_Toc45530888"/>
      <w:bookmarkStart w:id="6552" w:name="_Toc46302255"/>
      <w:bookmarkStart w:id="6553" w:name="_Toc46303080"/>
      <w:bookmarkStart w:id="6554" w:name="_Toc45530889"/>
      <w:bookmarkStart w:id="6555" w:name="_Toc46302256"/>
      <w:bookmarkStart w:id="6556" w:name="_Toc46303081"/>
      <w:bookmarkStart w:id="6557" w:name="_Ref47687018"/>
      <w:bookmarkStart w:id="6558" w:name="_Ref39816142"/>
      <w:bookmarkStart w:id="6559" w:name="_Ref39816580"/>
      <w:bookmarkStart w:id="6560" w:name="_Ref39817909"/>
      <w:bookmarkStart w:id="6561" w:name="_Ref39818089"/>
      <w:bookmarkStart w:id="6562" w:name="_Toc52181793"/>
      <w:bookmarkEnd w:id="6392"/>
      <w:bookmarkEnd w:id="6393"/>
      <w:bookmarkEnd w:id="6394"/>
      <w:bookmarkEnd w:id="6395"/>
      <w:bookmarkEnd w:id="6396"/>
      <w:bookmarkEnd w:id="6397"/>
      <w:bookmarkEnd w:id="6398"/>
      <w:bookmarkEnd w:id="6399"/>
      <w:bookmarkEnd w:id="6400"/>
      <w:bookmarkEnd w:id="6401"/>
      <w:bookmarkEnd w:id="6402"/>
      <w:bookmarkEnd w:id="6403"/>
      <w:bookmarkEnd w:id="6404"/>
      <w:bookmarkEnd w:id="6405"/>
      <w:bookmarkEnd w:id="6406"/>
      <w:bookmarkEnd w:id="6407"/>
      <w:bookmarkEnd w:id="6408"/>
      <w:bookmarkEnd w:id="6409"/>
      <w:bookmarkEnd w:id="6410"/>
      <w:bookmarkEnd w:id="6411"/>
      <w:bookmarkEnd w:id="6412"/>
      <w:bookmarkEnd w:id="6413"/>
      <w:bookmarkEnd w:id="6414"/>
      <w:bookmarkEnd w:id="6415"/>
      <w:bookmarkEnd w:id="6416"/>
      <w:bookmarkEnd w:id="6417"/>
      <w:bookmarkEnd w:id="6418"/>
      <w:bookmarkEnd w:id="6419"/>
      <w:bookmarkEnd w:id="6420"/>
      <w:bookmarkEnd w:id="6421"/>
      <w:bookmarkEnd w:id="6422"/>
      <w:bookmarkEnd w:id="6423"/>
      <w:bookmarkEnd w:id="6424"/>
      <w:bookmarkEnd w:id="6425"/>
      <w:bookmarkEnd w:id="6426"/>
      <w:bookmarkEnd w:id="6427"/>
      <w:bookmarkEnd w:id="6428"/>
      <w:bookmarkEnd w:id="6429"/>
      <w:bookmarkEnd w:id="6430"/>
      <w:bookmarkEnd w:id="6431"/>
      <w:bookmarkEnd w:id="6432"/>
      <w:bookmarkEnd w:id="6433"/>
      <w:bookmarkEnd w:id="6434"/>
      <w:bookmarkEnd w:id="6435"/>
      <w:bookmarkEnd w:id="6436"/>
      <w:bookmarkEnd w:id="6437"/>
      <w:bookmarkEnd w:id="6438"/>
      <w:bookmarkEnd w:id="6439"/>
      <w:bookmarkEnd w:id="6440"/>
      <w:bookmarkEnd w:id="6441"/>
      <w:bookmarkEnd w:id="6442"/>
      <w:bookmarkEnd w:id="6443"/>
      <w:bookmarkEnd w:id="6444"/>
      <w:bookmarkEnd w:id="6445"/>
      <w:bookmarkEnd w:id="6446"/>
      <w:bookmarkEnd w:id="6447"/>
      <w:bookmarkEnd w:id="6448"/>
      <w:bookmarkEnd w:id="6449"/>
      <w:bookmarkEnd w:id="6450"/>
      <w:bookmarkEnd w:id="6451"/>
      <w:bookmarkEnd w:id="6452"/>
      <w:bookmarkEnd w:id="6453"/>
      <w:bookmarkEnd w:id="6454"/>
      <w:bookmarkEnd w:id="6455"/>
      <w:bookmarkEnd w:id="6456"/>
      <w:bookmarkEnd w:id="6457"/>
      <w:bookmarkEnd w:id="6458"/>
      <w:bookmarkEnd w:id="6459"/>
      <w:bookmarkEnd w:id="6460"/>
      <w:bookmarkEnd w:id="6461"/>
      <w:bookmarkEnd w:id="6462"/>
      <w:bookmarkEnd w:id="6463"/>
      <w:bookmarkEnd w:id="6464"/>
      <w:bookmarkEnd w:id="6465"/>
      <w:bookmarkEnd w:id="6466"/>
      <w:bookmarkEnd w:id="6467"/>
      <w:bookmarkEnd w:id="6468"/>
      <w:bookmarkEnd w:id="6469"/>
      <w:bookmarkEnd w:id="6470"/>
      <w:bookmarkEnd w:id="6471"/>
      <w:bookmarkEnd w:id="6472"/>
      <w:bookmarkEnd w:id="6473"/>
      <w:bookmarkEnd w:id="6474"/>
      <w:bookmarkEnd w:id="6475"/>
      <w:bookmarkEnd w:id="6476"/>
      <w:bookmarkEnd w:id="6477"/>
      <w:bookmarkEnd w:id="6478"/>
      <w:bookmarkEnd w:id="6479"/>
      <w:bookmarkEnd w:id="6480"/>
      <w:bookmarkEnd w:id="6481"/>
      <w:bookmarkEnd w:id="6482"/>
      <w:bookmarkEnd w:id="6483"/>
      <w:bookmarkEnd w:id="6484"/>
      <w:bookmarkEnd w:id="6485"/>
      <w:bookmarkEnd w:id="6486"/>
      <w:bookmarkEnd w:id="6487"/>
      <w:bookmarkEnd w:id="6488"/>
      <w:bookmarkEnd w:id="6489"/>
      <w:bookmarkEnd w:id="6490"/>
      <w:bookmarkEnd w:id="6491"/>
      <w:bookmarkEnd w:id="6492"/>
      <w:bookmarkEnd w:id="6493"/>
      <w:bookmarkEnd w:id="6494"/>
      <w:bookmarkEnd w:id="6495"/>
      <w:bookmarkEnd w:id="6496"/>
      <w:bookmarkEnd w:id="6497"/>
      <w:bookmarkEnd w:id="6498"/>
      <w:bookmarkEnd w:id="6499"/>
      <w:bookmarkEnd w:id="6500"/>
      <w:bookmarkEnd w:id="6501"/>
      <w:bookmarkEnd w:id="6502"/>
      <w:bookmarkEnd w:id="6503"/>
      <w:bookmarkEnd w:id="6504"/>
      <w:bookmarkEnd w:id="6505"/>
      <w:bookmarkEnd w:id="6506"/>
      <w:bookmarkEnd w:id="6507"/>
      <w:bookmarkEnd w:id="6508"/>
      <w:bookmarkEnd w:id="6509"/>
      <w:bookmarkEnd w:id="6510"/>
      <w:bookmarkEnd w:id="6511"/>
      <w:bookmarkEnd w:id="6512"/>
      <w:bookmarkEnd w:id="6513"/>
      <w:bookmarkEnd w:id="6514"/>
      <w:bookmarkEnd w:id="6515"/>
      <w:bookmarkEnd w:id="6516"/>
      <w:bookmarkEnd w:id="6517"/>
      <w:bookmarkEnd w:id="6518"/>
      <w:bookmarkEnd w:id="6519"/>
      <w:bookmarkEnd w:id="6520"/>
      <w:bookmarkEnd w:id="6521"/>
      <w:bookmarkEnd w:id="6522"/>
      <w:bookmarkEnd w:id="6523"/>
      <w:bookmarkEnd w:id="6524"/>
      <w:bookmarkEnd w:id="6525"/>
      <w:bookmarkEnd w:id="6526"/>
      <w:bookmarkEnd w:id="6527"/>
      <w:bookmarkEnd w:id="6528"/>
      <w:bookmarkEnd w:id="6529"/>
      <w:bookmarkEnd w:id="6530"/>
      <w:bookmarkEnd w:id="6531"/>
      <w:bookmarkEnd w:id="6532"/>
      <w:bookmarkEnd w:id="6533"/>
      <w:bookmarkEnd w:id="6534"/>
      <w:bookmarkEnd w:id="6535"/>
      <w:bookmarkEnd w:id="6536"/>
      <w:bookmarkEnd w:id="6537"/>
      <w:bookmarkEnd w:id="6538"/>
      <w:bookmarkEnd w:id="6539"/>
      <w:bookmarkEnd w:id="6540"/>
      <w:bookmarkEnd w:id="6541"/>
      <w:bookmarkEnd w:id="6542"/>
      <w:bookmarkEnd w:id="6543"/>
      <w:bookmarkEnd w:id="6544"/>
      <w:bookmarkEnd w:id="6545"/>
      <w:bookmarkEnd w:id="6546"/>
      <w:bookmarkEnd w:id="6547"/>
      <w:bookmarkEnd w:id="6548"/>
      <w:bookmarkEnd w:id="6549"/>
      <w:bookmarkEnd w:id="6550"/>
      <w:bookmarkEnd w:id="6551"/>
      <w:bookmarkEnd w:id="6552"/>
      <w:bookmarkEnd w:id="6553"/>
      <w:bookmarkEnd w:id="6554"/>
      <w:bookmarkEnd w:id="6555"/>
      <w:bookmarkEnd w:id="6556"/>
      <w:r w:rsidRPr="00A52AB8">
        <w:t>Reconstruction for EOM patches</w:t>
      </w:r>
      <w:bookmarkEnd w:id="6557"/>
      <w:bookmarkEnd w:id="6562"/>
    </w:p>
    <w:p w14:paraId="6441BB88" w14:textId="77777777" w:rsidR="00925CA2" w:rsidRPr="00A52AB8" w:rsidRDefault="00925CA2" w:rsidP="00925CA2">
      <w:pPr>
        <w:rPr>
          <w:color w:val="000000" w:themeColor="text1"/>
        </w:rPr>
      </w:pPr>
      <w:r w:rsidRPr="00A52AB8">
        <w:rPr>
          <w:color w:val="000000" w:themeColor="text1"/>
        </w:rPr>
        <w:t>Inputs to this process are:</w:t>
      </w:r>
    </w:p>
    <w:p w14:paraId="48C43170" w14:textId="06AEE169" w:rsidR="00925CA2" w:rsidRPr="00A52AB8" w:rsidRDefault="00925CA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variable pointCnt, </w:t>
      </w:r>
      <w:r w:rsidR="002614CA" w:rsidRPr="00A52AB8">
        <w:rPr>
          <w:color w:val="000000" w:themeColor="text1"/>
        </w:rPr>
        <w:t xml:space="preserve">specifying </w:t>
      </w:r>
      <w:r w:rsidRPr="00A52AB8">
        <w:rPr>
          <w:color w:val="000000" w:themeColor="text1"/>
        </w:rPr>
        <w:t>the number of points in the reconstructed point cloud frame,</w:t>
      </w:r>
    </w:p>
    <w:p w14:paraId="29A97825" w14:textId="60F9CE65" w:rsidR="00925CA2" w:rsidRPr="00A52AB8" w:rsidRDefault="00925CA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variable pIdx, </w:t>
      </w:r>
      <w:r w:rsidR="002614CA" w:rsidRPr="00A52AB8">
        <w:rPr>
          <w:color w:val="000000" w:themeColor="text1"/>
        </w:rPr>
        <w:t xml:space="preserve">specifying </w:t>
      </w:r>
      <w:r w:rsidRPr="00A52AB8">
        <w:rPr>
          <w:color w:val="000000" w:themeColor="text1"/>
        </w:rPr>
        <w:t>the index of the patch,</w:t>
      </w:r>
    </w:p>
    <w:p w14:paraId="6572F0D7" w14:textId="3AABC20C" w:rsidR="00925CA2" w:rsidRPr="00A52AB8" w:rsidRDefault="00925CA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variable </w:t>
      </w:r>
      <w:r w:rsidR="001B2CAA" w:rsidRPr="00A52AB8">
        <w:rPr>
          <w:color w:val="000000" w:themeColor="text1"/>
        </w:rPr>
        <w:t>aF</w:t>
      </w:r>
      <w:r w:rsidRPr="00A52AB8">
        <w:rPr>
          <w:color w:val="000000" w:themeColor="text1"/>
        </w:rPr>
        <w:t xml:space="preserve">rameHeight, </w:t>
      </w:r>
      <w:r w:rsidR="002614CA" w:rsidRPr="00A52AB8">
        <w:rPr>
          <w:color w:val="000000" w:themeColor="text1"/>
        </w:rPr>
        <w:t xml:space="preserve">specifying </w:t>
      </w:r>
      <w:r w:rsidRPr="00A52AB8">
        <w:rPr>
          <w:color w:val="000000" w:themeColor="text1"/>
        </w:rPr>
        <w:t>the height of the decoded attributes frames,</w:t>
      </w:r>
    </w:p>
    <w:p w14:paraId="058E5A4D" w14:textId="6F668F2F" w:rsidR="00925CA2" w:rsidRPr="00A52AB8" w:rsidRDefault="00925CA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variable </w:t>
      </w:r>
      <w:r w:rsidR="001B2CAA" w:rsidRPr="00A52AB8">
        <w:rPr>
          <w:color w:val="000000" w:themeColor="text1"/>
        </w:rPr>
        <w:t>aF</w:t>
      </w:r>
      <w:r w:rsidRPr="00A52AB8">
        <w:rPr>
          <w:color w:val="000000" w:themeColor="text1"/>
        </w:rPr>
        <w:t xml:space="preserve">rameWidth, </w:t>
      </w:r>
      <w:r w:rsidR="002614CA" w:rsidRPr="00A52AB8">
        <w:rPr>
          <w:color w:val="000000" w:themeColor="text1"/>
        </w:rPr>
        <w:t xml:space="preserve">specifying </w:t>
      </w:r>
      <w:r w:rsidRPr="00A52AB8">
        <w:rPr>
          <w:color w:val="000000" w:themeColor="text1"/>
        </w:rPr>
        <w:t>the width of the decoded attributes frames,</w:t>
      </w:r>
    </w:p>
    <w:p w14:paraId="412AE88E" w14:textId="731C1571" w:rsidR="00925CA2" w:rsidRPr="00A52AB8" w:rsidRDefault="00925CA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an array pointToPatch, </w:t>
      </w:r>
      <w:r w:rsidR="008546B3" w:rsidRPr="00A52AB8">
        <w:rPr>
          <w:color w:val="000000" w:themeColor="text1"/>
        </w:rPr>
        <w:t xml:space="preserve">of size pointCnt, specifying </w:t>
      </w:r>
      <w:r w:rsidRPr="00A52AB8">
        <w:rPr>
          <w:color w:val="000000" w:themeColor="text1"/>
        </w:rPr>
        <w:t>the patch index for the reconstructed point,</w:t>
      </w:r>
    </w:p>
    <w:p w14:paraId="26286C59" w14:textId="5A7FDF2A" w:rsidR="00925CA2" w:rsidRPr="00A52AB8" w:rsidRDefault="00925CA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an array pointToPixel, </w:t>
      </w:r>
      <w:r w:rsidR="008546B3" w:rsidRPr="00A52AB8">
        <w:rPr>
          <w:color w:val="000000" w:themeColor="text1"/>
        </w:rPr>
        <w:t xml:space="preserve">of size pointCnt × 2, specifying </w:t>
      </w:r>
      <w:r w:rsidRPr="00A52AB8">
        <w:rPr>
          <w:color w:val="000000" w:themeColor="text1"/>
        </w:rPr>
        <w:t>the atlas coordinates for the reconstructed point</w:t>
      </w:r>
      <w:r w:rsidR="008546B3" w:rsidRPr="00A52AB8">
        <w:rPr>
          <w:color w:val="000000" w:themeColor="text1"/>
        </w:rPr>
        <w:t>s</w:t>
      </w:r>
      <w:r w:rsidR="00DE3AA8" w:rsidRPr="00A52AB8">
        <w:rPr>
          <w:color w:val="000000" w:themeColor="text1"/>
        </w:rPr>
        <w:t>,</w:t>
      </w:r>
    </w:p>
    <w:p w14:paraId="77D16739" w14:textId="1741B1E3" w:rsidR="00925CA2" w:rsidRPr="00A52AB8" w:rsidRDefault="00925CA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w:t>
      </w:r>
      <w:r w:rsidR="002614CA" w:rsidRPr="00A52AB8">
        <w:rPr>
          <w:color w:val="000000" w:themeColor="text1"/>
        </w:rPr>
        <w:t xml:space="preserve"> 1D</w:t>
      </w:r>
      <w:r w:rsidRPr="00A52AB8">
        <w:rPr>
          <w:color w:val="000000" w:themeColor="text1"/>
        </w:rPr>
        <w:t xml:space="preserve"> array attrPresent, </w:t>
      </w:r>
      <w:r w:rsidR="008546B3" w:rsidRPr="00A52AB8">
        <w:rPr>
          <w:color w:val="000000" w:themeColor="text1"/>
        </w:rPr>
        <w:t xml:space="preserve">of size pointCnt, </w:t>
      </w:r>
      <w:r w:rsidRPr="00A52AB8">
        <w:rPr>
          <w:color w:val="000000" w:themeColor="text1"/>
        </w:rPr>
        <w:t xml:space="preserve">specifying whether the attribute values for </w:t>
      </w:r>
      <w:r w:rsidR="008546B3" w:rsidRPr="00A52AB8">
        <w:rPr>
          <w:color w:val="000000" w:themeColor="text1"/>
        </w:rPr>
        <w:t xml:space="preserve">a </w:t>
      </w:r>
      <w:r w:rsidRPr="00A52AB8">
        <w:rPr>
          <w:color w:val="000000" w:themeColor="text1"/>
        </w:rPr>
        <w:t>reconstructed point are present in the attribute video bitstream,</w:t>
      </w:r>
    </w:p>
    <w:p w14:paraId="7DA8EEF5" w14:textId="1D2A2B5E" w:rsidR="0050235C" w:rsidRPr="00A52AB8" w:rsidRDefault="00925CA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w:t>
      </w:r>
      <w:r w:rsidR="002614CA" w:rsidRPr="00A52AB8">
        <w:rPr>
          <w:color w:val="000000" w:themeColor="text1"/>
        </w:rPr>
        <w:t xml:space="preserve"> 2D</w:t>
      </w:r>
      <w:r w:rsidRPr="00A52AB8">
        <w:rPr>
          <w:color w:val="000000" w:themeColor="text1"/>
        </w:rPr>
        <w:t xml:space="preserve"> array oFrame, </w:t>
      </w:r>
      <w:r w:rsidR="00820C64" w:rsidRPr="00A52AB8">
        <w:rPr>
          <w:color w:val="000000" w:themeColor="text1"/>
        </w:rPr>
        <w:t xml:space="preserve">of size asps_frame_height × asps_frame_width, </w:t>
      </w:r>
      <w:r w:rsidR="002614CA" w:rsidRPr="00A52AB8">
        <w:rPr>
          <w:color w:val="000000" w:themeColor="text1"/>
        </w:rPr>
        <w:t xml:space="preserve">specifying </w:t>
      </w:r>
      <w:r w:rsidRPr="00A52AB8">
        <w:rPr>
          <w:color w:val="000000" w:themeColor="text1"/>
        </w:rPr>
        <w:t xml:space="preserve">the decoded occupancy frames in </w:t>
      </w:r>
      <w:r w:rsidR="0065222A" w:rsidRPr="00A52AB8">
        <w:rPr>
          <w:color w:val="000000" w:themeColor="text1"/>
        </w:rPr>
        <w:t xml:space="preserve">the </w:t>
      </w:r>
      <w:r w:rsidRPr="00A52AB8">
        <w:rPr>
          <w:color w:val="000000" w:themeColor="text1"/>
        </w:rPr>
        <w:t>nominal format</w:t>
      </w:r>
      <w:r w:rsidR="00820C64" w:rsidRPr="00A52AB8">
        <w:rPr>
          <w:color w:val="000000" w:themeColor="text1"/>
        </w:rPr>
        <w:t>,</w:t>
      </w:r>
    </w:p>
    <w:p w14:paraId="4E935400" w14:textId="05FDE26C" w:rsidR="0050235C" w:rsidRPr="00A52AB8" w:rsidRDefault="00925CA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w:t>
      </w:r>
      <w:r w:rsidR="002614CA" w:rsidRPr="00A52AB8">
        <w:rPr>
          <w:color w:val="000000" w:themeColor="text1"/>
        </w:rPr>
        <w:t xml:space="preserve"> 3D</w:t>
      </w:r>
      <w:r w:rsidRPr="00A52AB8">
        <w:rPr>
          <w:color w:val="000000" w:themeColor="text1"/>
        </w:rPr>
        <w:t xml:space="preserve"> array gFrame</w:t>
      </w:r>
      <w:r w:rsidR="000C400D" w:rsidRPr="00A52AB8">
        <w:rPr>
          <w:color w:val="000000" w:themeColor="text1"/>
        </w:rPr>
        <w:t>,</w:t>
      </w:r>
      <w:r w:rsidRPr="00A52AB8">
        <w:rPr>
          <w:color w:val="000000" w:themeColor="text1"/>
        </w:rPr>
        <w:t xml:space="preserve"> </w:t>
      </w:r>
      <w:r w:rsidR="000C400D" w:rsidRPr="00A52AB8">
        <w:rPr>
          <w:color w:val="000000" w:themeColor="text1"/>
        </w:rPr>
        <w:t>of size ( asps_map_count_minus1</w:t>
      </w:r>
      <w:r w:rsidR="000C400D" w:rsidRPr="00A52AB8">
        <w:t> + 1 )</w:t>
      </w:r>
      <w:r w:rsidR="000C400D" w:rsidRPr="00A52AB8">
        <w:rPr>
          <w:color w:val="000000" w:themeColor="text1"/>
        </w:rPr>
        <w:t xml:space="preserve"> × asps_frame_height × asps_frame_width, indicating </w:t>
      </w:r>
      <w:r w:rsidRPr="00A52AB8">
        <w:rPr>
          <w:color w:val="000000" w:themeColor="text1"/>
        </w:rPr>
        <w:t xml:space="preserve">the decoded geometry frames in </w:t>
      </w:r>
      <w:r w:rsidR="0065222A" w:rsidRPr="00A52AB8">
        <w:rPr>
          <w:color w:val="000000" w:themeColor="text1"/>
        </w:rPr>
        <w:t xml:space="preserve">the </w:t>
      </w:r>
      <w:r w:rsidRPr="00A52AB8">
        <w:rPr>
          <w:color w:val="000000" w:themeColor="text1"/>
        </w:rPr>
        <w:t>nominal format and</w:t>
      </w:r>
    </w:p>
    <w:p w14:paraId="285E0B14" w14:textId="23C8708F" w:rsidR="00925CA2" w:rsidRPr="00A52AB8" w:rsidRDefault="00925CA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w:t>
      </w:r>
      <w:r w:rsidR="002614CA" w:rsidRPr="00A52AB8">
        <w:rPr>
          <w:color w:val="000000" w:themeColor="text1"/>
        </w:rPr>
        <w:t xml:space="preserve"> 2D</w:t>
      </w:r>
      <w:r w:rsidRPr="00A52AB8">
        <w:rPr>
          <w:color w:val="000000" w:themeColor="text1"/>
        </w:rPr>
        <w:t xml:space="preserve"> array recPcGeo, </w:t>
      </w:r>
      <w:r w:rsidR="000C400D" w:rsidRPr="00A52AB8">
        <w:rPr>
          <w:color w:val="000000" w:themeColor="text1"/>
        </w:rPr>
        <w:t xml:space="preserve">of size </w:t>
      </w:r>
      <w:r w:rsidR="00820C64" w:rsidRPr="00A52AB8">
        <w:rPr>
          <w:color w:val="000000" w:themeColor="text1"/>
        </w:rPr>
        <w:t xml:space="preserve">pointCnt × 2, </w:t>
      </w:r>
      <w:r w:rsidR="002614CA" w:rsidRPr="00A52AB8">
        <w:rPr>
          <w:color w:val="000000" w:themeColor="text1"/>
        </w:rPr>
        <w:t xml:space="preserve">specifying </w:t>
      </w:r>
      <w:r w:rsidRPr="00A52AB8">
        <w:rPr>
          <w:color w:val="000000" w:themeColor="text1"/>
        </w:rPr>
        <w:t>a list of coordinates of the points in the reconstructed point cloud frame.</w:t>
      </w:r>
    </w:p>
    <w:p w14:paraId="3ADBCC44" w14:textId="77777777" w:rsidR="00925CA2" w:rsidRPr="00A52AB8" w:rsidRDefault="00925CA2" w:rsidP="00007BE2">
      <w:pPr>
        <w:rPr>
          <w:color w:val="000000" w:themeColor="text1"/>
        </w:rPr>
      </w:pPr>
      <w:r w:rsidRPr="00A52AB8">
        <w:rPr>
          <w:color w:val="000000" w:themeColor="text1"/>
        </w:rPr>
        <w:t>Additionally, when ai_attribute_count[ RecAtlasID ] is greater than 0, the inputs to this process are:</w:t>
      </w:r>
    </w:p>
    <w:p w14:paraId="1D3829EB" w14:textId="18FC674B" w:rsidR="00925CA2" w:rsidRPr="00A52AB8" w:rsidRDefault="00925CA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w:t>
      </w:r>
      <w:r w:rsidR="002614CA" w:rsidRPr="00A52AB8">
        <w:rPr>
          <w:color w:val="000000" w:themeColor="text1"/>
        </w:rPr>
        <w:t xml:space="preserve"> 4D</w:t>
      </w:r>
      <w:r w:rsidRPr="00A52AB8">
        <w:rPr>
          <w:color w:val="000000" w:themeColor="text1"/>
        </w:rPr>
        <w:t xml:space="preserve"> array aFrame, </w:t>
      </w:r>
      <w:r w:rsidR="00820C64" w:rsidRPr="00A52AB8">
        <w:rPr>
          <w:color w:val="000000" w:themeColor="text1"/>
        </w:rPr>
        <w:t xml:space="preserve">of size ai_attribute_count[ RecAtlasID ] × ai_attribute_dimension_minus1[ RecAtlasID ][ attrIdx ] × aFrameHeight × aFrameWidth , </w:t>
      </w:r>
      <w:r w:rsidR="002614CA" w:rsidRPr="00A52AB8">
        <w:rPr>
          <w:color w:val="000000" w:themeColor="text1"/>
        </w:rPr>
        <w:t xml:space="preserve">specifying </w:t>
      </w:r>
      <w:r w:rsidRPr="00A52AB8">
        <w:rPr>
          <w:color w:val="000000" w:themeColor="text1"/>
        </w:rPr>
        <w:t xml:space="preserve">the decoded attribute frames in </w:t>
      </w:r>
      <w:r w:rsidR="0065222A" w:rsidRPr="00A52AB8">
        <w:rPr>
          <w:color w:val="000000" w:themeColor="text1"/>
        </w:rPr>
        <w:t xml:space="preserve">the </w:t>
      </w:r>
      <w:r w:rsidRPr="00A52AB8">
        <w:rPr>
          <w:color w:val="000000" w:themeColor="text1"/>
        </w:rPr>
        <w:t>nominal format, and</w:t>
      </w:r>
    </w:p>
    <w:p w14:paraId="0EACCE5A" w14:textId="01FF9DAF" w:rsidR="00925CA2" w:rsidRPr="00A52AB8" w:rsidRDefault="00925CA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w:t>
      </w:r>
      <w:r w:rsidR="002614CA" w:rsidRPr="00A52AB8">
        <w:rPr>
          <w:color w:val="000000" w:themeColor="text1"/>
        </w:rPr>
        <w:t xml:space="preserve"> 3D</w:t>
      </w:r>
      <w:r w:rsidRPr="00A52AB8">
        <w:rPr>
          <w:color w:val="000000" w:themeColor="text1"/>
        </w:rPr>
        <w:t xml:space="preserve"> array recPcAttr, </w:t>
      </w:r>
      <w:r w:rsidR="00820C64" w:rsidRPr="00A52AB8">
        <w:rPr>
          <w:color w:val="000000" w:themeColor="text1"/>
        </w:rPr>
        <w:t>off size pointCnt × ai_attribute_count[ RecAtlasID ] × ai_attribute_dimension_minus1[ RecAtlasID ][ attrIdx ], s</w:t>
      </w:r>
      <w:r w:rsidRPr="00A52AB8">
        <w:rPr>
          <w:color w:val="000000" w:themeColor="text1"/>
        </w:rPr>
        <w:t>pecifying a list of attributes associated with the points in the reconstructed point cloud frame.</w:t>
      </w:r>
    </w:p>
    <w:p w14:paraId="16750C18" w14:textId="77777777" w:rsidR="00925CA2" w:rsidRPr="00A52AB8" w:rsidRDefault="00925CA2">
      <w:pPr>
        <w:rPr>
          <w:color w:val="000000" w:themeColor="text1"/>
        </w:rPr>
      </w:pPr>
      <w:r w:rsidRPr="00A52AB8">
        <w:rPr>
          <w:color w:val="000000" w:themeColor="text1"/>
        </w:rPr>
        <w:t>Outputs of this process are:</w:t>
      </w:r>
    </w:p>
    <w:p w14:paraId="235DAD71" w14:textId="78A069F2" w:rsidR="00925CA2" w:rsidRPr="00A52AB8" w:rsidRDefault="00820C64"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the </w:t>
      </w:r>
      <w:r w:rsidR="00925CA2" w:rsidRPr="00A52AB8">
        <w:rPr>
          <w:color w:val="000000" w:themeColor="text1"/>
        </w:rPr>
        <w:t>modified variable pointCnt</w:t>
      </w:r>
    </w:p>
    <w:p w14:paraId="5BD38EC8" w14:textId="4650F23B" w:rsidR="00925CA2" w:rsidRPr="00A52AB8" w:rsidRDefault="00820C64"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the </w:t>
      </w:r>
      <w:r w:rsidR="00925CA2" w:rsidRPr="00A52AB8">
        <w:rPr>
          <w:color w:val="000000" w:themeColor="text1"/>
        </w:rPr>
        <w:t>modified array pointToPatch,</w:t>
      </w:r>
    </w:p>
    <w:p w14:paraId="5E197A7A" w14:textId="2DB954A9" w:rsidR="00925CA2" w:rsidRPr="00A52AB8" w:rsidRDefault="00820C64"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the </w:t>
      </w:r>
      <w:r w:rsidR="00925CA2" w:rsidRPr="00A52AB8">
        <w:rPr>
          <w:color w:val="000000" w:themeColor="text1"/>
        </w:rPr>
        <w:t>modified array pointToPixel,</w:t>
      </w:r>
    </w:p>
    <w:p w14:paraId="127C82C6" w14:textId="39F1AFD0" w:rsidR="00925CA2" w:rsidRPr="00A52AB8" w:rsidRDefault="00820C64"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the </w:t>
      </w:r>
      <w:r w:rsidR="00925CA2" w:rsidRPr="00A52AB8">
        <w:rPr>
          <w:color w:val="000000" w:themeColor="text1"/>
        </w:rPr>
        <w:t>modified array attrPresent,</w:t>
      </w:r>
    </w:p>
    <w:p w14:paraId="4DB1A159" w14:textId="7CFC250F" w:rsidR="00925CA2" w:rsidRPr="00A52AB8" w:rsidRDefault="00820C64"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the </w:t>
      </w:r>
      <w:r w:rsidR="00925CA2" w:rsidRPr="00A52AB8">
        <w:rPr>
          <w:color w:val="000000" w:themeColor="text1"/>
        </w:rPr>
        <w:t>modified array recPcGeo</w:t>
      </w:r>
      <w:r w:rsidRPr="00A52AB8">
        <w:rPr>
          <w:color w:val="000000" w:themeColor="text1"/>
        </w:rPr>
        <w:t xml:space="preserve">, and </w:t>
      </w:r>
    </w:p>
    <w:p w14:paraId="3287AEBF" w14:textId="148528C0" w:rsidR="00925CA2" w:rsidRPr="00A52AB8" w:rsidRDefault="00820C64"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the </w:t>
      </w:r>
      <w:r w:rsidR="00925CA2" w:rsidRPr="00A52AB8">
        <w:rPr>
          <w:color w:val="000000" w:themeColor="text1"/>
        </w:rPr>
        <w:t>modified array recPcAttr</w:t>
      </w:r>
      <w:r w:rsidRPr="00A52AB8">
        <w:rPr>
          <w:color w:val="000000" w:themeColor="text1"/>
        </w:rPr>
        <w:t>.</w:t>
      </w:r>
    </w:p>
    <w:p w14:paraId="48CFB020" w14:textId="46CED3C6" w:rsidR="00925CA2" w:rsidRPr="00A52AB8" w:rsidRDefault="004423DE">
      <w:pPr>
        <w:rPr>
          <w:color w:val="000000" w:themeColor="text1"/>
        </w:rPr>
      </w:pPr>
      <w:r w:rsidRPr="00A52AB8">
        <w:rPr>
          <w:color w:val="000000" w:themeColor="text1"/>
        </w:rPr>
        <w:t xml:space="preserve">An </w:t>
      </w:r>
      <w:r w:rsidR="00FB237A" w:rsidRPr="00A52AB8">
        <w:rPr>
          <w:lang w:eastAsia="ja-JP"/>
        </w:rPr>
        <w:t>array</w:t>
      </w:r>
      <w:r w:rsidR="00FB237A" w:rsidRPr="00A52AB8">
        <w:rPr>
          <w:color w:val="000000" w:themeColor="text1"/>
        </w:rPr>
        <w:t xml:space="preserve"> </w:t>
      </w:r>
      <w:r w:rsidR="00925CA2" w:rsidRPr="00A52AB8">
        <w:rPr>
          <w:color w:val="000000" w:themeColor="text1"/>
        </w:rPr>
        <w:t>e</w:t>
      </w:r>
      <w:r w:rsidR="00925CA2" w:rsidRPr="00A52AB8">
        <w:rPr>
          <w:lang w:eastAsia="ja-JP"/>
        </w:rPr>
        <w:t>omPointOffset</w:t>
      </w:r>
      <w:r w:rsidRPr="00A52AB8">
        <w:rPr>
          <w:lang w:eastAsia="ja-JP"/>
        </w:rPr>
        <w:t>,</w:t>
      </w:r>
      <w:r w:rsidR="00925CA2" w:rsidRPr="00A52AB8">
        <w:rPr>
          <w:lang w:eastAsia="ja-JP"/>
        </w:rPr>
        <w:t xml:space="preserve"> of size AtlasEpduPatchCount[ pIdx ], </w:t>
      </w:r>
      <w:r w:rsidR="00925CA2" w:rsidRPr="00A52AB8">
        <w:rPr>
          <w:color w:val="000000" w:themeColor="text1"/>
        </w:rPr>
        <w:t>is derived as follows:</w:t>
      </w:r>
    </w:p>
    <w:p w14:paraId="186F13C7" w14:textId="53790246" w:rsidR="00925CA2" w:rsidRPr="00A52AB8" w:rsidRDefault="00925CA2" w:rsidP="004A6049">
      <w:pPr>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 w:val="left" w:pos="360"/>
          <w:tab w:val="left" w:pos="720"/>
        </w:tabs>
        <w:ind w:left="360"/>
        <w:jc w:val="left"/>
        <w:rPr>
          <w:lang w:eastAsia="ja-JP"/>
        </w:rPr>
      </w:pPr>
      <w:r w:rsidRPr="00A52AB8">
        <w:rPr>
          <w:lang w:eastAsia="ja-JP"/>
        </w:rPr>
        <w:t>eomPointOffset[ 0 ]</w:t>
      </w:r>
      <w:r w:rsidR="00D47707" w:rsidRPr="00A52AB8">
        <w:rPr>
          <w:lang w:eastAsia="ja-JP"/>
        </w:rPr>
        <w:t> = </w:t>
      </w:r>
      <w:r w:rsidRPr="00A52AB8">
        <w:rPr>
          <w:lang w:eastAsia="ja-JP"/>
        </w:rPr>
        <w:t>0</w:t>
      </w:r>
      <w:r w:rsidR="009327B5" w:rsidRPr="00A52AB8">
        <w:rPr>
          <w:lang w:eastAsia="ja-JP"/>
        </w:rPr>
        <w:br/>
        <w:t>patchCnt</w:t>
      </w:r>
      <w:r w:rsidR="00D47707" w:rsidRPr="00A52AB8">
        <w:rPr>
          <w:lang w:eastAsia="ja-JP"/>
        </w:rPr>
        <w:t> = </w:t>
      </w:r>
      <w:r w:rsidR="009327B5" w:rsidRPr="00A52AB8">
        <w:rPr>
          <w:lang w:eastAsia="ja-JP"/>
        </w:rPr>
        <w:t>AtlasEpduPatchCount[ pIdx ]</w:t>
      </w:r>
      <w:r w:rsidR="004423DE" w:rsidRPr="00A52AB8">
        <w:rPr>
          <w:lang w:eastAsia="ja-JP"/>
        </w:rPr>
        <w:br/>
      </w:r>
      <w:r w:rsidRPr="00A52AB8">
        <w:rPr>
          <w:lang w:eastAsia="ja-JP"/>
        </w:rPr>
        <w:t>for( i</w:t>
      </w:r>
      <w:r w:rsidR="00D47707" w:rsidRPr="00A52AB8">
        <w:rPr>
          <w:lang w:eastAsia="ja-JP"/>
        </w:rPr>
        <w:t> = </w:t>
      </w:r>
      <w:r w:rsidRPr="00A52AB8">
        <w:rPr>
          <w:lang w:eastAsia="ja-JP"/>
        </w:rPr>
        <w:t>1; i &lt; </w:t>
      </w:r>
      <w:r w:rsidR="009327B5" w:rsidRPr="00A52AB8">
        <w:rPr>
          <w:lang w:eastAsia="ja-JP"/>
        </w:rPr>
        <w:t>patchCnt</w:t>
      </w:r>
      <w:r w:rsidRPr="00A52AB8">
        <w:rPr>
          <w:lang w:eastAsia="ja-JP"/>
        </w:rPr>
        <w:t>; i</w:t>
      </w:r>
      <w:r w:rsidR="00006CCF" w:rsidRPr="00A52AB8">
        <w:rPr>
          <w:lang w:eastAsia="ja-JP"/>
        </w:rPr>
        <w:t>++ )</w:t>
      </w:r>
      <w:r w:rsidR="004423DE" w:rsidRPr="00A52AB8">
        <w:rPr>
          <w:lang w:eastAsia="ja-JP"/>
        </w:rPr>
        <w:br/>
      </w:r>
      <w:r w:rsidR="004423DE" w:rsidRPr="00A52AB8">
        <w:rPr>
          <w:lang w:eastAsia="ja-JP"/>
        </w:rPr>
        <w:tab/>
      </w:r>
      <w:r w:rsidRPr="00A52AB8">
        <w:rPr>
          <w:lang w:eastAsia="ja-JP"/>
        </w:rPr>
        <w:t>eomPointOffset[ i ]</w:t>
      </w:r>
      <w:r w:rsidR="00D47707" w:rsidRPr="00A52AB8">
        <w:rPr>
          <w:lang w:eastAsia="ja-JP"/>
        </w:rPr>
        <w:t> = </w:t>
      </w:r>
      <w:r w:rsidRPr="00A52AB8">
        <w:rPr>
          <w:lang w:eastAsia="ja-JP"/>
        </w:rPr>
        <w:t>eomPointOffset[ i </w:t>
      </w:r>
      <w:r w:rsidR="004B6B7B" w:rsidRPr="00A52AB8">
        <w:t>–</w:t>
      </w:r>
      <w:r w:rsidR="004423DE" w:rsidRPr="00A52AB8">
        <w:t> </w:t>
      </w:r>
      <w:r w:rsidRPr="00A52AB8">
        <w:rPr>
          <w:color w:val="000000" w:themeColor="text1"/>
        </w:rPr>
        <w:t>1 </w:t>
      </w:r>
      <w:r w:rsidRPr="00A52AB8">
        <w:rPr>
          <w:lang w:eastAsia="ja-JP"/>
        </w:rPr>
        <w:t>] + AtlasEpduPoints[ pIdx ][ i </w:t>
      </w:r>
      <w:r w:rsidR="004423DE" w:rsidRPr="00A52AB8">
        <w:t>– </w:t>
      </w:r>
      <w:r w:rsidRPr="00A52AB8">
        <w:rPr>
          <w:color w:val="000000" w:themeColor="text1"/>
        </w:rPr>
        <w:t>1</w:t>
      </w:r>
      <w:r w:rsidR="004423DE" w:rsidRPr="00A52AB8">
        <w:rPr>
          <w:color w:val="000000" w:themeColor="text1"/>
        </w:rPr>
        <w:t> </w:t>
      </w:r>
      <w:r w:rsidRPr="00A52AB8">
        <w:rPr>
          <w:lang w:eastAsia="ja-JP"/>
        </w:rPr>
        <w:t>]</w:t>
      </w:r>
    </w:p>
    <w:p w14:paraId="0A6BFA4C" w14:textId="0B3B7C55" w:rsidR="0086026B" w:rsidRPr="00A52AB8" w:rsidRDefault="00EE1E27" w:rsidP="00007BE2">
      <w:pPr>
        <w:jc w:val="left"/>
        <w:rPr>
          <w:color w:val="000000" w:themeColor="text1"/>
        </w:rPr>
      </w:pPr>
      <w:r w:rsidRPr="00A52AB8">
        <w:rPr>
          <w:color w:val="000000" w:themeColor="text1"/>
        </w:rPr>
        <w:t>When ai_attribute_count[ RecAtlasID ] is greater than 0, i</w:t>
      </w:r>
      <w:r w:rsidR="009327B5" w:rsidRPr="00A52AB8">
        <w:rPr>
          <w:color w:val="000000" w:themeColor="text1"/>
        </w:rPr>
        <w:t>t is a requirement of bitstream conformance that</w:t>
      </w:r>
      <w:r w:rsidR="0086026B" w:rsidRPr="00A52AB8">
        <w:rPr>
          <w:color w:val="000000" w:themeColor="text1"/>
        </w:rPr>
        <w:t xml:space="preserve"> the following applies:</w:t>
      </w:r>
    </w:p>
    <w:p w14:paraId="785674C8" w14:textId="67042277" w:rsidR="009327B5" w:rsidRPr="00A52AB8" w:rsidRDefault="0086026B" w:rsidP="004A6049">
      <w:pPr>
        <w:spacing w:before="240"/>
        <w:jc w:val="left"/>
        <w:rPr>
          <w:color w:val="000000" w:themeColor="text1"/>
        </w:rPr>
      </w:pPr>
      <w:r w:rsidRPr="00A52AB8">
        <w:rPr>
          <w:color w:val="000000" w:themeColor="text1"/>
        </w:rPr>
        <w:tab/>
      </w:r>
      <w:r w:rsidR="009327B5" w:rsidRPr="00A52AB8">
        <w:rPr>
          <w:lang w:eastAsia="ja-JP"/>
        </w:rPr>
        <w:t>eomPointOffset[ </w:t>
      </w:r>
      <w:r w:rsidR="003C266E" w:rsidRPr="00A52AB8">
        <w:rPr>
          <w:lang w:eastAsia="ja-JP"/>
        </w:rPr>
        <w:t>patchCnt</w:t>
      </w:r>
      <w:r w:rsidR="009327B5" w:rsidRPr="00A52AB8">
        <w:rPr>
          <w:lang w:eastAsia="ja-JP"/>
        </w:rPr>
        <w:t> </w:t>
      </w:r>
      <w:r w:rsidR="004B6B7B" w:rsidRPr="00A52AB8">
        <w:t>–</w:t>
      </w:r>
      <w:r w:rsidR="009327B5" w:rsidRPr="00A52AB8">
        <w:t> </w:t>
      </w:r>
      <w:r w:rsidR="009327B5" w:rsidRPr="00A52AB8">
        <w:rPr>
          <w:color w:val="000000" w:themeColor="text1"/>
        </w:rPr>
        <w:t>1 </w:t>
      </w:r>
      <w:r w:rsidR="009327B5" w:rsidRPr="00A52AB8">
        <w:rPr>
          <w:lang w:eastAsia="ja-JP"/>
        </w:rPr>
        <w:t>] + AtlasEpduPoints[ pIdx ][ </w:t>
      </w:r>
      <w:r w:rsidR="003C266E" w:rsidRPr="00A52AB8">
        <w:rPr>
          <w:lang w:eastAsia="ja-JP"/>
        </w:rPr>
        <w:t>patchCnt</w:t>
      </w:r>
      <w:r w:rsidR="009327B5" w:rsidRPr="00A52AB8">
        <w:rPr>
          <w:lang w:eastAsia="ja-JP"/>
        </w:rPr>
        <w:t> </w:t>
      </w:r>
      <w:r w:rsidR="009327B5" w:rsidRPr="00A52AB8">
        <w:t>– </w:t>
      </w:r>
      <w:r w:rsidR="009327B5" w:rsidRPr="00A52AB8">
        <w:rPr>
          <w:color w:val="000000" w:themeColor="text1"/>
        </w:rPr>
        <w:t>1 </w:t>
      </w:r>
      <w:r w:rsidR="009327B5" w:rsidRPr="00A52AB8">
        <w:rPr>
          <w:lang w:eastAsia="ja-JP"/>
        </w:rPr>
        <w:t>]</w:t>
      </w:r>
      <w:r w:rsidR="003C266E" w:rsidRPr="00A52AB8">
        <w:rPr>
          <w:lang w:eastAsia="ja-JP"/>
        </w:rPr>
        <w:t> &lt;=</w:t>
      </w:r>
      <w:r w:rsidR="007E1398" w:rsidRPr="00A52AB8">
        <w:rPr>
          <w:lang w:eastAsia="ja-JP"/>
        </w:rPr>
        <w:tab/>
        <w:t>(H</w:t>
      </w:r>
      <w:r w:rsidR="007E1398" w:rsidRPr="00A52AB8">
        <w:rPr>
          <w:lang w:eastAsia="ja-JP"/>
        </w:rPr>
        <w:noBreakHyphen/>
      </w:r>
      <w:r w:rsidR="007E1398" w:rsidRPr="00496A4D">
        <w:rPr>
          <w:lang w:eastAsia="ja-JP"/>
        </w:rPr>
        <w:fldChar w:fldCharType="begin"/>
      </w:r>
      <w:r w:rsidR="007E1398" w:rsidRPr="00A52AB8">
        <w:rPr>
          <w:lang w:eastAsia="ja-JP"/>
        </w:rPr>
        <w:instrText xml:space="preserve"> SEQ Equation \* ARABIC \s 1 </w:instrText>
      </w:r>
      <w:r w:rsidR="007E1398" w:rsidRPr="00496A4D">
        <w:rPr>
          <w:lang w:eastAsia="ja-JP"/>
        </w:rPr>
        <w:fldChar w:fldCharType="separate"/>
      </w:r>
      <w:r w:rsidR="00507A67">
        <w:rPr>
          <w:noProof/>
          <w:lang w:eastAsia="ja-JP"/>
        </w:rPr>
        <w:t>43</w:t>
      </w:r>
      <w:r w:rsidR="007E1398" w:rsidRPr="00496A4D">
        <w:rPr>
          <w:lang w:eastAsia="ja-JP"/>
        </w:rPr>
        <w:fldChar w:fldCharType="end"/>
      </w:r>
      <w:r w:rsidR="007E1398" w:rsidRPr="00A52AB8">
        <w:rPr>
          <w:lang w:eastAsia="ja-JP"/>
        </w:rPr>
        <w:t>)</w:t>
      </w:r>
      <w:r w:rsidR="003C266E" w:rsidRPr="00A52AB8">
        <w:rPr>
          <w:lang w:eastAsia="ja-JP"/>
        </w:rPr>
        <w:br/>
      </w:r>
      <w:r w:rsidR="003C266E" w:rsidRPr="00A52AB8">
        <w:rPr>
          <w:lang w:eastAsia="ja-JP"/>
        </w:rPr>
        <w:tab/>
      </w:r>
      <w:r w:rsidR="003C266E" w:rsidRPr="00A52AB8">
        <w:rPr>
          <w:lang w:eastAsia="ja-JP"/>
        </w:rPr>
        <w:tab/>
      </w:r>
      <w:r w:rsidR="003C266E" w:rsidRPr="00A52AB8">
        <w:rPr>
          <w:lang w:eastAsia="ja-JP"/>
        </w:rPr>
        <w:tab/>
      </w:r>
      <w:r w:rsidR="003C266E" w:rsidRPr="00A52AB8">
        <w:t>Atlas</w:t>
      </w:r>
      <w:r w:rsidR="003C266E" w:rsidRPr="00A52AB8">
        <w:rPr>
          <w:color w:val="000000" w:themeColor="text1"/>
        </w:rPr>
        <w:t>Patch2dSizeX</w:t>
      </w:r>
      <w:r w:rsidR="003C266E" w:rsidRPr="00A52AB8">
        <w:rPr>
          <w:lang w:eastAsia="ja-JP"/>
        </w:rPr>
        <w:t>[ pIdx</w:t>
      </w:r>
      <w:r w:rsidR="00597FB7" w:rsidRPr="00A52AB8">
        <w:rPr>
          <w:lang w:eastAsia="ja-JP"/>
        </w:rPr>
        <w:t> </w:t>
      </w:r>
      <w:r w:rsidR="003C266E" w:rsidRPr="00A52AB8">
        <w:rPr>
          <w:lang w:eastAsia="ja-JP"/>
        </w:rPr>
        <w:t>] * </w:t>
      </w:r>
      <w:r w:rsidR="003C266E" w:rsidRPr="00A52AB8">
        <w:t>Atlas</w:t>
      </w:r>
      <w:r w:rsidR="003C266E" w:rsidRPr="00A52AB8">
        <w:rPr>
          <w:color w:val="000000" w:themeColor="text1"/>
        </w:rPr>
        <w:t>Patch2dSizeY</w:t>
      </w:r>
      <w:r w:rsidR="003C266E" w:rsidRPr="00A52AB8">
        <w:rPr>
          <w:lang w:eastAsia="ja-JP"/>
        </w:rPr>
        <w:t>[ pIdx</w:t>
      </w:r>
      <w:r w:rsidR="00597FB7" w:rsidRPr="00A52AB8">
        <w:rPr>
          <w:lang w:eastAsia="ja-JP"/>
        </w:rPr>
        <w:t> </w:t>
      </w:r>
      <w:r w:rsidR="003C266E" w:rsidRPr="00A52AB8">
        <w:rPr>
          <w:lang w:eastAsia="ja-JP"/>
        </w:rPr>
        <w:t>]</w:t>
      </w:r>
    </w:p>
    <w:p w14:paraId="735710D9" w14:textId="20D86B8D" w:rsidR="00EE1E27" w:rsidRPr="00A52AB8" w:rsidRDefault="00EE1E27" w:rsidP="00007BE2">
      <w:pPr>
        <w:rPr>
          <w:color w:val="000000" w:themeColor="text1"/>
        </w:rPr>
      </w:pPr>
      <w:r w:rsidRPr="00A52AB8">
        <w:rPr>
          <w:color w:val="000000" w:themeColor="text1"/>
        </w:rPr>
        <w:t xml:space="preserve">When ai_attribute_count[ RecAtlasID ] is equal to 0, a decoder can ignore the information in </w:t>
      </w:r>
      <w:r w:rsidR="00597FB7" w:rsidRPr="00A52AB8">
        <w:rPr>
          <w:color w:val="000000" w:themeColor="text1"/>
        </w:rPr>
        <w:t xml:space="preserve">the array </w:t>
      </w:r>
      <w:r w:rsidRPr="00A52AB8">
        <w:rPr>
          <w:lang w:eastAsia="ja-JP"/>
        </w:rPr>
        <w:t>eomPointOffset</w:t>
      </w:r>
      <w:r w:rsidR="004B6B7B" w:rsidRPr="00A52AB8">
        <w:rPr>
          <w:lang w:eastAsia="ja-JP"/>
        </w:rPr>
        <w:t>,</w:t>
      </w:r>
      <w:r w:rsidRPr="00A52AB8">
        <w:rPr>
          <w:color w:val="000000" w:themeColor="text1"/>
        </w:rPr>
        <w:t xml:space="preserve"> and only needs to consider information in </w:t>
      </w:r>
      <w:r w:rsidR="00597FB7" w:rsidRPr="00A52AB8">
        <w:rPr>
          <w:color w:val="000000" w:themeColor="text1"/>
        </w:rPr>
        <w:t xml:space="preserve">arrays </w:t>
      </w:r>
      <w:r w:rsidRPr="00A52AB8">
        <w:rPr>
          <w:color w:val="000000" w:themeColor="text1"/>
        </w:rPr>
        <w:t>Atlas</w:t>
      </w:r>
      <w:r w:rsidRPr="00A52AB8">
        <w:rPr>
          <w:lang w:eastAsia="ja-JP"/>
        </w:rPr>
        <w:t xml:space="preserve">EpduPatchCount and </w:t>
      </w:r>
      <w:r w:rsidRPr="00A52AB8">
        <w:t>AtlasEpduAssociatedPatchIndex to determine the PROJECTED patches that contain geometry information corresponding to the current EOM patch.</w:t>
      </w:r>
    </w:p>
    <w:p w14:paraId="27CB2567" w14:textId="26282383" w:rsidR="00925CA2" w:rsidRPr="00A52AB8" w:rsidRDefault="004423DE" w:rsidP="00007BE2">
      <w:pPr>
        <w:rPr>
          <w:color w:val="000000" w:themeColor="text1"/>
        </w:rPr>
      </w:pPr>
      <w:r w:rsidRPr="00A52AB8">
        <w:rPr>
          <w:color w:val="000000" w:themeColor="text1"/>
        </w:rPr>
        <w:t xml:space="preserve">A </w:t>
      </w:r>
      <w:r w:rsidR="00925CA2" w:rsidRPr="00A52AB8">
        <w:rPr>
          <w:color w:val="000000" w:themeColor="text1"/>
        </w:rPr>
        <w:t>variable eomPointCnt</w:t>
      </w:r>
      <w:r w:rsidR="00597FB7" w:rsidRPr="00A52AB8">
        <w:rPr>
          <w:color w:val="000000" w:themeColor="text1"/>
        </w:rPr>
        <w:t>, which</w:t>
      </w:r>
      <w:r w:rsidR="00925CA2" w:rsidRPr="00A52AB8">
        <w:rPr>
          <w:color w:val="000000" w:themeColor="text1"/>
        </w:rPr>
        <w:t xml:space="preserve"> indicates the current number of processed EOM points in the current EOM patch</w:t>
      </w:r>
      <w:r w:rsidR="00597FB7" w:rsidRPr="00A52AB8">
        <w:rPr>
          <w:color w:val="000000" w:themeColor="text1"/>
        </w:rPr>
        <w:t>, is initialized to 0. Then, the following applies:</w:t>
      </w:r>
    </w:p>
    <w:p w14:paraId="781EA903" w14:textId="0A86584A" w:rsidR="009943A3" w:rsidRPr="00A52AB8" w:rsidRDefault="00925CA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For i</w:t>
      </w:r>
      <w:r w:rsidR="00D47707" w:rsidRPr="00A52AB8">
        <w:rPr>
          <w:color w:val="000000" w:themeColor="text1"/>
        </w:rPr>
        <w:t> = </w:t>
      </w:r>
      <w:r w:rsidRPr="00A52AB8">
        <w:rPr>
          <w:color w:val="000000" w:themeColor="text1"/>
        </w:rPr>
        <w:t>0..AtlasEpduPatchCount[ pIdx ] − 1</w:t>
      </w:r>
      <w:r w:rsidR="007B6EF9" w:rsidRPr="00A52AB8">
        <w:rPr>
          <w:color w:val="000000" w:themeColor="text1"/>
        </w:rPr>
        <w:t>, the following applies:</w:t>
      </w:r>
    </w:p>
    <w:p w14:paraId="762F9AA6" w14:textId="3FF524FF" w:rsidR="004423DE" w:rsidRPr="00A52AB8" w:rsidRDefault="009943A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 xml:space="preserve">A variable </w:t>
      </w:r>
      <w:r w:rsidR="008E715F" w:rsidRPr="00A52AB8">
        <w:rPr>
          <w:color w:val="000000" w:themeColor="text1"/>
        </w:rPr>
        <w:t>p</w:t>
      </w:r>
      <w:r w:rsidR="004423DE" w:rsidRPr="00A52AB8">
        <w:rPr>
          <w:color w:val="000000" w:themeColor="text1"/>
        </w:rPr>
        <w:t>Proj</w:t>
      </w:r>
      <w:r w:rsidR="006D3978" w:rsidRPr="00A52AB8">
        <w:rPr>
          <w:color w:val="000000" w:themeColor="text1"/>
        </w:rPr>
        <w:t>Idx</w:t>
      </w:r>
      <w:r w:rsidR="008E715F" w:rsidRPr="00A52AB8">
        <w:rPr>
          <w:color w:val="000000" w:themeColor="text1"/>
        </w:rPr>
        <w:t xml:space="preserve"> is set equal to AtlasEpduAssociatedPatchIndex[ pIdx ][ i ]</w:t>
      </w:r>
    </w:p>
    <w:p w14:paraId="60E340C9" w14:textId="2B87A35E" w:rsidR="008E715F" w:rsidRPr="00A52AB8" w:rsidRDefault="008E715F"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For </w:t>
      </w:r>
      <w:r w:rsidR="00B81656" w:rsidRPr="00A52AB8">
        <w:rPr>
          <w:color w:val="000000" w:themeColor="text1"/>
        </w:rPr>
        <w:t>s</w:t>
      </w:r>
      <w:r w:rsidR="00D47707" w:rsidRPr="00A52AB8">
        <w:rPr>
          <w:color w:val="000000" w:themeColor="text1"/>
        </w:rPr>
        <w:t> = </w:t>
      </w:r>
      <w:r w:rsidRPr="00A52AB8">
        <w:rPr>
          <w:color w:val="000000" w:themeColor="text1"/>
        </w:rPr>
        <w:t>0..</w:t>
      </w:r>
      <w:r w:rsidR="004423DE" w:rsidRPr="00A52AB8">
        <w:rPr>
          <w:color w:val="000000" w:themeColor="text1"/>
        </w:rPr>
        <w:t>AtlasPatch2dSizeX[ </w:t>
      </w:r>
      <w:r w:rsidR="006D3978" w:rsidRPr="00A52AB8">
        <w:rPr>
          <w:color w:val="000000" w:themeColor="text1"/>
        </w:rPr>
        <w:t>pProjIdx</w:t>
      </w:r>
      <w:r w:rsidR="004423DE" w:rsidRPr="00A52AB8">
        <w:rPr>
          <w:color w:val="000000" w:themeColor="text1"/>
        </w:rPr>
        <w:t> ]</w:t>
      </w:r>
      <w:r w:rsidR="005265B3" w:rsidRPr="00A52AB8">
        <w:rPr>
          <w:color w:val="000000" w:themeColor="text1"/>
        </w:rPr>
        <w:t> </w:t>
      </w:r>
      <w:r w:rsidRPr="00A52AB8">
        <w:rPr>
          <w:color w:val="000000" w:themeColor="text1"/>
        </w:rPr>
        <w:t xml:space="preserve">− 1, and </w:t>
      </w:r>
      <w:r w:rsidR="00B81656" w:rsidRPr="00A52AB8">
        <w:rPr>
          <w:color w:val="000000" w:themeColor="text1"/>
        </w:rPr>
        <w:t>t</w:t>
      </w:r>
      <w:r w:rsidR="00D47707" w:rsidRPr="00A52AB8">
        <w:rPr>
          <w:color w:val="000000" w:themeColor="text1"/>
        </w:rPr>
        <w:t> = </w:t>
      </w:r>
      <w:r w:rsidRPr="00A52AB8">
        <w:rPr>
          <w:color w:val="000000" w:themeColor="text1"/>
        </w:rPr>
        <w:t>0..</w:t>
      </w:r>
      <w:r w:rsidR="004423DE" w:rsidRPr="00A52AB8">
        <w:rPr>
          <w:color w:val="000000" w:themeColor="text1"/>
        </w:rPr>
        <w:t>AtlasPatch2dSizeY[ </w:t>
      </w:r>
      <w:r w:rsidR="006D3978" w:rsidRPr="00A52AB8">
        <w:rPr>
          <w:color w:val="000000" w:themeColor="text1"/>
        </w:rPr>
        <w:t>pProjIdx</w:t>
      </w:r>
      <w:r w:rsidR="004423DE" w:rsidRPr="00A52AB8">
        <w:rPr>
          <w:color w:val="000000" w:themeColor="text1"/>
        </w:rPr>
        <w:t> ] </w:t>
      </w:r>
      <w:r w:rsidRPr="00A52AB8">
        <w:rPr>
          <w:color w:val="000000" w:themeColor="text1"/>
        </w:rPr>
        <w:t>– 1, the following applies:</w:t>
      </w:r>
    </w:p>
    <w:p w14:paraId="37DED522" w14:textId="77777777" w:rsidR="00B81656" w:rsidRPr="00A52AB8" w:rsidRDefault="00B8165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1" w:hanging="403"/>
        <w:textAlignment w:val="baseline"/>
        <w:rPr>
          <w:color w:val="000000" w:themeColor="text1"/>
        </w:rPr>
      </w:pPr>
      <w:r w:rsidRPr="00A52AB8">
        <w:rPr>
          <w:color w:val="000000" w:themeColor="text1"/>
        </w:rPr>
        <w:t>The atlas coordinates x and y are calculated as follows:</w:t>
      </w:r>
    </w:p>
    <w:p w14:paraId="7AA35703" w14:textId="2535D979" w:rsidR="00B81656" w:rsidRPr="00A52AB8" w:rsidRDefault="00B81656" w:rsidP="00007BE2">
      <w:pPr>
        <w:pStyle w:val="ListParagraph"/>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 w:val="left" w:pos="360"/>
          <w:tab w:val="left" w:pos="720"/>
          <w:tab w:val="left" w:pos="1080"/>
        </w:tabs>
        <w:ind w:leftChars="0" w:left="1208"/>
        <w:rPr>
          <w:color w:val="000000" w:themeColor="text1"/>
        </w:rPr>
      </w:pPr>
      <w:r w:rsidRPr="00A52AB8">
        <w:rPr>
          <w:lang w:eastAsia="ja-JP"/>
        </w:rPr>
        <w:t>x</w:t>
      </w:r>
      <w:r w:rsidR="00D47707" w:rsidRPr="00A52AB8">
        <w:rPr>
          <w:lang w:eastAsia="ja-JP"/>
        </w:rPr>
        <w:t> = </w:t>
      </w:r>
      <w:r w:rsidRPr="00A52AB8">
        <w:rPr>
          <w:color w:val="000000" w:themeColor="text1"/>
        </w:rPr>
        <w:t>s + </w:t>
      </w:r>
      <w:r w:rsidRPr="00A52AB8">
        <w:t>Atlas</w:t>
      </w:r>
      <w:r w:rsidRPr="00A52AB8">
        <w:rPr>
          <w:color w:val="000000" w:themeColor="text1"/>
        </w:rPr>
        <w:t>Patch2dPosX</w:t>
      </w:r>
      <w:r w:rsidRPr="00A52AB8">
        <w:rPr>
          <w:lang w:eastAsia="ja-JP"/>
        </w:rPr>
        <w:t>[ </w:t>
      </w:r>
      <w:r w:rsidR="006D3978" w:rsidRPr="00A52AB8">
        <w:rPr>
          <w:lang w:eastAsia="ja-JP"/>
        </w:rPr>
        <w:t>pProjIdx</w:t>
      </w:r>
      <w:r w:rsidRPr="00A52AB8">
        <w:rPr>
          <w:lang w:eastAsia="ja-JP"/>
        </w:rPr>
        <w:t> ]</w:t>
      </w:r>
      <w:r w:rsidRPr="00A52AB8">
        <w:rPr>
          <w:color w:val="000000" w:themeColor="text1"/>
        </w:rPr>
        <w:br/>
      </w:r>
      <w:r w:rsidRPr="00A52AB8">
        <w:rPr>
          <w:lang w:eastAsia="ja-JP"/>
        </w:rPr>
        <w:t>y</w:t>
      </w:r>
      <w:r w:rsidR="00D47707" w:rsidRPr="00A52AB8">
        <w:rPr>
          <w:lang w:eastAsia="ja-JP"/>
        </w:rPr>
        <w:t> = </w:t>
      </w:r>
      <w:r w:rsidR="00D87944" w:rsidRPr="00A52AB8">
        <w:rPr>
          <w:color w:val="000000" w:themeColor="text1"/>
        </w:rPr>
        <w:t>t</w:t>
      </w:r>
      <w:r w:rsidRPr="00A52AB8">
        <w:rPr>
          <w:color w:val="000000" w:themeColor="text1"/>
        </w:rPr>
        <w:t> + </w:t>
      </w:r>
      <w:r w:rsidRPr="00A52AB8">
        <w:t>Atlas</w:t>
      </w:r>
      <w:r w:rsidRPr="00A52AB8">
        <w:rPr>
          <w:color w:val="000000" w:themeColor="text1"/>
        </w:rPr>
        <w:t>Patch2dPosY</w:t>
      </w:r>
      <w:r w:rsidRPr="00A52AB8">
        <w:rPr>
          <w:lang w:eastAsia="ja-JP"/>
        </w:rPr>
        <w:t>[ </w:t>
      </w:r>
      <w:r w:rsidR="006D3978" w:rsidRPr="00A52AB8">
        <w:rPr>
          <w:lang w:eastAsia="ja-JP"/>
        </w:rPr>
        <w:t>pProjIdx</w:t>
      </w:r>
      <w:r w:rsidRPr="00A52AB8">
        <w:rPr>
          <w:lang w:eastAsia="ja-JP"/>
        </w:rPr>
        <w:t> ]</w:t>
      </w:r>
    </w:p>
    <w:p w14:paraId="36849C11" w14:textId="77777777" w:rsidR="00184363" w:rsidRPr="00A52AB8" w:rsidRDefault="0018436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1" w:hanging="403"/>
        <w:textAlignment w:val="baseline"/>
        <w:rPr>
          <w:color w:val="000000" w:themeColor="text1"/>
        </w:rPr>
      </w:pPr>
      <w:r w:rsidRPr="00A52AB8">
        <w:rPr>
          <w:color w:val="000000" w:themeColor="text1"/>
        </w:rPr>
        <w:t>The variables subBlkX and subBlkY are calculated as follows:</w:t>
      </w:r>
    </w:p>
    <w:p w14:paraId="7B0963E7" w14:textId="51BBB7BB" w:rsidR="0050235C" w:rsidRPr="00A52AB8" w:rsidRDefault="00D87944" w:rsidP="00007BE2">
      <w:pPr>
        <w:pStyle w:val="ListParagraph"/>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 w:val="left" w:pos="360"/>
          <w:tab w:val="left" w:pos="720"/>
          <w:tab w:val="left" w:pos="1080"/>
        </w:tabs>
        <w:ind w:leftChars="0" w:left="1208"/>
        <w:rPr>
          <w:color w:val="000000" w:themeColor="text1"/>
        </w:rPr>
      </w:pPr>
      <w:r w:rsidRPr="00A52AB8">
        <w:rPr>
          <w:lang w:eastAsia="ja-JP"/>
        </w:rPr>
        <w:t>subBlkX</w:t>
      </w:r>
      <w:r w:rsidR="00D47707" w:rsidRPr="00A52AB8">
        <w:rPr>
          <w:lang w:eastAsia="ja-JP"/>
        </w:rPr>
        <w:t> = </w:t>
      </w:r>
      <w:r w:rsidRPr="00A52AB8">
        <w:rPr>
          <w:color w:val="000000" w:themeColor="text1"/>
        </w:rPr>
        <w:t>x / PatchPackingBlockSize</w:t>
      </w:r>
      <w:r w:rsidRPr="00A52AB8">
        <w:rPr>
          <w:color w:val="000000" w:themeColor="text1"/>
        </w:rPr>
        <w:br/>
      </w:r>
      <w:r w:rsidR="00184363" w:rsidRPr="00A52AB8">
        <w:rPr>
          <w:lang w:eastAsia="ja-JP"/>
        </w:rPr>
        <w:t>subBlkY</w:t>
      </w:r>
      <w:r w:rsidR="00D47707" w:rsidRPr="00A52AB8">
        <w:rPr>
          <w:lang w:eastAsia="ja-JP"/>
        </w:rPr>
        <w:t> = </w:t>
      </w:r>
      <w:r w:rsidR="00184363" w:rsidRPr="00A52AB8">
        <w:rPr>
          <w:color w:val="000000" w:themeColor="text1"/>
        </w:rPr>
        <w:t>y / Pa</w:t>
      </w:r>
      <w:r w:rsidRPr="00A52AB8">
        <w:rPr>
          <w:color w:val="000000" w:themeColor="text1"/>
        </w:rPr>
        <w:t>tchPackingBlockSize</w:t>
      </w:r>
    </w:p>
    <w:p w14:paraId="535306C5" w14:textId="050A6676" w:rsidR="00925CA2" w:rsidRPr="00A52AB8" w:rsidRDefault="00925CA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1" w:hanging="403"/>
        <w:textAlignment w:val="baseline"/>
        <w:rPr>
          <w:color w:val="000000" w:themeColor="text1"/>
        </w:rPr>
      </w:pPr>
      <w:r w:rsidRPr="00A52AB8">
        <w:rPr>
          <w:color w:val="000000" w:themeColor="text1"/>
        </w:rPr>
        <w:t>If oFrame</w:t>
      </w:r>
      <w:r w:rsidR="004B7314" w:rsidRPr="00A52AB8">
        <w:rPr>
          <w:color w:val="000000" w:themeColor="text1"/>
        </w:rPr>
        <w:t>[ y ][ x ]</w:t>
      </w:r>
      <w:r w:rsidRPr="00A52AB8">
        <w:rPr>
          <w:color w:val="000000" w:themeColor="text1"/>
        </w:rPr>
        <w:t xml:space="preserve"> is not equal to 0</w:t>
      </w:r>
      <w:r w:rsidR="004616DE" w:rsidRPr="00A52AB8">
        <w:rPr>
          <w:color w:val="000000" w:themeColor="text1"/>
        </w:rPr>
        <w:t xml:space="preserve"> and AtlasBlockToPatchMap[ subBlkY ][ subBlkX ] is equal to </w:t>
      </w:r>
      <w:r w:rsidR="006D3978" w:rsidRPr="00A52AB8">
        <w:rPr>
          <w:color w:val="000000" w:themeColor="text1"/>
        </w:rPr>
        <w:t>pProjIdx</w:t>
      </w:r>
      <w:r w:rsidRPr="00A52AB8">
        <w:rPr>
          <w:color w:val="000000" w:themeColor="text1"/>
        </w:rPr>
        <w:t>, the following appl</w:t>
      </w:r>
      <w:r w:rsidR="00073D45" w:rsidRPr="00A52AB8">
        <w:rPr>
          <w:color w:val="000000" w:themeColor="text1"/>
        </w:rPr>
        <w:t>ies</w:t>
      </w:r>
      <w:r w:rsidRPr="00A52AB8">
        <w:rPr>
          <w:color w:val="000000" w:themeColor="text1"/>
        </w:rPr>
        <w:t>:</w:t>
      </w:r>
    </w:p>
    <w:p w14:paraId="33378FE1" w14:textId="09158B81" w:rsidR="00925CA2" w:rsidRPr="00A52AB8" w:rsidRDefault="00925CA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2013" w:hanging="403"/>
        <w:textAlignment w:val="baseline"/>
        <w:rPr>
          <w:color w:val="000000" w:themeColor="text1"/>
        </w:rPr>
      </w:pPr>
      <w:r w:rsidRPr="00A52AB8">
        <w:rPr>
          <w:color w:val="000000" w:themeColor="text1"/>
        </w:rPr>
        <w:t xml:space="preserve">A variable </w:t>
      </w:r>
      <w:r w:rsidR="006D3978" w:rsidRPr="00A52AB8">
        <w:rPr>
          <w:color w:val="000000" w:themeColor="text1"/>
        </w:rPr>
        <w:t xml:space="preserve">d0 </w:t>
      </w:r>
      <w:r w:rsidRPr="00A52AB8">
        <w:rPr>
          <w:color w:val="000000" w:themeColor="text1"/>
        </w:rPr>
        <w:t>is set equal to gFrame[ 0 ]</w:t>
      </w:r>
      <w:r w:rsidR="004B7314" w:rsidRPr="00A52AB8">
        <w:rPr>
          <w:color w:val="000000" w:themeColor="text1"/>
        </w:rPr>
        <w:t>[ y ][ x ]</w:t>
      </w:r>
      <w:r w:rsidRPr="00A52AB8">
        <w:rPr>
          <w:color w:val="000000" w:themeColor="text1"/>
        </w:rPr>
        <w:t>.</w:t>
      </w:r>
    </w:p>
    <w:p w14:paraId="75977C2F" w14:textId="1A958B17" w:rsidR="00925CA2" w:rsidRPr="00A52AB8" w:rsidRDefault="00925CA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2013" w:hanging="403"/>
        <w:textAlignment w:val="baseline"/>
        <w:rPr>
          <w:color w:val="000000" w:themeColor="text1"/>
        </w:rPr>
      </w:pPr>
      <w:r w:rsidRPr="00A52AB8">
        <w:rPr>
          <w:color w:val="000000" w:themeColor="text1"/>
        </w:rPr>
        <w:t xml:space="preserve">A variable </w:t>
      </w:r>
      <w:r w:rsidR="006D3978" w:rsidRPr="00A52AB8">
        <w:rPr>
          <w:color w:val="000000" w:themeColor="text1"/>
        </w:rPr>
        <w:t xml:space="preserve">d1 </w:t>
      </w:r>
      <w:r w:rsidRPr="00A52AB8">
        <w:rPr>
          <w:color w:val="000000" w:themeColor="text1"/>
        </w:rPr>
        <w:t>is derived as follows:</w:t>
      </w:r>
    </w:p>
    <w:p w14:paraId="4F8401EC" w14:textId="50D0B9B7" w:rsidR="00925CA2" w:rsidRPr="00A52AB8" w:rsidRDefault="00925CA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2013" w:hanging="403"/>
        <w:textAlignment w:val="baseline"/>
        <w:rPr>
          <w:color w:val="000000" w:themeColor="text1"/>
        </w:rPr>
      </w:pPr>
      <w:r w:rsidRPr="00A52AB8">
        <w:rPr>
          <w:color w:val="000000" w:themeColor="text1"/>
        </w:rPr>
        <w:t xml:space="preserve">If asps_map_count_minus1 is equal to 0, a variable </w:t>
      </w:r>
      <w:r w:rsidR="006D3978" w:rsidRPr="00A52AB8">
        <w:rPr>
          <w:color w:val="000000" w:themeColor="text1"/>
        </w:rPr>
        <w:t xml:space="preserve">d1 </w:t>
      </w:r>
      <w:r w:rsidRPr="00A52AB8">
        <w:rPr>
          <w:color w:val="000000" w:themeColor="text1"/>
        </w:rPr>
        <w:t xml:space="preserve">is set equal to </w:t>
      </w:r>
      <w:r w:rsidR="006D3978" w:rsidRPr="00A52AB8">
        <w:rPr>
          <w:color w:val="000000" w:themeColor="text1"/>
        </w:rPr>
        <w:t>d0 </w:t>
      </w:r>
      <w:r w:rsidRPr="00A52AB8">
        <w:rPr>
          <w:color w:val="000000" w:themeColor="text1"/>
        </w:rPr>
        <w:t>+ asps_eom_fix_bit_count_minus1 + 1.</w:t>
      </w:r>
    </w:p>
    <w:p w14:paraId="164A957A" w14:textId="72718283" w:rsidR="00925CA2" w:rsidRPr="00A52AB8" w:rsidRDefault="00925CA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2013" w:hanging="403"/>
        <w:textAlignment w:val="baseline"/>
        <w:rPr>
          <w:color w:val="000000" w:themeColor="text1"/>
        </w:rPr>
      </w:pPr>
      <w:r w:rsidRPr="00A52AB8">
        <w:rPr>
          <w:color w:val="000000" w:themeColor="text1"/>
        </w:rPr>
        <w:t xml:space="preserve">Otherwise ( asps_map_count_minus1 is greater than 0 ) </w:t>
      </w:r>
      <w:r w:rsidR="006D3978" w:rsidRPr="00A52AB8">
        <w:rPr>
          <w:color w:val="000000" w:themeColor="text1"/>
        </w:rPr>
        <w:t xml:space="preserve">d1 </w:t>
      </w:r>
      <w:r w:rsidRPr="00A52AB8">
        <w:rPr>
          <w:color w:val="000000" w:themeColor="text1"/>
        </w:rPr>
        <w:t>is set equal to gFrame[ 1 ]</w:t>
      </w:r>
      <w:r w:rsidR="004B7314" w:rsidRPr="00A52AB8">
        <w:rPr>
          <w:color w:val="000000" w:themeColor="text1"/>
        </w:rPr>
        <w:t>[ y ][ x ]</w:t>
      </w:r>
      <w:r w:rsidRPr="00A52AB8">
        <w:rPr>
          <w:color w:val="000000" w:themeColor="text1"/>
        </w:rPr>
        <w:t>.</w:t>
      </w:r>
    </w:p>
    <w:p w14:paraId="46551B86" w14:textId="6F8F9FE8" w:rsidR="00925CA2" w:rsidRPr="00A52AB8" w:rsidRDefault="00925CA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If ( </w:t>
      </w:r>
      <w:r w:rsidR="006D3978" w:rsidRPr="00A52AB8">
        <w:rPr>
          <w:color w:val="000000" w:themeColor="text1"/>
        </w:rPr>
        <w:t>d1 </w:t>
      </w:r>
      <w:r w:rsidRPr="00A52AB8">
        <w:rPr>
          <w:color w:val="000000" w:themeColor="text1"/>
        </w:rPr>
        <w:t>– </w:t>
      </w:r>
      <w:r w:rsidR="006D3978" w:rsidRPr="00A52AB8">
        <w:rPr>
          <w:color w:val="000000" w:themeColor="text1"/>
        </w:rPr>
        <w:t>d0 </w:t>
      </w:r>
      <w:r w:rsidRPr="00A52AB8">
        <w:rPr>
          <w:color w:val="000000" w:themeColor="text1"/>
        </w:rPr>
        <w:t>) is greater than 1, the following applies:</w:t>
      </w:r>
    </w:p>
    <w:p w14:paraId="0A71BCE8" w14:textId="13B24C40" w:rsidR="00B81656" w:rsidRPr="00A52AB8" w:rsidRDefault="00925CA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 xml:space="preserve">A variable eomCode is </w:t>
      </w:r>
      <w:r w:rsidR="00B81656" w:rsidRPr="00A52AB8">
        <w:rPr>
          <w:color w:val="000000" w:themeColor="text1"/>
        </w:rPr>
        <w:t>initialized</w:t>
      </w:r>
      <w:r w:rsidRPr="00A52AB8">
        <w:rPr>
          <w:color w:val="000000" w:themeColor="text1"/>
        </w:rPr>
        <w:t xml:space="preserve"> as follows:</w:t>
      </w:r>
    </w:p>
    <w:p w14:paraId="4868D823" w14:textId="5952A4CB" w:rsidR="00925CA2" w:rsidRPr="00A52AB8" w:rsidRDefault="00925CA2" w:rsidP="00007BE2">
      <w:pPr>
        <w:pStyle w:val="ListParagraph"/>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 w:val="left" w:pos="360"/>
          <w:tab w:val="left" w:pos="720"/>
        </w:tabs>
        <w:ind w:leftChars="0" w:left="805"/>
        <w:rPr>
          <w:lang w:eastAsia="ja-JP"/>
        </w:rPr>
      </w:pPr>
      <w:r w:rsidRPr="00A52AB8">
        <w:rPr>
          <w:lang w:eastAsia="ja-JP"/>
        </w:rPr>
        <w:t>eomCode</w:t>
      </w:r>
      <w:r w:rsidR="0023721F" w:rsidRPr="00A52AB8">
        <w:rPr>
          <w:lang w:eastAsia="ja-JP"/>
        </w:rPr>
        <w:t> </w:t>
      </w:r>
      <w:r w:rsidR="00D47707" w:rsidRPr="00A52AB8">
        <w:rPr>
          <w:lang w:eastAsia="ja-JP"/>
        </w:rPr>
        <w:t>= </w:t>
      </w:r>
      <w:r w:rsidRPr="00A52AB8">
        <w:rPr>
          <w:lang w:eastAsia="ja-JP"/>
        </w:rPr>
        <w:t>( 1</w:t>
      </w:r>
      <w:r w:rsidR="00C61E38" w:rsidRPr="00A52AB8">
        <w:rPr>
          <w:lang w:eastAsia="ja-JP"/>
        </w:rPr>
        <w:t> </w:t>
      </w:r>
      <w:r w:rsidRPr="00A52AB8">
        <w:rPr>
          <w:lang w:eastAsia="ja-JP"/>
        </w:rPr>
        <w:t>&lt;&lt;</w:t>
      </w:r>
      <w:r w:rsidR="00C61E38" w:rsidRPr="00A52AB8">
        <w:rPr>
          <w:lang w:eastAsia="ja-JP"/>
        </w:rPr>
        <w:t> </w:t>
      </w:r>
      <w:r w:rsidRPr="00A52AB8">
        <w:rPr>
          <w:lang w:eastAsia="ja-JP"/>
        </w:rPr>
        <w:t>(</w:t>
      </w:r>
      <w:r w:rsidR="006D3978" w:rsidRPr="00A52AB8">
        <w:rPr>
          <w:lang w:eastAsia="ja-JP"/>
        </w:rPr>
        <w:t>d1 </w:t>
      </w:r>
      <w:r w:rsidRPr="00A52AB8">
        <w:rPr>
          <w:lang w:eastAsia="ja-JP"/>
        </w:rPr>
        <w:t>– </w:t>
      </w:r>
      <w:r w:rsidR="006D3978" w:rsidRPr="00A52AB8">
        <w:rPr>
          <w:lang w:eastAsia="ja-JP"/>
        </w:rPr>
        <w:t>d0 </w:t>
      </w:r>
      <w:r w:rsidRPr="00A52AB8">
        <w:rPr>
          <w:lang w:eastAsia="ja-JP"/>
        </w:rPr>
        <w:t>– 1 ) ) − oFrame</w:t>
      </w:r>
      <w:r w:rsidR="004B7314" w:rsidRPr="00A52AB8">
        <w:rPr>
          <w:lang w:eastAsia="ja-JP"/>
        </w:rPr>
        <w:t>[ y ][ x ]</w:t>
      </w:r>
    </w:p>
    <w:p w14:paraId="793897F8" w14:textId="239E8B7C" w:rsidR="00B81656" w:rsidRPr="00A52AB8" w:rsidRDefault="00925CA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For b</w:t>
      </w:r>
      <w:r w:rsidR="00D47707" w:rsidRPr="00A52AB8">
        <w:rPr>
          <w:color w:val="000000" w:themeColor="text1"/>
        </w:rPr>
        <w:t> = </w:t>
      </w:r>
      <w:r w:rsidRPr="00A52AB8">
        <w:rPr>
          <w:color w:val="000000" w:themeColor="text1"/>
        </w:rPr>
        <w:t>0 .. (</w:t>
      </w:r>
      <w:r w:rsidR="006D3978" w:rsidRPr="00A52AB8">
        <w:rPr>
          <w:color w:val="000000" w:themeColor="text1"/>
        </w:rPr>
        <w:t>d1 </w:t>
      </w:r>
      <w:r w:rsidRPr="00A52AB8">
        <w:rPr>
          <w:color w:val="000000" w:themeColor="text1"/>
        </w:rPr>
        <w:t>– </w:t>
      </w:r>
      <w:r w:rsidR="006D3978" w:rsidRPr="00A52AB8">
        <w:rPr>
          <w:color w:val="000000" w:themeColor="text1"/>
        </w:rPr>
        <w:t>d0 </w:t>
      </w:r>
      <w:r w:rsidRPr="00A52AB8">
        <w:rPr>
          <w:color w:val="000000" w:themeColor="text1"/>
        </w:rPr>
        <w:t xml:space="preserve">– 2 ), </w:t>
      </w:r>
      <w:r w:rsidR="0086026B" w:rsidRPr="00A52AB8">
        <w:rPr>
          <w:color w:val="000000" w:themeColor="text1"/>
        </w:rPr>
        <w:t xml:space="preserve">and </w:t>
      </w:r>
      <w:r w:rsidR="006B5B7D" w:rsidRPr="00A52AB8">
        <w:rPr>
          <w:color w:val="000000" w:themeColor="text1"/>
        </w:rPr>
        <w:t>if ( ( ( eomCode &gt;&gt; b ) &amp; 0x01 )</w:t>
      </w:r>
      <w:r w:rsidR="008768E9" w:rsidRPr="00A52AB8">
        <w:rPr>
          <w:color w:val="000000" w:themeColor="text1"/>
        </w:rPr>
        <w:t> </w:t>
      </w:r>
      <w:r w:rsidR="00726AAE" w:rsidRPr="00A52AB8">
        <w:rPr>
          <w:color w:val="000000" w:themeColor="text1"/>
        </w:rPr>
        <w:t>==</w:t>
      </w:r>
      <w:r w:rsidR="00D47707" w:rsidRPr="00A52AB8">
        <w:rPr>
          <w:color w:val="000000" w:themeColor="text1"/>
        </w:rPr>
        <w:t> </w:t>
      </w:r>
      <w:r w:rsidR="006B5B7D" w:rsidRPr="00A52AB8">
        <w:rPr>
          <w:color w:val="000000" w:themeColor="text1"/>
        </w:rPr>
        <w:t>1 ), the following applies:</w:t>
      </w:r>
    </w:p>
    <w:p w14:paraId="0B23D59F" w14:textId="53DD82CD" w:rsidR="007D4866" w:rsidRPr="00A52AB8" w:rsidRDefault="007D486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1" w:hanging="403"/>
        <w:textAlignment w:val="baseline"/>
        <w:rPr>
          <w:color w:val="000000" w:themeColor="text1"/>
        </w:rPr>
      </w:pPr>
      <w:r w:rsidRPr="00A52AB8">
        <w:rPr>
          <w:color w:val="000000" w:themeColor="text1"/>
        </w:rPr>
        <w:t xml:space="preserve">The 3D coordinates corresponding to the point with atlas coordinates ( x, y ) are derived by invoking subclause </w:t>
      </w:r>
      <w:r w:rsidR="008E7960" w:rsidRPr="00496A4D">
        <w:rPr>
          <w:color w:val="000000" w:themeColor="text1"/>
        </w:rPr>
        <w:fldChar w:fldCharType="begin"/>
      </w:r>
      <w:r w:rsidR="008E7960" w:rsidRPr="00A52AB8">
        <w:rPr>
          <w:color w:val="000000" w:themeColor="text1"/>
        </w:rPr>
        <w:instrText xml:space="preserve"> REF _Ref48425253 \w \h </w:instrText>
      </w:r>
      <w:r w:rsidR="007812ED" w:rsidRPr="00A52AB8">
        <w:rPr>
          <w:color w:val="000000" w:themeColor="text1"/>
        </w:rPr>
        <w:instrText xml:space="preserve"> \* MERGEFORMAT </w:instrText>
      </w:r>
      <w:r w:rsidR="008E7960" w:rsidRPr="00496A4D">
        <w:rPr>
          <w:color w:val="000000" w:themeColor="text1"/>
        </w:rPr>
      </w:r>
      <w:r w:rsidR="008E7960" w:rsidRPr="00496A4D">
        <w:rPr>
          <w:color w:val="000000" w:themeColor="text1"/>
        </w:rPr>
        <w:fldChar w:fldCharType="separate"/>
      </w:r>
      <w:r w:rsidR="00507A67">
        <w:rPr>
          <w:color w:val="000000" w:themeColor="text1"/>
        </w:rPr>
        <w:t>H.11.5</w:t>
      </w:r>
      <w:r w:rsidR="008E7960" w:rsidRPr="00496A4D">
        <w:rPr>
          <w:color w:val="000000" w:themeColor="text1"/>
        </w:rPr>
        <w:fldChar w:fldCharType="end"/>
      </w:r>
      <w:r w:rsidR="008E7960" w:rsidRPr="00A52AB8">
        <w:rPr>
          <w:color w:val="000000" w:themeColor="text1"/>
        </w:rPr>
        <w:t xml:space="preserve"> </w:t>
      </w:r>
      <w:r w:rsidRPr="00A52AB8">
        <w:rPr>
          <w:color w:val="000000" w:themeColor="text1"/>
        </w:rPr>
        <w:t xml:space="preserve">with </w:t>
      </w:r>
      <w:r w:rsidR="004E73C4" w:rsidRPr="00A52AB8">
        <w:rPr>
          <w:color w:val="000000" w:themeColor="text1"/>
        </w:rPr>
        <w:t>variables pIdx, ( </w:t>
      </w:r>
      <w:r w:rsidR="006D3978" w:rsidRPr="00A52AB8">
        <w:rPr>
          <w:color w:val="000000" w:themeColor="text1"/>
        </w:rPr>
        <w:t>d0 </w:t>
      </w:r>
      <w:r w:rsidR="004E73C4" w:rsidRPr="00A52AB8">
        <w:rPr>
          <w:color w:val="000000" w:themeColor="text1"/>
        </w:rPr>
        <w:t xml:space="preserve">+ b + 1 ), </w:t>
      </w:r>
      <w:r w:rsidR="00626298" w:rsidRPr="00A52AB8">
        <w:rPr>
          <w:color w:val="000000" w:themeColor="text1"/>
        </w:rPr>
        <w:t>x</w:t>
      </w:r>
      <w:r w:rsidR="00A42A07" w:rsidRPr="00A52AB8">
        <w:rPr>
          <w:color w:val="000000" w:themeColor="text1"/>
        </w:rPr>
        <w:t xml:space="preserve">, and </w:t>
      </w:r>
      <w:r w:rsidR="00626298" w:rsidRPr="00A52AB8">
        <w:rPr>
          <w:color w:val="000000" w:themeColor="text1"/>
        </w:rPr>
        <w:t>y</w:t>
      </w:r>
      <w:r w:rsidRPr="00A52AB8">
        <w:rPr>
          <w:color w:val="000000" w:themeColor="text1"/>
        </w:rPr>
        <w:t xml:space="preserve"> as inputs. The output is an array, pos3D.</w:t>
      </w:r>
    </w:p>
    <w:p w14:paraId="723E407A" w14:textId="2943825C" w:rsidR="00925CA2" w:rsidRPr="00A52AB8" w:rsidRDefault="00925CA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1" w:hanging="403"/>
        <w:textAlignment w:val="baseline"/>
        <w:rPr>
          <w:color w:val="000000" w:themeColor="text1"/>
        </w:rPr>
      </w:pPr>
      <w:r w:rsidRPr="00A52AB8">
        <w:rPr>
          <w:color w:val="000000" w:themeColor="text1"/>
        </w:rPr>
        <w:t xml:space="preserve">The </w:t>
      </w:r>
      <w:r w:rsidR="000D433F" w:rsidRPr="00A52AB8">
        <w:rPr>
          <w:color w:val="000000" w:themeColor="text1"/>
        </w:rPr>
        <w:t>array</w:t>
      </w:r>
      <w:r w:rsidRPr="00A52AB8">
        <w:rPr>
          <w:color w:val="000000" w:themeColor="text1"/>
        </w:rPr>
        <w:t xml:space="preserve"> pos3D, is copied over to a new entry in recPcGeo</w:t>
      </w:r>
      <w:r w:rsidR="000D433F" w:rsidRPr="00A52AB8">
        <w:rPr>
          <w:color w:val="000000" w:themeColor="text1"/>
        </w:rPr>
        <w:t>, as follows:</w:t>
      </w:r>
    </w:p>
    <w:p w14:paraId="593C8CA5" w14:textId="0FFA0659" w:rsidR="00925CA2" w:rsidRPr="00A52AB8" w:rsidRDefault="00925CA2" w:rsidP="00007BE2">
      <w:pPr>
        <w:pStyle w:val="ListParagraph"/>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 w:val="left" w:pos="360"/>
          <w:tab w:val="left" w:pos="720"/>
          <w:tab w:val="left" w:pos="1080"/>
        </w:tabs>
        <w:spacing w:after="0"/>
        <w:ind w:leftChars="0" w:left="1610"/>
        <w:jc w:val="left"/>
        <w:rPr>
          <w:color w:val="000000" w:themeColor="text1"/>
        </w:rPr>
      </w:pPr>
      <w:r w:rsidRPr="00A52AB8">
        <w:rPr>
          <w:color w:val="000000" w:themeColor="text1"/>
        </w:rPr>
        <w:t>for( n=0; n &lt; 3; n</w:t>
      </w:r>
      <w:r w:rsidR="00006CCF" w:rsidRPr="00A52AB8">
        <w:rPr>
          <w:color w:val="000000" w:themeColor="text1"/>
        </w:rPr>
        <w:t>++ )</w:t>
      </w:r>
    </w:p>
    <w:p w14:paraId="02EC72C8" w14:textId="22562B59" w:rsidR="00925CA2" w:rsidRPr="00A52AB8" w:rsidRDefault="00925CA2" w:rsidP="00007BE2">
      <w:pPr>
        <w:pStyle w:val="ListParagraph"/>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 w:val="left" w:pos="360"/>
          <w:tab w:val="left" w:pos="720"/>
          <w:tab w:val="left" w:pos="1080"/>
        </w:tabs>
        <w:ind w:leftChars="0" w:left="1610"/>
        <w:jc w:val="left"/>
        <w:rPr>
          <w:lang w:eastAsia="ja-JP"/>
        </w:rPr>
      </w:pPr>
      <w:r w:rsidRPr="00A52AB8">
        <w:rPr>
          <w:color w:val="000000" w:themeColor="text1"/>
        </w:rPr>
        <w:tab/>
      </w:r>
      <w:r w:rsidR="004B6B7B" w:rsidRPr="00A52AB8">
        <w:rPr>
          <w:color w:val="000000" w:themeColor="text1"/>
        </w:rPr>
        <w:tab/>
      </w:r>
      <w:r w:rsidRPr="00A52AB8">
        <w:rPr>
          <w:color w:val="000000" w:themeColor="text1"/>
        </w:rPr>
        <w:t>recPcGeo[ pointCnt ][ n ]</w:t>
      </w:r>
      <w:r w:rsidR="00D47707" w:rsidRPr="00A52AB8">
        <w:rPr>
          <w:color w:val="000000" w:themeColor="text1"/>
        </w:rPr>
        <w:t> = </w:t>
      </w:r>
      <w:r w:rsidRPr="00A52AB8">
        <w:rPr>
          <w:color w:val="000000" w:themeColor="text1"/>
        </w:rPr>
        <w:t>pos3D[ n ]</w:t>
      </w:r>
    </w:p>
    <w:p w14:paraId="43FC1828" w14:textId="77777777" w:rsidR="00925CA2" w:rsidRPr="00A52AB8" w:rsidRDefault="00925CA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1" w:hanging="403"/>
        <w:textAlignment w:val="baseline"/>
        <w:rPr>
          <w:color w:val="000000" w:themeColor="text1"/>
        </w:rPr>
      </w:pPr>
      <w:r w:rsidRPr="00A52AB8">
        <w:rPr>
          <w:color w:val="000000" w:themeColor="text1"/>
        </w:rPr>
        <w:t>If ai_attribute_count[ RecAtlasID ] is greater than 0, attributes are assigned to the newly added point, as follows:</w:t>
      </w:r>
    </w:p>
    <w:p w14:paraId="72789464" w14:textId="250A8D15" w:rsidR="0086026B" w:rsidRPr="00A52AB8" w:rsidRDefault="006160A3" w:rsidP="00007BE2">
      <w:pPr>
        <w:pStyle w:val="ListParagraph"/>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 w:val="left" w:pos="360"/>
          <w:tab w:val="left" w:pos="720"/>
          <w:tab w:val="left" w:pos="1080"/>
          <w:tab w:val="left" w:pos="1440"/>
          <w:tab w:val="left" w:pos="1800"/>
          <w:tab w:val="left" w:pos="2160"/>
          <w:tab w:val="left" w:pos="2520"/>
          <w:tab w:val="left" w:pos="2880"/>
        </w:tabs>
        <w:ind w:leftChars="0" w:left="1610"/>
        <w:rPr>
          <w:lang w:eastAsia="ja-JP"/>
        </w:rPr>
      </w:pPr>
      <w:r w:rsidRPr="00A52AB8">
        <w:rPr>
          <w:lang w:eastAsia="ja-JP"/>
        </w:rPr>
        <w:t>eomPos</w:t>
      </w:r>
      <w:r w:rsidR="00D47707" w:rsidRPr="00A52AB8">
        <w:rPr>
          <w:lang w:eastAsia="ja-JP"/>
        </w:rPr>
        <w:t> = </w:t>
      </w:r>
      <w:r w:rsidRPr="00A52AB8">
        <w:rPr>
          <w:lang w:eastAsia="ja-JP"/>
        </w:rPr>
        <w:t>eomPointOffset[ i ] + eomPointCnt</w:t>
      </w:r>
      <w:r w:rsidRPr="00A52AB8">
        <w:rPr>
          <w:lang w:eastAsia="ja-JP"/>
        </w:rPr>
        <w:br/>
        <w:t>inBlockPos</w:t>
      </w:r>
      <w:r w:rsidR="00D47707" w:rsidRPr="00A52AB8">
        <w:rPr>
          <w:lang w:eastAsia="ja-JP"/>
        </w:rPr>
        <w:t> = </w:t>
      </w:r>
      <w:r w:rsidRPr="00A52AB8">
        <w:rPr>
          <w:lang w:eastAsia="ja-JP"/>
        </w:rPr>
        <w:t>eomPos % ( PatchPackingBlockSize * PatchPackingBlockSize )</w:t>
      </w:r>
      <w:r w:rsidRPr="00A52AB8">
        <w:rPr>
          <w:lang w:eastAsia="ja-JP"/>
        </w:rPr>
        <w:br/>
        <w:t>nbBlock</w:t>
      </w:r>
      <w:r w:rsidR="00D47707" w:rsidRPr="00A52AB8">
        <w:rPr>
          <w:lang w:eastAsia="ja-JP"/>
        </w:rPr>
        <w:t> = </w:t>
      </w:r>
      <w:r w:rsidRPr="00A52AB8">
        <w:rPr>
          <w:lang w:eastAsia="ja-JP"/>
        </w:rPr>
        <w:t>eomPos / ( PatchPackingBlockSize * PatchPackingBlockSize )</w:t>
      </w:r>
      <w:r w:rsidRPr="00A52AB8">
        <w:rPr>
          <w:lang w:eastAsia="ja-JP"/>
        </w:rPr>
        <w:br/>
        <w:t>xBlock</w:t>
      </w:r>
      <w:r w:rsidR="00D47707" w:rsidRPr="00A52AB8">
        <w:rPr>
          <w:lang w:eastAsia="ja-JP"/>
        </w:rPr>
        <w:t> = </w:t>
      </w:r>
      <w:r w:rsidRPr="00A52AB8">
        <w:rPr>
          <w:lang w:eastAsia="ja-JP"/>
        </w:rPr>
        <w:t>nbBlock % ( AtlasPatch2dSizeX[ pIdx ]/ PatchPackingBlockSize )</w:t>
      </w:r>
      <w:r w:rsidRPr="00A52AB8">
        <w:rPr>
          <w:lang w:eastAsia="ja-JP"/>
        </w:rPr>
        <w:br/>
        <w:t>yBlock</w:t>
      </w:r>
      <w:r w:rsidR="00D47707" w:rsidRPr="00A52AB8">
        <w:rPr>
          <w:lang w:eastAsia="ja-JP"/>
        </w:rPr>
        <w:t> = </w:t>
      </w:r>
      <w:r w:rsidRPr="00A52AB8">
        <w:rPr>
          <w:lang w:eastAsia="ja-JP"/>
        </w:rPr>
        <w:t>nbBlock / ( AtlasPatch2dSizeY[ pIdx ]/ PatchPackingBlockSize )</w:t>
      </w:r>
    </w:p>
    <w:p w14:paraId="6A7397E1" w14:textId="5FB1C1B7" w:rsidR="0086026B" w:rsidRPr="00A52AB8" w:rsidRDefault="006160A3" w:rsidP="00007BE2">
      <w:pPr>
        <w:pStyle w:val="ListParagraph"/>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 w:val="left" w:pos="360"/>
          <w:tab w:val="left" w:pos="720"/>
          <w:tab w:val="left" w:pos="1080"/>
          <w:tab w:val="left" w:pos="1440"/>
          <w:tab w:val="left" w:pos="1800"/>
          <w:tab w:val="left" w:pos="2160"/>
          <w:tab w:val="left" w:pos="2520"/>
          <w:tab w:val="left" w:pos="2880"/>
        </w:tabs>
        <w:ind w:leftChars="0" w:left="1610"/>
        <w:rPr>
          <w:lang w:eastAsia="ja-JP"/>
        </w:rPr>
      </w:pPr>
      <w:r w:rsidRPr="00A52AB8">
        <w:rPr>
          <w:lang w:eastAsia="ja-JP"/>
        </w:rPr>
        <w:t>xx</w:t>
      </w:r>
      <w:r w:rsidR="00D47707" w:rsidRPr="00A52AB8">
        <w:rPr>
          <w:lang w:eastAsia="ja-JP"/>
        </w:rPr>
        <w:t> = </w:t>
      </w:r>
      <w:r w:rsidRPr="00A52AB8">
        <w:rPr>
          <w:lang w:eastAsia="ja-JP"/>
        </w:rPr>
        <w:t xml:space="preserve">xBlock * PatchPackingBlockSize + inBlockPos % PatchPackingBlockSize </w:t>
      </w:r>
      <w:r w:rsidRPr="00A52AB8">
        <w:rPr>
          <w:lang w:eastAsia="ja-JP"/>
        </w:rPr>
        <w:br/>
      </w:r>
      <w:r w:rsidRPr="00A52AB8">
        <w:rPr>
          <w:lang w:eastAsia="ja-JP"/>
        </w:rPr>
        <w:tab/>
      </w:r>
      <w:r w:rsidRPr="00A52AB8">
        <w:rPr>
          <w:lang w:eastAsia="ja-JP"/>
        </w:rPr>
        <w:tab/>
        <w:t>+ AtlasPatch2dPosX[ pIdx ]</w:t>
      </w:r>
      <w:r w:rsidRPr="00A52AB8">
        <w:rPr>
          <w:lang w:eastAsia="ja-JP"/>
        </w:rPr>
        <w:br/>
        <w:t>yy</w:t>
      </w:r>
      <w:r w:rsidR="00D47707" w:rsidRPr="00A52AB8">
        <w:rPr>
          <w:lang w:eastAsia="ja-JP"/>
        </w:rPr>
        <w:t> = </w:t>
      </w:r>
      <w:r w:rsidRPr="00A52AB8">
        <w:rPr>
          <w:lang w:eastAsia="ja-JP"/>
        </w:rPr>
        <w:t>yBlock * PatchPackingBlockSize + inBlockPos / PatchPackingBlockSize</w:t>
      </w:r>
      <w:r w:rsidRPr="00A52AB8">
        <w:rPr>
          <w:lang w:eastAsia="ja-JP"/>
        </w:rPr>
        <w:br/>
      </w:r>
      <w:r w:rsidRPr="00A52AB8">
        <w:rPr>
          <w:lang w:eastAsia="ja-JP"/>
        </w:rPr>
        <w:tab/>
      </w:r>
      <w:r w:rsidRPr="00A52AB8">
        <w:rPr>
          <w:lang w:eastAsia="ja-JP"/>
        </w:rPr>
        <w:tab/>
        <w:t>+ AtlasPatch2dPosY[ pIdx ]</w:t>
      </w:r>
    </w:p>
    <w:p w14:paraId="01AAFEE1" w14:textId="570E26CE" w:rsidR="00873D9B" w:rsidRPr="00A52AB8" w:rsidRDefault="006160A3" w:rsidP="00007BE2">
      <w:pPr>
        <w:pStyle w:val="ListParagraph"/>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 w:val="left" w:pos="360"/>
          <w:tab w:val="left" w:pos="720"/>
          <w:tab w:val="left" w:pos="1080"/>
          <w:tab w:val="left" w:pos="1440"/>
          <w:tab w:val="left" w:pos="1800"/>
          <w:tab w:val="left" w:pos="2160"/>
          <w:tab w:val="left" w:pos="2520"/>
          <w:tab w:val="left" w:pos="2880"/>
        </w:tabs>
        <w:ind w:leftChars="0" w:left="1610"/>
      </w:pPr>
      <w:r w:rsidRPr="00A52AB8">
        <w:rPr>
          <w:lang w:eastAsia="ja-JP"/>
        </w:rPr>
        <w:t>for( attrIdx</w:t>
      </w:r>
      <w:r w:rsidR="00D47707" w:rsidRPr="00A52AB8">
        <w:rPr>
          <w:lang w:eastAsia="ja-JP"/>
        </w:rPr>
        <w:t> = </w:t>
      </w:r>
      <w:r w:rsidRPr="00A52AB8">
        <w:rPr>
          <w:lang w:eastAsia="ja-JP"/>
        </w:rPr>
        <w:t>0; attrIdx &lt; ai_attribute_count[ RecAtlasID ]; attrIdx</w:t>
      </w:r>
      <w:r w:rsidR="00006CCF" w:rsidRPr="00A52AB8">
        <w:rPr>
          <w:lang w:eastAsia="ja-JP"/>
        </w:rPr>
        <w:t>++ </w:t>
      </w:r>
      <w:r w:rsidR="008F1F82" w:rsidRPr="00A52AB8">
        <w:rPr>
          <w:lang w:eastAsia="ja-JP"/>
        </w:rPr>
        <w:t>) {</w:t>
      </w:r>
      <w:r w:rsidRPr="00A52AB8">
        <w:rPr>
          <w:lang w:eastAsia="ja-JP"/>
        </w:rPr>
        <w:br/>
      </w:r>
      <w:r w:rsidRPr="00A52AB8">
        <w:rPr>
          <w:lang w:eastAsia="ja-JP"/>
        </w:rPr>
        <w:tab/>
        <w:t>attrDim</w:t>
      </w:r>
      <w:r w:rsidR="00D47707" w:rsidRPr="00A52AB8">
        <w:rPr>
          <w:lang w:eastAsia="ja-JP"/>
        </w:rPr>
        <w:t> = </w:t>
      </w:r>
      <w:r w:rsidRPr="00A52AB8">
        <w:rPr>
          <w:lang w:eastAsia="ja-JP"/>
        </w:rPr>
        <w:t>ai_attribute_dimension_minus1[ RecAtlasID ][ attrIdx ] + 1</w:t>
      </w:r>
      <w:r w:rsidRPr="00A52AB8">
        <w:rPr>
          <w:lang w:eastAsia="ja-JP"/>
        </w:rPr>
        <w:br/>
      </w:r>
      <w:r w:rsidRPr="00A52AB8">
        <w:rPr>
          <w:lang w:eastAsia="ja-JP"/>
        </w:rPr>
        <w:tab/>
        <w:t>for( compIdx</w:t>
      </w:r>
      <w:r w:rsidR="00D47707" w:rsidRPr="00A52AB8">
        <w:rPr>
          <w:lang w:eastAsia="ja-JP"/>
        </w:rPr>
        <w:t> = </w:t>
      </w:r>
      <w:r w:rsidRPr="00A52AB8">
        <w:rPr>
          <w:lang w:eastAsia="ja-JP"/>
        </w:rPr>
        <w:t>0; compIdx</w:t>
      </w:r>
      <w:r w:rsidR="00C61E38" w:rsidRPr="00A52AB8">
        <w:rPr>
          <w:lang w:eastAsia="ja-JP"/>
        </w:rPr>
        <w:t> </w:t>
      </w:r>
      <w:r w:rsidRPr="00A52AB8">
        <w:rPr>
          <w:lang w:eastAsia="ja-JP"/>
        </w:rPr>
        <w:t>&lt;</w:t>
      </w:r>
      <w:r w:rsidR="00C61E38" w:rsidRPr="00A52AB8">
        <w:rPr>
          <w:lang w:eastAsia="ja-JP"/>
        </w:rPr>
        <w:t> </w:t>
      </w:r>
      <w:r w:rsidRPr="00A52AB8">
        <w:rPr>
          <w:lang w:eastAsia="ja-JP"/>
        </w:rPr>
        <w:t>attrDim; compIdx</w:t>
      </w:r>
      <w:r w:rsidR="00006CCF" w:rsidRPr="00A52AB8">
        <w:rPr>
          <w:lang w:eastAsia="ja-JP"/>
        </w:rPr>
        <w:t>++ </w:t>
      </w:r>
      <w:r w:rsidR="008F1F82" w:rsidRPr="00A52AB8">
        <w:rPr>
          <w:lang w:eastAsia="ja-JP"/>
        </w:rPr>
        <w:t>) {</w:t>
      </w:r>
      <w:r w:rsidR="00B00B6E" w:rsidRPr="00A52AB8">
        <w:rPr>
          <w:lang w:eastAsia="ja-JP"/>
        </w:rPr>
        <w:br/>
      </w:r>
      <w:r w:rsidR="00B00B6E" w:rsidRPr="00A52AB8">
        <w:rPr>
          <w:lang w:eastAsia="ja-JP"/>
        </w:rPr>
        <w:tab/>
      </w:r>
      <w:r w:rsidR="00B00B6E" w:rsidRPr="00A52AB8">
        <w:rPr>
          <w:lang w:eastAsia="ja-JP"/>
        </w:rPr>
        <w:tab/>
      </w:r>
      <w:r w:rsidRPr="00A52AB8">
        <w:rPr>
          <w:lang w:eastAsia="ja-JP"/>
        </w:rPr>
        <w:t>recPcAttr[ pointCnt ][ attrIdx ][ compIdx ] =</w:t>
      </w:r>
      <w:r w:rsidR="00B00B6E" w:rsidRPr="00A52AB8">
        <w:rPr>
          <w:lang w:eastAsia="ja-JP"/>
        </w:rPr>
        <w:br/>
      </w:r>
      <w:r w:rsidR="00B00B6E" w:rsidRPr="00A52AB8">
        <w:rPr>
          <w:lang w:eastAsia="ja-JP"/>
        </w:rPr>
        <w:tab/>
      </w:r>
      <w:r w:rsidR="00B00B6E" w:rsidRPr="00A52AB8">
        <w:rPr>
          <w:lang w:eastAsia="ja-JP"/>
        </w:rPr>
        <w:tab/>
      </w:r>
      <w:r w:rsidR="00B00B6E" w:rsidRPr="00A52AB8">
        <w:rPr>
          <w:lang w:eastAsia="ja-JP"/>
        </w:rPr>
        <w:tab/>
      </w:r>
      <w:r w:rsidR="00B00B6E" w:rsidRPr="00A52AB8">
        <w:rPr>
          <w:lang w:eastAsia="ja-JP"/>
        </w:rPr>
        <w:tab/>
      </w:r>
      <w:r w:rsidR="00B00B6E" w:rsidRPr="00A52AB8">
        <w:rPr>
          <w:lang w:eastAsia="ja-JP"/>
        </w:rPr>
        <w:tab/>
      </w:r>
      <w:r w:rsidRPr="00A52AB8">
        <w:rPr>
          <w:lang w:eastAsia="ja-JP"/>
        </w:rPr>
        <w:t>aFrame[ attrIdx ][ compIdx ][ yy ][ xx ]</w:t>
      </w:r>
      <w:r w:rsidR="002F7CFA" w:rsidRPr="00A52AB8">
        <w:rPr>
          <w:lang w:eastAsia="ja-JP"/>
        </w:rPr>
        <w:br/>
      </w:r>
      <w:r w:rsidR="002F7CFA" w:rsidRPr="00A52AB8">
        <w:rPr>
          <w:lang w:eastAsia="ja-JP"/>
        </w:rPr>
        <w:tab/>
        <w:t>}</w:t>
      </w:r>
      <w:r w:rsidRPr="00A52AB8">
        <w:rPr>
          <w:lang w:eastAsia="ja-JP"/>
        </w:rPr>
        <w:br/>
        <w:t>}</w:t>
      </w:r>
      <w:r w:rsidR="007E1398" w:rsidRPr="00A52AB8">
        <w:rPr>
          <w:lang w:eastAsia="ja-JP"/>
        </w:rPr>
        <w:br/>
      </w:r>
      <w:r w:rsidR="00B00B6E" w:rsidRPr="00A52AB8">
        <w:t>attrPresent[ pointCnt ]</w:t>
      </w:r>
      <w:r w:rsidR="00D47707" w:rsidRPr="00A52AB8">
        <w:t> = </w:t>
      </w:r>
      <w:r w:rsidR="00B00B6E" w:rsidRPr="00A52AB8">
        <w:t>1</w:t>
      </w:r>
    </w:p>
    <w:p w14:paraId="6A744DE8" w14:textId="38E3FF9D" w:rsidR="007E1398" w:rsidRPr="00A52AB8" w:rsidRDefault="00873D9B"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1" w:hanging="403"/>
        <w:textAlignment w:val="baseline"/>
        <w:rPr>
          <w:color w:val="000000" w:themeColor="text1"/>
        </w:rPr>
      </w:pPr>
      <w:r w:rsidRPr="00A52AB8">
        <w:rPr>
          <w:color w:val="000000" w:themeColor="text1"/>
        </w:rPr>
        <w:t>Otherwise ( ai_attribute_count[ RecAtlasID ] is equal to 0 )</w:t>
      </w:r>
      <w:r w:rsidR="007E1398" w:rsidRPr="00A52AB8">
        <w:rPr>
          <w:color w:val="000000" w:themeColor="text1"/>
        </w:rPr>
        <w:t>,</w:t>
      </w:r>
    </w:p>
    <w:p w14:paraId="4AC65FEE" w14:textId="25AA3811" w:rsidR="00873D9B" w:rsidRPr="00A52AB8" w:rsidRDefault="007E1398" w:rsidP="00007BE2">
      <w:pPr>
        <w:pStyle w:val="ListParagraph"/>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 w:val="left" w:pos="360"/>
          <w:tab w:val="left" w:pos="720"/>
          <w:tab w:val="left" w:pos="1080"/>
          <w:tab w:val="left" w:pos="1440"/>
        </w:tabs>
        <w:ind w:leftChars="0" w:left="1610"/>
      </w:pPr>
      <w:r w:rsidRPr="00A52AB8">
        <w:rPr>
          <w:lang w:eastAsia="ja-JP"/>
        </w:rPr>
        <w:tab/>
      </w:r>
      <w:r w:rsidR="00873D9B" w:rsidRPr="00A52AB8">
        <w:rPr>
          <w:lang w:eastAsia="ja-JP"/>
        </w:rPr>
        <w:t>attrPresent</w:t>
      </w:r>
      <w:r w:rsidR="00873D9B" w:rsidRPr="00A52AB8">
        <w:t>[ pointCnt ]</w:t>
      </w:r>
      <w:r w:rsidR="0023721F" w:rsidRPr="00A52AB8">
        <w:t> </w:t>
      </w:r>
      <w:r w:rsidR="00D47707" w:rsidRPr="00A52AB8">
        <w:t>= </w:t>
      </w:r>
      <w:r w:rsidR="00873D9B" w:rsidRPr="00A52AB8">
        <w:t>0</w:t>
      </w:r>
    </w:p>
    <w:p w14:paraId="04B1C1DB" w14:textId="77777777" w:rsidR="00B00B6E" w:rsidRPr="00A52AB8" w:rsidRDefault="00B00B6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The following applies:</w:t>
      </w:r>
    </w:p>
    <w:p w14:paraId="3266A735" w14:textId="0E4A9AC4" w:rsidR="00B00B6E" w:rsidRPr="00A52AB8" w:rsidRDefault="00B00B6E" w:rsidP="00007BE2">
      <w:pPr>
        <w:pStyle w:val="ListParagraph"/>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 w:val="left" w:pos="360"/>
          <w:tab w:val="left" w:pos="720"/>
          <w:tab w:val="left" w:pos="1080"/>
          <w:tab w:val="left" w:pos="1440"/>
        </w:tabs>
        <w:ind w:leftChars="0" w:left="1208"/>
        <w:rPr>
          <w:color w:val="000000" w:themeColor="text1"/>
        </w:rPr>
      </w:pPr>
      <w:r w:rsidRPr="00A52AB8">
        <w:rPr>
          <w:color w:val="000000" w:themeColor="text1"/>
        </w:rPr>
        <w:t>pointToPixel[ pointCnt ][ 0 ]</w:t>
      </w:r>
      <w:r w:rsidR="00D47707" w:rsidRPr="00A52AB8">
        <w:rPr>
          <w:color w:val="000000" w:themeColor="text1"/>
        </w:rPr>
        <w:t> = </w:t>
      </w:r>
      <w:r w:rsidRPr="00A52AB8">
        <w:rPr>
          <w:color w:val="000000" w:themeColor="text1"/>
        </w:rPr>
        <w:t>x</w:t>
      </w:r>
      <w:r w:rsidRPr="00A52AB8">
        <w:rPr>
          <w:color w:val="000000" w:themeColor="text1"/>
        </w:rPr>
        <w:br/>
        <w:t>pointToPixel[ pointCnt ][ 1 ]</w:t>
      </w:r>
      <w:r w:rsidR="00D47707" w:rsidRPr="00A52AB8">
        <w:rPr>
          <w:color w:val="000000" w:themeColor="text1"/>
        </w:rPr>
        <w:t> = </w:t>
      </w:r>
      <w:r w:rsidRPr="00A52AB8">
        <w:rPr>
          <w:color w:val="000000" w:themeColor="text1"/>
        </w:rPr>
        <w:t>y</w:t>
      </w:r>
      <w:r w:rsidRPr="00A52AB8">
        <w:rPr>
          <w:color w:val="000000" w:themeColor="text1"/>
        </w:rPr>
        <w:br/>
        <w:t>pointToPatch[ pointCnt ]</w:t>
      </w:r>
      <w:r w:rsidR="00D47707" w:rsidRPr="00A52AB8">
        <w:rPr>
          <w:color w:val="000000" w:themeColor="text1"/>
        </w:rPr>
        <w:t> = </w:t>
      </w:r>
      <w:r w:rsidR="006D3978" w:rsidRPr="00A52AB8">
        <w:rPr>
          <w:color w:val="000000" w:themeColor="text1"/>
        </w:rPr>
        <w:t>pProjIdx</w:t>
      </w:r>
      <w:r w:rsidRPr="00A52AB8">
        <w:rPr>
          <w:color w:val="000000" w:themeColor="text1"/>
        </w:rPr>
        <w:br/>
      </w:r>
      <w:r w:rsidRPr="00A52AB8">
        <w:t>eomPointCnt++</w:t>
      </w:r>
      <w:r w:rsidRPr="00A52AB8">
        <w:br/>
        <w:t>pointCnt++</w:t>
      </w:r>
    </w:p>
    <w:p w14:paraId="2B3DEA86" w14:textId="568DFD40" w:rsidR="009327B5" w:rsidRPr="00A52AB8" w:rsidRDefault="009327B5" w:rsidP="004A6049">
      <w:r w:rsidRPr="00496A4D">
        <w:rPr>
          <w:color w:val="000000" w:themeColor="text1"/>
        </w:rPr>
        <w:fldChar w:fldCharType="begin"/>
      </w:r>
      <w:r w:rsidRPr="00A52AB8">
        <w:rPr>
          <w:color w:val="000000" w:themeColor="text1"/>
        </w:rPr>
        <w:instrText xml:space="preserve"> REF _Ref48420111 \h  \* MERGEFORMAT </w:instrText>
      </w:r>
      <w:r w:rsidRPr="00496A4D">
        <w:rPr>
          <w:color w:val="000000" w:themeColor="text1"/>
        </w:rPr>
      </w:r>
      <w:r w:rsidRPr="00496A4D">
        <w:rPr>
          <w:color w:val="000000" w:themeColor="text1"/>
        </w:rPr>
        <w:fldChar w:fldCharType="separate"/>
      </w:r>
      <w:r w:rsidR="00507A67" w:rsidRPr="00507A67">
        <w:rPr>
          <w:rFonts w:cs="Calibri"/>
          <w:bCs/>
        </w:rPr>
        <w:t>Figure H-</w:t>
      </w:r>
      <w:r w:rsidR="00507A67">
        <w:rPr>
          <w:rFonts w:cs="Calibri"/>
          <w:bCs/>
        </w:rPr>
        <w:t>2</w:t>
      </w:r>
      <w:r w:rsidRPr="00496A4D">
        <w:rPr>
          <w:color w:val="000000" w:themeColor="text1"/>
        </w:rPr>
        <w:fldChar w:fldCharType="end"/>
      </w:r>
      <w:r w:rsidRPr="00A52AB8">
        <w:rPr>
          <w:color w:val="000000" w:themeColor="text1"/>
        </w:rPr>
        <w:t xml:space="preserve"> </w:t>
      </w:r>
      <w:r w:rsidRPr="00A52AB8">
        <w:t xml:space="preserve">shows an example EOM patch and </w:t>
      </w:r>
      <w:r w:rsidR="004B6B7B" w:rsidRPr="00A52AB8">
        <w:t xml:space="preserve">an </w:t>
      </w:r>
      <w:r w:rsidRPr="00A52AB8">
        <w:t>EOM coded points attribute layout in an attribute frame. The EOM attribute values are stored in the EOM patch contiguously in raster scan order with a stride of patch packing block size, for each component. Patch packing blocks filled with EOM coded points are stored in raster scan order in the EOM patch.</w:t>
      </w:r>
    </w:p>
    <w:p w14:paraId="015ADCE4" w14:textId="2D012ECA" w:rsidR="009327B5" w:rsidRPr="00A52AB8" w:rsidRDefault="009327B5" w:rsidP="009327B5">
      <w:r w:rsidRPr="00496A4D">
        <w:rPr>
          <w:color w:val="000000" w:themeColor="text1"/>
        </w:rPr>
        <w:fldChar w:fldCharType="begin"/>
      </w:r>
      <w:r w:rsidRPr="00A52AB8">
        <w:rPr>
          <w:color w:val="000000" w:themeColor="text1"/>
        </w:rPr>
        <w:instrText xml:space="preserve"> REF _Ref47889477 \h  \* MERGEFORMAT </w:instrText>
      </w:r>
      <w:r w:rsidRPr="00496A4D">
        <w:rPr>
          <w:color w:val="000000" w:themeColor="text1"/>
        </w:rPr>
      </w:r>
      <w:r w:rsidRPr="00496A4D">
        <w:rPr>
          <w:color w:val="000000" w:themeColor="text1"/>
        </w:rPr>
        <w:fldChar w:fldCharType="separate"/>
      </w:r>
      <w:r w:rsidR="00507A67" w:rsidRPr="00507A67">
        <w:rPr>
          <w:rFonts w:cs="Calibri"/>
        </w:rPr>
        <w:t>Figure H-</w:t>
      </w:r>
      <w:r w:rsidRPr="00496A4D">
        <w:rPr>
          <w:color w:val="000000" w:themeColor="text1"/>
        </w:rPr>
        <w:fldChar w:fldCharType="end"/>
      </w:r>
      <w:r w:rsidR="006A7854" w:rsidRPr="00A52AB8">
        <w:rPr>
          <w:color w:val="000000" w:themeColor="text1"/>
        </w:rPr>
        <w:t>2</w:t>
      </w:r>
      <w:r w:rsidRPr="00A52AB8">
        <w:rPr>
          <w:color w:val="000000" w:themeColor="text1"/>
        </w:rPr>
        <w:t xml:space="preserve"> </w:t>
      </w:r>
      <w:r w:rsidRPr="00A52AB8">
        <w:t>shows an example of an occupancy frame with EOM coded points.</w:t>
      </w:r>
    </w:p>
    <w:p w14:paraId="15D8D1E0" w14:textId="77777777" w:rsidR="009327B5" w:rsidRPr="00A52AB8" w:rsidRDefault="009327B5" w:rsidP="004A7026">
      <w:pPr>
        <w:keepNext/>
        <w:spacing w:after="0"/>
        <w:ind w:left="403" w:hanging="403"/>
        <w:jc w:val="center"/>
      </w:pPr>
      <w:r w:rsidRPr="00496A4D">
        <w:rPr>
          <w:noProof/>
        </w:rPr>
        <w:drawing>
          <wp:inline distT="0" distB="0" distL="0" distR="0" wp14:anchorId="3115A5E9" wp14:editId="268ABBA1">
            <wp:extent cx="4705350" cy="766762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4705350" cy="7667625"/>
                    </a:xfrm>
                    <a:prstGeom prst="rect">
                      <a:avLst/>
                    </a:prstGeom>
                  </pic:spPr>
                </pic:pic>
              </a:graphicData>
            </a:graphic>
          </wp:inline>
        </w:drawing>
      </w:r>
    </w:p>
    <w:p w14:paraId="5694FFB7" w14:textId="253F11C1" w:rsidR="00925CA2" w:rsidRPr="00A52AB8" w:rsidRDefault="009327B5" w:rsidP="008F2A42">
      <w:pPr>
        <w:pStyle w:val="Caption"/>
        <w:rPr>
          <w:rFonts w:ascii="Cambria" w:hAnsi="Cambria"/>
          <w:color w:val="000000" w:themeColor="text1"/>
        </w:rPr>
      </w:pPr>
      <w:bookmarkStart w:id="6563" w:name="_Ref48420111"/>
      <w:r w:rsidRPr="00A52AB8">
        <w:rPr>
          <w:rFonts w:ascii="Cambria" w:hAnsi="Cambria" w:cs="Calibri"/>
          <w:bCs w:val="0"/>
        </w:rPr>
        <w:t>Figure H-</w:t>
      </w:r>
      <w:r w:rsidRPr="00496A4D">
        <w:rPr>
          <w:rFonts w:ascii="Cambria" w:hAnsi="Cambria" w:cs="Calibri"/>
          <w:b w:val="0"/>
        </w:rPr>
        <w:fldChar w:fldCharType="begin"/>
      </w:r>
      <w:r w:rsidRPr="00A52AB8">
        <w:rPr>
          <w:rFonts w:ascii="Cambria" w:hAnsi="Cambria" w:cs="Calibri"/>
          <w:bCs w:val="0"/>
        </w:rPr>
        <w:instrText xml:space="preserve"> SEQ Figure \* ARABIC </w:instrText>
      </w:r>
      <w:r w:rsidRPr="00496A4D">
        <w:rPr>
          <w:rFonts w:ascii="Cambria" w:hAnsi="Cambria" w:cs="Calibri"/>
          <w:b w:val="0"/>
        </w:rPr>
        <w:fldChar w:fldCharType="separate"/>
      </w:r>
      <w:r w:rsidR="00507A67">
        <w:rPr>
          <w:rFonts w:ascii="Cambria" w:hAnsi="Cambria" w:cs="Calibri"/>
          <w:bCs w:val="0"/>
          <w:noProof/>
        </w:rPr>
        <w:t>2</w:t>
      </w:r>
      <w:r w:rsidRPr="00496A4D">
        <w:rPr>
          <w:rFonts w:ascii="Cambria" w:hAnsi="Cambria" w:cs="Calibri"/>
          <w:b w:val="0"/>
        </w:rPr>
        <w:fldChar w:fldCharType="end"/>
      </w:r>
      <w:bookmarkEnd w:id="6563"/>
      <w:r w:rsidR="006A7854" w:rsidRPr="00A52AB8">
        <w:rPr>
          <w:rFonts w:ascii="Cambria" w:hAnsi="Cambria" w:cs="Calibri"/>
          <w:bCs w:val="0"/>
        </w:rPr>
        <w:t> </w:t>
      </w:r>
      <w:r w:rsidR="006A7854" w:rsidRPr="00A52AB8">
        <w:rPr>
          <w:rFonts w:ascii="Cambria" w:hAnsi="Cambria"/>
        </w:rPr>
        <w:t>– </w:t>
      </w:r>
      <w:r w:rsidRPr="00A52AB8">
        <w:rPr>
          <w:rFonts w:ascii="Cambria" w:hAnsi="Cambria" w:cs="Calibri"/>
          <w:bCs w:val="0"/>
        </w:rPr>
        <w:t xml:space="preserve">An example of an EOM patch, its associated EOM coded points, and </w:t>
      </w:r>
      <w:r w:rsidR="00F03216" w:rsidRPr="00A52AB8">
        <w:rPr>
          <w:rFonts w:ascii="Cambria" w:hAnsi="Cambria" w:cs="Calibri"/>
          <w:bCs w:val="0"/>
        </w:rPr>
        <w:br/>
      </w:r>
      <w:r w:rsidRPr="00A52AB8">
        <w:rPr>
          <w:rFonts w:ascii="Cambria" w:hAnsi="Cambria" w:cs="Calibri"/>
          <w:bCs w:val="0"/>
        </w:rPr>
        <w:t>the layout of the corresponding values in an attribute frame</w:t>
      </w:r>
    </w:p>
    <w:p w14:paraId="2D22E0EE" w14:textId="77777777" w:rsidR="00925CA2" w:rsidRPr="00A52AB8" w:rsidRDefault="00925CA2" w:rsidP="00925CA2">
      <w:pPr>
        <w:jc w:val="center"/>
        <w:rPr>
          <w:rFonts w:cs="Calibri"/>
          <w:b/>
          <w:bCs/>
          <w:sz w:val="20"/>
          <w:szCs w:val="20"/>
        </w:rPr>
      </w:pPr>
      <w:r w:rsidRPr="00496A4D">
        <w:rPr>
          <w:noProof/>
        </w:rPr>
        <w:drawing>
          <wp:inline distT="0" distB="0" distL="0" distR="0" wp14:anchorId="334CDD1D" wp14:editId="26CB8245">
            <wp:extent cx="3545363" cy="315454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3566938" cy="3173742"/>
                    </a:xfrm>
                    <a:prstGeom prst="rect">
                      <a:avLst/>
                    </a:prstGeom>
                  </pic:spPr>
                </pic:pic>
              </a:graphicData>
            </a:graphic>
          </wp:inline>
        </w:drawing>
      </w:r>
    </w:p>
    <w:p w14:paraId="2E1BE5F3" w14:textId="316A12EA" w:rsidR="00925CA2" w:rsidRPr="00A52AB8" w:rsidRDefault="00925CA2" w:rsidP="004A7026">
      <w:pPr>
        <w:pStyle w:val="Caption"/>
        <w:rPr>
          <w:rFonts w:ascii="Cambria" w:hAnsi="Cambria"/>
          <w:b w:val="0"/>
          <w:bCs w:val="0"/>
        </w:rPr>
      </w:pPr>
      <w:bookmarkStart w:id="6564" w:name="_Ref48420549"/>
      <w:bookmarkStart w:id="6565" w:name="_Ref47889477"/>
      <w:r w:rsidRPr="00A52AB8">
        <w:rPr>
          <w:rFonts w:ascii="Cambria" w:hAnsi="Cambria"/>
        </w:rPr>
        <w:t>Figure H-</w:t>
      </w:r>
      <w:bookmarkEnd w:id="6564"/>
      <w:bookmarkEnd w:id="6565"/>
      <w:r w:rsidR="006A7854" w:rsidRPr="00496A4D">
        <w:rPr>
          <w:rFonts w:ascii="Cambria" w:hAnsi="Cambria"/>
        </w:rPr>
        <w:fldChar w:fldCharType="begin"/>
      </w:r>
      <w:r w:rsidR="006A7854" w:rsidRPr="00A52AB8">
        <w:rPr>
          <w:rFonts w:ascii="Cambria" w:hAnsi="Cambria"/>
        </w:rPr>
        <w:instrText xml:space="preserve"> SEQ Figure \* ARABIC </w:instrText>
      </w:r>
      <w:r w:rsidR="006A7854" w:rsidRPr="00496A4D">
        <w:rPr>
          <w:rFonts w:ascii="Cambria" w:hAnsi="Cambria"/>
        </w:rPr>
        <w:fldChar w:fldCharType="separate"/>
      </w:r>
      <w:r w:rsidR="00507A67">
        <w:rPr>
          <w:rFonts w:ascii="Cambria" w:hAnsi="Cambria"/>
          <w:noProof/>
        </w:rPr>
        <w:t>3</w:t>
      </w:r>
      <w:r w:rsidR="006A7854" w:rsidRPr="00496A4D">
        <w:rPr>
          <w:rFonts w:ascii="Cambria" w:hAnsi="Cambria"/>
        </w:rPr>
        <w:fldChar w:fldCharType="end"/>
      </w:r>
      <w:r w:rsidR="006A7854" w:rsidRPr="00A52AB8">
        <w:rPr>
          <w:rFonts w:ascii="Cambria" w:hAnsi="Cambria"/>
        </w:rPr>
        <w:t> – </w:t>
      </w:r>
      <w:r w:rsidRPr="00A52AB8">
        <w:rPr>
          <w:rFonts w:ascii="Cambria" w:hAnsi="Cambria"/>
        </w:rPr>
        <w:t>An example of an occupancy frame with EOM coded points</w:t>
      </w:r>
    </w:p>
    <w:p w14:paraId="77EA0E9F" w14:textId="5AD17624" w:rsidR="006D74F2" w:rsidRPr="00A52AB8" w:rsidRDefault="006D74F2" w:rsidP="00587178">
      <w:pPr>
        <w:pStyle w:val="a3"/>
        <w:numPr>
          <w:ilvl w:val="2"/>
          <w:numId w:val="14"/>
        </w:numPr>
      </w:pPr>
      <w:bookmarkStart w:id="6566" w:name="_Toc48750429"/>
      <w:bookmarkStart w:id="6567" w:name="_Toc48753403"/>
      <w:bookmarkStart w:id="6568" w:name="_Toc48753938"/>
      <w:bookmarkStart w:id="6569" w:name="_Toc48821345"/>
      <w:bookmarkStart w:id="6570" w:name="_Toc48822690"/>
      <w:bookmarkStart w:id="6571" w:name="_Toc49013068"/>
      <w:bookmarkStart w:id="6572" w:name="_Toc49013613"/>
      <w:bookmarkStart w:id="6573" w:name="_Toc49014730"/>
      <w:bookmarkStart w:id="6574" w:name="_Toc49095966"/>
      <w:bookmarkStart w:id="6575" w:name="_Toc48750430"/>
      <w:bookmarkStart w:id="6576" w:name="_Toc48753404"/>
      <w:bookmarkStart w:id="6577" w:name="_Toc48753939"/>
      <w:bookmarkStart w:id="6578" w:name="_Toc48821346"/>
      <w:bookmarkStart w:id="6579" w:name="_Toc48822691"/>
      <w:bookmarkStart w:id="6580" w:name="_Toc49013069"/>
      <w:bookmarkStart w:id="6581" w:name="_Toc49013614"/>
      <w:bookmarkStart w:id="6582" w:name="_Toc49014731"/>
      <w:bookmarkStart w:id="6583" w:name="_Toc49095967"/>
      <w:bookmarkStart w:id="6584" w:name="_Toc48750431"/>
      <w:bookmarkStart w:id="6585" w:name="_Toc48753405"/>
      <w:bookmarkStart w:id="6586" w:name="_Toc48753940"/>
      <w:bookmarkStart w:id="6587" w:name="_Toc48821347"/>
      <w:bookmarkStart w:id="6588" w:name="_Toc48822692"/>
      <w:bookmarkStart w:id="6589" w:name="_Toc49013070"/>
      <w:bookmarkStart w:id="6590" w:name="_Toc49013615"/>
      <w:bookmarkStart w:id="6591" w:name="_Toc49014732"/>
      <w:bookmarkStart w:id="6592" w:name="_Toc49095968"/>
      <w:bookmarkStart w:id="6593" w:name="_Toc47685857"/>
      <w:bookmarkStart w:id="6594" w:name="_Toc47685858"/>
      <w:bookmarkStart w:id="6595" w:name="_Toc47685859"/>
      <w:bookmarkStart w:id="6596" w:name="_Toc47685860"/>
      <w:bookmarkStart w:id="6597" w:name="_Toc47685861"/>
      <w:bookmarkStart w:id="6598" w:name="_Toc47685862"/>
      <w:bookmarkStart w:id="6599" w:name="_Toc47685863"/>
      <w:bookmarkStart w:id="6600" w:name="_Toc47685864"/>
      <w:bookmarkStart w:id="6601" w:name="_Toc47685865"/>
      <w:bookmarkStart w:id="6602" w:name="_Toc47685866"/>
      <w:bookmarkStart w:id="6603" w:name="_Toc47685867"/>
      <w:bookmarkStart w:id="6604" w:name="_Toc47685868"/>
      <w:bookmarkStart w:id="6605" w:name="_Toc47685869"/>
      <w:bookmarkStart w:id="6606" w:name="_Toc47685870"/>
      <w:bookmarkStart w:id="6607" w:name="_Toc47685871"/>
      <w:bookmarkStart w:id="6608" w:name="_Toc47685872"/>
      <w:bookmarkStart w:id="6609" w:name="_Toc47685873"/>
      <w:bookmarkStart w:id="6610" w:name="_Toc47685874"/>
      <w:bookmarkStart w:id="6611" w:name="_Toc47685875"/>
      <w:bookmarkStart w:id="6612" w:name="_Toc47685876"/>
      <w:bookmarkStart w:id="6613" w:name="_Toc47685877"/>
      <w:bookmarkStart w:id="6614" w:name="_Toc47685878"/>
      <w:bookmarkStart w:id="6615" w:name="_Toc47685879"/>
      <w:bookmarkStart w:id="6616" w:name="_Toc47685880"/>
      <w:bookmarkStart w:id="6617" w:name="_Toc47685881"/>
      <w:bookmarkStart w:id="6618" w:name="_Toc47685882"/>
      <w:bookmarkStart w:id="6619" w:name="_Toc47685883"/>
      <w:bookmarkStart w:id="6620" w:name="_Toc47685884"/>
      <w:bookmarkStart w:id="6621" w:name="_Toc47685885"/>
      <w:bookmarkStart w:id="6622" w:name="_Toc47685886"/>
      <w:bookmarkStart w:id="6623" w:name="_Toc47685887"/>
      <w:bookmarkStart w:id="6624" w:name="_Toc47685888"/>
      <w:bookmarkStart w:id="6625" w:name="_Toc47685889"/>
      <w:bookmarkStart w:id="6626" w:name="_Toc47685890"/>
      <w:bookmarkStart w:id="6627" w:name="_Toc47685891"/>
      <w:bookmarkStart w:id="6628" w:name="_Toc47685892"/>
      <w:bookmarkStart w:id="6629" w:name="_Toc47685893"/>
      <w:bookmarkStart w:id="6630" w:name="_Toc47685894"/>
      <w:bookmarkStart w:id="6631" w:name="_Toc47685895"/>
      <w:bookmarkStart w:id="6632" w:name="_Toc42730509"/>
      <w:bookmarkStart w:id="6633" w:name="_Toc45105980"/>
      <w:bookmarkStart w:id="6634" w:name="_Toc45530893"/>
      <w:bookmarkStart w:id="6635" w:name="_Toc46302260"/>
      <w:bookmarkStart w:id="6636" w:name="_Toc46303085"/>
      <w:bookmarkStart w:id="6637" w:name="_Toc47685896"/>
      <w:bookmarkStart w:id="6638" w:name="_Toc47685897"/>
      <w:bookmarkStart w:id="6639" w:name="_Toc47685898"/>
      <w:bookmarkStart w:id="6640" w:name="_Toc47685899"/>
      <w:bookmarkStart w:id="6641" w:name="_Toc47685900"/>
      <w:bookmarkStart w:id="6642" w:name="_Toc47685901"/>
      <w:bookmarkStart w:id="6643" w:name="_Toc47685902"/>
      <w:bookmarkStart w:id="6644" w:name="_Toc47685903"/>
      <w:bookmarkStart w:id="6645" w:name="_Toc47685904"/>
      <w:bookmarkStart w:id="6646" w:name="_Toc47685905"/>
      <w:bookmarkStart w:id="6647" w:name="_Toc47685906"/>
      <w:bookmarkStart w:id="6648" w:name="_Toc47685907"/>
      <w:bookmarkStart w:id="6649" w:name="_Toc47685908"/>
      <w:bookmarkStart w:id="6650" w:name="_Toc47685909"/>
      <w:bookmarkStart w:id="6651" w:name="_Toc47685910"/>
      <w:bookmarkStart w:id="6652" w:name="_Toc47685911"/>
      <w:bookmarkStart w:id="6653" w:name="_Toc47685912"/>
      <w:bookmarkStart w:id="6654" w:name="_Toc47685913"/>
      <w:bookmarkStart w:id="6655" w:name="_Toc47685914"/>
      <w:bookmarkStart w:id="6656" w:name="_Toc47685915"/>
      <w:bookmarkStart w:id="6657" w:name="_Toc47685916"/>
      <w:bookmarkStart w:id="6658" w:name="_Toc47685917"/>
      <w:bookmarkStart w:id="6659" w:name="_Toc47685918"/>
      <w:bookmarkStart w:id="6660" w:name="_Toc47685919"/>
      <w:bookmarkStart w:id="6661" w:name="_Toc47685920"/>
      <w:bookmarkStart w:id="6662" w:name="_Toc47685921"/>
      <w:bookmarkStart w:id="6663" w:name="_Toc47685922"/>
      <w:bookmarkStart w:id="6664" w:name="_Toc47685923"/>
      <w:bookmarkStart w:id="6665" w:name="_Toc47685924"/>
      <w:bookmarkStart w:id="6666" w:name="_Toc47685925"/>
      <w:bookmarkStart w:id="6667" w:name="_Toc47685926"/>
      <w:bookmarkStart w:id="6668" w:name="_Toc47685927"/>
      <w:bookmarkStart w:id="6669" w:name="_Toc47685928"/>
      <w:bookmarkStart w:id="6670" w:name="_Toc47685929"/>
      <w:bookmarkStart w:id="6671" w:name="_Toc47685930"/>
      <w:bookmarkStart w:id="6672" w:name="_Toc47685931"/>
      <w:bookmarkStart w:id="6673" w:name="_Toc47685932"/>
      <w:bookmarkStart w:id="6674" w:name="_Toc47685933"/>
      <w:bookmarkStart w:id="6675" w:name="_Toc47685934"/>
      <w:bookmarkStart w:id="6676" w:name="_Toc47685935"/>
      <w:bookmarkStart w:id="6677" w:name="_Toc47685936"/>
      <w:bookmarkStart w:id="6678" w:name="_Toc47685937"/>
      <w:bookmarkStart w:id="6679" w:name="_Toc47685938"/>
      <w:bookmarkStart w:id="6680" w:name="_Toc47685939"/>
      <w:bookmarkStart w:id="6681" w:name="_Toc47685940"/>
      <w:bookmarkStart w:id="6682" w:name="_Toc47685941"/>
      <w:bookmarkStart w:id="6683" w:name="_Toc47685942"/>
      <w:bookmarkStart w:id="6684" w:name="_Toc47685943"/>
      <w:bookmarkStart w:id="6685" w:name="_Toc47685944"/>
      <w:bookmarkStart w:id="6686" w:name="_Toc47685945"/>
      <w:bookmarkStart w:id="6687" w:name="_Toc47685946"/>
      <w:bookmarkStart w:id="6688" w:name="_Toc47685947"/>
      <w:bookmarkStart w:id="6689" w:name="_Toc47685948"/>
      <w:bookmarkStart w:id="6690" w:name="_Toc47685949"/>
      <w:bookmarkStart w:id="6691" w:name="_Toc47685950"/>
      <w:bookmarkStart w:id="6692" w:name="_Toc47685951"/>
      <w:bookmarkStart w:id="6693" w:name="_Toc47685952"/>
      <w:bookmarkStart w:id="6694" w:name="_Toc47685953"/>
      <w:bookmarkStart w:id="6695" w:name="_Toc47685954"/>
      <w:bookmarkStart w:id="6696" w:name="_Toc47685955"/>
      <w:bookmarkStart w:id="6697" w:name="_Toc47685956"/>
      <w:bookmarkStart w:id="6698" w:name="_Toc47685957"/>
      <w:bookmarkStart w:id="6699" w:name="_Toc47685958"/>
      <w:bookmarkStart w:id="6700" w:name="_Toc47685959"/>
      <w:bookmarkStart w:id="6701" w:name="_Toc47685960"/>
      <w:bookmarkStart w:id="6702" w:name="_Toc47685961"/>
      <w:bookmarkStart w:id="6703" w:name="_Toc47685962"/>
      <w:bookmarkStart w:id="6704" w:name="_Toc47685963"/>
      <w:bookmarkStart w:id="6705" w:name="_Toc47685964"/>
      <w:bookmarkStart w:id="6706" w:name="_Toc47685965"/>
      <w:bookmarkStart w:id="6707" w:name="_Toc47685966"/>
      <w:bookmarkStart w:id="6708" w:name="_Toc47685967"/>
      <w:bookmarkStart w:id="6709" w:name="_Toc47685968"/>
      <w:bookmarkStart w:id="6710" w:name="_Toc47685969"/>
      <w:bookmarkStart w:id="6711" w:name="_Toc47685970"/>
      <w:bookmarkStart w:id="6712" w:name="_Toc47685971"/>
      <w:bookmarkStart w:id="6713" w:name="_Toc47685972"/>
      <w:bookmarkStart w:id="6714" w:name="_Toc47685973"/>
      <w:bookmarkStart w:id="6715" w:name="_Toc47685974"/>
      <w:bookmarkStart w:id="6716" w:name="_Toc47685975"/>
      <w:bookmarkStart w:id="6717" w:name="_Toc47685976"/>
      <w:bookmarkStart w:id="6718" w:name="_Toc47685977"/>
      <w:bookmarkStart w:id="6719" w:name="_Toc47685978"/>
      <w:bookmarkStart w:id="6720" w:name="_Toc47685979"/>
      <w:bookmarkStart w:id="6721" w:name="_Toc47685980"/>
      <w:bookmarkStart w:id="6722" w:name="_Toc47685981"/>
      <w:bookmarkStart w:id="6723" w:name="_Toc47685982"/>
      <w:bookmarkStart w:id="6724" w:name="_Toc47685983"/>
      <w:bookmarkStart w:id="6725" w:name="_Toc47685984"/>
      <w:bookmarkStart w:id="6726" w:name="_Ref38890359"/>
      <w:bookmarkStart w:id="6727" w:name="_Toc52181794"/>
      <w:bookmarkEnd w:id="6558"/>
      <w:bookmarkEnd w:id="6559"/>
      <w:bookmarkEnd w:id="6560"/>
      <w:bookmarkEnd w:id="6561"/>
      <w:bookmarkEnd w:id="6566"/>
      <w:bookmarkEnd w:id="6567"/>
      <w:bookmarkEnd w:id="6568"/>
      <w:bookmarkEnd w:id="6569"/>
      <w:bookmarkEnd w:id="6570"/>
      <w:bookmarkEnd w:id="6571"/>
      <w:bookmarkEnd w:id="6572"/>
      <w:bookmarkEnd w:id="6573"/>
      <w:bookmarkEnd w:id="6574"/>
      <w:bookmarkEnd w:id="6575"/>
      <w:bookmarkEnd w:id="6576"/>
      <w:bookmarkEnd w:id="6577"/>
      <w:bookmarkEnd w:id="6578"/>
      <w:bookmarkEnd w:id="6579"/>
      <w:bookmarkEnd w:id="6580"/>
      <w:bookmarkEnd w:id="6581"/>
      <w:bookmarkEnd w:id="6582"/>
      <w:bookmarkEnd w:id="6583"/>
      <w:bookmarkEnd w:id="6584"/>
      <w:bookmarkEnd w:id="6585"/>
      <w:bookmarkEnd w:id="6586"/>
      <w:bookmarkEnd w:id="6587"/>
      <w:bookmarkEnd w:id="6588"/>
      <w:bookmarkEnd w:id="6589"/>
      <w:bookmarkEnd w:id="6590"/>
      <w:bookmarkEnd w:id="6591"/>
      <w:bookmarkEnd w:id="6592"/>
      <w:bookmarkEnd w:id="6593"/>
      <w:bookmarkEnd w:id="6594"/>
      <w:bookmarkEnd w:id="6595"/>
      <w:bookmarkEnd w:id="6596"/>
      <w:bookmarkEnd w:id="6597"/>
      <w:bookmarkEnd w:id="6598"/>
      <w:bookmarkEnd w:id="6599"/>
      <w:bookmarkEnd w:id="6600"/>
      <w:bookmarkEnd w:id="6601"/>
      <w:bookmarkEnd w:id="6602"/>
      <w:bookmarkEnd w:id="6603"/>
      <w:bookmarkEnd w:id="6604"/>
      <w:bookmarkEnd w:id="6605"/>
      <w:bookmarkEnd w:id="6606"/>
      <w:bookmarkEnd w:id="6607"/>
      <w:bookmarkEnd w:id="6608"/>
      <w:bookmarkEnd w:id="6609"/>
      <w:bookmarkEnd w:id="6610"/>
      <w:bookmarkEnd w:id="6611"/>
      <w:bookmarkEnd w:id="6612"/>
      <w:bookmarkEnd w:id="6613"/>
      <w:bookmarkEnd w:id="6614"/>
      <w:bookmarkEnd w:id="6615"/>
      <w:bookmarkEnd w:id="6616"/>
      <w:bookmarkEnd w:id="6617"/>
      <w:bookmarkEnd w:id="6618"/>
      <w:bookmarkEnd w:id="6619"/>
      <w:bookmarkEnd w:id="6620"/>
      <w:bookmarkEnd w:id="6621"/>
      <w:bookmarkEnd w:id="6622"/>
      <w:bookmarkEnd w:id="6623"/>
      <w:bookmarkEnd w:id="6624"/>
      <w:bookmarkEnd w:id="6625"/>
      <w:bookmarkEnd w:id="6626"/>
      <w:bookmarkEnd w:id="6627"/>
      <w:bookmarkEnd w:id="6628"/>
      <w:bookmarkEnd w:id="6629"/>
      <w:bookmarkEnd w:id="6630"/>
      <w:bookmarkEnd w:id="6631"/>
      <w:bookmarkEnd w:id="6632"/>
      <w:bookmarkEnd w:id="6633"/>
      <w:bookmarkEnd w:id="6634"/>
      <w:bookmarkEnd w:id="6635"/>
      <w:bookmarkEnd w:id="6636"/>
      <w:bookmarkEnd w:id="6637"/>
      <w:bookmarkEnd w:id="6638"/>
      <w:bookmarkEnd w:id="6639"/>
      <w:bookmarkEnd w:id="6640"/>
      <w:bookmarkEnd w:id="6641"/>
      <w:bookmarkEnd w:id="6642"/>
      <w:bookmarkEnd w:id="6643"/>
      <w:bookmarkEnd w:id="6644"/>
      <w:bookmarkEnd w:id="6645"/>
      <w:bookmarkEnd w:id="6646"/>
      <w:bookmarkEnd w:id="6647"/>
      <w:bookmarkEnd w:id="6648"/>
      <w:bookmarkEnd w:id="6649"/>
      <w:bookmarkEnd w:id="6650"/>
      <w:bookmarkEnd w:id="6651"/>
      <w:bookmarkEnd w:id="6652"/>
      <w:bookmarkEnd w:id="6653"/>
      <w:bookmarkEnd w:id="6654"/>
      <w:bookmarkEnd w:id="6655"/>
      <w:bookmarkEnd w:id="6656"/>
      <w:bookmarkEnd w:id="6657"/>
      <w:bookmarkEnd w:id="6658"/>
      <w:bookmarkEnd w:id="6659"/>
      <w:bookmarkEnd w:id="6660"/>
      <w:bookmarkEnd w:id="6661"/>
      <w:bookmarkEnd w:id="6662"/>
      <w:bookmarkEnd w:id="6663"/>
      <w:bookmarkEnd w:id="6664"/>
      <w:bookmarkEnd w:id="6665"/>
      <w:bookmarkEnd w:id="6666"/>
      <w:bookmarkEnd w:id="6667"/>
      <w:bookmarkEnd w:id="6668"/>
      <w:bookmarkEnd w:id="6669"/>
      <w:bookmarkEnd w:id="6670"/>
      <w:bookmarkEnd w:id="6671"/>
      <w:bookmarkEnd w:id="6672"/>
      <w:bookmarkEnd w:id="6673"/>
      <w:bookmarkEnd w:id="6674"/>
      <w:bookmarkEnd w:id="6675"/>
      <w:bookmarkEnd w:id="6676"/>
      <w:bookmarkEnd w:id="6677"/>
      <w:bookmarkEnd w:id="6678"/>
      <w:bookmarkEnd w:id="6679"/>
      <w:bookmarkEnd w:id="6680"/>
      <w:bookmarkEnd w:id="6681"/>
      <w:bookmarkEnd w:id="6682"/>
      <w:bookmarkEnd w:id="6683"/>
      <w:bookmarkEnd w:id="6684"/>
      <w:bookmarkEnd w:id="6685"/>
      <w:bookmarkEnd w:id="6686"/>
      <w:bookmarkEnd w:id="6687"/>
      <w:bookmarkEnd w:id="6688"/>
      <w:bookmarkEnd w:id="6689"/>
      <w:bookmarkEnd w:id="6690"/>
      <w:bookmarkEnd w:id="6691"/>
      <w:bookmarkEnd w:id="6692"/>
      <w:bookmarkEnd w:id="6693"/>
      <w:bookmarkEnd w:id="6694"/>
      <w:bookmarkEnd w:id="6695"/>
      <w:bookmarkEnd w:id="6696"/>
      <w:bookmarkEnd w:id="6697"/>
      <w:bookmarkEnd w:id="6698"/>
      <w:bookmarkEnd w:id="6699"/>
      <w:bookmarkEnd w:id="6700"/>
      <w:bookmarkEnd w:id="6701"/>
      <w:bookmarkEnd w:id="6702"/>
      <w:bookmarkEnd w:id="6703"/>
      <w:bookmarkEnd w:id="6704"/>
      <w:bookmarkEnd w:id="6705"/>
      <w:bookmarkEnd w:id="6706"/>
      <w:bookmarkEnd w:id="6707"/>
      <w:bookmarkEnd w:id="6708"/>
      <w:bookmarkEnd w:id="6709"/>
      <w:bookmarkEnd w:id="6710"/>
      <w:bookmarkEnd w:id="6711"/>
      <w:bookmarkEnd w:id="6712"/>
      <w:bookmarkEnd w:id="6713"/>
      <w:bookmarkEnd w:id="6714"/>
      <w:bookmarkEnd w:id="6715"/>
      <w:bookmarkEnd w:id="6716"/>
      <w:bookmarkEnd w:id="6717"/>
      <w:bookmarkEnd w:id="6718"/>
      <w:bookmarkEnd w:id="6719"/>
      <w:bookmarkEnd w:id="6720"/>
      <w:bookmarkEnd w:id="6721"/>
      <w:bookmarkEnd w:id="6722"/>
      <w:bookmarkEnd w:id="6723"/>
      <w:bookmarkEnd w:id="6724"/>
      <w:bookmarkEnd w:id="6725"/>
      <w:r w:rsidRPr="00A52AB8">
        <w:t>Reconstruction of RAW patches</w:t>
      </w:r>
      <w:bookmarkEnd w:id="6726"/>
      <w:bookmarkEnd w:id="6727"/>
    </w:p>
    <w:p w14:paraId="693FE5FE" w14:textId="77777777" w:rsidR="006D74F2" w:rsidRPr="00A52AB8" w:rsidRDefault="006D74F2" w:rsidP="006D74F2">
      <w:pPr>
        <w:rPr>
          <w:color w:val="000000" w:themeColor="text1"/>
        </w:rPr>
      </w:pPr>
      <w:r w:rsidRPr="00A52AB8">
        <w:rPr>
          <w:color w:val="000000" w:themeColor="text1"/>
        </w:rPr>
        <w:t>Inputs to this process are:</w:t>
      </w:r>
    </w:p>
    <w:p w14:paraId="53672168" w14:textId="77777777" w:rsidR="006D74F2" w:rsidRPr="00A52AB8"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variable pointCnt</w:t>
      </w:r>
      <w:r w:rsidR="00EE6CE1" w:rsidRPr="00A52AB8">
        <w:rPr>
          <w:color w:val="000000" w:themeColor="text1"/>
        </w:rPr>
        <w:t xml:space="preserve">, </w:t>
      </w:r>
      <w:r w:rsidRPr="00A52AB8">
        <w:rPr>
          <w:color w:val="000000" w:themeColor="text1"/>
        </w:rPr>
        <w:t>the number of points in the reconstructed point cloud frame</w:t>
      </w:r>
      <w:r w:rsidR="00EE6CE1" w:rsidRPr="00A52AB8">
        <w:rPr>
          <w:color w:val="000000" w:themeColor="text1"/>
        </w:rPr>
        <w:t>,</w:t>
      </w:r>
    </w:p>
    <w:p w14:paraId="36796E58" w14:textId="77777777" w:rsidR="00567021" w:rsidRPr="00A52AB8" w:rsidRDefault="00567021"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variable pIdx, the index of the patch,</w:t>
      </w:r>
    </w:p>
    <w:p w14:paraId="6B8AFE75" w14:textId="77777777" w:rsidR="001E5FB3" w:rsidRPr="00A52AB8" w:rsidRDefault="001E5FB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variable </w:t>
      </w:r>
      <w:r w:rsidR="00977172" w:rsidRPr="00A52AB8">
        <w:rPr>
          <w:color w:val="000000" w:themeColor="text1"/>
        </w:rPr>
        <w:t>frameHeight</w:t>
      </w:r>
      <w:r w:rsidRPr="00A52AB8">
        <w:rPr>
          <w:color w:val="000000" w:themeColor="text1"/>
        </w:rPr>
        <w:t>, the height of the decoded geometry and possibly decoded attributes frames,</w:t>
      </w:r>
    </w:p>
    <w:p w14:paraId="4E50BC33" w14:textId="77777777" w:rsidR="001E5FB3" w:rsidRPr="00A52AB8" w:rsidRDefault="001E5FB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variable </w:t>
      </w:r>
      <w:r w:rsidR="00977172" w:rsidRPr="00A52AB8">
        <w:rPr>
          <w:color w:val="000000" w:themeColor="text1"/>
        </w:rPr>
        <w:t>frameWidth</w:t>
      </w:r>
      <w:r w:rsidRPr="00A52AB8">
        <w:rPr>
          <w:color w:val="000000" w:themeColor="text1"/>
        </w:rPr>
        <w:t>, the width of the decoded geometry and possibly decoded attributes frames,</w:t>
      </w:r>
    </w:p>
    <w:p w14:paraId="0A50C75F" w14:textId="6979F492" w:rsidR="001E5FB3" w:rsidRPr="00A52AB8" w:rsidRDefault="001E5FB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w:t>
      </w:r>
      <w:r w:rsidR="002614CA" w:rsidRPr="00A52AB8">
        <w:rPr>
          <w:color w:val="000000" w:themeColor="text1"/>
        </w:rPr>
        <w:t xml:space="preserve"> 1D</w:t>
      </w:r>
      <w:r w:rsidRPr="00A52AB8">
        <w:rPr>
          <w:color w:val="000000" w:themeColor="text1"/>
        </w:rPr>
        <w:t xml:space="preserve"> array pointToPatch,</w:t>
      </w:r>
      <w:r w:rsidR="008546B3" w:rsidRPr="00A52AB8">
        <w:rPr>
          <w:color w:val="000000" w:themeColor="text1"/>
        </w:rPr>
        <w:t xml:space="preserve"> of size pointCnt,</w:t>
      </w:r>
      <w:r w:rsidRPr="00A52AB8">
        <w:rPr>
          <w:color w:val="000000" w:themeColor="text1"/>
        </w:rPr>
        <w:t xml:space="preserve"> </w:t>
      </w:r>
      <w:r w:rsidR="008546B3" w:rsidRPr="00A52AB8">
        <w:rPr>
          <w:color w:val="000000" w:themeColor="text1"/>
        </w:rPr>
        <w:t xml:space="preserve">specifying </w:t>
      </w:r>
      <w:r w:rsidRPr="00A52AB8">
        <w:rPr>
          <w:color w:val="000000" w:themeColor="text1"/>
        </w:rPr>
        <w:t>the patch index for the reconstructed point,</w:t>
      </w:r>
    </w:p>
    <w:p w14:paraId="57FD4EFE" w14:textId="0C19A217" w:rsidR="001E5FB3" w:rsidRPr="00A52AB8" w:rsidRDefault="001E5FB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w:t>
      </w:r>
      <w:r w:rsidR="002614CA" w:rsidRPr="00A52AB8">
        <w:rPr>
          <w:color w:val="000000" w:themeColor="text1"/>
        </w:rPr>
        <w:t xml:space="preserve"> 2D</w:t>
      </w:r>
      <w:r w:rsidRPr="00A52AB8">
        <w:rPr>
          <w:color w:val="000000" w:themeColor="text1"/>
        </w:rPr>
        <w:t xml:space="preserve"> array pointToPixel, </w:t>
      </w:r>
      <w:r w:rsidR="008546B3" w:rsidRPr="00A52AB8">
        <w:rPr>
          <w:color w:val="000000" w:themeColor="text1"/>
        </w:rPr>
        <w:t xml:space="preserve">of size pointCnt × 2, specifying </w:t>
      </w:r>
      <w:r w:rsidRPr="00A52AB8">
        <w:rPr>
          <w:color w:val="000000" w:themeColor="text1"/>
        </w:rPr>
        <w:t>the atlas coordinates for the reconstructed point</w:t>
      </w:r>
      <w:r w:rsidR="00DE3AA8" w:rsidRPr="00A52AB8">
        <w:rPr>
          <w:color w:val="000000" w:themeColor="text1"/>
        </w:rPr>
        <w:t>,</w:t>
      </w:r>
    </w:p>
    <w:p w14:paraId="2BCC4B0E" w14:textId="4AADB7B6" w:rsidR="001E5FB3" w:rsidRPr="00A52AB8" w:rsidRDefault="001E5FB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w:t>
      </w:r>
      <w:r w:rsidR="002614CA" w:rsidRPr="00A52AB8">
        <w:rPr>
          <w:color w:val="000000" w:themeColor="text1"/>
        </w:rPr>
        <w:t xml:space="preserve"> 1D </w:t>
      </w:r>
      <w:r w:rsidRPr="00A52AB8">
        <w:rPr>
          <w:color w:val="000000" w:themeColor="text1"/>
        </w:rPr>
        <w:t xml:space="preserve">array attrPresent, </w:t>
      </w:r>
      <w:r w:rsidR="008546B3" w:rsidRPr="00A52AB8">
        <w:rPr>
          <w:color w:val="000000" w:themeColor="text1"/>
        </w:rPr>
        <w:t xml:space="preserve">of size pointCnt, </w:t>
      </w:r>
      <w:r w:rsidRPr="00A52AB8">
        <w:rPr>
          <w:color w:val="000000" w:themeColor="text1"/>
        </w:rPr>
        <w:t xml:space="preserve">specifying whether the attribute values for </w:t>
      </w:r>
      <w:r w:rsidR="008546B3" w:rsidRPr="00A52AB8">
        <w:rPr>
          <w:color w:val="000000" w:themeColor="text1"/>
        </w:rPr>
        <w:t xml:space="preserve">a </w:t>
      </w:r>
      <w:r w:rsidRPr="00A52AB8">
        <w:rPr>
          <w:color w:val="000000" w:themeColor="text1"/>
        </w:rPr>
        <w:t>reconstructed point are present in the attribute video bitstream,</w:t>
      </w:r>
    </w:p>
    <w:p w14:paraId="57681753" w14:textId="2C548F1F" w:rsidR="00F72437" w:rsidRPr="00A52AB8"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w:t>
      </w:r>
      <w:r w:rsidR="002614CA" w:rsidRPr="00A52AB8">
        <w:rPr>
          <w:color w:val="000000" w:themeColor="text1"/>
        </w:rPr>
        <w:t xml:space="preserve"> 2D</w:t>
      </w:r>
      <w:r w:rsidRPr="00A52AB8">
        <w:rPr>
          <w:color w:val="000000" w:themeColor="text1"/>
        </w:rPr>
        <w:t xml:space="preserve"> array gFrame, </w:t>
      </w:r>
      <w:r w:rsidR="004B6B7B" w:rsidRPr="00A52AB8">
        <w:rPr>
          <w:color w:val="000000" w:themeColor="text1"/>
        </w:rPr>
        <w:t xml:space="preserve">of size frameHeight × frameWidth, specifying </w:t>
      </w:r>
      <w:r w:rsidR="00F72437" w:rsidRPr="00A52AB8">
        <w:rPr>
          <w:color w:val="000000" w:themeColor="text1"/>
        </w:rPr>
        <w:t xml:space="preserve">the decoded geometry frames in </w:t>
      </w:r>
      <w:r w:rsidR="0065222A" w:rsidRPr="00A52AB8">
        <w:rPr>
          <w:color w:val="000000" w:themeColor="text1"/>
        </w:rPr>
        <w:t xml:space="preserve">the </w:t>
      </w:r>
      <w:r w:rsidR="00F72437" w:rsidRPr="00A52AB8">
        <w:rPr>
          <w:color w:val="000000" w:themeColor="text1"/>
        </w:rPr>
        <w:t>nominal format, and</w:t>
      </w:r>
    </w:p>
    <w:p w14:paraId="4F53B0AE" w14:textId="7ACC43D5" w:rsidR="00021C97" w:rsidRPr="00A52AB8"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w:t>
      </w:r>
      <w:r w:rsidR="002614CA" w:rsidRPr="00A52AB8">
        <w:rPr>
          <w:color w:val="000000" w:themeColor="text1"/>
        </w:rPr>
        <w:t xml:space="preserve"> 2D</w:t>
      </w:r>
      <w:r w:rsidRPr="00A52AB8">
        <w:rPr>
          <w:color w:val="000000" w:themeColor="text1"/>
        </w:rPr>
        <w:t xml:space="preserve"> array recPcGeo, </w:t>
      </w:r>
      <w:r w:rsidR="004B6B7B" w:rsidRPr="00A52AB8">
        <w:rPr>
          <w:color w:val="000000" w:themeColor="text1"/>
        </w:rPr>
        <w:t xml:space="preserve">of size pointCnt × 3, specifying </w:t>
      </w:r>
      <w:r w:rsidR="00F72437" w:rsidRPr="00A52AB8">
        <w:rPr>
          <w:color w:val="000000" w:themeColor="text1"/>
        </w:rPr>
        <w:t>a list of coordinates of the points in the reconstructed point cloud frame.</w:t>
      </w:r>
    </w:p>
    <w:p w14:paraId="58ADE1C5" w14:textId="76DE63EE" w:rsidR="00EE6CE1" w:rsidRPr="00A52AB8" w:rsidRDefault="00021C97" w:rsidP="00DB0E50">
      <w:p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403"/>
        <w:textAlignment w:val="baseline"/>
        <w:rPr>
          <w:color w:val="000000" w:themeColor="text1"/>
        </w:rPr>
      </w:pPr>
      <w:r w:rsidRPr="00A52AB8">
        <w:rPr>
          <w:color w:val="000000" w:themeColor="text1"/>
        </w:rPr>
        <w:t>Additionally, when ai_attribute_count</w:t>
      </w:r>
      <w:r w:rsidR="00EC3634" w:rsidRPr="00A52AB8">
        <w:rPr>
          <w:color w:val="000000" w:themeColor="text1"/>
        </w:rPr>
        <w:t>[ RecAtlasID </w:t>
      </w:r>
      <w:r w:rsidRPr="00A52AB8">
        <w:rPr>
          <w:color w:val="000000" w:themeColor="text1"/>
        </w:rPr>
        <w:t>] is greater than 0, the inputs to this process are:</w:t>
      </w:r>
    </w:p>
    <w:p w14:paraId="21BB2540" w14:textId="22995FD0" w:rsidR="00A00887" w:rsidRPr="00A52AB8" w:rsidRDefault="00A00887" w:rsidP="00F04500">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w:t>
      </w:r>
      <w:r w:rsidR="002614CA" w:rsidRPr="00A52AB8">
        <w:rPr>
          <w:color w:val="000000" w:themeColor="text1"/>
        </w:rPr>
        <w:t xml:space="preserve"> 4D</w:t>
      </w:r>
      <w:r w:rsidRPr="00A52AB8">
        <w:rPr>
          <w:color w:val="000000" w:themeColor="text1"/>
        </w:rPr>
        <w:t xml:space="preserve"> array aFrame, </w:t>
      </w:r>
      <w:r w:rsidR="004B6B7B" w:rsidRPr="00A52AB8">
        <w:rPr>
          <w:color w:val="000000" w:themeColor="text1"/>
        </w:rPr>
        <w:t xml:space="preserve">of size attribute_count[ RecAtlasID ] × ai_attribute_dimension_minus1[ RecAtlasID ][ attrIdx ] × frameHeight × frameWidth, specifying </w:t>
      </w:r>
      <w:r w:rsidRPr="00A52AB8">
        <w:rPr>
          <w:color w:val="000000" w:themeColor="text1"/>
        </w:rPr>
        <w:t xml:space="preserve">the decoded attribute frames in </w:t>
      </w:r>
      <w:r w:rsidR="0065222A" w:rsidRPr="00A52AB8">
        <w:rPr>
          <w:color w:val="000000" w:themeColor="text1"/>
        </w:rPr>
        <w:t xml:space="preserve">the </w:t>
      </w:r>
      <w:r w:rsidRPr="00A52AB8">
        <w:rPr>
          <w:color w:val="000000" w:themeColor="text1"/>
        </w:rPr>
        <w:t>nominal format,</w:t>
      </w:r>
      <w:r w:rsidR="00AC30F6" w:rsidRPr="00A52AB8">
        <w:rPr>
          <w:color w:val="000000" w:themeColor="text1"/>
        </w:rPr>
        <w:t xml:space="preserve"> and</w:t>
      </w:r>
    </w:p>
    <w:p w14:paraId="2390C432" w14:textId="7630C69F" w:rsidR="006D74F2" w:rsidRPr="00A52AB8"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w:t>
      </w:r>
      <w:r w:rsidR="002614CA" w:rsidRPr="00A52AB8">
        <w:rPr>
          <w:color w:val="000000" w:themeColor="text1"/>
        </w:rPr>
        <w:t xml:space="preserve"> 3D</w:t>
      </w:r>
      <w:r w:rsidRPr="00A52AB8">
        <w:rPr>
          <w:color w:val="000000" w:themeColor="text1"/>
        </w:rPr>
        <w:t xml:space="preserve"> array recPcAttr, </w:t>
      </w:r>
      <w:r w:rsidR="00060E25" w:rsidRPr="00A52AB8">
        <w:rPr>
          <w:color w:val="000000" w:themeColor="text1"/>
        </w:rPr>
        <w:t xml:space="preserve">of size pointCnt × ai_attribute_count[ RecAtlasID ] × ai_attribute_dimension_minus1[ RecAtlasID ][ attrIdx ], </w:t>
      </w:r>
      <w:r w:rsidRPr="00A52AB8">
        <w:rPr>
          <w:color w:val="000000" w:themeColor="text1"/>
        </w:rPr>
        <w:t>specifying a list of attributes associated with the points in the reconstructed point cloud frame</w:t>
      </w:r>
      <w:r w:rsidR="00060E25" w:rsidRPr="00A52AB8">
        <w:rPr>
          <w:color w:val="000000" w:themeColor="text1"/>
        </w:rPr>
        <w:t>.</w:t>
      </w:r>
    </w:p>
    <w:p w14:paraId="03C371A2" w14:textId="4840B18E" w:rsidR="006D74F2" w:rsidRPr="00A52AB8" w:rsidRDefault="006D74F2" w:rsidP="006D74F2">
      <w:pPr>
        <w:rPr>
          <w:color w:val="000000" w:themeColor="text1"/>
        </w:rPr>
      </w:pPr>
      <w:r w:rsidRPr="00A52AB8">
        <w:rPr>
          <w:color w:val="000000" w:themeColor="text1"/>
        </w:rPr>
        <w:t>Outputs of this process are</w:t>
      </w:r>
      <w:r w:rsidR="007E4DF9" w:rsidRPr="00A52AB8">
        <w:rPr>
          <w:color w:val="000000" w:themeColor="text1"/>
        </w:rPr>
        <w:t>:</w:t>
      </w:r>
    </w:p>
    <w:p w14:paraId="7BEB018E" w14:textId="39A72BD0" w:rsidR="007E4DF9" w:rsidRPr="00A52AB8" w:rsidRDefault="0015474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the </w:t>
      </w:r>
      <w:r w:rsidR="007E4DF9" w:rsidRPr="00A52AB8">
        <w:rPr>
          <w:color w:val="000000" w:themeColor="text1"/>
        </w:rPr>
        <w:t>modified variable pointCnt</w:t>
      </w:r>
      <w:r w:rsidR="00947CCE" w:rsidRPr="00A52AB8">
        <w:rPr>
          <w:color w:val="000000" w:themeColor="text1"/>
        </w:rPr>
        <w:t>,</w:t>
      </w:r>
    </w:p>
    <w:p w14:paraId="01A79D26" w14:textId="381B15DB" w:rsidR="002C566F" w:rsidRPr="00A52AB8" w:rsidRDefault="0015474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the </w:t>
      </w:r>
      <w:r w:rsidR="002C566F" w:rsidRPr="00A52AB8">
        <w:rPr>
          <w:color w:val="000000" w:themeColor="text1"/>
        </w:rPr>
        <w:t>modified array pointToPatch,</w:t>
      </w:r>
    </w:p>
    <w:p w14:paraId="16447853" w14:textId="09481546" w:rsidR="002C566F" w:rsidRPr="00A52AB8" w:rsidRDefault="0015474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the </w:t>
      </w:r>
      <w:r w:rsidR="002C566F" w:rsidRPr="00A52AB8">
        <w:rPr>
          <w:color w:val="000000" w:themeColor="text1"/>
        </w:rPr>
        <w:t>modified array pointToPixel,</w:t>
      </w:r>
    </w:p>
    <w:p w14:paraId="5BC8C080" w14:textId="776355C4" w:rsidR="002C566F" w:rsidRPr="00A52AB8" w:rsidRDefault="0015474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the </w:t>
      </w:r>
      <w:r w:rsidR="002C566F" w:rsidRPr="00A52AB8">
        <w:rPr>
          <w:color w:val="000000" w:themeColor="text1"/>
        </w:rPr>
        <w:t>modified array attrPresent,</w:t>
      </w:r>
    </w:p>
    <w:p w14:paraId="3F8DC441" w14:textId="464B8F5B" w:rsidR="006D74F2" w:rsidRPr="00A52AB8" w:rsidRDefault="0015474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the </w:t>
      </w:r>
      <w:r w:rsidR="007E4DF9" w:rsidRPr="00A52AB8">
        <w:rPr>
          <w:color w:val="000000" w:themeColor="text1"/>
        </w:rPr>
        <w:t xml:space="preserve">modified </w:t>
      </w:r>
      <w:r w:rsidR="00670916" w:rsidRPr="00A52AB8">
        <w:rPr>
          <w:color w:val="000000" w:themeColor="text1"/>
        </w:rPr>
        <w:t xml:space="preserve">array </w:t>
      </w:r>
      <w:r w:rsidR="006D74F2" w:rsidRPr="00A52AB8">
        <w:rPr>
          <w:color w:val="000000" w:themeColor="text1"/>
        </w:rPr>
        <w:t>recPcGeo</w:t>
      </w:r>
      <w:r w:rsidR="00947CCE" w:rsidRPr="00A52AB8">
        <w:rPr>
          <w:color w:val="000000" w:themeColor="text1"/>
        </w:rPr>
        <w:t>, and</w:t>
      </w:r>
    </w:p>
    <w:p w14:paraId="3CAEDA5D" w14:textId="00596542" w:rsidR="006D74F2" w:rsidRPr="00A52AB8" w:rsidRDefault="0015474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the </w:t>
      </w:r>
      <w:r w:rsidR="00670916" w:rsidRPr="00A52AB8">
        <w:rPr>
          <w:color w:val="000000" w:themeColor="text1"/>
        </w:rPr>
        <w:t xml:space="preserve">modified array </w:t>
      </w:r>
      <w:r w:rsidR="006D74F2" w:rsidRPr="00A52AB8">
        <w:rPr>
          <w:color w:val="000000" w:themeColor="text1"/>
        </w:rPr>
        <w:t>recPcAttr</w:t>
      </w:r>
      <w:r w:rsidR="00DE4AE6" w:rsidRPr="00A52AB8">
        <w:rPr>
          <w:color w:val="000000" w:themeColor="text1"/>
        </w:rPr>
        <w:t>.</w:t>
      </w:r>
    </w:p>
    <w:p w14:paraId="1AFBF914" w14:textId="63A891E0" w:rsidR="006D74F2" w:rsidRPr="00A52AB8" w:rsidRDefault="006D74F2" w:rsidP="006D74F2">
      <w:pPr>
        <w:rPr>
          <w:color w:val="000000" w:themeColor="text1"/>
        </w:rPr>
      </w:pPr>
      <w:r w:rsidRPr="00A52AB8">
        <w:rPr>
          <w:color w:val="000000" w:themeColor="text1"/>
        </w:rPr>
        <w:t xml:space="preserve">The </w:t>
      </w:r>
      <w:r w:rsidR="00B939C7" w:rsidRPr="00A52AB8">
        <w:rPr>
          <w:color w:val="000000" w:themeColor="text1"/>
        </w:rPr>
        <w:t>3D</w:t>
      </w:r>
      <w:r w:rsidRPr="00A52AB8">
        <w:rPr>
          <w:color w:val="000000" w:themeColor="text1"/>
        </w:rPr>
        <w:t xml:space="preserve"> coordinates of </w:t>
      </w:r>
      <w:r w:rsidR="00B25D4E" w:rsidRPr="00A52AB8">
        <w:rPr>
          <w:color w:val="000000" w:themeColor="text1"/>
        </w:rPr>
        <w:t xml:space="preserve">a </w:t>
      </w:r>
      <w:r w:rsidRPr="00A52AB8">
        <w:rPr>
          <w:color w:val="000000" w:themeColor="text1"/>
        </w:rPr>
        <w:t xml:space="preserve">RAW coded point </w:t>
      </w:r>
      <w:r w:rsidR="00B939C7" w:rsidRPr="00A52AB8">
        <w:rPr>
          <w:color w:val="000000" w:themeColor="text1"/>
        </w:rPr>
        <w:t xml:space="preserve">are </w:t>
      </w:r>
      <w:r w:rsidR="00B25D4E" w:rsidRPr="00A52AB8">
        <w:rPr>
          <w:color w:val="000000" w:themeColor="text1"/>
        </w:rPr>
        <w:t>retri</w:t>
      </w:r>
      <w:r w:rsidR="00B939C7" w:rsidRPr="00A52AB8">
        <w:rPr>
          <w:color w:val="000000" w:themeColor="text1"/>
        </w:rPr>
        <w:t>e</w:t>
      </w:r>
      <w:r w:rsidR="00B25D4E" w:rsidRPr="00A52AB8">
        <w:rPr>
          <w:color w:val="000000" w:themeColor="text1"/>
        </w:rPr>
        <w:t>ved from</w:t>
      </w:r>
      <w:r w:rsidRPr="00A52AB8">
        <w:rPr>
          <w:color w:val="000000" w:themeColor="text1"/>
        </w:rPr>
        <w:t xml:space="preserve"> the first map of the first component of the geometry frame </w:t>
      </w:r>
      <w:r w:rsidR="00B25D4E" w:rsidRPr="00A52AB8">
        <w:rPr>
          <w:color w:val="000000" w:themeColor="text1"/>
        </w:rPr>
        <w:t>containing the</w:t>
      </w:r>
      <w:r w:rsidRPr="00A52AB8">
        <w:rPr>
          <w:color w:val="000000" w:themeColor="text1"/>
        </w:rPr>
        <w:t xml:space="preserve"> RAW patch </w:t>
      </w:r>
      <w:r w:rsidR="00B25D4E" w:rsidRPr="00A52AB8">
        <w:rPr>
          <w:color w:val="000000" w:themeColor="text1"/>
        </w:rPr>
        <w:t>corresponding to the RAW coded point</w:t>
      </w:r>
      <w:r w:rsidR="00154743" w:rsidRPr="00A52AB8">
        <w:rPr>
          <w:color w:val="000000" w:themeColor="text1"/>
        </w:rPr>
        <w:t>,</w:t>
      </w:r>
      <w:r w:rsidR="00B25D4E" w:rsidRPr="00A52AB8">
        <w:rPr>
          <w:color w:val="000000" w:themeColor="text1"/>
        </w:rPr>
        <w:t xml:space="preserve"> </w:t>
      </w:r>
      <w:r w:rsidRPr="00A52AB8">
        <w:rPr>
          <w:color w:val="000000" w:themeColor="text1"/>
        </w:rPr>
        <w:t xml:space="preserve">and </w:t>
      </w:r>
      <w:r w:rsidR="00B939C7" w:rsidRPr="00A52AB8">
        <w:rPr>
          <w:color w:val="000000" w:themeColor="text1"/>
        </w:rPr>
        <w:t xml:space="preserve">the point </w:t>
      </w:r>
      <w:r w:rsidR="00B25D4E" w:rsidRPr="00A52AB8">
        <w:rPr>
          <w:color w:val="000000" w:themeColor="text1"/>
        </w:rPr>
        <w:t xml:space="preserve">is </w:t>
      </w:r>
      <w:r w:rsidRPr="00A52AB8">
        <w:rPr>
          <w:color w:val="000000" w:themeColor="text1"/>
        </w:rPr>
        <w:t xml:space="preserve">added to </w:t>
      </w:r>
      <w:r w:rsidR="006F7CF5" w:rsidRPr="00A52AB8">
        <w:rPr>
          <w:color w:val="000000" w:themeColor="text1"/>
        </w:rPr>
        <w:t>r</w:t>
      </w:r>
      <w:r w:rsidRPr="00A52AB8">
        <w:rPr>
          <w:color w:val="000000" w:themeColor="text1"/>
        </w:rPr>
        <w:t xml:space="preserve">ecPcGeo. The attribute information for </w:t>
      </w:r>
      <w:r w:rsidR="00B25D4E" w:rsidRPr="00A52AB8">
        <w:rPr>
          <w:color w:val="000000" w:themeColor="text1"/>
        </w:rPr>
        <w:t xml:space="preserve">the </w:t>
      </w:r>
      <w:r w:rsidRPr="00A52AB8">
        <w:rPr>
          <w:color w:val="000000" w:themeColor="text1"/>
        </w:rPr>
        <w:t xml:space="preserve">RAW coded point is </w:t>
      </w:r>
      <w:r w:rsidR="00B25D4E" w:rsidRPr="00A52AB8">
        <w:rPr>
          <w:color w:val="000000" w:themeColor="text1"/>
        </w:rPr>
        <w:t>retri</w:t>
      </w:r>
      <w:r w:rsidR="00B939C7" w:rsidRPr="00A52AB8">
        <w:rPr>
          <w:color w:val="000000" w:themeColor="text1"/>
        </w:rPr>
        <w:t>e</w:t>
      </w:r>
      <w:r w:rsidR="00B25D4E" w:rsidRPr="00A52AB8">
        <w:rPr>
          <w:color w:val="000000" w:themeColor="text1"/>
        </w:rPr>
        <w:t xml:space="preserve">ved from </w:t>
      </w:r>
      <w:r w:rsidRPr="00A52AB8">
        <w:rPr>
          <w:color w:val="000000" w:themeColor="text1"/>
        </w:rPr>
        <w:t xml:space="preserve">the attribute frame </w:t>
      </w:r>
      <w:r w:rsidR="00FF3E38" w:rsidRPr="00A52AB8">
        <w:rPr>
          <w:color w:val="000000" w:themeColor="text1"/>
        </w:rPr>
        <w:t>containing the RAW patch corresponding to the RAW coded point</w:t>
      </w:r>
      <w:r w:rsidR="00154743" w:rsidRPr="00A52AB8">
        <w:rPr>
          <w:color w:val="000000" w:themeColor="text1"/>
        </w:rPr>
        <w:t>,</w:t>
      </w:r>
      <w:r w:rsidRPr="00A52AB8">
        <w:rPr>
          <w:color w:val="000000" w:themeColor="text1"/>
        </w:rPr>
        <w:t xml:space="preserve"> across the different attribute dimensions at the same location and added to </w:t>
      </w:r>
      <w:r w:rsidR="006F7CF5" w:rsidRPr="00A52AB8">
        <w:rPr>
          <w:color w:val="000000" w:themeColor="text1"/>
        </w:rPr>
        <w:t>r</w:t>
      </w:r>
      <w:r w:rsidRPr="00A52AB8">
        <w:rPr>
          <w:color w:val="000000" w:themeColor="text1"/>
        </w:rPr>
        <w:t>ecPcAttr.</w:t>
      </w:r>
      <w:r w:rsidR="00062B22" w:rsidRPr="00A52AB8">
        <w:rPr>
          <w:color w:val="000000" w:themeColor="text1"/>
        </w:rPr>
        <w:t xml:space="preserve"> This </w:t>
      </w:r>
      <w:r w:rsidR="00FF3E38" w:rsidRPr="00A52AB8">
        <w:rPr>
          <w:color w:val="000000" w:themeColor="text1"/>
        </w:rPr>
        <w:t xml:space="preserve">is accomplished </w:t>
      </w:r>
      <w:r w:rsidR="00062B22" w:rsidRPr="00A52AB8">
        <w:rPr>
          <w:color w:val="000000" w:themeColor="text1"/>
        </w:rPr>
        <w:t>as follows:</w:t>
      </w:r>
    </w:p>
    <w:p w14:paraId="4F8F3F31" w14:textId="77777777" w:rsidR="00854ADD" w:rsidRPr="00A52AB8" w:rsidRDefault="004039D3" w:rsidP="00F01345">
      <w:pPr>
        <w:rPr>
          <w:color w:val="000000" w:themeColor="text1"/>
        </w:rPr>
      </w:pPr>
      <w:r w:rsidRPr="00A52AB8">
        <w:rPr>
          <w:color w:val="000000" w:themeColor="text1"/>
        </w:rPr>
        <w:t xml:space="preserve">An array </w:t>
      </w:r>
      <w:r w:rsidR="006D74F2" w:rsidRPr="00A52AB8">
        <w:rPr>
          <w:color w:val="000000" w:themeColor="text1"/>
        </w:rPr>
        <w:t>rawPos1D</w:t>
      </w:r>
      <w:r w:rsidRPr="00A52AB8">
        <w:rPr>
          <w:color w:val="000000" w:themeColor="text1"/>
        </w:rPr>
        <w:t xml:space="preserve">[ m ] where m is in the range of 0 to </w:t>
      </w:r>
      <w:r w:rsidR="006D74F2" w:rsidRPr="00A52AB8">
        <w:rPr>
          <w:color w:val="000000" w:themeColor="text1"/>
        </w:rPr>
        <w:t>3</w:t>
      </w:r>
      <w:r w:rsidR="000A373D" w:rsidRPr="00A52AB8">
        <w:rPr>
          <w:color w:val="000000" w:themeColor="text1"/>
        </w:rPr>
        <w:t> </w:t>
      </w:r>
      <w:r w:rsidR="006D74F2" w:rsidRPr="00A52AB8">
        <w:rPr>
          <w:color w:val="000000" w:themeColor="text1"/>
        </w:rPr>
        <w:t>*</w:t>
      </w:r>
      <w:r w:rsidR="000A373D" w:rsidRPr="00A52AB8">
        <w:rPr>
          <w:color w:val="000000" w:themeColor="text1"/>
        </w:rPr>
        <w:t> </w:t>
      </w:r>
      <w:r w:rsidR="00DB1449" w:rsidRPr="00A52AB8">
        <w:rPr>
          <w:color w:val="000000" w:themeColor="text1"/>
        </w:rPr>
        <w:t>Atlas</w:t>
      </w:r>
      <w:r w:rsidR="006D74F2" w:rsidRPr="00A52AB8">
        <w:rPr>
          <w:color w:val="000000" w:themeColor="text1"/>
        </w:rPr>
        <w:t>PatchRawPoints[ pIdx ]</w:t>
      </w:r>
      <w:r w:rsidR="000A373D" w:rsidRPr="00A52AB8">
        <w:rPr>
          <w:color w:val="000000" w:themeColor="text1"/>
        </w:rPr>
        <w:t> </w:t>
      </w:r>
      <w:r w:rsidRPr="00A52AB8">
        <w:rPr>
          <w:color w:val="000000" w:themeColor="text1"/>
        </w:rPr>
        <w:t>– 1, inclusive, is initialized to 0.</w:t>
      </w:r>
    </w:p>
    <w:p w14:paraId="45782D37" w14:textId="226035FD" w:rsidR="001B06FD" w:rsidRPr="00A52AB8" w:rsidRDefault="00903951" w:rsidP="00007BE2">
      <w:pPr>
        <w:pStyle w:val="ListParagraph"/>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 w:val="left" w:pos="360"/>
          <w:tab w:val="left" w:pos="720"/>
          <w:tab w:val="left" w:pos="1080"/>
          <w:tab w:val="left" w:pos="1440"/>
          <w:tab w:val="left" w:pos="1800"/>
          <w:tab w:val="left" w:pos="2160"/>
        </w:tabs>
        <w:spacing w:after="0" w:line="240" w:lineRule="auto"/>
        <w:ind w:leftChars="0" w:left="403"/>
        <w:rPr>
          <w:color w:val="000000" w:themeColor="text1"/>
        </w:rPr>
      </w:pPr>
      <w:r w:rsidRPr="00A52AB8">
        <w:t>m</w:t>
      </w:r>
      <w:r w:rsidR="00D47707" w:rsidRPr="00A52AB8">
        <w:t> = </w:t>
      </w:r>
      <w:r w:rsidRPr="00A52AB8">
        <w:t>0</w:t>
      </w:r>
      <w:r w:rsidR="007271C5" w:rsidRPr="00A52AB8">
        <w:br/>
      </w:r>
      <w:r w:rsidR="001B06FD" w:rsidRPr="00A52AB8">
        <w:t>for( </w:t>
      </w:r>
      <w:r w:rsidR="00FF3E38" w:rsidRPr="00A52AB8">
        <w:t>k</w:t>
      </w:r>
      <w:r w:rsidR="00D47707" w:rsidRPr="00A52AB8">
        <w:t> = </w:t>
      </w:r>
      <w:r w:rsidR="001B06FD" w:rsidRPr="00A52AB8">
        <w:t>0; </w:t>
      </w:r>
      <w:r w:rsidR="00FF3E38" w:rsidRPr="00A52AB8">
        <w:t>k</w:t>
      </w:r>
      <w:r w:rsidR="001B06FD" w:rsidRPr="00A52AB8">
        <w:t>&lt;3; </w:t>
      </w:r>
      <w:r w:rsidR="00FF3E38" w:rsidRPr="00A52AB8">
        <w:t>k</w:t>
      </w:r>
      <w:r w:rsidR="001B06FD" w:rsidRPr="00A52AB8">
        <w:t>++)</w:t>
      </w:r>
      <w:r w:rsidR="007271C5" w:rsidRPr="00A52AB8">
        <w:br/>
      </w:r>
      <w:r w:rsidR="001B06FD" w:rsidRPr="00A52AB8">
        <w:rPr>
          <w:color w:val="000000" w:themeColor="text1"/>
        </w:rPr>
        <w:tab/>
        <w:t>for(</w:t>
      </w:r>
      <w:r w:rsidR="00FF3E38" w:rsidRPr="00A52AB8">
        <w:rPr>
          <w:color w:val="000000" w:themeColor="text1"/>
        </w:rPr>
        <w:t> </w:t>
      </w:r>
      <w:r w:rsidR="00B939C7" w:rsidRPr="00A52AB8">
        <w:rPr>
          <w:color w:val="000000" w:themeColor="text1"/>
        </w:rPr>
        <w:t>pointIdx</w:t>
      </w:r>
      <w:r w:rsidR="00D47707" w:rsidRPr="00A52AB8">
        <w:rPr>
          <w:color w:val="000000" w:themeColor="text1"/>
        </w:rPr>
        <w:t> = </w:t>
      </w:r>
      <w:r w:rsidRPr="00A52AB8">
        <w:rPr>
          <w:color w:val="000000" w:themeColor="text1"/>
        </w:rPr>
        <w:t>0</w:t>
      </w:r>
      <w:r w:rsidR="001B06FD" w:rsidRPr="00A52AB8">
        <w:rPr>
          <w:color w:val="000000" w:themeColor="text1"/>
        </w:rPr>
        <w:t>; </w:t>
      </w:r>
      <w:r w:rsidR="00B939C7" w:rsidRPr="00A52AB8">
        <w:rPr>
          <w:color w:val="000000" w:themeColor="text1"/>
        </w:rPr>
        <w:t>pointIdx </w:t>
      </w:r>
      <w:r w:rsidR="001B06FD" w:rsidRPr="00A52AB8">
        <w:rPr>
          <w:color w:val="000000" w:themeColor="text1"/>
        </w:rPr>
        <w:t>&lt; </w:t>
      </w:r>
      <w:r w:rsidR="00DB1449" w:rsidRPr="00A52AB8">
        <w:rPr>
          <w:color w:val="000000" w:themeColor="text1"/>
        </w:rPr>
        <w:t>Atlas</w:t>
      </w:r>
      <w:r w:rsidR="001B06FD" w:rsidRPr="00A52AB8">
        <w:rPr>
          <w:color w:val="000000" w:themeColor="text1"/>
        </w:rPr>
        <w:t>PatchRawPoints[ pIdx ]; </w:t>
      </w:r>
      <w:r w:rsidR="00B939C7" w:rsidRPr="00A52AB8">
        <w:rPr>
          <w:color w:val="000000" w:themeColor="text1"/>
        </w:rPr>
        <w:t>pointIdx</w:t>
      </w:r>
      <w:r w:rsidR="00006CCF" w:rsidRPr="00A52AB8">
        <w:rPr>
          <w:color w:val="000000" w:themeColor="text1"/>
        </w:rPr>
        <w:t>++ </w:t>
      </w:r>
      <w:r w:rsidR="008F1F82" w:rsidRPr="00A52AB8">
        <w:rPr>
          <w:color w:val="000000" w:themeColor="text1"/>
        </w:rPr>
        <w:t>) {</w:t>
      </w:r>
    </w:p>
    <w:p w14:paraId="2E6B7ED5" w14:textId="6003EC8C" w:rsidR="001B06FD" w:rsidRPr="00A52AB8" w:rsidRDefault="001B06FD" w:rsidP="00007BE2">
      <w:pPr>
        <w:pStyle w:val="ListParagraph"/>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 w:val="left" w:pos="360"/>
          <w:tab w:val="left" w:pos="720"/>
          <w:tab w:val="left" w:pos="1080"/>
          <w:tab w:val="left" w:pos="1440"/>
          <w:tab w:val="left" w:pos="1800"/>
          <w:tab w:val="left" w:pos="2160"/>
        </w:tabs>
        <w:spacing w:after="0" w:line="240" w:lineRule="auto"/>
        <w:ind w:leftChars="0" w:left="403"/>
        <w:rPr>
          <w:color w:val="000000" w:themeColor="text1"/>
        </w:rPr>
      </w:pPr>
      <w:r w:rsidRPr="00A52AB8">
        <w:rPr>
          <w:color w:val="000000" w:themeColor="text1"/>
        </w:rPr>
        <w:tab/>
      </w:r>
      <w:r w:rsidRPr="00A52AB8">
        <w:rPr>
          <w:color w:val="000000" w:themeColor="text1"/>
        </w:rPr>
        <w:tab/>
      </w:r>
      <w:r w:rsidR="00B939C7" w:rsidRPr="00A52AB8">
        <w:rPr>
          <w:color w:val="000000" w:themeColor="text1"/>
        </w:rPr>
        <w:t>y</w:t>
      </w:r>
      <w:r w:rsidR="00D47707" w:rsidRPr="00A52AB8">
        <w:rPr>
          <w:color w:val="000000" w:themeColor="text1"/>
        </w:rPr>
        <w:t> = </w:t>
      </w:r>
      <w:r w:rsidR="00DB1449" w:rsidRPr="00A52AB8">
        <w:rPr>
          <w:color w:val="000000" w:themeColor="text1"/>
        </w:rPr>
        <w:t>Atlas</w:t>
      </w:r>
      <w:r w:rsidRPr="00A52AB8">
        <w:rPr>
          <w:color w:val="000000" w:themeColor="text1"/>
        </w:rPr>
        <w:t>Patch2dPosY[ pIdx ] + </w:t>
      </w:r>
      <w:r w:rsidR="00B939C7" w:rsidRPr="00A52AB8">
        <w:rPr>
          <w:color w:val="000000" w:themeColor="text1"/>
        </w:rPr>
        <w:t>( pointIdx </w:t>
      </w:r>
      <w:r w:rsidRPr="00A52AB8">
        <w:rPr>
          <w:color w:val="000000" w:themeColor="text1"/>
        </w:rPr>
        <w:t>/</w:t>
      </w:r>
      <w:r w:rsidR="00B939C7" w:rsidRPr="00A52AB8">
        <w:rPr>
          <w:color w:val="000000" w:themeColor="text1"/>
        </w:rPr>
        <w:t> </w:t>
      </w:r>
      <w:r w:rsidR="00DB1449" w:rsidRPr="00A52AB8">
        <w:rPr>
          <w:color w:val="000000" w:themeColor="text1"/>
        </w:rPr>
        <w:t>Atlas</w:t>
      </w:r>
      <w:r w:rsidRPr="00A52AB8">
        <w:rPr>
          <w:color w:val="000000" w:themeColor="text1"/>
        </w:rPr>
        <w:t>Patch2dSizeX[ pIdx ]</w:t>
      </w:r>
      <w:r w:rsidR="00B939C7" w:rsidRPr="00A52AB8">
        <w:rPr>
          <w:color w:val="000000" w:themeColor="text1"/>
        </w:rPr>
        <w:t> )</w:t>
      </w:r>
    </w:p>
    <w:p w14:paraId="6CED81C6" w14:textId="1AEE21DC" w:rsidR="001B06FD" w:rsidRPr="00A52AB8" w:rsidRDefault="001B06FD" w:rsidP="00007BE2">
      <w:pPr>
        <w:pStyle w:val="ListParagraph"/>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 w:val="left" w:pos="360"/>
          <w:tab w:val="left" w:pos="720"/>
          <w:tab w:val="left" w:pos="1080"/>
          <w:tab w:val="left" w:pos="1440"/>
          <w:tab w:val="left" w:pos="1800"/>
          <w:tab w:val="left" w:pos="2160"/>
        </w:tabs>
        <w:spacing w:after="0" w:line="240" w:lineRule="auto"/>
        <w:ind w:leftChars="0" w:left="403"/>
        <w:rPr>
          <w:color w:val="000000" w:themeColor="text1"/>
        </w:rPr>
      </w:pPr>
      <w:r w:rsidRPr="00A52AB8">
        <w:rPr>
          <w:color w:val="000000" w:themeColor="text1"/>
        </w:rPr>
        <w:tab/>
      </w:r>
      <w:r w:rsidRPr="00A52AB8">
        <w:rPr>
          <w:color w:val="000000" w:themeColor="text1"/>
        </w:rPr>
        <w:tab/>
        <w:t>x</w:t>
      </w:r>
      <w:r w:rsidR="00D47707" w:rsidRPr="00A52AB8">
        <w:rPr>
          <w:color w:val="000000" w:themeColor="text1"/>
        </w:rPr>
        <w:t> = </w:t>
      </w:r>
      <w:r w:rsidR="00DB1449" w:rsidRPr="00A52AB8">
        <w:rPr>
          <w:color w:val="000000" w:themeColor="text1"/>
        </w:rPr>
        <w:t>Atlas</w:t>
      </w:r>
      <w:r w:rsidRPr="00A52AB8">
        <w:rPr>
          <w:color w:val="000000" w:themeColor="text1"/>
        </w:rPr>
        <w:t>Patch2dPosX[ pIdx ] + </w:t>
      </w:r>
      <w:r w:rsidR="00B939C7" w:rsidRPr="00A52AB8">
        <w:rPr>
          <w:color w:val="000000" w:themeColor="text1"/>
        </w:rPr>
        <w:t>( pointIdx </w:t>
      </w:r>
      <w:r w:rsidRPr="00A52AB8">
        <w:rPr>
          <w:color w:val="000000" w:themeColor="text1"/>
        </w:rPr>
        <w:t>%</w:t>
      </w:r>
      <w:r w:rsidR="00B939C7" w:rsidRPr="00A52AB8">
        <w:rPr>
          <w:color w:val="000000" w:themeColor="text1"/>
        </w:rPr>
        <w:t> </w:t>
      </w:r>
      <w:r w:rsidR="00DB1449" w:rsidRPr="00A52AB8">
        <w:rPr>
          <w:color w:val="000000" w:themeColor="text1"/>
        </w:rPr>
        <w:t>Atlas</w:t>
      </w:r>
      <w:r w:rsidRPr="00A52AB8">
        <w:rPr>
          <w:color w:val="000000" w:themeColor="text1"/>
        </w:rPr>
        <w:t>Patch2dSizeX[ pIdx ]</w:t>
      </w:r>
      <w:r w:rsidR="00B939C7" w:rsidRPr="00A52AB8">
        <w:rPr>
          <w:color w:val="000000" w:themeColor="text1"/>
        </w:rPr>
        <w:t> )</w:t>
      </w:r>
    </w:p>
    <w:p w14:paraId="6E98854F" w14:textId="7CA50D1A" w:rsidR="001B06FD" w:rsidRPr="00A52AB8" w:rsidRDefault="001B06FD" w:rsidP="00007BE2">
      <w:pPr>
        <w:pStyle w:val="ListParagraph"/>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 w:val="left" w:pos="360"/>
          <w:tab w:val="left" w:pos="720"/>
          <w:tab w:val="left" w:pos="1080"/>
          <w:tab w:val="left" w:pos="1440"/>
          <w:tab w:val="left" w:pos="1800"/>
          <w:tab w:val="left" w:pos="2160"/>
        </w:tabs>
        <w:spacing w:after="0" w:line="240" w:lineRule="auto"/>
        <w:ind w:leftChars="0" w:left="403"/>
      </w:pPr>
      <w:r w:rsidRPr="00A52AB8">
        <w:rPr>
          <w:color w:val="000000" w:themeColor="text1"/>
        </w:rPr>
        <w:tab/>
      </w:r>
      <w:r w:rsidRPr="00A52AB8">
        <w:rPr>
          <w:color w:val="000000" w:themeColor="text1"/>
        </w:rPr>
        <w:tab/>
        <w:t>rawPos1D[ </w:t>
      </w:r>
      <w:r w:rsidR="00903951" w:rsidRPr="00A52AB8">
        <w:rPr>
          <w:color w:val="000000" w:themeColor="text1"/>
        </w:rPr>
        <w:t>m</w:t>
      </w:r>
      <w:r w:rsidRPr="00A52AB8">
        <w:rPr>
          <w:color w:val="000000" w:themeColor="text1"/>
        </w:rPr>
        <w:t> ]</w:t>
      </w:r>
      <w:r w:rsidR="00D47707" w:rsidRPr="00A52AB8">
        <w:rPr>
          <w:color w:val="000000" w:themeColor="text1"/>
        </w:rPr>
        <w:t> = </w:t>
      </w:r>
      <w:r w:rsidRPr="00A52AB8">
        <w:t>gFrame</w:t>
      </w:r>
      <w:r w:rsidR="004B7314" w:rsidRPr="00A52AB8">
        <w:t>[ y ][ x ]</w:t>
      </w:r>
    </w:p>
    <w:p w14:paraId="6C3F159E" w14:textId="77777777" w:rsidR="00FF3E38" w:rsidRPr="00A52AB8" w:rsidRDefault="00FF3E38" w:rsidP="00007BE2">
      <w:pPr>
        <w:pStyle w:val="ListParagraph"/>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 w:val="left" w:pos="360"/>
          <w:tab w:val="left" w:pos="720"/>
          <w:tab w:val="left" w:pos="1080"/>
          <w:tab w:val="left" w:pos="1440"/>
          <w:tab w:val="left" w:pos="1800"/>
          <w:tab w:val="left" w:pos="2160"/>
        </w:tabs>
        <w:spacing w:after="0" w:line="240" w:lineRule="auto"/>
        <w:ind w:leftChars="0" w:left="403"/>
      </w:pPr>
      <w:r w:rsidRPr="00A52AB8">
        <w:tab/>
      </w:r>
      <w:r w:rsidRPr="00A52AB8">
        <w:tab/>
        <w:t>m++</w:t>
      </w:r>
    </w:p>
    <w:p w14:paraId="4B2D3A38" w14:textId="77777777" w:rsidR="001B06FD" w:rsidRPr="00A52AB8" w:rsidRDefault="001B06FD" w:rsidP="00007BE2">
      <w:pPr>
        <w:pStyle w:val="ListParagraph"/>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 w:val="left" w:pos="360"/>
          <w:tab w:val="left" w:pos="720"/>
          <w:tab w:val="left" w:pos="1080"/>
          <w:tab w:val="left" w:pos="1440"/>
          <w:tab w:val="left" w:pos="1800"/>
          <w:tab w:val="left" w:pos="2160"/>
        </w:tabs>
        <w:spacing w:after="0" w:line="240" w:lineRule="auto"/>
        <w:ind w:leftChars="0" w:left="403"/>
        <w:rPr>
          <w:color w:val="000000" w:themeColor="text1"/>
        </w:rPr>
      </w:pPr>
      <w:r w:rsidRPr="00A52AB8">
        <w:tab/>
        <w:t>}</w:t>
      </w:r>
    </w:p>
    <w:p w14:paraId="211F5EDF" w14:textId="06F4BCA1" w:rsidR="001B06FD" w:rsidRPr="00A52AB8" w:rsidRDefault="001B06FD" w:rsidP="00007BE2">
      <w:pPr>
        <w:pStyle w:val="ListParagraph"/>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 w:val="left" w:pos="360"/>
          <w:tab w:val="left" w:pos="720"/>
          <w:tab w:val="left" w:pos="1080"/>
          <w:tab w:val="left" w:pos="1440"/>
          <w:tab w:val="left" w:pos="1800"/>
          <w:tab w:val="left" w:pos="2160"/>
        </w:tabs>
        <w:spacing w:after="0" w:line="240" w:lineRule="auto"/>
        <w:ind w:leftChars="0" w:left="403"/>
        <w:jc w:val="left"/>
        <w:rPr>
          <w:color w:val="000000" w:themeColor="text1"/>
        </w:rPr>
      </w:pPr>
      <w:r w:rsidRPr="00A52AB8">
        <w:rPr>
          <w:color w:val="000000" w:themeColor="text1"/>
        </w:rPr>
        <w:br/>
        <w:t>for</w:t>
      </w:r>
      <w:r w:rsidR="006D74F2" w:rsidRPr="00A52AB8">
        <w:rPr>
          <w:color w:val="000000" w:themeColor="text1"/>
        </w:rPr>
        <w:t>( </w:t>
      </w:r>
      <w:r w:rsidR="00B939C7" w:rsidRPr="00A52AB8">
        <w:rPr>
          <w:color w:val="000000" w:themeColor="text1"/>
        </w:rPr>
        <w:t>pointIdx</w:t>
      </w:r>
      <w:r w:rsidR="00D47707" w:rsidRPr="00A52AB8">
        <w:rPr>
          <w:color w:val="000000" w:themeColor="text1"/>
        </w:rPr>
        <w:t> = </w:t>
      </w:r>
      <w:r w:rsidRPr="00A52AB8">
        <w:rPr>
          <w:color w:val="000000" w:themeColor="text1"/>
        </w:rPr>
        <w:t>0;</w:t>
      </w:r>
      <w:r w:rsidR="00B939C7" w:rsidRPr="00A52AB8">
        <w:rPr>
          <w:color w:val="000000" w:themeColor="text1"/>
        </w:rPr>
        <w:t> </w:t>
      </w:r>
      <w:r w:rsidRPr="00A52AB8">
        <w:rPr>
          <w:color w:val="000000" w:themeColor="text1"/>
        </w:rPr>
        <w:t>n</w:t>
      </w:r>
      <w:r w:rsidR="006D74F2" w:rsidRPr="00A52AB8">
        <w:rPr>
          <w:color w:val="000000" w:themeColor="text1"/>
        </w:rPr>
        <w:t> &lt; </w:t>
      </w:r>
      <w:r w:rsidR="00DB1449" w:rsidRPr="00A52AB8">
        <w:rPr>
          <w:color w:val="000000" w:themeColor="text1"/>
        </w:rPr>
        <w:t>Atlas</w:t>
      </w:r>
      <w:r w:rsidR="006D74F2" w:rsidRPr="00A52AB8">
        <w:rPr>
          <w:color w:val="000000" w:themeColor="text1"/>
        </w:rPr>
        <w:t>PatchRawPoint</w:t>
      </w:r>
      <w:r w:rsidRPr="00A52AB8">
        <w:rPr>
          <w:color w:val="000000" w:themeColor="text1"/>
        </w:rPr>
        <w:t>s</w:t>
      </w:r>
      <w:r w:rsidR="006D74F2" w:rsidRPr="00A52AB8">
        <w:rPr>
          <w:color w:val="000000" w:themeColor="text1"/>
        </w:rPr>
        <w:t>[ pIdx ]</w:t>
      </w:r>
      <w:r w:rsidRPr="00A52AB8">
        <w:rPr>
          <w:color w:val="000000" w:themeColor="text1"/>
        </w:rPr>
        <w:t>;</w:t>
      </w:r>
      <w:r w:rsidR="00B939C7" w:rsidRPr="00A52AB8">
        <w:rPr>
          <w:color w:val="000000" w:themeColor="text1"/>
        </w:rPr>
        <w:t> </w:t>
      </w:r>
      <w:r w:rsidRPr="00A52AB8">
        <w:rPr>
          <w:color w:val="000000" w:themeColor="text1"/>
        </w:rPr>
        <w:t>n</w:t>
      </w:r>
      <w:r w:rsidR="00006CCF" w:rsidRPr="00A52AB8">
        <w:rPr>
          <w:color w:val="000000" w:themeColor="text1"/>
        </w:rPr>
        <w:t>++ </w:t>
      </w:r>
      <w:r w:rsidR="008F1F82" w:rsidRPr="00A52AB8">
        <w:rPr>
          <w:color w:val="000000" w:themeColor="text1"/>
        </w:rPr>
        <w:t>) {</w:t>
      </w:r>
    </w:p>
    <w:p w14:paraId="65AAE8FD" w14:textId="088939FC" w:rsidR="006D74F2" w:rsidRPr="00A52AB8" w:rsidRDefault="006D74F2" w:rsidP="00007BE2">
      <w:pPr>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 w:val="left" w:pos="360"/>
          <w:tab w:val="left" w:pos="720"/>
          <w:tab w:val="left" w:pos="1080"/>
          <w:tab w:val="left" w:pos="1440"/>
          <w:tab w:val="left" w:pos="1800"/>
          <w:tab w:val="left" w:pos="2160"/>
        </w:tabs>
        <w:spacing w:line="240" w:lineRule="auto"/>
        <w:ind w:left="403"/>
      </w:pPr>
      <w:r w:rsidRPr="00A52AB8">
        <w:rPr>
          <w:color w:val="000000" w:themeColor="text1"/>
        </w:rPr>
        <w:tab/>
      </w:r>
      <w:r w:rsidR="00505074" w:rsidRPr="00A52AB8">
        <w:rPr>
          <w:color w:val="000000" w:themeColor="text1"/>
        </w:rPr>
        <w:t>r</w:t>
      </w:r>
      <w:r w:rsidRPr="00A52AB8">
        <w:rPr>
          <w:color w:val="000000" w:themeColor="text1"/>
        </w:rPr>
        <w:t>ecPcGeo[ pointCnt ]</w:t>
      </w:r>
      <w:r w:rsidR="00D770D3" w:rsidRPr="00A52AB8">
        <w:rPr>
          <w:color w:val="000000" w:themeColor="text1"/>
        </w:rPr>
        <w:t>[ 0 ]</w:t>
      </w:r>
      <w:r w:rsidR="00D47707" w:rsidRPr="00A52AB8">
        <w:rPr>
          <w:color w:val="000000" w:themeColor="text1"/>
        </w:rPr>
        <w:t> = </w:t>
      </w:r>
      <w:r w:rsidRPr="00A52AB8">
        <w:rPr>
          <w:color w:val="000000" w:themeColor="text1"/>
        </w:rPr>
        <w:t>rawPos1D[ </w:t>
      </w:r>
      <w:r w:rsidR="00B939C7" w:rsidRPr="00A52AB8">
        <w:rPr>
          <w:color w:val="000000" w:themeColor="text1"/>
        </w:rPr>
        <w:t>pointIdx</w:t>
      </w:r>
      <w:r w:rsidRPr="00A52AB8">
        <w:rPr>
          <w:color w:val="000000" w:themeColor="text1"/>
        </w:rPr>
        <w:t> ]</w:t>
      </w:r>
      <w:r w:rsidR="001B06FD" w:rsidRPr="00A52AB8">
        <w:rPr>
          <w:color w:val="000000" w:themeColor="text1"/>
        </w:rPr>
        <w:t> </w:t>
      </w:r>
      <w:r w:rsidRPr="00A52AB8">
        <w:rPr>
          <w:color w:val="000000" w:themeColor="text1"/>
        </w:rPr>
        <w:t>+</w:t>
      </w:r>
      <w:r w:rsidR="00EC3634" w:rsidRPr="00A52AB8">
        <w:rPr>
          <w:color w:val="000000" w:themeColor="text1"/>
        </w:rPr>
        <w:br/>
      </w:r>
      <w:r w:rsidR="00EC3634" w:rsidRPr="00A52AB8">
        <w:rPr>
          <w:color w:val="000000" w:themeColor="text1"/>
        </w:rPr>
        <w:tab/>
      </w:r>
      <w:r w:rsidR="00EC3634" w:rsidRPr="00A52AB8">
        <w:rPr>
          <w:color w:val="000000" w:themeColor="text1"/>
        </w:rPr>
        <w:tab/>
      </w:r>
      <w:r w:rsidR="00DB1449" w:rsidRPr="00A52AB8">
        <w:rPr>
          <w:color w:val="000000" w:themeColor="text1"/>
        </w:rPr>
        <w:t>Atlas</w:t>
      </w:r>
      <w:r w:rsidRPr="00A52AB8">
        <w:rPr>
          <w:color w:val="000000" w:themeColor="text1"/>
        </w:rPr>
        <w:t>Patch</w:t>
      </w:r>
      <w:r w:rsidR="001A4D59" w:rsidRPr="00A52AB8">
        <w:rPr>
          <w:color w:val="000000" w:themeColor="text1"/>
        </w:rPr>
        <w:t>3dOffsetU</w:t>
      </w:r>
      <w:r w:rsidRPr="00A52AB8">
        <w:rPr>
          <w:color w:val="000000" w:themeColor="text1"/>
        </w:rPr>
        <w:t>[ pIdx ]</w:t>
      </w:r>
      <w:r w:rsidRPr="00A52AB8">
        <w:rPr>
          <w:color w:val="000000" w:themeColor="text1"/>
        </w:rPr>
        <w:tab/>
      </w:r>
      <w:r w:rsidR="00505074" w:rsidRPr="00A52AB8">
        <w:rPr>
          <w:color w:val="000000" w:themeColor="text1"/>
        </w:rPr>
        <w:t>r</w:t>
      </w:r>
      <w:r w:rsidRPr="00A52AB8">
        <w:rPr>
          <w:color w:val="000000" w:themeColor="text1"/>
        </w:rPr>
        <w:t>ecPcGeo[ pointCnt ][ 1 ]</w:t>
      </w:r>
      <w:r w:rsidR="00D47707" w:rsidRPr="00A52AB8">
        <w:rPr>
          <w:color w:val="000000" w:themeColor="text1"/>
        </w:rPr>
        <w:t> = </w:t>
      </w:r>
      <w:r w:rsidRPr="00A52AB8">
        <w:rPr>
          <w:color w:val="000000" w:themeColor="text1"/>
        </w:rPr>
        <w:t>rawPos1D[ </w:t>
      </w:r>
      <w:r w:rsidR="00EC3634" w:rsidRPr="00A52AB8">
        <w:rPr>
          <w:color w:val="000000" w:themeColor="text1"/>
        </w:rPr>
        <w:t>pointIdx</w:t>
      </w:r>
      <w:r w:rsidRPr="00A52AB8">
        <w:rPr>
          <w:color w:val="000000" w:themeColor="text1"/>
        </w:rPr>
        <w:t> + </w:t>
      </w:r>
      <w:r w:rsidR="00DB1449" w:rsidRPr="00A52AB8">
        <w:rPr>
          <w:color w:val="000000" w:themeColor="text1"/>
        </w:rPr>
        <w:t>Atlas</w:t>
      </w:r>
      <w:r w:rsidRPr="00A52AB8">
        <w:rPr>
          <w:color w:val="000000" w:themeColor="text1"/>
        </w:rPr>
        <w:t>PatchRawPoints[ pIdx ]</w:t>
      </w:r>
      <w:r w:rsidR="00DB1449" w:rsidRPr="00A52AB8">
        <w:rPr>
          <w:color w:val="000000" w:themeColor="text1"/>
        </w:rPr>
        <w:t> </w:t>
      </w:r>
      <w:r w:rsidRPr="00A52AB8">
        <w:rPr>
          <w:color w:val="000000" w:themeColor="text1"/>
        </w:rPr>
        <w:t>]</w:t>
      </w:r>
      <w:r w:rsidR="00DB1449" w:rsidRPr="00A52AB8">
        <w:rPr>
          <w:color w:val="000000" w:themeColor="text1"/>
        </w:rPr>
        <w:t> </w:t>
      </w:r>
      <w:r w:rsidRPr="00A52AB8">
        <w:rPr>
          <w:color w:val="000000" w:themeColor="text1"/>
        </w:rPr>
        <w:t>+</w:t>
      </w:r>
      <w:r w:rsidR="008550E4" w:rsidRPr="00A52AB8">
        <w:rPr>
          <w:color w:val="000000" w:themeColor="text1"/>
        </w:rPr>
        <w:br/>
      </w:r>
      <w:r w:rsidR="008550E4" w:rsidRPr="00A52AB8">
        <w:rPr>
          <w:color w:val="000000" w:themeColor="text1"/>
        </w:rPr>
        <w:tab/>
      </w:r>
      <w:r w:rsidR="008550E4" w:rsidRPr="00A52AB8">
        <w:rPr>
          <w:color w:val="000000" w:themeColor="text1"/>
        </w:rPr>
        <w:tab/>
      </w:r>
      <w:r w:rsidR="00DB1449" w:rsidRPr="00A52AB8">
        <w:rPr>
          <w:color w:val="000000" w:themeColor="text1"/>
        </w:rPr>
        <w:t>Atlas</w:t>
      </w:r>
      <w:r w:rsidRPr="00A52AB8">
        <w:rPr>
          <w:color w:val="000000" w:themeColor="text1"/>
        </w:rPr>
        <w:t>Patch</w:t>
      </w:r>
      <w:r w:rsidR="001A4D59" w:rsidRPr="00A52AB8">
        <w:rPr>
          <w:color w:val="000000" w:themeColor="text1"/>
        </w:rPr>
        <w:t>3dOffsetV</w:t>
      </w:r>
      <w:r w:rsidRPr="00A52AB8">
        <w:rPr>
          <w:color w:val="000000" w:themeColor="text1"/>
        </w:rPr>
        <w:t>[ pId</w:t>
      </w:r>
      <w:r w:rsidR="00DB1449" w:rsidRPr="00A52AB8">
        <w:rPr>
          <w:color w:val="000000" w:themeColor="text1"/>
        </w:rPr>
        <w:t>x </w:t>
      </w:r>
      <w:r w:rsidRPr="00A52AB8">
        <w:rPr>
          <w:color w:val="000000" w:themeColor="text1"/>
        </w:rPr>
        <w:t>]</w:t>
      </w:r>
      <w:r w:rsidRPr="00A52AB8">
        <w:rPr>
          <w:color w:val="000000" w:themeColor="text1"/>
        </w:rPr>
        <w:tab/>
      </w:r>
      <w:r w:rsidR="00505074" w:rsidRPr="00A52AB8">
        <w:rPr>
          <w:color w:val="000000" w:themeColor="text1"/>
        </w:rPr>
        <w:t>r</w:t>
      </w:r>
      <w:r w:rsidRPr="00A52AB8">
        <w:rPr>
          <w:color w:val="000000" w:themeColor="text1"/>
        </w:rPr>
        <w:t>ecPcGeo[ pointCnt ][ 2 ]</w:t>
      </w:r>
      <w:r w:rsidR="00D47707" w:rsidRPr="00A52AB8">
        <w:rPr>
          <w:color w:val="000000" w:themeColor="text1"/>
        </w:rPr>
        <w:t> = </w:t>
      </w:r>
      <w:r w:rsidRPr="00A52AB8">
        <w:rPr>
          <w:color w:val="000000" w:themeColor="text1"/>
        </w:rPr>
        <w:t>rawPos1D[ </w:t>
      </w:r>
      <w:r w:rsidR="00EC3634" w:rsidRPr="00A52AB8">
        <w:rPr>
          <w:color w:val="000000" w:themeColor="text1"/>
        </w:rPr>
        <w:t>pointIdx</w:t>
      </w:r>
      <w:r w:rsidRPr="00A52AB8">
        <w:rPr>
          <w:color w:val="000000" w:themeColor="text1"/>
        </w:rPr>
        <w:t> + 2</w:t>
      </w:r>
      <w:r w:rsidR="00DB1449" w:rsidRPr="00A52AB8">
        <w:rPr>
          <w:color w:val="000000" w:themeColor="text1"/>
        </w:rPr>
        <w:t> </w:t>
      </w:r>
      <w:r w:rsidRPr="00A52AB8">
        <w:rPr>
          <w:color w:val="000000" w:themeColor="text1"/>
        </w:rPr>
        <w:t>*</w:t>
      </w:r>
      <w:r w:rsidR="00DB1449" w:rsidRPr="00A52AB8">
        <w:rPr>
          <w:color w:val="000000" w:themeColor="text1"/>
        </w:rPr>
        <w:t> Atlas</w:t>
      </w:r>
      <w:r w:rsidRPr="00A52AB8">
        <w:rPr>
          <w:color w:val="000000" w:themeColor="text1"/>
        </w:rPr>
        <w:t>PatchRawPoints[ pIdx ] ]</w:t>
      </w:r>
      <w:r w:rsidR="008550E4" w:rsidRPr="00A52AB8">
        <w:rPr>
          <w:color w:val="000000" w:themeColor="text1"/>
        </w:rPr>
        <w:t> </w:t>
      </w:r>
      <w:r w:rsidRPr="00A52AB8">
        <w:rPr>
          <w:color w:val="000000" w:themeColor="text1"/>
        </w:rPr>
        <w:t>+</w:t>
      </w:r>
      <w:r w:rsidR="008550E4" w:rsidRPr="00A52AB8">
        <w:rPr>
          <w:color w:val="000000" w:themeColor="text1"/>
        </w:rPr>
        <w:br/>
      </w:r>
      <w:r w:rsidR="008550E4" w:rsidRPr="00A52AB8">
        <w:rPr>
          <w:color w:val="000000" w:themeColor="text1"/>
        </w:rPr>
        <w:tab/>
      </w:r>
      <w:r w:rsidR="008550E4" w:rsidRPr="00A52AB8">
        <w:rPr>
          <w:color w:val="000000" w:themeColor="text1"/>
        </w:rPr>
        <w:tab/>
      </w:r>
      <w:r w:rsidR="00DB1449" w:rsidRPr="00A52AB8">
        <w:rPr>
          <w:color w:val="000000" w:themeColor="text1"/>
        </w:rPr>
        <w:t>Atlas</w:t>
      </w:r>
      <w:r w:rsidRPr="00A52AB8">
        <w:rPr>
          <w:color w:val="000000" w:themeColor="text1"/>
        </w:rPr>
        <w:t>Patch</w:t>
      </w:r>
      <w:r w:rsidR="001A4D59" w:rsidRPr="00A52AB8">
        <w:rPr>
          <w:color w:val="000000" w:themeColor="text1"/>
        </w:rPr>
        <w:t>3dOffsetD</w:t>
      </w:r>
      <w:r w:rsidRPr="00A52AB8">
        <w:rPr>
          <w:color w:val="000000" w:themeColor="text1"/>
        </w:rPr>
        <w:t>[ pIdx ]</w:t>
      </w:r>
      <w:r w:rsidR="00FF3E38" w:rsidRPr="00A52AB8">
        <w:br/>
      </w:r>
      <w:r w:rsidR="00FF3E38" w:rsidRPr="00A52AB8">
        <w:br/>
      </w:r>
      <w:r w:rsidR="001B06FD" w:rsidRPr="00A52AB8">
        <w:rPr>
          <w:color w:val="000000" w:themeColor="text1"/>
        </w:rPr>
        <w:tab/>
        <w:t>y</w:t>
      </w:r>
      <w:r w:rsidR="00D47707" w:rsidRPr="00A52AB8">
        <w:rPr>
          <w:color w:val="000000" w:themeColor="text1"/>
        </w:rPr>
        <w:t> = </w:t>
      </w:r>
      <w:r w:rsidR="00DB1449" w:rsidRPr="00A52AB8">
        <w:rPr>
          <w:color w:val="000000" w:themeColor="text1"/>
        </w:rPr>
        <w:t>Atlas</w:t>
      </w:r>
      <w:r w:rsidR="001B06FD" w:rsidRPr="00A52AB8">
        <w:rPr>
          <w:color w:val="000000" w:themeColor="text1"/>
        </w:rPr>
        <w:t>Patch2dPosY[ pIdx ] + </w:t>
      </w:r>
      <w:r w:rsidR="00EC3634" w:rsidRPr="00A52AB8">
        <w:rPr>
          <w:color w:val="000000" w:themeColor="text1"/>
        </w:rPr>
        <w:t>( pointIdx</w:t>
      </w:r>
      <w:r w:rsidR="008550E4" w:rsidRPr="00A52AB8">
        <w:rPr>
          <w:color w:val="000000" w:themeColor="text1"/>
        </w:rPr>
        <w:t> </w:t>
      </w:r>
      <w:r w:rsidR="001B06FD" w:rsidRPr="00A52AB8">
        <w:rPr>
          <w:color w:val="000000" w:themeColor="text1"/>
        </w:rPr>
        <w:t>/</w:t>
      </w:r>
      <w:r w:rsidR="008550E4" w:rsidRPr="00A52AB8">
        <w:rPr>
          <w:color w:val="000000" w:themeColor="text1"/>
        </w:rPr>
        <w:t> </w:t>
      </w:r>
      <w:r w:rsidR="00DB1449" w:rsidRPr="00A52AB8">
        <w:rPr>
          <w:color w:val="000000" w:themeColor="text1"/>
        </w:rPr>
        <w:t>Atlas</w:t>
      </w:r>
      <w:r w:rsidR="001B06FD" w:rsidRPr="00A52AB8">
        <w:rPr>
          <w:color w:val="000000" w:themeColor="text1"/>
        </w:rPr>
        <w:t>Patch2dSizeX[ pIdx ]</w:t>
      </w:r>
      <w:r w:rsidR="00EC3634" w:rsidRPr="00A52AB8">
        <w:rPr>
          <w:color w:val="000000" w:themeColor="text1"/>
        </w:rPr>
        <w:t> )</w:t>
      </w:r>
      <w:r w:rsidR="00FF3E38" w:rsidRPr="00A52AB8">
        <w:rPr>
          <w:color w:val="000000" w:themeColor="text1"/>
        </w:rPr>
        <w:br/>
      </w:r>
      <w:r w:rsidR="001B06FD" w:rsidRPr="00A52AB8">
        <w:rPr>
          <w:color w:val="000000" w:themeColor="text1"/>
        </w:rPr>
        <w:tab/>
        <w:t>x</w:t>
      </w:r>
      <w:r w:rsidR="00D47707" w:rsidRPr="00A52AB8">
        <w:rPr>
          <w:color w:val="000000" w:themeColor="text1"/>
        </w:rPr>
        <w:t> = </w:t>
      </w:r>
      <w:r w:rsidR="00DB1449" w:rsidRPr="00A52AB8">
        <w:rPr>
          <w:color w:val="000000" w:themeColor="text1"/>
        </w:rPr>
        <w:t>Atlas</w:t>
      </w:r>
      <w:r w:rsidR="001B06FD" w:rsidRPr="00A52AB8">
        <w:rPr>
          <w:color w:val="000000" w:themeColor="text1"/>
        </w:rPr>
        <w:t>Patch2dPosX[ pIdx ] + </w:t>
      </w:r>
      <w:r w:rsidR="00EC3634" w:rsidRPr="00A52AB8">
        <w:rPr>
          <w:color w:val="000000" w:themeColor="text1"/>
        </w:rPr>
        <w:t>( pointIdx</w:t>
      </w:r>
      <w:r w:rsidR="008550E4" w:rsidRPr="00A52AB8">
        <w:rPr>
          <w:color w:val="000000" w:themeColor="text1"/>
        </w:rPr>
        <w:t> </w:t>
      </w:r>
      <w:r w:rsidR="001B06FD" w:rsidRPr="00A52AB8">
        <w:rPr>
          <w:color w:val="000000" w:themeColor="text1"/>
        </w:rPr>
        <w:t>%</w:t>
      </w:r>
      <w:r w:rsidR="008550E4" w:rsidRPr="00A52AB8">
        <w:rPr>
          <w:color w:val="000000" w:themeColor="text1"/>
        </w:rPr>
        <w:t> </w:t>
      </w:r>
      <w:r w:rsidR="00DB1449" w:rsidRPr="00A52AB8">
        <w:rPr>
          <w:color w:val="000000" w:themeColor="text1"/>
        </w:rPr>
        <w:t>Atlas</w:t>
      </w:r>
      <w:r w:rsidR="001B06FD" w:rsidRPr="00A52AB8">
        <w:rPr>
          <w:color w:val="000000" w:themeColor="text1"/>
        </w:rPr>
        <w:t>Patch2dSizeX[ pIdx ]</w:t>
      </w:r>
      <w:r w:rsidR="00EC3634" w:rsidRPr="00A52AB8">
        <w:rPr>
          <w:color w:val="000000" w:themeColor="text1"/>
        </w:rPr>
        <w:t> )</w:t>
      </w:r>
      <w:r w:rsidR="00FF3E38" w:rsidRPr="00A52AB8">
        <w:rPr>
          <w:color w:val="000000" w:themeColor="text1"/>
        </w:rPr>
        <w:br/>
      </w:r>
      <w:r w:rsidR="00FF3E38" w:rsidRPr="00A52AB8">
        <w:rPr>
          <w:color w:val="000000" w:themeColor="text1"/>
        </w:rPr>
        <w:br/>
      </w:r>
      <w:r w:rsidR="001B06FD" w:rsidRPr="00A52AB8">
        <w:rPr>
          <w:color w:val="000000" w:themeColor="text1"/>
        </w:rPr>
        <w:tab/>
      </w:r>
      <w:r w:rsidRPr="00A52AB8">
        <w:rPr>
          <w:color w:val="000000" w:themeColor="text1"/>
        </w:rPr>
        <w:t>for(</w:t>
      </w:r>
      <w:r w:rsidR="008550E4" w:rsidRPr="00A52AB8">
        <w:rPr>
          <w:color w:val="000000" w:themeColor="text1"/>
        </w:rPr>
        <w:t> </w:t>
      </w:r>
      <w:r w:rsidRPr="00A52AB8">
        <w:rPr>
          <w:color w:val="000000" w:themeColor="text1"/>
        </w:rPr>
        <w:t>attrIdx</w:t>
      </w:r>
      <w:r w:rsidR="00D47707" w:rsidRPr="00A52AB8">
        <w:rPr>
          <w:color w:val="000000" w:themeColor="text1"/>
        </w:rPr>
        <w:t> = </w:t>
      </w:r>
      <w:r w:rsidRPr="00A52AB8">
        <w:rPr>
          <w:color w:val="000000" w:themeColor="text1"/>
        </w:rPr>
        <w:t>0;</w:t>
      </w:r>
      <w:r w:rsidR="008550E4" w:rsidRPr="00A52AB8">
        <w:rPr>
          <w:color w:val="000000" w:themeColor="text1"/>
        </w:rPr>
        <w:t> </w:t>
      </w:r>
      <w:r w:rsidRPr="00A52AB8">
        <w:rPr>
          <w:color w:val="000000" w:themeColor="text1"/>
        </w:rPr>
        <w:t>attrIdx</w:t>
      </w:r>
      <w:r w:rsidR="008550E4" w:rsidRPr="00A52AB8">
        <w:rPr>
          <w:color w:val="000000" w:themeColor="text1"/>
        </w:rPr>
        <w:t> </w:t>
      </w:r>
      <w:r w:rsidRPr="00A52AB8">
        <w:rPr>
          <w:color w:val="000000" w:themeColor="text1"/>
        </w:rPr>
        <w:t>&lt;</w:t>
      </w:r>
      <w:r w:rsidR="008550E4" w:rsidRPr="00A52AB8">
        <w:rPr>
          <w:color w:val="000000" w:themeColor="text1"/>
        </w:rPr>
        <w:t> </w:t>
      </w:r>
      <w:r w:rsidRPr="00A52AB8">
        <w:rPr>
          <w:color w:val="000000" w:themeColor="text1"/>
        </w:rPr>
        <w:t>ai_attribute_count</w:t>
      </w:r>
      <w:r w:rsidR="00FC4378" w:rsidRPr="00A52AB8">
        <w:rPr>
          <w:color w:val="000000" w:themeColor="text1"/>
        </w:rPr>
        <w:t>[ </w:t>
      </w:r>
      <w:r w:rsidR="00934591" w:rsidRPr="00A52AB8">
        <w:rPr>
          <w:color w:val="000000" w:themeColor="text1"/>
        </w:rPr>
        <w:t>RecAtlasID</w:t>
      </w:r>
      <w:r w:rsidR="00FC4378" w:rsidRPr="00A52AB8">
        <w:rPr>
          <w:color w:val="000000" w:themeColor="text1"/>
        </w:rPr>
        <w:t> ]</w:t>
      </w:r>
      <w:r w:rsidRPr="00A52AB8">
        <w:rPr>
          <w:color w:val="000000" w:themeColor="text1"/>
        </w:rPr>
        <w:t>;</w:t>
      </w:r>
      <w:r w:rsidR="008550E4" w:rsidRPr="00A52AB8">
        <w:rPr>
          <w:color w:val="000000" w:themeColor="text1"/>
        </w:rPr>
        <w:t> </w:t>
      </w:r>
      <w:r w:rsidRPr="00A52AB8">
        <w:rPr>
          <w:color w:val="000000" w:themeColor="text1"/>
        </w:rPr>
        <w:t>attrIdx</w:t>
      </w:r>
      <w:r w:rsidR="00006CCF" w:rsidRPr="00A52AB8">
        <w:rPr>
          <w:color w:val="000000" w:themeColor="text1"/>
        </w:rPr>
        <w:t>++ </w:t>
      </w:r>
      <w:r w:rsidR="008F1F82" w:rsidRPr="00A52AB8">
        <w:rPr>
          <w:color w:val="000000" w:themeColor="text1"/>
        </w:rPr>
        <w:t>) {</w:t>
      </w:r>
      <w:r w:rsidR="00FF3E38" w:rsidRPr="00A52AB8">
        <w:rPr>
          <w:color w:val="000000" w:themeColor="text1"/>
        </w:rPr>
        <w:br/>
      </w:r>
      <w:r w:rsidRPr="00A52AB8">
        <w:rPr>
          <w:color w:val="000000" w:themeColor="text1"/>
        </w:rPr>
        <w:tab/>
      </w:r>
      <w:r w:rsidRPr="00A52AB8">
        <w:rPr>
          <w:color w:val="000000" w:themeColor="text1"/>
        </w:rPr>
        <w:tab/>
        <w:t>attrDim</w:t>
      </w:r>
      <w:r w:rsidR="00D47707" w:rsidRPr="00A52AB8">
        <w:rPr>
          <w:color w:val="000000" w:themeColor="text1"/>
        </w:rPr>
        <w:t> = </w:t>
      </w:r>
      <w:r w:rsidRPr="00A52AB8">
        <w:rPr>
          <w:color w:val="000000" w:themeColor="text1"/>
        </w:rPr>
        <w:t>ai_attribute_dimension_minus1[ </w:t>
      </w:r>
      <w:r w:rsidR="00934591" w:rsidRPr="00A52AB8">
        <w:rPr>
          <w:color w:val="000000" w:themeColor="text1"/>
        </w:rPr>
        <w:t>RecAtlasID</w:t>
      </w:r>
      <w:r w:rsidRPr="00A52AB8">
        <w:rPr>
          <w:color w:val="000000" w:themeColor="text1"/>
        </w:rPr>
        <w:t> ][ attrIdx ] + 1</w:t>
      </w:r>
      <w:r w:rsidR="00FF3E38" w:rsidRPr="00A52AB8">
        <w:rPr>
          <w:color w:val="000000" w:themeColor="text1"/>
        </w:rPr>
        <w:br/>
      </w:r>
      <w:r w:rsidRPr="00A52AB8">
        <w:rPr>
          <w:color w:val="000000" w:themeColor="text1"/>
        </w:rPr>
        <w:tab/>
      </w:r>
      <w:r w:rsidRPr="00A52AB8">
        <w:rPr>
          <w:color w:val="000000" w:themeColor="text1"/>
        </w:rPr>
        <w:tab/>
        <w:t>for( c</w:t>
      </w:r>
      <w:r w:rsidR="00C65877" w:rsidRPr="00A52AB8">
        <w:rPr>
          <w:color w:val="000000" w:themeColor="text1"/>
        </w:rPr>
        <w:t>omp</w:t>
      </w:r>
      <w:r w:rsidRPr="00A52AB8">
        <w:rPr>
          <w:color w:val="000000" w:themeColor="text1"/>
        </w:rPr>
        <w:t>Idx</w:t>
      </w:r>
      <w:r w:rsidR="00D47707" w:rsidRPr="00A52AB8">
        <w:rPr>
          <w:color w:val="000000" w:themeColor="text1"/>
        </w:rPr>
        <w:t> = </w:t>
      </w:r>
      <w:r w:rsidRPr="00A52AB8">
        <w:rPr>
          <w:color w:val="000000" w:themeColor="text1"/>
        </w:rPr>
        <w:t>0; c</w:t>
      </w:r>
      <w:r w:rsidR="00C65877" w:rsidRPr="00A52AB8">
        <w:rPr>
          <w:color w:val="000000" w:themeColor="text1"/>
        </w:rPr>
        <w:t>omp</w:t>
      </w:r>
      <w:r w:rsidRPr="00A52AB8">
        <w:rPr>
          <w:color w:val="000000" w:themeColor="text1"/>
        </w:rPr>
        <w:t>Idx &lt; attrDim; c</w:t>
      </w:r>
      <w:r w:rsidR="00C65877" w:rsidRPr="00A52AB8">
        <w:rPr>
          <w:color w:val="000000" w:themeColor="text1"/>
        </w:rPr>
        <w:t>omp</w:t>
      </w:r>
      <w:r w:rsidRPr="00A52AB8">
        <w:rPr>
          <w:color w:val="000000" w:themeColor="text1"/>
        </w:rPr>
        <w:t>Idx</w:t>
      </w:r>
      <w:r w:rsidR="00006CCF" w:rsidRPr="00A52AB8">
        <w:rPr>
          <w:color w:val="000000" w:themeColor="text1"/>
        </w:rPr>
        <w:t>++ )</w:t>
      </w:r>
      <w:r w:rsidR="00FF3E38"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r>
      <w:r w:rsidR="00505074" w:rsidRPr="00A52AB8">
        <w:rPr>
          <w:color w:val="000000" w:themeColor="text1"/>
        </w:rPr>
        <w:t>r</w:t>
      </w:r>
      <w:r w:rsidRPr="00A52AB8">
        <w:rPr>
          <w:color w:val="000000" w:themeColor="text1"/>
        </w:rPr>
        <w:t>ecPcAttr[ pointCnt ][ attrIdx ][ c</w:t>
      </w:r>
      <w:r w:rsidR="00C65877" w:rsidRPr="00A52AB8">
        <w:rPr>
          <w:color w:val="000000" w:themeColor="text1"/>
        </w:rPr>
        <w:t>omp</w:t>
      </w:r>
      <w:r w:rsidRPr="00A52AB8">
        <w:rPr>
          <w:color w:val="000000" w:themeColor="text1"/>
        </w:rPr>
        <w:t>Idx ]</w:t>
      </w:r>
      <w:r w:rsidR="00D47707" w:rsidRPr="00A52AB8">
        <w:rPr>
          <w:color w:val="000000" w:themeColor="text1"/>
        </w:rPr>
        <w:t> = </w:t>
      </w:r>
      <w:r w:rsidR="00505074" w:rsidRPr="00A52AB8">
        <w:rPr>
          <w:color w:val="000000" w:themeColor="text1"/>
        </w:rPr>
        <w:t>a</w:t>
      </w:r>
      <w:r w:rsidRPr="00A52AB8">
        <w:rPr>
          <w:color w:val="000000" w:themeColor="text1"/>
        </w:rPr>
        <w:t>Frame[ attrIdx ][ c</w:t>
      </w:r>
      <w:r w:rsidR="00C65877" w:rsidRPr="00A52AB8">
        <w:rPr>
          <w:color w:val="000000" w:themeColor="text1"/>
        </w:rPr>
        <w:t>omp</w:t>
      </w:r>
      <w:r w:rsidRPr="00A52AB8">
        <w:rPr>
          <w:color w:val="000000" w:themeColor="text1"/>
        </w:rPr>
        <w:t>Idx ]</w:t>
      </w:r>
      <w:r w:rsidR="004B7314" w:rsidRPr="00A52AB8">
        <w:rPr>
          <w:color w:val="000000" w:themeColor="text1"/>
        </w:rPr>
        <w:t>[ y ][ x ]</w:t>
      </w:r>
      <w:r w:rsidR="00FF3E38" w:rsidRPr="00A52AB8">
        <w:rPr>
          <w:color w:val="000000" w:themeColor="text1"/>
        </w:rPr>
        <w:br/>
      </w:r>
      <w:r w:rsidRPr="00A52AB8">
        <w:tab/>
        <w:t>}</w:t>
      </w:r>
      <w:r w:rsidR="00FF3E38" w:rsidRPr="00A52AB8">
        <w:br/>
      </w:r>
      <w:r w:rsidR="00FF3E38" w:rsidRPr="00A52AB8">
        <w:br/>
      </w:r>
      <w:r w:rsidRPr="00A52AB8">
        <w:tab/>
      </w:r>
      <w:r w:rsidR="00EE6852" w:rsidRPr="00A52AB8">
        <w:t>if(</w:t>
      </w:r>
      <w:r w:rsidR="008550E4" w:rsidRPr="00A52AB8">
        <w:t> </w:t>
      </w:r>
      <w:r w:rsidR="00EE6852" w:rsidRPr="00A52AB8">
        <w:rPr>
          <w:color w:val="000000" w:themeColor="text1"/>
        </w:rPr>
        <w:t>ai_attribute_count[ </w:t>
      </w:r>
      <w:r w:rsidR="00934591" w:rsidRPr="00A52AB8">
        <w:rPr>
          <w:color w:val="000000" w:themeColor="text1"/>
        </w:rPr>
        <w:t>RecAtlasID</w:t>
      </w:r>
      <w:r w:rsidR="00EE6852" w:rsidRPr="00A52AB8">
        <w:rPr>
          <w:color w:val="000000" w:themeColor="text1"/>
        </w:rPr>
        <w:t> ]</w:t>
      </w:r>
      <w:r w:rsidR="008550E4" w:rsidRPr="00A52AB8">
        <w:rPr>
          <w:color w:val="000000" w:themeColor="text1"/>
        </w:rPr>
        <w:t> </w:t>
      </w:r>
      <w:r w:rsidR="00EE6852" w:rsidRPr="00A52AB8">
        <w:rPr>
          <w:color w:val="000000" w:themeColor="text1"/>
        </w:rPr>
        <w:t>&gt;</w:t>
      </w:r>
      <w:r w:rsidR="008550E4" w:rsidRPr="00A52AB8">
        <w:rPr>
          <w:color w:val="000000" w:themeColor="text1"/>
        </w:rPr>
        <w:t> </w:t>
      </w:r>
      <w:r w:rsidR="00EE6852" w:rsidRPr="00A52AB8">
        <w:rPr>
          <w:color w:val="000000" w:themeColor="text1"/>
        </w:rPr>
        <w:t>0</w:t>
      </w:r>
      <w:r w:rsidR="008550E4" w:rsidRPr="00A52AB8">
        <w:rPr>
          <w:color w:val="000000" w:themeColor="text1"/>
        </w:rPr>
        <w:t> </w:t>
      </w:r>
      <w:r w:rsidR="00EE6852" w:rsidRPr="00A52AB8">
        <w:rPr>
          <w:color w:val="000000" w:themeColor="text1"/>
        </w:rPr>
        <w:t>)</w:t>
      </w:r>
      <w:r w:rsidR="00FF3E38" w:rsidRPr="00A52AB8">
        <w:rPr>
          <w:color w:val="000000" w:themeColor="text1"/>
        </w:rPr>
        <w:br/>
      </w:r>
      <w:r w:rsidR="00EE6852" w:rsidRPr="00A52AB8">
        <w:rPr>
          <w:color w:val="000000" w:themeColor="text1"/>
        </w:rPr>
        <w:tab/>
      </w:r>
      <w:r w:rsidR="00EE6852" w:rsidRPr="00A52AB8">
        <w:rPr>
          <w:color w:val="000000" w:themeColor="text1"/>
        </w:rPr>
        <w:tab/>
      </w:r>
      <w:r w:rsidR="00572108" w:rsidRPr="00A52AB8">
        <w:t>a</w:t>
      </w:r>
      <w:r w:rsidRPr="00A52AB8">
        <w:t>ttrPresent[ pointCnt ]</w:t>
      </w:r>
      <w:r w:rsidR="00D47707" w:rsidRPr="00A52AB8">
        <w:t> = </w:t>
      </w:r>
      <w:r w:rsidRPr="00A52AB8">
        <w:t xml:space="preserve">1 </w:t>
      </w:r>
      <w:r w:rsidR="00FF3E38" w:rsidRPr="00A52AB8">
        <w:br/>
      </w:r>
      <w:r w:rsidR="00FF3E38" w:rsidRPr="00A52AB8">
        <w:rPr>
          <w:color w:val="000000" w:themeColor="text1"/>
        </w:rPr>
        <w:br/>
      </w:r>
      <w:r w:rsidR="00FF3E38" w:rsidRPr="00A52AB8">
        <w:rPr>
          <w:color w:val="000000" w:themeColor="text1"/>
        </w:rPr>
        <w:tab/>
        <w:t>pointToPixel[ pointCnt ][ 0 ]</w:t>
      </w:r>
      <w:r w:rsidR="00D47707" w:rsidRPr="00A52AB8">
        <w:rPr>
          <w:color w:val="000000" w:themeColor="text1"/>
        </w:rPr>
        <w:t> = </w:t>
      </w:r>
      <w:r w:rsidR="00FF3E38" w:rsidRPr="00A52AB8">
        <w:rPr>
          <w:color w:val="000000" w:themeColor="text1"/>
        </w:rPr>
        <w:t>−1</w:t>
      </w:r>
      <w:r w:rsidR="00FF3E38" w:rsidRPr="00A52AB8">
        <w:rPr>
          <w:color w:val="000000" w:themeColor="text1"/>
        </w:rPr>
        <w:br/>
      </w:r>
      <w:r w:rsidR="00FF3E38" w:rsidRPr="00A52AB8">
        <w:rPr>
          <w:color w:val="000000" w:themeColor="text1"/>
        </w:rPr>
        <w:tab/>
        <w:t>pointToPixel[ pointCnt ][ 1 ]</w:t>
      </w:r>
      <w:r w:rsidR="00D47707" w:rsidRPr="00A52AB8">
        <w:rPr>
          <w:color w:val="000000" w:themeColor="text1"/>
        </w:rPr>
        <w:t> = </w:t>
      </w:r>
      <w:r w:rsidR="00FF3E38" w:rsidRPr="00A52AB8">
        <w:rPr>
          <w:color w:val="000000" w:themeColor="text1"/>
        </w:rPr>
        <w:t>−1</w:t>
      </w:r>
      <w:r w:rsidR="00FF3E38" w:rsidRPr="00A52AB8">
        <w:rPr>
          <w:color w:val="000000" w:themeColor="text1"/>
        </w:rPr>
        <w:br/>
      </w:r>
      <w:r w:rsidR="00FF3E38" w:rsidRPr="00A52AB8">
        <w:rPr>
          <w:color w:val="000000" w:themeColor="text1"/>
        </w:rPr>
        <w:tab/>
        <w:t>pointToPatch[ pointCnt ]</w:t>
      </w:r>
      <w:r w:rsidR="00D47707" w:rsidRPr="00A52AB8">
        <w:rPr>
          <w:color w:val="000000" w:themeColor="text1"/>
        </w:rPr>
        <w:t> = </w:t>
      </w:r>
      <w:r w:rsidR="00FF3E38" w:rsidRPr="00A52AB8">
        <w:rPr>
          <w:color w:val="000000" w:themeColor="text1"/>
        </w:rPr>
        <w:t>pIdx</w:t>
      </w:r>
      <w:r w:rsidR="00FF3E38" w:rsidRPr="00A52AB8">
        <w:rPr>
          <w:color w:val="000000" w:themeColor="text1"/>
        </w:rPr>
        <w:br/>
      </w:r>
      <w:r w:rsidR="00FF3E38" w:rsidRPr="00A52AB8">
        <w:rPr>
          <w:color w:val="000000" w:themeColor="text1"/>
        </w:rPr>
        <w:tab/>
      </w:r>
      <w:r w:rsidR="00D87944" w:rsidRPr="00A52AB8">
        <w:t>pointCnt</w:t>
      </w:r>
      <w:r w:rsidRPr="00A52AB8">
        <w:t>++</w:t>
      </w:r>
      <w:r w:rsidR="00FF3E38" w:rsidRPr="00A52AB8">
        <w:br/>
      </w:r>
      <w:r w:rsidRPr="00A52AB8">
        <w:t>}</w:t>
      </w:r>
    </w:p>
    <w:p w14:paraId="68B923CD" w14:textId="14A41D07" w:rsidR="00D53455" w:rsidRPr="00A52AB8" w:rsidRDefault="004028EA" w:rsidP="00792CFF">
      <w:r w:rsidRPr="00496A4D">
        <w:fldChar w:fldCharType="begin"/>
      </w:r>
      <w:r w:rsidRPr="00A52AB8">
        <w:instrText xml:space="preserve"> REF _Ref46842054 \h  \* MERGEFORMAT </w:instrText>
      </w:r>
      <w:r w:rsidRPr="00496A4D">
        <w:fldChar w:fldCharType="separate"/>
      </w:r>
      <w:r w:rsidR="00507A67" w:rsidRPr="00507A67">
        <w:rPr>
          <w:rFonts w:cs="Calibri"/>
        </w:rPr>
        <w:t>Figure H-4</w:t>
      </w:r>
      <w:r w:rsidRPr="00496A4D">
        <w:fldChar w:fldCharType="end"/>
      </w:r>
      <w:r w:rsidRPr="00A52AB8">
        <w:t xml:space="preserve"> shows an example RAW patch in a geometry frame, where the coordinates of 3D points represented by RAW coded points are each packed contiguously in the first component of the geometry frame.</w:t>
      </w:r>
    </w:p>
    <w:p w14:paraId="219F4CE9" w14:textId="77777777" w:rsidR="0005477C" w:rsidRPr="00A52AB8" w:rsidRDefault="009F35EB" w:rsidP="000C6D24">
      <w:pPr>
        <w:jc w:val="center"/>
      </w:pPr>
      <w:r w:rsidRPr="00496A4D">
        <w:rPr>
          <w:noProof/>
        </w:rPr>
        <w:drawing>
          <wp:inline distT="0" distB="0" distL="0" distR="0" wp14:anchorId="70167721" wp14:editId="28E50E06">
            <wp:extent cx="4829175" cy="3178679"/>
            <wp:effectExtent l="0" t="0" r="0" b="317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4841793" cy="3186984"/>
                    </a:xfrm>
                    <a:prstGeom prst="rect">
                      <a:avLst/>
                    </a:prstGeom>
                  </pic:spPr>
                </pic:pic>
              </a:graphicData>
            </a:graphic>
          </wp:inline>
        </w:drawing>
      </w:r>
    </w:p>
    <w:p w14:paraId="77564D86" w14:textId="63685E61" w:rsidR="00D53455" w:rsidRPr="00A52AB8" w:rsidRDefault="00101B11">
      <w:pPr>
        <w:jc w:val="center"/>
        <w:rPr>
          <w:rFonts w:cs="Calibri"/>
          <w:b/>
          <w:bCs/>
          <w:sz w:val="20"/>
          <w:szCs w:val="20"/>
        </w:rPr>
      </w:pPr>
      <w:bookmarkStart w:id="6728" w:name="_Ref46842054"/>
      <w:r w:rsidRPr="00A52AB8">
        <w:rPr>
          <w:rFonts w:cs="Calibri"/>
          <w:b/>
          <w:bCs/>
          <w:sz w:val="20"/>
          <w:szCs w:val="20"/>
        </w:rPr>
        <w:t>Figure H-</w:t>
      </w:r>
      <w:r w:rsidRPr="00496A4D">
        <w:rPr>
          <w:rFonts w:cs="Calibri"/>
          <w:b/>
          <w:bCs/>
          <w:sz w:val="20"/>
          <w:szCs w:val="20"/>
        </w:rPr>
        <w:fldChar w:fldCharType="begin"/>
      </w:r>
      <w:r w:rsidRPr="00A52AB8">
        <w:rPr>
          <w:rFonts w:cs="Calibri"/>
          <w:b/>
          <w:bCs/>
          <w:sz w:val="20"/>
          <w:szCs w:val="20"/>
        </w:rPr>
        <w:instrText xml:space="preserve"> SEQ Figure \* ARABIC </w:instrText>
      </w:r>
      <w:r w:rsidRPr="00496A4D">
        <w:rPr>
          <w:rFonts w:cs="Calibri"/>
          <w:b/>
          <w:bCs/>
          <w:sz w:val="20"/>
          <w:szCs w:val="20"/>
        </w:rPr>
        <w:fldChar w:fldCharType="separate"/>
      </w:r>
      <w:r w:rsidR="00507A67">
        <w:rPr>
          <w:rFonts w:cs="Calibri"/>
          <w:b/>
          <w:bCs/>
          <w:noProof/>
          <w:sz w:val="20"/>
          <w:szCs w:val="20"/>
        </w:rPr>
        <w:t>4</w:t>
      </w:r>
      <w:r w:rsidRPr="00496A4D">
        <w:rPr>
          <w:rFonts w:cs="Calibri"/>
          <w:b/>
          <w:bCs/>
          <w:sz w:val="20"/>
          <w:szCs w:val="20"/>
        </w:rPr>
        <w:fldChar w:fldCharType="end"/>
      </w:r>
      <w:bookmarkEnd w:id="6728"/>
      <w:r w:rsidR="00C43AE5" w:rsidRPr="00A52AB8">
        <w:rPr>
          <w:rFonts w:cs="Calibri"/>
          <w:b/>
          <w:bCs/>
          <w:sz w:val="20"/>
          <w:szCs w:val="20"/>
        </w:rPr>
        <w:t> </w:t>
      </w:r>
      <w:r w:rsidR="00C43AE5" w:rsidRPr="00A52AB8">
        <w:rPr>
          <w:b/>
          <w:sz w:val="20"/>
          <w:szCs w:val="20"/>
        </w:rPr>
        <w:t>–</w:t>
      </w:r>
      <w:r w:rsidR="00C43AE5" w:rsidRPr="00A52AB8">
        <w:rPr>
          <w:sz w:val="20"/>
          <w:szCs w:val="20"/>
        </w:rPr>
        <w:t> </w:t>
      </w:r>
      <w:r w:rsidR="00657096" w:rsidRPr="00A52AB8">
        <w:rPr>
          <w:rFonts w:cs="Calibri"/>
          <w:b/>
          <w:bCs/>
          <w:sz w:val="20"/>
          <w:szCs w:val="20"/>
        </w:rPr>
        <w:t xml:space="preserve">An example of </w:t>
      </w:r>
      <w:r w:rsidR="007271C5" w:rsidRPr="00A52AB8">
        <w:rPr>
          <w:rFonts w:cs="Calibri"/>
          <w:b/>
          <w:bCs/>
          <w:sz w:val="20"/>
          <w:szCs w:val="20"/>
        </w:rPr>
        <w:t xml:space="preserve">a </w:t>
      </w:r>
      <w:r w:rsidR="00657096" w:rsidRPr="00A52AB8">
        <w:rPr>
          <w:rFonts w:cs="Calibri"/>
          <w:b/>
          <w:bCs/>
          <w:sz w:val="20"/>
          <w:szCs w:val="20"/>
        </w:rPr>
        <w:t>RAW patch and RAW coded points geometry layout in a geometry frame</w:t>
      </w:r>
    </w:p>
    <w:p w14:paraId="3ACF33F9" w14:textId="24074E7F" w:rsidR="00D53455" w:rsidRPr="00A52AB8" w:rsidRDefault="004028EA">
      <w:pPr>
        <w:rPr>
          <w:rFonts w:cs="Calibri"/>
          <w:sz w:val="20"/>
          <w:szCs w:val="20"/>
        </w:rPr>
      </w:pPr>
      <w:r w:rsidRPr="00496A4D">
        <w:rPr>
          <w:rFonts w:cs="Calibri"/>
          <w:sz w:val="20"/>
          <w:szCs w:val="20"/>
        </w:rPr>
        <w:fldChar w:fldCharType="begin"/>
      </w:r>
      <w:r w:rsidRPr="00A52AB8">
        <w:rPr>
          <w:rFonts w:cs="Calibri"/>
          <w:sz w:val="20"/>
          <w:szCs w:val="20"/>
        </w:rPr>
        <w:instrText xml:space="preserve"> REF _Ref46842064 \h  \* MERGEFORMAT </w:instrText>
      </w:r>
      <w:r w:rsidRPr="00496A4D">
        <w:rPr>
          <w:rFonts w:cs="Calibri"/>
          <w:sz w:val="20"/>
          <w:szCs w:val="20"/>
        </w:rPr>
      </w:r>
      <w:r w:rsidRPr="00496A4D">
        <w:rPr>
          <w:rFonts w:cs="Calibri"/>
          <w:sz w:val="20"/>
          <w:szCs w:val="20"/>
        </w:rPr>
        <w:fldChar w:fldCharType="separate"/>
      </w:r>
      <w:r w:rsidR="00507A67" w:rsidRPr="00507A67">
        <w:rPr>
          <w:rFonts w:cs="Calibri"/>
        </w:rPr>
        <w:t>Figure H-5</w:t>
      </w:r>
      <w:r w:rsidRPr="00496A4D">
        <w:rPr>
          <w:rFonts w:cs="Calibri"/>
          <w:sz w:val="20"/>
          <w:szCs w:val="20"/>
        </w:rPr>
        <w:fldChar w:fldCharType="end"/>
      </w:r>
      <w:r w:rsidR="00047DCA" w:rsidRPr="00A52AB8">
        <w:rPr>
          <w:rFonts w:cs="Calibri"/>
          <w:sz w:val="20"/>
          <w:szCs w:val="20"/>
        </w:rPr>
        <w:t xml:space="preserve"> </w:t>
      </w:r>
      <w:r w:rsidR="00047DCA" w:rsidRPr="00A52AB8">
        <w:t>shows an example RAW patch in an attribute frame where RAW attribute values are stored in raster scan order for each component</w:t>
      </w:r>
      <w:r w:rsidR="00E069BF" w:rsidRPr="00A52AB8">
        <w:t xml:space="preserve"> of index cIdx.</w:t>
      </w:r>
    </w:p>
    <w:p w14:paraId="3A099A98" w14:textId="77777777" w:rsidR="00D53455" w:rsidRPr="00A52AB8" w:rsidRDefault="009F35EB" w:rsidP="00966AAC">
      <w:pPr>
        <w:jc w:val="center"/>
        <w:rPr>
          <w:b/>
          <w:bCs/>
          <w:color w:val="000000" w:themeColor="text1"/>
          <w:sz w:val="20"/>
          <w:szCs w:val="20"/>
        </w:rPr>
      </w:pPr>
      <w:r w:rsidRPr="00496A4D">
        <w:rPr>
          <w:noProof/>
        </w:rPr>
        <w:drawing>
          <wp:inline distT="0" distB="0" distL="0" distR="0" wp14:anchorId="7657B858" wp14:editId="1E4802B4">
            <wp:extent cx="6192520" cy="4323715"/>
            <wp:effectExtent l="0" t="0" r="0" b="63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6192520" cy="4323715"/>
                    </a:xfrm>
                    <a:prstGeom prst="rect">
                      <a:avLst/>
                    </a:prstGeom>
                  </pic:spPr>
                </pic:pic>
              </a:graphicData>
            </a:graphic>
          </wp:inline>
        </w:drawing>
      </w:r>
    </w:p>
    <w:p w14:paraId="1D7C8978" w14:textId="7E9BD573" w:rsidR="00D53455" w:rsidRPr="00A52AB8" w:rsidRDefault="00D53455" w:rsidP="00691D31">
      <w:pPr>
        <w:jc w:val="center"/>
        <w:rPr>
          <w:b/>
          <w:bCs/>
          <w:color w:val="000000" w:themeColor="text1"/>
          <w:sz w:val="20"/>
          <w:szCs w:val="20"/>
        </w:rPr>
      </w:pPr>
      <w:bookmarkStart w:id="6729" w:name="_Ref46842064"/>
      <w:r w:rsidRPr="00A52AB8">
        <w:rPr>
          <w:rFonts w:cs="Calibri"/>
          <w:b/>
          <w:bCs/>
          <w:sz w:val="20"/>
          <w:szCs w:val="20"/>
        </w:rPr>
        <w:t>Figure H-</w:t>
      </w:r>
      <w:r w:rsidRPr="00496A4D">
        <w:rPr>
          <w:rFonts w:cs="Calibri"/>
          <w:b/>
          <w:bCs/>
          <w:sz w:val="20"/>
          <w:szCs w:val="20"/>
        </w:rPr>
        <w:fldChar w:fldCharType="begin"/>
      </w:r>
      <w:r w:rsidRPr="00A52AB8">
        <w:rPr>
          <w:rFonts w:cs="Calibri"/>
          <w:b/>
          <w:bCs/>
          <w:sz w:val="20"/>
          <w:szCs w:val="20"/>
        </w:rPr>
        <w:instrText xml:space="preserve"> SEQ Figure \* ARABIC </w:instrText>
      </w:r>
      <w:r w:rsidRPr="00496A4D">
        <w:rPr>
          <w:rFonts w:cs="Calibri"/>
          <w:b/>
          <w:bCs/>
          <w:sz w:val="20"/>
          <w:szCs w:val="20"/>
        </w:rPr>
        <w:fldChar w:fldCharType="separate"/>
      </w:r>
      <w:r w:rsidR="00507A67">
        <w:rPr>
          <w:rFonts w:cs="Calibri"/>
          <w:b/>
          <w:bCs/>
          <w:noProof/>
          <w:sz w:val="20"/>
          <w:szCs w:val="20"/>
        </w:rPr>
        <w:t>5</w:t>
      </w:r>
      <w:r w:rsidRPr="00496A4D">
        <w:rPr>
          <w:rFonts w:cs="Calibri"/>
          <w:b/>
          <w:bCs/>
          <w:sz w:val="20"/>
          <w:szCs w:val="20"/>
        </w:rPr>
        <w:fldChar w:fldCharType="end"/>
      </w:r>
      <w:bookmarkEnd w:id="6729"/>
      <w:r w:rsidR="006A7854" w:rsidRPr="00A52AB8">
        <w:rPr>
          <w:rFonts w:cs="Calibri"/>
          <w:b/>
          <w:bCs/>
          <w:sz w:val="20"/>
          <w:szCs w:val="20"/>
        </w:rPr>
        <w:t> </w:t>
      </w:r>
      <w:r w:rsidR="006A7854" w:rsidRPr="00A52AB8">
        <w:rPr>
          <w:b/>
          <w:sz w:val="20"/>
          <w:szCs w:val="20"/>
        </w:rPr>
        <w:t>–</w:t>
      </w:r>
      <w:r w:rsidR="006A7854" w:rsidRPr="00A52AB8">
        <w:rPr>
          <w:sz w:val="20"/>
          <w:szCs w:val="20"/>
        </w:rPr>
        <w:t> </w:t>
      </w:r>
      <w:r w:rsidR="002B6A8F" w:rsidRPr="00A52AB8">
        <w:rPr>
          <w:rFonts w:cs="Calibri"/>
          <w:b/>
          <w:bCs/>
          <w:sz w:val="20"/>
          <w:szCs w:val="20"/>
        </w:rPr>
        <w:t xml:space="preserve">An example of </w:t>
      </w:r>
      <w:r w:rsidR="00832B12" w:rsidRPr="00A52AB8">
        <w:rPr>
          <w:rFonts w:cs="Calibri"/>
          <w:b/>
          <w:bCs/>
          <w:sz w:val="20"/>
          <w:szCs w:val="20"/>
        </w:rPr>
        <w:t xml:space="preserve">a </w:t>
      </w:r>
      <w:r w:rsidR="002B6A8F" w:rsidRPr="00A52AB8">
        <w:rPr>
          <w:rFonts w:cs="Calibri"/>
          <w:b/>
          <w:bCs/>
          <w:sz w:val="20"/>
          <w:szCs w:val="20"/>
        </w:rPr>
        <w:t>RAW patch and RAW coded points attribute layout in an attribute frame</w:t>
      </w:r>
    </w:p>
    <w:p w14:paraId="702E101D" w14:textId="77777777" w:rsidR="0050235C" w:rsidRPr="00A52AB8" w:rsidRDefault="00925CA2" w:rsidP="00895494">
      <w:pPr>
        <w:pStyle w:val="a3"/>
        <w:numPr>
          <w:ilvl w:val="2"/>
          <w:numId w:val="14"/>
        </w:numPr>
      </w:pPr>
      <w:bookmarkStart w:id="6730" w:name="_Ref48425253"/>
      <w:bookmarkStart w:id="6731" w:name="_Ref47783051"/>
      <w:bookmarkStart w:id="6732" w:name="_Ref47783685"/>
      <w:bookmarkStart w:id="6733" w:name="_Toc52181795"/>
      <w:r w:rsidRPr="00A52AB8">
        <w:t xml:space="preserve">Conversion from </w:t>
      </w:r>
      <w:r w:rsidR="0056184B" w:rsidRPr="00A52AB8">
        <w:t xml:space="preserve">atlas </w:t>
      </w:r>
      <w:r w:rsidRPr="00A52AB8">
        <w:t xml:space="preserve">coordinates to </w:t>
      </w:r>
      <w:r w:rsidR="0056184B" w:rsidRPr="00A52AB8">
        <w:t>3D coordinates</w:t>
      </w:r>
      <w:bookmarkEnd w:id="6730"/>
      <w:bookmarkEnd w:id="6731"/>
      <w:bookmarkEnd w:id="6732"/>
      <w:bookmarkEnd w:id="6733"/>
    </w:p>
    <w:p w14:paraId="553224A5" w14:textId="324A871C" w:rsidR="00925CA2" w:rsidRPr="00A52AB8" w:rsidRDefault="00925CA2" w:rsidP="00925CA2">
      <w:pPr>
        <w:rPr>
          <w:color w:val="000000" w:themeColor="text1"/>
        </w:rPr>
      </w:pPr>
      <w:r w:rsidRPr="00A52AB8">
        <w:rPr>
          <w:color w:val="000000" w:themeColor="text1"/>
        </w:rPr>
        <w:t>Inputs to this process are:</w:t>
      </w:r>
    </w:p>
    <w:p w14:paraId="7FB4B8EF" w14:textId="77777777" w:rsidR="00A50278" w:rsidRPr="00A52AB8" w:rsidRDefault="00A5027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variable p</w:t>
      </w:r>
      <w:r w:rsidR="00F97957" w:rsidRPr="00A52AB8">
        <w:rPr>
          <w:color w:val="000000" w:themeColor="text1"/>
        </w:rPr>
        <w:t>Idx</w:t>
      </w:r>
      <w:r w:rsidRPr="00A52AB8">
        <w:rPr>
          <w:color w:val="000000" w:themeColor="text1"/>
        </w:rPr>
        <w:t>, the patch index,</w:t>
      </w:r>
    </w:p>
    <w:p w14:paraId="5327B7B6" w14:textId="2B968BCA" w:rsidR="00A50278" w:rsidRPr="00A52AB8" w:rsidRDefault="00F9795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variable depthValue, the depth of a point</w:t>
      </w:r>
      <w:r w:rsidR="00950A64" w:rsidRPr="00A52AB8">
        <w:rPr>
          <w:color w:val="000000" w:themeColor="text1"/>
        </w:rPr>
        <w:t>,</w:t>
      </w:r>
    </w:p>
    <w:p w14:paraId="35BFA9F1" w14:textId="08DA0179" w:rsidR="00925CA2" w:rsidRPr="00A52AB8" w:rsidRDefault="00A42A0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variable x, the x atlas coordinate</w:t>
      </w:r>
      <w:r w:rsidR="00626298" w:rsidRPr="00A52AB8">
        <w:rPr>
          <w:color w:val="000000" w:themeColor="text1"/>
        </w:rPr>
        <w:t>,</w:t>
      </w:r>
    </w:p>
    <w:p w14:paraId="7BB7B5E2" w14:textId="7EAF0BD6" w:rsidR="00626298" w:rsidRPr="00A52AB8" w:rsidRDefault="00626298" w:rsidP="00626298">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variable y, the y atlas coordinate.</w:t>
      </w:r>
    </w:p>
    <w:p w14:paraId="0B79D260" w14:textId="6A0F145C" w:rsidR="00925CA2" w:rsidRPr="00A52AB8" w:rsidRDefault="00925CA2" w:rsidP="00925CA2">
      <w:pPr>
        <w:rPr>
          <w:color w:val="000000" w:themeColor="text1"/>
        </w:rPr>
      </w:pPr>
      <w:r w:rsidRPr="00A52AB8">
        <w:rPr>
          <w:color w:val="000000" w:themeColor="text1"/>
        </w:rPr>
        <w:t xml:space="preserve">Output </w:t>
      </w:r>
      <w:r w:rsidR="00A50278" w:rsidRPr="00A52AB8">
        <w:rPr>
          <w:color w:val="000000" w:themeColor="text1"/>
        </w:rPr>
        <w:t xml:space="preserve">of </w:t>
      </w:r>
      <w:r w:rsidRPr="00A52AB8">
        <w:rPr>
          <w:color w:val="000000" w:themeColor="text1"/>
        </w:rPr>
        <w:t xml:space="preserve">this process </w:t>
      </w:r>
      <w:r w:rsidR="00434824" w:rsidRPr="00A52AB8">
        <w:rPr>
          <w:color w:val="000000" w:themeColor="text1"/>
        </w:rPr>
        <w:t xml:space="preserve">is </w:t>
      </w:r>
      <w:r w:rsidR="00A50278" w:rsidRPr="00A52AB8">
        <w:t>a</w:t>
      </w:r>
      <w:r w:rsidR="00A42A07" w:rsidRPr="00A52AB8">
        <w:t xml:space="preserve"> 2D</w:t>
      </w:r>
      <w:r w:rsidR="00A50278" w:rsidRPr="00A52AB8">
        <w:t xml:space="preserve"> array, pos3D, </w:t>
      </w:r>
      <w:r w:rsidR="00A42A07" w:rsidRPr="00A52AB8">
        <w:t>of size 3</w:t>
      </w:r>
      <w:r w:rsidR="00A50278" w:rsidRPr="00A52AB8">
        <w:t xml:space="preserve">, specifying the </w:t>
      </w:r>
      <w:r w:rsidR="00870E63" w:rsidRPr="00A52AB8">
        <w:t>3D</w:t>
      </w:r>
      <w:r w:rsidR="00A50278" w:rsidRPr="00A52AB8">
        <w:t xml:space="preserve"> coordinates of a</w:t>
      </w:r>
      <w:r w:rsidR="00A50278" w:rsidRPr="00A52AB8">
        <w:rPr>
          <w:color w:val="000000" w:themeColor="text1"/>
        </w:rPr>
        <w:t xml:space="preserve"> point.</w:t>
      </w:r>
    </w:p>
    <w:p w14:paraId="5B8852F0" w14:textId="77777777" w:rsidR="00162EAE" w:rsidRPr="00A52AB8" w:rsidRDefault="00162EAE" w:rsidP="00925CA2">
      <w:pPr>
        <w:rPr>
          <w:color w:val="000000" w:themeColor="text1"/>
        </w:rPr>
      </w:pPr>
      <w:r w:rsidRPr="00A52AB8">
        <w:rPr>
          <w:color w:val="000000" w:themeColor="text1"/>
        </w:rPr>
        <w:t>The following applies:</w:t>
      </w:r>
    </w:p>
    <w:p w14:paraId="17E2A585" w14:textId="0C5266BB" w:rsidR="00A469C3" w:rsidRPr="00A52AB8" w:rsidRDefault="00A5027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w:t>
      </w:r>
      <w:r w:rsidR="00925CA2" w:rsidRPr="00A52AB8">
        <w:rPr>
          <w:color w:val="000000" w:themeColor="text1"/>
        </w:rPr>
        <w:t>variable oIdx is set to AtlasPatchOrientationIndex[ p</w:t>
      </w:r>
      <w:r w:rsidR="007F1CAC" w:rsidRPr="00A52AB8">
        <w:rPr>
          <w:color w:val="000000" w:themeColor="text1"/>
        </w:rPr>
        <w:t>Idx</w:t>
      </w:r>
      <w:r w:rsidR="00925CA2" w:rsidRPr="00A52AB8">
        <w:rPr>
          <w:color w:val="000000" w:themeColor="text1"/>
        </w:rPr>
        <w:t> ].</w:t>
      </w:r>
    </w:p>
    <w:p w14:paraId="6CF49B1B" w14:textId="77777777" w:rsidR="008D144E" w:rsidRPr="00A52AB8" w:rsidRDefault="008D144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Variables posX, posY, sizeX, sizeY, lodX, and lodY are assigned as follows:</w:t>
      </w:r>
    </w:p>
    <w:p w14:paraId="7EEF590F" w14:textId="17B02757" w:rsidR="008D144E" w:rsidRPr="00A52AB8" w:rsidRDefault="008D144E" w:rsidP="004A6049">
      <w:pPr>
        <w:pStyle w:val="ListParagraph"/>
        <w:ind w:leftChars="0" w:left="403"/>
        <w:rPr>
          <w:color w:val="000000" w:themeColor="text1"/>
        </w:rPr>
      </w:pPr>
      <w:r w:rsidRPr="00A52AB8">
        <w:rPr>
          <w:color w:val="000000" w:themeColor="text1"/>
        </w:rPr>
        <w:tab/>
        <w:t>posX</w:t>
      </w:r>
      <w:r w:rsidR="00D47707" w:rsidRPr="00A52AB8">
        <w:rPr>
          <w:color w:val="000000" w:themeColor="text1"/>
        </w:rPr>
        <w:t> = </w:t>
      </w:r>
      <w:r w:rsidRPr="00A52AB8">
        <w:rPr>
          <w:color w:val="000000" w:themeColor="text1"/>
        </w:rPr>
        <w:t>Atlas</w:t>
      </w:r>
      <w:r w:rsidR="00EB3063" w:rsidRPr="00A52AB8">
        <w:rPr>
          <w:color w:val="000000" w:themeColor="text1"/>
        </w:rPr>
        <w:t>Patch</w:t>
      </w:r>
      <w:r w:rsidRPr="00A52AB8">
        <w:rPr>
          <w:color w:val="000000" w:themeColor="text1"/>
        </w:rPr>
        <w:t>2dPosX[ pIdx ]</w:t>
      </w:r>
      <w:r w:rsidRPr="00A52AB8">
        <w:rPr>
          <w:color w:val="000000" w:themeColor="text1"/>
        </w:rPr>
        <w:br/>
      </w:r>
      <w:r w:rsidRPr="00A52AB8">
        <w:rPr>
          <w:color w:val="000000" w:themeColor="text1"/>
        </w:rPr>
        <w:tab/>
        <w:t>posY</w:t>
      </w:r>
      <w:r w:rsidR="00D47707" w:rsidRPr="00A52AB8">
        <w:rPr>
          <w:color w:val="000000" w:themeColor="text1"/>
        </w:rPr>
        <w:t> = </w:t>
      </w:r>
      <w:r w:rsidRPr="00A52AB8">
        <w:rPr>
          <w:color w:val="000000" w:themeColor="text1"/>
        </w:rPr>
        <w:t>Atlas</w:t>
      </w:r>
      <w:r w:rsidR="00EB3063" w:rsidRPr="00A52AB8">
        <w:rPr>
          <w:color w:val="000000" w:themeColor="text1"/>
        </w:rPr>
        <w:t>Patch</w:t>
      </w:r>
      <w:r w:rsidRPr="00A52AB8">
        <w:rPr>
          <w:color w:val="000000" w:themeColor="text1"/>
        </w:rPr>
        <w:t>2dPosY[ pIdx ]</w:t>
      </w:r>
      <w:r w:rsidRPr="00A52AB8">
        <w:rPr>
          <w:color w:val="000000" w:themeColor="text1"/>
        </w:rPr>
        <w:br/>
      </w:r>
      <w:r w:rsidRPr="00A52AB8">
        <w:rPr>
          <w:color w:val="000000" w:themeColor="text1"/>
        </w:rPr>
        <w:tab/>
        <w:t>sizeX</w:t>
      </w:r>
      <w:r w:rsidR="00D47707" w:rsidRPr="00A52AB8">
        <w:rPr>
          <w:color w:val="000000" w:themeColor="text1"/>
        </w:rPr>
        <w:t> = </w:t>
      </w:r>
      <w:r w:rsidRPr="00A52AB8">
        <w:rPr>
          <w:color w:val="000000" w:themeColor="text1"/>
        </w:rPr>
        <w:t>Atlas</w:t>
      </w:r>
      <w:r w:rsidR="00EB3063" w:rsidRPr="00A52AB8">
        <w:rPr>
          <w:color w:val="000000" w:themeColor="text1"/>
        </w:rPr>
        <w:t>Patch</w:t>
      </w:r>
      <w:r w:rsidRPr="00A52AB8">
        <w:rPr>
          <w:color w:val="000000" w:themeColor="text1"/>
        </w:rPr>
        <w:t>2dSizeX[ pIdx ]</w:t>
      </w:r>
      <w:r w:rsidRPr="00A52AB8">
        <w:rPr>
          <w:color w:val="000000" w:themeColor="text1"/>
        </w:rPr>
        <w:br/>
      </w:r>
      <w:r w:rsidRPr="00A52AB8">
        <w:rPr>
          <w:color w:val="000000" w:themeColor="text1"/>
        </w:rPr>
        <w:tab/>
        <w:t>sizeY</w:t>
      </w:r>
      <w:r w:rsidR="00D47707" w:rsidRPr="00A52AB8">
        <w:rPr>
          <w:color w:val="000000" w:themeColor="text1"/>
        </w:rPr>
        <w:t> = </w:t>
      </w:r>
      <w:r w:rsidRPr="00A52AB8">
        <w:rPr>
          <w:color w:val="000000" w:themeColor="text1"/>
        </w:rPr>
        <w:t>Atlas</w:t>
      </w:r>
      <w:r w:rsidR="00EB3063" w:rsidRPr="00A52AB8">
        <w:rPr>
          <w:color w:val="000000" w:themeColor="text1"/>
        </w:rPr>
        <w:t>Patch</w:t>
      </w:r>
      <w:r w:rsidRPr="00A52AB8">
        <w:rPr>
          <w:color w:val="000000" w:themeColor="text1"/>
        </w:rPr>
        <w:t>2dSizeY[ pIdx ]</w:t>
      </w:r>
      <w:r w:rsidRPr="00A52AB8">
        <w:rPr>
          <w:color w:val="000000" w:themeColor="text1"/>
        </w:rPr>
        <w:br/>
      </w:r>
      <w:r w:rsidRPr="00A52AB8">
        <w:rPr>
          <w:color w:val="000000" w:themeColor="text1"/>
        </w:rPr>
        <w:tab/>
        <w:t>lodX</w:t>
      </w:r>
      <w:r w:rsidR="00D47707" w:rsidRPr="00A52AB8">
        <w:rPr>
          <w:color w:val="000000" w:themeColor="text1"/>
        </w:rPr>
        <w:t> = </w:t>
      </w:r>
      <w:r w:rsidRPr="00A52AB8">
        <w:rPr>
          <w:lang w:eastAsia="ja-JP"/>
        </w:rPr>
        <w:t>AtlasPatchLoDScaleX[ pIdx ]</w:t>
      </w:r>
      <w:r w:rsidRPr="00A52AB8">
        <w:rPr>
          <w:lang w:eastAsia="ja-JP"/>
        </w:rPr>
        <w:br/>
      </w:r>
      <w:r w:rsidRPr="00A52AB8">
        <w:rPr>
          <w:lang w:eastAsia="ja-JP"/>
        </w:rPr>
        <w:tab/>
      </w:r>
      <w:r w:rsidRPr="00A52AB8">
        <w:rPr>
          <w:color w:val="000000" w:themeColor="text1"/>
        </w:rPr>
        <w:t>lodY</w:t>
      </w:r>
      <w:r w:rsidR="00D47707" w:rsidRPr="00A52AB8">
        <w:rPr>
          <w:color w:val="000000" w:themeColor="text1"/>
        </w:rPr>
        <w:t> = </w:t>
      </w:r>
      <w:r w:rsidRPr="00A52AB8">
        <w:rPr>
          <w:lang w:eastAsia="ja-JP"/>
        </w:rPr>
        <w:t>AtlasPatchLoDScaleY[ pIdx ]</w:t>
      </w:r>
    </w:p>
    <w:p w14:paraId="1BEC0F41" w14:textId="7DAB90CE" w:rsidR="003704F1" w:rsidRPr="00A52AB8" w:rsidRDefault="00925CA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The atlas coordinates (x, y) are </w:t>
      </w:r>
      <w:r w:rsidR="00A50278" w:rsidRPr="00A52AB8">
        <w:rPr>
          <w:color w:val="000000" w:themeColor="text1"/>
        </w:rPr>
        <w:t>converted to a local patch coordinate</w:t>
      </w:r>
      <w:r w:rsidR="00A50278" w:rsidRPr="00A52AB8" w:rsidDel="00A50278">
        <w:rPr>
          <w:color w:val="000000" w:themeColor="text1"/>
        </w:rPr>
        <w:t xml:space="preserve"> </w:t>
      </w:r>
      <w:r w:rsidR="00A50278" w:rsidRPr="00A52AB8">
        <w:rPr>
          <w:color w:val="000000" w:themeColor="text1"/>
        </w:rPr>
        <w:t>pair ( u, v )</w:t>
      </w:r>
      <w:r w:rsidR="003704F1" w:rsidRPr="00A52AB8">
        <w:rPr>
          <w:color w:val="000000" w:themeColor="text1"/>
        </w:rPr>
        <w:t xml:space="preserve"> as follows:</w:t>
      </w:r>
    </w:p>
    <w:p w14:paraId="4A11E7C3" w14:textId="3436C170" w:rsidR="003704F1" w:rsidRPr="00A52AB8" w:rsidRDefault="0099242E" w:rsidP="008F2A42">
      <w:r w:rsidRPr="00A52AB8">
        <w:rPr>
          <w:bCs/>
          <w:iCs/>
        </w:rPr>
        <w:tab/>
      </w:r>
      <w:r w:rsidRPr="00A52AB8">
        <w:rPr>
          <w:bCs/>
          <w:iCs/>
        </w:rPr>
        <w:tab/>
      </w:r>
      <m:oMath>
        <m:d>
          <m:dPr>
            <m:begChr m:val="["/>
            <m:endChr m:val="]"/>
            <m:ctrlPr>
              <w:rPr>
                <w:rFonts w:ascii="Cambria Math" w:hAnsi="Cambria Math"/>
                <w:bCs/>
                <w:i/>
                <w:iCs/>
              </w:rPr>
            </m:ctrlPr>
          </m:dPr>
          <m:e>
            <m:m>
              <m:mPr>
                <m:plcHide m:val="1"/>
                <m:mcs>
                  <m:mc>
                    <m:mcPr>
                      <m:count m:val="1"/>
                      <m:mcJc m:val="center"/>
                    </m:mcPr>
                  </m:mc>
                </m:mcs>
                <m:ctrlPr>
                  <w:rPr>
                    <w:rFonts w:ascii="Cambria Math" w:hAnsi="Cambria Math"/>
                    <w:bCs/>
                    <w:iCs/>
                  </w:rPr>
                </m:ctrlPr>
              </m:mPr>
              <m:mr>
                <m:e>
                  <m:r>
                    <m:rPr>
                      <m:sty m:val="p"/>
                    </m:rPr>
                    <w:rPr>
                      <w:rFonts w:ascii="Cambria Math" w:hAnsi="Cambria Math"/>
                    </w:rPr>
                    <m:t>u</m:t>
                  </m:r>
                </m:e>
              </m:mr>
              <m:mr>
                <m:e>
                  <m:r>
                    <m:rPr>
                      <m:sty m:val="p"/>
                    </m:rPr>
                    <w:rPr>
                      <w:rFonts w:ascii="Cambria Math" w:hAnsi="Cambria Math"/>
                    </w:rPr>
                    <m:t>v</m:t>
                  </m:r>
                </m:e>
              </m:mr>
            </m:m>
          </m:e>
        </m:d>
        <m:r>
          <m:rPr>
            <m:sty m:val="p"/>
          </m:rPr>
          <w:rPr>
            <w:rFonts w:ascii="Cambria Math" w:hAnsi="Cambria Math"/>
          </w:rPr>
          <m:t>=</m:t>
        </m:r>
        <m:sSub>
          <m:sSubPr>
            <m:ctrlPr>
              <w:rPr>
                <w:rFonts w:ascii="Cambria Math" w:hAnsi="Cambria Math"/>
              </w:rPr>
            </m:ctrlPr>
          </m:sSubPr>
          <m:e>
            <m:r>
              <m:rPr>
                <m:sty m:val="b"/>
              </m:rPr>
              <w:rPr>
                <w:rFonts w:ascii="Cambria Math" w:hAnsi="Cambria Math"/>
              </w:rPr>
              <m:t>R</m:t>
            </m:r>
          </m:e>
          <m:sub>
            <m:r>
              <m:rPr>
                <m:sty m:val="p"/>
              </m:rPr>
              <w:rPr>
                <w:rFonts w:ascii="Cambria Math" w:hAnsi="Cambria Math"/>
              </w:rPr>
              <m:t>o</m:t>
            </m:r>
          </m:sub>
        </m:sSub>
        <m:d>
          <m:dPr>
            <m:ctrlPr>
              <w:rPr>
                <w:rFonts w:ascii="Cambria Math" w:hAnsi="Cambria Math"/>
                <w:bCs/>
                <w:i/>
                <w:iCs/>
              </w:rPr>
            </m:ctrlPr>
          </m:dPr>
          <m:e>
            <m:r>
              <m:rPr>
                <m:sty m:val="p"/>
              </m:rPr>
              <w:rPr>
                <w:rFonts w:ascii="Cambria Math" w:hAnsi="Cambria Math"/>
              </w:rPr>
              <m:t>oIdx</m:t>
            </m:r>
          </m:e>
        </m:d>
        <m:r>
          <m:rPr>
            <m:sty m:val="p"/>
          </m:rPr>
          <w:rPr>
            <w:rFonts w:ascii="Cambria Math" w:hAnsi="Cambria Math"/>
          </w:rPr>
          <m:t>*</m:t>
        </m:r>
        <m:d>
          <m:dPr>
            <m:begChr m:val="["/>
            <m:endChr m:val="]"/>
            <m:ctrlPr>
              <w:rPr>
                <w:rFonts w:ascii="Cambria Math" w:hAnsi="Cambria Math"/>
                <w:i/>
              </w:rPr>
            </m:ctrlPr>
          </m:dPr>
          <m:e>
            <m:m>
              <m:mPr>
                <m:mcs>
                  <m:mc>
                    <m:mcPr>
                      <m:count m:val="2"/>
                      <m:mcJc m:val="center"/>
                    </m:mcPr>
                  </m:mc>
                </m:mcs>
                <m:ctrlPr>
                  <w:rPr>
                    <w:rFonts w:ascii="Cambria Math" w:hAnsi="Cambria Math"/>
                  </w:rPr>
                </m:ctrlPr>
              </m:mPr>
              <m:mr>
                <m:e>
                  <m:r>
                    <m:rPr>
                      <m:sty m:val="p"/>
                    </m:rPr>
                    <w:rPr>
                      <w:rFonts w:ascii="Cambria Math" w:hAnsi="Cambria Math"/>
                    </w:rPr>
                    <m:t>lodX</m:t>
                  </m:r>
                </m:e>
                <m:e>
                  <m:r>
                    <m:rPr>
                      <m:sty m:val="p"/>
                    </m:rPr>
                    <w:rPr>
                      <w:rFonts w:ascii="Cambria Math" w:hAnsi="Cambria Math"/>
                    </w:rPr>
                    <m:t>0</m:t>
                  </m:r>
                </m:e>
              </m:mr>
              <m:mr>
                <m:e>
                  <m:r>
                    <m:rPr>
                      <m:sty m:val="p"/>
                    </m:rPr>
                    <w:rPr>
                      <w:rFonts w:ascii="Cambria Math" w:hAnsi="Cambria Math"/>
                    </w:rPr>
                    <m:t>0</m:t>
                  </m:r>
                </m:e>
                <m:e>
                  <m:r>
                    <m:rPr>
                      <m:sty m:val="p"/>
                    </m:rPr>
                    <w:rPr>
                      <w:rFonts w:ascii="Cambria Math" w:hAnsi="Cambria Math"/>
                    </w:rPr>
                    <m:t>lodY</m:t>
                  </m:r>
                </m:e>
              </m:mr>
            </m:m>
          </m:e>
        </m:d>
        <m:r>
          <w:rPr>
            <w:rFonts w:ascii="Cambria Math" w:hAnsi="Cambria Math"/>
          </w:rPr>
          <m:t>*</m:t>
        </m:r>
        <m:d>
          <m:dPr>
            <m:begChr m:val="["/>
            <m:endChr m:val="]"/>
            <m:ctrlPr>
              <w:rPr>
                <w:rFonts w:ascii="Cambria Math" w:hAnsi="Cambria Math"/>
                <w:bCs/>
                <w:i/>
                <w:iCs/>
              </w:rPr>
            </m:ctrlPr>
          </m:dPr>
          <m:e>
            <m:m>
              <m:mPr>
                <m:plcHide m:val="1"/>
                <m:mcs>
                  <m:mc>
                    <m:mcPr>
                      <m:count m:val="1"/>
                      <m:mcJc m:val="center"/>
                    </m:mcPr>
                  </m:mc>
                </m:mcs>
                <m:ctrlPr>
                  <w:rPr>
                    <w:rFonts w:ascii="Cambria Math" w:hAnsi="Cambria Math"/>
                    <w:bCs/>
                    <w:iCs/>
                  </w:rPr>
                </m:ctrlPr>
              </m:mPr>
              <m:mr>
                <m:e>
                  <m:r>
                    <m:rPr>
                      <m:sty m:val="p"/>
                    </m:rPr>
                    <w:rPr>
                      <w:rFonts w:ascii="Cambria Math" w:hAnsi="Cambria Math"/>
                    </w:rPr>
                    <m:t>x-posX</m:t>
                  </m:r>
                </m:e>
              </m:mr>
              <m:mr>
                <m:e>
                  <m:r>
                    <m:rPr>
                      <m:sty m:val="p"/>
                    </m:rPr>
                    <w:rPr>
                      <w:rFonts w:ascii="Cambria Math" w:hAnsi="Cambria Math"/>
                    </w:rPr>
                    <m:t>y-posY</m:t>
                  </m:r>
                </m:e>
              </m:mr>
            </m:m>
          </m:e>
        </m:d>
        <m:r>
          <m:rPr>
            <m:sty m:val="p"/>
          </m:rPr>
          <w:rPr>
            <w:rFonts w:ascii="Cambria Math" w:hAnsi="Cambria Math"/>
          </w:rPr>
          <m:t>+</m:t>
        </m:r>
        <m:sSub>
          <m:sSubPr>
            <m:ctrlPr>
              <w:rPr>
                <w:rFonts w:ascii="Cambria Math" w:hAnsi="Cambria Math"/>
              </w:rPr>
            </m:ctrlPr>
          </m:sSubPr>
          <m:e>
            <m:r>
              <m:rPr>
                <m:sty m:val="b"/>
              </m:rPr>
              <w:rPr>
                <w:rFonts w:ascii="Cambria Math" w:hAnsi="Cambria Math"/>
              </w:rPr>
              <m:t>R</m:t>
            </m:r>
          </m:e>
          <m:sub>
            <m:r>
              <m:rPr>
                <m:sty m:val="p"/>
              </m:rPr>
              <w:rPr>
                <w:rFonts w:ascii="Cambria Math" w:hAnsi="Cambria Math"/>
              </w:rPr>
              <m:t>s</m:t>
            </m:r>
          </m:sub>
        </m:sSub>
        <m:d>
          <m:dPr>
            <m:ctrlPr>
              <w:rPr>
                <w:rFonts w:ascii="Cambria Math" w:hAnsi="Cambria Math"/>
                <w:bCs/>
                <w:i/>
                <w:iCs/>
              </w:rPr>
            </m:ctrlPr>
          </m:dPr>
          <m:e>
            <m:r>
              <m:rPr>
                <m:sty m:val="p"/>
              </m:rPr>
              <w:rPr>
                <w:rFonts w:ascii="Cambria Math" w:hAnsi="Cambria Math"/>
              </w:rPr>
              <m:t>oIdx</m:t>
            </m:r>
          </m:e>
        </m:d>
        <m:r>
          <m:rPr>
            <m:sty m:val="p"/>
          </m:rPr>
          <w:rPr>
            <w:rFonts w:ascii="Cambria Math" w:hAnsi="Cambria Math"/>
          </w:rPr>
          <m:t>*</m:t>
        </m:r>
        <m:d>
          <m:dPr>
            <m:begChr m:val="["/>
            <m:endChr m:val="]"/>
            <m:ctrlPr>
              <w:rPr>
                <w:rFonts w:ascii="Cambria Math" w:hAnsi="Cambria Math"/>
                <w:i/>
              </w:rPr>
            </m:ctrlPr>
          </m:dPr>
          <m:e>
            <m:m>
              <m:mPr>
                <m:mcs>
                  <m:mc>
                    <m:mcPr>
                      <m:count m:val="2"/>
                      <m:mcJc m:val="center"/>
                    </m:mcPr>
                  </m:mc>
                </m:mcs>
                <m:ctrlPr>
                  <w:rPr>
                    <w:rFonts w:ascii="Cambria Math" w:hAnsi="Cambria Math"/>
                  </w:rPr>
                </m:ctrlPr>
              </m:mPr>
              <m:mr>
                <m:e>
                  <m:r>
                    <m:rPr>
                      <m:sty m:val="p"/>
                    </m:rPr>
                    <w:rPr>
                      <w:rFonts w:ascii="Cambria Math" w:hAnsi="Cambria Math"/>
                    </w:rPr>
                    <m:t>lodX</m:t>
                  </m:r>
                </m:e>
                <m:e>
                  <m:r>
                    <m:rPr>
                      <m:sty m:val="p"/>
                    </m:rPr>
                    <w:rPr>
                      <w:rFonts w:ascii="Cambria Math" w:hAnsi="Cambria Math"/>
                    </w:rPr>
                    <m:t>0</m:t>
                  </m:r>
                </m:e>
              </m:mr>
              <m:mr>
                <m:e>
                  <m:r>
                    <m:rPr>
                      <m:sty m:val="p"/>
                    </m:rPr>
                    <w:rPr>
                      <w:rFonts w:ascii="Cambria Math" w:hAnsi="Cambria Math"/>
                    </w:rPr>
                    <m:t>0</m:t>
                  </m:r>
                </m:e>
                <m:e>
                  <m:r>
                    <m:rPr>
                      <m:sty m:val="p"/>
                    </m:rPr>
                    <w:rPr>
                      <w:rFonts w:ascii="Cambria Math" w:hAnsi="Cambria Math"/>
                    </w:rPr>
                    <m:t>lodY</m:t>
                  </m:r>
                </m:e>
              </m:mr>
            </m:m>
          </m:e>
        </m:d>
        <m:r>
          <w:rPr>
            <w:rFonts w:ascii="Cambria Math" w:hAnsi="Cambria Math"/>
          </w:rPr>
          <m:t>*</m:t>
        </m:r>
        <m:d>
          <m:dPr>
            <m:begChr m:val="["/>
            <m:endChr m:val="]"/>
            <m:ctrlPr>
              <w:rPr>
                <w:rFonts w:ascii="Cambria Math" w:hAnsi="Cambria Math"/>
                <w:bCs/>
                <w:i/>
                <w:iCs/>
              </w:rPr>
            </m:ctrlPr>
          </m:dPr>
          <m:e>
            <m:m>
              <m:mPr>
                <m:plcHide m:val="1"/>
                <m:mcs>
                  <m:mc>
                    <m:mcPr>
                      <m:count m:val="1"/>
                      <m:mcJc m:val="center"/>
                    </m:mcPr>
                  </m:mc>
                </m:mcs>
                <m:ctrlPr>
                  <w:rPr>
                    <w:rFonts w:ascii="Cambria Math" w:hAnsi="Cambria Math"/>
                    <w:bCs/>
                    <w:i/>
                    <w:iCs/>
                  </w:rPr>
                </m:ctrlPr>
              </m:mPr>
              <m:mr>
                <m:e>
                  <m:r>
                    <m:rPr>
                      <m:sty m:val="p"/>
                    </m:rPr>
                    <w:rPr>
                      <w:rFonts w:ascii="Cambria Math" w:hAnsi="Cambria Math"/>
                    </w:rPr>
                    <m:t>sizeX</m:t>
                  </m:r>
                  <m:r>
                    <w:rPr>
                      <w:rFonts w:ascii="Cambria Math" w:hAnsi="Cambria Math"/>
                    </w:rPr>
                    <m:t>-1</m:t>
                  </m:r>
                </m:e>
              </m:mr>
              <m:mr>
                <m:e>
                  <m:r>
                    <m:rPr>
                      <m:sty m:val="p"/>
                    </m:rPr>
                    <w:rPr>
                      <w:rFonts w:ascii="Cambria Math" w:hAnsi="Cambria Math"/>
                    </w:rPr>
                    <m:t>sizeY</m:t>
                  </m:r>
                  <m:r>
                    <w:rPr>
                      <w:rFonts w:ascii="Cambria Math" w:hAnsi="Cambria Math"/>
                    </w:rPr>
                    <m:t>-1</m:t>
                  </m:r>
                </m:e>
              </m:mr>
            </m:m>
          </m:e>
        </m:d>
      </m:oMath>
      <w:r w:rsidR="003704F1" w:rsidRPr="00A52AB8">
        <w:rPr>
          <w:bCs/>
          <w:iCs/>
        </w:rPr>
        <w:tab/>
      </w:r>
      <w:r w:rsidR="003704F1" w:rsidRPr="00A52AB8">
        <w:t>(H</w:t>
      </w:r>
      <w:r w:rsidR="003704F1" w:rsidRPr="00A52AB8">
        <w:noBreakHyphen/>
      </w:r>
      <w:r w:rsidR="003704F1" w:rsidRPr="00496A4D">
        <w:fldChar w:fldCharType="begin"/>
      </w:r>
      <w:r w:rsidR="003704F1" w:rsidRPr="00A52AB8">
        <w:instrText xml:space="preserve"> SEQ Equation \* ARABIC \s 1 </w:instrText>
      </w:r>
      <w:r w:rsidR="003704F1" w:rsidRPr="00496A4D">
        <w:fldChar w:fldCharType="separate"/>
      </w:r>
      <w:r w:rsidR="00507A67">
        <w:rPr>
          <w:noProof/>
        </w:rPr>
        <w:t>44</w:t>
      </w:r>
      <w:r w:rsidR="003704F1" w:rsidRPr="00496A4D">
        <w:fldChar w:fldCharType="end"/>
      </w:r>
      <w:r w:rsidR="003704F1" w:rsidRPr="00A52AB8">
        <w:t>)</w:t>
      </w:r>
    </w:p>
    <w:p w14:paraId="2E8E114E" w14:textId="44B9036F" w:rsidR="0082408E" w:rsidRPr="00A52AB8" w:rsidRDefault="0099242E" w:rsidP="008F2A42">
      <w:r w:rsidRPr="00A52AB8">
        <w:tab/>
      </w:r>
      <w:r w:rsidRPr="00A52AB8">
        <w:tab/>
      </w:r>
      <w:r w:rsidR="0082408E" w:rsidRPr="00A52AB8">
        <w:t xml:space="preserve">where </w:t>
      </w:r>
      <w:r w:rsidR="0082408E" w:rsidRPr="00A52AB8">
        <w:rPr>
          <w:b/>
        </w:rPr>
        <w:t>R</w:t>
      </w:r>
      <w:r w:rsidR="0082408E" w:rsidRPr="00A52AB8">
        <w:rPr>
          <w:vertAlign w:val="subscript"/>
        </w:rPr>
        <w:t>o</w:t>
      </w:r>
      <w:r w:rsidR="0082408E" w:rsidRPr="00A52AB8" w:rsidDel="00A469C3">
        <w:t xml:space="preserve"> </w:t>
      </w:r>
      <w:r w:rsidR="0082408E" w:rsidRPr="00A52AB8">
        <w:t xml:space="preserve">and </w:t>
      </w:r>
      <w:r w:rsidR="0082408E" w:rsidRPr="00A52AB8">
        <w:rPr>
          <w:b/>
        </w:rPr>
        <w:t>R</w:t>
      </w:r>
      <w:r w:rsidR="0082408E" w:rsidRPr="00A52AB8">
        <w:rPr>
          <w:vertAlign w:val="subscript"/>
        </w:rPr>
        <w:t>s</w:t>
      </w:r>
      <w:r w:rsidR="0082408E" w:rsidRPr="00A52AB8">
        <w:t xml:space="preserve"> are specified in </w:t>
      </w:r>
      <w:r w:rsidR="0082408E" w:rsidRPr="00496A4D">
        <w:fldChar w:fldCharType="begin"/>
      </w:r>
      <w:r w:rsidR="0082408E" w:rsidRPr="00A52AB8">
        <w:instrText xml:space="preserve"> REF _Ref49681413 \h </w:instrText>
      </w:r>
      <w:r w:rsidR="00007BE2" w:rsidRPr="00A52AB8">
        <w:instrText xml:space="preserve"> \* MERGEFORMAT </w:instrText>
      </w:r>
      <w:r w:rsidR="0082408E" w:rsidRPr="00496A4D">
        <w:fldChar w:fldCharType="separate"/>
      </w:r>
      <w:r w:rsidR="00507A67" w:rsidRPr="00507A67">
        <w:t>Table 11</w:t>
      </w:r>
      <w:r w:rsidR="0082408E" w:rsidRPr="00496A4D">
        <w:fldChar w:fldCharType="end"/>
      </w:r>
      <w:r w:rsidR="0082408E" w:rsidRPr="00A52AB8">
        <w:t>.</w:t>
      </w:r>
    </w:p>
    <w:p w14:paraId="069FF1F4" w14:textId="77777777" w:rsidR="00A469C3" w:rsidRPr="00A52AB8" w:rsidRDefault="00A469C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The local patch coordinate pair ( u, v ) is converted to 3D coordinates as follows:</w:t>
      </w:r>
    </w:p>
    <w:p w14:paraId="4111C487" w14:textId="4A145594" w:rsidR="00A469C3" w:rsidRPr="00A52AB8" w:rsidRDefault="0099242E" w:rsidP="008F2A42">
      <w:r w:rsidRPr="00A52AB8">
        <w:rPr>
          <w:lang w:eastAsia="ja-JP"/>
        </w:rPr>
        <w:tab/>
      </w:r>
      <w:r w:rsidRPr="00A52AB8">
        <w:rPr>
          <w:lang w:eastAsia="ja-JP"/>
        </w:rPr>
        <w:tab/>
      </w:r>
      <w:r w:rsidR="00A469C3" w:rsidRPr="00A52AB8">
        <w:rPr>
          <w:lang w:eastAsia="ja-JP"/>
        </w:rPr>
        <w:t>pos3D</w:t>
      </w:r>
      <w:r w:rsidR="00F31165" w:rsidRPr="00A52AB8">
        <w:rPr>
          <w:lang w:eastAsia="ja-JP"/>
        </w:rPr>
        <w:t>[ Atlas</w:t>
      </w:r>
      <w:r w:rsidR="00254895" w:rsidRPr="00A52AB8">
        <w:rPr>
          <w:lang w:eastAsia="ja-JP"/>
        </w:rPr>
        <w:t>PatchAxisU</w:t>
      </w:r>
      <w:r w:rsidR="00F31165" w:rsidRPr="00A52AB8">
        <w:rPr>
          <w:lang w:eastAsia="ja-JP"/>
        </w:rPr>
        <w:t>[ pIdx ] ]</w:t>
      </w:r>
      <w:r w:rsidR="00D47707" w:rsidRPr="00A52AB8">
        <w:rPr>
          <w:lang w:eastAsia="ja-JP"/>
        </w:rPr>
        <w:t> = </w:t>
      </w:r>
      <w:r w:rsidR="00A469C3" w:rsidRPr="00A52AB8">
        <w:rPr>
          <w:lang w:eastAsia="ja-JP"/>
        </w:rPr>
        <w:t>AtlasPatch</w:t>
      </w:r>
      <w:r w:rsidR="001A4D59" w:rsidRPr="00A52AB8">
        <w:rPr>
          <w:lang w:eastAsia="ja-JP"/>
        </w:rPr>
        <w:t>3dOffsetU</w:t>
      </w:r>
      <w:r w:rsidR="003948E4" w:rsidRPr="00A52AB8">
        <w:rPr>
          <w:lang w:eastAsia="ja-JP"/>
        </w:rPr>
        <w:t>[ pIdx ] + u</w:t>
      </w:r>
      <w:r w:rsidR="00A469C3" w:rsidRPr="00A52AB8">
        <w:rPr>
          <w:lang w:eastAsia="ja-JP"/>
        </w:rPr>
        <w:tab/>
      </w:r>
      <w:r w:rsidR="00A469C3" w:rsidRPr="00A52AB8">
        <w:t>(H</w:t>
      </w:r>
      <w:r w:rsidR="00A469C3" w:rsidRPr="00A52AB8">
        <w:noBreakHyphen/>
      </w:r>
      <w:r w:rsidR="00A469C3" w:rsidRPr="00496A4D">
        <w:fldChar w:fldCharType="begin"/>
      </w:r>
      <w:r w:rsidR="00A469C3" w:rsidRPr="00A52AB8">
        <w:instrText xml:space="preserve"> SEQ Equation \* ARABIC \s 1 </w:instrText>
      </w:r>
      <w:r w:rsidR="00A469C3" w:rsidRPr="00496A4D">
        <w:fldChar w:fldCharType="separate"/>
      </w:r>
      <w:r w:rsidR="00507A67">
        <w:rPr>
          <w:noProof/>
        </w:rPr>
        <w:t>45</w:t>
      </w:r>
      <w:r w:rsidR="00A469C3" w:rsidRPr="00496A4D">
        <w:fldChar w:fldCharType="end"/>
      </w:r>
      <w:r w:rsidR="00A469C3" w:rsidRPr="00A52AB8">
        <w:t>)</w:t>
      </w:r>
    </w:p>
    <w:p w14:paraId="61AD534C" w14:textId="2C7558EF" w:rsidR="00A469C3" w:rsidRPr="00A52AB8" w:rsidRDefault="0099242E" w:rsidP="008F2A42">
      <w:pPr>
        <w:rPr>
          <w:lang w:eastAsia="ja-JP"/>
        </w:rPr>
      </w:pPr>
      <w:r w:rsidRPr="00A52AB8">
        <w:rPr>
          <w:lang w:eastAsia="ja-JP"/>
        </w:rPr>
        <w:tab/>
      </w:r>
      <w:r w:rsidRPr="00A52AB8">
        <w:rPr>
          <w:lang w:eastAsia="ja-JP"/>
        </w:rPr>
        <w:tab/>
      </w:r>
      <w:r w:rsidR="00A469C3" w:rsidRPr="00A52AB8">
        <w:rPr>
          <w:lang w:eastAsia="ja-JP"/>
        </w:rPr>
        <w:t>pos3D</w:t>
      </w:r>
      <w:r w:rsidR="00F31165" w:rsidRPr="00A52AB8">
        <w:rPr>
          <w:lang w:eastAsia="ja-JP"/>
        </w:rPr>
        <w:t>[ Atlas</w:t>
      </w:r>
      <w:r w:rsidR="00254895" w:rsidRPr="00A52AB8">
        <w:rPr>
          <w:lang w:eastAsia="ja-JP"/>
        </w:rPr>
        <w:t>PatchAxisV</w:t>
      </w:r>
      <w:r w:rsidR="00F31165" w:rsidRPr="00A52AB8">
        <w:rPr>
          <w:lang w:eastAsia="ja-JP"/>
        </w:rPr>
        <w:t>[ pIdx ] ]</w:t>
      </w:r>
      <w:r w:rsidR="00D47707" w:rsidRPr="00A52AB8">
        <w:rPr>
          <w:lang w:eastAsia="ja-JP"/>
        </w:rPr>
        <w:t> = </w:t>
      </w:r>
      <w:r w:rsidR="00A469C3" w:rsidRPr="00A52AB8">
        <w:rPr>
          <w:lang w:eastAsia="ja-JP"/>
        </w:rPr>
        <w:t>AtlasPatch</w:t>
      </w:r>
      <w:r w:rsidR="001A4D59" w:rsidRPr="00A52AB8">
        <w:rPr>
          <w:lang w:eastAsia="ja-JP"/>
        </w:rPr>
        <w:t>3dOffsetV</w:t>
      </w:r>
      <w:r w:rsidR="00F31165" w:rsidRPr="00A52AB8">
        <w:rPr>
          <w:lang w:eastAsia="ja-JP"/>
        </w:rPr>
        <w:t>[ pIdx ] + v</w:t>
      </w:r>
      <w:r w:rsidR="00A469C3" w:rsidRPr="00A52AB8">
        <w:rPr>
          <w:lang w:eastAsia="ja-JP"/>
        </w:rPr>
        <w:tab/>
        <w:t>(H</w:t>
      </w:r>
      <w:r w:rsidR="00A469C3" w:rsidRPr="00A52AB8">
        <w:rPr>
          <w:lang w:eastAsia="ja-JP"/>
        </w:rPr>
        <w:noBreakHyphen/>
      </w:r>
      <w:r w:rsidR="00A469C3" w:rsidRPr="00496A4D">
        <w:rPr>
          <w:lang w:eastAsia="ja-JP"/>
        </w:rPr>
        <w:fldChar w:fldCharType="begin"/>
      </w:r>
      <w:r w:rsidR="00A469C3" w:rsidRPr="00A52AB8">
        <w:rPr>
          <w:lang w:eastAsia="ja-JP"/>
        </w:rPr>
        <w:instrText xml:space="preserve"> SEQ Equation \* ARABIC \s 1 </w:instrText>
      </w:r>
      <w:r w:rsidR="00A469C3" w:rsidRPr="00496A4D">
        <w:rPr>
          <w:lang w:eastAsia="ja-JP"/>
        </w:rPr>
        <w:fldChar w:fldCharType="separate"/>
      </w:r>
      <w:r w:rsidR="00507A67">
        <w:rPr>
          <w:noProof/>
          <w:lang w:eastAsia="ja-JP"/>
        </w:rPr>
        <w:t>46</w:t>
      </w:r>
      <w:r w:rsidR="00A469C3" w:rsidRPr="00496A4D">
        <w:rPr>
          <w:lang w:eastAsia="ja-JP"/>
        </w:rPr>
        <w:fldChar w:fldCharType="end"/>
      </w:r>
      <w:r w:rsidR="00A469C3" w:rsidRPr="00A52AB8">
        <w:rPr>
          <w:lang w:eastAsia="ja-JP"/>
        </w:rPr>
        <w:t>)</w:t>
      </w:r>
    </w:p>
    <w:p w14:paraId="516165CC" w14:textId="0ED54E88" w:rsidR="00254895" w:rsidRPr="00A52AB8" w:rsidRDefault="0099242E" w:rsidP="008F2A42">
      <w:pPr>
        <w:rPr>
          <w:lang w:eastAsia="ja-JP"/>
        </w:rPr>
      </w:pPr>
      <w:r w:rsidRPr="00A52AB8">
        <w:rPr>
          <w:lang w:eastAsia="ja-JP"/>
        </w:rPr>
        <w:tab/>
      </w:r>
      <w:r w:rsidRPr="00A52AB8">
        <w:rPr>
          <w:lang w:eastAsia="ja-JP"/>
        </w:rPr>
        <w:tab/>
      </w:r>
      <w:r w:rsidR="00254895" w:rsidRPr="00A52AB8">
        <w:rPr>
          <w:lang w:eastAsia="ja-JP"/>
        </w:rPr>
        <w:t>tempD</w:t>
      </w:r>
      <w:r w:rsidR="00D47707" w:rsidRPr="00A52AB8">
        <w:rPr>
          <w:lang w:eastAsia="ja-JP"/>
        </w:rPr>
        <w:t> = </w:t>
      </w:r>
      <w:r w:rsidR="00254895" w:rsidRPr="00A52AB8">
        <w:rPr>
          <w:lang w:eastAsia="ja-JP"/>
        </w:rPr>
        <w:t>( 1 – 2* AtlasPatchProjectionFlag[ pIdx ] ) * depthValue</w:t>
      </w:r>
      <w:r w:rsidR="00254895" w:rsidRPr="00A52AB8">
        <w:rPr>
          <w:lang w:eastAsia="ja-JP"/>
        </w:rPr>
        <w:tab/>
        <w:t>(H</w:t>
      </w:r>
      <w:r w:rsidR="00254895" w:rsidRPr="00A52AB8">
        <w:rPr>
          <w:lang w:eastAsia="ja-JP"/>
        </w:rPr>
        <w:noBreakHyphen/>
      </w:r>
      <w:r w:rsidR="00254895" w:rsidRPr="00496A4D">
        <w:rPr>
          <w:lang w:eastAsia="ja-JP"/>
        </w:rPr>
        <w:fldChar w:fldCharType="begin"/>
      </w:r>
      <w:r w:rsidR="00254895" w:rsidRPr="00A52AB8">
        <w:rPr>
          <w:lang w:eastAsia="ja-JP"/>
        </w:rPr>
        <w:instrText xml:space="preserve"> SEQ Equation \* ARABIC \s 1 </w:instrText>
      </w:r>
      <w:r w:rsidR="00254895" w:rsidRPr="00496A4D">
        <w:rPr>
          <w:lang w:eastAsia="ja-JP"/>
        </w:rPr>
        <w:fldChar w:fldCharType="separate"/>
      </w:r>
      <w:r w:rsidR="00507A67">
        <w:rPr>
          <w:noProof/>
          <w:lang w:eastAsia="ja-JP"/>
        </w:rPr>
        <w:t>47</w:t>
      </w:r>
      <w:r w:rsidR="00254895" w:rsidRPr="00496A4D">
        <w:rPr>
          <w:lang w:eastAsia="ja-JP"/>
        </w:rPr>
        <w:fldChar w:fldCharType="end"/>
      </w:r>
      <w:r w:rsidR="00254895" w:rsidRPr="00A52AB8">
        <w:rPr>
          <w:lang w:eastAsia="ja-JP"/>
        </w:rPr>
        <w:t>)</w:t>
      </w:r>
    </w:p>
    <w:p w14:paraId="208B1F20" w14:textId="343051D5" w:rsidR="00A469C3" w:rsidRPr="00A52AB8" w:rsidRDefault="0099242E" w:rsidP="008F2A42">
      <w:pPr>
        <w:rPr>
          <w:lang w:eastAsia="ja-JP"/>
        </w:rPr>
      </w:pPr>
      <w:r w:rsidRPr="00A52AB8">
        <w:rPr>
          <w:lang w:eastAsia="ja-JP"/>
        </w:rPr>
        <w:tab/>
      </w:r>
      <w:r w:rsidRPr="00A52AB8">
        <w:rPr>
          <w:lang w:eastAsia="ja-JP"/>
        </w:rPr>
        <w:tab/>
      </w:r>
      <w:r w:rsidR="00A469C3" w:rsidRPr="00A52AB8">
        <w:rPr>
          <w:lang w:eastAsia="ja-JP"/>
        </w:rPr>
        <w:t>pos3D[ Atlas</w:t>
      </w:r>
      <w:r w:rsidR="00254895" w:rsidRPr="00A52AB8">
        <w:rPr>
          <w:lang w:eastAsia="ja-JP"/>
        </w:rPr>
        <w:t>PatchAxisD</w:t>
      </w:r>
      <w:r w:rsidR="00A469C3" w:rsidRPr="00A52AB8">
        <w:rPr>
          <w:lang w:eastAsia="ja-JP"/>
        </w:rPr>
        <w:t>[ pIdx ] ]</w:t>
      </w:r>
      <w:r w:rsidR="00D47707" w:rsidRPr="00A52AB8">
        <w:rPr>
          <w:lang w:eastAsia="ja-JP"/>
        </w:rPr>
        <w:t> = </w:t>
      </w:r>
      <w:r w:rsidR="00A469C3" w:rsidRPr="00A52AB8">
        <w:rPr>
          <w:lang w:eastAsia="ja-JP"/>
        </w:rPr>
        <w:t>Max(0, AtlasPatch</w:t>
      </w:r>
      <w:r w:rsidR="001A4D59" w:rsidRPr="00A52AB8">
        <w:rPr>
          <w:lang w:eastAsia="ja-JP"/>
        </w:rPr>
        <w:t>3dOffsetD</w:t>
      </w:r>
      <w:r w:rsidR="00A469C3" w:rsidRPr="00A52AB8">
        <w:rPr>
          <w:lang w:eastAsia="ja-JP"/>
        </w:rPr>
        <w:t>[ pIdx ] +</w:t>
      </w:r>
      <w:r w:rsidR="00254895" w:rsidRPr="00A52AB8">
        <w:rPr>
          <w:lang w:eastAsia="ja-JP"/>
        </w:rPr>
        <w:t> tempD )</w:t>
      </w:r>
      <w:r w:rsidR="00A469C3" w:rsidRPr="00A52AB8">
        <w:rPr>
          <w:lang w:eastAsia="ja-JP"/>
        </w:rPr>
        <w:tab/>
        <w:t>(H</w:t>
      </w:r>
      <w:r w:rsidR="00A469C3" w:rsidRPr="00A52AB8">
        <w:rPr>
          <w:lang w:eastAsia="ja-JP"/>
        </w:rPr>
        <w:noBreakHyphen/>
      </w:r>
      <w:r w:rsidR="00A469C3" w:rsidRPr="00496A4D">
        <w:rPr>
          <w:lang w:eastAsia="ja-JP"/>
        </w:rPr>
        <w:fldChar w:fldCharType="begin"/>
      </w:r>
      <w:r w:rsidR="00A469C3" w:rsidRPr="00A52AB8">
        <w:rPr>
          <w:lang w:eastAsia="ja-JP"/>
        </w:rPr>
        <w:instrText xml:space="preserve"> SEQ Equation \* ARABIC \s 1 </w:instrText>
      </w:r>
      <w:r w:rsidR="00A469C3" w:rsidRPr="00496A4D">
        <w:rPr>
          <w:lang w:eastAsia="ja-JP"/>
        </w:rPr>
        <w:fldChar w:fldCharType="separate"/>
      </w:r>
      <w:r w:rsidR="00507A67">
        <w:rPr>
          <w:noProof/>
          <w:lang w:eastAsia="ja-JP"/>
        </w:rPr>
        <w:t>48</w:t>
      </w:r>
      <w:r w:rsidR="00A469C3" w:rsidRPr="00496A4D">
        <w:rPr>
          <w:lang w:eastAsia="ja-JP"/>
        </w:rPr>
        <w:fldChar w:fldCharType="end"/>
      </w:r>
      <w:r w:rsidR="00A469C3" w:rsidRPr="00A52AB8">
        <w:rPr>
          <w:lang w:eastAsia="ja-JP"/>
        </w:rPr>
        <w:t>)</w:t>
      </w:r>
    </w:p>
    <w:p w14:paraId="1435C434" w14:textId="57EE6EBB" w:rsidR="00F97957" w:rsidRPr="00A52AB8" w:rsidRDefault="004F53B3" w:rsidP="00E860C4">
      <w:pPr>
        <w:rPr>
          <w:color w:val="000000" w:themeColor="text1"/>
        </w:rPr>
      </w:pPr>
      <w:r w:rsidRPr="00A52AB8">
        <w:rPr>
          <w:lang w:eastAsia="ja-JP"/>
        </w:rPr>
        <w:t xml:space="preserve">Some V-PCC decoder implementations may choose to clip the reconstructed 3D coordinates to the range </w:t>
      </w:r>
      <w:r w:rsidR="0099242E" w:rsidRPr="00A52AB8">
        <w:rPr>
          <w:lang w:eastAsia="ja-JP"/>
        </w:rPr>
        <w:t xml:space="preserve">of </w:t>
      </w:r>
      <w:r w:rsidRPr="00A52AB8">
        <w:rPr>
          <w:lang w:eastAsia="ja-JP"/>
        </w:rPr>
        <w:t>0 to ( 1 &lt;&lt; ( </w:t>
      </w:r>
      <w:r w:rsidRPr="00A52AB8">
        <w:t xml:space="preserve">asps_geometry_3d_bit_depth_minus1 + 1 ) ) − 1, inclusive. Other decoder implementations may apply the clipping operation after the 45 degrees transformation </w:t>
      </w:r>
      <w:r w:rsidR="007A64DA" w:rsidRPr="00A52AB8">
        <w:t xml:space="preserve">or </w:t>
      </w:r>
      <w:r w:rsidR="0099242E" w:rsidRPr="00A52AB8">
        <w:t xml:space="preserve">the </w:t>
      </w:r>
      <w:r w:rsidRPr="00A52AB8">
        <w:t>post-reconstruction process.</w:t>
      </w:r>
    </w:p>
    <w:p w14:paraId="0F0618CB" w14:textId="7658334F" w:rsidR="00925CA2" w:rsidRPr="00A52AB8" w:rsidRDefault="00925CA2" w:rsidP="00895494">
      <w:pPr>
        <w:pStyle w:val="a3"/>
        <w:numPr>
          <w:ilvl w:val="2"/>
          <w:numId w:val="14"/>
        </w:numPr>
      </w:pPr>
      <w:bookmarkStart w:id="6734" w:name="_Toc48750434"/>
      <w:bookmarkStart w:id="6735" w:name="_Toc48753408"/>
      <w:bookmarkStart w:id="6736" w:name="_Toc48753943"/>
      <w:bookmarkStart w:id="6737" w:name="_Toc48821350"/>
      <w:bookmarkStart w:id="6738" w:name="_Toc48822695"/>
      <w:bookmarkStart w:id="6739" w:name="_Toc49013073"/>
      <w:bookmarkStart w:id="6740" w:name="_Toc49013618"/>
      <w:bookmarkStart w:id="6741" w:name="_Toc49014735"/>
      <w:bookmarkStart w:id="6742" w:name="_Toc49095971"/>
      <w:bookmarkStart w:id="6743" w:name="_Toc48750435"/>
      <w:bookmarkStart w:id="6744" w:name="_Toc48753409"/>
      <w:bookmarkStart w:id="6745" w:name="_Toc48753944"/>
      <w:bookmarkStart w:id="6746" w:name="_Toc48821351"/>
      <w:bookmarkStart w:id="6747" w:name="_Toc48822696"/>
      <w:bookmarkStart w:id="6748" w:name="_Toc49013074"/>
      <w:bookmarkStart w:id="6749" w:name="_Toc49013619"/>
      <w:bookmarkStart w:id="6750" w:name="_Toc49014736"/>
      <w:bookmarkStart w:id="6751" w:name="_Toc49095972"/>
      <w:bookmarkStart w:id="6752" w:name="_Toc48750436"/>
      <w:bookmarkStart w:id="6753" w:name="_Toc48753410"/>
      <w:bookmarkStart w:id="6754" w:name="_Toc48753945"/>
      <w:bookmarkStart w:id="6755" w:name="_Toc48821352"/>
      <w:bookmarkStart w:id="6756" w:name="_Toc48822697"/>
      <w:bookmarkStart w:id="6757" w:name="_Toc49013075"/>
      <w:bookmarkStart w:id="6758" w:name="_Toc49013620"/>
      <w:bookmarkStart w:id="6759" w:name="_Toc49014737"/>
      <w:bookmarkStart w:id="6760" w:name="_Toc49095973"/>
      <w:bookmarkStart w:id="6761" w:name="_Toc48750437"/>
      <w:bookmarkStart w:id="6762" w:name="_Toc48753411"/>
      <w:bookmarkStart w:id="6763" w:name="_Toc48753946"/>
      <w:bookmarkStart w:id="6764" w:name="_Toc48821353"/>
      <w:bookmarkStart w:id="6765" w:name="_Toc48822698"/>
      <w:bookmarkStart w:id="6766" w:name="_Toc49013076"/>
      <w:bookmarkStart w:id="6767" w:name="_Toc49013621"/>
      <w:bookmarkStart w:id="6768" w:name="_Toc49014738"/>
      <w:bookmarkStart w:id="6769" w:name="_Toc49095974"/>
      <w:bookmarkStart w:id="6770" w:name="_Toc48750438"/>
      <w:bookmarkStart w:id="6771" w:name="_Toc48753412"/>
      <w:bookmarkStart w:id="6772" w:name="_Toc48753947"/>
      <w:bookmarkStart w:id="6773" w:name="_Toc48821354"/>
      <w:bookmarkStart w:id="6774" w:name="_Toc48822699"/>
      <w:bookmarkStart w:id="6775" w:name="_Toc49013077"/>
      <w:bookmarkStart w:id="6776" w:name="_Toc49013622"/>
      <w:bookmarkStart w:id="6777" w:name="_Toc49014739"/>
      <w:bookmarkStart w:id="6778" w:name="_Toc49095975"/>
      <w:bookmarkStart w:id="6779" w:name="_Toc48750439"/>
      <w:bookmarkStart w:id="6780" w:name="_Toc48753413"/>
      <w:bookmarkStart w:id="6781" w:name="_Toc48753948"/>
      <w:bookmarkStart w:id="6782" w:name="_Toc48821355"/>
      <w:bookmarkStart w:id="6783" w:name="_Toc48822700"/>
      <w:bookmarkStart w:id="6784" w:name="_Toc49013078"/>
      <w:bookmarkStart w:id="6785" w:name="_Toc49013623"/>
      <w:bookmarkStart w:id="6786" w:name="_Toc49014740"/>
      <w:bookmarkStart w:id="6787" w:name="_Toc49095976"/>
      <w:bookmarkStart w:id="6788" w:name="_Toc48750440"/>
      <w:bookmarkStart w:id="6789" w:name="_Toc48753414"/>
      <w:bookmarkStart w:id="6790" w:name="_Toc48753949"/>
      <w:bookmarkStart w:id="6791" w:name="_Toc48821356"/>
      <w:bookmarkStart w:id="6792" w:name="_Toc48822701"/>
      <w:bookmarkStart w:id="6793" w:name="_Toc49013079"/>
      <w:bookmarkStart w:id="6794" w:name="_Toc49013624"/>
      <w:bookmarkStart w:id="6795" w:name="_Toc49014741"/>
      <w:bookmarkStart w:id="6796" w:name="_Toc49095977"/>
      <w:bookmarkStart w:id="6797" w:name="_Toc48750441"/>
      <w:bookmarkStart w:id="6798" w:name="_Toc48753415"/>
      <w:bookmarkStart w:id="6799" w:name="_Toc48753950"/>
      <w:bookmarkStart w:id="6800" w:name="_Toc48821357"/>
      <w:bookmarkStart w:id="6801" w:name="_Toc48822702"/>
      <w:bookmarkStart w:id="6802" w:name="_Toc49013080"/>
      <w:bookmarkStart w:id="6803" w:name="_Toc49013625"/>
      <w:bookmarkStart w:id="6804" w:name="_Toc49014742"/>
      <w:bookmarkStart w:id="6805" w:name="_Toc49095978"/>
      <w:bookmarkStart w:id="6806" w:name="_Toc48750442"/>
      <w:bookmarkStart w:id="6807" w:name="_Toc48753416"/>
      <w:bookmarkStart w:id="6808" w:name="_Toc48753951"/>
      <w:bookmarkStart w:id="6809" w:name="_Toc48821358"/>
      <w:bookmarkStart w:id="6810" w:name="_Toc48822703"/>
      <w:bookmarkStart w:id="6811" w:name="_Toc49013081"/>
      <w:bookmarkStart w:id="6812" w:name="_Toc49013626"/>
      <w:bookmarkStart w:id="6813" w:name="_Toc49014743"/>
      <w:bookmarkStart w:id="6814" w:name="_Toc49095979"/>
      <w:bookmarkStart w:id="6815" w:name="_Toc48750443"/>
      <w:bookmarkStart w:id="6816" w:name="_Toc48753417"/>
      <w:bookmarkStart w:id="6817" w:name="_Toc48753952"/>
      <w:bookmarkStart w:id="6818" w:name="_Toc48821359"/>
      <w:bookmarkStart w:id="6819" w:name="_Toc48822704"/>
      <w:bookmarkStart w:id="6820" w:name="_Toc49013082"/>
      <w:bookmarkStart w:id="6821" w:name="_Toc49013627"/>
      <w:bookmarkStart w:id="6822" w:name="_Toc49014744"/>
      <w:bookmarkStart w:id="6823" w:name="_Toc49095980"/>
      <w:bookmarkStart w:id="6824" w:name="_Toc48750444"/>
      <w:bookmarkStart w:id="6825" w:name="_Toc48753418"/>
      <w:bookmarkStart w:id="6826" w:name="_Toc48753953"/>
      <w:bookmarkStart w:id="6827" w:name="_Toc48821360"/>
      <w:bookmarkStart w:id="6828" w:name="_Toc48822705"/>
      <w:bookmarkStart w:id="6829" w:name="_Toc49013083"/>
      <w:bookmarkStart w:id="6830" w:name="_Toc49013628"/>
      <w:bookmarkStart w:id="6831" w:name="_Toc49014745"/>
      <w:bookmarkStart w:id="6832" w:name="_Toc49095981"/>
      <w:bookmarkStart w:id="6833" w:name="_Toc48750445"/>
      <w:bookmarkStart w:id="6834" w:name="_Toc48753419"/>
      <w:bookmarkStart w:id="6835" w:name="_Toc48753954"/>
      <w:bookmarkStart w:id="6836" w:name="_Toc48821361"/>
      <w:bookmarkStart w:id="6837" w:name="_Toc48822706"/>
      <w:bookmarkStart w:id="6838" w:name="_Toc49013084"/>
      <w:bookmarkStart w:id="6839" w:name="_Toc49013629"/>
      <w:bookmarkStart w:id="6840" w:name="_Toc49014746"/>
      <w:bookmarkStart w:id="6841" w:name="_Toc49095982"/>
      <w:bookmarkStart w:id="6842" w:name="_Toc48750446"/>
      <w:bookmarkStart w:id="6843" w:name="_Toc48753420"/>
      <w:bookmarkStart w:id="6844" w:name="_Toc48753955"/>
      <w:bookmarkStart w:id="6845" w:name="_Toc48821362"/>
      <w:bookmarkStart w:id="6846" w:name="_Toc48822707"/>
      <w:bookmarkStart w:id="6847" w:name="_Toc49013085"/>
      <w:bookmarkStart w:id="6848" w:name="_Toc49013630"/>
      <w:bookmarkStart w:id="6849" w:name="_Toc49014747"/>
      <w:bookmarkStart w:id="6850" w:name="_Toc49095983"/>
      <w:bookmarkStart w:id="6851" w:name="_Toc48750447"/>
      <w:bookmarkStart w:id="6852" w:name="_Toc48753421"/>
      <w:bookmarkStart w:id="6853" w:name="_Toc48753956"/>
      <w:bookmarkStart w:id="6854" w:name="_Toc48821363"/>
      <w:bookmarkStart w:id="6855" w:name="_Toc48822708"/>
      <w:bookmarkStart w:id="6856" w:name="_Toc49013086"/>
      <w:bookmarkStart w:id="6857" w:name="_Toc49013631"/>
      <w:bookmarkStart w:id="6858" w:name="_Toc49014748"/>
      <w:bookmarkStart w:id="6859" w:name="_Toc49095984"/>
      <w:bookmarkStart w:id="6860" w:name="_Ref47950561"/>
      <w:bookmarkStart w:id="6861" w:name="_Toc52181796"/>
      <w:bookmarkEnd w:id="6734"/>
      <w:bookmarkEnd w:id="6735"/>
      <w:bookmarkEnd w:id="6736"/>
      <w:bookmarkEnd w:id="6737"/>
      <w:bookmarkEnd w:id="6738"/>
      <w:bookmarkEnd w:id="6739"/>
      <w:bookmarkEnd w:id="6740"/>
      <w:bookmarkEnd w:id="6741"/>
      <w:bookmarkEnd w:id="6742"/>
      <w:bookmarkEnd w:id="6743"/>
      <w:bookmarkEnd w:id="6744"/>
      <w:bookmarkEnd w:id="6745"/>
      <w:bookmarkEnd w:id="6746"/>
      <w:bookmarkEnd w:id="6747"/>
      <w:bookmarkEnd w:id="6748"/>
      <w:bookmarkEnd w:id="6749"/>
      <w:bookmarkEnd w:id="6750"/>
      <w:bookmarkEnd w:id="6751"/>
      <w:bookmarkEnd w:id="6752"/>
      <w:bookmarkEnd w:id="6753"/>
      <w:bookmarkEnd w:id="6754"/>
      <w:bookmarkEnd w:id="6755"/>
      <w:bookmarkEnd w:id="6756"/>
      <w:bookmarkEnd w:id="6757"/>
      <w:bookmarkEnd w:id="6758"/>
      <w:bookmarkEnd w:id="6759"/>
      <w:bookmarkEnd w:id="6760"/>
      <w:bookmarkEnd w:id="6761"/>
      <w:bookmarkEnd w:id="6762"/>
      <w:bookmarkEnd w:id="6763"/>
      <w:bookmarkEnd w:id="6764"/>
      <w:bookmarkEnd w:id="6765"/>
      <w:bookmarkEnd w:id="6766"/>
      <w:bookmarkEnd w:id="6767"/>
      <w:bookmarkEnd w:id="6768"/>
      <w:bookmarkEnd w:id="6769"/>
      <w:bookmarkEnd w:id="6770"/>
      <w:bookmarkEnd w:id="6771"/>
      <w:bookmarkEnd w:id="6772"/>
      <w:bookmarkEnd w:id="6773"/>
      <w:bookmarkEnd w:id="6774"/>
      <w:bookmarkEnd w:id="6775"/>
      <w:bookmarkEnd w:id="6776"/>
      <w:bookmarkEnd w:id="6777"/>
      <w:bookmarkEnd w:id="6778"/>
      <w:bookmarkEnd w:id="6779"/>
      <w:bookmarkEnd w:id="6780"/>
      <w:bookmarkEnd w:id="6781"/>
      <w:bookmarkEnd w:id="6782"/>
      <w:bookmarkEnd w:id="6783"/>
      <w:bookmarkEnd w:id="6784"/>
      <w:bookmarkEnd w:id="6785"/>
      <w:bookmarkEnd w:id="6786"/>
      <w:bookmarkEnd w:id="6787"/>
      <w:bookmarkEnd w:id="6788"/>
      <w:bookmarkEnd w:id="6789"/>
      <w:bookmarkEnd w:id="6790"/>
      <w:bookmarkEnd w:id="6791"/>
      <w:bookmarkEnd w:id="6792"/>
      <w:bookmarkEnd w:id="6793"/>
      <w:bookmarkEnd w:id="6794"/>
      <w:bookmarkEnd w:id="6795"/>
      <w:bookmarkEnd w:id="6796"/>
      <w:bookmarkEnd w:id="6797"/>
      <w:bookmarkEnd w:id="6798"/>
      <w:bookmarkEnd w:id="6799"/>
      <w:bookmarkEnd w:id="6800"/>
      <w:bookmarkEnd w:id="6801"/>
      <w:bookmarkEnd w:id="6802"/>
      <w:bookmarkEnd w:id="6803"/>
      <w:bookmarkEnd w:id="6804"/>
      <w:bookmarkEnd w:id="6805"/>
      <w:bookmarkEnd w:id="6806"/>
      <w:bookmarkEnd w:id="6807"/>
      <w:bookmarkEnd w:id="6808"/>
      <w:bookmarkEnd w:id="6809"/>
      <w:bookmarkEnd w:id="6810"/>
      <w:bookmarkEnd w:id="6811"/>
      <w:bookmarkEnd w:id="6812"/>
      <w:bookmarkEnd w:id="6813"/>
      <w:bookmarkEnd w:id="6814"/>
      <w:bookmarkEnd w:id="6815"/>
      <w:bookmarkEnd w:id="6816"/>
      <w:bookmarkEnd w:id="6817"/>
      <w:bookmarkEnd w:id="6818"/>
      <w:bookmarkEnd w:id="6819"/>
      <w:bookmarkEnd w:id="6820"/>
      <w:bookmarkEnd w:id="6821"/>
      <w:bookmarkEnd w:id="6822"/>
      <w:bookmarkEnd w:id="6823"/>
      <w:bookmarkEnd w:id="6824"/>
      <w:bookmarkEnd w:id="6825"/>
      <w:bookmarkEnd w:id="6826"/>
      <w:bookmarkEnd w:id="6827"/>
      <w:bookmarkEnd w:id="6828"/>
      <w:bookmarkEnd w:id="6829"/>
      <w:bookmarkEnd w:id="6830"/>
      <w:bookmarkEnd w:id="6831"/>
      <w:bookmarkEnd w:id="6832"/>
      <w:bookmarkEnd w:id="6833"/>
      <w:bookmarkEnd w:id="6834"/>
      <w:bookmarkEnd w:id="6835"/>
      <w:bookmarkEnd w:id="6836"/>
      <w:bookmarkEnd w:id="6837"/>
      <w:bookmarkEnd w:id="6838"/>
      <w:bookmarkEnd w:id="6839"/>
      <w:bookmarkEnd w:id="6840"/>
      <w:bookmarkEnd w:id="6841"/>
      <w:bookmarkEnd w:id="6842"/>
      <w:bookmarkEnd w:id="6843"/>
      <w:bookmarkEnd w:id="6844"/>
      <w:bookmarkEnd w:id="6845"/>
      <w:bookmarkEnd w:id="6846"/>
      <w:bookmarkEnd w:id="6847"/>
      <w:bookmarkEnd w:id="6848"/>
      <w:bookmarkEnd w:id="6849"/>
      <w:bookmarkEnd w:id="6850"/>
      <w:bookmarkEnd w:id="6851"/>
      <w:bookmarkEnd w:id="6852"/>
      <w:bookmarkEnd w:id="6853"/>
      <w:bookmarkEnd w:id="6854"/>
      <w:bookmarkEnd w:id="6855"/>
      <w:bookmarkEnd w:id="6856"/>
      <w:bookmarkEnd w:id="6857"/>
      <w:bookmarkEnd w:id="6858"/>
      <w:bookmarkEnd w:id="6859"/>
      <w:r w:rsidRPr="00A52AB8">
        <w:t xml:space="preserve">Conversion </w:t>
      </w:r>
      <w:r w:rsidR="004F53B3" w:rsidRPr="00A52AB8">
        <w:t>of</w:t>
      </w:r>
      <w:r w:rsidRPr="00A52AB8">
        <w:t xml:space="preserve"> 3D coordinates for projection planes at 45 degrees</w:t>
      </w:r>
      <w:bookmarkEnd w:id="6860"/>
      <w:bookmarkEnd w:id="6861"/>
    </w:p>
    <w:p w14:paraId="77F1D173" w14:textId="77777777" w:rsidR="00925CA2" w:rsidRPr="00A52AB8" w:rsidRDefault="00925CA2" w:rsidP="00925CA2">
      <w:pPr>
        <w:rPr>
          <w:lang w:eastAsia="ja-JP"/>
        </w:rPr>
      </w:pPr>
      <w:bookmarkStart w:id="6862" w:name="_Ref38890327"/>
      <w:r w:rsidRPr="00A52AB8">
        <w:rPr>
          <w:lang w:eastAsia="ja-JP"/>
        </w:rPr>
        <w:t>Inputs to this process are:</w:t>
      </w:r>
    </w:p>
    <w:p w14:paraId="12FD2157" w14:textId="03632889" w:rsidR="00925CA2" w:rsidRPr="00A52AB8" w:rsidRDefault="00925CA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variable pIdx, </w:t>
      </w:r>
      <w:r w:rsidR="00CC0CE7" w:rsidRPr="00A52AB8">
        <w:rPr>
          <w:color w:val="000000" w:themeColor="text1"/>
        </w:rPr>
        <w:t xml:space="preserve">specifying </w:t>
      </w:r>
      <w:r w:rsidRPr="00A52AB8">
        <w:rPr>
          <w:color w:val="000000" w:themeColor="text1"/>
        </w:rPr>
        <w:t>the patch index, and</w:t>
      </w:r>
    </w:p>
    <w:p w14:paraId="13F4C420" w14:textId="7746612A" w:rsidR="00925CA2" w:rsidRPr="00A52AB8" w:rsidRDefault="00925CA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an array point3D, </w:t>
      </w:r>
      <w:r w:rsidR="00CC0CE7" w:rsidRPr="00A52AB8">
        <w:rPr>
          <w:color w:val="000000" w:themeColor="text1"/>
        </w:rPr>
        <w:t xml:space="preserve">of size 3, specifying </w:t>
      </w:r>
      <w:r w:rsidRPr="00A52AB8">
        <w:rPr>
          <w:color w:val="000000" w:themeColor="text1"/>
        </w:rPr>
        <w:t xml:space="preserve">the </w:t>
      </w:r>
      <w:r w:rsidR="003B2002" w:rsidRPr="00A52AB8">
        <w:rPr>
          <w:color w:val="000000" w:themeColor="text1"/>
        </w:rPr>
        <w:t>3D</w:t>
      </w:r>
      <w:r w:rsidRPr="00A52AB8">
        <w:rPr>
          <w:color w:val="000000" w:themeColor="text1"/>
        </w:rPr>
        <w:t xml:space="preserve"> coordinates of a point.</w:t>
      </w:r>
    </w:p>
    <w:p w14:paraId="3014B7F9" w14:textId="620A8C48" w:rsidR="00925CA2" w:rsidRPr="00A52AB8" w:rsidRDefault="00E22D97" w:rsidP="00925CA2">
      <w:pPr>
        <w:rPr>
          <w:lang w:eastAsia="ja-JP"/>
        </w:rPr>
      </w:pPr>
      <w:r w:rsidRPr="00A52AB8">
        <w:rPr>
          <w:lang w:eastAsia="ja-JP"/>
        </w:rPr>
        <w:t>O</w:t>
      </w:r>
      <w:r w:rsidR="00925CA2" w:rsidRPr="00A52AB8">
        <w:rPr>
          <w:lang w:eastAsia="ja-JP"/>
        </w:rPr>
        <w:t xml:space="preserve">utput </w:t>
      </w:r>
      <w:r w:rsidR="00060230" w:rsidRPr="00A52AB8">
        <w:rPr>
          <w:lang w:eastAsia="ja-JP"/>
        </w:rPr>
        <w:t xml:space="preserve">of </w:t>
      </w:r>
      <w:r w:rsidR="00925CA2" w:rsidRPr="00A52AB8">
        <w:rPr>
          <w:lang w:eastAsia="ja-JP"/>
        </w:rPr>
        <w:t>this process is the modified array point3D.</w:t>
      </w:r>
    </w:p>
    <w:p w14:paraId="25E295B6" w14:textId="77777777" w:rsidR="00925CA2" w:rsidRPr="00A52AB8" w:rsidRDefault="00925CA2" w:rsidP="00925CA2">
      <w:pPr>
        <w:rPr>
          <w:lang w:eastAsia="ja-JP"/>
        </w:rPr>
      </w:pPr>
      <w:r w:rsidRPr="00A52AB8">
        <w:rPr>
          <w:lang w:eastAsia="ja-JP"/>
        </w:rPr>
        <w:t>The 3D coordinates of the array point3D are adjusted based on the value of the variable AtlasPatch</w:t>
      </w:r>
      <w:r w:rsidR="008050C1" w:rsidRPr="00A52AB8">
        <w:rPr>
          <w:lang w:eastAsia="ja-JP"/>
        </w:rPr>
        <w:t>45Degree</w:t>
      </w:r>
      <w:r w:rsidRPr="00A52AB8">
        <w:rPr>
          <w:lang w:eastAsia="ja-JP"/>
        </w:rPr>
        <w:t>Mode[</w:t>
      </w:r>
      <w:r w:rsidRPr="00A52AB8">
        <w:rPr>
          <w:rFonts w:eastAsia="Times New Roman" w:cs="Leelawadee UI"/>
          <w:lang w:eastAsia="ja-JP" w:bidi="th-TH"/>
        </w:rPr>
        <w:t> </w:t>
      </w:r>
      <w:r w:rsidRPr="00A52AB8">
        <w:rPr>
          <w:lang w:eastAsia="ja-JP"/>
        </w:rPr>
        <w:t>pIdx</w:t>
      </w:r>
      <w:r w:rsidRPr="00A52AB8">
        <w:rPr>
          <w:rFonts w:eastAsia="Times New Roman" w:cs="Leelawadee UI"/>
          <w:lang w:eastAsia="ja-JP" w:bidi="th-TH"/>
        </w:rPr>
        <w:t> </w:t>
      </w:r>
      <w:r w:rsidRPr="00A52AB8">
        <w:rPr>
          <w:lang w:eastAsia="ja-JP"/>
        </w:rPr>
        <w:t>] as follows:</w:t>
      </w:r>
    </w:p>
    <w:p w14:paraId="0096412F" w14:textId="77777777" w:rsidR="00925CA2" w:rsidRPr="00A52AB8" w:rsidRDefault="00925CA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The variable rotBias is initialized as follows:</w:t>
      </w:r>
    </w:p>
    <w:p w14:paraId="1F4F684A" w14:textId="36D55FF3" w:rsidR="00925CA2" w:rsidRPr="00A52AB8" w:rsidRDefault="00A96A5D" w:rsidP="00A96A5D">
      <w:pPr>
        <w:rPr>
          <w:lang w:eastAsia="ja-JP"/>
        </w:rPr>
      </w:pPr>
      <w:r w:rsidRPr="00A52AB8">
        <w:rPr>
          <w:lang w:eastAsia="ja-JP"/>
        </w:rPr>
        <w:tab/>
      </w:r>
      <w:r w:rsidR="00A63D6E" w:rsidRPr="00A52AB8">
        <w:rPr>
          <w:lang w:eastAsia="ja-JP"/>
        </w:rPr>
        <w:tab/>
      </w:r>
      <w:r w:rsidR="00925CA2" w:rsidRPr="00A52AB8">
        <w:rPr>
          <w:lang w:eastAsia="ja-JP"/>
        </w:rPr>
        <w:t>rotBias</w:t>
      </w:r>
      <w:r w:rsidR="00D47707" w:rsidRPr="00A52AB8">
        <w:rPr>
          <w:lang w:eastAsia="ja-JP"/>
        </w:rPr>
        <w:t> = </w:t>
      </w:r>
      <w:r w:rsidR="00925CA2" w:rsidRPr="00A52AB8">
        <w:rPr>
          <w:lang w:eastAsia="ja-JP"/>
        </w:rPr>
        <w:t>( 1</w:t>
      </w:r>
      <w:r w:rsidR="00C61E38" w:rsidRPr="00A52AB8">
        <w:rPr>
          <w:lang w:eastAsia="ja-JP"/>
        </w:rPr>
        <w:t> </w:t>
      </w:r>
      <w:r w:rsidR="00925CA2" w:rsidRPr="00A52AB8">
        <w:rPr>
          <w:lang w:eastAsia="ja-JP"/>
        </w:rPr>
        <w:t>&lt;&lt;</w:t>
      </w:r>
      <w:r w:rsidR="00C61E38" w:rsidRPr="00A52AB8">
        <w:rPr>
          <w:lang w:eastAsia="ja-JP"/>
        </w:rPr>
        <w:t> </w:t>
      </w:r>
      <w:r w:rsidR="00925CA2" w:rsidRPr="00A52AB8">
        <w:rPr>
          <w:lang w:eastAsia="ja-JP"/>
        </w:rPr>
        <w:t>( asps_geometry_3d_bit</w:t>
      </w:r>
      <w:r w:rsidR="00BD1BF4" w:rsidRPr="00A52AB8">
        <w:rPr>
          <w:lang w:eastAsia="ja-JP"/>
        </w:rPr>
        <w:t>_</w:t>
      </w:r>
      <w:r w:rsidR="00925CA2" w:rsidRPr="00A52AB8">
        <w:rPr>
          <w:lang w:eastAsia="ja-JP"/>
        </w:rPr>
        <w:t>depth_minus1 ) – 1 )</w:t>
      </w:r>
      <w:r w:rsidRPr="00A52AB8">
        <w:rPr>
          <w:lang w:eastAsia="ja-JP"/>
        </w:rPr>
        <w:tab/>
        <w:t>(H</w:t>
      </w:r>
      <w:r w:rsidRPr="00A52AB8">
        <w:rPr>
          <w:lang w:eastAsia="ja-JP"/>
        </w:rPr>
        <w:noBreakHyphen/>
      </w:r>
      <w:r w:rsidRPr="00496A4D">
        <w:rPr>
          <w:lang w:eastAsia="ja-JP"/>
        </w:rPr>
        <w:fldChar w:fldCharType="begin"/>
      </w:r>
      <w:r w:rsidRPr="00A52AB8">
        <w:rPr>
          <w:lang w:eastAsia="ja-JP"/>
        </w:rPr>
        <w:instrText xml:space="preserve"> SEQ Equation \* ARABIC \s 1 </w:instrText>
      </w:r>
      <w:r w:rsidRPr="00496A4D">
        <w:rPr>
          <w:lang w:eastAsia="ja-JP"/>
        </w:rPr>
        <w:fldChar w:fldCharType="separate"/>
      </w:r>
      <w:r w:rsidR="00507A67">
        <w:rPr>
          <w:noProof/>
          <w:lang w:eastAsia="ja-JP"/>
        </w:rPr>
        <w:t>49</w:t>
      </w:r>
      <w:r w:rsidRPr="00496A4D">
        <w:rPr>
          <w:lang w:eastAsia="ja-JP"/>
        </w:rPr>
        <w:fldChar w:fldCharType="end"/>
      </w:r>
      <w:r w:rsidRPr="00A52AB8">
        <w:rPr>
          <w:lang w:eastAsia="ja-JP"/>
        </w:rPr>
        <w:t>)</w:t>
      </w:r>
    </w:p>
    <w:p w14:paraId="4460ABE9" w14:textId="77777777" w:rsidR="00925CA2" w:rsidRPr="00A52AB8" w:rsidRDefault="00925CA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The variables rotAxis1 and rotAxis2 are derived as follows:</w:t>
      </w:r>
    </w:p>
    <w:p w14:paraId="4BAFE47F" w14:textId="0EAB32C4" w:rsidR="00A96A5D" w:rsidRPr="00A52AB8" w:rsidRDefault="00925CA2" w:rsidP="00A96A5D">
      <w:pPr>
        <w:rPr>
          <w:lang w:eastAsia="ja-JP"/>
        </w:rPr>
      </w:pPr>
      <w:r w:rsidRPr="00A52AB8">
        <w:rPr>
          <w:lang w:eastAsia="ja-JP"/>
        </w:rPr>
        <w:tab/>
      </w:r>
      <w:r w:rsidR="00A63D6E" w:rsidRPr="00A52AB8">
        <w:rPr>
          <w:lang w:eastAsia="ja-JP"/>
        </w:rPr>
        <w:tab/>
      </w:r>
      <w:r w:rsidRPr="00A52AB8">
        <w:rPr>
          <w:lang w:eastAsia="ja-JP"/>
        </w:rPr>
        <w:t>rotAxis1</w:t>
      </w:r>
      <w:r w:rsidR="00D47707" w:rsidRPr="00A52AB8">
        <w:rPr>
          <w:lang w:eastAsia="ja-JP"/>
        </w:rPr>
        <w:t> = </w:t>
      </w:r>
      <w:r w:rsidRPr="00A52AB8">
        <w:rPr>
          <w:lang w:eastAsia="ja-JP"/>
        </w:rPr>
        <w:t>( AtlasPatch</w:t>
      </w:r>
      <w:r w:rsidR="008050C1" w:rsidRPr="00A52AB8">
        <w:rPr>
          <w:lang w:eastAsia="ja-JP"/>
        </w:rPr>
        <w:t>45Degree</w:t>
      </w:r>
      <w:r w:rsidRPr="00A52AB8">
        <w:rPr>
          <w:lang w:eastAsia="ja-JP"/>
        </w:rPr>
        <w:t>Mode[ pIdx ] – 1 )</w:t>
      </w:r>
      <w:r w:rsidR="00A96A5D" w:rsidRPr="00A52AB8">
        <w:rPr>
          <w:lang w:eastAsia="ja-JP"/>
        </w:rPr>
        <w:tab/>
        <w:t>(H</w:t>
      </w:r>
      <w:r w:rsidR="00A96A5D" w:rsidRPr="00A52AB8">
        <w:rPr>
          <w:lang w:eastAsia="ja-JP"/>
        </w:rPr>
        <w:noBreakHyphen/>
      </w:r>
      <w:r w:rsidR="00A96A5D" w:rsidRPr="00496A4D">
        <w:rPr>
          <w:lang w:eastAsia="ja-JP"/>
        </w:rPr>
        <w:fldChar w:fldCharType="begin"/>
      </w:r>
      <w:r w:rsidR="00A96A5D" w:rsidRPr="00A52AB8">
        <w:rPr>
          <w:lang w:eastAsia="ja-JP"/>
        </w:rPr>
        <w:instrText xml:space="preserve"> SEQ Equation \* ARABIC \s 1 </w:instrText>
      </w:r>
      <w:r w:rsidR="00A96A5D" w:rsidRPr="00496A4D">
        <w:rPr>
          <w:lang w:eastAsia="ja-JP"/>
        </w:rPr>
        <w:fldChar w:fldCharType="separate"/>
      </w:r>
      <w:r w:rsidR="00507A67">
        <w:rPr>
          <w:noProof/>
          <w:lang w:eastAsia="ja-JP"/>
        </w:rPr>
        <w:t>50</w:t>
      </w:r>
      <w:r w:rsidR="00A96A5D" w:rsidRPr="00496A4D">
        <w:rPr>
          <w:lang w:eastAsia="ja-JP"/>
        </w:rPr>
        <w:fldChar w:fldCharType="end"/>
      </w:r>
      <w:r w:rsidR="00A96A5D" w:rsidRPr="00A52AB8">
        <w:rPr>
          <w:lang w:eastAsia="ja-JP"/>
        </w:rPr>
        <w:t>)</w:t>
      </w:r>
    </w:p>
    <w:p w14:paraId="35DDAC03" w14:textId="511979DB" w:rsidR="00925CA2" w:rsidRPr="00A52AB8" w:rsidRDefault="00925CA2" w:rsidP="00C5305A">
      <w:pPr>
        <w:rPr>
          <w:lang w:eastAsia="ja-JP"/>
        </w:rPr>
      </w:pPr>
      <w:r w:rsidRPr="00A52AB8">
        <w:rPr>
          <w:lang w:eastAsia="ja-JP"/>
        </w:rPr>
        <w:tab/>
      </w:r>
      <w:r w:rsidR="00A63D6E" w:rsidRPr="00A52AB8">
        <w:rPr>
          <w:lang w:eastAsia="ja-JP"/>
        </w:rPr>
        <w:tab/>
      </w:r>
      <w:r w:rsidRPr="00A52AB8">
        <w:rPr>
          <w:lang w:eastAsia="ja-JP"/>
        </w:rPr>
        <w:t>rotAxis2</w:t>
      </w:r>
      <w:r w:rsidR="00D47707" w:rsidRPr="00A52AB8">
        <w:rPr>
          <w:lang w:eastAsia="ja-JP"/>
        </w:rPr>
        <w:t> = </w:t>
      </w:r>
      <w:r w:rsidRPr="00A52AB8">
        <w:rPr>
          <w:lang w:eastAsia="ja-JP"/>
        </w:rPr>
        <w:t>( AtlasPatch</w:t>
      </w:r>
      <w:r w:rsidR="008050C1" w:rsidRPr="00A52AB8">
        <w:rPr>
          <w:lang w:eastAsia="ja-JP"/>
        </w:rPr>
        <w:t>45Degree</w:t>
      </w:r>
      <w:r w:rsidRPr="00A52AB8">
        <w:rPr>
          <w:lang w:eastAsia="ja-JP"/>
        </w:rPr>
        <w:t>Mode[ pIdx ] + 1 ) % 3.</w:t>
      </w:r>
      <w:r w:rsidR="00A96A5D" w:rsidRPr="00A52AB8">
        <w:rPr>
          <w:lang w:eastAsia="ja-JP"/>
        </w:rPr>
        <w:tab/>
        <w:t>(H</w:t>
      </w:r>
      <w:r w:rsidR="00A96A5D" w:rsidRPr="00A52AB8">
        <w:rPr>
          <w:lang w:eastAsia="ja-JP"/>
        </w:rPr>
        <w:noBreakHyphen/>
      </w:r>
      <w:r w:rsidR="00A96A5D" w:rsidRPr="00496A4D">
        <w:rPr>
          <w:lang w:eastAsia="ja-JP"/>
        </w:rPr>
        <w:fldChar w:fldCharType="begin"/>
      </w:r>
      <w:r w:rsidR="00A96A5D" w:rsidRPr="00A52AB8">
        <w:rPr>
          <w:lang w:eastAsia="ja-JP"/>
        </w:rPr>
        <w:instrText xml:space="preserve"> SEQ Equation \* ARABIC \s 1 </w:instrText>
      </w:r>
      <w:r w:rsidR="00A96A5D" w:rsidRPr="00496A4D">
        <w:rPr>
          <w:lang w:eastAsia="ja-JP"/>
        </w:rPr>
        <w:fldChar w:fldCharType="separate"/>
      </w:r>
      <w:r w:rsidR="00507A67">
        <w:rPr>
          <w:noProof/>
          <w:lang w:eastAsia="ja-JP"/>
        </w:rPr>
        <w:t>51</w:t>
      </w:r>
      <w:r w:rsidR="00A96A5D" w:rsidRPr="00496A4D">
        <w:rPr>
          <w:lang w:eastAsia="ja-JP"/>
        </w:rPr>
        <w:fldChar w:fldCharType="end"/>
      </w:r>
      <w:r w:rsidR="00A96A5D" w:rsidRPr="00A52AB8">
        <w:rPr>
          <w:lang w:eastAsia="ja-JP"/>
        </w:rPr>
        <w:t>)</w:t>
      </w:r>
    </w:p>
    <w:p w14:paraId="141CBAB2" w14:textId="77777777" w:rsidR="00925CA2" w:rsidRPr="00A52AB8" w:rsidRDefault="00925CA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The 3D coordinates of the array point3D are modified as follows:</w:t>
      </w:r>
    </w:p>
    <w:p w14:paraId="2D32FCB5" w14:textId="73C15524" w:rsidR="00072C10" w:rsidRPr="00A52AB8" w:rsidRDefault="00925CA2" w:rsidP="00072C10">
      <w:pPr>
        <w:rPr>
          <w:lang w:eastAsia="ja-JP"/>
        </w:rPr>
      </w:pPr>
      <w:r w:rsidRPr="00A52AB8">
        <w:rPr>
          <w:lang w:eastAsia="ja-JP"/>
        </w:rPr>
        <w:tab/>
      </w:r>
      <w:r w:rsidR="00A63D6E" w:rsidRPr="00A52AB8">
        <w:rPr>
          <w:lang w:eastAsia="ja-JP"/>
        </w:rPr>
        <w:tab/>
      </w:r>
      <w:r w:rsidRPr="00A52AB8">
        <w:rPr>
          <w:lang w:eastAsia="ja-JP"/>
        </w:rPr>
        <w:t>temp1</w:t>
      </w:r>
      <w:r w:rsidR="00D47707" w:rsidRPr="00A52AB8">
        <w:rPr>
          <w:lang w:eastAsia="ja-JP"/>
        </w:rPr>
        <w:t> = </w:t>
      </w:r>
      <w:r w:rsidRPr="00A52AB8">
        <w:rPr>
          <w:lang w:eastAsia="ja-JP"/>
        </w:rPr>
        <w:t>point3D[ rotAxis1 ]</w:t>
      </w:r>
    </w:p>
    <w:p w14:paraId="18156E85" w14:textId="193DD154" w:rsidR="00072C10" w:rsidRPr="00A52AB8" w:rsidRDefault="00925CA2" w:rsidP="00072C10">
      <w:pPr>
        <w:rPr>
          <w:lang w:eastAsia="ja-JP"/>
        </w:rPr>
      </w:pPr>
      <w:r w:rsidRPr="00A52AB8">
        <w:rPr>
          <w:lang w:eastAsia="ja-JP"/>
        </w:rPr>
        <w:tab/>
      </w:r>
      <w:r w:rsidR="00A63D6E" w:rsidRPr="00A52AB8">
        <w:rPr>
          <w:lang w:eastAsia="ja-JP"/>
        </w:rPr>
        <w:tab/>
      </w:r>
      <w:r w:rsidRPr="00A52AB8">
        <w:rPr>
          <w:lang w:eastAsia="ja-JP"/>
        </w:rPr>
        <w:t>temp2</w:t>
      </w:r>
      <w:r w:rsidR="00D47707" w:rsidRPr="00A52AB8">
        <w:rPr>
          <w:lang w:eastAsia="ja-JP"/>
        </w:rPr>
        <w:t> = </w:t>
      </w:r>
      <w:r w:rsidRPr="00A52AB8">
        <w:rPr>
          <w:lang w:eastAsia="ja-JP"/>
        </w:rPr>
        <w:t>point3D[ rotAxis2 ]</w:t>
      </w:r>
    </w:p>
    <w:p w14:paraId="093D91BA" w14:textId="1744A383" w:rsidR="00072C10" w:rsidRPr="00A52AB8" w:rsidRDefault="00925CA2" w:rsidP="00072C10">
      <w:pPr>
        <w:rPr>
          <w:lang w:eastAsia="ja-JP"/>
        </w:rPr>
      </w:pPr>
      <w:r w:rsidRPr="00A52AB8">
        <w:rPr>
          <w:lang w:eastAsia="ja-JP"/>
        </w:rPr>
        <w:tab/>
      </w:r>
      <w:r w:rsidR="00A63D6E" w:rsidRPr="00A52AB8">
        <w:rPr>
          <w:lang w:eastAsia="ja-JP"/>
        </w:rPr>
        <w:tab/>
      </w:r>
      <w:r w:rsidRPr="00A52AB8">
        <w:rPr>
          <w:lang w:eastAsia="ja-JP"/>
        </w:rPr>
        <w:t>point3D[ rotAxis1 ]</w:t>
      </w:r>
      <w:r w:rsidR="00D47707" w:rsidRPr="00A52AB8">
        <w:rPr>
          <w:lang w:eastAsia="ja-JP"/>
        </w:rPr>
        <w:t> = </w:t>
      </w:r>
      <w:r w:rsidRPr="00A52AB8">
        <w:rPr>
          <w:lang w:eastAsia="ja-JP"/>
        </w:rPr>
        <w:t>(temp1 – temp2 + rotBias ) / 2</w:t>
      </w:r>
      <w:r w:rsidR="00072C10" w:rsidRPr="00A52AB8">
        <w:rPr>
          <w:lang w:eastAsia="ja-JP"/>
        </w:rPr>
        <w:tab/>
        <w:t>(H</w:t>
      </w:r>
      <w:r w:rsidR="00072C10" w:rsidRPr="00A52AB8">
        <w:rPr>
          <w:lang w:eastAsia="ja-JP"/>
        </w:rPr>
        <w:noBreakHyphen/>
      </w:r>
      <w:r w:rsidR="00072C10" w:rsidRPr="00496A4D">
        <w:rPr>
          <w:lang w:eastAsia="ja-JP"/>
        </w:rPr>
        <w:fldChar w:fldCharType="begin"/>
      </w:r>
      <w:r w:rsidR="00072C10" w:rsidRPr="00A52AB8">
        <w:rPr>
          <w:lang w:eastAsia="ja-JP"/>
        </w:rPr>
        <w:instrText xml:space="preserve"> SEQ Equation \* ARABIC \s 1 </w:instrText>
      </w:r>
      <w:r w:rsidR="00072C10" w:rsidRPr="00496A4D">
        <w:rPr>
          <w:lang w:eastAsia="ja-JP"/>
        </w:rPr>
        <w:fldChar w:fldCharType="separate"/>
      </w:r>
      <w:r w:rsidR="00507A67">
        <w:rPr>
          <w:noProof/>
          <w:lang w:eastAsia="ja-JP"/>
        </w:rPr>
        <w:t>52</w:t>
      </w:r>
      <w:r w:rsidR="00072C10" w:rsidRPr="00496A4D">
        <w:rPr>
          <w:lang w:eastAsia="ja-JP"/>
        </w:rPr>
        <w:fldChar w:fldCharType="end"/>
      </w:r>
      <w:r w:rsidR="00072C10" w:rsidRPr="00A52AB8">
        <w:rPr>
          <w:lang w:eastAsia="ja-JP"/>
        </w:rPr>
        <w:t>)</w:t>
      </w:r>
    </w:p>
    <w:p w14:paraId="1A0C42E5" w14:textId="1A242065" w:rsidR="00072C10" w:rsidRPr="00A52AB8" w:rsidRDefault="00925CA2" w:rsidP="00072C10">
      <w:pPr>
        <w:rPr>
          <w:lang w:eastAsia="ja-JP"/>
        </w:rPr>
      </w:pPr>
      <w:r w:rsidRPr="00A52AB8">
        <w:rPr>
          <w:lang w:eastAsia="ja-JP"/>
        </w:rPr>
        <w:tab/>
      </w:r>
      <w:r w:rsidR="00A63D6E" w:rsidRPr="00A52AB8">
        <w:rPr>
          <w:lang w:eastAsia="ja-JP"/>
        </w:rPr>
        <w:tab/>
      </w:r>
      <w:r w:rsidRPr="00A52AB8">
        <w:rPr>
          <w:lang w:eastAsia="ja-JP"/>
        </w:rPr>
        <w:t>point3D[ rotAxis2 ]</w:t>
      </w:r>
      <w:r w:rsidR="00D47707" w:rsidRPr="00A52AB8">
        <w:rPr>
          <w:lang w:eastAsia="ja-JP"/>
        </w:rPr>
        <w:t> = </w:t>
      </w:r>
      <w:r w:rsidRPr="00A52AB8">
        <w:rPr>
          <w:lang w:eastAsia="ja-JP"/>
        </w:rPr>
        <w:t>(temp1 + temp2 – rotBias ) / 2</w:t>
      </w:r>
      <w:r w:rsidR="00072C10" w:rsidRPr="00A52AB8">
        <w:rPr>
          <w:lang w:eastAsia="ja-JP"/>
        </w:rPr>
        <w:tab/>
        <w:t>(H</w:t>
      </w:r>
      <w:r w:rsidR="00072C10" w:rsidRPr="00A52AB8">
        <w:rPr>
          <w:lang w:eastAsia="ja-JP"/>
        </w:rPr>
        <w:noBreakHyphen/>
      </w:r>
      <w:r w:rsidR="00072C10" w:rsidRPr="00496A4D">
        <w:rPr>
          <w:lang w:eastAsia="ja-JP"/>
        </w:rPr>
        <w:fldChar w:fldCharType="begin"/>
      </w:r>
      <w:r w:rsidR="00072C10" w:rsidRPr="00A52AB8">
        <w:rPr>
          <w:lang w:eastAsia="ja-JP"/>
        </w:rPr>
        <w:instrText xml:space="preserve"> SEQ Equation \* ARABIC \s 1 </w:instrText>
      </w:r>
      <w:r w:rsidR="00072C10" w:rsidRPr="00496A4D">
        <w:rPr>
          <w:lang w:eastAsia="ja-JP"/>
        </w:rPr>
        <w:fldChar w:fldCharType="separate"/>
      </w:r>
      <w:r w:rsidR="00507A67">
        <w:rPr>
          <w:noProof/>
          <w:lang w:eastAsia="ja-JP"/>
        </w:rPr>
        <w:t>53</w:t>
      </w:r>
      <w:r w:rsidR="00072C10" w:rsidRPr="00496A4D">
        <w:rPr>
          <w:lang w:eastAsia="ja-JP"/>
        </w:rPr>
        <w:fldChar w:fldCharType="end"/>
      </w:r>
      <w:r w:rsidR="00072C10" w:rsidRPr="00A52AB8">
        <w:rPr>
          <w:lang w:eastAsia="ja-JP"/>
        </w:rPr>
        <w:t>)</w:t>
      </w:r>
    </w:p>
    <w:p w14:paraId="6C0346EE" w14:textId="1F9BDF66" w:rsidR="00186156" w:rsidRPr="00A52AB8" w:rsidRDefault="00925CA2" w:rsidP="00E860C4">
      <w:pPr>
        <w:pStyle w:val="Note1"/>
        <w:rPr>
          <w:rFonts w:ascii="Cambria" w:hAnsi="Cambria"/>
        </w:rPr>
      </w:pPr>
      <w:r w:rsidRPr="00A52AB8" w:rsidDel="00112A5D">
        <w:rPr>
          <w:rFonts w:ascii="Cambria" w:hAnsi="Cambria"/>
        </w:rPr>
        <w:t>NOTE – </w:t>
      </w:r>
      <w:r w:rsidRPr="00A52AB8">
        <w:rPr>
          <w:rFonts w:ascii="Cambria" w:hAnsi="Cambria"/>
        </w:rPr>
        <w:t xml:space="preserve">Projection planes at 45 degree </w:t>
      </w:r>
      <w:r w:rsidR="00D24766" w:rsidRPr="00A52AB8">
        <w:rPr>
          <w:rFonts w:ascii="Cambria" w:hAnsi="Cambria"/>
        </w:rPr>
        <w:t xml:space="preserve">temporarily </w:t>
      </w:r>
      <w:r w:rsidRPr="00A52AB8">
        <w:rPr>
          <w:rFonts w:ascii="Cambria" w:hAnsi="Cambria"/>
        </w:rPr>
        <w:t>increase the geometry range to perform invertible rotation. It is recommended that the encoder increases by 1 the bit</w:t>
      </w:r>
      <w:r w:rsidR="00977728" w:rsidRPr="00A52AB8">
        <w:rPr>
          <w:rFonts w:ascii="Cambria" w:hAnsi="Cambria"/>
        </w:rPr>
        <w:t xml:space="preserve"> </w:t>
      </w:r>
      <w:r w:rsidRPr="00A52AB8">
        <w:rPr>
          <w:rFonts w:ascii="Cambria" w:hAnsi="Cambria"/>
        </w:rPr>
        <w:t>count for geometry, defined by the syntax element asps_geometry_3d_bit</w:t>
      </w:r>
      <w:r w:rsidR="00BD1BF4" w:rsidRPr="00A52AB8">
        <w:rPr>
          <w:rFonts w:ascii="Cambria" w:hAnsi="Cambria"/>
        </w:rPr>
        <w:t>_</w:t>
      </w:r>
      <w:r w:rsidRPr="00A52AB8">
        <w:rPr>
          <w:rFonts w:ascii="Cambria" w:hAnsi="Cambria"/>
        </w:rPr>
        <w:t>depth_minus1.</w:t>
      </w:r>
    </w:p>
    <w:p w14:paraId="6DEFE3EE" w14:textId="1DA99397" w:rsidR="006D74F2" w:rsidRPr="00A52AB8" w:rsidRDefault="007807FB" w:rsidP="00895494">
      <w:pPr>
        <w:pStyle w:val="a2"/>
        <w:numPr>
          <w:ilvl w:val="1"/>
          <w:numId w:val="14"/>
        </w:numPr>
      </w:pPr>
      <w:bookmarkStart w:id="6863" w:name="_Toc49803023"/>
      <w:bookmarkStart w:id="6864" w:name="_Toc49937068"/>
      <w:bookmarkStart w:id="6865" w:name="_Toc48750449"/>
      <w:bookmarkStart w:id="6866" w:name="_Toc48753423"/>
      <w:bookmarkStart w:id="6867" w:name="_Toc48753958"/>
      <w:bookmarkStart w:id="6868" w:name="_Toc48821365"/>
      <w:bookmarkStart w:id="6869" w:name="_Toc48822710"/>
      <w:bookmarkStart w:id="6870" w:name="_Toc49013088"/>
      <w:bookmarkStart w:id="6871" w:name="_Toc49013633"/>
      <w:bookmarkStart w:id="6872" w:name="_Toc49014750"/>
      <w:bookmarkStart w:id="6873" w:name="_Toc49095986"/>
      <w:bookmarkStart w:id="6874" w:name="_Toc48750450"/>
      <w:bookmarkStart w:id="6875" w:name="_Toc48753424"/>
      <w:bookmarkStart w:id="6876" w:name="_Toc48753959"/>
      <w:bookmarkStart w:id="6877" w:name="_Toc48821366"/>
      <w:bookmarkStart w:id="6878" w:name="_Toc48822711"/>
      <w:bookmarkStart w:id="6879" w:name="_Toc49013089"/>
      <w:bookmarkStart w:id="6880" w:name="_Toc49013634"/>
      <w:bookmarkStart w:id="6881" w:name="_Toc49014751"/>
      <w:bookmarkStart w:id="6882" w:name="_Toc49095987"/>
      <w:bookmarkStart w:id="6883" w:name="_Toc48750451"/>
      <w:bookmarkStart w:id="6884" w:name="_Toc48753425"/>
      <w:bookmarkStart w:id="6885" w:name="_Toc48753960"/>
      <w:bookmarkStart w:id="6886" w:name="_Toc48821367"/>
      <w:bookmarkStart w:id="6887" w:name="_Toc48822712"/>
      <w:bookmarkStart w:id="6888" w:name="_Toc49013090"/>
      <w:bookmarkStart w:id="6889" w:name="_Toc49013635"/>
      <w:bookmarkStart w:id="6890" w:name="_Toc49014752"/>
      <w:bookmarkStart w:id="6891" w:name="_Toc49095988"/>
      <w:bookmarkStart w:id="6892" w:name="_Toc48750452"/>
      <w:bookmarkStart w:id="6893" w:name="_Toc48753426"/>
      <w:bookmarkStart w:id="6894" w:name="_Toc48753961"/>
      <w:bookmarkStart w:id="6895" w:name="_Toc48821368"/>
      <w:bookmarkStart w:id="6896" w:name="_Toc48822713"/>
      <w:bookmarkStart w:id="6897" w:name="_Toc49013091"/>
      <w:bookmarkStart w:id="6898" w:name="_Toc49013636"/>
      <w:bookmarkStart w:id="6899" w:name="_Toc49014753"/>
      <w:bookmarkStart w:id="6900" w:name="_Toc49095989"/>
      <w:bookmarkStart w:id="6901" w:name="_Toc48750453"/>
      <w:bookmarkStart w:id="6902" w:name="_Toc48753427"/>
      <w:bookmarkStart w:id="6903" w:name="_Toc48753962"/>
      <w:bookmarkStart w:id="6904" w:name="_Toc48821369"/>
      <w:bookmarkStart w:id="6905" w:name="_Toc48822714"/>
      <w:bookmarkStart w:id="6906" w:name="_Toc49013092"/>
      <w:bookmarkStart w:id="6907" w:name="_Toc49013637"/>
      <w:bookmarkStart w:id="6908" w:name="_Toc49014754"/>
      <w:bookmarkStart w:id="6909" w:name="_Toc49095990"/>
      <w:bookmarkStart w:id="6910" w:name="_Toc48750454"/>
      <w:bookmarkStart w:id="6911" w:name="_Toc48753428"/>
      <w:bookmarkStart w:id="6912" w:name="_Toc48753963"/>
      <w:bookmarkStart w:id="6913" w:name="_Toc48821370"/>
      <w:bookmarkStart w:id="6914" w:name="_Toc48822715"/>
      <w:bookmarkStart w:id="6915" w:name="_Toc49013093"/>
      <w:bookmarkStart w:id="6916" w:name="_Toc49013638"/>
      <w:bookmarkStart w:id="6917" w:name="_Toc49014755"/>
      <w:bookmarkStart w:id="6918" w:name="_Toc49095991"/>
      <w:bookmarkStart w:id="6919" w:name="_Toc48750455"/>
      <w:bookmarkStart w:id="6920" w:name="_Toc48753429"/>
      <w:bookmarkStart w:id="6921" w:name="_Toc48753964"/>
      <w:bookmarkStart w:id="6922" w:name="_Toc48821371"/>
      <w:bookmarkStart w:id="6923" w:name="_Toc48822716"/>
      <w:bookmarkStart w:id="6924" w:name="_Toc49013094"/>
      <w:bookmarkStart w:id="6925" w:name="_Toc49013639"/>
      <w:bookmarkStart w:id="6926" w:name="_Toc49014756"/>
      <w:bookmarkStart w:id="6927" w:name="_Toc49095992"/>
      <w:bookmarkStart w:id="6928" w:name="_Toc48750456"/>
      <w:bookmarkStart w:id="6929" w:name="_Toc48753430"/>
      <w:bookmarkStart w:id="6930" w:name="_Toc48753965"/>
      <w:bookmarkStart w:id="6931" w:name="_Toc48821372"/>
      <w:bookmarkStart w:id="6932" w:name="_Toc48822717"/>
      <w:bookmarkStart w:id="6933" w:name="_Toc49013095"/>
      <w:bookmarkStart w:id="6934" w:name="_Toc49013640"/>
      <w:bookmarkStart w:id="6935" w:name="_Toc49014757"/>
      <w:bookmarkStart w:id="6936" w:name="_Toc49095993"/>
      <w:bookmarkStart w:id="6937" w:name="_Toc48750457"/>
      <w:bookmarkStart w:id="6938" w:name="_Toc48753431"/>
      <w:bookmarkStart w:id="6939" w:name="_Toc48753966"/>
      <w:bookmarkStart w:id="6940" w:name="_Toc48821373"/>
      <w:bookmarkStart w:id="6941" w:name="_Toc48822718"/>
      <w:bookmarkStart w:id="6942" w:name="_Toc49013096"/>
      <w:bookmarkStart w:id="6943" w:name="_Toc49013641"/>
      <w:bookmarkStart w:id="6944" w:name="_Toc49014758"/>
      <w:bookmarkStart w:id="6945" w:name="_Toc49095994"/>
      <w:bookmarkStart w:id="6946" w:name="_Toc48750458"/>
      <w:bookmarkStart w:id="6947" w:name="_Toc48753432"/>
      <w:bookmarkStart w:id="6948" w:name="_Toc48753967"/>
      <w:bookmarkStart w:id="6949" w:name="_Toc48821374"/>
      <w:bookmarkStart w:id="6950" w:name="_Toc48822719"/>
      <w:bookmarkStart w:id="6951" w:name="_Toc49013097"/>
      <w:bookmarkStart w:id="6952" w:name="_Toc49013642"/>
      <w:bookmarkStart w:id="6953" w:name="_Toc49014759"/>
      <w:bookmarkStart w:id="6954" w:name="_Toc49095995"/>
      <w:bookmarkStart w:id="6955" w:name="_Ref47628918"/>
      <w:bookmarkStart w:id="6956" w:name="_Toc52181797"/>
      <w:bookmarkEnd w:id="6863"/>
      <w:bookmarkEnd w:id="6864"/>
      <w:bookmarkEnd w:id="6865"/>
      <w:bookmarkEnd w:id="6866"/>
      <w:bookmarkEnd w:id="6867"/>
      <w:bookmarkEnd w:id="6868"/>
      <w:bookmarkEnd w:id="6869"/>
      <w:bookmarkEnd w:id="6870"/>
      <w:bookmarkEnd w:id="6871"/>
      <w:bookmarkEnd w:id="6872"/>
      <w:bookmarkEnd w:id="6873"/>
      <w:bookmarkEnd w:id="6874"/>
      <w:bookmarkEnd w:id="6875"/>
      <w:bookmarkEnd w:id="6876"/>
      <w:bookmarkEnd w:id="6877"/>
      <w:bookmarkEnd w:id="6878"/>
      <w:bookmarkEnd w:id="6879"/>
      <w:bookmarkEnd w:id="6880"/>
      <w:bookmarkEnd w:id="6881"/>
      <w:bookmarkEnd w:id="6882"/>
      <w:bookmarkEnd w:id="6883"/>
      <w:bookmarkEnd w:id="6884"/>
      <w:bookmarkEnd w:id="6885"/>
      <w:bookmarkEnd w:id="6886"/>
      <w:bookmarkEnd w:id="6887"/>
      <w:bookmarkEnd w:id="6888"/>
      <w:bookmarkEnd w:id="6889"/>
      <w:bookmarkEnd w:id="6890"/>
      <w:bookmarkEnd w:id="6891"/>
      <w:bookmarkEnd w:id="6892"/>
      <w:bookmarkEnd w:id="6893"/>
      <w:bookmarkEnd w:id="6894"/>
      <w:bookmarkEnd w:id="6895"/>
      <w:bookmarkEnd w:id="6896"/>
      <w:bookmarkEnd w:id="6897"/>
      <w:bookmarkEnd w:id="6898"/>
      <w:bookmarkEnd w:id="6899"/>
      <w:bookmarkEnd w:id="6900"/>
      <w:bookmarkEnd w:id="6901"/>
      <w:bookmarkEnd w:id="6902"/>
      <w:bookmarkEnd w:id="6903"/>
      <w:bookmarkEnd w:id="6904"/>
      <w:bookmarkEnd w:id="6905"/>
      <w:bookmarkEnd w:id="6906"/>
      <w:bookmarkEnd w:id="6907"/>
      <w:bookmarkEnd w:id="6908"/>
      <w:bookmarkEnd w:id="6909"/>
      <w:bookmarkEnd w:id="6910"/>
      <w:bookmarkEnd w:id="6911"/>
      <w:bookmarkEnd w:id="6912"/>
      <w:bookmarkEnd w:id="6913"/>
      <w:bookmarkEnd w:id="6914"/>
      <w:bookmarkEnd w:id="6915"/>
      <w:bookmarkEnd w:id="6916"/>
      <w:bookmarkEnd w:id="6917"/>
      <w:bookmarkEnd w:id="6918"/>
      <w:bookmarkEnd w:id="6919"/>
      <w:bookmarkEnd w:id="6920"/>
      <w:bookmarkEnd w:id="6921"/>
      <w:bookmarkEnd w:id="6922"/>
      <w:bookmarkEnd w:id="6923"/>
      <w:bookmarkEnd w:id="6924"/>
      <w:bookmarkEnd w:id="6925"/>
      <w:bookmarkEnd w:id="6926"/>
      <w:bookmarkEnd w:id="6927"/>
      <w:bookmarkEnd w:id="6928"/>
      <w:bookmarkEnd w:id="6929"/>
      <w:bookmarkEnd w:id="6930"/>
      <w:bookmarkEnd w:id="6931"/>
      <w:bookmarkEnd w:id="6932"/>
      <w:bookmarkEnd w:id="6933"/>
      <w:bookmarkEnd w:id="6934"/>
      <w:bookmarkEnd w:id="6935"/>
      <w:bookmarkEnd w:id="6936"/>
      <w:bookmarkEnd w:id="6937"/>
      <w:bookmarkEnd w:id="6938"/>
      <w:bookmarkEnd w:id="6939"/>
      <w:bookmarkEnd w:id="6940"/>
      <w:bookmarkEnd w:id="6941"/>
      <w:bookmarkEnd w:id="6942"/>
      <w:bookmarkEnd w:id="6943"/>
      <w:bookmarkEnd w:id="6944"/>
      <w:bookmarkEnd w:id="6945"/>
      <w:bookmarkEnd w:id="6946"/>
      <w:bookmarkEnd w:id="6947"/>
      <w:bookmarkEnd w:id="6948"/>
      <w:bookmarkEnd w:id="6949"/>
      <w:bookmarkEnd w:id="6950"/>
      <w:bookmarkEnd w:id="6951"/>
      <w:bookmarkEnd w:id="6952"/>
      <w:bookmarkEnd w:id="6953"/>
      <w:bookmarkEnd w:id="6954"/>
      <w:r w:rsidRPr="00A52AB8">
        <w:t xml:space="preserve">Post-reconstruction </w:t>
      </w:r>
      <w:r w:rsidR="006D74F2" w:rsidRPr="00A52AB8">
        <w:t>process</w:t>
      </w:r>
      <w:bookmarkEnd w:id="6862"/>
      <w:bookmarkEnd w:id="6955"/>
      <w:bookmarkEnd w:id="6956"/>
    </w:p>
    <w:p w14:paraId="27081155" w14:textId="0D8FC90C" w:rsidR="006D74F2" w:rsidRPr="00A52AB8" w:rsidRDefault="006D74F2" w:rsidP="00895494">
      <w:pPr>
        <w:pStyle w:val="a3"/>
        <w:numPr>
          <w:ilvl w:val="2"/>
          <w:numId w:val="14"/>
        </w:numPr>
      </w:pPr>
      <w:bookmarkStart w:id="6957" w:name="_Toc52181798"/>
      <w:r w:rsidRPr="00A52AB8">
        <w:t>General</w:t>
      </w:r>
      <w:bookmarkEnd w:id="6957"/>
    </w:p>
    <w:p w14:paraId="6EA73DEE" w14:textId="2BED9362" w:rsidR="00C50E43" w:rsidRPr="00A52AB8" w:rsidRDefault="00C50E43">
      <w:pPr>
        <w:rPr>
          <w:lang w:eastAsia="ja-JP"/>
        </w:rPr>
      </w:pPr>
      <w:r w:rsidRPr="00A52AB8">
        <w:rPr>
          <w:lang w:eastAsia="ja-JP"/>
        </w:rPr>
        <w:t xml:space="preserve">The post-reconstruction process depends on the profiles defined in subclause </w:t>
      </w:r>
      <w:r w:rsidRPr="00496A4D">
        <w:rPr>
          <w:lang w:eastAsia="ja-JP"/>
        </w:rPr>
        <w:fldChar w:fldCharType="begin"/>
      </w:r>
      <w:r w:rsidRPr="00A52AB8">
        <w:rPr>
          <w:lang w:eastAsia="ja-JP"/>
        </w:rPr>
        <w:instrText xml:space="preserve"> REF _Ref49330659 \n \h </w:instrText>
      </w:r>
      <w:r w:rsidR="00007BE2" w:rsidRPr="00A52AB8">
        <w:rPr>
          <w:lang w:eastAsia="ja-JP"/>
        </w:rPr>
        <w:instrText xml:space="preserve"> \* MERGEFORMAT </w:instrText>
      </w:r>
      <w:r w:rsidRPr="00496A4D">
        <w:rPr>
          <w:lang w:eastAsia="ja-JP"/>
        </w:rPr>
      </w:r>
      <w:r w:rsidRPr="00496A4D">
        <w:rPr>
          <w:lang w:eastAsia="ja-JP"/>
        </w:rPr>
        <w:fldChar w:fldCharType="separate"/>
      </w:r>
      <w:r w:rsidR="00507A67">
        <w:rPr>
          <w:lang w:eastAsia="ja-JP"/>
        </w:rPr>
        <w:t>H.15</w:t>
      </w:r>
      <w:r w:rsidRPr="00496A4D">
        <w:rPr>
          <w:lang w:eastAsia="ja-JP"/>
        </w:rPr>
        <w:fldChar w:fldCharType="end"/>
      </w:r>
      <w:r w:rsidRPr="00A52AB8">
        <w:rPr>
          <w:lang w:eastAsia="ja-JP"/>
        </w:rPr>
        <w:t>.</w:t>
      </w:r>
    </w:p>
    <w:p w14:paraId="18061938" w14:textId="21E3D6B7" w:rsidR="00EA5317" w:rsidRPr="00A52AB8" w:rsidRDefault="00FF3180">
      <w:pPr>
        <w:rPr>
          <w:lang w:eastAsia="ja-JP"/>
        </w:rPr>
      </w:pPr>
      <w:r w:rsidRPr="00A52AB8">
        <w:rPr>
          <w:color w:val="000000" w:themeColor="text1"/>
        </w:rPr>
        <w:t xml:space="preserve">The processes described in </w:t>
      </w:r>
      <w:r w:rsidR="00C50E43" w:rsidRPr="00A52AB8">
        <w:rPr>
          <w:color w:val="000000" w:themeColor="text1"/>
        </w:rPr>
        <w:t xml:space="preserve">this </w:t>
      </w:r>
      <w:r w:rsidRPr="00A52AB8">
        <w:rPr>
          <w:color w:val="000000" w:themeColor="text1"/>
        </w:rPr>
        <w:t xml:space="preserve">subclause are invoked for </w:t>
      </w:r>
      <w:r w:rsidR="00263048" w:rsidRPr="00A52AB8">
        <w:t>reconstructed</w:t>
      </w:r>
      <w:r w:rsidRPr="00A52AB8">
        <w:t xml:space="preserve"> </w:t>
      </w:r>
      <w:r w:rsidR="00263048" w:rsidRPr="00A52AB8">
        <w:t>point cloud</w:t>
      </w:r>
      <w:r w:rsidRPr="00A52AB8">
        <w:t xml:space="preserve"> frames</w:t>
      </w:r>
      <w:r w:rsidR="00263048" w:rsidRPr="00A52AB8">
        <w:t xml:space="preserve"> </w:t>
      </w:r>
      <w:r w:rsidRPr="00A52AB8">
        <w:t xml:space="preserve">and syntax elements </w:t>
      </w:r>
      <w:r w:rsidRPr="00A52AB8">
        <w:rPr>
          <w:color w:val="000000" w:themeColor="text1"/>
        </w:rPr>
        <w:t xml:space="preserve">associated </w:t>
      </w:r>
      <w:r w:rsidRPr="00A52AB8">
        <w:t xml:space="preserve">with the same atlas ID, </w:t>
      </w:r>
      <w:r w:rsidRPr="00A52AB8">
        <w:rPr>
          <w:color w:val="000000" w:themeColor="text1"/>
        </w:rPr>
        <w:t xml:space="preserve">identified by a variable </w:t>
      </w:r>
      <w:r w:rsidR="00C53937" w:rsidRPr="00A52AB8">
        <w:rPr>
          <w:color w:val="000000" w:themeColor="text1"/>
        </w:rPr>
        <w:t>postRecAtlasID</w:t>
      </w:r>
      <w:r w:rsidRPr="00A52AB8">
        <w:rPr>
          <w:color w:val="000000" w:themeColor="text1"/>
        </w:rPr>
        <w:t>.</w:t>
      </w:r>
    </w:p>
    <w:p w14:paraId="3D0237C2" w14:textId="67A42983" w:rsidR="006D74F2" w:rsidRPr="00A52AB8" w:rsidRDefault="006D74F2">
      <w:r w:rsidRPr="00A52AB8">
        <w:rPr>
          <w:color w:val="000000" w:themeColor="text1"/>
        </w:rPr>
        <w:t xml:space="preserve">This process is invoked after reconstructing the geometry and attributes </w:t>
      </w:r>
      <w:r w:rsidR="00946373" w:rsidRPr="00A52AB8">
        <w:rPr>
          <w:color w:val="000000" w:themeColor="text1"/>
        </w:rPr>
        <w:t>for the current point cloud frame</w:t>
      </w:r>
      <w:r w:rsidR="00E2576A" w:rsidRPr="00A52AB8">
        <w:rPr>
          <w:color w:val="000000" w:themeColor="text1"/>
        </w:rPr>
        <w:t xml:space="preserve"> with a composition time index compTimeIdx</w:t>
      </w:r>
      <w:r w:rsidRPr="00A52AB8">
        <w:rPr>
          <w:color w:val="000000" w:themeColor="text1"/>
        </w:rPr>
        <w:t>.</w:t>
      </w:r>
      <w:r w:rsidR="00E2576A" w:rsidRPr="00A52AB8">
        <w:rPr>
          <w:color w:val="000000" w:themeColor="text1"/>
        </w:rPr>
        <w:t xml:space="preserve"> This process takes as inputs the syntax </w:t>
      </w:r>
      <w:r w:rsidR="00E2576A" w:rsidRPr="00A52AB8">
        <w:t>elements and upper-case variables from subclauses </w:t>
      </w:r>
      <w:r w:rsidR="00E2576A" w:rsidRPr="00496A4D">
        <w:fldChar w:fldCharType="begin"/>
      </w:r>
      <w:r w:rsidR="00E2576A" w:rsidRPr="00A52AB8">
        <w:instrText xml:space="preserve"> REF _Ref45107375 \r \h  \* MERGEFORMAT </w:instrText>
      </w:r>
      <w:r w:rsidR="00E2576A" w:rsidRPr="00496A4D">
        <w:fldChar w:fldCharType="separate"/>
      </w:r>
      <w:r w:rsidR="00507A67">
        <w:t>H.8</w:t>
      </w:r>
      <w:r w:rsidR="00E2576A" w:rsidRPr="00496A4D">
        <w:fldChar w:fldCharType="end"/>
      </w:r>
      <w:r w:rsidR="00E2576A" w:rsidRPr="00A52AB8">
        <w:t xml:space="preserve">, </w:t>
      </w:r>
      <w:r w:rsidR="00E2576A" w:rsidRPr="00496A4D">
        <w:fldChar w:fldCharType="begin"/>
      </w:r>
      <w:r w:rsidR="00E2576A" w:rsidRPr="00A52AB8">
        <w:instrText xml:space="preserve"> REF _Ref49201538 \n \h </w:instrText>
      </w:r>
      <w:r w:rsidR="00007BE2" w:rsidRPr="00A52AB8">
        <w:instrText xml:space="preserve"> \* MERGEFORMAT </w:instrText>
      </w:r>
      <w:r w:rsidR="00E2576A" w:rsidRPr="00496A4D">
        <w:fldChar w:fldCharType="separate"/>
      </w:r>
      <w:r w:rsidR="00507A67">
        <w:t>H.9</w:t>
      </w:r>
      <w:r w:rsidR="00E2576A" w:rsidRPr="00496A4D">
        <w:fldChar w:fldCharType="end"/>
      </w:r>
      <w:r w:rsidR="00E2576A" w:rsidRPr="00A52AB8">
        <w:t xml:space="preserve">, </w:t>
      </w:r>
      <w:r w:rsidR="00E2576A" w:rsidRPr="00496A4D">
        <w:fldChar w:fldCharType="begin"/>
      </w:r>
      <w:r w:rsidR="00E2576A" w:rsidRPr="00A52AB8">
        <w:instrText xml:space="preserve"> REF _Ref49343853 \r \h </w:instrText>
      </w:r>
      <w:r w:rsidR="00007BE2" w:rsidRPr="00A52AB8">
        <w:instrText xml:space="preserve"> \* MERGEFORMAT </w:instrText>
      </w:r>
      <w:r w:rsidR="00E2576A" w:rsidRPr="00496A4D">
        <w:fldChar w:fldCharType="separate"/>
      </w:r>
      <w:r w:rsidR="00507A67">
        <w:t>H.10</w:t>
      </w:r>
      <w:r w:rsidR="00E2576A" w:rsidRPr="00496A4D">
        <w:fldChar w:fldCharType="end"/>
      </w:r>
      <w:r w:rsidR="00E2576A" w:rsidRPr="00A52AB8">
        <w:t xml:space="preserve">, and </w:t>
      </w:r>
      <w:r w:rsidR="00E2576A" w:rsidRPr="00496A4D">
        <w:fldChar w:fldCharType="begin"/>
      </w:r>
      <w:r w:rsidR="00E2576A" w:rsidRPr="00A52AB8">
        <w:instrText xml:space="preserve"> REF _Ref50371071 \r \h </w:instrText>
      </w:r>
      <w:r w:rsidR="00007BE2" w:rsidRPr="00A52AB8">
        <w:instrText xml:space="preserve"> \* MERGEFORMAT </w:instrText>
      </w:r>
      <w:r w:rsidR="00E2576A" w:rsidRPr="00496A4D">
        <w:fldChar w:fldCharType="separate"/>
      </w:r>
      <w:r w:rsidR="00507A67">
        <w:t>H.11</w:t>
      </w:r>
      <w:r w:rsidR="00E2576A" w:rsidRPr="00496A4D">
        <w:fldChar w:fldCharType="end"/>
      </w:r>
      <w:r w:rsidR="00E2576A" w:rsidRPr="00A52AB8">
        <w:t>, and the following variables and arrays:</w:t>
      </w:r>
    </w:p>
    <w:p w14:paraId="46772BCB" w14:textId="4A0716A8" w:rsidR="006D74F2" w:rsidRPr="00A52AB8" w:rsidRDefault="00CC0CE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403" w:hanging="403"/>
        <w:textAlignment w:val="baseline"/>
        <w:rPr>
          <w:color w:val="000000" w:themeColor="text1"/>
        </w:rPr>
      </w:pPr>
      <w:r w:rsidRPr="00A52AB8">
        <w:rPr>
          <w:color w:val="000000" w:themeColor="text1"/>
        </w:rPr>
        <w:t xml:space="preserve">a variable </w:t>
      </w:r>
      <w:r w:rsidR="006D74F2" w:rsidRPr="00A52AB8">
        <w:rPr>
          <w:color w:val="000000" w:themeColor="text1"/>
        </w:rPr>
        <w:t xml:space="preserve">pointCnt, </w:t>
      </w:r>
      <w:r w:rsidRPr="00A52AB8">
        <w:rPr>
          <w:color w:val="000000" w:themeColor="text1"/>
        </w:rPr>
        <w:t xml:space="preserve">specifying </w:t>
      </w:r>
      <w:r w:rsidR="006D74F2" w:rsidRPr="00A52AB8">
        <w:rPr>
          <w:color w:val="000000" w:themeColor="text1"/>
        </w:rPr>
        <w:t>the number of reconstructed points</w:t>
      </w:r>
      <w:r w:rsidR="001F27A6" w:rsidRPr="00A52AB8">
        <w:rPr>
          <w:color w:val="000000" w:themeColor="text1"/>
        </w:rPr>
        <w:t xml:space="preserve"> for </w:t>
      </w:r>
      <w:r w:rsidR="00946373" w:rsidRPr="00A52AB8">
        <w:rPr>
          <w:color w:val="000000" w:themeColor="text1"/>
        </w:rPr>
        <w:t xml:space="preserve">the current point cloud frame </w:t>
      </w:r>
      <w:r w:rsidR="0056031F" w:rsidRPr="00A52AB8">
        <w:rPr>
          <w:color w:val="000000" w:themeColor="text1"/>
        </w:rPr>
        <w:t xml:space="preserve">associated with </w:t>
      </w:r>
      <w:r w:rsidR="00946373" w:rsidRPr="00A52AB8">
        <w:rPr>
          <w:color w:val="000000" w:themeColor="text1"/>
        </w:rPr>
        <w:t xml:space="preserve">the current </w:t>
      </w:r>
      <w:r w:rsidR="008374D7" w:rsidRPr="00A52AB8">
        <w:rPr>
          <w:color w:val="000000" w:themeColor="text1"/>
        </w:rPr>
        <w:t>atlas</w:t>
      </w:r>
      <w:r w:rsidR="006D74F2" w:rsidRPr="00A52AB8">
        <w:rPr>
          <w:color w:val="000000" w:themeColor="text1"/>
        </w:rPr>
        <w:t>,</w:t>
      </w:r>
    </w:p>
    <w:p w14:paraId="64D7E94E" w14:textId="0D27F538" w:rsidR="00110B7C" w:rsidRPr="00A52AB8" w:rsidRDefault="00CC0CE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403" w:hanging="403"/>
        <w:textAlignment w:val="baseline"/>
        <w:rPr>
          <w:color w:val="000000" w:themeColor="text1"/>
        </w:rPr>
      </w:pPr>
      <w:r w:rsidRPr="00A52AB8">
        <w:rPr>
          <w:color w:val="000000" w:themeColor="text1"/>
        </w:rPr>
        <w:t xml:space="preserve">a 1D array </w:t>
      </w:r>
      <w:r w:rsidR="00110B7C" w:rsidRPr="00A52AB8">
        <w:rPr>
          <w:color w:val="000000" w:themeColor="text1"/>
        </w:rPr>
        <w:t xml:space="preserve">attrBitDepth, </w:t>
      </w:r>
      <w:r w:rsidRPr="00A52AB8">
        <w:rPr>
          <w:color w:val="000000" w:themeColor="text1"/>
        </w:rPr>
        <w:t xml:space="preserve">of size ai_attribute_count[ PostRecAtlasID ], specifying </w:t>
      </w:r>
      <w:r w:rsidR="00110B7C" w:rsidRPr="00A52AB8">
        <w:rPr>
          <w:color w:val="000000" w:themeColor="text1"/>
        </w:rPr>
        <w:t>the nominal bit depth,</w:t>
      </w:r>
    </w:p>
    <w:p w14:paraId="0457D3C3" w14:textId="1469DC8C" w:rsidR="00946373" w:rsidRPr="00A52AB8" w:rsidRDefault="00CC0CE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403" w:hanging="403"/>
        <w:textAlignment w:val="baseline"/>
        <w:rPr>
          <w:color w:val="000000" w:themeColor="text1"/>
        </w:rPr>
      </w:pPr>
      <w:r w:rsidRPr="00A52AB8">
        <w:rPr>
          <w:color w:val="000000" w:themeColor="text1"/>
        </w:rPr>
        <w:t xml:space="preserve">a 2D array </w:t>
      </w:r>
      <w:r w:rsidR="00946373" w:rsidRPr="00A52AB8">
        <w:rPr>
          <w:color w:val="000000" w:themeColor="text1"/>
        </w:rPr>
        <w:t xml:space="preserve">oFrame, </w:t>
      </w:r>
      <w:r w:rsidRPr="00A52AB8">
        <w:rPr>
          <w:color w:val="000000" w:themeColor="text1"/>
        </w:rPr>
        <w:t xml:space="preserve">of size </w:t>
      </w:r>
      <w:r w:rsidR="00946373" w:rsidRPr="00A52AB8">
        <w:rPr>
          <w:color w:val="000000" w:themeColor="text1"/>
        </w:rPr>
        <w:t>asps_frame_height </w:t>
      </w:r>
      <w:r w:rsidRPr="00A52AB8">
        <w:rPr>
          <w:color w:val="000000" w:themeColor="text1"/>
        </w:rPr>
        <w:t>× </w:t>
      </w:r>
      <w:r w:rsidR="00946373" w:rsidRPr="00A52AB8">
        <w:rPr>
          <w:color w:val="000000" w:themeColor="text1"/>
        </w:rPr>
        <w:t xml:space="preserve">asps_frame_width, </w:t>
      </w:r>
      <w:r w:rsidRPr="00A52AB8">
        <w:rPr>
          <w:color w:val="000000" w:themeColor="text1"/>
        </w:rPr>
        <w:t xml:space="preserve">specifying </w:t>
      </w:r>
      <w:r w:rsidR="00946373" w:rsidRPr="00A52AB8">
        <w:rPr>
          <w:color w:val="000000" w:themeColor="text1"/>
        </w:rPr>
        <w:t>the occupancy frame, at the nominal resolution, corresponding to the current point cloud frame,</w:t>
      </w:r>
    </w:p>
    <w:p w14:paraId="38639F4E" w14:textId="7C567C17" w:rsidR="006D74F2" w:rsidRPr="00A52AB8" w:rsidRDefault="00CC0CE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403" w:hanging="403"/>
        <w:textAlignment w:val="baseline"/>
        <w:rPr>
          <w:color w:val="000000" w:themeColor="text1"/>
        </w:rPr>
      </w:pPr>
      <w:r w:rsidRPr="00A52AB8">
        <w:rPr>
          <w:color w:val="000000" w:themeColor="text1"/>
        </w:rPr>
        <w:t xml:space="preserve">a 2D array </w:t>
      </w:r>
      <w:r w:rsidR="006D74F2" w:rsidRPr="00A52AB8">
        <w:rPr>
          <w:color w:val="000000" w:themeColor="text1"/>
        </w:rPr>
        <w:t xml:space="preserve">recPcGeo, </w:t>
      </w:r>
      <w:r w:rsidRPr="00A52AB8">
        <w:rPr>
          <w:color w:val="000000" w:themeColor="text1"/>
        </w:rPr>
        <w:t xml:space="preserve">of size </w:t>
      </w:r>
      <w:r w:rsidR="006D74F2" w:rsidRPr="00A52AB8">
        <w:rPr>
          <w:color w:val="000000" w:themeColor="text1"/>
        </w:rPr>
        <w:t>pointCnt</w:t>
      </w:r>
      <w:r w:rsidRPr="00A52AB8">
        <w:rPr>
          <w:color w:val="000000" w:themeColor="text1"/>
        </w:rPr>
        <w:t> × 3</w:t>
      </w:r>
      <w:r w:rsidR="006D74F2" w:rsidRPr="00A52AB8">
        <w:rPr>
          <w:color w:val="000000" w:themeColor="text1"/>
        </w:rPr>
        <w:t xml:space="preserve">, </w:t>
      </w:r>
      <w:r w:rsidRPr="00A52AB8">
        <w:rPr>
          <w:color w:val="000000" w:themeColor="text1"/>
        </w:rPr>
        <w:t>specifying the</w:t>
      </w:r>
      <w:r w:rsidR="00EA5317" w:rsidRPr="00A52AB8">
        <w:rPr>
          <w:color w:val="000000" w:themeColor="text1"/>
        </w:rPr>
        <w:t xml:space="preserve"> geometry </w:t>
      </w:r>
      <w:r w:rsidR="00946373" w:rsidRPr="00A52AB8">
        <w:rPr>
          <w:color w:val="000000" w:themeColor="text1"/>
        </w:rPr>
        <w:t xml:space="preserve">positions of </w:t>
      </w:r>
      <w:r w:rsidR="00EA5317" w:rsidRPr="00A52AB8">
        <w:rPr>
          <w:color w:val="000000" w:themeColor="text1"/>
        </w:rPr>
        <w:t xml:space="preserve">the </w:t>
      </w:r>
      <w:r w:rsidR="00946373" w:rsidRPr="00A52AB8">
        <w:rPr>
          <w:color w:val="000000" w:themeColor="text1"/>
        </w:rPr>
        <w:t>points in the current reconstructed point cloud frame</w:t>
      </w:r>
      <w:r w:rsidR="006D74F2" w:rsidRPr="00A52AB8">
        <w:rPr>
          <w:color w:val="000000" w:themeColor="text1"/>
        </w:rPr>
        <w:t>, and</w:t>
      </w:r>
    </w:p>
    <w:p w14:paraId="60E34767" w14:textId="3BF42D00" w:rsidR="006D74F2" w:rsidRPr="00A52AB8" w:rsidRDefault="00CC0CE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403" w:hanging="403"/>
        <w:textAlignment w:val="baseline"/>
        <w:rPr>
          <w:color w:val="000000" w:themeColor="text1"/>
        </w:rPr>
      </w:pPr>
      <w:r w:rsidRPr="00A52AB8">
        <w:rPr>
          <w:color w:val="000000" w:themeColor="text1"/>
        </w:rPr>
        <w:t xml:space="preserve">a 3D array </w:t>
      </w:r>
      <w:r w:rsidR="006D74F2" w:rsidRPr="00A52AB8">
        <w:rPr>
          <w:color w:val="000000" w:themeColor="text1"/>
        </w:rPr>
        <w:t>recP</w:t>
      </w:r>
      <w:r w:rsidR="00EE3111" w:rsidRPr="00A52AB8">
        <w:rPr>
          <w:color w:val="000000" w:themeColor="text1"/>
        </w:rPr>
        <w:t>c</w:t>
      </w:r>
      <w:r w:rsidR="006D74F2" w:rsidRPr="00A52AB8">
        <w:rPr>
          <w:color w:val="000000" w:themeColor="text1"/>
        </w:rPr>
        <w:t xml:space="preserve">Attr, </w:t>
      </w:r>
      <w:r w:rsidRPr="00A52AB8">
        <w:rPr>
          <w:color w:val="000000" w:themeColor="text1"/>
        </w:rPr>
        <w:t>of size poinCnt × </w:t>
      </w:r>
      <w:r w:rsidR="006D74F2" w:rsidRPr="00A52AB8">
        <w:rPr>
          <w:color w:val="000000" w:themeColor="text1"/>
        </w:rPr>
        <w:t>ai_attribute_count[ </w:t>
      </w:r>
      <w:r w:rsidR="00C53937" w:rsidRPr="00A52AB8">
        <w:rPr>
          <w:color w:val="000000" w:themeColor="text1"/>
        </w:rPr>
        <w:t>PostRecAtlasID</w:t>
      </w:r>
      <w:r w:rsidR="006D74F2" w:rsidRPr="00A52AB8">
        <w:rPr>
          <w:color w:val="000000" w:themeColor="text1"/>
        </w:rPr>
        <w:t> ]</w:t>
      </w:r>
      <w:r w:rsidRPr="00A52AB8">
        <w:rPr>
          <w:color w:val="000000" w:themeColor="text1"/>
        </w:rPr>
        <w:t> × ( </w:t>
      </w:r>
      <w:r w:rsidR="006D74F2" w:rsidRPr="00A52AB8">
        <w:rPr>
          <w:color w:val="000000" w:themeColor="text1"/>
        </w:rPr>
        <w:t>ai_attribute_dimension_minus1[ </w:t>
      </w:r>
      <w:r w:rsidR="00C53937" w:rsidRPr="00A52AB8">
        <w:rPr>
          <w:color w:val="000000" w:themeColor="text1"/>
        </w:rPr>
        <w:t>PostRecAtlasID</w:t>
      </w:r>
      <w:r w:rsidR="006D74F2" w:rsidRPr="00A52AB8">
        <w:rPr>
          <w:color w:val="000000" w:themeColor="text1"/>
        </w:rPr>
        <w:t> ]</w:t>
      </w:r>
      <w:r w:rsidRPr="00A52AB8">
        <w:rPr>
          <w:color w:val="000000" w:themeColor="text1"/>
        </w:rPr>
        <w:t> + 1 )</w:t>
      </w:r>
      <w:r w:rsidR="006D74F2" w:rsidRPr="00A52AB8">
        <w:rPr>
          <w:color w:val="000000" w:themeColor="text1"/>
        </w:rPr>
        <w:t>,</w:t>
      </w:r>
      <w:r w:rsidRPr="00A52AB8">
        <w:rPr>
          <w:color w:val="000000" w:themeColor="text1"/>
        </w:rPr>
        <w:t xml:space="preserve"> specifying</w:t>
      </w:r>
      <w:r w:rsidR="006D74F2" w:rsidRPr="00A52AB8">
        <w:rPr>
          <w:color w:val="000000" w:themeColor="text1"/>
        </w:rPr>
        <w:t xml:space="preserve"> the reconstructed attributes</w:t>
      </w:r>
      <w:r w:rsidR="00946373" w:rsidRPr="00A52AB8">
        <w:rPr>
          <w:color w:val="000000" w:themeColor="text1"/>
        </w:rPr>
        <w:t xml:space="preserve"> for the current reconstructed point cloud frame</w:t>
      </w:r>
      <w:r w:rsidR="006D74F2" w:rsidRPr="00A52AB8">
        <w:rPr>
          <w:color w:val="000000" w:themeColor="text1"/>
        </w:rPr>
        <w:t>.</w:t>
      </w:r>
    </w:p>
    <w:p w14:paraId="0A3732FB" w14:textId="77777777" w:rsidR="006D74F2" w:rsidRPr="00A52AB8" w:rsidRDefault="006D74F2" w:rsidP="00007BE2">
      <w:pPr>
        <w:rPr>
          <w:color w:val="000000" w:themeColor="text1"/>
        </w:rPr>
      </w:pPr>
      <w:r w:rsidRPr="00A52AB8">
        <w:rPr>
          <w:color w:val="000000" w:themeColor="text1"/>
        </w:rPr>
        <w:t>The outputs of this process are:</w:t>
      </w:r>
    </w:p>
    <w:p w14:paraId="09F0C771" w14:textId="0FC972B2" w:rsidR="0050235C" w:rsidRPr="00A52AB8" w:rsidRDefault="00CC0CE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403" w:hanging="403"/>
        <w:textAlignment w:val="baseline"/>
        <w:rPr>
          <w:color w:val="000000" w:themeColor="text1"/>
        </w:rPr>
      </w:pPr>
      <w:r w:rsidRPr="00A52AB8">
        <w:rPr>
          <w:color w:val="000000" w:themeColor="text1"/>
        </w:rPr>
        <w:t xml:space="preserve">the 2D array </w:t>
      </w:r>
      <w:r w:rsidR="00946373" w:rsidRPr="00A52AB8">
        <w:rPr>
          <w:color w:val="000000" w:themeColor="text1"/>
        </w:rPr>
        <w:t>recPcGeo, possibly modified by application of geometry smoothing, and</w:t>
      </w:r>
    </w:p>
    <w:p w14:paraId="090BC5DF" w14:textId="6A9077A1" w:rsidR="006D74F2" w:rsidRPr="00A52AB8" w:rsidRDefault="00CC0CE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403" w:hanging="403"/>
        <w:textAlignment w:val="baseline"/>
        <w:rPr>
          <w:color w:val="000000" w:themeColor="text1"/>
        </w:rPr>
      </w:pPr>
      <w:r w:rsidRPr="00A52AB8">
        <w:rPr>
          <w:color w:val="000000" w:themeColor="text1"/>
        </w:rPr>
        <w:t xml:space="preserve">the 3D array </w:t>
      </w:r>
      <w:r w:rsidR="006D74F2" w:rsidRPr="00A52AB8">
        <w:rPr>
          <w:color w:val="000000" w:themeColor="text1"/>
        </w:rPr>
        <w:t>recPcAttr</w:t>
      </w:r>
      <w:r w:rsidR="00946373" w:rsidRPr="00A52AB8">
        <w:rPr>
          <w:color w:val="000000" w:themeColor="text1"/>
        </w:rPr>
        <w:t xml:space="preserve">, possibly modified by the application of </w:t>
      </w:r>
      <w:r w:rsidR="000B24FC" w:rsidRPr="00A52AB8">
        <w:rPr>
          <w:color w:val="000000" w:themeColor="text1"/>
        </w:rPr>
        <w:t xml:space="preserve">attribute </w:t>
      </w:r>
      <w:r w:rsidR="00946373" w:rsidRPr="00A52AB8">
        <w:rPr>
          <w:color w:val="000000" w:themeColor="text1"/>
        </w:rPr>
        <w:t>smoothing.</w:t>
      </w:r>
    </w:p>
    <w:p w14:paraId="23B2A407" w14:textId="77777777" w:rsidR="006D74F2" w:rsidRPr="00A52AB8" w:rsidRDefault="006D74F2" w:rsidP="00007BE2">
      <w:pPr>
        <w:rPr>
          <w:color w:val="000000" w:themeColor="text1"/>
        </w:rPr>
      </w:pPr>
      <w:r w:rsidRPr="00A52AB8">
        <w:rPr>
          <w:color w:val="000000" w:themeColor="text1"/>
        </w:rPr>
        <w:t>The following ordered steps apply:</w:t>
      </w:r>
    </w:p>
    <w:p w14:paraId="11C74F80" w14:textId="5EC7A490" w:rsidR="00987407" w:rsidRPr="00A52AB8" w:rsidRDefault="00987407" w:rsidP="00987407">
      <w:pPr>
        <w:pStyle w:val="ListParagraph"/>
        <w:numPr>
          <w:ilvl w:val="0"/>
          <w:numId w:val="213"/>
        </w:numPr>
        <w:spacing w:before="136" w:after="0"/>
        <w:ind w:leftChars="0"/>
        <w:rPr>
          <w:color w:val="000000" w:themeColor="text1"/>
        </w:rPr>
      </w:pPr>
      <w:r w:rsidRPr="00A52AB8">
        <w:rPr>
          <w:color w:val="000000" w:themeColor="text1"/>
        </w:rPr>
        <w:t xml:space="preserve">Two 1D arrays, isBoundaryPoint and isModifiedPoint, of size pointCnt, are initialized to 0. isBoundaryPoint specifies whether the reconstructed points lie on or near </w:t>
      </w:r>
      <w:r w:rsidR="0028776C" w:rsidRPr="00A52AB8">
        <w:rPr>
          <w:color w:val="000000" w:themeColor="text1"/>
        </w:rPr>
        <w:t xml:space="preserve">a </w:t>
      </w:r>
      <w:r w:rsidRPr="00A52AB8">
        <w:rPr>
          <w:color w:val="000000" w:themeColor="text1"/>
        </w:rPr>
        <w:t>patch boundary on the atlas. isModifiedPoint specifies whether the reconstructed points were modified by geometry smoothing.</w:t>
      </w:r>
    </w:p>
    <w:p w14:paraId="434F7212" w14:textId="729CDEE3" w:rsidR="00946373" w:rsidRPr="00A52AB8" w:rsidRDefault="00C53937">
      <w:pPr>
        <w:pStyle w:val="ListParagraph"/>
        <w:numPr>
          <w:ilvl w:val="0"/>
          <w:numId w:val="213"/>
        </w:numPr>
        <w:spacing w:before="136" w:after="0"/>
        <w:ind w:leftChars="0"/>
        <w:rPr>
          <w:color w:val="000000" w:themeColor="text1"/>
        </w:rPr>
      </w:pPr>
      <w:r w:rsidRPr="00A52AB8">
        <w:rPr>
          <w:color w:val="000000" w:themeColor="text1"/>
        </w:rPr>
        <w:t xml:space="preserve">If the point cloud reconstruction system has selected to use the m-th geometry smoothing instance for performing geometry smoothing operations during point cloud reconstruction and </w:t>
      </w:r>
      <w:r w:rsidR="00F31BD3" w:rsidRPr="00A52AB8">
        <w:rPr>
          <w:color w:val="000000" w:themeColor="text1"/>
        </w:rPr>
        <w:t xml:space="preserve">the bitstream contains a geometry smoothing SEI message with </w:t>
      </w:r>
      <w:r w:rsidRPr="00A52AB8">
        <w:t>gs_method_type[ m ] equal to 1</w:t>
      </w:r>
      <w:r w:rsidR="00E2576A" w:rsidRPr="00A52AB8">
        <w:t xml:space="preserve"> </w:t>
      </w:r>
      <w:r w:rsidR="00E2576A" w:rsidRPr="00A52AB8">
        <w:rPr>
          <w:color w:val="000000" w:themeColor="text1"/>
        </w:rPr>
        <w:t>at the time instance compTimeIdx</w:t>
      </w:r>
      <w:r w:rsidRPr="00A52AB8">
        <w:rPr>
          <w:color w:val="000000" w:themeColor="text1"/>
        </w:rPr>
        <w:t>,</w:t>
      </w:r>
      <w:r w:rsidR="006D74F2" w:rsidRPr="00A52AB8">
        <w:rPr>
          <w:color w:val="000000" w:themeColor="text1"/>
        </w:rPr>
        <w:t xml:space="preserve"> </w:t>
      </w:r>
      <w:r w:rsidR="00744D39" w:rsidRPr="00A52AB8">
        <w:rPr>
          <w:color w:val="000000" w:themeColor="text1"/>
        </w:rPr>
        <w:t>subclause</w:t>
      </w:r>
      <w:r w:rsidR="006D74F2" w:rsidRPr="00A52AB8">
        <w:rPr>
          <w:color w:val="000000" w:themeColor="text1"/>
        </w:rPr>
        <w:t xml:space="preserve"> </w:t>
      </w:r>
      <w:r w:rsidR="006F581A" w:rsidRPr="00496A4D">
        <w:rPr>
          <w:color w:val="000000" w:themeColor="text1"/>
        </w:rPr>
        <w:fldChar w:fldCharType="begin"/>
      </w:r>
      <w:r w:rsidR="006F581A" w:rsidRPr="00A52AB8">
        <w:rPr>
          <w:color w:val="000000" w:themeColor="text1"/>
        </w:rPr>
        <w:instrText xml:space="preserve"> REF _Ref39773040 \r \h </w:instrText>
      </w:r>
      <w:r w:rsidR="00CA5401" w:rsidRPr="00A52AB8">
        <w:rPr>
          <w:color w:val="000000" w:themeColor="text1"/>
        </w:rPr>
        <w:instrText xml:space="preserve"> \* MERGEFORMAT </w:instrText>
      </w:r>
      <w:r w:rsidR="006F581A" w:rsidRPr="00496A4D">
        <w:rPr>
          <w:color w:val="000000" w:themeColor="text1"/>
        </w:rPr>
      </w:r>
      <w:r w:rsidR="006F581A" w:rsidRPr="00496A4D">
        <w:rPr>
          <w:color w:val="000000" w:themeColor="text1"/>
        </w:rPr>
        <w:fldChar w:fldCharType="separate"/>
      </w:r>
      <w:r w:rsidR="00507A67">
        <w:rPr>
          <w:color w:val="000000" w:themeColor="text1"/>
        </w:rPr>
        <w:t>H.12.2</w:t>
      </w:r>
      <w:r w:rsidR="006F581A" w:rsidRPr="00496A4D">
        <w:rPr>
          <w:color w:val="000000" w:themeColor="text1"/>
        </w:rPr>
        <w:fldChar w:fldCharType="end"/>
      </w:r>
      <w:r w:rsidR="006D74F2" w:rsidRPr="00A52AB8">
        <w:rPr>
          <w:color w:val="000000" w:themeColor="text1"/>
        </w:rPr>
        <w:t xml:space="preserve"> is invoked</w:t>
      </w:r>
      <w:r w:rsidR="00946373" w:rsidRPr="00A52AB8">
        <w:rPr>
          <w:color w:val="000000" w:themeColor="text1"/>
        </w:rPr>
        <w:t xml:space="preserve"> with </w:t>
      </w:r>
      <w:r w:rsidR="00F51A0E" w:rsidRPr="00A52AB8">
        <w:rPr>
          <w:color w:val="000000" w:themeColor="text1"/>
        </w:rPr>
        <w:t xml:space="preserve">variables </w:t>
      </w:r>
      <w:r w:rsidR="00946373" w:rsidRPr="00A52AB8">
        <w:rPr>
          <w:color w:val="000000" w:themeColor="text1"/>
        </w:rPr>
        <w:t xml:space="preserve">pointCnt, </w:t>
      </w:r>
      <w:r w:rsidR="00EA5317" w:rsidRPr="00A52AB8">
        <w:rPr>
          <w:color w:val="000000" w:themeColor="text1"/>
        </w:rPr>
        <w:t xml:space="preserve">gs_method_type_index, </w:t>
      </w:r>
      <w:r w:rsidR="00946373" w:rsidRPr="00A52AB8">
        <w:rPr>
          <w:color w:val="000000" w:themeColor="text1"/>
        </w:rPr>
        <w:t xml:space="preserve">m, </w:t>
      </w:r>
      <w:r w:rsidR="00670C71" w:rsidRPr="00A52AB8">
        <w:rPr>
          <w:color w:val="000000" w:themeColor="text1"/>
        </w:rPr>
        <w:t xml:space="preserve">and </w:t>
      </w:r>
      <w:r w:rsidR="00F51A0E" w:rsidRPr="00A52AB8">
        <w:rPr>
          <w:color w:val="000000" w:themeColor="text1"/>
        </w:rPr>
        <w:t xml:space="preserve">arrays </w:t>
      </w:r>
      <w:r w:rsidR="00946373" w:rsidRPr="00A52AB8">
        <w:rPr>
          <w:color w:val="000000" w:themeColor="text1"/>
        </w:rPr>
        <w:t>oFrame, recPcGeo</w:t>
      </w:r>
      <w:r w:rsidR="00743539" w:rsidRPr="00A52AB8">
        <w:rPr>
          <w:color w:val="000000" w:themeColor="text1"/>
        </w:rPr>
        <w:t>, and pointToPatch</w:t>
      </w:r>
      <w:r w:rsidR="00F51A0E" w:rsidRPr="00A52AB8">
        <w:rPr>
          <w:color w:val="000000" w:themeColor="text1"/>
        </w:rPr>
        <w:t xml:space="preserve"> </w:t>
      </w:r>
      <w:r w:rsidR="00946373" w:rsidRPr="00A52AB8">
        <w:rPr>
          <w:color w:val="000000" w:themeColor="text1"/>
        </w:rPr>
        <w:t>as inputs</w:t>
      </w:r>
      <w:r w:rsidR="00EA5317" w:rsidRPr="00A52AB8">
        <w:rPr>
          <w:color w:val="000000" w:themeColor="text1"/>
        </w:rPr>
        <w:t>.</w:t>
      </w:r>
      <w:r w:rsidR="00946373" w:rsidRPr="00A52AB8">
        <w:rPr>
          <w:color w:val="000000" w:themeColor="text1"/>
        </w:rPr>
        <w:t xml:space="preserve"> </w:t>
      </w:r>
      <w:r w:rsidR="00EA5317" w:rsidRPr="00A52AB8">
        <w:rPr>
          <w:color w:val="000000" w:themeColor="text1"/>
        </w:rPr>
        <w:t>T</w:t>
      </w:r>
      <w:r w:rsidR="00946373" w:rsidRPr="00A52AB8">
        <w:rPr>
          <w:color w:val="000000" w:themeColor="text1"/>
        </w:rPr>
        <w:t>he outputs of th</w:t>
      </w:r>
      <w:r w:rsidR="00EA5317" w:rsidRPr="00A52AB8">
        <w:rPr>
          <w:color w:val="000000" w:themeColor="text1"/>
        </w:rPr>
        <w:t>is</w:t>
      </w:r>
      <w:r w:rsidR="00946373" w:rsidRPr="00A52AB8">
        <w:rPr>
          <w:color w:val="000000" w:themeColor="text1"/>
        </w:rPr>
        <w:t xml:space="preserve"> process are </w:t>
      </w:r>
      <w:r w:rsidR="00F51A0E" w:rsidRPr="00A52AB8">
        <w:rPr>
          <w:color w:val="000000" w:themeColor="text1"/>
        </w:rPr>
        <w:t xml:space="preserve">the array </w:t>
      </w:r>
      <w:r w:rsidR="00946373" w:rsidRPr="00A52AB8">
        <w:rPr>
          <w:color w:val="000000" w:themeColor="text1"/>
        </w:rPr>
        <w:t>recPcGeo</w:t>
      </w:r>
      <w:r w:rsidR="00EA5317" w:rsidRPr="00A52AB8">
        <w:rPr>
          <w:color w:val="000000" w:themeColor="text1"/>
        </w:rPr>
        <w:t>Smooth</w:t>
      </w:r>
      <w:r w:rsidR="00946373" w:rsidRPr="00A52AB8">
        <w:rPr>
          <w:color w:val="000000" w:themeColor="text1"/>
        </w:rPr>
        <w:t xml:space="preserve">, </w:t>
      </w:r>
      <w:r w:rsidR="00EA5317" w:rsidRPr="00A52AB8">
        <w:rPr>
          <w:color w:val="000000" w:themeColor="text1"/>
        </w:rPr>
        <w:t xml:space="preserve">which contains the updated </w:t>
      </w:r>
      <w:r w:rsidR="00946373" w:rsidRPr="00A52AB8">
        <w:rPr>
          <w:color w:val="000000" w:themeColor="text1"/>
        </w:rPr>
        <w:t>positions of the points in the current reconstructed point cloud frame after geometry smoothing</w:t>
      </w:r>
      <w:r w:rsidR="00670C71" w:rsidRPr="00A52AB8">
        <w:rPr>
          <w:color w:val="000000" w:themeColor="text1"/>
        </w:rPr>
        <w:t>,</w:t>
      </w:r>
      <w:r w:rsidR="00946373" w:rsidRPr="00A52AB8">
        <w:rPr>
          <w:color w:val="000000" w:themeColor="text1"/>
        </w:rPr>
        <w:t xml:space="preserve"> and </w:t>
      </w:r>
      <w:r w:rsidR="00A46584" w:rsidRPr="00A52AB8">
        <w:rPr>
          <w:color w:val="000000" w:themeColor="text1"/>
        </w:rPr>
        <w:t xml:space="preserve">the updated arrays isBoundaryPoint, and </w:t>
      </w:r>
      <w:r w:rsidR="00EA5317" w:rsidRPr="00A52AB8">
        <w:rPr>
          <w:color w:val="000000" w:themeColor="text1"/>
        </w:rPr>
        <w:t>is</w:t>
      </w:r>
      <w:r w:rsidR="00A46584" w:rsidRPr="00A52AB8">
        <w:rPr>
          <w:color w:val="000000" w:themeColor="text1"/>
        </w:rPr>
        <w:t>Modified</w:t>
      </w:r>
      <w:r w:rsidR="00EA5317" w:rsidRPr="00A52AB8">
        <w:rPr>
          <w:color w:val="000000" w:themeColor="text1"/>
        </w:rPr>
        <w:t>Point</w:t>
      </w:r>
      <w:r w:rsidR="00946373" w:rsidRPr="00A52AB8">
        <w:rPr>
          <w:color w:val="000000" w:themeColor="text1"/>
        </w:rPr>
        <w:t>.</w:t>
      </w:r>
    </w:p>
    <w:p w14:paraId="43F9605D" w14:textId="5BF254F7" w:rsidR="00E843DD" w:rsidRPr="00A52AB8" w:rsidRDefault="006D74F2" w:rsidP="00EA5317">
      <w:pPr>
        <w:pStyle w:val="ListParagraph"/>
        <w:numPr>
          <w:ilvl w:val="0"/>
          <w:numId w:val="213"/>
        </w:numPr>
        <w:spacing w:before="136" w:after="0"/>
        <w:ind w:leftChars="0"/>
        <w:rPr>
          <w:color w:val="000000" w:themeColor="text1"/>
        </w:rPr>
      </w:pPr>
      <w:r w:rsidRPr="00A52AB8">
        <w:rPr>
          <w:color w:val="000000" w:themeColor="text1"/>
        </w:rPr>
        <w:t xml:space="preserve">If the point cloud reconstruction system has selected to use the </w:t>
      </w:r>
      <w:r w:rsidR="00117415" w:rsidRPr="00A52AB8">
        <w:rPr>
          <w:color w:val="000000" w:themeColor="text1"/>
        </w:rPr>
        <w:t>m</w:t>
      </w:r>
      <w:r w:rsidRPr="00A52AB8">
        <w:rPr>
          <w:color w:val="000000" w:themeColor="text1"/>
        </w:rPr>
        <w:t xml:space="preserve">-th geometry smoothing instance for which </w:t>
      </w:r>
      <w:r w:rsidR="00AA6B7F" w:rsidRPr="00A52AB8">
        <w:t>gs_</w:t>
      </w:r>
      <w:r w:rsidR="0006494C" w:rsidRPr="00A52AB8">
        <w:t>method_type</w:t>
      </w:r>
      <w:r w:rsidRPr="00A52AB8">
        <w:t>[ </w:t>
      </w:r>
      <w:r w:rsidR="00117415" w:rsidRPr="00A52AB8">
        <w:t>m </w:t>
      </w:r>
      <w:r w:rsidRPr="00A52AB8">
        <w:t>] is greater than 0</w:t>
      </w:r>
      <w:r w:rsidR="00E2576A" w:rsidRPr="00A52AB8">
        <w:t xml:space="preserve"> </w:t>
      </w:r>
      <w:r w:rsidR="00E2576A" w:rsidRPr="00A52AB8">
        <w:rPr>
          <w:color w:val="000000" w:themeColor="text1"/>
        </w:rPr>
        <w:t>at the time instance compTimeIdx</w:t>
      </w:r>
      <w:r w:rsidRPr="00A52AB8">
        <w:rPr>
          <w:color w:val="000000" w:themeColor="text1"/>
        </w:rPr>
        <w:t xml:space="preserve">, </w:t>
      </w:r>
      <w:r w:rsidR="00117415" w:rsidRPr="00A52AB8">
        <w:rPr>
          <w:color w:val="000000" w:themeColor="text1"/>
        </w:rPr>
        <w:t xml:space="preserve">the </w:t>
      </w:r>
      <w:r w:rsidRPr="00A52AB8">
        <w:rPr>
          <w:color w:val="000000" w:themeColor="text1"/>
        </w:rPr>
        <w:t xml:space="preserve">attribute transfer </w:t>
      </w:r>
      <w:r w:rsidR="00117415" w:rsidRPr="00A52AB8">
        <w:rPr>
          <w:color w:val="000000" w:themeColor="text1"/>
        </w:rPr>
        <w:t xml:space="preserve">process </w:t>
      </w:r>
      <w:r w:rsidRPr="00A52AB8">
        <w:rPr>
          <w:color w:val="000000" w:themeColor="text1"/>
        </w:rPr>
        <w:t xml:space="preserve">as specified in </w:t>
      </w:r>
      <w:r w:rsidR="00744D39" w:rsidRPr="00A52AB8">
        <w:rPr>
          <w:color w:val="000000" w:themeColor="text1"/>
        </w:rPr>
        <w:t>subclause</w:t>
      </w:r>
      <w:r w:rsidRPr="00A52AB8">
        <w:rPr>
          <w:color w:val="000000" w:themeColor="text1"/>
        </w:rPr>
        <w:t xml:space="preserve"> </w:t>
      </w:r>
      <w:r w:rsidR="00117415" w:rsidRPr="00496A4D">
        <w:rPr>
          <w:color w:val="000000" w:themeColor="text1"/>
        </w:rPr>
        <w:fldChar w:fldCharType="begin"/>
      </w:r>
      <w:r w:rsidR="00117415" w:rsidRPr="00A52AB8">
        <w:rPr>
          <w:color w:val="000000" w:themeColor="text1"/>
        </w:rPr>
        <w:instrText xml:space="preserve"> REF _Ref46849413 \w \h </w:instrText>
      </w:r>
      <w:r w:rsidR="006371AA" w:rsidRPr="00A52AB8">
        <w:rPr>
          <w:color w:val="000000" w:themeColor="text1"/>
        </w:rPr>
        <w:instrText xml:space="preserve"> \* MERGEFORMAT </w:instrText>
      </w:r>
      <w:r w:rsidR="00117415" w:rsidRPr="00496A4D">
        <w:rPr>
          <w:color w:val="000000" w:themeColor="text1"/>
        </w:rPr>
      </w:r>
      <w:r w:rsidR="00117415" w:rsidRPr="00496A4D">
        <w:rPr>
          <w:color w:val="000000" w:themeColor="text1"/>
        </w:rPr>
        <w:fldChar w:fldCharType="separate"/>
      </w:r>
      <w:r w:rsidR="00507A67">
        <w:rPr>
          <w:color w:val="000000" w:themeColor="text1"/>
        </w:rPr>
        <w:t>H.12.8</w:t>
      </w:r>
      <w:r w:rsidR="00117415" w:rsidRPr="00496A4D">
        <w:rPr>
          <w:color w:val="000000" w:themeColor="text1"/>
        </w:rPr>
        <w:fldChar w:fldCharType="end"/>
      </w:r>
      <w:r w:rsidR="00117415" w:rsidRPr="00A52AB8">
        <w:rPr>
          <w:color w:val="000000" w:themeColor="text1"/>
        </w:rPr>
        <w:t xml:space="preserve"> </w:t>
      </w:r>
      <w:r w:rsidRPr="00A52AB8">
        <w:rPr>
          <w:color w:val="000000" w:themeColor="text1"/>
        </w:rPr>
        <w:t xml:space="preserve">may be invoked with </w:t>
      </w:r>
      <w:r w:rsidR="00E616B4" w:rsidRPr="00A52AB8">
        <w:rPr>
          <w:color w:val="000000" w:themeColor="text1"/>
        </w:rPr>
        <w:t>variable</w:t>
      </w:r>
      <w:r w:rsidR="00117415" w:rsidRPr="00A52AB8">
        <w:rPr>
          <w:color w:val="000000" w:themeColor="text1"/>
        </w:rPr>
        <w:t xml:space="preserve"> </w:t>
      </w:r>
      <w:r w:rsidRPr="00A52AB8">
        <w:rPr>
          <w:color w:val="000000" w:themeColor="text1"/>
        </w:rPr>
        <w:t xml:space="preserve">pointCnt, </w:t>
      </w:r>
      <w:r w:rsidR="00670C71" w:rsidRPr="00A52AB8">
        <w:rPr>
          <w:color w:val="000000" w:themeColor="text1"/>
        </w:rPr>
        <w:t xml:space="preserve">and </w:t>
      </w:r>
      <w:r w:rsidR="00E616B4" w:rsidRPr="00A52AB8">
        <w:rPr>
          <w:color w:val="000000" w:themeColor="text1"/>
        </w:rPr>
        <w:t xml:space="preserve">arrays </w:t>
      </w:r>
      <w:r w:rsidR="00A46584" w:rsidRPr="00A52AB8">
        <w:rPr>
          <w:color w:val="000000" w:themeColor="text1"/>
        </w:rPr>
        <w:t>isModifiedPoint</w:t>
      </w:r>
      <w:r w:rsidRPr="00A52AB8">
        <w:rPr>
          <w:color w:val="000000" w:themeColor="text1"/>
        </w:rPr>
        <w:t>,</w:t>
      </w:r>
      <w:r w:rsidR="00117415" w:rsidRPr="00A52AB8">
        <w:rPr>
          <w:color w:val="000000" w:themeColor="text1"/>
        </w:rPr>
        <w:t xml:space="preserve"> recPcGeo</w:t>
      </w:r>
      <w:r w:rsidR="00A46584" w:rsidRPr="00A52AB8">
        <w:rPr>
          <w:color w:val="000000" w:themeColor="text1"/>
        </w:rPr>
        <w:t xml:space="preserve">, </w:t>
      </w:r>
      <w:r w:rsidR="00EA5317" w:rsidRPr="00A52AB8">
        <w:rPr>
          <w:color w:val="000000" w:themeColor="text1"/>
        </w:rPr>
        <w:t xml:space="preserve">recPcGeoSmooth, </w:t>
      </w:r>
      <w:r w:rsidR="00117415" w:rsidRPr="00A52AB8">
        <w:rPr>
          <w:color w:val="000000" w:themeColor="text1"/>
        </w:rPr>
        <w:t>and recPcAttr</w:t>
      </w:r>
      <w:r w:rsidR="00E616B4" w:rsidRPr="00A52AB8">
        <w:rPr>
          <w:color w:val="000000" w:themeColor="text1"/>
        </w:rPr>
        <w:t xml:space="preserve"> </w:t>
      </w:r>
      <w:r w:rsidRPr="00A52AB8">
        <w:rPr>
          <w:color w:val="000000" w:themeColor="text1"/>
        </w:rPr>
        <w:t>as inputs</w:t>
      </w:r>
      <w:r w:rsidR="00EA5317" w:rsidRPr="00A52AB8">
        <w:rPr>
          <w:color w:val="000000" w:themeColor="text1"/>
        </w:rPr>
        <w:t>.</w:t>
      </w:r>
      <w:r w:rsidRPr="00A52AB8">
        <w:rPr>
          <w:color w:val="000000" w:themeColor="text1"/>
        </w:rPr>
        <w:t xml:space="preserve"> </w:t>
      </w:r>
      <w:r w:rsidR="00EA5317" w:rsidRPr="00A52AB8">
        <w:rPr>
          <w:color w:val="000000" w:themeColor="text1"/>
        </w:rPr>
        <w:t>T</w:t>
      </w:r>
      <w:r w:rsidR="00117415" w:rsidRPr="00A52AB8">
        <w:rPr>
          <w:color w:val="000000" w:themeColor="text1"/>
        </w:rPr>
        <w:t xml:space="preserve">he output </w:t>
      </w:r>
      <w:r w:rsidR="00EA5317" w:rsidRPr="00A52AB8">
        <w:rPr>
          <w:color w:val="000000" w:themeColor="text1"/>
        </w:rPr>
        <w:t xml:space="preserve">of this process </w:t>
      </w:r>
      <w:r w:rsidR="00117415" w:rsidRPr="00A52AB8">
        <w:rPr>
          <w:color w:val="000000" w:themeColor="text1"/>
        </w:rPr>
        <w:t xml:space="preserve">is an updated </w:t>
      </w:r>
      <w:r w:rsidR="00E616B4" w:rsidRPr="00A52AB8">
        <w:rPr>
          <w:color w:val="000000" w:themeColor="text1"/>
        </w:rPr>
        <w:t xml:space="preserve">array </w:t>
      </w:r>
      <w:r w:rsidR="00117415" w:rsidRPr="00A52AB8">
        <w:rPr>
          <w:color w:val="000000" w:themeColor="text1"/>
        </w:rPr>
        <w:t>recPcAttr</w:t>
      </w:r>
      <w:r w:rsidR="00EA5317" w:rsidRPr="00A52AB8">
        <w:rPr>
          <w:color w:val="000000" w:themeColor="text1"/>
        </w:rPr>
        <w:t>Mod, which contains the updated attribute values of the points in the current reconstructed point cloud frame</w:t>
      </w:r>
      <w:r w:rsidR="00117415" w:rsidRPr="00A52AB8">
        <w:rPr>
          <w:color w:val="000000" w:themeColor="text1"/>
        </w:rPr>
        <w:t xml:space="preserve"> after attribute transfer.</w:t>
      </w:r>
      <w:r w:rsidRPr="00A52AB8">
        <w:rPr>
          <w:color w:val="000000" w:themeColor="text1"/>
        </w:rPr>
        <w:t xml:space="preserve"> </w:t>
      </w:r>
      <w:r w:rsidR="00744D39" w:rsidRPr="00A52AB8">
        <w:rPr>
          <w:color w:val="000000" w:themeColor="text1"/>
        </w:rPr>
        <w:t>Subclause</w:t>
      </w:r>
      <w:r w:rsidRPr="00A52AB8">
        <w:rPr>
          <w:color w:val="000000" w:themeColor="text1"/>
        </w:rPr>
        <w:t xml:space="preserve"> </w:t>
      </w:r>
      <w:r w:rsidR="00117415" w:rsidRPr="00496A4D">
        <w:rPr>
          <w:color w:val="000000" w:themeColor="text1"/>
        </w:rPr>
        <w:fldChar w:fldCharType="begin"/>
      </w:r>
      <w:r w:rsidR="00117415" w:rsidRPr="00A52AB8">
        <w:rPr>
          <w:color w:val="000000" w:themeColor="text1"/>
        </w:rPr>
        <w:instrText xml:space="preserve"> REF _Ref46849718 \w \h </w:instrText>
      </w:r>
      <w:r w:rsidR="006371AA" w:rsidRPr="00A52AB8">
        <w:rPr>
          <w:color w:val="000000" w:themeColor="text1"/>
        </w:rPr>
        <w:instrText xml:space="preserve"> \* MERGEFORMAT </w:instrText>
      </w:r>
      <w:r w:rsidR="00117415" w:rsidRPr="00496A4D">
        <w:rPr>
          <w:color w:val="000000" w:themeColor="text1"/>
        </w:rPr>
      </w:r>
      <w:r w:rsidR="00117415" w:rsidRPr="00496A4D">
        <w:rPr>
          <w:color w:val="000000" w:themeColor="text1"/>
        </w:rPr>
        <w:fldChar w:fldCharType="separate"/>
      </w:r>
      <w:r w:rsidR="00507A67">
        <w:rPr>
          <w:color w:val="000000" w:themeColor="text1"/>
        </w:rPr>
        <w:t>H.12.8</w:t>
      </w:r>
      <w:r w:rsidR="00117415" w:rsidRPr="00496A4D">
        <w:rPr>
          <w:color w:val="000000" w:themeColor="text1"/>
        </w:rPr>
        <w:fldChar w:fldCharType="end"/>
      </w:r>
      <w:r w:rsidR="00117415" w:rsidRPr="00A52AB8">
        <w:rPr>
          <w:color w:val="000000" w:themeColor="text1"/>
        </w:rPr>
        <w:t xml:space="preserve"> </w:t>
      </w:r>
      <w:r w:rsidRPr="00A52AB8">
        <w:rPr>
          <w:color w:val="000000" w:themeColor="text1"/>
        </w:rPr>
        <w:t xml:space="preserve">may be substituted by an alternate process that produces similar visual quality. The definition of </w:t>
      </w:r>
      <w:r w:rsidR="00117415" w:rsidRPr="00A52AB8">
        <w:rPr>
          <w:color w:val="000000" w:themeColor="text1"/>
        </w:rPr>
        <w:t xml:space="preserve">the </w:t>
      </w:r>
      <w:r w:rsidRPr="00A52AB8">
        <w:rPr>
          <w:color w:val="000000" w:themeColor="text1"/>
        </w:rPr>
        <w:t>same visual quality is outside the scope of this document.</w:t>
      </w:r>
    </w:p>
    <w:p w14:paraId="0814944B" w14:textId="2BCE27C0" w:rsidR="006D74F2" w:rsidRPr="00A52AB8" w:rsidRDefault="006D74F2" w:rsidP="00CA0323">
      <w:pPr>
        <w:pStyle w:val="ListParagraph"/>
        <w:numPr>
          <w:ilvl w:val="0"/>
          <w:numId w:val="213"/>
        </w:numPr>
        <w:spacing w:before="136"/>
        <w:ind w:leftChars="0"/>
        <w:rPr>
          <w:color w:val="000000" w:themeColor="text1"/>
        </w:rPr>
      </w:pPr>
      <w:r w:rsidRPr="00A52AB8">
        <w:rPr>
          <w:color w:val="000000" w:themeColor="text1"/>
        </w:rPr>
        <w:t xml:space="preserve">For each attribute </w:t>
      </w:r>
      <w:r w:rsidR="00743539" w:rsidRPr="00A52AB8">
        <w:rPr>
          <w:color w:val="000000" w:themeColor="text1"/>
        </w:rPr>
        <w:t>aIdx</w:t>
      </w:r>
      <w:r w:rsidRPr="00A52AB8">
        <w:rPr>
          <w:color w:val="000000" w:themeColor="text1"/>
        </w:rPr>
        <w:t xml:space="preserve">, </w:t>
      </w:r>
      <w:r w:rsidR="00743539" w:rsidRPr="00A52AB8">
        <w:rPr>
          <w:color w:val="000000" w:themeColor="text1"/>
        </w:rPr>
        <w:t>aIdx</w:t>
      </w:r>
      <w:r w:rsidRPr="00A52AB8">
        <w:rPr>
          <w:color w:val="000000" w:themeColor="text1"/>
        </w:rPr>
        <w:t> =0..ai_attribute_count[ </w:t>
      </w:r>
      <w:r w:rsidR="00C53937" w:rsidRPr="00A52AB8">
        <w:rPr>
          <w:color w:val="000000" w:themeColor="text1"/>
        </w:rPr>
        <w:t>PostRecAtlasID</w:t>
      </w:r>
      <w:r w:rsidRPr="00A52AB8">
        <w:rPr>
          <w:color w:val="000000" w:themeColor="text1"/>
        </w:rPr>
        <w:t xml:space="preserve"> ] – 1, if </w:t>
      </w:r>
      <w:r w:rsidR="00117415" w:rsidRPr="00A52AB8">
        <w:rPr>
          <w:color w:val="000000" w:themeColor="text1"/>
        </w:rPr>
        <w:t xml:space="preserve">the attribute </w:t>
      </w:r>
      <w:r w:rsidR="00C53937" w:rsidRPr="00A52AB8">
        <w:rPr>
          <w:color w:val="000000" w:themeColor="text1"/>
        </w:rPr>
        <w:t>identifier is ATTR_TEXTURE</w:t>
      </w:r>
      <w:r w:rsidR="00117415" w:rsidRPr="00A52AB8">
        <w:rPr>
          <w:color w:val="000000" w:themeColor="text1"/>
        </w:rPr>
        <w:t>, ai_attribute_dimension_minus1[ </w:t>
      </w:r>
      <w:r w:rsidR="00C53937" w:rsidRPr="00A52AB8">
        <w:rPr>
          <w:color w:val="000000" w:themeColor="text1"/>
        </w:rPr>
        <w:t>PostRecAtlasID</w:t>
      </w:r>
      <w:r w:rsidR="00117415" w:rsidRPr="00A52AB8">
        <w:rPr>
          <w:color w:val="000000" w:themeColor="text1"/>
        </w:rPr>
        <w:t> ][ </w:t>
      </w:r>
      <w:r w:rsidR="00743539" w:rsidRPr="00A52AB8">
        <w:rPr>
          <w:color w:val="000000" w:themeColor="text1"/>
        </w:rPr>
        <w:t>aIdx</w:t>
      </w:r>
      <w:r w:rsidR="00117415" w:rsidRPr="00A52AB8">
        <w:rPr>
          <w:color w:val="000000" w:themeColor="text1"/>
        </w:rPr>
        <w:t xml:space="preserve"> ] is equal to 0 or 2, </w:t>
      </w:r>
      <w:r w:rsidR="00C53937" w:rsidRPr="00A52AB8">
        <w:rPr>
          <w:color w:val="000000" w:themeColor="text1"/>
        </w:rPr>
        <w:t xml:space="preserve">the point cloud reconstruction system has selected to use </w:t>
      </w:r>
      <w:r w:rsidR="00117415" w:rsidRPr="00A52AB8">
        <w:rPr>
          <w:color w:val="000000" w:themeColor="text1"/>
        </w:rPr>
        <w:t>the</w:t>
      </w:r>
      <w:r w:rsidRPr="00A52AB8">
        <w:rPr>
          <w:color w:val="000000" w:themeColor="text1"/>
        </w:rPr>
        <w:t xml:space="preserve"> </w:t>
      </w:r>
      <w:r w:rsidR="00C53937" w:rsidRPr="00A52AB8">
        <w:rPr>
          <w:color w:val="000000" w:themeColor="text1"/>
        </w:rPr>
        <w:t xml:space="preserve">q-th attribute smoothing instance for performing attribute smoothing, and </w:t>
      </w:r>
      <w:r w:rsidR="00F31BD3" w:rsidRPr="00A52AB8">
        <w:rPr>
          <w:color w:val="000000" w:themeColor="text1"/>
        </w:rPr>
        <w:t xml:space="preserve">the bitstream contains an attribute smoothing SEI message with </w:t>
      </w:r>
      <w:r w:rsidR="00AA6B7F" w:rsidRPr="00A52AB8">
        <w:rPr>
          <w:bCs/>
        </w:rPr>
        <w:t>as_</w:t>
      </w:r>
      <w:r w:rsidRPr="00A52AB8">
        <w:rPr>
          <w:bCs/>
        </w:rPr>
        <w:t>filter_instance_type</w:t>
      </w:r>
      <w:r w:rsidRPr="00A52AB8">
        <w:t>[ </w:t>
      </w:r>
      <w:r w:rsidR="00743539" w:rsidRPr="00A52AB8">
        <w:t>aIdx</w:t>
      </w:r>
      <w:r w:rsidRPr="00A52AB8">
        <w:t> ][ </w:t>
      </w:r>
      <w:r w:rsidR="00117415" w:rsidRPr="00A52AB8">
        <w:t>q </w:t>
      </w:r>
      <w:r w:rsidRPr="00A52AB8">
        <w:t>]</w:t>
      </w:r>
      <w:r w:rsidRPr="00A52AB8">
        <w:rPr>
          <w:color w:val="000000" w:themeColor="text1"/>
        </w:rPr>
        <w:t xml:space="preserve"> equal to 1</w:t>
      </w:r>
      <w:r w:rsidR="00E2576A" w:rsidRPr="00A52AB8">
        <w:rPr>
          <w:color w:val="000000" w:themeColor="text1"/>
        </w:rPr>
        <w:t xml:space="preserve"> at the time instance compTimeIdx</w:t>
      </w:r>
      <w:r w:rsidRPr="00A52AB8">
        <w:rPr>
          <w:color w:val="000000" w:themeColor="text1"/>
        </w:rPr>
        <w:t xml:space="preserve">, </w:t>
      </w:r>
      <w:r w:rsidR="00744D39" w:rsidRPr="00A52AB8">
        <w:rPr>
          <w:color w:val="000000" w:themeColor="text1"/>
        </w:rPr>
        <w:t>subclause</w:t>
      </w:r>
      <w:r w:rsidR="007E002B" w:rsidRPr="00A52AB8">
        <w:rPr>
          <w:color w:val="000000" w:themeColor="text1"/>
        </w:rPr>
        <w:t xml:space="preserve"> </w:t>
      </w:r>
      <w:r w:rsidR="00117415" w:rsidRPr="00496A4D">
        <w:rPr>
          <w:color w:val="000000" w:themeColor="text1"/>
        </w:rPr>
        <w:fldChar w:fldCharType="begin"/>
      </w:r>
      <w:r w:rsidR="00117415" w:rsidRPr="00A52AB8">
        <w:rPr>
          <w:color w:val="000000" w:themeColor="text1"/>
        </w:rPr>
        <w:instrText xml:space="preserve"> REF _Ref39817805 \w \h </w:instrText>
      </w:r>
      <w:r w:rsidR="006371AA" w:rsidRPr="00A52AB8">
        <w:rPr>
          <w:color w:val="000000" w:themeColor="text1"/>
        </w:rPr>
        <w:instrText xml:space="preserve"> \* MERGEFORMAT </w:instrText>
      </w:r>
      <w:r w:rsidR="00117415" w:rsidRPr="00496A4D">
        <w:rPr>
          <w:color w:val="000000" w:themeColor="text1"/>
        </w:rPr>
      </w:r>
      <w:r w:rsidR="00117415" w:rsidRPr="00496A4D">
        <w:rPr>
          <w:color w:val="000000" w:themeColor="text1"/>
        </w:rPr>
        <w:fldChar w:fldCharType="separate"/>
      </w:r>
      <w:r w:rsidR="00507A67">
        <w:rPr>
          <w:color w:val="000000" w:themeColor="text1"/>
        </w:rPr>
        <w:t>H.12.3</w:t>
      </w:r>
      <w:r w:rsidR="00117415" w:rsidRPr="00496A4D">
        <w:rPr>
          <w:color w:val="000000" w:themeColor="text1"/>
        </w:rPr>
        <w:fldChar w:fldCharType="end"/>
      </w:r>
      <w:r w:rsidR="00117415" w:rsidRPr="00A52AB8">
        <w:rPr>
          <w:color w:val="000000" w:themeColor="text1"/>
        </w:rPr>
        <w:t xml:space="preserve"> </w:t>
      </w:r>
      <w:r w:rsidRPr="00A52AB8">
        <w:rPr>
          <w:color w:val="000000" w:themeColor="text1"/>
        </w:rPr>
        <w:t>is invoked</w:t>
      </w:r>
      <w:r w:rsidR="00C63884" w:rsidRPr="00A52AB8">
        <w:rPr>
          <w:color w:val="000000" w:themeColor="text1"/>
        </w:rPr>
        <w:t xml:space="preserve"> with pointCnt, </w:t>
      </w:r>
      <w:r w:rsidR="00743539" w:rsidRPr="00A52AB8">
        <w:rPr>
          <w:color w:val="000000" w:themeColor="text1"/>
        </w:rPr>
        <w:t>aIdx</w:t>
      </w:r>
      <w:r w:rsidR="00C63884" w:rsidRPr="00A52AB8">
        <w:rPr>
          <w:color w:val="000000" w:themeColor="text1"/>
        </w:rPr>
        <w:t>, q, ( ai_attribute_dimension_minus1[ </w:t>
      </w:r>
      <w:r w:rsidR="00C53937" w:rsidRPr="00A52AB8">
        <w:rPr>
          <w:color w:val="000000" w:themeColor="text1"/>
        </w:rPr>
        <w:t>PostRecAtlasID</w:t>
      </w:r>
      <w:r w:rsidR="00C63884" w:rsidRPr="00A52AB8">
        <w:rPr>
          <w:color w:val="000000" w:themeColor="text1"/>
        </w:rPr>
        <w:t> ][ </w:t>
      </w:r>
      <w:r w:rsidR="00743539" w:rsidRPr="00A52AB8">
        <w:rPr>
          <w:color w:val="000000" w:themeColor="text1"/>
        </w:rPr>
        <w:t>aIdx</w:t>
      </w:r>
      <w:r w:rsidR="00C63884" w:rsidRPr="00A52AB8">
        <w:rPr>
          <w:color w:val="000000" w:themeColor="text1"/>
        </w:rPr>
        <w:t xml:space="preserve"> ] + 1 ), </w:t>
      </w:r>
      <w:r w:rsidR="00110B7C" w:rsidRPr="00A52AB8">
        <w:rPr>
          <w:color w:val="000000" w:themeColor="text1"/>
        </w:rPr>
        <w:t>attr</w:t>
      </w:r>
      <w:r w:rsidR="00740B32" w:rsidRPr="00A52AB8">
        <w:rPr>
          <w:color w:val="000000" w:themeColor="text1"/>
        </w:rPr>
        <w:t>BitDepth</w:t>
      </w:r>
      <w:r w:rsidR="00400035" w:rsidRPr="00A52AB8">
        <w:rPr>
          <w:color w:val="000000" w:themeColor="text1"/>
        </w:rPr>
        <w:t>[ aIdx ]</w:t>
      </w:r>
      <w:r w:rsidR="00740B32" w:rsidRPr="00A52AB8">
        <w:rPr>
          <w:color w:val="000000" w:themeColor="text1"/>
        </w:rPr>
        <w:t xml:space="preserve">, </w:t>
      </w:r>
      <w:r w:rsidR="00670C71" w:rsidRPr="00A52AB8">
        <w:rPr>
          <w:color w:val="000000" w:themeColor="text1"/>
        </w:rPr>
        <w:t xml:space="preserve">and </w:t>
      </w:r>
      <w:r w:rsidR="00C63884" w:rsidRPr="00A52AB8">
        <w:rPr>
          <w:color w:val="000000" w:themeColor="text1"/>
        </w:rPr>
        <w:t>arrays oFrame, recPcGeo</w:t>
      </w:r>
      <w:r w:rsidR="00743539" w:rsidRPr="00A52AB8">
        <w:rPr>
          <w:color w:val="000000" w:themeColor="text1"/>
        </w:rPr>
        <w:t>, recPcAttr, and pointToPatch</w:t>
      </w:r>
      <w:r w:rsidR="00C63884" w:rsidRPr="00A52AB8">
        <w:rPr>
          <w:color w:val="000000" w:themeColor="text1"/>
        </w:rPr>
        <w:t xml:space="preserve"> </w:t>
      </w:r>
      <w:r w:rsidR="00743539" w:rsidRPr="00A52AB8">
        <w:rPr>
          <w:color w:val="000000" w:themeColor="text1"/>
        </w:rPr>
        <w:t>as inputs</w:t>
      </w:r>
      <w:r w:rsidR="00D52145" w:rsidRPr="00A52AB8">
        <w:rPr>
          <w:color w:val="000000" w:themeColor="text1"/>
        </w:rPr>
        <w:t>,</w:t>
      </w:r>
      <w:r w:rsidR="00743539" w:rsidRPr="00A52AB8">
        <w:rPr>
          <w:color w:val="000000" w:themeColor="text1"/>
        </w:rPr>
        <w:t xml:space="preserve"> and the output of the process is</w:t>
      </w:r>
      <w:r w:rsidR="00C63884" w:rsidRPr="00A52AB8">
        <w:rPr>
          <w:color w:val="000000" w:themeColor="text1"/>
        </w:rPr>
        <w:t xml:space="preserve"> the updated </w:t>
      </w:r>
      <w:r w:rsidR="00743539" w:rsidRPr="00A52AB8">
        <w:rPr>
          <w:color w:val="000000" w:themeColor="text1"/>
        </w:rPr>
        <w:t>array</w:t>
      </w:r>
      <w:r w:rsidR="00C63884" w:rsidRPr="00A52AB8">
        <w:rPr>
          <w:color w:val="000000" w:themeColor="text1"/>
        </w:rPr>
        <w:t xml:space="preserve"> </w:t>
      </w:r>
      <w:r w:rsidR="00743539" w:rsidRPr="00A52AB8">
        <w:rPr>
          <w:color w:val="000000" w:themeColor="text1"/>
        </w:rPr>
        <w:t>recPcAttr</w:t>
      </w:r>
      <w:r w:rsidR="00C63884" w:rsidRPr="00A52AB8">
        <w:rPr>
          <w:color w:val="000000" w:themeColor="text1"/>
        </w:rPr>
        <w:t xml:space="preserve">, the current reconstructed point cloud </w:t>
      </w:r>
      <w:r w:rsidR="00743539" w:rsidRPr="00A52AB8">
        <w:rPr>
          <w:color w:val="000000" w:themeColor="text1"/>
        </w:rPr>
        <w:t xml:space="preserve">attribute </w:t>
      </w:r>
      <w:r w:rsidR="00C63884" w:rsidRPr="00A52AB8">
        <w:rPr>
          <w:color w:val="000000" w:themeColor="text1"/>
        </w:rPr>
        <w:t xml:space="preserve">frame </w:t>
      </w:r>
      <w:r w:rsidR="00743539" w:rsidRPr="00A52AB8">
        <w:rPr>
          <w:color w:val="000000" w:themeColor="text1"/>
        </w:rPr>
        <w:t>for attribute aIdx after attribute smoothing</w:t>
      </w:r>
      <w:r w:rsidR="00C63884" w:rsidRPr="00A52AB8">
        <w:rPr>
          <w:color w:val="000000" w:themeColor="text1"/>
        </w:rPr>
        <w:t>.</w:t>
      </w:r>
    </w:p>
    <w:p w14:paraId="7543163F" w14:textId="4F86DE83" w:rsidR="00117415" w:rsidRPr="00A52AB8" w:rsidRDefault="00117415" w:rsidP="00117415">
      <w:pPr>
        <w:pStyle w:val="Note1"/>
        <w:rPr>
          <w:rFonts w:ascii="Cambria" w:hAnsi="Cambria"/>
        </w:rPr>
      </w:pPr>
      <w:r w:rsidRPr="00A52AB8">
        <w:rPr>
          <w:rFonts w:ascii="Cambria" w:hAnsi="Cambria"/>
        </w:rPr>
        <w:t>NOTE</w:t>
      </w:r>
      <w:r w:rsidR="00110B7C" w:rsidRPr="00A52AB8">
        <w:rPr>
          <w:rFonts w:ascii="Cambria" w:hAnsi="Cambria"/>
        </w:rPr>
        <w:t> </w:t>
      </w:r>
      <w:r w:rsidRPr="00A52AB8">
        <w:rPr>
          <w:rFonts w:ascii="Cambria" w:hAnsi="Cambria"/>
        </w:rPr>
        <w:t>–</w:t>
      </w:r>
      <w:r w:rsidR="00CC15CD" w:rsidRPr="00A52AB8">
        <w:rPr>
          <w:rFonts w:ascii="Cambria" w:hAnsi="Cambria"/>
        </w:rPr>
        <w:t> </w:t>
      </w:r>
      <w:r w:rsidRPr="00A52AB8">
        <w:rPr>
          <w:rFonts w:ascii="Cambria" w:hAnsi="Cambria"/>
        </w:rPr>
        <w:t>A bitstream may contain multiple geometry and attribute smoothing filter instances. The point cloud reconstruction system may choose an appropriate filter instance for geometry and/or attribute smoothing based on considerations such as computational complexity, power</w:t>
      </w:r>
      <w:r w:rsidR="00E616B4" w:rsidRPr="00A52AB8">
        <w:rPr>
          <w:rFonts w:ascii="Cambria" w:hAnsi="Cambria"/>
        </w:rPr>
        <w:t>,</w:t>
      </w:r>
      <w:r w:rsidRPr="00A52AB8">
        <w:rPr>
          <w:rFonts w:ascii="Cambria" w:hAnsi="Cambria"/>
        </w:rPr>
        <w:t xml:space="preserve"> and visual quality requirements, etc.</w:t>
      </w:r>
      <w:r w:rsidR="00E616B4" w:rsidRPr="00A52AB8">
        <w:rPr>
          <w:rFonts w:ascii="Cambria" w:hAnsi="Cambria"/>
        </w:rPr>
        <w:t xml:space="preserve"> These considerations are outside the scope of this document.</w:t>
      </w:r>
    </w:p>
    <w:p w14:paraId="29B9735D" w14:textId="041322EE" w:rsidR="006D74F2" w:rsidRPr="00A52AB8" w:rsidRDefault="006D74F2" w:rsidP="00895494">
      <w:pPr>
        <w:pStyle w:val="a3"/>
        <w:numPr>
          <w:ilvl w:val="2"/>
          <w:numId w:val="14"/>
        </w:numPr>
      </w:pPr>
      <w:bookmarkStart w:id="6958" w:name="_Ref39773040"/>
      <w:bookmarkStart w:id="6959" w:name="_Ref39817796"/>
      <w:bookmarkStart w:id="6960" w:name="_Ref49007009"/>
      <w:bookmarkStart w:id="6961" w:name="_Toc52181799"/>
      <w:r w:rsidRPr="00A52AB8">
        <w:t>Geometry smoothing process</w:t>
      </w:r>
      <w:bookmarkEnd w:id="6958"/>
      <w:bookmarkEnd w:id="6959"/>
      <w:bookmarkEnd w:id="6960"/>
      <w:bookmarkEnd w:id="6961"/>
    </w:p>
    <w:p w14:paraId="4A8B6FA8" w14:textId="77777777" w:rsidR="006D74F2" w:rsidRPr="00A52AB8" w:rsidRDefault="006D74F2" w:rsidP="000B21BA">
      <w:r w:rsidRPr="00A52AB8">
        <w:t xml:space="preserve">This process is invoked when a bitstream contains a geometry smoothing SEI message with a value of </w:t>
      </w:r>
      <w:r w:rsidR="00AA6B7F" w:rsidRPr="00A52AB8">
        <w:t>gs_</w:t>
      </w:r>
      <w:r w:rsidR="0006494C" w:rsidRPr="00A52AB8">
        <w:t>method_type</w:t>
      </w:r>
      <w:r w:rsidRPr="00A52AB8">
        <w:t>[ r ] equal to 1, and the point cloud reconstruction system has selected to use this r-th geometry smoothing instance for performing smoothing during point cloud reconstruction.</w:t>
      </w:r>
    </w:p>
    <w:p w14:paraId="65893A9B" w14:textId="77777777" w:rsidR="006D74F2" w:rsidRPr="00A52AB8" w:rsidRDefault="006D74F2">
      <w:r w:rsidRPr="00A52AB8">
        <w:t>Inputs to this process are:</w:t>
      </w:r>
    </w:p>
    <w:p w14:paraId="5C9A3582" w14:textId="77777777" w:rsidR="00033C85" w:rsidRPr="00A52AB8" w:rsidRDefault="00033C8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pointCnt, the number of points in the current reconstructed point cloud frame,</w:t>
      </w:r>
    </w:p>
    <w:p w14:paraId="230396F8" w14:textId="77777777" w:rsidR="00033C85" w:rsidRPr="00A52AB8" w:rsidRDefault="00033C8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m, a geometry smoothing filter </w:t>
      </w:r>
      <w:r w:rsidR="00600D56" w:rsidRPr="00A52AB8">
        <w:rPr>
          <w:color w:val="000000" w:themeColor="text1"/>
        </w:rPr>
        <w:t>instance</w:t>
      </w:r>
      <w:r w:rsidRPr="00A52AB8">
        <w:rPr>
          <w:color w:val="000000" w:themeColor="text1"/>
        </w:rPr>
        <w:t>,</w:t>
      </w:r>
    </w:p>
    <w:p w14:paraId="706BE3E8" w14:textId="3A3E56ED" w:rsidR="006D74F2" w:rsidRPr="00A52AB8"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oFrame</w:t>
      </w:r>
      <w:r w:rsidR="004B7314" w:rsidRPr="00A52AB8">
        <w:rPr>
          <w:color w:val="000000" w:themeColor="text1"/>
        </w:rPr>
        <w:t>[ y ][ x ]</w:t>
      </w:r>
      <w:r w:rsidRPr="00A52AB8">
        <w:rPr>
          <w:color w:val="000000" w:themeColor="text1"/>
        </w:rPr>
        <w:t>, y</w:t>
      </w:r>
      <w:r w:rsidR="00D47707" w:rsidRPr="00A52AB8">
        <w:rPr>
          <w:color w:val="000000" w:themeColor="text1"/>
        </w:rPr>
        <w:t> = </w:t>
      </w:r>
      <w:r w:rsidRPr="00A52AB8">
        <w:rPr>
          <w:color w:val="000000" w:themeColor="text1"/>
        </w:rPr>
        <w:t>0..asps_frame_height – 1, x</w:t>
      </w:r>
      <w:r w:rsidR="00D47707" w:rsidRPr="00A52AB8">
        <w:rPr>
          <w:color w:val="000000" w:themeColor="text1"/>
        </w:rPr>
        <w:t> = </w:t>
      </w:r>
      <w:r w:rsidRPr="00A52AB8">
        <w:rPr>
          <w:color w:val="000000" w:themeColor="text1"/>
        </w:rPr>
        <w:t xml:space="preserve">0..asps_frame_width – 1, </w:t>
      </w:r>
      <w:r w:rsidR="00F54172" w:rsidRPr="00A52AB8">
        <w:rPr>
          <w:color w:val="000000" w:themeColor="text1"/>
        </w:rPr>
        <w:t>the</w:t>
      </w:r>
      <w:r w:rsidRPr="00A52AB8">
        <w:rPr>
          <w:color w:val="000000" w:themeColor="text1"/>
        </w:rPr>
        <w:t xml:space="preserve"> </w:t>
      </w:r>
      <w:r w:rsidR="0003372C" w:rsidRPr="00A52AB8">
        <w:rPr>
          <w:color w:val="000000" w:themeColor="text1"/>
        </w:rPr>
        <w:t>occupancy</w:t>
      </w:r>
      <w:r w:rsidRPr="00A52AB8">
        <w:rPr>
          <w:color w:val="000000" w:themeColor="text1"/>
        </w:rPr>
        <w:t xml:space="preserve"> frame</w:t>
      </w:r>
      <w:r w:rsidR="00F54172" w:rsidRPr="00A52AB8">
        <w:rPr>
          <w:color w:val="000000" w:themeColor="text1"/>
        </w:rPr>
        <w:t xml:space="preserve">, at </w:t>
      </w:r>
      <w:r w:rsidR="00033C85" w:rsidRPr="00A52AB8">
        <w:rPr>
          <w:color w:val="000000" w:themeColor="text1"/>
        </w:rPr>
        <w:t xml:space="preserve">the </w:t>
      </w:r>
      <w:r w:rsidR="00F54172" w:rsidRPr="00A52AB8">
        <w:rPr>
          <w:color w:val="000000" w:themeColor="text1"/>
        </w:rPr>
        <w:t>nominal resolution, corresponding to the current point cloud frame</w:t>
      </w:r>
      <w:r w:rsidRPr="00A52AB8">
        <w:rPr>
          <w:color w:val="000000" w:themeColor="text1"/>
        </w:rPr>
        <w:t>,</w:t>
      </w:r>
    </w:p>
    <w:p w14:paraId="7613345D" w14:textId="12622A7C" w:rsidR="00743539" w:rsidRPr="00A52AB8"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recPcGeo</w:t>
      </w:r>
      <w:r w:rsidR="00921FCA" w:rsidRPr="00A52AB8">
        <w:rPr>
          <w:color w:val="000000" w:themeColor="text1"/>
        </w:rPr>
        <w:t>[ n ]</w:t>
      </w:r>
      <w:r w:rsidR="004B7314" w:rsidRPr="00A52AB8">
        <w:rPr>
          <w:color w:val="000000" w:themeColor="text1"/>
        </w:rPr>
        <w:t>[ k ]</w:t>
      </w:r>
      <w:r w:rsidR="00921FCA" w:rsidRPr="00A52AB8">
        <w:rPr>
          <w:color w:val="000000" w:themeColor="text1"/>
        </w:rPr>
        <w:t>, n</w:t>
      </w:r>
      <w:r w:rsidR="00D47707" w:rsidRPr="00A52AB8">
        <w:rPr>
          <w:color w:val="000000" w:themeColor="text1"/>
        </w:rPr>
        <w:t> = </w:t>
      </w:r>
      <w:r w:rsidR="00921FCA" w:rsidRPr="00A52AB8">
        <w:rPr>
          <w:color w:val="000000" w:themeColor="text1"/>
        </w:rPr>
        <w:t>0..pointCnt – 1, k</w:t>
      </w:r>
      <w:r w:rsidR="00D47707" w:rsidRPr="00A52AB8">
        <w:rPr>
          <w:color w:val="000000" w:themeColor="text1"/>
        </w:rPr>
        <w:t> = </w:t>
      </w:r>
      <w:r w:rsidR="00921FCA" w:rsidRPr="00A52AB8">
        <w:rPr>
          <w:color w:val="000000" w:themeColor="text1"/>
        </w:rPr>
        <w:t xml:space="preserve">0..2, </w:t>
      </w:r>
      <w:r w:rsidRPr="00A52AB8">
        <w:rPr>
          <w:color w:val="000000" w:themeColor="text1"/>
        </w:rPr>
        <w:t xml:space="preserve">an array </w:t>
      </w:r>
      <w:r w:rsidR="00980CC0" w:rsidRPr="00A52AB8">
        <w:rPr>
          <w:color w:val="000000" w:themeColor="text1"/>
        </w:rPr>
        <w:t>containing</w:t>
      </w:r>
      <w:r w:rsidRPr="00A52AB8">
        <w:rPr>
          <w:color w:val="000000" w:themeColor="text1"/>
        </w:rPr>
        <w:t xml:space="preserve"> the </w:t>
      </w:r>
      <w:r w:rsidR="00980CC0" w:rsidRPr="00A52AB8">
        <w:rPr>
          <w:color w:val="000000" w:themeColor="text1"/>
        </w:rPr>
        <w:t xml:space="preserve">geometry </w:t>
      </w:r>
      <w:r w:rsidR="00BA43E2" w:rsidRPr="00A52AB8">
        <w:rPr>
          <w:color w:val="000000" w:themeColor="text1"/>
        </w:rPr>
        <w:t>positions</w:t>
      </w:r>
      <w:r w:rsidRPr="00A52AB8">
        <w:rPr>
          <w:color w:val="000000" w:themeColor="text1"/>
        </w:rPr>
        <w:t xml:space="preserve"> of points in the </w:t>
      </w:r>
      <w:r w:rsidR="00921FCA" w:rsidRPr="00A52AB8">
        <w:rPr>
          <w:color w:val="000000" w:themeColor="text1"/>
        </w:rPr>
        <w:t xml:space="preserve">current </w:t>
      </w:r>
      <w:r w:rsidRPr="00A52AB8">
        <w:rPr>
          <w:color w:val="000000" w:themeColor="text1"/>
        </w:rPr>
        <w:t>reconstructed point cloud frame</w:t>
      </w:r>
      <w:r w:rsidR="00743539" w:rsidRPr="00A52AB8">
        <w:rPr>
          <w:color w:val="000000" w:themeColor="text1"/>
        </w:rPr>
        <w:t>, and</w:t>
      </w:r>
    </w:p>
    <w:p w14:paraId="59CCC201" w14:textId="5B049C0E" w:rsidR="006D74F2" w:rsidRPr="00A52AB8" w:rsidRDefault="00743539"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pointToPatch[ n ], n</w:t>
      </w:r>
      <w:r w:rsidR="00D47707" w:rsidRPr="00A52AB8">
        <w:rPr>
          <w:color w:val="000000" w:themeColor="text1"/>
        </w:rPr>
        <w:t> = </w:t>
      </w:r>
      <w:r w:rsidRPr="00A52AB8">
        <w:rPr>
          <w:color w:val="000000" w:themeColor="text1"/>
        </w:rPr>
        <w:t>0..pointCnt – 1, the patch index corresponding to each reconstructed point in the current point cloud frame.</w:t>
      </w:r>
    </w:p>
    <w:p w14:paraId="1F3B81B3" w14:textId="77777777" w:rsidR="006D74F2" w:rsidRPr="00A52AB8" w:rsidRDefault="006D74F2" w:rsidP="004A6049">
      <w:r w:rsidRPr="00A52AB8">
        <w:t>Outputs of this process are:</w:t>
      </w:r>
    </w:p>
    <w:p w14:paraId="48EB61A1" w14:textId="6B01087F" w:rsidR="006D74F2" w:rsidRPr="00A52AB8"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recPcGeoSmoothed[ n ]</w:t>
      </w:r>
      <w:r w:rsidR="004B7314" w:rsidRPr="00A52AB8">
        <w:rPr>
          <w:color w:val="000000" w:themeColor="text1"/>
        </w:rPr>
        <w:t>[ k ]</w:t>
      </w:r>
      <w:r w:rsidRPr="00A52AB8">
        <w:rPr>
          <w:color w:val="000000" w:themeColor="text1"/>
        </w:rPr>
        <w:t>, n</w:t>
      </w:r>
      <w:r w:rsidR="00D47707" w:rsidRPr="00A52AB8">
        <w:rPr>
          <w:color w:val="000000" w:themeColor="text1"/>
        </w:rPr>
        <w:t> = </w:t>
      </w:r>
      <w:r w:rsidRPr="00A52AB8">
        <w:rPr>
          <w:color w:val="000000" w:themeColor="text1"/>
        </w:rPr>
        <w:t xml:space="preserve">0..pointCnt – 1, </w:t>
      </w:r>
      <w:r w:rsidR="00921FCA" w:rsidRPr="00A52AB8">
        <w:rPr>
          <w:color w:val="000000" w:themeColor="text1"/>
        </w:rPr>
        <w:t>k</w:t>
      </w:r>
      <w:r w:rsidR="00D47707" w:rsidRPr="00A52AB8">
        <w:rPr>
          <w:color w:val="000000" w:themeColor="text1"/>
        </w:rPr>
        <w:t> = </w:t>
      </w:r>
      <w:r w:rsidR="00921FCA" w:rsidRPr="00A52AB8">
        <w:rPr>
          <w:color w:val="000000" w:themeColor="text1"/>
        </w:rPr>
        <w:t xml:space="preserve">0..2, </w:t>
      </w:r>
      <w:r w:rsidRPr="00A52AB8">
        <w:rPr>
          <w:color w:val="000000" w:themeColor="text1"/>
        </w:rPr>
        <w:t xml:space="preserve">an array </w:t>
      </w:r>
      <w:r w:rsidR="00980CC0" w:rsidRPr="00A52AB8">
        <w:rPr>
          <w:color w:val="000000" w:themeColor="text1"/>
        </w:rPr>
        <w:t>containing the geometry</w:t>
      </w:r>
      <w:r w:rsidRPr="00A52AB8">
        <w:rPr>
          <w:color w:val="000000" w:themeColor="text1"/>
        </w:rPr>
        <w:t xml:space="preserve"> </w:t>
      </w:r>
      <w:r w:rsidR="00921FCA" w:rsidRPr="00A52AB8">
        <w:rPr>
          <w:color w:val="000000" w:themeColor="text1"/>
        </w:rPr>
        <w:t>positions</w:t>
      </w:r>
      <w:r w:rsidRPr="00A52AB8">
        <w:rPr>
          <w:color w:val="000000" w:themeColor="text1"/>
        </w:rPr>
        <w:t xml:space="preserve"> of points in the reconstructed point cloud frame after the geometry smoothing process,</w:t>
      </w:r>
    </w:p>
    <w:p w14:paraId="4BA0BC89" w14:textId="21AFEFAB" w:rsidR="000B24FC" w:rsidRPr="00A52AB8" w:rsidRDefault="000B24F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isModifiedPoint</w:t>
      </w:r>
      <w:r w:rsidR="006D74F2" w:rsidRPr="00A52AB8">
        <w:rPr>
          <w:color w:val="000000" w:themeColor="text1"/>
        </w:rPr>
        <w:t>[ n ], n</w:t>
      </w:r>
      <w:r w:rsidR="00D47707" w:rsidRPr="00A52AB8">
        <w:rPr>
          <w:color w:val="000000" w:themeColor="text1"/>
        </w:rPr>
        <w:t> = </w:t>
      </w:r>
      <w:r w:rsidR="006D74F2" w:rsidRPr="00A52AB8">
        <w:rPr>
          <w:color w:val="000000" w:themeColor="text1"/>
        </w:rPr>
        <w:t xml:space="preserve">0..pointCnt – 1, an array specifying whether the geometry smoothing process </w:t>
      </w:r>
      <w:r w:rsidR="00921FCA" w:rsidRPr="00A52AB8">
        <w:rPr>
          <w:color w:val="000000" w:themeColor="text1"/>
        </w:rPr>
        <w:t>modified</w:t>
      </w:r>
      <w:r w:rsidR="006D74F2" w:rsidRPr="00A52AB8">
        <w:rPr>
          <w:color w:val="000000" w:themeColor="text1"/>
        </w:rPr>
        <w:t xml:space="preserve"> the position of the </w:t>
      </w:r>
      <w:r w:rsidR="00033C85" w:rsidRPr="00A52AB8">
        <w:rPr>
          <w:color w:val="000000" w:themeColor="text1"/>
        </w:rPr>
        <w:t xml:space="preserve">n-th </w:t>
      </w:r>
      <w:r w:rsidR="006D74F2" w:rsidRPr="00A52AB8">
        <w:rPr>
          <w:color w:val="000000" w:themeColor="text1"/>
        </w:rPr>
        <w:t>reconstructed point</w:t>
      </w:r>
      <w:r w:rsidRPr="00A52AB8">
        <w:rPr>
          <w:color w:val="000000" w:themeColor="text1"/>
        </w:rPr>
        <w:t>, and</w:t>
      </w:r>
    </w:p>
    <w:p w14:paraId="090D40C6" w14:textId="758A2C97" w:rsidR="006D74F2" w:rsidRPr="00A52AB8" w:rsidRDefault="000B24F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isBoundaryPoint[ n ], n</w:t>
      </w:r>
      <w:r w:rsidR="00D47707" w:rsidRPr="00A52AB8">
        <w:rPr>
          <w:color w:val="000000" w:themeColor="text1"/>
        </w:rPr>
        <w:t> = </w:t>
      </w:r>
      <w:r w:rsidRPr="00A52AB8">
        <w:rPr>
          <w:color w:val="000000" w:themeColor="text1"/>
        </w:rPr>
        <w:t>0..pointCnt – 1, an array specifying whether the n-th reconstructed point is near a patch boundary on the atlas.</w:t>
      </w:r>
    </w:p>
    <w:p w14:paraId="5C7A92E4" w14:textId="77777777" w:rsidR="006D74F2" w:rsidRPr="00A52AB8" w:rsidRDefault="006D74F2" w:rsidP="004A6049">
      <w:r w:rsidRPr="00A52AB8">
        <w:t>The following applies:</w:t>
      </w:r>
    </w:p>
    <w:p w14:paraId="6562200C" w14:textId="77777777" w:rsidR="00033C85" w:rsidRPr="00A52AB8" w:rsidRDefault="00033C8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variable geoGridSize is set to ( gs_grid_size_minus2[ m ] + 2 ).</w:t>
      </w:r>
    </w:p>
    <w:p w14:paraId="0D0B46C6" w14:textId="20857B88" w:rsidR="006B2CE7" w:rsidRPr="00A52AB8" w:rsidRDefault="006B2CE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Variable geoSmoothingThreshold is initialized </w:t>
      </w:r>
      <w:r w:rsidR="00B91FFE" w:rsidRPr="00A52AB8">
        <w:rPr>
          <w:color w:val="000000" w:themeColor="text1"/>
        </w:rPr>
        <w:t>to gs_threshold[ m ].</w:t>
      </w:r>
    </w:p>
    <w:p w14:paraId="6678F3C1" w14:textId="2BCC7EEF" w:rsidR="006D74F2" w:rsidRPr="00A52AB8"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An array isBoundaryPoint[ n ], n =0..pointCnt – 1, is initialized to 0.</w:t>
      </w:r>
    </w:p>
    <w:p w14:paraId="5F2E53F7" w14:textId="582EA43C" w:rsidR="000B24FC" w:rsidRPr="00A52AB8" w:rsidRDefault="000B24F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An array isModifiedPoint[ n ], n =0..pointCnt – 1, is initialized to 0.</w:t>
      </w:r>
    </w:p>
    <w:p w14:paraId="492C1A24" w14:textId="5CF3E767" w:rsidR="00934924" w:rsidRPr="00A52AB8"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An array recPcGeoSmoothed[ n ]</w:t>
      </w:r>
      <w:r w:rsidR="004B7314" w:rsidRPr="00A52AB8">
        <w:rPr>
          <w:color w:val="000000" w:themeColor="text1"/>
        </w:rPr>
        <w:t>[ k ]</w:t>
      </w:r>
      <w:r w:rsidRPr="00A52AB8">
        <w:rPr>
          <w:color w:val="000000" w:themeColor="text1"/>
        </w:rPr>
        <w:t>, n</w:t>
      </w:r>
      <w:r w:rsidR="00D47707" w:rsidRPr="00A52AB8">
        <w:rPr>
          <w:color w:val="000000" w:themeColor="text1"/>
        </w:rPr>
        <w:t> = </w:t>
      </w:r>
      <w:r w:rsidRPr="00A52AB8">
        <w:rPr>
          <w:color w:val="000000" w:themeColor="text1"/>
        </w:rPr>
        <w:t xml:space="preserve">0..pointCnt – 1, </w:t>
      </w:r>
      <w:r w:rsidR="00033C85" w:rsidRPr="00A52AB8">
        <w:rPr>
          <w:color w:val="000000" w:themeColor="text1"/>
        </w:rPr>
        <w:t>k</w:t>
      </w:r>
      <w:r w:rsidR="00D47707" w:rsidRPr="00A52AB8">
        <w:rPr>
          <w:color w:val="000000" w:themeColor="text1"/>
        </w:rPr>
        <w:t> = </w:t>
      </w:r>
      <w:r w:rsidR="00033C85" w:rsidRPr="00A52AB8">
        <w:rPr>
          <w:color w:val="000000" w:themeColor="text1"/>
        </w:rPr>
        <w:t xml:space="preserve">0..2, </w:t>
      </w:r>
      <w:r w:rsidR="005340AB" w:rsidRPr="00A52AB8">
        <w:rPr>
          <w:color w:val="000000" w:themeColor="text1"/>
        </w:rPr>
        <w:t xml:space="preserve">is initialized </w:t>
      </w:r>
      <w:r w:rsidRPr="00A52AB8">
        <w:rPr>
          <w:color w:val="000000" w:themeColor="text1"/>
        </w:rPr>
        <w:t>using the array recPcGeo[ n ]</w:t>
      </w:r>
      <w:r w:rsidR="004B7314" w:rsidRPr="00A52AB8">
        <w:rPr>
          <w:color w:val="000000" w:themeColor="text1"/>
        </w:rPr>
        <w:t>[ k ]</w:t>
      </w:r>
      <w:r w:rsidR="005340AB" w:rsidRPr="00A52AB8">
        <w:rPr>
          <w:color w:val="000000" w:themeColor="text1"/>
        </w:rPr>
        <w:t xml:space="preserve"> as follows:</w:t>
      </w:r>
    </w:p>
    <w:p w14:paraId="3BF3A78D" w14:textId="5E259592" w:rsidR="006D74F2" w:rsidRPr="00A52AB8" w:rsidRDefault="00A5717B" w:rsidP="004A6049">
      <w:r w:rsidRPr="00A52AB8">
        <w:tab/>
      </w:r>
      <w:r w:rsidRPr="00A52AB8">
        <w:tab/>
      </w:r>
      <w:r w:rsidR="005340AB" w:rsidRPr="00A52AB8">
        <w:t>for( </w:t>
      </w:r>
      <w:r w:rsidR="006D74F2" w:rsidRPr="00A52AB8">
        <w:t>n</w:t>
      </w:r>
      <w:r w:rsidR="00D47707" w:rsidRPr="00A52AB8">
        <w:t> = </w:t>
      </w:r>
      <w:r w:rsidR="006D74F2" w:rsidRPr="00A52AB8">
        <w:t>0</w:t>
      </w:r>
      <w:r w:rsidR="005340AB" w:rsidRPr="00A52AB8">
        <w:t>; n &lt; </w:t>
      </w:r>
      <w:r w:rsidR="006D74F2" w:rsidRPr="00A52AB8">
        <w:t>pointCnt</w:t>
      </w:r>
      <w:r w:rsidR="005340AB" w:rsidRPr="00A52AB8">
        <w:t>; n</w:t>
      </w:r>
      <w:r w:rsidR="00006CCF" w:rsidRPr="00A52AB8">
        <w:t>++ )</w:t>
      </w:r>
      <w:r w:rsidR="005340AB" w:rsidRPr="00A52AB8">
        <w:br/>
      </w:r>
      <w:r w:rsidR="00934924" w:rsidRPr="00A52AB8">
        <w:tab/>
      </w:r>
      <w:r w:rsidRPr="00A52AB8">
        <w:tab/>
      </w:r>
      <w:r w:rsidRPr="00A52AB8">
        <w:tab/>
      </w:r>
      <w:r w:rsidR="005340AB" w:rsidRPr="00A52AB8">
        <w:t>for( k</w:t>
      </w:r>
      <w:r w:rsidR="00D47707" w:rsidRPr="00A52AB8">
        <w:t> = </w:t>
      </w:r>
      <w:r w:rsidR="005340AB" w:rsidRPr="00A52AB8">
        <w:t>0; n &lt; 3; k</w:t>
      </w:r>
      <w:r w:rsidR="00006CCF" w:rsidRPr="00A52AB8">
        <w:t>++ )</w:t>
      </w:r>
      <w:r w:rsidR="005340AB" w:rsidRPr="00A52AB8">
        <w:br/>
      </w:r>
      <w:r w:rsidR="00934924" w:rsidRPr="00A52AB8">
        <w:tab/>
      </w:r>
      <w:r w:rsidR="00934924" w:rsidRPr="00A52AB8">
        <w:tab/>
      </w:r>
      <w:r w:rsidRPr="00A52AB8">
        <w:tab/>
      </w:r>
      <w:r w:rsidRPr="00A52AB8">
        <w:tab/>
      </w:r>
      <w:r w:rsidR="005340AB" w:rsidRPr="00A52AB8">
        <w:t>recPcGeoSmoothed[ n ]</w:t>
      </w:r>
      <w:r w:rsidR="004B7314" w:rsidRPr="00A52AB8">
        <w:t>[ k ]</w:t>
      </w:r>
      <w:r w:rsidR="00D47707" w:rsidRPr="00A52AB8">
        <w:t> = </w:t>
      </w:r>
      <w:r w:rsidR="005340AB" w:rsidRPr="00A52AB8">
        <w:t>recPcGeo[ n ]</w:t>
      </w:r>
      <w:r w:rsidR="004B7314" w:rsidRPr="00A52AB8">
        <w:t>[ k ]</w:t>
      </w:r>
    </w:p>
    <w:p w14:paraId="0D6FA936" w14:textId="77777777" w:rsidR="006D74F2" w:rsidRPr="00A52AB8"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For each reconstructed point with index n, n =0..pointCnt – 1, the following applies:</w:t>
      </w:r>
    </w:p>
    <w:p w14:paraId="0FBB400E" w14:textId="77777777" w:rsidR="00BE785F" w:rsidRPr="00A52AB8" w:rsidRDefault="00BE785F"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The position of the point on the atlas is derived as follows:</w:t>
      </w:r>
    </w:p>
    <w:p w14:paraId="1D951ED9" w14:textId="73611E9D" w:rsidR="00BE785F" w:rsidRPr="00A52AB8" w:rsidRDefault="00BE785F" w:rsidP="004A6049">
      <w:r w:rsidRPr="00A52AB8">
        <w:tab/>
      </w:r>
      <w:r w:rsidR="00A5717B" w:rsidRPr="00A52AB8">
        <w:tab/>
      </w:r>
      <w:r w:rsidR="00A5717B" w:rsidRPr="00A52AB8">
        <w:tab/>
      </w:r>
      <w:r w:rsidRPr="00A52AB8">
        <w:t>y</w:t>
      </w:r>
      <w:r w:rsidR="00D47707" w:rsidRPr="00A52AB8">
        <w:t> = </w:t>
      </w:r>
      <w:r w:rsidRPr="00A52AB8">
        <w:t>pointToPixel[ n ][ </w:t>
      </w:r>
      <w:r w:rsidR="00DE3AA8" w:rsidRPr="00A52AB8">
        <w:t>1 </w:t>
      </w:r>
      <w:r w:rsidRPr="00A52AB8">
        <w:t>]</w:t>
      </w:r>
      <w:r w:rsidRPr="00A52AB8">
        <w:br/>
      </w:r>
      <w:r w:rsidRPr="00A52AB8">
        <w:tab/>
      </w:r>
      <w:r w:rsidR="00A5717B" w:rsidRPr="00A52AB8">
        <w:tab/>
      </w:r>
      <w:r w:rsidR="00A5717B" w:rsidRPr="00A52AB8">
        <w:tab/>
      </w:r>
      <w:r w:rsidRPr="00A52AB8">
        <w:t>x</w:t>
      </w:r>
      <w:r w:rsidR="00D47707" w:rsidRPr="00A52AB8">
        <w:t> = </w:t>
      </w:r>
      <w:r w:rsidRPr="00A52AB8">
        <w:t>pointToPixel[ n ][ </w:t>
      </w:r>
      <w:r w:rsidR="00DE3AA8" w:rsidRPr="00A52AB8">
        <w:t>0 </w:t>
      </w:r>
      <w:r w:rsidRPr="00A52AB8">
        <w:t>]</w:t>
      </w:r>
    </w:p>
    <w:p w14:paraId="7CCD226D" w14:textId="77777777" w:rsidR="008052C6" w:rsidRPr="00A52AB8" w:rsidRDefault="008052C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A variable p is set equal to pointToPatch[ n ].</w:t>
      </w:r>
    </w:p>
    <w:p w14:paraId="1B536BF7" w14:textId="1C29FFF4" w:rsidR="00A5717B" w:rsidRPr="00A52AB8" w:rsidRDefault="004B3E99"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If a</w:t>
      </w:r>
      <w:r w:rsidR="008052C6" w:rsidRPr="00A52AB8">
        <w:rPr>
          <w:color w:val="000000" w:themeColor="text1"/>
        </w:rPr>
        <w:t>l</w:t>
      </w:r>
      <w:r w:rsidRPr="00A52AB8">
        <w:rPr>
          <w:color w:val="000000" w:themeColor="text1"/>
        </w:rPr>
        <w:t xml:space="preserve">l of </w:t>
      </w:r>
      <w:r w:rsidR="008052C6" w:rsidRPr="00A52AB8">
        <w:rPr>
          <w:color w:val="000000" w:themeColor="text1"/>
        </w:rPr>
        <w:t>the conditions</w:t>
      </w:r>
      <w:r w:rsidRPr="00A52AB8">
        <w:rPr>
          <w:color w:val="000000" w:themeColor="text1"/>
        </w:rPr>
        <w:t>:</w:t>
      </w:r>
    </w:p>
    <w:p w14:paraId="3F308561" w14:textId="10A04557" w:rsidR="00A5717B" w:rsidRPr="00A52AB8" w:rsidRDefault="008052C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1" w:hanging="403"/>
        <w:textAlignment w:val="baseline"/>
        <w:rPr>
          <w:color w:val="000000" w:themeColor="text1"/>
        </w:rPr>
      </w:pPr>
      <w:r w:rsidRPr="00A52AB8">
        <w:rPr>
          <w:color w:val="000000" w:themeColor="text1"/>
        </w:rPr>
        <w:t>oFrame[ y ][ x ] </w:t>
      </w:r>
      <w:r w:rsidR="00E963F3" w:rsidRPr="00A52AB8">
        <w:rPr>
          <w:color w:val="000000" w:themeColor="text1"/>
        </w:rPr>
        <w:t>!=</w:t>
      </w:r>
      <w:r w:rsidR="00D47707" w:rsidRPr="00A52AB8">
        <w:rPr>
          <w:color w:val="000000" w:themeColor="text1"/>
        </w:rPr>
        <w:t> </w:t>
      </w:r>
      <w:r w:rsidRPr="00A52AB8">
        <w:rPr>
          <w:color w:val="000000" w:themeColor="text1"/>
        </w:rPr>
        <w:t>0</w:t>
      </w:r>
    </w:p>
    <w:p w14:paraId="2F9C4DD3" w14:textId="22867E8F" w:rsidR="00A5717B" w:rsidRPr="00A52AB8" w:rsidRDefault="008052C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1" w:hanging="403"/>
        <w:textAlignment w:val="baseline"/>
        <w:rPr>
          <w:color w:val="000000" w:themeColor="text1"/>
        </w:rPr>
      </w:pPr>
      <w:r w:rsidRPr="00A52AB8">
        <w:rPr>
          <w:color w:val="000000" w:themeColor="text1"/>
        </w:rPr>
        <w:t>isBoundaryPoint[ n ]</w:t>
      </w:r>
      <w:r w:rsidR="008768E9" w:rsidRPr="00A52AB8">
        <w:rPr>
          <w:color w:val="000000" w:themeColor="text1"/>
        </w:rPr>
        <w:t> </w:t>
      </w:r>
      <w:r w:rsidR="00726AAE" w:rsidRPr="00A52AB8">
        <w:rPr>
          <w:color w:val="000000" w:themeColor="text1"/>
        </w:rPr>
        <w:t>==</w:t>
      </w:r>
      <w:r w:rsidR="00D47707" w:rsidRPr="00A52AB8">
        <w:rPr>
          <w:color w:val="000000" w:themeColor="text1"/>
        </w:rPr>
        <w:t> </w:t>
      </w:r>
      <w:r w:rsidRPr="00A52AB8">
        <w:rPr>
          <w:color w:val="000000" w:themeColor="text1"/>
        </w:rPr>
        <w:t>0</w:t>
      </w:r>
    </w:p>
    <w:p w14:paraId="1A00BA68" w14:textId="2291F5DB" w:rsidR="00774B15" w:rsidRPr="00A52AB8" w:rsidRDefault="008052C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1" w:hanging="403"/>
        <w:textAlignment w:val="baseline"/>
        <w:rPr>
          <w:color w:val="000000" w:themeColor="text1"/>
        </w:rPr>
      </w:pPr>
      <w:r w:rsidRPr="00A52AB8">
        <w:rPr>
          <w:color w:val="000000" w:themeColor="text1"/>
        </w:rPr>
        <w:t>( AtlasPatchType[ p ] </w:t>
      </w:r>
      <w:r w:rsidR="00E963F3" w:rsidRPr="00A52AB8">
        <w:rPr>
          <w:color w:val="000000" w:themeColor="text1"/>
        </w:rPr>
        <w:t>!=</w:t>
      </w:r>
      <w:r w:rsidR="00D47707" w:rsidRPr="00A52AB8">
        <w:rPr>
          <w:color w:val="000000" w:themeColor="text1"/>
        </w:rPr>
        <w:t> </w:t>
      </w:r>
      <w:r w:rsidRPr="00A52AB8">
        <w:rPr>
          <w:color w:val="000000" w:themeColor="text1"/>
        </w:rPr>
        <w:t>EOM </w:t>
      </w:r>
      <w:r w:rsidR="00D004C2" w:rsidRPr="00A52AB8">
        <w:rPr>
          <w:color w:val="000000" w:themeColor="text1"/>
        </w:rPr>
        <w:t>)</w:t>
      </w:r>
      <w:r w:rsidR="008768E9" w:rsidRPr="00A52AB8">
        <w:rPr>
          <w:color w:val="000000" w:themeColor="text1"/>
        </w:rPr>
        <w:t> || </w:t>
      </w:r>
      <w:r w:rsidR="00D004C2" w:rsidRPr="00A52AB8">
        <w:rPr>
          <w:color w:val="000000" w:themeColor="text1"/>
        </w:rPr>
        <w:t>(</w:t>
      </w:r>
      <w:r w:rsidR="00774B15" w:rsidRPr="00A52AB8">
        <w:rPr>
          <w:color w:val="000000" w:themeColor="text1"/>
        </w:rPr>
        <w:t> gs_filter_eom_points_flag[ m ]</w:t>
      </w:r>
      <w:r w:rsidR="008768E9" w:rsidRPr="00A52AB8">
        <w:rPr>
          <w:color w:val="000000" w:themeColor="text1"/>
        </w:rPr>
        <w:t> </w:t>
      </w:r>
      <w:r w:rsidR="00726AAE" w:rsidRPr="00A52AB8">
        <w:rPr>
          <w:color w:val="000000" w:themeColor="text1"/>
        </w:rPr>
        <w:t>==</w:t>
      </w:r>
      <w:r w:rsidR="00D47707" w:rsidRPr="00A52AB8">
        <w:rPr>
          <w:color w:val="000000" w:themeColor="text1"/>
        </w:rPr>
        <w:t> </w:t>
      </w:r>
      <w:r w:rsidR="00774B15" w:rsidRPr="00A52AB8">
        <w:rPr>
          <w:color w:val="000000" w:themeColor="text1"/>
        </w:rPr>
        <w:t>1 )</w:t>
      </w:r>
    </w:p>
    <w:p w14:paraId="0FCC76B3" w14:textId="5658E1FA" w:rsidR="00B91FFE" w:rsidRPr="00A52AB8" w:rsidRDefault="00B91FFE" w:rsidP="008F2A42">
      <w:pPr>
        <w:ind w:left="1208"/>
      </w:pPr>
      <w:r w:rsidRPr="00A52AB8">
        <w:t>are satisfied</w:t>
      </w:r>
      <w:r w:rsidR="004B3E99" w:rsidRPr="00A52AB8">
        <w:t xml:space="preserve">, then subclause </w:t>
      </w:r>
      <w:r w:rsidR="004B3E99" w:rsidRPr="00496A4D">
        <w:fldChar w:fldCharType="begin"/>
      </w:r>
      <w:r w:rsidR="004B3E99" w:rsidRPr="00A52AB8">
        <w:instrText xml:space="preserve"> REF _Ref39817343 \r \h  \* MERGEFORMAT </w:instrText>
      </w:r>
      <w:r w:rsidR="004B3E99" w:rsidRPr="00496A4D">
        <w:fldChar w:fldCharType="separate"/>
      </w:r>
      <w:r w:rsidR="00507A67">
        <w:t>H.12.5</w:t>
      </w:r>
      <w:r w:rsidR="004B3E99" w:rsidRPr="00496A4D">
        <w:fldChar w:fldCharType="end"/>
      </w:r>
      <w:r w:rsidR="004B3E99" w:rsidRPr="00A52AB8">
        <w:t xml:space="preserve"> is invoked with oFrame, y, and x as inputs and</w:t>
      </w:r>
      <w:r w:rsidR="00774B15" w:rsidRPr="00A52AB8">
        <w:t xml:space="preserve"> t</w:t>
      </w:r>
      <w:r w:rsidRPr="00A52AB8">
        <w:t>he output is assigned to isBoundaryPoint[ n ].</w:t>
      </w:r>
    </w:p>
    <w:p w14:paraId="4E1E9B24" w14:textId="3E1E9376" w:rsidR="006D74F2" w:rsidRPr="00A52AB8" w:rsidRDefault="00744D39"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Subclause</w:t>
      </w:r>
      <w:r w:rsidR="006D74F2" w:rsidRPr="00A52AB8">
        <w:rPr>
          <w:color w:val="000000" w:themeColor="text1"/>
        </w:rPr>
        <w:t xml:space="preserve"> </w:t>
      </w:r>
      <w:r w:rsidR="00670C71" w:rsidRPr="00496A4D">
        <w:rPr>
          <w:color w:val="000000" w:themeColor="text1"/>
        </w:rPr>
        <w:fldChar w:fldCharType="begin"/>
      </w:r>
      <w:r w:rsidR="00670C71" w:rsidRPr="00A52AB8">
        <w:rPr>
          <w:color w:val="000000" w:themeColor="text1"/>
        </w:rPr>
        <w:instrText xml:space="preserve"> REF _Ref39817628 \w \h </w:instrText>
      </w:r>
      <w:r w:rsidR="006371AA" w:rsidRPr="00A52AB8">
        <w:rPr>
          <w:color w:val="000000" w:themeColor="text1"/>
        </w:rPr>
        <w:instrText xml:space="preserve"> \* MERGEFORMAT </w:instrText>
      </w:r>
      <w:r w:rsidR="00670C71" w:rsidRPr="00496A4D">
        <w:rPr>
          <w:color w:val="000000" w:themeColor="text1"/>
        </w:rPr>
      </w:r>
      <w:r w:rsidR="00670C71" w:rsidRPr="00496A4D">
        <w:rPr>
          <w:color w:val="000000" w:themeColor="text1"/>
        </w:rPr>
        <w:fldChar w:fldCharType="separate"/>
      </w:r>
      <w:r w:rsidR="00507A67">
        <w:rPr>
          <w:color w:val="000000" w:themeColor="text1"/>
        </w:rPr>
        <w:t>H.12.4.1</w:t>
      </w:r>
      <w:r w:rsidR="00670C71" w:rsidRPr="00496A4D">
        <w:rPr>
          <w:color w:val="000000" w:themeColor="text1"/>
        </w:rPr>
        <w:fldChar w:fldCharType="end"/>
      </w:r>
      <w:r w:rsidR="00670C71" w:rsidRPr="00A52AB8">
        <w:rPr>
          <w:color w:val="000000" w:themeColor="text1"/>
        </w:rPr>
        <w:t xml:space="preserve"> </w:t>
      </w:r>
      <w:r w:rsidR="006D74F2" w:rsidRPr="00A52AB8">
        <w:rPr>
          <w:color w:val="000000" w:themeColor="text1"/>
        </w:rPr>
        <w:t xml:space="preserve">is invoked with </w:t>
      </w:r>
      <w:r w:rsidR="00670C71" w:rsidRPr="00A52AB8">
        <w:rPr>
          <w:color w:val="000000" w:themeColor="text1"/>
        </w:rPr>
        <w:t xml:space="preserve">variables </w:t>
      </w:r>
      <w:r w:rsidR="00BE785F" w:rsidRPr="00A52AB8">
        <w:rPr>
          <w:color w:val="000000" w:themeColor="text1"/>
        </w:rPr>
        <w:t>geoG</w:t>
      </w:r>
      <w:r w:rsidR="006D74F2" w:rsidRPr="00A52AB8">
        <w:rPr>
          <w:color w:val="000000" w:themeColor="text1"/>
        </w:rPr>
        <w:t xml:space="preserve">ridSize, pointCnt, </w:t>
      </w:r>
      <w:r w:rsidR="00670C71" w:rsidRPr="00A52AB8">
        <w:rPr>
          <w:color w:val="000000" w:themeColor="text1"/>
        </w:rPr>
        <w:t xml:space="preserve">and arrays </w:t>
      </w:r>
      <w:r w:rsidR="006D74F2" w:rsidRPr="00A52AB8">
        <w:rPr>
          <w:color w:val="000000" w:themeColor="text1"/>
        </w:rPr>
        <w:t xml:space="preserve">isBoundaryPoint, recPcGeo, and </w:t>
      </w:r>
      <w:r w:rsidR="00BE785F" w:rsidRPr="00A52AB8">
        <w:rPr>
          <w:color w:val="000000" w:themeColor="text1"/>
        </w:rPr>
        <w:t>p</w:t>
      </w:r>
      <w:r w:rsidR="006D74F2" w:rsidRPr="00A52AB8">
        <w:rPr>
          <w:color w:val="000000" w:themeColor="text1"/>
        </w:rPr>
        <w:t>ointToPatch</w:t>
      </w:r>
      <w:r w:rsidR="00BE785F" w:rsidRPr="00A52AB8">
        <w:rPr>
          <w:color w:val="000000" w:themeColor="text1"/>
        </w:rPr>
        <w:t xml:space="preserve"> </w:t>
      </w:r>
      <w:r w:rsidR="00670C71" w:rsidRPr="00A52AB8">
        <w:rPr>
          <w:color w:val="000000" w:themeColor="text1"/>
        </w:rPr>
        <w:t xml:space="preserve">as inputs </w:t>
      </w:r>
      <w:r w:rsidR="006D74F2" w:rsidRPr="00A52AB8">
        <w:rPr>
          <w:color w:val="000000" w:themeColor="text1"/>
        </w:rPr>
        <w:t xml:space="preserve">and the outputs are </w:t>
      </w:r>
      <w:r w:rsidR="00670C71" w:rsidRPr="00A52AB8">
        <w:rPr>
          <w:color w:val="000000" w:themeColor="text1"/>
        </w:rPr>
        <w:t xml:space="preserve">variables </w:t>
      </w:r>
      <w:r w:rsidR="006D74F2" w:rsidRPr="00A52AB8">
        <w:rPr>
          <w:color w:val="000000" w:themeColor="text1"/>
        </w:rPr>
        <w:t xml:space="preserve">numCells1D, numBoundaryCells, </w:t>
      </w:r>
      <w:r w:rsidR="00670C71" w:rsidRPr="00A52AB8">
        <w:rPr>
          <w:color w:val="000000" w:themeColor="text1"/>
        </w:rPr>
        <w:t xml:space="preserve">and arrays </w:t>
      </w:r>
      <w:r w:rsidR="006D74F2" w:rsidRPr="00A52AB8">
        <w:rPr>
          <w:color w:val="000000" w:themeColor="text1"/>
        </w:rPr>
        <w:t>cellIdxLut</w:t>
      </w:r>
      <w:r w:rsidR="00980CC0" w:rsidRPr="00A52AB8">
        <w:rPr>
          <w:color w:val="000000" w:themeColor="text1"/>
        </w:rPr>
        <w:t>, geoCenterGrid, cellCnt</w:t>
      </w:r>
      <w:r w:rsidR="006D74F2" w:rsidRPr="00A52AB8">
        <w:rPr>
          <w:color w:val="000000" w:themeColor="text1"/>
        </w:rPr>
        <w:t xml:space="preserve">, </w:t>
      </w:r>
      <w:r w:rsidR="00980CC0" w:rsidRPr="00A52AB8">
        <w:rPr>
          <w:color w:val="000000" w:themeColor="text1"/>
        </w:rPr>
        <w:t>and cellDoSmoothing</w:t>
      </w:r>
      <w:r w:rsidR="006D74F2" w:rsidRPr="00A52AB8">
        <w:rPr>
          <w:color w:val="000000" w:themeColor="text1"/>
        </w:rPr>
        <w:t>.</w:t>
      </w:r>
    </w:p>
    <w:p w14:paraId="642E6DEB" w14:textId="60BFE7FA" w:rsidR="003B2002" w:rsidRPr="00A52AB8" w:rsidRDefault="003B2002" w:rsidP="009C6742">
      <w:r w:rsidRPr="00A52AB8">
        <w:t>Then the following process applies:</w:t>
      </w:r>
    </w:p>
    <w:p w14:paraId="0732A453" w14:textId="5491A9C6" w:rsidR="00A5717B" w:rsidRPr="00A52AB8" w:rsidRDefault="003B2002" w:rsidP="009A61A4">
      <w:r w:rsidRPr="00A52AB8">
        <w:tab/>
      </w:r>
      <w:r w:rsidR="00FE61BE" w:rsidRPr="00A52AB8">
        <w:t>for( </w:t>
      </w:r>
      <w:r w:rsidR="00A5717B" w:rsidRPr="00A52AB8">
        <w:t>n =0</w:t>
      </w:r>
      <w:r w:rsidR="00FE61BE" w:rsidRPr="00A52AB8">
        <w:t>; n &lt; </w:t>
      </w:r>
      <w:r w:rsidR="00A5717B" w:rsidRPr="00A52AB8">
        <w:t>pointCnt </w:t>
      </w:r>
      <w:r w:rsidR="00FE61BE" w:rsidRPr="00A52AB8">
        <w:t>; n++ </w:t>
      </w:r>
      <w:r w:rsidR="008F1F82" w:rsidRPr="00A52AB8">
        <w:t>) {</w:t>
      </w:r>
    </w:p>
    <w:p w14:paraId="578C1097" w14:textId="719A9E26" w:rsidR="006D74F2" w:rsidRPr="00A52AB8" w:rsidRDefault="00A5717B" w:rsidP="004A6049">
      <w:pPr>
        <w:pStyle w:val="ListParagraph"/>
        <w:ind w:leftChars="0" w:left="0"/>
      </w:pPr>
      <w:r w:rsidRPr="00A52AB8">
        <w:rPr>
          <w:lang w:eastAsia="ja-JP"/>
        </w:rPr>
        <w:tab/>
      </w:r>
      <w:r w:rsidR="003B2002" w:rsidRPr="00A52AB8">
        <w:rPr>
          <w:lang w:eastAsia="ja-JP"/>
        </w:rPr>
        <w:tab/>
      </w:r>
      <w:r w:rsidR="00AE40FE" w:rsidRPr="00A52AB8">
        <w:rPr>
          <w:lang w:eastAsia="ja-JP"/>
        </w:rPr>
        <w:t>q</w:t>
      </w:r>
      <w:r w:rsidR="00F83DA1" w:rsidRPr="00A52AB8">
        <w:rPr>
          <w:lang w:eastAsia="ja-JP"/>
        </w:rPr>
        <w:t>x</w:t>
      </w:r>
      <w:r w:rsidR="00D47707" w:rsidRPr="00A52AB8">
        <w:rPr>
          <w:lang w:eastAsia="ja-JP"/>
        </w:rPr>
        <w:t> = </w:t>
      </w:r>
      <w:r w:rsidR="006D74F2" w:rsidRPr="00A52AB8">
        <w:t>recPcGeo[ n ]</w:t>
      </w:r>
      <w:r w:rsidR="00D770D3" w:rsidRPr="00A52AB8">
        <w:t>[ 0 ]</w:t>
      </w:r>
      <w:r w:rsidR="00F83DA1" w:rsidRPr="00A52AB8">
        <w:br/>
      </w:r>
      <w:r w:rsidR="00F83DA1" w:rsidRPr="00A52AB8">
        <w:tab/>
      </w:r>
      <w:r w:rsidR="003B2002" w:rsidRPr="00A52AB8">
        <w:tab/>
      </w:r>
      <w:r w:rsidR="00AE40FE" w:rsidRPr="00A52AB8">
        <w:t>q</w:t>
      </w:r>
      <w:r w:rsidR="006D74F2" w:rsidRPr="00A52AB8">
        <w:rPr>
          <w:lang w:eastAsia="ja-JP"/>
        </w:rPr>
        <w:t>y</w:t>
      </w:r>
      <w:r w:rsidR="00D47707" w:rsidRPr="00A52AB8">
        <w:rPr>
          <w:lang w:eastAsia="ja-JP"/>
        </w:rPr>
        <w:t> = </w:t>
      </w:r>
      <w:r w:rsidR="006D74F2" w:rsidRPr="00A52AB8">
        <w:t>recPcGeo[ n ][ 1 ]</w:t>
      </w:r>
      <w:r w:rsidR="006D74F2" w:rsidRPr="00A52AB8">
        <w:rPr>
          <w:lang w:eastAsia="ja-JP"/>
        </w:rPr>
        <w:br/>
      </w:r>
      <w:r w:rsidR="00F83DA1" w:rsidRPr="00A52AB8">
        <w:rPr>
          <w:lang w:eastAsia="ja-JP"/>
        </w:rPr>
        <w:tab/>
      </w:r>
      <w:r w:rsidR="003B2002" w:rsidRPr="00A52AB8">
        <w:rPr>
          <w:lang w:eastAsia="ja-JP"/>
        </w:rPr>
        <w:tab/>
      </w:r>
      <w:r w:rsidR="00AE40FE" w:rsidRPr="00A52AB8">
        <w:rPr>
          <w:lang w:eastAsia="ja-JP"/>
        </w:rPr>
        <w:t>q</w:t>
      </w:r>
      <w:r w:rsidR="006D74F2" w:rsidRPr="00A52AB8">
        <w:rPr>
          <w:lang w:eastAsia="ja-JP"/>
        </w:rPr>
        <w:t>z</w:t>
      </w:r>
      <w:r w:rsidR="00D47707" w:rsidRPr="00A52AB8">
        <w:rPr>
          <w:lang w:eastAsia="ja-JP"/>
        </w:rPr>
        <w:t> = </w:t>
      </w:r>
      <w:r w:rsidR="006D74F2" w:rsidRPr="00A52AB8">
        <w:t>recPcGeo[ n ][ 2 ]</w:t>
      </w:r>
    </w:p>
    <w:p w14:paraId="33654261" w14:textId="53B2014E" w:rsidR="00033C85" w:rsidRPr="00A52AB8" w:rsidRDefault="00F83DA1" w:rsidP="004A6049">
      <w:r w:rsidRPr="00A52AB8">
        <w:rPr>
          <w:lang w:eastAsia="ja-JP"/>
        </w:rPr>
        <w:tab/>
      </w:r>
      <w:r w:rsidR="003B2002" w:rsidRPr="00A52AB8">
        <w:rPr>
          <w:lang w:eastAsia="ja-JP"/>
        </w:rPr>
        <w:tab/>
      </w:r>
      <w:r w:rsidR="00033C85" w:rsidRPr="00A52AB8">
        <w:rPr>
          <w:lang w:eastAsia="ja-JP"/>
        </w:rPr>
        <w:t>for( k =0;</w:t>
      </w:r>
      <w:r w:rsidRPr="00A52AB8">
        <w:rPr>
          <w:lang w:eastAsia="ja-JP"/>
        </w:rPr>
        <w:t> </w:t>
      </w:r>
      <w:r w:rsidR="00033C85" w:rsidRPr="00A52AB8">
        <w:rPr>
          <w:lang w:eastAsia="ja-JP"/>
        </w:rPr>
        <w:t>k &lt; 3</w:t>
      </w:r>
      <w:r w:rsidR="00033C85" w:rsidRPr="00A52AB8">
        <w:t>; k</w:t>
      </w:r>
      <w:r w:rsidR="00006CCF" w:rsidRPr="00A52AB8">
        <w:t>++ )</w:t>
      </w:r>
      <w:r w:rsidR="00033C85" w:rsidRPr="00A52AB8">
        <w:br/>
      </w:r>
      <w:r w:rsidR="00033C85" w:rsidRPr="00A52AB8">
        <w:tab/>
      </w:r>
      <w:r w:rsidR="003B2002" w:rsidRPr="00A52AB8">
        <w:tab/>
      </w:r>
      <w:r w:rsidRPr="00A52AB8">
        <w:tab/>
      </w:r>
      <w:r w:rsidR="00033C85" w:rsidRPr="00A52AB8">
        <w:t>rec</w:t>
      </w:r>
      <w:r w:rsidR="00033C85" w:rsidRPr="00A52AB8">
        <w:rPr>
          <w:lang w:eastAsia="ja-JP"/>
        </w:rPr>
        <w:t>Pos3D</w:t>
      </w:r>
      <w:r w:rsidR="004B7314" w:rsidRPr="00A52AB8">
        <w:rPr>
          <w:lang w:eastAsia="ja-JP"/>
        </w:rPr>
        <w:t>[ k ]</w:t>
      </w:r>
      <w:r w:rsidR="00D47707" w:rsidRPr="00A52AB8">
        <w:rPr>
          <w:lang w:eastAsia="ja-JP"/>
        </w:rPr>
        <w:t> = </w:t>
      </w:r>
      <w:r w:rsidR="00033C85" w:rsidRPr="00A52AB8">
        <w:t>recPcGeo[ n ]</w:t>
      </w:r>
      <w:r w:rsidR="004B7314" w:rsidRPr="00A52AB8">
        <w:t>[ k ]</w:t>
      </w:r>
    </w:p>
    <w:p w14:paraId="59F2320A" w14:textId="0A05C1E8" w:rsidR="000808C0" w:rsidRPr="00A52AB8" w:rsidRDefault="00F83DA1" w:rsidP="004A6049">
      <w:r w:rsidRPr="00A52AB8">
        <w:rPr>
          <w:lang w:eastAsia="ja-JP"/>
        </w:rPr>
        <w:tab/>
      </w:r>
      <w:r w:rsidR="003B2002" w:rsidRPr="00A52AB8">
        <w:rPr>
          <w:lang w:eastAsia="ja-JP"/>
        </w:rPr>
        <w:tab/>
      </w:r>
      <w:r w:rsidR="006D74F2" w:rsidRPr="00A52AB8">
        <w:rPr>
          <w:lang w:eastAsia="ja-JP"/>
        </w:rPr>
        <w:t>halfGridSize</w:t>
      </w:r>
      <w:r w:rsidR="00D47707" w:rsidRPr="00A52AB8">
        <w:rPr>
          <w:lang w:eastAsia="ja-JP"/>
        </w:rPr>
        <w:t> = </w:t>
      </w:r>
      <w:r w:rsidR="006D74F2" w:rsidRPr="00A52AB8">
        <w:rPr>
          <w:lang w:eastAsia="ja-JP"/>
        </w:rPr>
        <w:t>Max( g</w:t>
      </w:r>
      <w:r w:rsidR="00033C85" w:rsidRPr="00A52AB8">
        <w:rPr>
          <w:lang w:eastAsia="ja-JP"/>
        </w:rPr>
        <w:t>eoG</w:t>
      </w:r>
      <w:r w:rsidR="006D74F2" w:rsidRPr="00A52AB8">
        <w:rPr>
          <w:lang w:eastAsia="ja-JP"/>
        </w:rPr>
        <w:t>ridSize / 2,</w:t>
      </w:r>
      <w:r w:rsidRPr="00A52AB8">
        <w:rPr>
          <w:lang w:eastAsia="ja-JP"/>
        </w:rPr>
        <w:t> </w:t>
      </w:r>
      <w:r w:rsidR="006D74F2" w:rsidRPr="00A52AB8">
        <w:rPr>
          <w:lang w:eastAsia="ja-JP"/>
        </w:rPr>
        <w:t>1</w:t>
      </w:r>
      <w:r w:rsidRPr="00A52AB8">
        <w:rPr>
          <w:lang w:eastAsia="ja-JP"/>
        </w:rPr>
        <w:t> </w:t>
      </w:r>
      <w:r w:rsidR="006D74F2" w:rsidRPr="00A52AB8">
        <w:rPr>
          <w:lang w:eastAsia="ja-JP"/>
        </w:rPr>
        <w:t>);</w:t>
      </w:r>
      <w:r w:rsidR="006D74F2" w:rsidRPr="00A52AB8">
        <w:rPr>
          <w:lang w:eastAsia="ja-JP"/>
        </w:rPr>
        <w:br/>
      </w:r>
      <w:r w:rsidR="003B2002" w:rsidRPr="00A52AB8">
        <w:rPr>
          <w:lang w:eastAsia="ja-JP"/>
        </w:rPr>
        <w:tab/>
      </w:r>
      <w:r w:rsidRPr="00A52AB8">
        <w:rPr>
          <w:lang w:eastAsia="ja-JP"/>
        </w:rPr>
        <w:tab/>
      </w:r>
      <w:r w:rsidR="00FE61BE" w:rsidRPr="00A52AB8">
        <w:rPr>
          <w:lang w:eastAsia="ja-JP"/>
        </w:rPr>
        <w:t>maxCoord</w:t>
      </w:r>
      <w:r w:rsidR="00D47707" w:rsidRPr="00A52AB8">
        <w:rPr>
          <w:lang w:eastAsia="ja-JP"/>
        </w:rPr>
        <w:t> = </w:t>
      </w:r>
      <w:r w:rsidR="00FE61BE" w:rsidRPr="00A52AB8">
        <w:rPr>
          <w:lang w:eastAsia="ja-JP"/>
        </w:rPr>
        <w:t>geoGridSize * numCells1D;</w:t>
      </w:r>
      <w:r w:rsidR="00FE61BE" w:rsidRPr="00A52AB8">
        <w:rPr>
          <w:lang w:eastAsia="ja-JP"/>
        </w:rPr>
        <w:br/>
      </w:r>
      <w:r w:rsidR="00FE61BE" w:rsidRPr="00A52AB8">
        <w:tab/>
      </w:r>
      <w:r w:rsidR="003B2002" w:rsidRPr="00A52AB8">
        <w:tab/>
      </w:r>
      <w:r w:rsidR="00FE61BE" w:rsidRPr="00A52AB8">
        <w:t>if( </w:t>
      </w:r>
      <w:r w:rsidR="00AE40FE" w:rsidRPr="00A52AB8">
        <w:t>q</w:t>
      </w:r>
      <w:r w:rsidR="00FE61BE" w:rsidRPr="00A52AB8">
        <w:t>x &lt; </w:t>
      </w:r>
      <w:r w:rsidR="00FE61BE" w:rsidRPr="00A52AB8">
        <w:rPr>
          <w:lang w:eastAsia="ja-JP"/>
        </w:rPr>
        <w:t>halfGridSize</w:t>
      </w:r>
      <w:r w:rsidR="008768E9" w:rsidRPr="00A52AB8">
        <w:rPr>
          <w:lang w:eastAsia="ja-JP"/>
        </w:rPr>
        <w:t> || </w:t>
      </w:r>
      <w:r w:rsidR="00FF3990" w:rsidRPr="00A52AB8">
        <w:rPr>
          <w:lang w:eastAsia="ja-JP"/>
        </w:rPr>
        <w:t>maxCoord</w:t>
      </w:r>
      <w:r w:rsidR="00FF3990" w:rsidRPr="00A52AB8">
        <w:t> </w:t>
      </w:r>
      <w:r w:rsidR="00A234FD" w:rsidRPr="00A52AB8">
        <w:t>&lt;=</w:t>
      </w:r>
      <w:r w:rsidR="00D47707" w:rsidRPr="00A52AB8">
        <w:t> </w:t>
      </w:r>
      <w:r w:rsidR="00FF3990" w:rsidRPr="00A52AB8">
        <w:t>qx + </w:t>
      </w:r>
      <w:r w:rsidR="00FF3990" w:rsidRPr="00A52AB8">
        <w:rPr>
          <w:lang w:eastAsia="ja-JP"/>
        </w:rPr>
        <w:t>halfGridSize</w:t>
      </w:r>
      <w:r w:rsidR="008768E9" w:rsidRPr="00A52AB8">
        <w:rPr>
          <w:lang w:eastAsia="ja-JP"/>
        </w:rPr>
        <w:t> ||</w:t>
      </w:r>
      <w:r w:rsidR="00FF3990" w:rsidRPr="00A52AB8">
        <w:br/>
      </w:r>
      <w:r w:rsidR="00FF3990" w:rsidRPr="00A52AB8">
        <w:tab/>
      </w:r>
      <w:r w:rsidR="00FF3990" w:rsidRPr="00A52AB8">
        <w:tab/>
      </w:r>
      <w:r w:rsidR="00FF3990" w:rsidRPr="00A52AB8">
        <w:tab/>
      </w:r>
      <w:r w:rsidR="00AE40FE" w:rsidRPr="00A52AB8">
        <w:t>q</w:t>
      </w:r>
      <w:r w:rsidR="00FE61BE" w:rsidRPr="00A52AB8">
        <w:t>y &lt; </w:t>
      </w:r>
      <w:r w:rsidR="00FE61BE" w:rsidRPr="00A52AB8">
        <w:rPr>
          <w:lang w:eastAsia="ja-JP"/>
        </w:rPr>
        <w:t>halfGridSize</w:t>
      </w:r>
      <w:r w:rsidR="008768E9" w:rsidRPr="00A52AB8">
        <w:t> || </w:t>
      </w:r>
      <w:r w:rsidR="00FF3990" w:rsidRPr="00A52AB8">
        <w:rPr>
          <w:lang w:eastAsia="ja-JP"/>
        </w:rPr>
        <w:t>maxCoord</w:t>
      </w:r>
      <w:r w:rsidR="00FF3990" w:rsidRPr="00A52AB8">
        <w:t> </w:t>
      </w:r>
      <w:r w:rsidR="00A234FD" w:rsidRPr="00A52AB8">
        <w:t>&lt;=</w:t>
      </w:r>
      <w:r w:rsidR="00D47707" w:rsidRPr="00A52AB8">
        <w:t> </w:t>
      </w:r>
      <w:r w:rsidR="00FF3990" w:rsidRPr="00A52AB8">
        <w:t>qy + </w:t>
      </w:r>
      <w:r w:rsidR="00FF3990" w:rsidRPr="00A52AB8">
        <w:rPr>
          <w:lang w:eastAsia="ja-JP"/>
        </w:rPr>
        <w:t>halfGridSize</w:t>
      </w:r>
      <w:r w:rsidR="008768E9" w:rsidRPr="00A52AB8">
        <w:rPr>
          <w:lang w:eastAsia="ja-JP"/>
        </w:rPr>
        <w:t> ||</w:t>
      </w:r>
      <w:r w:rsidR="00FF3990" w:rsidRPr="00A52AB8">
        <w:br/>
      </w:r>
      <w:r w:rsidR="00FF3990" w:rsidRPr="00A52AB8">
        <w:tab/>
      </w:r>
      <w:r w:rsidR="00FF3990" w:rsidRPr="00A52AB8">
        <w:tab/>
      </w:r>
      <w:r w:rsidR="00FF3990" w:rsidRPr="00A52AB8">
        <w:tab/>
      </w:r>
      <w:r w:rsidR="00AE40FE" w:rsidRPr="00A52AB8">
        <w:t>q</w:t>
      </w:r>
      <w:r w:rsidR="00FE61BE" w:rsidRPr="00A52AB8">
        <w:t>z &lt; </w:t>
      </w:r>
      <w:r w:rsidR="00FE61BE" w:rsidRPr="00A52AB8">
        <w:rPr>
          <w:lang w:eastAsia="ja-JP"/>
        </w:rPr>
        <w:t>halfGridSize</w:t>
      </w:r>
      <w:r w:rsidR="008768E9" w:rsidRPr="00A52AB8">
        <w:t> || </w:t>
      </w:r>
      <w:r w:rsidR="00FE61BE" w:rsidRPr="00A52AB8">
        <w:rPr>
          <w:lang w:eastAsia="ja-JP"/>
        </w:rPr>
        <w:t>maxCoord</w:t>
      </w:r>
      <w:r w:rsidR="00FE61BE" w:rsidRPr="00A52AB8">
        <w:t> </w:t>
      </w:r>
      <w:r w:rsidR="00A234FD" w:rsidRPr="00A52AB8">
        <w:t>&lt;=</w:t>
      </w:r>
      <w:r w:rsidR="00D47707" w:rsidRPr="00A52AB8">
        <w:t> </w:t>
      </w:r>
      <w:r w:rsidR="00AE40FE" w:rsidRPr="00A52AB8">
        <w:t>q</w:t>
      </w:r>
      <w:r w:rsidR="00FE61BE" w:rsidRPr="00A52AB8">
        <w:t>z + </w:t>
      </w:r>
      <w:r w:rsidR="00FE61BE" w:rsidRPr="00A52AB8">
        <w:rPr>
          <w:lang w:eastAsia="ja-JP"/>
        </w:rPr>
        <w:t>halfGridSize</w:t>
      </w:r>
      <w:r w:rsidR="00FE61BE" w:rsidRPr="00A52AB8">
        <w:t> )</w:t>
      </w:r>
      <w:r w:rsidR="00534CC9" w:rsidRPr="00A52AB8">
        <w:br/>
      </w:r>
      <w:r w:rsidR="00534CC9" w:rsidRPr="00A52AB8">
        <w:tab/>
      </w:r>
      <w:r w:rsidR="00534CC9" w:rsidRPr="00A52AB8">
        <w:tab/>
      </w:r>
      <w:r w:rsidR="000808C0" w:rsidRPr="00A52AB8">
        <w:tab/>
      </w:r>
      <w:r w:rsidR="00FE61BE" w:rsidRPr="00A52AB8">
        <w:t>continue</w:t>
      </w:r>
      <w:r w:rsidR="000808C0" w:rsidRPr="00A52AB8">
        <w:rPr>
          <w:lang w:eastAsia="ja-JP"/>
        </w:rPr>
        <w:tab/>
      </w:r>
    </w:p>
    <w:p w14:paraId="77678947" w14:textId="04003888" w:rsidR="000808C0" w:rsidRPr="00A52AB8" w:rsidRDefault="000808C0" w:rsidP="009C6742">
      <w:pPr>
        <w:ind w:left="810" w:hanging="810"/>
      </w:pPr>
      <w:r w:rsidRPr="00A52AB8">
        <w:rPr>
          <w:lang w:eastAsia="ja-JP"/>
        </w:rPr>
        <w:tab/>
      </w:r>
      <w:r w:rsidRPr="00A52AB8">
        <w:rPr>
          <w:lang w:eastAsia="ja-JP"/>
        </w:rPr>
        <w:tab/>
      </w:r>
      <w:r w:rsidR="002C6A96" w:rsidRPr="00A52AB8">
        <w:rPr>
          <w:lang w:eastAsia="ja-JP"/>
        </w:rPr>
        <w:t>I</w:t>
      </w:r>
      <w:r w:rsidR="006D74F2" w:rsidRPr="00A52AB8">
        <w:rPr>
          <w:lang w:eastAsia="ja-JP"/>
        </w:rPr>
        <w:t>f isBoundaryPoint</w:t>
      </w:r>
      <w:r w:rsidR="000B7FBC" w:rsidRPr="00A52AB8">
        <w:rPr>
          <w:lang w:eastAsia="ja-JP"/>
        </w:rPr>
        <w:t>[ n ]</w:t>
      </w:r>
      <w:r w:rsidR="00683C60" w:rsidRPr="00A52AB8">
        <w:rPr>
          <w:lang w:eastAsia="ja-JP"/>
        </w:rPr>
        <w:t xml:space="preserve"> </w:t>
      </w:r>
      <w:r w:rsidR="006D74F2" w:rsidRPr="00A52AB8">
        <w:rPr>
          <w:lang w:eastAsia="ja-JP"/>
        </w:rPr>
        <w:t xml:space="preserve">is </w:t>
      </w:r>
      <w:r w:rsidR="00033C85" w:rsidRPr="00A52AB8">
        <w:rPr>
          <w:lang w:eastAsia="ja-JP"/>
        </w:rPr>
        <w:t>greater than 0</w:t>
      </w:r>
      <w:r w:rsidR="006D74F2" w:rsidRPr="00A52AB8">
        <w:rPr>
          <w:lang w:eastAsia="ja-JP"/>
        </w:rPr>
        <w:t xml:space="preserve">, </w:t>
      </w:r>
      <w:r w:rsidR="00744D39" w:rsidRPr="00A52AB8">
        <w:rPr>
          <w:lang w:eastAsia="ja-JP"/>
        </w:rPr>
        <w:t>subclause</w:t>
      </w:r>
      <w:r w:rsidR="007E002B" w:rsidRPr="00A52AB8">
        <w:rPr>
          <w:lang w:eastAsia="ja-JP"/>
        </w:rPr>
        <w:t xml:space="preserve"> </w:t>
      </w:r>
      <w:r w:rsidR="007E002B" w:rsidRPr="00496A4D">
        <w:rPr>
          <w:lang w:eastAsia="ja-JP"/>
        </w:rPr>
        <w:fldChar w:fldCharType="begin"/>
      </w:r>
      <w:r w:rsidR="007E002B" w:rsidRPr="00A52AB8">
        <w:rPr>
          <w:lang w:eastAsia="ja-JP"/>
        </w:rPr>
        <w:instrText xml:space="preserve"> REF _Ref39817415 \r \h </w:instrText>
      </w:r>
      <w:r w:rsidR="00CA5401" w:rsidRPr="00A52AB8">
        <w:rPr>
          <w:lang w:eastAsia="ja-JP"/>
        </w:rPr>
        <w:instrText xml:space="preserve"> \* MERGEFORMAT </w:instrText>
      </w:r>
      <w:r w:rsidR="007E002B" w:rsidRPr="00496A4D">
        <w:rPr>
          <w:lang w:eastAsia="ja-JP"/>
        </w:rPr>
      </w:r>
      <w:r w:rsidR="007E002B" w:rsidRPr="00496A4D">
        <w:rPr>
          <w:lang w:eastAsia="ja-JP"/>
        </w:rPr>
        <w:fldChar w:fldCharType="separate"/>
      </w:r>
      <w:r w:rsidR="00507A67">
        <w:rPr>
          <w:lang w:eastAsia="ja-JP"/>
        </w:rPr>
        <w:t>H.12.6</w:t>
      </w:r>
      <w:r w:rsidR="007E002B" w:rsidRPr="00496A4D">
        <w:rPr>
          <w:lang w:eastAsia="ja-JP"/>
        </w:rPr>
        <w:fldChar w:fldCharType="end"/>
      </w:r>
      <w:r w:rsidR="006D74F2" w:rsidRPr="00A52AB8">
        <w:rPr>
          <w:lang w:eastAsia="ja-JP"/>
        </w:rPr>
        <w:t xml:space="preserve"> is invoked with </w:t>
      </w:r>
      <w:r w:rsidR="00670C71" w:rsidRPr="00A52AB8">
        <w:rPr>
          <w:lang w:eastAsia="ja-JP"/>
        </w:rPr>
        <w:t>variables</w:t>
      </w:r>
      <w:r w:rsidR="002C6A96" w:rsidRPr="00A52AB8">
        <w:rPr>
          <w:lang w:eastAsia="ja-JP"/>
        </w:rPr>
        <w:t xml:space="preserve"> </w:t>
      </w:r>
      <w:r w:rsidR="006D74F2" w:rsidRPr="00A52AB8">
        <w:rPr>
          <w:lang w:eastAsia="ja-JP"/>
        </w:rPr>
        <w:t xml:space="preserve">numCells1D,numBoundaryCells, </w:t>
      </w:r>
      <w:r w:rsidR="00670C71" w:rsidRPr="00A52AB8">
        <w:rPr>
          <w:lang w:eastAsia="ja-JP"/>
        </w:rPr>
        <w:t xml:space="preserve">and arrays </w:t>
      </w:r>
      <w:r w:rsidR="00033C85" w:rsidRPr="00A52AB8">
        <w:rPr>
          <w:lang w:eastAsia="ja-JP"/>
        </w:rPr>
        <w:t>recPos3D</w:t>
      </w:r>
      <w:r w:rsidR="006D74F2" w:rsidRPr="00A52AB8">
        <w:rPr>
          <w:lang w:eastAsia="ja-JP"/>
        </w:rPr>
        <w:t xml:space="preserve">, </w:t>
      </w:r>
      <w:r w:rsidR="006D74F2" w:rsidRPr="00A52AB8">
        <w:t>cellIdxLut</w:t>
      </w:r>
      <w:r w:rsidR="00683C60" w:rsidRPr="00A52AB8">
        <w:t xml:space="preserve">, </w:t>
      </w:r>
      <w:r w:rsidR="00AE40FE" w:rsidRPr="00A52AB8">
        <w:t>cellCnt</w:t>
      </w:r>
      <w:r w:rsidR="00FE61BE" w:rsidRPr="00A52AB8">
        <w:t xml:space="preserve">, </w:t>
      </w:r>
      <w:r w:rsidR="00683C60" w:rsidRPr="00A52AB8">
        <w:t>and</w:t>
      </w:r>
      <w:r w:rsidR="002C6A96" w:rsidRPr="00A52AB8">
        <w:t xml:space="preserve"> </w:t>
      </w:r>
      <w:r w:rsidR="00683C60" w:rsidRPr="00A52AB8">
        <w:t xml:space="preserve">cellDoSmoothing </w:t>
      </w:r>
      <w:r w:rsidR="006D74F2" w:rsidRPr="00A52AB8">
        <w:t xml:space="preserve">as inputs and the outputs are </w:t>
      </w:r>
      <w:r w:rsidR="00670C71" w:rsidRPr="00A52AB8">
        <w:t>variables</w:t>
      </w:r>
      <w:r w:rsidR="002C6A96" w:rsidRPr="00A52AB8">
        <w:t xml:space="preserve"> </w:t>
      </w:r>
      <w:r w:rsidR="006D74F2" w:rsidRPr="00A52AB8">
        <w:t>otherClusterPtCnt,</w:t>
      </w:r>
      <w:r w:rsidR="00AE40FE" w:rsidRPr="00A52AB8">
        <w:t xml:space="preserve"> </w:t>
      </w:r>
      <w:r w:rsidR="00670C71" w:rsidRPr="00A52AB8">
        <w:t xml:space="preserve">currentCell1DIdx, and arrays </w:t>
      </w:r>
      <w:r w:rsidR="006D74F2" w:rsidRPr="00A52AB8">
        <w:t>idxArr, cellAnchor.</w:t>
      </w:r>
    </w:p>
    <w:p w14:paraId="4AB61E38" w14:textId="2CDEA691" w:rsidR="000808C0" w:rsidRPr="00A52AB8" w:rsidRDefault="000808C0" w:rsidP="009C6742">
      <w:r w:rsidRPr="00A52AB8">
        <w:tab/>
      </w:r>
      <w:r w:rsidRPr="00A52AB8">
        <w:tab/>
      </w:r>
      <w:r w:rsidR="002C6A96" w:rsidRPr="00A52AB8">
        <w:t>When otherClusterPointCnt is equal to 1, the following applies:</w:t>
      </w:r>
    </w:p>
    <w:p w14:paraId="45E2A27C" w14:textId="3873FAB2" w:rsidR="002C6A96" w:rsidRPr="00A52AB8" w:rsidRDefault="002C6A96" w:rsidP="008F2A4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9" w:hanging="403"/>
        <w:textAlignment w:val="baseline"/>
        <w:rPr>
          <w:color w:val="000000" w:themeColor="text1"/>
        </w:rPr>
      </w:pPr>
      <w:r w:rsidRPr="00A52AB8">
        <w:rPr>
          <w:color w:val="000000" w:themeColor="text1"/>
        </w:rPr>
        <w:t>A</w:t>
      </w:r>
      <w:r w:rsidR="003B2002" w:rsidRPr="00A52AB8">
        <w:rPr>
          <w:color w:val="000000" w:themeColor="text1"/>
        </w:rPr>
        <w:t xml:space="preserve"> 4D </w:t>
      </w:r>
      <w:r w:rsidRPr="00A52AB8">
        <w:rPr>
          <w:color w:val="000000" w:themeColor="text1"/>
        </w:rPr>
        <w:t>array</w:t>
      </w:r>
      <w:r w:rsidR="003B2002" w:rsidRPr="00A52AB8">
        <w:rPr>
          <w:color w:val="000000" w:themeColor="text1"/>
        </w:rPr>
        <w:t>,</w:t>
      </w:r>
      <w:r w:rsidRPr="00A52AB8">
        <w:rPr>
          <w:color w:val="000000" w:themeColor="text1"/>
        </w:rPr>
        <w:t xml:space="preserve"> centroid</w:t>
      </w:r>
      <w:r w:rsidR="003B2002" w:rsidRPr="00A52AB8">
        <w:rPr>
          <w:color w:val="000000" w:themeColor="text1"/>
        </w:rPr>
        <w:t>, of size 2</w:t>
      </w:r>
      <w:r w:rsidR="003748C3" w:rsidRPr="00A52AB8">
        <w:rPr>
          <w:color w:val="000000" w:themeColor="text1"/>
        </w:rPr>
        <w:t> </w:t>
      </w:r>
      <w:r w:rsidR="003B2002" w:rsidRPr="00A52AB8">
        <w:rPr>
          <w:color w:val="000000" w:themeColor="text1"/>
        </w:rPr>
        <w:t>×</w:t>
      </w:r>
      <w:r w:rsidR="003748C3" w:rsidRPr="00A52AB8">
        <w:rPr>
          <w:color w:val="000000" w:themeColor="text1"/>
        </w:rPr>
        <w:t> </w:t>
      </w:r>
      <w:r w:rsidR="003B2002" w:rsidRPr="00A52AB8">
        <w:rPr>
          <w:color w:val="000000" w:themeColor="text1"/>
        </w:rPr>
        <w:t>2</w:t>
      </w:r>
      <w:r w:rsidR="003748C3" w:rsidRPr="00A52AB8">
        <w:rPr>
          <w:color w:val="000000" w:themeColor="text1"/>
        </w:rPr>
        <w:t> </w:t>
      </w:r>
      <w:r w:rsidR="003B2002" w:rsidRPr="00A52AB8">
        <w:rPr>
          <w:color w:val="000000" w:themeColor="text1"/>
        </w:rPr>
        <w:t>×</w:t>
      </w:r>
      <w:r w:rsidR="003748C3" w:rsidRPr="00A52AB8">
        <w:rPr>
          <w:color w:val="000000" w:themeColor="text1"/>
        </w:rPr>
        <w:t> </w:t>
      </w:r>
      <w:r w:rsidR="003B2002" w:rsidRPr="00A52AB8">
        <w:rPr>
          <w:color w:val="000000" w:themeColor="text1"/>
        </w:rPr>
        <w:t>2</w:t>
      </w:r>
      <w:r w:rsidR="003748C3" w:rsidRPr="00A52AB8">
        <w:rPr>
          <w:color w:val="000000" w:themeColor="text1"/>
        </w:rPr>
        <w:t> </w:t>
      </w:r>
      <w:r w:rsidR="003B2002" w:rsidRPr="00A52AB8">
        <w:rPr>
          <w:color w:val="000000" w:themeColor="text1"/>
        </w:rPr>
        <w:t>×</w:t>
      </w:r>
      <w:r w:rsidR="003748C3" w:rsidRPr="00A52AB8">
        <w:rPr>
          <w:color w:val="000000" w:themeColor="text1"/>
        </w:rPr>
        <w:t> </w:t>
      </w:r>
      <w:r w:rsidR="003B2002" w:rsidRPr="00A52AB8">
        <w:rPr>
          <w:color w:val="000000" w:themeColor="text1"/>
        </w:rPr>
        <w:t xml:space="preserve">3 </w:t>
      </w:r>
      <w:r w:rsidRPr="00A52AB8">
        <w:rPr>
          <w:color w:val="000000" w:themeColor="text1"/>
        </w:rPr>
        <w:t>is calculated as follows:</w:t>
      </w:r>
    </w:p>
    <w:p w14:paraId="2B9DEC2E" w14:textId="680EF6C6" w:rsidR="000808C0" w:rsidRPr="00A52AB8" w:rsidRDefault="002C6A96" w:rsidP="00137FB4">
      <w:r w:rsidRPr="00A52AB8">
        <w:tab/>
      </w:r>
      <w:r w:rsidRPr="00A52AB8">
        <w:tab/>
      </w:r>
      <w:r w:rsidRPr="00A52AB8">
        <w:tab/>
      </w:r>
      <w:r w:rsidR="006D74F2" w:rsidRPr="00A52AB8">
        <w:t>for( dx</w:t>
      </w:r>
      <w:r w:rsidR="00D47707" w:rsidRPr="00A52AB8">
        <w:t> = </w:t>
      </w:r>
      <w:r w:rsidR="006D74F2" w:rsidRPr="00A52AB8">
        <w:t>0; dx &lt; 2; dx</w:t>
      </w:r>
      <w:r w:rsidR="00006CCF" w:rsidRPr="00A52AB8">
        <w:t>++ </w:t>
      </w:r>
      <w:r w:rsidR="008F1F82" w:rsidRPr="00A52AB8">
        <w:t>) {</w:t>
      </w:r>
      <w:r w:rsidR="006D74F2" w:rsidRPr="00A52AB8">
        <w:br/>
      </w:r>
      <w:r w:rsidR="006D74F2" w:rsidRPr="00A52AB8">
        <w:tab/>
      </w:r>
      <w:r w:rsidRPr="00A52AB8">
        <w:tab/>
      </w:r>
      <w:r w:rsidRPr="00A52AB8">
        <w:tab/>
      </w:r>
      <w:r w:rsidR="000808C0" w:rsidRPr="00A52AB8">
        <w:tab/>
      </w:r>
      <w:r w:rsidR="006D74F2" w:rsidRPr="00A52AB8">
        <w:t>for( dy</w:t>
      </w:r>
      <w:r w:rsidR="00D47707" w:rsidRPr="00A52AB8">
        <w:t> = </w:t>
      </w:r>
      <w:r w:rsidR="006D74F2" w:rsidRPr="00A52AB8">
        <w:t>0; dy &lt; 2; dy</w:t>
      </w:r>
      <w:r w:rsidR="00006CCF" w:rsidRPr="00A52AB8">
        <w:t>++ </w:t>
      </w:r>
      <w:r w:rsidR="008F1F82" w:rsidRPr="00A52AB8">
        <w:t>) {</w:t>
      </w:r>
      <w:r w:rsidR="006D74F2" w:rsidRPr="00A52AB8">
        <w:br/>
      </w:r>
      <w:r w:rsidR="006D74F2" w:rsidRPr="00A52AB8">
        <w:rPr>
          <w:lang w:eastAsia="ja-JP"/>
        </w:rPr>
        <w:tab/>
      </w:r>
      <w:r w:rsidR="006D74F2" w:rsidRPr="00A52AB8">
        <w:rPr>
          <w:lang w:eastAsia="ja-JP"/>
        </w:rPr>
        <w:tab/>
      </w:r>
      <w:r w:rsidRPr="00A52AB8">
        <w:rPr>
          <w:lang w:eastAsia="ja-JP"/>
        </w:rPr>
        <w:tab/>
      </w:r>
      <w:r w:rsidR="000808C0" w:rsidRPr="00A52AB8">
        <w:rPr>
          <w:lang w:eastAsia="ja-JP"/>
        </w:rPr>
        <w:tab/>
      </w:r>
      <w:r w:rsidRPr="00A52AB8">
        <w:rPr>
          <w:lang w:eastAsia="ja-JP"/>
        </w:rPr>
        <w:tab/>
      </w:r>
      <w:r w:rsidR="006D74F2" w:rsidRPr="00A52AB8">
        <w:t>for( dz</w:t>
      </w:r>
      <w:r w:rsidR="00D47707" w:rsidRPr="00A52AB8">
        <w:t> = </w:t>
      </w:r>
      <w:r w:rsidR="006D74F2" w:rsidRPr="00A52AB8">
        <w:t>0; dz &lt; 2; dz</w:t>
      </w:r>
      <w:r w:rsidR="00006CCF" w:rsidRPr="00A52AB8">
        <w:t>++ </w:t>
      </w:r>
      <w:r w:rsidR="008F1F82" w:rsidRPr="00A52AB8">
        <w:t>) {</w:t>
      </w:r>
      <w:r w:rsidR="006D74F2" w:rsidRPr="00A52AB8">
        <w:br/>
      </w:r>
      <w:r w:rsidR="006D74F2" w:rsidRPr="00A52AB8">
        <w:tab/>
      </w:r>
      <w:r w:rsidR="006D74F2" w:rsidRPr="00A52AB8">
        <w:tab/>
      </w:r>
      <w:r w:rsidR="006D74F2" w:rsidRPr="00A52AB8">
        <w:tab/>
      </w:r>
      <w:r w:rsidRPr="00A52AB8">
        <w:tab/>
      </w:r>
      <w:r w:rsidR="000808C0" w:rsidRPr="00A52AB8">
        <w:tab/>
      </w:r>
      <w:r w:rsidRPr="00A52AB8">
        <w:tab/>
      </w:r>
      <w:r w:rsidR="006D74F2" w:rsidRPr="00A52AB8">
        <w:t>tmpIdx</w:t>
      </w:r>
      <w:r w:rsidR="00D47707" w:rsidRPr="00A52AB8">
        <w:t> = </w:t>
      </w:r>
      <w:r w:rsidR="006D74F2" w:rsidRPr="00A52AB8">
        <w:t>idxArr[ dx ][ dy ][ dz ]</w:t>
      </w:r>
      <w:r w:rsidR="00683C60" w:rsidRPr="00A52AB8">
        <w:br/>
      </w:r>
      <w:r w:rsidR="00683C60" w:rsidRPr="00A52AB8">
        <w:tab/>
      </w:r>
      <w:r w:rsidR="00683C60" w:rsidRPr="00A52AB8">
        <w:tab/>
      </w:r>
      <w:r w:rsidR="00683C60" w:rsidRPr="00A52AB8">
        <w:tab/>
      </w:r>
      <w:r w:rsidRPr="00A52AB8">
        <w:tab/>
      </w:r>
      <w:r w:rsidRPr="00A52AB8">
        <w:tab/>
      </w:r>
      <w:r w:rsidR="000808C0" w:rsidRPr="00A52AB8">
        <w:tab/>
      </w:r>
      <w:r w:rsidR="00683C60" w:rsidRPr="00A52AB8">
        <w:t>if( cellCnt[ tmpIdx ] &gt; 0 )</w:t>
      </w:r>
      <w:r w:rsidR="006D74F2" w:rsidRPr="00A52AB8">
        <w:br/>
      </w:r>
      <w:r w:rsidR="006D74F2" w:rsidRPr="00A52AB8">
        <w:tab/>
      </w:r>
      <w:r w:rsidR="006D74F2" w:rsidRPr="00A52AB8">
        <w:tab/>
      </w:r>
      <w:r w:rsidR="006D74F2" w:rsidRPr="00A52AB8">
        <w:tab/>
      </w:r>
      <w:r w:rsidRPr="00A52AB8">
        <w:tab/>
      </w:r>
      <w:r w:rsidRPr="00A52AB8">
        <w:tab/>
      </w:r>
      <w:r w:rsidRPr="00A52AB8">
        <w:tab/>
      </w:r>
      <w:r w:rsidR="000808C0" w:rsidRPr="00A52AB8">
        <w:tab/>
      </w:r>
      <w:r w:rsidR="006D74F2" w:rsidRPr="00A52AB8">
        <w:t>for( k</w:t>
      </w:r>
      <w:r w:rsidR="00D47707" w:rsidRPr="00A52AB8">
        <w:t> = </w:t>
      </w:r>
      <w:r w:rsidR="006D74F2" w:rsidRPr="00A52AB8">
        <w:t>0; k &lt; 3; k</w:t>
      </w:r>
      <w:r w:rsidR="00006CCF" w:rsidRPr="00A52AB8">
        <w:t>++ )</w:t>
      </w:r>
      <w:r w:rsidR="006D74F2" w:rsidRPr="00A52AB8">
        <w:br/>
      </w:r>
      <w:r w:rsidR="006D74F2" w:rsidRPr="00A52AB8">
        <w:tab/>
      </w:r>
      <w:r w:rsidR="006D74F2" w:rsidRPr="00A52AB8">
        <w:tab/>
      </w:r>
      <w:r w:rsidR="006D74F2" w:rsidRPr="00A52AB8">
        <w:tab/>
      </w:r>
      <w:r w:rsidRPr="00A52AB8">
        <w:tab/>
      </w:r>
      <w:r w:rsidRPr="00A52AB8">
        <w:tab/>
      </w:r>
      <w:r w:rsidRPr="00A52AB8">
        <w:tab/>
      </w:r>
      <w:r w:rsidRPr="00A52AB8">
        <w:tab/>
      </w:r>
      <w:r w:rsidR="000808C0" w:rsidRPr="00A52AB8">
        <w:tab/>
      </w:r>
      <w:r w:rsidR="006D74F2" w:rsidRPr="00A52AB8">
        <w:t>centroid[ dx ][ dy ][ dz ]</w:t>
      </w:r>
      <w:r w:rsidR="004B7314" w:rsidRPr="00A52AB8">
        <w:t>[ k ]</w:t>
      </w:r>
      <w:r w:rsidR="00D47707" w:rsidRPr="00A52AB8">
        <w:t> = </w:t>
      </w:r>
      <w:r w:rsidR="006D74F2" w:rsidRPr="00A52AB8">
        <w:t>geoCenterGrid[ tmpIdx ]</w:t>
      </w:r>
      <w:r w:rsidR="004B7314" w:rsidRPr="00A52AB8">
        <w:t>[ k ]</w:t>
      </w:r>
      <w:r w:rsidR="006D74F2" w:rsidRPr="00A52AB8">
        <w:br/>
      </w:r>
      <w:r w:rsidR="006D74F2" w:rsidRPr="00A52AB8">
        <w:tab/>
      </w:r>
      <w:r w:rsidR="006D74F2" w:rsidRPr="00A52AB8">
        <w:tab/>
      </w:r>
      <w:r w:rsidR="006D74F2" w:rsidRPr="00A52AB8">
        <w:tab/>
      </w:r>
      <w:r w:rsidRPr="00A52AB8">
        <w:tab/>
      </w:r>
      <w:r w:rsidRPr="00A52AB8">
        <w:tab/>
      </w:r>
      <w:r w:rsidR="000808C0" w:rsidRPr="00A52AB8">
        <w:tab/>
      </w:r>
      <w:r w:rsidR="006D74F2" w:rsidRPr="00A52AB8">
        <w:t>else</w:t>
      </w:r>
      <w:r w:rsidR="006D74F2" w:rsidRPr="00A52AB8">
        <w:br/>
      </w:r>
      <w:r w:rsidR="006D74F2" w:rsidRPr="00A52AB8">
        <w:tab/>
      </w:r>
      <w:r w:rsidR="006D74F2" w:rsidRPr="00A52AB8">
        <w:tab/>
      </w:r>
      <w:r w:rsidR="006D74F2" w:rsidRPr="00A52AB8">
        <w:tab/>
      </w:r>
      <w:r w:rsidRPr="00A52AB8">
        <w:tab/>
      </w:r>
      <w:r w:rsidRPr="00A52AB8">
        <w:tab/>
      </w:r>
      <w:r w:rsidR="000808C0" w:rsidRPr="00A52AB8">
        <w:tab/>
      </w:r>
      <w:r w:rsidRPr="00A52AB8">
        <w:tab/>
      </w:r>
      <w:r w:rsidR="006D74F2" w:rsidRPr="00A52AB8">
        <w:t>for( k</w:t>
      </w:r>
      <w:r w:rsidR="00D47707" w:rsidRPr="00A52AB8">
        <w:t> = </w:t>
      </w:r>
      <w:r w:rsidR="006D74F2" w:rsidRPr="00A52AB8">
        <w:t>0; k &lt; 3; k</w:t>
      </w:r>
      <w:r w:rsidR="00006CCF" w:rsidRPr="00A52AB8">
        <w:t>++ )</w:t>
      </w:r>
      <w:r w:rsidR="006D74F2" w:rsidRPr="00A52AB8">
        <w:br/>
      </w:r>
      <w:r w:rsidR="006D74F2" w:rsidRPr="00A52AB8">
        <w:tab/>
      </w:r>
      <w:r w:rsidR="006D74F2" w:rsidRPr="00A52AB8">
        <w:tab/>
      </w:r>
      <w:r w:rsidR="006D74F2" w:rsidRPr="00A52AB8">
        <w:tab/>
      </w:r>
      <w:r w:rsidRPr="00A52AB8">
        <w:tab/>
      </w:r>
      <w:r w:rsidR="000808C0" w:rsidRPr="00A52AB8">
        <w:tab/>
      </w:r>
      <w:r w:rsidRPr="00A52AB8">
        <w:tab/>
      </w:r>
      <w:r w:rsidRPr="00A52AB8">
        <w:tab/>
      </w:r>
      <w:r w:rsidRPr="00A52AB8">
        <w:tab/>
      </w:r>
      <w:r w:rsidR="006D74F2" w:rsidRPr="00A52AB8">
        <w:t>centroid[ dx ][ dy ][ dz ]</w:t>
      </w:r>
      <w:r w:rsidR="004B7314" w:rsidRPr="00A52AB8">
        <w:t>[ k ]</w:t>
      </w:r>
      <w:r w:rsidR="00D47707" w:rsidRPr="00A52AB8">
        <w:t> = </w:t>
      </w:r>
      <w:r w:rsidR="006D74F2" w:rsidRPr="00A52AB8">
        <w:t>recPcGeo[ n ]</w:t>
      </w:r>
      <w:r w:rsidR="004B7314" w:rsidRPr="00A52AB8">
        <w:t>[ k ]</w:t>
      </w:r>
      <w:r w:rsidR="006D74F2" w:rsidRPr="00A52AB8">
        <w:br/>
      </w:r>
      <w:r w:rsidR="006D74F2" w:rsidRPr="00A52AB8">
        <w:tab/>
      </w:r>
      <w:r w:rsidR="006D74F2" w:rsidRPr="00A52AB8">
        <w:tab/>
      </w:r>
      <w:r w:rsidRPr="00A52AB8">
        <w:tab/>
      </w:r>
      <w:r w:rsidR="000808C0" w:rsidRPr="00A52AB8">
        <w:tab/>
      </w:r>
      <w:r w:rsidRPr="00A52AB8">
        <w:tab/>
      </w:r>
      <w:r w:rsidR="006D74F2" w:rsidRPr="00A52AB8">
        <w:t>}</w:t>
      </w:r>
      <w:r w:rsidR="003B2002" w:rsidRPr="00A52AB8">
        <w:br/>
      </w:r>
      <w:r w:rsidR="003B2002" w:rsidRPr="00A52AB8">
        <w:tab/>
      </w:r>
      <w:r w:rsidR="003B2002" w:rsidRPr="00A52AB8">
        <w:tab/>
      </w:r>
      <w:r w:rsidR="003B2002" w:rsidRPr="00A52AB8">
        <w:tab/>
      </w:r>
      <w:r w:rsidR="003B2002" w:rsidRPr="00A52AB8">
        <w:tab/>
        <w:t>}</w:t>
      </w:r>
      <w:r w:rsidR="003B2002" w:rsidRPr="00A52AB8">
        <w:br/>
      </w:r>
      <w:r w:rsidR="003B2002" w:rsidRPr="00A52AB8">
        <w:tab/>
      </w:r>
      <w:r w:rsidR="003B2002" w:rsidRPr="00A52AB8">
        <w:tab/>
      </w:r>
      <w:r w:rsidR="000808C0" w:rsidRPr="00A52AB8">
        <w:tab/>
      </w:r>
      <w:r w:rsidR="003B2002" w:rsidRPr="00A52AB8">
        <w:t>}</w:t>
      </w:r>
    </w:p>
    <w:p w14:paraId="7223A701" w14:textId="754A24C9" w:rsidR="002507A6" w:rsidRPr="00A52AB8" w:rsidRDefault="002507A6" w:rsidP="009C6742">
      <w:pPr>
        <w:ind w:left="810" w:hanging="810"/>
        <w:rPr>
          <w:lang w:eastAsia="ja-JP"/>
        </w:rPr>
      </w:pPr>
      <w:r w:rsidRPr="00A52AB8">
        <w:rPr>
          <w:lang w:eastAsia="ja-JP"/>
        </w:rPr>
        <w:tab/>
      </w:r>
      <w:r w:rsidRPr="00A52AB8">
        <w:rPr>
          <w:lang w:eastAsia="ja-JP"/>
        </w:rPr>
        <w:tab/>
      </w:r>
      <w:r w:rsidR="00744D39" w:rsidRPr="00A52AB8">
        <w:rPr>
          <w:lang w:eastAsia="ja-JP"/>
        </w:rPr>
        <w:t>Subclause</w:t>
      </w:r>
      <w:r w:rsidR="006D74F2" w:rsidRPr="00A52AB8">
        <w:rPr>
          <w:lang w:eastAsia="ja-JP"/>
        </w:rPr>
        <w:t xml:space="preserve"> </w:t>
      </w:r>
      <w:r w:rsidR="00C53937" w:rsidRPr="00496A4D">
        <w:rPr>
          <w:lang w:eastAsia="ja-JP"/>
        </w:rPr>
        <w:fldChar w:fldCharType="begin"/>
      </w:r>
      <w:r w:rsidR="00C53937" w:rsidRPr="00A52AB8">
        <w:rPr>
          <w:lang w:eastAsia="ja-JP"/>
        </w:rPr>
        <w:instrText xml:space="preserve"> REF _Ref49454476 \n \h </w:instrText>
      </w:r>
      <w:r w:rsidR="000808C0" w:rsidRPr="00A52AB8">
        <w:rPr>
          <w:lang w:eastAsia="ja-JP"/>
        </w:rPr>
        <w:instrText xml:space="preserve"> \* MERGEFORMAT </w:instrText>
      </w:r>
      <w:r w:rsidR="00C53937" w:rsidRPr="00496A4D">
        <w:rPr>
          <w:lang w:eastAsia="ja-JP"/>
        </w:rPr>
      </w:r>
      <w:r w:rsidR="00C53937" w:rsidRPr="00496A4D">
        <w:rPr>
          <w:lang w:eastAsia="ja-JP"/>
        </w:rPr>
        <w:fldChar w:fldCharType="separate"/>
      </w:r>
      <w:r w:rsidR="00507A67">
        <w:rPr>
          <w:lang w:eastAsia="ja-JP"/>
        </w:rPr>
        <w:t>H.12.7.1</w:t>
      </w:r>
      <w:r w:rsidR="00C53937" w:rsidRPr="00496A4D">
        <w:rPr>
          <w:lang w:eastAsia="ja-JP"/>
        </w:rPr>
        <w:fldChar w:fldCharType="end"/>
      </w:r>
      <w:r w:rsidR="00C53937" w:rsidRPr="00A52AB8">
        <w:rPr>
          <w:lang w:eastAsia="ja-JP"/>
        </w:rPr>
        <w:t xml:space="preserve"> </w:t>
      </w:r>
      <w:r w:rsidR="006D74F2" w:rsidRPr="00A52AB8">
        <w:rPr>
          <w:lang w:eastAsia="ja-JP"/>
        </w:rPr>
        <w:t xml:space="preserve">is invoked with </w:t>
      </w:r>
      <w:r w:rsidR="00670C71" w:rsidRPr="00A52AB8">
        <w:rPr>
          <w:lang w:eastAsia="ja-JP"/>
        </w:rPr>
        <w:t xml:space="preserve">variables </w:t>
      </w:r>
      <w:r w:rsidR="006D74F2" w:rsidRPr="00A52AB8">
        <w:rPr>
          <w:lang w:eastAsia="ja-JP"/>
        </w:rPr>
        <w:t>g</w:t>
      </w:r>
      <w:r w:rsidR="00683C60" w:rsidRPr="00A52AB8">
        <w:rPr>
          <w:lang w:eastAsia="ja-JP"/>
        </w:rPr>
        <w:t>eoG</w:t>
      </w:r>
      <w:r w:rsidR="006D74F2" w:rsidRPr="00A52AB8">
        <w:rPr>
          <w:lang w:eastAsia="ja-JP"/>
        </w:rPr>
        <w:t xml:space="preserve">ridSize, numBoundaryCells, </w:t>
      </w:r>
      <w:r w:rsidR="00670C71" w:rsidRPr="00A52AB8">
        <w:rPr>
          <w:lang w:eastAsia="ja-JP"/>
        </w:rPr>
        <w:t xml:space="preserve">and arrays </w:t>
      </w:r>
      <w:r w:rsidR="006D74F2" w:rsidRPr="00A52AB8">
        <w:rPr>
          <w:lang w:eastAsia="ja-JP"/>
        </w:rPr>
        <w:t>recPcGeo, centroid, cellAnchor, idxArr, and cellCnt as inputs and the output</w:t>
      </w:r>
      <w:r w:rsidR="00683C60" w:rsidRPr="00A52AB8">
        <w:rPr>
          <w:lang w:eastAsia="ja-JP"/>
        </w:rPr>
        <w:t>s</w:t>
      </w:r>
      <w:r w:rsidR="006D74F2" w:rsidRPr="00A52AB8">
        <w:rPr>
          <w:lang w:eastAsia="ja-JP"/>
        </w:rPr>
        <w:t xml:space="preserve"> </w:t>
      </w:r>
      <w:r w:rsidR="00683C60" w:rsidRPr="00A52AB8">
        <w:rPr>
          <w:lang w:eastAsia="ja-JP"/>
        </w:rPr>
        <w:t>are</w:t>
      </w:r>
      <w:r w:rsidR="006D74F2" w:rsidRPr="00A52AB8">
        <w:rPr>
          <w:lang w:eastAsia="ja-JP"/>
        </w:rPr>
        <w:t xml:space="preserve"> </w:t>
      </w:r>
      <w:r w:rsidR="00683C60" w:rsidRPr="00A52AB8">
        <w:rPr>
          <w:lang w:eastAsia="ja-JP"/>
        </w:rPr>
        <w:t>pos3DFilt</w:t>
      </w:r>
      <w:r w:rsidR="006D74F2" w:rsidRPr="00A52AB8">
        <w:rPr>
          <w:lang w:eastAsia="ja-JP"/>
        </w:rPr>
        <w:t>, a filtered version of the current reconstructed point</w:t>
      </w:r>
      <w:r w:rsidR="00C53937" w:rsidRPr="00A52AB8">
        <w:rPr>
          <w:lang w:eastAsia="ja-JP"/>
        </w:rPr>
        <w:t>,</w:t>
      </w:r>
      <w:r w:rsidR="00683C60" w:rsidRPr="00A52AB8">
        <w:rPr>
          <w:lang w:eastAsia="ja-JP"/>
        </w:rPr>
        <w:t xml:space="preserve"> and </w:t>
      </w:r>
      <w:r w:rsidR="00C53937" w:rsidRPr="00A52AB8">
        <w:rPr>
          <w:lang w:eastAsia="ja-JP"/>
        </w:rPr>
        <w:t>weightedC</w:t>
      </w:r>
      <w:r w:rsidR="00683C60" w:rsidRPr="00A52AB8">
        <w:rPr>
          <w:lang w:eastAsia="ja-JP"/>
        </w:rPr>
        <w:t>nt, a weighted average of the number of points from the 2 × 2 ×</w:t>
      </w:r>
      <w:r w:rsidRPr="00A52AB8">
        <w:rPr>
          <w:lang w:eastAsia="ja-JP"/>
        </w:rPr>
        <w:t> </w:t>
      </w:r>
      <w:r w:rsidR="00683C60" w:rsidRPr="00A52AB8">
        <w:rPr>
          <w:lang w:eastAsia="ja-JP"/>
        </w:rPr>
        <w:t>2 grid of cells</w:t>
      </w:r>
      <w:r w:rsidR="006D74F2" w:rsidRPr="00A52AB8">
        <w:rPr>
          <w:lang w:eastAsia="ja-JP"/>
        </w:rPr>
        <w:t>.</w:t>
      </w:r>
    </w:p>
    <w:p w14:paraId="79CA8653" w14:textId="61BA1273" w:rsidR="006D74F2" w:rsidRPr="00A52AB8" w:rsidRDefault="002507A6" w:rsidP="009C6742">
      <w:pPr>
        <w:ind w:left="810" w:hanging="810"/>
        <w:rPr>
          <w:lang w:eastAsia="ja-JP"/>
        </w:rPr>
      </w:pPr>
      <w:r w:rsidRPr="00A52AB8">
        <w:tab/>
      </w:r>
      <w:r w:rsidRPr="00A52AB8">
        <w:tab/>
      </w:r>
      <w:r w:rsidR="006D74F2" w:rsidRPr="00A52AB8">
        <w:t>The following applies:</w:t>
      </w:r>
    </w:p>
    <w:p w14:paraId="64F3B20D" w14:textId="58259105" w:rsidR="00C53937" w:rsidRPr="00A52AB8" w:rsidRDefault="002C6A96" w:rsidP="004A6049">
      <w:r w:rsidRPr="00A52AB8">
        <w:tab/>
      </w:r>
      <w:r w:rsidRPr="00A52AB8">
        <w:tab/>
      </w:r>
      <w:r w:rsidRPr="00A52AB8">
        <w:tab/>
      </w:r>
      <w:r w:rsidR="006D74F2" w:rsidRPr="00A52AB8">
        <w:t>sqrNorm</w:t>
      </w:r>
      <w:r w:rsidR="00D47707" w:rsidRPr="00A52AB8">
        <w:t> = </w:t>
      </w:r>
      <w:r w:rsidR="006D74F2" w:rsidRPr="00A52AB8">
        <w:t>0</w:t>
      </w:r>
      <w:r w:rsidR="006D74F2" w:rsidRPr="00A52AB8">
        <w:br/>
      </w:r>
      <w:r w:rsidRPr="00A52AB8">
        <w:tab/>
      </w:r>
      <w:r w:rsidRPr="00A52AB8">
        <w:tab/>
      </w:r>
      <w:r w:rsidRPr="00A52AB8">
        <w:tab/>
      </w:r>
      <w:r w:rsidR="006D74F2" w:rsidRPr="00A52AB8">
        <w:t>for( k</w:t>
      </w:r>
      <w:r w:rsidR="00D47707" w:rsidRPr="00A52AB8">
        <w:t> = </w:t>
      </w:r>
      <w:r w:rsidR="006D74F2" w:rsidRPr="00A52AB8">
        <w:t>0;</w:t>
      </w:r>
      <w:r w:rsidRPr="00A52AB8">
        <w:t> </w:t>
      </w:r>
      <w:r w:rsidR="006D74F2" w:rsidRPr="00A52AB8">
        <w:t>k &lt; 3;</w:t>
      </w:r>
      <w:r w:rsidRPr="00A52AB8">
        <w:t> </w:t>
      </w:r>
      <w:r w:rsidR="006D74F2" w:rsidRPr="00A52AB8">
        <w:t>k</w:t>
      </w:r>
      <w:r w:rsidR="00006CCF" w:rsidRPr="00A52AB8">
        <w:t>++ </w:t>
      </w:r>
      <w:r w:rsidR="008F1F82" w:rsidRPr="00A52AB8">
        <w:t>) {</w:t>
      </w:r>
      <w:r w:rsidR="006D74F2" w:rsidRPr="00A52AB8">
        <w:br/>
      </w:r>
      <w:r w:rsidR="006D74F2" w:rsidRPr="00A52AB8">
        <w:tab/>
      </w:r>
      <w:r w:rsidRPr="00A52AB8">
        <w:tab/>
      </w:r>
      <w:r w:rsidRPr="00A52AB8">
        <w:tab/>
      </w:r>
      <w:r w:rsidRPr="00A52AB8">
        <w:tab/>
      </w:r>
      <w:r w:rsidR="006D74F2" w:rsidRPr="00A52AB8">
        <w:t>diff</w:t>
      </w:r>
      <w:r w:rsidR="00D47707" w:rsidRPr="00A52AB8">
        <w:t> = </w:t>
      </w:r>
      <w:r w:rsidR="006D74F2" w:rsidRPr="00A52AB8">
        <w:t>recPcGeo[ n ]</w:t>
      </w:r>
      <w:r w:rsidR="004B7314" w:rsidRPr="00A52AB8">
        <w:t>[ k ]</w:t>
      </w:r>
      <w:r w:rsidR="006D74F2" w:rsidRPr="00A52AB8">
        <w:t> * </w:t>
      </w:r>
      <w:r w:rsidR="00C53937" w:rsidRPr="00A52AB8">
        <w:t>weightedC</w:t>
      </w:r>
      <w:r w:rsidR="006D74F2" w:rsidRPr="00A52AB8">
        <w:t>nt </w:t>
      </w:r>
      <w:r w:rsidR="00683C60" w:rsidRPr="00A52AB8">
        <w:t>–</w:t>
      </w:r>
      <w:r w:rsidR="006D74F2" w:rsidRPr="00A52AB8">
        <w:t> </w:t>
      </w:r>
      <w:r w:rsidR="00683C60" w:rsidRPr="00A52AB8">
        <w:t>pos3DFilt</w:t>
      </w:r>
      <w:r w:rsidR="004B7314" w:rsidRPr="00A52AB8">
        <w:t>[ k ]</w:t>
      </w:r>
      <w:r w:rsidR="006D74F2" w:rsidRPr="00A52AB8">
        <w:br/>
      </w:r>
      <w:r w:rsidR="006D74F2" w:rsidRPr="00A52AB8">
        <w:tab/>
      </w:r>
      <w:r w:rsidRPr="00A52AB8">
        <w:tab/>
      </w:r>
      <w:r w:rsidRPr="00A52AB8">
        <w:tab/>
      </w:r>
      <w:r w:rsidRPr="00A52AB8">
        <w:tab/>
      </w:r>
      <w:r w:rsidR="006D74F2" w:rsidRPr="00A52AB8">
        <w:t>sqrNorm </w:t>
      </w:r>
      <w:r w:rsidR="00A234FD" w:rsidRPr="00A52AB8">
        <w:t>+=</w:t>
      </w:r>
      <w:r w:rsidR="00D47707" w:rsidRPr="00A52AB8">
        <w:t> </w:t>
      </w:r>
      <w:r w:rsidR="006D74F2" w:rsidRPr="00A52AB8">
        <w:t>diff * diff</w:t>
      </w:r>
      <w:r w:rsidR="006D74F2" w:rsidRPr="00A52AB8">
        <w:br/>
      </w:r>
      <w:r w:rsidRPr="00A52AB8">
        <w:tab/>
      </w:r>
      <w:r w:rsidRPr="00A52AB8">
        <w:tab/>
      </w:r>
      <w:r w:rsidRPr="00A52AB8">
        <w:tab/>
      </w:r>
      <w:r w:rsidR="006D74F2" w:rsidRPr="00A52AB8">
        <w:t>}</w:t>
      </w:r>
      <w:r w:rsidR="006D74F2" w:rsidRPr="00A52AB8">
        <w:br/>
      </w:r>
      <w:r w:rsidRPr="00A52AB8">
        <w:tab/>
      </w:r>
      <w:r w:rsidRPr="00A52AB8">
        <w:tab/>
      </w:r>
      <w:r w:rsidRPr="00A52AB8">
        <w:tab/>
      </w:r>
      <w:r w:rsidR="006D74F2" w:rsidRPr="00A52AB8">
        <w:t>dist2</w:t>
      </w:r>
      <w:r w:rsidR="00D47707" w:rsidRPr="00A52AB8">
        <w:t> = </w:t>
      </w:r>
      <w:r w:rsidR="006D74F2" w:rsidRPr="00A52AB8">
        <w:t>sqrNorm </w:t>
      </w:r>
      <w:r w:rsidR="006D74F2" w:rsidRPr="00A52AB8">
        <w:rPr>
          <w:rFonts w:cs="Symbol"/>
        </w:rPr>
        <w:sym w:font="Symbol" w:char="F0B8"/>
      </w:r>
      <w:r w:rsidR="006D74F2" w:rsidRPr="00A52AB8">
        <w:rPr>
          <w:rFonts w:cs="Symbol"/>
        </w:rPr>
        <w:t> </w:t>
      </w:r>
      <w:r w:rsidR="00C53937" w:rsidRPr="00A52AB8">
        <w:t>weightedCnt</w:t>
      </w:r>
      <w:r w:rsidR="006D74F2" w:rsidRPr="00A52AB8">
        <w:rPr>
          <w:rFonts w:cs="Symbol"/>
        </w:rPr>
        <w:br/>
      </w:r>
      <w:r w:rsidRPr="00A52AB8">
        <w:rPr>
          <w:rFonts w:cs="Symbol"/>
        </w:rPr>
        <w:tab/>
      </w:r>
      <w:r w:rsidRPr="00A52AB8">
        <w:rPr>
          <w:rFonts w:cs="Symbol"/>
        </w:rPr>
        <w:tab/>
      </w:r>
      <w:r w:rsidRPr="00A52AB8">
        <w:rPr>
          <w:rFonts w:cs="Symbol"/>
        </w:rPr>
        <w:tab/>
      </w:r>
      <w:r w:rsidR="006D74F2" w:rsidRPr="00A52AB8">
        <w:rPr>
          <w:rFonts w:cs="Symbol"/>
        </w:rPr>
        <w:t>if( dist2 </w:t>
      </w:r>
      <w:r w:rsidR="00A234FD" w:rsidRPr="00A52AB8">
        <w:rPr>
          <w:rFonts w:cs="Symbol"/>
        </w:rPr>
        <w:t>&gt;=</w:t>
      </w:r>
      <w:r w:rsidR="00D47707" w:rsidRPr="00A52AB8">
        <w:rPr>
          <w:rFonts w:cs="Symbol"/>
        </w:rPr>
        <w:t> </w:t>
      </w:r>
      <w:r w:rsidR="006D74F2" w:rsidRPr="00A52AB8">
        <w:rPr>
          <w:rFonts w:cs="Symbol"/>
        </w:rPr>
        <w:t>Max( </w:t>
      </w:r>
      <w:r w:rsidR="006D74F2" w:rsidRPr="00A52AB8">
        <w:t>geoSmoothingThreshold</w:t>
      </w:r>
      <w:r w:rsidR="006D74F2" w:rsidRPr="00A52AB8">
        <w:rPr>
          <w:rFonts w:cs="Symbol"/>
        </w:rPr>
        <w:t>,</w:t>
      </w:r>
      <w:r w:rsidRPr="00A52AB8">
        <w:rPr>
          <w:rFonts w:cs="Symbol"/>
        </w:rPr>
        <w:t> </w:t>
      </w:r>
      <w:r w:rsidR="00C53937" w:rsidRPr="00A52AB8">
        <w:t>weightedCnt</w:t>
      </w:r>
      <w:r w:rsidR="006D74F2" w:rsidRPr="00A52AB8">
        <w:rPr>
          <w:rFonts w:cs="Symbol"/>
        </w:rPr>
        <w:t> ) * 2 </w:t>
      </w:r>
      <w:r w:rsidR="008F1F82" w:rsidRPr="00A52AB8">
        <w:rPr>
          <w:rFonts w:cs="Symbol"/>
        </w:rPr>
        <w:t>) {</w:t>
      </w:r>
      <w:r w:rsidR="006D74F2" w:rsidRPr="00A52AB8">
        <w:rPr>
          <w:rFonts w:cs="Symbol"/>
        </w:rPr>
        <w:br/>
      </w:r>
      <w:r w:rsidR="006D74F2" w:rsidRPr="00A52AB8">
        <w:rPr>
          <w:rFonts w:cs="Symbol"/>
        </w:rPr>
        <w:tab/>
      </w:r>
      <w:r w:rsidRPr="00A52AB8">
        <w:rPr>
          <w:rFonts w:cs="Symbol"/>
        </w:rPr>
        <w:tab/>
      </w:r>
      <w:r w:rsidRPr="00A52AB8">
        <w:rPr>
          <w:rFonts w:cs="Symbol"/>
        </w:rPr>
        <w:tab/>
      </w:r>
      <w:r w:rsidRPr="00A52AB8">
        <w:rPr>
          <w:rFonts w:cs="Symbol"/>
        </w:rPr>
        <w:tab/>
      </w:r>
      <w:r w:rsidR="006D74F2" w:rsidRPr="00A52AB8">
        <w:t>for( k</w:t>
      </w:r>
      <w:r w:rsidR="00D47707" w:rsidRPr="00A52AB8">
        <w:t> = </w:t>
      </w:r>
      <w:r w:rsidR="006D74F2" w:rsidRPr="00A52AB8">
        <w:t>0;</w:t>
      </w:r>
      <w:r w:rsidRPr="00A52AB8">
        <w:t> </w:t>
      </w:r>
      <w:r w:rsidR="006D74F2" w:rsidRPr="00A52AB8">
        <w:t>k &lt; 3;</w:t>
      </w:r>
      <w:r w:rsidRPr="00A52AB8">
        <w:t> </w:t>
      </w:r>
      <w:r w:rsidR="006D74F2" w:rsidRPr="00A52AB8">
        <w:t>k</w:t>
      </w:r>
      <w:r w:rsidR="00006CCF" w:rsidRPr="00A52AB8">
        <w:t>++ )</w:t>
      </w:r>
      <w:r w:rsidR="006D74F2" w:rsidRPr="00A52AB8">
        <w:br/>
      </w:r>
      <w:r w:rsidR="006D74F2" w:rsidRPr="00A52AB8">
        <w:tab/>
      </w:r>
      <w:r w:rsidR="006D74F2" w:rsidRPr="00A52AB8">
        <w:tab/>
      </w:r>
      <w:r w:rsidRPr="00A52AB8">
        <w:tab/>
      </w:r>
      <w:r w:rsidRPr="00A52AB8">
        <w:tab/>
      </w:r>
      <w:r w:rsidRPr="00A52AB8">
        <w:tab/>
      </w:r>
      <w:r w:rsidR="006D74F2" w:rsidRPr="00A52AB8">
        <w:rPr>
          <w:rFonts w:cs="Symbol"/>
        </w:rPr>
        <w:t>recPcGeoSmoothed[ n ]</w:t>
      </w:r>
      <w:r w:rsidR="004B7314" w:rsidRPr="00A52AB8">
        <w:rPr>
          <w:rFonts w:cs="Symbol"/>
        </w:rPr>
        <w:t>[ k ]</w:t>
      </w:r>
      <w:r w:rsidR="00D47707" w:rsidRPr="00A52AB8">
        <w:rPr>
          <w:rFonts w:cs="Symbol"/>
        </w:rPr>
        <w:t> = </w:t>
      </w:r>
      <w:r w:rsidR="006D74F2" w:rsidRPr="00A52AB8">
        <w:rPr>
          <w:rFonts w:cs="Symbol"/>
        </w:rPr>
        <w:t>R</w:t>
      </w:r>
      <w:r w:rsidR="00822A25" w:rsidRPr="00A52AB8">
        <w:rPr>
          <w:rFonts w:cs="Symbol"/>
        </w:rPr>
        <w:t>ou</w:t>
      </w:r>
      <w:r w:rsidR="006D74F2" w:rsidRPr="00A52AB8">
        <w:rPr>
          <w:rFonts w:cs="Symbol"/>
        </w:rPr>
        <w:t>nd( </w:t>
      </w:r>
      <w:r w:rsidR="00C32332" w:rsidRPr="00A52AB8">
        <w:t>pos3DFilt</w:t>
      </w:r>
      <w:r w:rsidR="004B7314" w:rsidRPr="00A52AB8">
        <w:t>[ k ]</w:t>
      </w:r>
      <w:r w:rsidR="00C32332" w:rsidRPr="00A52AB8">
        <w:rPr>
          <w:rFonts w:cs="Symbol"/>
        </w:rPr>
        <w:t> </w:t>
      </w:r>
      <w:r w:rsidR="006D74F2" w:rsidRPr="00A52AB8">
        <w:t>)</w:t>
      </w:r>
      <w:r w:rsidR="006D74F2" w:rsidRPr="00A52AB8">
        <w:br/>
      </w:r>
      <w:r w:rsidR="006D74F2" w:rsidRPr="00A52AB8">
        <w:tab/>
      </w:r>
      <w:r w:rsidRPr="00A52AB8">
        <w:tab/>
      </w:r>
      <w:r w:rsidRPr="00A52AB8">
        <w:tab/>
      </w:r>
      <w:r w:rsidRPr="00A52AB8">
        <w:tab/>
      </w:r>
      <w:r w:rsidR="000B24FC" w:rsidRPr="00A52AB8">
        <w:t>isModifiedPoint</w:t>
      </w:r>
      <w:r w:rsidR="000B7FBC" w:rsidRPr="00A52AB8">
        <w:t>[ n ]</w:t>
      </w:r>
      <w:r w:rsidR="00D47707" w:rsidRPr="00A52AB8">
        <w:t> = </w:t>
      </w:r>
      <w:r w:rsidR="000B24FC" w:rsidRPr="00A52AB8">
        <w:t>1</w:t>
      </w:r>
      <w:r w:rsidR="006D74F2" w:rsidRPr="00A52AB8">
        <w:br/>
      </w:r>
      <w:r w:rsidRPr="00A52AB8">
        <w:tab/>
      </w:r>
      <w:r w:rsidRPr="00A52AB8">
        <w:tab/>
      </w:r>
      <w:r w:rsidRPr="00A52AB8">
        <w:tab/>
      </w:r>
      <w:r w:rsidR="006D74F2" w:rsidRPr="00A52AB8">
        <w:t>}</w:t>
      </w:r>
      <w:r w:rsidR="00C53937" w:rsidRPr="00A52AB8">
        <w:br/>
      </w:r>
      <w:r w:rsidR="002507A6" w:rsidRPr="00A52AB8">
        <w:tab/>
      </w:r>
      <w:r w:rsidR="00C53937" w:rsidRPr="00A52AB8">
        <w:t>}</w:t>
      </w:r>
    </w:p>
    <w:p w14:paraId="3D2BD6D1" w14:textId="77777777" w:rsidR="006D74F2" w:rsidRPr="00A52AB8" w:rsidRDefault="00A6182E" w:rsidP="00895494">
      <w:pPr>
        <w:pStyle w:val="a3"/>
        <w:numPr>
          <w:ilvl w:val="2"/>
          <w:numId w:val="14"/>
        </w:numPr>
      </w:pPr>
      <w:bookmarkStart w:id="6962" w:name="_Ref39817805"/>
      <w:r w:rsidRPr="00A52AB8">
        <w:tab/>
      </w:r>
      <w:bookmarkStart w:id="6963" w:name="_Ref49358175"/>
      <w:bookmarkStart w:id="6964" w:name="_Toc52181800"/>
      <w:r w:rsidR="006D74F2" w:rsidRPr="00A52AB8">
        <w:t>Attribute smoothing process</w:t>
      </w:r>
      <w:bookmarkEnd w:id="6962"/>
      <w:bookmarkEnd w:id="6963"/>
      <w:bookmarkEnd w:id="6964"/>
    </w:p>
    <w:p w14:paraId="55DCE68B" w14:textId="318A106F" w:rsidR="006D74F2" w:rsidRPr="00A52AB8" w:rsidRDefault="006D74F2">
      <w:pPr>
        <w:rPr>
          <w:color w:val="000000" w:themeColor="text1"/>
        </w:rPr>
      </w:pPr>
      <w:r w:rsidRPr="00A52AB8">
        <w:rPr>
          <w:color w:val="000000" w:themeColor="text1"/>
        </w:rPr>
        <w:t xml:space="preserve">This process is invoked when </w:t>
      </w:r>
      <w:r w:rsidR="00F54172" w:rsidRPr="00A52AB8">
        <w:rPr>
          <w:color w:val="000000" w:themeColor="text1"/>
        </w:rPr>
        <w:t xml:space="preserve">the </w:t>
      </w:r>
      <w:r w:rsidRPr="00A52AB8">
        <w:rPr>
          <w:color w:val="000000" w:themeColor="text1"/>
        </w:rPr>
        <w:t xml:space="preserve">attribute </w:t>
      </w:r>
      <w:r w:rsidR="0050447C" w:rsidRPr="00A52AB8">
        <w:rPr>
          <w:color w:val="000000" w:themeColor="text1"/>
        </w:rPr>
        <w:t xml:space="preserve">identifier </w:t>
      </w:r>
      <w:r w:rsidRPr="00A52AB8">
        <w:rPr>
          <w:color w:val="000000" w:themeColor="text1"/>
        </w:rPr>
        <w:t xml:space="preserve">is </w:t>
      </w:r>
      <w:r w:rsidR="0050447C" w:rsidRPr="00A52AB8">
        <w:rPr>
          <w:color w:val="000000" w:themeColor="text1"/>
        </w:rPr>
        <w:t>ATTR_TEXTURE</w:t>
      </w:r>
      <w:r w:rsidRPr="00A52AB8">
        <w:rPr>
          <w:color w:val="000000" w:themeColor="text1"/>
        </w:rPr>
        <w:t xml:space="preserve">, </w:t>
      </w:r>
      <w:r w:rsidR="008539C1" w:rsidRPr="00A52AB8">
        <w:rPr>
          <w:color w:val="000000" w:themeColor="text1"/>
        </w:rPr>
        <w:t xml:space="preserve">the </w:t>
      </w:r>
      <w:r w:rsidRPr="00A52AB8">
        <w:rPr>
          <w:color w:val="000000" w:themeColor="text1"/>
        </w:rPr>
        <w:t xml:space="preserve">attribute dimension is equal to 1 or 3, </w:t>
      </w:r>
      <w:r w:rsidR="00F31BD3" w:rsidRPr="00A52AB8">
        <w:rPr>
          <w:color w:val="000000" w:themeColor="text1"/>
        </w:rPr>
        <w:t xml:space="preserve">the point cloud reconstruction system has selected to use the m-th attribute filtering instance for performing attribute smoothing during point cloud reconstruction of the attribute with index k, and the </w:t>
      </w:r>
      <w:r w:rsidRPr="00A52AB8">
        <w:rPr>
          <w:color w:val="000000" w:themeColor="text1"/>
        </w:rPr>
        <w:t xml:space="preserve">bitstream contains an attribute smoothing SEI message with a value of </w:t>
      </w:r>
      <w:r w:rsidR="00641A99" w:rsidRPr="00A52AB8">
        <w:t>AttributeSmoothingMethod</w:t>
      </w:r>
      <w:r w:rsidR="004B7314" w:rsidRPr="00A52AB8">
        <w:t>[ k ]</w:t>
      </w:r>
      <w:r w:rsidRPr="00A52AB8">
        <w:t>[ </w:t>
      </w:r>
      <w:r w:rsidR="001D04C2" w:rsidRPr="00A52AB8">
        <w:t>m </w:t>
      </w:r>
      <w:r w:rsidRPr="00A52AB8">
        <w:t>]</w:t>
      </w:r>
      <w:r w:rsidRPr="00A52AB8">
        <w:rPr>
          <w:color w:val="000000" w:themeColor="text1"/>
        </w:rPr>
        <w:t xml:space="preserve"> equal to 1</w:t>
      </w:r>
      <w:r w:rsidR="00F31BD3" w:rsidRPr="00A52AB8">
        <w:rPr>
          <w:color w:val="000000" w:themeColor="text1"/>
        </w:rPr>
        <w:t>.</w:t>
      </w:r>
    </w:p>
    <w:p w14:paraId="5AF5AE48" w14:textId="25911071" w:rsidR="004F53B3" w:rsidRPr="00A52AB8" w:rsidRDefault="004F53B3">
      <w:pPr>
        <w:rPr>
          <w:color w:val="000000" w:themeColor="text1"/>
        </w:rPr>
      </w:pPr>
      <w:r w:rsidRPr="00A52AB8">
        <w:rPr>
          <w:color w:val="000000" w:themeColor="text1"/>
        </w:rPr>
        <w:t>When the attribute to be smoothed consists of red, green, and blue components, it is recommended that the components be ordered as green, blue, and red.</w:t>
      </w:r>
    </w:p>
    <w:p w14:paraId="10460278" w14:textId="77777777" w:rsidR="006D74F2" w:rsidRPr="00A52AB8" w:rsidRDefault="006D74F2" w:rsidP="00007BE2">
      <w:pPr>
        <w:pStyle w:val="Equation"/>
        <w:spacing w:before="0" w:line="240" w:lineRule="atLeast"/>
        <w:jc w:val="both"/>
        <w:rPr>
          <w:color w:val="000000" w:themeColor="text1"/>
        </w:rPr>
      </w:pPr>
      <w:r w:rsidRPr="00A52AB8">
        <w:rPr>
          <w:color w:val="000000" w:themeColor="text1"/>
        </w:rPr>
        <w:t>Inputs to this process are:</w:t>
      </w:r>
    </w:p>
    <w:p w14:paraId="68D973B5" w14:textId="49816E54" w:rsidR="00600D56" w:rsidRPr="00A52AB8" w:rsidRDefault="004F53B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variable </w:t>
      </w:r>
      <w:r w:rsidR="00600D56" w:rsidRPr="00A52AB8">
        <w:rPr>
          <w:color w:val="000000" w:themeColor="text1"/>
        </w:rPr>
        <w:t xml:space="preserve">pointCnt, </w:t>
      </w:r>
      <w:r w:rsidRPr="00A52AB8">
        <w:rPr>
          <w:color w:val="000000" w:themeColor="text1"/>
        </w:rPr>
        <w:t xml:space="preserve">specifying </w:t>
      </w:r>
      <w:r w:rsidR="00600D56" w:rsidRPr="00A52AB8">
        <w:rPr>
          <w:color w:val="000000" w:themeColor="text1"/>
        </w:rPr>
        <w:t>the number of points in the current reconstructed point cloud frame,</w:t>
      </w:r>
    </w:p>
    <w:p w14:paraId="65D6BAFB" w14:textId="77777777" w:rsidR="0050235C" w:rsidRPr="00A52AB8" w:rsidRDefault="004F53B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variable </w:t>
      </w:r>
      <w:r w:rsidR="00600D56" w:rsidRPr="00A52AB8">
        <w:rPr>
          <w:color w:val="000000" w:themeColor="text1"/>
        </w:rPr>
        <w:t xml:space="preserve">aIdx, </w:t>
      </w:r>
      <w:r w:rsidRPr="00A52AB8">
        <w:rPr>
          <w:color w:val="000000" w:themeColor="text1"/>
        </w:rPr>
        <w:t xml:space="preserve">specifying </w:t>
      </w:r>
      <w:r w:rsidR="00600D56" w:rsidRPr="00A52AB8">
        <w:rPr>
          <w:color w:val="000000" w:themeColor="text1"/>
        </w:rPr>
        <w:t>an attribute index,</w:t>
      </w:r>
    </w:p>
    <w:p w14:paraId="1497127C" w14:textId="751FF3BE" w:rsidR="00600D56" w:rsidRPr="00A52AB8" w:rsidRDefault="004F53B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variable </w:t>
      </w:r>
      <w:r w:rsidR="00600D56" w:rsidRPr="00A52AB8">
        <w:rPr>
          <w:color w:val="000000" w:themeColor="text1"/>
        </w:rPr>
        <w:t xml:space="preserve">m, </w:t>
      </w:r>
      <w:r w:rsidRPr="00A52AB8">
        <w:rPr>
          <w:color w:val="000000" w:themeColor="text1"/>
        </w:rPr>
        <w:t xml:space="preserve">specifying </w:t>
      </w:r>
      <w:r w:rsidR="00600D56" w:rsidRPr="00A52AB8">
        <w:rPr>
          <w:color w:val="000000" w:themeColor="text1"/>
        </w:rPr>
        <w:t xml:space="preserve">an attribute smoothing filter </w:t>
      </w:r>
      <w:r w:rsidR="0056031F" w:rsidRPr="00A52AB8">
        <w:rPr>
          <w:color w:val="000000" w:themeColor="text1"/>
        </w:rPr>
        <w:t>instance</w:t>
      </w:r>
      <w:r w:rsidR="00600D56" w:rsidRPr="00A52AB8">
        <w:rPr>
          <w:color w:val="000000" w:themeColor="text1"/>
        </w:rPr>
        <w:t>,</w:t>
      </w:r>
    </w:p>
    <w:p w14:paraId="02ACD5D3" w14:textId="095989BE" w:rsidR="00600D56" w:rsidRPr="00A52AB8" w:rsidRDefault="004F53B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variable </w:t>
      </w:r>
      <w:r w:rsidR="00600D56" w:rsidRPr="00A52AB8">
        <w:rPr>
          <w:color w:val="000000" w:themeColor="text1"/>
        </w:rPr>
        <w:t xml:space="preserve">numComps, </w:t>
      </w:r>
      <w:r w:rsidRPr="00A52AB8">
        <w:rPr>
          <w:color w:val="000000" w:themeColor="text1"/>
        </w:rPr>
        <w:t xml:space="preserve">specifying </w:t>
      </w:r>
      <w:r w:rsidR="00600D56" w:rsidRPr="00A52AB8">
        <w:rPr>
          <w:color w:val="000000" w:themeColor="text1"/>
        </w:rPr>
        <w:t>the number of components corresponding to the attribute with index aIdx,</w:t>
      </w:r>
    </w:p>
    <w:p w14:paraId="3B93AAA9" w14:textId="0ACB9573" w:rsidR="00E320B0" w:rsidRPr="00A52AB8" w:rsidRDefault="004F53B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variable </w:t>
      </w:r>
      <w:r w:rsidR="00110B7C" w:rsidRPr="00A52AB8">
        <w:rPr>
          <w:color w:val="000000" w:themeColor="text1"/>
        </w:rPr>
        <w:t>attrBitDepth</w:t>
      </w:r>
      <w:r w:rsidR="00E320B0" w:rsidRPr="00A52AB8">
        <w:rPr>
          <w:color w:val="000000" w:themeColor="text1"/>
        </w:rPr>
        <w:t xml:space="preserve">, </w:t>
      </w:r>
      <w:r w:rsidRPr="00A52AB8">
        <w:rPr>
          <w:color w:val="000000" w:themeColor="text1"/>
        </w:rPr>
        <w:t xml:space="preserve">specifying </w:t>
      </w:r>
      <w:r w:rsidR="00E320B0" w:rsidRPr="00A52AB8">
        <w:rPr>
          <w:color w:val="000000" w:themeColor="text1"/>
        </w:rPr>
        <w:t xml:space="preserve">the bit depth </w:t>
      </w:r>
      <w:r w:rsidR="002C6A96" w:rsidRPr="00A52AB8">
        <w:rPr>
          <w:color w:val="000000" w:themeColor="text1"/>
        </w:rPr>
        <w:t xml:space="preserve">of the </w:t>
      </w:r>
      <w:r w:rsidR="00E320B0" w:rsidRPr="00A52AB8">
        <w:rPr>
          <w:color w:val="000000" w:themeColor="text1"/>
        </w:rPr>
        <w:t>reconstructed attribute values,</w:t>
      </w:r>
    </w:p>
    <w:p w14:paraId="2B06F947" w14:textId="58661DFE" w:rsidR="006D74F2" w:rsidRPr="00A52AB8" w:rsidRDefault="004F53B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2D array </w:t>
      </w:r>
      <w:r w:rsidR="00F54172" w:rsidRPr="00A52AB8">
        <w:rPr>
          <w:color w:val="000000" w:themeColor="text1"/>
        </w:rPr>
        <w:t xml:space="preserve">oFrame, </w:t>
      </w:r>
      <w:r w:rsidRPr="00A52AB8">
        <w:rPr>
          <w:color w:val="000000" w:themeColor="text1"/>
        </w:rPr>
        <w:t xml:space="preserve">of size asps_frame_height × asps_frame_width, specifying </w:t>
      </w:r>
      <w:r w:rsidR="00F54172" w:rsidRPr="00A52AB8">
        <w:rPr>
          <w:color w:val="000000" w:themeColor="text1"/>
        </w:rPr>
        <w:t xml:space="preserve">the occupancy frame, at </w:t>
      </w:r>
      <w:r w:rsidR="001D04C2" w:rsidRPr="00A52AB8">
        <w:rPr>
          <w:color w:val="000000" w:themeColor="text1"/>
        </w:rPr>
        <w:t xml:space="preserve">the </w:t>
      </w:r>
      <w:r w:rsidR="00F54172" w:rsidRPr="00A52AB8">
        <w:rPr>
          <w:color w:val="000000" w:themeColor="text1"/>
        </w:rPr>
        <w:t>nominal resolution, corresponding to the current point cloud frame,</w:t>
      </w:r>
    </w:p>
    <w:p w14:paraId="4595E824" w14:textId="77D52473" w:rsidR="001D04C2" w:rsidRPr="00A52AB8" w:rsidRDefault="004F53B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2D array </w:t>
      </w:r>
      <w:r w:rsidR="001D04C2" w:rsidRPr="00A52AB8">
        <w:rPr>
          <w:color w:val="000000" w:themeColor="text1"/>
        </w:rPr>
        <w:t xml:space="preserve">recPcGeo, </w:t>
      </w:r>
      <w:r w:rsidRPr="00A52AB8">
        <w:rPr>
          <w:color w:val="000000" w:themeColor="text1"/>
        </w:rPr>
        <w:t xml:space="preserve">of size </w:t>
      </w:r>
      <w:r w:rsidR="008D5244" w:rsidRPr="00A52AB8">
        <w:rPr>
          <w:color w:val="000000" w:themeColor="text1"/>
        </w:rPr>
        <w:t xml:space="preserve">pointCnt × 3, specifying </w:t>
      </w:r>
      <w:r w:rsidR="001D04C2" w:rsidRPr="00A52AB8">
        <w:rPr>
          <w:color w:val="000000" w:themeColor="text1"/>
        </w:rPr>
        <w:t xml:space="preserve">(possibly smoothed) </w:t>
      </w:r>
      <w:r w:rsidR="00F31BD3" w:rsidRPr="00A52AB8">
        <w:rPr>
          <w:color w:val="000000" w:themeColor="text1"/>
        </w:rPr>
        <w:t xml:space="preserve">reconstructed </w:t>
      </w:r>
      <w:r w:rsidR="001D04C2" w:rsidRPr="00A52AB8">
        <w:rPr>
          <w:color w:val="000000" w:themeColor="text1"/>
        </w:rPr>
        <w:t>positions,</w:t>
      </w:r>
    </w:p>
    <w:p w14:paraId="22F794A2" w14:textId="187A3D1D" w:rsidR="006D74F2" w:rsidRPr="00A52AB8" w:rsidRDefault="008D5244"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3D array </w:t>
      </w:r>
      <w:r w:rsidR="0070013A" w:rsidRPr="00A52AB8">
        <w:rPr>
          <w:color w:val="000000" w:themeColor="text1"/>
        </w:rPr>
        <w:t>recPcAttr[ aIdx ][ </w:t>
      </w:r>
      <w:r w:rsidR="001D04C2" w:rsidRPr="00A52AB8">
        <w:rPr>
          <w:color w:val="000000" w:themeColor="text1"/>
        </w:rPr>
        <w:t>n</w:t>
      </w:r>
      <w:r w:rsidR="0070013A" w:rsidRPr="00A52AB8">
        <w:rPr>
          <w:color w:val="000000" w:themeColor="text1"/>
        </w:rPr>
        <w:t xml:space="preserve"> ][ j ], </w:t>
      </w:r>
      <w:r w:rsidRPr="00A52AB8">
        <w:rPr>
          <w:color w:val="000000" w:themeColor="text1"/>
        </w:rPr>
        <w:t xml:space="preserve">specifying </w:t>
      </w:r>
      <w:r w:rsidR="0070013A" w:rsidRPr="00A52AB8">
        <w:rPr>
          <w:color w:val="000000" w:themeColor="text1"/>
        </w:rPr>
        <w:t xml:space="preserve">the </w:t>
      </w:r>
      <w:r w:rsidR="006D74F2" w:rsidRPr="00A52AB8">
        <w:rPr>
          <w:color w:val="000000" w:themeColor="text1"/>
        </w:rPr>
        <w:t xml:space="preserve">reconstructed attribute values for </w:t>
      </w:r>
      <w:r w:rsidR="0070013A" w:rsidRPr="00A52AB8">
        <w:rPr>
          <w:color w:val="000000" w:themeColor="text1"/>
        </w:rPr>
        <w:t xml:space="preserve">the </w:t>
      </w:r>
      <w:r w:rsidR="006D74F2" w:rsidRPr="00A52AB8">
        <w:rPr>
          <w:color w:val="000000" w:themeColor="text1"/>
        </w:rPr>
        <w:t xml:space="preserve">attribute </w:t>
      </w:r>
      <w:r w:rsidR="001D04C2" w:rsidRPr="00A52AB8">
        <w:rPr>
          <w:color w:val="000000" w:themeColor="text1"/>
        </w:rPr>
        <w:t xml:space="preserve">with </w:t>
      </w:r>
      <w:r w:rsidR="006D74F2" w:rsidRPr="00A52AB8">
        <w:rPr>
          <w:color w:val="000000" w:themeColor="text1"/>
        </w:rPr>
        <w:t xml:space="preserve">index aIdx, </w:t>
      </w:r>
      <w:r w:rsidRPr="00A52AB8">
        <w:rPr>
          <w:color w:val="000000" w:themeColor="text1"/>
        </w:rPr>
        <w:t>n</w:t>
      </w:r>
      <w:r w:rsidR="00D47707" w:rsidRPr="00A52AB8">
        <w:rPr>
          <w:color w:val="000000" w:themeColor="text1"/>
        </w:rPr>
        <w:t> = </w:t>
      </w:r>
      <w:r w:rsidRPr="00A52AB8">
        <w:rPr>
          <w:color w:val="000000" w:themeColor="text1"/>
        </w:rPr>
        <w:t>0..pointCnt – 1, and j</w:t>
      </w:r>
      <w:r w:rsidR="00D47707" w:rsidRPr="00A52AB8">
        <w:rPr>
          <w:color w:val="000000" w:themeColor="text1"/>
        </w:rPr>
        <w:t> = </w:t>
      </w:r>
      <w:r w:rsidRPr="00A52AB8">
        <w:rPr>
          <w:color w:val="000000" w:themeColor="text1"/>
        </w:rPr>
        <w:t xml:space="preserve">0..numComps – 1, </w:t>
      </w:r>
      <w:r w:rsidR="001D04C2" w:rsidRPr="00A52AB8">
        <w:rPr>
          <w:color w:val="000000" w:themeColor="text1"/>
        </w:rPr>
        <w:t>and</w:t>
      </w:r>
    </w:p>
    <w:p w14:paraId="0F0DBF61" w14:textId="3C62709A" w:rsidR="006D74F2" w:rsidRPr="00A52AB8" w:rsidRDefault="008D5244"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1D array </w:t>
      </w:r>
      <w:r w:rsidR="0070013A" w:rsidRPr="00A52AB8">
        <w:rPr>
          <w:color w:val="000000" w:themeColor="text1"/>
        </w:rPr>
        <w:t xml:space="preserve">pointToPatch, </w:t>
      </w:r>
      <w:r w:rsidRPr="00A52AB8">
        <w:rPr>
          <w:color w:val="000000" w:themeColor="text1"/>
        </w:rPr>
        <w:t xml:space="preserve">of size </w:t>
      </w:r>
      <w:r w:rsidR="0070013A" w:rsidRPr="00A52AB8">
        <w:rPr>
          <w:color w:val="000000" w:themeColor="text1"/>
        </w:rPr>
        <w:t xml:space="preserve">pointCnt, </w:t>
      </w:r>
      <w:r w:rsidRPr="00A52AB8">
        <w:rPr>
          <w:color w:val="000000" w:themeColor="text1"/>
        </w:rPr>
        <w:t xml:space="preserve">specifying </w:t>
      </w:r>
      <w:r w:rsidR="0070013A" w:rsidRPr="00A52AB8">
        <w:rPr>
          <w:color w:val="000000" w:themeColor="text1"/>
        </w:rPr>
        <w:t xml:space="preserve">the </w:t>
      </w:r>
      <w:r w:rsidR="006D74F2" w:rsidRPr="00A52AB8">
        <w:rPr>
          <w:color w:val="000000" w:themeColor="text1"/>
        </w:rPr>
        <w:t xml:space="preserve">patch index corresponding to each </w:t>
      </w:r>
      <w:r w:rsidR="007908BC" w:rsidRPr="00A52AB8">
        <w:rPr>
          <w:color w:val="000000" w:themeColor="text1"/>
        </w:rPr>
        <w:t xml:space="preserve">reconstructed </w:t>
      </w:r>
      <w:r w:rsidR="006D74F2" w:rsidRPr="00A52AB8">
        <w:rPr>
          <w:color w:val="000000" w:themeColor="text1"/>
        </w:rPr>
        <w:t xml:space="preserve">point in </w:t>
      </w:r>
      <w:r w:rsidR="007908BC" w:rsidRPr="00A52AB8">
        <w:rPr>
          <w:color w:val="000000" w:themeColor="text1"/>
        </w:rPr>
        <w:t>the current point cloud frame.</w:t>
      </w:r>
    </w:p>
    <w:p w14:paraId="1D73AC61" w14:textId="77777777" w:rsidR="006D74F2" w:rsidRPr="00A52AB8" w:rsidRDefault="006D74F2" w:rsidP="006D74F2">
      <w:pPr>
        <w:tabs>
          <w:tab w:val="left" w:pos="1800"/>
        </w:tabs>
        <w:rPr>
          <w:color w:val="000000" w:themeColor="text1"/>
        </w:rPr>
      </w:pPr>
      <w:r w:rsidRPr="00A52AB8">
        <w:rPr>
          <w:color w:val="000000" w:themeColor="text1"/>
        </w:rPr>
        <w:t>Output of this process is:</w:t>
      </w:r>
    </w:p>
    <w:p w14:paraId="79A8CB4B" w14:textId="74AA277F" w:rsidR="007908BC" w:rsidRPr="00A52AB8" w:rsidRDefault="008D5244"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3D array </w:t>
      </w:r>
      <w:r w:rsidR="001D04C2" w:rsidRPr="00A52AB8">
        <w:rPr>
          <w:color w:val="000000" w:themeColor="text1"/>
        </w:rPr>
        <w:t>recPcAttrSmoothed</w:t>
      </w:r>
      <w:r w:rsidR="007908BC" w:rsidRPr="00A52AB8">
        <w:rPr>
          <w:color w:val="000000" w:themeColor="text1"/>
        </w:rPr>
        <w:t>[ aIdx ][ </w:t>
      </w:r>
      <w:r w:rsidR="001D04C2" w:rsidRPr="00A52AB8">
        <w:rPr>
          <w:color w:val="000000" w:themeColor="text1"/>
        </w:rPr>
        <w:t>n </w:t>
      </w:r>
      <w:r w:rsidR="007908BC" w:rsidRPr="00A52AB8">
        <w:rPr>
          <w:color w:val="000000" w:themeColor="text1"/>
        </w:rPr>
        <w:t xml:space="preserve">][ j ], </w:t>
      </w:r>
      <w:r w:rsidRPr="00A52AB8">
        <w:rPr>
          <w:color w:val="000000" w:themeColor="text1"/>
        </w:rPr>
        <w:t>specifying the reconstructed attribute values for the attribute with index aIdx, n</w:t>
      </w:r>
      <w:r w:rsidR="00D47707" w:rsidRPr="00A52AB8">
        <w:rPr>
          <w:color w:val="000000" w:themeColor="text1"/>
        </w:rPr>
        <w:t> = </w:t>
      </w:r>
      <w:r w:rsidRPr="00A52AB8">
        <w:rPr>
          <w:color w:val="000000" w:themeColor="text1"/>
        </w:rPr>
        <w:t>0..pointCnt – 1, and j</w:t>
      </w:r>
      <w:r w:rsidR="00D47707" w:rsidRPr="00A52AB8">
        <w:rPr>
          <w:color w:val="000000" w:themeColor="text1"/>
        </w:rPr>
        <w:t> = </w:t>
      </w:r>
      <w:r w:rsidRPr="00A52AB8">
        <w:rPr>
          <w:color w:val="000000" w:themeColor="text1"/>
        </w:rPr>
        <w:t>0..numComps – 1.</w:t>
      </w:r>
    </w:p>
    <w:p w14:paraId="5B8BF614" w14:textId="77777777" w:rsidR="007908BC" w:rsidRPr="00A52AB8" w:rsidRDefault="007908BC" w:rsidP="00792CFF">
      <w:pPr>
        <w:rPr>
          <w:color w:val="000000" w:themeColor="text1"/>
        </w:rPr>
      </w:pPr>
      <w:r w:rsidRPr="00A52AB8">
        <w:rPr>
          <w:color w:val="000000" w:themeColor="text1"/>
        </w:rPr>
        <w:t>The following appl</w:t>
      </w:r>
      <w:r w:rsidR="00F51A0E" w:rsidRPr="00A52AB8">
        <w:rPr>
          <w:color w:val="000000" w:themeColor="text1"/>
        </w:rPr>
        <w:t>i</w:t>
      </w:r>
      <w:r w:rsidRPr="00A52AB8">
        <w:rPr>
          <w:color w:val="000000" w:themeColor="text1"/>
        </w:rPr>
        <w:t>es:</w:t>
      </w:r>
    </w:p>
    <w:p w14:paraId="236C4498" w14:textId="77777777" w:rsidR="006D74F2" w:rsidRPr="00A52AB8" w:rsidRDefault="004401F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w:t>
      </w:r>
      <w:r w:rsidR="006D74F2" w:rsidRPr="00A52AB8">
        <w:rPr>
          <w:color w:val="000000" w:themeColor="text1"/>
        </w:rPr>
        <w:t xml:space="preserve">variable </w:t>
      </w:r>
      <w:r w:rsidR="007908BC" w:rsidRPr="00A52AB8">
        <w:rPr>
          <w:color w:val="000000" w:themeColor="text1"/>
        </w:rPr>
        <w:t>attr</w:t>
      </w:r>
      <w:r w:rsidR="006D74F2" w:rsidRPr="00A52AB8">
        <w:rPr>
          <w:color w:val="000000" w:themeColor="text1"/>
        </w:rPr>
        <w:t>GridSize is set to AttributeSmoothingGridSize[ aIdx ][ m ].</w:t>
      </w:r>
    </w:p>
    <w:p w14:paraId="0B904135" w14:textId="285E133F" w:rsidR="00E320B0" w:rsidRPr="00A52AB8" w:rsidRDefault="00E320B0"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variable bitDepthDiff is set to ( </w:t>
      </w:r>
      <w:r w:rsidR="00110B7C" w:rsidRPr="00A52AB8">
        <w:rPr>
          <w:color w:val="000000" w:themeColor="text1"/>
        </w:rPr>
        <w:t>attrBitDepth </w:t>
      </w:r>
      <w:r w:rsidRPr="00A52AB8">
        <w:rPr>
          <w:color w:val="000000" w:themeColor="text1"/>
        </w:rPr>
        <w:t>– 8 ).</w:t>
      </w:r>
    </w:p>
    <w:p w14:paraId="38223465" w14:textId="77777777" w:rsidR="00E320B0" w:rsidRPr="00A52AB8" w:rsidRDefault="004401F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Variables attrSmoothingThreshold, attrThresholdVariation, and attrThresholdDiff are </w:t>
      </w:r>
      <w:r w:rsidR="00E320B0" w:rsidRPr="00A52AB8">
        <w:rPr>
          <w:color w:val="000000" w:themeColor="text1"/>
        </w:rPr>
        <w:t>initialized as follows:</w:t>
      </w:r>
    </w:p>
    <w:p w14:paraId="1340CBA1" w14:textId="77777777" w:rsidR="00E320B0" w:rsidRPr="00A52AB8" w:rsidRDefault="00E320B0"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If bitDepthDiff is greater than or equal to 0,</w:t>
      </w:r>
    </w:p>
    <w:p w14:paraId="37D09729" w14:textId="603FCEC7" w:rsidR="00E320B0" w:rsidRPr="00A52AB8" w:rsidRDefault="00E320B0" w:rsidP="00007BE2">
      <w:pPr>
        <w:pStyle w:val="ListParagraph"/>
        <w:widowControl w:val="0"/>
        <w:tabs>
          <w:tab w:val="clear" w:pos="403"/>
          <w:tab w:val="left" w:pos="1800"/>
        </w:tabs>
        <w:autoSpaceDN w:val="0"/>
        <w:spacing w:before="136" w:after="0" w:line="240" w:lineRule="auto"/>
        <w:ind w:leftChars="0" w:left="1208"/>
        <w:textAlignment w:val="baseline"/>
        <w:rPr>
          <w:bCs/>
        </w:rPr>
      </w:pPr>
      <w:r w:rsidRPr="00A52AB8">
        <w:rPr>
          <w:bCs/>
        </w:rPr>
        <w:t>attrSmoothingThreshold</w:t>
      </w:r>
      <w:r w:rsidR="00D47707" w:rsidRPr="00A52AB8">
        <w:rPr>
          <w:bCs/>
        </w:rPr>
        <w:t> = </w:t>
      </w:r>
      <w:r w:rsidRPr="00A52AB8">
        <w:rPr>
          <w:bCs/>
        </w:rPr>
        <w:t>as_threshold[ aIdx ][ m ]</w:t>
      </w:r>
      <w:r w:rsidR="00C61E38" w:rsidRPr="00A52AB8">
        <w:rPr>
          <w:bCs/>
        </w:rPr>
        <w:t> </w:t>
      </w:r>
      <w:r w:rsidRPr="00A52AB8">
        <w:rPr>
          <w:bCs/>
        </w:rPr>
        <w:t>&lt;&lt;</w:t>
      </w:r>
      <w:r w:rsidR="00C61E38" w:rsidRPr="00A52AB8">
        <w:rPr>
          <w:bCs/>
        </w:rPr>
        <w:t> </w:t>
      </w:r>
      <w:r w:rsidRPr="00A52AB8">
        <w:rPr>
          <w:bCs/>
        </w:rPr>
        <w:t>bitDepthDiff</w:t>
      </w:r>
      <w:r w:rsidR="000017EE" w:rsidRPr="00A52AB8">
        <w:rPr>
          <w:bCs/>
        </w:rPr>
        <w:br/>
      </w:r>
      <w:r w:rsidRPr="00A52AB8">
        <w:rPr>
          <w:bCs/>
        </w:rPr>
        <w:t>attrThresholdVariation</w:t>
      </w:r>
      <w:r w:rsidR="00D47707" w:rsidRPr="00A52AB8">
        <w:rPr>
          <w:bCs/>
        </w:rPr>
        <w:t> = </w:t>
      </w:r>
      <w:r w:rsidRPr="00A52AB8">
        <w:rPr>
          <w:bCs/>
        </w:rPr>
        <w:t>as_threshold_variation[ aIdx ][ m ]</w:t>
      </w:r>
      <w:r w:rsidR="00C61E38" w:rsidRPr="00A52AB8">
        <w:rPr>
          <w:bCs/>
        </w:rPr>
        <w:t> </w:t>
      </w:r>
      <w:r w:rsidRPr="00A52AB8">
        <w:rPr>
          <w:bCs/>
        </w:rPr>
        <w:t>&lt;&lt;</w:t>
      </w:r>
      <w:r w:rsidR="00C61E38" w:rsidRPr="00A52AB8">
        <w:rPr>
          <w:bCs/>
        </w:rPr>
        <w:t> </w:t>
      </w:r>
      <w:r w:rsidRPr="00A52AB8">
        <w:rPr>
          <w:bCs/>
        </w:rPr>
        <w:t>bitDepthDiff</w:t>
      </w:r>
      <w:r w:rsidRPr="00A52AB8">
        <w:rPr>
          <w:bCs/>
        </w:rPr>
        <w:br/>
        <w:t>attrThresholdDiff</w:t>
      </w:r>
      <w:r w:rsidR="00D47707" w:rsidRPr="00A52AB8">
        <w:rPr>
          <w:bCs/>
        </w:rPr>
        <w:t> = </w:t>
      </w:r>
      <w:r w:rsidRPr="00A52AB8">
        <w:rPr>
          <w:bCs/>
        </w:rPr>
        <w:t>as_threshold_difference[ aIdx ][ m ]</w:t>
      </w:r>
      <w:r w:rsidR="00C61E38" w:rsidRPr="00A52AB8">
        <w:rPr>
          <w:bCs/>
        </w:rPr>
        <w:t> </w:t>
      </w:r>
      <w:r w:rsidRPr="00A52AB8">
        <w:rPr>
          <w:bCs/>
        </w:rPr>
        <w:t>&lt;&lt;</w:t>
      </w:r>
      <w:r w:rsidR="00C61E38" w:rsidRPr="00A52AB8">
        <w:rPr>
          <w:bCs/>
        </w:rPr>
        <w:t> </w:t>
      </w:r>
      <w:r w:rsidRPr="00A52AB8">
        <w:rPr>
          <w:bCs/>
        </w:rPr>
        <w:t>bitDepthDiff</w:t>
      </w:r>
    </w:p>
    <w:p w14:paraId="5843D829" w14:textId="77777777" w:rsidR="00E320B0" w:rsidRPr="00A52AB8" w:rsidRDefault="00E320B0"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Otherwise ( bi</w:t>
      </w:r>
      <w:r w:rsidR="008D00B6" w:rsidRPr="00A52AB8">
        <w:rPr>
          <w:color w:val="000000" w:themeColor="text1"/>
        </w:rPr>
        <w:t>t</w:t>
      </w:r>
      <w:r w:rsidRPr="00A52AB8">
        <w:rPr>
          <w:color w:val="000000" w:themeColor="text1"/>
        </w:rPr>
        <w:t>DepthDiff is less than 0 )</w:t>
      </w:r>
    </w:p>
    <w:p w14:paraId="3DC875AF" w14:textId="5428F2E9" w:rsidR="004401FC" w:rsidRPr="00A52AB8" w:rsidRDefault="008D00B6" w:rsidP="00007BE2">
      <w:pPr>
        <w:pStyle w:val="ListParagraph"/>
        <w:widowControl w:val="0"/>
        <w:tabs>
          <w:tab w:val="clear" w:pos="403"/>
          <w:tab w:val="left" w:pos="1800"/>
        </w:tabs>
        <w:autoSpaceDN w:val="0"/>
        <w:spacing w:before="136" w:after="0" w:line="240" w:lineRule="auto"/>
        <w:ind w:leftChars="0" w:left="1208"/>
        <w:textAlignment w:val="baseline"/>
        <w:rPr>
          <w:bCs/>
        </w:rPr>
      </w:pPr>
      <w:r w:rsidRPr="00A52AB8">
        <w:rPr>
          <w:bCs/>
        </w:rPr>
        <w:tab/>
        <w:t>attrSmoothingThreshold</w:t>
      </w:r>
      <w:r w:rsidR="00D47707" w:rsidRPr="00A52AB8">
        <w:rPr>
          <w:bCs/>
        </w:rPr>
        <w:t> = </w:t>
      </w:r>
      <w:r w:rsidRPr="00A52AB8">
        <w:rPr>
          <w:bCs/>
        </w:rPr>
        <w:t>as_threshold[ aIdx ][ m ]</w:t>
      </w:r>
      <w:r w:rsidR="008768E9" w:rsidRPr="00A52AB8">
        <w:rPr>
          <w:bCs/>
        </w:rPr>
        <w:t> &gt;&gt; </w:t>
      </w:r>
      <w:r w:rsidR="008F7F04" w:rsidRPr="00A52AB8">
        <w:rPr>
          <w:bCs/>
        </w:rPr>
        <w:t>( −</w:t>
      </w:r>
      <w:r w:rsidRPr="00A52AB8">
        <w:rPr>
          <w:bCs/>
        </w:rPr>
        <w:t>bitDepthDiff</w:t>
      </w:r>
      <w:r w:rsidR="008F7F04" w:rsidRPr="00A52AB8">
        <w:rPr>
          <w:bCs/>
        </w:rPr>
        <w:t> )</w:t>
      </w:r>
      <w:r w:rsidRPr="00A52AB8">
        <w:rPr>
          <w:bCs/>
        </w:rPr>
        <w:br/>
        <w:t>attrThresholdVariation</w:t>
      </w:r>
      <w:r w:rsidR="00D47707" w:rsidRPr="00A52AB8">
        <w:rPr>
          <w:bCs/>
        </w:rPr>
        <w:t> = </w:t>
      </w:r>
      <w:r w:rsidRPr="00A52AB8">
        <w:rPr>
          <w:bCs/>
        </w:rPr>
        <w:t>as_threshold_variation[ aIdx ][ m ]</w:t>
      </w:r>
      <w:r w:rsidR="008768E9" w:rsidRPr="00A52AB8">
        <w:rPr>
          <w:bCs/>
        </w:rPr>
        <w:t> &gt;&gt; </w:t>
      </w:r>
      <w:r w:rsidR="008F7F04" w:rsidRPr="00A52AB8">
        <w:rPr>
          <w:bCs/>
        </w:rPr>
        <w:t>( −bitDepthDiff )</w:t>
      </w:r>
      <w:r w:rsidRPr="00A52AB8">
        <w:rPr>
          <w:bCs/>
        </w:rPr>
        <w:br/>
        <w:t>attrThresholdDiff</w:t>
      </w:r>
      <w:r w:rsidR="00D47707" w:rsidRPr="00A52AB8">
        <w:rPr>
          <w:bCs/>
        </w:rPr>
        <w:t> = </w:t>
      </w:r>
      <w:r w:rsidRPr="00A52AB8">
        <w:rPr>
          <w:bCs/>
        </w:rPr>
        <w:t>as_threshold_difference[ aIdx ][ m ]</w:t>
      </w:r>
      <w:r w:rsidR="008768E9" w:rsidRPr="00A52AB8">
        <w:rPr>
          <w:bCs/>
        </w:rPr>
        <w:t> &gt;&gt; </w:t>
      </w:r>
      <w:r w:rsidR="008F7F04" w:rsidRPr="00A52AB8">
        <w:rPr>
          <w:bCs/>
        </w:rPr>
        <w:t>( −bitDepthDiff )</w:t>
      </w:r>
    </w:p>
    <w:p w14:paraId="4E579DC7" w14:textId="77777777" w:rsidR="004401FC" w:rsidRPr="00A52AB8" w:rsidRDefault="004401F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An array isBoundaryPoint[ n ], n =0..pointCnt – 1, is initialized to 0.</w:t>
      </w:r>
    </w:p>
    <w:p w14:paraId="26A20A6F" w14:textId="6E30EA6D" w:rsidR="00E843DD" w:rsidRPr="00A52AB8" w:rsidRDefault="004401F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An array recPcAttrSmoothed</w:t>
      </w:r>
      <w:r w:rsidR="008D5244" w:rsidRPr="00A52AB8">
        <w:rPr>
          <w:color w:val="000000" w:themeColor="text1"/>
        </w:rPr>
        <w:t>[ aIdx ]</w:t>
      </w:r>
      <w:r w:rsidRPr="00A52AB8">
        <w:rPr>
          <w:color w:val="000000" w:themeColor="text1"/>
        </w:rPr>
        <w:t>[ n ][ j ], n</w:t>
      </w:r>
      <w:r w:rsidR="00D47707" w:rsidRPr="00A52AB8">
        <w:rPr>
          <w:color w:val="000000" w:themeColor="text1"/>
        </w:rPr>
        <w:t> = </w:t>
      </w:r>
      <w:r w:rsidRPr="00A52AB8">
        <w:rPr>
          <w:color w:val="000000" w:themeColor="text1"/>
        </w:rPr>
        <w:t>0..pointCnt – 1, j</w:t>
      </w:r>
      <w:r w:rsidR="00D47707" w:rsidRPr="00A52AB8">
        <w:rPr>
          <w:color w:val="000000" w:themeColor="text1"/>
        </w:rPr>
        <w:t> = </w:t>
      </w:r>
      <w:r w:rsidRPr="00A52AB8">
        <w:rPr>
          <w:color w:val="000000" w:themeColor="text1"/>
        </w:rPr>
        <w:t>0..numComps – 1, is initialized using the array recPcAttr</w:t>
      </w:r>
      <w:r w:rsidR="008D5244" w:rsidRPr="00A52AB8">
        <w:rPr>
          <w:color w:val="000000" w:themeColor="text1"/>
        </w:rPr>
        <w:t>[ aIdx ]</w:t>
      </w:r>
      <w:r w:rsidRPr="00A52AB8">
        <w:rPr>
          <w:color w:val="000000" w:themeColor="text1"/>
        </w:rPr>
        <w:t>[ n ][ j ] as follows:</w:t>
      </w:r>
    </w:p>
    <w:p w14:paraId="31771B04" w14:textId="30EB58B1" w:rsidR="004401FC" w:rsidRPr="00A52AB8" w:rsidRDefault="00E843DD" w:rsidP="004A6049">
      <w:r w:rsidRPr="00A52AB8">
        <w:tab/>
      </w:r>
      <w:r w:rsidRPr="00A52AB8">
        <w:tab/>
      </w:r>
      <w:r w:rsidR="004401FC" w:rsidRPr="00A52AB8">
        <w:t>for( n</w:t>
      </w:r>
      <w:r w:rsidR="00D47707" w:rsidRPr="00A52AB8">
        <w:t> = </w:t>
      </w:r>
      <w:r w:rsidR="004401FC" w:rsidRPr="00A52AB8">
        <w:t>0; n &lt; pointCnt; n</w:t>
      </w:r>
      <w:r w:rsidR="00006CCF" w:rsidRPr="00A52AB8">
        <w:t>++ )</w:t>
      </w:r>
      <w:r w:rsidR="004401FC" w:rsidRPr="00A52AB8">
        <w:br/>
      </w:r>
      <w:r w:rsidR="004401FC" w:rsidRPr="00A52AB8">
        <w:tab/>
      </w:r>
      <w:r w:rsidRPr="00A52AB8">
        <w:tab/>
      </w:r>
      <w:r w:rsidRPr="00A52AB8">
        <w:tab/>
      </w:r>
      <w:r w:rsidR="004401FC" w:rsidRPr="00A52AB8">
        <w:t>for( j</w:t>
      </w:r>
      <w:r w:rsidR="00D47707" w:rsidRPr="00A52AB8">
        <w:t> = </w:t>
      </w:r>
      <w:r w:rsidR="004401FC" w:rsidRPr="00A52AB8">
        <w:t>0; j &lt; numComps; j</w:t>
      </w:r>
      <w:r w:rsidR="00006CCF" w:rsidRPr="00A52AB8">
        <w:t>++ )</w:t>
      </w:r>
      <w:r w:rsidR="004401FC" w:rsidRPr="00A52AB8">
        <w:br/>
      </w:r>
      <w:r w:rsidR="004401FC" w:rsidRPr="00A52AB8">
        <w:tab/>
      </w:r>
      <w:r w:rsidR="004401FC" w:rsidRPr="00A52AB8">
        <w:tab/>
      </w:r>
      <w:r w:rsidRPr="00A52AB8">
        <w:tab/>
      </w:r>
      <w:r w:rsidRPr="00A52AB8">
        <w:tab/>
      </w:r>
      <w:r w:rsidR="004401FC" w:rsidRPr="00A52AB8">
        <w:t>recPcAttrSmoothed[ aIdx ][ n ][ j ]</w:t>
      </w:r>
      <w:r w:rsidR="00D47707" w:rsidRPr="00A52AB8">
        <w:t> = </w:t>
      </w:r>
      <w:r w:rsidR="004401FC" w:rsidRPr="00A52AB8">
        <w:t>recPcAttr[ aIdx ][ n ][ j ]</w:t>
      </w:r>
    </w:p>
    <w:p w14:paraId="4154485D" w14:textId="77777777" w:rsidR="004401FC" w:rsidRPr="00A52AB8" w:rsidRDefault="004401F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For each reconstructed point with index n, n =0..pointCnt – 1, the following applies:</w:t>
      </w:r>
    </w:p>
    <w:p w14:paraId="5968DE71" w14:textId="77777777" w:rsidR="004401FC" w:rsidRPr="00A52AB8" w:rsidRDefault="004401F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The position of the point on the atlas is derived as follows:</w:t>
      </w:r>
    </w:p>
    <w:p w14:paraId="272A79E8" w14:textId="1E4CA931" w:rsidR="004401FC" w:rsidRPr="00A52AB8" w:rsidRDefault="004401FC" w:rsidP="00007BE2">
      <w:pPr>
        <w:pStyle w:val="ListParagraph"/>
        <w:widowControl w:val="0"/>
        <w:tabs>
          <w:tab w:val="clear" w:pos="403"/>
          <w:tab w:val="left" w:pos="1800"/>
        </w:tabs>
        <w:autoSpaceDN w:val="0"/>
        <w:spacing w:before="136" w:after="0" w:line="240" w:lineRule="auto"/>
        <w:ind w:leftChars="0" w:left="1208"/>
        <w:textAlignment w:val="baseline"/>
        <w:rPr>
          <w:bCs/>
        </w:rPr>
      </w:pPr>
      <w:r w:rsidRPr="00A52AB8">
        <w:rPr>
          <w:bCs/>
        </w:rPr>
        <w:tab/>
        <w:t>y</w:t>
      </w:r>
      <w:r w:rsidR="00D47707" w:rsidRPr="00A52AB8">
        <w:rPr>
          <w:bCs/>
        </w:rPr>
        <w:t> = </w:t>
      </w:r>
      <w:r w:rsidRPr="00A52AB8">
        <w:rPr>
          <w:bCs/>
        </w:rPr>
        <w:t>pointToPixel[ n ][ </w:t>
      </w:r>
      <w:r w:rsidR="00DE3AA8" w:rsidRPr="00A52AB8">
        <w:rPr>
          <w:bCs/>
        </w:rPr>
        <w:t>1 </w:t>
      </w:r>
      <w:r w:rsidRPr="00A52AB8">
        <w:rPr>
          <w:bCs/>
        </w:rPr>
        <w:t>]</w:t>
      </w:r>
      <w:r w:rsidR="00D4574D" w:rsidRPr="00A52AB8">
        <w:rPr>
          <w:bCs/>
        </w:rPr>
        <w:br/>
      </w:r>
      <w:r w:rsidR="00873928" w:rsidRPr="00A52AB8">
        <w:rPr>
          <w:bCs/>
        </w:rPr>
        <w:tab/>
      </w:r>
      <w:r w:rsidRPr="00A52AB8">
        <w:rPr>
          <w:bCs/>
        </w:rPr>
        <w:t>x</w:t>
      </w:r>
      <w:r w:rsidR="00D47707" w:rsidRPr="00A52AB8">
        <w:rPr>
          <w:bCs/>
        </w:rPr>
        <w:t> = </w:t>
      </w:r>
      <w:r w:rsidRPr="00A52AB8">
        <w:rPr>
          <w:bCs/>
        </w:rPr>
        <w:t>pointToPixel[ n ][ </w:t>
      </w:r>
      <w:r w:rsidR="00DE3AA8" w:rsidRPr="00A52AB8">
        <w:rPr>
          <w:bCs/>
        </w:rPr>
        <w:t>0 </w:t>
      </w:r>
      <w:r w:rsidRPr="00A52AB8">
        <w:rPr>
          <w:bCs/>
        </w:rPr>
        <w:t>]</w:t>
      </w:r>
    </w:p>
    <w:p w14:paraId="23937F7E" w14:textId="77777777" w:rsidR="008052C6" w:rsidRPr="00A52AB8" w:rsidRDefault="008052C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A variable p is set equal to pointToPatch[ n ].</w:t>
      </w:r>
    </w:p>
    <w:p w14:paraId="6C8EBFD1" w14:textId="1137D70B" w:rsidR="004401FC" w:rsidRPr="00A52AB8" w:rsidRDefault="008052C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S</w:t>
      </w:r>
      <w:r w:rsidR="004401FC" w:rsidRPr="00A52AB8">
        <w:rPr>
          <w:color w:val="000000" w:themeColor="text1"/>
        </w:rPr>
        <w:t xml:space="preserve">ubclause </w:t>
      </w:r>
      <w:r w:rsidR="004401FC" w:rsidRPr="00496A4D">
        <w:rPr>
          <w:color w:val="000000" w:themeColor="text1"/>
        </w:rPr>
        <w:fldChar w:fldCharType="begin"/>
      </w:r>
      <w:r w:rsidR="004401FC" w:rsidRPr="00A52AB8">
        <w:rPr>
          <w:color w:val="000000" w:themeColor="text1"/>
        </w:rPr>
        <w:instrText xml:space="preserve"> REF _Ref39817343 \r \h </w:instrText>
      </w:r>
      <w:r w:rsidR="006371AA" w:rsidRPr="00A52AB8">
        <w:rPr>
          <w:color w:val="000000" w:themeColor="text1"/>
        </w:rPr>
        <w:instrText xml:space="preserve"> \* MERGEFORMAT </w:instrText>
      </w:r>
      <w:r w:rsidR="004401FC" w:rsidRPr="00496A4D">
        <w:rPr>
          <w:color w:val="000000" w:themeColor="text1"/>
        </w:rPr>
      </w:r>
      <w:r w:rsidR="004401FC" w:rsidRPr="00496A4D">
        <w:rPr>
          <w:color w:val="000000" w:themeColor="text1"/>
        </w:rPr>
        <w:fldChar w:fldCharType="separate"/>
      </w:r>
      <w:r w:rsidR="00507A67">
        <w:rPr>
          <w:color w:val="000000" w:themeColor="text1"/>
        </w:rPr>
        <w:t>H.12.5</w:t>
      </w:r>
      <w:r w:rsidR="004401FC" w:rsidRPr="00496A4D">
        <w:rPr>
          <w:color w:val="000000" w:themeColor="text1"/>
        </w:rPr>
        <w:fldChar w:fldCharType="end"/>
      </w:r>
      <w:r w:rsidR="004401FC" w:rsidRPr="00A52AB8">
        <w:rPr>
          <w:color w:val="000000" w:themeColor="text1"/>
        </w:rPr>
        <w:t xml:space="preserve"> is invoked with oFrame, y, and x as inputs</w:t>
      </w:r>
      <w:r w:rsidRPr="00A52AB8">
        <w:rPr>
          <w:color w:val="000000" w:themeColor="text1"/>
        </w:rPr>
        <w:t xml:space="preserve"> if all of the conditions below are satisfied</w:t>
      </w:r>
      <w:r w:rsidR="004401FC" w:rsidRPr="00A52AB8">
        <w:rPr>
          <w:color w:val="000000" w:themeColor="text1"/>
        </w:rPr>
        <w:t>. The output is assigned to isBoundaryPoint[ n ].</w:t>
      </w:r>
    </w:p>
    <w:p w14:paraId="3B6193DC" w14:textId="6608392D" w:rsidR="008052C6" w:rsidRPr="00A52AB8" w:rsidRDefault="008052C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1" w:hanging="403"/>
        <w:textAlignment w:val="baseline"/>
        <w:rPr>
          <w:color w:val="000000" w:themeColor="text1"/>
        </w:rPr>
      </w:pPr>
      <w:r w:rsidRPr="00A52AB8">
        <w:rPr>
          <w:color w:val="000000" w:themeColor="text1"/>
        </w:rPr>
        <w:t>oFrame[ y ][ x ] </w:t>
      </w:r>
      <w:r w:rsidR="00E963F3" w:rsidRPr="00A52AB8">
        <w:rPr>
          <w:color w:val="000000" w:themeColor="text1"/>
        </w:rPr>
        <w:t>!=</w:t>
      </w:r>
      <w:r w:rsidR="00D47707" w:rsidRPr="00A52AB8">
        <w:rPr>
          <w:color w:val="000000" w:themeColor="text1"/>
        </w:rPr>
        <w:t> </w:t>
      </w:r>
      <w:r w:rsidRPr="00A52AB8">
        <w:rPr>
          <w:color w:val="000000" w:themeColor="text1"/>
        </w:rPr>
        <w:t>0</w:t>
      </w:r>
    </w:p>
    <w:p w14:paraId="29723E28" w14:textId="13CF8820" w:rsidR="008052C6" w:rsidRPr="00A52AB8" w:rsidRDefault="008052C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1" w:hanging="403"/>
        <w:textAlignment w:val="baseline"/>
        <w:rPr>
          <w:color w:val="000000" w:themeColor="text1"/>
        </w:rPr>
      </w:pPr>
      <w:r w:rsidRPr="00A52AB8">
        <w:rPr>
          <w:color w:val="000000" w:themeColor="text1"/>
        </w:rPr>
        <w:t>isBoundaryPoint[ n ]</w:t>
      </w:r>
      <w:r w:rsidR="008768E9" w:rsidRPr="00A52AB8">
        <w:rPr>
          <w:color w:val="000000" w:themeColor="text1"/>
        </w:rPr>
        <w:t> </w:t>
      </w:r>
      <w:r w:rsidR="00726AAE" w:rsidRPr="00A52AB8">
        <w:rPr>
          <w:color w:val="000000" w:themeColor="text1"/>
        </w:rPr>
        <w:t>==</w:t>
      </w:r>
      <w:r w:rsidR="00D47707" w:rsidRPr="00A52AB8">
        <w:rPr>
          <w:color w:val="000000" w:themeColor="text1"/>
        </w:rPr>
        <w:t> </w:t>
      </w:r>
      <w:r w:rsidRPr="00A52AB8">
        <w:rPr>
          <w:color w:val="000000" w:themeColor="text1"/>
        </w:rPr>
        <w:t>0</w:t>
      </w:r>
    </w:p>
    <w:p w14:paraId="1EC75934" w14:textId="6595BAD4" w:rsidR="008052C6" w:rsidRPr="00A52AB8" w:rsidRDefault="008052C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1" w:hanging="403"/>
        <w:textAlignment w:val="baseline"/>
        <w:rPr>
          <w:color w:val="000000" w:themeColor="text1"/>
        </w:rPr>
      </w:pPr>
      <w:r w:rsidRPr="00A52AB8">
        <w:rPr>
          <w:color w:val="000000" w:themeColor="text1"/>
        </w:rPr>
        <w:t>( AtlasPatchType[ p ] </w:t>
      </w:r>
      <w:r w:rsidR="00E963F3" w:rsidRPr="00A52AB8">
        <w:rPr>
          <w:color w:val="000000" w:themeColor="text1"/>
        </w:rPr>
        <w:t>!=</w:t>
      </w:r>
      <w:r w:rsidR="00D47707" w:rsidRPr="00A52AB8">
        <w:rPr>
          <w:color w:val="000000" w:themeColor="text1"/>
        </w:rPr>
        <w:t> </w:t>
      </w:r>
      <w:r w:rsidRPr="00A52AB8">
        <w:rPr>
          <w:color w:val="000000" w:themeColor="text1"/>
        </w:rPr>
        <w:t>EOM </w:t>
      </w:r>
      <w:r w:rsidR="00D004C2" w:rsidRPr="00A52AB8">
        <w:rPr>
          <w:color w:val="000000" w:themeColor="text1"/>
        </w:rPr>
        <w:t>)</w:t>
      </w:r>
      <w:r w:rsidR="008768E9" w:rsidRPr="00A52AB8">
        <w:rPr>
          <w:color w:val="000000" w:themeColor="text1"/>
        </w:rPr>
        <w:t> || </w:t>
      </w:r>
      <w:r w:rsidR="00D004C2" w:rsidRPr="00A52AB8">
        <w:rPr>
          <w:color w:val="000000" w:themeColor="text1"/>
        </w:rPr>
        <w:t>(</w:t>
      </w:r>
      <w:r w:rsidR="00975BD5" w:rsidRPr="00A52AB8">
        <w:rPr>
          <w:color w:val="000000" w:themeColor="text1"/>
        </w:rPr>
        <w:t> </w:t>
      </w:r>
      <w:r w:rsidRPr="00A52AB8">
        <w:rPr>
          <w:color w:val="000000" w:themeColor="text1"/>
        </w:rPr>
        <w:t>as_filter_eom_points_flag[ aIdx ][ m ]</w:t>
      </w:r>
      <w:r w:rsidR="008768E9" w:rsidRPr="00A52AB8">
        <w:rPr>
          <w:color w:val="000000" w:themeColor="text1"/>
        </w:rPr>
        <w:t> </w:t>
      </w:r>
      <w:r w:rsidR="00726AAE" w:rsidRPr="00A52AB8">
        <w:rPr>
          <w:color w:val="000000" w:themeColor="text1"/>
        </w:rPr>
        <w:t>==</w:t>
      </w:r>
      <w:r w:rsidR="00D47707" w:rsidRPr="00A52AB8">
        <w:rPr>
          <w:color w:val="000000" w:themeColor="text1"/>
        </w:rPr>
        <w:t> </w:t>
      </w:r>
      <w:r w:rsidRPr="00A52AB8">
        <w:rPr>
          <w:color w:val="000000" w:themeColor="text1"/>
        </w:rPr>
        <w:t>1 )</w:t>
      </w:r>
    </w:p>
    <w:p w14:paraId="60B5DD1B" w14:textId="17929102" w:rsidR="004401FC" w:rsidRPr="00A52AB8" w:rsidRDefault="004401FC" w:rsidP="004401FC">
      <w:pPr>
        <w:pStyle w:val="Note1"/>
        <w:rPr>
          <w:rFonts w:ascii="Cambria" w:hAnsi="Cambria"/>
        </w:rPr>
      </w:pPr>
      <w:r w:rsidRPr="00A52AB8">
        <w:rPr>
          <w:rFonts w:ascii="Cambria" w:hAnsi="Cambria"/>
        </w:rPr>
        <w:t>NOTE</w:t>
      </w:r>
      <w:r w:rsidR="00CC15CD" w:rsidRPr="00A52AB8">
        <w:rPr>
          <w:rFonts w:ascii="Cambria" w:hAnsi="Cambria"/>
        </w:rPr>
        <w:t> </w:t>
      </w:r>
      <w:r w:rsidR="007207B4" w:rsidRPr="00496A4D">
        <w:rPr>
          <w:rFonts w:ascii="Cambria" w:hAnsi="Cambria"/>
        </w:rPr>
        <w:fldChar w:fldCharType="begin"/>
      </w:r>
      <w:r w:rsidR="007207B4" w:rsidRPr="00A52AB8">
        <w:rPr>
          <w:rFonts w:ascii="Cambria" w:hAnsi="Cambria"/>
        </w:rPr>
        <w:instrText xml:space="preserve"> SEQ NoteCounter </w:instrText>
      </w:r>
      <w:r w:rsidR="00CC15CD" w:rsidRPr="00A52AB8">
        <w:rPr>
          <w:rFonts w:ascii="Cambria" w:hAnsi="Cambria"/>
        </w:rPr>
        <w:instrText xml:space="preserve">\r 1 </w:instrText>
      </w:r>
      <w:r w:rsidR="007207B4" w:rsidRPr="00A52AB8">
        <w:rPr>
          <w:rFonts w:ascii="Cambria" w:hAnsi="Cambria"/>
        </w:rPr>
        <w:instrText xml:space="preserve">\s 9 \* MERGEFORMAT </w:instrText>
      </w:r>
      <w:r w:rsidR="007207B4" w:rsidRPr="00496A4D">
        <w:rPr>
          <w:rFonts w:ascii="Cambria" w:hAnsi="Cambria"/>
        </w:rPr>
        <w:fldChar w:fldCharType="separate"/>
      </w:r>
      <w:r w:rsidR="00507A67">
        <w:rPr>
          <w:rFonts w:ascii="Cambria" w:hAnsi="Cambria"/>
          <w:noProof/>
        </w:rPr>
        <w:t>1</w:t>
      </w:r>
      <w:r w:rsidR="007207B4" w:rsidRPr="00496A4D">
        <w:rPr>
          <w:rFonts w:ascii="Cambria" w:hAnsi="Cambria"/>
        </w:rPr>
        <w:fldChar w:fldCharType="end"/>
      </w:r>
      <w:r w:rsidR="007207B4" w:rsidRPr="00A52AB8" w:rsidDel="00112A5D">
        <w:rPr>
          <w:rFonts w:ascii="Cambria" w:hAnsi="Cambria"/>
        </w:rPr>
        <w:t> </w:t>
      </w:r>
      <w:r w:rsidRPr="00A52AB8">
        <w:rPr>
          <w:rFonts w:ascii="Cambria" w:hAnsi="Cambria"/>
        </w:rPr>
        <w:t>–</w:t>
      </w:r>
      <w:r w:rsidR="00CC15CD" w:rsidRPr="00A52AB8">
        <w:rPr>
          <w:rFonts w:ascii="Cambria" w:hAnsi="Cambria"/>
        </w:rPr>
        <w:t> </w:t>
      </w:r>
      <w:r w:rsidRPr="00A52AB8">
        <w:rPr>
          <w:rFonts w:ascii="Cambria" w:hAnsi="Cambria"/>
        </w:rPr>
        <w:t xml:space="preserve">If geometry smoothing process in subclause </w:t>
      </w:r>
      <w:r w:rsidRPr="00496A4D">
        <w:rPr>
          <w:rFonts w:ascii="Cambria" w:hAnsi="Cambria"/>
        </w:rPr>
        <w:fldChar w:fldCharType="begin"/>
      </w:r>
      <w:r w:rsidRPr="00A52AB8">
        <w:rPr>
          <w:rFonts w:ascii="Cambria" w:hAnsi="Cambria"/>
        </w:rPr>
        <w:instrText xml:space="preserve"> REF _Ref39773040 \w \h  \* MERGEFORMAT </w:instrText>
      </w:r>
      <w:r w:rsidRPr="00496A4D">
        <w:rPr>
          <w:rFonts w:ascii="Cambria" w:hAnsi="Cambria"/>
        </w:rPr>
      </w:r>
      <w:r w:rsidRPr="00496A4D">
        <w:rPr>
          <w:rFonts w:ascii="Cambria" w:hAnsi="Cambria"/>
        </w:rPr>
        <w:fldChar w:fldCharType="separate"/>
      </w:r>
      <w:r w:rsidR="00507A67">
        <w:rPr>
          <w:rFonts w:ascii="Cambria" w:hAnsi="Cambria"/>
        </w:rPr>
        <w:t>H.12.2</w:t>
      </w:r>
      <w:r w:rsidRPr="00496A4D">
        <w:rPr>
          <w:rFonts w:ascii="Cambria" w:hAnsi="Cambria"/>
        </w:rPr>
        <w:fldChar w:fldCharType="end"/>
      </w:r>
      <w:r w:rsidRPr="00A52AB8">
        <w:rPr>
          <w:rFonts w:ascii="Cambria" w:hAnsi="Cambria"/>
        </w:rPr>
        <w:t xml:space="preserve"> has already been invoked, instead of repeating the calculation of isBoundaryPoint[ n ], n =0..pointCnt – 1, it may</w:t>
      </w:r>
      <w:r w:rsidR="002507A6" w:rsidRPr="00A52AB8">
        <w:rPr>
          <w:rFonts w:ascii="Cambria" w:hAnsi="Cambria"/>
        </w:rPr>
        <w:t xml:space="preserve"> </w:t>
      </w:r>
      <w:r w:rsidRPr="00A52AB8">
        <w:rPr>
          <w:rFonts w:ascii="Cambria" w:hAnsi="Cambria"/>
        </w:rPr>
        <w:t xml:space="preserve">be possible to use isBoundaryPoint[ n ] obtained as an output of subclause </w:t>
      </w:r>
      <w:r w:rsidRPr="00496A4D">
        <w:rPr>
          <w:rFonts w:ascii="Cambria" w:hAnsi="Cambria"/>
        </w:rPr>
        <w:fldChar w:fldCharType="begin"/>
      </w:r>
      <w:r w:rsidRPr="00A52AB8">
        <w:rPr>
          <w:rFonts w:ascii="Cambria" w:hAnsi="Cambria"/>
        </w:rPr>
        <w:instrText xml:space="preserve"> REF _Ref39773040 \w \h  \* MERGEFORMAT </w:instrText>
      </w:r>
      <w:r w:rsidRPr="00496A4D">
        <w:rPr>
          <w:rFonts w:ascii="Cambria" w:hAnsi="Cambria"/>
        </w:rPr>
      </w:r>
      <w:r w:rsidRPr="00496A4D">
        <w:rPr>
          <w:rFonts w:ascii="Cambria" w:hAnsi="Cambria"/>
        </w:rPr>
        <w:fldChar w:fldCharType="separate"/>
      </w:r>
      <w:r w:rsidR="00507A67">
        <w:rPr>
          <w:rFonts w:ascii="Cambria" w:hAnsi="Cambria"/>
        </w:rPr>
        <w:t>H.12.2</w:t>
      </w:r>
      <w:r w:rsidRPr="00496A4D">
        <w:rPr>
          <w:rFonts w:ascii="Cambria" w:hAnsi="Cambria"/>
        </w:rPr>
        <w:fldChar w:fldCharType="end"/>
      </w:r>
      <w:r w:rsidRPr="00A52AB8">
        <w:rPr>
          <w:rFonts w:ascii="Cambria" w:hAnsi="Cambria"/>
        </w:rPr>
        <w:t>.</w:t>
      </w:r>
      <w:r w:rsidR="008052C6" w:rsidRPr="00A52AB8">
        <w:rPr>
          <w:rFonts w:ascii="Cambria" w:hAnsi="Cambria"/>
        </w:rPr>
        <w:t xml:space="preserve"> For this to be feasible, the grid sizes for geometry smoothing and attribute smoothing should be the same. In addition, the values of gs_filter_eom_points_flag and as_filter_eom_points_flag for the chosen filter instances should also match.</w:t>
      </w:r>
    </w:p>
    <w:p w14:paraId="3BF03E02" w14:textId="42D77699" w:rsidR="007908BC" w:rsidRPr="00A52AB8" w:rsidRDefault="007908B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Subclause </w:t>
      </w:r>
      <w:r w:rsidR="00670C71" w:rsidRPr="00496A4D">
        <w:rPr>
          <w:color w:val="000000" w:themeColor="text1"/>
        </w:rPr>
        <w:fldChar w:fldCharType="begin"/>
      </w:r>
      <w:r w:rsidR="00670C71" w:rsidRPr="00A52AB8">
        <w:rPr>
          <w:color w:val="000000" w:themeColor="text1"/>
        </w:rPr>
        <w:instrText xml:space="preserve"> REF _Ref39817643 \w \h </w:instrText>
      </w:r>
      <w:r w:rsidR="006371AA" w:rsidRPr="00A52AB8">
        <w:rPr>
          <w:color w:val="000000" w:themeColor="text1"/>
        </w:rPr>
        <w:instrText xml:space="preserve"> \* MERGEFORMAT </w:instrText>
      </w:r>
      <w:r w:rsidR="00670C71" w:rsidRPr="00496A4D">
        <w:rPr>
          <w:color w:val="000000" w:themeColor="text1"/>
        </w:rPr>
      </w:r>
      <w:r w:rsidR="00670C71" w:rsidRPr="00496A4D">
        <w:rPr>
          <w:color w:val="000000" w:themeColor="text1"/>
        </w:rPr>
        <w:fldChar w:fldCharType="separate"/>
      </w:r>
      <w:r w:rsidR="00507A67">
        <w:rPr>
          <w:color w:val="000000" w:themeColor="text1"/>
        </w:rPr>
        <w:t>H.12.4.2</w:t>
      </w:r>
      <w:r w:rsidR="00670C71" w:rsidRPr="00496A4D">
        <w:rPr>
          <w:color w:val="000000" w:themeColor="text1"/>
        </w:rPr>
        <w:fldChar w:fldCharType="end"/>
      </w:r>
      <w:r w:rsidR="00670C71" w:rsidRPr="00A52AB8">
        <w:rPr>
          <w:color w:val="000000" w:themeColor="text1"/>
        </w:rPr>
        <w:t xml:space="preserve"> </w:t>
      </w:r>
      <w:r w:rsidRPr="00A52AB8">
        <w:rPr>
          <w:color w:val="000000" w:themeColor="text1"/>
        </w:rPr>
        <w:t xml:space="preserve">is invoked with </w:t>
      </w:r>
      <w:r w:rsidR="00B9743D" w:rsidRPr="00A52AB8">
        <w:rPr>
          <w:color w:val="000000" w:themeColor="text1"/>
        </w:rPr>
        <w:t xml:space="preserve">variables </w:t>
      </w:r>
      <w:r w:rsidR="009B403E" w:rsidRPr="00A52AB8">
        <w:t>numComps</w:t>
      </w:r>
      <w:r w:rsidR="009B403E" w:rsidRPr="00A52AB8">
        <w:rPr>
          <w:color w:val="000000" w:themeColor="text1"/>
        </w:rPr>
        <w:t xml:space="preserve">, </w:t>
      </w:r>
      <w:r w:rsidRPr="00A52AB8">
        <w:rPr>
          <w:color w:val="000000" w:themeColor="text1"/>
        </w:rPr>
        <w:t xml:space="preserve">attrGridSize, </w:t>
      </w:r>
      <w:r w:rsidR="009B403E" w:rsidRPr="00A52AB8">
        <w:rPr>
          <w:color w:val="000000" w:themeColor="text1"/>
        </w:rPr>
        <w:t xml:space="preserve">and </w:t>
      </w:r>
      <w:r w:rsidRPr="00A52AB8">
        <w:rPr>
          <w:color w:val="000000" w:themeColor="text1"/>
        </w:rPr>
        <w:t xml:space="preserve">pointCnt, </w:t>
      </w:r>
      <w:r w:rsidR="00B9743D" w:rsidRPr="00A52AB8">
        <w:rPr>
          <w:color w:val="000000" w:themeColor="text1"/>
        </w:rPr>
        <w:t xml:space="preserve">and arrays </w:t>
      </w:r>
      <w:r w:rsidRPr="00A52AB8">
        <w:rPr>
          <w:color w:val="000000" w:themeColor="text1"/>
        </w:rPr>
        <w:t xml:space="preserve">isBoundaryPoint, recPcGeo, </w:t>
      </w:r>
      <w:r w:rsidR="00EE12E4" w:rsidRPr="00A52AB8">
        <w:rPr>
          <w:color w:val="000000" w:themeColor="text1"/>
        </w:rPr>
        <w:t>recPcAttr</w:t>
      </w:r>
      <w:r w:rsidR="009B403E" w:rsidRPr="00A52AB8">
        <w:rPr>
          <w:color w:val="000000" w:themeColor="text1"/>
        </w:rPr>
        <w:t>[ aIdx ]</w:t>
      </w:r>
      <w:r w:rsidR="00EE12E4" w:rsidRPr="00A52AB8">
        <w:rPr>
          <w:color w:val="000000" w:themeColor="text1"/>
        </w:rPr>
        <w:t xml:space="preserve">, </w:t>
      </w:r>
      <w:r w:rsidRPr="00A52AB8">
        <w:rPr>
          <w:color w:val="000000" w:themeColor="text1"/>
        </w:rPr>
        <w:t>and pointToPatch</w:t>
      </w:r>
      <w:r w:rsidR="00B9743D" w:rsidRPr="00A52AB8">
        <w:rPr>
          <w:color w:val="000000" w:themeColor="text1"/>
        </w:rPr>
        <w:t xml:space="preserve"> as inputs</w:t>
      </w:r>
      <w:r w:rsidR="00EE12E4" w:rsidRPr="00A52AB8">
        <w:rPr>
          <w:color w:val="000000" w:themeColor="text1"/>
        </w:rPr>
        <w:t>. T</w:t>
      </w:r>
      <w:r w:rsidRPr="00A52AB8">
        <w:rPr>
          <w:color w:val="000000" w:themeColor="text1"/>
        </w:rPr>
        <w:t xml:space="preserve">he outputs are </w:t>
      </w:r>
      <w:r w:rsidR="00B9743D" w:rsidRPr="00A52AB8">
        <w:rPr>
          <w:color w:val="000000" w:themeColor="text1"/>
        </w:rPr>
        <w:t xml:space="preserve">variables </w:t>
      </w:r>
      <w:r w:rsidRPr="00A52AB8">
        <w:rPr>
          <w:color w:val="000000" w:themeColor="text1"/>
        </w:rPr>
        <w:t>numCells1D</w:t>
      </w:r>
      <w:r w:rsidR="003A1487" w:rsidRPr="00A52AB8">
        <w:rPr>
          <w:color w:val="000000" w:themeColor="text1"/>
        </w:rPr>
        <w:t xml:space="preserve"> and</w:t>
      </w:r>
      <w:r w:rsidRPr="00A52AB8">
        <w:rPr>
          <w:color w:val="000000" w:themeColor="text1"/>
        </w:rPr>
        <w:t xml:space="preserve"> numBoundaryCells, </w:t>
      </w:r>
      <w:r w:rsidR="00B9743D" w:rsidRPr="00A52AB8">
        <w:rPr>
          <w:color w:val="000000" w:themeColor="text1"/>
        </w:rPr>
        <w:t xml:space="preserve">and arrays </w:t>
      </w:r>
      <w:r w:rsidRPr="00A52AB8">
        <w:rPr>
          <w:color w:val="000000" w:themeColor="text1"/>
        </w:rPr>
        <w:t xml:space="preserve">cellIdxLut, </w:t>
      </w:r>
      <w:r w:rsidR="00EE12E4" w:rsidRPr="00A52AB8">
        <w:rPr>
          <w:color w:val="000000" w:themeColor="text1"/>
        </w:rPr>
        <w:t>attrCenterGrid</w:t>
      </w:r>
      <w:r w:rsidRPr="00A52AB8">
        <w:rPr>
          <w:color w:val="000000" w:themeColor="text1"/>
        </w:rPr>
        <w:t>, cellCnt, cellDoSmoothing</w:t>
      </w:r>
      <w:r w:rsidR="00EE12E4" w:rsidRPr="00A52AB8">
        <w:rPr>
          <w:color w:val="000000" w:themeColor="text1"/>
        </w:rPr>
        <w:t>, and cellLum.</w:t>
      </w:r>
    </w:p>
    <w:p w14:paraId="0A87AD78" w14:textId="3C2D5006" w:rsidR="00F51A0E" w:rsidRPr="00A52AB8" w:rsidRDefault="00F31BD3" w:rsidP="008F2A42">
      <w:pPr>
        <w:widowControl w:val="0"/>
        <w:tabs>
          <w:tab w:val="clear" w:pos="403"/>
          <w:tab w:val="left" w:pos="1800"/>
        </w:tabs>
        <w:autoSpaceDN w:val="0"/>
        <w:spacing w:before="136" w:after="0" w:line="240" w:lineRule="auto"/>
        <w:ind w:left="403"/>
        <w:jc w:val="left"/>
        <w:textAlignment w:val="baseline"/>
        <w:rPr>
          <w:color w:val="000000" w:themeColor="text1"/>
        </w:rPr>
      </w:pPr>
      <w:r w:rsidRPr="00A52AB8">
        <w:t>for( n =0; n &lt; pointCnt ; n++ </w:t>
      </w:r>
      <w:r w:rsidR="008F1F82" w:rsidRPr="00A52AB8">
        <w:t>) {</w:t>
      </w:r>
    </w:p>
    <w:p w14:paraId="053E0E6A" w14:textId="2B6DFDE3" w:rsidR="00F51A0E" w:rsidRPr="00A52AB8" w:rsidRDefault="00F51A0E" w:rsidP="008F2A42">
      <w:pPr>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s>
        <w:ind w:left="806"/>
        <w:jc w:val="left"/>
      </w:pPr>
      <w:r w:rsidRPr="00A52AB8">
        <w:rPr>
          <w:lang w:eastAsia="ja-JP"/>
        </w:rPr>
        <w:t>x</w:t>
      </w:r>
      <w:r w:rsidR="0023721F" w:rsidRPr="00A52AB8">
        <w:rPr>
          <w:lang w:eastAsia="ja-JP"/>
        </w:rPr>
        <w:t> </w:t>
      </w:r>
      <w:r w:rsidR="00D47707" w:rsidRPr="00A52AB8">
        <w:rPr>
          <w:lang w:eastAsia="ja-JP"/>
        </w:rPr>
        <w:t>= </w:t>
      </w:r>
      <w:r w:rsidRPr="00A52AB8">
        <w:t>recPcGeo[ n ][ 0 ]</w:t>
      </w:r>
      <w:r w:rsidRPr="00A52AB8">
        <w:rPr>
          <w:lang w:eastAsia="ja-JP"/>
        </w:rPr>
        <w:br/>
        <w:t>y</w:t>
      </w:r>
      <w:r w:rsidR="0023721F" w:rsidRPr="00A52AB8">
        <w:rPr>
          <w:lang w:eastAsia="ja-JP"/>
        </w:rPr>
        <w:t> </w:t>
      </w:r>
      <w:r w:rsidR="00D47707" w:rsidRPr="00A52AB8">
        <w:rPr>
          <w:lang w:eastAsia="ja-JP"/>
        </w:rPr>
        <w:t>= </w:t>
      </w:r>
      <w:r w:rsidRPr="00A52AB8">
        <w:t>recPcGeo[ n ][ 1 ]</w:t>
      </w:r>
      <w:r w:rsidRPr="00A52AB8">
        <w:rPr>
          <w:lang w:eastAsia="ja-JP"/>
        </w:rPr>
        <w:br/>
        <w:t>z</w:t>
      </w:r>
      <w:r w:rsidR="0023721F" w:rsidRPr="00A52AB8">
        <w:rPr>
          <w:lang w:eastAsia="ja-JP"/>
        </w:rPr>
        <w:t> </w:t>
      </w:r>
      <w:r w:rsidR="00D47707" w:rsidRPr="00A52AB8">
        <w:rPr>
          <w:lang w:eastAsia="ja-JP"/>
        </w:rPr>
        <w:t>= </w:t>
      </w:r>
      <w:r w:rsidRPr="00A52AB8">
        <w:t>recPcGeo[ n ][ 2 ]</w:t>
      </w:r>
    </w:p>
    <w:p w14:paraId="38BBA4DE" w14:textId="35B1C462" w:rsidR="00F51A0E" w:rsidRPr="00A52AB8" w:rsidRDefault="00F51A0E" w:rsidP="008F2A42">
      <w:pPr>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s>
        <w:ind w:left="806"/>
        <w:jc w:val="left"/>
      </w:pPr>
      <w:r w:rsidRPr="00A52AB8">
        <w:rPr>
          <w:lang w:eastAsia="ja-JP"/>
        </w:rPr>
        <w:t>for( k =0;</w:t>
      </w:r>
      <w:r w:rsidR="003B3EA3" w:rsidRPr="00A52AB8">
        <w:rPr>
          <w:lang w:eastAsia="ja-JP"/>
        </w:rPr>
        <w:t> </w:t>
      </w:r>
      <w:r w:rsidRPr="00A52AB8">
        <w:rPr>
          <w:lang w:eastAsia="ja-JP"/>
        </w:rPr>
        <w:t>k &lt; 3</w:t>
      </w:r>
      <w:r w:rsidRPr="00A52AB8">
        <w:t>; k</w:t>
      </w:r>
      <w:r w:rsidR="00006CCF" w:rsidRPr="00A52AB8">
        <w:t>++ )</w:t>
      </w:r>
      <w:r w:rsidRPr="00A52AB8">
        <w:br/>
      </w:r>
      <w:r w:rsidR="00F31BD3" w:rsidRPr="00A52AB8">
        <w:tab/>
      </w:r>
      <w:r w:rsidRPr="00A52AB8">
        <w:t>rec</w:t>
      </w:r>
      <w:r w:rsidRPr="00A52AB8">
        <w:rPr>
          <w:lang w:eastAsia="ja-JP"/>
        </w:rPr>
        <w:t>Pos3D</w:t>
      </w:r>
      <w:r w:rsidR="004B7314" w:rsidRPr="00A52AB8">
        <w:rPr>
          <w:lang w:eastAsia="ja-JP"/>
        </w:rPr>
        <w:t>[ k ]</w:t>
      </w:r>
      <w:r w:rsidR="00D47707" w:rsidRPr="00A52AB8">
        <w:rPr>
          <w:lang w:eastAsia="ja-JP"/>
        </w:rPr>
        <w:t> = </w:t>
      </w:r>
      <w:r w:rsidRPr="00A52AB8">
        <w:t>recPcGeo[ n ]</w:t>
      </w:r>
      <w:r w:rsidR="004B7314" w:rsidRPr="00A52AB8">
        <w:t>[ k ]</w:t>
      </w:r>
    </w:p>
    <w:p w14:paraId="11B0A082" w14:textId="5CCA4F87" w:rsidR="00F51A0E" w:rsidRPr="00A52AB8" w:rsidRDefault="00F51A0E" w:rsidP="008F2A42">
      <w:pPr>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s>
        <w:ind w:left="806"/>
        <w:jc w:val="left"/>
      </w:pPr>
      <w:r w:rsidRPr="00A52AB8">
        <w:rPr>
          <w:lang w:eastAsia="ja-JP"/>
        </w:rPr>
        <w:t>halfGridSize</w:t>
      </w:r>
      <w:r w:rsidR="00D47707" w:rsidRPr="00A52AB8">
        <w:rPr>
          <w:lang w:eastAsia="ja-JP"/>
        </w:rPr>
        <w:t> = </w:t>
      </w:r>
      <w:r w:rsidRPr="00A52AB8">
        <w:rPr>
          <w:lang w:eastAsia="ja-JP"/>
        </w:rPr>
        <w:t>Max( attrGridSize / 2,</w:t>
      </w:r>
      <w:r w:rsidR="003B3EA3" w:rsidRPr="00A52AB8">
        <w:rPr>
          <w:lang w:eastAsia="ja-JP"/>
        </w:rPr>
        <w:t> </w:t>
      </w:r>
      <w:r w:rsidRPr="00A52AB8">
        <w:rPr>
          <w:lang w:eastAsia="ja-JP"/>
        </w:rPr>
        <w:t>1</w:t>
      </w:r>
      <w:r w:rsidR="003B3EA3" w:rsidRPr="00A52AB8">
        <w:rPr>
          <w:lang w:eastAsia="ja-JP"/>
        </w:rPr>
        <w:t> </w:t>
      </w:r>
      <w:r w:rsidRPr="00A52AB8">
        <w:rPr>
          <w:lang w:eastAsia="ja-JP"/>
        </w:rPr>
        <w:t>)</w:t>
      </w:r>
      <w:r w:rsidRPr="00A52AB8">
        <w:rPr>
          <w:lang w:eastAsia="ja-JP"/>
        </w:rPr>
        <w:br/>
        <w:t>maxCoord</w:t>
      </w:r>
      <w:r w:rsidR="00D47707" w:rsidRPr="00A52AB8">
        <w:rPr>
          <w:lang w:eastAsia="ja-JP"/>
        </w:rPr>
        <w:t> = </w:t>
      </w:r>
      <w:r w:rsidRPr="00A52AB8">
        <w:rPr>
          <w:lang w:eastAsia="ja-JP"/>
        </w:rPr>
        <w:t>attrGridSize * numCells1D</w:t>
      </w:r>
      <w:r w:rsidRPr="00A52AB8">
        <w:rPr>
          <w:lang w:eastAsia="ja-JP"/>
        </w:rPr>
        <w:br/>
      </w:r>
      <w:r w:rsidRPr="00A52AB8">
        <w:t>if( x &lt; </w:t>
      </w:r>
      <w:r w:rsidRPr="00A52AB8">
        <w:rPr>
          <w:lang w:eastAsia="ja-JP"/>
        </w:rPr>
        <w:t>halfGridSize</w:t>
      </w:r>
      <w:r w:rsidR="008768E9" w:rsidRPr="00A52AB8">
        <w:t> || </w:t>
      </w:r>
      <w:r w:rsidR="003B3EA3" w:rsidRPr="00A52AB8">
        <w:rPr>
          <w:lang w:eastAsia="ja-JP"/>
        </w:rPr>
        <w:t>maxCoord</w:t>
      </w:r>
      <w:r w:rsidR="003B3EA3" w:rsidRPr="00A52AB8">
        <w:t> </w:t>
      </w:r>
      <w:r w:rsidR="00A234FD" w:rsidRPr="00A52AB8">
        <w:t>&lt;=</w:t>
      </w:r>
      <w:r w:rsidR="00D47707" w:rsidRPr="00A52AB8">
        <w:t> </w:t>
      </w:r>
      <w:r w:rsidR="003B3EA3" w:rsidRPr="00A52AB8">
        <w:t>x + </w:t>
      </w:r>
      <w:r w:rsidR="003B3EA3" w:rsidRPr="00A52AB8">
        <w:rPr>
          <w:lang w:eastAsia="ja-JP"/>
        </w:rPr>
        <w:t>halfGridSize</w:t>
      </w:r>
      <w:r w:rsidR="008768E9" w:rsidRPr="00A52AB8">
        <w:t> ||</w:t>
      </w:r>
      <w:r w:rsidR="003B3EA3" w:rsidRPr="00A52AB8">
        <w:br/>
      </w:r>
      <w:r w:rsidR="003B3EA3" w:rsidRPr="00A52AB8">
        <w:tab/>
      </w:r>
      <w:r w:rsidRPr="00A52AB8">
        <w:t>y &lt;</w:t>
      </w:r>
      <w:r w:rsidR="003B3EA3" w:rsidRPr="00A52AB8">
        <w:t> </w:t>
      </w:r>
      <w:r w:rsidRPr="00A52AB8">
        <w:rPr>
          <w:lang w:eastAsia="ja-JP"/>
        </w:rPr>
        <w:t>halfGridSize</w:t>
      </w:r>
      <w:r w:rsidR="008768E9" w:rsidRPr="00A52AB8">
        <w:t> || </w:t>
      </w:r>
      <w:r w:rsidR="003B3EA3" w:rsidRPr="00A52AB8">
        <w:rPr>
          <w:lang w:eastAsia="ja-JP"/>
        </w:rPr>
        <w:t>maxCoord</w:t>
      </w:r>
      <w:r w:rsidR="003B3EA3" w:rsidRPr="00A52AB8">
        <w:t> </w:t>
      </w:r>
      <w:r w:rsidR="00A234FD" w:rsidRPr="00A52AB8">
        <w:t>&lt;=</w:t>
      </w:r>
      <w:r w:rsidR="00D47707" w:rsidRPr="00A52AB8">
        <w:t> </w:t>
      </w:r>
      <w:r w:rsidR="003B3EA3" w:rsidRPr="00A52AB8">
        <w:t>y + </w:t>
      </w:r>
      <w:r w:rsidR="003B3EA3" w:rsidRPr="00A52AB8">
        <w:rPr>
          <w:lang w:eastAsia="ja-JP"/>
        </w:rPr>
        <w:t>halfGridSize</w:t>
      </w:r>
      <w:r w:rsidR="008768E9" w:rsidRPr="00A52AB8">
        <w:t> ||</w:t>
      </w:r>
      <w:r w:rsidR="003B3EA3" w:rsidRPr="00A52AB8">
        <w:t xml:space="preserve"> </w:t>
      </w:r>
      <w:r w:rsidR="003B3EA3" w:rsidRPr="00A52AB8">
        <w:br/>
      </w:r>
      <w:r w:rsidR="003B3EA3" w:rsidRPr="00A52AB8">
        <w:tab/>
      </w:r>
      <w:r w:rsidRPr="00A52AB8">
        <w:t>z</w:t>
      </w:r>
      <w:r w:rsidR="003B3EA3" w:rsidRPr="00A52AB8">
        <w:t> </w:t>
      </w:r>
      <w:r w:rsidRPr="00A52AB8">
        <w:t>&lt;</w:t>
      </w:r>
      <w:r w:rsidR="003B3EA3" w:rsidRPr="00A52AB8">
        <w:t> </w:t>
      </w:r>
      <w:r w:rsidRPr="00A52AB8">
        <w:rPr>
          <w:lang w:eastAsia="ja-JP"/>
        </w:rPr>
        <w:t>halfGridSize</w:t>
      </w:r>
      <w:r w:rsidR="008768E9" w:rsidRPr="00A52AB8">
        <w:t> || </w:t>
      </w:r>
      <w:r w:rsidRPr="00A52AB8">
        <w:rPr>
          <w:lang w:eastAsia="ja-JP"/>
        </w:rPr>
        <w:t>maxCoord</w:t>
      </w:r>
      <w:r w:rsidR="003B3EA3" w:rsidRPr="00A52AB8">
        <w:t> </w:t>
      </w:r>
      <w:r w:rsidR="00A234FD" w:rsidRPr="00A52AB8">
        <w:t>&lt;=</w:t>
      </w:r>
      <w:r w:rsidR="00D47707" w:rsidRPr="00A52AB8">
        <w:t> </w:t>
      </w:r>
      <w:r w:rsidRPr="00A52AB8">
        <w:t>z</w:t>
      </w:r>
      <w:r w:rsidR="003B3EA3" w:rsidRPr="00A52AB8">
        <w:t> </w:t>
      </w:r>
      <w:r w:rsidRPr="00A52AB8">
        <w:t>+</w:t>
      </w:r>
      <w:r w:rsidR="003B3EA3" w:rsidRPr="00A52AB8">
        <w:t> </w:t>
      </w:r>
      <w:r w:rsidRPr="00A52AB8">
        <w:rPr>
          <w:lang w:eastAsia="ja-JP"/>
        </w:rPr>
        <w:t>halfGridSize</w:t>
      </w:r>
      <w:r w:rsidRPr="00A52AB8">
        <w:t> )</w:t>
      </w:r>
      <w:r w:rsidRPr="00A52AB8">
        <w:br/>
      </w:r>
      <w:r w:rsidRPr="00A52AB8">
        <w:tab/>
        <w:t>continue</w:t>
      </w:r>
    </w:p>
    <w:p w14:paraId="400A561F" w14:textId="5D157BBC" w:rsidR="00F51A0E" w:rsidRPr="00A52AB8" w:rsidRDefault="00F51A0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If isBoundaryPoint[ n ] is greater than 0, subclause </w:t>
      </w:r>
      <w:r w:rsidRPr="00496A4D">
        <w:rPr>
          <w:color w:val="000000" w:themeColor="text1"/>
        </w:rPr>
        <w:fldChar w:fldCharType="begin"/>
      </w:r>
      <w:r w:rsidRPr="00A52AB8">
        <w:rPr>
          <w:color w:val="000000" w:themeColor="text1"/>
        </w:rPr>
        <w:instrText xml:space="preserve"> REF _Ref39817415 \r \h  \* MERGEFORMAT </w:instrText>
      </w:r>
      <w:r w:rsidRPr="00496A4D">
        <w:rPr>
          <w:color w:val="000000" w:themeColor="text1"/>
        </w:rPr>
      </w:r>
      <w:r w:rsidRPr="00496A4D">
        <w:rPr>
          <w:color w:val="000000" w:themeColor="text1"/>
        </w:rPr>
        <w:fldChar w:fldCharType="separate"/>
      </w:r>
      <w:r w:rsidR="00507A67">
        <w:rPr>
          <w:color w:val="000000" w:themeColor="text1"/>
        </w:rPr>
        <w:t>H.12.6</w:t>
      </w:r>
      <w:r w:rsidRPr="00496A4D">
        <w:rPr>
          <w:color w:val="000000" w:themeColor="text1"/>
        </w:rPr>
        <w:fldChar w:fldCharType="end"/>
      </w:r>
      <w:r w:rsidRPr="00A52AB8">
        <w:rPr>
          <w:color w:val="000000" w:themeColor="text1"/>
        </w:rPr>
        <w:t xml:space="preserve"> is invoked with </w:t>
      </w:r>
      <w:r w:rsidR="00B9743D" w:rsidRPr="00A52AB8">
        <w:rPr>
          <w:color w:val="000000" w:themeColor="text1"/>
        </w:rPr>
        <w:t xml:space="preserve">variables </w:t>
      </w:r>
      <w:r w:rsidRPr="00A52AB8">
        <w:rPr>
          <w:color w:val="000000" w:themeColor="text1"/>
        </w:rPr>
        <w:t xml:space="preserve">numCells1D, numBoundaryCells, </w:t>
      </w:r>
      <w:r w:rsidR="00B9743D" w:rsidRPr="00A52AB8">
        <w:rPr>
          <w:color w:val="000000" w:themeColor="text1"/>
        </w:rPr>
        <w:t xml:space="preserve">and arrays </w:t>
      </w:r>
      <w:r w:rsidRPr="00A52AB8">
        <w:rPr>
          <w:color w:val="000000" w:themeColor="text1"/>
        </w:rPr>
        <w:t xml:space="preserve">recPos3D, cellIdxLut, cellCnt, and cellDoSmoothing as inputs and the outputs are </w:t>
      </w:r>
      <w:r w:rsidR="00B9743D" w:rsidRPr="00A52AB8">
        <w:rPr>
          <w:color w:val="000000" w:themeColor="text1"/>
        </w:rPr>
        <w:t xml:space="preserve">variables </w:t>
      </w:r>
      <w:r w:rsidRPr="00A52AB8">
        <w:rPr>
          <w:color w:val="000000" w:themeColor="text1"/>
        </w:rPr>
        <w:t xml:space="preserve">otherClusterPtCnt, </w:t>
      </w:r>
      <w:r w:rsidR="00B9743D" w:rsidRPr="00A52AB8">
        <w:rPr>
          <w:color w:val="000000" w:themeColor="text1"/>
        </w:rPr>
        <w:t xml:space="preserve">currentCell1DIdx and arrays </w:t>
      </w:r>
      <w:r w:rsidRPr="00A52AB8">
        <w:rPr>
          <w:color w:val="000000" w:themeColor="text1"/>
        </w:rPr>
        <w:t>idxArr</w:t>
      </w:r>
      <w:r w:rsidR="00B9743D" w:rsidRPr="00A52AB8">
        <w:rPr>
          <w:color w:val="000000" w:themeColor="text1"/>
        </w:rPr>
        <w:t xml:space="preserve"> and </w:t>
      </w:r>
      <w:r w:rsidRPr="00A52AB8">
        <w:rPr>
          <w:color w:val="000000" w:themeColor="text1"/>
        </w:rPr>
        <w:t>cellAnchor.</w:t>
      </w:r>
    </w:p>
    <w:p w14:paraId="6796B442" w14:textId="77777777" w:rsidR="00F51A0E" w:rsidRPr="00A52AB8" w:rsidRDefault="00F51A0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When otherClusterPointCnt is equal to 1, the following applies:</w:t>
      </w:r>
    </w:p>
    <w:p w14:paraId="1B8E2F61" w14:textId="5859DE6F" w:rsidR="00F51A0E" w:rsidRPr="00A52AB8" w:rsidRDefault="00F51A0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An array currAttr[ j ], j</w:t>
      </w:r>
      <w:r w:rsidR="00D47707" w:rsidRPr="00A52AB8">
        <w:rPr>
          <w:color w:val="000000" w:themeColor="text1"/>
        </w:rPr>
        <w:t> = </w:t>
      </w:r>
      <w:r w:rsidRPr="00A52AB8">
        <w:rPr>
          <w:color w:val="000000" w:themeColor="text1"/>
        </w:rPr>
        <w:t>0..numComps – 1 is initialized as follows:</w:t>
      </w:r>
    </w:p>
    <w:p w14:paraId="38BC6931" w14:textId="314CD869" w:rsidR="00F51A0E" w:rsidRPr="00A52AB8" w:rsidRDefault="00F51A0E" w:rsidP="00007BE2">
      <w:pPr>
        <w:pStyle w:val="ListParagraph"/>
        <w:spacing w:before="136" w:after="0"/>
        <w:ind w:leftChars="0" w:left="1208"/>
        <w:rPr>
          <w:lang w:eastAsia="ja-JP"/>
        </w:rPr>
      </w:pPr>
      <w:r w:rsidRPr="00A52AB8">
        <w:rPr>
          <w:color w:val="000000" w:themeColor="text1"/>
        </w:rPr>
        <w:t>for( j</w:t>
      </w:r>
      <w:r w:rsidR="00D47707" w:rsidRPr="00A52AB8">
        <w:rPr>
          <w:color w:val="000000" w:themeColor="text1"/>
        </w:rPr>
        <w:t> = </w:t>
      </w:r>
      <w:r w:rsidRPr="00A52AB8">
        <w:rPr>
          <w:color w:val="000000" w:themeColor="text1"/>
        </w:rPr>
        <w:t>0; j &lt; numComps; j</w:t>
      </w:r>
      <w:r w:rsidR="00006CCF" w:rsidRPr="00A52AB8">
        <w:rPr>
          <w:color w:val="000000" w:themeColor="text1"/>
        </w:rPr>
        <w:t>++ )</w:t>
      </w:r>
      <w:r w:rsidRPr="00A52AB8">
        <w:rPr>
          <w:color w:val="000000" w:themeColor="text1"/>
        </w:rPr>
        <w:br/>
      </w:r>
      <w:r w:rsidRPr="00A52AB8">
        <w:rPr>
          <w:color w:val="000000" w:themeColor="text1"/>
        </w:rPr>
        <w:tab/>
      </w:r>
      <w:r w:rsidRPr="00A52AB8">
        <w:rPr>
          <w:color w:val="000000" w:themeColor="text1"/>
        </w:rPr>
        <w:tab/>
        <w:t>currAttr[ j ]</w:t>
      </w:r>
      <w:r w:rsidR="00D47707" w:rsidRPr="00A52AB8">
        <w:rPr>
          <w:color w:val="000000" w:themeColor="text1"/>
        </w:rPr>
        <w:t> = </w:t>
      </w:r>
      <w:r w:rsidRPr="00A52AB8">
        <w:rPr>
          <w:color w:val="000000" w:themeColor="text1"/>
        </w:rPr>
        <w:t>recPcAttr[ aIdx ][ n ][ j ]</w:t>
      </w:r>
    </w:p>
    <w:p w14:paraId="2F1C452F" w14:textId="655F8C32" w:rsidR="00F51A0E" w:rsidRPr="00A52AB8" w:rsidRDefault="001913F9"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 xml:space="preserve">A 4D </w:t>
      </w:r>
      <w:r w:rsidR="00F51A0E" w:rsidRPr="00A52AB8">
        <w:rPr>
          <w:color w:val="000000" w:themeColor="text1"/>
        </w:rPr>
        <w:t>array centroid</w:t>
      </w:r>
      <w:r w:rsidRPr="00A52AB8">
        <w:rPr>
          <w:color w:val="000000" w:themeColor="text1"/>
        </w:rPr>
        <w:t xml:space="preserve">, of size 2 × 2 × 2 × numComps, </w:t>
      </w:r>
      <w:r w:rsidR="00F51A0E" w:rsidRPr="00A52AB8">
        <w:rPr>
          <w:color w:val="000000" w:themeColor="text1"/>
        </w:rPr>
        <w:t>is initialized to 0. The following applies:</w:t>
      </w:r>
    </w:p>
    <w:p w14:paraId="6A96E161" w14:textId="1AA219C9" w:rsidR="00F51A0E" w:rsidRPr="00A52AB8" w:rsidRDefault="00F51A0E" w:rsidP="009A61A4">
      <w:pPr>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s>
      </w:pPr>
      <w:r w:rsidRPr="00A52AB8">
        <w:tab/>
      </w:r>
      <w:r w:rsidR="00A274AC" w:rsidRPr="00A52AB8">
        <w:tab/>
      </w:r>
      <w:r w:rsidR="00A274AC" w:rsidRPr="00A52AB8">
        <w:tab/>
      </w:r>
      <w:r w:rsidRPr="00A52AB8">
        <w:t>exitFlag</w:t>
      </w:r>
      <w:r w:rsidR="00D47707" w:rsidRPr="00A52AB8">
        <w:t> = </w:t>
      </w:r>
      <w:r w:rsidRPr="00A52AB8">
        <w:t>0</w:t>
      </w:r>
      <w:r w:rsidRPr="00A52AB8">
        <w:br/>
      </w:r>
      <w:r w:rsidR="00A274AC" w:rsidRPr="00A52AB8">
        <w:tab/>
      </w:r>
      <w:r w:rsidR="00A274AC" w:rsidRPr="00A52AB8">
        <w:tab/>
      </w:r>
      <w:r w:rsidR="00947305" w:rsidRPr="00A52AB8">
        <w:tab/>
      </w:r>
      <w:r w:rsidRPr="00A52AB8">
        <w:t>for( dx</w:t>
      </w:r>
      <w:r w:rsidR="00D47707" w:rsidRPr="00A52AB8">
        <w:t> = </w:t>
      </w:r>
      <w:r w:rsidRPr="00A52AB8">
        <w:t>0; dx &lt; 2; dx</w:t>
      </w:r>
      <w:r w:rsidR="00006CCF" w:rsidRPr="00A52AB8">
        <w:t>++ </w:t>
      </w:r>
      <w:r w:rsidR="008F1F82" w:rsidRPr="00A52AB8">
        <w:t>) {</w:t>
      </w:r>
      <w:r w:rsidRPr="00A52AB8">
        <w:br/>
      </w:r>
      <w:r w:rsidRPr="00A52AB8">
        <w:tab/>
      </w:r>
      <w:r w:rsidR="00A274AC" w:rsidRPr="00A52AB8">
        <w:tab/>
      </w:r>
      <w:r w:rsidR="00A274AC" w:rsidRPr="00A52AB8">
        <w:tab/>
      </w:r>
      <w:r w:rsidR="00947305" w:rsidRPr="00A52AB8">
        <w:tab/>
      </w:r>
      <w:r w:rsidRPr="00A52AB8">
        <w:t>for( dy</w:t>
      </w:r>
      <w:r w:rsidR="00D47707" w:rsidRPr="00A52AB8">
        <w:t> = </w:t>
      </w:r>
      <w:r w:rsidRPr="00A52AB8">
        <w:t>0; dy &lt; 2; dy</w:t>
      </w:r>
      <w:r w:rsidR="00006CCF" w:rsidRPr="00A52AB8">
        <w:t>++ </w:t>
      </w:r>
      <w:r w:rsidR="008F1F82" w:rsidRPr="00A52AB8">
        <w:t>) {</w:t>
      </w:r>
      <w:r w:rsidRPr="00A52AB8">
        <w:br/>
      </w:r>
      <w:r w:rsidR="00A274AC" w:rsidRPr="00A52AB8">
        <w:rPr>
          <w:lang w:eastAsia="ja-JP"/>
        </w:rPr>
        <w:tab/>
      </w:r>
      <w:r w:rsidR="00A274AC" w:rsidRPr="00A52AB8">
        <w:rPr>
          <w:lang w:eastAsia="ja-JP"/>
        </w:rPr>
        <w:tab/>
      </w:r>
      <w:r w:rsidR="00A274AC" w:rsidRPr="00A52AB8">
        <w:rPr>
          <w:lang w:eastAsia="ja-JP"/>
        </w:rPr>
        <w:tab/>
      </w:r>
      <w:r w:rsidRPr="00A52AB8">
        <w:rPr>
          <w:lang w:eastAsia="ja-JP"/>
        </w:rPr>
        <w:tab/>
      </w:r>
      <w:r w:rsidR="00947305" w:rsidRPr="00A52AB8">
        <w:rPr>
          <w:lang w:eastAsia="ja-JP"/>
        </w:rPr>
        <w:tab/>
      </w:r>
      <w:r w:rsidRPr="00A52AB8">
        <w:t>for( dz</w:t>
      </w:r>
      <w:r w:rsidR="00D47707" w:rsidRPr="00A52AB8">
        <w:t> = </w:t>
      </w:r>
      <w:r w:rsidRPr="00A52AB8">
        <w:t>0; dz &lt; 2; dz</w:t>
      </w:r>
      <w:r w:rsidR="00006CCF" w:rsidRPr="00A52AB8">
        <w:t>++ </w:t>
      </w:r>
      <w:r w:rsidR="008F1F82" w:rsidRPr="00A52AB8">
        <w:t>) {</w:t>
      </w:r>
      <w:r w:rsidRPr="00A52AB8">
        <w:br/>
      </w:r>
      <w:r w:rsidRPr="00A52AB8">
        <w:tab/>
      </w:r>
      <w:r w:rsidRPr="00A52AB8">
        <w:tab/>
      </w:r>
      <w:r w:rsidRPr="00A52AB8">
        <w:tab/>
      </w:r>
      <w:r w:rsidR="00A274AC" w:rsidRPr="00A52AB8">
        <w:tab/>
      </w:r>
      <w:r w:rsidR="00A274AC" w:rsidRPr="00A52AB8">
        <w:tab/>
      </w:r>
      <w:r w:rsidR="00947305" w:rsidRPr="00A52AB8">
        <w:tab/>
      </w:r>
      <w:r w:rsidRPr="00A52AB8">
        <w:t>tmpIdx</w:t>
      </w:r>
      <w:r w:rsidR="00D47707" w:rsidRPr="00A52AB8">
        <w:t> = </w:t>
      </w:r>
      <w:r w:rsidRPr="00A52AB8">
        <w:t>idxArr[ dx ][ dy ][ dz ]</w:t>
      </w:r>
      <w:r w:rsidRPr="00A52AB8">
        <w:br/>
      </w:r>
      <w:r w:rsidRPr="00A52AB8">
        <w:tab/>
      </w:r>
      <w:r w:rsidRPr="00A52AB8">
        <w:tab/>
      </w:r>
      <w:r w:rsidR="00A274AC" w:rsidRPr="00A52AB8">
        <w:tab/>
      </w:r>
      <w:r w:rsidR="00A274AC" w:rsidRPr="00A52AB8">
        <w:tab/>
      </w:r>
      <w:r w:rsidRPr="00A52AB8">
        <w:tab/>
      </w:r>
      <w:r w:rsidR="00947305" w:rsidRPr="00A52AB8">
        <w:tab/>
      </w:r>
      <w:r w:rsidRPr="00A52AB8">
        <w:t>if( tmpIdx</w:t>
      </w:r>
      <w:r w:rsidR="008768E9" w:rsidRPr="00A52AB8">
        <w:t> </w:t>
      </w:r>
      <w:r w:rsidR="00726AAE" w:rsidRPr="00A52AB8">
        <w:t>==</w:t>
      </w:r>
      <w:r w:rsidR="00D47707" w:rsidRPr="00A52AB8">
        <w:t> </w:t>
      </w:r>
      <w:r w:rsidRPr="00A52AB8">
        <w:rPr>
          <w:color w:val="000000" w:themeColor="text1"/>
        </w:rPr>
        <w:t>currentCell1DIdx </w:t>
      </w:r>
      <w:r w:rsidR="008F1F82" w:rsidRPr="00A52AB8">
        <w:rPr>
          <w:color w:val="000000" w:themeColor="text1"/>
        </w:rPr>
        <w:t>) {</w:t>
      </w:r>
      <w:r w:rsidRPr="00A52AB8">
        <w:rPr>
          <w:color w:val="000000" w:themeColor="text1"/>
        </w:rPr>
        <w:br/>
      </w:r>
      <w:r w:rsidRPr="00A52AB8">
        <w:tab/>
      </w:r>
      <w:r w:rsidRPr="00A52AB8">
        <w:tab/>
      </w:r>
      <w:r w:rsidR="00A274AC" w:rsidRPr="00A52AB8">
        <w:tab/>
      </w:r>
      <w:r w:rsidR="00A274AC" w:rsidRPr="00A52AB8">
        <w:tab/>
      </w:r>
      <w:r w:rsidR="00A274AC" w:rsidRPr="00A52AB8">
        <w:tab/>
      </w:r>
      <w:r w:rsidRPr="00A52AB8">
        <w:tab/>
      </w:r>
      <w:r w:rsidR="00947305" w:rsidRPr="00A52AB8">
        <w:tab/>
      </w:r>
      <w:r w:rsidRPr="00A52AB8">
        <w:rPr>
          <w:color w:val="000000" w:themeColor="text1"/>
        </w:rPr>
        <w:t>for( m</w:t>
      </w:r>
      <w:r w:rsidR="00D47707" w:rsidRPr="00A52AB8">
        <w:rPr>
          <w:color w:val="000000" w:themeColor="text1"/>
        </w:rPr>
        <w:t> = </w:t>
      </w:r>
      <w:r w:rsidRPr="00A52AB8">
        <w:rPr>
          <w:color w:val="000000" w:themeColor="text1"/>
        </w:rPr>
        <w:t>0; m &lt; cellCnt[ tmpIdx ]; m</w:t>
      </w:r>
      <w:r w:rsidR="00006CCF" w:rsidRPr="00A52AB8">
        <w:rPr>
          <w:color w:val="000000" w:themeColor="text1"/>
        </w:rPr>
        <w:t>++ )</w:t>
      </w:r>
      <w:r w:rsidRPr="00A52AB8">
        <w:rPr>
          <w:color w:val="000000" w:themeColor="text1"/>
        </w:rPr>
        <w:br/>
      </w:r>
      <w:r w:rsidRPr="00A52AB8">
        <w:rPr>
          <w:color w:val="000000" w:themeColor="text1"/>
        </w:rPr>
        <w:tab/>
      </w:r>
      <w:r w:rsidRPr="00A52AB8">
        <w:rPr>
          <w:color w:val="000000" w:themeColor="text1"/>
        </w:rPr>
        <w:tab/>
      </w:r>
      <w:r w:rsidR="00A274AC" w:rsidRPr="00A52AB8">
        <w:rPr>
          <w:color w:val="000000" w:themeColor="text1"/>
        </w:rPr>
        <w:tab/>
      </w:r>
      <w:r w:rsidR="00A274AC" w:rsidRPr="00A52AB8">
        <w:rPr>
          <w:color w:val="000000" w:themeColor="text1"/>
        </w:rPr>
        <w:tab/>
      </w:r>
      <w:r w:rsidR="00A274AC" w:rsidRPr="00A52AB8">
        <w:rPr>
          <w:color w:val="000000" w:themeColor="text1"/>
        </w:rPr>
        <w:tab/>
      </w:r>
      <w:r w:rsidRPr="00A52AB8">
        <w:rPr>
          <w:color w:val="000000" w:themeColor="text1"/>
        </w:rPr>
        <w:tab/>
      </w:r>
      <w:r w:rsidRPr="00A52AB8">
        <w:rPr>
          <w:color w:val="000000" w:themeColor="text1"/>
        </w:rPr>
        <w:tab/>
      </w:r>
      <w:r w:rsidR="00947305" w:rsidRPr="00A52AB8">
        <w:rPr>
          <w:color w:val="000000" w:themeColor="text1"/>
        </w:rPr>
        <w:tab/>
      </w:r>
      <w:r w:rsidRPr="00A52AB8">
        <w:rPr>
          <w:color w:val="000000" w:themeColor="text1"/>
        </w:rPr>
        <w:t>lum[ m ]</w:t>
      </w:r>
      <w:r w:rsidR="00D47707" w:rsidRPr="00A52AB8">
        <w:rPr>
          <w:color w:val="000000" w:themeColor="text1"/>
        </w:rPr>
        <w:t> = </w:t>
      </w:r>
      <w:r w:rsidRPr="00A52AB8">
        <w:rPr>
          <w:color w:val="000000" w:themeColor="text1"/>
        </w:rPr>
        <w:t>cellLum[ tmpIdx ][ m ]</w:t>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r>
      <w:r w:rsidR="00A274AC" w:rsidRPr="00A52AB8">
        <w:rPr>
          <w:color w:val="000000" w:themeColor="text1"/>
        </w:rPr>
        <w:tab/>
      </w:r>
      <w:r w:rsidR="00A274AC" w:rsidRPr="00A52AB8">
        <w:rPr>
          <w:color w:val="000000" w:themeColor="text1"/>
        </w:rPr>
        <w:tab/>
      </w:r>
      <w:r w:rsidR="001913F9" w:rsidRPr="00A52AB8">
        <w:rPr>
          <w:color w:val="000000" w:themeColor="text1"/>
        </w:rPr>
        <w:tab/>
      </w:r>
      <w:r w:rsidR="00947305" w:rsidRPr="00A52AB8">
        <w:rPr>
          <w:color w:val="000000" w:themeColor="text1"/>
        </w:rPr>
        <w:tab/>
      </w:r>
      <w:r w:rsidRPr="00A52AB8">
        <w:rPr>
          <w:color w:val="000000" w:themeColor="text1"/>
        </w:rPr>
        <w:t>if( cellCnt[ tmpIdx ] &gt; 0 </w:t>
      </w:r>
      <w:r w:rsidR="008F1F82" w:rsidRPr="00A52AB8">
        <w:rPr>
          <w:color w:val="000000" w:themeColor="text1"/>
        </w:rPr>
        <w:t>) {</w:t>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00A274AC" w:rsidRPr="00A52AB8">
        <w:rPr>
          <w:color w:val="000000" w:themeColor="text1"/>
        </w:rPr>
        <w:tab/>
      </w:r>
      <w:r w:rsidR="00A274AC" w:rsidRPr="00A52AB8">
        <w:rPr>
          <w:color w:val="000000" w:themeColor="text1"/>
        </w:rPr>
        <w:tab/>
      </w:r>
      <w:r w:rsidRPr="00A52AB8">
        <w:rPr>
          <w:color w:val="000000" w:themeColor="text1"/>
        </w:rPr>
        <w:tab/>
      </w:r>
      <w:r w:rsidR="00947305" w:rsidRPr="00A52AB8">
        <w:rPr>
          <w:color w:val="000000" w:themeColor="text1"/>
        </w:rPr>
        <w:tab/>
      </w:r>
      <w:r w:rsidRPr="00A52AB8">
        <w:rPr>
          <w:color w:val="000000" w:themeColor="text1"/>
        </w:rPr>
        <w:t>for( j</w:t>
      </w:r>
      <w:r w:rsidR="00D47707" w:rsidRPr="00A52AB8">
        <w:rPr>
          <w:color w:val="000000" w:themeColor="text1"/>
        </w:rPr>
        <w:t> = </w:t>
      </w:r>
      <w:r w:rsidRPr="00A52AB8">
        <w:rPr>
          <w:color w:val="000000" w:themeColor="text1"/>
        </w:rPr>
        <w:t>0; j &lt; numComps; j</w:t>
      </w:r>
      <w:r w:rsidR="00006CCF" w:rsidRPr="00A52AB8">
        <w:rPr>
          <w:color w:val="000000" w:themeColor="text1"/>
        </w:rPr>
        <w:t>++ )</w:t>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00A274AC" w:rsidRPr="00A52AB8">
        <w:rPr>
          <w:color w:val="000000" w:themeColor="text1"/>
        </w:rPr>
        <w:tab/>
      </w:r>
      <w:r w:rsidR="00A274AC" w:rsidRPr="00A52AB8">
        <w:rPr>
          <w:color w:val="000000" w:themeColor="text1"/>
        </w:rPr>
        <w:tab/>
      </w:r>
      <w:r w:rsidRPr="00A52AB8">
        <w:rPr>
          <w:color w:val="000000" w:themeColor="text1"/>
        </w:rPr>
        <w:tab/>
      </w:r>
      <w:r w:rsidR="001913F9" w:rsidRPr="00A52AB8">
        <w:rPr>
          <w:color w:val="000000" w:themeColor="text1"/>
        </w:rPr>
        <w:tab/>
      </w:r>
      <w:r w:rsidR="00947305" w:rsidRPr="00A52AB8">
        <w:rPr>
          <w:color w:val="000000" w:themeColor="text1"/>
        </w:rPr>
        <w:tab/>
      </w:r>
      <w:r w:rsidRPr="00A52AB8">
        <w:rPr>
          <w:color w:val="000000" w:themeColor="text1"/>
        </w:rPr>
        <w:t>centroid</w:t>
      </w:r>
      <w:r w:rsidRPr="00A52AB8">
        <w:t>[ dx ][ dy ][ dz ][ j ]</w:t>
      </w:r>
      <w:r w:rsidRPr="00A52AB8">
        <w:br/>
      </w:r>
      <w:r w:rsidRPr="00A52AB8">
        <w:tab/>
      </w:r>
      <w:r w:rsidRPr="00A52AB8">
        <w:tab/>
      </w:r>
      <w:r w:rsidRPr="00A52AB8">
        <w:tab/>
      </w:r>
      <w:r w:rsidRPr="00A52AB8">
        <w:tab/>
      </w:r>
      <w:r w:rsidRPr="00A52AB8">
        <w:tab/>
      </w:r>
      <w:r w:rsidRPr="00A52AB8">
        <w:tab/>
      </w:r>
      <w:r w:rsidR="00A274AC" w:rsidRPr="00A52AB8">
        <w:tab/>
      </w:r>
      <w:r w:rsidR="00A274AC" w:rsidRPr="00A52AB8">
        <w:tab/>
      </w:r>
      <w:r w:rsidR="001913F9" w:rsidRPr="00A52AB8">
        <w:tab/>
      </w:r>
      <w:r w:rsidR="00947305" w:rsidRPr="00A52AB8">
        <w:tab/>
      </w:r>
      <w:r w:rsidR="00D47707" w:rsidRPr="00A52AB8">
        <w:t> = </w:t>
      </w:r>
      <w:r w:rsidRPr="00A52AB8">
        <w:t>attrCenterGrid[ tmpIdx ][ j ] </w:t>
      </w:r>
      <w:r w:rsidRPr="00A52AB8">
        <w:rPr>
          <w:rFonts w:cs="Symbol"/>
          <w:color w:val="000000" w:themeColor="text1"/>
        </w:rPr>
        <w:sym w:font="Symbol" w:char="F0B8"/>
      </w:r>
      <w:r w:rsidRPr="00A52AB8">
        <w:rPr>
          <w:rFonts w:cs="Symbol"/>
          <w:color w:val="000000" w:themeColor="text1"/>
        </w:rPr>
        <w:t> </w:t>
      </w:r>
      <w:r w:rsidRPr="00A52AB8">
        <w:rPr>
          <w:color w:val="000000" w:themeColor="text1"/>
        </w:rPr>
        <w:t>cellCnt[ tmpIdx ]</w:t>
      </w:r>
      <w:r w:rsidR="0064764B"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00A274AC" w:rsidRPr="00A52AB8">
        <w:rPr>
          <w:color w:val="000000" w:themeColor="text1"/>
        </w:rPr>
        <w:tab/>
      </w:r>
      <w:r w:rsidR="001913F9" w:rsidRPr="00A52AB8">
        <w:rPr>
          <w:color w:val="000000" w:themeColor="text1"/>
        </w:rPr>
        <w:tab/>
      </w:r>
      <w:r w:rsidR="00947305" w:rsidRPr="00A52AB8">
        <w:rPr>
          <w:color w:val="000000" w:themeColor="text1"/>
        </w:rPr>
        <w:tab/>
      </w:r>
      <w:r w:rsidR="00947305" w:rsidRPr="00A52AB8">
        <w:rPr>
          <w:color w:val="000000" w:themeColor="text1"/>
        </w:rPr>
        <w:tab/>
      </w:r>
      <w:r w:rsidRPr="00A52AB8">
        <w:rPr>
          <w:color w:val="000000" w:themeColor="text1"/>
        </w:rPr>
        <w:t>if( cellCnt[ tmpIdx ] &gt; 1 </w:t>
      </w:r>
      <w:r w:rsidR="008F1F82" w:rsidRPr="00A52AB8">
        <w:rPr>
          <w:color w:val="000000" w:themeColor="text1"/>
        </w:rPr>
        <w:t>) {</w:t>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00A274AC" w:rsidRPr="00A52AB8">
        <w:rPr>
          <w:color w:val="000000" w:themeColor="text1"/>
        </w:rPr>
        <w:tab/>
      </w:r>
      <w:r w:rsidRPr="00A52AB8">
        <w:rPr>
          <w:color w:val="000000" w:themeColor="text1"/>
        </w:rPr>
        <w:tab/>
      </w:r>
      <w:r w:rsidR="001913F9" w:rsidRPr="00A52AB8">
        <w:rPr>
          <w:color w:val="000000" w:themeColor="text1"/>
        </w:rPr>
        <w:tab/>
      </w:r>
      <w:r w:rsidR="00947305" w:rsidRPr="00A52AB8">
        <w:rPr>
          <w:color w:val="000000" w:themeColor="text1"/>
        </w:rPr>
        <w:tab/>
      </w:r>
      <w:r w:rsidR="00947305" w:rsidRPr="00A52AB8">
        <w:rPr>
          <w:color w:val="000000" w:themeColor="text1"/>
        </w:rPr>
        <w:tab/>
      </w:r>
      <w:r w:rsidRPr="00A52AB8">
        <w:rPr>
          <w:color w:val="000000" w:themeColor="text1"/>
        </w:rPr>
        <w:t>meanLum</w:t>
      </w:r>
      <w:r w:rsidR="00D47707" w:rsidRPr="00A52AB8">
        <w:rPr>
          <w:color w:val="000000" w:themeColor="text1"/>
        </w:rPr>
        <w:t> = </w:t>
      </w:r>
      <w:r w:rsidRPr="00A52AB8">
        <w:rPr>
          <w:color w:val="000000" w:themeColor="text1"/>
        </w:rPr>
        <w:t>Mean( lum)</w:t>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00A274AC" w:rsidRPr="00A52AB8">
        <w:rPr>
          <w:color w:val="000000" w:themeColor="text1"/>
        </w:rPr>
        <w:tab/>
      </w:r>
      <w:r w:rsidR="001913F9" w:rsidRPr="00A52AB8">
        <w:rPr>
          <w:color w:val="000000" w:themeColor="text1"/>
        </w:rPr>
        <w:tab/>
      </w:r>
      <w:r w:rsidR="00947305" w:rsidRPr="00A52AB8">
        <w:rPr>
          <w:color w:val="000000" w:themeColor="text1"/>
        </w:rPr>
        <w:tab/>
      </w:r>
      <w:r w:rsidR="00947305" w:rsidRPr="00A52AB8">
        <w:rPr>
          <w:color w:val="000000" w:themeColor="text1"/>
        </w:rPr>
        <w:tab/>
      </w:r>
      <w:r w:rsidRPr="00A52AB8">
        <w:rPr>
          <w:color w:val="000000" w:themeColor="text1"/>
        </w:rPr>
        <w:t>medianLum</w:t>
      </w:r>
      <w:r w:rsidR="00D47707" w:rsidRPr="00A52AB8">
        <w:rPr>
          <w:color w:val="000000" w:themeColor="text1"/>
        </w:rPr>
        <w:t> = </w:t>
      </w:r>
      <w:r w:rsidRPr="00A52AB8">
        <w:rPr>
          <w:color w:val="000000" w:themeColor="text1"/>
        </w:rPr>
        <w:t>Median( lum)</w:t>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00A274AC" w:rsidRPr="00A52AB8">
        <w:rPr>
          <w:color w:val="000000" w:themeColor="text1"/>
        </w:rPr>
        <w:tab/>
      </w:r>
      <w:r w:rsidR="001913F9" w:rsidRPr="00A52AB8">
        <w:rPr>
          <w:color w:val="000000" w:themeColor="text1"/>
        </w:rPr>
        <w:tab/>
      </w:r>
      <w:r w:rsidR="00947305" w:rsidRPr="00A52AB8">
        <w:rPr>
          <w:color w:val="000000" w:themeColor="text1"/>
        </w:rPr>
        <w:tab/>
      </w:r>
      <w:r w:rsidR="00947305" w:rsidRPr="00A52AB8">
        <w:rPr>
          <w:color w:val="000000" w:themeColor="text1"/>
        </w:rPr>
        <w:tab/>
      </w:r>
      <w:r w:rsidRPr="00A52AB8">
        <w:rPr>
          <w:color w:val="000000" w:themeColor="text1"/>
        </w:rPr>
        <w:t>if( </w:t>
      </w:r>
      <w:r w:rsidR="00FA4045" w:rsidRPr="00A52AB8">
        <w:rPr>
          <w:color w:val="000000" w:themeColor="text1"/>
        </w:rPr>
        <w:t>Abs</w:t>
      </w:r>
      <w:r w:rsidRPr="00A52AB8">
        <w:rPr>
          <w:color w:val="000000" w:themeColor="text1"/>
        </w:rPr>
        <w:t>( meanLum – medianLum ) &gt; </w:t>
      </w:r>
      <w:r w:rsidR="00FA4045" w:rsidRPr="00A52AB8">
        <w:rPr>
          <w:color w:val="000000" w:themeColor="text1"/>
        </w:rPr>
        <w:t>attrThreshDiff </w:t>
      </w:r>
      <w:r w:rsidR="008F1F82" w:rsidRPr="00A52AB8">
        <w:rPr>
          <w:color w:val="000000" w:themeColor="text1"/>
        </w:rPr>
        <w:t>) {</w:t>
      </w:r>
      <w:r w:rsidR="00947305" w:rsidRPr="00A52AB8">
        <w:rPr>
          <w:color w:val="000000" w:themeColor="text1"/>
        </w:rPr>
        <w:br/>
      </w:r>
      <w:r w:rsidR="00947305" w:rsidRPr="00A52AB8">
        <w:rPr>
          <w:color w:val="000000" w:themeColor="text1"/>
        </w:rPr>
        <w:tab/>
      </w:r>
      <w:r w:rsidR="00947305" w:rsidRPr="00A52AB8">
        <w:rPr>
          <w:color w:val="000000" w:themeColor="text1"/>
        </w:rPr>
        <w:tab/>
      </w:r>
      <w:r w:rsidR="00947305" w:rsidRPr="00A52AB8">
        <w:rPr>
          <w:color w:val="000000" w:themeColor="text1"/>
        </w:rPr>
        <w:tab/>
      </w:r>
      <w:r w:rsidR="00947305" w:rsidRPr="00A52AB8">
        <w:rPr>
          <w:color w:val="000000" w:themeColor="text1"/>
        </w:rPr>
        <w:tab/>
      </w:r>
      <w:r w:rsidR="00947305" w:rsidRPr="00A52AB8">
        <w:rPr>
          <w:color w:val="000000" w:themeColor="text1"/>
        </w:rPr>
        <w:tab/>
      </w:r>
      <w:r w:rsidR="00947305" w:rsidRPr="00A52AB8">
        <w:rPr>
          <w:color w:val="000000" w:themeColor="text1"/>
        </w:rPr>
        <w:tab/>
      </w:r>
      <w:r w:rsidR="00947305" w:rsidRPr="00A52AB8">
        <w:rPr>
          <w:color w:val="000000" w:themeColor="text1"/>
        </w:rPr>
        <w:tab/>
      </w:r>
      <w:r w:rsidR="00947305" w:rsidRPr="00A52AB8">
        <w:rPr>
          <w:color w:val="000000" w:themeColor="text1"/>
        </w:rPr>
        <w:tab/>
      </w:r>
      <w:r w:rsidR="00947305" w:rsidRPr="00A52AB8">
        <w:rPr>
          <w:color w:val="000000" w:themeColor="text1"/>
        </w:rPr>
        <w:tab/>
      </w:r>
      <w:r w:rsidR="00947305" w:rsidRPr="00A52AB8">
        <w:rPr>
          <w:color w:val="000000" w:themeColor="text1"/>
        </w:rPr>
        <w:tab/>
        <w:t>exitFlag</w:t>
      </w:r>
      <w:r w:rsidR="00D47707" w:rsidRPr="00A52AB8">
        <w:rPr>
          <w:color w:val="000000" w:themeColor="text1"/>
        </w:rPr>
        <w:t> = </w:t>
      </w:r>
      <w:r w:rsidR="00947305" w:rsidRPr="00A52AB8">
        <w:rPr>
          <w:color w:val="000000" w:themeColor="text1"/>
        </w:rPr>
        <w:t>1</w:t>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00A274AC" w:rsidRPr="00A52AB8">
        <w:rPr>
          <w:color w:val="000000" w:themeColor="text1"/>
        </w:rPr>
        <w:tab/>
      </w:r>
      <w:r w:rsidRPr="00A52AB8">
        <w:rPr>
          <w:color w:val="000000" w:themeColor="text1"/>
        </w:rPr>
        <w:tab/>
      </w:r>
      <w:r w:rsidR="001913F9" w:rsidRPr="00A52AB8">
        <w:rPr>
          <w:color w:val="000000" w:themeColor="text1"/>
        </w:rPr>
        <w:tab/>
      </w:r>
      <w:r w:rsidR="00947305" w:rsidRPr="00A52AB8">
        <w:rPr>
          <w:color w:val="000000" w:themeColor="text1"/>
        </w:rPr>
        <w:tab/>
      </w:r>
      <w:r w:rsidRPr="00A52AB8">
        <w:rPr>
          <w:color w:val="000000" w:themeColor="text1"/>
        </w:rPr>
        <w:t>for( j</w:t>
      </w:r>
      <w:r w:rsidR="00D47707" w:rsidRPr="00A52AB8">
        <w:rPr>
          <w:color w:val="000000" w:themeColor="text1"/>
        </w:rPr>
        <w:t> = </w:t>
      </w:r>
      <w:r w:rsidRPr="00A52AB8">
        <w:rPr>
          <w:color w:val="000000" w:themeColor="text1"/>
        </w:rPr>
        <w:t>0; j &lt; numComps; j</w:t>
      </w:r>
      <w:r w:rsidR="00006CCF" w:rsidRPr="00A52AB8">
        <w:rPr>
          <w:color w:val="000000" w:themeColor="text1"/>
        </w:rPr>
        <w:t>++ )</w:t>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00A274AC" w:rsidRPr="00A52AB8">
        <w:rPr>
          <w:color w:val="000000" w:themeColor="text1"/>
        </w:rPr>
        <w:tab/>
      </w:r>
      <w:r w:rsidRPr="00A52AB8">
        <w:rPr>
          <w:color w:val="000000" w:themeColor="text1"/>
        </w:rPr>
        <w:tab/>
      </w:r>
      <w:r w:rsidRPr="00A52AB8">
        <w:rPr>
          <w:color w:val="000000" w:themeColor="text1"/>
        </w:rPr>
        <w:tab/>
      </w:r>
      <w:r w:rsidR="00947305" w:rsidRPr="00A52AB8">
        <w:rPr>
          <w:color w:val="000000" w:themeColor="text1"/>
        </w:rPr>
        <w:tab/>
      </w:r>
      <w:r w:rsidR="00947305" w:rsidRPr="00A52AB8">
        <w:rPr>
          <w:color w:val="000000" w:themeColor="text1"/>
        </w:rPr>
        <w:tab/>
      </w:r>
      <w:r w:rsidRPr="00A52AB8">
        <w:rPr>
          <w:color w:val="000000" w:themeColor="text1"/>
        </w:rPr>
        <w:t>attrCentroid[ j ]</w:t>
      </w:r>
      <w:r w:rsidR="00D47707" w:rsidRPr="00A52AB8">
        <w:t> = </w:t>
      </w:r>
      <w:r w:rsidRPr="00A52AB8">
        <w:t>currAttr[ j ]</w:t>
      </w:r>
      <w:r w:rsidR="00947305" w:rsidRPr="00A52AB8">
        <w:br/>
      </w:r>
      <w:r w:rsidR="00947305" w:rsidRPr="00A52AB8">
        <w:tab/>
      </w:r>
      <w:r w:rsidR="00947305" w:rsidRPr="00A52AB8">
        <w:tab/>
      </w:r>
      <w:r w:rsidR="00947305" w:rsidRPr="00A52AB8">
        <w:tab/>
      </w:r>
      <w:r w:rsidR="00947305" w:rsidRPr="00A52AB8">
        <w:tab/>
      </w:r>
      <w:r w:rsidR="00947305" w:rsidRPr="00A52AB8">
        <w:tab/>
      </w:r>
      <w:r w:rsidR="00947305" w:rsidRPr="00A52AB8">
        <w:tab/>
      </w:r>
      <w:r w:rsidR="00947305" w:rsidRPr="00A52AB8">
        <w:tab/>
      </w:r>
      <w:r w:rsidR="00947305" w:rsidRPr="00A52AB8">
        <w:tab/>
      </w:r>
      <w:r w:rsidR="00947305" w:rsidRPr="00A52AB8">
        <w:tab/>
        <w:t>}</w:t>
      </w:r>
      <w:r w:rsidR="00947305" w:rsidRPr="00A52AB8">
        <w:br/>
      </w:r>
      <w:r w:rsidR="00947305" w:rsidRPr="00A52AB8">
        <w:tab/>
      </w:r>
      <w:r w:rsidR="00947305" w:rsidRPr="00A52AB8">
        <w:tab/>
      </w:r>
      <w:r w:rsidR="00947305" w:rsidRPr="00A52AB8">
        <w:tab/>
      </w:r>
      <w:r w:rsidR="00947305" w:rsidRPr="00A52AB8">
        <w:tab/>
      </w:r>
      <w:r w:rsidR="00947305" w:rsidRPr="00A52AB8">
        <w:tab/>
      </w:r>
      <w:r w:rsidR="00947305" w:rsidRPr="00A52AB8">
        <w:tab/>
      </w:r>
      <w:r w:rsidR="00947305" w:rsidRPr="00A52AB8">
        <w:tab/>
      </w:r>
      <w:r w:rsidR="00947305" w:rsidRPr="00A52AB8">
        <w:tab/>
        <w:t>}</w:t>
      </w:r>
      <w:r w:rsidR="00947305" w:rsidRPr="00A52AB8">
        <w:br/>
      </w:r>
      <w:r w:rsidR="00947305" w:rsidRPr="00A52AB8">
        <w:tab/>
      </w:r>
      <w:r w:rsidR="00947305" w:rsidRPr="00A52AB8">
        <w:tab/>
      </w:r>
      <w:r w:rsidR="00947305" w:rsidRPr="00A52AB8">
        <w:tab/>
      </w:r>
      <w:r w:rsidR="00947305" w:rsidRPr="00A52AB8">
        <w:tab/>
      </w:r>
      <w:r w:rsidR="00947305" w:rsidRPr="00A52AB8">
        <w:tab/>
      </w:r>
      <w:r w:rsidR="00947305" w:rsidRPr="00A52AB8">
        <w:tab/>
      </w:r>
      <w:r w:rsidR="00947305" w:rsidRPr="00A52AB8">
        <w:tab/>
        <w:t>}</w:t>
      </w:r>
      <w:r w:rsidR="0064764B" w:rsidRPr="00A52AB8">
        <w:br/>
      </w:r>
      <w:r w:rsidR="0064764B" w:rsidRPr="00A52AB8">
        <w:tab/>
      </w:r>
      <w:r w:rsidR="0064764B" w:rsidRPr="00A52AB8">
        <w:tab/>
      </w:r>
      <w:r w:rsidR="0064764B" w:rsidRPr="00A52AB8">
        <w:tab/>
      </w:r>
      <w:r w:rsidR="0064764B" w:rsidRPr="00A52AB8">
        <w:tab/>
      </w:r>
      <w:r w:rsidR="0064764B" w:rsidRPr="00A52AB8">
        <w:tab/>
      </w:r>
      <w:r w:rsidR="0064764B" w:rsidRPr="00A52AB8">
        <w:tab/>
      </w:r>
      <w:r w:rsidR="0064764B" w:rsidRPr="00A52AB8">
        <w:tab/>
        <w:t>lum0</w:t>
      </w:r>
      <w:r w:rsidR="00D47707" w:rsidRPr="00A52AB8">
        <w:t> = </w:t>
      </w:r>
      <w:r w:rsidR="0064764B" w:rsidRPr="00A52AB8">
        <w:rPr>
          <w:color w:val="000000" w:themeColor="text1"/>
        </w:rPr>
        <w:t>centroid</w:t>
      </w:r>
      <w:r w:rsidR="0064764B" w:rsidRPr="00A52AB8">
        <w:t>[ dx ][ dy ][ dz ][ 0 ]</w:t>
      </w:r>
      <w:r w:rsidR="00975BD5" w:rsidRPr="00A52AB8">
        <w:br/>
      </w:r>
      <w:r w:rsidR="00947305" w:rsidRPr="00A52AB8">
        <w:tab/>
      </w:r>
      <w:r w:rsidR="00947305" w:rsidRPr="00A52AB8">
        <w:tab/>
      </w:r>
      <w:r w:rsidR="00947305" w:rsidRPr="00A52AB8">
        <w:tab/>
      </w:r>
      <w:r w:rsidR="00947305" w:rsidRPr="00A52AB8">
        <w:tab/>
      </w:r>
      <w:r w:rsidR="00947305" w:rsidRPr="00A52AB8">
        <w:tab/>
      </w:r>
      <w:r w:rsidR="00947305" w:rsidRPr="00A52AB8">
        <w:tab/>
        <w:t>}</w:t>
      </w:r>
      <w:r w:rsidRPr="00A52AB8">
        <w:br/>
      </w:r>
      <w:r w:rsidRPr="00A52AB8">
        <w:tab/>
      </w:r>
      <w:r w:rsidRPr="00A52AB8">
        <w:tab/>
      </w:r>
      <w:r w:rsidRPr="00A52AB8">
        <w:tab/>
      </w:r>
      <w:r w:rsidRPr="00A52AB8">
        <w:tab/>
      </w:r>
      <w:r w:rsidR="00947305" w:rsidRPr="00A52AB8">
        <w:tab/>
      </w:r>
      <w:r w:rsidRPr="00A52AB8">
        <w:t>}</w:t>
      </w:r>
      <w:r w:rsidR="0064764B" w:rsidRPr="00A52AB8">
        <w:br/>
      </w:r>
      <w:r w:rsidR="0064764B" w:rsidRPr="00A52AB8">
        <w:tab/>
      </w:r>
      <w:r w:rsidR="0064764B" w:rsidRPr="00A52AB8">
        <w:tab/>
      </w:r>
      <w:r w:rsidR="0064764B" w:rsidRPr="00A52AB8">
        <w:tab/>
      </w:r>
      <w:r w:rsidR="0064764B" w:rsidRPr="00A52AB8">
        <w:tab/>
        <w:t>}</w:t>
      </w:r>
      <w:r w:rsidRPr="00A52AB8">
        <w:br/>
      </w:r>
      <w:r w:rsidRPr="00A52AB8">
        <w:tab/>
      </w:r>
      <w:r w:rsidRPr="00A52AB8">
        <w:tab/>
      </w:r>
      <w:r w:rsidRPr="00A52AB8">
        <w:tab/>
        <w:t>}</w:t>
      </w:r>
    </w:p>
    <w:p w14:paraId="3951471E" w14:textId="77777777" w:rsidR="00F51A0E" w:rsidRPr="00A52AB8" w:rsidRDefault="00F51A0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If exitFlag is equal to 0, the following applies:</w:t>
      </w:r>
    </w:p>
    <w:p w14:paraId="7E220D8E" w14:textId="57D94817" w:rsidR="00F51A0E" w:rsidRPr="00A52AB8" w:rsidRDefault="00A274AC" w:rsidP="009A61A4">
      <w:pPr>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s>
        <w:rPr>
          <w:color w:val="000000" w:themeColor="text1"/>
        </w:rPr>
      </w:pPr>
      <w:r w:rsidRPr="00A52AB8">
        <w:tab/>
      </w:r>
      <w:r w:rsidRPr="00A52AB8">
        <w:tab/>
      </w:r>
      <w:r w:rsidRPr="00A52AB8">
        <w:tab/>
      </w:r>
      <w:r w:rsidR="00F51A0E" w:rsidRPr="00A52AB8">
        <w:t>for( dx</w:t>
      </w:r>
      <w:r w:rsidR="00D47707" w:rsidRPr="00A52AB8">
        <w:t> = </w:t>
      </w:r>
      <w:r w:rsidR="00F51A0E" w:rsidRPr="00A52AB8">
        <w:t>0; dx &lt; 2; dx</w:t>
      </w:r>
      <w:r w:rsidR="00006CCF" w:rsidRPr="00A52AB8">
        <w:t>++ </w:t>
      </w:r>
      <w:r w:rsidR="008F1F82" w:rsidRPr="00A52AB8">
        <w:t>) {</w:t>
      </w:r>
      <w:r w:rsidR="00F51A0E" w:rsidRPr="00A52AB8">
        <w:br/>
      </w:r>
      <w:r w:rsidR="00F51A0E" w:rsidRPr="00A52AB8">
        <w:tab/>
      </w:r>
      <w:r w:rsidRPr="00A52AB8">
        <w:tab/>
      </w:r>
      <w:r w:rsidRPr="00A52AB8">
        <w:tab/>
      </w:r>
      <w:r w:rsidR="00BF0E5F" w:rsidRPr="00A52AB8">
        <w:tab/>
      </w:r>
      <w:r w:rsidR="00F51A0E" w:rsidRPr="00A52AB8">
        <w:t>for( dy</w:t>
      </w:r>
      <w:r w:rsidR="00D47707" w:rsidRPr="00A52AB8">
        <w:t> = </w:t>
      </w:r>
      <w:r w:rsidR="00F51A0E" w:rsidRPr="00A52AB8">
        <w:t>0; dy &lt; 2; dy</w:t>
      </w:r>
      <w:r w:rsidR="00006CCF" w:rsidRPr="00A52AB8">
        <w:t>++ </w:t>
      </w:r>
      <w:r w:rsidR="008F1F82" w:rsidRPr="00A52AB8">
        <w:t>) {</w:t>
      </w:r>
      <w:r w:rsidR="00F51A0E" w:rsidRPr="00A52AB8">
        <w:br/>
      </w:r>
      <w:r w:rsidR="00F51A0E" w:rsidRPr="00A52AB8">
        <w:rPr>
          <w:lang w:eastAsia="ja-JP"/>
        </w:rPr>
        <w:tab/>
      </w:r>
      <w:r w:rsidRPr="00A52AB8">
        <w:rPr>
          <w:lang w:eastAsia="ja-JP"/>
        </w:rPr>
        <w:tab/>
      </w:r>
      <w:r w:rsidRPr="00A52AB8">
        <w:rPr>
          <w:lang w:eastAsia="ja-JP"/>
        </w:rPr>
        <w:tab/>
      </w:r>
      <w:r w:rsidR="00F51A0E" w:rsidRPr="00A52AB8">
        <w:rPr>
          <w:lang w:eastAsia="ja-JP"/>
        </w:rPr>
        <w:tab/>
      </w:r>
      <w:r w:rsidR="00BF0E5F" w:rsidRPr="00A52AB8">
        <w:rPr>
          <w:lang w:eastAsia="ja-JP"/>
        </w:rPr>
        <w:tab/>
      </w:r>
      <w:r w:rsidR="00F51A0E" w:rsidRPr="00A52AB8">
        <w:t>for( dz</w:t>
      </w:r>
      <w:r w:rsidR="00D47707" w:rsidRPr="00A52AB8">
        <w:t> = </w:t>
      </w:r>
      <w:r w:rsidR="00F51A0E" w:rsidRPr="00A52AB8">
        <w:t>0; dz &lt; 2; dz</w:t>
      </w:r>
      <w:r w:rsidR="00006CCF" w:rsidRPr="00A52AB8">
        <w:t>++ </w:t>
      </w:r>
      <w:r w:rsidR="008F1F82" w:rsidRPr="00A52AB8">
        <w:t>) {</w:t>
      </w:r>
      <w:r w:rsidR="00F51A0E" w:rsidRPr="00A52AB8">
        <w:br/>
      </w:r>
      <w:r w:rsidR="00F51A0E" w:rsidRPr="00A52AB8">
        <w:tab/>
      </w:r>
      <w:r w:rsidR="00F51A0E" w:rsidRPr="00A52AB8">
        <w:tab/>
      </w:r>
      <w:r w:rsidR="00F51A0E" w:rsidRPr="00A52AB8">
        <w:tab/>
      </w:r>
      <w:r w:rsidRPr="00A52AB8">
        <w:tab/>
      </w:r>
      <w:r w:rsidRPr="00A52AB8">
        <w:tab/>
      </w:r>
      <w:r w:rsidR="00BF0E5F" w:rsidRPr="00A52AB8">
        <w:tab/>
      </w:r>
      <w:r w:rsidR="00F51A0E" w:rsidRPr="00A52AB8">
        <w:t>tmpIdx</w:t>
      </w:r>
      <w:r w:rsidR="00D47707" w:rsidRPr="00A52AB8">
        <w:t> = </w:t>
      </w:r>
      <w:r w:rsidR="00F51A0E" w:rsidRPr="00A52AB8">
        <w:t>idxArr[ dx ][ dy ][ dz ]</w:t>
      </w:r>
      <w:r w:rsidR="00F51A0E" w:rsidRPr="00A52AB8">
        <w:br/>
      </w:r>
      <w:r w:rsidR="00F51A0E" w:rsidRPr="00A52AB8">
        <w:tab/>
      </w:r>
      <w:r w:rsidR="00F51A0E" w:rsidRPr="00A52AB8">
        <w:tab/>
      </w:r>
      <w:r w:rsidRPr="00A52AB8">
        <w:tab/>
      </w:r>
      <w:r w:rsidRPr="00A52AB8">
        <w:tab/>
      </w:r>
      <w:r w:rsidR="00F51A0E" w:rsidRPr="00A52AB8">
        <w:tab/>
      </w:r>
      <w:r w:rsidR="00BF0E5F" w:rsidRPr="00A52AB8">
        <w:tab/>
      </w:r>
      <w:r w:rsidR="00F51A0E" w:rsidRPr="00A52AB8">
        <w:t>if( tmpIdx </w:t>
      </w:r>
      <w:r w:rsidR="00E963F3" w:rsidRPr="00A52AB8">
        <w:t>!=</w:t>
      </w:r>
      <w:r w:rsidR="00D47707" w:rsidRPr="00A52AB8">
        <w:t> </w:t>
      </w:r>
      <w:r w:rsidR="00F51A0E" w:rsidRPr="00A52AB8">
        <w:rPr>
          <w:color w:val="000000" w:themeColor="text1"/>
        </w:rPr>
        <w:t>currentCell1DIdx </w:t>
      </w:r>
      <w:r w:rsidR="008F1F82" w:rsidRPr="00A52AB8">
        <w:rPr>
          <w:color w:val="000000" w:themeColor="text1"/>
        </w:rPr>
        <w:t>) {</w:t>
      </w:r>
      <w:r w:rsidR="00F51A0E" w:rsidRPr="00A52AB8">
        <w:rPr>
          <w:color w:val="000000" w:themeColor="text1"/>
        </w:rPr>
        <w:br/>
      </w:r>
      <w:r w:rsidR="00F51A0E" w:rsidRPr="00A52AB8">
        <w:tab/>
      </w:r>
      <w:r w:rsidR="00F51A0E" w:rsidRPr="00A52AB8">
        <w:tab/>
      </w:r>
      <w:r w:rsidR="00F51A0E" w:rsidRPr="00A52AB8">
        <w:tab/>
      </w:r>
      <w:r w:rsidRPr="00A52AB8">
        <w:tab/>
      </w:r>
      <w:r w:rsidRPr="00A52AB8">
        <w:tab/>
      </w:r>
      <w:r w:rsidRPr="00A52AB8">
        <w:tab/>
      </w:r>
      <w:r w:rsidR="00BF0E5F" w:rsidRPr="00A52AB8">
        <w:tab/>
      </w:r>
      <w:r w:rsidR="00F51A0E" w:rsidRPr="00A52AB8">
        <w:rPr>
          <w:color w:val="000000" w:themeColor="text1"/>
        </w:rPr>
        <w:t>for( m</w:t>
      </w:r>
      <w:r w:rsidR="00D47707" w:rsidRPr="00A52AB8">
        <w:rPr>
          <w:color w:val="000000" w:themeColor="text1"/>
        </w:rPr>
        <w:t> = </w:t>
      </w:r>
      <w:r w:rsidR="00F51A0E" w:rsidRPr="00A52AB8">
        <w:rPr>
          <w:color w:val="000000" w:themeColor="text1"/>
        </w:rPr>
        <w:t>0; m &lt; cellCnt[ tmpIdx ]; m</w:t>
      </w:r>
      <w:r w:rsidR="00006CCF" w:rsidRPr="00A52AB8">
        <w:rPr>
          <w:color w:val="000000" w:themeColor="text1"/>
        </w:rPr>
        <w:t>++ )</w:t>
      </w:r>
      <w:r w:rsidR="00F51A0E" w:rsidRPr="00A52AB8">
        <w:rPr>
          <w:color w:val="000000" w:themeColor="text1"/>
        </w:rPr>
        <w:br/>
      </w:r>
      <w:r w:rsidR="00F51A0E" w:rsidRPr="00A52AB8">
        <w:rPr>
          <w:color w:val="000000" w:themeColor="text1"/>
        </w:rPr>
        <w:tab/>
      </w:r>
      <w:r w:rsidR="00F51A0E" w:rsidRPr="00A52AB8">
        <w:rPr>
          <w:color w:val="000000" w:themeColor="text1"/>
        </w:rPr>
        <w:tab/>
      </w:r>
      <w:r w:rsidR="00F51A0E"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00F51A0E" w:rsidRPr="00A52AB8">
        <w:rPr>
          <w:color w:val="000000" w:themeColor="text1"/>
        </w:rPr>
        <w:tab/>
      </w:r>
      <w:r w:rsidR="00BF0E5F" w:rsidRPr="00A52AB8">
        <w:rPr>
          <w:color w:val="000000" w:themeColor="text1"/>
        </w:rPr>
        <w:tab/>
      </w:r>
      <w:r w:rsidR="00F51A0E" w:rsidRPr="00A52AB8">
        <w:rPr>
          <w:color w:val="000000" w:themeColor="text1"/>
        </w:rPr>
        <w:t>lum[ m ]</w:t>
      </w:r>
      <w:r w:rsidR="00D47707" w:rsidRPr="00A52AB8">
        <w:rPr>
          <w:color w:val="000000" w:themeColor="text1"/>
        </w:rPr>
        <w:t> = </w:t>
      </w:r>
      <w:r w:rsidR="00F51A0E" w:rsidRPr="00A52AB8">
        <w:rPr>
          <w:color w:val="000000" w:themeColor="text1"/>
        </w:rPr>
        <w:t>cellLum[ tmpIdx ][ m ]</w:t>
      </w:r>
      <w:r w:rsidR="00F51A0E" w:rsidRPr="00A52AB8">
        <w:rPr>
          <w:color w:val="000000" w:themeColor="text1"/>
        </w:rPr>
        <w:br/>
      </w:r>
      <w:r w:rsidR="00F51A0E" w:rsidRPr="00A52AB8">
        <w:rPr>
          <w:color w:val="000000" w:themeColor="text1"/>
        </w:rPr>
        <w:tab/>
      </w:r>
      <w:r w:rsidR="00F51A0E" w:rsidRPr="00A52AB8">
        <w:rPr>
          <w:color w:val="000000" w:themeColor="text1"/>
        </w:rPr>
        <w:tab/>
      </w:r>
      <w:r w:rsidR="00F51A0E" w:rsidRPr="00A52AB8">
        <w:rPr>
          <w:color w:val="000000" w:themeColor="text1"/>
        </w:rPr>
        <w:tab/>
      </w:r>
      <w:r w:rsidRPr="00A52AB8">
        <w:rPr>
          <w:color w:val="000000" w:themeColor="text1"/>
        </w:rPr>
        <w:tab/>
      </w:r>
      <w:r w:rsidRPr="00A52AB8">
        <w:rPr>
          <w:color w:val="000000" w:themeColor="text1"/>
        </w:rPr>
        <w:tab/>
      </w:r>
      <w:r w:rsidR="00F51A0E" w:rsidRPr="00A52AB8">
        <w:rPr>
          <w:color w:val="000000" w:themeColor="text1"/>
        </w:rPr>
        <w:tab/>
      </w:r>
      <w:r w:rsidRPr="00A52AB8">
        <w:rPr>
          <w:color w:val="000000" w:themeColor="text1"/>
        </w:rPr>
        <w:tab/>
      </w:r>
      <w:r w:rsidR="00F51A0E" w:rsidRPr="00A52AB8">
        <w:rPr>
          <w:color w:val="000000" w:themeColor="text1"/>
        </w:rPr>
        <w:t>if( cellCnt[ tmpIdx ] &gt; 0 </w:t>
      </w:r>
      <w:r w:rsidR="008F1F82" w:rsidRPr="00A52AB8">
        <w:rPr>
          <w:color w:val="000000" w:themeColor="text1"/>
        </w:rPr>
        <w:t>) {</w:t>
      </w:r>
      <w:r w:rsidR="00F51A0E" w:rsidRPr="00A52AB8">
        <w:rPr>
          <w:color w:val="000000" w:themeColor="text1"/>
        </w:rPr>
        <w:br/>
      </w:r>
      <w:r w:rsidR="00F51A0E" w:rsidRPr="00A52AB8">
        <w:rPr>
          <w:color w:val="000000" w:themeColor="text1"/>
        </w:rPr>
        <w:tab/>
      </w:r>
      <w:r w:rsidR="00F51A0E" w:rsidRPr="00A52AB8">
        <w:rPr>
          <w:color w:val="000000" w:themeColor="text1"/>
        </w:rPr>
        <w:tab/>
      </w:r>
      <w:r w:rsidR="00F51A0E" w:rsidRPr="00A52AB8">
        <w:rPr>
          <w:color w:val="000000" w:themeColor="text1"/>
        </w:rPr>
        <w:tab/>
      </w:r>
      <w:r w:rsidR="00F51A0E" w:rsidRPr="00A52AB8">
        <w:rPr>
          <w:color w:val="000000" w:themeColor="text1"/>
        </w:rPr>
        <w:tab/>
      </w:r>
      <w:r w:rsidR="00F51A0E" w:rsidRPr="00A52AB8">
        <w:rPr>
          <w:color w:val="000000" w:themeColor="text1"/>
        </w:rPr>
        <w:tab/>
      </w:r>
      <w:r w:rsidRPr="00A52AB8">
        <w:rPr>
          <w:color w:val="000000" w:themeColor="text1"/>
        </w:rPr>
        <w:tab/>
      </w:r>
      <w:r w:rsidRPr="00A52AB8">
        <w:rPr>
          <w:color w:val="000000" w:themeColor="text1"/>
        </w:rPr>
        <w:tab/>
      </w:r>
      <w:r w:rsidR="00BF0E5F" w:rsidRPr="00A52AB8">
        <w:rPr>
          <w:color w:val="000000" w:themeColor="text1"/>
        </w:rPr>
        <w:tab/>
      </w:r>
      <w:r w:rsidR="00F51A0E" w:rsidRPr="00A52AB8">
        <w:rPr>
          <w:color w:val="000000" w:themeColor="text1"/>
        </w:rPr>
        <w:t>for( j</w:t>
      </w:r>
      <w:r w:rsidR="00D47707" w:rsidRPr="00A52AB8">
        <w:rPr>
          <w:color w:val="000000" w:themeColor="text1"/>
        </w:rPr>
        <w:t> = </w:t>
      </w:r>
      <w:r w:rsidR="00F51A0E" w:rsidRPr="00A52AB8">
        <w:rPr>
          <w:color w:val="000000" w:themeColor="text1"/>
        </w:rPr>
        <w:t>0; j &lt; numComps; j</w:t>
      </w:r>
      <w:r w:rsidR="00006CCF" w:rsidRPr="00A52AB8">
        <w:rPr>
          <w:color w:val="000000" w:themeColor="text1"/>
        </w:rPr>
        <w:t>++ )</w:t>
      </w:r>
      <w:r w:rsidR="00F51A0E" w:rsidRPr="00A52AB8">
        <w:rPr>
          <w:color w:val="000000" w:themeColor="text1"/>
        </w:rPr>
        <w:br/>
      </w:r>
      <w:r w:rsidR="00F51A0E" w:rsidRPr="00A52AB8">
        <w:rPr>
          <w:color w:val="000000" w:themeColor="text1"/>
        </w:rPr>
        <w:tab/>
      </w:r>
      <w:r w:rsidR="00F51A0E" w:rsidRPr="00A52AB8">
        <w:rPr>
          <w:color w:val="000000" w:themeColor="text1"/>
        </w:rPr>
        <w:tab/>
      </w:r>
      <w:r w:rsidR="00F51A0E" w:rsidRPr="00A52AB8">
        <w:rPr>
          <w:color w:val="000000" w:themeColor="text1"/>
        </w:rPr>
        <w:tab/>
      </w:r>
      <w:r w:rsidR="00F51A0E" w:rsidRPr="00A52AB8">
        <w:rPr>
          <w:color w:val="000000" w:themeColor="text1"/>
        </w:rPr>
        <w:tab/>
      </w:r>
      <w:r w:rsidR="00F51A0E"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00BF0E5F" w:rsidRPr="00A52AB8">
        <w:rPr>
          <w:color w:val="000000" w:themeColor="text1"/>
        </w:rPr>
        <w:tab/>
      </w:r>
      <w:r w:rsidR="00F51A0E" w:rsidRPr="00A52AB8">
        <w:rPr>
          <w:color w:val="000000" w:themeColor="text1"/>
        </w:rPr>
        <w:t>centroid</w:t>
      </w:r>
      <w:r w:rsidR="00F51A0E" w:rsidRPr="00A52AB8">
        <w:t>[ dx ][ dy ][ dz ][ j ]</w:t>
      </w:r>
      <w:r w:rsidR="00F51A0E" w:rsidRPr="00A52AB8">
        <w:br/>
      </w:r>
      <w:r w:rsidRPr="00A52AB8">
        <w:tab/>
      </w:r>
      <w:r w:rsidRPr="00A52AB8">
        <w:tab/>
      </w:r>
      <w:r w:rsidRPr="00A52AB8">
        <w:tab/>
      </w:r>
      <w:r w:rsidRPr="00A52AB8">
        <w:tab/>
      </w:r>
      <w:r w:rsidRPr="00A52AB8">
        <w:tab/>
      </w:r>
      <w:r w:rsidRPr="00A52AB8">
        <w:tab/>
      </w:r>
      <w:r w:rsidRPr="00A52AB8">
        <w:tab/>
      </w:r>
      <w:r w:rsidRPr="00A52AB8">
        <w:tab/>
      </w:r>
      <w:r w:rsidRPr="00A52AB8">
        <w:tab/>
      </w:r>
      <w:r w:rsidR="00BF0E5F" w:rsidRPr="00A52AB8">
        <w:tab/>
      </w:r>
      <w:r w:rsidR="00D47707" w:rsidRPr="00A52AB8">
        <w:t> = </w:t>
      </w:r>
      <w:r w:rsidR="00F51A0E" w:rsidRPr="00A52AB8">
        <w:t>attrCenterGrid[ tmpIdx ][ j ] </w:t>
      </w:r>
      <w:r w:rsidR="00F51A0E" w:rsidRPr="00A52AB8">
        <w:rPr>
          <w:rFonts w:cs="Symbol"/>
          <w:color w:val="000000" w:themeColor="text1"/>
        </w:rPr>
        <w:sym w:font="Symbol" w:char="F0B8"/>
      </w:r>
      <w:r w:rsidR="00F51A0E" w:rsidRPr="00A52AB8">
        <w:rPr>
          <w:rFonts w:cs="Symbol"/>
          <w:color w:val="000000" w:themeColor="text1"/>
        </w:rPr>
        <w:t> </w:t>
      </w:r>
      <w:r w:rsidR="00F51A0E" w:rsidRPr="00A52AB8">
        <w:rPr>
          <w:color w:val="000000" w:themeColor="text1"/>
        </w:rPr>
        <w:t>cellCnt[ tmpIdx ]</w:t>
      </w:r>
      <w:r w:rsidR="00FA4045" w:rsidRPr="00A52AB8">
        <w:rPr>
          <w:color w:val="000000" w:themeColor="text1"/>
        </w:rPr>
        <w:br/>
      </w:r>
      <w:r w:rsidR="00FA4045" w:rsidRPr="00A52AB8">
        <w:rPr>
          <w:color w:val="000000" w:themeColor="text1"/>
        </w:rPr>
        <w:tab/>
      </w:r>
      <w:r w:rsidR="00FA4045" w:rsidRPr="00A52AB8">
        <w:rPr>
          <w:color w:val="000000" w:themeColor="text1"/>
        </w:rPr>
        <w:tab/>
      </w:r>
      <w:r w:rsidR="00FA4045" w:rsidRPr="00A52AB8">
        <w:rPr>
          <w:color w:val="000000" w:themeColor="text1"/>
        </w:rPr>
        <w:tab/>
      </w:r>
      <w:r w:rsidR="00FA4045"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00BF0E5F" w:rsidRPr="00A52AB8">
        <w:rPr>
          <w:color w:val="000000" w:themeColor="text1"/>
        </w:rPr>
        <w:tab/>
      </w:r>
      <w:r w:rsidR="00FA4045" w:rsidRPr="00A52AB8">
        <w:rPr>
          <w:color w:val="000000" w:themeColor="text1"/>
        </w:rPr>
        <w:t>centroid0</w:t>
      </w:r>
      <w:r w:rsidR="00D47707" w:rsidRPr="00A52AB8">
        <w:rPr>
          <w:color w:val="000000" w:themeColor="text1"/>
        </w:rPr>
        <w:t> = </w:t>
      </w:r>
      <w:r w:rsidR="00FA4045" w:rsidRPr="00A52AB8">
        <w:rPr>
          <w:color w:val="000000" w:themeColor="text1"/>
        </w:rPr>
        <w:t>centroid</w:t>
      </w:r>
      <w:r w:rsidR="00FA4045" w:rsidRPr="00A52AB8">
        <w:t>[ dx ][ dy ][ dz ][ 0 ]</w:t>
      </w:r>
      <w:r w:rsidR="00C61E38" w:rsidRPr="00A52AB8">
        <w:br/>
      </w:r>
      <w:r w:rsidR="00FA4045" w:rsidRPr="00A52AB8">
        <w:rPr>
          <w:color w:val="000000" w:themeColor="text1"/>
        </w:rPr>
        <w:tab/>
      </w:r>
      <w:r w:rsidR="00F51A0E" w:rsidRPr="00A52AB8">
        <w:rPr>
          <w:color w:val="000000" w:themeColor="text1"/>
        </w:rPr>
        <w:tab/>
      </w:r>
      <w:r w:rsidR="00F51A0E" w:rsidRPr="00A52AB8">
        <w:rPr>
          <w:color w:val="000000" w:themeColor="text1"/>
        </w:rPr>
        <w:tab/>
      </w:r>
      <w:r w:rsidR="00FA4045"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00BF0E5F" w:rsidRPr="00A52AB8">
        <w:rPr>
          <w:color w:val="000000" w:themeColor="text1"/>
        </w:rPr>
        <w:tab/>
      </w:r>
      <w:r w:rsidR="00F51A0E" w:rsidRPr="00A52AB8">
        <w:rPr>
          <w:color w:val="000000" w:themeColor="text1"/>
        </w:rPr>
        <w:t>if( </w:t>
      </w:r>
      <w:r w:rsidR="00FA4045" w:rsidRPr="00A52AB8">
        <w:rPr>
          <w:color w:val="000000" w:themeColor="text1"/>
        </w:rPr>
        <w:t>Abs</w:t>
      </w:r>
      <w:r w:rsidR="00F51A0E" w:rsidRPr="00A52AB8">
        <w:rPr>
          <w:color w:val="000000" w:themeColor="text1"/>
        </w:rPr>
        <w:t>( lum0 − centroid</w:t>
      </w:r>
      <w:r w:rsidR="00435492" w:rsidRPr="00A52AB8">
        <w:t>0</w:t>
      </w:r>
      <w:r w:rsidR="00F51A0E" w:rsidRPr="00A52AB8">
        <w:t> ) </w:t>
      </w:r>
      <w:r w:rsidR="00FA4045" w:rsidRPr="00A52AB8">
        <w:t>&gt; </w:t>
      </w:r>
      <w:r w:rsidR="00FA4045" w:rsidRPr="00A52AB8">
        <w:rPr>
          <w:bCs/>
        </w:rPr>
        <w:t>attrThresholdVariation</w:t>
      </w:r>
      <w:r w:rsidR="00F51A0E" w:rsidRPr="00A52AB8">
        <w:t> )</w:t>
      </w:r>
      <w:r w:rsidR="00F51A0E" w:rsidRPr="00A52AB8">
        <w:br/>
      </w:r>
      <w:r w:rsidR="00F51A0E" w:rsidRPr="00A52AB8">
        <w:rPr>
          <w:color w:val="000000" w:themeColor="text1"/>
        </w:rPr>
        <w:tab/>
      </w:r>
      <w:r w:rsidR="00F51A0E" w:rsidRPr="00A52AB8">
        <w:rPr>
          <w:color w:val="000000" w:themeColor="text1"/>
        </w:rPr>
        <w:tab/>
      </w:r>
      <w:r w:rsidR="00F51A0E" w:rsidRPr="00A52AB8">
        <w:rPr>
          <w:color w:val="000000" w:themeColor="text1"/>
        </w:rPr>
        <w:tab/>
      </w:r>
      <w:r w:rsidR="00F51A0E"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00BF0E5F" w:rsidRPr="00A52AB8">
        <w:rPr>
          <w:color w:val="000000" w:themeColor="text1"/>
        </w:rPr>
        <w:tab/>
      </w:r>
      <w:r w:rsidR="00F51A0E" w:rsidRPr="00A52AB8">
        <w:rPr>
          <w:color w:val="000000" w:themeColor="text1"/>
        </w:rPr>
        <w:t>for( j</w:t>
      </w:r>
      <w:r w:rsidR="00D47707" w:rsidRPr="00A52AB8">
        <w:rPr>
          <w:color w:val="000000" w:themeColor="text1"/>
        </w:rPr>
        <w:t> = </w:t>
      </w:r>
      <w:r w:rsidR="00F51A0E" w:rsidRPr="00A52AB8">
        <w:rPr>
          <w:color w:val="000000" w:themeColor="text1"/>
        </w:rPr>
        <w:t>0; j &lt; numComps; j</w:t>
      </w:r>
      <w:r w:rsidR="00006CCF" w:rsidRPr="00A52AB8">
        <w:rPr>
          <w:color w:val="000000" w:themeColor="text1"/>
        </w:rPr>
        <w:t>++ )</w:t>
      </w:r>
      <w:r w:rsidR="00F51A0E" w:rsidRPr="00A52AB8">
        <w:rPr>
          <w:color w:val="000000" w:themeColor="text1"/>
        </w:rPr>
        <w:br/>
      </w:r>
      <w:r w:rsidR="00F51A0E" w:rsidRPr="00A52AB8">
        <w:rPr>
          <w:color w:val="000000" w:themeColor="text1"/>
        </w:rPr>
        <w:tab/>
      </w:r>
      <w:r w:rsidR="00F51A0E" w:rsidRPr="00A52AB8">
        <w:rPr>
          <w:color w:val="000000" w:themeColor="text1"/>
        </w:rPr>
        <w:tab/>
      </w:r>
      <w:r w:rsidR="00F51A0E" w:rsidRPr="00A52AB8">
        <w:rPr>
          <w:color w:val="000000" w:themeColor="text1"/>
        </w:rPr>
        <w:tab/>
      </w:r>
      <w:r w:rsidR="00F51A0E" w:rsidRPr="00A52AB8">
        <w:rPr>
          <w:color w:val="000000" w:themeColor="text1"/>
        </w:rPr>
        <w:tab/>
      </w:r>
      <w:r w:rsidR="00F51A0E" w:rsidRPr="00A52AB8">
        <w:rPr>
          <w:color w:val="000000" w:themeColor="text1"/>
        </w:rPr>
        <w:tab/>
      </w:r>
      <w:r w:rsidR="00F51A0E" w:rsidRPr="00A52AB8">
        <w:rPr>
          <w:color w:val="000000" w:themeColor="text1"/>
        </w:rPr>
        <w:tab/>
      </w:r>
      <w:r w:rsidR="00F51A0E" w:rsidRPr="00A52AB8">
        <w:rPr>
          <w:color w:val="000000" w:themeColor="text1"/>
        </w:rPr>
        <w:tab/>
      </w:r>
      <w:r w:rsidRPr="00A52AB8">
        <w:rPr>
          <w:color w:val="000000" w:themeColor="text1"/>
        </w:rPr>
        <w:tab/>
      </w:r>
      <w:r w:rsidRPr="00A52AB8">
        <w:rPr>
          <w:color w:val="000000" w:themeColor="text1"/>
        </w:rPr>
        <w:tab/>
      </w:r>
      <w:r w:rsidR="00BF0E5F" w:rsidRPr="00A52AB8">
        <w:rPr>
          <w:color w:val="000000" w:themeColor="text1"/>
        </w:rPr>
        <w:tab/>
      </w:r>
      <w:r w:rsidR="00F51A0E" w:rsidRPr="00A52AB8">
        <w:rPr>
          <w:color w:val="000000" w:themeColor="text1"/>
        </w:rPr>
        <w:t>centroid</w:t>
      </w:r>
      <w:r w:rsidR="00F51A0E" w:rsidRPr="00A52AB8">
        <w:t>[ dx ][ dy ][ dz ][ j ]</w:t>
      </w:r>
      <w:r w:rsidR="00D47707" w:rsidRPr="00A52AB8">
        <w:t> = </w:t>
      </w:r>
      <w:r w:rsidR="00F51A0E" w:rsidRPr="00A52AB8">
        <w:t>currAttr[ j ]</w:t>
      </w:r>
      <w:r w:rsidR="00F51A0E" w:rsidRPr="00A52AB8">
        <w:rPr>
          <w:color w:val="000000" w:themeColor="text1"/>
        </w:rPr>
        <w:br/>
      </w:r>
      <w:r w:rsidR="00F51A0E" w:rsidRPr="00A52AB8">
        <w:rPr>
          <w:color w:val="000000" w:themeColor="text1"/>
        </w:rPr>
        <w:tab/>
      </w:r>
      <w:r w:rsidR="00F51A0E" w:rsidRPr="00A52AB8">
        <w:rPr>
          <w:color w:val="000000" w:themeColor="text1"/>
        </w:rPr>
        <w:tab/>
      </w:r>
      <w:r w:rsidR="00F51A0E" w:rsidRPr="00A52AB8">
        <w:rPr>
          <w:color w:val="000000" w:themeColor="text1"/>
        </w:rPr>
        <w:tab/>
      </w:r>
      <w:r w:rsidR="00F51A0E" w:rsidRPr="00A52AB8">
        <w:rPr>
          <w:color w:val="000000" w:themeColor="text1"/>
        </w:rPr>
        <w:tab/>
      </w:r>
      <w:r w:rsidR="00F51A0E" w:rsidRPr="00A52AB8">
        <w:rPr>
          <w:color w:val="000000" w:themeColor="text1"/>
        </w:rPr>
        <w:tab/>
      </w:r>
      <w:r w:rsidRPr="00A52AB8">
        <w:rPr>
          <w:color w:val="000000" w:themeColor="text1"/>
        </w:rPr>
        <w:tab/>
      </w:r>
      <w:r w:rsidRPr="00A52AB8">
        <w:rPr>
          <w:color w:val="000000" w:themeColor="text1"/>
        </w:rPr>
        <w:tab/>
      </w:r>
      <w:r w:rsidR="00BF0E5F" w:rsidRPr="00A52AB8">
        <w:rPr>
          <w:color w:val="000000" w:themeColor="text1"/>
        </w:rPr>
        <w:tab/>
      </w:r>
      <w:r w:rsidR="00F51A0E" w:rsidRPr="00A52AB8">
        <w:rPr>
          <w:color w:val="000000" w:themeColor="text1"/>
        </w:rPr>
        <w:t>if( cellCnt[ tmpIdx ] &gt; 1 </w:t>
      </w:r>
      <w:r w:rsidR="008F1F82" w:rsidRPr="00A52AB8">
        <w:rPr>
          <w:color w:val="000000" w:themeColor="text1"/>
        </w:rPr>
        <w:t>) {</w:t>
      </w:r>
      <w:r w:rsidR="00F51A0E" w:rsidRPr="00A52AB8">
        <w:rPr>
          <w:color w:val="000000" w:themeColor="text1"/>
        </w:rPr>
        <w:br/>
      </w:r>
      <w:r w:rsidR="00F51A0E" w:rsidRPr="00A52AB8">
        <w:rPr>
          <w:color w:val="000000" w:themeColor="text1"/>
        </w:rPr>
        <w:tab/>
      </w:r>
      <w:r w:rsidR="00F51A0E" w:rsidRPr="00A52AB8">
        <w:rPr>
          <w:color w:val="000000" w:themeColor="text1"/>
        </w:rPr>
        <w:tab/>
      </w:r>
      <w:r w:rsidR="00F51A0E" w:rsidRPr="00A52AB8">
        <w:rPr>
          <w:color w:val="000000" w:themeColor="text1"/>
        </w:rPr>
        <w:tab/>
      </w:r>
      <w:r w:rsidR="00F51A0E" w:rsidRPr="00A52AB8">
        <w:rPr>
          <w:color w:val="000000" w:themeColor="text1"/>
        </w:rPr>
        <w:tab/>
      </w:r>
      <w:r w:rsidR="00F51A0E"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00BF0E5F" w:rsidRPr="00A52AB8">
        <w:rPr>
          <w:color w:val="000000" w:themeColor="text1"/>
        </w:rPr>
        <w:tab/>
      </w:r>
      <w:r w:rsidR="00F51A0E" w:rsidRPr="00A52AB8">
        <w:rPr>
          <w:color w:val="000000" w:themeColor="text1"/>
        </w:rPr>
        <w:t>meanLum</w:t>
      </w:r>
      <w:r w:rsidR="00D47707" w:rsidRPr="00A52AB8">
        <w:rPr>
          <w:color w:val="000000" w:themeColor="text1"/>
        </w:rPr>
        <w:t> = </w:t>
      </w:r>
      <w:r w:rsidR="00F51A0E" w:rsidRPr="00A52AB8">
        <w:rPr>
          <w:color w:val="000000" w:themeColor="text1"/>
        </w:rPr>
        <w:t>Mean( lum )</w:t>
      </w:r>
      <w:r w:rsidR="00F51A0E" w:rsidRPr="00A52AB8">
        <w:rPr>
          <w:color w:val="000000" w:themeColor="text1"/>
        </w:rPr>
        <w:br/>
      </w:r>
      <w:r w:rsidR="00F51A0E" w:rsidRPr="00A52AB8">
        <w:rPr>
          <w:color w:val="000000" w:themeColor="text1"/>
        </w:rPr>
        <w:tab/>
      </w:r>
      <w:r w:rsidR="00F51A0E" w:rsidRPr="00A52AB8">
        <w:rPr>
          <w:color w:val="000000" w:themeColor="text1"/>
        </w:rPr>
        <w:tab/>
      </w:r>
      <w:r w:rsidR="00F51A0E" w:rsidRPr="00A52AB8">
        <w:rPr>
          <w:color w:val="000000" w:themeColor="text1"/>
        </w:rPr>
        <w:tab/>
      </w:r>
      <w:r w:rsidR="00F51A0E" w:rsidRPr="00A52AB8">
        <w:rPr>
          <w:color w:val="000000" w:themeColor="text1"/>
        </w:rPr>
        <w:tab/>
      </w:r>
      <w:r w:rsidR="00F51A0E"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00BF0E5F" w:rsidRPr="00A52AB8">
        <w:rPr>
          <w:color w:val="000000" w:themeColor="text1"/>
        </w:rPr>
        <w:tab/>
      </w:r>
      <w:r w:rsidR="00F51A0E" w:rsidRPr="00A52AB8">
        <w:rPr>
          <w:color w:val="000000" w:themeColor="text1"/>
        </w:rPr>
        <w:t>medianLum</w:t>
      </w:r>
      <w:r w:rsidR="00D47707" w:rsidRPr="00A52AB8">
        <w:rPr>
          <w:color w:val="000000" w:themeColor="text1"/>
        </w:rPr>
        <w:t> = </w:t>
      </w:r>
      <w:r w:rsidR="00F51A0E" w:rsidRPr="00A52AB8">
        <w:rPr>
          <w:color w:val="000000" w:themeColor="text1"/>
        </w:rPr>
        <w:t>Median( lum</w:t>
      </w:r>
      <w:r w:rsidR="00BF0E5F" w:rsidRPr="00A52AB8">
        <w:rPr>
          <w:color w:val="000000" w:themeColor="text1"/>
        </w:rPr>
        <w:t> </w:t>
      </w:r>
      <w:r w:rsidR="00F51A0E" w:rsidRPr="00A52AB8">
        <w:rPr>
          <w:color w:val="000000" w:themeColor="text1"/>
        </w:rPr>
        <w:t>)</w:t>
      </w:r>
      <w:r w:rsidR="00F51A0E" w:rsidRPr="00A52AB8">
        <w:rPr>
          <w:color w:val="000000" w:themeColor="text1"/>
        </w:rPr>
        <w:br/>
      </w:r>
      <w:r w:rsidR="00F51A0E" w:rsidRPr="00A52AB8">
        <w:rPr>
          <w:color w:val="000000" w:themeColor="text1"/>
        </w:rPr>
        <w:tab/>
      </w:r>
      <w:r w:rsidR="00F51A0E" w:rsidRPr="00A52AB8">
        <w:rPr>
          <w:color w:val="000000" w:themeColor="text1"/>
        </w:rPr>
        <w:tab/>
      </w:r>
      <w:r w:rsidR="00F51A0E" w:rsidRPr="00A52AB8">
        <w:rPr>
          <w:color w:val="000000" w:themeColor="text1"/>
        </w:rPr>
        <w:tab/>
      </w:r>
      <w:r w:rsidR="00F51A0E" w:rsidRPr="00A52AB8">
        <w:rPr>
          <w:color w:val="000000" w:themeColor="text1"/>
        </w:rPr>
        <w:tab/>
      </w:r>
      <w:r w:rsidRPr="00A52AB8">
        <w:rPr>
          <w:color w:val="000000" w:themeColor="text1"/>
        </w:rPr>
        <w:tab/>
      </w:r>
      <w:r w:rsidR="00F51A0E" w:rsidRPr="00A52AB8">
        <w:rPr>
          <w:color w:val="000000" w:themeColor="text1"/>
        </w:rPr>
        <w:tab/>
      </w:r>
      <w:r w:rsidRPr="00A52AB8">
        <w:rPr>
          <w:color w:val="000000" w:themeColor="text1"/>
        </w:rPr>
        <w:tab/>
      </w:r>
      <w:r w:rsidRPr="00A52AB8">
        <w:rPr>
          <w:color w:val="000000" w:themeColor="text1"/>
        </w:rPr>
        <w:tab/>
      </w:r>
      <w:r w:rsidR="00BF0E5F" w:rsidRPr="00A52AB8">
        <w:rPr>
          <w:color w:val="000000" w:themeColor="text1"/>
        </w:rPr>
        <w:tab/>
      </w:r>
      <w:r w:rsidR="00F51A0E" w:rsidRPr="00A52AB8">
        <w:rPr>
          <w:color w:val="000000" w:themeColor="text1"/>
        </w:rPr>
        <w:t>if( </w:t>
      </w:r>
      <w:r w:rsidR="00FA4045" w:rsidRPr="00A52AB8">
        <w:rPr>
          <w:color w:val="000000" w:themeColor="text1"/>
        </w:rPr>
        <w:t>Abs</w:t>
      </w:r>
      <w:r w:rsidR="00F51A0E" w:rsidRPr="00A52AB8">
        <w:rPr>
          <w:color w:val="000000" w:themeColor="text1"/>
        </w:rPr>
        <w:t>( meanLum – medianLum ) &gt; </w:t>
      </w:r>
      <w:r w:rsidR="00435492" w:rsidRPr="00A52AB8">
        <w:rPr>
          <w:color w:val="000000" w:themeColor="text1"/>
        </w:rPr>
        <w:t>attrThreshDiff </w:t>
      </w:r>
      <w:r w:rsidR="00F51A0E" w:rsidRPr="00A52AB8">
        <w:rPr>
          <w:color w:val="000000" w:themeColor="text1"/>
        </w:rPr>
        <w:t>)</w:t>
      </w:r>
      <w:r w:rsidR="00F51A0E" w:rsidRPr="00A52AB8">
        <w:rPr>
          <w:color w:val="000000" w:themeColor="text1"/>
        </w:rPr>
        <w:br/>
      </w:r>
      <w:r w:rsidR="00F51A0E" w:rsidRPr="00A52AB8">
        <w:rPr>
          <w:color w:val="000000" w:themeColor="text1"/>
        </w:rPr>
        <w:tab/>
      </w:r>
      <w:r w:rsidR="00F51A0E" w:rsidRPr="00A52AB8">
        <w:rPr>
          <w:color w:val="000000" w:themeColor="text1"/>
        </w:rPr>
        <w:tab/>
      </w:r>
      <w:r w:rsidR="00F51A0E" w:rsidRPr="00A52AB8">
        <w:rPr>
          <w:color w:val="000000" w:themeColor="text1"/>
        </w:rPr>
        <w:tab/>
      </w:r>
      <w:r w:rsidR="00F51A0E" w:rsidRPr="00A52AB8">
        <w:rPr>
          <w:color w:val="000000" w:themeColor="text1"/>
        </w:rPr>
        <w:tab/>
      </w:r>
      <w:r w:rsidR="00F51A0E" w:rsidRPr="00A52AB8">
        <w:rPr>
          <w:color w:val="000000" w:themeColor="text1"/>
        </w:rPr>
        <w:tab/>
      </w:r>
      <w:r w:rsidRPr="00A52AB8">
        <w:rPr>
          <w:color w:val="000000" w:themeColor="text1"/>
        </w:rPr>
        <w:tab/>
      </w:r>
      <w:r w:rsidR="00F51A0E" w:rsidRPr="00A52AB8">
        <w:rPr>
          <w:color w:val="000000" w:themeColor="text1"/>
        </w:rPr>
        <w:tab/>
      </w:r>
      <w:r w:rsidRPr="00A52AB8">
        <w:rPr>
          <w:color w:val="000000" w:themeColor="text1"/>
        </w:rPr>
        <w:tab/>
      </w:r>
      <w:r w:rsidRPr="00A52AB8">
        <w:rPr>
          <w:color w:val="000000" w:themeColor="text1"/>
        </w:rPr>
        <w:tab/>
      </w:r>
      <w:r w:rsidR="00BF0E5F" w:rsidRPr="00A52AB8">
        <w:rPr>
          <w:color w:val="000000" w:themeColor="text1"/>
        </w:rPr>
        <w:tab/>
      </w:r>
      <w:r w:rsidR="00F51A0E" w:rsidRPr="00A52AB8">
        <w:rPr>
          <w:color w:val="000000" w:themeColor="text1"/>
        </w:rPr>
        <w:t>for( j</w:t>
      </w:r>
      <w:r w:rsidR="00D47707" w:rsidRPr="00A52AB8">
        <w:rPr>
          <w:color w:val="000000" w:themeColor="text1"/>
        </w:rPr>
        <w:t> = </w:t>
      </w:r>
      <w:r w:rsidR="00F51A0E" w:rsidRPr="00A52AB8">
        <w:rPr>
          <w:color w:val="000000" w:themeColor="text1"/>
        </w:rPr>
        <w:t>0; j &lt; numComps; j</w:t>
      </w:r>
      <w:r w:rsidR="00006CCF" w:rsidRPr="00A52AB8">
        <w:rPr>
          <w:color w:val="000000" w:themeColor="text1"/>
        </w:rPr>
        <w:t>++ )</w:t>
      </w:r>
      <w:r w:rsidR="00F51A0E" w:rsidRPr="00A52AB8">
        <w:rPr>
          <w:color w:val="000000" w:themeColor="text1"/>
        </w:rPr>
        <w:br/>
      </w:r>
      <w:r w:rsidR="00F51A0E" w:rsidRPr="00A52AB8">
        <w:rPr>
          <w:color w:val="000000" w:themeColor="text1"/>
        </w:rPr>
        <w:tab/>
      </w:r>
      <w:r w:rsidR="00F51A0E" w:rsidRPr="00A52AB8">
        <w:rPr>
          <w:color w:val="000000" w:themeColor="text1"/>
        </w:rPr>
        <w:tab/>
      </w:r>
      <w:r w:rsidR="00F51A0E" w:rsidRPr="00A52AB8">
        <w:rPr>
          <w:color w:val="000000" w:themeColor="text1"/>
        </w:rPr>
        <w:tab/>
      </w:r>
      <w:r w:rsidR="00F51A0E" w:rsidRPr="00A52AB8">
        <w:rPr>
          <w:color w:val="000000" w:themeColor="text1"/>
        </w:rPr>
        <w:tab/>
      </w:r>
      <w:r w:rsidR="00F51A0E" w:rsidRPr="00A52AB8">
        <w:rPr>
          <w:color w:val="000000" w:themeColor="text1"/>
        </w:rPr>
        <w:tab/>
      </w:r>
      <w:r w:rsidR="00F51A0E" w:rsidRPr="00A52AB8">
        <w:rPr>
          <w:color w:val="000000" w:themeColor="text1"/>
        </w:rPr>
        <w:tab/>
      </w:r>
      <w:r w:rsidRPr="00A52AB8">
        <w:rPr>
          <w:color w:val="000000" w:themeColor="text1"/>
        </w:rPr>
        <w:tab/>
      </w:r>
      <w:r w:rsidR="00F51A0E" w:rsidRPr="00A52AB8">
        <w:rPr>
          <w:color w:val="000000" w:themeColor="text1"/>
        </w:rPr>
        <w:tab/>
      </w:r>
      <w:r w:rsidRPr="00A52AB8">
        <w:rPr>
          <w:color w:val="000000" w:themeColor="text1"/>
        </w:rPr>
        <w:tab/>
      </w:r>
      <w:r w:rsidRPr="00A52AB8">
        <w:rPr>
          <w:color w:val="000000" w:themeColor="text1"/>
        </w:rPr>
        <w:tab/>
      </w:r>
      <w:r w:rsidR="00BF0E5F" w:rsidRPr="00A52AB8">
        <w:rPr>
          <w:color w:val="000000" w:themeColor="text1"/>
        </w:rPr>
        <w:tab/>
      </w:r>
      <w:r w:rsidR="00F51A0E" w:rsidRPr="00A52AB8">
        <w:rPr>
          <w:color w:val="000000" w:themeColor="text1"/>
        </w:rPr>
        <w:t>centroid</w:t>
      </w:r>
      <w:r w:rsidR="00F51A0E" w:rsidRPr="00A52AB8">
        <w:t>[ dx ][ dy ][ dz ][ j ]</w:t>
      </w:r>
      <w:r w:rsidR="00D47707" w:rsidRPr="00A52AB8">
        <w:t> = </w:t>
      </w:r>
      <w:r w:rsidR="00F51A0E" w:rsidRPr="00A52AB8">
        <w:t>currAttr[ j ]</w:t>
      </w:r>
      <w:r w:rsidR="00F51A0E" w:rsidRPr="00A52AB8">
        <w:br/>
      </w:r>
      <w:r w:rsidR="00F51A0E" w:rsidRPr="00A52AB8">
        <w:tab/>
      </w:r>
      <w:r w:rsidR="00F51A0E" w:rsidRPr="00A52AB8">
        <w:tab/>
      </w:r>
      <w:r w:rsidR="00F51A0E" w:rsidRPr="00A52AB8">
        <w:tab/>
      </w:r>
      <w:r w:rsidR="00F51A0E" w:rsidRPr="00A52AB8">
        <w:tab/>
      </w:r>
      <w:r w:rsidRPr="00A52AB8">
        <w:tab/>
      </w:r>
      <w:r w:rsidR="00F51A0E" w:rsidRPr="00A52AB8">
        <w:tab/>
      </w:r>
      <w:r w:rsidRPr="00A52AB8">
        <w:tab/>
      </w:r>
      <w:r w:rsidR="00BF0E5F" w:rsidRPr="00A52AB8">
        <w:tab/>
      </w:r>
      <w:r w:rsidR="00F51A0E" w:rsidRPr="00A52AB8">
        <w:t>}</w:t>
      </w:r>
      <w:r w:rsidR="00F51A0E" w:rsidRPr="00A52AB8">
        <w:rPr>
          <w:color w:val="000000" w:themeColor="text1"/>
        </w:rPr>
        <w:br/>
      </w:r>
      <w:r w:rsidR="00F51A0E" w:rsidRPr="00A52AB8">
        <w:rPr>
          <w:color w:val="000000" w:themeColor="text1"/>
        </w:rPr>
        <w:tab/>
      </w:r>
      <w:r w:rsidR="00F51A0E" w:rsidRPr="00A52AB8">
        <w:rPr>
          <w:color w:val="000000" w:themeColor="text1"/>
        </w:rPr>
        <w:tab/>
      </w:r>
      <w:r w:rsidR="00F51A0E" w:rsidRPr="00A52AB8">
        <w:rPr>
          <w:color w:val="000000" w:themeColor="text1"/>
        </w:rPr>
        <w:tab/>
      </w:r>
      <w:r w:rsidR="00F51A0E" w:rsidRPr="00A52AB8">
        <w:rPr>
          <w:color w:val="000000" w:themeColor="text1"/>
        </w:rPr>
        <w:tab/>
      </w:r>
      <w:r w:rsidRPr="00A52AB8">
        <w:rPr>
          <w:color w:val="000000" w:themeColor="text1"/>
        </w:rPr>
        <w:tab/>
      </w:r>
      <w:r w:rsidRPr="00A52AB8">
        <w:rPr>
          <w:color w:val="000000" w:themeColor="text1"/>
        </w:rPr>
        <w:tab/>
      </w:r>
      <w:r w:rsidR="00BF0E5F" w:rsidRPr="00A52AB8">
        <w:rPr>
          <w:color w:val="000000" w:themeColor="text1"/>
        </w:rPr>
        <w:tab/>
      </w:r>
      <w:r w:rsidR="0023721F" w:rsidRPr="00A52AB8">
        <w:rPr>
          <w:color w:val="000000" w:themeColor="text1"/>
        </w:rPr>
        <w:t>} else {</w:t>
      </w:r>
      <w:r w:rsidR="00F51A0E" w:rsidRPr="00A52AB8">
        <w:rPr>
          <w:color w:val="000000" w:themeColor="text1"/>
        </w:rPr>
        <w:br/>
      </w:r>
      <w:r w:rsidR="00F51A0E" w:rsidRPr="00A52AB8">
        <w:rPr>
          <w:color w:val="000000" w:themeColor="text1"/>
        </w:rPr>
        <w:tab/>
      </w:r>
      <w:r w:rsidR="00F51A0E" w:rsidRPr="00A52AB8">
        <w:rPr>
          <w:color w:val="000000" w:themeColor="text1"/>
        </w:rPr>
        <w:tab/>
      </w:r>
      <w:r w:rsidR="00F51A0E" w:rsidRPr="00A52AB8">
        <w:rPr>
          <w:color w:val="000000" w:themeColor="text1"/>
        </w:rPr>
        <w:tab/>
      </w:r>
      <w:r w:rsidR="00F51A0E" w:rsidRPr="00A52AB8">
        <w:rPr>
          <w:color w:val="000000" w:themeColor="text1"/>
        </w:rPr>
        <w:tab/>
      </w:r>
      <w:r w:rsidR="00F51A0E" w:rsidRPr="00A52AB8">
        <w:rPr>
          <w:color w:val="000000" w:themeColor="text1"/>
        </w:rPr>
        <w:tab/>
      </w:r>
      <w:r w:rsidRPr="00A52AB8">
        <w:rPr>
          <w:color w:val="000000" w:themeColor="text1"/>
        </w:rPr>
        <w:tab/>
      </w:r>
      <w:r w:rsidRPr="00A52AB8">
        <w:rPr>
          <w:color w:val="000000" w:themeColor="text1"/>
        </w:rPr>
        <w:tab/>
      </w:r>
      <w:r w:rsidR="00BF0E5F" w:rsidRPr="00A52AB8">
        <w:rPr>
          <w:color w:val="000000" w:themeColor="text1"/>
        </w:rPr>
        <w:tab/>
      </w:r>
      <w:r w:rsidR="00F51A0E" w:rsidRPr="00A52AB8">
        <w:rPr>
          <w:color w:val="000000" w:themeColor="text1"/>
        </w:rPr>
        <w:t>for( j</w:t>
      </w:r>
      <w:r w:rsidR="00D47707" w:rsidRPr="00A52AB8">
        <w:rPr>
          <w:color w:val="000000" w:themeColor="text1"/>
        </w:rPr>
        <w:t> = </w:t>
      </w:r>
      <w:r w:rsidR="00F51A0E" w:rsidRPr="00A52AB8">
        <w:rPr>
          <w:color w:val="000000" w:themeColor="text1"/>
        </w:rPr>
        <w:t>0; j &lt; numComps; j</w:t>
      </w:r>
      <w:r w:rsidR="00006CCF" w:rsidRPr="00A52AB8">
        <w:rPr>
          <w:color w:val="000000" w:themeColor="text1"/>
        </w:rPr>
        <w:t>++ )</w:t>
      </w:r>
      <w:r w:rsidR="00F51A0E" w:rsidRPr="00A52AB8">
        <w:rPr>
          <w:color w:val="000000" w:themeColor="text1"/>
        </w:rPr>
        <w:br/>
      </w:r>
      <w:r w:rsidR="00F51A0E" w:rsidRPr="00A52AB8">
        <w:rPr>
          <w:color w:val="000000" w:themeColor="text1"/>
        </w:rPr>
        <w:tab/>
      </w:r>
      <w:r w:rsidR="00F51A0E" w:rsidRPr="00A52AB8">
        <w:rPr>
          <w:color w:val="000000" w:themeColor="text1"/>
        </w:rPr>
        <w:tab/>
      </w:r>
      <w:r w:rsidR="00F51A0E" w:rsidRPr="00A52AB8">
        <w:rPr>
          <w:color w:val="000000" w:themeColor="text1"/>
        </w:rPr>
        <w:tab/>
      </w:r>
      <w:r w:rsidR="00F51A0E" w:rsidRPr="00A52AB8">
        <w:rPr>
          <w:color w:val="000000" w:themeColor="text1"/>
        </w:rPr>
        <w:tab/>
      </w:r>
      <w:r w:rsidR="00F51A0E" w:rsidRPr="00A52AB8">
        <w:rPr>
          <w:color w:val="000000" w:themeColor="text1"/>
        </w:rPr>
        <w:tab/>
      </w:r>
      <w:r w:rsidRPr="00A52AB8">
        <w:rPr>
          <w:color w:val="000000" w:themeColor="text1"/>
        </w:rPr>
        <w:tab/>
      </w:r>
      <w:r w:rsidRPr="00A52AB8">
        <w:rPr>
          <w:color w:val="000000" w:themeColor="text1"/>
        </w:rPr>
        <w:tab/>
      </w:r>
      <w:r w:rsidRPr="00A52AB8">
        <w:rPr>
          <w:color w:val="000000" w:themeColor="text1"/>
        </w:rPr>
        <w:tab/>
      </w:r>
      <w:r w:rsidR="00BF0E5F" w:rsidRPr="00A52AB8">
        <w:rPr>
          <w:color w:val="000000" w:themeColor="text1"/>
        </w:rPr>
        <w:tab/>
      </w:r>
      <w:r w:rsidR="00F51A0E" w:rsidRPr="00A52AB8">
        <w:rPr>
          <w:color w:val="000000" w:themeColor="text1"/>
        </w:rPr>
        <w:t>centroid</w:t>
      </w:r>
      <w:r w:rsidR="00F51A0E" w:rsidRPr="00A52AB8">
        <w:t>[ dx ][ dy ][ dz ][ j ]</w:t>
      </w:r>
      <w:r w:rsidR="00D47707" w:rsidRPr="00A52AB8">
        <w:t> = </w:t>
      </w:r>
      <w:r w:rsidR="00F51A0E" w:rsidRPr="00A52AB8">
        <w:t>currAttr[ j ]</w:t>
      </w:r>
      <w:r w:rsidR="00D52145" w:rsidRPr="00A52AB8">
        <w:rPr>
          <w:color w:val="000000" w:themeColor="text1"/>
        </w:rPr>
        <w:br/>
      </w:r>
      <w:r w:rsidR="00D52145" w:rsidRPr="00A52AB8">
        <w:rPr>
          <w:color w:val="000000" w:themeColor="text1"/>
        </w:rPr>
        <w:tab/>
      </w:r>
      <w:r w:rsidR="00D52145" w:rsidRPr="00A52AB8">
        <w:rPr>
          <w:color w:val="000000" w:themeColor="text1"/>
        </w:rPr>
        <w:tab/>
      </w:r>
      <w:r w:rsidR="00D52145" w:rsidRPr="00A52AB8">
        <w:rPr>
          <w:color w:val="000000" w:themeColor="text1"/>
        </w:rPr>
        <w:tab/>
      </w:r>
      <w:r w:rsidR="00D52145" w:rsidRPr="00A52AB8">
        <w:rPr>
          <w:color w:val="000000" w:themeColor="text1"/>
        </w:rPr>
        <w:tab/>
      </w:r>
      <w:r w:rsidR="00D52145" w:rsidRPr="00A52AB8">
        <w:rPr>
          <w:color w:val="000000" w:themeColor="text1"/>
        </w:rPr>
        <w:tab/>
      </w:r>
      <w:r w:rsidR="00D52145" w:rsidRPr="00A52AB8">
        <w:rPr>
          <w:color w:val="000000" w:themeColor="text1"/>
        </w:rPr>
        <w:tab/>
      </w:r>
      <w:r w:rsidR="00D52145" w:rsidRPr="00A52AB8">
        <w:rPr>
          <w:color w:val="000000" w:themeColor="text1"/>
        </w:rPr>
        <w:tab/>
        <w:t>}</w:t>
      </w:r>
      <w:r w:rsidR="00F51A0E" w:rsidRPr="00A52AB8">
        <w:br/>
      </w:r>
      <w:r w:rsidR="00F51A0E" w:rsidRPr="00A52AB8">
        <w:tab/>
      </w:r>
      <w:r w:rsidR="00F51A0E" w:rsidRPr="00A52AB8">
        <w:tab/>
      </w:r>
      <w:r w:rsidRPr="00A52AB8">
        <w:tab/>
      </w:r>
      <w:r w:rsidRPr="00A52AB8">
        <w:tab/>
      </w:r>
      <w:r w:rsidRPr="00A52AB8">
        <w:tab/>
      </w:r>
      <w:r w:rsidR="00BF0E5F" w:rsidRPr="00A52AB8">
        <w:tab/>
      </w:r>
      <w:r w:rsidR="00F51A0E" w:rsidRPr="00A52AB8">
        <w:t>}</w:t>
      </w:r>
      <w:r w:rsidR="00F51A0E" w:rsidRPr="00A52AB8">
        <w:br/>
      </w:r>
      <w:r w:rsidR="00F51A0E" w:rsidRPr="00A52AB8">
        <w:tab/>
      </w:r>
      <w:r w:rsidRPr="00A52AB8">
        <w:tab/>
      </w:r>
      <w:r w:rsidRPr="00A52AB8">
        <w:tab/>
      </w:r>
      <w:r w:rsidRPr="00A52AB8">
        <w:tab/>
      </w:r>
      <w:r w:rsidR="00BF0E5F" w:rsidRPr="00A52AB8">
        <w:tab/>
      </w:r>
      <w:r w:rsidR="00F51A0E" w:rsidRPr="00A52AB8">
        <w:t>}</w:t>
      </w:r>
      <w:r w:rsidR="00BF0E5F" w:rsidRPr="00A52AB8">
        <w:br/>
      </w:r>
      <w:r w:rsidR="00BF0E5F" w:rsidRPr="00A52AB8">
        <w:tab/>
      </w:r>
      <w:r w:rsidR="00BF0E5F" w:rsidRPr="00A52AB8">
        <w:tab/>
      </w:r>
      <w:r w:rsidR="00BF0E5F" w:rsidRPr="00A52AB8">
        <w:tab/>
      </w:r>
      <w:r w:rsidR="00BF0E5F" w:rsidRPr="00A52AB8">
        <w:tab/>
        <w:t>}</w:t>
      </w:r>
      <w:r w:rsidR="00BF0E5F" w:rsidRPr="00A52AB8">
        <w:br/>
      </w:r>
      <w:r w:rsidR="00BF0E5F" w:rsidRPr="00A52AB8">
        <w:tab/>
      </w:r>
      <w:r w:rsidR="00BF0E5F" w:rsidRPr="00A52AB8">
        <w:tab/>
      </w:r>
      <w:r w:rsidR="00BF0E5F" w:rsidRPr="00A52AB8">
        <w:tab/>
        <w:t>}</w:t>
      </w:r>
    </w:p>
    <w:p w14:paraId="7B6F019C" w14:textId="476A074D" w:rsidR="00F51A0E" w:rsidRPr="00A52AB8" w:rsidRDefault="00F51A0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 xml:space="preserve">If exitFlag is equal to 0, subclause </w:t>
      </w:r>
      <w:r w:rsidR="001913F9" w:rsidRPr="00496A4D">
        <w:rPr>
          <w:color w:val="000000" w:themeColor="text1"/>
        </w:rPr>
        <w:fldChar w:fldCharType="begin"/>
      </w:r>
      <w:r w:rsidR="001913F9" w:rsidRPr="00A52AB8">
        <w:rPr>
          <w:color w:val="000000" w:themeColor="text1"/>
        </w:rPr>
        <w:instrText xml:space="preserve"> REF _Ref49456080 \n \h </w:instrText>
      </w:r>
      <w:r w:rsidR="003C423F" w:rsidRPr="00A52AB8">
        <w:rPr>
          <w:color w:val="000000" w:themeColor="text1"/>
        </w:rPr>
        <w:instrText xml:space="preserve"> \* MERGEFORMAT </w:instrText>
      </w:r>
      <w:r w:rsidR="001913F9" w:rsidRPr="00496A4D">
        <w:rPr>
          <w:color w:val="000000" w:themeColor="text1"/>
        </w:rPr>
      </w:r>
      <w:r w:rsidR="001913F9" w:rsidRPr="00496A4D">
        <w:rPr>
          <w:color w:val="000000" w:themeColor="text1"/>
        </w:rPr>
        <w:fldChar w:fldCharType="separate"/>
      </w:r>
      <w:r w:rsidR="00507A67">
        <w:rPr>
          <w:color w:val="000000" w:themeColor="text1"/>
        </w:rPr>
        <w:t>H.12.7.2</w:t>
      </w:r>
      <w:r w:rsidR="001913F9" w:rsidRPr="00496A4D">
        <w:rPr>
          <w:color w:val="000000" w:themeColor="text1"/>
        </w:rPr>
        <w:fldChar w:fldCharType="end"/>
      </w:r>
      <w:r w:rsidR="00BF0E5F" w:rsidRPr="00A52AB8">
        <w:rPr>
          <w:color w:val="000000" w:themeColor="text1"/>
        </w:rPr>
        <w:t xml:space="preserve"> </w:t>
      </w:r>
      <w:r w:rsidRPr="00A52AB8">
        <w:rPr>
          <w:color w:val="000000" w:themeColor="text1"/>
        </w:rPr>
        <w:t>is invoked with attrGridSize, numBoundaryCells, recPcGeo, centroid, cellAnchor, idxArr, and cellCnt and the outputs are attrCentroid, a filtered version of the current reconstructed attribute value for attribute with index attrIdx.</w:t>
      </w:r>
    </w:p>
    <w:p w14:paraId="6C9DB5C8" w14:textId="77777777" w:rsidR="00F51A0E" w:rsidRPr="00A52AB8" w:rsidRDefault="00F51A0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The following applies:</w:t>
      </w:r>
    </w:p>
    <w:p w14:paraId="7F2F285A" w14:textId="07540221" w:rsidR="001913F9" w:rsidRPr="00A52AB8" w:rsidRDefault="00B9743D" w:rsidP="004A6049">
      <w:pPr>
        <w:rPr>
          <w:color w:val="000000" w:themeColor="text1"/>
        </w:rPr>
      </w:pPr>
      <w:r w:rsidRPr="00A52AB8">
        <w:rPr>
          <w:lang w:eastAsia="ja-JP"/>
        </w:rPr>
        <w:tab/>
      </w:r>
      <w:r w:rsidR="009E52B9" w:rsidRPr="00A52AB8">
        <w:rPr>
          <w:lang w:eastAsia="ja-JP"/>
        </w:rPr>
        <w:tab/>
      </w:r>
      <w:r w:rsidR="00A274AC" w:rsidRPr="00A52AB8">
        <w:rPr>
          <w:lang w:eastAsia="ja-JP"/>
        </w:rPr>
        <w:tab/>
      </w:r>
      <w:r w:rsidR="00F51A0E" w:rsidRPr="00A52AB8">
        <w:rPr>
          <w:lang w:eastAsia="ja-JP"/>
        </w:rPr>
        <w:t>distToCentroid</w:t>
      </w:r>
      <w:r w:rsidR="00D47707" w:rsidRPr="00A52AB8">
        <w:rPr>
          <w:lang w:eastAsia="ja-JP"/>
        </w:rPr>
        <w:t> = </w:t>
      </w:r>
      <w:r w:rsidR="008052C6" w:rsidRPr="00A52AB8">
        <w:rPr>
          <w:lang w:eastAsia="ja-JP"/>
        </w:rPr>
        <w:t>Abs</w:t>
      </w:r>
      <w:r w:rsidR="00F51A0E" w:rsidRPr="00A52AB8">
        <w:rPr>
          <w:lang w:eastAsia="ja-JP"/>
        </w:rPr>
        <w:t>( attrCentroid[ 0 ] – currAttr[ 0 ] )</w:t>
      </w:r>
      <w:r w:rsidR="00F51A0E" w:rsidRPr="00A52AB8">
        <w:rPr>
          <w:lang w:eastAsia="ja-JP"/>
        </w:rPr>
        <w:br/>
      </w:r>
      <w:r w:rsidR="00F51A0E" w:rsidRPr="00A52AB8">
        <w:rPr>
          <w:lang w:eastAsia="ja-JP"/>
        </w:rPr>
        <w:tab/>
      </w:r>
      <w:r w:rsidR="009E52B9" w:rsidRPr="00A52AB8">
        <w:rPr>
          <w:lang w:eastAsia="ja-JP"/>
        </w:rPr>
        <w:tab/>
      </w:r>
      <w:r w:rsidR="00A274AC" w:rsidRPr="00A52AB8">
        <w:rPr>
          <w:lang w:eastAsia="ja-JP"/>
        </w:rPr>
        <w:tab/>
      </w:r>
      <w:r w:rsidR="00D63ACE" w:rsidRPr="00A52AB8">
        <w:rPr>
          <w:lang w:eastAsia="ja-JP"/>
        </w:rPr>
        <w:t>if(</w:t>
      </w:r>
      <w:r w:rsidR="00F51A0E" w:rsidRPr="00A52AB8">
        <w:rPr>
          <w:lang w:eastAsia="ja-JP"/>
        </w:rPr>
        <w:t> distToCentroid &gt; </w:t>
      </w:r>
      <w:r w:rsidR="00435492" w:rsidRPr="00A52AB8">
        <w:rPr>
          <w:lang w:eastAsia="ja-JP"/>
        </w:rPr>
        <w:t>attrSmoothingT</w:t>
      </w:r>
      <w:r w:rsidR="00F51A0E" w:rsidRPr="00A52AB8">
        <w:rPr>
          <w:lang w:eastAsia="ja-JP"/>
        </w:rPr>
        <w:t>hreshold )</w:t>
      </w:r>
      <w:r w:rsidR="00F51A0E" w:rsidRPr="00A52AB8">
        <w:rPr>
          <w:lang w:eastAsia="ja-JP"/>
        </w:rPr>
        <w:br/>
      </w:r>
      <w:r w:rsidR="00F51A0E" w:rsidRPr="00A52AB8">
        <w:rPr>
          <w:lang w:eastAsia="ja-JP"/>
        </w:rPr>
        <w:tab/>
      </w:r>
      <w:r w:rsidR="009E52B9" w:rsidRPr="00A52AB8">
        <w:rPr>
          <w:lang w:eastAsia="ja-JP"/>
        </w:rPr>
        <w:tab/>
      </w:r>
      <w:r w:rsidR="00A274AC" w:rsidRPr="00A52AB8">
        <w:rPr>
          <w:lang w:eastAsia="ja-JP"/>
        </w:rPr>
        <w:tab/>
      </w:r>
      <w:r w:rsidR="00A274AC" w:rsidRPr="00A52AB8">
        <w:rPr>
          <w:lang w:eastAsia="ja-JP"/>
        </w:rPr>
        <w:tab/>
      </w:r>
      <w:r w:rsidR="00F51A0E" w:rsidRPr="00A52AB8">
        <w:rPr>
          <w:lang w:eastAsia="ja-JP"/>
        </w:rPr>
        <w:t>for( j</w:t>
      </w:r>
      <w:r w:rsidR="00D47707" w:rsidRPr="00A52AB8">
        <w:rPr>
          <w:lang w:eastAsia="ja-JP"/>
        </w:rPr>
        <w:t> = </w:t>
      </w:r>
      <w:r w:rsidR="00F51A0E" w:rsidRPr="00A52AB8">
        <w:rPr>
          <w:lang w:eastAsia="ja-JP"/>
        </w:rPr>
        <w:t>0; j &lt; numComps; j</w:t>
      </w:r>
      <w:r w:rsidR="00006CCF" w:rsidRPr="00A52AB8">
        <w:rPr>
          <w:lang w:eastAsia="ja-JP"/>
        </w:rPr>
        <w:t>++ )</w:t>
      </w:r>
      <w:r w:rsidR="00F51A0E" w:rsidRPr="00A52AB8">
        <w:rPr>
          <w:lang w:eastAsia="ja-JP"/>
        </w:rPr>
        <w:br/>
      </w:r>
      <w:r w:rsidR="00F51A0E" w:rsidRPr="00A52AB8">
        <w:rPr>
          <w:lang w:eastAsia="ja-JP"/>
        </w:rPr>
        <w:tab/>
      </w:r>
      <w:r w:rsidR="009E52B9" w:rsidRPr="00A52AB8">
        <w:rPr>
          <w:lang w:eastAsia="ja-JP"/>
        </w:rPr>
        <w:tab/>
      </w:r>
      <w:r w:rsidR="00F51A0E" w:rsidRPr="00A52AB8">
        <w:rPr>
          <w:lang w:eastAsia="ja-JP"/>
        </w:rPr>
        <w:tab/>
      </w:r>
      <w:r w:rsidR="00A274AC" w:rsidRPr="00A52AB8">
        <w:rPr>
          <w:lang w:eastAsia="ja-JP"/>
        </w:rPr>
        <w:tab/>
      </w:r>
      <w:r w:rsidR="00A274AC" w:rsidRPr="00A52AB8">
        <w:rPr>
          <w:lang w:eastAsia="ja-JP"/>
        </w:rPr>
        <w:tab/>
      </w:r>
      <w:r w:rsidR="00F51A0E" w:rsidRPr="00A52AB8">
        <w:rPr>
          <w:color w:val="000000" w:themeColor="text1"/>
        </w:rPr>
        <w:t>recPcAttrSmoothed[ aIdx ][ n ][ j ]</w:t>
      </w:r>
      <w:r w:rsidR="00D47707" w:rsidRPr="00A52AB8">
        <w:rPr>
          <w:color w:val="000000" w:themeColor="text1"/>
        </w:rPr>
        <w:t> = </w:t>
      </w:r>
      <w:r w:rsidR="00F51A0E" w:rsidRPr="00A52AB8">
        <w:rPr>
          <w:color w:val="000000" w:themeColor="text1"/>
        </w:rPr>
        <w:t>attrCentroid[ j ]</w:t>
      </w:r>
    </w:p>
    <w:p w14:paraId="57996B30" w14:textId="37CEB1FF" w:rsidR="008539C1" w:rsidRPr="00A52AB8" w:rsidRDefault="008539C1" w:rsidP="008F2A42">
      <w:pPr>
        <w:ind w:left="403"/>
        <w:rPr>
          <w:color w:val="000000" w:themeColor="text1"/>
          <w:sz w:val="24"/>
        </w:rPr>
      </w:pPr>
      <w:r w:rsidRPr="00A52AB8">
        <w:rPr>
          <w:color w:val="000000" w:themeColor="text1"/>
        </w:rPr>
        <w:t>}</w:t>
      </w:r>
    </w:p>
    <w:p w14:paraId="174B3581" w14:textId="24A0A3B0" w:rsidR="00461789" w:rsidRPr="00A52AB8" w:rsidRDefault="0048119C" w:rsidP="00895494">
      <w:pPr>
        <w:pStyle w:val="a3"/>
        <w:numPr>
          <w:ilvl w:val="2"/>
          <w:numId w:val="14"/>
        </w:numPr>
      </w:pPr>
      <w:r w:rsidRPr="00A52AB8">
        <w:rPr>
          <w:color w:val="000000" w:themeColor="text1"/>
        </w:rPr>
        <w:tab/>
      </w:r>
      <w:bookmarkStart w:id="6965" w:name="_Toc47685994"/>
      <w:bookmarkStart w:id="6966" w:name="_Ref44436009"/>
      <w:bookmarkStart w:id="6967" w:name="_Toc52181801"/>
      <w:bookmarkEnd w:id="6965"/>
      <w:r w:rsidR="006D74F2" w:rsidRPr="00A52AB8">
        <w:t xml:space="preserve">Identification of the </w:t>
      </w:r>
      <w:r w:rsidR="00853262" w:rsidRPr="00A52AB8">
        <w:t xml:space="preserve">geometry and attribute </w:t>
      </w:r>
      <w:r w:rsidR="006D74F2" w:rsidRPr="00A52AB8">
        <w:t>center grid</w:t>
      </w:r>
      <w:bookmarkEnd w:id="6966"/>
      <w:r w:rsidR="00853262" w:rsidRPr="00A52AB8">
        <w:t>s</w:t>
      </w:r>
      <w:bookmarkEnd w:id="6967"/>
    </w:p>
    <w:p w14:paraId="3B5064EA" w14:textId="6B78CEA8" w:rsidR="006D74F2" w:rsidRPr="00A52AB8" w:rsidRDefault="006D74F2" w:rsidP="00895494">
      <w:pPr>
        <w:pStyle w:val="a4"/>
        <w:numPr>
          <w:ilvl w:val="3"/>
          <w:numId w:val="19"/>
        </w:numPr>
      </w:pPr>
      <w:bookmarkStart w:id="6968" w:name="_Ref39817628"/>
      <w:r w:rsidRPr="00A52AB8">
        <w:t>Identification of the geometry center grid</w:t>
      </w:r>
      <w:bookmarkEnd w:id="6968"/>
    </w:p>
    <w:p w14:paraId="50FF4FB9" w14:textId="2E0E9BBD" w:rsidR="00AE40FE" w:rsidRPr="00A52AB8" w:rsidRDefault="00AE40FE" w:rsidP="00007BE2">
      <w:pPr>
        <w:tabs>
          <w:tab w:val="left" w:pos="1800"/>
        </w:tabs>
        <w:rPr>
          <w:color w:val="000000" w:themeColor="text1"/>
        </w:rPr>
      </w:pPr>
      <w:r w:rsidRPr="00A52AB8">
        <w:rPr>
          <w:color w:val="000000" w:themeColor="text1"/>
        </w:rPr>
        <w:t>This process divides the 3D poi</w:t>
      </w:r>
      <w:r w:rsidR="00C53937" w:rsidRPr="00A52AB8">
        <w:rPr>
          <w:color w:val="000000" w:themeColor="text1"/>
        </w:rPr>
        <w:t>nt cloud space into cells of uniform size and identifies cells containing boundary points and cells which are adjacent to such cells.</w:t>
      </w:r>
    </w:p>
    <w:p w14:paraId="163C30B0" w14:textId="04B28E07" w:rsidR="006D74F2" w:rsidRPr="00A52AB8" w:rsidRDefault="006D74F2" w:rsidP="00007BE2">
      <w:pPr>
        <w:tabs>
          <w:tab w:val="left" w:pos="1800"/>
        </w:tabs>
        <w:rPr>
          <w:color w:val="000000" w:themeColor="text1"/>
        </w:rPr>
      </w:pPr>
      <w:r w:rsidRPr="00A52AB8">
        <w:rPr>
          <w:color w:val="000000" w:themeColor="text1"/>
        </w:rPr>
        <w:t>Inputs to this process are:</w:t>
      </w:r>
    </w:p>
    <w:p w14:paraId="3D6437F0" w14:textId="77777777" w:rsidR="0050235C" w:rsidRPr="00A52AB8" w:rsidRDefault="00551E1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geoG</w:t>
      </w:r>
      <w:r w:rsidR="006D74F2" w:rsidRPr="00A52AB8">
        <w:rPr>
          <w:color w:val="000000" w:themeColor="text1"/>
        </w:rPr>
        <w:t>ridSize, indicating the geometry smoothing grid size,</w:t>
      </w:r>
    </w:p>
    <w:p w14:paraId="7C72ECEA" w14:textId="79D00BDE" w:rsidR="006D74F2" w:rsidRPr="00A52AB8"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pointCnt, the number of points in the current reconstructed point cloud frame,</w:t>
      </w:r>
    </w:p>
    <w:p w14:paraId="5FF7C784" w14:textId="3CE26F6D" w:rsidR="006D74F2" w:rsidRPr="00A52AB8"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isBoundaryPoint[ n ], n</w:t>
      </w:r>
      <w:r w:rsidR="00D47707" w:rsidRPr="00A52AB8">
        <w:rPr>
          <w:color w:val="000000" w:themeColor="text1"/>
        </w:rPr>
        <w:t> = </w:t>
      </w:r>
      <w:r w:rsidRPr="00A52AB8">
        <w:rPr>
          <w:color w:val="000000" w:themeColor="text1"/>
        </w:rPr>
        <w:t>0..pointCnt – 1, indicating whether the n-th reconstructed point lies on or near a patch boundary,</w:t>
      </w:r>
    </w:p>
    <w:p w14:paraId="3FADEC31" w14:textId="116B7706" w:rsidR="006D74F2" w:rsidRPr="00A52AB8"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recPcGeo[ </w:t>
      </w:r>
      <w:r w:rsidR="00ED0152" w:rsidRPr="00A52AB8">
        <w:rPr>
          <w:color w:val="000000" w:themeColor="text1"/>
        </w:rPr>
        <w:t>n</w:t>
      </w:r>
      <w:r w:rsidRPr="00A52AB8">
        <w:rPr>
          <w:color w:val="000000" w:themeColor="text1"/>
        </w:rPr>
        <w:t> ]</w:t>
      </w:r>
      <w:r w:rsidR="004B7314" w:rsidRPr="00A52AB8">
        <w:rPr>
          <w:color w:val="000000" w:themeColor="text1"/>
        </w:rPr>
        <w:t>[ k ]</w:t>
      </w:r>
      <w:r w:rsidRPr="00A52AB8">
        <w:rPr>
          <w:color w:val="000000" w:themeColor="text1"/>
        </w:rPr>
        <w:t>, i</w:t>
      </w:r>
      <w:r w:rsidR="00D47707" w:rsidRPr="00A52AB8">
        <w:rPr>
          <w:color w:val="000000" w:themeColor="text1"/>
        </w:rPr>
        <w:t> = </w:t>
      </w:r>
      <w:r w:rsidRPr="00A52AB8">
        <w:rPr>
          <w:color w:val="000000" w:themeColor="text1"/>
        </w:rPr>
        <w:t>0..pointCnt – 1, k</w:t>
      </w:r>
      <w:r w:rsidR="00D47707" w:rsidRPr="00A52AB8">
        <w:rPr>
          <w:color w:val="000000" w:themeColor="text1"/>
        </w:rPr>
        <w:t> = </w:t>
      </w:r>
      <w:r w:rsidRPr="00A52AB8">
        <w:rPr>
          <w:color w:val="000000" w:themeColor="text1"/>
        </w:rPr>
        <w:t>0..2, an array containing the reconstructed point positions</w:t>
      </w:r>
      <w:r w:rsidR="00F77FEB" w:rsidRPr="00A52AB8">
        <w:rPr>
          <w:color w:val="000000" w:themeColor="text1"/>
        </w:rPr>
        <w:t xml:space="preserve"> for the current point cloud frame</w:t>
      </w:r>
      <w:r w:rsidRPr="00A52AB8">
        <w:rPr>
          <w:color w:val="000000" w:themeColor="text1"/>
        </w:rPr>
        <w:t>, and</w:t>
      </w:r>
    </w:p>
    <w:p w14:paraId="0E4AFA75" w14:textId="62C1CC1D" w:rsidR="006D74F2" w:rsidRPr="00A52AB8"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pointToPatch[ n ], n</w:t>
      </w:r>
      <w:r w:rsidR="00D47707" w:rsidRPr="00A52AB8">
        <w:rPr>
          <w:color w:val="000000" w:themeColor="text1"/>
        </w:rPr>
        <w:t> = </w:t>
      </w:r>
      <w:r w:rsidRPr="00A52AB8">
        <w:rPr>
          <w:color w:val="000000" w:themeColor="text1"/>
        </w:rPr>
        <w:t>0..pointCnt – 1, an array containing the index of the patch that the n-th reconstructed point, recPcGeo[ n ], belongs to.</w:t>
      </w:r>
    </w:p>
    <w:p w14:paraId="6D770822" w14:textId="42D741CA" w:rsidR="006D74F2" w:rsidRPr="00A52AB8" w:rsidRDefault="006D74F2" w:rsidP="00007BE2">
      <w:pPr>
        <w:tabs>
          <w:tab w:val="left" w:pos="1800"/>
        </w:tabs>
        <w:rPr>
          <w:color w:val="000000" w:themeColor="text1"/>
        </w:rPr>
      </w:pPr>
      <w:r w:rsidRPr="00A52AB8">
        <w:rPr>
          <w:color w:val="000000" w:themeColor="text1"/>
        </w:rPr>
        <w:t>Output</w:t>
      </w:r>
      <w:r w:rsidR="00060230" w:rsidRPr="00A52AB8">
        <w:rPr>
          <w:color w:val="000000" w:themeColor="text1"/>
        </w:rPr>
        <w:t>s</w:t>
      </w:r>
      <w:r w:rsidRPr="00A52AB8">
        <w:rPr>
          <w:color w:val="000000" w:themeColor="text1"/>
        </w:rPr>
        <w:t xml:space="preserve"> of this process are:</w:t>
      </w:r>
    </w:p>
    <w:p w14:paraId="0A7FF1F2" w14:textId="77777777" w:rsidR="006D74F2" w:rsidRPr="00A52AB8" w:rsidRDefault="00551E1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n</w:t>
      </w:r>
      <w:r w:rsidR="006D74F2" w:rsidRPr="00A52AB8">
        <w:rPr>
          <w:color w:val="000000" w:themeColor="text1"/>
        </w:rPr>
        <w:t>umCells1D, the number of cells in x, y, or z direction,</w:t>
      </w:r>
    </w:p>
    <w:p w14:paraId="69719279" w14:textId="69216E81" w:rsidR="006D74F2" w:rsidRPr="00A52AB8"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numBoundaryCells, the number of </w:t>
      </w:r>
      <w:r w:rsidR="00F77FEB" w:rsidRPr="00A52AB8">
        <w:rPr>
          <w:color w:val="000000" w:themeColor="text1"/>
        </w:rPr>
        <w:t xml:space="preserve">geometry smoothing grid </w:t>
      </w:r>
      <w:r w:rsidRPr="00A52AB8">
        <w:rPr>
          <w:color w:val="000000" w:themeColor="text1"/>
        </w:rPr>
        <w:t xml:space="preserve">cells containing a boundary point or </w:t>
      </w:r>
      <w:r w:rsidR="0096791E" w:rsidRPr="00A52AB8">
        <w:rPr>
          <w:color w:val="000000" w:themeColor="text1"/>
        </w:rPr>
        <w:t xml:space="preserve">belonging to a 2 × 2 × 2 </w:t>
      </w:r>
      <w:r w:rsidR="006B0BA3" w:rsidRPr="00A52AB8">
        <w:rPr>
          <w:color w:val="000000" w:themeColor="text1"/>
        </w:rPr>
        <w:t>neighbour</w:t>
      </w:r>
      <w:r w:rsidR="0096791E" w:rsidRPr="00A52AB8">
        <w:rPr>
          <w:color w:val="000000" w:themeColor="text1"/>
        </w:rPr>
        <w:t>hood of the</w:t>
      </w:r>
      <w:r w:rsidRPr="00A52AB8">
        <w:rPr>
          <w:color w:val="000000" w:themeColor="text1"/>
        </w:rPr>
        <w:t xml:space="preserve"> cell</w:t>
      </w:r>
      <w:r w:rsidR="0096791E" w:rsidRPr="00A52AB8">
        <w:rPr>
          <w:color w:val="000000" w:themeColor="text1"/>
        </w:rPr>
        <w:t>s containing boundary points</w:t>
      </w:r>
      <w:r w:rsidRPr="00A52AB8">
        <w:rPr>
          <w:color w:val="000000" w:themeColor="text1"/>
        </w:rPr>
        <w:t>,</w:t>
      </w:r>
    </w:p>
    <w:p w14:paraId="450D29B0" w14:textId="77777777" w:rsidR="006D74F2" w:rsidRPr="00A52AB8"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cellIdxLut</w:t>
      </w:r>
      <w:r w:rsidR="004B7314" w:rsidRPr="00A52AB8">
        <w:rPr>
          <w:color w:val="000000" w:themeColor="text1"/>
        </w:rPr>
        <w:t>[ x ][ y ]</w:t>
      </w:r>
      <w:r w:rsidRPr="00A52AB8">
        <w:rPr>
          <w:color w:val="000000" w:themeColor="text1"/>
        </w:rPr>
        <w:t>[ z ], for x, y, and z in the range of 0 to numCells1D − 1, inclusive, an array mapping a 3D cell index to a 1D index in the range of 0..numBoundaryCells – 1,</w:t>
      </w:r>
    </w:p>
    <w:p w14:paraId="250516D6" w14:textId="5001653E" w:rsidR="006D74F2" w:rsidRPr="00A52AB8"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centerGrid[ i ]</w:t>
      </w:r>
      <w:r w:rsidR="004B7314" w:rsidRPr="00A52AB8">
        <w:rPr>
          <w:color w:val="000000" w:themeColor="text1"/>
        </w:rPr>
        <w:t>[ k ]</w:t>
      </w:r>
      <w:r w:rsidRPr="00A52AB8">
        <w:rPr>
          <w:color w:val="000000" w:themeColor="text1"/>
        </w:rPr>
        <w:t>, i</w:t>
      </w:r>
      <w:r w:rsidR="00D47707" w:rsidRPr="00A52AB8">
        <w:rPr>
          <w:color w:val="000000" w:themeColor="text1"/>
        </w:rPr>
        <w:t> = </w:t>
      </w:r>
      <w:r w:rsidRPr="00A52AB8">
        <w:rPr>
          <w:color w:val="000000" w:themeColor="text1"/>
        </w:rPr>
        <w:t>0..numBoundaryCells – 1 and k</w:t>
      </w:r>
      <w:r w:rsidR="00D47707" w:rsidRPr="00A52AB8">
        <w:rPr>
          <w:color w:val="000000" w:themeColor="text1"/>
        </w:rPr>
        <w:t> = </w:t>
      </w:r>
      <w:r w:rsidRPr="00A52AB8">
        <w:rPr>
          <w:color w:val="000000" w:themeColor="text1"/>
        </w:rPr>
        <w:t>0..2, an array containing reconstructed geometry center grid positions,</w:t>
      </w:r>
    </w:p>
    <w:p w14:paraId="4F49D7AC" w14:textId="72829BC9" w:rsidR="006D74F2" w:rsidRPr="00A52AB8"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cellCnt[ </w:t>
      </w:r>
      <w:r w:rsidR="00F77FEB" w:rsidRPr="00A52AB8">
        <w:rPr>
          <w:color w:val="000000" w:themeColor="text1"/>
        </w:rPr>
        <w:t>i </w:t>
      </w:r>
      <w:r w:rsidRPr="00A52AB8">
        <w:rPr>
          <w:color w:val="000000" w:themeColor="text1"/>
        </w:rPr>
        <w:t xml:space="preserve">], </w:t>
      </w:r>
      <w:r w:rsidR="00F77FEB" w:rsidRPr="00A52AB8">
        <w:rPr>
          <w:color w:val="000000" w:themeColor="text1"/>
        </w:rPr>
        <w:t>i</w:t>
      </w:r>
      <w:r w:rsidR="00D47707" w:rsidRPr="00A52AB8">
        <w:rPr>
          <w:color w:val="000000" w:themeColor="text1"/>
        </w:rPr>
        <w:t> = </w:t>
      </w:r>
      <w:r w:rsidRPr="00A52AB8">
        <w:rPr>
          <w:color w:val="000000" w:themeColor="text1"/>
        </w:rPr>
        <w:t xml:space="preserve">0..numBoundaryCells – 1, an array containing number of reconstructed points in </w:t>
      </w:r>
      <w:r w:rsidR="00602D58" w:rsidRPr="00A52AB8">
        <w:rPr>
          <w:color w:val="000000" w:themeColor="text1"/>
        </w:rPr>
        <w:t xml:space="preserve">each </w:t>
      </w:r>
      <w:r w:rsidRPr="00A52AB8">
        <w:rPr>
          <w:color w:val="000000" w:themeColor="text1"/>
        </w:rPr>
        <w:t>cell, and</w:t>
      </w:r>
    </w:p>
    <w:p w14:paraId="5EE3C9B5" w14:textId="5993BB0B" w:rsidR="006D74F2" w:rsidRPr="00A52AB8"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cellDoSmoothing[ </w:t>
      </w:r>
      <w:r w:rsidR="00F77FEB" w:rsidRPr="00A52AB8">
        <w:rPr>
          <w:color w:val="000000" w:themeColor="text1"/>
        </w:rPr>
        <w:t>i </w:t>
      </w:r>
      <w:r w:rsidRPr="00A52AB8">
        <w:rPr>
          <w:color w:val="000000" w:themeColor="text1"/>
        </w:rPr>
        <w:t xml:space="preserve">], </w:t>
      </w:r>
      <w:r w:rsidR="00F77FEB" w:rsidRPr="00A52AB8">
        <w:rPr>
          <w:color w:val="000000" w:themeColor="text1"/>
        </w:rPr>
        <w:t>i</w:t>
      </w:r>
      <w:r w:rsidR="00D47707" w:rsidRPr="00A52AB8">
        <w:rPr>
          <w:color w:val="000000" w:themeColor="text1"/>
        </w:rPr>
        <w:t> = </w:t>
      </w:r>
      <w:r w:rsidRPr="00A52AB8">
        <w:rPr>
          <w:color w:val="000000" w:themeColor="text1"/>
        </w:rPr>
        <w:t>0..numBoundaryCells – 1, a boolean array indicating whether smoothing should be performed for a cell.</w:t>
      </w:r>
    </w:p>
    <w:p w14:paraId="63BE17FE" w14:textId="77777777" w:rsidR="006D74F2" w:rsidRPr="00A52AB8" w:rsidRDefault="006D74F2" w:rsidP="00007BE2">
      <w:pPr>
        <w:tabs>
          <w:tab w:val="left" w:pos="1800"/>
        </w:tabs>
        <w:rPr>
          <w:color w:val="000000" w:themeColor="text1"/>
        </w:rPr>
      </w:pPr>
      <w:r w:rsidRPr="00A52AB8">
        <w:rPr>
          <w:color w:val="000000" w:themeColor="text1"/>
        </w:rPr>
        <w:t>The following applies:</w:t>
      </w:r>
    </w:p>
    <w:p w14:paraId="0B062706" w14:textId="21E58D1A" w:rsidR="00471126" w:rsidRPr="00A52AB8" w:rsidRDefault="00744D39"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Subclause</w:t>
      </w:r>
      <w:r w:rsidR="007E002B" w:rsidRPr="00A52AB8">
        <w:rPr>
          <w:color w:val="000000" w:themeColor="text1"/>
        </w:rPr>
        <w:t xml:space="preserve"> </w:t>
      </w:r>
      <w:r w:rsidR="00600D56" w:rsidRPr="00496A4D">
        <w:rPr>
          <w:color w:val="000000" w:themeColor="text1"/>
        </w:rPr>
        <w:fldChar w:fldCharType="begin"/>
      </w:r>
      <w:r w:rsidR="00600D56" w:rsidRPr="00A52AB8">
        <w:rPr>
          <w:color w:val="000000" w:themeColor="text1"/>
        </w:rPr>
        <w:instrText xml:space="preserve"> REF _Ref46865554 \w \h </w:instrText>
      </w:r>
      <w:r w:rsidR="006371AA" w:rsidRPr="00A52AB8">
        <w:rPr>
          <w:color w:val="000000" w:themeColor="text1"/>
        </w:rPr>
        <w:instrText xml:space="preserve"> \* MERGEFORMAT </w:instrText>
      </w:r>
      <w:r w:rsidR="00600D56" w:rsidRPr="00496A4D">
        <w:rPr>
          <w:color w:val="000000" w:themeColor="text1"/>
        </w:rPr>
      </w:r>
      <w:r w:rsidR="00600D56" w:rsidRPr="00496A4D">
        <w:rPr>
          <w:color w:val="000000" w:themeColor="text1"/>
        </w:rPr>
        <w:fldChar w:fldCharType="separate"/>
      </w:r>
      <w:r w:rsidR="00507A67">
        <w:rPr>
          <w:color w:val="000000" w:themeColor="text1"/>
        </w:rPr>
        <w:t>H.12.4.3</w:t>
      </w:r>
      <w:r w:rsidR="00600D56" w:rsidRPr="00496A4D">
        <w:rPr>
          <w:color w:val="000000" w:themeColor="text1"/>
        </w:rPr>
        <w:fldChar w:fldCharType="end"/>
      </w:r>
      <w:r w:rsidR="00600D56" w:rsidRPr="00A52AB8">
        <w:rPr>
          <w:color w:val="000000" w:themeColor="text1"/>
        </w:rPr>
        <w:t xml:space="preserve"> </w:t>
      </w:r>
      <w:r w:rsidR="006D74F2" w:rsidRPr="00A52AB8">
        <w:rPr>
          <w:color w:val="000000" w:themeColor="text1"/>
        </w:rPr>
        <w:t xml:space="preserve">is invoked with </w:t>
      </w:r>
      <w:r w:rsidR="00B9743D" w:rsidRPr="00A52AB8">
        <w:rPr>
          <w:color w:val="000000" w:themeColor="text1"/>
        </w:rPr>
        <w:t xml:space="preserve">variables </w:t>
      </w:r>
      <w:r w:rsidR="00551E12" w:rsidRPr="00A52AB8">
        <w:rPr>
          <w:color w:val="000000" w:themeColor="text1"/>
        </w:rPr>
        <w:t>geoG</w:t>
      </w:r>
      <w:r w:rsidR="006D74F2" w:rsidRPr="00A52AB8">
        <w:rPr>
          <w:color w:val="000000" w:themeColor="text1"/>
        </w:rPr>
        <w:t>ridSize</w:t>
      </w:r>
      <w:r w:rsidR="00137FB4" w:rsidRPr="00A52AB8">
        <w:rPr>
          <w:color w:val="000000" w:themeColor="text1"/>
        </w:rPr>
        <w:t xml:space="preserve"> and</w:t>
      </w:r>
      <w:r w:rsidR="006D74F2" w:rsidRPr="00A52AB8">
        <w:rPr>
          <w:color w:val="000000" w:themeColor="text1"/>
        </w:rPr>
        <w:t xml:space="preserve"> pointCnt, </w:t>
      </w:r>
      <w:r w:rsidR="00B9743D" w:rsidRPr="00A52AB8">
        <w:rPr>
          <w:color w:val="000000" w:themeColor="text1"/>
        </w:rPr>
        <w:t xml:space="preserve">and arrays </w:t>
      </w:r>
      <w:r w:rsidR="006D74F2" w:rsidRPr="00A52AB8">
        <w:rPr>
          <w:color w:val="000000" w:themeColor="text1"/>
        </w:rPr>
        <w:t>isBoundaryPoint</w:t>
      </w:r>
      <w:r w:rsidR="004A1ABE" w:rsidRPr="00A52AB8">
        <w:rPr>
          <w:color w:val="000000" w:themeColor="text1"/>
        </w:rPr>
        <w:t xml:space="preserve"> </w:t>
      </w:r>
      <w:r w:rsidR="006D74F2" w:rsidRPr="00A52AB8">
        <w:rPr>
          <w:color w:val="000000" w:themeColor="text1"/>
        </w:rPr>
        <w:t xml:space="preserve">and recPcGeo as inputs and the outputs are </w:t>
      </w:r>
      <w:r w:rsidR="00600D56" w:rsidRPr="00A52AB8">
        <w:rPr>
          <w:color w:val="000000" w:themeColor="text1"/>
        </w:rPr>
        <w:t xml:space="preserve">variables </w:t>
      </w:r>
      <w:r w:rsidR="00C91285" w:rsidRPr="00A52AB8">
        <w:rPr>
          <w:color w:val="000000" w:themeColor="text1"/>
        </w:rPr>
        <w:t>numCells1D</w:t>
      </w:r>
      <w:r w:rsidR="005D044B" w:rsidRPr="00A52AB8">
        <w:rPr>
          <w:color w:val="000000" w:themeColor="text1"/>
        </w:rPr>
        <w:t xml:space="preserve"> and</w:t>
      </w:r>
      <w:r w:rsidR="00C91285" w:rsidRPr="00A52AB8">
        <w:rPr>
          <w:color w:val="000000" w:themeColor="text1"/>
        </w:rPr>
        <w:t xml:space="preserve"> </w:t>
      </w:r>
      <w:r w:rsidR="00600D56" w:rsidRPr="00A52AB8">
        <w:rPr>
          <w:color w:val="000000" w:themeColor="text1"/>
        </w:rPr>
        <w:t>numBoundaryCells</w:t>
      </w:r>
      <w:r w:rsidR="005D044B" w:rsidRPr="00A52AB8">
        <w:rPr>
          <w:color w:val="000000" w:themeColor="text1"/>
        </w:rPr>
        <w:t>,</w:t>
      </w:r>
      <w:r w:rsidR="00600D56" w:rsidRPr="00A52AB8">
        <w:rPr>
          <w:color w:val="000000" w:themeColor="text1"/>
        </w:rPr>
        <w:t xml:space="preserve"> and </w:t>
      </w:r>
      <w:r w:rsidR="006D74F2" w:rsidRPr="00A52AB8">
        <w:rPr>
          <w:color w:val="000000" w:themeColor="text1"/>
        </w:rPr>
        <w:t>an array</w:t>
      </w:r>
      <w:r w:rsidR="00551E12" w:rsidRPr="00A52AB8">
        <w:rPr>
          <w:color w:val="000000" w:themeColor="text1"/>
        </w:rPr>
        <w:t xml:space="preserve"> c</w:t>
      </w:r>
      <w:r w:rsidR="006D74F2" w:rsidRPr="00A52AB8">
        <w:rPr>
          <w:color w:val="000000" w:themeColor="text1"/>
        </w:rPr>
        <w:t>ellIdxLut.</w:t>
      </w:r>
    </w:p>
    <w:p w14:paraId="67F92F62" w14:textId="08F3B711" w:rsidR="00471126" w:rsidRPr="00A52AB8" w:rsidRDefault="006D74F2" w:rsidP="00471126">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pPr>
      <w:r w:rsidRPr="00A52AB8">
        <w:t>The arrays cellDoSmoothing, cellCnt, cellPatchIdx,</w:t>
      </w:r>
      <w:r w:rsidR="00471126" w:rsidRPr="00A52AB8">
        <w:t xml:space="preserve"> </w:t>
      </w:r>
      <w:r w:rsidRPr="00A52AB8">
        <w:t>centerGrid</w:t>
      </w:r>
      <w:r w:rsidR="00471126" w:rsidRPr="00A52AB8">
        <w:t>, and</w:t>
      </w:r>
      <w:r w:rsidR="00C91285" w:rsidRPr="00A52AB8">
        <w:t xml:space="preserve"> cellPatchIdx</w:t>
      </w:r>
      <w:r w:rsidR="00471126" w:rsidRPr="00A52AB8">
        <w:t xml:space="preserve"> are</w:t>
      </w:r>
      <w:r w:rsidR="00C91285" w:rsidRPr="00A52AB8">
        <w:t xml:space="preserve"> initialized </w:t>
      </w:r>
      <w:r w:rsidR="00471126" w:rsidRPr="00A52AB8">
        <w:t>as follows:</w:t>
      </w:r>
    </w:p>
    <w:p w14:paraId="0AA21F34" w14:textId="0A99A8E9" w:rsidR="00471126" w:rsidRPr="00A52AB8" w:rsidRDefault="00471126" w:rsidP="008F2A42">
      <w:pPr>
        <w:pStyle w:val="ListParagraph"/>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textAlignment w:val="baseline"/>
      </w:pPr>
      <w:r w:rsidRPr="00A52AB8">
        <w:t>for( i</w:t>
      </w:r>
      <w:r w:rsidR="00D47707" w:rsidRPr="00A52AB8">
        <w:t> = </w:t>
      </w:r>
      <w:r w:rsidRPr="00A52AB8">
        <w:t>0; i &lt; numBoundaryCells; i ++ </w:t>
      </w:r>
      <w:r w:rsidR="008F1F82" w:rsidRPr="00A52AB8">
        <w:t>) {</w:t>
      </w:r>
      <w:r w:rsidRPr="00A52AB8">
        <w:br/>
      </w:r>
      <w:r w:rsidRPr="00A52AB8">
        <w:tab/>
        <w:t>cellDoSmoothing[ i ]</w:t>
      </w:r>
      <w:r w:rsidR="00D47707" w:rsidRPr="00A52AB8">
        <w:t> = </w:t>
      </w:r>
      <w:r w:rsidRPr="00A52AB8">
        <w:t>0</w:t>
      </w:r>
      <w:r w:rsidRPr="00A52AB8">
        <w:br/>
      </w:r>
      <w:r w:rsidRPr="00A52AB8">
        <w:tab/>
        <w:t>cellCnt[ i ]</w:t>
      </w:r>
      <w:r w:rsidR="00D47707" w:rsidRPr="00A52AB8">
        <w:t> = </w:t>
      </w:r>
      <w:r w:rsidRPr="00A52AB8">
        <w:t>0</w:t>
      </w:r>
      <w:r w:rsidRPr="00A52AB8">
        <w:br/>
      </w:r>
      <w:r w:rsidRPr="00A52AB8">
        <w:tab/>
        <w:t>cellPatchIdx[ i ]</w:t>
      </w:r>
      <w:r w:rsidR="00D47707" w:rsidRPr="00A52AB8">
        <w:t> = </w:t>
      </w:r>
      <w:r w:rsidRPr="00A52AB8">
        <w:t>0</w:t>
      </w:r>
      <w:r w:rsidRPr="00A52AB8">
        <w:br/>
      </w:r>
      <w:r w:rsidRPr="00A52AB8">
        <w:tab/>
        <w:t>centerGrid[ i ][ 0 ]</w:t>
      </w:r>
      <w:r w:rsidR="00D47707" w:rsidRPr="00A52AB8">
        <w:t> = </w:t>
      </w:r>
      <w:r w:rsidRPr="00A52AB8">
        <w:t>0</w:t>
      </w:r>
      <w:r w:rsidRPr="00A52AB8">
        <w:br/>
      </w:r>
      <w:r w:rsidRPr="00A52AB8">
        <w:tab/>
        <w:t>centerGrid[ i ][ 1 ]</w:t>
      </w:r>
      <w:r w:rsidR="00D47707" w:rsidRPr="00A52AB8">
        <w:t> = </w:t>
      </w:r>
      <w:r w:rsidRPr="00A52AB8">
        <w:t>0</w:t>
      </w:r>
      <w:r w:rsidRPr="00A52AB8">
        <w:br/>
      </w:r>
      <w:r w:rsidRPr="00A52AB8">
        <w:tab/>
        <w:t>cellPatchIdx[ i ]</w:t>
      </w:r>
      <w:r w:rsidR="00D47707" w:rsidRPr="00A52AB8">
        <w:t> = </w:t>
      </w:r>
      <w:r w:rsidRPr="00A52AB8">
        <w:t>−1</w:t>
      </w:r>
      <w:r w:rsidRPr="00A52AB8">
        <w:br/>
        <w:t>}</w:t>
      </w:r>
    </w:p>
    <w:p w14:paraId="0D20294F" w14:textId="43F19616" w:rsidR="006D74F2" w:rsidRPr="00A52AB8"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For n</w:t>
      </w:r>
      <w:r w:rsidR="00D47707" w:rsidRPr="00A52AB8">
        <w:rPr>
          <w:color w:val="000000" w:themeColor="text1"/>
        </w:rPr>
        <w:t> = </w:t>
      </w:r>
      <w:r w:rsidRPr="00A52AB8">
        <w:rPr>
          <w:color w:val="000000" w:themeColor="text1"/>
        </w:rPr>
        <w:t>0..pointCnt – 1, the following applies:</w:t>
      </w:r>
    </w:p>
    <w:p w14:paraId="25DD82E2" w14:textId="77777777" w:rsidR="006D74F2" w:rsidRPr="00A52AB8"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Variables x, y, z, and cellIndex are derived as follows:</w:t>
      </w:r>
    </w:p>
    <w:p w14:paraId="3DF2E102" w14:textId="035F5E32" w:rsidR="006D74F2" w:rsidRPr="00A52AB8" w:rsidRDefault="006D74F2" w:rsidP="00007BE2">
      <w:pPr>
        <w:tabs>
          <w:tab w:val="left" w:pos="250"/>
        </w:tabs>
        <w:spacing w:before="136" w:after="0"/>
        <w:ind w:left="1208"/>
        <w:jc w:val="left"/>
      </w:pPr>
      <w:r w:rsidRPr="00A52AB8">
        <w:rPr>
          <w:lang w:eastAsia="ja-JP"/>
        </w:rPr>
        <w:t>x</w:t>
      </w:r>
      <w:r w:rsidR="00D47707" w:rsidRPr="00A52AB8">
        <w:t> = </w:t>
      </w:r>
      <w:r w:rsidRPr="00A52AB8">
        <w:t>recPcGeo[ n ]</w:t>
      </w:r>
      <w:r w:rsidR="000B7FBC" w:rsidRPr="00A52AB8">
        <w:t>[ </w:t>
      </w:r>
      <w:r w:rsidR="00D770D3" w:rsidRPr="00A52AB8">
        <w:t>0 ]</w:t>
      </w:r>
      <w:r w:rsidRPr="00A52AB8">
        <w:t> / g</w:t>
      </w:r>
      <w:r w:rsidR="00551E12" w:rsidRPr="00A52AB8">
        <w:t>eoG</w:t>
      </w:r>
      <w:r w:rsidRPr="00A52AB8">
        <w:t>ridSize</w:t>
      </w:r>
      <w:r w:rsidR="00C61E38" w:rsidRPr="00A52AB8">
        <w:br/>
      </w:r>
      <w:r w:rsidRPr="00A52AB8">
        <w:rPr>
          <w:lang w:eastAsia="ja-JP"/>
        </w:rPr>
        <w:t>y</w:t>
      </w:r>
      <w:r w:rsidR="00D47707" w:rsidRPr="00A52AB8">
        <w:t> = </w:t>
      </w:r>
      <w:r w:rsidRPr="00A52AB8">
        <w:t>recPcGeo[ n ][ 1 ] / g</w:t>
      </w:r>
      <w:r w:rsidR="00551E12" w:rsidRPr="00A52AB8">
        <w:t>eoG</w:t>
      </w:r>
      <w:r w:rsidRPr="00A52AB8">
        <w:t>ridSize</w:t>
      </w:r>
      <w:r w:rsidR="00C61E38" w:rsidRPr="00A52AB8">
        <w:br/>
      </w:r>
      <w:r w:rsidRPr="00A52AB8">
        <w:rPr>
          <w:lang w:eastAsia="ja-JP"/>
        </w:rPr>
        <w:t>z</w:t>
      </w:r>
      <w:r w:rsidR="00D47707" w:rsidRPr="00A52AB8">
        <w:t> = </w:t>
      </w:r>
      <w:r w:rsidRPr="00A52AB8">
        <w:t>recPcGeo[ n ][ 2 ] / g</w:t>
      </w:r>
      <w:r w:rsidR="00551E12" w:rsidRPr="00A52AB8">
        <w:t>eoG</w:t>
      </w:r>
      <w:r w:rsidRPr="00A52AB8">
        <w:t>ridSize</w:t>
      </w:r>
      <w:r w:rsidR="00C61E38" w:rsidRPr="00A52AB8">
        <w:br/>
      </w:r>
      <w:r w:rsidRPr="00A52AB8">
        <w:t>cellIndex</w:t>
      </w:r>
      <w:r w:rsidR="00D47707" w:rsidRPr="00A52AB8">
        <w:t> = </w:t>
      </w:r>
      <w:r w:rsidRPr="00A52AB8">
        <w:t>cellIdxLut</w:t>
      </w:r>
      <w:r w:rsidR="004B7314" w:rsidRPr="00A52AB8">
        <w:t>[ x ][ y ]</w:t>
      </w:r>
      <w:r w:rsidR="00C91285" w:rsidRPr="00A52AB8">
        <w:t>[ z]</w:t>
      </w:r>
    </w:p>
    <w:p w14:paraId="29AED974" w14:textId="77777777" w:rsidR="006D74F2" w:rsidRPr="00A52AB8"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If cellIndex is not equal to −1, the following applies:</w:t>
      </w:r>
    </w:p>
    <w:p w14:paraId="33D8F4CF" w14:textId="77777777" w:rsidR="006D74F2" w:rsidRPr="00A52AB8"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1" w:hanging="403"/>
        <w:textAlignment w:val="baseline"/>
        <w:rPr>
          <w:color w:val="000000" w:themeColor="text1"/>
        </w:rPr>
      </w:pPr>
      <w:r w:rsidRPr="00A52AB8">
        <w:rPr>
          <w:color w:val="000000" w:themeColor="text1"/>
        </w:rPr>
        <w:t xml:space="preserve">If cellCnt[ cellIndex ] is equal to 0, cellPatchIdx[ cellIndex ] is set to </w:t>
      </w:r>
      <w:r w:rsidR="00C91285" w:rsidRPr="00A52AB8">
        <w:rPr>
          <w:color w:val="000000" w:themeColor="text1"/>
        </w:rPr>
        <w:t>pointToPatch[ n ]</w:t>
      </w:r>
      <w:r w:rsidRPr="00A52AB8">
        <w:rPr>
          <w:color w:val="000000" w:themeColor="text1"/>
        </w:rPr>
        <w:t>.</w:t>
      </w:r>
    </w:p>
    <w:p w14:paraId="25346F7C" w14:textId="77777777" w:rsidR="006D74F2" w:rsidRPr="00A52AB8"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1" w:hanging="403"/>
        <w:textAlignment w:val="baseline"/>
        <w:rPr>
          <w:color w:val="000000" w:themeColor="text1"/>
        </w:rPr>
      </w:pPr>
      <w:r w:rsidRPr="00A52AB8">
        <w:rPr>
          <w:color w:val="000000" w:themeColor="text1"/>
        </w:rPr>
        <w:t xml:space="preserve">Otherwise, if cellDoSmoothing[ cellIndex ] is </w:t>
      </w:r>
      <w:r w:rsidR="00C91285" w:rsidRPr="00A52AB8">
        <w:rPr>
          <w:color w:val="000000" w:themeColor="text1"/>
        </w:rPr>
        <w:t xml:space="preserve">equal to </w:t>
      </w:r>
      <w:r w:rsidRPr="00A52AB8">
        <w:rPr>
          <w:color w:val="000000" w:themeColor="text1"/>
        </w:rPr>
        <w:t>0 and cellPatchIdx[ cellIndex ] is not equal to</w:t>
      </w:r>
      <w:r w:rsidR="00C91285" w:rsidRPr="00A52AB8">
        <w:rPr>
          <w:color w:val="000000" w:themeColor="text1"/>
        </w:rPr>
        <w:t xml:space="preserve"> pointToPatch[ n ]</w:t>
      </w:r>
      <w:r w:rsidRPr="00A52AB8">
        <w:rPr>
          <w:color w:val="000000" w:themeColor="text1"/>
        </w:rPr>
        <w:t>, cellDoSmoothing[ cellIndex ] is set to 1.</w:t>
      </w:r>
    </w:p>
    <w:p w14:paraId="67A5AA0E" w14:textId="77777777" w:rsidR="006D74F2" w:rsidRPr="00A52AB8"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1" w:hanging="403"/>
        <w:textAlignment w:val="baseline"/>
        <w:rPr>
          <w:color w:val="000000" w:themeColor="text1"/>
        </w:rPr>
      </w:pPr>
      <w:r w:rsidRPr="00A52AB8">
        <w:rPr>
          <w:color w:val="000000" w:themeColor="text1"/>
        </w:rPr>
        <w:t>The following applies:</w:t>
      </w:r>
    </w:p>
    <w:p w14:paraId="5979DC43" w14:textId="4D0471E2" w:rsidR="006D74F2" w:rsidRPr="00A52AB8" w:rsidRDefault="006D74F2" w:rsidP="00007BE2">
      <w:pPr>
        <w:spacing w:before="136" w:after="0"/>
        <w:ind w:left="1610"/>
      </w:pPr>
      <w:r w:rsidRPr="00A52AB8">
        <w:rPr>
          <w:color w:val="000000" w:themeColor="text1"/>
          <w:lang w:eastAsia="ja-JP"/>
        </w:rPr>
        <w:t>for( k</w:t>
      </w:r>
      <w:r w:rsidR="00D47707" w:rsidRPr="00A52AB8">
        <w:rPr>
          <w:color w:val="000000" w:themeColor="text1"/>
          <w:lang w:eastAsia="ja-JP"/>
        </w:rPr>
        <w:t> = </w:t>
      </w:r>
      <w:r w:rsidRPr="00A52AB8">
        <w:rPr>
          <w:color w:val="000000" w:themeColor="text1"/>
          <w:lang w:eastAsia="ja-JP"/>
        </w:rPr>
        <w:t>0; k &lt; </w:t>
      </w:r>
      <w:r w:rsidRPr="00A52AB8">
        <w:rPr>
          <w:lang w:eastAsia="ja-JP"/>
        </w:rPr>
        <w:t>3 ; k</w:t>
      </w:r>
      <w:r w:rsidR="00006CCF" w:rsidRPr="00A52AB8">
        <w:rPr>
          <w:lang w:eastAsia="ja-JP"/>
        </w:rPr>
        <w:t>++ )</w:t>
      </w:r>
      <w:r w:rsidRPr="00A52AB8">
        <w:br/>
      </w:r>
      <w:r w:rsidR="0048032E" w:rsidRPr="00A52AB8">
        <w:tab/>
      </w:r>
      <w:r w:rsidRPr="00A52AB8">
        <w:tab/>
        <w:t>centerGrid[ cellIndex ]</w:t>
      </w:r>
      <w:r w:rsidR="004B7314" w:rsidRPr="00A52AB8">
        <w:t>[ k ]</w:t>
      </w:r>
      <w:r w:rsidRPr="00A52AB8">
        <w:t> </w:t>
      </w:r>
      <w:r w:rsidR="00A234FD" w:rsidRPr="00A52AB8">
        <w:t>+=</w:t>
      </w:r>
      <w:r w:rsidR="00D47707" w:rsidRPr="00A52AB8">
        <w:t> </w:t>
      </w:r>
      <w:r w:rsidRPr="00A52AB8">
        <w:t>recPcGeo[ n ]</w:t>
      </w:r>
      <w:r w:rsidR="004B7314" w:rsidRPr="00A52AB8">
        <w:t>[ k ]</w:t>
      </w:r>
      <w:r w:rsidRPr="00A52AB8">
        <w:br/>
        <w:t>cellCnt[ cellIndex ]++</w:t>
      </w:r>
    </w:p>
    <w:p w14:paraId="3303D5E0" w14:textId="7CA9DBC6" w:rsidR="006D74F2" w:rsidRPr="00A52AB8"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For </w:t>
      </w:r>
      <w:r w:rsidR="00C91285" w:rsidRPr="00A52AB8">
        <w:rPr>
          <w:color w:val="000000" w:themeColor="text1"/>
        </w:rPr>
        <w:t>i</w:t>
      </w:r>
      <w:r w:rsidR="00D47707" w:rsidRPr="00A52AB8">
        <w:rPr>
          <w:color w:val="000000" w:themeColor="text1"/>
        </w:rPr>
        <w:t> = </w:t>
      </w:r>
      <w:r w:rsidRPr="00A52AB8">
        <w:rPr>
          <w:color w:val="000000" w:themeColor="text1"/>
        </w:rPr>
        <w:t>0..numBoundaryCells – 1 the following applies:</w:t>
      </w:r>
    </w:p>
    <w:p w14:paraId="3530BC8E" w14:textId="7D70EA4C" w:rsidR="006D74F2" w:rsidRPr="00A52AB8" w:rsidRDefault="006D74F2" w:rsidP="00007BE2">
      <w:pPr>
        <w:spacing w:before="136" w:after="0"/>
        <w:ind w:left="805"/>
      </w:pPr>
      <w:r w:rsidRPr="00A52AB8">
        <w:rPr>
          <w:lang w:eastAsia="ja-JP"/>
        </w:rPr>
        <w:t>if( cellCnt</w:t>
      </w:r>
      <w:r w:rsidR="000B7FBC" w:rsidRPr="00A52AB8">
        <w:rPr>
          <w:lang w:eastAsia="ja-JP"/>
        </w:rPr>
        <w:t>[ </w:t>
      </w:r>
      <w:r w:rsidR="00C91285" w:rsidRPr="00A52AB8">
        <w:rPr>
          <w:lang w:eastAsia="ja-JP"/>
        </w:rPr>
        <w:t>i </w:t>
      </w:r>
      <w:r w:rsidR="000B7FBC" w:rsidRPr="00A52AB8">
        <w:rPr>
          <w:lang w:eastAsia="ja-JP"/>
        </w:rPr>
        <w:t>]</w:t>
      </w:r>
      <w:r w:rsidRPr="00A52AB8">
        <w:rPr>
          <w:lang w:eastAsia="ja-JP"/>
        </w:rPr>
        <w:t>&gt; 0 )</w:t>
      </w:r>
      <w:r w:rsidRPr="00A52AB8">
        <w:rPr>
          <w:lang w:eastAsia="ja-JP"/>
        </w:rPr>
        <w:br/>
      </w:r>
      <w:r w:rsidRPr="00A52AB8">
        <w:tab/>
      </w:r>
      <w:r w:rsidR="00DE339A" w:rsidRPr="00A52AB8">
        <w:tab/>
      </w:r>
      <w:r w:rsidRPr="00A52AB8">
        <w:rPr>
          <w:lang w:eastAsia="ja-JP"/>
        </w:rPr>
        <w:t>for( k</w:t>
      </w:r>
      <w:r w:rsidR="00D47707" w:rsidRPr="00A52AB8">
        <w:rPr>
          <w:lang w:eastAsia="ja-JP"/>
        </w:rPr>
        <w:t> = </w:t>
      </w:r>
      <w:r w:rsidRPr="00A52AB8">
        <w:rPr>
          <w:lang w:eastAsia="ja-JP"/>
        </w:rPr>
        <w:t>0; k &lt; 3 ; k</w:t>
      </w:r>
      <w:r w:rsidR="00006CCF" w:rsidRPr="00A52AB8">
        <w:rPr>
          <w:lang w:eastAsia="ja-JP"/>
        </w:rPr>
        <w:t>++ )</w:t>
      </w:r>
      <w:r w:rsidRPr="00A52AB8">
        <w:br/>
      </w:r>
      <w:r w:rsidRPr="00A52AB8">
        <w:tab/>
      </w:r>
      <w:r w:rsidRPr="00A52AB8">
        <w:tab/>
      </w:r>
      <w:r w:rsidR="00DE339A" w:rsidRPr="00A52AB8">
        <w:tab/>
      </w:r>
      <w:r w:rsidRPr="00A52AB8">
        <w:t>centerGrid[ </w:t>
      </w:r>
      <w:r w:rsidR="00C91285" w:rsidRPr="00A52AB8">
        <w:t>i </w:t>
      </w:r>
      <w:r w:rsidRPr="00A52AB8">
        <w:t>][ k]</w:t>
      </w:r>
      <w:r w:rsidR="00D47707" w:rsidRPr="00A52AB8">
        <w:t> = </w:t>
      </w:r>
      <w:r w:rsidRPr="00A52AB8">
        <w:t>centerGrid[ </w:t>
      </w:r>
      <w:r w:rsidR="00C91285" w:rsidRPr="00A52AB8">
        <w:t>i </w:t>
      </w:r>
      <w:r w:rsidRPr="00A52AB8">
        <w:t>]</w:t>
      </w:r>
      <w:r w:rsidR="004B7314" w:rsidRPr="00A52AB8">
        <w:t>[ k ]</w:t>
      </w:r>
      <w:r w:rsidRPr="00A52AB8">
        <w:t> </w:t>
      </w:r>
      <w:r w:rsidRPr="00A52AB8">
        <w:rPr>
          <w:rFonts w:cs="Symbol"/>
          <w:color w:val="000000" w:themeColor="text1"/>
        </w:rPr>
        <w:sym w:font="Symbol" w:char="F0B8"/>
      </w:r>
      <w:r w:rsidRPr="00A52AB8">
        <w:t> cellCnt[ </w:t>
      </w:r>
      <w:r w:rsidR="00435492" w:rsidRPr="00A52AB8">
        <w:t>i </w:t>
      </w:r>
      <w:r w:rsidRPr="00A52AB8">
        <w:t>]</w:t>
      </w:r>
    </w:p>
    <w:p w14:paraId="29BE66AF" w14:textId="77777777" w:rsidR="006D74F2" w:rsidRPr="00A52AB8" w:rsidRDefault="006D74F2" w:rsidP="00895494">
      <w:pPr>
        <w:pStyle w:val="a4"/>
        <w:numPr>
          <w:ilvl w:val="3"/>
          <w:numId w:val="19"/>
        </w:numPr>
      </w:pPr>
      <w:bookmarkStart w:id="6969" w:name="_Ref39817643"/>
      <w:bookmarkStart w:id="6970" w:name="_Ref39817657"/>
      <w:r w:rsidRPr="00A52AB8">
        <w:t>Identification of the attribute center grid</w:t>
      </w:r>
      <w:bookmarkEnd w:id="6969"/>
      <w:bookmarkEnd w:id="6970"/>
    </w:p>
    <w:p w14:paraId="08760BEA" w14:textId="77777777" w:rsidR="0096791E" w:rsidRPr="00A52AB8" w:rsidRDefault="0096791E" w:rsidP="00007BE2">
      <w:pPr>
        <w:tabs>
          <w:tab w:val="left" w:pos="1800"/>
        </w:tabs>
        <w:rPr>
          <w:color w:val="000000" w:themeColor="text1"/>
        </w:rPr>
      </w:pPr>
      <w:r w:rsidRPr="00A52AB8">
        <w:rPr>
          <w:color w:val="000000" w:themeColor="text1"/>
        </w:rPr>
        <w:t>Inputs to this process are:</w:t>
      </w:r>
    </w:p>
    <w:p w14:paraId="7390006B" w14:textId="77777777" w:rsidR="0050235C" w:rsidRPr="00A52AB8" w:rsidRDefault="00B139F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variable </w:t>
      </w:r>
      <w:r w:rsidR="00C91285" w:rsidRPr="00A52AB8">
        <w:rPr>
          <w:color w:val="000000" w:themeColor="text1"/>
        </w:rPr>
        <w:t xml:space="preserve">numComps, </w:t>
      </w:r>
      <w:r w:rsidRPr="00A52AB8">
        <w:rPr>
          <w:color w:val="000000" w:themeColor="text1"/>
        </w:rPr>
        <w:t xml:space="preserve">indicating </w:t>
      </w:r>
      <w:r w:rsidR="00C91285" w:rsidRPr="00A52AB8">
        <w:rPr>
          <w:color w:val="000000" w:themeColor="text1"/>
        </w:rPr>
        <w:t xml:space="preserve">the number of components for the </w:t>
      </w:r>
      <w:r w:rsidR="009B403E" w:rsidRPr="00A52AB8">
        <w:rPr>
          <w:color w:val="000000" w:themeColor="text1"/>
        </w:rPr>
        <w:t xml:space="preserve">current </w:t>
      </w:r>
      <w:r w:rsidR="00C91285" w:rsidRPr="00A52AB8">
        <w:rPr>
          <w:color w:val="000000" w:themeColor="text1"/>
        </w:rPr>
        <w:t>attribute</w:t>
      </w:r>
    </w:p>
    <w:p w14:paraId="50D6A614" w14:textId="77777777" w:rsidR="0050235C" w:rsidRPr="00A52AB8" w:rsidRDefault="00B139F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variable </w:t>
      </w:r>
      <w:r w:rsidR="00551E12" w:rsidRPr="00A52AB8">
        <w:rPr>
          <w:color w:val="000000" w:themeColor="text1"/>
        </w:rPr>
        <w:t>attrG</w:t>
      </w:r>
      <w:r w:rsidR="0096791E" w:rsidRPr="00A52AB8">
        <w:rPr>
          <w:color w:val="000000" w:themeColor="text1"/>
        </w:rPr>
        <w:t xml:space="preserve">ridSize, indicating the </w:t>
      </w:r>
      <w:r w:rsidR="00551E12" w:rsidRPr="00A52AB8">
        <w:rPr>
          <w:color w:val="000000" w:themeColor="text1"/>
        </w:rPr>
        <w:t>attribute</w:t>
      </w:r>
      <w:r w:rsidR="0096791E" w:rsidRPr="00A52AB8">
        <w:rPr>
          <w:color w:val="000000" w:themeColor="text1"/>
        </w:rPr>
        <w:t xml:space="preserve"> smoothing grid size,</w:t>
      </w:r>
    </w:p>
    <w:p w14:paraId="7425C955" w14:textId="766D0E9D" w:rsidR="0096791E" w:rsidRPr="00A52AB8" w:rsidRDefault="00B139F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variable </w:t>
      </w:r>
      <w:r w:rsidR="0096791E" w:rsidRPr="00A52AB8">
        <w:rPr>
          <w:color w:val="000000" w:themeColor="text1"/>
        </w:rPr>
        <w:t xml:space="preserve">pointCnt, </w:t>
      </w:r>
      <w:r w:rsidRPr="00A52AB8">
        <w:rPr>
          <w:color w:val="000000" w:themeColor="text1"/>
        </w:rPr>
        <w:t xml:space="preserve">indicating </w:t>
      </w:r>
      <w:r w:rsidR="0096791E" w:rsidRPr="00A52AB8">
        <w:rPr>
          <w:color w:val="000000" w:themeColor="text1"/>
        </w:rPr>
        <w:t>the number of points in the current reconstructed point cloud frame,</w:t>
      </w:r>
    </w:p>
    <w:p w14:paraId="68A9B9FD" w14:textId="6721FDD9" w:rsidR="0096791E" w:rsidRPr="00A52AB8" w:rsidRDefault="00B139F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1D array </w:t>
      </w:r>
      <w:r w:rsidR="0096791E" w:rsidRPr="00A52AB8">
        <w:rPr>
          <w:color w:val="000000" w:themeColor="text1"/>
        </w:rPr>
        <w:t>isBoundaryPoint</w:t>
      </w:r>
      <w:r w:rsidR="000C5F41" w:rsidRPr="00A52AB8">
        <w:rPr>
          <w:color w:val="000000" w:themeColor="text1"/>
        </w:rPr>
        <w:t>,</w:t>
      </w:r>
      <w:r w:rsidR="0096791E" w:rsidRPr="00A52AB8">
        <w:rPr>
          <w:color w:val="000000" w:themeColor="text1"/>
        </w:rPr>
        <w:t xml:space="preserve"> </w:t>
      </w:r>
      <w:r w:rsidRPr="00A52AB8">
        <w:rPr>
          <w:color w:val="000000" w:themeColor="text1"/>
        </w:rPr>
        <w:t>of size pointCnt</w:t>
      </w:r>
      <w:r w:rsidR="0096791E" w:rsidRPr="00A52AB8">
        <w:rPr>
          <w:color w:val="000000" w:themeColor="text1"/>
        </w:rPr>
        <w:t>, indicating whether the n-th reconstructed point lies on or near a patch boundary,</w:t>
      </w:r>
    </w:p>
    <w:p w14:paraId="5250FF58" w14:textId="0774D07F" w:rsidR="00602D58" w:rsidRPr="00A52AB8" w:rsidRDefault="00B139F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2D array </w:t>
      </w:r>
      <w:r w:rsidR="0096791E" w:rsidRPr="00A52AB8">
        <w:rPr>
          <w:color w:val="000000" w:themeColor="text1"/>
        </w:rPr>
        <w:t>recPcGeo</w:t>
      </w:r>
      <w:r w:rsidR="000C5F41" w:rsidRPr="00A52AB8">
        <w:rPr>
          <w:color w:val="000000" w:themeColor="text1"/>
        </w:rPr>
        <w:t>,</w:t>
      </w:r>
      <w:r w:rsidR="0096791E" w:rsidRPr="00A52AB8">
        <w:rPr>
          <w:color w:val="000000" w:themeColor="text1"/>
        </w:rPr>
        <w:t xml:space="preserve"> </w:t>
      </w:r>
      <w:r w:rsidRPr="00A52AB8">
        <w:rPr>
          <w:color w:val="000000" w:themeColor="text1"/>
        </w:rPr>
        <w:t xml:space="preserve">of size </w:t>
      </w:r>
      <w:r w:rsidR="0096791E" w:rsidRPr="00A52AB8">
        <w:rPr>
          <w:color w:val="000000" w:themeColor="text1"/>
        </w:rPr>
        <w:t>pointCnt</w:t>
      </w:r>
      <w:r w:rsidRPr="00A52AB8">
        <w:rPr>
          <w:color w:val="000000" w:themeColor="text1"/>
        </w:rPr>
        <w:t> ×</w:t>
      </w:r>
      <w:r w:rsidR="0096791E" w:rsidRPr="00A52AB8">
        <w:rPr>
          <w:color w:val="000000" w:themeColor="text1"/>
        </w:rPr>
        <w:t> </w:t>
      </w:r>
      <w:r w:rsidRPr="00A52AB8">
        <w:rPr>
          <w:color w:val="000000" w:themeColor="text1"/>
        </w:rPr>
        <w:t>3</w:t>
      </w:r>
      <w:r w:rsidR="0096791E" w:rsidRPr="00A52AB8">
        <w:rPr>
          <w:color w:val="000000" w:themeColor="text1"/>
        </w:rPr>
        <w:t>, containing the reconstructed</w:t>
      </w:r>
      <w:r w:rsidR="00551E12" w:rsidRPr="00A52AB8">
        <w:rPr>
          <w:color w:val="000000" w:themeColor="text1"/>
        </w:rPr>
        <w:t>, possibly smoothed,</w:t>
      </w:r>
      <w:r w:rsidR="0096791E" w:rsidRPr="00A52AB8">
        <w:rPr>
          <w:color w:val="000000" w:themeColor="text1"/>
        </w:rPr>
        <w:t xml:space="preserve"> point positions,</w:t>
      </w:r>
    </w:p>
    <w:p w14:paraId="0860A40B" w14:textId="0A8A7AF3" w:rsidR="0096791E" w:rsidRPr="00A52AB8" w:rsidRDefault="00B8519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2D array </w:t>
      </w:r>
      <w:r w:rsidR="00602D58" w:rsidRPr="00A52AB8">
        <w:rPr>
          <w:color w:val="000000" w:themeColor="text1"/>
        </w:rPr>
        <w:t>recPcAttr</w:t>
      </w:r>
      <w:r w:rsidR="000C5F41" w:rsidRPr="00A52AB8">
        <w:rPr>
          <w:color w:val="000000" w:themeColor="text1"/>
        </w:rPr>
        <w:t>,</w:t>
      </w:r>
      <w:r w:rsidRPr="00A52AB8">
        <w:rPr>
          <w:color w:val="000000" w:themeColor="text1"/>
        </w:rPr>
        <w:t xml:space="preserve"> of size pointCnt × numComps, containing the reconstructed attribute values of the current attribute</w:t>
      </w:r>
    </w:p>
    <w:p w14:paraId="7E820200" w14:textId="22A0D668" w:rsidR="0096791E" w:rsidRPr="00A52AB8" w:rsidRDefault="00B8519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1D array </w:t>
      </w:r>
      <w:r w:rsidR="0096791E" w:rsidRPr="00A52AB8">
        <w:rPr>
          <w:color w:val="000000" w:themeColor="text1"/>
        </w:rPr>
        <w:t>pointToPatc</w:t>
      </w:r>
      <w:r w:rsidRPr="00A52AB8">
        <w:rPr>
          <w:color w:val="000000" w:themeColor="text1"/>
        </w:rPr>
        <w:t>h of size pointCnt</w:t>
      </w:r>
      <w:r w:rsidR="0096791E" w:rsidRPr="00A52AB8">
        <w:rPr>
          <w:color w:val="000000" w:themeColor="text1"/>
        </w:rPr>
        <w:t xml:space="preserve">, </w:t>
      </w:r>
      <w:r w:rsidRPr="00A52AB8">
        <w:rPr>
          <w:color w:val="000000" w:themeColor="text1"/>
        </w:rPr>
        <w:t>indicating</w:t>
      </w:r>
      <w:r w:rsidR="0096791E" w:rsidRPr="00A52AB8">
        <w:rPr>
          <w:color w:val="000000" w:themeColor="text1"/>
        </w:rPr>
        <w:t xml:space="preserve"> the index of the patch that </w:t>
      </w:r>
      <w:r w:rsidRPr="00A52AB8">
        <w:rPr>
          <w:color w:val="000000" w:themeColor="text1"/>
        </w:rPr>
        <w:t>each</w:t>
      </w:r>
      <w:r w:rsidR="00C61E38" w:rsidRPr="00A52AB8">
        <w:rPr>
          <w:color w:val="000000" w:themeColor="text1"/>
        </w:rPr>
        <w:t xml:space="preserve"> </w:t>
      </w:r>
      <w:r w:rsidR="0096791E" w:rsidRPr="00A52AB8">
        <w:rPr>
          <w:color w:val="000000" w:themeColor="text1"/>
        </w:rPr>
        <w:t>reconstructed point</w:t>
      </w:r>
      <w:r w:rsidRPr="00A52AB8">
        <w:rPr>
          <w:color w:val="000000" w:themeColor="text1"/>
        </w:rPr>
        <w:t xml:space="preserve"> in</w:t>
      </w:r>
      <w:r w:rsidR="0096791E" w:rsidRPr="00A52AB8">
        <w:rPr>
          <w:color w:val="000000" w:themeColor="text1"/>
        </w:rPr>
        <w:t xml:space="preserve"> recPcGeo belongs to.</w:t>
      </w:r>
    </w:p>
    <w:p w14:paraId="5C93A931" w14:textId="59105A4A" w:rsidR="0096791E" w:rsidRPr="00A52AB8" w:rsidRDefault="0096791E" w:rsidP="00007BE2">
      <w:pPr>
        <w:tabs>
          <w:tab w:val="left" w:pos="1800"/>
        </w:tabs>
        <w:rPr>
          <w:color w:val="000000" w:themeColor="text1"/>
        </w:rPr>
      </w:pPr>
      <w:r w:rsidRPr="00A52AB8">
        <w:rPr>
          <w:color w:val="000000" w:themeColor="text1"/>
        </w:rPr>
        <w:t>Output</w:t>
      </w:r>
      <w:r w:rsidR="0097230D" w:rsidRPr="00A52AB8">
        <w:rPr>
          <w:color w:val="000000" w:themeColor="text1"/>
        </w:rPr>
        <w:t>s</w:t>
      </w:r>
      <w:r w:rsidRPr="00A52AB8">
        <w:rPr>
          <w:color w:val="000000" w:themeColor="text1"/>
        </w:rPr>
        <w:t xml:space="preserve"> of this process are:</w:t>
      </w:r>
    </w:p>
    <w:p w14:paraId="27CEABEC" w14:textId="63245185" w:rsidR="0096791E" w:rsidRPr="00A52AB8" w:rsidRDefault="003A148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variable </w:t>
      </w:r>
      <w:r w:rsidR="0096791E" w:rsidRPr="00A52AB8">
        <w:rPr>
          <w:color w:val="000000" w:themeColor="text1"/>
        </w:rPr>
        <w:t xml:space="preserve">numCells1D, </w:t>
      </w:r>
      <w:r w:rsidRPr="00A52AB8">
        <w:rPr>
          <w:color w:val="000000" w:themeColor="text1"/>
        </w:rPr>
        <w:t xml:space="preserve">indicating </w:t>
      </w:r>
      <w:r w:rsidR="0096791E" w:rsidRPr="00A52AB8">
        <w:rPr>
          <w:color w:val="000000" w:themeColor="text1"/>
        </w:rPr>
        <w:t xml:space="preserve">the number of </w:t>
      </w:r>
      <w:r w:rsidR="00602D58" w:rsidRPr="00A52AB8">
        <w:rPr>
          <w:color w:val="000000" w:themeColor="text1"/>
        </w:rPr>
        <w:t xml:space="preserve">attribute smoothing grid </w:t>
      </w:r>
      <w:r w:rsidR="0096791E" w:rsidRPr="00A52AB8">
        <w:rPr>
          <w:color w:val="000000" w:themeColor="text1"/>
        </w:rPr>
        <w:t>cells in x, y, or z direction,</w:t>
      </w:r>
    </w:p>
    <w:p w14:paraId="3EA63E86" w14:textId="4C3F9F8C" w:rsidR="0096791E" w:rsidRPr="00A52AB8" w:rsidRDefault="003A148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variable </w:t>
      </w:r>
      <w:r w:rsidR="0096791E" w:rsidRPr="00A52AB8">
        <w:rPr>
          <w:color w:val="000000" w:themeColor="text1"/>
        </w:rPr>
        <w:t xml:space="preserve">numBoundaryCells, </w:t>
      </w:r>
      <w:r w:rsidRPr="00A52AB8">
        <w:rPr>
          <w:color w:val="000000" w:themeColor="text1"/>
        </w:rPr>
        <w:t xml:space="preserve">indicating </w:t>
      </w:r>
      <w:r w:rsidR="0096791E" w:rsidRPr="00A52AB8">
        <w:rPr>
          <w:color w:val="000000" w:themeColor="text1"/>
        </w:rPr>
        <w:t xml:space="preserve">the number of </w:t>
      </w:r>
      <w:r w:rsidR="00602D58" w:rsidRPr="00A52AB8">
        <w:rPr>
          <w:color w:val="000000" w:themeColor="text1"/>
        </w:rPr>
        <w:t xml:space="preserve">attribute smoothing grid </w:t>
      </w:r>
      <w:r w:rsidR="0096791E" w:rsidRPr="00A52AB8">
        <w:rPr>
          <w:color w:val="000000" w:themeColor="text1"/>
        </w:rPr>
        <w:t xml:space="preserve">cells containing a boundary point or belonging to a 2 × 2 × 2 </w:t>
      </w:r>
      <w:r w:rsidR="006B0BA3" w:rsidRPr="00A52AB8">
        <w:rPr>
          <w:color w:val="000000" w:themeColor="text1"/>
        </w:rPr>
        <w:t>neighbour</w:t>
      </w:r>
      <w:r w:rsidR="0096791E" w:rsidRPr="00A52AB8">
        <w:rPr>
          <w:color w:val="000000" w:themeColor="text1"/>
        </w:rPr>
        <w:t>hood of the cells containing boundary points,</w:t>
      </w:r>
    </w:p>
    <w:p w14:paraId="0AB96097" w14:textId="78FA8D28" w:rsidR="0096791E" w:rsidRPr="00A52AB8" w:rsidRDefault="003A148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3D array </w:t>
      </w:r>
      <w:r w:rsidR="0096791E" w:rsidRPr="00A52AB8">
        <w:rPr>
          <w:color w:val="000000" w:themeColor="text1"/>
        </w:rPr>
        <w:t>cellIdxLut</w:t>
      </w:r>
      <w:r w:rsidRPr="00A52AB8">
        <w:rPr>
          <w:color w:val="000000" w:themeColor="text1"/>
        </w:rPr>
        <w:t xml:space="preserve"> of size numCells1D × numCells1D × numCells1D</w:t>
      </w:r>
      <w:r w:rsidR="00ED0152" w:rsidRPr="00A52AB8">
        <w:rPr>
          <w:color w:val="000000" w:themeColor="text1"/>
        </w:rPr>
        <w:t>,</w:t>
      </w:r>
      <w:r w:rsidR="009C5635" w:rsidRPr="00A52AB8">
        <w:rPr>
          <w:color w:val="000000" w:themeColor="text1"/>
        </w:rPr>
        <w:t xml:space="preserve"> </w:t>
      </w:r>
      <w:r w:rsidR="00ED0152" w:rsidRPr="00A52AB8">
        <w:rPr>
          <w:color w:val="000000" w:themeColor="text1"/>
        </w:rPr>
        <w:t>mapping a 3</w:t>
      </w:r>
      <w:r w:rsidR="0096791E" w:rsidRPr="00A52AB8">
        <w:rPr>
          <w:color w:val="000000" w:themeColor="text1"/>
        </w:rPr>
        <w:t>D cell index to a 1D index,</w:t>
      </w:r>
    </w:p>
    <w:p w14:paraId="04BB4665" w14:textId="3F9F631D" w:rsidR="0096791E" w:rsidRPr="00A52AB8" w:rsidRDefault="0096791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centerGrid[ i ][ </w:t>
      </w:r>
      <w:r w:rsidR="00602D58" w:rsidRPr="00A52AB8">
        <w:rPr>
          <w:color w:val="000000" w:themeColor="text1"/>
        </w:rPr>
        <w:t>j </w:t>
      </w:r>
      <w:r w:rsidRPr="00A52AB8">
        <w:rPr>
          <w:color w:val="000000" w:themeColor="text1"/>
        </w:rPr>
        <w:t>], i</w:t>
      </w:r>
      <w:r w:rsidR="00D47707" w:rsidRPr="00A52AB8">
        <w:rPr>
          <w:color w:val="000000" w:themeColor="text1"/>
        </w:rPr>
        <w:t> = </w:t>
      </w:r>
      <w:r w:rsidRPr="00A52AB8">
        <w:rPr>
          <w:color w:val="000000" w:themeColor="text1"/>
        </w:rPr>
        <w:t xml:space="preserve">0..numBoundaryCells – 1 and </w:t>
      </w:r>
      <w:r w:rsidR="00602D58" w:rsidRPr="00A52AB8">
        <w:rPr>
          <w:color w:val="000000" w:themeColor="text1"/>
        </w:rPr>
        <w:t>j</w:t>
      </w:r>
      <w:r w:rsidR="00D47707" w:rsidRPr="00A52AB8">
        <w:rPr>
          <w:color w:val="000000" w:themeColor="text1"/>
        </w:rPr>
        <w:t> = </w:t>
      </w:r>
      <w:r w:rsidRPr="00A52AB8">
        <w:rPr>
          <w:color w:val="000000" w:themeColor="text1"/>
        </w:rPr>
        <w:t>0..</w:t>
      </w:r>
      <w:r w:rsidR="00602D58" w:rsidRPr="00A52AB8">
        <w:rPr>
          <w:color w:val="000000" w:themeColor="text1"/>
        </w:rPr>
        <w:t>numComps – 1</w:t>
      </w:r>
      <w:r w:rsidRPr="00A52AB8">
        <w:rPr>
          <w:color w:val="000000" w:themeColor="text1"/>
        </w:rPr>
        <w:t xml:space="preserve">, an array containing reconstructed </w:t>
      </w:r>
      <w:r w:rsidR="00551E12" w:rsidRPr="00A52AB8">
        <w:rPr>
          <w:color w:val="000000" w:themeColor="text1"/>
        </w:rPr>
        <w:t>attribute</w:t>
      </w:r>
      <w:r w:rsidRPr="00A52AB8">
        <w:rPr>
          <w:color w:val="000000" w:themeColor="text1"/>
        </w:rPr>
        <w:t xml:space="preserve"> center grid positions,</w:t>
      </w:r>
    </w:p>
    <w:p w14:paraId="1F883363" w14:textId="79056770" w:rsidR="0096791E" w:rsidRPr="00A52AB8" w:rsidRDefault="0096791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cellCnt[ </w:t>
      </w:r>
      <w:r w:rsidR="00602D58" w:rsidRPr="00A52AB8">
        <w:rPr>
          <w:color w:val="000000" w:themeColor="text1"/>
        </w:rPr>
        <w:t>i </w:t>
      </w:r>
      <w:r w:rsidRPr="00A52AB8">
        <w:rPr>
          <w:color w:val="000000" w:themeColor="text1"/>
        </w:rPr>
        <w:t xml:space="preserve">], </w:t>
      </w:r>
      <w:r w:rsidR="00602D58" w:rsidRPr="00A52AB8">
        <w:rPr>
          <w:color w:val="000000" w:themeColor="text1"/>
        </w:rPr>
        <w:t>i</w:t>
      </w:r>
      <w:r w:rsidR="00D47707" w:rsidRPr="00A52AB8">
        <w:rPr>
          <w:color w:val="000000" w:themeColor="text1"/>
        </w:rPr>
        <w:t> = </w:t>
      </w:r>
      <w:r w:rsidRPr="00A52AB8">
        <w:rPr>
          <w:color w:val="000000" w:themeColor="text1"/>
        </w:rPr>
        <w:t xml:space="preserve">0..numBoundaryCells – 1, an array containing </w:t>
      </w:r>
      <w:r w:rsidR="00602D58" w:rsidRPr="00A52AB8">
        <w:rPr>
          <w:color w:val="000000" w:themeColor="text1"/>
        </w:rPr>
        <w:t xml:space="preserve">the </w:t>
      </w:r>
      <w:r w:rsidRPr="00A52AB8">
        <w:rPr>
          <w:color w:val="000000" w:themeColor="text1"/>
        </w:rPr>
        <w:t xml:space="preserve">number of reconstructed points in </w:t>
      </w:r>
      <w:r w:rsidR="00602D58" w:rsidRPr="00A52AB8">
        <w:rPr>
          <w:color w:val="000000" w:themeColor="text1"/>
        </w:rPr>
        <w:t xml:space="preserve">each </w:t>
      </w:r>
      <w:r w:rsidRPr="00A52AB8">
        <w:rPr>
          <w:color w:val="000000" w:themeColor="text1"/>
        </w:rPr>
        <w:t>cell,</w:t>
      </w:r>
    </w:p>
    <w:p w14:paraId="47281443" w14:textId="3AA09318" w:rsidR="00602D58" w:rsidRPr="00A52AB8" w:rsidRDefault="0096791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cellDoSmoothing[ </w:t>
      </w:r>
      <w:r w:rsidR="00602D58" w:rsidRPr="00A52AB8">
        <w:rPr>
          <w:color w:val="000000" w:themeColor="text1"/>
        </w:rPr>
        <w:t>i </w:t>
      </w:r>
      <w:r w:rsidRPr="00A52AB8">
        <w:rPr>
          <w:color w:val="000000" w:themeColor="text1"/>
        </w:rPr>
        <w:t xml:space="preserve">], </w:t>
      </w:r>
      <w:r w:rsidR="00602D58" w:rsidRPr="00A52AB8">
        <w:rPr>
          <w:color w:val="000000" w:themeColor="text1"/>
        </w:rPr>
        <w:t>i</w:t>
      </w:r>
      <w:r w:rsidR="00D47707" w:rsidRPr="00A52AB8">
        <w:rPr>
          <w:color w:val="000000" w:themeColor="text1"/>
        </w:rPr>
        <w:t> = </w:t>
      </w:r>
      <w:r w:rsidRPr="00A52AB8">
        <w:rPr>
          <w:color w:val="000000" w:themeColor="text1"/>
        </w:rPr>
        <w:t>0..numBoundaryCells – 1, a boolean array indicating whether smoothing should be performed for a cell</w:t>
      </w:r>
      <w:r w:rsidR="00602D58" w:rsidRPr="00A52AB8">
        <w:rPr>
          <w:color w:val="000000" w:themeColor="text1"/>
        </w:rPr>
        <w:t>, and</w:t>
      </w:r>
    </w:p>
    <w:p w14:paraId="679E2A20" w14:textId="22FB309D" w:rsidR="0096791E" w:rsidRPr="00A52AB8" w:rsidRDefault="00602D5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cellLum[ i ][ m ], i</w:t>
      </w:r>
      <w:r w:rsidR="00D47707" w:rsidRPr="00A52AB8">
        <w:rPr>
          <w:color w:val="000000" w:themeColor="text1"/>
        </w:rPr>
        <w:t> = </w:t>
      </w:r>
      <w:r w:rsidRPr="00A52AB8">
        <w:rPr>
          <w:color w:val="000000" w:themeColor="text1"/>
        </w:rPr>
        <w:t>0..numBoundaryCells – 1 and m</w:t>
      </w:r>
      <w:r w:rsidR="00D47707" w:rsidRPr="00A52AB8">
        <w:rPr>
          <w:color w:val="000000" w:themeColor="text1"/>
        </w:rPr>
        <w:t> = </w:t>
      </w:r>
      <w:r w:rsidRPr="00A52AB8">
        <w:rPr>
          <w:color w:val="000000" w:themeColor="text1"/>
        </w:rPr>
        <w:t xml:space="preserve">0..cellCnt[ i ] – 1, the </w:t>
      </w:r>
      <w:r w:rsidR="00E616B4" w:rsidRPr="00A52AB8">
        <w:rPr>
          <w:color w:val="000000" w:themeColor="text1"/>
        </w:rPr>
        <w:t>first</w:t>
      </w:r>
      <w:r w:rsidRPr="00A52AB8">
        <w:rPr>
          <w:color w:val="000000" w:themeColor="text1"/>
        </w:rPr>
        <w:t xml:space="preserve"> attribute component, for attribute with index attrIdx, of each point belonging to the boundary cell.</w:t>
      </w:r>
    </w:p>
    <w:p w14:paraId="39C2FB05" w14:textId="77777777" w:rsidR="0096791E" w:rsidRPr="00A52AB8" w:rsidRDefault="0096791E" w:rsidP="00007BE2">
      <w:pPr>
        <w:tabs>
          <w:tab w:val="left" w:pos="1800"/>
        </w:tabs>
        <w:rPr>
          <w:color w:val="000000" w:themeColor="text1"/>
        </w:rPr>
      </w:pPr>
      <w:r w:rsidRPr="00A52AB8">
        <w:rPr>
          <w:color w:val="000000" w:themeColor="text1"/>
        </w:rPr>
        <w:t>The following applies:</w:t>
      </w:r>
    </w:p>
    <w:p w14:paraId="0824D027" w14:textId="32D3BD1C" w:rsidR="0096791E" w:rsidRPr="00A52AB8" w:rsidRDefault="0096791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Subclause </w:t>
      </w:r>
      <w:r w:rsidR="00602D58" w:rsidRPr="00496A4D">
        <w:rPr>
          <w:color w:val="000000" w:themeColor="text1"/>
        </w:rPr>
        <w:fldChar w:fldCharType="begin"/>
      </w:r>
      <w:r w:rsidR="00602D58" w:rsidRPr="00A52AB8">
        <w:rPr>
          <w:color w:val="000000" w:themeColor="text1"/>
        </w:rPr>
        <w:instrText xml:space="preserve"> REF _Ref46865593 \w \h </w:instrText>
      </w:r>
      <w:r w:rsidR="006371AA" w:rsidRPr="00A52AB8">
        <w:rPr>
          <w:color w:val="000000" w:themeColor="text1"/>
        </w:rPr>
        <w:instrText xml:space="preserve"> \* MERGEFORMAT </w:instrText>
      </w:r>
      <w:r w:rsidR="00602D58" w:rsidRPr="00496A4D">
        <w:rPr>
          <w:color w:val="000000" w:themeColor="text1"/>
        </w:rPr>
      </w:r>
      <w:r w:rsidR="00602D58" w:rsidRPr="00496A4D">
        <w:rPr>
          <w:color w:val="000000" w:themeColor="text1"/>
        </w:rPr>
        <w:fldChar w:fldCharType="separate"/>
      </w:r>
      <w:r w:rsidR="00507A67">
        <w:rPr>
          <w:color w:val="000000" w:themeColor="text1"/>
        </w:rPr>
        <w:t>H.12.4.3</w:t>
      </w:r>
      <w:r w:rsidR="00602D58" w:rsidRPr="00496A4D">
        <w:rPr>
          <w:color w:val="000000" w:themeColor="text1"/>
        </w:rPr>
        <w:fldChar w:fldCharType="end"/>
      </w:r>
      <w:r w:rsidR="00602D58" w:rsidRPr="00A52AB8">
        <w:rPr>
          <w:color w:val="000000" w:themeColor="text1"/>
        </w:rPr>
        <w:t xml:space="preserve"> </w:t>
      </w:r>
      <w:r w:rsidRPr="00A52AB8">
        <w:rPr>
          <w:color w:val="000000" w:themeColor="text1"/>
        </w:rPr>
        <w:t xml:space="preserve">is invoked with </w:t>
      </w:r>
      <w:r w:rsidR="00EE1797" w:rsidRPr="00A52AB8">
        <w:rPr>
          <w:color w:val="000000" w:themeColor="text1"/>
        </w:rPr>
        <w:t>variable</w:t>
      </w:r>
      <w:r w:rsidR="00137FB4" w:rsidRPr="00A52AB8">
        <w:rPr>
          <w:color w:val="000000" w:themeColor="text1"/>
        </w:rPr>
        <w:t>s</w:t>
      </w:r>
      <w:r w:rsidR="00EE1797" w:rsidRPr="00A52AB8">
        <w:rPr>
          <w:color w:val="000000" w:themeColor="text1"/>
        </w:rPr>
        <w:t xml:space="preserve"> </w:t>
      </w:r>
      <w:r w:rsidR="00602D58" w:rsidRPr="00A52AB8">
        <w:rPr>
          <w:color w:val="000000" w:themeColor="text1"/>
        </w:rPr>
        <w:t>attrG</w:t>
      </w:r>
      <w:r w:rsidRPr="00A52AB8">
        <w:rPr>
          <w:color w:val="000000" w:themeColor="text1"/>
        </w:rPr>
        <w:t>ridSize</w:t>
      </w:r>
      <w:r w:rsidR="00137FB4" w:rsidRPr="00A52AB8">
        <w:rPr>
          <w:color w:val="000000" w:themeColor="text1"/>
        </w:rPr>
        <w:t xml:space="preserve"> and</w:t>
      </w:r>
      <w:r w:rsidRPr="00A52AB8">
        <w:rPr>
          <w:color w:val="000000" w:themeColor="text1"/>
        </w:rPr>
        <w:t xml:space="preserve"> pointCnt, </w:t>
      </w:r>
      <w:r w:rsidR="00EE1797" w:rsidRPr="00A52AB8">
        <w:rPr>
          <w:color w:val="000000" w:themeColor="text1"/>
        </w:rPr>
        <w:t xml:space="preserve">and arrays </w:t>
      </w:r>
      <w:r w:rsidRPr="00A52AB8">
        <w:rPr>
          <w:color w:val="000000" w:themeColor="text1"/>
        </w:rPr>
        <w:t xml:space="preserve">isBoundaryPoint and recPcGeo as inputs and the outputs are </w:t>
      </w:r>
      <w:r w:rsidR="00EE1797" w:rsidRPr="00A52AB8">
        <w:rPr>
          <w:color w:val="000000" w:themeColor="text1"/>
        </w:rPr>
        <w:t xml:space="preserve">variables </w:t>
      </w:r>
      <w:r w:rsidR="00602D58" w:rsidRPr="00A52AB8">
        <w:rPr>
          <w:color w:val="000000" w:themeColor="text1"/>
        </w:rPr>
        <w:t>numCells1D</w:t>
      </w:r>
      <w:r w:rsidR="00EE1797" w:rsidRPr="00A52AB8">
        <w:rPr>
          <w:color w:val="000000" w:themeColor="text1"/>
        </w:rPr>
        <w:t xml:space="preserve"> and</w:t>
      </w:r>
      <w:r w:rsidR="00602D58" w:rsidRPr="00A52AB8">
        <w:rPr>
          <w:color w:val="000000" w:themeColor="text1"/>
        </w:rPr>
        <w:t xml:space="preserve"> </w:t>
      </w:r>
      <w:r w:rsidR="00EE1797" w:rsidRPr="00A52AB8">
        <w:rPr>
          <w:color w:val="000000" w:themeColor="text1"/>
        </w:rPr>
        <w:t xml:space="preserve">numBoundaryCells, and array </w:t>
      </w:r>
      <w:r w:rsidRPr="00A52AB8">
        <w:rPr>
          <w:color w:val="000000" w:themeColor="text1"/>
        </w:rPr>
        <w:t>cellIdxLut.</w:t>
      </w:r>
    </w:p>
    <w:p w14:paraId="075219C6" w14:textId="17D44433" w:rsidR="0096791E" w:rsidRPr="00A52AB8" w:rsidRDefault="00543D19"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The arrays cellDoSmoothing, cellCnt, cellPatchIdx,centerGrid</w:t>
      </w:r>
      <w:r w:rsidR="00805EF3" w:rsidRPr="00A52AB8">
        <w:rPr>
          <w:color w:val="000000" w:themeColor="text1"/>
        </w:rPr>
        <w:t>,</w:t>
      </w:r>
      <w:r w:rsidRPr="00A52AB8">
        <w:rPr>
          <w:color w:val="000000" w:themeColor="text1"/>
        </w:rPr>
        <w:t xml:space="preserve"> </w:t>
      </w:r>
      <w:r w:rsidR="00805EF3" w:rsidRPr="00A52AB8">
        <w:rPr>
          <w:color w:val="000000" w:themeColor="text1"/>
        </w:rPr>
        <w:t>and</w:t>
      </w:r>
      <w:r w:rsidRPr="00A52AB8">
        <w:rPr>
          <w:color w:val="000000" w:themeColor="text1"/>
        </w:rPr>
        <w:t xml:space="preserve"> cellPatchIdx </w:t>
      </w:r>
      <w:r w:rsidR="00805EF3" w:rsidRPr="00A52AB8">
        <w:rPr>
          <w:color w:val="000000" w:themeColor="text1"/>
        </w:rPr>
        <w:t xml:space="preserve">are </w:t>
      </w:r>
      <w:r w:rsidRPr="00A52AB8">
        <w:rPr>
          <w:color w:val="000000" w:themeColor="text1"/>
        </w:rPr>
        <w:t xml:space="preserve">initialized </w:t>
      </w:r>
      <w:r w:rsidR="00805EF3" w:rsidRPr="00A52AB8">
        <w:rPr>
          <w:color w:val="000000" w:themeColor="text1"/>
        </w:rPr>
        <w:t>as follows:</w:t>
      </w:r>
    </w:p>
    <w:p w14:paraId="3D697D96" w14:textId="70BB2168" w:rsidR="00471126" w:rsidRPr="00A52AB8" w:rsidRDefault="00471126" w:rsidP="008F2A42">
      <w:pPr>
        <w:pStyle w:val="ListParagraph"/>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textAlignment w:val="baseline"/>
      </w:pPr>
      <w:r w:rsidRPr="00A52AB8">
        <w:t>for( i</w:t>
      </w:r>
      <w:r w:rsidR="00D47707" w:rsidRPr="00A52AB8">
        <w:t> = </w:t>
      </w:r>
      <w:r w:rsidRPr="00A52AB8">
        <w:t>0; i &lt; numBoundaryCells; i ++ </w:t>
      </w:r>
      <w:r w:rsidR="008F1F82" w:rsidRPr="00A52AB8">
        <w:t>) {</w:t>
      </w:r>
      <w:r w:rsidRPr="00A52AB8">
        <w:br/>
      </w:r>
      <w:r w:rsidRPr="00A52AB8">
        <w:tab/>
        <w:t>cellDoSmoothing[ i ]</w:t>
      </w:r>
      <w:r w:rsidR="00D47707" w:rsidRPr="00A52AB8">
        <w:t> = </w:t>
      </w:r>
      <w:r w:rsidRPr="00A52AB8">
        <w:t>0</w:t>
      </w:r>
      <w:r w:rsidRPr="00A52AB8">
        <w:br/>
      </w:r>
      <w:r w:rsidRPr="00A52AB8">
        <w:tab/>
        <w:t>cellCnt[ i ]</w:t>
      </w:r>
      <w:r w:rsidR="00D47707" w:rsidRPr="00A52AB8">
        <w:t> = </w:t>
      </w:r>
      <w:r w:rsidRPr="00A52AB8">
        <w:t>0</w:t>
      </w:r>
      <w:r w:rsidRPr="00A52AB8">
        <w:br/>
      </w:r>
      <w:r w:rsidRPr="00A52AB8">
        <w:tab/>
        <w:t>cellPatchIdx[ i ]</w:t>
      </w:r>
      <w:r w:rsidR="00D47707" w:rsidRPr="00A52AB8">
        <w:t> = </w:t>
      </w:r>
      <w:r w:rsidRPr="00A52AB8">
        <w:t>0</w:t>
      </w:r>
      <w:r w:rsidRPr="00A52AB8">
        <w:br/>
      </w:r>
      <w:r w:rsidRPr="00A52AB8">
        <w:tab/>
        <w:t>centerGrid[ i ][ 0 ]</w:t>
      </w:r>
      <w:r w:rsidR="00D47707" w:rsidRPr="00A52AB8">
        <w:t> = </w:t>
      </w:r>
      <w:r w:rsidRPr="00A52AB8">
        <w:t>0</w:t>
      </w:r>
      <w:r w:rsidRPr="00A52AB8">
        <w:br/>
      </w:r>
      <w:r w:rsidRPr="00A52AB8">
        <w:tab/>
        <w:t>centerGrid[ i ][ 1 ]</w:t>
      </w:r>
      <w:r w:rsidR="00D47707" w:rsidRPr="00A52AB8">
        <w:t> = </w:t>
      </w:r>
      <w:r w:rsidRPr="00A52AB8">
        <w:t>0</w:t>
      </w:r>
      <w:r w:rsidRPr="00A52AB8">
        <w:br/>
      </w:r>
      <w:r w:rsidRPr="00A52AB8">
        <w:tab/>
        <w:t>cellPatchIdx[ i ]</w:t>
      </w:r>
      <w:r w:rsidR="00D47707" w:rsidRPr="00A52AB8">
        <w:t> = </w:t>
      </w:r>
      <w:r w:rsidRPr="00A52AB8">
        <w:t>−1</w:t>
      </w:r>
      <w:r w:rsidRPr="00A52AB8">
        <w:br/>
        <w:t>}</w:t>
      </w:r>
    </w:p>
    <w:p w14:paraId="73B37DD8" w14:textId="55FD75C3" w:rsidR="0096791E" w:rsidRPr="00A52AB8" w:rsidRDefault="0096791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For n</w:t>
      </w:r>
      <w:r w:rsidR="00D47707" w:rsidRPr="00A52AB8">
        <w:rPr>
          <w:color w:val="000000" w:themeColor="text1"/>
        </w:rPr>
        <w:t> = </w:t>
      </w:r>
      <w:r w:rsidRPr="00A52AB8">
        <w:rPr>
          <w:color w:val="000000" w:themeColor="text1"/>
        </w:rPr>
        <w:t>0..pointCnt – 1, the following applies:</w:t>
      </w:r>
    </w:p>
    <w:p w14:paraId="47EFBB28" w14:textId="77777777" w:rsidR="0096791E" w:rsidRPr="00A52AB8" w:rsidRDefault="0096791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Variables x, y, z, and cellIndex are derived as follows:</w:t>
      </w:r>
    </w:p>
    <w:p w14:paraId="52EBD8C1" w14:textId="4240E8BA" w:rsidR="0096791E" w:rsidRPr="00A52AB8" w:rsidRDefault="0096791E" w:rsidP="00007BE2">
      <w:pPr>
        <w:tabs>
          <w:tab w:val="left" w:pos="250"/>
        </w:tabs>
        <w:spacing w:before="136" w:after="0"/>
        <w:ind w:left="1208"/>
        <w:jc w:val="left"/>
      </w:pPr>
      <w:r w:rsidRPr="00A52AB8">
        <w:rPr>
          <w:lang w:eastAsia="ja-JP"/>
        </w:rPr>
        <w:t>x</w:t>
      </w:r>
      <w:r w:rsidR="00D47707" w:rsidRPr="00A52AB8">
        <w:t> = </w:t>
      </w:r>
      <w:r w:rsidRPr="00A52AB8">
        <w:t>recPcGeo[</w:t>
      </w:r>
      <w:r w:rsidR="00CA313F" w:rsidRPr="00A52AB8">
        <w:t> </w:t>
      </w:r>
      <w:r w:rsidRPr="00A52AB8">
        <w:t>n</w:t>
      </w:r>
      <w:r w:rsidR="00CA313F" w:rsidRPr="00A52AB8">
        <w:t> </w:t>
      </w:r>
      <w:r w:rsidRPr="00A52AB8">
        <w:t>][ 0 ] / </w:t>
      </w:r>
      <w:r w:rsidR="00551E12" w:rsidRPr="00A52AB8">
        <w:t>attrG</w:t>
      </w:r>
      <w:r w:rsidRPr="00A52AB8">
        <w:t>ridSize</w:t>
      </w:r>
      <w:r w:rsidR="00C61E38" w:rsidRPr="00A52AB8">
        <w:br/>
      </w:r>
      <w:r w:rsidRPr="00A52AB8">
        <w:rPr>
          <w:lang w:eastAsia="ja-JP"/>
        </w:rPr>
        <w:t>y</w:t>
      </w:r>
      <w:r w:rsidR="00D47707" w:rsidRPr="00A52AB8">
        <w:t> = </w:t>
      </w:r>
      <w:r w:rsidRPr="00A52AB8">
        <w:t>recPcGeo[</w:t>
      </w:r>
      <w:r w:rsidR="00CA313F" w:rsidRPr="00A52AB8">
        <w:t> </w:t>
      </w:r>
      <w:r w:rsidRPr="00A52AB8">
        <w:t>n</w:t>
      </w:r>
      <w:r w:rsidR="00CA313F" w:rsidRPr="00A52AB8">
        <w:t> </w:t>
      </w:r>
      <w:r w:rsidRPr="00A52AB8">
        <w:t>][ 1 ] / </w:t>
      </w:r>
      <w:r w:rsidR="00551E12" w:rsidRPr="00A52AB8">
        <w:t>attrGridSize</w:t>
      </w:r>
      <w:r w:rsidR="00C61E38" w:rsidRPr="00A52AB8">
        <w:br/>
      </w:r>
      <w:r w:rsidRPr="00A52AB8">
        <w:rPr>
          <w:lang w:eastAsia="ja-JP"/>
        </w:rPr>
        <w:t>z</w:t>
      </w:r>
      <w:r w:rsidR="00D47707" w:rsidRPr="00A52AB8">
        <w:t> = </w:t>
      </w:r>
      <w:r w:rsidRPr="00A52AB8">
        <w:t>recPcGeo[</w:t>
      </w:r>
      <w:r w:rsidR="00CA313F" w:rsidRPr="00A52AB8">
        <w:t> </w:t>
      </w:r>
      <w:r w:rsidRPr="00A52AB8">
        <w:t>n</w:t>
      </w:r>
      <w:r w:rsidR="00CA313F" w:rsidRPr="00A52AB8">
        <w:t> </w:t>
      </w:r>
      <w:r w:rsidRPr="00A52AB8">
        <w:t>][ 2 ] / </w:t>
      </w:r>
      <w:r w:rsidR="00551E12" w:rsidRPr="00A52AB8">
        <w:t>attrGridSize</w:t>
      </w:r>
      <w:r w:rsidR="00C61E38" w:rsidRPr="00A52AB8">
        <w:br/>
      </w:r>
      <w:r w:rsidRPr="00A52AB8">
        <w:t>cellIndex</w:t>
      </w:r>
      <w:r w:rsidR="00D47707" w:rsidRPr="00A52AB8">
        <w:t> = </w:t>
      </w:r>
      <w:r w:rsidRPr="00A52AB8">
        <w:t>cellIdxLut</w:t>
      </w:r>
      <w:r w:rsidR="004B7314" w:rsidRPr="00A52AB8">
        <w:t>[ x ][ y ]</w:t>
      </w:r>
      <w:r w:rsidR="00543D19" w:rsidRPr="00A52AB8">
        <w:t>[ z ]</w:t>
      </w:r>
    </w:p>
    <w:p w14:paraId="3CE73B2E" w14:textId="77777777" w:rsidR="0096791E" w:rsidRPr="00A52AB8" w:rsidRDefault="0096791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If cellIndex is not equal to −1, the following applies:</w:t>
      </w:r>
    </w:p>
    <w:p w14:paraId="0DD6301A" w14:textId="77777777" w:rsidR="0096791E" w:rsidRPr="00A52AB8" w:rsidRDefault="0096791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1" w:hanging="403"/>
        <w:textAlignment w:val="baseline"/>
        <w:rPr>
          <w:color w:val="000000" w:themeColor="text1"/>
        </w:rPr>
      </w:pPr>
      <w:r w:rsidRPr="00A52AB8">
        <w:rPr>
          <w:color w:val="000000" w:themeColor="text1"/>
        </w:rPr>
        <w:t xml:space="preserve">If cellCnt[ cellIndex ] is equal to 0, cellPatchIdx[ cellIndex ] is set </w:t>
      </w:r>
      <w:r w:rsidR="00543D19" w:rsidRPr="00A52AB8">
        <w:rPr>
          <w:color w:val="000000" w:themeColor="text1"/>
        </w:rPr>
        <w:t>equal to pointToPatch[ n ].</w:t>
      </w:r>
    </w:p>
    <w:p w14:paraId="6D00077F" w14:textId="77777777" w:rsidR="0096791E" w:rsidRPr="00A52AB8" w:rsidRDefault="0096791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1" w:hanging="403"/>
        <w:textAlignment w:val="baseline"/>
        <w:rPr>
          <w:color w:val="000000" w:themeColor="text1"/>
        </w:rPr>
      </w:pPr>
      <w:r w:rsidRPr="00A52AB8">
        <w:rPr>
          <w:color w:val="000000" w:themeColor="text1"/>
        </w:rPr>
        <w:t xml:space="preserve">Otherwise, if cellDoSmoothing[ cellIndex ] is </w:t>
      </w:r>
      <w:r w:rsidR="00543D19" w:rsidRPr="00A52AB8">
        <w:rPr>
          <w:color w:val="000000" w:themeColor="text1"/>
        </w:rPr>
        <w:t xml:space="preserve">equal to </w:t>
      </w:r>
      <w:r w:rsidRPr="00A52AB8">
        <w:rPr>
          <w:color w:val="000000" w:themeColor="text1"/>
        </w:rPr>
        <w:t xml:space="preserve">0 and cellPatchIdx[ cellIndex ] is not equal to </w:t>
      </w:r>
      <w:r w:rsidR="00543D19" w:rsidRPr="00A52AB8">
        <w:rPr>
          <w:color w:val="000000" w:themeColor="text1"/>
        </w:rPr>
        <w:t>pointToPatch[ n ]</w:t>
      </w:r>
      <w:r w:rsidRPr="00A52AB8">
        <w:rPr>
          <w:color w:val="000000" w:themeColor="text1"/>
        </w:rPr>
        <w:t>, cellDoSmoothing[ cellIndex ] is set to 1.</w:t>
      </w:r>
    </w:p>
    <w:p w14:paraId="352C79DD" w14:textId="77777777" w:rsidR="0096791E" w:rsidRPr="00A52AB8" w:rsidRDefault="0096791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1" w:hanging="403"/>
        <w:textAlignment w:val="baseline"/>
        <w:rPr>
          <w:color w:val="000000" w:themeColor="text1"/>
        </w:rPr>
      </w:pPr>
      <w:r w:rsidRPr="00A52AB8">
        <w:rPr>
          <w:color w:val="000000" w:themeColor="text1"/>
        </w:rPr>
        <w:t>The following applies:</w:t>
      </w:r>
    </w:p>
    <w:p w14:paraId="064BEE54" w14:textId="434A430A" w:rsidR="0096791E" w:rsidRPr="00A52AB8" w:rsidRDefault="0096791E" w:rsidP="00983491">
      <w:pPr>
        <w:ind w:left="1610"/>
      </w:pPr>
      <w:r w:rsidRPr="00A52AB8">
        <w:rPr>
          <w:color w:val="000000" w:themeColor="text1"/>
          <w:lang w:eastAsia="ja-JP"/>
        </w:rPr>
        <w:t>for( </w:t>
      </w:r>
      <w:r w:rsidR="00543D19" w:rsidRPr="00A52AB8">
        <w:rPr>
          <w:color w:val="000000" w:themeColor="text1"/>
          <w:lang w:eastAsia="ja-JP"/>
        </w:rPr>
        <w:t>j</w:t>
      </w:r>
      <w:r w:rsidR="00D47707" w:rsidRPr="00A52AB8">
        <w:rPr>
          <w:color w:val="000000" w:themeColor="text1"/>
          <w:lang w:eastAsia="ja-JP"/>
        </w:rPr>
        <w:t> = </w:t>
      </w:r>
      <w:r w:rsidRPr="00A52AB8">
        <w:rPr>
          <w:color w:val="000000" w:themeColor="text1"/>
          <w:lang w:eastAsia="ja-JP"/>
        </w:rPr>
        <w:t>0; </w:t>
      </w:r>
      <w:r w:rsidR="00543D19" w:rsidRPr="00A52AB8">
        <w:rPr>
          <w:color w:val="000000" w:themeColor="text1"/>
          <w:lang w:eastAsia="ja-JP"/>
        </w:rPr>
        <w:t>j </w:t>
      </w:r>
      <w:r w:rsidRPr="00A52AB8">
        <w:rPr>
          <w:color w:val="000000" w:themeColor="text1"/>
          <w:lang w:eastAsia="ja-JP"/>
        </w:rPr>
        <w:t>&lt; </w:t>
      </w:r>
      <w:r w:rsidR="00543D19" w:rsidRPr="00A52AB8">
        <w:rPr>
          <w:lang w:eastAsia="ja-JP"/>
        </w:rPr>
        <w:t>numComps </w:t>
      </w:r>
      <w:r w:rsidRPr="00A52AB8">
        <w:rPr>
          <w:lang w:eastAsia="ja-JP"/>
        </w:rPr>
        <w:t>; </w:t>
      </w:r>
      <w:r w:rsidR="00543D19" w:rsidRPr="00A52AB8">
        <w:rPr>
          <w:lang w:eastAsia="ja-JP"/>
        </w:rPr>
        <w:t>j</w:t>
      </w:r>
      <w:r w:rsidR="00006CCF" w:rsidRPr="00A52AB8">
        <w:rPr>
          <w:lang w:eastAsia="ja-JP"/>
        </w:rPr>
        <w:t>++ )</w:t>
      </w:r>
      <w:r w:rsidRPr="00A52AB8">
        <w:br/>
      </w:r>
      <w:r w:rsidRPr="00A52AB8">
        <w:tab/>
      </w:r>
      <w:r w:rsidR="00A274AC" w:rsidRPr="00A52AB8">
        <w:tab/>
      </w:r>
      <w:r w:rsidRPr="00A52AB8">
        <w:t>centerGrid[ cellIndex ][ </w:t>
      </w:r>
      <w:r w:rsidR="00543D19" w:rsidRPr="00A52AB8">
        <w:t>j </w:t>
      </w:r>
      <w:r w:rsidRPr="00A52AB8">
        <w:t>] </w:t>
      </w:r>
      <w:r w:rsidR="00A234FD" w:rsidRPr="00A52AB8">
        <w:t>+=</w:t>
      </w:r>
      <w:r w:rsidR="00D47707" w:rsidRPr="00A52AB8">
        <w:t> </w:t>
      </w:r>
      <w:r w:rsidR="00543D19" w:rsidRPr="00A52AB8">
        <w:t>recPcAttr</w:t>
      </w:r>
      <w:r w:rsidRPr="00A52AB8">
        <w:t>[ n ][ </w:t>
      </w:r>
      <w:r w:rsidR="00543D19" w:rsidRPr="00A52AB8">
        <w:t>j</w:t>
      </w:r>
      <w:r w:rsidRPr="00A52AB8">
        <w:t> ]</w:t>
      </w:r>
      <w:r w:rsidR="00543D19" w:rsidRPr="00A52AB8">
        <w:br/>
      </w:r>
      <w:r w:rsidR="00A274AC" w:rsidRPr="00A52AB8">
        <w:tab/>
      </w:r>
      <w:r w:rsidR="00543D19" w:rsidRPr="00A52AB8">
        <w:t>cellLum[ cellIndex ][ cellCnt[ cellIndex ] ]</w:t>
      </w:r>
      <w:r w:rsidR="00D47707" w:rsidRPr="00A52AB8">
        <w:t> = </w:t>
      </w:r>
      <w:r w:rsidR="00543D19" w:rsidRPr="00A52AB8">
        <w:t>recPcAttr[ n ][ 0 ]</w:t>
      </w:r>
      <w:r w:rsidRPr="00A52AB8">
        <w:br/>
      </w:r>
      <w:r w:rsidR="00A274AC" w:rsidRPr="00A52AB8">
        <w:tab/>
      </w:r>
      <w:r w:rsidRPr="00A52AB8">
        <w:t>cellCnt[ cellIndex ]++</w:t>
      </w:r>
    </w:p>
    <w:p w14:paraId="2A02B43B" w14:textId="24E37D5B" w:rsidR="0096791E" w:rsidRPr="00A52AB8" w:rsidRDefault="0096791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For </w:t>
      </w:r>
      <w:r w:rsidR="00543D19" w:rsidRPr="00A52AB8">
        <w:rPr>
          <w:color w:val="000000" w:themeColor="text1"/>
        </w:rPr>
        <w:t>i</w:t>
      </w:r>
      <w:r w:rsidR="00D47707" w:rsidRPr="00A52AB8">
        <w:rPr>
          <w:color w:val="000000" w:themeColor="text1"/>
        </w:rPr>
        <w:t> = </w:t>
      </w:r>
      <w:r w:rsidRPr="00A52AB8">
        <w:rPr>
          <w:color w:val="000000" w:themeColor="text1"/>
        </w:rPr>
        <w:t>0..numBoundaryCells – 1 the following applies:</w:t>
      </w:r>
    </w:p>
    <w:p w14:paraId="44C8F940" w14:textId="3D7EF2A7" w:rsidR="0096791E" w:rsidRPr="00A52AB8" w:rsidRDefault="0096791E" w:rsidP="008F2A42">
      <w:pPr>
        <w:ind w:left="806"/>
      </w:pPr>
      <w:r w:rsidRPr="00A52AB8">
        <w:rPr>
          <w:lang w:eastAsia="ja-JP"/>
        </w:rPr>
        <w:t>if( cellCnt[ </w:t>
      </w:r>
      <w:r w:rsidR="00543D19" w:rsidRPr="00A52AB8">
        <w:rPr>
          <w:lang w:eastAsia="ja-JP"/>
        </w:rPr>
        <w:t>i </w:t>
      </w:r>
      <w:r w:rsidRPr="00A52AB8">
        <w:rPr>
          <w:lang w:eastAsia="ja-JP"/>
        </w:rPr>
        <w:t>]&gt; 0 )</w:t>
      </w:r>
      <w:r w:rsidRPr="00A52AB8">
        <w:rPr>
          <w:lang w:eastAsia="ja-JP"/>
        </w:rPr>
        <w:br/>
      </w:r>
      <w:r w:rsidR="005A5A45" w:rsidRPr="00A52AB8">
        <w:tab/>
      </w:r>
      <w:r w:rsidRPr="00A52AB8">
        <w:tab/>
      </w:r>
      <w:r w:rsidRPr="00A52AB8">
        <w:rPr>
          <w:lang w:eastAsia="ja-JP"/>
        </w:rPr>
        <w:t>for( </w:t>
      </w:r>
      <w:r w:rsidR="00543D19" w:rsidRPr="00A52AB8">
        <w:rPr>
          <w:lang w:eastAsia="ja-JP"/>
        </w:rPr>
        <w:t>j</w:t>
      </w:r>
      <w:r w:rsidR="00D47707" w:rsidRPr="00A52AB8">
        <w:rPr>
          <w:lang w:eastAsia="ja-JP"/>
        </w:rPr>
        <w:t> = </w:t>
      </w:r>
      <w:r w:rsidRPr="00A52AB8">
        <w:rPr>
          <w:lang w:eastAsia="ja-JP"/>
        </w:rPr>
        <w:t>0; </w:t>
      </w:r>
      <w:r w:rsidR="00543D19" w:rsidRPr="00A52AB8">
        <w:rPr>
          <w:lang w:eastAsia="ja-JP"/>
        </w:rPr>
        <w:t>j </w:t>
      </w:r>
      <w:r w:rsidRPr="00A52AB8">
        <w:rPr>
          <w:lang w:eastAsia="ja-JP"/>
        </w:rPr>
        <w:t>&lt; </w:t>
      </w:r>
      <w:r w:rsidR="00543D19" w:rsidRPr="00A52AB8">
        <w:rPr>
          <w:lang w:eastAsia="ja-JP"/>
        </w:rPr>
        <w:t>numComps </w:t>
      </w:r>
      <w:r w:rsidRPr="00A52AB8">
        <w:rPr>
          <w:lang w:eastAsia="ja-JP"/>
        </w:rPr>
        <w:t>; </w:t>
      </w:r>
      <w:r w:rsidR="00543D19" w:rsidRPr="00A52AB8">
        <w:rPr>
          <w:lang w:eastAsia="ja-JP"/>
        </w:rPr>
        <w:t>j</w:t>
      </w:r>
      <w:r w:rsidR="00006CCF" w:rsidRPr="00A52AB8">
        <w:rPr>
          <w:lang w:eastAsia="ja-JP"/>
        </w:rPr>
        <w:t>++ )</w:t>
      </w:r>
      <w:r w:rsidRPr="00A52AB8">
        <w:br/>
      </w:r>
      <w:r w:rsidRPr="00A52AB8">
        <w:tab/>
      </w:r>
      <w:r w:rsidRPr="00A52AB8">
        <w:tab/>
      </w:r>
      <w:r w:rsidR="005A5A45" w:rsidRPr="00A52AB8">
        <w:tab/>
      </w:r>
      <w:r w:rsidRPr="00A52AB8">
        <w:t>centerGrid[ </w:t>
      </w:r>
      <w:r w:rsidR="00543D19" w:rsidRPr="00A52AB8">
        <w:t>i </w:t>
      </w:r>
      <w:r w:rsidRPr="00A52AB8">
        <w:t>][ </w:t>
      </w:r>
      <w:r w:rsidR="00543D19" w:rsidRPr="00A52AB8">
        <w:t>j </w:t>
      </w:r>
      <w:r w:rsidRPr="00A52AB8">
        <w:t>]</w:t>
      </w:r>
      <w:r w:rsidR="00D47707" w:rsidRPr="00A52AB8">
        <w:t> = </w:t>
      </w:r>
      <w:r w:rsidRPr="00A52AB8">
        <w:t>centerGrid[ </w:t>
      </w:r>
      <w:r w:rsidR="00543D19" w:rsidRPr="00A52AB8">
        <w:t>i </w:t>
      </w:r>
      <w:r w:rsidRPr="00A52AB8">
        <w:t>][ </w:t>
      </w:r>
      <w:r w:rsidR="00543D19" w:rsidRPr="00A52AB8">
        <w:t>j </w:t>
      </w:r>
      <w:r w:rsidRPr="00A52AB8">
        <w:t>] </w:t>
      </w:r>
      <w:r w:rsidRPr="00A52AB8">
        <w:rPr>
          <w:rFonts w:cs="Symbol"/>
          <w:color w:val="000000" w:themeColor="text1"/>
        </w:rPr>
        <w:sym w:font="Symbol" w:char="F0B8"/>
      </w:r>
      <w:r w:rsidRPr="00A52AB8">
        <w:t> cellCnt[ </w:t>
      </w:r>
      <w:r w:rsidR="00543D19" w:rsidRPr="00A52AB8">
        <w:t>i </w:t>
      </w:r>
      <w:r w:rsidRPr="00A52AB8">
        <w:t>]</w:t>
      </w:r>
    </w:p>
    <w:p w14:paraId="6D0EE078" w14:textId="33764357" w:rsidR="006D74F2" w:rsidRPr="00A52AB8" w:rsidRDefault="006D74F2" w:rsidP="00895494">
      <w:pPr>
        <w:pStyle w:val="a4"/>
        <w:numPr>
          <w:ilvl w:val="3"/>
          <w:numId w:val="19"/>
        </w:numPr>
        <w:rPr>
          <w:bCs w:val="0"/>
          <w:iCs w:val="0"/>
        </w:rPr>
      </w:pPr>
      <w:bookmarkStart w:id="6971" w:name="_Ref46865554"/>
      <w:bookmarkStart w:id="6972" w:name="_Ref46865593"/>
      <w:r w:rsidRPr="00A52AB8">
        <w:t xml:space="preserve">Generation of </w:t>
      </w:r>
      <w:r w:rsidR="000C5F41" w:rsidRPr="00A52AB8">
        <w:t xml:space="preserve">an </w:t>
      </w:r>
      <w:r w:rsidR="009C7B9D" w:rsidRPr="00A52AB8">
        <w:t xml:space="preserve">1D </w:t>
      </w:r>
      <w:r w:rsidRPr="00A52AB8">
        <w:t>index lookup table</w:t>
      </w:r>
      <w:bookmarkEnd w:id="6971"/>
      <w:bookmarkEnd w:id="6972"/>
    </w:p>
    <w:p w14:paraId="1666B9BD" w14:textId="77777777" w:rsidR="0050235C" w:rsidRPr="00A52AB8" w:rsidRDefault="006D74F2" w:rsidP="00007BE2">
      <w:pPr>
        <w:tabs>
          <w:tab w:val="left" w:pos="1800"/>
        </w:tabs>
        <w:rPr>
          <w:color w:val="000000" w:themeColor="text1"/>
        </w:rPr>
      </w:pPr>
      <w:r w:rsidRPr="00A52AB8">
        <w:rPr>
          <w:color w:val="000000" w:themeColor="text1"/>
        </w:rPr>
        <w:t>Inputs to this process are:</w:t>
      </w:r>
    </w:p>
    <w:p w14:paraId="45EE2A35" w14:textId="5240F3F1" w:rsidR="006D74F2" w:rsidRPr="00A52AB8" w:rsidRDefault="00B139F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variable </w:t>
      </w:r>
      <w:r w:rsidR="006D74F2" w:rsidRPr="00A52AB8">
        <w:rPr>
          <w:color w:val="000000" w:themeColor="text1"/>
        </w:rPr>
        <w:t xml:space="preserve">gridSize, </w:t>
      </w:r>
      <w:r w:rsidRPr="00A52AB8">
        <w:rPr>
          <w:color w:val="000000" w:themeColor="text1"/>
        </w:rPr>
        <w:t xml:space="preserve">indicating </w:t>
      </w:r>
      <w:r w:rsidR="006D74F2" w:rsidRPr="00A52AB8">
        <w:rPr>
          <w:color w:val="000000" w:themeColor="text1"/>
        </w:rPr>
        <w:t xml:space="preserve">the size of the cell in </w:t>
      </w:r>
      <w:r w:rsidR="000C5F41" w:rsidRPr="00A52AB8">
        <w:rPr>
          <w:color w:val="000000" w:themeColor="text1"/>
        </w:rPr>
        <w:t xml:space="preserve">the </w:t>
      </w:r>
      <w:r w:rsidR="006D74F2" w:rsidRPr="00A52AB8">
        <w:rPr>
          <w:color w:val="000000" w:themeColor="text1"/>
        </w:rPr>
        <w:t>x, y</w:t>
      </w:r>
      <w:r w:rsidR="0097230D" w:rsidRPr="00A52AB8">
        <w:rPr>
          <w:color w:val="000000" w:themeColor="text1"/>
        </w:rPr>
        <w:t>,</w:t>
      </w:r>
      <w:r w:rsidR="006D74F2" w:rsidRPr="00A52AB8">
        <w:rPr>
          <w:color w:val="000000" w:themeColor="text1"/>
        </w:rPr>
        <w:t xml:space="preserve"> or z direction,</w:t>
      </w:r>
    </w:p>
    <w:p w14:paraId="5CD612C9" w14:textId="77046814" w:rsidR="006D74F2" w:rsidRPr="00A52AB8" w:rsidRDefault="00B139F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variable </w:t>
      </w:r>
      <w:r w:rsidR="006D74F2" w:rsidRPr="00A52AB8">
        <w:rPr>
          <w:color w:val="000000" w:themeColor="text1"/>
        </w:rPr>
        <w:t xml:space="preserve">pointCnt, </w:t>
      </w:r>
      <w:r w:rsidRPr="00A52AB8">
        <w:rPr>
          <w:color w:val="000000" w:themeColor="text1"/>
        </w:rPr>
        <w:t xml:space="preserve">indicating </w:t>
      </w:r>
      <w:r w:rsidR="006D74F2" w:rsidRPr="00A52AB8">
        <w:rPr>
          <w:color w:val="000000" w:themeColor="text1"/>
        </w:rPr>
        <w:t>the number of reconstructed points</w:t>
      </w:r>
      <w:r w:rsidR="009C7B9D" w:rsidRPr="00A52AB8">
        <w:rPr>
          <w:color w:val="000000" w:themeColor="text1"/>
        </w:rPr>
        <w:t xml:space="preserve"> in the current point cloud frame</w:t>
      </w:r>
      <w:r w:rsidR="006D74F2" w:rsidRPr="00A52AB8">
        <w:rPr>
          <w:color w:val="000000" w:themeColor="text1"/>
        </w:rPr>
        <w:t>,</w:t>
      </w:r>
    </w:p>
    <w:p w14:paraId="1B9B9990" w14:textId="4A2FB5FA" w:rsidR="006D74F2" w:rsidRPr="00A52AB8"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isBoundaryPoint[ n ], n</w:t>
      </w:r>
      <w:r w:rsidR="00D47707" w:rsidRPr="00A52AB8">
        <w:rPr>
          <w:color w:val="000000" w:themeColor="text1"/>
        </w:rPr>
        <w:t> = </w:t>
      </w:r>
      <w:r w:rsidRPr="00A52AB8">
        <w:rPr>
          <w:color w:val="000000" w:themeColor="text1"/>
        </w:rPr>
        <w:t>0..pointCnt – 1, indicating whether the n-th reconstructed point lies on or near a patch boundary, and</w:t>
      </w:r>
    </w:p>
    <w:p w14:paraId="3B5EFC69" w14:textId="777D30E6" w:rsidR="006D74F2" w:rsidRPr="00A52AB8"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recPcGeo[ n ]</w:t>
      </w:r>
      <w:r w:rsidR="004B7314" w:rsidRPr="00A52AB8">
        <w:rPr>
          <w:color w:val="000000" w:themeColor="text1"/>
        </w:rPr>
        <w:t>[ k ]</w:t>
      </w:r>
      <w:r w:rsidRPr="00A52AB8">
        <w:rPr>
          <w:color w:val="000000" w:themeColor="text1"/>
        </w:rPr>
        <w:t>, n</w:t>
      </w:r>
      <w:r w:rsidR="00D47707" w:rsidRPr="00A52AB8">
        <w:rPr>
          <w:color w:val="000000" w:themeColor="text1"/>
        </w:rPr>
        <w:t> = </w:t>
      </w:r>
      <w:r w:rsidRPr="00A52AB8">
        <w:rPr>
          <w:color w:val="000000" w:themeColor="text1"/>
        </w:rPr>
        <w:t>0..pointCnt – 1, k</w:t>
      </w:r>
      <w:r w:rsidR="00D47707" w:rsidRPr="00A52AB8">
        <w:rPr>
          <w:color w:val="000000" w:themeColor="text1"/>
        </w:rPr>
        <w:t> = </w:t>
      </w:r>
      <w:r w:rsidRPr="00A52AB8">
        <w:rPr>
          <w:color w:val="000000" w:themeColor="text1"/>
        </w:rPr>
        <w:t>0..2, an array containing the reconstructed</w:t>
      </w:r>
      <w:r w:rsidR="009C7B9D" w:rsidRPr="00A52AB8">
        <w:rPr>
          <w:color w:val="000000" w:themeColor="text1"/>
        </w:rPr>
        <w:t>, possibly smoothed,</w:t>
      </w:r>
      <w:r w:rsidRPr="00A52AB8">
        <w:rPr>
          <w:color w:val="000000" w:themeColor="text1"/>
        </w:rPr>
        <w:t xml:space="preserve"> point positions.</w:t>
      </w:r>
    </w:p>
    <w:p w14:paraId="085DCE3F" w14:textId="77777777" w:rsidR="0050235C" w:rsidRPr="00A52AB8" w:rsidRDefault="006D74F2" w:rsidP="00007BE2">
      <w:pPr>
        <w:tabs>
          <w:tab w:val="left" w:pos="1800"/>
        </w:tabs>
        <w:rPr>
          <w:color w:val="000000" w:themeColor="text1"/>
        </w:rPr>
      </w:pPr>
      <w:r w:rsidRPr="00A52AB8">
        <w:rPr>
          <w:color w:val="000000" w:themeColor="text1"/>
        </w:rPr>
        <w:t>Outputs of this process are:</w:t>
      </w:r>
    </w:p>
    <w:p w14:paraId="71199755" w14:textId="7DF0579B" w:rsidR="00543D19" w:rsidRPr="00A52AB8" w:rsidRDefault="00543D19"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numCells1D, the number of cells in x, y or z direction,</w:t>
      </w:r>
    </w:p>
    <w:p w14:paraId="7DCF911C" w14:textId="547B7075" w:rsidR="00543D19" w:rsidRPr="00A52AB8" w:rsidRDefault="00543D19"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numBoundaryCells, the number of smoothing grid cells containing a boundary point or belonging to a 2 × 2 × 2 </w:t>
      </w:r>
      <w:r w:rsidR="006B0BA3" w:rsidRPr="00A52AB8">
        <w:rPr>
          <w:color w:val="000000" w:themeColor="text1"/>
        </w:rPr>
        <w:t>neighbour</w:t>
      </w:r>
      <w:r w:rsidRPr="00A52AB8">
        <w:rPr>
          <w:color w:val="000000" w:themeColor="text1"/>
        </w:rPr>
        <w:t>hood of the cells containing boundary points, and</w:t>
      </w:r>
    </w:p>
    <w:p w14:paraId="1EFEDB7B" w14:textId="77777777" w:rsidR="00543D19" w:rsidRPr="00A52AB8"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cellIdxLut</w:t>
      </w:r>
      <w:r w:rsidR="004B7314" w:rsidRPr="00A52AB8">
        <w:rPr>
          <w:color w:val="000000" w:themeColor="text1"/>
        </w:rPr>
        <w:t>[ x ][ y ]</w:t>
      </w:r>
      <w:r w:rsidRPr="00A52AB8">
        <w:rPr>
          <w:color w:val="000000" w:themeColor="text1"/>
        </w:rPr>
        <w:t>[ z ], for x, y, and z in the range of 0</w:t>
      </w:r>
      <w:r w:rsidR="00543D19" w:rsidRPr="00A52AB8">
        <w:rPr>
          <w:color w:val="000000" w:themeColor="text1"/>
        </w:rPr>
        <w:t>..</w:t>
      </w:r>
      <w:r w:rsidRPr="00A52AB8">
        <w:rPr>
          <w:color w:val="000000" w:themeColor="text1"/>
        </w:rPr>
        <w:t>numCells1D − 1, an array mapping a 3D cell index to a 1D index in the range of 0..numBoundaryCells – 1</w:t>
      </w:r>
      <w:r w:rsidR="00543D19" w:rsidRPr="00A52AB8">
        <w:rPr>
          <w:color w:val="000000" w:themeColor="text1"/>
        </w:rPr>
        <w:t>.</w:t>
      </w:r>
    </w:p>
    <w:p w14:paraId="3236BE59" w14:textId="77777777" w:rsidR="00543D19" w:rsidRPr="00A52AB8" w:rsidRDefault="00543D19" w:rsidP="00007BE2">
      <w:pPr>
        <w:rPr>
          <w:lang w:eastAsia="ja-JP"/>
        </w:rPr>
      </w:pPr>
      <w:r w:rsidRPr="00A52AB8">
        <w:rPr>
          <w:lang w:eastAsia="ja-JP"/>
        </w:rPr>
        <w:t>The following applies:</w:t>
      </w:r>
    </w:p>
    <w:p w14:paraId="41378814" w14:textId="77777777" w:rsidR="0050235C" w:rsidRPr="00A52AB8" w:rsidRDefault="00543D19"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The three-dimensional geometry coordinate space is divided into cells of size gridSize × gridSize × gridSize. The variable numCells1D is derived as follows:</w:t>
      </w:r>
    </w:p>
    <w:p w14:paraId="6E90B7D2" w14:textId="4D400ABB" w:rsidR="00A274AC" w:rsidRPr="00A52AB8" w:rsidRDefault="00A274AC" w:rsidP="00007BE2">
      <w:pPr>
        <w:ind w:left="805"/>
        <w:rPr>
          <w:lang w:eastAsia="ja-JP"/>
        </w:rPr>
      </w:pPr>
      <w:r w:rsidRPr="00A52AB8">
        <w:rPr>
          <w:lang w:eastAsia="ja-JP"/>
        </w:rPr>
        <w:tab/>
      </w:r>
      <w:r w:rsidR="00543D19" w:rsidRPr="00A52AB8">
        <w:rPr>
          <w:lang w:eastAsia="ja-JP"/>
        </w:rPr>
        <w:t>for( k</w:t>
      </w:r>
      <w:r w:rsidR="00D47707" w:rsidRPr="00A52AB8">
        <w:rPr>
          <w:lang w:eastAsia="ja-JP"/>
        </w:rPr>
        <w:t> = </w:t>
      </w:r>
      <w:r w:rsidR="00543D19" w:rsidRPr="00A52AB8">
        <w:rPr>
          <w:lang w:eastAsia="ja-JP"/>
        </w:rPr>
        <w:t>0;</w:t>
      </w:r>
      <w:r w:rsidRPr="00A52AB8">
        <w:rPr>
          <w:lang w:eastAsia="ja-JP"/>
        </w:rPr>
        <w:t> </w:t>
      </w:r>
      <w:r w:rsidR="00543D19" w:rsidRPr="00A52AB8">
        <w:rPr>
          <w:lang w:eastAsia="ja-JP"/>
        </w:rPr>
        <w:t>k</w:t>
      </w:r>
      <w:r w:rsidRPr="00A52AB8">
        <w:rPr>
          <w:lang w:eastAsia="ja-JP"/>
        </w:rPr>
        <w:t> </w:t>
      </w:r>
      <w:r w:rsidR="00543D19" w:rsidRPr="00A52AB8">
        <w:rPr>
          <w:lang w:eastAsia="ja-JP"/>
        </w:rPr>
        <w:t>&lt;</w:t>
      </w:r>
      <w:r w:rsidRPr="00A52AB8">
        <w:rPr>
          <w:lang w:eastAsia="ja-JP"/>
        </w:rPr>
        <w:t> </w:t>
      </w:r>
      <w:r w:rsidR="00543D19" w:rsidRPr="00A52AB8">
        <w:rPr>
          <w:lang w:eastAsia="ja-JP"/>
        </w:rPr>
        <w:t>3;</w:t>
      </w:r>
      <w:r w:rsidRPr="00A52AB8">
        <w:rPr>
          <w:lang w:eastAsia="ja-JP"/>
        </w:rPr>
        <w:t> </w:t>
      </w:r>
      <w:r w:rsidR="00543D19" w:rsidRPr="00A52AB8">
        <w:rPr>
          <w:lang w:eastAsia="ja-JP"/>
        </w:rPr>
        <w:t>k</w:t>
      </w:r>
      <w:r w:rsidR="00006CCF" w:rsidRPr="00A52AB8">
        <w:rPr>
          <w:lang w:eastAsia="ja-JP"/>
        </w:rPr>
        <w:t>++ )</w:t>
      </w:r>
      <w:r w:rsidR="00543D19" w:rsidRPr="00A52AB8">
        <w:rPr>
          <w:lang w:eastAsia="ja-JP"/>
        </w:rPr>
        <w:br/>
      </w:r>
      <w:r w:rsidR="00543D19" w:rsidRPr="00A52AB8">
        <w:rPr>
          <w:lang w:eastAsia="ja-JP"/>
        </w:rPr>
        <w:tab/>
      </w:r>
      <w:r w:rsidRPr="00A52AB8">
        <w:rPr>
          <w:lang w:eastAsia="ja-JP"/>
        </w:rPr>
        <w:tab/>
      </w:r>
      <w:r w:rsidR="00543D19" w:rsidRPr="00A52AB8">
        <w:rPr>
          <w:lang w:eastAsia="ja-JP"/>
        </w:rPr>
        <w:t>max</w:t>
      </w:r>
      <w:r w:rsidR="00543D19" w:rsidRPr="00A52AB8">
        <w:t>G</w:t>
      </w:r>
      <w:r w:rsidR="004B7314" w:rsidRPr="00A52AB8">
        <w:rPr>
          <w:lang w:eastAsia="ja-JP"/>
        </w:rPr>
        <w:t>[ k ]</w:t>
      </w:r>
      <w:r w:rsidR="00D47707" w:rsidRPr="00A52AB8">
        <w:rPr>
          <w:lang w:eastAsia="ja-JP"/>
        </w:rPr>
        <w:t> = </w:t>
      </w:r>
      <w:r w:rsidR="00543D19" w:rsidRPr="00A52AB8">
        <w:t>recPcGeo</w:t>
      </w:r>
      <w:r w:rsidR="00543D19" w:rsidRPr="00A52AB8">
        <w:rPr>
          <w:lang w:eastAsia="ja-JP"/>
        </w:rPr>
        <w:t>[ 0 ]</w:t>
      </w:r>
      <w:r w:rsidR="004B7314" w:rsidRPr="00A52AB8">
        <w:rPr>
          <w:lang w:eastAsia="ja-JP"/>
        </w:rPr>
        <w:t>[ k ]</w:t>
      </w:r>
    </w:p>
    <w:p w14:paraId="40E8DD2A" w14:textId="7E5311C6" w:rsidR="006D74F2" w:rsidRPr="00A52AB8" w:rsidRDefault="00A274AC" w:rsidP="00007BE2">
      <w:pPr>
        <w:ind w:left="805"/>
        <w:rPr>
          <w:lang w:eastAsia="ja-JP"/>
        </w:rPr>
      </w:pPr>
      <w:r w:rsidRPr="00A52AB8">
        <w:rPr>
          <w:lang w:eastAsia="ja-JP"/>
        </w:rPr>
        <w:tab/>
      </w:r>
      <w:r w:rsidR="00543D19" w:rsidRPr="00A52AB8">
        <w:rPr>
          <w:lang w:eastAsia="ja-JP"/>
        </w:rPr>
        <w:t>for( i</w:t>
      </w:r>
      <w:r w:rsidR="00D47707" w:rsidRPr="00A52AB8">
        <w:rPr>
          <w:lang w:eastAsia="ja-JP"/>
        </w:rPr>
        <w:t> = </w:t>
      </w:r>
      <w:r w:rsidR="00543D19" w:rsidRPr="00A52AB8">
        <w:rPr>
          <w:lang w:eastAsia="ja-JP"/>
        </w:rPr>
        <w:t>1; i &lt; pointCnt ; i</w:t>
      </w:r>
      <w:r w:rsidR="00006CCF" w:rsidRPr="00A52AB8">
        <w:rPr>
          <w:lang w:eastAsia="ja-JP"/>
        </w:rPr>
        <w:t>++ )</w:t>
      </w:r>
      <w:r w:rsidR="00543D19" w:rsidRPr="00A52AB8">
        <w:rPr>
          <w:lang w:eastAsia="ja-JP"/>
        </w:rPr>
        <w:br/>
      </w:r>
      <w:r w:rsidR="00543D19" w:rsidRPr="00A52AB8">
        <w:rPr>
          <w:lang w:eastAsia="ja-JP"/>
        </w:rPr>
        <w:tab/>
      </w:r>
      <w:r w:rsidRPr="00A52AB8">
        <w:rPr>
          <w:lang w:eastAsia="ja-JP"/>
        </w:rPr>
        <w:tab/>
      </w:r>
      <w:r w:rsidR="00543D19" w:rsidRPr="00A52AB8">
        <w:rPr>
          <w:lang w:eastAsia="ja-JP"/>
        </w:rPr>
        <w:t>for( k</w:t>
      </w:r>
      <w:r w:rsidR="00D47707" w:rsidRPr="00A52AB8">
        <w:rPr>
          <w:lang w:eastAsia="ja-JP"/>
        </w:rPr>
        <w:t> = </w:t>
      </w:r>
      <w:r w:rsidR="00543D19" w:rsidRPr="00A52AB8">
        <w:rPr>
          <w:lang w:eastAsia="ja-JP"/>
        </w:rPr>
        <w:t>0; k &lt; 3 ; k</w:t>
      </w:r>
      <w:r w:rsidR="00006CCF" w:rsidRPr="00A52AB8">
        <w:rPr>
          <w:lang w:eastAsia="ja-JP"/>
        </w:rPr>
        <w:t>++ )</w:t>
      </w:r>
      <w:r w:rsidR="00543D19" w:rsidRPr="00A52AB8">
        <w:rPr>
          <w:lang w:eastAsia="ja-JP"/>
        </w:rPr>
        <w:br/>
      </w:r>
      <w:r w:rsidR="00543D19" w:rsidRPr="00A52AB8">
        <w:rPr>
          <w:lang w:eastAsia="ja-JP"/>
        </w:rPr>
        <w:tab/>
      </w:r>
      <w:r w:rsidR="00543D19" w:rsidRPr="00A52AB8">
        <w:rPr>
          <w:lang w:eastAsia="ja-JP"/>
        </w:rPr>
        <w:tab/>
      </w:r>
      <w:r w:rsidRPr="00A52AB8">
        <w:rPr>
          <w:lang w:eastAsia="ja-JP"/>
        </w:rPr>
        <w:tab/>
      </w:r>
      <w:r w:rsidR="00543D19" w:rsidRPr="00A52AB8">
        <w:rPr>
          <w:lang w:eastAsia="ja-JP"/>
        </w:rPr>
        <w:t>maxG</w:t>
      </w:r>
      <w:r w:rsidR="004B7314" w:rsidRPr="00A52AB8">
        <w:rPr>
          <w:lang w:eastAsia="ja-JP"/>
        </w:rPr>
        <w:t>[ k ]</w:t>
      </w:r>
      <w:r w:rsidR="00D47707" w:rsidRPr="00A52AB8">
        <w:rPr>
          <w:lang w:eastAsia="ja-JP"/>
        </w:rPr>
        <w:t> = </w:t>
      </w:r>
      <w:r w:rsidR="00543D19" w:rsidRPr="00A52AB8">
        <w:rPr>
          <w:lang w:eastAsia="ja-JP"/>
        </w:rPr>
        <w:t>Max(max</w:t>
      </w:r>
      <w:r w:rsidR="00543D19" w:rsidRPr="00A52AB8">
        <w:t>G</w:t>
      </w:r>
      <w:r w:rsidR="004B7314" w:rsidRPr="00A52AB8">
        <w:rPr>
          <w:lang w:eastAsia="ja-JP"/>
        </w:rPr>
        <w:t>[ k ]</w:t>
      </w:r>
      <w:r w:rsidR="00543D19" w:rsidRPr="00A52AB8">
        <w:rPr>
          <w:lang w:eastAsia="ja-JP"/>
        </w:rPr>
        <w:t>, </w:t>
      </w:r>
      <w:r w:rsidR="00543D19" w:rsidRPr="00A52AB8">
        <w:t>recPcGeo</w:t>
      </w:r>
      <w:r w:rsidR="00543D19" w:rsidRPr="00A52AB8">
        <w:rPr>
          <w:lang w:eastAsia="ja-JP"/>
        </w:rPr>
        <w:t>[ i ]</w:t>
      </w:r>
      <w:r w:rsidR="004B7314" w:rsidRPr="00A52AB8">
        <w:rPr>
          <w:lang w:eastAsia="ja-JP"/>
        </w:rPr>
        <w:t>[ k ]</w:t>
      </w:r>
      <w:r w:rsidR="00543D19" w:rsidRPr="00A52AB8">
        <w:rPr>
          <w:lang w:eastAsia="ja-JP"/>
        </w:rPr>
        <w:t> )</w:t>
      </w:r>
      <w:r w:rsidR="00C14371" w:rsidRPr="00A52AB8">
        <w:rPr>
          <w:lang w:eastAsia="ja-JP"/>
        </w:rPr>
        <w:br/>
      </w:r>
      <w:r w:rsidR="00543D19" w:rsidRPr="00A52AB8">
        <w:rPr>
          <w:lang w:eastAsia="ja-JP"/>
        </w:rPr>
        <w:tab/>
        <w:t>numCells1D</w:t>
      </w:r>
      <w:r w:rsidR="00D47707" w:rsidRPr="00A52AB8">
        <w:rPr>
          <w:lang w:eastAsia="ja-JP"/>
        </w:rPr>
        <w:t> = </w:t>
      </w:r>
      <w:r w:rsidR="00543D19" w:rsidRPr="00A52AB8">
        <w:rPr>
          <w:lang w:eastAsia="ja-JP"/>
        </w:rPr>
        <w:t>( Max( maxG[ 0 ], Max( maxG[ 1 ], maxG[ 2</w:t>
      </w:r>
      <w:r w:rsidR="00543D19" w:rsidRPr="00A52AB8">
        <w:t> </w:t>
      </w:r>
      <w:r w:rsidR="00747F7C" w:rsidRPr="00A52AB8">
        <w:rPr>
          <w:lang w:eastAsia="ja-JP"/>
        </w:rPr>
        <w:t>] ) )</w:t>
      </w:r>
      <w:r w:rsidR="00C61E38" w:rsidRPr="00A52AB8">
        <w:rPr>
          <w:lang w:eastAsia="ja-JP"/>
        </w:rPr>
        <w:t> </w:t>
      </w:r>
      <w:r w:rsidR="00543D19" w:rsidRPr="00A52AB8">
        <w:rPr>
          <w:lang w:eastAsia="ja-JP"/>
        </w:rPr>
        <w:t>/ gridSize</w:t>
      </w:r>
      <w:r w:rsidR="00747F7C" w:rsidRPr="00A52AB8">
        <w:rPr>
          <w:lang w:eastAsia="ja-JP"/>
        </w:rPr>
        <w:t> ) +</w:t>
      </w:r>
      <w:r w:rsidR="005B4107" w:rsidRPr="00A52AB8">
        <w:rPr>
          <w:lang w:eastAsia="ja-JP"/>
        </w:rPr>
        <w:t> </w:t>
      </w:r>
      <w:r w:rsidR="00747F7C" w:rsidRPr="00A52AB8">
        <w:rPr>
          <w:lang w:eastAsia="ja-JP"/>
        </w:rPr>
        <w:t>1</w:t>
      </w:r>
    </w:p>
    <w:p w14:paraId="4079610F" w14:textId="32B42891" w:rsidR="006D74F2" w:rsidRPr="00A52AB8" w:rsidRDefault="00747F7C" w:rsidP="00007BE2">
      <w:pPr>
        <w:rPr>
          <w:lang w:eastAsia="ja-JP"/>
        </w:rPr>
      </w:pPr>
      <w:r w:rsidRPr="00A52AB8">
        <w:rPr>
          <w:lang w:eastAsia="ja-JP"/>
        </w:rPr>
        <w:t>Only some of</w:t>
      </w:r>
      <w:r w:rsidR="006D74F2" w:rsidRPr="00A52AB8">
        <w:rPr>
          <w:lang w:eastAsia="ja-JP"/>
        </w:rPr>
        <w:t xml:space="preserve"> the cells in the numCells1D</w:t>
      </w:r>
      <w:r w:rsidR="00834FC8" w:rsidRPr="00A52AB8">
        <w:rPr>
          <w:lang w:eastAsia="ja-JP"/>
        </w:rPr>
        <w:t> </w:t>
      </w:r>
      <w:r w:rsidR="006D74F2" w:rsidRPr="00A52AB8">
        <w:rPr>
          <w:lang w:eastAsia="ja-JP"/>
        </w:rPr>
        <w:t>×</w:t>
      </w:r>
      <w:r w:rsidR="00834FC8" w:rsidRPr="00A52AB8">
        <w:rPr>
          <w:lang w:eastAsia="ja-JP"/>
        </w:rPr>
        <w:t> </w:t>
      </w:r>
      <w:r w:rsidR="006D74F2" w:rsidRPr="00A52AB8">
        <w:rPr>
          <w:lang w:eastAsia="ja-JP"/>
        </w:rPr>
        <w:t>numCells1D</w:t>
      </w:r>
      <w:r w:rsidR="00834FC8" w:rsidRPr="00A52AB8">
        <w:rPr>
          <w:lang w:eastAsia="ja-JP"/>
        </w:rPr>
        <w:t> </w:t>
      </w:r>
      <w:r w:rsidR="006D74F2" w:rsidRPr="00A52AB8">
        <w:rPr>
          <w:lang w:eastAsia="ja-JP"/>
        </w:rPr>
        <w:t>×</w:t>
      </w:r>
      <w:r w:rsidR="00834FC8" w:rsidRPr="00A52AB8">
        <w:rPr>
          <w:lang w:eastAsia="ja-JP"/>
        </w:rPr>
        <w:t> </w:t>
      </w:r>
      <w:r w:rsidR="006D74F2" w:rsidRPr="00A52AB8">
        <w:rPr>
          <w:lang w:eastAsia="ja-JP"/>
        </w:rPr>
        <w:t xml:space="preserve">numCells1D grid </w:t>
      </w:r>
      <w:r w:rsidRPr="00A52AB8">
        <w:rPr>
          <w:lang w:eastAsia="ja-JP"/>
        </w:rPr>
        <w:t>affect</w:t>
      </w:r>
      <w:r w:rsidR="006D74F2" w:rsidRPr="00A52AB8">
        <w:rPr>
          <w:lang w:eastAsia="ja-JP"/>
        </w:rPr>
        <w:t xml:space="preserve"> geometry or attribute smoothing. So</w:t>
      </w:r>
      <w:r w:rsidR="00E616B4" w:rsidRPr="00A52AB8">
        <w:rPr>
          <w:lang w:eastAsia="ja-JP"/>
        </w:rPr>
        <w:t>,</w:t>
      </w:r>
      <w:r w:rsidR="006D74F2" w:rsidRPr="00A52AB8">
        <w:rPr>
          <w:lang w:eastAsia="ja-JP"/>
        </w:rPr>
        <w:t xml:space="preserve"> for storing </w:t>
      </w:r>
      <w:r w:rsidRPr="00A52AB8">
        <w:rPr>
          <w:lang w:eastAsia="ja-JP"/>
        </w:rPr>
        <w:t xml:space="preserve">information </w:t>
      </w:r>
      <w:r w:rsidR="006D74F2" w:rsidRPr="00A52AB8">
        <w:rPr>
          <w:lang w:eastAsia="ja-JP"/>
        </w:rPr>
        <w:t xml:space="preserve">specific to </w:t>
      </w:r>
      <w:r w:rsidRPr="00A52AB8">
        <w:rPr>
          <w:lang w:eastAsia="ja-JP"/>
        </w:rPr>
        <w:t xml:space="preserve">such </w:t>
      </w:r>
      <w:r w:rsidR="006D74F2" w:rsidRPr="00A52AB8">
        <w:rPr>
          <w:lang w:eastAsia="ja-JP"/>
        </w:rPr>
        <w:t>cell</w:t>
      </w:r>
      <w:r w:rsidRPr="00A52AB8">
        <w:rPr>
          <w:lang w:eastAsia="ja-JP"/>
        </w:rPr>
        <w:t>s</w:t>
      </w:r>
      <w:r w:rsidR="006D74F2" w:rsidRPr="00A52AB8">
        <w:rPr>
          <w:lang w:eastAsia="ja-JP"/>
        </w:rPr>
        <w:t xml:space="preserve">, this process creates a lookup table from </w:t>
      </w:r>
      <w:r w:rsidRPr="00A52AB8">
        <w:rPr>
          <w:lang w:eastAsia="ja-JP"/>
        </w:rPr>
        <w:t xml:space="preserve">the </w:t>
      </w:r>
      <w:r w:rsidR="006D74F2" w:rsidRPr="00A52AB8">
        <w:rPr>
          <w:lang w:eastAsia="ja-JP"/>
        </w:rPr>
        <w:t xml:space="preserve">3D cell index into a smaller 1D cell structure which only </w:t>
      </w:r>
      <w:r w:rsidRPr="00A52AB8">
        <w:rPr>
          <w:lang w:eastAsia="ja-JP"/>
        </w:rPr>
        <w:t xml:space="preserve">stores information about </w:t>
      </w:r>
      <w:r w:rsidR="006D74F2" w:rsidRPr="00A52AB8">
        <w:rPr>
          <w:lang w:eastAsia="ja-JP"/>
        </w:rPr>
        <w:t xml:space="preserve">cells that </w:t>
      </w:r>
      <w:r w:rsidRPr="00A52AB8">
        <w:rPr>
          <w:lang w:eastAsia="ja-JP"/>
        </w:rPr>
        <w:t xml:space="preserve">affect </w:t>
      </w:r>
      <w:r w:rsidR="006D74F2" w:rsidRPr="00A52AB8">
        <w:rPr>
          <w:lang w:eastAsia="ja-JP"/>
        </w:rPr>
        <w:t>geometry or attribute smoothing.</w:t>
      </w:r>
    </w:p>
    <w:p w14:paraId="0B8D5D43" w14:textId="77777777" w:rsidR="006D74F2" w:rsidRPr="00A52AB8" w:rsidRDefault="006D74F2" w:rsidP="00007BE2">
      <w:pPr>
        <w:rPr>
          <w:lang w:eastAsia="ja-JP"/>
        </w:rPr>
      </w:pPr>
      <w:r w:rsidRPr="00A52AB8">
        <w:rPr>
          <w:lang w:eastAsia="ja-JP"/>
        </w:rPr>
        <w:t>An array cellIdxLut of size numCells1D × numCells1D × numCells1D is initialized to −1 and a variable numBoundaryCells is initialized to 0.</w:t>
      </w:r>
    </w:p>
    <w:p w14:paraId="493F7A87" w14:textId="77777777" w:rsidR="006D74F2" w:rsidRPr="00A52AB8" w:rsidRDefault="006D74F2" w:rsidP="00007BE2">
      <w:pPr>
        <w:rPr>
          <w:lang w:eastAsia="ja-JP"/>
        </w:rPr>
      </w:pPr>
      <w:r w:rsidRPr="00A52AB8">
        <w:rPr>
          <w:lang w:eastAsia="ja-JP"/>
        </w:rPr>
        <w:t>The following applies:</w:t>
      </w:r>
    </w:p>
    <w:p w14:paraId="234C66CF" w14:textId="4F3089AF" w:rsidR="006D74F2" w:rsidRPr="00A52AB8" w:rsidRDefault="00D52145" w:rsidP="004A6049">
      <w:r w:rsidRPr="00A52AB8">
        <w:rPr>
          <w:lang w:eastAsia="ja-JP"/>
        </w:rPr>
        <w:tab/>
      </w:r>
      <w:r w:rsidR="006D74F2" w:rsidRPr="00A52AB8">
        <w:rPr>
          <w:lang w:eastAsia="ja-JP"/>
        </w:rPr>
        <w:t>halfGridSize</w:t>
      </w:r>
      <w:r w:rsidR="00D47707" w:rsidRPr="00A52AB8">
        <w:rPr>
          <w:lang w:eastAsia="ja-JP"/>
        </w:rPr>
        <w:t> = </w:t>
      </w:r>
      <w:r w:rsidR="006D74F2" w:rsidRPr="00A52AB8">
        <w:rPr>
          <w:lang w:eastAsia="ja-JP"/>
        </w:rPr>
        <w:t>Max( gridSize / 2,</w:t>
      </w:r>
      <w:r w:rsidR="00A274AC" w:rsidRPr="00A52AB8">
        <w:rPr>
          <w:lang w:eastAsia="ja-JP"/>
        </w:rPr>
        <w:t> </w:t>
      </w:r>
      <w:r w:rsidR="006D74F2" w:rsidRPr="00A52AB8">
        <w:rPr>
          <w:lang w:eastAsia="ja-JP"/>
        </w:rPr>
        <w:t>1</w:t>
      </w:r>
      <w:r w:rsidR="00A274AC" w:rsidRPr="00A52AB8">
        <w:rPr>
          <w:lang w:eastAsia="ja-JP"/>
        </w:rPr>
        <w:t> </w:t>
      </w:r>
      <w:r w:rsidR="006D74F2" w:rsidRPr="00A52AB8">
        <w:rPr>
          <w:lang w:eastAsia="ja-JP"/>
        </w:rPr>
        <w:t>)</w:t>
      </w:r>
      <w:r w:rsidR="006D74F2" w:rsidRPr="00A52AB8">
        <w:rPr>
          <w:lang w:eastAsia="ja-JP"/>
        </w:rPr>
        <w:br/>
      </w:r>
      <w:r w:rsidRPr="00A52AB8">
        <w:rPr>
          <w:lang w:eastAsia="ja-JP"/>
        </w:rPr>
        <w:tab/>
      </w:r>
      <w:r w:rsidR="006D74F2" w:rsidRPr="00A52AB8">
        <w:rPr>
          <w:lang w:eastAsia="ja-JP"/>
        </w:rPr>
        <w:t>maxCoord</w:t>
      </w:r>
      <w:r w:rsidR="00D47707" w:rsidRPr="00A52AB8">
        <w:rPr>
          <w:lang w:eastAsia="ja-JP"/>
        </w:rPr>
        <w:t> = </w:t>
      </w:r>
      <w:r w:rsidR="006D74F2" w:rsidRPr="00A52AB8">
        <w:rPr>
          <w:lang w:eastAsia="ja-JP"/>
        </w:rPr>
        <w:t>gridSize * numCells1D</w:t>
      </w:r>
      <w:r w:rsidR="006D74F2" w:rsidRPr="00A52AB8">
        <w:rPr>
          <w:lang w:eastAsia="ja-JP"/>
        </w:rPr>
        <w:br/>
      </w:r>
      <w:r w:rsidRPr="00A52AB8">
        <w:rPr>
          <w:lang w:eastAsia="ja-JP"/>
        </w:rPr>
        <w:tab/>
      </w:r>
      <w:r w:rsidR="006D74F2" w:rsidRPr="00A52AB8">
        <w:rPr>
          <w:lang w:eastAsia="ja-JP"/>
        </w:rPr>
        <w:t>for( n</w:t>
      </w:r>
      <w:r w:rsidR="00D47707" w:rsidRPr="00A52AB8">
        <w:rPr>
          <w:lang w:eastAsia="ja-JP"/>
        </w:rPr>
        <w:t> = </w:t>
      </w:r>
      <w:r w:rsidR="006D74F2" w:rsidRPr="00A52AB8">
        <w:rPr>
          <w:lang w:eastAsia="ja-JP"/>
        </w:rPr>
        <w:t>0;</w:t>
      </w:r>
      <w:r w:rsidR="00A274AC" w:rsidRPr="00A52AB8">
        <w:rPr>
          <w:lang w:eastAsia="ja-JP"/>
        </w:rPr>
        <w:t> </w:t>
      </w:r>
      <w:r w:rsidR="006D74F2" w:rsidRPr="00A52AB8">
        <w:rPr>
          <w:lang w:eastAsia="ja-JP"/>
        </w:rPr>
        <w:t>n &lt; pointCnt;</w:t>
      </w:r>
      <w:r w:rsidR="00A274AC" w:rsidRPr="00A52AB8">
        <w:rPr>
          <w:lang w:eastAsia="ja-JP"/>
        </w:rPr>
        <w:t> </w:t>
      </w:r>
      <w:r w:rsidR="006D74F2" w:rsidRPr="00A52AB8">
        <w:rPr>
          <w:lang w:eastAsia="ja-JP"/>
        </w:rPr>
        <w:t>n</w:t>
      </w:r>
      <w:r w:rsidR="00006CCF" w:rsidRPr="00A52AB8">
        <w:rPr>
          <w:lang w:eastAsia="ja-JP"/>
        </w:rPr>
        <w:t>++ </w:t>
      </w:r>
      <w:r w:rsidR="008F1F82" w:rsidRPr="00A52AB8">
        <w:rPr>
          <w:lang w:eastAsia="ja-JP"/>
        </w:rPr>
        <w:t>) {</w:t>
      </w:r>
      <w:r w:rsidR="006D74F2" w:rsidRPr="00A52AB8">
        <w:rPr>
          <w:lang w:eastAsia="ja-JP"/>
        </w:rPr>
        <w:br/>
      </w:r>
      <w:r w:rsidR="006D74F2" w:rsidRPr="00A52AB8">
        <w:rPr>
          <w:lang w:eastAsia="ja-JP"/>
        </w:rPr>
        <w:tab/>
      </w:r>
      <w:r w:rsidRPr="00A52AB8">
        <w:rPr>
          <w:lang w:eastAsia="ja-JP"/>
        </w:rPr>
        <w:tab/>
      </w:r>
      <w:r w:rsidR="006D74F2" w:rsidRPr="00A52AB8">
        <w:rPr>
          <w:lang w:eastAsia="ja-JP"/>
        </w:rPr>
        <w:t>if( </w:t>
      </w:r>
      <w:r w:rsidR="006D74F2" w:rsidRPr="00A52AB8">
        <w:t>isBoundaryPoint</w:t>
      </w:r>
      <w:r w:rsidR="000B7FBC" w:rsidRPr="00A52AB8">
        <w:t>[ n ]</w:t>
      </w:r>
      <w:r w:rsidR="00747F7C" w:rsidRPr="00A52AB8">
        <w:t> &gt; 0</w:t>
      </w:r>
      <w:r w:rsidR="006D74F2" w:rsidRPr="00A52AB8">
        <w:t> </w:t>
      </w:r>
      <w:r w:rsidR="008F1F82" w:rsidRPr="00A52AB8">
        <w:t>) {</w:t>
      </w:r>
      <w:r w:rsidR="006D74F2" w:rsidRPr="00A52AB8">
        <w:br/>
      </w:r>
      <w:r w:rsidR="006D74F2" w:rsidRPr="00A52AB8">
        <w:tab/>
      </w:r>
      <w:r w:rsidR="006D74F2" w:rsidRPr="00A52AB8">
        <w:tab/>
      </w:r>
      <w:r w:rsidRPr="00A52AB8">
        <w:tab/>
      </w:r>
      <w:r w:rsidR="006D74F2" w:rsidRPr="00A52AB8">
        <w:rPr>
          <w:lang w:eastAsia="ja-JP"/>
        </w:rPr>
        <w:t>x</w:t>
      </w:r>
      <w:r w:rsidR="00D47707" w:rsidRPr="00A52AB8">
        <w:rPr>
          <w:lang w:eastAsia="ja-JP"/>
        </w:rPr>
        <w:t> = </w:t>
      </w:r>
      <w:r w:rsidR="006D74F2" w:rsidRPr="00A52AB8">
        <w:t>recPcGeo[ n ]</w:t>
      </w:r>
      <w:r w:rsidR="00D770D3" w:rsidRPr="00A52AB8">
        <w:t>[ 0 ]</w:t>
      </w:r>
      <w:r w:rsidR="006D74F2" w:rsidRPr="00A52AB8">
        <w:rPr>
          <w:lang w:eastAsia="ja-JP"/>
        </w:rPr>
        <w:br/>
      </w:r>
      <w:r w:rsidR="006D74F2" w:rsidRPr="00A52AB8">
        <w:rPr>
          <w:lang w:eastAsia="ja-JP"/>
        </w:rPr>
        <w:tab/>
      </w:r>
      <w:r w:rsidRPr="00A52AB8">
        <w:rPr>
          <w:lang w:eastAsia="ja-JP"/>
        </w:rPr>
        <w:tab/>
      </w:r>
      <w:r w:rsidR="006D74F2" w:rsidRPr="00A52AB8">
        <w:rPr>
          <w:lang w:eastAsia="ja-JP"/>
        </w:rPr>
        <w:tab/>
        <w:t>y</w:t>
      </w:r>
      <w:r w:rsidR="00D47707" w:rsidRPr="00A52AB8">
        <w:rPr>
          <w:lang w:eastAsia="ja-JP"/>
        </w:rPr>
        <w:t> = </w:t>
      </w:r>
      <w:r w:rsidR="006D74F2" w:rsidRPr="00A52AB8">
        <w:t>recPcGeo[ n ][ 1 ]</w:t>
      </w:r>
      <w:r w:rsidR="006D74F2" w:rsidRPr="00A52AB8">
        <w:rPr>
          <w:lang w:eastAsia="ja-JP"/>
        </w:rPr>
        <w:br/>
      </w:r>
      <w:r w:rsidR="006D74F2" w:rsidRPr="00A52AB8">
        <w:rPr>
          <w:lang w:eastAsia="ja-JP"/>
        </w:rPr>
        <w:tab/>
      </w:r>
      <w:r w:rsidRPr="00A52AB8">
        <w:rPr>
          <w:lang w:eastAsia="ja-JP"/>
        </w:rPr>
        <w:tab/>
      </w:r>
      <w:r w:rsidR="006D74F2" w:rsidRPr="00A52AB8">
        <w:rPr>
          <w:lang w:eastAsia="ja-JP"/>
        </w:rPr>
        <w:tab/>
        <w:t>z</w:t>
      </w:r>
      <w:r w:rsidR="00D47707" w:rsidRPr="00A52AB8">
        <w:rPr>
          <w:lang w:eastAsia="ja-JP"/>
        </w:rPr>
        <w:t> = </w:t>
      </w:r>
      <w:r w:rsidR="006D74F2" w:rsidRPr="00A52AB8">
        <w:t>recPcGeo[ n ][ 2 ]</w:t>
      </w:r>
      <w:r w:rsidR="006D74F2" w:rsidRPr="00A52AB8">
        <w:br/>
      </w:r>
      <w:r w:rsidR="006D74F2" w:rsidRPr="00A52AB8">
        <w:br/>
      </w:r>
      <w:r w:rsidR="006D74F2" w:rsidRPr="00A52AB8">
        <w:tab/>
      </w:r>
      <w:r w:rsidRPr="00A52AB8">
        <w:tab/>
      </w:r>
      <w:r w:rsidR="006D74F2" w:rsidRPr="00A52AB8">
        <w:tab/>
        <w:t>if</w:t>
      </w:r>
      <w:r w:rsidR="00E843DD" w:rsidRPr="00A52AB8">
        <w:t>(!</w:t>
      </w:r>
      <w:r w:rsidR="006D74F2" w:rsidRPr="00A52AB8">
        <w:t>( x</w:t>
      </w:r>
      <w:r w:rsidR="00A274AC" w:rsidRPr="00A52AB8">
        <w:t> </w:t>
      </w:r>
      <w:r w:rsidR="006D74F2" w:rsidRPr="00A52AB8">
        <w:t>&lt;</w:t>
      </w:r>
      <w:r w:rsidR="00A274AC" w:rsidRPr="00A52AB8">
        <w:t> </w:t>
      </w:r>
      <w:r w:rsidR="006D74F2" w:rsidRPr="00A52AB8">
        <w:rPr>
          <w:lang w:eastAsia="ja-JP"/>
        </w:rPr>
        <w:t>halfGridSize</w:t>
      </w:r>
      <w:r w:rsidR="008768E9" w:rsidRPr="00A52AB8">
        <w:rPr>
          <w:lang w:eastAsia="ja-JP"/>
        </w:rPr>
        <w:t> || </w:t>
      </w:r>
      <w:r w:rsidR="003B3EA3" w:rsidRPr="00A52AB8">
        <w:rPr>
          <w:lang w:eastAsia="ja-JP"/>
        </w:rPr>
        <w:t>maxCoord</w:t>
      </w:r>
      <w:r w:rsidR="003B3EA3" w:rsidRPr="00A52AB8">
        <w:t> </w:t>
      </w:r>
      <w:r w:rsidR="00A234FD" w:rsidRPr="00A52AB8">
        <w:t>&lt;=</w:t>
      </w:r>
      <w:r w:rsidR="00D47707" w:rsidRPr="00A52AB8">
        <w:t> </w:t>
      </w:r>
      <w:r w:rsidR="003B3EA3" w:rsidRPr="00A52AB8">
        <w:t>x + </w:t>
      </w:r>
      <w:r w:rsidR="003B3EA3" w:rsidRPr="00A52AB8">
        <w:rPr>
          <w:lang w:eastAsia="ja-JP"/>
        </w:rPr>
        <w:t>halfGridSize</w:t>
      </w:r>
      <w:r w:rsidR="008768E9" w:rsidRPr="00A52AB8">
        <w:rPr>
          <w:lang w:eastAsia="ja-JP"/>
        </w:rPr>
        <w:t> ||</w:t>
      </w:r>
      <w:r w:rsidR="003B3EA3" w:rsidRPr="00A52AB8">
        <w:br/>
      </w:r>
      <w:r w:rsidR="003B3EA3" w:rsidRPr="00A52AB8">
        <w:tab/>
      </w:r>
      <w:r w:rsidR="003B3EA3" w:rsidRPr="00A52AB8">
        <w:tab/>
      </w:r>
      <w:r w:rsidR="003B3EA3" w:rsidRPr="00A52AB8">
        <w:tab/>
      </w:r>
      <w:r w:rsidR="003B3EA3" w:rsidRPr="00A52AB8">
        <w:tab/>
      </w:r>
      <w:r w:rsidR="006D74F2" w:rsidRPr="00A52AB8">
        <w:t>y</w:t>
      </w:r>
      <w:r w:rsidR="00A274AC" w:rsidRPr="00A52AB8">
        <w:t> </w:t>
      </w:r>
      <w:r w:rsidR="006D74F2" w:rsidRPr="00A52AB8">
        <w:t>&lt;</w:t>
      </w:r>
      <w:r w:rsidR="00A274AC" w:rsidRPr="00A52AB8">
        <w:t> </w:t>
      </w:r>
      <w:r w:rsidR="006D74F2" w:rsidRPr="00A52AB8">
        <w:rPr>
          <w:lang w:eastAsia="ja-JP"/>
        </w:rPr>
        <w:t>halfGridSize</w:t>
      </w:r>
      <w:r w:rsidR="008768E9" w:rsidRPr="00A52AB8">
        <w:t> || </w:t>
      </w:r>
      <w:r w:rsidR="003B3EA3" w:rsidRPr="00A52AB8">
        <w:rPr>
          <w:lang w:eastAsia="ja-JP"/>
        </w:rPr>
        <w:t>maxCoord</w:t>
      </w:r>
      <w:r w:rsidR="003B3EA3" w:rsidRPr="00A52AB8">
        <w:t> </w:t>
      </w:r>
      <w:r w:rsidR="00A234FD" w:rsidRPr="00A52AB8">
        <w:t>&lt;=</w:t>
      </w:r>
      <w:r w:rsidR="00D47707" w:rsidRPr="00A52AB8">
        <w:t> </w:t>
      </w:r>
      <w:r w:rsidR="003B3EA3" w:rsidRPr="00A52AB8">
        <w:t>y + </w:t>
      </w:r>
      <w:r w:rsidR="003B3EA3" w:rsidRPr="00A52AB8">
        <w:rPr>
          <w:lang w:eastAsia="ja-JP"/>
        </w:rPr>
        <w:t>halfGridSize</w:t>
      </w:r>
      <w:r w:rsidR="008768E9" w:rsidRPr="00A52AB8">
        <w:t> ||</w:t>
      </w:r>
      <w:r w:rsidR="003B3EA3" w:rsidRPr="00A52AB8">
        <w:br/>
      </w:r>
      <w:r w:rsidR="003B3EA3" w:rsidRPr="00A52AB8">
        <w:tab/>
      </w:r>
      <w:r w:rsidR="003B3EA3" w:rsidRPr="00A52AB8">
        <w:tab/>
      </w:r>
      <w:r w:rsidR="003B3EA3" w:rsidRPr="00A52AB8">
        <w:tab/>
      </w:r>
      <w:r w:rsidR="003B3EA3" w:rsidRPr="00A52AB8">
        <w:tab/>
      </w:r>
      <w:r w:rsidR="006D74F2" w:rsidRPr="00A52AB8">
        <w:t>z</w:t>
      </w:r>
      <w:r w:rsidR="00A274AC" w:rsidRPr="00A52AB8">
        <w:t> </w:t>
      </w:r>
      <w:r w:rsidR="006D74F2" w:rsidRPr="00A52AB8">
        <w:t>&lt;</w:t>
      </w:r>
      <w:r w:rsidR="00A274AC" w:rsidRPr="00A52AB8">
        <w:t> </w:t>
      </w:r>
      <w:r w:rsidR="006D74F2" w:rsidRPr="00A52AB8">
        <w:rPr>
          <w:lang w:eastAsia="ja-JP"/>
        </w:rPr>
        <w:t>halfGridSize</w:t>
      </w:r>
      <w:r w:rsidR="008768E9" w:rsidRPr="00A52AB8">
        <w:t> || </w:t>
      </w:r>
      <w:r w:rsidR="006D74F2" w:rsidRPr="00A52AB8">
        <w:rPr>
          <w:lang w:eastAsia="ja-JP"/>
        </w:rPr>
        <w:t>maxCoord</w:t>
      </w:r>
      <w:r w:rsidR="00A274AC" w:rsidRPr="00A52AB8">
        <w:t> </w:t>
      </w:r>
      <w:r w:rsidR="00A234FD" w:rsidRPr="00A52AB8">
        <w:t>&lt;=</w:t>
      </w:r>
      <w:r w:rsidR="00D47707" w:rsidRPr="00A52AB8">
        <w:t> </w:t>
      </w:r>
      <w:r w:rsidR="006D74F2" w:rsidRPr="00A52AB8">
        <w:t>z</w:t>
      </w:r>
      <w:r w:rsidR="00A274AC" w:rsidRPr="00A52AB8">
        <w:t> </w:t>
      </w:r>
      <w:r w:rsidR="006D74F2" w:rsidRPr="00A52AB8">
        <w:t>+</w:t>
      </w:r>
      <w:r w:rsidR="00A274AC" w:rsidRPr="00A52AB8">
        <w:t> </w:t>
      </w:r>
      <w:r w:rsidR="006D74F2" w:rsidRPr="00A52AB8">
        <w:rPr>
          <w:lang w:eastAsia="ja-JP"/>
        </w:rPr>
        <w:t>halfGridSize</w:t>
      </w:r>
      <w:r w:rsidR="006D74F2" w:rsidRPr="00A52AB8">
        <w:t> )</w:t>
      </w:r>
      <w:r w:rsidR="007D781F" w:rsidRPr="00A52AB8">
        <w:t> </w:t>
      </w:r>
      <w:r w:rsidR="008F1F82" w:rsidRPr="00A52AB8">
        <w:t>) {</w:t>
      </w:r>
      <w:r w:rsidR="00E843DD" w:rsidRPr="00A52AB8">
        <w:br/>
      </w:r>
      <w:r w:rsidR="00E843DD" w:rsidRPr="00A52AB8">
        <w:tab/>
      </w:r>
      <w:r w:rsidRPr="00A52AB8">
        <w:tab/>
      </w:r>
      <w:r w:rsidR="00E843DD" w:rsidRPr="00A52AB8">
        <w:tab/>
      </w:r>
      <w:r w:rsidR="006D74F2" w:rsidRPr="00A52AB8">
        <w:tab/>
        <w:t>x2</w:t>
      </w:r>
      <w:r w:rsidR="00D47707" w:rsidRPr="00A52AB8">
        <w:t> = </w:t>
      </w:r>
      <w:r w:rsidR="006D74F2" w:rsidRPr="00A52AB8">
        <w:t>x / gridSize</w:t>
      </w:r>
      <w:r w:rsidR="006D74F2" w:rsidRPr="00A52AB8">
        <w:br/>
      </w:r>
      <w:r w:rsidR="006D74F2" w:rsidRPr="00A52AB8">
        <w:tab/>
      </w:r>
      <w:r w:rsidRPr="00A52AB8">
        <w:tab/>
      </w:r>
      <w:r w:rsidR="00E843DD" w:rsidRPr="00A52AB8">
        <w:tab/>
      </w:r>
      <w:r w:rsidR="006D74F2" w:rsidRPr="00A52AB8">
        <w:tab/>
        <w:t>y2</w:t>
      </w:r>
      <w:r w:rsidR="00D47707" w:rsidRPr="00A52AB8">
        <w:t> = </w:t>
      </w:r>
      <w:r w:rsidR="006D74F2" w:rsidRPr="00A52AB8">
        <w:t>y / gridSize</w:t>
      </w:r>
      <w:r w:rsidR="006D74F2" w:rsidRPr="00A52AB8">
        <w:br/>
      </w:r>
      <w:r w:rsidR="006D74F2" w:rsidRPr="00A52AB8">
        <w:tab/>
      </w:r>
      <w:r w:rsidR="006D74F2" w:rsidRPr="00A52AB8">
        <w:tab/>
      </w:r>
      <w:r w:rsidRPr="00A52AB8">
        <w:tab/>
      </w:r>
      <w:r w:rsidR="00E843DD" w:rsidRPr="00A52AB8">
        <w:tab/>
      </w:r>
      <w:r w:rsidR="006D74F2" w:rsidRPr="00A52AB8">
        <w:t>z2</w:t>
      </w:r>
      <w:r w:rsidR="00D47707" w:rsidRPr="00A52AB8">
        <w:t> = </w:t>
      </w:r>
      <w:r w:rsidR="006D74F2" w:rsidRPr="00A52AB8">
        <w:t>z / gridSize</w:t>
      </w:r>
      <w:r w:rsidR="006D74F2" w:rsidRPr="00A52AB8">
        <w:br/>
      </w:r>
      <w:r w:rsidR="006D74F2" w:rsidRPr="00A52AB8">
        <w:br/>
      </w:r>
      <w:r w:rsidR="006D74F2" w:rsidRPr="00A52AB8">
        <w:tab/>
      </w:r>
      <w:r w:rsidR="006D74F2" w:rsidRPr="00A52AB8">
        <w:tab/>
      </w:r>
      <w:r w:rsidRPr="00A52AB8">
        <w:tab/>
      </w:r>
      <w:r w:rsidR="00E843DD" w:rsidRPr="00A52AB8">
        <w:tab/>
      </w:r>
      <w:r w:rsidR="006D74F2" w:rsidRPr="00A52AB8">
        <w:t>x3</w:t>
      </w:r>
      <w:r w:rsidR="00D47707" w:rsidRPr="00A52AB8">
        <w:t> = </w:t>
      </w:r>
      <w:r w:rsidR="006D74F2" w:rsidRPr="00A52AB8">
        <w:t>x % gridSize</w:t>
      </w:r>
      <w:r w:rsidR="006D74F2" w:rsidRPr="00A52AB8">
        <w:br/>
      </w:r>
      <w:r w:rsidR="006D74F2" w:rsidRPr="00A52AB8">
        <w:tab/>
      </w:r>
      <w:r w:rsidR="006D74F2" w:rsidRPr="00A52AB8">
        <w:tab/>
      </w:r>
      <w:r w:rsidRPr="00A52AB8">
        <w:tab/>
      </w:r>
      <w:r w:rsidR="00E843DD" w:rsidRPr="00A52AB8">
        <w:tab/>
      </w:r>
      <w:r w:rsidR="006D74F2" w:rsidRPr="00A52AB8">
        <w:t>y3</w:t>
      </w:r>
      <w:r w:rsidR="00D47707" w:rsidRPr="00A52AB8">
        <w:t> = </w:t>
      </w:r>
      <w:r w:rsidR="006D74F2" w:rsidRPr="00A52AB8">
        <w:t>y % gridSize</w:t>
      </w:r>
      <w:r w:rsidR="006D74F2" w:rsidRPr="00A52AB8">
        <w:br/>
      </w:r>
      <w:r w:rsidR="006D74F2" w:rsidRPr="00A52AB8">
        <w:tab/>
      </w:r>
      <w:r w:rsidR="006D74F2" w:rsidRPr="00A52AB8">
        <w:tab/>
      </w:r>
      <w:r w:rsidRPr="00A52AB8">
        <w:tab/>
      </w:r>
      <w:r w:rsidR="00E843DD" w:rsidRPr="00A52AB8">
        <w:tab/>
      </w:r>
      <w:r w:rsidR="006D74F2" w:rsidRPr="00A52AB8">
        <w:t>z3</w:t>
      </w:r>
      <w:r w:rsidR="00D47707" w:rsidRPr="00A52AB8">
        <w:t> = </w:t>
      </w:r>
      <w:r w:rsidR="006D74F2" w:rsidRPr="00A52AB8">
        <w:t>z % gridSize</w:t>
      </w:r>
      <w:r w:rsidR="006D74F2" w:rsidRPr="00A52AB8">
        <w:br/>
      </w:r>
      <w:r w:rsidR="006D74F2" w:rsidRPr="00A52AB8">
        <w:br/>
      </w:r>
      <w:r w:rsidR="006D74F2" w:rsidRPr="00A52AB8">
        <w:tab/>
      </w:r>
      <w:r w:rsidR="006D74F2" w:rsidRPr="00A52AB8">
        <w:tab/>
      </w:r>
      <w:r w:rsidRPr="00A52AB8">
        <w:tab/>
      </w:r>
      <w:r w:rsidR="00E843DD" w:rsidRPr="00A52AB8">
        <w:tab/>
      </w:r>
      <w:r w:rsidR="006D74F2" w:rsidRPr="00A52AB8">
        <w:t>qx</w:t>
      </w:r>
      <w:r w:rsidR="00D47707" w:rsidRPr="00A52AB8">
        <w:t> = </w:t>
      </w:r>
      <w:r w:rsidR="006D74F2" w:rsidRPr="00A52AB8">
        <w:t>x2 + ( ( x3 &lt; gridSize / 2 ) ? −1 : 0</w:t>
      </w:r>
      <w:r w:rsidR="002161F6" w:rsidRPr="00A52AB8">
        <w:t> )</w:t>
      </w:r>
      <w:r w:rsidR="006D74F2" w:rsidRPr="00A52AB8">
        <w:br/>
      </w:r>
      <w:r w:rsidR="006D74F2" w:rsidRPr="00A52AB8">
        <w:tab/>
      </w:r>
      <w:r w:rsidR="006D74F2" w:rsidRPr="00A52AB8">
        <w:tab/>
      </w:r>
      <w:r w:rsidRPr="00A52AB8">
        <w:tab/>
      </w:r>
      <w:r w:rsidR="00E843DD" w:rsidRPr="00A52AB8">
        <w:tab/>
      </w:r>
      <w:r w:rsidR="006D74F2" w:rsidRPr="00A52AB8">
        <w:t>qy</w:t>
      </w:r>
      <w:r w:rsidR="00D47707" w:rsidRPr="00A52AB8">
        <w:t> = </w:t>
      </w:r>
      <w:r w:rsidR="006D74F2" w:rsidRPr="00A52AB8">
        <w:t>y2 + ( ( y3 &lt; gridSize / 2 ) ? −1 : 0</w:t>
      </w:r>
      <w:r w:rsidR="002161F6" w:rsidRPr="00A52AB8">
        <w:t> )</w:t>
      </w:r>
      <w:r w:rsidR="006D74F2" w:rsidRPr="00A52AB8">
        <w:br/>
      </w:r>
      <w:r w:rsidR="006D74F2" w:rsidRPr="00A52AB8">
        <w:tab/>
      </w:r>
      <w:r w:rsidR="006D74F2" w:rsidRPr="00A52AB8">
        <w:tab/>
      </w:r>
      <w:r w:rsidRPr="00A52AB8">
        <w:tab/>
      </w:r>
      <w:r w:rsidR="00E843DD" w:rsidRPr="00A52AB8">
        <w:tab/>
      </w:r>
      <w:r w:rsidR="006D74F2" w:rsidRPr="00A52AB8">
        <w:t>qz</w:t>
      </w:r>
      <w:r w:rsidR="00D47707" w:rsidRPr="00A52AB8">
        <w:t> = </w:t>
      </w:r>
      <w:r w:rsidR="006D74F2" w:rsidRPr="00A52AB8">
        <w:t>z2 + ( ( z3 &lt; gridSize / 2 ) ? −1 : 0</w:t>
      </w:r>
      <w:r w:rsidR="002161F6" w:rsidRPr="00A52AB8">
        <w:t> )</w:t>
      </w:r>
      <w:r w:rsidR="006D74F2" w:rsidRPr="00A52AB8">
        <w:br/>
      </w:r>
      <w:r w:rsidR="006D74F2" w:rsidRPr="00A52AB8">
        <w:br/>
      </w:r>
      <w:r w:rsidR="006D74F2" w:rsidRPr="00A52AB8">
        <w:tab/>
      </w:r>
      <w:r w:rsidR="006D74F2" w:rsidRPr="00A52AB8">
        <w:tab/>
      </w:r>
      <w:r w:rsidRPr="00A52AB8">
        <w:tab/>
      </w:r>
      <w:r w:rsidR="00E843DD" w:rsidRPr="00A52AB8">
        <w:tab/>
      </w:r>
      <w:r w:rsidR="006D74F2" w:rsidRPr="00A52AB8">
        <w:t>for( ix</w:t>
      </w:r>
      <w:r w:rsidR="00D47707" w:rsidRPr="00A52AB8">
        <w:t> = </w:t>
      </w:r>
      <w:r w:rsidR="006D74F2" w:rsidRPr="00A52AB8">
        <w:t>qx; ix &lt; qx + 2; ix</w:t>
      </w:r>
      <w:r w:rsidR="00006CCF" w:rsidRPr="00A52AB8">
        <w:t>++ </w:t>
      </w:r>
      <w:r w:rsidR="008F1F82" w:rsidRPr="00A52AB8">
        <w:t>) {</w:t>
      </w:r>
      <w:r w:rsidR="006D74F2" w:rsidRPr="00A52AB8">
        <w:br/>
      </w:r>
      <w:r w:rsidR="006D74F2" w:rsidRPr="00A52AB8">
        <w:tab/>
      </w:r>
      <w:r w:rsidR="006D74F2" w:rsidRPr="00A52AB8">
        <w:tab/>
      </w:r>
      <w:r w:rsidRPr="00A52AB8">
        <w:tab/>
      </w:r>
      <w:r w:rsidR="006D74F2" w:rsidRPr="00A52AB8">
        <w:tab/>
      </w:r>
      <w:r w:rsidR="00E843DD" w:rsidRPr="00A52AB8">
        <w:tab/>
      </w:r>
      <w:r w:rsidR="006D74F2" w:rsidRPr="00A52AB8">
        <w:t>for( iy</w:t>
      </w:r>
      <w:r w:rsidR="00D47707" w:rsidRPr="00A52AB8">
        <w:t> = </w:t>
      </w:r>
      <w:r w:rsidR="006D74F2" w:rsidRPr="00A52AB8">
        <w:t>qy; iy &lt; qy + 2; iy</w:t>
      </w:r>
      <w:r w:rsidR="00006CCF" w:rsidRPr="00A52AB8">
        <w:t>++ </w:t>
      </w:r>
      <w:r w:rsidR="008F1F82" w:rsidRPr="00A52AB8">
        <w:t>) {</w:t>
      </w:r>
      <w:r w:rsidR="006D74F2" w:rsidRPr="00A52AB8">
        <w:br/>
      </w:r>
      <w:r w:rsidR="006D74F2" w:rsidRPr="00A52AB8">
        <w:tab/>
      </w:r>
      <w:r w:rsidR="006D74F2" w:rsidRPr="00A52AB8">
        <w:tab/>
      </w:r>
      <w:r w:rsidR="006D74F2" w:rsidRPr="00A52AB8">
        <w:tab/>
      </w:r>
      <w:r w:rsidRPr="00A52AB8">
        <w:tab/>
      </w:r>
      <w:r w:rsidR="00E843DD" w:rsidRPr="00A52AB8">
        <w:tab/>
      </w:r>
      <w:r w:rsidR="006D74F2" w:rsidRPr="00A52AB8">
        <w:tab/>
        <w:t>for( iz</w:t>
      </w:r>
      <w:r w:rsidR="00D47707" w:rsidRPr="00A52AB8">
        <w:t> = </w:t>
      </w:r>
      <w:r w:rsidR="006D74F2" w:rsidRPr="00A52AB8">
        <w:t>qz; iz &lt; qz + 2; iz</w:t>
      </w:r>
      <w:r w:rsidR="00006CCF" w:rsidRPr="00A52AB8">
        <w:t>++ </w:t>
      </w:r>
      <w:r w:rsidR="008F1F82" w:rsidRPr="00A52AB8">
        <w:t>) {</w:t>
      </w:r>
      <w:r w:rsidR="006D74F2" w:rsidRPr="00A52AB8">
        <w:br/>
      </w:r>
      <w:r w:rsidR="006D74F2" w:rsidRPr="00A52AB8">
        <w:tab/>
      </w:r>
      <w:r w:rsidR="006D74F2" w:rsidRPr="00A52AB8">
        <w:tab/>
      </w:r>
      <w:r w:rsidR="006D74F2" w:rsidRPr="00A52AB8">
        <w:tab/>
      </w:r>
      <w:r w:rsidR="006D74F2" w:rsidRPr="00A52AB8">
        <w:tab/>
      </w:r>
      <w:r w:rsidRPr="00A52AB8">
        <w:tab/>
      </w:r>
      <w:r w:rsidR="00E843DD" w:rsidRPr="00A52AB8">
        <w:tab/>
      </w:r>
      <w:r w:rsidR="006D74F2" w:rsidRPr="00A52AB8">
        <w:tab/>
        <w:t>if( cellIdxLut[ </w:t>
      </w:r>
      <w:r w:rsidR="00747F7C" w:rsidRPr="00A52AB8">
        <w:t>ix ][ iy ][ iz ]</w:t>
      </w:r>
      <w:r w:rsidR="008768E9" w:rsidRPr="00A52AB8">
        <w:t> </w:t>
      </w:r>
      <w:r w:rsidR="00726AAE" w:rsidRPr="00A52AB8">
        <w:t>==</w:t>
      </w:r>
      <w:r w:rsidR="00D47707" w:rsidRPr="00A52AB8">
        <w:t> </w:t>
      </w:r>
      <w:r w:rsidR="006D74F2" w:rsidRPr="00A52AB8">
        <w:t>−1 </w:t>
      </w:r>
      <w:r w:rsidR="008F1F82" w:rsidRPr="00A52AB8">
        <w:t>) {</w:t>
      </w:r>
      <w:r w:rsidR="006D74F2" w:rsidRPr="00A52AB8">
        <w:br/>
      </w:r>
      <w:r w:rsidR="006D74F2" w:rsidRPr="00A52AB8">
        <w:tab/>
      </w:r>
      <w:r w:rsidR="006D74F2" w:rsidRPr="00A52AB8">
        <w:tab/>
      </w:r>
      <w:r w:rsidR="006D74F2" w:rsidRPr="00A52AB8">
        <w:tab/>
      </w:r>
      <w:r w:rsidRPr="00A52AB8">
        <w:tab/>
      </w:r>
      <w:r w:rsidR="006D74F2" w:rsidRPr="00A52AB8">
        <w:tab/>
      </w:r>
      <w:r w:rsidR="006D74F2" w:rsidRPr="00A52AB8">
        <w:tab/>
      </w:r>
      <w:r w:rsidR="00E843DD" w:rsidRPr="00A52AB8">
        <w:tab/>
      </w:r>
      <w:r w:rsidR="006D74F2" w:rsidRPr="00A52AB8">
        <w:tab/>
        <w:t>cellIdxLut[ </w:t>
      </w:r>
      <w:r w:rsidR="00747F7C" w:rsidRPr="00A52AB8">
        <w:t>ix ][ iy ][ iz </w:t>
      </w:r>
      <w:r w:rsidR="006D74F2" w:rsidRPr="00A52AB8">
        <w:t>]</w:t>
      </w:r>
      <w:r w:rsidR="00D47707" w:rsidRPr="00A52AB8">
        <w:t> = </w:t>
      </w:r>
      <w:r w:rsidR="006D74F2" w:rsidRPr="00A52AB8">
        <w:t>numBoundaryCells</w:t>
      </w:r>
      <w:r w:rsidR="006D74F2" w:rsidRPr="00A52AB8">
        <w:br/>
      </w:r>
      <w:r w:rsidR="006D74F2" w:rsidRPr="00A52AB8">
        <w:tab/>
      </w:r>
      <w:r w:rsidR="006D74F2" w:rsidRPr="00A52AB8">
        <w:tab/>
      </w:r>
      <w:r w:rsidR="006D74F2" w:rsidRPr="00A52AB8">
        <w:tab/>
      </w:r>
      <w:r w:rsidRPr="00A52AB8">
        <w:tab/>
      </w:r>
      <w:r w:rsidR="006D74F2" w:rsidRPr="00A52AB8">
        <w:tab/>
      </w:r>
      <w:r w:rsidR="006D74F2" w:rsidRPr="00A52AB8">
        <w:tab/>
      </w:r>
      <w:r w:rsidR="006D74F2" w:rsidRPr="00A52AB8">
        <w:tab/>
      </w:r>
      <w:r w:rsidR="00E843DD" w:rsidRPr="00A52AB8">
        <w:tab/>
      </w:r>
      <w:r w:rsidR="006D74F2" w:rsidRPr="00A52AB8">
        <w:t>numBoundaryCells++</w:t>
      </w:r>
      <w:r w:rsidR="006D74F2" w:rsidRPr="00A52AB8">
        <w:br/>
      </w:r>
      <w:r w:rsidR="006D74F2" w:rsidRPr="00A52AB8">
        <w:tab/>
      </w:r>
      <w:r w:rsidR="006D74F2" w:rsidRPr="00A52AB8">
        <w:tab/>
      </w:r>
      <w:r w:rsidR="006D74F2" w:rsidRPr="00A52AB8">
        <w:tab/>
      </w:r>
      <w:r w:rsidRPr="00A52AB8">
        <w:tab/>
      </w:r>
      <w:r w:rsidR="006D74F2" w:rsidRPr="00A52AB8">
        <w:tab/>
      </w:r>
      <w:r w:rsidR="006D74F2" w:rsidRPr="00A52AB8">
        <w:tab/>
      </w:r>
      <w:r w:rsidR="00E843DD" w:rsidRPr="00A52AB8">
        <w:tab/>
      </w:r>
      <w:r w:rsidR="006D74F2" w:rsidRPr="00A52AB8">
        <w:t>}</w:t>
      </w:r>
      <w:r w:rsidR="006D74F2" w:rsidRPr="00A52AB8">
        <w:br/>
      </w:r>
      <w:r w:rsidR="006D74F2" w:rsidRPr="00A52AB8">
        <w:tab/>
      </w:r>
      <w:r w:rsidR="006D74F2" w:rsidRPr="00A52AB8">
        <w:tab/>
      </w:r>
      <w:r w:rsidR="006D74F2" w:rsidRPr="00A52AB8">
        <w:tab/>
      </w:r>
      <w:r w:rsidRPr="00A52AB8">
        <w:tab/>
      </w:r>
      <w:r w:rsidR="006D74F2" w:rsidRPr="00A52AB8">
        <w:tab/>
      </w:r>
      <w:r w:rsidR="00E843DD" w:rsidRPr="00A52AB8">
        <w:tab/>
      </w:r>
      <w:r w:rsidR="006D74F2" w:rsidRPr="00A52AB8">
        <w:t>}</w:t>
      </w:r>
      <w:r w:rsidR="006D74F2" w:rsidRPr="00A52AB8">
        <w:br/>
      </w:r>
      <w:r w:rsidR="006D74F2" w:rsidRPr="00A52AB8">
        <w:tab/>
      </w:r>
      <w:r w:rsidR="006D74F2" w:rsidRPr="00A52AB8">
        <w:tab/>
      </w:r>
      <w:r w:rsidRPr="00A52AB8">
        <w:tab/>
      </w:r>
      <w:r w:rsidR="006D74F2" w:rsidRPr="00A52AB8">
        <w:tab/>
      </w:r>
      <w:r w:rsidR="00E843DD" w:rsidRPr="00A52AB8">
        <w:tab/>
      </w:r>
      <w:r w:rsidR="006D74F2" w:rsidRPr="00A52AB8">
        <w:t>}</w:t>
      </w:r>
      <w:r w:rsidR="006D74F2" w:rsidRPr="00A52AB8">
        <w:br/>
      </w:r>
      <w:r w:rsidR="006D74F2" w:rsidRPr="00A52AB8">
        <w:tab/>
      </w:r>
      <w:r w:rsidRPr="00A52AB8">
        <w:tab/>
      </w:r>
      <w:r w:rsidR="006D74F2" w:rsidRPr="00A52AB8">
        <w:tab/>
      </w:r>
      <w:r w:rsidR="00E843DD" w:rsidRPr="00A52AB8">
        <w:tab/>
      </w:r>
      <w:r w:rsidR="006D74F2" w:rsidRPr="00A52AB8">
        <w:t>}</w:t>
      </w:r>
      <w:r w:rsidR="00E843DD" w:rsidRPr="00A52AB8">
        <w:br/>
      </w:r>
      <w:r w:rsidR="00E843DD" w:rsidRPr="00A52AB8">
        <w:tab/>
      </w:r>
      <w:r w:rsidRPr="00A52AB8">
        <w:tab/>
      </w:r>
      <w:r w:rsidR="00E843DD" w:rsidRPr="00A52AB8">
        <w:tab/>
        <w:t>}</w:t>
      </w:r>
      <w:r w:rsidR="00E843DD" w:rsidRPr="00A52AB8">
        <w:br/>
      </w:r>
      <w:r w:rsidR="00E843DD" w:rsidRPr="00A52AB8">
        <w:tab/>
      </w:r>
      <w:r w:rsidRPr="00A52AB8">
        <w:tab/>
      </w:r>
      <w:r w:rsidR="00E843DD" w:rsidRPr="00A52AB8">
        <w:t>}</w:t>
      </w:r>
      <w:r w:rsidR="00E843DD" w:rsidRPr="00A52AB8">
        <w:br/>
      </w:r>
      <w:r w:rsidRPr="00A52AB8">
        <w:tab/>
      </w:r>
      <w:r w:rsidR="00E843DD" w:rsidRPr="00A52AB8">
        <w:t>}</w:t>
      </w:r>
    </w:p>
    <w:p w14:paraId="735E5942" w14:textId="77777777" w:rsidR="0050235C" w:rsidRPr="00A52AB8" w:rsidRDefault="006D74F2">
      <w:pPr>
        <w:pStyle w:val="Note1"/>
        <w:rPr>
          <w:rFonts w:ascii="Cambria" w:hAnsi="Cambria"/>
        </w:rPr>
      </w:pPr>
      <w:r w:rsidRPr="00A52AB8">
        <w:rPr>
          <w:rFonts w:ascii="Cambria" w:hAnsi="Cambria"/>
        </w:rPr>
        <w:t>NOTE</w:t>
      </w:r>
      <w:r w:rsidR="00630F93" w:rsidRPr="00A52AB8">
        <w:rPr>
          <w:rFonts w:ascii="Cambria" w:hAnsi="Cambria"/>
        </w:rPr>
        <w:t> </w:t>
      </w:r>
      <w:r w:rsidRPr="00A52AB8">
        <w:rPr>
          <w:rFonts w:ascii="Cambria" w:hAnsi="Cambria"/>
        </w:rPr>
        <w:t>–</w:t>
      </w:r>
      <w:r w:rsidR="00630F93" w:rsidRPr="00A52AB8">
        <w:rPr>
          <w:rFonts w:ascii="Cambria" w:hAnsi="Cambria"/>
        </w:rPr>
        <w:t> </w:t>
      </w:r>
      <w:r w:rsidRPr="00A52AB8">
        <w:rPr>
          <w:rFonts w:ascii="Cambria" w:hAnsi="Cambria"/>
        </w:rPr>
        <w:t>This process allows various arrays such as cell centroids</w:t>
      </w:r>
      <w:r w:rsidR="00A5631E" w:rsidRPr="00A52AB8">
        <w:rPr>
          <w:rFonts w:ascii="Cambria" w:hAnsi="Cambria"/>
        </w:rPr>
        <w:t xml:space="preserve"> and</w:t>
      </w:r>
      <w:r w:rsidRPr="00A52AB8">
        <w:rPr>
          <w:rFonts w:ascii="Cambria" w:hAnsi="Cambria"/>
        </w:rPr>
        <w:t xml:space="preserve"> smoothing flags to be stored with reduced memory requirements. However</w:t>
      </w:r>
      <w:r w:rsidR="00747F7C" w:rsidRPr="00A52AB8">
        <w:rPr>
          <w:rFonts w:ascii="Cambria" w:hAnsi="Cambria"/>
        </w:rPr>
        <w:t>,</w:t>
      </w:r>
      <w:r w:rsidRPr="00A52AB8">
        <w:rPr>
          <w:rFonts w:ascii="Cambria" w:hAnsi="Cambria"/>
        </w:rPr>
        <w:t xml:space="preserve"> this process is not normative. A conformant decoder may choose to store the full three dimensional arrays or use a different technique for reducing the memory requirements.</w:t>
      </w:r>
    </w:p>
    <w:p w14:paraId="331DC46E" w14:textId="0A6C2F46" w:rsidR="006D74F2" w:rsidRPr="00A52AB8" w:rsidRDefault="00370E08" w:rsidP="00895494">
      <w:pPr>
        <w:pStyle w:val="a3"/>
        <w:numPr>
          <w:ilvl w:val="2"/>
          <w:numId w:val="14"/>
        </w:numPr>
      </w:pPr>
      <w:bookmarkStart w:id="6973" w:name="_Ref39817343"/>
      <w:bookmarkStart w:id="6974" w:name="_Ref39817774"/>
      <w:bookmarkStart w:id="6975" w:name="_Ref39817872"/>
      <w:r w:rsidRPr="00A52AB8">
        <w:tab/>
      </w:r>
      <w:bookmarkStart w:id="6976" w:name="_Toc52181802"/>
      <w:r w:rsidR="006D74F2" w:rsidRPr="00A52AB8">
        <w:t xml:space="preserve">Identification of </w:t>
      </w:r>
      <w:r w:rsidR="009423BE" w:rsidRPr="00A52AB8">
        <w:t>b</w:t>
      </w:r>
      <w:r w:rsidR="006D74F2" w:rsidRPr="00A52AB8">
        <w:t xml:space="preserve">oundary </w:t>
      </w:r>
      <w:r w:rsidR="009423BE" w:rsidRPr="00A52AB8">
        <w:t>p</w:t>
      </w:r>
      <w:r w:rsidR="006D74F2" w:rsidRPr="00A52AB8">
        <w:t>oints</w:t>
      </w:r>
      <w:bookmarkEnd w:id="6973"/>
      <w:bookmarkEnd w:id="6974"/>
      <w:bookmarkEnd w:id="6975"/>
      <w:bookmarkEnd w:id="6976"/>
    </w:p>
    <w:p w14:paraId="18057DD0" w14:textId="791D875F" w:rsidR="00B42CA2" w:rsidRPr="00A52AB8" w:rsidRDefault="00B42CA2" w:rsidP="00007BE2">
      <w:pPr>
        <w:rPr>
          <w:color w:val="000000" w:themeColor="text1"/>
        </w:rPr>
      </w:pPr>
      <w:r w:rsidRPr="00A52AB8">
        <w:rPr>
          <w:color w:val="000000" w:themeColor="text1"/>
        </w:rPr>
        <w:t xml:space="preserve">This </w:t>
      </w:r>
      <w:r w:rsidRPr="00A52AB8">
        <w:rPr>
          <w:color w:val="000000" w:themeColor="text1"/>
          <w:lang w:eastAsia="ja-JP"/>
        </w:rPr>
        <w:t>process identif</w:t>
      </w:r>
      <w:r w:rsidR="00EE1797" w:rsidRPr="00A52AB8">
        <w:rPr>
          <w:color w:val="000000" w:themeColor="text1"/>
          <w:lang w:eastAsia="ja-JP"/>
        </w:rPr>
        <w:t>ies</w:t>
      </w:r>
      <w:r w:rsidRPr="00A52AB8">
        <w:rPr>
          <w:color w:val="000000" w:themeColor="text1"/>
          <w:lang w:eastAsia="ja-JP"/>
        </w:rPr>
        <w:t xml:space="preserve"> </w:t>
      </w:r>
      <w:r w:rsidR="00EE1797" w:rsidRPr="00A52AB8">
        <w:rPr>
          <w:color w:val="000000" w:themeColor="text1"/>
          <w:lang w:eastAsia="ja-JP"/>
        </w:rPr>
        <w:t>a point on the atlas as a boundary point if it lies near the boundary of the patches. G</w:t>
      </w:r>
      <w:r w:rsidRPr="00A52AB8">
        <w:rPr>
          <w:color w:val="000000" w:themeColor="text1"/>
          <w:lang w:eastAsia="ja-JP"/>
        </w:rPr>
        <w:t xml:space="preserve">eometry or attribute smoothing should be applied </w:t>
      </w:r>
      <w:r w:rsidR="00EE1797" w:rsidRPr="00A52AB8">
        <w:rPr>
          <w:color w:val="000000" w:themeColor="text1"/>
          <w:lang w:eastAsia="ja-JP"/>
        </w:rPr>
        <w:t>only to points which correspond to such boundary points.</w:t>
      </w:r>
    </w:p>
    <w:p w14:paraId="25B863D7" w14:textId="77777777" w:rsidR="006D74F2" w:rsidRPr="00A52AB8" w:rsidRDefault="006D74F2" w:rsidP="00007BE2">
      <w:pPr>
        <w:rPr>
          <w:color w:val="000000" w:themeColor="text1"/>
        </w:rPr>
      </w:pPr>
      <w:r w:rsidRPr="00A52AB8">
        <w:rPr>
          <w:color w:val="000000" w:themeColor="text1"/>
        </w:rPr>
        <w:t>Inputs to this process are:</w:t>
      </w:r>
    </w:p>
    <w:p w14:paraId="2DDAE954" w14:textId="543FB489" w:rsidR="006D74F2" w:rsidRPr="00A52AB8" w:rsidRDefault="00A5631E" w:rsidP="00DB0E50">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403" w:hanging="403"/>
        <w:textAlignment w:val="baseline"/>
        <w:rPr>
          <w:color w:val="000000" w:themeColor="text1"/>
        </w:rPr>
      </w:pPr>
      <w:r w:rsidRPr="00A52AB8">
        <w:rPr>
          <w:color w:val="000000" w:themeColor="text1"/>
        </w:rPr>
        <w:t xml:space="preserve">a 2D array oFrame, of size asps_frame_height × asps_frame_width, corresponding to </w:t>
      </w:r>
      <w:r w:rsidR="006D74F2" w:rsidRPr="00A52AB8">
        <w:rPr>
          <w:color w:val="000000" w:themeColor="text1"/>
        </w:rPr>
        <w:t xml:space="preserve">an </w:t>
      </w:r>
      <w:r w:rsidR="0003372C" w:rsidRPr="00A52AB8">
        <w:rPr>
          <w:color w:val="000000" w:themeColor="text1"/>
        </w:rPr>
        <w:t>occupancy</w:t>
      </w:r>
      <w:r w:rsidR="006D74F2" w:rsidRPr="00A52AB8">
        <w:rPr>
          <w:color w:val="000000" w:themeColor="text1"/>
        </w:rPr>
        <w:t xml:space="preserve"> frame</w:t>
      </w:r>
      <w:r w:rsidR="00887913" w:rsidRPr="00A52AB8">
        <w:rPr>
          <w:color w:val="000000" w:themeColor="text1"/>
        </w:rPr>
        <w:t>,</w:t>
      </w:r>
    </w:p>
    <w:p w14:paraId="4235F429" w14:textId="77777777" w:rsidR="002B73D5" w:rsidRPr="00A52AB8" w:rsidRDefault="002B73D5" w:rsidP="00DB0E50">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403" w:hanging="403"/>
        <w:textAlignment w:val="baseline"/>
        <w:rPr>
          <w:color w:val="000000" w:themeColor="text1"/>
        </w:rPr>
      </w:pPr>
      <w:r w:rsidRPr="00A52AB8">
        <w:rPr>
          <w:color w:val="000000" w:themeColor="text1"/>
        </w:rPr>
        <w:t>y, the row index of a reconstructed point on the current atlas, and</w:t>
      </w:r>
    </w:p>
    <w:p w14:paraId="2AE4AF06" w14:textId="77777777" w:rsidR="006D74F2" w:rsidRPr="00A52AB8" w:rsidRDefault="006D74F2" w:rsidP="00DB0E50">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403" w:hanging="403"/>
        <w:textAlignment w:val="baseline"/>
        <w:rPr>
          <w:color w:val="000000" w:themeColor="text1"/>
        </w:rPr>
      </w:pPr>
      <w:r w:rsidRPr="00A52AB8">
        <w:rPr>
          <w:color w:val="000000" w:themeColor="text1"/>
        </w:rPr>
        <w:t xml:space="preserve">x, the column index of </w:t>
      </w:r>
      <w:r w:rsidR="00B42CA2" w:rsidRPr="00A52AB8">
        <w:rPr>
          <w:color w:val="000000" w:themeColor="text1"/>
        </w:rPr>
        <w:t>a</w:t>
      </w:r>
      <w:r w:rsidRPr="00A52AB8">
        <w:rPr>
          <w:color w:val="000000" w:themeColor="text1"/>
        </w:rPr>
        <w:t xml:space="preserve"> reconstructed point on the current atlas</w:t>
      </w:r>
      <w:r w:rsidR="00B42CA2" w:rsidRPr="00A52AB8">
        <w:rPr>
          <w:color w:val="000000" w:themeColor="text1"/>
        </w:rPr>
        <w:t>.</w:t>
      </w:r>
    </w:p>
    <w:p w14:paraId="221B42C3" w14:textId="77777777" w:rsidR="006D74F2" w:rsidRPr="00A52AB8" w:rsidRDefault="006D74F2" w:rsidP="00007BE2">
      <w:pPr>
        <w:rPr>
          <w:color w:val="000000" w:themeColor="text1"/>
          <w:lang w:eastAsia="ja-JP"/>
        </w:rPr>
      </w:pPr>
      <w:r w:rsidRPr="00A52AB8">
        <w:rPr>
          <w:color w:val="000000" w:themeColor="text1"/>
          <w:lang w:eastAsia="ja-JP"/>
        </w:rPr>
        <w:t>Out</w:t>
      </w:r>
      <w:r w:rsidRPr="00A52AB8">
        <w:rPr>
          <w:color w:val="000000" w:themeColor="text1"/>
        </w:rPr>
        <w:t xml:space="preserve">put of this process </w:t>
      </w:r>
      <w:r w:rsidRPr="00A52AB8">
        <w:rPr>
          <w:color w:val="000000" w:themeColor="text1"/>
          <w:lang w:eastAsia="ja-JP"/>
        </w:rPr>
        <w:t>is</w:t>
      </w:r>
      <w:r w:rsidRPr="00A52AB8">
        <w:rPr>
          <w:color w:val="000000" w:themeColor="text1"/>
        </w:rPr>
        <w:t>:</w:t>
      </w:r>
    </w:p>
    <w:p w14:paraId="0ADCF48E" w14:textId="3101A809" w:rsidR="006D74F2" w:rsidRPr="00A52AB8" w:rsidRDefault="006D74F2" w:rsidP="00DB0E50">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403" w:hanging="403"/>
        <w:textAlignment w:val="baseline"/>
        <w:rPr>
          <w:color w:val="000000" w:themeColor="text1"/>
        </w:rPr>
      </w:pPr>
      <w:r w:rsidRPr="00A52AB8">
        <w:rPr>
          <w:color w:val="000000" w:themeColor="text1"/>
        </w:rPr>
        <w:t xml:space="preserve">boundaryPoint, a boolean variable indicating whether </w:t>
      </w:r>
      <w:r w:rsidR="00B42CA2" w:rsidRPr="00A52AB8">
        <w:rPr>
          <w:color w:val="000000" w:themeColor="text1"/>
        </w:rPr>
        <w:t xml:space="preserve">geometry or attribute smoothing should be applied to </w:t>
      </w:r>
      <w:r w:rsidRPr="00A52AB8">
        <w:rPr>
          <w:color w:val="000000" w:themeColor="text1"/>
        </w:rPr>
        <w:t>the reconstructed point</w:t>
      </w:r>
      <w:r w:rsidR="00B00CDA" w:rsidRPr="00A52AB8">
        <w:rPr>
          <w:color w:val="000000" w:themeColor="text1"/>
        </w:rPr>
        <w:t xml:space="preserve"> corresponding to atlas coordinates ( y, x )</w:t>
      </w:r>
      <w:r w:rsidRPr="00A52AB8">
        <w:rPr>
          <w:color w:val="000000" w:themeColor="text1"/>
        </w:rPr>
        <w:t>.</w:t>
      </w:r>
    </w:p>
    <w:p w14:paraId="599EAA86" w14:textId="5B9DDB5B" w:rsidR="006D74F2" w:rsidRPr="00A52AB8" w:rsidRDefault="00B42CA2" w:rsidP="00007BE2">
      <w:pPr>
        <w:rPr>
          <w:color w:val="000000" w:themeColor="text1"/>
        </w:rPr>
      </w:pPr>
      <w:r w:rsidRPr="00A52AB8">
        <w:rPr>
          <w:color w:val="000000" w:themeColor="text1"/>
          <w:lang w:eastAsia="ja-JP"/>
        </w:rPr>
        <w:t>A</w:t>
      </w:r>
      <w:r w:rsidR="006D74F2" w:rsidRPr="00A52AB8">
        <w:rPr>
          <w:color w:val="000000" w:themeColor="text1"/>
        </w:rPr>
        <w:t xml:space="preserve"> variable boundaryPoint identifies </w:t>
      </w:r>
      <w:r w:rsidR="00C1379F" w:rsidRPr="00A52AB8">
        <w:rPr>
          <w:color w:val="000000" w:themeColor="text1"/>
        </w:rPr>
        <w:t>whether</w:t>
      </w:r>
      <w:r w:rsidR="006D74F2" w:rsidRPr="00A52AB8">
        <w:rPr>
          <w:color w:val="000000" w:themeColor="text1"/>
        </w:rPr>
        <w:t xml:space="preserve"> </w:t>
      </w:r>
      <w:r w:rsidR="00B00CDA" w:rsidRPr="00A52AB8">
        <w:rPr>
          <w:color w:val="000000" w:themeColor="text1"/>
        </w:rPr>
        <w:t>a point on the atlas with coordinates ( y, x )</w:t>
      </w:r>
      <w:r w:rsidR="006D74F2" w:rsidRPr="00A52AB8">
        <w:rPr>
          <w:color w:val="000000" w:themeColor="text1"/>
        </w:rPr>
        <w:t xml:space="preserve"> is located near a patch boundary.</w:t>
      </w:r>
    </w:p>
    <w:p w14:paraId="3700C6B3" w14:textId="77777777" w:rsidR="006D74F2" w:rsidRPr="00A52AB8" w:rsidRDefault="006D74F2" w:rsidP="00007BE2">
      <w:pPr>
        <w:rPr>
          <w:color w:val="000000" w:themeColor="text1"/>
        </w:rPr>
      </w:pPr>
      <w:r w:rsidRPr="00A52AB8">
        <w:rPr>
          <w:color w:val="000000" w:themeColor="text1"/>
        </w:rPr>
        <w:t>The following applies:</w:t>
      </w:r>
    </w:p>
    <w:p w14:paraId="245DD76A" w14:textId="112B0E0C" w:rsidR="00273CDC" w:rsidRPr="00A52AB8" w:rsidRDefault="00D52145" w:rsidP="00DB0E50">
      <w:pPr>
        <w:jc w:val="left"/>
      </w:pPr>
      <w:r w:rsidRPr="00A52AB8">
        <w:tab/>
      </w:r>
      <w:r w:rsidR="006D74F2" w:rsidRPr="00A52AB8">
        <w:t>boundaryPoint</w:t>
      </w:r>
      <w:r w:rsidR="00D47707" w:rsidRPr="00A52AB8">
        <w:t> = </w:t>
      </w:r>
      <w:r w:rsidR="006D74F2" w:rsidRPr="00A52AB8">
        <w:t>0</w:t>
      </w:r>
      <w:r w:rsidR="006D74F2" w:rsidRPr="00A52AB8">
        <w:br/>
      </w:r>
      <w:r w:rsidRPr="00A52AB8">
        <w:tab/>
      </w:r>
      <w:r w:rsidR="00273CDC" w:rsidRPr="00A52AB8">
        <w:t>if( ( x </w:t>
      </w:r>
      <w:r w:rsidR="00726AAE" w:rsidRPr="00A52AB8">
        <w:t>==</w:t>
      </w:r>
      <w:r w:rsidR="00D47707" w:rsidRPr="00A52AB8">
        <w:t> </w:t>
      </w:r>
      <w:r w:rsidR="00273CDC" w:rsidRPr="00A52AB8">
        <w:t>0 ) || ( x </w:t>
      </w:r>
      <w:r w:rsidR="00726AAE" w:rsidRPr="00A52AB8">
        <w:t>==</w:t>
      </w:r>
      <w:r w:rsidR="00D47707" w:rsidRPr="00A52AB8">
        <w:t> </w:t>
      </w:r>
      <w:r w:rsidR="00273CDC" w:rsidRPr="00A52AB8">
        <w:t>asps_frame_width – 1 ) || ( y </w:t>
      </w:r>
      <w:r w:rsidR="00726AAE" w:rsidRPr="00A52AB8">
        <w:t>==</w:t>
      </w:r>
      <w:r w:rsidR="00D47707" w:rsidRPr="00A52AB8">
        <w:t> </w:t>
      </w:r>
      <w:r w:rsidR="00273CDC" w:rsidRPr="00A52AB8">
        <w:t>0 ) || ( y </w:t>
      </w:r>
      <w:r w:rsidR="00726AAE" w:rsidRPr="00A52AB8">
        <w:t>==</w:t>
      </w:r>
      <w:r w:rsidR="00D47707" w:rsidRPr="00A52AB8">
        <w:t> </w:t>
      </w:r>
      <w:r w:rsidR="00273CDC" w:rsidRPr="00A52AB8">
        <w:t>asps_frame_height – 1 ) )</w:t>
      </w:r>
      <w:r w:rsidR="00273CDC" w:rsidRPr="00A52AB8">
        <w:br/>
      </w:r>
      <w:r w:rsidR="00273CDC" w:rsidRPr="00A52AB8">
        <w:tab/>
      </w:r>
      <w:r w:rsidR="00273CDC" w:rsidRPr="00A52AB8">
        <w:tab/>
        <w:t>boundaryPoint</w:t>
      </w:r>
      <w:r w:rsidR="00D47707" w:rsidRPr="00A52AB8">
        <w:t> = </w:t>
      </w:r>
      <w:r w:rsidR="00273CDC" w:rsidRPr="00A52AB8">
        <w:t>1</w:t>
      </w:r>
      <w:r w:rsidR="00273CDC" w:rsidRPr="00A52AB8">
        <w:br/>
      </w:r>
      <w:r w:rsidR="00056B37" w:rsidRPr="00A52AB8">
        <w:tab/>
      </w:r>
      <w:r w:rsidR="00273CDC" w:rsidRPr="00A52AB8">
        <w:t>else</w:t>
      </w:r>
      <w:r w:rsidR="00B00CDA" w:rsidRPr="00A52AB8">
        <w:t> </w:t>
      </w:r>
      <w:r w:rsidR="00056B37" w:rsidRPr="00A52AB8">
        <w:t>{</w:t>
      </w:r>
      <w:r w:rsidR="00273CDC" w:rsidRPr="00A52AB8">
        <w:br/>
      </w:r>
      <w:r w:rsidR="00273CDC" w:rsidRPr="00A52AB8">
        <w:tab/>
      </w:r>
      <w:r w:rsidR="00056B37" w:rsidRPr="00A52AB8">
        <w:tab/>
      </w:r>
      <w:r w:rsidR="00273CDC" w:rsidRPr="00A52AB8">
        <w:t>if( ( oFrame</w:t>
      </w:r>
      <w:r w:rsidR="00DD3142" w:rsidRPr="00A52AB8">
        <w:t>[ y ][ x − 1 ]</w:t>
      </w:r>
      <w:r w:rsidR="00056B37" w:rsidRPr="00A52AB8">
        <w:t> </w:t>
      </w:r>
      <w:r w:rsidR="00726AAE" w:rsidRPr="00A52AB8">
        <w:t>==</w:t>
      </w:r>
      <w:r w:rsidR="00D47707" w:rsidRPr="00A52AB8">
        <w:t> </w:t>
      </w:r>
      <w:r w:rsidR="00273CDC" w:rsidRPr="00A52AB8">
        <w:t>0</w:t>
      </w:r>
      <w:r w:rsidR="00056B37" w:rsidRPr="00A52AB8">
        <w:t> </w:t>
      </w:r>
      <w:r w:rsidR="00273CDC" w:rsidRPr="00A52AB8">
        <w:t>)</w:t>
      </w:r>
      <w:r w:rsidR="00056B37" w:rsidRPr="00A52AB8">
        <w:t> </w:t>
      </w:r>
      <w:r w:rsidR="00273CDC" w:rsidRPr="00A52AB8">
        <w:t>||</w:t>
      </w:r>
      <w:r w:rsidR="00056B37" w:rsidRPr="00A52AB8">
        <w:t> </w:t>
      </w:r>
      <w:r w:rsidR="00273CDC" w:rsidRPr="00A52AB8">
        <w:t>( oFrame</w:t>
      </w:r>
      <w:r w:rsidR="00DD3142" w:rsidRPr="00A52AB8">
        <w:t>[ y ]</w:t>
      </w:r>
      <w:r w:rsidR="00273CDC" w:rsidRPr="00A52AB8">
        <w:t>[</w:t>
      </w:r>
      <w:r w:rsidR="00E150C7" w:rsidRPr="00A52AB8">
        <w:t> x + 1 </w:t>
      </w:r>
      <w:r w:rsidR="00273CDC" w:rsidRPr="00A52AB8">
        <w:t>]</w:t>
      </w:r>
      <w:r w:rsidR="00056B37" w:rsidRPr="00A52AB8">
        <w:t> </w:t>
      </w:r>
      <w:r w:rsidR="00726AAE" w:rsidRPr="00A52AB8">
        <w:t>==</w:t>
      </w:r>
      <w:r w:rsidR="00D47707" w:rsidRPr="00A52AB8">
        <w:t> </w:t>
      </w:r>
      <w:r w:rsidR="00273CDC" w:rsidRPr="00A52AB8">
        <w:t>0</w:t>
      </w:r>
      <w:r w:rsidR="00056B37" w:rsidRPr="00A52AB8">
        <w:t> </w:t>
      </w:r>
      <w:r w:rsidR="00273CDC" w:rsidRPr="00A52AB8">
        <w:t>)</w:t>
      </w:r>
      <w:r w:rsidR="00056B37" w:rsidRPr="00A52AB8">
        <w:t> </w:t>
      </w:r>
      <w:r w:rsidR="00273CDC" w:rsidRPr="00A52AB8">
        <w:t>||</w:t>
      </w:r>
      <w:r w:rsidR="00273CDC" w:rsidRPr="00A52AB8">
        <w:br/>
      </w:r>
      <w:r w:rsidR="00273CDC" w:rsidRPr="00A52AB8">
        <w:tab/>
      </w:r>
      <w:r w:rsidR="00056B37" w:rsidRPr="00A52AB8">
        <w:tab/>
      </w:r>
      <w:r w:rsidR="00273CDC" w:rsidRPr="00A52AB8">
        <w:tab/>
        <w:t>( oFrame[</w:t>
      </w:r>
      <w:r w:rsidR="00056B37" w:rsidRPr="00A52AB8">
        <w:t> </w:t>
      </w:r>
      <w:r w:rsidR="00273CDC" w:rsidRPr="00A52AB8">
        <w:t>y</w:t>
      </w:r>
      <w:r w:rsidR="00056B37" w:rsidRPr="00A52AB8">
        <w:t> – </w:t>
      </w:r>
      <w:r w:rsidR="00273CDC" w:rsidRPr="00A52AB8">
        <w:t>1</w:t>
      </w:r>
      <w:r w:rsidR="00056B37" w:rsidRPr="00A52AB8">
        <w:t> </w:t>
      </w:r>
      <w:r w:rsidR="00273CDC" w:rsidRPr="00A52AB8">
        <w:t>][</w:t>
      </w:r>
      <w:r w:rsidR="00056B37" w:rsidRPr="00A52AB8">
        <w:t> </w:t>
      </w:r>
      <w:r w:rsidR="00273CDC" w:rsidRPr="00A52AB8">
        <w:t>x</w:t>
      </w:r>
      <w:r w:rsidR="00056B37" w:rsidRPr="00A52AB8">
        <w:t> </w:t>
      </w:r>
      <w:r w:rsidR="00273CDC" w:rsidRPr="00A52AB8">
        <w:t>]</w:t>
      </w:r>
      <w:r w:rsidR="00056B37" w:rsidRPr="00A52AB8">
        <w:t> </w:t>
      </w:r>
      <w:r w:rsidR="00726AAE" w:rsidRPr="00A52AB8">
        <w:t>==</w:t>
      </w:r>
      <w:r w:rsidR="00D47707" w:rsidRPr="00A52AB8">
        <w:t> </w:t>
      </w:r>
      <w:r w:rsidR="00273CDC" w:rsidRPr="00A52AB8">
        <w:t>0</w:t>
      </w:r>
      <w:r w:rsidR="00056B37" w:rsidRPr="00A52AB8">
        <w:t> </w:t>
      </w:r>
      <w:r w:rsidR="00273CDC" w:rsidRPr="00A52AB8">
        <w:t>)</w:t>
      </w:r>
      <w:r w:rsidR="00056B37" w:rsidRPr="00A52AB8">
        <w:t> </w:t>
      </w:r>
      <w:r w:rsidR="00273CDC" w:rsidRPr="00A52AB8">
        <w:t>||</w:t>
      </w:r>
      <w:r w:rsidR="00056B37" w:rsidRPr="00A52AB8">
        <w:t> </w:t>
      </w:r>
      <w:r w:rsidR="00273CDC" w:rsidRPr="00A52AB8">
        <w:t>( oFrame[</w:t>
      </w:r>
      <w:r w:rsidR="00E150C7" w:rsidRPr="00A52AB8">
        <w:t> </w:t>
      </w:r>
      <w:r w:rsidR="00273CDC" w:rsidRPr="00A52AB8">
        <w:t>y</w:t>
      </w:r>
      <w:r w:rsidR="00E150C7" w:rsidRPr="00A52AB8">
        <w:t> </w:t>
      </w:r>
      <w:r w:rsidR="00273CDC" w:rsidRPr="00A52AB8">
        <w:t>+</w:t>
      </w:r>
      <w:r w:rsidR="00E150C7" w:rsidRPr="00A52AB8">
        <w:t> </w:t>
      </w:r>
      <w:r w:rsidR="00273CDC" w:rsidRPr="00A52AB8">
        <w:t>1</w:t>
      </w:r>
      <w:r w:rsidR="00E150C7" w:rsidRPr="00A52AB8">
        <w:t> </w:t>
      </w:r>
      <w:r w:rsidR="00273CDC" w:rsidRPr="00A52AB8">
        <w:t>][</w:t>
      </w:r>
      <w:r w:rsidR="00E150C7" w:rsidRPr="00A52AB8">
        <w:t> </w:t>
      </w:r>
      <w:r w:rsidR="00273CDC" w:rsidRPr="00A52AB8">
        <w:t>x</w:t>
      </w:r>
      <w:r w:rsidR="00E150C7" w:rsidRPr="00A52AB8">
        <w:t> </w:t>
      </w:r>
      <w:r w:rsidR="00273CDC" w:rsidRPr="00A52AB8">
        <w:t>]</w:t>
      </w:r>
      <w:r w:rsidR="00056B37" w:rsidRPr="00A52AB8">
        <w:t> </w:t>
      </w:r>
      <w:r w:rsidR="00726AAE" w:rsidRPr="00A52AB8">
        <w:t>==</w:t>
      </w:r>
      <w:r w:rsidR="00D47707" w:rsidRPr="00A52AB8">
        <w:t> </w:t>
      </w:r>
      <w:r w:rsidR="00273CDC" w:rsidRPr="00A52AB8">
        <w:t>0</w:t>
      </w:r>
      <w:r w:rsidR="00056B37" w:rsidRPr="00A52AB8">
        <w:t> </w:t>
      </w:r>
      <w:r w:rsidR="00273CDC" w:rsidRPr="00A52AB8">
        <w:t>)</w:t>
      </w:r>
      <w:r w:rsidR="00056B37" w:rsidRPr="00A52AB8">
        <w:t> </w:t>
      </w:r>
      <w:r w:rsidR="00273CDC" w:rsidRPr="00A52AB8">
        <w:t>||</w:t>
      </w:r>
      <w:r w:rsidR="00273CDC" w:rsidRPr="00A52AB8">
        <w:br/>
      </w:r>
      <w:r w:rsidR="00273CDC" w:rsidRPr="00A52AB8">
        <w:tab/>
      </w:r>
      <w:r w:rsidR="00056B37" w:rsidRPr="00A52AB8">
        <w:tab/>
      </w:r>
      <w:r w:rsidR="00273CDC" w:rsidRPr="00A52AB8">
        <w:tab/>
        <w:t>( oFrame[</w:t>
      </w:r>
      <w:r w:rsidR="00056B37" w:rsidRPr="00A52AB8">
        <w:t> </w:t>
      </w:r>
      <w:r w:rsidR="00273CDC" w:rsidRPr="00A52AB8">
        <w:t>y</w:t>
      </w:r>
      <w:r w:rsidR="00056B37" w:rsidRPr="00A52AB8">
        <w:t> – </w:t>
      </w:r>
      <w:r w:rsidR="00273CDC" w:rsidRPr="00A52AB8">
        <w:t>1</w:t>
      </w:r>
      <w:r w:rsidR="00056B37" w:rsidRPr="00A52AB8">
        <w:t> </w:t>
      </w:r>
      <w:r w:rsidR="00273CDC" w:rsidRPr="00A52AB8">
        <w:t>]</w:t>
      </w:r>
      <w:r w:rsidR="00DD3142" w:rsidRPr="00A52AB8">
        <w:t>[ x − 1 ]</w:t>
      </w:r>
      <w:r w:rsidR="00056B37" w:rsidRPr="00A52AB8">
        <w:t> </w:t>
      </w:r>
      <w:r w:rsidR="00726AAE" w:rsidRPr="00A52AB8">
        <w:t>==</w:t>
      </w:r>
      <w:r w:rsidR="00D47707" w:rsidRPr="00A52AB8">
        <w:t> </w:t>
      </w:r>
      <w:r w:rsidR="00273CDC" w:rsidRPr="00A52AB8">
        <w:t>0</w:t>
      </w:r>
      <w:r w:rsidR="00056B37" w:rsidRPr="00A52AB8">
        <w:t> </w:t>
      </w:r>
      <w:r w:rsidR="00273CDC" w:rsidRPr="00A52AB8">
        <w:t>)</w:t>
      </w:r>
      <w:r w:rsidR="00056B37" w:rsidRPr="00A52AB8">
        <w:t> </w:t>
      </w:r>
      <w:r w:rsidR="00273CDC" w:rsidRPr="00A52AB8">
        <w:t>||</w:t>
      </w:r>
      <w:r w:rsidR="00056B37" w:rsidRPr="00A52AB8">
        <w:t> </w:t>
      </w:r>
      <w:r w:rsidR="00273CDC" w:rsidRPr="00A52AB8">
        <w:t>( oFrame[</w:t>
      </w:r>
      <w:r w:rsidR="00E150C7" w:rsidRPr="00A52AB8">
        <w:t> </w:t>
      </w:r>
      <w:r w:rsidR="00273CDC" w:rsidRPr="00A52AB8">
        <w:t>y</w:t>
      </w:r>
      <w:r w:rsidR="00E150C7" w:rsidRPr="00A52AB8">
        <w:t> – </w:t>
      </w:r>
      <w:r w:rsidR="00273CDC" w:rsidRPr="00A52AB8">
        <w:t>1</w:t>
      </w:r>
      <w:r w:rsidR="00E150C7" w:rsidRPr="00A52AB8">
        <w:t> </w:t>
      </w:r>
      <w:r w:rsidR="00273CDC" w:rsidRPr="00A52AB8">
        <w:t>][</w:t>
      </w:r>
      <w:r w:rsidR="00E150C7" w:rsidRPr="00A52AB8">
        <w:t> x + 1 </w:t>
      </w:r>
      <w:r w:rsidR="00273CDC" w:rsidRPr="00A52AB8">
        <w:t>]</w:t>
      </w:r>
      <w:r w:rsidR="00056B37" w:rsidRPr="00A52AB8">
        <w:t> </w:t>
      </w:r>
      <w:r w:rsidR="00726AAE" w:rsidRPr="00A52AB8">
        <w:t>==</w:t>
      </w:r>
      <w:r w:rsidR="00D47707" w:rsidRPr="00A52AB8">
        <w:t> </w:t>
      </w:r>
      <w:r w:rsidR="00273CDC" w:rsidRPr="00A52AB8">
        <w:t>0</w:t>
      </w:r>
      <w:r w:rsidR="00056B37" w:rsidRPr="00A52AB8">
        <w:t> </w:t>
      </w:r>
      <w:r w:rsidR="00273CDC" w:rsidRPr="00A52AB8">
        <w:t>)</w:t>
      </w:r>
      <w:r w:rsidR="00056B37" w:rsidRPr="00A52AB8">
        <w:t> </w:t>
      </w:r>
      <w:r w:rsidR="00273CDC" w:rsidRPr="00A52AB8">
        <w:t>||</w:t>
      </w:r>
      <w:r w:rsidR="00273CDC" w:rsidRPr="00A52AB8">
        <w:br/>
      </w:r>
      <w:r w:rsidR="00273CDC" w:rsidRPr="00A52AB8">
        <w:tab/>
      </w:r>
      <w:r w:rsidR="00056B37" w:rsidRPr="00A52AB8">
        <w:tab/>
      </w:r>
      <w:r w:rsidR="00273CDC" w:rsidRPr="00A52AB8">
        <w:tab/>
        <w:t>( oFrame[</w:t>
      </w:r>
      <w:r w:rsidR="00E150C7" w:rsidRPr="00A52AB8">
        <w:t> y + 1 </w:t>
      </w:r>
      <w:r w:rsidR="00273CDC" w:rsidRPr="00A52AB8">
        <w:t>]</w:t>
      </w:r>
      <w:r w:rsidR="00DD3142" w:rsidRPr="00A52AB8">
        <w:t>[ x − 1 ]</w:t>
      </w:r>
      <w:r w:rsidR="00056B37" w:rsidRPr="00A52AB8">
        <w:t> </w:t>
      </w:r>
      <w:r w:rsidR="00726AAE" w:rsidRPr="00A52AB8">
        <w:t>==</w:t>
      </w:r>
      <w:r w:rsidR="00D47707" w:rsidRPr="00A52AB8">
        <w:t> </w:t>
      </w:r>
      <w:r w:rsidR="00273CDC" w:rsidRPr="00A52AB8">
        <w:t>0</w:t>
      </w:r>
      <w:r w:rsidR="00056B37" w:rsidRPr="00A52AB8">
        <w:t> </w:t>
      </w:r>
      <w:r w:rsidR="00273CDC" w:rsidRPr="00A52AB8">
        <w:t>)</w:t>
      </w:r>
      <w:r w:rsidR="00056B37" w:rsidRPr="00A52AB8">
        <w:t> </w:t>
      </w:r>
      <w:r w:rsidR="00273CDC" w:rsidRPr="00A52AB8">
        <w:t>||</w:t>
      </w:r>
      <w:r w:rsidR="00056B37" w:rsidRPr="00A52AB8">
        <w:t> </w:t>
      </w:r>
      <w:r w:rsidR="00273CDC" w:rsidRPr="00A52AB8">
        <w:t>( oFrame[</w:t>
      </w:r>
      <w:r w:rsidR="00E150C7" w:rsidRPr="00A52AB8">
        <w:t> y + 1 </w:t>
      </w:r>
      <w:r w:rsidR="00273CDC" w:rsidRPr="00A52AB8">
        <w:t>][</w:t>
      </w:r>
      <w:r w:rsidR="00E150C7" w:rsidRPr="00A52AB8">
        <w:t> x + 1 </w:t>
      </w:r>
      <w:r w:rsidR="00273CDC" w:rsidRPr="00A52AB8">
        <w:t>]</w:t>
      </w:r>
      <w:r w:rsidR="00056B37" w:rsidRPr="00A52AB8">
        <w:t> </w:t>
      </w:r>
      <w:r w:rsidR="00726AAE" w:rsidRPr="00A52AB8">
        <w:t>==</w:t>
      </w:r>
      <w:r w:rsidR="00D47707" w:rsidRPr="00A52AB8">
        <w:t> </w:t>
      </w:r>
      <w:r w:rsidR="00273CDC" w:rsidRPr="00A52AB8">
        <w:t>0</w:t>
      </w:r>
      <w:r w:rsidR="00056B37" w:rsidRPr="00A52AB8">
        <w:t> </w:t>
      </w:r>
      <w:r w:rsidR="00273CDC" w:rsidRPr="00A52AB8">
        <w:t>)</w:t>
      </w:r>
      <w:r w:rsidR="00056B37" w:rsidRPr="00A52AB8">
        <w:t> </w:t>
      </w:r>
      <w:r w:rsidR="00273CDC" w:rsidRPr="00A52AB8">
        <w:t>)</w:t>
      </w:r>
      <w:r w:rsidR="00273CDC" w:rsidRPr="00A52AB8">
        <w:br/>
      </w:r>
      <w:r w:rsidR="00273CDC" w:rsidRPr="00A52AB8">
        <w:tab/>
      </w:r>
      <w:r w:rsidR="00056B37" w:rsidRPr="00A52AB8">
        <w:tab/>
      </w:r>
      <w:r w:rsidR="00273CDC" w:rsidRPr="00A52AB8">
        <w:tab/>
        <w:t>boundaryPoint</w:t>
      </w:r>
      <w:r w:rsidR="00D47707" w:rsidRPr="00A52AB8">
        <w:t> = </w:t>
      </w:r>
      <w:r w:rsidR="00273CDC" w:rsidRPr="00A52AB8">
        <w:t>1</w:t>
      </w:r>
    </w:p>
    <w:p w14:paraId="5556C5EF" w14:textId="784BE462" w:rsidR="006D74F2" w:rsidRPr="00A52AB8" w:rsidRDefault="00273CDC" w:rsidP="00273CDC">
      <w:r w:rsidRPr="00A52AB8">
        <w:tab/>
      </w:r>
      <w:r w:rsidR="00056B37" w:rsidRPr="00A52AB8">
        <w:tab/>
      </w:r>
      <w:r w:rsidRPr="00A52AB8">
        <w:t>if( boundaryPoint</w:t>
      </w:r>
      <w:r w:rsidR="00991F79" w:rsidRPr="00A52AB8">
        <w:t> </w:t>
      </w:r>
      <w:r w:rsidR="00E963F3" w:rsidRPr="00A52AB8">
        <w:t>!=</w:t>
      </w:r>
      <w:r w:rsidR="00D47707" w:rsidRPr="00A52AB8">
        <w:t> </w:t>
      </w:r>
      <w:r w:rsidRPr="00A52AB8">
        <w:t>1</w:t>
      </w:r>
      <w:r w:rsidR="00991F79" w:rsidRPr="00A52AB8">
        <w:t> </w:t>
      </w:r>
      <w:r w:rsidR="008F1F82" w:rsidRPr="00A52AB8">
        <w:t>) {</w:t>
      </w:r>
      <w:r w:rsidRPr="00A52AB8">
        <w:br/>
      </w:r>
      <w:r w:rsidRPr="00A52AB8">
        <w:tab/>
      </w:r>
      <w:r w:rsidR="00056B37" w:rsidRPr="00A52AB8">
        <w:tab/>
      </w:r>
      <w:r w:rsidRPr="00A52AB8">
        <w:tab/>
        <w:t>if(</w:t>
      </w:r>
      <w:r w:rsidR="00E150C7" w:rsidRPr="00A52AB8">
        <w:t> </w:t>
      </w:r>
      <w:r w:rsidRPr="00A52AB8">
        <w:t>(</w:t>
      </w:r>
      <w:r w:rsidR="00E150C7" w:rsidRPr="00A52AB8">
        <w:t> </w:t>
      </w:r>
      <w:r w:rsidRPr="00A52AB8">
        <w:t>x</w:t>
      </w:r>
      <w:r w:rsidR="00E150C7" w:rsidRPr="00A52AB8">
        <w:t> </w:t>
      </w:r>
      <w:r w:rsidR="00726AAE" w:rsidRPr="00A52AB8">
        <w:t>==</w:t>
      </w:r>
      <w:r w:rsidR="00D47707" w:rsidRPr="00A52AB8">
        <w:t> </w:t>
      </w:r>
      <w:r w:rsidRPr="00A52AB8">
        <w:t>1</w:t>
      </w:r>
      <w:r w:rsidR="00E150C7" w:rsidRPr="00A52AB8">
        <w:t> </w:t>
      </w:r>
      <w:r w:rsidRPr="00A52AB8">
        <w:t>)</w:t>
      </w:r>
      <w:r w:rsidR="00E150C7" w:rsidRPr="00A52AB8">
        <w:t> </w:t>
      </w:r>
      <w:r w:rsidRPr="00A52AB8">
        <w:t>||</w:t>
      </w:r>
      <w:r w:rsidR="00E150C7" w:rsidRPr="00A52AB8">
        <w:t> </w:t>
      </w:r>
      <w:r w:rsidRPr="00A52AB8">
        <w:t>(</w:t>
      </w:r>
      <w:r w:rsidR="00E150C7" w:rsidRPr="00A52AB8">
        <w:t> </w:t>
      </w:r>
      <w:r w:rsidRPr="00A52AB8">
        <w:t>x</w:t>
      </w:r>
      <w:r w:rsidR="00E150C7" w:rsidRPr="00A52AB8">
        <w:t> </w:t>
      </w:r>
      <w:r w:rsidR="00726AAE" w:rsidRPr="00A52AB8">
        <w:t>==</w:t>
      </w:r>
      <w:r w:rsidR="00D47707" w:rsidRPr="00A52AB8">
        <w:t> </w:t>
      </w:r>
      <w:r w:rsidRPr="00A52AB8">
        <w:t>asps_frame_width</w:t>
      </w:r>
      <w:r w:rsidR="00E150C7" w:rsidRPr="00A52AB8">
        <w:t> </w:t>
      </w:r>
      <w:r w:rsidRPr="00A52AB8">
        <w:t>–</w:t>
      </w:r>
      <w:r w:rsidR="00E150C7" w:rsidRPr="00A52AB8">
        <w:t> </w:t>
      </w:r>
      <w:r w:rsidRPr="00A52AB8">
        <w:t>2</w:t>
      </w:r>
      <w:r w:rsidR="00E150C7" w:rsidRPr="00A52AB8">
        <w:t> </w:t>
      </w:r>
      <w:r w:rsidRPr="00A52AB8">
        <w:t>)</w:t>
      </w:r>
      <w:r w:rsidR="00E150C7" w:rsidRPr="00A52AB8">
        <w:t> </w:t>
      </w:r>
      <w:r w:rsidRPr="00A52AB8">
        <w:t>||(</w:t>
      </w:r>
      <w:r w:rsidR="00991F79" w:rsidRPr="00A52AB8">
        <w:t> </w:t>
      </w:r>
      <w:r w:rsidRPr="00A52AB8">
        <w:t>y</w:t>
      </w:r>
      <w:r w:rsidR="00991F79" w:rsidRPr="00A52AB8">
        <w:t> </w:t>
      </w:r>
      <w:r w:rsidR="00726AAE" w:rsidRPr="00A52AB8">
        <w:t>==</w:t>
      </w:r>
      <w:r w:rsidR="00D47707" w:rsidRPr="00A52AB8">
        <w:t> </w:t>
      </w:r>
      <w:r w:rsidRPr="00A52AB8">
        <w:t>1</w:t>
      </w:r>
      <w:r w:rsidR="00991F79" w:rsidRPr="00A52AB8">
        <w:t> </w:t>
      </w:r>
      <w:r w:rsidRPr="00A52AB8">
        <w:t>)</w:t>
      </w:r>
      <w:r w:rsidR="00991F79" w:rsidRPr="00A52AB8">
        <w:t> </w:t>
      </w:r>
      <w:r w:rsidRPr="00A52AB8">
        <w:t>||</w:t>
      </w:r>
      <w:r w:rsidR="00991F79" w:rsidRPr="00A52AB8">
        <w:t> </w:t>
      </w:r>
      <w:r w:rsidRPr="00A52AB8">
        <w:t>(</w:t>
      </w:r>
      <w:r w:rsidR="00991F79" w:rsidRPr="00A52AB8">
        <w:t> </w:t>
      </w:r>
      <w:r w:rsidRPr="00A52AB8">
        <w:t>y</w:t>
      </w:r>
      <w:r w:rsidR="00991F79" w:rsidRPr="00A52AB8">
        <w:t> </w:t>
      </w:r>
      <w:r w:rsidR="00726AAE" w:rsidRPr="00A52AB8">
        <w:t>==</w:t>
      </w:r>
      <w:r w:rsidR="00D47707" w:rsidRPr="00A52AB8">
        <w:t> </w:t>
      </w:r>
      <w:r w:rsidRPr="00A52AB8">
        <w:t>asps_frame_height</w:t>
      </w:r>
      <w:r w:rsidR="00991F79" w:rsidRPr="00A52AB8">
        <w:t> </w:t>
      </w:r>
      <w:r w:rsidRPr="00A52AB8">
        <w:t>–</w:t>
      </w:r>
      <w:r w:rsidR="00991F79" w:rsidRPr="00A52AB8">
        <w:t> </w:t>
      </w:r>
      <w:r w:rsidRPr="00A52AB8">
        <w:t>2</w:t>
      </w:r>
      <w:r w:rsidR="00991F79" w:rsidRPr="00A52AB8">
        <w:t> </w:t>
      </w:r>
      <w:r w:rsidRPr="00A52AB8">
        <w:t>)</w:t>
      </w:r>
      <w:r w:rsidR="00991F79" w:rsidRPr="00A52AB8">
        <w:t> </w:t>
      </w:r>
      <w:r w:rsidRPr="00A52AB8">
        <w:t>)</w:t>
      </w:r>
      <w:r w:rsidRPr="00A52AB8">
        <w:br/>
      </w:r>
      <w:r w:rsidRPr="00A52AB8">
        <w:tab/>
      </w:r>
      <w:r w:rsidR="00056B37" w:rsidRPr="00A52AB8">
        <w:tab/>
      </w:r>
      <w:r w:rsidRPr="00A52AB8">
        <w:tab/>
      </w:r>
      <w:r w:rsidRPr="00A52AB8">
        <w:tab/>
        <w:t>boundaryPoint</w:t>
      </w:r>
      <w:r w:rsidR="00D47707" w:rsidRPr="00A52AB8">
        <w:t> = </w:t>
      </w:r>
      <w:r w:rsidRPr="00A52AB8">
        <w:t>1</w:t>
      </w:r>
      <w:r w:rsidRPr="00A52AB8">
        <w:br/>
      </w:r>
      <w:r w:rsidRPr="00A52AB8">
        <w:tab/>
      </w:r>
      <w:r w:rsidR="00056B37" w:rsidRPr="00A52AB8">
        <w:tab/>
      </w:r>
      <w:r w:rsidRPr="00A52AB8">
        <w:tab/>
        <w:t>else</w:t>
      </w:r>
      <w:r w:rsidR="00991F79" w:rsidRPr="00A52AB8">
        <w:t> </w:t>
      </w:r>
      <w:r w:rsidRPr="00A52AB8">
        <w:t>if(</w:t>
      </w:r>
      <w:r w:rsidR="00991F79" w:rsidRPr="00A52AB8">
        <w:t> </w:t>
      </w:r>
      <w:r w:rsidRPr="00A52AB8">
        <w:t>( oFrame[</w:t>
      </w:r>
      <w:r w:rsidR="00991F79" w:rsidRPr="00A52AB8">
        <w:t> </w:t>
      </w:r>
      <w:r w:rsidRPr="00A52AB8">
        <w:t>y</w:t>
      </w:r>
      <w:r w:rsidR="00991F79" w:rsidRPr="00A52AB8">
        <w:t> </w:t>
      </w:r>
      <w:r w:rsidRPr="00A52AB8">
        <w:t>–</w:t>
      </w:r>
      <w:r w:rsidR="00991F79" w:rsidRPr="00A52AB8">
        <w:t> </w:t>
      </w:r>
      <w:r w:rsidRPr="00A52AB8">
        <w:t>2</w:t>
      </w:r>
      <w:r w:rsidR="00991F79" w:rsidRPr="00A52AB8">
        <w:t> </w:t>
      </w:r>
      <w:r w:rsidRPr="00A52AB8">
        <w:t>]</w:t>
      </w:r>
      <w:r w:rsidR="00E150C7" w:rsidRPr="00A52AB8">
        <w:t>[ x − 2 ]</w:t>
      </w:r>
      <w:r w:rsidR="00991F79" w:rsidRPr="00A52AB8">
        <w:t> </w:t>
      </w:r>
      <w:r w:rsidR="00726AAE" w:rsidRPr="00A52AB8">
        <w:t>==</w:t>
      </w:r>
      <w:r w:rsidR="00D47707" w:rsidRPr="00A52AB8">
        <w:t> </w:t>
      </w:r>
      <w:r w:rsidRPr="00A52AB8">
        <w:t>0</w:t>
      </w:r>
      <w:r w:rsidR="00991F79" w:rsidRPr="00A52AB8">
        <w:t> </w:t>
      </w:r>
      <w:r w:rsidRPr="00A52AB8">
        <w:t>)</w:t>
      </w:r>
      <w:r w:rsidR="00991F79" w:rsidRPr="00A52AB8">
        <w:t> </w:t>
      </w:r>
      <w:r w:rsidRPr="00A52AB8">
        <w:t>||</w:t>
      </w:r>
      <w:r w:rsidR="00991F79" w:rsidRPr="00A52AB8">
        <w:t> </w:t>
      </w:r>
      <w:r w:rsidRPr="00A52AB8">
        <w:t>( oFrame[</w:t>
      </w:r>
      <w:r w:rsidR="00991F79" w:rsidRPr="00A52AB8">
        <w:t> </w:t>
      </w:r>
      <w:r w:rsidRPr="00A52AB8">
        <w:t>y</w:t>
      </w:r>
      <w:r w:rsidR="00991F79" w:rsidRPr="00A52AB8">
        <w:t> – </w:t>
      </w:r>
      <w:r w:rsidRPr="00A52AB8">
        <w:t>2</w:t>
      </w:r>
      <w:r w:rsidR="00991F79" w:rsidRPr="00A52AB8">
        <w:t> </w:t>
      </w:r>
      <w:r w:rsidRPr="00A52AB8">
        <w:t>][</w:t>
      </w:r>
      <w:r w:rsidR="00E150C7" w:rsidRPr="00A52AB8">
        <w:t> x − 1 </w:t>
      </w:r>
      <w:r w:rsidRPr="00A52AB8">
        <w:t>]</w:t>
      </w:r>
      <w:r w:rsidR="00991F79" w:rsidRPr="00A52AB8">
        <w:t> </w:t>
      </w:r>
      <w:r w:rsidR="00726AAE" w:rsidRPr="00A52AB8">
        <w:t>==</w:t>
      </w:r>
      <w:r w:rsidR="00D47707" w:rsidRPr="00A52AB8">
        <w:t> </w:t>
      </w:r>
      <w:r w:rsidRPr="00A52AB8">
        <w:t>0</w:t>
      </w:r>
      <w:r w:rsidR="00991F79" w:rsidRPr="00A52AB8">
        <w:t> </w:t>
      </w:r>
      <w:r w:rsidRPr="00A52AB8">
        <w:t>)</w:t>
      </w:r>
      <w:r w:rsidR="00991F79" w:rsidRPr="00A52AB8">
        <w:t> </w:t>
      </w:r>
      <w:r w:rsidRPr="00A52AB8">
        <w:t>||</w:t>
      </w:r>
      <w:r w:rsidRPr="00A52AB8">
        <w:br/>
      </w:r>
      <w:r w:rsidRPr="00A52AB8">
        <w:tab/>
      </w:r>
      <w:r w:rsidR="00056B37" w:rsidRPr="00A52AB8">
        <w:tab/>
      </w:r>
      <w:r w:rsidRPr="00A52AB8">
        <w:tab/>
      </w:r>
      <w:r w:rsidR="00991F79" w:rsidRPr="00A52AB8">
        <w:tab/>
      </w:r>
      <w:r w:rsidRPr="00A52AB8">
        <w:t>( oFrame[</w:t>
      </w:r>
      <w:r w:rsidR="00991F79" w:rsidRPr="00A52AB8">
        <w:t> </w:t>
      </w:r>
      <w:r w:rsidRPr="00A52AB8">
        <w:t>y</w:t>
      </w:r>
      <w:r w:rsidR="00991F79" w:rsidRPr="00A52AB8">
        <w:t> – </w:t>
      </w:r>
      <w:r w:rsidRPr="00A52AB8">
        <w:t>2</w:t>
      </w:r>
      <w:r w:rsidR="00991F79" w:rsidRPr="00A52AB8">
        <w:t> </w:t>
      </w:r>
      <w:r w:rsidRPr="00A52AB8">
        <w:t>][</w:t>
      </w:r>
      <w:r w:rsidR="00991F79" w:rsidRPr="00A52AB8">
        <w:t> </w:t>
      </w:r>
      <w:r w:rsidRPr="00A52AB8">
        <w:t>x</w:t>
      </w:r>
      <w:r w:rsidR="00991F79" w:rsidRPr="00A52AB8">
        <w:t> </w:t>
      </w:r>
      <w:r w:rsidRPr="00A52AB8">
        <w:t>]</w:t>
      </w:r>
      <w:r w:rsidR="00991F79" w:rsidRPr="00A52AB8">
        <w:t> </w:t>
      </w:r>
      <w:r w:rsidR="00726AAE" w:rsidRPr="00A52AB8">
        <w:t>==</w:t>
      </w:r>
      <w:r w:rsidR="00D47707" w:rsidRPr="00A52AB8">
        <w:t> </w:t>
      </w:r>
      <w:r w:rsidRPr="00A52AB8">
        <w:t>0</w:t>
      </w:r>
      <w:r w:rsidR="00991F79" w:rsidRPr="00A52AB8">
        <w:t> </w:t>
      </w:r>
      <w:r w:rsidRPr="00A52AB8">
        <w:t>)</w:t>
      </w:r>
      <w:r w:rsidR="00991F79" w:rsidRPr="00A52AB8">
        <w:t> </w:t>
      </w:r>
      <w:r w:rsidRPr="00A52AB8">
        <w:t>||</w:t>
      </w:r>
      <w:r w:rsidR="00991F79" w:rsidRPr="00A52AB8">
        <w:t> </w:t>
      </w:r>
      <w:r w:rsidRPr="00A52AB8">
        <w:t>( oFrame[</w:t>
      </w:r>
      <w:r w:rsidR="00991F79" w:rsidRPr="00A52AB8">
        <w:t> </w:t>
      </w:r>
      <w:r w:rsidRPr="00A52AB8">
        <w:t>y</w:t>
      </w:r>
      <w:r w:rsidR="00991F79" w:rsidRPr="00A52AB8">
        <w:t> – </w:t>
      </w:r>
      <w:r w:rsidRPr="00A52AB8">
        <w:t>2</w:t>
      </w:r>
      <w:r w:rsidR="00991F79" w:rsidRPr="00A52AB8">
        <w:t> </w:t>
      </w:r>
      <w:r w:rsidRPr="00A52AB8">
        <w:t>][</w:t>
      </w:r>
      <w:r w:rsidR="00E150C7" w:rsidRPr="00A52AB8">
        <w:t> x + 1 </w:t>
      </w:r>
      <w:r w:rsidRPr="00A52AB8">
        <w:t>]</w:t>
      </w:r>
      <w:r w:rsidR="00991F79" w:rsidRPr="00A52AB8">
        <w:t> </w:t>
      </w:r>
      <w:r w:rsidR="00726AAE" w:rsidRPr="00A52AB8">
        <w:t>==</w:t>
      </w:r>
      <w:r w:rsidR="00D47707" w:rsidRPr="00A52AB8">
        <w:t> </w:t>
      </w:r>
      <w:r w:rsidRPr="00A52AB8">
        <w:t>0</w:t>
      </w:r>
      <w:r w:rsidR="00991F79" w:rsidRPr="00A52AB8">
        <w:t> </w:t>
      </w:r>
      <w:r w:rsidRPr="00A52AB8">
        <w:t>)</w:t>
      </w:r>
      <w:r w:rsidR="00991F79" w:rsidRPr="00A52AB8">
        <w:t> </w:t>
      </w:r>
      <w:r w:rsidRPr="00A52AB8">
        <w:t>||</w:t>
      </w:r>
      <w:r w:rsidRPr="00A52AB8">
        <w:br/>
      </w:r>
      <w:r w:rsidRPr="00A52AB8">
        <w:tab/>
      </w:r>
      <w:r w:rsidR="00056B37" w:rsidRPr="00A52AB8">
        <w:tab/>
      </w:r>
      <w:r w:rsidRPr="00A52AB8">
        <w:tab/>
      </w:r>
      <w:r w:rsidR="00991F79" w:rsidRPr="00A52AB8">
        <w:tab/>
      </w:r>
      <w:r w:rsidRPr="00A52AB8">
        <w:t>( oFrame[</w:t>
      </w:r>
      <w:r w:rsidR="00991F79" w:rsidRPr="00A52AB8">
        <w:t> </w:t>
      </w:r>
      <w:r w:rsidRPr="00A52AB8">
        <w:t>y</w:t>
      </w:r>
      <w:r w:rsidR="00991F79" w:rsidRPr="00A52AB8">
        <w:t> – </w:t>
      </w:r>
      <w:r w:rsidRPr="00A52AB8">
        <w:t>2</w:t>
      </w:r>
      <w:r w:rsidR="00991F79" w:rsidRPr="00A52AB8">
        <w:t> </w:t>
      </w:r>
      <w:r w:rsidRPr="00A52AB8">
        <w:t>][</w:t>
      </w:r>
      <w:r w:rsidR="00E150C7" w:rsidRPr="00A52AB8">
        <w:t> x + 2 </w:t>
      </w:r>
      <w:r w:rsidRPr="00A52AB8">
        <w:t>]</w:t>
      </w:r>
      <w:r w:rsidR="00991F79" w:rsidRPr="00A52AB8">
        <w:t> </w:t>
      </w:r>
      <w:r w:rsidR="00726AAE" w:rsidRPr="00A52AB8">
        <w:t>==</w:t>
      </w:r>
      <w:r w:rsidR="00D47707" w:rsidRPr="00A52AB8">
        <w:t> </w:t>
      </w:r>
      <w:r w:rsidRPr="00A52AB8">
        <w:t>0</w:t>
      </w:r>
      <w:r w:rsidR="00991F79" w:rsidRPr="00A52AB8">
        <w:t> </w:t>
      </w:r>
      <w:r w:rsidRPr="00A52AB8">
        <w:t>)</w:t>
      </w:r>
      <w:r w:rsidR="00991F79" w:rsidRPr="00A52AB8">
        <w:t> </w:t>
      </w:r>
      <w:r w:rsidRPr="00A52AB8">
        <w:t>||</w:t>
      </w:r>
      <w:r w:rsidR="00991F79" w:rsidRPr="00A52AB8">
        <w:t> </w:t>
      </w:r>
      <w:r w:rsidRPr="00A52AB8">
        <w:t>( oFrame[</w:t>
      </w:r>
      <w:r w:rsidR="00E150C7" w:rsidRPr="00A52AB8">
        <w:t> </w:t>
      </w:r>
      <w:r w:rsidRPr="00A52AB8">
        <w:t>y</w:t>
      </w:r>
      <w:r w:rsidR="00E150C7" w:rsidRPr="00A52AB8">
        <w:t> – </w:t>
      </w:r>
      <w:r w:rsidRPr="00A52AB8">
        <w:t>1</w:t>
      </w:r>
      <w:r w:rsidR="00E150C7" w:rsidRPr="00A52AB8">
        <w:t> ][ x − 2 ] </w:t>
      </w:r>
      <w:r w:rsidR="00726AAE" w:rsidRPr="00A52AB8">
        <w:t>==</w:t>
      </w:r>
      <w:r w:rsidR="00D47707" w:rsidRPr="00A52AB8">
        <w:t> </w:t>
      </w:r>
      <w:r w:rsidRPr="00A52AB8">
        <w:t>0</w:t>
      </w:r>
      <w:r w:rsidR="00E150C7" w:rsidRPr="00A52AB8">
        <w:t> </w:t>
      </w:r>
      <w:r w:rsidRPr="00A52AB8">
        <w:t>)</w:t>
      </w:r>
      <w:r w:rsidR="00991F79" w:rsidRPr="00A52AB8">
        <w:t> </w:t>
      </w:r>
      <w:r w:rsidRPr="00A52AB8">
        <w:t>||</w:t>
      </w:r>
      <w:r w:rsidR="00DD3142" w:rsidRPr="00A52AB8">
        <w:br/>
      </w:r>
      <w:r w:rsidR="00991F79" w:rsidRPr="00A52AB8">
        <w:tab/>
      </w:r>
      <w:r w:rsidR="00056B37" w:rsidRPr="00A52AB8">
        <w:tab/>
      </w:r>
      <w:r w:rsidR="00991F79" w:rsidRPr="00A52AB8">
        <w:tab/>
      </w:r>
      <w:r w:rsidR="00991F79" w:rsidRPr="00A52AB8">
        <w:tab/>
      </w:r>
      <w:r w:rsidRPr="00A52AB8">
        <w:t>( oFrame[</w:t>
      </w:r>
      <w:r w:rsidR="00991F79" w:rsidRPr="00A52AB8">
        <w:t> </w:t>
      </w:r>
      <w:r w:rsidRPr="00A52AB8">
        <w:t>y</w:t>
      </w:r>
      <w:r w:rsidR="00991F79" w:rsidRPr="00A52AB8">
        <w:t> – </w:t>
      </w:r>
      <w:r w:rsidRPr="00A52AB8">
        <w:t>1</w:t>
      </w:r>
      <w:r w:rsidR="00991F79" w:rsidRPr="00A52AB8">
        <w:t> </w:t>
      </w:r>
      <w:r w:rsidRPr="00A52AB8">
        <w:t>][</w:t>
      </w:r>
      <w:r w:rsidR="00E150C7" w:rsidRPr="00A52AB8">
        <w:t> x + 2 </w:t>
      </w:r>
      <w:r w:rsidRPr="00A52AB8">
        <w:t>]</w:t>
      </w:r>
      <w:r w:rsidR="00991F79" w:rsidRPr="00A52AB8">
        <w:t> </w:t>
      </w:r>
      <w:r w:rsidR="00726AAE" w:rsidRPr="00A52AB8">
        <w:t>==</w:t>
      </w:r>
      <w:r w:rsidR="00D47707" w:rsidRPr="00A52AB8">
        <w:t> </w:t>
      </w:r>
      <w:r w:rsidRPr="00A52AB8">
        <w:t>0</w:t>
      </w:r>
      <w:r w:rsidR="00991F79" w:rsidRPr="00A52AB8">
        <w:t> </w:t>
      </w:r>
      <w:r w:rsidRPr="00A52AB8">
        <w:t>)</w:t>
      </w:r>
      <w:r w:rsidR="00991F79" w:rsidRPr="00A52AB8">
        <w:t> </w:t>
      </w:r>
      <w:r w:rsidRPr="00A52AB8">
        <w:t>||</w:t>
      </w:r>
      <w:r w:rsidR="00991F79" w:rsidRPr="00A52AB8">
        <w:t> </w:t>
      </w:r>
      <w:r w:rsidRPr="00A52AB8">
        <w:t>( oFrame</w:t>
      </w:r>
      <w:r w:rsidR="00DD3142" w:rsidRPr="00A52AB8">
        <w:t>[ y ]</w:t>
      </w:r>
      <w:r w:rsidRPr="00A52AB8">
        <w:t>[</w:t>
      </w:r>
      <w:r w:rsidR="00E150C7" w:rsidRPr="00A52AB8">
        <w:t> x − 2 </w:t>
      </w:r>
      <w:r w:rsidRPr="00A52AB8">
        <w:t>]</w:t>
      </w:r>
      <w:r w:rsidR="00991F79" w:rsidRPr="00A52AB8">
        <w:t> </w:t>
      </w:r>
      <w:r w:rsidR="00726AAE" w:rsidRPr="00A52AB8">
        <w:t>==</w:t>
      </w:r>
      <w:r w:rsidR="00D47707" w:rsidRPr="00A52AB8">
        <w:t> </w:t>
      </w:r>
      <w:r w:rsidRPr="00A52AB8">
        <w:t>0</w:t>
      </w:r>
      <w:r w:rsidR="00991F79" w:rsidRPr="00A52AB8">
        <w:t> </w:t>
      </w:r>
      <w:r w:rsidRPr="00A52AB8">
        <w:t>)</w:t>
      </w:r>
      <w:r w:rsidR="00991F79" w:rsidRPr="00A52AB8">
        <w:t> </w:t>
      </w:r>
      <w:r w:rsidRPr="00A52AB8">
        <w:t>||</w:t>
      </w:r>
      <w:r w:rsidR="00991F79" w:rsidRPr="00A52AB8">
        <w:br/>
      </w:r>
      <w:r w:rsidRPr="00A52AB8">
        <w:tab/>
      </w:r>
      <w:r w:rsidR="00056B37" w:rsidRPr="00A52AB8">
        <w:tab/>
      </w:r>
      <w:r w:rsidRPr="00A52AB8">
        <w:tab/>
      </w:r>
      <w:r w:rsidRPr="00A52AB8">
        <w:tab/>
        <w:t>( oFrame</w:t>
      </w:r>
      <w:r w:rsidR="00DD3142" w:rsidRPr="00A52AB8">
        <w:t>[ y ]</w:t>
      </w:r>
      <w:r w:rsidRPr="00A52AB8">
        <w:t>[</w:t>
      </w:r>
      <w:r w:rsidR="00E150C7" w:rsidRPr="00A52AB8">
        <w:t> x + 2 </w:t>
      </w:r>
      <w:r w:rsidRPr="00A52AB8">
        <w:t>]</w:t>
      </w:r>
      <w:r w:rsidR="00E150C7" w:rsidRPr="00A52AB8">
        <w:t> </w:t>
      </w:r>
      <w:r w:rsidR="00726AAE" w:rsidRPr="00A52AB8">
        <w:t>==</w:t>
      </w:r>
      <w:r w:rsidR="00D47707" w:rsidRPr="00A52AB8">
        <w:t> </w:t>
      </w:r>
      <w:r w:rsidRPr="00A52AB8">
        <w:t>0</w:t>
      </w:r>
      <w:r w:rsidR="00E150C7" w:rsidRPr="00A52AB8">
        <w:t> </w:t>
      </w:r>
      <w:r w:rsidRPr="00A52AB8">
        <w:t>)</w:t>
      </w:r>
      <w:r w:rsidR="00E150C7" w:rsidRPr="00A52AB8">
        <w:t> </w:t>
      </w:r>
      <w:r w:rsidRPr="00A52AB8">
        <w:t>||</w:t>
      </w:r>
      <w:r w:rsidR="00E150C7" w:rsidRPr="00A52AB8">
        <w:t> </w:t>
      </w:r>
      <w:r w:rsidRPr="00A52AB8">
        <w:t>( oFrame[</w:t>
      </w:r>
      <w:r w:rsidR="00E150C7" w:rsidRPr="00A52AB8">
        <w:t> y + 1 </w:t>
      </w:r>
      <w:r w:rsidRPr="00A52AB8">
        <w:t>][</w:t>
      </w:r>
      <w:r w:rsidR="00E150C7" w:rsidRPr="00A52AB8">
        <w:t> x − 2 </w:t>
      </w:r>
      <w:r w:rsidRPr="00A52AB8">
        <w:t>]</w:t>
      </w:r>
      <w:r w:rsidR="00E150C7" w:rsidRPr="00A52AB8">
        <w:t> </w:t>
      </w:r>
      <w:r w:rsidR="00726AAE" w:rsidRPr="00A52AB8">
        <w:t>==</w:t>
      </w:r>
      <w:r w:rsidR="00D47707" w:rsidRPr="00A52AB8">
        <w:t> </w:t>
      </w:r>
      <w:r w:rsidRPr="00A52AB8">
        <w:t>0</w:t>
      </w:r>
      <w:r w:rsidR="00E150C7" w:rsidRPr="00A52AB8">
        <w:t> </w:t>
      </w:r>
      <w:r w:rsidRPr="00A52AB8">
        <w:t>)</w:t>
      </w:r>
      <w:r w:rsidR="00E150C7" w:rsidRPr="00A52AB8">
        <w:t> </w:t>
      </w:r>
      <w:r w:rsidRPr="00A52AB8">
        <w:t>||</w:t>
      </w:r>
      <w:r w:rsidR="00991F79" w:rsidRPr="00A52AB8">
        <w:br/>
      </w:r>
      <w:r w:rsidRPr="00A52AB8">
        <w:tab/>
      </w:r>
      <w:r w:rsidR="00056B37" w:rsidRPr="00A52AB8">
        <w:tab/>
      </w:r>
      <w:r w:rsidRPr="00A52AB8">
        <w:tab/>
      </w:r>
      <w:r w:rsidRPr="00A52AB8">
        <w:tab/>
        <w:t>( oFrame[</w:t>
      </w:r>
      <w:r w:rsidR="00E150C7" w:rsidRPr="00A52AB8">
        <w:t> y + 1 </w:t>
      </w:r>
      <w:r w:rsidRPr="00A52AB8">
        <w:t>][</w:t>
      </w:r>
      <w:r w:rsidR="00E150C7" w:rsidRPr="00A52AB8">
        <w:t> x + 2 </w:t>
      </w:r>
      <w:r w:rsidRPr="00A52AB8">
        <w:t>]</w:t>
      </w:r>
      <w:r w:rsidR="00991F79" w:rsidRPr="00A52AB8">
        <w:t> </w:t>
      </w:r>
      <w:r w:rsidR="00726AAE" w:rsidRPr="00A52AB8">
        <w:t>==</w:t>
      </w:r>
      <w:r w:rsidR="00D47707" w:rsidRPr="00A52AB8">
        <w:t> </w:t>
      </w:r>
      <w:r w:rsidRPr="00A52AB8">
        <w:t>0</w:t>
      </w:r>
      <w:r w:rsidR="00991F79" w:rsidRPr="00A52AB8">
        <w:t> </w:t>
      </w:r>
      <w:r w:rsidRPr="00A52AB8">
        <w:t>)</w:t>
      </w:r>
      <w:r w:rsidR="00991F79" w:rsidRPr="00A52AB8">
        <w:t> </w:t>
      </w:r>
      <w:r w:rsidRPr="00A52AB8">
        <w:t>||</w:t>
      </w:r>
      <w:r w:rsidR="00991F79" w:rsidRPr="00A52AB8">
        <w:t> </w:t>
      </w:r>
      <w:r w:rsidRPr="00A52AB8">
        <w:t>( oFrame[</w:t>
      </w:r>
      <w:r w:rsidR="00E150C7" w:rsidRPr="00A52AB8">
        <w:t> y + 2 </w:t>
      </w:r>
      <w:r w:rsidRPr="00A52AB8">
        <w:t>][</w:t>
      </w:r>
      <w:r w:rsidR="00E150C7" w:rsidRPr="00A52AB8">
        <w:t> x − 2 </w:t>
      </w:r>
      <w:r w:rsidRPr="00A52AB8">
        <w:t>]</w:t>
      </w:r>
      <w:r w:rsidR="00991F79" w:rsidRPr="00A52AB8">
        <w:t> </w:t>
      </w:r>
      <w:r w:rsidR="00726AAE" w:rsidRPr="00A52AB8">
        <w:t>==</w:t>
      </w:r>
      <w:r w:rsidR="00D47707" w:rsidRPr="00A52AB8">
        <w:t> </w:t>
      </w:r>
      <w:r w:rsidRPr="00A52AB8">
        <w:t>0</w:t>
      </w:r>
      <w:r w:rsidR="00991F79" w:rsidRPr="00A52AB8">
        <w:t> </w:t>
      </w:r>
      <w:r w:rsidRPr="00A52AB8">
        <w:t>)</w:t>
      </w:r>
      <w:r w:rsidR="00991F79" w:rsidRPr="00A52AB8">
        <w:t> </w:t>
      </w:r>
      <w:r w:rsidRPr="00A52AB8">
        <w:t>||</w:t>
      </w:r>
      <w:r w:rsidR="00991F79" w:rsidRPr="00A52AB8">
        <w:br/>
      </w:r>
      <w:r w:rsidRPr="00A52AB8">
        <w:tab/>
      </w:r>
      <w:r w:rsidR="00056B37" w:rsidRPr="00A52AB8">
        <w:tab/>
      </w:r>
      <w:r w:rsidRPr="00A52AB8">
        <w:tab/>
      </w:r>
      <w:r w:rsidRPr="00A52AB8">
        <w:tab/>
        <w:t>( oFrame[</w:t>
      </w:r>
      <w:r w:rsidR="00E150C7" w:rsidRPr="00A52AB8">
        <w:t> y + 2 </w:t>
      </w:r>
      <w:r w:rsidRPr="00A52AB8">
        <w:t>][</w:t>
      </w:r>
      <w:r w:rsidR="00E150C7" w:rsidRPr="00A52AB8">
        <w:t> x − 1 </w:t>
      </w:r>
      <w:r w:rsidRPr="00A52AB8">
        <w:t>]</w:t>
      </w:r>
      <w:r w:rsidR="00991F79" w:rsidRPr="00A52AB8">
        <w:t> </w:t>
      </w:r>
      <w:r w:rsidR="00726AAE" w:rsidRPr="00A52AB8">
        <w:t>==</w:t>
      </w:r>
      <w:r w:rsidR="00D47707" w:rsidRPr="00A52AB8">
        <w:t> </w:t>
      </w:r>
      <w:r w:rsidRPr="00A52AB8">
        <w:t>0</w:t>
      </w:r>
      <w:r w:rsidR="00991F79" w:rsidRPr="00A52AB8">
        <w:t> </w:t>
      </w:r>
      <w:r w:rsidRPr="00A52AB8">
        <w:t>)</w:t>
      </w:r>
      <w:r w:rsidR="00991F79" w:rsidRPr="00A52AB8">
        <w:t> </w:t>
      </w:r>
      <w:r w:rsidRPr="00A52AB8">
        <w:t>||</w:t>
      </w:r>
      <w:r w:rsidR="00991F79" w:rsidRPr="00A52AB8">
        <w:t> </w:t>
      </w:r>
      <w:r w:rsidR="00DD3142" w:rsidRPr="00A52AB8">
        <w:t>( o</w:t>
      </w:r>
      <w:r w:rsidRPr="00A52AB8">
        <w:t>Frame[</w:t>
      </w:r>
      <w:r w:rsidR="00E150C7" w:rsidRPr="00A52AB8">
        <w:t> y + 2 </w:t>
      </w:r>
      <w:r w:rsidRPr="00A52AB8">
        <w:t>][</w:t>
      </w:r>
      <w:r w:rsidR="00E150C7" w:rsidRPr="00A52AB8">
        <w:t> </w:t>
      </w:r>
      <w:r w:rsidRPr="00A52AB8">
        <w:t>x</w:t>
      </w:r>
      <w:r w:rsidR="00E150C7" w:rsidRPr="00A52AB8">
        <w:t> </w:t>
      </w:r>
      <w:r w:rsidRPr="00A52AB8">
        <w:t>]</w:t>
      </w:r>
      <w:r w:rsidR="00991F79" w:rsidRPr="00A52AB8">
        <w:t> </w:t>
      </w:r>
      <w:r w:rsidR="00726AAE" w:rsidRPr="00A52AB8">
        <w:t>==</w:t>
      </w:r>
      <w:r w:rsidR="00D47707" w:rsidRPr="00A52AB8">
        <w:t> </w:t>
      </w:r>
      <w:r w:rsidRPr="00A52AB8">
        <w:t>0</w:t>
      </w:r>
      <w:r w:rsidR="00991F79" w:rsidRPr="00A52AB8">
        <w:t> </w:t>
      </w:r>
      <w:r w:rsidRPr="00A52AB8">
        <w:t>)</w:t>
      </w:r>
      <w:r w:rsidR="00991F79" w:rsidRPr="00A52AB8">
        <w:t> </w:t>
      </w:r>
      <w:r w:rsidRPr="00A52AB8">
        <w:t>||</w:t>
      </w:r>
      <w:r w:rsidR="00991F79" w:rsidRPr="00A52AB8">
        <w:br/>
      </w:r>
      <w:r w:rsidRPr="00A52AB8">
        <w:tab/>
      </w:r>
      <w:r w:rsidR="00056B37" w:rsidRPr="00A52AB8">
        <w:tab/>
      </w:r>
      <w:r w:rsidRPr="00A52AB8">
        <w:tab/>
      </w:r>
      <w:r w:rsidRPr="00A52AB8">
        <w:tab/>
        <w:t>(</w:t>
      </w:r>
      <w:r w:rsidR="00991F79" w:rsidRPr="00A52AB8">
        <w:t> </w:t>
      </w:r>
      <w:r w:rsidRPr="00A52AB8">
        <w:t>oFrame[</w:t>
      </w:r>
      <w:r w:rsidR="00E150C7" w:rsidRPr="00A52AB8">
        <w:t> y + 2 </w:t>
      </w:r>
      <w:r w:rsidRPr="00A52AB8">
        <w:t>][</w:t>
      </w:r>
      <w:r w:rsidR="00E150C7" w:rsidRPr="00A52AB8">
        <w:t> x + 1 </w:t>
      </w:r>
      <w:r w:rsidRPr="00A52AB8">
        <w:t>]</w:t>
      </w:r>
      <w:r w:rsidR="00991F79" w:rsidRPr="00A52AB8">
        <w:t> </w:t>
      </w:r>
      <w:r w:rsidR="00726AAE" w:rsidRPr="00A52AB8">
        <w:t>==</w:t>
      </w:r>
      <w:r w:rsidR="00D47707" w:rsidRPr="00A52AB8">
        <w:t> </w:t>
      </w:r>
      <w:r w:rsidRPr="00A52AB8">
        <w:t>0</w:t>
      </w:r>
      <w:r w:rsidR="00991F79" w:rsidRPr="00A52AB8">
        <w:t> </w:t>
      </w:r>
      <w:r w:rsidRPr="00A52AB8">
        <w:t>)</w:t>
      </w:r>
      <w:r w:rsidR="00991F79" w:rsidRPr="00A52AB8">
        <w:t> </w:t>
      </w:r>
      <w:r w:rsidRPr="00A52AB8">
        <w:t>||</w:t>
      </w:r>
      <w:r w:rsidR="00991F79" w:rsidRPr="00A52AB8">
        <w:t> </w:t>
      </w:r>
      <w:r w:rsidRPr="00A52AB8">
        <w:t>(</w:t>
      </w:r>
      <w:r w:rsidR="00991F79" w:rsidRPr="00A52AB8">
        <w:t> </w:t>
      </w:r>
      <w:r w:rsidRPr="00A52AB8">
        <w:t>oFrame[</w:t>
      </w:r>
      <w:r w:rsidR="00E150C7" w:rsidRPr="00A52AB8">
        <w:t> y + 2 </w:t>
      </w:r>
      <w:r w:rsidRPr="00A52AB8">
        <w:t>][</w:t>
      </w:r>
      <w:r w:rsidR="00E150C7" w:rsidRPr="00A52AB8">
        <w:t> x + 2 </w:t>
      </w:r>
      <w:r w:rsidRPr="00A52AB8">
        <w:t>]</w:t>
      </w:r>
      <w:r w:rsidR="00991F79" w:rsidRPr="00A52AB8">
        <w:t> </w:t>
      </w:r>
      <w:r w:rsidR="00726AAE" w:rsidRPr="00A52AB8">
        <w:t>==</w:t>
      </w:r>
      <w:r w:rsidR="00D47707" w:rsidRPr="00A52AB8">
        <w:t> </w:t>
      </w:r>
      <w:r w:rsidRPr="00A52AB8">
        <w:t>0</w:t>
      </w:r>
      <w:r w:rsidR="00991F79" w:rsidRPr="00A52AB8">
        <w:t> </w:t>
      </w:r>
      <w:r w:rsidRPr="00A52AB8">
        <w:t>)</w:t>
      </w:r>
      <w:r w:rsidR="00991F79" w:rsidRPr="00A52AB8">
        <w:t> </w:t>
      </w:r>
      <w:r w:rsidRPr="00A52AB8">
        <w:t>)</w:t>
      </w:r>
      <w:r w:rsidR="00056B37" w:rsidRPr="00A52AB8">
        <w:br/>
      </w:r>
      <w:r w:rsidR="00056B37" w:rsidRPr="00A52AB8">
        <w:tab/>
      </w:r>
      <w:r w:rsidR="00056B37" w:rsidRPr="00A52AB8">
        <w:tab/>
      </w:r>
      <w:r w:rsidR="00056B37" w:rsidRPr="00A52AB8">
        <w:tab/>
      </w:r>
      <w:r w:rsidR="00056B37" w:rsidRPr="00A52AB8">
        <w:tab/>
      </w:r>
      <w:r w:rsidRPr="00A52AB8">
        <w:t>boundaryPoint</w:t>
      </w:r>
      <w:r w:rsidR="00D47707" w:rsidRPr="00A52AB8">
        <w:t> = </w:t>
      </w:r>
      <w:r w:rsidRPr="00A52AB8">
        <w:t>1</w:t>
      </w:r>
      <w:r w:rsidR="00056B37" w:rsidRPr="00A52AB8">
        <w:br/>
      </w:r>
      <w:r w:rsidR="00056B37" w:rsidRPr="00A52AB8">
        <w:tab/>
      </w:r>
      <w:r w:rsidRPr="00A52AB8">
        <w:tab/>
        <w:t>}</w:t>
      </w:r>
      <w:r w:rsidR="00056B37" w:rsidRPr="00A52AB8">
        <w:br/>
      </w:r>
      <w:r w:rsidR="00056B37" w:rsidRPr="00A52AB8">
        <w:tab/>
      </w:r>
      <w:r w:rsidRPr="00A52AB8">
        <w:t>}</w:t>
      </w:r>
    </w:p>
    <w:p w14:paraId="4402F381" w14:textId="7051D55F" w:rsidR="006D74F2" w:rsidRPr="00A52AB8" w:rsidRDefault="00370E08" w:rsidP="00895494">
      <w:pPr>
        <w:pStyle w:val="a3"/>
        <w:numPr>
          <w:ilvl w:val="2"/>
          <w:numId w:val="14"/>
        </w:numPr>
      </w:pPr>
      <w:bookmarkStart w:id="6977" w:name="_Ref39817415"/>
      <w:bookmarkStart w:id="6978" w:name="_Ref39817564"/>
      <w:r w:rsidRPr="00A52AB8">
        <w:tab/>
      </w:r>
      <w:bookmarkStart w:id="6979" w:name="_Toc52181803"/>
      <w:r w:rsidR="006D74F2" w:rsidRPr="00A52AB8">
        <w:t>Identification of 2</w:t>
      </w:r>
      <w:r w:rsidR="00AE40FE" w:rsidRPr="00A52AB8">
        <w:t> </w:t>
      </w:r>
      <w:r w:rsidR="006D74F2" w:rsidRPr="00A52AB8">
        <w:t>×</w:t>
      </w:r>
      <w:r w:rsidR="00AE40FE" w:rsidRPr="00A52AB8">
        <w:t> </w:t>
      </w:r>
      <w:r w:rsidR="006D74F2" w:rsidRPr="00A52AB8">
        <w:t>2</w:t>
      </w:r>
      <w:r w:rsidR="00AE40FE" w:rsidRPr="00A52AB8">
        <w:t> </w:t>
      </w:r>
      <w:r w:rsidR="006D74F2" w:rsidRPr="00A52AB8">
        <w:t>×</w:t>
      </w:r>
      <w:r w:rsidR="00AE40FE" w:rsidRPr="00A52AB8">
        <w:t> </w:t>
      </w:r>
      <w:r w:rsidR="006D74F2" w:rsidRPr="00A52AB8">
        <w:t>2 cell</w:t>
      </w:r>
      <w:r w:rsidR="00AE40FE" w:rsidRPr="00A52AB8">
        <w:t>s</w:t>
      </w:r>
      <w:r w:rsidR="006D74F2" w:rsidRPr="00A52AB8">
        <w:t xml:space="preserve"> </w:t>
      </w:r>
      <w:r w:rsidR="00AE40FE" w:rsidRPr="00A52AB8">
        <w:t>corresponding to</w:t>
      </w:r>
      <w:r w:rsidR="006D74F2" w:rsidRPr="00A52AB8">
        <w:t xml:space="preserve"> a reconstructed point position</w:t>
      </w:r>
      <w:bookmarkEnd w:id="6977"/>
      <w:bookmarkEnd w:id="6978"/>
      <w:bookmarkEnd w:id="6979"/>
    </w:p>
    <w:p w14:paraId="40446884" w14:textId="77777777" w:rsidR="006D74F2" w:rsidRPr="00A52AB8" w:rsidRDefault="006D74F2" w:rsidP="00007BE2">
      <w:pPr>
        <w:rPr>
          <w:color w:val="000000" w:themeColor="text1"/>
        </w:rPr>
      </w:pPr>
      <w:r w:rsidRPr="00A52AB8">
        <w:rPr>
          <w:color w:val="000000" w:themeColor="text1"/>
        </w:rPr>
        <w:t>Inputs to this process are:</w:t>
      </w:r>
    </w:p>
    <w:p w14:paraId="1B6A62D4" w14:textId="566033D3" w:rsidR="006D74F2" w:rsidRPr="00A52AB8"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numCells1D, the number of cells in x, y</w:t>
      </w:r>
      <w:r w:rsidR="00AE40FE" w:rsidRPr="00A52AB8">
        <w:rPr>
          <w:color w:val="000000" w:themeColor="text1"/>
        </w:rPr>
        <w:t>,</w:t>
      </w:r>
      <w:r w:rsidRPr="00A52AB8">
        <w:rPr>
          <w:color w:val="000000" w:themeColor="text1"/>
        </w:rPr>
        <w:t xml:space="preserve"> or z direction,</w:t>
      </w:r>
    </w:p>
    <w:p w14:paraId="5B5E0E72" w14:textId="355EDBC9" w:rsidR="006D74F2" w:rsidRPr="00A52AB8"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numBoundaryCells, the number of cells containing a boundary point or </w:t>
      </w:r>
      <w:r w:rsidR="00AE40FE" w:rsidRPr="00A52AB8">
        <w:rPr>
          <w:color w:val="000000" w:themeColor="text1"/>
        </w:rPr>
        <w:t xml:space="preserve">a cell </w:t>
      </w:r>
      <w:r w:rsidRPr="00A52AB8">
        <w:rPr>
          <w:color w:val="000000" w:themeColor="text1"/>
        </w:rPr>
        <w:t>neighbo</w:t>
      </w:r>
      <w:r w:rsidR="006B0BA3" w:rsidRPr="00A52AB8">
        <w:rPr>
          <w:color w:val="000000" w:themeColor="text1"/>
        </w:rPr>
        <w:t>u</w:t>
      </w:r>
      <w:r w:rsidRPr="00A52AB8">
        <w:rPr>
          <w:color w:val="000000" w:themeColor="text1"/>
        </w:rPr>
        <w:t>ring such a cell,</w:t>
      </w:r>
    </w:p>
    <w:p w14:paraId="425D046E" w14:textId="12857EC9" w:rsidR="006D74F2" w:rsidRPr="00A52AB8"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recPos3D</w:t>
      </w:r>
      <w:r w:rsidR="004B7314" w:rsidRPr="00A52AB8">
        <w:rPr>
          <w:color w:val="000000" w:themeColor="text1"/>
        </w:rPr>
        <w:t>[ k ]</w:t>
      </w:r>
      <w:r w:rsidRPr="00A52AB8">
        <w:rPr>
          <w:color w:val="000000" w:themeColor="text1"/>
        </w:rPr>
        <w:t>, k</w:t>
      </w:r>
      <w:r w:rsidR="00D47707" w:rsidRPr="00A52AB8">
        <w:rPr>
          <w:color w:val="000000" w:themeColor="text1"/>
        </w:rPr>
        <w:t> = </w:t>
      </w:r>
      <w:r w:rsidRPr="00A52AB8">
        <w:rPr>
          <w:color w:val="000000" w:themeColor="text1"/>
        </w:rPr>
        <w:t>0..2, an array containing the position of the current reconstructed point,</w:t>
      </w:r>
    </w:p>
    <w:p w14:paraId="057FC1B6" w14:textId="1E4D7D4A" w:rsidR="006D74F2" w:rsidRPr="00A52AB8"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cellIdxLut</w:t>
      </w:r>
      <w:r w:rsidR="004B7314" w:rsidRPr="00A52AB8">
        <w:rPr>
          <w:color w:val="000000" w:themeColor="text1"/>
        </w:rPr>
        <w:t>[ x ]</w:t>
      </w:r>
      <w:r w:rsidR="00DD3142" w:rsidRPr="00A52AB8">
        <w:rPr>
          <w:color w:val="000000" w:themeColor="text1"/>
        </w:rPr>
        <w:t>[ y ]</w:t>
      </w:r>
      <w:r w:rsidRPr="00A52AB8">
        <w:rPr>
          <w:color w:val="000000" w:themeColor="text1"/>
        </w:rPr>
        <w:t>[ z ], for x, y, and z in the range of 0</w:t>
      </w:r>
      <w:r w:rsidR="002B73D5" w:rsidRPr="00A52AB8">
        <w:rPr>
          <w:color w:val="000000" w:themeColor="text1"/>
        </w:rPr>
        <w:t>..</w:t>
      </w:r>
      <w:r w:rsidRPr="00A52AB8">
        <w:rPr>
          <w:color w:val="000000" w:themeColor="text1"/>
        </w:rPr>
        <w:t>numCells1D − 1, an array mapping a 3D cell index to a 1D index in the range of 0..numBoundaryCells – 1,</w:t>
      </w:r>
    </w:p>
    <w:p w14:paraId="11371D1D" w14:textId="265DB02D" w:rsidR="006D74F2" w:rsidRPr="00A52AB8"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cellCnt[ n ], n</w:t>
      </w:r>
      <w:r w:rsidR="00D47707" w:rsidRPr="00A52AB8">
        <w:rPr>
          <w:color w:val="000000" w:themeColor="text1"/>
        </w:rPr>
        <w:t> = </w:t>
      </w:r>
      <w:r w:rsidRPr="00A52AB8">
        <w:rPr>
          <w:color w:val="000000" w:themeColor="text1"/>
        </w:rPr>
        <w:t xml:space="preserve">0..numBoundaryCells – 1, an array containing </w:t>
      </w:r>
      <w:r w:rsidR="002B73D5" w:rsidRPr="00A52AB8">
        <w:rPr>
          <w:color w:val="000000" w:themeColor="text1"/>
        </w:rPr>
        <w:t xml:space="preserve">the </w:t>
      </w:r>
      <w:r w:rsidRPr="00A52AB8">
        <w:rPr>
          <w:color w:val="000000" w:themeColor="text1"/>
        </w:rPr>
        <w:t>number of reconstructed points in a cell, and</w:t>
      </w:r>
    </w:p>
    <w:p w14:paraId="0A64ABA5" w14:textId="733C68F0" w:rsidR="006D74F2" w:rsidRPr="00A52AB8"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cellDoSmoothing[ n ], n</w:t>
      </w:r>
      <w:r w:rsidR="00D47707" w:rsidRPr="00A52AB8">
        <w:rPr>
          <w:color w:val="000000" w:themeColor="text1"/>
        </w:rPr>
        <w:t> = </w:t>
      </w:r>
      <w:r w:rsidRPr="00A52AB8">
        <w:rPr>
          <w:color w:val="000000" w:themeColor="text1"/>
        </w:rPr>
        <w:t>0..numBoundaryCells – 1, a boolean array indicating whether smoothing should be performed for a cell.</w:t>
      </w:r>
    </w:p>
    <w:p w14:paraId="53197EB4" w14:textId="2C7DA4A1" w:rsidR="006D74F2" w:rsidRPr="00A52AB8" w:rsidRDefault="006D74F2" w:rsidP="00007BE2">
      <w:pPr>
        <w:rPr>
          <w:color w:val="000000" w:themeColor="text1"/>
        </w:rPr>
      </w:pPr>
      <w:r w:rsidRPr="00A52AB8">
        <w:rPr>
          <w:color w:val="000000" w:themeColor="text1"/>
        </w:rPr>
        <w:t>Output</w:t>
      </w:r>
      <w:r w:rsidR="00060230" w:rsidRPr="00A52AB8">
        <w:rPr>
          <w:color w:val="000000" w:themeColor="text1"/>
        </w:rPr>
        <w:t>s</w:t>
      </w:r>
      <w:r w:rsidRPr="00A52AB8">
        <w:rPr>
          <w:color w:val="000000" w:themeColor="text1"/>
        </w:rPr>
        <w:t xml:space="preserve"> of this process are:</w:t>
      </w:r>
    </w:p>
    <w:p w14:paraId="141EAE36" w14:textId="77777777" w:rsidR="006D74F2" w:rsidRPr="00A52AB8"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otherClusterPtCnt, a </w:t>
      </w:r>
      <w:r w:rsidR="002B73D5" w:rsidRPr="00A52AB8">
        <w:rPr>
          <w:color w:val="000000" w:themeColor="text1"/>
        </w:rPr>
        <w:t xml:space="preserve">boolean </w:t>
      </w:r>
      <w:r w:rsidRPr="00A52AB8">
        <w:rPr>
          <w:color w:val="000000" w:themeColor="text1"/>
        </w:rPr>
        <w:t>variable indicating whether tri-linear filtering should be performed for the cell to which the current reconstructed point belongs to,</w:t>
      </w:r>
    </w:p>
    <w:p w14:paraId="780E19E4" w14:textId="77777777" w:rsidR="00B9743D" w:rsidRPr="00A52AB8" w:rsidRDefault="00B9743D"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currentCell1DIdx, a variable specifying the 1D index for the cell to which the reconstructed point recPos3D belongs to,</w:t>
      </w:r>
    </w:p>
    <w:p w14:paraId="50043C95" w14:textId="39D60141" w:rsidR="006D74F2" w:rsidRPr="00A52AB8" w:rsidRDefault="00CD281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3D </w:t>
      </w:r>
      <w:r w:rsidR="00977728" w:rsidRPr="00A52AB8">
        <w:rPr>
          <w:color w:val="000000" w:themeColor="text1"/>
        </w:rPr>
        <w:t>array</w:t>
      </w:r>
      <w:r w:rsidR="00977728" w:rsidRPr="00A52AB8" w:rsidDel="00977728">
        <w:rPr>
          <w:color w:val="000000" w:themeColor="text1"/>
        </w:rPr>
        <w:t xml:space="preserve"> </w:t>
      </w:r>
      <w:r w:rsidR="006D74F2" w:rsidRPr="00A52AB8">
        <w:rPr>
          <w:color w:val="000000" w:themeColor="text1"/>
        </w:rPr>
        <w:t>idxArr</w:t>
      </w:r>
      <w:r w:rsidRPr="00A52AB8">
        <w:rPr>
          <w:color w:val="000000" w:themeColor="text1"/>
        </w:rPr>
        <w:t>, of size 2 × 2 × 2,</w:t>
      </w:r>
      <w:r w:rsidR="006D74F2" w:rsidRPr="00A52AB8">
        <w:rPr>
          <w:color w:val="000000" w:themeColor="text1"/>
        </w:rPr>
        <w:t xml:space="preserve"> s</w:t>
      </w:r>
      <w:r w:rsidRPr="00A52AB8">
        <w:rPr>
          <w:color w:val="000000" w:themeColor="text1"/>
        </w:rPr>
        <w:t>pecifying</w:t>
      </w:r>
      <w:r w:rsidR="006D74F2" w:rsidRPr="00A52AB8">
        <w:rPr>
          <w:color w:val="000000" w:themeColor="text1"/>
        </w:rPr>
        <w:t xml:space="preserve"> the 1D indices for the 2 × 2 ×</w:t>
      </w:r>
      <w:r w:rsidR="002B73D5" w:rsidRPr="00A52AB8">
        <w:rPr>
          <w:color w:val="000000" w:themeColor="text1"/>
        </w:rPr>
        <w:t> </w:t>
      </w:r>
      <w:r w:rsidR="006D74F2" w:rsidRPr="00A52AB8">
        <w:rPr>
          <w:color w:val="000000" w:themeColor="text1"/>
        </w:rPr>
        <w:t>2 grid of cells,</w:t>
      </w:r>
      <w:r w:rsidR="00B9743D" w:rsidRPr="00A52AB8">
        <w:rPr>
          <w:color w:val="000000" w:themeColor="text1"/>
        </w:rPr>
        <w:t xml:space="preserve"> and</w:t>
      </w:r>
    </w:p>
    <w:p w14:paraId="4D950A9A" w14:textId="204915EA" w:rsidR="003D7B75" w:rsidRPr="00A52AB8" w:rsidRDefault="00CD281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1D array, </w:t>
      </w:r>
      <w:r w:rsidR="006D74F2" w:rsidRPr="00A52AB8">
        <w:rPr>
          <w:color w:val="000000" w:themeColor="text1"/>
        </w:rPr>
        <w:t xml:space="preserve">cellAnchor, </w:t>
      </w:r>
      <w:r w:rsidRPr="00A52AB8">
        <w:rPr>
          <w:color w:val="000000" w:themeColor="text1"/>
        </w:rPr>
        <w:t>of size 3,</w:t>
      </w:r>
      <w:r w:rsidR="006D74F2" w:rsidRPr="00A52AB8">
        <w:rPr>
          <w:color w:val="000000" w:themeColor="text1"/>
        </w:rPr>
        <w:t xml:space="preserve"> </w:t>
      </w:r>
      <w:r w:rsidR="002941DA" w:rsidRPr="00A52AB8">
        <w:rPr>
          <w:color w:val="000000" w:themeColor="text1"/>
        </w:rPr>
        <w:t>s</w:t>
      </w:r>
      <w:r w:rsidRPr="00A52AB8">
        <w:rPr>
          <w:color w:val="000000" w:themeColor="text1"/>
        </w:rPr>
        <w:t>pecifying</w:t>
      </w:r>
      <w:r w:rsidR="002941DA" w:rsidRPr="00A52AB8">
        <w:rPr>
          <w:color w:val="000000" w:themeColor="text1"/>
        </w:rPr>
        <w:t xml:space="preserve"> the grid indices corresponding to the origin of 2 × 2 × 2 grid of cells in x, y, and z direction, respectively</w:t>
      </w:r>
      <w:r w:rsidR="00B9743D" w:rsidRPr="00A52AB8">
        <w:rPr>
          <w:color w:val="000000" w:themeColor="text1"/>
        </w:rPr>
        <w:t>.</w:t>
      </w:r>
    </w:p>
    <w:p w14:paraId="69C4940E" w14:textId="6F92C109" w:rsidR="006D74F2" w:rsidRPr="00A52AB8" w:rsidRDefault="006D74F2" w:rsidP="00007BE2">
      <w:r w:rsidRPr="00A52AB8">
        <w:rPr>
          <w:color w:val="000000" w:themeColor="text1"/>
        </w:rPr>
        <w:t>The 2 × 2 ×</w:t>
      </w:r>
      <w:r w:rsidR="002941DA" w:rsidRPr="00A52AB8">
        <w:rPr>
          <w:color w:val="000000" w:themeColor="text1"/>
        </w:rPr>
        <w:t> </w:t>
      </w:r>
      <w:r w:rsidRPr="00A52AB8">
        <w:rPr>
          <w:color w:val="000000" w:themeColor="text1"/>
        </w:rPr>
        <w:t>2 grid of cells neighbo</w:t>
      </w:r>
      <w:r w:rsidR="006B0BA3" w:rsidRPr="00A52AB8">
        <w:rPr>
          <w:color w:val="000000" w:themeColor="text1"/>
        </w:rPr>
        <w:t>u</w:t>
      </w:r>
      <w:r w:rsidRPr="00A52AB8">
        <w:rPr>
          <w:color w:val="000000" w:themeColor="text1"/>
        </w:rPr>
        <w:t>ring the reconstructed point recPos3D</w:t>
      </w:r>
      <w:r w:rsidR="004B7314" w:rsidRPr="00A52AB8">
        <w:rPr>
          <w:color w:val="000000" w:themeColor="text1"/>
        </w:rPr>
        <w:t>[ k ]</w:t>
      </w:r>
      <w:r w:rsidRPr="00A52AB8">
        <w:rPr>
          <w:color w:val="000000" w:themeColor="text1"/>
        </w:rPr>
        <w:t>, k</w:t>
      </w:r>
      <w:r w:rsidR="00D47707" w:rsidRPr="00A52AB8">
        <w:rPr>
          <w:color w:val="000000" w:themeColor="text1"/>
        </w:rPr>
        <w:t> = </w:t>
      </w:r>
      <w:r w:rsidRPr="00A52AB8">
        <w:rPr>
          <w:color w:val="000000" w:themeColor="text1"/>
        </w:rPr>
        <w:t>0..2, is identified as follows:</w:t>
      </w:r>
    </w:p>
    <w:p w14:paraId="3570BC52" w14:textId="7EEF2C02" w:rsidR="002F5284" w:rsidRPr="00A52AB8" w:rsidRDefault="000E12CB" w:rsidP="004A6049">
      <w:r w:rsidRPr="00A52AB8">
        <w:rPr>
          <w:color w:val="000000" w:themeColor="text1"/>
          <w:lang w:eastAsia="ja-JP"/>
        </w:rPr>
        <w:tab/>
      </w:r>
      <w:r w:rsidR="006D74F2" w:rsidRPr="00A52AB8">
        <w:rPr>
          <w:color w:val="000000" w:themeColor="text1"/>
          <w:lang w:eastAsia="ja-JP"/>
        </w:rPr>
        <w:t>for( k</w:t>
      </w:r>
      <w:r w:rsidR="00D47707" w:rsidRPr="00A52AB8">
        <w:rPr>
          <w:color w:val="000000" w:themeColor="text1"/>
          <w:lang w:eastAsia="ja-JP"/>
        </w:rPr>
        <w:t> = </w:t>
      </w:r>
      <w:r w:rsidR="006D74F2" w:rsidRPr="00A52AB8">
        <w:rPr>
          <w:color w:val="000000" w:themeColor="text1"/>
          <w:lang w:eastAsia="ja-JP"/>
        </w:rPr>
        <w:t>0; k &lt; </w:t>
      </w:r>
      <w:r w:rsidR="006D74F2" w:rsidRPr="00A52AB8">
        <w:rPr>
          <w:lang w:eastAsia="ja-JP"/>
        </w:rPr>
        <w:t>3 ; k</w:t>
      </w:r>
      <w:r w:rsidR="00006CCF" w:rsidRPr="00A52AB8">
        <w:rPr>
          <w:lang w:eastAsia="ja-JP"/>
        </w:rPr>
        <w:t>++ </w:t>
      </w:r>
      <w:r w:rsidR="008F1F82" w:rsidRPr="00A52AB8">
        <w:rPr>
          <w:lang w:eastAsia="ja-JP"/>
        </w:rPr>
        <w:t>) {</w:t>
      </w:r>
      <w:r w:rsidR="006D74F2" w:rsidRPr="00A52AB8">
        <w:rPr>
          <w:lang w:eastAsia="ja-JP"/>
        </w:rPr>
        <w:br/>
      </w:r>
      <w:r w:rsidR="006D74F2" w:rsidRPr="00A52AB8">
        <w:rPr>
          <w:lang w:eastAsia="ja-JP"/>
        </w:rPr>
        <w:tab/>
      </w:r>
      <w:r w:rsidRPr="00A52AB8">
        <w:rPr>
          <w:lang w:eastAsia="ja-JP"/>
        </w:rPr>
        <w:tab/>
      </w:r>
      <w:r w:rsidR="006D74F2" w:rsidRPr="00A52AB8">
        <w:t>idxCell</w:t>
      </w:r>
      <w:r w:rsidR="004B7314" w:rsidRPr="00A52AB8">
        <w:t>[ k ]</w:t>
      </w:r>
      <w:r w:rsidR="00D47707" w:rsidRPr="00A52AB8">
        <w:t> = </w:t>
      </w:r>
      <w:r w:rsidR="006D74F2" w:rsidRPr="00A52AB8">
        <w:t>( recPos3D</w:t>
      </w:r>
      <w:r w:rsidR="004B7314" w:rsidRPr="00A52AB8">
        <w:t>[ k ]</w:t>
      </w:r>
      <w:r w:rsidR="006D74F2" w:rsidRPr="00A52AB8">
        <w:t> / gridSize )</w:t>
      </w:r>
      <w:r w:rsidR="006D74F2" w:rsidRPr="00A52AB8">
        <w:rPr>
          <w:lang w:eastAsia="ja-JP"/>
        </w:rPr>
        <w:br/>
      </w:r>
      <w:r w:rsidR="006D74F2" w:rsidRPr="00A52AB8">
        <w:rPr>
          <w:lang w:eastAsia="ja-JP"/>
        </w:rPr>
        <w:tab/>
      </w:r>
      <w:r w:rsidRPr="00A52AB8">
        <w:rPr>
          <w:lang w:eastAsia="ja-JP"/>
        </w:rPr>
        <w:tab/>
      </w:r>
      <w:r w:rsidR="006D74F2" w:rsidRPr="00A52AB8">
        <w:t>cellAnchor</w:t>
      </w:r>
      <w:r w:rsidR="004B7314" w:rsidRPr="00A52AB8">
        <w:t>[ k ]</w:t>
      </w:r>
      <w:r w:rsidR="00D47707" w:rsidRPr="00A52AB8">
        <w:t> = </w:t>
      </w:r>
      <w:r w:rsidR="006D74F2" w:rsidRPr="00A52AB8">
        <w:t>idxCell</w:t>
      </w:r>
      <w:r w:rsidR="004B7314" w:rsidRPr="00A52AB8">
        <w:t>[ k ]</w:t>
      </w:r>
      <w:r w:rsidR="006D74F2" w:rsidRPr="00A52AB8">
        <w:t> + ( ( ( recPos3D</w:t>
      </w:r>
      <w:r w:rsidR="004B7314" w:rsidRPr="00A52AB8">
        <w:t>[ k ]</w:t>
      </w:r>
      <w:r w:rsidR="006D74F2" w:rsidRPr="00A52AB8">
        <w:t> % gridSize ) &lt; ( gridSize / 2 ) ) ? </w:t>
      </w:r>
      <w:r w:rsidR="006D74F2" w:rsidRPr="00A52AB8">
        <w:rPr>
          <w:lang w:eastAsia="ja-JP"/>
        </w:rPr>
        <w:t>–</w:t>
      </w:r>
      <w:r w:rsidR="006D74F2" w:rsidRPr="00A52AB8">
        <w:t>1 : 0</w:t>
      </w:r>
      <w:r w:rsidR="006D74F2" w:rsidRPr="00A52AB8">
        <w:rPr>
          <w:lang w:eastAsia="ja-JP"/>
        </w:rPr>
        <w:t> </w:t>
      </w:r>
      <w:r w:rsidR="006D74F2" w:rsidRPr="00A52AB8">
        <w:t>)</w:t>
      </w:r>
      <w:r w:rsidR="006D74F2" w:rsidRPr="00A52AB8">
        <w:br/>
      </w:r>
      <w:r w:rsidRPr="00A52AB8">
        <w:tab/>
      </w:r>
      <w:r w:rsidR="006D74F2" w:rsidRPr="00A52AB8">
        <w:t>}</w:t>
      </w:r>
      <w:r w:rsidR="007B4F9E" w:rsidRPr="00A52AB8">
        <w:br/>
      </w:r>
      <w:r w:rsidRPr="00A52AB8">
        <w:tab/>
      </w:r>
      <w:r w:rsidR="007B4F9E" w:rsidRPr="00A52AB8">
        <w:t>currentCell1DIdx</w:t>
      </w:r>
      <w:r w:rsidR="00D47707" w:rsidRPr="00A52AB8">
        <w:t> = </w:t>
      </w:r>
      <w:r w:rsidR="007B4F9E" w:rsidRPr="00A52AB8">
        <w:t>cellIdxLut[ idxCell[ 0 ] ][ idxCell[ 1] ][ idxCell[ 2 ] ]</w:t>
      </w:r>
      <w:r w:rsidR="006D74F2" w:rsidRPr="00A52AB8">
        <w:br/>
      </w:r>
      <w:r w:rsidR="006D74F2" w:rsidRPr="00A52AB8">
        <w:br/>
      </w:r>
      <w:r w:rsidRPr="00A52AB8">
        <w:tab/>
      </w:r>
      <w:r w:rsidR="006D74F2" w:rsidRPr="00A52AB8">
        <w:t>otherClusterPtCnt</w:t>
      </w:r>
      <w:r w:rsidR="00D47707" w:rsidRPr="00A52AB8">
        <w:rPr>
          <w:lang w:eastAsia="ja-JP"/>
        </w:rPr>
        <w:t> = </w:t>
      </w:r>
      <w:r w:rsidR="006D74F2" w:rsidRPr="00A52AB8">
        <w:rPr>
          <w:lang w:eastAsia="ja-JP"/>
        </w:rPr>
        <w:t>0</w:t>
      </w:r>
      <w:r w:rsidR="006D74F2" w:rsidRPr="00A52AB8">
        <w:rPr>
          <w:lang w:eastAsia="ja-JP"/>
        </w:rPr>
        <w:br/>
      </w:r>
      <w:r w:rsidRPr="00A52AB8">
        <w:tab/>
      </w:r>
      <w:r w:rsidR="006D74F2" w:rsidRPr="00A52AB8">
        <w:t>for( dx</w:t>
      </w:r>
      <w:r w:rsidR="00D47707" w:rsidRPr="00A52AB8">
        <w:t> = </w:t>
      </w:r>
      <w:r w:rsidR="006D74F2" w:rsidRPr="00A52AB8">
        <w:t>0; dx &lt; 2; dx</w:t>
      </w:r>
      <w:r w:rsidR="00006CCF" w:rsidRPr="00A52AB8">
        <w:t>++ </w:t>
      </w:r>
      <w:r w:rsidR="008F1F82" w:rsidRPr="00A52AB8">
        <w:t>) {</w:t>
      </w:r>
      <w:r w:rsidR="006D74F2" w:rsidRPr="00A52AB8">
        <w:br/>
      </w:r>
      <w:r w:rsidRPr="00A52AB8">
        <w:tab/>
      </w:r>
      <w:r w:rsidR="006D74F2" w:rsidRPr="00A52AB8">
        <w:tab/>
        <w:t>for( dy</w:t>
      </w:r>
      <w:r w:rsidR="00D47707" w:rsidRPr="00A52AB8">
        <w:t> = </w:t>
      </w:r>
      <w:r w:rsidR="006D74F2" w:rsidRPr="00A52AB8">
        <w:t>0; dy &lt; 2; dy</w:t>
      </w:r>
      <w:r w:rsidR="00006CCF" w:rsidRPr="00A52AB8">
        <w:t>++ </w:t>
      </w:r>
      <w:r w:rsidR="008F1F82" w:rsidRPr="00A52AB8">
        <w:t>) {</w:t>
      </w:r>
      <w:r w:rsidR="006D74F2" w:rsidRPr="00A52AB8">
        <w:br/>
      </w:r>
      <w:r w:rsidRPr="00A52AB8">
        <w:tab/>
      </w:r>
      <w:r w:rsidR="006D74F2" w:rsidRPr="00A52AB8">
        <w:tab/>
      </w:r>
      <w:r w:rsidR="006D74F2" w:rsidRPr="00A52AB8">
        <w:tab/>
        <w:t>for( dz</w:t>
      </w:r>
      <w:r w:rsidR="00D47707" w:rsidRPr="00A52AB8">
        <w:t> = </w:t>
      </w:r>
      <w:r w:rsidR="006D74F2" w:rsidRPr="00A52AB8">
        <w:t>0; dz &lt; 2; dz</w:t>
      </w:r>
      <w:r w:rsidR="00006CCF" w:rsidRPr="00A52AB8">
        <w:t>++ </w:t>
      </w:r>
      <w:r w:rsidR="008F1F82" w:rsidRPr="00A52AB8">
        <w:t>) {</w:t>
      </w:r>
      <w:r w:rsidR="006D74F2" w:rsidRPr="00A52AB8">
        <w:br/>
      </w:r>
      <w:r w:rsidR="006D74F2" w:rsidRPr="00A52AB8">
        <w:tab/>
      </w:r>
      <w:r w:rsidRPr="00A52AB8">
        <w:tab/>
      </w:r>
      <w:r w:rsidR="006D74F2" w:rsidRPr="00A52AB8">
        <w:tab/>
      </w:r>
      <w:r w:rsidR="006D74F2" w:rsidRPr="00A52AB8">
        <w:tab/>
        <w:t>xIdx</w:t>
      </w:r>
      <w:r w:rsidR="00D47707" w:rsidRPr="00A52AB8">
        <w:t> = </w:t>
      </w:r>
      <w:r w:rsidR="006D74F2" w:rsidRPr="00A52AB8">
        <w:t>cellAnchor</w:t>
      </w:r>
      <w:r w:rsidR="00D770D3" w:rsidRPr="00A52AB8">
        <w:t>[ 0 ]</w:t>
      </w:r>
      <w:r w:rsidR="006D74F2" w:rsidRPr="00A52AB8">
        <w:t> + dx</w:t>
      </w:r>
      <w:r w:rsidR="006D74F2" w:rsidRPr="00A52AB8">
        <w:br/>
      </w:r>
      <w:r w:rsidR="006D74F2" w:rsidRPr="00A52AB8">
        <w:tab/>
      </w:r>
      <w:r w:rsidR="006D74F2" w:rsidRPr="00A52AB8">
        <w:tab/>
      </w:r>
      <w:r w:rsidRPr="00A52AB8">
        <w:tab/>
      </w:r>
      <w:r w:rsidR="006D74F2" w:rsidRPr="00A52AB8">
        <w:tab/>
        <w:t>yIdx</w:t>
      </w:r>
      <w:r w:rsidR="00D47707" w:rsidRPr="00A52AB8">
        <w:t> = </w:t>
      </w:r>
      <w:r w:rsidR="006D74F2" w:rsidRPr="00A52AB8">
        <w:t>cellAnchor[ 1 ] + dy</w:t>
      </w:r>
      <w:r w:rsidR="006D74F2" w:rsidRPr="00A52AB8">
        <w:br/>
      </w:r>
      <w:r w:rsidR="006D74F2" w:rsidRPr="00A52AB8">
        <w:tab/>
      </w:r>
      <w:r w:rsidR="006D74F2" w:rsidRPr="00A52AB8">
        <w:tab/>
      </w:r>
      <w:r w:rsidRPr="00A52AB8">
        <w:tab/>
      </w:r>
      <w:r w:rsidR="006D74F2" w:rsidRPr="00A52AB8">
        <w:tab/>
        <w:t>zIdx</w:t>
      </w:r>
      <w:r w:rsidR="00D47707" w:rsidRPr="00A52AB8">
        <w:t> = </w:t>
      </w:r>
      <w:r w:rsidR="006D74F2" w:rsidRPr="00A52AB8">
        <w:t>cellAnchor[ 2 ] + dz</w:t>
      </w:r>
      <w:r w:rsidR="006D74F2" w:rsidRPr="00A52AB8">
        <w:br/>
      </w:r>
      <w:r w:rsidR="006D74F2" w:rsidRPr="00A52AB8">
        <w:tab/>
      </w:r>
      <w:r w:rsidR="006D74F2" w:rsidRPr="00A52AB8">
        <w:tab/>
      </w:r>
      <w:r w:rsidRPr="00A52AB8">
        <w:tab/>
      </w:r>
      <w:r w:rsidR="006D74F2" w:rsidRPr="00A52AB8">
        <w:tab/>
        <w:t>tmpIdx</w:t>
      </w:r>
      <w:r w:rsidR="00D47707" w:rsidRPr="00A52AB8">
        <w:t> = </w:t>
      </w:r>
      <w:r w:rsidR="006D74F2" w:rsidRPr="00A52AB8">
        <w:t>cellIdxLut[ xIdx ][ yIdx ][ zIdx ]</w:t>
      </w:r>
      <w:r w:rsidR="006D74F2" w:rsidRPr="00A52AB8">
        <w:br/>
      </w:r>
      <w:r w:rsidR="006D74F2" w:rsidRPr="00A52AB8">
        <w:tab/>
      </w:r>
      <w:r w:rsidR="006D74F2" w:rsidRPr="00A52AB8">
        <w:tab/>
      </w:r>
      <w:r w:rsidRPr="00A52AB8">
        <w:tab/>
      </w:r>
      <w:r w:rsidR="006D74F2" w:rsidRPr="00A52AB8">
        <w:tab/>
        <w:t>idxArr[ dx ][ dy ][ dz ]</w:t>
      </w:r>
      <w:r w:rsidR="00D47707" w:rsidRPr="00A52AB8">
        <w:t> = </w:t>
      </w:r>
      <w:r w:rsidR="006D74F2" w:rsidRPr="00A52AB8">
        <w:t>tmpIdx</w:t>
      </w:r>
      <w:r w:rsidR="006D74F2" w:rsidRPr="00A52AB8">
        <w:br/>
      </w:r>
      <w:r w:rsidR="006D74F2" w:rsidRPr="00A52AB8">
        <w:tab/>
      </w:r>
      <w:r w:rsidR="006D74F2" w:rsidRPr="00A52AB8">
        <w:tab/>
      </w:r>
      <w:r w:rsidRPr="00A52AB8">
        <w:tab/>
      </w:r>
      <w:r w:rsidR="006D74F2" w:rsidRPr="00A52AB8">
        <w:tab/>
        <w:t>if( </w:t>
      </w:r>
      <w:r w:rsidR="006D74F2" w:rsidRPr="00A52AB8">
        <w:rPr>
          <w:lang w:eastAsia="ja-JP"/>
        </w:rPr>
        <w:t>cell</w:t>
      </w:r>
      <w:r w:rsidR="006D74F2" w:rsidRPr="00A52AB8">
        <w:t>DoSmoothing[ tmpIdx ]</w:t>
      </w:r>
      <w:r w:rsidR="008768E9" w:rsidRPr="00A52AB8">
        <w:t> &amp;&amp; </w:t>
      </w:r>
      <w:r w:rsidR="006D74F2" w:rsidRPr="00A52AB8">
        <w:t>cellCnt[ tmpIdx ] )</w:t>
      </w:r>
      <w:r w:rsidR="006D74F2" w:rsidRPr="00A52AB8">
        <w:br/>
      </w:r>
      <w:r w:rsidR="006D74F2" w:rsidRPr="00A52AB8">
        <w:tab/>
      </w:r>
      <w:r w:rsidR="006D74F2" w:rsidRPr="00A52AB8">
        <w:tab/>
      </w:r>
      <w:r w:rsidRPr="00A52AB8">
        <w:tab/>
      </w:r>
      <w:r w:rsidR="006D74F2" w:rsidRPr="00A52AB8">
        <w:tab/>
      </w:r>
      <w:r w:rsidR="006D74F2" w:rsidRPr="00A52AB8">
        <w:tab/>
        <w:t>otherClusterPtCnt</w:t>
      </w:r>
      <w:r w:rsidR="00D47707" w:rsidRPr="00A52AB8">
        <w:rPr>
          <w:lang w:eastAsia="ja-JP"/>
        </w:rPr>
        <w:t> </w:t>
      </w:r>
      <w:r w:rsidR="00D47707" w:rsidRPr="00A52AB8">
        <w:t>= </w:t>
      </w:r>
      <w:r w:rsidR="006D74F2" w:rsidRPr="00A52AB8">
        <w:t>1</w:t>
      </w:r>
      <w:r w:rsidR="006D74F2" w:rsidRPr="00A52AB8">
        <w:br/>
      </w:r>
      <w:r w:rsidR="006D74F2" w:rsidRPr="00A52AB8">
        <w:tab/>
      </w:r>
      <w:r w:rsidR="006D74F2" w:rsidRPr="00A52AB8">
        <w:tab/>
      </w:r>
      <w:r w:rsidRPr="00A52AB8">
        <w:tab/>
      </w:r>
      <w:r w:rsidR="006D74F2" w:rsidRPr="00A52AB8">
        <w:t>}</w:t>
      </w:r>
      <w:r w:rsidR="00D004C2" w:rsidRPr="00A52AB8">
        <w:br/>
      </w:r>
      <w:r w:rsidR="00D004C2" w:rsidRPr="00A52AB8">
        <w:tab/>
      </w:r>
      <w:r w:rsidR="00D004C2" w:rsidRPr="00A52AB8">
        <w:tab/>
        <w:t>}</w:t>
      </w:r>
      <w:r w:rsidR="00D004C2" w:rsidRPr="00A52AB8">
        <w:br/>
      </w:r>
      <w:r w:rsidR="00D004C2" w:rsidRPr="00A52AB8">
        <w:tab/>
        <w:t>}</w:t>
      </w:r>
    </w:p>
    <w:p w14:paraId="40F56A75" w14:textId="77777777" w:rsidR="006D74F2" w:rsidRPr="00A52AB8" w:rsidRDefault="00370E08" w:rsidP="00895494">
      <w:pPr>
        <w:pStyle w:val="a3"/>
        <w:numPr>
          <w:ilvl w:val="2"/>
          <w:numId w:val="14"/>
        </w:numPr>
      </w:pPr>
      <w:bookmarkStart w:id="6980" w:name="_Ref39817452"/>
      <w:bookmarkStart w:id="6981" w:name="_Ref39817548"/>
      <w:r w:rsidRPr="00A52AB8">
        <w:tab/>
      </w:r>
      <w:bookmarkStart w:id="6982" w:name="_Toc52181804"/>
      <w:r w:rsidR="006D74F2" w:rsidRPr="00A52AB8">
        <w:t xml:space="preserve">Trilinear </w:t>
      </w:r>
      <w:r w:rsidR="00F01923" w:rsidRPr="00A52AB8">
        <w:t>f</w:t>
      </w:r>
      <w:r w:rsidR="006D74F2" w:rsidRPr="00A52AB8">
        <w:t>iltering</w:t>
      </w:r>
      <w:bookmarkEnd w:id="6980"/>
      <w:bookmarkEnd w:id="6981"/>
      <w:bookmarkEnd w:id="6982"/>
    </w:p>
    <w:p w14:paraId="2201EE16" w14:textId="1B47B326" w:rsidR="00230A8A" w:rsidRPr="00A52AB8" w:rsidRDefault="00230A8A" w:rsidP="00895494">
      <w:pPr>
        <w:pStyle w:val="a4"/>
        <w:numPr>
          <w:ilvl w:val="3"/>
          <w:numId w:val="19"/>
        </w:numPr>
      </w:pPr>
      <w:bookmarkStart w:id="6983" w:name="_Ref49454476"/>
      <w:r w:rsidRPr="00A52AB8">
        <w:t>Trilinear filtering for geometry smoothing</w:t>
      </w:r>
      <w:bookmarkEnd w:id="6983"/>
    </w:p>
    <w:p w14:paraId="3F1784D4" w14:textId="77777777" w:rsidR="00230A8A" w:rsidRPr="00A52AB8" w:rsidRDefault="00230A8A" w:rsidP="00007BE2">
      <w:pPr>
        <w:rPr>
          <w:color w:val="000000" w:themeColor="text1"/>
        </w:rPr>
      </w:pPr>
      <w:r w:rsidRPr="00A52AB8">
        <w:rPr>
          <w:color w:val="000000" w:themeColor="text1"/>
        </w:rPr>
        <w:t>This process carries out trilinear filtering for geometry smoothing.</w:t>
      </w:r>
    </w:p>
    <w:p w14:paraId="044F93C2" w14:textId="77777777" w:rsidR="006D74F2" w:rsidRPr="00A52AB8" w:rsidRDefault="006D74F2" w:rsidP="00007BE2">
      <w:pPr>
        <w:rPr>
          <w:color w:val="000000" w:themeColor="text1"/>
        </w:rPr>
      </w:pPr>
      <w:r w:rsidRPr="00A52AB8">
        <w:rPr>
          <w:color w:val="000000" w:themeColor="text1"/>
        </w:rPr>
        <w:t>Inputs to this process are:</w:t>
      </w:r>
    </w:p>
    <w:p w14:paraId="7BE42BAD" w14:textId="77777777" w:rsidR="006D74F2" w:rsidRPr="00A52AB8"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gridSize,</w:t>
      </w:r>
      <w:r w:rsidR="00230A8A" w:rsidRPr="00A52AB8">
        <w:rPr>
          <w:color w:val="000000" w:themeColor="text1"/>
        </w:rPr>
        <w:t xml:space="preserve"> the size of the cell in x, y or z direction,</w:t>
      </w:r>
    </w:p>
    <w:p w14:paraId="7B6C8082" w14:textId="77777777" w:rsidR="006D74F2" w:rsidRPr="00A52AB8"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numBoundaryCells, the number of cells containing a boundary point or neighbo</w:t>
      </w:r>
      <w:r w:rsidR="006B0BA3" w:rsidRPr="00A52AB8">
        <w:rPr>
          <w:color w:val="000000" w:themeColor="text1"/>
        </w:rPr>
        <w:t>u</w:t>
      </w:r>
      <w:r w:rsidRPr="00A52AB8">
        <w:rPr>
          <w:color w:val="000000" w:themeColor="text1"/>
        </w:rPr>
        <w:t>ring such a cell,</w:t>
      </w:r>
    </w:p>
    <w:p w14:paraId="0C8AF464" w14:textId="77777777" w:rsidR="006D74F2" w:rsidRPr="00A52AB8" w:rsidRDefault="00230A8A"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recPos3D</w:t>
      </w:r>
      <w:r w:rsidR="004B7314" w:rsidRPr="00A52AB8">
        <w:rPr>
          <w:color w:val="000000" w:themeColor="text1"/>
        </w:rPr>
        <w:t>[ k ]</w:t>
      </w:r>
      <w:r w:rsidR="006D74F2" w:rsidRPr="00A52AB8">
        <w:rPr>
          <w:color w:val="000000" w:themeColor="text1"/>
        </w:rPr>
        <w:t xml:space="preserve">, </w:t>
      </w:r>
      <w:r w:rsidRPr="00A52AB8">
        <w:rPr>
          <w:color w:val="000000" w:themeColor="text1"/>
        </w:rPr>
        <w:t>k </w:t>
      </w:r>
      <w:r w:rsidR="006D74F2" w:rsidRPr="00A52AB8">
        <w:rPr>
          <w:color w:val="000000" w:themeColor="text1"/>
        </w:rPr>
        <w:t>=0..2, position of a reconstructed point,</w:t>
      </w:r>
    </w:p>
    <w:p w14:paraId="49CE48DD" w14:textId="1DCC4378" w:rsidR="006D74F2" w:rsidRPr="00A52AB8"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centroid</w:t>
      </w:r>
      <w:r w:rsidR="004B7314" w:rsidRPr="00A52AB8">
        <w:rPr>
          <w:color w:val="000000" w:themeColor="text1"/>
        </w:rPr>
        <w:t>[ x ]</w:t>
      </w:r>
      <w:r w:rsidR="00DD3142" w:rsidRPr="00A52AB8">
        <w:rPr>
          <w:color w:val="000000" w:themeColor="text1"/>
        </w:rPr>
        <w:t>[ y ]</w:t>
      </w:r>
      <w:r w:rsidRPr="00A52AB8">
        <w:rPr>
          <w:color w:val="000000" w:themeColor="text1"/>
        </w:rPr>
        <w:t>[ z ]</w:t>
      </w:r>
      <w:r w:rsidR="004B7314" w:rsidRPr="00A52AB8">
        <w:rPr>
          <w:color w:val="000000" w:themeColor="text1"/>
        </w:rPr>
        <w:t>[ k ]</w:t>
      </w:r>
      <w:r w:rsidRPr="00A52AB8">
        <w:rPr>
          <w:color w:val="000000" w:themeColor="text1"/>
        </w:rPr>
        <w:t>, for x, y, and z in the range of 0</w:t>
      </w:r>
      <w:r w:rsidR="00230A8A" w:rsidRPr="00A52AB8">
        <w:rPr>
          <w:color w:val="000000" w:themeColor="text1"/>
        </w:rPr>
        <w:t>..1</w:t>
      </w:r>
      <w:r w:rsidRPr="00A52AB8">
        <w:rPr>
          <w:color w:val="000000" w:themeColor="text1"/>
        </w:rPr>
        <w:t xml:space="preserve">, k =0..2, an array </w:t>
      </w:r>
      <w:r w:rsidR="00CD2815" w:rsidRPr="00A52AB8">
        <w:rPr>
          <w:color w:val="000000" w:themeColor="text1"/>
        </w:rPr>
        <w:t xml:space="preserve">specifying </w:t>
      </w:r>
      <w:r w:rsidRPr="00A52AB8">
        <w:rPr>
          <w:color w:val="000000" w:themeColor="text1"/>
        </w:rPr>
        <w:t xml:space="preserve">the </w:t>
      </w:r>
      <w:r w:rsidR="000F0B41" w:rsidRPr="00A52AB8">
        <w:rPr>
          <w:color w:val="000000" w:themeColor="text1"/>
        </w:rPr>
        <w:t xml:space="preserve">geometry </w:t>
      </w:r>
      <w:r w:rsidRPr="00A52AB8">
        <w:rPr>
          <w:color w:val="000000" w:themeColor="text1"/>
        </w:rPr>
        <w:t xml:space="preserve">centroids </w:t>
      </w:r>
      <w:r w:rsidR="00230A8A" w:rsidRPr="00A52AB8">
        <w:rPr>
          <w:color w:val="000000" w:themeColor="text1"/>
        </w:rPr>
        <w:t xml:space="preserve">for </w:t>
      </w:r>
      <w:r w:rsidRPr="00A52AB8">
        <w:rPr>
          <w:color w:val="000000" w:themeColor="text1"/>
        </w:rPr>
        <w:t>the 2 × 2 ×</w:t>
      </w:r>
      <w:r w:rsidR="000F0B41" w:rsidRPr="00A52AB8">
        <w:rPr>
          <w:color w:val="000000" w:themeColor="text1"/>
        </w:rPr>
        <w:t> </w:t>
      </w:r>
      <w:r w:rsidRPr="00A52AB8">
        <w:rPr>
          <w:color w:val="000000" w:themeColor="text1"/>
        </w:rPr>
        <w:t>2 grid of cells,</w:t>
      </w:r>
    </w:p>
    <w:p w14:paraId="09CE2A65" w14:textId="38784D5A" w:rsidR="006D74F2" w:rsidRPr="00A52AB8"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cellAnchor</w:t>
      </w:r>
      <w:r w:rsidR="004B7314" w:rsidRPr="00A52AB8">
        <w:rPr>
          <w:color w:val="000000" w:themeColor="text1"/>
        </w:rPr>
        <w:t>[ k ]</w:t>
      </w:r>
      <w:r w:rsidRPr="00A52AB8">
        <w:rPr>
          <w:color w:val="000000" w:themeColor="text1"/>
        </w:rPr>
        <w:t>, k</w:t>
      </w:r>
      <w:r w:rsidR="00D47707" w:rsidRPr="00A52AB8">
        <w:rPr>
          <w:color w:val="000000" w:themeColor="text1"/>
        </w:rPr>
        <w:t> = </w:t>
      </w:r>
      <w:r w:rsidRPr="00A52AB8">
        <w:rPr>
          <w:color w:val="000000" w:themeColor="text1"/>
        </w:rPr>
        <w:t>0..</w:t>
      </w:r>
      <w:r w:rsidR="00230A8A" w:rsidRPr="00A52AB8">
        <w:rPr>
          <w:color w:val="000000" w:themeColor="text1"/>
        </w:rPr>
        <w:t>2</w:t>
      </w:r>
      <w:r w:rsidRPr="00A52AB8">
        <w:rPr>
          <w:color w:val="000000" w:themeColor="text1"/>
        </w:rPr>
        <w:t xml:space="preserve">, an array </w:t>
      </w:r>
      <w:r w:rsidR="00CD2815" w:rsidRPr="00A52AB8">
        <w:rPr>
          <w:color w:val="000000" w:themeColor="text1"/>
        </w:rPr>
        <w:t>specifying</w:t>
      </w:r>
      <w:r w:rsidRPr="00A52AB8">
        <w:rPr>
          <w:color w:val="000000" w:themeColor="text1"/>
        </w:rPr>
        <w:t xml:space="preserve"> the </w:t>
      </w:r>
      <w:r w:rsidR="002941DA" w:rsidRPr="00A52AB8">
        <w:rPr>
          <w:color w:val="000000" w:themeColor="text1"/>
        </w:rPr>
        <w:t>grid indices corresponding to the origin of</w:t>
      </w:r>
      <w:r w:rsidRPr="00A52AB8">
        <w:rPr>
          <w:color w:val="000000" w:themeColor="text1"/>
        </w:rPr>
        <w:t xml:space="preserve"> 2 × 2 ×</w:t>
      </w:r>
      <w:r w:rsidR="002941DA" w:rsidRPr="00A52AB8">
        <w:rPr>
          <w:color w:val="000000" w:themeColor="text1"/>
        </w:rPr>
        <w:t> </w:t>
      </w:r>
      <w:r w:rsidRPr="00A52AB8">
        <w:rPr>
          <w:color w:val="000000" w:themeColor="text1"/>
        </w:rPr>
        <w:t>2 grid of cells in x, y, and z direction, respectively,</w:t>
      </w:r>
    </w:p>
    <w:p w14:paraId="453D0B94" w14:textId="3ECB5534" w:rsidR="006D74F2" w:rsidRPr="00A52AB8"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idxArr[ dx ][ dy ][ dz ], </w:t>
      </w:r>
      <w:r w:rsidR="00230A8A" w:rsidRPr="00A52AB8">
        <w:rPr>
          <w:color w:val="000000" w:themeColor="text1"/>
        </w:rPr>
        <w:t xml:space="preserve">for </w:t>
      </w:r>
      <w:r w:rsidRPr="00A52AB8">
        <w:rPr>
          <w:color w:val="000000" w:themeColor="text1"/>
        </w:rPr>
        <w:t>dx, dy, and dz in the range of 0</w:t>
      </w:r>
      <w:r w:rsidR="00230A8A" w:rsidRPr="00A52AB8">
        <w:rPr>
          <w:color w:val="000000" w:themeColor="text1"/>
        </w:rPr>
        <w:t>..1</w:t>
      </w:r>
      <w:r w:rsidRPr="00A52AB8">
        <w:rPr>
          <w:color w:val="000000" w:themeColor="text1"/>
        </w:rPr>
        <w:t xml:space="preserve">, an array </w:t>
      </w:r>
      <w:r w:rsidR="00CD2815" w:rsidRPr="00A52AB8">
        <w:rPr>
          <w:color w:val="000000" w:themeColor="text1"/>
        </w:rPr>
        <w:t>specifying</w:t>
      </w:r>
      <w:r w:rsidRPr="00A52AB8">
        <w:rPr>
          <w:color w:val="000000" w:themeColor="text1"/>
        </w:rPr>
        <w:t xml:space="preserve"> the indices </w:t>
      </w:r>
      <w:r w:rsidR="00C378F0" w:rsidRPr="00A52AB8">
        <w:rPr>
          <w:color w:val="000000" w:themeColor="text1"/>
        </w:rPr>
        <w:t xml:space="preserve">into 1D lookup table </w:t>
      </w:r>
      <w:r w:rsidRPr="00A52AB8">
        <w:rPr>
          <w:color w:val="000000" w:themeColor="text1"/>
        </w:rPr>
        <w:t>for the 2 × 2 ×</w:t>
      </w:r>
      <w:r w:rsidR="00230A8A" w:rsidRPr="00A52AB8">
        <w:rPr>
          <w:color w:val="000000" w:themeColor="text1"/>
        </w:rPr>
        <w:t> </w:t>
      </w:r>
      <w:r w:rsidRPr="00A52AB8">
        <w:rPr>
          <w:color w:val="000000" w:themeColor="text1"/>
        </w:rPr>
        <w:t>2 grid of cells, and</w:t>
      </w:r>
    </w:p>
    <w:p w14:paraId="51F21105" w14:textId="73EFAD07" w:rsidR="006D74F2" w:rsidRPr="00A52AB8"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cellCnt[ </w:t>
      </w:r>
      <w:r w:rsidR="00230A8A" w:rsidRPr="00A52AB8">
        <w:rPr>
          <w:color w:val="000000" w:themeColor="text1"/>
        </w:rPr>
        <w:t>j </w:t>
      </w:r>
      <w:r w:rsidRPr="00A52AB8">
        <w:rPr>
          <w:color w:val="000000" w:themeColor="text1"/>
        </w:rPr>
        <w:t xml:space="preserve">], </w:t>
      </w:r>
      <w:r w:rsidR="00230A8A" w:rsidRPr="00A52AB8">
        <w:rPr>
          <w:color w:val="000000" w:themeColor="text1"/>
        </w:rPr>
        <w:t>j</w:t>
      </w:r>
      <w:r w:rsidR="00D47707" w:rsidRPr="00A52AB8">
        <w:rPr>
          <w:color w:val="000000" w:themeColor="text1"/>
        </w:rPr>
        <w:t> = </w:t>
      </w:r>
      <w:r w:rsidRPr="00A52AB8">
        <w:rPr>
          <w:color w:val="000000" w:themeColor="text1"/>
        </w:rPr>
        <w:t xml:space="preserve">0..numBoundaryCells – 1, an array containing </w:t>
      </w:r>
      <w:r w:rsidR="00230A8A" w:rsidRPr="00A52AB8">
        <w:rPr>
          <w:color w:val="000000" w:themeColor="text1"/>
        </w:rPr>
        <w:t xml:space="preserve">the </w:t>
      </w:r>
      <w:r w:rsidRPr="00A52AB8">
        <w:rPr>
          <w:color w:val="000000" w:themeColor="text1"/>
        </w:rPr>
        <w:t>number of reconstructed points in a cell.</w:t>
      </w:r>
    </w:p>
    <w:p w14:paraId="4E83C801" w14:textId="77777777" w:rsidR="006D74F2" w:rsidRPr="00A52AB8" w:rsidRDefault="006D74F2" w:rsidP="00007BE2">
      <w:pPr>
        <w:rPr>
          <w:color w:val="000000" w:themeColor="text1"/>
        </w:rPr>
      </w:pPr>
      <w:r w:rsidRPr="00A52AB8">
        <w:rPr>
          <w:color w:val="000000" w:themeColor="text1"/>
        </w:rPr>
        <w:t>Output</w:t>
      </w:r>
      <w:r w:rsidR="00F64EB2" w:rsidRPr="00A52AB8">
        <w:rPr>
          <w:color w:val="000000" w:themeColor="text1"/>
        </w:rPr>
        <w:t>s</w:t>
      </w:r>
      <w:r w:rsidRPr="00A52AB8">
        <w:rPr>
          <w:color w:val="000000" w:themeColor="text1"/>
        </w:rPr>
        <w:t xml:space="preserve"> of this process </w:t>
      </w:r>
      <w:r w:rsidR="00F64EB2" w:rsidRPr="00A52AB8">
        <w:rPr>
          <w:color w:val="000000" w:themeColor="text1"/>
        </w:rPr>
        <w:t>are</w:t>
      </w:r>
      <w:r w:rsidRPr="00A52AB8">
        <w:rPr>
          <w:color w:val="000000" w:themeColor="text1"/>
        </w:rPr>
        <w:t>:</w:t>
      </w:r>
    </w:p>
    <w:p w14:paraId="309CAA60" w14:textId="4CCDE824" w:rsidR="00F64EB2" w:rsidRPr="00A52AB8" w:rsidRDefault="00394DD9"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recP</w:t>
      </w:r>
      <w:r w:rsidR="00230A8A" w:rsidRPr="00A52AB8">
        <w:rPr>
          <w:color w:val="000000" w:themeColor="text1"/>
        </w:rPr>
        <w:t>os3DFilt</w:t>
      </w:r>
      <w:r w:rsidR="004B7314" w:rsidRPr="00A52AB8">
        <w:rPr>
          <w:color w:val="000000" w:themeColor="text1"/>
        </w:rPr>
        <w:t>[ k ]</w:t>
      </w:r>
      <w:r w:rsidR="006D74F2" w:rsidRPr="00A52AB8">
        <w:rPr>
          <w:color w:val="000000" w:themeColor="text1"/>
        </w:rPr>
        <w:t>, k</w:t>
      </w:r>
      <w:r w:rsidR="00D47707" w:rsidRPr="00A52AB8">
        <w:rPr>
          <w:color w:val="000000" w:themeColor="text1"/>
        </w:rPr>
        <w:t> = </w:t>
      </w:r>
      <w:r w:rsidR="006D74F2" w:rsidRPr="00A52AB8">
        <w:rPr>
          <w:color w:val="000000" w:themeColor="text1"/>
        </w:rPr>
        <w:t>0..</w:t>
      </w:r>
      <w:r w:rsidR="00230A8A" w:rsidRPr="00A52AB8">
        <w:rPr>
          <w:color w:val="000000" w:themeColor="text1"/>
        </w:rPr>
        <w:t>2</w:t>
      </w:r>
      <w:r w:rsidR="006D74F2" w:rsidRPr="00A52AB8">
        <w:rPr>
          <w:color w:val="000000" w:themeColor="text1"/>
        </w:rPr>
        <w:t xml:space="preserve">, a filtered version of the reconstructed point </w:t>
      </w:r>
      <w:r w:rsidR="00230A8A" w:rsidRPr="00A52AB8">
        <w:rPr>
          <w:color w:val="000000" w:themeColor="text1"/>
        </w:rPr>
        <w:t>recPos3D</w:t>
      </w:r>
      <w:r w:rsidR="004B7314" w:rsidRPr="00A52AB8">
        <w:rPr>
          <w:color w:val="000000" w:themeColor="text1"/>
        </w:rPr>
        <w:t>[ k ]</w:t>
      </w:r>
      <w:r w:rsidR="00F64EB2" w:rsidRPr="00A52AB8">
        <w:rPr>
          <w:color w:val="000000" w:themeColor="text1"/>
        </w:rPr>
        <w:t xml:space="preserve"> and</w:t>
      </w:r>
    </w:p>
    <w:p w14:paraId="054100D1" w14:textId="77777777" w:rsidR="006D74F2" w:rsidRPr="00A52AB8" w:rsidRDefault="00F64EB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cnt, a weighted average of the number of points from the 2 × 2 ×2 grid of cells.</w:t>
      </w:r>
    </w:p>
    <w:p w14:paraId="29C90088" w14:textId="77777777" w:rsidR="006D74F2" w:rsidRPr="00A52AB8" w:rsidRDefault="006D74F2" w:rsidP="00007BE2">
      <w:pPr>
        <w:widowControl w:val="0"/>
        <w:autoSpaceDN w:val="0"/>
        <w:textAlignment w:val="baseline"/>
        <w:rPr>
          <w:color w:val="000000" w:themeColor="text1"/>
        </w:rPr>
      </w:pPr>
      <w:r w:rsidRPr="00A52AB8">
        <w:rPr>
          <w:color w:val="000000" w:themeColor="text1"/>
        </w:rPr>
        <w:t xml:space="preserve">The following </w:t>
      </w:r>
      <w:r w:rsidR="00230A8A" w:rsidRPr="00A52AB8">
        <w:rPr>
          <w:color w:val="000000" w:themeColor="text1"/>
        </w:rPr>
        <w:t>applies</w:t>
      </w:r>
      <w:r w:rsidRPr="00A52AB8">
        <w:rPr>
          <w:color w:val="000000" w:themeColor="text1"/>
        </w:rPr>
        <w:t>:</w:t>
      </w:r>
    </w:p>
    <w:p w14:paraId="1F263A80" w14:textId="77777777" w:rsidR="006D74F2" w:rsidRPr="00A52AB8"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The weights for trilinear filtering are calculated as follows:</w:t>
      </w:r>
    </w:p>
    <w:p w14:paraId="3510C1D9" w14:textId="24CCBCEA" w:rsidR="00A23BF7" w:rsidRPr="00A52AB8" w:rsidRDefault="006D74F2" w:rsidP="00007BE2">
      <w:pPr>
        <w:spacing w:before="136" w:after="0"/>
        <w:ind w:left="805"/>
        <w:jc w:val="left"/>
      </w:pPr>
      <w:r w:rsidRPr="00A52AB8">
        <w:rPr>
          <w:color w:val="000000" w:themeColor="text1"/>
        </w:rPr>
        <w:tab/>
      </w:r>
      <w:r w:rsidRPr="00A52AB8">
        <w:rPr>
          <w:color w:val="000000" w:themeColor="text1"/>
          <w:lang w:eastAsia="ja-JP"/>
        </w:rPr>
        <w:t>for( k</w:t>
      </w:r>
      <w:r w:rsidR="00D47707" w:rsidRPr="00A52AB8">
        <w:rPr>
          <w:color w:val="000000" w:themeColor="text1"/>
          <w:lang w:eastAsia="ja-JP"/>
        </w:rPr>
        <w:t> = </w:t>
      </w:r>
      <w:r w:rsidRPr="00A52AB8">
        <w:rPr>
          <w:color w:val="000000" w:themeColor="text1"/>
          <w:lang w:eastAsia="ja-JP"/>
        </w:rPr>
        <w:t>0; k &lt; </w:t>
      </w:r>
      <w:r w:rsidRPr="00A52AB8">
        <w:rPr>
          <w:lang w:eastAsia="ja-JP"/>
        </w:rPr>
        <w:t>3 ; k</w:t>
      </w:r>
      <w:r w:rsidR="00006CCF" w:rsidRPr="00A52AB8">
        <w:rPr>
          <w:lang w:eastAsia="ja-JP"/>
        </w:rPr>
        <w:t>++ </w:t>
      </w:r>
      <w:r w:rsidR="008F1F82" w:rsidRPr="00A52AB8">
        <w:rPr>
          <w:lang w:eastAsia="ja-JP"/>
        </w:rPr>
        <w:t>) {</w:t>
      </w:r>
      <w:r w:rsidRPr="00A52AB8">
        <w:rPr>
          <w:lang w:eastAsia="ja-JP"/>
        </w:rPr>
        <w:br/>
      </w:r>
      <w:r w:rsidRPr="00A52AB8">
        <w:rPr>
          <w:lang w:eastAsia="ja-JP"/>
        </w:rPr>
        <w:tab/>
      </w:r>
      <w:r w:rsidRPr="00A52AB8">
        <w:rPr>
          <w:lang w:eastAsia="ja-JP"/>
        </w:rPr>
        <w:tab/>
      </w:r>
      <w:r w:rsidRPr="00A52AB8">
        <w:t>w</w:t>
      </w:r>
      <w:r w:rsidR="004B7314" w:rsidRPr="00A52AB8">
        <w:t>[ k ]</w:t>
      </w:r>
      <w:r w:rsidRPr="00A52AB8">
        <w:t>[ 1 ]</w:t>
      </w:r>
      <w:r w:rsidR="00D47707" w:rsidRPr="00A52AB8">
        <w:rPr>
          <w:lang w:eastAsia="ja-JP"/>
        </w:rPr>
        <w:t> </w:t>
      </w:r>
      <w:r w:rsidR="00D47707" w:rsidRPr="00A52AB8">
        <w:t>= </w:t>
      </w:r>
      <w:r w:rsidRPr="00A52AB8">
        <w:rPr>
          <w:lang w:eastAsia="ja-JP"/>
        </w:rPr>
        <w:t>( </w:t>
      </w:r>
      <w:r w:rsidR="00230A8A" w:rsidRPr="00A52AB8">
        <w:t>recPos3D</w:t>
      </w:r>
      <w:r w:rsidR="004B7314" w:rsidRPr="00A52AB8">
        <w:t>[ k ]</w:t>
      </w:r>
      <w:r w:rsidRPr="00A52AB8">
        <w:rPr>
          <w:lang w:eastAsia="ja-JP"/>
        </w:rPr>
        <w:t> –</w:t>
      </w:r>
      <w:r w:rsidRPr="00A52AB8">
        <w:t> ( cellAnchor</w:t>
      </w:r>
      <w:r w:rsidR="004B7314" w:rsidRPr="00A52AB8">
        <w:t>[ k ]</w:t>
      </w:r>
      <w:r w:rsidRPr="00A52AB8">
        <w:t> * gridSize</w:t>
      </w:r>
      <w:r w:rsidR="00816364" w:rsidRPr="00A52AB8">
        <w:t> </w:t>
      </w:r>
      <w:r w:rsidRPr="00A52AB8">
        <w:t>)</w:t>
      </w:r>
      <w:r w:rsidRPr="00A52AB8">
        <w:rPr>
          <w:lang w:eastAsia="ja-JP"/>
        </w:rPr>
        <w:t> </w:t>
      </w:r>
      <w:r w:rsidRPr="00A52AB8">
        <w:t>– ( gridSize / 2</w:t>
      </w:r>
      <w:r w:rsidR="00816364" w:rsidRPr="00A52AB8">
        <w:t> </w:t>
      </w:r>
      <w:r w:rsidRPr="00A52AB8">
        <w:t>) ) * 2 + 1</w:t>
      </w:r>
      <w:r w:rsidRPr="00A52AB8">
        <w:br/>
      </w:r>
      <w:r w:rsidRPr="00A52AB8">
        <w:tab/>
      </w:r>
      <w:r w:rsidRPr="00A52AB8">
        <w:tab/>
        <w:t>w</w:t>
      </w:r>
      <w:r w:rsidR="004B7314" w:rsidRPr="00A52AB8">
        <w:t>[ k ]</w:t>
      </w:r>
      <w:r w:rsidR="00D770D3" w:rsidRPr="00A52AB8">
        <w:t>[ 0 ]</w:t>
      </w:r>
      <w:r w:rsidR="00D47707" w:rsidRPr="00A52AB8">
        <w:rPr>
          <w:lang w:eastAsia="ja-JP"/>
        </w:rPr>
        <w:t> </w:t>
      </w:r>
      <w:r w:rsidR="00D47707" w:rsidRPr="00A52AB8">
        <w:t>= </w:t>
      </w:r>
      <w:r w:rsidRPr="00A52AB8">
        <w:t>(</w:t>
      </w:r>
      <w:r w:rsidR="008F69D5" w:rsidRPr="00A52AB8">
        <w:t> </w:t>
      </w:r>
      <w:r w:rsidRPr="00A52AB8">
        <w:t>gridSize * 2</w:t>
      </w:r>
      <w:r w:rsidR="008F69D5" w:rsidRPr="00A52AB8">
        <w:t> </w:t>
      </w:r>
      <w:r w:rsidRPr="00A52AB8">
        <w:t>) – w</w:t>
      </w:r>
      <w:r w:rsidR="004B7314" w:rsidRPr="00A52AB8">
        <w:t>[ k ]</w:t>
      </w:r>
      <w:r w:rsidRPr="00A52AB8">
        <w:t>[ 1 ]</w:t>
      </w:r>
      <w:r w:rsidRPr="00A52AB8">
        <w:br/>
      </w:r>
      <w:r w:rsidRPr="00A52AB8">
        <w:tab/>
        <w:t>}</w:t>
      </w:r>
    </w:p>
    <w:p w14:paraId="24D7716F" w14:textId="77777777" w:rsidR="006D74F2" w:rsidRPr="00A52AB8"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The trilinear filtering is performed as follows:</w:t>
      </w:r>
    </w:p>
    <w:p w14:paraId="782779CD" w14:textId="592051E1" w:rsidR="00394DD9" w:rsidRPr="00A52AB8" w:rsidRDefault="006D74F2" w:rsidP="00007BE2">
      <w:pPr>
        <w:tabs>
          <w:tab w:val="clear" w:pos="806"/>
          <w:tab w:val="clear" w:pos="1210"/>
          <w:tab w:val="clear" w:pos="1613"/>
          <w:tab w:val="clear" w:pos="2016"/>
          <w:tab w:val="clear" w:pos="2419"/>
          <w:tab w:val="clear" w:pos="2822"/>
          <w:tab w:val="clear" w:pos="3226"/>
          <w:tab w:val="clear" w:pos="3629"/>
          <w:tab w:val="clear" w:pos="4032"/>
          <w:tab w:val="clear" w:pos="4435"/>
          <w:tab w:val="clear" w:pos="9677"/>
          <w:tab w:val="left" w:pos="805"/>
          <w:tab w:val="left" w:pos="1208"/>
          <w:tab w:val="left" w:pos="1610"/>
          <w:tab w:val="left" w:pos="2013"/>
          <w:tab w:val="left" w:pos="2415"/>
          <w:tab w:val="left" w:pos="2818"/>
        </w:tabs>
        <w:spacing w:before="136" w:after="0"/>
        <w:ind w:left="805"/>
        <w:jc w:val="left"/>
        <w:rPr>
          <w:color w:val="000000" w:themeColor="text1"/>
        </w:rPr>
      </w:pPr>
      <w:r w:rsidRPr="00A52AB8">
        <w:t>cnt</w:t>
      </w:r>
      <w:r w:rsidR="00D47707" w:rsidRPr="00A52AB8">
        <w:t> = </w:t>
      </w:r>
      <w:r w:rsidRPr="00A52AB8">
        <w:t>0</w:t>
      </w:r>
      <w:r w:rsidRPr="00A52AB8">
        <w:br/>
      </w:r>
      <w:r w:rsidRPr="00A52AB8">
        <w:rPr>
          <w:color w:val="000000" w:themeColor="text1"/>
        </w:rPr>
        <w:t>for( k</w:t>
      </w:r>
      <w:r w:rsidR="00D47707" w:rsidRPr="00A52AB8">
        <w:rPr>
          <w:color w:val="000000" w:themeColor="text1"/>
        </w:rPr>
        <w:t> = </w:t>
      </w:r>
      <w:r w:rsidRPr="00A52AB8">
        <w:rPr>
          <w:color w:val="000000" w:themeColor="text1"/>
        </w:rPr>
        <w:t xml:space="preserve">0; k &lt; 3; </w:t>
      </w:r>
      <w:r w:rsidR="00F64EB2" w:rsidRPr="00A52AB8">
        <w:rPr>
          <w:color w:val="000000" w:themeColor="text1"/>
        </w:rPr>
        <w:t>k</w:t>
      </w:r>
      <w:r w:rsidR="00006CCF" w:rsidRPr="00A52AB8">
        <w:rPr>
          <w:color w:val="000000" w:themeColor="text1"/>
        </w:rPr>
        <w:t>++ )</w:t>
      </w:r>
      <w:r w:rsidRPr="00A52AB8">
        <w:rPr>
          <w:color w:val="000000" w:themeColor="text1"/>
        </w:rPr>
        <w:br/>
      </w:r>
      <w:r w:rsidR="00C40162" w:rsidRPr="00A52AB8">
        <w:rPr>
          <w:color w:val="000000" w:themeColor="text1"/>
        </w:rPr>
        <w:tab/>
      </w:r>
      <w:r w:rsidRPr="00A52AB8">
        <w:rPr>
          <w:color w:val="000000" w:themeColor="text1"/>
        </w:rPr>
        <w:tab/>
      </w:r>
      <w:r w:rsidRPr="00A52AB8">
        <w:t>filtVal</w:t>
      </w:r>
      <w:r w:rsidR="004B7314" w:rsidRPr="00A52AB8">
        <w:t>[ k ]</w:t>
      </w:r>
      <w:r w:rsidR="00D47707" w:rsidRPr="00A52AB8">
        <w:t> = </w:t>
      </w:r>
      <w:r w:rsidRPr="00A52AB8">
        <w:t>0</w:t>
      </w:r>
      <w:r w:rsidRPr="00A52AB8">
        <w:br/>
      </w:r>
      <w:r w:rsidRPr="00A52AB8">
        <w:rPr>
          <w:color w:val="000000" w:themeColor="text1"/>
        </w:rPr>
        <w:t>for( dx</w:t>
      </w:r>
      <w:r w:rsidR="00D47707" w:rsidRPr="00A52AB8">
        <w:rPr>
          <w:color w:val="000000" w:themeColor="text1"/>
        </w:rPr>
        <w:t> = </w:t>
      </w:r>
      <w:r w:rsidRPr="00A52AB8">
        <w:rPr>
          <w:color w:val="000000" w:themeColor="text1"/>
        </w:rPr>
        <w:t>0; dx &lt; 2; dx</w:t>
      </w:r>
      <w:r w:rsidR="00006CCF" w:rsidRPr="00A52AB8">
        <w:rPr>
          <w:color w:val="000000" w:themeColor="text1"/>
        </w:rPr>
        <w:t>++ </w:t>
      </w:r>
      <w:r w:rsidR="008F1F82" w:rsidRPr="00A52AB8">
        <w:rPr>
          <w:color w:val="000000" w:themeColor="text1"/>
        </w:rPr>
        <w:t>) {</w:t>
      </w:r>
      <w:r w:rsidRPr="00A52AB8">
        <w:rPr>
          <w:color w:val="000000" w:themeColor="text1"/>
        </w:rPr>
        <w:br/>
      </w:r>
      <w:r w:rsidRPr="00A52AB8">
        <w:rPr>
          <w:color w:val="000000" w:themeColor="text1"/>
        </w:rPr>
        <w:tab/>
        <w:t>wx</w:t>
      </w:r>
      <w:r w:rsidR="00D47707" w:rsidRPr="00A52AB8">
        <w:rPr>
          <w:color w:val="000000" w:themeColor="text1"/>
        </w:rPr>
        <w:t> = </w:t>
      </w:r>
      <w:r w:rsidRPr="00A52AB8">
        <w:rPr>
          <w:color w:val="000000" w:themeColor="text1"/>
        </w:rPr>
        <w:t>w</w:t>
      </w:r>
      <w:r w:rsidR="00D770D3" w:rsidRPr="00A52AB8">
        <w:rPr>
          <w:color w:val="000000" w:themeColor="text1"/>
        </w:rPr>
        <w:t>[ 0 ]</w:t>
      </w:r>
      <w:r w:rsidRPr="00A52AB8">
        <w:rPr>
          <w:color w:val="000000" w:themeColor="text1"/>
        </w:rPr>
        <w:t>[ dx ]</w:t>
      </w:r>
      <w:r w:rsidRPr="00A52AB8">
        <w:rPr>
          <w:color w:val="000000" w:themeColor="text1"/>
        </w:rPr>
        <w:br/>
      </w:r>
      <w:r w:rsidR="00C40162" w:rsidRPr="00A52AB8">
        <w:rPr>
          <w:color w:val="000000" w:themeColor="text1"/>
        </w:rPr>
        <w:tab/>
      </w:r>
      <w:r w:rsidRPr="00A52AB8">
        <w:rPr>
          <w:color w:val="000000" w:themeColor="text1"/>
        </w:rPr>
        <w:t>for( dy</w:t>
      </w:r>
      <w:r w:rsidR="00D47707" w:rsidRPr="00A52AB8">
        <w:rPr>
          <w:color w:val="000000" w:themeColor="text1"/>
        </w:rPr>
        <w:t> = </w:t>
      </w:r>
      <w:r w:rsidRPr="00A52AB8">
        <w:rPr>
          <w:color w:val="000000" w:themeColor="text1"/>
        </w:rPr>
        <w:t>0; dy &lt; 2; dy</w:t>
      </w:r>
      <w:r w:rsidR="00006CCF" w:rsidRPr="00A52AB8">
        <w:rPr>
          <w:color w:val="000000" w:themeColor="text1"/>
        </w:rPr>
        <w:t>++ </w:t>
      </w:r>
      <w:r w:rsidR="008F1F82" w:rsidRPr="00A52AB8">
        <w:rPr>
          <w:color w:val="000000" w:themeColor="text1"/>
        </w:rPr>
        <w:t>) {</w:t>
      </w:r>
      <w:r w:rsidRPr="00A52AB8">
        <w:rPr>
          <w:color w:val="000000" w:themeColor="text1"/>
        </w:rPr>
        <w:br/>
      </w:r>
      <w:r w:rsidRPr="00A52AB8">
        <w:rPr>
          <w:color w:val="000000" w:themeColor="text1"/>
        </w:rPr>
        <w:tab/>
      </w:r>
      <w:r w:rsidRPr="00A52AB8">
        <w:rPr>
          <w:color w:val="000000" w:themeColor="text1"/>
        </w:rPr>
        <w:tab/>
        <w:t>wy</w:t>
      </w:r>
      <w:r w:rsidR="00D47707" w:rsidRPr="00A52AB8">
        <w:rPr>
          <w:color w:val="000000" w:themeColor="text1"/>
        </w:rPr>
        <w:t> = </w:t>
      </w:r>
      <w:r w:rsidRPr="00A52AB8">
        <w:rPr>
          <w:color w:val="000000" w:themeColor="text1"/>
        </w:rPr>
        <w:t>w[ 1 ][ dy ]</w:t>
      </w:r>
      <w:r w:rsidRPr="00A52AB8">
        <w:rPr>
          <w:color w:val="000000" w:themeColor="text1"/>
        </w:rPr>
        <w:br/>
      </w:r>
      <w:r w:rsidRPr="00A52AB8">
        <w:rPr>
          <w:color w:val="000000" w:themeColor="text1"/>
        </w:rPr>
        <w:tab/>
      </w:r>
      <w:r w:rsidRPr="00A52AB8">
        <w:rPr>
          <w:color w:val="000000" w:themeColor="text1"/>
        </w:rPr>
        <w:tab/>
        <w:t>for( dz</w:t>
      </w:r>
      <w:r w:rsidR="00D47707" w:rsidRPr="00A52AB8">
        <w:rPr>
          <w:color w:val="000000" w:themeColor="text1"/>
        </w:rPr>
        <w:t> = </w:t>
      </w:r>
      <w:r w:rsidRPr="00A52AB8">
        <w:rPr>
          <w:color w:val="000000" w:themeColor="text1"/>
        </w:rPr>
        <w:t>0; dz &lt; 2; dz</w:t>
      </w:r>
      <w:r w:rsidR="00006CCF" w:rsidRPr="00A52AB8">
        <w:rPr>
          <w:color w:val="000000" w:themeColor="text1"/>
        </w:rPr>
        <w:t>++ </w:t>
      </w:r>
      <w:r w:rsidR="008F1F82" w:rsidRPr="00A52AB8">
        <w:rPr>
          <w:color w:val="000000" w:themeColor="text1"/>
        </w:rPr>
        <w:t>) {</w:t>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t>wz</w:t>
      </w:r>
      <w:r w:rsidR="00D47707" w:rsidRPr="00A52AB8">
        <w:rPr>
          <w:color w:val="000000" w:themeColor="text1"/>
        </w:rPr>
        <w:t> = </w:t>
      </w:r>
      <w:r w:rsidRPr="00A52AB8">
        <w:rPr>
          <w:color w:val="000000" w:themeColor="text1"/>
        </w:rPr>
        <w:t>w[ 2 </w:t>
      </w:r>
      <w:r w:rsidR="002F5BBC" w:rsidRPr="00A52AB8">
        <w:rPr>
          <w:color w:val="000000" w:themeColor="text1"/>
        </w:rPr>
        <w:t>][ dz </w:t>
      </w:r>
      <w:r w:rsidRPr="00A52AB8">
        <w:rPr>
          <w:color w:val="000000" w:themeColor="text1"/>
        </w:rPr>
        <w:t>]</w:t>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t>tmpIdx</w:t>
      </w:r>
      <w:r w:rsidR="00D47707" w:rsidRPr="00A52AB8">
        <w:rPr>
          <w:color w:val="000000" w:themeColor="text1"/>
        </w:rPr>
        <w:t> = </w:t>
      </w:r>
      <w:r w:rsidRPr="00A52AB8">
        <w:rPr>
          <w:color w:val="000000" w:themeColor="text1"/>
        </w:rPr>
        <w:t>idxArr[ dx ][ dy ][ dz ]</w:t>
      </w:r>
      <w:r w:rsidRPr="00A52AB8">
        <w:rPr>
          <w:color w:val="000000" w:themeColor="text1"/>
        </w:rPr>
        <w:br/>
      </w:r>
      <w:r w:rsidRPr="00A52AB8">
        <w:rPr>
          <w:color w:val="000000" w:themeColor="text1"/>
        </w:rPr>
        <w:tab/>
      </w:r>
      <w:r w:rsidRPr="00A52AB8">
        <w:rPr>
          <w:color w:val="000000" w:themeColor="text1"/>
        </w:rPr>
        <w:tab/>
      </w:r>
      <w:r w:rsidR="00C40162" w:rsidRPr="00A52AB8">
        <w:rPr>
          <w:color w:val="000000" w:themeColor="text1"/>
        </w:rPr>
        <w:tab/>
      </w:r>
      <w:r w:rsidRPr="00A52AB8">
        <w:rPr>
          <w:color w:val="000000" w:themeColor="text1"/>
        </w:rPr>
        <w:t>for(</w:t>
      </w:r>
      <w:r w:rsidR="00C40162" w:rsidRPr="00A52AB8">
        <w:rPr>
          <w:color w:val="000000" w:themeColor="text1"/>
        </w:rPr>
        <w:t> </w:t>
      </w:r>
      <w:r w:rsidRPr="00A52AB8">
        <w:rPr>
          <w:color w:val="000000" w:themeColor="text1"/>
        </w:rPr>
        <w:t>k</w:t>
      </w:r>
      <w:r w:rsidR="00D47707" w:rsidRPr="00A52AB8">
        <w:rPr>
          <w:color w:val="000000" w:themeColor="text1"/>
        </w:rPr>
        <w:t> = </w:t>
      </w:r>
      <w:r w:rsidRPr="00A52AB8">
        <w:rPr>
          <w:color w:val="000000" w:themeColor="text1"/>
        </w:rPr>
        <w:t>0;</w:t>
      </w:r>
      <w:r w:rsidR="00C40162" w:rsidRPr="00A52AB8">
        <w:rPr>
          <w:color w:val="000000" w:themeColor="text1"/>
        </w:rPr>
        <w:t> </w:t>
      </w:r>
      <w:r w:rsidRPr="00A52AB8">
        <w:rPr>
          <w:color w:val="000000" w:themeColor="text1"/>
        </w:rPr>
        <w:t>k &lt; 3;</w:t>
      </w:r>
      <w:r w:rsidR="00816364" w:rsidRPr="00A52AB8">
        <w:rPr>
          <w:color w:val="000000" w:themeColor="text1"/>
        </w:rPr>
        <w:t> </w:t>
      </w:r>
      <w:r w:rsidR="00F64EB2" w:rsidRPr="00A52AB8">
        <w:rPr>
          <w:color w:val="000000" w:themeColor="text1"/>
        </w:rPr>
        <w:t>k</w:t>
      </w:r>
      <w:r w:rsidR="00006CCF" w:rsidRPr="00A52AB8">
        <w:rPr>
          <w:color w:val="000000" w:themeColor="text1"/>
        </w:rPr>
        <w:t>++ )</w:t>
      </w:r>
      <w:r w:rsidRPr="00A52AB8">
        <w:rPr>
          <w:color w:val="000000" w:themeColor="text1"/>
        </w:rPr>
        <w:br/>
      </w:r>
      <w:r w:rsidRPr="00A52AB8">
        <w:rPr>
          <w:color w:val="000000" w:themeColor="text1"/>
        </w:rPr>
        <w:tab/>
      </w:r>
      <w:r w:rsidRPr="00A52AB8">
        <w:rPr>
          <w:color w:val="000000" w:themeColor="text1"/>
        </w:rPr>
        <w:tab/>
      </w:r>
      <w:r w:rsidRPr="00A52AB8">
        <w:rPr>
          <w:color w:val="000000" w:themeColor="text1"/>
        </w:rPr>
        <w:tab/>
      </w:r>
      <w:r w:rsidR="00C40162" w:rsidRPr="00A52AB8">
        <w:rPr>
          <w:color w:val="000000" w:themeColor="text1"/>
        </w:rPr>
        <w:tab/>
      </w:r>
      <w:r w:rsidRPr="00A52AB8">
        <w:rPr>
          <w:color w:val="000000" w:themeColor="text1"/>
        </w:rPr>
        <w:t>filtVal</w:t>
      </w:r>
      <w:r w:rsidR="004B7314" w:rsidRPr="00A52AB8">
        <w:rPr>
          <w:color w:val="000000" w:themeColor="text1"/>
        </w:rPr>
        <w:t>[ k ]</w:t>
      </w:r>
      <w:r w:rsidR="00816364" w:rsidRPr="00A52AB8">
        <w:rPr>
          <w:color w:val="000000" w:themeColor="text1"/>
        </w:rPr>
        <w:t> </w:t>
      </w:r>
      <w:r w:rsidR="00A234FD" w:rsidRPr="00A52AB8">
        <w:rPr>
          <w:color w:val="000000" w:themeColor="text1"/>
        </w:rPr>
        <w:t>+=</w:t>
      </w:r>
      <w:r w:rsidR="00D47707" w:rsidRPr="00A52AB8">
        <w:rPr>
          <w:color w:val="000000" w:themeColor="text1"/>
        </w:rPr>
        <w:t> </w:t>
      </w:r>
      <w:r w:rsidRPr="00A52AB8">
        <w:rPr>
          <w:color w:val="000000" w:themeColor="text1"/>
        </w:rPr>
        <w:t>wx * wy * wz *</w:t>
      </w:r>
      <w:r w:rsidR="00816364" w:rsidRPr="00A52AB8">
        <w:rPr>
          <w:color w:val="000000" w:themeColor="text1"/>
        </w:rPr>
        <w:t> </w:t>
      </w:r>
      <w:r w:rsidRPr="00A52AB8">
        <w:rPr>
          <w:color w:val="000000" w:themeColor="text1"/>
        </w:rPr>
        <w:t>centroid</w:t>
      </w:r>
      <w:r w:rsidR="0066614A" w:rsidRPr="00A52AB8">
        <w:rPr>
          <w:color w:val="000000" w:themeColor="text1"/>
        </w:rPr>
        <w:t>[</w:t>
      </w:r>
      <w:r w:rsidRPr="00A52AB8">
        <w:rPr>
          <w:color w:val="000000" w:themeColor="text1"/>
        </w:rPr>
        <w:t>dx ][ dy ][ dz ]</w:t>
      </w:r>
      <w:r w:rsidR="004B7314" w:rsidRPr="00A52AB8">
        <w:rPr>
          <w:color w:val="000000" w:themeColor="text1"/>
        </w:rPr>
        <w:t>[ k ]</w:t>
      </w:r>
      <w:r w:rsidRPr="00A52AB8">
        <w:rPr>
          <w:color w:val="000000" w:themeColor="text1"/>
        </w:rPr>
        <w:br/>
      </w:r>
      <w:r w:rsidRPr="00A52AB8">
        <w:rPr>
          <w:color w:val="000000" w:themeColor="text1"/>
        </w:rPr>
        <w:tab/>
      </w:r>
      <w:r w:rsidRPr="00A52AB8">
        <w:rPr>
          <w:color w:val="000000" w:themeColor="text1"/>
        </w:rPr>
        <w:tab/>
      </w:r>
      <w:r w:rsidR="002E76B3" w:rsidRPr="00A52AB8">
        <w:rPr>
          <w:color w:val="000000" w:themeColor="text1"/>
        </w:rPr>
        <w:tab/>
      </w:r>
      <w:r w:rsidRPr="00A52AB8">
        <w:rPr>
          <w:color w:val="000000" w:themeColor="text1"/>
        </w:rPr>
        <w:t>cnt </w:t>
      </w:r>
      <w:r w:rsidR="00A234FD" w:rsidRPr="00A52AB8">
        <w:rPr>
          <w:color w:val="000000" w:themeColor="text1"/>
        </w:rPr>
        <w:t>+=</w:t>
      </w:r>
      <w:r w:rsidR="00D47707" w:rsidRPr="00A52AB8">
        <w:rPr>
          <w:color w:val="000000" w:themeColor="text1"/>
        </w:rPr>
        <w:t> </w:t>
      </w:r>
      <w:r w:rsidRPr="00A52AB8">
        <w:rPr>
          <w:color w:val="000000" w:themeColor="text1"/>
        </w:rPr>
        <w:t>wx * wy *</w:t>
      </w:r>
      <w:r w:rsidR="00816364" w:rsidRPr="00A52AB8">
        <w:rPr>
          <w:color w:val="000000" w:themeColor="text1"/>
        </w:rPr>
        <w:t> </w:t>
      </w:r>
      <w:r w:rsidRPr="00A52AB8">
        <w:rPr>
          <w:color w:val="000000" w:themeColor="text1"/>
        </w:rPr>
        <w:t>wz * cellCnt[ tmpIdx ]</w:t>
      </w:r>
      <w:r w:rsidRPr="00A52AB8">
        <w:rPr>
          <w:color w:val="000000" w:themeColor="text1"/>
        </w:rPr>
        <w:br/>
      </w:r>
      <w:r w:rsidRPr="00A52AB8">
        <w:rPr>
          <w:color w:val="000000" w:themeColor="text1"/>
        </w:rPr>
        <w:tab/>
      </w:r>
      <w:r w:rsidR="002E76B3" w:rsidRPr="00A52AB8">
        <w:rPr>
          <w:color w:val="000000" w:themeColor="text1"/>
        </w:rPr>
        <w:tab/>
      </w:r>
      <w:r w:rsidRPr="00A52AB8">
        <w:rPr>
          <w:color w:val="000000" w:themeColor="text1"/>
        </w:rPr>
        <w:t>}</w:t>
      </w:r>
      <w:r w:rsidRPr="00A52AB8">
        <w:rPr>
          <w:color w:val="000000" w:themeColor="text1"/>
        </w:rPr>
        <w:br/>
      </w:r>
      <w:r w:rsidRPr="00A52AB8">
        <w:rPr>
          <w:color w:val="000000" w:themeColor="text1"/>
        </w:rPr>
        <w:tab/>
        <w:t>}</w:t>
      </w:r>
      <w:r w:rsidRPr="00A52AB8">
        <w:rPr>
          <w:color w:val="000000" w:themeColor="text1"/>
        </w:rPr>
        <w:br/>
        <w:t>}</w:t>
      </w:r>
      <w:r w:rsidRPr="00A52AB8">
        <w:rPr>
          <w:color w:val="000000" w:themeColor="text1"/>
        </w:rPr>
        <w:br/>
        <w:t>cnt</w:t>
      </w:r>
      <w:r w:rsidR="00D47707" w:rsidRPr="00A52AB8">
        <w:rPr>
          <w:color w:val="000000" w:themeColor="text1"/>
        </w:rPr>
        <w:t> = </w:t>
      </w:r>
      <w:r w:rsidRPr="00A52AB8">
        <w:rPr>
          <w:color w:val="000000" w:themeColor="text1"/>
        </w:rPr>
        <w:t>cnt </w:t>
      </w:r>
      <w:r w:rsidR="00230A8A" w:rsidRPr="00A52AB8">
        <w:rPr>
          <w:color w:val="000000" w:themeColor="text1"/>
        </w:rPr>
        <w:sym w:font="Symbol" w:char="F0B8"/>
      </w:r>
      <w:r w:rsidRPr="00A52AB8">
        <w:rPr>
          <w:color w:val="000000" w:themeColor="text1"/>
        </w:rPr>
        <w:t> ( 8 * gridSize * gridSize * gridSize )</w:t>
      </w:r>
      <w:r w:rsidRPr="00A52AB8">
        <w:rPr>
          <w:color w:val="000000" w:themeColor="text1"/>
        </w:rPr>
        <w:br/>
        <w:t>for</w:t>
      </w:r>
      <w:r w:rsidR="00230A8A" w:rsidRPr="00A52AB8">
        <w:rPr>
          <w:color w:val="000000" w:themeColor="text1"/>
        </w:rPr>
        <w:t>( </w:t>
      </w:r>
      <w:r w:rsidRPr="00A52AB8">
        <w:rPr>
          <w:color w:val="000000" w:themeColor="text1"/>
        </w:rPr>
        <w:t>k</w:t>
      </w:r>
      <w:r w:rsidR="00D47707" w:rsidRPr="00A52AB8">
        <w:rPr>
          <w:color w:val="000000" w:themeColor="text1"/>
        </w:rPr>
        <w:t> = </w:t>
      </w:r>
      <w:r w:rsidRPr="00A52AB8">
        <w:rPr>
          <w:color w:val="000000" w:themeColor="text1"/>
        </w:rPr>
        <w:t>0; k &lt; 3;</w:t>
      </w:r>
      <w:r w:rsidR="00816364" w:rsidRPr="00A52AB8">
        <w:rPr>
          <w:color w:val="000000" w:themeColor="text1"/>
        </w:rPr>
        <w:t> </w:t>
      </w:r>
      <w:r w:rsidR="00F64EB2" w:rsidRPr="00A52AB8">
        <w:rPr>
          <w:color w:val="000000" w:themeColor="text1"/>
        </w:rPr>
        <w:t>k</w:t>
      </w:r>
      <w:r w:rsidR="00006CCF" w:rsidRPr="00A52AB8">
        <w:rPr>
          <w:color w:val="000000" w:themeColor="text1"/>
        </w:rPr>
        <w:t>++ )</w:t>
      </w:r>
      <w:r w:rsidRPr="00A52AB8">
        <w:rPr>
          <w:color w:val="000000" w:themeColor="text1"/>
        </w:rPr>
        <w:br/>
      </w:r>
      <w:r w:rsidRPr="00A52AB8">
        <w:rPr>
          <w:color w:val="000000" w:themeColor="text1"/>
        </w:rPr>
        <w:tab/>
      </w:r>
      <w:r w:rsidR="00230A8A" w:rsidRPr="00A52AB8">
        <w:rPr>
          <w:color w:val="000000" w:themeColor="text1"/>
        </w:rPr>
        <w:t>recPos3DFilt</w:t>
      </w:r>
      <w:r w:rsidR="004B7314" w:rsidRPr="00A52AB8">
        <w:rPr>
          <w:color w:val="000000" w:themeColor="text1"/>
        </w:rPr>
        <w:t>[ k ]</w:t>
      </w:r>
      <w:r w:rsidR="00D47707" w:rsidRPr="00A52AB8">
        <w:rPr>
          <w:color w:val="000000" w:themeColor="text1"/>
        </w:rPr>
        <w:t> = </w:t>
      </w:r>
      <w:r w:rsidR="002F5BBC" w:rsidRPr="00A52AB8">
        <w:rPr>
          <w:color w:val="000000" w:themeColor="text1"/>
        </w:rPr>
        <w:t>filtVal</w:t>
      </w:r>
      <w:r w:rsidR="004B7314" w:rsidRPr="00A52AB8">
        <w:rPr>
          <w:color w:val="000000" w:themeColor="text1"/>
        </w:rPr>
        <w:t>[ k ]</w:t>
      </w:r>
      <w:r w:rsidRPr="00A52AB8">
        <w:rPr>
          <w:color w:val="000000" w:themeColor="text1"/>
        </w:rPr>
        <w:t> </w:t>
      </w:r>
      <w:r w:rsidRPr="00A52AB8">
        <w:rPr>
          <w:color w:val="000000" w:themeColor="text1"/>
        </w:rPr>
        <w:sym w:font="Symbol" w:char="F0B8"/>
      </w:r>
      <w:r w:rsidRPr="00A52AB8">
        <w:rPr>
          <w:color w:val="000000" w:themeColor="text1"/>
        </w:rPr>
        <w:t> ( 8 * gridSize * gridSize * gridSize )</w:t>
      </w:r>
      <w:r w:rsidRPr="00A52AB8">
        <w:rPr>
          <w:color w:val="000000" w:themeColor="text1"/>
        </w:rPr>
        <w:br/>
      </w:r>
    </w:p>
    <w:p w14:paraId="1D789C72" w14:textId="77777777" w:rsidR="00F64EB2" w:rsidRPr="00A52AB8" w:rsidRDefault="00F64EB2" w:rsidP="00895494">
      <w:pPr>
        <w:pStyle w:val="a4"/>
        <w:numPr>
          <w:ilvl w:val="3"/>
          <w:numId w:val="19"/>
        </w:numPr>
      </w:pPr>
      <w:bookmarkStart w:id="6984" w:name="_Ref49456080"/>
      <w:r w:rsidRPr="00A52AB8">
        <w:t xml:space="preserve">Trilinear filtering for </w:t>
      </w:r>
      <w:r w:rsidR="000F0B41" w:rsidRPr="00A52AB8">
        <w:t>attribute</w:t>
      </w:r>
      <w:r w:rsidRPr="00A52AB8">
        <w:t xml:space="preserve"> smoothing</w:t>
      </w:r>
      <w:bookmarkEnd w:id="6984"/>
    </w:p>
    <w:p w14:paraId="37167557" w14:textId="77777777" w:rsidR="000F0B41" w:rsidRPr="00A52AB8" w:rsidRDefault="000F0B41" w:rsidP="00007BE2">
      <w:pPr>
        <w:rPr>
          <w:color w:val="000000" w:themeColor="text1"/>
        </w:rPr>
      </w:pPr>
      <w:r w:rsidRPr="00A52AB8">
        <w:rPr>
          <w:color w:val="000000" w:themeColor="text1"/>
        </w:rPr>
        <w:t xml:space="preserve">This process carries out trilinear filtering for </w:t>
      </w:r>
      <w:r w:rsidR="00435492" w:rsidRPr="00A52AB8">
        <w:rPr>
          <w:color w:val="000000" w:themeColor="text1"/>
        </w:rPr>
        <w:t xml:space="preserve">attribute </w:t>
      </w:r>
      <w:r w:rsidRPr="00A52AB8">
        <w:rPr>
          <w:color w:val="000000" w:themeColor="text1"/>
        </w:rPr>
        <w:t>smoothing.</w:t>
      </w:r>
    </w:p>
    <w:p w14:paraId="73A05FB9" w14:textId="77777777" w:rsidR="001D04C2" w:rsidRPr="00A52AB8" w:rsidRDefault="001D04C2" w:rsidP="00007BE2">
      <w:pPr>
        <w:rPr>
          <w:color w:val="000000" w:themeColor="text1"/>
        </w:rPr>
      </w:pPr>
      <w:r w:rsidRPr="00A52AB8">
        <w:rPr>
          <w:color w:val="000000" w:themeColor="text1"/>
        </w:rPr>
        <w:t>Inputs to this process are:</w:t>
      </w:r>
    </w:p>
    <w:p w14:paraId="6A85233B" w14:textId="77777777" w:rsidR="001D04C2" w:rsidRPr="00A52AB8" w:rsidRDefault="0043549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attrGridSize</w:t>
      </w:r>
      <w:r w:rsidR="001D04C2" w:rsidRPr="00A52AB8">
        <w:rPr>
          <w:color w:val="000000" w:themeColor="text1"/>
        </w:rPr>
        <w:t>, the size of the cell in x, y or z direction,</w:t>
      </w:r>
    </w:p>
    <w:p w14:paraId="10A58559" w14:textId="77777777" w:rsidR="000F0B41" w:rsidRPr="00A52AB8" w:rsidRDefault="000F0B41"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numComps, number of components for the attribute</w:t>
      </w:r>
    </w:p>
    <w:p w14:paraId="38F964ED" w14:textId="77777777" w:rsidR="001D04C2" w:rsidRPr="00A52AB8" w:rsidRDefault="001D04C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numBoundaryCells, the number of cells containing a boundary point or neighbo</w:t>
      </w:r>
      <w:r w:rsidR="006B0BA3" w:rsidRPr="00A52AB8">
        <w:rPr>
          <w:color w:val="000000" w:themeColor="text1"/>
        </w:rPr>
        <w:t>u</w:t>
      </w:r>
      <w:r w:rsidRPr="00A52AB8">
        <w:rPr>
          <w:color w:val="000000" w:themeColor="text1"/>
        </w:rPr>
        <w:t>ring such a cell,</w:t>
      </w:r>
    </w:p>
    <w:p w14:paraId="52A19769" w14:textId="77777777" w:rsidR="001D04C2" w:rsidRPr="00A52AB8" w:rsidRDefault="001D04C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recPos3D</w:t>
      </w:r>
      <w:r w:rsidR="004B7314" w:rsidRPr="00A52AB8">
        <w:rPr>
          <w:color w:val="000000" w:themeColor="text1"/>
        </w:rPr>
        <w:t>[ k ]</w:t>
      </w:r>
      <w:r w:rsidRPr="00A52AB8">
        <w:rPr>
          <w:color w:val="000000" w:themeColor="text1"/>
        </w:rPr>
        <w:t xml:space="preserve">, </w:t>
      </w:r>
      <w:r w:rsidR="000F0B41" w:rsidRPr="00A52AB8">
        <w:rPr>
          <w:color w:val="000000" w:themeColor="text1"/>
        </w:rPr>
        <w:t>k</w:t>
      </w:r>
      <w:r w:rsidRPr="00A52AB8">
        <w:rPr>
          <w:color w:val="000000" w:themeColor="text1"/>
        </w:rPr>
        <w:t> =0..2, position of a reconstructed point,</w:t>
      </w:r>
    </w:p>
    <w:p w14:paraId="1C3A83A5" w14:textId="2144E762" w:rsidR="001D04C2" w:rsidRPr="00A52AB8" w:rsidRDefault="001D04C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centroid</w:t>
      </w:r>
      <w:r w:rsidR="004B7314" w:rsidRPr="00A52AB8">
        <w:rPr>
          <w:color w:val="000000" w:themeColor="text1"/>
        </w:rPr>
        <w:t>[ x ][ y ]</w:t>
      </w:r>
      <w:r w:rsidRPr="00A52AB8">
        <w:rPr>
          <w:color w:val="000000" w:themeColor="text1"/>
        </w:rPr>
        <w:t>[ z ][ </w:t>
      </w:r>
      <w:r w:rsidR="000F0B41" w:rsidRPr="00A52AB8">
        <w:rPr>
          <w:color w:val="000000" w:themeColor="text1"/>
        </w:rPr>
        <w:t>j</w:t>
      </w:r>
      <w:r w:rsidRPr="00A52AB8">
        <w:rPr>
          <w:color w:val="000000" w:themeColor="text1"/>
        </w:rPr>
        <w:t xml:space="preserve"> ], for x, y, and z in the range of 0..1, and </w:t>
      </w:r>
      <w:r w:rsidR="000F0B41" w:rsidRPr="00A52AB8">
        <w:rPr>
          <w:color w:val="000000" w:themeColor="text1"/>
        </w:rPr>
        <w:t>j</w:t>
      </w:r>
      <w:r w:rsidR="00D47707" w:rsidRPr="00A52AB8">
        <w:rPr>
          <w:color w:val="000000" w:themeColor="text1"/>
        </w:rPr>
        <w:t> = </w:t>
      </w:r>
      <w:r w:rsidRPr="00A52AB8">
        <w:rPr>
          <w:color w:val="000000" w:themeColor="text1"/>
        </w:rPr>
        <w:t>0..</w:t>
      </w:r>
      <w:r w:rsidR="000F0B41" w:rsidRPr="00A52AB8">
        <w:rPr>
          <w:color w:val="000000" w:themeColor="text1"/>
        </w:rPr>
        <w:t>numComps − 1</w:t>
      </w:r>
      <w:r w:rsidRPr="00A52AB8">
        <w:rPr>
          <w:color w:val="000000" w:themeColor="text1"/>
        </w:rPr>
        <w:t xml:space="preserve">, an array </w:t>
      </w:r>
      <w:r w:rsidR="00CD2815" w:rsidRPr="00A52AB8">
        <w:rPr>
          <w:color w:val="000000" w:themeColor="text1"/>
        </w:rPr>
        <w:t>specifying</w:t>
      </w:r>
      <w:r w:rsidR="00CD2815" w:rsidRPr="00A52AB8" w:rsidDel="00CD2815">
        <w:rPr>
          <w:color w:val="000000" w:themeColor="text1"/>
        </w:rPr>
        <w:t xml:space="preserve"> </w:t>
      </w:r>
      <w:r w:rsidRPr="00A52AB8">
        <w:rPr>
          <w:color w:val="000000" w:themeColor="text1"/>
        </w:rPr>
        <w:t xml:space="preserve">the </w:t>
      </w:r>
      <w:r w:rsidR="000F0B41" w:rsidRPr="00A52AB8">
        <w:rPr>
          <w:color w:val="000000" w:themeColor="text1"/>
        </w:rPr>
        <w:t xml:space="preserve">attribute </w:t>
      </w:r>
      <w:r w:rsidRPr="00A52AB8">
        <w:rPr>
          <w:color w:val="000000" w:themeColor="text1"/>
        </w:rPr>
        <w:t>centroids on the 2 × 2 ×</w:t>
      </w:r>
      <w:r w:rsidR="000F0B41" w:rsidRPr="00A52AB8">
        <w:rPr>
          <w:color w:val="000000" w:themeColor="text1"/>
        </w:rPr>
        <w:t> </w:t>
      </w:r>
      <w:r w:rsidRPr="00A52AB8">
        <w:rPr>
          <w:color w:val="000000" w:themeColor="text1"/>
        </w:rPr>
        <w:t>2 grid of cells,</w:t>
      </w:r>
    </w:p>
    <w:p w14:paraId="0BD90505" w14:textId="2F1F56CB" w:rsidR="001D04C2" w:rsidRPr="00A52AB8" w:rsidRDefault="001D04C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cellAnchor</w:t>
      </w:r>
      <w:r w:rsidR="004B7314" w:rsidRPr="00A52AB8">
        <w:rPr>
          <w:color w:val="000000" w:themeColor="text1"/>
        </w:rPr>
        <w:t>[ k ]</w:t>
      </w:r>
      <w:r w:rsidRPr="00A52AB8">
        <w:rPr>
          <w:color w:val="000000" w:themeColor="text1"/>
        </w:rPr>
        <w:t>, k</w:t>
      </w:r>
      <w:r w:rsidR="00D47707" w:rsidRPr="00A52AB8">
        <w:rPr>
          <w:color w:val="000000" w:themeColor="text1"/>
        </w:rPr>
        <w:t> = </w:t>
      </w:r>
      <w:r w:rsidRPr="00A52AB8">
        <w:rPr>
          <w:color w:val="000000" w:themeColor="text1"/>
        </w:rPr>
        <w:t xml:space="preserve">0..1, an array </w:t>
      </w:r>
      <w:r w:rsidR="00CD2815" w:rsidRPr="00A52AB8">
        <w:rPr>
          <w:color w:val="000000" w:themeColor="text1"/>
        </w:rPr>
        <w:t>specifying</w:t>
      </w:r>
      <w:r w:rsidR="00C61E38" w:rsidRPr="00A52AB8">
        <w:rPr>
          <w:color w:val="000000" w:themeColor="text1"/>
        </w:rPr>
        <w:t xml:space="preserve"> </w:t>
      </w:r>
      <w:r w:rsidRPr="00A52AB8">
        <w:rPr>
          <w:color w:val="000000" w:themeColor="text1"/>
        </w:rPr>
        <w:t>the index of anchor of the 2 × 2 ×</w:t>
      </w:r>
      <w:r w:rsidR="004E4CE8" w:rsidRPr="00A52AB8">
        <w:rPr>
          <w:color w:val="000000" w:themeColor="text1"/>
        </w:rPr>
        <w:t> </w:t>
      </w:r>
      <w:r w:rsidRPr="00A52AB8">
        <w:rPr>
          <w:color w:val="000000" w:themeColor="text1"/>
        </w:rPr>
        <w:t>2 grid of cells in x, y, and z directions, respectively,</w:t>
      </w:r>
    </w:p>
    <w:p w14:paraId="1FA24D83" w14:textId="77777777" w:rsidR="000F0B41" w:rsidRPr="00A52AB8" w:rsidRDefault="000F0B41"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currentCell1DIdx, 1D index of the cell to which the reconstructed point recPos3D belongs to,</w:t>
      </w:r>
    </w:p>
    <w:p w14:paraId="30845303" w14:textId="7F2A447B" w:rsidR="001D04C2" w:rsidRPr="00A52AB8" w:rsidRDefault="001D04C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idxArr[ dx ][ dy ][ dz ], dx, dy, and dz in the range of 0 to 1, inclusive, an array </w:t>
      </w:r>
      <w:r w:rsidR="00CD2815" w:rsidRPr="00A52AB8">
        <w:rPr>
          <w:color w:val="000000" w:themeColor="text1"/>
        </w:rPr>
        <w:t>specifying</w:t>
      </w:r>
      <w:r w:rsidRPr="00A52AB8">
        <w:rPr>
          <w:color w:val="000000" w:themeColor="text1"/>
        </w:rPr>
        <w:t xml:space="preserve"> the 1D indices for the 2 × 2 ×</w:t>
      </w:r>
      <w:r w:rsidR="000F0B41" w:rsidRPr="00A52AB8">
        <w:rPr>
          <w:color w:val="000000" w:themeColor="text1"/>
        </w:rPr>
        <w:t> </w:t>
      </w:r>
      <w:r w:rsidRPr="00A52AB8">
        <w:rPr>
          <w:color w:val="000000" w:themeColor="text1"/>
        </w:rPr>
        <w:t>2 grid of cells, and</w:t>
      </w:r>
    </w:p>
    <w:p w14:paraId="5F716B4F" w14:textId="5D27F21D" w:rsidR="001D04C2" w:rsidRPr="00A52AB8" w:rsidRDefault="001D04C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cellCnt[ </w:t>
      </w:r>
      <w:r w:rsidR="000F0B41" w:rsidRPr="00A52AB8">
        <w:rPr>
          <w:color w:val="000000" w:themeColor="text1"/>
        </w:rPr>
        <w:t>i</w:t>
      </w:r>
      <w:r w:rsidRPr="00A52AB8">
        <w:rPr>
          <w:color w:val="000000" w:themeColor="text1"/>
        </w:rPr>
        <w:t xml:space="preserve"> ], </w:t>
      </w:r>
      <w:r w:rsidR="000F0B41" w:rsidRPr="00A52AB8">
        <w:rPr>
          <w:color w:val="000000" w:themeColor="text1"/>
        </w:rPr>
        <w:t>i</w:t>
      </w:r>
      <w:r w:rsidR="00D47707" w:rsidRPr="00A52AB8">
        <w:rPr>
          <w:color w:val="000000" w:themeColor="text1"/>
        </w:rPr>
        <w:t> = </w:t>
      </w:r>
      <w:r w:rsidRPr="00A52AB8">
        <w:rPr>
          <w:color w:val="000000" w:themeColor="text1"/>
        </w:rPr>
        <w:t>0..numBoundaryCells – 1, an array containing number of reconstructed points in a cell.</w:t>
      </w:r>
    </w:p>
    <w:p w14:paraId="1D2EB202" w14:textId="77777777" w:rsidR="001D04C2" w:rsidRPr="00A52AB8" w:rsidRDefault="001D04C2" w:rsidP="00007BE2">
      <w:pPr>
        <w:rPr>
          <w:color w:val="000000" w:themeColor="text1"/>
        </w:rPr>
      </w:pPr>
      <w:r w:rsidRPr="00A52AB8">
        <w:rPr>
          <w:color w:val="000000" w:themeColor="text1"/>
        </w:rPr>
        <w:t>Output of this process is:</w:t>
      </w:r>
    </w:p>
    <w:p w14:paraId="236FB751" w14:textId="6080370C" w:rsidR="001D04C2" w:rsidRPr="00A52AB8" w:rsidRDefault="00644A91"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attr</w:t>
      </w:r>
      <w:r w:rsidR="001D04C2" w:rsidRPr="00A52AB8">
        <w:rPr>
          <w:color w:val="000000" w:themeColor="text1"/>
        </w:rPr>
        <w:t>3dFilt[ </w:t>
      </w:r>
      <w:r w:rsidRPr="00A52AB8">
        <w:rPr>
          <w:color w:val="000000" w:themeColor="text1"/>
        </w:rPr>
        <w:t>j</w:t>
      </w:r>
      <w:r w:rsidR="001D04C2" w:rsidRPr="00A52AB8">
        <w:rPr>
          <w:color w:val="000000" w:themeColor="text1"/>
        </w:rPr>
        <w:t xml:space="preserve"> ], </w:t>
      </w:r>
      <w:r w:rsidRPr="00A52AB8">
        <w:rPr>
          <w:color w:val="000000" w:themeColor="text1"/>
        </w:rPr>
        <w:t>j</w:t>
      </w:r>
      <w:r w:rsidR="00D47707" w:rsidRPr="00A52AB8">
        <w:rPr>
          <w:color w:val="000000" w:themeColor="text1"/>
        </w:rPr>
        <w:t> = </w:t>
      </w:r>
      <w:r w:rsidRPr="00A52AB8">
        <w:rPr>
          <w:color w:val="000000" w:themeColor="text1"/>
        </w:rPr>
        <w:t>0..numComps − 1</w:t>
      </w:r>
      <w:r w:rsidR="001D04C2" w:rsidRPr="00A52AB8">
        <w:rPr>
          <w:color w:val="000000" w:themeColor="text1"/>
        </w:rPr>
        <w:t xml:space="preserve">, a filtered version of the reconstructed </w:t>
      </w:r>
      <w:r w:rsidR="000F0B41" w:rsidRPr="00A52AB8">
        <w:rPr>
          <w:color w:val="000000" w:themeColor="text1"/>
        </w:rPr>
        <w:t>attribute</w:t>
      </w:r>
      <w:r w:rsidRPr="00A52AB8">
        <w:rPr>
          <w:color w:val="000000" w:themeColor="text1"/>
        </w:rPr>
        <w:t>.</w:t>
      </w:r>
    </w:p>
    <w:p w14:paraId="0FD867EF" w14:textId="77777777" w:rsidR="001D04C2" w:rsidRPr="00A52AB8" w:rsidRDefault="001D04C2" w:rsidP="00007BE2">
      <w:pPr>
        <w:rPr>
          <w:color w:val="000000" w:themeColor="text1"/>
        </w:rPr>
      </w:pPr>
      <w:r w:rsidRPr="00A52AB8">
        <w:rPr>
          <w:color w:val="000000" w:themeColor="text1"/>
        </w:rPr>
        <w:t>The following steps apply:</w:t>
      </w:r>
    </w:p>
    <w:p w14:paraId="7C17F691" w14:textId="77777777" w:rsidR="001D04C2" w:rsidRPr="00A52AB8" w:rsidRDefault="001D04C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The weights for trilinear filtering are calculated as follows:</w:t>
      </w:r>
    </w:p>
    <w:p w14:paraId="3E5B021A" w14:textId="04B99C64" w:rsidR="001D04C2" w:rsidRPr="00A52AB8" w:rsidRDefault="001D04C2" w:rsidP="00007BE2">
      <w:pPr>
        <w:spacing w:before="136"/>
        <w:jc w:val="left"/>
      </w:pPr>
      <w:r w:rsidRPr="00A52AB8">
        <w:rPr>
          <w:color w:val="000000" w:themeColor="text1"/>
        </w:rPr>
        <w:tab/>
      </w:r>
      <w:r w:rsidRPr="00A52AB8">
        <w:rPr>
          <w:color w:val="000000" w:themeColor="text1"/>
        </w:rPr>
        <w:tab/>
      </w:r>
      <w:r w:rsidRPr="00A52AB8">
        <w:rPr>
          <w:color w:val="000000" w:themeColor="text1"/>
          <w:lang w:eastAsia="ja-JP"/>
        </w:rPr>
        <w:t>for( k</w:t>
      </w:r>
      <w:r w:rsidR="00D47707" w:rsidRPr="00A52AB8">
        <w:rPr>
          <w:color w:val="000000" w:themeColor="text1"/>
          <w:lang w:eastAsia="ja-JP"/>
        </w:rPr>
        <w:t> = </w:t>
      </w:r>
      <w:r w:rsidRPr="00A52AB8">
        <w:rPr>
          <w:color w:val="000000" w:themeColor="text1"/>
          <w:lang w:eastAsia="ja-JP"/>
        </w:rPr>
        <w:t>0; k &lt; </w:t>
      </w:r>
      <w:r w:rsidRPr="00A52AB8">
        <w:rPr>
          <w:lang w:eastAsia="ja-JP"/>
        </w:rPr>
        <w:t>3 ; k</w:t>
      </w:r>
      <w:r w:rsidR="00006CCF" w:rsidRPr="00A52AB8">
        <w:rPr>
          <w:lang w:eastAsia="ja-JP"/>
        </w:rPr>
        <w:t>++ </w:t>
      </w:r>
      <w:r w:rsidR="008F1F82" w:rsidRPr="00A52AB8">
        <w:rPr>
          <w:lang w:eastAsia="ja-JP"/>
        </w:rPr>
        <w:t>) {</w:t>
      </w:r>
      <w:r w:rsidRPr="00A52AB8">
        <w:rPr>
          <w:lang w:eastAsia="ja-JP"/>
        </w:rPr>
        <w:br/>
      </w:r>
      <w:r w:rsidRPr="00A52AB8">
        <w:rPr>
          <w:lang w:eastAsia="ja-JP"/>
        </w:rPr>
        <w:tab/>
      </w:r>
      <w:r w:rsidRPr="00A52AB8">
        <w:rPr>
          <w:lang w:eastAsia="ja-JP"/>
        </w:rPr>
        <w:tab/>
      </w:r>
      <w:r w:rsidRPr="00A52AB8">
        <w:rPr>
          <w:lang w:eastAsia="ja-JP"/>
        </w:rPr>
        <w:tab/>
      </w:r>
      <w:r w:rsidRPr="00A52AB8">
        <w:t>w</w:t>
      </w:r>
      <w:r w:rsidR="004B7314" w:rsidRPr="00A52AB8">
        <w:t>[ k ]</w:t>
      </w:r>
      <w:r w:rsidRPr="00A52AB8">
        <w:t>[ 1 ]</w:t>
      </w:r>
      <w:r w:rsidR="00D47707" w:rsidRPr="00A52AB8">
        <w:rPr>
          <w:lang w:eastAsia="ja-JP"/>
        </w:rPr>
        <w:t> </w:t>
      </w:r>
      <w:r w:rsidR="00D47707" w:rsidRPr="00A52AB8">
        <w:t>= </w:t>
      </w:r>
      <w:r w:rsidRPr="00A52AB8">
        <w:rPr>
          <w:lang w:eastAsia="ja-JP"/>
        </w:rPr>
        <w:t>( </w:t>
      </w:r>
      <w:r w:rsidRPr="00A52AB8">
        <w:t>recPos3D</w:t>
      </w:r>
      <w:r w:rsidR="004B7314" w:rsidRPr="00A52AB8">
        <w:t>[ k ]</w:t>
      </w:r>
      <w:r w:rsidRPr="00A52AB8">
        <w:rPr>
          <w:lang w:eastAsia="ja-JP"/>
        </w:rPr>
        <w:t> –</w:t>
      </w:r>
      <w:r w:rsidRPr="00A52AB8">
        <w:t> ( cellAnchor</w:t>
      </w:r>
      <w:r w:rsidR="004B7314" w:rsidRPr="00A52AB8">
        <w:t>[ k ]</w:t>
      </w:r>
      <w:r w:rsidRPr="00A52AB8">
        <w:t> * </w:t>
      </w:r>
      <w:r w:rsidR="00435492" w:rsidRPr="00A52AB8">
        <w:t>attrGridSize</w:t>
      </w:r>
      <w:r w:rsidRPr="00A52AB8">
        <w:t>)</w:t>
      </w:r>
      <w:r w:rsidRPr="00A52AB8">
        <w:rPr>
          <w:lang w:eastAsia="ja-JP"/>
        </w:rPr>
        <w:t> </w:t>
      </w:r>
      <w:r w:rsidRPr="00A52AB8">
        <w:t>– ( </w:t>
      </w:r>
      <w:r w:rsidR="00435492" w:rsidRPr="00A52AB8">
        <w:t>attrGridSize </w:t>
      </w:r>
      <w:r w:rsidRPr="00A52AB8">
        <w:t>/ 2</w:t>
      </w:r>
      <w:r w:rsidR="004E4CE8" w:rsidRPr="00A52AB8">
        <w:t> </w:t>
      </w:r>
      <w:r w:rsidRPr="00A52AB8">
        <w:t>) ) * 2 + 1</w:t>
      </w:r>
      <w:r w:rsidRPr="00A52AB8">
        <w:br/>
      </w:r>
      <w:r w:rsidRPr="00A52AB8">
        <w:tab/>
      </w:r>
      <w:r w:rsidRPr="00A52AB8">
        <w:tab/>
      </w:r>
      <w:r w:rsidRPr="00A52AB8">
        <w:tab/>
        <w:t>w</w:t>
      </w:r>
      <w:r w:rsidR="004B7314" w:rsidRPr="00A52AB8">
        <w:t>[ k ]</w:t>
      </w:r>
      <w:r w:rsidRPr="00A52AB8">
        <w:t>[ 0 ]</w:t>
      </w:r>
      <w:r w:rsidR="00D47707" w:rsidRPr="00A52AB8">
        <w:rPr>
          <w:lang w:eastAsia="ja-JP"/>
        </w:rPr>
        <w:t> </w:t>
      </w:r>
      <w:r w:rsidR="00D47707" w:rsidRPr="00A52AB8">
        <w:t>= </w:t>
      </w:r>
      <w:r w:rsidRPr="00A52AB8">
        <w:t>(</w:t>
      </w:r>
      <w:r w:rsidR="004E4CE8" w:rsidRPr="00A52AB8">
        <w:t> </w:t>
      </w:r>
      <w:r w:rsidR="00435492" w:rsidRPr="00A52AB8">
        <w:t>attrGridSize </w:t>
      </w:r>
      <w:r w:rsidRPr="00A52AB8">
        <w:t>* 2</w:t>
      </w:r>
      <w:r w:rsidR="004E4CE8" w:rsidRPr="00A52AB8">
        <w:t> </w:t>
      </w:r>
      <w:r w:rsidRPr="00A52AB8">
        <w:t>) – w</w:t>
      </w:r>
      <w:r w:rsidR="004B7314" w:rsidRPr="00A52AB8">
        <w:t>[ k ]</w:t>
      </w:r>
      <w:r w:rsidRPr="00A52AB8">
        <w:t>[ 1 ]</w:t>
      </w:r>
      <w:r w:rsidRPr="00A52AB8">
        <w:br/>
      </w:r>
      <w:r w:rsidRPr="00A52AB8">
        <w:tab/>
      </w:r>
      <w:r w:rsidRPr="00A52AB8">
        <w:tab/>
        <w:t>}</w:t>
      </w:r>
    </w:p>
    <w:p w14:paraId="446C68CD" w14:textId="77777777" w:rsidR="001D04C2" w:rsidRPr="00A52AB8" w:rsidRDefault="001D04C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The trilinear filtering is performed as follows:</w:t>
      </w:r>
    </w:p>
    <w:p w14:paraId="5BD0A73C" w14:textId="73CADE02" w:rsidR="001E084E" w:rsidRPr="00A52AB8" w:rsidRDefault="000E12CB" w:rsidP="00007BE2">
      <w:pPr>
        <w:ind w:left="805"/>
      </w:pPr>
      <w:r w:rsidRPr="00A52AB8">
        <w:tab/>
      </w:r>
      <w:r w:rsidR="001D04C2" w:rsidRPr="00A52AB8">
        <w:t>for( j</w:t>
      </w:r>
      <w:r w:rsidR="00D47707" w:rsidRPr="00A52AB8">
        <w:t> = </w:t>
      </w:r>
      <w:r w:rsidR="001D04C2" w:rsidRPr="00A52AB8">
        <w:t>0;</w:t>
      </w:r>
      <w:r w:rsidRPr="00A52AB8">
        <w:t> </w:t>
      </w:r>
      <w:r w:rsidR="001D04C2" w:rsidRPr="00A52AB8">
        <w:t>j &lt; numComps;</w:t>
      </w:r>
      <w:r w:rsidRPr="00A52AB8">
        <w:t> </w:t>
      </w:r>
      <w:r w:rsidR="001D04C2" w:rsidRPr="00A52AB8">
        <w:t>j</w:t>
      </w:r>
      <w:r w:rsidR="00006CCF" w:rsidRPr="00A52AB8">
        <w:t>++ )</w:t>
      </w:r>
      <w:r w:rsidR="001D04C2" w:rsidRPr="00A52AB8">
        <w:br/>
      </w:r>
      <w:r w:rsidR="001D04C2" w:rsidRPr="00A52AB8">
        <w:tab/>
      </w:r>
      <w:r w:rsidRPr="00A52AB8">
        <w:tab/>
      </w:r>
      <w:r w:rsidR="001D04C2" w:rsidRPr="00A52AB8">
        <w:t>filtVal[ </w:t>
      </w:r>
      <w:r w:rsidR="00644A91" w:rsidRPr="00A52AB8">
        <w:t>j</w:t>
      </w:r>
      <w:r w:rsidR="001D04C2" w:rsidRPr="00A52AB8">
        <w:t> ]</w:t>
      </w:r>
      <w:r w:rsidR="00D47707" w:rsidRPr="00A52AB8">
        <w:t> = </w:t>
      </w:r>
      <w:r w:rsidR="001D04C2" w:rsidRPr="00A52AB8">
        <w:t>0</w:t>
      </w:r>
      <w:r w:rsidR="001D04C2" w:rsidRPr="00A52AB8">
        <w:br/>
      </w:r>
      <w:r w:rsidRPr="00A52AB8">
        <w:tab/>
      </w:r>
      <w:r w:rsidR="001D04C2" w:rsidRPr="00A52AB8">
        <w:t>for( dx</w:t>
      </w:r>
      <w:r w:rsidR="00D47707" w:rsidRPr="00A52AB8">
        <w:t> = </w:t>
      </w:r>
      <w:r w:rsidR="001D04C2" w:rsidRPr="00A52AB8">
        <w:t>0; dx &lt; 2; dx</w:t>
      </w:r>
      <w:r w:rsidR="00006CCF" w:rsidRPr="00A52AB8">
        <w:t>++ </w:t>
      </w:r>
      <w:r w:rsidR="008F1F82" w:rsidRPr="00A52AB8">
        <w:t>) {</w:t>
      </w:r>
      <w:r w:rsidR="001D04C2" w:rsidRPr="00A52AB8">
        <w:br/>
      </w:r>
      <w:r w:rsidR="001D04C2" w:rsidRPr="00A52AB8">
        <w:tab/>
      </w:r>
      <w:r w:rsidRPr="00A52AB8">
        <w:tab/>
      </w:r>
      <w:r w:rsidR="001D04C2" w:rsidRPr="00A52AB8">
        <w:t>wx</w:t>
      </w:r>
      <w:r w:rsidR="00D47707" w:rsidRPr="00A52AB8">
        <w:t> = </w:t>
      </w:r>
      <w:r w:rsidR="001D04C2" w:rsidRPr="00A52AB8">
        <w:t>w[ 0 ][ dx ]</w:t>
      </w:r>
      <w:r w:rsidR="001D04C2" w:rsidRPr="00A52AB8">
        <w:br/>
      </w:r>
      <w:r w:rsidR="001D04C2" w:rsidRPr="00A52AB8">
        <w:tab/>
      </w:r>
      <w:r w:rsidRPr="00A52AB8">
        <w:tab/>
      </w:r>
      <w:r w:rsidR="001D04C2" w:rsidRPr="00A52AB8">
        <w:t>for( dy</w:t>
      </w:r>
      <w:r w:rsidR="00D47707" w:rsidRPr="00A52AB8">
        <w:t> = </w:t>
      </w:r>
      <w:r w:rsidR="001D04C2" w:rsidRPr="00A52AB8">
        <w:t>0; dy &lt; 2; dy</w:t>
      </w:r>
      <w:r w:rsidR="00006CCF" w:rsidRPr="00A52AB8">
        <w:t>++ </w:t>
      </w:r>
      <w:r w:rsidR="008F1F82" w:rsidRPr="00A52AB8">
        <w:t>) {</w:t>
      </w:r>
      <w:r w:rsidR="001D04C2" w:rsidRPr="00A52AB8">
        <w:br/>
      </w:r>
      <w:r w:rsidR="001D04C2" w:rsidRPr="00A52AB8">
        <w:tab/>
      </w:r>
      <w:r w:rsidR="001D04C2" w:rsidRPr="00A52AB8">
        <w:tab/>
      </w:r>
      <w:r w:rsidRPr="00A52AB8">
        <w:tab/>
      </w:r>
      <w:r w:rsidR="001D04C2" w:rsidRPr="00A52AB8">
        <w:t>wy</w:t>
      </w:r>
      <w:r w:rsidR="00D47707" w:rsidRPr="00A52AB8">
        <w:t> = </w:t>
      </w:r>
      <w:r w:rsidR="001D04C2" w:rsidRPr="00A52AB8">
        <w:t>w[ 1 ][ dy ]</w:t>
      </w:r>
      <w:r w:rsidR="001D04C2" w:rsidRPr="00A52AB8">
        <w:br/>
      </w:r>
      <w:r w:rsidR="001D04C2" w:rsidRPr="00A52AB8">
        <w:tab/>
      </w:r>
      <w:r w:rsidR="001D04C2" w:rsidRPr="00A52AB8">
        <w:tab/>
      </w:r>
      <w:r w:rsidRPr="00A52AB8">
        <w:tab/>
      </w:r>
      <w:r w:rsidR="001D04C2" w:rsidRPr="00A52AB8">
        <w:t>for( dz</w:t>
      </w:r>
      <w:r w:rsidR="00D47707" w:rsidRPr="00A52AB8">
        <w:t> = </w:t>
      </w:r>
      <w:r w:rsidR="001D04C2" w:rsidRPr="00A52AB8">
        <w:t>0; dz &lt; 2; dz</w:t>
      </w:r>
      <w:r w:rsidR="00006CCF" w:rsidRPr="00A52AB8">
        <w:t>++ </w:t>
      </w:r>
      <w:r w:rsidR="008F1F82" w:rsidRPr="00A52AB8">
        <w:t>) {</w:t>
      </w:r>
      <w:r w:rsidR="001D04C2" w:rsidRPr="00A52AB8">
        <w:br/>
      </w:r>
      <w:r w:rsidR="001D04C2" w:rsidRPr="00A52AB8">
        <w:tab/>
      </w:r>
      <w:r w:rsidR="001D04C2" w:rsidRPr="00A52AB8">
        <w:tab/>
      </w:r>
      <w:r w:rsidR="001D04C2" w:rsidRPr="00A52AB8">
        <w:tab/>
      </w:r>
      <w:r w:rsidRPr="00A52AB8">
        <w:tab/>
      </w:r>
      <w:r w:rsidR="001D04C2" w:rsidRPr="00A52AB8">
        <w:t>wz</w:t>
      </w:r>
      <w:r w:rsidR="00D47707" w:rsidRPr="00A52AB8">
        <w:t> = </w:t>
      </w:r>
      <w:r w:rsidR="001D04C2" w:rsidRPr="00A52AB8">
        <w:t>w[ 2 ][</w:t>
      </w:r>
      <w:r w:rsidRPr="00A52AB8">
        <w:t> </w:t>
      </w:r>
      <w:r w:rsidR="001D04C2" w:rsidRPr="00A52AB8">
        <w:t>dz</w:t>
      </w:r>
      <w:r w:rsidRPr="00A52AB8">
        <w:t> </w:t>
      </w:r>
      <w:r w:rsidR="001D04C2" w:rsidRPr="00A52AB8">
        <w:t>]</w:t>
      </w:r>
      <w:r w:rsidR="001D04C2" w:rsidRPr="00A52AB8">
        <w:br/>
      </w:r>
      <w:r w:rsidR="001D04C2" w:rsidRPr="00A52AB8">
        <w:tab/>
      </w:r>
      <w:r w:rsidR="001D04C2" w:rsidRPr="00A52AB8">
        <w:tab/>
      </w:r>
      <w:r w:rsidRPr="00A52AB8">
        <w:tab/>
      </w:r>
      <w:r w:rsidR="001D04C2" w:rsidRPr="00A52AB8">
        <w:tab/>
        <w:t>tmpIdx</w:t>
      </w:r>
      <w:r w:rsidR="00D47707" w:rsidRPr="00A52AB8">
        <w:t> = </w:t>
      </w:r>
      <w:r w:rsidR="001D04C2" w:rsidRPr="00A52AB8">
        <w:t>idxArr[ dx ][ dy ][ dz ]</w:t>
      </w:r>
      <w:r w:rsidR="001D04C2" w:rsidRPr="00A52AB8">
        <w:br/>
      </w:r>
      <w:r w:rsidR="001D04C2" w:rsidRPr="00A52AB8">
        <w:tab/>
      </w:r>
      <w:r w:rsidR="001D04C2" w:rsidRPr="00A52AB8">
        <w:tab/>
      </w:r>
      <w:r w:rsidR="001D04C2" w:rsidRPr="00A52AB8">
        <w:tab/>
      </w:r>
      <w:r w:rsidRPr="00A52AB8">
        <w:tab/>
      </w:r>
      <w:r w:rsidR="001D04C2" w:rsidRPr="00A52AB8">
        <w:t>for( j</w:t>
      </w:r>
      <w:r w:rsidR="00D47707" w:rsidRPr="00A52AB8">
        <w:t> = </w:t>
      </w:r>
      <w:r w:rsidR="001D04C2" w:rsidRPr="00A52AB8">
        <w:t>0;</w:t>
      </w:r>
      <w:r w:rsidRPr="00A52AB8">
        <w:t> </w:t>
      </w:r>
      <w:r w:rsidR="001D04C2" w:rsidRPr="00A52AB8">
        <w:t>j &lt; </w:t>
      </w:r>
      <w:r w:rsidR="00644A91" w:rsidRPr="00A52AB8">
        <w:t>numComps</w:t>
      </w:r>
      <w:r w:rsidR="001D04C2" w:rsidRPr="00A52AB8">
        <w:t>;</w:t>
      </w:r>
      <w:r w:rsidRPr="00A52AB8">
        <w:t> </w:t>
      </w:r>
      <w:r w:rsidR="001D04C2" w:rsidRPr="00A52AB8">
        <w:t>j</w:t>
      </w:r>
      <w:r w:rsidR="00006CCF" w:rsidRPr="00A52AB8">
        <w:t>++ )</w:t>
      </w:r>
      <w:r w:rsidR="001D04C2" w:rsidRPr="00A52AB8">
        <w:br/>
      </w:r>
      <w:r w:rsidR="001D04C2" w:rsidRPr="00A52AB8">
        <w:tab/>
      </w:r>
      <w:r w:rsidR="001D04C2" w:rsidRPr="00A52AB8">
        <w:tab/>
      </w:r>
      <w:r w:rsidR="001D04C2" w:rsidRPr="00A52AB8">
        <w:tab/>
      </w:r>
      <w:r w:rsidR="001D04C2" w:rsidRPr="00A52AB8">
        <w:tab/>
      </w:r>
      <w:r w:rsidRPr="00A52AB8">
        <w:tab/>
      </w:r>
      <w:r w:rsidR="001D04C2" w:rsidRPr="00A52AB8">
        <w:t>filtVal[ j ]</w:t>
      </w:r>
      <w:r w:rsidRPr="00A52AB8">
        <w:t> </w:t>
      </w:r>
      <w:r w:rsidR="00A234FD" w:rsidRPr="00A52AB8">
        <w:t>+=</w:t>
      </w:r>
      <w:r w:rsidR="00D47707" w:rsidRPr="00A52AB8">
        <w:t> </w:t>
      </w:r>
      <w:r w:rsidR="001D04C2" w:rsidRPr="00A52AB8">
        <w:t>wx * wy *</w:t>
      </w:r>
      <w:r w:rsidRPr="00A52AB8">
        <w:t> </w:t>
      </w:r>
      <w:r w:rsidR="001D04C2" w:rsidRPr="00A52AB8">
        <w:t>wz *</w:t>
      </w:r>
      <w:r w:rsidRPr="00A52AB8">
        <w:t> </w:t>
      </w:r>
      <w:r w:rsidR="001D04C2" w:rsidRPr="00A52AB8">
        <w:t>centroid</w:t>
      </w:r>
      <w:r w:rsidR="0066614A" w:rsidRPr="00A52AB8">
        <w:t>[</w:t>
      </w:r>
      <w:r w:rsidR="004E4CE8" w:rsidRPr="00A52AB8">
        <w:t> </w:t>
      </w:r>
      <w:r w:rsidR="001D04C2" w:rsidRPr="00A52AB8">
        <w:t>dx ][ dy ][ dz ][ j ]</w:t>
      </w:r>
      <w:r w:rsidR="001D04C2" w:rsidRPr="00A52AB8">
        <w:br/>
      </w:r>
      <w:r w:rsidR="001D04C2" w:rsidRPr="00A52AB8">
        <w:tab/>
      </w:r>
      <w:r w:rsidR="001D04C2" w:rsidRPr="00A52AB8">
        <w:tab/>
      </w:r>
      <w:r w:rsidRPr="00A52AB8">
        <w:tab/>
      </w:r>
      <w:r w:rsidR="001D04C2" w:rsidRPr="00A52AB8">
        <w:t>}</w:t>
      </w:r>
      <w:r w:rsidR="001D04C2" w:rsidRPr="00A52AB8">
        <w:br/>
      </w:r>
      <w:r w:rsidR="001D04C2" w:rsidRPr="00A52AB8">
        <w:tab/>
      </w:r>
      <w:r w:rsidRPr="00A52AB8">
        <w:tab/>
      </w:r>
      <w:r w:rsidR="001D04C2" w:rsidRPr="00A52AB8">
        <w:t>}</w:t>
      </w:r>
      <w:r w:rsidR="001D04C2" w:rsidRPr="00A52AB8">
        <w:br/>
      </w:r>
      <w:r w:rsidRPr="00A52AB8">
        <w:tab/>
      </w:r>
      <w:r w:rsidR="001D04C2" w:rsidRPr="00A52AB8">
        <w:t>}</w:t>
      </w:r>
      <w:r w:rsidR="001D04C2" w:rsidRPr="00A52AB8">
        <w:br/>
      </w:r>
      <w:r w:rsidRPr="00A52AB8">
        <w:tab/>
      </w:r>
      <w:r w:rsidR="001D04C2" w:rsidRPr="00A52AB8">
        <w:t>for( j</w:t>
      </w:r>
      <w:r w:rsidR="00D47707" w:rsidRPr="00A52AB8">
        <w:t> = </w:t>
      </w:r>
      <w:r w:rsidR="001D04C2" w:rsidRPr="00A52AB8">
        <w:t>0;</w:t>
      </w:r>
      <w:r w:rsidRPr="00A52AB8">
        <w:t> </w:t>
      </w:r>
      <w:r w:rsidR="001D04C2" w:rsidRPr="00A52AB8">
        <w:t>j &lt; 3;</w:t>
      </w:r>
      <w:r w:rsidRPr="00A52AB8">
        <w:t> </w:t>
      </w:r>
      <w:r w:rsidR="001D04C2" w:rsidRPr="00A52AB8">
        <w:t>j</w:t>
      </w:r>
      <w:r w:rsidR="00006CCF" w:rsidRPr="00A52AB8">
        <w:t>++ )</w:t>
      </w:r>
      <w:r w:rsidR="001D04C2" w:rsidRPr="00A52AB8">
        <w:br/>
      </w:r>
      <w:r w:rsidR="001D04C2" w:rsidRPr="00A52AB8">
        <w:tab/>
      </w:r>
      <w:r w:rsidRPr="00A52AB8">
        <w:tab/>
      </w:r>
      <w:r w:rsidR="00644A91" w:rsidRPr="00A52AB8">
        <w:t>attr3DFilt[ j</w:t>
      </w:r>
      <w:r w:rsidR="001D04C2" w:rsidRPr="00A52AB8">
        <w:t> ]</w:t>
      </w:r>
      <w:r w:rsidR="00D47707" w:rsidRPr="00A52AB8">
        <w:t> = </w:t>
      </w:r>
      <w:r w:rsidR="001D04C2" w:rsidRPr="00A52AB8">
        <w:t>filt</w:t>
      </w:r>
      <w:r w:rsidR="00644A91" w:rsidRPr="00A52AB8">
        <w:t>Val[ j</w:t>
      </w:r>
      <w:r w:rsidR="001D04C2" w:rsidRPr="00A52AB8">
        <w:t> ] </w:t>
      </w:r>
      <w:r w:rsidR="001D04C2" w:rsidRPr="00A52AB8">
        <w:sym w:font="Symbol" w:char="F0B8"/>
      </w:r>
      <w:r w:rsidR="001D04C2" w:rsidRPr="00A52AB8">
        <w:t> ( 8 * </w:t>
      </w:r>
      <w:r w:rsidR="00435492" w:rsidRPr="00A52AB8">
        <w:t>attrGridSize </w:t>
      </w:r>
      <w:r w:rsidR="001D04C2" w:rsidRPr="00A52AB8">
        <w:t>* </w:t>
      </w:r>
      <w:r w:rsidR="00435492" w:rsidRPr="00A52AB8">
        <w:t>attrGridSize </w:t>
      </w:r>
      <w:r w:rsidR="001D04C2" w:rsidRPr="00A52AB8">
        <w:t>* </w:t>
      </w:r>
      <w:r w:rsidR="00435492" w:rsidRPr="00A52AB8">
        <w:t>attrGridSize </w:t>
      </w:r>
      <w:r w:rsidR="001D04C2" w:rsidRPr="00A52AB8">
        <w:t>)</w:t>
      </w:r>
    </w:p>
    <w:p w14:paraId="4A7EAC3E" w14:textId="77777777" w:rsidR="00EA5317" w:rsidRPr="00A52AB8" w:rsidRDefault="00EA5317" w:rsidP="00EE3D19">
      <w:pPr>
        <w:pStyle w:val="a4"/>
        <w:numPr>
          <w:ilvl w:val="2"/>
          <w:numId w:val="19"/>
        </w:numPr>
        <w:tabs>
          <w:tab w:val="clear" w:pos="7200"/>
        </w:tabs>
        <w:outlineLvl w:val="2"/>
      </w:pPr>
      <w:bookmarkStart w:id="6985" w:name="_Toc45105995"/>
      <w:bookmarkStart w:id="6986" w:name="_Toc45530909"/>
      <w:bookmarkStart w:id="6987" w:name="_Toc46302276"/>
      <w:bookmarkStart w:id="6988" w:name="_Toc46303101"/>
      <w:bookmarkStart w:id="6989" w:name="_Ref49423376"/>
      <w:bookmarkStart w:id="6990" w:name="_Ref46849413"/>
      <w:bookmarkStart w:id="6991" w:name="_Ref46849718"/>
      <w:bookmarkEnd w:id="6985"/>
      <w:bookmarkEnd w:id="6986"/>
      <w:bookmarkEnd w:id="6987"/>
      <w:bookmarkEnd w:id="6988"/>
      <w:r w:rsidRPr="00A52AB8">
        <w:t>Attribute transfer</w:t>
      </w:r>
      <w:bookmarkEnd w:id="6989"/>
    </w:p>
    <w:p w14:paraId="78A2B56A" w14:textId="77777777" w:rsidR="00E843DD" w:rsidRPr="00A52AB8" w:rsidRDefault="00E843DD" w:rsidP="004A6049">
      <w:pPr>
        <w:pStyle w:val="a4"/>
        <w:numPr>
          <w:ilvl w:val="3"/>
          <w:numId w:val="19"/>
        </w:numPr>
        <w:tabs>
          <w:tab w:val="clear" w:pos="7200"/>
        </w:tabs>
      </w:pPr>
      <w:r w:rsidRPr="00A52AB8">
        <w:t>General</w:t>
      </w:r>
    </w:p>
    <w:p w14:paraId="15169D1F" w14:textId="6367C4F0" w:rsidR="00EA5317" w:rsidRPr="00A52AB8" w:rsidRDefault="00EA5317">
      <w:r w:rsidRPr="00A52AB8">
        <w:t xml:space="preserve">This process updates the attribute values of the reconstructed points whose geometry position has been modified by another process after reconstruction, such as the geometry smoothing process defined in subclause </w:t>
      </w:r>
      <w:r w:rsidR="00E843DD" w:rsidRPr="00496A4D">
        <w:fldChar w:fldCharType="begin"/>
      </w:r>
      <w:r w:rsidR="00E843DD" w:rsidRPr="00A52AB8">
        <w:instrText xml:space="preserve"> REF _Ref49007009 \n \h </w:instrText>
      </w:r>
      <w:r w:rsidR="00007BE2" w:rsidRPr="00A52AB8">
        <w:instrText xml:space="preserve"> \* MERGEFORMAT </w:instrText>
      </w:r>
      <w:r w:rsidR="00E843DD" w:rsidRPr="00496A4D">
        <w:fldChar w:fldCharType="separate"/>
      </w:r>
      <w:r w:rsidR="00507A67">
        <w:t>H.12.2</w:t>
      </w:r>
      <w:r w:rsidR="00E843DD" w:rsidRPr="00496A4D">
        <w:fldChar w:fldCharType="end"/>
      </w:r>
      <w:r w:rsidRPr="00A52AB8">
        <w:t>.</w:t>
      </w:r>
    </w:p>
    <w:p w14:paraId="1F965A3F" w14:textId="77777777" w:rsidR="00EA5317" w:rsidRPr="00A52AB8" w:rsidRDefault="00EA5317">
      <w:r w:rsidRPr="00A52AB8">
        <w:t>The inputs to this process are:</w:t>
      </w:r>
    </w:p>
    <w:p w14:paraId="6610EE43" w14:textId="5D1EDC84" w:rsidR="00EA5317" w:rsidRPr="00A52AB8" w:rsidRDefault="001E084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variable </w:t>
      </w:r>
      <w:r w:rsidR="00EA5317" w:rsidRPr="00A52AB8">
        <w:rPr>
          <w:color w:val="000000" w:themeColor="text1"/>
        </w:rPr>
        <w:t>pointCnt</w:t>
      </w:r>
      <w:r w:rsidRPr="00A52AB8">
        <w:rPr>
          <w:color w:val="000000" w:themeColor="text1"/>
        </w:rPr>
        <w:t xml:space="preserve">, specifying </w:t>
      </w:r>
      <w:r w:rsidR="00EA5317" w:rsidRPr="00A52AB8">
        <w:rPr>
          <w:color w:val="000000" w:themeColor="text1"/>
        </w:rPr>
        <w:t>the number of points in the current reconstructed point cloud frame,</w:t>
      </w:r>
    </w:p>
    <w:p w14:paraId="32917634" w14:textId="03FEA6D2" w:rsidR="00EA5317" w:rsidRPr="00A52AB8" w:rsidRDefault="001E084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1D array </w:t>
      </w:r>
      <w:r w:rsidR="00EA5317" w:rsidRPr="00A52AB8">
        <w:rPr>
          <w:color w:val="000000" w:themeColor="text1"/>
        </w:rPr>
        <w:t>isUpdatedPoint</w:t>
      </w:r>
      <w:r w:rsidRPr="00A52AB8">
        <w:rPr>
          <w:color w:val="000000" w:themeColor="text1"/>
        </w:rPr>
        <w:t xml:space="preserve"> of size pointCnt</w:t>
      </w:r>
      <w:r w:rsidR="00EA5317" w:rsidRPr="00A52AB8">
        <w:rPr>
          <w:color w:val="000000" w:themeColor="text1"/>
        </w:rPr>
        <w:t>,</w:t>
      </w:r>
      <w:r w:rsidRPr="00A52AB8">
        <w:rPr>
          <w:color w:val="000000" w:themeColor="text1"/>
        </w:rPr>
        <w:t xml:space="preserve"> </w:t>
      </w:r>
      <w:r w:rsidR="00EA5317" w:rsidRPr="00A52AB8">
        <w:rPr>
          <w:color w:val="000000" w:themeColor="text1"/>
        </w:rPr>
        <w:t xml:space="preserve">indicating whether </w:t>
      </w:r>
      <w:r w:rsidRPr="00A52AB8">
        <w:rPr>
          <w:color w:val="000000" w:themeColor="text1"/>
        </w:rPr>
        <w:t xml:space="preserve">a </w:t>
      </w:r>
      <w:r w:rsidR="00EA5317" w:rsidRPr="00A52AB8">
        <w:rPr>
          <w:color w:val="000000" w:themeColor="text1"/>
        </w:rPr>
        <w:t xml:space="preserve">point was changed by </w:t>
      </w:r>
      <w:r w:rsidR="00E843DD" w:rsidRPr="00A52AB8">
        <w:rPr>
          <w:color w:val="000000" w:themeColor="text1"/>
        </w:rPr>
        <w:t>a geometry</w:t>
      </w:r>
      <w:r w:rsidR="00EA5317" w:rsidRPr="00A52AB8">
        <w:rPr>
          <w:color w:val="000000" w:themeColor="text1"/>
        </w:rPr>
        <w:t xml:space="preserve"> </w:t>
      </w:r>
      <w:r w:rsidR="00E843DD" w:rsidRPr="00A52AB8">
        <w:rPr>
          <w:color w:val="000000" w:themeColor="text1"/>
        </w:rPr>
        <w:t>modification</w:t>
      </w:r>
      <w:r w:rsidR="00EA5317" w:rsidRPr="00A52AB8">
        <w:rPr>
          <w:color w:val="000000" w:themeColor="text1"/>
        </w:rPr>
        <w:t xml:space="preserve"> operation,</w:t>
      </w:r>
    </w:p>
    <w:p w14:paraId="11707805" w14:textId="5B528B39" w:rsidR="00EA5317" w:rsidRPr="00A52AB8" w:rsidRDefault="001E084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pointCnt × 3 2D array </w:t>
      </w:r>
      <w:r w:rsidR="00EA5317" w:rsidRPr="00A52AB8">
        <w:rPr>
          <w:color w:val="000000" w:themeColor="text1"/>
        </w:rPr>
        <w:t>recPcGeo</w:t>
      </w:r>
      <w:r w:rsidRPr="00A52AB8">
        <w:rPr>
          <w:color w:val="000000" w:themeColor="text1"/>
        </w:rPr>
        <w:t xml:space="preserve"> of size</w:t>
      </w:r>
      <w:r w:rsidR="00EA5317" w:rsidRPr="00A52AB8">
        <w:rPr>
          <w:color w:val="000000" w:themeColor="text1"/>
        </w:rPr>
        <w:t xml:space="preserve"> </w:t>
      </w:r>
      <w:r w:rsidRPr="00A52AB8">
        <w:rPr>
          <w:color w:val="000000" w:themeColor="text1"/>
        </w:rPr>
        <w:t xml:space="preserve">pointCnt × 3, </w:t>
      </w:r>
      <w:r w:rsidR="00EA5317" w:rsidRPr="00A52AB8">
        <w:rPr>
          <w:color w:val="000000" w:themeColor="text1"/>
        </w:rPr>
        <w:t xml:space="preserve">containing the geometry positions of the points in the current reconstructed point cloud frame before geometry </w:t>
      </w:r>
      <w:r w:rsidR="00E843DD" w:rsidRPr="00A52AB8">
        <w:rPr>
          <w:color w:val="000000" w:themeColor="text1"/>
        </w:rPr>
        <w:t>modification</w:t>
      </w:r>
      <w:r w:rsidR="00EA5317" w:rsidRPr="00A52AB8">
        <w:rPr>
          <w:color w:val="000000" w:themeColor="text1"/>
        </w:rPr>
        <w:t>,</w:t>
      </w:r>
    </w:p>
    <w:p w14:paraId="22B9041A" w14:textId="08B3E7BF" w:rsidR="00EA5317" w:rsidRPr="00A52AB8" w:rsidRDefault="001E084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pointCnt × 3</w:t>
      </w:r>
      <w:r w:rsidRPr="00A52AB8" w:rsidDel="001E084E">
        <w:rPr>
          <w:color w:val="000000" w:themeColor="text1"/>
        </w:rPr>
        <w:t xml:space="preserve"> </w:t>
      </w:r>
      <w:r w:rsidRPr="00A52AB8">
        <w:rPr>
          <w:color w:val="000000" w:themeColor="text1"/>
        </w:rPr>
        <w:t xml:space="preserve">2D array </w:t>
      </w:r>
      <w:r w:rsidR="00EA5317" w:rsidRPr="00A52AB8">
        <w:rPr>
          <w:color w:val="000000" w:themeColor="text1"/>
        </w:rPr>
        <w:t>recPcGeo</w:t>
      </w:r>
      <w:r w:rsidR="00E843DD" w:rsidRPr="00A52AB8">
        <w:rPr>
          <w:color w:val="000000" w:themeColor="text1"/>
        </w:rPr>
        <w:t>Mod</w:t>
      </w:r>
      <w:r w:rsidRPr="00A52AB8">
        <w:rPr>
          <w:color w:val="000000" w:themeColor="text1"/>
        </w:rPr>
        <w:t xml:space="preserve"> </w:t>
      </w:r>
      <w:r w:rsidR="00EA5317" w:rsidRPr="00A52AB8">
        <w:rPr>
          <w:color w:val="000000" w:themeColor="text1"/>
        </w:rPr>
        <w:t>,</w:t>
      </w:r>
      <w:r w:rsidRPr="00A52AB8">
        <w:rPr>
          <w:color w:val="000000" w:themeColor="text1"/>
        </w:rPr>
        <w:t xml:space="preserve"> </w:t>
      </w:r>
      <w:r w:rsidR="00EA5317" w:rsidRPr="00A52AB8">
        <w:rPr>
          <w:color w:val="000000" w:themeColor="text1"/>
        </w:rPr>
        <w:t xml:space="preserve">containing the geometry positions of the points in the current reconstructed point cloud frame after geometry </w:t>
      </w:r>
      <w:r w:rsidR="00E843DD" w:rsidRPr="00A52AB8">
        <w:rPr>
          <w:color w:val="000000" w:themeColor="text1"/>
        </w:rPr>
        <w:t>modification</w:t>
      </w:r>
      <w:r w:rsidR="00EA5317" w:rsidRPr="00A52AB8">
        <w:rPr>
          <w:color w:val="000000" w:themeColor="text1"/>
        </w:rPr>
        <w:t>,</w:t>
      </w:r>
    </w:p>
    <w:p w14:paraId="2EDF1A56" w14:textId="78CE3C49" w:rsidR="00EA5317" w:rsidRPr="00A52AB8" w:rsidRDefault="001E084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3D array </w:t>
      </w:r>
      <w:r w:rsidR="00EA5317" w:rsidRPr="00A52AB8">
        <w:rPr>
          <w:color w:val="000000" w:themeColor="text1"/>
        </w:rPr>
        <w:t>recPcAttr</w:t>
      </w:r>
      <w:r w:rsidRPr="00A52AB8">
        <w:rPr>
          <w:color w:val="000000" w:themeColor="text1"/>
        </w:rPr>
        <w:t xml:space="preserve">, </w:t>
      </w:r>
      <w:r w:rsidR="00EA5317" w:rsidRPr="00A52AB8">
        <w:rPr>
          <w:color w:val="000000" w:themeColor="text1"/>
        </w:rPr>
        <w:t xml:space="preserve">containing the reconstructed attribute values for each point in the current reconstructed point cloud frame associated with the atlas with atlas ID equal to </w:t>
      </w:r>
      <w:r w:rsidR="00C53937" w:rsidRPr="00A52AB8">
        <w:rPr>
          <w:color w:val="000000" w:themeColor="text1"/>
        </w:rPr>
        <w:t>PostRecAtlasID</w:t>
      </w:r>
      <w:r w:rsidRPr="00A52AB8">
        <w:rPr>
          <w:color w:val="000000" w:themeColor="text1"/>
        </w:rPr>
        <w:t>, and</w:t>
      </w:r>
    </w:p>
    <w:p w14:paraId="40021442" w14:textId="1AEBBBAD" w:rsidR="00E173C0" w:rsidRPr="00A52AB8" w:rsidRDefault="00C077EF"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2D array bitDepth[ i ], containing the bit depth for each dimension of the i-th attribute</w:t>
      </w:r>
      <w:r w:rsidR="00E173C0" w:rsidRPr="00A52AB8">
        <w:rPr>
          <w:color w:val="000000" w:themeColor="text1"/>
        </w:rPr>
        <w:t>.</w:t>
      </w:r>
    </w:p>
    <w:p w14:paraId="2ACFF89A" w14:textId="458DDA38" w:rsidR="00EA5317" w:rsidRPr="00A52AB8" w:rsidRDefault="00EA5317">
      <w:r w:rsidRPr="00A52AB8">
        <w:t>Output</w:t>
      </w:r>
      <w:r w:rsidR="00EC5D65" w:rsidRPr="00A52AB8">
        <w:t>s</w:t>
      </w:r>
      <w:r w:rsidRPr="00A52AB8">
        <w:t xml:space="preserve"> of this process </w:t>
      </w:r>
      <w:r w:rsidR="00EC5D65" w:rsidRPr="00A52AB8">
        <w:t>are</w:t>
      </w:r>
      <w:r w:rsidRPr="00A52AB8">
        <w:t>:</w:t>
      </w:r>
    </w:p>
    <w:p w14:paraId="0780F082" w14:textId="608B98C3" w:rsidR="00EA5317" w:rsidRPr="00A52AB8" w:rsidRDefault="001E084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3D array </w:t>
      </w:r>
      <w:r w:rsidR="00EA5317" w:rsidRPr="00A52AB8">
        <w:rPr>
          <w:color w:val="000000" w:themeColor="text1"/>
        </w:rPr>
        <w:t xml:space="preserve">recPcAttrMod[ n ][ i ][ j ], containing the updated attribute values for each point in the current reconstructed point cloud frame associated with the atlas with atlas ID equal to </w:t>
      </w:r>
      <w:r w:rsidR="00C53937" w:rsidRPr="00A52AB8">
        <w:rPr>
          <w:color w:val="000000" w:themeColor="text1"/>
        </w:rPr>
        <w:t>PostRecAtlasID</w:t>
      </w:r>
      <w:r w:rsidRPr="00A52AB8">
        <w:rPr>
          <w:color w:val="000000" w:themeColor="text1"/>
        </w:rPr>
        <w:t>, and</w:t>
      </w:r>
    </w:p>
    <w:p w14:paraId="7897666B" w14:textId="66706487" w:rsidR="00E173C0" w:rsidRPr="00A52AB8" w:rsidRDefault="00C077EF"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2D array bitDepthMod[ i ], containing the bit depth for each dimension of the i-th attribute </w:t>
      </w:r>
      <w:r w:rsidR="00EC5D65" w:rsidRPr="00A52AB8">
        <w:rPr>
          <w:color w:val="000000" w:themeColor="text1"/>
        </w:rPr>
        <w:t>after modification due to the attribute transfer process</w:t>
      </w:r>
      <w:r w:rsidR="001E084E" w:rsidRPr="00A52AB8">
        <w:rPr>
          <w:color w:val="000000" w:themeColor="text1"/>
        </w:rPr>
        <w:t>,</w:t>
      </w:r>
    </w:p>
    <w:p w14:paraId="634103BD" w14:textId="7EBAEFF4" w:rsidR="00EA5317" w:rsidRPr="00A52AB8" w:rsidRDefault="001E084E" w:rsidP="00007BE2">
      <w:pPr>
        <w:ind w:left="403"/>
        <w:jc w:val="left"/>
      </w:pPr>
      <w:r w:rsidRPr="00A52AB8">
        <w:t xml:space="preserve">where </w:t>
      </w:r>
      <w:r w:rsidR="00EA5317" w:rsidRPr="00A52AB8">
        <w:t>j </w:t>
      </w:r>
      <w:r w:rsidR="00097B06" w:rsidRPr="00A52AB8">
        <w:t xml:space="preserve">is in the range of </w:t>
      </w:r>
      <w:r w:rsidR="00EA5317" w:rsidRPr="00A52AB8">
        <w:t>0</w:t>
      </w:r>
      <w:r w:rsidR="00097B06" w:rsidRPr="00A52AB8">
        <w:t xml:space="preserve"> to </w:t>
      </w:r>
      <w:r w:rsidR="00EA5317" w:rsidRPr="00A52AB8">
        <w:t>ai_attribute_dimension_minus1[ </w:t>
      </w:r>
      <w:r w:rsidR="00C53937" w:rsidRPr="00A52AB8">
        <w:t>PostRecAtlasID</w:t>
      </w:r>
      <w:r w:rsidR="00EA5317" w:rsidRPr="00A52AB8">
        <w:t> ][ i ]</w:t>
      </w:r>
      <w:r w:rsidR="00097B06" w:rsidRPr="00A52AB8">
        <w:t>, inclusive</w:t>
      </w:r>
      <w:r w:rsidR="00EA5317" w:rsidRPr="00A52AB8">
        <w:t xml:space="preserve"> and</w:t>
      </w:r>
      <w:r w:rsidR="00097B06" w:rsidRPr="00A52AB8">
        <w:t xml:space="preserve"> </w:t>
      </w:r>
      <w:r w:rsidR="00EA5317" w:rsidRPr="00A52AB8">
        <w:t>i</w:t>
      </w:r>
      <w:r w:rsidR="00097B06" w:rsidRPr="00A52AB8">
        <w:t xml:space="preserve"> is in the range of </w:t>
      </w:r>
      <w:r w:rsidR="00EA5317" w:rsidRPr="00A52AB8">
        <w:t>0</w:t>
      </w:r>
      <w:r w:rsidR="00097B06" w:rsidRPr="00A52AB8">
        <w:t xml:space="preserve"> to </w:t>
      </w:r>
      <w:r w:rsidR="00EA5317" w:rsidRPr="00A52AB8">
        <w:t>ai_attribute_count[ </w:t>
      </w:r>
      <w:r w:rsidR="00C53937" w:rsidRPr="00A52AB8">
        <w:t>PostRecAtlasID</w:t>
      </w:r>
      <w:r w:rsidR="00EA5317" w:rsidRPr="00A52AB8">
        <w:t> ] – 1</w:t>
      </w:r>
      <w:r w:rsidR="00097B06" w:rsidRPr="00A52AB8">
        <w:t>, inclusive</w:t>
      </w:r>
      <w:r w:rsidR="00EA5317" w:rsidRPr="00A52AB8">
        <w:t>.</w:t>
      </w:r>
    </w:p>
    <w:p w14:paraId="79CB436F" w14:textId="613473F2" w:rsidR="00C077EF" w:rsidRPr="00A52AB8" w:rsidRDefault="00C077EF">
      <w:r w:rsidRPr="00A52AB8">
        <w:t xml:space="preserve">If the bit depths </w:t>
      </w:r>
      <w:r w:rsidR="00D537DE" w:rsidRPr="00A52AB8">
        <w:t>of different dimensions of an attribute are not the same, the attribute values should be normalized to the same bit depth, e.g. the highest bit depth.</w:t>
      </w:r>
    </w:p>
    <w:p w14:paraId="50396704" w14:textId="11D65462" w:rsidR="00EA5317" w:rsidRPr="00A52AB8" w:rsidRDefault="00EA5317">
      <w:r w:rsidRPr="00A52AB8">
        <w:t>For i</w:t>
      </w:r>
      <w:r w:rsidR="00D47707" w:rsidRPr="00A52AB8">
        <w:t> = </w:t>
      </w:r>
      <w:r w:rsidRPr="00A52AB8">
        <w:t>0..ai_attribute_count[ </w:t>
      </w:r>
      <w:r w:rsidR="00C53937" w:rsidRPr="00A52AB8">
        <w:t>PostRecAtlasID</w:t>
      </w:r>
      <w:r w:rsidRPr="00A52AB8">
        <w:t> ] – 1,the following process is performed:</w:t>
      </w:r>
    </w:p>
    <w:p w14:paraId="4531D9DF" w14:textId="14709C92" w:rsidR="00EA5317" w:rsidRPr="00A52AB8" w:rsidRDefault="004E30A1"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2D </w:t>
      </w:r>
      <w:r w:rsidR="00EA5317" w:rsidRPr="00A52AB8">
        <w:rPr>
          <w:color w:val="000000" w:themeColor="text1"/>
        </w:rPr>
        <w:t>recPcAttr0 is derived as follows:</w:t>
      </w:r>
    </w:p>
    <w:p w14:paraId="24801C8D" w14:textId="46FC05F6" w:rsidR="00EA5317" w:rsidRPr="00A52AB8" w:rsidRDefault="00EA5317" w:rsidP="00007BE2">
      <w:pPr>
        <w:ind w:left="805"/>
        <w:jc w:val="left"/>
      </w:pPr>
      <w:r w:rsidRPr="00A52AB8">
        <w:tab/>
        <w:t>for( n</w:t>
      </w:r>
      <w:r w:rsidR="00D47707" w:rsidRPr="00A52AB8">
        <w:t> = </w:t>
      </w:r>
      <w:r w:rsidRPr="00A52AB8">
        <w:t>0; n &lt; pointCnt; n++ </w:t>
      </w:r>
      <w:r w:rsidR="008F1F82" w:rsidRPr="00A52AB8">
        <w:t>) {</w:t>
      </w:r>
      <w:r w:rsidRPr="00A52AB8">
        <w:br/>
      </w:r>
      <w:r w:rsidRPr="00A52AB8">
        <w:tab/>
      </w:r>
      <w:r w:rsidR="004E30A1" w:rsidRPr="00A52AB8">
        <w:tab/>
      </w:r>
      <w:r w:rsidRPr="00A52AB8">
        <w:t>for( j</w:t>
      </w:r>
      <w:r w:rsidR="00D47707" w:rsidRPr="00A52AB8">
        <w:t> = </w:t>
      </w:r>
      <w:r w:rsidRPr="00A52AB8">
        <w:t>0; j </w:t>
      </w:r>
      <w:r w:rsidR="00A234FD" w:rsidRPr="00A52AB8">
        <w:t>&lt;=</w:t>
      </w:r>
      <w:r w:rsidR="00D47707" w:rsidRPr="00A52AB8">
        <w:t> </w:t>
      </w:r>
      <w:r w:rsidRPr="00A52AB8">
        <w:t>ai_attribute_dimension_minus1[ </w:t>
      </w:r>
      <w:r w:rsidR="00C53937" w:rsidRPr="00A52AB8">
        <w:t>PostRecAtlasID</w:t>
      </w:r>
      <w:r w:rsidRPr="00A52AB8">
        <w:t> ][ i ]; j++ </w:t>
      </w:r>
      <w:r w:rsidR="00900B12" w:rsidRPr="00A52AB8">
        <w:t>) {</w:t>
      </w:r>
      <w:r w:rsidRPr="00A52AB8">
        <w:br/>
      </w:r>
      <w:r w:rsidRPr="00A52AB8">
        <w:tab/>
      </w:r>
      <w:r w:rsidRPr="00A52AB8">
        <w:tab/>
      </w:r>
      <w:r w:rsidR="004E30A1" w:rsidRPr="00A52AB8">
        <w:tab/>
      </w:r>
      <w:r w:rsidRPr="00A52AB8">
        <w:t>recPcAttr0[ n ][ j ]</w:t>
      </w:r>
      <w:r w:rsidR="00D47707" w:rsidRPr="00A52AB8">
        <w:t> = </w:t>
      </w:r>
      <w:r w:rsidRPr="00A52AB8">
        <w:t>recPcAttr[ n ][ i ][ j ]</w:t>
      </w:r>
      <w:r w:rsidRPr="00A52AB8">
        <w:br/>
      </w:r>
      <w:r w:rsidRPr="00A52AB8">
        <w:tab/>
      </w:r>
      <w:r w:rsidRPr="00A52AB8">
        <w:tab/>
        <w:t>}</w:t>
      </w:r>
      <w:r w:rsidRPr="00A52AB8">
        <w:br/>
      </w:r>
      <w:r w:rsidRPr="00A52AB8">
        <w:tab/>
        <w:t>}</w:t>
      </w:r>
    </w:p>
    <w:p w14:paraId="61D40D36" w14:textId="20FF3811" w:rsidR="00EA5317" w:rsidRPr="00A52AB8" w:rsidRDefault="004E30A1"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Subclause </w:t>
      </w:r>
      <w:r w:rsidR="00C25865" w:rsidRPr="00496A4D">
        <w:rPr>
          <w:color w:val="000000" w:themeColor="text1"/>
        </w:rPr>
        <w:fldChar w:fldCharType="begin"/>
      </w:r>
      <w:r w:rsidR="00C25865" w:rsidRPr="00A52AB8">
        <w:rPr>
          <w:color w:val="000000" w:themeColor="text1"/>
        </w:rPr>
        <w:instrText xml:space="preserve"> REF _Ref49007888 \n \h </w:instrText>
      </w:r>
      <w:r w:rsidR="006F5569" w:rsidRPr="00A52AB8">
        <w:rPr>
          <w:color w:val="000000" w:themeColor="text1"/>
        </w:rPr>
        <w:instrText xml:space="preserve"> \* MERGEFORMAT </w:instrText>
      </w:r>
      <w:r w:rsidR="00C25865" w:rsidRPr="00496A4D">
        <w:rPr>
          <w:color w:val="000000" w:themeColor="text1"/>
        </w:rPr>
      </w:r>
      <w:r w:rsidR="00C25865" w:rsidRPr="00496A4D">
        <w:rPr>
          <w:color w:val="000000" w:themeColor="text1"/>
        </w:rPr>
        <w:fldChar w:fldCharType="separate"/>
      </w:r>
      <w:r w:rsidR="00507A67">
        <w:rPr>
          <w:color w:val="000000" w:themeColor="text1"/>
        </w:rPr>
        <w:t>H.12.8.2</w:t>
      </w:r>
      <w:r w:rsidR="00C25865" w:rsidRPr="00496A4D">
        <w:rPr>
          <w:color w:val="000000" w:themeColor="text1"/>
        </w:rPr>
        <w:fldChar w:fldCharType="end"/>
      </w:r>
      <w:r w:rsidR="00C25865" w:rsidRPr="00A52AB8">
        <w:rPr>
          <w:color w:val="000000" w:themeColor="text1"/>
        </w:rPr>
        <w:t xml:space="preserve"> </w:t>
      </w:r>
      <w:r w:rsidR="00EA5317" w:rsidRPr="00A52AB8">
        <w:rPr>
          <w:color w:val="000000" w:themeColor="text1"/>
        </w:rPr>
        <w:t xml:space="preserve">is invoked with variables pointCnt and i </w:t>
      </w:r>
      <w:r w:rsidR="00C077EF" w:rsidRPr="00A52AB8">
        <w:rPr>
          <w:color w:val="000000" w:themeColor="text1"/>
        </w:rPr>
        <w:t xml:space="preserve">and bitDepth[ i ], </w:t>
      </w:r>
      <w:r w:rsidR="00EA5317" w:rsidRPr="00A52AB8">
        <w:rPr>
          <w:color w:val="000000" w:themeColor="text1"/>
        </w:rPr>
        <w:t xml:space="preserve">and arrays isUpdatedPoint, recPcGeo, </w:t>
      </w:r>
      <w:r w:rsidR="00C25865" w:rsidRPr="00A52AB8">
        <w:rPr>
          <w:color w:val="000000" w:themeColor="text1"/>
        </w:rPr>
        <w:t>recPcGeoMod</w:t>
      </w:r>
      <w:r w:rsidR="00EA5317" w:rsidRPr="00A52AB8">
        <w:rPr>
          <w:color w:val="000000" w:themeColor="text1"/>
        </w:rPr>
        <w:t>,</w:t>
      </w:r>
      <w:r w:rsidR="00DE594E" w:rsidRPr="00A52AB8">
        <w:rPr>
          <w:color w:val="000000" w:themeColor="text1"/>
        </w:rPr>
        <w:t xml:space="preserve"> </w:t>
      </w:r>
      <w:r w:rsidR="00EA5317" w:rsidRPr="00A52AB8">
        <w:rPr>
          <w:color w:val="000000" w:themeColor="text1"/>
        </w:rPr>
        <w:t>recPcAttr0</w:t>
      </w:r>
      <w:r w:rsidRPr="00A52AB8">
        <w:rPr>
          <w:color w:val="000000" w:themeColor="text1"/>
        </w:rPr>
        <w:t xml:space="preserve">, and </w:t>
      </w:r>
      <w:r w:rsidR="00EA5317" w:rsidRPr="00A52AB8">
        <w:rPr>
          <w:color w:val="000000" w:themeColor="text1"/>
        </w:rPr>
        <w:t>as inputs. The output</w:t>
      </w:r>
      <w:r w:rsidRPr="00A52AB8">
        <w:rPr>
          <w:color w:val="000000" w:themeColor="text1"/>
        </w:rPr>
        <w:t>s</w:t>
      </w:r>
      <w:r w:rsidR="00EA5317" w:rsidRPr="00A52AB8">
        <w:rPr>
          <w:color w:val="000000" w:themeColor="text1"/>
        </w:rPr>
        <w:t xml:space="preserve"> of this process </w:t>
      </w:r>
      <w:r w:rsidRPr="00A52AB8">
        <w:rPr>
          <w:color w:val="000000" w:themeColor="text1"/>
        </w:rPr>
        <w:t xml:space="preserve">are </w:t>
      </w:r>
      <w:r w:rsidR="00EA5317" w:rsidRPr="00A52AB8">
        <w:rPr>
          <w:color w:val="000000" w:themeColor="text1"/>
        </w:rPr>
        <w:t>an array recPcAttrMod0, which contains the updated attribute values of the points in the current reconstructed point cloud frame after attribute transfer.</w:t>
      </w:r>
    </w:p>
    <w:p w14:paraId="1F0BAF1B" w14:textId="18698744" w:rsidR="00EA5317" w:rsidRPr="00A52AB8" w:rsidRDefault="009142D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w:t>
      </w:r>
      <w:r w:rsidR="004E30A1" w:rsidRPr="00A52AB8">
        <w:rPr>
          <w:color w:val="000000" w:themeColor="text1"/>
        </w:rPr>
        <w:t xml:space="preserve"> 3D array </w:t>
      </w:r>
      <w:r w:rsidR="00EA5317" w:rsidRPr="00A52AB8">
        <w:rPr>
          <w:color w:val="000000" w:themeColor="text1"/>
        </w:rPr>
        <w:t>recPcAttrMod is derived as follows:</w:t>
      </w:r>
    </w:p>
    <w:p w14:paraId="1E495429" w14:textId="5016A202" w:rsidR="00EA5317" w:rsidRPr="00A52AB8" w:rsidRDefault="00EA5317" w:rsidP="00007BE2">
      <w:pPr>
        <w:ind w:left="805"/>
      </w:pPr>
      <w:r w:rsidRPr="00A52AB8">
        <w:tab/>
        <w:t>for( n</w:t>
      </w:r>
      <w:r w:rsidR="00D47707" w:rsidRPr="00A52AB8">
        <w:t> = </w:t>
      </w:r>
      <w:r w:rsidRPr="00A52AB8">
        <w:t>0; n &lt; pointCnt; n++ </w:t>
      </w:r>
      <w:r w:rsidR="00900B12" w:rsidRPr="00A52AB8">
        <w:t>) {</w:t>
      </w:r>
      <w:r w:rsidRPr="00A52AB8">
        <w:br/>
      </w:r>
      <w:r w:rsidRPr="00A52AB8">
        <w:tab/>
      </w:r>
      <w:r w:rsidR="004E30A1" w:rsidRPr="00A52AB8">
        <w:tab/>
      </w:r>
      <w:r w:rsidRPr="00A52AB8">
        <w:t>for( j</w:t>
      </w:r>
      <w:r w:rsidR="00D47707" w:rsidRPr="00A52AB8">
        <w:t> = </w:t>
      </w:r>
      <w:r w:rsidRPr="00A52AB8">
        <w:t>0; j </w:t>
      </w:r>
      <w:r w:rsidR="00A234FD" w:rsidRPr="00A52AB8">
        <w:t>&lt;=</w:t>
      </w:r>
      <w:r w:rsidR="00D47707" w:rsidRPr="00A52AB8">
        <w:t> </w:t>
      </w:r>
      <w:r w:rsidRPr="00A52AB8">
        <w:t>ai_attribute_dimension_minus1[ </w:t>
      </w:r>
      <w:r w:rsidR="00C53937" w:rsidRPr="00A52AB8">
        <w:t>PostRecAtlasID</w:t>
      </w:r>
      <w:r w:rsidRPr="00A52AB8">
        <w:t> ][ i ]; j++ </w:t>
      </w:r>
      <w:r w:rsidR="008F1F82" w:rsidRPr="00A52AB8">
        <w:t>) {</w:t>
      </w:r>
      <w:r w:rsidRPr="00A52AB8">
        <w:br/>
      </w:r>
      <w:r w:rsidRPr="00A52AB8">
        <w:tab/>
      </w:r>
      <w:r w:rsidRPr="00A52AB8">
        <w:tab/>
      </w:r>
      <w:r w:rsidR="004E30A1" w:rsidRPr="00A52AB8">
        <w:tab/>
      </w:r>
      <w:r w:rsidRPr="00A52AB8">
        <w:t>recPcAttrMod[ n ][ i ][ j ]</w:t>
      </w:r>
      <w:r w:rsidR="00D47707" w:rsidRPr="00A52AB8">
        <w:t> = </w:t>
      </w:r>
      <w:r w:rsidRPr="00A52AB8">
        <w:t>recPcAttrMod0[ n ][ j ]</w:t>
      </w:r>
      <w:r w:rsidRPr="00A52AB8">
        <w:br/>
      </w:r>
      <w:r w:rsidRPr="00A52AB8">
        <w:tab/>
      </w:r>
      <w:r w:rsidR="004E30A1" w:rsidRPr="00A52AB8">
        <w:tab/>
      </w:r>
      <w:r w:rsidRPr="00A52AB8">
        <w:t>}</w:t>
      </w:r>
      <w:r w:rsidRPr="00A52AB8">
        <w:br/>
      </w:r>
      <w:r w:rsidRPr="00A52AB8">
        <w:tab/>
        <w:t>}</w:t>
      </w:r>
    </w:p>
    <w:p w14:paraId="1F363261" w14:textId="13D88BA3" w:rsidR="009142DC" w:rsidRPr="00A52AB8" w:rsidRDefault="007A69AB" w:rsidP="00FB4953">
      <w:pPr>
        <w:pStyle w:val="ListParagraph"/>
        <w:numPr>
          <w:ilvl w:val="0"/>
          <w:numId w:val="113"/>
        </w:numPr>
        <w:ind w:leftChars="0" w:left="806" w:hanging="403"/>
      </w:pPr>
      <w:r w:rsidRPr="00A52AB8">
        <w:t>A 2D array bitDepthMod is der</w:t>
      </w:r>
      <w:r w:rsidR="009142DC" w:rsidRPr="00A52AB8">
        <w:t>ived as follows:</w:t>
      </w:r>
    </w:p>
    <w:p w14:paraId="2C653A98" w14:textId="1A87E66C" w:rsidR="009142DC" w:rsidRPr="00A52AB8" w:rsidRDefault="009142DC" w:rsidP="00007BE2">
      <w:pPr>
        <w:ind w:left="805"/>
      </w:pPr>
      <w:r w:rsidRPr="00A52AB8">
        <w:tab/>
        <w:t>for( i</w:t>
      </w:r>
      <w:r w:rsidR="00D47707" w:rsidRPr="00A52AB8">
        <w:t> = </w:t>
      </w:r>
      <w:r w:rsidRPr="00A52AB8">
        <w:t>0; i &lt; ai_attribute_count[ PostRecAtlasID ]; i++ </w:t>
      </w:r>
      <w:r w:rsidR="008F1F82" w:rsidRPr="00A52AB8">
        <w:t>) {</w:t>
      </w:r>
      <w:r w:rsidR="00C077EF" w:rsidRPr="00A52AB8">
        <w:br/>
      </w:r>
      <w:r w:rsidR="00C077EF" w:rsidRPr="00A52AB8">
        <w:tab/>
      </w:r>
      <w:r w:rsidR="00C077EF" w:rsidRPr="00A52AB8">
        <w:tab/>
        <w:t>bitDepthMod[ i ]</w:t>
      </w:r>
      <w:r w:rsidR="00D47707" w:rsidRPr="00A52AB8">
        <w:t> = </w:t>
      </w:r>
      <w:r w:rsidR="00C077EF" w:rsidRPr="00A52AB8">
        <w:t>bitDepth[ i ]</w:t>
      </w:r>
      <w:r w:rsidRPr="00A52AB8">
        <w:br/>
      </w:r>
      <w:r w:rsidRPr="00A52AB8">
        <w:tab/>
        <w:t>}</w:t>
      </w:r>
    </w:p>
    <w:p w14:paraId="7E2E68F4" w14:textId="6E7334C1" w:rsidR="00EA5317" w:rsidRPr="00A52AB8" w:rsidRDefault="00295D4C" w:rsidP="004A6049">
      <w:pPr>
        <w:pStyle w:val="a4"/>
        <w:numPr>
          <w:ilvl w:val="3"/>
          <w:numId w:val="19"/>
        </w:numPr>
        <w:tabs>
          <w:tab w:val="clear" w:pos="7200"/>
        </w:tabs>
      </w:pPr>
      <w:bookmarkStart w:id="6992" w:name="_Ref49259534"/>
      <w:bookmarkStart w:id="6993" w:name="_Ref49007888"/>
      <w:r w:rsidRPr="00A52AB8">
        <w:t xml:space="preserve">Process for attribute </w:t>
      </w:r>
      <w:r w:rsidR="00EA5317" w:rsidRPr="00A52AB8">
        <w:t>transfer</w:t>
      </w:r>
      <w:bookmarkEnd w:id="6992"/>
      <w:bookmarkEnd w:id="6993"/>
    </w:p>
    <w:p w14:paraId="557D6475" w14:textId="5422E108" w:rsidR="00EA5317" w:rsidRPr="00A52AB8" w:rsidRDefault="00EA5317" w:rsidP="00EA5317">
      <w:r w:rsidRPr="00A52AB8">
        <w:t xml:space="preserve">This process updates the attribute values of the reconstructed points whose geometry position has been modified by another process after reconstruction, such as the geometry smoothing process defined in subclause </w:t>
      </w:r>
      <w:r w:rsidR="00DE594E" w:rsidRPr="00496A4D">
        <w:fldChar w:fldCharType="begin"/>
      </w:r>
      <w:r w:rsidR="00DE594E" w:rsidRPr="00A52AB8">
        <w:instrText xml:space="preserve"> REF _Ref39773040 \n \h </w:instrText>
      </w:r>
      <w:r w:rsidR="00007BE2" w:rsidRPr="00A52AB8">
        <w:instrText xml:space="preserve"> \* MERGEFORMAT </w:instrText>
      </w:r>
      <w:r w:rsidR="00DE594E" w:rsidRPr="00496A4D">
        <w:fldChar w:fldCharType="separate"/>
      </w:r>
      <w:r w:rsidR="00507A67">
        <w:t>H.12.2</w:t>
      </w:r>
      <w:r w:rsidR="00DE594E" w:rsidRPr="00496A4D">
        <w:fldChar w:fldCharType="end"/>
      </w:r>
      <w:r w:rsidR="00DE594E" w:rsidRPr="00A52AB8">
        <w:t>.</w:t>
      </w:r>
    </w:p>
    <w:p w14:paraId="4683B43F" w14:textId="77777777" w:rsidR="00EA5317" w:rsidRPr="00A52AB8" w:rsidRDefault="00EA5317" w:rsidP="00EA5317">
      <w:r w:rsidRPr="00A52AB8">
        <w:t>The inputs to this process are:</w:t>
      </w:r>
    </w:p>
    <w:p w14:paraId="45A6A343" w14:textId="30853C82" w:rsidR="00EA5317" w:rsidRPr="00A52AB8" w:rsidRDefault="00DE594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variable </w:t>
      </w:r>
      <w:r w:rsidR="00EA5317" w:rsidRPr="00A52AB8">
        <w:rPr>
          <w:color w:val="000000" w:themeColor="text1"/>
        </w:rPr>
        <w:t xml:space="preserve">pointCnt, </w:t>
      </w:r>
      <w:r w:rsidRPr="00A52AB8">
        <w:rPr>
          <w:color w:val="000000" w:themeColor="text1"/>
        </w:rPr>
        <w:t xml:space="preserve">specifying </w:t>
      </w:r>
      <w:r w:rsidR="00EA5317" w:rsidRPr="00A52AB8">
        <w:rPr>
          <w:color w:val="000000" w:themeColor="text1"/>
        </w:rPr>
        <w:t>the number of points in the current reconstructed point cloud frame,</w:t>
      </w:r>
    </w:p>
    <w:p w14:paraId="24D21B08" w14:textId="026F1070" w:rsidR="00EA5317" w:rsidRPr="00A52AB8" w:rsidRDefault="00DE594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variable </w:t>
      </w:r>
      <w:r w:rsidR="00EA5317" w:rsidRPr="00A52AB8">
        <w:rPr>
          <w:color w:val="000000" w:themeColor="text1"/>
        </w:rPr>
        <w:t xml:space="preserve">i, </w:t>
      </w:r>
      <w:r w:rsidRPr="00A52AB8">
        <w:rPr>
          <w:color w:val="000000" w:themeColor="text1"/>
        </w:rPr>
        <w:t xml:space="preserve">specifying </w:t>
      </w:r>
      <w:r w:rsidR="00EA5317" w:rsidRPr="00A52AB8">
        <w:rPr>
          <w:color w:val="000000" w:themeColor="text1"/>
        </w:rPr>
        <w:t>the index of the current attribute to be processed,</w:t>
      </w:r>
    </w:p>
    <w:p w14:paraId="50DDD6FC" w14:textId="550F1585" w:rsidR="00C077EF" w:rsidRPr="00A52AB8" w:rsidRDefault="00C077EF"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variable bitDepth, containing the bit depth for the i-th attribute.</w:t>
      </w:r>
    </w:p>
    <w:p w14:paraId="2B63C5A5" w14:textId="79D6378E" w:rsidR="00EA5317" w:rsidRPr="00A52AB8" w:rsidRDefault="00DE594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1D array isUpdatedPoint of size pointCnt</w:t>
      </w:r>
      <w:r w:rsidR="00EA5317" w:rsidRPr="00A52AB8">
        <w:rPr>
          <w:color w:val="000000" w:themeColor="text1"/>
        </w:rPr>
        <w:t>, indicating whether the geometry position of a point was modified by another process after reconstruction,</w:t>
      </w:r>
    </w:p>
    <w:p w14:paraId="2DA20636" w14:textId="2A1E3C80" w:rsidR="00EA5317" w:rsidRPr="00A52AB8" w:rsidRDefault="00DE594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pointCnt × 3 2D array </w:t>
      </w:r>
      <w:r w:rsidR="00EA5317" w:rsidRPr="00A52AB8">
        <w:rPr>
          <w:color w:val="000000" w:themeColor="text1"/>
        </w:rPr>
        <w:t>recPcGeo,</w:t>
      </w:r>
      <w:r w:rsidRPr="00A52AB8">
        <w:rPr>
          <w:color w:val="000000" w:themeColor="text1"/>
        </w:rPr>
        <w:t xml:space="preserve"> </w:t>
      </w:r>
      <w:r w:rsidR="00EA5317" w:rsidRPr="00A52AB8">
        <w:rPr>
          <w:color w:val="000000" w:themeColor="text1"/>
        </w:rPr>
        <w:t>containing the geometry positions of the points in the current reconstructed point cloud frame prior to any modification,</w:t>
      </w:r>
    </w:p>
    <w:p w14:paraId="3BD51318" w14:textId="6503B2EB" w:rsidR="00EA5317" w:rsidRPr="00A52AB8" w:rsidRDefault="00DE594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pointCnt × 3 2D array </w:t>
      </w:r>
      <w:r w:rsidR="00EA5317" w:rsidRPr="00A52AB8">
        <w:rPr>
          <w:color w:val="000000" w:themeColor="text1"/>
        </w:rPr>
        <w:t>recPcGeoMod, an array containing the geometry positions of the points in the current reconstructed point cloud frame after any modification,</w:t>
      </w:r>
      <w:r w:rsidR="00C077EF" w:rsidRPr="00A52AB8">
        <w:rPr>
          <w:color w:val="000000" w:themeColor="text1"/>
        </w:rPr>
        <w:t xml:space="preserve"> and</w:t>
      </w:r>
    </w:p>
    <w:p w14:paraId="6E3C18DC" w14:textId="59F3D8F5" w:rsidR="0006005D" w:rsidRPr="00A52AB8" w:rsidRDefault="00DE594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2D array </w:t>
      </w:r>
      <w:r w:rsidR="00EA5317" w:rsidRPr="00A52AB8">
        <w:rPr>
          <w:color w:val="000000" w:themeColor="text1"/>
        </w:rPr>
        <w:t>recPcAttr</w:t>
      </w:r>
      <w:r w:rsidRPr="00A52AB8">
        <w:rPr>
          <w:color w:val="000000" w:themeColor="text1"/>
        </w:rPr>
        <w:t>[ n ][ j ]</w:t>
      </w:r>
      <w:r w:rsidR="00EA5317" w:rsidRPr="00A52AB8">
        <w:rPr>
          <w:color w:val="000000" w:themeColor="text1"/>
        </w:rPr>
        <w:t xml:space="preserve">, containing the reconstructed attribute values in the current reconstructed point cloud frame associated with the atlas with atlas ID equal to </w:t>
      </w:r>
      <w:r w:rsidR="00C53937" w:rsidRPr="00A52AB8">
        <w:rPr>
          <w:color w:val="000000" w:themeColor="text1"/>
        </w:rPr>
        <w:t>PostRecAtlasID</w:t>
      </w:r>
      <w:r w:rsidR="00C077EF" w:rsidRPr="00A52AB8">
        <w:rPr>
          <w:color w:val="000000" w:themeColor="text1"/>
        </w:rPr>
        <w:t>.</w:t>
      </w:r>
    </w:p>
    <w:p w14:paraId="564C60C7" w14:textId="77777777" w:rsidR="00EA5317" w:rsidRPr="00A52AB8" w:rsidRDefault="00EA5317" w:rsidP="00EA5317">
      <w:r w:rsidRPr="00A52AB8">
        <w:t>Output of this process is:</w:t>
      </w:r>
    </w:p>
    <w:p w14:paraId="4B298F6E" w14:textId="7AD704F2" w:rsidR="00EA5317" w:rsidRPr="00A52AB8" w:rsidRDefault="00DE594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 2D array </w:t>
      </w:r>
      <w:r w:rsidR="00EA5317" w:rsidRPr="00A52AB8">
        <w:rPr>
          <w:color w:val="000000" w:themeColor="text1"/>
        </w:rPr>
        <w:t>recPcAttrMod</w:t>
      </w:r>
      <w:r w:rsidRPr="00A52AB8">
        <w:rPr>
          <w:color w:val="000000" w:themeColor="text1"/>
        </w:rPr>
        <w:t>[ n ][ j ]</w:t>
      </w:r>
      <w:r w:rsidR="00EA5317" w:rsidRPr="00A52AB8">
        <w:rPr>
          <w:color w:val="000000" w:themeColor="text1"/>
        </w:rPr>
        <w:t xml:space="preserve">, containing the updated attribute values for each point in the current reconstructed point cloud frame associated with the atlas with atlas ID equal to </w:t>
      </w:r>
      <w:r w:rsidR="00C53937" w:rsidRPr="00A52AB8">
        <w:rPr>
          <w:color w:val="000000" w:themeColor="text1"/>
        </w:rPr>
        <w:t>PostRecAtlasID</w:t>
      </w:r>
      <w:r w:rsidR="00EA5317" w:rsidRPr="00A52AB8">
        <w:rPr>
          <w:color w:val="000000" w:themeColor="text1"/>
        </w:rPr>
        <w:t>,</w:t>
      </w:r>
    </w:p>
    <w:p w14:paraId="14704056" w14:textId="038292F9" w:rsidR="00EA5317" w:rsidRPr="00A52AB8" w:rsidRDefault="00EA5317" w:rsidP="00007BE2">
      <w:pPr>
        <w:ind w:left="403"/>
      </w:pPr>
      <w:r w:rsidRPr="00A52AB8">
        <w:t>where n</w:t>
      </w:r>
      <w:r w:rsidR="00D47707" w:rsidRPr="00A52AB8">
        <w:t> = </w:t>
      </w:r>
      <w:r w:rsidRPr="00A52AB8">
        <w:t>0..pointCnt – 1</w:t>
      </w:r>
      <w:r w:rsidR="00DE594E" w:rsidRPr="00A52AB8">
        <w:t xml:space="preserve"> </w:t>
      </w:r>
      <w:r w:rsidRPr="00A52AB8">
        <w:t>and j</w:t>
      </w:r>
      <w:r w:rsidR="00D47707" w:rsidRPr="00A52AB8">
        <w:t> = </w:t>
      </w:r>
      <w:r w:rsidRPr="00A52AB8">
        <w:t>0..ai_attribute_dimension_minus1[ </w:t>
      </w:r>
      <w:r w:rsidR="00C53937" w:rsidRPr="00A52AB8">
        <w:t>PostRecAtlasID</w:t>
      </w:r>
      <w:r w:rsidRPr="00A52AB8">
        <w:t> ][ i ].</w:t>
      </w:r>
    </w:p>
    <w:p w14:paraId="3160E0C2" w14:textId="77777777" w:rsidR="00EA5317" w:rsidRPr="00A52AB8" w:rsidRDefault="00EA5317" w:rsidP="00EA5317">
      <w:r w:rsidRPr="00A52AB8">
        <w:t>Let the process Assign( arraySrc, sizeSrc ) be defined as follows:</w:t>
      </w:r>
    </w:p>
    <w:p w14:paraId="6C9B512F" w14:textId="03C10970" w:rsidR="00EA5317" w:rsidRPr="00A52AB8" w:rsidRDefault="00EA5317" w:rsidP="00EA5317">
      <w:r w:rsidRPr="00A52AB8">
        <w:tab/>
        <w:t>Assign( arraySrc, sizeSrc </w:t>
      </w:r>
      <w:r w:rsidR="00900B12" w:rsidRPr="00A52AB8">
        <w:t>) {</w:t>
      </w:r>
      <w:r w:rsidRPr="00A52AB8">
        <w:br/>
      </w:r>
      <w:r w:rsidRPr="00A52AB8">
        <w:tab/>
      </w:r>
      <w:r w:rsidRPr="00A52AB8">
        <w:tab/>
        <w:t>for( c</w:t>
      </w:r>
      <w:r w:rsidR="00D47707" w:rsidRPr="00A52AB8">
        <w:t> = </w:t>
      </w:r>
      <w:r w:rsidRPr="00A52AB8">
        <w:t>0; c &lt; sizeSrc; c++ </w:t>
      </w:r>
      <w:r w:rsidR="00900B12" w:rsidRPr="00A52AB8">
        <w:t>) {</w:t>
      </w:r>
      <w:r w:rsidRPr="00A52AB8">
        <w:br/>
      </w:r>
      <w:r w:rsidRPr="00A52AB8">
        <w:tab/>
      </w:r>
      <w:r w:rsidRPr="00A52AB8">
        <w:tab/>
      </w:r>
      <w:r w:rsidRPr="00A52AB8">
        <w:tab/>
        <w:t>arrayDst[ c ]</w:t>
      </w:r>
      <w:r w:rsidR="00D47707" w:rsidRPr="00A52AB8">
        <w:t> = </w:t>
      </w:r>
      <w:r w:rsidRPr="00A52AB8">
        <w:t>arraySrc[ c ]</w:t>
      </w:r>
      <w:r w:rsidRPr="00A52AB8">
        <w:br/>
      </w:r>
      <w:r w:rsidRPr="00A52AB8">
        <w:tab/>
      </w:r>
      <w:r w:rsidRPr="00A52AB8">
        <w:tab/>
        <w:t>}</w:t>
      </w:r>
      <w:r w:rsidRPr="00A52AB8">
        <w:br/>
      </w:r>
      <w:r w:rsidRPr="00A52AB8">
        <w:tab/>
      </w:r>
      <w:r w:rsidRPr="00A52AB8">
        <w:tab/>
        <w:t>return arrayDst</w:t>
      </w:r>
      <w:r w:rsidRPr="00A52AB8">
        <w:br/>
      </w:r>
      <w:r w:rsidRPr="00A52AB8">
        <w:tab/>
        <w:t>}</w:t>
      </w:r>
    </w:p>
    <w:p w14:paraId="749AB436" w14:textId="25D9B83A" w:rsidR="00467FB0" w:rsidRPr="00A52AB8" w:rsidRDefault="00467FB0" w:rsidP="00EA5317">
      <w:r w:rsidRPr="00A52AB8">
        <w:t>The following applies:</w:t>
      </w:r>
    </w:p>
    <w:p w14:paraId="6DB3BFFD" w14:textId="7CC173E7" w:rsidR="00467FB0" w:rsidRPr="00A52AB8" w:rsidRDefault="00467FB0"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w:t>
      </w:r>
      <w:r w:rsidR="00447AFC" w:rsidRPr="00A52AB8">
        <w:rPr>
          <w:color w:val="000000" w:themeColor="text1"/>
        </w:rPr>
        <w:t xml:space="preserve"> variable </w:t>
      </w:r>
      <w:r w:rsidR="00EA5317" w:rsidRPr="00A52AB8">
        <w:rPr>
          <w:color w:val="000000" w:themeColor="text1"/>
        </w:rPr>
        <w:t>att</w:t>
      </w:r>
      <w:r w:rsidR="00447AFC" w:rsidRPr="00A52AB8">
        <w:rPr>
          <w:color w:val="000000" w:themeColor="text1"/>
        </w:rPr>
        <w:t>r</w:t>
      </w:r>
      <w:r w:rsidR="00EA5317" w:rsidRPr="00A52AB8">
        <w:rPr>
          <w:color w:val="000000" w:themeColor="text1"/>
        </w:rPr>
        <w:t>Dimension</w:t>
      </w:r>
      <w:r w:rsidR="00447AFC" w:rsidRPr="00A52AB8">
        <w:rPr>
          <w:color w:val="000000" w:themeColor="text1"/>
        </w:rPr>
        <w:t xml:space="preserve"> be initialized to </w:t>
      </w:r>
      <w:r w:rsidR="00EA5317" w:rsidRPr="00A52AB8">
        <w:rPr>
          <w:color w:val="000000" w:themeColor="text1"/>
        </w:rPr>
        <w:t>ai_attribute_dimension_minus1[ </w:t>
      </w:r>
      <w:r w:rsidR="00C53937" w:rsidRPr="00A52AB8">
        <w:rPr>
          <w:color w:val="000000" w:themeColor="text1"/>
        </w:rPr>
        <w:t>PostRecAtlasID</w:t>
      </w:r>
      <w:r w:rsidR="00EA5317" w:rsidRPr="00A52AB8">
        <w:rPr>
          <w:color w:val="000000" w:themeColor="text1"/>
        </w:rPr>
        <w:t> ][ i ].</w:t>
      </w:r>
    </w:p>
    <w:p w14:paraId="172C67EC" w14:textId="77777777" w:rsidR="00467FB0" w:rsidRPr="00A52AB8" w:rsidRDefault="00DC1CD0"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1D array forwardSet of size pointCnt, is initialized to 0.</w:t>
      </w:r>
    </w:p>
    <w:p w14:paraId="6392C082" w14:textId="7FC14276" w:rsidR="00467FB0" w:rsidRPr="00A52AB8" w:rsidRDefault="00467FB0"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pointCnt × 3 2D array forwardCentroid, which indicates a weighted average, i.e. the centroid, of the attribute values of a set of neighbouring points, is calculated as follows:</w:t>
      </w:r>
    </w:p>
    <w:p w14:paraId="341F9597" w14:textId="6B205606" w:rsidR="005746DF" w:rsidRPr="00A52AB8" w:rsidRDefault="005746DF"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2D arrays forwardDistance and forwardSet, of size pointCnt × maxNeighbour are initialized to 0.</w:t>
      </w:r>
    </w:p>
    <w:p w14:paraId="5F1B8E9C" w14:textId="1F93C2F7" w:rsidR="004444A8" w:rsidRPr="00A52AB8" w:rsidRDefault="00D2238D">
      <w:r w:rsidRPr="00A52AB8">
        <w:t>A f</w:t>
      </w:r>
      <w:r w:rsidR="007A17EC" w:rsidRPr="00A52AB8">
        <w:t>orward search is performed f</w:t>
      </w:r>
      <w:r w:rsidR="004444A8" w:rsidRPr="00A52AB8">
        <w:t>or n</w:t>
      </w:r>
      <w:r w:rsidR="00D47707" w:rsidRPr="00A52AB8">
        <w:t> = </w:t>
      </w:r>
      <w:r w:rsidR="004444A8" w:rsidRPr="00A52AB8">
        <w:t>0..pointCnt –</w:t>
      </w:r>
      <w:r w:rsidR="007A17EC" w:rsidRPr="00A52AB8">
        <w:t> 1 as follows</w:t>
      </w:r>
      <w:r w:rsidR="004444A8" w:rsidRPr="00A52AB8">
        <w:t>:</w:t>
      </w:r>
    </w:p>
    <w:p w14:paraId="4C2D8A1F" w14:textId="25E59EDE" w:rsidR="00DC1CD0" w:rsidRPr="00A52AB8" w:rsidRDefault="00DC1CD0"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variable maxNeighbour is set to 8.</w:t>
      </w:r>
    </w:p>
    <w:p w14:paraId="713797C7" w14:textId="34B6689C" w:rsidR="00467FB0" w:rsidRPr="00A52AB8" w:rsidRDefault="00EA531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If </w:t>
      </w:r>
      <w:r w:rsidR="00447AFC" w:rsidRPr="00A52AB8">
        <w:rPr>
          <w:color w:val="000000" w:themeColor="text1"/>
        </w:rPr>
        <w:t>isUpdatedPoint</w:t>
      </w:r>
      <w:r w:rsidRPr="00A52AB8">
        <w:rPr>
          <w:color w:val="000000" w:themeColor="text1"/>
        </w:rPr>
        <w:t>[ </w:t>
      </w:r>
      <w:r w:rsidR="00CB7B59" w:rsidRPr="00A52AB8">
        <w:rPr>
          <w:color w:val="000000" w:themeColor="text1"/>
        </w:rPr>
        <w:t>n</w:t>
      </w:r>
      <w:r w:rsidR="004444A8" w:rsidRPr="00A52AB8">
        <w:rPr>
          <w:color w:val="000000" w:themeColor="text1"/>
        </w:rPr>
        <w:t> </w:t>
      </w:r>
      <w:r w:rsidRPr="00A52AB8">
        <w:rPr>
          <w:color w:val="000000" w:themeColor="text1"/>
        </w:rPr>
        <w:t xml:space="preserve">] is equal to </w:t>
      </w:r>
      <w:r w:rsidR="00447AFC" w:rsidRPr="00A52AB8">
        <w:rPr>
          <w:color w:val="000000" w:themeColor="text1"/>
        </w:rPr>
        <w:t>1</w:t>
      </w:r>
      <w:r w:rsidRPr="00A52AB8">
        <w:rPr>
          <w:color w:val="000000" w:themeColor="text1"/>
        </w:rPr>
        <w:t xml:space="preserve">, the </w:t>
      </w:r>
      <w:r w:rsidR="00AB2341" w:rsidRPr="00A52AB8">
        <w:rPr>
          <w:color w:val="000000" w:themeColor="text1"/>
        </w:rPr>
        <w:t xml:space="preserve">point neighbour search process </w:t>
      </w:r>
      <w:r w:rsidRPr="00A52AB8">
        <w:rPr>
          <w:color w:val="000000" w:themeColor="text1"/>
        </w:rPr>
        <w:t xml:space="preserve">defined in subclause </w:t>
      </w:r>
      <w:r w:rsidRPr="00496A4D">
        <w:rPr>
          <w:color w:val="000000" w:themeColor="text1"/>
        </w:rPr>
        <w:fldChar w:fldCharType="begin"/>
      </w:r>
      <w:r w:rsidRPr="00A52AB8">
        <w:rPr>
          <w:color w:val="000000" w:themeColor="text1"/>
        </w:rPr>
        <w:instrText xml:space="preserve"> REF _Ref48829873 \r \h  \* MERGEFORMAT </w:instrText>
      </w:r>
      <w:r w:rsidRPr="00496A4D">
        <w:rPr>
          <w:color w:val="000000" w:themeColor="text1"/>
        </w:rPr>
      </w:r>
      <w:r w:rsidRPr="00496A4D">
        <w:rPr>
          <w:color w:val="000000" w:themeColor="text1"/>
        </w:rPr>
        <w:fldChar w:fldCharType="separate"/>
      </w:r>
      <w:r w:rsidR="00507A67">
        <w:rPr>
          <w:color w:val="000000" w:themeColor="text1"/>
        </w:rPr>
        <w:t>H.12.8.4</w:t>
      </w:r>
      <w:r w:rsidRPr="00496A4D">
        <w:rPr>
          <w:color w:val="000000" w:themeColor="text1"/>
        </w:rPr>
        <w:fldChar w:fldCharType="end"/>
      </w:r>
      <w:r w:rsidRPr="00A52AB8">
        <w:rPr>
          <w:color w:val="000000" w:themeColor="text1"/>
        </w:rPr>
        <w:t xml:space="preserve"> is invoked with </w:t>
      </w:r>
      <w:r w:rsidR="004444A8" w:rsidRPr="00A52AB8">
        <w:rPr>
          <w:color w:val="000000" w:themeColor="text1"/>
        </w:rPr>
        <w:t>variables maxNeighbour and pointCnt, and arrays recPcGeoMod[ n ] and recPcGeo</w:t>
      </w:r>
      <w:r w:rsidR="00CB7B59" w:rsidRPr="00A52AB8">
        <w:rPr>
          <w:color w:val="000000" w:themeColor="text1"/>
        </w:rPr>
        <w:t>. The outputs are</w:t>
      </w:r>
      <w:r w:rsidR="004444A8" w:rsidRPr="00A52AB8" w:rsidDel="004444A8">
        <w:rPr>
          <w:color w:val="000000" w:themeColor="text1"/>
        </w:rPr>
        <w:t xml:space="preserve"> </w:t>
      </w:r>
      <w:r w:rsidR="00467FB0" w:rsidRPr="00A52AB8">
        <w:rPr>
          <w:color w:val="000000" w:themeColor="text1"/>
        </w:rPr>
        <w:t>a variable n</w:t>
      </w:r>
      <w:r w:rsidR="00CB7B59" w:rsidRPr="00A52AB8">
        <w:rPr>
          <w:color w:val="000000" w:themeColor="text1"/>
        </w:rPr>
        <w:t>eighbourPoints, and arrays</w:t>
      </w:r>
      <w:r w:rsidR="00467FB0" w:rsidRPr="00A52AB8">
        <w:rPr>
          <w:color w:val="000000" w:themeColor="text1"/>
        </w:rPr>
        <w:t xml:space="preserve"> neighbourSet and distanceSet.</w:t>
      </w:r>
    </w:p>
    <w:p w14:paraId="045967AB" w14:textId="6D4AA79D" w:rsidR="00AB2341" w:rsidRPr="00A52AB8" w:rsidRDefault="00EB764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w:t>
      </w:r>
      <w:r w:rsidR="00AB2341" w:rsidRPr="00A52AB8">
        <w:rPr>
          <w:color w:val="000000" w:themeColor="text1"/>
        </w:rPr>
        <w:t>rrays forwardSet[ n ] and forwardDistance[ n ] are updated as follows:</w:t>
      </w:r>
    </w:p>
    <w:p w14:paraId="724A0106" w14:textId="7D632639" w:rsidR="00467FB0" w:rsidRPr="00A52AB8" w:rsidRDefault="00467FB0">
      <w:r w:rsidRPr="00A52AB8">
        <w:tab/>
      </w:r>
      <w:r w:rsidRPr="00A52AB8">
        <w:tab/>
        <w:t>forwardSet[ n ]</w:t>
      </w:r>
      <w:r w:rsidR="00D47707" w:rsidRPr="00A52AB8">
        <w:t> = </w:t>
      </w:r>
      <w:r w:rsidRPr="00A52AB8">
        <w:t>Assign( </w:t>
      </w:r>
      <w:r w:rsidR="00CB7B59" w:rsidRPr="00A52AB8">
        <w:t>neighbourSet</w:t>
      </w:r>
      <w:r w:rsidRPr="00A52AB8">
        <w:t>, neighbourPoints)</w:t>
      </w:r>
      <w:r w:rsidRPr="00A52AB8">
        <w:br/>
      </w:r>
      <w:r w:rsidRPr="00A52AB8">
        <w:tab/>
      </w:r>
      <w:r w:rsidRPr="00A52AB8">
        <w:tab/>
      </w:r>
      <w:r w:rsidR="00AB2341" w:rsidRPr="00A52AB8">
        <w:t>forwardDistance</w:t>
      </w:r>
      <w:r w:rsidRPr="00A52AB8">
        <w:t>[ n ]</w:t>
      </w:r>
      <w:r w:rsidR="00D47707" w:rsidRPr="00A52AB8">
        <w:t> = </w:t>
      </w:r>
      <w:r w:rsidRPr="00A52AB8">
        <w:t>Assign( distanceSet, neighbourPoints)</w:t>
      </w:r>
    </w:p>
    <w:p w14:paraId="2E8F4CB4" w14:textId="62ABDD62" w:rsidR="00EA5317" w:rsidRPr="00A52AB8" w:rsidRDefault="00467FB0"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The array isForwardSet is modified as follows:</w:t>
      </w:r>
    </w:p>
    <w:p w14:paraId="10276C0F" w14:textId="24012FEC" w:rsidR="00EA5317" w:rsidRPr="00A52AB8" w:rsidRDefault="00467FB0" w:rsidP="00EA5317">
      <w:r w:rsidRPr="00A52AB8">
        <w:tab/>
      </w:r>
      <w:r w:rsidRPr="00A52AB8">
        <w:tab/>
      </w:r>
      <w:r w:rsidR="00EA5317" w:rsidRPr="00A52AB8">
        <w:t>for( r</w:t>
      </w:r>
      <w:r w:rsidR="00D47707" w:rsidRPr="00A52AB8">
        <w:t> = </w:t>
      </w:r>
      <w:r w:rsidR="00EA5317" w:rsidRPr="00A52AB8">
        <w:t>0; r &lt; neighbourPoints; r++)</w:t>
      </w:r>
      <w:r w:rsidR="00EA5317" w:rsidRPr="00A52AB8">
        <w:br/>
      </w:r>
      <w:r w:rsidR="00EA5317" w:rsidRPr="00A52AB8">
        <w:tab/>
      </w:r>
      <w:r w:rsidR="00EA5317" w:rsidRPr="00A52AB8">
        <w:tab/>
      </w:r>
      <w:r w:rsidRPr="00A52AB8">
        <w:tab/>
      </w:r>
      <w:r w:rsidR="00EA5317" w:rsidRPr="00A52AB8">
        <w:t>isForwardSet[ forwardSet[ n ][ r ]</w:t>
      </w:r>
      <w:r w:rsidR="00DC1CD0" w:rsidRPr="00A52AB8">
        <w:t> </w:t>
      </w:r>
      <w:r w:rsidR="00EA5317" w:rsidRPr="00A52AB8">
        <w:t>]</w:t>
      </w:r>
      <w:r w:rsidR="00D47707" w:rsidRPr="00A52AB8">
        <w:t> = </w:t>
      </w:r>
      <w:r w:rsidR="00EA5317" w:rsidRPr="00A52AB8">
        <w:t>1</w:t>
      </w:r>
    </w:p>
    <w:p w14:paraId="06E098C3" w14:textId="13CAFF3C" w:rsidR="00EA5317" w:rsidRPr="00A52AB8" w:rsidRDefault="00AB2341"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The array </w:t>
      </w:r>
      <w:r w:rsidR="00EA5317" w:rsidRPr="00A52AB8">
        <w:rPr>
          <w:color w:val="000000" w:themeColor="text1"/>
        </w:rPr>
        <w:t>forwardCentroid[ n ] is calculated as follows:</w:t>
      </w:r>
    </w:p>
    <w:p w14:paraId="5F5C0723" w14:textId="0FF357A1" w:rsidR="007A17EC" w:rsidRPr="00A52AB8" w:rsidRDefault="00EA5317" w:rsidP="00EA5317">
      <w:r w:rsidRPr="00A52AB8">
        <w:tab/>
      </w:r>
      <w:r w:rsidRPr="00A52AB8">
        <w:tab/>
      </w:r>
      <w:r w:rsidR="00AB2341" w:rsidRPr="00A52AB8">
        <w:t>if( forwardDistance[ n ][ 0 ]</w:t>
      </w:r>
      <w:r w:rsidR="008768E9" w:rsidRPr="00A52AB8">
        <w:t> </w:t>
      </w:r>
      <w:r w:rsidR="00726AAE" w:rsidRPr="00A52AB8">
        <w:t>==</w:t>
      </w:r>
      <w:r w:rsidR="00D47707" w:rsidRPr="00A52AB8">
        <w:t> </w:t>
      </w:r>
      <w:r w:rsidR="00AB2341" w:rsidRPr="00A52AB8">
        <w:t>0 )</w:t>
      </w:r>
      <w:r w:rsidR="00AB2341" w:rsidRPr="00A52AB8">
        <w:br/>
      </w:r>
      <w:r w:rsidR="00AB2341" w:rsidRPr="00A52AB8">
        <w:tab/>
      </w:r>
      <w:r w:rsidR="00AB2341" w:rsidRPr="00A52AB8">
        <w:tab/>
      </w:r>
      <w:r w:rsidR="00AB2341" w:rsidRPr="00A52AB8">
        <w:tab/>
      </w:r>
      <w:r w:rsidRPr="00A52AB8">
        <w:t>forwardCentroid[ n ]</w:t>
      </w:r>
      <w:r w:rsidR="00D47707" w:rsidRPr="00A52AB8">
        <w:t> = </w:t>
      </w:r>
      <w:r w:rsidRPr="00A52AB8">
        <w:t>Assign( recPcAttr[ forwardSet[ n ][ 0 ] ], </w:t>
      </w:r>
      <w:r w:rsidR="00447AFC" w:rsidRPr="00A52AB8">
        <w:t>attrDimension</w:t>
      </w:r>
      <w:r w:rsidRPr="00A52AB8">
        <w:t> )</w:t>
      </w:r>
      <w:r w:rsidR="00AB2341" w:rsidRPr="00A52AB8">
        <w:br/>
      </w:r>
      <w:r w:rsidR="00AB2341" w:rsidRPr="00A52AB8">
        <w:tab/>
      </w:r>
      <w:r w:rsidR="00AB2341" w:rsidRPr="00A52AB8">
        <w:tab/>
        <w:t>else {</w:t>
      </w:r>
      <w:r w:rsidR="00AB2341" w:rsidRPr="00A52AB8">
        <w:br/>
      </w:r>
      <w:r w:rsidRPr="00A52AB8">
        <w:tab/>
      </w:r>
      <w:r w:rsidR="00467FB0" w:rsidRPr="00A52AB8">
        <w:tab/>
      </w:r>
      <w:r w:rsidR="00EB764C" w:rsidRPr="00A52AB8">
        <w:tab/>
      </w:r>
      <w:r w:rsidRPr="00A52AB8">
        <w:t>if( neighbourPoints</w:t>
      </w:r>
      <w:r w:rsidR="008768E9" w:rsidRPr="00A52AB8">
        <w:t> </w:t>
      </w:r>
      <w:r w:rsidR="00726AAE" w:rsidRPr="00A52AB8">
        <w:t>==</w:t>
      </w:r>
      <w:r w:rsidR="00D47707" w:rsidRPr="00A52AB8">
        <w:t> </w:t>
      </w:r>
      <w:r w:rsidRPr="00A52AB8">
        <w:t>1 </w:t>
      </w:r>
      <w:r w:rsidR="008F1F82" w:rsidRPr="00A52AB8">
        <w:t>) {</w:t>
      </w:r>
      <w:r w:rsidRPr="00A52AB8">
        <w:br/>
      </w:r>
      <w:r w:rsidRPr="00A52AB8">
        <w:tab/>
      </w:r>
      <w:r w:rsidRPr="00A52AB8">
        <w:tab/>
      </w:r>
      <w:r w:rsidR="00EB764C" w:rsidRPr="00A52AB8">
        <w:tab/>
      </w:r>
      <w:r w:rsidR="007A17EC" w:rsidRPr="00A52AB8">
        <w:tab/>
      </w:r>
      <w:r w:rsidRPr="00A52AB8">
        <w:t>forwardCentroid[ n ]</w:t>
      </w:r>
      <w:r w:rsidR="00EB764C" w:rsidRPr="00A52AB8">
        <w:br/>
      </w:r>
      <w:r w:rsidR="00EB764C" w:rsidRPr="00A52AB8">
        <w:tab/>
      </w:r>
      <w:r w:rsidR="00EB764C" w:rsidRPr="00A52AB8">
        <w:tab/>
      </w:r>
      <w:r w:rsidR="00EB764C" w:rsidRPr="00A52AB8">
        <w:tab/>
      </w:r>
      <w:r w:rsidR="00EB764C" w:rsidRPr="00A52AB8">
        <w:tab/>
      </w:r>
      <w:r w:rsidR="007A17EC" w:rsidRPr="00A52AB8">
        <w:tab/>
      </w:r>
      <w:r w:rsidR="00D47707" w:rsidRPr="00A52AB8">
        <w:t> = </w:t>
      </w:r>
      <w:r w:rsidRPr="00A52AB8">
        <w:t>Assign( recPcAttr[ forwardSet[ n ][ 0 ] ], </w:t>
      </w:r>
      <w:r w:rsidR="00447AFC" w:rsidRPr="00A52AB8">
        <w:t>attrDimension</w:t>
      </w:r>
      <w:r w:rsidRPr="00A52AB8">
        <w:t> )</w:t>
      </w:r>
      <w:r w:rsidRPr="00A52AB8">
        <w:br/>
      </w:r>
      <w:r w:rsidRPr="00A52AB8">
        <w:tab/>
      </w:r>
      <w:r w:rsidR="00EB764C" w:rsidRPr="00A52AB8">
        <w:tab/>
      </w:r>
      <w:r w:rsidR="007A17EC" w:rsidRPr="00A52AB8">
        <w:tab/>
      </w:r>
      <w:r w:rsidR="0023721F" w:rsidRPr="00A52AB8">
        <w:t>} else {</w:t>
      </w:r>
      <w:r w:rsidRPr="00A52AB8">
        <w:tab/>
      </w:r>
      <w:r w:rsidRPr="00A52AB8">
        <w:tab/>
      </w:r>
      <w:r w:rsidRPr="00A52AB8">
        <w:tab/>
      </w:r>
      <w:r w:rsidR="007A17EC" w:rsidRPr="00A52AB8">
        <w:tab/>
      </w:r>
      <w:r w:rsidR="007A17EC" w:rsidRPr="00A52AB8">
        <w:tab/>
      </w:r>
      <w:r w:rsidR="007A17EC" w:rsidRPr="00A52AB8">
        <w:tab/>
      </w:r>
      <w:r w:rsidR="00553388" w:rsidRPr="00A52AB8">
        <w:br/>
      </w:r>
      <w:r w:rsidR="00553388" w:rsidRPr="00A52AB8">
        <w:tab/>
      </w:r>
      <w:r w:rsidR="00553388" w:rsidRPr="00A52AB8">
        <w:tab/>
      </w:r>
      <w:r w:rsidR="00553388" w:rsidRPr="00A52AB8">
        <w:tab/>
      </w:r>
      <w:r w:rsidR="00553388" w:rsidRPr="00A52AB8">
        <w:tab/>
        <w:t>sumWeights</w:t>
      </w:r>
      <w:r w:rsidR="00D47707" w:rsidRPr="00A52AB8">
        <w:t> = </w:t>
      </w:r>
      <w:r w:rsidR="00553388" w:rsidRPr="00A52AB8">
        <w:t>0</w:t>
      </w:r>
      <w:r w:rsidR="00553388" w:rsidRPr="00A52AB8">
        <w:br/>
      </w:r>
      <w:r w:rsidR="00553388" w:rsidRPr="00A52AB8">
        <w:tab/>
      </w:r>
      <w:r w:rsidR="00553388" w:rsidRPr="00A52AB8">
        <w:tab/>
      </w:r>
      <w:r w:rsidR="00553388" w:rsidRPr="00A52AB8">
        <w:tab/>
      </w:r>
      <w:r w:rsidR="00553388" w:rsidRPr="00A52AB8">
        <w:tab/>
        <w:t>for( r</w:t>
      </w:r>
      <w:r w:rsidR="00D47707" w:rsidRPr="00A52AB8">
        <w:t> = </w:t>
      </w:r>
      <w:r w:rsidR="00553388" w:rsidRPr="00A52AB8">
        <w:t>0; r &lt; neighbourPoints[ n ]; r++ </w:t>
      </w:r>
      <w:r w:rsidR="008F1F82" w:rsidRPr="00A52AB8">
        <w:t>) {</w:t>
      </w:r>
      <w:r w:rsidR="00553388" w:rsidRPr="00A52AB8">
        <w:br/>
      </w:r>
      <w:r w:rsidR="00553388" w:rsidRPr="00A52AB8">
        <w:tab/>
      </w:r>
      <w:r w:rsidR="00553388" w:rsidRPr="00A52AB8">
        <w:tab/>
      </w:r>
      <w:r w:rsidR="00553388" w:rsidRPr="00A52AB8">
        <w:tab/>
      </w:r>
      <w:r w:rsidR="00553388" w:rsidRPr="00A52AB8">
        <w:tab/>
      </w:r>
      <w:r w:rsidR="00553388" w:rsidRPr="00A52AB8">
        <w:tab/>
        <w:t>sqrtDistance[ r ]</w:t>
      </w:r>
      <w:r w:rsidR="00D47707" w:rsidRPr="00A52AB8">
        <w:t> = </w:t>
      </w:r>
      <w:r w:rsidR="00553388" w:rsidRPr="00A52AB8">
        <w:t>Sqrt( forwardDistance[ n ][ r ] </w:t>
      </w:r>
      <w:r w:rsidR="006F5C53" w:rsidRPr="00A52AB8">
        <w:t>) </w:t>
      </w:r>
      <w:r w:rsidR="00553388" w:rsidRPr="00A52AB8">
        <w:t>+ 4</w:t>
      </w:r>
      <w:r w:rsidR="00553388" w:rsidRPr="00A52AB8">
        <w:br/>
      </w:r>
      <w:r w:rsidR="00553388" w:rsidRPr="00A52AB8">
        <w:tab/>
      </w:r>
      <w:r w:rsidR="00553388" w:rsidRPr="00A52AB8">
        <w:tab/>
      </w:r>
      <w:r w:rsidR="00553388" w:rsidRPr="00A52AB8">
        <w:tab/>
      </w:r>
      <w:r w:rsidR="00553388" w:rsidRPr="00A52AB8">
        <w:tab/>
      </w:r>
      <w:r w:rsidR="00553388" w:rsidRPr="00A52AB8">
        <w:tab/>
        <w:t>sumWeights </w:t>
      </w:r>
      <w:r w:rsidR="00A234FD" w:rsidRPr="00A52AB8">
        <w:t>+=</w:t>
      </w:r>
      <w:r w:rsidR="00D47707" w:rsidRPr="00A52AB8">
        <w:t> </w:t>
      </w:r>
      <w:r w:rsidR="00553388" w:rsidRPr="00A52AB8">
        <w:t>1 ÷ sqrtDistance[ r ]</w:t>
      </w:r>
      <w:r w:rsidR="00553388" w:rsidRPr="00A52AB8">
        <w:br/>
      </w:r>
      <w:r w:rsidR="00553388" w:rsidRPr="00A52AB8">
        <w:tab/>
      </w:r>
      <w:r w:rsidR="00553388" w:rsidRPr="00A52AB8">
        <w:tab/>
      </w:r>
      <w:r w:rsidR="00553388" w:rsidRPr="00A52AB8">
        <w:tab/>
      </w:r>
      <w:r w:rsidR="00553388" w:rsidRPr="00A52AB8">
        <w:tab/>
        <w:t>}</w:t>
      </w:r>
      <w:r w:rsidR="00553388" w:rsidRPr="00A52AB8">
        <w:br/>
      </w:r>
      <w:r w:rsidRPr="00A52AB8">
        <w:tab/>
      </w:r>
      <w:r w:rsidRPr="00A52AB8">
        <w:tab/>
      </w:r>
      <w:r w:rsidR="007A17EC" w:rsidRPr="00A52AB8">
        <w:tab/>
      </w:r>
      <w:r w:rsidR="007A17EC" w:rsidRPr="00A52AB8">
        <w:tab/>
      </w:r>
      <w:r w:rsidRPr="00A52AB8">
        <w:t>for( j</w:t>
      </w:r>
      <w:r w:rsidR="00D47707" w:rsidRPr="00A52AB8">
        <w:t> = </w:t>
      </w:r>
      <w:r w:rsidRPr="00A52AB8">
        <w:t>0; j &lt; </w:t>
      </w:r>
      <w:r w:rsidR="00447AFC" w:rsidRPr="00A52AB8">
        <w:t>attrDimension</w:t>
      </w:r>
      <w:r w:rsidRPr="00A52AB8">
        <w:t>; j++ </w:t>
      </w:r>
      <w:r w:rsidR="008F1F82" w:rsidRPr="00A52AB8">
        <w:t>) {</w:t>
      </w:r>
      <w:r w:rsidRPr="00A52AB8">
        <w:br/>
      </w:r>
      <w:r w:rsidRPr="00A52AB8">
        <w:tab/>
      </w:r>
      <w:r w:rsidRPr="00A52AB8">
        <w:tab/>
      </w:r>
      <w:r w:rsidRPr="00A52AB8">
        <w:tab/>
      </w:r>
      <w:r w:rsidR="007A17EC" w:rsidRPr="00A52AB8">
        <w:tab/>
      </w:r>
      <w:r w:rsidR="007A17EC" w:rsidRPr="00A52AB8">
        <w:tab/>
      </w:r>
      <w:r w:rsidRPr="00A52AB8">
        <w:t>centroid</w:t>
      </w:r>
      <w:r w:rsidR="00D47707" w:rsidRPr="00A52AB8">
        <w:t> = </w:t>
      </w:r>
      <w:r w:rsidRPr="00A52AB8">
        <w:t>0</w:t>
      </w:r>
      <w:r w:rsidRPr="00A52AB8">
        <w:br/>
      </w:r>
      <w:r w:rsidRPr="00A52AB8">
        <w:tab/>
      </w:r>
      <w:r w:rsidRPr="00A52AB8">
        <w:tab/>
      </w:r>
      <w:r w:rsidRPr="00A52AB8">
        <w:tab/>
      </w:r>
      <w:r w:rsidR="007A17EC" w:rsidRPr="00A52AB8">
        <w:tab/>
      </w:r>
      <w:r w:rsidR="007A17EC" w:rsidRPr="00A52AB8">
        <w:tab/>
      </w:r>
      <w:r w:rsidRPr="00A52AB8">
        <w:t>for( r</w:t>
      </w:r>
      <w:r w:rsidR="00D47707" w:rsidRPr="00A52AB8">
        <w:t> = </w:t>
      </w:r>
      <w:r w:rsidRPr="00A52AB8">
        <w:t>0; r &lt; neighbourPoints; r++ </w:t>
      </w:r>
      <w:r w:rsidR="008F1F82" w:rsidRPr="00A52AB8">
        <w:t>) {</w:t>
      </w:r>
      <w:r w:rsidR="00F4443B" w:rsidRPr="00A52AB8">
        <w:br/>
      </w:r>
      <w:r w:rsidR="00F4443B" w:rsidRPr="00A52AB8">
        <w:tab/>
      </w:r>
      <w:r w:rsidR="00F4443B" w:rsidRPr="00A52AB8">
        <w:tab/>
      </w:r>
      <w:r w:rsidR="00F4443B" w:rsidRPr="00A52AB8">
        <w:tab/>
      </w:r>
      <w:r w:rsidR="007A17EC" w:rsidRPr="00A52AB8">
        <w:tab/>
      </w:r>
      <w:r w:rsidR="007A17EC" w:rsidRPr="00A52AB8">
        <w:tab/>
      </w:r>
      <w:r w:rsidR="007A17EC" w:rsidRPr="00A52AB8">
        <w:tab/>
      </w:r>
      <w:r w:rsidR="00F4443B" w:rsidRPr="00A52AB8">
        <w:t>tmp</w:t>
      </w:r>
      <w:r w:rsidR="00D47707" w:rsidRPr="00A52AB8">
        <w:t> = </w:t>
      </w:r>
      <w:r w:rsidR="00F4443B" w:rsidRPr="00A52AB8">
        <w:t>recPcAttr[ forwardSet[ n ][ r ] ][ j ]</w:t>
      </w:r>
      <w:r w:rsidRPr="00A52AB8">
        <w:br/>
      </w:r>
      <w:r w:rsidRPr="00A52AB8">
        <w:tab/>
      </w:r>
      <w:r w:rsidRPr="00A52AB8">
        <w:tab/>
      </w:r>
      <w:r w:rsidRPr="00A52AB8">
        <w:tab/>
      </w:r>
      <w:r w:rsidR="007A17EC" w:rsidRPr="00A52AB8">
        <w:tab/>
      </w:r>
      <w:r w:rsidR="007A17EC" w:rsidRPr="00A52AB8">
        <w:tab/>
      </w:r>
      <w:r w:rsidR="007A17EC" w:rsidRPr="00A52AB8">
        <w:tab/>
      </w:r>
      <w:r w:rsidRPr="00A52AB8">
        <w:t>centroid </w:t>
      </w:r>
      <w:r w:rsidR="00A234FD" w:rsidRPr="00A52AB8">
        <w:t>+=</w:t>
      </w:r>
      <w:r w:rsidR="00D47707" w:rsidRPr="00A52AB8">
        <w:t> </w:t>
      </w:r>
      <w:r w:rsidR="00F4443B" w:rsidRPr="00A52AB8">
        <w:t>tmp</w:t>
      </w:r>
      <w:r w:rsidRPr="00A52AB8">
        <w:t> </w:t>
      </w:r>
      <w:r w:rsidR="00EE54BB" w:rsidRPr="00A52AB8">
        <w:t>÷</w:t>
      </w:r>
      <w:r w:rsidRPr="00A52AB8">
        <w:t> ( </w:t>
      </w:r>
      <w:r w:rsidR="00EE54BB" w:rsidRPr="00A52AB8">
        <w:t>Sqrt( </w:t>
      </w:r>
      <w:r w:rsidRPr="00A52AB8">
        <w:t>forwardDistance[ n ][ r ]</w:t>
      </w:r>
      <w:r w:rsidR="00EE54BB" w:rsidRPr="00A52AB8">
        <w:t> )</w:t>
      </w:r>
      <w:r w:rsidRPr="00A52AB8">
        <w:t> + 4 )</w:t>
      </w:r>
      <w:r w:rsidRPr="00A52AB8">
        <w:br/>
      </w:r>
      <w:r w:rsidRPr="00A52AB8">
        <w:tab/>
      </w:r>
      <w:r w:rsidRPr="00A52AB8">
        <w:tab/>
      </w:r>
      <w:r w:rsidRPr="00A52AB8">
        <w:tab/>
      </w:r>
      <w:r w:rsidR="007A17EC" w:rsidRPr="00A52AB8">
        <w:tab/>
      </w:r>
      <w:r w:rsidR="007A17EC" w:rsidRPr="00A52AB8">
        <w:tab/>
      </w:r>
      <w:r w:rsidRPr="00A52AB8">
        <w:t>}</w:t>
      </w:r>
      <w:r w:rsidR="00553388" w:rsidRPr="00A52AB8">
        <w:br/>
      </w:r>
      <w:r w:rsidR="00553388" w:rsidRPr="00A52AB8">
        <w:tab/>
      </w:r>
      <w:r w:rsidR="00553388" w:rsidRPr="00A52AB8">
        <w:tab/>
      </w:r>
      <w:r w:rsidR="00553388" w:rsidRPr="00A52AB8">
        <w:tab/>
      </w:r>
      <w:r w:rsidR="00553388" w:rsidRPr="00A52AB8">
        <w:tab/>
      </w:r>
      <w:r w:rsidR="00553388" w:rsidRPr="00A52AB8">
        <w:tab/>
      </w:r>
      <w:r w:rsidR="00084016" w:rsidRPr="00A52AB8">
        <w:t>forwardCentroid[ n ][ i ][ j ]</w:t>
      </w:r>
      <w:r w:rsidR="00D47707" w:rsidRPr="00A52AB8">
        <w:t> = </w:t>
      </w:r>
      <w:r w:rsidR="00553388" w:rsidRPr="00A52AB8">
        <w:t>centroid ÷ sumWeights</w:t>
      </w:r>
      <w:r w:rsidR="00084016" w:rsidRPr="00A52AB8">
        <w:br/>
      </w:r>
      <w:r w:rsidRPr="00A52AB8">
        <w:tab/>
      </w:r>
      <w:r w:rsidRPr="00A52AB8">
        <w:tab/>
      </w:r>
      <w:r w:rsidR="007A17EC" w:rsidRPr="00A52AB8">
        <w:tab/>
      </w:r>
      <w:r w:rsidR="007A17EC" w:rsidRPr="00A52AB8">
        <w:tab/>
      </w:r>
      <w:r w:rsidRPr="00A52AB8">
        <w:t>}</w:t>
      </w:r>
      <w:r w:rsidRPr="00A52AB8">
        <w:br/>
      </w:r>
      <w:r w:rsidRPr="00A52AB8">
        <w:tab/>
      </w:r>
      <w:r w:rsidR="007A17EC" w:rsidRPr="00A52AB8">
        <w:tab/>
      </w:r>
      <w:r w:rsidR="007A17EC" w:rsidRPr="00A52AB8">
        <w:tab/>
      </w:r>
      <w:r w:rsidRPr="00A52AB8">
        <w:t>}</w:t>
      </w:r>
      <w:r w:rsidRPr="00A52AB8">
        <w:br/>
      </w:r>
      <w:r w:rsidR="007A17EC" w:rsidRPr="00A52AB8">
        <w:tab/>
      </w:r>
      <w:r w:rsidR="007A17EC" w:rsidRPr="00A52AB8">
        <w:tab/>
        <w:t>}</w:t>
      </w:r>
    </w:p>
    <w:p w14:paraId="6F83EAF0" w14:textId="79A806D7" w:rsidR="007A17EC" w:rsidRPr="00A52AB8" w:rsidRDefault="00D2238D" w:rsidP="00EA5317">
      <w:r w:rsidRPr="00A52AB8">
        <w:t>After the completion of the forward search process, a</w:t>
      </w:r>
      <w:r w:rsidR="007A17EC" w:rsidRPr="00A52AB8">
        <w:t xml:space="preserve"> backwa</w:t>
      </w:r>
      <w:r w:rsidRPr="00A52AB8">
        <w:t>rd search is performed to determine a 2D array backwardCentroid of size pointCnt × 3, as follows:</w:t>
      </w:r>
    </w:p>
    <w:p w14:paraId="3E268133" w14:textId="0157A79B" w:rsidR="001E41CC" w:rsidRPr="00A52AB8" w:rsidRDefault="00551481" w:rsidP="009C6742">
      <w:r w:rsidRPr="00A52AB8">
        <w:t>2</w:t>
      </w:r>
      <w:r w:rsidR="001E41CC" w:rsidRPr="00A52AB8">
        <w:t>D Arrays backwardSet and backward</w:t>
      </w:r>
      <w:r w:rsidRPr="00A52AB8">
        <w:t>Distance and the 1D array backwardNeighbourPoints are initialized to 0.</w:t>
      </w:r>
    </w:p>
    <w:p w14:paraId="5C34734A" w14:textId="057569F3" w:rsidR="005746DF" w:rsidRPr="00A52AB8" w:rsidRDefault="005746DF" w:rsidP="00EA5317">
      <w:r w:rsidRPr="00A52AB8">
        <w:t>For m</w:t>
      </w:r>
      <w:r w:rsidR="00D47707" w:rsidRPr="00A52AB8">
        <w:t> = </w:t>
      </w:r>
      <w:r w:rsidRPr="00A52AB8">
        <w:t>0..pointCnt – 1 the following applies:</w:t>
      </w:r>
    </w:p>
    <w:p w14:paraId="3A2612C3" w14:textId="7CD6F96A" w:rsidR="009F0B2C" w:rsidRPr="00A52AB8" w:rsidRDefault="00EA531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If isForwardSet[ m </w:t>
      </w:r>
      <w:r w:rsidR="005746DF" w:rsidRPr="00A52AB8">
        <w:rPr>
          <w:color w:val="000000" w:themeColor="text1"/>
        </w:rPr>
        <w:t xml:space="preserve">] </w:t>
      </w:r>
      <w:r w:rsidRPr="00A52AB8">
        <w:rPr>
          <w:color w:val="000000" w:themeColor="text1"/>
        </w:rPr>
        <w:t xml:space="preserve">is equal to 1, the </w:t>
      </w:r>
      <w:r w:rsidR="005746DF" w:rsidRPr="00A52AB8">
        <w:rPr>
          <w:color w:val="000000" w:themeColor="text1"/>
        </w:rPr>
        <w:t xml:space="preserve">point neighbour search process </w:t>
      </w:r>
      <w:r w:rsidRPr="00A52AB8">
        <w:rPr>
          <w:color w:val="000000" w:themeColor="text1"/>
        </w:rPr>
        <w:t xml:space="preserve">defined in subclause </w:t>
      </w:r>
      <w:r w:rsidRPr="00496A4D">
        <w:rPr>
          <w:color w:val="000000" w:themeColor="text1"/>
        </w:rPr>
        <w:fldChar w:fldCharType="begin"/>
      </w:r>
      <w:r w:rsidRPr="00A52AB8">
        <w:rPr>
          <w:color w:val="000000" w:themeColor="text1"/>
        </w:rPr>
        <w:instrText xml:space="preserve"> REF _Ref48829873 \r \h  \* MERGEFORMAT </w:instrText>
      </w:r>
      <w:r w:rsidRPr="00496A4D">
        <w:rPr>
          <w:color w:val="000000" w:themeColor="text1"/>
        </w:rPr>
      </w:r>
      <w:r w:rsidRPr="00496A4D">
        <w:rPr>
          <w:color w:val="000000" w:themeColor="text1"/>
        </w:rPr>
        <w:fldChar w:fldCharType="separate"/>
      </w:r>
      <w:r w:rsidR="00507A67">
        <w:rPr>
          <w:color w:val="000000" w:themeColor="text1"/>
        </w:rPr>
        <w:t>H.12.8.4</w:t>
      </w:r>
      <w:r w:rsidRPr="00496A4D">
        <w:rPr>
          <w:color w:val="000000" w:themeColor="text1"/>
        </w:rPr>
        <w:fldChar w:fldCharType="end"/>
      </w:r>
      <w:r w:rsidRPr="00A52AB8">
        <w:rPr>
          <w:color w:val="000000" w:themeColor="text1"/>
        </w:rPr>
        <w:t xml:space="preserve"> is invoked with </w:t>
      </w:r>
      <w:r w:rsidR="005746DF" w:rsidRPr="00A52AB8">
        <w:rPr>
          <w:color w:val="000000" w:themeColor="text1"/>
        </w:rPr>
        <w:t>variables maxNeighbourBackward and pointCnt, and arrays recPcGeo[ m ] and recPcGeoMod</w:t>
      </w:r>
      <w:r w:rsidR="000E4EDD" w:rsidRPr="00A52AB8">
        <w:rPr>
          <w:color w:val="000000" w:themeColor="text1"/>
        </w:rPr>
        <w:t xml:space="preserve"> as inputs and the outputs are the </w:t>
      </w:r>
      <w:r w:rsidR="001E41CC" w:rsidRPr="00A52AB8">
        <w:rPr>
          <w:color w:val="000000" w:themeColor="text1"/>
        </w:rPr>
        <w:t xml:space="preserve">updated </w:t>
      </w:r>
      <w:r w:rsidR="005746DF" w:rsidRPr="00A52AB8">
        <w:rPr>
          <w:color w:val="000000" w:themeColor="text1"/>
        </w:rPr>
        <w:t xml:space="preserve">variable </w:t>
      </w:r>
      <w:r w:rsidR="001E41CC" w:rsidRPr="00A52AB8">
        <w:rPr>
          <w:color w:val="000000" w:themeColor="text1"/>
        </w:rPr>
        <w:t>n</w:t>
      </w:r>
      <w:r w:rsidR="005746DF" w:rsidRPr="00A52AB8">
        <w:rPr>
          <w:color w:val="000000" w:themeColor="text1"/>
        </w:rPr>
        <w:t xml:space="preserve">eighbourPoints and </w:t>
      </w:r>
      <w:r w:rsidR="000E4EDD" w:rsidRPr="00A52AB8">
        <w:rPr>
          <w:color w:val="000000" w:themeColor="text1"/>
        </w:rPr>
        <w:t xml:space="preserve">the </w:t>
      </w:r>
      <w:r w:rsidR="001E41CC" w:rsidRPr="00A52AB8">
        <w:rPr>
          <w:color w:val="000000" w:themeColor="text1"/>
        </w:rPr>
        <w:t xml:space="preserve">updated </w:t>
      </w:r>
      <w:r w:rsidR="005746DF" w:rsidRPr="00A52AB8">
        <w:rPr>
          <w:color w:val="000000" w:themeColor="text1"/>
        </w:rPr>
        <w:t xml:space="preserve">arrays </w:t>
      </w:r>
      <w:r w:rsidR="001E41CC" w:rsidRPr="00A52AB8">
        <w:rPr>
          <w:color w:val="000000" w:themeColor="text1"/>
        </w:rPr>
        <w:t>n</w:t>
      </w:r>
      <w:r w:rsidR="005746DF" w:rsidRPr="00A52AB8">
        <w:rPr>
          <w:color w:val="000000" w:themeColor="text1"/>
        </w:rPr>
        <w:t xml:space="preserve">eighbourSet and </w:t>
      </w:r>
      <w:r w:rsidR="001E41CC" w:rsidRPr="00A52AB8">
        <w:rPr>
          <w:color w:val="000000" w:themeColor="text1"/>
        </w:rPr>
        <w:t>d</w:t>
      </w:r>
      <w:r w:rsidR="005746DF" w:rsidRPr="00A52AB8">
        <w:rPr>
          <w:color w:val="000000" w:themeColor="text1"/>
        </w:rPr>
        <w:t>istanceSet.</w:t>
      </w:r>
    </w:p>
    <w:p w14:paraId="06D5201C" w14:textId="51FF75F1" w:rsidR="000E4EDD" w:rsidRPr="00A52AB8" w:rsidRDefault="000E4EDD"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The arrays backwardSet, backwardDistance, and backwardNeighbourPoints are updated as follows:</w:t>
      </w:r>
    </w:p>
    <w:p w14:paraId="46003CE8" w14:textId="58AF90F1" w:rsidR="000E4EDD" w:rsidRPr="00A52AB8" w:rsidRDefault="00EA5317" w:rsidP="00EA5317">
      <w:r w:rsidRPr="00A52AB8">
        <w:tab/>
      </w:r>
      <w:r w:rsidR="000E4EDD" w:rsidRPr="00A52AB8">
        <w:tab/>
      </w:r>
      <w:r w:rsidR="00551481" w:rsidRPr="00A52AB8">
        <w:t>tmpIdx</w:t>
      </w:r>
      <w:r w:rsidR="00D47707" w:rsidRPr="00A52AB8">
        <w:t> = </w:t>
      </w:r>
      <w:r w:rsidR="00551481" w:rsidRPr="00A52AB8">
        <w:t>neighbourSet[ 0 ]</w:t>
      </w:r>
      <w:r w:rsidR="00551481" w:rsidRPr="00A52AB8">
        <w:br/>
      </w:r>
      <w:r w:rsidR="00551481" w:rsidRPr="00A52AB8">
        <w:tab/>
      </w:r>
      <w:r w:rsidR="00551481" w:rsidRPr="00A52AB8">
        <w:tab/>
      </w:r>
      <w:r w:rsidR="001E41CC" w:rsidRPr="00A52AB8">
        <w:t>cnt</w:t>
      </w:r>
      <w:r w:rsidR="00D47707" w:rsidRPr="00A52AB8">
        <w:t> = </w:t>
      </w:r>
      <w:r w:rsidR="001E41CC" w:rsidRPr="00A52AB8">
        <w:t>backwardNeighbourPoints[ </w:t>
      </w:r>
      <w:r w:rsidR="00551481" w:rsidRPr="00A52AB8">
        <w:t>tmpIdx</w:t>
      </w:r>
      <w:r w:rsidR="001E41CC" w:rsidRPr="00A52AB8">
        <w:t> ]</w:t>
      </w:r>
      <w:r w:rsidR="00551481" w:rsidRPr="00A52AB8">
        <w:br/>
      </w:r>
      <w:r w:rsidR="00551481" w:rsidRPr="00A52AB8">
        <w:tab/>
      </w:r>
      <w:r w:rsidR="00551481" w:rsidRPr="00A52AB8">
        <w:tab/>
      </w:r>
      <w:r w:rsidRPr="00A52AB8">
        <w:t>backwardSet[ </w:t>
      </w:r>
      <w:r w:rsidR="00551481" w:rsidRPr="00A52AB8">
        <w:t>tmpIdx </w:t>
      </w:r>
      <w:r w:rsidRPr="00A52AB8">
        <w:t>]</w:t>
      </w:r>
      <w:r w:rsidR="001E41CC" w:rsidRPr="00A52AB8">
        <w:t>[ cnt ]</w:t>
      </w:r>
      <w:r w:rsidR="00D47707" w:rsidRPr="00A52AB8">
        <w:t> = </w:t>
      </w:r>
      <w:r w:rsidRPr="00A52AB8">
        <w:t>m</w:t>
      </w:r>
      <w:r w:rsidR="00551481" w:rsidRPr="00A52AB8">
        <w:br/>
      </w:r>
      <w:r w:rsidR="00551481" w:rsidRPr="00A52AB8">
        <w:tab/>
      </w:r>
      <w:r w:rsidR="00551481" w:rsidRPr="00A52AB8">
        <w:tab/>
        <w:t>backwardDistance[tmpIdx ][ cnt ]</w:t>
      </w:r>
      <w:r w:rsidR="00D47707" w:rsidRPr="00A52AB8">
        <w:t> = </w:t>
      </w:r>
      <w:r w:rsidR="00551481" w:rsidRPr="00A52AB8">
        <w:t>distanceSet[ 0 ]</w:t>
      </w:r>
      <w:r w:rsidRPr="00A52AB8">
        <w:br/>
      </w:r>
      <w:r w:rsidRPr="00A52AB8">
        <w:tab/>
      </w:r>
      <w:r w:rsidRPr="00A52AB8">
        <w:tab/>
        <w:t>backwardNeighbourPoints[ </w:t>
      </w:r>
      <w:r w:rsidR="00551481" w:rsidRPr="00A52AB8">
        <w:t>tmpIdx</w:t>
      </w:r>
      <w:r w:rsidRPr="00A52AB8">
        <w:t> ] </w:t>
      </w:r>
      <w:r w:rsidR="001E41CC" w:rsidRPr="00A52AB8">
        <w:t>++</w:t>
      </w:r>
    </w:p>
    <w:p w14:paraId="0C95371C" w14:textId="3522BF67" w:rsidR="000E4EDD" w:rsidRPr="00A52AB8" w:rsidRDefault="000E4EDD" w:rsidP="009C6742">
      <w:r w:rsidRPr="00A52AB8">
        <w:t>The pointCnt × 3 2D array backwardCentroid is calculated as follows:</w:t>
      </w:r>
    </w:p>
    <w:p w14:paraId="4E43E788" w14:textId="07DF0A32" w:rsidR="000C64DC" w:rsidRPr="00A52AB8" w:rsidRDefault="000C64DC" w:rsidP="000C64DC">
      <w:r w:rsidRPr="00A52AB8">
        <w:tab/>
      </w:r>
      <w:r w:rsidRPr="00A52AB8">
        <w:tab/>
        <w:t>for( n</w:t>
      </w:r>
      <w:r w:rsidR="00D47707" w:rsidRPr="00A52AB8">
        <w:t> = </w:t>
      </w:r>
      <w:r w:rsidRPr="00A52AB8">
        <w:t>0; n &lt; pointCnt; n++ </w:t>
      </w:r>
      <w:r w:rsidR="008F1F82" w:rsidRPr="00A52AB8">
        <w:t>) {</w:t>
      </w:r>
      <w:r w:rsidRPr="00A52AB8">
        <w:br/>
      </w:r>
      <w:r w:rsidRPr="00A52AB8">
        <w:tab/>
      </w:r>
      <w:r w:rsidRPr="00A52AB8">
        <w:tab/>
      </w:r>
      <w:r w:rsidRPr="00A52AB8">
        <w:tab/>
        <w:t>if( backwardNeighbourPoints[ n ] </w:t>
      </w:r>
      <w:r w:rsidR="00726AAE" w:rsidRPr="00A52AB8">
        <w:t>==</w:t>
      </w:r>
      <w:r w:rsidR="00D47707" w:rsidRPr="00A52AB8">
        <w:t> </w:t>
      </w:r>
      <w:r w:rsidRPr="00A52AB8">
        <w:t>0 )</w:t>
      </w:r>
      <w:r w:rsidRPr="00A52AB8">
        <w:br/>
      </w:r>
      <w:r w:rsidRPr="00A52AB8">
        <w:tab/>
      </w:r>
      <w:r w:rsidRPr="00A52AB8">
        <w:tab/>
      </w:r>
      <w:r w:rsidRPr="00A52AB8">
        <w:tab/>
      </w:r>
      <w:r w:rsidRPr="00A52AB8">
        <w:tab/>
        <w:t>continue</w:t>
      </w:r>
      <w:r w:rsidRPr="00A52AB8">
        <w:br/>
      </w:r>
      <w:r w:rsidRPr="00A52AB8">
        <w:tab/>
      </w:r>
      <w:r w:rsidRPr="00A52AB8">
        <w:tab/>
      </w:r>
      <w:r w:rsidRPr="00A52AB8">
        <w:tab/>
        <w:t>if( backwardNeighbourPoints[ n ] </w:t>
      </w:r>
      <w:r w:rsidR="00726AAE" w:rsidRPr="00A52AB8">
        <w:t>==</w:t>
      </w:r>
      <w:r w:rsidR="00D47707" w:rsidRPr="00A52AB8">
        <w:t> </w:t>
      </w:r>
      <w:r w:rsidRPr="00A52AB8">
        <w:t>1 </w:t>
      </w:r>
      <w:r w:rsidR="008F1F82" w:rsidRPr="00A52AB8">
        <w:t>) {</w:t>
      </w:r>
      <w:r w:rsidRPr="00A52AB8">
        <w:br/>
      </w:r>
      <w:r w:rsidRPr="00A52AB8">
        <w:tab/>
      </w:r>
      <w:r w:rsidRPr="00A52AB8">
        <w:tab/>
      </w:r>
      <w:r w:rsidRPr="00A52AB8">
        <w:tab/>
      </w:r>
      <w:r w:rsidRPr="00A52AB8">
        <w:tab/>
        <w:t>backwardCentroid[ n ] =</w:t>
      </w:r>
      <w:r w:rsidRPr="00A52AB8">
        <w:br/>
      </w:r>
      <w:r w:rsidRPr="00A52AB8">
        <w:tab/>
      </w:r>
      <w:r w:rsidRPr="00A52AB8">
        <w:tab/>
      </w:r>
      <w:r w:rsidRPr="00A52AB8">
        <w:tab/>
      </w:r>
      <w:r w:rsidRPr="00A52AB8">
        <w:tab/>
      </w:r>
      <w:r w:rsidRPr="00A52AB8">
        <w:tab/>
      </w:r>
      <w:r w:rsidRPr="00A52AB8">
        <w:tab/>
        <w:t> assign( recPcAttr[ backwardSet[ n ][ 0 ] ], attrDimension )</w:t>
      </w:r>
      <w:r w:rsidRPr="00A52AB8">
        <w:tab/>
      </w:r>
      <w:r w:rsidRPr="00A52AB8">
        <w:tab/>
      </w:r>
      <w:r w:rsidRPr="00A52AB8">
        <w:tab/>
      </w:r>
      <w:r w:rsidRPr="00A52AB8">
        <w:tab/>
      </w:r>
      <w:r w:rsidR="0023721F" w:rsidRPr="00A52AB8">
        <w:t>} else {</w:t>
      </w:r>
      <w:r w:rsidRPr="00A52AB8">
        <w:br/>
      </w:r>
      <w:r w:rsidRPr="00A52AB8">
        <w:tab/>
      </w:r>
      <w:r w:rsidRPr="00A52AB8">
        <w:tab/>
      </w:r>
      <w:r w:rsidRPr="00A52AB8">
        <w:tab/>
      </w:r>
      <w:r w:rsidRPr="00A52AB8">
        <w:tab/>
        <w:t>sumWeights</w:t>
      </w:r>
      <w:r w:rsidR="00D47707" w:rsidRPr="00A52AB8">
        <w:t> = </w:t>
      </w:r>
      <w:r w:rsidRPr="00A52AB8">
        <w:t>0</w:t>
      </w:r>
      <w:r w:rsidRPr="00A52AB8">
        <w:br/>
      </w:r>
      <w:r w:rsidRPr="00A52AB8">
        <w:tab/>
      </w:r>
      <w:r w:rsidRPr="00A52AB8">
        <w:tab/>
      </w:r>
      <w:r w:rsidRPr="00A52AB8">
        <w:tab/>
      </w:r>
      <w:r w:rsidRPr="00A52AB8">
        <w:tab/>
        <w:t>for( r</w:t>
      </w:r>
      <w:r w:rsidR="00D47707" w:rsidRPr="00A52AB8">
        <w:t> = </w:t>
      </w:r>
      <w:r w:rsidRPr="00A52AB8">
        <w:t>0; r &lt; backwardNeighbourPoints[ n ]; r++ </w:t>
      </w:r>
      <w:r w:rsidR="008F1F82" w:rsidRPr="00A52AB8">
        <w:t>) {</w:t>
      </w:r>
      <w:r w:rsidRPr="00A52AB8">
        <w:br/>
      </w:r>
      <w:r w:rsidRPr="00A52AB8">
        <w:tab/>
      </w:r>
      <w:r w:rsidRPr="00A52AB8">
        <w:tab/>
      </w:r>
      <w:r w:rsidRPr="00A52AB8">
        <w:tab/>
      </w:r>
      <w:r w:rsidRPr="00A52AB8">
        <w:tab/>
      </w:r>
      <w:r w:rsidRPr="00A52AB8">
        <w:tab/>
        <w:t>sqrtDistance[ r ]</w:t>
      </w:r>
      <w:r w:rsidR="00D47707" w:rsidRPr="00A52AB8">
        <w:t> = </w:t>
      </w:r>
      <w:r w:rsidRPr="00A52AB8">
        <w:t>Sqrt( backwardDistance[ n ][ r ] </w:t>
      </w:r>
      <w:r w:rsidR="0064642B" w:rsidRPr="00A52AB8">
        <w:t>) </w:t>
      </w:r>
      <w:r w:rsidRPr="00A52AB8">
        <w:t>+ 4</w:t>
      </w:r>
      <w:r w:rsidRPr="00A52AB8">
        <w:br/>
      </w:r>
      <w:r w:rsidRPr="00A52AB8">
        <w:tab/>
      </w:r>
      <w:r w:rsidRPr="00A52AB8">
        <w:tab/>
      </w:r>
      <w:r w:rsidRPr="00A52AB8">
        <w:tab/>
      </w:r>
      <w:r w:rsidRPr="00A52AB8">
        <w:tab/>
      </w:r>
      <w:r w:rsidRPr="00A52AB8">
        <w:tab/>
        <w:t>sumWeights </w:t>
      </w:r>
      <w:r w:rsidR="00A234FD" w:rsidRPr="00A52AB8">
        <w:t>+=</w:t>
      </w:r>
      <w:r w:rsidR="00D47707" w:rsidRPr="00A52AB8">
        <w:t> </w:t>
      </w:r>
      <w:r w:rsidRPr="00A52AB8">
        <w:t>1 ÷ sqrtDistance[ r ]</w:t>
      </w:r>
      <w:r w:rsidRPr="00A52AB8">
        <w:br/>
      </w:r>
      <w:r w:rsidRPr="00A52AB8">
        <w:tab/>
      </w:r>
      <w:r w:rsidRPr="00A52AB8">
        <w:tab/>
      </w:r>
      <w:r w:rsidRPr="00A52AB8">
        <w:tab/>
      </w:r>
      <w:r w:rsidRPr="00A52AB8">
        <w:tab/>
        <w:t>}</w:t>
      </w:r>
      <w:r w:rsidRPr="00A52AB8">
        <w:br/>
      </w:r>
      <w:r w:rsidRPr="00A52AB8">
        <w:tab/>
      </w:r>
      <w:r w:rsidRPr="00A52AB8">
        <w:tab/>
      </w:r>
      <w:r w:rsidRPr="00A52AB8">
        <w:tab/>
      </w:r>
      <w:r w:rsidRPr="00A52AB8">
        <w:tab/>
        <w:t>for( j</w:t>
      </w:r>
      <w:r w:rsidR="00D47707" w:rsidRPr="00A52AB8">
        <w:t> = </w:t>
      </w:r>
      <w:r w:rsidRPr="00A52AB8">
        <w:t>0; j &lt; ai_attribute_dimension_minus1[ PostRecAtlasID ][ i ]; j++ </w:t>
      </w:r>
      <w:r w:rsidR="008F1F82" w:rsidRPr="00A52AB8">
        <w:t>) {</w:t>
      </w:r>
      <w:r w:rsidRPr="00A52AB8">
        <w:br/>
      </w:r>
      <w:r w:rsidRPr="00A52AB8">
        <w:tab/>
      </w:r>
      <w:r w:rsidRPr="00A52AB8">
        <w:tab/>
      </w:r>
      <w:r w:rsidRPr="00A52AB8">
        <w:tab/>
      </w:r>
      <w:r w:rsidRPr="00A52AB8">
        <w:tab/>
      </w:r>
      <w:r w:rsidRPr="00A52AB8">
        <w:tab/>
        <w:t>centroid</w:t>
      </w:r>
      <w:r w:rsidR="00D47707" w:rsidRPr="00A52AB8">
        <w:t> = </w:t>
      </w:r>
      <w:r w:rsidRPr="00A52AB8">
        <w:t>0</w:t>
      </w:r>
      <w:r w:rsidRPr="00A52AB8">
        <w:br/>
      </w:r>
      <w:r w:rsidRPr="00A52AB8">
        <w:tab/>
      </w:r>
      <w:r w:rsidRPr="00A52AB8">
        <w:tab/>
      </w:r>
      <w:r w:rsidRPr="00A52AB8">
        <w:tab/>
      </w:r>
      <w:r w:rsidRPr="00A52AB8">
        <w:tab/>
      </w:r>
      <w:r w:rsidRPr="00A52AB8">
        <w:tab/>
        <w:t>for( r</w:t>
      </w:r>
      <w:r w:rsidR="00D47707" w:rsidRPr="00A52AB8">
        <w:t> = </w:t>
      </w:r>
      <w:r w:rsidRPr="00A52AB8">
        <w:t>0; r &lt; backwardNeighbourPoints[ n ]; r++ </w:t>
      </w:r>
      <w:r w:rsidR="008F1F82" w:rsidRPr="00A52AB8">
        <w:t>) {</w:t>
      </w:r>
      <w:r w:rsidRPr="00A52AB8">
        <w:br/>
      </w:r>
      <w:r w:rsidRPr="00A52AB8">
        <w:tab/>
      </w:r>
      <w:r w:rsidRPr="00A52AB8">
        <w:tab/>
      </w:r>
      <w:r w:rsidRPr="00A52AB8">
        <w:tab/>
      </w:r>
      <w:r w:rsidRPr="00A52AB8">
        <w:tab/>
      </w:r>
      <w:r w:rsidRPr="00A52AB8">
        <w:tab/>
      </w:r>
      <w:r w:rsidRPr="00A52AB8">
        <w:tab/>
        <w:t>tmp</w:t>
      </w:r>
      <w:r w:rsidR="00D47707" w:rsidRPr="00A52AB8">
        <w:t> = </w:t>
      </w:r>
      <w:r w:rsidRPr="00A52AB8">
        <w:t>recPcAttr[ backwardSet[ n ][ r ] ][ i ][ j ]</w:t>
      </w:r>
      <w:r w:rsidRPr="00A52AB8">
        <w:br/>
      </w:r>
      <w:r w:rsidRPr="00A52AB8">
        <w:tab/>
      </w:r>
      <w:r w:rsidRPr="00A52AB8">
        <w:tab/>
      </w:r>
      <w:r w:rsidRPr="00A52AB8">
        <w:tab/>
      </w:r>
      <w:r w:rsidRPr="00A52AB8">
        <w:tab/>
      </w:r>
      <w:r w:rsidRPr="00A52AB8">
        <w:tab/>
      </w:r>
      <w:r w:rsidRPr="00A52AB8">
        <w:tab/>
        <w:t>centroid </w:t>
      </w:r>
      <w:r w:rsidR="00A234FD" w:rsidRPr="00A52AB8">
        <w:t>+=</w:t>
      </w:r>
      <w:r w:rsidR="00D47707" w:rsidRPr="00A52AB8">
        <w:t> </w:t>
      </w:r>
      <w:r w:rsidRPr="00A52AB8">
        <w:t>tmp ÷ sqrtDistance[ r ]</w:t>
      </w:r>
      <w:r w:rsidRPr="00A52AB8">
        <w:br/>
      </w:r>
      <w:r w:rsidRPr="00A52AB8">
        <w:tab/>
      </w:r>
      <w:r w:rsidRPr="00A52AB8">
        <w:tab/>
      </w:r>
      <w:r w:rsidRPr="00A52AB8">
        <w:tab/>
      </w:r>
      <w:r w:rsidRPr="00A52AB8">
        <w:tab/>
      </w:r>
      <w:r w:rsidRPr="00A52AB8">
        <w:tab/>
        <w:t>}</w:t>
      </w:r>
      <w:r w:rsidRPr="00A52AB8">
        <w:br/>
      </w:r>
      <w:r w:rsidRPr="00A52AB8">
        <w:tab/>
      </w:r>
      <w:r w:rsidRPr="00A52AB8">
        <w:tab/>
      </w:r>
      <w:r w:rsidRPr="00A52AB8">
        <w:tab/>
      </w:r>
      <w:r w:rsidRPr="00A52AB8">
        <w:tab/>
      </w:r>
      <w:r w:rsidRPr="00A52AB8">
        <w:tab/>
        <w:t>backwardCentroid[ n ][ i ][ j ]</w:t>
      </w:r>
      <w:r w:rsidR="00D47707" w:rsidRPr="00A52AB8">
        <w:t> = </w:t>
      </w:r>
      <w:r w:rsidRPr="00A52AB8">
        <w:t>centroid ÷ sumWeights</w:t>
      </w:r>
      <w:r w:rsidRPr="00A52AB8">
        <w:br/>
      </w:r>
      <w:r w:rsidRPr="00A52AB8">
        <w:tab/>
      </w:r>
      <w:r w:rsidRPr="00A52AB8">
        <w:tab/>
      </w:r>
      <w:r w:rsidRPr="00A52AB8">
        <w:tab/>
      </w:r>
      <w:r w:rsidRPr="00A52AB8">
        <w:tab/>
        <w:t>}</w:t>
      </w:r>
      <w:r w:rsidRPr="00A52AB8">
        <w:br/>
      </w:r>
      <w:r w:rsidRPr="00A52AB8">
        <w:tab/>
      </w:r>
      <w:r w:rsidRPr="00A52AB8">
        <w:tab/>
      </w:r>
      <w:r w:rsidRPr="00A52AB8">
        <w:tab/>
        <w:t>}</w:t>
      </w:r>
      <w:r w:rsidRPr="00A52AB8">
        <w:br/>
      </w:r>
      <w:r w:rsidRPr="00A52AB8">
        <w:tab/>
      </w:r>
      <w:r w:rsidRPr="00A52AB8">
        <w:tab/>
        <w:t>}</w:t>
      </w:r>
    </w:p>
    <w:p w14:paraId="2E0C7EB2" w14:textId="5484DD29" w:rsidR="00EA5317" w:rsidRPr="00A52AB8" w:rsidRDefault="00F4770F" w:rsidP="00EA5317">
      <w:r w:rsidRPr="00A52AB8">
        <w:t xml:space="preserve">The array </w:t>
      </w:r>
      <w:r w:rsidR="00EA5317" w:rsidRPr="00A52AB8">
        <w:t>recPcAttrMod[ n ] is calculated as follows:</w:t>
      </w:r>
    </w:p>
    <w:p w14:paraId="30653726" w14:textId="26998316" w:rsidR="00EA5317" w:rsidRPr="00A52AB8" w:rsidRDefault="00EA531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If isUpdatedPoint[ n ] is equal to </w:t>
      </w:r>
      <w:r w:rsidR="003F5059" w:rsidRPr="00A52AB8">
        <w:rPr>
          <w:color w:val="000000" w:themeColor="text1"/>
        </w:rPr>
        <w:t>1</w:t>
      </w:r>
      <w:r w:rsidR="00084016" w:rsidRPr="00A52AB8">
        <w:rPr>
          <w:color w:val="000000" w:themeColor="text1"/>
        </w:rPr>
        <w:t xml:space="preserve"> </w:t>
      </w:r>
      <w:r w:rsidRPr="00A52AB8">
        <w:rPr>
          <w:color w:val="000000" w:themeColor="text1"/>
        </w:rPr>
        <w:t>and backwardNeighbourPoints[ n ] is equal to 0 then:</w:t>
      </w:r>
    </w:p>
    <w:p w14:paraId="36018765" w14:textId="3DBB1DD7" w:rsidR="00EA5317" w:rsidRPr="00A52AB8" w:rsidRDefault="00EA5317" w:rsidP="00EA5317">
      <w:r w:rsidRPr="00A52AB8">
        <w:tab/>
      </w:r>
      <w:r w:rsidRPr="00A52AB8">
        <w:tab/>
      </w:r>
      <w:r w:rsidR="00C25865" w:rsidRPr="00A52AB8">
        <w:t>recPcAttrMod[ n ]</w:t>
      </w:r>
      <w:r w:rsidR="00D47707" w:rsidRPr="00A52AB8">
        <w:t> = </w:t>
      </w:r>
      <w:r w:rsidRPr="00A52AB8">
        <w:t>Assign(forwardCentroid[ n ], </w:t>
      </w:r>
      <w:r w:rsidR="00447AFC" w:rsidRPr="00A52AB8">
        <w:t>attrDimension</w:t>
      </w:r>
      <w:r w:rsidRPr="00A52AB8">
        <w:t> )</w:t>
      </w:r>
    </w:p>
    <w:p w14:paraId="73B3F851" w14:textId="6A46A168" w:rsidR="00EA5317" w:rsidRPr="00A52AB8" w:rsidRDefault="00EA531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Otherwise if isUpdatedPoint[ n ] is equal to </w:t>
      </w:r>
      <w:r w:rsidR="00F4770F" w:rsidRPr="00A52AB8">
        <w:rPr>
          <w:color w:val="000000" w:themeColor="text1"/>
        </w:rPr>
        <w:t>1</w:t>
      </w:r>
    </w:p>
    <w:p w14:paraId="797608F1" w14:textId="6818E23A" w:rsidR="0050235C" w:rsidRPr="00A52AB8" w:rsidRDefault="00EA5317" w:rsidP="00EA5317">
      <w:r w:rsidRPr="00A52AB8">
        <w:tab/>
      </w:r>
      <w:r w:rsidRPr="00A52AB8">
        <w:tab/>
      </w:r>
      <w:r w:rsidR="00C25865" w:rsidRPr="00A52AB8">
        <w:t>recPcAttrMod[ n ]</w:t>
      </w:r>
      <w:r w:rsidR="00D47707" w:rsidRPr="00A52AB8">
        <w:t> = </w:t>
      </w:r>
      <w:r w:rsidRPr="00A52AB8">
        <w:t>Assign( backwardCentroid[ n ], </w:t>
      </w:r>
      <w:r w:rsidR="00447AFC" w:rsidRPr="00A52AB8">
        <w:t>attrDimension</w:t>
      </w:r>
      <w:r w:rsidRPr="00A52AB8">
        <w:t> )</w:t>
      </w:r>
    </w:p>
    <w:p w14:paraId="6C5FE6EC" w14:textId="05932819" w:rsidR="00EA5317" w:rsidRPr="00A52AB8" w:rsidRDefault="00EA531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Otherwise</w:t>
      </w:r>
      <w:r w:rsidR="00084016" w:rsidRPr="00A52AB8">
        <w:rPr>
          <w:color w:val="000000" w:themeColor="text1"/>
        </w:rPr>
        <w:t xml:space="preserve"> (isUpdatedPoint[ n ] is equal to 0)</w:t>
      </w:r>
    </w:p>
    <w:p w14:paraId="362AE7F7" w14:textId="1DABA968" w:rsidR="00EA5317" w:rsidRPr="00A52AB8" w:rsidRDefault="00EA5317" w:rsidP="00EA5317">
      <w:r w:rsidRPr="00A52AB8">
        <w:tab/>
      </w:r>
      <w:r w:rsidRPr="00A52AB8">
        <w:tab/>
        <w:t>recPcAttrMod[ n ]</w:t>
      </w:r>
      <w:r w:rsidR="00D47707" w:rsidRPr="00A52AB8">
        <w:t> = </w:t>
      </w:r>
      <w:r w:rsidRPr="00A52AB8">
        <w:t>Assign( recPcAttr[ n ][ c ], </w:t>
      </w:r>
      <w:r w:rsidR="00447AFC" w:rsidRPr="00A52AB8">
        <w:t>attrDimension</w:t>
      </w:r>
      <w:r w:rsidRPr="00A52AB8">
        <w:t> )</w:t>
      </w:r>
    </w:p>
    <w:p w14:paraId="7139CFD8" w14:textId="241DE2CA" w:rsidR="00EA5317" w:rsidRPr="00A52AB8" w:rsidRDefault="00EA5317" w:rsidP="004A6049">
      <w:pPr>
        <w:pStyle w:val="a4"/>
        <w:numPr>
          <w:ilvl w:val="3"/>
          <w:numId w:val="19"/>
        </w:numPr>
        <w:tabs>
          <w:tab w:val="clear" w:pos="7200"/>
        </w:tabs>
      </w:pPr>
      <w:bookmarkStart w:id="6994" w:name="_Ref48829973"/>
      <w:bookmarkStart w:id="6995" w:name="_Ref49010571"/>
      <w:r w:rsidRPr="00A52AB8">
        <w:t>Process to compute the distance</w:t>
      </w:r>
      <w:bookmarkEnd w:id="6994"/>
      <w:r w:rsidRPr="00A52AB8">
        <w:t xml:space="preserve"> between two arrays</w:t>
      </w:r>
      <w:bookmarkEnd w:id="6995"/>
    </w:p>
    <w:p w14:paraId="51E79052" w14:textId="2A421A7F" w:rsidR="00EA5317" w:rsidRPr="00A52AB8" w:rsidRDefault="00EA5317" w:rsidP="00EA5317">
      <w:r w:rsidRPr="00A52AB8">
        <w:t xml:space="preserve">Let the function </w:t>
      </w:r>
      <w:r w:rsidR="007568DE" w:rsidRPr="00A52AB8">
        <w:t>D</w:t>
      </w:r>
      <w:r w:rsidRPr="00A52AB8">
        <w:t>istance( arrayA, arrayB, size ) be defined as follows:</w:t>
      </w:r>
    </w:p>
    <w:p w14:paraId="3B98878F" w14:textId="397D7C45" w:rsidR="00EA5317" w:rsidRPr="00A52AB8" w:rsidRDefault="00EA5317" w:rsidP="00EA5317">
      <w:r w:rsidRPr="00A52AB8">
        <w:tab/>
      </w:r>
      <w:r w:rsidR="007568DE" w:rsidRPr="00A52AB8">
        <w:t>D</w:t>
      </w:r>
      <w:r w:rsidRPr="00A52AB8">
        <w:t>istance( arrayA, arrayB, size </w:t>
      </w:r>
      <w:r w:rsidR="00900B12" w:rsidRPr="00A52AB8">
        <w:t>) {</w:t>
      </w:r>
      <w:r w:rsidRPr="00A52AB8">
        <w:br/>
      </w:r>
      <w:r w:rsidRPr="00A52AB8">
        <w:tab/>
      </w:r>
      <w:r w:rsidRPr="00A52AB8">
        <w:tab/>
        <w:t>dist</w:t>
      </w:r>
      <w:r w:rsidR="00D47707" w:rsidRPr="00A52AB8">
        <w:t> = </w:t>
      </w:r>
      <w:r w:rsidRPr="00A52AB8">
        <w:t>0</w:t>
      </w:r>
      <w:r w:rsidRPr="00A52AB8">
        <w:br/>
      </w:r>
      <w:r w:rsidRPr="00A52AB8">
        <w:tab/>
      </w:r>
      <w:r w:rsidRPr="00A52AB8">
        <w:tab/>
        <w:t>for( k</w:t>
      </w:r>
      <w:r w:rsidR="00D47707" w:rsidRPr="00A52AB8">
        <w:t> = </w:t>
      </w:r>
      <w:r w:rsidRPr="00A52AB8">
        <w:t>0; k &lt; size; k++ </w:t>
      </w:r>
      <w:r w:rsidR="00900B12" w:rsidRPr="00A52AB8">
        <w:t>) {</w:t>
      </w:r>
      <w:r w:rsidRPr="00A52AB8">
        <w:br/>
      </w:r>
      <w:r w:rsidRPr="00A52AB8">
        <w:tab/>
      </w:r>
      <w:r w:rsidRPr="00A52AB8">
        <w:tab/>
      </w:r>
      <w:r w:rsidRPr="00A52AB8">
        <w:tab/>
        <w:t>dist </w:t>
      </w:r>
      <w:r w:rsidR="00A234FD" w:rsidRPr="00A52AB8">
        <w:t>+=</w:t>
      </w:r>
      <w:r w:rsidR="00D47707" w:rsidRPr="00A52AB8">
        <w:t> </w:t>
      </w:r>
      <w:r w:rsidRPr="00A52AB8">
        <w:t>( arrayA[ k ] </w:t>
      </w:r>
      <w:r w:rsidRPr="00A52AB8">
        <w:sym w:font="Symbol" w:char="F02D"/>
      </w:r>
      <w:r w:rsidRPr="00A52AB8">
        <w:t> arrayB[ k ] ) * ( arrayA[ k ] </w:t>
      </w:r>
      <w:r w:rsidRPr="00A52AB8">
        <w:sym w:font="Symbol" w:char="F02D"/>
      </w:r>
      <w:r w:rsidRPr="00A52AB8">
        <w:t> arrayB[ k ] )</w:t>
      </w:r>
      <w:r w:rsidRPr="00A52AB8">
        <w:br/>
      </w:r>
      <w:r w:rsidRPr="00A52AB8">
        <w:tab/>
      </w:r>
      <w:r w:rsidRPr="00A52AB8">
        <w:tab/>
        <w:t>}</w:t>
      </w:r>
      <w:r w:rsidRPr="00A52AB8">
        <w:br/>
      </w:r>
      <w:r w:rsidRPr="00A52AB8">
        <w:tab/>
      </w:r>
      <w:r w:rsidRPr="00A52AB8">
        <w:tab/>
        <w:t>return dist</w:t>
      </w:r>
      <w:r w:rsidRPr="00A52AB8">
        <w:br/>
      </w:r>
      <w:r w:rsidRPr="00A52AB8">
        <w:tab/>
        <w:t>}</w:t>
      </w:r>
    </w:p>
    <w:p w14:paraId="2D2E3A34" w14:textId="299231E1" w:rsidR="00EA5317" w:rsidRPr="00A52AB8" w:rsidRDefault="00EA5317" w:rsidP="004A6049">
      <w:pPr>
        <w:pStyle w:val="a4"/>
        <w:numPr>
          <w:ilvl w:val="3"/>
          <w:numId w:val="19"/>
        </w:numPr>
        <w:tabs>
          <w:tab w:val="clear" w:pos="7200"/>
        </w:tabs>
      </w:pPr>
      <w:bookmarkStart w:id="6996" w:name="_Ref48829873"/>
      <w:r w:rsidRPr="00A52AB8">
        <w:t>Point neighbour search</w:t>
      </w:r>
      <w:bookmarkEnd w:id="6996"/>
      <w:r w:rsidRPr="00A52AB8">
        <w:t xml:space="preserve"> process</w:t>
      </w:r>
    </w:p>
    <w:p w14:paraId="6DA33159" w14:textId="77777777" w:rsidR="00447AFC" w:rsidRPr="00A52AB8" w:rsidRDefault="00447AFC" w:rsidP="00447AFC">
      <w:bookmarkStart w:id="6997" w:name="_Toc47983228"/>
      <w:bookmarkStart w:id="6998" w:name="_Toc47886851"/>
      <w:bookmarkStart w:id="6999" w:name="_Toc47887259"/>
      <w:bookmarkStart w:id="7000" w:name="_Toc47887667"/>
      <w:bookmarkStart w:id="7001" w:name="_Toc47888075"/>
      <w:bookmarkStart w:id="7002" w:name="_Toc47952162"/>
      <w:bookmarkStart w:id="7003" w:name="_Toc47983230"/>
      <w:bookmarkStart w:id="7004" w:name="_Toc47886853"/>
      <w:bookmarkStart w:id="7005" w:name="_Toc47887261"/>
      <w:bookmarkStart w:id="7006" w:name="_Toc47887669"/>
      <w:bookmarkStart w:id="7007" w:name="_Toc47888077"/>
      <w:bookmarkStart w:id="7008" w:name="_Toc47952164"/>
      <w:bookmarkStart w:id="7009" w:name="_Toc47983232"/>
      <w:bookmarkStart w:id="7010" w:name="_Toc47886854"/>
      <w:bookmarkStart w:id="7011" w:name="_Toc47887262"/>
      <w:bookmarkStart w:id="7012" w:name="_Toc47887670"/>
      <w:bookmarkStart w:id="7013" w:name="_Toc47888078"/>
      <w:bookmarkStart w:id="7014" w:name="_Toc47952165"/>
      <w:bookmarkStart w:id="7015" w:name="_Toc47983233"/>
      <w:bookmarkStart w:id="7016" w:name="_Toc47886855"/>
      <w:bookmarkStart w:id="7017" w:name="_Toc47887263"/>
      <w:bookmarkStart w:id="7018" w:name="_Toc47887671"/>
      <w:bookmarkStart w:id="7019" w:name="_Toc47888079"/>
      <w:bookmarkStart w:id="7020" w:name="_Toc47952166"/>
      <w:bookmarkStart w:id="7021" w:name="_Toc47983234"/>
      <w:bookmarkStart w:id="7022" w:name="_Toc47886856"/>
      <w:bookmarkStart w:id="7023" w:name="_Toc47887264"/>
      <w:bookmarkStart w:id="7024" w:name="_Toc47887672"/>
      <w:bookmarkStart w:id="7025" w:name="_Toc47888080"/>
      <w:bookmarkStart w:id="7026" w:name="_Toc47952167"/>
      <w:bookmarkStart w:id="7027" w:name="_Toc47983235"/>
      <w:bookmarkStart w:id="7028" w:name="_Toc47886857"/>
      <w:bookmarkStart w:id="7029" w:name="_Toc47887265"/>
      <w:bookmarkStart w:id="7030" w:name="_Toc47887673"/>
      <w:bookmarkStart w:id="7031" w:name="_Toc47888081"/>
      <w:bookmarkStart w:id="7032" w:name="_Toc47952168"/>
      <w:bookmarkStart w:id="7033" w:name="_Toc47983236"/>
      <w:bookmarkStart w:id="7034" w:name="_Toc47886858"/>
      <w:bookmarkStart w:id="7035" w:name="_Toc47887266"/>
      <w:bookmarkStart w:id="7036" w:name="_Toc47887674"/>
      <w:bookmarkStart w:id="7037" w:name="_Toc47888082"/>
      <w:bookmarkStart w:id="7038" w:name="_Toc47952169"/>
      <w:bookmarkStart w:id="7039" w:name="_Toc47983237"/>
      <w:bookmarkStart w:id="7040" w:name="_Toc47886859"/>
      <w:bookmarkStart w:id="7041" w:name="_Toc47887267"/>
      <w:bookmarkStart w:id="7042" w:name="_Toc47887675"/>
      <w:bookmarkStart w:id="7043" w:name="_Toc47888083"/>
      <w:bookmarkStart w:id="7044" w:name="_Toc47952170"/>
      <w:bookmarkStart w:id="7045" w:name="_Toc47983238"/>
      <w:bookmarkStart w:id="7046" w:name="_Toc47886860"/>
      <w:bookmarkStart w:id="7047" w:name="_Toc47887268"/>
      <w:bookmarkStart w:id="7048" w:name="_Toc47887676"/>
      <w:bookmarkStart w:id="7049" w:name="_Toc47888084"/>
      <w:bookmarkStart w:id="7050" w:name="_Toc47952171"/>
      <w:bookmarkStart w:id="7051" w:name="_Toc47983239"/>
      <w:bookmarkStart w:id="7052" w:name="_Toc47886861"/>
      <w:bookmarkStart w:id="7053" w:name="_Toc47887269"/>
      <w:bookmarkStart w:id="7054" w:name="_Toc47887677"/>
      <w:bookmarkStart w:id="7055" w:name="_Toc47888085"/>
      <w:bookmarkStart w:id="7056" w:name="_Toc47952172"/>
      <w:bookmarkStart w:id="7057" w:name="_Toc47983240"/>
      <w:bookmarkStart w:id="7058" w:name="_Toc47886862"/>
      <w:bookmarkStart w:id="7059" w:name="_Toc47887270"/>
      <w:bookmarkStart w:id="7060" w:name="_Toc47887678"/>
      <w:bookmarkStart w:id="7061" w:name="_Toc47888086"/>
      <w:bookmarkStart w:id="7062" w:name="_Toc47952173"/>
      <w:bookmarkStart w:id="7063" w:name="_Toc47983241"/>
      <w:bookmarkStart w:id="7064" w:name="_Toc47886863"/>
      <w:bookmarkStart w:id="7065" w:name="_Toc47887271"/>
      <w:bookmarkStart w:id="7066" w:name="_Toc47887679"/>
      <w:bookmarkStart w:id="7067" w:name="_Toc47888087"/>
      <w:bookmarkStart w:id="7068" w:name="_Toc47952174"/>
      <w:bookmarkStart w:id="7069" w:name="_Toc47983242"/>
      <w:bookmarkStart w:id="7070" w:name="_Toc47886864"/>
      <w:bookmarkStart w:id="7071" w:name="_Toc47887272"/>
      <w:bookmarkStart w:id="7072" w:name="_Toc47887680"/>
      <w:bookmarkStart w:id="7073" w:name="_Toc47888088"/>
      <w:bookmarkStart w:id="7074" w:name="_Toc47952175"/>
      <w:bookmarkStart w:id="7075" w:name="_Toc47983243"/>
      <w:bookmarkStart w:id="7076" w:name="_Toc47886865"/>
      <w:bookmarkStart w:id="7077" w:name="_Toc47887273"/>
      <w:bookmarkStart w:id="7078" w:name="_Toc47887681"/>
      <w:bookmarkStart w:id="7079" w:name="_Toc47888089"/>
      <w:bookmarkStart w:id="7080" w:name="_Toc47952176"/>
      <w:bookmarkStart w:id="7081" w:name="_Toc47983244"/>
      <w:bookmarkStart w:id="7082" w:name="_Toc47886866"/>
      <w:bookmarkStart w:id="7083" w:name="_Toc47887274"/>
      <w:bookmarkStart w:id="7084" w:name="_Toc47887682"/>
      <w:bookmarkStart w:id="7085" w:name="_Toc47888090"/>
      <w:bookmarkStart w:id="7086" w:name="_Toc47952177"/>
      <w:bookmarkStart w:id="7087" w:name="_Toc47983245"/>
      <w:bookmarkStart w:id="7088" w:name="_Toc47886867"/>
      <w:bookmarkStart w:id="7089" w:name="_Toc47887275"/>
      <w:bookmarkStart w:id="7090" w:name="_Toc47887683"/>
      <w:bookmarkStart w:id="7091" w:name="_Toc47888091"/>
      <w:bookmarkStart w:id="7092" w:name="_Toc47952178"/>
      <w:bookmarkStart w:id="7093" w:name="_Toc47983246"/>
      <w:bookmarkStart w:id="7094" w:name="_Toc47886868"/>
      <w:bookmarkStart w:id="7095" w:name="_Toc47887276"/>
      <w:bookmarkStart w:id="7096" w:name="_Toc47887684"/>
      <w:bookmarkStart w:id="7097" w:name="_Toc47888092"/>
      <w:bookmarkStart w:id="7098" w:name="_Toc47952179"/>
      <w:bookmarkStart w:id="7099" w:name="_Toc47983247"/>
      <w:bookmarkStart w:id="7100" w:name="_Toc47886869"/>
      <w:bookmarkStart w:id="7101" w:name="_Toc47887277"/>
      <w:bookmarkStart w:id="7102" w:name="_Toc47887685"/>
      <w:bookmarkStart w:id="7103" w:name="_Toc47888093"/>
      <w:bookmarkStart w:id="7104" w:name="_Toc47952180"/>
      <w:bookmarkStart w:id="7105" w:name="_Toc47983248"/>
      <w:bookmarkStart w:id="7106" w:name="_Toc47886870"/>
      <w:bookmarkStart w:id="7107" w:name="_Toc47887278"/>
      <w:bookmarkStart w:id="7108" w:name="_Toc47887686"/>
      <w:bookmarkStart w:id="7109" w:name="_Toc47888094"/>
      <w:bookmarkStart w:id="7110" w:name="_Toc47952181"/>
      <w:bookmarkStart w:id="7111" w:name="_Toc47983249"/>
      <w:bookmarkStart w:id="7112" w:name="_Toc47886871"/>
      <w:bookmarkStart w:id="7113" w:name="_Toc47887279"/>
      <w:bookmarkStart w:id="7114" w:name="_Toc47887687"/>
      <w:bookmarkStart w:id="7115" w:name="_Toc47888095"/>
      <w:bookmarkStart w:id="7116" w:name="_Toc47952182"/>
      <w:bookmarkStart w:id="7117" w:name="_Toc47983250"/>
      <w:bookmarkStart w:id="7118" w:name="_Toc47886872"/>
      <w:bookmarkStart w:id="7119" w:name="_Toc47887280"/>
      <w:bookmarkStart w:id="7120" w:name="_Toc47887688"/>
      <w:bookmarkStart w:id="7121" w:name="_Toc47888096"/>
      <w:bookmarkStart w:id="7122" w:name="_Toc47952183"/>
      <w:bookmarkStart w:id="7123" w:name="_Toc47983251"/>
      <w:bookmarkStart w:id="7124" w:name="_Toc47886873"/>
      <w:bookmarkStart w:id="7125" w:name="_Toc47887281"/>
      <w:bookmarkStart w:id="7126" w:name="_Toc47887689"/>
      <w:bookmarkStart w:id="7127" w:name="_Toc47888097"/>
      <w:bookmarkStart w:id="7128" w:name="_Toc47952184"/>
      <w:bookmarkStart w:id="7129" w:name="_Toc47983252"/>
      <w:bookmarkStart w:id="7130" w:name="_Toc47886874"/>
      <w:bookmarkStart w:id="7131" w:name="_Toc47887282"/>
      <w:bookmarkStart w:id="7132" w:name="_Toc47887690"/>
      <w:bookmarkStart w:id="7133" w:name="_Toc47888098"/>
      <w:bookmarkStart w:id="7134" w:name="_Toc47952185"/>
      <w:bookmarkStart w:id="7135" w:name="_Toc47983253"/>
      <w:bookmarkStart w:id="7136" w:name="_Toc47886875"/>
      <w:bookmarkStart w:id="7137" w:name="_Toc47887283"/>
      <w:bookmarkStart w:id="7138" w:name="_Toc47887691"/>
      <w:bookmarkStart w:id="7139" w:name="_Toc47888099"/>
      <w:bookmarkStart w:id="7140" w:name="_Toc47952186"/>
      <w:bookmarkStart w:id="7141" w:name="_Toc47983254"/>
      <w:bookmarkStart w:id="7142" w:name="_Toc47886876"/>
      <w:bookmarkStart w:id="7143" w:name="_Toc47887284"/>
      <w:bookmarkStart w:id="7144" w:name="_Toc47887692"/>
      <w:bookmarkStart w:id="7145" w:name="_Toc47888100"/>
      <w:bookmarkStart w:id="7146" w:name="_Toc47952187"/>
      <w:bookmarkStart w:id="7147" w:name="_Toc47983255"/>
      <w:bookmarkStart w:id="7148" w:name="_Toc47886877"/>
      <w:bookmarkStart w:id="7149" w:name="_Toc47887285"/>
      <w:bookmarkStart w:id="7150" w:name="_Toc47887693"/>
      <w:bookmarkStart w:id="7151" w:name="_Toc47888101"/>
      <w:bookmarkStart w:id="7152" w:name="_Toc47952188"/>
      <w:bookmarkStart w:id="7153" w:name="_Toc47983256"/>
      <w:bookmarkStart w:id="7154" w:name="_Toc47886878"/>
      <w:bookmarkStart w:id="7155" w:name="_Toc47887286"/>
      <w:bookmarkStart w:id="7156" w:name="_Toc47887694"/>
      <w:bookmarkStart w:id="7157" w:name="_Toc47888102"/>
      <w:bookmarkStart w:id="7158" w:name="_Toc47952189"/>
      <w:bookmarkStart w:id="7159" w:name="_Toc47983257"/>
      <w:bookmarkStart w:id="7160" w:name="_Toc47886879"/>
      <w:bookmarkStart w:id="7161" w:name="_Toc47887287"/>
      <w:bookmarkStart w:id="7162" w:name="_Toc47887695"/>
      <w:bookmarkStart w:id="7163" w:name="_Toc47888103"/>
      <w:bookmarkStart w:id="7164" w:name="_Toc47952190"/>
      <w:bookmarkStart w:id="7165" w:name="_Toc47983258"/>
      <w:bookmarkStart w:id="7166" w:name="_Toc47886881"/>
      <w:bookmarkStart w:id="7167" w:name="_Toc47887289"/>
      <w:bookmarkStart w:id="7168" w:name="_Toc47887697"/>
      <w:bookmarkStart w:id="7169" w:name="_Toc47888105"/>
      <w:bookmarkStart w:id="7170" w:name="_Toc47952192"/>
      <w:bookmarkStart w:id="7171" w:name="_Toc47983260"/>
      <w:bookmarkStart w:id="7172" w:name="_Toc47886882"/>
      <w:bookmarkStart w:id="7173" w:name="_Toc47887290"/>
      <w:bookmarkStart w:id="7174" w:name="_Toc47887698"/>
      <w:bookmarkStart w:id="7175" w:name="_Toc47888106"/>
      <w:bookmarkStart w:id="7176" w:name="_Toc47952193"/>
      <w:bookmarkStart w:id="7177" w:name="_Toc47983261"/>
      <w:bookmarkStart w:id="7178" w:name="_Toc47886883"/>
      <w:bookmarkStart w:id="7179" w:name="_Toc47887291"/>
      <w:bookmarkStart w:id="7180" w:name="_Toc47887699"/>
      <w:bookmarkStart w:id="7181" w:name="_Toc47888107"/>
      <w:bookmarkStart w:id="7182" w:name="_Toc47952194"/>
      <w:bookmarkStart w:id="7183" w:name="_Toc47983262"/>
      <w:bookmarkStart w:id="7184" w:name="_Toc47886884"/>
      <w:bookmarkStart w:id="7185" w:name="_Toc47887292"/>
      <w:bookmarkStart w:id="7186" w:name="_Toc47887700"/>
      <w:bookmarkStart w:id="7187" w:name="_Toc47888108"/>
      <w:bookmarkStart w:id="7188" w:name="_Toc47952195"/>
      <w:bookmarkStart w:id="7189" w:name="_Toc47983263"/>
      <w:bookmarkStart w:id="7190" w:name="_Toc47886885"/>
      <w:bookmarkStart w:id="7191" w:name="_Toc47887293"/>
      <w:bookmarkStart w:id="7192" w:name="_Toc47887701"/>
      <w:bookmarkStart w:id="7193" w:name="_Toc47888109"/>
      <w:bookmarkStart w:id="7194" w:name="_Toc47952196"/>
      <w:bookmarkStart w:id="7195" w:name="_Toc47983264"/>
      <w:bookmarkStart w:id="7196" w:name="_Toc47886886"/>
      <w:bookmarkStart w:id="7197" w:name="_Toc47887294"/>
      <w:bookmarkStart w:id="7198" w:name="_Toc47887702"/>
      <w:bookmarkStart w:id="7199" w:name="_Toc47888110"/>
      <w:bookmarkStart w:id="7200" w:name="_Toc47952197"/>
      <w:bookmarkStart w:id="7201" w:name="_Toc47983265"/>
      <w:bookmarkStart w:id="7202" w:name="_Toc47886887"/>
      <w:bookmarkStart w:id="7203" w:name="_Toc47887295"/>
      <w:bookmarkStart w:id="7204" w:name="_Toc47887703"/>
      <w:bookmarkStart w:id="7205" w:name="_Toc47888111"/>
      <w:bookmarkStart w:id="7206" w:name="_Toc47952198"/>
      <w:bookmarkStart w:id="7207" w:name="_Toc47983266"/>
      <w:bookmarkStart w:id="7208" w:name="_Toc47886888"/>
      <w:bookmarkStart w:id="7209" w:name="_Toc47887296"/>
      <w:bookmarkStart w:id="7210" w:name="_Toc47887704"/>
      <w:bookmarkStart w:id="7211" w:name="_Toc47888112"/>
      <w:bookmarkStart w:id="7212" w:name="_Toc47952199"/>
      <w:bookmarkStart w:id="7213" w:name="_Toc47983267"/>
      <w:bookmarkStart w:id="7214" w:name="_Toc47886889"/>
      <w:bookmarkStart w:id="7215" w:name="_Toc47887297"/>
      <w:bookmarkStart w:id="7216" w:name="_Toc47887705"/>
      <w:bookmarkStart w:id="7217" w:name="_Toc47888113"/>
      <w:bookmarkStart w:id="7218" w:name="_Toc47952200"/>
      <w:bookmarkStart w:id="7219" w:name="_Toc47983268"/>
      <w:bookmarkStart w:id="7220" w:name="_Toc47886890"/>
      <w:bookmarkStart w:id="7221" w:name="_Toc47887298"/>
      <w:bookmarkStart w:id="7222" w:name="_Toc47887706"/>
      <w:bookmarkStart w:id="7223" w:name="_Toc47888114"/>
      <w:bookmarkStart w:id="7224" w:name="_Toc47952201"/>
      <w:bookmarkStart w:id="7225" w:name="_Toc47983269"/>
      <w:bookmarkStart w:id="7226" w:name="_Toc47886891"/>
      <w:bookmarkStart w:id="7227" w:name="_Toc47887299"/>
      <w:bookmarkStart w:id="7228" w:name="_Toc47887707"/>
      <w:bookmarkStart w:id="7229" w:name="_Toc47888115"/>
      <w:bookmarkStart w:id="7230" w:name="_Toc47952202"/>
      <w:bookmarkStart w:id="7231" w:name="_Toc47983270"/>
      <w:bookmarkStart w:id="7232" w:name="_Toc47886892"/>
      <w:bookmarkStart w:id="7233" w:name="_Toc47887300"/>
      <w:bookmarkStart w:id="7234" w:name="_Toc47887708"/>
      <w:bookmarkStart w:id="7235" w:name="_Toc47888116"/>
      <w:bookmarkStart w:id="7236" w:name="_Toc47952203"/>
      <w:bookmarkStart w:id="7237" w:name="_Toc47983271"/>
      <w:bookmarkStart w:id="7238" w:name="_Toc47886893"/>
      <w:bookmarkStart w:id="7239" w:name="_Toc47887301"/>
      <w:bookmarkStart w:id="7240" w:name="_Toc47887709"/>
      <w:bookmarkStart w:id="7241" w:name="_Toc47888117"/>
      <w:bookmarkStart w:id="7242" w:name="_Toc47952204"/>
      <w:bookmarkStart w:id="7243" w:name="_Toc47983272"/>
      <w:bookmarkStart w:id="7244" w:name="_Ref43983164"/>
      <w:bookmarkEnd w:id="6990"/>
      <w:bookmarkEnd w:id="6991"/>
      <w:bookmarkEnd w:id="6997"/>
      <w:bookmarkEnd w:id="6998"/>
      <w:bookmarkEnd w:id="6999"/>
      <w:bookmarkEnd w:id="7000"/>
      <w:bookmarkEnd w:id="7001"/>
      <w:bookmarkEnd w:id="7002"/>
      <w:bookmarkEnd w:id="7003"/>
      <w:bookmarkEnd w:id="7004"/>
      <w:bookmarkEnd w:id="7005"/>
      <w:bookmarkEnd w:id="7006"/>
      <w:bookmarkEnd w:id="7007"/>
      <w:bookmarkEnd w:id="7008"/>
      <w:bookmarkEnd w:id="7009"/>
      <w:bookmarkEnd w:id="7010"/>
      <w:bookmarkEnd w:id="7011"/>
      <w:bookmarkEnd w:id="7012"/>
      <w:bookmarkEnd w:id="7013"/>
      <w:bookmarkEnd w:id="7014"/>
      <w:bookmarkEnd w:id="7015"/>
      <w:bookmarkEnd w:id="7016"/>
      <w:bookmarkEnd w:id="7017"/>
      <w:bookmarkEnd w:id="7018"/>
      <w:bookmarkEnd w:id="7019"/>
      <w:bookmarkEnd w:id="7020"/>
      <w:bookmarkEnd w:id="7021"/>
      <w:bookmarkEnd w:id="7022"/>
      <w:bookmarkEnd w:id="7023"/>
      <w:bookmarkEnd w:id="7024"/>
      <w:bookmarkEnd w:id="7025"/>
      <w:bookmarkEnd w:id="7026"/>
      <w:bookmarkEnd w:id="7027"/>
      <w:bookmarkEnd w:id="7028"/>
      <w:bookmarkEnd w:id="7029"/>
      <w:bookmarkEnd w:id="7030"/>
      <w:bookmarkEnd w:id="7031"/>
      <w:bookmarkEnd w:id="7032"/>
      <w:bookmarkEnd w:id="7033"/>
      <w:bookmarkEnd w:id="7034"/>
      <w:bookmarkEnd w:id="7035"/>
      <w:bookmarkEnd w:id="7036"/>
      <w:bookmarkEnd w:id="7037"/>
      <w:bookmarkEnd w:id="7038"/>
      <w:bookmarkEnd w:id="7039"/>
      <w:bookmarkEnd w:id="7040"/>
      <w:bookmarkEnd w:id="7041"/>
      <w:bookmarkEnd w:id="7042"/>
      <w:bookmarkEnd w:id="7043"/>
      <w:bookmarkEnd w:id="7044"/>
      <w:bookmarkEnd w:id="7045"/>
      <w:bookmarkEnd w:id="7046"/>
      <w:bookmarkEnd w:id="7047"/>
      <w:bookmarkEnd w:id="7048"/>
      <w:bookmarkEnd w:id="7049"/>
      <w:bookmarkEnd w:id="7050"/>
      <w:bookmarkEnd w:id="7051"/>
      <w:bookmarkEnd w:id="7052"/>
      <w:bookmarkEnd w:id="7053"/>
      <w:bookmarkEnd w:id="7054"/>
      <w:bookmarkEnd w:id="7055"/>
      <w:bookmarkEnd w:id="7056"/>
      <w:bookmarkEnd w:id="7057"/>
      <w:bookmarkEnd w:id="7058"/>
      <w:bookmarkEnd w:id="7059"/>
      <w:bookmarkEnd w:id="7060"/>
      <w:bookmarkEnd w:id="7061"/>
      <w:bookmarkEnd w:id="7062"/>
      <w:bookmarkEnd w:id="7063"/>
      <w:bookmarkEnd w:id="7064"/>
      <w:bookmarkEnd w:id="7065"/>
      <w:bookmarkEnd w:id="7066"/>
      <w:bookmarkEnd w:id="7067"/>
      <w:bookmarkEnd w:id="7068"/>
      <w:bookmarkEnd w:id="7069"/>
      <w:bookmarkEnd w:id="7070"/>
      <w:bookmarkEnd w:id="7071"/>
      <w:bookmarkEnd w:id="7072"/>
      <w:bookmarkEnd w:id="7073"/>
      <w:bookmarkEnd w:id="7074"/>
      <w:bookmarkEnd w:id="7075"/>
      <w:bookmarkEnd w:id="7076"/>
      <w:bookmarkEnd w:id="7077"/>
      <w:bookmarkEnd w:id="7078"/>
      <w:bookmarkEnd w:id="7079"/>
      <w:bookmarkEnd w:id="7080"/>
      <w:bookmarkEnd w:id="7081"/>
      <w:bookmarkEnd w:id="7082"/>
      <w:bookmarkEnd w:id="7083"/>
      <w:bookmarkEnd w:id="7084"/>
      <w:bookmarkEnd w:id="7085"/>
      <w:bookmarkEnd w:id="7086"/>
      <w:bookmarkEnd w:id="7087"/>
      <w:bookmarkEnd w:id="7088"/>
      <w:bookmarkEnd w:id="7089"/>
      <w:bookmarkEnd w:id="7090"/>
      <w:bookmarkEnd w:id="7091"/>
      <w:bookmarkEnd w:id="7092"/>
      <w:bookmarkEnd w:id="7093"/>
      <w:bookmarkEnd w:id="7094"/>
      <w:bookmarkEnd w:id="7095"/>
      <w:bookmarkEnd w:id="7096"/>
      <w:bookmarkEnd w:id="7097"/>
      <w:bookmarkEnd w:id="7098"/>
      <w:bookmarkEnd w:id="7099"/>
      <w:bookmarkEnd w:id="7100"/>
      <w:bookmarkEnd w:id="7101"/>
      <w:bookmarkEnd w:id="7102"/>
      <w:bookmarkEnd w:id="7103"/>
      <w:bookmarkEnd w:id="7104"/>
      <w:bookmarkEnd w:id="7105"/>
      <w:bookmarkEnd w:id="7106"/>
      <w:bookmarkEnd w:id="7107"/>
      <w:bookmarkEnd w:id="7108"/>
      <w:bookmarkEnd w:id="7109"/>
      <w:bookmarkEnd w:id="7110"/>
      <w:bookmarkEnd w:id="7111"/>
      <w:bookmarkEnd w:id="7112"/>
      <w:bookmarkEnd w:id="7113"/>
      <w:bookmarkEnd w:id="7114"/>
      <w:bookmarkEnd w:id="7115"/>
      <w:bookmarkEnd w:id="7116"/>
      <w:bookmarkEnd w:id="7117"/>
      <w:bookmarkEnd w:id="7118"/>
      <w:bookmarkEnd w:id="7119"/>
      <w:bookmarkEnd w:id="7120"/>
      <w:bookmarkEnd w:id="7121"/>
      <w:bookmarkEnd w:id="7122"/>
      <w:bookmarkEnd w:id="7123"/>
      <w:bookmarkEnd w:id="7124"/>
      <w:bookmarkEnd w:id="7125"/>
      <w:bookmarkEnd w:id="7126"/>
      <w:bookmarkEnd w:id="7127"/>
      <w:bookmarkEnd w:id="7128"/>
      <w:bookmarkEnd w:id="7129"/>
      <w:bookmarkEnd w:id="7130"/>
      <w:bookmarkEnd w:id="7131"/>
      <w:bookmarkEnd w:id="7132"/>
      <w:bookmarkEnd w:id="7133"/>
      <w:bookmarkEnd w:id="7134"/>
      <w:bookmarkEnd w:id="7135"/>
      <w:bookmarkEnd w:id="7136"/>
      <w:bookmarkEnd w:id="7137"/>
      <w:bookmarkEnd w:id="7138"/>
      <w:bookmarkEnd w:id="7139"/>
      <w:bookmarkEnd w:id="7140"/>
      <w:bookmarkEnd w:id="7141"/>
      <w:bookmarkEnd w:id="7142"/>
      <w:bookmarkEnd w:id="7143"/>
      <w:bookmarkEnd w:id="7144"/>
      <w:bookmarkEnd w:id="7145"/>
      <w:bookmarkEnd w:id="7146"/>
      <w:bookmarkEnd w:id="7147"/>
      <w:bookmarkEnd w:id="7148"/>
      <w:bookmarkEnd w:id="7149"/>
      <w:bookmarkEnd w:id="7150"/>
      <w:bookmarkEnd w:id="7151"/>
      <w:bookmarkEnd w:id="7152"/>
      <w:bookmarkEnd w:id="7153"/>
      <w:bookmarkEnd w:id="7154"/>
      <w:bookmarkEnd w:id="7155"/>
      <w:bookmarkEnd w:id="7156"/>
      <w:bookmarkEnd w:id="7157"/>
      <w:bookmarkEnd w:id="7158"/>
      <w:bookmarkEnd w:id="7159"/>
      <w:bookmarkEnd w:id="7160"/>
      <w:bookmarkEnd w:id="7161"/>
      <w:bookmarkEnd w:id="7162"/>
      <w:bookmarkEnd w:id="7163"/>
      <w:bookmarkEnd w:id="7164"/>
      <w:bookmarkEnd w:id="7165"/>
      <w:bookmarkEnd w:id="7166"/>
      <w:bookmarkEnd w:id="7167"/>
      <w:bookmarkEnd w:id="7168"/>
      <w:bookmarkEnd w:id="7169"/>
      <w:bookmarkEnd w:id="7170"/>
      <w:bookmarkEnd w:id="7171"/>
      <w:bookmarkEnd w:id="7172"/>
      <w:bookmarkEnd w:id="7173"/>
      <w:bookmarkEnd w:id="7174"/>
      <w:bookmarkEnd w:id="7175"/>
      <w:bookmarkEnd w:id="7176"/>
      <w:bookmarkEnd w:id="7177"/>
      <w:bookmarkEnd w:id="7178"/>
      <w:bookmarkEnd w:id="7179"/>
      <w:bookmarkEnd w:id="7180"/>
      <w:bookmarkEnd w:id="7181"/>
      <w:bookmarkEnd w:id="7182"/>
      <w:bookmarkEnd w:id="7183"/>
      <w:bookmarkEnd w:id="7184"/>
      <w:bookmarkEnd w:id="7185"/>
      <w:bookmarkEnd w:id="7186"/>
      <w:bookmarkEnd w:id="7187"/>
      <w:bookmarkEnd w:id="7188"/>
      <w:bookmarkEnd w:id="7189"/>
      <w:bookmarkEnd w:id="7190"/>
      <w:bookmarkEnd w:id="7191"/>
      <w:bookmarkEnd w:id="7192"/>
      <w:bookmarkEnd w:id="7193"/>
      <w:bookmarkEnd w:id="7194"/>
      <w:bookmarkEnd w:id="7195"/>
      <w:bookmarkEnd w:id="7196"/>
      <w:bookmarkEnd w:id="7197"/>
      <w:bookmarkEnd w:id="7198"/>
      <w:bookmarkEnd w:id="7199"/>
      <w:bookmarkEnd w:id="7200"/>
      <w:bookmarkEnd w:id="7201"/>
      <w:bookmarkEnd w:id="7202"/>
      <w:bookmarkEnd w:id="7203"/>
      <w:bookmarkEnd w:id="7204"/>
      <w:bookmarkEnd w:id="7205"/>
      <w:bookmarkEnd w:id="7206"/>
      <w:bookmarkEnd w:id="7207"/>
      <w:bookmarkEnd w:id="7208"/>
      <w:bookmarkEnd w:id="7209"/>
      <w:bookmarkEnd w:id="7210"/>
      <w:bookmarkEnd w:id="7211"/>
      <w:bookmarkEnd w:id="7212"/>
      <w:bookmarkEnd w:id="7213"/>
      <w:bookmarkEnd w:id="7214"/>
      <w:bookmarkEnd w:id="7215"/>
      <w:bookmarkEnd w:id="7216"/>
      <w:bookmarkEnd w:id="7217"/>
      <w:bookmarkEnd w:id="7218"/>
      <w:bookmarkEnd w:id="7219"/>
      <w:bookmarkEnd w:id="7220"/>
      <w:bookmarkEnd w:id="7221"/>
      <w:bookmarkEnd w:id="7222"/>
      <w:bookmarkEnd w:id="7223"/>
      <w:bookmarkEnd w:id="7224"/>
      <w:bookmarkEnd w:id="7225"/>
      <w:bookmarkEnd w:id="7226"/>
      <w:bookmarkEnd w:id="7227"/>
      <w:bookmarkEnd w:id="7228"/>
      <w:bookmarkEnd w:id="7229"/>
      <w:bookmarkEnd w:id="7230"/>
      <w:bookmarkEnd w:id="7231"/>
      <w:bookmarkEnd w:id="7232"/>
      <w:bookmarkEnd w:id="7233"/>
      <w:bookmarkEnd w:id="7234"/>
      <w:bookmarkEnd w:id="7235"/>
      <w:bookmarkEnd w:id="7236"/>
      <w:bookmarkEnd w:id="7237"/>
      <w:bookmarkEnd w:id="7238"/>
      <w:bookmarkEnd w:id="7239"/>
      <w:bookmarkEnd w:id="7240"/>
      <w:bookmarkEnd w:id="7241"/>
      <w:bookmarkEnd w:id="7242"/>
      <w:bookmarkEnd w:id="7243"/>
      <w:r w:rsidRPr="00A52AB8">
        <w:t>Inputs to this process are:</w:t>
      </w:r>
    </w:p>
    <w:p w14:paraId="28A90950" w14:textId="7E644833" w:rsidR="00447AFC" w:rsidRPr="00A52AB8" w:rsidRDefault="00447AF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variable N, specifying the maximum number of neighbouring points,</w:t>
      </w:r>
    </w:p>
    <w:p w14:paraId="6832BB7E" w14:textId="2C583AA8" w:rsidR="00447AFC" w:rsidRPr="00A52AB8" w:rsidRDefault="00447AF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variable numPoints, specifying the number of points</w:t>
      </w:r>
      <w:r w:rsidR="004444A8" w:rsidRPr="00A52AB8">
        <w:rPr>
          <w:color w:val="000000" w:themeColor="text1"/>
        </w:rPr>
        <w:t xml:space="preserve"> in the array pointSet</w:t>
      </w:r>
      <w:r w:rsidRPr="00A52AB8">
        <w:rPr>
          <w:color w:val="000000" w:themeColor="text1"/>
        </w:rPr>
        <w:t>,</w:t>
      </w:r>
    </w:p>
    <w:p w14:paraId="77D6FDC7" w14:textId="77777777" w:rsidR="00447AFC" w:rsidRPr="00A52AB8" w:rsidRDefault="00447AF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1D array pointA of size 3, specifying a point in the 3D space for which neighbours are computed, and</w:t>
      </w:r>
    </w:p>
    <w:p w14:paraId="0DD2B295" w14:textId="613E0A90" w:rsidR="00447AFC" w:rsidRPr="00A52AB8" w:rsidRDefault="00447AF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numPoints × 3 2D array pointSet, containing the geometry positions of points to be considered for neighbour search.</w:t>
      </w:r>
    </w:p>
    <w:p w14:paraId="3DF2454F" w14:textId="77777777" w:rsidR="0050235C" w:rsidRPr="00A52AB8" w:rsidRDefault="00447AFC" w:rsidP="00447AFC">
      <w:r w:rsidRPr="00A52AB8">
        <w:t>Outputs of this process are:</w:t>
      </w:r>
    </w:p>
    <w:p w14:paraId="60BC4D99" w14:textId="4041F8CA" w:rsidR="00447AFC" w:rsidRPr="00A52AB8" w:rsidRDefault="00447AF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variable numNeighbourPoints, specifying the number of nearest points in the set neighbourSet,</w:t>
      </w:r>
    </w:p>
    <w:p w14:paraId="32F9D4F4" w14:textId="77777777" w:rsidR="00447AFC" w:rsidRPr="00A52AB8" w:rsidRDefault="00447AF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sorted 1D array neighbourSet, of size numNeighbourPoints, containing the indices of points in pointSet, arranged in increasing order of distance from pointA, and</w:t>
      </w:r>
    </w:p>
    <w:p w14:paraId="356B5D79" w14:textId="14C67962" w:rsidR="00447AFC" w:rsidRPr="00A52AB8" w:rsidRDefault="00447AF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sorted 1D array distanceSet, of size numNeighbourPoints, specifying the distance of each entry in neighbourSet from pointA.</w:t>
      </w:r>
    </w:p>
    <w:p w14:paraId="72EDB3B6" w14:textId="77777777" w:rsidR="00447AFC" w:rsidRPr="00A52AB8" w:rsidRDefault="00447AFC" w:rsidP="00447AFC">
      <w:pPr>
        <w:tabs>
          <w:tab w:val="clear" w:pos="403"/>
        </w:tabs>
      </w:pPr>
      <w:r w:rsidRPr="00A52AB8">
        <w:t>The following applies:</w:t>
      </w:r>
    </w:p>
    <w:p w14:paraId="45EC9F1A" w14:textId="77777777" w:rsidR="00447AFC" w:rsidRPr="00A52AB8" w:rsidRDefault="00447AF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If numPoints is less than N, then N is set equal to numPoints.</w:t>
      </w:r>
    </w:p>
    <w:p w14:paraId="24143545" w14:textId="25793AD4" w:rsidR="00447AFC" w:rsidRPr="00A52AB8" w:rsidRDefault="00447AF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The distance between each point in the array pointSet and point A is calculated and stored in a 1D array distancePoints, of size numPoints, as follows:</w:t>
      </w:r>
    </w:p>
    <w:p w14:paraId="364C5E20" w14:textId="2BE8EED5" w:rsidR="00447AFC" w:rsidRPr="00A52AB8" w:rsidRDefault="00447AFC" w:rsidP="00447AFC">
      <w:pPr>
        <w:jc w:val="left"/>
      </w:pPr>
      <w:r w:rsidRPr="00A52AB8">
        <w:tab/>
      </w:r>
      <w:r w:rsidRPr="00A52AB8">
        <w:tab/>
        <w:t>for( n</w:t>
      </w:r>
      <w:r w:rsidR="00D47707" w:rsidRPr="00A52AB8">
        <w:t> = </w:t>
      </w:r>
      <w:r w:rsidRPr="00A52AB8">
        <w:t>0; n &lt; numPoints; </w:t>
      </w:r>
      <w:r w:rsidR="007568DE" w:rsidRPr="00A52AB8">
        <w:t>n++ )</w:t>
      </w:r>
      <w:r w:rsidR="007568DE" w:rsidRPr="00A52AB8">
        <w:br/>
      </w:r>
      <w:r w:rsidR="007568DE" w:rsidRPr="00A52AB8">
        <w:tab/>
      </w:r>
      <w:r w:rsidR="007568DE" w:rsidRPr="00A52AB8">
        <w:tab/>
      </w:r>
      <w:r w:rsidR="007568DE" w:rsidRPr="00A52AB8">
        <w:tab/>
        <w:t>distancePoints[ n ]</w:t>
      </w:r>
      <w:r w:rsidR="00D47707" w:rsidRPr="00A52AB8">
        <w:t> = </w:t>
      </w:r>
      <w:r w:rsidR="007568DE" w:rsidRPr="00A52AB8">
        <w:t>D</w:t>
      </w:r>
      <w:r w:rsidRPr="00A52AB8">
        <w:t>istance( pointSet[ n ], pointA, 3 )</w:t>
      </w:r>
    </w:p>
    <w:p w14:paraId="336D10E5" w14:textId="77777777" w:rsidR="00447AFC" w:rsidRPr="00A52AB8" w:rsidRDefault="00447AF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Finally, the N smallest distance values in the array distancePoints and their corresponding indices in distanceSet are assigned to arrays distanceSet and neighbourSet, respectively. How the sorting is performed is outside the scope of this document. The variable neighbourPoints is set equal to N.</w:t>
      </w:r>
    </w:p>
    <w:p w14:paraId="7A2DFF99" w14:textId="77777777" w:rsidR="00447AFC" w:rsidRPr="00A52AB8" w:rsidRDefault="00447AFC" w:rsidP="00447AFC">
      <w:pPr>
        <w:pStyle w:val="Note1"/>
        <w:rPr>
          <w:rFonts w:ascii="Cambria" w:hAnsi="Cambria"/>
        </w:rPr>
      </w:pPr>
      <w:r w:rsidRPr="00A52AB8">
        <w:rPr>
          <w:rFonts w:ascii="Cambria" w:hAnsi="Cambria"/>
        </w:rPr>
        <w:t>NOTE – This process could be performed much faster using methods that do not require the computation of the distance for all points.</w:t>
      </w:r>
    </w:p>
    <w:p w14:paraId="6E7A93E8" w14:textId="77777777" w:rsidR="00D751A0" w:rsidRPr="00A52AB8" w:rsidRDefault="00D751A0" w:rsidP="00F01345">
      <w:pPr>
        <w:pStyle w:val="a3"/>
        <w:numPr>
          <w:ilvl w:val="1"/>
          <w:numId w:val="14"/>
        </w:numPr>
      </w:pPr>
      <w:bookmarkStart w:id="7245" w:name="_Ref44438783"/>
      <w:bookmarkStart w:id="7246" w:name="_Toc52181805"/>
      <w:r w:rsidRPr="00A52AB8">
        <w:t xml:space="preserve">Adaptation </w:t>
      </w:r>
      <w:r w:rsidR="00902E38" w:rsidRPr="00A52AB8">
        <w:t>p</w:t>
      </w:r>
      <w:r w:rsidRPr="00A52AB8">
        <w:t>rocess</w:t>
      </w:r>
      <w:bookmarkEnd w:id="7244"/>
      <w:bookmarkEnd w:id="7245"/>
      <w:bookmarkEnd w:id="7246"/>
    </w:p>
    <w:p w14:paraId="7CBAA157" w14:textId="77777777" w:rsidR="000417C0" w:rsidRPr="00A52AB8" w:rsidRDefault="000417C0" w:rsidP="00007BE2">
      <w:pPr>
        <w:rPr>
          <w:lang w:eastAsia="ja-JP"/>
        </w:rPr>
      </w:pPr>
      <w:r w:rsidRPr="00A52AB8">
        <w:rPr>
          <w:lang w:eastAsia="ja-JP"/>
        </w:rPr>
        <w:t>The inputs to this process are:</w:t>
      </w:r>
    </w:p>
    <w:p w14:paraId="1ECC773A" w14:textId="77777777" w:rsidR="000417C0" w:rsidRPr="00A52AB8" w:rsidRDefault="000417C0"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pointCnt, the number of points in the current reconstructed point cloud frame,</w:t>
      </w:r>
    </w:p>
    <w:p w14:paraId="25069FD9" w14:textId="1EF3F5C6" w:rsidR="00FE07CF" w:rsidRPr="00A52AB8" w:rsidRDefault="00FE07CF"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an array</w:t>
      </w:r>
      <w:r w:rsidR="0061629E" w:rsidRPr="00A52AB8">
        <w:rPr>
          <w:color w:val="000000" w:themeColor="text1"/>
        </w:rPr>
        <w:t xml:space="preserve"> pointCloudGeo[ n ][ k </w:t>
      </w:r>
      <w:r w:rsidR="00EB03F7" w:rsidRPr="00A52AB8">
        <w:rPr>
          <w:color w:val="000000" w:themeColor="text1"/>
        </w:rPr>
        <w:t>], n</w:t>
      </w:r>
      <w:r w:rsidR="00D47707" w:rsidRPr="00A52AB8">
        <w:rPr>
          <w:color w:val="000000" w:themeColor="text1"/>
        </w:rPr>
        <w:t> = </w:t>
      </w:r>
      <w:r w:rsidR="00EB03F7" w:rsidRPr="00A52AB8">
        <w:rPr>
          <w:color w:val="000000" w:themeColor="text1"/>
        </w:rPr>
        <w:t>0..pointCnt – 1, k</w:t>
      </w:r>
      <w:r w:rsidR="00D47707" w:rsidRPr="00A52AB8">
        <w:rPr>
          <w:color w:val="000000" w:themeColor="text1"/>
        </w:rPr>
        <w:t> = </w:t>
      </w:r>
      <w:r w:rsidR="00EB03F7" w:rsidRPr="00A52AB8">
        <w:rPr>
          <w:color w:val="000000" w:themeColor="text1"/>
        </w:rPr>
        <w:t>0..2,</w:t>
      </w:r>
      <w:r w:rsidRPr="00A52AB8">
        <w:rPr>
          <w:color w:val="000000" w:themeColor="text1"/>
        </w:rPr>
        <w:t xml:space="preserve"> </w:t>
      </w:r>
      <w:r w:rsidR="00853262" w:rsidRPr="00A52AB8">
        <w:rPr>
          <w:color w:val="000000" w:themeColor="text1"/>
        </w:rPr>
        <w:t xml:space="preserve">containing </w:t>
      </w:r>
      <w:r w:rsidRPr="00A52AB8">
        <w:rPr>
          <w:color w:val="000000" w:themeColor="text1"/>
        </w:rPr>
        <w:t>the positions of points in the current reconstructed point cloud frame equa</w:t>
      </w:r>
      <w:r w:rsidR="00EB03F7" w:rsidRPr="00A52AB8">
        <w:rPr>
          <w:color w:val="000000" w:themeColor="text1"/>
        </w:rPr>
        <w:t>l</w:t>
      </w:r>
      <w:r w:rsidRPr="00A52AB8">
        <w:rPr>
          <w:color w:val="000000" w:themeColor="text1"/>
        </w:rPr>
        <w:t xml:space="preserve"> to:</w:t>
      </w:r>
    </w:p>
    <w:p w14:paraId="0A2F0F04" w14:textId="35C38648" w:rsidR="00FE07CF" w:rsidRPr="00A52AB8" w:rsidRDefault="00730D0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 xml:space="preserve">recPcGeo[ n ][ k ], </w:t>
      </w:r>
      <w:r w:rsidR="001631A0" w:rsidRPr="00A52AB8">
        <w:rPr>
          <w:color w:val="000000" w:themeColor="text1"/>
        </w:rPr>
        <w:t xml:space="preserve">specified in </w:t>
      </w:r>
      <w:r w:rsidR="00730717" w:rsidRPr="00496A4D">
        <w:rPr>
          <w:color w:val="000000" w:themeColor="text1"/>
        </w:rPr>
        <w:fldChar w:fldCharType="begin"/>
      </w:r>
      <w:r w:rsidR="00730717" w:rsidRPr="00A52AB8">
        <w:rPr>
          <w:color w:val="000000" w:themeColor="text1"/>
        </w:rPr>
        <w:instrText xml:space="preserve"> REF _Ref47953704 \n \h </w:instrText>
      </w:r>
      <w:r w:rsidR="00851254" w:rsidRPr="00A52AB8">
        <w:rPr>
          <w:color w:val="000000" w:themeColor="text1"/>
        </w:rPr>
        <w:instrText xml:space="preserve"> \* MERGEFORMAT </w:instrText>
      </w:r>
      <w:r w:rsidR="00730717" w:rsidRPr="00496A4D">
        <w:rPr>
          <w:color w:val="000000" w:themeColor="text1"/>
        </w:rPr>
      </w:r>
      <w:r w:rsidR="00730717" w:rsidRPr="00496A4D">
        <w:rPr>
          <w:color w:val="000000" w:themeColor="text1"/>
        </w:rPr>
        <w:fldChar w:fldCharType="separate"/>
      </w:r>
      <w:r w:rsidR="00507A67">
        <w:rPr>
          <w:color w:val="000000" w:themeColor="text1"/>
        </w:rPr>
        <w:t>H.11</w:t>
      </w:r>
      <w:r w:rsidR="00730717" w:rsidRPr="00496A4D">
        <w:rPr>
          <w:color w:val="000000" w:themeColor="text1"/>
        </w:rPr>
        <w:fldChar w:fldCharType="end"/>
      </w:r>
      <w:r w:rsidRPr="00A52AB8">
        <w:rPr>
          <w:color w:val="000000" w:themeColor="text1"/>
        </w:rPr>
        <w:t xml:space="preserve">, </w:t>
      </w:r>
      <w:r w:rsidR="00F45246" w:rsidRPr="00A52AB8">
        <w:rPr>
          <w:color w:val="000000" w:themeColor="text1"/>
        </w:rPr>
        <w:t>or</w:t>
      </w:r>
    </w:p>
    <w:p w14:paraId="4A5FD55C" w14:textId="7C14E97B" w:rsidR="000417C0" w:rsidRPr="00A52AB8" w:rsidRDefault="000417C0"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A52AB8">
        <w:rPr>
          <w:color w:val="000000" w:themeColor="text1"/>
        </w:rPr>
        <w:t>recPcGeoSmoothed[ </w:t>
      </w:r>
      <w:r w:rsidR="00FE07CF" w:rsidRPr="00A52AB8">
        <w:rPr>
          <w:color w:val="000000" w:themeColor="text1"/>
        </w:rPr>
        <w:t>n</w:t>
      </w:r>
      <w:r w:rsidRPr="00A52AB8">
        <w:rPr>
          <w:color w:val="000000" w:themeColor="text1"/>
        </w:rPr>
        <w:t> ]</w:t>
      </w:r>
      <w:r w:rsidR="004B7314" w:rsidRPr="00A52AB8">
        <w:rPr>
          <w:color w:val="000000" w:themeColor="text1"/>
        </w:rPr>
        <w:t>[ k ]</w:t>
      </w:r>
      <w:r w:rsidRPr="00A52AB8">
        <w:rPr>
          <w:color w:val="000000" w:themeColor="text1"/>
        </w:rPr>
        <w:t xml:space="preserve">, </w:t>
      </w:r>
      <w:r w:rsidR="001631A0" w:rsidRPr="00A52AB8">
        <w:rPr>
          <w:color w:val="000000" w:themeColor="text1"/>
        </w:rPr>
        <w:t>specified in</w:t>
      </w:r>
      <w:r w:rsidR="00730717" w:rsidRPr="00A52AB8">
        <w:rPr>
          <w:color w:val="000000" w:themeColor="text1"/>
        </w:rPr>
        <w:t xml:space="preserve"> </w:t>
      </w:r>
      <w:r w:rsidR="00730717" w:rsidRPr="00496A4D">
        <w:rPr>
          <w:color w:val="000000" w:themeColor="text1"/>
        </w:rPr>
        <w:fldChar w:fldCharType="begin"/>
      </w:r>
      <w:r w:rsidR="00730717" w:rsidRPr="00A52AB8">
        <w:rPr>
          <w:color w:val="000000" w:themeColor="text1"/>
        </w:rPr>
        <w:instrText xml:space="preserve"> REF _Ref47628918 \n \h </w:instrText>
      </w:r>
      <w:r w:rsidR="00851254" w:rsidRPr="00A52AB8">
        <w:rPr>
          <w:color w:val="000000" w:themeColor="text1"/>
        </w:rPr>
        <w:instrText xml:space="preserve"> \* MERGEFORMAT </w:instrText>
      </w:r>
      <w:r w:rsidR="00730717" w:rsidRPr="00496A4D">
        <w:rPr>
          <w:color w:val="000000" w:themeColor="text1"/>
        </w:rPr>
      </w:r>
      <w:r w:rsidR="00730717" w:rsidRPr="00496A4D">
        <w:rPr>
          <w:color w:val="000000" w:themeColor="text1"/>
        </w:rPr>
        <w:fldChar w:fldCharType="separate"/>
      </w:r>
      <w:r w:rsidR="00507A67">
        <w:rPr>
          <w:color w:val="000000" w:themeColor="text1"/>
        </w:rPr>
        <w:t>H.12</w:t>
      </w:r>
      <w:r w:rsidR="00730717" w:rsidRPr="00496A4D">
        <w:rPr>
          <w:color w:val="000000" w:themeColor="text1"/>
        </w:rPr>
        <w:fldChar w:fldCharType="end"/>
      </w:r>
      <w:r w:rsidRPr="00A52AB8">
        <w:rPr>
          <w:color w:val="000000" w:themeColor="text1"/>
        </w:rPr>
        <w:t xml:space="preserve">, </w:t>
      </w:r>
      <w:r w:rsidR="00FE07CF" w:rsidRPr="00A52AB8">
        <w:rPr>
          <w:color w:val="000000" w:themeColor="text1"/>
        </w:rPr>
        <w:t xml:space="preserve">when geometry smoothing is </w:t>
      </w:r>
      <w:r w:rsidR="008A0CEE" w:rsidRPr="00A52AB8">
        <w:rPr>
          <w:color w:val="000000" w:themeColor="text1"/>
        </w:rPr>
        <w:t>applied</w:t>
      </w:r>
    </w:p>
    <w:p w14:paraId="1803C113" w14:textId="10287311" w:rsidR="0050235C" w:rsidRPr="00A52AB8" w:rsidRDefault="00284C4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vui_anchor_point</w:t>
      </w:r>
      <w:r w:rsidR="004B7314" w:rsidRPr="00A52AB8">
        <w:rPr>
          <w:color w:val="000000" w:themeColor="text1"/>
        </w:rPr>
        <w:t>[ k ]</w:t>
      </w:r>
      <w:r w:rsidRPr="00A52AB8">
        <w:rPr>
          <w:color w:val="000000" w:themeColor="text1"/>
        </w:rPr>
        <w:t>, k</w:t>
      </w:r>
      <w:r w:rsidR="00D47707" w:rsidRPr="00A52AB8">
        <w:rPr>
          <w:color w:val="000000" w:themeColor="text1"/>
        </w:rPr>
        <w:t> = </w:t>
      </w:r>
      <w:r w:rsidRPr="00A52AB8">
        <w:rPr>
          <w:color w:val="000000" w:themeColor="text1"/>
        </w:rPr>
        <w:t>0..2, and</w:t>
      </w:r>
    </w:p>
    <w:p w14:paraId="61097C9A" w14:textId="77777777" w:rsidR="0050235C" w:rsidRPr="00A52AB8" w:rsidRDefault="00284C4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OffsetMatrix, RotationMatrix, and ScaleMatrix matrices</w:t>
      </w:r>
    </w:p>
    <w:p w14:paraId="2069853E" w14:textId="6312BDD5" w:rsidR="000417C0" w:rsidRPr="00A52AB8" w:rsidRDefault="000417C0" w:rsidP="00007BE2">
      <w:pPr>
        <w:rPr>
          <w:lang w:eastAsia="ja-JP"/>
        </w:rPr>
      </w:pPr>
      <w:r w:rsidRPr="00A52AB8">
        <w:rPr>
          <w:lang w:eastAsia="ja-JP"/>
        </w:rPr>
        <w:t xml:space="preserve">Output of this process </w:t>
      </w:r>
      <w:r w:rsidR="00284C48" w:rsidRPr="00A52AB8">
        <w:rPr>
          <w:lang w:eastAsia="ja-JP"/>
        </w:rPr>
        <w:t>is</w:t>
      </w:r>
      <w:r w:rsidRPr="00A52AB8">
        <w:rPr>
          <w:lang w:eastAsia="ja-JP"/>
        </w:rPr>
        <w:t>:</w:t>
      </w:r>
    </w:p>
    <w:p w14:paraId="0B295DB0" w14:textId="7AD3073F" w:rsidR="006A7A2E" w:rsidRPr="00A52AB8" w:rsidRDefault="006A7A2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RecPcGeo</w:t>
      </w:r>
      <w:r w:rsidR="0011346E" w:rsidRPr="00A52AB8">
        <w:rPr>
          <w:color w:val="000000" w:themeColor="text1"/>
        </w:rPr>
        <w:t>[ n ], n</w:t>
      </w:r>
      <w:r w:rsidR="00D47707" w:rsidRPr="00A52AB8">
        <w:rPr>
          <w:color w:val="000000" w:themeColor="text1"/>
        </w:rPr>
        <w:t> = </w:t>
      </w:r>
      <w:r w:rsidR="0011346E" w:rsidRPr="00A52AB8">
        <w:rPr>
          <w:color w:val="000000" w:themeColor="text1"/>
        </w:rPr>
        <w:t xml:space="preserve">0..pointCnt – 1, an array </w:t>
      </w:r>
      <w:r w:rsidR="00853262" w:rsidRPr="00A52AB8">
        <w:rPr>
          <w:color w:val="000000" w:themeColor="text1"/>
        </w:rPr>
        <w:t xml:space="preserve">containing </w:t>
      </w:r>
      <w:r w:rsidR="0011346E" w:rsidRPr="00A52AB8">
        <w:rPr>
          <w:color w:val="000000" w:themeColor="text1"/>
        </w:rPr>
        <w:t>the list of points in the reconstructed point cloud geometry frame after an adaptation process</w:t>
      </w:r>
    </w:p>
    <w:p w14:paraId="4CFBEB53" w14:textId="30906F76" w:rsidR="00284C48" w:rsidRPr="00A52AB8" w:rsidRDefault="006D7953" w:rsidP="00F01345">
      <w:pPr>
        <w:spacing w:before="136"/>
      </w:pPr>
      <w:r w:rsidRPr="00A52AB8">
        <w:rPr>
          <w:lang w:eastAsia="ja-JP"/>
        </w:rPr>
        <w:t xml:space="preserve">This process specifies the transformation from the 3D model coordinate system to the 3D world coordinate system. </w:t>
      </w:r>
      <w:r w:rsidR="00284C48" w:rsidRPr="00A52AB8">
        <w:rPr>
          <w:lang w:eastAsia="ja-JP"/>
        </w:rPr>
        <w:t>The following applies:</w:t>
      </w:r>
    </w:p>
    <w:p w14:paraId="777FA671" w14:textId="0E810E88" w:rsidR="002E08CC" w:rsidRPr="00A52AB8" w:rsidRDefault="006A7A2E" w:rsidP="002E08CC">
      <w:pPr>
        <w:rPr>
          <w:color w:val="000000"/>
        </w:rPr>
      </w:pPr>
      <w:r w:rsidRPr="00A52AB8">
        <w:rPr>
          <w:color w:val="000000"/>
        </w:rPr>
        <w:tab/>
      </w:r>
      <w:r w:rsidR="002E08CC" w:rsidRPr="00A52AB8">
        <w:rPr>
          <w:color w:val="000000"/>
        </w:rPr>
        <w:t>for( n</w:t>
      </w:r>
      <w:r w:rsidR="00D47707" w:rsidRPr="00A52AB8">
        <w:rPr>
          <w:color w:val="000000"/>
        </w:rPr>
        <w:t> = </w:t>
      </w:r>
      <w:r w:rsidR="002E08CC" w:rsidRPr="00A52AB8">
        <w:rPr>
          <w:color w:val="000000"/>
        </w:rPr>
        <w:t>0; n &lt; PointCnt ; n++)</w:t>
      </w:r>
      <w:r w:rsidR="00AA2752" w:rsidRPr="00A52AB8">
        <w:rPr>
          <w:color w:val="000000"/>
        </w:rPr>
        <w:br/>
      </w:r>
      <w:r w:rsidR="00AA2752" w:rsidRPr="00A52AB8">
        <w:rPr>
          <w:color w:val="000000"/>
        </w:rPr>
        <w:tab/>
      </w:r>
      <w:r w:rsidR="00AA2752" w:rsidRPr="00A52AB8">
        <w:rPr>
          <w:color w:val="000000"/>
        </w:rPr>
        <w:tab/>
      </w:r>
      <w:r w:rsidR="00AA2752" w:rsidRPr="00A52AB8">
        <w:rPr>
          <w:color w:val="000000" w:themeColor="text1"/>
        </w:rPr>
        <w:t>pointCloudGeoShifted</w:t>
      </w:r>
      <w:r w:rsidR="00AA2752" w:rsidRPr="00A52AB8">
        <w:rPr>
          <w:color w:val="000000"/>
        </w:rPr>
        <w:t>[ n ][ </w:t>
      </w:r>
      <w:r w:rsidR="007F2248" w:rsidRPr="00A52AB8">
        <w:rPr>
          <w:color w:val="000000"/>
        </w:rPr>
        <w:t>3</w:t>
      </w:r>
      <w:r w:rsidR="00AA2752" w:rsidRPr="00A52AB8">
        <w:rPr>
          <w:color w:val="000000"/>
        </w:rPr>
        <w:t> ]</w:t>
      </w:r>
      <w:r w:rsidR="00D47707" w:rsidRPr="00A52AB8">
        <w:rPr>
          <w:color w:val="000000"/>
        </w:rPr>
        <w:t> = </w:t>
      </w:r>
      <w:r w:rsidR="00AA2752" w:rsidRPr="00A52AB8">
        <w:rPr>
          <w:color w:val="000000"/>
        </w:rPr>
        <w:t>1</w:t>
      </w:r>
      <w:r w:rsidR="002E08CC" w:rsidRPr="00A52AB8">
        <w:rPr>
          <w:color w:val="000000"/>
        </w:rPr>
        <w:br/>
      </w:r>
      <w:r w:rsidR="002E08CC" w:rsidRPr="00A52AB8">
        <w:rPr>
          <w:color w:val="000000"/>
        </w:rPr>
        <w:tab/>
      </w:r>
      <w:r w:rsidRPr="00A52AB8">
        <w:rPr>
          <w:color w:val="000000"/>
        </w:rPr>
        <w:tab/>
      </w:r>
      <w:r w:rsidR="002E08CC" w:rsidRPr="00A52AB8">
        <w:rPr>
          <w:color w:val="000000"/>
        </w:rPr>
        <w:t>for( k</w:t>
      </w:r>
      <w:r w:rsidR="00D47707" w:rsidRPr="00A52AB8">
        <w:rPr>
          <w:color w:val="000000"/>
        </w:rPr>
        <w:t> = </w:t>
      </w:r>
      <w:r w:rsidR="002E08CC" w:rsidRPr="00A52AB8">
        <w:rPr>
          <w:color w:val="000000"/>
        </w:rPr>
        <w:t>0 ; k &lt; 3 ; k</w:t>
      </w:r>
      <w:r w:rsidR="00006CCF" w:rsidRPr="00A52AB8">
        <w:rPr>
          <w:color w:val="000000"/>
        </w:rPr>
        <w:t>++ )</w:t>
      </w:r>
      <w:r w:rsidR="002E08CC" w:rsidRPr="00A52AB8">
        <w:rPr>
          <w:color w:val="000000"/>
        </w:rPr>
        <w:br/>
      </w:r>
      <w:r w:rsidR="002E08CC" w:rsidRPr="00A52AB8">
        <w:rPr>
          <w:color w:val="000000"/>
        </w:rPr>
        <w:tab/>
      </w:r>
      <w:r w:rsidR="002E08CC" w:rsidRPr="00A52AB8">
        <w:rPr>
          <w:color w:val="000000"/>
        </w:rPr>
        <w:tab/>
      </w:r>
      <w:r w:rsidRPr="00A52AB8">
        <w:rPr>
          <w:color w:val="000000"/>
        </w:rPr>
        <w:tab/>
      </w:r>
      <w:r w:rsidR="001631A0" w:rsidRPr="00A52AB8">
        <w:rPr>
          <w:color w:val="000000" w:themeColor="text1"/>
        </w:rPr>
        <w:t>pointCloudGeo</w:t>
      </w:r>
      <w:r w:rsidRPr="00A52AB8">
        <w:rPr>
          <w:color w:val="000000" w:themeColor="text1"/>
        </w:rPr>
        <w:t>Shifted</w:t>
      </w:r>
      <w:r w:rsidR="002E08CC" w:rsidRPr="00A52AB8">
        <w:rPr>
          <w:color w:val="000000"/>
        </w:rPr>
        <w:t>[</w:t>
      </w:r>
      <w:r w:rsidR="00B76864" w:rsidRPr="00A52AB8">
        <w:rPr>
          <w:color w:val="000000"/>
        </w:rPr>
        <w:t> </w:t>
      </w:r>
      <w:r w:rsidR="002E08CC" w:rsidRPr="00A52AB8">
        <w:rPr>
          <w:color w:val="000000"/>
        </w:rPr>
        <w:t>n</w:t>
      </w:r>
      <w:r w:rsidR="00B76864" w:rsidRPr="00A52AB8">
        <w:rPr>
          <w:color w:val="000000"/>
        </w:rPr>
        <w:t> </w:t>
      </w:r>
      <w:r w:rsidR="002E08CC" w:rsidRPr="00A52AB8">
        <w:rPr>
          <w:color w:val="000000"/>
        </w:rPr>
        <w:t>]</w:t>
      </w:r>
      <w:r w:rsidR="004B7314" w:rsidRPr="00A52AB8">
        <w:rPr>
          <w:color w:val="000000"/>
        </w:rPr>
        <w:t>[ k ]</w:t>
      </w:r>
      <w:r w:rsidR="00D47707" w:rsidRPr="00A52AB8">
        <w:rPr>
          <w:color w:val="000000"/>
        </w:rPr>
        <w:t> = </w:t>
      </w:r>
      <w:r w:rsidR="001631A0" w:rsidRPr="00A52AB8">
        <w:rPr>
          <w:color w:val="000000" w:themeColor="text1"/>
        </w:rPr>
        <w:t>pointCloudGeo</w:t>
      </w:r>
      <w:r w:rsidR="002E08CC" w:rsidRPr="00A52AB8">
        <w:rPr>
          <w:color w:val="000000"/>
        </w:rPr>
        <w:t>[</w:t>
      </w:r>
      <w:r w:rsidR="00B76864" w:rsidRPr="00A52AB8">
        <w:rPr>
          <w:color w:val="000000"/>
        </w:rPr>
        <w:t> </w:t>
      </w:r>
      <w:r w:rsidR="002E08CC" w:rsidRPr="00A52AB8">
        <w:rPr>
          <w:color w:val="000000"/>
        </w:rPr>
        <w:t>n</w:t>
      </w:r>
      <w:r w:rsidR="00B76864" w:rsidRPr="00A52AB8">
        <w:rPr>
          <w:color w:val="000000"/>
        </w:rPr>
        <w:t> </w:t>
      </w:r>
      <w:r w:rsidR="002E08CC" w:rsidRPr="00A52AB8">
        <w:rPr>
          <w:color w:val="000000"/>
        </w:rPr>
        <w:t>]</w:t>
      </w:r>
      <w:r w:rsidR="004B7314" w:rsidRPr="00A52AB8">
        <w:rPr>
          <w:color w:val="000000"/>
        </w:rPr>
        <w:t>[ k ]</w:t>
      </w:r>
      <w:r w:rsidR="00B76864" w:rsidRPr="00A52AB8">
        <w:rPr>
          <w:color w:val="000000"/>
        </w:rPr>
        <w:t> </w:t>
      </w:r>
      <w:r w:rsidR="00F06994" w:rsidRPr="00A52AB8">
        <w:rPr>
          <w:color w:val="000000"/>
        </w:rPr>
        <w:t>–</w:t>
      </w:r>
      <w:r w:rsidR="00B76864" w:rsidRPr="00A52AB8">
        <w:rPr>
          <w:color w:val="000000"/>
        </w:rPr>
        <w:t> </w:t>
      </w:r>
      <w:r w:rsidR="002E08CC" w:rsidRPr="00A52AB8">
        <w:rPr>
          <w:color w:val="000000"/>
        </w:rPr>
        <w:t>vui_anchor_point</w:t>
      </w:r>
      <w:r w:rsidR="004B7314" w:rsidRPr="00A52AB8">
        <w:rPr>
          <w:color w:val="000000"/>
        </w:rPr>
        <w:t>[ k ]</w:t>
      </w:r>
    </w:p>
    <w:p w14:paraId="77212E57" w14:textId="7C7E8A24" w:rsidR="00FF1273" w:rsidRPr="00A52AB8" w:rsidRDefault="006A7A2E" w:rsidP="00792CFF">
      <w:pPr>
        <w:rPr>
          <w:color w:val="000000"/>
        </w:rPr>
      </w:pPr>
      <w:r w:rsidRPr="00A52AB8">
        <w:rPr>
          <w:color w:val="000000"/>
        </w:rPr>
        <w:tab/>
      </w:r>
      <w:r w:rsidR="002E08CC" w:rsidRPr="00A52AB8">
        <w:rPr>
          <w:color w:val="000000"/>
        </w:rPr>
        <w:t>for( n</w:t>
      </w:r>
      <w:r w:rsidR="00D47707" w:rsidRPr="00A52AB8">
        <w:rPr>
          <w:color w:val="000000"/>
        </w:rPr>
        <w:t> = </w:t>
      </w:r>
      <w:r w:rsidR="002E08CC" w:rsidRPr="00A52AB8">
        <w:rPr>
          <w:color w:val="000000"/>
        </w:rPr>
        <w:t>0 ; n &lt; PointCnt ; n</w:t>
      </w:r>
      <w:r w:rsidR="00006CCF" w:rsidRPr="00A52AB8">
        <w:rPr>
          <w:color w:val="000000"/>
        </w:rPr>
        <w:t>++ )</w:t>
      </w:r>
      <w:r w:rsidR="002E08CC" w:rsidRPr="00A52AB8">
        <w:rPr>
          <w:color w:val="000000"/>
        </w:rPr>
        <w:br/>
      </w:r>
      <w:r w:rsidR="002E08CC" w:rsidRPr="00A52AB8">
        <w:rPr>
          <w:color w:val="000000"/>
        </w:rPr>
        <w:tab/>
      </w:r>
      <w:r w:rsidRPr="00A52AB8">
        <w:rPr>
          <w:color w:val="000000"/>
        </w:rPr>
        <w:tab/>
      </w:r>
      <w:r w:rsidR="002E08CC" w:rsidRPr="00A52AB8">
        <w:rPr>
          <w:color w:val="000000"/>
        </w:rPr>
        <w:t>RecPcGeo</w:t>
      </w:r>
      <w:r w:rsidR="000B7FBC" w:rsidRPr="00A52AB8">
        <w:rPr>
          <w:color w:val="000000"/>
        </w:rPr>
        <w:t>[ n ]</w:t>
      </w:r>
      <w:r w:rsidR="00D47707" w:rsidRPr="00A52AB8">
        <w:rPr>
          <w:color w:val="000000"/>
        </w:rPr>
        <w:t> = </w:t>
      </w:r>
      <w:r w:rsidR="002E08CC" w:rsidRPr="00A52AB8">
        <w:rPr>
          <w:color w:val="000000"/>
        </w:rPr>
        <w:t>OffsetMatrix * RotationMatrix * ScaleMatrix * </w:t>
      </w:r>
      <w:r w:rsidR="009340A9" w:rsidRPr="00A52AB8">
        <w:rPr>
          <w:color w:val="000000" w:themeColor="text1"/>
        </w:rPr>
        <w:t>pointCloudGeoShifted</w:t>
      </w:r>
      <w:r w:rsidR="002E08CC" w:rsidRPr="00A52AB8">
        <w:rPr>
          <w:color w:val="000000"/>
        </w:rPr>
        <w:t>[ n ]</w:t>
      </w:r>
    </w:p>
    <w:p w14:paraId="28E951BE" w14:textId="507B7432" w:rsidR="000C73CA" w:rsidRPr="00A52AB8" w:rsidRDefault="000C73CA" w:rsidP="000C73CA">
      <w:pPr>
        <w:pStyle w:val="a2"/>
        <w:numPr>
          <w:ilvl w:val="1"/>
          <w:numId w:val="14"/>
        </w:numPr>
      </w:pPr>
      <w:bookmarkStart w:id="7247" w:name="_Toc37760859"/>
      <w:bookmarkStart w:id="7248" w:name="_Toc52181806"/>
      <w:r w:rsidRPr="00A52AB8">
        <w:t xml:space="preserve">Parsing </w:t>
      </w:r>
      <w:bookmarkEnd w:id="7247"/>
      <w:r w:rsidR="00791ACD" w:rsidRPr="00A52AB8">
        <w:t>process</w:t>
      </w:r>
      <w:bookmarkEnd w:id="7248"/>
    </w:p>
    <w:p w14:paraId="19F1BD64" w14:textId="53B3F955" w:rsidR="000C73CA" w:rsidRPr="00A52AB8" w:rsidRDefault="000C73CA" w:rsidP="000C73CA">
      <w:pPr>
        <w:rPr>
          <w:lang w:eastAsia="ja-JP"/>
        </w:rPr>
      </w:pPr>
      <w:r w:rsidRPr="00A52AB8">
        <w:rPr>
          <w:lang w:eastAsia="ja-JP"/>
        </w:rPr>
        <w:t xml:space="preserve">The specifications in </w:t>
      </w:r>
      <w:r w:rsidR="0086472B" w:rsidRPr="00A52AB8">
        <w:rPr>
          <w:lang w:eastAsia="ja-JP"/>
        </w:rPr>
        <w:t>Clause</w:t>
      </w:r>
      <w:r w:rsidRPr="00A52AB8">
        <w:rPr>
          <w:lang w:eastAsia="ja-JP"/>
        </w:rPr>
        <w:t xml:space="preserve"> </w:t>
      </w:r>
      <w:r w:rsidR="00B66CC6" w:rsidRPr="00496A4D">
        <w:rPr>
          <w:lang w:eastAsia="ja-JP"/>
        </w:rPr>
        <w:fldChar w:fldCharType="begin"/>
      </w:r>
      <w:r w:rsidR="00B66CC6" w:rsidRPr="00A52AB8">
        <w:rPr>
          <w:lang w:eastAsia="ja-JP"/>
        </w:rPr>
        <w:instrText xml:space="preserve"> REF _Ref38318384 \n \h </w:instrText>
      </w:r>
      <w:r w:rsidR="00CA5401" w:rsidRPr="00A52AB8">
        <w:rPr>
          <w:lang w:eastAsia="ja-JP"/>
        </w:rPr>
        <w:instrText xml:space="preserve"> \* MERGEFORMAT </w:instrText>
      </w:r>
      <w:r w:rsidR="00B66CC6" w:rsidRPr="00496A4D">
        <w:rPr>
          <w:lang w:eastAsia="ja-JP"/>
        </w:rPr>
      </w:r>
      <w:r w:rsidR="00B66CC6" w:rsidRPr="00496A4D">
        <w:rPr>
          <w:lang w:eastAsia="ja-JP"/>
        </w:rPr>
        <w:fldChar w:fldCharType="separate"/>
      </w:r>
      <w:r w:rsidR="00507A67">
        <w:rPr>
          <w:lang w:eastAsia="ja-JP"/>
        </w:rPr>
        <w:t>14</w:t>
      </w:r>
      <w:r w:rsidR="00B66CC6" w:rsidRPr="00496A4D">
        <w:rPr>
          <w:lang w:eastAsia="ja-JP"/>
        </w:rPr>
        <w:fldChar w:fldCharType="end"/>
      </w:r>
      <w:r w:rsidRPr="00A52AB8">
        <w:rPr>
          <w:lang w:eastAsia="ja-JP"/>
        </w:rPr>
        <w:t xml:space="preserve"> and its subclauses apply.</w:t>
      </w:r>
    </w:p>
    <w:p w14:paraId="6F19B400" w14:textId="568C159F" w:rsidR="000C73CA" w:rsidRPr="00A52AB8" w:rsidRDefault="000C73CA" w:rsidP="000C73CA">
      <w:pPr>
        <w:pStyle w:val="a2"/>
        <w:numPr>
          <w:ilvl w:val="1"/>
          <w:numId w:val="14"/>
        </w:numPr>
      </w:pPr>
      <w:bookmarkStart w:id="7249" w:name="_Toc37760860"/>
      <w:bookmarkStart w:id="7250" w:name="_Ref49330659"/>
      <w:bookmarkStart w:id="7251" w:name="_Ref49330666"/>
      <w:bookmarkStart w:id="7252" w:name="_Toc52181807"/>
      <w:r w:rsidRPr="00A52AB8">
        <w:t>Profile</w:t>
      </w:r>
      <w:r w:rsidR="00791ACD" w:rsidRPr="00A52AB8">
        <w:t>s</w:t>
      </w:r>
      <w:r w:rsidRPr="00A52AB8">
        <w:t xml:space="preserve">, </w:t>
      </w:r>
      <w:r w:rsidR="00791ACD" w:rsidRPr="00A52AB8">
        <w:t>t</w:t>
      </w:r>
      <w:r w:rsidRPr="00A52AB8">
        <w:t>ier</w:t>
      </w:r>
      <w:r w:rsidR="00791ACD" w:rsidRPr="00A52AB8">
        <w:t>s</w:t>
      </w:r>
      <w:r w:rsidRPr="00A52AB8">
        <w:t xml:space="preserve">, </w:t>
      </w:r>
      <w:r w:rsidR="00791ACD" w:rsidRPr="00A52AB8">
        <w:t>and l</w:t>
      </w:r>
      <w:r w:rsidRPr="00A52AB8">
        <w:t>evel</w:t>
      </w:r>
      <w:bookmarkEnd w:id="7249"/>
      <w:r w:rsidR="00791ACD" w:rsidRPr="00A52AB8">
        <w:t>s</w:t>
      </w:r>
      <w:bookmarkEnd w:id="7250"/>
      <w:bookmarkEnd w:id="7251"/>
      <w:bookmarkEnd w:id="7252"/>
    </w:p>
    <w:p w14:paraId="481B4C3A" w14:textId="3FB9F50D" w:rsidR="000C73CA" w:rsidRPr="00A52AB8" w:rsidRDefault="000C73CA" w:rsidP="000C73CA">
      <w:pPr>
        <w:pStyle w:val="a3"/>
        <w:numPr>
          <w:ilvl w:val="2"/>
          <w:numId w:val="14"/>
        </w:numPr>
      </w:pPr>
      <w:r w:rsidRPr="00A52AB8">
        <w:t xml:space="preserve"> </w:t>
      </w:r>
      <w:bookmarkStart w:id="7253" w:name="_Toc37760861"/>
      <w:bookmarkStart w:id="7254" w:name="_Toc52181808"/>
      <w:r w:rsidRPr="00A52AB8">
        <w:t>Overview of profiles, tiers, and levels</w:t>
      </w:r>
      <w:bookmarkEnd w:id="7253"/>
      <w:bookmarkEnd w:id="7254"/>
    </w:p>
    <w:p w14:paraId="0532D9DB" w14:textId="1D8DC703" w:rsidR="0050235C" w:rsidRPr="00A52AB8" w:rsidRDefault="000C73CA" w:rsidP="000C73CA">
      <w:r w:rsidRPr="00A52AB8">
        <w:t>The specifications in</w:t>
      </w:r>
      <w:r w:rsidR="00BD46EE" w:rsidRPr="00A52AB8">
        <w:t xml:space="preserve"> </w:t>
      </w:r>
      <w:r w:rsidR="00744D39" w:rsidRPr="00A52AB8">
        <w:t>subclause</w:t>
      </w:r>
      <w:r w:rsidRPr="00A52AB8">
        <w:t xml:space="preserve"> </w:t>
      </w:r>
      <w:r w:rsidR="00BD46EE" w:rsidRPr="00496A4D">
        <w:fldChar w:fldCharType="begin"/>
      </w:r>
      <w:r w:rsidR="00BD46EE" w:rsidRPr="00A52AB8">
        <w:instrText xml:space="preserve"> REF _Ref38318418 \n \h </w:instrText>
      </w:r>
      <w:r w:rsidR="00CA5401" w:rsidRPr="00A52AB8">
        <w:instrText xml:space="preserve"> \* MERGEFORMAT </w:instrText>
      </w:r>
      <w:r w:rsidR="00BD46EE" w:rsidRPr="00496A4D">
        <w:fldChar w:fldCharType="separate"/>
      </w:r>
      <w:r w:rsidR="00507A67">
        <w:t>A.1</w:t>
      </w:r>
      <w:r w:rsidR="00BD46EE" w:rsidRPr="00496A4D">
        <w:fldChar w:fldCharType="end"/>
      </w:r>
      <w:r w:rsidR="00791ACD" w:rsidRPr="00A52AB8">
        <w:t xml:space="preserve"> </w:t>
      </w:r>
      <w:r w:rsidRPr="00A52AB8">
        <w:rPr>
          <w:lang w:eastAsia="ja-JP"/>
        </w:rPr>
        <w:t>and its subclauses apply.</w:t>
      </w:r>
    </w:p>
    <w:p w14:paraId="40015944" w14:textId="77777777" w:rsidR="0050235C" w:rsidRPr="00A52AB8" w:rsidRDefault="000C73CA" w:rsidP="000C73CA">
      <w:pPr>
        <w:pStyle w:val="a3"/>
        <w:numPr>
          <w:ilvl w:val="2"/>
          <w:numId w:val="14"/>
        </w:numPr>
      </w:pPr>
      <w:r w:rsidRPr="00A52AB8">
        <w:t xml:space="preserve"> </w:t>
      </w:r>
      <w:bookmarkStart w:id="7255" w:name="_Toc37760862"/>
      <w:bookmarkStart w:id="7256" w:name="_Toc52181809"/>
      <w:r w:rsidRPr="00A52AB8">
        <w:t>Profile, tier</w:t>
      </w:r>
      <w:r w:rsidR="00791ACD" w:rsidRPr="00A52AB8">
        <w:t>,</w:t>
      </w:r>
      <w:r w:rsidRPr="00A52AB8">
        <w:t xml:space="preserve"> and level structure</w:t>
      </w:r>
      <w:bookmarkEnd w:id="7255"/>
      <w:bookmarkEnd w:id="7256"/>
    </w:p>
    <w:p w14:paraId="01F46960" w14:textId="3B25C0B8" w:rsidR="0050235C" w:rsidRPr="00A52AB8" w:rsidRDefault="000C73CA" w:rsidP="000C73CA">
      <w:r w:rsidRPr="00A52AB8">
        <w:t xml:space="preserve">The specifications in </w:t>
      </w:r>
      <w:r w:rsidR="00744D39" w:rsidRPr="00A52AB8">
        <w:t>subclause</w:t>
      </w:r>
      <w:r w:rsidR="00BD46EE" w:rsidRPr="00A52AB8">
        <w:t xml:space="preserve"> </w:t>
      </w:r>
      <w:r w:rsidR="00BD46EE" w:rsidRPr="00496A4D">
        <w:fldChar w:fldCharType="begin"/>
      </w:r>
      <w:r w:rsidR="00BD46EE" w:rsidRPr="00A52AB8">
        <w:instrText xml:space="preserve"> REF _Ref38318433 \n \h </w:instrText>
      </w:r>
      <w:r w:rsidR="00CA5401" w:rsidRPr="00A52AB8">
        <w:instrText xml:space="preserve"> \* MERGEFORMAT </w:instrText>
      </w:r>
      <w:r w:rsidR="00BD46EE" w:rsidRPr="00496A4D">
        <w:fldChar w:fldCharType="separate"/>
      </w:r>
      <w:r w:rsidR="00507A67">
        <w:t>A.2</w:t>
      </w:r>
      <w:r w:rsidR="00BD46EE" w:rsidRPr="00496A4D">
        <w:fldChar w:fldCharType="end"/>
      </w:r>
      <w:r w:rsidRPr="00A52AB8">
        <w:t xml:space="preserve"> </w:t>
      </w:r>
      <w:r w:rsidRPr="00A52AB8">
        <w:rPr>
          <w:lang w:eastAsia="ja-JP"/>
        </w:rPr>
        <w:t>and its subclauses apply</w:t>
      </w:r>
      <w:r w:rsidRPr="00A52AB8">
        <w:t>.</w:t>
      </w:r>
    </w:p>
    <w:p w14:paraId="3EC12347" w14:textId="0ECA4CE3" w:rsidR="000C73CA" w:rsidRPr="00A52AB8" w:rsidRDefault="000C73CA" w:rsidP="000C73CA">
      <w:pPr>
        <w:pStyle w:val="a3"/>
        <w:numPr>
          <w:ilvl w:val="2"/>
          <w:numId w:val="14"/>
        </w:numPr>
      </w:pPr>
      <w:r w:rsidRPr="00A52AB8">
        <w:t xml:space="preserve"> </w:t>
      </w:r>
      <w:bookmarkStart w:id="7257" w:name="_Toc37760863"/>
      <w:bookmarkStart w:id="7258" w:name="_Toc52181810"/>
      <w:r w:rsidRPr="00A52AB8">
        <w:t>CodecGroup profile components</w:t>
      </w:r>
      <w:bookmarkEnd w:id="7257"/>
      <w:bookmarkEnd w:id="7258"/>
    </w:p>
    <w:p w14:paraId="12731E75" w14:textId="08E5DFE1" w:rsidR="000C73CA" w:rsidRPr="00A52AB8" w:rsidRDefault="000C73CA" w:rsidP="000C73CA">
      <w:pPr>
        <w:rPr>
          <w:lang w:eastAsia="ja-JP"/>
        </w:rPr>
      </w:pPr>
      <w:r w:rsidRPr="00A52AB8">
        <w:t xml:space="preserve">The specifications in </w:t>
      </w:r>
      <w:r w:rsidR="00744D39" w:rsidRPr="00A52AB8">
        <w:t>subclause</w:t>
      </w:r>
      <w:r w:rsidR="00BD46EE" w:rsidRPr="00A52AB8">
        <w:t xml:space="preserve"> </w:t>
      </w:r>
      <w:r w:rsidR="00BD46EE" w:rsidRPr="00496A4D">
        <w:fldChar w:fldCharType="begin"/>
      </w:r>
      <w:r w:rsidR="00BD46EE" w:rsidRPr="00A52AB8">
        <w:instrText xml:space="preserve"> REF _Ref33612007 \n \h </w:instrText>
      </w:r>
      <w:r w:rsidR="00CA5401" w:rsidRPr="00A52AB8">
        <w:instrText xml:space="preserve"> \* MERGEFORMAT </w:instrText>
      </w:r>
      <w:r w:rsidR="00BD46EE" w:rsidRPr="00496A4D">
        <w:fldChar w:fldCharType="separate"/>
      </w:r>
      <w:r w:rsidR="00507A67">
        <w:t>A.3</w:t>
      </w:r>
      <w:r w:rsidR="00BD46EE" w:rsidRPr="00496A4D">
        <w:fldChar w:fldCharType="end"/>
      </w:r>
      <w:r w:rsidR="00BD46EE" w:rsidRPr="00A52AB8">
        <w:t xml:space="preserve"> </w:t>
      </w:r>
      <w:r w:rsidRPr="00A52AB8">
        <w:rPr>
          <w:lang w:eastAsia="ja-JP"/>
        </w:rPr>
        <w:t>and its subclauses apply.</w:t>
      </w:r>
    </w:p>
    <w:p w14:paraId="656422CD" w14:textId="77777777" w:rsidR="000C73CA" w:rsidRPr="00A52AB8" w:rsidRDefault="000C73CA" w:rsidP="000C73CA">
      <w:pPr>
        <w:pStyle w:val="a3"/>
        <w:numPr>
          <w:ilvl w:val="2"/>
          <w:numId w:val="14"/>
        </w:numPr>
      </w:pPr>
      <w:bookmarkStart w:id="7259" w:name="_Toc37760864"/>
      <w:bookmarkStart w:id="7260" w:name="_Toc52181811"/>
      <w:r w:rsidRPr="00A52AB8">
        <w:t>Toolset profile components</w:t>
      </w:r>
      <w:bookmarkEnd w:id="7259"/>
      <w:bookmarkEnd w:id="7260"/>
    </w:p>
    <w:p w14:paraId="5CD516BE" w14:textId="1EAFA431" w:rsidR="000C73CA" w:rsidRPr="00A52AB8" w:rsidRDefault="00A95281" w:rsidP="00007BE2">
      <w:pPr>
        <w:pStyle w:val="a4"/>
        <w:numPr>
          <w:ilvl w:val="3"/>
          <w:numId w:val="14"/>
        </w:numPr>
        <w:jc w:val="both"/>
      </w:pPr>
      <w:bookmarkStart w:id="7261" w:name="_Toc49345361"/>
      <w:bookmarkStart w:id="7262" w:name="_Toc49350262"/>
      <w:bookmarkStart w:id="7263" w:name="_Toc37760865"/>
      <w:bookmarkEnd w:id="7261"/>
      <w:bookmarkEnd w:id="7262"/>
      <w:r w:rsidRPr="00A52AB8">
        <w:t>V-PCC Basic</w:t>
      </w:r>
      <w:r w:rsidR="00B608F7" w:rsidRPr="00A52AB8">
        <w:t xml:space="preserve">, </w:t>
      </w:r>
      <w:r w:rsidR="00AE7F1F" w:rsidRPr="00A52AB8">
        <w:t>V-PCC Basic Still</w:t>
      </w:r>
      <w:r w:rsidR="00B608F7" w:rsidRPr="00A52AB8">
        <w:t>,</w:t>
      </w:r>
      <w:r w:rsidR="000C73CA" w:rsidRPr="00A52AB8">
        <w:t xml:space="preserve"> </w:t>
      </w:r>
      <w:r w:rsidR="00AE7F1F" w:rsidRPr="00A52AB8">
        <w:t>V-PCC Extended</w:t>
      </w:r>
      <w:r w:rsidR="00B608F7" w:rsidRPr="00A52AB8">
        <w:t xml:space="preserve">, </w:t>
      </w:r>
      <w:r w:rsidR="000C73CA" w:rsidRPr="00A52AB8">
        <w:t xml:space="preserve">and </w:t>
      </w:r>
      <w:r w:rsidR="00AE7F1F" w:rsidRPr="00A52AB8">
        <w:t>V-PCC Extended</w:t>
      </w:r>
      <w:r w:rsidR="00B608F7" w:rsidRPr="00A52AB8" w:rsidDel="00B608F7">
        <w:t xml:space="preserve"> </w:t>
      </w:r>
      <w:r w:rsidR="005A3120" w:rsidRPr="00A52AB8">
        <w:t xml:space="preserve">Still </w:t>
      </w:r>
      <w:r w:rsidR="000C73CA" w:rsidRPr="00A52AB8">
        <w:t>toolset profile component</w:t>
      </w:r>
      <w:bookmarkEnd w:id="7263"/>
      <w:r w:rsidR="00B608F7" w:rsidRPr="00A52AB8">
        <w:t>s</w:t>
      </w:r>
    </w:p>
    <w:p w14:paraId="75D66FBB" w14:textId="4272A1FD" w:rsidR="000C73CA" w:rsidRPr="00A52AB8" w:rsidRDefault="00353042" w:rsidP="000C73CA">
      <w:pPr>
        <w:rPr>
          <w:lang w:eastAsia="ja-JP"/>
        </w:rPr>
      </w:pPr>
      <w:r w:rsidRPr="00A52AB8">
        <w:rPr>
          <w:lang w:eastAsia="ja-JP"/>
        </w:rPr>
        <w:t>V3C</w:t>
      </w:r>
      <w:r w:rsidR="000C73CA" w:rsidRPr="00A52AB8">
        <w:rPr>
          <w:lang w:eastAsia="ja-JP"/>
        </w:rPr>
        <w:t xml:space="preserve"> toolset profile components indicating </w:t>
      </w:r>
      <w:r w:rsidR="00B608F7" w:rsidRPr="00A52AB8">
        <w:rPr>
          <w:lang w:eastAsia="ja-JP"/>
        </w:rPr>
        <w:t xml:space="preserve">the </w:t>
      </w:r>
      <w:r w:rsidR="00A95281" w:rsidRPr="00A52AB8">
        <w:rPr>
          <w:lang w:eastAsia="ja-JP"/>
        </w:rPr>
        <w:t>V-PCC Basic</w:t>
      </w:r>
      <w:r w:rsidR="000C73CA" w:rsidRPr="00A52AB8">
        <w:rPr>
          <w:lang w:eastAsia="ja-JP"/>
        </w:rPr>
        <w:t xml:space="preserve"> (ptl_profile_toolset_</w:t>
      </w:r>
      <w:r w:rsidR="009F2E7E" w:rsidRPr="00A52AB8">
        <w:rPr>
          <w:lang w:eastAsia="ja-JP"/>
        </w:rPr>
        <w:t>idc</w:t>
      </w:r>
      <w:r w:rsidR="00D47707" w:rsidRPr="00A52AB8">
        <w:rPr>
          <w:lang w:eastAsia="ja-JP"/>
        </w:rPr>
        <w:t> = </w:t>
      </w:r>
      <w:r w:rsidR="000C73CA" w:rsidRPr="00A52AB8">
        <w:rPr>
          <w:lang w:eastAsia="ja-JP"/>
        </w:rPr>
        <w:t>0)</w:t>
      </w:r>
      <w:r w:rsidR="00B608F7" w:rsidRPr="00A52AB8">
        <w:rPr>
          <w:lang w:eastAsia="ja-JP"/>
        </w:rPr>
        <w:t xml:space="preserve">, </w:t>
      </w:r>
      <w:r w:rsidR="00AE7F1F" w:rsidRPr="00A52AB8">
        <w:rPr>
          <w:lang w:eastAsia="ja-JP"/>
        </w:rPr>
        <w:t>V-PCC Basic Still</w:t>
      </w:r>
      <w:r w:rsidR="00B608F7" w:rsidRPr="00A52AB8">
        <w:rPr>
          <w:lang w:eastAsia="ja-JP"/>
        </w:rPr>
        <w:t xml:space="preserve"> (ptl_profile_toolset_idc</w:t>
      </w:r>
      <w:r w:rsidR="00D47707" w:rsidRPr="00A52AB8">
        <w:rPr>
          <w:lang w:eastAsia="ja-JP"/>
        </w:rPr>
        <w:t> = </w:t>
      </w:r>
      <w:r w:rsidR="00B608F7" w:rsidRPr="00A52AB8">
        <w:rPr>
          <w:lang w:eastAsia="ja-JP"/>
        </w:rPr>
        <w:t xml:space="preserve">0 and </w:t>
      </w:r>
      <w:r w:rsidR="004933EB" w:rsidRPr="00A52AB8">
        <w:rPr>
          <w:lang w:eastAsia="ja-JP"/>
        </w:rPr>
        <w:t>ptc_one_v3c_frame_only_flag</w:t>
      </w:r>
      <w:r w:rsidR="00D47707" w:rsidRPr="00A52AB8">
        <w:rPr>
          <w:lang w:eastAsia="ja-JP"/>
        </w:rPr>
        <w:t> = </w:t>
      </w:r>
      <w:r w:rsidR="00B608F7" w:rsidRPr="00A52AB8">
        <w:rPr>
          <w:lang w:eastAsia="ja-JP"/>
        </w:rPr>
        <w:t xml:space="preserve">1), </w:t>
      </w:r>
      <w:r w:rsidR="00AE7F1F" w:rsidRPr="00A52AB8">
        <w:rPr>
          <w:lang w:eastAsia="ja-JP"/>
        </w:rPr>
        <w:t>V-PCC Extended</w:t>
      </w:r>
      <w:r w:rsidR="00B608F7" w:rsidRPr="00A52AB8">
        <w:rPr>
          <w:lang w:eastAsia="ja-JP"/>
        </w:rPr>
        <w:t xml:space="preserve"> (ptl_profile_toolset_idc</w:t>
      </w:r>
      <w:r w:rsidR="00D47707" w:rsidRPr="00A52AB8">
        <w:rPr>
          <w:lang w:eastAsia="ja-JP"/>
        </w:rPr>
        <w:t> = </w:t>
      </w:r>
      <w:r w:rsidR="00B608F7" w:rsidRPr="00A52AB8">
        <w:rPr>
          <w:lang w:eastAsia="ja-JP"/>
        </w:rPr>
        <w:t xml:space="preserve">1), </w:t>
      </w:r>
      <w:r w:rsidR="000C73CA" w:rsidRPr="00A52AB8">
        <w:rPr>
          <w:lang w:eastAsia="ja-JP"/>
        </w:rPr>
        <w:t xml:space="preserve">or </w:t>
      </w:r>
      <w:r w:rsidR="00AE7F1F" w:rsidRPr="00A52AB8">
        <w:rPr>
          <w:lang w:eastAsia="ja-JP"/>
        </w:rPr>
        <w:t>V-PCC Extended Still</w:t>
      </w:r>
      <w:r w:rsidR="00B608F7" w:rsidRPr="00A52AB8">
        <w:rPr>
          <w:lang w:eastAsia="ja-JP"/>
        </w:rPr>
        <w:t xml:space="preserve"> </w:t>
      </w:r>
      <w:r w:rsidR="000C73CA" w:rsidRPr="00A52AB8">
        <w:rPr>
          <w:lang w:eastAsia="ja-JP"/>
        </w:rPr>
        <w:t>(ptl_profile_toolset_idc</w:t>
      </w:r>
      <w:r w:rsidR="00D47707" w:rsidRPr="00A52AB8">
        <w:rPr>
          <w:lang w:eastAsia="ja-JP"/>
        </w:rPr>
        <w:t> = </w:t>
      </w:r>
      <w:r w:rsidR="000C73CA" w:rsidRPr="00A52AB8">
        <w:rPr>
          <w:lang w:eastAsia="ja-JP"/>
        </w:rPr>
        <w:t>1</w:t>
      </w:r>
      <w:r w:rsidR="00B608F7" w:rsidRPr="00A52AB8">
        <w:rPr>
          <w:lang w:eastAsia="ja-JP"/>
        </w:rPr>
        <w:t xml:space="preserve"> and </w:t>
      </w:r>
      <w:r w:rsidR="004933EB" w:rsidRPr="00A52AB8">
        <w:rPr>
          <w:lang w:eastAsia="ja-JP"/>
        </w:rPr>
        <w:t>ptc_one_v3c_frame_only_flag</w:t>
      </w:r>
      <w:r w:rsidR="00D47707" w:rsidRPr="00A52AB8">
        <w:rPr>
          <w:lang w:eastAsia="ja-JP"/>
        </w:rPr>
        <w:t> = </w:t>
      </w:r>
      <w:r w:rsidR="00B608F7" w:rsidRPr="00A52AB8">
        <w:rPr>
          <w:lang w:eastAsia="ja-JP"/>
        </w:rPr>
        <w:t>1</w:t>
      </w:r>
      <w:r w:rsidR="000C73CA" w:rsidRPr="00A52AB8">
        <w:rPr>
          <w:lang w:eastAsia="ja-JP"/>
        </w:rPr>
        <w:t xml:space="preserve">) toolset profile component shall conform to the syntax element restrictions specified in </w:t>
      </w:r>
      <w:r w:rsidR="007E002B" w:rsidRPr="00496A4D">
        <w:rPr>
          <w:lang w:eastAsia="ja-JP"/>
        </w:rPr>
        <w:fldChar w:fldCharType="begin"/>
      </w:r>
      <w:r w:rsidR="007E002B" w:rsidRPr="00A52AB8">
        <w:rPr>
          <w:lang w:eastAsia="ja-JP"/>
        </w:rPr>
        <w:instrText xml:space="preserve"> REF _Ref39818362 \h </w:instrText>
      </w:r>
      <w:r w:rsidR="00CA5401" w:rsidRPr="00A52AB8">
        <w:rPr>
          <w:lang w:eastAsia="ja-JP"/>
        </w:rPr>
        <w:instrText xml:space="preserve"> \* MERGEFORMAT </w:instrText>
      </w:r>
      <w:r w:rsidR="007E002B" w:rsidRPr="00496A4D">
        <w:rPr>
          <w:lang w:eastAsia="ja-JP"/>
        </w:rPr>
      </w:r>
      <w:r w:rsidR="007E002B" w:rsidRPr="00496A4D">
        <w:rPr>
          <w:lang w:eastAsia="ja-JP"/>
        </w:rPr>
        <w:fldChar w:fldCharType="separate"/>
      </w:r>
      <w:r w:rsidR="00507A67" w:rsidRPr="00507A67">
        <w:t>Table H-3</w:t>
      </w:r>
      <w:r w:rsidR="007E002B" w:rsidRPr="00496A4D">
        <w:rPr>
          <w:lang w:eastAsia="ja-JP"/>
        </w:rPr>
        <w:fldChar w:fldCharType="end"/>
      </w:r>
      <w:r w:rsidR="00B608F7" w:rsidRPr="00A52AB8">
        <w:rPr>
          <w:lang w:eastAsia="ja-JP"/>
        </w:rPr>
        <w:t>.</w:t>
      </w:r>
      <w:r w:rsidR="000C73CA" w:rsidRPr="00A52AB8">
        <w:rPr>
          <w:lang w:eastAsia="ja-JP"/>
        </w:rPr>
        <w:t xml:space="preserve"> If a syntax element is not mentioned in </w:t>
      </w:r>
      <w:r w:rsidR="007E002B" w:rsidRPr="00496A4D">
        <w:rPr>
          <w:lang w:eastAsia="ja-JP"/>
        </w:rPr>
        <w:fldChar w:fldCharType="begin"/>
      </w:r>
      <w:r w:rsidR="007E002B" w:rsidRPr="00A52AB8">
        <w:rPr>
          <w:lang w:eastAsia="ja-JP"/>
        </w:rPr>
        <w:instrText xml:space="preserve"> REF _Ref39818362 \h </w:instrText>
      </w:r>
      <w:r w:rsidR="00CA5401" w:rsidRPr="00A52AB8">
        <w:rPr>
          <w:lang w:eastAsia="ja-JP"/>
        </w:rPr>
        <w:instrText xml:space="preserve"> \* MERGEFORMAT </w:instrText>
      </w:r>
      <w:r w:rsidR="007E002B" w:rsidRPr="00496A4D">
        <w:rPr>
          <w:lang w:eastAsia="ja-JP"/>
        </w:rPr>
      </w:r>
      <w:r w:rsidR="007E002B" w:rsidRPr="00496A4D">
        <w:rPr>
          <w:lang w:eastAsia="ja-JP"/>
        </w:rPr>
        <w:fldChar w:fldCharType="separate"/>
      </w:r>
      <w:r w:rsidR="00507A67" w:rsidRPr="00507A67">
        <w:t>Table H-3</w:t>
      </w:r>
      <w:r w:rsidR="007E002B" w:rsidRPr="00496A4D">
        <w:rPr>
          <w:lang w:eastAsia="ja-JP"/>
        </w:rPr>
        <w:fldChar w:fldCharType="end"/>
      </w:r>
      <w:r w:rsidR="000C73CA" w:rsidRPr="00A52AB8">
        <w:rPr>
          <w:lang w:eastAsia="ja-JP"/>
        </w:rPr>
        <w:t xml:space="preserve"> it is not restricted through a toolset profile component.</w:t>
      </w:r>
    </w:p>
    <w:p w14:paraId="3E894AAD" w14:textId="51029CA1" w:rsidR="000C73CA" w:rsidRPr="00A52AB8" w:rsidRDefault="000C73CA">
      <w:pPr>
        <w:jc w:val="center"/>
        <w:rPr>
          <w:rStyle w:val="CaptionChar1"/>
          <w:lang w:val="en-CA"/>
        </w:rPr>
      </w:pPr>
      <w:bookmarkStart w:id="7264" w:name="_Ref39818362"/>
      <w:r w:rsidRPr="00A52AB8">
        <w:rPr>
          <w:rStyle w:val="CaptionChar1"/>
          <w:lang w:val="en-CA"/>
        </w:rPr>
        <w:t>Table </w:t>
      </w:r>
      <w:r w:rsidR="00FC5D23" w:rsidRPr="00A52AB8">
        <w:rPr>
          <w:rStyle w:val="CaptionChar1"/>
          <w:lang w:val="en-CA"/>
        </w:rPr>
        <w:t>H</w:t>
      </w:r>
      <w:r w:rsidRPr="00A52AB8">
        <w:rPr>
          <w:rStyle w:val="CaptionChar1"/>
          <w:lang w:val="en-CA"/>
        </w:rPr>
        <w:t>-</w:t>
      </w:r>
      <w:r w:rsidRPr="00496A4D">
        <w:rPr>
          <w:rStyle w:val="CaptionChar1"/>
          <w:lang w:val="en-CA"/>
        </w:rPr>
        <w:fldChar w:fldCharType="begin"/>
      </w:r>
      <w:r w:rsidRPr="00A52AB8">
        <w:rPr>
          <w:rStyle w:val="CaptionChar1"/>
          <w:lang w:val="en-CA"/>
        </w:rPr>
        <w:instrText xml:space="preserve"> SEQ Table \* ARABIC \s 1 </w:instrText>
      </w:r>
      <w:r w:rsidRPr="00496A4D">
        <w:rPr>
          <w:rStyle w:val="CaptionChar1"/>
          <w:lang w:val="en-CA"/>
        </w:rPr>
        <w:fldChar w:fldCharType="separate"/>
      </w:r>
      <w:r w:rsidR="00507A67">
        <w:rPr>
          <w:rStyle w:val="CaptionChar1"/>
          <w:noProof/>
          <w:lang w:val="en-CA"/>
        </w:rPr>
        <w:t>3</w:t>
      </w:r>
      <w:r w:rsidRPr="00496A4D">
        <w:rPr>
          <w:rStyle w:val="CaptionChar1"/>
          <w:lang w:val="en-CA"/>
        </w:rPr>
        <w:fldChar w:fldCharType="end"/>
      </w:r>
      <w:bookmarkEnd w:id="7264"/>
      <w:r w:rsidR="00553C48" w:rsidRPr="00A52AB8">
        <w:rPr>
          <w:rStyle w:val="CaptionChar1"/>
          <w:lang w:val="en-CA"/>
        </w:rPr>
        <w:t> – </w:t>
      </w:r>
      <w:r w:rsidR="00B608F7" w:rsidRPr="00A52AB8">
        <w:rPr>
          <w:rStyle w:val="CaptionChar1"/>
          <w:lang w:val="en-CA"/>
        </w:rPr>
        <w:t>Max allowed</w:t>
      </w:r>
      <w:r w:rsidRPr="00A52AB8">
        <w:rPr>
          <w:rStyle w:val="CaptionChar1"/>
          <w:lang w:val="en-CA"/>
        </w:rPr>
        <w:t xml:space="preserve"> syntax element values for </w:t>
      </w:r>
      <w:r w:rsidR="00AE7F1F" w:rsidRPr="00A52AB8">
        <w:rPr>
          <w:rStyle w:val="CaptionChar1"/>
          <w:lang w:val="en-CA"/>
        </w:rPr>
        <w:t xml:space="preserve">the V-PCC </w:t>
      </w:r>
      <w:r w:rsidRPr="00A52AB8">
        <w:rPr>
          <w:rStyle w:val="CaptionChar1"/>
          <w:lang w:val="en-CA"/>
        </w:rPr>
        <w:t>toolset profile components</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86" w:type="dxa"/>
          <w:left w:w="115" w:type="dxa"/>
          <w:bottom w:w="86" w:type="dxa"/>
          <w:right w:w="115" w:type="dxa"/>
        </w:tblCellMar>
        <w:tblLook w:val="04A0" w:firstRow="1" w:lastRow="0" w:firstColumn="1" w:lastColumn="0" w:noHBand="0" w:noVBand="1"/>
      </w:tblPr>
      <w:tblGrid>
        <w:gridCol w:w="3924"/>
        <w:gridCol w:w="1436"/>
        <w:gridCol w:w="1512"/>
        <w:gridCol w:w="1436"/>
        <w:gridCol w:w="1434"/>
      </w:tblGrid>
      <w:tr w:rsidR="00B608F7" w:rsidRPr="00A52AB8" w14:paraId="585CADEE" w14:textId="77777777" w:rsidTr="00B608F7">
        <w:trPr>
          <w:jc w:val="center"/>
        </w:trPr>
        <w:tc>
          <w:tcPr>
            <w:tcW w:w="2014" w:type="pct"/>
            <w:vAlign w:val="center"/>
          </w:tcPr>
          <w:p w14:paraId="34029E7F" w14:textId="77777777" w:rsidR="00B608F7" w:rsidRPr="00A52AB8" w:rsidRDefault="00B608F7" w:rsidP="001B0754">
            <w:pPr>
              <w:autoSpaceDE w:val="0"/>
              <w:autoSpaceDN w:val="0"/>
              <w:adjustRightInd w:val="0"/>
              <w:spacing w:after="0" w:line="240" w:lineRule="auto"/>
              <w:jc w:val="center"/>
              <w:rPr>
                <w:rFonts w:eastAsia="Times New Roman"/>
                <w:b/>
                <w:bCs/>
                <w:color w:val="000000" w:themeColor="text1"/>
                <w:sz w:val="18"/>
                <w:szCs w:val="18"/>
              </w:rPr>
            </w:pPr>
          </w:p>
        </w:tc>
        <w:tc>
          <w:tcPr>
            <w:tcW w:w="2986" w:type="pct"/>
            <w:gridSpan w:val="4"/>
            <w:vAlign w:val="center"/>
          </w:tcPr>
          <w:p w14:paraId="63874B32" w14:textId="77777777" w:rsidR="00B608F7" w:rsidRPr="00A52AB8" w:rsidRDefault="00AE7F1F" w:rsidP="001B0754">
            <w:pPr>
              <w:autoSpaceDE w:val="0"/>
              <w:autoSpaceDN w:val="0"/>
              <w:adjustRightInd w:val="0"/>
              <w:spacing w:after="0" w:line="240" w:lineRule="auto"/>
              <w:jc w:val="center"/>
              <w:rPr>
                <w:rFonts w:eastAsia="Times New Roman"/>
                <w:b/>
                <w:color w:val="000000" w:themeColor="text1"/>
                <w:sz w:val="18"/>
                <w:szCs w:val="18"/>
              </w:rPr>
            </w:pPr>
            <w:r w:rsidRPr="00A52AB8">
              <w:rPr>
                <w:rFonts w:eastAsia="Times New Roman"/>
                <w:b/>
                <w:color w:val="000000" w:themeColor="text1"/>
                <w:sz w:val="18"/>
                <w:szCs w:val="18"/>
              </w:rPr>
              <w:t>Profile name</w:t>
            </w:r>
          </w:p>
        </w:tc>
      </w:tr>
      <w:tr w:rsidR="00B608F7" w:rsidRPr="00A52AB8" w14:paraId="692D96CF" w14:textId="77777777" w:rsidTr="00483257">
        <w:trPr>
          <w:jc w:val="center"/>
        </w:trPr>
        <w:tc>
          <w:tcPr>
            <w:tcW w:w="2014" w:type="pct"/>
            <w:vAlign w:val="center"/>
          </w:tcPr>
          <w:p w14:paraId="76896B75" w14:textId="77777777" w:rsidR="00B608F7" w:rsidRPr="00A52AB8" w:rsidRDefault="00B608F7" w:rsidP="001B0754">
            <w:pPr>
              <w:autoSpaceDE w:val="0"/>
              <w:autoSpaceDN w:val="0"/>
              <w:adjustRightInd w:val="0"/>
              <w:spacing w:after="0" w:line="240" w:lineRule="auto"/>
              <w:jc w:val="center"/>
              <w:rPr>
                <w:rFonts w:eastAsia="Times New Roman"/>
                <w:b/>
                <w:bCs/>
                <w:color w:val="000000" w:themeColor="text1"/>
                <w:sz w:val="18"/>
                <w:szCs w:val="18"/>
              </w:rPr>
            </w:pPr>
            <w:r w:rsidRPr="00A52AB8">
              <w:rPr>
                <w:rFonts w:eastAsia="Times New Roman"/>
                <w:b/>
                <w:bCs/>
                <w:color w:val="000000" w:themeColor="text1"/>
                <w:sz w:val="18"/>
                <w:szCs w:val="18"/>
              </w:rPr>
              <w:t>Syntax element</w:t>
            </w:r>
          </w:p>
        </w:tc>
        <w:tc>
          <w:tcPr>
            <w:tcW w:w="737" w:type="pct"/>
            <w:vAlign w:val="center"/>
          </w:tcPr>
          <w:p w14:paraId="10EC6C35" w14:textId="77777777" w:rsidR="00B608F7" w:rsidRPr="00A52AB8" w:rsidRDefault="00AE7F1F" w:rsidP="001B0754">
            <w:pPr>
              <w:autoSpaceDE w:val="0"/>
              <w:autoSpaceDN w:val="0"/>
              <w:adjustRightInd w:val="0"/>
              <w:spacing w:after="0" w:line="240" w:lineRule="auto"/>
              <w:jc w:val="center"/>
              <w:rPr>
                <w:rFonts w:eastAsia="Times New Roman"/>
                <w:b/>
                <w:bCs/>
                <w:color w:val="000000"/>
                <w:sz w:val="18"/>
                <w:szCs w:val="18"/>
              </w:rPr>
            </w:pPr>
            <w:r w:rsidRPr="00A52AB8">
              <w:rPr>
                <w:rFonts w:eastAsia="Times New Roman"/>
                <w:b/>
                <w:bCs/>
                <w:color w:val="000000"/>
                <w:sz w:val="18"/>
                <w:szCs w:val="18"/>
              </w:rPr>
              <w:t>V-PCC Basic</w:t>
            </w:r>
          </w:p>
        </w:tc>
        <w:tc>
          <w:tcPr>
            <w:tcW w:w="776" w:type="pct"/>
            <w:vAlign w:val="center"/>
          </w:tcPr>
          <w:p w14:paraId="58FFD4BD" w14:textId="77777777" w:rsidR="00B608F7" w:rsidRPr="00A52AB8" w:rsidRDefault="00AE7F1F" w:rsidP="001B0754">
            <w:pPr>
              <w:autoSpaceDE w:val="0"/>
              <w:autoSpaceDN w:val="0"/>
              <w:adjustRightInd w:val="0"/>
              <w:spacing w:after="0" w:line="240" w:lineRule="auto"/>
              <w:jc w:val="center"/>
              <w:rPr>
                <w:rFonts w:eastAsia="Times New Roman"/>
                <w:b/>
                <w:bCs/>
                <w:color w:val="000000"/>
                <w:sz w:val="18"/>
                <w:szCs w:val="18"/>
              </w:rPr>
            </w:pPr>
            <w:r w:rsidRPr="00A52AB8">
              <w:rPr>
                <w:rFonts w:eastAsia="Times New Roman"/>
                <w:b/>
                <w:bCs/>
                <w:color w:val="000000"/>
                <w:sz w:val="18"/>
                <w:szCs w:val="18"/>
              </w:rPr>
              <w:t xml:space="preserve">V-PCC </w:t>
            </w:r>
            <w:r w:rsidRPr="00A52AB8">
              <w:rPr>
                <w:rFonts w:eastAsia="Times New Roman"/>
                <w:b/>
                <w:bCs/>
                <w:color w:val="000000"/>
                <w:sz w:val="18"/>
                <w:szCs w:val="18"/>
              </w:rPr>
              <w:br/>
              <w:t>Basic Still</w:t>
            </w:r>
          </w:p>
        </w:tc>
        <w:tc>
          <w:tcPr>
            <w:tcW w:w="737" w:type="pct"/>
          </w:tcPr>
          <w:p w14:paraId="69914C4C" w14:textId="77777777" w:rsidR="00B608F7" w:rsidRPr="00A52AB8" w:rsidRDefault="00AE7F1F" w:rsidP="001B0754">
            <w:pPr>
              <w:autoSpaceDE w:val="0"/>
              <w:autoSpaceDN w:val="0"/>
              <w:adjustRightInd w:val="0"/>
              <w:spacing w:after="0" w:line="240" w:lineRule="auto"/>
              <w:jc w:val="center"/>
              <w:rPr>
                <w:rFonts w:eastAsia="Times New Roman"/>
                <w:b/>
                <w:bCs/>
                <w:color w:val="000000"/>
                <w:sz w:val="18"/>
                <w:szCs w:val="18"/>
              </w:rPr>
            </w:pPr>
            <w:r w:rsidRPr="00A52AB8">
              <w:rPr>
                <w:rFonts w:eastAsia="Times New Roman"/>
                <w:b/>
                <w:bCs/>
                <w:color w:val="000000"/>
                <w:sz w:val="18"/>
                <w:szCs w:val="18"/>
              </w:rPr>
              <w:t>V-PCC Extended</w:t>
            </w:r>
          </w:p>
        </w:tc>
        <w:tc>
          <w:tcPr>
            <w:tcW w:w="736" w:type="pct"/>
          </w:tcPr>
          <w:p w14:paraId="0628E032" w14:textId="77777777" w:rsidR="00B608F7" w:rsidRPr="00A52AB8" w:rsidRDefault="00AE7F1F" w:rsidP="001B0754">
            <w:pPr>
              <w:autoSpaceDE w:val="0"/>
              <w:autoSpaceDN w:val="0"/>
              <w:adjustRightInd w:val="0"/>
              <w:spacing w:after="0" w:line="240" w:lineRule="auto"/>
              <w:jc w:val="center"/>
              <w:rPr>
                <w:rFonts w:eastAsia="Times New Roman"/>
                <w:b/>
                <w:bCs/>
                <w:color w:val="000000"/>
                <w:sz w:val="18"/>
                <w:szCs w:val="18"/>
              </w:rPr>
            </w:pPr>
            <w:r w:rsidRPr="00A52AB8">
              <w:rPr>
                <w:rFonts w:eastAsia="Times New Roman"/>
                <w:b/>
                <w:bCs/>
                <w:color w:val="000000"/>
                <w:sz w:val="18"/>
                <w:szCs w:val="18"/>
              </w:rPr>
              <w:t>V-PCC Extended Still</w:t>
            </w:r>
          </w:p>
        </w:tc>
      </w:tr>
      <w:tr w:rsidR="00AE7F1F" w:rsidRPr="00A52AB8" w14:paraId="7E674BEA" w14:textId="77777777" w:rsidTr="00BF35CA">
        <w:trPr>
          <w:jc w:val="center"/>
        </w:trPr>
        <w:tc>
          <w:tcPr>
            <w:tcW w:w="2014" w:type="pct"/>
            <w:vAlign w:val="center"/>
          </w:tcPr>
          <w:p w14:paraId="14FF6954" w14:textId="77777777" w:rsidR="00AE7F1F" w:rsidRPr="00A52AB8" w:rsidRDefault="00AE7F1F" w:rsidP="00B608F7">
            <w:pPr>
              <w:autoSpaceDE w:val="0"/>
              <w:autoSpaceDN w:val="0"/>
              <w:adjustRightInd w:val="0"/>
              <w:spacing w:after="0" w:line="240" w:lineRule="auto"/>
              <w:jc w:val="center"/>
              <w:rPr>
                <w:bCs/>
                <w:color w:val="000000" w:themeColor="text1"/>
                <w:sz w:val="18"/>
                <w:szCs w:val="18"/>
              </w:rPr>
            </w:pPr>
            <w:r w:rsidRPr="00A52AB8">
              <w:rPr>
                <w:rFonts w:eastAsia="Times New Roman"/>
                <w:bCs/>
                <w:color w:val="000000" w:themeColor="text1"/>
                <w:sz w:val="18"/>
                <w:szCs w:val="18"/>
              </w:rPr>
              <w:t>ptl_profile_toolset_idc</w:t>
            </w:r>
          </w:p>
        </w:tc>
        <w:tc>
          <w:tcPr>
            <w:tcW w:w="737" w:type="pct"/>
            <w:vAlign w:val="center"/>
          </w:tcPr>
          <w:p w14:paraId="25788519" w14:textId="77777777" w:rsidR="00AE7F1F" w:rsidRPr="00A52AB8" w:rsidRDefault="00AE7F1F" w:rsidP="00B608F7">
            <w:pPr>
              <w:autoSpaceDE w:val="0"/>
              <w:autoSpaceDN w:val="0"/>
              <w:adjustRightInd w:val="0"/>
              <w:spacing w:after="0" w:line="240" w:lineRule="auto"/>
              <w:jc w:val="center"/>
              <w:rPr>
                <w:rFonts w:eastAsia="Times New Roman"/>
                <w:color w:val="000000"/>
                <w:sz w:val="18"/>
                <w:szCs w:val="18"/>
              </w:rPr>
            </w:pPr>
            <w:r w:rsidRPr="00A52AB8">
              <w:rPr>
                <w:rFonts w:eastAsia="Times New Roman"/>
                <w:color w:val="000000"/>
                <w:sz w:val="18"/>
                <w:szCs w:val="18"/>
              </w:rPr>
              <w:t>0</w:t>
            </w:r>
          </w:p>
        </w:tc>
        <w:tc>
          <w:tcPr>
            <w:tcW w:w="776" w:type="pct"/>
            <w:vAlign w:val="center"/>
          </w:tcPr>
          <w:p w14:paraId="1B96D1CC" w14:textId="77777777" w:rsidR="00AE7F1F" w:rsidRPr="00A52AB8" w:rsidRDefault="00AE7F1F" w:rsidP="00B608F7">
            <w:pPr>
              <w:autoSpaceDE w:val="0"/>
              <w:autoSpaceDN w:val="0"/>
              <w:adjustRightInd w:val="0"/>
              <w:spacing w:after="0" w:line="240" w:lineRule="auto"/>
              <w:jc w:val="center"/>
              <w:rPr>
                <w:sz w:val="18"/>
                <w:szCs w:val="18"/>
              </w:rPr>
            </w:pPr>
            <w:r w:rsidRPr="00A52AB8">
              <w:rPr>
                <w:sz w:val="18"/>
                <w:szCs w:val="18"/>
              </w:rPr>
              <w:t>0</w:t>
            </w:r>
          </w:p>
        </w:tc>
        <w:tc>
          <w:tcPr>
            <w:tcW w:w="737" w:type="pct"/>
            <w:vAlign w:val="center"/>
          </w:tcPr>
          <w:p w14:paraId="03FB3E0E" w14:textId="77777777" w:rsidR="00AE7F1F" w:rsidRPr="00A52AB8" w:rsidRDefault="00AE7F1F" w:rsidP="00B608F7">
            <w:pPr>
              <w:autoSpaceDE w:val="0"/>
              <w:autoSpaceDN w:val="0"/>
              <w:adjustRightInd w:val="0"/>
              <w:spacing w:after="0" w:line="240" w:lineRule="auto"/>
              <w:jc w:val="center"/>
              <w:rPr>
                <w:sz w:val="18"/>
                <w:szCs w:val="18"/>
              </w:rPr>
            </w:pPr>
            <w:r w:rsidRPr="00A52AB8">
              <w:rPr>
                <w:sz w:val="18"/>
                <w:szCs w:val="18"/>
              </w:rPr>
              <w:t>1</w:t>
            </w:r>
          </w:p>
        </w:tc>
        <w:tc>
          <w:tcPr>
            <w:tcW w:w="736" w:type="pct"/>
            <w:vAlign w:val="center"/>
          </w:tcPr>
          <w:p w14:paraId="58884260" w14:textId="77777777" w:rsidR="00AE7F1F" w:rsidRPr="00A52AB8" w:rsidRDefault="00AE7F1F" w:rsidP="00B608F7">
            <w:pPr>
              <w:autoSpaceDE w:val="0"/>
              <w:autoSpaceDN w:val="0"/>
              <w:adjustRightInd w:val="0"/>
              <w:spacing w:after="0" w:line="240" w:lineRule="auto"/>
              <w:jc w:val="center"/>
              <w:rPr>
                <w:sz w:val="18"/>
                <w:szCs w:val="18"/>
              </w:rPr>
            </w:pPr>
            <w:r w:rsidRPr="00A52AB8">
              <w:rPr>
                <w:sz w:val="18"/>
                <w:szCs w:val="18"/>
              </w:rPr>
              <w:t>1</w:t>
            </w:r>
          </w:p>
        </w:tc>
      </w:tr>
      <w:tr w:rsidR="00B608F7" w:rsidRPr="00A52AB8" w14:paraId="38005359" w14:textId="77777777" w:rsidTr="00483257">
        <w:trPr>
          <w:jc w:val="center"/>
        </w:trPr>
        <w:tc>
          <w:tcPr>
            <w:tcW w:w="2014" w:type="pct"/>
            <w:vAlign w:val="center"/>
          </w:tcPr>
          <w:p w14:paraId="5BD8578D" w14:textId="66C6F9A2" w:rsidR="00B608F7" w:rsidRPr="00A52AB8" w:rsidRDefault="004933EB" w:rsidP="00B608F7">
            <w:pPr>
              <w:autoSpaceDE w:val="0"/>
              <w:autoSpaceDN w:val="0"/>
              <w:adjustRightInd w:val="0"/>
              <w:spacing w:after="0" w:line="240" w:lineRule="auto"/>
              <w:jc w:val="center"/>
              <w:rPr>
                <w:rFonts w:eastAsia="Times New Roman"/>
                <w:bCs/>
                <w:color w:val="000000" w:themeColor="text1"/>
                <w:sz w:val="18"/>
                <w:szCs w:val="18"/>
              </w:rPr>
            </w:pPr>
            <w:r w:rsidRPr="00A52AB8">
              <w:rPr>
                <w:bCs/>
                <w:color w:val="000000" w:themeColor="text1"/>
                <w:sz w:val="18"/>
                <w:szCs w:val="18"/>
              </w:rPr>
              <w:t>ptc_one_v3c_frame_only_flag</w:t>
            </w:r>
          </w:p>
        </w:tc>
        <w:tc>
          <w:tcPr>
            <w:tcW w:w="737" w:type="pct"/>
            <w:vAlign w:val="center"/>
          </w:tcPr>
          <w:p w14:paraId="15A3ACB1" w14:textId="77777777" w:rsidR="00B608F7" w:rsidRPr="00A52AB8" w:rsidRDefault="001E6507" w:rsidP="00B608F7">
            <w:pPr>
              <w:autoSpaceDE w:val="0"/>
              <w:autoSpaceDN w:val="0"/>
              <w:adjustRightInd w:val="0"/>
              <w:spacing w:after="0" w:line="240" w:lineRule="auto"/>
              <w:jc w:val="center"/>
              <w:rPr>
                <w:rFonts w:eastAsia="Times New Roman"/>
                <w:color w:val="000000"/>
                <w:sz w:val="18"/>
                <w:szCs w:val="18"/>
              </w:rPr>
            </w:pPr>
            <w:r w:rsidRPr="00A52AB8">
              <w:rPr>
                <w:sz w:val="18"/>
                <w:szCs w:val="18"/>
              </w:rPr>
              <w:t>‒</w:t>
            </w:r>
          </w:p>
        </w:tc>
        <w:tc>
          <w:tcPr>
            <w:tcW w:w="776" w:type="pct"/>
            <w:vAlign w:val="center"/>
          </w:tcPr>
          <w:p w14:paraId="4324CE6E" w14:textId="77777777" w:rsidR="00B608F7" w:rsidRPr="00A52AB8" w:rsidRDefault="00B608F7" w:rsidP="00B608F7">
            <w:pPr>
              <w:autoSpaceDE w:val="0"/>
              <w:autoSpaceDN w:val="0"/>
              <w:adjustRightInd w:val="0"/>
              <w:spacing w:after="0" w:line="240" w:lineRule="auto"/>
              <w:jc w:val="center"/>
              <w:rPr>
                <w:sz w:val="18"/>
                <w:szCs w:val="18"/>
              </w:rPr>
            </w:pPr>
            <w:r w:rsidRPr="00A52AB8">
              <w:rPr>
                <w:sz w:val="18"/>
                <w:szCs w:val="18"/>
              </w:rPr>
              <w:t>1</w:t>
            </w:r>
          </w:p>
        </w:tc>
        <w:tc>
          <w:tcPr>
            <w:tcW w:w="737" w:type="pct"/>
            <w:vAlign w:val="center"/>
          </w:tcPr>
          <w:p w14:paraId="76101A6A" w14:textId="77777777" w:rsidR="00B608F7" w:rsidRPr="00A52AB8" w:rsidRDefault="001E6507" w:rsidP="00B608F7">
            <w:pPr>
              <w:autoSpaceDE w:val="0"/>
              <w:autoSpaceDN w:val="0"/>
              <w:adjustRightInd w:val="0"/>
              <w:spacing w:after="0" w:line="240" w:lineRule="auto"/>
              <w:jc w:val="center"/>
              <w:rPr>
                <w:sz w:val="18"/>
                <w:szCs w:val="18"/>
              </w:rPr>
            </w:pPr>
            <w:r w:rsidRPr="00A52AB8">
              <w:rPr>
                <w:sz w:val="18"/>
                <w:szCs w:val="18"/>
              </w:rPr>
              <w:t>‒</w:t>
            </w:r>
          </w:p>
        </w:tc>
        <w:tc>
          <w:tcPr>
            <w:tcW w:w="736" w:type="pct"/>
            <w:vAlign w:val="center"/>
          </w:tcPr>
          <w:p w14:paraId="62D24725" w14:textId="77777777" w:rsidR="00B608F7" w:rsidRPr="00A52AB8" w:rsidRDefault="00B608F7" w:rsidP="00B608F7">
            <w:pPr>
              <w:autoSpaceDE w:val="0"/>
              <w:autoSpaceDN w:val="0"/>
              <w:adjustRightInd w:val="0"/>
              <w:spacing w:after="0" w:line="240" w:lineRule="auto"/>
              <w:jc w:val="center"/>
              <w:rPr>
                <w:sz w:val="18"/>
                <w:szCs w:val="18"/>
              </w:rPr>
            </w:pPr>
            <w:r w:rsidRPr="00A52AB8">
              <w:rPr>
                <w:sz w:val="18"/>
                <w:szCs w:val="18"/>
              </w:rPr>
              <w:t>1</w:t>
            </w:r>
          </w:p>
        </w:tc>
      </w:tr>
      <w:tr w:rsidR="00BF35CA" w:rsidRPr="00A52AB8" w14:paraId="76F54A1D" w14:textId="77777777" w:rsidTr="00BF35CA">
        <w:trPr>
          <w:jc w:val="center"/>
        </w:trPr>
        <w:tc>
          <w:tcPr>
            <w:tcW w:w="2014" w:type="pct"/>
            <w:vAlign w:val="center"/>
          </w:tcPr>
          <w:p w14:paraId="7F8A4F4D" w14:textId="77777777" w:rsidR="00BF35CA" w:rsidRPr="00A52AB8" w:rsidRDefault="00BF35CA" w:rsidP="00B608F7">
            <w:pPr>
              <w:autoSpaceDE w:val="0"/>
              <w:autoSpaceDN w:val="0"/>
              <w:adjustRightInd w:val="0"/>
              <w:spacing w:after="0" w:line="240" w:lineRule="auto"/>
              <w:jc w:val="center"/>
              <w:rPr>
                <w:rFonts w:eastAsia="Times New Roman"/>
                <w:color w:val="000000" w:themeColor="text1"/>
                <w:sz w:val="18"/>
                <w:szCs w:val="18"/>
              </w:rPr>
            </w:pPr>
            <w:r w:rsidRPr="00A52AB8">
              <w:rPr>
                <w:rFonts w:eastAsia="Times New Roman"/>
                <w:color w:val="000000" w:themeColor="text1"/>
                <w:sz w:val="18"/>
                <w:szCs w:val="18"/>
              </w:rPr>
              <w:t xml:space="preserve">asps_eom_patch_enabled_flag </w:t>
            </w:r>
          </w:p>
        </w:tc>
        <w:tc>
          <w:tcPr>
            <w:tcW w:w="1513" w:type="pct"/>
            <w:gridSpan w:val="2"/>
            <w:vAlign w:val="center"/>
          </w:tcPr>
          <w:p w14:paraId="7811323B" w14:textId="77777777" w:rsidR="00BF35CA" w:rsidRPr="00A52AB8" w:rsidRDefault="00BF35CA" w:rsidP="00B608F7">
            <w:pPr>
              <w:autoSpaceDE w:val="0"/>
              <w:autoSpaceDN w:val="0"/>
              <w:adjustRightInd w:val="0"/>
              <w:spacing w:after="0" w:line="240" w:lineRule="auto"/>
              <w:jc w:val="center"/>
              <w:rPr>
                <w:rFonts w:eastAsia="Times New Roman"/>
                <w:color w:val="000000"/>
                <w:sz w:val="18"/>
                <w:szCs w:val="18"/>
              </w:rPr>
            </w:pPr>
            <w:r w:rsidRPr="00A52AB8">
              <w:rPr>
                <w:rFonts w:eastAsia="Times New Roman"/>
                <w:color w:val="000000"/>
                <w:sz w:val="18"/>
                <w:szCs w:val="18"/>
              </w:rPr>
              <w:t>0</w:t>
            </w:r>
          </w:p>
        </w:tc>
        <w:tc>
          <w:tcPr>
            <w:tcW w:w="1473" w:type="pct"/>
            <w:gridSpan w:val="2"/>
            <w:vAlign w:val="center"/>
          </w:tcPr>
          <w:p w14:paraId="46C10BFA" w14:textId="77777777" w:rsidR="00BF35CA" w:rsidRPr="00A52AB8" w:rsidRDefault="00BF35CA" w:rsidP="00BF35CA">
            <w:pPr>
              <w:autoSpaceDE w:val="0"/>
              <w:autoSpaceDN w:val="0"/>
              <w:adjustRightInd w:val="0"/>
              <w:spacing w:after="0" w:line="240" w:lineRule="auto"/>
              <w:jc w:val="center"/>
              <w:rPr>
                <w:sz w:val="18"/>
                <w:szCs w:val="18"/>
              </w:rPr>
            </w:pPr>
            <w:r w:rsidRPr="00A52AB8">
              <w:rPr>
                <w:sz w:val="18"/>
                <w:szCs w:val="18"/>
              </w:rPr>
              <w:t>‒</w:t>
            </w:r>
          </w:p>
        </w:tc>
      </w:tr>
      <w:tr w:rsidR="00BF35CA" w:rsidRPr="00A52AB8" w14:paraId="28C9155E" w14:textId="77777777" w:rsidTr="00BF35CA">
        <w:trPr>
          <w:jc w:val="center"/>
        </w:trPr>
        <w:tc>
          <w:tcPr>
            <w:tcW w:w="2014" w:type="pct"/>
            <w:vAlign w:val="center"/>
          </w:tcPr>
          <w:p w14:paraId="3B2921A3" w14:textId="77777777" w:rsidR="00BF35CA" w:rsidRPr="00A52AB8" w:rsidRDefault="00BF35CA" w:rsidP="00B608F7">
            <w:pPr>
              <w:autoSpaceDE w:val="0"/>
              <w:autoSpaceDN w:val="0"/>
              <w:adjustRightInd w:val="0"/>
              <w:spacing w:after="0" w:line="240" w:lineRule="auto"/>
              <w:jc w:val="center"/>
              <w:rPr>
                <w:rFonts w:eastAsia="Times New Roman"/>
                <w:color w:val="000000" w:themeColor="text1"/>
                <w:sz w:val="18"/>
                <w:szCs w:val="18"/>
              </w:rPr>
            </w:pPr>
            <w:r w:rsidRPr="00A52AB8">
              <w:rPr>
                <w:rFonts w:eastAsia="Times New Roman"/>
                <w:color w:val="000000" w:themeColor="text1"/>
                <w:sz w:val="18"/>
                <w:szCs w:val="18"/>
              </w:rPr>
              <w:t>asps_map_count_minus1</w:t>
            </w:r>
          </w:p>
        </w:tc>
        <w:tc>
          <w:tcPr>
            <w:tcW w:w="1513" w:type="pct"/>
            <w:gridSpan w:val="2"/>
            <w:vAlign w:val="center"/>
          </w:tcPr>
          <w:p w14:paraId="33FC41A8" w14:textId="77777777" w:rsidR="00BF35CA" w:rsidRPr="00A52AB8" w:rsidRDefault="00435492">
            <w:pPr>
              <w:autoSpaceDE w:val="0"/>
              <w:autoSpaceDN w:val="0"/>
              <w:adjustRightInd w:val="0"/>
              <w:spacing w:after="0" w:line="240" w:lineRule="auto"/>
              <w:jc w:val="center"/>
              <w:rPr>
                <w:rFonts w:eastAsia="Times New Roman"/>
                <w:color w:val="000000"/>
                <w:sz w:val="18"/>
                <w:szCs w:val="18"/>
              </w:rPr>
            </w:pPr>
            <w:r w:rsidRPr="00A52AB8">
              <w:rPr>
                <w:rFonts w:eastAsia="Times New Roman"/>
                <w:color w:val="000000"/>
                <w:sz w:val="18"/>
                <w:szCs w:val="18"/>
              </w:rPr>
              <w:t>Min</w:t>
            </w:r>
            <w:r w:rsidR="005905C7" w:rsidRPr="00A52AB8">
              <w:rPr>
                <w:rFonts w:eastAsia="Times New Roman"/>
                <w:color w:val="000000"/>
                <w:sz w:val="18"/>
                <w:szCs w:val="18"/>
              </w:rPr>
              <w:t>( </w:t>
            </w:r>
            <w:r w:rsidR="00BF35CA" w:rsidRPr="00A52AB8">
              <w:rPr>
                <w:rFonts w:eastAsia="Times New Roman"/>
                <w:color w:val="000000"/>
                <w:sz w:val="18"/>
                <w:szCs w:val="18"/>
              </w:rPr>
              <w:t>1</w:t>
            </w:r>
            <w:r w:rsidR="005905C7" w:rsidRPr="00A52AB8">
              <w:rPr>
                <w:rFonts w:eastAsia="Times New Roman"/>
                <w:color w:val="000000"/>
                <w:sz w:val="18"/>
                <w:szCs w:val="18"/>
              </w:rPr>
              <w:t>, LevelMapCount – 1 </w:t>
            </w:r>
            <w:r w:rsidR="00BF35CA" w:rsidRPr="00A52AB8">
              <w:rPr>
                <w:rFonts w:eastAsia="Times New Roman"/>
                <w:color w:val="000000"/>
                <w:sz w:val="18"/>
                <w:szCs w:val="18"/>
              </w:rPr>
              <w:t>)</w:t>
            </w:r>
          </w:p>
        </w:tc>
        <w:tc>
          <w:tcPr>
            <w:tcW w:w="1473" w:type="pct"/>
            <w:gridSpan w:val="2"/>
            <w:vAlign w:val="center"/>
          </w:tcPr>
          <w:p w14:paraId="6F6FA2E5" w14:textId="77777777" w:rsidR="00BF35CA" w:rsidRPr="00A52AB8" w:rsidRDefault="005905C7">
            <w:pPr>
              <w:autoSpaceDE w:val="0"/>
              <w:autoSpaceDN w:val="0"/>
              <w:adjustRightInd w:val="0"/>
              <w:spacing w:after="0" w:line="240" w:lineRule="auto"/>
              <w:jc w:val="center"/>
              <w:rPr>
                <w:rFonts w:eastAsia="Times New Roman"/>
                <w:color w:val="000000"/>
                <w:sz w:val="18"/>
                <w:szCs w:val="18"/>
              </w:rPr>
            </w:pPr>
            <w:r w:rsidRPr="00A52AB8">
              <w:rPr>
                <w:rFonts w:eastAsia="Times New Roman"/>
                <w:color w:val="000000"/>
                <w:sz w:val="18"/>
                <w:szCs w:val="18"/>
              </w:rPr>
              <w:t>LevelMapCount – </w:t>
            </w:r>
            <w:r w:rsidR="00BF35CA" w:rsidRPr="00A52AB8">
              <w:rPr>
                <w:rFonts w:eastAsia="Times New Roman"/>
                <w:color w:val="000000"/>
                <w:sz w:val="18"/>
                <w:szCs w:val="18"/>
              </w:rPr>
              <w:t>1</w:t>
            </w:r>
          </w:p>
        </w:tc>
      </w:tr>
      <w:tr w:rsidR="00BF35CA" w:rsidRPr="00A52AB8" w14:paraId="5ABB58DF" w14:textId="77777777" w:rsidTr="00BF35CA">
        <w:trPr>
          <w:jc w:val="center"/>
        </w:trPr>
        <w:tc>
          <w:tcPr>
            <w:tcW w:w="2014" w:type="pct"/>
            <w:vAlign w:val="center"/>
            <w:hideMark/>
          </w:tcPr>
          <w:p w14:paraId="45457976" w14:textId="77777777" w:rsidR="00BF35CA" w:rsidRPr="00A52AB8" w:rsidRDefault="00BF35CA">
            <w:pPr>
              <w:autoSpaceDE w:val="0"/>
              <w:autoSpaceDN w:val="0"/>
              <w:adjustRightInd w:val="0"/>
              <w:spacing w:after="0" w:line="240" w:lineRule="auto"/>
              <w:jc w:val="center"/>
              <w:rPr>
                <w:rFonts w:eastAsia="Times New Roman"/>
                <w:color w:val="000000" w:themeColor="text1"/>
                <w:sz w:val="18"/>
                <w:szCs w:val="18"/>
              </w:rPr>
            </w:pPr>
            <w:r w:rsidRPr="00A52AB8">
              <w:rPr>
                <w:rFonts w:eastAsia="Times New Roman"/>
                <w:color w:val="000000" w:themeColor="text1"/>
                <w:sz w:val="18"/>
                <w:szCs w:val="18"/>
              </w:rPr>
              <w:t xml:space="preserve">vps_multiple_map_streams_present_flag </w:t>
            </w:r>
            <w:r w:rsidRPr="00A52AB8">
              <w:rPr>
                <w:rFonts w:eastAsia="Times New Roman"/>
                <w:color w:val="000000" w:themeColor="text1"/>
                <w:sz w:val="18"/>
                <w:szCs w:val="18"/>
              </w:rPr>
              <w:br/>
              <w:t>(when vps_map_count_</w:t>
            </w:r>
            <w:r w:rsidR="005905C7" w:rsidRPr="00A52AB8">
              <w:rPr>
                <w:rFonts w:eastAsia="Times New Roman"/>
                <w:color w:val="000000" w:themeColor="text1"/>
                <w:sz w:val="18"/>
                <w:szCs w:val="18"/>
              </w:rPr>
              <w:t>minus1 </w:t>
            </w:r>
            <w:r w:rsidRPr="00A52AB8">
              <w:rPr>
                <w:rFonts w:eastAsia="Times New Roman"/>
                <w:color w:val="000000" w:themeColor="text1"/>
                <w:sz w:val="18"/>
                <w:szCs w:val="18"/>
              </w:rPr>
              <w:t>&gt;</w:t>
            </w:r>
            <w:r w:rsidR="005905C7" w:rsidRPr="00A52AB8">
              <w:rPr>
                <w:rFonts w:eastAsia="Times New Roman"/>
                <w:color w:val="000000" w:themeColor="text1"/>
                <w:sz w:val="18"/>
                <w:szCs w:val="18"/>
              </w:rPr>
              <w:t> </w:t>
            </w:r>
            <w:r w:rsidRPr="00A52AB8">
              <w:rPr>
                <w:rFonts w:eastAsia="Times New Roman"/>
                <w:color w:val="000000" w:themeColor="text1"/>
                <w:sz w:val="18"/>
                <w:szCs w:val="18"/>
              </w:rPr>
              <w:t>0)</w:t>
            </w:r>
          </w:p>
        </w:tc>
        <w:tc>
          <w:tcPr>
            <w:tcW w:w="1513" w:type="pct"/>
            <w:gridSpan w:val="2"/>
            <w:vAlign w:val="center"/>
            <w:hideMark/>
          </w:tcPr>
          <w:p w14:paraId="15517431" w14:textId="77777777" w:rsidR="00BF35CA" w:rsidRPr="00A52AB8" w:rsidRDefault="00BF35CA" w:rsidP="00BF35CA">
            <w:pPr>
              <w:autoSpaceDE w:val="0"/>
              <w:autoSpaceDN w:val="0"/>
              <w:adjustRightInd w:val="0"/>
              <w:spacing w:after="0" w:line="240" w:lineRule="auto"/>
              <w:jc w:val="center"/>
              <w:rPr>
                <w:rFonts w:eastAsia="Times New Roman"/>
                <w:color w:val="000000"/>
                <w:sz w:val="18"/>
                <w:szCs w:val="18"/>
              </w:rPr>
            </w:pPr>
            <w:r w:rsidRPr="00A52AB8">
              <w:rPr>
                <w:rFonts w:eastAsia="Times New Roman"/>
                <w:color w:val="000000"/>
                <w:sz w:val="18"/>
                <w:szCs w:val="18"/>
              </w:rPr>
              <w:t>when present, 1</w:t>
            </w:r>
          </w:p>
        </w:tc>
        <w:tc>
          <w:tcPr>
            <w:tcW w:w="1473" w:type="pct"/>
            <w:gridSpan w:val="2"/>
            <w:vAlign w:val="center"/>
          </w:tcPr>
          <w:p w14:paraId="70E34AD9" w14:textId="77777777" w:rsidR="00BF35CA" w:rsidRPr="00A52AB8" w:rsidRDefault="00BF35CA" w:rsidP="00B608F7">
            <w:pPr>
              <w:autoSpaceDE w:val="0"/>
              <w:autoSpaceDN w:val="0"/>
              <w:adjustRightInd w:val="0"/>
              <w:spacing w:after="0" w:line="240" w:lineRule="auto"/>
              <w:jc w:val="center"/>
              <w:rPr>
                <w:sz w:val="18"/>
                <w:szCs w:val="18"/>
              </w:rPr>
            </w:pPr>
            <w:r w:rsidRPr="00A52AB8">
              <w:rPr>
                <w:sz w:val="18"/>
                <w:szCs w:val="18"/>
              </w:rPr>
              <w:t>‒</w:t>
            </w:r>
          </w:p>
        </w:tc>
      </w:tr>
      <w:tr w:rsidR="00BF35CA" w:rsidRPr="00A52AB8" w14:paraId="7941ABB5" w14:textId="77777777" w:rsidTr="00BF35CA">
        <w:trPr>
          <w:jc w:val="center"/>
        </w:trPr>
        <w:tc>
          <w:tcPr>
            <w:tcW w:w="2014" w:type="pct"/>
            <w:vAlign w:val="center"/>
          </w:tcPr>
          <w:p w14:paraId="604D4E88" w14:textId="77777777" w:rsidR="00BF35CA" w:rsidRPr="00A52AB8" w:rsidRDefault="00BF35CA" w:rsidP="00B608F7">
            <w:pPr>
              <w:autoSpaceDE w:val="0"/>
              <w:autoSpaceDN w:val="0"/>
              <w:adjustRightInd w:val="0"/>
              <w:spacing w:after="0" w:line="240" w:lineRule="auto"/>
              <w:jc w:val="center"/>
              <w:rPr>
                <w:rFonts w:eastAsia="Times New Roman"/>
                <w:color w:val="000000" w:themeColor="text1"/>
                <w:sz w:val="18"/>
                <w:szCs w:val="18"/>
              </w:rPr>
            </w:pPr>
            <w:r w:rsidRPr="00A52AB8">
              <w:rPr>
                <w:rFonts w:eastAsia="Times New Roman"/>
                <w:color w:val="000000" w:themeColor="text1"/>
                <w:sz w:val="18"/>
                <w:szCs w:val="18"/>
              </w:rPr>
              <w:t>vps_atlas_count_minus1</w:t>
            </w:r>
          </w:p>
        </w:tc>
        <w:tc>
          <w:tcPr>
            <w:tcW w:w="1513" w:type="pct"/>
            <w:gridSpan w:val="2"/>
            <w:vAlign w:val="center"/>
          </w:tcPr>
          <w:p w14:paraId="10CAAA59" w14:textId="77777777" w:rsidR="00BF35CA" w:rsidRPr="00A52AB8" w:rsidRDefault="00BF35CA" w:rsidP="00BF35CA">
            <w:pPr>
              <w:autoSpaceDE w:val="0"/>
              <w:autoSpaceDN w:val="0"/>
              <w:adjustRightInd w:val="0"/>
              <w:spacing w:after="0" w:line="240" w:lineRule="auto"/>
              <w:jc w:val="center"/>
              <w:rPr>
                <w:rFonts w:eastAsia="Times New Roman"/>
                <w:color w:val="000000"/>
                <w:sz w:val="18"/>
                <w:szCs w:val="18"/>
              </w:rPr>
            </w:pPr>
            <w:r w:rsidRPr="00A52AB8">
              <w:rPr>
                <w:rFonts w:eastAsia="Times New Roman"/>
                <w:color w:val="000000"/>
                <w:sz w:val="18"/>
                <w:szCs w:val="18"/>
              </w:rPr>
              <w:t>0</w:t>
            </w:r>
          </w:p>
        </w:tc>
        <w:tc>
          <w:tcPr>
            <w:tcW w:w="1473" w:type="pct"/>
            <w:gridSpan w:val="2"/>
            <w:vAlign w:val="center"/>
          </w:tcPr>
          <w:p w14:paraId="49F5E43C" w14:textId="77777777" w:rsidR="00BF35CA" w:rsidRPr="00A52AB8" w:rsidRDefault="00BF35CA" w:rsidP="00BF35CA">
            <w:pPr>
              <w:autoSpaceDE w:val="0"/>
              <w:autoSpaceDN w:val="0"/>
              <w:adjustRightInd w:val="0"/>
              <w:spacing w:after="0" w:line="240" w:lineRule="auto"/>
              <w:jc w:val="center"/>
              <w:rPr>
                <w:rFonts w:eastAsia="Times New Roman"/>
                <w:color w:val="000000"/>
                <w:sz w:val="18"/>
                <w:szCs w:val="18"/>
              </w:rPr>
            </w:pPr>
            <w:r w:rsidRPr="00A52AB8">
              <w:rPr>
                <w:rFonts w:eastAsia="Times New Roman"/>
                <w:color w:val="000000"/>
                <w:sz w:val="18"/>
                <w:szCs w:val="18"/>
              </w:rPr>
              <w:t>0</w:t>
            </w:r>
          </w:p>
        </w:tc>
      </w:tr>
      <w:tr w:rsidR="00BF35CA" w:rsidRPr="00A52AB8" w14:paraId="0DC74509" w14:textId="77777777" w:rsidTr="00BF35CA">
        <w:trPr>
          <w:jc w:val="center"/>
        </w:trPr>
        <w:tc>
          <w:tcPr>
            <w:tcW w:w="2014" w:type="pct"/>
            <w:vAlign w:val="center"/>
          </w:tcPr>
          <w:p w14:paraId="67653DC1" w14:textId="77777777" w:rsidR="00BF35CA" w:rsidRPr="00A52AB8" w:rsidRDefault="00BF35CA" w:rsidP="00B608F7">
            <w:pPr>
              <w:autoSpaceDE w:val="0"/>
              <w:autoSpaceDN w:val="0"/>
              <w:adjustRightInd w:val="0"/>
              <w:spacing w:after="0" w:line="240" w:lineRule="auto"/>
              <w:jc w:val="center"/>
              <w:rPr>
                <w:rFonts w:eastAsia="Times New Roman"/>
                <w:color w:val="000000" w:themeColor="text1"/>
                <w:sz w:val="18"/>
                <w:szCs w:val="18"/>
              </w:rPr>
            </w:pPr>
            <w:r w:rsidRPr="00A52AB8">
              <w:rPr>
                <w:rFonts w:eastAsia="Times New Roman"/>
                <w:color w:val="000000" w:themeColor="text1"/>
                <w:sz w:val="18"/>
                <w:szCs w:val="18"/>
              </w:rPr>
              <w:t>asps_plr_enabled_flag</w:t>
            </w:r>
          </w:p>
        </w:tc>
        <w:tc>
          <w:tcPr>
            <w:tcW w:w="1513" w:type="pct"/>
            <w:gridSpan w:val="2"/>
            <w:vAlign w:val="center"/>
          </w:tcPr>
          <w:p w14:paraId="31FF10D2" w14:textId="77777777" w:rsidR="00BF35CA" w:rsidRPr="00A52AB8" w:rsidRDefault="00BF35CA" w:rsidP="00BF35CA">
            <w:pPr>
              <w:autoSpaceDE w:val="0"/>
              <w:autoSpaceDN w:val="0"/>
              <w:adjustRightInd w:val="0"/>
              <w:spacing w:after="0" w:line="240" w:lineRule="auto"/>
              <w:jc w:val="center"/>
              <w:rPr>
                <w:rFonts w:eastAsia="Times New Roman"/>
                <w:color w:val="000000"/>
                <w:sz w:val="18"/>
                <w:szCs w:val="18"/>
              </w:rPr>
            </w:pPr>
            <w:r w:rsidRPr="00A52AB8">
              <w:rPr>
                <w:rFonts w:eastAsia="Times New Roman"/>
                <w:color w:val="000000"/>
                <w:sz w:val="18"/>
                <w:szCs w:val="18"/>
              </w:rPr>
              <w:t>0</w:t>
            </w:r>
          </w:p>
        </w:tc>
        <w:tc>
          <w:tcPr>
            <w:tcW w:w="1473" w:type="pct"/>
            <w:gridSpan w:val="2"/>
            <w:vAlign w:val="center"/>
          </w:tcPr>
          <w:p w14:paraId="21351DDC" w14:textId="77777777" w:rsidR="00BF35CA" w:rsidRPr="00A52AB8" w:rsidRDefault="00BF35CA" w:rsidP="00B608F7">
            <w:pPr>
              <w:autoSpaceDE w:val="0"/>
              <w:autoSpaceDN w:val="0"/>
              <w:adjustRightInd w:val="0"/>
              <w:spacing w:after="0" w:line="240" w:lineRule="auto"/>
              <w:jc w:val="center"/>
              <w:rPr>
                <w:sz w:val="18"/>
                <w:szCs w:val="18"/>
              </w:rPr>
            </w:pPr>
            <w:r w:rsidRPr="00A52AB8">
              <w:rPr>
                <w:sz w:val="18"/>
                <w:szCs w:val="18"/>
              </w:rPr>
              <w:t>‒</w:t>
            </w:r>
          </w:p>
        </w:tc>
      </w:tr>
      <w:tr w:rsidR="00BF35CA" w:rsidRPr="00A52AB8" w14:paraId="1545E40B" w14:textId="77777777" w:rsidTr="00BF35CA">
        <w:trPr>
          <w:jc w:val="center"/>
        </w:trPr>
        <w:tc>
          <w:tcPr>
            <w:tcW w:w="2014" w:type="pct"/>
            <w:vAlign w:val="center"/>
          </w:tcPr>
          <w:p w14:paraId="30B02204" w14:textId="77777777" w:rsidR="00BF35CA" w:rsidRPr="00A52AB8" w:rsidRDefault="00BF35CA" w:rsidP="00B608F7">
            <w:pPr>
              <w:autoSpaceDE w:val="0"/>
              <w:autoSpaceDN w:val="0"/>
              <w:adjustRightInd w:val="0"/>
              <w:spacing w:after="0" w:line="240" w:lineRule="auto"/>
              <w:jc w:val="center"/>
              <w:rPr>
                <w:rFonts w:eastAsia="Times New Roman"/>
                <w:color w:val="000000" w:themeColor="text1"/>
                <w:sz w:val="18"/>
                <w:szCs w:val="18"/>
              </w:rPr>
            </w:pPr>
            <w:r w:rsidRPr="00A52AB8">
              <w:rPr>
                <w:rFonts w:eastAsia="Times New Roman"/>
                <w:color w:val="000000" w:themeColor="text1"/>
                <w:sz w:val="18"/>
                <w:szCs w:val="18"/>
              </w:rPr>
              <w:t>ai_attribute_dimension_minus1</w:t>
            </w:r>
          </w:p>
        </w:tc>
        <w:tc>
          <w:tcPr>
            <w:tcW w:w="1513" w:type="pct"/>
            <w:gridSpan w:val="2"/>
            <w:vAlign w:val="center"/>
          </w:tcPr>
          <w:p w14:paraId="7015D2AF" w14:textId="77777777" w:rsidR="00BF35CA" w:rsidRPr="00A52AB8" w:rsidRDefault="00BF35CA" w:rsidP="00BF35CA">
            <w:pPr>
              <w:autoSpaceDE w:val="0"/>
              <w:autoSpaceDN w:val="0"/>
              <w:adjustRightInd w:val="0"/>
              <w:spacing w:after="0" w:line="240" w:lineRule="auto"/>
              <w:jc w:val="center"/>
              <w:rPr>
                <w:rFonts w:eastAsia="Times New Roman"/>
                <w:color w:val="000000"/>
                <w:sz w:val="18"/>
                <w:szCs w:val="18"/>
              </w:rPr>
            </w:pPr>
            <w:r w:rsidRPr="00A52AB8">
              <w:rPr>
                <w:rFonts w:eastAsia="Times New Roman"/>
                <w:color w:val="000000"/>
                <w:sz w:val="18"/>
                <w:szCs w:val="18"/>
              </w:rPr>
              <w:t>2</w:t>
            </w:r>
          </w:p>
        </w:tc>
        <w:tc>
          <w:tcPr>
            <w:tcW w:w="1473" w:type="pct"/>
            <w:gridSpan w:val="2"/>
            <w:vAlign w:val="center"/>
          </w:tcPr>
          <w:p w14:paraId="10407E9C" w14:textId="77777777" w:rsidR="00BF35CA" w:rsidRPr="00A52AB8" w:rsidRDefault="00BF35CA" w:rsidP="00B608F7">
            <w:pPr>
              <w:autoSpaceDE w:val="0"/>
              <w:autoSpaceDN w:val="0"/>
              <w:adjustRightInd w:val="0"/>
              <w:spacing w:after="0" w:line="240" w:lineRule="auto"/>
              <w:jc w:val="center"/>
              <w:rPr>
                <w:sz w:val="18"/>
                <w:szCs w:val="18"/>
              </w:rPr>
            </w:pPr>
            <w:r w:rsidRPr="00A52AB8">
              <w:rPr>
                <w:sz w:val="18"/>
                <w:szCs w:val="18"/>
              </w:rPr>
              <w:t>‒</w:t>
            </w:r>
          </w:p>
        </w:tc>
      </w:tr>
      <w:tr w:rsidR="00BF35CA" w:rsidRPr="00A52AB8" w14:paraId="6BCFBE6D" w14:textId="77777777" w:rsidTr="00BF35CA">
        <w:trPr>
          <w:jc w:val="center"/>
        </w:trPr>
        <w:tc>
          <w:tcPr>
            <w:tcW w:w="2014" w:type="pct"/>
            <w:vAlign w:val="center"/>
          </w:tcPr>
          <w:p w14:paraId="354A2468" w14:textId="77777777" w:rsidR="00BF35CA" w:rsidRPr="00A52AB8" w:rsidRDefault="00BF35CA" w:rsidP="00B608F7">
            <w:pPr>
              <w:autoSpaceDE w:val="0"/>
              <w:autoSpaceDN w:val="0"/>
              <w:adjustRightInd w:val="0"/>
              <w:spacing w:after="0" w:line="240" w:lineRule="auto"/>
              <w:jc w:val="center"/>
              <w:rPr>
                <w:rFonts w:eastAsia="Times New Roman"/>
                <w:color w:val="000000" w:themeColor="text1"/>
                <w:sz w:val="18"/>
                <w:szCs w:val="18"/>
              </w:rPr>
            </w:pPr>
            <w:r w:rsidRPr="00A52AB8">
              <w:rPr>
                <w:rFonts w:eastAsia="Times New Roman"/>
                <w:color w:val="000000" w:themeColor="text1"/>
                <w:sz w:val="18"/>
                <w:szCs w:val="18"/>
              </w:rPr>
              <w:t>ai_attribute_dimension_partitions_minus1</w:t>
            </w:r>
          </w:p>
        </w:tc>
        <w:tc>
          <w:tcPr>
            <w:tcW w:w="1513" w:type="pct"/>
            <w:gridSpan w:val="2"/>
            <w:vAlign w:val="center"/>
          </w:tcPr>
          <w:p w14:paraId="78637C46" w14:textId="77777777" w:rsidR="00BF35CA" w:rsidRPr="00A52AB8" w:rsidRDefault="00BF35CA" w:rsidP="00BF35CA">
            <w:pPr>
              <w:autoSpaceDE w:val="0"/>
              <w:autoSpaceDN w:val="0"/>
              <w:adjustRightInd w:val="0"/>
              <w:spacing w:after="0" w:line="240" w:lineRule="auto"/>
              <w:jc w:val="center"/>
              <w:rPr>
                <w:rFonts w:eastAsia="Times New Roman"/>
                <w:color w:val="000000"/>
                <w:sz w:val="18"/>
                <w:szCs w:val="18"/>
              </w:rPr>
            </w:pPr>
            <w:r w:rsidRPr="00A52AB8">
              <w:rPr>
                <w:rFonts w:eastAsia="Times New Roman"/>
                <w:color w:val="000000"/>
                <w:sz w:val="18"/>
                <w:szCs w:val="18"/>
              </w:rPr>
              <w:t>0</w:t>
            </w:r>
          </w:p>
        </w:tc>
        <w:tc>
          <w:tcPr>
            <w:tcW w:w="1473" w:type="pct"/>
            <w:gridSpan w:val="2"/>
            <w:vAlign w:val="center"/>
          </w:tcPr>
          <w:p w14:paraId="1BA3891C" w14:textId="77777777" w:rsidR="00BF35CA" w:rsidRPr="00A52AB8" w:rsidRDefault="00BF35CA" w:rsidP="00B608F7">
            <w:pPr>
              <w:autoSpaceDE w:val="0"/>
              <w:autoSpaceDN w:val="0"/>
              <w:adjustRightInd w:val="0"/>
              <w:spacing w:after="0" w:line="240" w:lineRule="auto"/>
              <w:jc w:val="center"/>
              <w:rPr>
                <w:sz w:val="18"/>
                <w:szCs w:val="18"/>
              </w:rPr>
            </w:pPr>
            <w:r w:rsidRPr="00A52AB8">
              <w:rPr>
                <w:sz w:val="18"/>
                <w:szCs w:val="18"/>
              </w:rPr>
              <w:t>‒</w:t>
            </w:r>
          </w:p>
        </w:tc>
      </w:tr>
      <w:tr w:rsidR="00BF35CA" w:rsidRPr="00A52AB8" w14:paraId="1CB2576B" w14:textId="77777777" w:rsidTr="00BF35CA">
        <w:trPr>
          <w:jc w:val="center"/>
        </w:trPr>
        <w:tc>
          <w:tcPr>
            <w:tcW w:w="2014" w:type="pct"/>
            <w:vAlign w:val="center"/>
          </w:tcPr>
          <w:p w14:paraId="1BC951D6" w14:textId="77777777" w:rsidR="00BF35CA" w:rsidRPr="00A52AB8" w:rsidRDefault="00BF35CA" w:rsidP="00B608F7">
            <w:pPr>
              <w:autoSpaceDE w:val="0"/>
              <w:autoSpaceDN w:val="0"/>
              <w:adjustRightInd w:val="0"/>
              <w:spacing w:after="0" w:line="240" w:lineRule="auto"/>
              <w:jc w:val="center"/>
              <w:rPr>
                <w:rFonts w:eastAsia="Times New Roman"/>
                <w:color w:val="000000" w:themeColor="text1"/>
                <w:sz w:val="18"/>
                <w:szCs w:val="18"/>
              </w:rPr>
            </w:pPr>
            <w:r w:rsidRPr="00A52AB8">
              <w:rPr>
                <w:rFonts w:eastAsia="Times New Roman"/>
                <w:color w:val="000000" w:themeColor="text1"/>
                <w:sz w:val="18"/>
                <w:szCs w:val="18"/>
              </w:rPr>
              <w:t>ai_attribute_partition_channels_minus1</w:t>
            </w:r>
          </w:p>
        </w:tc>
        <w:tc>
          <w:tcPr>
            <w:tcW w:w="1513" w:type="pct"/>
            <w:gridSpan w:val="2"/>
            <w:vAlign w:val="center"/>
          </w:tcPr>
          <w:p w14:paraId="15554A7F" w14:textId="77777777" w:rsidR="00BF35CA" w:rsidRPr="00A52AB8" w:rsidRDefault="00BF35CA" w:rsidP="00BF35CA">
            <w:pPr>
              <w:autoSpaceDE w:val="0"/>
              <w:autoSpaceDN w:val="0"/>
              <w:adjustRightInd w:val="0"/>
              <w:spacing w:after="0" w:line="240" w:lineRule="auto"/>
              <w:jc w:val="center"/>
              <w:rPr>
                <w:rFonts w:eastAsia="Times New Roman"/>
                <w:color w:val="000000"/>
                <w:sz w:val="18"/>
                <w:szCs w:val="18"/>
              </w:rPr>
            </w:pPr>
            <w:r w:rsidRPr="00A52AB8">
              <w:rPr>
                <w:sz w:val="18"/>
                <w:szCs w:val="18"/>
              </w:rPr>
              <w:t>‒</w:t>
            </w:r>
          </w:p>
        </w:tc>
        <w:tc>
          <w:tcPr>
            <w:tcW w:w="1473" w:type="pct"/>
            <w:gridSpan w:val="2"/>
            <w:vAlign w:val="center"/>
          </w:tcPr>
          <w:p w14:paraId="0417B61E" w14:textId="77777777" w:rsidR="00BF35CA" w:rsidRPr="00A52AB8" w:rsidRDefault="00BF35CA" w:rsidP="00B608F7">
            <w:pPr>
              <w:autoSpaceDE w:val="0"/>
              <w:autoSpaceDN w:val="0"/>
              <w:adjustRightInd w:val="0"/>
              <w:spacing w:after="0" w:line="240" w:lineRule="auto"/>
              <w:jc w:val="center"/>
              <w:rPr>
                <w:rFonts w:eastAsia="Times New Roman"/>
                <w:color w:val="000000"/>
                <w:sz w:val="18"/>
                <w:szCs w:val="18"/>
              </w:rPr>
            </w:pPr>
            <w:r w:rsidRPr="00A52AB8">
              <w:rPr>
                <w:rFonts w:eastAsia="Times New Roman"/>
                <w:color w:val="000000"/>
                <w:sz w:val="18"/>
                <w:szCs w:val="18"/>
              </w:rPr>
              <w:t>2</w:t>
            </w:r>
          </w:p>
        </w:tc>
      </w:tr>
      <w:tr w:rsidR="00BF35CA" w:rsidRPr="00A52AB8" w14:paraId="774DAD38" w14:textId="77777777" w:rsidTr="00BF35CA">
        <w:trPr>
          <w:jc w:val="center"/>
        </w:trPr>
        <w:tc>
          <w:tcPr>
            <w:tcW w:w="2014" w:type="pct"/>
            <w:vAlign w:val="center"/>
          </w:tcPr>
          <w:p w14:paraId="00D07865" w14:textId="77777777" w:rsidR="00BF35CA" w:rsidRPr="00A52AB8" w:rsidRDefault="00BF35CA" w:rsidP="00B608F7">
            <w:pPr>
              <w:autoSpaceDE w:val="0"/>
              <w:autoSpaceDN w:val="0"/>
              <w:adjustRightInd w:val="0"/>
              <w:spacing w:after="0" w:line="240" w:lineRule="auto"/>
              <w:jc w:val="center"/>
              <w:rPr>
                <w:rFonts w:eastAsia="Times New Roman"/>
                <w:color w:val="000000" w:themeColor="text1"/>
                <w:sz w:val="18"/>
                <w:szCs w:val="18"/>
              </w:rPr>
            </w:pPr>
            <w:r w:rsidRPr="00A52AB8">
              <w:rPr>
                <w:rFonts w:eastAsia="Times New Roman"/>
                <w:color w:val="000000" w:themeColor="text1"/>
                <w:sz w:val="18"/>
                <w:szCs w:val="18"/>
              </w:rPr>
              <w:t>asps_use_eight_orientations_flag</w:t>
            </w:r>
          </w:p>
        </w:tc>
        <w:tc>
          <w:tcPr>
            <w:tcW w:w="1513" w:type="pct"/>
            <w:gridSpan w:val="2"/>
            <w:vAlign w:val="center"/>
          </w:tcPr>
          <w:p w14:paraId="58A769F8" w14:textId="77777777" w:rsidR="00BF35CA" w:rsidRPr="00A52AB8" w:rsidRDefault="00BF35CA" w:rsidP="00BF35CA">
            <w:pPr>
              <w:autoSpaceDE w:val="0"/>
              <w:autoSpaceDN w:val="0"/>
              <w:adjustRightInd w:val="0"/>
              <w:spacing w:after="0" w:line="240" w:lineRule="auto"/>
              <w:jc w:val="center"/>
              <w:rPr>
                <w:rFonts w:eastAsia="Times New Roman"/>
                <w:color w:val="000000"/>
                <w:sz w:val="18"/>
                <w:szCs w:val="18"/>
              </w:rPr>
            </w:pPr>
            <w:r w:rsidRPr="00A52AB8">
              <w:rPr>
                <w:rFonts w:eastAsia="Times New Roman"/>
                <w:color w:val="000000"/>
                <w:sz w:val="18"/>
                <w:szCs w:val="18"/>
              </w:rPr>
              <w:t>0</w:t>
            </w:r>
          </w:p>
        </w:tc>
        <w:tc>
          <w:tcPr>
            <w:tcW w:w="1473" w:type="pct"/>
            <w:gridSpan w:val="2"/>
            <w:vAlign w:val="center"/>
          </w:tcPr>
          <w:p w14:paraId="2999408A" w14:textId="77777777" w:rsidR="00BF35CA" w:rsidRPr="00A52AB8" w:rsidRDefault="00BF35CA" w:rsidP="00B608F7">
            <w:pPr>
              <w:autoSpaceDE w:val="0"/>
              <w:autoSpaceDN w:val="0"/>
              <w:adjustRightInd w:val="0"/>
              <w:spacing w:after="0" w:line="240" w:lineRule="auto"/>
              <w:jc w:val="center"/>
              <w:rPr>
                <w:sz w:val="18"/>
                <w:szCs w:val="18"/>
              </w:rPr>
            </w:pPr>
            <w:r w:rsidRPr="00A52AB8">
              <w:rPr>
                <w:sz w:val="18"/>
                <w:szCs w:val="18"/>
              </w:rPr>
              <w:t>‒</w:t>
            </w:r>
          </w:p>
        </w:tc>
      </w:tr>
      <w:tr w:rsidR="00BF35CA" w:rsidRPr="00A52AB8" w14:paraId="55E6B303" w14:textId="77777777" w:rsidTr="00BF35CA">
        <w:trPr>
          <w:jc w:val="center"/>
        </w:trPr>
        <w:tc>
          <w:tcPr>
            <w:tcW w:w="2014" w:type="pct"/>
            <w:vAlign w:val="center"/>
          </w:tcPr>
          <w:p w14:paraId="79FB3B4C" w14:textId="77777777" w:rsidR="00BF35CA" w:rsidRPr="00A52AB8" w:rsidRDefault="00BF35CA" w:rsidP="00B608F7">
            <w:pPr>
              <w:autoSpaceDE w:val="0"/>
              <w:autoSpaceDN w:val="0"/>
              <w:adjustRightInd w:val="0"/>
              <w:spacing w:after="0" w:line="240" w:lineRule="auto"/>
              <w:jc w:val="center"/>
              <w:rPr>
                <w:rFonts w:eastAsia="Times New Roman"/>
                <w:color w:val="000000" w:themeColor="text1"/>
                <w:sz w:val="18"/>
                <w:szCs w:val="18"/>
              </w:rPr>
            </w:pPr>
            <w:r w:rsidRPr="00A52AB8">
              <w:rPr>
                <w:rFonts w:eastAsia="Times New Roman"/>
                <w:color w:val="000000" w:themeColor="text1"/>
                <w:sz w:val="18"/>
                <w:szCs w:val="18"/>
              </w:rPr>
              <w:t>asps_extended_projection_enabled_flag</w:t>
            </w:r>
          </w:p>
        </w:tc>
        <w:tc>
          <w:tcPr>
            <w:tcW w:w="1513" w:type="pct"/>
            <w:gridSpan w:val="2"/>
            <w:vAlign w:val="center"/>
          </w:tcPr>
          <w:p w14:paraId="361EB97D" w14:textId="77777777" w:rsidR="00BF35CA" w:rsidRPr="00A52AB8" w:rsidRDefault="00BF35CA" w:rsidP="00BF35CA">
            <w:pPr>
              <w:autoSpaceDE w:val="0"/>
              <w:autoSpaceDN w:val="0"/>
              <w:adjustRightInd w:val="0"/>
              <w:spacing w:after="0" w:line="240" w:lineRule="auto"/>
              <w:jc w:val="center"/>
              <w:rPr>
                <w:rFonts w:eastAsia="Times New Roman"/>
                <w:color w:val="000000"/>
                <w:sz w:val="18"/>
                <w:szCs w:val="18"/>
              </w:rPr>
            </w:pPr>
            <w:r w:rsidRPr="00A52AB8">
              <w:rPr>
                <w:rFonts w:eastAsia="Times New Roman"/>
                <w:color w:val="000000"/>
                <w:sz w:val="18"/>
                <w:szCs w:val="18"/>
              </w:rPr>
              <w:t>0</w:t>
            </w:r>
          </w:p>
        </w:tc>
        <w:tc>
          <w:tcPr>
            <w:tcW w:w="1473" w:type="pct"/>
            <w:gridSpan w:val="2"/>
            <w:vAlign w:val="center"/>
          </w:tcPr>
          <w:p w14:paraId="53BEB305" w14:textId="77777777" w:rsidR="00BF35CA" w:rsidRPr="00A52AB8" w:rsidRDefault="00BF35CA" w:rsidP="00B608F7">
            <w:pPr>
              <w:autoSpaceDE w:val="0"/>
              <w:autoSpaceDN w:val="0"/>
              <w:adjustRightInd w:val="0"/>
              <w:spacing w:after="0" w:line="240" w:lineRule="auto"/>
              <w:jc w:val="center"/>
              <w:rPr>
                <w:sz w:val="18"/>
                <w:szCs w:val="18"/>
              </w:rPr>
            </w:pPr>
            <w:r w:rsidRPr="00A52AB8">
              <w:rPr>
                <w:sz w:val="18"/>
                <w:szCs w:val="18"/>
              </w:rPr>
              <w:t>‒</w:t>
            </w:r>
          </w:p>
        </w:tc>
      </w:tr>
      <w:tr w:rsidR="00BF35CA" w:rsidRPr="00A52AB8" w14:paraId="0D2F2D43" w14:textId="77777777" w:rsidTr="00BF35CA">
        <w:trPr>
          <w:jc w:val="center"/>
        </w:trPr>
        <w:tc>
          <w:tcPr>
            <w:tcW w:w="2014" w:type="pct"/>
            <w:vAlign w:val="center"/>
          </w:tcPr>
          <w:p w14:paraId="0E6E5F06" w14:textId="77777777" w:rsidR="00BF35CA" w:rsidRPr="00A52AB8" w:rsidRDefault="00BF35CA" w:rsidP="00B608F7">
            <w:pPr>
              <w:autoSpaceDE w:val="0"/>
              <w:autoSpaceDN w:val="0"/>
              <w:adjustRightInd w:val="0"/>
              <w:spacing w:after="0" w:line="240" w:lineRule="auto"/>
              <w:jc w:val="center"/>
              <w:rPr>
                <w:rFonts w:eastAsia="Times New Roman"/>
                <w:color w:val="000000" w:themeColor="text1"/>
                <w:sz w:val="18"/>
                <w:szCs w:val="18"/>
              </w:rPr>
            </w:pPr>
            <w:r w:rsidRPr="00A52AB8">
              <w:rPr>
                <w:rFonts w:eastAsia="Times New Roman"/>
                <w:color w:val="000000" w:themeColor="text1"/>
                <w:sz w:val="18"/>
                <w:szCs w:val="18"/>
              </w:rPr>
              <w:t>vps_auxiliary_video_present_flag</w:t>
            </w:r>
          </w:p>
        </w:tc>
        <w:tc>
          <w:tcPr>
            <w:tcW w:w="1513" w:type="pct"/>
            <w:gridSpan w:val="2"/>
            <w:vAlign w:val="center"/>
          </w:tcPr>
          <w:p w14:paraId="3B400FFE" w14:textId="57266587" w:rsidR="00BF35CA" w:rsidRPr="00A52AB8" w:rsidRDefault="000D3853" w:rsidP="00BF35CA">
            <w:pPr>
              <w:autoSpaceDE w:val="0"/>
              <w:autoSpaceDN w:val="0"/>
              <w:adjustRightInd w:val="0"/>
              <w:spacing w:after="0" w:line="240" w:lineRule="auto"/>
              <w:jc w:val="center"/>
              <w:rPr>
                <w:sz w:val="18"/>
                <w:szCs w:val="18"/>
              </w:rPr>
            </w:pPr>
            <w:r w:rsidRPr="00A52AB8">
              <w:rPr>
                <w:sz w:val="18"/>
                <w:szCs w:val="18"/>
              </w:rPr>
              <w:t>‒</w:t>
            </w:r>
          </w:p>
        </w:tc>
        <w:tc>
          <w:tcPr>
            <w:tcW w:w="1473" w:type="pct"/>
            <w:gridSpan w:val="2"/>
            <w:vAlign w:val="center"/>
          </w:tcPr>
          <w:p w14:paraId="23B26090" w14:textId="7711D40A" w:rsidR="00BF35CA" w:rsidRPr="00A52AB8" w:rsidRDefault="000D3853" w:rsidP="00B608F7">
            <w:pPr>
              <w:autoSpaceDE w:val="0"/>
              <w:autoSpaceDN w:val="0"/>
              <w:adjustRightInd w:val="0"/>
              <w:spacing w:after="0" w:line="240" w:lineRule="auto"/>
              <w:jc w:val="center"/>
              <w:rPr>
                <w:sz w:val="18"/>
                <w:szCs w:val="18"/>
              </w:rPr>
            </w:pPr>
            <w:r w:rsidRPr="00A52AB8">
              <w:rPr>
                <w:sz w:val="18"/>
                <w:szCs w:val="18"/>
              </w:rPr>
              <w:t>‒</w:t>
            </w:r>
          </w:p>
        </w:tc>
      </w:tr>
      <w:tr w:rsidR="00BF35CA" w:rsidRPr="00A52AB8" w14:paraId="0EF37A8D" w14:textId="77777777" w:rsidTr="00BF35CA">
        <w:trPr>
          <w:jc w:val="center"/>
        </w:trPr>
        <w:tc>
          <w:tcPr>
            <w:tcW w:w="2014" w:type="pct"/>
            <w:vAlign w:val="center"/>
          </w:tcPr>
          <w:p w14:paraId="65E8189D" w14:textId="77777777" w:rsidR="00BF35CA" w:rsidRPr="00A52AB8" w:rsidRDefault="00BF35CA" w:rsidP="00B608F7">
            <w:pPr>
              <w:autoSpaceDE w:val="0"/>
              <w:autoSpaceDN w:val="0"/>
              <w:adjustRightInd w:val="0"/>
              <w:spacing w:after="0" w:line="240" w:lineRule="auto"/>
              <w:jc w:val="center"/>
              <w:rPr>
                <w:rFonts w:eastAsia="Times New Roman"/>
                <w:color w:val="000000" w:themeColor="text1"/>
                <w:sz w:val="18"/>
                <w:szCs w:val="18"/>
              </w:rPr>
            </w:pPr>
            <w:r w:rsidRPr="00A52AB8">
              <w:rPr>
                <w:rFonts w:eastAsia="Times New Roman"/>
                <w:color w:val="000000" w:themeColor="text1"/>
                <w:sz w:val="18"/>
                <w:szCs w:val="18"/>
              </w:rPr>
              <w:t>vps_occupancy_video_present_flag</w:t>
            </w:r>
          </w:p>
        </w:tc>
        <w:tc>
          <w:tcPr>
            <w:tcW w:w="1513" w:type="pct"/>
            <w:gridSpan w:val="2"/>
            <w:vAlign w:val="center"/>
          </w:tcPr>
          <w:p w14:paraId="14051E7F" w14:textId="77777777" w:rsidR="00BF35CA" w:rsidRPr="00A52AB8" w:rsidRDefault="00BF35CA" w:rsidP="00BF35CA">
            <w:pPr>
              <w:autoSpaceDE w:val="0"/>
              <w:autoSpaceDN w:val="0"/>
              <w:adjustRightInd w:val="0"/>
              <w:spacing w:after="0" w:line="240" w:lineRule="auto"/>
              <w:jc w:val="center"/>
              <w:rPr>
                <w:sz w:val="18"/>
                <w:szCs w:val="18"/>
              </w:rPr>
            </w:pPr>
            <w:r w:rsidRPr="00A52AB8">
              <w:rPr>
                <w:rFonts w:eastAsia="Times New Roman"/>
                <w:color w:val="000000"/>
                <w:sz w:val="18"/>
                <w:szCs w:val="18"/>
              </w:rPr>
              <w:t>1</w:t>
            </w:r>
          </w:p>
        </w:tc>
        <w:tc>
          <w:tcPr>
            <w:tcW w:w="1473" w:type="pct"/>
            <w:gridSpan w:val="2"/>
            <w:vAlign w:val="center"/>
          </w:tcPr>
          <w:p w14:paraId="236FB159" w14:textId="77777777" w:rsidR="00BF35CA" w:rsidRPr="00A52AB8" w:rsidRDefault="00BF35CA" w:rsidP="00B608F7">
            <w:pPr>
              <w:autoSpaceDE w:val="0"/>
              <w:autoSpaceDN w:val="0"/>
              <w:adjustRightInd w:val="0"/>
              <w:spacing w:after="0" w:line="240" w:lineRule="auto"/>
              <w:jc w:val="center"/>
              <w:rPr>
                <w:sz w:val="18"/>
                <w:szCs w:val="18"/>
              </w:rPr>
            </w:pPr>
            <w:r w:rsidRPr="00A52AB8">
              <w:rPr>
                <w:sz w:val="18"/>
                <w:szCs w:val="18"/>
              </w:rPr>
              <w:t>1</w:t>
            </w:r>
          </w:p>
        </w:tc>
      </w:tr>
      <w:tr w:rsidR="00BF35CA" w:rsidRPr="00A52AB8" w14:paraId="3FFCC1B5" w14:textId="77777777" w:rsidTr="00BF35CA">
        <w:trPr>
          <w:jc w:val="center"/>
        </w:trPr>
        <w:tc>
          <w:tcPr>
            <w:tcW w:w="2014" w:type="pct"/>
            <w:vAlign w:val="center"/>
          </w:tcPr>
          <w:p w14:paraId="2DB1372F" w14:textId="77777777" w:rsidR="00BF35CA" w:rsidRPr="00A52AB8" w:rsidRDefault="00BF35CA" w:rsidP="00B608F7">
            <w:pPr>
              <w:autoSpaceDE w:val="0"/>
              <w:autoSpaceDN w:val="0"/>
              <w:adjustRightInd w:val="0"/>
              <w:spacing w:after="0" w:line="240" w:lineRule="auto"/>
              <w:jc w:val="center"/>
              <w:rPr>
                <w:rFonts w:eastAsia="Times New Roman"/>
                <w:color w:val="000000" w:themeColor="text1"/>
                <w:sz w:val="18"/>
                <w:szCs w:val="18"/>
              </w:rPr>
            </w:pPr>
            <w:r w:rsidRPr="00A52AB8">
              <w:rPr>
                <w:rFonts w:eastAsia="Times New Roman"/>
                <w:color w:val="000000" w:themeColor="text1"/>
                <w:sz w:val="18"/>
                <w:szCs w:val="18"/>
              </w:rPr>
              <w:t>vps_geometry_video_present_flag</w:t>
            </w:r>
          </w:p>
        </w:tc>
        <w:tc>
          <w:tcPr>
            <w:tcW w:w="1513" w:type="pct"/>
            <w:gridSpan w:val="2"/>
            <w:vAlign w:val="center"/>
          </w:tcPr>
          <w:p w14:paraId="029ED640" w14:textId="77777777" w:rsidR="00BF35CA" w:rsidRPr="00A52AB8" w:rsidRDefault="00BF35CA" w:rsidP="00BF35CA">
            <w:pPr>
              <w:autoSpaceDE w:val="0"/>
              <w:autoSpaceDN w:val="0"/>
              <w:adjustRightInd w:val="0"/>
              <w:spacing w:after="0" w:line="240" w:lineRule="auto"/>
              <w:jc w:val="center"/>
              <w:rPr>
                <w:sz w:val="18"/>
                <w:szCs w:val="18"/>
              </w:rPr>
            </w:pPr>
            <w:r w:rsidRPr="00A52AB8">
              <w:rPr>
                <w:rFonts w:eastAsia="Times New Roman"/>
                <w:color w:val="000000"/>
                <w:sz w:val="18"/>
                <w:szCs w:val="18"/>
              </w:rPr>
              <w:t>1</w:t>
            </w:r>
          </w:p>
        </w:tc>
        <w:tc>
          <w:tcPr>
            <w:tcW w:w="1473" w:type="pct"/>
            <w:gridSpan w:val="2"/>
            <w:vAlign w:val="center"/>
          </w:tcPr>
          <w:p w14:paraId="228E165D" w14:textId="77777777" w:rsidR="00BF35CA" w:rsidRPr="00A52AB8" w:rsidRDefault="00BF35CA" w:rsidP="00B608F7">
            <w:pPr>
              <w:autoSpaceDE w:val="0"/>
              <w:autoSpaceDN w:val="0"/>
              <w:adjustRightInd w:val="0"/>
              <w:spacing w:after="0" w:line="240" w:lineRule="auto"/>
              <w:jc w:val="center"/>
              <w:rPr>
                <w:sz w:val="18"/>
                <w:szCs w:val="18"/>
              </w:rPr>
            </w:pPr>
            <w:r w:rsidRPr="00A52AB8">
              <w:rPr>
                <w:sz w:val="18"/>
                <w:szCs w:val="18"/>
              </w:rPr>
              <w:t>1</w:t>
            </w:r>
          </w:p>
        </w:tc>
      </w:tr>
      <w:tr w:rsidR="00BF35CA" w:rsidRPr="00A52AB8" w14:paraId="3EE6606C" w14:textId="77777777" w:rsidTr="00BF35CA">
        <w:trPr>
          <w:jc w:val="center"/>
        </w:trPr>
        <w:tc>
          <w:tcPr>
            <w:tcW w:w="2014" w:type="pct"/>
            <w:vAlign w:val="center"/>
          </w:tcPr>
          <w:p w14:paraId="5EA01804" w14:textId="77777777" w:rsidR="00BF35CA" w:rsidRPr="00A52AB8" w:rsidRDefault="00BF35CA" w:rsidP="00B608F7">
            <w:pPr>
              <w:autoSpaceDE w:val="0"/>
              <w:autoSpaceDN w:val="0"/>
              <w:adjustRightInd w:val="0"/>
              <w:spacing w:after="0" w:line="240" w:lineRule="auto"/>
              <w:jc w:val="center"/>
              <w:rPr>
                <w:rFonts w:eastAsia="Times New Roman"/>
                <w:color w:val="000000" w:themeColor="text1"/>
                <w:sz w:val="18"/>
                <w:szCs w:val="18"/>
              </w:rPr>
            </w:pPr>
            <w:r w:rsidRPr="00A52AB8">
              <w:rPr>
                <w:rFonts w:eastAsia="Times New Roman"/>
                <w:color w:val="000000" w:themeColor="text1"/>
                <w:sz w:val="18"/>
                <w:szCs w:val="18"/>
              </w:rPr>
              <w:t>vps_attribute_video_present_flag</w:t>
            </w:r>
          </w:p>
        </w:tc>
        <w:tc>
          <w:tcPr>
            <w:tcW w:w="1513" w:type="pct"/>
            <w:gridSpan w:val="2"/>
            <w:vAlign w:val="center"/>
          </w:tcPr>
          <w:p w14:paraId="3EC6346F" w14:textId="02008856" w:rsidR="00BF35CA" w:rsidRPr="00A52AB8" w:rsidRDefault="000D3853" w:rsidP="00BF35CA">
            <w:pPr>
              <w:autoSpaceDE w:val="0"/>
              <w:autoSpaceDN w:val="0"/>
              <w:adjustRightInd w:val="0"/>
              <w:spacing w:after="0" w:line="240" w:lineRule="auto"/>
              <w:jc w:val="center"/>
              <w:rPr>
                <w:sz w:val="18"/>
                <w:szCs w:val="18"/>
              </w:rPr>
            </w:pPr>
            <w:r w:rsidRPr="00A52AB8">
              <w:rPr>
                <w:sz w:val="18"/>
                <w:szCs w:val="18"/>
              </w:rPr>
              <w:t>‒</w:t>
            </w:r>
          </w:p>
        </w:tc>
        <w:tc>
          <w:tcPr>
            <w:tcW w:w="1473" w:type="pct"/>
            <w:gridSpan w:val="2"/>
            <w:vAlign w:val="center"/>
          </w:tcPr>
          <w:p w14:paraId="54D65E24" w14:textId="697AF2BA" w:rsidR="00BF35CA" w:rsidRPr="00A52AB8" w:rsidRDefault="000D3853" w:rsidP="00B608F7">
            <w:pPr>
              <w:autoSpaceDE w:val="0"/>
              <w:autoSpaceDN w:val="0"/>
              <w:adjustRightInd w:val="0"/>
              <w:spacing w:after="0" w:line="240" w:lineRule="auto"/>
              <w:jc w:val="center"/>
              <w:rPr>
                <w:sz w:val="18"/>
                <w:szCs w:val="18"/>
              </w:rPr>
            </w:pPr>
            <w:r w:rsidRPr="00A52AB8">
              <w:rPr>
                <w:sz w:val="18"/>
                <w:szCs w:val="18"/>
              </w:rPr>
              <w:t>‒</w:t>
            </w:r>
          </w:p>
        </w:tc>
      </w:tr>
      <w:tr w:rsidR="009F7F10" w:rsidRPr="00A52AB8" w14:paraId="3076F821" w14:textId="77777777" w:rsidTr="00BF35CA">
        <w:trPr>
          <w:jc w:val="center"/>
        </w:trPr>
        <w:tc>
          <w:tcPr>
            <w:tcW w:w="2014" w:type="pct"/>
            <w:vAlign w:val="center"/>
          </w:tcPr>
          <w:p w14:paraId="4C13A6E9" w14:textId="034BD643" w:rsidR="009F7F10" w:rsidRPr="00A52AB8" w:rsidRDefault="009F7F10" w:rsidP="00B608F7">
            <w:pPr>
              <w:autoSpaceDE w:val="0"/>
              <w:autoSpaceDN w:val="0"/>
              <w:adjustRightInd w:val="0"/>
              <w:spacing w:after="0" w:line="240" w:lineRule="auto"/>
              <w:jc w:val="center"/>
              <w:rPr>
                <w:rFonts w:eastAsia="Times New Roman"/>
                <w:color w:val="000000" w:themeColor="text1"/>
                <w:sz w:val="18"/>
                <w:szCs w:val="18"/>
              </w:rPr>
            </w:pPr>
            <w:r w:rsidRPr="009F7F10">
              <w:rPr>
                <w:rFonts w:eastAsia="Times New Roman"/>
                <w:color w:val="000000" w:themeColor="text1"/>
                <w:sz w:val="18"/>
                <w:szCs w:val="18"/>
              </w:rPr>
              <w:t>vps_extension_present_flag</w:t>
            </w:r>
          </w:p>
        </w:tc>
        <w:tc>
          <w:tcPr>
            <w:tcW w:w="1513" w:type="pct"/>
            <w:gridSpan w:val="2"/>
            <w:vAlign w:val="center"/>
          </w:tcPr>
          <w:p w14:paraId="28F71C27" w14:textId="0F677693" w:rsidR="009F7F10" w:rsidRPr="00A52AB8" w:rsidRDefault="009F7F10" w:rsidP="00BF35CA">
            <w:pPr>
              <w:autoSpaceDE w:val="0"/>
              <w:autoSpaceDN w:val="0"/>
              <w:adjustRightInd w:val="0"/>
              <w:spacing w:after="0" w:line="240" w:lineRule="auto"/>
              <w:jc w:val="center"/>
              <w:rPr>
                <w:sz w:val="18"/>
                <w:szCs w:val="18"/>
              </w:rPr>
            </w:pPr>
            <w:r>
              <w:rPr>
                <w:sz w:val="18"/>
                <w:szCs w:val="18"/>
              </w:rPr>
              <w:t>0</w:t>
            </w:r>
          </w:p>
        </w:tc>
        <w:tc>
          <w:tcPr>
            <w:tcW w:w="1473" w:type="pct"/>
            <w:gridSpan w:val="2"/>
            <w:vAlign w:val="center"/>
          </w:tcPr>
          <w:p w14:paraId="2AFFC00A" w14:textId="0F3C9BA8" w:rsidR="009F7F10" w:rsidRPr="00A52AB8" w:rsidRDefault="009F7F10" w:rsidP="00B608F7">
            <w:pPr>
              <w:autoSpaceDE w:val="0"/>
              <w:autoSpaceDN w:val="0"/>
              <w:adjustRightInd w:val="0"/>
              <w:spacing w:after="0" w:line="240" w:lineRule="auto"/>
              <w:jc w:val="center"/>
              <w:rPr>
                <w:sz w:val="18"/>
                <w:szCs w:val="18"/>
              </w:rPr>
            </w:pPr>
            <w:r>
              <w:rPr>
                <w:sz w:val="18"/>
                <w:szCs w:val="18"/>
              </w:rPr>
              <w:t>0</w:t>
            </w:r>
          </w:p>
        </w:tc>
      </w:tr>
      <w:tr w:rsidR="009F7F10" w:rsidRPr="00A52AB8" w14:paraId="39BCA00D" w14:textId="77777777" w:rsidTr="00BF35CA">
        <w:trPr>
          <w:jc w:val="center"/>
        </w:trPr>
        <w:tc>
          <w:tcPr>
            <w:tcW w:w="2014" w:type="pct"/>
            <w:vAlign w:val="center"/>
          </w:tcPr>
          <w:p w14:paraId="00B2F44C" w14:textId="76BAE795" w:rsidR="009F7F10" w:rsidRPr="009F7F10" w:rsidRDefault="009F7F10" w:rsidP="00B608F7">
            <w:pPr>
              <w:autoSpaceDE w:val="0"/>
              <w:autoSpaceDN w:val="0"/>
              <w:adjustRightInd w:val="0"/>
              <w:spacing w:after="0" w:line="240" w:lineRule="auto"/>
              <w:jc w:val="center"/>
              <w:rPr>
                <w:rFonts w:eastAsia="Times New Roman"/>
                <w:color w:val="000000" w:themeColor="text1"/>
                <w:sz w:val="18"/>
                <w:szCs w:val="18"/>
              </w:rPr>
            </w:pPr>
            <w:r>
              <w:rPr>
                <w:rFonts w:eastAsia="Times New Roman"/>
                <w:color w:val="000000" w:themeColor="text1"/>
                <w:sz w:val="18"/>
                <w:szCs w:val="18"/>
              </w:rPr>
              <w:t>vps_packing_information_present_flag</w:t>
            </w:r>
          </w:p>
        </w:tc>
        <w:tc>
          <w:tcPr>
            <w:tcW w:w="1513" w:type="pct"/>
            <w:gridSpan w:val="2"/>
            <w:vAlign w:val="center"/>
          </w:tcPr>
          <w:p w14:paraId="6C52AB1F" w14:textId="023311F9" w:rsidR="009F7F10" w:rsidRDefault="009F7F10" w:rsidP="00BF35CA">
            <w:pPr>
              <w:autoSpaceDE w:val="0"/>
              <w:autoSpaceDN w:val="0"/>
              <w:adjustRightInd w:val="0"/>
              <w:spacing w:after="0" w:line="240" w:lineRule="auto"/>
              <w:jc w:val="center"/>
              <w:rPr>
                <w:sz w:val="18"/>
                <w:szCs w:val="18"/>
              </w:rPr>
            </w:pPr>
            <w:r>
              <w:rPr>
                <w:sz w:val="18"/>
                <w:szCs w:val="18"/>
              </w:rPr>
              <w:t>0</w:t>
            </w:r>
          </w:p>
        </w:tc>
        <w:tc>
          <w:tcPr>
            <w:tcW w:w="1473" w:type="pct"/>
            <w:gridSpan w:val="2"/>
            <w:vAlign w:val="center"/>
          </w:tcPr>
          <w:p w14:paraId="3A7BC836" w14:textId="7C453307" w:rsidR="009F7F10" w:rsidRDefault="009F7F10" w:rsidP="00B608F7">
            <w:pPr>
              <w:autoSpaceDE w:val="0"/>
              <w:autoSpaceDN w:val="0"/>
              <w:adjustRightInd w:val="0"/>
              <w:spacing w:after="0" w:line="240" w:lineRule="auto"/>
              <w:jc w:val="center"/>
              <w:rPr>
                <w:sz w:val="18"/>
                <w:szCs w:val="18"/>
              </w:rPr>
            </w:pPr>
            <w:r>
              <w:rPr>
                <w:sz w:val="18"/>
                <w:szCs w:val="18"/>
              </w:rPr>
              <w:t>0</w:t>
            </w:r>
          </w:p>
        </w:tc>
      </w:tr>
      <w:tr w:rsidR="009F7F10" w:rsidRPr="00A52AB8" w14:paraId="74F65B0A" w14:textId="77777777" w:rsidTr="00BF35CA">
        <w:trPr>
          <w:jc w:val="center"/>
        </w:trPr>
        <w:tc>
          <w:tcPr>
            <w:tcW w:w="2014" w:type="pct"/>
            <w:vAlign w:val="center"/>
          </w:tcPr>
          <w:p w14:paraId="4F305F79" w14:textId="11978E55" w:rsidR="009F7F10" w:rsidRDefault="009F7F10" w:rsidP="00B608F7">
            <w:pPr>
              <w:autoSpaceDE w:val="0"/>
              <w:autoSpaceDN w:val="0"/>
              <w:adjustRightInd w:val="0"/>
              <w:spacing w:after="0" w:line="240" w:lineRule="auto"/>
              <w:jc w:val="center"/>
              <w:rPr>
                <w:rFonts w:eastAsia="Times New Roman"/>
                <w:color w:val="000000" w:themeColor="text1"/>
                <w:sz w:val="18"/>
                <w:szCs w:val="18"/>
              </w:rPr>
            </w:pPr>
            <w:r>
              <w:rPr>
                <w:rFonts w:eastAsia="Times New Roman"/>
                <w:color w:val="000000" w:themeColor="text1"/>
                <w:sz w:val="18"/>
                <w:szCs w:val="18"/>
              </w:rPr>
              <w:t>vps_miv_extension_present_flag</w:t>
            </w:r>
          </w:p>
        </w:tc>
        <w:tc>
          <w:tcPr>
            <w:tcW w:w="1513" w:type="pct"/>
            <w:gridSpan w:val="2"/>
            <w:vAlign w:val="center"/>
          </w:tcPr>
          <w:p w14:paraId="0DCB961A" w14:textId="7E3BFF02" w:rsidR="009F7F10" w:rsidRDefault="009F7F10" w:rsidP="00BF35CA">
            <w:pPr>
              <w:autoSpaceDE w:val="0"/>
              <w:autoSpaceDN w:val="0"/>
              <w:adjustRightInd w:val="0"/>
              <w:spacing w:after="0" w:line="240" w:lineRule="auto"/>
              <w:jc w:val="center"/>
              <w:rPr>
                <w:sz w:val="18"/>
                <w:szCs w:val="18"/>
              </w:rPr>
            </w:pPr>
            <w:r>
              <w:rPr>
                <w:sz w:val="18"/>
                <w:szCs w:val="18"/>
              </w:rPr>
              <w:t>0</w:t>
            </w:r>
          </w:p>
        </w:tc>
        <w:tc>
          <w:tcPr>
            <w:tcW w:w="1473" w:type="pct"/>
            <w:gridSpan w:val="2"/>
            <w:vAlign w:val="center"/>
          </w:tcPr>
          <w:p w14:paraId="564A218F" w14:textId="5EB2EF67" w:rsidR="009F7F10" w:rsidRDefault="009F7F10" w:rsidP="00B608F7">
            <w:pPr>
              <w:autoSpaceDE w:val="0"/>
              <w:autoSpaceDN w:val="0"/>
              <w:adjustRightInd w:val="0"/>
              <w:spacing w:after="0" w:line="240" w:lineRule="auto"/>
              <w:jc w:val="center"/>
              <w:rPr>
                <w:sz w:val="18"/>
                <w:szCs w:val="18"/>
              </w:rPr>
            </w:pPr>
            <w:r>
              <w:rPr>
                <w:sz w:val="18"/>
                <w:szCs w:val="18"/>
              </w:rPr>
              <w:t>0</w:t>
            </w:r>
          </w:p>
        </w:tc>
      </w:tr>
      <w:tr w:rsidR="007B3200" w:rsidRPr="00A52AB8" w14:paraId="6B0624D9" w14:textId="77777777" w:rsidTr="00BF35CA">
        <w:trPr>
          <w:jc w:val="center"/>
        </w:trPr>
        <w:tc>
          <w:tcPr>
            <w:tcW w:w="2014" w:type="pct"/>
            <w:vAlign w:val="center"/>
          </w:tcPr>
          <w:p w14:paraId="5BC6FAB7" w14:textId="77300ECA" w:rsidR="007B3200" w:rsidRDefault="007B3200" w:rsidP="00B608F7">
            <w:pPr>
              <w:autoSpaceDE w:val="0"/>
              <w:autoSpaceDN w:val="0"/>
              <w:adjustRightInd w:val="0"/>
              <w:spacing w:after="0" w:line="240" w:lineRule="auto"/>
              <w:jc w:val="center"/>
              <w:rPr>
                <w:rFonts w:eastAsia="Times New Roman"/>
                <w:color w:val="000000" w:themeColor="text1"/>
                <w:sz w:val="18"/>
                <w:szCs w:val="18"/>
              </w:rPr>
            </w:pPr>
            <w:r>
              <w:rPr>
                <w:rFonts w:eastAsia="Times New Roman"/>
                <w:color w:val="000000" w:themeColor="text1"/>
                <w:sz w:val="18"/>
                <w:szCs w:val="18"/>
              </w:rPr>
              <w:t>asps_miv_extension_present_flag</w:t>
            </w:r>
          </w:p>
        </w:tc>
        <w:tc>
          <w:tcPr>
            <w:tcW w:w="1513" w:type="pct"/>
            <w:gridSpan w:val="2"/>
            <w:vAlign w:val="center"/>
          </w:tcPr>
          <w:p w14:paraId="7B8D1B63" w14:textId="29DA9676" w:rsidR="007B3200" w:rsidRDefault="007B3200" w:rsidP="00BF35CA">
            <w:pPr>
              <w:autoSpaceDE w:val="0"/>
              <w:autoSpaceDN w:val="0"/>
              <w:adjustRightInd w:val="0"/>
              <w:spacing w:after="0" w:line="240" w:lineRule="auto"/>
              <w:jc w:val="center"/>
              <w:rPr>
                <w:sz w:val="18"/>
                <w:szCs w:val="18"/>
              </w:rPr>
            </w:pPr>
            <w:r>
              <w:rPr>
                <w:sz w:val="18"/>
                <w:szCs w:val="18"/>
              </w:rPr>
              <w:t>0</w:t>
            </w:r>
          </w:p>
        </w:tc>
        <w:tc>
          <w:tcPr>
            <w:tcW w:w="1473" w:type="pct"/>
            <w:gridSpan w:val="2"/>
            <w:vAlign w:val="center"/>
          </w:tcPr>
          <w:p w14:paraId="6F60AE28" w14:textId="1D1360C7" w:rsidR="007B3200" w:rsidRDefault="007B3200" w:rsidP="00B608F7">
            <w:pPr>
              <w:autoSpaceDE w:val="0"/>
              <w:autoSpaceDN w:val="0"/>
              <w:adjustRightInd w:val="0"/>
              <w:spacing w:after="0" w:line="240" w:lineRule="auto"/>
              <w:jc w:val="center"/>
              <w:rPr>
                <w:sz w:val="18"/>
                <w:szCs w:val="18"/>
              </w:rPr>
            </w:pPr>
            <w:r>
              <w:rPr>
                <w:sz w:val="18"/>
                <w:szCs w:val="18"/>
              </w:rPr>
              <w:t>0</w:t>
            </w:r>
          </w:p>
        </w:tc>
      </w:tr>
      <w:tr w:rsidR="007B3200" w:rsidRPr="00A52AB8" w14:paraId="097D600D" w14:textId="77777777" w:rsidTr="00BF35CA">
        <w:trPr>
          <w:jc w:val="center"/>
        </w:trPr>
        <w:tc>
          <w:tcPr>
            <w:tcW w:w="2014" w:type="pct"/>
            <w:vAlign w:val="center"/>
          </w:tcPr>
          <w:p w14:paraId="65C07D75" w14:textId="48B5D71C" w:rsidR="007B3200" w:rsidRDefault="007B3200" w:rsidP="00B608F7">
            <w:pPr>
              <w:autoSpaceDE w:val="0"/>
              <w:autoSpaceDN w:val="0"/>
              <w:adjustRightInd w:val="0"/>
              <w:spacing w:after="0" w:line="240" w:lineRule="auto"/>
              <w:jc w:val="center"/>
              <w:rPr>
                <w:rFonts w:eastAsia="Times New Roman"/>
                <w:color w:val="000000" w:themeColor="text1"/>
                <w:sz w:val="18"/>
                <w:szCs w:val="18"/>
              </w:rPr>
            </w:pPr>
            <w:r>
              <w:rPr>
                <w:rFonts w:eastAsia="Times New Roman"/>
                <w:color w:val="000000" w:themeColor="text1"/>
                <w:sz w:val="18"/>
                <w:szCs w:val="18"/>
              </w:rPr>
              <w:t>aaps_miv_extension_present_flag</w:t>
            </w:r>
          </w:p>
        </w:tc>
        <w:tc>
          <w:tcPr>
            <w:tcW w:w="1513" w:type="pct"/>
            <w:gridSpan w:val="2"/>
            <w:vAlign w:val="center"/>
          </w:tcPr>
          <w:p w14:paraId="2499EF9C" w14:textId="41CAE823" w:rsidR="007B3200" w:rsidRDefault="007B3200" w:rsidP="00BF35CA">
            <w:pPr>
              <w:autoSpaceDE w:val="0"/>
              <w:autoSpaceDN w:val="0"/>
              <w:adjustRightInd w:val="0"/>
              <w:spacing w:after="0" w:line="240" w:lineRule="auto"/>
              <w:jc w:val="center"/>
              <w:rPr>
                <w:sz w:val="18"/>
                <w:szCs w:val="18"/>
              </w:rPr>
            </w:pPr>
            <w:r>
              <w:rPr>
                <w:sz w:val="18"/>
                <w:szCs w:val="18"/>
              </w:rPr>
              <w:t>0</w:t>
            </w:r>
          </w:p>
        </w:tc>
        <w:tc>
          <w:tcPr>
            <w:tcW w:w="1473" w:type="pct"/>
            <w:gridSpan w:val="2"/>
            <w:vAlign w:val="center"/>
          </w:tcPr>
          <w:p w14:paraId="408A020C" w14:textId="004974D3" w:rsidR="007B3200" w:rsidRDefault="007B3200" w:rsidP="00B608F7">
            <w:pPr>
              <w:autoSpaceDE w:val="0"/>
              <w:autoSpaceDN w:val="0"/>
              <w:adjustRightInd w:val="0"/>
              <w:spacing w:after="0" w:line="240" w:lineRule="auto"/>
              <w:jc w:val="center"/>
              <w:rPr>
                <w:sz w:val="18"/>
                <w:szCs w:val="18"/>
              </w:rPr>
            </w:pPr>
            <w:r>
              <w:rPr>
                <w:sz w:val="18"/>
                <w:szCs w:val="18"/>
              </w:rPr>
              <w:t>0</w:t>
            </w:r>
          </w:p>
        </w:tc>
      </w:tr>
      <w:tr w:rsidR="007B3200" w:rsidRPr="00A52AB8" w14:paraId="5CC32A6B" w14:textId="77777777" w:rsidTr="00BF35CA">
        <w:trPr>
          <w:jc w:val="center"/>
        </w:trPr>
        <w:tc>
          <w:tcPr>
            <w:tcW w:w="2014" w:type="pct"/>
            <w:vAlign w:val="center"/>
          </w:tcPr>
          <w:p w14:paraId="708EA902" w14:textId="78449C1D" w:rsidR="007B3200" w:rsidRDefault="007B3200" w:rsidP="00B608F7">
            <w:pPr>
              <w:autoSpaceDE w:val="0"/>
              <w:autoSpaceDN w:val="0"/>
              <w:adjustRightInd w:val="0"/>
              <w:spacing w:after="0" w:line="240" w:lineRule="auto"/>
              <w:jc w:val="center"/>
              <w:rPr>
                <w:rFonts w:eastAsia="Times New Roman"/>
                <w:color w:val="000000" w:themeColor="text1"/>
                <w:sz w:val="18"/>
                <w:szCs w:val="18"/>
              </w:rPr>
            </w:pPr>
            <w:r w:rsidRPr="007B3200">
              <w:rPr>
                <w:rFonts w:eastAsia="Times New Roman"/>
                <w:color w:val="000000" w:themeColor="text1"/>
                <w:sz w:val="18"/>
                <w:szCs w:val="18"/>
              </w:rPr>
              <w:t>caf_extension_present_flag</w:t>
            </w:r>
          </w:p>
        </w:tc>
        <w:tc>
          <w:tcPr>
            <w:tcW w:w="1513" w:type="pct"/>
            <w:gridSpan w:val="2"/>
            <w:vAlign w:val="center"/>
          </w:tcPr>
          <w:p w14:paraId="2BF6A9D7" w14:textId="20385431" w:rsidR="007B3200" w:rsidRDefault="007B3200" w:rsidP="00BF35CA">
            <w:pPr>
              <w:autoSpaceDE w:val="0"/>
              <w:autoSpaceDN w:val="0"/>
              <w:adjustRightInd w:val="0"/>
              <w:spacing w:after="0" w:line="240" w:lineRule="auto"/>
              <w:jc w:val="center"/>
              <w:rPr>
                <w:sz w:val="18"/>
                <w:szCs w:val="18"/>
              </w:rPr>
            </w:pPr>
            <w:r>
              <w:rPr>
                <w:sz w:val="18"/>
                <w:szCs w:val="18"/>
              </w:rPr>
              <w:t>0</w:t>
            </w:r>
          </w:p>
        </w:tc>
        <w:tc>
          <w:tcPr>
            <w:tcW w:w="1473" w:type="pct"/>
            <w:gridSpan w:val="2"/>
            <w:vAlign w:val="center"/>
          </w:tcPr>
          <w:p w14:paraId="30DE572D" w14:textId="1F905CEB" w:rsidR="007B3200" w:rsidRDefault="007B3200" w:rsidP="00B608F7">
            <w:pPr>
              <w:autoSpaceDE w:val="0"/>
              <w:autoSpaceDN w:val="0"/>
              <w:adjustRightInd w:val="0"/>
              <w:spacing w:after="0" w:line="240" w:lineRule="auto"/>
              <w:jc w:val="center"/>
              <w:rPr>
                <w:sz w:val="18"/>
                <w:szCs w:val="18"/>
              </w:rPr>
            </w:pPr>
            <w:r>
              <w:rPr>
                <w:sz w:val="18"/>
                <w:szCs w:val="18"/>
              </w:rPr>
              <w:t>0</w:t>
            </w:r>
          </w:p>
        </w:tc>
      </w:tr>
      <w:tr w:rsidR="007B3200" w:rsidRPr="00A52AB8" w14:paraId="53559905" w14:textId="77777777" w:rsidTr="00BF35CA">
        <w:trPr>
          <w:jc w:val="center"/>
        </w:trPr>
        <w:tc>
          <w:tcPr>
            <w:tcW w:w="2014" w:type="pct"/>
            <w:vAlign w:val="center"/>
          </w:tcPr>
          <w:p w14:paraId="6D451929" w14:textId="5458CC7E" w:rsidR="007B3200" w:rsidRDefault="007B3200" w:rsidP="00B608F7">
            <w:pPr>
              <w:autoSpaceDE w:val="0"/>
              <w:autoSpaceDN w:val="0"/>
              <w:adjustRightInd w:val="0"/>
              <w:spacing w:after="0" w:line="240" w:lineRule="auto"/>
              <w:jc w:val="center"/>
              <w:rPr>
                <w:rFonts w:eastAsia="Times New Roman"/>
                <w:color w:val="000000" w:themeColor="text1"/>
                <w:sz w:val="18"/>
                <w:szCs w:val="18"/>
              </w:rPr>
            </w:pPr>
            <w:r w:rsidRPr="007B3200">
              <w:rPr>
                <w:rFonts w:eastAsia="Times New Roman"/>
                <w:color w:val="000000" w:themeColor="text1"/>
                <w:sz w:val="18"/>
                <w:szCs w:val="18"/>
              </w:rPr>
              <w:t>caf_miv_extension_present_flag</w:t>
            </w:r>
          </w:p>
        </w:tc>
        <w:tc>
          <w:tcPr>
            <w:tcW w:w="1513" w:type="pct"/>
            <w:gridSpan w:val="2"/>
            <w:vAlign w:val="center"/>
          </w:tcPr>
          <w:p w14:paraId="0EE32B44" w14:textId="2C02AE99" w:rsidR="007B3200" w:rsidRDefault="007B3200" w:rsidP="00BF35CA">
            <w:pPr>
              <w:autoSpaceDE w:val="0"/>
              <w:autoSpaceDN w:val="0"/>
              <w:adjustRightInd w:val="0"/>
              <w:spacing w:after="0" w:line="240" w:lineRule="auto"/>
              <w:jc w:val="center"/>
              <w:rPr>
                <w:sz w:val="18"/>
                <w:szCs w:val="18"/>
              </w:rPr>
            </w:pPr>
            <w:r>
              <w:rPr>
                <w:sz w:val="18"/>
                <w:szCs w:val="18"/>
              </w:rPr>
              <w:t>0</w:t>
            </w:r>
          </w:p>
        </w:tc>
        <w:tc>
          <w:tcPr>
            <w:tcW w:w="1473" w:type="pct"/>
            <w:gridSpan w:val="2"/>
            <w:vAlign w:val="center"/>
          </w:tcPr>
          <w:p w14:paraId="3BFF7C70" w14:textId="7DF0F267" w:rsidR="007B3200" w:rsidRDefault="007B3200" w:rsidP="00B608F7">
            <w:pPr>
              <w:autoSpaceDE w:val="0"/>
              <w:autoSpaceDN w:val="0"/>
              <w:adjustRightInd w:val="0"/>
              <w:spacing w:after="0" w:line="240" w:lineRule="auto"/>
              <w:jc w:val="center"/>
              <w:rPr>
                <w:sz w:val="18"/>
                <w:szCs w:val="18"/>
              </w:rPr>
            </w:pPr>
            <w:r>
              <w:rPr>
                <w:sz w:val="18"/>
                <w:szCs w:val="18"/>
              </w:rPr>
              <w:t>0</w:t>
            </w:r>
          </w:p>
        </w:tc>
      </w:tr>
      <w:tr w:rsidR="009F7F10" w:rsidRPr="00A52AB8" w14:paraId="11103EC5" w14:textId="77777777" w:rsidTr="00BF35CA">
        <w:trPr>
          <w:jc w:val="center"/>
        </w:trPr>
        <w:tc>
          <w:tcPr>
            <w:tcW w:w="2014" w:type="pct"/>
            <w:vAlign w:val="center"/>
          </w:tcPr>
          <w:p w14:paraId="6186E3BE" w14:textId="4C79F481" w:rsidR="009F7F10" w:rsidRDefault="009F7F10" w:rsidP="00B608F7">
            <w:pPr>
              <w:autoSpaceDE w:val="0"/>
              <w:autoSpaceDN w:val="0"/>
              <w:adjustRightInd w:val="0"/>
              <w:spacing w:after="0" w:line="240" w:lineRule="auto"/>
              <w:jc w:val="center"/>
              <w:rPr>
                <w:rFonts w:eastAsia="Times New Roman"/>
                <w:color w:val="000000" w:themeColor="text1"/>
                <w:sz w:val="18"/>
                <w:szCs w:val="18"/>
              </w:rPr>
            </w:pPr>
            <w:r>
              <w:rPr>
                <w:rFonts w:eastAsia="Times New Roman"/>
                <w:color w:val="000000" w:themeColor="text1"/>
                <w:sz w:val="18"/>
                <w:szCs w:val="18"/>
              </w:rPr>
              <w:t>vuh_unit_type</w:t>
            </w:r>
          </w:p>
        </w:tc>
        <w:tc>
          <w:tcPr>
            <w:tcW w:w="1513" w:type="pct"/>
            <w:gridSpan w:val="2"/>
            <w:vAlign w:val="center"/>
          </w:tcPr>
          <w:p w14:paraId="0EDBE7C3" w14:textId="7DE1482A" w:rsidR="009F7F10" w:rsidRDefault="009F7F10" w:rsidP="00BF35CA">
            <w:pPr>
              <w:autoSpaceDE w:val="0"/>
              <w:autoSpaceDN w:val="0"/>
              <w:adjustRightInd w:val="0"/>
              <w:spacing w:after="0" w:line="240" w:lineRule="auto"/>
              <w:jc w:val="center"/>
              <w:rPr>
                <w:sz w:val="18"/>
                <w:szCs w:val="18"/>
              </w:rPr>
            </w:pPr>
            <w:r>
              <w:rPr>
                <w:sz w:val="18"/>
                <w:szCs w:val="18"/>
              </w:rPr>
              <w:t>V3C_VPS, V3C_AD, V3C_OVD, V3C_GVD, or V3C_AVD</w:t>
            </w:r>
          </w:p>
        </w:tc>
        <w:tc>
          <w:tcPr>
            <w:tcW w:w="1473" w:type="pct"/>
            <w:gridSpan w:val="2"/>
            <w:vAlign w:val="center"/>
          </w:tcPr>
          <w:p w14:paraId="2556E15C" w14:textId="44F6E19B" w:rsidR="009F7F10" w:rsidRDefault="009F7F10" w:rsidP="00B608F7">
            <w:pPr>
              <w:autoSpaceDE w:val="0"/>
              <w:autoSpaceDN w:val="0"/>
              <w:adjustRightInd w:val="0"/>
              <w:spacing w:after="0" w:line="240" w:lineRule="auto"/>
              <w:jc w:val="center"/>
              <w:rPr>
                <w:sz w:val="18"/>
                <w:szCs w:val="18"/>
              </w:rPr>
            </w:pPr>
            <w:r>
              <w:rPr>
                <w:sz w:val="18"/>
                <w:szCs w:val="18"/>
              </w:rPr>
              <w:t>V3C_VPS, V3C_AD, V3C_OVD, V3C_GVD, or V3C_AVD</w:t>
            </w:r>
          </w:p>
        </w:tc>
      </w:tr>
    </w:tbl>
    <w:p w14:paraId="5B0F76F2" w14:textId="0649AC57" w:rsidR="0068720B" w:rsidRPr="00A52AB8" w:rsidRDefault="0068720B" w:rsidP="00483257">
      <w:pPr>
        <w:spacing w:before="240"/>
      </w:pPr>
      <w:r w:rsidRPr="00A52AB8">
        <w:t>The following restrictions shall apply to a bitstream or a collec</w:t>
      </w:r>
      <w:r w:rsidR="00A95281" w:rsidRPr="00A52AB8">
        <w:t>t</w:t>
      </w:r>
      <w:r w:rsidRPr="00A52AB8">
        <w:t xml:space="preserve">ion of V3C sub-bitstreams conforming to either the </w:t>
      </w:r>
      <w:r w:rsidR="00AE7F1F" w:rsidRPr="00A52AB8">
        <w:t>V-PCC Basic</w:t>
      </w:r>
      <w:r w:rsidR="00A95281" w:rsidRPr="00A52AB8">
        <w:t xml:space="preserve">, </w:t>
      </w:r>
      <w:r w:rsidR="00AE7F1F" w:rsidRPr="00A52AB8">
        <w:t>V-PCC Basic Still</w:t>
      </w:r>
      <w:r w:rsidR="00A95281" w:rsidRPr="00A52AB8">
        <w:t xml:space="preserve">, </w:t>
      </w:r>
      <w:r w:rsidR="00AE7F1F" w:rsidRPr="00A52AB8">
        <w:t>V-PCC Extended</w:t>
      </w:r>
      <w:r w:rsidR="00A95281" w:rsidRPr="00A52AB8">
        <w:t>,</w:t>
      </w:r>
      <w:r w:rsidRPr="00A52AB8">
        <w:t xml:space="preserve"> or the </w:t>
      </w:r>
      <w:r w:rsidR="00AE7F1F" w:rsidRPr="00A52AB8">
        <w:t>V-PCC Extended Still</w:t>
      </w:r>
      <w:r w:rsidR="00A95281" w:rsidRPr="00A52AB8">
        <w:t xml:space="preserve"> </w:t>
      </w:r>
      <w:r w:rsidRPr="00A52AB8">
        <w:t>toolset profile component:</w:t>
      </w:r>
    </w:p>
    <w:p w14:paraId="7B530005" w14:textId="77777777" w:rsidR="00A95281" w:rsidRPr="00A52AB8" w:rsidRDefault="00A95281"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In bitstreams conforming to the </w:t>
      </w:r>
      <w:r w:rsidR="00AE7F1F" w:rsidRPr="00A52AB8">
        <w:rPr>
          <w:color w:val="000000" w:themeColor="text1"/>
        </w:rPr>
        <w:t>V-PCC Basic Still</w:t>
      </w:r>
      <w:r w:rsidRPr="00A52AB8">
        <w:rPr>
          <w:color w:val="000000" w:themeColor="text1"/>
        </w:rPr>
        <w:t xml:space="preserve"> or the </w:t>
      </w:r>
      <w:r w:rsidR="00AE7F1F" w:rsidRPr="00A52AB8">
        <w:rPr>
          <w:color w:val="000000" w:themeColor="text1"/>
        </w:rPr>
        <w:t>V-PCC Extended Still</w:t>
      </w:r>
      <w:r w:rsidRPr="00A52AB8">
        <w:rPr>
          <w:color w:val="000000" w:themeColor="text1"/>
        </w:rPr>
        <w:t xml:space="preserve"> profile component, the bitstream shall contain only one atlas frame with nal_layer_id equal to 0.</w:t>
      </w:r>
    </w:p>
    <w:p w14:paraId="3A34C56A" w14:textId="77777777" w:rsidR="0068720B" w:rsidRPr="00A52AB8" w:rsidRDefault="0068720B"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The values of asps_atlas_sequence_parameter_set_id and </w:t>
      </w:r>
      <w:r w:rsidR="00931B7B" w:rsidRPr="00A52AB8">
        <w:rPr>
          <w:color w:val="000000" w:themeColor="text1"/>
        </w:rPr>
        <w:t xml:space="preserve">afps_atlas_sequence_parameter_set_id </w:t>
      </w:r>
      <w:r w:rsidRPr="00A52AB8">
        <w:rPr>
          <w:color w:val="000000" w:themeColor="text1"/>
        </w:rPr>
        <w:t>shall be in the range of 0 to 15, inclusive.</w:t>
      </w:r>
    </w:p>
    <w:p w14:paraId="15864841" w14:textId="77777777" w:rsidR="00931B7B" w:rsidRPr="00A52AB8" w:rsidRDefault="00931B7B"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The values of afps_atlas_frame_parameter_set_id and ath_atlas_frame_parameter_set_id shall be in the range of 0 to 63, inclusive.</w:t>
      </w:r>
    </w:p>
    <w:p w14:paraId="5B8EA9CC" w14:textId="77777777" w:rsidR="0068720B" w:rsidRPr="00A52AB8" w:rsidRDefault="0068720B"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The values of aaps_atlas_adaptation_parameter_set_id and ath_atlas_adaptation_parameter_set_id shall be in the range of 0 to 63, inclusive.</w:t>
      </w:r>
    </w:p>
    <w:p w14:paraId="0B14DC31" w14:textId="77777777" w:rsidR="00AE7F1F" w:rsidRPr="00A52AB8" w:rsidRDefault="00AE7F1F"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In bitstreams conforming to the V-PCC Basic Still or the V-PCC Extended Still profile component, active </w:t>
      </w:r>
      <w:r w:rsidR="001E6507" w:rsidRPr="00A52AB8">
        <w:rPr>
          <w:color w:val="000000" w:themeColor="text1"/>
        </w:rPr>
        <w:t>A</w:t>
      </w:r>
      <w:r w:rsidRPr="00A52AB8">
        <w:rPr>
          <w:color w:val="000000" w:themeColor="text1"/>
        </w:rPr>
        <w:t xml:space="preserve">SPSs shall have </w:t>
      </w:r>
      <w:r w:rsidR="001E6507" w:rsidRPr="00A52AB8">
        <w:rPr>
          <w:color w:val="000000" w:themeColor="text1"/>
        </w:rPr>
        <w:t>asps_max_dec_atlas_frame_buffering_minus1</w:t>
      </w:r>
      <w:r w:rsidRPr="00A52AB8">
        <w:rPr>
          <w:color w:val="000000" w:themeColor="text1"/>
        </w:rPr>
        <w:t xml:space="preserve"> equal to 0 only.</w:t>
      </w:r>
    </w:p>
    <w:p w14:paraId="3A4FF88D" w14:textId="77777777" w:rsidR="001E6507" w:rsidRPr="00A52AB8" w:rsidRDefault="001E650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In bitstreams conforming to the V-PCC Basic profile component that do not conform to the V-PCC Basic Still profile component, ptl_level_idc shall not be equal to 255 (which indicates level 8.5).</w:t>
      </w:r>
    </w:p>
    <w:p w14:paraId="28FF0E45" w14:textId="77777777" w:rsidR="001E6507" w:rsidRPr="00A52AB8" w:rsidRDefault="001E650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In bitstreams conforming to the V-PCC Extended profile component that do not conform to the V</w:t>
      </w:r>
      <w:r w:rsidRPr="00A52AB8">
        <w:rPr>
          <w:color w:val="000000" w:themeColor="text1"/>
        </w:rPr>
        <w:noBreakHyphen/>
        <w:t>PCC Extended Still profile component, ptl_level_idc shall not be equal to 255 (which indicates level 8.5).</w:t>
      </w:r>
    </w:p>
    <w:p w14:paraId="5BD326C3" w14:textId="6EE60B64" w:rsidR="001E6507" w:rsidRPr="00A52AB8" w:rsidRDefault="003C477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The tier and level constraints specified in </w:t>
      </w:r>
      <w:r w:rsidR="001203F9" w:rsidRPr="00A52AB8">
        <w:rPr>
          <w:color w:val="000000" w:themeColor="text1"/>
        </w:rPr>
        <w:t>sub</w:t>
      </w:r>
      <w:r w:rsidRPr="00A52AB8">
        <w:rPr>
          <w:color w:val="000000" w:themeColor="text1"/>
        </w:rPr>
        <w:t xml:space="preserve">clause </w:t>
      </w:r>
      <w:r w:rsidRPr="00496A4D">
        <w:rPr>
          <w:color w:val="000000" w:themeColor="text1"/>
        </w:rPr>
        <w:fldChar w:fldCharType="begin"/>
      </w:r>
      <w:r w:rsidRPr="00A52AB8">
        <w:rPr>
          <w:color w:val="000000" w:themeColor="text1"/>
        </w:rPr>
        <w:instrText xml:space="preserve"> REF _Ref46444460 \r \h </w:instrText>
      </w:r>
      <w:r w:rsidR="006371AA"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H.15.6</w:t>
      </w:r>
      <w:r w:rsidRPr="00496A4D">
        <w:rPr>
          <w:color w:val="000000" w:themeColor="text1"/>
        </w:rPr>
        <w:fldChar w:fldCharType="end"/>
      </w:r>
      <w:r w:rsidRPr="00A52AB8">
        <w:rPr>
          <w:color w:val="000000" w:themeColor="text1"/>
        </w:rPr>
        <w:t>, as applicable, shall be fulfilled.</w:t>
      </w:r>
    </w:p>
    <w:p w14:paraId="4E82DB6F" w14:textId="7FE2D196" w:rsidR="00BD5C9E" w:rsidRPr="00A52AB8" w:rsidRDefault="007812ED">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TemporalID</w:t>
      </w:r>
      <w:r w:rsidR="00BD5C9E" w:rsidRPr="00A52AB8">
        <w:rPr>
          <w:color w:val="000000" w:themeColor="text1"/>
        </w:rPr>
        <w:t xml:space="preserve"> shall be equal to 0</w:t>
      </w:r>
      <w:r w:rsidR="002C0F4F" w:rsidRPr="00A52AB8">
        <w:rPr>
          <w:color w:val="000000" w:themeColor="text1"/>
        </w:rPr>
        <w:t>.</w:t>
      </w:r>
    </w:p>
    <w:p w14:paraId="3B8F6466" w14:textId="75C242E6" w:rsidR="003A5650" w:rsidRPr="00A52AB8" w:rsidRDefault="00036A19">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If DecOccFullRange, DecOccColourPrimaries, DecOccTransferCharacteristics, and DecOccMatrixCoeffs are present, their values shall be set to 1, 2, 8, and 2, respectively.</w:t>
      </w:r>
    </w:p>
    <w:p w14:paraId="245ABC59" w14:textId="752459D1" w:rsidR="00036A19" w:rsidRPr="00A52AB8" w:rsidRDefault="00036A19" w:rsidP="00036A19">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If DecGeoFullRange, DecGeoColourPrimaries, DecGeoTransferCharacteristics, and DecGeoMatrixCoeffs are present, their values shall be set to 1, 2, 8, and 2, respectively.</w:t>
      </w:r>
    </w:p>
    <w:p w14:paraId="47F86578" w14:textId="45008E7F" w:rsidR="00036A19" w:rsidRPr="00A52AB8" w:rsidRDefault="00036A19">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If DecGeoAuxFullRange, DecGeoAuxColourPrimaries, DecGeoAuxTransferCharacteristics, and DecGeoAuxMatrixCoeffs are present, their values shall be set to 1, 2, 8, and 2, respectively.</w:t>
      </w:r>
    </w:p>
    <w:p w14:paraId="0D290DF0" w14:textId="4EA36CE3" w:rsidR="000C73CA" w:rsidRPr="00A52AB8" w:rsidRDefault="000C73CA" w:rsidP="000C73CA">
      <w:pPr>
        <w:spacing w:before="240"/>
      </w:pPr>
      <w:r w:rsidRPr="00A52AB8">
        <w:t xml:space="preserve">Furthermore, the following restrictions shall apply to a bitstream or a collection of </w:t>
      </w:r>
      <w:r w:rsidR="00EC6F5C" w:rsidRPr="00A52AB8">
        <w:t>V3C</w:t>
      </w:r>
      <w:r w:rsidRPr="00A52AB8">
        <w:t xml:space="preserve"> sub-bitstream components conforming to </w:t>
      </w:r>
      <w:r w:rsidR="0068720B" w:rsidRPr="00A52AB8">
        <w:t xml:space="preserve">the </w:t>
      </w:r>
      <w:r w:rsidR="00AE7F1F" w:rsidRPr="00A52AB8">
        <w:t>V-PCC Basic</w:t>
      </w:r>
      <w:r w:rsidRPr="00A52AB8">
        <w:t xml:space="preserve"> toolset profile component:</w:t>
      </w:r>
    </w:p>
    <w:p w14:paraId="2A4EBED3" w14:textId="59847189" w:rsidR="00574D84" w:rsidRPr="00A52AB8" w:rsidRDefault="00574D84"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For each </w:t>
      </w:r>
      <w:r w:rsidR="00164EDD" w:rsidRPr="00A52AB8">
        <w:rPr>
          <w:color w:val="000000" w:themeColor="text1"/>
        </w:rPr>
        <w:t xml:space="preserve">decoded </w:t>
      </w:r>
      <w:r w:rsidR="00495B7B" w:rsidRPr="00A52AB8">
        <w:rPr>
          <w:color w:val="000000" w:themeColor="text1"/>
        </w:rPr>
        <w:t xml:space="preserve">V3C video component </w:t>
      </w:r>
      <w:r w:rsidRPr="00A52AB8">
        <w:rPr>
          <w:color w:val="000000" w:themeColor="text1"/>
        </w:rPr>
        <w:t>output picture</w:t>
      </w:r>
      <w:r w:rsidR="00164EDD" w:rsidRPr="00A52AB8">
        <w:rPr>
          <w:color w:val="000000" w:themeColor="text1"/>
        </w:rPr>
        <w:t>, associated with a specific composition time value, picCompTimeVal</w:t>
      </w:r>
      <w:r w:rsidRPr="00A52AB8">
        <w:rPr>
          <w:color w:val="000000" w:themeColor="text1"/>
        </w:rPr>
        <w:t>, there shall exist a</w:t>
      </w:r>
      <w:r w:rsidR="00164EDD" w:rsidRPr="00A52AB8">
        <w:rPr>
          <w:color w:val="000000" w:themeColor="text1"/>
        </w:rPr>
        <w:t xml:space="preserve"> decoded</w:t>
      </w:r>
      <w:r w:rsidRPr="00A52AB8">
        <w:rPr>
          <w:color w:val="000000" w:themeColor="text1"/>
        </w:rPr>
        <w:t xml:space="preserve"> output atlas frame with </w:t>
      </w:r>
      <w:r w:rsidR="00164EDD" w:rsidRPr="00A52AB8">
        <w:rPr>
          <w:color w:val="000000" w:themeColor="text1"/>
        </w:rPr>
        <w:t>a composition time value atlasCompTimeVal, where atlasCompTimeVal is equal to picCompTimeVal</w:t>
      </w:r>
      <w:r w:rsidRPr="00A52AB8">
        <w:rPr>
          <w:color w:val="000000" w:themeColor="text1"/>
        </w:rPr>
        <w:t>.</w:t>
      </w:r>
      <w:r w:rsidR="00164EDD" w:rsidRPr="00A52AB8">
        <w:rPr>
          <w:color w:val="000000" w:themeColor="text1"/>
        </w:rPr>
        <w:t xml:space="preserve"> Determining the composition time values picCompTimeVal and atlasCompTimeVal is outside the scope of this document.</w:t>
      </w:r>
    </w:p>
    <w:p w14:paraId="3AF9B4C9" w14:textId="049E9052" w:rsidR="00D0592B" w:rsidRPr="00A52AB8" w:rsidRDefault="00D0592B" w:rsidP="004A6049">
      <w:pPr>
        <w:pStyle w:val="Note1"/>
        <w:rPr>
          <w:rFonts w:ascii="Cambria" w:hAnsi="Cambria"/>
        </w:rPr>
      </w:pPr>
      <w:r w:rsidRPr="00A52AB8">
        <w:rPr>
          <w:rFonts w:ascii="Cambria" w:hAnsi="Cambria"/>
        </w:rPr>
        <w:t>NOTE – The above restriction implies that a decoded output picture for any V3C video component is present only if there is a corresponding atlas frame in the V3C atlas component.</w:t>
      </w:r>
    </w:p>
    <w:p w14:paraId="0ECFA0CF" w14:textId="77777777" w:rsidR="000C73CA" w:rsidRPr="00A52AB8" w:rsidRDefault="000C73CA"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All video sub-bitstreams shall have an intra random access point (IRAP) at IRAP points of an atlas sub-bitstream.</w:t>
      </w:r>
    </w:p>
    <w:p w14:paraId="4E58DB12" w14:textId="77777777" w:rsidR="000C73CA" w:rsidRPr="00A52AB8" w:rsidRDefault="000C73CA"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If asps_pixel_deinterleaving_enabled_flag</w:t>
      </w:r>
      <w:r w:rsidR="006D5848" w:rsidRPr="00A52AB8">
        <w:rPr>
          <w:color w:val="000000" w:themeColor="text1"/>
        </w:rPr>
        <w:t xml:space="preserve"> is equal to 1</w:t>
      </w:r>
      <w:r w:rsidRPr="00A52AB8">
        <w:rPr>
          <w:color w:val="000000" w:themeColor="text1"/>
        </w:rPr>
        <w:t>, asps_map_count_minus1 shall be equal to 0.</w:t>
      </w:r>
    </w:p>
    <w:p w14:paraId="41D93262" w14:textId="77777777" w:rsidR="00BD70A5" w:rsidRPr="00A52AB8" w:rsidRDefault="00BD70A5" w:rsidP="00BD70A5">
      <w:pPr>
        <w:spacing w:before="240"/>
      </w:pPr>
      <w:r w:rsidRPr="00A52AB8">
        <w:t>Decoders conforming to the V-PCC Basic toolset profile component at a specific level (identified by a specific value of ptl_level_idc) of a specific tier (identified by a specific value of ptl_tier_flag) shall be capable of decoding all bitstreams for which all of the following conditions apply:</w:t>
      </w:r>
    </w:p>
    <w:p w14:paraId="446EA235" w14:textId="77777777" w:rsidR="00BD70A5" w:rsidRPr="00A52AB8" w:rsidRDefault="00BD70A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The bitstream is indicated to conform to the V-PCC Basic or the V-PCC Basic Still profile component.</w:t>
      </w:r>
    </w:p>
    <w:p w14:paraId="6351A577" w14:textId="77777777" w:rsidR="00BD70A5" w:rsidRPr="00A52AB8" w:rsidRDefault="00BD70A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The bitstream is indicated to conform to a level that is not level 8.5 and is lower than or equal to the specified level.</w:t>
      </w:r>
    </w:p>
    <w:p w14:paraId="4E45BABE" w14:textId="77777777" w:rsidR="00BD70A5" w:rsidRPr="00A52AB8" w:rsidRDefault="00BD70A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The bitstream is indicated to conform to a tier that is lower than or equal to the specified tier.</w:t>
      </w:r>
    </w:p>
    <w:p w14:paraId="6419F62B" w14:textId="77777777" w:rsidR="00BD70A5" w:rsidRPr="00A52AB8" w:rsidRDefault="00BD70A5" w:rsidP="00BD70A5">
      <w:pPr>
        <w:spacing w:before="240"/>
      </w:pPr>
      <w:r w:rsidRPr="00A52AB8">
        <w:t>Decoders conforming to the V-PCC Basic Still toolset profile component at a specific level (identified by a specific value of ptl_level_idc) of a specific tier (identified by a specific value of ptl_tier_flag) shall be capable of decoding all bitstreams for which all of the following conditions apply:</w:t>
      </w:r>
    </w:p>
    <w:p w14:paraId="5305C615" w14:textId="77777777" w:rsidR="00BD70A5" w:rsidRPr="00A52AB8" w:rsidRDefault="00BD70A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The bitstream is indicated to conform to the V-PCC Basic Still profile component.</w:t>
      </w:r>
    </w:p>
    <w:p w14:paraId="1F8CF424" w14:textId="77777777" w:rsidR="00BD70A5" w:rsidRPr="00A52AB8" w:rsidRDefault="00BD70A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The bitstream is indicated to conform to a level that is not level 8.5 and is lower than or equal to the specified level.</w:t>
      </w:r>
    </w:p>
    <w:p w14:paraId="7D7EBAC1" w14:textId="77777777" w:rsidR="00BD70A5" w:rsidRPr="00A52AB8" w:rsidRDefault="00BD70A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The bitstream is indicated to conform to a tier that is lower than or equal to the specified tier.</w:t>
      </w:r>
    </w:p>
    <w:p w14:paraId="01CF685E" w14:textId="77777777" w:rsidR="00BD70A5" w:rsidRPr="00A52AB8" w:rsidRDefault="00BD70A5" w:rsidP="00BD70A5">
      <w:pPr>
        <w:spacing w:before="240"/>
      </w:pPr>
      <w:r w:rsidRPr="00A52AB8">
        <w:t>Decoders conforming to the V-PCC Extended toolset profile component at a specific level (identified by a specific value of ptl_level_idc) of a specific tier (identified by a specific value of ptl_tier_flag) shall be capable of decoding all bitstreams for which all of the following conditions apply:</w:t>
      </w:r>
    </w:p>
    <w:p w14:paraId="0CE38125" w14:textId="77777777" w:rsidR="00BD70A5" w:rsidRPr="00A52AB8" w:rsidRDefault="00BD70A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The bitstream is indicated to conform to the V-PCC Basic, V-PCC Basic Still, V-PCC Extended, or the V</w:t>
      </w:r>
      <w:r w:rsidRPr="00A52AB8">
        <w:rPr>
          <w:color w:val="000000" w:themeColor="text1"/>
        </w:rPr>
        <w:noBreakHyphen/>
        <w:t>PCC Extended Still profile component.</w:t>
      </w:r>
    </w:p>
    <w:p w14:paraId="0EDE1541" w14:textId="77777777" w:rsidR="00BD70A5" w:rsidRPr="00A52AB8" w:rsidRDefault="00BD70A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The bitstream is indicated to conform to a level that is not level 8.5 and is lower than or equal to the specified level.</w:t>
      </w:r>
    </w:p>
    <w:p w14:paraId="78E21A8B" w14:textId="77777777" w:rsidR="00BD70A5" w:rsidRPr="00A52AB8" w:rsidRDefault="00BD70A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The bitstream is indicated to conform to a tier that is lower than or equal to the specified tier.</w:t>
      </w:r>
    </w:p>
    <w:p w14:paraId="15214371" w14:textId="77777777" w:rsidR="00BD70A5" w:rsidRPr="00A52AB8" w:rsidRDefault="00BD70A5" w:rsidP="00BD70A5">
      <w:pPr>
        <w:spacing w:before="240"/>
      </w:pPr>
      <w:r w:rsidRPr="00A52AB8">
        <w:t>Decoders conforming to the V-PCC Extended Still toolset profile component at a specific level (identified by a specific value of ptl_level_idc) of a specific tier (identified by a specific value of ptl_tier_flag) shall be capable of decoding all bitstreams for which all of the following conditions apply:</w:t>
      </w:r>
    </w:p>
    <w:p w14:paraId="3825085D" w14:textId="77777777" w:rsidR="00BD70A5" w:rsidRPr="00A52AB8" w:rsidRDefault="00BD70A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The bitstream is indicated to conform to the V-PCC Basic Still or V-PCC Extended Still profile component.</w:t>
      </w:r>
    </w:p>
    <w:p w14:paraId="7FBEA81B" w14:textId="77777777" w:rsidR="00BD70A5" w:rsidRPr="00A52AB8" w:rsidRDefault="00BD70A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The bitstream is indicated to conform to a level that is not level 8.5 and is lower than or equal to the specified level.</w:t>
      </w:r>
    </w:p>
    <w:p w14:paraId="50440938" w14:textId="77777777" w:rsidR="0068720B" w:rsidRPr="00A52AB8" w:rsidRDefault="00BD70A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The bitstream is indicated to conform to a tier that is lower than or equal to the specified tier.</w:t>
      </w:r>
    </w:p>
    <w:p w14:paraId="5D229B75" w14:textId="77777777" w:rsidR="000C73CA" w:rsidRPr="00A52AB8" w:rsidRDefault="000C73CA" w:rsidP="000C73CA">
      <w:pPr>
        <w:pStyle w:val="a3"/>
        <w:numPr>
          <w:ilvl w:val="2"/>
          <w:numId w:val="14"/>
        </w:numPr>
      </w:pPr>
      <w:bookmarkStart w:id="7265" w:name="_Toc37760866"/>
      <w:bookmarkStart w:id="7266" w:name="_Ref49766685"/>
      <w:bookmarkStart w:id="7267" w:name="_Toc52181812"/>
      <w:r w:rsidRPr="00A52AB8">
        <w:t>Reconstruction profile components</w:t>
      </w:r>
      <w:bookmarkEnd w:id="7265"/>
      <w:bookmarkEnd w:id="7266"/>
      <w:bookmarkEnd w:id="7267"/>
    </w:p>
    <w:p w14:paraId="14676F86" w14:textId="52BC4183" w:rsidR="008D5244" w:rsidRPr="00A52AB8" w:rsidRDefault="008D5244" w:rsidP="00E860C4">
      <w:pPr>
        <w:pStyle w:val="a4"/>
        <w:numPr>
          <w:ilvl w:val="3"/>
          <w:numId w:val="14"/>
        </w:numPr>
      </w:pPr>
      <w:r w:rsidRPr="00A52AB8">
        <w:t>General</w:t>
      </w:r>
    </w:p>
    <w:p w14:paraId="13B2C9D9" w14:textId="38604E5D" w:rsidR="000C73CA" w:rsidRPr="00A52AB8" w:rsidRDefault="000C73CA" w:rsidP="000C73CA">
      <w:pPr>
        <w:rPr>
          <w:lang w:eastAsia="ja-JP"/>
        </w:rPr>
      </w:pPr>
      <w:r w:rsidRPr="00A52AB8">
        <w:rPr>
          <w:lang w:eastAsia="ja-JP"/>
        </w:rPr>
        <w:t>The specifications in</w:t>
      </w:r>
      <w:r w:rsidR="00793E2B" w:rsidRPr="00A52AB8">
        <w:rPr>
          <w:lang w:eastAsia="ja-JP"/>
        </w:rPr>
        <w:t xml:space="preserve"> Annex </w:t>
      </w:r>
      <w:r w:rsidR="00793E2B" w:rsidRPr="00496A4D">
        <w:rPr>
          <w:lang w:eastAsia="ja-JP"/>
        </w:rPr>
        <w:fldChar w:fldCharType="begin"/>
      </w:r>
      <w:r w:rsidR="00793E2B" w:rsidRPr="00A52AB8">
        <w:rPr>
          <w:lang w:eastAsia="ja-JP"/>
        </w:rPr>
        <w:instrText xml:space="preserve"> REF _Ref44436130 \r \h </w:instrText>
      </w:r>
      <w:r w:rsidR="00CA5401" w:rsidRPr="00A52AB8">
        <w:rPr>
          <w:lang w:eastAsia="ja-JP"/>
        </w:rPr>
        <w:instrText xml:space="preserve"> \* MERGEFORMAT </w:instrText>
      </w:r>
      <w:r w:rsidR="00793E2B" w:rsidRPr="00496A4D">
        <w:rPr>
          <w:lang w:eastAsia="ja-JP"/>
        </w:rPr>
      </w:r>
      <w:r w:rsidR="00793E2B" w:rsidRPr="00496A4D">
        <w:rPr>
          <w:lang w:eastAsia="ja-JP"/>
        </w:rPr>
        <w:fldChar w:fldCharType="separate"/>
      </w:r>
      <w:r w:rsidR="00507A67">
        <w:rPr>
          <w:lang w:eastAsia="ja-JP"/>
        </w:rPr>
        <w:t>A.5</w:t>
      </w:r>
      <w:r w:rsidR="00793E2B" w:rsidRPr="00496A4D">
        <w:rPr>
          <w:lang w:eastAsia="ja-JP"/>
        </w:rPr>
        <w:fldChar w:fldCharType="end"/>
      </w:r>
      <w:r w:rsidR="00793E2B" w:rsidRPr="00A52AB8">
        <w:rPr>
          <w:lang w:eastAsia="ja-JP"/>
        </w:rPr>
        <w:t xml:space="preserve"> </w:t>
      </w:r>
      <w:r w:rsidRPr="00A52AB8">
        <w:rPr>
          <w:lang w:eastAsia="ja-JP"/>
        </w:rPr>
        <w:t>and its subclauses apply with following additions.</w:t>
      </w:r>
    </w:p>
    <w:p w14:paraId="2C511924" w14:textId="0B53D8DF" w:rsidR="00D72687" w:rsidRPr="00A52AB8" w:rsidRDefault="00D72687" w:rsidP="000C73CA">
      <w:pPr>
        <w:rPr>
          <w:lang w:eastAsia="ja-JP"/>
        </w:rPr>
      </w:pPr>
      <w:r w:rsidRPr="00496A4D">
        <w:rPr>
          <w:b/>
          <w:bCs/>
          <w:lang w:eastAsia="ja-JP"/>
        </w:rPr>
        <w:fldChar w:fldCharType="begin"/>
      </w:r>
      <w:r w:rsidRPr="00A52AB8">
        <w:rPr>
          <w:b/>
          <w:bCs/>
          <w:lang w:eastAsia="ja-JP"/>
        </w:rPr>
        <w:instrText xml:space="preserve"> REF _Ref51583391 \h  \* MERGEFORMAT </w:instrText>
      </w:r>
      <w:r w:rsidRPr="00496A4D">
        <w:rPr>
          <w:b/>
          <w:bCs/>
          <w:lang w:eastAsia="ja-JP"/>
        </w:rPr>
      </w:r>
      <w:r w:rsidRPr="00496A4D">
        <w:rPr>
          <w:b/>
          <w:bCs/>
          <w:lang w:eastAsia="ja-JP"/>
        </w:rPr>
        <w:fldChar w:fldCharType="separate"/>
      </w:r>
      <w:r w:rsidR="00507A67" w:rsidRPr="00507A67">
        <w:rPr>
          <w:rStyle w:val="CaptionChar1"/>
          <w:b w:val="0"/>
          <w:bCs/>
          <w:sz w:val="22"/>
          <w:lang w:val="en-CA"/>
        </w:rPr>
        <w:t>Table H-4</w:t>
      </w:r>
      <w:r w:rsidRPr="00496A4D">
        <w:rPr>
          <w:b/>
          <w:bCs/>
          <w:lang w:eastAsia="ja-JP"/>
        </w:rPr>
        <w:fldChar w:fldCharType="end"/>
      </w:r>
      <w:r w:rsidRPr="00A52AB8">
        <w:rPr>
          <w:lang w:eastAsia="ja-JP"/>
        </w:rPr>
        <w:t xml:space="preserve"> provides a list of defined reconstruction profile components for V-PCC </w:t>
      </w:r>
      <w:r w:rsidRPr="00A52AB8">
        <w:t>and of the allowed values for syntax element ptl_profile_reconstruction_idc</w:t>
      </w:r>
      <w:r w:rsidRPr="00A52AB8">
        <w:rPr>
          <w:lang w:eastAsia="ja-JP"/>
        </w:rPr>
        <w:t>. Currently 3 additional reconstruction profile components, other than the Rec Unconstrained profile component, namely Rec0, Rec1, and Rec2 are defined. Other values indicated as reserved in this table are reserved for future use by ISO/IEC.</w:t>
      </w:r>
      <w:r w:rsidR="00FD453C" w:rsidRPr="00A52AB8">
        <w:rPr>
          <w:lang w:eastAsia="ja-JP"/>
        </w:rPr>
        <w:t xml:space="preserve"> </w:t>
      </w:r>
      <w:r w:rsidR="000219E3" w:rsidRPr="00A52AB8">
        <w:rPr>
          <w:lang w:eastAsia="ja-JP"/>
        </w:rPr>
        <w:t>The reconstruction profile components may be independent from one another.</w:t>
      </w:r>
    </w:p>
    <w:p w14:paraId="4CF6445A" w14:textId="789A0497" w:rsidR="000C73CA" w:rsidRPr="00A52AB8" w:rsidRDefault="00C333F4" w:rsidP="000C73CA">
      <w:r w:rsidRPr="00496A4D">
        <w:fldChar w:fldCharType="begin"/>
      </w:r>
      <w:r w:rsidRPr="00A52AB8">
        <w:instrText xml:space="preserve"> REF _Ref41390825 \h </w:instrText>
      </w:r>
      <w:r w:rsidR="00DE1A4E" w:rsidRPr="00A52AB8">
        <w:instrText xml:space="preserve"> \* MERGEFORMAT </w:instrText>
      </w:r>
      <w:r w:rsidRPr="00496A4D">
        <w:fldChar w:fldCharType="separate"/>
      </w:r>
      <w:r w:rsidR="00507A67" w:rsidRPr="00507A67">
        <w:t>Table H-5</w:t>
      </w:r>
      <w:r w:rsidRPr="00496A4D">
        <w:fldChar w:fldCharType="end"/>
      </w:r>
      <w:r w:rsidR="00DE1A4E" w:rsidRPr="00A52AB8">
        <w:t xml:space="preserve"> </w:t>
      </w:r>
      <w:r w:rsidR="000C73CA" w:rsidRPr="00A52AB8">
        <w:t>provides a list of the supported reconstruction functionalities for each reconstruction profile component.</w:t>
      </w:r>
      <w:r w:rsidR="00AE331C" w:rsidRPr="00A52AB8">
        <w:t xml:space="preserve"> The “ignored” entries in the table imply that a decoder may choose to ignore the corresponding reconstruction operations. For example, a decoder may choose to reconstruct points from RAW patches or discard them.</w:t>
      </w:r>
    </w:p>
    <w:p w14:paraId="42234CB1" w14:textId="469CDDCD" w:rsidR="00D97A45" w:rsidRPr="00A52AB8" w:rsidRDefault="00D97A45" w:rsidP="00983491">
      <w:bookmarkStart w:id="7268" w:name="_Ref51583391"/>
      <w:r w:rsidRPr="00A52AB8">
        <w:rPr>
          <w:rStyle w:val="CaptionChar1"/>
          <w:lang w:val="en-CA"/>
        </w:rPr>
        <w:t>Table H-</w:t>
      </w:r>
      <w:r w:rsidRPr="00496A4D">
        <w:rPr>
          <w:rStyle w:val="CaptionChar1"/>
          <w:lang w:val="en-CA"/>
        </w:rPr>
        <w:fldChar w:fldCharType="begin"/>
      </w:r>
      <w:r w:rsidRPr="00A52AB8">
        <w:rPr>
          <w:rStyle w:val="CaptionChar1"/>
          <w:lang w:val="en-CA"/>
        </w:rPr>
        <w:instrText xml:space="preserve"> SEQ Table \* ARABIC \s 1 </w:instrText>
      </w:r>
      <w:r w:rsidRPr="00496A4D">
        <w:rPr>
          <w:rStyle w:val="CaptionChar1"/>
          <w:lang w:val="en-CA"/>
        </w:rPr>
        <w:fldChar w:fldCharType="separate"/>
      </w:r>
      <w:r w:rsidR="00507A67">
        <w:rPr>
          <w:rStyle w:val="CaptionChar1"/>
          <w:noProof/>
          <w:lang w:val="en-CA"/>
        </w:rPr>
        <w:t>4</w:t>
      </w:r>
      <w:r w:rsidRPr="00496A4D">
        <w:rPr>
          <w:rStyle w:val="CaptionChar1"/>
          <w:lang w:val="en-CA"/>
        </w:rPr>
        <w:fldChar w:fldCharType="end"/>
      </w:r>
      <w:bookmarkEnd w:id="7268"/>
      <w:r w:rsidRPr="00A52AB8">
        <w:rPr>
          <w:rStyle w:val="CaptionChar1"/>
          <w:lang w:val="en-CA"/>
        </w:rPr>
        <w:t> – </w:t>
      </w:r>
      <w:r w:rsidR="00D72687" w:rsidRPr="00A52AB8">
        <w:rPr>
          <w:rStyle w:val="CaptionChar1"/>
          <w:lang w:val="en-CA"/>
        </w:rPr>
        <w:t>Defined</w:t>
      </w:r>
      <w:r w:rsidRPr="00A52AB8">
        <w:rPr>
          <w:rStyle w:val="CaptionChar1"/>
          <w:lang w:val="en-CA"/>
        </w:rPr>
        <w:t xml:space="preserve"> reconstruction profile component</w:t>
      </w:r>
      <w:r w:rsidR="00D72687" w:rsidRPr="00A52AB8">
        <w:rPr>
          <w:rStyle w:val="CaptionChar1"/>
          <w:lang w:val="en-CA"/>
        </w:rPr>
        <w:t>s for V-PCC</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72"/>
        <w:gridCol w:w="3488"/>
      </w:tblGrid>
      <w:tr w:rsidR="004C4C00" w:rsidRPr="00A52AB8" w14:paraId="29183AF5" w14:textId="52F839EE" w:rsidTr="004C4C00">
        <w:trPr>
          <w:trHeight w:val="90"/>
          <w:jc w:val="center"/>
        </w:trPr>
        <w:tc>
          <w:tcPr>
            <w:tcW w:w="3672" w:type="dxa"/>
            <w:hideMark/>
          </w:tcPr>
          <w:p w14:paraId="0BA08B9A" w14:textId="77777777" w:rsidR="004C4C00" w:rsidRPr="00A52AB8" w:rsidRDefault="004C4C00" w:rsidP="004C4C00">
            <w:pPr>
              <w:autoSpaceDE w:val="0"/>
              <w:autoSpaceDN w:val="0"/>
              <w:adjustRightInd w:val="0"/>
              <w:spacing w:after="0"/>
              <w:jc w:val="center"/>
              <w:rPr>
                <w:rFonts w:eastAsia="Times New Roman"/>
                <w:color w:val="000000"/>
                <w:sz w:val="20"/>
                <w:szCs w:val="20"/>
              </w:rPr>
            </w:pPr>
            <w:r w:rsidRPr="00A52AB8">
              <w:rPr>
                <w:rFonts w:eastAsia="Times New Roman"/>
                <w:b/>
                <w:color w:val="000000" w:themeColor="text1"/>
                <w:sz w:val="20"/>
                <w:szCs w:val="20"/>
              </w:rPr>
              <w:t>ptl_profile</w:t>
            </w:r>
            <w:r w:rsidRPr="00A52AB8">
              <w:rPr>
                <w:rFonts w:eastAsia="Times New Roman"/>
                <w:b/>
                <w:color w:val="000000" w:themeColor="text1"/>
                <w:sz w:val="20"/>
                <w:szCs w:val="20"/>
                <w:lang w:eastAsia="ja-JP"/>
              </w:rPr>
              <w:t>_reconstruction_idc</w:t>
            </w:r>
          </w:p>
        </w:tc>
        <w:tc>
          <w:tcPr>
            <w:tcW w:w="3488" w:type="dxa"/>
          </w:tcPr>
          <w:p w14:paraId="17D32F56" w14:textId="3DCE23F1" w:rsidR="004C4C00" w:rsidRPr="00A52AB8" w:rsidRDefault="004C4C00" w:rsidP="004C4C00">
            <w:pPr>
              <w:autoSpaceDE w:val="0"/>
              <w:autoSpaceDN w:val="0"/>
              <w:adjustRightInd w:val="0"/>
              <w:spacing w:after="0"/>
              <w:jc w:val="center"/>
              <w:rPr>
                <w:rFonts w:eastAsia="Times New Roman"/>
                <w:b/>
                <w:color w:val="000000" w:themeColor="text1"/>
                <w:sz w:val="20"/>
                <w:szCs w:val="20"/>
              </w:rPr>
            </w:pPr>
            <w:r w:rsidRPr="00A52AB8">
              <w:rPr>
                <w:rFonts w:eastAsia="Times New Roman"/>
                <w:b/>
                <w:color w:val="000000"/>
                <w:sz w:val="20"/>
                <w:szCs w:val="20"/>
              </w:rPr>
              <w:t>Reconstruction</w:t>
            </w:r>
            <w:r w:rsidRPr="00A52AB8">
              <w:rPr>
                <w:rFonts w:eastAsia="Times New Roman"/>
                <w:b/>
                <w:color w:val="000000"/>
                <w:sz w:val="20"/>
                <w:szCs w:val="20"/>
              </w:rPr>
              <w:br/>
              <w:t>profile component</w:t>
            </w:r>
          </w:p>
        </w:tc>
      </w:tr>
      <w:tr w:rsidR="004C4C00" w:rsidRPr="00A52AB8" w14:paraId="7F1ED128" w14:textId="71E2D722" w:rsidTr="004C4C00">
        <w:trPr>
          <w:trHeight w:val="90"/>
          <w:jc w:val="center"/>
        </w:trPr>
        <w:tc>
          <w:tcPr>
            <w:tcW w:w="3672" w:type="dxa"/>
            <w:hideMark/>
          </w:tcPr>
          <w:p w14:paraId="40D67A4E" w14:textId="2DCBFE40" w:rsidR="004C4C00" w:rsidRPr="00A52AB8" w:rsidRDefault="004C4C00">
            <w:pPr>
              <w:autoSpaceDE w:val="0"/>
              <w:autoSpaceDN w:val="0"/>
              <w:adjustRightInd w:val="0"/>
              <w:spacing w:after="0"/>
              <w:jc w:val="center"/>
              <w:rPr>
                <w:rFonts w:eastAsia="Times New Roman"/>
                <w:color w:val="000000"/>
                <w:sz w:val="20"/>
                <w:szCs w:val="20"/>
              </w:rPr>
            </w:pPr>
            <w:r w:rsidRPr="00A52AB8">
              <w:rPr>
                <w:rFonts w:eastAsia="Times New Roman"/>
                <w:color w:val="000000"/>
                <w:sz w:val="20"/>
                <w:szCs w:val="20"/>
              </w:rPr>
              <w:t>0</w:t>
            </w:r>
          </w:p>
        </w:tc>
        <w:tc>
          <w:tcPr>
            <w:tcW w:w="3488" w:type="dxa"/>
          </w:tcPr>
          <w:p w14:paraId="26642D90" w14:textId="1FE02832" w:rsidR="004C4C00" w:rsidRPr="00A52AB8" w:rsidRDefault="004C4C00" w:rsidP="004C4C00">
            <w:pPr>
              <w:autoSpaceDE w:val="0"/>
              <w:autoSpaceDN w:val="0"/>
              <w:adjustRightInd w:val="0"/>
              <w:spacing w:after="0"/>
              <w:jc w:val="center"/>
              <w:rPr>
                <w:rFonts w:eastAsia="Times New Roman"/>
                <w:color w:val="000000"/>
                <w:sz w:val="20"/>
                <w:szCs w:val="20"/>
              </w:rPr>
            </w:pPr>
            <w:r w:rsidRPr="00A52AB8">
              <w:rPr>
                <w:rFonts w:eastAsia="Times New Roman"/>
                <w:color w:val="000000"/>
                <w:sz w:val="20"/>
                <w:szCs w:val="20"/>
              </w:rPr>
              <w:t>Rec0</w:t>
            </w:r>
          </w:p>
        </w:tc>
      </w:tr>
      <w:tr w:rsidR="004C4C00" w:rsidRPr="00A52AB8" w14:paraId="1E12828C" w14:textId="6C34AAAD" w:rsidTr="004C4C00">
        <w:trPr>
          <w:trHeight w:val="90"/>
          <w:jc w:val="center"/>
        </w:trPr>
        <w:tc>
          <w:tcPr>
            <w:tcW w:w="3672" w:type="dxa"/>
            <w:hideMark/>
          </w:tcPr>
          <w:p w14:paraId="41C0D75B" w14:textId="0666C176" w:rsidR="004C4C00" w:rsidRPr="00A52AB8" w:rsidRDefault="004C4C00">
            <w:pPr>
              <w:autoSpaceDE w:val="0"/>
              <w:autoSpaceDN w:val="0"/>
              <w:adjustRightInd w:val="0"/>
              <w:spacing w:after="0"/>
              <w:jc w:val="center"/>
              <w:rPr>
                <w:rFonts w:eastAsia="Times New Roman"/>
                <w:color w:val="000000"/>
                <w:sz w:val="20"/>
                <w:szCs w:val="20"/>
              </w:rPr>
            </w:pPr>
            <w:r w:rsidRPr="00A52AB8">
              <w:rPr>
                <w:rFonts w:eastAsia="Times New Roman"/>
                <w:color w:val="000000"/>
                <w:sz w:val="20"/>
                <w:szCs w:val="20"/>
              </w:rPr>
              <w:t>1</w:t>
            </w:r>
          </w:p>
        </w:tc>
        <w:tc>
          <w:tcPr>
            <w:tcW w:w="3488" w:type="dxa"/>
          </w:tcPr>
          <w:p w14:paraId="3B84A5FC" w14:textId="442CCED0" w:rsidR="004C4C00" w:rsidRPr="00A52AB8" w:rsidRDefault="004C4C00" w:rsidP="004C4C00">
            <w:pPr>
              <w:autoSpaceDE w:val="0"/>
              <w:autoSpaceDN w:val="0"/>
              <w:adjustRightInd w:val="0"/>
              <w:spacing w:after="0"/>
              <w:jc w:val="center"/>
              <w:rPr>
                <w:rFonts w:eastAsia="Times New Roman"/>
                <w:color w:val="000000"/>
                <w:sz w:val="20"/>
                <w:szCs w:val="20"/>
              </w:rPr>
            </w:pPr>
            <w:r w:rsidRPr="00A52AB8">
              <w:rPr>
                <w:rFonts w:eastAsia="Times New Roman"/>
                <w:color w:val="000000"/>
                <w:sz w:val="20"/>
                <w:szCs w:val="20"/>
              </w:rPr>
              <w:t>Rec1</w:t>
            </w:r>
          </w:p>
        </w:tc>
      </w:tr>
      <w:tr w:rsidR="004C4C00" w:rsidRPr="00A52AB8" w14:paraId="41D2994E" w14:textId="6AE08731" w:rsidTr="004C4C00">
        <w:trPr>
          <w:trHeight w:val="90"/>
          <w:jc w:val="center"/>
        </w:trPr>
        <w:tc>
          <w:tcPr>
            <w:tcW w:w="3672" w:type="dxa"/>
          </w:tcPr>
          <w:p w14:paraId="3AC8BB9F" w14:textId="3BC5B5CC" w:rsidR="004C4C00" w:rsidRPr="00A52AB8" w:rsidRDefault="004C4C00">
            <w:pPr>
              <w:autoSpaceDE w:val="0"/>
              <w:autoSpaceDN w:val="0"/>
              <w:adjustRightInd w:val="0"/>
              <w:spacing w:after="0"/>
              <w:jc w:val="center"/>
              <w:rPr>
                <w:rFonts w:eastAsia="Times New Roman"/>
                <w:color w:val="000000"/>
                <w:sz w:val="20"/>
                <w:szCs w:val="20"/>
              </w:rPr>
            </w:pPr>
            <w:r w:rsidRPr="00A52AB8">
              <w:rPr>
                <w:rFonts w:eastAsia="Times New Roman"/>
                <w:color w:val="000000"/>
                <w:sz w:val="20"/>
                <w:szCs w:val="20"/>
              </w:rPr>
              <w:t>2</w:t>
            </w:r>
          </w:p>
        </w:tc>
        <w:tc>
          <w:tcPr>
            <w:tcW w:w="3488" w:type="dxa"/>
          </w:tcPr>
          <w:p w14:paraId="42AF4A0D" w14:textId="3FD0E458" w:rsidR="004C4C00" w:rsidRPr="00A52AB8" w:rsidRDefault="004C4C00" w:rsidP="004C4C00">
            <w:pPr>
              <w:autoSpaceDE w:val="0"/>
              <w:autoSpaceDN w:val="0"/>
              <w:adjustRightInd w:val="0"/>
              <w:spacing w:after="0"/>
              <w:jc w:val="center"/>
              <w:rPr>
                <w:rFonts w:eastAsia="Times New Roman"/>
                <w:color w:val="000000"/>
                <w:sz w:val="20"/>
                <w:szCs w:val="20"/>
              </w:rPr>
            </w:pPr>
            <w:r w:rsidRPr="00A52AB8">
              <w:rPr>
                <w:rFonts w:eastAsia="Times New Roman"/>
                <w:color w:val="000000"/>
                <w:sz w:val="20"/>
                <w:szCs w:val="20"/>
              </w:rPr>
              <w:t>Rec2</w:t>
            </w:r>
          </w:p>
        </w:tc>
      </w:tr>
      <w:tr w:rsidR="004C4C00" w:rsidRPr="00A52AB8" w14:paraId="680676D7" w14:textId="77777777" w:rsidTr="004C4C00">
        <w:trPr>
          <w:trHeight w:val="90"/>
          <w:jc w:val="center"/>
        </w:trPr>
        <w:tc>
          <w:tcPr>
            <w:tcW w:w="3672" w:type="dxa"/>
          </w:tcPr>
          <w:p w14:paraId="3F31B8B0" w14:textId="17E995EE" w:rsidR="004C4C00" w:rsidRPr="00A52AB8" w:rsidRDefault="004C4C00" w:rsidP="004C4C00">
            <w:pPr>
              <w:autoSpaceDE w:val="0"/>
              <w:autoSpaceDN w:val="0"/>
              <w:adjustRightInd w:val="0"/>
              <w:spacing w:after="0"/>
              <w:jc w:val="center"/>
              <w:rPr>
                <w:rFonts w:eastAsia="Times New Roman"/>
                <w:color w:val="000000"/>
                <w:sz w:val="20"/>
                <w:szCs w:val="20"/>
              </w:rPr>
            </w:pPr>
            <w:r w:rsidRPr="00A52AB8">
              <w:rPr>
                <w:rFonts w:eastAsia="Times New Roman"/>
                <w:color w:val="000000"/>
                <w:sz w:val="20"/>
                <w:szCs w:val="20"/>
              </w:rPr>
              <w:t>3..254</w:t>
            </w:r>
          </w:p>
        </w:tc>
        <w:tc>
          <w:tcPr>
            <w:tcW w:w="3488" w:type="dxa"/>
          </w:tcPr>
          <w:p w14:paraId="718720E9" w14:textId="7AF4E7DD" w:rsidR="004C4C00" w:rsidRPr="00A52AB8" w:rsidRDefault="004C4C00" w:rsidP="004C4C00">
            <w:pPr>
              <w:autoSpaceDE w:val="0"/>
              <w:autoSpaceDN w:val="0"/>
              <w:adjustRightInd w:val="0"/>
              <w:spacing w:after="0"/>
              <w:jc w:val="center"/>
              <w:rPr>
                <w:rFonts w:eastAsia="Times New Roman"/>
                <w:color w:val="000000"/>
                <w:sz w:val="20"/>
                <w:szCs w:val="20"/>
              </w:rPr>
            </w:pPr>
            <w:r w:rsidRPr="00A52AB8">
              <w:rPr>
                <w:rFonts w:eastAsia="Times New Roman"/>
                <w:color w:val="000000"/>
                <w:sz w:val="20"/>
                <w:szCs w:val="20"/>
              </w:rPr>
              <w:t>Reserved</w:t>
            </w:r>
          </w:p>
        </w:tc>
      </w:tr>
      <w:tr w:rsidR="004C4C00" w:rsidRPr="00A52AB8" w14:paraId="6372D1AF" w14:textId="59B8BA40" w:rsidTr="004C4C00">
        <w:trPr>
          <w:trHeight w:val="90"/>
          <w:jc w:val="center"/>
        </w:trPr>
        <w:tc>
          <w:tcPr>
            <w:tcW w:w="3672" w:type="dxa"/>
          </w:tcPr>
          <w:p w14:paraId="669B0099" w14:textId="4A58135A" w:rsidR="004C4C00" w:rsidRPr="00A52AB8" w:rsidRDefault="004C4C00" w:rsidP="004C4C00">
            <w:pPr>
              <w:autoSpaceDE w:val="0"/>
              <w:autoSpaceDN w:val="0"/>
              <w:adjustRightInd w:val="0"/>
              <w:spacing w:after="0"/>
              <w:jc w:val="center"/>
              <w:rPr>
                <w:rFonts w:eastAsia="Times New Roman"/>
                <w:color w:val="000000"/>
                <w:sz w:val="20"/>
                <w:szCs w:val="20"/>
              </w:rPr>
            </w:pPr>
            <w:r w:rsidRPr="00A52AB8">
              <w:rPr>
                <w:rFonts w:eastAsia="Times New Roman"/>
                <w:color w:val="000000"/>
                <w:sz w:val="20"/>
                <w:szCs w:val="20"/>
              </w:rPr>
              <w:t>255</w:t>
            </w:r>
          </w:p>
        </w:tc>
        <w:tc>
          <w:tcPr>
            <w:tcW w:w="3488" w:type="dxa"/>
          </w:tcPr>
          <w:p w14:paraId="1ECE07D0" w14:textId="186FB026" w:rsidR="004C4C00" w:rsidRPr="00A52AB8" w:rsidRDefault="004C4C00" w:rsidP="004C4C00">
            <w:pPr>
              <w:autoSpaceDE w:val="0"/>
              <w:autoSpaceDN w:val="0"/>
              <w:adjustRightInd w:val="0"/>
              <w:spacing w:after="0"/>
              <w:jc w:val="center"/>
              <w:rPr>
                <w:rFonts w:eastAsia="Times New Roman"/>
                <w:color w:val="000000"/>
                <w:sz w:val="20"/>
                <w:szCs w:val="20"/>
              </w:rPr>
            </w:pPr>
            <w:r w:rsidRPr="00A52AB8">
              <w:rPr>
                <w:rFonts w:eastAsia="Times New Roman"/>
                <w:color w:val="000000"/>
                <w:sz w:val="20"/>
                <w:szCs w:val="20"/>
              </w:rPr>
              <w:t>Rec Unconstrained</w:t>
            </w:r>
          </w:p>
        </w:tc>
      </w:tr>
    </w:tbl>
    <w:p w14:paraId="39A3D57E" w14:textId="77777777" w:rsidR="00C40081" w:rsidRPr="00A52AB8" w:rsidRDefault="00C40081" w:rsidP="000C73CA"/>
    <w:p w14:paraId="1EA90537" w14:textId="17C4CFF8" w:rsidR="000C73CA" w:rsidRPr="00A52AB8" w:rsidRDefault="000C73CA" w:rsidP="000C73CA">
      <w:pPr>
        <w:jc w:val="center"/>
        <w:rPr>
          <w:rStyle w:val="CaptionChar1"/>
          <w:lang w:val="en-CA"/>
        </w:rPr>
      </w:pPr>
      <w:bookmarkStart w:id="7269" w:name="_Ref41390825"/>
      <w:r w:rsidRPr="00A52AB8">
        <w:rPr>
          <w:rStyle w:val="CaptionChar1"/>
          <w:lang w:val="en-CA"/>
        </w:rPr>
        <w:t>Table </w:t>
      </w:r>
      <w:r w:rsidR="00C333F4" w:rsidRPr="00A52AB8">
        <w:rPr>
          <w:rStyle w:val="CaptionChar1"/>
          <w:lang w:val="en-CA"/>
        </w:rPr>
        <w:t>H</w:t>
      </w:r>
      <w:r w:rsidRPr="00A52AB8">
        <w:rPr>
          <w:rStyle w:val="CaptionChar1"/>
          <w:lang w:val="en-CA"/>
        </w:rPr>
        <w:t>-</w:t>
      </w:r>
      <w:r w:rsidRPr="00496A4D">
        <w:rPr>
          <w:rStyle w:val="CaptionChar1"/>
          <w:lang w:val="en-CA"/>
        </w:rPr>
        <w:fldChar w:fldCharType="begin"/>
      </w:r>
      <w:r w:rsidRPr="00A52AB8">
        <w:rPr>
          <w:rStyle w:val="CaptionChar1"/>
          <w:lang w:val="en-CA"/>
        </w:rPr>
        <w:instrText xml:space="preserve"> SEQ Table \* ARABIC \s 1 </w:instrText>
      </w:r>
      <w:r w:rsidRPr="00496A4D">
        <w:rPr>
          <w:rStyle w:val="CaptionChar1"/>
          <w:lang w:val="en-CA"/>
        </w:rPr>
        <w:fldChar w:fldCharType="separate"/>
      </w:r>
      <w:r w:rsidR="00507A67">
        <w:rPr>
          <w:rStyle w:val="CaptionChar1"/>
          <w:noProof/>
          <w:lang w:val="en-CA"/>
        </w:rPr>
        <w:t>5</w:t>
      </w:r>
      <w:r w:rsidRPr="00496A4D">
        <w:rPr>
          <w:rStyle w:val="CaptionChar1"/>
          <w:lang w:val="en-CA"/>
        </w:rPr>
        <w:fldChar w:fldCharType="end"/>
      </w:r>
      <w:bookmarkEnd w:id="7269"/>
      <w:r w:rsidR="00B00E27" w:rsidRPr="00A52AB8">
        <w:rPr>
          <w:rStyle w:val="CaptionChar1"/>
          <w:lang w:val="en-CA"/>
        </w:rPr>
        <w:t> – </w:t>
      </w:r>
      <w:r w:rsidRPr="00A52AB8">
        <w:rPr>
          <w:rStyle w:val="CaptionChar1"/>
          <w:lang w:val="en-CA"/>
        </w:rPr>
        <w:t>Supported reconstruction operations for each reconstruction profile component</w:t>
      </w:r>
    </w:p>
    <w:tbl>
      <w:tblPr>
        <w:tblStyle w:val="TableGrid"/>
        <w:tblW w:w="0" w:type="auto"/>
        <w:tblLayout w:type="fixed"/>
        <w:tblLook w:val="04A0" w:firstRow="1" w:lastRow="0" w:firstColumn="1" w:lastColumn="0" w:noHBand="0" w:noVBand="1"/>
      </w:tblPr>
      <w:tblGrid>
        <w:gridCol w:w="1922"/>
        <w:gridCol w:w="1759"/>
        <w:gridCol w:w="2410"/>
        <w:gridCol w:w="1984"/>
        <w:gridCol w:w="1667"/>
      </w:tblGrid>
      <w:tr w:rsidR="00BD70A5" w:rsidRPr="00A52AB8" w14:paraId="055014A9" w14:textId="77777777" w:rsidTr="003819BE">
        <w:trPr>
          <w:trHeight w:val="315"/>
        </w:trPr>
        <w:tc>
          <w:tcPr>
            <w:tcW w:w="1922" w:type="dxa"/>
            <w:vAlign w:val="center"/>
            <w:hideMark/>
          </w:tcPr>
          <w:p w14:paraId="5539E49F" w14:textId="77777777" w:rsidR="00033C7E" w:rsidRPr="00A52AB8" w:rsidRDefault="00033C7E" w:rsidP="001B0754">
            <w:pPr>
              <w:tabs>
                <w:tab w:val="clear" w:pos="403"/>
              </w:tabs>
              <w:spacing w:after="0" w:line="240" w:lineRule="auto"/>
              <w:jc w:val="center"/>
              <w:rPr>
                <w:rFonts w:eastAsia="Times New Roman" w:cs="Calibri"/>
                <w:b/>
                <w:bCs/>
                <w:sz w:val="20"/>
                <w:szCs w:val="24"/>
                <w:lang w:eastAsia="en-GB"/>
              </w:rPr>
            </w:pPr>
            <w:r w:rsidRPr="00A52AB8">
              <w:rPr>
                <w:rFonts w:eastAsia="Times New Roman" w:cs="Calibri"/>
                <w:b/>
                <w:bCs/>
                <w:sz w:val="20"/>
                <w:szCs w:val="24"/>
                <w:lang w:eastAsia="en-GB"/>
              </w:rPr>
              <w:t>Reconstruction Operation</w:t>
            </w:r>
          </w:p>
        </w:tc>
        <w:tc>
          <w:tcPr>
            <w:tcW w:w="1759" w:type="dxa"/>
            <w:vAlign w:val="center"/>
            <w:hideMark/>
          </w:tcPr>
          <w:p w14:paraId="29049934" w14:textId="68905E0D" w:rsidR="00033C7E" w:rsidRPr="00A52AB8" w:rsidRDefault="00033C7E" w:rsidP="001B0754">
            <w:pPr>
              <w:tabs>
                <w:tab w:val="clear" w:pos="403"/>
              </w:tabs>
              <w:spacing w:after="0" w:line="240" w:lineRule="auto"/>
              <w:jc w:val="center"/>
              <w:rPr>
                <w:rFonts w:eastAsia="Times New Roman" w:cs="Calibri"/>
                <w:b/>
                <w:bCs/>
                <w:sz w:val="20"/>
                <w:szCs w:val="24"/>
                <w:lang w:eastAsia="en-GB"/>
              </w:rPr>
            </w:pPr>
            <w:r w:rsidRPr="00A52AB8">
              <w:rPr>
                <w:rFonts w:eastAsia="Times New Roman" w:cs="Calibri"/>
                <w:b/>
                <w:bCs/>
                <w:sz w:val="20"/>
                <w:szCs w:val="24"/>
                <w:lang w:eastAsia="en-GB"/>
              </w:rPr>
              <w:t>Rec0</w:t>
            </w:r>
          </w:p>
        </w:tc>
        <w:tc>
          <w:tcPr>
            <w:tcW w:w="2410" w:type="dxa"/>
            <w:vAlign w:val="center"/>
            <w:hideMark/>
          </w:tcPr>
          <w:p w14:paraId="307639E1" w14:textId="05750659" w:rsidR="00033C7E" w:rsidRPr="00A52AB8" w:rsidRDefault="00033C7E" w:rsidP="001B0754">
            <w:pPr>
              <w:tabs>
                <w:tab w:val="clear" w:pos="403"/>
              </w:tabs>
              <w:spacing w:after="0" w:line="240" w:lineRule="auto"/>
              <w:jc w:val="center"/>
              <w:rPr>
                <w:rFonts w:eastAsia="Times New Roman" w:cs="Calibri"/>
                <w:b/>
                <w:bCs/>
                <w:sz w:val="20"/>
                <w:szCs w:val="24"/>
                <w:lang w:eastAsia="en-GB"/>
              </w:rPr>
            </w:pPr>
            <w:r w:rsidRPr="00A52AB8">
              <w:rPr>
                <w:rFonts w:eastAsia="Times New Roman" w:cs="Calibri"/>
                <w:b/>
                <w:bCs/>
                <w:sz w:val="20"/>
                <w:szCs w:val="24"/>
                <w:lang w:eastAsia="en-GB"/>
              </w:rPr>
              <w:t xml:space="preserve">Rec1 </w:t>
            </w:r>
          </w:p>
        </w:tc>
        <w:tc>
          <w:tcPr>
            <w:tcW w:w="1984" w:type="dxa"/>
            <w:vAlign w:val="center"/>
          </w:tcPr>
          <w:p w14:paraId="42974C59" w14:textId="75812DD7" w:rsidR="00033C7E" w:rsidRPr="00A52AB8" w:rsidRDefault="00033C7E" w:rsidP="002A3E09">
            <w:pPr>
              <w:tabs>
                <w:tab w:val="clear" w:pos="403"/>
              </w:tabs>
              <w:spacing w:after="0" w:line="240" w:lineRule="auto"/>
              <w:jc w:val="center"/>
              <w:rPr>
                <w:rFonts w:eastAsia="Times New Roman" w:cs="Calibri"/>
                <w:b/>
                <w:bCs/>
                <w:sz w:val="20"/>
                <w:szCs w:val="24"/>
                <w:lang w:eastAsia="en-GB"/>
              </w:rPr>
            </w:pPr>
            <w:r w:rsidRPr="00A52AB8">
              <w:rPr>
                <w:rFonts w:eastAsia="Times New Roman" w:cs="Calibri"/>
                <w:b/>
                <w:bCs/>
                <w:sz w:val="20"/>
                <w:szCs w:val="24"/>
                <w:lang w:eastAsia="en-GB"/>
              </w:rPr>
              <w:t>Rec2</w:t>
            </w:r>
          </w:p>
        </w:tc>
        <w:tc>
          <w:tcPr>
            <w:tcW w:w="1667" w:type="dxa"/>
            <w:vAlign w:val="center"/>
            <w:hideMark/>
          </w:tcPr>
          <w:p w14:paraId="4158C37B" w14:textId="77C88311" w:rsidR="00033C7E" w:rsidRPr="00A52AB8" w:rsidRDefault="00033C7E" w:rsidP="001B0754">
            <w:pPr>
              <w:tabs>
                <w:tab w:val="clear" w:pos="403"/>
              </w:tabs>
              <w:spacing w:after="0" w:line="240" w:lineRule="auto"/>
              <w:jc w:val="center"/>
              <w:rPr>
                <w:rFonts w:eastAsia="Times New Roman" w:cs="Calibri"/>
                <w:b/>
                <w:bCs/>
                <w:sz w:val="20"/>
                <w:szCs w:val="24"/>
                <w:lang w:eastAsia="en-GB"/>
              </w:rPr>
            </w:pPr>
            <w:r w:rsidRPr="00A52AB8">
              <w:rPr>
                <w:rFonts w:eastAsia="Times New Roman" w:cs="Calibri"/>
                <w:b/>
                <w:bCs/>
                <w:sz w:val="20"/>
                <w:szCs w:val="24"/>
                <w:lang w:eastAsia="en-GB"/>
              </w:rPr>
              <w:t>Rec Unconstrained</w:t>
            </w:r>
          </w:p>
        </w:tc>
      </w:tr>
      <w:tr w:rsidR="00BD70A5" w:rsidRPr="00A52AB8" w14:paraId="3C25E5AD" w14:textId="77777777" w:rsidTr="003819BE">
        <w:trPr>
          <w:trHeight w:val="315"/>
        </w:trPr>
        <w:tc>
          <w:tcPr>
            <w:tcW w:w="1922" w:type="dxa"/>
            <w:noWrap/>
            <w:vAlign w:val="center"/>
            <w:hideMark/>
          </w:tcPr>
          <w:p w14:paraId="6C355C1A" w14:textId="77777777" w:rsidR="00033C7E" w:rsidRPr="00A52AB8" w:rsidRDefault="00033C7E" w:rsidP="001B0754">
            <w:pPr>
              <w:tabs>
                <w:tab w:val="clear" w:pos="403"/>
              </w:tabs>
              <w:spacing w:after="0" w:line="240" w:lineRule="auto"/>
              <w:jc w:val="center"/>
              <w:rPr>
                <w:rFonts w:eastAsia="Times New Roman" w:cs="Calibri"/>
                <w:bCs/>
                <w:sz w:val="20"/>
                <w:szCs w:val="24"/>
                <w:lang w:eastAsia="en-GB"/>
              </w:rPr>
            </w:pPr>
            <w:r w:rsidRPr="00A52AB8">
              <w:rPr>
                <w:rFonts w:eastAsia="Times New Roman" w:cs="Calibri"/>
                <w:bCs/>
                <w:sz w:val="20"/>
                <w:szCs w:val="24"/>
                <w:lang w:eastAsia="en-GB"/>
              </w:rPr>
              <w:t>chroma format conversion</w:t>
            </w:r>
          </w:p>
        </w:tc>
        <w:tc>
          <w:tcPr>
            <w:tcW w:w="1759" w:type="dxa"/>
            <w:vAlign w:val="center"/>
          </w:tcPr>
          <w:p w14:paraId="561B40F0" w14:textId="1FDF339E" w:rsidR="00033C7E" w:rsidRPr="00A52AB8" w:rsidRDefault="00033C7E" w:rsidP="001B0754">
            <w:pPr>
              <w:tabs>
                <w:tab w:val="clear" w:pos="403"/>
              </w:tabs>
              <w:spacing w:after="0" w:line="240" w:lineRule="auto"/>
              <w:jc w:val="center"/>
              <w:rPr>
                <w:rFonts w:eastAsia="Times New Roman" w:cs="Calibri"/>
                <w:sz w:val="20"/>
                <w:szCs w:val="24"/>
                <w:lang w:eastAsia="en-GB"/>
              </w:rPr>
            </w:pPr>
            <w:r w:rsidRPr="00A52AB8">
              <w:rPr>
                <w:rFonts w:eastAsia="Times New Roman" w:cs="Calibri"/>
                <w:sz w:val="20"/>
                <w:szCs w:val="24"/>
                <w:lang w:eastAsia="en-GB"/>
              </w:rPr>
              <w:t>see subclause</w:t>
            </w:r>
            <w:r w:rsidR="00BD70A5" w:rsidRPr="00A52AB8">
              <w:rPr>
                <w:rFonts w:eastAsia="Times New Roman" w:cs="Calibri"/>
                <w:sz w:val="20"/>
                <w:szCs w:val="24"/>
                <w:lang w:eastAsia="en-GB"/>
              </w:rPr>
              <w:br/>
            </w:r>
            <w:r w:rsidRPr="00496A4D">
              <w:rPr>
                <w:rFonts w:eastAsia="Times New Roman" w:cs="Calibri"/>
                <w:sz w:val="20"/>
                <w:szCs w:val="24"/>
                <w:lang w:eastAsia="en-GB"/>
              </w:rPr>
              <w:fldChar w:fldCharType="begin"/>
            </w:r>
            <w:r w:rsidRPr="00A52AB8">
              <w:rPr>
                <w:rFonts w:eastAsia="Times New Roman" w:cs="Calibri"/>
                <w:sz w:val="20"/>
                <w:szCs w:val="24"/>
                <w:lang w:eastAsia="en-GB"/>
              </w:rPr>
              <w:instrText xml:space="preserve"> REF _Ref38889995 \n \h </w:instrText>
            </w:r>
            <w:r w:rsidR="00FB7832" w:rsidRPr="00A52AB8">
              <w:rPr>
                <w:rFonts w:eastAsia="Times New Roman" w:cs="Calibri"/>
                <w:sz w:val="20"/>
                <w:szCs w:val="24"/>
                <w:lang w:eastAsia="en-GB"/>
              </w:rPr>
              <w:instrText xml:space="preserve"> \* MERGEFORMAT </w:instrText>
            </w:r>
            <w:r w:rsidRPr="00496A4D">
              <w:rPr>
                <w:rFonts w:eastAsia="Times New Roman" w:cs="Calibri"/>
                <w:sz w:val="20"/>
                <w:szCs w:val="24"/>
                <w:lang w:eastAsia="en-GB"/>
              </w:rPr>
            </w:r>
            <w:r w:rsidRPr="00496A4D">
              <w:rPr>
                <w:rFonts w:eastAsia="Times New Roman" w:cs="Calibri"/>
                <w:sz w:val="20"/>
                <w:szCs w:val="24"/>
                <w:lang w:eastAsia="en-GB"/>
              </w:rPr>
              <w:fldChar w:fldCharType="separate"/>
            </w:r>
            <w:r w:rsidR="00507A67">
              <w:rPr>
                <w:rFonts w:eastAsia="Times New Roman" w:cs="Calibri"/>
                <w:sz w:val="20"/>
                <w:szCs w:val="24"/>
                <w:lang w:eastAsia="en-GB"/>
              </w:rPr>
              <w:t>B.3.5</w:t>
            </w:r>
            <w:r w:rsidRPr="00496A4D">
              <w:rPr>
                <w:rFonts w:eastAsia="Times New Roman" w:cs="Calibri"/>
                <w:sz w:val="20"/>
                <w:szCs w:val="24"/>
                <w:lang w:eastAsia="en-GB"/>
              </w:rPr>
              <w:fldChar w:fldCharType="end"/>
            </w:r>
          </w:p>
        </w:tc>
        <w:tc>
          <w:tcPr>
            <w:tcW w:w="2410" w:type="dxa"/>
            <w:vAlign w:val="center"/>
          </w:tcPr>
          <w:p w14:paraId="6E971BD0" w14:textId="3E343861" w:rsidR="00033C7E" w:rsidRPr="00A52AB8" w:rsidRDefault="00033C7E" w:rsidP="001B0754">
            <w:pPr>
              <w:tabs>
                <w:tab w:val="clear" w:pos="403"/>
              </w:tabs>
              <w:spacing w:after="0" w:line="240" w:lineRule="auto"/>
              <w:jc w:val="center"/>
              <w:rPr>
                <w:rFonts w:eastAsia="Times New Roman" w:cs="Calibri"/>
                <w:sz w:val="20"/>
                <w:szCs w:val="24"/>
                <w:lang w:eastAsia="en-GB"/>
              </w:rPr>
            </w:pPr>
            <w:r w:rsidRPr="00A52AB8">
              <w:rPr>
                <w:rFonts w:eastAsia="Times New Roman" w:cs="Calibri"/>
                <w:sz w:val="20"/>
                <w:szCs w:val="24"/>
                <w:lang w:eastAsia="en-GB"/>
              </w:rPr>
              <w:t>see subclause</w:t>
            </w:r>
            <w:r w:rsidR="00BD70A5" w:rsidRPr="00A52AB8">
              <w:rPr>
                <w:rFonts w:eastAsia="Times New Roman" w:cs="Calibri"/>
                <w:sz w:val="20"/>
                <w:szCs w:val="24"/>
                <w:lang w:eastAsia="en-GB"/>
              </w:rPr>
              <w:br/>
            </w:r>
            <w:r w:rsidRPr="00496A4D">
              <w:rPr>
                <w:rFonts w:eastAsia="Times New Roman" w:cs="Calibri"/>
                <w:sz w:val="20"/>
                <w:szCs w:val="24"/>
                <w:lang w:eastAsia="en-GB"/>
              </w:rPr>
              <w:fldChar w:fldCharType="begin"/>
            </w:r>
            <w:r w:rsidRPr="00A52AB8">
              <w:rPr>
                <w:rFonts w:eastAsia="Times New Roman" w:cs="Calibri"/>
                <w:sz w:val="20"/>
                <w:szCs w:val="24"/>
                <w:lang w:eastAsia="en-GB"/>
              </w:rPr>
              <w:instrText xml:space="preserve"> REF _Ref38889995 \n \h </w:instrText>
            </w:r>
            <w:r w:rsidR="00FB7832" w:rsidRPr="00A52AB8">
              <w:rPr>
                <w:rFonts w:eastAsia="Times New Roman" w:cs="Calibri"/>
                <w:sz w:val="20"/>
                <w:szCs w:val="24"/>
                <w:lang w:eastAsia="en-GB"/>
              </w:rPr>
              <w:instrText xml:space="preserve"> \* MERGEFORMAT </w:instrText>
            </w:r>
            <w:r w:rsidRPr="00496A4D">
              <w:rPr>
                <w:rFonts w:eastAsia="Times New Roman" w:cs="Calibri"/>
                <w:sz w:val="20"/>
                <w:szCs w:val="24"/>
                <w:lang w:eastAsia="en-GB"/>
              </w:rPr>
            </w:r>
            <w:r w:rsidRPr="00496A4D">
              <w:rPr>
                <w:rFonts w:eastAsia="Times New Roman" w:cs="Calibri"/>
                <w:sz w:val="20"/>
                <w:szCs w:val="24"/>
                <w:lang w:eastAsia="en-GB"/>
              </w:rPr>
              <w:fldChar w:fldCharType="separate"/>
            </w:r>
            <w:r w:rsidR="00507A67">
              <w:rPr>
                <w:rFonts w:eastAsia="Times New Roman" w:cs="Calibri"/>
                <w:sz w:val="20"/>
                <w:szCs w:val="24"/>
                <w:lang w:eastAsia="en-GB"/>
              </w:rPr>
              <w:t>B.3.5</w:t>
            </w:r>
            <w:r w:rsidRPr="00496A4D">
              <w:rPr>
                <w:rFonts w:eastAsia="Times New Roman" w:cs="Calibri"/>
                <w:sz w:val="20"/>
                <w:szCs w:val="24"/>
                <w:lang w:eastAsia="en-GB"/>
              </w:rPr>
              <w:fldChar w:fldCharType="end"/>
            </w:r>
          </w:p>
        </w:tc>
        <w:tc>
          <w:tcPr>
            <w:tcW w:w="1984" w:type="dxa"/>
            <w:vAlign w:val="center"/>
          </w:tcPr>
          <w:p w14:paraId="3612F898" w14:textId="2DA5C720" w:rsidR="00033C7E" w:rsidRPr="00A52AB8" w:rsidRDefault="00FD4E96" w:rsidP="002A3E09">
            <w:pPr>
              <w:tabs>
                <w:tab w:val="clear" w:pos="403"/>
              </w:tabs>
              <w:spacing w:after="0" w:line="240" w:lineRule="auto"/>
              <w:jc w:val="center"/>
              <w:rPr>
                <w:rFonts w:eastAsia="Times New Roman" w:cs="Calibri"/>
                <w:sz w:val="20"/>
                <w:szCs w:val="24"/>
                <w:lang w:eastAsia="en-GB"/>
              </w:rPr>
            </w:pPr>
            <w:r w:rsidRPr="00A52AB8">
              <w:rPr>
                <w:rFonts w:eastAsia="Times New Roman" w:cs="Calibri"/>
                <w:sz w:val="20"/>
                <w:szCs w:val="24"/>
                <w:lang w:eastAsia="en-GB"/>
              </w:rPr>
              <w:t xml:space="preserve">see subclause </w:t>
            </w:r>
            <w:r w:rsidRPr="00496A4D">
              <w:rPr>
                <w:rFonts w:eastAsia="Times New Roman" w:cs="Calibri"/>
                <w:sz w:val="20"/>
                <w:szCs w:val="24"/>
                <w:lang w:eastAsia="en-GB"/>
              </w:rPr>
              <w:fldChar w:fldCharType="begin"/>
            </w:r>
            <w:r w:rsidRPr="00A52AB8">
              <w:rPr>
                <w:rFonts w:eastAsia="Times New Roman" w:cs="Calibri"/>
                <w:sz w:val="20"/>
                <w:szCs w:val="24"/>
                <w:lang w:eastAsia="en-GB"/>
              </w:rPr>
              <w:instrText xml:space="preserve"> REF _Ref38889995 \n \h  \* MERGEFORMAT </w:instrText>
            </w:r>
            <w:r w:rsidRPr="00496A4D">
              <w:rPr>
                <w:rFonts w:eastAsia="Times New Roman" w:cs="Calibri"/>
                <w:sz w:val="20"/>
                <w:szCs w:val="24"/>
                <w:lang w:eastAsia="en-GB"/>
              </w:rPr>
            </w:r>
            <w:r w:rsidRPr="00496A4D">
              <w:rPr>
                <w:rFonts w:eastAsia="Times New Roman" w:cs="Calibri"/>
                <w:sz w:val="20"/>
                <w:szCs w:val="24"/>
                <w:lang w:eastAsia="en-GB"/>
              </w:rPr>
              <w:fldChar w:fldCharType="separate"/>
            </w:r>
            <w:r w:rsidR="00507A67">
              <w:rPr>
                <w:rFonts w:eastAsia="Times New Roman" w:cs="Calibri"/>
                <w:sz w:val="20"/>
                <w:szCs w:val="24"/>
                <w:lang w:eastAsia="en-GB"/>
              </w:rPr>
              <w:t>B.3.5</w:t>
            </w:r>
            <w:r w:rsidRPr="00496A4D">
              <w:rPr>
                <w:rFonts w:eastAsia="Times New Roman" w:cs="Calibri"/>
                <w:sz w:val="20"/>
                <w:szCs w:val="24"/>
                <w:lang w:eastAsia="en-GB"/>
              </w:rPr>
              <w:fldChar w:fldCharType="end"/>
            </w:r>
          </w:p>
        </w:tc>
        <w:tc>
          <w:tcPr>
            <w:tcW w:w="1667" w:type="dxa"/>
            <w:vAlign w:val="center"/>
          </w:tcPr>
          <w:p w14:paraId="10D7A6C7" w14:textId="77777777" w:rsidR="00033C7E" w:rsidRPr="00A52AB8" w:rsidRDefault="00033C7E" w:rsidP="001B0754">
            <w:pPr>
              <w:tabs>
                <w:tab w:val="clear" w:pos="403"/>
              </w:tabs>
              <w:spacing w:after="0" w:line="240" w:lineRule="auto"/>
              <w:jc w:val="center"/>
              <w:rPr>
                <w:rFonts w:eastAsia="Times New Roman" w:cs="Calibri"/>
                <w:sz w:val="20"/>
                <w:szCs w:val="24"/>
                <w:lang w:eastAsia="en-GB"/>
              </w:rPr>
            </w:pPr>
          </w:p>
        </w:tc>
      </w:tr>
      <w:tr w:rsidR="00BD70A5" w:rsidRPr="00A52AB8" w14:paraId="3152EB37" w14:textId="77777777" w:rsidTr="003819BE">
        <w:trPr>
          <w:trHeight w:val="315"/>
        </w:trPr>
        <w:tc>
          <w:tcPr>
            <w:tcW w:w="1922" w:type="dxa"/>
            <w:noWrap/>
            <w:vAlign w:val="center"/>
          </w:tcPr>
          <w:p w14:paraId="14E8FF55" w14:textId="77777777" w:rsidR="00033C7E" w:rsidRPr="00A52AB8" w:rsidDel="0015132E" w:rsidRDefault="00033C7E" w:rsidP="001B0754">
            <w:pPr>
              <w:tabs>
                <w:tab w:val="clear" w:pos="403"/>
              </w:tabs>
              <w:spacing w:after="0" w:line="240" w:lineRule="auto"/>
              <w:jc w:val="center"/>
              <w:rPr>
                <w:rFonts w:eastAsia="Times New Roman" w:cs="Calibri"/>
                <w:bCs/>
                <w:sz w:val="20"/>
                <w:szCs w:val="24"/>
                <w:lang w:eastAsia="en-GB"/>
              </w:rPr>
            </w:pPr>
            <w:r w:rsidRPr="00A52AB8">
              <w:rPr>
                <w:rFonts w:eastAsia="Times New Roman" w:cs="Calibri"/>
                <w:bCs/>
                <w:sz w:val="20"/>
                <w:szCs w:val="24"/>
                <w:lang w:eastAsia="en-GB"/>
              </w:rPr>
              <w:t>resolution upsampling</w:t>
            </w:r>
          </w:p>
        </w:tc>
        <w:tc>
          <w:tcPr>
            <w:tcW w:w="1759" w:type="dxa"/>
            <w:vAlign w:val="center"/>
          </w:tcPr>
          <w:p w14:paraId="49981F6B" w14:textId="4073756C" w:rsidR="00033C7E" w:rsidRPr="00A52AB8" w:rsidDel="0015132E" w:rsidRDefault="00033C7E" w:rsidP="001B0754">
            <w:pPr>
              <w:tabs>
                <w:tab w:val="clear" w:pos="403"/>
              </w:tabs>
              <w:spacing w:after="0" w:line="240" w:lineRule="auto"/>
              <w:jc w:val="center"/>
              <w:rPr>
                <w:rFonts w:eastAsia="Times New Roman" w:cs="Calibri"/>
                <w:sz w:val="20"/>
                <w:szCs w:val="24"/>
                <w:lang w:eastAsia="en-GB"/>
              </w:rPr>
            </w:pPr>
            <w:r w:rsidRPr="00A52AB8">
              <w:rPr>
                <w:rFonts w:eastAsia="Times New Roman" w:cs="Calibri"/>
                <w:sz w:val="20"/>
                <w:szCs w:val="24"/>
                <w:lang w:eastAsia="en-GB"/>
              </w:rPr>
              <w:t>see subclause</w:t>
            </w:r>
            <w:r w:rsidR="00BD70A5" w:rsidRPr="00A52AB8">
              <w:rPr>
                <w:rFonts w:eastAsia="Times New Roman" w:cs="Calibri"/>
                <w:sz w:val="20"/>
                <w:szCs w:val="24"/>
                <w:lang w:eastAsia="en-GB"/>
              </w:rPr>
              <w:br/>
            </w:r>
            <w:r w:rsidRPr="00496A4D">
              <w:rPr>
                <w:rFonts w:eastAsia="Times New Roman" w:cs="Calibri"/>
                <w:sz w:val="20"/>
                <w:szCs w:val="24"/>
                <w:lang w:eastAsia="en-GB"/>
              </w:rPr>
              <w:fldChar w:fldCharType="begin"/>
            </w:r>
            <w:r w:rsidRPr="00A52AB8">
              <w:rPr>
                <w:rFonts w:eastAsia="Times New Roman" w:cs="Calibri"/>
                <w:sz w:val="20"/>
                <w:szCs w:val="24"/>
                <w:lang w:eastAsia="en-GB"/>
              </w:rPr>
              <w:instrText xml:space="preserve"> REF _Ref38889942 \n \h </w:instrText>
            </w:r>
            <w:r w:rsidR="00FB7832" w:rsidRPr="00A52AB8">
              <w:rPr>
                <w:rFonts w:eastAsia="Times New Roman" w:cs="Calibri"/>
                <w:sz w:val="20"/>
                <w:szCs w:val="24"/>
                <w:lang w:eastAsia="en-GB"/>
              </w:rPr>
              <w:instrText xml:space="preserve"> \* MERGEFORMAT </w:instrText>
            </w:r>
            <w:r w:rsidRPr="00496A4D">
              <w:rPr>
                <w:rFonts w:eastAsia="Times New Roman" w:cs="Calibri"/>
                <w:sz w:val="20"/>
                <w:szCs w:val="24"/>
                <w:lang w:eastAsia="en-GB"/>
              </w:rPr>
            </w:r>
            <w:r w:rsidRPr="00496A4D">
              <w:rPr>
                <w:rFonts w:eastAsia="Times New Roman" w:cs="Calibri"/>
                <w:sz w:val="20"/>
                <w:szCs w:val="24"/>
                <w:lang w:eastAsia="en-GB"/>
              </w:rPr>
              <w:fldChar w:fldCharType="separate"/>
            </w:r>
            <w:r w:rsidR="00507A67">
              <w:rPr>
                <w:rFonts w:eastAsia="Times New Roman" w:cs="Calibri"/>
                <w:sz w:val="20"/>
                <w:szCs w:val="24"/>
                <w:lang w:eastAsia="en-GB"/>
              </w:rPr>
              <w:t>B.3.3</w:t>
            </w:r>
            <w:r w:rsidRPr="00496A4D">
              <w:rPr>
                <w:rFonts w:eastAsia="Times New Roman" w:cs="Calibri"/>
                <w:sz w:val="20"/>
                <w:szCs w:val="24"/>
                <w:lang w:eastAsia="en-GB"/>
              </w:rPr>
              <w:fldChar w:fldCharType="end"/>
            </w:r>
          </w:p>
        </w:tc>
        <w:tc>
          <w:tcPr>
            <w:tcW w:w="2410" w:type="dxa"/>
            <w:vAlign w:val="center"/>
          </w:tcPr>
          <w:p w14:paraId="6BFA26E8" w14:textId="68EDF612" w:rsidR="00033C7E" w:rsidRPr="00A52AB8" w:rsidDel="00690D10" w:rsidRDefault="00033C7E" w:rsidP="001B0754">
            <w:pPr>
              <w:tabs>
                <w:tab w:val="clear" w:pos="403"/>
              </w:tabs>
              <w:spacing w:after="0" w:line="240" w:lineRule="auto"/>
              <w:jc w:val="center"/>
              <w:rPr>
                <w:rFonts w:eastAsia="Times New Roman" w:cs="Calibri"/>
                <w:sz w:val="20"/>
                <w:szCs w:val="24"/>
                <w:lang w:eastAsia="en-GB"/>
              </w:rPr>
            </w:pPr>
            <w:r w:rsidRPr="00A52AB8">
              <w:rPr>
                <w:rFonts w:eastAsia="Times New Roman" w:cs="Calibri"/>
                <w:sz w:val="20"/>
                <w:szCs w:val="24"/>
                <w:lang w:eastAsia="en-GB"/>
              </w:rPr>
              <w:t>see subclause</w:t>
            </w:r>
            <w:r w:rsidR="00BD70A5" w:rsidRPr="00A52AB8">
              <w:rPr>
                <w:rFonts w:eastAsia="Times New Roman" w:cs="Calibri"/>
                <w:sz w:val="20"/>
                <w:szCs w:val="24"/>
                <w:lang w:eastAsia="en-GB"/>
              </w:rPr>
              <w:br/>
            </w:r>
            <w:r w:rsidRPr="00496A4D">
              <w:rPr>
                <w:rFonts w:eastAsia="Times New Roman" w:cs="Calibri"/>
                <w:sz w:val="20"/>
                <w:szCs w:val="24"/>
                <w:lang w:eastAsia="en-GB"/>
              </w:rPr>
              <w:fldChar w:fldCharType="begin"/>
            </w:r>
            <w:r w:rsidRPr="00A52AB8">
              <w:rPr>
                <w:rFonts w:eastAsia="Times New Roman" w:cs="Calibri"/>
                <w:sz w:val="20"/>
                <w:szCs w:val="24"/>
                <w:lang w:eastAsia="en-GB"/>
              </w:rPr>
              <w:instrText xml:space="preserve"> REF _Ref38889942 \n \h </w:instrText>
            </w:r>
            <w:r w:rsidR="00FB7832" w:rsidRPr="00A52AB8">
              <w:rPr>
                <w:rFonts w:eastAsia="Times New Roman" w:cs="Calibri"/>
                <w:sz w:val="20"/>
                <w:szCs w:val="24"/>
                <w:lang w:eastAsia="en-GB"/>
              </w:rPr>
              <w:instrText xml:space="preserve"> \* MERGEFORMAT </w:instrText>
            </w:r>
            <w:r w:rsidRPr="00496A4D">
              <w:rPr>
                <w:rFonts w:eastAsia="Times New Roman" w:cs="Calibri"/>
                <w:sz w:val="20"/>
                <w:szCs w:val="24"/>
                <w:lang w:eastAsia="en-GB"/>
              </w:rPr>
            </w:r>
            <w:r w:rsidRPr="00496A4D">
              <w:rPr>
                <w:rFonts w:eastAsia="Times New Roman" w:cs="Calibri"/>
                <w:sz w:val="20"/>
                <w:szCs w:val="24"/>
                <w:lang w:eastAsia="en-GB"/>
              </w:rPr>
              <w:fldChar w:fldCharType="separate"/>
            </w:r>
            <w:r w:rsidR="00507A67">
              <w:rPr>
                <w:rFonts w:eastAsia="Times New Roman" w:cs="Calibri"/>
                <w:sz w:val="20"/>
                <w:szCs w:val="24"/>
                <w:lang w:eastAsia="en-GB"/>
              </w:rPr>
              <w:t>B.3.3</w:t>
            </w:r>
            <w:r w:rsidRPr="00496A4D">
              <w:rPr>
                <w:rFonts w:eastAsia="Times New Roman" w:cs="Calibri"/>
                <w:sz w:val="20"/>
                <w:szCs w:val="24"/>
                <w:lang w:eastAsia="en-GB"/>
              </w:rPr>
              <w:fldChar w:fldCharType="end"/>
            </w:r>
          </w:p>
        </w:tc>
        <w:tc>
          <w:tcPr>
            <w:tcW w:w="1984" w:type="dxa"/>
            <w:vAlign w:val="center"/>
          </w:tcPr>
          <w:p w14:paraId="76B386B8" w14:textId="5BB24940" w:rsidR="00033C7E" w:rsidRPr="00A52AB8" w:rsidRDefault="00FD4E96" w:rsidP="002A3E09">
            <w:pPr>
              <w:tabs>
                <w:tab w:val="clear" w:pos="403"/>
              </w:tabs>
              <w:spacing w:after="0" w:line="240" w:lineRule="auto"/>
              <w:jc w:val="center"/>
              <w:rPr>
                <w:rFonts w:eastAsia="Times New Roman" w:cs="Calibri"/>
                <w:sz w:val="20"/>
                <w:szCs w:val="24"/>
                <w:lang w:eastAsia="en-GB"/>
              </w:rPr>
            </w:pPr>
            <w:r w:rsidRPr="00A52AB8">
              <w:rPr>
                <w:rFonts w:eastAsia="Times New Roman" w:cs="Calibri"/>
                <w:sz w:val="20"/>
                <w:szCs w:val="24"/>
                <w:lang w:eastAsia="en-GB"/>
              </w:rPr>
              <w:t xml:space="preserve">see subclause </w:t>
            </w:r>
            <w:r w:rsidRPr="00496A4D">
              <w:rPr>
                <w:rFonts w:eastAsia="Times New Roman" w:cs="Calibri"/>
                <w:sz w:val="20"/>
                <w:szCs w:val="24"/>
                <w:lang w:eastAsia="en-GB"/>
              </w:rPr>
              <w:fldChar w:fldCharType="begin"/>
            </w:r>
            <w:r w:rsidRPr="00A52AB8">
              <w:rPr>
                <w:rFonts w:eastAsia="Times New Roman" w:cs="Calibri"/>
                <w:sz w:val="20"/>
                <w:szCs w:val="24"/>
                <w:lang w:eastAsia="en-GB"/>
              </w:rPr>
              <w:instrText xml:space="preserve"> REF _Ref38889942 \n \h  \* MERGEFORMAT </w:instrText>
            </w:r>
            <w:r w:rsidRPr="00496A4D">
              <w:rPr>
                <w:rFonts w:eastAsia="Times New Roman" w:cs="Calibri"/>
                <w:sz w:val="20"/>
                <w:szCs w:val="24"/>
                <w:lang w:eastAsia="en-GB"/>
              </w:rPr>
            </w:r>
            <w:r w:rsidRPr="00496A4D">
              <w:rPr>
                <w:rFonts w:eastAsia="Times New Roman" w:cs="Calibri"/>
                <w:sz w:val="20"/>
                <w:szCs w:val="24"/>
                <w:lang w:eastAsia="en-GB"/>
              </w:rPr>
              <w:fldChar w:fldCharType="separate"/>
            </w:r>
            <w:r w:rsidR="00507A67">
              <w:rPr>
                <w:rFonts w:eastAsia="Times New Roman" w:cs="Calibri"/>
                <w:sz w:val="20"/>
                <w:szCs w:val="24"/>
                <w:lang w:eastAsia="en-GB"/>
              </w:rPr>
              <w:t>B.3.3</w:t>
            </w:r>
            <w:r w:rsidRPr="00496A4D">
              <w:rPr>
                <w:rFonts w:eastAsia="Times New Roman" w:cs="Calibri"/>
                <w:sz w:val="20"/>
                <w:szCs w:val="24"/>
                <w:lang w:eastAsia="en-GB"/>
              </w:rPr>
              <w:fldChar w:fldCharType="end"/>
            </w:r>
          </w:p>
        </w:tc>
        <w:tc>
          <w:tcPr>
            <w:tcW w:w="1667" w:type="dxa"/>
            <w:vAlign w:val="center"/>
          </w:tcPr>
          <w:p w14:paraId="6044252C" w14:textId="77777777" w:rsidR="00033C7E" w:rsidRPr="00A52AB8" w:rsidRDefault="00033C7E" w:rsidP="001B0754">
            <w:pPr>
              <w:tabs>
                <w:tab w:val="clear" w:pos="403"/>
              </w:tabs>
              <w:spacing w:after="0" w:line="240" w:lineRule="auto"/>
              <w:jc w:val="center"/>
              <w:rPr>
                <w:rFonts w:eastAsia="Times New Roman" w:cs="Calibri"/>
                <w:sz w:val="20"/>
                <w:szCs w:val="24"/>
                <w:lang w:eastAsia="en-GB"/>
              </w:rPr>
            </w:pPr>
          </w:p>
        </w:tc>
      </w:tr>
      <w:tr w:rsidR="00BD70A5" w:rsidRPr="00A52AB8" w14:paraId="29E9B027" w14:textId="77777777" w:rsidTr="003819BE">
        <w:trPr>
          <w:trHeight w:val="315"/>
        </w:trPr>
        <w:tc>
          <w:tcPr>
            <w:tcW w:w="1922" w:type="dxa"/>
            <w:noWrap/>
            <w:vAlign w:val="center"/>
            <w:hideMark/>
          </w:tcPr>
          <w:p w14:paraId="55167BD7" w14:textId="77777777" w:rsidR="00033C7E" w:rsidRPr="00A52AB8" w:rsidRDefault="00033C7E" w:rsidP="001B0754">
            <w:pPr>
              <w:tabs>
                <w:tab w:val="clear" w:pos="403"/>
              </w:tabs>
              <w:spacing w:after="0" w:line="240" w:lineRule="auto"/>
              <w:jc w:val="center"/>
              <w:rPr>
                <w:rFonts w:eastAsia="Times New Roman" w:cs="Calibri"/>
                <w:bCs/>
                <w:sz w:val="20"/>
                <w:szCs w:val="24"/>
                <w:lang w:eastAsia="en-GB"/>
              </w:rPr>
            </w:pPr>
            <w:r w:rsidRPr="00A52AB8">
              <w:rPr>
                <w:rFonts w:eastAsia="Times New Roman" w:cs="Calibri"/>
                <w:bCs/>
                <w:sz w:val="20"/>
                <w:szCs w:val="24"/>
                <w:lang w:eastAsia="en-GB"/>
              </w:rPr>
              <w:t>Frame rate conversion</w:t>
            </w:r>
          </w:p>
        </w:tc>
        <w:tc>
          <w:tcPr>
            <w:tcW w:w="1759" w:type="dxa"/>
            <w:vAlign w:val="center"/>
          </w:tcPr>
          <w:p w14:paraId="5A99BF4B" w14:textId="60A93650" w:rsidR="00033C7E" w:rsidRPr="00A52AB8" w:rsidRDefault="00033C7E" w:rsidP="001B0754">
            <w:pPr>
              <w:tabs>
                <w:tab w:val="clear" w:pos="403"/>
              </w:tabs>
              <w:spacing w:after="0" w:line="240" w:lineRule="auto"/>
              <w:jc w:val="center"/>
              <w:rPr>
                <w:rFonts w:eastAsia="Times New Roman" w:cs="Calibri"/>
                <w:sz w:val="20"/>
                <w:szCs w:val="24"/>
                <w:lang w:eastAsia="en-GB"/>
              </w:rPr>
            </w:pPr>
            <w:r w:rsidRPr="00A52AB8">
              <w:rPr>
                <w:rFonts w:eastAsia="Times New Roman" w:cs="Calibri"/>
                <w:sz w:val="20"/>
                <w:szCs w:val="24"/>
                <w:lang w:eastAsia="en-GB"/>
              </w:rPr>
              <w:t>see subclause</w:t>
            </w:r>
            <w:r w:rsidR="00BD70A5" w:rsidRPr="00A52AB8">
              <w:rPr>
                <w:rFonts w:eastAsia="Times New Roman" w:cs="Calibri"/>
                <w:sz w:val="20"/>
                <w:szCs w:val="24"/>
                <w:lang w:eastAsia="en-GB"/>
              </w:rPr>
              <w:br/>
            </w:r>
            <w:r w:rsidRPr="00496A4D">
              <w:rPr>
                <w:rFonts w:eastAsia="Times New Roman" w:cs="Calibri"/>
                <w:sz w:val="20"/>
                <w:szCs w:val="24"/>
                <w:lang w:eastAsia="en-GB"/>
              </w:rPr>
              <w:fldChar w:fldCharType="begin"/>
            </w:r>
            <w:r w:rsidRPr="00A52AB8">
              <w:rPr>
                <w:rFonts w:eastAsia="Times New Roman" w:cs="Calibri"/>
                <w:sz w:val="20"/>
                <w:szCs w:val="24"/>
                <w:lang w:eastAsia="en-GB"/>
              </w:rPr>
              <w:instrText xml:space="preserve"> REF _Ref39746083 \r \h </w:instrText>
            </w:r>
            <w:r w:rsidR="00FB7832" w:rsidRPr="00A52AB8">
              <w:rPr>
                <w:rFonts w:eastAsia="Times New Roman" w:cs="Calibri"/>
                <w:sz w:val="20"/>
                <w:szCs w:val="24"/>
                <w:lang w:eastAsia="en-GB"/>
              </w:rPr>
              <w:instrText xml:space="preserve"> \* MERGEFORMAT </w:instrText>
            </w:r>
            <w:r w:rsidRPr="00496A4D">
              <w:rPr>
                <w:rFonts w:eastAsia="Times New Roman" w:cs="Calibri"/>
                <w:sz w:val="20"/>
                <w:szCs w:val="24"/>
                <w:lang w:eastAsia="en-GB"/>
              </w:rPr>
            </w:r>
            <w:r w:rsidRPr="00496A4D">
              <w:rPr>
                <w:rFonts w:eastAsia="Times New Roman" w:cs="Calibri"/>
                <w:sz w:val="20"/>
                <w:szCs w:val="24"/>
                <w:lang w:eastAsia="en-GB"/>
              </w:rPr>
              <w:fldChar w:fldCharType="separate"/>
            </w:r>
            <w:r w:rsidR="00507A67">
              <w:rPr>
                <w:rFonts w:eastAsia="Times New Roman" w:cs="Calibri"/>
                <w:sz w:val="20"/>
                <w:szCs w:val="24"/>
                <w:lang w:eastAsia="en-GB"/>
              </w:rPr>
              <w:t>B.3.4</w:t>
            </w:r>
            <w:r w:rsidRPr="00496A4D">
              <w:rPr>
                <w:rFonts w:eastAsia="Times New Roman" w:cs="Calibri"/>
                <w:sz w:val="20"/>
                <w:szCs w:val="24"/>
                <w:lang w:eastAsia="en-GB"/>
              </w:rPr>
              <w:fldChar w:fldCharType="end"/>
            </w:r>
          </w:p>
        </w:tc>
        <w:tc>
          <w:tcPr>
            <w:tcW w:w="2410" w:type="dxa"/>
            <w:vAlign w:val="center"/>
          </w:tcPr>
          <w:p w14:paraId="574C986E" w14:textId="429AE696" w:rsidR="00033C7E" w:rsidRPr="00A52AB8" w:rsidRDefault="00033C7E" w:rsidP="001B0754">
            <w:pPr>
              <w:tabs>
                <w:tab w:val="clear" w:pos="403"/>
              </w:tabs>
              <w:spacing w:after="0" w:line="240" w:lineRule="auto"/>
              <w:jc w:val="center"/>
              <w:rPr>
                <w:rFonts w:eastAsia="Times New Roman" w:cs="Calibri"/>
                <w:sz w:val="20"/>
                <w:szCs w:val="24"/>
                <w:lang w:eastAsia="en-GB"/>
              </w:rPr>
            </w:pPr>
            <w:r w:rsidRPr="00A52AB8">
              <w:rPr>
                <w:rFonts w:eastAsia="Times New Roman" w:cs="Calibri"/>
                <w:sz w:val="20"/>
                <w:szCs w:val="24"/>
                <w:lang w:eastAsia="en-GB"/>
              </w:rPr>
              <w:t>see subclause</w:t>
            </w:r>
            <w:r w:rsidR="00BD70A5" w:rsidRPr="00A52AB8">
              <w:rPr>
                <w:rFonts w:eastAsia="Times New Roman" w:cs="Calibri"/>
                <w:sz w:val="20"/>
                <w:szCs w:val="24"/>
                <w:lang w:eastAsia="en-GB"/>
              </w:rPr>
              <w:br/>
            </w:r>
            <w:r w:rsidRPr="00496A4D">
              <w:rPr>
                <w:rFonts w:eastAsia="Times New Roman" w:cs="Calibri"/>
                <w:sz w:val="20"/>
                <w:szCs w:val="24"/>
                <w:lang w:eastAsia="en-GB"/>
              </w:rPr>
              <w:fldChar w:fldCharType="begin"/>
            </w:r>
            <w:r w:rsidRPr="00A52AB8">
              <w:rPr>
                <w:rFonts w:eastAsia="Times New Roman" w:cs="Calibri"/>
                <w:sz w:val="20"/>
                <w:szCs w:val="24"/>
                <w:lang w:eastAsia="en-GB"/>
              </w:rPr>
              <w:instrText xml:space="preserve"> REF _Ref39746083 \r \h </w:instrText>
            </w:r>
            <w:r w:rsidR="00FB7832" w:rsidRPr="00A52AB8">
              <w:rPr>
                <w:rFonts w:eastAsia="Times New Roman" w:cs="Calibri"/>
                <w:sz w:val="20"/>
                <w:szCs w:val="24"/>
                <w:lang w:eastAsia="en-GB"/>
              </w:rPr>
              <w:instrText xml:space="preserve"> \* MERGEFORMAT </w:instrText>
            </w:r>
            <w:r w:rsidRPr="00496A4D">
              <w:rPr>
                <w:rFonts w:eastAsia="Times New Roman" w:cs="Calibri"/>
                <w:sz w:val="20"/>
                <w:szCs w:val="24"/>
                <w:lang w:eastAsia="en-GB"/>
              </w:rPr>
            </w:r>
            <w:r w:rsidRPr="00496A4D">
              <w:rPr>
                <w:rFonts w:eastAsia="Times New Roman" w:cs="Calibri"/>
                <w:sz w:val="20"/>
                <w:szCs w:val="24"/>
                <w:lang w:eastAsia="en-GB"/>
              </w:rPr>
              <w:fldChar w:fldCharType="separate"/>
            </w:r>
            <w:r w:rsidR="00507A67">
              <w:rPr>
                <w:rFonts w:eastAsia="Times New Roman" w:cs="Calibri"/>
                <w:sz w:val="20"/>
                <w:szCs w:val="24"/>
                <w:lang w:eastAsia="en-GB"/>
              </w:rPr>
              <w:t>B.3.4</w:t>
            </w:r>
            <w:r w:rsidRPr="00496A4D">
              <w:rPr>
                <w:rFonts w:eastAsia="Times New Roman" w:cs="Calibri"/>
                <w:sz w:val="20"/>
                <w:szCs w:val="24"/>
                <w:lang w:eastAsia="en-GB"/>
              </w:rPr>
              <w:fldChar w:fldCharType="end"/>
            </w:r>
          </w:p>
        </w:tc>
        <w:tc>
          <w:tcPr>
            <w:tcW w:w="1984" w:type="dxa"/>
            <w:vAlign w:val="center"/>
          </w:tcPr>
          <w:p w14:paraId="30809B4A" w14:textId="748F02AC" w:rsidR="00033C7E" w:rsidRPr="00A52AB8" w:rsidRDefault="00FD4E96" w:rsidP="002A3E09">
            <w:pPr>
              <w:tabs>
                <w:tab w:val="clear" w:pos="403"/>
              </w:tabs>
              <w:spacing w:after="0" w:line="240" w:lineRule="auto"/>
              <w:jc w:val="center"/>
              <w:rPr>
                <w:rFonts w:eastAsia="Times New Roman" w:cs="Calibri"/>
                <w:sz w:val="20"/>
                <w:szCs w:val="24"/>
                <w:lang w:eastAsia="en-GB"/>
              </w:rPr>
            </w:pPr>
            <w:r w:rsidRPr="00A52AB8">
              <w:rPr>
                <w:rFonts w:eastAsia="Times New Roman" w:cs="Calibri"/>
                <w:sz w:val="20"/>
                <w:szCs w:val="24"/>
                <w:lang w:eastAsia="en-GB"/>
              </w:rPr>
              <w:t>see subclause</w:t>
            </w:r>
            <w:r w:rsidR="00C61E38" w:rsidRPr="00A52AB8">
              <w:rPr>
                <w:rFonts w:eastAsia="Times New Roman" w:cs="Calibri"/>
                <w:sz w:val="20"/>
                <w:szCs w:val="24"/>
                <w:lang w:eastAsia="en-GB"/>
              </w:rPr>
              <w:t xml:space="preserve"> </w:t>
            </w:r>
            <w:r w:rsidRPr="00496A4D">
              <w:rPr>
                <w:rFonts w:eastAsia="Times New Roman" w:cs="Calibri"/>
                <w:sz w:val="20"/>
                <w:szCs w:val="24"/>
                <w:lang w:eastAsia="en-GB"/>
              </w:rPr>
              <w:fldChar w:fldCharType="begin"/>
            </w:r>
            <w:r w:rsidRPr="00A52AB8">
              <w:rPr>
                <w:rFonts w:eastAsia="Times New Roman" w:cs="Calibri"/>
                <w:sz w:val="20"/>
                <w:szCs w:val="24"/>
                <w:lang w:eastAsia="en-GB"/>
              </w:rPr>
              <w:instrText xml:space="preserve"> REF _Ref39746083 \r \h  \* MERGEFORMAT </w:instrText>
            </w:r>
            <w:r w:rsidRPr="00496A4D">
              <w:rPr>
                <w:rFonts w:eastAsia="Times New Roman" w:cs="Calibri"/>
                <w:sz w:val="20"/>
                <w:szCs w:val="24"/>
                <w:lang w:eastAsia="en-GB"/>
              </w:rPr>
            </w:r>
            <w:r w:rsidRPr="00496A4D">
              <w:rPr>
                <w:rFonts w:eastAsia="Times New Roman" w:cs="Calibri"/>
                <w:sz w:val="20"/>
                <w:szCs w:val="24"/>
                <w:lang w:eastAsia="en-GB"/>
              </w:rPr>
              <w:fldChar w:fldCharType="separate"/>
            </w:r>
            <w:r w:rsidR="00507A67">
              <w:rPr>
                <w:rFonts w:eastAsia="Times New Roman" w:cs="Calibri"/>
                <w:sz w:val="20"/>
                <w:szCs w:val="24"/>
                <w:lang w:eastAsia="en-GB"/>
              </w:rPr>
              <w:t>B.3.4</w:t>
            </w:r>
            <w:r w:rsidRPr="00496A4D">
              <w:rPr>
                <w:rFonts w:eastAsia="Times New Roman" w:cs="Calibri"/>
                <w:sz w:val="20"/>
                <w:szCs w:val="24"/>
                <w:lang w:eastAsia="en-GB"/>
              </w:rPr>
              <w:fldChar w:fldCharType="end"/>
            </w:r>
          </w:p>
        </w:tc>
        <w:tc>
          <w:tcPr>
            <w:tcW w:w="1667" w:type="dxa"/>
            <w:vAlign w:val="center"/>
          </w:tcPr>
          <w:p w14:paraId="50D22BDD" w14:textId="77777777" w:rsidR="00033C7E" w:rsidRPr="00A52AB8" w:rsidRDefault="00033C7E" w:rsidP="001B0754">
            <w:pPr>
              <w:tabs>
                <w:tab w:val="clear" w:pos="403"/>
              </w:tabs>
              <w:spacing w:after="0" w:line="240" w:lineRule="auto"/>
              <w:jc w:val="center"/>
              <w:rPr>
                <w:rFonts w:eastAsia="Times New Roman" w:cs="Calibri"/>
                <w:sz w:val="20"/>
                <w:szCs w:val="24"/>
                <w:lang w:eastAsia="en-GB"/>
              </w:rPr>
            </w:pPr>
          </w:p>
        </w:tc>
      </w:tr>
      <w:tr w:rsidR="00BD70A5" w:rsidRPr="00A52AB8" w14:paraId="03AC68D3" w14:textId="77777777" w:rsidTr="003819BE">
        <w:trPr>
          <w:trHeight w:val="315"/>
        </w:trPr>
        <w:tc>
          <w:tcPr>
            <w:tcW w:w="1922" w:type="dxa"/>
            <w:vAlign w:val="center"/>
          </w:tcPr>
          <w:p w14:paraId="05178D1B" w14:textId="62592E04" w:rsidR="00033C7E" w:rsidRPr="00A52AB8" w:rsidRDefault="00033C7E" w:rsidP="001B0754">
            <w:pPr>
              <w:tabs>
                <w:tab w:val="clear" w:pos="403"/>
              </w:tabs>
              <w:spacing w:after="0" w:line="240" w:lineRule="auto"/>
              <w:jc w:val="center"/>
              <w:rPr>
                <w:rFonts w:eastAsia="Times New Roman" w:cs="Calibri"/>
                <w:bCs/>
                <w:sz w:val="20"/>
                <w:szCs w:val="24"/>
                <w:lang w:eastAsia="en-GB"/>
              </w:rPr>
            </w:pPr>
            <w:r w:rsidRPr="00A52AB8">
              <w:rPr>
                <w:rFonts w:eastAsia="Times New Roman" w:cs="Calibri"/>
                <w:bCs/>
                <w:sz w:val="20"/>
                <w:szCs w:val="24"/>
                <w:lang w:eastAsia="en-GB"/>
              </w:rPr>
              <w:t>Pixel</w:t>
            </w:r>
            <w:r w:rsidR="008D5244" w:rsidRPr="00A52AB8">
              <w:rPr>
                <w:rFonts w:eastAsia="Times New Roman" w:cs="Calibri"/>
                <w:bCs/>
                <w:sz w:val="20"/>
                <w:szCs w:val="24"/>
                <w:lang w:eastAsia="en-GB"/>
              </w:rPr>
              <w:br/>
            </w:r>
            <w:r w:rsidRPr="00A52AB8">
              <w:rPr>
                <w:rFonts w:eastAsia="Times New Roman" w:cs="Calibri"/>
                <w:bCs/>
                <w:sz w:val="20"/>
                <w:szCs w:val="24"/>
                <w:lang w:eastAsia="en-GB"/>
              </w:rPr>
              <w:t>deinterleaving</w:t>
            </w:r>
          </w:p>
        </w:tc>
        <w:tc>
          <w:tcPr>
            <w:tcW w:w="1759" w:type="dxa"/>
            <w:vAlign w:val="center"/>
          </w:tcPr>
          <w:p w14:paraId="738CFC7A" w14:textId="3FE7F50C" w:rsidR="00033C7E" w:rsidRPr="00A52AB8" w:rsidRDefault="00033C7E" w:rsidP="001B0754">
            <w:pPr>
              <w:tabs>
                <w:tab w:val="clear" w:pos="403"/>
              </w:tabs>
              <w:spacing w:after="0" w:line="240" w:lineRule="auto"/>
              <w:jc w:val="center"/>
              <w:rPr>
                <w:rFonts w:eastAsia="Times New Roman" w:cs="Calibri"/>
                <w:sz w:val="20"/>
                <w:szCs w:val="24"/>
                <w:lang w:eastAsia="en-GB"/>
              </w:rPr>
            </w:pPr>
            <w:r w:rsidRPr="00A52AB8">
              <w:rPr>
                <w:rFonts w:eastAsia="Times New Roman" w:cs="Calibri"/>
                <w:sz w:val="20"/>
                <w:szCs w:val="24"/>
                <w:lang w:eastAsia="en-GB"/>
              </w:rPr>
              <w:t>ignored</w:t>
            </w:r>
          </w:p>
        </w:tc>
        <w:tc>
          <w:tcPr>
            <w:tcW w:w="2410" w:type="dxa"/>
            <w:vAlign w:val="center"/>
          </w:tcPr>
          <w:p w14:paraId="02BED2F4" w14:textId="4E97C660" w:rsidR="00033C7E" w:rsidRPr="00A52AB8" w:rsidRDefault="00033C7E" w:rsidP="001B0754">
            <w:pPr>
              <w:tabs>
                <w:tab w:val="clear" w:pos="403"/>
              </w:tabs>
              <w:spacing w:after="0" w:line="240" w:lineRule="auto"/>
              <w:jc w:val="center"/>
              <w:rPr>
                <w:rFonts w:eastAsia="Times New Roman" w:cs="Calibri"/>
                <w:sz w:val="20"/>
                <w:szCs w:val="24"/>
                <w:lang w:eastAsia="en-GB"/>
              </w:rPr>
            </w:pPr>
            <w:r w:rsidRPr="00A52AB8">
              <w:rPr>
                <w:rFonts w:eastAsia="Times New Roman" w:cs="Calibri"/>
                <w:sz w:val="20"/>
                <w:szCs w:val="24"/>
                <w:lang w:eastAsia="en-GB"/>
              </w:rPr>
              <w:t>reconstructed,</w:t>
            </w:r>
            <w:r w:rsidRPr="00A52AB8">
              <w:rPr>
                <w:rFonts w:eastAsia="Times New Roman" w:cs="Calibri"/>
                <w:sz w:val="20"/>
                <w:szCs w:val="24"/>
                <w:lang w:eastAsia="en-GB"/>
              </w:rPr>
              <w:br/>
              <w:t xml:space="preserve">according to subclause </w:t>
            </w:r>
            <w:r w:rsidRPr="00496A4D">
              <w:rPr>
                <w:rFonts w:eastAsia="Times New Roman" w:cs="Calibri"/>
                <w:sz w:val="20"/>
                <w:szCs w:val="24"/>
                <w:lang w:eastAsia="en-GB"/>
              </w:rPr>
              <w:fldChar w:fldCharType="begin"/>
            </w:r>
            <w:r w:rsidRPr="00A52AB8">
              <w:rPr>
                <w:rFonts w:eastAsia="Times New Roman" w:cs="Calibri"/>
                <w:sz w:val="20"/>
                <w:szCs w:val="24"/>
                <w:lang w:eastAsia="en-GB"/>
              </w:rPr>
              <w:instrText xml:space="preserve"> REF _Ref38890489 \n \h </w:instrText>
            </w:r>
            <w:r w:rsidR="00FB7832" w:rsidRPr="00A52AB8">
              <w:rPr>
                <w:rFonts w:eastAsia="Times New Roman" w:cs="Calibri"/>
                <w:sz w:val="20"/>
                <w:szCs w:val="24"/>
                <w:lang w:eastAsia="en-GB"/>
              </w:rPr>
              <w:instrText xml:space="preserve"> \* MERGEFORMAT </w:instrText>
            </w:r>
            <w:r w:rsidRPr="00496A4D">
              <w:rPr>
                <w:rFonts w:eastAsia="Times New Roman" w:cs="Calibri"/>
                <w:sz w:val="20"/>
                <w:szCs w:val="24"/>
                <w:lang w:eastAsia="en-GB"/>
              </w:rPr>
            </w:r>
            <w:r w:rsidRPr="00496A4D">
              <w:rPr>
                <w:rFonts w:eastAsia="Times New Roman" w:cs="Calibri"/>
                <w:sz w:val="20"/>
                <w:szCs w:val="24"/>
                <w:lang w:eastAsia="en-GB"/>
              </w:rPr>
              <w:fldChar w:fldCharType="separate"/>
            </w:r>
            <w:r w:rsidR="00507A67">
              <w:rPr>
                <w:rFonts w:eastAsia="Times New Roman" w:cs="Calibri"/>
                <w:sz w:val="20"/>
                <w:szCs w:val="24"/>
                <w:lang w:eastAsia="en-GB"/>
              </w:rPr>
              <w:t>H.11.2.3</w:t>
            </w:r>
            <w:r w:rsidRPr="00496A4D">
              <w:rPr>
                <w:rFonts w:eastAsia="Times New Roman" w:cs="Calibri"/>
                <w:sz w:val="20"/>
                <w:szCs w:val="24"/>
                <w:lang w:eastAsia="en-GB"/>
              </w:rPr>
              <w:fldChar w:fldCharType="end"/>
            </w:r>
            <w:r w:rsidRPr="00A52AB8">
              <w:rPr>
                <w:rFonts w:eastAsia="Times New Roman" w:cs="Calibri"/>
                <w:sz w:val="20"/>
                <w:szCs w:val="24"/>
                <w:lang w:eastAsia="en-GB"/>
              </w:rPr>
              <w:t xml:space="preserve"> </w:t>
            </w:r>
          </w:p>
        </w:tc>
        <w:tc>
          <w:tcPr>
            <w:tcW w:w="1984" w:type="dxa"/>
            <w:vAlign w:val="center"/>
          </w:tcPr>
          <w:p w14:paraId="6DAF8D37" w14:textId="7D5B887B" w:rsidR="00033C7E" w:rsidRPr="00A52AB8" w:rsidRDefault="00FD4E96" w:rsidP="002A3E09">
            <w:pPr>
              <w:tabs>
                <w:tab w:val="clear" w:pos="403"/>
              </w:tabs>
              <w:spacing w:after="0" w:line="240" w:lineRule="auto"/>
              <w:jc w:val="center"/>
              <w:rPr>
                <w:rFonts w:eastAsia="Times New Roman" w:cs="Calibri"/>
                <w:sz w:val="20"/>
                <w:szCs w:val="24"/>
                <w:lang w:eastAsia="en-GB"/>
              </w:rPr>
            </w:pPr>
            <w:r w:rsidRPr="00A52AB8">
              <w:rPr>
                <w:rFonts w:eastAsia="Times New Roman" w:cs="Calibri"/>
                <w:sz w:val="20"/>
                <w:szCs w:val="24"/>
                <w:lang w:eastAsia="en-GB"/>
              </w:rPr>
              <w:t>reconstructed,</w:t>
            </w:r>
            <w:r w:rsidRPr="00A52AB8">
              <w:rPr>
                <w:rFonts w:eastAsia="Times New Roman" w:cs="Calibri"/>
                <w:sz w:val="20"/>
                <w:szCs w:val="24"/>
                <w:lang w:eastAsia="en-GB"/>
              </w:rPr>
              <w:br/>
              <w:t xml:space="preserve">according to subclause </w:t>
            </w:r>
            <w:r w:rsidRPr="00496A4D">
              <w:rPr>
                <w:rFonts w:eastAsia="Times New Roman" w:cs="Calibri"/>
                <w:sz w:val="20"/>
                <w:szCs w:val="24"/>
                <w:lang w:eastAsia="en-GB"/>
              </w:rPr>
              <w:fldChar w:fldCharType="begin"/>
            </w:r>
            <w:r w:rsidRPr="00A52AB8">
              <w:rPr>
                <w:rFonts w:eastAsia="Times New Roman" w:cs="Calibri"/>
                <w:sz w:val="20"/>
                <w:szCs w:val="24"/>
                <w:lang w:eastAsia="en-GB"/>
              </w:rPr>
              <w:instrText xml:space="preserve"> REF _Ref38890489 \n \h  \* MERGEFORMAT </w:instrText>
            </w:r>
            <w:r w:rsidRPr="00496A4D">
              <w:rPr>
                <w:rFonts w:eastAsia="Times New Roman" w:cs="Calibri"/>
                <w:sz w:val="20"/>
                <w:szCs w:val="24"/>
                <w:lang w:eastAsia="en-GB"/>
              </w:rPr>
            </w:r>
            <w:r w:rsidRPr="00496A4D">
              <w:rPr>
                <w:rFonts w:eastAsia="Times New Roman" w:cs="Calibri"/>
                <w:sz w:val="20"/>
                <w:szCs w:val="24"/>
                <w:lang w:eastAsia="en-GB"/>
              </w:rPr>
              <w:fldChar w:fldCharType="separate"/>
            </w:r>
            <w:r w:rsidR="00507A67">
              <w:rPr>
                <w:rFonts w:eastAsia="Times New Roman" w:cs="Calibri"/>
                <w:sz w:val="20"/>
                <w:szCs w:val="24"/>
                <w:lang w:eastAsia="en-GB"/>
              </w:rPr>
              <w:t>H.11.2.3</w:t>
            </w:r>
            <w:r w:rsidRPr="00496A4D">
              <w:rPr>
                <w:rFonts w:eastAsia="Times New Roman" w:cs="Calibri"/>
                <w:sz w:val="20"/>
                <w:szCs w:val="24"/>
                <w:lang w:eastAsia="en-GB"/>
              </w:rPr>
              <w:fldChar w:fldCharType="end"/>
            </w:r>
          </w:p>
        </w:tc>
        <w:tc>
          <w:tcPr>
            <w:tcW w:w="1667" w:type="dxa"/>
            <w:vAlign w:val="center"/>
          </w:tcPr>
          <w:p w14:paraId="02C96821" w14:textId="77777777" w:rsidR="00033C7E" w:rsidRPr="00A52AB8" w:rsidRDefault="00033C7E" w:rsidP="001B0754">
            <w:pPr>
              <w:tabs>
                <w:tab w:val="clear" w:pos="403"/>
              </w:tabs>
              <w:spacing w:after="0" w:line="240" w:lineRule="auto"/>
              <w:jc w:val="center"/>
              <w:rPr>
                <w:rFonts w:eastAsia="Times New Roman" w:cs="Calibri"/>
                <w:sz w:val="20"/>
                <w:szCs w:val="24"/>
                <w:lang w:eastAsia="en-GB"/>
              </w:rPr>
            </w:pPr>
            <w:r w:rsidRPr="00A52AB8">
              <w:rPr>
                <w:rFonts w:eastAsia="Times New Roman" w:cs="Calibri"/>
                <w:sz w:val="20"/>
                <w:szCs w:val="24"/>
                <w:lang w:eastAsia="en-GB"/>
              </w:rPr>
              <w:t>unconstrained</w:t>
            </w:r>
          </w:p>
        </w:tc>
      </w:tr>
      <w:tr w:rsidR="00BD70A5" w:rsidRPr="00A52AB8" w14:paraId="243DD7E4" w14:textId="77777777" w:rsidTr="003819BE">
        <w:trPr>
          <w:trHeight w:val="315"/>
        </w:trPr>
        <w:tc>
          <w:tcPr>
            <w:tcW w:w="1922" w:type="dxa"/>
            <w:vAlign w:val="center"/>
          </w:tcPr>
          <w:p w14:paraId="083E07ED" w14:textId="77777777" w:rsidR="00033C7E" w:rsidRPr="00A52AB8" w:rsidRDefault="00033C7E" w:rsidP="001B0754">
            <w:pPr>
              <w:tabs>
                <w:tab w:val="clear" w:pos="403"/>
              </w:tabs>
              <w:spacing w:after="0" w:line="240" w:lineRule="auto"/>
              <w:jc w:val="center"/>
              <w:rPr>
                <w:rFonts w:eastAsia="Times New Roman" w:cs="Calibri"/>
                <w:bCs/>
                <w:sz w:val="20"/>
                <w:szCs w:val="24"/>
                <w:lang w:eastAsia="en-GB"/>
              </w:rPr>
            </w:pPr>
            <w:r w:rsidRPr="00A52AB8">
              <w:rPr>
                <w:rFonts w:eastAsia="Times New Roman" w:cs="Calibri"/>
                <w:bCs/>
                <w:sz w:val="20"/>
                <w:szCs w:val="24"/>
                <w:lang w:eastAsia="en-GB"/>
              </w:rPr>
              <w:t>PLR</w:t>
            </w:r>
          </w:p>
        </w:tc>
        <w:tc>
          <w:tcPr>
            <w:tcW w:w="1759" w:type="dxa"/>
            <w:vAlign w:val="center"/>
          </w:tcPr>
          <w:p w14:paraId="4EC2CC14" w14:textId="77777777" w:rsidR="00033C7E" w:rsidRPr="00A52AB8" w:rsidRDefault="00033C7E" w:rsidP="001B0754">
            <w:pPr>
              <w:tabs>
                <w:tab w:val="clear" w:pos="403"/>
              </w:tabs>
              <w:spacing w:after="0" w:line="240" w:lineRule="auto"/>
              <w:jc w:val="center"/>
              <w:rPr>
                <w:rFonts w:eastAsia="Times New Roman" w:cs="Calibri"/>
                <w:sz w:val="20"/>
                <w:szCs w:val="24"/>
                <w:lang w:eastAsia="en-GB"/>
              </w:rPr>
            </w:pPr>
            <w:r w:rsidRPr="00A52AB8">
              <w:rPr>
                <w:rFonts w:eastAsia="Times New Roman" w:cs="Calibri"/>
                <w:sz w:val="20"/>
                <w:szCs w:val="24"/>
                <w:lang w:eastAsia="en-GB"/>
              </w:rPr>
              <w:t>ignored</w:t>
            </w:r>
          </w:p>
        </w:tc>
        <w:tc>
          <w:tcPr>
            <w:tcW w:w="2410" w:type="dxa"/>
            <w:vAlign w:val="center"/>
          </w:tcPr>
          <w:p w14:paraId="221C06AB" w14:textId="1A195E49" w:rsidR="00033C7E" w:rsidRPr="00A52AB8" w:rsidRDefault="00033C7E" w:rsidP="001B0754">
            <w:pPr>
              <w:tabs>
                <w:tab w:val="clear" w:pos="403"/>
              </w:tabs>
              <w:spacing w:after="0" w:line="240" w:lineRule="auto"/>
              <w:jc w:val="center"/>
              <w:rPr>
                <w:rFonts w:eastAsia="Times New Roman" w:cs="Calibri"/>
                <w:sz w:val="20"/>
                <w:szCs w:val="24"/>
                <w:lang w:eastAsia="en-GB"/>
              </w:rPr>
            </w:pPr>
            <w:r w:rsidRPr="00A52AB8">
              <w:rPr>
                <w:rFonts w:eastAsia="Times New Roman" w:cs="Calibri"/>
                <w:sz w:val="20"/>
                <w:szCs w:val="24"/>
                <w:lang w:eastAsia="en-GB"/>
              </w:rPr>
              <w:t>reconstructed,</w:t>
            </w:r>
            <w:r w:rsidRPr="00A52AB8">
              <w:rPr>
                <w:rFonts w:eastAsia="Times New Roman" w:cs="Calibri"/>
                <w:sz w:val="20"/>
                <w:szCs w:val="24"/>
                <w:lang w:eastAsia="en-GB"/>
              </w:rPr>
              <w:br/>
              <w:t xml:space="preserve">according to subclause </w:t>
            </w:r>
            <w:r w:rsidRPr="00496A4D">
              <w:rPr>
                <w:rFonts w:eastAsia="Times New Roman" w:cs="Calibri"/>
                <w:sz w:val="20"/>
                <w:szCs w:val="24"/>
                <w:lang w:eastAsia="en-GB"/>
              </w:rPr>
              <w:fldChar w:fldCharType="begin"/>
            </w:r>
            <w:r w:rsidRPr="00A52AB8">
              <w:rPr>
                <w:rFonts w:eastAsia="Times New Roman" w:cs="Calibri"/>
                <w:sz w:val="20"/>
                <w:szCs w:val="24"/>
                <w:lang w:eastAsia="en-GB"/>
              </w:rPr>
              <w:instrText xml:space="preserve"> REF _Ref38890468 \n \h </w:instrText>
            </w:r>
            <w:r w:rsidR="00FB7832" w:rsidRPr="00A52AB8">
              <w:rPr>
                <w:rFonts w:eastAsia="Times New Roman" w:cs="Calibri"/>
                <w:sz w:val="20"/>
                <w:szCs w:val="24"/>
                <w:lang w:eastAsia="en-GB"/>
              </w:rPr>
              <w:instrText xml:space="preserve"> \* MERGEFORMAT </w:instrText>
            </w:r>
            <w:r w:rsidRPr="00496A4D">
              <w:rPr>
                <w:rFonts w:eastAsia="Times New Roman" w:cs="Calibri"/>
                <w:sz w:val="20"/>
                <w:szCs w:val="24"/>
                <w:lang w:eastAsia="en-GB"/>
              </w:rPr>
            </w:r>
            <w:r w:rsidRPr="00496A4D">
              <w:rPr>
                <w:rFonts w:eastAsia="Times New Roman" w:cs="Calibri"/>
                <w:sz w:val="20"/>
                <w:szCs w:val="24"/>
                <w:lang w:eastAsia="en-GB"/>
              </w:rPr>
              <w:fldChar w:fldCharType="separate"/>
            </w:r>
            <w:r w:rsidR="00507A67">
              <w:rPr>
                <w:rFonts w:eastAsia="Times New Roman" w:cs="Calibri"/>
                <w:sz w:val="20"/>
                <w:szCs w:val="24"/>
                <w:lang w:eastAsia="en-GB"/>
              </w:rPr>
              <w:t>H.11.2.4</w:t>
            </w:r>
            <w:r w:rsidRPr="00496A4D">
              <w:rPr>
                <w:rFonts w:eastAsia="Times New Roman" w:cs="Calibri"/>
                <w:sz w:val="20"/>
                <w:szCs w:val="24"/>
                <w:lang w:eastAsia="en-GB"/>
              </w:rPr>
              <w:fldChar w:fldCharType="end"/>
            </w:r>
          </w:p>
        </w:tc>
        <w:tc>
          <w:tcPr>
            <w:tcW w:w="1984" w:type="dxa"/>
            <w:vAlign w:val="center"/>
          </w:tcPr>
          <w:p w14:paraId="2838942E" w14:textId="4E57B84D" w:rsidR="00033C7E" w:rsidRPr="00A52AB8" w:rsidRDefault="00FD4E96" w:rsidP="002A3E09">
            <w:pPr>
              <w:tabs>
                <w:tab w:val="clear" w:pos="403"/>
              </w:tabs>
              <w:spacing w:after="0" w:line="240" w:lineRule="auto"/>
              <w:jc w:val="center"/>
              <w:rPr>
                <w:rFonts w:eastAsia="Times New Roman" w:cs="Calibri"/>
                <w:sz w:val="20"/>
                <w:szCs w:val="24"/>
                <w:lang w:eastAsia="en-GB"/>
              </w:rPr>
            </w:pPr>
            <w:r w:rsidRPr="00A52AB8">
              <w:rPr>
                <w:rFonts w:eastAsia="Times New Roman" w:cs="Calibri"/>
                <w:sz w:val="20"/>
                <w:szCs w:val="24"/>
                <w:lang w:eastAsia="en-GB"/>
              </w:rPr>
              <w:t>reconstructed,</w:t>
            </w:r>
            <w:r w:rsidRPr="00A52AB8">
              <w:rPr>
                <w:rFonts w:eastAsia="Times New Roman" w:cs="Calibri"/>
                <w:sz w:val="20"/>
                <w:szCs w:val="24"/>
                <w:lang w:eastAsia="en-GB"/>
              </w:rPr>
              <w:br/>
              <w:t xml:space="preserve">according to subclause </w:t>
            </w:r>
            <w:r w:rsidRPr="00496A4D">
              <w:rPr>
                <w:rFonts w:eastAsia="Times New Roman" w:cs="Calibri"/>
                <w:sz w:val="20"/>
                <w:szCs w:val="24"/>
                <w:lang w:eastAsia="en-GB"/>
              </w:rPr>
              <w:fldChar w:fldCharType="begin"/>
            </w:r>
            <w:r w:rsidRPr="00A52AB8">
              <w:rPr>
                <w:rFonts w:eastAsia="Times New Roman" w:cs="Calibri"/>
                <w:sz w:val="20"/>
                <w:szCs w:val="24"/>
                <w:lang w:eastAsia="en-GB"/>
              </w:rPr>
              <w:instrText xml:space="preserve"> REF _Ref38890468 \n \h  \* MERGEFORMAT </w:instrText>
            </w:r>
            <w:r w:rsidRPr="00496A4D">
              <w:rPr>
                <w:rFonts w:eastAsia="Times New Roman" w:cs="Calibri"/>
                <w:sz w:val="20"/>
                <w:szCs w:val="24"/>
                <w:lang w:eastAsia="en-GB"/>
              </w:rPr>
            </w:r>
            <w:r w:rsidRPr="00496A4D">
              <w:rPr>
                <w:rFonts w:eastAsia="Times New Roman" w:cs="Calibri"/>
                <w:sz w:val="20"/>
                <w:szCs w:val="24"/>
                <w:lang w:eastAsia="en-GB"/>
              </w:rPr>
              <w:fldChar w:fldCharType="separate"/>
            </w:r>
            <w:r w:rsidR="00507A67">
              <w:rPr>
                <w:rFonts w:eastAsia="Times New Roman" w:cs="Calibri"/>
                <w:sz w:val="20"/>
                <w:szCs w:val="24"/>
                <w:lang w:eastAsia="en-GB"/>
              </w:rPr>
              <w:t>H.11.2.4</w:t>
            </w:r>
            <w:r w:rsidRPr="00496A4D">
              <w:rPr>
                <w:rFonts w:eastAsia="Times New Roman" w:cs="Calibri"/>
                <w:sz w:val="20"/>
                <w:szCs w:val="24"/>
                <w:lang w:eastAsia="en-GB"/>
              </w:rPr>
              <w:fldChar w:fldCharType="end"/>
            </w:r>
          </w:p>
        </w:tc>
        <w:tc>
          <w:tcPr>
            <w:tcW w:w="1667" w:type="dxa"/>
            <w:vAlign w:val="center"/>
          </w:tcPr>
          <w:p w14:paraId="1D997C2F" w14:textId="77777777" w:rsidR="00033C7E" w:rsidRPr="00A52AB8" w:rsidRDefault="00033C7E" w:rsidP="001B0754">
            <w:pPr>
              <w:tabs>
                <w:tab w:val="clear" w:pos="403"/>
              </w:tabs>
              <w:spacing w:after="0" w:line="240" w:lineRule="auto"/>
              <w:jc w:val="center"/>
              <w:rPr>
                <w:rFonts w:eastAsia="Times New Roman" w:cs="Calibri"/>
                <w:sz w:val="20"/>
                <w:szCs w:val="24"/>
                <w:lang w:eastAsia="en-GB"/>
              </w:rPr>
            </w:pPr>
            <w:r w:rsidRPr="00A52AB8">
              <w:rPr>
                <w:rFonts w:eastAsia="Times New Roman" w:cs="Calibri"/>
                <w:sz w:val="20"/>
                <w:szCs w:val="24"/>
                <w:lang w:eastAsia="en-GB"/>
              </w:rPr>
              <w:t>unconstrained</w:t>
            </w:r>
          </w:p>
        </w:tc>
      </w:tr>
      <w:tr w:rsidR="00BD70A5" w:rsidRPr="00A52AB8" w14:paraId="07AFB5C1" w14:textId="77777777" w:rsidTr="003819BE">
        <w:trPr>
          <w:trHeight w:val="315"/>
        </w:trPr>
        <w:tc>
          <w:tcPr>
            <w:tcW w:w="1922" w:type="dxa"/>
            <w:vAlign w:val="center"/>
          </w:tcPr>
          <w:p w14:paraId="738FFDDF" w14:textId="77777777" w:rsidR="00033C7E" w:rsidRPr="00A52AB8" w:rsidRDefault="00033C7E" w:rsidP="001B0754">
            <w:pPr>
              <w:tabs>
                <w:tab w:val="clear" w:pos="403"/>
              </w:tabs>
              <w:spacing w:after="0" w:line="240" w:lineRule="auto"/>
              <w:jc w:val="center"/>
              <w:rPr>
                <w:rFonts w:eastAsia="Times New Roman" w:cs="Calibri"/>
                <w:bCs/>
                <w:sz w:val="20"/>
                <w:szCs w:val="24"/>
                <w:lang w:eastAsia="en-GB"/>
              </w:rPr>
            </w:pPr>
            <w:r w:rsidRPr="00A52AB8">
              <w:rPr>
                <w:rFonts w:eastAsia="Times New Roman" w:cs="Calibri"/>
                <w:bCs/>
                <w:sz w:val="20"/>
                <w:szCs w:val="24"/>
                <w:lang w:eastAsia="en-GB"/>
              </w:rPr>
              <w:t>EOM</w:t>
            </w:r>
          </w:p>
        </w:tc>
        <w:tc>
          <w:tcPr>
            <w:tcW w:w="1759" w:type="dxa"/>
            <w:vAlign w:val="center"/>
          </w:tcPr>
          <w:p w14:paraId="760B4F1E" w14:textId="77777777" w:rsidR="00033C7E" w:rsidRPr="00A52AB8" w:rsidRDefault="00033C7E" w:rsidP="001B0754">
            <w:pPr>
              <w:tabs>
                <w:tab w:val="clear" w:pos="403"/>
              </w:tabs>
              <w:spacing w:after="0" w:line="240" w:lineRule="auto"/>
              <w:jc w:val="center"/>
              <w:rPr>
                <w:rFonts w:eastAsia="Times New Roman" w:cs="Calibri"/>
                <w:sz w:val="20"/>
                <w:szCs w:val="24"/>
                <w:lang w:eastAsia="en-GB"/>
              </w:rPr>
            </w:pPr>
            <w:r w:rsidRPr="00A52AB8">
              <w:rPr>
                <w:rFonts w:eastAsia="Times New Roman" w:cs="Calibri"/>
                <w:sz w:val="20"/>
                <w:szCs w:val="24"/>
                <w:lang w:eastAsia="en-GB"/>
              </w:rPr>
              <w:t>ignored</w:t>
            </w:r>
          </w:p>
        </w:tc>
        <w:tc>
          <w:tcPr>
            <w:tcW w:w="2410" w:type="dxa"/>
            <w:vAlign w:val="center"/>
          </w:tcPr>
          <w:p w14:paraId="2AE71C86" w14:textId="2020C459" w:rsidR="00033C7E" w:rsidRPr="00A52AB8" w:rsidRDefault="00033C7E" w:rsidP="001B0754">
            <w:pPr>
              <w:tabs>
                <w:tab w:val="clear" w:pos="403"/>
              </w:tabs>
              <w:spacing w:after="0" w:line="240" w:lineRule="auto"/>
              <w:jc w:val="center"/>
              <w:rPr>
                <w:rFonts w:eastAsia="Times New Roman" w:cs="Calibri"/>
                <w:sz w:val="20"/>
                <w:szCs w:val="24"/>
                <w:lang w:eastAsia="en-GB"/>
              </w:rPr>
            </w:pPr>
            <w:r w:rsidRPr="00A52AB8">
              <w:rPr>
                <w:rFonts w:eastAsia="Times New Roman" w:cs="Calibri"/>
                <w:sz w:val="20"/>
                <w:szCs w:val="24"/>
                <w:lang w:eastAsia="en-GB"/>
              </w:rPr>
              <w:t>reconstructed,</w:t>
            </w:r>
            <w:r w:rsidRPr="00A52AB8">
              <w:rPr>
                <w:rFonts w:eastAsia="Times New Roman" w:cs="Calibri"/>
                <w:sz w:val="20"/>
                <w:szCs w:val="24"/>
                <w:lang w:eastAsia="en-GB"/>
              </w:rPr>
              <w:br/>
              <w:t>according to subclause</w:t>
            </w:r>
            <w:r w:rsidR="0092762C" w:rsidRPr="00A52AB8">
              <w:rPr>
                <w:rFonts w:eastAsia="Times New Roman" w:cs="Calibri"/>
                <w:sz w:val="20"/>
                <w:szCs w:val="24"/>
                <w:lang w:eastAsia="en-GB"/>
              </w:rPr>
              <w:t xml:space="preserve"> </w:t>
            </w:r>
            <w:r w:rsidR="00797EE8" w:rsidRPr="00496A4D">
              <w:rPr>
                <w:rFonts w:eastAsia="Times New Roman" w:cs="Calibri"/>
                <w:sz w:val="20"/>
                <w:szCs w:val="24"/>
                <w:lang w:eastAsia="en-GB"/>
              </w:rPr>
              <w:fldChar w:fldCharType="begin"/>
            </w:r>
            <w:r w:rsidR="00797EE8" w:rsidRPr="00A52AB8">
              <w:rPr>
                <w:rFonts w:eastAsia="Times New Roman" w:cs="Calibri"/>
                <w:sz w:val="20"/>
                <w:szCs w:val="24"/>
                <w:lang w:eastAsia="en-GB"/>
              </w:rPr>
              <w:instrText xml:space="preserve"> REF _Ref47687018 \n \h  \* MERGEFORMAT </w:instrText>
            </w:r>
            <w:r w:rsidR="00797EE8" w:rsidRPr="00496A4D">
              <w:rPr>
                <w:rFonts w:eastAsia="Times New Roman" w:cs="Calibri"/>
                <w:sz w:val="20"/>
                <w:szCs w:val="24"/>
                <w:lang w:eastAsia="en-GB"/>
              </w:rPr>
            </w:r>
            <w:r w:rsidR="00797EE8" w:rsidRPr="00496A4D">
              <w:rPr>
                <w:rFonts w:eastAsia="Times New Roman" w:cs="Calibri"/>
                <w:sz w:val="20"/>
                <w:szCs w:val="24"/>
                <w:lang w:eastAsia="en-GB"/>
              </w:rPr>
              <w:fldChar w:fldCharType="separate"/>
            </w:r>
            <w:r w:rsidR="00507A67">
              <w:rPr>
                <w:rFonts w:eastAsia="Times New Roman" w:cs="Calibri"/>
                <w:sz w:val="20"/>
                <w:szCs w:val="24"/>
                <w:lang w:eastAsia="en-GB"/>
              </w:rPr>
              <w:t>H.11.3</w:t>
            </w:r>
            <w:r w:rsidR="00797EE8" w:rsidRPr="00496A4D">
              <w:rPr>
                <w:rFonts w:eastAsia="Times New Roman" w:cs="Calibri"/>
                <w:sz w:val="20"/>
                <w:szCs w:val="24"/>
                <w:lang w:eastAsia="en-GB"/>
              </w:rPr>
              <w:fldChar w:fldCharType="end"/>
            </w:r>
          </w:p>
        </w:tc>
        <w:tc>
          <w:tcPr>
            <w:tcW w:w="1984" w:type="dxa"/>
            <w:vAlign w:val="center"/>
          </w:tcPr>
          <w:p w14:paraId="7F3E066F" w14:textId="79E60307" w:rsidR="00033C7E" w:rsidRPr="00A52AB8" w:rsidRDefault="00FD4E96" w:rsidP="002A3E09">
            <w:pPr>
              <w:tabs>
                <w:tab w:val="clear" w:pos="403"/>
              </w:tabs>
              <w:spacing w:after="0" w:line="240" w:lineRule="auto"/>
              <w:jc w:val="center"/>
              <w:rPr>
                <w:rFonts w:eastAsia="Times New Roman" w:cs="Calibri"/>
                <w:sz w:val="20"/>
                <w:szCs w:val="24"/>
                <w:lang w:eastAsia="en-GB"/>
              </w:rPr>
            </w:pPr>
            <w:r w:rsidRPr="00A52AB8">
              <w:rPr>
                <w:rFonts w:eastAsia="Times New Roman" w:cs="Calibri"/>
                <w:sz w:val="20"/>
                <w:szCs w:val="24"/>
                <w:lang w:eastAsia="en-GB"/>
              </w:rPr>
              <w:t>reconstructed,</w:t>
            </w:r>
            <w:r w:rsidRPr="00A52AB8">
              <w:rPr>
                <w:rFonts w:eastAsia="Times New Roman" w:cs="Calibri"/>
                <w:sz w:val="20"/>
                <w:szCs w:val="24"/>
                <w:lang w:eastAsia="en-GB"/>
              </w:rPr>
              <w:br/>
              <w:t>according to subclause</w:t>
            </w:r>
            <w:r w:rsidR="00797EE8" w:rsidRPr="00496A4D">
              <w:rPr>
                <w:rFonts w:eastAsia="Times New Roman" w:cs="Calibri"/>
                <w:sz w:val="20"/>
                <w:szCs w:val="24"/>
                <w:lang w:eastAsia="en-GB"/>
              </w:rPr>
              <w:fldChar w:fldCharType="begin"/>
            </w:r>
            <w:r w:rsidR="00797EE8" w:rsidRPr="00A52AB8">
              <w:rPr>
                <w:rFonts w:eastAsia="Times New Roman" w:cs="Calibri"/>
                <w:sz w:val="20"/>
                <w:szCs w:val="24"/>
                <w:lang w:eastAsia="en-GB"/>
              </w:rPr>
              <w:instrText xml:space="preserve"> REF _Ref47687018 \n \h  \* MERGEFORMAT </w:instrText>
            </w:r>
            <w:r w:rsidR="00797EE8" w:rsidRPr="00496A4D">
              <w:rPr>
                <w:rFonts w:eastAsia="Times New Roman" w:cs="Calibri"/>
                <w:sz w:val="20"/>
                <w:szCs w:val="24"/>
                <w:lang w:eastAsia="en-GB"/>
              </w:rPr>
            </w:r>
            <w:r w:rsidR="00797EE8" w:rsidRPr="00496A4D">
              <w:rPr>
                <w:rFonts w:eastAsia="Times New Roman" w:cs="Calibri"/>
                <w:sz w:val="20"/>
                <w:szCs w:val="24"/>
                <w:lang w:eastAsia="en-GB"/>
              </w:rPr>
              <w:fldChar w:fldCharType="separate"/>
            </w:r>
            <w:r w:rsidR="00507A67">
              <w:rPr>
                <w:rFonts w:eastAsia="Times New Roman" w:cs="Calibri"/>
                <w:sz w:val="20"/>
                <w:szCs w:val="24"/>
                <w:lang w:eastAsia="en-GB"/>
              </w:rPr>
              <w:t>H.11.3</w:t>
            </w:r>
            <w:r w:rsidR="00797EE8" w:rsidRPr="00496A4D">
              <w:rPr>
                <w:rFonts w:eastAsia="Times New Roman" w:cs="Calibri"/>
                <w:sz w:val="20"/>
                <w:szCs w:val="24"/>
                <w:lang w:eastAsia="en-GB"/>
              </w:rPr>
              <w:fldChar w:fldCharType="end"/>
            </w:r>
          </w:p>
        </w:tc>
        <w:tc>
          <w:tcPr>
            <w:tcW w:w="1667" w:type="dxa"/>
            <w:vAlign w:val="center"/>
          </w:tcPr>
          <w:p w14:paraId="0989D4A7" w14:textId="77777777" w:rsidR="00033C7E" w:rsidRPr="00A52AB8" w:rsidRDefault="00033C7E" w:rsidP="001B0754">
            <w:pPr>
              <w:tabs>
                <w:tab w:val="clear" w:pos="403"/>
              </w:tabs>
              <w:spacing w:after="0" w:line="240" w:lineRule="auto"/>
              <w:jc w:val="center"/>
              <w:rPr>
                <w:rFonts w:eastAsia="Times New Roman" w:cs="Calibri"/>
                <w:sz w:val="20"/>
                <w:szCs w:val="24"/>
                <w:lang w:eastAsia="en-GB"/>
              </w:rPr>
            </w:pPr>
            <w:r w:rsidRPr="00A52AB8">
              <w:rPr>
                <w:rFonts w:eastAsia="Times New Roman" w:cs="Calibri"/>
                <w:sz w:val="20"/>
                <w:szCs w:val="24"/>
                <w:lang w:eastAsia="en-GB"/>
              </w:rPr>
              <w:t>unconstrained</w:t>
            </w:r>
          </w:p>
        </w:tc>
      </w:tr>
      <w:tr w:rsidR="00BD70A5" w:rsidRPr="00A52AB8" w14:paraId="143252A8" w14:textId="77777777" w:rsidTr="003819BE">
        <w:trPr>
          <w:trHeight w:val="315"/>
        </w:trPr>
        <w:tc>
          <w:tcPr>
            <w:tcW w:w="1922" w:type="dxa"/>
            <w:vAlign w:val="center"/>
          </w:tcPr>
          <w:p w14:paraId="7ADC7198" w14:textId="77777777" w:rsidR="00033C7E" w:rsidRPr="00A52AB8" w:rsidRDefault="00033C7E" w:rsidP="001B0754">
            <w:pPr>
              <w:tabs>
                <w:tab w:val="clear" w:pos="403"/>
              </w:tabs>
              <w:spacing w:after="0" w:line="240" w:lineRule="auto"/>
              <w:jc w:val="center"/>
              <w:rPr>
                <w:rFonts w:eastAsia="Times New Roman" w:cs="Calibri"/>
                <w:bCs/>
                <w:sz w:val="20"/>
                <w:szCs w:val="24"/>
                <w:lang w:eastAsia="en-GB"/>
              </w:rPr>
            </w:pPr>
            <w:r w:rsidRPr="00A52AB8">
              <w:rPr>
                <w:rFonts w:eastAsia="Times New Roman" w:cs="Calibri"/>
                <w:bCs/>
                <w:sz w:val="20"/>
                <w:szCs w:val="24"/>
                <w:lang w:eastAsia="en-GB"/>
              </w:rPr>
              <w:t>Duplicate point removal</w:t>
            </w:r>
          </w:p>
        </w:tc>
        <w:tc>
          <w:tcPr>
            <w:tcW w:w="1759" w:type="dxa"/>
            <w:vAlign w:val="center"/>
          </w:tcPr>
          <w:p w14:paraId="75FED52B" w14:textId="77777777" w:rsidR="00033C7E" w:rsidRPr="00A52AB8" w:rsidRDefault="00033C7E" w:rsidP="001B0754">
            <w:pPr>
              <w:tabs>
                <w:tab w:val="clear" w:pos="403"/>
              </w:tabs>
              <w:spacing w:after="0" w:line="240" w:lineRule="auto"/>
              <w:jc w:val="center"/>
              <w:rPr>
                <w:rFonts w:eastAsia="Times New Roman" w:cs="Calibri"/>
                <w:sz w:val="20"/>
                <w:szCs w:val="24"/>
                <w:lang w:eastAsia="en-GB"/>
              </w:rPr>
            </w:pPr>
            <w:r w:rsidRPr="00A52AB8">
              <w:rPr>
                <w:rFonts w:eastAsia="Times New Roman" w:cs="Calibri"/>
                <w:sz w:val="20"/>
                <w:szCs w:val="24"/>
                <w:lang w:eastAsia="en-GB"/>
              </w:rPr>
              <w:t>ignored</w:t>
            </w:r>
          </w:p>
        </w:tc>
        <w:tc>
          <w:tcPr>
            <w:tcW w:w="2410" w:type="dxa"/>
            <w:vAlign w:val="center"/>
          </w:tcPr>
          <w:p w14:paraId="4C44C3B0" w14:textId="480C05DC" w:rsidR="00033C7E" w:rsidRPr="00A52AB8" w:rsidRDefault="00033C7E" w:rsidP="001B0754">
            <w:pPr>
              <w:tabs>
                <w:tab w:val="clear" w:pos="403"/>
              </w:tabs>
              <w:spacing w:after="0" w:line="240" w:lineRule="auto"/>
              <w:jc w:val="center"/>
              <w:rPr>
                <w:rFonts w:eastAsia="Times New Roman" w:cs="Calibri"/>
                <w:sz w:val="20"/>
                <w:szCs w:val="24"/>
                <w:lang w:eastAsia="en-GB"/>
              </w:rPr>
            </w:pPr>
            <w:r w:rsidRPr="00A52AB8">
              <w:rPr>
                <w:rFonts w:eastAsia="Times New Roman" w:cs="Calibri"/>
                <w:sz w:val="20"/>
                <w:szCs w:val="24"/>
                <w:lang w:eastAsia="en-GB"/>
              </w:rPr>
              <w:t>reconstructed,</w:t>
            </w:r>
            <w:r w:rsidRPr="00A52AB8">
              <w:rPr>
                <w:rFonts w:eastAsia="Times New Roman" w:cs="Calibri"/>
                <w:sz w:val="20"/>
                <w:szCs w:val="24"/>
                <w:lang w:eastAsia="en-GB"/>
              </w:rPr>
              <w:br/>
              <w:t xml:space="preserve">according to subclause </w:t>
            </w:r>
            <w:r w:rsidR="00354035" w:rsidRPr="00496A4D">
              <w:rPr>
                <w:rFonts w:eastAsia="Times New Roman" w:cs="Calibri"/>
                <w:sz w:val="20"/>
                <w:szCs w:val="24"/>
                <w:lang w:eastAsia="en-GB"/>
              </w:rPr>
              <w:fldChar w:fldCharType="begin"/>
            </w:r>
            <w:r w:rsidR="00354035" w:rsidRPr="00A52AB8">
              <w:rPr>
                <w:rFonts w:eastAsia="Times New Roman" w:cs="Calibri"/>
                <w:sz w:val="20"/>
                <w:szCs w:val="24"/>
                <w:lang w:eastAsia="en-GB"/>
              </w:rPr>
              <w:instrText xml:space="preserve"> REF _Ref49203881 \r \h </w:instrText>
            </w:r>
            <w:r w:rsidR="00007BE2" w:rsidRPr="00A52AB8">
              <w:rPr>
                <w:rFonts w:eastAsia="Times New Roman" w:cs="Calibri"/>
                <w:sz w:val="20"/>
                <w:szCs w:val="24"/>
                <w:lang w:eastAsia="en-GB"/>
              </w:rPr>
              <w:instrText xml:space="preserve"> \* MERGEFORMAT </w:instrText>
            </w:r>
            <w:r w:rsidR="00354035" w:rsidRPr="00496A4D">
              <w:rPr>
                <w:rFonts w:eastAsia="Times New Roman" w:cs="Calibri"/>
                <w:sz w:val="20"/>
                <w:szCs w:val="24"/>
                <w:lang w:eastAsia="en-GB"/>
              </w:rPr>
            </w:r>
            <w:r w:rsidR="00354035" w:rsidRPr="00496A4D">
              <w:rPr>
                <w:rFonts w:eastAsia="Times New Roman" w:cs="Calibri"/>
                <w:sz w:val="20"/>
                <w:szCs w:val="24"/>
                <w:lang w:eastAsia="en-GB"/>
              </w:rPr>
              <w:fldChar w:fldCharType="separate"/>
            </w:r>
            <w:r w:rsidR="00507A67">
              <w:rPr>
                <w:rFonts w:eastAsia="Times New Roman" w:cs="Calibri"/>
                <w:sz w:val="20"/>
                <w:szCs w:val="24"/>
                <w:lang w:eastAsia="en-GB"/>
              </w:rPr>
              <w:t>H.11.2.2</w:t>
            </w:r>
            <w:r w:rsidR="00354035" w:rsidRPr="00496A4D">
              <w:rPr>
                <w:rFonts w:eastAsia="Times New Roman" w:cs="Calibri"/>
                <w:sz w:val="20"/>
                <w:szCs w:val="24"/>
                <w:lang w:eastAsia="en-GB"/>
              </w:rPr>
              <w:fldChar w:fldCharType="end"/>
            </w:r>
          </w:p>
        </w:tc>
        <w:tc>
          <w:tcPr>
            <w:tcW w:w="1984" w:type="dxa"/>
            <w:vAlign w:val="center"/>
          </w:tcPr>
          <w:p w14:paraId="05141487" w14:textId="74E479C6" w:rsidR="00033C7E" w:rsidRPr="00A52AB8" w:rsidRDefault="00FD4E96" w:rsidP="002A3E09">
            <w:pPr>
              <w:tabs>
                <w:tab w:val="clear" w:pos="403"/>
              </w:tabs>
              <w:spacing w:after="0" w:line="240" w:lineRule="auto"/>
              <w:jc w:val="center"/>
              <w:rPr>
                <w:rFonts w:eastAsia="Times New Roman" w:cs="Calibri"/>
                <w:sz w:val="20"/>
                <w:szCs w:val="24"/>
                <w:lang w:eastAsia="en-GB"/>
              </w:rPr>
            </w:pPr>
            <w:r w:rsidRPr="00A52AB8">
              <w:rPr>
                <w:rFonts w:eastAsia="Times New Roman" w:cs="Calibri"/>
                <w:sz w:val="20"/>
                <w:szCs w:val="24"/>
                <w:lang w:eastAsia="en-GB"/>
              </w:rPr>
              <w:t>reconstructed,</w:t>
            </w:r>
            <w:r w:rsidRPr="00A52AB8">
              <w:rPr>
                <w:rFonts w:eastAsia="Times New Roman" w:cs="Calibri"/>
                <w:sz w:val="20"/>
                <w:szCs w:val="24"/>
                <w:lang w:eastAsia="en-GB"/>
              </w:rPr>
              <w:br/>
              <w:t xml:space="preserve">according to subclause </w:t>
            </w:r>
            <w:r w:rsidR="00354035" w:rsidRPr="00496A4D">
              <w:rPr>
                <w:rFonts w:eastAsia="Times New Roman" w:cs="Calibri"/>
                <w:sz w:val="20"/>
                <w:szCs w:val="24"/>
                <w:lang w:eastAsia="en-GB"/>
              </w:rPr>
              <w:fldChar w:fldCharType="begin"/>
            </w:r>
            <w:r w:rsidR="00354035" w:rsidRPr="00A52AB8">
              <w:rPr>
                <w:rFonts w:eastAsia="Times New Roman" w:cs="Calibri"/>
                <w:sz w:val="20"/>
                <w:szCs w:val="24"/>
                <w:lang w:eastAsia="en-GB"/>
              </w:rPr>
              <w:instrText xml:space="preserve"> REF _Ref49203881 \r \h </w:instrText>
            </w:r>
            <w:r w:rsidR="00007BE2" w:rsidRPr="00A52AB8">
              <w:rPr>
                <w:rFonts w:eastAsia="Times New Roman" w:cs="Calibri"/>
                <w:sz w:val="20"/>
                <w:szCs w:val="24"/>
                <w:lang w:eastAsia="en-GB"/>
              </w:rPr>
              <w:instrText xml:space="preserve"> \* MERGEFORMAT </w:instrText>
            </w:r>
            <w:r w:rsidR="00354035" w:rsidRPr="00496A4D">
              <w:rPr>
                <w:rFonts w:eastAsia="Times New Roman" w:cs="Calibri"/>
                <w:sz w:val="20"/>
                <w:szCs w:val="24"/>
                <w:lang w:eastAsia="en-GB"/>
              </w:rPr>
            </w:r>
            <w:r w:rsidR="00354035" w:rsidRPr="00496A4D">
              <w:rPr>
                <w:rFonts w:eastAsia="Times New Roman" w:cs="Calibri"/>
                <w:sz w:val="20"/>
                <w:szCs w:val="24"/>
                <w:lang w:eastAsia="en-GB"/>
              </w:rPr>
              <w:fldChar w:fldCharType="separate"/>
            </w:r>
            <w:r w:rsidR="00507A67">
              <w:rPr>
                <w:rFonts w:eastAsia="Times New Roman" w:cs="Calibri"/>
                <w:sz w:val="20"/>
                <w:szCs w:val="24"/>
                <w:lang w:eastAsia="en-GB"/>
              </w:rPr>
              <w:t>H.11.2.2</w:t>
            </w:r>
            <w:r w:rsidR="00354035" w:rsidRPr="00496A4D">
              <w:rPr>
                <w:rFonts w:eastAsia="Times New Roman" w:cs="Calibri"/>
                <w:sz w:val="20"/>
                <w:szCs w:val="24"/>
                <w:lang w:eastAsia="en-GB"/>
              </w:rPr>
              <w:fldChar w:fldCharType="end"/>
            </w:r>
          </w:p>
        </w:tc>
        <w:tc>
          <w:tcPr>
            <w:tcW w:w="1667" w:type="dxa"/>
            <w:vAlign w:val="center"/>
          </w:tcPr>
          <w:p w14:paraId="6E642D7F" w14:textId="77777777" w:rsidR="00033C7E" w:rsidRPr="00A52AB8" w:rsidRDefault="00033C7E" w:rsidP="001B0754">
            <w:pPr>
              <w:tabs>
                <w:tab w:val="clear" w:pos="403"/>
              </w:tabs>
              <w:spacing w:after="0" w:line="240" w:lineRule="auto"/>
              <w:jc w:val="center"/>
              <w:rPr>
                <w:rFonts w:eastAsia="Times New Roman" w:cs="Calibri"/>
                <w:sz w:val="20"/>
                <w:szCs w:val="24"/>
                <w:lang w:eastAsia="en-GB"/>
              </w:rPr>
            </w:pPr>
            <w:r w:rsidRPr="00A52AB8">
              <w:rPr>
                <w:rFonts w:eastAsia="Times New Roman" w:cs="Calibri"/>
                <w:sz w:val="20"/>
                <w:szCs w:val="24"/>
                <w:lang w:eastAsia="en-GB"/>
              </w:rPr>
              <w:t>unconstrained</w:t>
            </w:r>
          </w:p>
        </w:tc>
      </w:tr>
      <w:tr w:rsidR="00BD70A5" w:rsidRPr="00A52AB8" w14:paraId="2BB05DC5" w14:textId="77777777" w:rsidTr="003819BE">
        <w:trPr>
          <w:trHeight w:val="315"/>
        </w:trPr>
        <w:tc>
          <w:tcPr>
            <w:tcW w:w="1922" w:type="dxa"/>
            <w:vAlign w:val="center"/>
            <w:hideMark/>
          </w:tcPr>
          <w:p w14:paraId="6999B1B3" w14:textId="77777777" w:rsidR="00033C7E" w:rsidRPr="00A52AB8" w:rsidRDefault="00033C7E" w:rsidP="001B0754">
            <w:pPr>
              <w:tabs>
                <w:tab w:val="clear" w:pos="403"/>
              </w:tabs>
              <w:spacing w:after="0" w:line="240" w:lineRule="auto"/>
              <w:jc w:val="center"/>
              <w:rPr>
                <w:rFonts w:eastAsia="Times New Roman" w:cs="Calibri"/>
                <w:bCs/>
                <w:sz w:val="20"/>
                <w:szCs w:val="24"/>
                <w:lang w:eastAsia="en-GB"/>
              </w:rPr>
            </w:pPr>
            <w:r w:rsidRPr="00A52AB8">
              <w:rPr>
                <w:rFonts w:eastAsia="Times New Roman" w:cs="Calibri"/>
                <w:bCs/>
                <w:sz w:val="20"/>
                <w:szCs w:val="24"/>
                <w:lang w:eastAsia="en-GB"/>
              </w:rPr>
              <w:t>RAW patches</w:t>
            </w:r>
          </w:p>
        </w:tc>
        <w:tc>
          <w:tcPr>
            <w:tcW w:w="1759" w:type="dxa"/>
            <w:vAlign w:val="center"/>
            <w:hideMark/>
          </w:tcPr>
          <w:p w14:paraId="4843027C" w14:textId="77777777" w:rsidR="00033C7E" w:rsidRPr="00A52AB8" w:rsidRDefault="00033C7E" w:rsidP="001B0754">
            <w:pPr>
              <w:tabs>
                <w:tab w:val="clear" w:pos="403"/>
              </w:tabs>
              <w:spacing w:after="0" w:line="240" w:lineRule="auto"/>
              <w:jc w:val="center"/>
              <w:rPr>
                <w:rFonts w:eastAsia="Times New Roman" w:cs="Calibri"/>
                <w:sz w:val="20"/>
                <w:szCs w:val="24"/>
                <w:lang w:eastAsia="en-GB"/>
              </w:rPr>
            </w:pPr>
            <w:r w:rsidRPr="00A52AB8">
              <w:rPr>
                <w:rFonts w:eastAsia="Times New Roman" w:cs="Calibri"/>
                <w:sz w:val="20"/>
                <w:szCs w:val="24"/>
                <w:lang w:eastAsia="en-GB"/>
              </w:rPr>
              <w:t>ignored</w:t>
            </w:r>
          </w:p>
        </w:tc>
        <w:tc>
          <w:tcPr>
            <w:tcW w:w="2410" w:type="dxa"/>
            <w:vAlign w:val="center"/>
            <w:hideMark/>
          </w:tcPr>
          <w:p w14:paraId="491CAED4" w14:textId="77777777" w:rsidR="0050235C" w:rsidRPr="00A52AB8" w:rsidRDefault="00033C7E" w:rsidP="001B0754">
            <w:pPr>
              <w:tabs>
                <w:tab w:val="clear" w:pos="403"/>
              </w:tabs>
              <w:spacing w:after="0" w:line="240" w:lineRule="auto"/>
              <w:jc w:val="center"/>
              <w:rPr>
                <w:rFonts w:eastAsia="Times New Roman" w:cs="Calibri"/>
                <w:sz w:val="20"/>
                <w:szCs w:val="24"/>
                <w:lang w:eastAsia="en-GB"/>
              </w:rPr>
            </w:pPr>
            <w:r w:rsidRPr="00A52AB8">
              <w:rPr>
                <w:rFonts w:eastAsia="Times New Roman" w:cs="Calibri"/>
                <w:sz w:val="20"/>
                <w:szCs w:val="24"/>
                <w:lang w:eastAsia="en-GB"/>
              </w:rPr>
              <w:t>reconstructed,</w:t>
            </w:r>
            <w:r w:rsidRPr="00A52AB8">
              <w:rPr>
                <w:rFonts w:eastAsia="Times New Roman" w:cs="Calibri"/>
                <w:sz w:val="20"/>
                <w:szCs w:val="24"/>
                <w:lang w:eastAsia="en-GB"/>
              </w:rPr>
              <w:br/>
              <w:t>according to subclause</w:t>
            </w:r>
          </w:p>
          <w:p w14:paraId="5127339B" w14:textId="0B3CC23E" w:rsidR="00797EE8" w:rsidRPr="00A52AB8" w:rsidRDefault="00797EE8" w:rsidP="001B0754">
            <w:pPr>
              <w:tabs>
                <w:tab w:val="clear" w:pos="403"/>
              </w:tabs>
              <w:spacing w:after="0" w:line="240" w:lineRule="auto"/>
              <w:jc w:val="center"/>
              <w:rPr>
                <w:rFonts w:eastAsia="Times New Roman" w:cs="Calibri"/>
                <w:sz w:val="20"/>
                <w:szCs w:val="24"/>
                <w:lang w:eastAsia="en-GB"/>
              </w:rPr>
            </w:pPr>
            <w:r w:rsidRPr="00496A4D">
              <w:rPr>
                <w:rFonts w:eastAsia="Times New Roman" w:cs="Calibri"/>
                <w:sz w:val="20"/>
                <w:szCs w:val="24"/>
                <w:lang w:eastAsia="en-GB"/>
              </w:rPr>
              <w:fldChar w:fldCharType="begin"/>
            </w:r>
            <w:r w:rsidRPr="00A52AB8">
              <w:rPr>
                <w:rFonts w:eastAsia="Times New Roman" w:cs="Calibri"/>
                <w:sz w:val="20"/>
                <w:szCs w:val="24"/>
                <w:lang w:eastAsia="en-GB"/>
              </w:rPr>
              <w:instrText xml:space="preserve"> REF _Ref38890359 \n \h  \* MERGEFORMAT </w:instrText>
            </w:r>
            <w:r w:rsidRPr="00496A4D">
              <w:rPr>
                <w:rFonts w:eastAsia="Times New Roman" w:cs="Calibri"/>
                <w:sz w:val="20"/>
                <w:szCs w:val="24"/>
                <w:lang w:eastAsia="en-GB"/>
              </w:rPr>
            </w:r>
            <w:r w:rsidRPr="00496A4D">
              <w:rPr>
                <w:rFonts w:eastAsia="Times New Roman" w:cs="Calibri"/>
                <w:sz w:val="20"/>
                <w:szCs w:val="24"/>
                <w:lang w:eastAsia="en-GB"/>
              </w:rPr>
              <w:fldChar w:fldCharType="separate"/>
            </w:r>
            <w:r w:rsidR="00507A67">
              <w:rPr>
                <w:rFonts w:eastAsia="Times New Roman" w:cs="Calibri"/>
                <w:sz w:val="20"/>
                <w:szCs w:val="24"/>
                <w:lang w:eastAsia="en-GB"/>
              </w:rPr>
              <w:t>H.11.4</w:t>
            </w:r>
            <w:r w:rsidRPr="00496A4D">
              <w:rPr>
                <w:rFonts w:eastAsia="Times New Roman" w:cs="Calibri"/>
                <w:sz w:val="20"/>
                <w:szCs w:val="24"/>
                <w:lang w:eastAsia="en-GB"/>
              </w:rPr>
              <w:fldChar w:fldCharType="end"/>
            </w:r>
          </w:p>
        </w:tc>
        <w:tc>
          <w:tcPr>
            <w:tcW w:w="1984" w:type="dxa"/>
            <w:vAlign w:val="center"/>
          </w:tcPr>
          <w:p w14:paraId="67F39441" w14:textId="21C368A4" w:rsidR="00033C7E" w:rsidRPr="00A52AB8" w:rsidRDefault="00FD4E96" w:rsidP="002A3E09">
            <w:pPr>
              <w:tabs>
                <w:tab w:val="clear" w:pos="403"/>
              </w:tabs>
              <w:spacing w:after="0" w:line="240" w:lineRule="auto"/>
              <w:jc w:val="center"/>
              <w:rPr>
                <w:rFonts w:eastAsia="Times New Roman" w:cs="Calibri"/>
                <w:sz w:val="20"/>
                <w:szCs w:val="24"/>
                <w:lang w:eastAsia="en-GB"/>
              </w:rPr>
            </w:pPr>
            <w:r w:rsidRPr="00A52AB8">
              <w:rPr>
                <w:rFonts w:eastAsia="Times New Roman" w:cs="Calibri"/>
                <w:sz w:val="20"/>
                <w:szCs w:val="24"/>
                <w:lang w:eastAsia="en-GB"/>
              </w:rPr>
              <w:t>reconstructed,</w:t>
            </w:r>
            <w:r w:rsidRPr="00A52AB8">
              <w:rPr>
                <w:rFonts w:eastAsia="Times New Roman" w:cs="Calibri"/>
                <w:sz w:val="20"/>
                <w:szCs w:val="24"/>
                <w:lang w:eastAsia="en-GB"/>
              </w:rPr>
              <w:br/>
              <w:t xml:space="preserve">according to subclause </w:t>
            </w:r>
            <w:r w:rsidR="00797EE8" w:rsidRPr="00496A4D">
              <w:rPr>
                <w:rFonts w:eastAsia="Times New Roman" w:cs="Calibri"/>
                <w:sz w:val="20"/>
                <w:szCs w:val="24"/>
                <w:lang w:eastAsia="en-GB"/>
              </w:rPr>
              <w:fldChar w:fldCharType="begin"/>
            </w:r>
            <w:r w:rsidR="00797EE8" w:rsidRPr="00A52AB8">
              <w:rPr>
                <w:rFonts w:eastAsia="Times New Roman" w:cs="Calibri"/>
                <w:sz w:val="20"/>
                <w:szCs w:val="24"/>
                <w:lang w:eastAsia="en-GB"/>
              </w:rPr>
              <w:instrText xml:space="preserve"> REF _Ref38890359 \n \h  \* MERGEFORMAT </w:instrText>
            </w:r>
            <w:r w:rsidR="00797EE8" w:rsidRPr="00496A4D">
              <w:rPr>
                <w:rFonts w:eastAsia="Times New Roman" w:cs="Calibri"/>
                <w:sz w:val="20"/>
                <w:szCs w:val="24"/>
                <w:lang w:eastAsia="en-GB"/>
              </w:rPr>
            </w:r>
            <w:r w:rsidR="00797EE8" w:rsidRPr="00496A4D">
              <w:rPr>
                <w:rFonts w:eastAsia="Times New Roman" w:cs="Calibri"/>
                <w:sz w:val="20"/>
                <w:szCs w:val="24"/>
                <w:lang w:eastAsia="en-GB"/>
              </w:rPr>
              <w:fldChar w:fldCharType="separate"/>
            </w:r>
            <w:r w:rsidR="00507A67">
              <w:rPr>
                <w:rFonts w:eastAsia="Times New Roman" w:cs="Calibri"/>
                <w:sz w:val="20"/>
                <w:szCs w:val="24"/>
                <w:lang w:eastAsia="en-GB"/>
              </w:rPr>
              <w:t>H.11.4</w:t>
            </w:r>
            <w:r w:rsidR="00797EE8" w:rsidRPr="00496A4D">
              <w:rPr>
                <w:rFonts w:eastAsia="Times New Roman" w:cs="Calibri"/>
                <w:sz w:val="20"/>
                <w:szCs w:val="24"/>
                <w:lang w:eastAsia="en-GB"/>
              </w:rPr>
              <w:fldChar w:fldCharType="end"/>
            </w:r>
          </w:p>
        </w:tc>
        <w:tc>
          <w:tcPr>
            <w:tcW w:w="1667" w:type="dxa"/>
            <w:vAlign w:val="center"/>
            <w:hideMark/>
          </w:tcPr>
          <w:p w14:paraId="068B5E61" w14:textId="77777777" w:rsidR="00033C7E" w:rsidRPr="00A52AB8" w:rsidRDefault="00033C7E" w:rsidP="001B0754">
            <w:pPr>
              <w:tabs>
                <w:tab w:val="clear" w:pos="403"/>
              </w:tabs>
              <w:spacing w:after="0" w:line="240" w:lineRule="auto"/>
              <w:jc w:val="center"/>
              <w:rPr>
                <w:rFonts w:eastAsia="Times New Roman" w:cs="Calibri"/>
                <w:sz w:val="20"/>
                <w:szCs w:val="24"/>
                <w:lang w:eastAsia="en-GB"/>
              </w:rPr>
            </w:pPr>
            <w:r w:rsidRPr="00A52AB8">
              <w:rPr>
                <w:rFonts w:eastAsia="Times New Roman" w:cs="Calibri"/>
                <w:sz w:val="20"/>
                <w:szCs w:val="24"/>
                <w:lang w:eastAsia="en-GB"/>
              </w:rPr>
              <w:t>unconstrained</w:t>
            </w:r>
          </w:p>
        </w:tc>
      </w:tr>
      <w:tr w:rsidR="00BD70A5" w:rsidRPr="00A52AB8" w14:paraId="21FAD1ED" w14:textId="77777777" w:rsidTr="003819BE">
        <w:trPr>
          <w:trHeight w:val="315"/>
        </w:trPr>
        <w:tc>
          <w:tcPr>
            <w:tcW w:w="1922" w:type="dxa"/>
            <w:vAlign w:val="center"/>
            <w:hideMark/>
          </w:tcPr>
          <w:p w14:paraId="280A20B1" w14:textId="77777777" w:rsidR="00033C7E" w:rsidRPr="00A52AB8" w:rsidRDefault="00164F92" w:rsidP="001B0754">
            <w:pPr>
              <w:tabs>
                <w:tab w:val="clear" w:pos="403"/>
              </w:tabs>
              <w:spacing w:after="0" w:line="240" w:lineRule="auto"/>
              <w:jc w:val="center"/>
              <w:rPr>
                <w:rFonts w:eastAsia="Times New Roman" w:cs="Calibri"/>
                <w:bCs/>
                <w:sz w:val="20"/>
                <w:szCs w:val="24"/>
                <w:lang w:eastAsia="en-GB"/>
              </w:rPr>
            </w:pPr>
            <w:r w:rsidRPr="00A52AB8">
              <w:rPr>
                <w:rFonts w:eastAsia="Times New Roman" w:cs="Calibri"/>
                <w:bCs/>
                <w:sz w:val="20"/>
                <w:szCs w:val="24"/>
                <w:lang w:eastAsia="en-GB"/>
              </w:rPr>
              <w:t xml:space="preserve">Geometry </w:t>
            </w:r>
            <w:r w:rsidR="00033C7E" w:rsidRPr="00A52AB8">
              <w:rPr>
                <w:rFonts w:eastAsia="Times New Roman" w:cs="Calibri"/>
                <w:bCs/>
                <w:sz w:val="20"/>
                <w:szCs w:val="24"/>
                <w:lang w:eastAsia="en-GB"/>
              </w:rPr>
              <w:t>Smoothing</w:t>
            </w:r>
          </w:p>
        </w:tc>
        <w:tc>
          <w:tcPr>
            <w:tcW w:w="1759" w:type="dxa"/>
            <w:vAlign w:val="center"/>
            <w:hideMark/>
          </w:tcPr>
          <w:p w14:paraId="2794DCC7" w14:textId="77777777" w:rsidR="00033C7E" w:rsidRPr="00A52AB8" w:rsidRDefault="00033C7E" w:rsidP="001B0754">
            <w:pPr>
              <w:tabs>
                <w:tab w:val="clear" w:pos="403"/>
              </w:tabs>
              <w:spacing w:after="0" w:line="240" w:lineRule="auto"/>
              <w:jc w:val="center"/>
              <w:rPr>
                <w:rFonts w:eastAsia="Times New Roman" w:cs="Calibri"/>
                <w:sz w:val="20"/>
                <w:szCs w:val="24"/>
                <w:lang w:eastAsia="en-GB"/>
              </w:rPr>
            </w:pPr>
            <w:r w:rsidRPr="00A52AB8">
              <w:rPr>
                <w:rFonts w:eastAsia="Times New Roman" w:cs="Calibri"/>
                <w:sz w:val="20"/>
                <w:szCs w:val="24"/>
                <w:lang w:eastAsia="en-GB"/>
              </w:rPr>
              <w:t>ignored</w:t>
            </w:r>
          </w:p>
        </w:tc>
        <w:tc>
          <w:tcPr>
            <w:tcW w:w="2410" w:type="dxa"/>
            <w:vAlign w:val="center"/>
            <w:hideMark/>
          </w:tcPr>
          <w:p w14:paraId="14E673CB" w14:textId="5F161538" w:rsidR="00033C7E" w:rsidRPr="00A52AB8" w:rsidRDefault="00033C7E" w:rsidP="001B0754">
            <w:pPr>
              <w:tabs>
                <w:tab w:val="clear" w:pos="403"/>
              </w:tabs>
              <w:spacing w:after="0" w:line="240" w:lineRule="auto"/>
              <w:jc w:val="center"/>
              <w:rPr>
                <w:rFonts w:eastAsia="Times New Roman" w:cs="Calibri"/>
                <w:sz w:val="20"/>
                <w:szCs w:val="24"/>
                <w:lang w:eastAsia="en-GB"/>
              </w:rPr>
            </w:pPr>
            <w:r w:rsidRPr="00A52AB8">
              <w:rPr>
                <w:rFonts w:eastAsia="Times New Roman" w:cs="Calibri"/>
                <w:sz w:val="20"/>
                <w:szCs w:val="24"/>
                <w:lang w:eastAsia="en-GB"/>
              </w:rPr>
              <w:t>reconstructed,</w:t>
            </w:r>
            <w:r w:rsidRPr="00A52AB8">
              <w:rPr>
                <w:rFonts w:eastAsia="Times New Roman" w:cs="Calibri"/>
                <w:sz w:val="20"/>
                <w:szCs w:val="24"/>
                <w:lang w:eastAsia="en-GB"/>
              </w:rPr>
              <w:br/>
              <w:t xml:space="preserve">according to subclause </w:t>
            </w:r>
            <w:r w:rsidR="00823061" w:rsidRPr="00496A4D">
              <w:rPr>
                <w:rFonts w:eastAsia="Times New Roman" w:cs="Calibri"/>
                <w:sz w:val="20"/>
                <w:szCs w:val="24"/>
                <w:lang w:eastAsia="en-GB"/>
              </w:rPr>
              <w:fldChar w:fldCharType="begin"/>
            </w:r>
            <w:r w:rsidR="00823061" w:rsidRPr="00A52AB8">
              <w:rPr>
                <w:rFonts w:eastAsia="Times New Roman" w:cs="Calibri"/>
                <w:sz w:val="20"/>
                <w:szCs w:val="24"/>
                <w:lang w:eastAsia="en-GB"/>
              </w:rPr>
              <w:instrText xml:space="preserve"> REF _Ref39773040 \r \h </w:instrText>
            </w:r>
            <w:r w:rsidR="00CA5401" w:rsidRPr="00A52AB8">
              <w:rPr>
                <w:rFonts w:eastAsia="Times New Roman" w:cs="Calibri"/>
                <w:sz w:val="20"/>
                <w:szCs w:val="24"/>
                <w:lang w:eastAsia="en-GB"/>
              </w:rPr>
              <w:instrText xml:space="preserve"> \* MERGEFORMAT </w:instrText>
            </w:r>
            <w:r w:rsidR="00823061" w:rsidRPr="00496A4D">
              <w:rPr>
                <w:rFonts w:eastAsia="Times New Roman" w:cs="Calibri"/>
                <w:sz w:val="20"/>
                <w:szCs w:val="24"/>
                <w:lang w:eastAsia="en-GB"/>
              </w:rPr>
            </w:r>
            <w:r w:rsidR="00823061" w:rsidRPr="00496A4D">
              <w:rPr>
                <w:rFonts w:eastAsia="Times New Roman" w:cs="Calibri"/>
                <w:sz w:val="20"/>
                <w:szCs w:val="24"/>
                <w:lang w:eastAsia="en-GB"/>
              </w:rPr>
              <w:fldChar w:fldCharType="separate"/>
            </w:r>
            <w:r w:rsidR="00507A67">
              <w:rPr>
                <w:rFonts w:eastAsia="Times New Roman" w:cs="Calibri"/>
                <w:sz w:val="20"/>
                <w:szCs w:val="24"/>
                <w:lang w:eastAsia="en-GB"/>
              </w:rPr>
              <w:t>H.12.2</w:t>
            </w:r>
            <w:r w:rsidR="00823061" w:rsidRPr="00496A4D">
              <w:rPr>
                <w:rFonts w:eastAsia="Times New Roman" w:cs="Calibri"/>
                <w:sz w:val="20"/>
                <w:szCs w:val="24"/>
                <w:lang w:eastAsia="en-GB"/>
              </w:rPr>
              <w:fldChar w:fldCharType="end"/>
            </w:r>
          </w:p>
        </w:tc>
        <w:tc>
          <w:tcPr>
            <w:tcW w:w="1984" w:type="dxa"/>
            <w:vAlign w:val="center"/>
          </w:tcPr>
          <w:p w14:paraId="67F500BF" w14:textId="77777777" w:rsidR="00033C7E" w:rsidRPr="00A52AB8" w:rsidRDefault="00166DCE" w:rsidP="002A3E09">
            <w:pPr>
              <w:tabs>
                <w:tab w:val="clear" w:pos="403"/>
              </w:tabs>
              <w:spacing w:after="0" w:line="240" w:lineRule="auto"/>
              <w:jc w:val="center"/>
              <w:rPr>
                <w:rFonts w:eastAsia="Times New Roman" w:cs="Calibri"/>
                <w:sz w:val="20"/>
                <w:szCs w:val="24"/>
                <w:lang w:eastAsia="en-GB"/>
              </w:rPr>
            </w:pPr>
            <w:r w:rsidRPr="00A52AB8">
              <w:rPr>
                <w:rFonts w:eastAsia="Times New Roman" w:cs="Calibri"/>
                <w:sz w:val="20"/>
                <w:szCs w:val="24"/>
                <w:lang w:eastAsia="en-GB"/>
              </w:rPr>
              <w:t>ignored</w:t>
            </w:r>
          </w:p>
        </w:tc>
        <w:tc>
          <w:tcPr>
            <w:tcW w:w="1667" w:type="dxa"/>
            <w:vAlign w:val="center"/>
            <w:hideMark/>
          </w:tcPr>
          <w:p w14:paraId="3D2A7C99" w14:textId="77777777" w:rsidR="00033C7E" w:rsidRPr="00A52AB8" w:rsidRDefault="00033C7E" w:rsidP="001B0754">
            <w:pPr>
              <w:tabs>
                <w:tab w:val="clear" w:pos="403"/>
              </w:tabs>
              <w:spacing w:after="0" w:line="240" w:lineRule="auto"/>
              <w:jc w:val="center"/>
              <w:rPr>
                <w:rFonts w:eastAsia="Times New Roman" w:cs="Calibri"/>
                <w:sz w:val="20"/>
                <w:szCs w:val="24"/>
                <w:lang w:eastAsia="en-GB"/>
              </w:rPr>
            </w:pPr>
            <w:r w:rsidRPr="00A52AB8">
              <w:rPr>
                <w:rFonts w:eastAsia="Times New Roman" w:cs="Calibri"/>
                <w:sz w:val="20"/>
                <w:szCs w:val="24"/>
                <w:lang w:eastAsia="en-GB"/>
              </w:rPr>
              <w:t>unconstrained</w:t>
            </w:r>
          </w:p>
        </w:tc>
      </w:tr>
      <w:tr w:rsidR="008D5244" w:rsidRPr="00A52AB8" w14:paraId="3CE42D15" w14:textId="77777777" w:rsidTr="003819BE">
        <w:trPr>
          <w:trHeight w:val="315"/>
        </w:trPr>
        <w:tc>
          <w:tcPr>
            <w:tcW w:w="1922" w:type="dxa"/>
            <w:vAlign w:val="center"/>
          </w:tcPr>
          <w:p w14:paraId="42AFDFAB" w14:textId="3778667C" w:rsidR="008D5244" w:rsidRPr="00A52AB8" w:rsidRDefault="008D5244" w:rsidP="001B0754">
            <w:pPr>
              <w:tabs>
                <w:tab w:val="clear" w:pos="403"/>
              </w:tabs>
              <w:spacing w:after="0" w:line="240" w:lineRule="auto"/>
              <w:jc w:val="center"/>
              <w:rPr>
                <w:rFonts w:eastAsia="Times New Roman" w:cs="Calibri"/>
                <w:bCs/>
                <w:sz w:val="20"/>
                <w:szCs w:val="24"/>
                <w:lang w:eastAsia="en-GB"/>
              </w:rPr>
            </w:pPr>
            <w:r w:rsidRPr="00A52AB8">
              <w:rPr>
                <w:rFonts w:eastAsia="Times New Roman" w:cs="Calibri"/>
                <w:bCs/>
                <w:sz w:val="20"/>
                <w:szCs w:val="24"/>
                <w:lang w:eastAsia="en-GB"/>
              </w:rPr>
              <w:t>Attribute</w:t>
            </w:r>
            <w:r w:rsidRPr="00A52AB8">
              <w:rPr>
                <w:rFonts w:eastAsia="Times New Roman" w:cs="Calibri"/>
                <w:bCs/>
                <w:sz w:val="20"/>
                <w:szCs w:val="24"/>
                <w:lang w:eastAsia="en-GB"/>
              </w:rPr>
              <w:br/>
              <w:t>Transfer</w:t>
            </w:r>
          </w:p>
        </w:tc>
        <w:tc>
          <w:tcPr>
            <w:tcW w:w="1759" w:type="dxa"/>
            <w:vAlign w:val="center"/>
          </w:tcPr>
          <w:p w14:paraId="70247970" w14:textId="7A5580C2" w:rsidR="008D5244" w:rsidRPr="00A52AB8" w:rsidRDefault="008D5244" w:rsidP="001B0754">
            <w:pPr>
              <w:tabs>
                <w:tab w:val="clear" w:pos="403"/>
              </w:tabs>
              <w:spacing w:after="0" w:line="240" w:lineRule="auto"/>
              <w:jc w:val="center"/>
              <w:rPr>
                <w:rFonts w:eastAsia="Times New Roman" w:cs="Calibri"/>
                <w:sz w:val="20"/>
                <w:szCs w:val="24"/>
                <w:lang w:eastAsia="en-GB"/>
              </w:rPr>
            </w:pPr>
            <w:r w:rsidRPr="00A52AB8">
              <w:rPr>
                <w:rFonts w:eastAsia="Times New Roman" w:cs="Calibri"/>
                <w:sz w:val="20"/>
                <w:szCs w:val="24"/>
                <w:lang w:eastAsia="en-GB"/>
              </w:rPr>
              <w:t>ignored</w:t>
            </w:r>
          </w:p>
        </w:tc>
        <w:tc>
          <w:tcPr>
            <w:tcW w:w="2410" w:type="dxa"/>
            <w:vAlign w:val="center"/>
          </w:tcPr>
          <w:p w14:paraId="4253A11E" w14:textId="3F012442" w:rsidR="008D5244" w:rsidRPr="00A52AB8" w:rsidRDefault="008D5244" w:rsidP="001B0754">
            <w:pPr>
              <w:tabs>
                <w:tab w:val="clear" w:pos="403"/>
              </w:tabs>
              <w:spacing w:after="0" w:line="240" w:lineRule="auto"/>
              <w:jc w:val="center"/>
              <w:rPr>
                <w:rFonts w:eastAsia="Times New Roman" w:cs="Calibri"/>
                <w:sz w:val="20"/>
                <w:szCs w:val="24"/>
                <w:lang w:eastAsia="en-GB"/>
              </w:rPr>
            </w:pPr>
            <w:r w:rsidRPr="00A52AB8">
              <w:rPr>
                <w:rFonts w:eastAsia="Times New Roman" w:cs="Calibri"/>
                <w:sz w:val="20"/>
                <w:szCs w:val="24"/>
                <w:lang w:eastAsia="en-GB"/>
              </w:rPr>
              <w:t>reconstructed,</w:t>
            </w:r>
            <w:r w:rsidRPr="00A52AB8">
              <w:rPr>
                <w:rFonts w:eastAsia="Times New Roman" w:cs="Calibri"/>
                <w:sz w:val="20"/>
                <w:szCs w:val="24"/>
                <w:lang w:eastAsia="en-GB"/>
              </w:rPr>
              <w:br/>
              <w:t xml:space="preserve">according to subclause </w:t>
            </w:r>
            <w:r w:rsidRPr="00496A4D">
              <w:rPr>
                <w:rFonts w:eastAsia="Times New Roman" w:cs="Calibri"/>
                <w:sz w:val="20"/>
                <w:szCs w:val="24"/>
                <w:lang w:eastAsia="en-GB"/>
              </w:rPr>
              <w:fldChar w:fldCharType="begin"/>
            </w:r>
            <w:r w:rsidRPr="00A52AB8">
              <w:rPr>
                <w:rFonts w:eastAsia="Times New Roman" w:cs="Calibri"/>
                <w:sz w:val="20"/>
                <w:szCs w:val="24"/>
                <w:lang w:eastAsia="en-GB"/>
              </w:rPr>
              <w:instrText xml:space="preserve"> REF _Ref49423376 \n \h </w:instrText>
            </w:r>
            <w:r w:rsidR="00007BE2" w:rsidRPr="00A52AB8">
              <w:rPr>
                <w:rFonts w:eastAsia="Times New Roman" w:cs="Calibri"/>
                <w:sz w:val="20"/>
                <w:szCs w:val="24"/>
                <w:lang w:eastAsia="en-GB"/>
              </w:rPr>
              <w:instrText xml:space="preserve"> \* MERGEFORMAT </w:instrText>
            </w:r>
            <w:r w:rsidRPr="00496A4D">
              <w:rPr>
                <w:rFonts w:eastAsia="Times New Roman" w:cs="Calibri"/>
                <w:sz w:val="20"/>
                <w:szCs w:val="24"/>
                <w:lang w:eastAsia="en-GB"/>
              </w:rPr>
            </w:r>
            <w:r w:rsidRPr="00496A4D">
              <w:rPr>
                <w:rFonts w:eastAsia="Times New Roman" w:cs="Calibri"/>
                <w:sz w:val="20"/>
                <w:szCs w:val="24"/>
                <w:lang w:eastAsia="en-GB"/>
              </w:rPr>
              <w:fldChar w:fldCharType="separate"/>
            </w:r>
            <w:r w:rsidR="00507A67">
              <w:rPr>
                <w:rFonts w:eastAsia="Times New Roman" w:cs="Calibri"/>
                <w:sz w:val="20"/>
                <w:szCs w:val="24"/>
                <w:lang w:eastAsia="en-GB"/>
              </w:rPr>
              <w:t>H.12.8</w:t>
            </w:r>
            <w:r w:rsidRPr="00496A4D">
              <w:rPr>
                <w:rFonts w:eastAsia="Times New Roman" w:cs="Calibri"/>
                <w:sz w:val="20"/>
                <w:szCs w:val="24"/>
                <w:lang w:eastAsia="en-GB"/>
              </w:rPr>
              <w:fldChar w:fldCharType="end"/>
            </w:r>
          </w:p>
        </w:tc>
        <w:tc>
          <w:tcPr>
            <w:tcW w:w="1984" w:type="dxa"/>
            <w:vAlign w:val="center"/>
          </w:tcPr>
          <w:p w14:paraId="1D58D73D" w14:textId="1EA3F72D" w:rsidR="008D5244" w:rsidRPr="00A52AB8" w:rsidRDefault="008D5244" w:rsidP="002A3E09">
            <w:pPr>
              <w:tabs>
                <w:tab w:val="clear" w:pos="403"/>
              </w:tabs>
              <w:spacing w:after="0" w:line="240" w:lineRule="auto"/>
              <w:jc w:val="center"/>
              <w:rPr>
                <w:rFonts w:eastAsia="Times New Roman" w:cs="Calibri"/>
                <w:sz w:val="20"/>
                <w:szCs w:val="24"/>
                <w:lang w:eastAsia="en-GB"/>
              </w:rPr>
            </w:pPr>
            <w:r w:rsidRPr="00A52AB8">
              <w:rPr>
                <w:rFonts w:eastAsia="Times New Roman" w:cs="Calibri"/>
                <w:sz w:val="20"/>
                <w:szCs w:val="24"/>
                <w:lang w:eastAsia="en-GB"/>
              </w:rPr>
              <w:t>ignored</w:t>
            </w:r>
          </w:p>
        </w:tc>
        <w:tc>
          <w:tcPr>
            <w:tcW w:w="1667" w:type="dxa"/>
            <w:vAlign w:val="center"/>
          </w:tcPr>
          <w:p w14:paraId="744602BE" w14:textId="14115438" w:rsidR="008D5244" w:rsidRPr="00A52AB8" w:rsidRDefault="008D5244" w:rsidP="001B0754">
            <w:pPr>
              <w:tabs>
                <w:tab w:val="clear" w:pos="403"/>
              </w:tabs>
              <w:spacing w:after="0" w:line="240" w:lineRule="auto"/>
              <w:jc w:val="center"/>
              <w:rPr>
                <w:rFonts w:eastAsia="Times New Roman" w:cs="Calibri"/>
                <w:sz w:val="20"/>
                <w:szCs w:val="24"/>
                <w:lang w:eastAsia="en-GB"/>
              </w:rPr>
            </w:pPr>
            <w:r w:rsidRPr="00A52AB8">
              <w:rPr>
                <w:rFonts w:eastAsia="Times New Roman" w:cs="Calibri"/>
                <w:sz w:val="20"/>
                <w:szCs w:val="24"/>
                <w:lang w:eastAsia="en-GB"/>
              </w:rPr>
              <w:t>unconstrained</w:t>
            </w:r>
          </w:p>
        </w:tc>
      </w:tr>
      <w:tr w:rsidR="00BD70A5" w:rsidRPr="00A52AB8" w14:paraId="12966AB5" w14:textId="77777777" w:rsidTr="003819BE">
        <w:trPr>
          <w:trHeight w:val="315"/>
        </w:trPr>
        <w:tc>
          <w:tcPr>
            <w:tcW w:w="1922" w:type="dxa"/>
            <w:vAlign w:val="center"/>
          </w:tcPr>
          <w:p w14:paraId="2E542A7E" w14:textId="6C1DD9E1" w:rsidR="00841C9D" w:rsidRPr="00A52AB8" w:rsidRDefault="006B0BA3" w:rsidP="001B0754">
            <w:pPr>
              <w:tabs>
                <w:tab w:val="clear" w:pos="403"/>
              </w:tabs>
              <w:spacing w:after="0" w:line="240" w:lineRule="auto"/>
              <w:jc w:val="center"/>
              <w:rPr>
                <w:rFonts w:eastAsia="Times New Roman" w:cs="Calibri"/>
                <w:bCs/>
                <w:sz w:val="20"/>
                <w:szCs w:val="24"/>
                <w:lang w:eastAsia="en-GB"/>
              </w:rPr>
            </w:pPr>
            <w:r w:rsidRPr="00A52AB8">
              <w:rPr>
                <w:rFonts w:eastAsia="Times New Roman" w:cs="Calibri"/>
                <w:bCs/>
                <w:sz w:val="20"/>
                <w:szCs w:val="24"/>
                <w:lang w:eastAsia="en-GB"/>
              </w:rPr>
              <w:t xml:space="preserve">Attribute </w:t>
            </w:r>
            <w:r w:rsidR="00164F92" w:rsidRPr="00A52AB8">
              <w:rPr>
                <w:rFonts w:eastAsia="Times New Roman" w:cs="Calibri"/>
                <w:bCs/>
                <w:sz w:val="20"/>
                <w:szCs w:val="24"/>
                <w:lang w:eastAsia="en-GB"/>
              </w:rPr>
              <w:t>Smoothing</w:t>
            </w:r>
          </w:p>
        </w:tc>
        <w:tc>
          <w:tcPr>
            <w:tcW w:w="1759" w:type="dxa"/>
            <w:vAlign w:val="center"/>
          </w:tcPr>
          <w:p w14:paraId="6DEF02DB" w14:textId="77777777" w:rsidR="00841C9D" w:rsidRPr="00A52AB8" w:rsidRDefault="00605D74" w:rsidP="001B0754">
            <w:pPr>
              <w:tabs>
                <w:tab w:val="clear" w:pos="403"/>
              </w:tabs>
              <w:spacing w:after="0" w:line="240" w:lineRule="auto"/>
              <w:jc w:val="center"/>
              <w:rPr>
                <w:rFonts w:eastAsia="Times New Roman" w:cs="Calibri"/>
                <w:sz w:val="20"/>
                <w:szCs w:val="24"/>
                <w:lang w:eastAsia="en-GB"/>
              </w:rPr>
            </w:pPr>
            <w:r w:rsidRPr="00A52AB8">
              <w:rPr>
                <w:rFonts w:eastAsia="Times New Roman" w:cs="Calibri"/>
                <w:sz w:val="20"/>
                <w:szCs w:val="24"/>
                <w:lang w:eastAsia="en-GB"/>
              </w:rPr>
              <w:t>ignored</w:t>
            </w:r>
          </w:p>
        </w:tc>
        <w:tc>
          <w:tcPr>
            <w:tcW w:w="2410" w:type="dxa"/>
            <w:vAlign w:val="center"/>
          </w:tcPr>
          <w:p w14:paraId="054D78A8" w14:textId="7B892C87" w:rsidR="00841C9D" w:rsidRPr="00A52AB8" w:rsidRDefault="00FD4E96" w:rsidP="001B0754">
            <w:pPr>
              <w:tabs>
                <w:tab w:val="clear" w:pos="403"/>
              </w:tabs>
              <w:spacing w:after="0" w:line="240" w:lineRule="auto"/>
              <w:jc w:val="center"/>
              <w:rPr>
                <w:rFonts w:eastAsia="Times New Roman" w:cs="Calibri"/>
                <w:sz w:val="20"/>
                <w:szCs w:val="24"/>
                <w:lang w:eastAsia="en-GB"/>
              </w:rPr>
            </w:pPr>
            <w:r w:rsidRPr="00A52AB8">
              <w:rPr>
                <w:rFonts w:eastAsia="Times New Roman" w:cs="Calibri"/>
                <w:sz w:val="20"/>
                <w:szCs w:val="24"/>
                <w:lang w:eastAsia="en-GB"/>
              </w:rPr>
              <w:t>reconstructed,</w:t>
            </w:r>
            <w:r w:rsidRPr="00A52AB8">
              <w:rPr>
                <w:rFonts w:eastAsia="Times New Roman" w:cs="Calibri"/>
                <w:sz w:val="20"/>
                <w:szCs w:val="24"/>
                <w:lang w:eastAsia="en-GB"/>
              </w:rPr>
              <w:br/>
              <w:t>according to subclause</w:t>
            </w:r>
            <w:r w:rsidR="00823061" w:rsidRPr="00A52AB8">
              <w:rPr>
                <w:rFonts w:eastAsia="Times New Roman" w:cs="Calibri"/>
                <w:sz w:val="20"/>
                <w:szCs w:val="24"/>
                <w:lang w:eastAsia="en-GB"/>
              </w:rPr>
              <w:t xml:space="preserve"> </w:t>
            </w:r>
            <w:r w:rsidR="00A04A2B" w:rsidRPr="00496A4D">
              <w:rPr>
                <w:rFonts w:eastAsia="Times New Roman" w:cs="Calibri"/>
                <w:sz w:val="20"/>
                <w:szCs w:val="24"/>
                <w:lang w:eastAsia="en-GB"/>
              </w:rPr>
              <w:fldChar w:fldCharType="begin"/>
            </w:r>
            <w:r w:rsidR="00A04A2B" w:rsidRPr="00A52AB8">
              <w:rPr>
                <w:rFonts w:eastAsia="Times New Roman" w:cs="Calibri"/>
                <w:sz w:val="20"/>
                <w:szCs w:val="24"/>
                <w:lang w:eastAsia="en-GB"/>
              </w:rPr>
              <w:instrText xml:space="preserve"> REF _Ref44436009 \r \h </w:instrText>
            </w:r>
            <w:r w:rsidR="00CA5401" w:rsidRPr="00A52AB8">
              <w:rPr>
                <w:rFonts w:eastAsia="Times New Roman" w:cs="Calibri"/>
                <w:sz w:val="20"/>
                <w:szCs w:val="24"/>
                <w:lang w:eastAsia="en-GB"/>
              </w:rPr>
              <w:instrText xml:space="preserve"> \* MERGEFORMAT </w:instrText>
            </w:r>
            <w:r w:rsidR="00A04A2B" w:rsidRPr="00496A4D">
              <w:rPr>
                <w:rFonts w:eastAsia="Times New Roman" w:cs="Calibri"/>
                <w:sz w:val="20"/>
                <w:szCs w:val="24"/>
                <w:lang w:eastAsia="en-GB"/>
              </w:rPr>
            </w:r>
            <w:r w:rsidR="00A04A2B" w:rsidRPr="00496A4D">
              <w:rPr>
                <w:rFonts w:eastAsia="Times New Roman" w:cs="Calibri"/>
                <w:sz w:val="20"/>
                <w:szCs w:val="24"/>
                <w:lang w:eastAsia="en-GB"/>
              </w:rPr>
              <w:fldChar w:fldCharType="separate"/>
            </w:r>
            <w:r w:rsidR="00507A67">
              <w:rPr>
                <w:rFonts w:eastAsia="Times New Roman" w:cs="Calibri"/>
                <w:sz w:val="20"/>
                <w:szCs w:val="24"/>
                <w:lang w:eastAsia="en-GB"/>
              </w:rPr>
              <w:t>H.12.4</w:t>
            </w:r>
            <w:r w:rsidR="00A04A2B" w:rsidRPr="00496A4D">
              <w:rPr>
                <w:rFonts w:eastAsia="Times New Roman" w:cs="Calibri"/>
                <w:sz w:val="20"/>
                <w:szCs w:val="24"/>
                <w:lang w:eastAsia="en-GB"/>
              </w:rPr>
              <w:fldChar w:fldCharType="end"/>
            </w:r>
          </w:p>
        </w:tc>
        <w:tc>
          <w:tcPr>
            <w:tcW w:w="1984" w:type="dxa"/>
            <w:vAlign w:val="center"/>
          </w:tcPr>
          <w:p w14:paraId="081A8A7E" w14:textId="7E33F0F5" w:rsidR="00841C9D" w:rsidRPr="00A52AB8" w:rsidRDefault="00FD4E96" w:rsidP="002A3E09">
            <w:pPr>
              <w:tabs>
                <w:tab w:val="clear" w:pos="403"/>
              </w:tabs>
              <w:spacing w:after="0" w:line="240" w:lineRule="auto"/>
              <w:jc w:val="center"/>
              <w:rPr>
                <w:rFonts w:eastAsia="Times New Roman" w:cs="Calibri"/>
                <w:sz w:val="20"/>
                <w:szCs w:val="24"/>
                <w:lang w:eastAsia="en-GB"/>
              </w:rPr>
            </w:pPr>
            <w:r w:rsidRPr="00A52AB8">
              <w:rPr>
                <w:rFonts w:eastAsia="Times New Roman" w:cs="Calibri"/>
                <w:sz w:val="20"/>
                <w:szCs w:val="24"/>
                <w:lang w:eastAsia="en-GB"/>
              </w:rPr>
              <w:t>reconstructed,</w:t>
            </w:r>
            <w:r w:rsidRPr="00A52AB8">
              <w:rPr>
                <w:rFonts w:eastAsia="Times New Roman" w:cs="Calibri"/>
                <w:sz w:val="20"/>
                <w:szCs w:val="24"/>
                <w:lang w:eastAsia="en-GB"/>
              </w:rPr>
              <w:br/>
              <w:t>according to subclause</w:t>
            </w:r>
            <w:r w:rsidR="00A04A2B" w:rsidRPr="00A52AB8">
              <w:rPr>
                <w:rFonts w:eastAsia="Times New Roman" w:cs="Calibri"/>
                <w:sz w:val="20"/>
                <w:szCs w:val="24"/>
                <w:lang w:eastAsia="en-GB"/>
              </w:rPr>
              <w:t xml:space="preserve"> </w:t>
            </w:r>
            <w:r w:rsidR="00A04A2B" w:rsidRPr="00496A4D">
              <w:rPr>
                <w:rFonts w:eastAsia="Times New Roman" w:cs="Calibri"/>
                <w:sz w:val="20"/>
                <w:szCs w:val="24"/>
                <w:lang w:eastAsia="en-GB"/>
              </w:rPr>
              <w:fldChar w:fldCharType="begin"/>
            </w:r>
            <w:r w:rsidR="00A04A2B" w:rsidRPr="00A52AB8">
              <w:rPr>
                <w:rFonts w:eastAsia="Times New Roman" w:cs="Calibri"/>
                <w:sz w:val="20"/>
                <w:szCs w:val="24"/>
                <w:lang w:eastAsia="en-GB"/>
              </w:rPr>
              <w:instrText xml:space="preserve"> REF _Ref44436009 \r \h </w:instrText>
            </w:r>
            <w:r w:rsidR="00CA5401" w:rsidRPr="00A52AB8">
              <w:rPr>
                <w:rFonts w:eastAsia="Times New Roman" w:cs="Calibri"/>
                <w:sz w:val="20"/>
                <w:szCs w:val="24"/>
                <w:lang w:eastAsia="en-GB"/>
              </w:rPr>
              <w:instrText xml:space="preserve"> \* MERGEFORMAT </w:instrText>
            </w:r>
            <w:r w:rsidR="00A04A2B" w:rsidRPr="00496A4D">
              <w:rPr>
                <w:rFonts w:eastAsia="Times New Roman" w:cs="Calibri"/>
                <w:sz w:val="20"/>
                <w:szCs w:val="24"/>
                <w:lang w:eastAsia="en-GB"/>
              </w:rPr>
            </w:r>
            <w:r w:rsidR="00A04A2B" w:rsidRPr="00496A4D">
              <w:rPr>
                <w:rFonts w:eastAsia="Times New Roman" w:cs="Calibri"/>
                <w:sz w:val="20"/>
                <w:szCs w:val="24"/>
                <w:lang w:eastAsia="en-GB"/>
              </w:rPr>
              <w:fldChar w:fldCharType="separate"/>
            </w:r>
            <w:r w:rsidR="00507A67">
              <w:rPr>
                <w:rFonts w:eastAsia="Times New Roman" w:cs="Calibri"/>
                <w:sz w:val="20"/>
                <w:szCs w:val="24"/>
                <w:lang w:eastAsia="en-GB"/>
              </w:rPr>
              <w:t>H.12.4</w:t>
            </w:r>
            <w:r w:rsidR="00A04A2B" w:rsidRPr="00496A4D">
              <w:rPr>
                <w:rFonts w:eastAsia="Times New Roman" w:cs="Calibri"/>
                <w:sz w:val="20"/>
                <w:szCs w:val="24"/>
                <w:lang w:eastAsia="en-GB"/>
              </w:rPr>
              <w:fldChar w:fldCharType="end"/>
            </w:r>
          </w:p>
        </w:tc>
        <w:tc>
          <w:tcPr>
            <w:tcW w:w="1667" w:type="dxa"/>
            <w:vAlign w:val="center"/>
          </w:tcPr>
          <w:p w14:paraId="7D3FC5DB" w14:textId="77777777" w:rsidR="00841C9D" w:rsidRPr="00A52AB8" w:rsidRDefault="00164F92" w:rsidP="001B0754">
            <w:pPr>
              <w:tabs>
                <w:tab w:val="clear" w:pos="403"/>
              </w:tabs>
              <w:spacing w:after="0" w:line="240" w:lineRule="auto"/>
              <w:jc w:val="center"/>
              <w:rPr>
                <w:rFonts w:eastAsia="Times New Roman" w:cs="Calibri"/>
                <w:sz w:val="20"/>
                <w:szCs w:val="24"/>
                <w:lang w:eastAsia="en-GB"/>
              </w:rPr>
            </w:pPr>
            <w:r w:rsidRPr="00A52AB8">
              <w:rPr>
                <w:rFonts w:eastAsia="Times New Roman" w:cs="Calibri"/>
                <w:sz w:val="20"/>
                <w:szCs w:val="24"/>
                <w:lang w:eastAsia="en-GB"/>
              </w:rPr>
              <w:t>unconstrained</w:t>
            </w:r>
          </w:p>
        </w:tc>
      </w:tr>
      <w:tr w:rsidR="00BD70A5" w:rsidRPr="00A52AB8" w14:paraId="1F0DF092" w14:textId="77777777" w:rsidTr="003819BE">
        <w:trPr>
          <w:trHeight w:val="315"/>
        </w:trPr>
        <w:tc>
          <w:tcPr>
            <w:tcW w:w="1922" w:type="dxa"/>
            <w:vAlign w:val="center"/>
          </w:tcPr>
          <w:p w14:paraId="2F8856E1" w14:textId="77777777" w:rsidR="007B06A8" w:rsidRPr="00A52AB8" w:rsidRDefault="00841C9D" w:rsidP="001B0754">
            <w:pPr>
              <w:tabs>
                <w:tab w:val="clear" w:pos="403"/>
              </w:tabs>
              <w:spacing w:after="0" w:line="240" w:lineRule="auto"/>
              <w:jc w:val="center"/>
              <w:rPr>
                <w:rFonts w:eastAsia="Times New Roman" w:cs="Calibri"/>
                <w:bCs/>
                <w:sz w:val="20"/>
                <w:szCs w:val="24"/>
                <w:lang w:eastAsia="en-GB"/>
              </w:rPr>
            </w:pPr>
            <w:r w:rsidRPr="00A52AB8">
              <w:rPr>
                <w:rFonts w:eastAsia="Times New Roman" w:cs="Calibri"/>
                <w:bCs/>
                <w:sz w:val="20"/>
                <w:szCs w:val="24"/>
                <w:lang w:eastAsia="en-GB"/>
              </w:rPr>
              <w:t>Occupancy Synthesis</w:t>
            </w:r>
          </w:p>
        </w:tc>
        <w:tc>
          <w:tcPr>
            <w:tcW w:w="1759" w:type="dxa"/>
            <w:vAlign w:val="center"/>
          </w:tcPr>
          <w:p w14:paraId="1C79C743" w14:textId="77777777" w:rsidR="007B06A8" w:rsidRPr="00A52AB8" w:rsidRDefault="00841C9D" w:rsidP="001B0754">
            <w:pPr>
              <w:tabs>
                <w:tab w:val="clear" w:pos="403"/>
              </w:tabs>
              <w:spacing w:after="0" w:line="240" w:lineRule="auto"/>
              <w:jc w:val="center"/>
              <w:rPr>
                <w:rFonts w:eastAsia="Times New Roman" w:cs="Calibri"/>
                <w:sz w:val="20"/>
                <w:szCs w:val="24"/>
                <w:lang w:eastAsia="en-GB"/>
              </w:rPr>
            </w:pPr>
            <w:r w:rsidRPr="00A52AB8">
              <w:rPr>
                <w:rFonts w:eastAsia="Times New Roman" w:cs="Calibri"/>
                <w:sz w:val="20"/>
                <w:szCs w:val="24"/>
                <w:lang w:eastAsia="en-GB"/>
              </w:rPr>
              <w:t>ignored</w:t>
            </w:r>
          </w:p>
        </w:tc>
        <w:tc>
          <w:tcPr>
            <w:tcW w:w="2410" w:type="dxa"/>
            <w:vAlign w:val="center"/>
          </w:tcPr>
          <w:p w14:paraId="06DE20CC" w14:textId="77777777" w:rsidR="007B06A8" w:rsidRPr="00A52AB8" w:rsidRDefault="00841C9D" w:rsidP="001B0754">
            <w:pPr>
              <w:tabs>
                <w:tab w:val="clear" w:pos="403"/>
              </w:tabs>
              <w:spacing w:after="0" w:line="240" w:lineRule="auto"/>
              <w:jc w:val="center"/>
              <w:rPr>
                <w:rFonts w:eastAsia="Times New Roman" w:cs="Calibri"/>
                <w:sz w:val="20"/>
                <w:szCs w:val="24"/>
                <w:lang w:eastAsia="en-GB"/>
              </w:rPr>
            </w:pPr>
            <w:r w:rsidRPr="00A52AB8">
              <w:rPr>
                <w:rFonts w:eastAsia="Times New Roman" w:cs="Calibri"/>
                <w:sz w:val="20"/>
                <w:szCs w:val="24"/>
                <w:lang w:eastAsia="en-GB"/>
              </w:rPr>
              <w:t>ignored</w:t>
            </w:r>
          </w:p>
        </w:tc>
        <w:tc>
          <w:tcPr>
            <w:tcW w:w="1984" w:type="dxa"/>
            <w:vAlign w:val="center"/>
          </w:tcPr>
          <w:p w14:paraId="129CE237" w14:textId="5A37A597" w:rsidR="007B06A8" w:rsidRPr="00A52AB8" w:rsidRDefault="00841C9D" w:rsidP="009C5447">
            <w:pPr>
              <w:tabs>
                <w:tab w:val="clear" w:pos="403"/>
              </w:tabs>
              <w:spacing w:after="0" w:line="240" w:lineRule="auto"/>
              <w:jc w:val="center"/>
              <w:rPr>
                <w:rFonts w:eastAsia="Times New Roman" w:cs="Calibri"/>
                <w:sz w:val="20"/>
                <w:szCs w:val="24"/>
                <w:lang w:eastAsia="en-GB"/>
              </w:rPr>
            </w:pPr>
            <w:r w:rsidRPr="00A52AB8">
              <w:rPr>
                <w:rFonts w:eastAsia="Times New Roman" w:cs="Calibri"/>
                <w:sz w:val="20"/>
                <w:szCs w:val="24"/>
                <w:lang w:eastAsia="en-GB"/>
              </w:rPr>
              <w:t>reconstructed,</w:t>
            </w:r>
            <w:r w:rsidRPr="00A52AB8">
              <w:rPr>
                <w:rFonts w:eastAsia="Times New Roman" w:cs="Calibri"/>
                <w:sz w:val="20"/>
                <w:szCs w:val="24"/>
                <w:lang w:eastAsia="en-GB"/>
              </w:rPr>
              <w:br/>
              <w:t>according to subclause</w:t>
            </w:r>
            <w:r w:rsidR="00A04A2B" w:rsidRPr="00A52AB8">
              <w:rPr>
                <w:rFonts w:eastAsia="Times New Roman" w:cs="Calibri"/>
                <w:sz w:val="20"/>
                <w:szCs w:val="24"/>
                <w:lang w:eastAsia="en-GB"/>
              </w:rPr>
              <w:t xml:space="preserve"> </w:t>
            </w:r>
            <w:r w:rsidR="00A70448" w:rsidRPr="00496A4D">
              <w:rPr>
                <w:rFonts w:eastAsia="Times New Roman" w:cs="Calibri"/>
                <w:sz w:val="20"/>
                <w:szCs w:val="24"/>
                <w:lang w:eastAsia="en-GB"/>
              </w:rPr>
              <w:fldChar w:fldCharType="begin"/>
            </w:r>
            <w:r w:rsidR="00A70448" w:rsidRPr="00A52AB8">
              <w:rPr>
                <w:rFonts w:eastAsia="Times New Roman" w:cs="Calibri"/>
                <w:sz w:val="20"/>
                <w:szCs w:val="24"/>
                <w:lang w:eastAsia="en-GB"/>
              </w:rPr>
              <w:instrText xml:space="preserve"> REF _Ref49344920 \r \h </w:instrText>
            </w:r>
            <w:r w:rsidR="00007BE2" w:rsidRPr="00A52AB8">
              <w:rPr>
                <w:rFonts w:eastAsia="Times New Roman" w:cs="Calibri"/>
                <w:sz w:val="20"/>
                <w:szCs w:val="24"/>
                <w:lang w:eastAsia="en-GB"/>
              </w:rPr>
              <w:instrText xml:space="preserve"> \* MERGEFORMAT </w:instrText>
            </w:r>
            <w:r w:rsidR="00A70448" w:rsidRPr="00496A4D">
              <w:rPr>
                <w:rFonts w:eastAsia="Times New Roman" w:cs="Calibri"/>
                <w:sz w:val="20"/>
                <w:szCs w:val="24"/>
                <w:lang w:eastAsia="en-GB"/>
              </w:rPr>
            </w:r>
            <w:r w:rsidR="00A70448" w:rsidRPr="00496A4D">
              <w:rPr>
                <w:rFonts w:eastAsia="Times New Roman" w:cs="Calibri"/>
                <w:sz w:val="20"/>
                <w:szCs w:val="24"/>
                <w:lang w:eastAsia="en-GB"/>
              </w:rPr>
              <w:fldChar w:fldCharType="separate"/>
            </w:r>
            <w:r w:rsidR="00507A67">
              <w:rPr>
                <w:rFonts w:eastAsia="Times New Roman" w:cs="Calibri"/>
                <w:sz w:val="20"/>
                <w:szCs w:val="24"/>
                <w:lang w:eastAsia="en-GB"/>
              </w:rPr>
              <w:t>H.10.2</w:t>
            </w:r>
            <w:r w:rsidR="00A70448" w:rsidRPr="00496A4D">
              <w:rPr>
                <w:rFonts w:eastAsia="Times New Roman" w:cs="Calibri"/>
                <w:sz w:val="20"/>
                <w:szCs w:val="24"/>
                <w:lang w:eastAsia="en-GB"/>
              </w:rPr>
              <w:fldChar w:fldCharType="end"/>
            </w:r>
          </w:p>
        </w:tc>
        <w:tc>
          <w:tcPr>
            <w:tcW w:w="1667" w:type="dxa"/>
            <w:vAlign w:val="center"/>
          </w:tcPr>
          <w:p w14:paraId="279F22FC" w14:textId="77777777" w:rsidR="007B06A8" w:rsidRPr="00A52AB8" w:rsidRDefault="00164F92" w:rsidP="001B0754">
            <w:pPr>
              <w:tabs>
                <w:tab w:val="clear" w:pos="403"/>
              </w:tabs>
              <w:spacing w:after="0" w:line="240" w:lineRule="auto"/>
              <w:jc w:val="center"/>
              <w:rPr>
                <w:rFonts w:eastAsia="Times New Roman" w:cs="Calibri"/>
                <w:sz w:val="20"/>
                <w:szCs w:val="24"/>
                <w:lang w:eastAsia="en-GB"/>
              </w:rPr>
            </w:pPr>
            <w:r w:rsidRPr="00A52AB8">
              <w:rPr>
                <w:rFonts w:eastAsia="Times New Roman" w:cs="Calibri"/>
                <w:sz w:val="20"/>
                <w:szCs w:val="24"/>
                <w:lang w:eastAsia="en-GB"/>
              </w:rPr>
              <w:t>unconstrained</w:t>
            </w:r>
          </w:p>
        </w:tc>
      </w:tr>
    </w:tbl>
    <w:p w14:paraId="74D2CE67" w14:textId="52608D61" w:rsidR="002C653D" w:rsidRPr="00A52AB8" w:rsidRDefault="002C653D" w:rsidP="007656E5">
      <w:pPr>
        <w:spacing w:before="120"/>
      </w:pPr>
      <w:r w:rsidRPr="00A52AB8">
        <w:t xml:space="preserve">For </w:t>
      </w:r>
      <w:r w:rsidR="00495B7B" w:rsidRPr="00A52AB8">
        <w:t xml:space="preserve">the </w:t>
      </w:r>
      <w:r w:rsidR="004C4C00" w:rsidRPr="00A52AB8">
        <w:t xml:space="preserve">Rec </w:t>
      </w:r>
      <w:r w:rsidRPr="00A52AB8">
        <w:rPr>
          <w:rFonts w:eastAsia="Times New Roman"/>
          <w:color w:val="000000"/>
        </w:rPr>
        <w:t>Unconstrained</w:t>
      </w:r>
      <w:r w:rsidR="00495B7B" w:rsidRPr="00A52AB8">
        <w:rPr>
          <w:rFonts w:eastAsia="Times New Roman"/>
          <w:color w:val="000000"/>
        </w:rPr>
        <w:t xml:space="preserve"> reconstruction profile</w:t>
      </w:r>
      <w:r w:rsidRPr="00A52AB8">
        <w:rPr>
          <w:rFonts w:eastAsia="Times New Roman"/>
          <w:color w:val="000000"/>
        </w:rPr>
        <w:t>, the reconstruction process</w:t>
      </w:r>
      <w:r w:rsidR="00D90F11" w:rsidRPr="00A52AB8">
        <w:rPr>
          <w:rFonts w:eastAsia="Times New Roman"/>
          <w:color w:val="000000"/>
        </w:rPr>
        <w:t xml:space="preserve"> </w:t>
      </w:r>
      <w:r w:rsidR="00BF1E40" w:rsidRPr="00A52AB8">
        <w:rPr>
          <w:rFonts w:eastAsia="Times New Roman"/>
          <w:color w:val="000000"/>
        </w:rPr>
        <w:t>is</w:t>
      </w:r>
      <w:r w:rsidRPr="00A52AB8">
        <w:rPr>
          <w:rFonts w:eastAsia="Times New Roman"/>
          <w:color w:val="000000"/>
        </w:rPr>
        <w:t xml:space="preserve"> outside the scope of this document.</w:t>
      </w:r>
    </w:p>
    <w:p w14:paraId="2AA61E8D" w14:textId="5D1C9B2D" w:rsidR="00D61CCF" w:rsidRPr="00A52AB8" w:rsidRDefault="002C653D" w:rsidP="002C653D">
      <w:pPr>
        <w:rPr>
          <w:rFonts w:eastAsia="Times New Roman"/>
          <w:color w:val="000000"/>
        </w:rPr>
      </w:pPr>
      <w:r w:rsidRPr="00A52AB8">
        <w:t xml:space="preserve">For </w:t>
      </w:r>
      <w:r w:rsidR="00495B7B" w:rsidRPr="00A52AB8">
        <w:t xml:space="preserve">the </w:t>
      </w:r>
      <w:r w:rsidRPr="00A52AB8">
        <w:rPr>
          <w:rFonts w:eastAsia="Times New Roman"/>
          <w:color w:val="000000"/>
        </w:rPr>
        <w:t>Rec0</w:t>
      </w:r>
      <w:r w:rsidR="00495B7B" w:rsidRPr="00A52AB8">
        <w:rPr>
          <w:rFonts w:eastAsia="Times New Roman"/>
          <w:color w:val="000000"/>
        </w:rPr>
        <w:t xml:space="preserve"> reconstruction profile</w:t>
      </w:r>
      <w:r w:rsidRPr="00A52AB8">
        <w:rPr>
          <w:rFonts w:eastAsia="Times New Roman"/>
          <w:color w:val="000000"/>
        </w:rPr>
        <w:t>,</w:t>
      </w:r>
      <w:r w:rsidRPr="00A52AB8">
        <w:t xml:space="preserve"> </w:t>
      </w:r>
      <w:r w:rsidRPr="00A52AB8">
        <w:rPr>
          <w:rFonts w:eastAsia="Times New Roman"/>
          <w:color w:val="000000"/>
        </w:rPr>
        <w:t xml:space="preserve">the </w:t>
      </w:r>
      <w:r w:rsidR="00D61CCF" w:rsidRPr="00A52AB8">
        <w:rPr>
          <w:rFonts w:eastAsia="Times New Roman"/>
          <w:color w:val="000000"/>
        </w:rPr>
        <w:t>following processes apply in the specified order:</w:t>
      </w:r>
    </w:p>
    <w:p w14:paraId="3930E63C" w14:textId="445FD287" w:rsidR="002C653D" w:rsidRPr="00A52AB8" w:rsidRDefault="00AE331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P</w:t>
      </w:r>
      <w:r w:rsidR="00D61CCF" w:rsidRPr="00A52AB8">
        <w:rPr>
          <w:color w:val="000000" w:themeColor="text1"/>
        </w:rPr>
        <w:t xml:space="preserve">ost-decoding conversion </w:t>
      </w:r>
      <w:r w:rsidRPr="00A52AB8">
        <w:rPr>
          <w:color w:val="000000" w:themeColor="text1"/>
        </w:rPr>
        <w:t xml:space="preserve">of the decoded V3C video components </w:t>
      </w:r>
      <w:r w:rsidR="00D61CCF" w:rsidRPr="00A52AB8">
        <w:rPr>
          <w:color w:val="000000" w:themeColor="text1"/>
        </w:rPr>
        <w:t xml:space="preserve">to </w:t>
      </w:r>
      <w:r w:rsidRPr="00A52AB8">
        <w:rPr>
          <w:color w:val="000000" w:themeColor="text1"/>
        </w:rPr>
        <w:t>a nominal video format is performed</w:t>
      </w:r>
      <w:r w:rsidR="002C653D" w:rsidRPr="00A52AB8">
        <w:rPr>
          <w:color w:val="000000" w:themeColor="text1"/>
        </w:rPr>
        <w:t>, if required</w:t>
      </w:r>
      <w:r w:rsidR="00D61CCF" w:rsidRPr="00A52AB8">
        <w:rPr>
          <w:color w:val="000000" w:themeColor="text1"/>
        </w:rPr>
        <w:t>. The process</w:t>
      </w:r>
      <w:r w:rsidR="002C653D" w:rsidRPr="00A52AB8">
        <w:rPr>
          <w:color w:val="000000" w:themeColor="text1"/>
        </w:rPr>
        <w:t xml:space="preserve"> as specified in </w:t>
      </w:r>
      <w:r w:rsidR="002C653D" w:rsidRPr="00496A4D">
        <w:rPr>
          <w:color w:val="000000" w:themeColor="text1"/>
        </w:rPr>
        <w:fldChar w:fldCharType="begin"/>
      </w:r>
      <w:r w:rsidR="002C653D" w:rsidRPr="00A52AB8">
        <w:rPr>
          <w:color w:val="000000" w:themeColor="text1"/>
        </w:rPr>
        <w:instrText xml:space="preserve"> REF _Ref38561253 \r \h </w:instrText>
      </w:r>
      <w:r w:rsidR="00CA5401" w:rsidRPr="00A52AB8">
        <w:rPr>
          <w:color w:val="000000" w:themeColor="text1"/>
        </w:rPr>
        <w:instrText xml:space="preserve"> \* MERGEFORMAT </w:instrText>
      </w:r>
      <w:r w:rsidR="002C653D" w:rsidRPr="00496A4D">
        <w:rPr>
          <w:color w:val="000000" w:themeColor="text1"/>
        </w:rPr>
      </w:r>
      <w:r w:rsidR="002C653D" w:rsidRPr="00496A4D">
        <w:rPr>
          <w:color w:val="000000" w:themeColor="text1"/>
        </w:rPr>
        <w:fldChar w:fldCharType="separate"/>
      </w:r>
      <w:r w:rsidR="00507A67">
        <w:rPr>
          <w:color w:val="000000" w:themeColor="text1"/>
        </w:rPr>
        <w:t>Annex B</w:t>
      </w:r>
      <w:r w:rsidR="002C653D" w:rsidRPr="00496A4D">
        <w:rPr>
          <w:color w:val="000000" w:themeColor="text1"/>
        </w:rPr>
        <w:fldChar w:fldCharType="end"/>
      </w:r>
      <w:r w:rsidR="00D61CCF" w:rsidRPr="00A52AB8">
        <w:rPr>
          <w:color w:val="000000" w:themeColor="text1"/>
        </w:rPr>
        <w:t xml:space="preserve"> may be used for such conversion. However, </w:t>
      </w:r>
      <w:r w:rsidR="002C653D" w:rsidRPr="00A52AB8">
        <w:rPr>
          <w:color w:val="000000" w:themeColor="text1"/>
        </w:rPr>
        <w:t xml:space="preserve">other </w:t>
      </w:r>
      <w:r w:rsidR="00D61CCF" w:rsidRPr="00A52AB8">
        <w:rPr>
          <w:color w:val="000000" w:themeColor="text1"/>
        </w:rPr>
        <w:t>equivalent methods could also be used</w:t>
      </w:r>
      <w:r w:rsidR="00562F60" w:rsidRPr="00A52AB8">
        <w:rPr>
          <w:color w:val="000000" w:themeColor="text1"/>
        </w:rPr>
        <w:t>.</w:t>
      </w:r>
    </w:p>
    <w:p w14:paraId="23FD4CB0" w14:textId="1DFBDD6C" w:rsidR="002C653D" w:rsidRPr="00A52AB8" w:rsidRDefault="00AE331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Point cloud reconstruction is performed using all nominal format decoded V3C components</w:t>
      </w:r>
      <w:r w:rsidR="002C653D" w:rsidRPr="00A52AB8">
        <w:rPr>
          <w:color w:val="000000" w:themeColor="text1"/>
        </w:rPr>
        <w:t xml:space="preserve"> as specified in subclause </w:t>
      </w:r>
      <w:r w:rsidRPr="00496A4D">
        <w:rPr>
          <w:color w:val="000000" w:themeColor="text1"/>
        </w:rPr>
        <w:fldChar w:fldCharType="begin"/>
      </w:r>
      <w:r w:rsidRPr="00A52AB8">
        <w:rPr>
          <w:color w:val="000000" w:themeColor="text1"/>
        </w:rPr>
        <w:instrText xml:space="preserve"> REF _Ref49543101 \n \h </w:instrText>
      </w:r>
      <w:r w:rsidR="00D15987"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H.11</w:t>
      </w:r>
      <w:r w:rsidRPr="00496A4D">
        <w:rPr>
          <w:color w:val="000000" w:themeColor="text1"/>
        </w:rPr>
        <w:fldChar w:fldCharType="end"/>
      </w:r>
      <w:r w:rsidR="00562F60" w:rsidRPr="00A52AB8">
        <w:rPr>
          <w:color w:val="000000" w:themeColor="text1"/>
        </w:rPr>
        <w:t>.</w:t>
      </w:r>
      <w:r w:rsidRPr="00A52AB8">
        <w:rPr>
          <w:color w:val="000000" w:themeColor="text1"/>
        </w:rPr>
        <w:t xml:space="preserve"> Certain reconstruction operations from subclause </w:t>
      </w:r>
      <w:r w:rsidRPr="00496A4D">
        <w:rPr>
          <w:color w:val="000000" w:themeColor="text1"/>
        </w:rPr>
        <w:fldChar w:fldCharType="begin"/>
      </w:r>
      <w:r w:rsidRPr="00A52AB8">
        <w:rPr>
          <w:color w:val="000000" w:themeColor="text1"/>
        </w:rPr>
        <w:instrText xml:space="preserve"> REF _Ref49543101 \n \h </w:instrText>
      </w:r>
      <w:r w:rsidR="00D15987"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H.11</w:t>
      </w:r>
      <w:r w:rsidRPr="00496A4D">
        <w:rPr>
          <w:color w:val="000000" w:themeColor="text1"/>
        </w:rPr>
        <w:fldChar w:fldCharType="end"/>
      </w:r>
      <w:r w:rsidRPr="00A52AB8">
        <w:rPr>
          <w:color w:val="000000" w:themeColor="text1"/>
        </w:rPr>
        <w:t xml:space="preserve"> may be ignored, as specified in </w:t>
      </w:r>
      <w:r w:rsidRPr="00496A4D">
        <w:rPr>
          <w:color w:val="000000" w:themeColor="text1"/>
        </w:rPr>
        <w:fldChar w:fldCharType="begin"/>
      </w:r>
      <w:r w:rsidRPr="00A52AB8">
        <w:rPr>
          <w:color w:val="000000" w:themeColor="text1"/>
        </w:rPr>
        <w:instrText xml:space="preserve"> REF _Ref41390825 \h  \* MERGEFORMAT </w:instrText>
      </w:r>
      <w:r w:rsidRPr="00496A4D">
        <w:rPr>
          <w:color w:val="000000" w:themeColor="text1"/>
        </w:rPr>
      </w:r>
      <w:r w:rsidRPr="00496A4D">
        <w:rPr>
          <w:color w:val="000000" w:themeColor="text1"/>
        </w:rPr>
        <w:fldChar w:fldCharType="separate"/>
      </w:r>
      <w:r w:rsidR="00507A67" w:rsidRPr="00507A67">
        <w:rPr>
          <w:color w:val="000000" w:themeColor="text1"/>
        </w:rPr>
        <w:t>Table H-5</w:t>
      </w:r>
      <w:r w:rsidRPr="00496A4D">
        <w:rPr>
          <w:color w:val="000000" w:themeColor="text1"/>
        </w:rPr>
        <w:fldChar w:fldCharType="end"/>
      </w:r>
      <w:r w:rsidRPr="00A52AB8">
        <w:rPr>
          <w:color w:val="000000" w:themeColor="text1"/>
        </w:rPr>
        <w:t>.</w:t>
      </w:r>
    </w:p>
    <w:p w14:paraId="4773BAF4" w14:textId="1DAB9BD6" w:rsidR="00D751A0" w:rsidRPr="00A52AB8" w:rsidRDefault="00AE331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Point </w:t>
      </w:r>
      <w:r w:rsidR="00D751A0" w:rsidRPr="00A52AB8">
        <w:rPr>
          <w:color w:val="000000" w:themeColor="text1"/>
        </w:rPr>
        <w:t xml:space="preserve">cloud adaptation is performed </w:t>
      </w:r>
      <w:r w:rsidRPr="00A52AB8">
        <w:rPr>
          <w:color w:val="000000" w:themeColor="text1"/>
        </w:rPr>
        <w:t xml:space="preserve">on the reconstructed point cloud </w:t>
      </w:r>
      <w:r w:rsidR="00D751A0" w:rsidRPr="00A52AB8">
        <w:rPr>
          <w:color w:val="000000" w:themeColor="text1"/>
        </w:rPr>
        <w:t xml:space="preserve">as specified in subclause </w:t>
      </w:r>
      <w:r w:rsidR="00FE19F3" w:rsidRPr="00496A4D">
        <w:rPr>
          <w:color w:val="000000" w:themeColor="text1"/>
        </w:rPr>
        <w:fldChar w:fldCharType="begin"/>
      </w:r>
      <w:r w:rsidR="00FE19F3" w:rsidRPr="00A52AB8">
        <w:rPr>
          <w:color w:val="000000" w:themeColor="text1"/>
        </w:rPr>
        <w:instrText xml:space="preserve"> REF _Ref44438783 \r \h </w:instrText>
      </w:r>
      <w:r w:rsidR="00CA5401" w:rsidRPr="00A52AB8">
        <w:rPr>
          <w:color w:val="000000" w:themeColor="text1"/>
        </w:rPr>
        <w:instrText xml:space="preserve"> \* MERGEFORMAT </w:instrText>
      </w:r>
      <w:r w:rsidR="00FE19F3" w:rsidRPr="00496A4D">
        <w:rPr>
          <w:color w:val="000000" w:themeColor="text1"/>
        </w:rPr>
      </w:r>
      <w:r w:rsidR="00FE19F3" w:rsidRPr="00496A4D">
        <w:rPr>
          <w:color w:val="000000" w:themeColor="text1"/>
        </w:rPr>
        <w:fldChar w:fldCharType="separate"/>
      </w:r>
      <w:r w:rsidR="00507A67">
        <w:rPr>
          <w:color w:val="000000" w:themeColor="text1"/>
        </w:rPr>
        <w:t>H.13</w:t>
      </w:r>
      <w:r w:rsidR="00FE19F3" w:rsidRPr="00496A4D">
        <w:rPr>
          <w:color w:val="000000" w:themeColor="text1"/>
        </w:rPr>
        <w:fldChar w:fldCharType="end"/>
      </w:r>
      <w:r w:rsidR="00562F60" w:rsidRPr="00A52AB8">
        <w:rPr>
          <w:color w:val="000000" w:themeColor="text1"/>
        </w:rPr>
        <w:t>.</w:t>
      </w:r>
    </w:p>
    <w:p w14:paraId="67DF7476" w14:textId="2D79FE7E" w:rsidR="00AE331C" w:rsidRPr="00A52AB8" w:rsidRDefault="00AE331C" w:rsidP="003C64D1">
      <w:pPr>
        <w:rPr>
          <w:rFonts w:eastAsia="Times New Roman"/>
          <w:color w:val="000000"/>
        </w:rPr>
      </w:pPr>
      <w:r w:rsidRPr="00A52AB8">
        <w:t xml:space="preserve">For the </w:t>
      </w:r>
      <w:r w:rsidRPr="00A52AB8">
        <w:rPr>
          <w:rFonts w:eastAsia="Times New Roman"/>
          <w:color w:val="000000"/>
        </w:rPr>
        <w:t>Rec1 reconstruction profile,</w:t>
      </w:r>
      <w:r w:rsidRPr="00A52AB8">
        <w:t xml:space="preserve"> </w:t>
      </w:r>
      <w:r w:rsidRPr="00A52AB8">
        <w:rPr>
          <w:rFonts w:eastAsia="Times New Roman"/>
          <w:color w:val="000000"/>
        </w:rPr>
        <w:t>the following processes apply in the specified order:</w:t>
      </w:r>
    </w:p>
    <w:p w14:paraId="209C3C44" w14:textId="42C80E3F" w:rsidR="003C64D1" w:rsidRPr="00A52AB8" w:rsidRDefault="00AE331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Post-decoding conversion of the decoded V3C video components to a nominal video format is performed, if required. The process as specified in </w:t>
      </w:r>
      <w:r w:rsidRPr="00496A4D">
        <w:rPr>
          <w:color w:val="000000" w:themeColor="text1"/>
        </w:rPr>
        <w:fldChar w:fldCharType="begin"/>
      </w:r>
      <w:r w:rsidRPr="00A52AB8">
        <w:rPr>
          <w:color w:val="000000" w:themeColor="text1"/>
        </w:rPr>
        <w:instrText xml:space="preserve"> REF _Ref38561253 \r \h  \* MERGEFORMAT </w:instrText>
      </w:r>
      <w:r w:rsidRPr="00496A4D">
        <w:rPr>
          <w:color w:val="000000" w:themeColor="text1"/>
        </w:rPr>
      </w:r>
      <w:r w:rsidRPr="00496A4D">
        <w:rPr>
          <w:color w:val="000000" w:themeColor="text1"/>
        </w:rPr>
        <w:fldChar w:fldCharType="separate"/>
      </w:r>
      <w:r w:rsidR="00507A67">
        <w:rPr>
          <w:color w:val="000000" w:themeColor="text1"/>
        </w:rPr>
        <w:t>Annex B</w:t>
      </w:r>
      <w:r w:rsidRPr="00496A4D">
        <w:rPr>
          <w:color w:val="000000" w:themeColor="text1"/>
        </w:rPr>
        <w:fldChar w:fldCharType="end"/>
      </w:r>
      <w:r w:rsidRPr="00A52AB8">
        <w:rPr>
          <w:color w:val="000000" w:themeColor="text1"/>
        </w:rPr>
        <w:t xml:space="preserve"> may be used for such conversion. However, other equivalent methods could also be used.</w:t>
      </w:r>
    </w:p>
    <w:p w14:paraId="24C0B7E6" w14:textId="55DFE325" w:rsidR="003C64D1" w:rsidRPr="00A52AB8" w:rsidRDefault="00AE331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Point </w:t>
      </w:r>
      <w:r w:rsidR="003C64D1" w:rsidRPr="00A52AB8">
        <w:rPr>
          <w:color w:val="000000" w:themeColor="text1"/>
        </w:rPr>
        <w:t xml:space="preserve">cloud reconstruction is performed </w:t>
      </w:r>
      <w:r w:rsidRPr="00A52AB8">
        <w:rPr>
          <w:color w:val="000000" w:themeColor="text1"/>
        </w:rPr>
        <w:t xml:space="preserve">using all nominal format decoded V3C components </w:t>
      </w:r>
      <w:r w:rsidR="003C64D1" w:rsidRPr="00A52AB8">
        <w:rPr>
          <w:color w:val="000000" w:themeColor="text1"/>
        </w:rPr>
        <w:t xml:space="preserve">as specified in </w:t>
      </w:r>
      <w:r w:rsidRPr="00A52AB8">
        <w:rPr>
          <w:color w:val="000000" w:themeColor="text1"/>
        </w:rPr>
        <w:t xml:space="preserve">subclause </w:t>
      </w:r>
      <w:r w:rsidRPr="00496A4D">
        <w:rPr>
          <w:color w:val="000000" w:themeColor="text1"/>
        </w:rPr>
        <w:fldChar w:fldCharType="begin"/>
      </w:r>
      <w:r w:rsidRPr="00A52AB8">
        <w:rPr>
          <w:color w:val="000000" w:themeColor="text1"/>
        </w:rPr>
        <w:instrText xml:space="preserve"> REF _Ref49543101 \n \h </w:instrText>
      </w:r>
      <w:r w:rsidR="00D15987"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H.11</w:t>
      </w:r>
      <w:r w:rsidRPr="00496A4D">
        <w:rPr>
          <w:color w:val="000000" w:themeColor="text1"/>
        </w:rPr>
        <w:fldChar w:fldCharType="end"/>
      </w:r>
      <w:r w:rsidRPr="00A52AB8">
        <w:rPr>
          <w:color w:val="000000" w:themeColor="text1"/>
        </w:rPr>
        <w:t>.</w:t>
      </w:r>
    </w:p>
    <w:p w14:paraId="105BB911" w14:textId="41BF9556" w:rsidR="003C64D1" w:rsidRPr="00A52AB8" w:rsidRDefault="00AE331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Point cloud post-reconstruction such as </w:t>
      </w:r>
      <w:r w:rsidR="000938A4" w:rsidRPr="00A52AB8">
        <w:rPr>
          <w:color w:val="000000" w:themeColor="text1"/>
        </w:rPr>
        <w:t>g</w:t>
      </w:r>
      <w:r w:rsidRPr="00A52AB8">
        <w:rPr>
          <w:color w:val="000000" w:themeColor="text1"/>
        </w:rPr>
        <w:t xml:space="preserve">eometry smoothing, </w:t>
      </w:r>
      <w:r w:rsidR="006B0BA3" w:rsidRPr="00A52AB8">
        <w:rPr>
          <w:color w:val="000000" w:themeColor="text1"/>
        </w:rPr>
        <w:t xml:space="preserve">attribute </w:t>
      </w:r>
      <w:r w:rsidRPr="00A52AB8">
        <w:rPr>
          <w:color w:val="000000" w:themeColor="text1"/>
        </w:rPr>
        <w:t xml:space="preserve">transfer, </w:t>
      </w:r>
      <w:r w:rsidR="006E3E91" w:rsidRPr="00A52AB8">
        <w:rPr>
          <w:color w:val="000000" w:themeColor="text1"/>
        </w:rPr>
        <w:t xml:space="preserve">and </w:t>
      </w:r>
      <w:r w:rsidRPr="00A52AB8">
        <w:rPr>
          <w:color w:val="000000" w:themeColor="text1"/>
        </w:rPr>
        <w:t>attribute</w:t>
      </w:r>
      <w:r w:rsidR="003C64D1" w:rsidRPr="00A52AB8">
        <w:rPr>
          <w:color w:val="000000" w:themeColor="text1"/>
        </w:rPr>
        <w:t xml:space="preserve"> smoothing</w:t>
      </w:r>
      <w:r w:rsidRPr="00A52AB8">
        <w:rPr>
          <w:color w:val="000000" w:themeColor="text1"/>
        </w:rPr>
        <w:t>,</w:t>
      </w:r>
      <w:r w:rsidR="003C64D1" w:rsidRPr="00A52AB8">
        <w:rPr>
          <w:color w:val="000000" w:themeColor="text1"/>
        </w:rPr>
        <w:t xml:space="preserve"> </w:t>
      </w:r>
      <w:r w:rsidRPr="00A52AB8">
        <w:rPr>
          <w:color w:val="000000" w:themeColor="text1"/>
        </w:rPr>
        <w:t xml:space="preserve">may be </w:t>
      </w:r>
      <w:r w:rsidR="003C64D1" w:rsidRPr="00A52AB8">
        <w:rPr>
          <w:color w:val="000000" w:themeColor="text1"/>
        </w:rPr>
        <w:t xml:space="preserve">performed </w:t>
      </w:r>
      <w:r w:rsidRPr="00A52AB8">
        <w:rPr>
          <w:color w:val="000000" w:themeColor="text1"/>
        </w:rPr>
        <w:t xml:space="preserve">on the reconstructed point cloud </w:t>
      </w:r>
      <w:r w:rsidR="003C64D1" w:rsidRPr="00A52AB8">
        <w:rPr>
          <w:color w:val="000000" w:themeColor="text1"/>
        </w:rPr>
        <w:t xml:space="preserve">as specified in subclause </w:t>
      </w:r>
      <w:r w:rsidR="0028003A" w:rsidRPr="00496A4D">
        <w:rPr>
          <w:color w:val="000000" w:themeColor="text1"/>
        </w:rPr>
        <w:fldChar w:fldCharType="begin"/>
      </w:r>
      <w:r w:rsidR="0028003A" w:rsidRPr="00A52AB8">
        <w:rPr>
          <w:color w:val="000000" w:themeColor="text1"/>
        </w:rPr>
        <w:instrText xml:space="preserve"> REF _Ref47628918 \r \h </w:instrText>
      </w:r>
      <w:r w:rsidR="00851254" w:rsidRPr="00A52AB8">
        <w:rPr>
          <w:color w:val="000000" w:themeColor="text1"/>
        </w:rPr>
        <w:instrText xml:space="preserve"> \* MERGEFORMAT </w:instrText>
      </w:r>
      <w:r w:rsidR="0028003A" w:rsidRPr="00496A4D">
        <w:rPr>
          <w:color w:val="000000" w:themeColor="text1"/>
        </w:rPr>
      </w:r>
      <w:r w:rsidR="0028003A" w:rsidRPr="00496A4D">
        <w:rPr>
          <w:color w:val="000000" w:themeColor="text1"/>
        </w:rPr>
        <w:fldChar w:fldCharType="separate"/>
      </w:r>
      <w:r w:rsidR="00507A67">
        <w:rPr>
          <w:color w:val="000000" w:themeColor="text1"/>
        </w:rPr>
        <w:t>H.12</w:t>
      </w:r>
      <w:r w:rsidR="0028003A" w:rsidRPr="00496A4D">
        <w:rPr>
          <w:color w:val="000000" w:themeColor="text1"/>
        </w:rPr>
        <w:fldChar w:fldCharType="end"/>
      </w:r>
      <w:r w:rsidRPr="00A52AB8">
        <w:rPr>
          <w:color w:val="000000" w:themeColor="text1"/>
        </w:rPr>
        <w:t>.</w:t>
      </w:r>
    </w:p>
    <w:p w14:paraId="29D771BB" w14:textId="7EBF9600" w:rsidR="003C64D1" w:rsidRPr="00A52AB8" w:rsidRDefault="00AE331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Point </w:t>
      </w:r>
      <w:r w:rsidR="003C64D1" w:rsidRPr="00A52AB8">
        <w:rPr>
          <w:color w:val="000000" w:themeColor="text1"/>
        </w:rPr>
        <w:t xml:space="preserve">cloud adaptation is performed </w:t>
      </w:r>
      <w:r w:rsidRPr="00A52AB8">
        <w:rPr>
          <w:color w:val="000000" w:themeColor="text1"/>
        </w:rPr>
        <w:t xml:space="preserve">on the post-reconstructed point cloud </w:t>
      </w:r>
      <w:r w:rsidR="003C64D1" w:rsidRPr="00A52AB8">
        <w:rPr>
          <w:color w:val="000000" w:themeColor="text1"/>
        </w:rPr>
        <w:t xml:space="preserve">as specified in subclause </w:t>
      </w:r>
      <w:r w:rsidR="00FE19F3" w:rsidRPr="00496A4D">
        <w:rPr>
          <w:color w:val="000000" w:themeColor="text1"/>
        </w:rPr>
        <w:fldChar w:fldCharType="begin"/>
      </w:r>
      <w:r w:rsidR="00FE19F3" w:rsidRPr="00A52AB8">
        <w:rPr>
          <w:color w:val="000000" w:themeColor="text1"/>
        </w:rPr>
        <w:instrText xml:space="preserve"> REF _Ref44438783 \r \h </w:instrText>
      </w:r>
      <w:r w:rsidR="00CA5401" w:rsidRPr="00A52AB8">
        <w:rPr>
          <w:color w:val="000000" w:themeColor="text1"/>
        </w:rPr>
        <w:instrText xml:space="preserve"> \* MERGEFORMAT </w:instrText>
      </w:r>
      <w:r w:rsidR="00FE19F3" w:rsidRPr="00496A4D">
        <w:rPr>
          <w:color w:val="000000" w:themeColor="text1"/>
        </w:rPr>
      </w:r>
      <w:r w:rsidR="00FE19F3" w:rsidRPr="00496A4D">
        <w:rPr>
          <w:color w:val="000000" w:themeColor="text1"/>
        </w:rPr>
        <w:fldChar w:fldCharType="separate"/>
      </w:r>
      <w:r w:rsidR="00507A67">
        <w:rPr>
          <w:color w:val="000000" w:themeColor="text1"/>
        </w:rPr>
        <w:t>H.13</w:t>
      </w:r>
      <w:r w:rsidR="00FE19F3" w:rsidRPr="00496A4D">
        <w:rPr>
          <w:color w:val="000000" w:themeColor="text1"/>
        </w:rPr>
        <w:fldChar w:fldCharType="end"/>
      </w:r>
      <w:r w:rsidR="0028003A" w:rsidRPr="00A52AB8">
        <w:rPr>
          <w:color w:val="000000" w:themeColor="text1"/>
        </w:rPr>
        <w:t>.</w:t>
      </w:r>
    </w:p>
    <w:p w14:paraId="5AF54A81" w14:textId="3C24E5E4" w:rsidR="00AE331C" w:rsidRPr="00A52AB8" w:rsidRDefault="00AE331C" w:rsidP="00AE331C">
      <w:pPr>
        <w:rPr>
          <w:rFonts w:eastAsia="Times New Roman"/>
          <w:color w:val="000000"/>
        </w:rPr>
      </w:pPr>
      <w:r w:rsidRPr="00A52AB8">
        <w:t xml:space="preserve">For the </w:t>
      </w:r>
      <w:r w:rsidRPr="00A52AB8">
        <w:rPr>
          <w:rFonts w:eastAsia="Times New Roman"/>
          <w:color w:val="000000"/>
        </w:rPr>
        <w:t>Rec2 reconstruction profile,</w:t>
      </w:r>
      <w:r w:rsidRPr="00A52AB8">
        <w:t xml:space="preserve"> </w:t>
      </w:r>
      <w:r w:rsidRPr="00A52AB8">
        <w:rPr>
          <w:rFonts w:eastAsia="Times New Roman"/>
          <w:color w:val="000000"/>
        </w:rPr>
        <w:t>the following processes apply in the specified order:</w:t>
      </w:r>
    </w:p>
    <w:p w14:paraId="3FFD4D42" w14:textId="3A24033A" w:rsidR="003C64D1" w:rsidRPr="00A52AB8" w:rsidRDefault="00AE331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Post-decoding conversion of the decoded V3C video components to a nominal video format is performed, if required. The process as specified in </w:t>
      </w:r>
      <w:r w:rsidRPr="00496A4D">
        <w:rPr>
          <w:color w:val="000000" w:themeColor="text1"/>
        </w:rPr>
        <w:fldChar w:fldCharType="begin"/>
      </w:r>
      <w:r w:rsidRPr="00A52AB8">
        <w:rPr>
          <w:color w:val="000000" w:themeColor="text1"/>
        </w:rPr>
        <w:instrText xml:space="preserve"> REF _Ref38561253 \r \h  \* MERGEFORMAT </w:instrText>
      </w:r>
      <w:r w:rsidRPr="00496A4D">
        <w:rPr>
          <w:color w:val="000000" w:themeColor="text1"/>
        </w:rPr>
      </w:r>
      <w:r w:rsidRPr="00496A4D">
        <w:rPr>
          <w:color w:val="000000" w:themeColor="text1"/>
        </w:rPr>
        <w:fldChar w:fldCharType="separate"/>
      </w:r>
      <w:r w:rsidR="00507A67">
        <w:rPr>
          <w:color w:val="000000" w:themeColor="text1"/>
        </w:rPr>
        <w:t>Annex B</w:t>
      </w:r>
      <w:r w:rsidRPr="00496A4D">
        <w:rPr>
          <w:color w:val="000000" w:themeColor="text1"/>
        </w:rPr>
        <w:fldChar w:fldCharType="end"/>
      </w:r>
      <w:r w:rsidRPr="00A52AB8">
        <w:rPr>
          <w:color w:val="000000" w:themeColor="text1"/>
        </w:rPr>
        <w:t xml:space="preserve"> may be used for such conversion. However, other equivalent methods could also be used.</w:t>
      </w:r>
    </w:p>
    <w:p w14:paraId="2BAE3951" w14:textId="1F5DC969" w:rsidR="00AE331C" w:rsidRPr="00A52AB8" w:rsidRDefault="00AE331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Point cloud pre-reconstruction, such as</w:t>
      </w:r>
      <w:r w:rsidR="00A036BE" w:rsidRPr="00A52AB8">
        <w:rPr>
          <w:color w:val="000000" w:themeColor="text1"/>
        </w:rPr>
        <w:t xml:space="preserve"> occupancy synthesis</w:t>
      </w:r>
      <w:r w:rsidRPr="00A52AB8">
        <w:rPr>
          <w:color w:val="000000" w:themeColor="text1"/>
        </w:rPr>
        <w:t>,</w:t>
      </w:r>
      <w:r w:rsidR="00A036BE" w:rsidRPr="00A52AB8">
        <w:rPr>
          <w:color w:val="000000" w:themeColor="text1"/>
        </w:rPr>
        <w:t xml:space="preserve"> is performed</w:t>
      </w:r>
      <w:r w:rsidRPr="00A52AB8">
        <w:rPr>
          <w:color w:val="000000" w:themeColor="text1"/>
        </w:rPr>
        <w:t xml:space="preserve"> using all nominal format decoded V3C components, </w:t>
      </w:r>
      <w:r w:rsidR="00A036BE" w:rsidRPr="00A52AB8">
        <w:rPr>
          <w:color w:val="000000" w:themeColor="text1"/>
        </w:rPr>
        <w:t>as specified in subclause</w:t>
      </w:r>
      <w:r w:rsidRPr="00A52AB8">
        <w:rPr>
          <w:color w:val="000000" w:themeColor="text1"/>
        </w:rPr>
        <w:t xml:space="preserve"> </w:t>
      </w:r>
      <w:r w:rsidRPr="00496A4D">
        <w:rPr>
          <w:color w:val="000000" w:themeColor="text1"/>
        </w:rPr>
        <w:fldChar w:fldCharType="begin"/>
      </w:r>
      <w:r w:rsidRPr="00A52AB8">
        <w:rPr>
          <w:color w:val="000000" w:themeColor="text1"/>
        </w:rPr>
        <w:instrText xml:space="preserve"> REF _Ref49343853 \n \h </w:instrText>
      </w:r>
      <w:r w:rsidR="00D15987"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H.10</w:t>
      </w:r>
      <w:r w:rsidRPr="00496A4D">
        <w:rPr>
          <w:color w:val="000000" w:themeColor="text1"/>
        </w:rPr>
        <w:fldChar w:fldCharType="end"/>
      </w:r>
      <w:r w:rsidR="00A036BE" w:rsidRPr="00A52AB8">
        <w:rPr>
          <w:color w:val="000000" w:themeColor="text1"/>
        </w:rPr>
        <w:t>.</w:t>
      </w:r>
    </w:p>
    <w:p w14:paraId="7389C2F3" w14:textId="066FF618" w:rsidR="003C64D1" w:rsidRPr="00A52AB8" w:rsidRDefault="00AE331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Point cloud reconstruction is performed using the point cloud pre-reconstruction V3C components as specified in subclause </w:t>
      </w:r>
      <w:r w:rsidRPr="00496A4D">
        <w:rPr>
          <w:color w:val="000000" w:themeColor="text1"/>
        </w:rPr>
        <w:fldChar w:fldCharType="begin"/>
      </w:r>
      <w:r w:rsidRPr="00A52AB8">
        <w:rPr>
          <w:color w:val="000000" w:themeColor="text1"/>
        </w:rPr>
        <w:instrText xml:space="preserve"> REF _Ref49543101 \n \h </w:instrText>
      </w:r>
      <w:r w:rsidR="00D15987"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H.11</w:t>
      </w:r>
      <w:r w:rsidRPr="00496A4D">
        <w:rPr>
          <w:color w:val="000000" w:themeColor="text1"/>
        </w:rPr>
        <w:fldChar w:fldCharType="end"/>
      </w:r>
      <w:r w:rsidRPr="00A52AB8">
        <w:rPr>
          <w:color w:val="000000" w:themeColor="text1"/>
        </w:rPr>
        <w:t>.</w:t>
      </w:r>
    </w:p>
    <w:p w14:paraId="0708ECA7" w14:textId="1DC7FB14" w:rsidR="002815EF" w:rsidRPr="00A52AB8" w:rsidRDefault="00AE331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Point cloud post-reconstruction in the form of attribute </w:t>
      </w:r>
      <w:r w:rsidR="002815EF" w:rsidRPr="00A52AB8">
        <w:rPr>
          <w:color w:val="000000" w:themeColor="text1"/>
        </w:rPr>
        <w:t xml:space="preserve">smoothing </w:t>
      </w:r>
      <w:r w:rsidR="0048451B" w:rsidRPr="00A52AB8">
        <w:rPr>
          <w:color w:val="000000" w:themeColor="text1"/>
        </w:rPr>
        <w:t xml:space="preserve">may be </w:t>
      </w:r>
      <w:r w:rsidR="002815EF" w:rsidRPr="00A52AB8">
        <w:rPr>
          <w:color w:val="000000" w:themeColor="text1"/>
        </w:rPr>
        <w:t xml:space="preserve">performed </w:t>
      </w:r>
      <w:r w:rsidR="0048451B" w:rsidRPr="00A52AB8">
        <w:rPr>
          <w:color w:val="000000" w:themeColor="text1"/>
        </w:rPr>
        <w:t xml:space="preserve">on the reconstructed point cloud </w:t>
      </w:r>
      <w:r w:rsidR="002815EF" w:rsidRPr="00A52AB8">
        <w:rPr>
          <w:color w:val="000000" w:themeColor="text1"/>
        </w:rPr>
        <w:t>as specified in subclause</w:t>
      </w:r>
      <w:r w:rsidRPr="00A52AB8">
        <w:rPr>
          <w:color w:val="000000" w:themeColor="text1"/>
        </w:rPr>
        <w:t xml:space="preserve"> </w:t>
      </w:r>
      <w:r w:rsidRPr="00496A4D">
        <w:rPr>
          <w:color w:val="000000" w:themeColor="text1"/>
        </w:rPr>
        <w:fldChar w:fldCharType="begin"/>
      </w:r>
      <w:r w:rsidRPr="00A52AB8">
        <w:rPr>
          <w:color w:val="000000" w:themeColor="text1"/>
        </w:rPr>
        <w:instrText xml:space="preserve"> REF _Ref49358175 \n \h </w:instrText>
      </w:r>
      <w:r w:rsidR="00D15987"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H.12.3</w:t>
      </w:r>
      <w:r w:rsidRPr="00496A4D">
        <w:rPr>
          <w:color w:val="000000" w:themeColor="text1"/>
        </w:rPr>
        <w:fldChar w:fldCharType="end"/>
      </w:r>
      <w:r w:rsidR="0028003A" w:rsidRPr="00A52AB8">
        <w:rPr>
          <w:color w:val="000000" w:themeColor="text1"/>
        </w:rPr>
        <w:t>, and</w:t>
      </w:r>
    </w:p>
    <w:p w14:paraId="193C2D75" w14:textId="1014C244" w:rsidR="00C40081" w:rsidRPr="00A52AB8" w:rsidRDefault="00AE331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Point cloud adaptation is performed on the post-reconstructed point cloud as specified in subclause </w:t>
      </w:r>
      <w:r w:rsidRPr="00496A4D">
        <w:rPr>
          <w:color w:val="000000" w:themeColor="text1"/>
        </w:rPr>
        <w:fldChar w:fldCharType="begin"/>
      </w:r>
      <w:r w:rsidRPr="00A52AB8">
        <w:rPr>
          <w:color w:val="000000" w:themeColor="text1"/>
        </w:rPr>
        <w:instrText xml:space="preserve"> REF _Ref44438783 \r \h  \* MERGEFORMAT </w:instrText>
      </w:r>
      <w:r w:rsidRPr="00496A4D">
        <w:rPr>
          <w:color w:val="000000" w:themeColor="text1"/>
        </w:rPr>
      </w:r>
      <w:r w:rsidRPr="00496A4D">
        <w:rPr>
          <w:color w:val="000000" w:themeColor="text1"/>
        </w:rPr>
        <w:fldChar w:fldCharType="separate"/>
      </w:r>
      <w:r w:rsidR="00507A67">
        <w:rPr>
          <w:color w:val="000000" w:themeColor="text1"/>
        </w:rPr>
        <w:t>H.13</w:t>
      </w:r>
      <w:r w:rsidRPr="00496A4D">
        <w:rPr>
          <w:color w:val="000000" w:themeColor="text1"/>
        </w:rPr>
        <w:fldChar w:fldCharType="end"/>
      </w:r>
      <w:r w:rsidRPr="00A52AB8">
        <w:rPr>
          <w:color w:val="000000" w:themeColor="text1"/>
        </w:rPr>
        <w:t>.</w:t>
      </w:r>
    </w:p>
    <w:p w14:paraId="3F3ED688" w14:textId="77777777" w:rsidR="000C73CA" w:rsidRPr="00A52AB8" w:rsidRDefault="000C73CA" w:rsidP="000C73CA">
      <w:pPr>
        <w:pStyle w:val="a4"/>
        <w:numPr>
          <w:ilvl w:val="3"/>
          <w:numId w:val="14"/>
        </w:numPr>
      </w:pPr>
      <w:bookmarkStart w:id="7270" w:name="_Toc47886904"/>
      <w:bookmarkStart w:id="7271" w:name="_Toc47887312"/>
      <w:bookmarkStart w:id="7272" w:name="_Toc47887720"/>
      <w:bookmarkStart w:id="7273" w:name="_Toc47888128"/>
      <w:bookmarkStart w:id="7274" w:name="_Toc47952215"/>
      <w:bookmarkStart w:id="7275" w:name="_Toc47983283"/>
      <w:bookmarkStart w:id="7276" w:name="_Toc37760867"/>
      <w:bookmarkEnd w:id="7270"/>
      <w:bookmarkEnd w:id="7271"/>
      <w:bookmarkEnd w:id="7272"/>
      <w:bookmarkEnd w:id="7273"/>
      <w:bookmarkEnd w:id="7274"/>
      <w:bookmarkEnd w:id="7275"/>
      <w:r w:rsidRPr="00A52AB8">
        <w:rPr>
          <w:color w:val="000000" w:themeColor="text1"/>
        </w:rPr>
        <w:t>V-PCC</w:t>
      </w:r>
      <w:r w:rsidRPr="00A52AB8">
        <w:t xml:space="preserve"> reconstruction decoder conformance</w:t>
      </w:r>
      <w:bookmarkEnd w:id="7276"/>
    </w:p>
    <w:p w14:paraId="68B8F040" w14:textId="4D5D60A1" w:rsidR="000C73CA" w:rsidRPr="00A52AB8" w:rsidRDefault="000C73CA">
      <w:pPr>
        <w:tabs>
          <w:tab w:val="clear" w:pos="403"/>
          <w:tab w:val="left" w:pos="720"/>
        </w:tabs>
        <w:rPr>
          <w:rFonts w:cs="Calibri"/>
        </w:rPr>
      </w:pPr>
      <w:r w:rsidRPr="00A52AB8">
        <w:rPr>
          <w:rFonts w:cs="Calibri"/>
        </w:rPr>
        <w:t xml:space="preserve">Decoders conforming to a V-PCC profile with a reconstruction profile component </w:t>
      </w:r>
      <w:r w:rsidR="00564EF6" w:rsidRPr="00A52AB8">
        <w:rPr>
          <w:rFonts w:cs="Calibri"/>
        </w:rPr>
        <w:t xml:space="preserve">shall </w:t>
      </w:r>
      <w:r w:rsidR="005D47F9" w:rsidRPr="00A52AB8">
        <w:t xml:space="preserve">be able to </w:t>
      </w:r>
      <w:r w:rsidRPr="00A52AB8">
        <w:rPr>
          <w:rFonts w:cs="Calibri"/>
        </w:rPr>
        <w:t>perform reconstruction operations</w:t>
      </w:r>
      <w:r w:rsidR="005D47F9" w:rsidRPr="00A52AB8">
        <w:rPr>
          <w:rFonts w:cs="Calibri"/>
        </w:rPr>
        <w:t xml:space="preserve"> required by this reconstruction profile</w:t>
      </w:r>
      <w:r w:rsidR="00A62FAC" w:rsidRPr="00A52AB8">
        <w:rPr>
          <w:rFonts w:cs="Calibri"/>
        </w:rPr>
        <w:t xml:space="preserve"> component</w:t>
      </w:r>
      <w:r w:rsidRPr="00A52AB8">
        <w:rPr>
          <w:rFonts w:cs="Calibri"/>
        </w:rPr>
        <w:t>. Conformance is assessed at conformance point A (decoded attribute, geometry, and occupancy bitstreams together with decoded patch metadata and decoded block to patch map) and conformance point B (reconstructed point cloud).</w:t>
      </w:r>
    </w:p>
    <w:p w14:paraId="19E5C715" w14:textId="4181B2C3" w:rsidR="000C73CA" w:rsidRPr="00A52AB8" w:rsidRDefault="000C73CA">
      <w:pPr>
        <w:tabs>
          <w:tab w:val="clear" w:pos="403"/>
          <w:tab w:val="left" w:pos="720"/>
        </w:tabs>
        <w:rPr>
          <w:rFonts w:cs="Calibri"/>
        </w:rPr>
      </w:pPr>
      <w:r w:rsidRPr="00A52AB8">
        <w:rPr>
          <w:rFonts w:cs="Calibri"/>
        </w:rPr>
        <w:t xml:space="preserve">In order to check </w:t>
      </w:r>
      <w:r w:rsidR="008D5244" w:rsidRPr="00A52AB8">
        <w:rPr>
          <w:rFonts w:cs="Calibri"/>
        </w:rPr>
        <w:t xml:space="preserve">the </w:t>
      </w:r>
      <w:r w:rsidRPr="00A52AB8">
        <w:rPr>
          <w:rFonts w:cs="Calibri"/>
        </w:rPr>
        <w:t>decoder conformance at point B</w:t>
      </w:r>
      <w:r w:rsidR="008D5244" w:rsidRPr="00A52AB8">
        <w:rPr>
          <w:rFonts w:cs="Calibri"/>
        </w:rPr>
        <w:t xml:space="preserve">, in addition to the operations specified in </w:t>
      </w:r>
      <w:r w:rsidR="008D5244" w:rsidRPr="00496A4D">
        <w:rPr>
          <w:rFonts w:cs="Calibri"/>
        </w:rPr>
        <w:fldChar w:fldCharType="begin"/>
      </w:r>
      <w:r w:rsidR="008D5244" w:rsidRPr="00A52AB8">
        <w:rPr>
          <w:rFonts w:cs="Calibri"/>
        </w:rPr>
        <w:instrText xml:space="preserve"> REF _Ref41390825 \h  \* MERGEFORMAT </w:instrText>
      </w:r>
      <w:r w:rsidR="008D5244" w:rsidRPr="00496A4D">
        <w:rPr>
          <w:rFonts w:cs="Calibri"/>
        </w:rPr>
      </w:r>
      <w:r w:rsidR="008D5244" w:rsidRPr="00496A4D">
        <w:rPr>
          <w:rFonts w:cs="Calibri"/>
        </w:rPr>
        <w:fldChar w:fldCharType="separate"/>
      </w:r>
      <w:r w:rsidR="00507A67" w:rsidRPr="00507A67">
        <w:t>Table H-5</w:t>
      </w:r>
      <w:r w:rsidR="008D5244" w:rsidRPr="00496A4D">
        <w:rPr>
          <w:rFonts w:cs="Calibri"/>
        </w:rPr>
        <w:fldChar w:fldCharType="end"/>
      </w:r>
      <w:r w:rsidRPr="00A52AB8">
        <w:rPr>
          <w:rFonts w:cs="Calibri"/>
        </w:rPr>
        <w:t xml:space="preserve"> the following hypothetical reference </w:t>
      </w:r>
      <w:r w:rsidR="00355DFD" w:rsidRPr="00A52AB8">
        <w:rPr>
          <w:rFonts w:cs="Calibri"/>
        </w:rPr>
        <w:t xml:space="preserve">reconstruction </w:t>
      </w:r>
      <w:r w:rsidRPr="00A52AB8">
        <w:rPr>
          <w:rFonts w:cs="Calibri"/>
        </w:rPr>
        <w:t>operations are defined:</w:t>
      </w:r>
    </w:p>
    <w:p w14:paraId="1F131F76" w14:textId="35E9EA6B" w:rsidR="000C73CA" w:rsidRPr="00A52AB8" w:rsidRDefault="000C73CA"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Hypothetical reference resolution upsampling (</w:t>
      </w:r>
      <w:r w:rsidR="00855B87" w:rsidRPr="00496A4D">
        <w:rPr>
          <w:color w:val="000000" w:themeColor="text1"/>
        </w:rPr>
        <w:fldChar w:fldCharType="begin"/>
      </w:r>
      <w:r w:rsidR="00855B87" w:rsidRPr="00A52AB8">
        <w:rPr>
          <w:color w:val="000000" w:themeColor="text1"/>
        </w:rPr>
        <w:instrText xml:space="preserve"> REF _Ref39059799 \r \h </w:instrText>
      </w:r>
      <w:r w:rsidR="00CA5401" w:rsidRPr="00A52AB8">
        <w:rPr>
          <w:color w:val="000000" w:themeColor="text1"/>
        </w:rPr>
        <w:instrText xml:space="preserve"> \* MERGEFORMAT </w:instrText>
      </w:r>
      <w:r w:rsidR="00855B87" w:rsidRPr="00496A4D">
        <w:rPr>
          <w:color w:val="000000" w:themeColor="text1"/>
        </w:rPr>
      </w:r>
      <w:r w:rsidR="00855B87" w:rsidRPr="00496A4D">
        <w:rPr>
          <w:color w:val="000000" w:themeColor="text1"/>
        </w:rPr>
        <w:fldChar w:fldCharType="separate"/>
      </w:r>
      <w:r w:rsidR="00507A67">
        <w:rPr>
          <w:color w:val="000000" w:themeColor="text1"/>
        </w:rPr>
        <w:t>B.3.3</w:t>
      </w:r>
      <w:r w:rsidR="00855B87" w:rsidRPr="00496A4D">
        <w:rPr>
          <w:color w:val="000000" w:themeColor="text1"/>
        </w:rPr>
        <w:fldChar w:fldCharType="end"/>
      </w:r>
      <w:r w:rsidRPr="00A52AB8">
        <w:rPr>
          <w:color w:val="000000" w:themeColor="text1"/>
        </w:rPr>
        <w:t>)</w:t>
      </w:r>
    </w:p>
    <w:p w14:paraId="3BAAB980" w14:textId="58698523" w:rsidR="000C73CA" w:rsidRPr="00A52AB8" w:rsidRDefault="000C73CA"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Hypothetical reference frame rate conversion (</w:t>
      </w:r>
      <w:r w:rsidR="007E002B" w:rsidRPr="00496A4D">
        <w:rPr>
          <w:color w:val="000000" w:themeColor="text1"/>
        </w:rPr>
        <w:fldChar w:fldCharType="begin"/>
      </w:r>
      <w:r w:rsidR="007E002B" w:rsidRPr="00A52AB8">
        <w:rPr>
          <w:color w:val="000000" w:themeColor="text1"/>
        </w:rPr>
        <w:instrText xml:space="preserve"> REF _Ref39746083 \r \h </w:instrText>
      </w:r>
      <w:r w:rsidR="00CA5401" w:rsidRPr="00A52AB8">
        <w:rPr>
          <w:color w:val="000000" w:themeColor="text1"/>
        </w:rPr>
        <w:instrText xml:space="preserve"> \* MERGEFORMAT </w:instrText>
      </w:r>
      <w:r w:rsidR="007E002B" w:rsidRPr="00496A4D">
        <w:rPr>
          <w:color w:val="000000" w:themeColor="text1"/>
        </w:rPr>
      </w:r>
      <w:r w:rsidR="007E002B" w:rsidRPr="00496A4D">
        <w:rPr>
          <w:color w:val="000000" w:themeColor="text1"/>
        </w:rPr>
        <w:fldChar w:fldCharType="separate"/>
      </w:r>
      <w:r w:rsidR="00507A67">
        <w:rPr>
          <w:color w:val="000000" w:themeColor="text1"/>
        </w:rPr>
        <w:t>B.3.4</w:t>
      </w:r>
      <w:r w:rsidR="007E002B" w:rsidRPr="00496A4D">
        <w:rPr>
          <w:color w:val="000000" w:themeColor="text1"/>
        </w:rPr>
        <w:fldChar w:fldCharType="end"/>
      </w:r>
      <w:r w:rsidRPr="00A52AB8">
        <w:rPr>
          <w:color w:val="000000" w:themeColor="text1"/>
        </w:rPr>
        <w:t>)</w:t>
      </w:r>
    </w:p>
    <w:p w14:paraId="2D652702" w14:textId="2D8E7B6A" w:rsidR="008D5244" w:rsidRPr="00A52AB8" w:rsidRDefault="00A12071"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Hypothetical reference chroma format conversion (</w:t>
      </w:r>
      <w:r w:rsidRPr="00496A4D">
        <w:rPr>
          <w:color w:val="000000" w:themeColor="text1"/>
        </w:rPr>
        <w:fldChar w:fldCharType="begin"/>
      </w:r>
      <w:r w:rsidRPr="00A52AB8">
        <w:rPr>
          <w:color w:val="000000" w:themeColor="text1"/>
        </w:rPr>
        <w:instrText xml:space="preserve"> REF _Ref38889995 \r \h </w:instrText>
      </w:r>
      <w:r w:rsidR="00CA5401"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B.3.5</w:t>
      </w:r>
      <w:r w:rsidRPr="00496A4D">
        <w:rPr>
          <w:color w:val="000000" w:themeColor="text1"/>
        </w:rPr>
        <w:fldChar w:fldCharType="end"/>
      </w:r>
      <w:r w:rsidRPr="00A52AB8">
        <w:rPr>
          <w:color w:val="000000" w:themeColor="text1"/>
        </w:rPr>
        <w:t>)</w:t>
      </w:r>
    </w:p>
    <w:p w14:paraId="7B3B6268" w14:textId="77777777" w:rsidR="008D5244" w:rsidRPr="00A52AB8" w:rsidRDefault="008D5244" w:rsidP="008D5244">
      <w:pPr>
        <w:tabs>
          <w:tab w:val="clear" w:pos="403"/>
          <w:tab w:val="left" w:pos="720"/>
        </w:tabs>
        <w:rPr>
          <w:rFonts w:cs="Calibri"/>
        </w:rPr>
      </w:pPr>
      <w:r w:rsidRPr="00A52AB8">
        <w:rPr>
          <w:rFonts w:cs="Calibri"/>
        </w:rPr>
        <w:t>In addition, the following applies:</w:t>
      </w:r>
    </w:p>
    <w:p w14:paraId="303B2EB6" w14:textId="70F81FD5" w:rsidR="008D5244" w:rsidRPr="00A52AB8" w:rsidRDefault="008D5244"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The values of the reconstructed points at the output of the reconstruction stage (subclause</w:t>
      </w:r>
      <w:r w:rsidR="00E17F34" w:rsidRPr="00A52AB8">
        <w:rPr>
          <w:color w:val="000000" w:themeColor="text1"/>
        </w:rPr>
        <w:t> </w:t>
      </w:r>
      <w:r w:rsidR="00F02645" w:rsidRPr="00496A4D">
        <w:rPr>
          <w:color w:val="000000" w:themeColor="text1"/>
        </w:rPr>
        <w:fldChar w:fldCharType="begin"/>
      </w:r>
      <w:r w:rsidR="00F02645" w:rsidRPr="00A52AB8">
        <w:rPr>
          <w:color w:val="000000" w:themeColor="text1"/>
        </w:rPr>
        <w:instrText xml:space="preserve"> REF _Ref50021523 \r \h </w:instrText>
      </w:r>
      <w:r w:rsidR="00D15987" w:rsidRPr="00A52AB8">
        <w:rPr>
          <w:color w:val="000000" w:themeColor="text1"/>
        </w:rPr>
        <w:instrText xml:space="preserve"> \* MERGEFORMAT </w:instrText>
      </w:r>
      <w:r w:rsidR="00F02645" w:rsidRPr="00496A4D">
        <w:rPr>
          <w:color w:val="000000" w:themeColor="text1"/>
        </w:rPr>
      </w:r>
      <w:r w:rsidR="00F02645" w:rsidRPr="00496A4D">
        <w:rPr>
          <w:color w:val="000000" w:themeColor="text1"/>
        </w:rPr>
        <w:fldChar w:fldCharType="separate"/>
      </w:r>
      <w:r w:rsidR="00507A67">
        <w:rPr>
          <w:color w:val="000000" w:themeColor="text1"/>
        </w:rPr>
        <w:t>H.11</w:t>
      </w:r>
      <w:r w:rsidR="00F02645" w:rsidRPr="00496A4D">
        <w:rPr>
          <w:color w:val="000000" w:themeColor="text1"/>
        </w:rPr>
        <w:fldChar w:fldCharType="end"/>
      </w:r>
      <w:r w:rsidRPr="00A52AB8">
        <w:rPr>
          <w:color w:val="000000" w:themeColor="text1"/>
        </w:rPr>
        <w:t>) are clipped to the range 0 to ( 1 &lt;&lt; ( asps_geometry_3d_bit_depth_minus1 + 1 ) – 1 ), inclusive.</w:t>
      </w:r>
    </w:p>
    <w:p w14:paraId="697BCA91" w14:textId="6E36CE1F" w:rsidR="008D5244" w:rsidRPr="00A52AB8" w:rsidRDefault="008D5244"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The input parameter attrBitDepth for </w:t>
      </w:r>
      <w:r w:rsidR="00E17F34" w:rsidRPr="00A52AB8">
        <w:rPr>
          <w:color w:val="000000" w:themeColor="text1"/>
        </w:rPr>
        <w:t>subclause </w:t>
      </w:r>
      <w:r w:rsidRPr="00496A4D">
        <w:rPr>
          <w:color w:val="000000" w:themeColor="text1"/>
        </w:rPr>
        <w:fldChar w:fldCharType="begin"/>
      </w:r>
      <w:r w:rsidRPr="00A52AB8">
        <w:rPr>
          <w:color w:val="000000" w:themeColor="text1"/>
        </w:rPr>
        <w:instrText xml:space="preserve"> REF _Ref49358175 \n \h </w:instrText>
      </w:r>
      <w:r w:rsidR="00D15987"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H.12.3</w:t>
      </w:r>
      <w:r w:rsidRPr="00496A4D">
        <w:rPr>
          <w:color w:val="000000" w:themeColor="text1"/>
        </w:rPr>
        <w:fldChar w:fldCharType="end"/>
      </w:r>
      <w:r w:rsidRPr="00A52AB8">
        <w:rPr>
          <w:color w:val="000000" w:themeColor="text1"/>
        </w:rPr>
        <w:t xml:space="preserve"> and the input parameter bitDepth for </w:t>
      </w:r>
      <w:r w:rsidR="00E17F34" w:rsidRPr="00A52AB8">
        <w:rPr>
          <w:color w:val="000000" w:themeColor="text1"/>
        </w:rPr>
        <w:t>subclause </w:t>
      </w:r>
      <w:r w:rsidRPr="00496A4D">
        <w:rPr>
          <w:color w:val="000000" w:themeColor="text1"/>
        </w:rPr>
        <w:fldChar w:fldCharType="begin"/>
      </w:r>
      <w:r w:rsidRPr="00A52AB8">
        <w:rPr>
          <w:color w:val="000000" w:themeColor="text1"/>
        </w:rPr>
        <w:instrText xml:space="preserve"> REF _Ref49259534 \n \h </w:instrText>
      </w:r>
      <w:r w:rsidR="00D15987" w:rsidRPr="00A52AB8">
        <w:rPr>
          <w:color w:val="000000" w:themeColor="text1"/>
        </w:rPr>
        <w:instrText xml:space="preserve"> \* MERGEFORMAT </w:instrText>
      </w:r>
      <w:r w:rsidRPr="00496A4D">
        <w:rPr>
          <w:color w:val="000000" w:themeColor="text1"/>
        </w:rPr>
      </w:r>
      <w:r w:rsidRPr="00496A4D">
        <w:rPr>
          <w:color w:val="000000" w:themeColor="text1"/>
        </w:rPr>
        <w:fldChar w:fldCharType="separate"/>
      </w:r>
      <w:r w:rsidR="00507A67">
        <w:rPr>
          <w:color w:val="000000" w:themeColor="text1"/>
        </w:rPr>
        <w:t>H.12.8.2</w:t>
      </w:r>
      <w:r w:rsidRPr="00496A4D">
        <w:rPr>
          <w:color w:val="000000" w:themeColor="text1"/>
        </w:rPr>
        <w:fldChar w:fldCharType="end"/>
      </w:r>
      <w:r w:rsidRPr="00A52AB8">
        <w:rPr>
          <w:color w:val="000000" w:themeColor="text1"/>
        </w:rPr>
        <w:t xml:space="preserve"> are set to ( ai_attribute_2d_bit_depth_minus1[ atlasID ][ attrIdx ] + 1 ) for attribute with index attrIdx for the atlas with atlas ID atlasID.</w:t>
      </w:r>
    </w:p>
    <w:p w14:paraId="1F879B8F" w14:textId="07919718" w:rsidR="000C73CA" w:rsidRPr="00A52AB8" w:rsidRDefault="00216CAA" w:rsidP="00E860C4">
      <w:pPr>
        <w:tabs>
          <w:tab w:val="clear" w:pos="403"/>
          <w:tab w:val="left" w:pos="720"/>
        </w:tabs>
        <w:rPr>
          <w:rFonts w:cs="Calibri"/>
        </w:rPr>
      </w:pPr>
      <w:r w:rsidRPr="00A52AB8">
        <w:rPr>
          <w:rFonts w:cs="Calibri"/>
        </w:rPr>
        <w:t xml:space="preserve">The hypothetical reference </w:t>
      </w:r>
      <w:r w:rsidR="00355DFD" w:rsidRPr="00A52AB8">
        <w:rPr>
          <w:rFonts w:cs="Calibri"/>
        </w:rPr>
        <w:t xml:space="preserve">reconstruction </w:t>
      </w:r>
      <w:r w:rsidR="004469E6" w:rsidRPr="00A52AB8">
        <w:rPr>
          <w:rFonts w:cs="Calibri"/>
        </w:rPr>
        <w:t xml:space="preserve">operations </w:t>
      </w:r>
      <w:r w:rsidRPr="00A52AB8">
        <w:rPr>
          <w:rFonts w:cs="Calibri"/>
        </w:rPr>
        <w:t xml:space="preserve">are intended for checking decoder conformance at point B. </w:t>
      </w:r>
      <w:r w:rsidR="00F163BE" w:rsidRPr="00A52AB8">
        <w:rPr>
          <w:rFonts w:cs="Calibri"/>
        </w:rPr>
        <w:t xml:space="preserve">A conformant </w:t>
      </w:r>
      <w:r w:rsidRPr="00A52AB8">
        <w:rPr>
          <w:rFonts w:cs="Calibri"/>
        </w:rPr>
        <w:t xml:space="preserve">V-PCC decoder </w:t>
      </w:r>
      <w:r w:rsidR="00F163BE" w:rsidRPr="00A52AB8">
        <w:rPr>
          <w:rFonts w:cs="Calibri"/>
        </w:rPr>
        <w:t xml:space="preserve">may implement alternative processes that produce similar or better visual quality. </w:t>
      </w:r>
      <w:r w:rsidR="00F163BE" w:rsidRPr="00A52AB8">
        <w:rPr>
          <w:color w:val="000000" w:themeColor="text1"/>
        </w:rPr>
        <w:t>The definition of similar visual quality is outside the scope of this document.</w:t>
      </w:r>
    </w:p>
    <w:p w14:paraId="30677CDD" w14:textId="77777777" w:rsidR="000C73CA" w:rsidRPr="00A52AB8" w:rsidRDefault="000C73CA" w:rsidP="000C73CA">
      <w:pPr>
        <w:pStyle w:val="a3"/>
        <w:numPr>
          <w:ilvl w:val="2"/>
          <w:numId w:val="14"/>
        </w:numPr>
      </w:pPr>
      <w:bookmarkStart w:id="7277" w:name="_Toc37760872"/>
      <w:bookmarkStart w:id="7278" w:name="_Ref46444460"/>
      <w:bookmarkStart w:id="7279" w:name="_Toc52181813"/>
      <w:r w:rsidRPr="00A52AB8">
        <w:t>Tier and Levels</w:t>
      </w:r>
      <w:bookmarkEnd w:id="7277"/>
      <w:bookmarkEnd w:id="7278"/>
      <w:bookmarkEnd w:id="7279"/>
    </w:p>
    <w:p w14:paraId="0D2E01CE" w14:textId="3E79E91E" w:rsidR="000C73CA" w:rsidRPr="00A52AB8" w:rsidRDefault="000C73CA" w:rsidP="000C73CA">
      <w:pPr>
        <w:rPr>
          <w:lang w:eastAsia="ja-JP"/>
        </w:rPr>
      </w:pPr>
      <w:r w:rsidRPr="00A52AB8">
        <w:rPr>
          <w:lang w:eastAsia="ja-JP"/>
        </w:rPr>
        <w:t xml:space="preserve">The specifications in </w:t>
      </w:r>
      <w:r w:rsidR="001E340B" w:rsidRPr="00496A4D">
        <w:rPr>
          <w:lang w:eastAsia="ja-JP"/>
        </w:rPr>
        <w:fldChar w:fldCharType="begin"/>
      </w:r>
      <w:r w:rsidR="001E340B" w:rsidRPr="00A52AB8">
        <w:rPr>
          <w:lang w:eastAsia="ja-JP"/>
        </w:rPr>
        <w:instrText xml:space="preserve"> REF _Ref49259466 \r \h </w:instrText>
      </w:r>
      <w:r w:rsidR="00007BE2" w:rsidRPr="00A52AB8">
        <w:rPr>
          <w:lang w:eastAsia="ja-JP"/>
        </w:rPr>
        <w:instrText xml:space="preserve"> \* MERGEFORMAT </w:instrText>
      </w:r>
      <w:r w:rsidR="001E340B" w:rsidRPr="00496A4D">
        <w:rPr>
          <w:lang w:eastAsia="ja-JP"/>
        </w:rPr>
      </w:r>
      <w:r w:rsidR="001E340B" w:rsidRPr="00496A4D">
        <w:rPr>
          <w:lang w:eastAsia="ja-JP"/>
        </w:rPr>
        <w:fldChar w:fldCharType="separate"/>
      </w:r>
      <w:r w:rsidR="00507A67">
        <w:rPr>
          <w:lang w:eastAsia="ja-JP"/>
        </w:rPr>
        <w:t>A.6</w:t>
      </w:r>
      <w:r w:rsidR="001E340B" w:rsidRPr="00496A4D">
        <w:rPr>
          <w:lang w:eastAsia="ja-JP"/>
        </w:rPr>
        <w:fldChar w:fldCharType="end"/>
      </w:r>
      <w:r w:rsidR="001E340B" w:rsidRPr="00A52AB8">
        <w:rPr>
          <w:lang w:eastAsia="ja-JP"/>
        </w:rPr>
        <w:t xml:space="preserve"> </w:t>
      </w:r>
      <w:r w:rsidRPr="00A52AB8">
        <w:rPr>
          <w:lang w:eastAsia="ja-JP"/>
        </w:rPr>
        <w:t>and its subclauses apply.</w:t>
      </w:r>
    </w:p>
    <w:p w14:paraId="3907F54F" w14:textId="5A06C476" w:rsidR="000C73CA" w:rsidRPr="00A52AB8" w:rsidRDefault="003A1C08" w:rsidP="000C73CA">
      <w:pPr>
        <w:pStyle w:val="a2"/>
        <w:numPr>
          <w:ilvl w:val="1"/>
          <w:numId w:val="14"/>
        </w:numPr>
        <w:rPr>
          <w:color w:val="000000" w:themeColor="text1"/>
        </w:rPr>
      </w:pPr>
      <w:bookmarkStart w:id="7280" w:name="_Toc52181814"/>
      <w:r w:rsidRPr="00A52AB8">
        <w:t>Post-decoding conversion to nominal video formats</w:t>
      </w:r>
      <w:bookmarkEnd w:id="7280"/>
    </w:p>
    <w:p w14:paraId="0055E149" w14:textId="69A7A8CE" w:rsidR="0050235C" w:rsidRPr="00A52AB8" w:rsidRDefault="00D21011" w:rsidP="005C26E9">
      <w:pPr>
        <w:rPr>
          <w:lang w:eastAsia="ja-JP"/>
        </w:rPr>
      </w:pPr>
      <w:r w:rsidRPr="00A52AB8">
        <w:rPr>
          <w:lang w:eastAsia="ja-JP"/>
        </w:rPr>
        <w:t>The specification</w:t>
      </w:r>
      <w:r w:rsidR="005A62CD" w:rsidRPr="00A52AB8">
        <w:rPr>
          <w:lang w:eastAsia="ja-JP"/>
        </w:rPr>
        <w:t>s</w:t>
      </w:r>
      <w:r w:rsidRPr="00A52AB8">
        <w:rPr>
          <w:lang w:eastAsia="ja-JP"/>
        </w:rPr>
        <w:t xml:space="preserve"> in </w:t>
      </w:r>
      <w:r w:rsidR="00386500" w:rsidRPr="00496A4D">
        <w:rPr>
          <w:lang w:eastAsia="ja-JP"/>
        </w:rPr>
        <w:fldChar w:fldCharType="begin"/>
      </w:r>
      <w:r w:rsidR="00386500" w:rsidRPr="00A52AB8">
        <w:rPr>
          <w:lang w:eastAsia="ja-JP"/>
        </w:rPr>
        <w:instrText xml:space="preserve"> REF _Ref38310059 \n \h </w:instrText>
      </w:r>
      <w:r w:rsidR="00CA5401" w:rsidRPr="00A52AB8">
        <w:rPr>
          <w:lang w:eastAsia="ja-JP"/>
        </w:rPr>
        <w:instrText xml:space="preserve"> \* MERGEFORMAT </w:instrText>
      </w:r>
      <w:r w:rsidR="00386500" w:rsidRPr="00496A4D">
        <w:rPr>
          <w:lang w:eastAsia="ja-JP"/>
        </w:rPr>
      </w:r>
      <w:r w:rsidR="00386500" w:rsidRPr="00496A4D">
        <w:rPr>
          <w:lang w:eastAsia="ja-JP"/>
        </w:rPr>
        <w:fldChar w:fldCharType="separate"/>
      </w:r>
      <w:r w:rsidR="00507A67">
        <w:rPr>
          <w:lang w:eastAsia="ja-JP"/>
        </w:rPr>
        <w:t>Annex B</w:t>
      </w:r>
      <w:r w:rsidR="00386500" w:rsidRPr="00496A4D">
        <w:rPr>
          <w:lang w:eastAsia="ja-JP"/>
        </w:rPr>
        <w:fldChar w:fldCharType="end"/>
      </w:r>
      <w:r w:rsidR="00386500" w:rsidRPr="00A52AB8">
        <w:rPr>
          <w:sz w:val="20"/>
          <w:szCs w:val="20"/>
        </w:rPr>
        <w:t xml:space="preserve"> </w:t>
      </w:r>
      <w:r w:rsidRPr="00A52AB8">
        <w:rPr>
          <w:lang w:eastAsia="ja-JP"/>
        </w:rPr>
        <w:t>apply</w:t>
      </w:r>
      <w:r w:rsidR="00386500" w:rsidRPr="00A52AB8">
        <w:rPr>
          <w:lang w:eastAsia="ja-JP"/>
        </w:rPr>
        <w:t xml:space="preserve"> and its subclauses apply</w:t>
      </w:r>
      <w:r w:rsidRPr="00A52AB8">
        <w:rPr>
          <w:lang w:eastAsia="ja-JP"/>
        </w:rPr>
        <w:t>.</w:t>
      </w:r>
    </w:p>
    <w:p w14:paraId="0B6E99F1" w14:textId="6C6BD84D" w:rsidR="00D21011" w:rsidRPr="00A52AB8" w:rsidRDefault="00D21011" w:rsidP="00D21011">
      <w:pPr>
        <w:pStyle w:val="a2"/>
        <w:numPr>
          <w:ilvl w:val="1"/>
          <w:numId w:val="14"/>
        </w:numPr>
      </w:pPr>
      <w:bookmarkStart w:id="7281" w:name="_Toc52181815"/>
      <w:r w:rsidRPr="00A52AB8">
        <w:t>V3C Sample Stream Format</w:t>
      </w:r>
      <w:bookmarkEnd w:id="7281"/>
    </w:p>
    <w:p w14:paraId="2D147863" w14:textId="0C53CF64" w:rsidR="000C73CA" w:rsidRPr="00A52AB8" w:rsidRDefault="000C73CA" w:rsidP="000C73CA">
      <w:r w:rsidRPr="00A52AB8">
        <w:t xml:space="preserve">The specifications in </w:t>
      </w:r>
      <w:r w:rsidR="008D7190" w:rsidRPr="00496A4D">
        <w:fldChar w:fldCharType="begin"/>
      </w:r>
      <w:r w:rsidR="008D7190" w:rsidRPr="00A52AB8">
        <w:instrText xml:space="preserve"> REF _Ref5894532 \n \h </w:instrText>
      </w:r>
      <w:r w:rsidR="00CA5401" w:rsidRPr="00A52AB8">
        <w:instrText xml:space="preserve"> \* MERGEFORMAT </w:instrText>
      </w:r>
      <w:r w:rsidR="008D7190" w:rsidRPr="00496A4D">
        <w:fldChar w:fldCharType="separate"/>
      </w:r>
      <w:r w:rsidR="00507A67">
        <w:t>Annex C</w:t>
      </w:r>
      <w:r w:rsidR="008D7190" w:rsidRPr="00496A4D">
        <w:fldChar w:fldCharType="end"/>
      </w:r>
      <w:r w:rsidR="00C8493E" w:rsidRPr="00A52AB8">
        <w:t xml:space="preserve"> and its subclauses apply</w:t>
      </w:r>
      <w:r w:rsidRPr="00A52AB8">
        <w:t>.</w:t>
      </w:r>
    </w:p>
    <w:p w14:paraId="055B3809" w14:textId="69A3C434" w:rsidR="000C73CA" w:rsidRPr="00A52AB8" w:rsidRDefault="000C73CA" w:rsidP="000C73CA">
      <w:pPr>
        <w:pStyle w:val="a2"/>
        <w:numPr>
          <w:ilvl w:val="1"/>
          <w:numId w:val="14"/>
        </w:numPr>
      </w:pPr>
      <w:bookmarkStart w:id="7282" w:name="_Toc37760874"/>
      <w:bookmarkStart w:id="7283" w:name="_Toc52181816"/>
      <w:r w:rsidRPr="00A52AB8">
        <w:t>NAL Sample Stream Format</w:t>
      </w:r>
      <w:bookmarkEnd w:id="7282"/>
      <w:bookmarkEnd w:id="7283"/>
    </w:p>
    <w:p w14:paraId="178166BC" w14:textId="113ECEB5" w:rsidR="000C73CA" w:rsidRPr="00A52AB8" w:rsidRDefault="000C73CA" w:rsidP="000C73CA">
      <w:r w:rsidRPr="00A52AB8">
        <w:t xml:space="preserve">The specifications in </w:t>
      </w:r>
      <w:r w:rsidR="008D7190" w:rsidRPr="00496A4D">
        <w:fldChar w:fldCharType="begin"/>
      </w:r>
      <w:r w:rsidR="008D7190" w:rsidRPr="00A52AB8">
        <w:instrText xml:space="preserve"> REF _Ref19022738 \n \h </w:instrText>
      </w:r>
      <w:r w:rsidR="00CA5401" w:rsidRPr="00A52AB8">
        <w:instrText xml:space="preserve"> \* MERGEFORMAT </w:instrText>
      </w:r>
      <w:r w:rsidR="008D7190" w:rsidRPr="00496A4D">
        <w:fldChar w:fldCharType="separate"/>
      </w:r>
      <w:r w:rsidR="00507A67">
        <w:t>Annex D</w:t>
      </w:r>
      <w:r w:rsidR="008D7190" w:rsidRPr="00496A4D">
        <w:fldChar w:fldCharType="end"/>
      </w:r>
      <w:r w:rsidR="00C8493E" w:rsidRPr="00A52AB8">
        <w:rPr>
          <w:sz w:val="20"/>
          <w:szCs w:val="20"/>
        </w:rPr>
        <w:t xml:space="preserve"> </w:t>
      </w:r>
      <w:r w:rsidR="00C8493E" w:rsidRPr="00A52AB8">
        <w:t>and its subclauses apply</w:t>
      </w:r>
      <w:r w:rsidRPr="00A52AB8">
        <w:t>.</w:t>
      </w:r>
    </w:p>
    <w:p w14:paraId="5A4EF1A1" w14:textId="4AAB00AB" w:rsidR="000C73CA" w:rsidRPr="00A52AB8" w:rsidRDefault="000C73CA" w:rsidP="000C73CA">
      <w:pPr>
        <w:pStyle w:val="a2"/>
        <w:numPr>
          <w:ilvl w:val="1"/>
          <w:numId w:val="14"/>
        </w:numPr>
      </w:pPr>
      <w:bookmarkStart w:id="7284" w:name="_Toc37760875"/>
      <w:bookmarkStart w:id="7285" w:name="_Toc52181817"/>
      <w:r w:rsidRPr="00A52AB8">
        <w:t>Atlas Hypothetical Reference Decoder</w:t>
      </w:r>
      <w:bookmarkEnd w:id="7284"/>
      <w:bookmarkEnd w:id="7285"/>
    </w:p>
    <w:p w14:paraId="21989FF2" w14:textId="7BA6F537" w:rsidR="000C73CA" w:rsidRPr="00A52AB8" w:rsidRDefault="000C73CA" w:rsidP="000C73CA">
      <w:r w:rsidRPr="00A52AB8">
        <w:t xml:space="preserve">The specifications in </w:t>
      </w:r>
      <w:r w:rsidR="008D7190" w:rsidRPr="00496A4D">
        <w:fldChar w:fldCharType="begin"/>
      </w:r>
      <w:r w:rsidR="008D7190" w:rsidRPr="00A52AB8">
        <w:instrText xml:space="preserve"> REF _Ref21527634 \n \h </w:instrText>
      </w:r>
      <w:r w:rsidR="00CA5401" w:rsidRPr="00A52AB8">
        <w:instrText xml:space="preserve"> \* MERGEFORMAT </w:instrText>
      </w:r>
      <w:r w:rsidR="008D7190" w:rsidRPr="00496A4D">
        <w:fldChar w:fldCharType="separate"/>
      </w:r>
      <w:r w:rsidR="00507A67">
        <w:t>Annex E</w:t>
      </w:r>
      <w:r w:rsidR="008D7190" w:rsidRPr="00496A4D">
        <w:fldChar w:fldCharType="end"/>
      </w:r>
      <w:r w:rsidRPr="00A52AB8">
        <w:t xml:space="preserve"> </w:t>
      </w:r>
      <w:r w:rsidR="00C8493E" w:rsidRPr="00A52AB8">
        <w:t>and its subclauses apply</w:t>
      </w:r>
      <w:r w:rsidRPr="00A52AB8">
        <w:t>.</w:t>
      </w:r>
    </w:p>
    <w:p w14:paraId="773CB8AA" w14:textId="1D456AAD" w:rsidR="000C73CA" w:rsidRPr="00A52AB8" w:rsidRDefault="000C73CA" w:rsidP="000C73CA">
      <w:pPr>
        <w:pStyle w:val="a2"/>
        <w:numPr>
          <w:ilvl w:val="1"/>
          <w:numId w:val="14"/>
        </w:numPr>
      </w:pPr>
      <w:bookmarkStart w:id="7286" w:name="_Toc37760876"/>
      <w:bookmarkStart w:id="7287" w:name="_Toc52181818"/>
      <w:r w:rsidRPr="00A52AB8">
        <w:t>Supplemental Enhancement Information</w:t>
      </w:r>
      <w:bookmarkEnd w:id="7286"/>
      <w:bookmarkEnd w:id="7287"/>
    </w:p>
    <w:p w14:paraId="7ECAE534" w14:textId="77777777" w:rsidR="0050235C" w:rsidRPr="00A52AB8" w:rsidRDefault="000C73CA" w:rsidP="000C73CA">
      <w:pPr>
        <w:pStyle w:val="a3"/>
        <w:numPr>
          <w:ilvl w:val="2"/>
          <w:numId w:val="14"/>
        </w:numPr>
      </w:pPr>
      <w:bookmarkStart w:id="7288" w:name="_Toc37760877"/>
      <w:bookmarkStart w:id="7289" w:name="_Toc52181819"/>
      <w:r w:rsidRPr="00A52AB8">
        <w:t>General</w:t>
      </w:r>
      <w:bookmarkEnd w:id="7288"/>
      <w:bookmarkEnd w:id="7289"/>
    </w:p>
    <w:p w14:paraId="39E2C4B1" w14:textId="3C5E66C0" w:rsidR="0050235C" w:rsidRPr="00A52AB8" w:rsidRDefault="000C73CA" w:rsidP="000C73CA">
      <w:r w:rsidRPr="00A52AB8">
        <w:t xml:space="preserve">The specifications in </w:t>
      </w:r>
      <w:r w:rsidR="00F85CDF" w:rsidRPr="00496A4D">
        <w:fldChar w:fldCharType="begin"/>
      </w:r>
      <w:r w:rsidR="00F85CDF" w:rsidRPr="00A52AB8">
        <w:instrText xml:space="preserve"> REF _Ref38310292 \n \h </w:instrText>
      </w:r>
      <w:r w:rsidR="00CA5401" w:rsidRPr="00A52AB8">
        <w:instrText xml:space="preserve"> \* MERGEFORMAT </w:instrText>
      </w:r>
      <w:r w:rsidR="00F85CDF" w:rsidRPr="00496A4D">
        <w:fldChar w:fldCharType="separate"/>
      </w:r>
      <w:r w:rsidR="00507A67">
        <w:t>F.1</w:t>
      </w:r>
      <w:r w:rsidR="00F85CDF" w:rsidRPr="00496A4D">
        <w:fldChar w:fldCharType="end"/>
      </w:r>
      <w:r w:rsidRPr="00A52AB8">
        <w:t xml:space="preserve"> apply.</w:t>
      </w:r>
    </w:p>
    <w:p w14:paraId="6A4BDBA7" w14:textId="77777777" w:rsidR="0050235C" w:rsidRPr="00A52AB8" w:rsidRDefault="000C73CA" w:rsidP="000C73CA">
      <w:pPr>
        <w:pStyle w:val="a3"/>
        <w:numPr>
          <w:ilvl w:val="2"/>
          <w:numId w:val="14"/>
        </w:numPr>
      </w:pPr>
      <w:bookmarkStart w:id="7290" w:name="_Toc37760878"/>
      <w:bookmarkStart w:id="7291" w:name="_Toc52181820"/>
      <w:r w:rsidRPr="00A52AB8">
        <w:t>SEI payload syntax</w:t>
      </w:r>
      <w:bookmarkEnd w:id="7290"/>
      <w:bookmarkEnd w:id="7291"/>
    </w:p>
    <w:p w14:paraId="4C8242F6" w14:textId="26435CA3" w:rsidR="005600B0" w:rsidRPr="00A52AB8" w:rsidRDefault="005600B0" w:rsidP="00EE3D19">
      <w:pPr>
        <w:pStyle w:val="a3"/>
        <w:numPr>
          <w:ilvl w:val="3"/>
          <w:numId w:val="14"/>
        </w:numPr>
        <w:outlineLvl w:val="3"/>
      </w:pPr>
      <w:bookmarkStart w:id="7292" w:name="_Toc52181821"/>
      <w:r w:rsidRPr="00A52AB8">
        <w:t>General SEI message syntax</w:t>
      </w:r>
      <w:bookmarkEnd w:id="7292"/>
    </w:p>
    <w:p w14:paraId="76A20EE2" w14:textId="588A688D" w:rsidR="0050235C" w:rsidRPr="00A52AB8" w:rsidRDefault="0049356D" w:rsidP="0049356D">
      <w:r w:rsidRPr="00A52AB8">
        <w:t xml:space="preserve">The specifications in </w:t>
      </w:r>
      <w:r w:rsidR="008B7C30" w:rsidRPr="00496A4D">
        <w:fldChar w:fldCharType="begin"/>
      </w:r>
      <w:r w:rsidR="008B7C30" w:rsidRPr="00A52AB8">
        <w:instrText xml:space="preserve"> REF _Ref38310422 \r \h </w:instrText>
      </w:r>
      <w:r w:rsidR="00007BE2" w:rsidRPr="00A52AB8">
        <w:instrText xml:space="preserve"> \* MERGEFORMAT </w:instrText>
      </w:r>
      <w:r w:rsidR="008B7C30" w:rsidRPr="00496A4D">
        <w:fldChar w:fldCharType="separate"/>
      </w:r>
      <w:r w:rsidR="00507A67">
        <w:t>F.2.1</w:t>
      </w:r>
      <w:r w:rsidR="008B7C30" w:rsidRPr="00496A4D">
        <w:fldChar w:fldCharType="end"/>
      </w:r>
      <w:r w:rsidR="008B7C30" w:rsidRPr="00A52AB8">
        <w:t xml:space="preserve"> </w:t>
      </w:r>
      <w:r w:rsidRPr="00A52AB8">
        <w:t>apply.</w:t>
      </w:r>
    </w:p>
    <w:p w14:paraId="57BCE67E" w14:textId="7B368BE7" w:rsidR="005600B0" w:rsidRPr="00A52AB8" w:rsidRDefault="005600B0" w:rsidP="00EE3D19">
      <w:pPr>
        <w:pStyle w:val="a3"/>
        <w:numPr>
          <w:ilvl w:val="3"/>
          <w:numId w:val="14"/>
        </w:numPr>
        <w:outlineLvl w:val="3"/>
      </w:pPr>
      <w:bookmarkStart w:id="7293" w:name="_Toc52181822"/>
      <w:r w:rsidRPr="00A52AB8">
        <w:t>Filler payload SEI message syntax</w:t>
      </w:r>
      <w:bookmarkEnd w:id="7293"/>
    </w:p>
    <w:p w14:paraId="277E95EF" w14:textId="5016CC36" w:rsidR="0050235C" w:rsidRPr="00A52AB8" w:rsidRDefault="0049356D" w:rsidP="0049356D">
      <w:r w:rsidRPr="00A52AB8">
        <w:t>The specifications in</w:t>
      </w:r>
      <w:r w:rsidR="008B7C30" w:rsidRPr="00A52AB8">
        <w:t xml:space="preserve"> </w:t>
      </w:r>
      <w:r w:rsidR="008B7C30" w:rsidRPr="00496A4D">
        <w:fldChar w:fldCharType="begin"/>
      </w:r>
      <w:r w:rsidR="008B7C30" w:rsidRPr="00A52AB8">
        <w:instrText xml:space="preserve"> REF _Ref49347578 \r \h </w:instrText>
      </w:r>
      <w:r w:rsidR="00007BE2" w:rsidRPr="00A52AB8">
        <w:instrText xml:space="preserve"> \* MERGEFORMAT </w:instrText>
      </w:r>
      <w:r w:rsidR="008B7C30" w:rsidRPr="00496A4D">
        <w:fldChar w:fldCharType="separate"/>
      </w:r>
      <w:r w:rsidR="00507A67">
        <w:t>F.2.2</w:t>
      </w:r>
      <w:r w:rsidR="008B7C30" w:rsidRPr="00496A4D">
        <w:fldChar w:fldCharType="end"/>
      </w:r>
      <w:r w:rsidR="008B7C30" w:rsidRPr="00A52AB8">
        <w:t xml:space="preserve"> </w:t>
      </w:r>
      <w:r w:rsidRPr="00A52AB8">
        <w:t>apply.</w:t>
      </w:r>
    </w:p>
    <w:p w14:paraId="1160CF90" w14:textId="4221D895" w:rsidR="00F64CD1" w:rsidRPr="00A52AB8" w:rsidRDefault="00F64CD1" w:rsidP="00EE3D19">
      <w:pPr>
        <w:pStyle w:val="a3"/>
        <w:numPr>
          <w:ilvl w:val="3"/>
          <w:numId w:val="14"/>
        </w:numPr>
        <w:tabs>
          <w:tab w:val="clear" w:pos="403"/>
        </w:tabs>
        <w:outlineLvl w:val="3"/>
      </w:pPr>
      <w:bookmarkStart w:id="7294" w:name="_Toc52181823"/>
      <w:r w:rsidRPr="00A52AB8">
        <w:t>User data registered by Recommendation ITU-T T.35 SEI message syntax</w:t>
      </w:r>
      <w:bookmarkEnd w:id="7294"/>
    </w:p>
    <w:p w14:paraId="55F86FFD" w14:textId="7B0190A4" w:rsidR="0050235C" w:rsidRPr="00A52AB8" w:rsidRDefault="0049356D" w:rsidP="0049356D">
      <w:r w:rsidRPr="00A52AB8">
        <w:t xml:space="preserve">The specifications in </w:t>
      </w:r>
      <w:r w:rsidR="008B7C30" w:rsidRPr="00496A4D">
        <w:fldChar w:fldCharType="begin"/>
      </w:r>
      <w:r w:rsidR="008B7C30" w:rsidRPr="00A52AB8">
        <w:instrText xml:space="preserve"> REF _Ref49347590 \r \h </w:instrText>
      </w:r>
      <w:r w:rsidR="00007BE2" w:rsidRPr="00A52AB8">
        <w:instrText xml:space="preserve"> \* MERGEFORMAT </w:instrText>
      </w:r>
      <w:r w:rsidR="008B7C30" w:rsidRPr="00496A4D">
        <w:fldChar w:fldCharType="separate"/>
      </w:r>
      <w:r w:rsidR="00507A67">
        <w:t>F.2.3</w:t>
      </w:r>
      <w:r w:rsidR="008B7C30" w:rsidRPr="00496A4D">
        <w:fldChar w:fldCharType="end"/>
      </w:r>
      <w:r w:rsidRPr="00A52AB8">
        <w:t xml:space="preserve"> apply.</w:t>
      </w:r>
    </w:p>
    <w:p w14:paraId="1D2F1B59" w14:textId="3E4AC871" w:rsidR="00F64CD1" w:rsidRPr="00A52AB8" w:rsidRDefault="00F64CD1" w:rsidP="00EE3D19">
      <w:pPr>
        <w:pStyle w:val="a3"/>
        <w:numPr>
          <w:ilvl w:val="3"/>
          <w:numId w:val="14"/>
        </w:numPr>
        <w:tabs>
          <w:tab w:val="clear" w:pos="403"/>
        </w:tabs>
        <w:outlineLvl w:val="3"/>
      </w:pPr>
      <w:bookmarkStart w:id="7295" w:name="_Toc52181824"/>
      <w:r w:rsidRPr="00A52AB8">
        <w:t>User data unregistered SEI message syntax</w:t>
      </w:r>
      <w:bookmarkEnd w:id="7295"/>
    </w:p>
    <w:p w14:paraId="440C8D34" w14:textId="38F08D06" w:rsidR="0050235C" w:rsidRPr="00A52AB8" w:rsidRDefault="0049356D" w:rsidP="0049356D">
      <w:r w:rsidRPr="00A52AB8">
        <w:t xml:space="preserve">The specifications in </w:t>
      </w:r>
      <w:r w:rsidR="008B7C30" w:rsidRPr="00496A4D">
        <w:fldChar w:fldCharType="begin"/>
      </w:r>
      <w:r w:rsidR="008B7C30" w:rsidRPr="00A52AB8">
        <w:instrText xml:space="preserve"> REF _Ref49347601 \r \h </w:instrText>
      </w:r>
      <w:r w:rsidR="00007BE2" w:rsidRPr="00A52AB8">
        <w:instrText xml:space="preserve"> \* MERGEFORMAT </w:instrText>
      </w:r>
      <w:r w:rsidR="008B7C30" w:rsidRPr="00496A4D">
        <w:fldChar w:fldCharType="separate"/>
      </w:r>
      <w:r w:rsidR="00507A67">
        <w:t>F.2.4</w:t>
      </w:r>
      <w:r w:rsidR="008B7C30" w:rsidRPr="00496A4D">
        <w:fldChar w:fldCharType="end"/>
      </w:r>
      <w:r w:rsidR="008B7C30" w:rsidRPr="00A52AB8">
        <w:t xml:space="preserve"> </w:t>
      </w:r>
      <w:r w:rsidRPr="00A52AB8">
        <w:t>apply.</w:t>
      </w:r>
    </w:p>
    <w:p w14:paraId="2A57A70A" w14:textId="36ED2E0E" w:rsidR="00F64CD1" w:rsidRPr="00A52AB8" w:rsidRDefault="00F64CD1" w:rsidP="00EE3D19">
      <w:pPr>
        <w:pStyle w:val="a3"/>
        <w:numPr>
          <w:ilvl w:val="3"/>
          <w:numId w:val="14"/>
        </w:numPr>
        <w:tabs>
          <w:tab w:val="clear" w:pos="403"/>
        </w:tabs>
        <w:outlineLvl w:val="3"/>
      </w:pPr>
      <w:bookmarkStart w:id="7296" w:name="_Toc52181825"/>
      <w:r w:rsidRPr="00A52AB8">
        <w:t>Recovery point SEI message syntax</w:t>
      </w:r>
      <w:bookmarkEnd w:id="7296"/>
    </w:p>
    <w:p w14:paraId="648A1C69" w14:textId="7A391E56" w:rsidR="0050235C" w:rsidRPr="00A52AB8" w:rsidRDefault="0049356D" w:rsidP="0049356D">
      <w:r w:rsidRPr="00A52AB8">
        <w:t xml:space="preserve">The specifications in </w:t>
      </w:r>
      <w:r w:rsidR="008B7C30" w:rsidRPr="00496A4D">
        <w:fldChar w:fldCharType="begin"/>
      </w:r>
      <w:r w:rsidR="008B7C30" w:rsidRPr="00A52AB8">
        <w:instrText xml:space="preserve"> REF _Ref49347611 \r \h </w:instrText>
      </w:r>
      <w:r w:rsidR="00007BE2" w:rsidRPr="00A52AB8">
        <w:instrText xml:space="preserve"> \* MERGEFORMAT </w:instrText>
      </w:r>
      <w:r w:rsidR="008B7C30" w:rsidRPr="00496A4D">
        <w:fldChar w:fldCharType="separate"/>
      </w:r>
      <w:r w:rsidR="00507A67">
        <w:t>F.2.5</w:t>
      </w:r>
      <w:r w:rsidR="008B7C30" w:rsidRPr="00496A4D">
        <w:fldChar w:fldCharType="end"/>
      </w:r>
      <w:r w:rsidR="008B7C30" w:rsidRPr="00A52AB8">
        <w:t xml:space="preserve"> </w:t>
      </w:r>
      <w:r w:rsidRPr="00A52AB8">
        <w:t>apply.</w:t>
      </w:r>
    </w:p>
    <w:p w14:paraId="1E18AE19" w14:textId="775E3919" w:rsidR="00F64CD1" w:rsidRPr="00A52AB8" w:rsidRDefault="00F64CD1" w:rsidP="00EE3D19">
      <w:pPr>
        <w:pStyle w:val="a3"/>
        <w:numPr>
          <w:ilvl w:val="3"/>
          <w:numId w:val="14"/>
        </w:numPr>
        <w:tabs>
          <w:tab w:val="clear" w:pos="403"/>
        </w:tabs>
        <w:outlineLvl w:val="3"/>
      </w:pPr>
      <w:bookmarkStart w:id="7297" w:name="_Toc52181826"/>
      <w:r w:rsidRPr="00A52AB8">
        <w:t xml:space="preserve">No </w:t>
      </w:r>
      <w:r w:rsidR="00F16D7B" w:rsidRPr="00A52AB8">
        <w:t xml:space="preserve">reconstruction </w:t>
      </w:r>
      <w:r w:rsidRPr="00A52AB8">
        <w:t>SEI message syntax</w:t>
      </w:r>
      <w:bookmarkEnd w:id="7297"/>
    </w:p>
    <w:p w14:paraId="7E4A4CA7" w14:textId="507D9D6B" w:rsidR="0050235C" w:rsidRPr="00A52AB8" w:rsidRDefault="0049356D" w:rsidP="0049356D">
      <w:r w:rsidRPr="00A52AB8">
        <w:t xml:space="preserve">The specifications in </w:t>
      </w:r>
      <w:r w:rsidR="008B7C30" w:rsidRPr="00496A4D">
        <w:fldChar w:fldCharType="begin"/>
      </w:r>
      <w:r w:rsidR="008B7C30" w:rsidRPr="00A52AB8">
        <w:instrText xml:space="preserve"> REF _Ref49347624 \r \h </w:instrText>
      </w:r>
      <w:r w:rsidR="00007BE2" w:rsidRPr="00A52AB8">
        <w:instrText xml:space="preserve"> \* MERGEFORMAT </w:instrText>
      </w:r>
      <w:r w:rsidR="008B7C30" w:rsidRPr="00496A4D">
        <w:fldChar w:fldCharType="separate"/>
      </w:r>
      <w:r w:rsidR="00507A67">
        <w:t>F.2.6</w:t>
      </w:r>
      <w:r w:rsidR="008B7C30" w:rsidRPr="00496A4D">
        <w:fldChar w:fldCharType="end"/>
      </w:r>
      <w:r w:rsidR="008B7C30" w:rsidRPr="00A52AB8">
        <w:t xml:space="preserve"> </w:t>
      </w:r>
      <w:r w:rsidRPr="00A52AB8">
        <w:t>apply.</w:t>
      </w:r>
    </w:p>
    <w:p w14:paraId="0EEF2FD4" w14:textId="2170C535" w:rsidR="00F64CD1" w:rsidRPr="00A52AB8" w:rsidRDefault="00F64CD1" w:rsidP="00EE3D19">
      <w:pPr>
        <w:pStyle w:val="a3"/>
        <w:numPr>
          <w:ilvl w:val="3"/>
          <w:numId w:val="14"/>
        </w:numPr>
        <w:tabs>
          <w:tab w:val="clear" w:pos="403"/>
        </w:tabs>
        <w:outlineLvl w:val="3"/>
      </w:pPr>
      <w:bookmarkStart w:id="7298" w:name="_Toc52181827"/>
      <w:r w:rsidRPr="00A52AB8">
        <w:t>Reserved SEI message syntax</w:t>
      </w:r>
      <w:bookmarkEnd w:id="7298"/>
    </w:p>
    <w:p w14:paraId="55735E3D" w14:textId="504E3BB4" w:rsidR="0050235C" w:rsidRPr="00A52AB8" w:rsidRDefault="0049356D" w:rsidP="0049356D">
      <w:r w:rsidRPr="00A52AB8">
        <w:t xml:space="preserve">The specifications in </w:t>
      </w:r>
      <w:r w:rsidR="008B7C30" w:rsidRPr="00496A4D">
        <w:fldChar w:fldCharType="begin"/>
      </w:r>
      <w:r w:rsidR="008B7C30" w:rsidRPr="00A52AB8">
        <w:instrText xml:space="preserve"> REF _Ref399007818 \r \h </w:instrText>
      </w:r>
      <w:r w:rsidR="00007BE2" w:rsidRPr="00A52AB8">
        <w:instrText xml:space="preserve"> \* MERGEFORMAT </w:instrText>
      </w:r>
      <w:r w:rsidR="008B7C30" w:rsidRPr="00496A4D">
        <w:fldChar w:fldCharType="separate"/>
      </w:r>
      <w:r w:rsidR="00507A67">
        <w:t>F.2.7</w:t>
      </w:r>
      <w:r w:rsidR="008B7C30" w:rsidRPr="00496A4D">
        <w:fldChar w:fldCharType="end"/>
      </w:r>
      <w:r w:rsidR="008B7C30" w:rsidRPr="00A52AB8">
        <w:t xml:space="preserve"> </w:t>
      </w:r>
      <w:r w:rsidRPr="00A52AB8">
        <w:t>apply.</w:t>
      </w:r>
    </w:p>
    <w:p w14:paraId="75DDE3B3" w14:textId="036BB109" w:rsidR="00F64CD1" w:rsidRPr="00A52AB8" w:rsidRDefault="00F64CD1" w:rsidP="00EE3D19">
      <w:pPr>
        <w:pStyle w:val="a3"/>
        <w:numPr>
          <w:ilvl w:val="3"/>
          <w:numId w:val="14"/>
        </w:numPr>
        <w:tabs>
          <w:tab w:val="clear" w:pos="403"/>
        </w:tabs>
        <w:outlineLvl w:val="3"/>
      </w:pPr>
      <w:bookmarkStart w:id="7299" w:name="_Toc52181828"/>
      <w:r w:rsidRPr="00A52AB8">
        <w:t>SEI manifest SEI message syntax</w:t>
      </w:r>
      <w:bookmarkEnd w:id="7299"/>
    </w:p>
    <w:p w14:paraId="1FA9D848" w14:textId="36421E73" w:rsidR="0050235C" w:rsidRPr="00A52AB8" w:rsidRDefault="0049356D" w:rsidP="0049356D">
      <w:r w:rsidRPr="00A52AB8">
        <w:t xml:space="preserve">The specifications in </w:t>
      </w:r>
      <w:r w:rsidR="008B7C30" w:rsidRPr="00496A4D">
        <w:fldChar w:fldCharType="begin"/>
      </w:r>
      <w:r w:rsidR="008B7C30" w:rsidRPr="00A52AB8">
        <w:instrText xml:space="preserve"> REF _Ref49347643 \r \h </w:instrText>
      </w:r>
      <w:r w:rsidR="00007BE2" w:rsidRPr="00A52AB8">
        <w:instrText xml:space="preserve"> \* MERGEFORMAT </w:instrText>
      </w:r>
      <w:r w:rsidR="008B7C30" w:rsidRPr="00496A4D">
        <w:fldChar w:fldCharType="separate"/>
      </w:r>
      <w:r w:rsidR="00507A67">
        <w:t>F.2.8</w:t>
      </w:r>
      <w:r w:rsidR="008B7C30" w:rsidRPr="00496A4D">
        <w:fldChar w:fldCharType="end"/>
      </w:r>
      <w:r w:rsidR="008B7C30" w:rsidRPr="00A52AB8">
        <w:t xml:space="preserve"> </w:t>
      </w:r>
      <w:r w:rsidRPr="00A52AB8">
        <w:t>apply.</w:t>
      </w:r>
    </w:p>
    <w:p w14:paraId="0F07428F" w14:textId="45F33E4D" w:rsidR="001F2065" w:rsidRPr="00A52AB8" w:rsidRDefault="001F2065" w:rsidP="00EE3D19">
      <w:pPr>
        <w:pStyle w:val="a3"/>
        <w:numPr>
          <w:ilvl w:val="3"/>
          <w:numId w:val="14"/>
        </w:numPr>
        <w:tabs>
          <w:tab w:val="clear" w:pos="403"/>
        </w:tabs>
        <w:outlineLvl w:val="3"/>
      </w:pPr>
      <w:bookmarkStart w:id="7300" w:name="_Toc52181829"/>
      <w:r w:rsidRPr="00A52AB8">
        <w:t>SEI prefix indication SEI message syntax</w:t>
      </w:r>
      <w:bookmarkEnd w:id="7300"/>
    </w:p>
    <w:p w14:paraId="59AEE6C5" w14:textId="38F1E60E" w:rsidR="0050235C" w:rsidRPr="00A52AB8" w:rsidRDefault="0049356D" w:rsidP="0049356D">
      <w:r w:rsidRPr="00A52AB8">
        <w:t xml:space="preserve">The specifications in </w:t>
      </w:r>
      <w:r w:rsidR="008B7C30" w:rsidRPr="00496A4D">
        <w:fldChar w:fldCharType="begin"/>
      </w:r>
      <w:r w:rsidR="008B7C30" w:rsidRPr="00A52AB8">
        <w:instrText xml:space="preserve"> REF _Ref49347654 \r \h </w:instrText>
      </w:r>
      <w:r w:rsidR="00007BE2" w:rsidRPr="00A52AB8">
        <w:instrText xml:space="preserve"> \* MERGEFORMAT </w:instrText>
      </w:r>
      <w:r w:rsidR="008B7C30" w:rsidRPr="00496A4D">
        <w:fldChar w:fldCharType="separate"/>
      </w:r>
      <w:r w:rsidR="00507A67">
        <w:t>F.2.9</w:t>
      </w:r>
      <w:r w:rsidR="008B7C30" w:rsidRPr="00496A4D">
        <w:fldChar w:fldCharType="end"/>
      </w:r>
      <w:r w:rsidR="008B7C30" w:rsidRPr="00A52AB8">
        <w:t xml:space="preserve"> </w:t>
      </w:r>
      <w:r w:rsidRPr="00A52AB8">
        <w:t>apply.</w:t>
      </w:r>
    </w:p>
    <w:p w14:paraId="6A1A052A" w14:textId="77777777" w:rsidR="0050235C" w:rsidRPr="00EE3D19" w:rsidRDefault="001F2065" w:rsidP="00EE3D19">
      <w:pPr>
        <w:pStyle w:val="a3"/>
        <w:numPr>
          <w:ilvl w:val="3"/>
          <w:numId w:val="14"/>
        </w:numPr>
        <w:tabs>
          <w:tab w:val="clear" w:pos="403"/>
        </w:tabs>
        <w:outlineLvl w:val="3"/>
      </w:pPr>
      <w:bookmarkStart w:id="7301" w:name="_Toc52181830"/>
      <w:r w:rsidRPr="00A52AB8">
        <w:t>Active sub-bitstreams SEI message syntax</w:t>
      </w:r>
      <w:bookmarkEnd w:id="7301"/>
    </w:p>
    <w:p w14:paraId="097C396B" w14:textId="0A690243" w:rsidR="0050235C" w:rsidRPr="00A52AB8" w:rsidRDefault="0049356D" w:rsidP="0049356D">
      <w:r w:rsidRPr="00A52AB8">
        <w:t xml:space="preserve">The specifications in </w:t>
      </w:r>
      <w:r w:rsidR="008B7C30" w:rsidRPr="00496A4D">
        <w:fldChar w:fldCharType="begin"/>
      </w:r>
      <w:r w:rsidR="008B7C30" w:rsidRPr="00A52AB8">
        <w:instrText xml:space="preserve"> REF _Ref49347665 \r \h </w:instrText>
      </w:r>
      <w:r w:rsidR="00007BE2" w:rsidRPr="00A52AB8">
        <w:instrText xml:space="preserve"> \* MERGEFORMAT </w:instrText>
      </w:r>
      <w:r w:rsidR="008B7C30" w:rsidRPr="00496A4D">
        <w:fldChar w:fldCharType="separate"/>
      </w:r>
      <w:r w:rsidR="00507A67">
        <w:t>F.2.10</w:t>
      </w:r>
      <w:r w:rsidR="008B7C30" w:rsidRPr="00496A4D">
        <w:fldChar w:fldCharType="end"/>
      </w:r>
      <w:r w:rsidR="008B7C30" w:rsidRPr="00A52AB8">
        <w:t xml:space="preserve"> </w:t>
      </w:r>
      <w:r w:rsidRPr="00A52AB8">
        <w:t>apply.</w:t>
      </w:r>
    </w:p>
    <w:p w14:paraId="69945A89" w14:textId="77777777" w:rsidR="0050235C" w:rsidRPr="00EE3D19" w:rsidRDefault="00D43735" w:rsidP="00EE3D19">
      <w:pPr>
        <w:pStyle w:val="a3"/>
        <w:numPr>
          <w:ilvl w:val="3"/>
          <w:numId w:val="14"/>
        </w:numPr>
        <w:tabs>
          <w:tab w:val="clear" w:pos="403"/>
        </w:tabs>
        <w:outlineLvl w:val="3"/>
      </w:pPr>
      <w:bookmarkStart w:id="7302" w:name="_Toc52181831"/>
      <w:r w:rsidRPr="00A52AB8">
        <w:t>Component codec mapping SEI message syntax</w:t>
      </w:r>
      <w:bookmarkEnd w:id="7302"/>
    </w:p>
    <w:p w14:paraId="018220B4" w14:textId="0313227B" w:rsidR="0050235C" w:rsidRPr="00A52AB8" w:rsidRDefault="0049356D" w:rsidP="0049356D">
      <w:r w:rsidRPr="00A52AB8">
        <w:t xml:space="preserve">The specifications in </w:t>
      </w:r>
      <w:r w:rsidR="00C3718E" w:rsidRPr="00496A4D">
        <w:fldChar w:fldCharType="begin"/>
      </w:r>
      <w:r w:rsidR="00C3718E" w:rsidRPr="00A52AB8">
        <w:instrText xml:space="preserve"> REF _Ref21444040 \r \h </w:instrText>
      </w:r>
      <w:r w:rsidR="00007BE2" w:rsidRPr="00A52AB8">
        <w:instrText xml:space="preserve"> \* MERGEFORMAT </w:instrText>
      </w:r>
      <w:r w:rsidR="00C3718E" w:rsidRPr="00496A4D">
        <w:fldChar w:fldCharType="separate"/>
      </w:r>
      <w:r w:rsidR="00507A67">
        <w:t>F.2.11</w:t>
      </w:r>
      <w:r w:rsidR="00C3718E" w:rsidRPr="00496A4D">
        <w:fldChar w:fldCharType="end"/>
      </w:r>
      <w:r w:rsidR="00C3718E" w:rsidRPr="00A52AB8">
        <w:t xml:space="preserve"> </w:t>
      </w:r>
      <w:r w:rsidRPr="00A52AB8">
        <w:t>apply.</w:t>
      </w:r>
    </w:p>
    <w:p w14:paraId="7C8EB675" w14:textId="77777777" w:rsidR="0050235C" w:rsidRPr="00EE3D19" w:rsidRDefault="00D43735" w:rsidP="00EE3D19">
      <w:pPr>
        <w:pStyle w:val="a3"/>
        <w:numPr>
          <w:ilvl w:val="3"/>
          <w:numId w:val="14"/>
        </w:numPr>
        <w:tabs>
          <w:tab w:val="clear" w:pos="403"/>
        </w:tabs>
        <w:outlineLvl w:val="3"/>
      </w:pPr>
      <w:bookmarkStart w:id="7303" w:name="_Toc52181832"/>
      <w:r w:rsidRPr="00A52AB8">
        <w:t>Volumetric annotation SEI message family syntax</w:t>
      </w:r>
      <w:bookmarkEnd w:id="7303"/>
    </w:p>
    <w:p w14:paraId="6E47D19B" w14:textId="7DC47499" w:rsidR="0050235C" w:rsidRPr="00A52AB8" w:rsidRDefault="00BE7C01" w:rsidP="00BE7C01">
      <w:r w:rsidRPr="00A52AB8">
        <w:t xml:space="preserve">The specifications in </w:t>
      </w:r>
      <w:r w:rsidR="00C3718E" w:rsidRPr="00496A4D">
        <w:fldChar w:fldCharType="begin"/>
      </w:r>
      <w:r w:rsidR="00C3718E" w:rsidRPr="00A52AB8">
        <w:instrText xml:space="preserve"> REF _Ref49347690 \r \h </w:instrText>
      </w:r>
      <w:r w:rsidR="00007BE2" w:rsidRPr="00A52AB8">
        <w:instrText xml:space="preserve"> \* MERGEFORMAT </w:instrText>
      </w:r>
      <w:r w:rsidR="00C3718E" w:rsidRPr="00496A4D">
        <w:fldChar w:fldCharType="separate"/>
      </w:r>
      <w:r w:rsidR="00507A67">
        <w:t>F.2.12</w:t>
      </w:r>
      <w:r w:rsidR="00C3718E" w:rsidRPr="00496A4D">
        <w:fldChar w:fldCharType="end"/>
      </w:r>
      <w:r w:rsidR="00C3718E" w:rsidRPr="00A52AB8">
        <w:t xml:space="preserve"> </w:t>
      </w:r>
      <w:r w:rsidRPr="00A52AB8">
        <w:rPr>
          <w:lang w:eastAsia="ja-JP"/>
        </w:rPr>
        <w:t xml:space="preserve">and its subclauses </w:t>
      </w:r>
      <w:r w:rsidRPr="00A52AB8">
        <w:t>apply.</w:t>
      </w:r>
    </w:p>
    <w:p w14:paraId="3450BE0E" w14:textId="09FA9C38" w:rsidR="00D43735" w:rsidRPr="00A52AB8" w:rsidRDefault="00D43735" w:rsidP="00EE3D19">
      <w:pPr>
        <w:pStyle w:val="a3"/>
        <w:numPr>
          <w:ilvl w:val="3"/>
          <w:numId w:val="14"/>
        </w:numPr>
        <w:tabs>
          <w:tab w:val="clear" w:pos="403"/>
        </w:tabs>
        <w:outlineLvl w:val="3"/>
      </w:pPr>
      <w:bookmarkStart w:id="7304" w:name="_Toc52181833"/>
      <w:r w:rsidRPr="00A52AB8">
        <w:t>Buffering period SEI message syntax</w:t>
      </w:r>
      <w:bookmarkEnd w:id="7304"/>
    </w:p>
    <w:p w14:paraId="5E0972C9" w14:textId="2134FE99" w:rsidR="0050235C" w:rsidRPr="00A52AB8" w:rsidRDefault="00BE7C01" w:rsidP="00BE7C01">
      <w:r w:rsidRPr="00A52AB8">
        <w:t xml:space="preserve">The specifications in </w:t>
      </w:r>
      <w:r w:rsidR="00C3718E" w:rsidRPr="00496A4D">
        <w:fldChar w:fldCharType="begin"/>
      </w:r>
      <w:r w:rsidR="00C3718E" w:rsidRPr="00A52AB8">
        <w:instrText xml:space="preserve"> REF _Ref49347702 \r \h </w:instrText>
      </w:r>
      <w:r w:rsidR="00007BE2" w:rsidRPr="00A52AB8">
        <w:instrText xml:space="preserve"> \* MERGEFORMAT </w:instrText>
      </w:r>
      <w:r w:rsidR="00C3718E" w:rsidRPr="00496A4D">
        <w:fldChar w:fldCharType="separate"/>
      </w:r>
      <w:r w:rsidR="00507A67">
        <w:t>F.2.13</w:t>
      </w:r>
      <w:r w:rsidR="00C3718E" w:rsidRPr="00496A4D">
        <w:fldChar w:fldCharType="end"/>
      </w:r>
      <w:r w:rsidR="00C3718E" w:rsidRPr="00A52AB8">
        <w:t xml:space="preserve"> </w:t>
      </w:r>
      <w:r w:rsidRPr="00A52AB8">
        <w:t>apply.</w:t>
      </w:r>
    </w:p>
    <w:p w14:paraId="17414446" w14:textId="5441092A" w:rsidR="00D43735" w:rsidRPr="00A52AB8" w:rsidRDefault="00D43735" w:rsidP="00EE3D19">
      <w:pPr>
        <w:pStyle w:val="a3"/>
        <w:numPr>
          <w:ilvl w:val="3"/>
          <w:numId w:val="14"/>
        </w:numPr>
        <w:tabs>
          <w:tab w:val="clear" w:pos="403"/>
        </w:tabs>
        <w:outlineLvl w:val="3"/>
      </w:pPr>
      <w:bookmarkStart w:id="7305" w:name="_Toc52181834"/>
      <w:r w:rsidRPr="00A52AB8">
        <w:t>Atlas frame timing SEI message syntax</w:t>
      </w:r>
      <w:bookmarkEnd w:id="7305"/>
    </w:p>
    <w:p w14:paraId="3C1C4AD2" w14:textId="794C4AF9" w:rsidR="0050235C" w:rsidRPr="00A52AB8" w:rsidRDefault="00BE7C01" w:rsidP="00BE7C01">
      <w:r w:rsidRPr="00A52AB8">
        <w:t xml:space="preserve">The specifications in </w:t>
      </w:r>
      <w:r w:rsidR="00C3718E" w:rsidRPr="00496A4D">
        <w:fldChar w:fldCharType="begin"/>
      </w:r>
      <w:r w:rsidR="00C3718E" w:rsidRPr="00A52AB8">
        <w:instrText xml:space="preserve"> REF _Ref49347712 \r \h </w:instrText>
      </w:r>
      <w:r w:rsidR="00007BE2" w:rsidRPr="00A52AB8">
        <w:instrText xml:space="preserve"> \* MERGEFORMAT </w:instrText>
      </w:r>
      <w:r w:rsidR="00C3718E" w:rsidRPr="00496A4D">
        <w:fldChar w:fldCharType="separate"/>
      </w:r>
      <w:r w:rsidR="00507A67">
        <w:t>F.2.14</w:t>
      </w:r>
      <w:r w:rsidR="00C3718E" w:rsidRPr="00496A4D">
        <w:fldChar w:fldCharType="end"/>
      </w:r>
      <w:r w:rsidR="00C3718E" w:rsidRPr="00A52AB8">
        <w:t xml:space="preserve"> </w:t>
      </w:r>
      <w:r w:rsidRPr="00A52AB8">
        <w:t>apply.</w:t>
      </w:r>
    </w:p>
    <w:p w14:paraId="1516BCF3" w14:textId="2B8583C1" w:rsidR="00D43735" w:rsidRPr="00A52AB8" w:rsidRDefault="00D43735" w:rsidP="00EE3D19">
      <w:pPr>
        <w:pStyle w:val="a3"/>
        <w:numPr>
          <w:ilvl w:val="3"/>
          <w:numId w:val="14"/>
        </w:numPr>
        <w:tabs>
          <w:tab w:val="clear" w:pos="403"/>
        </w:tabs>
        <w:outlineLvl w:val="3"/>
      </w:pPr>
      <w:bookmarkStart w:id="7306" w:name="_Toc52181835"/>
      <w:r w:rsidRPr="00A52AB8">
        <w:t>Viewport SEI messages family syntax</w:t>
      </w:r>
      <w:bookmarkEnd w:id="7306"/>
    </w:p>
    <w:p w14:paraId="7B23B463" w14:textId="3ACC8405" w:rsidR="00BE7C01" w:rsidRPr="00A52AB8" w:rsidRDefault="00BE7C01" w:rsidP="00BE7C01">
      <w:r w:rsidRPr="00A52AB8">
        <w:t xml:space="preserve">The specifications in </w:t>
      </w:r>
      <w:r w:rsidR="00C3718E" w:rsidRPr="00496A4D">
        <w:fldChar w:fldCharType="begin"/>
      </w:r>
      <w:r w:rsidR="00C3718E" w:rsidRPr="00A52AB8">
        <w:instrText xml:space="preserve"> REF _Ref49347725 \r \h </w:instrText>
      </w:r>
      <w:r w:rsidR="00007BE2" w:rsidRPr="00A52AB8">
        <w:instrText xml:space="preserve"> \* MERGEFORMAT </w:instrText>
      </w:r>
      <w:r w:rsidR="00C3718E" w:rsidRPr="00496A4D">
        <w:fldChar w:fldCharType="separate"/>
      </w:r>
      <w:r w:rsidR="00507A67">
        <w:t>F.2.15</w:t>
      </w:r>
      <w:r w:rsidR="00C3718E" w:rsidRPr="00496A4D">
        <w:fldChar w:fldCharType="end"/>
      </w:r>
      <w:r w:rsidR="00C3718E" w:rsidRPr="00A52AB8">
        <w:t xml:space="preserve"> </w:t>
      </w:r>
      <w:r w:rsidRPr="00A52AB8">
        <w:rPr>
          <w:lang w:eastAsia="ja-JP"/>
        </w:rPr>
        <w:t xml:space="preserve">and its subclauses </w:t>
      </w:r>
      <w:r w:rsidRPr="00A52AB8">
        <w:t>apply.</w:t>
      </w:r>
    </w:p>
    <w:p w14:paraId="656FFAB1" w14:textId="46A9E155" w:rsidR="00D43735" w:rsidRPr="00A52AB8" w:rsidRDefault="00D43735" w:rsidP="00EE3D19">
      <w:pPr>
        <w:pStyle w:val="a3"/>
        <w:numPr>
          <w:ilvl w:val="3"/>
          <w:numId w:val="14"/>
        </w:numPr>
        <w:tabs>
          <w:tab w:val="clear" w:pos="403"/>
        </w:tabs>
        <w:outlineLvl w:val="3"/>
      </w:pPr>
      <w:bookmarkStart w:id="7307" w:name="_Toc52181836"/>
      <w:r w:rsidRPr="00A52AB8">
        <w:t>Decoded Atlas Information Hash SEI message syntax</w:t>
      </w:r>
      <w:bookmarkEnd w:id="7307"/>
    </w:p>
    <w:p w14:paraId="79084495" w14:textId="17727C1A" w:rsidR="00943B41" w:rsidRPr="00A52AB8" w:rsidRDefault="00943B41" w:rsidP="00943B41">
      <w:pPr>
        <w:pStyle w:val="Equation"/>
        <w:tabs>
          <w:tab w:val="left" w:pos="360"/>
          <w:tab w:val="left" w:pos="1170"/>
          <w:tab w:val="left" w:pos="1980"/>
        </w:tabs>
      </w:pPr>
      <w:r w:rsidRPr="00A52AB8">
        <w:t xml:space="preserve">The specifications in </w:t>
      </w:r>
      <w:r w:rsidRPr="00496A4D">
        <w:fldChar w:fldCharType="begin"/>
      </w:r>
      <w:r w:rsidRPr="00A52AB8">
        <w:instrText xml:space="preserve"> REF _Ref49349624 \r \h </w:instrText>
      </w:r>
      <w:r w:rsidR="00007BE2" w:rsidRPr="00A52AB8">
        <w:instrText xml:space="preserve"> \* MERGEFORMAT </w:instrText>
      </w:r>
      <w:r w:rsidRPr="00496A4D">
        <w:fldChar w:fldCharType="separate"/>
      </w:r>
      <w:r w:rsidR="00507A67">
        <w:t>F.2.16</w:t>
      </w:r>
      <w:r w:rsidRPr="00496A4D">
        <w:fldChar w:fldCharType="end"/>
      </w:r>
      <w:r w:rsidRPr="00A52AB8">
        <w:t xml:space="preserve"> apply.</w:t>
      </w:r>
    </w:p>
    <w:p w14:paraId="0AC389E7" w14:textId="77777777" w:rsidR="00C61E38" w:rsidRPr="00EE3D19" w:rsidRDefault="001F2065" w:rsidP="00EE3D19">
      <w:pPr>
        <w:pStyle w:val="a3"/>
        <w:numPr>
          <w:ilvl w:val="3"/>
          <w:numId w:val="14"/>
        </w:numPr>
        <w:tabs>
          <w:tab w:val="clear" w:pos="403"/>
        </w:tabs>
        <w:outlineLvl w:val="3"/>
      </w:pPr>
      <w:bookmarkStart w:id="7308" w:name="_Toc52181837"/>
      <w:r w:rsidRPr="00A52AB8">
        <w:t>Attribute transformation parameters SEI message syntax</w:t>
      </w:r>
      <w:bookmarkEnd w:id="7308"/>
    </w:p>
    <w:tbl>
      <w:tblPr>
        <w:tblStyle w:val="TableGrid"/>
        <w:tblW w:w="5000" w:type="pct"/>
        <w:tblLook w:val="04A0" w:firstRow="1" w:lastRow="0" w:firstColumn="1" w:lastColumn="0" w:noHBand="0" w:noVBand="1"/>
      </w:tblPr>
      <w:tblGrid>
        <w:gridCol w:w="8411"/>
        <w:gridCol w:w="1331"/>
      </w:tblGrid>
      <w:tr w:rsidR="001F2065" w:rsidRPr="00A52AB8" w14:paraId="0A091780" w14:textId="77777777" w:rsidTr="00366915">
        <w:tc>
          <w:tcPr>
            <w:tcW w:w="8411" w:type="dxa"/>
          </w:tcPr>
          <w:p w14:paraId="13F061BC" w14:textId="4C07E6E0" w:rsidR="001F2065" w:rsidRPr="00A52AB8" w:rsidRDefault="001F2065" w:rsidP="00C50E43">
            <w:pPr>
              <w:keepNext/>
              <w:spacing w:before="20" w:after="40"/>
              <w:rPr>
                <w:sz w:val="20"/>
              </w:rPr>
            </w:pPr>
            <w:r w:rsidRPr="00A52AB8">
              <w:rPr>
                <w:sz w:val="20"/>
              </w:rPr>
              <w:t>attribute_transformation_params( payloadSize </w:t>
            </w:r>
            <w:r w:rsidR="008F1F82" w:rsidRPr="00A52AB8">
              <w:rPr>
                <w:sz w:val="20"/>
              </w:rPr>
              <w:t>) {</w:t>
            </w:r>
          </w:p>
        </w:tc>
        <w:tc>
          <w:tcPr>
            <w:tcW w:w="1331" w:type="dxa"/>
          </w:tcPr>
          <w:p w14:paraId="07E22744" w14:textId="77777777" w:rsidR="001F2065" w:rsidRPr="00A52AB8" w:rsidRDefault="001F2065" w:rsidP="00C50E43">
            <w:pPr>
              <w:spacing w:before="20" w:after="20"/>
              <w:jc w:val="center"/>
              <w:rPr>
                <w:color w:val="000000" w:themeColor="text1"/>
                <w:sz w:val="20"/>
                <w:szCs w:val="20"/>
              </w:rPr>
            </w:pPr>
            <w:r w:rsidRPr="00A52AB8">
              <w:rPr>
                <w:b/>
                <w:color w:val="000000" w:themeColor="text1"/>
                <w:sz w:val="20"/>
                <w:szCs w:val="20"/>
              </w:rPr>
              <w:t>Descriptor</w:t>
            </w:r>
          </w:p>
        </w:tc>
      </w:tr>
      <w:tr w:rsidR="001F2065" w:rsidRPr="00A52AB8" w14:paraId="35373E02" w14:textId="77777777" w:rsidTr="00366915">
        <w:tc>
          <w:tcPr>
            <w:tcW w:w="8411" w:type="dxa"/>
          </w:tcPr>
          <w:p w14:paraId="19D73B08" w14:textId="77777777" w:rsidR="001F2065" w:rsidRPr="00A52AB8" w:rsidRDefault="001F2065" w:rsidP="00C50E43">
            <w:pPr>
              <w:keepNext/>
              <w:spacing w:before="20" w:after="40"/>
              <w:rPr>
                <w:b/>
                <w:bCs/>
                <w:sz w:val="20"/>
              </w:rPr>
            </w:pPr>
            <w:r w:rsidRPr="00A52AB8">
              <w:rPr>
                <w:sz w:val="20"/>
              </w:rPr>
              <w:tab/>
            </w:r>
            <w:r w:rsidRPr="00A52AB8">
              <w:rPr>
                <w:b/>
                <w:bCs/>
                <w:sz w:val="20"/>
              </w:rPr>
              <w:t>atp_cancel_flag</w:t>
            </w:r>
          </w:p>
        </w:tc>
        <w:tc>
          <w:tcPr>
            <w:tcW w:w="1331" w:type="dxa"/>
          </w:tcPr>
          <w:p w14:paraId="710057DA" w14:textId="77777777" w:rsidR="001F2065" w:rsidRPr="00A52AB8" w:rsidRDefault="001F2065" w:rsidP="00C50E43">
            <w:pPr>
              <w:spacing w:before="20" w:after="20"/>
              <w:jc w:val="center"/>
              <w:rPr>
                <w:bCs/>
                <w:color w:val="000000" w:themeColor="text1"/>
                <w:sz w:val="20"/>
                <w:szCs w:val="20"/>
              </w:rPr>
            </w:pPr>
            <w:r w:rsidRPr="00A52AB8">
              <w:rPr>
                <w:bCs/>
                <w:color w:val="000000" w:themeColor="text1"/>
                <w:sz w:val="20"/>
                <w:szCs w:val="20"/>
              </w:rPr>
              <w:t>u(1)</w:t>
            </w:r>
          </w:p>
        </w:tc>
      </w:tr>
      <w:tr w:rsidR="001F2065" w:rsidRPr="00A52AB8" w14:paraId="5A369EC6" w14:textId="77777777" w:rsidTr="00366915">
        <w:tc>
          <w:tcPr>
            <w:tcW w:w="8411" w:type="dxa"/>
          </w:tcPr>
          <w:p w14:paraId="2352974A" w14:textId="6630F252" w:rsidR="001F2065" w:rsidRPr="00A52AB8" w:rsidRDefault="001F2065" w:rsidP="00C50E43">
            <w:pPr>
              <w:keepNext/>
              <w:spacing w:before="20" w:after="40"/>
              <w:rPr>
                <w:sz w:val="20"/>
              </w:rPr>
            </w:pPr>
            <w:r w:rsidRPr="00A52AB8">
              <w:rPr>
                <w:sz w:val="20"/>
              </w:rPr>
              <w:tab/>
              <w:t>if( !atp_cancel_flag </w:t>
            </w:r>
            <w:r w:rsidR="008F1F82" w:rsidRPr="00A52AB8">
              <w:rPr>
                <w:sz w:val="20"/>
              </w:rPr>
              <w:t>) {</w:t>
            </w:r>
          </w:p>
        </w:tc>
        <w:tc>
          <w:tcPr>
            <w:tcW w:w="1331" w:type="dxa"/>
          </w:tcPr>
          <w:p w14:paraId="3282AD14" w14:textId="77777777" w:rsidR="001F2065" w:rsidRPr="00A52AB8" w:rsidRDefault="001F2065" w:rsidP="00C50E43">
            <w:pPr>
              <w:spacing w:before="20" w:after="20"/>
              <w:jc w:val="center"/>
              <w:rPr>
                <w:b/>
                <w:color w:val="000000" w:themeColor="text1"/>
                <w:sz w:val="20"/>
                <w:szCs w:val="20"/>
              </w:rPr>
            </w:pPr>
          </w:p>
        </w:tc>
      </w:tr>
      <w:tr w:rsidR="001F2065" w:rsidRPr="00A52AB8" w14:paraId="11BBF9E4" w14:textId="77777777" w:rsidTr="00366915">
        <w:tc>
          <w:tcPr>
            <w:tcW w:w="8411" w:type="dxa"/>
          </w:tcPr>
          <w:p w14:paraId="7C75E8D8" w14:textId="77777777" w:rsidR="001F2065" w:rsidRPr="00A52AB8" w:rsidRDefault="001F2065" w:rsidP="00C50E43">
            <w:pPr>
              <w:keepNext/>
              <w:spacing w:before="20" w:after="40"/>
              <w:rPr>
                <w:b/>
                <w:bCs/>
                <w:sz w:val="20"/>
              </w:rPr>
            </w:pPr>
            <w:r w:rsidRPr="00A52AB8">
              <w:rPr>
                <w:sz w:val="20"/>
              </w:rPr>
              <w:tab/>
            </w:r>
            <w:r w:rsidRPr="00A52AB8">
              <w:rPr>
                <w:sz w:val="20"/>
              </w:rPr>
              <w:tab/>
            </w:r>
            <w:r w:rsidRPr="00A52AB8">
              <w:rPr>
                <w:b/>
                <w:bCs/>
                <w:sz w:val="20"/>
              </w:rPr>
              <w:t>atp_num_attribute_updates</w:t>
            </w:r>
          </w:p>
        </w:tc>
        <w:tc>
          <w:tcPr>
            <w:tcW w:w="1331" w:type="dxa"/>
          </w:tcPr>
          <w:p w14:paraId="52729B48" w14:textId="77777777" w:rsidR="001F2065" w:rsidRPr="00A52AB8" w:rsidRDefault="001F2065" w:rsidP="00C50E43">
            <w:pPr>
              <w:spacing w:before="20" w:after="20"/>
              <w:jc w:val="center"/>
              <w:rPr>
                <w:color w:val="000000" w:themeColor="text1"/>
                <w:sz w:val="20"/>
                <w:szCs w:val="20"/>
              </w:rPr>
            </w:pPr>
            <w:r w:rsidRPr="00A52AB8">
              <w:rPr>
                <w:color w:val="000000" w:themeColor="text1"/>
                <w:sz w:val="20"/>
                <w:szCs w:val="20"/>
              </w:rPr>
              <w:t>ue(v)</w:t>
            </w:r>
          </w:p>
        </w:tc>
      </w:tr>
      <w:tr w:rsidR="001F2065" w:rsidRPr="00A52AB8" w14:paraId="704A054F" w14:textId="77777777" w:rsidTr="00366915">
        <w:tc>
          <w:tcPr>
            <w:tcW w:w="8411" w:type="dxa"/>
          </w:tcPr>
          <w:p w14:paraId="736E6668" w14:textId="64BD3F18" w:rsidR="001F2065" w:rsidRPr="00A52AB8" w:rsidRDefault="001F2065" w:rsidP="00C50E43">
            <w:pPr>
              <w:keepNext/>
              <w:spacing w:before="20" w:after="40"/>
              <w:rPr>
                <w:sz w:val="20"/>
              </w:rPr>
            </w:pPr>
            <w:r w:rsidRPr="00A52AB8">
              <w:rPr>
                <w:sz w:val="20"/>
              </w:rPr>
              <w:tab/>
            </w:r>
            <w:r w:rsidRPr="00A52AB8">
              <w:rPr>
                <w:sz w:val="20"/>
              </w:rPr>
              <w:tab/>
              <w:t>for( j</w:t>
            </w:r>
            <w:r w:rsidR="0023721F" w:rsidRPr="00A52AB8">
              <w:rPr>
                <w:sz w:val="20"/>
              </w:rPr>
              <w:t> </w:t>
            </w:r>
            <w:r w:rsidR="00D47707" w:rsidRPr="00A52AB8">
              <w:rPr>
                <w:sz w:val="20"/>
              </w:rPr>
              <w:t>= </w:t>
            </w:r>
            <w:r w:rsidRPr="00A52AB8">
              <w:rPr>
                <w:sz w:val="20"/>
              </w:rPr>
              <w:t>0; j &lt; atp_num_attribute_updates; j++ </w:t>
            </w:r>
            <w:r w:rsidR="008F1F82" w:rsidRPr="00A52AB8">
              <w:rPr>
                <w:sz w:val="20"/>
              </w:rPr>
              <w:t>) {</w:t>
            </w:r>
          </w:p>
        </w:tc>
        <w:tc>
          <w:tcPr>
            <w:tcW w:w="1331" w:type="dxa"/>
          </w:tcPr>
          <w:p w14:paraId="6D5BA807" w14:textId="77777777" w:rsidR="001F2065" w:rsidRPr="00A52AB8" w:rsidRDefault="001F2065" w:rsidP="00C50E43">
            <w:pPr>
              <w:spacing w:before="20" w:after="20"/>
              <w:jc w:val="center"/>
              <w:rPr>
                <w:b/>
                <w:color w:val="000000" w:themeColor="text1"/>
                <w:sz w:val="20"/>
                <w:szCs w:val="20"/>
              </w:rPr>
            </w:pPr>
          </w:p>
        </w:tc>
      </w:tr>
      <w:tr w:rsidR="001F2065" w:rsidRPr="00A52AB8" w14:paraId="3C229B53" w14:textId="77777777" w:rsidTr="00366915">
        <w:tc>
          <w:tcPr>
            <w:tcW w:w="8411" w:type="dxa"/>
          </w:tcPr>
          <w:p w14:paraId="62BA8FC6" w14:textId="77777777" w:rsidR="001F2065" w:rsidRPr="00A52AB8" w:rsidRDefault="001F2065" w:rsidP="00C50E43">
            <w:pPr>
              <w:keepNext/>
              <w:spacing w:before="20" w:after="40"/>
              <w:rPr>
                <w:sz w:val="20"/>
              </w:rPr>
            </w:pPr>
            <w:r w:rsidRPr="00A52AB8">
              <w:rPr>
                <w:sz w:val="20"/>
              </w:rPr>
              <w:tab/>
            </w:r>
            <w:r w:rsidRPr="00A52AB8">
              <w:rPr>
                <w:sz w:val="20"/>
              </w:rPr>
              <w:tab/>
            </w:r>
            <w:r w:rsidRPr="00A52AB8">
              <w:rPr>
                <w:sz w:val="20"/>
              </w:rPr>
              <w:tab/>
            </w:r>
            <w:r w:rsidRPr="00A52AB8">
              <w:rPr>
                <w:b/>
                <w:bCs/>
                <w:sz w:val="20"/>
              </w:rPr>
              <w:t>atp_attribute_idx</w:t>
            </w:r>
            <w:r w:rsidRPr="00A52AB8">
              <w:rPr>
                <w:sz w:val="20"/>
              </w:rPr>
              <w:t>[ j ]</w:t>
            </w:r>
          </w:p>
        </w:tc>
        <w:tc>
          <w:tcPr>
            <w:tcW w:w="1331" w:type="dxa"/>
          </w:tcPr>
          <w:p w14:paraId="2A2A844F" w14:textId="77777777" w:rsidR="001F2065" w:rsidRPr="00A52AB8" w:rsidRDefault="001F2065" w:rsidP="00C50E43">
            <w:pPr>
              <w:spacing w:before="20" w:after="20"/>
              <w:jc w:val="center"/>
              <w:rPr>
                <w:color w:val="000000" w:themeColor="text1"/>
                <w:sz w:val="20"/>
                <w:szCs w:val="20"/>
              </w:rPr>
            </w:pPr>
            <w:r w:rsidRPr="00A52AB8">
              <w:rPr>
                <w:color w:val="000000" w:themeColor="text1"/>
                <w:sz w:val="20"/>
                <w:szCs w:val="20"/>
              </w:rPr>
              <w:t>u(8)</w:t>
            </w:r>
          </w:p>
        </w:tc>
      </w:tr>
      <w:tr w:rsidR="001F2065" w:rsidRPr="00A52AB8" w14:paraId="1379B95C" w14:textId="77777777" w:rsidTr="00366915">
        <w:tc>
          <w:tcPr>
            <w:tcW w:w="8411" w:type="dxa"/>
          </w:tcPr>
          <w:p w14:paraId="16AD83B7" w14:textId="339F6F6C" w:rsidR="001F2065" w:rsidRPr="00A52AB8" w:rsidRDefault="001F2065" w:rsidP="00C50E43">
            <w:pPr>
              <w:keepNext/>
              <w:spacing w:before="20" w:after="40"/>
              <w:rPr>
                <w:sz w:val="20"/>
              </w:rPr>
            </w:pPr>
            <w:r w:rsidRPr="00A52AB8">
              <w:rPr>
                <w:sz w:val="20"/>
              </w:rPr>
              <w:tab/>
            </w:r>
            <w:r w:rsidRPr="00A52AB8">
              <w:rPr>
                <w:sz w:val="20"/>
              </w:rPr>
              <w:tab/>
            </w:r>
            <w:r w:rsidRPr="00A52AB8">
              <w:rPr>
                <w:sz w:val="20"/>
              </w:rPr>
              <w:tab/>
              <w:t>k</w:t>
            </w:r>
            <w:r w:rsidR="0023721F" w:rsidRPr="00A52AB8">
              <w:rPr>
                <w:sz w:val="20"/>
              </w:rPr>
              <w:t> </w:t>
            </w:r>
            <w:r w:rsidR="00D47707" w:rsidRPr="00A52AB8">
              <w:rPr>
                <w:sz w:val="20"/>
              </w:rPr>
              <w:t>= </w:t>
            </w:r>
            <w:r w:rsidRPr="00A52AB8">
              <w:rPr>
                <w:sz w:val="20"/>
              </w:rPr>
              <w:t>atp_attribute_idx[ j ]</w:t>
            </w:r>
          </w:p>
        </w:tc>
        <w:tc>
          <w:tcPr>
            <w:tcW w:w="1331" w:type="dxa"/>
          </w:tcPr>
          <w:p w14:paraId="19A2BEAD" w14:textId="77777777" w:rsidR="001F2065" w:rsidRPr="00A52AB8" w:rsidRDefault="001F2065" w:rsidP="00C50E43">
            <w:pPr>
              <w:spacing w:before="20" w:after="20"/>
              <w:jc w:val="center"/>
              <w:rPr>
                <w:color w:val="000000" w:themeColor="text1"/>
                <w:sz w:val="20"/>
                <w:szCs w:val="20"/>
              </w:rPr>
            </w:pPr>
          </w:p>
        </w:tc>
      </w:tr>
      <w:tr w:rsidR="001F2065" w:rsidRPr="00A52AB8" w14:paraId="019EE6BA" w14:textId="77777777" w:rsidTr="00366915">
        <w:tc>
          <w:tcPr>
            <w:tcW w:w="8411" w:type="dxa"/>
          </w:tcPr>
          <w:p w14:paraId="3FC8AEFA" w14:textId="77777777" w:rsidR="001F2065" w:rsidRPr="00A52AB8" w:rsidRDefault="001F2065" w:rsidP="00C50E43">
            <w:pPr>
              <w:keepNext/>
              <w:spacing w:before="20" w:after="40"/>
              <w:rPr>
                <w:sz w:val="20"/>
              </w:rPr>
            </w:pPr>
            <w:r w:rsidRPr="00A52AB8">
              <w:rPr>
                <w:sz w:val="20"/>
              </w:rPr>
              <w:tab/>
            </w:r>
            <w:r w:rsidRPr="00A52AB8">
              <w:rPr>
                <w:sz w:val="20"/>
              </w:rPr>
              <w:tab/>
            </w:r>
            <w:r w:rsidRPr="00A52AB8">
              <w:rPr>
                <w:sz w:val="20"/>
              </w:rPr>
              <w:tab/>
            </w:r>
            <w:r w:rsidRPr="00A52AB8">
              <w:rPr>
                <w:b/>
                <w:bCs/>
                <w:sz w:val="20"/>
              </w:rPr>
              <w:t>atp_dimension_minus1</w:t>
            </w:r>
            <w:r w:rsidRPr="00A52AB8">
              <w:rPr>
                <w:sz w:val="20"/>
              </w:rPr>
              <w:t>[k]</w:t>
            </w:r>
          </w:p>
        </w:tc>
        <w:tc>
          <w:tcPr>
            <w:tcW w:w="1331" w:type="dxa"/>
          </w:tcPr>
          <w:p w14:paraId="10ED7B46" w14:textId="77777777" w:rsidR="001F2065" w:rsidRPr="00A52AB8" w:rsidRDefault="001F2065" w:rsidP="00C50E43">
            <w:pPr>
              <w:spacing w:before="20" w:after="20"/>
              <w:jc w:val="center"/>
              <w:rPr>
                <w:color w:val="000000" w:themeColor="text1"/>
                <w:sz w:val="20"/>
                <w:szCs w:val="20"/>
              </w:rPr>
            </w:pPr>
            <w:r w:rsidRPr="00A52AB8">
              <w:rPr>
                <w:color w:val="000000" w:themeColor="text1"/>
                <w:sz w:val="20"/>
                <w:szCs w:val="20"/>
              </w:rPr>
              <w:t>u(8)</w:t>
            </w:r>
          </w:p>
        </w:tc>
      </w:tr>
      <w:tr w:rsidR="001F2065" w:rsidRPr="00A52AB8" w14:paraId="158D690D" w14:textId="77777777" w:rsidTr="00366915">
        <w:tc>
          <w:tcPr>
            <w:tcW w:w="8411" w:type="dxa"/>
          </w:tcPr>
          <w:p w14:paraId="48062D2F" w14:textId="03A926B7" w:rsidR="001F2065" w:rsidRPr="00A52AB8" w:rsidRDefault="001F2065" w:rsidP="00C50E43">
            <w:pPr>
              <w:keepNext/>
              <w:spacing w:before="20" w:after="40"/>
              <w:rPr>
                <w:sz w:val="20"/>
              </w:rPr>
            </w:pPr>
            <w:r w:rsidRPr="00A52AB8">
              <w:rPr>
                <w:sz w:val="20"/>
              </w:rPr>
              <w:tab/>
            </w:r>
            <w:r w:rsidRPr="00A52AB8">
              <w:rPr>
                <w:sz w:val="20"/>
              </w:rPr>
              <w:tab/>
            </w:r>
            <w:r w:rsidRPr="00A52AB8">
              <w:rPr>
                <w:sz w:val="20"/>
              </w:rPr>
              <w:tab/>
              <w:t>for( i</w:t>
            </w:r>
            <w:r w:rsidR="0023721F" w:rsidRPr="00A52AB8">
              <w:rPr>
                <w:sz w:val="20"/>
              </w:rPr>
              <w:t> </w:t>
            </w:r>
            <w:r w:rsidR="00D47707" w:rsidRPr="00A52AB8">
              <w:rPr>
                <w:sz w:val="20"/>
              </w:rPr>
              <w:t>= </w:t>
            </w:r>
            <w:r w:rsidRPr="00A52AB8">
              <w:rPr>
                <w:sz w:val="20"/>
              </w:rPr>
              <w:t>0; i &lt;</w:t>
            </w:r>
            <w:r w:rsidR="00AF5D73" w:rsidRPr="00A52AB8">
              <w:rPr>
                <w:sz w:val="20"/>
              </w:rPr>
              <w:t>=</w:t>
            </w:r>
            <w:r w:rsidRPr="00A52AB8">
              <w:rPr>
                <w:sz w:val="20"/>
              </w:rPr>
              <w:t xml:space="preserve"> atp_dimension_minus1[ k ]; i++ </w:t>
            </w:r>
            <w:r w:rsidR="008F1F82" w:rsidRPr="00A52AB8">
              <w:rPr>
                <w:sz w:val="20"/>
              </w:rPr>
              <w:t>) {</w:t>
            </w:r>
          </w:p>
        </w:tc>
        <w:tc>
          <w:tcPr>
            <w:tcW w:w="1331" w:type="dxa"/>
          </w:tcPr>
          <w:p w14:paraId="30004615" w14:textId="77777777" w:rsidR="001F2065" w:rsidRPr="00A52AB8" w:rsidRDefault="001F2065" w:rsidP="00C50E43">
            <w:pPr>
              <w:spacing w:before="20" w:after="20"/>
              <w:jc w:val="center"/>
              <w:rPr>
                <w:b/>
                <w:color w:val="000000" w:themeColor="text1"/>
                <w:sz w:val="20"/>
                <w:szCs w:val="20"/>
              </w:rPr>
            </w:pPr>
          </w:p>
        </w:tc>
      </w:tr>
      <w:tr w:rsidR="001F2065" w:rsidRPr="00A52AB8" w14:paraId="56C7A321" w14:textId="77777777" w:rsidTr="00366915">
        <w:tc>
          <w:tcPr>
            <w:tcW w:w="8411" w:type="dxa"/>
          </w:tcPr>
          <w:p w14:paraId="6D03CDE5" w14:textId="77777777" w:rsidR="001F2065" w:rsidRPr="00A52AB8" w:rsidRDefault="001F2065" w:rsidP="00C50E43">
            <w:pPr>
              <w:keepNext/>
              <w:spacing w:before="20" w:after="40"/>
              <w:rPr>
                <w:sz w:val="20"/>
              </w:rPr>
            </w:pPr>
            <w:r w:rsidRPr="00A52AB8">
              <w:rPr>
                <w:sz w:val="20"/>
              </w:rPr>
              <w:tab/>
            </w:r>
            <w:r w:rsidRPr="00A52AB8">
              <w:rPr>
                <w:sz w:val="20"/>
              </w:rPr>
              <w:tab/>
            </w:r>
            <w:r w:rsidRPr="00A52AB8">
              <w:rPr>
                <w:sz w:val="20"/>
              </w:rPr>
              <w:tab/>
            </w:r>
            <w:r w:rsidRPr="00A52AB8">
              <w:rPr>
                <w:sz w:val="20"/>
              </w:rPr>
              <w:tab/>
            </w:r>
            <w:r w:rsidRPr="00A52AB8">
              <w:rPr>
                <w:b/>
                <w:bCs/>
                <w:sz w:val="20"/>
              </w:rPr>
              <w:t>atp_scale_params_enabled_flag</w:t>
            </w:r>
            <w:r w:rsidRPr="00A52AB8">
              <w:rPr>
                <w:sz w:val="20"/>
              </w:rPr>
              <w:t>[ k ][ i ]</w:t>
            </w:r>
          </w:p>
        </w:tc>
        <w:tc>
          <w:tcPr>
            <w:tcW w:w="1331" w:type="dxa"/>
          </w:tcPr>
          <w:p w14:paraId="45FEB08B" w14:textId="77777777" w:rsidR="001F2065" w:rsidRPr="00A52AB8" w:rsidRDefault="001F2065" w:rsidP="00C50E43">
            <w:pPr>
              <w:spacing w:before="20" w:after="20"/>
              <w:jc w:val="center"/>
              <w:rPr>
                <w:color w:val="000000" w:themeColor="text1"/>
                <w:sz w:val="20"/>
                <w:szCs w:val="20"/>
              </w:rPr>
            </w:pPr>
            <w:r w:rsidRPr="00A52AB8">
              <w:rPr>
                <w:color w:val="000000" w:themeColor="text1"/>
                <w:sz w:val="20"/>
                <w:szCs w:val="20"/>
              </w:rPr>
              <w:t>u(1)</w:t>
            </w:r>
          </w:p>
        </w:tc>
      </w:tr>
      <w:tr w:rsidR="001F2065" w:rsidRPr="00A52AB8" w14:paraId="57BC9041" w14:textId="77777777" w:rsidTr="00366915">
        <w:tc>
          <w:tcPr>
            <w:tcW w:w="8411" w:type="dxa"/>
          </w:tcPr>
          <w:p w14:paraId="43CA12A3" w14:textId="77777777" w:rsidR="001F2065" w:rsidRPr="00A52AB8" w:rsidRDefault="001F2065" w:rsidP="00C50E43">
            <w:pPr>
              <w:keepNext/>
              <w:spacing w:before="20" w:after="40"/>
              <w:rPr>
                <w:sz w:val="20"/>
              </w:rPr>
            </w:pPr>
            <w:r w:rsidRPr="00A52AB8">
              <w:rPr>
                <w:sz w:val="20"/>
              </w:rPr>
              <w:tab/>
            </w:r>
            <w:r w:rsidRPr="00A52AB8">
              <w:rPr>
                <w:sz w:val="20"/>
              </w:rPr>
              <w:tab/>
            </w:r>
            <w:r w:rsidRPr="00A52AB8">
              <w:rPr>
                <w:sz w:val="20"/>
              </w:rPr>
              <w:tab/>
            </w:r>
            <w:r w:rsidRPr="00A52AB8">
              <w:rPr>
                <w:sz w:val="20"/>
              </w:rPr>
              <w:tab/>
            </w:r>
            <w:r w:rsidRPr="00A52AB8">
              <w:rPr>
                <w:b/>
                <w:bCs/>
                <w:sz w:val="20"/>
              </w:rPr>
              <w:t>atp_offset_params_enabled_flag</w:t>
            </w:r>
            <w:r w:rsidRPr="00A52AB8">
              <w:rPr>
                <w:sz w:val="20"/>
              </w:rPr>
              <w:t>[ k ][ i ]</w:t>
            </w:r>
          </w:p>
        </w:tc>
        <w:tc>
          <w:tcPr>
            <w:tcW w:w="1331" w:type="dxa"/>
          </w:tcPr>
          <w:p w14:paraId="3A39D566" w14:textId="77777777" w:rsidR="001F2065" w:rsidRPr="00A52AB8" w:rsidRDefault="001F2065" w:rsidP="00C50E43">
            <w:pPr>
              <w:spacing w:before="20" w:after="20"/>
              <w:jc w:val="center"/>
              <w:rPr>
                <w:color w:val="000000" w:themeColor="text1"/>
                <w:sz w:val="20"/>
                <w:szCs w:val="20"/>
              </w:rPr>
            </w:pPr>
            <w:r w:rsidRPr="00A52AB8">
              <w:rPr>
                <w:color w:val="000000" w:themeColor="text1"/>
                <w:sz w:val="20"/>
                <w:szCs w:val="20"/>
              </w:rPr>
              <w:t>u(1)</w:t>
            </w:r>
          </w:p>
        </w:tc>
      </w:tr>
      <w:tr w:rsidR="001F2065" w:rsidRPr="00A52AB8" w14:paraId="65D568AD" w14:textId="77777777" w:rsidTr="00366915">
        <w:tc>
          <w:tcPr>
            <w:tcW w:w="8411" w:type="dxa"/>
          </w:tcPr>
          <w:p w14:paraId="77F70485" w14:textId="77777777" w:rsidR="001F2065" w:rsidRPr="00A52AB8" w:rsidRDefault="001F2065" w:rsidP="00C50E43">
            <w:pPr>
              <w:keepNext/>
              <w:spacing w:before="20" w:after="40"/>
              <w:rPr>
                <w:sz w:val="20"/>
              </w:rPr>
            </w:pPr>
            <w:r w:rsidRPr="00A52AB8">
              <w:rPr>
                <w:sz w:val="20"/>
              </w:rPr>
              <w:tab/>
            </w:r>
            <w:r w:rsidRPr="00A52AB8">
              <w:rPr>
                <w:sz w:val="20"/>
              </w:rPr>
              <w:tab/>
            </w:r>
            <w:r w:rsidRPr="00A52AB8">
              <w:rPr>
                <w:sz w:val="20"/>
              </w:rPr>
              <w:tab/>
            </w:r>
            <w:r w:rsidRPr="00A52AB8">
              <w:rPr>
                <w:sz w:val="20"/>
              </w:rPr>
              <w:tab/>
              <w:t>if( atp_scale_params_enabled_flag[ k ][ i ] )</w:t>
            </w:r>
          </w:p>
        </w:tc>
        <w:tc>
          <w:tcPr>
            <w:tcW w:w="1331" w:type="dxa"/>
          </w:tcPr>
          <w:p w14:paraId="5A756CA2" w14:textId="77777777" w:rsidR="001F2065" w:rsidRPr="00A52AB8" w:rsidRDefault="001F2065" w:rsidP="00C50E43">
            <w:pPr>
              <w:spacing w:before="20" w:after="20"/>
              <w:jc w:val="center"/>
              <w:rPr>
                <w:color w:val="000000" w:themeColor="text1"/>
                <w:sz w:val="20"/>
                <w:szCs w:val="20"/>
              </w:rPr>
            </w:pPr>
          </w:p>
        </w:tc>
      </w:tr>
      <w:tr w:rsidR="001F2065" w:rsidRPr="00A52AB8" w14:paraId="45577380" w14:textId="77777777" w:rsidTr="00366915">
        <w:tc>
          <w:tcPr>
            <w:tcW w:w="8411" w:type="dxa"/>
          </w:tcPr>
          <w:p w14:paraId="471DAF48" w14:textId="77777777" w:rsidR="001F2065" w:rsidRPr="00A52AB8" w:rsidRDefault="001F2065" w:rsidP="00C50E43">
            <w:pPr>
              <w:keepNext/>
              <w:spacing w:before="20" w:after="40"/>
              <w:rPr>
                <w:sz w:val="20"/>
              </w:rPr>
            </w:pPr>
            <w:r w:rsidRPr="00A52AB8">
              <w:rPr>
                <w:sz w:val="20"/>
              </w:rPr>
              <w:tab/>
            </w:r>
            <w:r w:rsidRPr="00A52AB8">
              <w:rPr>
                <w:sz w:val="20"/>
              </w:rPr>
              <w:tab/>
            </w:r>
            <w:r w:rsidRPr="00A52AB8">
              <w:rPr>
                <w:sz w:val="20"/>
              </w:rPr>
              <w:tab/>
            </w:r>
            <w:r w:rsidRPr="00A52AB8">
              <w:rPr>
                <w:sz w:val="20"/>
              </w:rPr>
              <w:tab/>
            </w:r>
            <w:r w:rsidRPr="00A52AB8">
              <w:rPr>
                <w:sz w:val="20"/>
              </w:rPr>
              <w:tab/>
            </w:r>
            <w:r w:rsidRPr="00A52AB8">
              <w:rPr>
                <w:b/>
                <w:bCs/>
                <w:sz w:val="20"/>
              </w:rPr>
              <w:t>atp_attribute_scale_minus1</w:t>
            </w:r>
            <w:r w:rsidRPr="00A52AB8">
              <w:rPr>
                <w:sz w:val="20"/>
              </w:rPr>
              <w:t>[ k ][ i ]</w:t>
            </w:r>
          </w:p>
        </w:tc>
        <w:tc>
          <w:tcPr>
            <w:tcW w:w="1331" w:type="dxa"/>
          </w:tcPr>
          <w:p w14:paraId="58DA2F5A" w14:textId="77777777" w:rsidR="001F2065" w:rsidRPr="00A52AB8" w:rsidRDefault="001F2065" w:rsidP="00C50E43">
            <w:pPr>
              <w:spacing w:before="20" w:after="20"/>
              <w:jc w:val="center"/>
              <w:rPr>
                <w:color w:val="000000" w:themeColor="text1"/>
                <w:sz w:val="20"/>
                <w:szCs w:val="20"/>
              </w:rPr>
            </w:pPr>
            <w:r w:rsidRPr="00A52AB8">
              <w:rPr>
                <w:color w:val="000000" w:themeColor="text1"/>
                <w:sz w:val="20"/>
                <w:szCs w:val="20"/>
              </w:rPr>
              <w:t>u(32)</w:t>
            </w:r>
          </w:p>
        </w:tc>
      </w:tr>
      <w:tr w:rsidR="001F2065" w:rsidRPr="00A52AB8" w14:paraId="19E5FE3F" w14:textId="77777777" w:rsidTr="00366915">
        <w:tc>
          <w:tcPr>
            <w:tcW w:w="8411" w:type="dxa"/>
          </w:tcPr>
          <w:p w14:paraId="46F6CD3E" w14:textId="77777777" w:rsidR="001F2065" w:rsidRPr="00A52AB8" w:rsidRDefault="001F2065" w:rsidP="00C50E43">
            <w:pPr>
              <w:keepNext/>
              <w:spacing w:before="20" w:after="40"/>
              <w:rPr>
                <w:sz w:val="20"/>
              </w:rPr>
            </w:pPr>
            <w:r w:rsidRPr="00A52AB8">
              <w:rPr>
                <w:sz w:val="20"/>
              </w:rPr>
              <w:tab/>
            </w:r>
            <w:r w:rsidRPr="00A52AB8">
              <w:rPr>
                <w:sz w:val="20"/>
              </w:rPr>
              <w:tab/>
            </w:r>
            <w:r w:rsidRPr="00A52AB8">
              <w:rPr>
                <w:sz w:val="20"/>
              </w:rPr>
              <w:tab/>
            </w:r>
            <w:r w:rsidRPr="00A52AB8">
              <w:rPr>
                <w:sz w:val="20"/>
              </w:rPr>
              <w:tab/>
              <w:t>if( atp_offset_params_enabled_flag[ k ][ i ] )</w:t>
            </w:r>
          </w:p>
        </w:tc>
        <w:tc>
          <w:tcPr>
            <w:tcW w:w="1331" w:type="dxa"/>
          </w:tcPr>
          <w:p w14:paraId="052C91E7" w14:textId="77777777" w:rsidR="001F2065" w:rsidRPr="00A52AB8" w:rsidRDefault="001F2065" w:rsidP="00C50E43">
            <w:pPr>
              <w:spacing w:before="20" w:after="20"/>
              <w:jc w:val="center"/>
              <w:rPr>
                <w:color w:val="000000" w:themeColor="text1"/>
                <w:sz w:val="20"/>
                <w:szCs w:val="20"/>
              </w:rPr>
            </w:pPr>
          </w:p>
        </w:tc>
      </w:tr>
      <w:tr w:rsidR="001F2065" w:rsidRPr="00A52AB8" w14:paraId="69107B2A" w14:textId="77777777" w:rsidTr="00366915">
        <w:tc>
          <w:tcPr>
            <w:tcW w:w="8411" w:type="dxa"/>
          </w:tcPr>
          <w:p w14:paraId="27577AA0" w14:textId="77777777" w:rsidR="001F2065" w:rsidRPr="00A52AB8" w:rsidRDefault="001F2065" w:rsidP="00C50E43">
            <w:pPr>
              <w:keepNext/>
              <w:spacing w:before="20" w:after="40"/>
              <w:rPr>
                <w:sz w:val="20"/>
              </w:rPr>
            </w:pPr>
            <w:r w:rsidRPr="00A52AB8">
              <w:rPr>
                <w:sz w:val="20"/>
              </w:rPr>
              <w:tab/>
            </w:r>
            <w:r w:rsidRPr="00A52AB8">
              <w:rPr>
                <w:sz w:val="20"/>
              </w:rPr>
              <w:tab/>
            </w:r>
            <w:r w:rsidRPr="00A52AB8">
              <w:rPr>
                <w:sz w:val="20"/>
              </w:rPr>
              <w:tab/>
            </w:r>
            <w:r w:rsidRPr="00A52AB8">
              <w:rPr>
                <w:sz w:val="20"/>
              </w:rPr>
              <w:tab/>
            </w:r>
            <w:r w:rsidRPr="00A52AB8">
              <w:rPr>
                <w:sz w:val="20"/>
              </w:rPr>
              <w:tab/>
            </w:r>
            <w:r w:rsidRPr="00A52AB8">
              <w:rPr>
                <w:b/>
                <w:bCs/>
                <w:sz w:val="20"/>
              </w:rPr>
              <w:t>atp_attribute_offset</w:t>
            </w:r>
            <w:r w:rsidRPr="00A52AB8">
              <w:rPr>
                <w:sz w:val="20"/>
              </w:rPr>
              <w:t>[ k ][ i ]</w:t>
            </w:r>
          </w:p>
        </w:tc>
        <w:tc>
          <w:tcPr>
            <w:tcW w:w="1331" w:type="dxa"/>
          </w:tcPr>
          <w:p w14:paraId="62080764" w14:textId="77777777" w:rsidR="001F2065" w:rsidRPr="00A52AB8" w:rsidRDefault="001F2065" w:rsidP="00C50E43">
            <w:pPr>
              <w:spacing w:before="20" w:after="20"/>
              <w:jc w:val="center"/>
              <w:rPr>
                <w:color w:val="000000" w:themeColor="text1"/>
                <w:sz w:val="20"/>
                <w:szCs w:val="20"/>
              </w:rPr>
            </w:pPr>
            <w:r w:rsidRPr="00A52AB8">
              <w:rPr>
                <w:color w:val="000000" w:themeColor="text1"/>
                <w:sz w:val="20"/>
                <w:szCs w:val="20"/>
              </w:rPr>
              <w:t>i(32)</w:t>
            </w:r>
          </w:p>
        </w:tc>
      </w:tr>
      <w:tr w:rsidR="001F2065" w:rsidRPr="00A52AB8" w14:paraId="51D6EB0A" w14:textId="77777777" w:rsidTr="00366915">
        <w:tc>
          <w:tcPr>
            <w:tcW w:w="8411" w:type="dxa"/>
          </w:tcPr>
          <w:p w14:paraId="3CAFDCD8" w14:textId="77777777" w:rsidR="001F2065" w:rsidRPr="00A52AB8" w:rsidRDefault="001F2065" w:rsidP="00C50E43">
            <w:pPr>
              <w:keepNext/>
              <w:spacing w:before="20" w:after="40"/>
              <w:rPr>
                <w:sz w:val="20"/>
              </w:rPr>
            </w:pPr>
            <w:r w:rsidRPr="00A52AB8">
              <w:rPr>
                <w:sz w:val="20"/>
              </w:rPr>
              <w:tab/>
            </w:r>
            <w:r w:rsidRPr="00A52AB8">
              <w:rPr>
                <w:sz w:val="20"/>
              </w:rPr>
              <w:tab/>
            </w:r>
            <w:r w:rsidRPr="00A52AB8">
              <w:rPr>
                <w:sz w:val="20"/>
              </w:rPr>
              <w:tab/>
              <w:t>}</w:t>
            </w:r>
          </w:p>
        </w:tc>
        <w:tc>
          <w:tcPr>
            <w:tcW w:w="1331" w:type="dxa"/>
          </w:tcPr>
          <w:p w14:paraId="41B82E59" w14:textId="77777777" w:rsidR="001F2065" w:rsidRPr="00A52AB8" w:rsidRDefault="001F2065" w:rsidP="00C50E43">
            <w:pPr>
              <w:spacing w:before="20" w:after="20"/>
              <w:jc w:val="center"/>
              <w:rPr>
                <w:color w:val="000000" w:themeColor="text1"/>
                <w:sz w:val="20"/>
                <w:szCs w:val="20"/>
              </w:rPr>
            </w:pPr>
          </w:p>
        </w:tc>
      </w:tr>
      <w:tr w:rsidR="001F2065" w:rsidRPr="00A52AB8" w14:paraId="6FD677A3" w14:textId="77777777" w:rsidTr="00366915">
        <w:tc>
          <w:tcPr>
            <w:tcW w:w="8411" w:type="dxa"/>
          </w:tcPr>
          <w:p w14:paraId="3D03CF40" w14:textId="77777777" w:rsidR="001F2065" w:rsidRPr="00A52AB8" w:rsidRDefault="001F2065" w:rsidP="00C50E43">
            <w:pPr>
              <w:keepNext/>
              <w:spacing w:before="20" w:after="40"/>
              <w:rPr>
                <w:sz w:val="20"/>
              </w:rPr>
            </w:pPr>
            <w:r w:rsidRPr="00A52AB8">
              <w:rPr>
                <w:sz w:val="20"/>
              </w:rPr>
              <w:tab/>
            </w:r>
            <w:r w:rsidRPr="00A52AB8">
              <w:rPr>
                <w:sz w:val="20"/>
              </w:rPr>
              <w:tab/>
              <w:t>}</w:t>
            </w:r>
          </w:p>
        </w:tc>
        <w:tc>
          <w:tcPr>
            <w:tcW w:w="1331" w:type="dxa"/>
          </w:tcPr>
          <w:p w14:paraId="5632A450" w14:textId="77777777" w:rsidR="001F2065" w:rsidRPr="00A52AB8" w:rsidRDefault="001F2065" w:rsidP="00C50E43">
            <w:pPr>
              <w:spacing w:before="20" w:after="20"/>
              <w:jc w:val="center"/>
              <w:rPr>
                <w:color w:val="000000" w:themeColor="text1"/>
                <w:sz w:val="20"/>
                <w:szCs w:val="20"/>
              </w:rPr>
            </w:pPr>
          </w:p>
        </w:tc>
      </w:tr>
      <w:tr w:rsidR="001F2065" w:rsidRPr="00A52AB8" w14:paraId="29F40C95" w14:textId="77777777" w:rsidTr="00366915">
        <w:tc>
          <w:tcPr>
            <w:tcW w:w="8411" w:type="dxa"/>
          </w:tcPr>
          <w:p w14:paraId="11B89B9C" w14:textId="77777777" w:rsidR="001F2065" w:rsidRPr="00A52AB8" w:rsidRDefault="001F2065" w:rsidP="00C50E43">
            <w:pPr>
              <w:keepNext/>
              <w:spacing w:before="20" w:after="40"/>
              <w:rPr>
                <w:b/>
                <w:bCs/>
                <w:sz w:val="20"/>
              </w:rPr>
            </w:pPr>
            <w:r w:rsidRPr="00A52AB8">
              <w:rPr>
                <w:sz w:val="20"/>
              </w:rPr>
              <w:tab/>
            </w:r>
            <w:r w:rsidRPr="00A52AB8">
              <w:rPr>
                <w:sz w:val="20"/>
              </w:rPr>
              <w:tab/>
            </w:r>
            <w:r w:rsidRPr="00A52AB8">
              <w:rPr>
                <w:b/>
                <w:bCs/>
                <w:sz w:val="20"/>
              </w:rPr>
              <w:t>atp_persistence_flag</w:t>
            </w:r>
          </w:p>
        </w:tc>
        <w:tc>
          <w:tcPr>
            <w:tcW w:w="1331" w:type="dxa"/>
          </w:tcPr>
          <w:p w14:paraId="723658A8" w14:textId="77777777" w:rsidR="001F2065" w:rsidRPr="00A52AB8" w:rsidRDefault="001F2065" w:rsidP="00C50E43">
            <w:pPr>
              <w:spacing w:before="20" w:after="20"/>
              <w:jc w:val="center"/>
              <w:rPr>
                <w:color w:val="000000" w:themeColor="text1"/>
                <w:sz w:val="20"/>
                <w:szCs w:val="20"/>
              </w:rPr>
            </w:pPr>
            <w:r w:rsidRPr="00A52AB8">
              <w:rPr>
                <w:bCs/>
                <w:color w:val="000000" w:themeColor="text1"/>
                <w:sz w:val="20"/>
                <w:szCs w:val="20"/>
              </w:rPr>
              <w:t>u(1)</w:t>
            </w:r>
          </w:p>
        </w:tc>
      </w:tr>
      <w:tr w:rsidR="001F2065" w:rsidRPr="00A52AB8" w14:paraId="04F696D9" w14:textId="77777777" w:rsidTr="00366915">
        <w:tc>
          <w:tcPr>
            <w:tcW w:w="8411" w:type="dxa"/>
          </w:tcPr>
          <w:p w14:paraId="12938B2B" w14:textId="77777777" w:rsidR="001F2065" w:rsidRPr="00A52AB8" w:rsidRDefault="001F2065" w:rsidP="00C50E43">
            <w:pPr>
              <w:keepNext/>
              <w:spacing w:before="20" w:after="40"/>
              <w:rPr>
                <w:sz w:val="20"/>
              </w:rPr>
            </w:pPr>
            <w:r w:rsidRPr="00A52AB8">
              <w:rPr>
                <w:sz w:val="20"/>
              </w:rPr>
              <w:tab/>
              <w:t>}</w:t>
            </w:r>
          </w:p>
        </w:tc>
        <w:tc>
          <w:tcPr>
            <w:tcW w:w="1331" w:type="dxa"/>
          </w:tcPr>
          <w:p w14:paraId="414EBEB2" w14:textId="77777777" w:rsidR="001F2065" w:rsidRPr="00A52AB8" w:rsidRDefault="001F2065" w:rsidP="00C50E43">
            <w:pPr>
              <w:spacing w:before="20" w:after="20"/>
              <w:jc w:val="center"/>
              <w:rPr>
                <w:color w:val="000000" w:themeColor="text1"/>
                <w:sz w:val="20"/>
                <w:szCs w:val="20"/>
              </w:rPr>
            </w:pPr>
          </w:p>
        </w:tc>
      </w:tr>
      <w:tr w:rsidR="001F2065" w:rsidRPr="00A52AB8" w14:paraId="2E38FE1B" w14:textId="77777777" w:rsidTr="00366915">
        <w:tc>
          <w:tcPr>
            <w:tcW w:w="8411" w:type="dxa"/>
          </w:tcPr>
          <w:p w14:paraId="0305B0B1" w14:textId="77777777" w:rsidR="001F2065" w:rsidRPr="00A52AB8" w:rsidRDefault="001F2065" w:rsidP="00C50E43">
            <w:pPr>
              <w:keepNext/>
              <w:spacing w:before="20" w:after="40"/>
              <w:rPr>
                <w:sz w:val="20"/>
              </w:rPr>
            </w:pPr>
            <w:r w:rsidRPr="00A52AB8">
              <w:rPr>
                <w:sz w:val="20"/>
              </w:rPr>
              <w:t>}</w:t>
            </w:r>
          </w:p>
        </w:tc>
        <w:tc>
          <w:tcPr>
            <w:tcW w:w="1331" w:type="dxa"/>
          </w:tcPr>
          <w:p w14:paraId="0C583013" w14:textId="77777777" w:rsidR="001F2065" w:rsidRPr="00A52AB8" w:rsidRDefault="001F2065" w:rsidP="00C50E43">
            <w:pPr>
              <w:spacing w:before="20" w:after="20"/>
              <w:jc w:val="center"/>
              <w:rPr>
                <w:color w:val="000000" w:themeColor="text1"/>
                <w:sz w:val="20"/>
                <w:szCs w:val="20"/>
              </w:rPr>
            </w:pPr>
          </w:p>
        </w:tc>
      </w:tr>
    </w:tbl>
    <w:p w14:paraId="08798CCE" w14:textId="77777777" w:rsidR="00C61E38" w:rsidRPr="00A52AB8" w:rsidRDefault="00D904EF" w:rsidP="00EE3D19">
      <w:pPr>
        <w:pStyle w:val="a3"/>
        <w:numPr>
          <w:ilvl w:val="3"/>
          <w:numId w:val="14"/>
        </w:numPr>
        <w:tabs>
          <w:tab w:val="clear" w:pos="403"/>
        </w:tabs>
        <w:outlineLvl w:val="3"/>
      </w:pPr>
      <w:bookmarkStart w:id="7309" w:name="_Toc52181838"/>
      <w:r w:rsidRPr="00A52AB8">
        <w:t>Occupancy synthesis SEI message syntax</w:t>
      </w:r>
      <w:bookmarkEnd w:id="7309"/>
    </w:p>
    <w:tbl>
      <w:tblPr>
        <w:tblStyle w:val="TableGrid"/>
        <w:tblW w:w="5000" w:type="pct"/>
        <w:jc w:val="center"/>
        <w:tblLook w:val="04A0" w:firstRow="1" w:lastRow="0" w:firstColumn="1" w:lastColumn="0" w:noHBand="0" w:noVBand="1"/>
      </w:tblPr>
      <w:tblGrid>
        <w:gridCol w:w="8380"/>
        <w:gridCol w:w="1362"/>
      </w:tblGrid>
      <w:tr w:rsidR="00D904EF" w:rsidRPr="00A52AB8" w14:paraId="47870A52" w14:textId="77777777" w:rsidTr="004A7026">
        <w:trPr>
          <w:jc w:val="center"/>
        </w:trPr>
        <w:tc>
          <w:tcPr>
            <w:tcW w:w="7921" w:type="dxa"/>
          </w:tcPr>
          <w:p w14:paraId="4941046D" w14:textId="1DB4F0F3" w:rsidR="00D904EF" w:rsidRPr="00A52AB8" w:rsidRDefault="00D904EF" w:rsidP="00C50E43">
            <w:pPr>
              <w:spacing w:before="20" w:after="20"/>
              <w:rPr>
                <w:color w:val="000000" w:themeColor="text1"/>
                <w:sz w:val="20"/>
                <w:szCs w:val="20"/>
              </w:rPr>
            </w:pPr>
            <w:r w:rsidRPr="00A52AB8">
              <w:rPr>
                <w:bCs/>
                <w:color w:val="000000" w:themeColor="text1"/>
                <w:sz w:val="20"/>
                <w:szCs w:val="20"/>
              </w:rPr>
              <w:t>occupancy_synthesis</w:t>
            </w:r>
            <w:r w:rsidRPr="00A52AB8">
              <w:rPr>
                <w:color w:val="000000" w:themeColor="text1"/>
                <w:sz w:val="20"/>
                <w:szCs w:val="20"/>
              </w:rPr>
              <w:t>( </w:t>
            </w:r>
            <w:r w:rsidRPr="00A52AB8">
              <w:rPr>
                <w:rFonts w:eastAsia="Malgun Gothic"/>
                <w:sz w:val="20"/>
                <w:szCs w:val="20"/>
              </w:rPr>
              <w:t>payloadSize</w:t>
            </w:r>
            <w:r w:rsidRPr="00A52AB8">
              <w:rPr>
                <w:color w:val="000000" w:themeColor="text1"/>
                <w:sz w:val="20"/>
                <w:szCs w:val="20"/>
              </w:rPr>
              <w:t> </w:t>
            </w:r>
            <w:r w:rsidR="008F1F82" w:rsidRPr="00A52AB8">
              <w:rPr>
                <w:color w:val="000000" w:themeColor="text1"/>
                <w:sz w:val="20"/>
                <w:szCs w:val="20"/>
              </w:rPr>
              <w:t>) {</w:t>
            </w:r>
          </w:p>
        </w:tc>
        <w:tc>
          <w:tcPr>
            <w:tcW w:w="1287" w:type="dxa"/>
          </w:tcPr>
          <w:p w14:paraId="5E5394F9" w14:textId="77777777" w:rsidR="00D904EF" w:rsidRPr="00A52AB8" w:rsidRDefault="00D904EF" w:rsidP="00C50E43">
            <w:pPr>
              <w:spacing w:before="20" w:after="20"/>
              <w:jc w:val="center"/>
              <w:rPr>
                <w:b/>
                <w:color w:val="000000" w:themeColor="text1"/>
                <w:sz w:val="20"/>
                <w:szCs w:val="20"/>
              </w:rPr>
            </w:pPr>
            <w:r w:rsidRPr="00A52AB8">
              <w:rPr>
                <w:b/>
                <w:color w:val="000000" w:themeColor="text1"/>
                <w:sz w:val="20"/>
                <w:szCs w:val="20"/>
              </w:rPr>
              <w:t>Descriptor</w:t>
            </w:r>
          </w:p>
        </w:tc>
      </w:tr>
      <w:tr w:rsidR="00D904EF" w:rsidRPr="00A52AB8" w14:paraId="701C6EEB" w14:textId="77777777" w:rsidTr="004A7026">
        <w:trPr>
          <w:jc w:val="center"/>
        </w:trPr>
        <w:tc>
          <w:tcPr>
            <w:tcW w:w="7921" w:type="dxa"/>
          </w:tcPr>
          <w:p w14:paraId="22A3BAEA" w14:textId="77777777" w:rsidR="00D904EF" w:rsidRPr="00A52AB8" w:rsidRDefault="00D904EF" w:rsidP="00C50E43">
            <w:pPr>
              <w:spacing w:before="20" w:after="20"/>
              <w:rPr>
                <w:b/>
                <w:color w:val="000000" w:themeColor="text1"/>
                <w:sz w:val="20"/>
                <w:szCs w:val="20"/>
              </w:rPr>
            </w:pPr>
            <w:r w:rsidRPr="00A52AB8">
              <w:rPr>
                <w:b/>
                <w:color w:val="000000" w:themeColor="text1"/>
                <w:sz w:val="20"/>
                <w:szCs w:val="20"/>
              </w:rPr>
              <w:tab/>
              <w:t>os_persistence_flag</w:t>
            </w:r>
          </w:p>
        </w:tc>
        <w:tc>
          <w:tcPr>
            <w:tcW w:w="1287" w:type="dxa"/>
          </w:tcPr>
          <w:p w14:paraId="7E4675A6" w14:textId="77777777" w:rsidR="00D904EF" w:rsidRPr="00A52AB8" w:rsidRDefault="00D904EF" w:rsidP="00C50E43">
            <w:pPr>
              <w:spacing w:before="20" w:after="20"/>
              <w:jc w:val="center"/>
              <w:rPr>
                <w:color w:val="000000" w:themeColor="text1"/>
                <w:sz w:val="20"/>
                <w:szCs w:val="20"/>
              </w:rPr>
            </w:pPr>
            <w:r w:rsidRPr="00A52AB8">
              <w:rPr>
                <w:color w:val="000000" w:themeColor="text1"/>
                <w:sz w:val="20"/>
                <w:szCs w:val="20"/>
              </w:rPr>
              <w:t>u(1)</w:t>
            </w:r>
          </w:p>
        </w:tc>
      </w:tr>
      <w:tr w:rsidR="00D904EF" w:rsidRPr="00A52AB8" w14:paraId="53FA7B16" w14:textId="77777777" w:rsidTr="004A7026">
        <w:trPr>
          <w:jc w:val="center"/>
        </w:trPr>
        <w:tc>
          <w:tcPr>
            <w:tcW w:w="7921" w:type="dxa"/>
          </w:tcPr>
          <w:p w14:paraId="0DD812E7" w14:textId="77777777" w:rsidR="00D904EF" w:rsidRPr="00A52AB8" w:rsidRDefault="00D904EF" w:rsidP="00C50E43">
            <w:pPr>
              <w:spacing w:before="20" w:after="20"/>
              <w:rPr>
                <w:b/>
                <w:color w:val="000000" w:themeColor="text1"/>
                <w:sz w:val="20"/>
                <w:szCs w:val="20"/>
              </w:rPr>
            </w:pPr>
            <w:r w:rsidRPr="00A52AB8">
              <w:rPr>
                <w:b/>
                <w:color w:val="000000" w:themeColor="text1"/>
                <w:sz w:val="20"/>
                <w:szCs w:val="20"/>
              </w:rPr>
              <w:tab/>
              <w:t>os_reset_flag</w:t>
            </w:r>
          </w:p>
        </w:tc>
        <w:tc>
          <w:tcPr>
            <w:tcW w:w="1287" w:type="dxa"/>
          </w:tcPr>
          <w:p w14:paraId="3559E031" w14:textId="77777777" w:rsidR="00D904EF" w:rsidRPr="00A52AB8" w:rsidRDefault="00D904EF" w:rsidP="00C50E43">
            <w:pPr>
              <w:spacing w:before="20" w:after="20"/>
              <w:jc w:val="center"/>
              <w:rPr>
                <w:color w:val="000000" w:themeColor="text1"/>
                <w:sz w:val="20"/>
                <w:szCs w:val="20"/>
              </w:rPr>
            </w:pPr>
            <w:r w:rsidRPr="00A52AB8">
              <w:rPr>
                <w:color w:val="000000" w:themeColor="text1"/>
                <w:sz w:val="20"/>
                <w:szCs w:val="20"/>
              </w:rPr>
              <w:t>u(1)</w:t>
            </w:r>
          </w:p>
        </w:tc>
      </w:tr>
      <w:tr w:rsidR="00D904EF" w:rsidRPr="00A52AB8" w14:paraId="154BE6C6" w14:textId="77777777" w:rsidTr="004A7026">
        <w:trPr>
          <w:jc w:val="center"/>
        </w:trPr>
        <w:tc>
          <w:tcPr>
            <w:tcW w:w="7921" w:type="dxa"/>
          </w:tcPr>
          <w:p w14:paraId="4B50D92D" w14:textId="77777777" w:rsidR="00D904EF" w:rsidRPr="00A52AB8" w:rsidRDefault="00D904EF" w:rsidP="00C50E43">
            <w:pPr>
              <w:spacing w:before="20" w:after="20"/>
              <w:rPr>
                <w:color w:val="000000" w:themeColor="text1"/>
                <w:sz w:val="20"/>
                <w:szCs w:val="20"/>
              </w:rPr>
            </w:pPr>
            <w:r w:rsidRPr="00A52AB8">
              <w:rPr>
                <w:b/>
                <w:color w:val="000000" w:themeColor="text1"/>
                <w:sz w:val="20"/>
                <w:szCs w:val="20"/>
              </w:rPr>
              <w:tab/>
              <w:t>os_instances_updated</w:t>
            </w:r>
          </w:p>
        </w:tc>
        <w:tc>
          <w:tcPr>
            <w:tcW w:w="1287" w:type="dxa"/>
          </w:tcPr>
          <w:p w14:paraId="77A8798C" w14:textId="77777777" w:rsidR="00D904EF" w:rsidRPr="00A52AB8" w:rsidRDefault="00D904EF" w:rsidP="00C50E43">
            <w:pPr>
              <w:spacing w:before="20" w:after="20"/>
              <w:jc w:val="center"/>
              <w:rPr>
                <w:color w:val="000000" w:themeColor="text1"/>
                <w:sz w:val="20"/>
                <w:szCs w:val="20"/>
              </w:rPr>
            </w:pPr>
            <w:r w:rsidRPr="00A52AB8">
              <w:rPr>
                <w:color w:val="000000" w:themeColor="text1"/>
                <w:sz w:val="20"/>
                <w:szCs w:val="20"/>
              </w:rPr>
              <w:t>u(8)</w:t>
            </w:r>
          </w:p>
        </w:tc>
      </w:tr>
      <w:tr w:rsidR="00D904EF" w:rsidRPr="00A52AB8" w14:paraId="06B4FCAA" w14:textId="77777777" w:rsidTr="004A7026">
        <w:trPr>
          <w:jc w:val="center"/>
        </w:trPr>
        <w:tc>
          <w:tcPr>
            <w:tcW w:w="7921" w:type="dxa"/>
          </w:tcPr>
          <w:p w14:paraId="1BE0F799" w14:textId="427529E9" w:rsidR="00D904EF" w:rsidRPr="00A52AB8" w:rsidRDefault="00D904EF" w:rsidP="00C50E43">
            <w:pPr>
              <w:spacing w:before="20" w:after="20"/>
              <w:rPr>
                <w:color w:val="000000" w:themeColor="text1"/>
                <w:sz w:val="20"/>
                <w:szCs w:val="20"/>
              </w:rPr>
            </w:pPr>
            <w:r w:rsidRPr="00A52AB8">
              <w:rPr>
                <w:color w:val="000000" w:themeColor="text1"/>
                <w:sz w:val="20"/>
                <w:szCs w:val="20"/>
              </w:rPr>
              <w:tab/>
            </w:r>
            <w:r w:rsidRPr="00A52AB8">
              <w:rPr>
                <w:bCs/>
                <w:sz w:val="20"/>
                <w:szCs w:val="20"/>
              </w:rPr>
              <w:t>for( i</w:t>
            </w:r>
            <w:r w:rsidR="00D47707" w:rsidRPr="00A52AB8">
              <w:rPr>
                <w:bCs/>
                <w:sz w:val="20"/>
                <w:szCs w:val="20"/>
              </w:rPr>
              <w:t> = </w:t>
            </w:r>
            <w:r w:rsidRPr="00A52AB8">
              <w:rPr>
                <w:bCs/>
                <w:sz w:val="20"/>
                <w:szCs w:val="20"/>
              </w:rPr>
              <w:t>0; i &lt; os_</w:t>
            </w:r>
            <w:r w:rsidRPr="00A52AB8">
              <w:rPr>
                <w:bCs/>
                <w:color w:val="000000" w:themeColor="text1"/>
                <w:sz w:val="20"/>
                <w:szCs w:val="20"/>
              </w:rPr>
              <w:t>instances_updated</w:t>
            </w:r>
            <w:r w:rsidRPr="00A52AB8">
              <w:rPr>
                <w:bCs/>
                <w:sz w:val="20"/>
                <w:szCs w:val="20"/>
              </w:rPr>
              <w:t>; i++ </w:t>
            </w:r>
            <w:r w:rsidR="008F1F82" w:rsidRPr="00A52AB8">
              <w:rPr>
                <w:bCs/>
                <w:sz w:val="20"/>
                <w:szCs w:val="20"/>
              </w:rPr>
              <w:t>) {</w:t>
            </w:r>
          </w:p>
        </w:tc>
        <w:tc>
          <w:tcPr>
            <w:tcW w:w="1287" w:type="dxa"/>
          </w:tcPr>
          <w:p w14:paraId="20876EDE" w14:textId="77777777" w:rsidR="00D904EF" w:rsidRPr="00A52AB8" w:rsidRDefault="00D904EF" w:rsidP="00C50E43">
            <w:pPr>
              <w:spacing w:before="20" w:after="20"/>
              <w:jc w:val="center"/>
              <w:rPr>
                <w:color w:val="000000" w:themeColor="text1"/>
                <w:sz w:val="20"/>
                <w:szCs w:val="20"/>
              </w:rPr>
            </w:pPr>
          </w:p>
        </w:tc>
      </w:tr>
      <w:tr w:rsidR="00D904EF" w:rsidRPr="00A52AB8" w14:paraId="15F3A991" w14:textId="77777777" w:rsidTr="004A7026">
        <w:trPr>
          <w:jc w:val="center"/>
        </w:trPr>
        <w:tc>
          <w:tcPr>
            <w:tcW w:w="7921" w:type="dxa"/>
          </w:tcPr>
          <w:p w14:paraId="684DBA35" w14:textId="77777777" w:rsidR="00D904EF" w:rsidRPr="00A52AB8" w:rsidRDefault="00D904EF" w:rsidP="00C50E43">
            <w:pPr>
              <w:spacing w:before="20" w:after="20"/>
              <w:rPr>
                <w:b/>
                <w:color w:val="000000" w:themeColor="text1"/>
                <w:sz w:val="20"/>
                <w:szCs w:val="20"/>
              </w:rPr>
            </w:pPr>
            <w:r w:rsidRPr="00A52AB8">
              <w:rPr>
                <w:b/>
                <w:color w:val="000000" w:themeColor="text1"/>
                <w:sz w:val="20"/>
                <w:szCs w:val="20"/>
              </w:rPr>
              <w:tab/>
            </w:r>
            <w:r w:rsidRPr="00A52AB8">
              <w:rPr>
                <w:b/>
                <w:color w:val="000000" w:themeColor="text1"/>
                <w:sz w:val="20"/>
                <w:szCs w:val="20"/>
              </w:rPr>
              <w:tab/>
              <w:t>os_instance_index</w:t>
            </w:r>
            <w:r w:rsidRPr="00A52AB8">
              <w:rPr>
                <w:bCs/>
                <w:color w:val="000000" w:themeColor="text1"/>
                <w:sz w:val="20"/>
                <w:szCs w:val="20"/>
              </w:rPr>
              <w:t>[ i ]</w:t>
            </w:r>
          </w:p>
        </w:tc>
        <w:tc>
          <w:tcPr>
            <w:tcW w:w="1287" w:type="dxa"/>
          </w:tcPr>
          <w:p w14:paraId="08ED62CB" w14:textId="77777777" w:rsidR="00D904EF" w:rsidRPr="00A52AB8" w:rsidRDefault="00D904EF" w:rsidP="00C50E43">
            <w:pPr>
              <w:spacing w:before="20" w:after="20"/>
              <w:jc w:val="center"/>
              <w:rPr>
                <w:color w:val="000000" w:themeColor="text1"/>
                <w:sz w:val="20"/>
                <w:szCs w:val="20"/>
              </w:rPr>
            </w:pPr>
            <w:r w:rsidRPr="00A52AB8">
              <w:rPr>
                <w:color w:val="000000" w:themeColor="text1"/>
                <w:sz w:val="20"/>
                <w:szCs w:val="20"/>
              </w:rPr>
              <w:t>u(8)</w:t>
            </w:r>
          </w:p>
        </w:tc>
      </w:tr>
      <w:tr w:rsidR="00D904EF" w:rsidRPr="00A52AB8" w14:paraId="5151E756" w14:textId="77777777" w:rsidTr="004A7026">
        <w:trPr>
          <w:jc w:val="center"/>
        </w:trPr>
        <w:tc>
          <w:tcPr>
            <w:tcW w:w="7921" w:type="dxa"/>
          </w:tcPr>
          <w:p w14:paraId="3FBCCC69" w14:textId="552D3EBB" w:rsidR="00D904EF" w:rsidRPr="00A52AB8" w:rsidRDefault="00D904EF" w:rsidP="00C50E43">
            <w:pPr>
              <w:spacing w:before="20" w:after="20"/>
              <w:rPr>
                <w:bCs/>
                <w:color w:val="000000" w:themeColor="text1"/>
                <w:sz w:val="20"/>
                <w:szCs w:val="20"/>
              </w:rPr>
            </w:pPr>
            <w:r w:rsidRPr="00A52AB8">
              <w:rPr>
                <w:b/>
                <w:color w:val="000000" w:themeColor="text1"/>
                <w:sz w:val="20"/>
                <w:szCs w:val="20"/>
              </w:rPr>
              <w:tab/>
            </w:r>
            <w:r w:rsidRPr="00A52AB8">
              <w:rPr>
                <w:b/>
                <w:color w:val="000000" w:themeColor="text1"/>
                <w:sz w:val="20"/>
                <w:szCs w:val="20"/>
              </w:rPr>
              <w:tab/>
            </w:r>
            <w:r w:rsidRPr="00A52AB8">
              <w:rPr>
                <w:bCs/>
                <w:color w:val="000000" w:themeColor="text1"/>
                <w:sz w:val="20"/>
                <w:szCs w:val="20"/>
              </w:rPr>
              <w:t>k</w:t>
            </w:r>
            <w:r w:rsidR="0023721F" w:rsidRPr="00A52AB8">
              <w:rPr>
                <w:bCs/>
                <w:color w:val="000000" w:themeColor="text1"/>
                <w:sz w:val="20"/>
                <w:szCs w:val="20"/>
              </w:rPr>
              <w:t> </w:t>
            </w:r>
            <w:r w:rsidR="00D47707" w:rsidRPr="00A52AB8">
              <w:rPr>
                <w:bCs/>
                <w:color w:val="000000" w:themeColor="text1"/>
                <w:sz w:val="20"/>
                <w:szCs w:val="20"/>
              </w:rPr>
              <w:t>= </w:t>
            </w:r>
            <w:r w:rsidRPr="00A52AB8">
              <w:rPr>
                <w:bCs/>
                <w:color w:val="000000" w:themeColor="text1"/>
                <w:sz w:val="20"/>
                <w:szCs w:val="20"/>
              </w:rPr>
              <w:t>os_instance_index[ i ]</w:t>
            </w:r>
          </w:p>
        </w:tc>
        <w:tc>
          <w:tcPr>
            <w:tcW w:w="1287" w:type="dxa"/>
          </w:tcPr>
          <w:p w14:paraId="48FA9C7B" w14:textId="77777777" w:rsidR="00D904EF" w:rsidRPr="00A52AB8" w:rsidRDefault="00D904EF" w:rsidP="00C50E43">
            <w:pPr>
              <w:spacing w:before="20" w:after="20"/>
              <w:jc w:val="center"/>
              <w:rPr>
                <w:color w:val="000000" w:themeColor="text1"/>
                <w:sz w:val="20"/>
                <w:szCs w:val="20"/>
              </w:rPr>
            </w:pPr>
          </w:p>
        </w:tc>
      </w:tr>
      <w:tr w:rsidR="00D904EF" w:rsidRPr="00A52AB8" w14:paraId="01CA8E89" w14:textId="77777777" w:rsidTr="004A7026">
        <w:trPr>
          <w:jc w:val="center"/>
        </w:trPr>
        <w:tc>
          <w:tcPr>
            <w:tcW w:w="7921" w:type="dxa"/>
          </w:tcPr>
          <w:p w14:paraId="4E24A11D" w14:textId="77777777" w:rsidR="00D904EF" w:rsidRPr="00A52AB8" w:rsidRDefault="00D904EF" w:rsidP="00C50E43">
            <w:pPr>
              <w:spacing w:before="20" w:after="20"/>
              <w:rPr>
                <w:b/>
                <w:color w:val="000000" w:themeColor="text1"/>
                <w:sz w:val="20"/>
                <w:szCs w:val="20"/>
              </w:rPr>
            </w:pPr>
            <w:r w:rsidRPr="00A52AB8">
              <w:rPr>
                <w:b/>
                <w:color w:val="000000" w:themeColor="text1"/>
                <w:sz w:val="20"/>
                <w:szCs w:val="20"/>
              </w:rPr>
              <w:tab/>
            </w:r>
            <w:r w:rsidRPr="00A52AB8">
              <w:rPr>
                <w:b/>
                <w:color w:val="000000" w:themeColor="text1"/>
                <w:sz w:val="20"/>
                <w:szCs w:val="20"/>
              </w:rPr>
              <w:tab/>
              <w:t>os_instance_cancel_flag</w:t>
            </w:r>
            <w:r w:rsidRPr="00A52AB8">
              <w:rPr>
                <w:bCs/>
                <w:color w:val="000000" w:themeColor="text1"/>
                <w:sz w:val="20"/>
                <w:szCs w:val="20"/>
              </w:rPr>
              <w:t>[ k ]</w:t>
            </w:r>
          </w:p>
        </w:tc>
        <w:tc>
          <w:tcPr>
            <w:tcW w:w="1287" w:type="dxa"/>
          </w:tcPr>
          <w:p w14:paraId="6E45AB53" w14:textId="77777777" w:rsidR="00D904EF" w:rsidRPr="00A52AB8" w:rsidRDefault="00D904EF" w:rsidP="00C50E43">
            <w:pPr>
              <w:spacing w:before="20" w:after="20"/>
              <w:jc w:val="center"/>
              <w:rPr>
                <w:color w:val="000000" w:themeColor="text1"/>
                <w:sz w:val="20"/>
                <w:szCs w:val="20"/>
              </w:rPr>
            </w:pPr>
            <w:r w:rsidRPr="00A52AB8">
              <w:rPr>
                <w:color w:val="000000" w:themeColor="text1"/>
                <w:sz w:val="20"/>
                <w:szCs w:val="20"/>
              </w:rPr>
              <w:t>u(1)</w:t>
            </w:r>
          </w:p>
        </w:tc>
      </w:tr>
      <w:tr w:rsidR="00D904EF" w:rsidRPr="00A52AB8" w14:paraId="66DAC526" w14:textId="77777777" w:rsidTr="004A7026">
        <w:trPr>
          <w:jc w:val="center"/>
        </w:trPr>
        <w:tc>
          <w:tcPr>
            <w:tcW w:w="7921" w:type="dxa"/>
          </w:tcPr>
          <w:p w14:paraId="52CAC927" w14:textId="1818E5B1" w:rsidR="00D904EF" w:rsidRPr="00A52AB8" w:rsidRDefault="00D904EF" w:rsidP="00C50E43">
            <w:pPr>
              <w:spacing w:before="20" w:after="20"/>
              <w:rPr>
                <w:bCs/>
                <w:color w:val="000000" w:themeColor="text1"/>
                <w:sz w:val="20"/>
                <w:szCs w:val="20"/>
              </w:rPr>
            </w:pPr>
            <w:r w:rsidRPr="00A52AB8">
              <w:rPr>
                <w:bCs/>
                <w:color w:val="000000" w:themeColor="text1"/>
                <w:sz w:val="20"/>
                <w:szCs w:val="20"/>
              </w:rPr>
              <w:tab/>
            </w:r>
            <w:r w:rsidRPr="00A52AB8">
              <w:rPr>
                <w:bCs/>
                <w:color w:val="000000" w:themeColor="text1"/>
                <w:sz w:val="20"/>
                <w:szCs w:val="20"/>
              </w:rPr>
              <w:tab/>
              <w:t>if( os_instance_cancel_flag[ k ] </w:t>
            </w:r>
            <w:r w:rsidR="00E963F3" w:rsidRPr="00A52AB8">
              <w:rPr>
                <w:bCs/>
                <w:color w:val="000000" w:themeColor="text1"/>
                <w:sz w:val="20"/>
                <w:szCs w:val="20"/>
              </w:rPr>
              <w:t>!=</w:t>
            </w:r>
            <w:r w:rsidR="00D47707" w:rsidRPr="00A52AB8">
              <w:rPr>
                <w:bCs/>
                <w:color w:val="000000" w:themeColor="text1"/>
                <w:sz w:val="20"/>
                <w:szCs w:val="20"/>
              </w:rPr>
              <w:t> </w:t>
            </w:r>
            <w:r w:rsidRPr="00A52AB8">
              <w:rPr>
                <w:bCs/>
                <w:color w:val="000000" w:themeColor="text1"/>
                <w:sz w:val="20"/>
                <w:szCs w:val="20"/>
              </w:rPr>
              <w:t>1 </w:t>
            </w:r>
            <w:r w:rsidR="008F1F82" w:rsidRPr="00A52AB8">
              <w:rPr>
                <w:bCs/>
                <w:color w:val="000000" w:themeColor="text1"/>
                <w:sz w:val="20"/>
                <w:szCs w:val="20"/>
              </w:rPr>
              <w:t>) {</w:t>
            </w:r>
          </w:p>
        </w:tc>
        <w:tc>
          <w:tcPr>
            <w:tcW w:w="1287" w:type="dxa"/>
          </w:tcPr>
          <w:p w14:paraId="4893BD87" w14:textId="77777777" w:rsidR="00D904EF" w:rsidRPr="00A52AB8" w:rsidRDefault="00D904EF" w:rsidP="00C50E43">
            <w:pPr>
              <w:spacing w:before="20" w:after="20"/>
              <w:jc w:val="center"/>
              <w:rPr>
                <w:bCs/>
                <w:color w:val="000000" w:themeColor="text1"/>
                <w:sz w:val="20"/>
                <w:szCs w:val="20"/>
              </w:rPr>
            </w:pPr>
          </w:p>
        </w:tc>
      </w:tr>
      <w:tr w:rsidR="00D904EF" w:rsidRPr="00A52AB8" w14:paraId="15FBE4D6" w14:textId="77777777" w:rsidTr="004A7026">
        <w:trPr>
          <w:jc w:val="center"/>
        </w:trPr>
        <w:tc>
          <w:tcPr>
            <w:tcW w:w="7921" w:type="dxa"/>
          </w:tcPr>
          <w:p w14:paraId="71CA2C3A" w14:textId="77777777" w:rsidR="00D904EF" w:rsidRPr="00A52AB8" w:rsidRDefault="00D904EF" w:rsidP="00C50E43">
            <w:pPr>
              <w:spacing w:before="20" w:after="20"/>
              <w:rPr>
                <w:b/>
                <w:color w:val="000000" w:themeColor="text1"/>
                <w:sz w:val="20"/>
                <w:szCs w:val="20"/>
              </w:rPr>
            </w:pPr>
            <w:r w:rsidRPr="00A52AB8">
              <w:rPr>
                <w:b/>
                <w:color w:val="000000" w:themeColor="text1"/>
                <w:sz w:val="20"/>
                <w:szCs w:val="20"/>
              </w:rPr>
              <w:tab/>
            </w:r>
            <w:r w:rsidRPr="00A52AB8">
              <w:rPr>
                <w:b/>
                <w:color w:val="000000" w:themeColor="text1"/>
                <w:sz w:val="20"/>
                <w:szCs w:val="20"/>
              </w:rPr>
              <w:tab/>
            </w:r>
            <w:r w:rsidRPr="00A52AB8">
              <w:rPr>
                <w:b/>
                <w:color w:val="000000" w:themeColor="text1"/>
                <w:sz w:val="20"/>
                <w:szCs w:val="20"/>
              </w:rPr>
              <w:tab/>
              <w:t>os_method_type</w:t>
            </w:r>
            <w:r w:rsidRPr="00A52AB8">
              <w:rPr>
                <w:bCs/>
                <w:color w:val="000000" w:themeColor="text1"/>
                <w:sz w:val="20"/>
                <w:szCs w:val="20"/>
              </w:rPr>
              <w:t>[ k ]</w:t>
            </w:r>
          </w:p>
        </w:tc>
        <w:tc>
          <w:tcPr>
            <w:tcW w:w="1287" w:type="dxa"/>
          </w:tcPr>
          <w:p w14:paraId="740F9CB6" w14:textId="77777777" w:rsidR="00D904EF" w:rsidRPr="00A52AB8" w:rsidRDefault="00D904EF" w:rsidP="00C50E43">
            <w:pPr>
              <w:spacing w:before="20" w:after="20"/>
              <w:jc w:val="center"/>
              <w:rPr>
                <w:color w:val="000000" w:themeColor="text1"/>
                <w:sz w:val="20"/>
                <w:szCs w:val="20"/>
              </w:rPr>
            </w:pPr>
            <w:r w:rsidRPr="00A52AB8">
              <w:rPr>
                <w:color w:val="000000" w:themeColor="text1"/>
                <w:sz w:val="20"/>
                <w:szCs w:val="20"/>
              </w:rPr>
              <w:t>ue(v)</w:t>
            </w:r>
          </w:p>
        </w:tc>
      </w:tr>
      <w:tr w:rsidR="00D904EF" w:rsidRPr="00A52AB8" w14:paraId="479D0CBE" w14:textId="77777777" w:rsidTr="004A7026">
        <w:trPr>
          <w:jc w:val="center"/>
        </w:trPr>
        <w:tc>
          <w:tcPr>
            <w:tcW w:w="7921" w:type="dxa"/>
          </w:tcPr>
          <w:p w14:paraId="7B869CD0" w14:textId="39C40CE2" w:rsidR="00D904EF" w:rsidRPr="00A52AB8" w:rsidRDefault="00D904EF" w:rsidP="00C50E43">
            <w:pPr>
              <w:spacing w:before="20" w:after="20"/>
              <w:rPr>
                <w:color w:val="000000" w:themeColor="text1"/>
                <w:sz w:val="20"/>
                <w:szCs w:val="20"/>
              </w:rPr>
            </w:pPr>
            <w:r w:rsidRPr="00A52AB8">
              <w:rPr>
                <w:color w:val="000000" w:themeColor="text1"/>
                <w:sz w:val="20"/>
                <w:szCs w:val="20"/>
              </w:rPr>
              <w:tab/>
            </w:r>
            <w:r w:rsidRPr="00A52AB8">
              <w:rPr>
                <w:color w:val="000000" w:themeColor="text1"/>
                <w:sz w:val="20"/>
                <w:szCs w:val="20"/>
              </w:rPr>
              <w:tab/>
            </w:r>
            <w:r w:rsidRPr="00A52AB8">
              <w:rPr>
                <w:color w:val="000000" w:themeColor="text1"/>
                <w:sz w:val="20"/>
                <w:szCs w:val="20"/>
              </w:rPr>
              <w:tab/>
              <w:t>if( os_method_type[ k ]</w:t>
            </w:r>
            <w:r w:rsidR="008768E9" w:rsidRPr="00A52AB8">
              <w:rPr>
                <w:color w:val="000000" w:themeColor="text1"/>
                <w:sz w:val="20"/>
                <w:szCs w:val="20"/>
              </w:rPr>
              <w:t> </w:t>
            </w:r>
            <w:r w:rsidR="00726AAE" w:rsidRPr="00A52AB8">
              <w:rPr>
                <w:color w:val="000000" w:themeColor="text1"/>
                <w:sz w:val="20"/>
                <w:szCs w:val="20"/>
              </w:rPr>
              <w:t>==</w:t>
            </w:r>
            <w:r w:rsidR="00D47707" w:rsidRPr="00A52AB8">
              <w:rPr>
                <w:color w:val="000000" w:themeColor="text1"/>
                <w:sz w:val="20"/>
                <w:szCs w:val="20"/>
              </w:rPr>
              <w:t> </w:t>
            </w:r>
            <w:r w:rsidRPr="00A52AB8">
              <w:rPr>
                <w:color w:val="000000" w:themeColor="text1"/>
                <w:sz w:val="20"/>
                <w:szCs w:val="20"/>
              </w:rPr>
              <w:t xml:space="preserve">1 </w:t>
            </w:r>
            <w:r w:rsidR="008F1F82" w:rsidRPr="00A52AB8">
              <w:rPr>
                <w:color w:val="000000" w:themeColor="text1"/>
                <w:sz w:val="20"/>
                <w:szCs w:val="20"/>
              </w:rPr>
              <w:t>) {</w:t>
            </w:r>
          </w:p>
        </w:tc>
        <w:tc>
          <w:tcPr>
            <w:tcW w:w="1287" w:type="dxa"/>
          </w:tcPr>
          <w:p w14:paraId="763AC4CE" w14:textId="77777777" w:rsidR="00D904EF" w:rsidRPr="00A52AB8" w:rsidRDefault="00D904EF" w:rsidP="00C50E43">
            <w:pPr>
              <w:spacing w:before="20" w:after="20"/>
              <w:jc w:val="center"/>
              <w:rPr>
                <w:color w:val="000000" w:themeColor="text1"/>
                <w:sz w:val="20"/>
                <w:szCs w:val="20"/>
              </w:rPr>
            </w:pPr>
          </w:p>
        </w:tc>
      </w:tr>
      <w:tr w:rsidR="00D904EF" w:rsidRPr="00A52AB8" w14:paraId="759883CD" w14:textId="77777777" w:rsidTr="004A7026">
        <w:trPr>
          <w:jc w:val="center"/>
        </w:trPr>
        <w:tc>
          <w:tcPr>
            <w:tcW w:w="7921" w:type="dxa"/>
          </w:tcPr>
          <w:p w14:paraId="6EFEC33E" w14:textId="77777777" w:rsidR="00D904EF" w:rsidRPr="00A52AB8" w:rsidRDefault="00D904EF" w:rsidP="00C50E43">
            <w:pPr>
              <w:spacing w:before="20" w:after="20"/>
              <w:rPr>
                <w:b/>
                <w:bCs/>
                <w:color w:val="000000" w:themeColor="text1"/>
                <w:sz w:val="20"/>
                <w:szCs w:val="20"/>
              </w:rPr>
            </w:pPr>
            <w:r w:rsidRPr="00A52AB8">
              <w:rPr>
                <w:color w:val="000000" w:themeColor="text1"/>
                <w:sz w:val="20"/>
                <w:szCs w:val="20"/>
              </w:rPr>
              <w:tab/>
            </w:r>
            <w:r w:rsidRPr="00A52AB8">
              <w:rPr>
                <w:color w:val="000000" w:themeColor="text1"/>
                <w:sz w:val="20"/>
                <w:szCs w:val="20"/>
              </w:rPr>
              <w:tab/>
            </w:r>
            <w:r w:rsidRPr="00A52AB8">
              <w:rPr>
                <w:color w:val="000000" w:themeColor="text1"/>
                <w:sz w:val="20"/>
                <w:szCs w:val="20"/>
              </w:rPr>
              <w:tab/>
            </w:r>
            <w:r w:rsidRPr="00A52AB8">
              <w:rPr>
                <w:color w:val="000000" w:themeColor="text1"/>
                <w:sz w:val="20"/>
                <w:szCs w:val="20"/>
              </w:rPr>
              <w:tab/>
            </w:r>
            <w:r w:rsidRPr="00A52AB8">
              <w:rPr>
                <w:b/>
                <w:bCs/>
                <w:color w:val="000000" w:themeColor="text1"/>
                <w:sz w:val="20"/>
                <w:szCs w:val="20"/>
              </w:rPr>
              <w:t>os_log2_threshold_minus1</w:t>
            </w:r>
            <w:r w:rsidRPr="00A52AB8">
              <w:rPr>
                <w:color w:val="000000" w:themeColor="text1"/>
                <w:sz w:val="20"/>
                <w:szCs w:val="20"/>
              </w:rPr>
              <w:t>[ k ]</w:t>
            </w:r>
          </w:p>
        </w:tc>
        <w:tc>
          <w:tcPr>
            <w:tcW w:w="1287" w:type="dxa"/>
          </w:tcPr>
          <w:p w14:paraId="3E9502C8" w14:textId="77777777" w:rsidR="00D904EF" w:rsidRPr="00A52AB8" w:rsidRDefault="00D904EF" w:rsidP="00C50E43">
            <w:pPr>
              <w:spacing w:before="20" w:after="20"/>
              <w:jc w:val="center"/>
              <w:rPr>
                <w:color w:val="000000" w:themeColor="text1"/>
                <w:sz w:val="20"/>
                <w:szCs w:val="20"/>
              </w:rPr>
            </w:pPr>
            <w:r w:rsidRPr="00A52AB8">
              <w:rPr>
                <w:color w:val="000000" w:themeColor="text1"/>
                <w:sz w:val="20"/>
                <w:szCs w:val="20"/>
              </w:rPr>
              <w:t>u(2)</w:t>
            </w:r>
          </w:p>
        </w:tc>
      </w:tr>
      <w:tr w:rsidR="00D904EF" w:rsidRPr="00A52AB8" w14:paraId="12099A61" w14:textId="77777777" w:rsidTr="004A7026">
        <w:trPr>
          <w:jc w:val="center"/>
        </w:trPr>
        <w:tc>
          <w:tcPr>
            <w:tcW w:w="7921" w:type="dxa"/>
          </w:tcPr>
          <w:p w14:paraId="770544CF" w14:textId="77777777" w:rsidR="00D904EF" w:rsidRPr="00A52AB8" w:rsidRDefault="00D904EF" w:rsidP="00C50E43">
            <w:pPr>
              <w:spacing w:before="20" w:after="20"/>
              <w:rPr>
                <w:color w:val="000000" w:themeColor="text1"/>
                <w:sz w:val="20"/>
                <w:szCs w:val="20"/>
              </w:rPr>
            </w:pPr>
            <w:r w:rsidRPr="00A52AB8">
              <w:rPr>
                <w:color w:val="000000" w:themeColor="text1"/>
                <w:sz w:val="20"/>
                <w:szCs w:val="20"/>
              </w:rPr>
              <w:tab/>
            </w:r>
            <w:r w:rsidRPr="00A52AB8">
              <w:rPr>
                <w:color w:val="000000" w:themeColor="text1"/>
                <w:sz w:val="20"/>
                <w:szCs w:val="20"/>
              </w:rPr>
              <w:tab/>
            </w:r>
            <w:r w:rsidRPr="00A52AB8">
              <w:rPr>
                <w:color w:val="000000" w:themeColor="text1"/>
                <w:sz w:val="20"/>
                <w:szCs w:val="20"/>
              </w:rPr>
              <w:tab/>
            </w:r>
            <w:r w:rsidRPr="00A52AB8">
              <w:rPr>
                <w:color w:val="000000" w:themeColor="text1"/>
                <w:sz w:val="20"/>
                <w:szCs w:val="20"/>
              </w:rPr>
              <w:tab/>
            </w:r>
            <w:r w:rsidRPr="00A52AB8">
              <w:rPr>
                <w:b/>
                <w:bCs/>
                <w:color w:val="000000" w:themeColor="text1"/>
                <w:sz w:val="20"/>
                <w:szCs w:val="20"/>
              </w:rPr>
              <w:t>os_passes_count_minus1</w:t>
            </w:r>
            <w:r w:rsidRPr="00A52AB8">
              <w:rPr>
                <w:color w:val="000000" w:themeColor="text1"/>
                <w:sz w:val="20"/>
                <w:szCs w:val="20"/>
              </w:rPr>
              <w:t>[ k ]</w:t>
            </w:r>
          </w:p>
        </w:tc>
        <w:tc>
          <w:tcPr>
            <w:tcW w:w="1287" w:type="dxa"/>
          </w:tcPr>
          <w:p w14:paraId="202DA46D" w14:textId="77777777" w:rsidR="00D904EF" w:rsidRPr="00A52AB8" w:rsidRDefault="00D904EF" w:rsidP="00C50E43">
            <w:pPr>
              <w:spacing w:before="20" w:after="20"/>
              <w:jc w:val="center"/>
              <w:rPr>
                <w:color w:val="000000" w:themeColor="text1"/>
                <w:sz w:val="20"/>
                <w:szCs w:val="20"/>
              </w:rPr>
            </w:pPr>
            <w:r w:rsidRPr="00A52AB8">
              <w:rPr>
                <w:color w:val="000000" w:themeColor="text1"/>
                <w:sz w:val="20"/>
                <w:szCs w:val="20"/>
              </w:rPr>
              <w:t>u(2)</w:t>
            </w:r>
          </w:p>
        </w:tc>
      </w:tr>
      <w:tr w:rsidR="00D904EF" w:rsidRPr="00A52AB8" w14:paraId="1701DDAD" w14:textId="77777777" w:rsidTr="004A7026">
        <w:trPr>
          <w:jc w:val="center"/>
        </w:trPr>
        <w:tc>
          <w:tcPr>
            <w:tcW w:w="7921" w:type="dxa"/>
          </w:tcPr>
          <w:p w14:paraId="1574383C" w14:textId="77777777" w:rsidR="00D904EF" w:rsidRPr="00A52AB8" w:rsidRDefault="00D904EF" w:rsidP="00C50E43">
            <w:pPr>
              <w:spacing w:before="20" w:after="20"/>
              <w:rPr>
                <w:color w:val="000000" w:themeColor="text1"/>
                <w:sz w:val="20"/>
                <w:szCs w:val="20"/>
              </w:rPr>
            </w:pPr>
            <w:r w:rsidRPr="00A52AB8">
              <w:rPr>
                <w:b/>
                <w:bCs/>
                <w:color w:val="000000" w:themeColor="text1"/>
                <w:sz w:val="20"/>
                <w:szCs w:val="20"/>
              </w:rPr>
              <w:tab/>
            </w:r>
            <w:r w:rsidRPr="00A52AB8">
              <w:rPr>
                <w:b/>
                <w:bCs/>
                <w:color w:val="000000" w:themeColor="text1"/>
                <w:sz w:val="20"/>
                <w:szCs w:val="20"/>
              </w:rPr>
              <w:tab/>
            </w:r>
            <w:r w:rsidRPr="00A52AB8">
              <w:rPr>
                <w:b/>
                <w:bCs/>
                <w:color w:val="000000" w:themeColor="text1"/>
                <w:sz w:val="20"/>
                <w:szCs w:val="20"/>
              </w:rPr>
              <w:tab/>
            </w:r>
            <w:r w:rsidRPr="00A52AB8">
              <w:rPr>
                <w:b/>
                <w:bCs/>
                <w:color w:val="000000" w:themeColor="text1"/>
                <w:sz w:val="20"/>
                <w:szCs w:val="20"/>
              </w:rPr>
              <w:tab/>
              <w:t>os_filter_size_minus1</w:t>
            </w:r>
            <w:r w:rsidRPr="00A52AB8">
              <w:rPr>
                <w:color w:val="000000" w:themeColor="text1"/>
                <w:sz w:val="20"/>
                <w:szCs w:val="20"/>
              </w:rPr>
              <w:t>[ k ]</w:t>
            </w:r>
          </w:p>
        </w:tc>
        <w:tc>
          <w:tcPr>
            <w:tcW w:w="1287" w:type="dxa"/>
          </w:tcPr>
          <w:p w14:paraId="269E03BB" w14:textId="77777777" w:rsidR="00D904EF" w:rsidRPr="00A52AB8" w:rsidRDefault="00D904EF" w:rsidP="00C50E43">
            <w:pPr>
              <w:spacing w:before="20" w:after="20"/>
              <w:jc w:val="center"/>
              <w:rPr>
                <w:color w:val="000000" w:themeColor="text1"/>
                <w:sz w:val="20"/>
                <w:szCs w:val="20"/>
              </w:rPr>
            </w:pPr>
            <w:r w:rsidRPr="00A52AB8">
              <w:rPr>
                <w:color w:val="000000" w:themeColor="text1"/>
                <w:sz w:val="20"/>
                <w:szCs w:val="20"/>
              </w:rPr>
              <w:t>u(3)</w:t>
            </w:r>
          </w:p>
        </w:tc>
      </w:tr>
      <w:tr w:rsidR="00D904EF" w:rsidRPr="00A52AB8" w14:paraId="2E56C98B" w14:textId="77777777" w:rsidTr="004A7026">
        <w:trPr>
          <w:jc w:val="center"/>
        </w:trPr>
        <w:tc>
          <w:tcPr>
            <w:tcW w:w="7921" w:type="dxa"/>
          </w:tcPr>
          <w:p w14:paraId="3DA1E6ED" w14:textId="77777777" w:rsidR="00D904EF" w:rsidRPr="00A52AB8" w:rsidRDefault="00D904EF" w:rsidP="00C50E43">
            <w:pPr>
              <w:spacing w:before="20" w:after="20"/>
              <w:rPr>
                <w:color w:val="000000" w:themeColor="text1"/>
                <w:sz w:val="20"/>
                <w:szCs w:val="20"/>
              </w:rPr>
            </w:pPr>
            <w:r w:rsidRPr="00A52AB8">
              <w:rPr>
                <w:color w:val="000000" w:themeColor="text1"/>
                <w:sz w:val="20"/>
                <w:szCs w:val="20"/>
              </w:rPr>
              <w:tab/>
            </w:r>
            <w:r w:rsidRPr="00A52AB8">
              <w:rPr>
                <w:color w:val="000000" w:themeColor="text1"/>
                <w:sz w:val="20"/>
                <w:szCs w:val="20"/>
              </w:rPr>
              <w:tab/>
            </w:r>
            <w:r w:rsidRPr="00A52AB8">
              <w:rPr>
                <w:color w:val="000000" w:themeColor="text1"/>
                <w:sz w:val="20"/>
                <w:szCs w:val="20"/>
              </w:rPr>
              <w:tab/>
              <w:t>}</w:t>
            </w:r>
          </w:p>
        </w:tc>
        <w:tc>
          <w:tcPr>
            <w:tcW w:w="1287" w:type="dxa"/>
          </w:tcPr>
          <w:p w14:paraId="0724EAF7" w14:textId="77777777" w:rsidR="00D904EF" w:rsidRPr="00A52AB8" w:rsidRDefault="00D904EF" w:rsidP="00C50E43">
            <w:pPr>
              <w:spacing w:before="20" w:after="20"/>
              <w:jc w:val="center"/>
              <w:rPr>
                <w:color w:val="000000" w:themeColor="text1"/>
                <w:sz w:val="20"/>
                <w:szCs w:val="20"/>
              </w:rPr>
            </w:pPr>
          </w:p>
        </w:tc>
      </w:tr>
      <w:tr w:rsidR="00D904EF" w:rsidRPr="00A52AB8" w14:paraId="703B8DD6" w14:textId="77777777" w:rsidTr="004A7026">
        <w:trPr>
          <w:jc w:val="center"/>
        </w:trPr>
        <w:tc>
          <w:tcPr>
            <w:tcW w:w="7921" w:type="dxa"/>
          </w:tcPr>
          <w:p w14:paraId="527E9BBB" w14:textId="77777777" w:rsidR="00D904EF" w:rsidRPr="00A52AB8" w:rsidRDefault="00D904EF" w:rsidP="00C50E43">
            <w:pPr>
              <w:spacing w:before="20" w:after="20"/>
              <w:rPr>
                <w:bCs/>
                <w:color w:val="000000" w:themeColor="text1"/>
                <w:sz w:val="20"/>
                <w:szCs w:val="20"/>
              </w:rPr>
            </w:pPr>
            <w:r w:rsidRPr="00A52AB8">
              <w:rPr>
                <w:bCs/>
                <w:color w:val="000000" w:themeColor="text1"/>
                <w:sz w:val="20"/>
                <w:szCs w:val="20"/>
              </w:rPr>
              <w:tab/>
            </w:r>
            <w:r w:rsidRPr="00A52AB8">
              <w:rPr>
                <w:bCs/>
                <w:color w:val="000000" w:themeColor="text1"/>
                <w:sz w:val="20"/>
                <w:szCs w:val="20"/>
              </w:rPr>
              <w:tab/>
              <w:t>}</w:t>
            </w:r>
          </w:p>
        </w:tc>
        <w:tc>
          <w:tcPr>
            <w:tcW w:w="1287" w:type="dxa"/>
          </w:tcPr>
          <w:p w14:paraId="5E2944A6" w14:textId="77777777" w:rsidR="00D904EF" w:rsidRPr="00A52AB8" w:rsidRDefault="00D904EF" w:rsidP="00C50E43">
            <w:pPr>
              <w:spacing w:before="20" w:after="20"/>
              <w:jc w:val="center"/>
              <w:rPr>
                <w:color w:val="000000" w:themeColor="text1"/>
                <w:sz w:val="20"/>
                <w:szCs w:val="20"/>
              </w:rPr>
            </w:pPr>
          </w:p>
        </w:tc>
      </w:tr>
      <w:tr w:rsidR="00D904EF" w:rsidRPr="00A52AB8" w14:paraId="6CFDAFF6" w14:textId="77777777" w:rsidTr="004A7026">
        <w:trPr>
          <w:jc w:val="center"/>
        </w:trPr>
        <w:tc>
          <w:tcPr>
            <w:tcW w:w="7921" w:type="dxa"/>
          </w:tcPr>
          <w:p w14:paraId="37BD3C69" w14:textId="77777777" w:rsidR="00D904EF" w:rsidRPr="00A52AB8" w:rsidRDefault="00D904EF" w:rsidP="00C50E43">
            <w:pPr>
              <w:spacing w:before="20" w:after="20"/>
              <w:rPr>
                <w:bCs/>
                <w:color w:val="000000" w:themeColor="text1"/>
                <w:sz w:val="20"/>
                <w:szCs w:val="20"/>
              </w:rPr>
            </w:pPr>
            <w:r w:rsidRPr="00A52AB8">
              <w:rPr>
                <w:bCs/>
                <w:color w:val="000000" w:themeColor="text1"/>
                <w:sz w:val="20"/>
                <w:szCs w:val="20"/>
              </w:rPr>
              <w:tab/>
              <w:t>}</w:t>
            </w:r>
          </w:p>
        </w:tc>
        <w:tc>
          <w:tcPr>
            <w:tcW w:w="1287" w:type="dxa"/>
          </w:tcPr>
          <w:p w14:paraId="71C350BF" w14:textId="77777777" w:rsidR="00D904EF" w:rsidRPr="00A52AB8" w:rsidRDefault="00D904EF" w:rsidP="00C50E43">
            <w:pPr>
              <w:spacing w:before="20" w:after="20"/>
              <w:jc w:val="center"/>
              <w:rPr>
                <w:color w:val="000000" w:themeColor="text1"/>
                <w:sz w:val="20"/>
                <w:szCs w:val="20"/>
              </w:rPr>
            </w:pPr>
          </w:p>
        </w:tc>
      </w:tr>
      <w:tr w:rsidR="00D904EF" w:rsidRPr="00A52AB8" w14:paraId="06451270" w14:textId="77777777" w:rsidTr="004A7026">
        <w:trPr>
          <w:jc w:val="center"/>
        </w:trPr>
        <w:tc>
          <w:tcPr>
            <w:tcW w:w="7921" w:type="dxa"/>
          </w:tcPr>
          <w:p w14:paraId="5B5464E1" w14:textId="77777777" w:rsidR="00D904EF" w:rsidRPr="00A52AB8" w:rsidRDefault="00D904EF" w:rsidP="00C50E43">
            <w:pPr>
              <w:spacing w:before="20" w:after="20"/>
              <w:rPr>
                <w:bCs/>
                <w:color w:val="000000" w:themeColor="text1"/>
                <w:sz w:val="20"/>
                <w:szCs w:val="20"/>
              </w:rPr>
            </w:pPr>
            <w:r w:rsidRPr="00A52AB8">
              <w:rPr>
                <w:bCs/>
                <w:color w:val="000000" w:themeColor="text1"/>
                <w:sz w:val="20"/>
                <w:szCs w:val="20"/>
              </w:rPr>
              <w:t>}</w:t>
            </w:r>
          </w:p>
        </w:tc>
        <w:tc>
          <w:tcPr>
            <w:tcW w:w="1287" w:type="dxa"/>
          </w:tcPr>
          <w:p w14:paraId="4FAEF6F6" w14:textId="77777777" w:rsidR="00D904EF" w:rsidRPr="00A52AB8" w:rsidRDefault="00D904EF" w:rsidP="00C50E43">
            <w:pPr>
              <w:spacing w:before="20" w:after="20"/>
              <w:jc w:val="center"/>
              <w:rPr>
                <w:color w:val="000000" w:themeColor="text1"/>
                <w:sz w:val="20"/>
                <w:szCs w:val="20"/>
              </w:rPr>
            </w:pPr>
          </w:p>
        </w:tc>
      </w:tr>
    </w:tbl>
    <w:p w14:paraId="4B830C4B" w14:textId="77777777" w:rsidR="00C61E38" w:rsidRPr="00A52AB8" w:rsidRDefault="00D904EF" w:rsidP="00EE3D19">
      <w:pPr>
        <w:pStyle w:val="a3"/>
        <w:numPr>
          <w:ilvl w:val="3"/>
          <w:numId w:val="14"/>
        </w:numPr>
        <w:tabs>
          <w:tab w:val="clear" w:pos="403"/>
        </w:tabs>
        <w:outlineLvl w:val="3"/>
      </w:pPr>
      <w:bookmarkStart w:id="7310" w:name="_Toc52181839"/>
      <w:r w:rsidRPr="00A52AB8">
        <w:t>Geometry smoothing SEI message syntax</w:t>
      </w:r>
      <w:bookmarkEnd w:id="7310"/>
    </w:p>
    <w:tbl>
      <w:tblPr>
        <w:tblStyle w:val="TableGrid"/>
        <w:tblW w:w="5000" w:type="pct"/>
        <w:jc w:val="center"/>
        <w:tblLook w:val="04A0" w:firstRow="1" w:lastRow="0" w:firstColumn="1" w:lastColumn="0" w:noHBand="0" w:noVBand="1"/>
      </w:tblPr>
      <w:tblGrid>
        <w:gridCol w:w="8380"/>
        <w:gridCol w:w="1362"/>
      </w:tblGrid>
      <w:tr w:rsidR="00D904EF" w:rsidRPr="00A52AB8" w14:paraId="4E23D150" w14:textId="77777777" w:rsidTr="004A7026">
        <w:trPr>
          <w:jc w:val="center"/>
        </w:trPr>
        <w:tc>
          <w:tcPr>
            <w:tcW w:w="7921" w:type="dxa"/>
          </w:tcPr>
          <w:p w14:paraId="2E180689" w14:textId="312F0734" w:rsidR="00D904EF" w:rsidRPr="00A52AB8" w:rsidRDefault="00D904EF" w:rsidP="00C50E43">
            <w:pPr>
              <w:spacing w:before="20" w:after="20"/>
              <w:rPr>
                <w:color w:val="000000" w:themeColor="text1"/>
                <w:sz w:val="20"/>
                <w:szCs w:val="20"/>
              </w:rPr>
            </w:pPr>
            <w:r w:rsidRPr="00A52AB8">
              <w:rPr>
                <w:bCs/>
                <w:color w:val="000000" w:themeColor="text1"/>
                <w:sz w:val="20"/>
                <w:szCs w:val="20"/>
              </w:rPr>
              <w:t>geometry_smoothing</w:t>
            </w:r>
            <w:r w:rsidRPr="00A52AB8">
              <w:rPr>
                <w:color w:val="000000" w:themeColor="text1"/>
                <w:sz w:val="20"/>
                <w:szCs w:val="20"/>
              </w:rPr>
              <w:t>( </w:t>
            </w:r>
            <w:r w:rsidRPr="00A52AB8">
              <w:rPr>
                <w:rFonts w:eastAsia="Malgun Gothic"/>
                <w:sz w:val="20"/>
                <w:szCs w:val="20"/>
              </w:rPr>
              <w:t>payloadSize</w:t>
            </w:r>
            <w:r w:rsidRPr="00A52AB8">
              <w:rPr>
                <w:color w:val="000000" w:themeColor="text1"/>
                <w:sz w:val="20"/>
                <w:szCs w:val="20"/>
              </w:rPr>
              <w:t> </w:t>
            </w:r>
            <w:r w:rsidR="008F1F82" w:rsidRPr="00A52AB8">
              <w:rPr>
                <w:color w:val="000000" w:themeColor="text1"/>
                <w:sz w:val="20"/>
                <w:szCs w:val="20"/>
              </w:rPr>
              <w:t>) {</w:t>
            </w:r>
          </w:p>
        </w:tc>
        <w:tc>
          <w:tcPr>
            <w:tcW w:w="1287" w:type="dxa"/>
          </w:tcPr>
          <w:p w14:paraId="6ABF7621" w14:textId="77777777" w:rsidR="00D904EF" w:rsidRPr="00A52AB8" w:rsidRDefault="00D904EF" w:rsidP="00C50E43">
            <w:pPr>
              <w:spacing w:before="20" w:after="20"/>
              <w:jc w:val="center"/>
              <w:rPr>
                <w:b/>
                <w:color w:val="000000" w:themeColor="text1"/>
                <w:sz w:val="20"/>
                <w:szCs w:val="20"/>
              </w:rPr>
            </w:pPr>
            <w:r w:rsidRPr="00A52AB8">
              <w:rPr>
                <w:b/>
                <w:color w:val="000000" w:themeColor="text1"/>
                <w:sz w:val="20"/>
                <w:szCs w:val="20"/>
              </w:rPr>
              <w:t>Descriptor</w:t>
            </w:r>
          </w:p>
        </w:tc>
      </w:tr>
      <w:tr w:rsidR="00D904EF" w:rsidRPr="00A52AB8" w14:paraId="6D624799" w14:textId="77777777" w:rsidTr="004A7026">
        <w:trPr>
          <w:jc w:val="center"/>
        </w:trPr>
        <w:tc>
          <w:tcPr>
            <w:tcW w:w="7921" w:type="dxa"/>
          </w:tcPr>
          <w:p w14:paraId="4F21D788" w14:textId="77777777" w:rsidR="00D904EF" w:rsidRPr="00A52AB8" w:rsidRDefault="00D904EF" w:rsidP="00C50E43">
            <w:pPr>
              <w:spacing w:before="20" w:after="20"/>
              <w:rPr>
                <w:b/>
                <w:color w:val="000000" w:themeColor="text1"/>
                <w:sz w:val="20"/>
                <w:szCs w:val="20"/>
              </w:rPr>
            </w:pPr>
            <w:r w:rsidRPr="00A52AB8">
              <w:rPr>
                <w:b/>
                <w:color w:val="000000" w:themeColor="text1"/>
                <w:sz w:val="20"/>
                <w:szCs w:val="20"/>
              </w:rPr>
              <w:tab/>
              <w:t>gs_persistence_flag</w:t>
            </w:r>
          </w:p>
        </w:tc>
        <w:tc>
          <w:tcPr>
            <w:tcW w:w="1287" w:type="dxa"/>
          </w:tcPr>
          <w:p w14:paraId="605664B4" w14:textId="77777777" w:rsidR="00D904EF" w:rsidRPr="00A52AB8" w:rsidRDefault="00D904EF" w:rsidP="00C50E43">
            <w:pPr>
              <w:spacing w:before="20" w:after="20"/>
              <w:jc w:val="center"/>
              <w:rPr>
                <w:color w:val="000000" w:themeColor="text1"/>
                <w:sz w:val="20"/>
                <w:szCs w:val="20"/>
              </w:rPr>
            </w:pPr>
            <w:r w:rsidRPr="00A52AB8">
              <w:rPr>
                <w:color w:val="000000" w:themeColor="text1"/>
                <w:sz w:val="20"/>
                <w:szCs w:val="20"/>
              </w:rPr>
              <w:t>u(1)</w:t>
            </w:r>
          </w:p>
        </w:tc>
      </w:tr>
      <w:tr w:rsidR="00D904EF" w:rsidRPr="00A52AB8" w14:paraId="522C2F2A" w14:textId="77777777" w:rsidTr="004A7026">
        <w:trPr>
          <w:jc w:val="center"/>
        </w:trPr>
        <w:tc>
          <w:tcPr>
            <w:tcW w:w="7921" w:type="dxa"/>
          </w:tcPr>
          <w:p w14:paraId="6E619C3C" w14:textId="77777777" w:rsidR="00D904EF" w:rsidRPr="00A52AB8" w:rsidRDefault="00D904EF" w:rsidP="00C50E43">
            <w:pPr>
              <w:spacing w:before="20" w:after="20"/>
              <w:rPr>
                <w:b/>
                <w:color w:val="000000" w:themeColor="text1"/>
                <w:sz w:val="20"/>
                <w:szCs w:val="20"/>
              </w:rPr>
            </w:pPr>
            <w:r w:rsidRPr="00A52AB8">
              <w:rPr>
                <w:b/>
                <w:color w:val="000000" w:themeColor="text1"/>
                <w:sz w:val="20"/>
                <w:szCs w:val="20"/>
              </w:rPr>
              <w:tab/>
              <w:t>gs_reset_flag</w:t>
            </w:r>
          </w:p>
        </w:tc>
        <w:tc>
          <w:tcPr>
            <w:tcW w:w="1287" w:type="dxa"/>
          </w:tcPr>
          <w:p w14:paraId="31B39A1E" w14:textId="77777777" w:rsidR="00D904EF" w:rsidRPr="00A52AB8" w:rsidRDefault="00D904EF" w:rsidP="00C50E43">
            <w:pPr>
              <w:spacing w:before="20" w:after="20"/>
              <w:jc w:val="center"/>
              <w:rPr>
                <w:color w:val="000000" w:themeColor="text1"/>
                <w:sz w:val="20"/>
                <w:szCs w:val="20"/>
              </w:rPr>
            </w:pPr>
            <w:r w:rsidRPr="00A52AB8">
              <w:rPr>
                <w:color w:val="000000" w:themeColor="text1"/>
                <w:sz w:val="20"/>
                <w:szCs w:val="20"/>
              </w:rPr>
              <w:t>u(1)</w:t>
            </w:r>
          </w:p>
        </w:tc>
      </w:tr>
      <w:tr w:rsidR="00D904EF" w:rsidRPr="00A52AB8" w14:paraId="43820EAC" w14:textId="77777777" w:rsidTr="004A7026">
        <w:trPr>
          <w:jc w:val="center"/>
        </w:trPr>
        <w:tc>
          <w:tcPr>
            <w:tcW w:w="7921" w:type="dxa"/>
          </w:tcPr>
          <w:p w14:paraId="041A35EE" w14:textId="77777777" w:rsidR="00D904EF" w:rsidRPr="00A52AB8" w:rsidRDefault="00D904EF" w:rsidP="00C50E43">
            <w:pPr>
              <w:spacing w:before="20" w:after="20"/>
              <w:rPr>
                <w:color w:val="000000" w:themeColor="text1"/>
                <w:sz w:val="20"/>
                <w:szCs w:val="20"/>
              </w:rPr>
            </w:pPr>
            <w:r w:rsidRPr="00A52AB8">
              <w:rPr>
                <w:b/>
                <w:color w:val="000000" w:themeColor="text1"/>
                <w:sz w:val="20"/>
                <w:szCs w:val="20"/>
              </w:rPr>
              <w:tab/>
              <w:t>gs_instances_updated</w:t>
            </w:r>
          </w:p>
        </w:tc>
        <w:tc>
          <w:tcPr>
            <w:tcW w:w="1287" w:type="dxa"/>
          </w:tcPr>
          <w:p w14:paraId="7C938C80" w14:textId="77777777" w:rsidR="00D904EF" w:rsidRPr="00A52AB8" w:rsidRDefault="00D904EF" w:rsidP="00C50E43">
            <w:pPr>
              <w:spacing w:before="20" w:after="20"/>
              <w:jc w:val="center"/>
              <w:rPr>
                <w:color w:val="000000" w:themeColor="text1"/>
                <w:sz w:val="20"/>
                <w:szCs w:val="20"/>
              </w:rPr>
            </w:pPr>
            <w:r w:rsidRPr="00A52AB8">
              <w:rPr>
                <w:color w:val="000000" w:themeColor="text1"/>
                <w:sz w:val="20"/>
                <w:szCs w:val="20"/>
              </w:rPr>
              <w:t>u(8)</w:t>
            </w:r>
          </w:p>
        </w:tc>
      </w:tr>
      <w:tr w:rsidR="00D904EF" w:rsidRPr="00A52AB8" w14:paraId="313CAC03" w14:textId="77777777" w:rsidTr="004A7026">
        <w:trPr>
          <w:jc w:val="center"/>
        </w:trPr>
        <w:tc>
          <w:tcPr>
            <w:tcW w:w="7921" w:type="dxa"/>
          </w:tcPr>
          <w:p w14:paraId="6F79C635" w14:textId="1090D0B0" w:rsidR="00D904EF" w:rsidRPr="00A52AB8" w:rsidRDefault="00D904EF" w:rsidP="00C50E43">
            <w:pPr>
              <w:spacing w:before="20" w:after="20"/>
              <w:rPr>
                <w:color w:val="000000" w:themeColor="text1"/>
                <w:sz w:val="20"/>
                <w:szCs w:val="20"/>
              </w:rPr>
            </w:pPr>
            <w:r w:rsidRPr="00A52AB8">
              <w:rPr>
                <w:color w:val="000000" w:themeColor="text1"/>
                <w:sz w:val="20"/>
                <w:szCs w:val="20"/>
              </w:rPr>
              <w:tab/>
            </w:r>
            <w:r w:rsidRPr="00A52AB8">
              <w:rPr>
                <w:bCs/>
                <w:sz w:val="20"/>
                <w:szCs w:val="20"/>
              </w:rPr>
              <w:t>for( i</w:t>
            </w:r>
            <w:r w:rsidR="00D47707" w:rsidRPr="00A52AB8">
              <w:rPr>
                <w:bCs/>
                <w:sz w:val="20"/>
                <w:szCs w:val="20"/>
              </w:rPr>
              <w:t> = </w:t>
            </w:r>
            <w:r w:rsidRPr="00A52AB8">
              <w:rPr>
                <w:bCs/>
                <w:sz w:val="20"/>
                <w:szCs w:val="20"/>
              </w:rPr>
              <w:t>0; i &lt; </w:t>
            </w:r>
            <w:r w:rsidRPr="00A52AB8">
              <w:rPr>
                <w:bCs/>
                <w:color w:val="000000" w:themeColor="text1"/>
                <w:sz w:val="20"/>
                <w:szCs w:val="20"/>
              </w:rPr>
              <w:t>gs_instances_updated</w:t>
            </w:r>
            <w:r w:rsidRPr="00A52AB8">
              <w:rPr>
                <w:bCs/>
                <w:sz w:val="20"/>
                <w:szCs w:val="20"/>
              </w:rPr>
              <w:t>; i++ </w:t>
            </w:r>
            <w:r w:rsidR="008F1F82" w:rsidRPr="00A52AB8">
              <w:rPr>
                <w:bCs/>
                <w:sz w:val="20"/>
                <w:szCs w:val="20"/>
              </w:rPr>
              <w:t>) {</w:t>
            </w:r>
          </w:p>
        </w:tc>
        <w:tc>
          <w:tcPr>
            <w:tcW w:w="1287" w:type="dxa"/>
          </w:tcPr>
          <w:p w14:paraId="2DB5C469" w14:textId="77777777" w:rsidR="00D904EF" w:rsidRPr="00A52AB8" w:rsidRDefault="00D904EF" w:rsidP="00C50E43">
            <w:pPr>
              <w:spacing w:before="20" w:after="20"/>
              <w:jc w:val="center"/>
              <w:rPr>
                <w:color w:val="000000" w:themeColor="text1"/>
                <w:sz w:val="20"/>
                <w:szCs w:val="20"/>
              </w:rPr>
            </w:pPr>
          </w:p>
        </w:tc>
      </w:tr>
      <w:tr w:rsidR="00D904EF" w:rsidRPr="00A52AB8" w14:paraId="6DA0BC7D" w14:textId="77777777" w:rsidTr="004A7026">
        <w:trPr>
          <w:jc w:val="center"/>
        </w:trPr>
        <w:tc>
          <w:tcPr>
            <w:tcW w:w="7921" w:type="dxa"/>
          </w:tcPr>
          <w:p w14:paraId="7F9FCDF2" w14:textId="77777777" w:rsidR="00D904EF" w:rsidRPr="00A52AB8" w:rsidRDefault="00D904EF" w:rsidP="00C50E43">
            <w:pPr>
              <w:spacing w:before="20" w:after="20"/>
              <w:rPr>
                <w:b/>
                <w:color w:val="000000" w:themeColor="text1"/>
                <w:sz w:val="20"/>
                <w:szCs w:val="20"/>
              </w:rPr>
            </w:pPr>
            <w:r w:rsidRPr="00A52AB8">
              <w:rPr>
                <w:b/>
                <w:color w:val="000000" w:themeColor="text1"/>
                <w:sz w:val="20"/>
                <w:szCs w:val="20"/>
              </w:rPr>
              <w:tab/>
            </w:r>
            <w:r w:rsidRPr="00A52AB8">
              <w:rPr>
                <w:b/>
                <w:color w:val="000000" w:themeColor="text1"/>
                <w:sz w:val="20"/>
                <w:szCs w:val="20"/>
              </w:rPr>
              <w:tab/>
              <w:t>gs_instance_index</w:t>
            </w:r>
            <w:r w:rsidRPr="00A52AB8">
              <w:rPr>
                <w:bCs/>
                <w:color w:val="000000" w:themeColor="text1"/>
                <w:sz w:val="20"/>
                <w:szCs w:val="20"/>
              </w:rPr>
              <w:t>[ i ]</w:t>
            </w:r>
          </w:p>
        </w:tc>
        <w:tc>
          <w:tcPr>
            <w:tcW w:w="1287" w:type="dxa"/>
          </w:tcPr>
          <w:p w14:paraId="30ACBB78" w14:textId="77777777" w:rsidR="00D904EF" w:rsidRPr="00A52AB8" w:rsidRDefault="00D904EF" w:rsidP="00C50E43">
            <w:pPr>
              <w:spacing w:before="20" w:after="20"/>
              <w:jc w:val="center"/>
              <w:rPr>
                <w:color w:val="000000" w:themeColor="text1"/>
                <w:sz w:val="20"/>
                <w:szCs w:val="20"/>
              </w:rPr>
            </w:pPr>
            <w:r w:rsidRPr="00A52AB8">
              <w:rPr>
                <w:color w:val="000000" w:themeColor="text1"/>
                <w:sz w:val="20"/>
                <w:szCs w:val="20"/>
              </w:rPr>
              <w:t>u(8)</w:t>
            </w:r>
          </w:p>
        </w:tc>
      </w:tr>
      <w:tr w:rsidR="00D904EF" w:rsidRPr="00A52AB8" w14:paraId="51AB9446" w14:textId="77777777" w:rsidTr="004A7026">
        <w:trPr>
          <w:jc w:val="center"/>
        </w:trPr>
        <w:tc>
          <w:tcPr>
            <w:tcW w:w="7921" w:type="dxa"/>
          </w:tcPr>
          <w:p w14:paraId="4A6BF5B4" w14:textId="1EA2A4EA" w:rsidR="00D904EF" w:rsidRPr="00A52AB8" w:rsidRDefault="00D904EF" w:rsidP="00C50E43">
            <w:pPr>
              <w:spacing w:before="20" w:after="20"/>
              <w:rPr>
                <w:bCs/>
                <w:color w:val="000000" w:themeColor="text1"/>
                <w:sz w:val="20"/>
                <w:szCs w:val="20"/>
              </w:rPr>
            </w:pPr>
            <w:r w:rsidRPr="00A52AB8">
              <w:rPr>
                <w:b/>
                <w:color w:val="000000" w:themeColor="text1"/>
                <w:sz w:val="20"/>
                <w:szCs w:val="20"/>
              </w:rPr>
              <w:tab/>
            </w:r>
            <w:r w:rsidRPr="00A52AB8">
              <w:rPr>
                <w:b/>
                <w:color w:val="000000" w:themeColor="text1"/>
                <w:sz w:val="20"/>
                <w:szCs w:val="20"/>
              </w:rPr>
              <w:tab/>
            </w:r>
            <w:r w:rsidRPr="00A52AB8">
              <w:rPr>
                <w:bCs/>
                <w:color w:val="000000" w:themeColor="text1"/>
                <w:sz w:val="20"/>
                <w:szCs w:val="20"/>
              </w:rPr>
              <w:t>k</w:t>
            </w:r>
            <w:r w:rsidR="00D47707" w:rsidRPr="00A52AB8">
              <w:rPr>
                <w:bCs/>
                <w:color w:val="000000" w:themeColor="text1"/>
                <w:sz w:val="20"/>
                <w:szCs w:val="20"/>
              </w:rPr>
              <w:t> = </w:t>
            </w:r>
            <w:r w:rsidRPr="00A52AB8">
              <w:rPr>
                <w:bCs/>
                <w:color w:val="000000" w:themeColor="text1"/>
                <w:sz w:val="20"/>
                <w:szCs w:val="20"/>
              </w:rPr>
              <w:t>gs_instance_index[ i ]</w:t>
            </w:r>
          </w:p>
        </w:tc>
        <w:tc>
          <w:tcPr>
            <w:tcW w:w="1287" w:type="dxa"/>
          </w:tcPr>
          <w:p w14:paraId="2ABDE29E" w14:textId="77777777" w:rsidR="00D904EF" w:rsidRPr="00A52AB8" w:rsidRDefault="00D904EF" w:rsidP="00C50E43">
            <w:pPr>
              <w:spacing w:before="20" w:after="20"/>
              <w:jc w:val="center"/>
              <w:rPr>
                <w:color w:val="000000" w:themeColor="text1"/>
                <w:sz w:val="20"/>
                <w:szCs w:val="20"/>
              </w:rPr>
            </w:pPr>
          </w:p>
        </w:tc>
      </w:tr>
      <w:tr w:rsidR="00D904EF" w:rsidRPr="00A52AB8" w14:paraId="0B33D6B7" w14:textId="77777777" w:rsidTr="004A7026">
        <w:trPr>
          <w:jc w:val="center"/>
        </w:trPr>
        <w:tc>
          <w:tcPr>
            <w:tcW w:w="7921" w:type="dxa"/>
          </w:tcPr>
          <w:p w14:paraId="3E642935" w14:textId="77777777" w:rsidR="00D904EF" w:rsidRPr="00A52AB8" w:rsidRDefault="00D904EF" w:rsidP="00C50E43">
            <w:pPr>
              <w:spacing w:before="20" w:after="20"/>
              <w:rPr>
                <w:b/>
                <w:color w:val="000000" w:themeColor="text1"/>
                <w:sz w:val="20"/>
                <w:szCs w:val="20"/>
              </w:rPr>
            </w:pPr>
            <w:r w:rsidRPr="00A52AB8">
              <w:rPr>
                <w:b/>
                <w:color w:val="000000" w:themeColor="text1"/>
                <w:sz w:val="20"/>
                <w:szCs w:val="20"/>
              </w:rPr>
              <w:tab/>
            </w:r>
            <w:r w:rsidRPr="00A52AB8">
              <w:rPr>
                <w:b/>
                <w:color w:val="000000" w:themeColor="text1"/>
                <w:sz w:val="20"/>
                <w:szCs w:val="20"/>
              </w:rPr>
              <w:tab/>
              <w:t>gs_instance_cancel_flag</w:t>
            </w:r>
            <w:r w:rsidRPr="00A52AB8">
              <w:rPr>
                <w:bCs/>
                <w:color w:val="000000" w:themeColor="text1"/>
                <w:sz w:val="20"/>
                <w:szCs w:val="20"/>
              </w:rPr>
              <w:t>[ k ]</w:t>
            </w:r>
          </w:p>
        </w:tc>
        <w:tc>
          <w:tcPr>
            <w:tcW w:w="1287" w:type="dxa"/>
          </w:tcPr>
          <w:p w14:paraId="238D9FB0" w14:textId="77777777" w:rsidR="00D904EF" w:rsidRPr="00A52AB8" w:rsidRDefault="00D904EF" w:rsidP="00C50E43">
            <w:pPr>
              <w:spacing w:before="20" w:after="20"/>
              <w:jc w:val="center"/>
              <w:rPr>
                <w:color w:val="000000" w:themeColor="text1"/>
                <w:sz w:val="20"/>
                <w:szCs w:val="20"/>
              </w:rPr>
            </w:pPr>
            <w:r w:rsidRPr="00A52AB8">
              <w:rPr>
                <w:color w:val="000000" w:themeColor="text1"/>
                <w:sz w:val="20"/>
                <w:szCs w:val="20"/>
              </w:rPr>
              <w:t>u(1)</w:t>
            </w:r>
          </w:p>
        </w:tc>
      </w:tr>
      <w:tr w:rsidR="00D904EF" w:rsidRPr="00A52AB8" w14:paraId="4C427C7B" w14:textId="77777777" w:rsidTr="004A7026">
        <w:trPr>
          <w:jc w:val="center"/>
        </w:trPr>
        <w:tc>
          <w:tcPr>
            <w:tcW w:w="7921" w:type="dxa"/>
          </w:tcPr>
          <w:p w14:paraId="5EC0F1A9" w14:textId="695980B9" w:rsidR="00D904EF" w:rsidRPr="00A52AB8" w:rsidRDefault="00D904EF" w:rsidP="00C50E43">
            <w:pPr>
              <w:spacing w:before="20" w:after="20"/>
              <w:rPr>
                <w:bCs/>
                <w:color w:val="000000" w:themeColor="text1"/>
                <w:sz w:val="20"/>
                <w:szCs w:val="20"/>
              </w:rPr>
            </w:pPr>
            <w:r w:rsidRPr="00A52AB8">
              <w:rPr>
                <w:bCs/>
                <w:color w:val="000000" w:themeColor="text1"/>
                <w:sz w:val="20"/>
                <w:szCs w:val="20"/>
              </w:rPr>
              <w:tab/>
            </w:r>
            <w:r w:rsidRPr="00A52AB8">
              <w:rPr>
                <w:bCs/>
                <w:color w:val="000000" w:themeColor="text1"/>
                <w:sz w:val="20"/>
                <w:szCs w:val="20"/>
              </w:rPr>
              <w:tab/>
              <w:t>if( gs_instance_cancel_flag[ k ] </w:t>
            </w:r>
            <w:r w:rsidR="00E963F3" w:rsidRPr="00A52AB8">
              <w:rPr>
                <w:bCs/>
                <w:color w:val="000000" w:themeColor="text1"/>
                <w:sz w:val="20"/>
                <w:szCs w:val="20"/>
              </w:rPr>
              <w:t>!=</w:t>
            </w:r>
            <w:r w:rsidR="00D47707" w:rsidRPr="00A52AB8">
              <w:rPr>
                <w:bCs/>
                <w:color w:val="000000" w:themeColor="text1"/>
                <w:sz w:val="20"/>
                <w:szCs w:val="20"/>
              </w:rPr>
              <w:t> </w:t>
            </w:r>
            <w:r w:rsidRPr="00A52AB8">
              <w:rPr>
                <w:bCs/>
                <w:color w:val="000000" w:themeColor="text1"/>
                <w:sz w:val="20"/>
                <w:szCs w:val="20"/>
              </w:rPr>
              <w:t>1 </w:t>
            </w:r>
            <w:r w:rsidR="008F1F82" w:rsidRPr="00A52AB8">
              <w:rPr>
                <w:bCs/>
                <w:color w:val="000000" w:themeColor="text1"/>
                <w:sz w:val="20"/>
                <w:szCs w:val="20"/>
              </w:rPr>
              <w:t>) {</w:t>
            </w:r>
          </w:p>
        </w:tc>
        <w:tc>
          <w:tcPr>
            <w:tcW w:w="1287" w:type="dxa"/>
          </w:tcPr>
          <w:p w14:paraId="2B03CFAA" w14:textId="77777777" w:rsidR="00D904EF" w:rsidRPr="00A52AB8" w:rsidRDefault="00D904EF" w:rsidP="00C50E43">
            <w:pPr>
              <w:spacing w:before="20" w:after="20"/>
              <w:jc w:val="center"/>
              <w:rPr>
                <w:bCs/>
                <w:color w:val="000000" w:themeColor="text1"/>
                <w:sz w:val="20"/>
                <w:szCs w:val="20"/>
              </w:rPr>
            </w:pPr>
          </w:p>
        </w:tc>
      </w:tr>
      <w:tr w:rsidR="00D904EF" w:rsidRPr="00A52AB8" w14:paraId="2B7E1937" w14:textId="77777777" w:rsidTr="004A7026">
        <w:trPr>
          <w:jc w:val="center"/>
        </w:trPr>
        <w:tc>
          <w:tcPr>
            <w:tcW w:w="7921" w:type="dxa"/>
          </w:tcPr>
          <w:p w14:paraId="2DAE5EB7" w14:textId="77777777" w:rsidR="00D904EF" w:rsidRPr="00A52AB8" w:rsidRDefault="00D904EF" w:rsidP="00C50E43">
            <w:pPr>
              <w:spacing w:before="20" w:after="20"/>
              <w:rPr>
                <w:b/>
                <w:color w:val="000000" w:themeColor="text1"/>
                <w:sz w:val="20"/>
                <w:szCs w:val="20"/>
              </w:rPr>
            </w:pPr>
            <w:r w:rsidRPr="00A52AB8">
              <w:rPr>
                <w:b/>
                <w:color w:val="000000" w:themeColor="text1"/>
                <w:sz w:val="20"/>
                <w:szCs w:val="20"/>
              </w:rPr>
              <w:tab/>
            </w:r>
            <w:r w:rsidRPr="00A52AB8">
              <w:rPr>
                <w:b/>
                <w:color w:val="000000" w:themeColor="text1"/>
                <w:sz w:val="20"/>
                <w:szCs w:val="20"/>
              </w:rPr>
              <w:tab/>
            </w:r>
            <w:r w:rsidRPr="00A52AB8">
              <w:rPr>
                <w:b/>
                <w:color w:val="000000" w:themeColor="text1"/>
                <w:sz w:val="20"/>
                <w:szCs w:val="20"/>
              </w:rPr>
              <w:tab/>
              <w:t>gs_method_type</w:t>
            </w:r>
            <w:r w:rsidRPr="00A52AB8">
              <w:rPr>
                <w:bCs/>
                <w:color w:val="000000" w:themeColor="text1"/>
                <w:sz w:val="20"/>
                <w:szCs w:val="20"/>
              </w:rPr>
              <w:t>[ k ]</w:t>
            </w:r>
          </w:p>
        </w:tc>
        <w:tc>
          <w:tcPr>
            <w:tcW w:w="1287" w:type="dxa"/>
          </w:tcPr>
          <w:p w14:paraId="157458C4" w14:textId="77777777" w:rsidR="00D904EF" w:rsidRPr="00A52AB8" w:rsidRDefault="00D904EF" w:rsidP="00C50E43">
            <w:pPr>
              <w:spacing w:before="20" w:after="20"/>
              <w:jc w:val="center"/>
              <w:rPr>
                <w:color w:val="000000" w:themeColor="text1"/>
                <w:sz w:val="20"/>
                <w:szCs w:val="20"/>
              </w:rPr>
            </w:pPr>
            <w:r w:rsidRPr="00A52AB8">
              <w:rPr>
                <w:color w:val="000000" w:themeColor="text1"/>
                <w:sz w:val="20"/>
                <w:szCs w:val="20"/>
              </w:rPr>
              <w:t>ue(v)</w:t>
            </w:r>
          </w:p>
        </w:tc>
      </w:tr>
      <w:tr w:rsidR="00D904EF" w:rsidRPr="00A52AB8" w14:paraId="1D3A2856" w14:textId="77777777" w:rsidTr="004A7026">
        <w:trPr>
          <w:jc w:val="center"/>
        </w:trPr>
        <w:tc>
          <w:tcPr>
            <w:tcW w:w="7921" w:type="dxa"/>
          </w:tcPr>
          <w:p w14:paraId="1F9A2DCC" w14:textId="4A2C20B0" w:rsidR="00D904EF" w:rsidRPr="00A52AB8" w:rsidRDefault="00D904EF" w:rsidP="00C50E43">
            <w:pPr>
              <w:spacing w:before="20" w:after="20"/>
              <w:rPr>
                <w:bCs/>
                <w:color w:val="000000" w:themeColor="text1"/>
                <w:sz w:val="20"/>
                <w:szCs w:val="20"/>
              </w:rPr>
            </w:pPr>
            <w:r w:rsidRPr="00A52AB8">
              <w:rPr>
                <w:b/>
                <w:color w:val="000000" w:themeColor="text1"/>
                <w:sz w:val="20"/>
                <w:szCs w:val="20"/>
              </w:rPr>
              <w:tab/>
            </w:r>
            <w:r w:rsidRPr="00A52AB8">
              <w:rPr>
                <w:b/>
                <w:color w:val="000000" w:themeColor="text1"/>
                <w:sz w:val="20"/>
                <w:szCs w:val="20"/>
              </w:rPr>
              <w:tab/>
            </w:r>
            <w:r w:rsidRPr="00A52AB8">
              <w:rPr>
                <w:b/>
                <w:color w:val="000000" w:themeColor="text1"/>
                <w:sz w:val="20"/>
                <w:szCs w:val="20"/>
              </w:rPr>
              <w:tab/>
            </w:r>
            <w:r w:rsidRPr="00A52AB8">
              <w:rPr>
                <w:bCs/>
                <w:color w:val="000000" w:themeColor="text1"/>
                <w:sz w:val="20"/>
                <w:szCs w:val="20"/>
              </w:rPr>
              <w:t>if( gs_method_type[ k ]</w:t>
            </w:r>
            <w:r w:rsidR="008768E9" w:rsidRPr="00A52AB8">
              <w:rPr>
                <w:bCs/>
                <w:color w:val="000000" w:themeColor="text1"/>
                <w:sz w:val="20"/>
                <w:szCs w:val="20"/>
              </w:rPr>
              <w:t> </w:t>
            </w:r>
            <w:r w:rsidR="00726AAE" w:rsidRPr="00A52AB8">
              <w:rPr>
                <w:bCs/>
                <w:color w:val="000000" w:themeColor="text1"/>
                <w:sz w:val="20"/>
                <w:szCs w:val="20"/>
              </w:rPr>
              <w:t>==</w:t>
            </w:r>
            <w:r w:rsidR="00D47707" w:rsidRPr="00A52AB8">
              <w:rPr>
                <w:bCs/>
                <w:color w:val="000000" w:themeColor="text1"/>
                <w:sz w:val="20"/>
                <w:szCs w:val="20"/>
              </w:rPr>
              <w:t> </w:t>
            </w:r>
            <w:r w:rsidRPr="00A52AB8">
              <w:rPr>
                <w:bCs/>
                <w:color w:val="000000" w:themeColor="text1"/>
                <w:sz w:val="20"/>
                <w:szCs w:val="20"/>
              </w:rPr>
              <w:t>1 </w:t>
            </w:r>
            <w:r w:rsidR="008F1F82" w:rsidRPr="00A52AB8">
              <w:rPr>
                <w:bCs/>
                <w:color w:val="000000" w:themeColor="text1"/>
                <w:sz w:val="20"/>
                <w:szCs w:val="20"/>
              </w:rPr>
              <w:t>) {</w:t>
            </w:r>
          </w:p>
        </w:tc>
        <w:tc>
          <w:tcPr>
            <w:tcW w:w="1287" w:type="dxa"/>
          </w:tcPr>
          <w:p w14:paraId="78DBA447" w14:textId="77777777" w:rsidR="00D904EF" w:rsidRPr="00A52AB8" w:rsidRDefault="00D904EF" w:rsidP="00C50E43">
            <w:pPr>
              <w:spacing w:before="20" w:after="20"/>
              <w:jc w:val="center"/>
              <w:rPr>
                <w:color w:val="000000" w:themeColor="text1"/>
                <w:sz w:val="20"/>
                <w:szCs w:val="20"/>
              </w:rPr>
            </w:pPr>
          </w:p>
        </w:tc>
      </w:tr>
      <w:tr w:rsidR="00D904EF" w:rsidRPr="00A52AB8" w14:paraId="2A7BE4FC" w14:textId="77777777" w:rsidTr="004A7026">
        <w:trPr>
          <w:jc w:val="center"/>
        </w:trPr>
        <w:tc>
          <w:tcPr>
            <w:tcW w:w="7921" w:type="dxa"/>
          </w:tcPr>
          <w:p w14:paraId="5B2A3E7C" w14:textId="77777777" w:rsidR="00D904EF" w:rsidRPr="00A52AB8" w:rsidRDefault="00D904EF" w:rsidP="00C50E43">
            <w:pPr>
              <w:spacing w:before="20" w:after="20"/>
              <w:rPr>
                <w:b/>
                <w:color w:val="000000" w:themeColor="text1"/>
                <w:sz w:val="20"/>
                <w:szCs w:val="20"/>
              </w:rPr>
            </w:pPr>
            <w:r w:rsidRPr="00A52AB8">
              <w:rPr>
                <w:b/>
                <w:color w:val="000000" w:themeColor="text1"/>
                <w:sz w:val="20"/>
                <w:szCs w:val="20"/>
              </w:rPr>
              <w:tab/>
            </w:r>
            <w:r w:rsidRPr="00A52AB8">
              <w:rPr>
                <w:b/>
                <w:color w:val="000000" w:themeColor="text1"/>
                <w:sz w:val="20"/>
                <w:szCs w:val="20"/>
              </w:rPr>
              <w:tab/>
            </w:r>
            <w:r w:rsidRPr="00A52AB8">
              <w:rPr>
                <w:b/>
                <w:color w:val="000000" w:themeColor="text1"/>
                <w:sz w:val="20"/>
                <w:szCs w:val="20"/>
              </w:rPr>
              <w:tab/>
            </w:r>
            <w:r w:rsidRPr="00A52AB8">
              <w:rPr>
                <w:b/>
                <w:color w:val="000000" w:themeColor="text1"/>
                <w:sz w:val="20"/>
                <w:szCs w:val="20"/>
              </w:rPr>
              <w:tab/>
              <w:t>gs_filter_eom_points_flag</w:t>
            </w:r>
            <w:r w:rsidRPr="00A52AB8">
              <w:rPr>
                <w:color w:val="000000" w:themeColor="text1"/>
                <w:sz w:val="20"/>
                <w:szCs w:val="20"/>
              </w:rPr>
              <w:t>[ k ]</w:t>
            </w:r>
          </w:p>
        </w:tc>
        <w:tc>
          <w:tcPr>
            <w:tcW w:w="1287" w:type="dxa"/>
          </w:tcPr>
          <w:p w14:paraId="7EAC13AE" w14:textId="77777777" w:rsidR="00D904EF" w:rsidRPr="00A52AB8" w:rsidRDefault="00D904EF" w:rsidP="00C50E43">
            <w:pPr>
              <w:spacing w:before="20" w:after="20"/>
              <w:jc w:val="center"/>
              <w:rPr>
                <w:color w:val="000000" w:themeColor="text1"/>
                <w:sz w:val="20"/>
                <w:szCs w:val="20"/>
              </w:rPr>
            </w:pPr>
            <w:r w:rsidRPr="00A52AB8">
              <w:rPr>
                <w:color w:val="000000" w:themeColor="text1"/>
                <w:sz w:val="20"/>
                <w:szCs w:val="20"/>
              </w:rPr>
              <w:t>u(1)</w:t>
            </w:r>
          </w:p>
        </w:tc>
      </w:tr>
      <w:tr w:rsidR="00D904EF" w:rsidRPr="00A52AB8" w14:paraId="229EBF92" w14:textId="77777777" w:rsidTr="004A7026">
        <w:trPr>
          <w:jc w:val="center"/>
        </w:trPr>
        <w:tc>
          <w:tcPr>
            <w:tcW w:w="7921" w:type="dxa"/>
          </w:tcPr>
          <w:p w14:paraId="6E0C6B3D" w14:textId="77777777" w:rsidR="00D904EF" w:rsidRPr="00A52AB8" w:rsidRDefault="00D904EF" w:rsidP="00C50E43">
            <w:pPr>
              <w:spacing w:before="20" w:after="20"/>
              <w:rPr>
                <w:b/>
                <w:color w:val="000000" w:themeColor="text1"/>
                <w:sz w:val="20"/>
                <w:szCs w:val="20"/>
              </w:rPr>
            </w:pPr>
            <w:r w:rsidRPr="00A52AB8">
              <w:rPr>
                <w:b/>
                <w:color w:val="000000" w:themeColor="text1"/>
                <w:sz w:val="20"/>
                <w:szCs w:val="20"/>
              </w:rPr>
              <w:tab/>
            </w:r>
            <w:r w:rsidRPr="00A52AB8">
              <w:rPr>
                <w:b/>
                <w:color w:val="000000" w:themeColor="text1"/>
                <w:sz w:val="20"/>
                <w:szCs w:val="20"/>
              </w:rPr>
              <w:tab/>
            </w:r>
            <w:r w:rsidRPr="00A52AB8">
              <w:rPr>
                <w:b/>
                <w:color w:val="000000" w:themeColor="text1"/>
                <w:sz w:val="20"/>
                <w:szCs w:val="20"/>
              </w:rPr>
              <w:tab/>
            </w:r>
            <w:r w:rsidRPr="00A52AB8">
              <w:rPr>
                <w:b/>
                <w:color w:val="000000" w:themeColor="text1"/>
                <w:sz w:val="20"/>
                <w:szCs w:val="20"/>
              </w:rPr>
              <w:tab/>
              <w:t>gs_grid_size_minus2</w:t>
            </w:r>
            <w:r w:rsidRPr="00A52AB8">
              <w:rPr>
                <w:bCs/>
                <w:color w:val="000000" w:themeColor="text1"/>
                <w:sz w:val="20"/>
                <w:szCs w:val="20"/>
              </w:rPr>
              <w:t>[ k ]</w:t>
            </w:r>
          </w:p>
        </w:tc>
        <w:tc>
          <w:tcPr>
            <w:tcW w:w="1287" w:type="dxa"/>
          </w:tcPr>
          <w:p w14:paraId="6D7AFF3D" w14:textId="77777777" w:rsidR="00D904EF" w:rsidRPr="00A52AB8" w:rsidRDefault="00D904EF" w:rsidP="00C50E43">
            <w:pPr>
              <w:spacing w:before="20" w:after="20"/>
              <w:jc w:val="center"/>
              <w:rPr>
                <w:color w:val="000000" w:themeColor="text1"/>
                <w:sz w:val="20"/>
                <w:szCs w:val="20"/>
              </w:rPr>
            </w:pPr>
            <w:r w:rsidRPr="00A52AB8">
              <w:rPr>
                <w:color w:val="000000" w:themeColor="text1"/>
                <w:sz w:val="20"/>
                <w:szCs w:val="20"/>
              </w:rPr>
              <w:t>u(5)</w:t>
            </w:r>
          </w:p>
        </w:tc>
      </w:tr>
      <w:tr w:rsidR="00D904EF" w:rsidRPr="00A52AB8" w14:paraId="53F49D38" w14:textId="77777777" w:rsidTr="004A7026">
        <w:trPr>
          <w:jc w:val="center"/>
        </w:trPr>
        <w:tc>
          <w:tcPr>
            <w:tcW w:w="7921" w:type="dxa"/>
          </w:tcPr>
          <w:p w14:paraId="3F2819FB" w14:textId="77777777" w:rsidR="00D904EF" w:rsidRPr="00A52AB8" w:rsidRDefault="00D904EF" w:rsidP="00C50E43">
            <w:pPr>
              <w:spacing w:before="20" w:after="20"/>
              <w:rPr>
                <w:b/>
                <w:color w:val="000000" w:themeColor="text1"/>
                <w:sz w:val="20"/>
                <w:szCs w:val="20"/>
              </w:rPr>
            </w:pPr>
            <w:r w:rsidRPr="00A52AB8">
              <w:rPr>
                <w:b/>
                <w:color w:val="000000" w:themeColor="text1"/>
                <w:sz w:val="20"/>
                <w:szCs w:val="20"/>
              </w:rPr>
              <w:tab/>
            </w:r>
            <w:r w:rsidRPr="00A52AB8">
              <w:rPr>
                <w:b/>
                <w:color w:val="000000" w:themeColor="text1"/>
                <w:sz w:val="20"/>
                <w:szCs w:val="20"/>
              </w:rPr>
              <w:tab/>
            </w:r>
            <w:r w:rsidRPr="00A52AB8">
              <w:rPr>
                <w:b/>
                <w:color w:val="000000" w:themeColor="text1"/>
                <w:sz w:val="20"/>
                <w:szCs w:val="20"/>
              </w:rPr>
              <w:tab/>
            </w:r>
            <w:r w:rsidRPr="00A52AB8">
              <w:rPr>
                <w:b/>
                <w:color w:val="000000" w:themeColor="text1"/>
                <w:sz w:val="20"/>
                <w:szCs w:val="20"/>
              </w:rPr>
              <w:tab/>
              <w:t>gs_threshold</w:t>
            </w:r>
            <w:r w:rsidRPr="00A52AB8">
              <w:rPr>
                <w:bCs/>
                <w:color w:val="000000" w:themeColor="text1"/>
                <w:sz w:val="20"/>
                <w:szCs w:val="20"/>
              </w:rPr>
              <w:t>[ k ]</w:t>
            </w:r>
          </w:p>
        </w:tc>
        <w:tc>
          <w:tcPr>
            <w:tcW w:w="1287" w:type="dxa"/>
          </w:tcPr>
          <w:p w14:paraId="00799924" w14:textId="77777777" w:rsidR="00D904EF" w:rsidRPr="00A52AB8" w:rsidRDefault="00D904EF" w:rsidP="00C50E43">
            <w:pPr>
              <w:spacing w:before="20" w:after="20"/>
              <w:jc w:val="center"/>
              <w:rPr>
                <w:color w:val="000000" w:themeColor="text1"/>
                <w:sz w:val="20"/>
                <w:szCs w:val="20"/>
              </w:rPr>
            </w:pPr>
            <w:r w:rsidRPr="00A52AB8">
              <w:rPr>
                <w:color w:val="000000" w:themeColor="text1"/>
                <w:sz w:val="20"/>
                <w:szCs w:val="20"/>
              </w:rPr>
              <w:t>u(8)</w:t>
            </w:r>
          </w:p>
        </w:tc>
      </w:tr>
      <w:tr w:rsidR="00D904EF" w:rsidRPr="00A52AB8" w14:paraId="08510F63" w14:textId="77777777" w:rsidTr="004A7026">
        <w:trPr>
          <w:jc w:val="center"/>
        </w:trPr>
        <w:tc>
          <w:tcPr>
            <w:tcW w:w="7921" w:type="dxa"/>
          </w:tcPr>
          <w:p w14:paraId="6A404E73" w14:textId="77777777" w:rsidR="00D904EF" w:rsidRPr="00A52AB8" w:rsidRDefault="00D904EF" w:rsidP="00C50E43">
            <w:pPr>
              <w:spacing w:before="20" w:after="20"/>
              <w:rPr>
                <w:color w:val="000000" w:themeColor="text1"/>
                <w:sz w:val="20"/>
                <w:szCs w:val="20"/>
              </w:rPr>
            </w:pPr>
            <w:r w:rsidRPr="00A52AB8">
              <w:rPr>
                <w:color w:val="000000" w:themeColor="text1"/>
                <w:sz w:val="20"/>
                <w:szCs w:val="20"/>
              </w:rPr>
              <w:tab/>
            </w:r>
            <w:r w:rsidRPr="00A52AB8">
              <w:rPr>
                <w:color w:val="000000" w:themeColor="text1"/>
                <w:sz w:val="20"/>
                <w:szCs w:val="20"/>
              </w:rPr>
              <w:tab/>
            </w:r>
            <w:r w:rsidRPr="00A52AB8">
              <w:rPr>
                <w:color w:val="000000" w:themeColor="text1"/>
                <w:sz w:val="20"/>
                <w:szCs w:val="20"/>
              </w:rPr>
              <w:tab/>
              <w:t>}</w:t>
            </w:r>
          </w:p>
        </w:tc>
        <w:tc>
          <w:tcPr>
            <w:tcW w:w="1287" w:type="dxa"/>
          </w:tcPr>
          <w:p w14:paraId="400E86AA" w14:textId="77777777" w:rsidR="00D904EF" w:rsidRPr="00A52AB8" w:rsidRDefault="00D904EF" w:rsidP="00C50E43">
            <w:pPr>
              <w:spacing w:before="20" w:after="20"/>
              <w:jc w:val="center"/>
              <w:rPr>
                <w:color w:val="000000" w:themeColor="text1"/>
                <w:sz w:val="20"/>
                <w:szCs w:val="20"/>
              </w:rPr>
            </w:pPr>
          </w:p>
        </w:tc>
      </w:tr>
      <w:tr w:rsidR="00D904EF" w:rsidRPr="00A52AB8" w14:paraId="24F670E6" w14:textId="77777777" w:rsidTr="004A7026">
        <w:trPr>
          <w:jc w:val="center"/>
        </w:trPr>
        <w:tc>
          <w:tcPr>
            <w:tcW w:w="7921" w:type="dxa"/>
          </w:tcPr>
          <w:p w14:paraId="28C80476" w14:textId="77777777" w:rsidR="00D904EF" w:rsidRPr="00A52AB8" w:rsidRDefault="00D904EF" w:rsidP="00C50E43">
            <w:pPr>
              <w:spacing w:before="20" w:after="20"/>
              <w:rPr>
                <w:bCs/>
                <w:color w:val="000000" w:themeColor="text1"/>
                <w:sz w:val="20"/>
                <w:szCs w:val="20"/>
              </w:rPr>
            </w:pPr>
            <w:r w:rsidRPr="00A52AB8">
              <w:rPr>
                <w:bCs/>
                <w:color w:val="000000" w:themeColor="text1"/>
                <w:sz w:val="20"/>
                <w:szCs w:val="20"/>
              </w:rPr>
              <w:tab/>
            </w:r>
            <w:r w:rsidRPr="00A52AB8">
              <w:rPr>
                <w:bCs/>
                <w:color w:val="000000" w:themeColor="text1"/>
                <w:sz w:val="20"/>
                <w:szCs w:val="20"/>
              </w:rPr>
              <w:tab/>
              <w:t>}</w:t>
            </w:r>
          </w:p>
        </w:tc>
        <w:tc>
          <w:tcPr>
            <w:tcW w:w="1287" w:type="dxa"/>
          </w:tcPr>
          <w:p w14:paraId="1C5FDEE3" w14:textId="77777777" w:rsidR="00D904EF" w:rsidRPr="00A52AB8" w:rsidRDefault="00D904EF" w:rsidP="00C50E43">
            <w:pPr>
              <w:spacing w:before="20" w:after="20"/>
              <w:jc w:val="center"/>
              <w:rPr>
                <w:color w:val="000000" w:themeColor="text1"/>
                <w:sz w:val="20"/>
                <w:szCs w:val="20"/>
              </w:rPr>
            </w:pPr>
          </w:p>
        </w:tc>
      </w:tr>
      <w:tr w:rsidR="00D904EF" w:rsidRPr="00A52AB8" w14:paraId="046F9C9C" w14:textId="77777777" w:rsidTr="004A7026">
        <w:trPr>
          <w:jc w:val="center"/>
        </w:trPr>
        <w:tc>
          <w:tcPr>
            <w:tcW w:w="7921" w:type="dxa"/>
          </w:tcPr>
          <w:p w14:paraId="1D55F781" w14:textId="77777777" w:rsidR="00D904EF" w:rsidRPr="00A52AB8" w:rsidRDefault="00D904EF" w:rsidP="00C50E43">
            <w:pPr>
              <w:spacing w:before="20" w:after="20"/>
              <w:rPr>
                <w:bCs/>
                <w:color w:val="000000" w:themeColor="text1"/>
                <w:sz w:val="20"/>
                <w:szCs w:val="20"/>
              </w:rPr>
            </w:pPr>
            <w:r w:rsidRPr="00A52AB8">
              <w:rPr>
                <w:bCs/>
                <w:color w:val="000000" w:themeColor="text1"/>
                <w:sz w:val="20"/>
                <w:szCs w:val="20"/>
              </w:rPr>
              <w:tab/>
              <w:t>}</w:t>
            </w:r>
          </w:p>
        </w:tc>
        <w:tc>
          <w:tcPr>
            <w:tcW w:w="1287" w:type="dxa"/>
          </w:tcPr>
          <w:p w14:paraId="0604E270" w14:textId="77777777" w:rsidR="00D904EF" w:rsidRPr="00A52AB8" w:rsidRDefault="00D904EF" w:rsidP="00C50E43">
            <w:pPr>
              <w:spacing w:before="20" w:after="20"/>
              <w:jc w:val="center"/>
              <w:rPr>
                <w:color w:val="000000" w:themeColor="text1"/>
                <w:sz w:val="20"/>
                <w:szCs w:val="20"/>
              </w:rPr>
            </w:pPr>
          </w:p>
        </w:tc>
      </w:tr>
      <w:tr w:rsidR="00D904EF" w:rsidRPr="00A52AB8" w14:paraId="71ECEBDB" w14:textId="77777777" w:rsidTr="004A7026">
        <w:trPr>
          <w:jc w:val="center"/>
        </w:trPr>
        <w:tc>
          <w:tcPr>
            <w:tcW w:w="7921" w:type="dxa"/>
          </w:tcPr>
          <w:p w14:paraId="48D7CFCF" w14:textId="77777777" w:rsidR="00D904EF" w:rsidRPr="00A52AB8" w:rsidRDefault="00D904EF" w:rsidP="00C50E43">
            <w:pPr>
              <w:spacing w:before="20" w:after="20"/>
              <w:rPr>
                <w:bCs/>
                <w:color w:val="000000" w:themeColor="text1"/>
                <w:sz w:val="20"/>
                <w:szCs w:val="20"/>
              </w:rPr>
            </w:pPr>
            <w:r w:rsidRPr="00A52AB8">
              <w:rPr>
                <w:bCs/>
                <w:color w:val="000000" w:themeColor="text1"/>
                <w:sz w:val="20"/>
                <w:szCs w:val="20"/>
              </w:rPr>
              <w:t>}</w:t>
            </w:r>
          </w:p>
        </w:tc>
        <w:tc>
          <w:tcPr>
            <w:tcW w:w="1287" w:type="dxa"/>
          </w:tcPr>
          <w:p w14:paraId="1A4C0873" w14:textId="77777777" w:rsidR="00D904EF" w:rsidRPr="00A52AB8" w:rsidRDefault="00D904EF" w:rsidP="00C50E43">
            <w:pPr>
              <w:spacing w:before="20" w:after="20"/>
              <w:jc w:val="center"/>
              <w:rPr>
                <w:color w:val="000000" w:themeColor="text1"/>
                <w:sz w:val="20"/>
                <w:szCs w:val="20"/>
              </w:rPr>
            </w:pPr>
          </w:p>
        </w:tc>
      </w:tr>
    </w:tbl>
    <w:p w14:paraId="022C197D" w14:textId="77777777" w:rsidR="00C61E38" w:rsidRPr="00A52AB8" w:rsidRDefault="00D904EF" w:rsidP="00EE3D19">
      <w:pPr>
        <w:pStyle w:val="a3"/>
        <w:numPr>
          <w:ilvl w:val="3"/>
          <w:numId w:val="14"/>
        </w:numPr>
        <w:tabs>
          <w:tab w:val="clear" w:pos="403"/>
        </w:tabs>
        <w:outlineLvl w:val="3"/>
      </w:pPr>
      <w:bookmarkStart w:id="7311" w:name="_Toc49350293"/>
      <w:bookmarkStart w:id="7312" w:name="_Toc52181840"/>
      <w:bookmarkEnd w:id="7311"/>
      <w:r w:rsidRPr="00A52AB8">
        <w:t>Attribute smoothing SEI message syntax</w:t>
      </w:r>
      <w:bookmarkEnd w:id="7312"/>
    </w:p>
    <w:tbl>
      <w:tblPr>
        <w:tblStyle w:val="TableGrid"/>
        <w:tblW w:w="4999" w:type="pct"/>
        <w:jc w:val="center"/>
        <w:tblLook w:val="04A0" w:firstRow="1" w:lastRow="0" w:firstColumn="1" w:lastColumn="0" w:noHBand="0" w:noVBand="1"/>
      </w:tblPr>
      <w:tblGrid>
        <w:gridCol w:w="8431"/>
        <w:gridCol w:w="1309"/>
      </w:tblGrid>
      <w:tr w:rsidR="00D904EF" w:rsidRPr="00A52AB8" w14:paraId="5C0727A7" w14:textId="77777777" w:rsidTr="00C50E43">
        <w:trPr>
          <w:jc w:val="center"/>
        </w:trPr>
        <w:tc>
          <w:tcPr>
            <w:tcW w:w="4328" w:type="pct"/>
          </w:tcPr>
          <w:p w14:paraId="19883F81" w14:textId="19EECD91" w:rsidR="00D904EF" w:rsidRPr="00A52AB8" w:rsidRDefault="00D904EF" w:rsidP="00C50E43">
            <w:pPr>
              <w:spacing w:before="20" w:after="20"/>
              <w:rPr>
                <w:color w:val="000000" w:themeColor="text1"/>
                <w:sz w:val="20"/>
                <w:szCs w:val="20"/>
              </w:rPr>
            </w:pPr>
            <w:r w:rsidRPr="00A52AB8">
              <w:rPr>
                <w:bCs/>
                <w:color w:val="000000" w:themeColor="text1"/>
                <w:sz w:val="20"/>
                <w:szCs w:val="20"/>
              </w:rPr>
              <w:t>attribute_smoothing</w:t>
            </w:r>
            <w:r w:rsidRPr="00A52AB8">
              <w:rPr>
                <w:color w:val="000000" w:themeColor="text1"/>
                <w:sz w:val="20"/>
                <w:szCs w:val="20"/>
              </w:rPr>
              <w:t>( </w:t>
            </w:r>
            <w:r w:rsidRPr="00A52AB8">
              <w:rPr>
                <w:rFonts w:eastAsia="Malgun Gothic"/>
                <w:sz w:val="20"/>
                <w:szCs w:val="20"/>
              </w:rPr>
              <w:t>payloadSize </w:t>
            </w:r>
            <w:r w:rsidR="008F1F82" w:rsidRPr="00A52AB8">
              <w:rPr>
                <w:color w:val="000000" w:themeColor="text1"/>
                <w:sz w:val="20"/>
                <w:szCs w:val="20"/>
              </w:rPr>
              <w:t>) {</w:t>
            </w:r>
          </w:p>
        </w:tc>
        <w:tc>
          <w:tcPr>
            <w:tcW w:w="672" w:type="pct"/>
          </w:tcPr>
          <w:p w14:paraId="1AF8F622" w14:textId="77777777" w:rsidR="00D904EF" w:rsidRPr="00A52AB8" w:rsidRDefault="00D904EF" w:rsidP="00C50E43">
            <w:pPr>
              <w:spacing w:before="20" w:after="20"/>
              <w:jc w:val="center"/>
              <w:rPr>
                <w:color w:val="000000" w:themeColor="text1"/>
                <w:sz w:val="20"/>
                <w:szCs w:val="20"/>
              </w:rPr>
            </w:pPr>
            <w:r w:rsidRPr="00A52AB8">
              <w:rPr>
                <w:b/>
                <w:color w:val="000000" w:themeColor="text1"/>
                <w:sz w:val="20"/>
                <w:szCs w:val="20"/>
              </w:rPr>
              <w:t>Descriptor</w:t>
            </w:r>
          </w:p>
        </w:tc>
      </w:tr>
      <w:tr w:rsidR="00D904EF" w:rsidRPr="00A52AB8" w14:paraId="451596DC" w14:textId="77777777" w:rsidTr="00C50E43">
        <w:trPr>
          <w:jc w:val="center"/>
        </w:trPr>
        <w:tc>
          <w:tcPr>
            <w:tcW w:w="4328" w:type="pct"/>
          </w:tcPr>
          <w:p w14:paraId="19891F71" w14:textId="77777777" w:rsidR="00D904EF" w:rsidRPr="00A52AB8" w:rsidRDefault="00D904EF" w:rsidP="00C50E43">
            <w:pPr>
              <w:spacing w:before="20" w:after="20"/>
              <w:rPr>
                <w:b/>
                <w:color w:val="000000" w:themeColor="text1"/>
                <w:sz w:val="20"/>
                <w:szCs w:val="20"/>
              </w:rPr>
            </w:pPr>
            <w:r w:rsidRPr="00A52AB8">
              <w:rPr>
                <w:b/>
                <w:color w:val="000000" w:themeColor="text1"/>
                <w:sz w:val="20"/>
                <w:szCs w:val="20"/>
              </w:rPr>
              <w:tab/>
              <w:t>as_persistence_flag</w:t>
            </w:r>
          </w:p>
        </w:tc>
        <w:tc>
          <w:tcPr>
            <w:tcW w:w="672" w:type="pct"/>
          </w:tcPr>
          <w:p w14:paraId="3C87E980" w14:textId="77777777" w:rsidR="00D904EF" w:rsidRPr="00A52AB8" w:rsidRDefault="00D904EF" w:rsidP="00C50E43">
            <w:pPr>
              <w:spacing w:before="20" w:after="20"/>
              <w:jc w:val="center"/>
              <w:rPr>
                <w:color w:val="000000" w:themeColor="text1"/>
                <w:sz w:val="20"/>
                <w:szCs w:val="20"/>
              </w:rPr>
            </w:pPr>
            <w:r w:rsidRPr="00A52AB8">
              <w:rPr>
                <w:color w:val="000000" w:themeColor="text1"/>
                <w:sz w:val="20"/>
                <w:szCs w:val="20"/>
              </w:rPr>
              <w:t>u(1)</w:t>
            </w:r>
          </w:p>
        </w:tc>
      </w:tr>
      <w:tr w:rsidR="00D904EF" w:rsidRPr="00A52AB8" w14:paraId="344C9978" w14:textId="77777777" w:rsidTr="00C50E43">
        <w:trPr>
          <w:jc w:val="center"/>
        </w:trPr>
        <w:tc>
          <w:tcPr>
            <w:tcW w:w="4328" w:type="pct"/>
          </w:tcPr>
          <w:p w14:paraId="68495B13" w14:textId="77777777" w:rsidR="00D904EF" w:rsidRPr="00A52AB8" w:rsidRDefault="00D904EF" w:rsidP="00C50E43">
            <w:pPr>
              <w:spacing w:before="20" w:after="20"/>
              <w:rPr>
                <w:bCs/>
                <w:color w:val="000000" w:themeColor="text1"/>
                <w:sz w:val="20"/>
                <w:szCs w:val="20"/>
              </w:rPr>
            </w:pPr>
            <w:r w:rsidRPr="00A52AB8">
              <w:rPr>
                <w:b/>
                <w:color w:val="000000" w:themeColor="text1"/>
                <w:sz w:val="20"/>
                <w:szCs w:val="20"/>
              </w:rPr>
              <w:tab/>
              <w:t>as_reset_flag</w:t>
            </w:r>
          </w:p>
        </w:tc>
        <w:tc>
          <w:tcPr>
            <w:tcW w:w="672" w:type="pct"/>
          </w:tcPr>
          <w:p w14:paraId="6137C9FB" w14:textId="77777777" w:rsidR="00D904EF" w:rsidRPr="00A52AB8" w:rsidRDefault="00D904EF" w:rsidP="00C50E43">
            <w:pPr>
              <w:spacing w:before="20" w:after="20"/>
              <w:jc w:val="center"/>
              <w:rPr>
                <w:b/>
                <w:color w:val="000000" w:themeColor="text1"/>
                <w:sz w:val="20"/>
                <w:szCs w:val="20"/>
              </w:rPr>
            </w:pPr>
            <w:r w:rsidRPr="00A52AB8">
              <w:rPr>
                <w:color w:val="000000" w:themeColor="text1"/>
                <w:sz w:val="20"/>
                <w:szCs w:val="20"/>
              </w:rPr>
              <w:t>u(1)</w:t>
            </w:r>
          </w:p>
        </w:tc>
      </w:tr>
      <w:tr w:rsidR="00D904EF" w:rsidRPr="00A52AB8" w14:paraId="2DA9778E" w14:textId="77777777" w:rsidTr="00C50E43">
        <w:trPr>
          <w:jc w:val="center"/>
        </w:trPr>
        <w:tc>
          <w:tcPr>
            <w:tcW w:w="4328" w:type="pct"/>
          </w:tcPr>
          <w:p w14:paraId="79A87106" w14:textId="77777777" w:rsidR="00D904EF" w:rsidRPr="00A52AB8" w:rsidRDefault="00D904EF" w:rsidP="00C50E43">
            <w:pPr>
              <w:spacing w:before="20" w:after="20"/>
              <w:rPr>
                <w:b/>
                <w:bCs/>
                <w:color w:val="000000" w:themeColor="text1"/>
                <w:sz w:val="20"/>
                <w:szCs w:val="20"/>
              </w:rPr>
            </w:pPr>
            <w:r w:rsidRPr="00A52AB8">
              <w:rPr>
                <w:bCs/>
                <w:color w:val="000000" w:themeColor="text1"/>
                <w:sz w:val="20"/>
                <w:szCs w:val="20"/>
              </w:rPr>
              <w:tab/>
            </w:r>
            <w:r w:rsidRPr="00A52AB8">
              <w:rPr>
                <w:b/>
                <w:bCs/>
                <w:color w:val="000000" w:themeColor="text1"/>
                <w:sz w:val="20"/>
                <w:szCs w:val="20"/>
              </w:rPr>
              <w:t>as_num_attributes_updated</w:t>
            </w:r>
          </w:p>
        </w:tc>
        <w:tc>
          <w:tcPr>
            <w:tcW w:w="672" w:type="pct"/>
          </w:tcPr>
          <w:p w14:paraId="4E04EA9D" w14:textId="77777777" w:rsidR="00D904EF" w:rsidRPr="00A52AB8" w:rsidRDefault="00D904EF" w:rsidP="00C50E43">
            <w:pPr>
              <w:spacing w:before="20" w:after="20"/>
              <w:jc w:val="center"/>
              <w:rPr>
                <w:color w:val="000000" w:themeColor="text1"/>
                <w:sz w:val="20"/>
                <w:szCs w:val="20"/>
              </w:rPr>
            </w:pPr>
            <w:r w:rsidRPr="00A52AB8">
              <w:rPr>
                <w:color w:val="000000" w:themeColor="text1"/>
                <w:sz w:val="20"/>
                <w:szCs w:val="20"/>
              </w:rPr>
              <w:t>ue(v)</w:t>
            </w:r>
          </w:p>
        </w:tc>
      </w:tr>
      <w:tr w:rsidR="00D904EF" w:rsidRPr="00A52AB8" w14:paraId="1CA1A1F1" w14:textId="77777777" w:rsidTr="00C50E43">
        <w:trPr>
          <w:jc w:val="center"/>
        </w:trPr>
        <w:tc>
          <w:tcPr>
            <w:tcW w:w="4328" w:type="pct"/>
          </w:tcPr>
          <w:p w14:paraId="595C595A" w14:textId="2B68E396" w:rsidR="00D904EF" w:rsidRPr="00A52AB8" w:rsidRDefault="00D904EF" w:rsidP="00C50E43">
            <w:pPr>
              <w:spacing w:before="20" w:after="20"/>
              <w:rPr>
                <w:bCs/>
                <w:color w:val="000000" w:themeColor="text1"/>
                <w:sz w:val="20"/>
                <w:szCs w:val="20"/>
              </w:rPr>
            </w:pPr>
            <w:r w:rsidRPr="00A52AB8">
              <w:rPr>
                <w:bCs/>
                <w:color w:val="000000" w:themeColor="text1"/>
                <w:sz w:val="20"/>
                <w:szCs w:val="20"/>
              </w:rPr>
              <w:tab/>
              <w:t>for( j</w:t>
            </w:r>
            <w:r w:rsidR="0023721F" w:rsidRPr="00A52AB8">
              <w:rPr>
                <w:bCs/>
                <w:color w:val="000000" w:themeColor="text1"/>
                <w:sz w:val="20"/>
                <w:szCs w:val="20"/>
              </w:rPr>
              <w:t> </w:t>
            </w:r>
            <w:r w:rsidR="00D47707" w:rsidRPr="00A52AB8">
              <w:rPr>
                <w:bCs/>
                <w:color w:val="000000" w:themeColor="text1"/>
                <w:sz w:val="20"/>
                <w:szCs w:val="20"/>
              </w:rPr>
              <w:t>= </w:t>
            </w:r>
            <w:r w:rsidRPr="00A52AB8">
              <w:rPr>
                <w:bCs/>
                <w:color w:val="000000" w:themeColor="text1"/>
                <w:sz w:val="20"/>
                <w:szCs w:val="20"/>
              </w:rPr>
              <w:t>0; j &lt; as_num_attributes_updated; j++ </w:t>
            </w:r>
            <w:r w:rsidR="008F1F82" w:rsidRPr="00A52AB8">
              <w:rPr>
                <w:bCs/>
                <w:color w:val="000000" w:themeColor="text1"/>
                <w:sz w:val="20"/>
                <w:szCs w:val="20"/>
              </w:rPr>
              <w:t>) {</w:t>
            </w:r>
          </w:p>
        </w:tc>
        <w:tc>
          <w:tcPr>
            <w:tcW w:w="672" w:type="pct"/>
          </w:tcPr>
          <w:p w14:paraId="46DCB892" w14:textId="77777777" w:rsidR="00D904EF" w:rsidRPr="00A52AB8" w:rsidRDefault="00D904EF" w:rsidP="00C50E43">
            <w:pPr>
              <w:spacing w:before="20" w:after="20"/>
              <w:jc w:val="center"/>
              <w:rPr>
                <w:b/>
                <w:color w:val="000000" w:themeColor="text1"/>
                <w:sz w:val="20"/>
                <w:szCs w:val="20"/>
              </w:rPr>
            </w:pPr>
          </w:p>
        </w:tc>
      </w:tr>
      <w:tr w:rsidR="00D904EF" w:rsidRPr="00A52AB8" w14:paraId="5272DAE6" w14:textId="77777777" w:rsidTr="00C50E43">
        <w:trPr>
          <w:jc w:val="center"/>
        </w:trPr>
        <w:tc>
          <w:tcPr>
            <w:tcW w:w="4328" w:type="pct"/>
          </w:tcPr>
          <w:p w14:paraId="7FCE5969" w14:textId="77777777" w:rsidR="00D904EF" w:rsidRPr="00A52AB8" w:rsidRDefault="00D904EF" w:rsidP="00C50E43">
            <w:pPr>
              <w:spacing w:before="20" w:after="20"/>
              <w:rPr>
                <w:b/>
                <w:bCs/>
                <w:color w:val="000000" w:themeColor="text1"/>
                <w:sz w:val="20"/>
                <w:szCs w:val="20"/>
              </w:rPr>
            </w:pPr>
            <w:r w:rsidRPr="00A52AB8">
              <w:rPr>
                <w:bCs/>
                <w:color w:val="000000" w:themeColor="text1"/>
                <w:sz w:val="20"/>
                <w:szCs w:val="20"/>
              </w:rPr>
              <w:tab/>
            </w:r>
            <w:r w:rsidRPr="00A52AB8">
              <w:rPr>
                <w:bCs/>
                <w:color w:val="000000" w:themeColor="text1"/>
                <w:sz w:val="20"/>
                <w:szCs w:val="20"/>
              </w:rPr>
              <w:tab/>
            </w:r>
            <w:r w:rsidRPr="00A52AB8">
              <w:rPr>
                <w:b/>
                <w:bCs/>
                <w:color w:val="000000" w:themeColor="text1"/>
                <w:sz w:val="20"/>
                <w:szCs w:val="20"/>
              </w:rPr>
              <w:t>as_attribute_idx</w:t>
            </w:r>
            <w:r w:rsidRPr="00A52AB8">
              <w:rPr>
                <w:color w:val="000000" w:themeColor="text1"/>
                <w:sz w:val="20"/>
                <w:szCs w:val="20"/>
              </w:rPr>
              <w:t>[ j ]</w:t>
            </w:r>
          </w:p>
        </w:tc>
        <w:tc>
          <w:tcPr>
            <w:tcW w:w="672" w:type="pct"/>
          </w:tcPr>
          <w:p w14:paraId="2A49208F" w14:textId="77777777" w:rsidR="00D904EF" w:rsidRPr="00A52AB8" w:rsidRDefault="00D904EF" w:rsidP="00C50E43">
            <w:pPr>
              <w:spacing w:before="20" w:after="20"/>
              <w:jc w:val="center"/>
              <w:rPr>
                <w:color w:val="000000" w:themeColor="text1"/>
                <w:sz w:val="20"/>
                <w:szCs w:val="20"/>
              </w:rPr>
            </w:pPr>
            <w:r w:rsidRPr="00A52AB8">
              <w:rPr>
                <w:color w:val="000000" w:themeColor="text1"/>
                <w:sz w:val="20"/>
                <w:szCs w:val="20"/>
              </w:rPr>
              <w:t>u(7)</w:t>
            </w:r>
          </w:p>
        </w:tc>
      </w:tr>
      <w:tr w:rsidR="00D904EF" w:rsidRPr="00A52AB8" w14:paraId="03B9AFAC" w14:textId="77777777" w:rsidTr="00C50E43">
        <w:trPr>
          <w:jc w:val="center"/>
        </w:trPr>
        <w:tc>
          <w:tcPr>
            <w:tcW w:w="4328" w:type="pct"/>
          </w:tcPr>
          <w:p w14:paraId="1B44984D" w14:textId="171BF045" w:rsidR="00D904EF" w:rsidRPr="00A52AB8" w:rsidRDefault="00D904EF" w:rsidP="00C50E43">
            <w:pPr>
              <w:spacing w:before="20" w:after="20"/>
              <w:rPr>
                <w:bCs/>
                <w:color w:val="000000" w:themeColor="text1"/>
                <w:sz w:val="20"/>
                <w:szCs w:val="20"/>
              </w:rPr>
            </w:pPr>
            <w:r w:rsidRPr="00A52AB8">
              <w:rPr>
                <w:b/>
                <w:color w:val="000000" w:themeColor="text1"/>
                <w:sz w:val="20"/>
                <w:szCs w:val="20"/>
              </w:rPr>
              <w:tab/>
            </w:r>
            <w:r w:rsidRPr="00A52AB8">
              <w:rPr>
                <w:b/>
                <w:color w:val="000000" w:themeColor="text1"/>
                <w:sz w:val="20"/>
                <w:szCs w:val="20"/>
              </w:rPr>
              <w:tab/>
            </w:r>
            <w:r w:rsidRPr="00A52AB8">
              <w:rPr>
                <w:bCs/>
                <w:color w:val="000000" w:themeColor="text1"/>
                <w:sz w:val="20"/>
                <w:szCs w:val="20"/>
              </w:rPr>
              <w:t>k</w:t>
            </w:r>
            <w:r w:rsidR="0023721F" w:rsidRPr="00A52AB8">
              <w:rPr>
                <w:bCs/>
                <w:color w:val="000000" w:themeColor="text1"/>
                <w:sz w:val="20"/>
                <w:szCs w:val="20"/>
              </w:rPr>
              <w:t> </w:t>
            </w:r>
            <w:r w:rsidR="00D47707" w:rsidRPr="00A52AB8">
              <w:rPr>
                <w:bCs/>
                <w:color w:val="000000" w:themeColor="text1"/>
                <w:sz w:val="20"/>
                <w:szCs w:val="20"/>
              </w:rPr>
              <w:t>= </w:t>
            </w:r>
            <w:r w:rsidRPr="00A52AB8">
              <w:rPr>
                <w:bCs/>
                <w:color w:val="000000" w:themeColor="text1"/>
                <w:sz w:val="20"/>
                <w:szCs w:val="20"/>
              </w:rPr>
              <w:t>as_attribute_idx[ j ]</w:t>
            </w:r>
          </w:p>
        </w:tc>
        <w:tc>
          <w:tcPr>
            <w:tcW w:w="672" w:type="pct"/>
          </w:tcPr>
          <w:p w14:paraId="31938748" w14:textId="77777777" w:rsidR="00D904EF" w:rsidRPr="00A52AB8" w:rsidRDefault="00D904EF" w:rsidP="00C50E43">
            <w:pPr>
              <w:spacing w:before="20" w:after="20"/>
              <w:jc w:val="center"/>
              <w:rPr>
                <w:color w:val="000000" w:themeColor="text1"/>
                <w:sz w:val="20"/>
                <w:szCs w:val="20"/>
              </w:rPr>
            </w:pPr>
          </w:p>
        </w:tc>
      </w:tr>
      <w:tr w:rsidR="00D904EF" w:rsidRPr="00A52AB8" w14:paraId="4760B068" w14:textId="77777777" w:rsidTr="00C50E43">
        <w:trPr>
          <w:jc w:val="center"/>
        </w:trPr>
        <w:tc>
          <w:tcPr>
            <w:tcW w:w="4328" w:type="pct"/>
          </w:tcPr>
          <w:p w14:paraId="05951D26" w14:textId="77777777" w:rsidR="00D904EF" w:rsidRPr="00A52AB8" w:rsidRDefault="00D904EF" w:rsidP="00C50E43">
            <w:pPr>
              <w:spacing w:before="20" w:after="20"/>
              <w:rPr>
                <w:b/>
                <w:color w:val="000000" w:themeColor="text1"/>
                <w:sz w:val="20"/>
                <w:szCs w:val="20"/>
              </w:rPr>
            </w:pPr>
            <w:r w:rsidRPr="00A52AB8">
              <w:rPr>
                <w:b/>
                <w:color w:val="000000" w:themeColor="text1"/>
                <w:sz w:val="20"/>
                <w:szCs w:val="20"/>
              </w:rPr>
              <w:tab/>
            </w:r>
            <w:r w:rsidRPr="00A52AB8">
              <w:rPr>
                <w:b/>
                <w:color w:val="000000" w:themeColor="text1"/>
                <w:sz w:val="20"/>
                <w:szCs w:val="20"/>
              </w:rPr>
              <w:tab/>
              <w:t>as_attribute_smoothing_cancel_flag</w:t>
            </w:r>
            <w:r w:rsidRPr="00A52AB8">
              <w:rPr>
                <w:bCs/>
                <w:color w:val="000000" w:themeColor="text1"/>
                <w:sz w:val="20"/>
                <w:szCs w:val="20"/>
              </w:rPr>
              <w:t>[ k ]</w:t>
            </w:r>
          </w:p>
        </w:tc>
        <w:tc>
          <w:tcPr>
            <w:tcW w:w="672" w:type="pct"/>
          </w:tcPr>
          <w:p w14:paraId="448BEF1B" w14:textId="77777777" w:rsidR="00D904EF" w:rsidRPr="00A52AB8" w:rsidRDefault="00D904EF" w:rsidP="00C50E43">
            <w:pPr>
              <w:spacing w:before="20" w:after="20"/>
              <w:jc w:val="center"/>
              <w:rPr>
                <w:color w:val="000000" w:themeColor="text1"/>
                <w:sz w:val="20"/>
                <w:szCs w:val="20"/>
              </w:rPr>
            </w:pPr>
            <w:r w:rsidRPr="00A52AB8">
              <w:rPr>
                <w:color w:val="000000" w:themeColor="text1"/>
                <w:sz w:val="20"/>
                <w:szCs w:val="20"/>
              </w:rPr>
              <w:t>u(1)</w:t>
            </w:r>
          </w:p>
        </w:tc>
      </w:tr>
      <w:tr w:rsidR="00D904EF" w:rsidRPr="00A52AB8" w14:paraId="595A1089" w14:textId="77777777" w:rsidTr="00C50E43">
        <w:trPr>
          <w:jc w:val="center"/>
        </w:trPr>
        <w:tc>
          <w:tcPr>
            <w:tcW w:w="4328" w:type="pct"/>
          </w:tcPr>
          <w:p w14:paraId="635C5833" w14:textId="77777777" w:rsidR="00D904EF" w:rsidRPr="00A52AB8" w:rsidRDefault="00D904EF" w:rsidP="00C50E43">
            <w:pPr>
              <w:spacing w:before="20" w:after="20"/>
              <w:rPr>
                <w:color w:val="000000" w:themeColor="text1"/>
                <w:sz w:val="20"/>
                <w:szCs w:val="20"/>
              </w:rPr>
            </w:pPr>
            <w:r w:rsidRPr="00A52AB8">
              <w:rPr>
                <w:b/>
                <w:color w:val="000000" w:themeColor="text1"/>
                <w:sz w:val="20"/>
                <w:szCs w:val="20"/>
              </w:rPr>
              <w:tab/>
            </w:r>
            <w:r w:rsidRPr="00A52AB8">
              <w:rPr>
                <w:b/>
                <w:color w:val="000000" w:themeColor="text1"/>
                <w:sz w:val="20"/>
                <w:szCs w:val="20"/>
              </w:rPr>
              <w:tab/>
              <w:t>as_instances_updated</w:t>
            </w:r>
            <w:r w:rsidRPr="00A52AB8">
              <w:rPr>
                <w:bCs/>
                <w:color w:val="000000" w:themeColor="text1"/>
                <w:sz w:val="20"/>
                <w:szCs w:val="20"/>
              </w:rPr>
              <w:t>[ k ]</w:t>
            </w:r>
          </w:p>
        </w:tc>
        <w:tc>
          <w:tcPr>
            <w:tcW w:w="672" w:type="pct"/>
          </w:tcPr>
          <w:p w14:paraId="68B0953C" w14:textId="77777777" w:rsidR="00D904EF" w:rsidRPr="00A52AB8" w:rsidRDefault="00D904EF" w:rsidP="00C50E43">
            <w:pPr>
              <w:spacing w:before="20" w:after="20"/>
              <w:jc w:val="center"/>
              <w:rPr>
                <w:b/>
                <w:color w:val="000000" w:themeColor="text1"/>
                <w:sz w:val="20"/>
                <w:szCs w:val="20"/>
              </w:rPr>
            </w:pPr>
            <w:r w:rsidRPr="00A52AB8">
              <w:rPr>
                <w:color w:val="000000" w:themeColor="text1"/>
                <w:sz w:val="20"/>
                <w:szCs w:val="20"/>
              </w:rPr>
              <w:t>u(8)</w:t>
            </w:r>
          </w:p>
        </w:tc>
      </w:tr>
      <w:tr w:rsidR="00D904EF" w:rsidRPr="00A52AB8" w14:paraId="0D9F5F78" w14:textId="77777777" w:rsidTr="00C50E43">
        <w:trPr>
          <w:jc w:val="center"/>
        </w:trPr>
        <w:tc>
          <w:tcPr>
            <w:tcW w:w="4328" w:type="pct"/>
          </w:tcPr>
          <w:p w14:paraId="6F394DA1" w14:textId="3485E7E0" w:rsidR="00D904EF" w:rsidRPr="00A52AB8" w:rsidRDefault="00D904EF" w:rsidP="00C50E43">
            <w:pPr>
              <w:spacing w:before="20" w:after="20"/>
              <w:rPr>
                <w:color w:val="000000" w:themeColor="text1"/>
                <w:sz w:val="20"/>
                <w:szCs w:val="20"/>
              </w:rPr>
            </w:pPr>
            <w:r w:rsidRPr="00A52AB8">
              <w:rPr>
                <w:color w:val="000000" w:themeColor="text1"/>
                <w:sz w:val="20"/>
                <w:szCs w:val="20"/>
              </w:rPr>
              <w:tab/>
            </w:r>
            <w:r w:rsidRPr="00A52AB8">
              <w:rPr>
                <w:color w:val="000000" w:themeColor="text1"/>
                <w:sz w:val="20"/>
                <w:szCs w:val="20"/>
              </w:rPr>
              <w:tab/>
            </w:r>
            <w:r w:rsidRPr="00A52AB8">
              <w:rPr>
                <w:bCs/>
                <w:sz w:val="20"/>
                <w:szCs w:val="20"/>
              </w:rPr>
              <w:t>for( i=0; i &lt; as_</w:t>
            </w:r>
            <w:r w:rsidRPr="00A52AB8">
              <w:rPr>
                <w:bCs/>
                <w:color w:val="000000" w:themeColor="text1"/>
                <w:sz w:val="20"/>
                <w:szCs w:val="20"/>
              </w:rPr>
              <w:t>instances_updated[ k ]</w:t>
            </w:r>
            <w:r w:rsidRPr="00A52AB8">
              <w:rPr>
                <w:bCs/>
                <w:sz w:val="20"/>
                <w:szCs w:val="20"/>
              </w:rPr>
              <w:t>; i++ </w:t>
            </w:r>
            <w:r w:rsidR="008F1F82" w:rsidRPr="00A52AB8">
              <w:rPr>
                <w:bCs/>
                <w:sz w:val="20"/>
                <w:szCs w:val="20"/>
              </w:rPr>
              <w:t>) {</w:t>
            </w:r>
          </w:p>
        </w:tc>
        <w:tc>
          <w:tcPr>
            <w:tcW w:w="672" w:type="pct"/>
          </w:tcPr>
          <w:p w14:paraId="04640EFB" w14:textId="77777777" w:rsidR="00D904EF" w:rsidRPr="00A52AB8" w:rsidRDefault="00D904EF" w:rsidP="00C50E43">
            <w:pPr>
              <w:spacing w:before="20" w:after="20"/>
              <w:jc w:val="center"/>
              <w:rPr>
                <w:b/>
                <w:color w:val="000000" w:themeColor="text1"/>
                <w:sz w:val="20"/>
                <w:szCs w:val="20"/>
              </w:rPr>
            </w:pPr>
          </w:p>
        </w:tc>
      </w:tr>
      <w:tr w:rsidR="00D904EF" w:rsidRPr="00A52AB8" w14:paraId="6F2B316F" w14:textId="77777777" w:rsidTr="00C50E43">
        <w:trPr>
          <w:jc w:val="center"/>
        </w:trPr>
        <w:tc>
          <w:tcPr>
            <w:tcW w:w="4328" w:type="pct"/>
          </w:tcPr>
          <w:p w14:paraId="361E3F7C" w14:textId="77777777" w:rsidR="00D904EF" w:rsidRPr="00A52AB8" w:rsidRDefault="00D904EF" w:rsidP="00C50E43">
            <w:pPr>
              <w:spacing w:before="20" w:after="20"/>
              <w:rPr>
                <w:color w:val="000000" w:themeColor="text1"/>
                <w:sz w:val="20"/>
                <w:szCs w:val="20"/>
              </w:rPr>
            </w:pPr>
            <w:r w:rsidRPr="00A52AB8">
              <w:rPr>
                <w:b/>
                <w:color w:val="000000" w:themeColor="text1"/>
                <w:sz w:val="20"/>
                <w:szCs w:val="20"/>
              </w:rPr>
              <w:tab/>
            </w:r>
            <w:r w:rsidRPr="00A52AB8">
              <w:rPr>
                <w:b/>
                <w:color w:val="000000" w:themeColor="text1"/>
                <w:sz w:val="20"/>
                <w:szCs w:val="20"/>
              </w:rPr>
              <w:tab/>
            </w:r>
            <w:r w:rsidRPr="00A52AB8">
              <w:rPr>
                <w:b/>
                <w:color w:val="000000" w:themeColor="text1"/>
                <w:sz w:val="20"/>
                <w:szCs w:val="20"/>
              </w:rPr>
              <w:tab/>
              <w:t>as_instance_index</w:t>
            </w:r>
            <w:r w:rsidRPr="00A52AB8">
              <w:rPr>
                <w:bCs/>
                <w:color w:val="000000" w:themeColor="text1"/>
                <w:sz w:val="20"/>
                <w:szCs w:val="20"/>
              </w:rPr>
              <w:t>[ k ][ i ]</w:t>
            </w:r>
          </w:p>
        </w:tc>
        <w:tc>
          <w:tcPr>
            <w:tcW w:w="672" w:type="pct"/>
          </w:tcPr>
          <w:p w14:paraId="41763710" w14:textId="77777777" w:rsidR="00D904EF" w:rsidRPr="00A52AB8" w:rsidRDefault="00D904EF" w:rsidP="00C50E43">
            <w:pPr>
              <w:spacing w:before="20" w:after="20"/>
              <w:jc w:val="center"/>
              <w:rPr>
                <w:b/>
                <w:color w:val="000000" w:themeColor="text1"/>
                <w:sz w:val="20"/>
                <w:szCs w:val="20"/>
              </w:rPr>
            </w:pPr>
            <w:r w:rsidRPr="00A52AB8">
              <w:rPr>
                <w:color w:val="000000" w:themeColor="text1"/>
                <w:sz w:val="20"/>
                <w:szCs w:val="20"/>
              </w:rPr>
              <w:t>u(8)</w:t>
            </w:r>
          </w:p>
        </w:tc>
      </w:tr>
      <w:tr w:rsidR="00D904EF" w:rsidRPr="00A52AB8" w14:paraId="5DD52FCA" w14:textId="77777777" w:rsidTr="00C50E43">
        <w:trPr>
          <w:jc w:val="center"/>
        </w:trPr>
        <w:tc>
          <w:tcPr>
            <w:tcW w:w="4328" w:type="pct"/>
          </w:tcPr>
          <w:p w14:paraId="67145A3F" w14:textId="4D5C71DD" w:rsidR="00D904EF" w:rsidRPr="00A52AB8" w:rsidRDefault="00D904EF" w:rsidP="00C50E43">
            <w:pPr>
              <w:spacing w:before="20" w:after="20"/>
              <w:rPr>
                <w:bCs/>
                <w:color w:val="000000" w:themeColor="text1"/>
                <w:sz w:val="20"/>
                <w:szCs w:val="20"/>
              </w:rPr>
            </w:pPr>
            <w:r w:rsidRPr="00A52AB8">
              <w:rPr>
                <w:b/>
                <w:color w:val="000000" w:themeColor="text1"/>
                <w:sz w:val="20"/>
                <w:szCs w:val="20"/>
              </w:rPr>
              <w:tab/>
            </w:r>
            <w:r w:rsidRPr="00A52AB8">
              <w:rPr>
                <w:b/>
                <w:color w:val="000000" w:themeColor="text1"/>
                <w:sz w:val="20"/>
                <w:szCs w:val="20"/>
              </w:rPr>
              <w:tab/>
            </w:r>
            <w:r w:rsidRPr="00A52AB8">
              <w:rPr>
                <w:b/>
                <w:color w:val="000000" w:themeColor="text1"/>
                <w:sz w:val="20"/>
                <w:szCs w:val="20"/>
              </w:rPr>
              <w:tab/>
            </w:r>
            <w:r w:rsidRPr="00A52AB8">
              <w:rPr>
                <w:bCs/>
                <w:color w:val="000000" w:themeColor="text1"/>
                <w:sz w:val="20"/>
                <w:szCs w:val="20"/>
              </w:rPr>
              <w:t>m</w:t>
            </w:r>
            <w:r w:rsidR="0023721F" w:rsidRPr="00A52AB8">
              <w:rPr>
                <w:bCs/>
                <w:color w:val="000000" w:themeColor="text1"/>
                <w:sz w:val="20"/>
                <w:szCs w:val="20"/>
              </w:rPr>
              <w:t> </w:t>
            </w:r>
            <w:r w:rsidR="00D47707" w:rsidRPr="00A52AB8">
              <w:rPr>
                <w:bCs/>
                <w:color w:val="000000" w:themeColor="text1"/>
                <w:sz w:val="20"/>
                <w:szCs w:val="20"/>
              </w:rPr>
              <w:t>= </w:t>
            </w:r>
            <w:r w:rsidRPr="00A52AB8">
              <w:rPr>
                <w:bCs/>
                <w:color w:val="000000" w:themeColor="text1"/>
                <w:sz w:val="20"/>
                <w:szCs w:val="20"/>
              </w:rPr>
              <w:t>as_instance_index[ k ][ i ]</w:t>
            </w:r>
          </w:p>
        </w:tc>
        <w:tc>
          <w:tcPr>
            <w:tcW w:w="672" w:type="pct"/>
          </w:tcPr>
          <w:p w14:paraId="12D70485" w14:textId="77777777" w:rsidR="00D904EF" w:rsidRPr="00A52AB8" w:rsidRDefault="00D904EF" w:rsidP="00C50E43">
            <w:pPr>
              <w:spacing w:before="20" w:after="20"/>
              <w:jc w:val="center"/>
              <w:rPr>
                <w:color w:val="000000" w:themeColor="text1"/>
                <w:sz w:val="20"/>
                <w:szCs w:val="20"/>
              </w:rPr>
            </w:pPr>
          </w:p>
        </w:tc>
      </w:tr>
      <w:tr w:rsidR="00D904EF" w:rsidRPr="00A52AB8" w14:paraId="171EF6EE" w14:textId="77777777" w:rsidTr="00C50E43">
        <w:trPr>
          <w:jc w:val="center"/>
        </w:trPr>
        <w:tc>
          <w:tcPr>
            <w:tcW w:w="4328" w:type="pct"/>
          </w:tcPr>
          <w:p w14:paraId="5697518A" w14:textId="77777777" w:rsidR="00D904EF" w:rsidRPr="00A52AB8" w:rsidRDefault="00D904EF" w:rsidP="00C50E43">
            <w:pPr>
              <w:spacing w:before="20" w:after="20"/>
              <w:rPr>
                <w:color w:val="000000" w:themeColor="text1"/>
                <w:sz w:val="20"/>
                <w:szCs w:val="20"/>
              </w:rPr>
            </w:pPr>
            <w:r w:rsidRPr="00A52AB8">
              <w:rPr>
                <w:b/>
                <w:color w:val="000000" w:themeColor="text1"/>
                <w:sz w:val="20"/>
                <w:szCs w:val="20"/>
              </w:rPr>
              <w:tab/>
            </w:r>
            <w:r w:rsidRPr="00A52AB8">
              <w:rPr>
                <w:b/>
                <w:color w:val="000000" w:themeColor="text1"/>
                <w:sz w:val="20"/>
                <w:szCs w:val="20"/>
              </w:rPr>
              <w:tab/>
            </w:r>
            <w:r w:rsidRPr="00A52AB8">
              <w:rPr>
                <w:b/>
                <w:color w:val="000000" w:themeColor="text1"/>
                <w:sz w:val="20"/>
                <w:szCs w:val="20"/>
              </w:rPr>
              <w:tab/>
              <w:t>as_instance_cancel_flag</w:t>
            </w:r>
            <w:r w:rsidRPr="00A52AB8">
              <w:rPr>
                <w:bCs/>
                <w:color w:val="000000" w:themeColor="text1"/>
                <w:sz w:val="20"/>
                <w:szCs w:val="20"/>
              </w:rPr>
              <w:t>[ k ][ m ]</w:t>
            </w:r>
          </w:p>
        </w:tc>
        <w:tc>
          <w:tcPr>
            <w:tcW w:w="672" w:type="pct"/>
          </w:tcPr>
          <w:p w14:paraId="06201053" w14:textId="77777777" w:rsidR="00D904EF" w:rsidRPr="00A52AB8" w:rsidRDefault="00D904EF" w:rsidP="00C50E43">
            <w:pPr>
              <w:spacing w:before="20" w:after="20"/>
              <w:jc w:val="center"/>
              <w:rPr>
                <w:b/>
                <w:color w:val="000000" w:themeColor="text1"/>
                <w:sz w:val="20"/>
                <w:szCs w:val="20"/>
              </w:rPr>
            </w:pPr>
            <w:r w:rsidRPr="00A52AB8">
              <w:rPr>
                <w:color w:val="000000" w:themeColor="text1"/>
                <w:sz w:val="20"/>
                <w:szCs w:val="20"/>
              </w:rPr>
              <w:t>u(1)</w:t>
            </w:r>
          </w:p>
        </w:tc>
      </w:tr>
      <w:tr w:rsidR="00D904EF" w:rsidRPr="00A52AB8" w14:paraId="62EE8EAA" w14:textId="77777777" w:rsidTr="00C50E43">
        <w:trPr>
          <w:jc w:val="center"/>
        </w:trPr>
        <w:tc>
          <w:tcPr>
            <w:tcW w:w="4328" w:type="pct"/>
          </w:tcPr>
          <w:p w14:paraId="19F3B379" w14:textId="345DFC1F" w:rsidR="00D904EF" w:rsidRPr="00A52AB8" w:rsidRDefault="00D904EF" w:rsidP="00C50E43">
            <w:pPr>
              <w:spacing w:before="20" w:after="20"/>
              <w:rPr>
                <w:color w:val="000000" w:themeColor="text1"/>
                <w:sz w:val="20"/>
                <w:szCs w:val="20"/>
              </w:rPr>
            </w:pPr>
            <w:r w:rsidRPr="00A52AB8">
              <w:rPr>
                <w:bCs/>
                <w:color w:val="000000" w:themeColor="text1"/>
                <w:sz w:val="20"/>
                <w:szCs w:val="20"/>
              </w:rPr>
              <w:tab/>
            </w:r>
            <w:r w:rsidRPr="00A52AB8">
              <w:rPr>
                <w:bCs/>
                <w:color w:val="000000" w:themeColor="text1"/>
                <w:sz w:val="20"/>
                <w:szCs w:val="20"/>
              </w:rPr>
              <w:tab/>
            </w:r>
            <w:r w:rsidRPr="00A52AB8">
              <w:rPr>
                <w:bCs/>
                <w:color w:val="000000" w:themeColor="text1"/>
                <w:sz w:val="20"/>
                <w:szCs w:val="20"/>
              </w:rPr>
              <w:tab/>
              <w:t>if( as_instance_cancel_flag[ k ][ m ] </w:t>
            </w:r>
            <w:r w:rsidR="00E963F3" w:rsidRPr="00A52AB8">
              <w:rPr>
                <w:bCs/>
                <w:color w:val="000000" w:themeColor="text1"/>
                <w:sz w:val="20"/>
                <w:szCs w:val="20"/>
              </w:rPr>
              <w:t>!=</w:t>
            </w:r>
            <w:r w:rsidR="00D47707" w:rsidRPr="00A52AB8">
              <w:rPr>
                <w:bCs/>
                <w:color w:val="000000" w:themeColor="text1"/>
                <w:sz w:val="20"/>
                <w:szCs w:val="20"/>
              </w:rPr>
              <w:t> </w:t>
            </w:r>
            <w:r w:rsidRPr="00A52AB8">
              <w:rPr>
                <w:bCs/>
                <w:color w:val="000000" w:themeColor="text1"/>
                <w:sz w:val="20"/>
                <w:szCs w:val="20"/>
              </w:rPr>
              <w:t>1 </w:t>
            </w:r>
            <w:r w:rsidR="008F1F82" w:rsidRPr="00A52AB8">
              <w:rPr>
                <w:bCs/>
                <w:color w:val="000000" w:themeColor="text1"/>
                <w:sz w:val="20"/>
                <w:szCs w:val="20"/>
              </w:rPr>
              <w:t>) {</w:t>
            </w:r>
          </w:p>
        </w:tc>
        <w:tc>
          <w:tcPr>
            <w:tcW w:w="672" w:type="pct"/>
          </w:tcPr>
          <w:p w14:paraId="3538E679" w14:textId="77777777" w:rsidR="00D904EF" w:rsidRPr="00A52AB8" w:rsidRDefault="00D904EF" w:rsidP="00C50E43">
            <w:pPr>
              <w:spacing w:before="20" w:after="20"/>
              <w:jc w:val="center"/>
              <w:rPr>
                <w:b/>
                <w:color w:val="000000" w:themeColor="text1"/>
                <w:sz w:val="20"/>
                <w:szCs w:val="20"/>
              </w:rPr>
            </w:pPr>
          </w:p>
        </w:tc>
      </w:tr>
      <w:tr w:rsidR="00D904EF" w:rsidRPr="00A52AB8" w14:paraId="1A01A9EB" w14:textId="77777777" w:rsidTr="00C50E43">
        <w:trPr>
          <w:jc w:val="center"/>
        </w:trPr>
        <w:tc>
          <w:tcPr>
            <w:tcW w:w="4328" w:type="pct"/>
          </w:tcPr>
          <w:p w14:paraId="74E4005F" w14:textId="77777777" w:rsidR="00D904EF" w:rsidRPr="00A52AB8" w:rsidRDefault="00D904EF" w:rsidP="00C50E43">
            <w:pPr>
              <w:spacing w:before="20" w:after="20"/>
              <w:rPr>
                <w:color w:val="000000" w:themeColor="text1"/>
                <w:sz w:val="20"/>
                <w:szCs w:val="20"/>
              </w:rPr>
            </w:pPr>
            <w:r w:rsidRPr="00A52AB8">
              <w:rPr>
                <w:b/>
                <w:color w:val="000000" w:themeColor="text1"/>
                <w:sz w:val="20"/>
                <w:szCs w:val="20"/>
              </w:rPr>
              <w:tab/>
            </w:r>
            <w:r w:rsidRPr="00A52AB8">
              <w:rPr>
                <w:b/>
                <w:color w:val="000000" w:themeColor="text1"/>
                <w:sz w:val="20"/>
                <w:szCs w:val="20"/>
              </w:rPr>
              <w:tab/>
            </w:r>
            <w:r w:rsidRPr="00A52AB8">
              <w:rPr>
                <w:b/>
                <w:color w:val="000000" w:themeColor="text1"/>
                <w:sz w:val="20"/>
                <w:szCs w:val="20"/>
              </w:rPr>
              <w:tab/>
            </w:r>
            <w:r w:rsidRPr="00A52AB8">
              <w:rPr>
                <w:b/>
                <w:color w:val="000000" w:themeColor="text1"/>
                <w:sz w:val="20"/>
                <w:szCs w:val="20"/>
              </w:rPr>
              <w:tab/>
              <w:t>as_method_type</w:t>
            </w:r>
            <w:r w:rsidRPr="00A52AB8">
              <w:rPr>
                <w:bCs/>
                <w:color w:val="000000" w:themeColor="text1"/>
                <w:sz w:val="20"/>
                <w:szCs w:val="20"/>
              </w:rPr>
              <w:t>[ k ][ m ]</w:t>
            </w:r>
          </w:p>
        </w:tc>
        <w:tc>
          <w:tcPr>
            <w:tcW w:w="672" w:type="pct"/>
          </w:tcPr>
          <w:p w14:paraId="69EF3CF0" w14:textId="77777777" w:rsidR="00D904EF" w:rsidRPr="00A52AB8" w:rsidRDefault="00D904EF" w:rsidP="00C50E43">
            <w:pPr>
              <w:spacing w:before="20" w:after="20"/>
              <w:jc w:val="center"/>
              <w:rPr>
                <w:b/>
                <w:color w:val="000000" w:themeColor="text1"/>
                <w:sz w:val="20"/>
                <w:szCs w:val="20"/>
              </w:rPr>
            </w:pPr>
            <w:r w:rsidRPr="00A52AB8">
              <w:rPr>
                <w:color w:val="000000" w:themeColor="text1"/>
                <w:sz w:val="20"/>
                <w:szCs w:val="20"/>
              </w:rPr>
              <w:t>ue(v)</w:t>
            </w:r>
          </w:p>
        </w:tc>
      </w:tr>
      <w:tr w:rsidR="00D904EF" w:rsidRPr="00A52AB8" w14:paraId="12EDA79E" w14:textId="77777777" w:rsidTr="00C50E43">
        <w:trPr>
          <w:jc w:val="center"/>
        </w:trPr>
        <w:tc>
          <w:tcPr>
            <w:tcW w:w="4328" w:type="pct"/>
          </w:tcPr>
          <w:p w14:paraId="4CE050F8" w14:textId="5BD7706A" w:rsidR="00D904EF" w:rsidRPr="00A52AB8" w:rsidRDefault="00D904EF" w:rsidP="00C50E43">
            <w:pPr>
              <w:spacing w:before="20" w:after="20"/>
              <w:rPr>
                <w:bCs/>
                <w:color w:val="000000" w:themeColor="text1"/>
                <w:sz w:val="20"/>
                <w:szCs w:val="20"/>
              </w:rPr>
            </w:pPr>
            <w:r w:rsidRPr="00A52AB8">
              <w:rPr>
                <w:bCs/>
                <w:color w:val="000000" w:themeColor="text1"/>
                <w:sz w:val="20"/>
                <w:szCs w:val="20"/>
              </w:rPr>
              <w:tab/>
            </w:r>
            <w:r w:rsidRPr="00A52AB8">
              <w:rPr>
                <w:bCs/>
                <w:color w:val="000000" w:themeColor="text1"/>
                <w:sz w:val="20"/>
                <w:szCs w:val="20"/>
              </w:rPr>
              <w:tab/>
            </w:r>
            <w:r w:rsidRPr="00A52AB8">
              <w:rPr>
                <w:bCs/>
                <w:color w:val="000000" w:themeColor="text1"/>
                <w:sz w:val="20"/>
                <w:szCs w:val="20"/>
              </w:rPr>
              <w:tab/>
            </w:r>
            <w:r w:rsidRPr="00A52AB8">
              <w:rPr>
                <w:bCs/>
                <w:color w:val="000000" w:themeColor="text1"/>
                <w:sz w:val="20"/>
                <w:szCs w:val="20"/>
              </w:rPr>
              <w:tab/>
            </w:r>
            <w:r w:rsidR="00D63ACE" w:rsidRPr="00A52AB8">
              <w:rPr>
                <w:bCs/>
                <w:color w:val="000000" w:themeColor="text1"/>
                <w:sz w:val="20"/>
                <w:szCs w:val="20"/>
              </w:rPr>
              <w:t>if(</w:t>
            </w:r>
            <w:r w:rsidRPr="00A52AB8">
              <w:rPr>
                <w:bCs/>
                <w:color w:val="000000" w:themeColor="text1"/>
                <w:sz w:val="20"/>
                <w:szCs w:val="20"/>
              </w:rPr>
              <w:t>as_method_type[ k ][ m ]</w:t>
            </w:r>
            <w:r w:rsidR="008768E9" w:rsidRPr="00A52AB8">
              <w:rPr>
                <w:bCs/>
                <w:color w:val="000000" w:themeColor="text1"/>
                <w:sz w:val="20"/>
                <w:szCs w:val="20"/>
              </w:rPr>
              <w:t> </w:t>
            </w:r>
            <w:r w:rsidR="00726AAE" w:rsidRPr="00A52AB8">
              <w:rPr>
                <w:bCs/>
                <w:color w:val="000000" w:themeColor="text1"/>
                <w:sz w:val="20"/>
                <w:szCs w:val="20"/>
              </w:rPr>
              <w:t>==</w:t>
            </w:r>
            <w:r w:rsidR="00D47707" w:rsidRPr="00A52AB8">
              <w:rPr>
                <w:bCs/>
                <w:color w:val="000000" w:themeColor="text1"/>
                <w:sz w:val="20"/>
                <w:szCs w:val="20"/>
              </w:rPr>
              <w:t> </w:t>
            </w:r>
            <w:r w:rsidRPr="00A52AB8">
              <w:rPr>
                <w:bCs/>
                <w:color w:val="000000" w:themeColor="text1"/>
                <w:sz w:val="20"/>
                <w:szCs w:val="20"/>
              </w:rPr>
              <w:t>1</w:t>
            </w:r>
            <w:r w:rsidR="008F1F82" w:rsidRPr="00A52AB8">
              <w:rPr>
                <w:bCs/>
                <w:color w:val="000000" w:themeColor="text1"/>
                <w:sz w:val="20"/>
                <w:szCs w:val="20"/>
              </w:rPr>
              <w:t>) {</w:t>
            </w:r>
          </w:p>
        </w:tc>
        <w:tc>
          <w:tcPr>
            <w:tcW w:w="672" w:type="pct"/>
          </w:tcPr>
          <w:p w14:paraId="548F2790" w14:textId="77777777" w:rsidR="00D904EF" w:rsidRPr="00A52AB8" w:rsidRDefault="00D904EF" w:rsidP="00C50E43">
            <w:pPr>
              <w:spacing w:before="20" w:after="20"/>
              <w:jc w:val="center"/>
              <w:rPr>
                <w:color w:val="000000" w:themeColor="text1"/>
                <w:sz w:val="20"/>
                <w:szCs w:val="20"/>
              </w:rPr>
            </w:pPr>
          </w:p>
        </w:tc>
      </w:tr>
      <w:tr w:rsidR="00D904EF" w:rsidRPr="00A52AB8" w14:paraId="6025287E" w14:textId="77777777" w:rsidTr="00C50E43">
        <w:trPr>
          <w:jc w:val="center"/>
        </w:trPr>
        <w:tc>
          <w:tcPr>
            <w:tcW w:w="4328" w:type="pct"/>
          </w:tcPr>
          <w:p w14:paraId="424405E1" w14:textId="77777777" w:rsidR="00D904EF" w:rsidRPr="00A52AB8" w:rsidRDefault="00D904EF" w:rsidP="00C50E43">
            <w:pPr>
              <w:spacing w:before="20" w:after="20"/>
              <w:rPr>
                <w:bCs/>
                <w:color w:val="000000" w:themeColor="text1"/>
                <w:sz w:val="20"/>
                <w:szCs w:val="20"/>
              </w:rPr>
            </w:pPr>
            <w:r w:rsidRPr="00A52AB8">
              <w:rPr>
                <w:b/>
                <w:color w:val="000000" w:themeColor="text1"/>
                <w:sz w:val="20"/>
                <w:szCs w:val="20"/>
              </w:rPr>
              <w:tab/>
            </w:r>
            <w:r w:rsidRPr="00A52AB8">
              <w:rPr>
                <w:b/>
                <w:color w:val="000000" w:themeColor="text1"/>
                <w:sz w:val="20"/>
                <w:szCs w:val="20"/>
              </w:rPr>
              <w:tab/>
            </w:r>
            <w:r w:rsidRPr="00A52AB8">
              <w:rPr>
                <w:b/>
                <w:color w:val="000000" w:themeColor="text1"/>
                <w:sz w:val="20"/>
                <w:szCs w:val="20"/>
              </w:rPr>
              <w:tab/>
            </w:r>
            <w:r w:rsidRPr="00A52AB8">
              <w:rPr>
                <w:b/>
                <w:color w:val="000000" w:themeColor="text1"/>
                <w:sz w:val="20"/>
                <w:szCs w:val="20"/>
              </w:rPr>
              <w:tab/>
            </w:r>
            <w:r w:rsidRPr="00A52AB8">
              <w:rPr>
                <w:b/>
                <w:color w:val="000000" w:themeColor="text1"/>
                <w:sz w:val="20"/>
                <w:szCs w:val="20"/>
              </w:rPr>
              <w:tab/>
            </w:r>
            <w:r w:rsidRPr="00A52AB8">
              <w:rPr>
                <w:b/>
                <w:color w:val="000000" w:themeColor="text1"/>
                <w:sz w:val="20"/>
                <w:szCs w:val="20"/>
              </w:rPr>
              <w:tab/>
              <w:t>as_filter_eom_points_flag</w:t>
            </w:r>
            <w:r w:rsidRPr="00A52AB8">
              <w:rPr>
                <w:color w:val="000000" w:themeColor="text1"/>
                <w:sz w:val="20"/>
                <w:szCs w:val="20"/>
              </w:rPr>
              <w:t>[ k ][ m ]</w:t>
            </w:r>
          </w:p>
        </w:tc>
        <w:tc>
          <w:tcPr>
            <w:tcW w:w="672" w:type="pct"/>
          </w:tcPr>
          <w:p w14:paraId="46A26C65" w14:textId="77777777" w:rsidR="00D904EF" w:rsidRPr="00A52AB8" w:rsidRDefault="00D904EF" w:rsidP="00C50E43">
            <w:pPr>
              <w:spacing w:before="20" w:after="20"/>
              <w:jc w:val="center"/>
              <w:rPr>
                <w:color w:val="000000" w:themeColor="text1"/>
                <w:sz w:val="20"/>
                <w:szCs w:val="20"/>
              </w:rPr>
            </w:pPr>
            <w:r w:rsidRPr="00A52AB8">
              <w:rPr>
                <w:color w:val="000000" w:themeColor="text1"/>
                <w:sz w:val="20"/>
                <w:szCs w:val="20"/>
              </w:rPr>
              <w:t>u(1)</w:t>
            </w:r>
          </w:p>
        </w:tc>
      </w:tr>
      <w:tr w:rsidR="00D904EF" w:rsidRPr="00A52AB8" w14:paraId="015E8ADE" w14:textId="77777777" w:rsidTr="00C50E43">
        <w:trPr>
          <w:jc w:val="center"/>
        </w:trPr>
        <w:tc>
          <w:tcPr>
            <w:tcW w:w="4328" w:type="pct"/>
          </w:tcPr>
          <w:p w14:paraId="0C8F66C2" w14:textId="77777777" w:rsidR="00D904EF" w:rsidRPr="00A52AB8" w:rsidRDefault="00D904EF" w:rsidP="00C50E43">
            <w:pPr>
              <w:spacing w:before="20" w:after="20"/>
              <w:rPr>
                <w:b/>
                <w:color w:val="000000" w:themeColor="text1"/>
                <w:sz w:val="20"/>
                <w:szCs w:val="20"/>
              </w:rPr>
            </w:pPr>
            <w:r w:rsidRPr="00A52AB8">
              <w:rPr>
                <w:b/>
                <w:color w:val="000000" w:themeColor="text1"/>
                <w:sz w:val="20"/>
                <w:szCs w:val="20"/>
              </w:rPr>
              <w:tab/>
            </w:r>
            <w:r w:rsidRPr="00A52AB8">
              <w:rPr>
                <w:b/>
                <w:color w:val="000000" w:themeColor="text1"/>
                <w:sz w:val="20"/>
                <w:szCs w:val="20"/>
              </w:rPr>
              <w:tab/>
            </w:r>
            <w:r w:rsidRPr="00A52AB8">
              <w:rPr>
                <w:b/>
                <w:color w:val="000000" w:themeColor="text1"/>
                <w:sz w:val="20"/>
                <w:szCs w:val="20"/>
              </w:rPr>
              <w:tab/>
            </w:r>
            <w:r w:rsidRPr="00A52AB8">
              <w:rPr>
                <w:b/>
                <w:color w:val="000000" w:themeColor="text1"/>
                <w:sz w:val="20"/>
                <w:szCs w:val="20"/>
              </w:rPr>
              <w:tab/>
            </w:r>
            <w:r w:rsidRPr="00A52AB8">
              <w:rPr>
                <w:b/>
                <w:color w:val="000000" w:themeColor="text1"/>
                <w:sz w:val="20"/>
                <w:szCs w:val="20"/>
              </w:rPr>
              <w:tab/>
            </w:r>
            <w:r w:rsidRPr="00A52AB8">
              <w:rPr>
                <w:b/>
                <w:color w:val="000000" w:themeColor="text1"/>
                <w:sz w:val="20"/>
                <w:szCs w:val="20"/>
              </w:rPr>
              <w:tab/>
              <w:t>as_grid_size_minus2</w:t>
            </w:r>
            <w:r w:rsidRPr="00A52AB8">
              <w:rPr>
                <w:bCs/>
                <w:color w:val="000000" w:themeColor="text1"/>
                <w:sz w:val="20"/>
                <w:szCs w:val="20"/>
              </w:rPr>
              <w:t>[ k ]</w:t>
            </w:r>
            <w:r w:rsidRPr="00A52AB8">
              <w:rPr>
                <w:color w:val="000000" w:themeColor="text1"/>
                <w:sz w:val="20"/>
                <w:szCs w:val="20"/>
              </w:rPr>
              <w:t>[ m ]</w:t>
            </w:r>
          </w:p>
        </w:tc>
        <w:tc>
          <w:tcPr>
            <w:tcW w:w="672" w:type="pct"/>
          </w:tcPr>
          <w:p w14:paraId="7465D30D" w14:textId="77777777" w:rsidR="00D904EF" w:rsidRPr="00A52AB8" w:rsidRDefault="00D904EF" w:rsidP="00C50E43">
            <w:pPr>
              <w:spacing w:before="20" w:after="20"/>
              <w:jc w:val="center"/>
              <w:rPr>
                <w:color w:val="000000" w:themeColor="text1"/>
                <w:sz w:val="20"/>
                <w:szCs w:val="20"/>
              </w:rPr>
            </w:pPr>
            <w:r w:rsidRPr="00A52AB8">
              <w:rPr>
                <w:color w:val="000000" w:themeColor="text1"/>
                <w:sz w:val="20"/>
                <w:szCs w:val="20"/>
              </w:rPr>
              <w:t>u(5)</w:t>
            </w:r>
          </w:p>
        </w:tc>
      </w:tr>
      <w:tr w:rsidR="00D904EF" w:rsidRPr="00A52AB8" w14:paraId="05404BC2" w14:textId="77777777" w:rsidTr="00C50E43">
        <w:trPr>
          <w:jc w:val="center"/>
        </w:trPr>
        <w:tc>
          <w:tcPr>
            <w:tcW w:w="4328" w:type="pct"/>
          </w:tcPr>
          <w:p w14:paraId="230224EA" w14:textId="77777777" w:rsidR="00D904EF" w:rsidRPr="00A52AB8" w:rsidRDefault="00D904EF" w:rsidP="00C50E43">
            <w:pPr>
              <w:spacing w:before="20" w:after="20"/>
              <w:rPr>
                <w:color w:val="000000" w:themeColor="text1"/>
                <w:sz w:val="20"/>
                <w:szCs w:val="20"/>
              </w:rPr>
            </w:pPr>
            <w:r w:rsidRPr="00A52AB8">
              <w:rPr>
                <w:b/>
                <w:color w:val="000000" w:themeColor="text1"/>
                <w:sz w:val="20"/>
                <w:szCs w:val="20"/>
              </w:rPr>
              <w:tab/>
            </w:r>
            <w:r w:rsidRPr="00A52AB8">
              <w:rPr>
                <w:b/>
                <w:color w:val="000000" w:themeColor="text1"/>
                <w:sz w:val="20"/>
                <w:szCs w:val="20"/>
              </w:rPr>
              <w:tab/>
            </w:r>
            <w:r w:rsidRPr="00A52AB8">
              <w:rPr>
                <w:b/>
                <w:color w:val="000000" w:themeColor="text1"/>
                <w:sz w:val="20"/>
                <w:szCs w:val="20"/>
              </w:rPr>
              <w:tab/>
            </w:r>
            <w:r w:rsidRPr="00A52AB8">
              <w:rPr>
                <w:color w:val="000000" w:themeColor="text1"/>
                <w:sz w:val="20"/>
                <w:szCs w:val="20"/>
              </w:rPr>
              <w:tab/>
            </w:r>
            <w:r w:rsidRPr="00A52AB8">
              <w:rPr>
                <w:color w:val="000000" w:themeColor="text1"/>
                <w:sz w:val="20"/>
                <w:szCs w:val="20"/>
              </w:rPr>
              <w:tab/>
            </w:r>
            <w:r w:rsidRPr="00A52AB8">
              <w:rPr>
                <w:color w:val="000000" w:themeColor="text1"/>
                <w:sz w:val="20"/>
                <w:szCs w:val="20"/>
              </w:rPr>
              <w:tab/>
            </w:r>
            <w:r w:rsidRPr="00A52AB8">
              <w:rPr>
                <w:b/>
                <w:color w:val="000000" w:themeColor="text1"/>
                <w:sz w:val="20"/>
                <w:szCs w:val="20"/>
              </w:rPr>
              <w:t>as_threshold</w:t>
            </w:r>
            <w:r w:rsidRPr="00A52AB8">
              <w:rPr>
                <w:bCs/>
                <w:color w:val="000000" w:themeColor="text1"/>
                <w:sz w:val="20"/>
                <w:szCs w:val="20"/>
              </w:rPr>
              <w:t>[ k ]</w:t>
            </w:r>
            <w:r w:rsidRPr="00A52AB8">
              <w:rPr>
                <w:color w:val="000000" w:themeColor="text1"/>
                <w:sz w:val="20"/>
                <w:szCs w:val="20"/>
              </w:rPr>
              <w:t>[ m ]</w:t>
            </w:r>
          </w:p>
        </w:tc>
        <w:tc>
          <w:tcPr>
            <w:tcW w:w="672" w:type="pct"/>
          </w:tcPr>
          <w:p w14:paraId="244EFCAD" w14:textId="77777777" w:rsidR="00D904EF" w:rsidRPr="00A52AB8" w:rsidRDefault="00D904EF" w:rsidP="00C50E43">
            <w:pPr>
              <w:spacing w:before="20" w:after="20"/>
              <w:jc w:val="center"/>
              <w:rPr>
                <w:color w:val="000000" w:themeColor="text1"/>
                <w:sz w:val="20"/>
                <w:szCs w:val="20"/>
              </w:rPr>
            </w:pPr>
            <w:r w:rsidRPr="00A52AB8">
              <w:rPr>
                <w:color w:val="000000" w:themeColor="text1"/>
                <w:sz w:val="20"/>
                <w:szCs w:val="20"/>
              </w:rPr>
              <w:t>u(8)</w:t>
            </w:r>
          </w:p>
        </w:tc>
      </w:tr>
      <w:tr w:rsidR="00D904EF" w:rsidRPr="00A52AB8" w14:paraId="27055E49" w14:textId="77777777" w:rsidTr="00C50E43">
        <w:trPr>
          <w:jc w:val="center"/>
        </w:trPr>
        <w:tc>
          <w:tcPr>
            <w:tcW w:w="4328" w:type="pct"/>
          </w:tcPr>
          <w:p w14:paraId="0EA71793" w14:textId="77777777" w:rsidR="00D904EF" w:rsidRPr="00A52AB8" w:rsidRDefault="00D904EF" w:rsidP="00C50E43">
            <w:pPr>
              <w:spacing w:before="20" w:after="20"/>
              <w:rPr>
                <w:b/>
                <w:color w:val="000000" w:themeColor="text1"/>
                <w:sz w:val="20"/>
                <w:szCs w:val="20"/>
              </w:rPr>
            </w:pPr>
            <w:r w:rsidRPr="00A52AB8">
              <w:rPr>
                <w:b/>
                <w:color w:val="000000" w:themeColor="text1"/>
                <w:sz w:val="20"/>
                <w:szCs w:val="20"/>
              </w:rPr>
              <w:tab/>
            </w:r>
            <w:r w:rsidRPr="00A52AB8">
              <w:rPr>
                <w:b/>
                <w:color w:val="000000" w:themeColor="text1"/>
                <w:sz w:val="20"/>
                <w:szCs w:val="20"/>
              </w:rPr>
              <w:tab/>
            </w:r>
            <w:r w:rsidRPr="00A52AB8">
              <w:rPr>
                <w:b/>
                <w:color w:val="000000" w:themeColor="text1"/>
                <w:sz w:val="20"/>
                <w:szCs w:val="20"/>
              </w:rPr>
              <w:tab/>
            </w:r>
            <w:r w:rsidRPr="00A52AB8">
              <w:rPr>
                <w:b/>
                <w:color w:val="000000" w:themeColor="text1"/>
                <w:sz w:val="20"/>
                <w:szCs w:val="20"/>
              </w:rPr>
              <w:tab/>
            </w:r>
            <w:r w:rsidRPr="00A52AB8">
              <w:rPr>
                <w:b/>
                <w:color w:val="000000" w:themeColor="text1"/>
                <w:sz w:val="20"/>
                <w:szCs w:val="20"/>
              </w:rPr>
              <w:tab/>
            </w:r>
            <w:r w:rsidRPr="00A52AB8">
              <w:rPr>
                <w:b/>
                <w:color w:val="000000" w:themeColor="text1"/>
                <w:sz w:val="20"/>
                <w:szCs w:val="20"/>
              </w:rPr>
              <w:tab/>
              <w:t>as_threshold_variation</w:t>
            </w:r>
            <w:r w:rsidRPr="00A52AB8">
              <w:rPr>
                <w:bCs/>
                <w:color w:val="000000" w:themeColor="text1"/>
                <w:sz w:val="20"/>
                <w:szCs w:val="20"/>
              </w:rPr>
              <w:t>[ k ]</w:t>
            </w:r>
            <w:r w:rsidRPr="00A52AB8">
              <w:rPr>
                <w:color w:val="000000" w:themeColor="text1"/>
                <w:sz w:val="20"/>
                <w:szCs w:val="20"/>
              </w:rPr>
              <w:t>[ m ]</w:t>
            </w:r>
          </w:p>
        </w:tc>
        <w:tc>
          <w:tcPr>
            <w:tcW w:w="672" w:type="pct"/>
          </w:tcPr>
          <w:p w14:paraId="3B40262D" w14:textId="77777777" w:rsidR="00D904EF" w:rsidRPr="00A52AB8" w:rsidRDefault="00D904EF" w:rsidP="00C50E43">
            <w:pPr>
              <w:spacing w:before="20" w:after="20"/>
              <w:jc w:val="center"/>
              <w:rPr>
                <w:color w:val="000000" w:themeColor="text1"/>
                <w:sz w:val="20"/>
                <w:szCs w:val="20"/>
              </w:rPr>
            </w:pPr>
            <w:r w:rsidRPr="00A52AB8">
              <w:rPr>
                <w:color w:val="000000" w:themeColor="text1"/>
                <w:sz w:val="20"/>
                <w:szCs w:val="20"/>
              </w:rPr>
              <w:t>u(8)</w:t>
            </w:r>
          </w:p>
        </w:tc>
      </w:tr>
      <w:tr w:rsidR="00D904EF" w:rsidRPr="00A52AB8" w14:paraId="77977833" w14:textId="77777777" w:rsidTr="00C50E43">
        <w:trPr>
          <w:jc w:val="center"/>
        </w:trPr>
        <w:tc>
          <w:tcPr>
            <w:tcW w:w="4328" w:type="pct"/>
          </w:tcPr>
          <w:p w14:paraId="13FECEB8" w14:textId="77777777" w:rsidR="00D904EF" w:rsidRPr="00A52AB8" w:rsidRDefault="00D904EF" w:rsidP="00C50E43">
            <w:pPr>
              <w:spacing w:before="20" w:after="20"/>
              <w:rPr>
                <w:b/>
                <w:color w:val="000000" w:themeColor="text1"/>
                <w:sz w:val="20"/>
                <w:szCs w:val="20"/>
              </w:rPr>
            </w:pPr>
            <w:r w:rsidRPr="00A52AB8">
              <w:rPr>
                <w:b/>
                <w:color w:val="000000" w:themeColor="text1"/>
                <w:sz w:val="20"/>
                <w:szCs w:val="20"/>
              </w:rPr>
              <w:tab/>
            </w:r>
            <w:r w:rsidRPr="00A52AB8">
              <w:rPr>
                <w:b/>
                <w:color w:val="000000" w:themeColor="text1"/>
                <w:sz w:val="20"/>
                <w:szCs w:val="20"/>
              </w:rPr>
              <w:tab/>
            </w:r>
            <w:r w:rsidRPr="00A52AB8">
              <w:rPr>
                <w:b/>
                <w:color w:val="000000" w:themeColor="text1"/>
                <w:sz w:val="20"/>
                <w:szCs w:val="20"/>
              </w:rPr>
              <w:tab/>
            </w:r>
            <w:r w:rsidRPr="00A52AB8">
              <w:rPr>
                <w:b/>
                <w:color w:val="000000" w:themeColor="text1"/>
                <w:sz w:val="20"/>
                <w:szCs w:val="20"/>
              </w:rPr>
              <w:tab/>
            </w:r>
            <w:r w:rsidRPr="00A52AB8">
              <w:rPr>
                <w:b/>
                <w:color w:val="000000" w:themeColor="text1"/>
                <w:sz w:val="20"/>
                <w:szCs w:val="20"/>
              </w:rPr>
              <w:tab/>
            </w:r>
            <w:r w:rsidRPr="00A52AB8">
              <w:rPr>
                <w:b/>
                <w:color w:val="000000" w:themeColor="text1"/>
                <w:sz w:val="20"/>
                <w:szCs w:val="20"/>
              </w:rPr>
              <w:tab/>
              <w:t>as_threshold_difference</w:t>
            </w:r>
            <w:r w:rsidRPr="00A52AB8">
              <w:rPr>
                <w:bCs/>
                <w:color w:val="000000" w:themeColor="text1"/>
                <w:sz w:val="20"/>
                <w:szCs w:val="20"/>
              </w:rPr>
              <w:t>[ k ]</w:t>
            </w:r>
            <w:r w:rsidRPr="00A52AB8">
              <w:rPr>
                <w:color w:val="000000" w:themeColor="text1"/>
                <w:sz w:val="20"/>
                <w:szCs w:val="20"/>
              </w:rPr>
              <w:t>[ m ]</w:t>
            </w:r>
          </w:p>
        </w:tc>
        <w:tc>
          <w:tcPr>
            <w:tcW w:w="672" w:type="pct"/>
          </w:tcPr>
          <w:p w14:paraId="314D252A" w14:textId="77777777" w:rsidR="00D904EF" w:rsidRPr="00A52AB8" w:rsidRDefault="00D904EF" w:rsidP="00C50E43">
            <w:pPr>
              <w:spacing w:before="20" w:after="20"/>
              <w:jc w:val="center"/>
              <w:rPr>
                <w:color w:val="000000" w:themeColor="text1"/>
                <w:sz w:val="20"/>
                <w:szCs w:val="20"/>
              </w:rPr>
            </w:pPr>
            <w:r w:rsidRPr="00A52AB8">
              <w:rPr>
                <w:color w:val="000000" w:themeColor="text1"/>
                <w:sz w:val="20"/>
                <w:szCs w:val="20"/>
              </w:rPr>
              <w:t>u(8)</w:t>
            </w:r>
          </w:p>
        </w:tc>
      </w:tr>
      <w:tr w:rsidR="00D904EF" w:rsidRPr="00A52AB8" w14:paraId="1BDB5A6F" w14:textId="77777777" w:rsidTr="00C50E43">
        <w:trPr>
          <w:jc w:val="center"/>
        </w:trPr>
        <w:tc>
          <w:tcPr>
            <w:tcW w:w="4328" w:type="pct"/>
          </w:tcPr>
          <w:p w14:paraId="01B0A5C6" w14:textId="77777777" w:rsidR="00D904EF" w:rsidRPr="00A52AB8" w:rsidRDefault="00D904EF" w:rsidP="00C50E43">
            <w:pPr>
              <w:spacing w:before="20" w:after="20"/>
              <w:rPr>
                <w:color w:val="000000" w:themeColor="text1"/>
                <w:sz w:val="20"/>
                <w:szCs w:val="20"/>
              </w:rPr>
            </w:pPr>
            <w:r w:rsidRPr="00A52AB8">
              <w:rPr>
                <w:color w:val="000000" w:themeColor="text1"/>
                <w:sz w:val="20"/>
                <w:szCs w:val="20"/>
              </w:rPr>
              <w:tab/>
            </w:r>
            <w:r w:rsidRPr="00A52AB8">
              <w:rPr>
                <w:color w:val="000000" w:themeColor="text1"/>
                <w:sz w:val="20"/>
                <w:szCs w:val="20"/>
              </w:rPr>
              <w:tab/>
            </w:r>
            <w:r w:rsidRPr="00A52AB8">
              <w:rPr>
                <w:color w:val="000000" w:themeColor="text1"/>
                <w:sz w:val="20"/>
                <w:szCs w:val="20"/>
              </w:rPr>
              <w:tab/>
            </w:r>
            <w:r w:rsidRPr="00A52AB8">
              <w:rPr>
                <w:color w:val="000000" w:themeColor="text1"/>
                <w:sz w:val="20"/>
                <w:szCs w:val="20"/>
              </w:rPr>
              <w:tab/>
              <w:t>}</w:t>
            </w:r>
          </w:p>
        </w:tc>
        <w:tc>
          <w:tcPr>
            <w:tcW w:w="672" w:type="pct"/>
          </w:tcPr>
          <w:p w14:paraId="70D44EAE" w14:textId="77777777" w:rsidR="00D904EF" w:rsidRPr="00A52AB8" w:rsidRDefault="00D904EF" w:rsidP="00C50E43">
            <w:pPr>
              <w:spacing w:before="20" w:after="20"/>
              <w:jc w:val="center"/>
              <w:rPr>
                <w:color w:val="000000" w:themeColor="text1"/>
                <w:sz w:val="20"/>
                <w:szCs w:val="20"/>
              </w:rPr>
            </w:pPr>
          </w:p>
        </w:tc>
      </w:tr>
      <w:tr w:rsidR="00D904EF" w:rsidRPr="00A52AB8" w14:paraId="51016E8D" w14:textId="77777777" w:rsidTr="00C50E43">
        <w:trPr>
          <w:jc w:val="center"/>
        </w:trPr>
        <w:tc>
          <w:tcPr>
            <w:tcW w:w="4328" w:type="pct"/>
          </w:tcPr>
          <w:p w14:paraId="49290A0C" w14:textId="77777777" w:rsidR="00D904EF" w:rsidRPr="00A52AB8" w:rsidRDefault="00D904EF" w:rsidP="00C50E43">
            <w:pPr>
              <w:spacing w:before="20" w:after="20"/>
              <w:rPr>
                <w:bCs/>
                <w:color w:val="000000" w:themeColor="text1"/>
                <w:sz w:val="20"/>
                <w:szCs w:val="20"/>
              </w:rPr>
            </w:pPr>
            <w:r w:rsidRPr="00A52AB8">
              <w:rPr>
                <w:bCs/>
                <w:color w:val="000000" w:themeColor="text1"/>
                <w:sz w:val="20"/>
                <w:szCs w:val="20"/>
              </w:rPr>
              <w:tab/>
            </w:r>
            <w:r w:rsidRPr="00A52AB8">
              <w:rPr>
                <w:bCs/>
                <w:color w:val="000000" w:themeColor="text1"/>
                <w:sz w:val="20"/>
                <w:szCs w:val="20"/>
              </w:rPr>
              <w:tab/>
            </w:r>
            <w:r w:rsidRPr="00A52AB8">
              <w:rPr>
                <w:bCs/>
                <w:color w:val="000000" w:themeColor="text1"/>
                <w:sz w:val="20"/>
                <w:szCs w:val="20"/>
              </w:rPr>
              <w:tab/>
              <w:t>}</w:t>
            </w:r>
          </w:p>
        </w:tc>
        <w:tc>
          <w:tcPr>
            <w:tcW w:w="672" w:type="pct"/>
          </w:tcPr>
          <w:p w14:paraId="46735144" w14:textId="77777777" w:rsidR="00D904EF" w:rsidRPr="00A52AB8" w:rsidRDefault="00D904EF" w:rsidP="00C50E43">
            <w:pPr>
              <w:spacing w:before="20" w:after="20"/>
              <w:jc w:val="center"/>
              <w:rPr>
                <w:color w:val="000000" w:themeColor="text1"/>
                <w:sz w:val="20"/>
                <w:szCs w:val="20"/>
              </w:rPr>
            </w:pPr>
          </w:p>
        </w:tc>
      </w:tr>
      <w:tr w:rsidR="00D904EF" w:rsidRPr="00A52AB8" w14:paraId="106490FC" w14:textId="77777777" w:rsidTr="00C50E43">
        <w:trPr>
          <w:jc w:val="center"/>
        </w:trPr>
        <w:tc>
          <w:tcPr>
            <w:tcW w:w="4328" w:type="pct"/>
          </w:tcPr>
          <w:p w14:paraId="3EFAF0B0" w14:textId="77777777" w:rsidR="00D904EF" w:rsidRPr="00A52AB8" w:rsidRDefault="00D904EF" w:rsidP="00C50E43">
            <w:pPr>
              <w:spacing w:before="20" w:after="20"/>
              <w:rPr>
                <w:bCs/>
                <w:color w:val="000000" w:themeColor="text1"/>
                <w:sz w:val="20"/>
                <w:szCs w:val="20"/>
              </w:rPr>
            </w:pPr>
            <w:r w:rsidRPr="00A52AB8">
              <w:rPr>
                <w:bCs/>
                <w:color w:val="000000" w:themeColor="text1"/>
                <w:sz w:val="20"/>
                <w:szCs w:val="20"/>
              </w:rPr>
              <w:tab/>
            </w:r>
            <w:r w:rsidRPr="00A52AB8">
              <w:rPr>
                <w:bCs/>
                <w:color w:val="000000" w:themeColor="text1"/>
                <w:sz w:val="20"/>
                <w:szCs w:val="20"/>
              </w:rPr>
              <w:tab/>
              <w:t>}</w:t>
            </w:r>
          </w:p>
        </w:tc>
        <w:tc>
          <w:tcPr>
            <w:tcW w:w="672" w:type="pct"/>
          </w:tcPr>
          <w:p w14:paraId="3BF06522" w14:textId="77777777" w:rsidR="00D904EF" w:rsidRPr="00A52AB8" w:rsidRDefault="00D904EF" w:rsidP="00C50E43">
            <w:pPr>
              <w:spacing w:before="20" w:after="20"/>
              <w:jc w:val="center"/>
              <w:rPr>
                <w:color w:val="000000" w:themeColor="text1"/>
                <w:sz w:val="20"/>
                <w:szCs w:val="20"/>
              </w:rPr>
            </w:pPr>
          </w:p>
        </w:tc>
      </w:tr>
      <w:tr w:rsidR="00D904EF" w:rsidRPr="00A52AB8" w14:paraId="7395926F" w14:textId="77777777" w:rsidTr="00C50E43">
        <w:trPr>
          <w:jc w:val="center"/>
        </w:trPr>
        <w:tc>
          <w:tcPr>
            <w:tcW w:w="4328" w:type="pct"/>
          </w:tcPr>
          <w:p w14:paraId="7D1ADFE5" w14:textId="77777777" w:rsidR="00D904EF" w:rsidRPr="00A52AB8" w:rsidRDefault="00D904EF" w:rsidP="00C50E43">
            <w:pPr>
              <w:spacing w:before="20" w:after="20"/>
              <w:rPr>
                <w:bCs/>
                <w:color w:val="000000" w:themeColor="text1"/>
                <w:sz w:val="20"/>
                <w:szCs w:val="20"/>
              </w:rPr>
            </w:pPr>
            <w:r w:rsidRPr="00A52AB8">
              <w:rPr>
                <w:bCs/>
                <w:color w:val="000000" w:themeColor="text1"/>
                <w:sz w:val="20"/>
                <w:szCs w:val="20"/>
              </w:rPr>
              <w:tab/>
              <w:t>}</w:t>
            </w:r>
          </w:p>
        </w:tc>
        <w:tc>
          <w:tcPr>
            <w:tcW w:w="672" w:type="pct"/>
          </w:tcPr>
          <w:p w14:paraId="0B0C57EB" w14:textId="77777777" w:rsidR="00D904EF" w:rsidRPr="00A52AB8" w:rsidRDefault="00D904EF" w:rsidP="00C50E43">
            <w:pPr>
              <w:spacing w:before="20" w:after="20"/>
              <w:jc w:val="center"/>
              <w:rPr>
                <w:color w:val="000000" w:themeColor="text1"/>
                <w:sz w:val="20"/>
                <w:szCs w:val="20"/>
              </w:rPr>
            </w:pPr>
          </w:p>
        </w:tc>
      </w:tr>
      <w:tr w:rsidR="00D904EF" w:rsidRPr="00A52AB8" w14:paraId="109FC2A6" w14:textId="77777777" w:rsidTr="00C50E43">
        <w:trPr>
          <w:jc w:val="center"/>
        </w:trPr>
        <w:tc>
          <w:tcPr>
            <w:tcW w:w="4328" w:type="pct"/>
          </w:tcPr>
          <w:p w14:paraId="4C1F91C7" w14:textId="77777777" w:rsidR="00D904EF" w:rsidRPr="00A52AB8" w:rsidRDefault="00D904EF" w:rsidP="00C50E43">
            <w:pPr>
              <w:spacing w:before="20" w:after="20"/>
              <w:rPr>
                <w:bCs/>
                <w:color w:val="000000" w:themeColor="text1"/>
                <w:sz w:val="20"/>
                <w:szCs w:val="20"/>
              </w:rPr>
            </w:pPr>
            <w:r w:rsidRPr="00A52AB8">
              <w:rPr>
                <w:bCs/>
                <w:color w:val="000000" w:themeColor="text1"/>
                <w:sz w:val="20"/>
                <w:szCs w:val="20"/>
              </w:rPr>
              <w:t>}</w:t>
            </w:r>
          </w:p>
        </w:tc>
        <w:tc>
          <w:tcPr>
            <w:tcW w:w="672" w:type="pct"/>
          </w:tcPr>
          <w:p w14:paraId="72285708" w14:textId="77777777" w:rsidR="00D904EF" w:rsidRPr="00A52AB8" w:rsidRDefault="00D904EF" w:rsidP="00C50E43">
            <w:pPr>
              <w:spacing w:before="20" w:after="20"/>
              <w:jc w:val="center"/>
              <w:rPr>
                <w:color w:val="000000" w:themeColor="text1"/>
                <w:sz w:val="20"/>
                <w:szCs w:val="20"/>
              </w:rPr>
            </w:pPr>
          </w:p>
        </w:tc>
      </w:tr>
    </w:tbl>
    <w:p w14:paraId="2D057E18" w14:textId="77777777" w:rsidR="00D904EF" w:rsidRPr="00A52AB8" w:rsidRDefault="00D904EF" w:rsidP="004A7026">
      <w:pPr>
        <w:rPr>
          <w:lang w:eastAsia="ja-JP"/>
        </w:rPr>
      </w:pPr>
    </w:p>
    <w:p w14:paraId="61B69749" w14:textId="7823C55D" w:rsidR="005F2693" w:rsidRPr="00A52AB8" w:rsidRDefault="005F2693" w:rsidP="00855A0D">
      <w:pPr>
        <w:pStyle w:val="a3"/>
        <w:numPr>
          <w:ilvl w:val="2"/>
          <w:numId w:val="19"/>
        </w:numPr>
      </w:pPr>
      <w:bookmarkStart w:id="7313" w:name="_Toc49350295"/>
      <w:bookmarkStart w:id="7314" w:name="_Toc52181841"/>
      <w:bookmarkEnd w:id="7313"/>
      <w:r w:rsidRPr="00A52AB8">
        <w:t>SEI payload semantics</w:t>
      </w:r>
      <w:bookmarkEnd w:id="7314"/>
    </w:p>
    <w:p w14:paraId="608E79F4" w14:textId="45DF1E1B" w:rsidR="00855A0D" w:rsidRPr="00A52AB8" w:rsidRDefault="00855A0D" w:rsidP="00EE3D19">
      <w:pPr>
        <w:pStyle w:val="a3"/>
        <w:numPr>
          <w:ilvl w:val="3"/>
          <w:numId w:val="19"/>
        </w:numPr>
        <w:outlineLvl w:val="3"/>
        <w:rPr>
          <w:sz w:val="22"/>
        </w:rPr>
      </w:pPr>
      <w:bookmarkStart w:id="7315" w:name="_Toc52181842"/>
      <w:r w:rsidRPr="00A52AB8">
        <w:rPr>
          <w:sz w:val="22"/>
        </w:rPr>
        <w:t>General SEI payload semantics</w:t>
      </w:r>
      <w:bookmarkEnd w:id="7315"/>
      <w:r w:rsidR="00B259CA" w:rsidRPr="00A52AB8">
        <w:rPr>
          <w:sz w:val="22"/>
        </w:rPr>
        <w:t xml:space="preserve"> </w:t>
      </w:r>
    </w:p>
    <w:p w14:paraId="51246233" w14:textId="5CE598FC" w:rsidR="00D14EEB" w:rsidRPr="00A52AB8" w:rsidRDefault="00855A0D" w:rsidP="00D14EEB">
      <w:r w:rsidRPr="00A52AB8">
        <w:t xml:space="preserve">The specifications in subclause </w:t>
      </w:r>
      <w:r w:rsidR="005F2693" w:rsidRPr="00496A4D">
        <w:fldChar w:fldCharType="begin"/>
      </w:r>
      <w:r w:rsidR="005F2693" w:rsidRPr="00A52AB8">
        <w:instrText xml:space="preserve"> REF _Ref49346084 \r \h </w:instrText>
      </w:r>
      <w:r w:rsidR="00D14EEB" w:rsidRPr="00A52AB8">
        <w:instrText xml:space="preserve"> \* MERGEFORMAT </w:instrText>
      </w:r>
      <w:r w:rsidR="005F2693" w:rsidRPr="00496A4D">
        <w:fldChar w:fldCharType="separate"/>
      </w:r>
      <w:r w:rsidR="00507A67">
        <w:t>F.3.1</w:t>
      </w:r>
      <w:r w:rsidR="005F2693" w:rsidRPr="00496A4D">
        <w:fldChar w:fldCharType="end"/>
      </w:r>
      <w:r w:rsidR="00A822A9" w:rsidRPr="00A52AB8">
        <w:t xml:space="preserve"> </w:t>
      </w:r>
      <w:r w:rsidRPr="00A52AB8">
        <w:t>appl</w:t>
      </w:r>
      <w:r w:rsidR="00D14EEB" w:rsidRPr="00A52AB8">
        <w:t>y.</w:t>
      </w:r>
    </w:p>
    <w:p w14:paraId="4FC4F0EE" w14:textId="77777777" w:rsidR="00855A0D" w:rsidRPr="00A52AB8" w:rsidRDefault="00855A0D" w:rsidP="00EE3D19">
      <w:pPr>
        <w:pStyle w:val="a3"/>
        <w:numPr>
          <w:ilvl w:val="3"/>
          <w:numId w:val="19"/>
        </w:numPr>
        <w:outlineLvl w:val="3"/>
        <w:rPr>
          <w:sz w:val="22"/>
        </w:rPr>
      </w:pPr>
      <w:bookmarkStart w:id="7316" w:name="_Toc49350298"/>
      <w:bookmarkStart w:id="7317" w:name="_Toc49350299"/>
      <w:bookmarkStart w:id="7318" w:name="_Toc49350300"/>
      <w:bookmarkStart w:id="7319" w:name="_Toc49350377"/>
      <w:bookmarkStart w:id="7320" w:name="_Toc49350378"/>
      <w:bookmarkStart w:id="7321" w:name="_Toc49350379"/>
      <w:bookmarkStart w:id="7322" w:name="_Toc49350380"/>
      <w:bookmarkStart w:id="7323" w:name="_Toc49350381"/>
      <w:bookmarkStart w:id="7324" w:name="_Toc49350382"/>
      <w:bookmarkStart w:id="7325" w:name="_Toc49350383"/>
      <w:bookmarkStart w:id="7326" w:name="_Toc49350384"/>
      <w:bookmarkStart w:id="7327" w:name="_Toc49350385"/>
      <w:bookmarkStart w:id="7328" w:name="_Toc49350386"/>
      <w:bookmarkStart w:id="7329" w:name="_Toc49350387"/>
      <w:bookmarkStart w:id="7330" w:name="_Toc49350388"/>
      <w:bookmarkStart w:id="7331" w:name="_Toc49350389"/>
      <w:bookmarkStart w:id="7332" w:name="_Toc49350390"/>
      <w:bookmarkStart w:id="7333" w:name="_Toc49350391"/>
      <w:bookmarkStart w:id="7334" w:name="_Toc49350392"/>
      <w:bookmarkStart w:id="7335" w:name="_Toc49350393"/>
      <w:bookmarkStart w:id="7336" w:name="_Toc49350394"/>
      <w:bookmarkStart w:id="7337" w:name="_Toc49350395"/>
      <w:bookmarkStart w:id="7338" w:name="_Toc49350396"/>
      <w:bookmarkStart w:id="7339" w:name="_Toc49350397"/>
      <w:bookmarkStart w:id="7340" w:name="_Toc49350398"/>
      <w:bookmarkStart w:id="7341" w:name="_Toc49350399"/>
      <w:bookmarkStart w:id="7342" w:name="_Toc52181843"/>
      <w:bookmarkEnd w:id="7316"/>
      <w:bookmarkEnd w:id="7317"/>
      <w:bookmarkEnd w:id="7318"/>
      <w:bookmarkEnd w:id="7319"/>
      <w:bookmarkEnd w:id="7320"/>
      <w:bookmarkEnd w:id="7321"/>
      <w:bookmarkEnd w:id="7322"/>
      <w:bookmarkEnd w:id="7323"/>
      <w:bookmarkEnd w:id="7324"/>
      <w:bookmarkEnd w:id="7325"/>
      <w:bookmarkEnd w:id="7326"/>
      <w:bookmarkEnd w:id="7327"/>
      <w:bookmarkEnd w:id="7328"/>
      <w:bookmarkEnd w:id="7329"/>
      <w:bookmarkEnd w:id="7330"/>
      <w:bookmarkEnd w:id="7331"/>
      <w:bookmarkEnd w:id="7332"/>
      <w:bookmarkEnd w:id="7333"/>
      <w:bookmarkEnd w:id="7334"/>
      <w:bookmarkEnd w:id="7335"/>
      <w:bookmarkEnd w:id="7336"/>
      <w:bookmarkEnd w:id="7337"/>
      <w:bookmarkEnd w:id="7338"/>
      <w:bookmarkEnd w:id="7339"/>
      <w:bookmarkEnd w:id="7340"/>
      <w:bookmarkEnd w:id="7341"/>
      <w:r w:rsidRPr="00A52AB8">
        <w:rPr>
          <w:sz w:val="22"/>
        </w:rPr>
        <w:t>Filler payload SEI message semantics</w:t>
      </w:r>
      <w:bookmarkEnd w:id="7342"/>
    </w:p>
    <w:p w14:paraId="46B918CA" w14:textId="5D9E96B7" w:rsidR="00855A0D" w:rsidRPr="00A52AB8" w:rsidRDefault="00855A0D" w:rsidP="00855A0D">
      <w:bookmarkStart w:id="7343" w:name="_Hlk49260227"/>
      <w:r w:rsidRPr="00A52AB8">
        <w:t xml:space="preserve">The specifications in </w:t>
      </w:r>
      <w:r w:rsidR="00E211A9" w:rsidRPr="00496A4D">
        <w:fldChar w:fldCharType="begin"/>
      </w:r>
      <w:r w:rsidR="00E211A9" w:rsidRPr="00A52AB8">
        <w:instrText xml:space="preserve"> REF _Ref49346163 \r \h </w:instrText>
      </w:r>
      <w:r w:rsidR="00007BE2" w:rsidRPr="00A52AB8">
        <w:instrText xml:space="preserve"> \* MERGEFORMAT </w:instrText>
      </w:r>
      <w:r w:rsidR="00E211A9" w:rsidRPr="00496A4D">
        <w:fldChar w:fldCharType="separate"/>
      </w:r>
      <w:r w:rsidR="00507A67">
        <w:t>F.3.2</w:t>
      </w:r>
      <w:r w:rsidR="00E211A9" w:rsidRPr="00496A4D">
        <w:fldChar w:fldCharType="end"/>
      </w:r>
      <w:r w:rsidR="00E211A9" w:rsidRPr="00A52AB8">
        <w:t xml:space="preserve"> </w:t>
      </w:r>
      <w:r w:rsidRPr="00A52AB8">
        <w:t>apply.</w:t>
      </w:r>
    </w:p>
    <w:p w14:paraId="45F8E289" w14:textId="1070C310" w:rsidR="00855A0D" w:rsidRPr="00A52AB8" w:rsidRDefault="00855A0D" w:rsidP="00EE3D19">
      <w:pPr>
        <w:pStyle w:val="a3"/>
        <w:numPr>
          <w:ilvl w:val="3"/>
          <w:numId w:val="19"/>
        </w:numPr>
        <w:outlineLvl w:val="3"/>
        <w:rPr>
          <w:sz w:val="22"/>
        </w:rPr>
      </w:pPr>
      <w:bookmarkStart w:id="7344" w:name="_Toc52181844"/>
      <w:bookmarkEnd w:id="7343"/>
      <w:r w:rsidRPr="00A52AB8">
        <w:rPr>
          <w:sz w:val="22"/>
        </w:rPr>
        <w:t>User data registered by Recommendation ITU-T T.35 SEI message semantics</w:t>
      </w:r>
      <w:bookmarkEnd w:id="7344"/>
    </w:p>
    <w:p w14:paraId="58D887A5" w14:textId="7662ACCC" w:rsidR="00855A0D" w:rsidRPr="00A52AB8" w:rsidRDefault="00855A0D" w:rsidP="00855A0D">
      <w:r w:rsidRPr="00A52AB8">
        <w:t xml:space="preserve">The specifications in </w:t>
      </w:r>
      <w:r w:rsidR="00E211A9" w:rsidRPr="00496A4D">
        <w:fldChar w:fldCharType="begin"/>
      </w:r>
      <w:r w:rsidR="00E211A9" w:rsidRPr="00A52AB8">
        <w:instrText xml:space="preserve"> REF _Ref49346184 \r \h </w:instrText>
      </w:r>
      <w:r w:rsidR="00007BE2" w:rsidRPr="00A52AB8">
        <w:instrText xml:space="preserve"> \* MERGEFORMAT </w:instrText>
      </w:r>
      <w:r w:rsidR="00E211A9" w:rsidRPr="00496A4D">
        <w:fldChar w:fldCharType="separate"/>
      </w:r>
      <w:r w:rsidR="00507A67">
        <w:t>F.3.3</w:t>
      </w:r>
      <w:r w:rsidR="00E211A9" w:rsidRPr="00496A4D">
        <w:fldChar w:fldCharType="end"/>
      </w:r>
      <w:r w:rsidR="00E211A9" w:rsidRPr="00A52AB8">
        <w:t xml:space="preserve"> </w:t>
      </w:r>
      <w:r w:rsidRPr="00A52AB8">
        <w:t>apply.</w:t>
      </w:r>
    </w:p>
    <w:p w14:paraId="05D8B424" w14:textId="77777777" w:rsidR="00855A0D" w:rsidRPr="00A52AB8" w:rsidRDefault="00855A0D" w:rsidP="00EE3D19">
      <w:pPr>
        <w:pStyle w:val="a3"/>
        <w:numPr>
          <w:ilvl w:val="3"/>
          <w:numId w:val="19"/>
        </w:numPr>
        <w:outlineLvl w:val="3"/>
        <w:rPr>
          <w:sz w:val="22"/>
        </w:rPr>
      </w:pPr>
      <w:bookmarkStart w:id="7345" w:name="_Toc52181845"/>
      <w:r w:rsidRPr="00A52AB8">
        <w:rPr>
          <w:sz w:val="22"/>
        </w:rPr>
        <w:t>User data unregistered SEI message semantics</w:t>
      </w:r>
      <w:bookmarkEnd w:id="7345"/>
    </w:p>
    <w:p w14:paraId="1A41DF4C" w14:textId="1333179F" w:rsidR="00855A0D" w:rsidRPr="00A52AB8" w:rsidRDefault="00855A0D" w:rsidP="00855A0D">
      <w:r w:rsidRPr="00A52AB8">
        <w:t xml:space="preserve">The specifications in </w:t>
      </w:r>
      <w:r w:rsidR="00E211A9" w:rsidRPr="00496A4D">
        <w:fldChar w:fldCharType="begin"/>
      </w:r>
      <w:r w:rsidR="00E211A9" w:rsidRPr="00A52AB8">
        <w:instrText xml:space="preserve"> REF _Ref49346201 \r \h </w:instrText>
      </w:r>
      <w:r w:rsidR="00007BE2" w:rsidRPr="00A52AB8">
        <w:instrText xml:space="preserve"> \* MERGEFORMAT </w:instrText>
      </w:r>
      <w:r w:rsidR="00E211A9" w:rsidRPr="00496A4D">
        <w:fldChar w:fldCharType="separate"/>
      </w:r>
      <w:r w:rsidR="00507A67">
        <w:t>F.3.4</w:t>
      </w:r>
      <w:r w:rsidR="00E211A9" w:rsidRPr="00496A4D">
        <w:fldChar w:fldCharType="end"/>
      </w:r>
      <w:r w:rsidR="00E211A9" w:rsidRPr="00A52AB8">
        <w:t xml:space="preserve"> </w:t>
      </w:r>
      <w:r w:rsidRPr="00A52AB8">
        <w:t>apply.</w:t>
      </w:r>
    </w:p>
    <w:p w14:paraId="6C202C37" w14:textId="77777777" w:rsidR="00855A0D" w:rsidRPr="00A52AB8" w:rsidRDefault="00855A0D" w:rsidP="00EE3D19">
      <w:pPr>
        <w:pStyle w:val="a3"/>
        <w:numPr>
          <w:ilvl w:val="3"/>
          <w:numId w:val="19"/>
        </w:numPr>
        <w:outlineLvl w:val="3"/>
        <w:rPr>
          <w:sz w:val="22"/>
        </w:rPr>
      </w:pPr>
      <w:bookmarkStart w:id="7346" w:name="_Toc52181846"/>
      <w:r w:rsidRPr="00A52AB8">
        <w:rPr>
          <w:sz w:val="22"/>
        </w:rPr>
        <w:t>Recovery point SEI message semantics</w:t>
      </w:r>
      <w:bookmarkEnd w:id="7346"/>
    </w:p>
    <w:p w14:paraId="1951570C" w14:textId="58B661BC" w:rsidR="00855A0D" w:rsidRPr="00A52AB8" w:rsidRDefault="00855A0D" w:rsidP="00855A0D">
      <w:r w:rsidRPr="00A52AB8">
        <w:t xml:space="preserve">The specifications in </w:t>
      </w:r>
      <w:r w:rsidR="00E211A9" w:rsidRPr="00496A4D">
        <w:fldChar w:fldCharType="begin"/>
      </w:r>
      <w:r w:rsidR="00E211A9" w:rsidRPr="00A52AB8">
        <w:instrText xml:space="preserve"> REF _Ref49346213 \r \h </w:instrText>
      </w:r>
      <w:r w:rsidR="00007BE2" w:rsidRPr="00A52AB8">
        <w:instrText xml:space="preserve"> \* MERGEFORMAT </w:instrText>
      </w:r>
      <w:r w:rsidR="00E211A9" w:rsidRPr="00496A4D">
        <w:fldChar w:fldCharType="separate"/>
      </w:r>
      <w:r w:rsidR="00507A67">
        <w:t>F.3.5</w:t>
      </w:r>
      <w:r w:rsidR="00E211A9" w:rsidRPr="00496A4D">
        <w:fldChar w:fldCharType="end"/>
      </w:r>
      <w:r w:rsidR="00E211A9" w:rsidRPr="00A52AB8">
        <w:t xml:space="preserve"> </w:t>
      </w:r>
      <w:r w:rsidRPr="00A52AB8">
        <w:t>apply</w:t>
      </w:r>
      <w:r w:rsidR="00E211A9" w:rsidRPr="00A52AB8">
        <w:t>.</w:t>
      </w:r>
    </w:p>
    <w:p w14:paraId="2EE17DC9" w14:textId="77777777" w:rsidR="00855A0D" w:rsidRPr="00A52AB8" w:rsidRDefault="00855A0D" w:rsidP="00EE3D19">
      <w:pPr>
        <w:pStyle w:val="a3"/>
        <w:numPr>
          <w:ilvl w:val="3"/>
          <w:numId w:val="19"/>
        </w:numPr>
        <w:outlineLvl w:val="3"/>
        <w:rPr>
          <w:sz w:val="22"/>
        </w:rPr>
      </w:pPr>
      <w:bookmarkStart w:id="7347" w:name="_Toc49350404"/>
      <w:bookmarkStart w:id="7348" w:name="_Toc52181847"/>
      <w:bookmarkEnd w:id="7347"/>
      <w:r w:rsidRPr="00A52AB8">
        <w:rPr>
          <w:sz w:val="22"/>
        </w:rPr>
        <w:t>No display SEI message semantics</w:t>
      </w:r>
      <w:bookmarkEnd w:id="7348"/>
    </w:p>
    <w:p w14:paraId="087D208E" w14:textId="3D4774E5" w:rsidR="00855A0D" w:rsidRPr="00A52AB8" w:rsidRDefault="00855A0D" w:rsidP="00855A0D">
      <w:r w:rsidRPr="00A52AB8">
        <w:t xml:space="preserve">The specifications in </w:t>
      </w:r>
      <w:r w:rsidR="00E211A9" w:rsidRPr="00496A4D">
        <w:fldChar w:fldCharType="begin"/>
      </w:r>
      <w:r w:rsidR="00E211A9" w:rsidRPr="00A52AB8">
        <w:instrText xml:space="preserve"> REF _Ref49346235 \r \h </w:instrText>
      </w:r>
      <w:r w:rsidR="00007BE2" w:rsidRPr="00A52AB8">
        <w:instrText xml:space="preserve"> \* MERGEFORMAT </w:instrText>
      </w:r>
      <w:r w:rsidR="00E211A9" w:rsidRPr="00496A4D">
        <w:fldChar w:fldCharType="separate"/>
      </w:r>
      <w:r w:rsidR="00507A67">
        <w:t>F.3.6</w:t>
      </w:r>
      <w:r w:rsidR="00E211A9" w:rsidRPr="00496A4D">
        <w:fldChar w:fldCharType="end"/>
      </w:r>
      <w:r w:rsidR="00E211A9" w:rsidRPr="00A52AB8">
        <w:t xml:space="preserve"> </w:t>
      </w:r>
      <w:r w:rsidRPr="00A52AB8">
        <w:t>apply.</w:t>
      </w:r>
    </w:p>
    <w:p w14:paraId="6661016B" w14:textId="77777777" w:rsidR="00855A0D" w:rsidRPr="00A52AB8" w:rsidRDefault="00855A0D" w:rsidP="00EE3D19">
      <w:pPr>
        <w:pStyle w:val="a3"/>
        <w:numPr>
          <w:ilvl w:val="3"/>
          <w:numId w:val="19"/>
        </w:numPr>
        <w:outlineLvl w:val="3"/>
        <w:rPr>
          <w:sz w:val="22"/>
        </w:rPr>
      </w:pPr>
      <w:bookmarkStart w:id="7349" w:name="_Toc52181848"/>
      <w:r w:rsidRPr="00A52AB8">
        <w:rPr>
          <w:sz w:val="22"/>
        </w:rPr>
        <w:t>Reserved SEI message semantics</w:t>
      </w:r>
      <w:bookmarkEnd w:id="7349"/>
    </w:p>
    <w:p w14:paraId="5FB91347" w14:textId="632BB047" w:rsidR="00855A0D" w:rsidRPr="00A52AB8" w:rsidRDefault="00855A0D" w:rsidP="00855A0D">
      <w:r w:rsidRPr="00A52AB8">
        <w:t xml:space="preserve">The specifications in </w:t>
      </w:r>
      <w:r w:rsidR="00E211A9" w:rsidRPr="00496A4D">
        <w:fldChar w:fldCharType="begin"/>
      </w:r>
      <w:r w:rsidR="00E211A9" w:rsidRPr="00A52AB8">
        <w:instrText xml:space="preserve"> REF _Ref399008054 \r \h </w:instrText>
      </w:r>
      <w:r w:rsidR="00007BE2" w:rsidRPr="00A52AB8">
        <w:instrText xml:space="preserve"> \* MERGEFORMAT </w:instrText>
      </w:r>
      <w:r w:rsidR="00E211A9" w:rsidRPr="00496A4D">
        <w:fldChar w:fldCharType="separate"/>
      </w:r>
      <w:r w:rsidR="00507A67">
        <w:t>F.3.7</w:t>
      </w:r>
      <w:r w:rsidR="00E211A9" w:rsidRPr="00496A4D">
        <w:fldChar w:fldCharType="end"/>
      </w:r>
      <w:r w:rsidR="00E211A9" w:rsidRPr="00A52AB8">
        <w:t xml:space="preserve"> </w:t>
      </w:r>
      <w:r w:rsidRPr="00A52AB8">
        <w:t>apply.</w:t>
      </w:r>
    </w:p>
    <w:p w14:paraId="01128D03" w14:textId="77777777" w:rsidR="00855A0D" w:rsidRPr="00A52AB8" w:rsidRDefault="00855A0D" w:rsidP="00EE3D19">
      <w:pPr>
        <w:pStyle w:val="a3"/>
        <w:numPr>
          <w:ilvl w:val="3"/>
          <w:numId w:val="19"/>
        </w:numPr>
        <w:outlineLvl w:val="3"/>
        <w:rPr>
          <w:sz w:val="22"/>
        </w:rPr>
      </w:pPr>
      <w:bookmarkStart w:id="7350" w:name="_Toc52181849"/>
      <w:r w:rsidRPr="00A52AB8">
        <w:rPr>
          <w:sz w:val="22"/>
        </w:rPr>
        <w:t>SEI manifest SEI message semantics</w:t>
      </w:r>
      <w:bookmarkEnd w:id="7350"/>
    </w:p>
    <w:p w14:paraId="5FDD0A41" w14:textId="60640FE6" w:rsidR="00855A0D" w:rsidRPr="00A52AB8" w:rsidRDefault="00855A0D" w:rsidP="00855A0D">
      <w:r w:rsidRPr="00A52AB8">
        <w:t xml:space="preserve">The specifications in </w:t>
      </w:r>
      <w:r w:rsidR="00E211A9" w:rsidRPr="00496A4D">
        <w:fldChar w:fldCharType="begin"/>
      </w:r>
      <w:r w:rsidR="00E211A9" w:rsidRPr="00A52AB8">
        <w:instrText xml:space="preserve"> REF _Ref49346265 \r \h </w:instrText>
      </w:r>
      <w:r w:rsidR="00007BE2" w:rsidRPr="00A52AB8">
        <w:instrText xml:space="preserve"> \* MERGEFORMAT </w:instrText>
      </w:r>
      <w:r w:rsidR="00E211A9" w:rsidRPr="00496A4D">
        <w:fldChar w:fldCharType="separate"/>
      </w:r>
      <w:r w:rsidR="00507A67">
        <w:t>F.3.8</w:t>
      </w:r>
      <w:r w:rsidR="00E211A9" w:rsidRPr="00496A4D">
        <w:fldChar w:fldCharType="end"/>
      </w:r>
      <w:r w:rsidR="00E211A9" w:rsidRPr="00A52AB8">
        <w:t xml:space="preserve"> </w:t>
      </w:r>
      <w:r w:rsidRPr="00A52AB8">
        <w:t>apply.</w:t>
      </w:r>
    </w:p>
    <w:p w14:paraId="3CE28B40" w14:textId="77777777" w:rsidR="00855A0D" w:rsidRPr="00A52AB8" w:rsidRDefault="00855A0D" w:rsidP="00EE3D19">
      <w:pPr>
        <w:pStyle w:val="a3"/>
        <w:numPr>
          <w:ilvl w:val="3"/>
          <w:numId w:val="19"/>
        </w:numPr>
        <w:outlineLvl w:val="3"/>
        <w:rPr>
          <w:sz w:val="22"/>
        </w:rPr>
      </w:pPr>
      <w:bookmarkStart w:id="7351" w:name="_Toc52181850"/>
      <w:r w:rsidRPr="00A52AB8">
        <w:rPr>
          <w:sz w:val="22"/>
        </w:rPr>
        <w:t>SEI prefix indication SEI message semantics</w:t>
      </w:r>
      <w:bookmarkEnd w:id="7351"/>
    </w:p>
    <w:p w14:paraId="1CCB5DA5" w14:textId="404B647C" w:rsidR="00855A0D" w:rsidRPr="00A52AB8" w:rsidRDefault="00855A0D" w:rsidP="00855A0D">
      <w:r w:rsidRPr="00A52AB8">
        <w:t xml:space="preserve">The specifications in </w:t>
      </w:r>
      <w:r w:rsidR="00E211A9" w:rsidRPr="00496A4D">
        <w:fldChar w:fldCharType="begin"/>
      </w:r>
      <w:r w:rsidR="00E211A9" w:rsidRPr="00A52AB8">
        <w:instrText xml:space="preserve"> REF _Ref49346288 \r \h </w:instrText>
      </w:r>
      <w:r w:rsidR="00007BE2" w:rsidRPr="00A52AB8">
        <w:instrText xml:space="preserve"> \* MERGEFORMAT </w:instrText>
      </w:r>
      <w:r w:rsidR="00E211A9" w:rsidRPr="00496A4D">
        <w:fldChar w:fldCharType="separate"/>
      </w:r>
      <w:r w:rsidR="00507A67">
        <w:t>F.3.9</w:t>
      </w:r>
      <w:r w:rsidR="00E211A9" w:rsidRPr="00496A4D">
        <w:fldChar w:fldCharType="end"/>
      </w:r>
      <w:r w:rsidR="00E211A9" w:rsidRPr="00A52AB8">
        <w:t xml:space="preserve"> </w:t>
      </w:r>
      <w:r w:rsidRPr="00A52AB8">
        <w:t>apply.</w:t>
      </w:r>
    </w:p>
    <w:p w14:paraId="2505FEE1" w14:textId="77777777" w:rsidR="00855A0D" w:rsidRPr="00A52AB8" w:rsidRDefault="00855A0D" w:rsidP="00EE3D19">
      <w:pPr>
        <w:pStyle w:val="a3"/>
        <w:numPr>
          <w:ilvl w:val="3"/>
          <w:numId w:val="19"/>
        </w:numPr>
        <w:outlineLvl w:val="3"/>
        <w:rPr>
          <w:sz w:val="22"/>
        </w:rPr>
      </w:pPr>
      <w:bookmarkStart w:id="7352" w:name="_Toc52181851"/>
      <w:r w:rsidRPr="00A52AB8">
        <w:rPr>
          <w:sz w:val="22"/>
        </w:rPr>
        <w:t>Active sub-bitstreams SEI message semantics</w:t>
      </w:r>
      <w:bookmarkEnd w:id="7352"/>
    </w:p>
    <w:p w14:paraId="13E11FA9" w14:textId="5E9A5FA7" w:rsidR="00855A0D" w:rsidRPr="00A52AB8" w:rsidRDefault="00855A0D" w:rsidP="00855A0D">
      <w:r w:rsidRPr="00A52AB8">
        <w:t xml:space="preserve">The specifications in </w:t>
      </w:r>
      <w:r w:rsidR="00905A3E" w:rsidRPr="00496A4D">
        <w:fldChar w:fldCharType="begin"/>
      </w:r>
      <w:r w:rsidR="00905A3E" w:rsidRPr="00A52AB8">
        <w:instrText xml:space="preserve"> REF _Ref49436122 \r \h </w:instrText>
      </w:r>
      <w:r w:rsidR="00007BE2" w:rsidRPr="00A52AB8">
        <w:instrText xml:space="preserve"> \* MERGEFORMAT </w:instrText>
      </w:r>
      <w:r w:rsidR="00905A3E" w:rsidRPr="00496A4D">
        <w:fldChar w:fldCharType="separate"/>
      </w:r>
      <w:r w:rsidR="00507A67">
        <w:t>F.3.10</w:t>
      </w:r>
      <w:r w:rsidR="00905A3E" w:rsidRPr="00496A4D">
        <w:fldChar w:fldCharType="end"/>
      </w:r>
      <w:r w:rsidR="00905A3E" w:rsidRPr="00A52AB8">
        <w:t xml:space="preserve"> </w:t>
      </w:r>
      <w:r w:rsidRPr="00A52AB8">
        <w:t>apply.</w:t>
      </w:r>
    </w:p>
    <w:p w14:paraId="780BE4CC" w14:textId="77777777" w:rsidR="00855A0D" w:rsidRPr="00A52AB8" w:rsidRDefault="00855A0D" w:rsidP="00EE3D19">
      <w:pPr>
        <w:pStyle w:val="a3"/>
        <w:numPr>
          <w:ilvl w:val="3"/>
          <w:numId w:val="19"/>
        </w:numPr>
        <w:outlineLvl w:val="3"/>
        <w:rPr>
          <w:sz w:val="22"/>
        </w:rPr>
      </w:pPr>
      <w:bookmarkStart w:id="7353" w:name="_Toc49350410"/>
      <w:bookmarkStart w:id="7354" w:name="_Toc52181852"/>
      <w:bookmarkEnd w:id="7353"/>
      <w:r w:rsidRPr="00A52AB8">
        <w:rPr>
          <w:sz w:val="22"/>
        </w:rPr>
        <w:t>Component codec mapping SEI message semantics</w:t>
      </w:r>
      <w:bookmarkEnd w:id="7354"/>
    </w:p>
    <w:p w14:paraId="7E3DC641" w14:textId="3C87C9B4" w:rsidR="00855A0D" w:rsidRPr="00A52AB8" w:rsidRDefault="00855A0D" w:rsidP="00855A0D">
      <w:r w:rsidRPr="00A52AB8">
        <w:t xml:space="preserve">The specifications in </w:t>
      </w:r>
      <w:r w:rsidR="003B3585" w:rsidRPr="00496A4D">
        <w:fldChar w:fldCharType="begin"/>
      </w:r>
      <w:r w:rsidR="003B3585" w:rsidRPr="00A52AB8">
        <w:instrText xml:space="preserve"> REF _Ref21443984 \r \h </w:instrText>
      </w:r>
      <w:r w:rsidR="00007BE2" w:rsidRPr="00A52AB8">
        <w:instrText xml:space="preserve"> \* MERGEFORMAT </w:instrText>
      </w:r>
      <w:r w:rsidR="003B3585" w:rsidRPr="00496A4D">
        <w:fldChar w:fldCharType="separate"/>
      </w:r>
      <w:r w:rsidR="00507A67">
        <w:t>F.3.11</w:t>
      </w:r>
      <w:r w:rsidR="003B3585" w:rsidRPr="00496A4D">
        <w:fldChar w:fldCharType="end"/>
      </w:r>
      <w:r w:rsidR="003B3585" w:rsidRPr="00A52AB8">
        <w:t xml:space="preserve"> </w:t>
      </w:r>
      <w:r w:rsidRPr="00A52AB8">
        <w:t>apply.</w:t>
      </w:r>
    </w:p>
    <w:p w14:paraId="22EBA8D2" w14:textId="093EE614" w:rsidR="00855A0D" w:rsidRPr="00A52AB8" w:rsidRDefault="00855A0D" w:rsidP="00EE3D19">
      <w:pPr>
        <w:pStyle w:val="a3"/>
        <w:numPr>
          <w:ilvl w:val="3"/>
          <w:numId w:val="19"/>
        </w:numPr>
        <w:outlineLvl w:val="3"/>
        <w:rPr>
          <w:sz w:val="22"/>
        </w:rPr>
      </w:pPr>
      <w:bookmarkStart w:id="7355" w:name="_Toc52181853"/>
      <w:r w:rsidRPr="00A52AB8">
        <w:rPr>
          <w:sz w:val="22"/>
        </w:rPr>
        <w:t>Volumetric annotation SEI messages family syntax</w:t>
      </w:r>
      <w:bookmarkEnd w:id="7355"/>
    </w:p>
    <w:p w14:paraId="4D0D4ED4" w14:textId="1CDBB863" w:rsidR="00855A0D" w:rsidRPr="00A52AB8" w:rsidRDefault="00855A0D" w:rsidP="004A7026">
      <w:r w:rsidRPr="00A52AB8">
        <w:rPr>
          <w:lang w:eastAsia="ja-JP"/>
        </w:rPr>
        <w:t>The specifications in</w:t>
      </w:r>
      <w:r w:rsidR="003B3585" w:rsidRPr="00A52AB8">
        <w:rPr>
          <w:lang w:eastAsia="ja-JP"/>
        </w:rPr>
        <w:t xml:space="preserve"> </w:t>
      </w:r>
      <w:r w:rsidR="003B3585" w:rsidRPr="00496A4D">
        <w:rPr>
          <w:lang w:eastAsia="ja-JP"/>
        </w:rPr>
        <w:fldChar w:fldCharType="begin"/>
      </w:r>
      <w:r w:rsidR="003B3585" w:rsidRPr="00A52AB8">
        <w:rPr>
          <w:lang w:eastAsia="ja-JP"/>
        </w:rPr>
        <w:instrText xml:space="preserve"> REF _Ref49348186 \r \h </w:instrText>
      </w:r>
      <w:r w:rsidR="00007BE2" w:rsidRPr="00A52AB8">
        <w:rPr>
          <w:lang w:eastAsia="ja-JP"/>
        </w:rPr>
        <w:instrText xml:space="preserve"> \* MERGEFORMAT </w:instrText>
      </w:r>
      <w:r w:rsidR="003B3585" w:rsidRPr="00496A4D">
        <w:rPr>
          <w:lang w:eastAsia="ja-JP"/>
        </w:rPr>
      </w:r>
      <w:r w:rsidR="003B3585" w:rsidRPr="00496A4D">
        <w:rPr>
          <w:lang w:eastAsia="ja-JP"/>
        </w:rPr>
        <w:fldChar w:fldCharType="separate"/>
      </w:r>
      <w:r w:rsidR="00507A67">
        <w:rPr>
          <w:lang w:eastAsia="ja-JP"/>
        </w:rPr>
        <w:t>F.3.12</w:t>
      </w:r>
      <w:r w:rsidR="003B3585" w:rsidRPr="00496A4D">
        <w:rPr>
          <w:lang w:eastAsia="ja-JP"/>
        </w:rPr>
        <w:fldChar w:fldCharType="end"/>
      </w:r>
      <w:r w:rsidRPr="00A52AB8">
        <w:rPr>
          <w:lang w:eastAsia="ja-JP"/>
        </w:rPr>
        <w:t xml:space="preserve"> and subclauses apply</w:t>
      </w:r>
      <w:r w:rsidR="003B3585" w:rsidRPr="00A52AB8">
        <w:rPr>
          <w:lang w:eastAsia="ja-JP"/>
        </w:rPr>
        <w:t>.</w:t>
      </w:r>
    </w:p>
    <w:p w14:paraId="79A28DAF" w14:textId="77777777" w:rsidR="00855A0D" w:rsidRPr="00A52AB8" w:rsidRDefault="00855A0D" w:rsidP="00EE3D19">
      <w:pPr>
        <w:pStyle w:val="a3"/>
        <w:numPr>
          <w:ilvl w:val="3"/>
          <w:numId w:val="19"/>
        </w:numPr>
        <w:outlineLvl w:val="3"/>
        <w:rPr>
          <w:sz w:val="22"/>
        </w:rPr>
      </w:pPr>
      <w:bookmarkStart w:id="7356" w:name="_Toc52181854"/>
      <w:r w:rsidRPr="00A52AB8">
        <w:rPr>
          <w:sz w:val="22"/>
        </w:rPr>
        <w:t>Buffering period SEI message semantics</w:t>
      </w:r>
      <w:bookmarkEnd w:id="7356"/>
    </w:p>
    <w:p w14:paraId="388D92EE" w14:textId="33AD2841" w:rsidR="00855A0D" w:rsidRPr="00A52AB8" w:rsidRDefault="00972B73" w:rsidP="00972B73">
      <w:pPr>
        <w:rPr>
          <w:rFonts w:eastAsia="Malgun Gothic"/>
        </w:rPr>
      </w:pPr>
      <w:r w:rsidRPr="00A52AB8">
        <w:t>The specifications in</w:t>
      </w:r>
      <w:r w:rsidR="003B3585" w:rsidRPr="00A52AB8">
        <w:t xml:space="preserve"> </w:t>
      </w:r>
      <w:r w:rsidR="003B3585" w:rsidRPr="00496A4D">
        <w:fldChar w:fldCharType="begin"/>
      </w:r>
      <w:r w:rsidR="003B3585" w:rsidRPr="00A52AB8">
        <w:instrText xml:space="preserve"> REF _Ref49348202 \r \h </w:instrText>
      </w:r>
      <w:r w:rsidR="00007BE2" w:rsidRPr="00A52AB8">
        <w:instrText xml:space="preserve"> \* MERGEFORMAT </w:instrText>
      </w:r>
      <w:r w:rsidR="003B3585" w:rsidRPr="00496A4D">
        <w:fldChar w:fldCharType="separate"/>
      </w:r>
      <w:r w:rsidR="00507A67">
        <w:t>F.3.13</w:t>
      </w:r>
      <w:r w:rsidR="003B3585" w:rsidRPr="00496A4D">
        <w:fldChar w:fldCharType="end"/>
      </w:r>
      <w:r w:rsidRPr="00A52AB8">
        <w:t xml:space="preserve"> apply</w:t>
      </w:r>
      <w:r w:rsidR="00855A0D" w:rsidRPr="00A52AB8">
        <w:rPr>
          <w:rFonts w:eastAsia="Malgun Gothic"/>
        </w:rPr>
        <w:t>.</w:t>
      </w:r>
    </w:p>
    <w:p w14:paraId="2A4A9917" w14:textId="77777777" w:rsidR="00855A0D" w:rsidRPr="00A52AB8" w:rsidRDefault="00855A0D" w:rsidP="00EE3D19">
      <w:pPr>
        <w:pStyle w:val="a3"/>
        <w:numPr>
          <w:ilvl w:val="3"/>
          <w:numId w:val="19"/>
        </w:numPr>
        <w:outlineLvl w:val="3"/>
        <w:rPr>
          <w:sz w:val="22"/>
        </w:rPr>
      </w:pPr>
      <w:bookmarkStart w:id="7357" w:name="_Toc52181855"/>
      <w:r w:rsidRPr="00A52AB8">
        <w:rPr>
          <w:sz w:val="22"/>
        </w:rPr>
        <w:t>Atlas frame timing SEI message semantics</w:t>
      </w:r>
      <w:bookmarkEnd w:id="7357"/>
    </w:p>
    <w:p w14:paraId="13F1448F" w14:textId="0F1F6C78" w:rsidR="00855A0D" w:rsidRPr="00A52AB8" w:rsidRDefault="00972B73" w:rsidP="00972B73">
      <w:pPr>
        <w:rPr>
          <w:rFonts w:eastAsia="Malgun Gothic"/>
        </w:rPr>
      </w:pPr>
      <w:r w:rsidRPr="00A52AB8">
        <w:t>The specifications in</w:t>
      </w:r>
      <w:r w:rsidR="003B3585" w:rsidRPr="00A52AB8">
        <w:t xml:space="preserve"> </w:t>
      </w:r>
      <w:r w:rsidR="003B3585" w:rsidRPr="00496A4D">
        <w:fldChar w:fldCharType="begin"/>
      </w:r>
      <w:r w:rsidR="003B3585" w:rsidRPr="00A52AB8">
        <w:instrText xml:space="preserve"> REF _Ref49348215 \r \h </w:instrText>
      </w:r>
      <w:r w:rsidR="00007BE2" w:rsidRPr="00A52AB8">
        <w:instrText xml:space="preserve"> \* MERGEFORMAT </w:instrText>
      </w:r>
      <w:r w:rsidR="003B3585" w:rsidRPr="00496A4D">
        <w:fldChar w:fldCharType="separate"/>
      </w:r>
      <w:r w:rsidR="00507A67">
        <w:t>F.3.14</w:t>
      </w:r>
      <w:r w:rsidR="003B3585" w:rsidRPr="00496A4D">
        <w:fldChar w:fldCharType="end"/>
      </w:r>
      <w:r w:rsidRPr="00A52AB8">
        <w:t xml:space="preserve"> apply</w:t>
      </w:r>
      <w:r w:rsidR="00855A0D" w:rsidRPr="00A52AB8">
        <w:rPr>
          <w:rFonts w:eastAsia="Malgun Gothic"/>
        </w:rPr>
        <w:t>.</w:t>
      </w:r>
    </w:p>
    <w:p w14:paraId="29DFEC6E" w14:textId="70338E6A" w:rsidR="00855A0D" w:rsidRPr="00A52AB8" w:rsidRDefault="00855A0D" w:rsidP="00EE3D19">
      <w:pPr>
        <w:pStyle w:val="a3"/>
        <w:numPr>
          <w:ilvl w:val="3"/>
          <w:numId w:val="19"/>
        </w:numPr>
        <w:outlineLvl w:val="3"/>
        <w:rPr>
          <w:sz w:val="22"/>
        </w:rPr>
      </w:pPr>
      <w:bookmarkStart w:id="7358" w:name="_Toc52181856"/>
      <w:r w:rsidRPr="00A52AB8">
        <w:rPr>
          <w:sz w:val="22"/>
        </w:rPr>
        <w:t>Viewport SEI messages family semantics</w:t>
      </w:r>
      <w:bookmarkEnd w:id="7358"/>
    </w:p>
    <w:p w14:paraId="04EB5A71" w14:textId="2BDB8917" w:rsidR="00972B73" w:rsidRPr="00A52AB8" w:rsidRDefault="00972B73" w:rsidP="004A7026">
      <w:r w:rsidRPr="00A52AB8">
        <w:t xml:space="preserve">The specifications in </w:t>
      </w:r>
      <w:r w:rsidR="003B3585" w:rsidRPr="00496A4D">
        <w:fldChar w:fldCharType="begin"/>
      </w:r>
      <w:r w:rsidR="003B3585" w:rsidRPr="00A52AB8">
        <w:instrText xml:space="preserve"> REF _Ref49348234 \r \h </w:instrText>
      </w:r>
      <w:r w:rsidR="00007BE2" w:rsidRPr="00A52AB8">
        <w:instrText xml:space="preserve"> \* MERGEFORMAT </w:instrText>
      </w:r>
      <w:r w:rsidR="003B3585" w:rsidRPr="00496A4D">
        <w:fldChar w:fldCharType="separate"/>
      </w:r>
      <w:r w:rsidR="00507A67">
        <w:t>F.3.15</w:t>
      </w:r>
      <w:r w:rsidR="003B3585" w:rsidRPr="00496A4D">
        <w:fldChar w:fldCharType="end"/>
      </w:r>
      <w:r w:rsidR="003B3585" w:rsidRPr="00A52AB8">
        <w:t xml:space="preserve"> </w:t>
      </w:r>
      <w:r w:rsidRPr="00A52AB8">
        <w:t>and subclauses apply</w:t>
      </w:r>
    </w:p>
    <w:p w14:paraId="0C9D309C" w14:textId="69596024" w:rsidR="00855A0D" w:rsidRPr="00A52AB8" w:rsidRDefault="00855A0D" w:rsidP="00EE3D19">
      <w:pPr>
        <w:pStyle w:val="a3"/>
        <w:numPr>
          <w:ilvl w:val="3"/>
          <w:numId w:val="19"/>
        </w:numPr>
        <w:outlineLvl w:val="3"/>
        <w:rPr>
          <w:sz w:val="22"/>
        </w:rPr>
      </w:pPr>
      <w:bookmarkStart w:id="7359" w:name="_Toc52181857"/>
      <w:r w:rsidRPr="00A52AB8">
        <w:rPr>
          <w:sz w:val="22"/>
        </w:rPr>
        <w:t>Decoded Atlas Information Hash SEI message semantics</w:t>
      </w:r>
      <w:bookmarkEnd w:id="7359"/>
    </w:p>
    <w:p w14:paraId="055E7ADC" w14:textId="77777777" w:rsidR="00855A0D" w:rsidRPr="00A52AB8" w:rsidRDefault="00855A0D" w:rsidP="00EE3D19">
      <w:pPr>
        <w:pStyle w:val="a4"/>
        <w:numPr>
          <w:ilvl w:val="4"/>
          <w:numId w:val="19"/>
        </w:numPr>
        <w:tabs>
          <w:tab w:val="clear" w:pos="7200"/>
        </w:tabs>
        <w:outlineLvl w:val="4"/>
      </w:pPr>
      <w:r w:rsidRPr="00A52AB8">
        <w:t>General</w:t>
      </w:r>
    </w:p>
    <w:p w14:paraId="61E40DC8" w14:textId="11B52BEA" w:rsidR="00855A0D" w:rsidRPr="00A52AB8" w:rsidRDefault="00972B73" w:rsidP="00855A0D">
      <w:pPr>
        <w:pStyle w:val="Equation"/>
        <w:tabs>
          <w:tab w:val="left" w:pos="360"/>
          <w:tab w:val="left" w:pos="1170"/>
          <w:tab w:val="left" w:pos="1980"/>
        </w:tabs>
      </w:pPr>
      <w:r w:rsidRPr="00A52AB8">
        <w:t xml:space="preserve">The specifications in </w:t>
      </w:r>
      <w:r w:rsidR="00A750ED" w:rsidRPr="00496A4D">
        <w:fldChar w:fldCharType="begin"/>
      </w:r>
      <w:r w:rsidR="00A750ED" w:rsidRPr="00A52AB8">
        <w:instrText xml:space="preserve"> REF _Ref49348323 \r \h </w:instrText>
      </w:r>
      <w:r w:rsidR="00007BE2" w:rsidRPr="00A52AB8">
        <w:instrText xml:space="preserve"> \* MERGEFORMAT </w:instrText>
      </w:r>
      <w:r w:rsidR="00A750ED" w:rsidRPr="00496A4D">
        <w:fldChar w:fldCharType="separate"/>
      </w:r>
      <w:r w:rsidR="00507A67">
        <w:t>F.3.16.1</w:t>
      </w:r>
      <w:r w:rsidR="00A750ED" w:rsidRPr="00496A4D">
        <w:fldChar w:fldCharType="end"/>
      </w:r>
      <w:r w:rsidR="00A750ED" w:rsidRPr="00A52AB8">
        <w:t xml:space="preserve"> </w:t>
      </w:r>
      <w:r w:rsidRPr="00A52AB8">
        <w:t>apply.</w:t>
      </w:r>
    </w:p>
    <w:p w14:paraId="583592E9" w14:textId="77777777" w:rsidR="0050235C" w:rsidRPr="00A52AB8" w:rsidRDefault="00855A0D" w:rsidP="00EE3D19">
      <w:pPr>
        <w:pStyle w:val="a4"/>
        <w:numPr>
          <w:ilvl w:val="4"/>
          <w:numId w:val="19"/>
        </w:numPr>
        <w:tabs>
          <w:tab w:val="clear" w:pos="7200"/>
        </w:tabs>
        <w:outlineLvl w:val="4"/>
      </w:pPr>
      <w:r w:rsidRPr="00A52AB8">
        <w:t>Strings of bytes arrangement for hash calculation</w:t>
      </w:r>
    </w:p>
    <w:p w14:paraId="5156C69A" w14:textId="77777777" w:rsidR="0050235C" w:rsidRPr="00A52AB8" w:rsidRDefault="00855A0D" w:rsidP="00EE3D19">
      <w:pPr>
        <w:pStyle w:val="a4"/>
        <w:numPr>
          <w:ilvl w:val="5"/>
          <w:numId w:val="19"/>
        </w:numPr>
        <w:tabs>
          <w:tab w:val="clear" w:pos="7200"/>
        </w:tabs>
        <w:outlineLvl w:val="5"/>
      </w:pPr>
      <w:r w:rsidRPr="00A52AB8">
        <w:t>General</w:t>
      </w:r>
    </w:p>
    <w:p w14:paraId="64CDDA0C" w14:textId="501397C5" w:rsidR="00855A0D" w:rsidRPr="00A52AB8" w:rsidRDefault="00972B73" w:rsidP="004A7026">
      <w:pPr>
        <w:pStyle w:val="Equation"/>
        <w:tabs>
          <w:tab w:val="left" w:pos="360"/>
          <w:tab w:val="left" w:pos="1170"/>
          <w:tab w:val="left" w:pos="1980"/>
        </w:tabs>
      </w:pPr>
      <w:r w:rsidRPr="00A52AB8">
        <w:t xml:space="preserve">The specifications in </w:t>
      </w:r>
      <w:r w:rsidR="00A750ED" w:rsidRPr="00496A4D">
        <w:fldChar w:fldCharType="begin"/>
      </w:r>
      <w:r w:rsidR="00A750ED" w:rsidRPr="00A52AB8">
        <w:instrText xml:space="preserve"> REF _Ref49348335 \r \h </w:instrText>
      </w:r>
      <w:r w:rsidR="00007BE2" w:rsidRPr="00A52AB8">
        <w:instrText xml:space="preserve"> \* MERGEFORMAT </w:instrText>
      </w:r>
      <w:r w:rsidR="00A750ED" w:rsidRPr="00496A4D">
        <w:fldChar w:fldCharType="separate"/>
      </w:r>
      <w:r w:rsidR="00507A67">
        <w:t>F.3.16.2.1</w:t>
      </w:r>
      <w:r w:rsidR="00A750ED" w:rsidRPr="00496A4D">
        <w:fldChar w:fldCharType="end"/>
      </w:r>
      <w:r w:rsidR="00A750ED" w:rsidRPr="00A52AB8">
        <w:t xml:space="preserve"> </w:t>
      </w:r>
      <w:r w:rsidRPr="00A52AB8">
        <w:t>apply.</w:t>
      </w:r>
    </w:p>
    <w:p w14:paraId="4832D80C" w14:textId="5946B917" w:rsidR="00855A0D" w:rsidRPr="00A52AB8" w:rsidRDefault="00855A0D" w:rsidP="00EE3D19">
      <w:pPr>
        <w:pStyle w:val="a4"/>
        <w:numPr>
          <w:ilvl w:val="5"/>
          <w:numId w:val="19"/>
        </w:numPr>
        <w:tabs>
          <w:tab w:val="clear" w:pos="7200"/>
        </w:tabs>
        <w:outlineLvl w:val="5"/>
      </w:pPr>
      <w:r w:rsidRPr="00A52AB8">
        <w:t>High-level atlas information string of bytes</w:t>
      </w:r>
    </w:p>
    <w:p w14:paraId="6FB2A7A3" w14:textId="453252FA" w:rsidR="00855A0D" w:rsidRPr="00A52AB8" w:rsidRDefault="00855A0D" w:rsidP="00EE3D19">
      <w:pPr>
        <w:pStyle w:val="a4"/>
        <w:numPr>
          <w:ilvl w:val="6"/>
          <w:numId w:val="19"/>
        </w:numPr>
        <w:tabs>
          <w:tab w:val="clear" w:pos="7200"/>
        </w:tabs>
        <w:outlineLvl w:val="6"/>
      </w:pPr>
      <w:r w:rsidRPr="00A52AB8">
        <w:t>Common ASPS level string of bytes</w:t>
      </w:r>
    </w:p>
    <w:p w14:paraId="5E1C6F88" w14:textId="42BC7659" w:rsidR="00972B73" w:rsidRPr="00A52AB8" w:rsidRDefault="00972B73" w:rsidP="00972B73">
      <w:pPr>
        <w:pStyle w:val="Equation"/>
        <w:tabs>
          <w:tab w:val="left" w:pos="360"/>
          <w:tab w:val="left" w:pos="1170"/>
          <w:tab w:val="left" w:pos="1980"/>
        </w:tabs>
      </w:pPr>
      <w:r w:rsidRPr="00A52AB8">
        <w:t xml:space="preserve">The specifications in </w:t>
      </w:r>
      <w:r w:rsidR="00C960E8" w:rsidRPr="00496A4D">
        <w:fldChar w:fldCharType="begin"/>
      </w:r>
      <w:r w:rsidR="00C960E8" w:rsidRPr="00A52AB8">
        <w:instrText xml:space="preserve"> REF _Ref49091097 \r \h </w:instrText>
      </w:r>
      <w:r w:rsidR="00007BE2" w:rsidRPr="00A52AB8">
        <w:instrText xml:space="preserve"> \* MERGEFORMAT </w:instrText>
      </w:r>
      <w:r w:rsidR="00C960E8" w:rsidRPr="00496A4D">
        <w:fldChar w:fldCharType="separate"/>
      </w:r>
      <w:r w:rsidR="00507A67">
        <w:t>F.3.16.2.2.1</w:t>
      </w:r>
      <w:r w:rsidR="00C960E8" w:rsidRPr="00496A4D">
        <w:fldChar w:fldCharType="end"/>
      </w:r>
      <w:r w:rsidR="00C960E8" w:rsidRPr="00A52AB8">
        <w:t xml:space="preserve"> </w:t>
      </w:r>
      <w:r w:rsidRPr="00A52AB8">
        <w:t>apply.</w:t>
      </w:r>
    </w:p>
    <w:p w14:paraId="0843E147" w14:textId="77777777" w:rsidR="00855A0D" w:rsidRPr="00A52AB8" w:rsidRDefault="00855A0D" w:rsidP="00EE3D19">
      <w:pPr>
        <w:pStyle w:val="a4"/>
        <w:numPr>
          <w:ilvl w:val="6"/>
          <w:numId w:val="19"/>
        </w:numPr>
        <w:tabs>
          <w:tab w:val="clear" w:pos="7200"/>
        </w:tabs>
        <w:outlineLvl w:val="6"/>
      </w:pPr>
      <w:r w:rsidRPr="00A52AB8">
        <w:t>Application-based ASPS level string of bytes</w:t>
      </w:r>
    </w:p>
    <w:p w14:paraId="2F2624AE" w14:textId="77777777" w:rsidR="00855A0D" w:rsidRPr="00A52AB8" w:rsidRDefault="00855A0D" w:rsidP="00FB4953">
      <w:r w:rsidRPr="00A52AB8">
        <w:t>Let the function ASPSApplicationByteString( stringByte, posByte ) be defined as follows:</w:t>
      </w:r>
    </w:p>
    <w:p w14:paraId="35E0A165" w14:textId="7DF074B6" w:rsidR="00855A0D" w:rsidRPr="00A52AB8" w:rsidRDefault="00855A0D" w:rsidP="00FB4953">
      <w:pPr>
        <w:spacing w:before="120"/>
      </w:pPr>
      <w:r w:rsidRPr="00A52AB8">
        <w:tab/>
        <w:t>ASPSApplicationByteString( stringByte, posByte </w:t>
      </w:r>
      <w:r w:rsidR="008F1F82" w:rsidRPr="00A52AB8">
        <w:t>) {</w:t>
      </w:r>
      <w:r w:rsidRPr="00A52AB8">
        <w:br/>
      </w:r>
      <w:r w:rsidRPr="00A52AB8">
        <w:tab/>
      </w:r>
      <w:r w:rsidRPr="00A52AB8">
        <w:tab/>
        <w:t>if(</w:t>
      </w:r>
      <w:r w:rsidR="008F6543" w:rsidRPr="00A52AB8">
        <w:t> </w:t>
      </w:r>
      <w:r w:rsidRPr="00A52AB8">
        <w:t>asps_pixel_deinterleaving_enabled_flag</w:t>
      </w:r>
      <w:r w:rsidR="008F6543" w:rsidRPr="00A52AB8">
        <w:t> </w:t>
      </w:r>
      <w:r w:rsidR="008F1F82" w:rsidRPr="00A52AB8">
        <w:t>) {</w:t>
      </w:r>
      <w:r w:rsidR="008F6543" w:rsidRPr="00A52AB8">
        <w:br/>
      </w:r>
      <w:r w:rsidRPr="00A52AB8">
        <w:tab/>
      </w:r>
      <w:r w:rsidRPr="00A52AB8">
        <w:tab/>
      </w:r>
      <w:r w:rsidR="0092567F" w:rsidRPr="00A52AB8">
        <w:tab/>
      </w:r>
      <w:r w:rsidRPr="00A52AB8">
        <w:t>for(</w:t>
      </w:r>
      <w:r w:rsidR="008F6543" w:rsidRPr="00A52AB8">
        <w:t> </w:t>
      </w:r>
      <w:r w:rsidRPr="00A52AB8">
        <w:t>j</w:t>
      </w:r>
      <w:r w:rsidR="00D47707" w:rsidRPr="00A52AB8">
        <w:t> = </w:t>
      </w:r>
      <w:r w:rsidRPr="00A52AB8">
        <w:t>0;</w:t>
      </w:r>
      <w:r w:rsidR="008F6543" w:rsidRPr="00A52AB8">
        <w:t> </w:t>
      </w:r>
      <w:r w:rsidRPr="00A52AB8">
        <w:t>j</w:t>
      </w:r>
      <w:r w:rsidR="008F6543" w:rsidRPr="00A52AB8">
        <w:t> </w:t>
      </w:r>
      <w:r w:rsidR="00A234FD" w:rsidRPr="00A52AB8">
        <w:t>&lt;=</w:t>
      </w:r>
      <w:r w:rsidR="00D47707" w:rsidRPr="00A52AB8">
        <w:t> </w:t>
      </w:r>
      <w:r w:rsidRPr="00A52AB8">
        <w:t>asps_map_count_minus1;</w:t>
      </w:r>
      <w:r w:rsidR="008F6543" w:rsidRPr="00A52AB8">
        <w:t> </w:t>
      </w:r>
      <w:r w:rsidRPr="00A52AB8">
        <w:t>j++</w:t>
      </w:r>
      <w:r w:rsidR="008F6543" w:rsidRPr="00A52AB8">
        <w:t> </w:t>
      </w:r>
      <w:r w:rsidRPr="00A52AB8">
        <w:t>)</w:t>
      </w:r>
      <w:r w:rsidR="008F6543" w:rsidRPr="00A52AB8">
        <w:br/>
      </w:r>
      <w:r w:rsidRPr="00A52AB8">
        <w:tab/>
      </w:r>
      <w:r w:rsidRPr="00A52AB8">
        <w:tab/>
      </w:r>
      <w:r w:rsidRPr="00A52AB8">
        <w:tab/>
      </w:r>
      <w:r w:rsidR="0092567F" w:rsidRPr="00A52AB8">
        <w:tab/>
      </w:r>
      <w:r w:rsidRPr="00A52AB8">
        <w:t>stringByte[ posByte++ ]</w:t>
      </w:r>
      <w:r w:rsidR="00D47707" w:rsidRPr="00A52AB8">
        <w:t> = </w:t>
      </w:r>
      <w:r w:rsidRPr="00A52AB8">
        <w:t>asps_map_pixel_deinterleaving_flag[ j ]</w:t>
      </w:r>
      <w:r w:rsidR="008768E9" w:rsidRPr="00A52AB8">
        <w:t> &amp;&amp; </w:t>
      </w:r>
      <w:r w:rsidRPr="00A52AB8">
        <w:t>0xFF</w:t>
      </w:r>
      <w:r w:rsidR="00E112A1" w:rsidRPr="00A52AB8">
        <w:br/>
      </w:r>
      <w:r w:rsidR="00E112A1" w:rsidRPr="00A52AB8">
        <w:tab/>
      </w:r>
      <w:r w:rsidR="00E112A1" w:rsidRPr="00A52AB8">
        <w:tab/>
        <w:t>}</w:t>
      </w:r>
      <w:r w:rsidR="00DE31D2" w:rsidRPr="00A52AB8">
        <w:br/>
      </w:r>
      <w:r w:rsidR="00E112A1" w:rsidRPr="00A52AB8">
        <w:br/>
      </w:r>
      <w:r w:rsidRPr="00A52AB8">
        <w:tab/>
      </w:r>
      <w:r w:rsidRPr="00A52AB8">
        <w:tab/>
        <w:t>stringByte[ posByte++ ]</w:t>
      </w:r>
      <w:r w:rsidR="00D47707" w:rsidRPr="00A52AB8">
        <w:t> = </w:t>
      </w:r>
      <w:r w:rsidRPr="00A52AB8">
        <w:t>asps_raw_patch_enabled_flag</w:t>
      </w:r>
      <w:r w:rsidR="008768E9" w:rsidRPr="00A52AB8">
        <w:t> &amp;&amp; </w:t>
      </w:r>
      <w:r w:rsidRPr="00A52AB8">
        <w:t>0xFF</w:t>
      </w:r>
      <w:r w:rsidRPr="00A52AB8">
        <w:br/>
      </w:r>
      <w:r w:rsidRPr="00A52AB8">
        <w:tab/>
      </w:r>
      <w:r w:rsidRPr="00A52AB8">
        <w:tab/>
        <w:t>stringByte[ posByte++ ]</w:t>
      </w:r>
      <w:r w:rsidR="00D47707" w:rsidRPr="00A52AB8">
        <w:t> = </w:t>
      </w:r>
      <w:r w:rsidRPr="00A52AB8">
        <w:t>asps_eom_patch_enabled_flag</w:t>
      </w:r>
      <w:r w:rsidR="008768E9" w:rsidRPr="00A52AB8">
        <w:t> &amp;&amp; </w:t>
      </w:r>
      <w:r w:rsidRPr="00A52AB8">
        <w:t>0xFF</w:t>
      </w:r>
      <w:r w:rsidRPr="00A52AB8">
        <w:br/>
      </w:r>
      <w:r w:rsidRPr="00A52AB8">
        <w:tab/>
      </w:r>
      <w:r w:rsidRPr="00A52AB8">
        <w:tab/>
        <w:t>if( asps_eom_patch_enabled_flag</w:t>
      </w:r>
      <w:r w:rsidR="008768E9" w:rsidRPr="00A52AB8">
        <w:t> &amp;&amp; </w:t>
      </w:r>
      <w:r w:rsidRPr="00A52AB8">
        <w:t>asps_map_count_minus1</w:t>
      </w:r>
      <w:r w:rsidR="008768E9" w:rsidRPr="00A52AB8">
        <w:t> </w:t>
      </w:r>
      <w:r w:rsidR="00726AAE" w:rsidRPr="00A52AB8">
        <w:t>==</w:t>
      </w:r>
      <w:r w:rsidR="00D47707" w:rsidRPr="00A52AB8">
        <w:t> </w:t>
      </w:r>
      <w:r w:rsidRPr="00A52AB8">
        <w:t>0 </w:t>
      </w:r>
      <w:r w:rsidR="008F1F82" w:rsidRPr="00A52AB8">
        <w:t>) {</w:t>
      </w:r>
      <w:r w:rsidRPr="00A52AB8">
        <w:br/>
      </w:r>
      <w:r w:rsidRPr="00A52AB8">
        <w:tab/>
      </w:r>
      <w:r w:rsidRPr="00A52AB8">
        <w:tab/>
      </w:r>
      <w:r w:rsidRPr="00A52AB8">
        <w:tab/>
        <w:t>stringByte[ posByte++ ]</w:t>
      </w:r>
      <w:r w:rsidR="00D47707" w:rsidRPr="00A52AB8">
        <w:t> = </w:t>
      </w:r>
      <w:r w:rsidRPr="00A52AB8">
        <w:t>asps_eom_fix_bit_count_minus1</w:t>
      </w:r>
      <w:r w:rsidR="008768E9" w:rsidRPr="00A52AB8">
        <w:t> &amp;&amp; </w:t>
      </w:r>
      <w:r w:rsidRPr="00A52AB8">
        <w:t>0xFF</w:t>
      </w:r>
      <w:r w:rsidR="00E414FB" w:rsidRPr="00A52AB8">
        <w:br/>
      </w:r>
      <w:r w:rsidR="00E414FB" w:rsidRPr="00A52AB8">
        <w:tab/>
      </w:r>
      <w:r w:rsidR="00E414FB" w:rsidRPr="00A52AB8">
        <w:tab/>
        <w:t>}</w:t>
      </w:r>
      <w:r w:rsidR="00DE31D2" w:rsidRPr="00A52AB8">
        <w:br/>
      </w:r>
      <w:r w:rsidRPr="00A52AB8">
        <w:br/>
      </w:r>
      <w:r w:rsidRPr="00A52AB8">
        <w:tab/>
      </w:r>
      <w:r w:rsidRPr="00A52AB8">
        <w:tab/>
        <w:t>if( ( asps_auxiliary_video_enabled_flag ) &amp;&amp;</w:t>
      </w:r>
      <w:r w:rsidR="00E414FB" w:rsidRPr="00A52AB8">
        <w:br/>
      </w:r>
      <w:r w:rsidR="00E414FB" w:rsidRPr="00A52AB8">
        <w:tab/>
      </w:r>
      <w:r w:rsidR="00E414FB" w:rsidRPr="00A52AB8">
        <w:tab/>
      </w:r>
      <w:r w:rsidR="00E414FB" w:rsidRPr="00A52AB8">
        <w:tab/>
      </w:r>
      <w:r w:rsidRPr="00A52AB8">
        <w:t>( asps_raw_patch_enabled_flag </w:t>
      </w:r>
      <w:r w:rsidR="008768E9" w:rsidRPr="00A52AB8">
        <w:t>||</w:t>
      </w:r>
      <w:r w:rsidRPr="00A52AB8">
        <w:t> asps_eom_patch_enabled_flag ) </w:t>
      </w:r>
      <w:r w:rsidR="008F1F82" w:rsidRPr="00A52AB8">
        <w:t>) {</w:t>
      </w:r>
      <w:r w:rsidRPr="00A52AB8">
        <w:br/>
      </w:r>
      <w:r w:rsidRPr="00A52AB8">
        <w:tab/>
      </w:r>
      <w:r w:rsidRPr="00A52AB8">
        <w:tab/>
      </w:r>
      <w:r w:rsidRPr="00A52AB8">
        <w:tab/>
        <w:t>stringByte[ posByte++ ]</w:t>
      </w:r>
      <w:r w:rsidR="00D47707" w:rsidRPr="00A52AB8">
        <w:t> = </w:t>
      </w:r>
      <w:r w:rsidR="007D654F" w:rsidRPr="00A52AB8">
        <w:t>AuxVideoWidth</w:t>
      </w:r>
      <w:r w:rsidR="00734798" w:rsidRPr="00A52AB8">
        <w:t>NF</w:t>
      </w:r>
      <w:r w:rsidR="008768E9" w:rsidRPr="00A52AB8">
        <w:t> &amp;&amp; </w:t>
      </w:r>
      <w:r w:rsidRPr="00A52AB8">
        <w:t>0xFF</w:t>
      </w:r>
      <w:r w:rsidRPr="00A52AB8">
        <w:br/>
      </w:r>
      <w:r w:rsidRPr="00A52AB8">
        <w:tab/>
      </w:r>
      <w:r w:rsidRPr="00A52AB8">
        <w:tab/>
      </w:r>
      <w:r w:rsidRPr="00A52AB8">
        <w:tab/>
        <w:t>stringByte[ posByte++ ]</w:t>
      </w:r>
      <w:r w:rsidR="00D47707" w:rsidRPr="00A52AB8">
        <w:t> = </w:t>
      </w:r>
      <w:r w:rsidRPr="00A52AB8">
        <w:t>(</w:t>
      </w:r>
      <w:r w:rsidR="007D654F" w:rsidRPr="00A52AB8">
        <w:t>AuxVideoWidth</w:t>
      </w:r>
      <w:r w:rsidR="00734798" w:rsidRPr="00A52AB8">
        <w:t>NF</w:t>
      </w:r>
      <w:r w:rsidR="008768E9" w:rsidRPr="00A52AB8">
        <w:t> &gt;&gt; </w:t>
      </w:r>
      <w:r w:rsidRPr="00A52AB8">
        <w:t>8 )</w:t>
      </w:r>
      <w:r w:rsidR="008768E9" w:rsidRPr="00A52AB8">
        <w:t> &amp;&amp; </w:t>
      </w:r>
      <w:r w:rsidRPr="00A52AB8">
        <w:t>0xFF</w:t>
      </w:r>
      <w:r w:rsidRPr="00A52AB8">
        <w:br/>
      </w:r>
      <w:r w:rsidRPr="00A52AB8">
        <w:tab/>
      </w:r>
      <w:r w:rsidRPr="00A52AB8">
        <w:tab/>
      </w:r>
      <w:r w:rsidRPr="00A52AB8">
        <w:tab/>
        <w:t>stringByte[ posByte++ ]</w:t>
      </w:r>
      <w:r w:rsidR="00D47707" w:rsidRPr="00A52AB8">
        <w:t> = </w:t>
      </w:r>
      <w:r w:rsidR="007D654F" w:rsidRPr="00A52AB8">
        <w:t>AuxVideoHeight</w:t>
      </w:r>
      <w:r w:rsidR="00734798" w:rsidRPr="00A52AB8">
        <w:t>NF</w:t>
      </w:r>
      <w:r w:rsidR="008768E9" w:rsidRPr="00A52AB8">
        <w:t> &amp;&amp; </w:t>
      </w:r>
      <w:r w:rsidRPr="00A52AB8">
        <w:t>0xFF</w:t>
      </w:r>
      <w:r w:rsidRPr="00A52AB8">
        <w:br/>
      </w:r>
      <w:r w:rsidRPr="00A52AB8">
        <w:tab/>
      </w:r>
      <w:r w:rsidRPr="00A52AB8">
        <w:tab/>
      </w:r>
      <w:r w:rsidRPr="00A52AB8">
        <w:tab/>
        <w:t>stringByte[ posByte++ ]</w:t>
      </w:r>
      <w:r w:rsidR="00D47707" w:rsidRPr="00A52AB8">
        <w:t> = </w:t>
      </w:r>
      <w:r w:rsidRPr="00A52AB8">
        <w:t>( </w:t>
      </w:r>
      <w:r w:rsidR="007D654F" w:rsidRPr="00A52AB8">
        <w:t>AuxVideoHeight</w:t>
      </w:r>
      <w:r w:rsidR="00734798" w:rsidRPr="00A52AB8">
        <w:t>NF</w:t>
      </w:r>
      <w:r w:rsidR="008768E9" w:rsidRPr="00A52AB8">
        <w:t> &gt;&gt; </w:t>
      </w:r>
      <w:r w:rsidRPr="00A52AB8">
        <w:t>8 )</w:t>
      </w:r>
      <w:r w:rsidR="008768E9" w:rsidRPr="00A52AB8">
        <w:t> &amp;&amp; </w:t>
      </w:r>
      <w:r w:rsidRPr="00A52AB8">
        <w:t>0xFF</w:t>
      </w:r>
      <w:r w:rsidRPr="00A52AB8">
        <w:br/>
      </w:r>
      <w:r w:rsidRPr="00A52AB8">
        <w:tab/>
      </w:r>
      <w:r w:rsidRPr="00A52AB8">
        <w:tab/>
        <w:t>}</w:t>
      </w:r>
      <w:r w:rsidR="00DE31D2" w:rsidRPr="00A52AB8">
        <w:br/>
      </w:r>
      <w:r w:rsidR="00E414FB" w:rsidRPr="00A52AB8">
        <w:br/>
      </w:r>
      <w:r w:rsidRPr="00A52AB8">
        <w:tab/>
      </w:r>
      <w:r w:rsidRPr="00A52AB8">
        <w:tab/>
        <w:t>stringByte[ posByte</w:t>
      </w:r>
      <w:r w:rsidR="008768E9" w:rsidRPr="00A52AB8">
        <w:t>++</w:t>
      </w:r>
      <w:r w:rsidRPr="00A52AB8">
        <w:t> ]</w:t>
      </w:r>
      <w:r w:rsidR="00D47707" w:rsidRPr="00A52AB8">
        <w:t> = </w:t>
      </w:r>
      <w:r w:rsidRPr="00A52AB8">
        <w:t>asps_plr_enabled_flag</w:t>
      </w:r>
      <w:r w:rsidR="008768E9" w:rsidRPr="00A52AB8">
        <w:t> &amp;&amp; </w:t>
      </w:r>
      <w:r w:rsidRPr="00A52AB8">
        <w:t>0xFF</w:t>
      </w:r>
      <w:r w:rsidRPr="00A52AB8">
        <w:br/>
      </w:r>
      <w:r w:rsidRPr="00A52AB8">
        <w:tab/>
      </w:r>
      <w:r w:rsidRPr="00A52AB8">
        <w:tab/>
        <w:t>if( asps_plr_enabled_flag </w:t>
      </w:r>
      <w:r w:rsidR="00900B12" w:rsidRPr="00A52AB8">
        <w:t>) {</w:t>
      </w:r>
      <w:r w:rsidRPr="00A52AB8">
        <w:t xml:space="preserve"> </w:t>
      </w:r>
      <w:r w:rsidRPr="00A52AB8">
        <w:br/>
      </w:r>
      <w:r w:rsidRPr="00A52AB8">
        <w:tab/>
      </w:r>
      <w:r w:rsidRPr="00A52AB8">
        <w:tab/>
      </w:r>
      <w:r w:rsidRPr="00A52AB8">
        <w:tab/>
        <w:t>for(</w:t>
      </w:r>
      <w:r w:rsidR="009736BE" w:rsidRPr="00A52AB8">
        <w:t> </w:t>
      </w:r>
      <w:r w:rsidRPr="00A52AB8">
        <w:t>i</w:t>
      </w:r>
      <w:r w:rsidR="00D47707" w:rsidRPr="00A52AB8">
        <w:t> = </w:t>
      </w:r>
      <w:r w:rsidRPr="00A52AB8">
        <w:t>0; i &lt; asps_map_count_minus1 + 1; i++</w:t>
      </w:r>
      <w:r w:rsidR="008F1F82" w:rsidRPr="00A52AB8">
        <w:t>) {</w:t>
      </w:r>
      <w:r w:rsidRPr="00A52AB8">
        <w:br/>
      </w:r>
      <w:r w:rsidRPr="00A52AB8">
        <w:tab/>
      </w:r>
      <w:r w:rsidRPr="00A52AB8">
        <w:tab/>
      </w:r>
      <w:r w:rsidRPr="00A52AB8">
        <w:tab/>
      </w:r>
      <w:r w:rsidRPr="00A52AB8">
        <w:tab/>
        <w:t>stringByte[ posByte++ ]</w:t>
      </w:r>
      <w:r w:rsidR="00D47707" w:rsidRPr="00A52AB8">
        <w:t> = </w:t>
      </w:r>
      <w:r w:rsidRPr="00A52AB8">
        <w:t>plri_map_present_flag[ i ]</w:t>
      </w:r>
      <w:r w:rsidR="008768E9" w:rsidRPr="00A52AB8">
        <w:t> &amp;&amp; </w:t>
      </w:r>
      <w:r w:rsidRPr="00A52AB8">
        <w:t>0xFF</w:t>
      </w:r>
      <w:r w:rsidRPr="00A52AB8">
        <w:br/>
      </w:r>
      <w:r w:rsidRPr="00A52AB8">
        <w:tab/>
      </w:r>
      <w:r w:rsidRPr="00A52AB8">
        <w:tab/>
      </w:r>
      <w:r w:rsidRPr="00A52AB8">
        <w:tab/>
      </w:r>
      <w:r w:rsidRPr="00A52AB8">
        <w:tab/>
        <w:t>if( plri_map_present_flag[ i ] </w:t>
      </w:r>
      <w:r w:rsidR="008F1F82" w:rsidRPr="00A52AB8">
        <w:t>) {</w:t>
      </w:r>
      <w:r w:rsidR="0092567F" w:rsidRPr="00A52AB8">
        <w:br/>
      </w:r>
      <w:r w:rsidRPr="00A52AB8">
        <w:tab/>
      </w:r>
      <w:r w:rsidRPr="00A52AB8">
        <w:tab/>
      </w:r>
      <w:r w:rsidRPr="00A52AB8">
        <w:tab/>
      </w:r>
      <w:r w:rsidRPr="00A52AB8">
        <w:tab/>
      </w:r>
      <w:r w:rsidR="0092567F" w:rsidRPr="00A52AB8">
        <w:tab/>
      </w:r>
      <w:r w:rsidRPr="00A52AB8">
        <w:t>stringByte[ posByte++ ]</w:t>
      </w:r>
      <w:r w:rsidR="00D47707" w:rsidRPr="00A52AB8">
        <w:t> = </w:t>
      </w:r>
      <w:r w:rsidRPr="00A52AB8">
        <w:t>plri_number_of_modes_minus1[ i ]</w:t>
      </w:r>
      <w:r w:rsidR="008768E9" w:rsidRPr="00A52AB8">
        <w:t> &amp;&amp; </w:t>
      </w:r>
      <w:r w:rsidRPr="00A52AB8">
        <w:t>0xFF</w:t>
      </w:r>
      <w:r w:rsidRPr="00A52AB8">
        <w:br/>
      </w:r>
      <w:r w:rsidRPr="00A52AB8">
        <w:tab/>
      </w:r>
      <w:r w:rsidRPr="00A52AB8">
        <w:tab/>
      </w:r>
      <w:r w:rsidRPr="00A52AB8">
        <w:tab/>
      </w:r>
      <w:r w:rsidRPr="00A52AB8">
        <w:tab/>
      </w:r>
      <w:r w:rsidR="009736BE" w:rsidRPr="00A52AB8">
        <w:tab/>
      </w:r>
      <w:r w:rsidRPr="00A52AB8">
        <w:t>for( j</w:t>
      </w:r>
      <w:r w:rsidR="00D47707" w:rsidRPr="00A52AB8">
        <w:t> = </w:t>
      </w:r>
      <w:r w:rsidRPr="00A52AB8">
        <w:t>0; j &lt; plri_number_of_modes_minus1[ i ] + 1; j++ </w:t>
      </w:r>
      <w:r w:rsidR="008F1F82" w:rsidRPr="00A52AB8">
        <w:t>) {</w:t>
      </w:r>
      <w:r w:rsidRPr="00A52AB8">
        <w:br/>
      </w:r>
      <w:r w:rsidRPr="00A52AB8">
        <w:tab/>
      </w:r>
      <w:r w:rsidRPr="00A52AB8">
        <w:tab/>
      </w:r>
      <w:r w:rsidRPr="00A52AB8">
        <w:tab/>
      </w:r>
      <w:r w:rsidRPr="00A52AB8">
        <w:tab/>
      </w:r>
      <w:r w:rsidRPr="00A52AB8">
        <w:tab/>
      </w:r>
      <w:r w:rsidR="009736BE" w:rsidRPr="00A52AB8">
        <w:tab/>
      </w:r>
      <w:r w:rsidRPr="00A52AB8">
        <w:t>stringByte[ posByte++ ]</w:t>
      </w:r>
      <w:r w:rsidR="00D47707" w:rsidRPr="00A52AB8">
        <w:t> = </w:t>
      </w:r>
      <w:r w:rsidRPr="00A52AB8">
        <w:t>plri_interpolate_flag[ i ][ j ]</w:t>
      </w:r>
      <w:r w:rsidR="008768E9" w:rsidRPr="00A52AB8">
        <w:t> &amp;&amp; </w:t>
      </w:r>
      <w:r w:rsidRPr="00A52AB8">
        <w:t>0xFF</w:t>
      </w:r>
      <w:r w:rsidRPr="00A52AB8">
        <w:br/>
      </w:r>
      <w:r w:rsidRPr="00A52AB8">
        <w:tab/>
      </w:r>
      <w:r w:rsidRPr="00A52AB8">
        <w:tab/>
      </w:r>
      <w:r w:rsidRPr="00A52AB8">
        <w:tab/>
      </w:r>
      <w:r w:rsidRPr="00A52AB8">
        <w:tab/>
      </w:r>
      <w:r w:rsidRPr="00A52AB8">
        <w:tab/>
      </w:r>
      <w:r w:rsidR="009736BE" w:rsidRPr="00A52AB8">
        <w:tab/>
      </w:r>
      <w:r w:rsidRPr="00A52AB8">
        <w:t>stringByte[ posByte++ ]</w:t>
      </w:r>
      <w:r w:rsidR="00D47707" w:rsidRPr="00A52AB8">
        <w:t> = </w:t>
      </w:r>
      <w:r w:rsidRPr="00A52AB8">
        <w:t>plri_filling_flag[ i ][ j ]</w:t>
      </w:r>
      <w:r w:rsidR="009736BE" w:rsidRPr="00A52AB8">
        <w:t> </w:t>
      </w:r>
      <w:r w:rsidRPr="00A52AB8">
        <w:t>&amp;&amp; 0xFF</w:t>
      </w:r>
      <w:r w:rsidRPr="00A52AB8">
        <w:br/>
      </w:r>
      <w:r w:rsidRPr="00A52AB8">
        <w:tab/>
      </w:r>
      <w:r w:rsidRPr="00A52AB8">
        <w:tab/>
      </w:r>
      <w:r w:rsidRPr="00A52AB8">
        <w:tab/>
      </w:r>
      <w:r w:rsidRPr="00A52AB8">
        <w:tab/>
      </w:r>
      <w:r w:rsidRPr="00A52AB8">
        <w:tab/>
      </w:r>
      <w:r w:rsidR="009736BE" w:rsidRPr="00A52AB8">
        <w:tab/>
      </w:r>
      <w:r w:rsidRPr="00A52AB8">
        <w:t>stringByte[ posByte++ ]</w:t>
      </w:r>
      <w:r w:rsidR="00D47707" w:rsidRPr="00A52AB8">
        <w:t> = </w:t>
      </w:r>
      <w:r w:rsidRPr="00A52AB8">
        <w:t>plri_minimum_depth[ i ][ j ]</w:t>
      </w:r>
      <w:r w:rsidR="009736BE" w:rsidRPr="00A52AB8">
        <w:t> </w:t>
      </w:r>
      <w:r w:rsidRPr="00A52AB8">
        <w:t>&amp;&amp; 0xFF</w:t>
      </w:r>
      <w:r w:rsidRPr="00A52AB8">
        <w:br/>
      </w:r>
      <w:r w:rsidRPr="00A52AB8">
        <w:tab/>
      </w:r>
      <w:r w:rsidRPr="00A52AB8">
        <w:tab/>
      </w:r>
      <w:r w:rsidRPr="00A52AB8">
        <w:tab/>
      </w:r>
      <w:r w:rsidRPr="00A52AB8">
        <w:tab/>
      </w:r>
      <w:r w:rsidRPr="00A52AB8">
        <w:tab/>
      </w:r>
      <w:r w:rsidR="009736BE" w:rsidRPr="00A52AB8">
        <w:tab/>
      </w:r>
      <w:r w:rsidRPr="00A52AB8">
        <w:t>stringByte[ posByte++ ]</w:t>
      </w:r>
      <w:r w:rsidR="00D47707" w:rsidRPr="00A52AB8">
        <w:t> = </w:t>
      </w:r>
      <w:r w:rsidRPr="00A52AB8">
        <w:t>plri_neighbour_minus1[ i ][ j ]</w:t>
      </w:r>
      <w:r w:rsidR="009736BE" w:rsidRPr="00A52AB8">
        <w:t> </w:t>
      </w:r>
      <w:r w:rsidRPr="00A52AB8">
        <w:t>&amp;&amp; 0xFF</w:t>
      </w:r>
      <w:r w:rsidRPr="00A52AB8">
        <w:br/>
      </w:r>
      <w:r w:rsidRPr="00A52AB8">
        <w:tab/>
      </w:r>
      <w:r w:rsidRPr="00A52AB8">
        <w:tab/>
      </w:r>
      <w:r w:rsidRPr="00A52AB8">
        <w:tab/>
      </w:r>
      <w:r w:rsidRPr="00A52AB8">
        <w:tab/>
      </w:r>
      <w:r w:rsidR="009736BE" w:rsidRPr="00A52AB8">
        <w:tab/>
      </w:r>
      <w:r w:rsidRPr="00A52AB8">
        <w:t>}</w:t>
      </w:r>
      <w:r w:rsidRPr="00A52AB8">
        <w:br/>
      </w:r>
      <w:r w:rsidRPr="00A52AB8">
        <w:tab/>
      </w:r>
      <w:r w:rsidRPr="00A52AB8">
        <w:tab/>
      </w:r>
      <w:r w:rsidRPr="00A52AB8">
        <w:tab/>
      </w:r>
      <w:r w:rsidRPr="00A52AB8">
        <w:tab/>
      </w:r>
      <w:r w:rsidR="009736BE" w:rsidRPr="00A52AB8">
        <w:tab/>
      </w:r>
      <w:r w:rsidRPr="00A52AB8">
        <w:t>stringByte[ posByte++ ]</w:t>
      </w:r>
      <w:r w:rsidR="00D47707" w:rsidRPr="00A52AB8">
        <w:t> = </w:t>
      </w:r>
      <w:r w:rsidRPr="00A52AB8">
        <w:t>plri_block_threshold_per_patch_minus1[ i ]</w:t>
      </w:r>
      <w:r w:rsidR="008768E9" w:rsidRPr="00A52AB8">
        <w:t> &amp;&amp; </w:t>
      </w:r>
      <w:r w:rsidRPr="00A52AB8">
        <w:t>0xFF</w:t>
      </w:r>
      <w:r w:rsidR="009736BE" w:rsidRPr="00A52AB8">
        <w:br/>
      </w:r>
      <w:r w:rsidR="009736BE" w:rsidRPr="00A52AB8">
        <w:tab/>
      </w:r>
      <w:r w:rsidR="009736BE" w:rsidRPr="00A52AB8">
        <w:tab/>
      </w:r>
      <w:r w:rsidR="009736BE" w:rsidRPr="00A52AB8">
        <w:tab/>
      </w:r>
      <w:r w:rsidR="009736BE" w:rsidRPr="00A52AB8">
        <w:tab/>
        <w:t>}</w:t>
      </w:r>
      <w:r w:rsidRPr="00A52AB8">
        <w:br/>
      </w:r>
      <w:r w:rsidRPr="00A52AB8">
        <w:tab/>
      </w:r>
      <w:r w:rsidRPr="00A52AB8">
        <w:tab/>
      </w:r>
      <w:r w:rsidRPr="00A52AB8">
        <w:tab/>
        <w:t>}</w:t>
      </w:r>
      <w:r w:rsidRPr="00A52AB8">
        <w:br/>
      </w:r>
      <w:r w:rsidRPr="00A52AB8">
        <w:tab/>
      </w:r>
      <w:r w:rsidRPr="00A52AB8">
        <w:tab/>
        <w:t>}</w:t>
      </w:r>
      <w:r w:rsidRPr="00A52AB8">
        <w:br/>
      </w:r>
      <w:r w:rsidRPr="00A52AB8">
        <w:br/>
      </w:r>
      <w:r w:rsidRPr="00A52AB8">
        <w:tab/>
      </w:r>
      <w:r w:rsidRPr="00A52AB8">
        <w:tab/>
        <w:t>stringByte[ posByte++ ]</w:t>
      </w:r>
      <w:r w:rsidR="00D47707" w:rsidRPr="00A52AB8">
        <w:t> = </w:t>
      </w:r>
      <w:r w:rsidRPr="00A52AB8">
        <w:t>asps_vpcc_remove_duplicate_point_enabled_flag&amp;&amp; 0xFF</w:t>
      </w:r>
      <w:r w:rsidRPr="00A52AB8">
        <w:br/>
      </w:r>
      <w:r w:rsidRPr="00A52AB8">
        <w:tab/>
      </w:r>
      <w:r w:rsidRPr="00A52AB8">
        <w:tab/>
        <w:t>stringByte[ posByte++ ]</w:t>
      </w:r>
      <w:r w:rsidR="00D47707" w:rsidRPr="00A52AB8">
        <w:t> = </w:t>
      </w:r>
      <w:r w:rsidRPr="00A52AB8">
        <w:t>asps_vpcc_surface_thickness_minus1</w:t>
      </w:r>
      <w:r w:rsidR="008768E9" w:rsidRPr="00A52AB8">
        <w:t> &amp;&amp; </w:t>
      </w:r>
      <w:r w:rsidRPr="00A52AB8">
        <w:t>0xFF</w:t>
      </w:r>
      <w:r w:rsidRPr="00A52AB8">
        <w:br/>
      </w:r>
      <w:r w:rsidRPr="00A52AB8">
        <w:tab/>
      </w:r>
      <w:r w:rsidRPr="00A52AB8">
        <w:tab/>
        <w:t>stringByte[ posByte++ ]</w:t>
      </w:r>
      <w:r w:rsidR="00D47707" w:rsidRPr="00A52AB8">
        <w:t> = </w:t>
      </w:r>
      <w:r w:rsidRPr="00A52AB8">
        <w:t>( asps_vpcc_surface_thickness_minus1</w:t>
      </w:r>
      <w:r w:rsidR="008768E9" w:rsidRPr="00A52AB8">
        <w:t> &gt;&gt; </w:t>
      </w:r>
      <w:r w:rsidRPr="00A52AB8">
        <w:t>8 )</w:t>
      </w:r>
      <w:r w:rsidR="008768E9" w:rsidRPr="00A52AB8">
        <w:t> &amp;&amp; </w:t>
      </w:r>
      <w:r w:rsidRPr="00A52AB8">
        <w:t>0xFF</w:t>
      </w:r>
      <w:r w:rsidRPr="00A52AB8">
        <w:br/>
      </w:r>
      <w:r w:rsidRPr="00A52AB8">
        <w:br/>
      </w:r>
      <w:r w:rsidRPr="00A52AB8">
        <w:tab/>
      </w:r>
      <w:r w:rsidR="005E53AA" w:rsidRPr="00A52AB8">
        <w:tab/>
      </w:r>
      <w:r w:rsidRPr="00A52AB8">
        <w:t>return posByte</w:t>
      </w:r>
      <w:r w:rsidRPr="00A52AB8">
        <w:br/>
      </w:r>
      <w:r w:rsidR="005E53AA" w:rsidRPr="00A52AB8">
        <w:tab/>
      </w:r>
      <w:r w:rsidRPr="00A52AB8">
        <w:t>}</w:t>
      </w:r>
    </w:p>
    <w:p w14:paraId="5E3A1039" w14:textId="77777777" w:rsidR="00855A0D" w:rsidRPr="00A52AB8" w:rsidRDefault="00855A0D" w:rsidP="00EE3D19">
      <w:pPr>
        <w:pStyle w:val="a4"/>
        <w:numPr>
          <w:ilvl w:val="6"/>
          <w:numId w:val="19"/>
        </w:numPr>
        <w:tabs>
          <w:tab w:val="clear" w:pos="7200"/>
        </w:tabs>
        <w:outlineLvl w:val="6"/>
      </w:pPr>
      <w:r w:rsidRPr="00A52AB8">
        <w:t>Common AFPS level string of bytes</w:t>
      </w:r>
    </w:p>
    <w:p w14:paraId="49C0C0C0" w14:textId="6C29247F" w:rsidR="00855A0D" w:rsidRPr="00A52AB8" w:rsidRDefault="00972B73" w:rsidP="004A7026">
      <w:pPr>
        <w:pStyle w:val="Equation"/>
        <w:tabs>
          <w:tab w:val="left" w:pos="360"/>
          <w:tab w:val="left" w:pos="1170"/>
          <w:tab w:val="left" w:pos="1980"/>
        </w:tabs>
      </w:pPr>
      <w:r w:rsidRPr="00A52AB8">
        <w:t xml:space="preserve">The specifications in </w:t>
      </w:r>
      <w:r w:rsidR="00C960E8" w:rsidRPr="00496A4D">
        <w:fldChar w:fldCharType="begin"/>
      </w:r>
      <w:r w:rsidR="00C960E8" w:rsidRPr="00A52AB8">
        <w:instrText xml:space="preserve"> REF _Ref49091100 \r \h </w:instrText>
      </w:r>
      <w:r w:rsidR="00007BE2" w:rsidRPr="00A52AB8">
        <w:instrText xml:space="preserve"> \* MERGEFORMAT </w:instrText>
      </w:r>
      <w:r w:rsidR="00C960E8" w:rsidRPr="00496A4D">
        <w:fldChar w:fldCharType="separate"/>
      </w:r>
      <w:r w:rsidR="00507A67">
        <w:t>F.3.16.2.2.3</w:t>
      </w:r>
      <w:r w:rsidR="00C960E8" w:rsidRPr="00496A4D">
        <w:fldChar w:fldCharType="end"/>
      </w:r>
      <w:r w:rsidRPr="00A52AB8">
        <w:t xml:space="preserve"> apply.</w:t>
      </w:r>
    </w:p>
    <w:p w14:paraId="02AF6690" w14:textId="77777777" w:rsidR="00855A0D" w:rsidRPr="00A52AB8" w:rsidRDefault="00855A0D" w:rsidP="00EE3D19">
      <w:pPr>
        <w:pStyle w:val="a4"/>
        <w:numPr>
          <w:ilvl w:val="6"/>
          <w:numId w:val="19"/>
        </w:numPr>
        <w:tabs>
          <w:tab w:val="clear" w:pos="7200"/>
        </w:tabs>
        <w:outlineLvl w:val="6"/>
      </w:pPr>
      <w:r w:rsidRPr="00A52AB8">
        <w:t>Application-based AFPS level string of bytes</w:t>
      </w:r>
    </w:p>
    <w:p w14:paraId="3337CF97" w14:textId="5B86AD1D" w:rsidR="00855A0D" w:rsidRPr="00A52AB8" w:rsidRDefault="00972B73" w:rsidP="004A7026">
      <w:pPr>
        <w:pStyle w:val="Equation"/>
        <w:tabs>
          <w:tab w:val="left" w:pos="360"/>
          <w:tab w:val="left" w:pos="1170"/>
          <w:tab w:val="left" w:pos="1980"/>
        </w:tabs>
      </w:pPr>
      <w:r w:rsidRPr="00A52AB8">
        <w:t xml:space="preserve">The specifications in </w:t>
      </w:r>
      <w:r w:rsidR="00C960E8" w:rsidRPr="00496A4D">
        <w:fldChar w:fldCharType="begin"/>
      </w:r>
      <w:r w:rsidR="00C960E8" w:rsidRPr="00A52AB8">
        <w:instrText xml:space="preserve"> REF _Ref49091101 \r \h </w:instrText>
      </w:r>
      <w:r w:rsidR="00007BE2" w:rsidRPr="00A52AB8">
        <w:instrText xml:space="preserve"> \* MERGEFORMAT </w:instrText>
      </w:r>
      <w:r w:rsidR="00C960E8" w:rsidRPr="00496A4D">
        <w:fldChar w:fldCharType="separate"/>
      </w:r>
      <w:r w:rsidR="00507A67">
        <w:t>F.3.16.2.2.4</w:t>
      </w:r>
      <w:r w:rsidR="00C960E8" w:rsidRPr="00496A4D">
        <w:fldChar w:fldCharType="end"/>
      </w:r>
      <w:r w:rsidR="00C960E8" w:rsidRPr="00A52AB8">
        <w:t xml:space="preserve"> </w:t>
      </w:r>
      <w:r w:rsidRPr="00A52AB8">
        <w:t>apply.</w:t>
      </w:r>
    </w:p>
    <w:p w14:paraId="7F23A29A" w14:textId="77777777" w:rsidR="00855A0D" w:rsidRPr="00A52AB8" w:rsidRDefault="00855A0D" w:rsidP="00EE3D19">
      <w:pPr>
        <w:pStyle w:val="a4"/>
        <w:numPr>
          <w:ilvl w:val="5"/>
          <w:numId w:val="19"/>
        </w:numPr>
        <w:tabs>
          <w:tab w:val="clear" w:pos="7200"/>
        </w:tabs>
        <w:outlineLvl w:val="5"/>
      </w:pPr>
      <w:r w:rsidRPr="00A52AB8">
        <w:t>Atlas information string of bytes</w:t>
      </w:r>
    </w:p>
    <w:p w14:paraId="0E2C3683" w14:textId="77777777" w:rsidR="00855A0D" w:rsidRPr="00A52AB8" w:rsidRDefault="00855A0D" w:rsidP="00EE3D19">
      <w:pPr>
        <w:pStyle w:val="a4"/>
        <w:numPr>
          <w:ilvl w:val="6"/>
          <w:numId w:val="19"/>
        </w:numPr>
        <w:tabs>
          <w:tab w:val="clear" w:pos="7200"/>
        </w:tabs>
        <w:outlineLvl w:val="6"/>
      </w:pPr>
      <w:bookmarkStart w:id="7360" w:name="_Toc49350426"/>
      <w:bookmarkEnd w:id="7360"/>
      <w:r w:rsidRPr="00A52AB8">
        <w:t>Common atlas patch string of bytes</w:t>
      </w:r>
    </w:p>
    <w:p w14:paraId="46DFD588" w14:textId="5E53BB72" w:rsidR="00855A0D" w:rsidRPr="00A52AB8" w:rsidRDefault="00972B73" w:rsidP="004A7026">
      <w:pPr>
        <w:pStyle w:val="Equation"/>
        <w:tabs>
          <w:tab w:val="left" w:pos="360"/>
          <w:tab w:val="left" w:pos="1170"/>
          <w:tab w:val="left" w:pos="1980"/>
        </w:tabs>
      </w:pPr>
      <w:r w:rsidRPr="00A52AB8">
        <w:t xml:space="preserve">The specifications in </w:t>
      </w:r>
      <w:r w:rsidR="00C960E8" w:rsidRPr="00496A4D">
        <w:fldChar w:fldCharType="begin"/>
      </w:r>
      <w:r w:rsidR="00C960E8" w:rsidRPr="00A52AB8">
        <w:instrText xml:space="preserve"> REF _Ref49091515 \r \h </w:instrText>
      </w:r>
      <w:r w:rsidR="00007BE2" w:rsidRPr="00A52AB8">
        <w:instrText xml:space="preserve"> \* MERGEFORMAT </w:instrText>
      </w:r>
      <w:r w:rsidR="00C960E8" w:rsidRPr="00496A4D">
        <w:fldChar w:fldCharType="separate"/>
      </w:r>
      <w:r w:rsidR="00507A67">
        <w:t>F.3.16.2.3.1</w:t>
      </w:r>
      <w:r w:rsidR="00C960E8" w:rsidRPr="00496A4D">
        <w:fldChar w:fldCharType="end"/>
      </w:r>
      <w:r w:rsidR="00C960E8" w:rsidRPr="00A52AB8">
        <w:t xml:space="preserve"> </w:t>
      </w:r>
      <w:r w:rsidRPr="00A52AB8">
        <w:t>apply.</w:t>
      </w:r>
    </w:p>
    <w:p w14:paraId="140F9A13" w14:textId="77777777" w:rsidR="00855A0D" w:rsidRPr="00A52AB8" w:rsidRDefault="00855A0D" w:rsidP="00EE3D19">
      <w:pPr>
        <w:pStyle w:val="a4"/>
        <w:numPr>
          <w:ilvl w:val="6"/>
          <w:numId w:val="19"/>
        </w:numPr>
        <w:tabs>
          <w:tab w:val="clear" w:pos="7200"/>
        </w:tabs>
        <w:outlineLvl w:val="6"/>
      </w:pPr>
      <w:r w:rsidRPr="00A52AB8">
        <w:t>Application-based atlas patch string of bytes</w:t>
      </w:r>
    </w:p>
    <w:p w14:paraId="3596924F" w14:textId="77777777" w:rsidR="00855A0D" w:rsidRPr="00A52AB8" w:rsidRDefault="00855A0D" w:rsidP="00FB4953">
      <w:r w:rsidRPr="00A52AB8">
        <w:t>Let the function AtlasPatchApplicationByteString( stringByte, posByte, p ) be defined as follows:</w:t>
      </w:r>
    </w:p>
    <w:p w14:paraId="48D46AF3" w14:textId="7B24089D" w:rsidR="00855A0D" w:rsidRPr="00A52AB8" w:rsidRDefault="00855A0D" w:rsidP="00FB4953">
      <w:pPr>
        <w:spacing w:before="120"/>
      </w:pPr>
      <w:r w:rsidRPr="00A52AB8">
        <w:tab/>
        <w:t>AtlasPatchApplicationByteString( stringByte, posByte, </w:t>
      </w:r>
      <w:r w:rsidR="0057003A" w:rsidRPr="00A52AB8">
        <w:t>p </w:t>
      </w:r>
      <w:r w:rsidR="008F1F82" w:rsidRPr="00A52AB8">
        <w:t>) {</w:t>
      </w:r>
      <w:r w:rsidRPr="00A52AB8">
        <w:br/>
      </w:r>
      <w:r w:rsidRPr="00A52AB8">
        <w:tab/>
      </w:r>
      <w:r w:rsidRPr="00A52AB8">
        <w:tab/>
        <w:t>stringByte[ posByte++ ]</w:t>
      </w:r>
      <w:r w:rsidR="00D47707" w:rsidRPr="00A52AB8">
        <w:t> = </w:t>
      </w:r>
      <w:r w:rsidRPr="00A52AB8">
        <w:t>AtlasPatchInAuxVideo</w:t>
      </w:r>
      <w:r w:rsidR="0066614A" w:rsidRPr="00A52AB8">
        <w:t>[</w:t>
      </w:r>
      <w:r w:rsidRPr="00A52AB8">
        <w:t> p ] &amp; 0xFF</w:t>
      </w:r>
      <w:r w:rsidRPr="00A52AB8">
        <w:br/>
      </w:r>
      <w:r w:rsidRPr="00A52AB8">
        <w:tab/>
      </w:r>
      <w:r w:rsidRPr="00A52AB8">
        <w:tab/>
        <w:t>if( AtlasPatchType[ p ]</w:t>
      </w:r>
      <w:r w:rsidR="008768E9" w:rsidRPr="00A52AB8">
        <w:t> </w:t>
      </w:r>
      <w:r w:rsidR="00726AAE" w:rsidRPr="00A52AB8">
        <w:t>==</w:t>
      </w:r>
      <w:r w:rsidR="00D47707" w:rsidRPr="00A52AB8">
        <w:t> </w:t>
      </w:r>
      <w:r w:rsidRPr="00A52AB8">
        <w:t>RAW </w:t>
      </w:r>
      <w:r w:rsidR="008F1F82" w:rsidRPr="00A52AB8">
        <w:t>) {</w:t>
      </w:r>
      <w:r w:rsidRPr="00A52AB8">
        <w:br/>
      </w:r>
      <w:r w:rsidRPr="00A52AB8">
        <w:tab/>
      </w:r>
      <w:r w:rsidRPr="00A52AB8">
        <w:tab/>
      </w:r>
      <w:r w:rsidRPr="00A52AB8">
        <w:tab/>
        <w:t>stringByte[ posByte++ ]</w:t>
      </w:r>
      <w:r w:rsidR="00D47707" w:rsidRPr="00A52AB8">
        <w:t> = </w:t>
      </w:r>
      <w:r w:rsidRPr="00A52AB8">
        <w:t>AtlasPatchRawPoints</w:t>
      </w:r>
      <w:r w:rsidR="0066614A" w:rsidRPr="00A52AB8">
        <w:t>[</w:t>
      </w:r>
      <w:r w:rsidRPr="00A52AB8">
        <w:t> p ] &amp; 0xFF</w:t>
      </w:r>
      <w:r w:rsidRPr="00A52AB8">
        <w:br/>
      </w:r>
      <w:r w:rsidRPr="00A52AB8">
        <w:tab/>
      </w:r>
      <w:r w:rsidRPr="00A52AB8">
        <w:tab/>
      </w:r>
      <w:r w:rsidRPr="00A52AB8">
        <w:tab/>
        <w:t>stringByte[ posByte++ ]</w:t>
      </w:r>
      <w:r w:rsidR="00D47707" w:rsidRPr="00A52AB8">
        <w:t> = </w:t>
      </w:r>
      <w:r w:rsidRPr="00A52AB8">
        <w:t>( AtlasPatchRawPoints</w:t>
      </w:r>
      <w:r w:rsidR="0066614A" w:rsidRPr="00A52AB8">
        <w:t>[</w:t>
      </w:r>
      <w:r w:rsidRPr="00A52AB8">
        <w:t> p ]</w:t>
      </w:r>
      <w:r w:rsidR="008768E9" w:rsidRPr="00A52AB8">
        <w:t> &gt;&gt; </w:t>
      </w:r>
      <w:r w:rsidRPr="00A52AB8">
        <w:t>8 ) &amp; 0xFF</w:t>
      </w:r>
      <w:r w:rsidRPr="00A52AB8">
        <w:br/>
      </w:r>
      <w:r w:rsidRPr="00A52AB8">
        <w:tab/>
      </w:r>
      <w:r w:rsidRPr="00A52AB8">
        <w:tab/>
        <w:t>} else if( AtlasPatchType[ p ]</w:t>
      </w:r>
      <w:r w:rsidR="008768E9" w:rsidRPr="00A52AB8">
        <w:t> </w:t>
      </w:r>
      <w:r w:rsidR="00726AAE" w:rsidRPr="00A52AB8">
        <w:t>==</w:t>
      </w:r>
      <w:r w:rsidR="00D47707" w:rsidRPr="00A52AB8">
        <w:t> </w:t>
      </w:r>
      <w:r w:rsidRPr="00A52AB8">
        <w:t>PROJECTED </w:t>
      </w:r>
      <w:r w:rsidR="008F1F82" w:rsidRPr="00A52AB8">
        <w:t>) {</w:t>
      </w:r>
      <w:r w:rsidR="00461F41" w:rsidRPr="00A52AB8">
        <w:br/>
      </w:r>
      <w:r w:rsidR="00461F41" w:rsidRPr="00A52AB8">
        <w:tab/>
      </w:r>
      <w:r w:rsidR="00461F41" w:rsidRPr="00A52AB8">
        <w:tab/>
      </w:r>
      <w:r w:rsidR="00461F41" w:rsidRPr="00A52AB8">
        <w:tab/>
        <w:t>stringByte[ posByte++ ]</w:t>
      </w:r>
      <w:r w:rsidR="00D47707" w:rsidRPr="00A52AB8">
        <w:t> = </w:t>
      </w:r>
      <w:r w:rsidR="00461F41" w:rsidRPr="00A52AB8">
        <w:t>AtlasPatch45DegreeMode[ p ] &amp; 0xFF</w:t>
      </w:r>
      <w:r w:rsidRPr="00A52AB8">
        <w:br/>
      </w:r>
      <w:r w:rsidRPr="00A52AB8">
        <w:tab/>
      </w:r>
      <w:r w:rsidRPr="00A52AB8">
        <w:tab/>
      </w:r>
      <w:r w:rsidRPr="00A52AB8">
        <w:tab/>
        <w:t>blockCnt</w:t>
      </w:r>
      <w:r w:rsidR="00D47707" w:rsidRPr="00A52AB8">
        <w:t> = </w:t>
      </w:r>
      <w:r w:rsidRPr="00A52AB8">
        <w:t>BlockCnt(</w:t>
      </w:r>
      <w:r w:rsidR="00C61E38" w:rsidRPr="00A52AB8">
        <w:t> </w:t>
      </w:r>
      <w:r w:rsidRPr="00A52AB8">
        <w:t>AtlasPatch2dSizeX[ p ],</w:t>
      </w:r>
      <w:r w:rsidR="00C61E38" w:rsidRPr="00A52AB8">
        <w:t> </w:t>
      </w:r>
      <w:r w:rsidRPr="00A52AB8">
        <w:t>AtlasPatch2dSizeY[ p ] )</w:t>
      </w:r>
      <w:r w:rsidRPr="00A52AB8">
        <w:br/>
      </w:r>
      <w:r w:rsidRPr="00A52AB8">
        <w:tab/>
      </w:r>
      <w:r w:rsidRPr="00A52AB8">
        <w:tab/>
      </w:r>
      <w:r w:rsidRPr="00A52AB8">
        <w:tab/>
        <w:t>for( m</w:t>
      </w:r>
      <w:r w:rsidR="00D47707" w:rsidRPr="00A52AB8">
        <w:t> = </w:t>
      </w:r>
      <w:r w:rsidRPr="00A52AB8">
        <w:t>0; m &lt; asps_map_count_minus1 + 1; m++ </w:t>
      </w:r>
      <w:r w:rsidR="008F1F82" w:rsidRPr="00A52AB8">
        <w:t>) {</w:t>
      </w:r>
      <w:r w:rsidRPr="00A52AB8">
        <w:br/>
      </w:r>
      <w:r w:rsidRPr="00A52AB8">
        <w:tab/>
      </w:r>
      <w:r w:rsidRPr="00A52AB8">
        <w:tab/>
      </w:r>
      <w:r w:rsidRPr="00A52AB8">
        <w:tab/>
      </w:r>
      <w:r w:rsidRPr="00A52AB8">
        <w:tab/>
        <w:t>if( plri_map_present_flag[ m ]</w:t>
      </w:r>
      <w:r w:rsidR="008768E9" w:rsidRPr="00A52AB8">
        <w:t> </w:t>
      </w:r>
      <w:r w:rsidR="00726AAE" w:rsidRPr="00A52AB8">
        <w:t>==</w:t>
      </w:r>
      <w:r w:rsidR="00D47707" w:rsidRPr="00A52AB8">
        <w:t> </w:t>
      </w:r>
      <w:r w:rsidRPr="00A52AB8">
        <w:t>1 </w:t>
      </w:r>
      <w:r w:rsidR="008F1F82" w:rsidRPr="00A52AB8">
        <w:t>) {</w:t>
      </w:r>
      <w:r w:rsidRPr="00A52AB8">
        <w:br/>
      </w:r>
      <w:r w:rsidRPr="00A52AB8">
        <w:tab/>
      </w:r>
      <w:r w:rsidRPr="00A52AB8">
        <w:tab/>
      </w:r>
      <w:r w:rsidRPr="00A52AB8">
        <w:tab/>
      </w:r>
      <w:r w:rsidRPr="00A52AB8">
        <w:tab/>
      </w:r>
      <w:r w:rsidRPr="00A52AB8">
        <w:tab/>
        <w:t>if(AtlasPlrdLevel[ p ][ m ]</w:t>
      </w:r>
      <w:r w:rsidR="008768E9" w:rsidRPr="00A52AB8">
        <w:t> </w:t>
      </w:r>
      <w:r w:rsidR="00726AAE" w:rsidRPr="00A52AB8">
        <w:t>==</w:t>
      </w:r>
      <w:r w:rsidR="00D47707" w:rsidRPr="00A52AB8">
        <w:t> </w:t>
      </w:r>
      <w:r w:rsidRPr="00A52AB8">
        <w:t>0 </w:t>
      </w:r>
      <w:r w:rsidR="008F1F82" w:rsidRPr="00A52AB8">
        <w:t>) {</w:t>
      </w:r>
      <w:r w:rsidRPr="00A52AB8">
        <w:br/>
      </w:r>
      <w:r w:rsidRPr="00A52AB8">
        <w:tab/>
      </w:r>
      <w:r w:rsidRPr="00A52AB8">
        <w:tab/>
      </w:r>
      <w:r w:rsidRPr="00A52AB8">
        <w:tab/>
      </w:r>
      <w:r w:rsidRPr="00A52AB8">
        <w:tab/>
      </w:r>
      <w:r w:rsidRPr="00A52AB8">
        <w:tab/>
      </w:r>
      <w:r w:rsidRPr="00A52AB8">
        <w:tab/>
        <w:t>for( j</w:t>
      </w:r>
      <w:r w:rsidR="00D47707" w:rsidRPr="00A52AB8">
        <w:t> = </w:t>
      </w:r>
      <w:r w:rsidRPr="00A52AB8">
        <w:t>0; j &lt; blockCnt; j++ </w:t>
      </w:r>
      <w:r w:rsidR="008F1F82" w:rsidRPr="00A52AB8">
        <w:t>) {</w:t>
      </w:r>
      <w:r w:rsidRPr="00A52AB8">
        <w:br/>
      </w:r>
      <w:r w:rsidRPr="00A52AB8">
        <w:tab/>
      </w:r>
      <w:r w:rsidRPr="00A52AB8">
        <w:tab/>
      </w:r>
      <w:r w:rsidRPr="00A52AB8">
        <w:tab/>
      </w:r>
      <w:r w:rsidRPr="00A52AB8">
        <w:tab/>
      </w:r>
      <w:r w:rsidRPr="00A52AB8">
        <w:tab/>
      </w:r>
      <w:r w:rsidRPr="00A52AB8">
        <w:tab/>
      </w:r>
      <w:r w:rsidRPr="00A52AB8">
        <w:tab/>
        <w:t>stringByte[ posByte++ ] =</w:t>
      </w:r>
      <w:r w:rsidR="00C61E38" w:rsidRPr="00A52AB8">
        <w:br/>
      </w:r>
      <w:r w:rsidRPr="00A52AB8">
        <w:tab/>
      </w:r>
      <w:r w:rsidRPr="00A52AB8">
        <w:tab/>
      </w:r>
      <w:r w:rsidRPr="00A52AB8">
        <w:tab/>
      </w:r>
      <w:r w:rsidRPr="00A52AB8">
        <w:tab/>
      </w:r>
      <w:r w:rsidRPr="00A52AB8">
        <w:tab/>
      </w:r>
      <w:r w:rsidRPr="00A52AB8">
        <w:tab/>
      </w:r>
      <w:r w:rsidRPr="00A52AB8">
        <w:tab/>
      </w:r>
      <w:r w:rsidRPr="00A52AB8">
        <w:tab/>
        <w:t>AtlasPlrdBlockModeMinus1[ p ][ m ][ j ] &amp; 0xFF</w:t>
      </w:r>
      <w:r w:rsidRPr="00A52AB8">
        <w:br/>
      </w:r>
      <w:r w:rsidRPr="00A52AB8">
        <w:tab/>
      </w:r>
      <w:r w:rsidRPr="00A52AB8">
        <w:tab/>
      </w:r>
      <w:r w:rsidRPr="00A52AB8">
        <w:tab/>
      </w:r>
      <w:r w:rsidRPr="00A52AB8">
        <w:tab/>
      </w:r>
      <w:r w:rsidRPr="00A52AB8">
        <w:tab/>
      </w:r>
      <w:r w:rsidRPr="00A52AB8">
        <w:tab/>
      </w:r>
      <w:r w:rsidRPr="00A52AB8">
        <w:tab/>
        <w:t>stringByte[ posByte++ ] =</w:t>
      </w:r>
      <w:r w:rsidR="00C61E38" w:rsidRPr="00A52AB8">
        <w:br/>
      </w:r>
      <w:r w:rsidRPr="00A52AB8">
        <w:tab/>
      </w:r>
      <w:r w:rsidRPr="00A52AB8">
        <w:tab/>
      </w:r>
      <w:r w:rsidRPr="00A52AB8">
        <w:tab/>
      </w:r>
      <w:r w:rsidRPr="00A52AB8">
        <w:tab/>
      </w:r>
      <w:r w:rsidRPr="00A52AB8">
        <w:tab/>
      </w:r>
      <w:r w:rsidRPr="00A52AB8">
        <w:tab/>
      </w:r>
      <w:r w:rsidRPr="00A52AB8">
        <w:tab/>
      </w:r>
      <w:r w:rsidRPr="00A52AB8">
        <w:tab/>
        <w:t>(AtlasPlrdBlockModeMinus1[ p ][ m ][ j ] &gt;&gt; 8 ) &amp; 0xFF</w:t>
      </w:r>
      <w:r w:rsidRPr="00A52AB8">
        <w:br/>
      </w:r>
      <w:r w:rsidRPr="00A52AB8">
        <w:tab/>
      </w:r>
      <w:r w:rsidRPr="00A52AB8">
        <w:tab/>
      </w:r>
      <w:r w:rsidRPr="00A52AB8">
        <w:tab/>
      </w:r>
      <w:r w:rsidRPr="00A52AB8">
        <w:tab/>
      </w:r>
      <w:r w:rsidRPr="00A52AB8">
        <w:tab/>
      </w:r>
      <w:r w:rsidRPr="00A52AB8">
        <w:tab/>
        <w:t>}</w:t>
      </w:r>
      <w:r w:rsidRPr="00A52AB8">
        <w:br/>
      </w:r>
      <w:r w:rsidRPr="00A52AB8">
        <w:tab/>
      </w:r>
      <w:r w:rsidRPr="00A52AB8">
        <w:tab/>
      </w:r>
      <w:r w:rsidRPr="00A52AB8">
        <w:tab/>
      </w:r>
      <w:r w:rsidRPr="00A52AB8">
        <w:tab/>
      </w:r>
      <w:r w:rsidRPr="00A52AB8">
        <w:tab/>
      </w:r>
      <w:r w:rsidR="0023721F" w:rsidRPr="00A52AB8">
        <w:t>} else {</w:t>
      </w:r>
      <w:r w:rsidRPr="00A52AB8">
        <w:br/>
      </w:r>
      <w:r w:rsidRPr="00A52AB8">
        <w:tab/>
      </w:r>
      <w:r w:rsidRPr="00A52AB8">
        <w:tab/>
      </w:r>
      <w:r w:rsidRPr="00A52AB8">
        <w:tab/>
      </w:r>
      <w:r w:rsidRPr="00A52AB8">
        <w:tab/>
      </w:r>
      <w:r w:rsidRPr="00A52AB8">
        <w:tab/>
      </w:r>
      <w:r w:rsidRPr="00A52AB8">
        <w:tab/>
        <w:t>stringByte[ posByte++ ]</w:t>
      </w:r>
      <w:r w:rsidR="00D47707" w:rsidRPr="00A52AB8">
        <w:t> = </w:t>
      </w:r>
      <w:r w:rsidRPr="00A52AB8">
        <w:t>AtlasPlrdModeMinus1[ p ][ m ] &amp; 0xFF</w:t>
      </w:r>
      <w:r w:rsidRPr="00A52AB8">
        <w:br/>
      </w:r>
      <w:r w:rsidRPr="00A52AB8">
        <w:tab/>
      </w:r>
      <w:r w:rsidRPr="00A52AB8">
        <w:tab/>
      </w:r>
      <w:r w:rsidRPr="00A52AB8">
        <w:tab/>
      </w:r>
      <w:r w:rsidRPr="00A52AB8">
        <w:tab/>
      </w:r>
      <w:r w:rsidRPr="00A52AB8">
        <w:tab/>
      </w:r>
      <w:r w:rsidRPr="00A52AB8">
        <w:tab/>
        <w:t>stringByte[ posByte++ ] =</w:t>
      </w:r>
      <w:r w:rsidR="00C61E38" w:rsidRPr="00A52AB8">
        <w:br/>
      </w:r>
      <w:r w:rsidRPr="00A52AB8">
        <w:tab/>
      </w:r>
      <w:r w:rsidRPr="00A52AB8">
        <w:tab/>
      </w:r>
      <w:r w:rsidRPr="00A52AB8">
        <w:tab/>
      </w:r>
      <w:r w:rsidRPr="00A52AB8">
        <w:tab/>
      </w:r>
      <w:r w:rsidRPr="00A52AB8">
        <w:tab/>
      </w:r>
      <w:r w:rsidRPr="00A52AB8">
        <w:tab/>
      </w:r>
      <w:r w:rsidRPr="00A52AB8">
        <w:tab/>
        <w:t>(AtlasPlrdBlockModeMinus1[ p ][ m ]</w:t>
      </w:r>
      <w:r w:rsidR="008768E9" w:rsidRPr="00A52AB8">
        <w:t> &gt;&gt; </w:t>
      </w:r>
      <w:r w:rsidRPr="00A52AB8">
        <w:t>8 ) &amp; 0xFF</w:t>
      </w:r>
      <w:r w:rsidRPr="00A52AB8">
        <w:br/>
      </w:r>
      <w:r w:rsidRPr="00A52AB8">
        <w:tab/>
      </w:r>
      <w:r w:rsidRPr="00A52AB8">
        <w:tab/>
      </w:r>
      <w:r w:rsidRPr="00A52AB8">
        <w:tab/>
      </w:r>
      <w:r w:rsidRPr="00A52AB8">
        <w:tab/>
      </w:r>
      <w:r w:rsidRPr="00A52AB8">
        <w:tab/>
        <w:t>}</w:t>
      </w:r>
      <w:r w:rsidRPr="00A52AB8">
        <w:br/>
      </w:r>
      <w:r w:rsidRPr="00A52AB8">
        <w:tab/>
      </w:r>
      <w:r w:rsidRPr="00A52AB8">
        <w:tab/>
      </w:r>
      <w:r w:rsidRPr="00A52AB8">
        <w:tab/>
      </w:r>
      <w:r w:rsidRPr="00A52AB8">
        <w:tab/>
        <w:t>}</w:t>
      </w:r>
      <w:r w:rsidRPr="00A52AB8">
        <w:br/>
      </w:r>
      <w:r w:rsidRPr="00A52AB8">
        <w:tab/>
      </w:r>
      <w:r w:rsidRPr="00A52AB8">
        <w:tab/>
      </w:r>
      <w:r w:rsidRPr="00A52AB8">
        <w:tab/>
        <w:t>}</w:t>
      </w:r>
      <w:r w:rsidRPr="00A52AB8">
        <w:br/>
      </w:r>
      <w:r w:rsidRPr="00A52AB8">
        <w:tab/>
      </w:r>
      <w:r w:rsidRPr="00A52AB8">
        <w:tab/>
        <w:t>} else if( AtlasPatchType[ p ]</w:t>
      </w:r>
      <w:r w:rsidR="008768E9" w:rsidRPr="00A52AB8">
        <w:t> </w:t>
      </w:r>
      <w:r w:rsidR="00726AAE" w:rsidRPr="00A52AB8">
        <w:t>==</w:t>
      </w:r>
      <w:r w:rsidR="00D47707" w:rsidRPr="00A52AB8">
        <w:t> </w:t>
      </w:r>
      <w:r w:rsidRPr="00A52AB8">
        <w:t>EOM </w:t>
      </w:r>
      <w:r w:rsidR="008F1F82" w:rsidRPr="00A52AB8">
        <w:t>) {</w:t>
      </w:r>
      <w:r w:rsidRPr="00A52AB8">
        <w:br/>
      </w:r>
      <w:r w:rsidRPr="00A52AB8">
        <w:tab/>
      </w:r>
      <w:r w:rsidRPr="00A52AB8">
        <w:tab/>
      </w:r>
      <w:r w:rsidRPr="00A52AB8">
        <w:tab/>
        <w:t>stringByte[ posByte++ ]</w:t>
      </w:r>
      <w:r w:rsidR="00D47707" w:rsidRPr="00A52AB8">
        <w:t> = </w:t>
      </w:r>
      <w:r w:rsidRPr="00A52AB8">
        <w:t>AtlasPatchEOMPatchCount</w:t>
      </w:r>
      <w:r w:rsidR="0066614A" w:rsidRPr="00A52AB8">
        <w:t>[</w:t>
      </w:r>
      <w:r w:rsidRPr="00A52AB8">
        <w:t> p ] &amp; 0xFF</w:t>
      </w:r>
      <w:r w:rsidRPr="00A52AB8">
        <w:br/>
      </w:r>
      <w:r w:rsidRPr="00A52AB8">
        <w:tab/>
      </w:r>
      <w:r w:rsidRPr="00A52AB8">
        <w:tab/>
      </w:r>
      <w:r w:rsidRPr="00A52AB8">
        <w:tab/>
        <w:t>stringByte[ posByte++ ]</w:t>
      </w:r>
      <w:r w:rsidR="00D47707" w:rsidRPr="00A52AB8">
        <w:t> = </w:t>
      </w:r>
      <w:r w:rsidRPr="00A52AB8">
        <w:t>( AtlasPatchEOMPatchCount</w:t>
      </w:r>
      <w:r w:rsidR="0066614A" w:rsidRPr="00A52AB8">
        <w:t>[</w:t>
      </w:r>
      <w:r w:rsidRPr="00A52AB8">
        <w:t> p ]</w:t>
      </w:r>
      <w:r w:rsidR="008768E9" w:rsidRPr="00A52AB8">
        <w:t> &gt;&gt; </w:t>
      </w:r>
      <w:r w:rsidRPr="00A52AB8">
        <w:t>8 ) &amp; 0xFF</w:t>
      </w:r>
      <w:r w:rsidRPr="00A52AB8">
        <w:br/>
      </w:r>
      <w:r w:rsidRPr="00A52AB8">
        <w:tab/>
      </w:r>
      <w:r w:rsidRPr="00A52AB8">
        <w:tab/>
      </w:r>
      <w:r w:rsidRPr="00A52AB8">
        <w:tab/>
        <w:t>for( i</w:t>
      </w:r>
      <w:r w:rsidR="00D47707" w:rsidRPr="00A52AB8">
        <w:t> = </w:t>
      </w:r>
      <w:r w:rsidRPr="00A52AB8">
        <w:t>0; i &lt; AtlasEpduPatchCount[ p ]; i++ </w:t>
      </w:r>
      <w:r w:rsidR="008F1F82" w:rsidRPr="00A52AB8">
        <w:t>) {</w:t>
      </w:r>
      <w:r w:rsidRPr="00A52AB8">
        <w:br/>
      </w:r>
      <w:r w:rsidRPr="00A52AB8">
        <w:tab/>
      </w:r>
      <w:r w:rsidRPr="00A52AB8">
        <w:tab/>
      </w:r>
      <w:r w:rsidRPr="00A52AB8">
        <w:tab/>
      </w:r>
      <w:r w:rsidRPr="00A52AB8">
        <w:tab/>
        <w:t>stringByte[ posByte++ ]</w:t>
      </w:r>
      <w:r w:rsidR="00D47707" w:rsidRPr="00A52AB8">
        <w:t> = </w:t>
      </w:r>
      <w:r w:rsidRPr="00A52AB8">
        <w:t>AtlasEpduPoints[ p ][ i ] &amp; 0xFF</w:t>
      </w:r>
      <w:r w:rsidRPr="00A52AB8">
        <w:br/>
      </w:r>
      <w:r w:rsidRPr="00A52AB8">
        <w:tab/>
      </w:r>
      <w:r w:rsidRPr="00A52AB8">
        <w:tab/>
      </w:r>
      <w:r w:rsidRPr="00A52AB8">
        <w:tab/>
      </w:r>
      <w:r w:rsidRPr="00A52AB8">
        <w:tab/>
        <w:t>stringByte[ posByte++ ]</w:t>
      </w:r>
      <w:r w:rsidR="00D47707" w:rsidRPr="00A52AB8">
        <w:t> = </w:t>
      </w:r>
      <w:r w:rsidRPr="00A52AB8">
        <w:t>(AtlasEpduPoints[ p ][ i ]</w:t>
      </w:r>
      <w:r w:rsidR="008768E9" w:rsidRPr="00A52AB8">
        <w:t> &gt;&gt; </w:t>
      </w:r>
      <w:r w:rsidRPr="00A52AB8">
        <w:t>8 ) &amp; 0xFF</w:t>
      </w:r>
      <w:r w:rsidRPr="00A52AB8">
        <w:br/>
      </w:r>
      <w:r w:rsidRPr="00A52AB8">
        <w:tab/>
      </w:r>
      <w:r w:rsidRPr="00A52AB8">
        <w:tab/>
      </w:r>
      <w:r w:rsidRPr="00A52AB8">
        <w:tab/>
        <w:t>}</w:t>
      </w:r>
      <w:r w:rsidRPr="00A52AB8">
        <w:br/>
      </w:r>
      <w:r w:rsidRPr="00A52AB8">
        <w:tab/>
      </w:r>
      <w:r w:rsidRPr="00A52AB8">
        <w:tab/>
        <w:t>}</w:t>
      </w:r>
      <w:r w:rsidR="00FD0310" w:rsidRPr="00A52AB8">
        <w:br/>
      </w:r>
      <w:r w:rsidR="00F47C3D" w:rsidRPr="00A52AB8">
        <w:tab/>
      </w:r>
      <w:r w:rsidR="00F47C3D" w:rsidRPr="00A52AB8">
        <w:tab/>
        <w:t>return posByte</w:t>
      </w:r>
      <w:r w:rsidRPr="00A52AB8">
        <w:br/>
      </w:r>
      <w:r w:rsidRPr="00A52AB8">
        <w:tab/>
        <w:t>}</w:t>
      </w:r>
    </w:p>
    <w:p w14:paraId="64CD2AE9" w14:textId="77777777" w:rsidR="00855A0D" w:rsidRPr="00A52AB8" w:rsidRDefault="00855A0D" w:rsidP="00EE3D19">
      <w:pPr>
        <w:pStyle w:val="a4"/>
        <w:numPr>
          <w:ilvl w:val="5"/>
          <w:numId w:val="14"/>
        </w:numPr>
        <w:tabs>
          <w:tab w:val="clear" w:pos="7200"/>
        </w:tabs>
        <w:outlineLvl w:val="5"/>
      </w:pPr>
      <w:bookmarkStart w:id="7361" w:name="_Toc49350429"/>
      <w:bookmarkEnd w:id="7361"/>
      <w:r w:rsidRPr="00A52AB8">
        <w:t>Tile information string of bytes</w:t>
      </w:r>
    </w:p>
    <w:p w14:paraId="4105D8CE" w14:textId="77777777" w:rsidR="00855A0D" w:rsidRPr="00A52AB8" w:rsidRDefault="00855A0D" w:rsidP="00EE3D19">
      <w:pPr>
        <w:pStyle w:val="a4"/>
        <w:numPr>
          <w:ilvl w:val="6"/>
          <w:numId w:val="14"/>
        </w:numPr>
        <w:tabs>
          <w:tab w:val="clear" w:pos="7200"/>
        </w:tabs>
        <w:outlineLvl w:val="6"/>
      </w:pPr>
      <w:bookmarkStart w:id="7362" w:name="_Toc49350431"/>
      <w:bookmarkEnd w:id="7362"/>
      <w:r w:rsidRPr="00A52AB8">
        <w:t>Common tile patch string of bytes</w:t>
      </w:r>
    </w:p>
    <w:p w14:paraId="37008ED0" w14:textId="4D9BE582" w:rsidR="00855A0D" w:rsidRPr="00A52AB8" w:rsidRDefault="00972B73" w:rsidP="004A7026">
      <w:pPr>
        <w:pStyle w:val="Equation"/>
        <w:tabs>
          <w:tab w:val="left" w:pos="360"/>
          <w:tab w:val="left" w:pos="1170"/>
          <w:tab w:val="left" w:pos="1980"/>
        </w:tabs>
      </w:pPr>
      <w:r w:rsidRPr="00A52AB8">
        <w:t xml:space="preserve">The specifications in </w:t>
      </w:r>
      <w:r w:rsidR="00C960E8" w:rsidRPr="00496A4D">
        <w:fldChar w:fldCharType="begin"/>
      </w:r>
      <w:r w:rsidR="00C960E8" w:rsidRPr="00A52AB8">
        <w:instrText xml:space="preserve"> REF _Ref49094699 \r \h </w:instrText>
      </w:r>
      <w:r w:rsidR="00007BE2" w:rsidRPr="00A52AB8">
        <w:instrText xml:space="preserve"> \* MERGEFORMAT </w:instrText>
      </w:r>
      <w:r w:rsidR="00C960E8" w:rsidRPr="00496A4D">
        <w:fldChar w:fldCharType="separate"/>
      </w:r>
      <w:r w:rsidR="00507A67">
        <w:t>F.3.16.2.4.1</w:t>
      </w:r>
      <w:r w:rsidR="00C960E8" w:rsidRPr="00496A4D">
        <w:fldChar w:fldCharType="end"/>
      </w:r>
      <w:r w:rsidR="00C960E8" w:rsidRPr="00A52AB8">
        <w:t xml:space="preserve"> </w:t>
      </w:r>
      <w:r w:rsidRPr="00A52AB8">
        <w:t>apply.</w:t>
      </w:r>
    </w:p>
    <w:p w14:paraId="2B739DBA" w14:textId="77777777" w:rsidR="00855A0D" w:rsidRPr="00A52AB8" w:rsidRDefault="00855A0D" w:rsidP="00EE3D19">
      <w:pPr>
        <w:pStyle w:val="a4"/>
        <w:numPr>
          <w:ilvl w:val="6"/>
          <w:numId w:val="14"/>
        </w:numPr>
        <w:tabs>
          <w:tab w:val="clear" w:pos="7200"/>
        </w:tabs>
        <w:outlineLvl w:val="6"/>
      </w:pPr>
      <w:r w:rsidRPr="00A52AB8">
        <w:t>Application based tile patch string of bytes</w:t>
      </w:r>
    </w:p>
    <w:p w14:paraId="0D76AC16" w14:textId="77777777" w:rsidR="00855A0D" w:rsidRPr="00A52AB8" w:rsidRDefault="00855A0D" w:rsidP="00FB4953">
      <w:r w:rsidRPr="00A52AB8">
        <w:t>Let the function TilePatchApplicationByteString( stringByte, posByte, t, p ) be defined as follows:</w:t>
      </w:r>
    </w:p>
    <w:p w14:paraId="3316B33A" w14:textId="21EB27B0" w:rsidR="00855A0D" w:rsidRPr="00A52AB8" w:rsidRDefault="00855A0D">
      <w:pPr>
        <w:spacing w:before="120"/>
      </w:pPr>
      <w:r w:rsidRPr="00A52AB8">
        <w:tab/>
        <w:t>TilePatchApplicationByteString( stringByte, posByte, t, p</w:t>
      </w:r>
      <w:r w:rsidR="008F1F82" w:rsidRPr="00A52AB8">
        <w:t>) {</w:t>
      </w:r>
      <w:r w:rsidR="000B4EBE" w:rsidRPr="00A52AB8">
        <w:br/>
      </w:r>
      <w:r w:rsidRPr="00A52AB8">
        <w:tab/>
      </w:r>
      <w:r w:rsidRPr="00A52AB8">
        <w:tab/>
        <w:t>stringByte[ posByte++ ]</w:t>
      </w:r>
      <w:r w:rsidR="00D47707" w:rsidRPr="00A52AB8">
        <w:t> = </w:t>
      </w:r>
      <w:r w:rsidRPr="00A52AB8">
        <w:t>TilePatchInAuxVideo[ p ] &amp; 0xFF</w:t>
      </w:r>
      <w:r w:rsidRPr="00A52AB8">
        <w:br/>
      </w:r>
      <w:r w:rsidRPr="00A52AB8">
        <w:tab/>
      </w:r>
      <w:r w:rsidRPr="00A52AB8">
        <w:tab/>
      </w:r>
      <w:r w:rsidR="00D63ACE" w:rsidRPr="00A52AB8">
        <w:t>if(</w:t>
      </w:r>
      <w:r w:rsidRPr="00A52AB8">
        <w:t> TilePatchType[ t ][ p ]</w:t>
      </w:r>
      <w:r w:rsidR="008768E9" w:rsidRPr="00A52AB8">
        <w:t> </w:t>
      </w:r>
      <w:r w:rsidR="00726AAE" w:rsidRPr="00A52AB8">
        <w:t>==</w:t>
      </w:r>
      <w:r w:rsidR="00D47707" w:rsidRPr="00A52AB8">
        <w:t> </w:t>
      </w:r>
      <w:r w:rsidRPr="00A52AB8">
        <w:t>RAW </w:t>
      </w:r>
      <w:r w:rsidR="008F1F82" w:rsidRPr="00A52AB8">
        <w:t>) {</w:t>
      </w:r>
      <w:r w:rsidRPr="00A52AB8">
        <w:br/>
      </w:r>
      <w:r w:rsidRPr="00A52AB8">
        <w:tab/>
      </w:r>
      <w:r w:rsidRPr="00A52AB8">
        <w:tab/>
      </w:r>
      <w:r w:rsidRPr="00A52AB8">
        <w:tab/>
        <w:t>stringByte[ posByte++ ]</w:t>
      </w:r>
      <w:r w:rsidR="00D47707" w:rsidRPr="00A52AB8">
        <w:t> = </w:t>
      </w:r>
      <w:r w:rsidRPr="00A52AB8">
        <w:t>TilePatchRawPoints</w:t>
      </w:r>
      <w:r w:rsidR="0066614A" w:rsidRPr="00A52AB8">
        <w:t>[</w:t>
      </w:r>
      <w:r w:rsidRPr="00A52AB8">
        <w:t> p ] &amp; 0xFF</w:t>
      </w:r>
      <w:r w:rsidRPr="00A52AB8">
        <w:br/>
      </w:r>
      <w:r w:rsidRPr="00A52AB8">
        <w:tab/>
      </w:r>
      <w:r w:rsidRPr="00A52AB8">
        <w:tab/>
      </w:r>
      <w:r w:rsidRPr="00A52AB8">
        <w:tab/>
        <w:t>stringByte[ posByte++ ]</w:t>
      </w:r>
      <w:r w:rsidR="00D47707" w:rsidRPr="00A52AB8">
        <w:t> = </w:t>
      </w:r>
      <w:r w:rsidRPr="00A52AB8">
        <w:t>( TilePatchRawPoints</w:t>
      </w:r>
      <w:r w:rsidR="0066614A" w:rsidRPr="00A52AB8">
        <w:t>[</w:t>
      </w:r>
      <w:r w:rsidRPr="00A52AB8">
        <w:t> p ]</w:t>
      </w:r>
      <w:r w:rsidR="008768E9" w:rsidRPr="00A52AB8">
        <w:t> &gt;&gt; </w:t>
      </w:r>
      <w:r w:rsidRPr="00A52AB8">
        <w:t>8 ) &amp; 0xFF</w:t>
      </w:r>
      <w:r w:rsidRPr="00A52AB8">
        <w:br/>
      </w:r>
      <w:r w:rsidRPr="00A52AB8">
        <w:tab/>
      </w:r>
      <w:r w:rsidRPr="00A52AB8">
        <w:tab/>
        <w:t>} else </w:t>
      </w:r>
      <w:r w:rsidR="00D63ACE" w:rsidRPr="00A52AB8">
        <w:t>if(</w:t>
      </w:r>
      <w:r w:rsidRPr="00A52AB8">
        <w:t> TilePatchType[ t ][ p ]</w:t>
      </w:r>
      <w:r w:rsidR="008768E9" w:rsidRPr="00A52AB8">
        <w:t> </w:t>
      </w:r>
      <w:r w:rsidR="00726AAE" w:rsidRPr="00A52AB8">
        <w:t>==</w:t>
      </w:r>
      <w:r w:rsidR="00D47707" w:rsidRPr="00A52AB8">
        <w:t> </w:t>
      </w:r>
      <w:r w:rsidRPr="00A52AB8">
        <w:t>PROJECTED </w:t>
      </w:r>
      <w:r w:rsidR="008F1F82" w:rsidRPr="00A52AB8">
        <w:t>) {</w:t>
      </w:r>
      <w:r w:rsidR="00461F41" w:rsidRPr="00A52AB8">
        <w:br/>
      </w:r>
      <w:r w:rsidR="00461F41" w:rsidRPr="00A52AB8">
        <w:tab/>
      </w:r>
      <w:r w:rsidR="00461F41" w:rsidRPr="00A52AB8">
        <w:tab/>
      </w:r>
      <w:r w:rsidR="00461F41" w:rsidRPr="00A52AB8">
        <w:tab/>
        <w:t>stringByte[ posByte++ ]</w:t>
      </w:r>
      <w:r w:rsidR="00D47707" w:rsidRPr="00A52AB8">
        <w:t> = </w:t>
      </w:r>
      <w:r w:rsidR="00461F41" w:rsidRPr="00A52AB8">
        <w:t>TilePatch45DegreeMode[ t ][ p ] &amp; 0xFF</w:t>
      </w:r>
      <w:r w:rsidRPr="00A52AB8">
        <w:br/>
      </w:r>
      <w:r w:rsidRPr="00A52AB8">
        <w:tab/>
      </w:r>
      <w:r w:rsidRPr="00A52AB8">
        <w:tab/>
      </w:r>
      <w:r w:rsidRPr="00A52AB8">
        <w:tab/>
        <w:t>blockCnt</w:t>
      </w:r>
      <w:r w:rsidR="00D47707" w:rsidRPr="00A52AB8">
        <w:t> = </w:t>
      </w:r>
      <w:r w:rsidRPr="00A52AB8">
        <w:t>BlockCnt(</w:t>
      </w:r>
      <w:r w:rsidR="00C61E38" w:rsidRPr="00A52AB8">
        <w:t> </w:t>
      </w:r>
      <w:r w:rsidRPr="00A52AB8">
        <w:t>AtlasPatch2dSizeX[ t ][ p ],</w:t>
      </w:r>
      <w:r w:rsidR="00C61E38" w:rsidRPr="00A52AB8">
        <w:t> </w:t>
      </w:r>
      <w:r w:rsidRPr="00A52AB8">
        <w:t>AtlasPatch2dSizeY[ t ][ p ] )</w:t>
      </w:r>
      <w:r w:rsidRPr="00A52AB8">
        <w:br/>
      </w:r>
      <w:r w:rsidRPr="00A52AB8">
        <w:tab/>
      </w:r>
      <w:r w:rsidRPr="00A52AB8">
        <w:tab/>
      </w:r>
      <w:r w:rsidRPr="00A52AB8">
        <w:tab/>
        <w:t>for( m</w:t>
      </w:r>
      <w:r w:rsidR="00D47707" w:rsidRPr="00A52AB8">
        <w:t> = </w:t>
      </w:r>
      <w:r w:rsidRPr="00A52AB8">
        <w:t>0; m &lt; asps_map_count_minus1 + 1; m++ </w:t>
      </w:r>
      <w:r w:rsidR="008F1F82" w:rsidRPr="00A52AB8">
        <w:t>) {</w:t>
      </w:r>
      <w:r w:rsidRPr="00A52AB8">
        <w:br/>
      </w:r>
      <w:r w:rsidRPr="00A52AB8">
        <w:tab/>
      </w:r>
      <w:r w:rsidRPr="00A52AB8">
        <w:tab/>
      </w:r>
      <w:r w:rsidRPr="00A52AB8">
        <w:tab/>
      </w:r>
      <w:r w:rsidRPr="00A52AB8">
        <w:tab/>
        <w:t>if( plri_map_present_flag[ m ]</w:t>
      </w:r>
      <w:r w:rsidR="008768E9" w:rsidRPr="00A52AB8">
        <w:t> </w:t>
      </w:r>
      <w:r w:rsidR="00726AAE" w:rsidRPr="00A52AB8">
        <w:t>==</w:t>
      </w:r>
      <w:r w:rsidR="00D47707" w:rsidRPr="00A52AB8">
        <w:t> </w:t>
      </w:r>
      <w:r w:rsidRPr="00A52AB8">
        <w:t>1 </w:t>
      </w:r>
      <w:r w:rsidR="008F1F82" w:rsidRPr="00A52AB8">
        <w:t>) {</w:t>
      </w:r>
      <w:r w:rsidRPr="00A52AB8">
        <w:br/>
      </w:r>
      <w:r w:rsidRPr="00A52AB8">
        <w:tab/>
      </w:r>
      <w:r w:rsidRPr="00A52AB8">
        <w:tab/>
      </w:r>
      <w:r w:rsidRPr="00A52AB8">
        <w:tab/>
      </w:r>
      <w:r w:rsidRPr="00A52AB8">
        <w:tab/>
      </w:r>
      <w:r w:rsidRPr="00A52AB8">
        <w:tab/>
        <w:t>if(TilePlrdLevel[ t ][ p ][ m ]</w:t>
      </w:r>
      <w:r w:rsidR="008768E9" w:rsidRPr="00A52AB8">
        <w:t> </w:t>
      </w:r>
      <w:r w:rsidR="00726AAE" w:rsidRPr="00A52AB8">
        <w:t>==</w:t>
      </w:r>
      <w:r w:rsidR="00D47707" w:rsidRPr="00A52AB8">
        <w:t> </w:t>
      </w:r>
      <w:r w:rsidRPr="00A52AB8">
        <w:t>0 </w:t>
      </w:r>
      <w:r w:rsidR="008F1F82" w:rsidRPr="00A52AB8">
        <w:t>) {</w:t>
      </w:r>
      <w:r w:rsidRPr="00A52AB8">
        <w:br/>
      </w:r>
      <w:r w:rsidRPr="00A52AB8">
        <w:tab/>
      </w:r>
      <w:r w:rsidRPr="00A52AB8">
        <w:tab/>
      </w:r>
      <w:r w:rsidRPr="00A52AB8">
        <w:tab/>
      </w:r>
      <w:r w:rsidRPr="00A52AB8">
        <w:tab/>
      </w:r>
      <w:r w:rsidRPr="00A52AB8">
        <w:tab/>
      </w:r>
      <w:r w:rsidRPr="00A52AB8">
        <w:tab/>
        <w:t>for( j</w:t>
      </w:r>
      <w:r w:rsidR="00D47707" w:rsidRPr="00A52AB8">
        <w:t> = </w:t>
      </w:r>
      <w:r w:rsidRPr="00A52AB8">
        <w:t>0; j &lt; blockCnt; j++ </w:t>
      </w:r>
      <w:r w:rsidR="008F1F82" w:rsidRPr="00A52AB8">
        <w:t>) {</w:t>
      </w:r>
      <w:r w:rsidRPr="00A52AB8">
        <w:br/>
      </w:r>
      <w:r w:rsidRPr="00A52AB8">
        <w:tab/>
      </w:r>
      <w:r w:rsidRPr="00A52AB8">
        <w:tab/>
      </w:r>
      <w:r w:rsidRPr="00A52AB8">
        <w:tab/>
      </w:r>
      <w:r w:rsidRPr="00A52AB8">
        <w:tab/>
      </w:r>
      <w:r w:rsidRPr="00A52AB8">
        <w:tab/>
      </w:r>
      <w:r w:rsidRPr="00A52AB8">
        <w:tab/>
      </w:r>
      <w:r w:rsidRPr="00A52AB8">
        <w:tab/>
        <w:t>stringByte[ posByte++ ] =</w:t>
      </w:r>
      <w:r w:rsidR="00C61E38" w:rsidRPr="00A52AB8">
        <w:br/>
      </w:r>
      <w:r w:rsidRPr="00A52AB8">
        <w:tab/>
      </w:r>
      <w:r w:rsidRPr="00A52AB8">
        <w:tab/>
      </w:r>
      <w:r w:rsidRPr="00A52AB8">
        <w:tab/>
      </w:r>
      <w:r w:rsidRPr="00A52AB8">
        <w:tab/>
      </w:r>
      <w:r w:rsidRPr="00A52AB8">
        <w:tab/>
      </w:r>
      <w:r w:rsidRPr="00A52AB8">
        <w:tab/>
      </w:r>
      <w:r w:rsidRPr="00A52AB8">
        <w:tab/>
      </w:r>
      <w:r w:rsidRPr="00A52AB8">
        <w:tab/>
      </w:r>
      <w:r w:rsidR="00E46127" w:rsidRPr="00A52AB8">
        <w:t>TilePatchPlrdBlockModeMinus1</w:t>
      </w:r>
      <w:r w:rsidRPr="00A52AB8">
        <w:t>[ t ][ p ][ m ][ j ] &amp; 0xFF</w:t>
      </w:r>
      <w:r w:rsidRPr="00A52AB8">
        <w:br/>
      </w:r>
      <w:r w:rsidRPr="00A52AB8">
        <w:tab/>
      </w:r>
      <w:r w:rsidRPr="00A52AB8">
        <w:tab/>
      </w:r>
      <w:r w:rsidRPr="00A52AB8">
        <w:tab/>
      </w:r>
      <w:r w:rsidRPr="00A52AB8">
        <w:tab/>
      </w:r>
      <w:r w:rsidRPr="00A52AB8">
        <w:tab/>
      </w:r>
      <w:r w:rsidRPr="00A52AB8">
        <w:tab/>
      </w:r>
      <w:r w:rsidRPr="00A52AB8">
        <w:tab/>
        <w:t>stringByte[ posByte++ ]=</w:t>
      </w:r>
      <w:r w:rsidR="00C61E38" w:rsidRPr="00A52AB8">
        <w:br/>
      </w:r>
      <w:r w:rsidRPr="00A52AB8">
        <w:tab/>
      </w:r>
      <w:r w:rsidRPr="00A52AB8">
        <w:tab/>
      </w:r>
      <w:r w:rsidRPr="00A52AB8">
        <w:tab/>
      </w:r>
      <w:r w:rsidRPr="00A52AB8">
        <w:tab/>
      </w:r>
      <w:r w:rsidRPr="00A52AB8">
        <w:tab/>
      </w:r>
      <w:r w:rsidRPr="00A52AB8">
        <w:tab/>
      </w:r>
      <w:r w:rsidRPr="00A52AB8">
        <w:tab/>
      </w:r>
      <w:r w:rsidRPr="00A52AB8">
        <w:tab/>
        <w:t>(</w:t>
      </w:r>
      <w:r w:rsidR="00E46127" w:rsidRPr="00A52AB8">
        <w:t>TilePatchPlrdBlockModeMinus1</w:t>
      </w:r>
      <w:r w:rsidRPr="00A52AB8">
        <w:t>[ t ][ p ][ m ][ j ]</w:t>
      </w:r>
      <w:r w:rsidR="008768E9" w:rsidRPr="00A52AB8">
        <w:t> &gt;&gt; </w:t>
      </w:r>
      <w:r w:rsidRPr="00A52AB8">
        <w:t>8 ) &amp; 0xFF</w:t>
      </w:r>
      <w:r w:rsidRPr="00A52AB8">
        <w:br/>
      </w:r>
      <w:r w:rsidRPr="00A52AB8">
        <w:tab/>
      </w:r>
      <w:r w:rsidRPr="00A52AB8">
        <w:tab/>
      </w:r>
      <w:r w:rsidRPr="00A52AB8">
        <w:tab/>
      </w:r>
      <w:r w:rsidRPr="00A52AB8">
        <w:tab/>
      </w:r>
      <w:r w:rsidRPr="00A52AB8">
        <w:tab/>
      </w:r>
      <w:r w:rsidR="003532E3" w:rsidRPr="00A52AB8">
        <w:tab/>
      </w:r>
      <w:r w:rsidRPr="00A52AB8">
        <w:t>}</w:t>
      </w:r>
      <w:r w:rsidRPr="00A52AB8">
        <w:br/>
      </w:r>
      <w:r w:rsidRPr="00A52AB8">
        <w:tab/>
      </w:r>
      <w:r w:rsidRPr="00A52AB8">
        <w:tab/>
      </w:r>
      <w:r w:rsidRPr="00A52AB8">
        <w:tab/>
      </w:r>
      <w:r w:rsidRPr="00A52AB8">
        <w:tab/>
      </w:r>
      <w:r w:rsidRPr="00A52AB8">
        <w:tab/>
      </w:r>
      <w:r w:rsidR="0023721F" w:rsidRPr="00A52AB8">
        <w:t>} else {</w:t>
      </w:r>
      <w:r w:rsidRPr="00A52AB8">
        <w:br/>
      </w:r>
      <w:r w:rsidRPr="00A52AB8">
        <w:tab/>
      </w:r>
      <w:r w:rsidRPr="00A52AB8">
        <w:tab/>
      </w:r>
      <w:r w:rsidRPr="00A52AB8">
        <w:tab/>
      </w:r>
      <w:r w:rsidRPr="00A52AB8">
        <w:tab/>
      </w:r>
      <w:r w:rsidRPr="00A52AB8">
        <w:tab/>
      </w:r>
      <w:r w:rsidRPr="00A52AB8">
        <w:tab/>
        <w:t>stringByte[ posByte++ ]</w:t>
      </w:r>
      <w:r w:rsidR="00D47707" w:rsidRPr="00A52AB8">
        <w:t> = </w:t>
      </w:r>
      <w:r w:rsidR="00092700" w:rsidRPr="00A52AB8">
        <w:t>TilePatchPlrdModeMinus1</w:t>
      </w:r>
      <w:r w:rsidRPr="00A52AB8">
        <w:t>[ t ][ p ][ m ] &amp; 0xFF</w:t>
      </w:r>
      <w:r w:rsidR="00C61E38" w:rsidRPr="00A52AB8">
        <w:br/>
      </w:r>
      <w:r w:rsidRPr="00A52AB8">
        <w:tab/>
      </w:r>
      <w:r w:rsidRPr="00A52AB8">
        <w:tab/>
      </w:r>
      <w:r w:rsidRPr="00A52AB8">
        <w:tab/>
      </w:r>
      <w:r w:rsidRPr="00A52AB8">
        <w:tab/>
      </w:r>
      <w:r w:rsidRPr="00A52AB8">
        <w:tab/>
      </w:r>
      <w:r w:rsidRPr="00A52AB8">
        <w:tab/>
        <w:t>stringByte[ posByte++ ] =</w:t>
      </w:r>
      <w:r w:rsidR="00C61E38" w:rsidRPr="00A52AB8">
        <w:br/>
      </w:r>
      <w:r w:rsidRPr="00A52AB8">
        <w:tab/>
      </w:r>
      <w:r w:rsidRPr="00A52AB8">
        <w:tab/>
      </w:r>
      <w:r w:rsidRPr="00A52AB8">
        <w:tab/>
      </w:r>
      <w:r w:rsidRPr="00A52AB8">
        <w:tab/>
      </w:r>
      <w:r w:rsidRPr="00A52AB8">
        <w:tab/>
      </w:r>
      <w:r w:rsidRPr="00A52AB8">
        <w:tab/>
      </w:r>
      <w:r w:rsidRPr="00A52AB8">
        <w:tab/>
        <w:t>(</w:t>
      </w:r>
      <w:r w:rsidR="00E46127" w:rsidRPr="00A52AB8">
        <w:t>TilePatchPlrdBlockModeMinus1</w:t>
      </w:r>
      <w:r w:rsidRPr="00A52AB8">
        <w:t>[ t ][ p ][ m ]</w:t>
      </w:r>
      <w:r w:rsidR="008768E9" w:rsidRPr="00A52AB8">
        <w:t> &gt;&gt; </w:t>
      </w:r>
      <w:r w:rsidRPr="00A52AB8">
        <w:t>8 ) &amp; 0xFF</w:t>
      </w:r>
      <w:r w:rsidRPr="00A52AB8">
        <w:br/>
      </w:r>
      <w:r w:rsidRPr="00A52AB8">
        <w:tab/>
      </w:r>
      <w:r w:rsidRPr="00A52AB8">
        <w:tab/>
      </w:r>
      <w:r w:rsidRPr="00A52AB8">
        <w:tab/>
      </w:r>
      <w:r w:rsidRPr="00A52AB8">
        <w:tab/>
      </w:r>
      <w:r w:rsidRPr="00A52AB8">
        <w:tab/>
        <w:t>}</w:t>
      </w:r>
      <w:r w:rsidRPr="00A52AB8">
        <w:br/>
      </w:r>
      <w:r w:rsidRPr="00A52AB8">
        <w:tab/>
      </w:r>
      <w:r w:rsidRPr="00A52AB8">
        <w:tab/>
      </w:r>
      <w:r w:rsidRPr="00A52AB8">
        <w:tab/>
      </w:r>
      <w:r w:rsidRPr="00A52AB8">
        <w:tab/>
        <w:t>}</w:t>
      </w:r>
      <w:r w:rsidRPr="00A52AB8">
        <w:br/>
      </w:r>
      <w:r w:rsidRPr="00A52AB8">
        <w:tab/>
      </w:r>
      <w:r w:rsidRPr="00A52AB8">
        <w:tab/>
      </w:r>
      <w:r w:rsidRPr="00A52AB8">
        <w:tab/>
        <w:t>}</w:t>
      </w:r>
      <w:r w:rsidRPr="00A52AB8">
        <w:br/>
      </w:r>
      <w:r w:rsidRPr="00A52AB8">
        <w:tab/>
      </w:r>
      <w:r w:rsidRPr="00A52AB8">
        <w:tab/>
        <w:t>} else if( TilePatchType[ tileID ][ p ]</w:t>
      </w:r>
      <w:r w:rsidR="008768E9" w:rsidRPr="00A52AB8">
        <w:t> </w:t>
      </w:r>
      <w:r w:rsidR="00726AAE" w:rsidRPr="00A52AB8">
        <w:t>==</w:t>
      </w:r>
      <w:r w:rsidR="00D47707" w:rsidRPr="00A52AB8">
        <w:t> </w:t>
      </w:r>
      <w:r w:rsidRPr="00A52AB8">
        <w:t>EOM </w:t>
      </w:r>
      <w:r w:rsidR="008F1F82" w:rsidRPr="00A52AB8">
        <w:t>) {</w:t>
      </w:r>
      <w:r w:rsidRPr="00A52AB8">
        <w:br/>
      </w:r>
      <w:r w:rsidRPr="00A52AB8">
        <w:tab/>
      </w:r>
      <w:r w:rsidRPr="00A52AB8">
        <w:tab/>
      </w:r>
      <w:r w:rsidRPr="00A52AB8">
        <w:tab/>
        <w:t>stringByte[ posByte++ ]</w:t>
      </w:r>
      <w:r w:rsidR="00D47707" w:rsidRPr="00A52AB8">
        <w:t> = </w:t>
      </w:r>
      <w:r w:rsidRPr="00A52AB8">
        <w:t>TilePatchEOMPatchCount[ t ][ p ] &amp; 0xFF</w:t>
      </w:r>
      <w:r w:rsidRPr="00A52AB8">
        <w:br/>
      </w:r>
      <w:r w:rsidRPr="00A52AB8">
        <w:tab/>
      </w:r>
      <w:r w:rsidRPr="00A52AB8">
        <w:tab/>
      </w:r>
      <w:r w:rsidRPr="00A52AB8">
        <w:tab/>
        <w:t>stringByte[ posByte++ ]</w:t>
      </w:r>
      <w:r w:rsidR="00D47707" w:rsidRPr="00A52AB8">
        <w:t> = </w:t>
      </w:r>
      <w:r w:rsidRPr="00A52AB8">
        <w:t>(TilePatchEOMPatchCount[ t ][ p ]</w:t>
      </w:r>
      <w:r w:rsidR="008768E9" w:rsidRPr="00A52AB8">
        <w:t> &gt;&gt; </w:t>
      </w:r>
      <w:r w:rsidRPr="00A52AB8">
        <w:t>8 ) &amp; 0xFF</w:t>
      </w:r>
      <w:r w:rsidRPr="00A52AB8">
        <w:br/>
      </w:r>
      <w:r w:rsidRPr="00A52AB8">
        <w:tab/>
      </w:r>
      <w:r w:rsidRPr="00A52AB8">
        <w:tab/>
      </w:r>
      <w:r w:rsidRPr="00A52AB8">
        <w:tab/>
        <w:t>for( i</w:t>
      </w:r>
      <w:r w:rsidR="00D47707" w:rsidRPr="00A52AB8">
        <w:t> = </w:t>
      </w:r>
      <w:r w:rsidRPr="00A52AB8">
        <w:t>0; i &lt; TilePatchEomPatchCount[ t ][ p ]; i++ </w:t>
      </w:r>
      <w:r w:rsidR="008F1F82" w:rsidRPr="00A52AB8">
        <w:t>) {</w:t>
      </w:r>
      <w:r w:rsidRPr="00A52AB8">
        <w:br/>
      </w:r>
      <w:r w:rsidRPr="00A52AB8">
        <w:tab/>
      </w:r>
      <w:r w:rsidRPr="00A52AB8">
        <w:tab/>
      </w:r>
      <w:r w:rsidRPr="00A52AB8">
        <w:tab/>
      </w:r>
      <w:r w:rsidRPr="00A52AB8">
        <w:tab/>
        <w:t>stringByte[ posByte++ ]</w:t>
      </w:r>
      <w:r w:rsidR="00D47707" w:rsidRPr="00A52AB8">
        <w:t> = </w:t>
      </w:r>
      <w:r w:rsidRPr="00A52AB8">
        <w:t>TileEpduPoints[ t ][ p ][ i ] &amp; 0xFF</w:t>
      </w:r>
      <w:r w:rsidRPr="00A52AB8">
        <w:br/>
      </w:r>
      <w:r w:rsidRPr="00A52AB8">
        <w:tab/>
      </w:r>
      <w:r w:rsidRPr="00A52AB8">
        <w:tab/>
      </w:r>
      <w:r w:rsidRPr="00A52AB8">
        <w:tab/>
      </w:r>
      <w:r w:rsidRPr="00A52AB8">
        <w:tab/>
        <w:t>stringByte[ posByte++ ]</w:t>
      </w:r>
      <w:r w:rsidR="00D47707" w:rsidRPr="00A52AB8">
        <w:t> = </w:t>
      </w:r>
      <w:r w:rsidRPr="00A52AB8">
        <w:t>(TileEpduPoints[ t ][ p ][ i ]</w:t>
      </w:r>
      <w:r w:rsidR="008768E9" w:rsidRPr="00A52AB8">
        <w:t> &gt;&gt; </w:t>
      </w:r>
      <w:r w:rsidRPr="00A52AB8">
        <w:t>8 ) &amp; 0xFF</w:t>
      </w:r>
      <w:r w:rsidRPr="00A52AB8">
        <w:br/>
      </w:r>
      <w:r w:rsidRPr="00A52AB8">
        <w:tab/>
      </w:r>
      <w:r w:rsidRPr="00A52AB8">
        <w:tab/>
      </w:r>
      <w:r w:rsidRPr="00A52AB8">
        <w:tab/>
        <w:t>}</w:t>
      </w:r>
      <w:r w:rsidRPr="00A52AB8">
        <w:br/>
      </w:r>
      <w:r w:rsidRPr="00A52AB8">
        <w:tab/>
      </w:r>
      <w:r w:rsidRPr="00A52AB8">
        <w:tab/>
        <w:t>}</w:t>
      </w:r>
      <w:r w:rsidRPr="00A52AB8">
        <w:br/>
      </w:r>
      <w:r w:rsidR="00461F41" w:rsidRPr="00A52AB8">
        <w:tab/>
      </w:r>
      <w:r w:rsidR="00461F41" w:rsidRPr="00A52AB8">
        <w:tab/>
        <w:t>return posByte</w:t>
      </w:r>
      <w:r w:rsidR="00461F41" w:rsidRPr="00A52AB8">
        <w:br/>
      </w:r>
      <w:r w:rsidRPr="00A52AB8">
        <w:tab/>
        <w:t>}</w:t>
      </w:r>
    </w:p>
    <w:p w14:paraId="10672A18" w14:textId="77777777" w:rsidR="00855A0D" w:rsidRPr="00A52AB8" w:rsidRDefault="00855A0D" w:rsidP="00EE3D19">
      <w:pPr>
        <w:pStyle w:val="a4"/>
        <w:numPr>
          <w:ilvl w:val="5"/>
          <w:numId w:val="19"/>
        </w:numPr>
        <w:tabs>
          <w:tab w:val="clear" w:pos="7200"/>
        </w:tabs>
        <w:outlineLvl w:val="5"/>
      </w:pPr>
      <w:bookmarkStart w:id="7363" w:name="_Toc49350434"/>
      <w:bookmarkEnd w:id="7363"/>
      <w:r w:rsidRPr="00A52AB8">
        <w:t>Atlas block to patch string of bytes</w:t>
      </w:r>
    </w:p>
    <w:p w14:paraId="3FED3BEF" w14:textId="2437939C" w:rsidR="00855A0D" w:rsidRPr="00A52AB8" w:rsidRDefault="00972B73" w:rsidP="004A7026">
      <w:pPr>
        <w:pStyle w:val="Equation"/>
        <w:tabs>
          <w:tab w:val="left" w:pos="360"/>
          <w:tab w:val="left" w:pos="1170"/>
          <w:tab w:val="left" w:pos="1980"/>
        </w:tabs>
      </w:pPr>
      <w:r w:rsidRPr="00A52AB8">
        <w:t xml:space="preserve">The specifications in </w:t>
      </w:r>
      <w:r w:rsidR="00C960E8" w:rsidRPr="00496A4D">
        <w:fldChar w:fldCharType="begin"/>
      </w:r>
      <w:r w:rsidR="00C960E8" w:rsidRPr="00A52AB8">
        <w:instrText xml:space="preserve"> REF _Ref44510974 \r \h </w:instrText>
      </w:r>
      <w:r w:rsidR="00007BE2" w:rsidRPr="00A52AB8">
        <w:instrText xml:space="preserve"> \* MERGEFORMAT </w:instrText>
      </w:r>
      <w:r w:rsidR="00C960E8" w:rsidRPr="00496A4D">
        <w:fldChar w:fldCharType="separate"/>
      </w:r>
      <w:r w:rsidR="00507A67">
        <w:t>F.3.16.2.5</w:t>
      </w:r>
      <w:r w:rsidR="00C960E8" w:rsidRPr="00496A4D">
        <w:fldChar w:fldCharType="end"/>
      </w:r>
      <w:r w:rsidR="006C7970" w:rsidRPr="00A52AB8">
        <w:t xml:space="preserve"> </w:t>
      </w:r>
      <w:r w:rsidRPr="00A52AB8">
        <w:t>apply.</w:t>
      </w:r>
    </w:p>
    <w:p w14:paraId="0B2120B6" w14:textId="77777777" w:rsidR="00855A0D" w:rsidRPr="00A52AB8" w:rsidRDefault="00855A0D" w:rsidP="00EE3D19">
      <w:pPr>
        <w:pStyle w:val="a4"/>
        <w:numPr>
          <w:ilvl w:val="5"/>
          <w:numId w:val="19"/>
        </w:numPr>
        <w:tabs>
          <w:tab w:val="clear" w:pos="7200"/>
        </w:tabs>
        <w:outlineLvl w:val="5"/>
      </w:pPr>
      <w:r w:rsidRPr="00A52AB8">
        <w:t>Tile block to patch string of bytes</w:t>
      </w:r>
    </w:p>
    <w:p w14:paraId="78751712" w14:textId="78D31581" w:rsidR="00855A0D" w:rsidRPr="00A52AB8" w:rsidRDefault="00972B73" w:rsidP="004A7026">
      <w:pPr>
        <w:pStyle w:val="Equation"/>
        <w:tabs>
          <w:tab w:val="left" w:pos="360"/>
          <w:tab w:val="left" w:pos="1170"/>
          <w:tab w:val="left" w:pos="1980"/>
        </w:tabs>
      </w:pPr>
      <w:r w:rsidRPr="00A52AB8">
        <w:t xml:space="preserve">The specifications in </w:t>
      </w:r>
      <w:r w:rsidR="00C960E8" w:rsidRPr="00496A4D">
        <w:fldChar w:fldCharType="begin"/>
      </w:r>
      <w:r w:rsidR="00C960E8" w:rsidRPr="00A52AB8">
        <w:instrText xml:space="preserve"> REF _Ref44511467 \r \h </w:instrText>
      </w:r>
      <w:r w:rsidR="00007BE2" w:rsidRPr="00A52AB8">
        <w:instrText xml:space="preserve"> \* MERGEFORMAT </w:instrText>
      </w:r>
      <w:r w:rsidR="00C960E8" w:rsidRPr="00496A4D">
        <w:fldChar w:fldCharType="separate"/>
      </w:r>
      <w:r w:rsidR="00507A67">
        <w:t>F.3.16.2.6</w:t>
      </w:r>
      <w:r w:rsidR="00C960E8" w:rsidRPr="00496A4D">
        <w:fldChar w:fldCharType="end"/>
      </w:r>
      <w:r w:rsidR="00C960E8" w:rsidRPr="00A52AB8">
        <w:t xml:space="preserve"> </w:t>
      </w:r>
      <w:r w:rsidRPr="00A52AB8">
        <w:t>apply.</w:t>
      </w:r>
    </w:p>
    <w:p w14:paraId="3F02FEFB" w14:textId="77777777" w:rsidR="00855A0D" w:rsidRPr="00A52AB8" w:rsidRDefault="00855A0D" w:rsidP="004A7026">
      <w:pPr>
        <w:pStyle w:val="a4"/>
        <w:numPr>
          <w:ilvl w:val="3"/>
          <w:numId w:val="19"/>
        </w:numPr>
      </w:pPr>
      <w:r w:rsidRPr="00A52AB8">
        <w:t>Time code SEI message semantics</w:t>
      </w:r>
    </w:p>
    <w:p w14:paraId="47A1A6D4" w14:textId="213B97C4" w:rsidR="00855A0D" w:rsidRPr="00A52AB8" w:rsidRDefault="00972B73" w:rsidP="00972B73">
      <w:pPr>
        <w:pStyle w:val="Equation"/>
        <w:tabs>
          <w:tab w:val="left" w:pos="360"/>
          <w:tab w:val="left" w:pos="1170"/>
          <w:tab w:val="left" w:pos="1980"/>
        </w:tabs>
      </w:pPr>
      <w:r w:rsidRPr="00A52AB8">
        <w:t xml:space="preserve">The specifications in </w:t>
      </w:r>
      <w:r w:rsidR="00C960E8" w:rsidRPr="00496A4D">
        <w:fldChar w:fldCharType="begin"/>
      </w:r>
      <w:r w:rsidR="00C960E8" w:rsidRPr="00A52AB8">
        <w:instrText xml:space="preserve"> REF _Ref49348471 \r \h </w:instrText>
      </w:r>
      <w:r w:rsidR="00007BE2" w:rsidRPr="00A52AB8">
        <w:instrText xml:space="preserve"> \* MERGEFORMAT </w:instrText>
      </w:r>
      <w:r w:rsidR="00C960E8" w:rsidRPr="00496A4D">
        <w:fldChar w:fldCharType="separate"/>
      </w:r>
      <w:r w:rsidR="00507A67">
        <w:t>F.3.17</w:t>
      </w:r>
      <w:r w:rsidR="00C960E8" w:rsidRPr="00496A4D">
        <w:fldChar w:fldCharType="end"/>
      </w:r>
      <w:r w:rsidR="00C960E8" w:rsidRPr="00A52AB8">
        <w:t xml:space="preserve"> </w:t>
      </w:r>
      <w:r w:rsidRPr="00A52AB8">
        <w:t>apply</w:t>
      </w:r>
      <w:r w:rsidR="00855A0D" w:rsidRPr="00A52AB8">
        <w:t>.</w:t>
      </w:r>
    </w:p>
    <w:p w14:paraId="19144E63" w14:textId="77777777" w:rsidR="00972B73" w:rsidRPr="00A52AB8" w:rsidRDefault="00972B73" w:rsidP="004A7026">
      <w:pPr>
        <w:pStyle w:val="a4"/>
        <w:numPr>
          <w:ilvl w:val="3"/>
          <w:numId w:val="19"/>
        </w:numPr>
      </w:pPr>
      <w:r w:rsidRPr="00A52AB8">
        <w:t>Attribute transformation parameters SEI message semantics</w:t>
      </w:r>
    </w:p>
    <w:p w14:paraId="7744B6B1" w14:textId="73C3A39C" w:rsidR="0050235C" w:rsidRPr="00A52AB8" w:rsidRDefault="00972B73" w:rsidP="00972B73">
      <w:pPr>
        <w:rPr>
          <w:lang w:eastAsia="ja-JP"/>
        </w:rPr>
      </w:pPr>
      <w:r w:rsidRPr="00A52AB8">
        <w:rPr>
          <w:lang w:eastAsia="ja-JP"/>
        </w:rPr>
        <w:t xml:space="preserve">This SEI message provides information that </w:t>
      </w:r>
      <w:r w:rsidR="00235034" w:rsidRPr="00A52AB8">
        <w:rPr>
          <w:lang w:eastAsia="ja-JP"/>
        </w:rPr>
        <w:t xml:space="preserve">is </w:t>
      </w:r>
      <w:r w:rsidRPr="00A52AB8">
        <w:rPr>
          <w:lang w:eastAsia="ja-JP"/>
        </w:rPr>
        <w:t>relate</w:t>
      </w:r>
      <w:r w:rsidR="00235034" w:rsidRPr="00A52AB8">
        <w:rPr>
          <w:lang w:eastAsia="ja-JP"/>
        </w:rPr>
        <w:t>d</w:t>
      </w:r>
      <w:r w:rsidRPr="00A52AB8">
        <w:rPr>
          <w:lang w:eastAsia="ja-JP"/>
        </w:rPr>
        <w:t xml:space="preserve"> to attribute processing and interpretation during reconstruction.</w:t>
      </w:r>
    </w:p>
    <w:p w14:paraId="6A2FACE7" w14:textId="37D66C3C" w:rsidR="00972B73" w:rsidRPr="00A52AB8" w:rsidRDefault="00972B73" w:rsidP="00972B73">
      <w:pPr>
        <w:rPr>
          <w:sz w:val="28"/>
          <w:lang w:eastAsia="ja-JP"/>
        </w:rPr>
      </w:pPr>
      <w:r w:rsidRPr="00A52AB8">
        <w:rPr>
          <w:b/>
          <w:bCs/>
          <w:szCs w:val="20"/>
        </w:rPr>
        <w:t xml:space="preserve">atp_cancel_flag </w:t>
      </w:r>
      <w:r w:rsidRPr="00A52AB8">
        <w:rPr>
          <w:szCs w:val="20"/>
        </w:rPr>
        <w:t>equal to 1 indicates that the attribute transformation parameters SEI message cancels the persistence of any previous attribute transformation parameters SEI message in output order that applies to the current atlas</w:t>
      </w:r>
      <w:r w:rsidR="00713D8D" w:rsidRPr="00A52AB8">
        <w:rPr>
          <w:szCs w:val="20"/>
        </w:rPr>
        <w:t xml:space="preserve"> and all parameters associated with this SEI message are set to their default values</w:t>
      </w:r>
      <w:r w:rsidRPr="00A52AB8">
        <w:rPr>
          <w:szCs w:val="20"/>
        </w:rPr>
        <w:t>. atp_cancel_flag equal to 0 indicates that attribute transformation parameters information follows.</w:t>
      </w:r>
    </w:p>
    <w:p w14:paraId="42090B5C" w14:textId="77777777" w:rsidR="00972B73" w:rsidRPr="00A52AB8" w:rsidRDefault="00972B73" w:rsidP="00972B73">
      <w:pPr>
        <w:rPr>
          <w:lang w:eastAsia="ja-JP"/>
        </w:rPr>
      </w:pPr>
      <w:r w:rsidRPr="00A52AB8">
        <w:rPr>
          <w:b/>
          <w:bCs/>
          <w:lang w:eastAsia="ja-JP"/>
        </w:rPr>
        <w:t>atp_num_attribute_updates</w:t>
      </w:r>
      <w:r w:rsidRPr="00A52AB8">
        <w:rPr>
          <w:lang w:eastAsia="ja-JP"/>
        </w:rPr>
        <w:t xml:space="preserve"> indicates the number of attributes that is to be updated by the current SEI message.</w:t>
      </w:r>
    </w:p>
    <w:p w14:paraId="7005A268" w14:textId="77777777" w:rsidR="00972B73" w:rsidRPr="00A52AB8" w:rsidRDefault="00972B73" w:rsidP="00972B73">
      <w:pPr>
        <w:rPr>
          <w:lang w:eastAsia="ja-JP"/>
        </w:rPr>
      </w:pPr>
      <w:r w:rsidRPr="00A52AB8">
        <w:rPr>
          <w:b/>
          <w:bCs/>
          <w:lang w:eastAsia="ja-JP"/>
        </w:rPr>
        <w:t>atp_attribute_idx</w:t>
      </w:r>
      <w:r w:rsidRPr="00A52AB8">
        <w:rPr>
          <w:lang w:eastAsia="ja-JP"/>
        </w:rPr>
        <w:t>[ j ] indicates the attribute index of the j-th attribute that is to be updated by the current SEI message.</w:t>
      </w:r>
    </w:p>
    <w:p w14:paraId="233475C1" w14:textId="1FC8E96D" w:rsidR="00972B73" w:rsidRPr="00A52AB8" w:rsidRDefault="00972B73" w:rsidP="00972B73">
      <w:pPr>
        <w:rPr>
          <w:lang w:eastAsia="ja-JP"/>
        </w:rPr>
      </w:pPr>
      <w:r w:rsidRPr="00A52AB8">
        <w:rPr>
          <w:b/>
          <w:bCs/>
          <w:lang w:eastAsia="ja-JP"/>
        </w:rPr>
        <w:t>atp_dimension_minus1</w:t>
      </w:r>
      <w:r w:rsidRPr="00A52AB8">
        <w:rPr>
          <w:lang w:eastAsia="ja-JP"/>
        </w:rPr>
        <w:t>[ </w:t>
      </w:r>
      <w:r w:rsidR="00AF5D73" w:rsidRPr="00A52AB8">
        <w:rPr>
          <w:lang w:eastAsia="ja-JP"/>
        </w:rPr>
        <w:t>k</w:t>
      </w:r>
      <w:r w:rsidRPr="00A52AB8">
        <w:rPr>
          <w:lang w:eastAsia="ja-JP"/>
        </w:rPr>
        <w:t xml:space="preserve"> ] plus 1 indicates the number of dimensions that are expected to be associated with the attribute with index </w:t>
      </w:r>
      <w:r w:rsidR="00AF5D73" w:rsidRPr="00A52AB8">
        <w:rPr>
          <w:lang w:eastAsia="ja-JP"/>
        </w:rPr>
        <w:t>k</w:t>
      </w:r>
      <w:r w:rsidRPr="00A52AB8">
        <w:rPr>
          <w:lang w:eastAsia="ja-JP"/>
        </w:rPr>
        <w:t xml:space="preserve"> in the current bitstream.</w:t>
      </w:r>
    </w:p>
    <w:p w14:paraId="2E963E43" w14:textId="2C4FFA51" w:rsidR="00972B73" w:rsidRPr="00A52AB8" w:rsidRDefault="00972B73" w:rsidP="00972B73">
      <w:pPr>
        <w:rPr>
          <w:bCs/>
          <w:color w:val="000000" w:themeColor="text1"/>
        </w:rPr>
      </w:pPr>
      <w:r w:rsidRPr="00A52AB8">
        <w:rPr>
          <w:b/>
          <w:color w:val="000000" w:themeColor="text1"/>
        </w:rPr>
        <w:t>atp_offset_params_enabled_flag</w:t>
      </w:r>
      <w:r w:rsidRPr="00A52AB8">
        <w:rPr>
          <w:color w:val="000000" w:themeColor="text1"/>
        </w:rPr>
        <w:t>[ </w:t>
      </w:r>
      <w:r w:rsidR="00AF5D73" w:rsidRPr="00A52AB8">
        <w:rPr>
          <w:color w:val="000000" w:themeColor="text1"/>
        </w:rPr>
        <w:t>k</w:t>
      </w:r>
      <w:r w:rsidRPr="00A52AB8">
        <w:rPr>
          <w:color w:val="000000" w:themeColor="text1"/>
        </w:rPr>
        <w:t> ][ i ]</w:t>
      </w:r>
      <w:r w:rsidRPr="00A52AB8">
        <w:rPr>
          <w:b/>
          <w:color w:val="000000" w:themeColor="text1"/>
        </w:rPr>
        <w:t xml:space="preserve"> </w:t>
      </w:r>
      <w:r w:rsidRPr="00A52AB8">
        <w:rPr>
          <w:color w:val="000000" w:themeColor="text1"/>
        </w:rPr>
        <w:t>equal to 1 indicates that attribute offset parameters are present in the current atlas tile attribute parameter set</w:t>
      </w:r>
      <w:r w:rsidR="00AF5D73" w:rsidRPr="00A52AB8">
        <w:rPr>
          <w:color w:val="000000" w:themeColor="text1"/>
        </w:rPr>
        <w:t xml:space="preserve"> for the i-th dimension of the attribute with index k </w:t>
      </w:r>
      <w:r w:rsidRPr="00A52AB8">
        <w:rPr>
          <w:color w:val="000000" w:themeColor="text1"/>
        </w:rPr>
        <w:t>atp_offset_params_enabled_flag equal to</w:t>
      </w:r>
      <w:r w:rsidRPr="00A52AB8" w:rsidDel="005825D4">
        <w:rPr>
          <w:color w:val="000000" w:themeColor="text1"/>
        </w:rPr>
        <w:t xml:space="preserve"> </w:t>
      </w:r>
      <w:r w:rsidRPr="00A52AB8">
        <w:rPr>
          <w:color w:val="000000" w:themeColor="text1"/>
        </w:rPr>
        <w:t xml:space="preserve">0 indicates that attribute offset parameters are not present in the current atlas tile attribute parameter set. </w:t>
      </w:r>
      <w:r w:rsidR="00713D8D" w:rsidRPr="00A52AB8">
        <w:rPr>
          <w:color w:val="000000" w:themeColor="text1"/>
        </w:rPr>
        <w:t xml:space="preserve">The default value of </w:t>
      </w:r>
      <w:r w:rsidRPr="00A52AB8">
        <w:rPr>
          <w:color w:val="000000" w:themeColor="text1"/>
        </w:rPr>
        <w:t>atp_offset_params_enabled_flag[ </w:t>
      </w:r>
      <w:r w:rsidR="00713D8D" w:rsidRPr="00A52AB8">
        <w:rPr>
          <w:color w:val="000000" w:themeColor="text1"/>
        </w:rPr>
        <w:t>k</w:t>
      </w:r>
      <w:r w:rsidRPr="00A52AB8">
        <w:rPr>
          <w:color w:val="000000" w:themeColor="text1"/>
        </w:rPr>
        <w:t xml:space="preserve"> ][ i ] </w:t>
      </w:r>
      <w:r w:rsidR="00713D8D" w:rsidRPr="00A52AB8">
        <w:rPr>
          <w:bCs/>
          <w:color w:val="000000" w:themeColor="text1"/>
        </w:rPr>
        <w:t>is</w:t>
      </w:r>
      <w:r w:rsidRPr="00A52AB8">
        <w:rPr>
          <w:bCs/>
          <w:color w:val="000000" w:themeColor="text1"/>
        </w:rPr>
        <w:t xml:space="preserve"> equal to 0.</w:t>
      </w:r>
    </w:p>
    <w:p w14:paraId="54DF5F50" w14:textId="4FCAAEEF" w:rsidR="00972B73" w:rsidRPr="00A52AB8" w:rsidRDefault="00972B73" w:rsidP="00972B73">
      <w:pPr>
        <w:rPr>
          <w:color w:val="000000" w:themeColor="text1"/>
        </w:rPr>
      </w:pPr>
      <w:r w:rsidRPr="00A52AB8">
        <w:rPr>
          <w:b/>
          <w:color w:val="000000" w:themeColor="text1"/>
        </w:rPr>
        <w:t>atp_attribute</w:t>
      </w:r>
      <w:r w:rsidRPr="00A52AB8">
        <w:rPr>
          <w:b/>
          <w:bCs/>
          <w:color w:val="000000" w:themeColor="text1"/>
        </w:rPr>
        <w:t>_scale_minus1</w:t>
      </w:r>
      <w:r w:rsidRPr="00A52AB8">
        <w:rPr>
          <w:color w:val="000000" w:themeColor="text1"/>
        </w:rPr>
        <w:t>[ </w:t>
      </w:r>
      <w:r w:rsidR="00AF5D73" w:rsidRPr="00A52AB8">
        <w:rPr>
          <w:color w:val="000000" w:themeColor="text1"/>
        </w:rPr>
        <w:t>k </w:t>
      </w:r>
      <w:r w:rsidRPr="00A52AB8">
        <w:rPr>
          <w:color w:val="000000" w:themeColor="text1"/>
        </w:rPr>
        <w:t>]</w:t>
      </w:r>
      <w:r w:rsidRPr="00A52AB8">
        <w:rPr>
          <w:bCs/>
          <w:color w:val="000000" w:themeColor="text1"/>
        </w:rPr>
        <w:t>[ i ] plus 1 indicates the value of the scale to be applied to the values of the i</w:t>
      </w:r>
      <w:r w:rsidRPr="00A52AB8">
        <w:rPr>
          <w:bCs/>
          <w:color w:val="000000" w:themeColor="text1"/>
        </w:rPr>
        <w:noBreakHyphen/>
        <w:t xml:space="preserve">th dimension of an attribute with index </w:t>
      </w:r>
      <w:r w:rsidR="00713D8D" w:rsidRPr="00A52AB8">
        <w:rPr>
          <w:bCs/>
          <w:color w:val="000000" w:themeColor="text1"/>
        </w:rPr>
        <w:t>k</w:t>
      </w:r>
      <w:r w:rsidRPr="00A52AB8">
        <w:rPr>
          <w:rStyle w:val="fontstyle01"/>
          <w:rFonts w:ascii="Cambria" w:hAnsi="Cambria"/>
          <w:color w:val="000000" w:themeColor="text1"/>
          <w:sz w:val="22"/>
          <w:szCs w:val="22"/>
        </w:rPr>
        <w:t>. The value of atp_attribute_scale_minus1</w:t>
      </w:r>
      <w:r w:rsidRPr="00A52AB8">
        <w:rPr>
          <w:color w:val="000000" w:themeColor="text1"/>
        </w:rPr>
        <w:t>[ </w:t>
      </w:r>
      <w:r w:rsidR="00713D8D" w:rsidRPr="00A52AB8">
        <w:rPr>
          <w:color w:val="000000" w:themeColor="text1"/>
        </w:rPr>
        <w:t>k</w:t>
      </w:r>
      <w:r w:rsidRPr="00A52AB8">
        <w:rPr>
          <w:color w:val="000000" w:themeColor="text1"/>
        </w:rPr>
        <w:t> ]</w:t>
      </w:r>
      <w:r w:rsidRPr="00A52AB8">
        <w:rPr>
          <w:bCs/>
          <w:color w:val="000000" w:themeColor="text1"/>
        </w:rPr>
        <w:t>[ i ]</w:t>
      </w:r>
      <w:r w:rsidRPr="00A52AB8">
        <w:rPr>
          <w:rStyle w:val="fontstyle01"/>
          <w:rFonts w:ascii="Cambria" w:hAnsi="Cambria"/>
          <w:color w:val="000000" w:themeColor="text1"/>
          <w:sz w:val="22"/>
          <w:szCs w:val="22"/>
        </w:rPr>
        <w:t xml:space="preserve"> shall be in the range of 0 to 2</w:t>
      </w:r>
      <w:r w:rsidRPr="00A52AB8">
        <w:rPr>
          <w:rStyle w:val="fontstyle01"/>
          <w:rFonts w:ascii="Cambria" w:hAnsi="Cambria"/>
          <w:color w:val="000000" w:themeColor="text1"/>
          <w:sz w:val="22"/>
          <w:szCs w:val="22"/>
          <w:vertAlign w:val="superscript"/>
        </w:rPr>
        <w:t>32</w:t>
      </w:r>
      <w:r w:rsidRPr="00A52AB8">
        <w:rPr>
          <w:rStyle w:val="fontstyle01"/>
          <w:rFonts w:ascii="Cambria" w:hAnsi="Cambria"/>
          <w:color w:val="000000" w:themeColor="text1"/>
          <w:sz w:val="22"/>
          <w:szCs w:val="22"/>
        </w:rPr>
        <w:t> – 1, inclusive</w:t>
      </w:r>
      <w:r w:rsidRPr="00A52AB8">
        <w:rPr>
          <w:b/>
          <w:bCs/>
          <w:color w:val="000000" w:themeColor="text1"/>
        </w:rPr>
        <w:t>.</w:t>
      </w:r>
      <w:r w:rsidRPr="00A52AB8">
        <w:rPr>
          <w:color w:val="000000" w:themeColor="text1"/>
        </w:rPr>
        <w:t xml:space="preserve"> </w:t>
      </w:r>
      <w:r w:rsidR="00713D8D" w:rsidRPr="00A52AB8">
        <w:rPr>
          <w:color w:val="000000" w:themeColor="text1"/>
        </w:rPr>
        <w:t xml:space="preserve">The default value of </w:t>
      </w:r>
      <w:r w:rsidRPr="00A52AB8">
        <w:rPr>
          <w:rStyle w:val="fontstyle01"/>
          <w:rFonts w:ascii="Cambria" w:hAnsi="Cambria"/>
          <w:color w:val="000000" w:themeColor="text1"/>
          <w:sz w:val="22"/>
          <w:szCs w:val="22"/>
        </w:rPr>
        <w:t>atp_attribute_scale_minus1</w:t>
      </w:r>
      <w:r w:rsidRPr="00A52AB8">
        <w:rPr>
          <w:color w:val="000000" w:themeColor="text1"/>
        </w:rPr>
        <w:t>[ </w:t>
      </w:r>
      <w:r w:rsidR="00713D8D" w:rsidRPr="00A52AB8">
        <w:rPr>
          <w:color w:val="000000" w:themeColor="text1"/>
        </w:rPr>
        <w:t>k</w:t>
      </w:r>
      <w:r w:rsidRPr="00A52AB8">
        <w:rPr>
          <w:color w:val="000000" w:themeColor="text1"/>
        </w:rPr>
        <w:t> ]</w:t>
      </w:r>
      <w:r w:rsidRPr="00A52AB8">
        <w:rPr>
          <w:bCs/>
          <w:color w:val="000000" w:themeColor="text1"/>
        </w:rPr>
        <w:t>[ i ]</w:t>
      </w:r>
      <w:r w:rsidRPr="00A52AB8">
        <w:rPr>
          <w:color w:val="000000" w:themeColor="text1"/>
        </w:rPr>
        <w:t xml:space="preserve"> </w:t>
      </w:r>
      <w:r w:rsidR="00713D8D" w:rsidRPr="00A52AB8">
        <w:rPr>
          <w:color w:val="000000" w:themeColor="text1"/>
        </w:rPr>
        <w:t xml:space="preserve">is </w:t>
      </w:r>
      <w:r w:rsidRPr="00A52AB8">
        <w:rPr>
          <w:color w:val="000000" w:themeColor="text1"/>
        </w:rPr>
        <w:t xml:space="preserve">equal to </w:t>
      </w:r>
      <w:r w:rsidR="00713D8D" w:rsidRPr="00A52AB8">
        <w:rPr>
          <w:rStyle w:val="fontstyle01"/>
          <w:rFonts w:ascii="Cambria" w:hAnsi="Cambria"/>
          <w:color w:val="000000" w:themeColor="text1"/>
          <w:sz w:val="22"/>
          <w:szCs w:val="22"/>
        </w:rPr>
        <w:t>0</w:t>
      </w:r>
      <w:r w:rsidRPr="00A52AB8">
        <w:rPr>
          <w:color w:val="000000" w:themeColor="text1"/>
        </w:rPr>
        <w:t>.</w:t>
      </w:r>
    </w:p>
    <w:p w14:paraId="18586B23" w14:textId="64EA9C1E" w:rsidR="00972B73" w:rsidRPr="00A52AB8" w:rsidRDefault="00972B73" w:rsidP="00972B73">
      <w:pPr>
        <w:rPr>
          <w:color w:val="000000" w:themeColor="text1"/>
        </w:rPr>
      </w:pPr>
      <w:r w:rsidRPr="00A52AB8">
        <w:rPr>
          <w:b/>
          <w:color w:val="000000" w:themeColor="text1"/>
        </w:rPr>
        <w:t>atp_attribute</w:t>
      </w:r>
      <w:r w:rsidRPr="00A52AB8">
        <w:rPr>
          <w:b/>
          <w:bCs/>
          <w:color w:val="000000" w:themeColor="text1"/>
        </w:rPr>
        <w:t>_offset</w:t>
      </w:r>
      <w:r w:rsidRPr="00A52AB8">
        <w:rPr>
          <w:color w:val="000000" w:themeColor="text1"/>
        </w:rPr>
        <w:t>[ </w:t>
      </w:r>
      <w:r w:rsidR="00713D8D" w:rsidRPr="00A52AB8">
        <w:rPr>
          <w:color w:val="000000" w:themeColor="text1"/>
        </w:rPr>
        <w:t>k</w:t>
      </w:r>
      <w:r w:rsidRPr="00A52AB8">
        <w:rPr>
          <w:color w:val="000000" w:themeColor="text1"/>
        </w:rPr>
        <w:t> ]</w:t>
      </w:r>
      <w:r w:rsidRPr="00A52AB8">
        <w:rPr>
          <w:bCs/>
          <w:color w:val="000000" w:themeColor="text1"/>
        </w:rPr>
        <w:t>[ i ] indicates the value of the offset to be added to the values of the i</w:t>
      </w:r>
      <w:r w:rsidRPr="00A52AB8">
        <w:rPr>
          <w:bCs/>
          <w:color w:val="000000" w:themeColor="text1"/>
        </w:rPr>
        <w:noBreakHyphen/>
        <w:t xml:space="preserve">th dimension of an attribute </w:t>
      </w:r>
      <w:r w:rsidRPr="00A52AB8">
        <w:rPr>
          <w:color w:val="000000" w:themeColor="text1"/>
        </w:rPr>
        <w:t xml:space="preserve">with index </w:t>
      </w:r>
      <w:r w:rsidR="00713D8D" w:rsidRPr="00A52AB8">
        <w:rPr>
          <w:color w:val="000000" w:themeColor="text1"/>
        </w:rPr>
        <w:t>k</w:t>
      </w:r>
      <w:r w:rsidRPr="00A52AB8">
        <w:rPr>
          <w:rStyle w:val="fontstyle01"/>
          <w:rFonts w:ascii="Cambria" w:hAnsi="Cambria"/>
          <w:color w:val="000000" w:themeColor="text1"/>
          <w:sz w:val="22"/>
          <w:szCs w:val="22"/>
        </w:rPr>
        <w:t>. The value of atp_attribute_offset</w:t>
      </w:r>
      <w:r w:rsidRPr="00A52AB8">
        <w:rPr>
          <w:color w:val="000000" w:themeColor="text1"/>
        </w:rPr>
        <w:t>[ </w:t>
      </w:r>
      <w:r w:rsidR="00713D8D" w:rsidRPr="00A52AB8">
        <w:rPr>
          <w:color w:val="000000" w:themeColor="text1"/>
        </w:rPr>
        <w:t>k</w:t>
      </w:r>
      <w:r w:rsidRPr="00A52AB8">
        <w:rPr>
          <w:color w:val="000000" w:themeColor="text1"/>
        </w:rPr>
        <w:t> ]</w:t>
      </w:r>
      <w:r w:rsidRPr="00A52AB8">
        <w:rPr>
          <w:bCs/>
          <w:color w:val="000000" w:themeColor="text1"/>
        </w:rPr>
        <w:t>[ i ]</w:t>
      </w:r>
      <w:r w:rsidRPr="00A52AB8" w:rsidDel="00540B4F">
        <w:rPr>
          <w:rStyle w:val="fontstyle01"/>
          <w:rFonts w:ascii="Cambria" w:hAnsi="Cambria"/>
          <w:color w:val="000000" w:themeColor="text1"/>
          <w:sz w:val="22"/>
          <w:szCs w:val="22"/>
        </w:rPr>
        <w:t xml:space="preserve"> </w:t>
      </w:r>
      <w:r w:rsidRPr="00A52AB8">
        <w:rPr>
          <w:rStyle w:val="fontstyle01"/>
          <w:rFonts w:ascii="Cambria" w:hAnsi="Cambria"/>
          <w:color w:val="000000" w:themeColor="text1"/>
          <w:sz w:val="22"/>
          <w:szCs w:val="22"/>
        </w:rPr>
        <w:t>shall be in the range of −2</w:t>
      </w:r>
      <w:r w:rsidRPr="00A52AB8">
        <w:rPr>
          <w:rStyle w:val="fontstyle01"/>
          <w:rFonts w:ascii="Cambria" w:hAnsi="Cambria"/>
          <w:color w:val="000000" w:themeColor="text1"/>
          <w:sz w:val="22"/>
          <w:szCs w:val="22"/>
          <w:vertAlign w:val="superscript"/>
        </w:rPr>
        <w:t>31</w:t>
      </w:r>
      <w:r w:rsidRPr="00A52AB8">
        <w:rPr>
          <w:rStyle w:val="fontstyle01"/>
          <w:rFonts w:ascii="Cambria" w:hAnsi="Cambria"/>
          <w:color w:val="000000" w:themeColor="text1"/>
          <w:sz w:val="22"/>
          <w:szCs w:val="22"/>
        </w:rPr>
        <w:t xml:space="preserve"> to 2</w:t>
      </w:r>
      <w:r w:rsidRPr="00A52AB8">
        <w:rPr>
          <w:rStyle w:val="fontstyle01"/>
          <w:rFonts w:ascii="Cambria" w:hAnsi="Cambria"/>
          <w:color w:val="000000" w:themeColor="text1"/>
          <w:sz w:val="22"/>
          <w:szCs w:val="22"/>
          <w:vertAlign w:val="superscript"/>
        </w:rPr>
        <w:t>31</w:t>
      </w:r>
      <w:r w:rsidRPr="00A52AB8">
        <w:rPr>
          <w:rStyle w:val="fontstyle01"/>
          <w:rFonts w:ascii="Cambria" w:hAnsi="Cambria"/>
          <w:color w:val="000000" w:themeColor="text1"/>
          <w:sz w:val="22"/>
          <w:szCs w:val="22"/>
        </w:rPr>
        <w:t xml:space="preserve"> – 1, inclusive</w:t>
      </w:r>
      <w:r w:rsidRPr="00A52AB8">
        <w:rPr>
          <w:b/>
          <w:bCs/>
          <w:color w:val="000000" w:themeColor="text1"/>
        </w:rPr>
        <w:t>.</w:t>
      </w:r>
      <w:r w:rsidRPr="00A52AB8">
        <w:rPr>
          <w:color w:val="000000" w:themeColor="text1"/>
        </w:rPr>
        <w:t xml:space="preserve"> </w:t>
      </w:r>
      <w:r w:rsidR="00713D8D" w:rsidRPr="00A52AB8">
        <w:rPr>
          <w:color w:val="000000" w:themeColor="text1"/>
        </w:rPr>
        <w:t xml:space="preserve">The default value of </w:t>
      </w:r>
      <w:r w:rsidRPr="00A52AB8">
        <w:rPr>
          <w:rStyle w:val="fontstyle01"/>
          <w:rFonts w:ascii="Cambria" w:hAnsi="Cambria"/>
          <w:color w:val="000000" w:themeColor="text1"/>
          <w:sz w:val="22"/>
          <w:szCs w:val="22"/>
        </w:rPr>
        <w:t>atp_attribute_offset[ </w:t>
      </w:r>
      <w:r w:rsidR="00713D8D" w:rsidRPr="00A52AB8">
        <w:rPr>
          <w:rStyle w:val="fontstyle01"/>
          <w:rFonts w:ascii="Cambria" w:hAnsi="Cambria"/>
          <w:color w:val="000000" w:themeColor="text1"/>
          <w:sz w:val="22"/>
          <w:szCs w:val="22"/>
        </w:rPr>
        <w:t>k</w:t>
      </w:r>
      <w:r w:rsidRPr="00A52AB8">
        <w:rPr>
          <w:rStyle w:val="fontstyle01"/>
          <w:rFonts w:ascii="Cambria" w:hAnsi="Cambria"/>
          <w:color w:val="000000" w:themeColor="text1"/>
          <w:sz w:val="22"/>
          <w:szCs w:val="22"/>
        </w:rPr>
        <w:t xml:space="preserve"> ][ i ] </w:t>
      </w:r>
      <w:r w:rsidRPr="00A52AB8">
        <w:rPr>
          <w:color w:val="000000" w:themeColor="text1"/>
        </w:rPr>
        <w:t xml:space="preserve">is equal to </w:t>
      </w:r>
      <w:r w:rsidRPr="00A52AB8">
        <w:rPr>
          <w:rStyle w:val="fontstyle01"/>
          <w:rFonts w:ascii="Cambria" w:hAnsi="Cambria"/>
          <w:color w:val="000000" w:themeColor="text1"/>
          <w:sz w:val="22"/>
          <w:szCs w:val="22"/>
        </w:rPr>
        <w:t>0</w:t>
      </w:r>
      <w:r w:rsidRPr="00A52AB8">
        <w:rPr>
          <w:color w:val="000000" w:themeColor="text1"/>
        </w:rPr>
        <w:t>.</w:t>
      </w:r>
    </w:p>
    <w:p w14:paraId="1312E6D9" w14:textId="177408C9" w:rsidR="00972B73" w:rsidRPr="00A52AB8" w:rsidRDefault="00972B73" w:rsidP="00972B73">
      <w:pPr>
        <w:rPr>
          <w:color w:val="000000" w:themeColor="text1"/>
        </w:rPr>
      </w:pPr>
      <w:r w:rsidRPr="00A52AB8">
        <w:rPr>
          <w:color w:val="000000" w:themeColor="text1"/>
        </w:rPr>
        <w:t xml:space="preserve">In particular, for a point p, if the value of the i-th dimension of its attribute with index </w:t>
      </w:r>
      <w:r w:rsidR="00713D8D" w:rsidRPr="00A52AB8">
        <w:rPr>
          <w:color w:val="000000" w:themeColor="text1"/>
        </w:rPr>
        <w:t>k</w:t>
      </w:r>
      <w:r w:rsidRPr="00A52AB8">
        <w:rPr>
          <w:color w:val="000000" w:themeColor="text1"/>
        </w:rPr>
        <w:t xml:space="preserve"> is equal to attrValue, its transformed value </w:t>
      </w:r>
      <w:r w:rsidR="00B8296B" w:rsidRPr="00A52AB8">
        <w:rPr>
          <w:color w:val="000000" w:themeColor="text1"/>
        </w:rPr>
        <w:t>is</w:t>
      </w:r>
      <w:r w:rsidRPr="00A52AB8">
        <w:rPr>
          <w:color w:val="000000" w:themeColor="text1"/>
        </w:rPr>
        <w:t xml:space="preserve"> derived as follows:</w:t>
      </w:r>
    </w:p>
    <w:p w14:paraId="572ED119" w14:textId="6449245D" w:rsidR="00972B73" w:rsidRPr="00A52AB8" w:rsidRDefault="00972B73" w:rsidP="00972B73">
      <w:pPr>
        <w:rPr>
          <w:color w:val="000000" w:themeColor="text1"/>
        </w:rPr>
      </w:pPr>
      <w:r w:rsidRPr="00A52AB8">
        <w:rPr>
          <w:color w:val="000000" w:themeColor="text1"/>
        </w:rPr>
        <w:tab/>
        <w:t>transValue</w:t>
      </w:r>
      <w:r w:rsidR="00D47707" w:rsidRPr="00A52AB8">
        <w:rPr>
          <w:color w:val="000000" w:themeColor="text1"/>
        </w:rPr>
        <w:t> = </w:t>
      </w:r>
      <w:r w:rsidRPr="00A52AB8">
        <w:rPr>
          <w:color w:val="000000" w:themeColor="text1"/>
        </w:rPr>
        <w:t>( atp_attribute</w:t>
      </w:r>
      <w:r w:rsidRPr="00A52AB8">
        <w:rPr>
          <w:bCs/>
          <w:color w:val="000000" w:themeColor="text1"/>
        </w:rPr>
        <w:t>_scale_minus1</w:t>
      </w:r>
      <w:r w:rsidRPr="00A52AB8">
        <w:rPr>
          <w:color w:val="000000" w:themeColor="text1"/>
        </w:rPr>
        <w:t>[ </w:t>
      </w:r>
      <w:r w:rsidR="00713D8D" w:rsidRPr="00A52AB8">
        <w:rPr>
          <w:color w:val="000000" w:themeColor="text1"/>
        </w:rPr>
        <w:t>k</w:t>
      </w:r>
      <w:r w:rsidRPr="00A52AB8">
        <w:rPr>
          <w:color w:val="000000" w:themeColor="text1"/>
        </w:rPr>
        <w:t> ]</w:t>
      </w:r>
      <w:r w:rsidRPr="00A52AB8">
        <w:rPr>
          <w:bCs/>
          <w:color w:val="000000" w:themeColor="text1"/>
        </w:rPr>
        <w:t>[ i ] + 1 )</w:t>
      </w:r>
      <w:r w:rsidRPr="00A52AB8">
        <w:rPr>
          <w:color w:val="000000" w:themeColor="text1"/>
        </w:rPr>
        <w:t>* attrValue + atp_attribute</w:t>
      </w:r>
      <w:r w:rsidRPr="00A52AB8">
        <w:rPr>
          <w:bCs/>
          <w:color w:val="000000" w:themeColor="text1"/>
        </w:rPr>
        <w:t>_offset</w:t>
      </w:r>
      <w:r w:rsidRPr="00A52AB8">
        <w:rPr>
          <w:color w:val="000000" w:themeColor="text1"/>
        </w:rPr>
        <w:t>[ </w:t>
      </w:r>
      <w:r w:rsidR="00713D8D" w:rsidRPr="00A52AB8">
        <w:rPr>
          <w:color w:val="000000" w:themeColor="text1"/>
        </w:rPr>
        <w:t>k</w:t>
      </w:r>
      <w:r w:rsidRPr="00A52AB8">
        <w:rPr>
          <w:color w:val="000000" w:themeColor="text1"/>
        </w:rPr>
        <w:t> ]</w:t>
      </w:r>
      <w:r w:rsidRPr="00A52AB8">
        <w:rPr>
          <w:bCs/>
          <w:color w:val="000000" w:themeColor="text1"/>
        </w:rPr>
        <w:t>[ i ]</w:t>
      </w:r>
    </w:p>
    <w:p w14:paraId="3A1883C0" w14:textId="77777777" w:rsidR="00972B73" w:rsidRPr="00A52AB8" w:rsidRDefault="00972B73" w:rsidP="00972B73">
      <w:pPr>
        <w:rPr>
          <w:color w:val="000000" w:themeColor="text1"/>
        </w:rPr>
      </w:pPr>
      <w:r w:rsidRPr="00A52AB8">
        <w:rPr>
          <w:b/>
          <w:color w:val="000000" w:themeColor="text1"/>
        </w:rPr>
        <w:t xml:space="preserve">atp_persistence_flag </w:t>
      </w:r>
      <w:r w:rsidRPr="00A52AB8">
        <w:rPr>
          <w:bCs/>
          <w:color w:val="000000" w:themeColor="text1"/>
        </w:rPr>
        <w:t xml:space="preserve">specifies </w:t>
      </w:r>
      <w:r w:rsidRPr="00A52AB8">
        <w:rPr>
          <w:color w:val="000000" w:themeColor="text1"/>
        </w:rPr>
        <w:t>the persistence of the attribute transformation parameters SEI message for the current layer. atp_persistence_flag equal to 0 specifies that the attribute transformation parameters SEI message applies to the current decoded atlas frame only.</w:t>
      </w:r>
    </w:p>
    <w:p w14:paraId="59832428" w14:textId="77777777" w:rsidR="00972B73" w:rsidRPr="00A52AB8" w:rsidRDefault="00972B73" w:rsidP="00972B73">
      <w:pPr>
        <w:rPr>
          <w:color w:val="000000" w:themeColor="text1"/>
        </w:rPr>
      </w:pPr>
      <w:r w:rsidRPr="00A52AB8">
        <w:rPr>
          <w:color w:val="000000" w:themeColor="text1"/>
        </w:rPr>
        <w:t>Let aFrmA be the current atlas frame. atp_persistence_flag equal to 1 specifies that the attribute transformation parameters SEI message persists for the current layer in output order until any of the following conditions are true:</w:t>
      </w:r>
    </w:p>
    <w:p w14:paraId="170EF058" w14:textId="77777777" w:rsidR="00972B73" w:rsidRPr="00A52AB8" w:rsidRDefault="00972B7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new CAS begins.</w:t>
      </w:r>
    </w:p>
    <w:p w14:paraId="33272355" w14:textId="77777777" w:rsidR="00972B73" w:rsidRPr="00A52AB8" w:rsidRDefault="00972B7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The bitstream ends.</w:t>
      </w:r>
    </w:p>
    <w:p w14:paraId="7F8332AA" w14:textId="77777777" w:rsidR="00972B73" w:rsidRPr="00A52AB8" w:rsidRDefault="00972B7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An atlas frame aFrmB in the current layer in a coded atlas access unit containing an attribute transformation parameters SEI message, with either an atp_cancel_flag equal to 1 or the same value of atp_persistence_flag, applicable to the current layer is output for which AtlasFrmOrderCnt( aFrmB ) is greater than AtlasFrmOrderCnt( aFrmA ), where AtlasFrmOrderCnt( aFrmB ) and AtlasFrmOrderCnt( aFrmA ) are the AtlasFrmOrderCntVal values of aFrmB and aFrmA, respectively, immediately after the invocation of the decoding process for atlas frame order count for aFrmB.</w:t>
      </w:r>
    </w:p>
    <w:p w14:paraId="1F49689B" w14:textId="77777777" w:rsidR="00AA6B7F" w:rsidRPr="00A52AB8" w:rsidRDefault="00AA6B7F" w:rsidP="00AA6B7F">
      <w:pPr>
        <w:pStyle w:val="a4"/>
        <w:numPr>
          <w:ilvl w:val="3"/>
          <w:numId w:val="19"/>
        </w:numPr>
      </w:pPr>
      <w:bookmarkStart w:id="7364" w:name="_Toc49350439"/>
      <w:bookmarkStart w:id="7365" w:name="_Toc47686032"/>
      <w:bookmarkStart w:id="7366" w:name="_Toc49350633"/>
      <w:bookmarkStart w:id="7367" w:name="_Toc49350634"/>
      <w:bookmarkEnd w:id="7364"/>
      <w:bookmarkEnd w:id="7365"/>
      <w:bookmarkEnd w:id="7366"/>
      <w:bookmarkEnd w:id="7367"/>
      <w:r w:rsidRPr="00A52AB8">
        <w:t>Occupancy synthesis SEI message semantics</w:t>
      </w:r>
    </w:p>
    <w:p w14:paraId="5E3EB6FB" w14:textId="77777777" w:rsidR="00AA6B7F" w:rsidRPr="00A52AB8" w:rsidRDefault="00AA6B7F" w:rsidP="007656E5">
      <w:r w:rsidRPr="00A52AB8">
        <w:t xml:space="preserve">This SEI message specifies the recommended occupancy synthesis methods and their associated parameters that could be used to process the occupancy video frames associated with the current point cloud frame </w:t>
      </w:r>
      <w:r w:rsidR="002B3B12" w:rsidRPr="00A52AB8">
        <w:t>when the occupancy video frames are of a lower resolution than the nominal resolution of the atlas</w:t>
      </w:r>
      <w:r w:rsidRPr="00A52AB8">
        <w:t>.</w:t>
      </w:r>
    </w:p>
    <w:p w14:paraId="26FEAFA0" w14:textId="1B32A58B" w:rsidR="00AA6B7F" w:rsidRPr="00A52AB8" w:rsidRDefault="00AA6B7F" w:rsidP="007656E5">
      <w:r w:rsidRPr="00A52AB8">
        <w:t xml:space="preserve">Up to 256 different </w:t>
      </w:r>
      <w:r w:rsidR="002B3B12" w:rsidRPr="00A52AB8">
        <w:t>occupancy</w:t>
      </w:r>
      <w:r w:rsidRPr="00A52AB8">
        <w:t xml:space="preserve"> </w:t>
      </w:r>
      <w:r w:rsidR="002B3B12" w:rsidRPr="00A52AB8">
        <w:t>synthesis</w:t>
      </w:r>
      <w:r w:rsidRPr="00A52AB8">
        <w:t xml:space="preserve"> instances could be specified for use with each point cloud frame. These instances are indicated using an array </w:t>
      </w:r>
      <w:r w:rsidR="002B3B12" w:rsidRPr="00A52AB8">
        <w:t>OccupancySynthesis</w:t>
      </w:r>
      <w:r w:rsidRPr="00A52AB8">
        <w:t xml:space="preserve">Method. The </w:t>
      </w:r>
      <w:r w:rsidR="002B3B12" w:rsidRPr="00A52AB8">
        <w:t>occupancy</w:t>
      </w:r>
      <w:r w:rsidRPr="00A52AB8">
        <w:t xml:space="preserve"> </w:t>
      </w:r>
      <w:r w:rsidR="002B3B12" w:rsidRPr="00A52AB8">
        <w:t>synthesis</w:t>
      </w:r>
      <w:r w:rsidRPr="00A52AB8">
        <w:t xml:space="preserve"> instance that a decoder may select to operate in, is outside the scope of this document.</w:t>
      </w:r>
    </w:p>
    <w:p w14:paraId="13A44AF2" w14:textId="2F4DBD13" w:rsidR="00AA6B7F" w:rsidRPr="00A52AB8" w:rsidRDefault="00AA6B7F" w:rsidP="007656E5">
      <w:r w:rsidRPr="00A52AB8">
        <w:t xml:space="preserve">At the start of each sequence, let </w:t>
      </w:r>
      <w:r w:rsidR="002B3B12" w:rsidRPr="00A52AB8">
        <w:t>OccupancySynthesisMethod</w:t>
      </w:r>
      <w:r w:rsidRPr="00A52AB8">
        <w:t>[ i </w:t>
      </w:r>
      <w:r w:rsidR="00405E1E" w:rsidRPr="00A52AB8">
        <w:t>]</w:t>
      </w:r>
      <w:r w:rsidR="00D47707" w:rsidRPr="00A52AB8">
        <w:t> = </w:t>
      </w:r>
      <w:r w:rsidRPr="00A52AB8">
        <w:t xml:space="preserve">0, where i corresponds to the </w:t>
      </w:r>
      <w:r w:rsidR="002B3B12" w:rsidRPr="00A52AB8">
        <w:t>occupancy</w:t>
      </w:r>
      <w:r w:rsidRPr="00A52AB8">
        <w:t xml:space="preserve"> </w:t>
      </w:r>
      <w:r w:rsidR="002B3B12" w:rsidRPr="00A52AB8">
        <w:t>synthesis</w:t>
      </w:r>
      <w:r w:rsidRPr="00A52AB8">
        <w:t xml:space="preserve"> instance index and is in the range of 0 to 255, inclusive. When </w:t>
      </w:r>
      <w:r w:rsidR="002B3B12" w:rsidRPr="00A52AB8">
        <w:t>OccupancySynthesisMethod</w:t>
      </w:r>
      <w:r w:rsidRPr="00A52AB8">
        <w:t xml:space="preserve">[ i ] is equal to 0 it means that no </w:t>
      </w:r>
      <w:r w:rsidR="002B3B12" w:rsidRPr="00A52AB8">
        <w:t>occupancy</w:t>
      </w:r>
      <w:r w:rsidRPr="00A52AB8">
        <w:t xml:space="preserve"> </w:t>
      </w:r>
      <w:r w:rsidR="002B3B12" w:rsidRPr="00A52AB8">
        <w:t>synthesis</w:t>
      </w:r>
      <w:r w:rsidRPr="00A52AB8">
        <w:t xml:space="preserve"> </w:t>
      </w:r>
      <w:r w:rsidR="002B3B12" w:rsidRPr="00A52AB8">
        <w:t>method</w:t>
      </w:r>
      <w:r w:rsidRPr="00A52AB8">
        <w:t xml:space="preserve"> is indicated for the </w:t>
      </w:r>
      <w:r w:rsidR="002B3B12" w:rsidRPr="00A52AB8">
        <w:t>occupancy synthesis</w:t>
      </w:r>
      <w:r w:rsidRPr="00A52AB8">
        <w:t xml:space="preserve"> instance with index i.</w:t>
      </w:r>
    </w:p>
    <w:p w14:paraId="20DBD3C6" w14:textId="77777777" w:rsidR="00AA6B7F" w:rsidRPr="00A52AB8" w:rsidRDefault="002B3B12" w:rsidP="007656E5">
      <w:r w:rsidRPr="00A52AB8">
        <w:rPr>
          <w:b/>
          <w:bCs/>
        </w:rPr>
        <w:t>o</w:t>
      </w:r>
      <w:r w:rsidR="00AA6B7F" w:rsidRPr="00A52AB8">
        <w:rPr>
          <w:b/>
          <w:bCs/>
        </w:rPr>
        <w:t xml:space="preserve">s_persistence_flag </w:t>
      </w:r>
      <w:r w:rsidR="00AA6B7F" w:rsidRPr="00A52AB8">
        <w:t xml:space="preserve">specifies the persistence of the </w:t>
      </w:r>
      <w:r w:rsidRPr="00A52AB8">
        <w:t>occupancy</w:t>
      </w:r>
      <w:r w:rsidR="00AA6B7F" w:rsidRPr="00A52AB8">
        <w:t xml:space="preserve"> </w:t>
      </w:r>
      <w:r w:rsidRPr="00A52AB8">
        <w:t>synthesis</w:t>
      </w:r>
      <w:r w:rsidR="00AA6B7F" w:rsidRPr="00A52AB8">
        <w:t xml:space="preserve"> SEI message for the current layer. </w:t>
      </w:r>
      <w:r w:rsidRPr="00A52AB8">
        <w:t>o</w:t>
      </w:r>
      <w:r w:rsidR="00AA6B7F" w:rsidRPr="00A52AB8">
        <w:t xml:space="preserve">s_persistence_flag equal to 0 specifies that the </w:t>
      </w:r>
      <w:r w:rsidRPr="00A52AB8">
        <w:t>occupancy synthesis</w:t>
      </w:r>
      <w:r w:rsidR="00AA6B7F" w:rsidRPr="00A52AB8">
        <w:t xml:space="preserve"> SEI message applies to the current decoded atlas frame only.</w:t>
      </w:r>
    </w:p>
    <w:p w14:paraId="2C580CB3" w14:textId="77777777" w:rsidR="00AA6B7F" w:rsidRPr="00A52AB8" w:rsidRDefault="00AA6B7F" w:rsidP="007656E5">
      <w:r w:rsidRPr="00A52AB8">
        <w:t xml:space="preserve">Let aFrmA be the current atlas frame. </w:t>
      </w:r>
      <w:r w:rsidR="002B3B12" w:rsidRPr="00A52AB8">
        <w:t>o</w:t>
      </w:r>
      <w:r w:rsidRPr="00A52AB8">
        <w:t xml:space="preserve">s_persistence_flag equal to 1 specifies that the </w:t>
      </w:r>
      <w:r w:rsidR="002B3B12" w:rsidRPr="00A52AB8">
        <w:t>occupancy synthesis</w:t>
      </w:r>
      <w:r w:rsidRPr="00A52AB8">
        <w:t xml:space="preserve"> SEI message persists for the current layer in output order until any of the following conditions are true:</w:t>
      </w:r>
    </w:p>
    <w:p w14:paraId="48EC0A97" w14:textId="6D8E2A40" w:rsidR="00AA6B7F" w:rsidRPr="00A52AB8" w:rsidRDefault="00AA6B7F"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new CAS begins.</w:t>
      </w:r>
    </w:p>
    <w:p w14:paraId="225F1B59" w14:textId="77777777" w:rsidR="00AA6B7F" w:rsidRPr="00A52AB8" w:rsidRDefault="00AA6B7F"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The bitstream ends.</w:t>
      </w:r>
    </w:p>
    <w:p w14:paraId="3D6871F4" w14:textId="1D1D1787" w:rsidR="00405E1E" w:rsidRPr="00A52AB8" w:rsidRDefault="00405E1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An atlas frame aFrmB in the current layer in a coded atlas access unit containing a</w:t>
      </w:r>
      <w:r w:rsidR="00977728" w:rsidRPr="00A52AB8">
        <w:rPr>
          <w:color w:val="000000" w:themeColor="text1"/>
        </w:rPr>
        <w:t>n</w:t>
      </w:r>
      <w:r w:rsidRPr="00A52AB8">
        <w:rPr>
          <w:color w:val="000000" w:themeColor="text1"/>
        </w:rPr>
        <w:t xml:space="preserve"> occupancy synthesis SEI message with the same value of os_persistence_flag and applicable to the current layer is output for which AtlasFrmOrderCnt( aFrmB ) is greater than AtlasFrmOrderCnt( aFrmA ), where AtlasFrmOrderCnt( aFrmB ) and AtlasFrmOrderCnt( aFrmA ) are the AtlasFrmOrderCntVal values of aFrmB and aFrmA, respectively, immediately after the invocation of the decoding process for atlas frame order count for aFrmB.</w:t>
      </w:r>
    </w:p>
    <w:p w14:paraId="7F51DEF3" w14:textId="2E88DE99" w:rsidR="0050235C" w:rsidRPr="00A52AB8" w:rsidRDefault="002B3B12" w:rsidP="007656E5">
      <w:r w:rsidRPr="00A52AB8">
        <w:rPr>
          <w:b/>
          <w:bCs/>
        </w:rPr>
        <w:t>o</w:t>
      </w:r>
      <w:r w:rsidR="00AA6B7F" w:rsidRPr="00A52AB8">
        <w:rPr>
          <w:b/>
          <w:bCs/>
        </w:rPr>
        <w:t xml:space="preserve">s_reset_flag </w:t>
      </w:r>
      <w:r w:rsidR="00AA6B7F" w:rsidRPr="00A52AB8">
        <w:t xml:space="preserve">equal to 1 resets all entries in the array </w:t>
      </w:r>
      <w:r w:rsidRPr="00A52AB8">
        <w:t xml:space="preserve">OccupancySynthesisMethod </w:t>
      </w:r>
      <w:r w:rsidR="00AA6B7F" w:rsidRPr="00A52AB8">
        <w:t>to 0</w:t>
      </w:r>
      <w:r w:rsidR="006E353C" w:rsidRPr="00A52AB8">
        <w:t xml:space="preserve"> and all parameters associated with this SEI to their default values</w:t>
      </w:r>
      <w:r w:rsidR="00AA6B7F" w:rsidRPr="00A52AB8">
        <w:t>.</w:t>
      </w:r>
    </w:p>
    <w:p w14:paraId="5B63B75C" w14:textId="77777777" w:rsidR="0050235C" w:rsidRPr="00A52AB8" w:rsidRDefault="002B3B12" w:rsidP="007656E5">
      <w:r w:rsidRPr="00A52AB8">
        <w:rPr>
          <w:b/>
          <w:bCs/>
        </w:rPr>
        <w:t>o</w:t>
      </w:r>
      <w:r w:rsidR="00AA6B7F" w:rsidRPr="00A52AB8">
        <w:rPr>
          <w:b/>
          <w:bCs/>
        </w:rPr>
        <w:t>s_instances_updated</w:t>
      </w:r>
      <w:r w:rsidR="00AA6B7F" w:rsidRPr="00A52AB8">
        <w:t xml:space="preserve"> specifies the number of </w:t>
      </w:r>
      <w:r w:rsidRPr="00A52AB8">
        <w:t>occupancy synthesis</w:t>
      </w:r>
      <w:r w:rsidR="00AA6B7F" w:rsidRPr="00A52AB8">
        <w:t xml:space="preserve"> instances that will be updated in the current </w:t>
      </w:r>
      <w:r w:rsidRPr="00A52AB8">
        <w:t>occupancy synthesis</w:t>
      </w:r>
      <w:r w:rsidR="00AA6B7F" w:rsidRPr="00A52AB8">
        <w:t xml:space="preserve"> SEI message.</w:t>
      </w:r>
    </w:p>
    <w:p w14:paraId="1C773561" w14:textId="02E30C83" w:rsidR="00AA6B7F" w:rsidRPr="00A52AB8" w:rsidRDefault="002B3B12" w:rsidP="007656E5">
      <w:r w:rsidRPr="00A52AB8">
        <w:rPr>
          <w:b/>
          <w:bCs/>
        </w:rPr>
        <w:t>o</w:t>
      </w:r>
      <w:r w:rsidR="00AA6B7F" w:rsidRPr="00A52AB8">
        <w:rPr>
          <w:b/>
          <w:bCs/>
        </w:rPr>
        <w:t>s_instance_index</w:t>
      </w:r>
      <w:r w:rsidR="00AA6B7F" w:rsidRPr="00A52AB8">
        <w:t xml:space="preserve">[ i ] indicates the i-th </w:t>
      </w:r>
      <w:r w:rsidRPr="00A52AB8">
        <w:t>occupancy synthesis</w:t>
      </w:r>
      <w:r w:rsidR="00AA6B7F" w:rsidRPr="00A52AB8">
        <w:t xml:space="preserve"> instance index in the array </w:t>
      </w:r>
      <w:r w:rsidRPr="00A52AB8">
        <w:t xml:space="preserve">OccupancySynthesisMethod </w:t>
      </w:r>
      <w:r w:rsidR="00AA6B7F" w:rsidRPr="00A52AB8">
        <w:t>that is to be updated by the current SEI message.</w:t>
      </w:r>
    </w:p>
    <w:p w14:paraId="509DF60A" w14:textId="6504E63D" w:rsidR="0050235C" w:rsidRPr="00A52AB8" w:rsidRDefault="002B3B12" w:rsidP="007656E5">
      <w:r w:rsidRPr="00A52AB8">
        <w:rPr>
          <w:b/>
          <w:bCs/>
        </w:rPr>
        <w:t>o</w:t>
      </w:r>
      <w:r w:rsidR="00AA6B7F" w:rsidRPr="00A52AB8">
        <w:rPr>
          <w:b/>
          <w:bCs/>
        </w:rPr>
        <w:t>s_instance_cancel_flag</w:t>
      </w:r>
      <w:r w:rsidR="004B7314" w:rsidRPr="00A52AB8">
        <w:t>[ k ]</w:t>
      </w:r>
      <w:r w:rsidR="00AA6B7F" w:rsidRPr="00A52AB8">
        <w:rPr>
          <w:b/>
          <w:bCs/>
        </w:rPr>
        <w:t xml:space="preserve"> </w:t>
      </w:r>
      <w:r w:rsidR="00AA6B7F" w:rsidRPr="00A52AB8">
        <w:t xml:space="preserve">equal to 1 indicates that the value of </w:t>
      </w:r>
      <w:r w:rsidRPr="00A52AB8">
        <w:t>OccupancySynthesisMethod</w:t>
      </w:r>
      <w:r w:rsidR="004B7314" w:rsidRPr="00A52AB8">
        <w:t>[ k ]</w:t>
      </w:r>
      <w:r w:rsidR="00AA6B7F" w:rsidRPr="00A52AB8">
        <w:t xml:space="preserve"> </w:t>
      </w:r>
      <w:r w:rsidR="006E353C" w:rsidRPr="00A52AB8">
        <w:t xml:space="preserve">and all parameters associated with </w:t>
      </w:r>
      <w:r w:rsidR="00AA6B7F" w:rsidRPr="00A52AB8">
        <w:t xml:space="preserve">the </w:t>
      </w:r>
      <w:r w:rsidRPr="00A52AB8">
        <w:t>occupancy synthesis</w:t>
      </w:r>
      <w:r w:rsidR="00AA6B7F" w:rsidRPr="00A52AB8">
        <w:t xml:space="preserve"> instance with index k should be set to 0</w:t>
      </w:r>
      <w:r w:rsidR="004C2BF5" w:rsidRPr="00A52AB8">
        <w:t xml:space="preserve"> </w:t>
      </w:r>
      <w:r w:rsidR="004C2BF5" w:rsidRPr="00A52AB8">
        <w:rPr>
          <w:szCs w:val="20"/>
        </w:rPr>
        <w:t>and to their default values</w:t>
      </w:r>
      <w:r w:rsidR="006E353C" w:rsidRPr="00A52AB8">
        <w:rPr>
          <w:szCs w:val="20"/>
        </w:rPr>
        <w:t>, respectively</w:t>
      </w:r>
      <w:r w:rsidR="00AA6B7F" w:rsidRPr="00A52AB8">
        <w:t>.</w:t>
      </w:r>
    </w:p>
    <w:p w14:paraId="6771F2D9" w14:textId="276B11D7" w:rsidR="00AA6B7F" w:rsidRPr="00A52AB8" w:rsidRDefault="002B3B12" w:rsidP="007656E5">
      <w:pPr>
        <w:tabs>
          <w:tab w:val="left" w:pos="5490"/>
        </w:tabs>
      </w:pPr>
      <w:r w:rsidRPr="00A52AB8">
        <w:rPr>
          <w:b/>
          <w:bCs/>
        </w:rPr>
        <w:t>o</w:t>
      </w:r>
      <w:r w:rsidR="00AA6B7F" w:rsidRPr="00A52AB8">
        <w:rPr>
          <w:b/>
          <w:bCs/>
        </w:rPr>
        <w:t>s_method_type</w:t>
      </w:r>
      <w:r w:rsidR="004B7314" w:rsidRPr="00A52AB8">
        <w:t>[ k ]</w:t>
      </w:r>
      <w:r w:rsidR="00AA6B7F" w:rsidRPr="00A52AB8">
        <w:rPr>
          <w:b/>
          <w:bCs/>
        </w:rPr>
        <w:t xml:space="preserve"> </w:t>
      </w:r>
      <w:r w:rsidR="00AA6B7F" w:rsidRPr="00A52AB8">
        <w:t xml:space="preserve">indicates the </w:t>
      </w:r>
      <w:r w:rsidRPr="00A52AB8">
        <w:t>occupancy synthesis</w:t>
      </w:r>
      <w:r w:rsidR="00AA6B7F" w:rsidRPr="00A52AB8">
        <w:t xml:space="preserve"> method</w:t>
      </w:r>
      <w:r w:rsidR="004C2BF5" w:rsidRPr="00A52AB8">
        <w:t>, OccupancySynthesisMethod[ k ],</w:t>
      </w:r>
      <w:r w:rsidR="00AA6B7F" w:rsidRPr="00A52AB8">
        <w:t xml:space="preserve"> that can be used for processing the current point cloud frame as specified i</w:t>
      </w:r>
      <w:r w:rsidR="006E73E9" w:rsidRPr="00A52AB8">
        <w:t xml:space="preserve">n </w:t>
      </w:r>
      <w:r w:rsidR="00FE0CF6" w:rsidRPr="00496A4D">
        <w:fldChar w:fldCharType="begin"/>
      </w:r>
      <w:r w:rsidR="00FE0CF6" w:rsidRPr="00A52AB8">
        <w:instrText xml:space="preserve"> REF _Ref46498354 \h </w:instrText>
      </w:r>
      <w:r w:rsidR="006371AA" w:rsidRPr="00A52AB8">
        <w:instrText xml:space="preserve"> \* MERGEFORMAT </w:instrText>
      </w:r>
      <w:r w:rsidR="00FE0CF6" w:rsidRPr="00496A4D">
        <w:fldChar w:fldCharType="separate"/>
      </w:r>
      <w:r w:rsidR="00507A67" w:rsidRPr="00507A67">
        <w:t>Table H-6</w:t>
      </w:r>
      <w:r w:rsidR="00FE0CF6" w:rsidRPr="00496A4D">
        <w:fldChar w:fldCharType="end"/>
      </w:r>
      <w:r w:rsidR="00602CC1" w:rsidRPr="00A52AB8">
        <w:t xml:space="preserve"> </w:t>
      </w:r>
      <w:r w:rsidR="00AA6B7F" w:rsidRPr="00A52AB8">
        <w:t xml:space="preserve">for </w:t>
      </w:r>
      <w:r w:rsidRPr="00A52AB8">
        <w:t>occupancy synthesis</w:t>
      </w:r>
      <w:r w:rsidR="00AA6B7F" w:rsidRPr="00A52AB8">
        <w:t xml:space="preserve"> instance with index k.</w:t>
      </w:r>
    </w:p>
    <w:p w14:paraId="197E4D65" w14:textId="45B29694" w:rsidR="00AA6B7F" w:rsidRPr="00496A4D" w:rsidRDefault="00AA6B7F" w:rsidP="00AA6B7F">
      <w:pPr>
        <w:pStyle w:val="Caption"/>
        <w:rPr>
          <w:rStyle w:val="CaptionChar1"/>
          <w:b/>
          <w:bCs w:val="0"/>
          <w:lang w:val="en-CA"/>
        </w:rPr>
      </w:pPr>
      <w:bookmarkStart w:id="7368" w:name="_Ref46498354"/>
      <w:bookmarkStart w:id="7369" w:name="_Ref46498343"/>
      <w:r w:rsidRPr="00A52AB8">
        <w:rPr>
          <w:rStyle w:val="CaptionChar1"/>
          <w:b/>
          <w:bCs w:val="0"/>
          <w:lang w:val="en-CA"/>
        </w:rPr>
        <w:t xml:space="preserve">Table </w:t>
      </w:r>
      <w:r w:rsidR="00FE0CF6" w:rsidRPr="00A52AB8">
        <w:rPr>
          <w:rStyle w:val="CaptionChar1"/>
          <w:b/>
          <w:bCs w:val="0"/>
          <w:lang w:val="en-CA"/>
        </w:rPr>
        <w:t>H</w:t>
      </w:r>
      <w:r w:rsidR="006E73E9" w:rsidRPr="00A52AB8">
        <w:rPr>
          <w:rStyle w:val="CaptionChar1"/>
          <w:b/>
          <w:bCs w:val="0"/>
          <w:lang w:val="en-CA"/>
        </w:rPr>
        <w:t>-</w:t>
      </w:r>
      <w:r w:rsidRPr="00496A4D">
        <w:rPr>
          <w:rStyle w:val="CaptionChar1"/>
          <w:b/>
          <w:bCs w:val="0"/>
          <w:lang w:val="en-CA"/>
        </w:rPr>
        <w:fldChar w:fldCharType="begin"/>
      </w:r>
      <w:r w:rsidRPr="00A52AB8">
        <w:rPr>
          <w:rStyle w:val="CaptionChar1"/>
          <w:b/>
          <w:bCs w:val="0"/>
          <w:lang w:val="en-CA"/>
        </w:rPr>
        <w:instrText xml:space="preserve"> SEQ Table \* ARABIC \s 1 </w:instrText>
      </w:r>
      <w:r w:rsidRPr="00496A4D">
        <w:rPr>
          <w:rStyle w:val="CaptionChar1"/>
          <w:b/>
          <w:bCs w:val="0"/>
          <w:lang w:val="en-CA"/>
        </w:rPr>
        <w:fldChar w:fldCharType="separate"/>
      </w:r>
      <w:r w:rsidR="00507A67">
        <w:rPr>
          <w:rStyle w:val="CaptionChar1"/>
          <w:b/>
          <w:bCs w:val="0"/>
          <w:noProof/>
          <w:lang w:val="en-CA"/>
        </w:rPr>
        <w:t>6</w:t>
      </w:r>
      <w:r w:rsidRPr="00496A4D">
        <w:rPr>
          <w:rStyle w:val="CaptionChar1"/>
          <w:b/>
          <w:bCs w:val="0"/>
          <w:lang w:val="en-CA"/>
        </w:rPr>
        <w:fldChar w:fldCharType="end"/>
      </w:r>
      <w:bookmarkEnd w:id="7368"/>
      <w:r w:rsidR="00B00E27" w:rsidRPr="00A52AB8">
        <w:rPr>
          <w:rStyle w:val="CaptionChar1"/>
          <w:b/>
          <w:bCs w:val="0"/>
          <w:lang w:val="en-CA"/>
        </w:rPr>
        <w:t> – </w:t>
      </w:r>
      <w:r w:rsidRPr="00A52AB8">
        <w:rPr>
          <w:rStyle w:val="CaptionChar1"/>
          <w:b/>
          <w:bCs w:val="0"/>
          <w:lang w:val="en-CA"/>
        </w:rPr>
        <w:t xml:space="preserve">Definition of </w:t>
      </w:r>
      <w:r w:rsidR="001604D1" w:rsidRPr="00A52AB8">
        <w:rPr>
          <w:rStyle w:val="CaptionChar1"/>
          <w:b/>
          <w:bCs w:val="0"/>
          <w:lang w:val="en-CA"/>
        </w:rPr>
        <w:t>o</w:t>
      </w:r>
      <w:r w:rsidRPr="00A52AB8">
        <w:rPr>
          <w:rStyle w:val="CaptionChar1"/>
          <w:b/>
          <w:bCs w:val="0"/>
          <w:lang w:val="en-CA"/>
        </w:rPr>
        <w:t>s_method_type</w:t>
      </w:r>
      <w:bookmarkEnd w:id="7369"/>
      <w:r w:rsidR="004B7314" w:rsidRPr="00A52AB8">
        <w:rPr>
          <w:rStyle w:val="CaptionChar1"/>
          <w:b/>
          <w:bCs w:val="0"/>
          <w:lang w:val="en-CA"/>
        </w:rPr>
        <w:t>[ k ]</w:t>
      </w:r>
    </w:p>
    <w:tbl>
      <w:tblPr>
        <w:tblStyle w:val="TableGrid"/>
        <w:tblW w:w="0" w:type="auto"/>
        <w:jc w:val="center"/>
        <w:tblLook w:val="04A0" w:firstRow="1" w:lastRow="0" w:firstColumn="1" w:lastColumn="0" w:noHBand="0" w:noVBand="1"/>
      </w:tblPr>
      <w:tblGrid>
        <w:gridCol w:w="790"/>
        <w:gridCol w:w="4188"/>
      </w:tblGrid>
      <w:tr w:rsidR="00AA6B7F" w:rsidRPr="00A52AB8" w14:paraId="43F6C3BC" w14:textId="77777777" w:rsidTr="00CB0225">
        <w:trPr>
          <w:jc w:val="center"/>
        </w:trPr>
        <w:tc>
          <w:tcPr>
            <w:tcW w:w="0" w:type="auto"/>
          </w:tcPr>
          <w:p w14:paraId="1D6BD803" w14:textId="77777777" w:rsidR="00AA6B7F" w:rsidRPr="00A52AB8" w:rsidRDefault="00AA6B7F" w:rsidP="00CB0225">
            <w:pPr>
              <w:tabs>
                <w:tab w:val="left" w:pos="5490"/>
              </w:tabs>
              <w:spacing w:before="120" w:after="120"/>
              <w:jc w:val="center"/>
              <w:rPr>
                <w:b/>
                <w:bCs/>
              </w:rPr>
            </w:pPr>
            <w:r w:rsidRPr="00A52AB8">
              <w:rPr>
                <w:b/>
                <w:bCs/>
              </w:rPr>
              <w:t>Value</w:t>
            </w:r>
          </w:p>
        </w:tc>
        <w:tc>
          <w:tcPr>
            <w:tcW w:w="0" w:type="auto"/>
          </w:tcPr>
          <w:p w14:paraId="4D4AA708" w14:textId="77777777" w:rsidR="00AA6B7F" w:rsidRPr="00A52AB8" w:rsidRDefault="00AA6B7F" w:rsidP="00CB0225">
            <w:pPr>
              <w:tabs>
                <w:tab w:val="left" w:pos="5490"/>
              </w:tabs>
              <w:spacing w:before="120" w:after="120"/>
              <w:jc w:val="center"/>
              <w:rPr>
                <w:b/>
                <w:bCs/>
              </w:rPr>
            </w:pPr>
            <w:r w:rsidRPr="00A52AB8">
              <w:rPr>
                <w:b/>
                <w:bCs/>
              </w:rPr>
              <w:t>Interpretation</w:t>
            </w:r>
          </w:p>
        </w:tc>
      </w:tr>
      <w:tr w:rsidR="00AA6B7F" w:rsidRPr="00A52AB8" w14:paraId="5FAB2AD9" w14:textId="77777777" w:rsidTr="00CB0225">
        <w:trPr>
          <w:jc w:val="center"/>
        </w:trPr>
        <w:tc>
          <w:tcPr>
            <w:tcW w:w="0" w:type="auto"/>
          </w:tcPr>
          <w:p w14:paraId="6CBFD75D" w14:textId="77777777" w:rsidR="00AA6B7F" w:rsidRPr="00A52AB8" w:rsidRDefault="00AA6B7F" w:rsidP="00CB0225">
            <w:pPr>
              <w:tabs>
                <w:tab w:val="left" w:pos="5490"/>
              </w:tabs>
              <w:spacing w:before="120" w:after="120"/>
              <w:jc w:val="center"/>
            </w:pPr>
            <w:r w:rsidRPr="00A52AB8">
              <w:t>0</w:t>
            </w:r>
          </w:p>
        </w:tc>
        <w:tc>
          <w:tcPr>
            <w:tcW w:w="0" w:type="auto"/>
          </w:tcPr>
          <w:p w14:paraId="16B60359" w14:textId="77777777" w:rsidR="00AA6B7F" w:rsidRPr="00A52AB8" w:rsidRDefault="00AA6B7F" w:rsidP="00CB0225">
            <w:pPr>
              <w:tabs>
                <w:tab w:val="left" w:pos="5490"/>
              </w:tabs>
              <w:spacing w:before="120" w:after="120"/>
              <w:jc w:val="center"/>
            </w:pPr>
            <w:r w:rsidRPr="00A52AB8">
              <w:t xml:space="preserve">No </w:t>
            </w:r>
            <w:r w:rsidR="002B3B12" w:rsidRPr="00A52AB8">
              <w:t>occupancy synthesis / Pixel replication</w:t>
            </w:r>
          </w:p>
        </w:tc>
      </w:tr>
      <w:tr w:rsidR="00AA6B7F" w:rsidRPr="00A52AB8" w14:paraId="5EB592D0" w14:textId="77777777" w:rsidTr="00CB0225">
        <w:trPr>
          <w:jc w:val="center"/>
        </w:trPr>
        <w:tc>
          <w:tcPr>
            <w:tcW w:w="0" w:type="auto"/>
          </w:tcPr>
          <w:p w14:paraId="4497A58B" w14:textId="77777777" w:rsidR="00AA6B7F" w:rsidRPr="00A52AB8" w:rsidRDefault="002B3B12" w:rsidP="00CB0225">
            <w:pPr>
              <w:tabs>
                <w:tab w:val="left" w:pos="5490"/>
              </w:tabs>
              <w:spacing w:before="120" w:after="120"/>
              <w:jc w:val="center"/>
            </w:pPr>
            <w:r w:rsidRPr="00A52AB8">
              <w:t>1</w:t>
            </w:r>
          </w:p>
        </w:tc>
        <w:tc>
          <w:tcPr>
            <w:tcW w:w="0" w:type="auto"/>
          </w:tcPr>
          <w:p w14:paraId="08B68FC1" w14:textId="77777777" w:rsidR="00AA6B7F" w:rsidRPr="00A52AB8" w:rsidRDefault="00AA6B7F" w:rsidP="00CB0225">
            <w:pPr>
              <w:tabs>
                <w:tab w:val="left" w:pos="5490"/>
              </w:tabs>
              <w:spacing w:before="120" w:after="120"/>
              <w:jc w:val="center"/>
            </w:pPr>
            <w:r w:rsidRPr="00A52AB8">
              <w:t>Patch border filtering</w:t>
            </w:r>
          </w:p>
        </w:tc>
      </w:tr>
      <w:tr w:rsidR="00AA6B7F" w:rsidRPr="00A52AB8" w14:paraId="7A990128" w14:textId="77777777" w:rsidTr="00CB0225">
        <w:trPr>
          <w:jc w:val="center"/>
        </w:trPr>
        <w:tc>
          <w:tcPr>
            <w:tcW w:w="0" w:type="auto"/>
          </w:tcPr>
          <w:p w14:paraId="76CE1C23" w14:textId="77777777" w:rsidR="00AA6B7F" w:rsidRPr="00A52AB8" w:rsidRDefault="002B3B12">
            <w:pPr>
              <w:tabs>
                <w:tab w:val="left" w:pos="5490"/>
              </w:tabs>
              <w:spacing w:before="120" w:after="120"/>
              <w:jc w:val="center"/>
            </w:pPr>
            <w:r w:rsidRPr="00A52AB8">
              <w:t>2</w:t>
            </w:r>
            <w:r w:rsidR="00AA6B7F" w:rsidRPr="00A52AB8">
              <w:t>-</w:t>
            </w:r>
          </w:p>
        </w:tc>
        <w:tc>
          <w:tcPr>
            <w:tcW w:w="0" w:type="auto"/>
          </w:tcPr>
          <w:p w14:paraId="5C1A5E1A" w14:textId="77777777" w:rsidR="00AA6B7F" w:rsidRPr="00A52AB8" w:rsidRDefault="00AA6B7F" w:rsidP="00CB0225">
            <w:pPr>
              <w:tabs>
                <w:tab w:val="left" w:pos="5490"/>
              </w:tabs>
              <w:spacing w:before="120" w:after="120"/>
              <w:jc w:val="center"/>
            </w:pPr>
            <w:r w:rsidRPr="00A52AB8">
              <w:t>Reserved</w:t>
            </w:r>
          </w:p>
        </w:tc>
      </w:tr>
    </w:tbl>
    <w:p w14:paraId="5ACE4315" w14:textId="32D13222" w:rsidR="00AA6B7F" w:rsidRPr="00A52AB8" w:rsidRDefault="00AA6B7F" w:rsidP="007656E5">
      <w:pPr>
        <w:tabs>
          <w:tab w:val="left" w:pos="5490"/>
        </w:tabs>
        <w:spacing w:before="120"/>
      </w:pPr>
      <w:r w:rsidRPr="00A52AB8">
        <w:t xml:space="preserve">Values of </w:t>
      </w:r>
      <w:r w:rsidR="002B3B12" w:rsidRPr="00A52AB8">
        <w:t>o</w:t>
      </w:r>
      <w:r w:rsidRPr="00A52AB8">
        <w:t>s_method_type</w:t>
      </w:r>
      <w:r w:rsidR="004B7314" w:rsidRPr="00A52AB8">
        <w:t>[ k ]</w:t>
      </w:r>
      <w:r w:rsidRPr="00A52AB8">
        <w:t xml:space="preserve"> </w:t>
      </w:r>
      <w:r w:rsidR="00602CC1" w:rsidRPr="00A52AB8">
        <w:t>greater than 1</w:t>
      </w:r>
      <w:r w:rsidRPr="00A52AB8">
        <w:t xml:space="preserve"> are reserved for future use by ISO/IEC. It is a requirement of bitstream conformance that bitstreams conforming to this version of this document shall not contain such values of </w:t>
      </w:r>
      <w:r w:rsidR="002B3B12" w:rsidRPr="00A52AB8">
        <w:t>o</w:t>
      </w:r>
      <w:r w:rsidRPr="00A52AB8">
        <w:t>s_method_type</w:t>
      </w:r>
      <w:r w:rsidR="004B7314" w:rsidRPr="00A52AB8">
        <w:t>[ k ]</w:t>
      </w:r>
      <w:r w:rsidRPr="00A52AB8">
        <w:t xml:space="preserve">. Decoders shall ignore </w:t>
      </w:r>
      <w:r w:rsidR="002B3B12" w:rsidRPr="00A52AB8">
        <w:t>occupancy synthesis</w:t>
      </w:r>
      <w:r w:rsidRPr="00A52AB8">
        <w:t xml:space="preserve"> SEI messages that contain reserved values of </w:t>
      </w:r>
      <w:r w:rsidR="002B3B12" w:rsidRPr="00A52AB8">
        <w:t>o</w:t>
      </w:r>
      <w:r w:rsidRPr="00A52AB8">
        <w:t>s_method_type</w:t>
      </w:r>
      <w:r w:rsidR="004B7314" w:rsidRPr="00A52AB8">
        <w:t>[ k ]</w:t>
      </w:r>
      <w:r w:rsidRPr="00A52AB8">
        <w:t>.</w:t>
      </w:r>
      <w:r w:rsidR="004C2BF5" w:rsidRPr="00A52AB8">
        <w:t xml:space="preserve"> The default value of os_method_type[ k ] is equal to 0.</w:t>
      </w:r>
    </w:p>
    <w:p w14:paraId="1A27091E" w14:textId="77777777" w:rsidR="004C2BF5" w:rsidRPr="00A52AB8" w:rsidRDefault="002B3B12">
      <w:pPr>
        <w:rPr>
          <w:rFonts w:eastAsia="Times New Roman"/>
          <w:bCs/>
          <w:color w:val="000000"/>
        </w:rPr>
      </w:pPr>
      <w:r w:rsidRPr="00A52AB8">
        <w:rPr>
          <w:rFonts w:eastAsia="Times New Roman"/>
          <w:b/>
          <w:color w:val="000000"/>
        </w:rPr>
        <w:t>o</w:t>
      </w:r>
      <w:r w:rsidR="00AA6B7F" w:rsidRPr="00A52AB8">
        <w:rPr>
          <w:rFonts w:eastAsia="Times New Roman"/>
          <w:b/>
          <w:color w:val="000000"/>
        </w:rPr>
        <w:t>s_log2_threshold_minus1</w:t>
      </w:r>
      <w:r w:rsidR="004B7314" w:rsidRPr="00A52AB8">
        <w:rPr>
          <w:rFonts w:eastAsia="Times New Roman"/>
          <w:bCs/>
          <w:color w:val="000000"/>
        </w:rPr>
        <w:t>[ k ]</w:t>
      </w:r>
      <w:r w:rsidR="00AA6B7F" w:rsidRPr="00A52AB8">
        <w:rPr>
          <w:rFonts w:eastAsia="Times New Roman"/>
          <w:bCs/>
          <w:color w:val="000000"/>
        </w:rPr>
        <w:t xml:space="preserve"> specifies the value of the variable PbfThreshold</w:t>
      </w:r>
      <w:r w:rsidR="004B7314" w:rsidRPr="00A52AB8">
        <w:rPr>
          <w:rFonts w:eastAsia="Times New Roman"/>
          <w:bCs/>
          <w:color w:val="000000"/>
        </w:rPr>
        <w:t>[ k ]</w:t>
      </w:r>
      <w:r w:rsidR="00AA6B7F" w:rsidRPr="00A52AB8">
        <w:rPr>
          <w:rFonts w:eastAsia="Times New Roman"/>
          <w:bCs/>
          <w:color w:val="000000"/>
        </w:rPr>
        <w:t xml:space="preserve"> used for </w:t>
      </w:r>
      <w:r w:rsidR="00AA6B7F" w:rsidRPr="00A52AB8">
        <w:rPr>
          <w:color w:val="000000" w:themeColor="text1"/>
        </w:rPr>
        <w:t xml:space="preserve">processing the </w:t>
      </w:r>
      <w:r w:rsidR="00D45E68" w:rsidRPr="00A52AB8">
        <w:rPr>
          <w:color w:val="000000" w:themeColor="text1"/>
        </w:rPr>
        <w:t xml:space="preserve">occupancy of the </w:t>
      </w:r>
      <w:r w:rsidR="00AA6B7F" w:rsidRPr="00A52AB8">
        <w:rPr>
          <w:color w:val="000000" w:themeColor="text1"/>
        </w:rPr>
        <w:t xml:space="preserve">current point cloud frame for </w:t>
      </w:r>
      <w:r w:rsidRPr="00A52AB8">
        <w:rPr>
          <w:color w:val="000000" w:themeColor="text1"/>
        </w:rPr>
        <w:t>occupancy synthesis</w:t>
      </w:r>
      <w:r w:rsidR="00AA6B7F" w:rsidRPr="00A52AB8">
        <w:rPr>
          <w:color w:val="000000" w:themeColor="text1"/>
        </w:rPr>
        <w:t xml:space="preserve"> instance </w:t>
      </w:r>
      <w:r w:rsidR="00AA6B7F" w:rsidRPr="00A52AB8">
        <w:rPr>
          <w:rFonts w:eastAsia="Times New Roman"/>
          <w:bCs/>
          <w:color w:val="000000"/>
        </w:rPr>
        <w:t xml:space="preserve">with index k when the patch border filtering process is used. </w:t>
      </w:r>
    </w:p>
    <w:p w14:paraId="35F057AB" w14:textId="3B392401" w:rsidR="00790796" w:rsidRPr="00A52AB8" w:rsidRDefault="00AA6B7F">
      <w:pPr>
        <w:rPr>
          <w:rFonts w:eastAsia="Times New Roman"/>
          <w:bCs/>
          <w:color w:val="000000"/>
        </w:rPr>
      </w:pPr>
      <w:r w:rsidRPr="00A52AB8">
        <w:rPr>
          <w:rFonts w:eastAsia="Times New Roman"/>
          <w:bCs/>
          <w:color w:val="000000"/>
        </w:rPr>
        <w:t>The value of PbfThreshold</w:t>
      </w:r>
      <w:r w:rsidR="004B7314" w:rsidRPr="00A52AB8">
        <w:rPr>
          <w:rFonts w:eastAsia="Times New Roman"/>
          <w:bCs/>
          <w:color w:val="000000"/>
        </w:rPr>
        <w:t>[ k ]</w:t>
      </w:r>
      <w:r w:rsidRPr="00A52AB8">
        <w:rPr>
          <w:rFonts w:eastAsia="Times New Roman"/>
          <w:bCs/>
          <w:color w:val="000000"/>
        </w:rPr>
        <w:t xml:space="preserve"> is computed as follows:</w:t>
      </w:r>
    </w:p>
    <w:p w14:paraId="60600932" w14:textId="23892BB2" w:rsidR="00AA6B7F" w:rsidRPr="00A52AB8" w:rsidRDefault="00790796">
      <w:pPr>
        <w:rPr>
          <w:rFonts w:eastAsia="Times New Roman"/>
          <w:bCs/>
          <w:color w:val="000000"/>
          <w:vertAlign w:val="superscript"/>
        </w:rPr>
      </w:pPr>
      <w:r w:rsidRPr="00A52AB8">
        <w:rPr>
          <w:rFonts w:eastAsia="Times New Roman"/>
          <w:bCs/>
          <w:color w:val="000000"/>
        </w:rPr>
        <w:tab/>
      </w:r>
      <w:r w:rsidR="00AA6B7F" w:rsidRPr="00A52AB8">
        <w:rPr>
          <w:rFonts w:eastAsia="Times New Roman"/>
          <w:bCs/>
          <w:color w:val="000000"/>
        </w:rPr>
        <w:t>PbfThreshold</w:t>
      </w:r>
      <w:r w:rsidR="004B7314" w:rsidRPr="00A52AB8">
        <w:rPr>
          <w:rFonts w:eastAsia="Times New Roman"/>
          <w:bCs/>
          <w:color w:val="000000"/>
        </w:rPr>
        <w:t>[ k ]</w:t>
      </w:r>
      <w:r w:rsidR="00D47707" w:rsidRPr="00A52AB8">
        <w:rPr>
          <w:rFonts w:eastAsia="Times New Roman"/>
          <w:bCs/>
          <w:color w:val="000000"/>
        </w:rPr>
        <w:t> = </w:t>
      </w:r>
      <w:r w:rsidR="00AA6B7F" w:rsidRPr="00A52AB8">
        <w:rPr>
          <w:rFonts w:eastAsia="Times New Roman"/>
          <w:bCs/>
          <w:color w:val="000000"/>
        </w:rPr>
        <w:t>2</w:t>
      </w:r>
      <w:r w:rsidR="002B3B12" w:rsidRPr="00A52AB8">
        <w:rPr>
          <w:rFonts w:eastAsia="Times New Roman"/>
          <w:bCs/>
          <w:color w:val="000000"/>
          <w:vertAlign w:val="superscript"/>
        </w:rPr>
        <w:t>os_log2_threshold_minus1</w:t>
      </w:r>
      <w:r w:rsidR="004B7314" w:rsidRPr="00A52AB8">
        <w:rPr>
          <w:rFonts w:eastAsia="Times New Roman"/>
          <w:bCs/>
          <w:color w:val="000000"/>
          <w:vertAlign w:val="superscript"/>
        </w:rPr>
        <w:t>[ k ]</w:t>
      </w:r>
      <w:r w:rsidR="002B3B12" w:rsidRPr="00A52AB8">
        <w:rPr>
          <w:rFonts w:eastAsia="Times New Roman"/>
          <w:bCs/>
          <w:color w:val="000000"/>
          <w:vertAlign w:val="superscript"/>
        </w:rPr>
        <w:t xml:space="preserve"> + 1</w:t>
      </w:r>
    </w:p>
    <w:p w14:paraId="5F4DA757" w14:textId="692927F0" w:rsidR="00AA6B7F" w:rsidRPr="00A52AB8" w:rsidRDefault="00AA6B7F">
      <w:pPr>
        <w:rPr>
          <w:rFonts w:eastAsia="Times New Roman"/>
          <w:bCs/>
          <w:color w:val="000000"/>
        </w:rPr>
      </w:pPr>
      <w:r w:rsidRPr="00A52AB8">
        <w:rPr>
          <w:rFonts w:eastAsia="Times New Roman"/>
          <w:bCs/>
          <w:color w:val="000000"/>
        </w:rPr>
        <w:t xml:space="preserve">The value of </w:t>
      </w:r>
      <w:r w:rsidR="002B3B12" w:rsidRPr="00A52AB8">
        <w:rPr>
          <w:rFonts w:eastAsia="Times New Roman"/>
          <w:bCs/>
          <w:color w:val="000000"/>
        </w:rPr>
        <w:t>o</w:t>
      </w:r>
      <w:r w:rsidRPr="00A52AB8">
        <w:rPr>
          <w:rFonts w:eastAsia="Times New Roman"/>
          <w:bCs/>
          <w:color w:val="000000"/>
        </w:rPr>
        <w:t>s_log2_threshold_minus1</w:t>
      </w:r>
      <w:r w:rsidR="004B7314" w:rsidRPr="00A52AB8">
        <w:rPr>
          <w:rFonts w:eastAsia="Times New Roman"/>
          <w:bCs/>
          <w:color w:val="000000"/>
        </w:rPr>
        <w:t>[ k ]</w:t>
      </w:r>
      <w:r w:rsidRPr="00A52AB8">
        <w:rPr>
          <w:rFonts w:eastAsia="Times New Roman"/>
          <w:bCs/>
          <w:color w:val="000000"/>
        </w:rPr>
        <w:t xml:space="preserve"> shall be in the range of 0 to 3, inclusive.</w:t>
      </w:r>
      <w:r w:rsidR="004C2BF5" w:rsidRPr="00A52AB8">
        <w:rPr>
          <w:rFonts w:eastAsia="Times New Roman"/>
          <w:bCs/>
          <w:color w:val="000000"/>
        </w:rPr>
        <w:t xml:space="preserve"> The default value of os_log2_threshold_minus1[ k ] is equal to 0.</w:t>
      </w:r>
    </w:p>
    <w:p w14:paraId="165EFEDB" w14:textId="77777777" w:rsidR="004C2BF5" w:rsidRPr="00A52AB8" w:rsidRDefault="002B3B12">
      <w:pPr>
        <w:rPr>
          <w:rFonts w:eastAsia="Times New Roman"/>
          <w:bCs/>
          <w:color w:val="000000"/>
        </w:rPr>
      </w:pPr>
      <w:r w:rsidRPr="00A52AB8">
        <w:rPr>
          <w:rFonts w:eastAsia="Times New Roman"/>
          <w:b/>
          <w:color w:val="000000"/>
        </w:rPr>
        <w:t>o</w:t>
      </w:r>
      <w:r w:rsidR="00AA6B7F" w:rsidRPr="00A52AB8">
        <w:rPr>
          <w:rFonts w:eastAsia="Times New Roman"/>
          <w:b/>
          <w:color w:val="000000"/>
        </w:rPr>
        <w:t>s_passes_count_minus1</w:t>
      </w:r>
      <w:r w:rsidR="004B7314" w:rsidRPr="00A52AB8">
        <w:rPr>
          <w:rFonts w:eastAsia="Times New Roman"/>
          <w:bCs/>
          <w:color w:val="000000"/>
        </w:rPr>
        <w:t>[ k ]</w:t>
      </w:r>
      <w:r w:rsidR="00AA6B7F" w:rsidRPr="00A52AB8">
        <w:rPr>
          <w:rFonts w:eastAsia="Times New Roman"/>
          <w:b/>
          <w:color w:val="000000"/>
        </w:rPr>
        <w:t xml:space="preserve"> </w:t>
      </w:r>
      <w:r w:rsidR="00AA6B7F" w:rsidRPr="00A52AB8">
        <w:rPr>
          <w:rFonts w:eastAsia="Times New Roman"/>
          <w:bCs/>
          <w:color w:val="000000"/>
        </w:rPr>
        <w:t>plus 1 specifies the value of the variable PbfPasses</w:t>
      </w:r>
      <w:r w:rsidR="004B7314" w:rsidRPr="00A52AB8">
        <w:rPr>
          <w:rFonts w:eastAsia="Times New Roman"/>
          <w:bCs/>
          <w:color w:val="000000"/>
        </w:rPr>
        <w:t>[ k ]</w:t>
      </w:r>
      <w:r w:rsidR="00AA6B7F" w:rsidRPr="00A52AB8">
        <w:rPr>
          <w:rFonts w:eastAsia="Times New Roman"/>
          <w:bCs/>
          <w:color w:val="000000"/>
        </w:rPr>
        <w:t xml:space="preserve"> used for </w:t>
      </w:r>
      <w:r w:rsidR="00AA6B7F" w:rsidRPr="00A52AB8">
        <w:rPr>
          <w:color w:val="000000" w:themeColor="text1"/>
        </w:rPr>
        <w:t xml:space="preserve">processing the </w:t>
      </w:r>
      <w:r w:rsidR="00D45E68" w:rsidRPr="00A52AB8">
        <w:rPr>
          <w:color w:val="000000" w:themeColor="text1"/>
        </w:rPr>
        <w:t xml:space="preserve">occupancy of the </w:t>
      </w:r>
      <w:r w:rsidR="00AA6B7F" w:rsidRPr="00A52AB8">
        <w:rPr>
          <w:color w:val="000000" w:themeColor="text1"/>
        </w:rPr>
        <w:t xml:space="preserve">current point cloud frame for </w:t>
      </w:r>
      <w:r w:rsidRPr="00A52AB8">
        <w:rPr>
          <w:color w:val="000000" w:themeColor="text1"/>
        </w:rPr>
        <w:t>occupancy synthesis</w:t>
      </w:r>
      <w:r w:rsidR="00AA6B7F" w:rsidRPr="00A52AB8">
        <w:rPr>
          <w:color w:val="000000" w:themeColor="text1"/>
        </w:rPr>
        <w:t xml:space="preserve"> instance </w:t>
      </w:r>
      <w:r w:rsidR="00AA6B7F" w:rsidRPr="00A52AB8">
        <w:rPr>
          <w:rFonts w:eastAsia="Times New Roman"/>
          <w:bCs/>
          <w:color w:val="000000"/>
        </w:rPr>
        <w:t xml:space="preserve">with index k when the patch border filtering process is used. The value of </w:t>
      </w:r>
      <w:r w:rsidRPr="00A52AB8">
        <w:rPr>
          <w:rFonts w:eastAsia="Times New Roman"/>
          <w:bCs/>
          <w:color w:val="000000"/>
        </w:rPr>
        <w:t>o</w:t>
      </w:r>
      <w:r w:rsidR="00AA6B7F" w:rsidRPr="00A52AB8">
        <w:rPr>
          <w:rFonts w:eastAsia="Times New Roman"/>
          <w:bCs/>
          <w:color w:val="000000"/>
        </w:rPr>
        <w:t>s_passes_count_minus1</w:t>
      </w:r>
      <w:r w:rsidR="004B7314" w:rsidRPr="00A52AB8">
        <w:rPr>
          <w:rFonts w:eastAsia="Times New Roman"/>
          <w:bCs/>
          <w:color w:val="000000"/>
        </w:rPr>
        <w:t>[ k ]</w:t>
      </w:r>
      <w:r w:rsidR="00AA6B7F" w:rsidRPr="00A52AB8">
        <w:rPr>
          <w:rFonts w:eastAsia="Times New Roman"/>
          <w:bCs/>
          <w:color w:val="000000"/>
        </w:rPr>
        <w:t xml:space="preserve"> shall be in the range of 0 to 3, inclusive.</w:t>
      </w:r>
      <w:r w:rsidR="004C2BF5" w:rsidRPr="00A52AB8">
        <w:rPr>
          <w:rFonts w:eastAsia="Times New Roman"/>
          <w:bCs/>
          <w:color w:val="000000"/>
        </w:rPr>
        <w:t xml:space="preserve"> The default value of os_passes_count_minus1[ k ] is equal to 0. </w:t>
      </w:r>
    </w:p>
    <w:p w14:paraId="4119AF30" w14:textId="30087B42" w:rsidR="00AA6B7F" w:rsidRPr="00A52AB8" w:rsidRDefault="004C2BF5">
      <w:pPr>
        <w:rPr>
          <w:rFonts w:eastAsia="Times New Roman"/>
          <w:bCs/>
          <w:color w:val="000000"/>
        </w:rPr>
      </w:pPr>
      <w:r w:rsidRPr="00A52AB8">
        <w:rPr>
          <w:rFonts w:eastAsia="Times New Roman"/>
          <w:bCs/>
          <w:color w:val="000000"/>
        </w:rPr>
        <w:t>The value of PbfPasses[ k ] is computed as follows:</w:t>
      </w:r>
    </w:p>
    <w:p w14:paraId="1162A493" w14:textId="472B24F6" w:rsidR="00790796" w:rsidRPr="00A52AB8" w:rsidRDefault="00790796">
      <w:pPr>
        <w:rPr>
          <w:rFonts w:eastAsia="Times New Roman"/>
          <w:bCs/>
          <w:color w:val="000000"/>
        </w:rPr>
      </w:pPr>
      <w:r w:rsidRPr="00A52AB8">
        <w:rPr>
          <w:rFonts w:eastAsia="Times New Roman"/>
          <w:bCs/>
          <w:color w:val="000000"/>
        </w:rPr>
        <w:tab/>
        <w:t>PbfPasses</w:t>
      </w:r>
      <w:r w:rsidR="004B7314" w:rsidRPr="00A52AB8">
        <w:rPr>
          <w:rFonts w:eastAsia="Times New Roman"/>
          <w:bCs/>
          <w:color w:val="000000"/>
        </w:rPr>
        <w:t>[ k ]</w:t>
      </w:r>
      <w:r w:rsidR="00D47707" w:rsidRPr="00A52AB8">
        <w:rPr>
          <w:rFonts w:eastAsia="Times New Roman"/>
          <w:bCs/>
          <w:color w:val="000000"/>
        </w:rPr>
        <w:t> = </w:t>
      </w:r>
      <w:r w:rsidRPr="00A52AB8">
        <w:rPr>
          <w:rFonts w:eastAsia="Times New Roman"/>
          <w:bCs/>
          <w:color w:val="000000"/>
        </w:rPr>
        <w:t>os_passes_count_minus1</w:t>
      </w:r>
      <w:r w:rsidR="004B7314" w:rsidRPr="00A52AB8">
        <w:rPr>
          <w:rFonts w:eastAsia="Times New Roman"/>
          <w:bCs/>
          <w:color w:val="000000"/>
        </w:rPr>
        <w:t>[ k ]</w:t>
      </w:r>
      <w:r w:rsidR="007961FE" w:rsidRPr="00A52AB8">
        <w:rPr>
          <w:rFonts w:eastAsia="Times New Roman"/>
          <w:bCs/>
          <w:color w:val="000000"/>
        </w:rPr>
        <w:t> </w:t>
      </w:r>
      <w:r w:rsidRPr="00A52AB8">
        <w:rPr>
          <w:rFonts w:eastAsia="Times New Roman"/>
          <w:bCs/>
          <w:color w:val="000000"/>
        </w:rPr>
        <w:t>+</w:t>
      </w:r>
      <w:r w:rsidR="007961FE" w:rsidRPr="00A52AB8">
        <w:rPr>
          <w:rFonts w:eastAsia="Times New Roman"/>
          <w:bCs/>
          <w:color w:val="000000"/>
        </w:rPr>
        <w:t> </w:t>
      </w:r>
      <w:r w:rsidRPr="00A52AB8">
        <w:rPr>
          <w:rFonts w:eastAsia="Times New Roman"/>
          <w:bCs/>
          <w:color w:val="000000"/>
        </w:rPr>
        <w:t>1</w:t>
      </w:r>
    </w:p>
    <w:p w14:paraId="1050509B" w14:textId="77777777" w:rsidR="00790796" w:rsidRPr="00A52AB8" w:rsidRDefault="002B3B12">
      <w:pPr>
        <w:rPr>
          <w:rFonts w:eastAsia="Times New Roman"/>
          <w:bCs/>
          <w:color w:val="000000"/>
        </w:rPr>
      </w:pPr>
      <w:r w:rsidRPr="00A52AB8">
        <w:rPr>
          <w:rFonts w:eastAsia="Times New Roman"/>
          <w:b/>
          <w:color w:val="000000"/>
        </w:rPr>
        <w:t>o</w:t>
      </w:r>
      <w:r w:rsidR="00AA6B7F" w:rsidRPr="00A52AB8">
        <w:rPr>
          <w:rFonts w:eastAsia="Times New Roman"/>
          <w:b/>
          <w:color w:val="000000"/>
        </w:rPr>
        <w:t>s_filter_size_minus1</w:t>
      </w:r>
      <w:r w:rsidR="004B7314" w:rsidRPr="00A52AB8">
        <w:rPr>
          <w:rFonts w:eastAsia="Times New Roman"/>
          <w:bCs/>
          <w:color w:val="000000"/>
        </w:rPr>
        <w:t>[ k ]</w:t>
      </w:r>
      <w:r w:rsidR="00AA6B7F" w:rsidRPr="00A52AB8">
        <w:rPr>
          <w:rFonts w:eastAsia="Times New Roman"/>
          <w:b/>
          <w:color w:val="000000"/>
        </w:rPr>
        <w:t xml:space="preserve"> </w:t>
      </w:r>
      <w:r w:rsidR="00AA6B7F" w:rsidRPr="00A52AB8">
        <w:rPr>
          <w:rFonts w:eastAsia="Times New Roman"/>
          <w:bCs/>
          <w:color w:val="000000"/>
        </w:rPr>
        <w:t xml:space="preserve">plus 1 specifies the values of the variables </w:t>
      </w:r>
      <w:r w:rsidR="00AA6B7F" w:rsidRPr="00A52AB8">
        <w:rPr>
          <w:rFonts w:eastAsia="Times New Roman"/>
          <w:color w:val="000000"/>
        </w:rPr>
        <w:t>PbfSizeX</w:t>
      </w:r>
      <w:r w:rsidR="004B7314" w:rsidRPr="00A52AB8">
        <w:rPr>
          <w:rFonts w:eastAsia="Times New Roman"/>
          <w:color w:val="000000"/>
        </w:rPr>
        <w:t>[ k ]</w:t>
      </w:r>
      <w:r w:rsidR="00AA6B7F" w:rsidRPr="00A52AB8">
        <w:rPr>
          <w:rFonts w:eastAsia="Times New Roman"/>
          <w:color w:val="000000"/>
        </w:rPr>
        <w:t xml:space="preserve"> and PbfSizeY</w:t>
      </w:r>
      <w:r w:rsidR="004B7314" w:rsidRPr="00A52AB8">
        <w:rPr>
          <w:rFonts w:eastAsia="Times New Roman"/>
          <w:color w:val="000000"/>
        </w:rPr>
        <w:t>[ k ]</w:t>
      </w:r>
      <w:r w:rsidR="00AA6B7F" w:rsidRPr="00A52AB8">
        <w:rPr>
          <w:rFonts w:eastAsia="Times New Roman"/>
          <w:color w:val="000000"/>
        </w:rPr>
        <w:t xml:space="preserve"> </w:t>
      </w:r>
      <w:r w:rsidR="00AA6B7F" w:rsidRPr="00A52AB8">
        <w:rPr>
          <w:rFonts w:eastAsia="Times New Roman"/>
          <w:bCs/>
          <w:color w:val="000000"/>
        </w:rPr>
        <w:t xml:space="preserve">used for </w:t>
      </w:r>
      <w:r w:rsidR="00AA6B7F" w:rsidRPr="00A52AB8">
        <w:rPr>
          <w:color w:val="000000" w:themeColor="text1"/>
        </w:rPr>
        <w:t xml:space="preserve">processing the </w:t>
      </w:r>
      <w:r w:rsidR="00D45E68" w:rsidRPr="00A52AB8">
        <w:rPr>
          <w:color w:val="000000" w:themeColor="text1"/>
        </w:rPr>
        <w:t xml:space="preserve">occupancy of the </w:t>
      </w:r>
      <w:r w:rsidR="00AA6B7F" w:rsidRPr="00A52AB8">
        <w:rPr>
          <w:color w:val="000000" w:themeColor="text1"/>
        </w:rPr>
        <w:t xml:space="preserve">current point cloud frame for </w:t>
      </w:r>
      <w:r w:rsidRPr="00A52AB8">
        <w:rPr>
          <w:color w:val="000000" w:themeColor="text1"/>
        </w:rPr>
        <w:t>occupancy synthesis</w:t>
      </w:r>
      <w:r w:rsidR="00AA6B7F" w:rsidRPr="00A52AB8">
        <w:rPr>
          <w:color w:val="000000" w:themeColor="text1"/>
        </w:rPr>
        <w:t xml:space="preserve"> instance </w:t>
      </w:r>
      <w:r w:rsidR="00AA6B7F" w:rsidRPr="00A52AB8">
        <w:rPr>
          <w:rFonts w:eastAsia="Times New Roman"/>
          <w:bCs/>
          <w:color w:val="000000"/>
        </w:rPr>
        <w:t>with index k when the patch border filtering process is used. The values of PbfSizeX</w:t>
      </w:r>
      <w:r w:rsidR="004B7314" w:rsidRPr="00A52AB8">
        <w:rPr>
          <w:rFonts w:eastAsia="Times New Roman"/>
          <w:bCs/>
          <w:color w:val="000000"/>
        </w:rPr>
        <w:t>[ k ]</w:t>
      </w:r>
      <w:r w:rsidR="00AA6B7F" w:rsidRPr="00A52AB8">
        <w:rPr>
          <w:rFonts w:eastAsia="Times New Roman"/>
          <w:bCs/>
          <w:color w:val="000000"/>
        </w:rPr>
        <w:t xml:space="preserve"> and PbfSizeY</w:t>
      </w:r>
      <w:r w:rsidR="004B7314" w:rsidRPr="00A52AB8">
        <w:rPr>
          <w:rFonts w:eastAsia="Times New Roman"/>
          <w:bCs/>
          <w:color w:val="000000"/>
        </w:rPr>
        <w:t>[ k ]</w:t>
      </w:r>
      <w:r w:rsidR="00AA6B7F" w:rsidRPr="00A52AB8">
        <w:rPr>
          <w:rFonts w:eastAsia="Times New Roman"/>
          <w:bCs/>
          <w:color w:val="000000"/>
        </w:rPr>
        <w:t xml:space="preserve"> are computed as follows:</w:t>
      </w:r>
    </w:p>
    <w:p w14:paraId="7430FC6F" w14:textId="1EE70180" w:rsidR="00790796" w:rsidRPr="00A52AB8" w:rsidRDefault="00790796" w:rsidP="00587178">
      <w:pPr>
        <w:rPr>
          <w:rFonts w:eastAsia="Times New Roman"/>
          <w:bCs/>
          <w:color w:val="000000"/>
        </w:rPr>
      </w:pPr>
      <w:r w:rsidRPr="00A52AB8">
        <w:rPr>
          <w:rFonts w:eastAsia="Times New Roman"/>
          <w:bCs/>
          <w:color w:val="000000"/>
        </w:rPr>
        <w:tab/>
      </w:r>
      <w:r w:rsidR="00AA6B7F" w:rsidRPr="00A52AB8">
        <w:rPr>
          <w:rFonts w:eastAsia="Times New Roman"/>
          <w:bCs/>
          <w:color w:val="000000"/>
        </w:rPr>
        <w:t>PbfSizeX</w:t>
      </w:r>
      <w:r w:rsidR="004B7314" w:rsidRPr="00A52AB8">
        <w:rPr>
          <w:rFonts w:eastAsia="Times New Roman"/>
          <w:bCs/>
          <w:color w:val="000000"/>
        </w:rPr>
        <w:t>[ k ]</w:t>
      </w:r>
      <w:r w:rsidR="00D47707" w:rsidRPr="00A52AB8">
        <w:rPr>
          <w:rFonts w:eastAsia="Times New Roman"/>
          <w:bCs/>
          <w:color w:val="000000"/>
        </w:rPr>
        <w:t> = </w:t>
      </w:r>
      <w:r w:rsidR="002B3B12" w:rsidRPr="00A52AB8">
        <w:rPr>
          <w:rFonts w:eastAsia="Times New Roman"/>
          <w:bCs/>
          <w:color w:val="000000"/>
        </w:rPr>
        <w:t>o</w:t>
      </w:r>
      <w:r w:rsidR="00AA6B7F" w:rsidRPr="00A52AB8">
        <w:rPr>
          <w:rFonts w:eastAsia="Times New Roman"/>
          <w:bCs/>
          <w:color w:val="000000"/>
        </w:rPr>
        <w:t>s_filter_size_minus1</w:t>
      </w:r>
      <w:r w:rsidR="004B7314" w:rsidRPr="00A52AB8">
        <w:rPr>
          <w:rFonts w:eastAsia="Times New Roman"/>
          <w:bCs/>
          <w:color w:val="000000"/>
        </w:rPr>
        <w:t>[ k ]</w:t>
      </w:r>
      <w:r w:rsidR="007961FE" w:rsidRPr="00A52AB8">
        <w:rPr>
          <w:rFonts w:eastAsia="Times New Roman"/>
          <w:bCs/>
          <w:color w:val="000000"/>
        </w:rPr>
        <w:t> </w:t>
      </w:r>
      <w:r w:rsidR="00AA6B7F" w:rsidRPr="00A52AB8">
        <w:rPr>
          <w:rFonts w:eastAsia="Times New Roman"/>
          <w:bCs/>
          <w:color w:val="000000"/>
        </w:rPr>
        <w:t>+</w:t>
      </w:r>
      <w:r w:rsidR="007961FE" w:rsidRPr="00A52AB8">
        <w:rPr>
          <w:rFonts w:eastAsia="Times New Roman"/>
          <w:bCs/>
          <w:color w:val="000000"/>
        </w:rPr>
        <w:t> </w:t>
      </w:r>
      <w:r w:rsidR="00AA6B7F" w:rsidRPr="00A52AB8">
        <w:rPr>
          <w:rFonts w:eastAsia="Times New Roman"/>
          <w:bCs/>
          <w:color w:val="000000"/>
        </w:rPr>
        <w:t>1</w:t>
      </w:r>
    </w:p>
    <w:p w14:paraId="16511C06" w14:textId="716DBAFC" w:rsidR="00AA6B7F" w:rsidRPr="00A52AB8" w:rsidRDefault="00790796" w:rsidP="00587178">
      <w:pPr>
        <w:rPr>
          <w:rFonts w:eastAsia="Times New Roman"/>
          <w:bCs/>
          <w:color w:val="000000"/>
        </w:rPr>
      </w:pPr>
      <w:r w:rsidRPr="00A52AB8">
        <w:rPr>
          <w:rFonts w:eastAsia="Times New Roman"/>
          <w:bCs/>
          <w:color w:val="000000"/>
        </w:rPr>
        <w:tab/>
      </w:r>
      <w:r w:rsidR="00AA6B7F" w:rsidRPr="00A52AB8">
        <w:rPr>
          <w:rFonts w:eastAsia="Times New Roman"/>
          <w:bCs/>
          <w:color w:val="000000"/>
        </w:rPr>
        <w:t>PbfSizeY</w:t>
      </w:r>
      <w:r w:rsidR="004B7314" w:rsidRPr="00A52AB8">
        <w:rPr>
          <w:rFonts w:eastAsia="Times New Roman"/>
          <w:bCs/>
          <w:color w:val="000000"/>
        </w:rPr>
        <w:t>[ k ]</w:t>
      </w:r>
      <w:r w:rsidR="00D47707" w:rsidRPr="00A52AB8">
        <w:rPr>
          <w:rFonts w:eastAsia="Times New Roman"/>
          <w:bCs/>
          <w:color w:val="000000"/>
        </w:rPr>
        <w:t> = </w:t>
      </w:r>
      <w:r w:rsidR="00AA6B7F" w:rsidRPr="00A52AB8">
        <w:rPr>
          <w:rFonts w:eastAsia="Times New Roman"/>
          <w:bCs/>
          <w:color w:val="000000"/>
        </w:rPr>
        <w:t>PbfSizeX</w:t>
      </w:r>
      <w:r w:rsidR="004B7314" w:rsidRPr="00A52AB8">
        <w:rPr>
          <w:rFonts w:eastAsia="Times New Roman"/>
          <w:bCs/>
          <w:color w:val="000000"/>
        </w:rPr>
        <w:t>[ k ]</w:t>
      </w:r>
      <w:r w:rsidR="007961FE" w:rsidRPr="00A52AB8">
        <w:rPr>
          <w:rFonts w:eastAsia="Times New Roman"/>
          <w:bCs/>
          <w:color w:val="000000"/>
        </w:rPr>
        <w:t> </w:t>
      </w:r>
      <w:r w:rsidR="00AA6B7F" w:rsidRPr="00A52AB8">
        <w:rPr>
          <w:rFonts w:eastAsia="Times New Roman"/>
          <w:bCs/>
          <w:color w:val="000000"/>
        </w:rPr>
        <w:t>&gt;&gt;</w:t>
      </w:r>
      <w:r w:rsidR="007961FE" w:rsidRPr="00A52AB8">
        <w:rPr>
          <w:rFonts w:eastAsia="Times New Roman"/>
          <w:bCs/>
          <w:color w:val="000000"/>
        </w:rPr>
        <w:t> </w:t>
      </w:r>
      <w:r w:rsidR="00AA6B7F" w:rsidRPr="00A52AB8">
        <w:rPr>
          <w:rFonts w:eastAsia="Times New Roman"/>
          <w:bCs/>
          <w:color w:val="000000"/>
        </w:rPr>
        <w:t>1</w:t>
      </w:r>
    </w:p>
    <w:p w14:paraId="40ACC2A9" w14:textId="041DEEE8" w:rsidR="00AA6B7F" w:rsidRPr="00A52AB8" w:rsidRDefault="00AA6B7F" w:rsidP="000C73CA">
      <w:pPr>
        <w:rPr>
          <w:rFonts w:eastAsia="Times New Roman"/>
          <w:bCs/>
          <w:color w:val="000000"/>
        </w:rPr>
      </w:pPr>
      <w:r w:rsidRPr="00A52AB8">
        <w:rPr>
          <w:rFonts w:eastAsia="Times New Roman"/>
          <w:bCs/>
          <w:color w:val="000000"/>
        </w:rPr>
        <w:t xml:space="preserve">The value of </w:t>
      </w:r>
      <w:r w:rsidR="002B3B12" w:rsidRPr="00A52AB8">
        <w:rPr>
          <w:rFonts w:eastAsia="Times New Roman"/>
          <w:bCs/>
          <w:color w:val="000000"/>
        </w:rPr>
        <w:t>o</w:t>
      </w:r>
      <w:r w:rsidRPr="00A52AB8">
        <w:rPr>
          <w:rFonts w:eastAsia="Times New Roman"/>
          <w:bCs/>
          <w:color w:val="000000"/>
        </w:rPr>
        <w:t>s_filter_size_minus1</w:t>
      </w:r>
      <w:r w:rsidR="004B7314" w:rsidRPr="00A52AB8">
        <w:rPr>
          <w:rFonts w:eastAsia="Times New Roman"/>
          <w:bCs/>
          <w:color w:val="000000"/>
        </w:rPr>
        <w:t>[ k ]</w:t>
      </w:r>
      <w:r w:rsidRPr="00A52AB8">
        <w:rPr>
          <w:rFonts w:eastAsia="Times New Roman"/>
          <w:b/>
          <w:color w:val="000000"/>
        </w:rPr>
        <w:t xml:space="preserve"> </w:t>
      </w:r>
      <w:r w:rsidRPr="00A52AB8">
        <w:rPr>
          <w:rFonts w:eastAsia="Times New Roman"/>
          <w:bCs/>
          <w:color w:val="000000"/>
        </w:rPr>
        <w:t>shall be in the range of 0 to 7, inclusive.</w:t>
      </w:r>
      <w:r w:rsidR="004C2BF5" w:rsidRPr="00A52AB8">
        <w:rPr>
          <w:rFonts w:eastAsia="Times New Roman"/>
          <w:bCs/>
          <w:color w:val="000000"/>
        </w:rPr>
        <w:t xml:space="preserve"> The default value of os_filter_size_minus1[ k ] is equal to 0.</w:t>
      </w:r>
    </w:p>
    <w:p w14:paraId="3EB494E0" w14:textId="77777777" w:rsidR="00CC3178" w:rsidRPr="00A52AB8" w:rsidRDefault="00CC3178" w:rsidP="005C26E9">
      <w:pPr>
        <w:pStyle w:val="a4"/>
        <w:numPr>
          <w:ilvl w:val="3"/>
          <w:numId w:val="19"/>
        </w:numPr>
      </w:pPr>
      <w:r w:rsidRPr="00A52AB8">
        <w:t>Geometry smoothing SEI message semantics</w:t>
      </w:r>
    </w:p>
    <w:p w14:paraId="30C03A28" w14:textId="77777777" w:rsidR="00CC3178" w:rsidRPr="00A52AB8" w:rsidRDefault="00CC3178" w:rsidP="007656E5">
      <w:r w:rsidRPr="00A52AB8">
        <w:t>This SEI message specifies the recommended geometry smoothing methods and their associated parameters that could be used to process the geometry of the current point cloud frame after it is reconstructed, so as to obtain improved reconstructed geometry quality.</w:t>
      </w:r>
    </w:p>
    <w:p w14:paraId="5983CFC5" w14:textId="77777777" w:rsidR="00CC3178" w:rsidRPr="00A52AB8" w:rsidRDefault="00CC3178" w:rsidP="007656E5">
      <w:r w:rsidRPr="00A52AB8">
        <w:t>Up to 256 different geometry smoothing instances could be specified for use with each point cloud frame. These instances are indicated using an array GeometrySmoothingMethod. The geometry smoothing instance that a decoder may select to operate in, is outside the scope of this document.</w:t>
      </w:r>
    </w:p>
    <w:p w14:paraId="30C69E18" w14:textId="50345767" w:rsidR="00CC3178" w:rsidRPr="00A52AB8" w:rsidRDefault="00CC3178" w:rsidP="007656E5">
      <w:r w:rsidRPr="00A52AB8">
        <w:t xml:space="preserve">At the start of each sequence, let GeometrySmoothingMethod[ i ] </w:t>
      </w:r>
      <w:r w:rsidR="00674BE9" w:rsidRPr="00A52AB8">
        <w:t xml:space="preserve">be set equal to </w:t>
      </w:r>
      <w:r w:rsidRPr="00A52AB8">
        <w:t>0, where i corresponds to the geometry smoothing instance index and is in the range of 0 to 255, inclusive. When GeometrySmoothingMethod[ i ] is equal to 0 it means that no geometry smoothing filter is indicated for the geometry smoothing instance with index i.</w:t>
      </w:r>
    </w:p>
    <w:p w14:paraId="4EABDD47" w14:textId="77777777" w:rsidR="00993E0A" w:rsidRPr="00A52AB8" w:rsidRDefault="00AA6B7F" w:rsidP="007656E5">
      <w:r w:rsidRPr="00A52AB8">
        <w:rPr>
          <w:b/>
          <w:bCs/>
        </w:rPr>
        <w:t>gs_</w:t>
      </w:r>
      <w:r w:rsidR="00993E0A" w:rsidRPr="00A52AB8">
        <w:rPr>
          <w:b/>
          <w:bCs/>
        </w:rPr>
        <w:t xml:space="preserve">persistence_flag </w:t>
      </w:r>
      <w:r w:rsidR="00993E0A" w:rsidRPr="00A52AB8">
        <w:t xml:space="preserve">specifies the persistence of the geometry smoothing SEI message for the current layer. </w:t>
      </w:r>
      <w:r w:rsidRPr="00A52AB8">
        <w:t>gs_</w:t>
      </w:r>
      <w:r w:rsidR="00993E0A" w:rsidRPr="00A52AB8">
        <w:t>persistence_flag equal to 0 specifies that the geometry smoothing SEI message applies to the current decoded atlas frame only.</w:t>
      </w:r>
    </w:p>
    <w:p w14:paraId="3254CF7A" w14:textId="77777777" w:rsidR="00993E0A" w:rsidRPr="00A52AB8" w:rsidRDefault="00993E0A" w:rsidP="007656E5">
      <w:r w:rsidRPr="00A52AB8">
        <w:t xml:space="preserve">Let aFrmA be the current atlas frame. </w:t>
      </w:r>
      <w:r w:rsidR="00AA6B7F" w:rsidRPr="00A52AB8">
        <w:t>gs_</w:t>
      </w:r>
      <w:r w:rsidRPr="00A52AB8">
        <w:t>persistence_flag equal to 1 specifies that the geometry smoothing SEI message persists for the current layer in output order until any of the following conditions are true:</w:t>
      </w:r>
    </w:p>
    <w:p w14:paraId="7AA83742" w14:textId="7E3D2571" w:rsidR="00993E0A" w:rsidRPr="00A52AB8" w:rsidRDefault="003F1BC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new CAS begins.</w:t>
      </w:r>
    </w:p>
    <w:p w14:paraId="225CEB2B" w14:textId="77777777" w:rsidR="00993E0A" w:rsidRPr="00A52AB8" w:rsidRDefault="00993E0A"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The bitstream ends.</w:t>
      </w:r>
    </w:p>
    <w:p w14:paraId="71F8D01F" w14:textId="76CBC827" w:rsidR="00405E1E" w:rsidRPr="00A52AB8" w:rsidRDefault="00405E1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An atlas frame aFrmB in the current layer in a coded atlas access unit containing a geometry smoothing SEI message with the same value of gs_persistence_flag and applicable to the current layer is output for which AtlasFrmOrderCnt( aFrmB ) is greater than AtlasFrmOrderCnt( aFrmA ), where AtlasFrmOrderCnt( aFrmB ) and AtlasFrmOrderCnt( aFrmA ) are the AtlasFrmOrderCntVal values of aFrmB and aFrmA, respectively, immediately after the invocation of the decoding process for atlas frame order count for aFrmB.</w:t>
      </w:r>
    </w:p>
    <w:p w14:paraId="06CD5C02" w14:textId="55DAC3EE" w:rsidR="0050235C" w:rsidRPr="00A52AB8" w:rsidRDefault="00AA6B7F" w:rsidP="007656E5">
      <w:r w:rsidRPr="00A52AB8">
        <w:rPr>
          <w:b/>
          <w:bCs/>
        </w:rPr>
        <w:t>gs_</w:t>
      </w:r>
      <w:r w:rsidR="008868CA" w:rsidRPr="00A52AB8">
        <w:rPr>
          <w:b/>
          <w:bCs/>
        </w:rPr>
        <w:t>reset</w:t>
      </w:r>
      <w:r w:rsidR="00CC3178" w:rsidRPr="00A52AB8">
        <w:rPr>
          <w:b/>
          <w:bCs/>
        </w:rPr>
        <w:t xml:space="preserve">_flag </w:t>
      </w:r>
      <w:r w:rsidR="008868CA" w:rsidRPr="00A52AB8">
        <w:t>equal to 1 resets all entries in the array GeometrySmoothingMethod to 0</w:t>
      </w:r>
      <w:r w:rsidR="00322C49" w:rsidRPr="00A52AB8">
        <w:t xml:space="preserve"> </w:t>
      </w:r>
      <w:r w:rsidR="00322C49" w:rsidRPr="00A52AB8">
        <w:rPr>
          <w:szCs w:val="20"/>
        </w:rPr>
        <w:t>and all parameters associated with this SEI message are set to their default values</w:t>
      </w:r>
      <w:r w:rsidR="008868CA" w:rsidRPr="00A52AB8">
        <w:t>.</w:t>
      </w:r>
    </w:p>
    <w:p w14:paraId="77F37629" w14:textId="77777777" w:rsidR="0050235C" w:rsidRPr="00A52AB8" w:rsidRDefault="00AA6B7F" w:rsidP="007656E5">
      <w:r w:rsidRPr="00A52AB8">
        <w:rPr>
          <w:b/>
          <w:bCs/>
        </w:rPr>
        <w:t>gs_</w:t>
      </w:r>
      <w:r w:rsidR="00CC3178" w:rsidRPr="00A52AB8">
        <w:rPr>
          <w:b/>
          <w:bCs/>
        </w:rPr>
        <w:t>instances_updated</w:t>
      </w:r>
      <w:r w:rsidR="00CC3178" w:rsidRPr="00A52AB8">
        <w:t xml:space="preserve"> specifies the number of geometry smoothing instances that will be updated in the current geometry smoothing SEI message.</w:t>
      </w:r>
    </w:p>
    <w:p w14:paraId="0084F080" w14:textId="0F4F8023" w:rsidR="00CC3178" w:rsidRPr="00A52AB8" w:rsidRDefault="00AA6B7F" w:rsidP="007656E5">
      <w:r w:rsidRPr="00A52AB8">
        <w:rPr>
          <w:b/>
          <w:bCs/>
        </w:rPr>
        <w:t>gs_</w:t>
      </w:r>
      <w:r w:rsidR="00CC3178" w:rsidRPr="00A52AB8">
        <w:rPr>
          <w:b/>
          <w:bCs/>
        </w:rPr>
        <w:t>instance_index</w:t>
      </w:r>
      <w:r w:rsidR="00CC3178" w:rsidRPr="00A52AB8">
        <w:t>[ i ] indicates the i-th geometry smoothing instance index in the array GeometrySmoothingMethod that is to be updated by the current SEI message.</w:t>
      </w:r>
    </w:p>
    <w:p w14:paraId="3B6A4EA1" w14:textId="424740ED" w:rsidR="0050235C" w:rsidRPr="00A52AB8" w:rsidRDefault="00AA6B7F" w:rsidP="007656E5">
      <w:r w:rsidRPr="00A52AB8">
        <w:rPr>
          <w:b/>
          <w:bCs/>
        </w:rPr>
        <w:t>gs_</w:t>
      </w:r>
      <w:r w:rsidR="00CC3178" w:rsidRPr="00A52AB8">
        <w:rPr>
          <w:b/>
          <w:bCs/>
        </w:rPr>
        <w:t>instance_cancel_flag</w:t>
      </w:r>
      <w:r w:rsidR="004B7314" w:rsidRPr="00A52AB8">
        <w:t>[ k ]</w:t>
      </w:r>
      <w:r w:rsidR="00CC3178" w:rsidRPr="00A52AB8">
        <w:rPr>
          <w:b/>
          <w:bCs/>
        </w:rPr>
        <w:t xml:space="preserve"> </w:t>
      </w:r>
      <w:r w:rsidR="00CC3178" w:rsidRPr="00A52AB8">
        <w:t>equal to 1 indicates that the value of</w:t>
      </w:r>
      <w:r w:rsidR="00C61E38" w:rsidRPr="00A52AB8">
        <w:t xml:space="preserve"> </w:t>
      </w:r>
      <w:r w:rsidR="00CC3178" w:rsidRPr="00A52AB8">
        <w:t>GeometrySmoothingMethod</w:t>
      </w:r>
      <w:r w:rsidR="004B7314" w:rsidRPr="00A52AB8">
        <w:t>[ k ]</w:t>
      </w:r>
      <w:r w:rsidR="00CC3178" w:rsidRPr="00A52AB8">
        <w:t xml:space="preserve"> </w:t>
      </w:r>
      <w:r w:rsidR="006E353C" w:rsidRPr="00A52AB8">
        <w:rPr>
          <w:szCs w:val="20"/>
        </w:rPr>
        <w:t xml:space="preserve">and that all parameters associated with </w:t>
      </w:r>
      <w:r w:rsidR="00CC3178" w:rsidRPr="00A52AB8">
        <w:t>the geometry smoothing instance with index k should be set to 0</w:t>
      </w:r>
      <w:r w:rsidR="006E4C8E" w:rsidRPr="00A52AB8">
        <w:t xml:space="preserve"> </w:t>
      </w:r>
      <w:r w:rsidR="006E353C" w:rsidRPr="00A52AB8">
        <w:rPr>
          <w:szCs w:val="20"/>
        </w:rPr>
        <w:t xml:space="preserve">and </w:t>
      </w:r>
      <w:r w:rsidR="006E4C8E" w:rsidRPr="00A52AB8">
        <w:rPr>
          <w:szCs w:val="20"/>
        </w:rPr>
        <w:t>to their default values</w:t>
      </w:r>
      <w:r w:rsidR="006E353C" w:rsidRPr="00A52AB8">
        <w:rPr>
          <w:szCs w:val="20"/>
        </w:rPr>
        <w:t>, respectively</w:t>
      </w:r>
      <w:r w:rsidR="006E4C8E" w:rsidRPr="00A52AB8">
        <w:t>.</w:t>
      </w:r>
    </w:p>
    <w:p w14:paraId="45394026" w14:textId="1E7D3468" w:rsidR="0050235C" w:rsidRPr="00A52AB8" w:rsidRDefault="00AA6B7F" w:rsidP="007656E5">
      <w:pPr>
        <w:tabs>
          <w:tab w:val="left" w:pos="5490"/>
        </w:tabs>
      </w:pPr>
      <w:r w:rsidRPr="00A52AB8">
        <w:rPr>
          <w:b/>
          <w:bCs/>
        </w:rPr>
        <w:t>gs_</w:t>
      </w:r>
      <w:r w:rsidR="00CC3178" w:rsidRPr="00A52AB8">
        <w:rPr>
          <w:b/>
          <w:bCs/>
        </w:rPr>
        <w:t>method_type</w:t>
      </w:r>
      <w:r w:rsidR="004B7314" w:rsidRPr="00A52AB8">
        <w:t>[ k ]</w:t>
      </w:r>
      <w:r w:rsidR="00CC3178" w:rsidRPr="00A52AB8">
        <w:rPr>
          <w:b/>
          <w:bCs/>
        </w:rPr>
        <w:t xml:space="preserve"> </w:t>
      </w:r>
      <w:r w:rsidR="00CC3178" w:rsidRPr="00A52AB8">
        <w:t>indicates the geometry smoothing method</w:t>
      </w:r>
      <w:r w:rsidR="006E4C8E" w:rsidRPr="00A52AB8">
        <w:t>, GeometrySmoothingMethod[ k ],</w:t>
      </w:r>
      <w:r w:rsidR="00CC3178" w:rsidRPr="00A52AB8">
        <w:t xml:space="preserve"> that can be used for processing the current point cloud frame as specified in </w:t>
      </w:r>
      <w:r w:rsidR="007E002B" w:rsidRPr="00496A4D">
        <w:fldChar w:fldCharType="begin"/>
      </w:r>
      <w:r w:rsidR="007E002B" w:rsidRPr="00A52AB8">
        <w:instrText xml:space="preserve"> REF _Ref39818695 \h </w:instrText>
      </w:r>
      <w:r w:rsidR="00CA5401" w:rsidRPr="00A52AB8">
        <w:instrText xml:space="preserve"> \* MERGEFORMAT </w:instrText>
      </w:r>
      <w:r w:rsidR="007E002B" w:rsidRPr="00496A4D">
        <w:fldChar w:fldCharType="separate"/>
      </w:r>
      <w:r w:rsidR="00507A67" w:rsidRPr="00507A67">
        <w:t>Table</w:t>
      </w:r>
      <w:r w:rsidR="00507A67" w:rsidRPr="00A52AB8">
        <w:t xml:space="preserve"> H-</w:t>
      </w:r>
      <w:r w:rsidR="00507A67" w:rsidRPr="00507A67">
        <w:t>7</w:t>
      </w:r>
      <w:r w:rsidR="007E002B" w:rsidRPr="00496A4D">
        <w:fldChar w:fldCharType="end"/>
      </w:r>
      <w:r w:rsidR="007E002B" w:rsidRPr="00A52AB8">
        <w:t xml:space="preserve"> </w:t>
      </w:r>
      <w:r w:rsidR="00CC3178" w:rsidRPr="00A52AB8">
        <w:t>for geometry smoothing instance with index k.</w:t>
      </w:r>
    </w:p>
    <w:p w14:paraId="2E4E8D88" w14:textId="7E6704B3" w:rsidR="00CC3178" w:rsidRPr="00A52AB8" w:rsidRDefault="00CC3178" w:rsidP="00CC3178">
      <w:pPr>
        <w:pStyle w:val="Caption"/>
        <w:rPr>
          <w:rFonts w:ascii="Cambria" w:hAnsi="Cambria"/>
          <w:bCs w:val="0"/>
          <w:szCs w:val="22"/>
        </w:rPr>
      </w:pPr>
      <w:bookmarkStart w:id="7370" w:name="_Ref39818695"/>
      <w:r w:rsidRPr="00A52AB8">
        <w:rPr>
          <w:rStyle w:val="CaptionChar1"/>
          <w:b/>
          <w:bCs w:val="0"/>
          <w:lang w:val="en-CA"/>
        </w:rPr>
        <w:t>Table</w:t>
      </w:r>
      <w:r w:rsidRPr="00A52AB8">
        <w:rPr>
          <w:rFonts w:ascii="Cambria" w:hAnsi="Cambria"/>
          <w:bCs w:val="0"/>
        </w:rPr>
        <w:t xml:space="preserve"> </w:t>
      </w:r>
      <w:r w:rsidR="00FE0CF6" w:rsidRPr="00A52AB8">
        <w:rPr>
          <w:rFonts w:ascii="Cambria" w:hAnsi="Cambria"/>
          <w:bCs w:val="0"/>
        </w:rPr>
        <w:t>H</w:t>
      </w:r>
      <w:r w:rsidR="006E73E9" w:rsidRPr="00A52AB8">
        <w:rPr>
          <w:rFonts w:ascii="Cambria" w:hAnsi="Cambria"/>
          <w:bCs w:val="0"/>
        </w:rPr>
        <w:t>-</w:t>
      </w:r>
      <w:r w:rsidRPr="00496A4D">
        <w:rPr>
          <w:rFonts w:ascii="Cambria" w:hAnsi="Cambria"/>
          <w:bCs w:val="0"/>
        </w:rPr>
        <w:fldChar w:fldCharType="begin"/>
      </w:r>
      <w:r w:rsidRPr="00A52AB8">
        <w:rPr>
          <w:rFonts w:ascii="Cambria" w:hAnsi="Cambria"/>
          <w:bCs w:val="0"/>
        </w:rPr>
        <w:instrText xml:space="preserve"> SEQ Table \* ARABIC \s 1 </w:instrText>
      </w:r>
      <w:r w:rsidRPr="00496A4D">
        <w:rPr>
          <w:rFonts w:ascii="Cambria" w:hAnsi="Cambria"/>
          <w:bCs w:val="0"/>
        </w:rPr>
        <w:fldChar w:fldCharType="separate"/>
      </w:r>
      <w:r w:rsidR="00507A67">
        <w:rPr>
          <w:rFonts w:ascii="Cambria" w:hAnsi="Cambria"/>
          <w:bCs w:val="0"/>
          <w:noProof/>
        </w:rPr>
        <w:t>7</w:t>
      </w:r>
      <w:r w:rsidRPr="00496A4D">
        <w:rPr>
          <w:rFonts w:ascii="Cambria" w:hAnsi="Cambria"/>
          <w:bCs w:val="0"/>
        </w:rPr>
        <w:fldChar w:fldCharType="end"/>
      </w:r>
      <w:bookmarkEnd w:id="7370"/>
      <w:r w:rsidR="00B00E27" w:rsidRPr="00A52AB8">
        <w:rPr>
          <w:rFonts w:ascii="Cambria" w:hAnsi="Cambria" w:cs="Calibri"/>
          <w:bCs w:val="0"/>
        </w:rPr>
        <w:t> </w:t>
      </w:r>
      <w:r w:rsidR="00B00E27" w:rsidRPr="00A52AB8">
        <w:rPr>
          <w:rFonts w:ascii="Cambria" w:hAnsi="Cambria"/>
        </w:rPr>
        <w:t>– </w:t>
      </w:r>
      <w:r w:rsidRPr="00A52AB8">
        <w:rPr>
          <w:rFonts w:ascii="Cambria" w:hAnsi="Cambria"/>
          <w:bCs w:val="0"/>
        </w:rPr>
        <w:t xml:space="preserve">Definition of </w:t>
      </w:r>
      <w:r w:rsidR="00AA6B7F" w:rsidRPr="00A52AB8">
        <w:rPr>
          <w:rFonts w:ascii="Cambria" w:hAnsi="Cambria"/>
          <w:bCs w:val="0"/>
        </w:rPr>
        <w:t>gs_</w:t>
      </w:r>
      <w:r w:rsidRPr="00A52AB8">
        <w:rPr>
          <w:rFonts w:ascii="Cambria" w:hAnsi="Cambria"/>
          <w:bCs w:val="0"/>
        </w:rPr>
        <w:t>method_type</w:t>
      </w:r>
      <w:r w:rsidR="004B7314" w:rsidRPr="00A52AB8">
        <w:rPr>
          <w:rFonts w:ascii="Cambria" w:hAnsi="Cambria"/>
          <w:bCs w:val="0"/>
        </w:rPr>
        <w:t>[ k ]</w:t>
      </w:r>
    </w:p>
    <w:tbl>
      <w:tblPr>
        <w:tblStyle w:val="TableGrid"/>
        <w:tblW w:w="0" w:type="auto"/>
        <w:jc w:val="center"/>
        <w:tblLook w:val="04A0" w:firstRow="1" w:lastRow="0" w:firstColumn="1" w:lastColumn="0" w:noHBand="0" w:noVBand="1"/>
      </w:tblPr>
      <w:tblGrid>
        <w:gridCol w:w="790"/>
        <w:gridCol w:w="3221"/>
      </w:tblGrid>
      <w:tr w:rsidR="00CC3178" w:rsidRPr="00A52AB8" w14:paraId="173C383C" w14:textId="77777777" w:rsidTr="001B0754">
        <w:trPr>
          <w:jc w:val="center"/>
        </w:trPr>
        <w:tc>
          <w:tcPr>
            <w:tcW w:w="0" w:type="auto"/>
          </w:tcPr>
          <w:p w14:paraId="1698791E" w14:textId="77777777" w:rsidR="00CC3178" w:rsidRPr="00A52AB8" w:rsidRDefault="00CC3178" w:rsidP="001B0754">
            <w:pPr>
              <w:tabs>
                <w:tab w:val="left" w:pos="5490"/>
              </w:tabs>
              <w:spacing w:before="120" w:after="120"/>
              <w:jc w:val="center"/>
              <w:rPr>
                <w:b/>
                <w:bCs/>
              </w:rPr>
            </w:pPr>
            <w:r w:rsidRPr="00A52AB8">
              <w:rPr>
                <w:b/>
                <w:bCs/>
              </w:rPr>
              <w:t>Value</w:t>
            </w:r>
          </w:p>
        </w:tc>
        <w:tc>
          <w:tcPr>
            <w:tcW w:w="0" w:type="auto"/>
          </w:tcPr>
          <w:p w14:paraId="726B3E26" w14:textId="77777777" w:rsidR="00CC3178" w:rsidRPr="00A52AB8" w:rsidRDefault="00CC3178" w:rsidP="001B0754">
            <w:pPr>
              <w:tabs>
                <w:tab w:val="left" w:pos="5490"/>
              </w:tabs>
              <w:spacing w:before="120" w:after="120"/>
              <w:jc w:val="center"/>
              <w:rPr>
                <w:b/>
                <w:bCs/>
              </w:rPr>
            </w:pPr>
            <w:r w:rsidRPr="00A52AB8">
              <w:rPr>
                <w:b/>
                <w:bCs/>
              </w:rPr>
              <w:t>Interpretation</w:t>
            </w:r>
          </w:p>
        </w:tc>
      </w:tr>
      <w:tr w:rsidR="00CC3178" w:rsidRPr="00A52AB8" w14:paraId="7E33A82D" w14:textId="77777777" w:rsidTr="001B0754">
        <w:trPr>
          <w:jc w:val="center"/>
        </w:trPr>
        <w:tc>
          <w:tcPr>
            <w:tcW w:w="0" w:type="auto"/>
          </w:tcPr>
          <w:p w14:paraId="7C461628" w14:textId="77777777" w:rsidR="00CC3178" w:rsidRPr="00A52AB8" w:rsidRDefault="00CC3178" w:rsidP="001B0754">
            <w:pPr>
              <w:tabs>
                <w:tab w:val="left" w:pos="5490"/>
              </w:tabs>
              <w:spacing w:before="120" w:after="120"/>
              <w:jc w:val="center"/>
            </w:pPr>
            <w:r w:rsidRPr="00A52AB8">
              <w:t>0</w:t>
            </w:r>
          </w:p>
        </w:tc>
        <w:tc>
          <w:tcPr>
            <w:tcW w:w="0" w:type="auto"/>
          </w:tcPr>
          <w:p w14:paraId="27CCFDDC" w14:textId="77777777" w:rsidR="00CC3178" w:rsidRPr="00A52AB8" w:rsidRDefault="00CC3178" w:rsidP="001B0754">
            <w:pPr>
              <w:tabs>
                <w:tab w:val="left" w:pos="5490"/>
              </w:tabs>
              <w:spacing w:before="120" w:after="120"/>
              <w:jc w:val="center"/>
            </w:pPr>
            <w:r w:rsidRPr="00A52AB8">
              <w:t>No geometry smoothing</w:t>
            </w:r>
          </w:p>
        </w:tc>
      </w:tr>
      <w:tr w:rsidR="00CC3178" w:rsidRPr="00A52AB8" w14:paraId="17E946DE" w14:textId="77777777" w:rsidTr="001B0754">
        <w:trPr>
          <w:jc w:val="center"/>
        </w:trPr>
        <w:tc>
          <w:tcPr>
            <w:tcW w:w="0" w:type="auto"/>
          </w:tcPr>
          <w:p w14:paraId="1EC7BC96" w14:textId="77777777" w:rsidR="00CC3178" w:rsidRPr="00A52AB8" w:rsidRDefault="00CC3178" w:rsidP="001B0754">
            <w:pPr>
              <w:tabs>
                <w:tab w:val="left" w:pos="5490"/>
              </w:tabs>
              <w:spacing w:before="120" w:after="120"/>
              <w:jc w:val="center"/>
            </w:pPr>
            <w:r w:rsidRPr="00A52AB8">
              <w:t>1</w:t>
            </w:r>
          </w:p>
        </w:tc>
        <w:tc>
          <w:tcPr>
            <w:tcW w:w="0" w:type="auto"/>
          </w:tcPr>
          <w:p w14:paraId="6F9A923E" w14:textId="77777777" w:rsidR="00CC3178" w:rsidRPr="00A52AB8" w:rsidRDefault="00CC3178" w:rsidP="001B0754">
            <w:pPr>
              <w:tabs>
                <w:tab w:val="left" w:pos="5490"/>
              </w:tabs>
              <w:spacing w:before="120" w:after="120"/>
              <w:jc w:val="center"/>
            </w:pPr>
            <w:r w:rsidRPr="00A52AB8">
              <w:t>Grid based geometry smoothing</w:t>
            </w:r>
          </w:p>
        </w:tc>
      </w:tr>
      <w:tr w:rsidR="00CC3178" w:rsidRPr="00A52AB8" w14:paraId="1FA211A8" w14:textId="77777777" w:rsidTr="001B0754">
        <w:trPr>
          <w:jc w:val="center"/>
        </w:trPr>
        <w:tc>
          <w:tcPr>
            <w:tcW w:w="0" w:type="auto"/>
          </w:tcPr>
          <w:p w14:paraId="6B506D51" w14:textId="77777777" w:rsidR="00CC3178" w:rsidRPr="00A52AB8" w:rsidRDefault="002B3B12">
            <w:pPr>
              <w:tabs>
                <w:tab w:val="left" w:pos="5490"/>
              </w:tabs>
              <w:spacing w:before="120" w:after="120"/>
              <w:jc w:val="center"/>
            </w:pPr>
            <w:r w:rsidRPr="00A52AB8">
              <w:t>2</w:t>
            </w:r>
            <w:r w:rsidR="00CC3178" w:rsidRPr="00A52AB8">
              <w:t>-</w:t>
            </w:r>
          </w:p>
        </w:tc>
        <w:tc>
          <w:tcPr>
            <w:tcW w:w="0" w:type="auto"/>
          </w:tcPr>
          <w:p w14:paraId="077E9EE3" w14:textId="77777777" w:rsidR="00CC3178" w:rsidRPr="00A52AB8" w:rsidRDefault="00CC3178" w:rsidP="001B0754">
            <w:pPr>
              <w:tabs>
                <w:tab w:val="left" w:pos="5490"/>
              </w:tabs>
              <w:spacing w:before="120" w:after="120"/>
              <w:jc w:val="center"/>
            </w:pPr>
            <w:r w:rsidRPr="00A52AB8">
              <w:t>Reserved</w:t>
            </w:r>
          </w:p>
        </w:tc>
      </w:tr>
    </w:tbl>
    <w:p w14:paraId="278C0D6F" w14:textId="3F3A0ADA" w:rsidR="00CC3178" w:rsidRPr="00A52AB8" w:rsidRDefault="00CC3178" w:rsidP="00D451D4">
      <w:pPr>
        <w:spacing w:before="240"/>
        <w:rPr>
          <w:color w:val="000000" w:themeColor="text1"/>
        </w:rPr>
      </w:pPr>
      <w:r w:rsidRPr="00A52AB8">
        <w:t xml:space="preserve">Values of </w:t>
      </w:r>
      <w:r w:rsidR="00AA6B7F" w:rsidRPr="00A52AB8">
        <w:t>gs_</w:t>
      </w:r>
      <w:r w:rsidRPr="00A52AB8">
        <w:t>method_type</w:t>
      </w:r>
      <w:r w:rsidR="004B7314" w:rsidRPr="00A52AB8">
        <w:t>[ k ]</w:t>
      </w:r>
      <w:r w:rsidRPr="00A52AB8">
        <w:t xml:space="preserve"> </w:t>
      </w:r>
      <w:r w:rsidR="00602CC1" w:rsidRPr="00A52AB8">
        <w:t>greater than 1</w:t>
      </w:r>
      <w:r w:rsidRPr="00A52AB8">
        <w:t xml:space="preserve"> are reserved for future use by ISO/IEC. It is a requirement of bitstream conformance that bitstreams conforming to this version of this document shall not contain such values of </w:t>
      </w:r>
      <w:r w:rsidR="00AA6B7F" w:rsidRPr="00A52AB8">
        <w:t>gs_</w:t>
      </w:r>
      <w:r w:rsidRPr="00A52AB8">
        <w:t>method_type</w:t>
      </w:r>
      <w:r w:rsidR="004B7314" w:rsidRPr="00A52AB8">
        <w:t>[ k ]</w:t>
      </w:r>
      <w:r w:rsidRPr="00A52AB8">
        <w:t xml:space="preserve">. Decoders shall ignore geometry smoothing SEI messages that contain reserved values of </w:t>
      </w:r>
      <w:r w:rsidR="00AA6B7F" w:rsidRPr="00A52AB8">
        <w:t>gs_</w:t>
      </w:r>
      <w:r w:rsidRPr="00A52AB8">
        <w:t>method_type</w:t>
      </w:r>
      <w:r w:rsidR="004B7314" w:rsidRPr="00A52AB8">
        <w:t>[ k ]</w:t>
      </w:r>
      <w:r w:rsidRPr="00A52AB8">
        <w:t>.</w:t>
      </w:r>
      <w:r w:rsidR="006E4C8E" w:rsidRPr="00A52AB8">
        <w:rPr>
          <w:color w:val="000000" w:themeColor="text1"/>
        </w:rPr>
        <w:t xml:space="preserve"> The default value of </w:t>
      </w:r>
      <w:r w:rsidR="006E4C8E" w:rsidRPr="00A52AB8">
        <w:rPr>
          <w:bCs/>
        </w:rPr>
        <w:t>gs_method_type[ k ] is equal to 0.</w:t>
      </w:r>
    </w:p>
    <w:p w14:paraId="42EC2607" w14:textId="6BD0FEA1" w:rsidR="001C6D8B" w:rsidRPr="00A52AB8" w:rsidRDefault="001C6D8B" w:rsidP="007656E5">
      <w:pPr>
        <w:rPr>
          <w:bCs/>
          <w:color w:val="000000" w:themeColor="text1"/>
        </w:rPr>
      </w:pPr>
      <w:r w:rsidRPr="00A52AB8">
        <w:rPr>
          <w:b/>
        </w:rPr>
        <w:t>gs_filter_eom_points_flag</w:t>
      </w:r>
      <w:r w:rsidRPr="00A52AB8">
        <w:t>[ k ]</w:t>
      </w:r>
      <w:r w:rsidRPr="00A52AB8">
        <w:rPr>
          <w:b/>
        </w:rPr>
        <w:t xml:space="preserve"> </w:t>
      </w:r>
      <w:r w:rsidRPr="00A52AB8">
        <w:t>equal to 1</w:t>
      </w:r>
      <w:r w:rsidRPr="00A52AB8">
        <w:rPr>
          <w:b/>
        </w:rPr>
        <w:t xml:space="preserve"> </w:t>
      </w:r>
      <w:r w:rsidRPr="00A52AB8">
        <w:t>specifies that geometry smoothing is applied to EOM points for the geometry smoothing instance with index k. gs_filter_eom_points_flag[ k ] equal to 0</w:t>
      </w:r>
      <w:r w:rsidRPr="00A52AB8">
        <w:rPr>
          <w:b/>
        </w:rPr>
        <w:t xml:space="preserve"> </w:t>
      </w:r>
      <w:r w:rsidRPr="00A52AB8">
        <w:t xml:space="preserve">specifies that geometry smoothing is not applied to EOM points for the geometry smoothing instance with index k. </w:t>
      </w:r>
      <w:r w:rsidR="00322C49" w:rsidRPr="00A52AB8">
        <w:t xml:space="preserve">The default value </w:t>
      </w:r>
      <w:r w:rsidRPr="00A52AB8">
        <w:t>of gs_filter_eom_points_flag[ k ] is</w:t>
      </w:r>
      <w:r w:rsidRPr="00A52AB8">
        <w:rPr>
          <w:bCs/>
          <w:color w:val="000000" w:themeColor="text1"/>
        </w:rPr>
        <w:t xml:space="preserve"> equal to 0.</w:t>
      </w:r>
    </w:p>
    <w:p w14:paraId="571EDFFD" w14:textId="546AEB33" w:rsidR="006E4C8E" w:rsidRPr="00A52AB8" w:rsidRDefault="00AA6B7F" w:rsidP="007656E5">
      <w:pPr>
        <w:rPr>
          <w:color w:val="000000" w:themeColor="text1"/>
        </w:rPr>
      </w:pPr>
      <w:r w:rsidRPr="00A52AB8">
        <w:rPr>
          <w:b/>
        </w:rPr>
        <w:t>gs_</w:t>
      </w:r>
      <w:r w:rsidR="00CC3178" w:rsidRPr="00A52AB8">
        <w:rPr>
          <w:b/>
        </w:rPr>
        <w:t>grid_size_minus2</w:t>
      </w:r>
      <w:r w:rsidR="004B7314" w:rsidRPr="00A52AB8">
        <w:rPr>
          <w:bCs/>
        </w:rPr>
        <w:t>[ k ]</w:t>
      </w:r>
      <w:r w:rsidR="00CC3178" w:rsidRPr="00A52AB8">
        <w:rPr>
          <w:color w:val="000000" w:themeColor="text1"/>
        </w:rPr>
        <w:t xml:space="preserve"> plus 2 specifies the value of the variable GeometrySmoothingGridSize</w:t>
      </w:r>
      <w:r w:rsidR="004B7314" w:rsidRPr="00A52AB8">
        <w:rPr>
          <w:color w:val="000000" w:themeColor="text1"/>
        </w:rPr>
        <w:t>[ k ]</w:t>
      </w:r>
      <w:r w:rsidR="00CC3178" w:rsidRPr="00A52AB8">
        <w:rPr>
          <w:color w:val="000000" w:themeColor="text1"/>
        </w:rPr>
        <w:t xml:space="preserve"> used when processing the current point cloud frame for geometry smoothing instance with index k. The value of </w:t>
      </w:r>
      <w:r w:rsidRPr="00A52AB8">
        <w:rPr>
          <w:color w:val="000000" w:themeColor="text1"/>
        </w:rPr>
        <w:t>gs_</w:t>
      </w:r>
      <w:r w:rsidR="00CC3178" w:rsidRPr="00A52AB8">
        <w:rPr>
          <w:color w:val="000000" w:themeColor="text1"/>
        </w:rPr>
        <w:t>grid_size_minus2</w:t>
      </w:r>
      <w:r w:rsidR="004B7314" w:rsidRPr="00A52AB8">
        <w:rPr>
          <w:bCs/>
        </w:rPr>
        <w:t>[ k ]</w:t>
      </w:r>
      <w:r w:rsidR="00CC3178" w:rsidRPr="00A52AB8" w:rsidDel="00402A41">
        <w:rPr>
          <w:color w:val="000000" w:themeColor="text1"/>
        </w:rPr>
        <w:t xml:space="preserve"> </w:t>
      </w:r>
      <w:r w:rsidR="00CC3178" w:rsidRPr="00A52AB8">
        <w:rPr>
          <w:color w:val="000000" w:themeColor="text1"/>
        </w:rPr>
        <w:t xml:space="preserve">shall be in the range of 0 to </w:t>
      </w:r>
      <w:r w:rsidR="007F767A" w:rsidRPr="00A52AB8">
        <w:rPr>
          <w:color w:val="000000" w:themeColor="text1"/>
        </w:rPr>
        <w:t>31</w:t>
      </w:r>
      <w:r w:rsidR="00CC3178" w:rsidRPr="00A52AB8">
        <w:rPr>
          <w:color w:val="000000" w:themeColor="text1"/>
        </w:rPr>
        <w:t xml:space="preserve">, inclusive. </w:t>
      </w:r>
      <w:r w:rsidR="006E4C8E" w:rsidRPr="00A52AB8">
        <w:rPr>
          <w:color w:val="000000" w:themeColor="text1"/>
        </w:rPr>
        <w:t xml:space="preserve">The default value of </w:t>
      </w:r>
      <w:r w:rsidR="006E4C8E" w:rsidRPr="00A52AB8">
        <w:rPr>
          <w:bCs/>
        </w:rPr>
        <w:t>gs_grid_size_minus2[ k ] is equal to 0.</w:t>
      </w:r>
    </w:p>
    <w:p w14:paraId="787BB80D" w14:textId="79D763DC" w:rsidR="00CC3178" w:rsidRPr="00A52AB8" w:rsidRDefault="00CC3178" w:rsidP="007656E5">
      <w:pPr>
        <w:rPr>
          <w:color w:val="000000" w:themeColor="text1"/>
        </w:rPr>
      </w:pPr>
      <w:r w:rsidRPr="00A52AB8">
        <w:rPr>
          <w:color w:val="000000" w:themeColor="text1"/>
        </w:rPr>
        <w:t>The value of GeometrySmoothingGridSize</w:t>
      </w:r>
      <w:r w:rsidR="004B7314" w:rsidRPr="00A52AB8">
        <w:rPr>
          <w:color w:val="000000" w:themeColor="text1"/>
        </w:rPr>
        <w:t>[ k ]</w:t>
      </w:r>
      <w:r w:rsidRPr="00A52AB8">
        <w:rPr>
          <w:color w:val="000000" w:themeColor="text1"/>
        </w:rPr>
        <w:t xml:space="preserve"> is computed as follows:</w:t>
      </w:r>
    </w:p>
    <w:p w14:paraId="3D50BEF0" w14:textId="5D0E794A" w:rsidR="00CC3178" w:rsidRPr="00A52AB8" w:rsidRDefault="00CC3178" w:rsidP="007656E5">
      <w:pPr>
        <w:rPr>
          <w:color w:val="000000" w:themeColor="text1"/>
        </w:rPr>
      </w:pPr>
      <w:r w:rsidRPr="00A52AB8">
        <w:rPr>
          <w:color w:val="000000" w:themeColor="text1"/>
        </w:rPr>
        <w:tab/>
        <w:t>GeometrySmoothingGridSize</w:t>
      </w:r>
      <w:r w:rsidR="004B7314" w:rsidRPr="00A52AB8">
        <w:rPr>
          <w:color w:val="000000" w:themeColor="text1"/>
        </w:rPr>
        <w:t>[ k ]</w:t>
      </w:r>
      <w:r w:rsidR="00D47707" w:rsidRPr="00A52AB8">
        <w:rPr>
          <w:color w:val="000000" w:themeColor="text1"/>
        </w:rPr>
        <w:t> = </w:t>
      </w:r>
      <w:r w:rsidR="00AA6B7F" w:rsidRPr="00A52AB8">
        <w:t>gs_</w:t>
      </w:r>
      <w:r w:rsidRPr="00A52AB8">
        <w:t>grid_size_minus2</w:t>
      </w:r>
      <w:r w:rsidR="004B7314" w:rsidRPr="00A52AB8">
        <w:rPr>
          <w:bCs/>
        </w:rPr>
        <w:t>[ k ]</w:t>
      </w:r>
      <w:r w:rsidR="00867873" w:rsidRPr="00A52AB8">
        <w:rPr>
          <w:color w:val="000000" w:themeColor="text1"/>
        </w:rPr>
        <w:t> </w:t>
      </w:r>
      <w:r w:rsidRPr="00A52AB8">
        <w:rPr>
          <w:color w:val="000000" w:themeColor="text1"/>
        </w:rPr>
        <w:t>+</w:t>
      </w:r>
      <w:r w:rsidR="00867873" w:rsidRPr="00A52AB8">
        <w:rPr>
          <w:color w:val="000000" w:themeColor="text1"/>
        </w:rPr>
        <w:t> </w:t>
      </w:r>
      <w:r w:rsidRPr="00A52AB8">
        <w:rPr>
          <w:color w:val="000000" w:themeColor="text1"/>
        </w:rPr>
        <w:t>2</w:t>
      </w:r>
    </w:p>
    <w:p w14:paraId="5DB9CC89" w14:textId="4012BD45" w:rsidR="001C6D8B" w:rsidRPr="00A52AB8" w:rsidRDefault="00AA6B7F" w:rsidP="007656E5">
      <w:pPr>
        <w:rPr>
          <w:color w:val="000000" w:themeColor="text1"/>
        </w:rPr>
      </w:pPr>
      <w:r w:rsidRPr="00A52AB8">
        <w:rPr>
          <w:b/>
          <w:color w:val="000000" w:themeColor="text1"/>
        </w:rPr>
        <w:t>gs_</w:t>
      </w:r>
      <w:r w:rsidR="00CC3178" w:rsidRPr="00A52AB8">
        <w:rPr>
          <w:b/>
          <w:color w:val="000000" w:themeColor="text1"/>
        </w:rPr>
        <w:t>threshold</w:t>
      </w:r>
      <w:r w:rsidR="004B7314" w:rsidRPr="00A52AB8">
        <w:rPr>
          <w:bCs/>
        </w:rPr>
        <w:t>[ k ]</w:t>
      </w:r>
      <w:r w:rsidR="00CC3178" w:rsidRPr="00A52AB8">
        <w:rPr>
          <w:color w:val="000000" w:themeColor="text1"/>
        </w:rPr>
        <w:t xml:space="preserve"> indicates the smoothing threshold used for processing the current point cloud frame for geometry smoothing instance with index k. The value of </w:t>
      </w:r>
      <w:r w:rsidRPr="00A52AB8">
        <w:rPr>
          <w:color w:val="000000" w:themeColor="text1"/>
        </w:rPr>
        <w:t>gs_</w:t>
      </w:r>
      <w:r w:rsidR="00CC3178" w:rsidRPr="00A52AB8">
        <w:rPr>
          <w:color w:val="000000" w:themeColor="text1"/>
        </w:rPr>
        <w:t>threshold</w:t>
      </w:r>
      <w:r w:rsidR="004B7314" w:rsidRPr="00A52AB8">
        <w:rPr>
          <w:bCs/>
        </w:rPr>
        <w:t>[ k ]</w:t>
      </w:r>
      <w:r w:rsidR="00CC3178" w:rsidRPr="00A52AB8" w:rsidDel="00402A41">
        <w:rPr>
          <w:color w:val="000000" w:themeColor="text1"/>
        </w:rPr>
        <w:t xml:space="preserve"> </w:t>
      </w:r>
      <w:r w:rsidR="00CC3178" w:rsidRPr="00A52AB8">
        <w:rPr>
          <w:color w:val="000000" w:themeColor="text1"/>
        </w:rPr>
        <w:t>shall be in the range of 0 to 255, inclusive.</w:t>
      </w:r>
      <w:r w:rsidR="006E4C8E" w:rsidRPr="00A52AB8">
        <w:rPr>
          <w:color w:val="000000" w:themeColor="text1"/>
        </w:rPr>
        <w:t xml:space="preserve"> The default value of gs_threshold</w:t>
      </w:r>
      <w:r w:rsidR="006E4C8E" w:rsidRPr="00A52AB8">
        <w:rPr>
          <w:bCs/>
        </w:rPr>
        <w:t>[ k ] is equal to 0.</w:t>
      </w:r>
    </w:p>
    <w:p w14:paraId="1BD50A5A" w14:textId="77777777" w:rsidR="00CC3178" w:rsidRPr="00A52AB8" w:rsidRDefault="00CC3178" w:rsidP="007656E5">
      <w:pPr>
        <w:pStyle w:val="a4"/>
        <w:numPr>
          <w:ilvl w:val="3"/>
          <w:numId w:val="19"/>
        </w:numPr>
        <w:spacing w:before="0"/>
        <w:jc w:val="both"/>
        <w:outlineLvl w:val="9"/>
      </w:pPr>
      <w:bookmarkStart w:id="7371" w:name="_Toc49723383"/>
      <w:bookmarkStart w:id="7372" w:name="_Toc45106027"/>
      <w:bookmarkStart w:id="7373" w:name="_Toc45530941"/>
      <w:bookmarkStart w:id="7374" w:name="_Toc46302308"/>
      <w:bookmarkStart w:id="7375" w:name="_Toc46303133"/>
      <w:bookmarkStart w:id="7376" w:name="_Toc45106028"/>
      <w:bookmarkStart w:id="7377" w:name="_Toc45530942"/>
      <w:bookmarkStart w:id="7378" w:name="_Toc46302309"/>
      <w:bookmarkStart w:id="7379" w:name="_Toc46303134"/>
      <w:bookmarkStart w:id="7380" w:name="_Toc45106029"/>
      <w:bookmarkStart w:id="7381" w:name="_Toc45530943"/>
      <w:bookmarkStart w:id="7382" w:name="_Toc46302310"/>
      <w:bookmarkStart w:id="7383" w:name="_Toc46303135"/>
      <w:bookmarkStart w:id="7384" w:name="_Toc45106030"/>
      <w:bookmarkStart w:id="7385" w:name="_Toc45530944"/>
      <w:bookmarkStart w:id="7386" w:name="_Toc46302311"/>
      <w:bookmarkStart w:id="7387" w:name="_Toc46303136"/>
      <w:bookmarkStart w:id="7388" w:name="_Toc45106031"/>
      <w:bookmarkStart w:id="7389" w:name="_Toc45530945"/>
      <w:bookmarkStart w:id="7390" w:name="_Toc46302312"/>
      <w:bookmarkStart w:id="7391" w:name="_Toc46303137"/>
      <w:bookmarkStart w:id="7392" w:name="_Toc45106032"/>
      <w:bookmarkStart w:id="7393" w:name="_Toc45530946"/>
      <w:bookmarkStart w:id="7394" w:name="_Toc46302313"/>
      <w:bookmarkStart w:id="7395" w:name="_Toc46303138"/>
      <w:bookmarkStart w:id="7396" w:name="_Toc45106033"/>
      <w:bookmarkStart w:id="7397" w:name="_Toc45530947"/>
      <w:bookmarkStart w:id="7398" w:name="_Toc46302314"/>
      <w:bookmarkStart w:id="7399" w:name="_Toc46303139"/>
      <w:bookmarkStart w:id="7400" w:name="_Toc45106034"/>
      <w:bookmarkStart w:id="7401" w:name="_Toc45530948"/>
      <w:bookmarkStart w:id="7402" w:name="_Toc46302315"/>
      <w:bookmarkStart w:id="7403" w:name="_Toc46303140"/>
      <w:bookmarkEnd w:id="7371"/>
      <w:bookmarkEnd w:id="7372"/>
      <w:bookmarkEnd w:id="7373"/>
      <w:bookmarkEnd w:id="7374"/>
      <w:bookmarkEnd w:id="7375"/>
      <w:bookmarkEnd w:id="7376"/>
      <w:bookmarkEnd w:id="7377"/>
      <w:bookmarkEnd w:id="7378"/>
      <w:bookmarkEnd w:id="7379"/>
      <w:bookmarkEnd w:id="7380"/>
      <w:bookmarkEnd w:id="7381"/>
      <w:bookmarkEnd w:id="7382"/>
      <w:bookmarkEnd w:id="7383"/>
      <w:bookmarkEnd w:id="7384"/>
      <w:bookmarkEnd w:id="7385"/>
      <w:bookmarkEnd w:id="7386"/>
      <w:bookmarkEnd w:id="7387"/>
      <w:bookmarkEnd w:id="7388"/>
      <w:bookmarkEnd w:id="7389"/>
      <w:bookmarkEnd w:id="7390"/>
      <w:bookmarkEnd w:id="7391"/>
      <w:bookmarkEnd w:id="7392"/>
      <w:bookmarkEnd w:id="7393"/>
      <w:bookmarkEnd w:id="7394"/>
      <w:bookmarkEnd w:id="7395"/>
      <w:bookmarkEnd w:id="7396"/>
      <w:bookmarkEnd w:id="7397"/>
      <w:bookmarkEnd w:id="7398"/>
      <w:bookmarkEnd w:id="7399"/>
      <w:bookmarkEnd w:id="7400"/>
      <w:bookmarkEnd w:id="7401"/>
      <w:bookmarkEnd w:id="7402"/>
      <w:bookmarkEnd w:id="7403"/>
      <w:r w:rsidRPr="00A52AB8">
        <w:t>Attribute smoothing SEI message semantics</w:t>
      </w:r>
    </w:p>
    <w:p w14:paraId="56FAE4C1" w14:textId="77777777" w:rsidR="00CC3178" w:rsidRPr="00A52AB8" w:rsidRDefault="00CC3178" w:rsidP="007656E5">
      <w:r w:rsidRPr="00A52AB8">
        <w:t>This SEI message specifies the recommended attribute smoothing methods and any associated parameters that could be used to process the attributes of the current point cloud frame after it is reconstructed, so as to obtain improved reconstructed attribute quality.</w:t>
      </w:r>
    </w:p>
    <w:p w14:paraId="72269395" w14:textId="77777777" w:rsidR="00CC3178" w:rsidRPr="00A52AB8" w:rsidRDefault="00CC3178" w:rsidP="007656E5">
      <w:r w:rsidRPr="00A52AB8">
        <w:t>For each attribute, up to 256 different attribute smoothing instances could be specified for use with each point cloud frame. These instances are indicated using a two dimensional array AttributeSmoothingMethod. The attribute smoothing instance that a decoder may select to operate in, is outside the scope of this document.</w:t>
      </w:r>
    </w:p>
    <w:p w14:paraId="4CF8A24E" w14:textId="0309EC47" w:rsidR="00CC3178" w:rsidRPr="00A52AB8" w:rsidRDefault="00CC3178" w:rsidP="007656E5">
      <w:r w:rsidRPr="00A52AB8">
        <w:t xml:space="preserve">At the start of each sequence, let AttributeSmoothingMethod[ j ][ i ] </w:t>
      </w:r>
      <w:r w:rsidR="00674BE9" w:rsidRPr="00A52AB8">
        <w:t xml:space="preserve">be set equal to </w:t>
      </w:r>
      <w:r w:rsidRPr="00A52AB8">
        <w:t>0 for all j and i, where j corresponds to the attribute index and is in the range of 0 to 127, inclusive, and i corresponds to the attribute smoothing instance index and is in the range of 0 to 255, inclusive. When AttributeSmoothingMethod[ j ][ i ] is equal to 0 it means that no attribute smoothing filter is indicated for an attribute index j and its corresponding attribute smoothing instance with index i.</w:t>
      </w:r>
    </w:p>
    <w:p w14:paraId="74FD1C00" w14:textId="265CC678" w:rsidR="00DD4858" w:rsidRPr="00A52AB8" w:rsidRDefault="00AA6B7F" w:rsidP="007656E5">
      <w:r w:rsidRPr="00A52AB8">
        <w:rPr>
          <w:b/>
          <w:bCs/>
        </w:rPr>
        <w:t>as_</w:t>
      </w:r>
      <w:r w:rsidR="00DD4858" w:rsidRPr="00A52AB8">
        <w:rPr>
          <w:b/>
          <w:bCs/>
        </w:rPr>
        <w:t>persistence_flag</w:t>
      </w:r>
      <w:r w:rsidR="00DD4858" w:rsidRPr="00A52AB8">
        <w:t xml:space="preserve"> specifies the persistence of the attribute smoothing SEI message for the current layer.</w:t>
      </w:r>
      <w:r w:rsidR="00995DB9" w:rsidRPr="00A52AB8">
        <w:t xml:space="preserve"> </w:t>
      </w:r>
      <w:r w:rsidRPr="00A52AB8">
        <w:t>as_</w:t>
      </w:r>
      <w:r w:rsidR="00DD4858" w:rsidRPr="00A52AB8">
        <w:t>persistence_flag equal to 0 specifies that the attribute smoothing SEI message applies to the current decoded atlas frame only.</w:t>
      </w:r>
    </w:p>
    <w:p w14:paraId="2D28126E" w14:textId="77777777" w:rsidR="00DD4858" w:rsidRPr="00A52AB8" w:rsidRDefault="00DD4858" w:rsidP="007656E5">
      <w:r w:rsidRPr="00A52AB8">
        <w:t xml:space="preserve">Let aFrmA be the current atlas frame. </w:t>
      </w:r>
      <w:r w:rsidR="00AA6B7F" w:rsidRPr="00A52AB8">
        <w:t>as_</w:t>
      </w:r>
      <w:r w:rsidRPr="00A52AB8">
        <w:t>persistence_flag equal to 1 specifies that the attribute smoothing SEI message persists for the current layer in output order until any of the following conditions are true:</w:t>
      </w:r>
    </w:p>
    <w:p w14:paraId="7557C51F" w14:textId="77777777" w:rsidR="00DD4858" w:rsidRPr="00A52AB8" w:rsidRDefault="003F1BC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A new CAS begins.</w:t>
      </w:r>
    </w:p>
    <w:p w14:paraId="43323B2F" w14:textId="77777777" w:rsidR="00DD4858" w:rsidRPr="00A52AB8" w:rsidRDefault="00DD485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The bitstream ends.</w:t>
      </w:r>
    </w:p>
    <w:p w14:paraId="18E6083E" w14:textId="42E5238A" w:rsidR="00405E1E" w:rsidRPr="00A52AB8" w:rsidRDefault="00405E1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A52AB8">
        <w:rPr>
          <w:color w:val="000000" w:themeColor="text1"/>
        </w:rPr>
        <w:t xml:space="preserve">An atlas frame aFrmB in the current layer in a coded atlas access unit containing </w:t>
      </w:r>
      <w:r w:rsidR="00954795" w:rsidRPr="00A52AB8">
        <w:rPr>
          <w:color w:val="000000" w:themeColor="text1"/>
        </w:rPr>
        <w:t>an attribute</w:t>
      </w:r>
      <w:r w:rsidRPr="00A52AB8">
        <w:rPr>
          <w:color w:val="000000" w:themeColor="text1"/>
        </w:rPr>
        <w:t xml:space="preserve"> smoothing SEI message with the same value of </w:t>
      </w:r>
      <w:r w:rsidR="00954795" w:rsidRPr="00A52AB8">
        <w:rPr>
          <w:color w:val="000000" w:themeColor="text1"/>
        </w:rPr>
        <w:t>a</w:t>
      </w:r>
      <w:r w:rsidRPr="00A52AB8">
        <w:rPr>
          <w:color w:val="000000" w:themeColor="text1"/>
        </w:rPr>
        <w:t>s_persistence_flag and applicable to the current layer is output for which AtlasFrmOrderCnt( aFrmB ) is greater than AtlasFrmOrderCnt( aFrmA ), where AtlasFrmOrderCnt( aFrmB ) and AtlasFrmOrderCnt( aFrmA ) are the AtlasFrmOrderCntVal values of aFrmB and aFrmA, respectively, immediately after the invocation of the decoding process for atlas frame order count for aFrmB.</w:t>
      </w:r>
    </w:p>
    <w:p w14:paraId="10C57E76" w14:textId="70D47F93" w:rsidR="0050235C" w:rsidRPr="00A52AB8" w:rsidRDefault="00AA6B7F" w:rsidP="007656E5">
      <w:r w:rsidRPr="00A52AB8">
        <w:rPr>
          <w:b/>
          <w:bCs/>
        </w:rPr>
        <w:t>as_</w:t>
      </w:r>
      <w:r w:rsidR="00F83388" w:rsidRPr="00A52AB8">
        <w:rPr>
          <w:b/>
          <w:bCs/>
        </w:rPr>
        <w:t>reset</w:t>
      </w:r>
      <w:r w:rsidR="00CC3178" w:rsidRPr="00A52AB8">
        <w:rPr>
          <w:b/>
          <w:bCs/>
        </w:rPr>
        <w:t xml:space="preserve">_flag </w:t>
      </w:r>
      <w:r w:rsidR="00F83388" w:rsidRPr="00A52AB8">
        <w:t>equal to 1 resets all entries in the array AttributeSmoothingMethod to 0</w:t>
      </w:r>
      <w:r w:rsidR="00322C49" w:rsidRPr="00A52AB8">
        <w:t xml:space="preserve"> </w:t>
      </w:r>
      <w:r w:rsidR="00322C49" w:rsidRPr="00A52AB8">
        <w:rPr>
          <w:szCs w:val="20"/>
        </w:rPr>
        <w:t>and all parameters associated with this SEI message are set to their default values</w:t>
      </w:r>
      <w:r w:rsidR="00CC3178" w:rsidRPr="00A52AB8">
        <w:t>.</w:t>
      </w:r>
    </w:p>
    <w:p w14:paraId="722490E1" w14:textId="77777777" w:rsidR="0050235C" w:rsidRPr="00A52AB8" w:rsidRDefault="00CC3178" w:rsidP="007656E5">
      <w:r w:rsidRPr="00A52AB8">
        <w:rPr>
          <w:b/>
          <w:bCs/>
        </w:rPr>
        <w:t xml:space="preserve">as_num_attributes_updated </w:t>
      </w:r>
      <w:r w:rsidRPr="00A52AB8">
        <w:t>specifies the number of attributes for which attribute smoothing instances will be updated in the current attribute smoothing SEI message.</w:t>
      </w:r>
    </w:p>
    <w:p w14:paraId="775E3A09" w14:textId="77777777" w:rsidR="0050235C" w:rsidRPr="00A52AB8" w:rsidRDefault="00CC3178" w:rsidP="007656E5">
      <w:r w:rsidRPr="00A52AB8">
        <w:rPr>
          <w:b/>
          <w:bCs/>
        </w:rPr>
        <w:t>as_attribute_idx</w:t>
      </w:r>
      <w:r w:rsidRPr="00A52AB8">
        <w:t>[ j ]</w:t>
      </w:r>
      <w:r w:rsidRPr="00A52AB8">
        <w:rPr>
          <w:b/>
          <w:bCs/>
        </w:rPr>
        <w:t xml:space="preserve"> </w:t>
      </w:r>
      <w:r w:rsidRPr="00A52AB8">
        <w:t>specifies the j-th attribute index that is to be updated.</w:t>
      </w:r>
    </w:p>
    <w:p w14:paraId="2019958D" w14:textId="4BC569B0" w:rsidR="0050235C" w:rsidRPr="00A52AB8" w:rsidRDefault="00CC3178" w:rsidP="007656E5">
      <w:r w:rsidRPr="00A52AB8">
        <w:rPr>
          <w:b/>
          <w:bCs/>
        </w:rPr>
        <w:t>as_attribute_smoothing_cancel_flag</w:t>
      </w:r>
      <w:r w:rsidR="004B7314" w:rsidRPr="00A52AB8">
        <w:t>[ k ]</w:t>
      </w:r>
      <w:r w:rsidRPr="00A52AB8">
        <w:rPr>
          <w:b/>
          <w:bCs/>
        </w:rPr>
        <w:t xml:space="preserve"> </w:t>
      </w:r>
      <w:r w:rsidRPr="00A52AB8">
        <w:t>equal to 1 indicates that all attribute smoothing instances associated with the attribute with index k should be set to 0, and that AttributeSmoothingMethod</w:t>
      </w:r>
      <w:r w:rsidR="004B7314" w:rsidRPr="00A52AB8">
        <w:t>[ k ]</w:t>
      </w:r>
      <w:r w:rsidRPr="00A52AB8">
        <w:t>[ i ]</w:t>
      </w:r>
      <w:r w:rsidR="004C2BF5" w:rsidRPr="00A52AB8">
        <w:t xml:space="preserve"> and all parameters associated with attribute with index k and attribute smoothing instance with index i,  </w:t>
      </w:r>
      <w:r w:rsidRPr="00A52AB8">
        <w:t>for i being in the range of 0 to 255, should be set to 0</w:t>
      </w:r>
      <w:r w:rsidR="004C2BF5" w:rsidRPr="00A52AB8">
        <w:t xml:space="preserve"> and to their default values, respectively</w:t>
      </w:r>
      <w:r w:rsidRPr="00A52AB8">
        <w:t>.</w:t>
      </w:r>
    </w:p>
    <w:p w14:paraId="41144244" w14:textId="77777777" w:rsidR="0050235C" w:rsidRPr="00A52AB8" w:rsidRDefault="00AA6B7F" w:rsidP="007656E5">
      <w:r w:rsidRPr="00A52AB8">
        <w:rPr>
          <w:b/>
          <w:bCs/>
        </w:rPr>
        <w:t>as_</w:t>
      </w:r>
      <w:r w:rsidR="00CC3178" w:rsidRPr="00A52AB8">
        <w:rPr>
          <w:b/>
          <w:bCs/>
        </w:rPr>
        <w:t>instances_updated</w:t>
      </w:r>
      <w:r w:rsidR="004B7314" w:rsidRPr="00A52AB8">
        <w:t>[ k ]</w:t>
      </w:r>
      <w:r w:rsidR="00CC3178" w:rsidRPr="00A52AB8">
        <w:rPr>
          <w:b/>
          <w:bCs/>
        </w:rPr>
        <w:t xml:space="preserve"> </w:t>
      </w:r>
      <w:r w:rsidR="00CC3178" w:rsidRPr="00A52AB8">
        <w:t>specifies the number of attribute smoothing instances that will be updated for the attribute with index k.</w:t>
      </w:r>
    </w:p>
    <w:p w14:paraId="270EB7A8" w14:textId="77777777" w:rsidR="0050235C" w:rsidRPr="00A52AB8" w:rsidRDefault="00AA6B7F" w:rsidP="007656E5">
      <w:r w:rsidRPr="00A52AB8">
        <w:rPr>
          <w:b/>
          <w:bCs/>
        </w:rPr>
        <w:t>as_</w:t>
      </w:r>
      <w:r w:rsidR="00CC3178" w:rsidRPr="00A52AB8">
        <w:rPr>
          <w:b/>
          <w:bCs/>
        </w:rPr>
        <w:t>instance_index</w:t>
      </w:r>
      <w:r w:rsidR="004B7314" w:rsidRPr="00A52AB8">
        <w:t>[ k ]</w:t>
      </w:r>
      <w:r w:rsidR="00CC3178" w:rsidRPr="00A52AB8">
        <w:t>[ i ]</w:t>
      </w:r>
      <w:r w:rsidR="00CC3178" w:rsidRPr="00A52AB8">
        <w:rPr>
          <w:b/>
          <w:bCs/>
        </w:rPr>
        <w:t xml:space="preserve"> </w:t>
      </w:r>
      <w:r w:rsidR="00CC3178" w:rsidRPr="00A52AB8">
        <w:t>specifies the i-th index of the attribute smoothing instance to be updated for attribute with index k.</w:t>
      </w:r>
    </w:p>
    <w:p w14:paraId="2A8E7C16" w14:textId="5A9DC004" w:rsidR="0050235C" w:rsidRPr="00A52AB8" w:rsidRDefault="00AA6B7F" w:rsidP="007656E5">
      <w:r w:rsidRPr="00A52AB8">
        <w:rPr>
          <w:b/>
          <w:bCs/>
        </w:rPr>
        <w:t>as_</w:t>
      </w:r>
      <w:r w:rsidR="00CC3178" w:rsidRPr="00A52AB8">
        <w:rPr>
          <w:b/>
          <w:bCs/>
        </w:rPr>
        <w:t>instance_cancel_flag</w:t>
      </w:r>
      <w:r w:rsidR="004B7314" w:rsidRPr="00A52AB8">
        <w:t>[ k ]</w:t>
      </w:r>
      <w:r w:rsidR="00CC3178" w:rsidRPr="00A52AB8">
        <w:t>[ m ]</w:t>
      </w:r>
      <w:r w:rsidR="00CC3178" w:rsidRPr="00A52AB8">
        <w:rPr>
          <w:b/>
          <w:bCs/>
        </w:rPr>
        <w:t xml:space="preserve"> </w:t>
      </w:r>
      <w:r w:rsidR="00CC3178" w:rsidRPr="00A52AB8">
        <w:t>equal to 1 indicates that the attribute smoothing instance with index m associated with the attribute with index k should be set to 0, and that AttributeSmoothingMethod</w:t>
      </w:r>
      <w:r w:rsidR="004B7314" w:rsidRPr="00A52AB8">
        <w:t>[ k ]</w:t>
      </w:r>
      <w:r w:rsidR="00CC3178" w:rsidRPr="00A52AB8">
        <w:t>[ m ]</w:t>
      </w:r>
      <w:r w:rsidR="00C61E38" w:rsidRPr="00A52AB8">
        <w:t xml:space="preserve"> </w:t>
      </w:r>
      <w:r w:rsidR="004C2BF5" w:rsidRPr="00A52AB8">
        <w:t xml:space="preserve">and all parameters associated with attribute with index k and attribute smoothing instance with index m </w:t>
      </w:r>
      <w:r w:rsidR="00CC3178" w:rsidRPr="00A52AB8">
        <w:t>should be set to 0</w:t>
      </w:r>
      <w:r w:rsidR="004C2BF5" w:rsidRPr="00A52AB8">
        <w:t xml:space="preserve"> and their default values, respectively</w:t>
      </w:r>
      <w:r w:rsidR="00CC3178" w:rsidRPr="00A52AB8">
        <w:t>.</w:t>
      </w:r>
    </w:p>
    <w:p w14:paraId="775132A2" w14:textId="420EBDFC" w:rsidR="00CC3178" w:rsidRPr="00A52AB8" w:rsidRDefault="00AA6B7F" w:rsidP="007656E5">
      <w:pPr>
        <w:tabs>
          <w:tab w:val="left" w:pos="5490"/>
        </w:tabs>
      </w:pPr>
      <w:r w:rsidRPr="00A52AB8">
        <w:rPr>
          <w:b/>
          <w:bCs/>
        </w:rPr>
        <w:t>as_</w:t>
      </w:r>
      <w:r w:rsidR="00CC3178" w:rsidRPr="00A52AB8">
        <w:rPr>
          <w:b/>
          <w:bCs/>
        </w:rPr>
        <w:t>method_type</w:t>
      </w:r>
      <w:r w:rsidR="004B7314" w:rsidRPr="00A52AB8">
        <w:t>[ k ]</w:t>
      </w:r>
      <w:r w:rsidR="00CC3178" w:rsidRPr="00A52AB8">
        <w:t>[ m ]</w:t>
      </w:r>
      <w:r w:rsidR="00CC3178" w:rsidRPr="00A52AB8">
        <w:rPr>
          <w:b/>
          <w:bCs/>
        </w:rPr>
        <w:t xml:space="preserve"> </w:t>
      </w:r>
      <w:r w:rsidR="00CC3178" w:rsidRPr="00A52AB8">
        <w:t>indicates the attribute smoothing method</w:t>
      </w:r>
      <w:r w:rsidR="00641A99" w:rsidRPr="00A52AB8">
        <w:t>, AttributeSmoothingMethod[ k ][ m ]</w:t>
      </w:r>
      <w:r w:rsidR="00CC3178" w:rsidRPr="00A52AB8">
        <w:t xml:space="preserve"> that is associated with the m-th attribute smoothing instance of attribute with index k as specified in </w:t>
      </w:r>
      <w:r w:rsidR="00602CC1" w:rsidRPr="00496A4D">
        <w:fldChar w:fldCharType="begin"/>
      </w:r>
      <w:r w:rsidR="00602CC1" w:rsidRPr="00A52AB8">
        <w:instrText xml:space="preserve"> REF _Ref47731292 \h </w:instrText>
      </w:r>
      <w:r w:rsidR="006371AA" w:rsidRPr="00A52AB8">
        <w:instrText xml:space="preserve"> \* MERGEFORMAT </w:instrText>
      </w:r>
      <w:r w:rsidR="00602CC1" w:rsidRPr="00496A4D">
        <w:fldChar w:fldCharType="separate"/>
      </w:r>
      <w:r w:rsidR="00507A67" w:rsidRPr="00507A67">
        <w:t>Table H-8</w:t>
      </w:r>
      <w:r w:rsidR="00602CC1" w:rsidRPr="00496A4D">
        <w:fldChar w:fldCharType="end"/>
      </w:r>
      <w:r w:rsidR="00602CC1" w:rsidRPr="00A52AB8">
        <w:t>.</w:t>
      </w:r>
    </w:p>
    <w:p w14:paraId="011070D5" w14:textId="279833A9" w:rsidR="00CC3178" w:rsidRPr="00496A4D" w:rsidRDefault="00CC3178" w:rsidP="00CC3178">
      <w:pPr>
        <w:pStyle w:val="Caption"/>
        <w:rPr>
          <w:rStyle w:val="CaptionChar1"/>
          <w:b/>
          <w:bCs w:val="0"/>
          <w:lang w:val="en-CA"/>
        </w:rPr>
      </w:pPr>
      <w:bookmarkStart w:id="7404" w:name="_Ref47731292"/>
      <w:r w:rsidRPr="00A52AB8">
        <w:rPr>
          <w:rStyle w:val="CaptionChar1"/>
          <w:b/>
          <w:bCs w:val="0"/>
          <w:lang w:val="en-CA"/>
        </w:rPr>
        <w:t xml:space="preserve">Table </w:t>
      </w:r>
      <w:r w:rsidR="008D0A7F" w:rsidRPr="00A52AB8">
        <w:rPr>
          <w:rStyle w:val="CaptionChar1"/>
          <w:b/>
          <w:bCs w:val="0"/>
          <w:lang w:val="en-CA"/>
        </w:rPr>
        <w:t>H-</w:t>
      </w:r>
      <w:r w:rsidRPr="00496A4D">
        <w:rPr>
          <w:rStyle w:val="CaptionChar1"/>
          <w:b/>
          <w:bCs w:val="0"/>
          <w:lang w:val="en-CA"/>
        </w:rPr>
        <w:fldChar w:fldCharType="begin"/>
      </w:r>
      <w:r w:rsidRPr="00A52AB8">
        <w:rPr>
          <w:rStyle w:val="CaptionChar1"/>
          <w:b/>
          <w:bCs w:val="0"/>
          <w:lang w:val="en-CA"/>
        </w:rPr>
        <w:instrText xml:space="preserve"> SEQ Table \* ARABIC \s 1 </w:instrText>
      </w:r>
      <w:r w:rsidRPr="00496A4D">
        <w:rPr>
          <w:rStyle w:val="CaptionChar1"/>
          <w:b/>
          <w:bCs w:val="0"/>
          <w:lang w:val="en-CA"/>
        </w:rPr>
        <w:fldChar w:fldCharType="separate"/>
      </w:r>
      <w:r w:rsidR="00507A67">
        <w:rPr>
          <w:rStyle w:val="CaptionChar1"/>
          <w:b/>
          <w:bCs w:val="0"/>
          <w:noProof/>
          <w:lang w:val="en-CA"/>
        </w:rPr>
        <w:t>8</w:t>
      </w:r>
      <w:r w:rsidRPr="00496A4D">
        <w:rPr>
          <w:rStyle w:val="CaptionChar1"/>
          <w:b/>
          <w:bCs w:val="0"/>
          <w:lang w:val="en-CA"/>
        </w:rPr>
        <w:fldChar w:fldCharType="end"/>
      </w:r>
      <w:bookmarkEnd w:id="7404"/>
      <w:r w:rsidR="00B00E27" w:rsidRPr="00A52AB8">
        <w:rPr>
          <w:rStyle w:val="CaptionChar1"/>
          <w:b/>
          <w:bCs w:val="0"/>
          <w:lang w:val="en-CA"/>
        </w:rPr>
        <w:t> – </w:t>
      </w:r>
      <w:r w:rsidRPr="00A52AB8">
        <w:rPr>
          <w:rStyle w:val="CaptionChar1"/>
          <w:b/>
          <w:bCs w:val="0"/>
          <w:lang w:val="en-CA"/>
        </w:rPr>
        <w:t xml:space="preserve">Definition of </w:t>
      </w:r>
      <w:r w:rsidR="00AA6B7F" w:rsidRPr="00A52AB8">
        <w:rPr>
          <w:rStyle w:val="CaptionChar1"/>
          <w:b/>
          <w:bCs w:val="0"/>
          <w:lang w:val="en-CA"/>
        </w:rPr>
        <w:t>as_</w:t>
      </w:r>
      <w:r w:rsidRPr="00A52AB8">
        <w:rPr>
          <w:rStyle w:val="CaptionChar1"/>
          <w:b/>
          <w:bCs w:val="0"/>
          <w:lang w:val="en-CA"/>
        </w:rPr>
        <w:t>method_type</w:t>
      </w:r>
      <w:r w:rsidR="004B7314" w:rsidRPr="00A52AB8">
        <w:rPr>
          <w:rStyle w:val="CaptionChar1"/>
          <w:b/>
          <w:bCs w:val="0"/>
          <w:lang w:val="en-CA"/>
        </w:rPr>
        <w:t>[ k ]</w:t>
      </w:r>
      <w:r w:rsidRPr="00A52AB8">
        <w:rPr>
          <w:rStyle w:val="CaptionChar1"/>
          <w:b/>
          <w:bCs w:val="0"/>
          <w:lang w:val="en-CA"/>
        </w:rPr>
        <w:t>[ m ]</w:t>
      </w:r>
    </w:p>
    <w:tbl>
      <w:tblPr>
        <w:tblStyle w:val="TableGrid"/>
        <w:tblW w:w="0" w:type="auto"/>
        <w:jc w:val="center"/>
        <w:tblLook w:val="04A0" w:firstRow="1" w:lastRow="0" w:firstColumn="1" w:lastColumn="0" w:noHBand="0" w:noVBand="1"/>
      </w:tblPr>
      <w:tblGrid>
        <w:gridCol w:w="790"/>
        <w:gridCol w:w="3154"/>
      </w:tblGrid>
      <w:tr w:rsidR="00CC3178" w:rsidRPr="00A52AB8" w14:paraId="00777BCF" w14:textId="77777777" w:rsidTr="001B0754">
        <w:trPr>
          <w:jc w:val="center"/>
        </w:trPr>
        <w:tc>
          <w:tcPr>
            <w:tcW w:w="0" w:type="auto"/>
          </w:tcPr>
          <w:p w14:paraId="6EC55825" w14:textId="77777777" w:rsidR="00CC3178" w:rsidRPr="00A52AB8" w:rsidRDefault="00CC3178" w:rsidP="001B0754">
            <w:pPr>
              <w:tabs>
                <w:tab w:val="left" w:pos="5490"/>
              </w:tabs>
              <w:spacing w:before="120" w:after="120"/>
              <w:jc w:val="center"/>
              <w:rPr>
                <w:b/>
                <w:bCs/>
              </w:rPr>
            </w:pPr>
            <w:r w:rsidRPr="00A52AB8">
              <w:rPr>
                <w:b/>
                <w:bCs/>
              </w:rPr>
              <w:t>Value</w:t>
            </w:r>
          </w:p>
        </w:tc>
        <w:tc>
          <w:tcPr>
            <w:tcW w:w="0" w:type="auto"/>
          </w:tcPr>
          <w:p w14:paraId="23D36932" w14:textId="77777777" w:rsidR="00CC3178" w:rsidRPr="00A52AB8" w:rsidRDefault="00CC3178" w:rsidP="001B0754">
            <w:pPr>
              <w:tabs>
                <w:tab w:val="left" w:pos="5490"/>
              </w:tabs>
              <w:spacing w:before="120" w:after="120"/>
              <w:jc w:val="center"/>
              <w:rPr>
                <w:b/>
                <w:bCs/>
              </w:rPr>
            </w:pPr>
            <w:r w:rsidRPr="00A52AB8">
              <w:rPr>
                <w:b/>
                <w:bCs/>
              </w:rPr>
              <w:t>Interpretation</w:t>
            </w:r>
          </w:p>
        </w:tc>
      </w:tr>
      <w:tr w:rsidR="00CC3178" w:rsidRPr="00A52AB8" w14:paraId="11397CE1" w14:textId="77777777" w:rsidTr="001B0754">
        <w:trPr>
          <w:jc w:val="center"/>
        </w:trPr>
        <w:tc>
          <w:tcPr>
            <w:tcW w:w="0" w:type="auto"/>
          </w:tcPr>
          <w:p w14:paraId="02D5631C" w14:textId="77777777" w:rsidR="00CC3178" w:rsidRPr="00A52AB8" w:rsidRDefault="00CC3178" w:rsidP="001B0754">
            <w:pPr>
              <w:tabs>
                <w:tab w:val="left" w:pos="5490"/>
              </w:tabs>
              <w:spacing w:before="120" w:after="120"/>
              <w:jc w:val="center"/>
            </w:pPr>
            <w:r w:rsidRPr="00A52AB8">
              <w:t>0</w:t>
            </w:r>
          </w:p>
        </w:tc>
        <w:tc>
          <w:tcPr>
            <w:tcW w:w="0" w:type="auto"/>
          </w:tcPr>
          <w:p w14:paraId="4F47D169" w14:textId="77777777" w:rsidR="00CC3178" w:rsidRPr="00A52AB8" w:rsidRDefault="00CC3178" w:rsidP="001B0754">
            <w:pPr>
              <w:tabs>
                <w:tab w:val="left" w:pos="5490"/>
              </w:tabs>
              <w:spacing w:before="120" w:after="120"/>
              <w:jc w:val="center"/>
            </w:pPr>
            <w:r w:rsidRPr="00A52AB8">
              <w:t>No attribute smoothing</w:t>
            </w:r>
          </w:p>
        </w:tc>
      </w:tr>
      <w:tr w:rsidR="00CC3178" w:rsidRPr="00A52AB8" w14:paraId="0C3C5A83" w14:textId="77777777" w:rsidTr="001B0754">
        <w:trPr>
          <w:jc w:val="center"/>
        </w:trPr>
        <w:tc>
          <w:tcPr>
            <w:tcW w:w="0" w:type="auto"/>
          </w:tcPr>
          <w:p w14:paraId="657872CB" w14:textId="77777777" w:rsidR="00CC3178" w:rsidRPr="00A52AB8" w:rsidRDefault="00CC3178" w:rsidP="001B0754">
            <w:pPr>
              <w:tabs>
                <w:tab w:val="left" w:pos="5490"/>
              </w:tabs>
              <w:spacing w:before="120" w:after="120"/>
              <w:jc w:val="center"/>
            </w:pPr>
            <w:r w:rsidRPr="00A52AB8">
              <w:t>1</w:t>
            </w:r>
          </w:p>
        </w:tc>
        <w:tc>
          <w:tcPr>
            <w:tcW w:w="0" w:type="auto"/>
          </w:tcPr>
          <w:p w14:paraId="58D8B248" w14:textId="77777777" w:rsidR="00CC3178" w:rsidRPr="00A52AB8" w:rsidRDefault="00CC3178" w:rsidP="001B0754">
            <w:pPr>
              <w:tabs>
                <w:tab w:val="left" w:pos="5490"/>
              </w:tabs>
              <w:spacing w:before="120" w:after="120"/>
              <w:jc w:val="center"/>
            </w:pPr>
            <w:r w:rsidRPr="00A52AB8">
              <w:t>Grid based attribute smoothing</w:t>
            </w:r>
          </w:p>
        </w:tc>
      </w:tr>
      <w:tr w:rsidR="00CC3178" w:rsidRPr="00A52AB8" w14:paraId="143F4B73" w14:textId="77777777" w:rsidTr="001B0754">
        <w:trPr>
          <w:jc w:val="center"/>
        </w:trPr>
        <w:tc>
          <w:tcPr>
            <w:tcW w:w="0" w:type="auto"/>
          </w:tcPr>
          <w:p w14:paraId="02690BB7" w14:textId="77777777" w:rsidR="00CC3178" w:rsidRPr="00A52AB8" w:rsidRDefault="00CC3178">
            <w:pPr>
              <w:tabs>
                <w:tab w:val="left" w:pos="5490"/>
              </w:tabs>
              <w:spacing w:before="120" w:after="120"/>
              <w:jc w:val="center"/>
            </w:pPr>
            <w:r w:rsidRPr="00A52AB8">
              <w:t>2-</w:t>
            </w:r>
          </w:p>
        </w:tc>
        <w:tc>
          <w:tcPr>
            <w:tcW w:w="0" w:type="auto"/>
          </w:tcPr>
          <w:p w14:paraId="12F320D5" w14:textId="77777777" w:rsidR="00CC3178" w:rsidRPr="00A52AB8" w:rsidRDefault="00CC3178" w:rsidP="001B0754">
            <w:pPr>
              <w:tabs>
                <w:tab w:val="left" w:pos="5490"/>
              </w:tabs>
              <w:spacing w:before="120" w:after="120"/>
              <w:jc w:val="center"/>
            </w:pPr>
            <w:r w:rsidRPr="00A52AB8">
              <w:t>Reserved</w:t>
            </w:r>
          </w:p>
        </w:tc>
      </w:tr>
    </w:tbl>
    <w:p w14:paraId="5B3E2A81" w14:textId="21841EB3" w:rsidR="00CC3178" w:rsidRPr="00A52AB8" w:rsidRDefault="00CC3178" w:rsidP="007656E5">
      <w:pPr>
        <w:tabs>
          <w:tab w:val="left" w:pos="5490"/>
        </w:tabs>
        <w:spacing w:before="120"/>
      </w:pPr>
      <w:r w:rsidRPr="00A52AB8">
        <w:t xml:space="preserve">Values of </w:t>
      </w:r>
      <w:r w:rsidR="00AA6B7F" w:rsidRPr="00A52AB8">
        <w:t>as_</w:t>
      </w:r>
      <w:r w:rsidRPr="00A52AB8">
        <w:t>method_type</w:t>
      </w:r>
      <w:r w:rsidR="004B7314" w:rsidRPr="00A52AB8">
        <w:t>[ k ]</w:t>
      </w:r>
      <w:r w:rsidRPr="00A52AB8">
        <w:t xml:space="preserve">[ m ] </w:t>
      </w:r>
      <w:r w:rsidR="00602CC1" w:rsidRPr="00A52AB8">
        <w:t>greater than 1</w:t>
      </w:r>
      <w:r w:rsidRPr="00A52AB8">
        <w:t xml:space="preserve"> are reserved for future use by ISO/IEC. It is a requirement of bitstream conformance that bitstreams conforming to this version of this document shall not contain such values of </w:t>
      </w:r>
      <w:r w:rsidR="00AA6B7F" w:rsidRPr="00A52AB8">
        <w:t>as_</w:t>
      </w:r>
      <w:r w:rsidRPr="00A52AB8">
        <w:t>method_type</w:t>
      </w:r>
      <w:r w:rsidR="004B7314" w:rsidRPr="00A52AB8">
        <w:t>[ k ]</w:t>
      </w:r>
      <w:r w:rsidRPr="00A52AB8">
        <w:t xml:space="preserve">[ m ]. Decoders shall ignore attribute smoothing SEI messages that contain reserved values of </w:t>
      </w:r>
      <w:r w:rsidR="00AA6B7F" w:rsidRPr="00A52AB8">
        <w:t>as_</w:t>
      </w:r>
      <w:r w:rsidRPr="00A52AB8">
        <w:t>method_type</w:t>
      </w:r>
      <w:r w:rsidR="004B7314" w:rsidRPr="00A52AB8">
        <w:t>[ k ]</w:t>
      </w:r>
      <w:r w:rsidRPr="00A52AB8">
        <w:t>[ m ].</w:t>
      </w:r>
      <w:r w:rsidR="006E4C8E" w:rsidRPr="00A52AB8">
        <w:t xml:space="preserve"> The default value of as_method_type[ k ][ m ] is equal to 0.</w:t>
      </w:r>
    </w:p>
    <w:p w14:paraId="7AF18BC0" w14:textId="20939725" w:rsidR="001C6D8B" w:rsidRPr="00A52AB8" w:rsidRDefault="001C6D8B" w:rsidP="007656E5">
      <w:pPr>
        <w:rPr>
          <w:bCs/>
          <w:color w:val="000000" w:themeColor="text1"/>
        </w:rPr>
      </w:pPr>
      <w:r w:rsidRPr="00A52AB8">
        <w:rPr>
          <w:b/>
        </w:rPr>
        <w:t>as_filter_eom_points_flag</w:t>
      </w:r>
      <w:r w:rsidRPr="00A52AB8">
        <w:t>[ k ][ m ]</w:t>
      </w:r>
      <w:r w:rsidRPr="00A52AB8">
        <w:rPr>
          <w:b/>
        </w:rPr>
        <w:t xml:space="preserve"> </w:t>
      </w:r>
      <w:r w:rsidRPr="00A52AB8">
        <w:t>equal to 1</w:t>
      </w:r>
      <w:r w:rsidRPr="00A52AB8">
        <w:rPr>
          <w:b/>
        </w:rPr>
        <w:t xml:space="preserve"> </w:t>
      </w:r>
      <w:r w:rsidRPr="00A52AB8">
        <w:t>specifies that attribute smoothing is applied to EOM points for the m-th attribute smoothing instance of attribute with index k. as_filter_eom_points_flag[ k ][ m ]</w:t>
      </w:r>
      <w:r w:rsidRPr="00A52AB8">
        <w:rPr>
          <w:b/>
        </w:rPr>
        <w:t xml:space="preserve"> </w:t>
      </w:r>
      <w:r w:rsidRPr="00A52AB8">
        <w:t>equal to 0</w:t>
      </w:r>
      <w:r w:rsidRPr="00A52AB8">
        <w:rPr>
          <w:b/>
        </w:rPr>
        <w:t xml:space="preserve"> </w:t>
      </w:r>
      <w:r w:rsidRPr="00A52AB8">
        <w:t>specifies that attribute smoothing is not applied to EOM points for the m-th attribute smoothing instance of attribute with index k.</w:t>
      </w:r>
      <w:r w:rsidR="00497A2C" w:rsidRPr="00A52AB8">
        <w:t xml:space="preserve"> </w:t>
      </w:r>
      <w:r w:rsidR="00497A2C" w:rsidRPr="00A52AB8">
        <w:rPr>
          <w:bCs/>
          <w:color w:val="000000" w:themeColor="text1"/>
        </w:rPr>
        <w:t>The default value of as_</w:t>
      </w:r>
      <w:r w:rsidR="00497A2C" w:rsidRPr="00A52AB8">
        <w:rPr>
          <w:bCs/>
        </w:rPr>
        <w:t>filter_eom_points_flag</w:t>
      </w:r>
      <w:r w:rsidR="00497A2C" w:rsidRPr="00A52AB8">
        <w:rPr>
          <w:color w:val="000000" w:themeColor="text1"/>
        </w:rPr>
        <w:t>[ k ][ m ]</w:t>
      </w:r>
      <w:r w:rsidR="00497A2C" w:rsidRPr="00A52AB8">
        <w:rPr>
          <w:bCs/>
          <w:color w:val="000000" w:themeColor="text1"/>
        </w:rPr>
        <w:t xml:space="preserve"> is equal to 0. </w:t>
      </w:r>
    </w:p>
    <w:p w14:paraId="0C225AE6" w14:textId="2DECA27F" w:rsidR="00497A2C" w:rsidRPr="00A52AB8" w:rsidRDefault="00AA6B7F" w:rsidP="007656E5">
      <w:pPr>
        <w:rPr>
          <w:bCs/>
          <w:color w:val="000000" w:themeColor="text1"/>
        </w:rPr>
      </w:pPr>
      <w:r w:rsidRPr="00A52AB8">
        <w:rPr>
          <w:b/>
          <w:bCs/>
          <w:color w:val="000000" w:themeColor="text1"/>
        </w:rPr>
        <w:t>as_</w:t>
      </w:r>
      <w:r w:rsidR="00CC3178" w:rsidRPr="00A52AB8">
        <w:rPr>
          <w:b/>
          <w:bCs/>
          <w:color w:val="000000" w:themeColor="text1"/>
        </w:rPr>
        <w:t>grid_size_minus2</w:t>
      </w:r>
      <w:r w:rsidR="004B7314" w:rsidRPr="00A52AB8">
        <w:rPr>
          <w:color w:val="000000" w:themeColor="text1"/>
        </w:rPr>
        <w:t>[ k ]</w:t>
      </w:r>
      <w:r w:rsidR="00CC3178" w:rsidRPr="00A52AB8">
        <w:rPr>
          <w:color w:val="000000" w:themeColor="text1"/>
        </w:rPr>
        <w:t>[ m ] plus 2</w:t>
      </w:r>
      <w:r w:rsidR="00CC3178" w:rsidRPr="00A52AB8">
        <w:rPr>
          <w:bCs/>
          <w:color w:val="000000" w:themeColor="text1"/>
        </w:rPr>
        <w:t xml:space="preserve"> specifies the value of the variable AttributeSmoothingGridSize</w:t>
      </w:r>
      <w:r w:rsidR="004B7314" w:rsidRPr="00A52AB8">
        <w:rPr>
          <w:bCs/>
          <w:color w:val="000000" w:themeColor="text1"/>
        </w:rPr>
        <w:t>[ k ]</w:t>
      </w:r>
      <w:r w:rsidR="00CC3178" w:rsidRPr="00A52AB8">
        <w:rPr>
          <w:bCs/>
          <w:color w:val="000000" w:themeColor="text1"/>
        </w:rPr>
        <w:t xml:space="preserve">[ m ] used for attribute with index k that is associated with attribute smoothing instance with index </w:t>
      </w:r>
      <w:r w:rsidR="00322C49" w:rsidRPr="00A52AB8">
        <w:rPr>
          <w:bCs/>
          <w:color w:val="000000" w:themeColor="text1"/>
        </w:rPr>
        <w:t xml:space="preserve">The default </w:t>
      </w:r>
      <w:r w:rsidR="00CC3178" w:rsidRPr="00A52AB8">
        <w:rPr>
          <w:bCs/>
          <w:color w:val="000000" w:themeColor="text1"/>
        </w:rPr>
        <w:t xml:space="preserve">value of </w:t>
      </w:r>
      <w:r w:rsidRPr="00A52AB8">
        <w:rPr>
          <w:bCs/>
          <w:color w:val="000000" w:themeColor="text1"/>
        </w:rPr>
        <w:t>as_</w:t>
      </w:r>
      <w:r w:rsidR="00CC3178" w:rsidRPr="00A52AB8">
        <w:rPr>
          <w:bCs/>
          <w:color w:val="000000" w:themeColor="text1"/>
        </w:rPr>
        <w:t>grid_size_minus2</w:t>
      </w:r>
      <w:r w:rsidR="004B7314" w:rsidRPr="00A52AB8">
        <w:rPr>
          <w:color w:val="000000" w:themeColor="text1"/>
        </w:rPr>
        <w:t>[ k ]</w:t>
      </w:r>
      <w:r w:rsidR="00CC3178" w:rsidRPr="00A52AB8">
        <w:rPr>
          <w:color w:val="000000" w:themeColor="text1"/>
        </w:rPr>
        <w:t>[ m ]</w:t>
      </w:r>
      <w:r w:rsidR="00CC3178" w:rsidRPr="00A52AB8">
        <w:rPr>
          <w:bCs/>
          <w:color w:val="000000" w:themeColor="text1"/>
        </w:rPr>
        <w:t xml:space="preserve"> is equal to 0. </w:t>
      </w:r>
    </w:p>
    <w:p w14:paraId="1F8B2C61" w14:textId="72499692" w:rsidR="00CC3178" w:rsidRPr="00A52AB8" w:rsidRDefault="00CC3178" w:rsidP="007656E5">
      <w:pPr>
        <w:rPr>
          <w:bCs/>
          <w:color w:val="000000" w:themeColor="text1"/>
        </w:rPr>
      </w:pPr>
      <w:r w:rsidRPr="00A52AB8">
        <w:rPr>
          <w:bCs/>
          <w:color w:val="000000" w:themeColor="text1"/>
        </w:rPr>
        <w:t>The value of AttributeSmoothingGridSize</w:t>
      </w:r>
      <w:r w:rsidR="004B7314" w:rsidRPr="00A52AB8">
        <w:rPr>
          <w:bCs/>
          <w:color w:val="000000" w:themeColor="text1"/>
        </w:rPr>
        <w:t>[ k ]</w:t>
      </w:r>
      <w:r w:rsidRPr="00A52AB8">
        <w:rPr>
          <w:bCs/>
          <w:color w:val="000000" w:themeColor="text1"/>
        </w:rPr>
        <w:t>[ m ] is computed as follows:</w:t>
      </w:r>
    </w:p>
    <w:p w14:paraId="393240CF" w14:textId="08380FDB" w:rsidR="00CC3178" w:rsidRPr="00A52AB8" w:rsidRDefault="00CC3178" w:rsidP="007656E5">
      <w:pPr>
        <w:rPr>
          <w:bCs/>
          <w:color w:val="000000" w:themeColor="text1"/>
        </w:rPr>
      </w:pPr>
      <w:r w:rsidRPr="00A52AB8">
        <w:rPr>
          <w:bCs/>
          <w:color w:val="000000" w:themeColor="text1"/>
        </w:rPr>
        <w:tab/>
        <w:t>AttributeSmoothingGridSize</w:t>
      </w:r>
      <w:r w:rsidR="004B7314" w:rsidRPr="00A52AB8">
        <w:rPr>
          <w:bCs/>
          <w:color w:val="000000" w:themeColor="text1"/>
        </w:rPr>
        <w:t>[ k ]</w:t>
      </w:r>
      <w:r w:rsidRPr="00A52AB8">
        <w:rPr>
          <w:bCs/>
          <w:color w:val="000000" w:themeColor="text1"/>
        </w:rPr>
        <w:t>[ m </w:t>
      </w:r>
      <w:r w:rsidR="000F774A" w:rsidRPr="00A52AB8">
        <w:rPr>
          <w:bCs/>
          <w:color w:val="000000" w:themeColor="text1"/>
        </w:rPr>
        <w:t>]</w:t>
      </w:r>
      <w:r w:rsidR="00D47707" w:rsidRPr="00A52AB8">
        <w:rPr>
          <w:bCs/>
          <w:color w:val="000000" w:themeColor="text1"/>
        </w:rPr>
        <w:t> = </w:t>
      </w:r>
      <w:r w:rsidR="00AA6B7F" w:rsidRPr="00A52AB8">
        <w:rPr>
          <w:bCs/>
          <w:color w:val="000000" w:themeColor="text1"/>
        </w:rPr>
        <w:t>as_</w:t>
      </w:r>
      <w:r w:rsidRPr="00A52AB8">
        <w:rPr>
          <w:bCs/>
          <w:color w:val="000000" w:themeColor="text1"/>
        </w:rPr>
        <w:t>grid_size_minus2</w:t>
      </w:r>
      <w:r w:rsidR="004B7314" w:rsidRPr="00A52AB8">
        <w:rPr>
          <w:bCs/>
          <w:color w:val="000000" w:themeColor="text1"/>
        </w:rPr>
        <w:t>[ k ]</w:t>
      </w:r>
      <w:r w:rsidRPr="00A52AB8">
        <w:rPr>
          <w:bCs/>
          <w:color w:val="000000" w:themeColor="text1"/>
        </w:rPr>
        <w:t>[ i </w:t>
      </w:r>
      <w:r w:rsidR="000F774A" w:rsidRPr="00A52AB8">
        <w:rPr>
          <w:bCs/>
          <w:color w:val="000000" w:themeColor="text1"/>
        </w:rPr>
        <w:t>] + </w:t>
      </w:r>
      <w:r w:rsidRPr="00A52AB8">
        <w:rPr>
          <w:bCs/>
          <w:color w:val="000000" w:themeColor="text1"/>
        </w:rPr>
        <w:t>2</w:t>
      </w:r>
    </w:p>
    <w:p w14:paraId="726FA704" w14:textId="04E2D9A6" w:rsidR="0050235C" w:rsidRPr="00A52AB8" w:rsidRDefault="00AA6B7F" w:rsidP="007656E5">
      <w:pPr>
        <w:rPr>
          <w:bCs/>
          <w:color w:val="000000" w:themeColor="text1"/>
        </w:rPr>
      </w:pPr>
      <w:r w:rsidRPr="00A52AB8">
        <w:rPr>
          <w:b/>
          <w:color w:val="000000" w:themeColor="text1"/>
        </w:rPr>
        <w:t>as_</w:t>
      </w:r>
      <w:r w:rsidR="00CC3178" w:rsidRPr="00A52AB8">
        <w:rPr>
          <w:b/>
          <w:color w:val="000000" w:themeColor="text1"/>
        </w:rPr>
        <w:t>threshold</w:t>
      </w:r>
      <w:r w:rsidR="004B7314" w:rsidRPr="00A52AB8">
        <w:rPr>
          <w:bCs/>
          <w:color w:val="000000" w:themeColor="text1"/>
        </w:rPr>
        <w:t>[ k ]</w:t>
      </w:r>
      <w:r w:rsidR="00CC3178" w:rsidRPr="00A52AB8">
        <w:rPr>
          <w:bCs/>
          <w:color w:val="000000" w:themeColor="text1"/>
        </w:rPr>
        <w:t>[ m ]</w:t>
      </w:r>
      <w:r w:rsidR="00CC3178" w:rsidRPr="00A52AB8" w:rsidDel="004E156B">
        <w:rPr>
          <w:color w:val="000000" w:themeColor="text1"/>
        </w:rPr>
        <w:t xml:space="preserve"> </w:t>
      </w:r>
      <w:r w:rsidR="00CC3178" w:rsidRPr="00A52AB8">
        <w:rPr>
          <w:color w:val="000000" w:themeColor="text1"/>
        </w:rPr>
        <w:t>indicates the attribute smoothing threshold for attribute smoothing instance with index m of attribute with index k</w:t>
      </w:r>
      <w:r w:rsidR="000B0A4F" w:rsidRPr="00A52AB8">
        <w:rPr>
          <w:color w:val="000000" w:themeColor="text1"/>
        </w:rPr>
        <w:t>, assuming a nominal bit depth of 8 bits</w:t>
      </w:r>
      <w:r w:rsidR="00CC3178" w:rsidRPr="00A52AB8">
        <w:rPr>
          <w:color w:val="000000" w:themeColor="text1"/>
        </w:rPr>
        <w:t xml:space="preserve">. The value of </w:t>
      </w:r>
      <w:r w:rsidRPr="00A52AB8">
        <w:rPr>
          <w:color w:val="000000" w:themeColor="text1"/>
        </w:rPr>
        <w:t>as_</w:t>
      </w:r>
      <w:r w:rsidR="00CC3178" w:rsidRPr="00A52AB8">
        <w:rPr>
          <w:color w:val="000000" w:themeColor="text1"/>
        </w:rPr>
        <w:t>threshold</w:t>
      </w:r>
      <w:r w:rsidR="004B7314" w:rsidRPr="00A52AB8">
        <w:rPr>
          <w:bCs/>
          <w:color w:val="000000" w:themeColor="text1"/>
        </w:rPr>
        <w:t>[ k ]</w:t>
      </w:r>
      <w:r w:rsidR="00CC3178" w:rsidRPr="00A52AB8">
        <w:rPr>
          <w:bCs/>
          <w:color w:val="000000" w:themeColor="text1"/>
        </w:rPr>
        <w:t>[ m ]</w:t>
      </w:r>
      <w:r w:rsidR="00CC3178" w:rsidRPr="00A52AB8" w:rsidDel="00402A41">
        <w:rPr>
          <w:color w:val="000000" w:themeColor="text1"/>
        </w:rPr>
        <w:t xml:space="preserve"> </w:t>
      </w:r>
      <w:r w:rsidR="00CC3178" w:rsidRPr="00A52AB8">
        <w:rPr>
          <w:color w:val="000000" w:themeColor="text1"/>
        </w:rPr>
        <w:t xml:space="preserve">shall be in the range of </w:t>
      </w:r>
      <w:r w:rsidR="00D4574D" w:rsidRPr="00A52AB8">
        <w:rPr>
          <w:color w:val="000000" w:themeColor="text1"/>
        </w:rPr>
        <w:t xml:space="preserve">0 </w:t>
      </w:r>
      <w:r w:rsidR="00CC3178" w:rsidRPr="00A52AB8">
        <w:rPr>
          <w:color w:val="000000" w:themeColor="text1"/>
        </w:rPr>
        <w:t>to 255, inclusive.</w:t>
      </w:r>
      <w:r w:rsidR="00497A2C" w:rsidRPr="00A52AB8">
        <w:rPr>
          <w:bCs/>
          <w:color w:val="000000" w:themeColor="text1"/>
        </w:rPr>
        <w:t xml:space="preserve"> The default value of as_threshold</w:t>
      </w:r>
      <w:r w:rsidR="00497A2C" w:rsidRPr="00A52AB8">
        <w:rPr>
          <w:color w:val="000000" w:themeColor="text1"/>
        </w:rPr>
        <w:t>[ k ][ m ]</w:t>
      </w:r>
      <w:r w:rsidR="00497A2C" w:rsidRPr="00A52AB8">
        <w:rPr>
          <w:bCs/>
          <w:color w:val="000000" w:themeColor="text1"/>
        </w:rPr>
        <w:t xml:space="preserve"> is equal to 0. </w:t>
      </w:r>
    </w:p>
    <w:p w14:paraId="550C6F6A" w14:textId="714494D7" w:rsidR="0050235C" w:rsidRPr="00A52AB8" w:rsidRDefault="00AA6B7F" w:rsidP="007656E5">
      <w:pPr>
        <w:rPr>
          <w:bCs/>
          <w:color w:val="000000" w:themeColor="text1"/>
        </w:rPr>
      </w:pPr>
      <w:r w:rsidRPr="00A52AB8">
        <w:rPr>
          <w:b/>
          <w:color w:val="000000" w:themeColor="text1"/>
        </w:rPr>
        <w:t>as_</w:t>
      </w:r>
      <w:r w:rsidR="00CC3178" w:rsidRPr="00A52AB8">
        <w:rPr>
          <w:b/>
          <w:color w:val="000000" w:themeColor="text1"/>
        </w:rPr>
        <w:t>threshold_variation</w:t>
      </w:r>
      <w:r w:rsidR="004B7314" w:rsidRPr="00A52AB8">
        <w:rPr>
          <w:bCs/>
          <w:color w:val="000000" w:themeColor="text1"/>
        </w:rPr>
        <w:t>[ k ]</w:t>
      </w:r>
      <w:r w:rsidR="00CC3178" w:rsidRPr="00A52AB8">
        <w:rPr>
          <w:bCs/>
          <w:color w:val="000000" w:themeColor="text1"/>
        </w:rPr>
        <w:t>[ m ]</w:t>
      </w:r>
      <w:r w:rsidR="00CC3178" w:rsidRPr="00A52AB8">
        <w:rPr>
          <w:color w:val="000000" w:themeColor="text1"/>
        </w:rPr>
        <w:t xml:space="preserve"> indicates the threshold of attribute variation for attribute smoothing instance with index m of attribute with index k</w:t>
      </w:r>
      <w:r w:rsidR="000B0A4F" w:rsidRPr="00A52AB8">
        <w:rPr>
          <w:color w:val="000000" w:themeColor="text1"/>
        </w:rPr>
        <w:t>, assuming a nominal bit depth of 8 bits</w:t>
      </w:r>
      <w:r w:rsidR="00CC3178" w:rsidRPr="00A52AB8">
        <w:rPr>
          <w:color w:val="000000" w:themeColor="text1"/>
        </w:rPr>
        <w:t xml:space="preserve">. The value of </w:t>
      </w:r>
      <w:r w:rsidRPr="00A52AB8">
        <w:rPr>
          <w:color w:val="000000" w:themeColor="text1"/>
        </w:rPr>
        <w:t>as_</w:t>
      </w:r>
      <w:r w:rsidR="00CC3178" w:rsidRPr="00A52AB8">
        <w:rPr>
          <w:color w:val="000000" w:themeColor="text1"/>
        </w:rPr>
        <w:t>threshold_variation</w:t>
      </w:r>
      <w:r w:rsidR="004B7314" w:rsidRPr="00A52AB8">
        <w:rPr>
          <w:bCs/>
          <w:color w:val="000000" w:themeColor="text1"/>
        </w:rPr>
        <w:t>[ k ]</w:t>
      </w:r>
      <w:r w:rsidR="00CC3178" w:rsidRPr="00A52AB8">
        <w:rPr>
          <w:bCs/>
          <w:color w:val="000000" w:themeColor="text1"/>
        </w:rPr>
        <w:t>[ m ]</w:t>
      </w:r>
      <w:r w:rsidR="00CC3178" w:rsidRPr="00A52AB8">
        <w:rPr>
          <w:color w:val="000000" w:themeColor="text1"/>
        </w:rPr>
        <w:t xml:space="preserve"> shall be in the range of </w:t>
      </w:r>
      <w:r w:rsidR="00D4574D" w:rsidRPr="00A52AB8">
        <w:rPr>
          <w:color w:val="000000" w:themeColor="text1"/>
        </w:rPr>
        <w:t xml:space="preserve">0 </w:t>
      </w:r>
      <w:r w:rsidR="00CC3178" w:rsidRPr="00A52AB8">
        <w:rPr>
          <w:color w:val="000000" w:themeColor="text1"/>
        </w:rPr>
        <w:t>to 255, inclusive.</w:t>
      </w:r>
      <w:r w:rsidR="00497A2C" w:rsidRPr="00A52AB8">
        <w:rPr>
          <w:bCs/>
          <w:color w:val="000000" w:themeColor="text1"/>
        </w:rPr>
        <w:t xml:space="preserve"> The default value of as_threshold_variation</w:t>
      </w:r>
      <w:r w:rsidR="00497A2C" w:rsidRPr="00A52AB8">
        <w:rPr>
          <w:color w:val="000000" w:themeColor="text1"/>
        </w:rPr>
        <w:t>[ k ][ m ]</w:t>
      </w:r>
      <w:r w:rsidR="00497A2C" w:rsidRPr="00A52AB8">
        <w:rPr>
          <w:bCs/>
          <w:color w:val="000000" w:themeColor="text1"/>
        </w:rPr>
        <w:t xml:space="preserve"> is equal to 0. </w:t>
      </w:r>
    </w:p>
    <w:p w14:paraId="677E2512" w14:textId="21DC2990" w:rsidR="000B0A4F" w:rsidRPr="00A52AB8" w:rsidRDefault="00AA6B7F" w:rsidP="007656E5">
      <w:pPr>
        <w:rPr>
          <w:bCs/>
          <w:color w:val="000000" w:themeColor="text1"/>
        </w:rPr>
      </w:pPr>
      <w:r w:rsidRPr="00A52AB8">
        <w:rPr>
          <w:b/>
          <w:color w:val="000000" w:themeColor="text1"/>
        </w:rPr>
        <w:t>as_</w:t>
      </w:r>
      <w:r w:rsidR="00CC3178" w:rsidRPr="00A52AB8">
        <w:rPr>
          <w:b/>
          <w:color w:val="000000" w:themeColor="text1"/>
        </w:rPr>
        <w:t>threshold_difference</w:t>
      </w:r>
      <w:r w:rsidR="004B7314" w:rsidRPr="00A52AB8">
        <w:rPr>
          <w:bCs/>
          <w:color w:val="000000" w:themeColor="text1"/>
        </w:rPr>
        <w:t>[ k ]</w:t>
      </w:r>
      <w:r w:rsidR="00CC3178" w:rsidRPr="00A52AB8">
        <w:rPr>
          <w:bCs/>
          <w:color w:val="000000" w:themeColor="text1"/>
        </w:rPr>
        <w:t>[ m ]</w:t>
      </w:r>
      <w:r w:rsidR="00CC3178" w:rsidRPr="00A52AB8">
        <w:rPr>
          <w:b/>
          <w:color w:val="000000" w:themeColor="text1"/>
        </w:rPr>
        <w:t xml:space="preserve"> </w:t>
      </w:r>
      <w:r w:rsidR="00CC3178" w:rsidRPr="00A52AB8">
        <w:rPr>
          <w:color w:val="000000" w:themeColor="text1"/>
        </w:rPr>
        <w:t>indicates the threshold of attribute difference for attribute smoothing instance with index m of attribute with index k</w:t>
      </w:r>
      <w:r w:rsidR="000B0A4F" w:rsidRPr="00A52AB8">
        <w:rPr>
          <w:color w:val="000000" w:themeColor="text1"/>
        </w:rPr>
        <w:t>, assuming a nominal bit depth of 8 bits</w:t>
      </w:r>
      <w:r w:rsidR="00CC3178" w:rsidRPr="00A52AB8">
        <w:rPr>
          <w:color w:val="000000" w:themeColor="text1"/>
        </w:rPr>
        <w:t xml:space="preserve">. The value of </w:t>
      </w:r>
      <w:r w:rsidRPr="00A52AB8">
        <w:rPr>
          <w:color w:val="000000" w:themeColor="text1"/>
        </w:rPr>
        <w:t>as_</w:t>
      </w:r>
      <w:r w:rsidR="00CC3178" w:rsidRPr="00A52AB8">
        <w:rPr>
          <w:color w:val="000000" w:themeColor="text1"/>
        </w:rPr>
        <w:t>threshold_difference</w:t>
      </w:r>
      <w:r w:rsidR="004B7314" w:rsidRPr="00A52AB8">
        <w:rPr>
          <w:bCs/>
          <w:color w:val="000000" w:themeColor="text1"/>
        </w:rPr>
        <w:t>[ k ]</w:t>
      </w:r>
      <w:r w:rsidR="00CC3178" w:rsidRPr="00A52AB8">
        <w:rPr>
          <w:bCs/>
          <w:color w:val="000000" w:themeColor="text1"/>
        </w:rPr>
        <w:t>[ m ]</w:t>
      </w:r>
      <w:r w:rsidR="00CC3178" w:rsidRPr="00A52AB8">
        <w:rPr>
          <w:color w:val="000000" w:themeColor="text1"/>
        </w:rPr>
        <w:t xml:space="preserve"> shall be in the range of </w:t>
      </w:r>
      <w:r w:rsidR="00D4574D" w:rsidRPr="00A52AB8">
        <w:rPr>
          <w:color w:val="000000" w:themeColor="text1"/>
        </w:rPr>
        <w:t xml:space="preserve">0 </w:t>
      </w:r>
      <w:r w:rsidR="00CC3178" w:rsidRPr="00A52AB8">
        <w:rPr>
          <w:color w:val="000000" w:themeColor="text1"/>
        </w:rPr>
        <w:t>to 255, inclusive.</w:t>
      </w:r>
      <w:r w:rsidR="00497A2C" w:rsidRPr="00A52AB8">
        <w:rPr>
          <w:bCs/>
          <w:color w:val="000000" w:themeColor="text1"/>
        </w:rPr>
        <w:t xml:space="preserve"> The default value of as_threshold_difference</w:t>
      </w:r>
      <w:r w:rsidR="00497A2C" w:rsidRPr="00A52AB8">
        <w:rPr>
          <w:color w:val="000000" w:themeColor="text1"/>
        </w:rPr>
        <w:t>[ k ][ m ]</w:t>
      </w:r>
      <w:r w:rsidR="00497A2C" w:rsidRPr="00A52AB8">
        <w:rPr>
          <w:bCs/>
          <w:color w:val="000000" w:themeColor="text1"/>
        </w:rPr>
        <w:t xml:space="preserve"> is equal to 0. </w:t>
      </w:r>
    </w:p>
    <w:p w14:paraId="47A352F3" w14:textId="77777777" w:rsidR="000C73CA" w:rsidRPr="00A52AB8" w:rsidRDefault="000C73CA" w:rsidP="000C73CA">
      <w:pPr>
        <w:pStyle w:val="a2"/>
        <w:numPr>
          <w:ilvl w:val="1"/>
          <w:numId w:val="14"/>
        </w:numPr>
      </w:pPr>
      <w:bookmarkStart w:id="7405" w:name="_Toc49723385"/>
      <w:bookmarkStart w:id="7406" w:name="_Toc47886921"/>
      <w:bookmarkStart w:id="7407" w:name="_Toc47887329"/>
      <w:bookmarkStart w:id="7408" w:name="_Toc47887737"/>
      <w:bookmarkStart w:id="7409" w:name="_Toc47888145"/>
      <w:bookmarkStart w:id="7410" w:name="_Toc47952232"/>
      <w:bookmarkStart w:id="7411" w:name="_Toc47983300"/>
      <w:bookmarkStart w:id="7412" w:name="_Toc47886922"/>
      <w:bookmarkStart w:id="7413" w:name="_Toc47887330"/>
      <w:bookmarkStart w:id="7414" w:name="_Toc47887738"/>
      <w:bookmarkStart w:id="7415" w:name="_Toc47888146"/>
      <w:bookmarkStart w:id="7416" w:name="_Toc47952233"/>
      <w:bookmarkStart w:id="7417" w:name="_Toc47983301"/>
      <w:bookmarkStart w:id="7418" w:name="_Toc37760880"/>
      <w:bookmarkStart w:id="7419" w:name="_Toc52181858"/>
      <w:bookmarkEnd w:id="7405"/>
      <w:bookmarkEnd w:id="7406"/>
      <w:bookmarkEnd w:id="7407"/>
      <w:bookmarkEnd w:id="7408"/>
      <w:bookmarkEnd w:id="7409"/>
      <w:bookmarkEnd w:id="7410"/>
      <w:bookmarkEnd w:id="7411"/>
      <w:bookmarkEnd w:id="7412"/>
      <w:bookmarkEnd w:id="7413"/>
      <w:bookmarkEnd w:id="7414"/>
      <w:bookmarkEnd w:id="7415"/>
      <w:bookmarkEnd w:id="7416"/>
      <w:bookmarkEnd w:id="7417"/>
      <w:r w:rsidRPr="00A52AB8">
        <w:t>Volumetric Usability Information</w:t>
      </w:r>
      <w:bookmarkEnd w:id="7418"/>
      <w:bookmarkEnd w:id="7419"/>
    </w:p>
    <w:p w14:paraId="5FB200DA" w14:textId="3EEE57E9" w:rsidR="004E4A0E" w:rsidRPr="00A52AB8" w:rsidRDefault="000C73CA" w:rsidP="00C8493E">
      <w:r w:rsidRPr="00A52AB8">
        <w:t xml:space="preserve">The specifications in </w:t>
      </w:r>
      <w:r w:rsidR="00A6239C" w:rsidRPr="00496A4D">
        <w:fldChar w:fldCharType="begin"/>
      </w:r>
      <w:r w:rsidR="00A6239C" w:rsidRPr="00A52AB8">
        <w:instrText xml:space="preserve"> REF _Ref21527679 \n \h </w:instrText>
      </w:r>
      <w:r w:rsidR="00CA5401" w:rsidRPr="00A52AB8">
        <w:instrText xml:space="preserve"> \* MERGEFORMAT </w:instrText>
      </w:r>
      <w:r w:rsidR="00A6239C" w:rsidRPr="00496A4D">
        <w:fldChar w:fldCharType="separate"/>
      </w:r>
      <w:r w:rsidR="00507A67">
        <w:t>Annex G</w:t>
      </w:r>
      <w:r w:rsidR="00A6239C" w:rsidRPr="00496A4D">
        <w:fldChar w:fldCharType="end"/>
      </w:r>
      <w:r w:rsidR="003673BB" w:rsidRPr="00A52AB8">
        <w:t xml:space="preserve"> and its subclauses apply</w:t>
      </w:r>
      <w:r w:rsidRPr="00A52AB8">
        <w:t>.</w:t>
      </w:r>
    </w:p>
    <w:p w14:paraId="4AD79D76" w14:textId="77777777" w:rsidR="001A33D0" w:rsidRPr="00A52AB8" w:rsidRDefault="001A33D0" w:rsidP="001000BF">
      <w:pPr>
        <w:pStyle w:val="ANNEX"/>
        <w:ind w:left="0" w:firstLine="0"/>
        <w:rPr>
          <w:color w:val="000000" w:themeColor="text1"/>
        </w:rPr>
      </w:pPr>
      <w:bookmarkStart w:id="7420" w:name="_Toc52181859"/>
      <w:r w:rsidRPr="00A52AB8">
        <w:rPr>
          <w:color w:val="000000" w:themeColor="text1"/>
        </w:rPr>
        <w:t>Bibliography</w:t>
      </w:r>
      <w:bookmarkEnd w:id="4764"/>
      <w:bookmarkEnd w:id="4765"/>
      <w:bookmarkEnd w:id="4766"/>
      <w:bookmarkEnd w:id="4767"/>
      <w:bookmarkEnd w:id="7420"/>
    </w:p>
    <w:p w14:paraId="4CC091C8" w14:textId="77777777" w:rsidR="00F42D50" w:rsidRPr="00A52AB8" w:rsidRDefault="00617DAE">
      <w:pPr>
        <w:pStyle w:val="ListParagraph"/>
        <w:numPr>
          <w:ilvl w:val="0"/>
          <w:numId w:val="141"/>
        </w:numPr>
        <w:tabs>
          <w:tab w:val="clear" w:pos="403"/>
          <w:tab w:val="left" w:pos="663"/>
        </w:tabs>
        <w:ind w:leftChars="0"/>
        <w:rPr>
          <w:color w:val="000000" w:themeColor="text1"/>
        </w:rPr>
      </w:pPr>
      <w:r w:rsidRPr="00A52AB8">
        <w:rPr>
          <w:color w:val="000000" w:themeColor="text1"/>
        </w:rPr>
        <w:t xml:space="preserve">Recommendation ITU-T H.222.0 (in force), </w:t>
      </w:r>
      <w:r w:rsidRPr="00A52AB8">
        <w:rPr>
          <w:i/>
          <w:iCs/>
          <w:color w:val="000000" w:themeColor="text1"/>
        </w:rPr>
        <w:t>Information technology – Generic coding of moving pictures and associated audio information: Systems.</w:t>
      </w:r>
    </w:p>
    <w:p w14:paraId="71EAFEE0" w14:textId="77777777" w:rsidR="00343AB4" w:rsidRPr="00A52AB8" w:rsidRDefault="00F42D50">
      <w:pPr>
        <w:pStyle w:val="ListParagraph"/>
        <w:numPr>
          <w:ilvl w:val="0"/>
          <w:numId w:val="141"/>
        </w:numPr>
        <w:tabs>
          <w:tab w:val="clear" w:pos="403"/>
          <w:tab w:val="left" w:pos="663"/>
        </w:tabs>
        <w:ind w:leftChars="0"/>
        <w:rPr>
          <w:color w:val="000000" w:themeColor="text1"/>
        </w:rPr>
      </w:pPr>
      <w:r w:rsidRPr="00A52AB8">
        <w:rPr>
          <w:color w:val="000000" w:themeColor="text1"/>
        </w:rPr>
        <w:t xml:space="preserve">Recommendation ITU-T H.320 (in force), </w:t>
      </w:r>
      <w:r w:rsidRPr="00A52AB8">
        <w:rPr>
          <w:i/>
          <w:iCs/>
          <w:color w:val="000000" w:themeColor="text1"/>
        </w:rPr>
        <w:t>Narrow-band visual telephone systems and terminal equipment</w:t>
      </w:r>
      <w:r w:rsidRPr="00A52AB8">
        <w:rPr>
          <w:color w:val="000000" w:themeColor="text1"/>
        </w:rPr>
        <w:t>.</w:t>
      </w:r>
    </w:p>
    <w:p w14:paraId="5F40CC56" w14:textId="77777777" w:rsidR="00617DAE" w:rsidRPr="00A52AB8" w:rsidRDefault="00617DAE" w:rsidP="003819BE">
      <w:pPr>
        <w:pStyle w:val="ListParagraph"/>
        <w:numPr>
          <w:ilvl w:val="0"/>
          <w:numId w:val="141"/>
        </w:numPr>
        <w:tabs>
          <w:tab w:val="clear" w:pos="403"/>
          <w:tab w:val="left" w:pos="663"/>
        </w:tabs>
        <w:ind w:leftChars="0"/>
        <w:rPr>
          <w:color w:val="000000" w:themeColor="text1"/>
        </w:rPr>
      </w:pPr>
      <w:r w:rsidRPr="00A52AB8">
        <w:rPr>
          <w:color w:val="000000" w:themeColor="text1"/>
        </w:rPr>
        <w:t xml:space="preserve">ISO/IEC 13818-1(in force), </w:t>
      </w:r>
      <w:r w:rsidRPr="00A52AB8">
        <w:rPr>
          <w:i/>
          <w:iCs/>
          <w:color w:val="000000" w:themeColor="text1"/>
        </w:rPr>
        <w:t>Information technology – Generic coding of moving pictures and associated audio information – Part 1: Systems.</w:t>
      </w:r>
    </w:p>
    <w:p w14:paraId="53EBEDE9" w14:textId="77777777" w:rsidR="0059464C" w:rsidRPr="00A52AB8" w:rsidRDefault="0059464C">
      <w:pPr>
        <w:pStyle w:val="ListParagraph"/>
        <w:numPr>
          <w:ilvl w:val="0"/>
          <w:numId w:val="141"/>
        </w:numPr>
        <w:tabs>
          <w:tab w:val="clear" w:pos="403"/>
          <w:tab w:val="left" w:pos="663"/>
        </w:tabs>
        <w:ind w:leftChars="0"/>
        <w:rPr>
          <w:color w:val="000000" w:themeColor="text1"/>
        </w:rPr>
      </w:pPr>
      <w:r w:rsidRPr="00A52AB8">
        <w:rPr>
          <w:color w:val="000000" w:themeColor="text1"/>
        </w:rPr>
        <w:t xml:space="preserve">ISO/IEC 11578 (in force), </w:t>
      </w:r>
      <w:r w:rsidRPr="00A52AB8">
        <w:rPr>
          <w:i/>
          <w:iCs/>
          <w:color w:val="000000" w:themeColor="text1"/>
        </w:rPr>
        <w:t>Information technology – Open Systems Interconnection – Remote Procedure Call (RPC).</w:t>
      </w:r>
    </w:p>
    <w:p w14:paraId="1D12E85A" w14:textId="5FAAB097" w:rsidR="004B7D63" w:rsidRPr="00A52AB8" w:rsidRDefault="006A7280">
      <w:pPr>
        <w:pStyle w:val="ListParagraph"/>
        <w:numPr>
          <w:ilvl w:val="0"/>
          <w:numId w:val="141"/>
        </w:numPr>
        <w:tabs>
          <w:tab w:val="clear" w:pos="403"/>
          <w:tab w:val="left" w:pos="663"/>
        </w:tabs>
        <w:ind w:leftChars="0"/>
        <w:rPr>
          <w:color w:val="000000" w:themeColor="text1"/>
        </w:rPr>
      </w:pPr>
      <w:r w:rsidRPr="00A52AB8">
        <w:rPr>
          <w:color w:val="000000" w:themeColor="text1"/>
        </w:rPr>
        <w:t xml:space="preserve">ISO/IEC </w:t>
      </w:r>
      <w:r w:rsidR="00A5537E" w:rsidRPr="00A52AB8">
        <w:rPr>
          <w:color w:val="000000" w:themeColor="text1"/>
        </w:rPr>
        <w:t xml:space="preserve">DIS </w:t>
      </w:r>
      <w:r w:rsidRPr="00A52AB8">
        <w:rPr>
          <w:color w:val="000000" w:themeColor="text1"/>
        </w:rPr>
        <w:t xml:space="preserve">23090-10: </w:t>
      </w:r>
      <w:r w:rsidRPr="00A52AB8">
        <w:rPr>
          <w:i/>
          <w:iCs/>
          <w:color w:val="000000" w:themeColor="text1"/>
        </w:rPr>
        <w:t xml:space="preserve">Information technology – </w:t>
      </w:r>
      <w:r w:rsidR="00E07769" w:rsidRPr="00A52AB8">
        <w:rPr>
          <w:i/>
          <w:iCs/>
          <w:color w:val="000000" w:themeColor="text1"/>
        </w:rPr>
        <w:t>Coded representation of immersive media— Part 10: Carriage of Visual Volumetric Video-based Coding Data</w:t>
      </w:r>
      <w:r w:rsidRPr="00A52AB8">
        <w:rPr>
          <w:color w:val="000000" w:themeColor="text1"/>
        </w:rPr>
        <w:t>.</w:t>
      </w:r>
      <w:r w:rsidR="00C350BB" w:rsidRPr="00A52AB8">
        <w:rPr>
          <w:rStyle w:val="FootnoteReference"/>
          <w:color w:val="000000" w:themeColor="text1"/>
        </w:rPr>
        <w:footnoteReference w:id="6"/>
      </w:r>
    </w:p>
    <w:p w14:paraId="388EF961" w14:textId="77777777" w:rsidR="00831869" w:rsidRPr="00A52AB8" w:rsidRDefault="00831869">
      <w:pPr>
        <w:pStyle w:val="ListParagraph"/>
        <w:numPr>
          <w:ilvl w:val="0"/>
          <w:numId w:val="141"/>
        </w:numPr>
        <w:tabs>
          <w:tab w:val="clear" w:pos="403"/>
          <w:tab w:val="left" w:pos="663"/>
        </w:tabs>
        <w:ind w:leftChars="0"/>
        <w:rPr>
          <w:color w:val="000000" w:themeColor="text1"/>
        </w:rPr>
      </w:pPr>
      <w:r w:rsidRPr="00A52AB8">
        <w:rPr>
          <w:color w:val="000000" w:themeColor="text1"/>
        </w:rPr>
        <w:t xml:space="preserve">SMPTE ST 12-1 (2014), </w:t>
      </w:r>
      <w:r w:rsidRPr="00A52AB8">
        <w:rPr>
          <w:i/>
          <w:iCs/>
          <w:color w:val="000000" w:themeColor="text1"/>
        </w:rPr>
        <w:t>Time and Control Code.</w:t>
      </w:r>
    </w:p>
    <w:p w14:paraId="5D87FE59" w14:textId="61543576" w:rsidR="00720659" w:rsidRPr="00A52AB8" w:rsidRDefault="00720659" w:rsidP="00720659">
      <w:pPr>
        <w:pStyle w:val="ListParagraph"/>
        <w:numPr>
          <w:ilvl w:val="0"/>
          <w:numId w:val="141"/>
        </w:numPr>
        <w:tabs>
          <w:tab w:val="clear" w:pos="403"/>
          <w:tab w:val="left" w:pos="663"/>
        </w:tabs>
        <w:ind w:leftChars="0"/>
        <w:rPr>
          <w:color w:val="000000" w:themeColor="text1"/>
        </w:rPr>
      </w:pPr>
      <w:r w:rsidRPr="00A52AB8">
        <w:rPr>
          <w:color w:val="000000" w:themeColor="text1"/>
        </w:rPr>
        <w:t xml:space="preserve">ISO/IEC </w:t>
      </w:r>
      <w:r>
        <w:rPr>
          <w:color w:val="000000" w:themeColor="text1"/>
        </w:rPr>
        <w:t>CD</w:t>
      </w:r>
      <w:r w:rsidRPr="00A52AB8">
        <w:rPr>
          <w:color w:val="000000" w:themeColor="text1"/>
        </w:rPr>
        <w:t xml:space="preserve"> 23090-1</w:t>
      </w:r>
      <w:r>
        <w:rPr>
          <w:color w:val="000000" w:themeColor="text1"/>
        </w:rPr>
        <w:t>2</w:t>
      </w:r>
      <w:r w:rsidRPr="00A52AB8">
        <w:rPr>
          <w:color w:val="000000" w:themeColor="text1"/>
        </w:rPr>
        <w:t xml:space="preserve">: </w:t>
      </w:r>
      <w:r w:rsidRPr="00A52AB8">
        <w:rPr>
          <w:i/>
          <w:iCs/>
          <w:color w:val="000000" w:themeColor="text1"/>
        </w:rPr>
        <w:t>Information technology – Coded representation of immersive media— Part 1</w:t>
      </w:r>
      <w:r>
        <w:rPr>
          <w:i/>
          <w:iCs/>
          <w:color w:val="000000" w:themeColor="text1"/>
        </w:rPr>
        <w:t>2</w:t>
      </w:r>
      <w:r w:rsidRPr="00A52AB8">
        <w:rPr>
          <w:i/>
          <w:iCs/>
          <w:color w:val="000000" w:themeColor="text1"/>
        </w:rPr>
        <w:t xml:space="preserve">: </w:t>
      </w:r>
      <w:r>
        <w:rPr>
          <w:i/>
          <w:iCs/>
          <w:color w:val="000000" w:themeColor="text1"/>
        </w:rPr>
        <w:t>MPEG Immersive Video</w:t>
      </w:r>
      <w:r w:rsidRPr="00A52AB8">
        <w:rPr>
          <w:color w:val="000000" w:themeColor="text1"/>
        </w:rPr>
        <w:t>.</w:t>
      </w:r>
      <w:r w:rsidRPr="00A52AB8">
        <w:rPr>
          <w:rStyle w:val="FootnoteReference"/>
          <w:color w:val="000000" w:themeColor="text1"/>
        </w:rPr>
        <w:footnoteReference w:id="7"/>
      </w:r>
    </w:p>
    <w:sectPr w:rsidR="00720659" w:rsidRPr="00A52AB8" w:rsidSect="00EE572A">
      <w:footerReference w:type="even" r:id="rId43"/>
      <w:footerReference w:type="default" r:id="rId44"/>
      <w:type w:val="oddPage"/>
      <w:pgSz w:w="11906" w:h="16838" w:code="9"/>
      <w:pgMar w:top="794" w:right="1077" w:bottom="567" w:left="1077" w:header="709" w:footer="284"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21C0E28" w14:textId="77777777" w:rsidR="000E745B" w:rsidRDefault="000E745B">
      <w:pPr>
        <w:spacing w:after="0" w:line="240" w:lineRule="auto"/>
      </w:pPr>
      <w:r>
        <w:separator/>
      </w:r>
    </w:p>
  </w:endnote>
  <w:endnote w:type="continuationSeparator" w:id="0">
    <w:p w14:paraId="4DB3E06F" w14:textId="77777777" w:rsidR="000E745B" w:rsidRDefault="000E745B">
      <w:pPr>
        <w:spacing w:after="0" w:line="240" w:lineRule="auto"/>
      </w:pPr>
      <w:r>
        <w:continuationSeparator/>
      </w:r>
    </w:p>
  </w:endnote>
  <w:endnote w:type="continuationNotice" w:id="1">
    <w:p w14:paraId="43113156" w14:textId="77777777" w:rsidR="000E745B" w:rsidRDefault="000E745B">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MS Mincho">
    <w:altName w:val="MS Mincho"/>
    <w:panose1 w:val="02020609040205080304"/>
    <w:charset w:val="80"/>
    <w:family w:val="modern"/>
    <w:pitch w:val="fixed"/>
    <w:sig w:usb0="E00002FF" w:usb1="6AC7FDFB" w:usb2="08000012" w:usb3="00000000" w:csb0="000200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ourier">
    <w:altName w:val="Courier New"/>
    <w:panose1 w:val="02070409020205020404"/>
    <w:charset w:val="00"/>
    <w:family w:val="auto"/>
    <w:pitch w:val="variable"/>
    <w:sig w:usb0="00000003" w:usb1="00000000" w:usb2="00000000" w:usb3="00000000" w:csb0="00000003" w:csb1="00000000"/>
  </w:font>
  <w:font w:name="Calibri Light">
    <w:panose1 w:val="020F0302020204030204"/>
    <w:charset w:val="00"/>
    <w:family w:val="swiss"/>
    <w:pitch w:val="variable"/>
    <w:sig w:usb0="A0002AEF" w:usb1="4000207B" w:usb2="00000000"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003" w:usb1="288F0000" w:usb2="00000016" w:usb3="00000000" w:csb0="00040001" w:csb1="00000000"/>
  </w:font>
  <w:font w:name="Malgun Gothic">
    <w:panose1 w:val="020B0503020000020004"/>
    <w:charset w:val="81"/>
    <w:family w:val="swiss"/>
    <w:pitch w:val="variable"/>
    <w:sig w:usb0="9000002F" w:usb1="29D77CFB" w:usb2="00000012" w:usb3="00000000" w:csb0="00080001" w:csb1="00000000"/>
  </w:font>
  <w:font w:name="ZapfDingbats">
    <w:panose1 w:val="00000000000000000000"/>
    <w:charset w:val="02"/>
    <w:family w:val="decorative"/>
    <w:notTrueType/>
    <w:pitch w:val="variable"/>
    <w:sig w:usb0="00000000" w:usb1="10000000" w:usb2="00000000" w:usb3="00000000" w:csb0="80000000" w:csb1="00000000"/>
  </w:font>
  <w:font w:name="Segoe UI Symbol">
    <w:panose1 w:val="020B0502040204020203"/>
    <w:charset w:val="00"/>
    <w:family w:val="swiss"/>
    <w:pitch w:val="variable"/>
    <w:sig w:usb0="800001E3" w:usb1="1200FFEF" w:usb2="00040000" w:usb3="00000000" w:csb0="00000001" w:csb1="00000000"/>
  </w:font>
  <w:font w:name="Times">
    <w:panose1 w:val="02020603050405020304"/>
    <w:charset w:val="00"/>
    <w:family w:val="auto"/>
    <w:pitch w:val="variable"/>
    <w:sig w:usb0="E00002FF" w:usb1="5000205A" w:usb2="0000000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Arial">
    <w:panose1 w:val="020B0604020202020204"/>
    <w:charset w:val="00"/>
    <w:family w:val="swiss"/>
    <w:pitch w:val="variable"/>
    <w:sig w:usb0="E0002EFF" w:usb1="C000785B" w:usb2="00000009" w:usb3="00000000" w:csb0="000001FF" w:csb1="00000000"/>
  </w:font>
  <w:font w:name="Consolas">
    <w:panose1 w:val="020B0609020204030204"/>
    <w:charset w:val="00"/>
    <w:family w:val="modern"/>
    <w:pitch w:val="fixed"/>
    <w:sig w:usb0="E00006FF" w:usb1="0000FCFF" w:usb2="00000001" w:usb3="00000000" w:csb0="0000019F" w:csb1="00000000"/>
  </w:font>
  <w:font w:name="C39T36Lfz">
    <w:altName w:val="Symbol"/>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auto"/>
    <w:pitch w:val="variable"/>
    <w:sig w:usb0="E00002FF" w:usb1="5000785B" w:usb2="00000000" w:usb3="00000000" w:csb0="0000019F" w:csb1="00000000"/>
  </w:font>
  <w:font w:name="Arial Unicode MS">
    <w:panose1 w:val="020B0604020202020204"/>
    <w:charset w:val="86"/>
    <w:family w:val="swiss"/>
    <w:pitch w:val="variable"/>
    <w:sig w:usb0="F7FFAFFF" w:usb1="E9DFFFFF" w:usb2="0000003F" w:usb3="00000000" w:csb0="003F01FF" w:csb1="00000000"/>
  </w:font>
  <w:font w:name="Menlo">
    <w:charset w:val="00"/>
    <w:family w:val="modern"/>
    <w:pitch w:val="fixed"/>
    <w:sig w:usb0="E60022FF" w:usb1="D200F9FB" w:usb2="02000028" w:usb3="00000000" w:csb0="000001DF" w:csb1="00000000"/>
  </w:font>
  <w:font w:name="Candara">
    <w:panose1 w:val="020E0502030303020204"/>
    <w:charset w:val="00"/>
    <w:family w:val="swiss"/>
    <w:pitch w:val="variable"/>
    <w:sig w:usb0="A00002EF" w:usb1="4000A44B" w:usb2="00000000" w:usb3="00000000" w:csb0="0000019F" w:csb1="00000000"/>
  </w:font>
  <w:font w:name="BatangChe">
    <w:charset w:val="81"/>
    <w:family w:val="modern"/>
    <w:pitch w:val="fixed"/>
    <w:sig w:usb0="B00002AF" w:usb1="69D77CFB" w:usb2="00000030" w:usb3="00000000" w:csb0="0008009F" w:csb1="00000000"/>
  </w:font>
  <w:font w:name="CG Times">
    <w:altName w:val="Times New Roman"/>
    <w:panose1 w:val="00000000000000000000"/>
    <w:charset w:val="00"/>
    <w:family w:val="roman"/>
    <w:notTrueType/>
    <w:pitch w:val="variable"/>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MS PGothic">
    <w:panose1 w:val="020B0600070205080204"/>
    <w:charset w:val="80"/>
    <w:family w:val="swiss"/>
    <w:pitch w:val="variable"/>
    <w:sig w:usb0="E00002FF" w:usb1="6AC7FDFB" w:usb2="08000012" w:usb3="00000000" w:csb0="0002009F" w:csb1="00000000"/>
  </w:font>
  <w:font w:name="Yu Gothic">
    <w:altName w:val="游ゴシック"/>
    <w:panose1 w:val="020B0400000000000000"/>
    <w:charset w:val="80"/>
    <w:family w:val="swiss"/>
    <w:pitch w:val="variable"/>
    <w:sig w:usb0="E00002FF" w:usb1="2AC7FDFF" w:usb2="00000016" w:usb3="00000000" w:csb0="0002009F" w:csb1="00000000"/>
  </w:font>
  <w:font w:name="Lucida Console">
    <w:panose1 w:val="020B0609040504020204"/>
    <w:charset w:val="00"/>
    <w:family w:val="modern"/>
    <w:pitch w:val="fixed"/>
    <w:sig w:usb0="8000028F" w:usb1="00001800" w:usb2="00000000" w:usb3="00000000" w:csb0="0000001F" w:csb1="00000000"/>
  </w:font>
  <w:font w:name="Leelawadee UI">
    <w:panose1 w:val="020B0502040204020203"/>
    <w:charset w:val="00"/>
    <w:family w:val="swiss"/>
    <w:pitch w:val="variable"/>
    <w:sig w:usb0="A3000003" w:usb1="00000000" w:usb2="00010000" w:usb3="00000000" w:csb0="000101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5A14144" w14:textId="77777777" w:rsidR="00633D26" w:rsidRPr="00BA1CC8" w:rsidRDefault="00633D26" w:rsidP="004421EF">
    <w:pPr>
      <w:pStyle w:val="Footer"/>
      <w:spacing w:before="240" w:line="240" w:lineRule="exact"/>
      <w:rPr>
        <w:sz w:val="20"/>
      </w:rPr>
    </w:pPr>
    <w:r w:rsidRPr="00BA1CC8">
      <w:rPr>
        <w:b/>
        <w:sz w:val="20"/>
      </w:rPr>
      <w:fldChar w:fldCharType="begin"/>
    </w:r>
    <w:r w:rsidRPr="00BA1CC8">
      <w:rPr>
        <w:b/>
        <w:sz w:val="20"/>
      </w:rPr>
      <w:instrText xml:space="preserve"> PAGE   \* MERGEFORMAT </w:instrText>
    </w:r>
    <w:r w:rsidRPr="00BA1CC8">
      <w:rPr>
        <w:b/>
        <w:sz w:val="20"/>
      </w:rPr>
      <w:fldChar w:fldCharType="separate"/>
    </w:r>
    <w:r>
      <w:rPr>
        <w:b/>
        <w:noProof/>
        <w:sz w:val="20"/>
      </w:rPr>
      <w:t>2</w:t>
    </w:r>
    <w:r w:rsidRPr="00BA1CC8">
      <w:rPr>
        <w:b/>
        <w:sz w:val="20"/>
      </w:rPr>
      <w:fldChar w:fldCharType="end"/>
    </w:r>
    <w:r w:rsidRPr="00BA1CC8">
      <w:rPr>
        <w:sz w:val="20"/>
      </w:rPr>
      <w:tab/>
      <w:t>© ISO #### – All rights reserved</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CAA3C04" w14:textId="1932233C" w:rsidR="00633D26" w:rsidRPr="00BA1CC8" w:rsidRDefault="00633D26" w:rsidP="00526284">
    <w:pPr>
      <w:pStyle w:val="Footer"/>
      <w:spacing w:line="240" w:lineRule="exact"/>
      <w:rPr>
        <w:sz w:val="20"/>
      </w:rPr>
    </w:pPr>
    <w:r w:rsidRPr="006E50E0">
      <w:rPr>
        <w:sz w:val="20"/>
      </w:rPr>
      <w:fldChar w:fldCharType="begin"/>
    </w:r>
    <w:r w:rsidRPr="006E50E0">
      <w:rPr>
        <w:sz w:val="20"/>
      </w:rPr>
      <w:instrText xml:space="preserve"> PAGE   \* MERGEFORMAT </w:instrText>
    </w:r>
    <w:r w:rsidRPr="006E50E0">
      <w:rPr>
        <w:sz w:val="20"/>
      </w:rPr>
      <w:fldChar w:fldCharType="separate"/>
    </w:r>
    <w:r>
      <w:rPr>
        <w:noProof/>
        <w:sz w:val="20"/>
      </w:rPr>
      <w:t>xvi</w:t>
    </w:r>
    <w:r w:rsidRPr="006E50E0">
      <w:rPr>
        <w:sz w:val="20"/>
      </w:rPr>
      <w:fldChar w:fldCharType="end"/>
    </w:r>
    <w:r w:rsidRPr="00BA1CC8">
      <w:rPr>
        <w:sz w:val="20"/>
      </w:rPr>
      <w:tab/>
      <w:t>© ISO</w:t>
    </w:r>
    <w:r>
      <w:rPr>
        <w:sz w:val="20"/>
        <w:lang w:eastAsia="ja-JP"/>
      </w:rPr>
      <w:t>/IEC</w:t>
    </w:r>
    <w:r w:rsidRPr="00BA1CC8">
      <w:rPr>
        <w:sz w:val="20"/>
      </w:rPr>
      <w:t> </w:t>
    </w:r>
    <w:r>
      <w:rPr>
        <w:sz w:val="20"/>
        <w:lang w:eastAsia="ja-JP"/>
      </w:rPr>
      <w:t>2020</w:t>
    </w:r>
    <w:r w:rsidRPr="00BA1CC8">
      <w:rPr>
        <w:sz w:val="20"/>
      </w:rPr>
      <w:t> – All rights reserved</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09AA215" w14:textId="60D0C78D" w:rsidR="00633D26" w:rsidRPr="00BA1CC8" w:rsidRDefault="00633D26" w:rsidP="00526284">
    <w:pPr>
      <w:pStyle w:val="Footer"/>
      <w:spacing w:line="240" w:lineRule="atLeast"/>
      <w:rPr>
        <w:sz w:val="20"/>
      </w:rPr>
    </w:pPr>
    <w:r>
      <w:rPr>
        <w:sz w:val="20"/>
      </w:rPr>
      <w:t>© ISO</w:t>
    </w:r>
    <w:r>
      <w:rPr>
        <w:sz w:val="20"/>
        <w:lang w:eastAsia="ja-JP"/>
      </w:rPr>
      <w:t>/IEC 2020</w:t>
    </w:r>
    <w:r w:rsidRPr="00BA1CC8">
      <w:rPr>
        <w:sz w:val="20"/>
      </w:rPr>
      <w:t> – All rights reserved</w:t>
    </w:r>
    <w:r w:rsidRPr="00BA1CC8">
      <w:rPr>
        <w:sz w:val="20"/>
      </w:rPr>
      <w:tab/>
    </w:r>
    <w:r w:rsidRPr="006E50E0">
      <w:rPr>
        <w:sz w:val="20"/>
      </w:rPr>
      <w:fldChar w:fldCharType="begin"/>
    </w:r>
    <w:r w:rsidRPr="006E50E0">
      <w:rPr>
        <w:sz w:val="20"/>
      </w:rPr>
      <w:instrText xml:space="preserve"> PAGE   \* MERGEFORMAT </w:instrText>
    </w:r>
    <w:r w:rsidRPr="006E50E0">
      <w:rPr>
        <w:sz w:val="20"/>
      </w:rPr>
      <w:fldChar w:fldCharType="separate"/>
    </w:r>
    <w:r>
      <w:rPr>
        <w:noProof/>
        <w:sz w:val="20"/>
      </w:rPr>
      <w:t>xv</w:t>
    </w:r>
    <w:r w:rsidRPr="006E50E0">
      <w:rPr>
        <w:sz w:val="20"/>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32FE6B8" w14:textId="7884772D" w:rsidR="00633D26" w:rsidRPr="00BA1CC8" w:rsidRDefault="00633D26" w:rsidP="004421EF">
    <w:pPr>
      <w:pStyle w:val="Footer"/>
      <w:spacing w:before="240" w:line="240" w:lineRule="exact"/>
      <w:rPr>
        <w:sz w:val="20"/>
      </w:rPr>
    </w:pPr>
    <w:r w:rsidRPr="006E50E0">
      <w:rPr>
        <w:b/>
        <w:sz w:val="20"/>
      </w:rPr>
      <w:fldChar w:fldCharType="begin"/>
    </w:r>
    <w:r w:rsidRPr="006E50E0">
      <w:rPr>
        <w:b/>
        <w:sz w:val="20"/>
      </w:rPr>
      <w:instrText xml:space="preserve"> PAGE   \* MERGEFORMAT </w:instrText>
    </w:r>
    <w:r w:rsidRPr="006E50E0">
      <w:rPr>
        <w:b/>
        <w:sz w:val="20"/>
      </w:rPr>
      <w:fldChar w:fldCharType="separate"/>
    </w:r>
    <w:r>
      <w:rPr>
        <w:b/>
        <w:noProof/>
        <w:sz w:val="20"/>
      </w:rPr>
      <w:t>10</w:t>
    </w:r>
    <w:r w:rsidRPr="006E50E0">
      <w:rPr>
        <w:b/>
        <w:sz w:val="20"/>
      </w:rPr>
      <w:fldChar w:fldCharType="end"/>
    </w:r>
    <w:r w:rsidRPr="00BA1CC8">
      <w:rPr>
        <w:sz w:val="20"/>
      </w:rPr>
      <w:tab/>
      <w:t>© ISO</w:t>
    </w:r>
    <w:r>
      <w:rPr>
        <w:sz w:val="20"/>
        <w:lang w:eastAsia="ja-JP"/>
      </w:rPr>
      <w:t>/IEC</w:t>
    </w:r>
    <w:r w:rsidRPr="00BA1CC8">
      <w:rPr>
        <w:sz w:val="20"/>
      </w:rPr>
      <w:t> </w:t>
    </w:r>
    <w:r>
      <w:rPr>
        <w:sz w:val="20"/>
        <w:lang w:eastAsia="ja-JP"/>
      </w:rPr>
      <w:t>2020</w:t>
    </w:r>
    <w:r w:rsidRPr="00BA1CC8">
      <w:rPr>
        <w:sz w:val="20"/>
      </w:rPr>
      <w:t> – All rights reserved</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0E5F623" w14:textId="078BD23A" w:rsidR="00633D26" w:rsidRPr="00BA1CC8" w:rsidRDefault="00633D26" w:rsidP="00526284">
    <w:pPr>
      <w:pStyle w:val="Footer"/>
      <w:spacing w:line="240" w:lineRule="atLeast"/>
      <w:rPr>
        <w:sz w:val="20"/>
      </w:rPr>
    </w:pPr>
    <w:r w:rsidRPr="00BA1CC8">
      <w:rPr>
        <w:sz w:val="20"/>
      </w:rPr>
      <w:t>© ISO</w:t>
    </w:r>
    <w:r>
      <w:rPr>
        <w:sz w:val="20"/>
        <w:lang w:eastAsia="ja-JP"/>
      </w:rPr>
      <w:t>/IEC</w:t>
    </w:r>
    <w:r w:rsidRPr="00BA1CC8">
      <w:rPr>
        <w:sz w:val="20"/>
      </w:rPr>
      <w:t> </w:t>
    </w:r>
    <w:r>
      <w:rPr>
        <w:sz w:val="20"/>
        <w:lang w:eastAsia="ja-JP"/>
      </w:rPr>
      <w:t>2020</w:t>
    </w:r>
    <w:r w:rsidRPr="00BA1CC8">
      <w:rPr>
        <w:sz w:val="20"/>
      </w:rPr>
      <w:t> – All rights reserved</w:t>
    </w:r>
    <w:r w:rsidRPr="00BA1CC8">
      <w:rPr>
        <w:sz w:val="20"/>
      </w:rPr>
      <w:tab/>
    </w:r>
    <w:r w:rsidRPr="006E50E0">
      <w:rPr>
        <w:b/>
        <w:sz w:val="20"/>
      </w:rPr>
      <w:fldChar w:fldCharType="begin"/>
    </w:r>
    <w:r w:rsidRPr="006E50E0">
      <w:rPr>
        <w:b/>
        <w:sz w:val="20"/>
      </w:rPr>
      <w:instrText xml:space="preserve"> PAGE   \* MERGEFORMAT </w:instrText>
    </w:r>
    <w:r w:rsidRPr="006E50E0">
      <w:rPr>
        <w:b/>
        <w:sz w:val="20"/>
      </w:rPr>
      <w:fldChar w:fldCharType="separate"/>
    </w:r>
    <w:r>
      <w:rPr>
        <w:b/>
        <w:noProof/>
        <w:sz w:val="20"/>
      </w:rPr>
      <w:t>9</w:t>
    </w:r>
    <w:r w:rsidRPr="006E50E0">
      <w:rPr>
        <w:b/>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9DDC5E3" w14:textId="77777777" w:rsidR="000E745B" w:rsidRDefault="000E745B">
      <w:pPr>
        <w:spacing w:after="0" w:line="240" w:lineRule="auto"/>
      </w:pPr>
      <w:r>
        <w:separator/>
      </w:r>
    </w:p>
  </w:footnote>
  <w:footnote w:type="continuationSeparator" w:id="0">
    <w:p w14:paraId="6E711C65" w14:textId="77777777" w:rsidR="000E745B" w:rsidRDefault="000E745B">
      <w:pPr>
        <w:spacing w:after="0" w:line="240" w:lineRule="auto"/>
      </w:pPr>
      <w:r>
        <w:continuationSeparator/>
      </w:r>
    </w:p>
  </w:footnote>
  <w:footnote w:type="continuationNotice" w:id="1">
    <w:p w14:paraId="39D82803" w14:textId="77777777" w:rsidR="000E745B" w:rsidRDefault="000E745B">
      <w:pPr>
        <w:spacing w:after="0" w:line="240" w:lineRule="auto"/>
      </w:pPr>
    </w:p>
  </w:footnote>
  <w:footnote w:id="2">
    <w:p w14:paraId="79C9B398" w14:textId="707B642A" w:rsidR="00633D26" w:rsidRPr="00007BE2" w:rsidRDefault="00633D26">
      <w:pPr>
        <w:pStyle w:val="FootnoteText"/>
        <w:rPr>
          <w:lang w:val="pl-PL"/>
        </w:rPr>
      </w:pPr>
      <w:r>
        <w:rPr>
          <w:rStyle w:val="FootnoteReference"/>
        </w:rPr>
        <w:footnoteRef/>
      </w:r>
      <w:r>
        <w:t xml:space="preserve"> </w:t>
      </w:r>
      <w:r w:rsidRPr="00381AF8">
        <w:t>Under preparation. Stage at time of publication: ISO/IEC DIS 23090-</w:t>
      </w:r>
      <w:r>
        <w:t>3</w:t>
      </w:r>
      <w:r w:rsidRPr="00381AF8">
        <w:t>:2020.</w:t>
      </w:r>
    </w:p>
  </w:footnote>
  <w:footnote w:id="3">
    <w:p w14:paraId="1DE30D63" w14:textId="23E4C20C" w:rsidR="00720659" w:rsidRDefault="00720659">
      <w:pPr>
        <w:pStyle w:val="FootnoteText"/>
      </w:pPr>
      <w:r>
        <w:rPr>
          <w:rStyle w:val="FootnoteReference"/>
        </w:rPr>
        <w:footnoteRef/>
      </w:r>
      <w:r>
        <w:t xml:space="preserve"> </w:t>
      </w:r>
      <w:r w:rsidRPr="00C669C9">
        <w:t xml:space="preserve">Under preparation. Stage at time of publication: ISO/IEC </w:t>
      </w:r>
      <w:r>
        <w:t>CD</w:t>
      </w:r>
      <w:r w:rsidRPr="00C669C9">
        <w:t xml:space="preserve"> 23090-</w:t>
      </w:r>
      <w:r>
        <w:t>12</w:t>
      </w:r>
      <w:r w:rsidRPr="00C669C9">
        <w:t>:2020</w:t>
      </w:r>
    </w:p>
  </w:footnote>
  <w:footnote w:id="4">
    <w:p w14:paraId="20C39A95" w14:textId="23A78C01" w:rsidR="00633D26" w:rsidRPr="00007BE2" w:rsidRDefault="00633D26">
      <w:pPr>
        <w:pStyle w:val="FootnoteText"/>
        <w:rPr>
          <w:lang w:val="pl-PL"/>
        </w:rPr>
      </w:pPr>
      <w:r>
        <w:rPr>
          <w:rStyle w:val="FootnoteReference"/>
        </w:rPr>
        <w:footnoteRef/>
      </w:r>
      <w:r>
        <w:t xml:space="preserve"> </w:t>
      </w:r>
      <w:r w:rsidRPr="00C669C9">
        <w:t>Under preparation. Stage at time of publication: ISO/IEC DIS 23090-</w:t>
      </w:r>
      <w:r>
        <w:t>10</w:t>
      </w:r>
      <w:r w:rsidRPr="00C669C9">
        <w:t>:2020</w:t>
      </w:r>
    </w:p>
  </w:footnote>
  <w:footnote w:id="5">
    <w:p w14:paraId="3C9DE89A" w14:textId="62E75E4D" w:rsidR="00633D26" w:rsidRPr="00007BE2" w:rsidRDefault="00633D26">
      <w:pPr>
        <w:pStyle w:val="FootnoteText"/>
        <w:rPr>
          <w:lang w:val="pl-PL"/>
        </w:rPr>
      </w:pPr>
      <w:r>
        <w:rPr>
          <w:rStyle w:val="FootnoteReference"/>
        </w:rPr>
        <w:footnoteRef/>
      </w:r>
      <w:r>
        <w:t xml:space="preserve"> </w:t>
      </w:r>
      <w:r w:rsidRPr="00090300">
        <w:t>Under preparation. Stage at time of publication: ISO/IEC DIS 23090-3:2020</w:t>
      </w:r>
    </w:p>
  </w:footnote>
  <w:footnote w:id="6">
    <w:p w14:paraId="324585F8" w14:textId="341871F4" w:rsidR="00633D26" w:rsidRPr="00007BE2" w:rsidRDefault="00633D26">
      <w:pPr>
        <w:pStyle w:val="FootnoteText"/>
        <w:rPr>
          <w:lang w:val="pl-PL"/>
        </w:rPr>
      </w:pPr>
      <w:r>
        <w:rPr>
          <w:rStyle w:val="FootnoteReference"/>
        </w:rPr>
        <w:footnoteRef/>
      </w:r>
      <w:r>
        <w:t xml:space="preserve"> </w:t>
      </w:r>
      <w:r w:rsidRPr="00C350BB">
        <w:t>Under preparation. Stage at time of publication: ISO/IEC DIS 23090-10:2020</w:t>
      </w:r>
    </w:p>
  </w:footnote>
  <w:footnote w:id="7">
    <w:p w14:paraId="45357C3E" w14:textId="086F3A70" w:rsidR="00720659" w:rsidRPr="00007BE2" w:rsidRDefault="00720659" w:rsidP="00720659">
      <w:pPr>
        <w:pStyle w:val="FootnoteText"/>
        <w:rPr>
          <w:lang w:val="pl-PL"/>
        </w:rPr>
      </w:pPr>
      <w:r>
        <w:rPr>
          <w:rStyle w:val="FootnoteReference"/>
        </w:rPr>
        <w:footnoteRef/>
      </w:r>
      <w:r>
        <w:t xml:space="preserve"> </w:t>
      </w:r>
      <w:r w:rsidRPr="00C350BB">
        <w:t xml:space="preserve">Under preparation. Stage at time of publication: ISO/IEC </w:t>
      </w:r>
      <w:r w:rsidR="0046442B">
        <w:t>CD</w:t>
      </w:r>
      <w:r w:rsidRPr="00C350BB">
        <w:t xml:space="preserve"> 23090-1</w:t>
      </w:r>
      <w:r w:rsidR="0046442B">
        <w:t>2</w:t>
      </w:r>
      <w:r w:rsidRPr="00C350BB">
        <w:t>:2020</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20F0EDC" w14:textId="0D41B0DC" w:rsidR="00633D26" w:rsidRPr="00151316" w:rsidRDefault="00507A67" w:rsidP="004421EF">
    <w:pPr>
      <w:pStyle w:val="Header"/>
      <w:spacing w:line="240" w:lineRule="exact"/>
      <w:jc w:val="left"/>
    </w:pPr>
    <w:r w:rsidRPr="006E50E0">
      <w:rPr>
        <w:b w:val="0"/>
        <w:sz w:val="20"/>
      </w:rPr>
      <w:t>© ISO</w:t>
    </w:r>
    <w:r>
      <w:rPr>
        <w:b w:val="0"/>
        <w:sz w:val="20"/>
        <w:lang w:eastAsia="ja-JP"/>
      </w:rPr>
      <w:t>/IEC</w:t>
    </w:r>
    <w:r w:rsidRPr="006E50E0">
      <w:rPr>
        <w:b w:val="0"/>
        <w:sz w:val="20"/>
      </w:rPr>
      <w:t> </w:t>
    </w:r>
    <w:r>
      <w:rPr>
        <w:b w:val="0"/>
        <w:sz w:val="20"/>
        <w:lang w:eastAsia="ja-JP"/>
      </w:rPr>
      <w:t>2020</w:t>
    </w:r>
    <w:r w:rsidRPr="006E50E0">
      <w:rPr>
        <w:b w:val="0"/>
        <w:sz w:val="20"/>
      </w:rPr>
      <w:t> – All rights reserved</w:t>
    </w:r>
    <w:r w:rsidRPr="00151316" w:rsidDel="00507A67">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5AC5023" w14:textId="63C69DF8" w:rsidR="00633D26" w:rsidRPr="00151316" w:rsidRDefault="00633D26" w:rsidP="009374BB">
    <w:pPr>
      <w:pStyle w:val="Header"/>
      <w:tabs>
        <w:tab w:val="left" w:pos="6379"/>
      </w:tabs>
      <w:spacing w:line="240" w:lineRule="exact"/>
      <w:jc w:val="left"/>
    </w:pPr>
    <w:r w:rsidRPr="00151316">
      <w:t>ISO</w:t>
    </w:r>
    <w:r>
      <w:rPr>
        <w:lang w:eastAsia="ja-JP"/>
      </w:rPr>
      <w:t>/IEC</w:t>
    </w:r>
    <w:r w:rsidRPr="00151316">
      <w:t> </w:t>
    </w:r>
    <w:r>
      <w:rPr>
        <w:lang w:eastAsia="ja-JP"/>
      </w:rPr>
      <w:t>23090</w:t>
    </w:r>
    <w:r w:rsidRPr="00151316">
      <w:t>-</w:t>
    </w:r>
    <w:r>
      <w:rPr>
        <w:lang w:eastAsia="ja-JP"/>
      </w:rPr>
      <w:t>5</w:t>
    </w:r>
    <w:r w:rsidRPr="00151316">
      <w:t>:</w:t>
    </w:r>
    <w:r>
      <w:rPr>
        <w:lang w:eastAsia="ja-JP"/>
      </w:rPr>
      <w:t>2020</w:t>
    </w:r>
    <w:r w:rsidRPr="00151316">
      <w:t>(</w:t>
    </w:r>
    <w:r>
      <w:t>2</w:t>
    </w:r>
    <w:r>
      <w:rPr>
        <w:lang w:eastAsia="ja-JP"/>
      </w:rPr>
      <w:t>E</w:t>
    </w:r>
    <w:r w:rsidRPr="00151316">
      <w:t>)</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69D9AEF" w14:textId="41129C77" w:rsidR="00633D26" w:rsidRPr="00151316" w:rsidRDefault="00633D26" w:rsidP="004421EF">
    <w:pPr>
      <w:pStyle w:val="Header"/>
      <w:spacing w:line="240" w:lineRule="exact"/>
      <w:jc w:val="right"/>
    </w:pPr>
    <w:r w:rsidRPr="00151316">
      <w:t>ISO</w:t>
    </w:r>
    <w:r>
      <w:rPr>
        <w:lang w:eastAsia="ja-JP"/>
      </w:rPr>
      <w:t>/IEC</w:t>
    </w:r>
    <w:r w:rsidRPr="00151316">
      <w:t> </w:t>
    </w:r>
    <w:r>
      <w:rPr>
        <w:lang w:eastAsia="ja-JP"/>
      </w:rPr>
      <w:t>23090</w:t>
    </w:r>
    <w:r w:rsidRPr="00151316">
      <w:t>-</w:t>
    </w:r>
    <w:r>
      <w:rPr>
        <w:lang w:eastAsia="ja-JP"/>
      </w:rPr>
      <w:t>5</w:t>
    </w:r>
    <w:r w:rsidRPr="00151316">
      <w:t>:</w:t>
    </w:r>
    <w:r>
      <w:rPr>
        <w:lang w:eastAsia="ja-JP"/>
      </w:rPr>
      <w:t>2020</w:t>
    </w:r>
    <w:r w:rsidRPr="00151316">
      <w:t>(</w:t>
    </w:r>
    <w:r>
      <w:t>2</w:t>
    </w:r>
    <w:r>
      <w:rPr>
        <w:lang w:eastAsia="ja-JP"/>
      </w:rPr>
      <w:t>E</w:t>
    </w:r>
    <w:r w:rsidRPr="00151316">
      <w: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AFB405B0"/>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3E14FFAE"/>
    <w:lvl w:ilvl="0">
      <w:start w:val="1"/>
      <w:numFmt w:val="decimal"/>
      <w:pStyle w:val="ListNumber5"/>
      <w:lvlText w:val="%1."/>
      <w:lvlJc w:val="left"/>
      <w:pPr>
        <w:tabs>
          <w:tab w:val="num" w:pos="1440"/>
        </w:tabs>
        <w:ind w:left="1440" w:hanging="360"/>
      </w:pPr>
      <w:rPr>
        <w:rFonts w:cs="Times New Roman"/>
      </w:rPr>
    </w:lvl>
  </w:abstractNum>
  <w:abstractNum w:abstractNumId="2" w15:restartNumberingAfterBreak="0">
    <w:nsid w:val="FFFFFF7E"/>
    <w:multiLevelType w:val="singleLevel"/>
    <w:tmpl w:val="CEEE1C6E"/>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75E2FDAE"/>
    <w:lvl w:ilvl="0">
      <w:start w:val="1"/>
      <w:numFmt w:val="decimal"/>
      <w:lvlText w:val="%1."/>
      <w:lvlJc w:val="left"/>
      <w:pPr>
        <w:tabs>
          <w:tab w:val="num" w:pos="720"/>
        </w:tabs>
        <w:ind w:left="720" w:hanging="360"/>
      </w:pPr>
    </w:lvl>
  </w:abstractNum>
  <w:abstractNum w:abstractNumId="4" w15:restartNumberingAfterBreak="0">
    <w:nsid w:val="FFFFFF81"/>
    <w:multiLevelType w:val="singleLevel"/>
    <w:tmpl w:val="1C4AB0BA"/>
    <w:lvl w:ilvl="0">
      <w:start w:val="1"/>
      <w:numFmt w:val="bullet"/>
      <w:lvlText w:val=""/>
      <w:lvlJc w:val="left"/>
      <w:pPr>
        <w:tabs>
          <w:tab w:val="num" w:pos="1440"/>
        </w:tabs>
        <w:ind w:left="1440" w:hanging="360"/>
      </w:pPr>
      <w:rPr>
        <w:rFonts w:ascii="Symbol" w:hAnsi="Symbol" w:hint="default"/>
      </w:rPr>
    </w:lvl>
  </w:abstractNum>
  <w:abstractNum w:abstractNumId="5" w15:restartNumberingAfterBreak="0">
    <w:nsid w:val="FFFFFF88"/>
    <w:multiLevelType w:val="singleLevel"/>
    <w:tmpl w:val="E6143D8A"/>
    <w:lvl w:ilvl="0">
      <w:start w:val="1"/>
      <w:numFmt w:val="decimal"/>
      <w:pStyle w:val="ListBullet"/>
      <w:lvlText w:val="%1."/>
      <w:lvlJc w:val="left"/>
      <w:pPr>
        <w:tabs>
          <w:tab w:val="num" w:pos="360"/>
        </w:tabs>
        <w:ind w:left="360" w:hanging="360"/>
      </w:pPr>
      <w:rPr>
        <w:rFonts w:cs="Times New Roman"/>
      </w:rPr>
    </w:lvl>
  </w:abstractNum>
  <w:abstractNum w:abstractNumId="6" w15:restartNumberingAfterBreak="0">
    <w:nsid w:val="FFFFFF89"/>
    <w:multiLevelType w:val="singleLevel"/>
    <w:tmpl w:val="B54E1B2A"/>
    <w:lvl w:ilvl="0">
      <w:start w:val="1"/>
      <w:numFmt w:val="bullet"/>
      <w:lvlText w:val=""/>
      <w:lvlJc w:val="left"/>
      <w:pPr>
        <w:tabs>
          <w:tab w:val="num" w:pos="360"/>
        </w:tabs>
        <w:ind w:left="360" w:hanging="360"/>
      </w:pPr>
      <w:rPr>
        <w:rFonts w:ascii="Symbol" w:hAnsi="Symbol" w:hint="default"/>
      </w:rPr>
    </w:lvl>
  </w:abstractNum>
  <w:abstractNum w:abstractNumId="7" w15:restartNumberingAfterBreak="0">
    <w:nsid w:val="008632AE"/>
    <w:multiLevelType w:val="hybridMultilevel"/>
    <w:tmpl w:val="D44636F6"/>
    <w:lvl w:ilvl="0" w:tplc="59A0BEA8">
      <w:start w:val="3"/>
      <w:numFmt w:val="bullet"/>
      <w:lvlText w:val=""/>
      <w:lvlJc w:val="left"/>
      <w:pPr>
        <w:ind w:left="720" w:hanging="360"/>
      </w:pPr>
      <w:rPr>
        <w:rFonts w:ascii="Symbol" w:eastAsia="MS Mincho"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01CF20B0"/>
    <w:multiLevelType w:val="hybridMultilevel"/>
    <w:tmpl w:val="9D94E50E"/>
    <w:lvl w:ilvl="0" w:tplc="016011D4">
      <w:start w:val="2"/>
      <w:numFmt w:val="bullet"/>
      <w:lvlText w:val="–"/>
      <w:lvlJc w:val="left"/>
      <w:pPr>
        <w:ind w:left="720" w:hanging="360"/>
      </w:pPr>
      <w:rPr>
        <w:rFonts w:ascii="Calibri" w:eastAsia="Times New Roman" w:hAnsi="Calibri"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0216297D"/>
    <w:multiLevelType w:val="hybridMultilevel"/>
    <w:tmpl w:val="77AEB5F4"/>
    <w:lvl w:ilvl="0" w:tplc="9E8A9D5C">
      <w:start w:val="7"/>
      <w:numFmt w:val="bullet"/>
      <w:lvlText w:val="-"/>
      <w:lvlJc w:val="left"/>
      <w:pPr>
        <w:ind w:left="720" w:hanging="360"/>
      </w:pPr>
      <w:rPr>
        <w:rFonts w:ascii="Cambria" w:eastAsiaTheme="minorEastAsia" w:hAnsi="Cambria"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0231525C"/>
    <w:multiLevelType w:val="hybridMultilevel"/>
    <w:tmpl w:val="F738C3A0"/>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1" w15:restartNumberingAfterBreak="0">
    <w:nsid w:val="025A6BD3"/>
    <w:multiLevelType w:val="multilevel"/>
    <w:tmpl w:val="134EE926"/>
    <w:lvl w:ilvl="0">
      <w:start w:val="1"/>
      <w:numFmt w:val="decimal"/>
      <w:lvlText w:val="%1."/>
      <w:lvlJc w:val="left"/>
      <w:pPr>
        <w:ind w:left="720" w:hanging="360"/>
      </w:pPr>
      <w:rPr>
        <w:rFonts w:cs="Times New Roman"/>
      </w:rPr>
    </w:lvl>
    <w:lvl w:ilvl="1">
      <w:start w:val="1"/>
      <w:numFmt w:val="lowerLetter"/>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12" w15:restartNumberingAfterBreak="0">
    <w:nsid w:val="025F2B7A"/>
    <w:multiLevelType w:val="hybridMultilevel"/>
    <w:tmpl w:val="657A8A3C"/>
    <w:lvl w:ilvl="0" w:tplc="0409000F">
      <w:start w:val="1"/>
      <w:numFmt w:val="decimal"/>
      <w:lvlText w:val="%1."/>
      <w:lvlJc w:val="left"/>
      <w:pPr>
        <w:ind w:left="1600" w:hanging="360"/>
      </w:pPr>
    </w:lvl>
    <w:lvl w:ilvl="1" w:tplc="04090019" w:tentative="1">
      <w:start w:val="1"/>
      <w:numFmt w:val="lowerLetter"/>
      <w:lvlText w:val="%2."/>
      <w:lvlJc w:val="left"/>
      <w:pPr>
        <w:ind w:left="2320" w:hanging="360"/>
      </w:pPr>
    </w:lvl>
    <w:lvl w:ilvl="2" w:tplc="0409001B" w:tentative="1">
      <w:start w:val="1"/>
      <w:numFmt w:val="lowerRoman"/>
      <w:lvlText w:val="%3."/>
      <w:lvlJc w:val="right"/>
      <w:pPr>
        <w:ind w:left="3040" w:hanging="180"/>
      </w:pPr>
    </w:lvl>
    <w:lvl w:ilvl="3" w:tplc="0409000F" w:tentative="1">
      <w:start w:val="1"/>
      <w:numFmt w:val="decimal"/>
      <w:lvlText w:val="%4."/>
      <w:lvlJc w:val="left"/>
      <w:pPr>
        <w:ind w:left="3760" w:hanging="360"/>
      </w:pPr>
    </w:lvl>
    <w:lvl w:ilvl="4" w:tplc="04090019" w:tentative="1">
      <w:start w:val="1"/>
      <w:numFmt w:val="lowerLetter"/>
      <w:lvlText w:val="%5."/>
      <w:lvlJc w:val="left"/>
      <w:pPr>
        <w:ind w:left="4480" w:hanging="360"/>
      </w:pPr>
    </w:lvl>
    <w:lvl w:ilvl="5" w:tplc="0409001B" w:tentative="1">
      <w:start w:val="1"/>
      <w:numFmt w:val="lowerRoman"/>
      <w:lvlText w:val="%6."/>
      <w:lvlJc w:val="right"/>
      <w:pPr>
        <w:ind w:left="5200" w:hanging="180"/>
      </w:pPr>
    </w:lvl>
    <w:lvl w:ilvl="6" w:tplc="0409000F" w:tentative="1">
      <w:start w:val="1"/>
      <w:numFmt w:val="decimal"/>
      <w:lvlText w:val="%7."/>
      <w:lvlJc w:val="left"/>
      <w:pPr>
        <w:ind w:left="5920" w:hanging="360"/>
      </w:pPr>
    </w:lvl>
    <w:lvl w:ilvl="7" w:tplc="04090019" w:tentative="1">
      <w:start w:val="1"/>
      <w:numFmt w:val="lowerLetter"/>
      <w:lvlText w:val="%8."/>
      <w:lvlJc w:val="left"/>
      <w:pPr>
        <w:ind w:left="6640" w:hanging="360"/>
      </w:pPr>
    </w:lvl>
    <w:lvl w:ilvl="8" w:tplc="0409001B" w:tentative="1">
      <w:start w:val="1"/>
      <w:numFmt w:val="lowerRoman"/>
      <w:lvlText w:val="%9."/>
      <w:lvlJc w:val="right"/>
      <w:pPr>
        <w:ind w:left="7360" w:hanging="180"/>
      </w:pPr>
    </w:lvl>
  </w:abstractNum>
  <w:abstractNum w:abstractNumId="13" w15:restartNumberingAfterBreak="0">
    <w:nsid w:val="0296506C"/>
    <w:multiLevelType w:val="hybridMultilevel"/>
    <w:tmpl w:val="23F6216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02D961DB"/>
    <w:multiLevelType w:val="hybridMultilevel"/>
    <w:tmpl w:val="CB46B940"/>
    <w:lvl w:ilvl="0" w:tplc="016011D4">
      <w:start w:val="2"/>
      <w:numFmt w:val="bullet"/>
      <w:lvlText w:val="–"/>
      <w:lvlJc w:val="left"/>
      <w:pPr>
        <w:ind w:left="1124" w:hanging="360"/>
      </w:pPr>
      <w:rPr>
        <w:rFonts w:ascii="Calibri" w:eastAsia="Times New Roman" w:hAnsi="Calibri" w:hint="default"/>
      </w:rPr>
    </w:lvl>
    <w:lvl w:ilvl="1" w:tplc="04090003" w:tentative="1">
      <w:start w:val="1"/>
      <w:numFmt w:val="bullet"/>
      <w:lvlText w:val="o"/>
      <w:lvlJc w:val="left"/>
      <w:pPr>
        <w:ind w:left="1844" w:hanging="360"/>
      </w:pPr>
      <w:rPr>
        <w:rFonts w:ascii="Courier New" w:hAnsi="Courier New" w:cs="Courier New" w:hint="default"/>
      </w:rPr>
    </w:lvl>
    <w:lvl w:ilvl="2" w:tplc="04090005" w:tentative="1">
      <w:start w:val="1"/>
      <w:numFmt w:val="bullet"/>
      <w:lvlText w:val=""/>
      <w:lvlJc w:val="left"/>
      <w:pPr>
        <w:ind w:left="2564" w:hanging="360"/>
      </w:pPr>
      <w:rPr>
        <w:rFonts w:ascii="Wingdings" w:hAnsi="Wingdings" w:hint="default"/>
      </w:rPr>
    </w:lvl>
    <w:lvl w:ilvl="3" w:tplc="04090001" w:tentative="1">
      <w:start w:val="1"/>
      <w:numFmt w:val="bullet"/>
      <w:lvlText w:val=""/>
      <w:lvlJc w:val="left"/>
      <w:pPr>
        <w:ind w:left="3284" w:hanging="360"/>
      </w:pPr>
      <w:rPr>
        <w:rFonts w:ascii="Symbol" w:hAnsi="Symbol" w:hint="default"/>
      </w:rPr>
    </w:lvl>
    <w:lvl w:ilvl="4" w:tplc="04090003" w:tentative="1">
      <w:start w:val="1"/>
      <w:numFmt w:val="bullet"/>
      <w:lvlText w:val="o"/>
      <w:lvlJc w:val="left"/>
      <w:pPr>
        <w:ind w:left="4004" w:hanging="360"/>
      </w:pPr>
      <w:rPr>
        <w:rFonts w:ascii="Courier New" w:hAnsi="Courier New" w:cs="Courier New" w:hint="default"/>
      </w:rPr>
    </w:lvl>
    <w:lvl w:ilvl="5" w:tplc="04090005" w:tentative="1">
      <w:start w:val="1"/>
      <w:numFmt w:val="bullet"/>
      <w:lvlText w:val=""/>
      <w:lvlJc w:val="left"/>
      <w:pPr>
        <w:ind w:left="4724" w:hanging="360"/>
      </w:pPr>
      <w:rPr>
        <w:rFonts w:ascii="Wingdings" w:hAnsi="Wingdings" w:hint="default"/>
      </w:rPr>
    </w:lvl>
    <w:lvl w:ilvl="6" w:tplc="04090001" w:tentative="1">
      <w:start w:val="1"/>
      <w:numFmt w:val="bullet"/>
      <w:lvlText w:val=""/>
      <w:lvlJc w:val="left"/>
      <w:pPr>
        <w:ind w:left="5444" w:hanging="360"/>
      </w:pPr>
      <w:rPr>
        <w:rFonts w:ascii="Symbol" w:hAnsi="Symbol" w:hint="default"/>
      </w:rPr>
    </w:lvl>
    <w:lvl w:ilvl="7" w:tplc="04090003" w:tentative="1">
      <w:start w:val="1"/>
      <w:numFmt w:val="bullet"/>
      <w:lvlText w:val="o"/>
      <w:lvlJc w:val="left"/>
      <w:pPr>
        <w:ind w:left="6164" w:hanging="360"/>
      </w:pPr>
      <w:rPr>
        <w:rFonts w:ascii="Courier New" w:hAnsi="Courier New" w:cs="Courier New" w:hint="default"/>
      </w:rPr>
    </w:lvl>
    <w:lvl w:ilvl="8" w:tplc="04090005" w:tentative="1">
      <w:start w:val="1"/>
      <w:numFmt w:val="bullet"/>
      <w:lvlText w:val=""/>
      <w:lvlJc w:val="left"/>
      <w:pPr>
        <w:ind w:left="6884" w:hanging="360"/>
      </w:pPr>
      <w:rPr>
        <w:rFonts w:ascii="Wingdings" w:hAnsi="Wingdings" w:hint="default"/>
      </w:rPr>
    </w:lvl>
  </w:abstractNum>
  <w:abstractNum w:abstractNumId="15" w15:restartNumberingAfterBreak="0">
    <w:nsid w:val="038062DE"/>
    <w:multiLevelType w:val="multilevel"/>
    <w:tmpl w:val="49AA70DA"/>
    <w:lvl w:ilvl="0">
      <w:start w:val="7"/>
      <w:numFmt w:val="decimal"/>
      <w:lvlText w:val="%1"/>
      <w:lvlJc w:val="left"/>
      <w:pPr>
        <w:ind w:left="720" w:hanging="720"/>
      </w:pPr>
      <w:rPr>
        <w:rFonts w:cs="Times New Roman" w:hint="default"/>
      </w:rPr>
    </w:lvl>
    <w:lvl w:ilvl="1">
      <w:start w:val="3"/>
      <w:numFmt w:val="decimal"/>
      <w:lvlText w:val="%1.%2"/>
      <w:lvlJc w:val="left"/>
      <w:pPr>
        <w:ind w:left="720" w:hanging="720"/>
      </w:pPr>
      <w:rPr>
        <w:rFonts w:cs="Times New Roman" w:hint="default"/>
      </w:rPr>
    </w:lvl>
    <w:lvl w:ilvl="2">
      <w:start w:val="25"/>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1800" w:hanging="1800"/>
      </w:pPr>
      <w:rPr>
        <w:rFonts w:cs="Times New Roman" w:hint="default"/>
      </w:rPr>
    </w:lvl>
  </w:abstractNum>
  <w:abstractNum w:abstractNumId="16" w15:restartNumberingAfterBreak="0">
    <w:nsid w:val="045D06A7"/>
    <w:multiLevelType w:val="hybridMultilevel"/>
    <w:tmpl w:val="902C7EDC"/>
    <w:lvl w:ilvl="0" w:tplc="FFFFFFFF">
      <w:start w:val="5"/>
      <w:numFmt w:val="bullet"/>
      <w:lvlText w:val="–"/>
      <w:lvlJc w:val="left"/>
      <w:pPr>
        <w:ind w:left="720" w:hanging="360"/>
      </w:pPr>
      <w:rPr>
        <w:rFonts w:ascii="Times New Roman" w:eastAsia="Times New Roman" w:hAnsi="Times New Roman" w:hint="default"/>
      </w:rPr>
    </w:lvl>
    <w:lvl w:ilvl="1" w:tplc="FFFFFFFF">
      <w:start w:val="5"/>
      <w:numFmt w:val="bullet"/>
      <w:lvlText w:val="–"/>
      <w:lvlJc w:val="left"/>
      <w:pPr>
        <w:ind w:left="1440" w:hanging="360"/>
      </w:pPr>
      <w:rPr>
        <w:rFonts w:ascii="Times New Roman" w:eastAsia="Times New Roman" w:hAnsi="Times New Roman" w:hint="default"/>
      </w:rPr>
    </w:lvl>
    <w:lvl w:ilvl="2" w:tplc="0809000F">
      <w:start w:val="1"/>
      <w:numFmt w:val="decimal"/>
      <w:lvlText w:val="%3."/>
      <w:lvlJc w:val="left"/>
      <w:pPr>
        <w:ind w:left="2160" w:hanging="360"/>
      </w:pPr>
      <w:rPr>
        <w:rFonts w:cs="Times New Roman" w:hint="default"/>
      </w:rPr>
    </w:lvl>
    <w:lvl w:ilvl="3" w:tplc="FFFFFFFF">
      <w:start w:val="5"/>
      <w:numFmt w:val="bullet"/>
      <w:lvlText w:val="–"/>
      <w:lvlJc w:val="left"/>
      <w:pPr>
        <w:ind w:left="2880" w:hanging="360"/>
      </w:pPr>
      <w:rPr>
        <w:rFonts w:ascii="Times New Roman" w:eastAsia="Times New Roman" w:hAnsi="Times New Roman" w:hint="default"/>
      </w:rPr>
    </w:lvl>
    <w:lvl w:ilvl="4" w:tplc="08090003">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04AA1409"/>
    <w:multiLevelType w:val="hybridMultilevel"/>
    <w:tmpl w:val="2ACE6A4A"/>
    <w:lvl w:ilvl="0" w:tplc="FFFFFFFF">
      <w:start w:val="5"/>
      <w:numFmt w:val="bullet"/>
      <w:lvlText w:val="–"/>
      <w:lvlJc w:val="left"/>
      <w:pPr>
        <w:ind w:left="720" w:hanging="360"/>
      </w:pPr>
      <w:rPr>
        <w:rFonts w:ascii="Times New Roman" w:eastAsia="Times New Roman" w:hAnsi="Times New Roman" w:hint="default"/>
      </w:rPr>
    </w:lvl>
    <w:lvl w:ilvl="1" w:tplc="040C0001">
      <w:start w:val="1"/>
      <w:numFmt w:val="bullet"/>
      <w:lvlText w:val=""/>
      <w:lvlJc w:val="left"/>
      <w:pPr>
        <w:ind w:left="1440" w:hanging="360"/>
      </w:pPr>
      <w:rPr>
        <w:rFonts w:ascii="Symbol" w:hAnsi="Symbol" w:hint="default"/>
      </w:rPr>
    </w:lvl>
    <w:lvl w:ilvl="2" w:tplc="04090005">
      <w:start w:val="1"/>
      <w:numFmt w:val="bullet"/>
      <w:lvlText w:val=""/>
      <w:lvlJc w:val="left"/>
      <w:pPr>
        <w:ind w:left="2160" w:hanging="360"/>
      </w:pPr>
      <w:rPr>
        <w:rFonts w:ascii="Wingdings" w:hAnsi="Wingdings" w:hint="default"/>
      </w:rPr>
    </w:lvl>
    <w:lvl w:ilvl="3" w:tplc="E76E0166">
      <w:start w:val="5"/>
      <w:numFmt w:val="bullet"/>
      <w:lvlText w:val="-"/>
      <w:lvlJc w:val="left"/>
      <w:pPr>
        <w:ind w:left="2880" w:hanging="360"/>
      </w:pPr>
      <w:rPr>
        <w:rFonts w:ascii="Cambria" w:eastAsiaTheme="minorEastAsia" w:hAnsi="Cambria" w:hint="default"/>
        <w:color w:val="000000" w:themeColor="text1"/>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05F252BD"/>
    <w:multiLevelType w:val="singleLevel"/>
    <w:tmpl w:val="77FA1664"/>
    <w:lvl w:ilvl="0">
      <w:start w:val="1"/>
      <w:numFmt w:val="decimal"/>
      <w:pStyle w:val="Bibliography1"/>
      <w:lvlText w:val="[%1]"/>
      <w:lvlJc w:val="left"/>
      <w:pPr>
        <w:tabs>
          <w:tab w:val="num" w:pos="360"/>
        </w:tabs>
        <w:ind w:left="360" w:hanging="360"/>
      </w:pPr>
      <w:rPr>
        <w:rFonts w:cs="Times New Roman"/>
      </w:rPr>
    </w:lvl>
  </w:abstractNum>
  <w:abstractNum w:abstractNumId="19" w15:restartNumberingAfterBreak="0">
    <w:nsid w:val="06DC5EAA"/>
    <w:multiLevelType w:val="multilevel"/>
    <w:tmpl w:val="620CCA88"/>
    <w:styleLink w:val="SVCNumbers"/>
    <w:lvl w:ilvl="0">
      <w:start w:val="1"/>
      <w:numFmt w:val="decimal"/>
      <w:pStyle w:val="SVCNumberinglevel1"/>
      <w:lvlText w:val="%1."/>
      <w:lvlJc w:val="left"/>
      <w:pPr>
        <w:tabs>
          <w:tab w:val="num" w:pos="0"/>
        </w:tabs>
        <w:ind w:left="403" w:hanging="403"/>
      </w:pPr>
      <w:rPr>
        <w:rFonts w:cs="Times New Roman"/>
      </w:rPr>
    </w:lvl>
    <w:lvl w:ilvl="1">
      <w:start w:val="1"/>
      <w:numFmt w:val="decimal"/>
      <w:lvlText w:val="%2)"/>
      <w:lvlJc w:val="left"/>
      <w:pPr>
        <w:tabs>
          <w:tab w:val="num" w:pos="763"/>
        </w:tabs>
        <w:ind w:left="763" w:hanging="360"/>
      </w:pPr>
      <w:rPr>
        <w:rFonts w:cs="Times New Roman"/>
      </w:rPr>
    </w:lvl>
    <w:lvl w:ilvl="2">
      <w:start w:val="1"/>
      <w:numFmt w:val="lowerLetter"/>
      <w:pStyle w:val="SVCNumberinglevel3"/>
      <w:lvlText w:val="%3."/>
      <w:lvlJc w:val="left"/>
      <w:pPr>
        <w:tabs>
          <w:tab w:val="num" w:pos="0"/>
        </w:tabs>
        <w:ind w:left="1195" w:hanging="403"/>
      </w:pPr>
      <w:rPr>
        <w:rFonts w:cs="Times New Roman"/>
      </w:rPr>
    </w:lvl>
    <w:lvl w:ilvl="3">
      <w:start w:val="1"/>
      <w:numFmt w:val="lowerRoman"/>
      <w:pStyle w:val="SVCNumberinglevel4"/>
      <w:lvlText w:val="%4."/>
      <w:lvlJc w:val="left"/>
      <w:pPr>
        <w:tabs>
          <w:tab w:val="num" w:pos="0"/>
        </w:tabs>
        <w:ind w:left="1584" w:hanging="389"/>
      </w:pPr>
      <w:rPr>
        <w:rFonts w:cs="Times New Roman"/>
      </w:rPr>
    </w:lvl>
    <w:lvl w:ilvl="4">
      <w:start w:val="1"/>
      <w:numFmt w:val="lowerRoman"/>
      <w:pStyle w:val="SVCNumberinglevel5"/>
      <w:lvlText w:val="(%5)"/>
      <w:lvlJc w:val="left"/>
      <w:pPr>
        <w:tabs>
          <w:tab w:val="num" w:pos="0"/>
        </w:tabs>
        <w:ind w:left="1987" w:hanging="403"/>
      </w:pPr>
      <w:rPr>
        <w:rFonts w:cs="Times New Roman"/>
      </w:rPr>
    </w:lvl>
    <w:lvl w:ilvl="5">
      <w:start w:val="1"/>
      <w:numFmt w:val="lowerRoman"/>
      <w:lvlText w:val="%6."/>
      <w:lvlJc w:val="right"/>
      <w:pPr>
        <w:tabs>
          <w:tab w:val="num" w:pos="7830"/>
        </w:tabs>
        <w:ind w:left="7830" w:hanging="180"/>
      </w:pPr>
      <w:rPr>
        <w:rFonts w:cs="Times New Roman"/>
      </w:rPr>
    </w:lvl>
    <w:lvl w:ilvl="6">
      <w:start w:val="1"/>
      <w:numFmt w:val="decimal"/>
      <w:lvlText w:val="%7."/>
      <w:lvlJc w:val="left"/>
      <w:pPr>
        <w:tabs>
          <w:tab w:val="num" w:pos="8550"/>
        </w:tabs>
        <w:ind w:left="8550" w:hanging="360"/>
      </w:pPr>
      <w:rPr>
        <w:rFonts w:cs="Times New Roman"/>
      </w:rPr>
    </w:lvl>
    <w:lvl w:ilvl="7">
      <w:start w:val="1"/>
      <w:numFmt w:val="lowerLetter"/>
      <w:lvlText w:val="%8."/>
      <w:lvlJc w:val="left"/>
      <w:pPr>
        <w:tabs>
          <w:tab w:val="num" w:pos="9270"/>
        </w:tabs>
        <w:ind w:left="9270" w:hanging="360"/>
      </w:pPr>
      <w:rPr>
        <w:rFonts w:cs="Times New Roman"/>
      </w:rPr>
    </w:lvl>
    <w:lvl w:ilvl="8">
      <w:start w:val="1"/>
      <w:numFmt w:val="lowerRoman"/>
      <w:lvlText w:val="%9."/>
      <w:lvlJc w:val="right"/>
      <w:pPr>
        <w:tabs>
          <w:tab w:val="num" w:pos="9990"/>
        </w:tabs>
        <w:ind w:left="9990" w:hanging="180"/>
      </w:pPr>
      <w:rPr>
        <w:rFonts w:cs="Times New Roman"/>
      </w:rPr>
    </w:lvl>
  </w:abstractNum>
  <w:abstractNum w:abstractNumId="20" w15:restartNumberingAfterBreak="0">
    <w:nsid w:val="06DD7EAE"/>
    <w:multiLevelType w:val="hybridMultilevel"/>
    <w:tmpl w:val="7E8C656C"/>
    <w:lvl w:ilvl="0" w:tplc="C95AF5D4">
      <w:start w:val="1"/>
      <w:numFmt w:val="bullet"/>
      <w:lvlText w:val="-"/>
      <w:lvlJc w:val="left"/>
      <w:pPr>
        <w:ind w:left="720" w:hanging="360"/>
      </w:pPr>
      <w:rPr>
        <w:rFonts w:ascii="Cambria" w:eastAsiaTheme="minorEastAsia" w:hAnsi="Cambri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07E22761"/>
    <w:multiLevelType w:val="multilevel"/>
    <w:tmpl w:val="4342AA54"/>
    <w:lvl w:ilvl="0">
      <w:start w:val="1"/>
      <w:numFmt w:val="upperLetter"/>
      <w:suff w:val="nothing"/>
      <w:lvlText w:val="Annex %1"/>
      <w:lvlJc w:val="left"/>
      <w:pPr>
        <w:ind w:left="0" w:firstLine="0"/>
      </w:pPr>
      <w:rPr>
        <w:rFonts w:ascii="Cambria" w:hAnsi="Cambria" w:cs="Times New Roman" w:hint="default"/>
        <w:b/>
        <w:i w:val="0"/>
        <w:sz w:val="28"/>
        <w:szCs w:val="28"/>
      </w:rPr>
    </w:lvl>
    <w:lvl w:ilvl="1">
      <w:start w:val="1"/>
      <w:numFmt w:val="decimal"/>
      <w:lvlText w:val="%1.%2"/>
      <w:lvlJc w:val="left"/>
      <w:pPr>
        <w:tabs>
          <w:tab w:val="num" w:pos="360"/>
        </w:tabs>
        <w:ind w:left="0" w:firstLine="0"/>
      </w:pPr>
      <w:rPr>
        <w:rFonts w:cs="Times New Roman" w:hint="default"/>
        <w:b/>
        <w:i w:val="0"/>
      </w:rPr>
    </w:lvl>
    <w:lvl w:ilvl="2">
      <w:start w:val="1"/>
      <w:numFmt w:val="decimal"/>
      <w:lvlText w:val="%1.%2.%3"/>
      <w:lvlJc w:val="left"/>
      <w:pPr>
        <w:tabs>
          <w:tab w:val="num" w:pos="720"/>
        </w:tabs>
        <w:ind w:left="0" w:firstLine="0"/>
      </w:pPr>
      <w:rPr>
        <w:rFonts w:cs="Times New Roman" w:hint="default"/>
        <w:b/>
        <w:i w:val="0"/>
      </w:rPr>
    </w:lvl>
    <w:lvl w:ilvl="3">
      <w:start w:val="1"/>
      <w:numFmt w:val="decimal"/>
      <w:lvlText w:val="%1.%2.%3.%4"/>
      <w:lvlJc w:val="left"/>
      <w:pPr>
        <w:tabs>
          <w:tab w:val="num" w:pos="1080"/>
        </w:tabs>
        <w:ind w:left="0" w:firstLine="0"/>
      </w:pPr>
      <w:rPr>
        <w:rFonts w:cs="Times New Roman" w:hint="default"/>
        <w:b/>
        <w:i w:val="0"/>
      </w:rPr>
    </w:lvl>
    <w:lvl w:ilvl="4">
      <w:start w:val="1"/>
      <w:numFmt w:val="decimal"/>
      <w:lvlText w:val="%1.%2.%3.%4.%5"/>
      <w:lvlJc w:val="left"/>
      <w:pPr>
        <w:tabs>
          <w:tab w:val="num" w:pos="1080"/>
        </w:tabs>
        <w:ind w:left="0" w:firstLine="0"/>
      </w:pPr>
      <w:rPr>
        <w:rFonts w:cs="Times New Roman" w:hint="default"/>
        <w:b/>
        <w:i w:val="0"/>
      </w:rPr>
    </w:lvl>
    <w:lvl w:ilvl="5">
      <w:start w:val="1"/>
      <w:numFmt w:val="decimal"/>
      <w:lvlText w:val="%1.%2.%3.%4.%5.%6"/>
      <w:lvlJc w:val="left"/>
      <w:pPr>
        <w:tabs>
          <w:tab w:val="num" w:pos="1440"/>
        </w:tabs>
        <w:ind w:left="0" w:firstLine="0"/>
      </w:pPr>
      <w:rPr>
        <w:rFonts w:cs="Times New Roman" w:hint="default"/>
        <w:b/>
        <w:i w:val="0"/>
      </w:rPr>
    </w:lvl>
    <w:lvl w:ilvl="6">
      <w:start w:val="1"/>
      <w:numFmt w:val="decimal"/>
      <w:lvlText w:val="%1.%2.%3.%4.%5.%6.%7"/>
      <w:lvlJc w:val="left"/>
      <w:pPr>
        <w:ind w:left="0" w:firstLine="0"/>
      </w:pPr>
      <w:rPr>
        <w:rFonts w:cs="Times New Roman" w:hint="default"/>
        <w:b/>
        <w:i w:val="0"/>
      </w:rPr>
    </w:lvl>
    <w:lvl w:ilvl="7">
      <w:start w:val="1"/>
      <w:numFmt w:val="decimal"/>
      <w:lvlRestart w:val="0"/>
      <w:suff w:val="space"/>
      <w:lvlText w:val="Table %1.%8 —"/>
      <w:lvlJc w:val="left"/>
      <w:pPr>
        <w:ind w:left="0" w:firstLine="0"/>
      </w:pPr>
      <w:rPr>
        <w:rFonts w:cs="Times New Roman" w:hint="default"/>
      </w:rPr>
    </w:lvl>
    <w:lvl w:ilvl="8">
      <w:start w:val="1"/>
      <w:numFmt w:val="lowerRoman"/>
      <w:lvlText w:val="(%9)"/>
      <w:lvlJc w:val="left"/>
      <w:pPr>
        <w:tabs>
          <w:tab w:val="num" w:pos="6120"/>
        </w:tabs>
        <w:ind w:left="0" w:firstLine="0"/>
      </w:pPr>
      <w:rPr>
        <w:rFonts w:cs="Times New Roman" w:hint="default"/>
      </w:rPr>
    </w:lvl>
  </w:abstractNum>
  <w:abstractNum w:abstractNumId="22" w15:restartNumberingAfterBreak="0">
    <w:nsid w:val="08537952"/>
    <w:multiLevelType w:val="hybridMultilevel"/>
    <w:tmpl w:val="248EC4B2"/>
    <w:lvl w:ilvl="0" w:tplc="75BE59AC">
      <w:numFmt w:val="bullet"/>
      <w:lvlText w:val="–"/>
      <w:lvlJc w:val="left"/>
      <w:pPr>
        <w:ind w:left="1120" w:hanging="400"/>
      </w:pPr>
      <w:rPr>
        <w:rFonts w:ascii="Cambria" w:eastAsiaTheme="minorEastAsia" w:hAnsi="Cambria" w:hint="default"/>
      </w:rPr>
    </w:lvl>
    <w:lvl w:ilvl="1" w:tplc="10090003">
      <w:start w:val="1"/>
      <w:numFmt w:val="bullet"/>
      <w:lvlText w:val="o"/>
      <w:lvlJc w:val="left"/>
      <w:pPr>
        <w:ind w:left="1800" w:hanging="360"/>
      </w:pPr>
      <w:rPr>
        <w:rFonts w:ascii="Courier New" w:hAnsi="Courier New" w:cs="Courier New" w:hint="default"/>
      </w:rPr>
    </w:lvl>
    <w:lvl w:ilvl="2" w:tplc="529C7C2E">
      <w:numFmt w:val="bullet"/>
      <w:lvlText w:val="–"/>
      <w:lvlJc w:val="left"/>
      <w:pPr>
        <w:ind w:left="2520" w:hanging="360"/>
      </w:pPr>
      <w:rPr>
        <w:rFonts w:ascii="Cambria" w:eastAsiaTheme="minorEastAsia" w:hAnsi="Cambria" w:hint="default"/>
      </w:rPr>
    </w:lvl>
    <w:lvl w:ilvl="3" w:tplc="529C7C2E">
      <w:numFmt w:val="bullet"/>
      <w:lvlText w:val="–"/>
      <w:lvlJc w:val="left"/>
      <w:pPr>
        <w:ind w:left="3240" w:hanging="360"/>
      </w:pPr>
      <w:rPr>
        <w:rFonts w:ascii="Cambria" w:eastAsiaTheme="minorEastAsia" w:hAnsi="Cambria" w:hint="default"/>
      </w:rPr>
    </w:lvl>
    <w:lvl w:ilvl="4" w:tplc="529C7C2E">
      <w:numFmt w:val="bullet"/>
      <w:lvlText w:val="–"/>
      <w:lvlJc w:val="left"/>
      <w:pPr>
        <w:ind w:left="3960" w:hanging="360"/>
      </w:pPr>
      <w:rPr>
        <w:rFonts w:ascii="Cambria" w:eastAsiaTheme="minorEastAsia" w:hAnsi="Cambria" w:hint="default"/>
      </w:rPr>
    </w:lvl>
    <w:lvl w:ilvl="5" w:tplc="529C7C2E">
      <w:numFmt w:val="bullet"/>
      <w:lvlText w:val="–"/>
      <w:lvlJc w:val="left"/>
      <w:pPr>
        <w:ind w:left="4680" w:hanging="360"/>
      </w:pPr>
      <w:rPr>
        <w:rFonts w:ascii="Cambria" w:eastAsiaTheme="minorEastAsia" w:hAnsi="Cambria" w:hint="default"/>
      </w:rPr>
    </w:lvl>
    <w:lvl w:ilvl="6" w:tplc="529C7C2E">
      <w:numFmt w:val="bullet"/>
      <w:lvlText w:val="–"/>
      <w:lvlJc w:val="left"/>
      <w:pPr>
        <w:ind w:left="5400" w:hanging="360"/>
      </w:pPr>
      <w:rPr>
        <w:rFonts w:ascii="Cambria" w:eastAsiaTheme="minorEastAsia" w:hAnsi="Cambria"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3" w15:restartNumberingAfterBreak="0">
    <w:nsid w:val="08A55008"/>
    <w:multiLevelType w:val="multilevel"/>
    <w:tmpl w:val="29CCBB7C"/>
    <w:lvl w:ilvl="0">
      <w:start w:val="1"/>
      <w:numFmt w:val="upperLetter"/>
      <w:suff w:val="nothing"/>
      <w:lvlText w:val="Annex %1"/>
      <w:lvlJc w:val="left"/>
      <w:pPr>
        <w:ind w:left="0" w:firstLine="0"/>
      </w:pPr>
      <w:rPr>
        <w:rFonts w:ascii="Cambria" w:hAnsi="Cambria" w:cs="Times New Roman" w:hint="default"/>
        <w:b/>
        <w:i w:val="0"/>
        <w:sz w:val="28"/>
        <w:szCs w:val="28"/>
      </w:rPr>
    </w:lvl>
    <w:lvl w:ilvl="1">
      <w:start w:val="1"/>
      <w:numFmt w:val="decimal"/>
      <w:suff w:val="space"/>
      <w:lvlText w:val="%1.%2"/>
      <w:lvlJc w:val="left"/>
      <w:pPr>
        <w:ind w:left="0" w:firstLine="0"/>
      </w:pPr>
      <w:rPr>
        <w:rFonts w:cs="Times New Roman" w:hint="default"/>
        <w:b/>
        <w:i w:val="0"/>
      </w:rPr>
    </w:lvl>
    <w:lvl w:ilvl="2">
      <w:start w:val="1"/>
      <w:numFmt w:val="decimal"/>
      <w:suff w:val="space"/>
      <w:lvlText w:val="%1.%2.%3"/>
      <w:lvlJc w:val="left"/>
      <w:pPr>
        <w:ind w:left="0" w:firstLine="0"/>
      </w:pPr>
      <w:rPr>
        <w:rFonts w:cs="Times New Roman" w:hint="default"/>
        <w:b/>
        <w:i w:val="0"/>
      </w:rPr>
    </w:lvl>
    <w:lvl w:ilvl="3">
      <w:start w:val="1"/>
      <w:numFmt w:val="decimal"/>
      <w:suff w:val="space"/>
      <w:lvlText w:val="%1.%2.%3.%4"/>
      <w:lvlJc w:val="left"/>
      <w:pPr>
        <w:ind w:left="0" w:firstLine="0"/>
      </w:pPr>
      <w:rPr>
        <w:rFonts w:cs="Times New Roman" w:hint="default"/>
        <w:b/>
        <w:i w:val="0"/>
      </w:rPr>
    </w:lvl>
    <w:lvl w:ilvl="4">
      <w:start w:val="1"/>
      <w:numFmt w:val="decimal"/>
      <w:suff w:val="space"/>
      <w:lvlText w:val="%1.%2.%3.%4.%5"/>
      <w:lvlJc w:val="left"/>
      <w:pPr>
        <w:ind w:left="0" w:firstLine="0"/>
      </w:pPr>
      <w:rPr>
        <w:rFonts w:cs="Times New Roman" w:hint="default"/>
        <w:b/>
        <w:i w:val="0"/>
      </w:rPr>
    </w:lvl>
    <w:lvl w:ilvl="5">
      <w:start w:val="1"/>
      <w:numFmt w:val="decimal"/>
      <w:suff w:val="space"/>
      <w:lvlText w:val="%1.%2.%3.%4.%5.%6"/>
      <w:lvlJc w:val="left"/>
      <w:pPr>
        <w:ind w:left="0" w:firstLine="0"/>
      </w:pPr>
      <w:rPr>
        <w:rFonts w:cs="Times New Roman" w:hint="default"/>
        <w:b/>
        <w:i w:val="0"/>
      </w:rPr>
    </w:lvl>
    <w:lvl w:ilvl="6">
      <w:start w:val="1"/>
      <w:numFmt w:val="decimal"/>
      <w:suff w:val="space"/>
      <w:lvlText w:val="%1.%2.%3.%4.%5.%6.%7"/>
      <w:lvlJc w:val="left"/>
      <w:pPr>
        <w:ind w:left="0" w:firstLine="0"/>
      </w:pPr>
      <w:rPr>
        <w:rFonts w:cs="Times New Roman" w:hint="default"/>
        <w:b/>
        <w:i w:val="0"/>
      </w:rPr>
    </w:lvl>
    <w:lvl w:ilvl="7">
      <w:start w:val="1"/>
      <w:numFmt w:val="decimal"/>
      <w:lvlRestart w:val="0"/>
      <w:suff w:val="space"/>
      <w:lvlText w:val="Table %1.%8 —"/>
      <w:lvlJc w:val="left"/>
      <w:pPr>
        <w:ind w:left="0" w:firstLine="0"/>
      </w:pPr>
      <w:rPr>
        <w:rFonts w:cs="Times New Roman" w:hint="default"/>
      </w:rPr>
    </w:lvl>
    <w:lvl w:ilvl="8">
      <w:start w:val="1"/>
      <w:numFmt w:val="lowerRoman"/>
      <w:suff w:val="space"/>
      <w:lvlText w:val="(%9)"/>
      <w:lvlJc w:val="left"/>
      <w:pPr>
        <w:ind w:left="0" w:firstLine="0"/>
      </w:pPr>
      <w:rPr>
        <w:rFonts w:cs="Times New Roman" w:hint="default"/>
      </w:rPr>
    </w:lvl>
  </w:abstractNum>
  <w:abstractNum w:abstractNumId="24" w15:restartNumberingAfterBreak="0">
    <w:nsid w:val="08AE1CB9"/>
    <w:multiLevelType w:val="hybridMultilevel"/>
    <w:tmpl w:val="8C4E38E6"/>
    <w:lvl w:ilvl="0" w:tplc="FFFFFFFF">
      <w:start w:val="5"/>
      <w:numFmt w:val="bullet"/>
      <w:lvlText w:val="–"/>
      <w:lvlJc w:val="left"/>
      <w:pPr>
        <w:ind w:left="360" w:hanging="360"/>
      </w:pPr>
      <w:rPr>
        <w:rFonts w:ascii="Times New Roman" w:eastAsia="Times New Roman" w:hAnsi="Times New Roman" w:hint="default"/>
      </w:rPr>
    </w:lvl>
    <w:lvl w:ilvl="1" w:tplc="0809000F">
      <w:start w:val="1"/>
      <w:numFmt w:val="decimal"/>
      <w:lvlText w:val="%2."/>
      <w:lvlJc w:val="left"/>
      <w:pPr>
        <w:ind w:left="1080" w:hanging="360"/>
      </w:pPr>
      <w:rPr>
        <w:rFonts w:cs="Times New Roman"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5" w15:restartNumberingAfterBreak="0">
    <w:nsid w:val="09497277"/>
    <w:multiLevelType w:val="hybridMultilevel"/>
    <w:tmpl w:val="3578B5F2"/>
    <w:lvl w:ilvl="0" w:tplc="04090019">
      <w:start w:val="1"/>
      <w:numFmt w:val="lowerLetter"/>
      <w:lvlText w:val="%1."/>
      <w:lvlJc w:val="left"/>
      <w:pPr>
        <w:ind w:left="1440" w:hanging="360"/>
      </w:pPr>
      <w:rPr>
        <w:rFonts w:cs="Times New Roman"/>
      </w:rPr>
    </w:lvl>
    <w:lvl w:ilvl="1" w:tplc="04090019" w:tentative="1">
      <w:start w:val="1"/>
      <w:numFmt w:val="lowerLetter"/>
      <w:lvlText w:val="%2."/>
      <w:lvlJc w:val="left"/>
      <w:pPr>
        <w:ind w:left="2160" w:hanging="360"/>
      </w:pPr>
      <w:rPr>
        <w:rFonts w:cs="Times New Roman"/>
      </w:rPr>
    </w:lvl>
    <w:lvl w:ilvl="2" w:tplc="0409001B" w:tentative="1">
      <w:start w:val="1"/>
      <w:numFmt w:val="lowerRoman"/>
      <w:lvlText w:val="%3."/>
      <w:lvlJc w:val="right"/>
      <w:pPr>
        <w:ind w:left="2880" w:hanging="180"/>
      </w:pPr>
      <w:rPr>
        <w:rFonts w:cs="Times New Roman"/>
      </w:rPr>
    </w:lvl>
    <w:lvl w:ilvl="3" w:tplc="0409000F" w:tentative="1">
      <w:start w:val="1"/>
      <w:numFmt w:val="decimal"/>
      <w:lvlText w:val="%4."/>
      <w:lvlJc w:val="left"/>
      <w:pPr>
        <w:ind w:left="3600" w:hanging="360"/>
      </w:pPr>
      <w:rPr>
        <w:rFonts w:cs="Times New Roman"/>
      </w:rPr>
    </w:lvl>
    <w:lvl w:ilvl="4" w:tplc="04090019" w:tentative="1">
      <w:start w:val="1"/>
      <w:numFmt w:val="lowerLetter"/>
      <w:lvlText w:val="%5."/>
      <w:lvlJc w:val="left"/>
      <w:pPr>
        <w:ind w:left="4320" w:hanging="360"/>
      </w:pPr>
      <w:rPr>
        <w:rFonts w:cs="Times New Roman"/>
      </w:rPr>
    </w:lvl>
    <w:lvl w:ilvl="5" w:tplc="0409001B" w:tentative="1">
      <w:start w:val="1"/>
      <w:numFmt w:val="lowerRoman"/>
      <w:lvlText w:val="%6."/>
      <w:lvlJc w:val="right"/>
      <w:pPr>
        <w:ind w:left="5040" w:hanging="180"/>
      </w:pPr>
      <w:rPr>
        <w:rFonts w:cs="Times New Roman"/>
      </w:rPr>
    </w:lvl>
    <w:lvl w:ilvl="6" w:tplc="0409000F" w:tentative="1">
      <w:start w:val="1"/>
      <w:numFmt w:val="decimal"/>
      <w:lvlText w:val="%7."/>
      <w:lvlJc w:val="left"/>
      <w:pPr>
        <w:ind w:left="5760" w:hanging="360"/>
      </w:pPr>
      <w:rPr>
        <w:rFonts w:cs="Times New Roman"/>
      </w:rPr>
    </w:lvl>
    <w:lvl w:ilvl="7" w:tplc="04090019" w:tentative="1">
      <w:start w:val="1"/>
      <w:numFmt w:val="lowerLetter"/>
      <w:lvlText w:val="%8."/>
      <w:lvlJc w:val="left"/>
      <w:pPr>
        <w:ind w:left="6480" w:hanging="360"/>
      </w:pPr>
      <w:rPr>
        <w:rFonts w:cs="Times New Roman"/>
      </w:rPr>
    </w:lvl>
    <w:lvl w:ilvl="8" w:tplc="0409001B" w:tentative="1">
      <w:start w:val="1"/>
      <w:numFmt w:val="lowerRoman"/>
      <w:lvlText w:val="%9."/>
      <w:lvlJc w:val="right"/>
      <w:pPr>
        <w:ind w:left="7200" w:hanging="180"/>
      </w:pPr>
      <w:rPr>
        <w:rFonts w:cs="Times New Roman"/>
      </w:rPr>
    </w:lvl>
  </w:abstractNum>
  <w:abstractNum w:abstractNumId="26" w15:restartNumberingAfterBreak="0">
    <w:nsid w:val="099F3A0C"/>
    <w:multiLevelType w:val="hybridMultilevel"/>
    <w:tmpl w:val="49549CA8"/>
    <w:lvl w:ilvl="0" w:tplc="1A80FE52">
      <w:start w:val="1"/>
      <w:numFmt w:val="bullet"/>
      <w:pStyle w:val="AVCBulletlevel5"/>
      <w:lvlText w:val=""/>
      <w:lvlJc w:val="left"/>
      <w:pPr>
        <w:tabs>
          <w:tab w:val="num" w:pos="2705"/>
        </w:tabs>
        <w:ind w:left="2705" w:hanging="1121"/>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09F536DE"/>
    <w:multiLevelType w:val="multilevel"/>
    <w:tmpl w:val="97C292A2"/>
    <w:lvl w:ilvl="0">
      <w:numFmt w:val="decimal"/>
      <w:lvlText w:val="%1"/>
      <w:lvlJc w:val="left"/>
      <w:pPr>
        <w:tabs>
          <w:tab w:val="num" w:pos="720"/>
        </w:tabs>
        <w:ind w:left="360" w:hanging="360"/>
      </w:pPr>
      <w:rPr>
        <w:rFonts w:cs="Times New Roman" w:hint="default"/>
        <w:vanish w:val="0"/>
      </w:rPr>
    </w:lvl>
    <w:lvl w:ilvl="1">
      <w:start w:val="1"/>
      <w:numFmt w:val="decimal"/>
      <w:lvlText w:val="%1.%2"/>
      <w:lvlJc w:val="left"/>
      <w:pPr>
        <w:tabs>
          <w:tab w:val="num" w:pos="720"/>
        </w:tabs>
      </w:pPr>
      <w:rPr>
        <w:rFonts w:cs="Times New Roman" w:hint="default"/>
      </w:rPr>
    </w:lvl>
    <w:lvl w:ilvl="2">
      <w:start w:val="1"/>
      <w:numFmt w:val="decimal"/>
      <w:lvlText w:val="%1.%2.%3"/>
      <w:lvlJc w:val="left"/>
      <w:pPr>
        <w:tabs>
          <w:tab w:val="num" w:pos="720"/>
        </w:tabs>
        <w:ind w:left="1224" w:hanging="1224"/>
      </w:pPr>
      <w:rPr>
        <w:rFonts w:cs="Times New Roman" w:hint="default"/>
      </w:rPr>
    </w:lvl>
    <w:lvl w:ilvl="3">
      <w:start w:val="1"/>
      <w:numFmt w:val="decimal"/>
      <w:lvlText w:val="%1.%2.%3.%4"/>
      <w:lvlJc w:val="left"/>
      <w:pPr>
        <w:tabs>
          <w:tab w:val="num" w:pos="862"/>
        </w:tabs>
        <w:ind w:left="1870" w:hanging="1728"/>
      </w:pPr>
      <w:rPr>
        <w:rFonts w:cs="Times New Roman" w:hint="default"/>
      </w:rPr>
    </w:lvl>
    <w:lvl w:ilvl="4">
      <w:start w:val="1"/>
      <w:numFmt w:val="decimal"/>
      <w:lvlText w:val="%1.%2.%3.%4.%5"/>
      <w:lvlJc w:val="left"/>
      <w:pPr>
        <w:tabs>
          <w:tab w:val="num" w:pos="4752"/>
        </w:tabs>
        <w:ind w:left="6192" w:hanging="2232"/>
      </w:pPr>
      <w:rPr>
        <w:rFonts w:cs="Times New Roman" w:hint="default"/>
      </w:rPr>
    </w:lvl>
    <w:lvl w:ilvl="5">
      <w:start w:val="1"/>
      <w:numFmt w:val="decimal"/>
      <w:lvlText w:val="%1.%2.%3.%4.%5.%6"/>
      <w:lvlJc w:val="left"/>
      <w:pPr>
        <w:tabs>
          <w:tab w:val="num" w:pos="1080"/>
        </w:tabs>
      </w:pPr>
      <w:rPr>
        <w:rFonts w:cs="Times New Roman" w:hint="default"/>
      </w:rPr>
    </w:lvl>
    <w:lvl w:ilvl="6">
      <w:start w:val="1"/>
      <w:numFmt w:val="decimal"/>
      <w:lvlText w:val="%1.%2.%3.%4.%5.%6.%7"/>
      <w:lvlJc w:val="left"/>
      <w:pPr>
        <w:tabs>
          <w:tab w:val="num" w:pos="1080"/>
        </w:tabs>
        <w:ind w:left="3240" w:hanging="3240"/>
      </w:pPr>
      <w:rPr>
        <w:rFonts w:cs="Times New Roman" w:hint="default"/>
      </w:rPr>
    </w:lvl>
    <w:lvl w:ilvl="7">
      <w:start w:val="1"/>
      <w:numFmt w:val="decimal"/>
      <w:lvlText w:val="%1.%2.%3.%4.%5.%6.%7.%8"/>
      <w:lvlJc w:val="left"/>
      <w:pPr>
        <w:tabs>
          <w:tab w:val="num" w:pos="3960"/>
        </w:tabs>
        <w:ind w:left="3744" w:hanging="3744"/>
      </w:pPr>
      <w:rPr>
        <w:rFonts w:cs="Times New Roman" w:hint="default"/>
      </w:rPr>
    </w:lvl>
    <w:lvl w:ilvl="8">
      <w:start w:val="1"/>
      <w:numFmt w:val="decimal"/>
      <w:lvlText w:val="%1.%2.%3.%4.%5.%6.%7.%8.%9"/>
      <w:lvlJc w:val="left"/>
      <w:pPr>
        <w:tabs>
          <w:tab w:val="num" w:pos="4680"/>
        </w:tabs>
        <w:ind w:left="4320" w:hanging="4320"/>
      </w:pPr>
      <w:rPr>
        <w:rFonts w:cs="Times New Roman" w:hint="default"/>
      </w:rPr>
    </w:lvl>
  </w:abstractNum>
  <w:abstractNum w:abstractNumId="28" w15:restartNumberingAfterBreak="0">
    <w:nsid w:val="0A660FEC"/>
    <w:multiLevelType w:val="hybridMultilevel"/>
    <w:tmpl w:val="2196C26C"/>
    <w:lvl w:ilvl="0" w:tplc="84CC2C8A">
      <w:start w:val="5"/>
      <w:numFmt w:val="bullet"/>
      <w:lvlText w:val="–"/>
      <w:lvlJc w:val="left"/>
      <w:pPr>
        <w:ind w:left="1080" w:hanging="360"/>
      </w:pPr>
      <w:rPr>
        <w:rFonts w:ascii="Times New Roman" w:eastAsia="Times New Roman" w:hAnsi="Times New Roman" w:hint="default"/>
      </w:rPr>
    </w:lvl>
    <w:lvl w:ilvl="1" w:tplc="08090003">
      <w:start w:val="1"/>
      <w:numFmt w:val="bullet"/>
      <w:lvlText w:val="o"/>
      <w:lvlJc w:val="left"/>
      <w:pPr>
        <w:ind w:left="1800" w:hanging="360"/>
      </w:pPr>
      <w:rPr>
        <w:rFonts w:ascii="Courier New" w:hAnsi="Courier New" w:hint="default"/>
      </w:rPr>
    </w:lvl>
    <w:lvl w:ilvl="2" w:tplc="08090005" w:tentative="1">
      <w:start w:val="1"/>
      <w:numFmt w:val="bullet"/>
      <w:lvlText w:val=""/>
      <w:lvlJc w:val="left"/>
      <w:pPr>
        <w:ind w:left="2520" w:hanging="360"/>
      </w:pPr>
      <w:rPr>
        <w:rFonts w:ascii="Wingdings" w:hAnsi="Wingdings" w:hint="default"/>
      </w:rPr>
    </w:lvl>
    <w:lvl w:ilvl="3" w:tplc="0809000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9" w15:restartNumberingAfterBreak="0">
    <w:nsid w:val="0B641CC4"/>
    <w:multiLevelType w:val="hybridMultilevel"/>
    <w:tmpl w:val="E3060DD4"/>
    <w:lvl w:ilvl="0" w:tplc="529C7C2E">
      <w:numFmt w:val="bullet"/>
      <w:lvlText w:val="–"/>
      <w:lvlJc w:val="left"/>
      <w:pPr>
        <w:ind w:left="720" w:hanging="360"/>
      </w:pPr>
      <w:rPr>
        <w:rFonts w:ascii="Cambria" w:eastAsiaTheme="minorEastAsia" w:hAnsi="Cambria"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0" w15:restartNumberingAfterBreak="0">
    <w:nsid w:val="0BBE2694"/>
    <w:multiLevelType w:val="hybridMultilevel"/>
    <w:tmpl w:val="6E34392A"/>
    <w:lvl w:ilvl="0" w:tplc="C8CE3374">
      <w:start w:val="2"/>
      <w:numFmt w:val="bullet"/>
      <w:lvlText w:val="–"/>
      <w:lvlJc w:val="left"/>
      <w:pPr>
        <w:ind w:left="720" w:hanging="360"/>
      </w:pPr>
      <w:rPr>
        <w:rFonts w:ascii="Cambria" w:eastAsiaTheme="minorEastAsia" w:hAnsi="Cambria"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0CE67593"/>
    <w:multiLevelType w:val="hybridMultilevel"/>
    <w:tmpl w:val="D44C1AE0"/>
    <w:lvl w:ilvl="0" w:tplc="529C7C2E">
      <w:numFmt w:val="bullet"/>
      <w:lvlText w:val="–"/>
      <w:lvlJc w:val="left"/>
      <w:pPr>
        <w:ind w:left="1570" w:hanging="360"/>
      </w:pPr>
      <w:rPr>
        <w:rFonts w:ascii="Cambria" w:eastAsiaTheme="minorEastAsia" w:hAnsi="Cambria" w:hint="default"/>
      </w:rPr>
    </w:lvl>
    <w:lvl w:ilvl="1" w:tplc="04090003" w:tentative="1">
      <w:start w:val="1"/>
      <w:numFmt w:val="bullet"/>
      <w:lvlText w:val="o"/>
      <w:lvlJc w:val="left"/>
      <w:pPr>
        <w:ind w:left="2290" w:hanging="360"/>
      </w:pPr>
      <w:rPr>
        <w:rFonts w:ascii="Courier New" w:hAnsi="Courier New" w:cs="Courier New" w:hint="default"/>
      </w:rPr>
    </w:lvl>
    <w:lvl w:ilvl="2" w:tplc="04090005" w:tentative="1">
      <w:start w:val="1"/>
      <w:numFmt w:val="bullet"/>
      <w:lvlText w:val=""/>
      <w:lvlJc w:val="left"/>
      <w:pPr>
        <w:ind w:left="3010" w:hanging="360"/>
      </w:pPr>
      <w:rPr>
        <w:rFonts w:ascii="Wingdings" w:hAnsi="Wingdings" w:hint="default"/>
      </w:rPr>
    </w:lvl>
    <w:lvl w:ilvl="3" w:tplc="04090001" w:tentative="1">
      <w:start w:val="1"/>
      <w:numFmt w:val="bullet"/>
      <w:lvlText w:val=""/>
      <w:lvlJc w:val="left"/>
      <w:pPr>
        <w:ind w:left="3730" w:hanging="360"/>
      </w:pPr>
      <w:rPr>
        <w:rFonts w:ascii="Symbol" w:hAnsi="Symbol" w:hint="default"/>
      </w:rPr>
    </w:lvl>
    <w:lvl w:ilvl="4" w:tplc="04090003" w:tentative="1">
      <w:start w:val="1"/>
      <w:numFmt w:val="bullet"/>
      <w:lvlText w:val="o"/>
      <w:lvlJc w:val="left"/>
      <w:pPr>
        <w:ind w:left="4450" w:hanging="360"/>
      </w:pPr>
      <w:rPr>
        <w:rFonts w:ascii="Courier New" w:hAnsi="Courier New" w:cs="Courier New" w:hint="default"/>
      </w:rPr>
    </w:lvl>
    <w:lvl w:ilvl="5" w:tplc="04090005" w:tentative="1">
      <w:start w:val="1"/>
      <w:numFmt w:val="bullet"/>
      <w:lvlText w:val=""/>
      <w:lvlJc w:val="left"/>
      <w:pPr>
        <w:ind w:left="5170" w:hanging="360"/>
      </w:pPr>
      <w:rPr>
        <w:rFonts w:ascii="Wingdings" w:hAnsi="Wingdings" w:hint="default"/>
      </w:rPr>
    </w:lvl>
    <w:lvl w:ilvl="6" w:tplc="04090001" w:tentative="1">
      <w:start w:val="1"/>
      <w:numFmt w:val="bullet"/>
      <w:lvlText w:val=""/>
      <w:lvlJc w:val="left"/>
      <w:pPr>
        <w:ind w:left="5890" w:hanging="360"/>
      </w:pPr>
      <w:rPr>
        <w:rFonts w:ascii="Symbol" w:hAnsi="Symbol" w:hint="default"/>
      </w:rPr>
    </w:lvl>
    <w:lvl w:ilvl="7" w:tplc="04090003" w:tentative="1">
      <w:start w:val="1"/>
      <w:numFmt w:val="bullet"/>
      <w:lvlText w:val="o"/>
      <w:lvlJc w:val="left"/>
      <w:pPr>
        <w:ind w:left="6610" w:hanging="360"/>
      </w:pPr>
      <w:rPr>
        <w:rFonts w:ascii="Courier New" w:hAnsi="Courier New" w:cs="Courier New" w:hint="default"/>
      </w:rPr>
    </w:lvl>
    <w:lvl w:ilvl="8" w:tplc="04090005" w:tentative="1">
      <w:start w:val="1"/>
      <w:numFmt w:val="bullet"/>
      <w:lvlText w:val=""/>
      <w:lvlJc w:val="left"/>
      <w:pPr>
        <w:ind w:left="7330" w:hanging="360"/>
      </w:pPr>
      <w:rPr>
        <w:rFonts w:ascii="Wingdings" w:hAnsi="Wingdings" w:hint="default"/>
      </w:rPr>
    </w:lvl>
  </w:abstractNum>
  <w:abstractNum w:abstractNumId="32" w15:restartNumberingAfterBreak="0">
    <w:nsid w:val="0E201857"/>
    <w:multiLevelType w:val="hybridMultilevel"/>
    <w:tmpl w:val="E2625F30"/>
    <w:lvl w:ilvl="0" w:tplc="75BE59AC">
      <w:numFmt w:val="bullet"/>
      <w:lvlText w:val="–"/>
      <w:lvlJc w:val="left"/>
      <w:pPr>
        <w:ind w:left="-1000" w:hanging="360"/>
      </w:pPr>
      <w:rPr>
        <w:rFonts w:ascii="Cambria" w:eastAsiaTheme="minorEastAsia" w:hAnsi="Cambria" w:hint="default"/>
      </w:rPr>
    </w:lvl>
    <w:lvl w:ilvl="1" w:tplc="529C7C2E">
      <w:numFmt w:val="bullet"/>
      <w:lvlText w:val="–"/>
      <w:lvlJc w:val="left"/>
      <w:pPr>
        <w:ind w:left="-280" w:hanging="360"/>
      </w:pPr>
      <w:rPr>
        <w:rFonts w:ascii="Cambria" w:eastAsiaTheme="minorEastAsia" w:hAnsi="Cambria" w:hint="default"/>
      </w:rPr>
    </w:lvl>
    <w:lvl w:ilvl="2" w:tplc="04090005">
      <w:start w:val="1"/>
      <w:numFmt w:val="bullet"/>
      <w:lvlText w:val=""/>
      <w:lvlJc w:val="left"/>
      <w:pPr>
        <w:ind w:left="440" w:hanging="360"/>
      </w:pPr>
      <w:rPr>
        <w:rFonts w:ascii="Wingdings" w:hAnsi="Wingdings" w:hint="default"/>
      </w:rPr>
    </w:lvl>
    <w:lvl w:ilvl="3" w:tplc="04090001">
      <w:start w:val="1"/>
      <w:numFmt w:val="bullet"/>
      <w:lvlText w:val=""/>
      <w:lvlJc w:val="left"/>
      <w:pPr>
        <w:ind w:left="1160" w:hanging="360"/>
      </w:pPr>
      <w:rPr>
        <w:rFonts w:ascii="Symbol" w:hAnsi="Symbol" w:hint="default"/>
      </w:rPr>
    </w:lvl>
    <w:lvl w:ilvl="4" w:tplc="04090003" w:tentative="1">
      <w:start w:val="1"/>
      <w:numFmt w:val="bullet"/>
      <w:lvlText w:val="o"/>
      <w:lvlJc w:val="left"/>
      <w:pPr>
        <w:ind w:left="1880" w:hanging="360"/>
      </w:pPr>
      <w:rPr>
        <w:rFonts w:ascii="Courier New" w:hAnsi="Courier New" w:hint="default"/>
      </w:rPr>
    </w:lvl>
    <w:lvl w:ilvl="5" w:tplc="04090005" w:tentative="1">
      <w:start w:val="1"/>
      <w:numFmt w:val="bullet"/>
      <w:lvlText w:val=""/>
      <w:lvlJc w:val="left"/>
      <w:pPr>
        <w:ind w:left="2600" w:hanging="360"/>
      </w:pPr>
      <w:rPr>
        <w:rFonts w:ascii="Wingdings" w:hAnsi="Wingdings" w:hint="default"/>
      </w:rPr>
    </w:lvl>
    <w:lvl w:ilvl="6" w:tplc="04090001" w:tentative="1">
      <w:start w:val="1"/>
      <w:numFmt w:val="bullet"/>
      <w:lvlText w:val=""/>
      <w:lvlJc w:val="left"/>
      <w:pPr>
        <w:ind w:left="3320" w:hanging="360"/>
      </w:pPr>
      <w:rPr>
        <w:rFonts w:ascii="Symbol" w:hAnsi="Symbol" w:hint="default"/>
      </w:rPr>
    </w:lvl>
    <w:lvl w:ilvl="7" w:tplc="04090003" w:tentative="1">
      <w:start w:val="1"/>
      <w:numFmt w:val="bullet"/>
      <w:lvlText w:val="o"/>
      <w:lvlJc w:val="left"/>
      <w:pPr>
        <w:ind w:left="4040" w:hanging="360"/>
      </w:pPr>
      <w:rPr>
        <w:rFonts w:ascii="Courier New" w:hAnsi="Courier New" w:hint="default"/>
      </w:rPr>
    </w:lvl>
    <w:lvl w:ilvl="8" w:tplc="04090005" w:tentative="1">
      <w:start w:val="1"/>
      <w:numFmt w:val="bullet"/>
      <w:lvlText w:val=""/>
      <w:lvlJc w:val="left"/>
      <w:pPr>
        <w:ind w:left="4760" w:hanging="360"/>
      </w:pPr>
      <w:rPr>
        <w:rFonts w:ascii="Wingdings" w:hAnsi="Wingdings" w:hint="default"/>
      </w:rPr>
    </w:lvl>
  </w:abstractNum>
  <w:abstractNum w:abstractNumId="33" w15:restartNumberingAfterBreak="0">
    <w:nsid w:val="0E300531"/>
    <w:multiLevelType w:val="hybridMultilevel"/>
    <w:tmpl w:val="B94637CC"/>
    <w:lvl w:ilvl="0" w:tplc="FFFFFFFF">
      <w:start w:val="1"/>
      <w:numFmt w:val="decimal"/>
      <w:lvlText w:val="%1."/>
      <w:lvlJc w:val="left"/>
      <w:pPr>
        <w:tabs>
          <w:tab w:val="num" w:pos="760"/>
        </w:tabs>
        <w:ind w:left="760" w:hanging="360"/>
      </w:pPr>
      <w:rPr>
        <w:rFonts w:cs="Times New Roman"/>
      </w:rPr>
    </w:lvl>
    <w:lvl w:ilvl="1" w:tplc="04070019" w:tentative="1">
      <w:start w:val="1"/>
      <w:numFmt w:val="lowerLetter"/>
      <w:lvlText w:val="%2."/>
      <w:lvlJc w:val="left"/>
      <w:pPr>
        <w:tabs>
          <w:tab w:val="num" w:pos="1840"/>
        </w:tabs>
        <w:ind w:left="1840" w:hanging="360"/>
      </w:pPr>
      <w:rPr>
        <w:rFonts w:cs="Times New Roman"/>
      </w:rPr>
    </w:lvl>
    <w:lvl w:ilvl="2" w:tplc="0407001B" w:tentative="1">
      <w:start w:val="1"/>
      <w:numFmt w:val="lowerRoman"/>
      <w:lvlText w:val="%3."/>
      <w:lvlJc w:val="right"/>
      <w:pPr>
        <w:tabs>
          <w:tab w:val="num" w:pos="2560"/>
        </w:tabs>
        <w:ind w:left="2560" w:hanging="180"/>
      </w:pPr>
      <w:rPr>
        <w:rFonts w:cs="Times New Roman"/>
      </w:rPr>
    </w:lvl>
    <w:lvl w:ilvl="3" w:tplc="0407000F" w:tentative="1">
      <w:start w:val="1"/>
      <w:numFmt w:val="decimal"/>
      <w:lvlText w:val="%4."/>
      <w:lvlJc w:val="left"/>
      <w:pPr>
        <w:tabs>
          <w:tab w:val="num" w:pos="3280"/>
        </w:tabs>
        <w:ind w:left="3280" w:hanging="360"/>
      </w:pPr>
      <w:rPr>
        <w:rFonts w:cs="Times New Roman"/>
      </w:rPr>
    </w:lvl>
    <w:lvl w:ilvl="4" w:tplc="04070019" w:tentative="1">
      <w:start w:val="1"/>
      <w:numFmt w:val="lowerLetter"/>
      <w:lvlText w:val="%5."/>
      <w:lvlJc w:val="left"/>
      <w:pPr>
        <w:tabs>
          <w:tab w:val="num" w:pos="4000"/>
        </w:tabs>
        <w:ind w:left="4000" w:hanging="360"/>
      </w:pPr>
      <w:rPr>
        <w:rFonts w:cs="Times New Roman"/>
      </w:rPr>
    </w:lvl>
    <w:lvl w:ilvl="5" w:tplc="0407001B" w:tentative="1">
      <w:start w:val="1"/>
      <w:numFmt w:val="lowerRoman"/>
      <w:lvlText w:val="%6."/>
      <w:lvlJc w:val="right"/>
      <w:pPr>
        <w:tabs>
          <w:tab w:val="num" w:pos="4720"/>
        </w:tabs>
        <w:ind w:left="4720" w:hanging="180"/>
      </w:pPr>
      <w:rPr>
        <w:rFonts w:cs="Times New Roman"/>
      </w:rPr>
    </w:lvl>
    <w:lvl w:ilvl="6" w:tplc="0407000F" w:tentative="1">
      <w:start w:val="1"/>
      <w:numFmt w:val="decimal"/>
      <w:lvlText w:val="%7."/>
      <w:lvlJc w:val="left"/>
      <w:pPr>
        <w:tabs>
          <w:tab w:val="num" w:pos="5440"/>
        </w:tabs>
        <w:ind w:left="5440" w:hanging="360"/>
      </w:pPr>
      <w:rPr>
        <w:rFonts w:cs="Times New Roman"/>
      </w:rPr>
    </w:lvl>
    <w:lvl w:ilvl="7" w:tplc="04070019" w:tentative="1">
      <w:start w:val="1"/>
      <w:numFmt w:val="lowerLetter"/>
      <w:lvlText w:val="%8."/>
      <w:lvlJc w:val="left"/>
      <w:pPr>
        <w:tabs>
          <w:tab w:val="num" w:pos="6160"/>
        </w:tabs>
        <w:ind w:left="6160" w:hanging="360"/>
      </w:pPr>
      <w:rPr>
        <w:rFonts w:cs="Times New Roman"/>
      </w:rPr>
    </w:lvl>
    <w:lvl w:ilvl="8" w:tplc="0407001B" w:tentative="1">
      <w:start w:val="1"/>
      <w:numFmt w:val="lowerRoman"/>
      <w:lvlText w:val="%9."/>
      <w:lvlJc w:val="right"/>
      <w:pPr>
        <w:tabs>
          <w:tab w:val="num" w:pos="6880"/>
        </w:tabs>
        <w:ind w:left="6880" w:hanging="180"/>
      </w:pPr>
      <w:rPr>
        <w:rFonts w:cs="Times New Roman"/>
      </w:rPr>
    </w:lvl>
  </w:abstractNum>
  <w:abstractNum w:abstractNumId="34" w15:restartNumberingAfterBreak="0">
    <w:nsid w:val="0E4E0908"/>
    <w:multiLevelType w:val="hybridMultilevel"/>
    <w:tmpl w:val="C6B83A1C"/>
    <w:lvl w:ilvl="0" w:tplc="529C7C2E">
      <w:numFmt w:val="bullet"/>
      <w:lvlText w:val="–"/>
      <w:lvlJc w:val="left"/>
      <w:pPr>
        <w:ind w:left="1440" w:hanging="360"/>
      </w:pPr>
      <w:rPr>
        <w:rFonts w:ascii="Cambria" w:eastAsiaTheme="minorEastAsia" w:hAnsi="Cambria" w:hint="default"/>
      </w:rPr>
    </w:lvl>
    <w:lvl w:ilvl="1" w:tplc="016011D4">
      <w:start w:val="2"/>
      <w:numFmt w:val="bullet"/>
      <w:lvlText w:val="–"/>
      <w:lvlJc w:val="left"/>
      <w:pPr>
        <w:ind w:left="2160" w:hanging="360"/>
      </w:pPr>
      <w:rPr>
        <w:rFonts w:ascii="Calibri" w:eastAsia="Times New Roman" w:hAnsi="Calibri" w:hint="default"/>
      </w:rPr>
    </w:lvl>
    <w:lvl w:ilvl="2" w:tplc="10090005">
      <w:start w:val="1"/>
      <w:numFmt w:val="bullet"/>
      <w:lvlText w:val=""/>
      <w:lvlJc w:val="left"/>
      <w:pPr>
        <w:ind w:left="2880" w:hanging="360"/>
      </w:pPr>
      <w:rPr>
        <w:rFonts w:ascii="Wingdings" w:hAnsi="Wingdings" w:hint="default"/>
      </w:rPr>
    </w:lvl>
    <w:lvl w:ilvl="3" w:tplc="10090001" w:tentative="1">
      <w:start w:val="1"/>
      <w:numFmt w:val="bullet"/>
      <w:lvlText w:val=""/>
      <w:lvlJc w:val="left"/>
      <w:pPr>
        <w:ind w:left="3600" w:hanging="360"/>
      </w:pPr>
      <w:rPr>
        <w:rFonts w:ascii="Symbol" w:hAnsi="Symbol" w:hint="default"/>
      </w:rPr>
    </w:lvl>
    <w:lvl w:ilvl="4" w:tplc="10090003" w:tentative="1">
      <w:start w:val="1"/>
      <w:numFmt w:val="bullet"/>
      <w:lvlText w:val="o"/>
      <w:lvlJc w:val="left"/>
      <w:pPr>
        <w:ind w:left="4320" w:hanging="360"/>
      </w:pPr>
      <w:rPr>
        <w:rFonts w:ascii="Courier New" w:hAnsi="Courier New" w:cs="Courier New" w:hint="default"/>
      </w:rPr>
    </w:lvl>
    <w:lvl w:ilvl="5" w:tplc="10090005" w:tentative="1">
      <w:start w:val="1"/>
      <w:numFmt w:val="bullet"/>
      <w:lvlText w:val=""/>
      <w:lvlJc w:val="left"/>
      <w:pPr>
        <w:ind w:left="5040" w:hanging="360"/>
      </w:pPr>
      <w:rPr>
        <w:rFonts w:ascii="Wingdings" w:hAnsi="Wingdings" w:hint="default"/>
      </w:rPr>
    </w:lvl>
    <w:lvl w:ilvl="6" w:tplc="10090001" w:tentative="1">
      <w:start w:val="1"/>
      <w:numFmt w:val="bullet"/>
      <w:lvlText w:val=""/>
      <w:lvlJc w:val="left"/>
      <w:pPr>
        <w:ind w:left="5760" w:hanging="360"/>
      </w:pPr>
      <w:rPr>
        <w:rFonts w:ascii="Symbol" w:hAnsi="Symbol" w:hint="default"/>
      </w:rPr>
    </w:lvl>
    <w:lvl w:ilvl="7" w:tplc="10090003" w:tentative="1">
      <w:start w:val="1"/>
      <w:numFmt w:val="bullet"/>
      <w:lvlText w:val="o"/>
      <w:lvlJc w:val="left"/>
      <w:pPr>
        <w:ind w:left="6480" w:hanging="360"/>
      </w:pPr>
      <w:rPr>
        <w:rFonts w:ascii="Courier New" w:hAnsi="Courier New" w:cs="Courier New" w:hint="default"/>
      </w:rPr>
    </w:lvl>
    <w:lvl w:ilvl="8" w:tplc="10090005" w:tentative="1">
      <w:start w:val="1"/>
      <w:numFmt w:val="bullet"/>
      <w:lvlText w:val=""/>
      <w:lvlJc w:val="left"/>
      <w:pPr>
        <w:ind w:left="7200" w:hanging="360"/>
      </w:pPr>
      <w:rPr>
        <w:rFonts w:ascii="Wingdings" w:hAnsi="Wingdings" w:hint="default"/>
      </w:rPr>
    </w:lvl>
  </w:abstractNum>
  <w:abstractNum w:abstractNumId="35" w15:restartNumberingAfterBreak="0">
    <w:nsid w:val="0EB9727C"/>
    <w:multiLevelType w:val="hybridMultilevel"/>
    <w:tmpl w:val="BB344DCC"/>
    <w:lvl w:ilvl="0" w:tplc="65C0D2DC">
      <w:numFmt w:val="bullet"/>
      <w:lvlText w:val="–"/>
      <w:lvlJc w:val="left"/>
      <w:pPr>
        <w:tabs>
          <w:tab w:val="num" w:pos="1775"/>
        </w:tabs>
        <w:ind w:left="1077" w:firstLine="0"/>
      </w:pPr>
      <w:rPr>
        <w:rFonts w:ascii="Cambria" w:eastAsiaTheme="minorEastAsia" w:hAnsi="Cambria" w:hint="default"/>
      </w:rPr>
    </w:lvl>
    <w:lvl w:ilvl="1" w:tplc="529C7C2E">
      <w:numFmt w:val="bullet"/>
      <w:lvlText w:val="–"/>
      <w:lvlJc w:val="left"/>
      <w:pPr>
        <w:ind w:left="1800" w:hanging="360"/>
      </w:pPr>
      <w:rPr>
        <w:rFonts w:ascii="Cambria" w:eastAsiaTheme="minorEastAsia" w:hAnsi="Cambria"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36" w15:restartNumberingAfterBreak="0">
    <w:nsid w:val="0EC43338"/>
    <w:multiLevelType w:val="hybridMultilevel"/>
    <w:tmpl w:val="4582F8C2"/>
    <w:lvl w:ilvl="0" w:tplc="FFFFFFFF">
      <w:start w:val="5"/>
      <w:numFmt w:val="bullet"/>
      <w:lvlText w:val="–"/>
      <w:lvlJc w:val="left"/>
      <w:pPr>
        <w:ind w:left="720" w:hanging="360"/>
      </w:pPr>
      <w:rPr>
        <w:rFonts w:ascii="Times New Roman" w:eastAsia="Times New Roman" w:hAnsi="Times New Roman" w:hint="default"/>
      </w:rPr>
    </w:lvl>
    <w:lvl w:ilvl="1" w:tplc="FFFFFFFF">
      <w:start w:val="5"/>
      <w:numFmt w:val="bullet"/>
      <w:lvlText w:val="–"/>
      <w:lvlJc w:val="left"/>
      <w:pPr>
        <w:ind w:left="1440" w:hanging="360"/>
      </w:pPr>
      <w:rPr>
        <w:rFonts w:ascii="Times New Roman" w:eastAsia="Times New Roman" w:hAnsi="Times New Roman" w:hint="default"/>
      </w:rPr>
    </w:lvl>
    <w:lvl w:ilvl="2" w:tplc="84CC2C8A">
      <w:start w:val="5"/>
      <w:numFmt w:val="bullet"/>
      <w:lvlText w:val="–"/>
      <w:lvlJc w:val="left"/>
      <w:pPr>
        <w:ind w:left="2160" w:hanging="360"/>
      </w:pPr>
      <w:rPr>
        <w:rFonts w:ascii="Times New Roman" w:eastAsia="Times New Roman" w:hAnsi="Times New Roman" w:hint="default"/>
      </w:rPr>
    </w:lvl>
    <w:lvl w:ilvl="3" w:tplc="FFFFFFFF">
      <w:start w:val="5"/>
      <w:numFmt w:val="bullet"/>
      <w:lvlText w:val="–"/>
      <w:lvlJc w:val="left"/>
      <w:pPr>
        <w:ind w:left="2880" w:hanging="360"/>
      </w:pPr>
      <w:rPr>
        <w:rFonts w:ascii="Times New Roman" w:eastAsia="Times New Roman" w:hAnsi="Times New Roman" w:hint="default"/>
      </w:rPr>
    </w:lvl>
    <w:lvl w:ilvl="4" w:tplc="08090003">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0ECA7D35"/>
    <w:multiLevelType w:val="hybridMultilevel"/>
    <w:tmpl w:val="DF0C4CF8"/>
    <w:lvl w:ilvl="0" w:tplc="79205E2A">
      <w:start w:val="5"/>
      <w:numFmt w:val="bullet"/>
      <w:lvlText w:val="-"/>
      <w:lvlJc w:val="left"/>
      <w:pPr>
        <w:ind w:left="720" w:hanging="360"/>
      </w:pPr>
      <w:rPr>
        <w:rFonts w:ascii="Times New Roman" w:eastAsia="MS Mincho" w:hAnsi="Times New Roman" w:hint="default"/>
        <w:b/>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0F973C45"/>
    <w:multiLevelType w:val="hybridMultilevel"/>
    <w:tmpl w:val="66702D88"/>
    <w:lvl w:ilvl="0" w:tplc="8AAC7C0C">
      <w:numFmt w:val="bullet"/>
      <w:lvlText w:val="-"/>
      <w:lvlJc w:val="left"/>
      <w:pPr>
        <w:ind w:left="720" w:hanging="360"/>
      </w:pPr>
      <w:rPr>
        <w:rFonts w:ascii="Cambria" w:eastAsiaTheme="minorEastAsia" w:hAnsi="Cambria"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0FBD736A"/>
    <w:multiLevelType w:val="multilevel"/>
    <w:tmpl w:val="5D4EDD56"/>
    <w:lvl w:ilvl="0">
      <w:start w:val="3"/>
      <w:numFmt w:val="decimal"/>
      <w:lvlText w:val="%1"/>
      <w:lvlJc w:val="left"/>
      <w:pPr>
        <w:tabs>
          <w:tab w:val="num" w:pos="795"/>
        </w:tabs>
        <w:ind w:left="795" w:hanging="795"/>
      </w:pPr>
      <w:rPr>
        <w:rFonts w:cs="Times New Roman" w:hint="default"/>
        <w:b/>
        <w:bCs/>
      </w:rPr>
    </w:lvl>
    <w:lvl w:ilvl="1">
      <w:start w:val="1"/>
      <w:numFmt w:val="decimal"/>
      <w:lvlText w:val="H.%1.%2"/>
      <w:lvlJc w:val="left"/>
      <w:pPr>
        <w:ind w:left="795" w:hanging="795"/>
      </w:pPr>
      <w:rPr>
        <w:rFonts w:cs="Times New Roman" w:hint="default"/>
        <w:b/>
        <w:bCs/>
      </w:rPr>
    </w:lvl>
    <w:lvl w:ilvl="2">
      <w:start w:val="1"/>
      <w:numFmt w:val="decimal"/>
      <w:lvlText w:val="%1.%2.%3"/>
      <w:lvlJc w:val="left"/>
      <w:pPr>
        <w:tabs>
          <w:tab w:val="num" w:pos="795"/>
        </w:tabs>
        <w:ind w:left="795" w:hanging="795"/>
      </w:pPr>
      <w:rPr>
        <w:rFonts w:cs="Times New Roman" w:hint="default"/>
        <w:b/>
        <w:bCs/>
      </w:rPr>
    </w:lvl>
    <w:lvl w:ilvl="3">
      <w:start w:val="1"/>
      <w:numFmt w:val="decimal"/>
      <w:lvlText w:val="%1.%2.%3.%4"/>
      <w:lvlJc w:val="left"/>
      <w:pPr>
        <w:tabs>
          <w:tab w:val="num" w:pos="795"/>
        </w:tabs>
        <w:ind w:left="795" w:hanging="795"/>
      </w:pPr>
      <w:rPr>
        <w:rFonts w:cs="Times New Roman" w:hint="default"/>
        <w:b/>
        <w:bCs/>
      </w:rPr>
    </w:lvl>
    <w:lvl w:ilvl="4">
      <w:start w:val="1"/>
      <w:numFmt w:val="decimal"/>
      <w:lvlText w:val="%1.%2.%3.%4.%5"/>
      <w:lvlJc w:val="left"/>
      <w:pPr>
        <w:tabs>
          <w:tab w:val="num" w:pos="795"/>
        </w:tabs>
        <w:ind w:left="795" w:hanging="795"/>
      </w:pPr>
      <w:rPr>
        <w:rFonts w:cs="Times New Roman" w:hint="default"/>
        <w:b/>
        <w:bCs/>
      </w:rPr>
    </w:lvl>
    <w:lvl w:ilvl="5">
      <w:start w:val="1"/>
      <w:numFmt w:val="decimal"/>
      <w:lvlText w:val="%1.%2.%3.%4.%5.%6"/>
      <w:lvlJc w:val="left"/>
      <w:pPr>
        <w:tabs>
          <w:tab w:val="num" w:pos="1080"/>
        </w:tabs>
        <w:ind w:left="1080" w:hanging="1080"/>
      </w:pPr>
      <w:rPr>
        <w:rFonts w:cs="Times New Roman" w:hint="default"/>
        <w:b/>
        <w:bCs/>
      </w:rPr>
    </w:lvl>
    <w:lvl w:ilvl="6">
      <w:start w:val="1"/>
      <w:numFmt w:val="decimal"/>
      <w:lvlText w:val="%1.%2.%3.%4.%5.%6.%7"/>
      <w:lvlJc w:val="left"/>
      <w:pPr>
        <w:tabs>
          <w:tab w:val="num" w:pos="1080"/>
        </w:tabs>
        <w:ind w:left="1080" w:hanging="1080"/>
      </w:pPr>
      <w:rPr>
        <w:rFonts w:cs="Times New Roman" w:hint="default"/>
        <w:b/>
        <w:bCs/>
      </w:rPr>
    </w:lvl>
    <w:lvl w:ilvl="7">
      <w:start w:val="1"/>
      <w:numFmt w:val="decimal"/>
      <w:lvlText w:val="%1.%2.%3.%4.%5.%6.%7.%8"/>
      <w:lvlJc w:val="left"/>
      <w:pPr>
        <w:tabs>
          <w:tab w:val="num" w:pos="1440"/>
        </w:tabs>
        <w:ind w:left="1440" w:hanging="1440"/>
      </w:pPr>
      <w:rPr>
        <w:rFonts w:cs="Times New Roman" w:hint="default"/>
        <w:b/>
        <w:bCs/>
      </w:rPr>
    </w:lvl>
    <w:lvl w:ilvl="8">
      <w:start w:val="1"/>
      <w:numFmt w:val="decimal"/>
      <w:lvlText w:val="%1.%2.%3.%4.%5.%6.%7.%8.%9"/>
      <w:lvlJc w:val="left"/>
      <w:pPr>
        <w:tabs>
          <w:tab w:val="num" w:pos="1440"/>
        </w:tabs>
        <w:ind w:left="1440" w:hanging="1440"/>
      </w:pPr>
      <w:rPr>
        <w:rFonts w:cs="Times New Roman" w:hint="default"/>
        <w:b/>
        <w:bCs/>
      </w:rPr>
    </w:lvl>
  </w:abstractNum>
  <w:abstractNum w:abstractNumId="40" w15:restartNumberingAfterBreak="0">
    <w:nsid w:val="1057019A"/>
    <w:multiLevelType w:val="hybridMultilevel"/>
    <w:tmpl w:val="1C203CCA"/>
    <w:lvl w:ilvl="0" w:tplc="FFFFFFFF">
      <w:start w:val="5"/>
      <w:numFmt w:val="bullet"/>
      <w:lvlText w:val="–"/>
      <w:lvlJc w:val="left"/>
      <w:pPr>
        <w:ind w:left="1485" w:hanging="360"/>
      </w:pPr>
      <w:rPr>
        <w:rFonts w:ascii="Times New Roman" w:eastAsia="Times New Roman" w:hAnsi="Times New Roman" w:hint="default"/>
      </w:rPr>
    </w:lvl>
    <w:lvl w:ilvl="1" w:tplc="08090003" w:tentative="1">
      <w:start w:val="1"/>
      <w:numFmt w:val="bullet"/>
      <w:lvlText w:val="o"/>
      <w:lvlJc w:val="left"/>
      <w:pPr>
        <w:ind w:left="2205" w:hanging="360"/>
      </w:pPr>
      <w:rPr>
        <w:rFonts w:ascii="Courier New" w:hAnsi="Courier New" w:hint="default"/>
      </w:rPr>
    </w:lvl>
    <w:lvl w:ilvl="2" w:tplc="08090005" w:tentative="1">
      <w:start w:val="1"/>
      <w:numFmt w:val="bullet"/>
      <w:lvlText w:val=""/>
      <w:lvlJc w:val="left"/>
      <w:pPr>
        <w:ind w:left="2925" w:hanging="360"/>
      </w:pPr>
      <w:rPr>
        <w:rFonts w:ascii="Wingdings" w:hAnsi="Wingdings" w:hint="default"/>
      </w:rPr>
    </w:lvl>
    <w:lvl w:ilvl="3" w:tplc="08090001" w:tentative="1">
      <w:start w:val="1"/>
      <w:numFmt w:val="bullet"/>
      <w:lvlText w:val=""/>
      <w:lvlJc w:val="left"/>
      <w:pPr>
        <w:ind w:left="3645" w:hanging="360"/>
      </w:pPr>
      <w:rPr>
        <w:rFonts w:ascii="Symbol" w:hAnsi="Symbol" w:hint="default"/>
      </w:rPr>
    </w:lvl>
    <w:lvl w:ilvl="4" w:tplc="08090003" w:tentative="1">
      <w:start w:val="1"/>
      <w:numFmt w:val="bullet"/>
      <w:lvlText w:val="o"/>
      <w:lvlJc w:val="left"/>
      <w:pPr>
        <w:ind w:left="4365" w:hanging="360"/>
      </w:pPr>
      <w:rPr>
        <w:rFonts w:ascii="Courier New" w:hAnsi="Courier New" w:hint="default"/>
      </w:rPr>
    </w:lvl>
    <w:lvl w:ilvl="5" w:tplc="08090005" w:tentative="1">
      <w:start w:val="1"/>
      <w:numFmt w:val="bullet"/>
      <w:lvlText w:val=""/>
      <w:lvlJc w:val="left"/>
      <w:pPr>
        <w:ind w:left="5085" w:hanging="360"/>
      </w:pPr>
      <w:rPr>
        <w:rFonts w:ascii="Wingdings" w:hAnsi="Wingdings" w:hint="default"/>
      </w:rPr>
    </w:lvl>
    <w:lvl w:ilvl="6" w:tplc="08090001" w:tentative="1">
      <w:start w:val="1"/>
      <w:numFmt w:val="bullet"/>
      <w:lvlText w:val=""/>
      <w:lvlJc w:val="left"/>
      <w:pPr>
        <w:ind w:left="5805" w:hanging="360"/>
      </w:pPr>
      <w:rPr>
        <w:rFonts w:ascii="Symbol" w:hAnsi="Symbol" w:hint="default"/>
      </w:rPr>
    </w:lvl>
    <w:lvl w:ilvl="7" w:tplc="08090003" w:tentative="1">
      <w:start w:val="1"/>
      <w:numFmt w:val="bullet"/>
      <w:lvlText w:val="o"/>
      <w:lvlJc w:val="left"/>
      <w:pPr>
        <w:ind w:left="6525" w:hanging="360"/>
      </w:pPr>
      <w:rPr>
        <w:rFonts w:ascii="Courier New" w:hAnsi="Courier New" w:hint="default"/>
      </w:rPr>
    </w:lvl>
    <w:lvl w:ilvl="8" w:tplc="08090005" w:tentative="1">
      <w:start w:val="1"/>
      <w:numFmt w:val="bullet"/>
      <w:lvlText w:val=""/>
      <w:lvlJc w:val="left"/>
      <w:pPr>
        <w:ind w:left="7245" w:hanging="360"/>
      </w:pPr>
      <w:rPr>
        <w:rFonts w:ascii="Wingdings" w:hAnsi="Wingdings" w:hint="default"/>
      </w:rPr>
    </w:lvl>
  </w:abstractNum>
  <w:abstractNum w:abstractNumId="41" w15:restartNumberingAfterBreak="0">
    <w:nsid w:val="109303F3"/>
    <w:multiLevelType w:val="hybridMultilevel"/>
    <w:tmpl w:val="51D81C00"/>
    <w:lvl w:ilvl="0" w:tplc="15FE2852">
      <w:start w:val="7"/>
      <w:numFmt w:val="bullet"/>
      <w:lvlText w:val="-"/>
      <w:lvlJc w:val="left"/>
      <w:pPr>
        <w:ind w:left="720" w:hanging="360"/>
      </w:pPr>
      <w:rPr>
        <w:rFonts w:ascii="Courier" w:eastAsia="Times New Roman" w:hAnsi="Courier"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111D352D"/>
    <w:multiLevelType w:val="hybridMultilevel"/>
    <w:tmpl w:val="5D2605F8"/>
    <w:lvl w:ilvl="0" w:tplc="529C7C2E">
      <w:numFmt w:val="bullet"/>
      <w:lvlText w:val="–"/>
      <w:lvlJc w:val="left"/>
      <w:pPr>
        <w:ind w:left="720" w:hanging="360"/>
      </w:pPr>
      <w:rPr>
        <w:rFonts w:ascii="Cambria" w:eastAsiaTheme="minorEastAsia" w:hAnsi="Cambria"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3" w15:restartNumberingAfterBreak="0">
    <w:nsid w:val="11326A6A"/>
    <w:multiLevelType w:val="hybridMultilevel"/>
    <w:tmpl w:val="8B0CB496"/>
    <w:lvl w:ilvl="0" w:tplc="1409000F">
      <w:start w:val="1"/>
      <w:numFmt w:val="decimal"/>
      <w:lvlText w:val="%1."/>
      <w:lvlJc w:val="left"/>
      <w:pPr>
        <w:ind w:left="720" w:hanging="360"/>
      </w:pPr>
      <w:rPr>
        <w:rFonts w:cs="Times New Roman"/>
      </w:rPr>
    </w:lvl>
    <w:lvl w:ilvl="1" w:tplc="14090019">
      <w:start w:val="1"/>
      <w:numFmt w:val="lowerLetter"/>
      <w:lvlText w:val="%2."/>
      <w:lvlJc w:val="left"/>
      <w:pPr>
        <w:ind w:left="1440" w:hanging="360"/>
      </w:pPr>
      <w:rPr>
        <w:rFonts w:cs="Times New Roman"/>
      </w:rPr>
    </w:lvl>
    <w:lvl w:ilvl="2" w:tplc="1409001B">
      <w:start w:val="1"/>
      <w:numFmt w:val="lowerRoman"/>
      <w:lvlText w:val="%3."/>
      <w:lvlJc w:val="right"/>
      <w:pPr>
        <w:ind w:left="2160" w:hanging="180"/>
      </w:pPr>
      <w:rPr>
        <w:rFonts w:cs="Times New Roman"/>
      </w:rPr>
    </w:lvl>
    <w:lvl w:ilvl="3" w:tplc="1409000F" w:tentative="1">
      <w:start w:val="1"/>
      <w:numFmt w:val="decimal"/>
      <w:lvlText w:val="%4."/>
      <w:lvlJc w:val="left"/>
      <w:pPr>
        <w:ind w:left="2880" w:hanging="360"/>
      </w:pPr>
      <w:rPr>
        <w:rFonts w:cs="Times New Roman"/>
      </w:rPr>
    </w:lvl>
    <w:lvl w:ilvl="4" w:tplc="14090019" w:tentative="1">
      <w:start w:val="1"/>
      <w:numFmt w:val="lowerLetter"/>
      <w:lvlText w:val="%5."/>
      <w:lvlJc w:val="left"/>
      <w:pPr>
        <w:ind w:left="3600" w:hanging="360"/>
      </w:pPr>
      <w:rPr>
        <w:rFonts w:cs="Times New Roman"/>
      </w:rPr>
    </w:lvl>
    <w:lvl w:ilvl="5" w:tplc="1409001B" w:tentative="1">
      <w:start w:val="1"/>
      <w:numFmt w:val="lowerRoman"/>
      <w:lvlText w:val="%6."/>
      <w:lvlJc w:val="right"/>
      <w:pPr>
        <w:ind w:left="4320" w:hanging="180"/>
      </w:pPr>
      <w:rPr>
        <w:rFonts w:cs="Times New Roman"/>
      </w:rPr>
    </w:lvl>
    <w:lvl w:ilvl="6" w:tplc="1409000F" w:tentative="1">
      <w:start w:val="1"/>
      <w:numFmt w:val="decimal"/>
      <w:lvlText w:val="%7."/>
      <w:lvlJc w:val="left"/>
      <w:pPr>
        <w:ind w:left="5040" w:hanging="360"/>
      </w:pPr>
      <w:rPr>
        <w:rFonts w:cs="Times New Roman"/>
      </w:rPr>
    </w:lvl>
    <w:lvl w:ilvl="7" w:tplc="14090019" w:tentative="1">
      <w:start w:val="1"/>
      <w:numFmt w:val="lowerLetter"/>
      <w:lvlText w:val="%8."/>
      <w:lvlJc w:val="left"/>
      <w:pPr>
        <w:ind w:left="5760" w:hanging="360"/>
      </w:pPr>
      <w:rPr>
        <w:rFonts w:cs="Times New Roman"/>
      </w:rPr>
    </w:lvl>
    <w:lvl w:ilvl="8" w:tplc="1409001B" w:tentative="1">
      <w:start w:val="1"/>
      <w:numFmt w:val="lowerRoman"/>
      <w:lvlText w:val="%9."/>
      <w:lvlJc w:val="right"/>
      <w:pPr>
        <w:ind w:left="6480" w:hanging="180"/>
      </w:pPr>
      <w:rPr>
        <w:rFonts w:cs="Times New Roman"/>
      </w:rPr>
    </w:lvl>
  </w:abstractNum>
  <w:abstractNum w:abstractNumId="44" w15:restartNumberingAfterBreak="0">
    <w:nsid w:val="120802D3"/>
    <w:multiLevelType w:val="hybridMultilevel"/>
    <w:tmpl w:val="D740671C"/>
    <w:lvl w:ilvl="0" w:tplc="84CC2C8A">
      <w:start w:val="5"/>
      <w:numFmt w:val="bullet"/>
      <w:lvlText w:val="–"/>
      <w:lvlJc w:val="left"/>
      <w:pPr>
        <w:ind w:left="360" w:hanging="360"/>
      </w:pPr>
      <w:rPr>
        <w:rFonts w:ascii="Times New Roman" w:eastAsia="Times New Roman" w:hAnsi="Times New Roman" w:hint="default"/>
      </w:rPr>
    </w:lvl>
    <w:lvl w:ilvl="1" w:tplc="84CC2C8A">
      <w:start w:val="5"/>
      <w:numFmt w:val="bullet"/>
      <w:lvlText w:val="–"/>
      <w:lvlJc w:val="left"/>
      <w:pPr>
        <w:ind w:left="1080" w:hanging="360"/>
      </w:pPr>
      <w:rPr>
        <w:rFonts w:ascii="Times New Roman" w:eastAsia="Times New Roman" w:hAnsi="Times New Roman"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5" w15:restartNumberingAfterBreak="0">
    <w:nsid w:val="1253384C"/>
    <w:multiLevelType w:val="hybridMultilevel"/>
    <w:tmpl w:val="07BCF5FC"/>
    <w:lvl w:ilvl="0" w:tplc="1409000F">
      <w:start w:val="1"/>
      <w:numFmt w:val="decimal"/>
      <w:lvlText w:val="%1."/>
      <w:lvlJc w:val="left"/>
      <w:pPr>
        <w:ind w:left="360" w:hanging="360"/>
      </w:pPr>
      <w:rPr>
        <w:rFonts w:cs="Times New Roman"/>
      </w:rPr>
    </w:lvl>
    <w:lvl w:ilvl="1" w:tplc="14090019">
      <w:start w:val="1"/>
      <w:numFmt w:val="lowerLetter"/>
      <w:lvlText w:val="%2."/>
      <w:lvlJc w:val="left"/>
      <w:pPr>
        <w:ind w:left="1080" w:hanging="360"/>
      </w:pPr>
      <w:rPr>
        <w:rFonts w:cs="Times New Roman"/>
      </w:rPr>
    </w:lvl>
    <w:lvl w:ilvl="2" w:tplc="1409001B">
      <w:start w:val="1"/>
      <w:numFmt w:val="lowerRoman"/>
      <w:lvlText w:val="%3."/>
      <w:lvlJc w:val="right"/>
      <w:pPr>
        <w:ind w:left="1800" w:hanging="180"/>
      </w:pPr>
      <w:rPr>
        <w:rFonts w:cs="Times New Roman"/>
      </w:rPr>
    </w:lvl>
    <w:lvl w:ilvl="3" w:tplc="1409000F">
      <w:start w:val="1"/>
      <w:numFmt w:val="decimal"/>
      <w:lvlText w:val="%4."/>
      <w:lvlJc w:val="left"/>
      <w:pPr>
        <w:ind w:left="2520" w:hanging="360"/>
      </w:pPr>
      <w:rPr>
        <w:rFonts w:cs="Times New Roman"/>
      </w:rPr>
    </w:lvl>
    <w:lvl w:ilvl="4" w:tplc="14090019" w:tentative="1">
      <w:start w:val="1"/>
      <w:numFmt w:val="lowerLetter"/>
      <w:lvlText w:val="%5."/>
      <w:lvlJc w:val="left"/>
      <w:pPr>
        <w:ind w:left="3240" w:hanging="360"/>
      </w:pPr>
      <w:rPr>
        <w:rFonts w:cs="Times New Roman"/>
      </w:rPr>
    </w:lvl>
    <w:lvl w:ilvl="5" w:tplc="1409001B" w:tentative="1">
      <w:start w:val="1"/>
      <w:numFmt w:val="lowerRoman"/>
      <w:lvlText w:val="%6."/>
      <w:lvlJc w:val="right"/>
      <w:pPr>
        <w:ind w:left="3960" w:hanging="180"/>
      </w:pPr>
      <w:rPr>
        <w:rFonts w:cs="Times New Roman"/>
      </w:rPr>
    </w:lvl>
    <w:lvl w:ilvl="6" w:tplc="1409000F" w:tentative="1">
      <w:start w:val="1"/>
      <w:numFmt w:val="decimal"/>
      <w:lvlText w:val="%7."/>
      <w:lvlJc w:val="left"/>
      <w:pPr>
        <w:ind w:left="4680" w:hanging="360"/>
      </w:pPr>
      <w:rPr>
        <w:rFonts w:cs="Times New Roman"/>
      </w:rPr>
    </w:lvl>
    <w:lvl w:ilvl="7" w:tplc="14090019" w:tentative="1">
      <w:start w:val="1"/>
      <w:numFmt w:val="lowerLetter"/>
      <w:lvlText w:val="%8."/>
      <w:lvlJc w:val="left"/>
      <w:pPr>
        <w:ind w:left="5400" w:hanging="360"/>
      </w:pPr>
      <w:rPr>
        <w:rFonts w:cs="Times New Roman"/>
      </w:rPr>
    </w:lvl>
    <w:lvl w:ilvl="8" w:tplc="1409001B" w:tentative="1">
      <w:start w:val="1"/>
      <w:numFmt w:val="lowerRoman"/>
      <w:lvlText w:val="%9."/>
      <w:lvlJc w:val="right"/>
      <w:pPr>
        <w:ind w:left="6120" w:hanging="180"/>
      </w:pPr>
      <w:rPr>
        <w:rFonts w:cs="Times New Roman"/>
      </w:rPr>
    </w:lvl>
  </w:abstractNum>
  <w:abstractNum w:abstractNumId="46" w15:restartNumberingAfterBreak="0">
    <w:nsid w:val="129D40B5"/>
    <w:multiLevelType w:val="hybridMultilevel"/>
    <w:tmpl w:val="3D2EA1AC"/>
    <w:lvl w:ilvl="0" w:tplc="529C7C2E">
      <w:numFmt w:val="bullet"/>
      <w:lvlText w:val="–"/>
      <w:lvlJc w:val="left"/>
      <w:pPr>
        <w:ind w:left="720" w:hanging="360"/>
      </w:pPr>
      <w:rPr>
        <w:rFonts w:ascii="Cambria" w:eastAsiaTheme="minorEastAsia" w:hAnsi="Cambria" w:hint="default"/>
      </w:rPr>
    </w:lvl>
    <w:lvl w:ilvl="1" w:tplc="CCE27728">
      <w:start w:val="1"/>
      <w:numFmt w:val="bullet"/>
      <w:lvlText w:val="–"/>
      <w:lvlJc w:val="left"/>
      <w:pPr>
        <w:ind w:left="1440" w:hanging="360"/>
      </w:pPr>
      <w:rPr>
        <w:rFonts w:ascii="Courier New" w:hAnsi="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7" w15:restartNumberingAfterBreak="0">
    <w:nsid w:val="137C3654"/>
    <w:multiLevelType w:val="hybridMultilevel"/>
    <w:tmpl w:val="18E21FC0"/>
    <w:lvl w:ilvl="0" w:tplc="D8048EBA">
      <w:numFmt w:val="bullet"/>
      <w:lvlText w:val="-"/>
      <w:lvlJc w:val="left"/>
      <w:pPr>
        <w:ind w:left="720" w:hanging="360"/>
      </w:pPr>
      <w:rPr>
        <w:rFonts w:ascii="Times New Roman" w:eastAsia="MS Mincho" w:hAnsi="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14F354AE"/>
    <w:multiLevelType w:val="hybridMultilevel"/>
    <w:tmpl w:val="A170F874"/>
    <w:lvl w:ilvl="0" w:tplc="D1F64C22">
      <w:start w:val="1"/>
      <w:numFmt w:val="decimal"/>
      <w:lvlText w:val="%1."/>
      <w:lvlJc w:val="left"/>
      <w:pPr>
        <w:ind w:left="420" w:hanging="420"/>
      </w:pPr>
      <w:rPr>
        <w:rFonts w:asciiTheme="majorHAnsi" w:eastAsiaTheme="majorEastAsia" w:hAnsiTheme="majorHAnsi" w:cs="Times New Roman" w:hint="default"/>
        <w:spacing w:val="0"/>
        <w:w w:val="100"/>
        <w:kern w:val="0"/>
        <w:position w:val="0"/>
      </w:rPr>
    </w:lvl>
    <w:lvl w:ilvl="1" w:tplc="04090017" w:tentative="1">
      <w:start w:val="1"/>
      <w:numFmt w:val="aiueoFullWidth"/>
      <w:lvlText w:val="(%2)"/>
      <w:lvlJc w:val="left"/>
      <w:pPr>
        <w:ind w:left="840" w:hanging="420"/>
      </w:pPr>
      <w:rPr>
        <w:rFonts w:cs="Times New Roman"/>
      </w:rPr>
    </w:lvl>
    <w:lvl w:ilvl="2" w:tplc="04090011" w:tentative="1">
      <w:start w:val="1"/>
      <w:numFmt w:val="decimalEnclosedCircle"/>
      <w:lvlText w:val="%3"/>
      <w:lvlJc w:val="left"/>
      <w:pPr>
        <w:ind w:left="1260" w:hanging="420"/>
      </w:pPr>
      <w:rPr>
        <w:rFonts w:cs="Times New Roman"/>
      </w:rPr>
    </w:lvl>
    <w:lvl w:ilvl="3" w:tplc="0409000F" w:tentative="1">
      <w:start w:val="1"/>
      <w:numFmt w:val="decimal"/>
      <w:lvlText w:val="%4."/>
      <w:lvlJc w:val="left"/>
      <w:pPr>
        <w:ind w:left="1680" w:hanging="420"/>
      </w:pPr>
      <w:rPr>
        <w:rFonts w:cs="Times New Roman"/>
      </w:rPr>
    </w:lvl>
    <w:lvl w:ilvl="4" w:tplc="04090017" w:tentative="1">
      <w:start w:val="1"/>
      <w:numFmt w:val="aiueoFullWidth"/>
      <w:lvlText w:val="(%5)"/>
      <w:lvlJc w:val="left"/>
      <w:pPr>
        <w:ind w:left="2100" w:hanging="420"/>
      </w:pPr>
      <w:rPr>
        <w:rFonts w:cs="Times New Roman"/>
      </w:rPr>
    </w:lvl>
    <w:lvl w:ilvl="5" w:tplc="04090011" w:tentative="1">
      <w:start w:val="1"/>
      <w:numFmt w:val="decimalEnclosedCircle"/>
      <w:lvlText w:val="%6"/>
      <w:lvlJc w:val="left"/>
      <w:pPr>
        <w:ind w:left="2520" w:hanging="420"/>
      </w:pPr>
      <w:rPr>
        <w:rFonts w:cs="Times New Roman"/>
      </w:rPr>
    </w:lvl>
    <w:lvl w:ilvl="6" w:tplc="0409000F" w:tentative="1">
      <w:start w:val="1"/>
      <w:numFmt w:val="decimal"/>
      <w:lvlText w:val="%7."/>
      <w:lvlJc w:val="left"/>
      <w:pPr>
        <w:ind w:left="2940" w:hanging="420"/>
      </w:pPr>
      <w:rPr>
        <w:rFonts w:cs="Times New Roman"/>
      </w:rPr>
    </w:lvl>
    <w:lvl w:ilvl="7" w:tplc="04090017" w:tentative="1">
      <w:start w:val="1"/>
      <w:numFmt w:val="aiueoFullWidth"/>
      <w:lvlText w:val="(%8)"/>
      <w:lvlJc w:val="left"/>
      <w:pPr>
        <w:ind w:left="3360" w:hanging="420"/>
      </w:pPr>
      <w:rPr>
        <w:rFonts w:cs="Times New Roman"/>
      </w:rPr>
    </w:lvl>
    <w:lvl w:ilvl="8" w:tplc="04090011" w:tentative="1">
      <w:start w:val="1"/>
      <w:numFmt w:val="decimalEnclosedCircle"/>
      <w:lvlText w:val="%9"/>
      <w:lvlJc w:val="left"/>
      <w:pPr>
        <w:ind w:left="3780" w:hanging="420"/>
      </w:pPr>
      <w:rPr>
        <w:rFonts w:cs="Times New Roman"/>
      </w:rPr>
    </w:lvl>
  </w:abstractNum>
  <w:abstractNum w:abstractNumId="49" w15:restartNumberingAfterBreak="0">
    <w:nsid w:val="15231048"/>
    <w:multiLevelType w:val="hybridMultilevel"/>
    <w:tmpl w:val="BA943180"/>
    <w:lvl w:ilvl="0" w:tplc="C6123BC8">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50" w15:restartNumberingAfterBreak="0">
    <w:nsid w:val="1677114B"/>
    <w:multiLevelType w:val="hybridMultilevel"/>
    <w:tmpl w:val="8B08215A"/>
    <w:lvl w:ilvl="0" w:tplc="529C7C2E">
      <w:numFmt w:val="bullet"/>
      <w:lvlText w:val="–"/>
      <w:lvlJc w:val="left"/>
      <w:pPr>
        <w:ind w:left="4438" w:hanging="360"/>
      </w:pPr>
      <w:rPr>
        <w:rFonts w:ascii="Cambria" w:eastAsiaTheme="minorEastAsia" w:hAnsi="Cambria" w:hint="default"/>
      </w:rPr>
    </w:lvl>
    <w:lvl w:ilvl="1" w:tplc="04090019">
      <w:start w:val="1"/>
      <w:numFmt w:val="lowerLetter"/>
      <w:lvlText w:val="%2."/>
      <w:lvlJc w:val="left"/>
      <w:pPr>
        <w:ind w:left="5158" w:hanging="360"/>
      </w:pPr>
      <w:rPr>
        <w:rFonts w:cs="Times New Roman"/>
      </w:rPr>
    </w:lvl>
    <w:lvl w:ilvl="2" w:tplc="0409001B" w:tentative="1">
      <w:start w:val="1"/>
      <w:numFmt w:val="lowerRoman"/>
      <w:lvlText w:val="%3."/>
      <w:lvlJc w:val="right"/>
      <w:pPr>
        <w:ind w:left="5878" w:hanging="180"/>
      </w:pPr>
      <w:rPr>
        <w:rFonts w:cs="Times New Roman"/>
      </w:rPr>
    </w:lvl>
    <w:lvl w:ilvl="3" w:tplc="0409000F" w:tentative="1">
      <w:start w:val="1"/>
      <w:numFmt w:val="decimal"/>
      <w:lvlText w:val="%4."/>
      <w:lvlJc w:val="left"/>
      <w:pPr>
        <w:ind w:left="6598" w:hanging="360"/>
      </w:pPr>
      <w:rPr>
        <w:rFonts w:cs="Times New Roman"/>
      </w:rPr>
    </w:lvl>
    <w:lvl w:ilvl="4" w:tplc="04090019" w:tentative="1">
      <w:start w:val="1"/>
      <w:numFmt w:val="lowerLetter"/>
      <w:lvlText w:val="%5."/>
      <w:lvlJc w:val="left"/>
      <w:pPr>
        <w:ind w:left="7318" w:hanging="360"/>
      </w:pPr>
      <w:rPr>
        <w:rFonts w:cs="Times New Roman"/>
      </w:rPr>
    </w:lvl>
    <w:lvl w:ilvl="5" w:tplc="0409001B" w:tentative="1">
      <w:start w:val="1"/>
      <w:numFmt w:val="lowerRoman"/>
      <w:lvlText w:val="%6."/>
      <w:lvlJc w:val="right"/>
      <w:pPr>
        <w:ind w:left="8038" w:hanging="180"/>
      </w:pPr>
      <w:rPr>
        <w:rFonts w:cs="Times New Roman"/>
      </w:rPr>
    </w:lvl>
    <w:lvl w:ilvl="6" w:tplc="0409000F" w:tentative="1">
      <w:start w:val="1"/>
      <w:numFmt w:val="decimal"/>
      <w:lvlText w:val="%7."/>
      <w:lvlJc w:val="left"/>
      <w:pPr>
        <w:ind w:left="8758" w:hanging="360"/>
      </w:pPr>
      <w:rPr>
        <w:rFonts w:cs="Times New Roman"/>
      </w:rPr>
    </w:lvl>
    <w:lvl w:ilvl="7" w:tplc="04090019" w:tentative="1">
      <w:start w:val="1"/>
      <w:numFmt w:val="lowerLetter"/>
      <w:lvlText w:val="%8."/>
      <w:lvlJc w:val="left"/>
      <w:pPr>
        <w:ind w:left="9478" w:hanging="360"/>
      </w:pPr>
      <w:rPr>
        <w:rFonts w:cs="Times New Roman"/>
      </w:rPr>
    </w:lvl>
    <w:lvl w:ilvl="8" w:tplc="0409001B" w:tentative="1">
      <w:start w:val="1"/>
      <w:numFmt w:val="lowerRoman"/>
      <w:lvlText w:val="%9."/>
      <w:lvlJc w:val="right"/>
      <w:pPr>
        <w:ind w:left="10198" w:hanging="180"/>
      </w:pPr>
      <w:rPr>
        <w:rFonts w:cs="Times New Roman"/>
      </w:rPr>
    </w:lvl>
  </w:abstractNum>
  <w:abstractNum w:abstractNumId="51" w15:restartNumberingAfterBreak="0">
    <w:nsid w:val="17526308"/>
    <w:multiLevelType w:val="hybridMultilevel"/>
    <w:tmpl w:val="CD42DE56"/>
    <w:lvl w:ilvl="0" w:tplc="0809000F">
      <w:start w:val="1"/>
      <w:numFmt w:val="decimal"/>
      <w:lvlText w:val="%1."/>
      <w:lvlJc w:val="left"/>
      <w:pPr>
        <w:ind w:left="1080" w:hanging="360"/>
      </w:pPr>
      <w:rPr>
        <w:rFonts w:cs="Times New Roman"/>
      </w:rPr>
    </w:lvl>
    <w:lvl w:ilvl="1" w:tplc="08090019" w:tentative="1">
      <w:start w:val="1"/>
      <w:numFmt w:val="lowerLetter"/>
      <w:lvlText w:val="%2."/>
      <w:lvlJc w:val="left"/>
      <w:pPr>
        <w:ind w:left="1800" w:hanging="360"/>
      </w:pPr>
      <w:rPr>
        <w:rFonts w:cs="Times New Roman"/>
      </w:rPr>
    </w:lvl>
    <w:lvl w:ilvl="2" w:tplc="0809001B" w:tentative="1">
      <w:start w:val="1"/>
      <w:numFmt w:val="lowerRoman"/>
      <w:lvlText w:val="%3."/>
      <w:lvlJc w:val="right"/>
      <w:pPr>
        <w:ind w:left="2520" w:hanging="180"/>
      </w:pPr>
      <w:rPr>
        <w:rFonts w:cs="Times New Roman"/>
      </w:rPr>
    </w:lvl>
    <w:lvl w:ilvl="3" w:tplc="0809000F" w:tentative="1">
      <w:start w:val="1"/>
      <w:numFmt w:val="decimal"/>
      <w:lvlText w:val="%4."/>
      <w:lvlJc w:val="left"/>
      <w:pPr>
        <w:ind w:left="3240" w:hanging="360"/>
      </w:pPr>
      <w:rPr>
        <w:rFonts w:cs="Times New Roman"/>
      </w:rPr>
    </w:lvl>
    <w:lvl w:ilvl="4" w:tplc="08090019" w:tentative="1">
      <w:start w:val="1"/>
      <w:numFmt w:val="lowerLetter"/>
      <w:lvlText w:val="%5."/>
      <w:lvlJc w:val="left"/>
      <w:pPr>
        <w:ind w:left="3960" w:hanging="360"/>
      </w:pPr>
      <w:rPr>
        <w:rFonts w:cs="Times New Roman"/>
      </w:rPr>
    </w:lvl>
    <w:lvl w:ilvl="5" w:tplc="0809001B" w:tentative="1">
      <w:start w:val="1"/>
      <w:numFmt w:val="lowerRoman"/>
      <w:lvlText w:val="%6."/>
      <w:lvlJc w:val="right"/>
      <w:pPr>
        <w:ind w:left="4680" w:hanging="180"/>
      </w:pPr>
      <w:rPr>
        <w:rFonts w:cs="Times New Roman"/>
      </w:rPr>
    </w:lvl>
    <w:lvl w:ilvl="6" w:tplc="0809000F" w:tentative="1">
      <w:start w:val="1"/>
      <w:numFmt w:val="decimal"/>
      <w:lvlText w:val="%7."/>
      <w:lvlJc w:val="left"/>
      <w:pPr>
        <w:ind w:left="5400" w:hanging="360"/>
      </w:pPr>
      <w:rPr>
        <w:rFonts w:cs="Times New Roman"/>
      </w:rPr>
    </w:lvl>
    <w:lvl w:ilvl="7" w:tplc="08090019" w:tentative="1">
      <w:start w:val="1"/>
      <w:numFmt w:val="lowerLetter"/>
      <w:lvlText w:val="%8."/>
      <w:lvlJc w:val="left"/>
      <w:pPr>
        <w:ind w:left="6120" w:hanging="360"/>
      </w:pPr>
      <w:rPr>
        <w:rFonts w:cs="Times New Roman"/>
      </w:rPr>
    </w:lvl>
    <w:lvl w:ilvl="8" w:tplc="0809001B" w:tentative="1">
      <w:start w:val="1"/>
      <w:numFmt w:val="lowerRoman"/>
      <w:lvlText w:val="%9."/>
      <w:lvlJc w:val="right"/>
      <w:pPr>
        <w:ind w:left="6840" w:hanging="180"/>
      </w:pPr>
      <w:rPr>
        <w:rFonts w:cs="Times New Roman"/>
      </w:rPr>
    </w:lvl>
  </w:abstractNum>
  <w:abstractNum w:abstractNumId="52" w15:restartNumberingAfterBreak="0">
    <w:nsid w:val="181937EA"/>
    <w:multiLevelType w:val="hybridMultilevel"/>
    <w:tmpl w:val="B41072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18CA2653"/>
    <w:multiLevelType w:val="hybridMultilevel"/>
    <w:tmpl w:val="EDB49652"/>
    <w:lvl w:ilvl="0" w:tplc="0409000F">
      <w:start w:val="1"/>
      <w:numFmt w:val="decimal"/>
      <w:lvlText w:val="%1."/>
      <w:lvlJc w:val="left"/>
      <w:pPr>
        <w:ind w:left="1929" w:hanging="360"/>
      </w:pPr>
      <w:rPr>
        <w:rFonts w:cs="Times New Roman"/>
      </w:rPr>
    </w:lvl>
    <w:lvl w:ilvl="1" w:tplc="04090019" w:tentative="1">
      <w:start w:val="1"/>
      <w:numFmt w:val="lowerLetter"/>
      <w:lvlText w:val="%2."/>
      <w:lvlJc w:val="left"/>
      <w:pPr>
        <w:ind w:left="2649" w:hanging="360"/>
      </w:pPr>
      <w:rPr>
        <w:rFonts w:cs="Times New Roman"/>
      </w:rPr>
    </w:lvl>
    <w:lvl w:ilvl="2" w:tplc="0409001B" w:tentative="1">
      <w:start w:val="1"/>
      <w:numFmt w:val="lowerRoman"/>
      <w:lvlText w:val="%3."/>
      <w:lvlJc w:val="right"/>
      <w:pPr>
        <w:ind w:left="3369" w:hanging="180"/>
      </w:pPr>
      <w:rPr>
        <w:rFonts w:cs="Times New Roman"/>
      </w:rPr>
    </w:lvl>
    <w:lvl w:ilvl="3" w:tplc="0409000F" w:tentative="1">
      <w:start w:val="1"/>
      <w:numFmt w:val="decimal"/>
      <w:lvlText w:val="%4."/>
      <w:lvlJc w:val="left"/>
      <w:pPr>
        <w:ind w:left="4089" w:hanging="360"/>
      </w:pPr>
      <w:rPr>
        <w:rFonts w:cs="Times New Roman"/>
      </w:rPr>
    </w:lvl>
    <w:lvl w:ilvl="4" w:tplc="04090019" w:tentative="1">
      <w:start w:val="1"/>
      <w:numFmt w:val="lowerLetter"/>
      <w:lvlText w:val="%5."/>
      <w:lvlJc w:val="left"/>
      <w:pPr>
        <w:ind w:left="4809" w:hanging="360"/>
      </w:pPr>
      <w:rPr>
        <w:rFonts w:cs="Times New Roman"/>
      </w:rPr>
    </w:lvl>
    <w:lvl w:ilvl="5" w:tplc="0409001B" w:tentative="1">
      <w:start w:val="1"/>
      <w:numFmt w:val="lowerRoman"/>
      <w:lvlText w:val="%6."/>
      <w:lvlJc w:val="right"/>
      <w:pPr>
        <w:ind w:left="5529" w:hanging="180"/>
      </w:pPr>
      <w:rPr>
        <w:rFonts w:cs="Times New Roman"/>
      </w:rPr>
    </w:lvl>
    <w:lvl w:ilvl="6" w:tplc="0409000F" w:tentative="1">
      <w:start w:val="1"/>
      <w:numFmt w:val="decimal"/>
      <w:lvlText w:val="%7."/>
      <w:lvlJc w:val="left"/>
      <w:pPr>
        <w:ind w:left="6249" w:hanging="360"/>
      </w:pPr>
      <w:rPr>
        <w:rFonts w:cs="Times New Roman"/>
      </w:rPr>
    </w:lvl>
    <w:lvl w:ilvl="7" w:tplc="04090019" w:tentative="1">
      <w:start w:val="1"/>
      <w:numFmt w:val="lowerLetter"/>
      <w:lvlText w:val="%8."/>
      <w:lvlJc w:val="left"/>
      <w:pPr>
        <w:ind w:left="6969" w:hanging="360"/>
      </w:pPr>
      <w:rPr>
        <w:rFonts w:cs="Times New Roman"/>
      </w:rPr>
    </w:lvl>
    <w:lvl w:ilvl="8" w:tplc="0409001B" w:tentative="1">
      <w:start w:val="1"/>
      <w:numFmt w:val="lowerRoman"/>
      <w:lvlText w:val="%9."/>
      <w:lvlJc w:val="right"/>
      <w:pPr>
        <w:ind w:left="7689" w:hanging="180"/>
      </w:pPr>
      <w:rPr>
        <w:rFonts w:cs="Times New Roman"/>
      </w:rPr>
    </w:lvl>
  </w:abstractNum>
  <w:abstractNum w:abstractNumId="54" w15:restartNumberingAfterBreak="0">
    <w:nsid w:val="192E1C9A"/>
    <w:multiLevelType w:val="hybridMultilevel"/>
    <w:tmpl w:val="08B6AB84"/>
    <w:lvl w:ilvl="0" w:tplc="529C7C2E">
      <w:numFmt w:val="bullet"/>
      <w:lvlText w:val="–"/>
      <w:lvlJc w:val="left"/>
      <w:pPr>
        <w:ind w:left="720" w:hanging="360"/>
      </w:pPr>
      <w:rPr>
        <w:rFonts w:ascii="Cambria" w:eastAsiaTheme="minorEastAsia" w:hAnsi="Cambria"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55" w15:restartNumberingAfterBreak="0">
    <w:nsid w:val="19DB0A8E"/>
    <w:multiLevelType w:val="hybridMultilevel"/>
    <w:tmpl w:val="1C321C54"/>
    <w:lvl w:ilvl="0" w:tplc="529C7C2E">
      <w:numFmt w:val="bullet"/>
      <w:lvlText w:val="–"/>
      <w:lvlJc w:val="left"/>
      <w:pPr>
        <w:ind w:left="1080" w:hanging="360"/>
      </w:pPr>
      <w:rPr>
        <w:rFonts w:ascii="Cambria" w:eastAsiaTheme="minorEastAsia" w:hAnsi="Cambria" w:hint="default"/>
      </w:rPr>
    </w:lvl>
    <w:lvl w:ilvl="1" w:tplc="10090003" w:tentative="1">
      <w:start w:val="1"/>
      <w:numFmt w:val="bullet"/>
      <w:lvlText w:val="o"/>
      <w:lvlJc w:val="left"/>
      <w:pPr>
        <w:ind w:left="1800" w:hanging="360"/>
      </w:pPr>
      <w:rPr>
        <w:rFonts w:ascii="Courier New" w:hAnsi="Courier New" w:cs="Courier New"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56" w15:restartNumberingAfterBreak="0">
    <w:nsid w:val="19ED5BA0"/>
    <w:multiLevelType w:val="hybridMultilevel"/>
    <w:tmpl w:val="A0A8D6F4"/>
    <w:lvl w:ilvl="0" w:tplc="8F24DCB8">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57" w15:restartNumberingAfterBreak="0">
    <w:nsid w:val="1A6D0D2B"/>
    <w:multiLevelType w:val="hybridMultilevel"/>
    <w:tmpl w:val="A4D87B6E"/>
    <w:lvl w:ilvl="0" w:tplc="529C7C2E">
      <w:numFmt w:val="bullet"/>
      <w:lvlText w:val="–"/>
      <w:lvlJc w:val="left"/>
      <w:pPr>
        <w:ind w:left="770" w:hanging="360"/>
      </w:pPr>
      <w:rPr>
        <w:rFonts w:ascii="Cambria" w:eastAsiaTheme="minorEastAsia" w:hAnsi="Cambria" w:hint="default"/>
      </w:rPr>
    </w:lvl>
    <w:lvl w:ilvl="1" w:tplc="529C7C2E">
      <w:numFmt w:val="bullet"/>
      <w:lvlText w:val="–"/>
      <w:lvlJc w:val="left"/>
      <w:pPr>
        <w:ind w:left="1490" w:hanging="360"/>
      </w:pPr>
      <w:rPr>
        <w:rFonts w:ascii="Cambria" w:eastAsiaTheme="minorEastAsia" w:hAnsi="Cambria" w:hint="default"/>
      </w:rPr>
    </w:lvl>
    <w:lvl w:ilvl="2" w:tplc="10090005" w:tentative="1">
      <w:start w:val="1"/>
      <w:numFmt w:val="bullet"/>
      <w:lvlText w:val=""/>
      <w:lvlJc w:val="left"/>
      <w:pPr>
        <w:ind w:left="2210" w:hanging="360"/>
      </w:pPr>
      <w:rPr>
        <w:rFonts w:ascii="Wingdings" w:hAnsi="Wingdings" w:hint="default"/>
      </w:rPr>
    </w:lvl>
    <w:lvl w:ilvl="3" w:tplc="10090001" w:tentative="1">
      <w:start w:val="1"/>
      <w:numFmt w:val="bullet"/>
      <w:lvlText w:val=""/>
      <w:lvlJc w:val="left"/>
      <w:pPr>
        <w:ind w:left="2930" w:hanging="360"/>
      </w:pPr>
      <w:rPr>
        <w:rFonts w:ascii="Symbol" w:hAnsi="Symbol" w:hint="default"/>
      </w:rPr>
    </w:lvl>
    <w:lvl w:ilvl="4" w:tplc="10090003" w:tentative="1">
      <w:start w:val="1"/>
      <w:numFmt w:val="bullet"/>
      <w:lvlText w:val="o"/>
      <w:lvlJc w:val="left"/>
      <w:pPr>
        <w:ind w:left="3650" w:hanging="360"/>
      </w:pPr>
      <w:rPr>
        <w:rFonts w:ascii="Courier New" w:hAnsi="Courier New" w:cs="Courier New" w:hint="default"/>
      </w:rPr>
    </w:lvl>
    <w:lvl w:ilvl="5" w:tplc="10090005" w:tentative="1">
      <w:start w:val="1"/>
      <w:numFmt w:val="bullet"/>
      <w:lvlText w:val=""/>
      <w:lvlJc w:val="left"/>
      <w:pPr>
        <w:ind w:left="4370" w:hanging="360"/>
      </w:pPr>
      <w:rPr>
        <w:rFonts w:ascii="Wingdings" w:hAnsi="Wingdings" w:hint="default"/>
      </w:rPr>
    </w:lvl>
    <w:lvl w:ilvl="6" w:tplc="10090001" w:tentative="1">
      <w:start w:val="1"/>
      <w:numFmt w:val="bullet"/>
      <w:lvlText w:val=""/>
      <w:lvlJc w:val="left"/>
      <w:pPr>
        <w:ind w:left="5090" w:hanging="360"/>
      </w:pPr>
      <w:rPr>
        <w:rFonts w:ascii="Symbol" w:hAnsi="Symbol" w:hint="default"/>
      </w:rPr>
    </w:lvl>
    <w:lvl w:ilvl="7" w:tplc="10090003" w:tentative="1">
      <w:start w:val="1"/>
      <w:numFmt w:val="bullet"/>
      <w:lvlText w:val="o"/>
      <w:lvlJc w:val="left"/>
      <w:pPr>
        <w:ind w:left="5810" w:hanging="360"/>
      </w:pPr>
      <w:rPr>
        <w:rFonts w:ascii="Courier New" w:hAnsi="Courier New" w:cs="Courier New" w:hint="default"/>
      </w:rPr>
    </w:lvl>
    <w:lvl w:ilvl="8" w:tplc="10090005" w:tentative="1">
      <w:start w:val="1"/>
      <w:numFmt w:val="bullet"/>
      <w:lvlText w:val=""/>
      <w:lvlJc w:val="left"/>
      <w:pPr>
        <w:ind w:left="6530" w:hanging="360"/>
      </w:pPr>
      <w:rPr>
        <w:rFonts w:ascii="Wingdings" w:hAnsi="Wingdings" w:hint="default"/>
      </w:rPr>
    </w:lvl>
  </w:abstractNum>
  <w:abstractNum w:abstractNumId="58" w15:restartNumberingAfterBreak="0">
    <w:nsid w:val="1AD7651A"/>
    <w:multiLevelType w:val="multilevel"/>
    <w:tmpl w:val="D4DA5656"/>
    <w:lvl w:ilvl="0">
      <w:start w:val="3"/>
      <w:numFmt w:val="decimal"/>
      <w:lvlText w:val="%1"/>
      <w:lvlJc w:val="left"/>
      <w:pPr>
        <w:tabs>
          <w:tab w:val="num" w:pos="795"/>
        </w:tabs>
        <w:ind w:left="795" w:hanging="795"/>
      </w:pPr>
      <w:rPr>
        <w:rFonts w:cs="Times New Roman" w:hint="default"/>
        <w:b/>
        <w:bCs/>
      </w:rPr>
    </w:lvl>
    <w:lvl w:ilvl="1">
      <w:start w:val="1"/>
      <w:numFmt w:val="decimal"/>
      <w:lvlText w:val="%1.%2"/>
      <w:lvlJc w:val="left"/>
      <w:pPr>
        <w:tabs>
          <w:tab w:val="num" w:pos="795"/>
        </w:tabs>
        <w:ind w:left="795" w:hanging="795"/>
      </w:pPr>
      <w:rPr>
        <w:rFonts w:cs="Times New Roman" w:hint="default"/>
        <w:b/>
        <w:bCs/>
      </w:rPr>
    </w:lvl>
    <w:lvl w:ilvl="2">
      <w:start w:val="1"/>
      <w:numFmt w:val="decimal"/>
      <w:lvlText w:val="%1.%2.%3"/>
      <w:lvlJc w:val="left"/>
      <w:pPr>
        <w:tabs>
          <w:tab w:val="num" w:pos="795"/>
        </w:tabs>
        <w:ind w:left="795" w:hanging="795"/>
      </w:pPr>
      <w:rPr>
        <w:rFonts w:cs="Times New Roman" w:hint="default"/>
        <w:b/>
        <w:bCs/>
      </w:rPr>
    </w:lvl>
    <w:lvl w:ilvl="3">
      <w:start w:val="1"/>
      <w:numFmt w:val="decimal"/>
      <w:lvlText w:val="%1.%2.%3.%4"/>
      <w:lvlJc w:val="left"/>
      <w:pPr>
        <w:tabs>
          <w:tab w:val="num" w:pos="795"/>
        </w:tabs>
        <w:ind w:left="795" w:hanging="795"/>
      </w:pPr>
      <w:rPr>
        <w:rFonts w:cs="Times New Roman" w:hint="default"/>
        <w:b/>
        <w:bCs/>
      </w:rPr>
    </w:lvl>
    <w:lvl w:ilvl="4">
      <w:start w:val="1"/>
      <w:numFmt w:val="decimal"/>
      <w:lvlText w:val="%1.%2.%3.%4.%5"/>
      <w:lvlJc w:val="left"/>
      <w:pPr>
        <w:tabs>
          <w:tab w:val="num" w:pos="795"/>
        </w:tabs>
        <w:ind w:left="795" w:hanging="795"/>
      </w:pPr>
      <w:rPr>
        <w:rFonts w:cs="Times New Roman" w:hint="default"/>
        <w:b/>
        <w:bCs/>
      </w:rPr>
    </w:lvl>
    <w:lvl w:ilvl="5">
      <w:start w:val="1"/>
      <w:numFmt w:val="decimal"/>
      <w:lvlText w:val="%1.%2.%3.%4.%5.%6"/>
      <w:lvlJc w:val="left"/>
      <w:pPr>
        <w:tabs>
          <w:tab w:val="num" w:pos="1080"/>
        </w:tabs>
        <w:ind w:left="1080" w:hanging="1080"/>
      </w:pPr>
      <w:rPr>
        <w:rFonts w:cs="Times New Roman" w:hint="default"/>
        <w:b/>
        <w:bCs/>
      </w:rPr>
    </w:lvl>
    <w:lvl w:ilvl="6">
      <w:start w:val="1"/>
      <w:numFmt w:val="decimal"/>
      <w:lvlText w:val="%1.%2.%3.%4.%5.%6.%7"/>
      <w:lvlJc w:val="left"/>
      <w:pPr>
        <w:tabs>
          <w:tab w:val="num" w:pos="1080"/>
        </w:tabs>
        <w:ind w:left="1080" w:hanging="1080"/>
      </w:pPr>
      <w:rPr>
        <w:rFonts w:cs="Times New Roman" w:hint="default"/>
        <w:b/>
        <w:bCs/>
      </w:rPr>
    </w:lvl>
    <w:lvl w:ilvl="7">
      <w:start w:val="1"/>
      <w:numFmt w:val="decimal"/>
      <w:lvlText w:val="%1.%2.%3.%4.%5.%6.%7.%8"/>
      <w:lvlJc w:val="left"/>
      <w:pPr>
        <w:tabs>
          <w:tab w:val="num" w:pos="1440"/>
        </w:tabs>
        <w:ind w:left="1440" w:hanging="1440"/>
      </w:pPr>
      <w:rPr>
        <w:rFonts w:cs="Times New Roman" w:hint="default"/>
        <w:b/>
        <w:bCs/>
      </w:rPr>
    </w:lvl>
    <w:lvl w:ilvl="8">
      <w:start w:val="1"/>
      <w:numFmt w:val="decimal"/>
      <w:lvlText w:val="%1.%2.%3.%4.%5.%6.%7.%8.%9"/>
      <w:lvlJc w:val="left"/>
      <w:pPr>
        <w:tabs>
          <w:tab w:val="num" w:pos="1440"/>
        </w:tabs>
        <w:ind w:left="1440" w:hanging="1440"/>
      </w:pPr>
      <w:rPr>
        <w:rFonts w:cs="Times New Roman" w:hint="default"/>
        <w:b/>
        <w:bCs/>
      </w:rPr>
    </w:lvl>
  </w:abstractNum>
  <w:abstractNum w:abstractNumId="59" w15:restartNumberingAfterBreak="0">
    <w:nsid w:val="1AE328D2"/>
    <w:multiLevelType w:val="hybridMultilevel"/>
    <w:tmpl w:val="743476C0"/>
    <w:lvl w:ilvl="0" w:tplc="FFFFFFFF">
      <w:start w:val="5"/>
      <w:numFmt w:val="bullet"/>
      <w:lvlText w:val="–"/>
      <w:lvlJc w:val="left"/>
      <w:pPr>
        <w:ind w:left="720" w:hanging="360"/>
      </w:pPr>
      <w:rPr>
        <w:rFonts w:ascii="Times New Roman" w:eastAsia="Times New Roman" w:hAnsi="Times New Roman" w:hint="default"/>
      </w:rPr>
    </w:lvl>
    <w:lvl w:ilvl="1" w:tplc="FFFFFFFF">
      <w:start w:val="5"/>
      <w:numFmt w:val="bullet"/>
      <w:lvlText w:val="–"/>
      <w:lvlJc w:val="left"/>
      <w:pPr>
        <w:ind w:left="1440" w:hanging="360"/>
      </w:pPr>
      <w:rPr>
        <w:rFonts w:ascii="Times New Roman" w:eastAsia="Times New Roman" w:hAnsi="Times New Roman" w:hint="default"/>
      </w:rPr>
    </w:lvl>
    <w:lvl w:ilvl="2" w:tplc="84CC2C8A">
      <w:start w:val="5"/>
      <w:numFmt w:val="bullet"/>
      <w:lvlText w:val="–"/>
      <w:lvlJc w:val="left"/>
      <w:pPr>
        <w:ind w:left="2160" w:hanging="360"/>
      </w:pPr>
      <w:rPr>
        <w:rFonts w:ascii="Times New Roman" w:eastAsia="Times New Roman" w:hAnsi="Times New Roman" w:hint="default"/>
      </w:rPr>
    </w:lvl>
    <w:lvl w:ilvl="3" w:tplc="FFFFFFFF">
      <w:start w:val="5"/>
      <w:numFmt w:val="bullet"/>
      <w:lvlText w:val="–"/>
      <w:lvlJc w:val="left"/>
      <w:pPr>
        <w:ind w:left="2880" w:hanging="360"/>
      </w:pPr>
      <w:rPr>
        <w:rFonts w:ascii="Times New Roman" w:eastAsia="Times New Roman" w:hAnsi="Times New Roman" w:hint="default"/>
      </w:rPr>
    </w:lvl>
    <w:lvl w:ilvl="4" w:tplc="08090003">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0" w15:restartNumberingAfterBreak="0">
    <w:nsid w:val="1AFE392B"/>
    <w:multiLevelType w:val="hybridMultilevel"/>
    <w:tmpl w:val="33F6B96C"/>
    <w:lvl w:ilvl="0" w:tplc="1760132A">
      <w:start w:val="1"/>
      <w:numFmt w:val="bullet"/>
      <w:pStyle w:val="3EdNotes"/>
      <w:lvlText w:val=""/>
      <w:lvlJc w:val="left"/>
      <w:pPr>
        <w:ind w:left="360" w:hanging="360"/>
      </w:pPr>
      <w:rPr>
        <w:rFonts w:ascii="Symbol" w:hAnsi="Symbol" w:hint="default"/>
      </w:rPr>
    </w:lvl>
    <w:lvl w:ilvl="1" w:tplc="04070003">
      <w:start w:val="1"/>
      <w:numFmt w:val="bullet"/>
      <w:lvlText w:val="o"/>
      <w:lvlJc w:val="left"/>
      <w:pPr>
        <w:ind w:left="1080" w:hanging="360"/>
      </w:pPr>
      <w:rPr>
        <w:rFonts w:ascii="Courier New" w:hAnsi="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hint="default"/>
      </w:rPr>
    </w:lvl>
    <w:lvl w:ilvl="8" w:tplc="04070005">
      <w:start w:val="1"/>
      <w:numFmt w:val="bullet"/>
      <w:lvlText w:val=""/>
      <w:lvlJc w:val="left"/>
      <w:pPr>
        <w:ind w:left="6120" w:hanging="360"/>
      </w:pPr>
      <w:rPr>
        <w:rFonts w:ascii="Wingdings" w:hAnsi="Wingdings" w:hint="default"/>
      </w:rPr>
    </w:lvl>
  </w:abstractNum>
  <w:abstractNum w:abstractNumId="61" w15:restartNumberingAfterBreak="0">
    <w:nsid w:val="1B4D1421"/>
    <w:multiLevelType w:val="hybridMultilevel"/>
    <w:tmpl w:val="B7083566"/>
    <w:lvl w:ilvl="0" w:tplc="06F41E9E">
      <w:start w:val="1"/>
      <w:numFmt w:val="bullet"/>
      <w:pStyle w:val="AVCBulletlevel6"/>
      <w:lvlText w:val=""/>
      <w:lvlJc w:val="left"/>
      <w:pPr>
        <w:tabs>
          <w:tab w:val="num" w:pos="4690"/>
        </w:tabs>
        <w:ind w:left="4690" w:hanging="2703"/>
      </w:pPr>
      <w:rPr>
        <w:rFonts w:ascii="Symbol" w:hAnsi="Symbol" w:hint="default"/>
      </w:rPr>
    </w:lvl>
    <w:lvl w:ilvl="1" w:tplc="04547086">
      <w:start w:val="1"/>
      <w:numFmt w:val="bullet"/>
      <w:lvlText w:val="o"/>
      <w:lvlJc w:val="left"/>
      <w:pPr>
        <w:tabs>
          <w:tab w:val="num" w:pos="1440"/>
        </w:tabs>
        <w:ind w:left="1440" w:hanging="360"/>
      </w:pPr>
      <w:rPr>
        <w:rFonts w:ascii="Courier New" w:hAnsi="Courier New" w:hint="default"/>
      </w:rPr>
    </w:lvl>
    <w:lvl w:ilvl="2" w:tplc="2E6E928E">
      <w:start w:val="1"/>
      <w:numFmt w:val="bullet"/>
      <w:lvlText w:val=""/>
      <w:lvlJc w:val="left"/>
      <w:pPr>
        <w:tabs>
          <w:tab w:val="num" w:pos="2160"/>
        </w:tabs>
        <w:ind w:left="2160" w:hanging="360"/>
      </w:pPr>
      <w:rPr>
        <w:rFonts w:ascii="Wingdings" w:hAnsi="Wingdings" w:hint="default"/>
      </w:rPr>
    </w:lvl>
    <w:lvl w:ilvl="3" w:tplc="DBEC84FC">
      <w:start w:val="1"/>
      <w:numFmt w:val="bullet"/>
      <w:lvlText w:val=""/>
      <w:lvlJc w:val="left"/>
      <w:pPr>
        <w:tabs>
          <w:tab w:val="num" w:pos="2880"/>
        </w:tabs>
        <w:ind w:left="2880" w:hanging="360"/>
      </w:pPr>
      <w:rPr>
        <w:rFonts w:ascii="Symbol" w:hAnsi="Symbol" w:hint="default"/>
      </w:rPr>
    </w:lvl>
    <w:lvl w:ilvl="4" w:tplc="1B8E91D4">
      <w:start w:val="1"/>
      <w:numFmt w:val="bullet"/>
      <w:lvlText w:val="o"/>
      <w:lvlJc w:val="left"/>
      <w:pPr>
        <w:tabs>
          <w:tab w:val="num" w:pos="3600"/>
        </w:tabs>
        <w:ind w:left="3600" w:hanging="360"/>
      </w:pPr>
      <w:rPr>
        <w:rFonts w:ascii="Courier New" w:hAnsi="Courier New" w:hint="default"/>
      </w:rPr>
    </w:lvl>
    <w:lvl w:ilvl="5" w:tplc="D6D4360C">
      <w:start w:val="1"/>
      <w:numFmt w:val="bullet"/>
      <w:lvlText w:val=""/>
      <w:lvlJc w:val="left"/>
      <w:pPr>
        <w:tabs>
          <w:tab w:val="num" w:pos="4320"/>
        </w:tabs>
        <w:ind w:left="4320" w:hanging="360"/>
      </w:pPr>
      <w:rPr>
        <w:rFonts w:ascii="Wingdings" w:hAnsi="Wingdings" w:hint="default"/>
      </w:rPr>
    </w:lvl>
    <w:lvl w:ilvl="6" w:tplc="B9800F3E">
      <w:start w:val="1"/>
      <w:numFmt w:val="bullet"/>
      <w:lvlText w:val=""/>
      <w:lvlJc w:val="left"/>
      <w:pPr>
        <w:tabs>
          <w:tab w:val="num" w:pos="5040"/>
        </w:tabs>
        <w:ind w:left="5040" w:hanging="360"/>
      </w:pPr>
      <w:rPr>
        <w:rFonts w:ascii="Symbol" w:hAnsi="Symbol" w:hint="default"/>
      </w:rPr>
    </w:lvl>
    <w:lvl w:ilvl="7" w:tplc="FF3C6BA8">
      <w:start w:val="1"/>
      <w:numFmt w:val="bullet"/>
      <w:lvlText w:val="o"/>
      <w:lvlJc w:val="left"/>
      <w:pPr>
        <w:tabs>
          <w:tab w:val="num" w:pos="5760"/>
        </w:tabs>
        <w:ind w:left="5760" w:hanging="360"/>
      </w:pPr>
      <w:rPr>
        <w:rFonts w:ascii="Courier New" w:hAnsi="Courier New" w:hint="default"/>
      </w:rPr>
    </w:lvl>
    <w:lvl w:ilvl="8" w:tplc="9D380442">
      <w:start w:val="1"/>
      <w:numFmt w:val="bullet"/>
      <w:lvlText w:val=""/>
      <w:lvlJc w:val="left"/>
      <w:pPr>
        <w:tabs>
          <w:tab w:val="num" w:pos="6480"/>
        </w:tabs>
        <w:ind w:left="6480" w:hanging="360"/>
      </w:pPr>
      <w:rPr>
        <w:rFonts w:ascii="Wingdings" w:hAnsi="Wingdings" w:hint="default"/>
      </w:rPr>
    </w:lvl>
  </w:abstractNum>
  <w:abstractNum w:abstractNumId="62" w15:restartNumberingAfterBreak="0">
    <w:nsid w:val="1B58245B"/>
    <w:multiLevelType w:val="hybridMultilevel"/>
    <w:tmpl w:val="0012ED78"/>
    <w:lvl w:ilvl="0" w:tplc="529C7C2E">
      <w:numFmt w:val="bullet"/>
      <w:lvlText w:val="–"/>
      <w:lvlJc w:val="left"/>
      <w:pPr>
        <w:ind w:left="1584" w:hanging="360"/>
      </w:pPr>
      <w:rPr>
        <w:rFonts w:ascii="Cambria" w:eastAsiaTheme="minorEastAsia" w:hAnsi="Cambria" w:hint="default"/>
      </w:rPr>
    </w:lvl>
    <w:lvl w:ilvl="1" w:tplc="04090003" w:tentative="1">
      <w:start w:val="1"/>
      <w:numFmt w:val="bullet"/>
      <w:lvlText w:val="o"/>
      <w:lvlJc w:val="left"/>
      <w:pPr>
        <w:ind w:left="2304" w:hanging="360"/>
      </w:pPr>
      <w:rPr>
        <w:rFonts w:ascii="Courier New" w:hAnsi="Courier New" w:cs="Courier New" w:hint="default"/>
      </w:rPr>
    </w:lvl>
    <w:lvl w:ilvl="2" w:tplc="04090005" w:tentative="1">
      <w:start w:val="1"/>
      <w:numFmt w:val="bullet"/>
      <w:lvlText w:val=""/>
      <w:lvlJc w:val="left"/>
      <w:pPr>
        <w:ind w:left="3024" w:hanging="360"/>
      </w:pPr>
      <w:rPr>
        <w:rFonts w:ascii="Wingdings" w:hAnsi="Wingdings" w:hint="default"/>
      </w:rPr>
    </w:lvl>
    <w:lvl w:ilvl="3" w:tplc="04090001" w:tentative="1">
      <w:start w:val="1"/>
      <w:numFmt w:val="bullet"/>
      <w:lvlText w:val=""/>
      <w:lvlJc w:val="left"/>
      <w:pPr>
        <w:ind w:left="3744" w:hanging="360"/>
      </w:pPr>
      <w:rPr>
        <w:rFonts w:ascii="Symbol" w:hAnsi="Symbol" w:hint="default"/>
      </w:rPr>
    </w:lvl>
    <w:lvl w:ilvl="4" w:tplc="04090003" w:tentative="1">
      <w:start w:val="1"/>
      <w:numFmt w:val="bullet"/>
      <w:lvlText w:val="o"/>
      <w:lvlJc w:val="left"/>
      <w:pPr>
        <w:ind w:left="4464" w:hanging="360"/>
      </w:pPr>
      <w:rPr>
        <w:rFonts w:ascii="Courier New" w:hAnsi="Courier New" w:cs="Courier New" w:hint="default"/>
      </w:rPr>
    </w:lvl>
    <w:lvl w:ilvl="5" w:tplc="04090005" w:tentative="1">
      <w:start w:val="1"/>
      <w:numFmt w:val="bullet"/>
      <w:lvlText w:val=""/>
      <w:lvlJc w:val="left"/>
      <w:pPr>
        <w:ind w:left="5184" w:hanging="360"/>
      </w:pPr>
      <w:rPr>
        <w:rFonts w:ascii="Wingdings" w:hAnsi="Wingdings" w:hint="default"/>
      </w:rPr>
    </w:lvl>
    <w:lvl w:ilvl="6" w:tplc="04090001" w:tentative="1">
      <w:start w:val="1"/>
      <w:numFmt w:val="bullet"/>
      <w:lvlText w:val=""/>
      <w:lvlJc w:val="left"/>
      <w:pPr>
        <w:ind w:left="5904" w:hanging="360"/>
      </w:pPr>
      <w:rPr>
        <w:rFonts w:ascii="Symbol" w:hAnsi="Symbol" w:hint="default"/>
      </w:rPr>
    </w:lvl>
    <w:lvl w:ilvl="7" w:tplc="04090003" w:tentative="1">
      <w:start w:val="1"/>
      <w:numFmt w:val="bullet"/>
      <w:lvlText w:val="o"/>
      <w:lvlJc w:val="left"/>
      <w:pPr>
        <w:ind w:left="6624" w:hanging="360"/>
      </w:pPr>
      <w:rPr>
        <w:rFonts w:ascii="Courier New" w:hAnsi="Courier New" w:cs="Courier New" w:hint="default"/>
      </w:rPr>
    </w:lvl>
    <w:lvl w:ilvl="8" w:tplc="04090005" w:tentative="1">
      <w:start w:val="1"/>
      <w:numFmt w:val="bullet"/>
      <w:lvlText w:val=""/>
      <w:lvlJc w:val="left"/>
      <w:pPr>
        <w:ind w:left="7344" w:hanging="360"/>
      </w:pPr>
      <w:rPr>
        <w:rFonts w:ascii="Wingdings" w:hAnsi="Wingdings" w:hint="default"/>
      </w:rPr>
    </w:lvl>
  </w:abstractNum>
  <w:abstractNum w:abstractNumId="63" w15:restartNumberingAfterBreak="0">
    <w:nsid w:val="1B967E45"/>
    <w:multiLevelType w:val="hybridMultilevel"/>
    <w:tmpl w:val="11C4078C"/>
    <w:lvl w:ilvl="0" w:tplc="04090017">
      <w:start w:val="1"/>
      <w:numFmt w:val="lowerLetter"/>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64" w15:restartNumberingAfterBreak="0">
    <w:nsid w:val="1BA7198D"/>
    <w:multiLevelType w:val="hybridMultilevel"/>
    <w:tmpl w:val="EDFA194E"/>
    <w:lvl w:ilvl="0" w:tplc="016011D4">
      <w:start w:val="2"/>
      <w:numFmt w:val="bullet"/>
      <w:lvlText w:val="–"/>
      <w:lvlJc w:val="left"/>
      <w:pPr>
        <w:ind w:left="1524" w:hanging="360"/>
      </w:pPr>
      <w:rPr>
        <w:rFonts w:ascii="Calibri" w:eastAsia="Times New Roman" w:hAnsi="Calibri" w:hint="default"/>
      </w:rPr>
    </w:lvl>
    <w:lvl w:ilvl="1" w:tplc="04090003" w:tentative="1">
      <w:start w:val="1"/>
      <w:numFmt w:val="bullet"/>
      <w:lvlText w:val="o"/>
      <w:lvlJc w:val="left"/>
      <w:pPr>
        <w:ind w:left="2244" w:hanging="360"/>
      </w:pPr>
      <w:rPr>
        <w:rFonts w:ascii="Courier New" w:hAnsi="Courier New" w:cs="Courier New" w:hint="default"/>
      </w:rPr>
    </w:lvl>
    <w:lvl w:ilvl="2" w:tplc="04090005" w:tentative="1">
      <w:start w:val="1"/>
      <w:numFmt w:val="bullet"/>
      <w:lvlText w:val=""/>
      <w:lvlJc w:val="left"/>
      <w:pPr>
        <w:ind w:left="2964" w:hanging="360"/>
      </w:pPr>
      <w:rPr>
        <w:rFonts w:ascii="Wingdings" w:hAnsi="Wingdings" w:hint="default"/>
      </w:rPr>
    </w:lvl>
    <w:lvl w:ilvl="3" w:tplc="04090001" w:tentative="1">
      <w:start w:val="1"/>
      <w:numFmt w:val="bullet"/>
      <w:lvlText w:val=""/>
      <w:lvlJc w:val="left"/>
      <w:pPr>
        <w:ind w:left="3684" w:hanging="360"/>
      </w:pPr>
      <w:rPr>
        <w:rFonts w:ascii="Symbol" w:hAnsi="Symbol" w:hint="default"/>
      </w:rPr>
    </w:lvl>
    <w:lvl w:ilvl="4" w:tplc="04090003" w:tentative="1">
      <w:start w:val="1"/>
      <w:numFmt w:val="bullet"/>
      <w:lvlText w:val="o"/>
      <w:lvlJc w:val="left"/>
      <w:pPr>
        <w:ind w:left="4404" w:hanging="360"/>
      </w:pPr>
      <w:rPr>
        <w:rFonts w:ascii="Courier New" w:hAnsi="Courier New" w:cs="Courier New" w:hint="default"/>
      </w:rPr>
    </w:lvl>
    <w:lvl w:ilvl="5" w:tplc="04090005" w:tentative="1">
      <w:start w:val="1"/>
      <w:numFmt w:val="bullet"/>
      <w:lvlText w:val=""/>
      <w:lvlJc w:val="left"/>
      <w:pPr>
        <w:ind w:left="5124" w:hanging="360"/>
      </w:pPr>
      <w:rPr>
        <w:rFonts w:ascii="Wingdings" w:hAnsi="Wingdings" w:hint="default"/>
      </w:rPr>
    </w:lvl>
    <w:lvl w:ilvl="6" w:tplc="04090001" w:tentative="1">
      <w:start w:val="1"/>
      <w:numFmt w:val="bullet"/>
      <w:lvlText w:val=""/>
      <w:lvlJc w:val="left"/>
      <w:pPr>
        <w:ind w:left="5844" w:hanging="360"/>
      </w:pPr>
      <w:rPr>
        <w:rFonts w:ascii="Symbol" w:hAnsi="Symbol" w:hint="default"/>
      </w:rPr>
    </w:lvl>
    <w:lvl w:ilvl="7" w:tplc="04090003" w:tentative="1">
      <w:start w:val="1"/>
      <w:numFmt w:val="bullet"/>
      <w:lvlText w:val="o"/>
      <w:lvlJc w:val="left"/>
      <w:pPr>
        <w:ind w:left="6564" w:hanging="360"/>
      </w:pPr>
      <w:rPr>
        <w:rFonts w:ascii="Courier New" w:hAnsi="Courier New" w:cs="Courier New" w:hint="default"/>
      </w:rPr>
    </w:lvl>
    <w:lvl w:ilvl="8" w:tplc="04090005" w:tentative="1">
      <w:start w:val="1"/>
      <w:numFmt w:val="bullet"/>
      <w:lvlText w:val=""/>
      <w:lvlJc w:val="left"/>
      <w:pPr>
        <w:ind w:left="7284" w:hanging="360"/>
      </w:pPr>
      <w:rPr>
        <w:rFonts w:ascii="Wingdings" w:hAnsi="Wingdings" w:hint="default"/>
      </w:rPr>
    </w:lvl>
  </w:abstractNum>
  <w:abstractNum w:abstractNumId="65" w15:restartNumberingAfterBreak="0">
    <w:nsid w:val="1BD031E2"/>
    <w:multiLevelType w:val="hybridMultilevel"/>
    <w:tmpl w:val="BB52BDAE"/>
    <w:lvl w:ilvl="0" w:tplc="529C7C2E">
      <w:numFmt w:val="bullet"/>
      <w:lvlText w:val="–"/>
      <w:lvlJc w:val="left"/>
      <w:pPr>
        <w:ind w:left="1526" w:hanging="360"/>
      </w:pPr>
      <w:rPr>
        <w:rFonts w:ascii="Cambria" w:eastAsiaTheme="minorEastAsia" w:hAnsi="Cambria" w:hint="default"/>
      </w:rPr>
    </w:lvl>
    <w:lvl w:ilvl="1" w:tplc="04090003" w:tentative="1">
      <w:start w:val="1"/>
      <w:numFmt w:val="bullet"/>
      <w:lvlText w:val="o"/>
      <w:lvlJc w:val="left"/>
      <w:pPr>
        <w:ind w:left="2246" w:hanging="360"/>
      </w:pPr>
      <w:rPr>
        <w:rFonts w:ascii="Courier New" w:hAnsi="Courier New" w:hint="default"/>
      </w:rPr>
    </w:lvl>
    <w:lvl w:ilvl="2" w:tplc="04090005" w:tentative="1">
      <w:start w:val="1"/>
      <w:numFmt w:val="bullet"/>
      <w:lvlText w:val=""/>
      <w:lvlJc w:val="left"/>
      <w:pPr>
        <w:ind w:left="2966" w:hanging="360"/>
      </w:pPr>
      <w:rPr>
        <w:rFonts w:ascii="Wingdings" w:hAnsi="Wingdings" w:hint="default"/>
      </w:rPr>
    </w:lvl>
    <w:lvl w:ilvl="3" w:tplc="04090001" w:tentative="1">
      <w:start w:val="1"/>
      <w:numFmt w:val="bullet"/>
      <w:lvlText w:val=""/>
      <w:lvlJc w:val="left"/>
      <w:pPr>
        <w:ind w:left="3686" w:hanging="360"/>
      </w:pPr>
      <w:rPr>
        <w:rFonts w:ascii="Symbol" w:hAnsi="Symbol" w:hint="default"/>
      </w:rPr>
    </w:lvl>
    <w:lvl w:ilvl="4" w:tplc="04090003" w:tentative="1">
      <w:start w:val="1"/>
      <w:numFmt w:val="bullet"/>
      <w:lvlText w:val="o"/>
      <w:lvlJc w:val="left"/>
      <w:pPr>
        <w:ind w:left="4406" w:hanging="360"/>
      </w:pPr>
      <w:rPr>
        <w:rFonts w:ascii="Courier New" w:hAnsi="Courier New" w:hint="default"/>
      </w:rPr>
    </w:lvl>
    <w:lvl w:ilvl="5" w:tplc="04090005" w:tentative="1">
      <w:start w:val="1"/>
      <w:numFmt w:val="bullet"/>
      <w:lvlText w:val=""/>
      <w:lvlJc w:val="left"/>
      <w:pPr>
        <w:ind w:left="5126" w:hanging="360"/>
      </w:pPr>
      <w:rPr>
        <w:rFonts w:ascii="Wingdings" w:hAnsi="Wingdings" w:hint="default"/>
      </w:rPr>
    </w:lvl>
    <w:lvl w:ilvl="6" w:tplc="04090001" w:tentative="1">
      <w:start w:val="1"/>
      <w:numFmt w:val="bullet"/>
      <w:lvlText w:val=""/>
      <w:lvlJc w:val="left"/>
      <w:pPr>
        <w:ind w:left="5846" w:hanging="360"/>
      </w:pPr>
      <w:rPr>
        <w:rFonts w:ascii="Symbol" w:hAnsi="Symbol" w:hint="default"/>
      </w:rPr>
    </w:lvl>
    <w:lvl w:ilvl="7" w:tplc="04090003" w:tentative="1">
      <w:start w:val="1"/>
      <w:numFmt w:val="bullet"/>
      <w:lvlText w:val="o"/>
      <w:lvlJc w:val="left"/>
      <w:pPr>
        <w:ind w:left="6566" w:hanging="360"/>
      </w:pPr>
      <w:rPr>
        <w:rFonts w:ascii="Courier New" w:hAnsi="Courier New" w:hint="default"/>
      </w:rPr>
    </w:lvl>
    <w:lvl w:ilvl="8" w:tplc="04090005" w:tentative="1">
      <w:start w:val="1"/>
      <w:numFmt w:val="bullet"/>
      <w:lvlText w:val=""/>
      <w:lvlJc w:val="left"/>
      <w:pPr>
        <w:ind w:left="7286" w:hanging="360"/>
      </w:pPr>
      <w:rPr>
        <w:rFonts w:ascii="Wingdings" w:hAnsi="Wingdings" w:hint="default"/>
      </w:rPr>
    </w:lvl>
  </w:abstractNum>
  <w:abstractNum w:abstractNumId="66" w15:restartNumberingAfterBreak="0">
    <w:nsid w:val="1BFE1BDE"/>
    <w:multiLevelType w:val="hybridMultilevel"/>
    <w:tmpl w:val="92DA1E34"/>
    <w:lvl w:ilvl="0" w:tplc="529C7C2E">
      <w:numFmt w:val="bullet"/>
      <w:lvlText w:val="–"/>
      <w:lvlJc w:val="left"/>
      <w:pPr>
        <w:ind w:left="720" w:hanging="360"/>
      </w:pPr>
      <w:rPr>
        <w:rFonts w:ascii="Cambria" w:eastAsiaTheme="minorEastAsia" w:hAnsi="Cambria" w:hint="default"/>
      </w:rPr>
    </w:lvl>
    <w:lvl w:ilvl="1" w:tplc="10090003">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67" w15:restartNumberingAfterBreak="0">
    <w:nsid w:val="1C856224"/>
    <w:multiLevelType w:val="multilevel"/>
    <w:tmpl w:val="CC14C4BE"/>
    <w:lvl w:ilvl="0">
      <w:start w:val="3"/>
      <w:numFmt w:val="decimal"/>
      <w:lvlText w:val="%1"/>
      <w:lvlJc w:val="left"/>
      <w:pPr>
        <w:tabs>
          <w:tab w:val="num" w:pos="795"/>
        </w:tabs>
        <w:ind w:left="795" w:hanging="795"/>
      </w:pPr>
      <w:rPr>
        <w:rFonts w:cs="Times New Roman"/>
        <w:b/>
        <w:bCs/>
      </w:rPr>
    </w:lvl>
    <w:lvl w:ilvl="1">
      <w:start w:val="1"/>
      <w:numFmt w:val="decimal"/>
      <w:pStyle w:val="TermHeading"/>
      <w:lvlText w:val="%1.%2"/>
      <w:lvlJc w:val="left"/>
      <w:pPr>
        <w:tabs>
          <w:tab w:val="num" w:pos="795"/>
        </w:tabs>
        <w:ind w:left="795" w:hanging="795"/>
      </w:pPr>
      <w:rPr>
        <w:rFonts w:cs="Times New Roman"/>
        <w:b/>
        <w:bCs/>
      </w:rPr>
    </w:lvl>
    <w:lvl w:ilvl="2">
      <w:start w:val="1"/>
      <w:numFmt w:val="decimal"/>
      <w:lvlText w:val="%1.%2.%3"/>
      <w:lvlJc w:val="left"/>
      <w:pPr>
        <w:tabs>
          <w:tab w:val="num" w:pos="795"/>
        </w:tabs>
        <w:ind w:left="795" w:hanging="795"/>
      </w:pPr>
      <w:rPr>
        <w:rFonts w:cs="Times New Roman"/>
        <w:b/>
        <w:bCs/>
      </w:rPr>
    </w:lvl>
    <w:lvl w:ilvl="3">
      <w:start w:val="1"/>
      <w:numFmt w:val="decimal"/>
      <w:lvlText w:val="%1.%2.%3.%4"/>
      <w:lvlJc w:val="left"/>
      <w:pPr>
        <w:tabs>
          <w:tab w:val="num" w:pos="795"/>
        </w:tabs>
        <w:ind w:left="795" w:hanging="795"/>
      </w:pPr>
      <w:rPr>
        <w:rFonts w:cs="Times New Roman"/>
        <w:b/>
        <w:bCs/>
      </w:rPr>
    </w:lvl>
    <w:lvl w:ilvl="4">
      <w:start w:val="1"/>
      <w:numFmt w:val="decimal"/>
      <w:lvlText w:val="%1.%2.%3.%4.%5"/>
      <w:lvlJc w:val="left"/>
      <w:pPr>
        <w:tabs>
          <w:tab w:val="num" w:pos="795"/>
        </w:tabs>
        <w:ind w:left="795" w:hanging="795"/>
      </w:pPr>
      <w:rPr>
        <w:rFonts w:cs="Times New Roman"/>
        <w:b/>
        <w:bCs/>
      </w:rPr>
    </w:lvl>
    <w:lvl w:ilvl="5">
      <w:start w:val="1"/>
      <w:numFmt w:val="decimal"/>
      <w:lvlText w:val="%1.%2.%3.%4.%5.%6"/>
      <w:lvlJc w:val="left"/>
      <w:pPr>
        <w:tabs>
          <w:tab w:val="num" w:pos="1080"/>
        </w:tabs>
        <w:ind w:left="1080" w:hanging="1080"/>
      </w:pPr>
      <w:rPr>
        <w:rFonts w:cs="Times New Roman"/>
        <w:b/>
        <w:bCs/>
      </w:rPr>
    </w:lvl>
    <w:lvl w:ilvl="6">
      <w:start w:val="1"/>
      <w:numFmt w:val="decimal"/>
      <w:lvlText w:val="%1.%2.%3.%4.%5.%6.%7"/>
      <w:lvlJc w:val="left"/>
      <w:pPr>
        <w:tabs>
          <w:tab w:val="num" w:pos="1080"/>
        </w:tabs>
        <w:ind w:left="1080" w:hanging="1080"/>
      </w:pPr>
      <w:rPr>
        <w:rFonts w:cs="Times New Roman"/>
        <w:b/>
        <w:bCs/>
      </w:rPr>
    </w:lvl>
    <w:lvl w:ilvl="7">
      <w:start w:val="1"/>
      <w:numFmt w:val="decimal"/>
      <w:lvlText w:val="%1.%2.%3.%4.%5.%6.%7.%8"/>
      <w:lvlJc w:val="left"/>
      <w:pPr>
        <w:tabs>
          <w:tab w:val="num" w:pos="1440"/>
        </w:tabs>
        <w:ind w:left="1440" w:hanging="1440"/>
      </w:pPr>
      <w:rPr>
        <w:rFonts w:cs="Times New Roman"/>
        <w:b/>
        <w:bCs/>
      </w:rPr>
    </w:lvl>
    <w:lvl w:ilvl="8">
      <w:start w:val="1"/>
      <w:numFmt w:val="decimal"/>
      <w:lvlText w:val="%1.%2.%3.%4.%5.%6.%7.%8.%9"/>
      <w:lvlJc w:val="left"/>
      <w:pPr>
        <w:tabs>
          <w:tab w:val="num" w:pos="1440"/>
        </w:tabs>
        <w:ind w:left="1440" w:hanging="1440"/>
      </w:pPr>
      <w:rPr>
        <w:rFonts w:cs="Times New Roman"/>
        <w:b/>
        <w:bCs/>
      </w:rPr>
    </w:lvl>
  </w:abstractNum>
  <w:abstractNum w:abstractNumId="68" w15:restartNumberingAfterBreak="0">
    <w:nsid w:val="202C7784"/>
    <w:multiLevelType w:val="hybridMultilevel"/>
    <w:tmpl w:val="004A9494"/>
    <w:lvl w:ilvl="0" w:tplc="4D6EFB50">
      <w:start w:val="1"/>
      <w:numFmt w:val="decimal"/>
      <w:lvlText w:val="%1."/>
      <w:lvlJc w:val="left"/>
      <w:pPr>
        <w:ind w:left="720" w:hanging="360"/>
      </w:pPr>
      <w:rPr>
        <w:rFonts w:cs="Times New Roman" w:hint="default"/>
      </w:rPr>
    </w:lvl>
    <w:lvl w:ilvl="1" w:tplc="04090019">
      <w:start w:val="1"/>
      <w:numFmt w:val="lowerLetter"/>
      <w:lvlText w:val="%2."/>
      <w:lvlJc w:val="left"/>
      <w:pPr>
        <w:ind w:left="1440" w:hanging="360"/>
      </w:pPr>
      <w:rPr>
        <w:rFonts w:cs="Times New Roman"/>
      </w:rPr>
    </w:lvl>
    <w:lvl w:ilvl="2" w:tplc="735C13E6">
      <w:start w:val="7"/>
      <w:numFmt w:val="bullet"/>
      <w:lvlText w:val="-"/>
      <w:lvlJc w:val="left"/>
      <w:pPr>
        <w:ind w:left="2160" w:hanging="180"/>
      </w:pPr>
      <w:rPr>
        <w:rFonts w:ascii="Times New Roman" w:eastAsia="SimSun" w:hAnsi="Times New Roman" w:hint="default"/>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69" w15:restartNumberingAfterBreak="0">
    <w:nsid w:val="20604BCC"/>
    <w:multiLevelType w:val="multilevel"/>
    <w:tmpl w:val="7DE4FFC0"/>
    <w:lvl w:ilvl="0">
      <w:start w:val="1"/>
      <w:numFmt w:val="upperLetter"/>
      <w:suff w:val="nothing"/>
      <w:lvlText w:val="Annex %1"/>
      <w:lvlJc w:val="left"/>
      <w:rPr>
        <w:rFonts w:ascii="Cambria" w:hAnsi="Cambria" w:cs="Times New Roman" w:hint="default"/>
        <w:b/>
        <w:i w:val="0"/>
        <w:sz w:val="28"/>
        <w:szCs w:val="28"/>
      </w:rPr>
    </w:lvl>
    <w:lvl w:ilvl="1">
      <w:start w:val="1"/>
      <w:numFmt w:val="decimal"/>
      <w:lvlText w:val="%1.%2"/>
      <w:lvlJc w:val="left"/>
      <w:pPr>
        <w:tabs>
          <w:tab w:val="num" w:pos="360"/>
        </w:tabs>
      </w:pPr>
      <w:rPr>
        <w:rFonts w:cs="Times New Roman" w:hint="default"/>
        <w:b/>
        <w:i w:val="0"/>
      </w:rPr>
    </w:lvl>
    <w:lvl w:ilvl="2">
      <w:start w:val="1"/>
      <w:numFmt w:val="decimal"/>
      <w:lvlText w:val="%1.%2.%3"/>
      <w:lvlJc w:val="left"/>
      <w:pPr>
        <w:tabs>
          <w:tab w:val="num" w:pos="720"/>
        </w:tabs>
      </w:pPr>
      <w:rPr>
        <w:rFonts w:cs="Times New Roman" w:hint="default"/>
        <w:b/>
        <w:i w:val="0"/>
      </w:rPr>
    </w:lvl>
    <w:lvl w:ilvl="3">
      <w:start w:val="1"/>
      <w:numFmt w:val="decimal"/>
      <w:lvlText w:val="%1.%2.%3.%4"/>
      <w:lvlJc w:val="left"/>
      <w:pPr>
        <w:tabs>
          <w:tab w:val="num" w:pos="1080"/>
        </w:tabs>
      </w:pPr>
      <w:rPr>
        <w:rFonts w:cs="Times New Roman" w:hint="default"/>
        <w:b/>
        <w:i w:val="0"/>
      </w:rPr>
    </w:lvl>
    <w:lvl w:ilvl="4">
      <w:start w:val="1"/>
      <w:numFmt w:val="decimal"/>
      <w:lvlText w:val="%1.%2.%3.%4.%5"/>
      <w:lvlJc w:val="left"/>
      <w:pPr>
        <w:tabs>
          <w:tab w:val="num" w:pos="1080"/>
        </w:tabs>
      </w:pPr>
      <w:rPr>
        <w:rFonts w:cs="Times New Roman" w:hint="default"/>
        <w:b/>
        <w:i w:val="0"/>
      </w:rPr>
    </w:lvl>
    <w:lvl w:ilvl="5">
      <w:start w:val="1"/>
      <w:numFmt w:val="decimal"/>
      <w:lvlText w:val="%1.%2.%3.%4.%5.%6"/>
      <w:lvlJc w:val="left"/>
      <w:pPr>
        <w:tabs>
          <w:tab w:val="num" w:pos="1440"/>
        </w:tabs>
      </w:pPr>
      <w:rPr>
        <w:rFonts w:cs="Times New Roman" w:hint="default"/>
        <w:b/>
        <w:i w:val="0"/>
      </w:rPr>
    </w:lvl>
    <w:lvl w:ilvl="6">
      <w:start w:val="1"/>
      <w:numFmt w:val="decimal"/>
      <w:lvlRestart w:val="0"/>
      <w:suff w:val="space"/>
      <w:lvlText w:val="Figure %1.%7 —"/>
      <w:lvlJc w:val="left"/>
      <w:rPr>
        <w:rFonts w:cs="Times New Roman" w:hint="default"/>
      </w:rPr>
    </w:lvl>
    <w:lvl w:ilvl="7">
      <w:start w:val="1"/>
      <w:numFmt w:val="decimal"/>
      <w:lvlRestart w:val="0"/>
      <w:suff w:val="space"/>
      <w:lvlText w:val="Table %1.%8 —"/>
      <w:lvlJc w:val="left"/>
      <w:rPr>
        <w:rFonts w:cs="Times New Roman" w:hint="default"/>
      </w:rPr>
    </w:lvl>
    <w:lvl w:ilvl="8">
      <w:start w:val="1"/>
      <w:numFmt w:val="lowerRoman"/>
      <w:lvlText w:val="(%9)"/>
      <w:lvlJc w:val="left"/>
      <w:pPr>
        <w:tabs>
          <w:tab w:val="num" w:pos="6120"/>
        </w:tabs>
      </w:pPr>
      <w:rPr>
        <w:rFonts w:cs="Times New Roman" w:hint="default"/>
      </w:rPr>
    </w:lvl>
  </w:abstractNum>
  <w:abstractNum w:abstractNumId="70" w15:restartNumberingAfterBreak="0">
    <w:nsid w:val="20EC37DF"/>
    <w:multiLevelType w:val="hybridMultilevel"/>
    <w:tmpl w:val="2556AEC8"/>
    <w:lvl w:ilvl="0" w:tplc="01D6BD14">
      <w:start w:val="1"/>
      <w:numFmt w:val="bullet"/>
      <w:lvlText w:val="–"/>
      <w:lvlJc w:val="left"/>
      <w:pPr>
        <w:ind w:left="720" w:hanging="360"/>
      </w:pPr>
      <w:rPr>
        <w:rFonts w:ascii="Times New Roman" w:eastAsia="Malgun Gothic" w:hAnsi="Times New Roman"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1" w15:restartNumberingAfterBreak="0">
    <w:nsid w:val="22D21AE1"/>
    <w:multiLevelType w:val="hybridMultilevel"/>
    <w:tmpl w:val="4EE2CE62"/>
    <w:lvl w:ilvl="0" w:tplc="0409000F">
      <w:start w:val="1"/>
      <w:numFmt w:val="decimal"/>
      <w:lvlText w:val="%1."/>
      <w:lvlJc w:val="left"/>
      <w:pPr>
        <w:tabs>
          <w:tab w:val="num" w:pos="757"/>
        </w:tabs>
        <w:ind w:left="757" w:hanging="360"/>
      </w:pPr>
      <w:rPr>
        <w:rFonts w:hint="default"/>
      </w:rPr>
    </w:lvl>
    <w:lvl w:ilvl="1" w:tplc="04070019">
      <w:start w:val="1"/>
      <w:numFmt w:val="lowerLetter"/>
      <w:lvlText w:val="%2."/>
      <w:lvlJc w:val="left"/>
      <w:pPr>
        <w:tabs>
          <w:tab w:val="num" w:pos="1440"/>
        </w:tabs>
        <w:ind w:left="1440" w:hanging="360"/>
      </w:pPr>
      <w:rPr>
        <w:rFonts w:cs="Times New Roman"/>
      </w:rPr>
    </w:lvl>
    <w:lvl w:ilvl="2" w:tplc="0407001B">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72" w15:restartNumberingAfterBreak="0">
    <w:nsid w:val="239C4386"/>
    <w:multiLevelType w:val="hybridMultilevel"/>
    <w:tmpl w:val="CC685404"/>
    <w:lvl w:ilvl="0" w:tplc="6C5C73BE">
      <w:numFmt w:val="bullet"/>
      <w:lvlText w:val="-"/>
      <w:lvlJc w:val="left"/>
      <w:pPr>
        <w:ind w:left="720" w:hanging="360"/>
      </w:pPr>
      <w:rPr>
        <w:rFonts w:ascii="Cambria" w:eastAsiaTheme="minorEastAsia" w:hAnsi="Cambria" w:cs="Times New Roman"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73" w15:restartNumberingAfterBreak="0">
    <w:nsid w:val="24406F85"/>
    <w:multiLevelType w:val="hybridMultilevel"/>
    <w:tmpl w:val="ADBEF106"/>
    <w:lvl w:ilvl="0" w:tplc="75BE59AC">
      <w:numFmt w:val="bullet"/>
      <w:lvlText w:val="–"/>
      <w:lvlJc w:val="left"/>
      <w:pPr>
        <w:ind w:left="760" w:hanging="400"/>
      </w:pPr>
      <w:rPr>
        <w:rFonts w:ascii="Cambria" w:eastAsiaTheme="minorEastAsia" w:hAnsi="Cambria" w:hint="default"/>
      </w:rPr>
    </w:lvl>
    <w:lvl w:ilvl="1" w:tplc="529C7C2E">
      <w:numFmt w:val="bullet"/>
      <w:lvlText w:val="–"/>
      <w:lvlJc w:val="left"/>
      <w:pPr>
        <w:ind w:left="1440" w:hanging="360"/>
      </w:pPr>
      <w:rPr>
        <w:rFonts w:ascii="Cambria" w:eastAsiaTheme="minorEastAsia" w:hAnsi="Cambria" w:hint="default"/>
      </w:rPr>
    </w:lvl>
    <w:lvl w:ilvl="2" w:tplc="529C7C2E">
      <w:numFmt w:val="bullet"/>
      <w:lvlText w:val="–"/>
      <w:lvlJc w:val="left"/>
      <w:pPr>
        <w:ind w:left="2160" w:hanging="360"/>
      </w:pPr>
      <w:rPr>
        <w:rFonts w:ascii="Cambria" w:eastAsiaTheme="minorEastAsia" w:hAnsi="Cambria" w:hint="default"/>
      </w:rPr>
    </w:lvl>
    <w:lvl w:ilvl="3" w:tplc="529C7C2E">
      <w:numFmt w:val="bullet"/>
      <w:lvlText w:val="–"/>
      <w:lvlJc w:val="left"/>
      <w:pPr>
        <w:ind w:left="2880" w:hanging="360"/>
      </w:pPr>
      <w:rPr>
        <w:rFonts w:ascii="Cambria" w:eastAsiaTheme="minorEastAsia" w:hAnsi="Cambria" w:hint="default"/>
      </w:rPr>
    </w:lvl>
    <w:lvl w:ilvl="4" w:tplc="529C7C2E">
      <w:numFmt w:val="bullet"/>
      <w:lvlText w:val="–"/>
      <w:lvlJc w:val="left"/>
      <w:pPr>
        <w:ind w:left="3600" w:hanging="360"/>
      </w:pPr>
      <w:rPr>
        <w:rFonts w:ascii="Cambria" w:eastAsiaTheme="minorEastAsia" w:hAnsi="Cambria" w:hint="default"/>
      </w:rPr>
    </w:lvl>
    <w:lvl w:ilvl="5" w:tplc="529C7C2E">
      <w:numFmt w:val="bullet"/>
      <w:lvlText w:val="–"/>
      <w:lvlJc w:val="left"/>
      <w:pPr>
        <w:ind w:left="4320" w:hanging="360"/>
      </w:pPr>
      <w:rPr>
        <w:rFonts w:ascii="Cambria" w:eastAsiaTheme="minorEastAsia" w:hAnsi="Cambria" w:hint="default"/>
      </w:rPr>
    </w:lvl>
    <w:lvl w:ilvl="6" w:tplc="529C7C2E">
      <w:numFmt w:val="bullet"/>
      <w:lvlText w:val="–"/>
      <w:lvlJc w:val="left"/>
      <w:pPr>
        <w:ind w:left="5040" w:hanging="360"/>
      </w:pPr>
      <w:rPr>
        <w:rFonts w:ascii="Cambria" w:eastAsiaTheme="minorEastAsia" w:hAnsi="Cambria"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4" w15:restartNumberingAfterBreak="0">
    <w:nsid w:val="249C1DA4"/>
    <w:multiLevelType w:val="hybridMultilevel"/>
    <w:tmpl w:val="C7ACC65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5" w15:restartNumberingAfterBreak="0">
    <w:nsid w:val="257830B1"/>
    <w:multiLevelType w:val="hybridMultilevel"/>
    <w:tmpl w:val="7B68BCC0"/>
    <w:lvl w:ilvl="0" w:tplc="75BE59AC">
      <w:numFmt w:val="bullet"/>
      <w:lvlText w:val="–"/>
      <w:lvlJc w:val="left"/>
      <w:pPr>
        <w:ind w:left="760" w:hanging="400"/>
      </w:pPr>
      <w:rPr>
        <w:rFonts w:ascii="Cambria" w:eastAsiaTheme="minorEastAsia" w:hAnsi="Cambria" w:hint="default"/>
      </w:rPr>
    </w:lvl>
    <w:lvl w:ilvl="1" w:tplc="10090003">
      <w:start w:val="1"/>
      <w:numFmt w:val="bullet"/>
      <w:lvlText w:val="o"/>
      <w:lvlJc w:val="left"/>
      <w:pPr>
        <w:ind w:left="1440" w:hanging="360"/>
      </w:pPr>
      <w:rPr>
        <w:rFonts w:ascii="Courier New" w:hAnsi="Courier New" w:cs="Courier New" w:hint="default"/>
      </w:rPr>
    </w:lvl>
    <w:lvl w:ilvl="2" w:tplc="529C7C2E">
      <w:numFmt w:val="bullet"/>
      <w:lvlText w:val="–"/>
      <w:lvlJc w:val="left"/>
      <w:pPr>
        <w:ind w:left="2160" w:hanging="360"/>
      </w:pPr>
      <w:rPr>
        <w:rFonts w:ascii="Cambria" w:eastAsiaTheme="minorEastAsia" w:hAnsi="Cambria" w:hint="default"/>
      </w:rPr>
    </w:lvl>
    <w:lvl w:ilvl="3" w:tplc="529C7C2E">
      <w:numFmt w:val="bullet"/>
      <w:lvlText w:val="–"/>
      <w:lvlJc w:val="left"/>
      <w:pPr>
        <w:ind w:left="2880" w:hanging="360"/>
      </w:pPr>
      <w:rPr>
        <w:rFonts w:ascii="Cambria" w:eastAsiaTheme="minorEastAsia" w:hAnsi="Cambria" w:hint="default"/>
      </w:rPr>
    </w:lvl>
    <w:lvl w:ilvl="4" w:tplc="529C7C2E">
      <w:numFmt w:val="bullet"/>
      <w:lvlText w:val="–"/>
      <w:lvlJc w:val="left"/>
      <w:pPr>
        <w:ind w:left="3600" w:hanging="360"/>
      </w:pPr>
      <w:rPr>
        <w:rFonts w:ascii="Cambria" w:eastAsiaTheme="minorEastAsia" w:hAnsi="Cambria" w:hint="default"/>
      </w:rPr>
    </w:lvl>
    <w:lvl w:ilvl="5" w:tplc="529C7C2E">
      <w:numFmt w:val="bullet"/>
      <w:lvlText w:val="–"/>
      <w:lvlJc w:val="left"/>
      <w:pPr>
        <w:ind w:left="4320" w:hanging="360"/>
      </w:pPr>
      <w:rPr>
        <w:rFonts w:ascii="Cambria" w:eastAsiaTheme="minorEastAsia" w:hAnsi="Cambria" w:hint="default"/>
      </w:rPr>
    </w:lvl>
    <w:lvl w:ilvl="6" w:tplc="529C7C2E">
      <w:numFmt w:val="bullet"/>
      <w:lvlText w:val="–"/>
      <w:lvlJc w:val="left"/>
      <w:pPr>
        <w:ind w:left="5040" w:hanging="360"/>
      </w:pPr>
      <w:rPr>
        <w:rFonts w:ascii="Cambria" w:eastAsiaTheme="minorEastAsia" w:hAnsi="Cambria"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6" w15:restartNumberingAfterBreak="0">
    <w:nsid w:val="25880E6C"/>
    <w:multiLevelType w:val="hybridMultilevel"/>
    <w:tmpl w:val="E6BEB64E"/>
    <w:lvl w:ilvl="0" w:tplc="529C7C2E">
      <w:numFmt w:val="bullet"/>
      <w:lvlText w:val="–"/>
      <w:lvlJc w:val="left"/>
      <w:pPr>
        <w:ind w:left="360" w:hanging="360"/>
      </w:pPr>
      <w:rPr>
        <w:rFonts w:ascii="Cambria" w:eastAsiaTheme="minorEastAsia" w:hAnsi="Cambria"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7" w15:restartNumberingAfterBreak="0">
    <w:nsid w:val="260301ED"/>
    <w:multiLevelType w:val="hybridMultilevel"/>
    <w:tmpl w:val="4DCAB19C"/>
    <w:lvl w:ilvl="0" w:tplc="529C7C2E">
      <w:numFmt w:val="bullet"/>
      <w:lvlText w:val="–"/>
      <w:lvlJc w:val="left"/>
      <w:pPr>
        <w:ind w:left="720" w:hanging="360"/>
      </w:pPr>
      <w:rPr>
        <w:rFonts w:ascii="Cambria" w:eastAsiaTheme="minorEastAsia" w:hAnsi="Cambria"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78" w15:restartNumberingAfterBreak="0">
    <w:nsid w:val="26391EA9"/>
    <w:multiLevelType w:val="hybridMultilevel"/>
    <w:tmpl w:val="32E01410"/>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79" w15:restartNumberingAfterBreak="0">
    <w:nsid w:val="26FA7BB4"/>
    <w:multiLevelType w:val="multilevel"/>
    <w:tmpl w:val="83E8FF70"/>
    <w:lvl w:ilvl="0">
      <w:start w:val="1"/>
      <w:numFmt w:val="decimal"/>
      <w:lvlText w:val="%1"/>
      <w:lvlJc w:val="left"/>
      <w:pPr>
        <w:tabs>
          <w:tab w:val="num" w:pos="432"/>
        </w:tabs>
        <w:ind w:left="432" w:hanging="432"/>
      </w:pPr>
      <w:rPr>
        <w:rFonts w:cs="Times New Roman" w:hint="default"/>
        <w:b/>
        <w:i w:val="0"/>
      </w:rPr>
    </w:lvl>
    <w:lvl w:ilvl="1">
      <w:start w:val="1"/>
      <w:numFmt w:val="decimal"/>
      <w:lvlText w:val="%1.%2"/>
      <w:lvlJc w:val="left"/>
      <w:pPr>
        <w:tabs>
          <w:tab w:val="num" w:pos="360"/>
        </w:tabs>
      </w:pPr>
      <w:rPr>
        <w:rFonts w:cs="Times New Roman" w:hint="default"/>
        <w:b/>
        <w:i w:val="0"/>
      </w:rPr>
    </w:lvl>
    <w:lvl w:ilvl="2">
      <w:start w:val="1"/>
      <w:numFmt w:val="decimal"/>
      <w:lvlText w:val="%1.%2.%3"/>
      <w:lvlJc w:val="left"/>
      <w:rPr>
        <w:rFonts w:cs="Times New Roman" w:hint="default"/>
        <w:b/>
        <w:bCs w:val="0"/>
        <w:i w:val="0"/>
        <w:iCs w:val="0"/>
        <w:caps w:val="0"/>
        <w:smallCaps w:val="0"/>
        <w:strike w:val="0"/>
        <w:dstrike w:val="0"/>
        <w:vanish w:val="0"/>
        <w:color w:val="000000"/>
        <w:spacing w:val="0"/>
        <w:kern w:val="0"/>
        <w:position w:val="0"/>
        <w:u w:val="none"/>
        <w:effect w:val="none"/>
        <w:vertAlign w:val="baseline"/>
      </w:rPr>
    </w:lvl>
    <w:lvl w:ilvl="3">
      <w:start w:val="1"/>
      <w:numFmt w:val="decimal"/>
      <w:lvlText w:val="%1.%2.%3.%4"/>
      <w:lvlJc w:val="left"/>
      <w:pPr>
        <w:tabs>
          <w:tab w:val="num" w:pos="1080"/>
        </w:tabs>
      </w:pPr>
      <w:rPr>
        <w:rFonts w:cs="Times New Roman" w:hint="default"/>
        <w:b/>
        <w:i w:val="0"/>
      </w:rPr>
    </w:lvl>
    <w:lvl w:ilvl="4">
      <w:start w:val="1"/>
      <w:numFmt w:val="decimal"/>
      <w:lvlText w:val="%1.%2.%3.%4.%5"/>
      <w:lvlJc w:val="left"/>
      <w:pPr>
        <w:tabs>
          <w:tab w:val="num" w:pos="1080"/>
        </w:tabs>
      </w:pPr>
      <w:rPr>
        <w:rFonts w:cs="Times New Roman" w:hint="default"/>
        <w:b/>
        <w:i w:val="0"/>
      </w:rPr>
    </w:lvl>
    <w:lvl w:ilvl="5">
      <w:start w:val="1"/>
      <w:numFmt w:val="decimal"/>
      <w:lvlText w:val="%1.%2.%3.%4.%5.%6"/>
      <w:lvlJc w:val="left"/>
      <w:pPr>
        <w:tabs>
          <w:tab w:val="num" w:pos="1440"/>
        </w:tabs>
      </w:pPr>
      <w:rPr>
        <w:rFonts w:cs="Times New Roman" w:hint="default"/>
        <w:b/>
        <w:i w:val="0"/>
      </w:rPr>
    </w:lvl>
    <w:lvl w:ilvl="6">
      <w:start w:val="1"/>
      <w:numFmt w:val="decimal"/>
      <w:lvlText w:val="%1.%2.%3.%4.%5.%6.%7"/>
      <w:lvlJc w:val="left"/>
      <w:pPr>
        <w:tabs>
          <w:tab w:val="num" w:pos="1440"/>
        </w:tabs>
      </w:pPr>
      <w:rPr>
        <w:rFonts w:cs="Times New Roman" w:hint="default"/>
      </w:rPr>
    </w:lvl>
    <w:lvl w:ilvl="7">
      <w:start w:val="1"/>
      <w:numFmt w:val="decimal"/>
      <w:lvlText w:val="%1.%2.%3.%4.%5.%6.%7.%8"/>
      <w:lvlJc w:val="left"/>
      <w:pPr>
        <w:tabs>
          <w:tab w:val="num" w:pos="1800"/>
        </w:tabs>
      </w:pPr>
      <w:rPr>
        <w:rFonts w:cs="Times New Roman" w:hint="default"/>
      </w:rPr>
    </w:lvl>
    <w:lvl w:ilvl="8">
      <w:start w:val="1"/>
      <w:numFmt w:val="decimal"/>
      <w:lvlText w:val="%1.%2.%3.%4.%5.%6.%7.%8.%9"/>
      <w:lvlJc w:val="left"/>
      <w:pPr>
        <w:tabs>
          <w:tab w:val="num" w:pos="1800"/>
        </w:tabs>
      </w:pPr>
      <w:rPr>
        <w:rFonts w:cs="Times New Roman" w:hint="default"/>
      </w:rPr>
    </w:lvl>
  </w:abstractNum>
  <w:abstractNum w:abstractNumId="80" w15:restartNumberingAfterBreak="0">
    <w:nsid w:val="270F3629"/>
    <w:multiLevelType w:val="hybridMultilevel"/>
    <w:tmpl w:val="144E3F8E"/>
    <w:lvl w:ilvl="0" w:tplc="529C7C2E">
      <w:numFmt w:val="bullet"/>
      <w:lvlText w:val="–"/>
      <w:lvlJc w:val="left"/>
      <w:pPr>
        <w:ind w:left="720" w:hanging="360"/>
      </w:pPr>
      <w:rPr>
        <w:rFonts w:ascii="Cambria" w:eastAsiaTheme="minorEastAsia" w:hAnsi="Cambria"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1" w15:restartNumberingAfterBreak="0">
    <w:nsid w:val="27396FBA"/>
    <w:multiLevelType w:val="hybridMultilevel"/>
    <w:tmpl w:val="DE90BF9E"/>
    <w:lvl w:ilvl="0" w:tplc="FFFFFFFF">
      <w:start w:val="1"/>
      <w:numFmt w:val="decimal"/>
      <w:pStyle w:val="AVCNumberinglevel1"/>
      <w:lvlText w:val="%1."/>
      <w:lvlJc w:val="left"/>
      <w:pPr>
        <w:tabs>
          <w:tab w:val="num" w:pos="720"/>
        </w:tabs>
        <w:ind w:left="720" w:hanging="720"/>
      </w:pPr>
      <w:rPr>
        <w:rFonts w:cs="Times New Roman"/>
      </w:rPr>
    </w:lvl>
    <w:lvl w:ilvl="1" w:tplc="04070019">
      <w:start w:val="1"/>
      <w:numFmt w:val="lowerLetter"/>
      <w:lvlText w:val="%2."/>
      <w:lvlJc w:val="left"/>
      <w:pPr>
        <w:tabs>
          <w:tab w:val="num" w:pos="1440"/>
        </w:tabs>
        <w:ind w:left="1440" w:hanging="360"/>
      </w:pPr>
      <w:rPr>
        <w:rFonts w:cs="Times New Roman"/>
      </w:rPr>
    </w:lvl>
    <w:lvl w:ilvl="2" w:tplc="0407001B">
      <w:start w:val="1"/>
      <w:numFmt w:val="lowerRoman"/>
      <w:lvlText w:val="%3."/>
      <w:lvlJc w:val="right"/>
      <w:pPr>
        <w:tabs>
          <w:tab w:val="num" w:pos="2160"/>
        </w:tabs>
        <w:ind w:left="2160" w:hanging="180"/>
      </w:pPr>
      <w:rPr>
        <w:rFonts w:cs="Times New Roman"/>
      </w:rPr>
    </w:lvl>
    <w:lvl w:ilvl="3" w:tplc="0407000F">
      <w:start w:val="1"/>
      <w:numFmt w:val="decimal"/>
      <w:lvlText w:val="%4."/>
      <w:lvlJc w:val="left"/>
      <w:pPr>
        <w:tabs>
          <w:tab w:val="num" w:pos="2880"/>
        </w:tabs>
        <w:ind w:left="2880" w:hanging="360"/>
      </w:pPr>
      <w:rPr>
        <w:rFonts w:cs="Times New Roman"/>
      </w:rPr>
    </w:lvl>
    <w:lvl w:ilvl="4" w:tplc="04070019">
      <w:start w:val="1"/>
      <w:numFmt w:val="lowerLetter"/>
      <w:lvlText w:val="%5."/>
      <w:lvlJc w:val="left"/>
      <w:pPr>
        <w:tabs>
          <w:tab w:val="num" w:pos="3600"/>
        </w:tabs>
        <w:ind w:left="3600" w:hanging="360"/>
      </w:pPr>
      <w:rPr>
        <w:rFonts w:cs="Times New Roman"/>
      </w:rPr>
    </w:lvl>
    <w:lvl w:ilvl="5" w:tplc="0407001B">
      <w:start w:val="1"/>
      <w:numFmt w:val="lowerRoman"/>
      <w:lvlText w:val="%6."/>
      <w:lvlJc w:val="right"/>
      <w:pPr>
        <w:tabs>
          <w:tab w:val="num" w:pos="4320"/>
        </w:tabs>
        <w:ind w:left="4320" w:hanging="180"/>
      </w:pPr>
      <w:rPr>
        <w:rFonts w:cs="Times New Roman"/>
      </w:rPr>
    </w:lvl>
    <w:lvl w:ilvl="6" w:tplc="0407000F">
      <w:start w:val="1"/>
      <w:numFmt w:val="decimal"/>
      <w:lvlText w:val="%7."/>
      <w:lvlJc w:val="left"/>
      <w:pPr>
        <w:tabs>
          <w:tab w:val="num" w:pos="5040"/>
        </w:tabs>
        <w:ind w:left="5040" w:hanging="360"/>
      </w:pPr>
      <w:rPr>
        <w:rFonts w:cs="Times New Roman"/>
      </w:rPr>
    </w:lvl>
    <w:lvl w:ilvl="7" w:tplc="04070019">
      <w:start w:val="1"/>
      <w:numFmt w:val="lowerLetter"/>
      <w:lvlText w:val="%8."/>
      <w:lvlJc w:val="left"/>
      <w:pPr>
        <w:tabs>
          <w:tab w:val="num" w:pos="5760"/>
        </w:tabs>
        <w:ind w:left="5760" w:hanging="360"/>
      </w:pPr>
      <w:rPr>
        <w:rFonts w:cs="Times New Roman"/>
      </w:rPr>
    </w:lvl>
    <w:lvl w:ilvl="8" w:tplc="0407001B">
      <w:start w:val="1"/>
      <w:numFmt w:val="lowerRoman"/>
      <w:lvlText w:val="%9."/>
      <w:lvlJc w:val="right"/>
      <w:pPr>
        <w:tabs>
          <w:tab w:val="num" w:pos="6480"/>
        </w:tabs>
        <w:ind w:left="6480" w:hanging="180"/>
      </w:pPr>
      <w:rPr>
        <w:rFonts w:cs="Times New Roman"/>
      </w:rPr>
    </w:lvl>
  </w:abstractNum>
  <w:abstractNum w:abstractNumId="82" w15:restartNumberingAfterBreak="0">
    <w:nsid w:val="28200CFD"/>
    <w:multiLevelType w:val="hybridMultilevel"/>
    <w:tmpl w:val="F738EA48"/>
    <w:lvl w:ilvl="0" w:tplc="1409000F">
      <w:start w:val="1"/>
      <w:numFmt w:val="decimal"/>
      <w:lvlText w:val="%1."/>
      <w:lvlJc w:val="left"/>
      <w:pPr>
        <w:ind w:left="780" w:hanging="360"/>
      </w:pPr>
      <w:rPr>
        <w:rFonts w:cs="Times New Roman"/>
      </w:rPr>
    </w:lvl>
    <w:lvl w:ilvl="1" w:tplc="14090019" w:tentative="1">
      <w:start w:val="1"/>
      <w:numFmt w:val="lowerLetter"/>
      <w:lvlText w:val="%2."/>
      <w:lvlJc w:val="left"/>
      <w:pPr>
        <w:ind w:left="1500" w:hanging="360"/>
      </w:pPr>
      <w:rPr>
        <w:rFonts w:cs="Times New Roman"/>
      </w:rPr>
    </w:lvl>
    <w:lvl w:ilvl="2" w:tplc="1409001B" w:tentative="1">
      <w:start w:val="1"/>
      <w:numFmt w:val="lowerRoman"/>
      <w:lvlText w:val="%3."/>
      <w:lvlJc w:val="right"/>
      <w:pPr>
        <w:ind w:left="2220" w:hanging="180"/>
      </w:pPr>
      <w:rPr>
        <w:rFonts w:cs="Times New Roman"/>
      </w:rPr>
    </w:lvl>
    <w:lvl w:ilvl="3" w:tplc="1409000F" w:tentative="1">
      <w:start w:val="1"/>
      <w:numFmt w:val="decimal"/>
      <w:lvlText w:val="%4."/>
      <w:lvlJc w:val="left"/>
      <w:pPr>
        <w:ind w:left="2940" w:hanging="360"/>
      </w:pPr>
      <w:rPr>
        <w:rFonts w:cs="Times New Roman"/>
      </w:rPr>
    </w:lvl>
    <w:lvl w:ilvl="4" w:tplc="14090019" w:tentative="1">
      <w:start w:val="1"/>
      <w:numFmt w:val="lowerLetter"/>
      <w:lvlText w:val="%5."/>
      <w:lvlJc w:val="left"/>
      <w:pPr>
        <w:ind w:left="3660" w:hanging="360"/>
      </w:pPr>
      <w:rPr>
        <w:rFonts w:cs="Times New Roman"/>
      </w:rPr>
    </w:lvl>
    <w:lvl w:ilvl="5" w:tplc="1409001B" w:tentative="1">
      <w:start w:val="1"/>
      <w:numFmt w:val="lowerRoman"/>
      <w:lvlText w:val="%6."/>
      <w:lvlJc w:val="right"/>
      <w:pPr>
        <w:ind w:left="4380" w:hanging="180"/>
      </w:pPr>
      <w:rPr>
        <w:rFonts w:cs="Times New Roman"/>
      </w:rPr>
    </w:lvl>
    <w:lvl w:ilvl="6" w:tplc="1409000F" w:tentative="1">
      <w:start w:val="1"/>
      <w:numFmt w:val="decimal"/>
      <w:lvlText w:val="%7."/>
      <w:lvlJc w:val="left"/>
      <w:pPr>
        <w:ind w:left="5100" w:hanging="360"/>
      </w:pPr>
      <w:rPr>
        <w:rFonts w:cs="Times New Roman"/>
      </w:rPr>
    </w:lvl>
    <w:lvl w:ilvl="7" w:tplc="14090019" w:tentative="1">
      <w:start w:val="1"/>
      <w:numFmt w:val="lowerLetter"/>
      <w:lvlText w:val="%8."/>
      <w:lvlJc w:val="left"/>
      <w:pPr>
        <w:ind w:left="5820" w:hanging="360"/>
      </w:pPr>
      <w:rPr>
        <w:rFonts w:cs="Times New Roman"/>
      </w:rPr>
    </w:lvl>
    <w:lvl w:ilvl="8" w:tplc="1409001B" w:tentative="1">
      <w:start w:val="1"/>
      <w:numFmt w:val="lowerRoman"/>
      <w:lvlText w:val="%9."/>
      <w:lvlJc w:val="right"/>
      <w:pPr>
        <w:ind w:left="6540" w:hanging="180"/>
      </w:pPr>
      <w:rPr>
        <w:rFonts w:cs="Times New Roman"/>
      </w:rPr>
    </w:lvl>
  </w:abstractNum>
  <w:abstractNum w:abstractNumId="83" w15:restartNumberingAfterBreak="0">
    <w:nsid w:val="28725DF2"/>
    <w:multiLevelType w:val="hybridMultilevel"/>
    <w:tmpl w:val="BDBC65C4"/>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84" w15:restartNumberingAfterBreak="0">
    <w:nsid w:val="288531AA"/>
    <w:multiLevelType w:val="hybridMultilevel"/>
    <w:tmpl w:val="F6108F68"/>
    <w:lvl w:ilvl="0" w:tplc="04090001">
      <w:start w:val="1"/>
      <w:numFmt w:val="bullet"/>
      <w:lvlText w:val=""/>
      <w:lvlJc w:val="left"/>
      <w:pPr>
        <w:ind w:left="787" w:hanging="360"/>
      </w:pPr>
      <w:rPr>
        <w:rFonts w:ascii="Symbol" w:hAnsi="Symbol" w:hint="default"/>
      </w:rPr>
    </w:lvl>
    <w:lvl w:ilvl="1" w:tplc="04090003" w:tentative="1">
      <w:start w:val="1"/>
      <w:numFmt w:val="bullet"/>
      <w:lvlText w:val="o"/>
      <w:lvlJc w:val="left"/>
      <w:pPr>
        <w:ind w:left="1507" w:hanging="360"/>
      </w:pPr>
      <w:rPr>
        <w:rFonts w:ascii="Courier New" w:hAnsi="Courier New" w:hint="default"/>
      </w:rPr>
    </w:lvl>
    <w:lvl w:ilvl="2" w:tplc="04090005" w:tentative="1">
      <w:start w:val="1"/>
      <w:numFmt w:val="bullet"/>
      <w:lvlText w:val=""/>
      <w:lvlJc w:val="left"/>
      <w:pPr>
        <w:ind w:left="2227" w:hanging="360"/>
      </w:pPr>
      <w:rPr>
        <w:rFonts w:ascii="Wingdings" w:hAnsi="Wingdings" w:hint="default"/>
      </w:rPr>
    </w:lvl>
    <w:lvl w:ilvl="3" w:tplc="04090001" w:tentative="1">
      <w:start w:val="1"/>
      <w:numFmt w:val="bullet"/>
      <w:lvlText w:val=""/>
      <w:lvlJc w:val="left"/>
      <w:pPr>
        <w:ind w:left="2947" w:hanging="360"/>
      </w:pPr>
      <w:rPr>
        <w:rFonts w:ascii="Symbol" w:hAnsi="Symbol" w:hint="default"/>
      </w:rPr>
    </w:lvl>
    <w:lvl w:ilvl="4" w:tplc="04090003" w:tentative="1">
      <w:start w:val="1"/>
      <w:numFmt w:val="bullet"/>
      <w:lvlText w:val="o"/>
      <w:lvlJc w:val="left"/>
      <w:pPr>
        <w:ind w:left="3667" w:hanging="360"/>
      </w:pPr>
      <w:rPr>
        <w:rFonts w:ascii="Courier New" w:hAnsi="Courier New" w:hint="default"/>
      </w:rPr>
    </w:lvl>
    <w:lvl w:ilvl="5" w:tplc="04090005" w:tentative="1">
      <w:start w:val="1"/>
      <w:numFmt w:val="bullet"/>
      <w:lvlText w:val=""/>
      <w:lvlJc w:val="left"/>
      <w:pPr>
        <w:ind w:left="4387" w:hanging="360"/>
      </w:pPr>
      <w:rPr>
        <w:rFonts w:ascii="Wingdings" w:hAnsi="Wingdings" w:hint="default"/>
      </w:rPr>
    </w:lvl>
    <w:lvl w:ilvl="6" w:tplc="04090001" w:tentative="1">
      <w:start w:val="1"/>
      <w:numFmt w:val="bullet"/>
      <w:lvlText w:val=""/>
      <w:lvlJc w:val="left"/>
      <w:pPr>
        <w:ind w:left="5107" w:hanging="360"/>
      </w:pPr>
      <w:rPr>
        <w:rFonts w:ascii="Symbol" w:hAnsi="Symbol" w:hint="default"/>
      </w:rPr>
    </w:lvl>
    <w:lvl w:ilvl="7" w:tplc="04090003" w:tentative="1">
      <w:start w:val="1"/>
      <w:numFmt w:val="bullet"/>
      <w:lvlText w:val="o"/>
      <w:lvlJc w:val="left"/>
      <w:pPr>
        <w:ind w:left="5827" w:hanging="360"/>
      </w:pPr>
      <w:rPr>
        <w:rFonts w:ascii="Courier New" w:hAnsi="Courier New" w:hint="default"/>
      </w:rPr>
    </w:lvl>
    <w:lvl w:ilvl="8" w:tplc="04090005" w:tentative="1">
      <w:start w:val="1"/>
      <w:numFmt w:val="bullet"/>
      <w:lvlText w:val=""/>
      <w:lvlJc w:val="left"/>
      <w:pPr>
        <w:ind w:left="6547" w:hanging="360"/>
      </w:pPr>
      <w:rPr>
        <w:rFonts w:ascii="Wingdings" w:hAnsi="Wingdings" w:hint="default"/>
      </w:rPr>
    </w:lvl>
  </w:abstractNum>
  <w:abstractNum w:abstractNumId="85" w15:restartNumberingAfterBreak="0">
    <w:nsid w:val="28853BE6"/>
    <w:multiLevelType w:val="hybridMultilevel"/>
    <w:tmpl w:val="41EEB27C"/>
    <w:lvl w:ilvl="0" w:tplc="529C7C2E">
      <w:numFmt w:val="bullet"/>
      <w:lvlText w:val="–"/>
      <w:lvlJc w:val="left"/>
      <w:pPr>
        <w:ind w:left="1080" w:hanging="360"/>
      </w:pPr>
      <w:rPr>
        <w:rFonts w:ascii="Cambria" w:eastAsiaTheme="minorEastAsia" w:hAnsi="Cambria" w:hint="default"/>
      </w:rPr>
    </w:lvl>
    <w:lvl w:ilvl="1" w:tplc="529C7C2E">
      <w:numFmt w:val="bullet"/>
      <w:lvlText w:val="–"/>
      <w:lvlJc w:val="left"/>
      <w:pPr>
        <w:ind w:left="1800" w:hanging="360"/>
      </w:pPr>
      <w:rPr>
        <w:rFonts w:ascii="Cambria" w:eastAsiaTheme="minorEastAsia" w:hAnsi="Cambria"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86" w15:restartNumberingAfterBreak="0">
    <w:nsid w:val="289A573B"/>
    <w:multiLevelType w:val="hybridMultilevel"/>
    <w:tmpl w:val="96941604"/>
    <w:lvl w:ilvl="0" w:tplc="1DA491AC">
      <w:start w:val="1"/>
      <w:numFmt w:val="lowerLetter"/>
      <w:pStyle w:val="Reftitle"/>
      <w:lvlText w:val="%1)"/>
      <w:lvlJc w:val="left"/>
      <w:pPr>
        <w:tabs>
          <w:tab w:val="num" w:pos="757"/>
        </w:tabs>
        <w:ind w:left="757" w:hanging="360"/>
      </w:pPr>
      <w:rPr>
        <w:rFonts w:cs="Times New Roman"/>
      </w:rPr>
    </w:lvl>
    <w:lvl w:ilvl="1" w:tplc="04070019">
      <w:start w:val="1"/>
      <w:numFmt w:val="lowerLetter"/>
      <w:pStyle w:val="StyleHeading2TimesNewRoman11ptNotItalicJustifiedBe"/>
      <w:lvlText w:val="%2."/>
      <w:lvlJc w:val="left"/>
      <w:pPr>
        <w:tabs>
          <w:tab w:val="num" w:pos="1440"/>
        </w:tabs>
        <w:ind w:left="1440" w:hanging="360"/>
      </w:pPr>
      <w:rPr>
        <w:rFonts w:cs="Times New Roman"/>
      </w:rPr>
    </w:lvl>
    <w:lvl w:ilvl="2" w:tplc="0407001B">
      <w:start w:val="1"/>
      <w:numFmt w:val="lowerRoman"/>
      <w:pStyle w:val="StyleHeading3TimesNewRoman10ptJustifiedBefore905"/>
      <w:lvlText w:val="%3."/>
      <w:lvlJc w:val="right"/>
      <w:pPr>
        <w:tabs>
          <w:tab w:val="num" w:pos="2160"/>
        </w:tabs>
        <w:ind w:left="2160" w:hanging="180"/>
      </w:pPr>
      <w:rPr>
        <w:rFonts w:cs="Times New Roman"/>
      </w:rPr>
    </w:lvl>
    <w:lvl w:ilvl="3" w:tplc="0407000F">
      <w:start w:val="1"/>
      <w:numFmt w:val="decimal"/>
      <w:lvlText w:val="%4."/>
      <w:lvlJc w:val="left"/>
      <w:pPr>
        <w:tabs>
          <w:tab w:val="num" w:pos="2880"/>
        </w:tabs>
        <w:ind w:left="2880" w:hanging="360"/>
      </w:pPr>
      <w:rPr>
        <w:rFonts w:cs="Times New Roman"/>
      </w:rPr>
    </w:lvl>
    <w:lvl w:ilvl="4" w:tplc="04070019">
      <w:start w:val="1"/>
      <w:numFmt w:val="lowerLetter"/>
      <w:lvlText w:val="%5."/>
      <w:lvlJc w:val="left"/>
      <w:pPr>
        <w:tabs>
          <w:tab w:val="num" w:pos="3600"/>
        </w:tabs>
        <w:ind w:left="3600" w:hanging="360"/>
      </w:pPr>
      <w:rPr>
        <w:rFonts w:cs="Times New Roman"/>
      </w:rPr>
    </w:lvl>
    <w:lvl w:ilvl="5" w:tplc="0407001B">
      <w:start w:val="1"/>
      <w:numFmt w:val="lowerRoman"/>
      <w:lvlText w:val="%6."/>
      <w:lvlJc w:val="right"/>
      <w:pPr>
        <w:tabs>
          <w:tab w:val="num" w:pos="4320"/>
        </w:tabs>
        <w:ind w:left="4320" w:hanging="180"/>
      </w:pPr>
      <w:rPr>
        <w:rFonts w:cs="Times New Roman"/>
      </w:rPr>
    </w:lvl>
    <w:lvl w:ilvl="6" w:tplc="0407000F">
      <w:start w:val="1"/>
      <w:numFmt w:val="decimal"/>
      <w:lvlText w:val="%7."/>
      <w:lvlJc w:val="left"/>
      <w:pPr>
        <w:tabs>
          <w:tab w:val="num" w:pos="5040"/>
        </w:tabs>
        <w:ind w:left="5040" w:hanging="360"/>
      </w:pPr>
      <w:rPr>
        <w:rFonts w:cs="Times New Roman"/>
      </w:rPr>
    </w:lvl>
    <w:lvl w:ilvl="7" w:tplc="04070019">
      <w:start w:val="1"/>
      <w:numFmt w:val="lowerLetter"/>
      <w:lvlText w:val="%8."/>
      <w:lvlJc w:val="left"/>
      <w:pPr>
        <w:tabs>
          <w:tab w:val="num" w:pos="5760"/>
        </w:tabs>
        <w:ind w:left="5760" w:hanging="360"/>
      </w:pPr>
      <w:rPr>
        <w:rFonts w:cs="Times New Roman"/>
      </w:rPr>
    </w:lvl>
    <w:lvl w:ilvl="8" w:tplc="0407001B">
      <w:start w:val="1"/>
      <w:numFmt w:val="lowerRoman"/>
      <w:lvlText w:val="%9."/>
      <w:lvlJc w:val="right"/>
      <w:pPr>
        <w:tabs>
          <w:tab w:val="num" w:pos="6480"/>
        </w:tabs>
        <w:ind w:left="6480" w:hanging="180"/>
      </w:pPr>
      <w:rPr>
        <w:rFonts w:cs="Times New Roman"/>
      </w:rPr>
    </w:lvl>
  </w:abstractNum>
  <w:abstractNum w:abstractNumId="87" w15:restartNumberingAfterBreak="0">
    <w:nsid w:val="28BA34E3"/>
    <w:multiLevelType w:val="multilevel"/>
    <w:tmpl w:val="EE04B4FE"/>
    <w:styleLink w:val="3DNumbering"/>
    <w:lvl w:ilvl="0">
      <w:start w:val="1"/>
      <w:numFmt w:val="decimal"/>
      <w:pStyle w:val="3U0"/>
      <w:lvlText w:val="%1."/>
      <w:lvlJc w:val="left"/>
      <w:pPr>
        <w:ind w:left="357" w:hanging="357"/>
      </w:pPr>
      <w:rPr>
        <w:rFonts w:cs="Times New Roman"/>
      </w:rPr>
    </w:lvl>
    <w:lvl w:ilvl="1">
      <w:start w:val="1"/>
      <w:numFmt w:val="decimal"/>
      <w:pStyle w:val="3U1"/>
      <w:lvlText w:val="%2."/>
      <w:lvlJc w:val="left"/>
      <w:pPr>
        <w:ind w:left="714" w:hanging="357"/>
      </w:pPr>
      <w:rPr>
        <w:rFonts w:cs="Times New Roman"/>
      </w:rPr>
    </w:lvl>
    <w:lvl w:ilvl="2">
      <w:start w:val="1"/>
      <w:numFmt w:val="decimal"/>
      <w:pStyle w:val="3U2"/>
      <w:lvlText w:val="%3."/>
      <w:lvlJc w:val="left"/>
      <w:pPr>
        <w:ind w:left="1071" w:hanging="357"/>
      </w:pPr>
      <w:rPr>
        <w:rFonts w:cs="Times New Roman"/>
      </w:rPr>
    </w:lvl>
    <w:lvl w:ilvl="3">
      <w:start w:val="1"/>
      <w:numFmt w:val="decimal"/>
      <w:pStyle w:val="3U3"/>
      <w:lvlText w:val="%4."/>
      <w:lvlJc w:val="left"/>
      <w:pPr>
        <w:ind w:left="1428" w:hanging="357"/>
      </w:pPr>
      <w:rPr>
        <w:rFonts w:cs="Times New Roman"/>
      </w:rPr>
    </w:lvl>
    <w:lvl w:ilvl="4">
      <w:start w:val="1"/>
      <w:numFmt w:val="decimal"/>
      <w:pStyle w:val="3U4"/>
      <w:lvlText w:val="%5."/>
      <w:lvlJc w:val="left"/>
      <w:pPr>
        <w:ind w:left="1785" w:hanging="357"/>
      </w:pPr>
      <w:rPr>
        <w:rFonts w:cs="Times New Roman"/>
      </w:rPr>
    </w:lvl>
    <w:lvl w:ilvl="5">
      <w:start w:val="1"/>
      <w:numFmt w:val="decimal"/>
      <w:pStyle w:val="3U5"/>
      <w:lvlText w:val="%6."/>
      <w:lvlJc w:val="left"/>
      <w:pPr>
        <w:ind w:left="2142" w:hanging="357"/>
      </w:pPr>
      <w:rPr>
        <w:rFonts w:cs="Times New Roman"/>
      </w:rPr>
    </w:lvl>
    <w:lvl w:ilvl="6">
      <w:start w:val="1"/>
      <w:numFmt w:val="decimal"/>
      <w:pStyle w:val="3U6"/>
      <w:lvlText w:val="%7."/>
      <w:lvlJc w:val="left"/>
      <w:pPr>
        <w:ind w:left="2499" w:hanging="357"/>
      </w:pPr>
      <w:rPr>
        <w:rFonts w:cs="Times New Roman"/>
      </w:rPr>
    </w:lvl>
    <w:lvl w:ilvl="7">
      <w:start w:val="1"/>
      <w:numFmt w:val="decimal"/>
      <w:pStyle w:val="3U7"/>
      <w:lvlText w:val="%8."/>
      <w:lvlJc w:val="left"/>
      <w:pPr>
        <w:ind w:left="2856" w:hanging="357"/>
      </w:pPr>
      <w:rPr>
        <w:rFonts w:cs="Times New Roman"/>
      </w:rPr>
    </w:lvl>
    <w:lvl w:ilvl="8">
      <w:start w:val="1"/>
      <w:numFmt w:val="decimal"/>
      <w:pStyle w:val="3U8"/>
      <w:lvlText w:val="%9."/>
      <w:lvlJc w:val="left"/>
      <w:pPr>
        <w:ind w:left="3213" w:hanging="357"/>
      </w:pPr>
      <w:rPr>
        <w:rFonts w:cs="Times New Roman"/>
      </w:rPr>
    </w:lvl>
  </w:abstractNum>
  <w:abstractNum w:abstractNumId="88" w15:restartNumberingAfterBreak="0">
    <w:nsid w:val="28D822F6"/>
    <w:multiLevelType w:val="hybridMultilevel"/>
    <w:tmpl w:val="D8AE309A"/>
    <w:lvl w:ilvl="0" w:tplc="0409000F">
      <w:start w:val="1"/>
      <w:numFmt w:val="decimal"/>
      <w:lvlText w:val="%1."/>
      <w:lvlJc w:val="left"/>
      <w:pPr>
        <w:ind w:left="1166" w:hanging="360"/>
      </w:pPr>
    </w:lvl>
    <w:lvl w:ilvl="1" w:tplc="04090019" w:tentative="1">
      <w:start w:val="1"/>
      <w:numFmt w:val="lowerLetter"/>
      <w:lvlText w:val="%2."/>
      <w:lvlJc w:val="left"/>
      <w:pPr>
        <w:ind w:left="1886" w:hanging="360"/>
      </w:pPr>
    </w:lvl>
    <w:lvl w:ilvl="2" w:tplc="0409001B" w:tentative="1">
      <w:start w:val="1"/>
      <w:numFmt w:val="lowerRoman"/>
      <w:lvlText w:val="%3."/>
      <w:lvlJc w:val="right"/>
      <w:pPr>
        <w:ind w:left="2606" w:hanging="180"/>
      </w:pPr>
    </w:lvl>
    <w:lvl w:ilvl="3" w:tplc="0409000F" w:tentative="1">
      <w:start w:val="1"/>
      <w:numFmt w:val="decimal"/>
      <w:lvlText w:val="%4."/>
      <w:lvlJc w:val="left"/>
      <w:pPr>
        <w:ind w:left="3326" w:hanging="360"/>
      </w:pPr>
    </w:lvl>
    <w:lvl w:ilvl="4" w:tplc="04090019" w:tentative="1">
      <w:start w:val="1"/>
      <w:numFmt w:val="lowerLetter"/>
      <w:lvlText w:val="%5."/>
      <w:lvlJc w:val="left"/>
      <w:pPr>
        <w:ind w:left="4046" w:hanging="360"/>
      </w:pPr>
    </w:lvl>
    <w:lvl w:ilvl="5" w:tplc="0409001B" w:tentative="1">
      <w:start w:val="1"/>
      <w:numFmt w:val="lowerRoman"/>
      <w:lvlText w:val="%6."/>
      <w:lvlJc w:val="right"/>
      <w:pPr>
        <w:ind w:left="4766" w:hanging="180"/>
      </w:pPr>
    </w:lvl>
    <w:lvl w:ilvl="6" w:tplc="0409000F" w:tentative="1">
      <w:start w:val="1"/>
      <w:numFmt w:val="decimal"/>
      <w:lvlText w:val="%7."/>
      <w:lvlJc w:val="left"/>
      <w:pPr>
        <w:ind w:left="5486" w:hanging="360"/>
      </w:pPr>
    </w:lvl>
    <w:lvl w:ilvl="7" w:tplc="04090019" w:tentative="1">
      <w:start w:val="1"/>
      <w:numFmt w:val="lowerLetter"/>
      <w:lvlText w:val="%8."/>
      <w:lvlJc w:val="left"/>
      <w:pPr>
        <w:ind w:left="6206" w:hanging="360"/>
      </w:pPr>
    </w:lvl>
    <w:lvl w:ilvl="8" w:tplc="0409001B" w:tentative="1">
      <w:start w:val="1"/>
      <w:numFmt w:val="lowerRoman"/>
      <w:lvlText w:val="%9."/>
      <w:lvlJc w:val="right"/>
      <w:pPr>
        <w:ind w:left="6926" w:hanging="180"/>
      </w:pPr>
    </w:lvl>
  </w:abstractNum>
  <w:abstractNum w:abstractNumId="89" w15:restartNumberingAfterBreak="0">
    <w:nsid w:val="290028B2"/>
    <w:multiLevelType w:val="hybridMultilevel"/>
    <w:tmpl w:val="D66A5E5E"/>
    <w:lvl w:ilvl="0" w:tplc="4336DF7A">
      <w:start w:val="5"/>
      <w:numFmt w:val="bullet"/>
      <w:pStyle w:val="AVCBulletlevel3CharCharCharChar"/>
      <w:lvlText w:val="–"/>
      <w:lvlJc w:val="left"/>
      <w:pPr>
        <w:tabs>
          <w:tab w:val="num" w:pos="1182"/>
        </w:tabs>
        <w:ind w:left="1182" w:hanging="390"/>
      </w:pPr>
      <w:rPr>
        <w:rFonts w:ascii="Times New Roman" w:eastAsia="Times New Roman" w:hAnsi="Times New Roman" w:hint="default"/>
      </w:rPr>
    </w:lvl>
    <w:lvl w:ilvl="1" w:tplc="04070019">
      <w:start w:val="1"/>
      <w:numFmt w:val="bullet"/>
      <w:lvlText w:val="o"/>
      <w:lvlJc w:val="left"/>
      <w:pPr>
        <w:tabs>
          <w:tab w:val="num" w:pos="2232"/>
        </w:tabs>
        <w:ind w:left="2232" w:hanging="360"/>
      </w:pPr>
      <w:rPr>
        <w:rFonts w:ascii="Courier New" w:hAnsi="Courier New" w:hint="default"/>
      </w:rPr>
    </w:lvl>
    <w:lvl w:ilvl="2" w:tplc="0407001B">
      <w:start w:val="1"/>
      <w:numFmt w:val="bullet"/>
      <w:lvlText w:val=""/>
      <w:lvlJc w:val="left"/>
      <w:pPr>
        <w:tabs>
          <w:tab w:val="num" w:pos="2952"/>
        </w:tabs>
        <w:ind w:left="2952" w:hanging="360"/>
      </w:pPr>
      <w:rPr>
        <w:rFonts w:ascii="Wingdings" w:hAnsi="Wingdings" w:hint="default"/>
      </w:rPr>
    </w:lvl>
    <w:lvl w:ilvl="3" w:tplc="0407000F">
      <w:start w:val="1"/>
      <w:numFmt w:val="bullet"/>
      <w:lvlText w:val=""/>
      <w:lvlJc w:val="left"/>
      <w:pPr>
        <w:tabs>
          <w:tab w:val="num" w:pos="3672"/>
        </w:tabs>
        <w:ind w:left="3672" w:hanging="360"/>
      </w:pPr>
      <w:rPr>
        <w:rFonts w:ascii="Symbol" w:hAnsi="Symbol" w:hint="default"/>
      </w:rPr>
    </w:lvl>
    <w:lvl w:ilvl="4" w:tplc="04070019">
      <w:start w:val="1"/>
      <w:numFmt w:val="bullet"/>
      <w:lvlText w:val="o"/>
      <w:lvlJc w:val="left"/>
      <w:pPr>
        <w:tabs>
          <w:tab w:val="num" w:pos="4392"/>
        </w:tabs>
        <w:ind w:left="4392" w:hanging="360"/>
      </w:pPr>
      <w:rPr>
        <w:rFonts w:ascii="Courier New" w:hAnsi="Courier New" w:hint="default"/>
      </w:rPr>
    </w:lvl>
    <w:lvl w:ilvl="5" w:tplc="0407001B">
      <w:start w:val="1"/>
      <w:numFmt w:val="bullet"/>
      <w:lvlText w:val=""/>
      <w:lvlJc w:val="left"/>
      <w:pPr>
        <w:tabs>
          <w:tab w:val="num" w:pos="5112"/>
        </w:tabs>
        <w:ind w:left="5112" w:hanging="360"/>
      </w:pPr>
      <w:rPr>
        <w:rFonts w:ascii="Wingdings" w:hAnsi="Wingdings" w:hint="default"/>
      </w:rPr>
    </w:lvl>
    <w:lvl w:ilvl="6" w:tplc="0407000F">
      <w:start w:val="1"/>
      <w:numFmt w:val="bullet"/>
      <w:lvlText w:val=""/>
      <w:lvlJc w:val="left"/>
      <w:pPr>
        <w:tabs>
          <w:tab w:val="num" w:pos="5832"/>
        </w:tabs>
        <w:ind w:left="5832" w:hanging="360"/>
      </w:pPr>
      <w:rPr>
        <w:rFonts w:ascii="Symbol" w:hAnsi="Symbol" w:hint="default"/>
      </w:rPr>
    </w:lvl>
    <w:lvl w:ilvl="7" w:tplc="04070019">
      <w:start w:val="1"/>
      <w:numFmt w:val="bullet"/>
      <w:lvlText w:val="o"/>
      <w:lvlJc w:val="left"/>
      <w:pPr>
        <w:tabs>
          <w:tab w:val="num" w:pos="6552"/>
        </w:tabs>
        <w:ind w:left="6552" w:hanging="360"/>
      </w:pPr>
      <w:rPr>
        <w:rFonts w:ascii="Courier New" w:hAnsi="Courier New" w:hint="default"/>
      </w:rPr>
    </w:lvl>
    <w:lvl w:ilvl="8" w:tplc="0407001B">
      <w:start w:val="1"/>
      <w:numFmt w:val="bullet"/>
      <w:lvlText w:val=""/>
      <w:lvlJc w:val="left"/>
      <w:pPr>
        <w:tabs>
          <w:tab w:val="num" w:pos="7272"/>
        </w:tabs>
        <w:ind w:left="7272" w:hanging="360"/>
      </w:pPr>
      <w:rPr>
        <w:rFonts w:ascii="Wingdings" w:hAnsi="Wingdings" w:hint="default"/>
      </w:rPr>
    </w:lvl>
  </w:abstractNum>
  <w:abstractNum w:abstractNumId="90" w15:restartNumberingAfterBreak="0">
    <w:nsid w:val="297F27ED"/>
    <w:multiLevelType w:val="multilevel"/>
    <w:tmpl w:val="DD92DF1E"/>
    <w:lvl w:ilvl="0">
      <w:numFmt w:val="bullet"/>
      <w:lvlText w:val="–"/>
      <w:lvlJc w:val="left"/>
      <w:pPr>
        <w:ind w:left="1080" w:hanging="360"/>
      </w:pPr>
      <w:rPr>
        <w:rFonts w:ascii="Cambria" w:eastAsiaTheme="minorEastAsia" w:hAnsi="Cambria" w:hint="default"/>
      </w:rPr>
    </w:lvl>
    <w:lvl w:ilvl="1">
      <w:numFmt w:val="bullet"/>
      <w:lvlText w:val="–"/>
      <w:lvlJc w:val="left"/>
      <w:pPr>
        <w:ind w:left="1800" w:hanging="360"/>
      </w:pPr>
      <w:rPr>
        <w:rFonts w:ascii="Cambria" w:eastAsiaTheme="minorEastAsia" w:hAnsi="Cambria"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91" w15:restartNumberingAfterBreak="0">
    <w:nsid w:val="2A431A4B"/>
    <w:multiLevelType w:val="hybridMultilevel"/>
    <w:tmpl w:val="8B9EBFF2"/>
    <w:lvl w:ilvl="0" w:tplc="EA568F22">
      <w:numFmt w:val="bullet"/>
      <w:lvlText w:val="–"/>
      <w:lvlJc w:val="left"/>
      <w:pPr>
        <w:ind w:left="720" w:hanging="360"/>
      </w:pPr>
      <w:rPr>
        <w:rFonts w:ascii="Cambria" w:eastAsiaTheme="minorEastAsia" w:hAnsi="Cambria"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2" w15:restartNumberingAfterBreak="0">
    <w:nsid w:val="2B26039E"/>
    <w:multiLevelType w:val="hybridMultilevel"/>
    <w:tmpl w:val="9CA841CA"/>
    <w:lvl w:ilvl="0" w:tplc="529C7C2E">
      <w:numFmt w:val="bullet"/>
      <w:lvlText w:val="–"/>
      <w:lvlJc w:val="left"/>
      <w:pPr>
        <w:ind w:left="720" w:hanging="360"/>
      </w:pPr>
      <w:rPr>
        <w:rFonts w:ascii="Cambria" w:eastAsiaTheme="minorEastAsia" w:hAnsi="Cambria" w:hint="default"/>
      </w:rPr>
    </w:lvl>
    <w:lvl w:ilvl="1" w:tplc="529C7C2E">
      <w:numFmt w:val="bullet"/>
      <w:lvlText w:val="–"/>
      <w:lvlJc w:val="left"/>
      <w:pPr>
        <w:ind w:left="1440" w:hanging="360"/>
      </w:pPr>
      <w:rPr>
        <w:rFonts w:ascii="Cambria" w:eastAsiaTheme="minorEastAsia" w:hAnsi="Cambria" w:hint="default"/>
      </w:rPr>
    </w:lvl>
    <w:lvl w:ilvl="2" w:tplc="10090005">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93" w15:restartNumberingAfterBreak="0">
    <w:nsid w:val="2B592AEE"/>
    <w:multiLevelType w:val="hybridMultilevel"/>
    <w:tmpl w:val="65EED1C2"/>
    <w:lvl w:ilvl="0" w:tplc="529C7C2E">
      <w:numFmt w:val="bullet"/>
      <w:lvlText w:val="–"/>
      <w:lvlJc w:val="left"/>
      <w:pPr>
        <w:ind w:left="1800" w:hanging="360"/>
      </w:pPr>
      <w:rPr>
        <w:rFonts w:ascii="Cambria" w:eastAsiaTheme="minorEastAsia" w:hAnsi="Cambria" w:hint="default"/>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94" w15:restartNumberingAfterBreak="0">
    <w:nsid w:val="2C35283A"/>
    <w:multiLevelType w:val="hybridMultilevel"/>
    <w:tmpl w:val="004A9494"/>
    <w:lvl w:ilvl="0" w:tplc="4D6EFB50">
      <w:start w:val="1"/>
      <w:numFmt w:val="decimal"/>
      <w:lvlText w:val="%1."/>
      <w:lvlJc w:val="left"/>
      <w:pPr>
        <w:ind w:left="720" w:hanging="360"/>
      </w:pPr>
      <w:rPr>
        <w:rFonts w:cs="Times New Roman" w:hint="default"/>
      </w:rPr>
    </w:lvl>
    <w:lvl w:ilvl="1" w:tplc="04090019">
      <w:start w:val="1"/>
      <w:numFmt w:val="lowerLetter"/>
      <w:lvlText w:val="%2."/>
      <w:lvlJc w:val="left"/>
      <w:pPr>
        <w:ind w:left="1440" w:hanging="360"/>
      </w:pPr>
      <w:rPr>
        <w:rFonts w:cs="Times New Roman"/>
      </w:rPr>
    </w:lvl>
    <w:lvl w:ilvl="2" w:tplc="735C13E6">
      <w:start w:val="7"/>
      <w:numFmt w:val="bullet"/>
      <w:lvlText w:val="-"/>
      <w:lvlJc w:val="left"/>
      <w:pPr>
        <w:ind w:left="2160" w:hanging="180"/>
      </w:pPr>
      <w:rPr>
        <w:rFonts w:ascii="Times New Roman" w:eastAsia="SimSun" w:hAnsi="Times New Roman" w:hint="default"/>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95" w15:restartNumberingAfterBreak="0">
    <w:nsid w:val="2C835F3B"/>
    <w:multiLevelType w:val="hybridMultilevel"/>
    <w:tmpl w:val="3E86F72C"/>
    <w:lvl w:ilvl="0" w:tplc="529C7C2E">
      <w:numFmt w:val="bullet"/>
      <w:lvlText w:val="–"/>
      <w:lvlJc w:val="left"/>
      <w:pPr>
        <w:ind w:left="1800" w:hanging="360"/>
      </w:pPr>
      <w:rPr>
        <w:rFonts w:ascii="Cambria" w:eastAsiaTheme="minorEastAsia" w:hAnsi="Cambria" w:hint="default"/>
      </w:rPr>
    </w:lvl>
    <w:lvl w:ilvl="1" w:tplc="10090003">
      <w:start w:val="1"/>
      <w:numFmt w:val="bullet"/>
      <w:lvlText w:val="o"/>
      <w:lvlJc w:val="left"/>
      <w:pPr>
        <w:ind w:left="2520" w:hanging="360"/>
      </w:pPr>
      <w:rPr>
        <w:rFonts w:ascii="Courier New" w:hAnsi="Courier New" w:cs="Courier New" w:hint="default"/>
      </w:rPr>
    </w:lvl>
    <w:lvl w:ilvl="2" w:tplc="10090005" w:tentative="1">
      <w:start w:val="1"/>
      <w:numFmt w:val="bullet"/>
      <w:lvlText w:val=""/>
      <w:lvlJc w:val="left"/>
      <w:pPr>
        <w:ind w:left="3240" w:hanging="360"/>
      </w:pPr>
      <w:rPr>
        <w:rFonts w:ascii="Wingdings" w:hAnsi="Wingdings" w:hint="default"/>
      </w:rPr>
    </w:lvl>
    <w:lvl w:ilvl="3" w:tplc="10090001" w:tentative="1">
      <w:start w:val="1"/>
      <w:numFmt w:val="bullet"/>
      <w:lvlText w:val=""/>
      <w:lvlJc w:val="left"/>
      <w:pPr>
        <w:ind w:left="3960" w:hanging="360"/>
      </w:pPr>
      <w:rPr>
        <w:rFonts w:ascii="Symbol" w:hAnsi="Symbol" w:hint="default"/>
      </w:rPr>
    </w:lvl>
    <w:lvl w:ilvl="4" w:tplc="10090003" w:tentative="1">
      <w:start w:val="1"/>
      <w:numFmt w:val="bullet"/>
      <w:lvlText w:val="o"/>
      <w:lvlJc w:val="left"/>
      <w:pPr>
        <w:ind w:left="4680" w:hanging="360"/>
      </w:pPr>
      <w:rPr>
        <w:rFonts w:ascii="Courier New" w:hAnsi="Courier New" w:cs="Courier New" w:hint="default"/>
      </w:rPr>
    </w:lvl>
    <w:lvl w:ilvl="5" w:tplc="10090005" w:tentative="1">
      <w:start w:val="1"/>
      <w:numFmt w:val="bullet"/>
      <w:lvlText w:val=""/>
      <w:lvlJc w:val="left"/>
      <w:pPr>
        <w:ind w:left="5400" w:hanging="360"/>
      </w:pPr>
      <w:rPr>
        <w:rFonts w:ascii="Wingdings" w:hAnsi="Wingdings" w:hint="default"/>
      </w:rPr>
    </w:lvl>
    <w:lvl w:ilvl="6" w:tplc="10090001" w:tentative="1">
      <w:start w:val="1"/>
      <w:numFmt w:val="bullet"/>
      <w:lvlText w:val=""/>
      <w:lvlJc w:val="left"/>
      <w:pPr>
        <w:ind w:left="6120" w:hanging="360"/>
      </w:pPr>
      <w:rPr>
        <w:rFonts w:ascii="Symbol" w:hAnsi="Symbol" w:hint="default"/>
      </w:rPr>
    </w:lvl>
    <w:lvl w:ilvl="7" w:tplc="10090003" w:tentative="1">
      <w:start w:val="1"/>
      <w:numFmt w:val="bullet"/>
      <w:lvlText w:val="o"/>
      <w:lvlJc w:val="left"/>
      <w:pPr>
        <w:ind w:left="6840" w:hanging="360"/>
      </w:pPr>
      <w:rPr>
        <w:rFonts w:ascii="Courier New" w:hAnsi="Courier New" w:cs="Courier New" w:hint="default"/>
      </w:rPr>
    </w:lvl>
    <w:lvl w:ilvl="8" w:tplc="10090005" w:tentative="1">
      <w:start w:val="1"/>
      <w:numFmt w:val="bullet"/>
      <w:lvlText w:val=""/>
      <w:lvlJc w:val="left"/>
      <w:pPr>
        <w:ind w:left="7560" w:hanging="360"/>
      </w:pPr>
      <w:rPr>
        <w:rFonts w:ascii="Wingdings" w:hAnsi="Wingdings" w:hint="default"/>
      </w:rPr>
    </w:lvl>
  </w:abstractNum>
  <w:abstractNum w:abstractNumId="96" w15:restartNumberingAfterBreak="0">
    <w:nsid w:val="2CF60D66"/>
    <w:multiLevelType w:val="hybridMultilevel"/>
    <w:tmpl w:val="17021C70"/>
    <w:lvl w:ilvl="0" w:tplc="3E26A6A8">
      <w:numFmt w:val="bullet"/>
      <w:lvlText w:val="-"/>
      <w:lvlJc w:val="left"/>
      <w:pPr>
        <w:ind w:left="720" w:hanging="360"/>
      </w:pPr>
      <w:rPr>
        <w:rFonts w:ascii="Cambria" w:eastAsiaTheme="minorEastAsia" w:hAnsi="Cambria"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7" w15:restartNumberingAfterBreak="0">
    <w:nsid w:val="2D9A1DB9"/>
    <w:multiLevelType w:val="hybridMultilevel"/>
    <w:tmpl w:val="F65E197A"/>
    <w:lvl w:ilvl="0" w:tplc="B9101988">
      <w:start w:val="2"/>
      <w:numFmt w:val="bullet"/>
      <w:lvlText w:val="–"/>
      <w:lvlJc w:val="left"/>
      <w:pPr>
        <w:ind w:left="720" w:hanging="360"/>
      </w:pPr>
      <w:rPr>
        <w:rFonts w:ascii="Calibri" w:eastAsia="Times New Roman" w:hAnsi="Calibri"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8" w15:restartNumberingAfterBreak="0">
    <w:nsid w:val="2DC059AE"/>
    <w:multiLevelType w:val="multilevel"/>
    <w:tmpl w:val="B2C8478A"/>
    <w:lvl w:ilvl="0">
      <w:numFmt w:val="bullet"/>
      <w:lvlText w:val="–"/>
      <w:lvlJc w:val="left"/>
      <w:pPr>
        <w:ind w:left="1440" w:hanging="357"/>
      </w:pPr>
      <w:rPr>
        <w:rFonts w:ascii="Cambria" w:eastAsiaTheme="minorEastAsia" w:hAnsi="Cambria" w:hint="default"/>
      </w:rPr>
    </w:lvl>
    <w:lvl w:ilvl="1">
      <w:numFmt w:val="bullet"/>
      <w:lvlText w:val="–"/>
      <w:lvlJc w:val="left"/>
      <w:pPr>
        <w:ind w:left="1800" w:hanging="360"/>
      </w:pPr>
      <w:rPr>
        <w:rFonts w:ascii="Cambria" w:eastAsiaTheme="minorEastAsia" w:hAnsi="Cambria"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99" w15:restartNumberingAfterBreak="0">
    <w:nsid w:val="2DE32740"/>
    <w:multiLevelType w:val="multilevel"/>
    <w:tmpl w:val="B9E8846E"/>
    <w:lvl w:ilvl="0">
      <w:start w:val="1"/>
      <w:numFmt w:val="decimal"/>
      <w:lvlText w:val="%1"/>
      <w:lvlJc w:val="left"/>
      <w:pPr>
        <w:ind w:left="432" w:hanging="432"/>
      </w:pPr>
      <w:rPr>
        <w:rFonts w:cs="Times New Roman" w:hint="default"/>
        <w:b/>
        <w:i w:val="0"/>
      </w:rPr>
    </w:lvl>
    <w:lvl w:ilvl="1">
      <w:start w:val="1"/>
      <w:numFmt w:val="decimal"/>
      <w:lvlText w:val="%1.%2"/>
      <w:lvlJc w:val="left"/>
      <w:rPr>
        <w:rFonts w:cs="Times New Roman" w:hint="default"/>
        <w:b/>
        <w:i w:val="0"/>
      </w:rPr>
    </w:lvl>
    <w:lvl w:ilvl="2">
      <w:start w:val="1"/>
      <w:numFmt w:val="decimal"/>
      <w:lvlText w:val="%1.%2.%3"/>
      <w:lvlJc w:val="left"/>
      <w:rPr>
        <w:rFonts w:cs="Times New Roman" w:hint="default"/>
        <w:b/>
        <w:bCs w:val="0"/>
        <w:i w:val="0"/>
        <w:iCs w:val="0"/>
        <w:caps w:val="0"/>
        <w:smallCaps w:val="0"/>
        <w:strike w:val="0"/>
        <w:dstrike w:val="0"/>
        <w:vanish w:val="0"/>
        <w:color w:val="000000"/>
        <w:spacing w:val="0"/>
        <w:kern w:val="0"/>
        <w:position w:val="0"/>
        <w:u w:val="none"/>
        <w:effect w:val="none"/>
        <w:vertAlign w:val="baseline"/>
      </w:rPr>
    </w:lvl>
    <w:lvl w:ilvl="3">
      <w:start w:val="1"/>
      <w:numFmt w:val="decimal"/>
      <w:lvlText w:val="%1.%2.%3.%4"/>
      <w:lvlJc w:val="left"/>
      <w:pPr>
        <w:tabs>
          <w:tab w:val="num" w:pos="1080"/>
        </w:tabs>
        <w:ind w:left="0"/>
      </w:pPr>
      <w:rPr>
        <w:rFonts w:cs="Times New Roman" w:hint="default"/>
        <w:b/>
        <w:i w:val="0"/>
      </w:rPr>
    </w:lvl>
    <w:lvl w:ilvl="4">
      <w:start w:val="1"/>
      <w:numFmt w:val="decimal"/>
      <w:lvlText w:val="%1.%2.%3.%4.%5"/>
      <w:lvlJc w:val="left"/>
      <w:pPr>
        <w:tabs>
          <w:tab w:val="num" w:pos="1080"/>
        </w:tabs>
      </w:pPr>
      <w:rPr>
        <w:rFonts w:cs="Times New Roman" w:hint="default"/>
        <w:b/>
        <w:i w:val="0"/>
      </w:rPr>
    </w:lvl>
    <w:lvl w:ilvl="5">
      <w:start w:val="1"/>
      <w:numFmt w:val="decimal"/>
      <w:lvlText w:val="%1.%2.%3.%4.%5.%6"/>
      <w:lvlJc w:val="left"/>
      <w:pPr>
        <w:tabs>
          <w:tab w:val="num" w:pos="1440"/>
        </w:tabs>
      </w:pPr>
      <w:rPr>
        <w:rFonts w:cs="Times New Roman" w:hint="default"/>
        <w:b/>
        <w:i w:val="0"/>
      </w:rPr>
    </w:lvl>
    <w:lvl w:ilvl="6">
      <w:start w:val="1"/>
      <w:numFmt w:val="decimal"/>
      <w:lvlText w:val="%1.%2.%3.%4.%5.%6.%7"/>
      <w:lvlJc w:val="left"/>
      <w:pPr>
        <w:tabs>
          <w:tab w:val="num" w:pos="1440"/>
        </w:tabs>
      </w:pPr>
      <w:rPr>
        <w:rFonts w:cs="Times New Roman" w:hint="default"/>
      </w:rPr>
    </w:lvl>
    <w:lvl w:ilvl="7">
      <w:start w:val="1"/>
      <w:numFmt w:val="decimal"/>
      <w:lvlText w:val="%1.%2.%3.%4.%5.%6.%7.%8"/>
      <w:lvlJc w:val="left"/>
      <w:pPr>
        <w:tabs>
          <w:tab w:val="num" w:pos="1800"/>
        </w:tabs>
      </w:pPr>
      <w:rPr>
        <w:rFonts w:cs="Times New Roman" w:hint="default"/>
      </w:rPr>
    </w:lvl>
    <w:lvl w:ilvl="8">
      <w:start w:val="1"/>
      <w:numFmt w:val="decimal"/>
      <w:lvlText w:val="%1.%2.%3.%4.%5.%6.%7.%8.%9"/>
      <w:lvlJc w:val="left"/>
      <w:pPr>
        <w:tabs>
          <w:tab w:val="num" w:pos="1800"/>
        </w:tabs>
      </w:pPr>
      <w:rPr>
        <w:rFonts w:cs="Times New Roman" w:hint="default"/>
      </w:rPr>
    </w:lvl>
  </w:abstractNum>
  <w:abstractNum w:abstractNumId="100" w15:restartNumberingAfterBreak="0">
    <w:nsid w:val="2DEF5765"/>
    <w:multiLevelType w:val="hybridMultilevel"/>
    <w:tmpl w:val="8F2619A2"/>
    <w:lvl w:ilvl="0" w:tplc="FFFFFFFF">
      <w:start w:val="5"/>
      <w:numFmt w:val="bullet"/>
      <w:lvlText w:val="–"/>
      <w:lvlJc w:val="left"/>
      <w:pPr>
        <w:ind w:left="720" w:hanging="360"/>
      </w:pPr>
      <w:rPr>
        <w:rFonts w:ascii="Times New Roman" w:eastAsia="Times New Roman" w:hAnsi="Times New Roman" w:hint="default"/>
      </w:rPr>
    </w:lvl>
    <w:lvl w:ilvl="1" w:tplc="FFFFFFFF">
      <w:start w:val="5"/>
      <w:numFmt w:val="bullet"/>
      <w:lvlText w:val="–"/>
      <w:lvlJc w:val="left"/>
      <w:pPr>
        <w:ind w:left="1440" w:hanging="360"/>
      </w:pPr>
      <w:rPr>
        <w:rFonts w:ascii="Times New Roman" w:eastAsia="Times New Roman" w:hAnsi="Times New Roman"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1" w15:restartNumberingAfterBreak="0">
    <w:nsid w:val="2DFB34A7"/>
    <w:multiLevelType w:val="hybridMultilevel"/>
    <w:tmpl w:val="9EC2084E"/>
    <w:lvl w:ilvl="0" w:tplc="04090017">
      <w:start w:val="1"/>
      <w:numFmt w:val="lowerLetter"/>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02" w15:restartNumberingAfterBreak="0">
    <w:nsid w:val="2ED155B3"/>
    <w:multiLevelType w:val="hybridMultilevel"/>
    <w:tmpl w:val="F3FA7ACA"/>
    <w:lvl w:ilvl="0" w:tplc="D6BA41A8">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03" w15:restartNumberingAfterBreak="0">
    <w:nsid w:val="2EE01418"/>
    <w:multiLevelType w:val="hybridMultilevel"/>
    <w:tmpl w:val="F886CDA0"/>
    <w:lvl w:ilvl="0" w:tplc="016011D4">
      <w:start w:val="2"/>
      <w:numFmt w:val="bullet"/>
      <w:lvlText w:val="–"/>
      <w:lvlJc w:val="left"/>
      <w:pPr>
        <w:ind w:left="720" w:hanging="360"/>
      </w:pPr>
      <w:rPr>
        <w:rFonts w:ascii="Calibri" w:eastAsia="Times New Roman" w:hAnsi="Calibri" w:hint="default"/>
      </w:rPr>
    </w:lvl>
    <w:lvl w:ilvl="1" w:tplc="016011D4">
      <w:start w:val="2"/>
      <w:numFmt w:val="bullet"/>
      <w:lvlText w:val="–"/>
      <w:lvlJc w:val="left"/>
      <w:pPr>
        <w:ind w:left="1440" w:hanging="360"/>
      </w:pPr>
      <w:rPr>
        <w:rFonts w:ascii="Calibri" w:eastAsia="Times New Roman" w:hAnsi="Calibri"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4" w15:restartNumberingAfterBreak="0">
    <w:nsid w:val="2EEF501B"/>
    <w:multiLevelType w:val="hybridMultilevel"/>
    <w:tmpl w:val="2A04565C"/>
    <w:lvl w:ilvl="0" w:tplc="529C7C2E">
      <w:numFmt w:val="bullet"/>
      <w:lvlText w:val="–"/>
      <w:lvlJc w:val="left"/>
      <w:pPr>
        <w:ind w:left="618" w:hanging="360"/>
      </w:pPr>
      <w:rPr>
        <w:rFonts w:ascii="Cambria" w:eastAsiaTheme="minorEastAsia" w:hAnsi="Cambria" w:hint="default"/>
      </w:rPr>
    </w:lvl>
    <w:lvl w:ilvl="1" w:tplc="0D164FE0">
      <w:start w:val="1"/>
      <w:numFmt w:val="bullet"/>
      <w:lvlText w:val="–"/>
      <w:lvlJc w:val="left"/>
      <w:pPr>
        <w:ind w:left="1440" w:hanging="360"/>
      </w:pPr>
      <w:rPr>
        <w:rFonts w:ascii="Cambria" w:hAnsi="Cambria" w:hint="default"/>
      </w:rPr>
    </w:lvl>
    <w:lvl w:ilvl="2" w:tplc="08090005" w:tentative="1">
      <w:start w:val="1"/>
      <w:numFmt w:val="bullet"/>
      <w:lvlText w:val=""/>
      <w:lvlJc w:val="left"/>
      <w:pPr>
        <w:ind w:left="2058" w:hanging="360"/>
      </w:pPr>
      <w:rPr>
        <w:rFonts w:ascii="Wingdings" w:hAnsi="Wingdings" w:hint="default"/>
      </w:rPr>
    </w:lvl>
    <w:lvl w:ilvl="3" w:tplc="08090001" w:tentative="1">
      <w:start w:val="1"/>
      <w:numFmt w:val="bullet"/>
      <w:lvlText w:val=""/>
      <w:lvlJc w:val="left"/>
      <w:pPr>
        <w:ind w:left="2778" w:hanging="360"/>
      </w:pPr>
      <w:rPr>
        <w:rFonts w:ascii="Symbol" w:hAnsi="Symbol" w:hint="default"/>
      </w:rPr>
    </w:lvl>
    <w:lvl w:ilvl="4" w:tplc="08090003" w:tentative="1">
      <w:start w:val="1"/>
      <w:numFmt w:val="bullet"/>
      <w:lvlText w:val="o"/>
      <w:lvlJc w:val="left"/>
      <w:pPr>
        <w:ind w:left="3498" w:hanging="360"/>
      </w:pPr>
      <w:rPr>
        <w:rFonts w:ascii="Courier New" w:hAnsi="Courier New" w:cs="Courier New" w:hint="default"/>
      </w:rPr>
    </w:lvl>
    <w:lvl w:ilvl="5" w:tplc="08090005" w:tentative="1">
      <w:start w:val="1"/>
      <w:numFmt w:val="bullet"/>
      <w:lvlText w:val=""/>
      <w:lvlJc w:val="left"/>
      <w:pPr>
        <w:ind w:left="4218" w:hanging="360"/>
      </w:pPr>
      <w:rPr>
        <w:rFonts w:ascii="Wingdings" w:hAnsi="Wingdings" w:hint="default"/>
      </w:rPr>
    </w:lvl>
    <w:lvl w:ilvl="6" w:tplc="08090001" w:tentative="1">
      <w:start w:val="1"/>
      <w:numFmt w:val="bullet"/>
      <w:lvlText w:val=""/>
      <w:lvlJc w:val="left"/>
      <w:pPr>
        <w:ind w:left="4938" w:hanging="360"/>
      </w:pPr>
      <w:rPr>
        <w:rFonts w:ascii="Symbol" w:hAnsi="Symbol" w:hint="default"/>
      </w:rPr>
    </w:lvl>
    <w:lvl w:ilvl="7" w:tplc="08090003" w:tentative="1">
      <w:start w:val="1"/>
      <w:numFmt w:val="bullet"/>
      <w:lvlText w:val="o"/>
      <w:lvlJc w:val="left"/>
      <w:pPr>
        <w:ind w:left="5658" w:hanging="360"/>
      </w:pPr>
      <w:rPr>
        <w:rFonts w:ascii="Courier New" w:hAnsi="Courier New" w:cs="Courier New" w:hint="default"/>
      </w:rPr>
    </w:lvl>
    <w:lvl w:ilvl="8" w:tplc="08090005" w:tentative="1">
      <w:start w:val="1"/>
      <w:numFmt w:val="bullet"/>
      <w:lvlText w:val=""/>
      <w:lvlJc w:val="left"/>
      <w:pPr>
        <w:ind w:left="6378" w:hanging="360"/>
      </w:pPr>
      <w:rPr>
        <w:rFonts w:ascii="Wingdings" w:hAnsi="Wingdings" w:hint="default"/>
      </w:rPr>
    </w:lvl>
  </w:abstractNum>
  <w:abstractNum w:abstractNumId="105" w15:restartNumberingAfterBreak="0">
    <w:nsid w:val="2F63278F"/>
    <w:multiLevelType w:val="multilevel"/>
    <w:tmpl w:val="53902B66"/>
    <w:lvl w:ilvl="0">
      <w:start w:val="4"/>
      <w:numFmt w:val="decimal"/>
      <w:suff w:val="nothing"/>
      <w:lvlText w:val="%1"/>
      <w:lvlJc w:val="left"/>
      <w:pPr>
        <w:ind w:left="360" w:hanging="360"/>
      </w:pPr>
      <w:rPr>
        <w:rFonts w:ascii="Times New Roman" w:hAnsi="Times New Roman" w:cs="Times New Roman" w:hint="default"/>
        <w:vanish/>
        <w:color w:val="FFFFFF"/>
      </w:rPr>
    </w:lvl>
    <w:lvl w:ilvl="1">
      <w:start w:val="1"/>
      <w:numFmt w:val="decimal"/>
      <w:lvlText w:val="%1.%2"/>
      <w:lvlJc w:val="left"/>
      <w:pPr>
        <w:tabs>
          <w:tab w:val="num" w:pos="1020"/>
        </w:tabs>
      </w:pPr>
      <w:rPr>
        <w:rFonts w:cs="Times New Roman"/>
      </w:rPr>
    </w:lvl>
    <w:lvl w:ilvl="2">
      <w:start w:val="1"/>
      <w:numFmt w:val="decimal"/>
      <w:lvlText w:val="%1.%2.%3"/>
      <w:lvlJc w:val="left"/>
      <w:pPr>
        <w:tabs>
          <w:tab w:val="num" w:pos="720"/>
        </w:tabs>
        <w:ind w:left="1224" w:hanging="1224"/>
      </w:pPr>
      <w:rPr>
        <w:rFonts w:cs="Times New Roman"/>
      </w:rPr>
    </w:lvl>
    <w:lvl w:ilvl="3">
      <w:start w:val="1"/>
      <w:numFmt w:val="decimal"/>
      <w:lvlText w:val="%1.%2.%3.%4"/>
      <w:lvlJc w:val="left"/>
      <w:pPr>
        <w:tabs>
          <w:tab w:val="num" w:pos="720"/>
        </w:tabs>
        <w:ind w:left="1728" w:hanging="1728"/>
      </w:pPr>
      <w:rPr>
        <w:rFonts w:cs="Times New Roman"/>
      </w:rPr>
    </w:lvl>
    <w:lvl w:ilvl="4">
      <w:start w:val="1"/>
      <w:numFmt w:val="decimal"/>
      <w:lvlText w:val="%1.%2.%3.%4.%5"/>
      <w:lvlJc w:val="left"/>
      <w:pPr>
        <w:tabs>
          <w:tab w:val="num" w:pos="862"/>
        </w:tabs>
        <w:ind w:left="2374" w:hanging="2232"/>
      </w:pPr>
      <w:rPr>
        <w:rFonts w:cs="Times New Roman"/>
      </w:rPr>
    </w:lvl>
    <w:lvl w:ilvl="5">
      <w:start w:val="1"/>
      <w:numFmt w:val="decimal"/>
      <w:lvlText w:val="%1.%2.%3.%4.%5.%6"/>
      <w:lvlJc w:val="left"/>
      <w:pPr>
        <w:tabs>
          <w:tab w:val="num" w:pos="1080"/>
        </w:tabs>
      </w:pPr>
      <w:rPr>
        <w:rFonts w:cs="Times New Roman"/>
      </w:rPr>
    </w:lvl>
    <w:lvl w:ilvl="6">
      <w:start w:val="1"/>
      <w:numFmt w:val="decimal"/>
      <w:lvlText w:val="%1.%2.%3.%4.%5.%6.%7"/>
      <w:lvlJc w:val="left"/>
      <w:pPr>
        <w:tabs>
          <w:tab w:val="num" w:pos="1080"/>
        </w:tabs>
        <w:ind w:left="3240" w:hanging="3240"/>
      </w:pPr>
      <w:rPr>
        <w:rFonts w:cs="Times New Roman"/>
      </w:rPr>
    </w:lvl>
    <w:lvl w:ilvl="7">
      <w:start w:val="1"/>
      <w:numFmt w:val="decimal"/>
      <w:lvlText w:val="%1.%2.%3.%4.%5.%6.%7.%8"/>
      <w:lvlJc w:val="left"/>
      <w:pPr>
        <w:tabs>
          <w:tab w:val="num" w:pos="3960"/>
        </w:tabs>
        <w:ind w:left="3744" w:hanging="3744"/>
      </w:pPr>
      <w:rPr>
        <w:rFonts w:cs="Times New Roman"/>
      </w:rPr>
    </w:lvl>
    <w:lvl w:ilvl="8">
      <w:start w:val="1"/>
      <w:numFmt w:val="decimal"/>
      <w:lvlText w:val="%1.%2.%3.%4.%5.%6.%7.%8.%9"/>
      <w:lvlJc w:val="left"/>
      <w:pPr>
        <w:tabs>
          <w:tab w:val="num" w:pos="4680"/>
        </w:tabs>
        <w:ind w:left="4320" w:hanging="4320"/>
      </w:pPr>
      <w:rPr>
        <w:rFonts w:cs="Times New Roman"/>
      </w:rPr>
    </w:lvl>
  </w:abstractNum>
  <w:abstractNum w:abstractNumId="106" w15:restartNumberingAfterBreak="0">
    <w:nsid w:val="301D7237"/>
    <w:multiLevelType w:val="multilevel"/>
    <w:tmpl w:val="3A82E334"/>
    <w:styleLink w:val="3DEquation"/>
    <w:lvl w:ilvl="0">
      <w:start w:val="1"/>
      <w:numFmt w:val="none"/>
      <w:pStyle w:val="3E0"/>
      <w:suff w:val="nothing"/>
      <w:lvlText w:val="%1"/>
      <w:lvlJc w:val="left"/>
      <w:rPr>
        <w:rFonts w:cs="Times New Roman"/>
      </w:rPr>
    </w:lvl>
    <w:lvl w:ilvl="1">
      <w:start w:val="1"/>
      <w:numFmt w:val="none"/>
      <w:pStyle w:val="3E1"/>
      <w:suff w:val="nothing"/>
      <w:lvlText w:val=""/>
      <w:lvlJc w:val="left"/>
      <w:pPr>
        <w:ind w:left="357"/>
      </w:pPr>
      <w:rPr>
        <w:rFonts w:cs="Times New Roman"/>
      </w:rPr>
    </w:lvl>
    <w:lvl w:ilvl="2">
      <w:start w:val="1"/>
      <w:numFmt w:val="none"/>
      <w:pStyle w:val="3E2"/>
      <w:suff w:val="nothing"/>
      <w:lvlText w:val=""/>
      <w:lvlJc w:val="left"/>
      <w:pPr>
        <w:ind w:left="714"/>
      </w:pPr>
      <w:rPr>
        <w:rFonts w:cs="Times New Roman"/>
      </w:rPr>
    </w:lvl>
    <w:lvl w:ilvl="3">
      <w:start w:val="1"/>
      <w:numFmt w:val="none"/>
      <w:pStyle w:val="3E3"/>
      <w:suff w:val="nothing"/>
      <w:lvlText w:val=""/>
      <w:lvlJc w:val="left"/>
      <w:pPr>
        <w:ind w:left="1071"/>
      </w:pPr>
      <w:rPr>
        <w:rFonts w:cs="Times New Roman"/>
      </w:rPr>
    </w:lvl>
    <w:lvl w:ilvl="4">
      <w:start w:val="1"/>
      <w:numFmt w:val="none"/>
      <w:pStyle w:val="3E4"/>
      <w:suff w:val="nothing"/>
      <w:lvlText w:val=""/>
      <w:lvlJc w:val="left"/>
      <w:pPr>
        <w:ind w:left="1428"/>
      </w:pPr>
      <w:rPr>
        <w:rFonts w:cs="Times New Roman"/>
      </w:rPr>
    </w:lvl>
    <w:lvl w:ilvl="5">
      <w:start w:val="1"/>
      <w:numFmt w:val="none"/>
      <w:pStyle w:val="3E5"/>
      <w:suff w:val="nothing"/>
      <w:lvlText w:val=""/>
      <w:lvlJc w:val="left"/>
      <w:pPr>
        <w:ind w:left="1785"/>
      </w:pPr>
      <w:rPr>
        <w:rFonts w:cs="Times New Roman"/>
      </w:rPr>
    </w:lvl>
    <w:lvl w:ilvl="6">
      <w:start w:val="1"/>
      <w:numFmt w:val="none"/>
      <w:pStyle w:val="3E6"/>
      <w:suff w:val="nothing"/>
      <w:lvlText w:val=""/>
      <w:lvlJc w:val="left"/>
      <w:pPr>
        <w:ind w:left="2142"/>
      </w:pPr>
      <w:rPr>
        <w:rFonts w:cs="Times New Roman"/>
      </w:rPr>
    </w:lvl>
    <w:lvl w:ilvl="7">
      <w:start w:val="1"/>
      <w:numFmt w:val="none"/>
      <w:pStyle w:val="3E7"/>
      <w:suff w:val="nothing"/>
      <w:lvlText w:val=""/>
      <w:lvlJc w:val="left"/>
      <w:pPr>
        <w:ind w:left="2499"/>
      </w:pPr>
      <w:rPr>
        <w:rFonts w:cs="Times New Roman"/>
      </w:rPr>
    </w:lvl>
    <w:lvl w:ilvl="8">
      <w:start w:val="1"/>
      <w:numFmt w:val="none"/>
      <w:pStyle w:val="3E8"/>
      <w:suff w:val="nothing"/>
      <w:lvlText w:val=""/>
      <w:lvlJc w:val="left"/>
      <w:pPr>
        <w:ind w:left="2856"/>
      </w:pPr>
      <w:rPr>
        <w:rFonts w:cs="Times New Roman"/>
      </w:rPr>
    </w:lvl>
  </w:abstractNum>
  <w:abstractNum w:abstractNumId="107" w15:restartNumberingAfterBreak="0">
    <w:nsid w:val="30CE1AFC"/>
    <w:multiLevelType w:val="hybridMultilevel"/>
    <w:tmpl w:val="276E014A"/>
    <w:lvl w:ilvl="0" w:tplc="FFFFFFFF">
      <w:start w:val="1"/>
      <w:numFmt w:val="decimal"/>
      <w:lvlText w:val="%1."/>
      <w:lvlJc w:val="left"/>
      <w:pPr>
        <w:tabs>
          <w:tab w:val="num" w:pos="760"/>
        </w:tabs>
        <w:ind w:left="760" w:hanging="360"/>
      </w:pPr>
      <w:rPr>
        <w:rFonts w:cs="Times New Roman"/>
      </w:rPr>
    </w:lvl>
    <w:lvl w:ilvl="1" w:tplc="FFFFFFFF">
      <w:start w:val="1"/>
      <w:numFmt w:val="decimal"/>
      <w:lvlText w:val="%2."/>
      <w:lvlJc w:val="left"/>
      <w:pPr>
        <w:tabs>
          <w:tab w:val="num" w:pos="1440"/>
        </w:tabs>
        <w:ind w:left="1440" w:hanging="360"/>
      </w:pPr>
      <w:rPr>
        <w:rFonts w:cs="Times New Roman"/>
      </w:rPr>
    </w:lvl>
    <w:lvl w:ilvl="2" w:tplc="08090005">
      <w:start w:val="1"/>
      <w:numFmt w:val="decimal"/>
      <w:lvlText w:val="%3."/>
      <w:lvlJc w:val="left"/>
      <w:pPr>
        <w:tabs>
          <w:tab w:val="num" w:pos="2160"/>
        </w:tabs>
        <w:ind w:left="2160" w:hanging="360"/>
      </w:pPr>
      <w:rPr>
        <w:rFonts w:cs="Times New Roman"/>
      </w:rPr>
    </w:lvl>
    <w:lvl w:ilvl="3" w:tplc="08090001">
      <w:start w:val="1"/>
      <w:numFmt w:val="decimal"/>
      <w:lvlText w:val="%4."/>
      <w:lvlJc w:val="left"/>
      <w:pPr>
        <w:tabs>
          <w:tab w:val="num" w:pos="2880"/>
        </w:tabs>
        <w:ind w:left="2880" w:hanging="360"/>
      </w:pPr>
      <w:rPr>
        <w:rFonts w:cs="Times New Roman"/>
      </w:rPr>
    </w:lvl>
    <w:lvl w:ilvl="4" w:tplc="08090003">
      <w:start w:val="1"/>
      <w:numFmt w:val="decimal"/>
      <w:lvlText w:val="%5."/>
      <w:lvlJc w:val="left"/>
      <w:pPr>
        <w:tabs>
          <w:tab w:val="num" w:pos="3600"/>
        </w:tabs>
        <w:ind w:left="3600" w:hanging="360"/>
      </w:pPr>
      <w:rPr>
        <w:rFonts w:cs="Times New Roman"/>
      </w:rPr>
    </w:lvl>
    <w:lvl w:ilvl="5" w:tplc="08090005">
      <w:start w:val="1"/>
      <w:numFmt w:val="decimal"/>
      <w:lvlText w:val="%6."/>
      <w:lvlJc w:val="left"/>
      <w:pPr>
        <w:tabs>
          <w:tab w:val="num" w:pos="4320"/>
        </w:tabs>
        <w:ind w:left="4320" w:hanging="360"/>
      </w:pPr>
      <w:rPr>
        <w:rFonts w:cs="Times New Roman"/>
      </w:rPr>
    </w:lvl>
    <w:lvl w:ilvl="6" w:tplc="08090001">
      <w:start w:val="1"/>
      <w:numFmt w:val="decimal"/>
      <w:lvlText w:val="%7."/>
      <w:lvlJc w:val="left"/>
      <w:pPr>
        <w:tabs>
          <w:tab w:val="num" w:pos="5040"/>
        </w:tabs>
        <w:ind w:left="5040" w:hanging="360"/>
      </w:pPr>
      <w:rPr>
        <w:rFonts w:cs="Times New Roman"/>
      </w:rPr>
    </w:lvl>
    <w:lvl w:ilvl="7" w:tplc="08090003">
      <w:start w:val="1"/>
      <w:numFmt w:val="decimal"/>
      <w:lvlText w:val="%8."/>
      <w:lvlJc w:val="left"/>
      <w:pPr>
        <w:tabs>
          <w:tab w:val="num" w:pos="5760"/>
        </w:tabs>
        <w:ind w:left="5760" w:hanging="360"/>
      </w:pPr>
      <w:rPr>
        <w:rFonts w:cs="Times New Roman"/>
      </w:rPr>
    </w:lvl>
    <w:lvl w:ilvl="8" w:tplc="08090005">
      <w:start w:val="1"/>
      <w:numFmt w:val="decimal"/>
      <w:lvlText w:val="%9."/>
      <w:lvlJc w:val="left"/>
      <w:pPr>
        <w:tabs>
          <w:tab w:val="num" w:pos="6480"/>
        </w:tabs>
        <w:ind w:left="6480" w:hanging="360"/>
      </w:pPr>
      <w:rPr>
        <w:rFonts w:cs="Times New Roman"/>
      </w:rPr>
    </w:lvl>
  </w:abstractNum>
  <w:abstractNum w:abstractNumId="108" w15:restartNumberingAfterBreak="0">
    <w:nsid w:val="33964CDC"/>
    <w:multiLevelType w:val="hybridMultilevel"/>
    <w:tmpl w:val="D3804F4A"/>
    <w:lvl w:ilvl="0" w:tplc="FFFFFFFF">
      <w:start w:val="5"/>
      <w:numFmt w:val="bullet"/>
      <w:lvlText w:val="–"/>
      <w:lvlJc w:val="left"/>
      <w:pPr>
        <w:ind w:left="720" w:hanging="360"/>
      </w:pPr>
      <w:rPr>
        <w:rFonts w:ascii="Times New Roman" w:eastAsia="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9" w15:restartNumberingAfterBreak="0">
    <w:nsid w:val="33A624CB"/>
    <w:multiLevelType w:val="hybridMultilevel"/>
    <w:tmpl w:val="7BF264E4"/>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10" w15:restartNumberingAfterBreak="0">
    <w:nsid w:val="33AC7EB8"/>
    <w:multiLevelType w:val="multilevel"/>
    <w:tmpl w:val="14DA6A50"/>
    <w:lvl w:ilvl="0">
      <w:start w:val="1"/>
      <w:numFmt w:val="decimal"/>
      <w:pStyle w:val="Heading1"/>
      <w:suff w:val="space"/>
      <w:lvlText w:val="%1"/>
      <w:lvlJc w:val="left"/>
      <w:pPr>
        <w:ind w:left="432" w:hanging="432"/>
      </w:pPr>
      <w:rPr>
        <w:rFonts w:cs="Times New Roman" w:hint="default"/>
        <w:b/>
        <w:i w:val="0"/>
      </w:rPr>
    </w:lvl>
    <w:lvl w:ilvl="1">
      <w:start w:val="1"/>
      <w:numFmt w:val="decimal"/>
      <w:pStyle w:val="Heading2"/>
      <w:suff w:val="space"/>
      <w:lvlText w:val="%1.%2"/>
      <w:lvlJc w:val="left"/>
      <w:pPr>
        <w:ind w:left="0" w:firstLine="0"/>
      </w:pPr>
      <w:rPr>
        <w:rFonts w:cs="Times New Roman" w:hint="default"/>
        <w:b/>
        <w:i w:val="0"/>
      </w:rPr>
    </w:lvl>
    <w:lvl w:ilvl="2">
      <w:start w:val="1"/>
      <w:numFmt w:val="decimal"/>
      <w:pStyle w:val="Heading3"/>
      <w:suff w:val="space"/>
      <w:lvlText w:val="%1.%2.%3"/>
      <w:lvlJc w:val="left"/>
      <w:pPr>
        <w:ind w:left="0" w:firstLine="0"/>
      </w:pPr>
      <w:rPr>
        <w:rFonts w:cs="Times New Roman" w:hint="default"/>
        <w:b/>
        <w:bCs w:val="0"/>
        <w:i w:val="0"/>
        <w:iCs w:val="0"/>
        <w:caps w:val="0"/>
        <w:smallCaps w:val="0"/>
        <w:strike w:val="0"/>
        <w:dstrike w:val="0"/>
        <w:vanish w:val="0"/>
        <w:color w:val="000000"/>
        <w:spacing w:val="0"/>
        <w:kern w:val="0"/>
        <w:position w:val="0"/>
        <w:u w:val="none"/>
        <w:effect w:val="none"/>
        <w:vertAlign w:val="baseline"/>
      </w:rPr>
    </w:lvl>
    <w:lvl w:ilvl="3">
      <w:start w:val="1"/>
      <w:numFmt w:val="decimal"/>
      <w:pStyle w:val="Heading4"/>
      <w:suff w:val="space"/>
      <w:lvlText w:val="%1.%2.%3.%4"/>
      <w:lvlJc w:val="left"/>
      <w:pPr>
        <w:ind w:left="0" w:firstLine="0"/>
      </w:pPr>
      <w:rPr>
        <w:rFonts w:cs="Times New Roman" w:hint="default"/>
        <w:b/>
        <w:i w:val="0"/>
      </w:rPr>
    </w:lvl>
    <w:lvl w:ilvl="4">
      <w:start w:val="1"/>
      <w:numFmt w:val="decimal"/>
      <w:pStyle w:val="Heading5"/>
      <w:suff w:val="space"/>
      <w:lvlText w:val="%1.%2.%3.%4.%5"/>
      <w:lvlJc w:val="left"/>
      <w:pPr>
        <w:ind w:left="0" w:firstLine="0"/>
      </w:pPr>
      <w:rPr>
        <w:rFonts w:cs="Times New Roman" w:hint="default"/>
        <w:b/>
        <w:i w:val="0"/>
      </w:rPr>
    </w:lvl>
    <w:lvl w:ilvl="5">
      <w:start w:val="1"/>
      <w:numFmt w:val="decimal"/>
      <w:pStyle w:val="Heading6"/>
      <w:suff w:val="space"/>
      <w:lvlText w:val="%1.%2.%3.%4.%5.%6"/>
      <w:lvlJc w:val="left"/>
      <w:pPr>
        <w:ind w:left="0" w:firstLine="0"/>
      </w:pPr>
      <w:rPr>
        <w:rFonts w:cs="Times New Roman" w:hint="default"/>
        <w:b/>
        <w:i w:val="0"/>
      </w:rPr>
    </w:lvl>
    <w:lvl w:ilvl="6">
      <w:start w:val="1"/>
      <w:numFmt w:val="decimal"/>
      <w:suff w:val="space"/>
      <w:lvlText w:val="%1.%2.%3.%4.%5.%6.%7"/>
      <w:lvlJc w:val="left"/>
      <w:pPr>
        <w:ind w:left="0" w:firstLine="0"/>
      </w:pPr>
      <w:rPr>
        <w:rFonts w:cs="Times New Roman" w:hint="default"/>
      </w:rPr>
    </w:lvl>
    <w:lvl w:ilvl="7">
      <w:start w:val="1"/>
      <w:numFmt w:val="decimal"/>
      <w:suff w:val="space"/>
      <w:lvlText w:val="%1.%2.%3.%4.%5.%6.%7.%8"/>
      <w:lvlJc w:val="left"/>
      <w:pPr>
        <w:ind w:left="0" w:firstLine="0"/>
      </w:pPr>
      <w:rPr>
        <w:rFonts w:cs="Times New Roman" w:hint="default"/>
      </w:rPr>
    </w:lvl>
    <w:lvl w:ilvl="8">
      <w:start w:val="1"/>
      <w:numFmt w:val="decimal"/>
      <w:suff w:val="space"/>
      <w:lvlText w:val="%1.%2.%3.%4.%5.%6.%7.%8.%9"/>
      <w:lvlJc w:val="left"/>
      <w:pPr>
        <w:ind w:left="0" w:firstLine="0"/>
      </w:pPr>
      <w:rPr>
        <w:rFonts w:cs="Times New Roman" w:hint="default"/>
      </w:rPr>
    </w:lvl>
  </w:abstractNum>
  <w:abstractNum w:abstractNumId="111" w15:restartNumberingAfterBreak="0">
    <w:nsid w:val="34525F09"/>
    <w:multiLevelType w:val="hybridMultilevel"/>
    <w:tmpl w:val="51BABBB0"/>
    <w:lvl w:ilvl="0" w:tplc="1C729998">
      <w:numFmt w:val="bullet"/>
      <w:lvlText w:val="–"/>
      <w:lvlJc w:val="left"/>
      <w:pPr>
        <w:ind w:left="1435" w:hanging="715"/>
      </w:pPr>
      <w:rPr>
        <w:rFonts w:ascii="Cambria" w:eastAsiaTheme="minorEastAsia" w:hAnsi="Cambria" w:hint="default"/>
      </w:rPr>
    </w:lvl>
    <w:lvl w:ilvl="1" w:tplc="529C7C2E">
      <w:numFmt w:val="bullet"/>
      <w:lvlText w:val="–"/>
      <w:lvlJc w:val="left"/>
      <w:pPr>
        <w:ind w:left="1800" w:hanging="360"/>
      </w:pPr>
      <w:rPr>
        <w:rFonts w:ascii="Cambria" w:eastAsiaTheme="minorEastAsia" w:hAnsi="Cambria"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112" w15:restartNumberingAfterBreak="0">
    <w:nsid w:val="34DB6993"/>
    <w:multiLevelType w:val="hybridMultilevel"/>
    <w:tmpl w:val="E55A49FE"/>
    <w:lvl w:ilvl="0" w:tplc="01D6BD14">
      <w:start w:val="1"/>
      <w:numFmt w:val="bullet"/>
      <w:lvlText w:val="–"/>
      <w:lvlJc w:val="left"/>
      <w:pPr>
        <w:ind w:left="360" w:hanging="360"/>
      </w:pPr>
      <w:rPr>
        <w:rFonts w:ascii="Times New Roman" w:eastAsia="Malgun Gothic" w:hAnsi="Times New Roman"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3" w15:restartNumberingAfterBreak="0">
    <w:nsid w:val="361633CE"/>
    <w:multiLevelType w:val="hybridMultilevel"/>
    <w:tmpl w:val="AD448622"/>
    <w:lvl w:ilvl="0" w:tplc="1409000F">
      <w:start w:val="1"/>
      <w:numFmt w:val="decimal"/>
      <w:lvlText w:val="%1."/>
      <w:lvlJc w:val="left"/>
      <w:pPr>
        <w:ind w:left="720" w:hanging="360"/>
      </w:pPr>
      <w:rPr>
        <w:rFonts w:cs="Times New Roman" w:hint="default"/>
      </w:rPr>
    </w:lvl>
    <w:lvl w:ilvl="1" w:tplc="1409001B">
      <w:start w:val="1"/>
      <w:numFmt w:val="lowerRoman"/>
      <w:lvlText w:val="%2."/>
      <w:lvlJc w:val="right"/>
      <w:pPr>
        <w:ind w:left="1440" w:hanging="360"/>
      </w:pPr>
      <w:rPr>
        <w:rFonts w:cs="Times New Roman"/>
      </w:rPr>
    </w:lvl>
    <w:lvl w:ilvl="2" w:tplc="1409001B" w:tentative="1">
      <w:start w:val="1"/>
      <w:numFmt w:val="lowerRoman"/>
      <w:lvlText w:val="%3."/>
      <w:lvlJc w:val="right"/>
      <w:pPr>
        <w:ind w:left="2160" w:hanging="180"/>
      </w:pPr>
      <w:rPr>
        <w:rFonts w:cs="Times New Roman"/>
      </w:rPr>
    </w:lvl>
    <w:lvl w:ilvl="3" w:tplc="1409000F" w:tentative="1">
      <w:start w:val="1"/>
      <w:numFmt w:val="decimal"/>
      <w:lvlText w:val="%4."/>
      <w:lvlJc w:val="left"/>
      <w:pPr>
        <w:ind w:left="2880" w:hanging="360"/>
      </w:pPr>
      <w:rPr>
        <w:rFonts w:cs="Times New Roman"/>
      </w:rPr>
    </w:lvl>
    <w:lvl w:ilvl="4" w:tplc="14090019" w:tentative="1">
      <w:start w:val="1"/>
      <w:numFmt w:val="lowerLetter"/>
      <w:lvlText w:val="%5."/>
      <w:lvlJc w:val="left"/>
      <w:pPr>
        <w:ind w:left="3600" w:hanging="360"/>
      </w:pPr>
      <w:rPr>
        <w:rFonts w:cs="Times New Roman"/>
      </w:rPr>
    </w:lvl>
    <w:lvl w:ilvl="5" w:tplc="1409001B" w:tentative="1">
      <w:start w:val="1"/>
      <w:numFmt w:val="lowerRoman"/>
      <w:lvlText w:val="%6."/>
      <w:lvlJc w:val="right"/>
      <w:pPr>
        <w:ind w:left="4320" w:hanging="180"/>
      </w:pPr>
      <w:rPr>
        <w:rFonts w:cs="Times New Roman"/>
      </w:rPr>
    </w:lvl>
    <w:lvl w:ilvl="6" w:tplc="1409000F" w:tentative="1">
      <w:start w:val="1"/>
      <w:numFmt w:val="decimal"/>
      <w:lvlText w:val="%7."/>
      <w:lvlJc w:val="left"/>
      <w:pPr>
        <w:ind w:left="5040" w:hanging="360"/>
      </w:pPr>
      <w:rPr>
        <w:rFonts w:cs="Times New Roman"/>
      </w:rPr>
    </w:lvl>
    <w:lvl w:ilvl="7" w:tplc="14090019" w:tentative="1">
      <w:start w:val="1"/>
      <w:numFmt w:val="lowerLetter"/>
      <w:lvlText w:val="%8."/>
      <w:lvlJc w:val="left"/>
      <w:pPr>
        <w:ind w:left="5760" w:hanging="360"/>
      </w:pPr>
      <w:rPr>
        <w:rFonts w:cs="Times New Roman"/>
      </w:rPr>
    </w:lvl>
    <w:lvl w:ilvl="8" w:tplc="1409001B" w:tentative="1">
      <w:start w:val="1"/>
      <w:numFmt w:val="lowerRoman"/>
      <w:lvlText w:val="%9."/>
      <w:lvlJc w:val="right"/>
      <w:pPr>
        <w:ind w:left="6480" w:hanging="180"/>
      </w:pPr>
      <w:rPr>
        <w:rFonts w:cs="Times New Roman"/>
      </w:rPr>
    </w:lvl>
  </w:abstractNum>
  <w:abstractNum w:abstractNumId="114" w15:restartNumberingAfterBreak="0">
    <w:nsid w:val="369B0BB4"/>
    <w:multiLevelType w:val="hybridMultilevel"/>
    <w:tmpl w:val="711A785C"/>
    <w:lvl w:ilvl="0" w:tplc="0809000F">
      <w:start w:val="1"/>
      <w:numFmt w:val="decimal"/>
      <w:lvlText w:val="%1."/>
      <w:lvlJc w:val="left"/>
      <w:pPr>
        <w:ind w:left="1972" w:hanging="360"/>
      </w:pPr>
      <w:rPr>
        <w:rFonts w:cs="Times New Roman"/>
      </w:rPr>
    </w:lvl>
    <w:lvl w:ilvl="1" w:tplc="08090019" w:tentative="1">
      <w:start w:val="1"/>
      <w:numFmt w:val="lowerLetter"/>
      <w:lvlText w:val="%2."/>
      <w:lvlJc w:val="left"/>
      <w:pPr>
        <w:ind w:left="2692" w:hanging="360"/>
      </w:pPr>
      <w:rPr>
        <w:rFonts w:cs="Times New Roman"/>
      </w:rPr>
    </w:lvl>
    <w:lvl w:ilvl="2" w:tplc="0809001B" w:tentative="1">
      <w:start w:val="1"/>
      <w:numFmt w:val="lowerRoman"/>
      <w:lvlText w:val="%3."/>
      <w:lvlJc w:val="right"/>
      <w:pPr>
        <w:ind w:left="3412" w:hanging="180"/>
      </w:pPr>
      <w:rPr>
        <w:rFonts w:cs="Times New Roman"/>
      </w:rPr>
    </w:lvl>
    <w:lvl w:ilvl="3" w:tplc="0809000F" w:tentative="1">
      <w:start w:val="1"/>
      <w:numFmt w:val="decimal"/>
      <w:lvlText w:val="%4."/>
      <w:lvlJc w:val="left"/>
      <w:pPr>
        <w:ind w:left="4132" w:hanging="360"/>
      </w:pPr>
      <w:rPr>
        <w:rFonts w:cs="Times New Roman"/>
      </w:rPr>
    </w:lvl>
    <w:lvl w:ilvl="4" w:tplc="08090019" w:tentative="1">
      <w:start w:val="1"/>
      <w:numFmt w:val="lowerLetter"/>
      <w:lvlText w:val="%5."/>
      <w:lvlJc w:val="left"/>
      <w:pPr>
        <w:ind w:left="4852" w:hanging="360"/>
      </w:pPr>
      <w:rPr>
        <w:rFonts w:cs="Times New Roman"/>
      </w:rPr>
    </w:lvl>
    <w:lvl w:ilvl="5" w:tplc="0809001B" w:tentative="1">
      <w:start w:val="1"/>
      <w:numFmt w:val="lowerRoman"/>
      <w:lvlText w:val="%6."/>
      <w:lvlJc w:val="right"/>
      <w:pPr>
        <w:ind w:left="5572" w:hanging="180"/>
      </w:pPr>
      <w:rPr>
        <w:rFonts w:cs="Times New Roman"/>
      </w:rPr>
    </w:lvl>
    <w:lvl w:ilvl="6" w:tplc="0809000F" w:tentative="1">
      <w:start w:val="1"/>
      <w:numFmt w:val="decimal"/>
      <w:lvlText w:val="%7."/>
      <w:lvlJc w:val="left"/>
      <w:pPr>
        <w:ind w:left="6292" w:hanging="360"/>
      </w:pPr>
      <w:rPr>
        <w:rFonts w:cs="Times New Roman"/>
      </w:rPr>
    </w:lvl>
    <w:lvl w:ilvl="7" w:tplc="08090019" w:tentative="1">
      <w:start w:val="1"/>
      <w:numFmt w:val="lowerLetter"/>
      <w:lvlText w:val="%8."/>
      <w:lvlJc w:val="left"/>
      <w:pPr>
        <w:ind w:left="7012" w:hanging="360"/>
      </w:pPr>
      <w:rPr>
        <w:rFonts w:cs="Times New Roman"/>
      </w:rPr>
    </w:lvl>
    <w:lvl w:ilvl="8" w:tplc="0809001B" w:tentative="1">
      <w:start w:val="1"/>
      <w:numFmt w:val="lowerRoman"/>
      <w:lvlText w:val="%9."/>
      <w:lvlJc w:val="right"/>
      <w:pPr>
        <w:ind w:left="7732" w:hanging="180"/>
      </w:pPr>
      <w:rPr>
        <w:rFonts w:cs="Times New Roman"/>
      </w:rPr>
    </w:lvl>
  </w:abstractNum>
  <w:abstractNum w:abstractNumId="115" w15:restartNumberingAfterBreak="0">
    <w:nsid w:val="37393FC7"/>
    <w:multiLevelType w:val="multilevel"/>
    <w:tmpl w:val="E3BE7A8E"/>
    <w:lvl w:ilvl="0">
      <w:start w:val="1"/>
      <w:numFmt w:val="decimal"/>
      <w:lvlText w:val="%1."/>
      <w:lvlJc w:val="left"/>
      <w:pPr>
        <w:tabs>
          <w:tab w:val="num" w:pos="720"/>
        </w:tabs>
        <w:ind w:left="720" w:hanging="720"/>
      </w:pPr>
      <w:rPr>
        <w:rFonts w:cs="Times New Roman"/>
      </w:rPr>
    </w:lvl>
    <w:lvl w:ilvl="1">
      <w:start w:val="1"/>
      <w:numFmt w:val="decimal"/>
      <w:lvlText w:val="%2."/>
      <w:lvlJc w:val="left"/>
      <w:pPr>
        <w:tabs>
          <w:tab w:val="num" w:pos="1440"/>
        </w:tabs>
        <w:ind w:left="1440" w:hanging="720"/>
      </w:pPr>
      <w:rPr>
        <w:rFonts w:cs="Times New Roman"/>
      </w:rPr>
    </w:lvl>
    <w:lvl w:ilvl="2">
      <w:start w:val="1"/>
      <w:numFmt w:val="decimal"/>
      <w:lvlText w:val="%3."/>
      <w:lvlJc w:val="left"/>
      <w:pPr>
        <w:tabs>
          <w:tab w:val="num" w:pos="2160"/>
        </w:tabs>
        <w:ind w:left="2160" w:hanging="720"/>
      </w:pPr>
      <w:rPr>
        <w:rFonts w:cs="Times New Roman"/>
      </w:rPr>
    </w:lvl>
    <w:lvl w:ilvl="3">
      <w:start w:val="1"/>
      <w:numFmt w:val="decimal"/>
      <w:lvlText w:val="%4."/>
      <w:lvlJc w:val="left"/>
      <w:pPr>
        <w:tabs>
          <w:tab w:val="num" w:pos="2880"/>
        </w:tabs>
        <w:ind w:left="2880" w:hanging="720"/>
      </w:pPr>
      <w:rPr>
        <w:rFonts w:cs="Times New Roman"/>
      </w:rPr>
    </w:lvl>
    <w:lvl w:ilvl="4">
      <w:start w:val="1"/>
      <w:numFmt w:val="decimal"/>
      <w:lvlText w:val="%5."/>
      <w:lvlJc w:val="left"/>
      <w:pPr>
        <w:tabs>
          <w:tab w:val="num" w:pos="3600"/>
        </w:tabs>
        <w:ind w:left="3600" w:hanging="720"/>
      </w:pPr>
      <w:rPr>
        <w:rFonts w:cs="Times New Roman"/>
      </w:rPr>
    </w:lvl>
    <w:lvl w:ilvl="5">
      <w:start w:val="1"/>
      <w:numFmt w:val="decimal"/>
      <w:lvlText w:val="%6."/>
      <w:lvlJc w:val="left"/>
      <w:pPr>
        <w:tabs>
          <w:tab w:val="num" w:pos="4320"/>
        </w:tabs>
        <w:ind w:left="4320" w:hanging="720"/>
      </w:pPr>
      <w:rPr>
        <w:rFonts w:cs="Times New Roman"/>
      </w:rPr>
    </w:lvl>
    <w:lvl w:ilvl="6">
      <w:start w:val="1"/>
      <w:numFmt w:val="decimal"/>
      <w:lvlText w:val="%7."/>
      <w:lvlJc w:val="left"/>
      <w:pPr>
        <w:tabs>
          <w:tab w:val="num" w:pos="5040"/>
        </w:tabs>
        <w:ind w:left="5040" w:hanging="720"/>
      </w:pPr>
      <w:rPr>
        <w:rFonts w:cs="Times New Roman"/>
      </w:rPr>
    </w:lvl>
    <w:lvl w:ilvl="7">
      <w:start w:val="1"/>
      <w:numFmt w:val="decimal"/>
      <w:lvlText w:val="%8."/>
      <w:lvlJc w:val="left"/>
      <w:pPr>
        <w:tabs>
          <w:tab w:val="num" w:pos="5760"/>
        </w:tabs>
        <w:ind w:left="5760" w:hanging="720"/>
      </w:pPr>
      <w:rPr>
        <w:rFonts w:cs="Times New Roman"/>
      </w:rPr>
    </w:lvl>
    <w:lvl w:ilvl="8">
      <w:start w:val="1"/>
      <w:numFmt w:val="decimal"/>
      <w:lvlText w:val="%9."/>
      <w:lvlJc w:val="left"/>
      <w:pPr>
        <w:tabs>
          <w:tab w:val="num" w:pos="6480"/>
        </w:tabs>
        <w:ind w:left="6480" w:hanging="720"/>
      </w:pPr>
      <w:rPr>
        <w:rFonts w:cs="Times New Roman"/>
      </w:rPr>
    </w:lvl>
  </w:abstractNum>
  <w:abstractNum w:abstractNumId="116" w15:restartNumberingAfterBreak="0">
    <w:nsid w:val="373B134E"/>
    <w:multiLevelType w:val="hybridMultilevel"/>
    <w:tmpl w:val="8AEC05DA"/>
    <w:lvl w:ilvl="0" w:tplc="529C7C2E">
      <w:numFmt w:val="bullet"/>
      <w:lvlText w:val="–"/>
      <w:lvlJc w:val="left"/>
      <w:pPr>
        <w:ind w:left="317" w:hanging="360"/>
      </w:pPr>
      <w:rPr>
        <w:rFonts w:ascii="Cambria" w:eastAsiaTheme="minorEastAsia" w:hAnsi="Cambria" w:hint="default"/>
      </w:rPr>
    </w:lvl>
    <w:lvl w:ilvl="1" w:tplc="529C7C2E">
      <w:numFmt w:val="bullet"/>
      <w:lvlText w:val="–"/>
      <w:lvlJc w:val="left"/>
      <w:pPr>
        <w:ind w:left="1037" w:hanging="360"/>
      </w:pPr>
      <w:rPr>
        <w:rFonts w:ascii="Cambria" w:eastAsiaTheme="minorEastAsia" w:hAnsi="Cambria" w:hint="default"/>
      </w:rPr>
    </w:lvl>
    <w:lvl w:ilvl="2" w:tplc="0409000F">
      <w:start w:val="1"/>
      <w:numFmt w:val="decimal"/>
      <w:lvlText w:val="%3."/>
      <w:lvlJc w:val="left"/>
      <w:pPr>
        <w:ind w:left="1563" w:hanging="360"/>
      </w:pPr>
      <w:rPr>
        <w:rFonts w:hint="default"/>
      </w:rPr>
    </w:lvl>
    <w:lvl w:ilvl="3" w:tplc="529C7C2E">
      <w:numFmt w:val="bullet"/>
      <w:lvlText w:val="–"/>
      <w:lvlJc w:val="left"/>
      <w:pPr>
        <w:ind w:left="2477" w:hanging="360"/>
      </w:pPr>
      <w:rPr>
        <w:rFonts w:ascii="Cambria" w:eastAsiaTheme="minorEastAsia" w:hAnsi="Cambria" w:hint="default"/>
      </w:rPr>
    </w:lvl>
    <w:lvl w:ilvl="4" w:tplc="529C7C2E">
      <w:numFmt w:val="bullet"/>
      <w:lvlText w:val="–"/>
      <w:lvlJc w:val="left"/>
      <w:pPr>
        <w:ind w:left="3197" w:hanging="360"/>
      </w:pPr>
      <w:rPr>
        <w:rFonts w:ascii="Cambria" w:eastAsiaTheme="minorEastAsia" w:hAnsi="Cambria" w:hint="default"/>
      </w:rPr>
    </w:lvl>
    <w:lvl w:ilvl="5" w:tplc="0409001B" w:tentative="1">
      <w:start w:val="1"/>
      <w:numFmt w:val="lowerRoman"/>
      <w:lvlText w:val="%6."/>
      <w:lvlJc w:val="right"/>
      <w:pPr>
        <w:ind w:left="3917" w:hanging="180"/>
      </w:pPr>
      <w:rPr>
        <w:rFonts w:cs="Times New Roman"/>
      </w:rPr>
    </w:lvl>
    <w:lvl w:ilvl="6" w:tplc="0409000F" w:tentative="1">
      <w:start w:val="1"/>
      <w:numFmt w:val="decimal"/>
      <w:lvlText w:val="%7."/>
      <w:lvlJc w:val="left"/>
      <w:pPr>
        <w:ind w:left="4637" w:hanging="360"/>
      </w:pPr>
      <w:rPr>
        <w:rFonts w:cs="Times New Roman"/>
      </w:rPr>
    </w:lvl>
    <w:lvl w:ilvl="7" w:tplc="04090019" w:tentative="1">
      <w:start w:val="1"/>
      <w:numFmt w:val="lowerLetter"/>
      <w:lvlText w:val="%8."/>
      <w:lvlJc w:val="left"/>
      <w:pPr>
        <w:ind w:left="5357" w:hanging="360"/>
      </w:pPr>
      <w:rPr>
        <w:rFonts w:cs="Times New Roman"/>
      </w:rPr>
    </w:lvl>
    <w:lvl w:ilvl="8" w:tplc="0409001B" w:tentative="1">
      <w:start w:val="1"/>
      <w:numFmt w:val="lowerRoman"/>
      <w:lvlText w:val="%9."/>
      <w:lvlJc w:val="right"/>
      <w:pPr>
        <w:ind w:left="6077" w:hanging="180"/>
      </w:pPr>
      <w:rPr>
        <w:rFonts w:cs="Times New Roman"/>
      </w:rPr>
    </w:lvl>
  </w:abstractNum>
  <w:abstractNum w:abstractNumId="117" w15:restartNumberingAfterBreak="0">
    <w:nsid w:val="373C2C22"/>
    <w:multiLevelType w:val="multilevel"/>
    <w:tmpl w:val="2A04565C"/>
    <w:lvl w:ilvl="0">
      <w:numFmt w:val="bullet"/>
      <w:lvlText w:val="–"/>
      <w:lvlJc w:val="left"/>
      <w:pPr>
        <w:ind w:left="618" w:hanging="360"/>
      </w:pPr>
      <w:rPr>
        <w:rFonts w:ascii="Cambria" w:eastAsiaTheme="minorEastAsia" w:hAnsi="Cambria" w:hint="default"/>
      </w:rPr>
    </w:lvl>
    <w:lvl w:ilvl="1">
      <w:start w:val="1"/>
      <w:numFmt w:val="bullet"/>
      <w:lvlText w:val="–"/>
      <w:lvlJc w:val="left"/>
      <w:pPr>
        <w:ind w:left="1440" w:hanging="360"/>
      </w:pPr>
      <w:rPr>
        <w:rFonts w:ascii="Cambria" w:hAnsi="Cambria" w:hint="default"/>
      </w:rPr>
    </w:lvl>
    <w:lvl w:ilvl="2">
      <w:start w:val="1"/>
      <w:numFmt w:val="bullet"/>
      <w:lvlText w:val=""/>
      <w:lvlJc w:val="left"/>
      <w:pPr>
        <w:ind w:left="2058" w:hanging="360"/>
      </w:pPr>
      <w:rPr>
        <w:rFonts w:ascii="Wingdings" w:hAnsi="Wingdings" w:hint="default"/>
      </w:rPr>
    </w:lvl>
    <w:lvl w:ilvl="3">
      <w:start w:val="1"/>
      <w:numFmt w:val="bullet"/>
      <w:lvlText w:val=""/>
      <w:lvlJc w:val="left"/>
      <w:pPr>
        <w:ind w:left="2778" w:hanging="360"/>
      </w:pPr>
      <w:rPr>
        <w:rFonts w:ascii="Symbol" w:hAnsi="Symbol" w:hint="default"/>
      </w:rPr>
    </w:lvl>
    <w:lvl w:ilvl="4">
      <w:start w:val="1"/>
      <w:numFmt w:val="bullet"/>
      <w:lvlText w:val="o"/>
      <w:lvlJc w:val="left"/>
      <w:pPr>
        <w:ind w:left="3498" w:hanging="360"/>
      </w:pPr>
      <w:rPr>
        <w:rFonts w:ascii="Courier New" w:hAnsi="Courier New" w:cs="Courier New" w:hint="default"/>
      </w:rPr>
    </w:lvl>
    <w:lvl w:ilvl="5">
      <w:start w:val="1"/>
      <w:numFmt w:val="bullet"/>
      <w:lvlText w:val=""/>
      <w:lvlJc w:val="left"/>
      <w:pPr>
        <w:ind w:left="4218" w:hanging="360"/>
      </w:pPr>
      <w:rPr>
        <w:rFonts w:ascii="Wingdings" w:hAnsi="Wingdings" w:hint="default"/>
      </w:rPr>
    </w:lvl>
    <w:lvl w:ilvl="6">
      <w:start w:val="1"/>
      <w:numFmt w:val="bullet"/>
      <w:lvlText w:val=""/>
      <w:lvlJc w:val="left"/>
      <w:pPr>
        <w:ind w:left="4938" w:hanging="360"/>
      </w:pPr>
      <w:rPr>
        <w:rFonts w:ascii="Symbol" w:hAnsi="Symbol" w:hint="default"/>
      </w:rPr>
    </w:lvl>
    <w:lvl w:ilvl="7">
      <w:start w:val="1"/>
      <w:numFmt w:val="bullet"/>
      <w:lvlText w:val="o"/>
      <w:lvlJc w:val="left"/>
      <w:pPr>
        <w:ind w:left="5658" w:hanging="360"/>
      </w:pPr>
      <w:rPr>
        <w:rFonts w:ascii="Courier New" w:hAnsi="Courier New" w:cs="Courier New" w:hint="default"/>
      </w:rPr>
    </w:lvl>
    <w:lvl w:ilvl="8">
      <w:start w:val="1"/>
      <w:numFmt w:val="bullet"/>
      <w:lvlText w:val=""/>
      <w:lvlJc w:val="left"/>
      <w:pPr>
        <w:ind w:left="6378" w:hanging="360"/>
      </w:pPr>
      <w:rPr>
        <w:rFonts w:ascii="Wingdings" w:hAnsi="Wingdings" w:hint="default"/>
      </w:rPr>
    </w:lvl>
  </w:abstractNum>
  <w:abstractNum w:abstractNumId="118" w15:restartNumberingAfterBreak="0">
    <w:nsid w:val="3764406F"/>
    <w:multiLevelType w:val="hybridMultilevel"/>
    <w:tmpl w:val="6A64ED52"/>
    <w:lvl w:ilvl="0" w:tplc="0409000F">
      <w:start w:val="1"/>
      <w:numFmt w:val="decimal"/>
      <w:lvlText w:val="%1."/>
      <w:lvlJc w:val="left"/>
      <w:pPr>
        <w:ind w:left="720" w:hanging="360"/>
      </w:pPr>
      <w:rPr>
        <w:rFonts w:cs="Times New Roman"/>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19" w15:restartNumberingAfterBreak="0">
    <w:nsid w:val="37950781"/>
    <w:multiLevelType w:val="multilevel"/>
    <w:tmpl w:val="B9E8846E"/>
    <w:lvl w:ilvl="0">
      <w:start w:val="1"/>
      <w:numFmt w:val="decimal"/>
      <w:lvlText w:val="%1"/>
      <w:lvlJc w:val="left"/>
      <w:pPr>
        <w:ind w:left="432" w:hanging="432"/>
      </w:pPr>
      <w:rPr>
        <w:rFonts w:cs="Times New Roman" w:hint="default"/>
        <w:b/>
        <w:i w:val="0"/>
      </w:rPr>
    </w:lvl>
    <w:lvl w:ilvl="1">
      <w:start w:val="1"/>
      <w:numFmt w:val="decimal"/>
      <w:lvlText w:val="%1.%2"/>
      <w:lvlJc w:val="left"/>
      <w:rPr>
        <w:rFonts w:cs="Times New Roman" w:hint="default"/>
        <w:b/>
        <w:i w:val="0"/>
      </w:rPr>
    </w:lvl>
    <w:lvl w:ilvl="2">
      <w:start w:val="1"/>
      <w:numFmt w:val="decimal"/>
      <w:lvlText w:val="%1.%2.%3"/>
      <w:lvlJc w:val="left"/>
      <w:rPr>
        <w:rFonts w:cs="Times New Roman" w:hint="default"/>
        <w:b/>
        <w:bCs w:val="0"/>
        <w:i w:val="0"/>
        <w:iCs w:val="0"/>
        <w:caps w:val="0"/>
        <w:smallCaps w:val="0"/>
        <w:strike w:val="0"/>
        <w:dstrike w:val="0"/>
        <w:vanish w:val="0"/>
        <w:color w:val="000000"/>
        <w:spacing w:val="0"/>
        <w:kern w:val="0"/>
        <w:position w:val="0"/>
        <w:u w:val="none"/>
        <w:effect w:val="none"/>
        <w:vertAlign w:val="baseline"/>
      </w:rPr>
    </w:lvl>
    <w:lvl w:ilvl="3">
      <w:start w:val="1"/>
      <w:numFmt w:val="decimal"/>
      <w:lvlText w:val="%1.%2.%3.%4"/>
      <w:lvlJc w:val="left"/>
      <w:pPr>
        <w:tabs>
          <w:tab w:val="num" w:pos="7200"/>
        </w:tabs>
        <w:ind w:left="6120"/>
      </w:pPr>
      <w:rPr>
        <w:rFonts w:cs="Times New Roman" w:hint="default"/>
        <w:b/>
        <w:i w:val="0"/>
      </w:rPr>
    </w:lvl>
    <w:lvl w:ilvl="4">
      <w:start w:val="1"/>
      <w:numFmt w:val="decimal"/>
      <w:lvlText w:val="%1.%2.%3.%4.%5"/>
      <w:lvlJc w:val="left"/>
      <w:pPr>
        <w:tabs>
          <w:tab w:val="num" w:pos="1080"/>
        </w:tabs>
      </w:pPr>
      <w:rPr>
        <w:rFonts w:cs="Times New Roman" w:hint="default"/>
        <w:b/>
        <w:i w:val="0"/>
      </w:rPr>
    </w:lvl>
    <w:lvl w:ilvl="5">
      <w:start w:val="1"/>
      <w:numFmt w:val="decimal"/>
      <w:lvlText w:val="%1.%2.%3.%4.%5.%6"/>
      <w:lvlJc w:val="left"/>
      <w:pPr>
        <w:tabs>
          <w:tab w:val="num" w:pos="1440"/>
        </w:tabs>
      </w:pPr>
      <w:rPr>
        <w:rFonts w:cs="Times New Roman" w:hint="default"/>
        <w:b/>
        <w:i w:val="0"/>
      </w:rPr>
    </w:lvl>
    <w:lvl w:ilvl="6">
      <w:start w:val="1"/>
      <w:numFmt w:val="decimal"/>
      <w:lvlText w:val="%1.%2.%3.%4.%5.%6.%7"/>
      <w:lvlJc w:val="left"/>
      <w:pPr>
        <w:tabs>
          <w:tab w:val="num" w:pos="1440"/>
        </w:tabs>
      </w:pPr>
      <w:rPr>
        <w:rFonts w:cs="Times New Roman" w:hint="default"/>
      </w:rPr>
    </w:lvl>
    <w:lvl w:ilvl="7">
      <w:start w:val="1"/>
      <w:numFmt w:val="decimal"/>
      <w:lvlText w:val="%1.%2.%3.%4.%5.%6.%7.%8"/>
      <w:lvlJc w:val="left"/>
      <w:pPr>
        <w:tabs>
          <w:tab w:val="num" w:pos="1800"/>
        </w:tabs>
      </w:pPr>
      <w:rPr>
        <w:rFonts w:cs="Times New Roman" w:hint="default"/>
      </w:rPr>
    </w:lvl>
    <w:lvl w:ilvl="8">
      <w:start w:val="1"/>
      <w:numFmt w:val="decimal"/>
      <w:lvlText w:val="%1.%2.%3.%4.%5.%6.%7.%8.%9"/>
      <w:lvlJc w:val="left"/>
      <w:pPr>
        <w:tabs>
          <w:tab w:val="num" w:pos="1800"/>
        </w:tabs>
      </w:pPr>
      <w:rPr>
        <w:rFonts w:cs="Times New Roman" w:hint="default"/>
      </w:rPr>
    </w:lvl>
  </w:abstractNum>
  <w:abstractNum w:abstractNumId="120" w15:restartNumberingAfterBreak="0">
    <w:nsid w:val="37C37BC0"/>
    <w:multiLevelType w:val="hybridMultilevel"/>
    <w:tmpl w:val="6F022242"/>
    <w:lvl w:ilvl="0" w:tplc="84CC2C8A">
      <w:start w:val="5"/>
      <w:numFmt w:val="bullet"/>
      <w:lvlText w:val="–"/>
      <w:lvlJc w:val="left"/>
      <w:pPr>
        <w:ind w:left="720" w:hanging="360"/>
      </w:pPr>
      <w:rPr>
        <w:rFonts w:ascii="Times New Roman" w:eastAsia="Times New Roman" w:hAnsi="Times New Roman"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1" w15:restartNumberingAfterBreak="0">
    <w:nsid w:val="37D7656E"/>
    <w:multiLevelType w:val="multilevel"/>
    <w:tmpl w:val="8DD6E2AC"/>
    <w:lvl w:ilvl="0">
      <w:start w:val="1"/>
      <w:numFmt w:val="decimal"/>
      <w:pStyle w:val="4H0"/>
      <w:lvlText w:val="G.%1"/>
      <w:lvlJc w:val="left"/>
      <w:pPr>
        <w:ind w:left="360" w:hanging="360"/>
      </w:pPr>
      <w:rPr>
        <w:rFonts w:cs="Times New Roman"/>
        <w:b/>
        <w:i w:val="0"/>
      </w:rPr>
    </w:lvl>
    <w:lvl w:ilvl="1">
      <w:start w:val="1"/>
      <w:numFmt w:val="decimal"/>
      <w:pStyle w:val="4H1"/>
      <w:lvlText w:val="G.%1.%2."/>
      <w:lvlJc w:val="left"/>
      <w:pPr>
        <w:ind w:left="360" w:hanging="360"/>
      </w:pPr>
      <w:rPr>
        <w:rFonts w:cs="Times New Roman"/>
      </w:rPr>
    </w:lvl>
    <w:lvl w:ilvl="2">
      <w:start w:val="1"/>
      <w:numFmt w:val="decimal"/>
      <w:pStyle w:val="4H2"/>
      <w:lvlText w:val="G.%1.%2.%3."/>
      <w:lvlJc w:val="left"/>
      <w:pPr>
        <w:ind w:left="357" w:hanging="357"/>
      </w:pPr>
      <w:rPr>
        <w:rFonts w:cs="Times New Roman"/>
      </w:rPr>
    </w:lvl>
    <w:lvl w:ilvl="3">
      <w:start w:val="1"/>
      <w:numFmt w:val="decimal"/>
      <w:lvlText w:val="G.%1.%2.%3.%4."/>
      <w:lvlJc w:val="left"/>
      <w:pPr>
        <w:ind w:left="1800" w:hanging="360"/>
      </w:pPr>
      <w:rPr>
        <w:rFonts w:cs="Times New Roman"/>
      </w:rPr>
    </w:lvl>
    <w:lvl w:ilvl="4">
      <w:start w:val="1"/>
      <w:numFmt w:val="decimal"/>
      <w:lvlText w:val="G.%1.%2.%3.%4.%5."/>
      <w:lvlJc w:val="left"/>
      <w:pPr>
        <w:ind w:left="2520" w:hanging="360"/>
      </w:pPr>
      <w:rPr>
        <w:rFonts w:cs="Times New Roman"/>
      </w:rPr>
    </w:lvl>
    <w:lvl w:ilvl="5">
      <w:start w:val="1"/>
      <w:numFmt w:val="lowerRoman"/>
      <w:lvlText w:val="%6."/>
      <w:lvlJc w:val="right"/>
      <w:pPr>
        <w:ind w:left="3240" w:hanging="180"/>
      </w:pPr>
      <w:rPr>
        <w:rFonts w:cs="Times New Roman"/>
      </w:rPr>
    </w:lvl>
    <w:lvl w:ilvl="6">
      <w:start w:val="1"/>
      <w:numFmt w:val="decimal"/>
      <w:lvlText w:val="%7."/>
      <w:lvlJc w:val="left"/>
      <w:pPr>
        <w:ind w:left="3960" w:hanging="360"/>
      </w:pPr>
      <w:rPr>
        <w:rFonts w:cs="Times New Roman"/>
      </w:rPr>
    </w:lvl>
    <w:lvl w:ilvl="7">
      <w:start w:val="1"/>
      <w:numFmt w:val="lowerLetter"/>
      <w:lvlText w:val="%8."/>
      <w:lvlJc w:val="left"/>
      <w:pPr>
        <w:ind w:left="4680" w:hanging="360"/>
      </w:pPr>
      <w:rPr>
        <w:rFonts w:cs="Times New Roman"/>
      </w:rPr>
    </w:lvl>
    <w:lvl w:ilvl="8">
      <w:start w:val="1"/>
      <w:numFmt w:val="lowerRoman"/>
      <w:lvlText w:val="%9."/>
      <w:lvlJc w:val="right"/>
      <w:pPr>
        <w:ind w:left="5400" w:hanging="180"/>
      </w:pPr>
      <w:rPr>
        <w:rFonts w:cs="Times New Roman"/>
      </w:rPr>
    </w:lvl>
  </w:abstractNum>
  <w:abstractNum w:abstractNumId="122" w15:restartNumberingAfterBreak="0">
    <w:nsid w:val="3826512A"/>
    <w:multiLevelType w:val="multilevel"/>
    <w:tmpl w:val="122EB196"/>
    <w:lvl w:ilvl="0">
      <w:start w:val="4"/>
      <w:numFmt w:val="upperLetter"/>
      <w:suff w:val="nothing"/>
      <w:lvlText w:val="%1"/>
      <w:lvlJc w:val="left"/>
      <w:pPr>
        <w:ind w:left="360" w:hanging="360"/>
      </w:pPr>
      <w:rPr>
        <w:rFonts w:ascii="Times New Roman" w:hAnsi="Times New Roman" w:cs="Times New Roman" w:hint="default"/>
        <w:vanish/>
        <w:color w:val="FFFFFF"/>
      </w:rPr>
    </w:lvl>
    <w:lvl w:ilvl="1">
      <w:start w:val="1"/>
      <w:numFmt w:val="decimal"/>
      <w:lvlText w:val="%1.%2"/>
      <w:lvlJc w:val="left"/>
      <w:pPr>
        <w:tabs>
          <w:tab w:val="num" w:pos="1020"/>
        </w:tabs>
      </w:pPr>
      <w:rPr>
        <w:rFonts w:cs="Times New Roman" w:hint="default"/>
      </w:rPr>
    </w:lvl>
    <w:lvl w:ilvl="2">
      <w:start w:val="1"/>
      <w:numFmt w:val="decimal"/>
      <w:lvlText w:val="%1.%2.%3"/>
      <w:lvlJc w:val="left"/>
      <w:pPr>
        <w:tabs>
          <w:tab w:val="num" w:pos="720"/>
        </w:tabs>
        <w:ind w:left="1224" w:hanging="1224"/>
      </w:pPr>
      <w:rPr>
        <w:rFonts w:cs="Times New Roman" w:hint="default"/>
      </w:rPr>
    </w:lvl>
    <w:lvl w:ilvl="3">
      <w:start w:val="1"/>
      <w:numFmt w:val="decimal"/>
      <w:lvlText w:val="%1.%2.%3.%4"/>
      <w:lvlJc w:val="left"/>
      <w:pPr>
        <w:tabs>
          <w:tab w:val="num" w:pos="720"/>
        </w:tabs>
        <w:ind w:left="1728" w:hanging="1728"/>
      </w:pPr>
      <w:rPr>
        <w:rFonts w:cs="Times New Roman" w:hint="default"/>
      </w:rPr>
    </w:lvl>
    <w:lvl w:ilvl="4">
      <w:start w:val="1"/>
      <w:numFmt w:val="decimal"/>
      <w:lvlText w:val="%1.%2.%3.%4.%5"/>
      <w:lvlJc w:val="left"/>
      <w:pPr>
        <w:tabs>
          <w:tab w:val="num" w:pos="862"/>
        </w:tabs>
        <w:ind w:left="2374" w:hanging="2232"/>
      </w:pPr>
      <w:rPr>
        <w:rFonts w:cs="Times New Roman" w:hint="default"/>
      </w:rPr>
    </w:lvl>
    <w:lvl w:ilvl="5">
      <w:start w:val="1"/>
      <w:numFmt w:val="decimal"/>
      <w:lvlText w:val="%1.%2.%3.%4.%5.%6"/>
      <w:lvlJc w:val="left"/>
      <w:pPr>
        <w:tabs>
          <w:tab w:val="num" w:pos="1080"/>
        </w:tabs>
      </w:pPr>
      <w:rPr>
        <w:rFonts w:cs="Times New Roman" w:hint="default"/>
      </w:rPr>
    </w:lvl>
    <w:lvl w:ilvl="6">
      <w:start w:val="1"/>
      <w:numFmt w:val="decimal"/>
      <w:lvlText w:val="%1.%2.%3.%4.%5.%6.%7"/>
      <w:lvlJc w:val="left"/>
      <w:pPr>
        <w:tabs>
          <w:tab w:val="num" w:pos="1080"/>
        </w:tabs>
        <w:ind w:left="3240" w:hanging="3240"/>
      </w:pPr>
      <w:rPr>
        <w:rFonts w:cs="Times New Roman" w:hint="default"/>
      </w:rPr>
    </w:lvl>
    <w:lvl w:ilvl="7">
      <w:start w:val="1"/>
      <w:numFmt w:val="decimal"/>
      <w:lvlText w:val="%1.%2.%3.%4.%5.%6.%7.%8"/>
      <w:lvlJc w:val="left"/>
      <w:pPr>
        <w:tabs>
          <w:tab w:val="num" w:pos="3960"/>
        </w:tabs>
        <w:ind w:left="3744" w:hanging="3744"/>
      </w:pPr>
      <w:rPr>
        <w:rFonts w:cs="Times New Roman" w:hint="default"/>
      </w:rPr>
    </w:lvl>
    <w:lvl w:ilvl="8">
      <w:start w:val="1"/>
      <w:numFmt w:val="decimal"/>
      <w:lvlText w:val="%1.%2.%3.%4.%5.%6.%7.%8.%9"/>
      <w:lvlJc w:val="left"/>
      <w:pPr>
        <w:tabs>
          <w:tab w:val="num" w:pos="4680"/>
        </w:tabs>
        <w:ind w:left="4320" w:hanging="4320"/>
      </w:pPr>
      <w:rPr>
        <w:rFonts w:cs="Times New Roman" w:hint="default"/>
      </w:rPr>
    </w:lvl>
  </w:abstractNum>
  <w:abstractNum w:abstractNumId="123" w15:restartNumberingAfterBreak="0">
    <w:nsid w:val="385F4473"/>
    <w:multiLevelType w:val="hybridMultilevel"/>
    <w:tmpl w:val="439C1752"/>
    <w:lvl w:ilvl="0" w:tplc="2EA617C0">
      <w:numFmt w:val="bullet"/>
      <w:lvlText w:val="–"/>
      <w:lvlJc w:val="left"/>
      <w:pPr>
        <w:ind w:left="720" w:hanging="360"/>
      </w:pPr>
      <w:rPr>
        <w:rFonts w:ascii="Cambria" w:eastAsia="MS Mincho" w:hAnsi="Cambria"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24" w15:restartNumberingAfterBreak="0">
    <w:nsid w:val="387D4433"/>
    <w:multiLevelType w:val="multilevel"/>
    <w:tmpl w:val="EF029DE6"/>
    <w:lvl w:ilvl="0">
      <w:start w:val="1"/>
      <w:numFmt w:val="bullet"/>
      <w:pStyle w:val="ListContinue"/>
      <w:lvlText w:val=""/>
      <w:lvlJc w:val="left"/>
      <w:pPr>
        <w:ind w:left="400" w:hanging="400"/>
      </w:pPr>
      <w:rPr>
        <w:rFonts w:ascii="Symbol" w:hAnsi="Symbol"/>
      </w:rPr>
    </w:lvl>
    <w:lvl w:ilvl="1">
      <w:start w:val="1"/>
      <w:numFmt w:val="bullet"/>
      <w:pStyle w:val="ListContinue2"/>
      <w:lvlText w:val=""/>
      <w:lvlJc w:val="left"/>
      <w:pPr>
        <w:ind w:left="800" w:hanging="400"/>
      </w:pPr>
      <w:rPr>
        <w:rFonts w:ascii="Symbol" w:hAnsi="Symbol"/>
      </w:rPr>
    </w:lvl>
    <w:lvl w:ilvl="2">
      <w:start w:val="1"/>
      <w:numFmt w:val="bullet"/>
      <w:pStyle w:val="ListContinue3"/>
      <w:lvlText w:val=""/>
      <w:lvlJc w:val="left"/>
      <w:pPr>
        <w:ind w:left="1200" w:hanging="400"/>
      </w:pPr>
      <w:rPr>
        <w:rFonts w:ascii="Symbol" w:hAnsi="Symbol"/>
      </w:rPr>
    </w:lvl>
    <w:lvl w:ilvl="3">
      <w:start w:val="1"/>
      <w:numFmt w:val="bullet"/>
      <w:pStyle w:val="ListContinue4"/>
      <w:lvlText w:val=""/>
      <w:lvlJc w:val="left"/>
      <w:pPr>
        <w:ind w:left="1600" w:hanging="400"/>
      </w:pPr>
      <w:rPr>
        <w:rFonts w:ascii="Symbol" w:hAnsi="Symbol"/>
      </w:rPr>
    </w:lvl>
    <w:lvl w:ilvl="4">
      <w:start w:val="1"/>
      <w:numFmt w:val="none"/>
      <w:suff w:val="nothing"/>
      <w:lvlText w:val=""/>
      <w:lvlJc w:val="left"/>
      <w:rPr>
        <w:rFonts w:cs="Times New Roman"/>
      </w:rPr>
    </w:lvl>
    <w:lvl w:ilvl="5">
      <w:start w:val="1"/>
      <w:numFmt w:val="none"/>
      <w:suff w:val="nothing"/>
      <w:lvlText w:val=""/>
      <w:lvlJc w:val="left"/>
      <w:rPr>
        <w:rFonts w:cs="Times New Roman"/>
      </w:rPr>
    </w:lvl>
    <w:lvl w:ilvl="6">
      <w:start w:val="1"/>
      <w:numFmt w:val="none"/>
      <w:suff w:val="nothing"/>
      <w:lvlText w:val=""/>
      <w:lvlJc w:val="left"/>
      <w:rPr>
        <w:rFonts w:cs="Times New Roman"/>
      </w:rPr>
    </w:lvl>
    <w:lvl w:ilvl="7">
      <w:start w:val="1"/>
      <w:numFmt w:val="none"/>
      <w:suff w:val="nothing"/>
      <w:lvlText w:val=""/>
      <w:lvlJc w:val="left"/>
      <w:rPr>
        <w:rFonts w:cs="Times New Roman"/>
      </w:rPr>
    </w:lvl>
    <w:lvl w:ilvl="8">
      <w:start w:val="1"/>
      <w:numFmt w:val="none"/>
      <w:suff w:val="nothing"/>
      <w:lvlText w:val=""/>
      <w:lvlJc w:val="left"/>
      <w:rPr>
        <w:rFonts w:cs="Times New Roman"/>
      </w:rPr>
    </w:lvl>
  </w:abstractNum>
  <w:abstractNum w:abstractNumId="125" w15:restartNumberingAfterBreak="0">
    <w:nsid w:val="387E6CCD"/>
    <w:multiLevelType w:val="multilevel"/>
    <w:tmpl w:val="3EF21696"/>
    <w:lvl w:ilvl="0">
      <w:start w:val="1"/>
      <w:numFmt w:val="decimal"/>
      <w:lvlText w:val="%1"/>
      <w:lvlJc w:val="left"/>
      <w:pPr>
        <w:tabs>
          <w:tab w:val="num" w:pos="432"/>
        </w:tabs>
        <w:ind w:left="432" w:hanging="432"/>
      </w:pPr>
      <w:rPr>
        <w:rFonts w:cs="Times New Roman" w:hint="default"/>
        <w:b/>
        <w:i w:val="0"/>
      </w:rPr>
    </w:lvl>
    <w:lvl w:ilvl="1">
      <w:start w:val="1"/>
      <w:numFmt w:val="decimal"/>
      <w:lvlText w:val="%1.%2"/>
      <w:lvlJc w:val="left"/>
      <w:pPr>
        <w:tabs>
          <w:tab w:val="num" w:pos="360"/>
        </w:tabs>
      </w:pPr>
      <w:rPr>
        <w:rFonts w:cs="Times New Roman" w:hint="default"/>
        <w:b/>
        <w:i w:val="0"/>
      </w:rPr>
    </w:lvl>
    <w:lvl w:ilvl="2">
      <w:start w:val="1"/>
      <w:numFmt w:val="decimal"/>
      <w:lvlText w:val="%1.%2.%3"/>
      <w:lvlJc w:val="left"/>
      <w:rPr>
        <w:rFonts w:cs="Times New Roman" w:hint="default"/>
        <w:b w:val="0"/>
        <w:bCs w:val="0"/>
        <w:i w:val="0"/>
        <w:iCs w:val="0"/>
        <w:caps w:val="0"/>
        <w:smallCaps w:val="0"/>
        <w:strike w:val="0"/>
        <w:dstrike w:val="0"/>
        <w:vanish w:val="0"/>
        <w:color w:val="000000"/>
        <w:spacing w:val="0"/>
        <w:kern w:val="0"/>
        <w:position w:val="0"/>
        <w:u w:val="none"/>
        <w:effect w:val="none"/>
        <w:vertAlign w:val="baseline"/>
      </w:rPr>
    </w:lvl>
    <w:lvl w:ilvl="3">
      <w:start w:val="1"/>
      <w:numFmt w:val="decimal"/>
      <w:lvlText w:val="%1.%2.%3.%4"/>
      <w:lvlJc w:val="left"/>
      <w:pPr>
        <w:tabs>
          <w:tab w:val="num" w:pos="1080"/>
        </w:tabs>
      </w:pPr>
      <w:rPr>
        <w:rFonts w:cs="Times New Roman" w:hint="default"/>
        <w:b/>
        <w:i w:val="0"/>
      </w:rPr>
    </w:lvl>
    <w:lvl w:ilvl="4">
      <w:start w:val="1"/>
      <w:numFmt w:val="decimal"/>
      <w:lvlText w:val="%1.%2.%3.%4.%5"/>
      <w:lvlJc w:val="left"/>
      <w:pPr>
        <w:tabs>
          <w:tab w:val="num" w:pos="1080"/>
        </w:tabs>
      </w:pPr>
      <w:rPr>
        <w:rFonts w:cs="Times New Roman" w:hint="default"/>
        <w:b/>
        <w:i w:val="0"/>
      </w:rPr>
    </w:lvl>
    <w:lvl w:ilvl="5">
      <w:start w:val="1"/>
      <w:numFmt w:val="decimal"/>
      <w:lvlText w:val="%1.%2.%3.%4.%5.%6"/>
      <w:lvlJc w:val="left"/>
      <w:pPr>
        <w:tabs>
          <w:tab w:val="num" w:pos="1440"/>
        </w:tabs>
      </w:pPr>
      <w:rPr>
        <w:rFonts w:cs="Times New Roman" w:hint="default"/>
        <w:b/>
        <w:i w:val="0"/>
      </w:rPr>
    </w:lvl>
    <w:lvl w:ilvl="6">
      <w:start w:val="1"/>
      <w:numFmt w:val="decimal"/>
      <w:lvlText w:val="%1.%2.%3.%4.%5.%6.%7"/>
      <w:lvlJc w:val="left"/>
      <w:pPr>
        <w:tabs>
          <w:tab w:val="num" w:pos="1440"/>
        </w:tabs>
      </w:pPr>
      <w:rPr>
        <w:rFonts w:cs="Times New Roman" w:hint="default"/>
      </w:rPr>
    </w:lvl>
    <w:lvl w:ilvl="7">
      <w:start w:val="1"/>
      <w:numFmt w:val="decimal"/>
      <w:lvlText w:val="%1.%2.%3.%4.%5.%6.%7.%8"/>
      <w:lvlJc w:val="left"/>
      <w:pPr>
        <w:tabs>
          <w:tab w:val="num" w:pos="1800"/>
        </w:tabs>
      </w:pPr>
      <w:rPr>
        <w:rFonts w:cs="Times New Roman" w:hint="default"/>
      </w:rPr>
    </w:lvl>
    <w:lvl w:ilvl="8">
      <w:start w:val="1"/>
      <w:numFmt w:val="decimal"/>
      <w:lvlText w:val="%1.%2.%3.%4.%5.%6.%7.%8.%9"/>
      <w:lvlJc w:val="left"/>
      <w:pPr>
        <w:tabs>
          <w:tab w:val="num" w:pos="1800"/>
        </w:tabs>
      </w:pPr>
      <w:rPr>
        <w:rFonts w:cs="Times New Roman" w:hint="default"/>
      </w:rPr>
    </w:lvl>
  </w:abstractNum>
  <w:abstractNum w:abstractNumId="126" w15:restartNumberingAfterBreak="0">
    <w:nsid w:val="39482C02"/>
    <w:multiLevelType w:val="hybridMultilevel"/>
    <w:tmpl w:val="F6EC4EB6"/>
    <w:lvl w:ilvl="0" w:tplc="016011D4">
      <w:start w:val="2"/>
      <w:numFmt w:val="bullet"/>
      <w:lvlText w:val="–"/>
      <w:lvlJc w:val="left"/>
      <w:pPr>
        <w:ind w:left="720" w:hanging="360"/>
      </w:pPr>
      <w:rPr>
        <w:rFonts w:ascii="Calibri" w:eastAsia="Times New Roman" w:hAnsi="Calibri"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7" w15:restartNumberingAfterBreak="0">
    <w:nsid w:val="3A1E50CB"/>
    <w:multiLevelType w:val="multilevel"/>
    <w:tmpl w:val="F11C6A96"/>
    <w:styleLink w:val="3Dash"/>
    <w:lvl w:ilvl="0">
      <w:start w:val="5"/>
      <w:numFmt w:val="bullet"/>
      <w:lvlText w:val="–"/>
      <w:lvlJc w:val="left"/>
      <w:pPr>
        <w:tabs>
          <w:tab w:val="num" w:pos="340"/>
        </w:tabs>
        <w:ind w:left="357" w:hanging="357"/>
      </w:pPr>
      <w:rPr>
        <w:rFonts w:ascii="Times New Roman" w:hAnsi="Times New Roman" w:hint="default"/>
      </w:rPr>
    </w:lvl>
    <w:lvl w:ilvl="1">
      <w:start w:val="1"/>
      <w:numFmt w:val="bullet"/>
      <w:lvlText w:val="–"/>
      <w:lvlJc w:val="left"/>
      <w:pPr>
        <w:tabs>
          <w:tab w:val="num" w:pos="697"/>
        </w:tabs>
        <w:ind w:left="714" w:hanging="357"/>
      </w:pPr>
      <w:rPr>
        <w:rFonts w:ascii="Times New Roman" w:hAnsi="Times New Roman" w:hint="default"/>
      </w:rPr>
    </w:lvl>
    <w:lvl w:ilvl="2">
      <w:start w:val="1"/>
      <w:numFmt w:val="bullet"/>
      <w:lvlText w:val="–"/>
      <w:lvlJc w:val="left"/>
      <w:pPr>
        <w:tabs>
          <w:tab w:val="num" w:pos="1054"/>
        </w:tabs>
        <w:ind w:left="1071" w:hanging="357"/>
      </w:pPr>
      <w:rPr>
        <w:rFonts w:ascii="Times New Roman" w:hAnsi="Times New Roman" w:hint="default"/>
      </w:rPr>
    </w:lvl>
    <w:lvl w:ilvl="3">
      <w:start w:val="1"/>
      <w:numFmt w:val="bullet"/>
      <w:lvlText w:val="–"/>
      <w:lvlJc w:val="left"/>
      <w:pPr>
        <w:tabs>
          <w:tab w:val="num" w:pos="1411"/>
        </w:tabs>
        <w:ind w:left="1428" w:hanging="357"/>
      </w:pPr>
      <w:rPr>
        <w:rFonts w:ascii="Times New Roman" w:hAnsi="Times New Roman" w:hint="default"/>
      </w:rPr>
    </w:lvl>
    <w:lvl w:ilvl="4">
      <w:start w:val="1"/>
      <w:numFmt w:val="bullet"/>
      <w:lvlText w:val="–"/>
      <w:lvlJc w:val="left"/>
      <w:pPr>
        <w:tabs>
          <w:tab w:val="num" w:pos="1768"/>
        </w:tabs>
        <w:ind w:left="1785" w:hanging="357"/>
      </w:pPr>
      <w:rPr>
        <w:rFonts w:ascii="Times New Roman" w:hAnsi="Times New Roman" w:hint="default"/>
      </w:rPr>
    </w:lvl>
    <w:lvl w:ilvl="5">
      <w:start w:val="1"/>
      <w:numFmt w:val="bullet"/>
      <w:lvlText w:val="–"/>
      <w:lvlJc w:val="left"/>
      <w:pPr>
        <w:tabs>
          <w:tab w:val="num" w:pos="2125"/>
        </w:tabs>
        <w:ind w:left="2142" w:hanging="357"/>
      </w:pPr>
      <w:rPr>
        <w:rFonts w:ascii="Times New Roman" w:hAnsi="Times New Roman" w:hint="default"/>
      </w:rPr>
    </w:lvl>
    <w:lvl w:ilvl="6">
      <w:start w:val="1"/>
      <w:numFmt w:val="bullet"/>
      <w:lvlText w:val="–"/>
      <w:lvlJc w:val="left"/>
      <w:pPr>
        <w:tabs>
          <w:tab w:val="num" w:pos="2482"/>
        </w:tabs>
        <w:ind w:left="2499" w:hanging="357"/>
      </w:pPr>
      <w:rPr>
        <w:rFonts w:ascii="Times New Roman" w:hAnsi="Times New Roman" w:hint="default"/>
      </w:rPr>
    </w:lvl>
    <w:lvl w:ilvl="7">
      <w:start w:val="1"/>
      <w:numFmt w:val="bullet"/>
      <w:lvlText w:val="–"/>
      <w:lvlJc w:val="left"/>
      <w:pPr>
        <w:tabs>
          <w:tab w:val="num" w:pos="2839"/>
        </w:tabs>
        <w:ind w:left="2856" w:hanging="357"/>
      </w:pPr>
      <w:rPr>
        <w:rFonts w:ascii="Times New Roman" w:hAnsi="Times New Roman" w:hint="default"/>
      </w:rPr>
    </w:lvl>
    <w:lvl w:ilvl="8">
      <w:start w:val="1"/>
      <w:numFmt w:val="bullet"/>
      <w:lvlText w:val="–"/>
      <w:lvlJc w:val="left"/>
      <w:pPr>
        <w:tabs>
          <w:tab w:val="num" w:pos="3196"/>
        </w:tabs>
        <w:ind w:left="3213" w:hanging="357"/>
      </w:pPr>
      <w:rPr>
        <w:rFonts w:ascii="Times New Roman" w:hAnsi="Times New Roman" w:hint="default"/>
      </w:rPr>
    </w:lvl>
  </w:abstractNum>
  <w:abstractNum w:abstractNumId="128" w15:restartNumberingAfterBreak="0">
    <w:nsid w:val="3A877D64"/>
    <w:multiLevelType w:val="singleLevel"/>
    <w:tmpl w:val="5DA6FC16"/>
    <w:lvl w:ilvl="0">
      <w:start w:val="1"/>
      <w:numFmt w:val="decimal"/>
      <w:pStyle w:val="References"/>
      <w:lvlText w:val="[%1]"/>
      <w:lvlJc w:val="left"/>
      <w:pPr>
        <w:tabs>
          <w:tab w:val="num" w:pos="360"/>
        </w:tabs>
        <w:ind w:left="360" w:hanging="360"/>
      </w:pPr>
      <w:rPr>
        <w:rFonts w:cs="Times New Roman"/>
      </w:rPr>
    </w:lvl>
  </w:abstractNum>
  <w:abstractNum w:abstractNumId="129" w15:restartNumberingAfterBreak="0">
    <w:nsid w:val="3A90532A"/>
    <w:multiLevelType w:val="hybridMultilevel"/>
    <w:tmpl w:val="84842B34"/>
    <w:lvl w:ilvl="0" w:tplc="8F24DCB8">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30" w15:restartNumberingAfterBreak="0">
    <w:nsid w:val="3AAA4888"/>
    <w:multiLevelType w:val="hybridMultilevel"/>
    <w:tmpl w:val="A34416C6"/>
    <w:lvl w:ilvl="0" w:tplc="CD74904E">
      <w:start w:val="8"/>
      <w:numFmt w:val="bullet"/>
      <w:lvlText w:val="-"/>
      <w:lvlJc w:val="left"/>
      <w:pPr>
        <w:ind w:left="1440" w:hanging="360"/>
      </w:pPr>
      <w:rPr>
        <w:rFonts w:ascii="Times New Roman" w:eastAsia="SimSun" w:hAnsi="Times New Roman"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31" w15:restartNumberingAfterBreak="0">
    <w:nsid w:val="3AE77701"/>
    <w:multiLevelType w:val="hybridMultilevel"/>
    <w:tmpl w:val="4B14CA14"/>
    <w:lvl w:ilvl="0" w:tplc="016011D4">
      <w:start w:val="2"/>
      <w:numFmt w:val="bullet"/>
      <w:lvlText w:val="–"/>
      <w:lvlJc w:val="left"/>
      <w:pPr>
        <w:ind w:left="720" w:hanging="360"/>
      </w:pPr>
      <w:rPr>
        <w:rFonts w:ascii="Calibri" w:eastAsia="Times New Roman"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2" w15:restartNumberingAfterBreak="0">
    <w:nsid w:val="3AF16DC1"/>
    <w:multiLevelType w:val="hybridMultilevel"/>
    <w:tmpl w:val="AF1432F8"/>
    <w:lvl w:ilvl="0" w:tplc="5EFC60E4">
      <w:numFmt w:val="bullet"/>
      <w:lvlText w:val="–"/>
      <w:lvlJc w:val="left"/>
      <w:pPr>
        <w:ind w:left="1792" w:hanging="715"/>
      </w:pPr>
      <w:rPr>
        <w:rFonts w:ascii="Cambria" w:eastAsiaTheme="minorEastAsia" w:hAnsi="Cambria" w:hint="default"/>
      </w:rPr>
    </w:lvl>
    <w:lvl w:ilvl="1" w:tplc="529C7C2E">
      <w:numFmt w:val="bullet"/>
      <w:lvlText w:val="–"/>
      <w:lvlJc w:val="left"/>
      <w:pPr>
        <w:ind w:left="1800" w:hanging="360"/>
      </w:pPr>
      <w:rPr>
        <w:rFonts w:ascii="Cambria" w:eastAsiaTheme="minorEastAsia" w:hAnsi="Cambria"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133" w15:restartNumberingAfterBreak="0">
    <w:nsid w:val="3B2B22ED"/>
    <w:multiLevelType w:val="multilevel"/>
    <w:tmpl w:val="23028C40"/>
    <w:lvl w:ilvl="0">
      <w:start w:val="1"/>
      <w:numFmt w:val="decimal"/>
      <w:pStyle w:val="3H0"/>
      <w:lvlText w:val="F.%1"/>
      <w:lvlJc w:val="left"/>
      <w:pPr>
        <w:tabs>
          <w:tab w:val="num" w:pos="794"/>
        </w:tabs>
      </w:pPr>
      <w:rPr>
        <w:rFonts w:ascii="Times New Roman" w:hAnsi="Times New Roman" w:cs="Times New Roman" w:hint="default"/>
        <w:b/>
        <w:i w:val="0"/>
        <w:sz w:val="22"/>
      </w:rPr>
    </w:lvl>
    <w:lvl w:ilvl="1">
      <w:start w:val="1"/>
      <w:numFmt w:val="decimal"/>
      <w:pStyle w:val="3H1"/>
      <w:lvlText w:val="F.%1.%2"/>
      <w:lvlJc w:val="left"/>
      <w:pPr>
        <w:tabs>
          <w:tab w:val="num" w:pos="794"/>
        </w:tabs>
      </w:pPr>
      <w:rPr>
        <w:rFonts w:ascii="Times New Roman" w:hAnsi="Times New Roman" w:cs="Times New Roman" w:hint="default"/>
        <w:b/>
        <w:i w:val="0"/>
        <w:sz w:val="20"/>
      </w:rPr>
    </w:lvl>
    <w:lvl w:ilvl="2">
      <w:start w:val="1"/>
      <w:numFmt w:val="decimal"/>
      <w:pStyle w:val="3H2"/>
      <w:lvlText w:val="F.%1.%2.%3"/>
      <w:lvlJc w:val="left"/>
      <w:pPr>
        <w:tabs>
          <w:tab w:val="num" w:pos="794"/>
        </w:tabs>
      </w:pPr>
      <w:rPr>
        <w:rFonts w:ascii="Times New Roman" w:hAnsi="Times New Roman" w:cs="Times New Roman" w:hint="default"/>
        <w:b/>
        <w:i w:val="0"/>
        <w:sz w:val="20"/>
      </w:rPr>
    </w:lvl>
    <w:lvl w:ilvl="3">
      <w:start w:val="1"/>
      <w:numFmt w:val="decimal"/>
      <w:pStyle w:val="3H3"/>
      <w:lvlText w:val="F.%1.%2.%3.%4"/>
      <w:lvlJc w:val="left"/>
      <w:pPr>
        <w:tabs>
          <w:tab w:val="num" w:pos="794"/>
        </w:tabs>
      </w:pPr>
      <w:rPr>
        <w:rFonts w:ascii="Times New Roman" w:hAnsi="Times New Roman" w:cs="Times New Roman" w:hint="default"/>
        <w:b/>
        <w:i w:val="0"/>
        <w:sz w:val="20"/>
      </w:rPr>
    </w:lvl>
    <w:lvl w:ilvl="4">
      <w:start w:val="1"/>
      <w:numFmt w:val="decimal"/>
      <w:pStyle w:val="3H4"/>
      <w:lvlText w:val="F.%1.%2.%3.%4.%5"/>
      <w:lvlJc w:val="left"/>
      <w:pPr>
        <w:tabs>
          <w:tab w:val="num" w:pos="794"/>
        </w:tabs>
      </w:pPr>
      <w:rPr>
        <w:rFonts w:ascii="Times New Roman" w:hAnsi="Times New Roman" w:cs="Times New Roman" w:hint="default"/>
        <w:b/>
        <w:i w:val="0"/>
        <w:sz w:val="20"/>
      </w:rPr>
    </w:lvl>
    <w:lvl w:ilvl="5">
      <w:start w:val="1"/>
      <w:numFmt w:val="decimal"/>
      <w:pStyle w:val="3H5"/>
      <w:lvlText w:val="F.%1.%2.%3.%4.%5.%6"/>
      <w:lvlJc w:val="left"/>
      <w:pPr>
        <w:tabs>
          <w:tab w:val="num" w:pos="794"/>
        </w:tabs>
      </w:pPr>
      <w:rPr>
        <w:rFonts w:ascii="Times New Roman" w:hAnsi="Times New Roman" w:cs="Times New Roman" w:hint="default"/>
        <w:b/>
        <w:i w:val="0"/>
      </w:rPr>
    </w:lvl>
    <w:lvl w:ilvl="6">
      <w:start w:val="1"/>
      <w:numFmt w:val="decimal"/>
      <w:lvlText w:val="F.%1.%2.%3.%4.%5.%6.%7"/>
      <w:lvlJc w:val="left"/>
      <w:pPr>
        <w:tabs>
          <w:tab w:val="num" w:pos="794"/>
        </w:tabs>
      </w:pPr>
      <w:rPr>
        <w:rFonts w:ascii="Times New Roman" w:hAnsi="Times New Roman" w:cs="Times New Roman" w:hint="default"/>
        <w:b/>
        <w:i w:val="0"/>
        <w:sz w:val="20"/>
      </w:rPr>
    </w:lvl>
    <w:lvl w:ilvl="7">
      <w:start w:val="1"/>
      <w:numFmt w:val="decimal"/>
      <w:lvlText w:val="F.%1.%2.%3.%4.%5.%6.%7.%8"/>
      <w:lvlJc w:val="left"/>
      <w:pPr>
        <w:tabs>
          <w:tab w:val="num" w:pos="794"/>
        </w:tabs>
      </w:pPr>
      <w:rPr>
        <w:rFonts w:ascii="Times New Roman" w:hAnsi="Times New Roman" w:cs="Times New Roman" w:hint="default"/>
        <w:b/>
        <w:i w:val="0"/>
      </w:rPr>
    </w:lvl>
    <w:lvl w:ilvl="8">
      <w:start w:val="1"/>
      <w:numFmt w:val="decimal"/>
      <w:lvlText w:val="F.%1.%2.%3.%4.%5.%6.%7.%8.%9"/>
      <w:lvlJc w:val="left"/>
      <w:pPr>
        <w:tabs>
          <w:tab w:val="num" w:pos="794"/>
        </w:tabs>
      </w:pPr>
      <w:rPr>
        <w:rFonts w:ascii="Times New Roman" w:hAnsi="Times New Roman" w:cs="Times New Roman" w:hint="default"/>
        <w:b/>
        <w:i w:val="0"/>
        <w:sz w:val="20"/>
      </w:rPr>
    </w:lvl>
  </w:abstractNum>
  <w:abstractNum w:abstractNumId="134" w15:restartNumberingAfterBreak="0">
    <w:nsid w:val="3B5035C6"/>
    <w:multiLevelType w:val="hybridMultilevel"/>
    <w:tmpl w:val="6F58DBD2"/>
    <w:lvl w:ilvl="0" w:tplc="529C7C2E">
      <w:numFmt w:val="bullet"/>
      <w:lvlText w:val="–"/>
      <w:lvlJc w:val="left"/>
      <w:pPr>
        <w:ind w:left="360" w:hanging="360"/>
      </w:pPr>
      <w:rPr>
        <w:rFonts w:ascii="Cambria" w:eastAsiaTheme="minorEastAsia" w:hAnsi="Cambria" w:hint="default"/>
      </w:rPr>
    </w:lvl>
    <w:lvl w:ilvl="1" w:tplc="529C7C2E">
      <w:numFmt w:val="bullet"/>
      <w:lvlText w:val="–"/>
      <w:lvlJc w:val="left"/>
      <w:pPr>
        <w:ind w:left="1080" w:hanging="360"/>
      </w:pPr>
      <w:rPr>
        <w:rFonts w:ascii="Cambria" w:eastAsiaTheme="minorEastAsia" w:hAnsi="Cambria" w:hint="default"/>
      </w:rPr>
    </w:lvl>
    <w:lvl w:ilvl="2" w:tplc="10090005" w:tentative="1">
      <w:start w:val="1"/>
      <w:numFmt w:val="bullet"/>
      <w:lvlText w:val=""/>
      <w:lvlJc w:val="left"/>
      <w:pPr>
        <w:ind w:left="1800" w:hanging="360"/>
      </w:pPr>
      <w:rPr>
        <w:rFonts w:ascii="Wingdings" w:hAnsi="Wingdings" w:hint="default"/>
      </w:rPr>
    </w:lvl>
    <w:lvl w:ilvl="3" w:tplc="10090001" w:tentative="1">
      <w:start w:val="1"/>
      <w:numFmt w:val="bullet"/>
      <w:lvlText w:val=""/>
      <w:lvlJc w:val="left"/>
      <w:pPr>
        <w:ind w:left="2520" w:hanging="360"/>
      </w:pPr>
      <w:rPr>
        <w:rFonts w:ascii="Symbol" w:hAnsi="Symbol" w:hint="default"/>
      </w:rPr>
    </w:lvl>
    <w:lvl w:ilvl="4" w:tplc="10090003" w:tentative="1">
      <w:start w:val="1"/>
      <w:numFmt w:val="bullet"/>
      <w:lvlText w:val="o"/>
      <w:lvlJc w:val="left"/>
      <w:pPr>
        <w:ind w:left="3240" w:hanging="360"/>
      </w:pPr>
      <w:rPr>
        <w:rFonts w:ascii="Courier New" w:hAnsi="Courier New" w:cs="Courier New" w:hint="default"/>
      </w:rPr>
    </w:lvl>
    <w:lvl w:ilvl="5" w:tplc="10090005" w:tentative="1">
      <w:start w:val="1"/>
      <w:numFmt w:val="bullet"/>
      <w:lvlText w:val=""/>
      <w:lvlJc w:val="left"/>
      <w:pPr>
        <w:ind w:left="3960" w:hanging="360"/>
      </w:pPr>
      <w:rPr>
        <w:rFonts w:ascii="Wingdings" w:hAnsi="Wingdings" w:hint="default"/>
      </w:rPr>
    </w:lvl>
    <w:lvl w:ilvl="6" w:tplc="10090001" w:tentative="1">
      <w:start w:val="1"/>
      <w:numFmt w:val="bullet"/>
      <w:lvlText w:val=""/>
      <w:lvlJc w:val="left"/>
      <w:pPr>
        <w:ind w:left="4680" w:hanging="360"/>
      </w:pPr>
      <w:rPr>
        <w:rFonts w:ascii="Symbol" w:hAnsi="Symbol" w:hint="default"/>
      </w:rPr>
    </w:lvl>
    <w:lvl w:ilvl="7" w:tplc="10090003" w:tentative="1">
      <w:start w:val="1"/>
      <w:numFmt w:val="bullet"/>
      <w:lvlText w:val="o"/>
      <w:lvlJc w:val="left"/>
      <w:pPr>
        <w:ind w:left="5400" w:hanging="360"/>
      </w:pPr>
      <w:rPr>
        <w:rFonts w:ascii="Courier New" w:hAnsi="Courier New" w:cs="Courier New" w:hint="default"/>
      </w:rPr>
    </w:lvl>
    <w:lvl w:ilvl="8" w:tplc="10090005" w:tentative="1">
      <w:start w:val="1"/>
      <w:numFmt w:val="bullet"/>
      <w:lvlText w:val=""/>
      <w:lvlJc w:val="left"/>
      <w:pPr>
        <w:ind w:left="6120" w:hanging="360"/>
      </w:pPr>
      <w:rPr>
        <w:rFonts w:ascii="Wingdings" w:hAnsi="Wingdings" w:hint="default"/>
      </w:rPr>
    </w:lvl>
  </w:abstractNum>
  <w:abstractNum w:abstractNumId="135" w15:restartNumberingAfterBreak="0">
    <w:nsid w:val="3B5D1D2C"/>
    <w:multiLevelType w:val="hybridMultilevel"/>
    <w:tmpl w:val="AC9C656A"/>
    <w:lvl w:ilvl="0" w:tplc="10090003">
      <w:start w:val="1"/>
      <w:numFmt w:val="bullet"/>
      <w:lvlText w:val="o"/>
      <w:lvlJc w:val="left"/>
      <w:pPr>
        <w:ind w:left="760" w:hanging="400"/>
      </w:pPr>
      <w:rPr>
        <w:rFonts w:ascii="Courier New" w:hAnsi="Courier New" w:cs="Courier New" w:hint="default"/>
      </w:rPr>
    </w:lvl>
    <w:lvl w:ilvl="1" w:tplc="10090003">
      <w:start w:val="1"/>
      <w:numFmt w:val="bullet"/>
      <w:lvlText w:val="o"/>
      <w:lvlJc w:val="left"/>
      <w:pPr>
        <w:ind w:left="1440" w:hanging="360"/>
      </w:pPr>
      <w:rPr>
        <w:rFonts w:ascii="Courier New" w:hAnsi="Courier New" w:cs="Courier New" w:hint="default"/>
      </w:rPr>
    </w:lvl>
    <w:lvl w:ilvl="2" w:tplc="529C7C2E">
      <w:numFmt w:val="bullet"/>
      <w:lvlText w:val="–"/>
      <w:lvlJc w:val="left"/>
      <w:pPr>
        <w:ind w:left="2160" w:hanging="360"/>
      </w:pPr>
      <w:rPr>
        <w:rFonts w:ascii="Cambria" w:eastAsiaTheme="minorEastAsia" w:hAnsi="Cambria" w:hint="default"/>
      </w:rPr>
    </w:lvl>
    <w:lvl w:ilvl="3" w:tplc="529C7C2E">
      <w:numFmt w:val="bullet"/>
      <w:lvlText w:val="–"/>
      <w:lvlJc w:val="left"/>
      <w:pPr>
        <w:ind w:left="2880" w:hanging="360"/>
      </w:pPr>
      <w:rPr>
        <w:rFonts w:ascii="Cambria" w:eastAsiaTheme="minorEastAsia" w:hAnsi="Cambria" w:hint="default"/>
      </w:rPr>
    </w:lvl>
    <w:lvl w:ilvl="4" w:tplc="529C7C2E">
      <w:numFmt w:val="bullet"/>
      <w:lvlText w:val="–"/>
      <w:lvlJc w:val="left"/>
      <w:pPr>
        <w:ind w:left="3600" w:hanging="360"/>
      </w:pPr>
      <w:rPr>
        <w:rFonts w:ascii="Cambria" w:eastAsiaTheme="minorEastAsia" w:hAnsi="Cambria" w:hint="default"/>
      </w:rPr>
    </w:lvl>
    <w:lvl w:ilvl="5" w:tplc="529C7C2E">
      <w:numFmt w:val="bullet"/>
      <w:lvlText w:val="–"/>
      <w:lvlJc w:val="left"/>
      <w:pPr>
        <w:ind w:left="4320" w:hanging="360"/>
      </w:pPr>
      <w:rPr>
        <w:rFonts w:ascii="Cambria" w:eastAsiaTheme="minorEastAsia" w:hAnsi="Cambria" w:hint="default"/>
      </w:rPr>
    </w:lvl>
    <w:lvl w:ilvl="6" w:tplc="529C7C2E">
      <w:numFmt w:val="bullet"/>
      <w:lvlText w:val="–"/>
      <w:lvlJc w:val="left"/>
      <w:pPr>
        <w:ind w:left="5040" w:hanging="360"/>
      </w:pPr>
      <w:rPr>
        <w:rFonts w:ascii="Cambria" w:eastAsiaTheme="minorEastAsia" w:hAnsi="Cambria"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6" w15:restartNumberingAfterBreak="0">
    <w:nsid w:val="3BE03978"/>
    <w:multiLevelType w:val="hybridMultilevel"/>
    <w:tmpl w:val="C5A03E1A"/>
    <w:lvl w:ilvl="0" w:tplc="10090003">
      <w:start w:val="1"/>
      <w:numFmt w:val="bullet"/>
      <w:lvlText w:val="o"/>
      <w:lvlJc w:val="left"/>
      <w:pPr>
        <w:ind w:left="1120" w:hanging="400"/>
      </w:pPr>
      <w:rPr>
        <w:rFonts w:ascii="Courier New" w:hAnsi="Courier New" w:cs="Courier New" w:hint="default"/>
      </w:rPr>
    </w:lvl>
    <w:lvl w:ilvl="1" w:tplc="10090003">
      <w:start w:val="1"/>
      <w:numFmt w:val="bullet"/>
      <w:lvlText w:val="o"/>
      <w:lvlJc w:val="left"/>
      <w:pPr>
        <w:ind w:left="1800" w:hanging="360"/>
      </w:pPr>
      <w:rPr>
        <w:rFonts w:ascii="Courier New" w:hAnsi="Courier New" w:cs="Courier New" w:hint="default"/>
      </w:rPr>
    </w:lvl>
    <w:lvl w:ilvl="2" w:tplc="529C7C2E">
      <w:numFmt w:val="bullet"/>
      <w:lvlText w:val="–"/>
      <w:lvlJc w:val="left"/>
      <w:pPr>
        <w:ind w:left="2520" w:hanging="360"/>
      </w:pPr>
      <w:rPr>
        <w:rFonts w:ascii="Cambria" w:eastAsiaTheme="minorEastAsia" w:hAnsi="Cambria" w:hint="default"/>
      </w:rPr>
    </w:lvl>
    <w:lvl w:ilvl="3" w:tplc="529C7C2E">
      <w:numFmt w:val="bullet"/>
      <w:lvlText w:val="–"/>
      <w:lvlJc w:val="left"/>
      <w:pPr>
        <w:ind w:left="3240" w:hanging="360"/>
      </w:pPr>
      <w:rPr>
        <w:rFonts w:ascii="Cambria" w:eastAsiaTheme="minorEastAsia" w:hAnsi="Cambria" w:hint="default"/>
      </w:rPr>
    </w:lvl>
    <w:lvl w:ilvl="4" w:tplc="529C7C2E">
      <w:numFmt w:val="bullet"/>
      <w:lvlText w:val="–"/>
      <w:lvlJc w:val="left"/>
      <w:pPr>
        <w:ind w:left="3960" w:hanging="360"/>
      </w:pPr>
      <w:rPr>
        <w:rFonts w:ascii="Cambria" w:eastAsiaTheme="minorEastAsia" w:hAnsi="Cambria" w:hint="default"/>
      </w:rPr>
    </w:lvl>
    <w:lvl w:ilvl="5" w:tplc="529C7C2E">
      <w:numFmt w:val="bullet"/>
      <w:lvlText w:val="–"/>
      <w:lvlJc w:val="left"/>
      <w:pPr>
        <w:ind w:left="4680" w:hanging="360"/>
      </w:pPr>
      <w:rPr>
        <w:rFonts w:ascii="Cambria" w:eastAsiaTheme="minorEastAsia" w:hAnsi="Cambria" w:hint="default"/>
      </w:rPr>
    </w:lvl>
    <w:lvl w:ilvl="6" w:tplc="529C7C2E">
      <w:numFmt w:val="bullet"/>
      <w:lvlText w:val="–"/>
      <w:lvlJc w:val="left"/>
      <w:pPr>
        <w:ind w:left="5400" w:hanging="360"/>
      </w:pPr>
      <w:rPr>
        <w:rFonts w:ascii="Cambria" w:eastAsiaTheme="minorEastAsia" w:hAnsi="Cambria"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37" w15:restartNumberingAfterBreak="0">
    <w:nsid w:val="3DB17200"/>
    <w:multiLevelType w:val="hybridMultilevel"/>
    <w:tmpl w:val="8894F54E"/>
    <w:lvl w:ilvl="0" w:tplc="529C7C2E">
      <w:numFmt w:val="bullet"/>
      <w:lvlText w:val="–"/>
      <w:lvlJc w:val="left"/>
      <w:pPr>
        <w:ind w:left="1080" w:hanging="360"/>
      </w:pPr>
      <w:rPr>
        <w:rFonts w:ascii="Cambria" w:eastAsiaTheme="minorEastAsia" w:hAnsi="Cambria" w:hint="default"/>
      </w:rPr>
    </w:lvl>
    <w:lvl w:ilvl="1" w:tplc="10090003" w:tentative="1">
      <w:start w:val="1"/>
      <w:numFmt w:val="bullet"/>
      <w:lvlText w:val="o"/>
      <w:lvlJc w:val="left"/>
      <w:pPr>
        <w:ind w:left="1800" w:hanging="360"/>
      </w:pPr>
      <w:rPr>
        <w:rFonts w:ascii="Courier New" w:hAnsi="Courier New" w:cs="Courier New"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138" w15:restartNumberingAfterBreak="0">
    <w:nsid w:val="3DB21282"/>
    <w:multiLevelType w:val="hybridMultilevel"/>
    <w:tmpl w:val="7A826132"/>
    <w:lvl w:ilvl="0" w:tplc="FFFFFFFF">
      <w:start w:val="5"/>
      <w:numFmt w:val="bullet"/>
      <w:lvlText w:val="–"/>
      <w:lvlJc w:val="left"/>
      <w:pPr>
        <w:ind w:left="720" w:hanging="360"/>
      </w:pPr>
      <w:rPr>
        <w:rFonts w:ascii="Times New Roman" w:eastAsia="Times New Roman" w:hAnsi="Times New Roman" w:hint="default"/>
      </w:rPr>
    </w:lvl>
    <w:lvl w:ilvl="1" w:tplc="FFFFFFFF">
      <w:start w:val="5"/>
      <w:numFmt w:val="bullet"/>
      <w:lvlText w:val="–"/>
      <w:lvlJc w:val="left"/>
      <w:pPr>
        <w:ind w:left="1440" w:hanging="360"/>
      </w:pPr>
      <w:rPr>
        <w:rFonts w:ascii="Times New Roman" w:eastAsia="Times New Roman" w:hAnsi="Times New Roman" w:hint="default"/>
      </w:rPr>
    </w:lvl>
    <w:lvl w:ilvl="2" w:tplc="84CC2C8A">
      <w:start w:val="5"/>
      <w:numFmt w:val="bullet"/>
      <w:lvlText w:val="–"/>
      <w:lvlJc w:val="left"/>
      <w:pPr>
        <w:ind w:left="2160" w:hanging="360"/>
      </w:pPr>
      <w:rPr>
        <w:rFonts w:ascii="Times New Roman" w:eastAsia="Times New Roman" w:hAnsi="Times New Roman" w:hint="default"/>
      </w:rPr>
    </w:lvl>
    <w:lvl w:ilvl="3" w:tplc="FFFFFFFF">
      <w:start w:val="5"/>
      <w:numFmt w:val="bullet"/>
      <w:lvlText w:val="–"/>
      <w:lvlJc w:val="left"/>
      <w:pPr>
        <w:ind w:left="2880" w:hanging="360"/>
      </w:pPr>
      <w:rPr>
        <w:rFonts w:ascii="Times New Roman" w:eastAsia="Times New Roman" w:hAnsi="Times New Roman" w:hint="default"/>
      </w:rPr>
    </w:lvl>
    <w:lvl w:ilvl="4" w:tplc="08090003">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9" w15:restartNumberingAfterBreak="0">
    <w:nsid w:val="3DFC1AB1"/>
    <w:multiLevelType w:val="multilevel"/>
    <w:tmpl w:val="51BABBB0"/>
    <w:lvl w:ilvl="0">
      <w:numFmt w:val="bullet"/>
      <w:lvlText w:val="–"/>
      <w:lvlJc w:val="left"/>
      <w:pPr>
        <w:ind w:left="1435" w:hanging="715"/>
      </w:pPr>
      <w:rPr>
        <w:rFonts w:ascii="Cambria" w:eastAsiaTheme="minorEastAsia" w:hAnsi="Cambria" w:hint="default"/>
      </w:rPr>
    </w:lvl>
    <w:lvl w:ilvl="1">
      <w:numFmt w:val="bullet"/>
      <w:lvlText w:val="–"/>
      <w:lvlJc w:val="left"/>
      <w:pPr>
        <w:ind w:left="1800" w:hanging="360"/>
      </w:pPr>
      <w:rPr>
        <w:rFonts w:ascii="Cambria" w:eastAsiaTheme="minorEastAsia" w:hAnsi="Cambria"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140" w15:restartNumberingAfterBreak="0">
    <w:nsid w:val="3E1E4CAF"/>
    <w:multiLevelType w:val="hybridMultilevel"/>
    <w:tmpl w:val="3B826BD2"/>
    <w:lvl w:ilvl="0" w:tplc="0DAAA6A2">
      <w:start w:val="1"/>
      <w:numFmt w:val="bullet"/>
      <w:pStyle w:val="SVCBulletslevel2CharChar"/>
      <w:lvlText w:val="−"/>
      <w:lvlJc w:val="left"/>
      <w:pPr>
        <w:tabs>
          <w:tab w:val="num" w:pos="1117"/>
        </w:tabs>
        <w:ind w:left="1117" w:hanging="360"/>
      </w:pPr>
      <w:rPr>
        <w:rFonts w:ascii="Times New Roman" w:hAnsi="Times New Roman" w:hint="default"/>
      </w:rPr>
    </w:lvl>
    <w:lvl w:ilvl="1" w:tplc="04070019">
      <w:start w:val="1"/>
      <w:numFmt w:val="bullet"/>
      <w:lvlText w:val="o"/>
      <w:lvlJc w:val="left"/>
      <w:pPr>
        <w:tabs>
          <w:tab w:val="num" w:pos="1837"/>
        </w:tabs>
        <w:ind w:left="1837" w:hanging="360"/>
      </w:pPr>
      <w:rPr>
        <w:rFonts w:ascii="Courier New" w:hAnsi="Courier New" w:hint="default"/>
      </w:rPr>
    </w:lvl>
    <w:lvl w:ilvl="2" w:tplc="0407001B">
      <w:start w:val="1"/>
      <w:numFmt w:val="bullet"/>
      <w:lvlText w:val=""/>
      <w:lvlJc w:val="left"/>
      <w:pPr>
        <w:tabs>
          <w:tab w:val="num" w:pos="2557"/>
        </w:tabs>
        <w:ind w:left="2557" w:hanging="360"/>
      </w:pPr>
      <w:rPr>
        <w:rFonts w:ascii="Wingdings" w:hAnsi="Wingdings" w:hint="default"/>
      </w:rPr>
    </w:lvl>
    <w:lvl w:ilvl="3" w:tplc="0407000F">
      <w:start w:val="1"/>
      <w:numFmt w:val="bullet"/>
      <w:lvlText w:val=""/>
      <w:lvlJc w:val="left"/>
      <w:pPr>
        <w:tabs>
          <w:tab w:val="num" w:pos="3277"/>
        </w:tabs>
        <w:ind w:left="3277" w:hanging="360"/>
      </w:pPr>
      <w:rPr>
        <w:rFonts w:ascii="Symbol" w:hAnsi="Symbol" w:hint="default"/>
      </w:rPr>
    </w:lvl>
    <w:lvl w:ilvl="4" w:tplc="04070019">
      <w:start w:val="1"/>
      <w:numFmt w:val="bullet"/>
      <w:lvlText w:val="o"/>
      <w:lvlJc w:val="left"/>
      <w:pPr>
        <w:tabs>
          <w:tab w:val="num" w:pos="3997"/>
        </w:tabs>
        <w:ind w:left="3997" w:hanging="360"/>
      </w:pPr>
      <w:rPr>
        <w:rFonts w:ascii="Courier New" w:hAnsi="Courier New" w:hint="default"/>
      </w:rPr>
    </w:lvl>
    <w:lvl w:ilvl="5" w:tplc="0407001B">
      <w:start w:val="1"/>
      <w:numFmt w:val="bullet"/>
      <w:lvlText w:val=""/>
      <w:lvlJc w:val="left"/>
      <w:pPr>
        <w:tabs>
          <w:tab w:val="num" w:pos="4717"/>
        </w:tabs>
        <w:ind w:left="4717" w:hanging="360"/>
      </w:pPr>
      <w:rPr>
        <w:rFonts w:ascii="Wingdings" w:hAnsi="Wingdings" w:hint="default"/>
      </w:rPr>
    </w:lvl>
    <w:lvl w:ilvl="6" w:tplc="0407000F">
      <w:start w:val="1"/>
      <w:numFmt w:val="bullet"/>
      <w:lvlText w:val=""/>
      <w:lvlJc w:val="left"/>
      <w:pPr>
        <w:tabs>
          <w:tab w:val="num" w:pos="5437"/>
        </w:tabs>
        <w:ind w:left="5437" w:hanging="360"/>
      </w:pPr>
      <w:rPr>
        <w:rFonts w:ascii="Symbol" w:hAnsi="Symbol" w:hint="default"/>
      </w:rPr>
    </w:lvl>
    <w:lvl w:ilvl="7" w:tplc="04070019">
      <w:start w:val="1"/>
      <w:numFmt w:val="bullet"/>
      <w:lvlText w:val="o"/>
      <w:lvlJc w:val="left"/>
      <w:pPr>
        <w:tabs>
          <w:tab w:val="num" w:pos="6157"/>
        </w:tabs>
        <w:ind w:left="6157" w:hanging="360"/>
      </w:pPr>
      <w:rPr>
        <w:rFonts w:ascii="Courier New" w:hAnsi="Courier New" w:hint="default"/>
      </w:rPr>
    </w:lvl>
    <w:lvl w:ilvl="8" w:tplc="0407001B">
      <w:start w:val="1"/>
      <w:numFmt w:val="bullet"/>
      <w:lvlText w:val=""/>
      <w:lvlJc w:val="left"/>
      <w:pPr>
        <w:tabs>
          <w:tab w:val="num" w:pos="6877"/>
        </w:tabs>
        <w:ind w:left="6877" w:hanging="360"/>
      </w:pPr>
      <w:rPr>
        <w:rFonts w:ascii="Wingdings" w:hAnsi="Wingdings" w:hint="default"/>
      </w:rPr>
    </w:lvl>
  </w:abstractNum>
  <w:abstractNum w:abstractNumId="141" w15:restartNumberingAfterBreak="0">
    <w:nsid w:val="41075DD0"/>
    <w:multiLevelType w:val="hybridMultilevel"/>
    <w:tmpl w:val="8CBCA7C6"/>
    <w:lvl w:ilvl="0" w:tplc="016011D4">
      <w:start w:val="2"/>
      <w:numFmt w:val="bullet"/>
      <w:lvlText w:val="–"/>
      <w:lvlJc w:val="left"/>
      <w:pPr>
        <w:ind w:left="765" w:hanging="360"/>
      </w:pPr>
      <w:rPr>
        <w:rFonts w:ascii="Calibri" w:eastAsia="Times New Roman" w:hAnsi="Calibri" w:hint="default"/>
      </w:rPr>
    </w:lvl>
    <w:lvl w:ilvl="1" w:tplc="84CC2C8A">
      <w:start w:val="5"/>
      <w:numFmt w:val="bullet"/>
      <w:lvlText w:val="–"/>
      <w:lvlJc w:val="left"/>
      <w:pPr>
        <w:ind w:left="1485" w:hanging="360"/>
      </w:pPr>
      <w:rPr>
        <w:rFonts w:ascii="Times New Roman" w:eastAsia="Times New Roman" w:hAnsi="Times New Roman" w:hint="default"/>
      </w:rPr>
    </w:lvl>
    <w:lvl w:ilvl="2" w:tplc="84CC2C8A">
      <w:start w:val="5"/>
      <w:numFmt w:val="bullet"/>
      <w:lvlText w:val="–"/>
      <w:lvlJc w:val="left"/>
      <w:pPr>
        <w:ind w:left="2205" w:hanging="360"/>
      </w:pPr>
      <w:rPr>
        <w:rFonts w:ascii="Times New Roman" w:eastAsia="Times New Roman" w:hAnsi="Times New Roman" w:hint="default"/>
      </w:rPr>
    </w:lvl>
    <w:lvl w:ilvl="3" w:tplc="08090001" w:tentative="1">
      <w:start w:val="1"/>
      <w:numFmt w:val="bullet"/>
      <w:lvlText w:val=""/>
      <w:lvlJc w:val="left"/>
      <w:pPr>
        <w:ind w:left="2925" w:hanging="360"/>
      </w:pPr>
      <w:rPr>
        <w:rFonts w:ascii="Symbol" w:hAnsi="Symbol" w:hint="default"/>
      </w:rPr>
    </w:lvl>
    <w:lvl w:ilvl="4" w:tplc="08090003" w:tentative="1">
      <w:start w:val="1"/>
      <w:numFmt w:val="bullet"/>
      <w:lvlText w:val="o"/>
      <w:lvlJc w:val="left"/>
      <w:pPr>
        <w:ind w:left="3645" w:hanging="360"/>
      </w:pPr>
      <w:rPr>
        <w:rFonts w:ascii="Courier New" w:hAnsi="Courier New" w:hint="default"/>
      </w:rPr>
    </w:lvl>
    <w:lvl w:ilvl="5" w:tplc="08090005" w:tentative="1">
      <w:start w:val="1"/>
      <w:numFmt w:val="bullet"/>
      <w:lvlText w:val=""/>
      <w:lvlJc w:val="left"/>
      <w:pPr>
        <w:ind w:left="4365" w:hanging="360"/>
      </w:pPr>
      <w:rPr>
        <w:rFonts w:ascii="Wingdings" w:hAnsi="Wingdings" w:hint="default"/>
      </w:rPr>
    </w:lvl>
    <w:lvl w:ilvl="6" w:tplc="08090001" w:tentative="1">
      <w:start w:val="1"/>
      <w:numFmt w:val="bullet"/>
      <w:lvlText w:val=""/>
      <w:lvlJc w:val="left"/>
      <w:pPr>
        <w:ind w:left="5085" w:hanging="360"/>
      </w:pPr>
      <w:rPr>
        <w:rFonts w:ascii="Symbol" w:hAnsi="Symbol" w:hint="default"/>
      </w:rPr>
    </w:lvl>
    <w:lvl w:ilvl="7" w:tplc="08090003" w:tentative="1">
      <w:start w:val="1"/>
      <w:numFmt w:val="bullet"/>
      <w:lvlText w:val="o"/>
      <w:lvlJc w:val="left"/>
      <w:pPr>
        <w:ind w:left="5805" w:hanging="360"/>
      </w:pPr>
      <w:rPr>
        <w:rFonts w:ascii="Courier New" w:hAnsi="Courier New" w:hint="default"/>
      </w:rPr>
    </w:lvl>
    <w:lvl w:ilvl="8" w:tplc="08090005" w:tentative="1">
      <w:start w:val="1"/>
      <w:numFmt w:val="bullet"/>
      <w:lvlText w:val=""/>
      <w:lvlJc w:val="left"/>
      <w:pPr>
        <w:ind w:left="6525" w:hanging="360"/>
      </w:pPr>
      <w:rPr>
        <w:rFonts w:ascii="Wingdings" w:hAnsi="Wingdings" w:hint="default"/>
      </w:rPr>
    </w:lvl>
  </w:abstractNum>
  <w:abstractNum w:abstractNumId="142" w15:restartNumberingAfterBreak="0">
    <w:nsid w:val="41854562"/>
    <w:multiLevelType w:val="hybridMultilevel"/>
    <w:tmpl w:val="AC8CF6BC"/>
    <w:lvl w:ilvl="0" w:tplc="0409000F">
      <w:start w:val="4"/>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43" w15:restartNumberingAfterBreak="0">
    <w:nsid w:val="41C1434F"/>
    <w:multiLevelType w:val="multilevel"/>
    <w:tmpl w:val="D6483218"/>
    <w:lvl w:ilvl="0">
      <w:start w:val="5"/>
      <w:numFmt w:val="bullet"/>
      <w:pStyle w:val="3D0"/>
      <w:lvlText w:val="–"/>
      <w:lvlJc w:val="left"/>
      <w:pPr>
        <w:tabs>
          <w:tab w:val="num" w:pos="340"/>
        </w:tabs>
        <w:ind w:left="357" w:hanging="357"/>
      </w:pPr>
      <w:rPr>
        <w:rFonts w:ascii="Times New Roman" w:hAnsi="Times New Roman" w:hint="default"/>
      </w:rPr>
    </w:lvl>
    <w:lvl w:ilvl="1">
      <w:start w:val="1"/>
      <w:numFmt w:val="bullet"/>
      <w:pStyle w:val="3D1"/>
      <w:lvlText w:val="–"/>
      <w:lvlJc w:val="left"/>
      <w:pPr>
        <w:tabs>
          <w:tab w:val="num" w:pos="697"/>
        </w:tabs>
        <w:ind w:left="714" w:hanging="357"/>
      </w:pPr>
      <w:rPr>
        <w:rFonts w:ascii="Times New Roman" w:hAnsi="Times New Roman" w:hint="default"/>
      </w:rPr>
    </w:lvl>
    <w:lvl w:ilvl="2">
      <w:start w:val="1"/>
      <w:numFmt w:val="bullet"/>
      <w:pStyle w:val="3D2"/>
      <w:lvlText w:val="–"/>
      <w:lvlJc w:val="left"/>
      <w:pPr>
        <w:tabs>
          <w:tab w:val="num" w:pos="340"/>
        </w:tabs>
        <w:ind w:left="357" w:hanging="357"/>
      </w:pPr>
      <w:rPr>
        <w:rFonts w:ascii="Times New Roman" w:hAnsi="Times New Roman" w:hint="default"/>
      </w:rPr>
    </w:lvl>
    <w:lvl w:ilvl="3">
      <w:start w:val="1"/>
      <w:numFmt w:val="bullet"/>
      <w:pStyle w:val="3D3"/>
      <w:lvlText w:val="–"/>
      <w:lvlJc w:val="left"/>
      <w:pPr>
        <w:tabs>
          <w:tab w:val="num" w:pos="1411"/>
        </w:tabs>
        <w:ind w:left="1428" w:hanging="357"/>
      </w:pPr>
      <w:rPr>
        <w:rFonts w:ascii="Times New Roman" w:hAnsi="Times New Roman" w:hint="default"/>
      </w:rPr>
    </w:lvl>
    <w:lvl w:ilvl="4">
      <w:start w:val="1"/>
      <w:numFmt w:val="bullet"/>
      <w:pStyle w:val="3D4"/>
      <w:lvlText w:val="–"/>
      <w:lvlJc w:val="left"/>
      <w:pPr>
        <w:tabs>
          <w:tab w:val="num" w:pos="1768"/>
        </w:tabs>
        <w:ind w:left="1785" w:hanging="357"/>
      </w:pPr>
      <w:rPr>
        <w:rFonts w:ascii="Times New Roman" w:hAnsi="Times New Roman" w:hint="default"/>
      </w:rPr>
    </w:lvl>
    <w:lvl w:ilvl="5">
      <w:start w:val="1"/>
      <w:numFmt w:val="bullet"/>
      <w:pStyle w:val="3D5"/>
      <w:lvlText w:val="–"/>
      <w:lvlJc w:val="left"/>
      <w:pPr>
        <w:tabs>
          <w:tab w:val="num" w:pos="2125"/>
        </w:tabs>
        <w:ind w:left="2142" w:hanging="357"/>
      </w:pPr>
      <w:rPr>
        <w:rFonts w:ascii="Times New Roman" w:hAnsi="Times New Roman" w:hint="default"/>
        <w:b w:val="0"/>
      </w:rPr>
    </w:lvl>
    <w:lvl w:ilvl="6">
      <w:start w:val="1"/>
      <w:numFmt w:val="bullet"/>
      <w:pStyle w:val="3D6"/>
      <w:lvlText w:val="–"/>
      <w:lvlJc w:val="left"/>
      <w:pPr>
        <w:tabs>
          <w:tab w:val="num" w:pos="2482"/>
        </w:tabs>
        <w:ind w:left="2499" w:hanging="357"/>
      </w:pPr>
      <w:rPr>
        <w:rFonts w:ascii="Times New Roman" w:hAnsi="Times New Roman" w:hint="default"/>
      </w:rPr>
    </w:lvl>
    <w:lvl w:ilvl="7">
      <w:start w:val="1"/>
      <w:numFmt w:val="bullet"/>
      <w:pStyle w:val="3D7"/>
      <w:lvlText w:val="–"/>
      <w:lvlJc w:val="left"/>
      <w:pPr>
        <w:tabs>
          <w:tab w:val="num" w:pos="2839"/>
        </w:tabs>
        <w:ind w:left="2856" w:hanging="357"/>
      </w:pPr>
      <w:rPr>
        <w:rFonts w:ascii="Times New Roman" w:hAnsi="Times New Roman" w:hint="default"/>
      </w:rPr>
    </w:lvl>
    <w:lvl w:ilvl="8">
      <w:start w:val="1"/>
      <w:numFmt w:val="bullet"/>
      <w:pStyle w:val="3D8"/>
      <w:lvlText w:val="–"/>
      <w:lvlJc w:val="left"/>
      <w:pPr>
        <w:tabs>
          <w:tab w:val="num" w:pos="3196"/>
        </w:tabs>
        <w:ind w:left="3213" w:hanging="357"/>
      </w:pPr>
      <w:rPr>
        <w:rFonts w:ascii="Times New Roman" w:hAnsi="Times New Roman" w:hint="default"/>
      </w:rPr>
    </w:lvl>
  </w:abstractNum>
  <w:abstractNum w:abstractNumId="144" w15:restartNumberingAfterBreak="0">
    <w:nsid w:val="42091F9F"/>
    <w:multiLevelType w:val="hybridMultilevel"/>
    <w:tmpl w:val="877E9768"/>
    <w:lvl w:ilvl="0" w:tplc="FFFFFFFF">
      <w:start w:val="5"/>
      <w:numFmt w:val="bullet"/>
      <w:lvlText w:val="–"/>
      <w:lvlJc w:val="left"/>
      <w:pPr>
        <w:ind w:left="1440" w:hanging="360"/>
      </w:pPr>
      <w:rPr>
        <w:rFonts w:ascii="Times New Roman" w:eastAsia="Times New Roman" w:hAnsi="Times New Roman" w:hint="default"/>
      </w:rPr>
    </w:lvl>
    <w:lvl w:ilvl="1" w:tplc="08090003" w:tentative="1">
      <w:start w:val="1"/>
      <w:numFmt w:val="bullet"/>
      <w:lvlText w:val="o"/>
      <w:lvlJc w:val="left"/>
      <w:pPr>
        <w:ind w:left="2160" w:hanging="360"/>
      </w:pPr>
      <w:rPr>
        <w:rFonts w:ascii="Courier New" w:hAnsi="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45" w15:restartNumberingAfterBreak="0">
    <w:nsid w:val="421736CD"/>
    <w:multiLevelType w:val="hybridMultilevel"/>
    <w:tmpl w:val="0CB24C2C"/>
    <w:lvl w:ilvl="0" w:tplc="04090019">
      <w:start w:val="1"/>
      <w:numFmt w:val="lowerLetter"/>
      <w:lvlText w:val="%1."/>
      <w:lvlJc w:val="left"/>
      <w:pPr>
        <w:ind w:left="1440" w:hanging="360"/>
      </w:pPr>
      <w:rPr>
        <w:rFonts w:cs="Times New Roman"/>
      </w:rPr>
    </w:lvl>
    <w:lvl w:ilvl="1" w:tplc="04090019" w:tentative="1">
      <w:start w:val="1"/>
      <w:numFmt w:val="lowerLetter"/>
      <w:lvlText w:val="%2."/>
      <w:lvlJc w:val="left"/>
      <w:pPr>
        <w:ind w:left="2160" w:hanging="360"/>
      </w:pPr>
      <w:rPr>
        <w:rFonts w:cs="Times New Roman"/>
      </w:rPr>
    </w:lvl>
    <w:lvl w:ilvl="2" w:tplc="0409001B" w:tentative="1">
      <w:start w:val="1"/>
      <w:numFmt w:val="lowerRoman"/>
      <w:lvlText w:val="%3."/>
      <w:lvlJc w:val="right"/>
      <w:pPr>
        <w:ind w:left="2880" w:hanging="180"/>
      </w:pPr>
      <w:rPr>
        <w:rFonts w:cs="Times New Roman"/>
      </w:rPr>
    </w:lvl>
    <w:lvl w:ilvl="3" w:tplc="0409000F" w:tentative="1">
      <w:start w:val="1"/>
      <w:numFmt w:val="decimal"/>
      <w:lvlText w:val="%4."/>
      <w:lvlJc w:val="left"/>
      <w:pPr>
        <w:ind w:left="3600" w:hanging="360"/>
      </w:pPr>
      <w:rPr>
        <w:rFonts w:cs="Times New Roman"/>
      </w:rPr>
    </w:lvl>
    <w:lvl w:ilvl="4" w:tplc="04090019" w:tentative="1">
      <w:start w:val="1"/>
      <w:numFmt w:val="lowerLetter"/>
      <w:lvlText w:val="%5."/>
      <w:lvlJc w:val="left"/>
      <w:pPr>
        <w:ind w:left="4320" w:hanging="360"/>
      </w:pPr>
      <w:rPr>
        <w:rFonts w:cs="Times New Roman"/>
      </w:rPr>
    </w:lvl>
    <w:lvl w:ilvl="5" w:tplc="0409001B" w:tentative="1">
      <w:start w:val="1"/>
      <w:numFmt w:val="lowerRoman"/>
      <w:lvlText w:val="%6."/>
      <w:lvlJc w:val="right"/>
      <w:pPr>
        <w:ind w:left="5040" w:hanging="180"/>
      </w:pPr>
      <w:rPr>
        <w:rFonts w:cs="Times New Roman"/>
      </w:rPr>
    </w:lvl>
    <w:lvl w:ilvl="6" w:tplc="0409000F" w:tentative="1">
      <w:start w:val="1"/>
      <w:numFmt w:val="decimal"/>
      <w:lvlText w:val="%7."/>
      <w:lvlJc w:val="left"/>
      <w:pPr>
        <w:ind w:left="5760" w:hanging="360"/>
      </w:pPr>
      <w:rPr>
        <w:rFonts w:cs="Times New Roman"/>
      </w:rPr>
    </w:lvl>
    <w:lvl w:ilvl="7" w:tplc="04090019" w:tentative="1">
      <w:start w:val="1"/>
      <w:numFmt w:val="lowerLetter"/>
      <w:lvlText w:val="%8."/>
      <w:lvlJc w:val="left"/>
      <w:pPr>
        <w:ind w:left="6480" w:hanging="360"/>
      </w:pPr>
      <w:rPr>
        <w:rFonts w:cs="Times New Roman"/>
      </w:rPr>
    </w:lvl>
    <w:lvl w:ilvl="8" w:tplc="0409001B" w:tentative="1">
      <w:start w:val="1"/>
      <w:numFmt w:val="lowerRoman"/>
      <w:lvlText w:val="%9."/>
      <w:lvlJc w:val="right"/>
      <w:pPr>
        <w:ind w:left="7200" w:hanging="180"/>
      </w:pPr>
      <w:rPr>
        <w:rFonts w:cs="Times New Roman"/>
      </w:rPr>
    </w:lvl>
  </w:abstractNum>
  <w:abstractNum w:abstractNumId="146" w15:restartNumberingAfterBreak="0">
    <w:nsid w:val="424E5CF2"/>
    <w:multiLevelType w:val="hybridMultilevel"/>
    <w:tmpl w:val="FE745D7E"/>
    <w:lvl w:ilvl="0" w:tplc="FFFFFFFF">
      <w:start w:val="5"/>
      <w:numFmt w:val="bullet"/>
      <w:lvlText w:val="–"/>
      <w:lvlJc w:val="left"/>
      <w:pPr>
        <w:ind w:left="720" w:hanging="360"/>
      </w:pPr>
      <w:rPr>
        <w:rFonts w:ascii="Times New Roman" w:eastAsia="Times New Roman" w:hAnsi="Times New Roman"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7" w15:restartNumberingAfterBreak="0">
    <w:nsid w:val="4270062B"/>
    <w:multiLevelType w:val="hybridMultilevel"/>
    <w:tmpl w:val="7FBCD80E"/>
    <w:lvl w:ilvl="0" w:tplc="016011D4">
      <w:start w:val="2"/>
      <w:numFmt w:val="bullet"/>
      <w:lvlText w:val="–"/>
      <w:lvlJc w:val="left"/>
      <w:pPr>
        <w:ind w:left="720" w:hanging="360"/>
      </w:pPr>
      <w:rPr>
        <w:rFonts w:ascii="Calibri" w:eastAsia="Times New Roman"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8" w15:restartNumberingAfterBreak="0">
    <w:nsid w:val="42D23353"/>
    <w:multiLevelType w:val="hybridMultilevel"/>
    <w:tmpl w:val="42E0E760"/>
    <w:lvl w:ilvl="0" w:tplc="529C7C2E">
      <w:numFmt w:val="bullet"/>
      <w:lvlText w:val="–"/>
      <w:lvlJc w:val="left"/>
      <w:pPr>
        <w:ind w:left="1010" w:hanging="360"/>
      </w:pPr>
      <w:rPr>
        <w:rFonts w:ascii="Cambria" w:eastAsiaTheme="minorEastAsia" w:hAnsi="Cambria" w:hint="default"/>
      </w:rPr>
    </w:lvl>
    <w:lvl w:ilvl="1" w:tplc="529C7C2E">
      <w:numFmt w:val="bullet"/>
      <w:lvlText w:val="–"/>
      <w:lvlJc w:val="left"/>
      <w:pPr>
        <w:ind w:left="1730" w:hanging="360"/>
      </w:pPr>
      <w:rPr>
        <w:rFonts w:ascii="Cambria" w:eastAsiaTheme="minorEastAsia" w:hAnsi="Cambria" w:hint="default"/>
      </w:rPr>
    </w:lvl>
    <w:lvl w:ilvl="2" w:tplc="529C7C2E">
      <w:numFmt w:val="bullet"/>
      <w:lvlText w:val="–"/>
      <w:lvlJc w:val="left"/>
      <w:pPr>
        <w:ind w:left="2450" w:hanging="180"/>
      </w:pPr>
      <w:rPr>
        <w:rFonts w:ascii="Cambria" w:eastAsiaTheme="minorEastAsia" w:hAnsi="Cambria" w:hint="default"/>
      </w:rPr>
    </w:lvl>
    <w:lvl w:ilvl="3" w:tplc="0409000F" w:tentative="1">
      <w:start w:val="1"/>
      <w:numFmt w:val="decimal"/>
      <w:lvlText w:val="%4."/>
      <w:lvlJc w:val="left"/>
      <w:pPr>
        <w:ind w:left="3170" w:hanging="360"/>
      </w:pPr>
      <w:rPr>
        <w:rFonts w:cs="Times New Roman"/>
      </w:rPr>
    </w:lvl>
    <w:lvl w:ilvl="4" w:tplc="04090019" w:tentative="1">
      <w:start w:val="1"/>
      <w:numFmt w:val="lowerLetter"/>
      <w:lvlText w:val="%5."/>
      <w:lvlJc w:val="left"/>
      <w:pPr>
        <w:ind w:left="3890" w:hanging="360"/>
      </w:pPr>
      <w:rPr>
        <w:rFonts w:cs="Times New Roman"/>
      </w:rPr>
    </w:lvl>
    <w:lvl w:ilvl="5" w:tplc="0409001B" w:tentative="1">
      <w:start w:val="1"/>
      <w:numFmt w:val="lowerRoman"/>
      <w:lvlText w:val="%6."/>
      <w:lvlJc w:val="right"/>
      <w:pPr>
        <w:ind w:left="4610" w:hanging="180"/>
      </w:pPr>
      <w:rPr>
        <w:rFonts w:cs="Times New Roman"/>
      </w:rPr>
    </w:lvl>
    <w:lvl w:ilvl="6" w:tplc="0409000F" w:tentative="1">
      <w:start w:val="1"/>
      <w:numFmt w:val="decimal"/>
      <w:lvlText w:val="%7."/>
      <w:lvlJc w:val="left"/>
      <w:pPr>
        <w:ind w:left="5330" w:hanging="360"/>
      </w:pPr>
      <w:rPr>
        <w:rFonts w:cs="Times New Roman"/>
      </w:rPr>
    </w:lvl>
    <w:lvl w:ilvl="7" w:tplc="04090019" w:tentative="1">
      <w:start w:val="1"/>
      <w:numFmt w:val="lowerLetter"/>
      <w:lvlText w:val="%8."/>
      <w:lvlJc w:val="left"/>
      <w:pPr>
        <w:ind w:left="6050" w:hanging="360"/>
      </w:pPr>
      <w:rPr>
        <w:rFonts w:cs="Times New Roman"/>
      </w:rPr>
    </w:lvl>
    <w:lvl w:ilvl="8" w:tplc="0409001B" w:tentative="1">
      <w:start w:val="1"/>
      <w:numFmt w:val="lowerRoman"/>
      <w:lvlText w:val="%9."/>
      <w:lvlJc w:val="right"/>
      <w:pPr>
        <w:ind w:left="6770" w:hanging="180"/>
      </w:pPr>
      <w:rPr>
        <w:rFonts w:cs="Times New Roman"/>
      </w:rPr>
    </w:lvl>
  </w:abstractNum>
  <w:abstractNum w:abstractNumId="149" w15:restartNumberingAfterBreak="0">
    <w:nsid w:val="42FA3329"/>
    <w:multiLevelType w:val="hybridMultilevel"/>
    <w:tmpl w:val="6EE2433A"/>
    <w:lvl w:ilvl="0" w:tplc="04070019">
      <w:start w:val="1"/>
      <w:numFmt w:val="bullet"/>
      <w:pStyle w:val="AVCBulletlevel1CharChar"/>
      <w:lvlText w:val=""/>
      <w:lvlJc w:val="left"/>
      <w:pPr>
        <w:tabs>
          <w:tab w:val="num" w:pos="397"/>
        </w:tabs>
        <w:ind w:left="397" w:hanging="397"/>
      </w:pPr>
      <w:rPr>
        <w:rFonts w:ascii="Symbol" w:hAnsi="Symbol" w:hint="default"/>
      </w:rPr>
    </w:lvl>
    <w:lvl w:ilvl="1" w:tplc="04070019">
      <w:start w:val="1"/>
      <w:numFmt w:val="bullet"/>
      <w:lvlText w:val="o"/>
      <w:lvlJc w:val="left"/>
      <w:pPr>
        <w:tabs>
          <w:tab w:val="num" w:pos="1440"/>
        </w:tabs>
        <w:ind w:left="1440" w:hanging="360"/>
      </w:pPr>
      <w:rPr>
        <w:rFonts w:ascii="Courier New" w:hAnsi="Courier New" w:hint="default"/>
      </w:rPr>
    </w:lvl>
    <w:lvl w:ilvl="2" w:tplc="0407001B">
      <w:start w:val="1"/>
      <w:numFmt w:val="bullet"/>
      <w:lvlText w:val=""/>
      <w:lvlJc w:val="left"/>
      <w:pPr>
        <w:tabs>
          <w:tab w:val="num" w:pos="2160"/>
        </w:tabs>
        <w:ind w:left="2160" w:hanging="360"/>
      </w:pPr>
      <w:rPr>
        <w:rFonts w:ascii="Wingdings" w:hAnsi="Wingdings" w:hint="default"/>
      </w:rPr>
    </w:lvl>
    <w:lvl w:ilvl="3" w:tplc="0407000F">
      <w:start w:val="1"/>
      <w:numFmt w:val="bullet"/>
      <w:lvlText w:val=""/>
      <w:lvlJc w:val="left"/>
      <w:pPr>
        <w:tabs>
          <w:tab w:val="num" w:pos="2880"/>
        </w:tabs>
        <w:ind w:left="2880" w:hanging="360"/>
      </w:pPr>
      <w:rPr>
        <w:rFonts w:ascii="Symbol" w:hAnsi="Symbol" w:hint="default"/>
      </w:rPr>
    </w:lvl>
    <w:lvl w:ilvl="4" w:tplc="04070019">
      <w:start w:val="1"/>
      <w:numFmt w:val="bullet"/>
      <w:lvlText w:val="o"/>
      <w:lvlJc w:val="left"/>
      <w:pPr>
        <w:tabs>
          <w:tab w:val="num" w:pos="3600"/>
        </w:tabs>
        <w:ind w:left="3600" w:hanging="360"/>
      </w:pPr>
      <w:rPr>
        <w:rFonts w:ascii="Courier New" w:hAnsi="Courier New" w:hint="default"/>
      </w:rPr>
    </w:lvl>
    <w:lvl w:ilvl="5" w:tplc="0407001B">
      <w:start w:val="1"/>
      <w:numFmt w:val="bullet"/>
      <w:lvlText w:val=""/>
      <w:lvlJc w:val="left"/>
      <w:pPr>
        <w:tabs>
          <w:tab w:val="num" w:pos="4320"/>
        </w:tabs>
        <w:ind w:left="4320" w:hanging="360"/>
      </w:pPr>
      <w:rPr>
        <w:rFonts w:ascii="Wingdings" w:hAnsi="Wingdings" w:hint="default"/>
      </w:rPr>
    </w:lvl>
    <w:lvl w:ilvl="6" w:tplc="0407000F">
      <w:start w:val="1"/>
      <w:numFmt w:val="bullet"/>
      <w:lvlText w:val=""/>
      <w:lvlJc w:val="left"/>
      <w:pPr>
        <w:tabs>
          <w:tab w:val="num" w:pos="5040"/>
        </w:tabs>
        <w:ind w:left="5040" w:hanging="360"/>
      </w:pPr>
      <w:rPr>
        <w:rFonts w:ascii="Symbol" w:hAnsi="Symbol" w:hint="default"/>
      </w:rPr>
    </w:lvl>
    <w:lvl w:ilvl="7" w:tplc="04070019">
      <w:start w:val="1"/>
      <w:numFmt w:val="bullet"/>
      <w:lvlText w:val="o"/>
      <w:lvlJc w:val="left"/>
      <w:pPr>
        <w:tabs>
          <w:tab w:val="num" w:pos="5760"/>
        </w:tabs>
        <w:ind w:left="5760" w:hanging="360"/>
      </w:pPr>
      <w:rPr>
        <w:rFonts w:ascii="Courier New" w:hAnsi="Courier New" w:hint="default"/>
      </w:rPr>
    </w:lvl>
    <w:lvl w:ilvl="8" w:tplc="0407001B">
      <w:start w:val="1"/>
      <w:numFmt w:val="bullet"/>
      <w:lvlText w:val=""/>
      <w:lvlJc w:val="left"/>
      <w:pPr>
        <w:tabs>
          <w:tab w:val="num" w:pos="6480"/>
        </w:tabs>
        <w:ind w:left="6480" w:hanging="360"/>
      </w:pPr>
      <w:rPr>
        <w:rFonts w:ascii="Wingdings" w:hAnsi="Wingdings" w:hint="default"/>
      </w:rPr>
    </w:lvl>
  </w:abstractNum>
  <w:abstractNum w:abstractNumId="150" w15:restartNumberingAfterBreak="0">
    <w:nsid w:val="43100D29"/>
    <w:multiLevelType w:val="hybridMultilevel"/>
    <w:tmpl w:val="C824BC2A"/>
    <w:lvl w:ilvl="0" w:tplc="529C7C2E">
      <w:numFmt w:val="bullet"/>
      <w:lvlText w:val="–"/>
      <w:lvlJc w:val="left"/>
      <w:pPr>
        <w:ind w:left="360" w:hanging="360"/>
      </w:pPr>
      <w:rPr>
        <w:rFonts w:ascii="Cambria" w:eastAsiaTheme="minorEastAsia" w:hAnsi="Cambria" w:hint="default"/>
      </w:rPr>
    </w:lvl>
    <w:lvl w:ilvl="1" w:tplc="10090003">
      <w:start w:val="1"/>
      <w:numFmt w:val="bullet"/>
      <w:lvlText w:val="o"/>
      <w:lvlJc w:val="left"/>
      <w:pPr>
        <w:ind w:left="1080" w:hanging="360"/>
      </w:pPr>
      <w:rPr>
        <w:rFonts w:ascii="Courier New" w:hAnsi="Courier New" w:cs="Courier New" w:hint="default"/>
      </w:rPr>
    </w:lvl>
    <w:lvl w:ilvl="2" w:tplc="10090005" w:tentative="1">
      <w:start w:val="1"/>
      <w:numFmt w:val="bullet"/>
      <w:lvlText w:val=""/>
      <w:lvlJc w:val="left"/>
      <w:pPr>
        <w:ind w:left="1800" w:hanging="360"/>
      </w:pPr>
      <w:rPr>
        <w:rFonts w:ascii="Wingdings" w:hAnsi="Wingdings" w:hint="default"/>
      </w:rPr>
    </w:lvl>
    <w:lvl w:ilvl="3" w:tplc="10090001" w:tentative="1">
      <w:start w:val="1"/>
      <w:numFmt w:val="bullet"/>
      <w:lvlText w:val=""/>
      <w:lvlJc w:val="left"/>
      <w:pPr>
        <w:ind w:left="2520" w:hanging="360"/>
      </w:pPr>
      <w:rPr>
        <w:rFonts w:ascii="Symbol" w:hAnsi="Symbol" w:hint="default"/>
      </w:rPr>
    </w:lvl>
    <w:lvl w:ilvl="4" w:tplc="10090003" w:tentative="1">
      <w:start w:val="1"/>
      <w:numFmt w:val="bullet"/>
      <w:lvlText w:val="o"/>
      <w:lvlJc w:val="left"/>
      <w:pPr>
        <w:ind w:left="3240" w:hanging="360"/>
      </w:pPr>
      <w:rPr>
        <w:rFonts w:ascii="Courier New" w:hAnsi="Courier New" w:cs="Courier New" w:hint="default"/>
      </w:rPr>
    </w:lvl>
    <w:lvl w:ilvl="5" w:tplc="10090005" w:tentative="1">
      <w:start w:val="1"/>
      <w:numFmt w:val="bullet"/>
      <w:lvlText w:val=""/>
      <w:lvlJc w:val="left"/>
      <w:pPr>
        <w:ind w:left="3960" w:hanging="360"/>
      </w:pPr>
      <w:rPr>
        <w:rFonts w:ascii="Wingdings" w:hAnsi="Wingdings" w:hint="default"/>
      </w:rPr>
    </w:lvl>
    <w:lvl w:ilvl="6" w:tplc="10090001" w:tentative="1">
      <w:start w:val="1"/>
      <w:numFmt w:val="bullet"/>
      <w:lvlText w:val=""/>
      <w:lvlJc w:val="left"/>
      <w:pPr>
        <w:ind w:left="4680" w:hanging="360"/>
      </w:pPr>
      <w:rPr>
        <w:rFonts w:ascii="Symbol" w:hAnsi="Symbol" w:hint="default"/>
      </w:rPr>
    </w:lvl>
    <w:lvl w:ilvl="7" w:tplc="10090003" w:tentative="1">
      <w:start w:val="1"/>
      <w:numFmt w:val="bullet"/>
      <w:lvlText w:val="o"/>
      <w:lvlJc w:val="left"/>
      <w:pPr>
        <w:ind w:left="5400" w:hanging="360"/>
      </w:pPr>
      <w:rPr>
        <w:rFonts w:ascii="Courier New" w:hAnsi="Courier New" w:cs="Courier New" w:hint="default"/>
      </w:rPr>
    </w:lvl>
    <w:lvl w:ilvl="8" w:tplc="10090005" w:tentative="1">
      <w:start w:val="1"/>
      <w:numFmt w:val="bullet"/>
      <w:lvlText w:val=""/>
      <w:lvlJc w:val="left"/>
      <w:pPr>
        <w:ind w:left="6120" w:hanging="360"/>
      </w:pPr>
      <w:rPr>
        <w:rFonts w:ascii="Wingdings" w:hAnsi="Wingdings" w:hint="default"/>
      </w:rPr>
    </w:lvl>
  </w:abstractNum>
  <w:abstractNum w:abstractNumId="151" w15:restartNumberingAfterBreak="0">
    <w:nsid w:val="43247546"/>
    <w:multiLevelType w:val="multilevel"/>
    <w:tmpl w:val="8D30CB16"/>
    <w:numStyleLink w:val="1"/>
  </w:abstractNum>
  <w:abstractNum w:abstractNumId="152" w15:restartNumberingAfterBreak="0">
    <w:nsid w:val="4364136F"/>
    <w:multiLevelType w:val="hybridMultilevel"/>
    <w:tmpl w:val="6B1434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3" w15:restartNumberingAfterBreak="0">
    <w:nsid w:val="43792DFB"/>
    <w:multiLevelType w:val="hybridMultilevel"/>
    <w:tmpl w:val="583AFCC0"/>
    <w:lvl w:ilvl="0" w:tplc="016011D4">
      <w:start w:val="2"/>
      <w:numFmt w:val="bullet"/>
      <w:lvlText w:val="–"/>
      <w:lvlJc w:val="left"/>
      <w:pPr>
        <w:ind w:left="720" w:hanging="360"/>
      </w:pPr>
      <w:rPr>
        <w:rFonts w:ascii="Calibri" w:eastAsia="Times New Roman" w:hAnsi="Calibri"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4" w15:restartNumberingAfterBreak="0">
    <w:nsid w:val="439204FD"/>
    <w:multiLevelType w:val="hybridMultilevel"/>
    <w:tmpl w:val="3A426A04"/>
    <w:lvl w:ilvl="0" w:tplc="016011D4">
      <w:start w:val="2"/>
      <w:numFmt w:val="bullet"/>
      <w:lvlText w:val="–"/>
      <w:lvlJc w:val="left"/>
      <w:pPr>
        <w:ind w:left="765" w:hanging="360"/>
      </w:pPr>
      <w:rPr>
        <w:rFonts w:ascii="Calibri" w:eastAsia="Times New Roman" w:hAnsi="Calibri" w:hint="default"/>
      </w:rPr>
    </w:lvl>
    <w:lvl w:ilvl="1" w:tplc="016011D4">
      <w:start w:val="2"/>
      <w:numFmt w:val="bullet"/>
      <w:lvlText w:val="–"/>
      <w:lvlJc w:val="left"/>
      <w:pPr>
        <w:ind w:left="1485" w:hanging="360"/>
      </w:pPr>
      <w:rPr>
        <w:rFonts w:ascii="Calibri" w:eastAsia="Times New Roman" w:hAnsi="Calibri" w:hint="default"/>
      </w:rPr>
    </w:lvl>
    <w:lvl w:ilvl="2" w:tplc="84CC2C8A">
      <w:start w:val="5"/>
      <w:numFmt w:val="bullet"/>
      <w:lvlText w:val="–"/>
      <w:lvlJc w:val="left"/>
      <w:pPr>
        <w:ind w:left="2205" w:hanging="360"/>
      </w:pPr>
      <w:rPr>
        <w:rFonts w:ascii="Times New Roman" w:eastAsia="Times New Roman" w:hAnsi="Times New Roman" w:hint="default"/>
      </w:rPr>
    </w:lvl>
    <w:lvl w:ilvl="3" w:tplc="08090001" w:tentative="1">
      <w:start w:val="1"/>
      <w:numFmt w:val="bullet"/>
      <w:lvlText w:val=""/>
      <w:lvlJc w:val="left"/>
      <w:pPr>
        <w:ind w:left="2925" w:hanging="360"/>
      </w:pPr>
      <w:rPr>
        <w:rFonts w:ascii="Symbol" w:hAnsi="Symbol" w:hint="default"/>
      </w:rPr>
    </w:lvl>
    <w:lvl w:ilvl="4" w:tplc="08090003" w:tentative="1">
      <w:start w:val="1"/>
      <w:numFmt w:val="bullet"/>
      <w:lvlText w:val="o"/>
      <w:lvlJc w:val="left"/>
      <w:pPr>
        <w:ind w:left="3645" w:hanging="360"/>
      </w:pPr>
      <w:rPr>
        <w:rFonts w:ascii="Courier New" w:hAnsi="Courier New" w:hint="default"/>
      </w:rPr>
    </w:lvl>
    <w:lvl w:ilvl="5" w:tplc="08090005" w:tentative="1">
      <w:start w:val="1"/>
      <w:numFmt w:val="bullet"/>
      <w:lvlText w:val=""/>
      <w:lvlJc w:val="left"/>
      <w:pPr>
        <w:ind w:left="4365" w:hanging="360"/>
      </w:pPr>
      <w:rPr>
        <w:rFonts w:ascii="Wingdings" w:hAnsi="Wingdings" w:hint="default"/>
      </w:rPr>
    </w:lvl>
    <w:lvl w:ilvl="6" w:tplc="08090001" w:tentative="1">
      <w:start w:val="1"/>
      <w:numFmt w:val="bullet"/>
      <w:lvlText w:val=""/>
      <w:lvlJc w:val="left"/>
      <w:pPr>
        <w:ind w:left="5085" w:hanging="360"/>
      </w:pPr>
      <w:rPr>
        <w:rFonts w:ascii="Symbol" w:hAnsi="Symbol" w:hint="default"/>
      </w:rPr>
    </w:lvl>
    <w:lvl w:ilvl="7" w:tplc="08090003" w:tentative="1">
      <w:start w:val="1"/>
      <w:numFmt w:val="bullet"/>
      <w:lvlText w:val="o"/>
      <w:lvlJc w:val="left"/>
      <w:pPr>
        <w:ind w:left="5805" w:hanging="360"/>
      </w:pPr>
      <w:rPr>
        <w:rFonts w:ascii="Courier New" w:hAnsi="Courier New" w:hint="default"/>
      </w:rPr>
    </w:lvl>
    <w:lvl w:ilvl="8" w:tplc="08090005" w:tentative="1">
      <w:start w:val="1"/>
      <w:numFmt w:val="bullet"/>
      <w:lvlText w:val=""/>
      <w:lvlJc w:val="left"/>
      <w:pPr>
        <w:ind w:left="6525" w:hanging="360"/>
      </w:pPr>
      <w:rPr>
        <w:rFonts w:ascii="Wingdings" w:hAnsi="Wingdings" w:hint="default"/>
      </w:rPr>
    </w:lvl>
  </w:abstractNum>
  <w:abstractNum w:abstractNumId="155" w15:restartNumberingAfterBreak="0">
    <w:nsid w:val="47C91D33"/>
    <w:multiLevelType w:val="hybridMultilevel"/>
    <w:tmpl w:val="9566E018"/>
    <w:lvl w:ilvl="0" w:tplc="529C7C2E">
      <w:numFmt w:val="bullet"/>
      <w:lvlText w:val="–"/>
      <w:lvlJc w:val="left"/>
      <w:pPr>
        <w:ind w:left="360" w:hanging="360"/>
      </w:pPr>
      <w:rPr>
        <w:rFonts w:ascii="Cambria" w:eastAsiaTheme="minorEastAsia" w:hAnsi="Cambria"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6" w15:restartNumberingAfterBreak="0">
    <w:nsid w:val="481E7263"/>
    <w:multiLevelType w:val="multilevel"/>
    <w:tmpl w:val="5D4EDD56"/>
    <w:lvl w:ilvl="0">
      <w:start w:val="3"/>
      <w:numFmt w:val="decimal"/>
      <w:lvlText w:val="%1"/>
      <w:lvlJc w:val="left"/>
      <w:pPr>
        <w:tabs>
          <w:tab w:val="num" w:pos="795"/>
        </w:tabs>
        <w:ind w:left="795" w:hanging="795"/>
      </w:pPr>
      <w:rPr>
        <w:rFonts w:cs="Times New Roman" w:hint="default"/>
        <w:b/>
        <w:bCs/>
      </w:rPr>
    </w:lvl>
    <w:lvl w:ilvl="1">
      <w:start w:val="1"/>
      <w:numFmt w:val="decimal"/>
      <w:lvlText w:val="H.%1.%2"/>
      <w:lvlJc w:val="left"/>
      <w:pPr>
        <w:ind w:left="795" w:hanging="795"/>
      </w:pPr>
      <w:rPr>
        <w:rFonts w:cs="Times New Roman" w:hint="default"/>
        <w:b/>
        <w:bCs/>
      </w:rPr>
    </w:lvl>
    <w:lvl w:ilvl="2">
      <w:start w:val="1"/>
      <w:numFmt w:val="decimal"/>
      <w:lvlText w:val="%1.%2.%3"/>
      <w:lvlJc w:val="left"/>
      <w:pPr>
        <w:tabs>
          <w:tab w:val="num" w:pos="795"/>
        </w:tabs>
        <w:ind w:left="795" w:hanging="795"/>
      </w:pPr>
      <w:rPr>
        <w:rFonts w:cs="Times New Roman" w:hint="default"/>
        <w:b/>
        <w:bCs/>
      </w:rPr>
    </w:lvl>
    <w:lvl w:ilvl="3">
      <w:start w:val="1"/>
      <w:numFmt w:val="decimal"/>
      <w:lvlText w:val="%1.%2.%3.%4"/>
      <w:lvlJc w:val="left"/>
      <w:pPr>
        <w:tabs>
          <w:tab w:val="num" w:pos="795"/>
        </w:tabs>
        <w:ind w:left="795" w:hanging="795"/>
      </w:pPr>
      <w:rPr>
        <w:rFonts w:cs="Times New Roman" w:hint="default"/>
        <w:b/>
        <w:bCs/>
      </w:rPr>
    </w:lvl>
    <w:lvl w:ilvl="4">
      <w:start w:val="1"/>
      <w:numFmt w:val="decimal"/>
      <w:lvlText w:val="%1.%2.%3.%4.%5"/>
      <w:lvlJc w:val="left"/>
      <w:pPr>
        <w:tabs>
          <w:tab w:val="num" w:pos="795"/>
        </w:tabs>
        <w:ind w:left="795" w:hanging="795"/>
      </w:pPr>
      <w:rPr>
        <w:rFonts w:cs="Times New Roman" w:hint="default"/>
        <w:b/>
        <w:bCs/>
      </w:rPr>
    </w:lvl>
    <w:lvl w:ilvl="5">
      <w:start w:val="1"/>
      <w:numFmt w:val="decimal"/>
      <w:lvlText w:val="%1.%2.%3.%4.%5.%6"/>
      <w:lvlJc w:val="left"/>
      <w:pPr>
        <w:tabs>
          <w:tab w:val="num" w:pos="1080"/>
        </w:tabs>
        <w:ind w:left="1080" w:hanging="1080"/>
      </w:pPr>
      <w:rPr>
        <w:rFonts w:cs="Times New Roman" w:hint="default"/>
        <w:b/>
        <w:bCs/>
      </w:rPr>
    </w:lvl>
    <w:lvl w:ilvl="6">
      <w:start w:val="1"/>
      <w:numFmt w:val="decimal"/>
      <w:lvlText w:val="%1.%2.%3.%4.%5.%6.%7"/>
      <w:lvlJc w:val="left"/>
      <w:pPr>
        <w:tabs>
          <w:tab w:val="num" w:pos="1080"/>
        </w:tabs>
        <w:ind w:left="1080" w:hanging="1080"/>
      </w:pPr>
      <w:rPr>
        <w:rFonts w:cs="Times New Roman" w:hint="default"/>
        <w:b/>
        <w:bCs/>
      </w:rPr>
    </w:lvl>
    <w:lvl w:ilvl="7">
      <w:start w:val="1"/>
      <w:numFmt w:val="decimal"/>
      <w:lvlText w:val="%1.%2.%3.%4.%5.%6.%7.%8"/>
      <w:lvlJc w:val="left"/>
      <w:pPr>
        <w:tabs>
          <w:tab w:val="num" w:pos="1440"/>
        </w:tabs>
        <w:ind w:left="1440" w:hanging="1440"/>
      </w:pPr>
      <w:rPr>
        <w:rFonts w:cs="Times New Roman" w:hint="default"/>
        <w:b/>
        <w:bCs/>
      </w:rPr>
    </w:lvl>
    <w:lvl w:ilvl="8">
      <w:start w:val="1"/>
      <w:numFmt w:val="decimal"/>
      <w:lvlText w:val="%1.%2.%3.%4.%5.%6.%7.%8.%9"/>
      <w:lvlJc w:val="left"/>
      <w:pPr>
        <w:tabs>
          <w:tab w:val="num" w:pos="1440"/>
        </w:tabs>
        <w:ind w:left="1440" w:hanging="1440"/>
      </w:pPr>
      <w:rPr>
        <w:rFonts w:cs="Times New Roman" w:hint="default"/>
        <w:b/>
        <w:bCs/>
      </w:rPr>
    </w:lvl>
  </w:abstractNum>
  <w:abstractNum w:abstractNumId="157" w15:restartNumberingAfterBreak="0">
    <w:nsid w:val="483F549F"/>
    <w:multiLevelType w:val="hybridMultilevel"/>
    <w:tmpl w:val="1A26AADE"/>
    <w:lvl w:ilvl="0" w:tplc="529C7C2E">
      <w:numFmt w:val="bullet"/>
      <w:lvlText w:val="–"/>
      <w:lvlJc w:val="left"/>
      <w:pPr>
        <w:ind w:left="1440" w:hanging="360"/>
      </w:pPr>
      <w:rPr>
        <w:rFonts w:ascii="Cambria" w:eastAsiaTheme="minorEastAsia" w:hAnsi="Cambria"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58" w15:restartNumberingAfterBreak="0">
    <w:nsid w:val="48BE71D4"/>
    <w:multiLevelType w:val="hybridMultilevel"/>
    <w:tmpl w:val="346EEF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9" w15:restartNumberingAfterBreak="0">
    <w:nsid w:val="49FE4761"/>
    <w:multiLevelType w:val="hybridMultilevel"/>
    <w:tmpl w:val="3EB2B592"/>
    <w:lvl w:ilvl="0" w:tplc="529C7C2E">
      <w:numFmt w:val="bullet"/>
      <w:lvlText w:val="–"/>
      <w:lvlJc w:val="left"/>
      <w:pPr>
        <w:ind w:left="1080" w:hanging="360"/>
      </w:pPr>
      <w:rPr>
        <w:rFonts w:ascii="Cambria" w:eastAsiaTheme="minorEastAsia" w:hAnsi="Cambria" w:hint="default"/>
      </w:rPr>
    </w:lvl>
    <w:lvl w:ilvl="1" w:tplc="529C7C2E">
      <w:numFmt w:val="bullet"/>
      <w:lvlText w:val="–"/>
      <w:lvlJc w:val="left"/>
      <w:pPr>
        <w:ind w:left="1800" w:hanging="360"/>
      </w:pPr>
      <w:rPr>
        <w:rFonts w:ascii="Cambria" w:eastAsiaTheme="minorEastAsia" w:hAnsi="Cambria"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160" w15:restartNumberingAfterBreak="0">
    <w:nsid w:val="4A5E35B0"/>
    <w:multiLevelType w:val="hybridMultilevel"/>
    <w:tmpl w:val="A6ACC486"/>
    <w:lvl w:ilvl="0" w:tplc="FFFFFFFF">
      <w:start w:val="5"/>
      <w:numFmt w:val="bullet"/>
      <w:lvlText w:val="–"/>
      <w:lvlJc w:val="left"/>
      <w:pPr>
        <w:ind w:left="720" w:hanging="360"/>
      </w:pPr>
      <w:rPr>
        <w:rFonts w:ascii="Times New Roman" w:eastAsia="Times New Roman" w:hAnsi="Times New Roman"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1" w15:restartNumberingAfterBreak="0">
    <w:nsid w:val="4AC07EED"/>
    <w:multiLevelType w:val="hybridMultilevel"/>
    <w:tmpl w:val="0F4C1C24"/>
    <w:lvl w:ilvl="0" w:tplc="8CA04B38">
      <w:numFmt w:val="bullet"/>
      <w:lvlText w:val="-"/>
      <w:lvlJc w:val="left"/>
      <w:pPr>
        <w:ind w:left="1166" w:hanging="360"/>
      </w:pPr>
      <w:rPr>
        <w:rFonts w:ascii="Times New Roman" w:eastAsia="MS Mincho" w:hAnsi="Times New Roman" w:hint="default"/>
      </w:rPr>
    </w:lvl>
    <w:lvl w:ilvl="1" w:tplc="04090003" w:tentative="1">
      <w:start w:val="1"/>
      <w:numFmt w:val="bullet"/>
      <w:lvlText w:val="o"/>
      <w:lvlJc w:val="left"/>
      <w:pPr>
        <w:ind w:left="1886" w:hanging="360"/>
      </w:pPr>
      <w:rPr>
        <w:rFonts w:ascii="Courier New" w:hAnsi="Courier New" w:hint="default"/>
      </w:rPr>
    </w:lvl>
    <w:lvl w:ilvl="2" w:tplc="04090005" w:tentative="1">
      <w:start w:val="1"/>
      <w:numFmt w:val="bullet"/>
      <w:lvlText w:val=""/>
      <w:lvlJc w:val="left"/>
      <w:pPr>
        <w:ind w:left="2606" w:hanging="360"/>
      </w:pPr>
      <w:rPr>
        <w:rFonts w:ascii="Wingdings" w:hAnsi="Wingdings" w:hint="default"/>
      </w:rPr>
    </w:lvl>
    <w:lvl w:ilvl="3" w:tplc="04090001" w:tentative="1">
      <w:start w:val="1"/>
      <w:numFmt w:val="bullet"/>
      <w:lvlText w:val=""/>
      <w:lvlJc w:val="left"/>
      <w:pPr>
        <w:ind w:left="3326" w:hanging="360"/>
      </w:pPr>
      <w:rPr>
        <w:rFonts w:ascii="Symbol" w:hAnsi="Symbol" w:hint="default"/>
      </w:rPr>
    </w:lvl>
    <w:lvl w:ilvl="4" w:tplc="04090003" w:tentative="1">
      <w:start w:val="1"/>
      <w:numFmt w:val="bullet"/>
      <w:lvlText w:val="o"/>
      <w:lvlJc w:val="left"/>
      <w:pPr>
        <w:ind w:left="4046" w:hanging="360"/>
      </w:pPr>
      <w:rPr>
        <w:rFonts w:ascii="Courier New" w:hAnsi="Courier New" w:hint="default"/>
      </w:rPr>
    </w:lvl>
    <w:lvl w:ilvl="5" w:tplc="04090005" w:tentative="1">
      <w:start w:val="1"/>
      <w:numFmt w:val="bullet"/>
      <w:lvlText w:val=""/>
      <w:lvlJc w:val="left"/>
      <w:pPr>
        <w:ind w:left="4766" w:hanging="360"/>
      </w:pPr>
      <w:rPr>
        <w:rFonts w:ascii="Wingdings" w:hAnsi="Wingdings" w:hint="default"/>
      </w:rPr>
    </w:lvl>
    <w:lvl w:ilvl="6" w:tplc="04090001" w:tentative="1">
      <w:start w:val="1"/>
      <w:numFmt w:val="bullet"/>
      <w:lvlText w:val=""/>
      <w:lvlJc w:val="left"/>
      <w:pPr>
        <w:ind w:left="5486" w:hanging="360"/>
      </w:pPr>
      <w:rPr>
        <w:rFonts w:ascii="Symbol" w:hAnsi="Symbol" w:hint="default"/>
      </w:rPr>
    </w:lvl>
    <w:lvl w:ilvl="7" w:tplc="04090003" w:tentative="1">
      <w:start w:val="1"/>
      <w:numFmt w:val="bullet"/>
      <w:lvlText w:val="o"/>
      <w:lvlJc w:val="left"/>
      <w:pPr>
        <w:ind w:left="6206" w:hanging="360"/>
      </w:pPr>
      <w:rPr>
        <w:rFonts w:ascii="Courier New" w:hAnsi="Courier New" w:hint="default"/>
      </w:rPr>
    </w:lvl>
    <w:lvl w:ilvl="8" w:tplc="04090005" w:tentative="1">
      <w:start w:val="1"/>
      <w:numFmt w:val="bullet"/>
      <w:lvlText w:val=""/>
      <w:lvlJc w:val="left"/>
      <w:pPr>
        <w:ind w:left="6926" w:hanging="360"/>
      </w:pPr>
      <w:rPr>
        <w:rFonts w:ascii="Wingdings" w:hAnsi="Wingdings" w:hint="default"/>
      </w:rPr>
    </w:lvl>
  </w:abstractNum>
  <w:abstractNum w:abstractNumId="162" w15:restartNumberingAfterBreak="0">
    <w:nsid w:val="4B0133BF"/>
    <w:multiLevelType w:val="hybridMultilevel"/>
    <w:tmpl w:val="7E8C54E2"/>
    <w:lvl w:ilvl="0" w:tplc="AD041074">
      <w:start w:val="1"/>
      <w:numFmt w:val="bullet"/>
      <w:lvlText w:val="-"/>
      <w:lvlJc w:val="left"/>
      <w:pPr>
        <w:ind w:left="704" w:hanging="360"/>
      </w:pPr>
      <w:rPr>
        <w:rFonts w:ascii="Times New Roman" w:eastAsia="MS Mincho" w:hAnsi="Times New Roman" w:hint="default"/>
      </w:rPr>
    </w:lvl>
    <w:lvl w:ilvl="1" w:tplc="04090003">
      <w:start w:val="1"/>
      <w:numFmt w:val="bullet"/>
      <w:lvlText w:val="o"/>
      <w:lvlJc w:val="left"/>
      <w:pPr>
        <w:ind w:left="1424" w:hanging="360"/>
      </w:pPr>
      <w:rPr>
        <w:rFonts w:ascii="Courier New" w:hAnsi="Courier New" w:hint="default"/>
      </w:rPr>
    </w:lvl>
    <w:lvl w:ilvl="2" w:tplc="04090005" w:tentative="1">
      <w:start w:val="1"/>
      <w:numFmt w:val="bullet"/>
      <w:lvlText w:val=""/>
      <w:lvlJc w:val="left"/>
      <w:pPr>
        <w:ind w:left="2144" w:hanging="360"/>
      </w:pPr>
      <w:rPr>
        <w:rFonts w:ascii="Wingdings" w:hAnsi="Wingdings" w:hint="default"/>
      </w:rPr>
    </w:lvl>
    <w:lvl w:ilvl="3" w:tplc="04090001" w:tentative="1">
      <w:start w:val="1"/>
      <w:numFmt w:val="bullet"/>
      <w:lvlText w:val=""/>
      <w:lvlJc w:val="left"/>
      <w:pPr>
        <w:ind w:left="2864" w:hanging="360"/>
      </w:pPr>
      <w:rPr>
        <w:rFonts w:ascii="Symbol" w:hAnsi="Symbol" w:hint="default"/>
      </w:rPr>
    </w:lvl>
    <w:lvl w:ilvl="4" w:tplc="04090003" w:tentative="1">
      <w:start w:val="1"/>
      <w:numFmt w:val="bullet"/>
      <w:lvlText w:val="o"/>
      <w:lvlJc w:val="left"/>
      <w:pPr>
        <w:ind w:left="3584" w:hanging="360"/>
      </w:pPr>
      <w:rPr>
        <w:rFonts w:ascii="Courier New" w:hAnsi="Courier New" w:hint="default"/>
      </w:rPr>
    </w:lvl>
    <w:lvl w:ilvl="5" w:tplc="04090005" w:tentative="1">
      <w:start w:val="1"/>
      <w:numFmt w:val="bullet"/>
      <w:lvlText w:val=""/>
      <w:lvlJc w:val="left"/>
      <w:pPr>
        <w:ind w:left="4304" w:hanging="360"/>
      </w:pPr>
      <w:rPr>
        <w:rFonts w:ascii="Wingdings" w:hAnsi="Wingdings" w:hint="default"/>
      </w:rPr>
    </w:lvl>
    <w:lvl w:ilvl="6" w:tplc="04090001" w:tentative="1">
      <w:start w:val="1"/>
      <w:numFmt w:val="bullet"/>
      <w:lvlText w:val=""/>
      <w:lvlJc w:val="left"/>
      <w:pPr>
        <w:ind w:left="5024" w:hanging="360"/>
      </w:pPr>
      <w:rPr>
        <w:rFonts w:ascii="Symbol" w:hAnsi="Symbol" w:hint="default"/>
      </w:rPr>
    </w:lvl>
    <w:lvl w:ilvl="7" w:tplc="04090003" w:tentative="1">
      <w:start w:val="1"/>
      <w:numFmt w:val="bullet"/>
      <w:lvlText w:val="o"/>
      <w:lvlJc w:val="left"/>
      <w:pPr>
        <w:ind w:left="5744" w:hanging="360"/>
      </w:pPr>
      <w:rPr>
        <w:rFonts w:ascii="Courier New" w:hAnsi="Courier New" w:hint="default"/>
      </w:rPr>
    </w:lvl>
    <w:lvl w:ilvl="8" w:tplc="04090005" w:tentative="1">
      <w:start w:val="1"/>
      <w:numFmt w:val="bullet"/>
      <w:lvlText w:val=""/>
      <w:lvlJc w:val="left"/>
      <w:pPr>
        <w:ind w:left="6464" w:hanging="360"/>
      </w:pPr>
      <w:rPr>
        <w:rFonts w:ascii="Wingdings" w:hAnsi="Wingdings" w:hint="default"/>
      </w:rPr>
    </w:lvl>
  </w:abstractNum>
  <w:abstractNum w:abstractNumId="163" w15:restartNumberingAfterBreak="0">
    <w:nsid w:val="4B1A753C"/>
    <w:multiLevelType w:val="hybridMultilevel"/>
    <w:tmpl w:val="A8BA6784"/>
    <w:lvl w:ilvl="0" w:tplc="FFFFFFFF">
      <w:start w:val="5"/>
      <w:numFmt w:val="bullet"/>
      <w:lvlText w:val="–"/>
      <w:lvlJc w:val="left"/>
      <w:pPr>
        <w:ind w:left="1440" w:hanging="360"/>
      </w:pPr>
      <w:rPr>
        <w:rFonts w:ascii="Times New Roman" w:eastAsia="Times New Roman" w:hAnsi="Times New Roman" w:hint="default"/>
      </w:rPr>
    </w:lvl>
    <w:lvl w:ilvl="1" w:tplc="08090003" w:tentative="1">
      <w:start w:val="1"/>
      <w:numFmt w:val="bullet"/>
      <w:lvlText w:val="o"/>
      <w:lvlJc w:val="left"/>
      <w:pPr>
        <w:ind w:left="2160" w:hanging="360"/>
      </w:pPr>
      <w:rPr>
        <w:rFonts w:ascii="Courier New" w:hAnsi="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64" w15:restartNumberingAfterBreak="0">
    <w:nsid w:val="4B344FEE"/>
    <w:multiLevelType w:val="hybridMultilevel"/>
    <w:tmpl w:val="55DEA016"/>
    <w:lvl w:ilvl="0" w:tplc="529C7C2E">
      <w:numFmt w:val="bullet"/>
      <w:lvlText w:val="–"/>
      <w:lvlJc w:val="left"/>
      <w:pPr>
        <w:ind w:left="1570" w:hanging="360"/>
      </w:pPr>
      <w:rPr>
        <w:rFonts w:ascii="Cambria" w:eastAsiaTheme="minorEastAsia" w:hAnsi="Cambria" w:hint="default"/>
      </w:rPr>
    </w:lvl>
    <w:lvl w:ilvl="1" w:tplc="04090003" w:tentative="1">
      <w:start w:val="1"/>
      <w:numFmt w:val="bullet"/>
      <w:lvlText w:val="o"/>
      <w:lvlJc w:val="left"/>
      <w:pPr>
        <w:ind w:left="2290" w:hanging="360"/>
      </w:pPr>
      <w:rPr>
        <w:rFonts w:ascii="Courier New" w:hAnsi="Courier New" w:cs="Courier New" w:hint="default"/>
      </w:rPr>
    </w:lvl>
    <w:lvl w:ilvl="2" w:tplc="04090005" w:tentative="1">
      <w:start w:val="1"/>
      <w:numFmt w:val="bullet"/>
      <w:lvlText w:val=""/>
      <w:lvlJc w:val="left"/>
      <w:pPr>
        <w:ind w:left="3010" w:hanging="360"/>
      </w:pPr>
      <w:rPr>
        <w:rFonts w:ascii="Wingdings" w:hAnsi="Wingdings" w:hint="default"/>
      </w:rPr>
    </w:lvl>
    <w:lvl w:ilvl="3" w:tplc="04090001" w:tentative="1">
      <w:start w:val="1"/>
      <w:numFmt w:val="bullet"/>
      <w:lvlText w:val=""/>
      <w:lvlJc w:val="left"/>
      <w:pPr>
        <w:ind w:left="3730" w:hanging="360"/>
      </w:pPr>
      <w:rPr>
        <w:rFonts w:ascii="Symbol" w:hAnsi="Symbol" w:hint="default"/>
      </w:rPr>
    </w:lvl>
    <w:lvl w:ilvl="4" w:tplc="04090003" w:tentative="1">
      <w:start w:val="1"/>
      <w:numFmt w:val="bullet"/>
      <w:lvlText w:val="o"/>
      <w:lvlJc w:val="left"/>
      <w:pPr>
        <w:ind w:left="4450" w:hanging="360"/>
      </w:pPr>
      <w:rPr>
        <w:rFonts w:ascii="Courier New" w:hAnsi="Courier New" w:cs="Courier New" w:hint="default"/>
      </w:rPr>
    </w:lvl>
    <w:lvl w:ilvl="5" w:tplc="04090005" w:tentative="1">
      <w:start w:val="1"/>
      <w:numFmt w:val="bullet"/>
      <w:lvlText w:val=""/>
      <w:lvlJc w:val="left"/>
      <w:pPr>
        <w:ind w:left="5170" w:hanging="360"/>
      </w:pPr>
      <w:rPr>
        <w:rFonts w:ascii="Wingdings" w:hAnsi="Wingdings" w:hint="default"/>
      </w:rPr>
    </w:lvl>
    <w:lvl w:ilvl="6" w:tplc="04090001" w:tentative="1">
      <w:start w:val="1"/>
      <w:numFmt w:val="bullet"/>
      <w:lvlText w:val=""/>
      <w:lvlJc w:val="left"/>
      <w:pPr>
        <w:ind w:left="5890" w:hanging="360"/>
      </w:pPr>
      <w:rPr>
        <w:rFonts w:ascii="Symbol" w:hAnsi="Symbol" w:hint="default"/>
      </w:rPr>
    </w:lvl>
    <w:lvl w:ilvl="7" w:tplc="04090003" w:tentative="1">
      <w:start w:val="1"/>
      <w:numFmt w:val="bullet"/>
      <w:lvlText w:val="o"/>
      <w:lvlJc w:val="left"/>
      <w:pPr>
        <w:ind w:left="6610" w:hanging="360"/>
      </w:pPr>
      <w:rPr>
        <w:rFonts w:ascii="Courier New" w:hAnsi="Courier New" w:cs="Courier New" w:hint="default"/>
      </w:rPr>
    </w:lvl>
    <w:lvl w:ilvl="8" w:tplc="04090005" w:tentative="1">
      <w:start w:val="1"/>
      <w:numFmt w:val="bullet"/>
      <w:lvlText w:val=""/>
      <w:lvlJc w:val="left"/>
      <w:pPr>
        <w:ind w:left="7330" w:hanging="360"/>
      </w:pPr>
      <w:rPr>
        <w:rFonts w:ascii="Wingdings" w:hAnsi="Wingdings" w:hint="default"/>
      </w:rPr>
    </w:lvl>
  </w:abstractNum>
  <w:abstractNum w:abstractNumId="165" w15:restartNumberingAfterBreak="0">
    <w:nsid w:val="4BC61DED"/>
    <w:multiLevelType w:val="hybridMultilevel"/>
    <w:tmpl w:val="2ADE08A2"/>
    <w:lvl w:ilvl="0" w:tplc="016011D4">
      <w:start w:val="2"/>
      <w:numFmt w:val="bullet"/>
      <w:lvlText w:val="–"/>
      <w:lvlJc w:val="left"/>
      <w:pPr>
        <w:ind w:left="720" w:hanging="360"/>
      </w:pPr>
      <w:rPr>
        <w:rFonts w:ascii="Calibri" w:eastAsia="Times New Roman"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6" w15:restartNumberingAfterBreak="0">
    <w:nsid w:val="4C80180B"/>
    <w:multiLevelType w:val="hybridMultilevel"/>
    <w:tmpl w:val="2EF6F1FA"/>
    <w:lvl w:ilvl="0" w:tplc="529C7C2E">
      <w:numFmt w:val="bullet"/>
      <w:lvlText w:val="–"/>
      <w:lvlJc w:val="left"/>
      <w:pPr>
        <w:ind w:left="1570" w:hanging="360"/>
      </w:pPr>
      <w:rPr>
        <w:rFonts w:ascii="Cambria" w:eastAsiaTheme="minorEastAsia" w:hAnsi="Cambria" w:hint="default"/>
      </w:rPr>
    </w:lvl>
    <w:lvl w:ilvl="1" w:tplc="04090003" w:tentative="1">
      <w:start w:val="1"/>
      <w:numFmt w:val="bullet"/>
      <w:lvlText w:val="o"/>
      <w:lvlJc w:val="left"/>
      <w:pPr>
        <w:ind w:left="2290" w:hanging="360"/>
      </w:pPr>
      <w:rPr>
        <w:rFonts w:ascii="Courier New" w:hAnsi="Courier New" w:cs="Courier New" w:hint="default"/>
      </w:rPr>
    </w:lvl>
    <w:lvl w:ilvl="2" w:tplc="04090005" w:tentative="1">
      <w:start w:val="1"/>
      <w:numFmt w:val="bullet"/>
      <w:lvlText w:val=""/>
      <w:lvlJc w:val="left"/>
      <w:pPr>
        <w:ind w:left="3010" w:hanging="360"/>
      </w:pPr>
      <w:rPr>
        <w:rFonts w:ascii="Wingdings" w:hAnsi="Wingdings" w:hint="default"/>
      </w:rPr>
    </w:lvl>
    <w:lvl w:ilvl="3" w:tplc="04090001" w:tentative="1">
      <w:start w:val="1"/>
      <w:numFmt w:val="bullet"/>
      <w:lvlText w:val=""/>
      <w:lvlJc w:val="left"/>
      <w:pPr>
        <w:ind w:left="3730" w:hanging="360"/>
      </w:pPr>
      <w:rPr>
        <w:rFonts w:ascii="Symbol" w:hAnsi="Symbol" w:hint="default"/>
      </w:rPr>
    </w:lvl>
    <w:lvl w:ilvl="4" w:tplc="04090003" w:tentative="1">
      <w:start w:val="1"/>
      <w:numFmt w:val="bullet"/>
      <w:lvlText w:val="o"/>
      <w:lvlJc w:val="left"/>
      <w:pPr>
        <w:ind w:left="4450" w:hanging="360"/>
      </w:pPr>
      <w:rPr>
        <w:rFonts w:ascii="Courier New" w:hAnsi="Courier New" w:cs="Courier New" w:hint="default"/>
      </w:rPr>
    </w:lvl>
    <w:lvl w:ilvl="5" w:tplc="04090005" w:tentative="1">
      <w:start w:val="1"/>
      <w:numFmt w:val="bullet"/>
      <w:lvlText w:val=""/>
      <w:lvlJc w:val="left"/>
      <w:pPr>
        <w:ind w:left="5170" w:hanging="360"/>
      </w:pPr>
      <w:rPr>
        <w:rFonts w:ascii="Wingdings" w:hAnsi="Wingdings" w:hint="default"/>
      </w:rPr>
    </w:lvl>
    <w:lvl w:ilvl="6" w:tplc="04090001" w:tentative="1">
      <w:start w:val="1"/>
      <w:numFmt w:val="bullet"/>
      <w:lvlText w:val=""/>
      <w:lvlJc w:val="left"/>
      <w:pPr>
        <w:ind w:left="5890" w:hanging="360"/>
      </w:pPr>
      <w:rPr>
        <w:rFonts w:ascii="Symbol" w:hAnsi="Symbol" w:hint="default"/>
      </w:rPr>
    </w:lvl>
    <w:lvl w:ilvl="7" w:tplc="04090003" w:tentative="1">
      <w:start w:val="1"/>
      <w:numFmt w:val="bullet"/>
      <w:lvlText w:val="o"/>
      <w:lvlJc w:val="left"/>
      <w:pPr>
        <w:ind w:left="6610" w:hanging="360"/>
      </w:pPr>
      <w:rPr>
        <w:rFonts w:ascii="Courier New" w:hAnsi="Courier New" w:cs="Courier New" w:hint="default"/>
      </w:rPr>
    </w:lvl>
    <w:lvl w:ilvl="8" w:tplc="04090005" w:tentative="1">
      <w:start w:val="1"/>
      <w:numFmt w:val="bullet"/>
      <w:lvlText w:val=""/>
      <w:lvlJc w:val="left"/>
      <w:pPr>
        <w:ind w:left="7330" w:hanging="360"/>
      </w:pPr>
      <w:rPr>
        <w:rFonts w:ascii="Wingdings" w:hAnsi="Wingdings" w:hint="default"/>
      </w:rPr>
    </w:lvl>
  </w:abstractNum>
  <w:abstractNum w:abstractNumId="167" w15:restartNumberingAfterBreak="0">
    <w:nsid w:val="4CB57527"/>
    <w:multiLevelType w:val="hybridMultilevel"/>
    <w:tmpl w:val="3F2CF670"/>
    <w:lvl w:ilvl="0" w:tplc="01D6BD14">
      <w:start w:val="1"/>
      <w:numFmt w:val="bullet"/>
      <w:lvlText w:val="–"/>
      <w:lvlJc w:val="left"/>
      <w:pPr>
        <w:ind w:left="360" w:hanging="360"/>
      </w:pPr>
      <w:rPr>
        <w:rFonts w:ascii="Times New Roman" w:eastAsia="Malgun Gothic" w:hAnsi="Times New Roman"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8" w15:restartNumberingAfterBreak="0">
    <w:nsid w:val="4D3375C6"/>
    <w:multiLevelType w:val="hybridMultilevel"/>
    <w:tmpl w:val="DDAA6F8E"/>
    <w:lvl w:ilvl="0" w:tplc="016011D4">
      <w:start w:val="2"/>
      <w:numFmt w:val="bullet"/>
      <w:lvlText w:val="–"/>
      <w:lvlJc w:val="left"/>
      <w:pPr>
        <w:ind w:left="720" w:hanging="360"/>
      </w:pPr>
      <w:rPr>
        <w:rFonts w:ascii="Calibri" w:eastAsia="Times New Roman"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9" w15:restartNumberingAfterBreak="0">
    <w:nsid w:val="4DF901EF"/>
    <w:multiLevelType w:val="hybridMultilevel"/>
    <w:tmpl w:val="4EE2CE62"/>
    <w:lvl w:ilvl="0" w:tplc="0409000F">
      <w:start w:val="1"/>
      <w:numFmt w:val="decimal"/>
      <w:lvlText w:val="%1."/>
      <w:lvlJc w:val="left"/>
      <w:pPr>
        <w:tabs>
          <w:tab w:val="num" w:pos="757"/>
        </w:tabs>
        <w:ind w:left="757" w:hanging="360"/>
      </w:pPr>
      <w:rPr>
        <w:rFonts w:hint="default"/>
      </w:rPr>
    </w:lvl>
    <w:lvl w:ilvl="1" w:tplc="04070019">
      <w:start w:val="1"/>
      <w:numFmt w:val="lowerLetter"/>
      <w:lvlText w:val="%2."/>
      <w:lvlJc w:val="left"/>
      <w:pPr>
        <w:tabs>
          <w:tab w:val="num" w:pos="1440"/>
        </w:tabs>
        <w:ind w:left="1440" w:hanging="360"/>
      </w:pPr>
      <w:rPr>
        <w:rFonts w:cs="Times New Roman"/>
      </w:rPr>
    </w:lvl>
    <w:lvl w:ilvl="2" w:tplc="0407001B">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170" w15:restartNumberingAfterBreak="0">
    <w:nsid w:val="4E037CE7"/>
    <w:multiLevelType w:val="hybridMultilevel"/>
    <w:tmpl w:val="E60888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1" w15:restartNumberingAfterBreak="0">
    <w:nsid w:val="4E0D1215"/>
    <w:multiLevelType w:val="hybridMultilevel"/>
    <w:tmpl w:val="B80EA6A4"/>
    <w:lvl w:ilvl="0" w:tplc="84CC2C8A">
      <w:start w:val="5"/>
      <w:numFmt w:val="bullet"/>
      <w:lvlText w:val="–"/>
      <w:lvlJc w:val="left"/>
      <w:pPr>
        <w:ind w:left="360" w:hanging="360"/>
      </w:pPr>
      <w:rPr>
        <w:rFonts w:ascii="Times New Roman" w:eastAsia="Times New Roman" w:hAnsi="Times New Roman" w:hint="default"/>
      </w:rPr>
    </w:lvl>
    <w:lvl w:ilvl="1" w:tplc="84CC2C8A">
      <w:start w:val="5"/>
      <w:numFmt w:val="bullet"/>
      <w:lvlText w:val="–"/>
      <w:lvlJc w:val="left"/>
      <w:pPr>
        <w:ind w:left="1080" w:hanging="360"/>
      </w:pPr>
      <w:rPr>
        <w:rFonts w:ascii="Times New Roman" w:eastAsia="Times New Roman" w:hAnsi="Times New Roman" w:hint="default"/>
      </w:rPr>
    </w:lvl>
    <w:lvl w:ilvl="2" w:tplc="84CC2C8A">
      <w:start w:val="5"/>
      <w:numFmt w:val="bullet"/>
      <w:lvlText w:val="–"/>
      <w:lvlJc w:val="left"/>
      <w:pPr>
        <w:ind w:left="1800" w:hanging="360"/>
      </w:pPr>
      <w:rPr>
        <w:rFonts w:ascii="Times New Roman" w:eastAsia="Times New Roman" w:hAnsi="Times New Roman" w:hint="default"/>
      </w:rPr>
    </w:lvl>
    <w:lvl w:ilvl="3" w:tplc="84CC2C8A">
      <w:start w:val="5"/>
      <w:numFmt w:val="bullet"/>
      <w:lvlText w:val="–"/>
      <w:lvlJc w:val="left"/>
      <w:pPr>
        <w:ind w:left="2520" w:hanging="360"/>
      </w:pPr>
      <w:rPr>
        <w:rFonts w:ascii="Times New Roman" w:eastAsia="Times New Roman" w:hAnsi="Times New Roman" w:hint="default"/>
      </w:rPr>
    </w:lvl>
    <w:lvl w:ilvl="4" w:tplc="08090003" w:tentative="1">
      <w:start w:val="1"/>
      <w:numFmt w:val="bullet"/>
      <w:lvlText w:val="o"/>
      <w:lvlJc w:val="left"/>
      <w:pPr>
        <w:ind w:left="3240" w:hanging="360"/>
      </w:pPr>
      <w:rPr>
        <w:rFonts w:ascii="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2" w15:restartNumberingAfterBreak="0">
    <w:nsid w:val="4E490511"/>
    <w:multiLevelType w:val="hybridMultilevel"/>
    <w:tmpl w:val="7E449E4C"/>
    <w:lvl w:ilvl="0" w:tplc="0409000F">
      <w:start w:val="1"/>
      <w:numFmt w:val="decimal"/>
      <w:lvlText w:val="%1."/>
      <w:lvlJc w:val="left"/>
      <w:pPr>
        <w:ind w:left="720" w:hanging="360"/>
      </w:pPr>
      <w:rPr>
        <w:rFonts w:cs="Times New Roman"/>
      </w:rPr>
    </w:lvl>
    <w:lvl w:ilvl="1" w:tplc="59AEBF4C">
      <w:numFmt w:val="bullet"/>
      <w:lvlText w:val="–"/>
      <w:lvlJc w:val="left"/>
      <w:pPr>
        <w:ind w:left="1440" w:hanging="360"/>
      </w:pPr>
      <w:rPr>
        <w:rFonts w:ascii="Times New Roman" w:eastAsia="SimSun" w:hAnsi="Times New Roman" w:hint="default"/>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73" w15:restartNumberingAfterBreak="0">
    <w:nsid w:val="4E4A2488"/>
    <w:multiLevelType w:val="multilevel"/>
    <w:tmpl w:val="32B471EE"/>
    <w:lvl w:ilvl="0">
      <w:numFmt w:val="bullet"/>
      <w:lvlText w:val="–"/>
      <w:lvlJc w:val="left"/>
      <w:pPr>
        <w:ind w:left="1080" w:hanging="360"/>
      </w:pPr>
      <w:rPr>
        <w:rFonts w:ascii="Cambria" w:eastAsiaTheme="minorEastAsia" w:hAnsi="Cambria" w:hint="default"/>
      </w:rPr>
    </w:lvl>
    <w:lvl w:ilvl="1">
      <w:numFmt w:val="bullet"/>
      <w:lvlText w:val="–"/>
      <w:lvlJc w:val="left"/>
      <w:pPr>
        <w:ind w:left="1800" w:hanging="360"/>
      </w:pPr>
      <w:rPr>
        <w:rFonts w:ascii="Cambria" w:eastAsiaTheme="minorEastAsia" w:hAnsi="Cambria"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174" w15:restartNumberingAfterBreak="0">
    <w:nsid w:val="4F53576B"/>
    <w:multiLevelType w:val="multilevel"/>
    <w:tmpl w:val="75001406"/>
    <w:lvl w:ilvl="0">
      <w:numFmt w:val="bullet"/>
      <w:lvlText w:val="–"/>
      <w:lvlJc w:val="left"/>
      <w:pPr>
        <w:tabs>
          <w:tab w:val="num" w:pos="1435"/>
        </w:tabs>
        <w:ind w:left="1077" w:hanging="357"/>
      </w:pPr>
      <w:rPr>
        <w:rFonts w:ascii="Cambria" w:eastAsiaTheme="minorEastAsia" w:hAnsi="Cambria" w:hint="default"/>
      </w:rPr>
    </w:lvl>
    <w:lvl w:ilvl="1">
      <w:numFmt w:val="bullet"/>
      <w:lvlText w:val="–"/>
      <w:lvlJc w:val="left"/>
      <w:pPr>
        <w:ind w:left="1800" w:hanging="360"/>
      </w:pPr>
      <w:rPr>
        <w:rFonts w:ascii="Cambria" w:eastAsiaTheme="minorEastAsia" w:hAnsi="Cambria"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175" w15:restartNumberingAfterBreak="0">
    <w:nsid w:val="4F6C3B10"/>
    <w:multiLevelType w:val="hybridMultilevel"/>
    <w:tmpl w:val="256E6A52"/>
    <w:lvl w:ilvl="0" w:tplc="C6123BC8">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76" w15:restartNumberingAfterBreak="0">
    <w:nsid w:val="4F7042AA"/>
    <w:multiLevelType w:val="hybridMultilevel"/>
    <w:tmpl w:val="CFD812DA"/>
    <w:lvl w:ilvl="0" w:tplc="529C7C2E">
      <w:numFmt w:val="bullet"/>
      <w:lvlText w:val="–"/>
      <w:lvlJc w:val="left"/>
      <w:pPr>
        <w:ind w:left="1080" w:hanging="360"/>
      </w:pPr>
      <w:rPr>
        <w:rFonts w:ascii="Cambria" w:eastAsiaTheme="minorEastAsia" w:hAnsi="Cambria"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77" w15:restartNumberingAfterBreak="0">
    <w:nsid w:val="5011679E"/>
    <w:multiLevelType w:val="hybridMultilevel"/>
    <w:tmpl w:val="F09637B4"/>
    <w:lvl w:ilvl="0" w:tplc="84CC2C8A">
      <w:start w:val="5"/>
      <w:numFmt w:val="bullet"/>
      <w:lvlText w:val="–"/>
      <w:lvlJc w:val="left"/>
      <w:pPr>
        <w:ind w:left="720" w:hanging="360"/>
      </w:pPr>
      <w:rPr>
        <w:rFonts w:ascii="Times New Roman" w:eastAsia="Times New Roman" w:hAnsi="Times New Roman" w:hint="default"/>
        <w:lang w:val="en-GB"/>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78" w15:restartNumberingAfterBreak="0">
    <w:nsid w:val="501168EF"/>
    <w:multiLevelType w:val="hybridMultilevel"/>
    <w:tmpl w:val="F1E6B49A"/>
    <w:lvl w:ilvl="0" w:tplc="529C7C2E">
      <w:numFmt w:val="bullet"/>
      <w:lvlText w:val="–"/>
      <w:lvlJc w:val="left"/>
      <w:pPr>
        <w:ind w:left="360" w:hanging="360"/>
      </w:pPr>
      <w:rPr>
        <w:rFonts w:ascii="Cambria" w:eastAsiaTheme="minorEastAsia" w:hAnsi="Cambria"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9" w15:restartNumberingAfterBreak="0">
    <w:nsid w:val="51A33189"/>
    <w:multiLevelType w:val="hybridMultilevel"/>
    <w:tmpl w:val="4808F17E"/>
    <w:lvl w:ilvl="0" w:tplc="FFFFFFFF">
      <w:start w:val="5"/>
      <w:numFmt w:val="bullet"/>
      <w:lvlText w:val="–"/>
      <w:lvlJc w:val="left"/>
      <w:pPr>
        <w:ind w:left="360" w:hanging="360"/>
      </w:pPr>
      <w:rPr>
        <w:rFonts w:ascii="Times New Roman" w:eastAsia="Times New Roman" w:hAnsi="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80" w15:restartNumberingAfterBreak="0">
    <w:nsid w:val="52321ECE"/>
    <w:multiLevelType w:val="multilevel"/>
    <w:tmpl w:val="7DE4FFC0"/>
    <w:lvl w:ilvl="0">
      <w:start w:val="1"/>
      <w:numFmt w:val="upperLetter"/>
      <w:suff w:val="nothing"/>
      <w:lvlText w:val="Annex %1"/>
      <w:lvlJc w:val="left"/>
      <w:rPr>
        <w:rFonts w:ascii="Cambria" w:hAnsi="Cambria" w:cs="Times New Roman" w:hint="default"/>
        <w:b/>
        <w:i w:val="0"/>
        <w:sz w:val="28"/>
        <w:szCs w:val="28"/>
      </w:rPr>
    </w:lvl>
    <w:lvl w:ilvl="1">
      <w:start w:val="1"/>
      <w:numFmt w:val="decimal"/>
      <w:lvlText w:val="%1.%2"/>
      <w:lvlJc w:val="left"/>
      <w:pPr>
        <w:tabs>
          <w:tab w:val="num" w:pos="360"/>
        </w:tabs>
      </w:pPr>
      <w:rPr>
        <w:rFonts w:cs="Times New Roman" w:hint="default"/>
        <w:b/>
        <w:i w:val="0"/>
      </w:rPr>
    </w:lvl>
    <w:lvl w:ilvl="2">
      <w:start w:val="1"/>
      <w:numFmt w:val="decimal"/>
      <w:lvlText w:val="%1.%2.%3"/>
      <w:lvlJc w:val="left"/>
      <w:pPr>
        <w:tabs>
          <w:tab w:val="num" w:pos="720"/>
        </w:tabs>
      </w:pPr>
      <w:rPr>
        <w:rFonts w:cs="Times New Roman" w:hint="default"/>
        <w:b/>
        <w:i w:val="0"/>
      </w:rPr>
    </w:lvl>
    <w:lvl w:ilvl="3">
      <w:start w:val="1"/>
      <w:numFmt w:val="decimal"/>
      <w:lvlText w:val="%1.%2.%3.%4"/>
      <w:lvlJc w:val="left"/>
      <w:pPr>
        <w:tabs>
          <w:tab w:val="num" w:pos="1080"/>
        </w:tabs>
      </w:pPr>
      <w:rPr>
        <w:rFonts w:cs="Times New Roman" w:hint="default"/>
        <w:b/>
        <w:i w:val="0"/>
      </w:rPr>
    </w:lvl>
    <w:lvl w:ilvl="4">
      <w:start w:val="1"/>
      <w:numFmt w:val="decimal"/>
      <w:lvlText w:val="%1.%2.%3.%4.%5"/>
      <w:lvlJc w:val="left"/>
      <w:pPr>
        <w:tabs>
          <w:tab w:val="num" w:pos="1080"/>
        </w:tabs>
      </w:pPr>
      <w:rPr>
        <w:rFonts w:cs="Times New Roman" w:hint="default"/>
        <w:b/>
        <w:i w:val="0"/>
      </w:rPr>
    </w:lvl>
    <w:lvl w:ilvl="5">
      <w:start w:val="1"/>
      <w:numFmt w:val="decimal"/>
      <w:lvlText w:val="%1.%2.%3.%4.%5.%6"/>
      <w:lvlJc w:val="left"/>
      <w:pPr>
        <w:tabs>
          <w:tab w:val="num" w:pos="1440"/>
        </w:tabs>
      </w:pPr>
      <w:rPr>
        <w:rFonts w:cs="Times New Roman" w:hint="default"/>
        <w:b/>
        <w:i w:val="0"/>
      </w:rPr>
    </w:lvl>
    <w:lvl w:ilvl="6">
      <w:start w:val="1"/>
      <w:numFmt w:val="decimal"/>
      <w:lvlRestart w:val="0"/>
      <w:suff w:val="space"/>
      <w:lvlText w:val="Figure %1.%7 —"/>
      <w:lvlJc w:val="left"/>
      <w:rPr>
        <w:rFonts w:cs="Times New Roman" w:hint="default"/>
      </w:rPr>
    </w:lvl>
    <w:lvl w:ilvl="7">
      <w:start w:val="1"/>
      <w:numFmt w:val="decimal"/>
      <w:lvlRestart w:val="0"/>
      <w:suff w:val="space"/>
      <w:lvlText w:val="Table %1.%8 —"/>
      <w:lvlJc w:val="left"/>
      <w:rPr>
        <w:rFonts w:cs="Times New Roman" w:hint="default"/>
      </w:rPr>
    </w:lvl>
    <w:lvl w:ilvl="8">
      <w:start w:val="1"/>
      <w:numFmt w:val="lowerRoman"/>
      <w:lvlText w:val="(%9)"/>
      <w:lvlJc w:val="left"/>
      <w:pPr>
        <w:tabs>
          <w:tab w:val="num" w:pos="6120"/>
        </w:tabs>
      </w:pPr>
      <w:rPr>
        <w:rFonts w:cs="Times New Roman" w:hint="default"/>
      </w:rPr>
    </w:lvl>
  </w:abstractNum>
  <w:abstractNum w:abstractNumId="181" w15:restartNumberingAfterBreak="0">
    <w:nsid w:val="530B1098"/>
    <w:multiLevelType w:val="hybridMultilevel"/>
    <w:tmpl w:val="7840AF3A"/>
    <w:lvl w:ilvl="0" w:tplc="E9B6B3BC">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82" w15:restartNumberingAfterBreak="0">
    <w:nsid w:val="53326C5F"/>
    <w:multiLevelType w:val="multilevel"/>
    <w:tmpl w:val="D1A647D0"/>
    <w:lvl w:ilvl="0">
      <w:numFmt w:val="bullet"/>
      <w:lvlText w:val="–"/>
      <w:lvlJc w:val="left"/>
      <w:pPr>
        <w:ind w:left="1435" w:hanging="358"/>
      </w:pPr>
      <w:rPr>
        <w:rFonts w:ascii="Cambria" w:eastAsiaTheme="minorEastAsia" w:hAnsi="Cambria" w:hint="default"/>
      </w:rPr>
    </w:lvl>
    <w:lvl w:ilvl="1">
      <w:numFmt w:val="bullet"/>
      <w:lvlText w:val="–"/>
      <w:lvlJc w:val="left"/>
      <w:pPr>
        <w:ind w:left="1800" w:hanging="360"/>
      </w:pPr>
      <w:rPr>
        <w:rFonts w:ascii="Cambria" w:eastAsiaTheme="minorEastAsia" w:hAnsi="Cambria"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183" w15:restartNumberingAfterBreak="0">
    <w:nsid w:val="53523E56"/>
    <w:multiLevelType w:val="hybridMultilevel"/>
    <w:tmpl w:val="329E585C"/>
    <w:lvl w:ilvl="0" w:tplc="49C80EA8">
      <w:start w:val="1"/>
      <w:numFmt w:val="decimal"/>
      <w:lvlText w:val="%1."/>
      <w:lvlJc w:val="left"/>
      <w:pPr>
        <w:tabs>
          <w:tab w:val="num" w:pos="757"/>
        </w:tabs>
        <w:ind w:left="757" w:hanging="360"/>
      </w:pPr>
      <w:rPr>
        <w:rFonts w:cs="Times New Roman" w:hint="default"/>
      </w:rPr>
    </w:lvl>
    <w:lvl w:ilvl="1" w:tplc="04070019">
      <w:start w:val="1"/>
      <w:numFmt w:val="lowerLetter"/>
      <w:lvlText w:val="%2."/>
      <w:lvlJc w:val="left"/>
      <w:pPr>
        <w:tabs>
          <w:tab w:val="num" w:pos="1837"/>
        </w:tabs>
        <w:ind w:left="1837" w:hanging="360"/>
      </w:pPr>
      <w:rPr>
        <w:rFonts w:cs="Times New Roman"/>
      </w:rPr>
    </w:lvl>
    <w:lvl w:ilvl="2" w:tplc="0407001B" w:tentative="1">
      <w:start w:val="1"/>
      <w:numFmt w:val="lowerRoman"/>
      <w:lvlText w:val="%3."/>
      <w:lvlJc w:val="right"/>
      <w:pPr>
        <w:tabs>
          <w:tab w:val="num" w:pos="2557"/>
        </w:tabs>
        <w:ind w:left="2557" w:hanging="180"/>
      </w:pPr>
      <w:rPr>
        <w:rFonts w:cs="Times New Roman"/>
      </w:rPr>
    </w:lvl>
    <w:lvl w:ilvl="3" w:tplc="0407000F" w:tentative="1">
      <w:start w:val="1"/>
      <w:numFmt w:val="decimal"/>
      <w:lvlText w:val="%4."/>
      <w:lvlJc w:val="left"/>
      <w:pPr>
        <w:tabs>
          <w:tab w:val="num" w:pos="3277"/>
        </w:tabs>
        <w:ind w:left="3277" w:hanging="360"/>
      </w:pPr>
      <w:rPr>
        <w:rFonts w:cs="Times New Roman"/>
      </w:rPr>
    </w:lvl>
    <w:lvl w:ilvl="4" w:tplc="04070019" w:tentative="1">
      <w:start w:val="1"/>
      <w:numFmt w:val="lowerLetter"/>
      <w:lvlText w:val="%5."/>
      <w:lvlJc w:val="left"/>
      <w:pPr>
        <w:tabs>
          <w:tab w:val="num" w:pos="3997"/>
        </w:tabs>
        <w:ind w:left="3997" w:hanging="360"/>
      </w:pPr>
      <w:rPr>
        <w:rFonts w:cs="Times New Roman"/>
      </w:rPr>
    </w:lvl>
    <w:lvl w:ilvl="5" w:tplc="0407001B" w:tentative="1">
      <w:start w:val="1"/>
      <w:numFmt w:val="lowerRoman"/>
      <w:lvlText w:val="%6."/>
      <w:lvlJc w:val="right"/>
      <w:pPr>
        <w:tabs>
          <w:tab w:val="num" w:pos="4717"/>
        </w:tabs>
        <w:ind w:left="4717" w:hanging="180"/>
      </w:pPr>
      <w:rPr>
        <w:rFonts w:cs="Times New Roman"/>
      </w:rPr>
    </w:lvl>
    <w:lvl w:ilvl="6" w:tplc="0407000F" w:tentative="1">
      <w:start w:val="1"/>
      <w:numFmt w:val="decimal"/>
      <w:lvlText w:val="%7."/>
      <w:lvlJc w:val="left"/>
      <w:pPr>
        <w:tabs>
          <w:tab w:val="num" w:pos="5437"/>
        </w:tabs>
        <w:ind w:left="5437" w:hanging="360"/>
      </w:pPr>
      <w:rPr>
        <w:rFonts w:cs="Times New Roman"/>
      </w:rPr>
    </w:lvl>
    <w:lvl w:ilvl="7" w:tplc="04070019" w:tentative="1">
      <w:start w:val="1"/>
      <w:numFmt w:val="lowerLetter"/>
      <w:lvlText w:val="%8."/>
      <w:lvlJc w:val="left"/>
      <w:pPr>
        <w:tabs>
          <w:tab w:val="num" w:pos="6157"/>
        </w:tabs>
        <w:ind w:left="6157" w:hanging="360"/>
      </w:pPr>
      <w:rPr>
        <w:rFonts w:cs="Times New Roman"/>
      </w:rPr>
    </w:lvl>
    <w:lvl w:ilvl="8" w:tplc="0407001B" w:tentative="1">
      <w:start w:val="1"/>
      <w:numFmt w:val="lowerRoman"/>
      <w:lvlText w:val="%9."/>
      <w:lvlJc w:val="right"/>
      <w:pPr>
        <w:tabs>
          <w:tab w:val="num" w:pos="6877"/>
        </w:tabs>
        <w:ind w:left="6877" w:hanging="180"/>
      </w:pPr>
      <w:rPr>
        <w:rFonts w:cs="Times New Roman"/>
      </w:rPr>
    </w:lvl>
  </w:abstractNum>
  <w:abstractNum w:abstractNumId="184" w15:restartNumberingAfterBreak="0">
    <w:nsid w:val="53524AC9"/>
    <w:multiLevelType w:val="hybridMultilevel"/>
    <w:tmpl w:val="7E309E9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5" w15:restartNumberingAfterBreak="0">
    <w:nsid w:val="53A47BE5"/>
    <w:multiLevelType w:val="hybridMultilevel"/>
    <w:tmpl w:val="8CA8A4B8"/>
    <w:lvl w:ilvl="0" w:tplc="016011D4">
      <w:start w:val="2"/>
      <w:numFmt w:val="bullet"/>
      <w:lvlText w:val="–"/>
      <w:lvlJc w:val="left"/>
      <w:pPr>
        <w:ind w:left="720" w:hanging="360"/>
      </w:pPr>
      <w:rPr>
        <w:rFonts w:ascii="Calibri" w:eastAsia="Times New Roman"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6" w15:restartNumberingAfterBreak="0">
    <w:nsid w:val="53BD3E3F"/>
    <w:multiLevelType w:val="hybridMultilevel"/>
    <w:tmpl w:val="08090001"/>
    <w:styleLink w:val="AVCBullet"/>
    <w:lvl w:ilvl="0" w:tplc="F1108FD4">
      <w:start w:val="1"/>
      <w:numFmt w:val="decimal"/>
      <w:lvlText w:val="%1."/>
      <w:lvlJc w:val="left"/>
      <w:pPr>
        <w:tabs>
          <w:tab w:val="num" w:pos="360"/>
        </w:tabs>
        <w:ind w:left="360" w:hanging="360"/>
      </w:pPr>
      <w:rPr>
        <w:rFonts w:cs="Times New Roman"/>
      </w:rPr>
    </w:lvl>
    <w:lvl w:ilvl="1" w:tplc="04090003">
      <w:start w:val="1"/>
      <w:numFmt w:val="lowerLetter"/>
      <w:lvlText w:val="%2."/>
      <w:lvlJc w:val="left"/>
      <w:pPr>
        <w:tabs>
          <w:tab w:val="num" w:pos="1080"/>
        </w:tabs>
        <w:ind w:left="1080" w:hanging="360"/>
      </w:pPr>
      <w:rPr>
        <w:rFonts w:cs="Times New Roman"/>
      </w:rPr>
    </w:lvl>
    <w:lvl w:ilvl="2" w:tplc="04090005">
      <w:start w:val="1"/>
      <w:numFmt w:val="lowerRoman"/>
      <w:lvlText w:val="%3."/>
      <w:lvlJc w:val="right"/>
      <w:pPr>
        <w:tabs>
          <w:tab w:val="num" w:pos="1800"/>
        </w:tabs>
        <w:ind w:left="1800" w:hanging="180"/>
      </w:pPr>
      <w:rPr>
        <w:rFonts w:cs="Times New Roman"/>
      </w:rPr>
    </w:lvl>
    <w:lvl w:ilvl="3" w:tplc="04090001">
      <w:start w:val="1"/>
      <w:numFmt w:val="decimal"/>
      <w:lvlText w:val="%4."/>
      <w:lvlJc w:val="left"/>
      <w:pPr>
        <w:tabs>
          <w:tab w:val="num" w:pos="2520"/>
        </w:tabs>
        <w:ind w:left="2520" w:hanging="360"/>
      </w:pPr>
      <w:rPr>
        <w:rFonts w:cs="Times New Roman"/>
      </w:rPr>
    </w:lvl>
    <w:lvl w:ilvl="4" w:tplc="04090003">
      <w:start w:val="1"/>
      <w:numFmt w:val="lowerLetter"/>
      <w:lvlText w:val="%5."/>
      <w:lvlJc w:val="left"/>
      <w:pPr>
        <w:tabs>
          <w:tab w:val="num" w:pos="3240"/>
        </w:tabs>
        <w:ind w:left="3240" w:hanging="360"/>
      </w:pPr>
      <w:rPr>
        <w:rFonts w:cs="Times New Roman"/>
      </w:rPr>
    </w:lvl>
    <w:lvl w:ilvl="5" w:tplc="04090005">
      <w:start w:val="1"/>
      <w:numFmt w:val="lowerRoman"/>
      <w:lvlText w:val="%6."/>
      <w:lvlJc w:val="right"/>
      <w:pPr>
        <w:tabs>
          <w:tab w:val="num" w:pos="3960"/>
        </w:tabs>
        <w:ind w:left="3960" w:hanging="180"/>
      </w:pPr>
      <w:rPr>
        <w:rFonts w:cs="Times New Roman"/>
      </w:rPr>
    </w:lvl>
    <w:lvl w:ilvl="6" w:tplc="04090001">
      <w:start w:val="1"/>
      <w:numFmt w:val="decimal"/>
      <w:lvlText w:val="%7."/>
      <w:lvlJc w:val="left"/>
      <w:pPr>
        <w:tabs>
          <w:tab w:val="num" w:pos="4680"/>
        </w:tabs>
        <w:ind w:left="4680" w:hanging="360"/>
      </w:pPr>
      <w:rPr>
        <w:rFonts w:cs="Times New Roman"/>
      </w:rPr>
    </w:lvl>
    <w:lvl w:ilvl="7" w:tplc="04090003">
      <w:start w:val="1"/>
      <w:numFmt w:val="lowerLetter"/>
      <w:lvlText w:val="%8."/>
      <w:lvlJc w:val="left"/>
      <w:pPr>
        <w:tabs>
          <w:tab w:val="num" w:pos="5400"/>
        </w:tabs>
        <w:ind w:left="5400" w:hanging="360"/>
      </w:pPr>
      <w:rPr>
        <w:rFonts w:cs="Times New Roman"/>
      </w:rPr>
    </w:lvl>
    <w:lvl w:ilvl="8" w:tplc="04090005">
      <w:start w:val="1"/>
      <w:numFmt w:val="lowerRoman"/>
      <w:lvlText w:val="%9."/>
      <w:lvlJc w:val="right"/>
      <w:pPr>
        <w:tabs>
          <w:tab w:val="num" w:pos="6120"/>
        </w:tabs>
        <w:ind w:left="6120" w:hanging="180"/>
      </w:pPr>
      <w:rPr>
        <w:rFonts w:cs="Times New Roman"/>
      </w:rPr>
    </w:lvl>
  </w:abstractNum>
  <w:abstractNum w:abstractNumId="187" w15:restartNumberingAfterBreak="0">
    <w:nsid w:val="53F826FC"/>
    <w:multiLevelType w:val="hybridMultilevel"/>
    <w:tmpl w:val="8D64C35A"/>
    <w:lvl w:ilvl="0" w:tplc="016011D4">
      <w:start w:val="2"/>
      <w:numFmt w:val="bullet"/>
      <w:lvlText w:val="–"/>
      <w:lvlJc w:val="left"/>
      <w:pPr>
        <w:ind w:left="720" w:hanging="360"/>
      </w:pPr>
      <w:rPr>
        <w:rFonts w:ascii="Calibri" w:eastAsia="Times New Roman"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8" w15:restartNumberingAfterBreak="0">
    <w:nsid w:val="53FB1AF1"/>
    <w:multiLevelType w:val="hybridMultilevel"/>
    <w:tmpl w:val="6EF8AE5E"/>
    <w:lvl w:ilvl="0" w:tplc="FFFFFFFF">
      <w:start w:val="1"/>
      <w:numFmt w:val="bullet"/>
      <w:pStyle w:val="AVCBulletlevel4"/>
      <w:lvlText w:val=""/>
      <w:lvlJc w:val="left"/>
      <w:pPr>
        <w:tabs>
          <w:tab w:val="num" w:pos="1915"/>
        </w:tabs>
        <w:ind w:left="1915" w:hanging="72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189" w15:restartNumberingAfterBreak="0">
    <w:nsid w:val="54230073"/>
    <w:multiLevelType w:val="multilevel"/>
    <w:tmpl w:val="04090025"/>
    <w:lvl w:ilvl="0">
      <w:start w:val="1"/>
      <w:numFmt w:val="decimal"/>
      <w:lvlText w:val="%1"/>
      <w:lvlJc w:val="left"/>
      <w:pPr>
        <w:ind w:left="432" w:hanging="432"/>
      </w:pPr>
      <w:rPr>
        <w:rFonts w:cs="Times New Roman"/>
      </w:rPr>
    </w:lvl>
    <w:lvl w:ilvl="1">
      <w:start w:val="1"/>
      <w:numFmt w:val="decimal"/>
      <w:lvlText w:val="%1.%2"/>
      <w:lvlJc w:val="left"/>
      <w:pPr>
        <w:ind w:left="576" w:hanging="576"/>
      </w:pPr>
      <w:rPr>
        <w:rFonts w:cs="Times New Roman"/>
      </w:rPr>
    </w:lvl>
    <w:lvl w:ilvl="2">
      <w:start w:val="1"/>
      <w:numFmt w:val="decimal"/>
      <w:lvlText w:val="%1.%2.%3"/>
      <w:lvlJc w:val="left"/>
      <w:pPr>
        <w:ind w:left="720" w:hanging="720"/>
      </w:pPr>
      <w:rPr>
        <w:rFonts w:cs="Times New Roman"/>
      </w:rPr>
    </w:lvl>
    <w:lvl w:ilvl="3">
      <w:start w:val="1"/>
      <w:numFmt w:val="decimal"/>
      <w:lvlText w:val="%1.%2.%3.%4"/>
      <w:lvlJc w:val="left"/>
      <w:pPr>
        <w:ind w:left="864" w:hanging="864"/>
      </w:pPr>
      <w:rPr>
        <w:rFonts w:cs="Times New Roman"/>
      </w:rPr>
    </w:lvl>
    <w:lvl w:ilvl="4">
      <w:start w:val="1"/>
      <w:numFmt w:val="decimal"/>
      <w:lvlText w:val="%1.%2.%3.%4.%5"/>
      <w:lvlJc w:val="left"/>
      <w:pPr>
        <w:ind w:left="1008" w:hanging="1008"/>
      </w:pPr>
      <w:rPr>
        <w:rFonts w:cs="Times New Roman"/>
      </w:rPr>
    </w:lvl>
    <w:lvl w:ilvl="5">
      <w:start w:val="1"/>
      <w:numFmt w:val="decimal"/>
      <w:lvlText w:val="%1.%2.%3.%4.%5.%6"/>
      <w:lvlJc w:val="left"/>
      <w:pPr>
        <w:ind w:left="1152" w:hanging="1152"/>
      </w:pPr>
      <w:rPr>
        <w:rFonts w:cs="Times New Roman"/>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190" w15:restartNumberingAfterBreak="0">
    <w:nsid w:val="548F2AC4"/>
    <w:multiLevelType w:val="hybridMultilevel"/>
    <w:tmpl w:val="C7384B50"/>
    <w:lvl w:ilvl="0" w:tplc="04090011">
      <w:start w:val="1"/>
      <w:numFmt w:val="decimal"/>
      <w:lvlText w:val="%1)"/>
      <w:lvlJc w:val="left"/>
      <w:pPr>
        <w:ind w:left="720" w:hanging="360"/>
      </w:pPr>
      <w:rPr>
        <w:rFonts w:cs="Times New Roman"/>
      </w:rPr>
    </w:lvl>
    <w:lvl w:ilvl="1" w:tplc="10090019">
      <w:start w:val="1"/>
      <w:numFmt w:val="lowerLetter"/>
      <w:lvlText w:val="%2."/>
      <w:lvlJc w:val="left"/>
      <w:pPr>
        <w:ind w:left="1440" w:hanging="360"/>
      </w:pPr>
      <w:rPr>
        <w:rFonts w:cs="Times New Roman"/>
      </w:rPr>
    </w:lvl>
    <w:lvl w:ilvl="2" w:tplc="04090011">
      <w:start w:val="1"/>
      <w:numFmt w:val="decimal"/>
      <w:lvlText w:val="%3)"/>
      <w:lvlJc w:val="left"/>
      <w:pPr>
        <w:ind w:left="2340" w:hanging="360"/>
      </w:pPr>
      <w:rPr>
        <w:rFonts w:cs="Times New Roman"/>
      </w:rPr>
    </w:lvl>
    <w:lvl w:ilvl="3" w:tplc="1009000F" w:tentative="1">
      <w:start w:val="1"/>
      <w:numFmt w:val="decimal"/>
      <w:lvlText w:val="%4."/>
      <w:lvlJc w:val="left"/>
      <w:pPr>
        <w:ind w:left="2880" w:hanging="360"/>
      </w:pPr>
      <w:rPr>
        <w:rFonts w:cs="Times New Roman"/>
      </w:rPr>
    </w:lvl>
    <w:lvl w:ilvl="4" w:tplc="10090019" w:tentative="1">
      <w:start w:val="1"/>
      <w:numFmt w:val="lowerLetter"/>
      <w:lvlText w:val="%5."/>
      <w:lvlJc w:val="left"/>
      <w:pPr>
        <w:ind w:left="3600" w:hanging="360"/>
      </w:pPr>
      <w:rPr>
        <w:rFonts w:cs="Times New Roman"/>
      </w:rPr>
    </w:lvl>
    <w:lvl w:ilvl="5" w:tplc="1009001B" w:tentative="1">
      <w:start w:val="1"/>
      <w:numFmt w:val="lowerRoman"/>
      <w:lvlText w:val="%6."/>
      <w:lvlJc w:val="right"/>
      <w:pPr>
        <w:ind w:left="4320" w:hanging="180"/>
      </w:pPr>
      <w:rPr>
        <w:rFonts w:cs="Times New Roman"/>
      </w:rPr>
    </w:lvl>
    <w:lvl w:ilvl="6" w:tplc="1009000F" w:tentative="1">
      <w:start w:val="1"/>
      <w:numFmt w:val="decimal"/>
      <w:lvlText w:val="%7."/>
      <w:lvlJc w:val="left"/>
      <w:pPr>
        <w:ind w:left="5040" w:hanging="360"/>
      </w:pPr>
      <w:rPr>
        <w:rFonts w:cs="Times New Roman"/>
      </w:rPr>
    </w:lvl>
    <w:lvl w:ilvl="7" w:tplc="10090019" w:tentative="1">
      <w:start w:val="1"/>
      <w:numFmt w:val="lowerLetter"/>
      <w:lvlText w:val="%8."/>
      <w:lvlJc w:val="left"/>
      <w:pPr>
        <w:ind w:left="5760" w:hanging="360"/>
      </w:pPr>
      <w:rPr>
        <w:rFonts w:cs="Times New Roman"/>
      </w:rPr>
    </w:lvl>
    <w:lvl w:ilvl="8" w:tplc="1009001B" w:tentative="1">
      <w:start w:val="1"/>
      <w:numFmt w:val="lowerRoman"/>
      <w:lvlText w:val="%9."/>
      <w:lvlJc w:val="right"/>
      <w:pPr>
        <w:ind w:left="6480" w:hanging="180"/>
      </w:pPr>
      <w:rPr>
        <w:rFonts w:cs="Times New Roman"/>
      </w:rPr>
    </w:lvl>
  </w:abstractNum>
  <w:abstractNum w:abstractNumId="191" w15:restartNumberingAfterBreak="0">
    <w:nsid w:val="54A04F83"/>
    <w:multiLevelType w:val="multilevel"/>
    <w:tmpl w:val="41B4ED64"/>
    <w:lvl w:ilvl="0">
      <w:start w:val="7"/>
      <w:numFmt w:val="decimal"/>
      <w:lvlText w:val="%1"/>
      <w:lvlJc w:val="left"/>
      <w:pPr>
        <w:ind w:left="720" w:hanging="720"/>
      </w:pPr>
      <w:rPr>
        <w:rFonts w:cs="Times New Roman" w:hint="default"/>
      </w:rPr>
    </w:lvl>
    <w:lvl w:ilvl="1">
      <w:start w:val="3"/>
      <w:numFmt w:val="decimal"/>
      <w:lvlText w:val="%1.%2"/>
      <w:lvlJc w:val="left"/>
      <w:pPr>
        <w:ind w:left="720" w:hanging="720"/>
      </w:pPr>
      <w:rPr>
        <w:rFonts w:cs="Times New Roman" w:hint="default"/>
      </w:rPr>
    </w:lvl>
    <w:lvl w:ilvl="2">
      <w:start w:val="25"/>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1800" w:hanging="1800"/>
      </w:pPr>
      <w:rPr>
        <w:rFonts w:cs="Times New Roman" w:hint="default"/>
      </w:rPr>
    </w:lvl>
  </w:abstractNum>
  <w:abstractNum w:abstractNumId="192" w15:restartNumberingAfterBreak="0">
    <w:nsid w:val="54FA4240"/>
    <w:multiLevelType w:val="hybridMultilevel"/>
    <w:tmpl w:val="CB54E1DA"/>
    <w:lvl w:ilvl="0" w:tplc="FFFFFFFF">
      <w:start w:val="5"/>
      <w:numFmt w:val="bullet"/>
      <w:lvlText w:val="–"/>
      <w:lvlJc w:val="left"/>
      <w:pPr>
        <w:ind w:left="720" w:hanging="360"/>
      </w:pPr>
      <w:rPr>
        <w:rFonts w:ascii="Times New Roman" w:eastAsia="Times New Roman" w:hAnsi="Times New Roman" w:hint="default"/>
      </w:rPr>
    </w:lvl>
    <w:lvl w:ilvl="1" w:tplc="FFFFFFFF">
      <w:start w:val="5"/>
      <w:numFmt w:val="bullet"/>
      <w:lvlText w:val="–"/>
      <w:lvlJc w:val="left"/>
      <w:pPr>
        <w:ind w:left="1440" w:hanging="360"/>
      </w:pPr>
      <w:rPr>
        <w:rFonts w:ascii="Times New Roman" w:eastAsia="Times New Roman" w:hAnsi="Times New Roman" w:hint="default"/>
      </w:rPr>
    </w:lvl>
    <w:lvl w:ilvl="2" w:tplc="84CC2C8A">
      <w:start w:val="5"/>
      <w:numFmt w:val="bullet"/>
      <w:lvlText w:val="–"/>
      <w:lvlJc w:val="left"/>
      <w:pPr>
        <w:ind w:left="2160" w:hanging="360"/>
      </w:pPr>
      <w:rPr>
        <w:rFonts w:ascii="Times New Roman" w:eastAsia="Times New Roman" w:hAnsi="Times New Roman" w:hint="default"/>
      </w:rPr>
    </w:lvl>
    <w:lvl w:ilvl="3" w:tplc="FFFFFFFF">
      <w:start w:val="5"/>
      <w:numFmt w:val="bullet"/>
      <w:lvlText w:val="–"/>
      <w:lvlJc w:val="left"/>
      <w:pPr>
        <w:ind w:left="2880" w:hanging="360"/>
      </w:pPr>
      <w:rPr>
        <w:rFonts w:ascii="Times New Roman" w:eastAsia="Times New Roman" w:hAnsi="Times New Roman" w:hint="default"/>
      </w:rPr>
    </w:lvl>
    <w:lvl w:ilvl="4" w:tplc="08090003">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3" w15:restartNumberingAfterBreak="0">
    <w:nsid w:val="55764D5B"/>
    <w:multiLevelType w:val="hybridMultilevel"/>
    <w:tmpl w:val="62D023D4"/>
    <w:lvl w:ilvl="0" w:tplc="7298C9F6">
      <w:numFmt w:val="bullet"/>
      <w:lvlText w:val="-"/>
      <w:lvlJc w:val="left"/>
      <w:pPr>
        <w:ind w:left="720" w:hanging="360"/>
      </w:pPr>
      <w:rPr>
        <w:rFonts w:ascii="Cambria" w:eastAsiaTheme="minorEastAsia" w:hAnsi="Cambria"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4" w15:restartNumberingAfterBreak="0">
    <w:nsid w:val="5593300E"/>
    <w:multiLevelType w:val="hybridMultilevel"/>
    <w:tmpl w:val="984660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5" w15:restartNumberingAfterBreak="0">
    <w:nsid w:val="560540A0"/>
    <w:multiLevelType w:val="hybridMultilevel"/>
    <w:tmpl w:val="32B471EE"/>
    <w:lvl w:ilvl="0" w:tplc="529C7C2E">
      <w:numFmt w:val="bullet"/>
      <w:lvlText w:val="–"/>
      <w:lvlJc w:val="left"/>
      <w:pPr>
        <w:ind w:left="1080" w:hanging="360"/>
      </w:pPr>
      <w:rPr>
        <w:rFonts w:ascii="Cambria" w:eastAsiaTheme="minorEastAsia" w:hAnsi="Cambria" w:hint="default"/>
      </w:rPr>
    </w:lvl>
    <w:lvl w:ilvl="1" w:tplc="529C7C2E">
      <w:numFmt w:val="bullet"/>
      <w:lvlText w:val="–"/>
      <w:lvlJc w:val="left"/>
      <w:pPr>
        <w:ind w:left="1800" w:hanging="360"/>
      </w:pPr>
      <w:rPr>
        <w:rFonts w:ascii="Cambria" w:eastAsiaTheme="minorEastAsia" w:hAnsi="Cambria"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196" w15:restartNumberingAfterBreak="0">
    <w:nsid w:val="562646CE"/>
    <w:multiLevelType w:val="hybridMultilevel"/>
    <w:tmpl w:val="2932C94C"/>
    <w:lvl w:ilvl="0" w:tplc="04090001">
      <w:start w:val="1"/>
      <w:numFmt w:val="bullet"/>
      <w:lvlText w:val=""/>
      <w:lvlJc w:val="left"/>
      <w:pPr>
        <w:ind w:left="420" w:hanging="420"/>
      </w:pPr>
      <w:rPr>
        <w:rFonts w:ascii="Symbol" w:hAnsi="Symbol"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97" w15:restartNumberingAfterBreak="0">
    <w:nsid w:val="56530945"/>
    <w:multiLevelType w:val="hybridMultilevel"/>
    <w:tmpl w:val="B9F0ADE6"/>
    <w:lvl w:ilvl="0" w:tplc="FFFFFFFF">
      <w:start w:val="5"/>
      <w:numFmt w:val="bullet"/>
      <w:lvlText w:val="–"/>
      <w:lvlJc w:val="left"/>
      <w:pPr>
        <w:ind w:left="1485" w:hanging="360"/>
      </w:pPr>
      <w:rPr>
        <w:rFonts w:ascii="Times New Roman" w:eastAsia="Times New Roman" w:hAnsi="Times New Roman" w:hint="default"/>
      </w:rPr>
    </w:lvl>
    <w:lvl w:ilvl="1" w:tplc="08090003" w:tentative="1">
      <w:start w:val="1"/>
      <w:numFmt w:val="bullet"/>
      <w:lvlText w:val="o"/>
      <w:lvlJc w:val="left"/>
      <w:pPr>
        <w:ind w:left="2205" w:hanging="360"/>
      </w:pPr>
      <w:rPr>
        <w:rFonts w:ascii="Courier New" w:hAnsi="Courier New" w:hint="default"/>
      </w:rPr>
    </w:lvl>
    <w:lvl w:ilvl="2" w:tplc="08090005" w:tentative="1">
      <w:start w:val="1"/>
      <w:numFmt w:val="bullet"/>
      <w:lvlText w:val=""/>
      <w:lvlJc w:val="left"/>
      <w:pPr>
        <w:ind w:left="2925" w:hanging="360"/>
      </w:pPr>
      <w:rPr>
        <w:rFonts w:ascii="Wingdings" w:hAnsi="Wingdings" w:hint="default"/>
      </w:rPr>
    </w:lvl>
    <w:lvl w:ilvl="3" w:tplc="08090001" w:tentative="1">
      <w:start w:val="1"/>
      <w:numFmt w:val="bullet"/>
      <w:lvlText w:val=""/>
      <w:lvlJc w:val="left"/>
      <w:pPr>
        <w:ind w:left="3645" w:hanging="360"/>
      </w:pPr>
      <w:rPr>
        <w:rFonts w:ascii="Symbol" w:hAnsi="Symbol" w:hint="default"/>
      </w:rPr>
    </w:lvl>
    <w:lvl w:ilvl="4" w:tplc="08090003" w:tentative="1">
      <w:start w:val="1"/>
      <w:numFmt w:val="bullet"/>
      <w:lvlText w:val="o"/>
      <w:lvlJc w:val="left"/>
      <w:pPr>
        <w:ind w:left="4365" w:hanging="360"/>
      </w:pPr>
      <w:rPr>
        <w:rFonts w:ascii="Courier New" w:hAnsi="Courier New" w:hint="default"/>
      </w:rPr>
    </w:lvl>
    <w:lvl w:ilvl="5" w:tplc="08090005" w:tentative="1">
      <w:start w:val="1"/>
      <w:numFmt w:val="bullet"/>
      <w:lvlText w:val=""/>
      <w:lvlJc w:val="left"/>
      <w:pPr>
        <w:ind w:left="5085" w:hanging="360"/>
      </w:pPr>
      <w:rPr>
        <w:rFonts w:ascii="Wingdings" w:hAnsi="Wingdings" w:hint="default"/>
      </w:rPr>
    </w:lvl>
    <w:lvl w:ilvl="6" w:tplc="08090001" w:tentative="1">
      <w:start w:val="1"/>
      <w:numFmt w:val="bullet"/>
      <w:lvlText w:val=""/>
      <w:lvlJc w:val="left"/>
      <w:pPr>
        <w:ind w:left="5805" w:hanging="360"/>
      </w:pPr>
      <w:rPr>
        <w:rFonts w:ascii="Symbol" w:hAnsi="Symbol" w:hint="default"/>
      </w:rPr>
    </w:lvl>
    <w:lvl w:ilvl="7" w:tplc="08090003" w:tentative="1">
      <w:start w:val="1"/>
      <w:numFmt w:val="bullet"/>
      <w:lvlText w:val="o"/>
      <w:lvlJc w:val="left"/>
      <w:pPr>
        <w:ind w:left="6525" w:hanging="360"/>
      </w:pPr>
      <w:rPr>
        <w:rFonts w:ascii="Courier New" w:hAnsi="Courier New" w:hint="default"/>
      </w:rPr>
    </w:lvl>
    <w:lvl w:ilvl="8" w:tplc="08090005" w:tentative="1">
      <w:start w:val="1"/>
      <w:numFmt w:val="bullet"/>
      <w:lvlText w:val=""/>
      <w:lvlJc w:val="left"/>
      <w:pPr>
        <w:ind w:left="7245" w:hanging="360"/>
      </w:pPr>
      <w:rPr>
        <w:rFonts w:ascii="Wingdings" w:hAnsi="Wingdings" w:hint="default"/>
      </w:rPr>
    </w:lvl>
  </w:abstractNum>
  <w:abstractNum w:abstractNumId="198" w15:restartNumberingAfterBreak="0">
    <w:nsid w:val="566E75C3"/>
    <w:multiLevelType w:val="hybridMultilevel"/>
    <w:tmpl w:val="BC40942A"/>
    <w:lvl w:ilvl="0" w:tplc="CCE27728">
      <w:start w:val="1"/>
      <w:numFmt w:val="bullet"/>
      <w:lvlText w:val="–"/>
      <w:lvlJc w:val="left"/>
      <w:pPr>
        <w:ind w:left="720" w:hanging="360"/>
      </w:pPr>
      <w:rPr>
        <w:rFonts w:ascii="Courier New" w:hAnsi="Courier New" w:hint="default"/>
      </w:rPr>
    </w:lvl>
    <w:lvl w:ilvl="1" w:tplc="CCE27728">
      <w:start w:val="1"/>
      <w:numFmt w:val="bullet"/>
      <w:lvlText w:val="–"/>
      <w:lvlJc w:val="left"/>
      <w:pPr>
        <w:ind w:left="1440" w:hanging="360"/>
      </w:pPr>
      <w:rPr>
        <w:rFonts w:ascii="Courier New" w:hAnsi="Courier New" w:hint="default"/>
      </w:rPr>
    </w:lvl>
    <w:lvl w:ilvl="2" w:tplc="CCE27728">
      <w:start w:val="1"/>
      <w:numFmt w:val="bullet"/>
      <w:lvlText w:val="–"/>
      <w:lvlJc w:val="left"/>
      <w:pPr>
        <w:ind w:left="2160" w:hanging="360"/>
      </w:pPr>
      <w:rPr>
        <w:rFonts w:ascii="Courier New" w:hAnsi="Courier New"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hint="default"/>
      </w:rPr>
    </w:lvl>
    <w:lvl w:ilvl="8" w:tplc="04090005">
      <w:start w:val="1"/>
      <w:numFmt w:val="bullet"/>
      <w:lvlText w:val=""/>
      <w:lvlJc w:val="left"/>
      <w:pPr>
        <w:ind w:left="6480" w:hanging="360"/>
      </w:pPr>
      <w:rPr>
        <w:rFonts w:ascii="Wingdings" w:hAnsi="Wingdings" w:hint="default"/>
      </w:rPr>
    </w:lvl>
  </w:abstractNum>
  <w:abstractNum w:abstractNumId="199" w15:restartNumberingAfterBreak="0">
    <w:nsid w:val="566F2FBF"/>
    <w:multiLevelType w:val="multilevel"/>
    <w:tmpl w:val="144E5F8E"/>
    <w:styleLink w:val="3DHeading"/>
    <w:lvl w:ilvl="0">
      <w:start w:val="6"/>
      <w:numFmt w:val="upperLetter"/>
      <w:suff w:val="nothing"/>
      <w:lvlText w:val="Annex %1"/>
      <w:lvlJc w:val="left"/>
      <w:rPr>
        <w:rFonts w:ascii="Times New Roman" w:hAnsi="Times New Roman" w:cs="Times New Roman" w:hint="default"/>
        <w:b/>
        <w:i w:val="0"/>
        <w:sz w:val="24"/>
      </w:rPr>
    </w:lvl>
    <w:lvl w:ilvl="1">
      <w:start w:val="1"/>
      <w:numFmt w:val="decimal"/>
      <w:lvlText w:val="%1.%2"/>
      <w:lvlJc w:val="left"/>
      <w:pPr>
        <w:tabs>
          <w:tab w:val="num" w:pos="794"/>
        </w:tabs>
      </w:pPr>
      <w:rPr>
        <w:rFonts w:ascii="Times New Roman" w:hAnsi="Times New Roman" w:cs="Times New Roman" w:hint="default"/>
        <w:b/>
        <w:i w:val="0"/>
        <w:sz w:val="20"/>
      </w:rPr>
    </w:lvl>
    <w:lvl w:ilvl="2">
      <w:start w:val="1"/>
      <w:numFmt w:val="decimal"/>
      <w:lvlText w:val="%1.%2.%3"/>
      <w:lvlJc w:val="left"/>
      <w:pPr>
        <w:tabs>
          <w:tab w:val="num" w:pos="794"/>
        </w:tabs>
      </w:pPr>
      <w:rPr>
        <w:rFonts w:ascii="Times New Roman" w:hAnsi="Times New Roman" w:cs="Times New Roman" w:hint="default"/>
        <w:b/>
        <w:i w:val="0"/>
        <w:sz w:val="20"/>
      </w:rPr>
    </w:lvl>
    <w:lvl w:ilvl="3">
      <w:start w:val="1"/>
      <w:numFmt w:val="decimal"/>
      <w:lvlText w:val="%1.%2.%3.%4"/>
      <w:lvlJc w:val="left"/>
      <w:pPr>
        <w:tabs>
          <w:tab w:val="num" w:pos="794"/>
        </w:tabs>
      </w:pPr>
      <w:rPr>
        <w:rFonts w:ascii="Times New Roman" w:hAnsi="Times New Roman" w:cs="Times New Roman" w:hint="default"/>
        <w:b/>
        <w:i w:val="0"/>
        <w:sz w:val="20"/>
      </w:rPr>
    </w:lvl>
    <w:lvl w:ilvl="4">
      <w:start w:val="1"/>
      <w:numFmt w:val="decimal"/>
      <w:lvlText w:val="%1.%2.%3.%4.%5"/>
      <w:lvlJc w:val="left"/>
      <w:pPr>
        <w:tabs>
          <w:tab w:val="num" w:pos="794"/>
        </w:tabs>
      </w:pPr>
      <w:rPr>
        <w:rFonts w:ascii="Times New Roman" w:hAnsi="Times New Roman" w:cs="Times New Roman" w:hint="default"/>
        <w:b/>
        <w:i w:val="0"/>
        <w:sz w:val="20"/>
      </w:rPr>
    </w:lvl>
    <w:lvl w:ilvl="5">
      <w:start w:val="1"/>
      <w:numFmt w:val="decimal"/>
      <w:lvlText w:val="%1.%2.%3.%4.%5.%6"/>
      <w:lvlJc w:val="left"/>
      <w:pPr>
        <w:tabs>
          <w:tab w:val="num" w:pos="794"/>
        </w:tabs>
      </w:pPr>
      <w:rPr>
        <w:rFonts w:ascii="Times New Roman" w:hAnsi="Times New Roman" w:cs="Times New Roman" w:hint="default"/>
        <w:b/>
        <w:i w:val="0"/>
      </w:rPr>
    </w:lvl>
    <w:lvl w:ilvl="6">
      <w:start w:val="1"/>
      <w:numFmt w:val="decimal"/>
      <w:lvlText w:val="%1.%2.%3.%4.%5.%6.%7"/>
      <w:lvlJc w:val="left"/>
      <w:pPr>
        <w:tabs>
          <w:tab w:val="num" w:pos="794"/>
        </w:tabs>
      </w:pPr>
      <w:rPr>
        <w:rFonts w:ascii="Times New Roman" w:hAnsi="Times New Roman" w:cs="Times New Roman" w:hint="default"/>
        <w:b/>
        <w:i w:val="0"/>
        <w:sz w:val="20"/>
      </w:rPr>
    </w:lvl>
    <w:lvl w:ilvl="7">
      <w:start w:val="1"/>
      <w:numFmt w:val="decimal"/>
      <w:lvlText w:val="%1.%2.%3.%4.%5.%6.%7.%8"/>
      <w:lvlJc w:val="left"/>
      <w:pPr>
        <w:tabs>
          <w:tab w:val="num" w:pos="794"/>
        </w:tabs>
      </w:pPr>
      <w:rPr>
        <w:rFonts w:ascii="Times New Roman" w:hAnsi="Times New Roman" w:cs="Times New Roman" w:hint="default"/>
        <w:b/>
        <w:i w:val="0"/>
      </w:rPr>
    </w:lvl>
    <w:lvl w:ilvl="8">
      <w:start w:val="1"/>
      <w:numFmt w:val="decimal"/>
      <w:lvlText w:val="%1.%2.%3.%4.%5.%6.%7.%8.%9"/>
      <w:lvlJc w:val="left"/>
      <w:pPr>
        <w:tabs>
          <w:tab w:val="num" w:pos="794"/>
        </w:tabs>
      </w:pPr>
      <w:rPr>
        <w:rFonts w:ascii="Times New Roman" w:hAnsi="Times New Roman" w:cs="Times New Roman" w:hint="default"/>
        <w:b/>
        <w:i w:val="0"/>
        <w:sz w:val="20"/>
      </w:rPr>
    </w:lvl>
  </w:abstractNum>
  <w:abstractNum w:abstractNumId="200" w15:restartNumberingAfterBreak="0">
    <w:nsid w:val="56CF01B0"/>
    <w:multiLevelType w:val="multilevel"/>
    <w:tmpl w:val="D6B0C810"/>
    <w:lvl w:ilvl="0">
      <w:start w:val="7"/>
      <w:numFmt w:val="decimal"/>
      <w:lvlText w:val="%1"/>
      <w:lvlJc w:val="left"/>
      <w:pPr>
        <w:ind w:left="720" w:hanging="720"/>
      </w:pPr>
      <w:rPr>
        <w:rFonts w:cs="Times New Roman" w:hint="default"/>
      </w:rPr>
    </w:lvl>
    <w:lvl w:ilvl="1">
      <w:start w:val="3"/>
      <w:numFmt w:val="decimal"/>
      <w:lvlText w:val="%1.%2"/>
      <w:lvlJc w:val="left"/>
      <w:pPr>
        <w:ind w:left="720" w:hanging="720"/>
      </w:pPr>
      <w:rPr>
        <w:rFonts w:cs="Times New Roman" w:hint="default"/>
      </w:rPr>
    </w:lvl>
    <w:lvl w:ilvl="2">
      <w:start w:val="25"/>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1800" w:hanging="1800"/>
      </w:pPr>
      <w:rPr>
        <w:rFonts w:cs="Times New Roman" w:hint="default"/>
      </w:rPr>
    </w:lvl>
  </w:abstractNum>
  <w:abstractNum w:abstractNumId="201" w15:restartNumberingAfterBreak="0">
    <w:nsid w:val="56DD2433"/>
    <w:multiLevelType w:val="hybridMultilevel"/>
    <w:tmpl w:val="4BEE6610"/>
    <w:lvl w:ilvl="0" w:tplc="4D6EFB50">
      <w:start w:val="1"/>
      <w:numFmt w:val="decimal"/>
      <w:lvlText w:val="%1."/>
      <w:lvlJc w:val="left"/>
      <w:pPr>
        <w:ind w:left="1080" w:hanging="360"/>
      </w:pPr>
      <w:rPr>
        <w:rFonts w:cs="Times New Roman" w:hint="default"/>
      </w:rPr>
    </w:lvl>
    <w:lvl w:ilvl="1" w:tplc="84CC2C8A">
      <w:start w:val="5"/>
      <w:numFmt w:val="bullet"/>
      <w:lvlText w:val="–"/>
      <w:lvlJc w:val="left"/>
      <w:pPr>
        <w:ind w:left="1800" w:hanging="360"/>
      </w:pPr>
      <w:rPr>
        <w:rFonts w:ascii="Times New Roman" w:eastAsia="Times New Roman" w:hAnsi="Times New Roman" w:hint="default"/>
      </w:rPr>
    </w:lvl>
    <w:lvl w:ilvl="2" w:tplc="84CC2C8A">
      <w:start w:val="5"/>
      <w:numFmt w:val="bullet"/>
      <w:lvlText w:val="–"/>
      <w:lvlJc w:val="left"/>
      <w:pPr>
        <w:ind w:left="2520" w:hanging="180"/>
      </w:pPr>
      <w:rPr>
        <w:rFonts w:ascii="Times New Roman" w:eastAsia="Times New Roman" w:hAnsi="Times New Roman" w:hint="default"/>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202" w15:restartNumberingAfterBreak="0">
    <w:nsid w:val="5717556C"/>
    <w:multiLevelType w:val="hybridMultilevel"/>
    <w:tmpl w:val="B134AA5A"/>
    <w:lvl w:ilvl="0" w:tplc="49887C58">
      <w:numFmt w:val="bullet"/>
      <w:lvlText w:val="–"/>
      <w:lvlJc w:val="left"/>
      <w:pPr>
        <w:tabs>
          <w:tab w:val="num" w:pos="1435"/>
        </w:tabs>
        <w:ind w:left="1435" w:hanging="358"/>
      </w:pPr>
      <w:rPr>
        <w:rFonts w:ascii="Cambria" w:eastAsiaTheme="minorEastAsia" w:hAnsi="Cambria" w:hint="default"/>
      </w:rPr>
    </w:lvl>
    <w:lvl w:ilvl="1" w:tplc="529C7C2E">
      <w:numFmt w:val="bullet"/>
      <w:lvlText w:val="–"/>
      <w:lvlJc w:val="left"/>
      <w:pPr>
        <w:ind w:left="1800" w:hanging="360"/>
      </w:pPr>
      <w:rPr>
        <w:rFonts w:ascii="Cambria" w:eastAsiaTheme="minorEastAsia" w:hAnsi="Cambria"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203" w15:restartNumberingAfterBreak="0">
    <w:nsid w:val="58DF1E2C"/>
    <w:multiLevelType w:val="hybridMultilevel"/>
    <w:tmpl w:val="7E449E4C"/>
    <w:lvl w:ilvl="0" w:tplc="0409000F">
      <w:start w:val="1"/>
      <w:numFmt w:val="decimal"/>
      <w:lvlText w:val="%1."/>
      <w:lvlJc w:val="left"/>
      <w:pPr>
        <w:ind w:left="720" w:hanging="360"/>
      </w:pPr>
      <w:rPr>
        <w:rFonts w:cs="Times New Roman"/>
      </w:rPr>
    </w:lvl>
    <w:lvl w:ilvl="1" w:tplc="59AEBF4C">
      <w:numFmt w:val="bullet"/>
      <w:lvlText w:val="–"/>
      <w:lvlJc w:val="left"/>
      <w:pPr>
        <w:ind w:left="1440" w:hanging="360"/>
      </w:pPr>
      <w:rPr>
        <w:rFonts w:ascii="Times New Roman" w:eastAsia="SimSun" w:hAnsi="Times New Roman" w:hint="default"/>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04" w15:restartNumberingAfterBreak="0">
    <w:nsid w:val="5969687F"/>
    <w:multiLevelType w:val="hybridMultilevel"/>
    <w:tmpl w:val="5BA892BA"/>
    <w:lvl w:ilvl="0" w:tplc="01D6BD14">
      <w:start w:val="1"/>
      <w:numFmt w:val="bullet"/>
      <w:lvlText w:val="–"/>
      <w:lvlJc w:val="left"/>
      <w:pPr>
        <w:ind w:left="720" w:hanging="360"/>
      </w:pPr>
      <w:rPr>
        <w:rFonts w:ascii="Times New Roman" w:eastAsia="Malgun Gothic" w:hAnsi="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5" w15:restartNumberingAfterBreak="0">
    <w:nsid w:val="597B0721"/>
    <w:multiLevelType w:val="hybridMultilevel"/>
    <w:tmpl w:val="65C01752"/>
    <w:lvl w:ilvl="0" w:tplc="0409000F">
      <w:start w:val="1"/>
      <w:numFmt w:val="decimal"/>
      <w:lvlText w:val="%1."/>
      <w:lvlJc w:val="left"/>
      <w:pPr>
        <w:ind w:left="720" w:hanging="360"/>
      </w:pPr>
      <w:rPr>
        <w:rFonts w:cs="Times New Roman"/>
      </w:rPr>
    </w:lvl>
    <w:lvl w:ilvl="1" w:tplc="10090019">
      <w:start w:val="1"/>
      <w:numFmt w:val="lowerLetter"/>
      <w:lvlText w:val="%2."/>
      <w:lvlJc w:val="left"/>
      <w:pPr>
        <w:ind w:left="1440" w:hanging="360"/>
      </w:pPr>
      <w:rPr>
        <w:rFonts w:cs="Times New Roman"/>
      </w:rPr>
    </w:lvl>
    <w:lvl w:ilvl="2" w:tplc="1009001B">
      <w:start w:val="1"/>
      <w:numFmt w:val="lowerRoman"/>
      <w:lvlText w:val="%3."/>
      <w:lvlJc w:val="right"/>
      <w:pPr>
        <w:ind w:left="2160" w:hanging="180"/>
      </w:pPr>
      <w:rPr>
        <w:rFonts w:cs="Times New Roman"/>
      </w:rPr>
    </w:lvl>
    <w:lvl w:ilvl="3" w:tplc="1009000F">
      <w:start w:val="1"/>
      <w:numFmt w:val="decimal"/>
      <w:lvlText w:val="%4."/>
      <w:lvlJc w:val="left"/>
      <w:pPr>
        <w:ind w:left="2880" w:hanging="360"/>
      </w:pPr>
      <w:rPr>
        <w:rFonts w:cs="Times New Roman"/>
      </w:rPr>
    </w:lvl>
    <w:lvl w:ilvl="4" w:tplc="10090019">
      <w:start w:val="1"/>
      <w:numFmt w:val="lowerLetter"/>
      <w:lvlText w:val="%5."/>
      <w:lvlJc w:val="left"/>
      <w:pPr>
        <w:ind w:left="3600" w:hanging="360"/>
      </w:pPr>
      <w:rPr>
        <w:rFonts w:cs="Times New Roman"/>
      </w:rPr>
    </w:lvl>
    <w:lvl w:ilvl="5" w:tplc="1009001B">
      <w:start w:val="1"/>
      <w:numFmt w:val="lowerRoman"/>
      <w:lvlText w:val="%6."/>
      <w:lvlJc w:val="right"/>
      <w:pPr>
        <w:ind w:left="4320" w:hanging="180"/>
      </w:pPr>
      <w:rPr>
        <w:rFonts w:cs="Times New Roman"/>
      </w:rPr>
    </w:lvl>
    <w:lvl w:ilvl="6" w:tplc="1009000F">
      <w:start w:val="1"/>
      <w:numFmt w:val="decimal"/>
      <w:lvlText w:val="%7."/>
      <w:lvlJc w:val="left"/>
      <w:pPr>
        <w:ind w:left="5040" w:hanging="360"/>
      </w:pPr>
      <w:rPr>
        <w:rFonts w:cs="Times New Roman"/>
      </w:rPr>
    </w:lvl>
    <w:lvl w:ilvl="7" w:tplc="10090019">
      <w:start w:val="1"/>
      <w:numFmt w:val="lowerLetter"/>
      <w:lvlText w:val="%8."/>
      <w:lvlJc w:val="left"/>
      <w:pPr>
        <w:ind w:left="5760" w:hanging="360"/>
      </w:pPr>
      <w:rPr>
        <w:rFonts w:cs="Times New Roman"/>
      </w:rPr>
    </w:lvl>
    <w:lvl w:ilvl="8" w:tplc="1009001B">
      <w:start w:val="1"/>
      <w:numFmt w:val="lowerRoman"/>
      <w:lvlText w:val="%9."/>
      <w:lvlJc w:val="right"/>
      <w:pPr>
        <w:ind w:left="6480" w:hanging="180"/>
      </w:pPr>
      <w:rPr>
        <w:rFonts w:cs="Times New Roman"/>
      </w:rPr>
    </w:lvl>
  </w:abstractNum>
  <w:abstractNum w:abstractNumId="206" w15:restartNumberingAfterBreak="0">
    <w:nsid w:val="59C23B8C"/>
    <w:multiLevelType w:val="hybridMultilevel"/>
    <w:tmpl w:val="453EE1FA"/>
    <w:lvl w:ilvl="0" w:tplc="529C7C2E">
      <w:numFmt w:val="bullet"/>
      <w:lvlText w:val="–"/>
      <w:lvlJc w:val="left"/>
      <w:pPr>
        <w:ind w:left="360" w:hanging="360"/>
      </w:pPr>
      <w:rPr>
        <w:rFonts w:ascii="Cambria" w:eastAsiaTheme="minorEastAsia" w:hAnsi="Cambria" w:hint="default"/>
      </w:rPr>
    </w:lvl>
    <w:lvl w:ilvl="1" w:tplc="10090003" w:tentative="1">
      <w:start w:val="1"/>
      <w:numFmt w:val="bullet"/>
      <w:lvlText w:val="o"/>
      <w:lvlJc w:val="left"/>
      <w:pPr>
        <w:ind w:left="1080" w:hanging="360"/>
      </w:pPr>
      <w:rPr>
        <w:rFonts w:ascii="Courier New" w:hAnsi="Courier New" w:cs="Courier New" w:hint="default"/>
      </w:rPr>
    </w:lvl>
    <w:lvl w:ilvl="2" w:tplc="10090005" w:tentative="1">
      <w:start w:val="1"/>
      <w:numFmt w:val="bullet"/>
      <w:lvlText w:val=""/>
      <w:lvlJc w:val="left"/>
      <w:pPr>
        <w:ind w:left="1800" w:hanging="360"/>
      </w:pPr>
      <w:rPr>
        <w:rFonts w:ascii="Wingdings" w:hAnsi="Wingdings" w:hint="default"/>
      </w:rPr>
    </w:lvl>
    <w:lvl w:ilvl="3" w:tplc="10090001" w:tentative="1">
      <w:start w:val="1"/>
      <w:numFmt w:val="bullet"/>
      <w:lvlText w:val=""/>
      <w:lvlJc w:val="left"/>
      <w:pPr>
        <w:ind w:left="2520" w:hanging="360"/>
      </w:pPr>
      <w:rPr>
        <w:rFonts w:ascii="Symbol" w:hAnsi="Symbol" w:hint="default"/>
      </w:rPr>
    </w:lvl>
    <w:lvl w:ilvl="4" w:tplc="10090003" w:tentative="1">
      <w:start w:val="1"/>
      <w:numFmt w:val="bullet"/>
      <w:lvlText w:val="o"/>
      <w:lvlJc w:val="left"/>
      <w:pPr>
        <w:ind w:left="3240" w:hanging="360"/>
      </w:pPr>
      <w:rPr>
        <w:rFonts w:ascii="Courier New" w:hAnsi="Courier New" w:cs="Courier New" w:hint="default"/>
      </w:rPr>
    </w:lvl>
    <w:lvl w:ilvl="5" w:tplc="10090005" w:tentative="1">
      <w:start w:val="1"/>
      <w:numFmt w:val="bullet"/>
      <w:lvlText w:val=""/>
      <w:lvlJc w:val="left"/>
      <w:pPr>
        <w:ind w:left="3960" w:hanging="360"/>
      </w:pPr>
      <w:rPr>
        <w:rFonts w:ascii="Wingdings" w:hAnsi="Wingdings" w:hint="default"/>
      </w:rPr>
    </w:lvl>
    <w:lvl w:ilvl="6" w:tplc="10090001" w:tentative="1">
      <w:start w:val="1"/>
      <w:numFmt w:val="bullet"/>
      <w:lvlText w:val=""/>
      <w:lvlJc w:val="left"/>
      <w:pPr>
        <w:ind w:left="4680" w:hanging="360"/>
      </w:pPr>
      <w:rPr>
        <w:rFonts w:ascii="Symbol" w:hAnsi="Symbol" w:hint="default"/>
      </w:rPr>
    </w:lvl>
    <w:lvl w:ilvl="7" w:tplc="10090003" w:tentative="1">
      <w:start w:val="1"/>
      <w:numFmt w:val="bullet"/>
      <w:lvlText w:val="o"/>
      <w:lvlJc w:val="left"/>
      <w:pPr>
        <w:ind w:left="5400" w:hanging="360"/>
      </w:pPr>
      <w:rPr>
        <w:rFonts w:ascii="Courier New" w:hAnsi="Courier New" w:cs="Courier New" w:hint="default"/>
      </w:rPr>
    </w:lvl>
    <w:lvl w:ilvl="8" w:tplc="10090005" w:tentative="1">
      <w:start w:val="1"/>
      <w:numFmt w:val="bullet"/>
      <w:lvlText w:val=""/>
      <w:lvlJc w:val="left"/>
      <w:pPr>
        <w:ind w:left="6120" w:hanging="360"/>
      </w:pPr>
      <w:rPr>
        <w:rFonts w:ascii="Wingdings" w:hAnsi="Wingdings" w:hint="default"/>
      </w:rPr>
    </w:lvl>
  </w:abstractNum>
  <w:abstractNum w:abstractNumId="207" w15:restartNumberingAfterBreak="0">
    <w:nsid w:val="59E608B8"/>
    <w:multiLevelType w:val="hybridMultilevel"/>
    <w:tmpl w:val="556450C0"/>
    <w:lvl w:ilvl="0" w:tplc="9BD26AB6">
      <w:numFmt w:val="bullet"/>
      <w:lvlText w:val="-"/>
      <w:lvlJc w:val="left"/>
      <w:pPr>
        <w:ind w:left="1569" w:hanging="360"/>
      </w:pPr>
      <w:rPr>
        <w:rFonts w:ascii="Times New Roman" w:eastAsia="MS Mincho" w:hAnsi="Times New Roman" w:hint="default"/>
        <w:color w:val="000000" w:themeColor="text1"/>
      </w:rPr>
    </w:lvl>
    <w:lvl w:ilvl="1" w:tplc="04090003" w:tentative="1">
      <w:start w:val="1"/>
      <w:numFmt w:val="bullet"/>
      <w:lvlText w:val="o"/>
      <w:lvlJc w:val="left"/>
      <w:pPr>
        <w:ind w:left="2289" w:hanging="360"/>
      </w:pPr>
      <w:rPr>
        <w:rFonts w:ascii="Courier New" w:hAnsi="Courier New" w:hint="default"/>
      </w:rPr>
    </w:lvl>
    <w:lvl w:ilvl="2" w:tplc="04090005" w:tentative="1">
      <w:start w:val="1"/>
      <w:numFmt w:val="bullet"/>
      <w:lvlText w:val=""/>
      <w:lvlJc w:val="left"/>
      <w:pPr>
        <w:ind w:left="3009" w:hanging="360"/>
      </w:pPr>
      <w:rPr>
        <w:rFonts w:ascii="Wingdings" w:hAnsi="Wingdings" w:hint="default"/>
      </w:rPr>
    </w:lvl>
    <w:lvl w:ilvl="3" w:tplc="04090001" w:tentative="1">
      <w:start w:val="1"/>
      <w:numFmt w:val="bullet"/>
      <w:lvlText w:val=""/>
      <w:lvlJc w:val="left"/>
      <w:pPr>
        <w:ind w:left="3729" w:hanging="360"/>
      </w:pPr>
      <w:rPr>
        <w:rFonts w:ascii="Symbol" w:hAnsi="Symbol" w:hint="default"/>
      </w:rPr>
    </w:lvl>
    <w:lvl w:ilvl="4" w:tplc="04090003" w:tentative="1">
      <w:start w:val="1"/>
      <w:numFmt w:val="bullet"/>
      <w:lvlText w:val="o"/>
      <w:lvlJc w:val="left"/>
      <w:pPr>
        <w:ind w:left="4449" w:hanging="360"/>
      </w:pPr>
      <w:rPr>
        <w:rFonts w:ascii="Courier New" w:hAnsi="Courier New" w:hint="default"/>
      </w:rPr>
    </w:lvl>
    <w:lvl w:ilvl="5" w:tplc="04090005" w:tentative="1">
      <w:start w:val="1"/>
      <w:numFmt w:val="bullet"/>
      <w:lvlText w:val=""/>
      <w:lvlJc w:val="left"/>
      <w:pPr>
        <w:ind w:left="5169" w:hanging="360"/>
      </w:pPr>
      <w:rPr>
        <w:rFonts w:ascii="Wingdings" w:hAnsi="Wingdings" w:hint="default"/>
      </w:rPr>
    </w:lvl>
    <w:lvl w:ilvl="6" w:tplc="04090001" w:tentative="1">
      <w:start w:val="1"/>
      <w:numFmt w:val="bullet"/>
      <w:lvlText w:val=""/>
      <w:lvlJc w:val="left"/>
      <w:pPr>
        <w:ind w:left="5889" w:hanging="360"/>
      </w:pPr>
      <w:rPr>
        <w:rFonts w:ascii="Symbol" w:hAnsi="Symbol" w:hint="default"/>
      </w:rPr>
    </w:lvl>
    <w:lvl w:ilvl="7" w:tplc="04090003" w:tentative="1">
      <w:start w:val="1"/>
      <w:numFmt w:val="bullet"/>
      <w:lvlText w:val="o"/>
      <w:lvlJc w:val="left"/>
      <w:pPr>
        <w:ind w:left="6609" w:hanging="360"/>
      </w:pPr>
      <w:rPr>
        <w:rFonts w:ascii="Courier New" w:hAnsi="Courier New" w:hint="default"/>
      </w:rPr>
    </w:lvl>
    <w:lvl w:ilvl="8" w:tplc="04090005" w:tentative="1">
      <w:start w:val="1"/>
      <w:numFmt w:val="bullet"/>
      <w:lvlText w:val=""/>
      <w:lvlJc w:val="left"/>
      <w:pPr>
        <w:ind w:left="7329" w:hanging="360"/>
      </w:pPr>
      <w:rPr>
        <w:rFonts w:ascii="Wingdings" w:hAnsi="Wingdings" w:hint="default"/>
      </w:rPr>
    </w:lvl>
  </w:abstractNum>
  <w:abstractNum w:abstractNumId="208" w15:restartNumberingAfterBreak="0">
    <w:nsid w:val="5A5E1C5A"/>
    <w:multiLevelType w:val="hybridMultilevel"/>
    <w:tmpl w:val="B2F02B86"/>
    <w:lvl w:ilvl="0" w:tplc="75BE59AC">
      <w:numFmt w:val="bullet"/>
      <w:lvlText w:val="–"/>
      <w:lvlJc w:val="left"/>
      <w:pPr>
        <w:ind w:left="760" w:hanging="400"/>
      </w:pPr>
      <w:rPr>
        <w:rFonts w:ascii="Cambria" w:eastAsiaTheme="minorEastAsia" w:hAnsi="Cambria" w:hint="default"/>
      </w:rPr>
    </w:lvl>
    <w:lvl w:ilvl="1" w:tplc="10090003">
      <w:start w:val="1"/>
      <w:numFmt w:val="bullet"/>
      <w:lvlText w:val="o"/>
      <w:lvlJc w:val="left"/>
      <w:pPr>
        <w:ind w:left="1440" w:hanging="360"/>
      </w:pPr>
      <w:rPr>
        <w:rFonts w:ascii="Courier New" w:hAnsi="Courier New" w:cs="Courier New" w:hint="default"/>
      </w:rPr>
    </w:lvl>
    <w:lvl w:ilvl="2" w:tplc="529C7C2E">
      <w:numFmt w:val="bullet"/>
      <w:lvlText w:val="–"/>
      <w:lvlJc w:val="left"/>
      <w:pPr>
        <w:ind w:left="2160" w:hanging="360"/>
      </w:pPr>
      <w:rPr>
        <w:rFonts w:ascii="Cambria" w:eastAsiaTheme="minorEastAsia" w:hAnsi="Cambria" w:hint="default"/>
      </w:rPr>
    </w:lvl>
    <w:lvl w:ilvl="3" w:tplc="529C7C2E">
      <w:numFmt w:val="bullet"/>
      <w:lvlText w:val="–"/>
      <w:lvlJc w:val="left"/>
      <w:pPr>
        <w:ind w:left="2880" w:hanging="360"/>
      </w:pPr>
      <w:rPr>
        <w:rFonts w:ascii="Cambria" w:eastAsiaTheme="minorEastAsia" w:hAnsi="Cambria" w:hint="default"/>
      </w:rPr>
    </w:lvl>
    <w:lvl w:ilvl="4" w:tplc="529C7C2E">
      <w:numFmt w:val="bullet"/>
      <w:lvlText w:val="–"/>
      <w:lvlJc w:val="left"/>
      <w:pPr>
        <w:ind w:left="3600" w:hanging="360"/>
      </w:pPr>
      <w:rPr>
        <w:rFonts w:ascii="Cambria" w:eastAsiaTheme="minorEastAsia" w:hAnsi="Cambria" w:hint="default"/>
      </w:rPr>
    </w:lvl>
    <w:lvl w:ilvl="5" w:tplc="529C7C2E">
      <w:numFmt w:val="bullet"/>
      <w:lvlText w:val="–"/>
      <w:lvlJc w:val="left"/>
      <w:pPr>
        <w:ind w:left="4320" w:hanging="360"/>
      </w:pPr>
      <w:rPr>
        <w:rFonts w:ascii="Cambria" w:eastAsiaTheme="minorEastAsia" w:hAnsi="Cambria" w:hint="default"/>
      </w:rPr>
    </w:lvl>
    <w:lvl w:ilvl="6" w:tplc="529C7C2E">
      <w:numFmt w:val="bullet"/>
      <w:lvlText w:val="–"/>
      <w:lvlJc w:val="left"/>
      <w:pPr>
        <w:ind w:left="5040" w:hanging="360"/>
      </w:pPr>
      <w:rPr>
        <w:rFonts w:ascii="Cambria" w:eastAsiaTheme="minorEastAsia" w:hAnsi="Cambria"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9" w15:restartNumberingAfterBreak="0">
    <w:nsid w:val="5AB521F4"/>
    <w:multiLevelType w:val="hybridMultilevel"/>
    <w:tmpl w:val="FACE732E"/>
    <w:lvl w:ilvl="0" w:tplc="2F2639A6">
      <w:start w:val="8"/>
      <w:numFmt w:val="bullet"/>
      <w:lvlText w:val=""/>
      <w:lvlJc w:val="left"/>
      <w:pPr>
        <w:ind w:left="720" w:hanging="360"/>
      </w:pPr>
      <w:rPr>
        <w:rFonts w:ascii="Wingdings" w:eastAsiaTheme="minorEastAsia" w:hAnsi="Wingding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0" w15:restartNumberingAfterBreak="0">
    <w:nsid w:val="5AF240A1"/>
    <w:multiLevelType w:val="hybridMultilevel"/>
    <w:tmpl w:val="5FE8B99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1" w15:restartNumberingAfterBreak="0">
    <w:nsid w:val="5B076422"/>
    <w:multiLevelType w:val="hybridMultilevel"/>
    <w:tmpl w:val="4E4E652C"/>
    <w:lvl w:ilvl="0" w:tplc="FFFFFFFF">
      <w:start w:val="5"/>
      <w:numFmt w:val="bullet"/>
      <w:lvlText w:val="–"/>
      <w:lvlJc w:val="left"/>
      <w:pPr>
        <w:ind w:left="720" w:hanging="360"/>
      </w:pPr>
      <w:rPr>
        <w:rFonts w:ascii="Times New Roman" w:eastAsia="Times New Roman" w:hAnsi="Times New Roman"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12" w15:restartNumberingAfterBreak="0">
    <w:nsid w:val="5C0625A7"/>
    <w:multiLevelType w:val="hybridMultilevel"/>
    <w:tmpl w:val="5A2A8204"/>
    <w:lvl w:ilvl="0" w:tplc="C6123BC8">
      <w:start w:val="1"/>
      <w:numFmt w:val="decimal"/>
      <w:lvlText w:val="[%1]"/>
      <w:lvlJc w:val="left"/>
      <w:pPr>
        <w:ind w:left="1929" w:hanging="360"/>
      </w:pPr>
      <w:rPr>
        <w:rFonts w:hint="default"/>
      </w:rPr>
    </w:lvl>
    <w:lvl w:ilvl="1" w:tplc="04090019" w:tentative="1">
      <w:start w:val="1"/>
      <w:numFmt w:val="lowerLetter"/>
      <w:lvlText w:val="%2."/>
      <w:lvlJc w:val="left"/>
      <w:pPr>
        <w:ind w:left="2649" w:hanging="360"/>
      </w:pPr>
    </w:lvl>
    <w:lvl w:ilvl="2" w:tplc="0409001B" w:tentative="1">
      <w:start w:val="1"/>
      <w:numFmt w:val="lowerRoman"/>
      <w:lvlText w:val="%3."/>
      <w:lvlJc w:val="right"/>
      <w:pPr>
        <w:ind w:left="3369" w:hanging="180"/>
      </w:pPr>
    </w:lvl>
    <w:lvl w:ilvl="3" w:tplc="0409000F" w:tentative="1">
      <w:start w:val="1"/>
      <w:numFmt w:val="decimal"/>
      <w:lvlText w:val="%4."/>
      <w:lvlJc w:val="left"/>
      <w:pPr>
        <w:ind w:left="4089" w:hanging="360"/>
      </w:pPr>
    </w:lvl>
    <w:lvl w:ilvl="4" w:tplc="04090019" w:tentative="1">
      <w:start w:val="1"/>
      <w:numFmt w:val="lowerLetter"/>
      <w:lvlText w:val="%5."/>
      <w:lvlJc w:val="left"/>
      <w:pPr>
        <w:ind w:left="4809" w:hanging="360"/>
      </w:pPr>
    </w:lvl>
    <w:lvl w:ilvl="5" w:tplc="0409001B" w:tentative="1">
      <w:start w:val="1"/>
      <w:numFmt w:val="lowerRoman"/>
      <w:lvlText w:val="%6."/>
      <w:lvlJc w:val="right"/>
      <w:pPr>
        <w:ind w:left="5529" w:hanging="180"/>
      </w:pPr>
    </w:lvl>
    <w:lvl w:ilvl="6" w:tplc="0409000F" w:tentative="1">
      <w:start w:val="1"/>
      <w:numFmt w:val="decimal"/>
      <w:lvlText w:val="%7."/>
      <w:lvlJc w:val="left"/>
      <w:pPr>
        <w:ind w:left="6249" w:hanging="360"/>
      </w:pPr>
    </w:lvl>
    <w:lvl w:ilvl="7" w:tplc="04090019" w:tentative="1">
      <w:start w:val="1"/>
      <w:numFmt w:val="lowerLetter"/>
      <w:lvlText w:val="%8."/>
      <w:lvlJc w:val="left"/>
      <w:pPr>
        <w:ind w:left="6969" w:hanging="360"/>
      </w:pPr>
    </w:lvl>
    <w:lvl w:ilvl="8" w:tplc="0409001B" w:tentative="1">
      <w:start w:val="1"/>
      <w:numFmt w:val="lowerRoman"/>
      <w:lvlText w:val="%9."/>
      <w:lvlJc w:val="right"/>
      <w:pPr>
        <w:ind w:left="7689" w:hanging="180"/>
      </w:pPr>
    </w:lvl>
  </w:abstractNum>
  <w:abstractNum w:abstractNumId="213" w15:restartNumberingAfterBreak="0">
    <w:nsid w:val="5C5877C2"/>
    <w:multiLevelType w:val="hybridMultilevel"/>
    <w:tmpl w:val="3256739A"/>
    <w:lvl w:ilvl="0" w:tplc="FFFFFFFF">
      <w:start w:val="5"/>
      <w:numFmt w:val="bullet"/>
      <w:lvlText w:val="–"/>
      <w:lvlJc w:val="left"/>
      <w:pPr>
        <w:ind w:left="720" w:hanging="360"/>
      </w:pPr>
      <w:rPr>
        <w:rFonts w:ascii="Times New Roman" w:eastAsia="Times New Roman" w:hAnsi="Times New Roman" w:hint="default"/>
      </w:rPr>
    </w:lvl>
    <w:lvl w:ilvl="1" w:tplc="FFFFFFFF">
      <w:start w:val="5"/>
      <w:numFmt w:val="bullet"/>
      <w:lvlText w:val="–"/>
      <w:lvlJc w:val="left"/>
      <w:pPr>
        <w:ind w:left="1440" w:hanging="360"/>
      </w:pPr>
      <w:rPr>
        <w:rFonts w:ascii="Times New Roman" w:eastAsia="Times New Roman" w:hAnsi="Times New Roman" w:hint="default"/>
      </w:rPr>
    </w:lvl>
    <w:lvl w:ilvl="2" w:tplc="84CC2C8A">
      <w:start w:val="5"/>
      <w:numFmt w:val="bullet"/>
      <w:lvlText w:val="–"/>
      <w:lvlJc w:val="left"/>
      <w:pPr>
        <w:ind w:left="2160" w:hanging="360"/>
      </w:pPr>
      <w:rPr>
        <w:rFonts w:ascii="Times New Roman" w:eastAsia="Times New Roman" w:hAnsi="Times New Roman" w:hint="default"/>
      </w:rPr>
    </w:lvl>
    <w:lvl w:ilvl="3" w:tplc="FFFFFFFF">
      <w:start w:val="5"/>
      <w:numFmt w:val="bullet"/>
      <w:lvlText w:val="–"/>
      <w:lvlJc w:val="left"/>
      <w:pPr>
        <w:ind w:left="2880" w:hanging="360"/>
      </w:pPr>
      <w:rPr>
        <w:rFonts w:ascii="Times New Roman" w:eastAsia="Times New Roman" w:hAnsi="Times New Roman" w:hint="default"/>
      </w:rPr>
    </w:lvl>
    <w:lvl w:ilvl="4" w:tplc="08090003">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4" w15:restartNumberingAfterBreak="0">
    <w:nsid w:val="5CF56AF7"/>
    <w:multiLevelType w:val="hybridMultilevel"/>
    <w:tmpl w:val="6A9EC724"/>
    <w:lvl w:ilvl="0" w:tplc="FFFFFFFF">
      <w:start w:val="5"/>
      <w:numFmt w:val="bullet"/>
      <w:lvlText w:val="–"/>
      <w:lvlJc w:val="left"/>
      <w:pPr>
        <w:ind w:left="360" w:hanging="360"/>
      </w:pPr>
      <w:rPr>
        <w:rFonts w:ascii="Times New Roman" w:eastAsia="Times New Roman" w:hAnsi="Times New Roman" w:hint="default"/>
      </w:rPr>
    </w:lvl>
    <w:lvl w:ilvl="1" w:tplc="84CC2C8A">
      <w:start w:val="5"/>
      <w:numFmt w:val="bullet"/>
      <w:lvlText w:val="–"/>
      <w:lvlJc w:val="left"/>
      <w:pPr>
        <w:ind w:left="1080" w:hanging="360"/>
      </w:pPr>
      <w:rPr>
        <w:rFonts w:ascii="Times New Roman" w:eastAsia="Times New Roman" w:hAnsi="Times New Roman"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5" w15:restartNumberingAfterBreak="0">
    <w:nsid w:val="5D892193"/>
    <w:multiLevelType w:val="hybridMultilevel"/>
    <w:tmpl w:val="62888802"/>
    <w:lvl w:ilvl="0" w:tplc="A266B492">
      <w:start w:val="1"/>
      <w:numFmt w:val="decimal"/>
      <w:pStyle w:val="Term"/>
      <w:lvlText w:val="%1."/>
      <w:lvlJc w:val="left"/>
      <w:pPr>
        <w:ind w:left="720" w:hanging="360"/>
      </w:pPr>
      <w:rPr>
        <w:rFonts w:cs="Times New Roman"/>
      </w:rPr>
    </w:lvl>
    <w:lvl w:ilvl="1" w:tplc="ECF65A06">
      <w:start w:val="1"/>
      <w:numFmt w:val="lowerLetter"/>
      <w:lvlText w:val="%2."/>
      <w:lvlJc w:val="left"/>
      <w:pPr>
        <w:ind w:left="1440" w:hanging="360"/>
      </w:pPr>
      <w:rPr>
        <w:rFonts w:cs="Times New Roman"/>
      </w:rPr>
    </w:lvl>
    <w:lvl w:ilvl="2" w:tplc="2BE41B2C">
      <w:start w:val="1"/>
      <w:numFmt w:val="lowerRoman"/>
      <w:lvlText w:val="%3."/>
      <w:lvlJc w:val="right"/>
      <w:pPr>
        <w:ind w:left="2160" w:hanging="180"/>
      </w:pPr>
      <w:rPr>
        <w:rFonts w:cs="Times New Roman"/>
      </w:rPr>
    </w:lvl>
    <w:lvl w:ilvl="3" w:tplc="CCF68504">
      <w:start w:val="1"/>
      <w:numFmt w:val="decimal"/>
      <w:lvlText w:val="%4."/>
      <w:lvlJc w:val="left"/>
      <w:pPr>
        <w:ind w:left="2880" w:hanging="360"/>
      </w:pPr>
      <w:rPr>
        <w:rFonts w:cs="Times New Roman"/>
      </w:rPr>
    </w:lvl>
    <w:lvl w:ilvl="4" w:tplc="7044670C">
      <w:start w:val="1"/>
      <w:numFmt w:val="lowerLetter"/>
      <w:lvlText w:val="%5."/>
      <w:lvlJc w:val="left"/>
      <w:pPr>
        <w:ind w:left="3600" w:hanging="360"/>
      </w:pPr>
      <w:rPr>
        <w:rFonts w:cs="Times New Roman"/>
      </w:rPr>
    </w:lvl>
    <w:lvl w:ilvl="5" w:tplc="92180FBC">
      <w:start w:val="1"/>
      <w:numFmt w:val="lowerRoman"/>
      <w:lvlText w:val="%6."/>
      <w:lvlJc w:val="right"/>
      <w:pPr>
        <w:ind w:left="4320" w:hanging="180"/>
      </w:pPr>
      <w:rPr>
        <w:rFonts w:cs="Times New Roman"/>
      </w:rPr>
    </w:lvl>
    <w:lvl w:ilvl="6" w:tplc="1D2A2564">
      <w:start w:val="1"/>
      <w:numFmt w:val="decimal"/>
      <w:lvlText w:val="%7."/>
      <w:lvlJc w:val="left"/>
      <w:pPr>
        <w:ind w:left="5040" w:hanging="360"/>
      </w:pPr>
      <w:rPr>
        <w:rFonts w:cs="Times New Roman"/>
      </w:rPr>
    </w:lvl>
    <w:lvl w:ilvl="7" w:tplc="CAB03DEA">
      <w:start w:val="1"/>
      <w:numFmt w:val="lowerLetter"/>
      <w:lvlText w:val="%8."/>
      <w:lvlJc w:val="left"/>
      <w:pPr>
        <w:ind w:left="5760" w:hanging="360"/>
      </w:pPr>
      <w:rPr>
        <w:rFonts w:cs="Times New Roman"/>
      </w:rPr>
    </w:lvl>
    <w:lvl w:ilvl="8" w:tplc="C9705E06">
      <w:start w:val="1"/>
      <w:numFmt w:val="lowerRoman"/>
      <w:lvlText w:val="%9."/>
      <w:lvlJc w:val="right"/>
      <w:pPr>
        <w:ind w:left="6480" w:hanging="180"/>
      </w:pPr>
      <w:rPr>
        <w:rFonts w:cs="Times New Roman"/>
      </w:rPr>
    </w:lvl>
  </w:abstractNum>
  <w:abstractNum w:abstractNumId="216" w15:restartNumberingAfterBreak="0">
    <w:nsid w:val="5E21691B"/>
    <w:multiLevelType w:val="multilevel"/>
    <w:tmpl w:val="AF1432F8"/>
    <w:lvl w:ilvl="0">
      <w:numFmt w:val="bullet"/>
      <w:lvlText w:val="–"/>
      <w:lvlJc w:val="left"/>
      <w:pPr>
        <w:ind w:left="1792" w:hanging="715"/>
      </w:pPr>
      <w:rPr>
        <w:rFonts w:ascii="Cambria" w:eastAsiaTheme="minorEastAsia" w:hAnsi="Cambria" w:hint="default"/>
      </w:rPr>
    </w:lvl>
    <w:lvl w:ilvl="1">
      <w:numFmt w:val="bullet"/>
      <w:lvlText w:val="–"/>
      <w:lvlJc w:val="left"/>
      <w:pPr>
        <w:ind w:left="1800" w:hanging="360"/>
      </w:pPr>
      <w:rPr>
        <w:rFonts w:ascii="Cambria" w:eastAsiaTheme="minorEastAsia" w:hAnsi="Cambria"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217" w15:restartNumberingAfterBreak="0">
    <w:nsid w:val="5E664512"/>
    <w:multiLevelType w:val="multilevel"/>
    <w:tmpl w:val="BECC1726"/>
    <w:lvl w:ilvl="0">
      <w:start w:val="1"/>
      <w:numFmt w:val="decimal"/>
      <w:lvlText w:val="%1"/>
      <w:lvlJc w:val="left"/>
      <w:pPr>
        <w:ind w:left="432" w:hanging="432"/>
      </w:pPr>
      <w:rPr>
        <w:rFonts w:cs="Times New Roman" w:hint="default"/>
        <w:b/>
        <w:i w:val="0"/>
      </w:rPr>
    </w:lvl>
    <w:lvl w:ilvl="1">
      <w:start w:val="1"/>
      <w:numFmt w:val="decimal"/>
      <w:lvlText w:val="%1.%2"/>
      <w:lvlJc w:val="left"/>
      <w:rPr>
        <w:rFonts w:cs="Times New Roman" w:hint="default"/>
        <w:b/>
        <w:i w:val="0"/>
      </w:rPr>
    </w:lvl>
    <w:lvl w:ilvl="2">
      <w:start w:val="1"/>
      <w:numFmt w:val="decimal"/>
      <w:lvlText w:val="%1.%2.%3"/>
      <w:lvlJc w:val="left"/>
      <w:rPr>
        <w:rFonts w:cs="Times New Roman" w:hint="default"/>
        <w:b/>
        <w:bCs w:val="0"/>
        <w:i w:val="0"/>
        <w:iCs w:val="0"/>
        <w:caps w:val="0"/>
        <w:smallCaps w:val="0"/>
        <w:strike w:val="0"/>
        <w:dstrike w:val="0"/>
        <w:vanish w:val="0"/>
        <w:color w:val="000000"/>
        <w:spacing w:val="0"/>
        <w:kern w:val="0"/>
        <w:position w:val="0"/>
        <w:u w:val="none"/>
        <w:effect w:val="none"/>
        <w:vertAlign w:val="baseline"/>
      </w:rPr>
    </w:lvl>
    <w:lvl w:ilvl="3">
      <w:start w:val="1"/>
      <w:numFmt w:val="decimal"/>
      <w:lvlText w:val="%1.%2.%3.%4"/>
      <w:lvlJc w:val="left"/>
      <w:pPr>
        <w:tabs>
          <w:tab w:val="num" w:pos="7200"/>
        </w:tabs>
        <w:ind w:left="6120"/>
      </w:pPr>
      <w:rPr>
        <w:rFonts w:cs="Times New Roman" w:hint="default"/>
        <w:b/>
        <w:i w:val="0"/>
      </w:rPr>
    </w:lvl>
    <w:lvl w:ilvl="4">
      <w:start w:val="1"/>
      <w:numFmt w:val="decimal"/>
      <w:lvlText w:val="%1.%2.%3.%4.%5"/>
      <w:lvlJc w:val="left"/>
      <w:pPr>
        <w:tabs>
          <w:tab w:val="num" w:pos="1080"/>
        </w:tabs>
      </w:pPr>
      <w:rPr>
        <w:rFonts w:cs="Times New Roman" w:hint="default"/>
        <w:b/>
        <w:i w:val="0"/>
      </w:rPr>
    </w:lvl>
    <w:lvl w:ilvl="5">
      <w:start w:val="1"/>
      <w:numFmt w:val="decimal"/>
      <w:lvlText w:val="%1.%2.%3.%4.%5.%6"/>
      <w:lvlJc w:val="left"/>
      <w:pPr>
        <w:tabs>
          <w:tab w:val="num" w:pos="1440"/>
        </w:tabs>
      </w:pPr>
      <w:rPr>
        <w:rFonts w:cs="Times New Roman" w:hint="default"/>
        <w:b/>
        <w:i w:val="0"/>
      </w:rPr>
    </w:lvl>
    <w:lvl w:ilvl="6">
      <w:start w:val="1"/>
      <w:numFmt w:val="decimal"/>
      <w:lvlText w:val="%1.%2.%3.%4.%5.%6.%7"/>
      <w:lvlJc w:val="left"/>
      <w:pPr>
        <w:tabs>
          <w:tab w:val="num" w:pos="1440"/>
        </w:tabs>
      </w:pPr>
      <w:rPr>
        <w:rFonts w:cs="Times New Roman" w:hint="default"/>
      </w:rPr>
    </w:lvl>
    <w:lvl w:ilvl="7">
      <w:start w:val="1"/>
      <w:numFmt w:val="decimal"/>
      <w:lvlText w:val="%1.%2.%3.%4.%5.%6.%7.%8"/>
      <w:lvlJc w:val="left"/>
      <w:pPr>
        <w:tabs>
          <w:tab w:val="num" w:pos="1800"/>
        </w:tabs>
      </w:pPr>
      <w:rPr>
        <w:rFonts w:cs="Times New Roman" w:hint="default"/>
      </w:rPr>
    </w:lvl>
    <w:lvl w:ilvl="8">
      <w:start w:val="1"/>
      <w:numFmt w:val="decimal"/>
      <w:lvlText w:val="%1.%2.%3.%4.%5.%6.%7.%8.%9"/>
      <w:lvlJc w:val="left"/>
      <w:pPr>
        <w:tabs>
          <w:tab w:val="num" w:pos="1800"/>
        </w:tabs>
      </w:pPr>
      <w:rPr>
        <w:rFonts w:cs="Times New Roman" w:hint="default"/>
      </w:rPr>
    </w:lvl>
  </w:abstractNum>
  <w:abstractNum w:abstractNumId="218" w15:restartNumberingAfterBreak="0">
    <w:nsid w:val="5EDE290C"/>
    <w:multiLevelType w:val="multilevel"/>
    <w:tmpl w:val="BD201552"/>
    <w:lvl w:ilvl="0">
      <w:start w:val="7"/>
      <w:numFmt w:val="decimal"/>
      <w:lvlText w:val="%1"/>
      <w:lvlJc w:val="left"/>
      <w:pPr>
        <w:ind w:left="720" w:hanging="720"/>
      </w:pPr>
      <w:rPr>
        <w:rFonts w:cs="Times New Roman" w:hint="default"/>
      </w:rPr>
    </w:lvl>
    <w:lvl w:ilvl="1">
      <w:start w:val="3"/>
      <w:numFmt w:val="decimal"/>
      <w:lvlText w:val="%1.%2"/>
      <w:lvlJc w:val="left"/>
      <w:pPr>
        <w:ind w:left="720" w:hanging="720"/>
      </w:pPr>
      <w:rPr>
        <w:rFonts w:cs="Times New Roman" w:hint="default"/>
      </w:rPr>
    </w:lvl>
    <w:lvl w:ilvl="2">
      <w:start w:val="1"/>
      <w:numFmt w:val="lowerLetter"/>
      <w:lvlText w:val="%3)"/>
      <w:lvlJc w:val="left"/>
      <w:pPr>
        <w:ind w:left="360" w:hanging="36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1800" w:hanging="1800"/>
      </w:pPr>
      <w:rPr>
        <w:rFonts w:cs="Times New Roman" w:hint="default"/>
      </w:rPr>
    </w:lvl>
  </w:abstractNum>
  <w:abstractNum w:abstractNumId="219" w15:restartNumberingAfterBreak="0">
    <w:nsid w:val="5EEB2C5F"/>
    <w:multiLevelType w:val="hybridMultilevel"/>
    <w:tmpl w:val="F2E602CA"/>
    <w:lvl w:ilvl="0" w:tplc="FFFFFFFF">
      <w:start w:val="5"/>
      <w:numFmt w:val="bullet"/>
      <w:lvlText w:val="–"/>
      <w:lvlJc w:val="left"/>
      <w:pPr>
        <w:ind w:left="361" w:hanging="360"/>
      </w:pPr>
      <w:rPr>
        <w:rFonts w:ascii="Times New Roman" w:eastAsia="Times New Roman" w:hAnsi="Times New Roman" w:hint="default"/>
      </w:rPr>
    </w:lvl>
    <w:lvl w:ilvl="1" w:tplc="04090003" w:tentative="1">
      <w:start w:val="1"/>
      <w:numFmt w:val="bullet"/>
      <w:lvlText w:val="o"/>
      <w:lvlJc w:val="left"/>
      <w:pPr>
        <w:ind w:left="1081" w:hanging="360"/>
      </w:pPr>
      <w:rPr>
        <w:rFonts w:ascii="Courier New" w:hAnsi="Courier New" w:cs="Courier New" w:hint="default"/>
      </w:rPr>
    </w:lvl>
    <w:lvl w:ilvl="2" w:tplc="04090005" w:tentative="1">
      <w:start w:val="1"/>
      <w:numFmt w:val="bullet"/>
      <w:lvlText w:val=""/>
      <w:lvlJc w:val="left"/>
      <w:pPr>
        <w:ind w:left="1801" w:hanging="360"/>
      </w:pPr>
      <w:rPr>
        <w:rFonts w:ascii="Wingdings" w:hAnsi="Wingdings" w:hint="default"/>
      </w:rPr>
    </w:lvl>
    <w:lvl w:ilvl="3" w:tplc="04090001" w:tentative="1">
      <w:start w:val="1"/>
      <w:numFmt w:val="bullet"/>
      <w:lvlText w:val=""/>
      <w:lvlJc w:val="left"/>
      <w:pPr>
        <w:ind w:left="2521" w:hanging="360"/>
      </w:pPr>
      <w:rPr>
        <w:rFonts w:ascii="Symbol" w:hAnsi="Symbol" w:hint="default"/>
      </w:rPr>
    </w:lvl>
    <w:lvl w:ilvl="4" w:tplc="04090003" w:tentative="1">
      <w:start w:val="1"/>
      <w:numFmt w:val="bullet"/>
      <w:lvlText w:val="o"/>
      <w:lvlJc w:val="left"/>
      <w:pPr>
        <w:ind w:left="3241" w:hanging="360"/>
      </w:pPr>
      <w:rPr>
        <w:rFonts w:ascii="Courier New" w:hAnsi="Courier New" w:cs="Courier New" w:hint="default"/>
      </w:rPr>
    </w:lvl>
    <w:lvl w:ilvl="5" w:tplc="04090005" w:tentative="1">
      <w:start w:val="1"/>
      <w:numFmt w:val="bullet"/>
      <w:lvlText w:val=""/>
      <w:lvlJc w:val="left"/>
      <w:pPr>
        <w:ind w:left="3961" w:hanging="360"/>
      </w:pPr>
      <w:rPr>
        <w:rFonts w:ascii="Wingdings" w:hAnsi="Wingdings" w:hint="default"/>
      </w:rPr>
    </w:lvl>
    <w:lvl w:ilvl="6" w:tplc="04090001" w:tentative="1">
      <w:start w:val="1"/>
      <w:numFmt w:val="bullet"/>
      <w:lvlText w:val=""/>
      <w:lvlJc w:val="left"/>
      <w:pPr>
        <w:ind w:left="4681" w:hanging="360"/>
      </w:pPr>
      <w:rPr>
        <w:rFonts w:ascii="Symbol" w:hAnsi="Symbol" w:hint="default"/>
      </w:rPr>
    </w:lvl>
    <w:lvl w:ilvl="7" w:tplc="04090003" w:tentative="1">
      <w:start w:val="1"/>
      <w:numFmt w:val="bullet"/>
      <w:lvlText w:val="o"/>
      <w:lvlJc w:val="left"/>
      <w:pPr>
        <w:ind w:left="5401" w:hanging="360"/>
      </w:pPr>
      <w:rPr>
        <w:rFonts w:ascii="Courier New" w:hAnsi="Courier New" w:cs="Courier New" w:hint="default"/>
      </w:rPr>
    </w:lvl>
    <w:lvl w:ilvl="8" w:tplc="04090005" w:tentative="1">
      <w:start w:val="1"/>
      <w:numFmt w:val="bullet"/>
      <w:lvlText w:val=""/>
      <w:lvlJc w:val="left"/>
      <w:pPr>
        <w:ind w:left="6121" w:hanging="360"/>
      </w:pPr>
      <w:rPr>
        <w:rFonts w:ascii="Wingdings" w:hAnsi="Wingdings" w:hint="default"/>
      </w:rPr>
    </w:lvl>
  </w:abstractNum>
  <w:abstractNum w:abstractNumId="220" w15:restartNumberingAfterBreak="0">
    <w:nsid w:val="5EF06183"/>
    <w:multiLevelType w:val="multilevel"/>
    <w:tmpl w:val="0BC292D8"/>
    <w:lvl w:ilvl="0">
      <w:start w:val="1"/>
      <w:numFmt w:val="decimal"/>
      <w:lvlText w:val="%1"/>
      <w:lvlJc w:val="left"/>
      <w:pPr>
        <w:tabs>
          <w:tab w:val="num" w:pos="432"/>
        </w:tabs>
        <w:ind w:left="432" w:hanging="432"/>
      </w:pPr>
      <w:rPr>
        <w:rFonts w:cs="Times New Roman"/>
        <w:b/>
        <w:i w:val="0"/>
      </w:rPr>
    </w:lvl>
    <w:lvl w:ilvl="1">
      <w:start w:val="1"/>
      <w:numFmt w:val="decimal"/>
      <w:lvlText w:val="%1.%2"/>
      <w:lvlJc w:val="left"/>
      <w:pPr>
        <w:tabs>
          <w:tab w:val="num" w:pos="360"/>
        </w:tabs>
      </w:pPr>
      <w:rPr>
        <w:rFonts w:cs="Times New Roman"/>
        <w:b/>
        <w:i w:val="0"/>
      </w:rPr>
    </w:lvl>
    <w:lvl w:ilvl="2">
      <w:start w:val="1"/>
      <w:numFmt w:val="decimal"/>
      <w:lvlText w:val="%1.%2.%3"/>
      <w:lvlJc w:val="left"/>
      <w:pPr>
        <w:tabs>
          <w:tab w:val="num" w:pos="990"/>
        </w:tabs>
      </w:pPr>
      <w:rPr>
        <w:rFonts w:cs="Times New Roman"/>
        <w:b w:val="0"/>
        <w:bCs w:val="0"/>
        <w:i w:val="0"/>
        <w:iCs w:val="0"/>
        <w:caps w:val="0"/>
        <w:smallCaps w:val="0"/>
        <w:strike w:val="0"/>
        <w:dstrike w:val="0"/>
        <w:vanish w:val="0"/>
        <w:color w:val="000000"/>
        <w:spacing w:val="0"/>
        <w:kern w:val="0"/>
        <w:position w:val="0"/>
        <w:u w:val="none"/>
        <w:effect w:val="none"/>
        <w:vertAlign w:val="baseline"/>
      </w:rPr>
    </w:lvl>
    <w:lvl w:ilvl="3">
      <w:start w:val="1"/>
      <w:numFmt w:val="decimal"/>
      <w:lvlText w:val="%1.%2.%3.%4"/>
      <w:lvlJc w:val="left"/>
      <w:pPr>
        <w:tabs>
          <w:tab w:val="num" w:pos="1080"/>
        </w:tabs>
      </w:pPr>
      <w:rPr>
        <w:rFonts w:cs="Times New Roman"/>
        <w:b/>
        <w:i w:val="0"/>
      </w:rPr>
    </w:lvl>
    <w:lvl w:ilvl="4">
      <w:start w:val="1"/>
      <w:numFmt w:val="decimal"/>
      <w:lvlText w:val="%1.%2.%3.%4.%5"/>
      <w:lvlJc w:val="left"/>
      <w:pPr>
        <w:tabs>
          <w:tab w:val="num" w:pos="1080"/>
        </w:tabs>
      </w:pPr>
      <w:rPr>
        <w:rFonts w:cs="Times New Roman"/>
        <w:b/>
        <w:i w:val="0"/>
      </w:rPr>
    </w:lvl>
    <w:lvl w:ilvl="5">
      <w:start w:val="1"/>
      <w:numFmt w:val="decimal"/>
      <w:lvlText w:val="%1.%2.%3.%4.%5.%6"/>
      <w:lvlJc w:val="left"/>
      <w:pPr>
        <w:tabs>
          <w:tab w:val="num" w:pos="1440"/>
        </w:tabs>
      </w:pPr>
      <w:rPr>
        <w:rFonts w:cs="Times New Roman"/>
        <w:b/>
        <w:i w:val="0"/>
      </w:rPr>
    </w:lvl>
    <w:lvl w:ilvl="6">
      <w:start w:val="1"/>
      <w:numFmt w:val="decimal"/>
      <w:lvlText w:val="%1.%2.%3.%4.%5.%6.%7"/>
      <w:lvlJc w:val="left"/>
      <w:pPr>
        <w:tabs>
          <w:tab w:val="num" w:pos="1440"/>
        </w:tabs>
      </w:pPr>
      <w:rPr>
        <w:rFonts w:cs="Times New Roman"/>
      </w:rPr>
    </w:lvl>
    <w:lvl w:ilvl="7">
      <w:start w:val="1"/>
      <w:numFmt w:val="decimal"/>
      <w:lvlText w:val="%1.%2.%3.%4.%5.%6.%7.%8"/>
      <w:lvlJc w:val="left"/>
      <w:pPr>
        <w:tabs>
          <w:tab w:val="num" w:pos="1800"/>
        </w:tabs>
      </w:pPr>
      <w:rPr>
        <w:rFonts w:cs="Times New Roman"/>
      </w:rPr>
    </w:lvl>
    <w:lvl w:ilvl="8">
      <w:start w:val="1"/>
      <w:numFmt w:val="decimal"/>
      <w:lvlText w:val="%1.%2.%3.%4.%5.%6.%7.%8.%9"/>
      <w:lvlJc w:val="left"/>
      <w:pPr>
        <w:tabs>
          <w:tab w:val="num" w:pos="1800"/>
        </w:tabs>
      </w:pPr>
      <w:rPr>
        <w:rFonts w:cs="Times New Roman"/>
      </w:rPr>
    </w:lvl>
  </w:abstractNum>
  <w:abstractNum w:abstractNumId="221" w15:restartNumberingAfterBreak="0">
    <w:nsid w:val="5EF70699"/>
    <w:multiLevelType w:val="hybridMultilevel"/>
    <w:tmpl w:val="AEEAD328"/>
    <w:lvl w:ilvl="0" w:tplc="84CC2C8A">
      <w:start w:val="5"/>
      <w:numFmt w:val="bullet"/>
      <w:lvlText w:val="–"/>
      <w:lvlJc w:val="left"/>
      <w:pPr>
        <w:tabs>
          <w:tab w:val="num" w:pos="390"/>
        </w:tabs>
        <w:ind w:left="390" w:hanging="390"/>
      </w:pPr>
      <w:rPr>
        <w:rFonts w:ascii="Times New Roman" w:eastAsia="Times New Roman" w:hAnsi="Times New Roman" w:hint="default"/>
      </w:rPr>
    </w:lvl>
    <w:lvl w:ilvl="1" w:tplc="FFFFFFFF">
      <w:start w:val="5"/>
      <w:numFmt w:val="bullet"/>
      <w:lvlText w:val="–"/>
      <w:lvlJc w:val="left"/>
      <w:pPr>
        <w:ind w:left="1080" w:hanging="360"/>
      </w:pPr>
      <w:rPr>
        <w:rFonts w:ascii="Times New Roman" w:eastAsia="Times New Roman" w:hAnsi="Times New Roman" w:hint="default"/>
      </w:rPr>
    </w:lvl>
    <w:lvl w:ilvl="2" w:tplc="0407001B">
      <w:start w:val="1"/>
      <w:numFmt w:val="bullet"/>
      <w:pStyle w:val="AppendixHeading3"/>
      <w:lvlText w:val=""/>
      <w:lvlJc w:val="left"/>
      <w:pPr>
        <w:tabs>
          <w:tab w:val="num" w:pos="1800"/>
        </w:tabs>
        <w:ind w:left="1800" w:hanging="360"/>
      </w:pPr>
      <w:rPr>
        <w:rFonts w:ascii="Wingdings" w:hAnsi="Wingdings" w:hint="default"/>
      </w:rPr>
    </w:lvl>
    <w:lvl w:ilvl="3" w:tplc="0407000F">
      <w:start w:val="1"/>
      <w:numFmt w:val="bullet"/>
      <w:pStyle w:val="AppendixHeading4"/>
      <w:lvlText w:val=""/>
      <w:lvlJc w:val="left"/>
      <w:pPr>
        <w:tabs>
          <w:tab w:val="num" w:pos="2520"/>
        </w:tabs>
        <w:ind w:left="2520" w:hanging="360"/>
      </w:pPr>
      <w:rPr>
        <w:rFonts w:ascii="Symbol" w:hAnsi="Symbol" w:hint="default"/>
      </w:rPr>
    </w:lvl>
    <w:lvl w:ilvl="4" w:tplc="04070019">
      <w:start w:val="1"/>
      <w:numFmt w:val="bullet"/>
      <w:pStyle w:val="AppendixHeading5"/>
      <w:lvlText w:val="o"/>
      <w:lvlJc w:val="left"/>
      <w:pPr>
        <w:tabs>
          <w:tab w:val="num" w:pos="3240"/>
        </w:tabs>
        <w:ind w:left="3240" w:hanging="360"/>
      </w:pPr>
      <w:rPr>
        <w:rFonts w:ascii="Courier New" w:hAnsi="Courier New" w:hint="default"/>
      </w:rPr>
    </w:lvl>
    <w:lvl w:ilvl="5" w:tplc="0407001B">
      <w:start w:val="1"/>
      <w:numFmt w:val="bullet"/>
      <w:lvlText w:val=""/>
      <w:lvlJc w:val="left"/>
      <w:pPr>
        <w:tabs>
          <w:tab w:val="num" w:pos="3960"/>
        </w:tabs>
        <w:ind w:left="3960" w:hanging="360"/>
      </w:pPr>
      <w:rPr>
        <w:rFonts w:ascii="Wingdings" w:hAnsi="Wingdings" w:hint="default"/>
      </w:rPr>
    </w:lvl>
    <w:lvl w:ilvl="6" w:tplc="0407000F">
      <w:start w:val="1"/>
      <w:numFmt w:val="bullet"/>
      <w:lvlText w:val=""/>
      <w:lvlJc w:val="left"/>
      <w:pPr>
        <w:tabs>
          <w:tab w:val="num" w:pos="4680"/>
        </w:tabs>
        <w:ind w:left="4680" w:hanging="360"/>
      </w:pPr>
      <w:rPr>
        <w:rFonts w:ascii="Symbol" w:hAnsi="Symbol" w:hint="default"/>
      </w:rPr>
    </w:lvl>
    <w:lvl w:ilvl="7" w:tplc="04070019">
      <w:start w:val="1"/>
      <w:numFmt w:val="bullet"/>
      <w:lvlText w:val="o"/>
      <w:lvlJc w:val="left"/>
      <w:pPr>
        <w:tabs>
          <w:tab w:val="num" w:pos="5400"/>
        </w:tabs>
        <w:ind w:left="5400" w:hanging="360"/>
      </w:pPr>
      <w:rPr>
        <w:rFonts w:ascii="Courier New" w:hAnsi="Courier New" w:hint="default"/>
      </w:rPr>
    </w:lvl>
    <w:lvl w:ilvl="8" w:tplc="0407001B">
      <w:start w:val="1"/>
      <w:numFmt w:val="bullet"/>
      <w:lvlText w:val=""/>
      <w:lvlJc w:val="left"/>
      <w:pPr>
        <w:tabs>
          <w:tab w:val="num" w:pos="6120"/>
        </w:tabs>
        <w:ind w:left="6120" w:hanging="360"/>
      </w:pPr>
      <w:rPr>
        <w:rFonts w:ascii="Wingdings" w:hAnsi="Wingdings" w:hint="default"/>
      </w:rPr>
    </w:lvl>
  </w:abstractNum>
  <w:abstractNum w:abstractNumId="222" w15:restartNumberingAfterBreak="0">
    <w:nsid w:val="5FDC540E"/>
    <w:multiLevelType w:val="hybridMultilevel"/>
    <w:tmpl w:val="ADC289F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3" w15:restartNumberingAfterBreak="0">
    <w:nsid w:val="600F62B8"/>
    <w:multiLevelType w:val="hybridMultilevel"/>
    <w:tmpl w:val="15B41D68"/>
    <w:lvl w:ilvl="0" w:tplc="529C7C2E">
      <w:numFmt w:val="bullet"/>
      <w:lvlText w:val="–"/>
      <w:lvlJc w:val="left"/>
      <w:pPr>
        <w:ind w:left="1526" w:hanging="360"/>
      </w:pPr>
      <w:rPr>
        <w:rFonts w:ascii="Cambria" w:eastAsiaTheme="minorEastAsia" w:hAnsi="Cambria" w:hint="default"/>
      </w:rPr>
    </w:lvl>
    <w:lvl w:ilvl="1" w:tplc="04090003" w:tentative="1">
      <w:start w:val="1"/>
      <w:numFmt w:val="bullet"/>
      <w:lvlText w:val="o"/>
      <w:lvlJc w:val="left"/>
      <w:pPr>
        <w:ind w:left="2246" w:hanging="360"/>
      </w:pPr>
      <w:rPr>
        <w:rFonts w:ascii="Courier New" w:hAnsi="Courier New" w:hint="default"/>
      </w:rPr>
    </w:lvl>
    <w:lvl w:ilvl="2" w:tplc="04090005" w:tentative="1">
      <w:start w:val="1"/>
      <w:numFmt w:val="bullet"/>
      <w:lvlText w:val=""/>
      <w:lvlJc w:val="left"/>
      <w:pPr>
        <w:ind w:left="2966" w:hanging="360"/>
      </w:pPr>
      <w:rPr>
        <w:rFonts w:ascii="Wingdings" w:hAnsi="Wingdings" w:hint="default"/>
      </w:rPr>
    </w:lvl>
    <w:lvl w:ilvl="3" w:tplc="04090001" w:tentative="1">
      <w:start w:val="1"/>
      <w:numFmt w:val="bullet"/>
      <w:lvlText w:val=""/>
      <w:lvlJc w:val="left"/>
      <w:pPr>
        <w:ind w:left="3686" w:hanging="360"/>
      </w:pPr>
      <w:rPr>
        <w:rFonts w:ascii="Symbol" w:hAnsi="Symbol" w:hint="default"/>
      </w:rPr>
    </w:lvl>
    <w:lvl w:ilvl="4" w:tplc="04090003" w:tentative="1">
      <w:start w:val="1"/>
      <w:numFmt w:val="bullet"/>
      <w:lvlText w:val="o"/>
      <w:lvlJc w:val="left"/>
      <w:pPr>
        <w:ind w:left="4406" w:hanging="360"/>
      </w:pPr>
      <w:rPr>
        <w:rFonts w:ascii="Courier New" w:hAnsi="Courier New" w:hint="default"/>
      </w:rPr>
    </w:lvl>
    <w:lvl w:ilvl="5" w:tplc="04090005" w:tentative="1">
      <w:start w:val="1"/>
      <w:numFmt w:val="bullet"/>
      <w:lvlText w:val=""/>
      <w:lvlJc w:val="left"/>
      <w:pPr>
        <w:ind w:left="5126" w:hanging="360"/>
      </w:pPr>
      <w:rPr>
        <w:rFonts w:ascii="Wingdings" w:hAnsi="Wingdings" w:hint="default"/>
      </w:rPr>
    </w:lvl>
    <w:lvl w:ilvl="6" w:tplc="04090001" w:tentative="1">
      <w:start w:val="1"/>
      <w:numFmt w:val="bullet"/>
      <w:lvlText w:val=""/>
      <w:lvlJc w:val="left"/>
      <w:pPr>
        <w:ind w:left="5846" w:hanging="360"/>
      </w:pPr>
      <w:rPr>
        <w:rFonts w:ascii="Symbol" w:hAnsi="Symbol" w:hint="default"/>
      </w:rPr>
    </w:lvl>
    <w:lvl w:ilvl="7" w:tplc="04090003" w:tentative="1">
      <w:start w:val="1"/>
      <w:numFmt w:val="bullet"/>
      <w:lvlText w:val="o"/>
      <w:lvlJc w:val="left"/>
      <w:pPr>
        <w:ind w:left="6566" w:hanging="360"/>
      </w:pPr>
      <w:rPr>
        <w:rFonts w:ascii="Courier New" w:hAnsi="Courier New" w:hint="default"/>
      </w:rPr>
    </w:lvl>
    <w:lvl w:ilvl="8" w:tplc="04090005" w:tentative="1">
      <w:start w:val="1"/>
      <w:numFmt w:val="bullet"/>
      <w:lvlText w:val=""/>
      <w:lvlJc w:val="left"/>
      <w:pPr>
        <w:ind w:left="7286" w:hanging="360"/>
      </w:pPr>
      <w:rPr>
        <w:rFonts w:ascii="Wingdings" w:hAnsi="Wingdings" w:hint="default"/>
      </w:rPr>
    </w:lvl>
  </w:abstractNum>
  <w:abstractNum w:abstractNumId="224" w15:restartNumberingAfterBreak="0">
    <w:nsid w:val="606726BE"/>
    <w:multiLevelType w:val="hybridMultilevel"/>
    <w:tmpl w:val="1F70779A"/>
    <w:lvl w:ilvl="0" w:tplc="FFFFFFFF">
      <w:start w:val="5"/>
      <w:numFmt w:val="bullet"/>
      <w:lvlText w:val="–"/>
      <w:lvlJc w:val="left"/>
      <w:pPr>
        <w:ind w:left="360" w:hanging="360"/>
      </w:pPr>
      <w:rPr>
        <w:rFonts w:ascii="Times New Roman" w:eastAsia="Times New Roman" w:hAnsi="Times New Roman" w:hint="default"/>
      </w:rPr>
    </w:lvl>
    <w:lvl w:ilvl="1" w:tplc="84CC2C8A">
      <w:start w:val="5"/>
      <w:numFmt w:val="bullet"/>
      <w:lvlText w:val="–"/>
      <w:lvlJc w:val="left"/>
      <w:pPr>
        <w:ind w:left="1080" w:hanging="360"/>
      </w:pPr>
      <w:rPr>
        <w:rFonts w:ascii="Times New Roman" w:eastAsia="Times New Roman" w:hAnsi="Times New Roman" w:hint="default"/>
      </w:rPr>
    </w:lvl>
    <w:lvl w:ilvl="2" w:tplc="08090005">
      <w:start w:val="1"/>
      <w:numFmt w:val="bullet"/>
      <w:lvlText w:val=""/>
      <w:lvlJc w:val="left"/>
      <w:pPr>
        <w:ind w:left="1800" w:hanging="360"/>
      </w:pPr>
      <w:rPr>
        <w:rFonts w:ascii="Wingdings" w:hAnsi="Wingdings" w:hint="default"/>
      </w:rPr>
    </w:lvl>
    <w:lvl w:ilvl="3" w:tplc="84CC2C8A">
      <w:start w:val="5"/>
      <w:numFmt w:val="bullet"/>
      <w:lvlText w:val="–"/>
      <w:lvlJc w:val="left"/>
      <w:pPr>
        <w:ind w:left="2520" w:hanging="360"/>
      </w:pPr>
      <w:rPr>
        <w:rFonts w:ascii="Times New Roman" w:eastAsia="Times New Roman" w:hAnsi="Times New Roman" w:hint="default"/>
      </w:rPr>
    </w:lvl>
    <w:lvl w:ilvl="4" w:tplc="08090003" w:tentative="1">
      <w:start w:val="1"/>
      <w:numFmt w:val="bullet"/>
      <w:lvlText w:val="o"/>
      <w:lvlJc w:val="left"/>
      <w:pPr>
        <w:ind w:left="3240" w:hanging="360"/>
      </w:pPr>
      <w:rPr>
        <w:rFonts w:ascii="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25" w15:restartNumberingAfterBreak="0">
    <w:nsid w:val="608B7C9B"/>
    <w:multiLevelType w:val="multilevel"/>
    <w:tmpl w:val="3D30B708"/>
    <w:lvl w:ilvl="0">
      <w:start w:val="7"/>
      <w:numFmt w:val="decimal"/>
      <w:lvlText w:val="%1"/>
      <w:lvlJc w:val="left"/>
      <w:pPr>
        <w:ind w:left="720" w:hanging="720"/>
      </w:pPr>
      <w:rPr>
        <w:rFonts w:cs="Times New Roman" w:hint="default"/>
      </w:rPr>
    </w:lvl>
    <w:lvl w:ilvl="1">
      <w:start w:val="3"/>
      <w:numFmt w:val="decimal"/>
      <w:lvlText w:val="%1.%2"/>
      <w:lvlJc w:val="left"/>
      <w:pPr>
        <w:ind w:left="720" w:hanging="720"/>
      </w:pPr>
      <w:rPr>
        <w:rFonts w:cs="Times New Roman" w:hint="default"/>
      </w:rPr>
    </w:lvl>
    <w:lvl w:ilvl="2">
      <w:start w:val="27"/>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1800" w:hanging="1800"/>
      </w:pPr>
      <w:rPr>
        <w:rFonts w:cs="Times New Roman" w:hint="default"/>
      </w:rPr>
    </w:lvl>
  </w:abstractNum>
  <w:abstractNum w:abstractNumId="226" w15:restartNumberingAfterBreak="0">
    <w:nsid w:val="60E736FC"/>
    <w:multiLevelType w:val="hybridMultilevel"/>
    <w:tmpl w:val="2412510C"/>
    <w:lvl w:ilvl="0" w:tplc="016011D4">
      <w:start w:val="2"/>
      <w:numFmt w:val="bullet"/>
      <w:lvlText w:val="–"/>
      <w:lvlJc w:val="left"/>
      <w:pPr>
        <w:ind w:left="765" w:hanging="360"/>
      </w:pPr>
      <w:rPr>
        <w:rFonts w:ascii="Calibri" w:eastAsia="Times New Roman" w:hAnsi="Calibri" w:hint="default"/>
      </w:rPr>
    </w:lvl>
    <w:lvl w:ilvl="1" w:tplc="84CC2C8A">
      <w:start w:val="5"/>
      <w:numFmt w:val="bullet"/>
      <w:lvlText w:val="–"/>
      <w:lvlJc w:val="left"/>
      <w:pPr>
        <w:ind w:left="1485" w:hanging="360"/>
      </w:pPr>
      <w:rPr>
        <w:rFonts w:ascii="Times New Roman" w:eastAsia="Times New Roman" w:hAnsi="Times New Roman" w:hint="default"/>
      </w:rPr>
    </w:lvl>
    <w:lvl w:ilvl="2" w:tplc="08090005">
      <w:start w:val="1"/>
      <w:numFmt w:val="bullet"/>
      <w:lvlText w:val=""/>
      <w:lvlJc w:val="left"/>
      <w:pPr>
        <w:ind w:left="2205" w:hanging="360"/>
      </w:pPr>
      <w:rPr>
        <w:rFonts w:ascii="Wingdings" w:hAnsi="Wingdings" w:hint="default"/>
      </w:rPr>
    </w:lvl>
    <w:lvl w:ilvl="3" w:tplc="08090001" w:tentative="1">
      <w:start w:val="1"/>
      <w:numFmt w:val="bullet"/>
      <w:lvlText w:val=""/>
      <w:lvlJc w:val="left"/>
      <w:pPr>
        <w:ind w:left="2925" w:hanging="360"/>
      </w:pPr>
      <w:rPr>
        <w:rFonts w:ascii="Symbol" w:hAnsi="Symbol" w:hint="default"/>
      </w:rPr>
    </w:lvl>
    <w:lvl w:ilvl="4" w:tplc="08090003" w:tentative="1">
      <w:start w:val="1"/>
      <w:numFmt w:val="bullet"/>
      <w:lvlText w:val="o"/>
      <w:lvlJc w:val="left"/>
      <w:pPr>
        <w:ind w:left="3645" w:hanging="360"/>
      </w:pPr>
      <w:rPr>
        <w:rFonts w:ascii="Courier New" w:hAnsi="Courier New" w:hint="default"/>
      </w:rPr>
    </w:lvl>
    <w:lvl w:ilvl="5" w:tplc="08090005" w:tentative="1">
      <w:start w:val="1"/>
      <w:numFmt w:val="bullet"/>
      <w:lvlText w:val=""/>
      <w:lvlJc w:val="left"/>
      <w:pPr>
        <w:ind w:left="4365" w:hanging="360"/>
      </w:pPr>
      <w:rPr>
        <w:rFonts w:ascii="Wingdings" w:hAnsi="Wingdings" w:hint="default"/>
      </w:rPr>
    </w:lvl>
    <w:lvl w:ilvl="6" w:tplc="08090001" w:tentative="1">
      <w:start w:val="1"/>
      <w:numFmt w:val="bullet"/>
      <w:lvlText w:val=""/>
      <w:lvlJc w:val="left"/>
      <w:pPr>
        <w:ind w:left="5085" w:hanging="360"/>
      </w:pPr>
      <w:rPr>
        <w:rFonts w:ascii="Symbol" w:hAnsi="Symbol" w:hint="default"/>
      </w:rPr>
    </w:lvl>
    <w:lvl w:ilvl="7" w:tplc="08090003" w:tentative="1">
      <w:start w:val="1"/>
      <w:numFmt w:val="bullet"/>
      <w:lvlText w:val="o"/>
      <w:lvlJc w:val="left"/>
      <w:pPr>
        <w:ind w:left="5805" w:hanging="360"/>
      </w:pPr>
      <w:rPr>
        <w:rFonts w:ascii="Courier New" w:hAnsi="Courier New" w:hint="default"/>
      </w:rPr>
    </w:lvl>
    <w:lvl w:ilvl="8" w:tplc="08090005" w:tentative="1">
      <w:start w:val="1"/>
      <w:numFmt w:val="bullet"/>
      <w:lvlText w:val=""/>
      <w:lvlJc w:val="left"/>
      <w:pPr>
        <w:ind w:left="6525" w:hanging="360"/>
      </w:pPr>
      <w:rPr>
        <w:rFonts w:ascii="Wingdings" w:hAnsi="Wingdings" w:hint="default"/>
      </w:rPr>
    </w:lvl>
  </w:abstractNum>
  <w:abstractNum w:abstractNumId="227" w15:restartNumberingAfterBreak="0">
    <w:nsid w:val="616A6122"/>
    <w:multiLevelType w:val="hybridMultilevel"/>
    <w:tmpl w:val="F36C2B08"/>
    <w:lvl w:ilvl="0" w:tplc="529C7C2E">
      <w:numFmt w:val="bullet"/>
      <w:lvlText w:val="–"/>
      <w:lvlJc w:val="left"/>
      <w:pPr>
        <w:ind w:left="360" w:hanging="360"/>
      </w:pPr>
      <w:rPr>
        <w:rFonts w:ascii="Cambria" w:eastAsiaTheme="minorEastAsia" w:hAnsi="Cambria"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28" w15:restartNumberingAfterBreak="0">
    <w:nsid w:val="618F6941"/>
    <w:multiLevelType w:val="multilevel"/>
    <w:tmpl w:val="7826C890"/>
    <w:lvl w:ilvl="0">
      <w:start w:val="1"/>
      <w:numFmt w:val="decimal"/>
      <w:lvlText w:val="%1"/>
      <w:lvlJc w:val="left"/>
      <w:pPr>
        <w:ind w:left="3409" w:hanging="432"/>
      </w:pPr>
      <w:rPr>
        <w:rFonts w:cs="Times New Roman"/>
      </w:rPr>
    </w:lvl>
    <w:lvl w:ilvl="1">
      <w:start w:val="1"/>
      <w:numFmt w:val="decimal"/>
      <w:lvlText w:val="%1.%2"/>
      <w:lvlJc w:val="left"/>
      <w:pPr>
        <w:ind w:left="-1314" w:hanging="576"/>
      </w:pPr>
      <w:rPr>
        <w:rFonts w:cs="Times New Roman"/>
      </w:rPr>
    </w:lvl>
    <w:lvl w:ilvl="2">
      <w:start w:val="1"/>
      <w:numFmt w:val="decimal"/>
      <w:lvlText w:val="%1.%2.%3"/>
      <w:lvlJc w:val="left"/>
      <w:pPr>
        <w:ind w:left="-1170" w:hanging="720"/>
      </w:pPr>
      <w:rPr>
        <w:rFonts w:cs="Times New Roman"/>
      </w:rPr>
    </w:lvl>
    <w:lvl w:ilvl="3">
      <w:start w:val="1"/>
      <w:numFmt w:val="decimal"/>
      <w:lvlText w:val="%1.%2.%3.%4"/>
      <w:lvlJc w:val="left"/>
      <w:pPr>
        <w:ind w:left="594" w:hanging="864"/>
      </w:pPr>
      <w:rPr>
        <w:rFonts w:cs="Times New Roman"/>
      </w:rPr>
    </w:lvl>
    <w:lvl w:ilvl="4">
      <w:start w:val="1"/>
      <w:numFmt w:val="decimal"/>
      <w:lvlText w:val="%1.%2.%3.%4.%5"/>
      <w:lvlJc w:val="left"/>
      <w:pPr>
        <w:ind w:left="-882" w:hanging="1008"/>
      </w:pPr>
      <w:rPr>
        <w:rFonts w:cs="Times New Roman"/>
      </w:rPr>
    </w:lvl>
    <w:lvl w:ilvl="5">
      <w:start w:val="1"/>
      <w:numFmt w:val="decimal"/>
      <w:lvlText w:val="%1.%2.%3.%4.%5.%6"/>
      <w:lvlJc w:val="left"/>
      <w:pPr>
        <w:ind w:left="-738" w:hanging="1152"/>
      </w:pPr>
      <w:rPr>
        <w:rFonts w:cs="Times New Roman"/>
      </w:rPr>
    </w:lvl>
    <w:lvl w:ilvl="6">
      <w:start w:val="1"/>
      <w:numFmt w:val="decimal"/>
      <w:lvlText w:val="%1.%2.%3.%4.%5.%6.%7"/>
      <w:lvlJc w:val="left"/>
      <w:pPr>
        <w:ind w:left="-594" w:hanging="1296"/>
      </w:pPr>
      <w:rPr>
        <w:rFonts w:cs="Times New Roman"/>
      </w:rPr>
    </w:lvl>
    <w:lvl w:ilvl="7">
      <w:start w:val="1"/>
      <w:numFmt w:val="decimal"/>
      <w:lvlText w:val="%1.%2.%3.%4.%5.%6.%7.%8"/>
      <w:lvlJc w:val="left"/>
      <w:pPr>
        <w:ind w:left="-450" w:hanging="1440"/>
      </w:pPr>
      <w:rPr>
        <w:rFonts w:cs="Times New Roman"/>
      </w:rPr>
    </w:lvl>
    <w:lvl w:ilvl="8">
      <w:start w:val="1"/>
      <w:numFmt w:val="decimal"/>
      <w:lvlText w:val="%1.%2.%3.%4.%5.%6.%7.%8.%9"/>
      <w:lvlJc w:val="left"/>
      <w:pPr>
        <w:ind w:left="-306" w:hanging="1584"/>
      </w:pPr>
      <w:rPr>
        <w:rFonts w:cs="Times New Roman"/>
      </w:rPr>
    </w:lvl>
  </w:abstractNum>
  <w:abstractNum w:abstractNumId="229" w15:restartNumberingAfterBreak="0">
    <w:nsid w:val="619902E2"/>
    <w:multiLevelType w:val="multilevel"/>
    <w:tmpl w:val="32B471EE"/>
    <w:lvl w:ilvl="0">
      <w:numFmt w:val="bullet"/>
      <w:lvlText w:val="–"/>
      <w:lvlJc w:val="left"/>
      <w:pPr>
        <w:ind w:left="1080" w:hanging="360"/>
      </w:pPr>
      <w:rPr>
        <w:rFonts w:ascii="Cambria" w:eastAsiaTheme="minorEastAsia" w:hAnsi="Cambria" w:hint="default"/>
      </w:rPr>
    </w:lvl>
    <w:lvl w:ilvl="1">
      <w:numFmt w:val="bullet"/>
      <w:lvlText w:val="–"/>
      <w:lvlJc w:val="left"/>
      <w:pPr>
        <w:ind w:left="1800" w:hanging="360"/>
      </w:pPr>
      <w:rPr>
        <w:rFonts w:ascii="Cambria" w:eastAsiaTheme="minorEastAsia" w:hAnsi="Cambria"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230" w15:restartNumberingAfterBreak="0">
    <w:nsid w:val="61B062FB"/>
    <w:multiLevelType w:val="hybridMultilevel"/>
    <w:tmpl w:val="69C64C2E"/>
    <w:lvl w:ilvl="0" w:tplc="0809000F">
      <w:start w:val="1"/>
      <w:numFmt w:val="decimal"/>
      <w:lvlText w:val="%1."/>
      <w:lvlJc w:val="left"/>
      <w:pPr>
        <w:ind w:left="720" w:hanging="360"/>
      </w:pPr>
      <w:rPr>
        <w:rFonts w:cs="Times New Roman"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1" w15:restartNumberingAfterBreak="0">
    <w:nsid w:val="61C93AB0"/>
    <w:multiLevelType w:val="multilevel"/>
    <w:tmpl w:val="8870943E"/>
    <w:lvl w:ilvl="0">
      <w:numFmt w:val="bullet"/>
      <w:lvlText w:val="–"/>
      <w:lvlJc w:val="left"/>
      <w:pPr>
        <w:tabs>
          <w:tab w:val="num" w:pos="1435"/>
        </w:tabs>
        <w:ind w:left="1435" w:hanging="352"/>
      </w:pPr>
      <w:rPr>
        <w:rFonts w:ascii="Cambria" w:eastAsiaTheme="minorEastAsia" w:hAnsi="Cambria" w:hint="default"/>
      </w:rPr>
    </w:lvl>
    <w:lvl w:ilvl="1">
      <w:numFmt w:val="bullet"/>
      <w:lvlText w:val="–"/>
      <w:lvlJc w:val="left"/>
      <w:pPr>
        <w:ind w:left="1800" w:hanging="360"/>
      </w:pPr>
      <w:rPr>
        <w:rFonts w:ascii="Cambria" w:eastAsiaTheme="minorEastAsia" w:hAnsi="Cambria"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232" w15:restartNumberingAfterBreak="0">
    <w:nsid w:val="627B44F7"/>
    <w:multiLevelType w:val="hybridMultilevel"/>
    <w:tmpl w:val="01601326"/>
    <w:lvl w:ilvl="0" w:tplc="FFFFFFFF">
      <w:start w:val="5"/>
      <w:numFmt w:val="bullet"/>
      <w:lvlText w:val="–"/>
      <w:lvlJc w:val="left"/>
      <w:pPr>
        <w:ind w:left="360" w:hanging="360"/>
      </w:pPr>
      <w:rPr>
        <w:rFonts w:ascii="Times New Roman" w:eastAsia="Times New Roman" w:hAnsi="Times New Roman"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33" w15:restartNumberingAfterBreak="0">
    <w:nsid w:val="6385381B"/>
    <w:multiLevelType w:val="hybridMultilevel"/>
    <w:tmpl w:val="3CF27F2A"/>
    <w:lvl w:ilvl="0" w:tplc="01D6BD14">
      <w:start w:val="1"/>
      <w:numFmt w:val="bullet"/>
      <w:lvlText w:val="–"/>
      <w:lvlJc w:val="left"/>
      <w:pPr>
        <w:ind w:left="360" w:hanging="360"/>
      </w:pPr>
      <w:rPr>
        <w:rFonts w:ascii="Times New Roman" w:eastAsia="Malgun Gothic" w:hAnsi="Times New Roman" w:hint="default"/>
      </w:rPr>
    </w:lvl>
    <w:lvl w:ilvl="1" w:tplc="04090003">
      <w:start w:val="1"/>
      <w:numFmt w:val="bullet"/>
      <w:lvlText w:val="o"/>
      <w:lvlJc w:val="left"/>
      <w:pPr>
        <w:ind w:left="1080" w:hanging="360"/>
      </w:pPr>
      <w:rPr>
        <w:rFonts w:ascii="Courier New" w:hAnsi="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hint="default"/>
      </w:rPr>
    </w:lvl>
    <w:lvl w:ilvl="8" w:tplc="04090005">
      <w:start w:val="1"/>
      <w:numFmt w:val="bullet"/>
      <w:lvlText w:val=""/>
      <w:lvlJc w:val="left"/>
      <w:pPr>
        <w:ind w:left="6120" w:hanging="360"/>
      </w:pPr>
      <w:rPr>
        <w:rFonts w:ascii="Wingdings" w:hAnsi="Wingdings" w:hint="default"/>
      </w:rPr>
    </w:lvl>
  </w:abstractNum>
  <w:abstractNum w:abstractNumId="234" w15:restartNumberingAfterBreak="0">
    <w:nsid w:val="65036CDF"/>
    <w:multiLevelType w:val="hybridMultilevel"/>
    <w:tmpl w:val="D1A647D0"/>
    <w:lvl w:ilvl="0" w:tplc="F42CFAE2">
      <w:numFmt w:val="bullet"/>
      <w:lvlText w:val="–"/>
      <w:lvlJc w:val="left"/>
      <w:pPr>
        <w:ind w:left="1435" w:hanging="358"/>
      </w:pPr>
      <w:rPr>
        <w:rFonts w:ascii="Cambria" w:eastAsiaTheme="minorEastAsia" w:hAnsi="Cambria" w:hint="default"/>
      </w:rPr>
    </w:lvl>
    <w:lvl w:ilvl="1" w:tplc="529C7C2E">
      <w:numFmt w:val="bullet"/>
      <w:lvlText w:val="–"/>
      <w:lvlJc w:val="left"/>
      <w:pPr>
        <w:ind w:left="1800" w:hanging="360"/>
      </w:pPr>
      <w:rPr>
        <w:rFonts w:ascii="Cambria" w:eastAsiaTheme="minorEastAsia" w:hAnsi="Cambria"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235" w15:restartNumberingAfterBreak="0">
    <w:nsid w:val="656D4334"/>
    <w:multiLevelType w:val="multilevel"/>
    <w:tmpl w:val="5D6E9A9E"/>
    <w:lvl w:ilvl="0">
      <w:numFmt w:val="bullet"/>
      <w:lvlText w:val="–"/>
      <w:lvlJc w:val="left"/>
      <w:pPr>
        <w:ind w:left="720" w:hanging="360"/>
      </w:pPr>
      <w:rPr>
        <w:rFonts w:ascii="Cambria" w:eastAsiaTheme="minorEastAsia" w:hAnsi="Cambria"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36" w15:restartNumberingAfterBreak="0">
    <w:nsid w:val="65827E63"/>
    <w:multiLevelType w:val="hybridMultilevel"/>
    <w:tmpl w:val="BB7ABC56"/>
    <w:lvl w:ilvl="0" w:tplc="FFFFFFFF">
      <w:start w:val="5"/>
      <w:numFmt w:val="bullet"/>
      <w:lvlText w:val="–"/>
      <w:lvlJc w:val="left"/>
      <w:pPr>
        <w:ind w:left="360" w:hanging="360"/>
      </w:pPr>
      <w:rPr>
        <w:rFonts w:ascii="Times New Roman" w:eastAsia="Times New Roman" w:hAnsi="Times New Roman" w:hint="default"/>
      </w:rPr>
    </w:lvl>
    <w:lvl w:ilvl="1" w:tplc="08090003">
      <w:start w:val="1"/>
      <w:numFmt w:val="bullet"/>
      <w:lvlText w:val="o"/>
      <w:lvlJc w:val="left"/>
      <w:pPr>
        <w:ind w:left="1080" w:hanging="360"/>
      </w:pPr>
      <w:rPr>
        <w:rFonts w:ascii="Courier New" w:hAnsi="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37" w15:restartNumberingAfterBreak="0">
    <w:nsid w:val="65A11171"/>
    <w:multiLevelType w:val="hybridMultilevel"/>
    <w:tmpl w:val="94B6A18C"/>
    <w:lvl w:ilvl="0" w:tplc="529C7C2E">
      <w:numFmt w:val="bullet"/>
      <w:lvlText w:val="–"/>
      <w:lvlJc w:val="left"/>
      <w:pPr>
        <w:ind w:left="360" w:hanging="360"/>
      </w:pPr>
      <w:rPr>
        <w:rFonts w:ascii="Cambria" w:eastAsiaTheme="minorEastAsia" w:hAnsi="Cambria"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38" w15:restartNumberingAfterBreak="0">
    <w:nsid w:val="65F83075"/>
    <w:multiLevelType w:val="hybridMultilevel"/>
    <w:tmpl w:val="80D6F2E6"/>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39" w15:restartNumberingAfterBreak="0">
    <w:nsid w:val="666D4149"/>
    <w:multiLevelType w:val="multilevel"/>
    <w:tmpl w:val="B9603F0A"/>
    <w:lvl w:ilvl="0">
      <w:numFmt w:val="bullet"/>
      <w:lvlText w:val="–"/>
      <w:lvlJc w:val="left"/>
      <w:pPr>
        <w:tabs>
          <w:tab w:val="num" w:pos="1435"/>
        </w:tabs>
        <w:ind w:left="1077" w:firstLine="0"/>
      </w:pPr>
      <w:rPr>
        <w:rFonts w:ascii="Cambria" w:eastAsiaTheme="minorEastAsia" w:hAnsi="Cambria" w:hint="default"/>
      </w:rPr>
    </w:lvl>
    <w:lvl w:ilvl="1">
      <w:numFmt w:val="bullet"/>
      <w:lvlText w:val="–"/>
      <w:lvlJc w:val="left"/>
      <w:pPr>
        <w:ind w:left="1800" w:hanging="360"/>
      </w:pPr>
      <w:rPr>
        <w:rFonts w:ascii="Cambria" w:eastAsiaTheme="minorEastAsia" w:hAnsi="Cambria"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240" w15:restartNumberingAfterBreak="0">
    <w:nsid w:val="66D42F95"/>
    <w:multiLevelType w:val="hybridMultilevel"/>
    <w:tmpl w:val="3ADA0F92"/>
    <w:lvl w:ilvl="0" w:tplc="529C7C2E">
      <w:numFmt w:val="bullet"/>
      <w:lvlText w:val="–"/>
      <w:lvlJc w:val="left"/>
      <w:pPr>
        <w:ind w:left="770" w:hanging="360"/>
      </w:pPr>
      <w:rPr>
        <w:rFonts w:ascii="Cambria" w:eastAsiaTheme="minorEastAsia" w:hAnsi="Cambria" w:hint="default"/>
      </w:rPr>
    </w:lvl>
    <w:lvl w:ilvl="1" w:tplc="10090003">
      <w:start w:val="1"/>
      <w:numFmt w:val="bullet"/>
      <w:lvlText w:val="o"/>
      <w:lvlJc w:val="left"/>
      <w:pPr>
        <w:ind w:left="1490" w:hanging="360"/>
      </w:pPr>
      <w:rPr>
        <w:rFonts w:ascii="Courier New" w:hAnsi="Courier New" w:cs="Courier New" w:hint="default"/>
      </w:rPr>
    </w:lvl>
    <w:lvl w:ilvl="2" w:tplc="10090005" w:tentative="1">
      <w:start w:val="1"/>
      <w:numFmt w:val="bullet"/>
      <w:lvlText w:val=""/>
      <w:lvlJc w:val="left"/>
      <w:pPr>
        <w:ind w:left="2210" w:hanging="360"/>
      </w:pPr>
      <w:rPr>
        <w:rFonts w:ascii="Wingdings" w:hAnsi="Wingdings" w:hint="default"/>
      </w:rPr>
    </w:lvl>
    <w:lvl w:ilvl="3" w:tplc="10090001" w:tentative="1">
      <w:start w:val="1"/>
      <w:numFmt w:val="bullet"/>
      <w:lvlText w:val=""/>
      <w:lvlJc w:val="left"/>
      <w:pPr>
        <w:ind w:left="2930" w:hanging="360"/>
      </w:pPr>
      <w:rPr>
        <w:rFonts w:ascii="Symbol" w:hAnsi="Symbol" w:hint="default"/>
      </w:rPr>
    </w:lvl>
    <w:lvl w:ilvl="4" w:tplc="10090003" w:tentative="1">
      <w:start w:val="1"/>
      <w:numFmt w:val="bullet"/>
      <w:lvlText w:val="o"/>
      <w:lvlJc w:val="left"/>
      <w:pPr>
        <w:ind w:left="3650" w:hanging="360"/>
      </w:pPr>
      <w:rPr>
        <w:rFonts w:ascii="Courier New" w:hAnsi="Courier New" w:cs="Courier New" w:hint="default"/>
      </w:rPr>
    </w:lvl>
    <w:lvl w:ilvl="5" w:tplc="10090005" w:tentative="1">
      <w:start w:val="1"/>
      <w:numFmt w:val="bullet"/>
      <w:lvlText w:val=""/>
      <w:lvlJc w:val="left"/>
      <w:pPr>
        <w:ind w:left="4370" w:hanging="360"/>
      </w:pPr>
      <w:rPr>
        <w:rFonts w:ascii="Wingdings" w:hAnsi="Wingdings" w:hint="default"/>
      </w:rPr>
    </w:lvl>
    <w:lvl w:ilvl="6" w:tplc="10090001" w:tentative="1">
      <w:start w:val="1"/>
      <w:numFmt w:val="bullet"/>
      <w:lvlText w:val=""/>
      <w:lvlJc w:val="left"/>
      <w:pPr>
        <w:ind w:left="5090" w:hanging="360"/>
      </w:pPr>
      <w:rPr>
        <w:rFonts w:ascii="Symbol" w:hAnsi="Symbol" w:hint="default"/>
      </w:rPr>
    </w:lvl>
    <w:lvl w:ilvl="7" w:tplc="10090003" w:tentative="1">
      <w:start w:val="1"/>
      <w:numFmt w:val="bullet"/>
      <w:lvlText w:val="o"/>
      <w:lvlJc w:val="left"/>
      <w:pPr>
        <w:ind w:left="5810" w:hanging="360"/>
      </w:pPr>
      <w:rPr>
        <w:rFonts w:ascii="Courier New" w:hAnsi="Courier New" w:cs="Courier New" w:hint="default"/>
      </w:rPr>
    </w:lvl>
    <w:lvl w:ilvl="8" w:tplc="10090005" w:tentative="1">
      <w:start w:val="1"/>
      <w:numFmt w:val="bullet"/>
      <w:lvlText w:val=""/>
      <w:lvlJc w:val="left"/>
      <w:pPr>
        <w:ind w:left="6530" w:hanging="360"/>
      </w:pPr>
      <w:rPr>
        <w:rFonts w:ascii="Wingdings" w:hAnsi="Wingdings" w:hint="default"/>
      </w:rPr>
    </w:lvl>
  </w:abstractNum>
  <w:abstractNum w:abstractNumId="241" w15:restartNumberingAfterBreak="0">
    <w:nsid w:val="67416392"/>
    <w:multiLevelType w:val="multilevel"/>
    <w:tmpl w:val="F7D8E10C"/>
    <w:lvl w:ilvl="0">
      <w:start w:val="1"/>
      <w:numFmt w:val="upperLetter"/>
      <w:suff w:val="nothing"/>
      <w:lvlText w:val="Annex %1"/>
      <w:lvlJc w:val="left"/>
      <w:pPr>
        <w:ind w:left="0" w:firstLine="0"/>
      </w:pPr>
      <w:rPr>
        <w:rFonts w:ascii="Cambria" w:hAnsi="Cambria" w:cs="Times New Roman" w:hint="default"/>
        <w:b/>
        <w:i w:val="0"/>
        <w:sz w:val="28"/>
        <w:szCs w:val="28"/>
      </w:rPr>
    </w:lvl>
    <w:lvl w:ilvl="1">
      <w:start w:val="1"/>
      <w:numFmt w:val="decimal"/>
      <w:lvlText w:val="%1.%2"/>
      <w:lvlJc w:val="left"/>
      <w:pPr>
        <w:tabs>
          <w:tab w:val="num" w:pos="360"/>
        </w:tabs>
        <w:ind w:left="0" w:firstLine="0"/>
      </w:pPr>
      <w:rPr>
        <w:rFonts w:cs="Times New Roman" w:hint="default"/>
        <w:b/>
        <w:i w:val="0"/>
      </w:rPr>
    </w:lvl>
    <w:lvl w:ilvl="2">
      <w:start w:val="1"/>
      <w:numFmt w:val="decimal"/>
      <w:lvlText w:val="%1.%2.%3"/>
      <w:lvlJc w:val="left"/>
      <w:pPr>
        <w:tabs>
          <w:tab w:val="num" w:pos="720"/>
        </w:tabs>
        <w:ind w:left="0" w:firstLine="0"/>
      </w:pPr>
      <w:rPr>
        <w:rFonts w:cs="Times New Roman" w:hint="default"/>
        <w:b/>
        <w:i w:val="0"/>
      </w:rPr>
    </w:lvl>
    <w:lvl w:ilvl="3">
      <w:start w:val="1"/>
      <w:numFmt w:val="decimal"/>
      <w:lvlText w:val="%1.%2.%3.%4"/>
      <w:lvlJc w:val="left"/>
      <w:pPr>
        <w:tabs>
          <w:tab w:val="num" w:pos="1080"/>
        </w:tabs>
        <w:ind w:left="0" w:firstLine="0"/>
      </w:pPr>
      <w:rPr>
        <w:rFonts w:cs="Times New Roman" w:hint="default"/>
        <w:b/>
        <w:i w:val="0"/>
      </w:rPr>
    </w:lvl>
    <w:lvl w:ilvl="4">
      <w:start w:val="1"/>
      <w:numFmt w:val="decimal"/>
      <w:lvlText w:val="%1.%2.%3.%4.%5"/>
      <w:lvlJc w:val="left"/>
      <w:pPr>
        <w:tabs>
          <w:tab w:val="num" w:pos="1080"/>
        </w:tabs>
        <w:ind w:left="0" w:firstLine="0"/>
      </w:pPr>
      <w:rPr>
        <w:rFonts w:cs="Times New Roman" w:hint="default"/>
        <w:b/>
        <w:i w:val="0"/>
      </w:rPr>
    </w:lvl>
    <w:lvl w:ilvl="5">
      <w:start w:val="1"/>
      <w:numFmt w:val="decimal"/>
      <w:lvlText w:val="%1.%2.%3.%4.%5.%6"/>
      <w:lvlJc w:val="left"/>
      <w:pPr>
        <w:tabs>
          <w:tab w:val="num" w:pos="1440"/>
        </w:tabs>
        <w:ind w:left="0" w:firstLine="0"/>
      </w:pPr>
      <w:rPr>
        <w:rFonts w:cs="Times New Roman" w:hint="default"/>
        <w:b/>
        <w:i w:val="0"/>
      </w:rPr>
    </w:lvl>
    <w:lvl w:ilvl="6">
      <w:start w:val="1"/>
      <w:numFmt w:val="none"/>
      <w:lvlRestart w:val="0"/>
      <w:suff w:val="space"/>
      <w:lvlText w:val="H.8.2.4.5.2.1"/>
      <w:lvlJc w:val="left"/>
      <w:pPr>
        <w:ind w:left="0" w:firstLine="0"/>
      </w:pPr>
      <w:rPr>
        <w:rFonts w:cs="Times New Roman" w:hint="default"/>
      </w:rPr>
    </w:lvl>
    <w:lvl w:ilvl="7">
      <w:start w:val="1"/>
      <w:numFmt w:val="decimal"/>
      <w:lvlRestart w:val="0"/>
      <w:suff w:val="space"/>
      <w:lvlText w:val="Table %1.%8 —"/>
      <w:lvlJc w:val="left"/>
      <w:pPr>
        <w:ind w:left="0" w:firstLine="0"/>
      </w:pPr>
      <w:rPr>
        <w:rFonts w:cs="Times New Roman" w:hint="default"/>
      </w:rPr>
    </w:lvl>
    <w:lvl w:ilvl="8">
      <w:start w:val="1"/>
      <w:numFmt w:val="lowerRoman"/>
      <w:lvlText w:val="(%9)"/>
      <w:lvlJc w:val="left"/>
      <w:pPr>
        <w:tabs>
          <w:tab w:val="num" w:pos="6120"/>
        </w:tabs>
        <w:ind w:left="0" w:firstLine="0"/>
      </w:pPr>
      <w:rPr>
        <w:rFonts w:cs="Times New Roman" w:hint="default"/>
      </w:rPr>
    </w:lvl>
  </w:abstractNum>
  <w:abstractNum w:abstractNumId="242" w15:restartNumberingAfterBreak="0">
    <w:nsid w:val="68A55412"/>
    <w:multiLevelType w:val="hybridMultilevel"/>
    <w:tmpl w:val="5C92E8F2"/>
    <w:lvl w:ilvl="0" w:tplc="0409000F">
      <w:start w:val="1"/>
      <w:numFmt w:val="decimal"/>
      <w:lvlText w:val="%1."/>
      <w:lvlJc w:val="left"/>
      <w:pPr>
        <w:ind w:left="360" w:hanging="360"/>
      </w:pPr>
      <w:rPr>
        <w:rFonts w:cs="Times New Roman" w:hint="default"/>
      </w:rPr>
    </w:lvl>
    <w:lvl w:ilvl="1" w:tplc="04090019">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243" w15:restartNumberingAfterBreak="0">
    <w:nsid w:val="68BC4AF4"/>
    <w:multiLevelType w:val="hybridMultilevel"/>
    <w:tmpl w:val="BC74292E"/>
    <w:lvl w:ilvl="0" w:tplc="529C7C2E">
      <w:numFmt w:val="bullet"/>
      <w:lvlText w:val="–"/>
      <w:lvlJc w:val="left"/>
      <w:pPr>
        <w:ind w:left="720" w:hanging="360"/>
      </w:pPr>
      <w:rPr>
        <w:rFonts w:ascii="Cambria" w:eastAsiaTheme="minorEastAsia" w:hAnsi="Cambria" w:hint="default"/>
      </w:rPr>
    </w:lvl>
    <w:lvl w:ilvl="1" w:tplc="529C7C2E">
      <w:numFmt w:val="bullet"/>
      <w:lvlText w:val="–"/>
      <w:lvlJc w:val="left"/>
      <w:pPr>
        <w:ind w:left="1440" w:hanging="360"/>
      </w:pPr>
      <w:rPr>
        <w:rFonts w:ascii="Cambria" w:eastAsiaTheme="minorEastAsia" w:hAnsi="Cambria"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4" w15:restartNumberingAfterBreak="0">
    <w:nsid w:val="695B1B67"/>
    <w:multiLevelType w:val="hybridMultilevel"/>
    <w:tmpl w:val="7AC08010"/>
    <w:lvl w:ilvl="0" w:tplc="529C7C2E">
      <w:numFmt w:val="bullet"/>
      <w:lvlText w:val="–"/>
      <w:lvlJc w:val="left"/>
      <w:pPr>
        <w:ind w:left="317" w:hanging="360"/>
      </w:pPr>
      <w:rPr>
        <w:rFonts w:ascii="Cambria" w:eastAsiaTheme="minorEastAsia" w:hAnsi="Cambria" w:hint="default"/>
      </w:rPr>
    </w:lvl>
    <w:lvl w:ilvl="1" w:tplc="529C7C2E">
      <w:numFmt w:val="bullet"/>
      <w:lvlText w:val="–"/>
      <w:lvlJc w:val="left"/>
      <w:pPr>
        <w:ind w:left="1037" w:hanging="360"/>
      </w:pPr>
      <w:rPr>
        <w:rFonts w:ascii="Cambria" w:eastAsiaTheme="minorEastAsia" w:hAnsi="Cambria" w:hint="default"/>
      </w:rPr>
    </w:lvl>
    <w:lvl w:ilvl="2" w:tplc="529C7C2E">
      <w:numFmt w:val="bullet"/>
      <w:lvlText w:val="–"/>
      <w:lvlJc w:val="left"/>
      <w:pPr>
        <w:ind w:left="1563" w:hanging="360"/>
      </w:pPr>
      <w:rPr>
        <w:rFonts w:ascii="Cambria" w:eastAsiaTheme="minorEastAsia" w:hAnsi="Cambria" w:hint="default"/>
      </w:rPr>
    </w:lvl>
    <w:lvl w:ilvl="3" w:tplc="529C7C2E">
      <w:numFmt w:val="bullet"/>
      <w:lvlText w:val="–"/>
      <w:lvlJc w:val="left"/>
      <w:pPr>
        <w:ind w:left="2477" w:hanging="360"/>
      </w:pPr>
      <w:rPr>
        <w:rFonts w:ascii="Cambria" w:eastAsiaTheme="minorEastAsia" w:hAnsi="Cambria" w:hint="default"/>
      </w:rPr>
    </w:lvl>
    <w:lvl w:ilvl="4" w:tplc="529C7C2E">
      <w:numFmt w:val="bullet"/>
      <w:lvlText w:val="–"/>
      <w:lvlJc w:val="left"/>
      <w:pPr>
        <w:ind w:left="3197" w:hanging="360"/>
      </w:pPr>
      <w:rPr>
        <w:rFonts w:ascii="Cambria" w:eastAsiaTheme="minorEastAsia" w:hAnsi="Cambria" w:hint="default"/>
      </w:rPr>
    </w:lvl>
    <w:lvl w:ilvl="5" w:tplc="0409001B" w:tentative="1">
      <w:start w:val="1"/>
      <w:numFmt w:val="lowerRoman"/>
      <w:lvlText w:val="%6."/>
      <w:lvlJc w:val="right"/>
      <w:pPr>
        <w:ind w:left="3917" w:hanging="180"/>
      </w:pPr>
      <w:rPr>
        <w:rFonts w:cs="Times New Roman"/>
      </w:rPr>
    </w:lvl>
    <w:lvl w:ilvl="6" w:tplc="0409000F" w:tentative="1">
      <w:start w:val="1"/>
      <w:numFmt w:val="decimal"/>
      <w:lvlText w:val="%7."/>
      <w:lvlJc w:val="left"/>
      <w:pPr>
        <w:ind w:left="4637" w:hanging="360"/>
      </w:pPr>
      <w:rPr>
        <w:rFonts w:cs="Times New Roman"/>
      </w:rPr>
    </w:lvl>
    <w:lvl w:ilvl="7" w:tplc="04090019" w:tentative="1">
      <w:start w:val="1"/>
      <w:numFmt w:val="lowerLetter"/>
      <w:lvlText w:val="%8."/>
      <w:lvlJc w:val="left"/>
      <w:pPr>
        <w:ind w:left="5357" w:hanging="360"/>
      </w:pPr>
      <w:rPr>
        <w:rFonts w:cs="Times New Roman"/>
      </w:rPr>
    </w:lvl>
    <w:lvl w:ilvl="8" w:tplc="0409001B" w:tentative="1">
      <w:start w:val="1"/>
      <w:numFmt w:val="lowerRoman"/>
      <w:lvlText w:val="%9."/>
      <w:lvlJc w:val="right"/>
      <w:pPr>
        <w:ind w:left="6077" w:hanging="180"/>
      </w:pPr>
      <w:rPr>
        <w:rFonts w:cs="Times New Roman"/>
      </w:rPr>
    </w:lvl>
  </w:abstractNum>
  <w:abstractNum w:abstractNumId="245" w15:restartNumberingAfterBreak="0">
    <w:nsid w:val="695E7FBB"/>
    <w:multiLevelType w:val="hybridMultilevel"/>
    <w:tmpl w:val="1CD2F6BA"/>
    <w:lvl w:ilvl="0" w:tplc="1B501EC0">
      <w:start w:val="1"/>
      <w:numFmt w:val="decimal"/>
      <w:lvlText w:val="%1."/>
      <w:lvlJc w:val="left"/>
      <w:pPr>
        <w:ind w:left="360" w:hanging="360"/>
      </w:pPr>
      <w:rPr>
        <w:rFonts w:cs="Times New Roman" w:hint="default"/>
      </w:rPr>
    </w:lvl>
    <w:lvl w:ilvl="1" w:tplc="04090017">
      <w:start w:val="1"/>
      <w:numFmt w:val="aiueoFullWidth"/>
      <w:lvlText w:val="(%2)"/>
      <w:lvlJc w:val="left"/>
      <w:pPr>
        <w:ind w:left="840" w:hanging="420"/>
      </w:pPr>
      <w:rPr>
        <w:rFonts w:cs="Times New Roman"/>
      </w:rPr>
    </w:lvl>
    <w:lvl w:ilvl="2" w:tplc="04090011" w:tentative="1">
      <w:start w:val="1"/>
      <w:numFmt w:val="decimalEnclosedCircle"/>
      <w:lvlText w:val="%3"/>
      <w:lvlJc w:val="left"/>
      <w:pPr>
        <w:ind w:left="1260" w:hanging="420"/>
      </w:pPr>
      <w:rPr>
        <w:rFonts w:cs="Times New Roman"/>
      </w:rPr>
    </w:lvl>
    <w:lvl w:ilvl="3" w:tplc="0409000F" w:tentative="1">
      <w:start w:val="1"/>
      <w:numFmt w:val="decimal"/>
      <w:lvlText w:val="%4."/>
      <w:lvlJc w:val="left"/>
      <w:pPr>
        <w:ind w:left="1680" w:hanging="420"/>
      </w:pPr>
      <w:rPr>
        <w:rFonts w:cs="Times New Roman"/>
      </w:rPr>
    </w:lvl>
    <w:lvl w:ilvl="4" w:tplc="04090017" w:tentative="1">
      <w:start w:val="1"/>
      <w:numFmt w:val="aiueoFullWidth"/>
      <w:lvlText w:val="(%5)"/>
      <w:lvlJc w:val="left"/>
      <w:pPr>
        <w:ind w:left="2100" w:hanging="420"/>
      </w:pPr>
      <w:rPr>
        <w:rFonts w:cs="Times New Roman"/>
      </w:rPr>
    </w:lvl>
    <w:lvl w:ilvl="5" w:tplc="04090011" w:tentative="1">
      <w:start w:val="1"/>
      <w:numFmt w:val="decimalEnclosedCircle"/>
      <w:lvlText w:val="%6"/>
      <w:lvlJc w:val="left"/>
      <w:pPr>
        <w:ind w:left="2520" w:hanging="420"/>
      </w:pPr>
      <w:rPr>
        <w:rFonts w:cs="Times New Roman"/>
      </w:rPr>
    </w:lvl>
    <w:lvl w:ilvl="6" w:tplc="0409000F" w:tentative="1">
      <w:start w:val="1"/>
      <w:numFmt w:val="decimal"/>
      <w:lvlText w:val="%7."/>
      <w:lvlJc w:val="left"/>
      <w:pPr>
        <w:ind w:left="2940" w:hanging="420"/>
      </w:pPr>
      <w:rPr>
        <w:rFonts w:cs="Times New Roman"/>
      </w:rPr>
    </w:lvl>
    <w:lvl w:ilvl="7" w:tplc="04090017" w:tentative="1">
      <w:start w:val="1"/>
      <w:numFmt w:val="aiueoFullWidth"/>
      <w:lvlText w:val="(%8)"/>
      <w:lvlJc w:val="left"/>
      <w:pPr>
        <w:ind w:left="3360" w:hanging="420"/>
      </w:pPr>
      <w:rPr>
        <w:rFonts w:cs="Times New Roman"/>
      </w:rPr>
    </w:lvl>
    <w:lvl w:ilvl="8" w:tplc="04090011" w:tentative="1">
      <w:start w:val="1"/>
      <w:numFmt w:val="decimalEnclosedCircle"/>
      <w:lvlText w:val="%9"/>
      <w:lvlJc w:val="left"/>
      <w:pPr>
        <w:ind w:left="3780" w:hanging="420"/>
      </w:pPr>
      <w:rPr>
        <w:rFonts w:cs="Times New Roman"/>
      </w:rPr>
    </w:lvl>
  </w:abstractNum>
  <w:abstractNum w:abstractNumId="246" w15:restartNumberingAfterBreak="0">
    <w:nsid w:val="69651CE0"/>
    <w:multiLevelType w:val="hybridMultilevel"/>
    <w:tmpl w:val="E87A1128"/>
    <w:lvl w:ilvl="0" w:tplc="2EA617C0">
      <w:numFmt w:val="bullet"/>
      <w:lvlText w:val="–"/>
      <w:lvlJc w:val="left"/>
      <w:pPr>
        <w:ind w:left="720" w:hanging="360"/>
      </w:pPr>
      <w:rPr>
        <w:rFonts w:ascii="Cambria" w:eastAsia="MS Mincho" w:hAnsi="Cambria"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7" w15:restartNumberingAfterBreak="0">
    <w:nsid w:val="6A0F012B"/>
    <w:multiLevelType w:val="multilevel"/>
    <w:tmpl w:val="D4DA5656"/>
    <w:lvl w:ilvl="0">
      <w:start w:val="3"/>
      <w:numFmt w:val="decimal"/>
      <w:lvlText w:val="%1"/>
      <w:lvlJc w:val="left"/>
      <w:pPr>
        <w:tabs>
          <w:tab w:val="num" w:pos="795"/>
        </w:tabs>
        <w:ind w:left="795" w:hanging="795"/>
      </w:pPr>
      <w:rPr>
        <w:rFonts w:cs="Times New Roman"/>
        <w:b/>
        <w:bCs/>
      </w:rPr>
    </w:lvl>
    <w:lvl w:ilvl="1">
      <w:start w:val="1"/>
      <w:numFmt w:val="decimal"/>
      <w:lvlText w:val="%1.%2"/>
      <w:lvlJc w:val="left"/>
      <w:pPr>
        <w:tabs>
          <w:tab w:val="num" w:pos="795"/>
        </w:tabs>
        <w:ind w:left="795" w:hanging="795"/>
      </w:pPr>
      <w:rPr>
        <w:rFonts w:cs="Times New Roman"/>
        <w:b/>
        <w:bCs/>
      </w:rPr>
    </w:lvl>
    <w:lvl w:ilvl="2">
      <w:start w:val="1"/>
      <w:numFmt w:val="decimal"/>
      <w:lvlText w:val="%1.%2.%3"/>
      <w:lvlJc w:val="left"/>
      <w:pPr>
        <w:tabs>
          <w:tab w:val="num" w:pos="795"/>
        </w:tabs>
        <w:ind w:left="795" w:hanging="795"/>
      </w:pPr>
      <w:rPr>
        <w:rFonts w:cs="Times New Roman"/>
        <w:b/>
        <w:bCs/>
      </w:rPr>
    </w:lvl>
    <w:lvl w:ilvl="3">
      <w:start w:val="1"/>
      <w:numFmt w:val="decimal"/>
      <w:lvlText w:val="%1.%2.%3.%4"/>
      <w:lvlJc w:val="left"/>
      <w:pPr>
        <w:tabs>
          <w:tab w:val="num" w:pos="795"/>
        </w:tabs>
        <w:ind w:left="795" w:hanging="795"/>
      </w:pPr>
      <w:rPr>
        <w:rFonts w:cs="Times New Roman"/>
        <w:b/>
        <w:bCs/>
      </w:rPr>
    </w:lvl>
    <w:lvl w:ilvl="4">
      <w:start w:val="1"/>
      <w:numFmt w:val="decimal"/>
      <w:lvlText w:val="%1.%2.%3.%4.%5"/>
      <w:lvlJc w:val="left"/>
      <w:pPr>
        <w:tabs>
          <w:tab w:val="num" w:pos="795"/>
        </w:tabs>
        <w:ind w:left="795" w:hanging="795"/>
      </w:pPr>
      <w:rPr>
        <w:rFonts w:cs="Times New Roman"/>
        <w:b/>
        <w:bCs/>
      </w:rPr>
    </w:lvl>
    <w:lvl w:ilvl="5">
      <w:start w:val="1"/>
      <w:numFmt w:val="decimal"/>
      <w:lvlText w:val="%1.%2.%3.%4.%5.%6"/>
      <w:lvlJc w:val="left"/>
      <w:pPr>
        <w:tabs>
          <w:tab w:val="num" w:pos="1080"/>
        </w:tabs>
        <w:ind w:left="1080" w:hanging="1080"/>
      </w:pPr>
      <w:rPr>
        <w:rFonts w:cs="Times New Roman"/>
        <w:b/>
        <w:bCs/>
      </w:rPr>
    </w:lvl>
    <w:lvl w:ilvl="6">
      <w:start w:val="1"/>
      <w:numFmt w:val="decimal"/>
      <w:lvlText w:val="%1.%2.%3.%4.%5.%6.%7"/>
      <w:lvlJc w:val="left"/>
      <w:pPr>
        <w:tabs>
          <w:tab w:val="num" w:pos="1080"/>
        </w:tabs>
        <w:ind w:left="1080" w:hanging="1080"/>
      </w:pPr>
      <w:rPr>
        <w:rFonts w:cs="Times New Roman"/>
        <w:b/>
        <w:bCs/>
      </w:rPr>
    </w:lvl>
    <w:lvl w:ilvl="7">
      <w:start w:val="1"/>
      <w:numFmt w:val="decimal"/>
      <w:lvlText w:val="%1.%2.%3.%4.%5.%6.%7.%8"/>
      <w:lvlJc w:val="left"/>
      <w:pPr>
        <w:tabs>
          <w:tab w:val="num" w:pos="1440"/>
        </w:tabs>
        <w:ind w:left="1440" w:hanging="1440"/>
      </w:pPr>
      <w:rPr>
        <w:rFonts w:cs="Times New Roman"/>
        <w:b/>
        <w:bCs/>
      </w:rPr>
    </w:lvl>
    <w:lvl w:ilvl="8">
      <w:start w:val="1"/>
      <w:numFmt w:val="decimal"/>
      <w:lvlText w:val="%1.%2.%3.%4.%5.%6.%7.%8.%9"/>
      <w:lvlJc w:val="left"/>
      <w:pPr>
        <w:tabs>
          <w:tab w:val="num" w:pos="1440"/>
        </w:tabs>
        <w:ind w:left="1440" w:hanging="1440"/>
      </w:pPr>
      <w:rPr>
        <w:rFonts w:cs="Times New Roman"/>
        <w:b/>
        <w:bCs/>
      </w:rPr>
    </w:lvl>
  </w:abstractNum>
  <w:abstractNum w:abstractNumId="248" w15:restartNumberingAfterBreak="0">
    <w:nsid w:val="6A3A71A0"/>
    <w:multiLevelType w:val="multilevel"/>
    <w:tmpl w:val="7DE4FFC0"/>
    <w:lvl w:ilvl="0">
      <w:start w:val="1"/>
      <w:numFmt w:val="upperLetter"/>
      <w:suff w:val="nothing"/>
      <w:lvlText w:val="Annex %1"/>
      <w:lvlJc w:val="left"/>
      <w:rPr>
        <w:rFonts w:ascii="Cambria" w:hAnsi="Cambria" w:cs="Times New Roman" w:hint="default"/>
        <w:b/>
        <w:i w:val="0"/>
        <w:sz w:val="28"/>
        <w:szCs w:val="28"/>
      </w:rPr>
    </w:lvl>
    <w:lvl w:ilvl="1">
      <w:start w:val="1"/>
      <w:numFmt w:val="decimal"/>
      <w:lvlText w:val="%1.%2"/>
      <w:lvlJc w:val="left"/>
      <w:pPr>
        <w:tabs>
          <w:tab w:val="num" w:pos="360"/>
        </w:tabs>
      </w:pPr>
      <w:rPr>
        <w:rFonts w:cs="Times New Roman" w:hint="default"/>
        <w:b/>
        <w:i w:val="0"/>
      </w:rPr>
    </w:lvl>
    <w:lvl w:ilvl="2">
      <w:start w:val="1"/>
      <w:numFmt w:val="decimal"/>
      <w:lvlText w:val="%1.%2.%3"/>
      <w:lvlJc w:val="left"/>
      <w:pPr>
        <w:tabs>
          <w:tab w:val="num" w:pos="720"/>
        </w:tabs>
      </w:pPr>
      <w:rPr>
        <w:rFonts w:cs="Times New Roman" w:hint="default"/>
        <w:b/>
        <w:i w:val="0"/>
      </w:rPr>
    </w:lvl>
    <w:lvl w:ilvl="3">
      <w:start w:val="1"/>
      <w:numFmt w:val="decimal"/>
      <w:lvlText w:val="%1.%2.%3.%4"/>
      <w:lvlJc w:val="left"/>
      <w:pPr>
        <w:tabs>
          <w:tab w:val="num" w:pos="1080"/>
        </w:tabs>
      </w:pPr>
      <w:rPr>
        <w:rFonts w:cs="Times New Roman" w:hint="default"/>
        <w:b/>
        <w:i w:val="0"/>
      </w:rPr>
    </w:lvl>
    <w:lvl w:ilvl="4">
      <w:start w:val="1"/>
      <w:numFmt w:val="decimal"/>
      <w:lvlText w:val="%1.%2.%3.%4.%5"/>
      <w:lvlJc w:val="left"/>
      <w:pPr>
        <w:tabs>
          <w:tab w:val="num" w:pos="1080"/>
        </w:tabs>
      </w:pPr>
      <w:rPr>
        <w:rFonts w:cs="Times New Roman" w:hint="default"/>
        <w:b/>
        <w:i w:val="0"/>
      </w:rPr>
    </w:lvl>
    <w:lvl w:ilvl="5">
      <w:start w:val="1"/>
      <w:numFmt w:val="decimal"/>
      <w:lvlText w:val="%1.%2.%3.%4.%5.%6"/>
      <w:lvlJc w:val="left"/>
      <w:pPr>
        <w:tabs>
          <w:tab w:val="num" w:pos="1440"/>
        </w:tabs>
      </w:pPr>
      <w:rPr>
        <w:rFonts w:cs="Times New Roman" w:hint="default"/>
        <w:b/>
        <w:i w:val="0"/>
      </w:rPr>
    </w:lvl>
    <w:lvl w:ilvl="6">
      <w:start w:val="1"/>
      <w:numFmt w:val="decimal"/>
      <w:lvlRestart w:val="0"/>
      <w:suff w:val="space"/>
      <w:lvlText w:val="Figure %1.%7 —"/>
      <w:lvlJc w:val="left"/>
      <w:rPr>
        <w:rFonts w:cs="Times New Roman" w:hint="default"/>
      </w:rPr>
    </w:lvl>
    <w:lvl w:ilvl="7">
      <w:start w:val="1"/>
      <w:numFmt w:val="decimal"/>
      <w:lvlRestart w:val="0"/>
      <w:suff w:val="space"/>
      <w:lvlText w:val="Table %1.%8 —"/>
      <w:lvlJc w:val="left"/>
      <w:rPr>
        <w:rFonts w:cs="Times New Roman" w:hint="default"/>
      </w:rPr>
    </w:lvl>
    <w:lvl w:ilvl="8">
      <w:start w:val="1"/>
      <w:numFmt w:val="lowerRoman"/>
      <w:lvlText w:val="(%9)"/>
      <w:lvlJc w:val="left"/>
      <w:pPr>
        <w:tabs>
          <w:tab w:val="num" w:pos="6120"/>
        </w:tabs>
      </w:pPr>
      <w:rPr>
        <w:rFonts w:cs="Times New Roman" w:hint="default"/>
      </w:rPr>
    </w:lvl>
  </w:abstractNum>
  <w:abstractNum w:abstractNumId="249" w15:restartNumberingAfterBreak="0">
    <w:nsid w:val="6A4077B8"/>
    <w:multiLevelType w:val="hybridMultilevel"/>
    <w:tmpl w:val="E4A42964"/>
    <w:lvl w:ilvl="0" w:tplc="FFFFFFFF">
      <w:start w:val="5"/>
      <w:numFmt w:val="bullet"/>
      <w:lvlText w:val="–"/>
      <w:lvlJc w:val="left"/>
      <w:pPr>
        <w:tabs>
          <w:tab w:val="num" w:pos="720"/>
        </w:tabs>
        <w:ind w:left="720" w:hanging="360"/>
      </w:pPr>
      <w:rPr>
        <w:rFonts w:ascii="Times New Roman" w:eastAsia="Times New Roman" w:hAnsi="Times New Roman" w:hint="default"/>
      </w:rPr>
    </w:lvl>
    <w:lvl w:ilvl="1" w:tplc="08090003">
      <w:start w:val="1"/>
      <w:numFmt w:val="decimal"/>
      <w:lvlText w:val="%2."/>
      <w:lvlJc w:val="left"/>
      <w:pPr>
        <w:tabs>
          <w:tab w:val="num" w:pos="1440"/>
        </w:tabs>
        <w:ind w:left="1440" w:hanging="360"/>
      </w:pPr>
      <w:rPr>
        <w:rFonts w:cs="Times New Roman"/>
      </w:rPr>
    </w:lvl>
    <w:lvl w:ilvl="2" w:tplc="08090005">
      <w:start w:val="1"/>
      <w:numFmt w:val="decimal"/>
      <w:lvlText w:val="%3."/>
      <w:lvlJc w:val="left"/>
      <w:pPr>
        <w:tabs>
          <w:tab w:val="num" w:pos="2160"/>
        </w:tabs>
        <w:ind w:left="2160" w:hanging="360"/>
      </w:pPr>
      <w:rPr>
        <w:rFonts w:cs="Times New Roman"/>
      </w:rPr>
    </w:lvl>
    <w:lvl w:ilvl="3" w:tplc="08090001">
      <w:start w:val="1"/>
      <w:numFmt w:val="decimal"/>
      <w:lvlText w:val="%4."/>
      <w:lvlJc w:val="left"/>
      <w:pPr>
        <w:tabs>
          <w:tab w:val="num" w:pos="2880"/>
        </w:tabs>
        <w:ind w:left="2880" w:hanging="360"/>
      </w:pPr>
      <w:rPr>
        <w:rFonts w:cs="Times New Roman"/>
      </w:rPr>
    </w:lvl>
    <w:lvl w:ilvl="4" w:tplc="08090003">
      <w:start w:val="1"/>
      <w:numFmt w:val="decimal"/>
      <w:lvlText w:val="%5."/>
      <w:lvlJc w:val="left"/>
      <w:pPr>
        <w:tabs>
          <w:tab w:val="num" w:pos="3600"/>
        </w:tabs>
        <w:ind w:left="3600" w:hanging="360"/>
      </w:pPr>
      <w:rPr>
        <w:rFonts w:cs="Times New Roman"/>
      </w:rPr>
    </w:lvl>
    <w:lvl w:ilvl="5" w:tplc="08090005">
      <w:start w:val="1"/>
      <w:numFmt w:val="decimal"/>
      <w:lvlText w:val="%6."/>
      <w:lvlJc w:val="left"/>
      <w:pPr>
        <w:tabs>
          <w:tab w:val="num" w:pos="4320"/>
        </w:tabs>
        <w:ind w:left="4320" w:hanging="360"/>
      </w:pPr>
      <w:rPr>
        <w:rFonts w:cs="Times New Roman"/>
      </w:rPr>
    </w:lvl>
    <w:lvl w:ilvl="6" w:tplc="08090001">
      <w:start w:val="1"/>
      <w:numFmt w:val="decimal"/>
      <w:lvlText w:val="%7."/>
      <w:lvlJc w:val="left"/>
      <w:pPr>
        <w:tabs>
          <w:tab w:val="num" w:pos="5040"/>
        </w:tabs>
        <w:ind w:left="5040" w:hanging="360"/>
      </w:pPr>
      <w:rPr>
        <w:rFonts w:cs="Times New Roman"/>
      </w:rPr>
    </w:lvl>
    <w:lvl w:ilvl="7" w:tplc="08090003">
      <w:start w:val="1"/>
      <w:numFmt w:val="decimal"/>
      <w:lvlText w:val="%8."/>
      <w:lvlJc w:val="left"/>
      <w:pPr>
        <w:tabs>
          <w:tab w:val="num" w:pos="5760"/>
        </w:tabs>
        <w:ind w:left="5760" w:hanging="360"/>
      </w:pPr>
      <w:rPr>
        <w:rFonts w:cs="Times New Roman"/>
      </w:rPr>
    </w:lvl>
    <w:lvl w:ilvl="8" w:tplc="08090005">
      <w:start w:val="1"/>
      <w:numFmt w:val="decimal"/>
      <w:lvlText w:val="%9."/>
      <w:lvlJc w:val="left"/>
      <w:pPr>
        <w:tabs>
          <w:tab w:val="num" w:pos="6480"/>
        </w:tabs>
        <w:ind w:left="6480" w:hanging="360"/>
      </w:pPr>
      <w:rPr>
        <w:rFonts w:cs="Times New Roman"/>
      </w:rPr>
    </w:lvl>
  </w:abstractNum>
  <w:abstractNum w:abstractNumId="250" w15:restartNumberingAfterBreak="0">
    <w:nsid w:val="6A6614D4"/>
    <w:multiLevelType w:val="multilevel"/>
    <w:tmpl w:val="2E8ABA60"/>
    <w:lvl w:ilvl="0">
      <w:start w:val="7"/>
      <w:numFmt w:val="decimal"/>
      <w:lvlText w:val="%1"/>
      <w:lvlJc w:val="left"/>
      <w:pPr>
        <w:ind w:left="720" w:hanging="720"/>
      </w:pPr>
      <w:rPr>
        <w:rFonts w:cs="Times New Roman" w:hint="default"/>
      </w:rPr>
    </w:lvl>
    <w:lvl w:ilvl="1">
      <w:start w:val="3"/>
      <w:numFmt w:val="decimal"/>
      <w:lvlText w:val="%1.%2"/>
      <w:lvlJc w:val="left"/>
      <w:pPr>
        <w:ind w:left="720" w:hanging="720"/>
      </w:pPr>
      <w:rPr>
        <w:rFonts w:cs="Times New Roman" w:hint="default"/>
      </w:rPr>
    </w:lvl>
    <w:lvl w:ilvl="2">
      <w:start w:val="3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1800" w:hanging="1800"/>
      </w:pPr>
      <w:rPr>
        <w:rFonts w:cs="Times New Roman" w:hint="default"/>
      </w:rPr>
    </w:lvl>
  </w:abstractNum>
  <w:abstractNum w:abstractNumId="251" w15:restartNumberingAfterBreak="0">
    <w:nsid w:val="6B252CCC"/>
    <w:multiLevelType w:val="hybridMultilevel"/>
    <w:tmpl w:val="8190E780"/>
    <w:lvl w:ilvl="0" w:tplc="FFFFFFFF">
      <w:start w:val="5"/>
      <w:numFmt w:val="bullet"/>
      <w:lvlText w:val="–"/>
      <w:lvlJc w:val="left"/>
      <w:pPr>
        <w:ind w:left="720" w:hanging="360"/>
      </w:pPr>
      <w:rPr>
        <w:rFonts w:ascii="Times New Roman" w:eastAsia="Times New Roman" w:hAnsi="Times New Roman" w:hint="default"/>
      </w:rPr>
    </w:lvl>
    <w:lvl w:ilvl="1" w:tplc="040C0001">
      <w:start w:val="1"/>
      <w:numFmt w:val="bullet"/>
      <w:lvlText w:val=""/>
      <w:lvlJc w:val="left"/>
      <w:pPr>
        <w:ind w:left="1440" w:hanging="360"/>
      </w:pPr>
      <w:rPr>
        <w:rFonts w:ascii="Symbol" w:hAnsi="Symbol" w:hint="default"/>
      </w:rPr>
    </w:lvl>
    <w:lvl w:ilvl="2" w:tplc="04090005">
      <w:start w:val="1"/>
      <w:numFmt w:val="bullet"/>
      <w:lvlText w:val=""/>
      <w:lvlJc w:val="left"/>
      <w:pPr>
        <w:ind w:left="2160" w:hanging="360"/>
      </w:pPr>
      <w:rPr>
        <w:rFonts w:ascii="Wingdings" w:hAnsi="Wingdings" w:hint="default"/>
      </w:rPr>
    </w:lvl>
    <w:lvl w:ilvl="3" w:tplc="E76E0166">
      <w:start w:val="5"/>
      <w:numFmt w:val="bullet"/>
      <w:lvlText w:val="-"/>
      <w:lvlJc w:val="left"/>
      <w:pPr>
        <w:ind w:left="2880" w:hanging="360"/>
      </w:pPr>
      <w:rPr>
        <w:rFonts w:ascii="Cambria" w:eastAsiaTheme="minorEastAsia" w:hAnsi="Cambria" w:hint="default"/>
        <w:color w:val="000000" w:themeColor="text1"/>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2" w15:restartNumberingAfterBreak="0">
    <w:nsid w:val="6B450817"/>
    <w:multiLevelType w:val="hybridMultilevel"/>
    <w:tmpl w:val="69C64C2E"/>
    <w:lvl w:ilvl="0" w:tplc="0809000F">
      <w:start w:val="1"/>
      <w:numFmt w:val="decimal"/>
      <w:lvlText w:val="%1."/>
      <w:lvlJc w:val="left"/>
      <w:pPr>
        <w:ind w:left="720" w:hanging="360"/>
      </w:pPr>
      <w:rPr>
        <w:rFonts w:cs="Times New Roman"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3" w15:restartNumberingAfterBreak="0">
    <w:nsid w:val="6C2D537A"/>
    <w:multiLevelType w:val="hybridMultilevel"/>
    <w:tmpl w:val="87984CE4"/>
    <w:lvl w:ilvl="0" w:tplc="01D6BD14">
      <w:start w:val="1"/>
      <w:numFmt w:val="bullet"/>
      <w:lvlText w:val="–"/>
      <w:lvlJc w:val="left"/>
      <w:pPr>
        <w:ind w:left="720" w:hanging="360"/>
      </w:pPr>
      <w:rPr>
        <w:rFonts w:ascii="Times New Roman" w:eastAsia="Malgun Gothic" w:hAnsi="Times New Roman" w:hint="default"/>
      </w:rPr>
    </w:lvl>
    <w:lvl w:ilvl="1" w:tplc="FFFFFFFF">
      <w:start w:val="5"/>
      <w:numFmt w:val="bullet"/>
      <w:lvlText w:val="–"/>
      <w:lvlJc w:val="left"/>
      <w:pPr>
        <w:ind w:left="2880" w:hanging="360"/>
      </w:pPr>
      <w:rPr>
        <w:rFonts w:ascii="Times New Roman" w:eastAsia="Times New Roman" w:hAnsi="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4" w15:restartNumberingAfterBreak="0">
    <w:nsid w:val="6CA07E55"/>
    <w:multiLevelType w:val="hybridMultilevel"/>
    <w:tmpl w:val="ADDC8506"/>
    <w:lvl w:ilvl="0" w:tplc="611CCFFE">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55" w15:restartNumberingAfterBreak="0">
    <w:nsid w:val="6CD43D69"/>
    <w:multiLevelType w:val="hybridMultilevel"/>
    <w:tmpl w:val="69EE706C"/>
    <w:lvl w:ilvl="0" w:tplc="10090003">
      <w:start w:val="1"/>
      <w:numFmt w:val="bullet"/>
      <w:lvlText w:val="o"/>
      <w:lvlJc w:val="left"/>
      <w:pPr>
        <w:ind w:left="1120" w:hanging="400"/>
      </w:pPr>
      <w:rPr>
        <w:rFonts w:ascii="Courier New" w:hAnsi="Courier New" w:cs="Courier New" w:hint="default"/>
      </w:rPr>
    </w:lvl>
    <w:lvl w:ilvl="1" w:tplc="529C7C2E">
      <w:numFmt w:val="bullet"/>
      <w:lvlText w:val="–"/>
      <w:lvlJc w:val="left"/>
      <w:pPr>
        <w:ind w:left="1800" w:hanging="360"/>
      </w:pPr>
      <w:rPr>
        <w:rFonts w:ascii="Cambria" w:eastAsiaTheme="minorEastAsia" w:hAnsi="Cambria" w:hint="default"/>
      </w:rPr>
    </w:lvl>
    <w:lvl w:ilvl="2" w:tplc="529C7C2E">
      <w:numFmt w:val="bullet"/>
      <w:lvlText w:val="–"/>
      <w:lvlJc w:val="left"/>
      <w:pPr>
        <w:ind w:left="2520" w:hanging="360"/>
      </w:pPr>
      <w:rPr>
        <w:rFonts w:ascii="Cambria" w:eastAsiaTheme="minorEastAsia" w:hAnsi="Cambria" w:hint="default"/>
      </w:rPr>
    </w:lvl>
    <w:lvl w:ilvl="3" w:tplc="529C7C2E">
      <w:numFmt w:val="bullet"/>
      <w:lvlText w:val="–"/>
      <w:lvlJc w:val="left"/>
      <w:pPr>
        <w:ind w:left="3240" w:hanging="360"/>
      </w:pPr>
      <w:rPr>
        <w:rFonts w:ascii="Cambria" w:eastAsiaTheme="minorEastAsia" w:hAnsi="Cambria" w:hint="default"/>
      </w:rPr>
    </w:lvl>
    <w:lvl w:ilvl="4" w:tplc="529C7C2E">
      <w:numFmt w:val="bullet"/>
      <w:lvlText w:val="–"/>
      <w:lvlJc w:val="left"/>
      <w:pPr>
        <w:ind w:left="3960" w:hanging="360"/>
      </w:pPr>
      <w:rPr>
        <w:rFonts w:ascii="Cambria" w:eastAsiaTheme="minorEastAsia" w:hAnsi="Cambria" w:hint="default"/>
      </w:rPr>
    </w:lvl>
    <w:lvl w:ilvl="5" w:tplc="529C7C2E">
      <w:numFmt w:val="bullet"/>
      <w:lvlText w:val="–"/>
      <w:lvlJc w:val="left"/>
      <w:pPr>
        <w:ind w:left="4680" w:hanging="360"/>
      </w:pPr>
      <w:rPr>
        <w:rFonts w:ascii="Cambria" w:eastAsiaTheme="minorEastAsia" w:hAnsi="Cambria" w:hint="default"/>
      </w:rPr>
    </w:lvl>
    <w:lvl w:ilvl="6" w:tplc="529C7C2E">
      <w:numFmt w:val="bullet"/>
      <w:lvlText w:val="–"/>
      <w:lvlJc w:val="left"/>
      <w:pPr>
        <w:ind w:left="5400" w:hanging="360"/>
      </w:pPr>
      <w:rPr>
        <w:rFonts w:ascii="Cambria" w:eastAsiaTheme="minorEastAsia" w:hAnsi="Cambria"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56" w15:restartNumberingAfterBreak="0">
    <w:nsid w:val="6CF07D06"/>
    <w:multiLevelType w:val="hybridMultilevel"/>
    <w:tmpl w:val="5D6E9A9E"/>
    <w:lvl w:ilvl="0" w:tplc="529C7C2E">
      <w:numFmt w:val="bullet"/>
      <w:lvlText w:val="–"/>
      <w:lvlJc w:val="left"/>
      <w:pPr>
        <w:ind w:left="720" w:hanging="360"/>
      </w:pPr>
      <w:rPr>
        <w:rFonts w:ascii="Cambria" w:eastAsiaTheme="minorEastAsia" w:hAnsi="Cambria" w:hint="default"/>
      </w:rPr>
    </w:lvl>
    <w:lvl w:ilvl="1" w:tplc="10090003">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57" w15:restartNumberingAfterBreak="0">
    <w:nsid w:val="6CF70DC5"/>
    <w:multiLevelType w:val="hybridMultilevel"/>
    <w:tmpl w:val="FE046358"/>
    <w:lvl w:ilvl="0" w:tplc="529C7C2E">
      <w:numFmt w:val="bullet"/>
      <w:lvlText w:val="–"/>
      <w:lvlJc w:val="left"/>
      <w:pPr>
        <w:ind w:left="766" w:hanging="360"/>
      </w:pPr>
      <w:rPr>
        <w:rFonts w:ascii="Cambria" w:eastAsiaTheme="minorEastAsia" w:hAnsi="Cambria" w:hint="default"/>
      </w:rPr>
    </w:lvl>
    <w:lvl w:ilvl="1" w:tplc="10090003" w:tentative="1">
      <w:start w:val="1"/>
      <w:numFmt w:val="bullet"/>
      <w:lvlText w:val="o"/>
      <w:lvlJc w:val="left"/>
      <w:pPr>
        <w:ind w:left="1486" w:hanging="360"/>
      </w:pPr>
      <w:rPr>
        <w:rFonts w:ascii="Courier New" w:hAnsi="Courier New" w:cs="Courier New" w:hint="default"/>
      </w:rPr>
    </w:lvl>
    <w:lvl w:ilvl="2" w:tplc="10090005" w:tentative="1">
      <w:start w:val="1"/>
      <w:numFmt w:val="bullet"/>
      <w:lvlText w:val=""/>
      <w:lvlJc w:val="left"/>
      <w:pPr>
        <w:ind w:left="2206" w:hanging="360"/>
      </w:pPr>
      <w:rPr>
        <w:rFonts w:ascii="Wingdings" w:hAnsi="Wingdings" w:hint="default"/>
      </w:rPr>
    </w:lvl>
    <w:lvl w:ilvl="3" w:tplc="10090001" w:tentative="1">
      <w:start w:val="1"/>
      <w:numFmt w:val="bullet"/>
      <w:lvlText w:val=""/>
      <w:lvlJc w:val="left"/>
      <w:pPr>
        <w:ind w:left="2926" w:hanging="360"/>
      </w:pPr>
      <w:rPr>
        <w:rFonts w:ascii="Symbol" w:hAnsi="Symbol" w:hint="default"/>
      </w:rPr>
    </w:lvl>
    <w:lvl w:ilvl="4" w:tplc="10090003" w:tentative="1">
      <w:start w:val="1"/>
      <w:numFmt w:val="bullet"/>
      <w:lvlText w:val="o"/>
      <w:lvlJc w:val="left"/>
      <w:pPr>
        <w:ind w:left="3646" w:hanging="360"/>
      </w:pPr>
      <w:rPr>
        <w:rFonts w:ascii="Courier New" w:hAnsi="Courier New" w:cs="Courier New" w:hint="default"/>
      </w:rPr>
    </w:lvl>
    <w:lvl w:ilvl="5" w:tplc="10090005" w:tentative="1">
      <w:start w:val="1"/>
      <w:numFmt w:val="bullet"/>
      <w:lvlText w:val=""/>
      <w:lvlJc w:val="left"/>
      <w:pPr>
        <w:ind w:left="4366" w:hanging="360"/>
      </w:pPr>
      <w:rPr>
        <w:rFonts w:ascii="Wingdings" w:hAnsi="Wingdings" w:hint="default"/>
      </w:rPr>
    </w:lvl>
    <w:lvl w:ilvl="6" w:tplc="10090001" w:tentative="1">
      <w:start w:val="1"/>
      <w:numFmt w:val="bullet"/>
      <w:lvlText w:val=""/>
      <w:lvlJc w:val="left"/>
      <w:pPr>
        <w:ind w:left="5086" w:hanging="360"/>
      </w:pPr>
      <w:rPr>
        <w:rFonts w:ascii="Symbol" w:hAnsi="Symbol" w:hint="default"/>
      </w:rPr>
    </w:lvl>
    <w:lvl w:ilvl="7" w:tplc="10090003" w:tentative="1">
      <w:start w:val="1"/>
      <w:numFmt w:val="bullet"/>
      <w:lvlText w:val="o"/>
      <w:lvlJc w:val="left"/>
      <w:pPr>
        <w:ind w:left="5806" w:hanging="360"/>
      </w:pPr>
      <w:rPr>
        <w:rFonts w:ascii="Courier New" w:hAnsi="Courier New" w:cs="Courier New" w:hint="default"/>
      </w:rPr>
    </w:lvl>
    <w:lvl w:ilvl="8" w:tplc="10090005" w:tentative="1">
      <w:start w:val="1"/>
      <w:numFmt w:val="bullet"/>
      <w:lvlText w:val=""/>
      <w:lvlJc w:val="left"/>
      <w:pPr>
        <w:ind w:left="6526" w:hanging="360"/>
      </w:pPr>
      <w:rPr>
        <w:rFonts w:ascii="Wingdings" w:hAnsi="Wingdings" w:hint="default"/>
      </w:rPr>
    </w:lvl>
  </w:abstractNum>
  <w:abstractNum w:abstractNumId="258" w15:restartNumberingAfterBreak="0">
    <w:nsid w:val="6D2A2052"/>
    <w:multiLevelType w:val="hybridMultilevel"/>
    <w:tmpl w:val="69BA6618"/>
    <w:lvl w:ilvl="0" w:tplc="01D6BD14">
      <w:start w:val="1"/>
      <w:numFmt w:val="bullet"/>
      <w:lvlText w:val="–"/>
      <w:lvlJc w:val="left"/>
      <w:pPr>
        <w:ind w:left="1080" w:hanging="360"/>
      </w:pPr>
      <w:rPr>
        <w:rFonts w:ascii="Times New Roman" w:eastAsia="Malgun Gothic" w:hAnsi="Times New Roman" w:hint="default"/>
      </w:rPr>
    </w:lvl>
    <w:lvl w:ilvl="1" w:tplc="01D6BD14">
      <w:start w:val="1"/>
      <w:numFmt w:val="bullet"/>
      <w:lvlText w:val="–"/>
      <w:lvlJc w:val="left"/>
      <w:pPr>
        <w:ind w:left="1800" w:hanging="360"/>
      </w:pPr>
      <w:rPr>
        <w:rFonts w:ascii="Times New Roman" w:eastAsia="Malgun Gothic" w:hAnsi="Times New Roman"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59" w15:restartNumberingAfterBreak="0">
    <w:nsid w:val="6E3545E5"/>
    <w:multiLevelType w:val="multilevel"/>
    <w:tmpl w:val="A7D87B14"/>
    <w:lvl w:ilvl="0">
      <w:numFmt w:val="bullet"/>
      <w:lvlText w:val="–"/>
      <w:lvlJc w:val="left"/>
      <w:pPr>
        <w:ind w:left="618" w:hanging="360"/>
      </w:pPr>
      <w:rPr>
        <w:rFonts w:ascii="Cambria" w:eastAsiaTheme="minorEastAsia" w:hAnsi="Cambria" w:hint="default"/>
      </w:rPr>
    </w:lvl>
    <w:lvl w:ilvl="1">
      <w:start w:val="1"/>
      <w:numFmt w:val="bullet"/>
      <w:lvlText w:val="o"/>
      <w:lvlJc w:val="left"/>
      <w:pPr>
        <w:ind w:left="1338" w:hanging="360"/>
      </w:pPr>
      <w:rPr>
        <w:rFonts w:ascii="Courier New" w:hAnsi="Courier New" w:cs="Courier New" w:hint="default"/>
      </w:rPr>
    </w:lvl>
    <w:lvl w:ilvl="2">
      <w:start w:val="1"/>
      <w:numFmt w:val="bullet"/>
      <w:lvlText w:val=""/>
      <w:lvlJc w:val="left"/>
      <w:pPr>
        <w:ind w:left="2058" w:hanging="360"/>
      </w:pPr>
      <w:rPr>
        <w:rFonts w:ascii="Wingdings" w:hAnsi="Wingdings" w:hint="default"/>
      </w:rPr>
    </w:lvl>
    <w:lvl w:ilvl="3">
      <w:start w:val="1"/>
      <w:numFmt w:val="bullet"/>
      <w:lvlText w:val=""/>
      <w:lvlJc w:val="left"/>
      <w:pPr>
        <w:ind w:left="2778" w:hanging="360"/>
      </w:pPr>
      <w:rPr>
        <w:rFonts w:ascii="Symbol" w:hAnsi="Symbol" w:hint="default"/>
      </w:rPr>
    </w:lvl>
    <w:lvl w:ilvl="4">
      <w:start w:val="1"/>
      <w:numFmt w:val="bullet"/>
      <w:lvlText w:val="o"/>
      <w:lvlJc w:val="left"/>
      <w:pPr>
        <w:ind w:left="3498" w:hanging="360"/>
      </w:pPr>
      <w:rPr>
        <w:rFonts w:ascii="Courier New" w:hAnsi="Courier New" w:cs="Courier New" w:hint="default"/>
      </w:rPr>
    </w:lvl>
    <w:lvl w:ilvl="5">
      <w:start w:val="1"/>
      <w:numFmt w:val="bullet"/>
      <w:lvlText w:val=""/>
      <w:lvlJc w:val="left"/>
      <w:pPr>
        <w:ind w:left="4218" w:hanging="360"/>
      </w:pPr>
      <w:rPr>
        <w:rFonts w:ascii="Wingdings" w:hAnsi="Wingdings" w:hint="default"/>
      </w:rPr>
    </w:lvl>
    <w:lvl w:ilvl="6">
      <w:start w:val="1"/>
      <w:numFmt w:val="bullet"/>
      <w:lvlText w:val=""/>
      <w:lvlJc w:val="left"/>
      <w:pPr>
        <w:ind w:left="4938" w:hanging="360"/>
      </w:pPr>
      <w:rPr>
        <w:rFonts w:ascii="Symbol" w:hAnsi="Symbol" w:hint="default"/>
      </w:rPr>
    </w:lvl>
    <w:lvl w:ilvl="7">
      <w:start w:val="1"/>
      <w:numFmt w:val="bullet"/>
      <w:lvlText w:val="o"/>
      <w:lvlJc w:val="left"/>
      <w:pPr>
        <w:ind w:left="5658" w:hanging="360"/>
      </w:pPr>
      <w:rPr>
        <w:rFonts w:ascii="Courier New" w:hAnsi="Courier New" w:cs="Courier New" w:hint="default"/>
      </w:rPr>
    </w:lvl>
    <w:lvl w:ilvl="8">
      <w:start w:val="1"/>
      <w:numFmt w:val="bullet"/>
      <w:lvlText w:val=""/>
      <w:lvlJc w:val="left"/>
      <w:pPr>
        <w:ind w:left="6378" w:hanging="360"/>
      </w:pPr>
      <w:rPr>
        <w:rFonts w:ascii="Wingdings" w:hAnsi="Wingdings" w:hint="default"/>
      </w:rPr>
    </w:lvl>
  </w:abstractNum>
  <w:abstractNum w:abstractNumId="260" w15:restartNumberingAfterBreak="0">
    <w:nsid w:val="6E3A7E2A"/>
    <w:multiLevelType w:val="hybridMultilevel"/>
    <w:tmpl w:val="B6F2E234"/>
    <w:lvl w:ilvl="0" w:tplc="F7DAFC0A">
      <w:numFmt w:val="bullet"/>
      <w:lvlText w:val="–"/>
      <w:lvlJc w:val="left"/>
      <w:pPr>
        <w:ind w:left="1435" w:hanging="352"/>
      </w:pPr>
      <w:rPr>
        <w:rFonts w:ascii="Cambria" w:eastAsiaTheme="minorEastAsia" w:hAnsi="Cambria" w:hint="default"/>
      </w:rPr>
    </w:lvl>
    <w:lvl w:ilvl="1" w:tplc="529C7C2E">
      <w:numFmt w:val="bullet"/>
      <w:lvlText w:val="–"/>
      <w:lvlJc w:val="left"/>
      <w:pPr>
        <w:ind w:left="1800" w:hanging="360"/>
      </w:pPr>
      <w:rPr>
        <w:rFonts w:ascii="Cambria" w:eastAsiaTheme="minorEastAsia" w:hAnsi="Cambria"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261" w15:restartNumberingAfterBreak="0">
    <w:nsid w:val="6E4C1C3B"/>
    <w:multiLevelType w:val="multilevel"/>
    <w:tmpl w:val="A22CE9CE"/>
    <w:lvl w:ilvl="0">
      <w:start w:val="1"/>
      <w:numFmt w:val="upperLetter"/>
      <w:suff w:val="nothing"/>
      <w:lvlText w:val="%1"/>
      <w:lvlJc w:val="left"/>
      <w:pPr>
        <w:ind w:left="360" w:hanging="360"/>
      </w:pPr>
      <w:rPr>
        <w:rFonts w:ascii="Times New Roman" w:hAnsi="Times New Roman" w:cs="Times New Roman" w:hint="default"/>
        <w:vanish/>
        <w:color w:val="FFFFFF"/>
      </w:rPr>
    </w:lvl>
    <w:lvl w:ilvl="1">
      <w:start w:val="1"/>
      <w:numFmt w:val="decimal"/>
      <w:lvlText w:val="%1.%2"/>
      <w:lvlJc w:val="left"/>
      <w:pPr>
        <w:tabs>
          <w:tab w:val="num" w:pos="1020"/>
        </w:tabs>
      </w:pPr>
      <w:rPr>
        <w:rFonts w:cs="Times New Roman" w:hint="default"/>
      </w:rPr>
    </w:lvl>
    <w:lvl w:ilvl="2">
      <w:start w:val="1"/>
      <w:numFmt w:val="decimal"/>
      <w:lvlText w:val="%1.%2.%3"/>
      <w:lvlJc w:val="left"/>
      <w:pPr>
        <w:tabs>
          <w:tab w:val="num" w:pos="720"/>
        </w:tabs>
        <w:ind w:left="1224" w:hanging="1224"/>
      </w:pPr>
      <w:rPr>
        <w:rFonts w:cs="Times New Roman" w:hint="default"/>
      </w:rPr>
    </w:lvl>
    <w:lvl w:ilvl="3">
      <w:start w:val="1"/>
      <w:numFmt w:val="decimal"/>
      <w:pStyle w:val="AVCNumberinglevel2"/>
      <w:lvlText w:val="%1.%2.%3.%4"/>
      <w:lvlJc w:val="left"/>
      <w:pPr>
        <w:tabs>
          <w:tab w:val="num" w:pos="720"/>
        </w:tabs>
        <w:ind w:left="1728" w:hanging="1728"/>
      </w:pPr>
      <w:rPr>
        <w:rFonts w:cs="Times New Roman" w:hint="default"/>
      </w:rPr>
    </w:lvl>
    <w:lvl w:ilvl="4">
      <w:start w:val="1"/>
      <w:numFmt w:val="decimal"/>
      <w:pStyle w:val="AVCIndentlevel3"/>
      <w:lvlText w:val="%1.%2.%3.%4.%5"/>
      <w:lvlJc w:val="left"/>
      <w:pPr>
        <w:tabs>
          <w:tab w:val="num" w:pos="862"/>
        </w:tabs>
        <w:ind w:left="2374" w:hanging="2232"/>
      </w:pPr>
      <w:rPr>
        <w:rFonts w:cs="Times New Roman" w:hint="default"/>
      </w:rPr>
    </w:lvl>
    <w:lvl w:ilvl="5">
      <w:start w:val="1"/>
      <w:numFmt w:val="decimal"/>
      <w:lvlText w:val="%1.%2.%3.%4.%5.%6"/>
      <w:lvlJc w:val="left"/>
      <w:pPr>
        <w:tabs>
          <w:tab w:val="num" w:pos="1080"/>
        </w:tabs>
      </w:pPr>
      <w:rPr>
        <w:rFonts w:cs="Times New Roman" w:hint="default"/>
      </w:rPr>
    </w:lvl>
    <w:lvl w:ilvl="6">
      <w:start w:val="1"/>
      <w:numFmt w:val="decimal"/>
      <w:lvlText w:val="%1.%2.%3.%4.%5.%6.%7"/>
      <w:lvlJc w:val="left"/>
      <w:pPr>
        <w:tabs>
          <w:tab w:val="num" w:pos="1080"/>
        </w:tabs>
        <w:ind w:left="3240" w:hanging="3240"/>
      </w:pPr>
      <w:rPr>
        <w:rFonts w:cs="Times New Roman" w:hint="default"/>
      </w:rPr>
    </w:lvl>
    <w:lvl w:ilvl="7">
      <w:start w:val="1"/>
      <w:numFmt w:val="decimal"/>
      <w:lvlText w:val="%1.%2.%3.%4.%5.%6.%7.%8"/>
      <w:lvlJc w:val="left"/>
      <w:pPr>
        <w:tabs>
          <w:tab w:val="num" w:pos="3960"/>
        </w:tabs>
        <w:ind w:left="3744" w:hanging="3744"/>
      </w:pPr>
      <w:rPr>
        <w:rFonts w:cs="Times New Roman" w:hint="default"/>
      </w:rPr>
    </w:lvl>
    <w:lvl w:ilvl="8">
      <w:start w:val="1"/>
      <w:numFmt w:val="decimal"/>
      <w:lvlText w:val="%1.%2.%3.%4.%5.%6.%7.%8.%9"/>
      <w:lvlJc w:val="left"/>
      <w:pPr>
        <w:tabs>
          <w:tab w:val="num" w:pos="4680"/>
        </w:tabs>
        <w:ind w:left="4320" w:hanging="4320"/>
      </w:pPr>
      <w:rPr>
        <w:rFonts w:cs="Times New Roman" w:hint="default"/>
      </w:rPr>
    </w:lvl>
  </w:abstractNum>
  <w:abstractNum w:abstractNumId="262" w15:restartNumberingAfterBreak="0">
    <w:nsid w:val="6E910D63"/>
    <w:multiLevelType w:val="multilevel"/>
    <w:tmpl w:val="7DE4FFC0"/>
    <w:lvl w:ilvl="0">
      <w:start w:val="1"/>
      <w:numFmt w:val="upperLetter"/>
      <w:suff w:val="nothing"/>
      <w:lvlText w:val="Annex %1"/>
      <w:lvlJc w:val="left"/>
      <w:rPr>
        <w:rFonts w:ascii="Cambria" w:hAnsi="Cambria" w:cs="Times New Roman" w:hint="default"/>
        <w:b/>
        <w:i w:val="0"/>
        <w:sz w:val="28"/>
        <w:szCs w:val="28"/>
      </w:rPr>
    </w:lvl>
    <w:lvl w:ilvl="1">
      <w:start w:val="1"/>
      <w:numFmt w:val="decimal"/>
      <w:lvlText w:val="%1.%2"/>
      <w:lvlJc w:val="left"/>
      <w:pPr>
        <w:tabs>
          <w:tab w:val="num" w:pos="360"/>
        </w:tabs>
      </w:pPr>
      <w:rPr>
        <w:rFonts w:cs="Times New Roman" w:hint="default"/>
        <w:b/>
        <w:i w:val="0"/>
      </w:rPr>
    </w:lvl>
    <w:lvl w:ilvl="2">
      <w:start w:val="1"/>
      <w:numFmt w:val="decimal"/>
      <w:lvlText w:val="%1.%2.%3"/>
      <w:lvlJc w:val="left"/>
      <w:pPr>
        <w:tabs>
          <w:tab w:val="num" w:pos="720"/>
        </w:tabs>
      </w:pPr>
      <w:rPr>
        <w:rFonts w:cs="Times New Roman" w:hint="default"/>
        <w:b/>
        <w:i w:val="0"/>
      </w:rPr>
    </w:lvl>
    <w:lvl w:ilvl="3">
      <w:start w:val="1"/>
      <w:numFmt w:val="decimal"/>
      <w:lvlText w:val="%1.%2.%3.%4"/>
      <w:lvlJc w:val="left"/>
      <w:pPr>
        <w:tabs>
          <w:tab w:val="num" w:pos="1080"/>
        </w:tabs>
      </w:pPr>
      <w:rPr>
        <w:rFonts w:cs="Times New Roman" w:hint="default"/>
        <w:b/>
        <w:i w:val="0"/>
      </w:rPr>
    </w:lvl>
    <w:lvl w:ilvl="4">
      <w:start w:val="1"/>
      <w:numFmt w:val="decimal"/>
      <w:lvlText w:val="%1.%2.%3.%4.%5"/>
      <w:lvlJc w:val="left"/>
      <w:pPr>
        <w:tabs>
          <w:tab w:val="num" w:pos="1080"/>
        </w:tabs>
      </w:pPr>
      <w:rPr>
        <w:rFonts w:cs="Times New Roman" w:hint="default"/>
        <w:b/>
        <w:i w:val="0"/>
      </w:rPr>
    </w:lvl>
    <w:lvl w:ilvl="5">
      <w:start w:val="1"/>
      <w:numFmt w:val="decimal"/>
      <w:lvlText w:val="%1.%2.%3.%4.%5.%6"/>
      <w:lvlJc w:val="left"/>
      <w:pPr>
        <w:tabs>
          <w:tab w:val="num" w:pos="1440"/>
        </w:tabs>
      </w:pPr>
      <w:rPr>
        <w:rFonts w:cs="Times New Roman" w:hint="default"/>
        <w:b/>
        <w:i w:val="0"/>
      </w:rPr>
    </w:lvl>
    <w:lvl w:ilvl="6">
      <w:start w:val="1"/>
      <w:numFmt w:val="decimal"/>
      <w:lvlRestart w:val="0"/>
      <w:suff w:val="space"/>
      <w:lvlText w:val="Figure %1.%7 —"/>
      <w:lvlJc w:val="left"/>
      <w:rPr>
        <w:rFonts w:cs="Times New Roman" w:hint="default"/>
      </w:rPr>
    </w:lvl>
    <w:lvl w:ilvl="7">
      <w:start w:val="1"/>
      <w:numFmt w:val="decimal"/>
      <w:lvlRestart w:val="0"/>
      <w:suff w:val="space"/>
      <w:lvlText w:val="Table %1.%8 —"/>
      <w:lvlJc w:val="left"/>
      <w:rPr>
        <w:rFonts w:cs="Times New Roman" w:hint="default"/>
      </w:rPr>
    </w:lvl>
    <w:lvl w:ilvl="8">
      <w:start w:val="1"/>
      <w:numFmt w:val="lowerRoman"/>
      <w:lvlText w:val="(%9)"/>
      <w:lvlJc w:val="left"/>
      <w:pPr>
        <w:tabs>
          <w:tab w:val="num" w:pos="6120"/>
        </w:tabs>
      </w:pPr>
      <w:rPr>
        <w:rFonts w:cs="Times New Roman" w:hint="default"/>
      </w:rPr>
    </w:lvl>
  </w:abstractNum>
  <w:abstractNum w:abstractNumId="263" w15:restartNumberingAfterBreak="0">
    <w:nsid w:val="6EF86939"/>
    <w:multiLevelType w:val="multilevel"/>
    <w:tmpl w:val="32B471EE"/>
    <w:lvl w:ilvl="0">
      <w:numFmt w:val="bullet"/>
      <w:lvlText w:val="–"/>
      <w:lvlJc w:val="left"/>
      <w:pPr>
        <w:ind w:left="1080" w:hanging="360"/>
      </w:pPr>
      <w:rPr>
        <w:rFonts w:ascii="Cambria" w:eastAsiaTheme="minorEastAsia" w:hAnsi="Cambria" w:hint="default"/>
      </w:rPr>
    </w:lvl>
    <w:lvl w:ilvl="1">
      <w:numFmt w:val="bullet"/>
      <w:lvlText w:val="–"/>
      <w:lvlJc w:val="left"/>
      <w:pPr>
        <w:ind w:left="1800" w:hanging="360"/>
      </w:pPr>
      <w:rPr>
        <w:rFonts w:ascii="Cambria" w:eastAsiaTheme="minorEastAsia" w:hAnsi="Cambria"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264" w15:restartNumberingAfterBreak="0">
    <w:nsid w:val="6F072C4A"/>
    <w:multiLevelType w:val="hybridMultilevel"/>
    <w:tmpl w:val="8208EADE"/>
    <w:lvl w:ilvl="0" w:tplc="FFFFFFFF">
      <w:start w:val="5"/>
      <w:numFmt w:val="bullet"/>
      <w:lvlText w:val="–"/>
      <w:lvlJc w:val="left"/>
      <w:pPr>
        <w:ind w:left="720" w:hanging="360"/>
      </w:pPr>
      <w:rPr>
        <w:rFonts w:ascii="Times New Roman" w:eastAsia="Times New Roman" w:hAnsi="Times New Roman"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5" w15:restartNumberingAfterBreak="0">
    <w:nsid w:val="6F7A61B4"/>
    <w:multiLevelType w:val="hybridMultilevel"/>
    <w:tmpl w:val="011CD4F4"/>
    <w:lvl w:ilvl="0" w:tplc="23EA4114">
      <w:start w:val="5"/>
      <w:numFmt w:val="bullet"/>
      <w:lvlText w:val="-"/>
      <w:lvlJc w:val="left"/>
      <w:pPr>
        <w:ind w:left="720" w:hanging="360"/>
      </w:pPr>
      <w:rPr>
        <w:rFonts w:ascii="Times New Roman" w:eastAsia="MS Mincho" w:hAnsi="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6" w15:restartNumberingAfterBreak="0">
    <w:nsid w:val="6FD871CE"/>
    <w:multiLevelType w:val="hybridMultilevel"/>
    <w:tmpl w:val="9678FF54"/>
    <w:lvl w:ilvl="0" w:tplc="529C7C2E">
      <w:numFmt w:val="bullet"/>
      <w:lvlText w:val="–"/>
      <w:lvlJc w:val="left"/>
      <w:pPr>
        <w:ind w:left="720" w:hanging="360"/>
      </w:pPr>
      <w:rPr>
        <w:rFonts w:ascii="Cambria" w:eastAsiaTheme="minorEastAsia" w:hAnsi="Cambri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7" w15:restartNumberingAfterBreak="0">
    <w:nsid w:val="70664ADC"/>
    <w:multiLevelType w:val="multilevel"/>
    <w:tmpl w:val="2E8ABA60"/>
    <w:lvl w:ilvl="0">
      <w:start w:val="7"/>
      <w:numFmt w:val="decimal"/>
      <w:lvlText w:val="%1"/>
      <w:lvlJc w:val="left"/>
      <w:pPr>
        <w:ind w:left="720" w:hanging="720"/>
      </w:pPr>
      <w:rPr>
        <w:rFonts w:cs="Times New Roman" w:hint="default"/>
      </w:rPr>
    </w:lvl>
    <w:lvl w:ilvl="1">
      <w:start w:val="3"/>
      <w:numFmt w:val="decimal"/>
      <w:lvlText w:val="%1.%2"/>
      <w:lvlJc w:val="left"/>
      <w:pPr>
        <w:ind w:left="720" w:hanging="720"/>
      </w:pPr>
      <w:rPr>
        <w:rFonts w:cs="Times New Roman" w:hint="default"/>
      </w:rPr>
    </w:lvl>
    <w:lvl w:ilvl="2">
      <w:start w:val="3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1800" w:hanging="1800"/>
      </w:pPr>
      <w:rPr>
        <w:rFonts w:cs="Times New Roman" w:hint="default"/>
      </w:rPr>
    </w:lvl>
  </w:abstractNum>
  <w:abstractNum w:abstractNumId="268" w15:restartNumberingAfterBreak="0">
    <w:nsid w:val="70966AD8"/>
    <w:multiLevelType w:val="hybridMultilevel"/>
    <w:tmpl w:val="48B0F69C"/>
    <w:lvl w:ilvl="0" w:tplc="C95AF5D4">
      <w:start w:val="1"/>
      <w:numFmt w:val="bullet"/>
      <w:lvlText w:val="-"/>
      <w:lvlJc w:val="left"/>
      <w:pPr>
        <w:ind w:left="720" w:hanging="360"/>
      </w:pPr>
      <w:rPr>
        <w:rFonts w:ascii="Cambria" w:eastAsiaTheme="minorEastAsia" w:hAnsi="Cambri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9" w15:restartNumberingAfterBreak="0">
    <w:nsid w:val="70B35C7B"/>
    <w:multiLevelType w:val="hybridMultilevel"/>
    <w:tmpl w:val="A068442E"/>
    <w:lvl w:ilvl="0" w:tplc="2690E0E4">
      <w:start w:val="1"/>
      <w:numFmt w:val="decimal"/>
      <w:lvlText w:val="[%1]"/>
      <w:lvlJc w:val="left"/>
      <w:pPr>
        <w:ind w:left="420" w:hanging="420"/>
      </w:pPr>
      <w:rPr>
        <w:rFonts w:cs="Times New Roman" w:hint="eastAsia"/>
      </w:rPr>
    </w:lvl>
    <w:lvl w:ilvl="1" w:tplc="04090017" w:tentative="1">
      <w:start w:val="1"/>
      <w:numFmt w:val="aiueoFullWidth"/>
      <w:lvlText w:val="(%2)"/>
      <w:lvlJc w:val="left"/>
      <w:pPr>
        <w:ind w:left="840" w:hanging="420"/>
      </w:pPr>
      <w:rPr>
        <w:rFonts w:cs="Times New Roman"/>
      </w:rPr>
    </w:lvl>
    <w:lvl w:ilvl="2" w:tplc="04090011" w:tentative="1">
      <w:start w:val="1"/>
      <w:numFmt w:val="decimalEnclosedCircle"/>
      <w:lvlText w:val="%3"/>
      <w:lvlJc w:val="left"/>
      <w:pPr>
        <w:ind w:left="1260" w:hanging="420"/>
      </w:pPr>
      <w:rPr>
        <w:rFonts w:cs="Times New Roman"/>
      </w:rPr>
    </w:lvl>
    <w:lvl w:ilvl="3" w:tplc="0409000F" w:tentative="1">
      <w:start w:val="1"/>
      <w:numFmt w:val="decimal"/>
      <w:lvlText w:val="%4."/>
      <w:lvlJc w:val="left"/>
      <w:pPr>
        <w:ind w:left="1680" w:hanging="420"/>
      </w:pPr>
      <w:rPr>
        <w:rFonts w:cs="Times New Roman"/>
      </w:rPr>
    </w:lvl>
    <w:lvl w:ilvl="4" w:tplc="04090017" w:tentative="1">
      <w:start w:val="1"/>
      <w:numFmt w:val="aiueoFullWidth"/>
      <w:lvlText w:val="(%5)"/>
      <w:lvlJc w:val="left"/>
      <w:pPr>
        <w:ind w:left="2100" w:hanging="420"/>
      </w:pPr>
      <w:rPr>
        <w:rFonts w:cs="Times New Roman"/>
      </w:rPr>
    </w:lvl>
    <w:lvl w:ilvl="5" w:tplc="04090011" w:tentative="1">
      <w:start w:val="1"/>
      <w:numFmt w:val="decimalEnclosedCircle"/>
      <w:lvlText w:val="%6"/>
      <w:lvlJc w:val="left"/>
      <w:pPr>
        <w:ind w:left="2520" w:hanging="420"/>
      </w:pPr>
      <w:rPr>
        <w:rFonts w:cs="Times New Roman"/>
      </w:rPr>
    </w:lvl>
    <w:lvl w:ilvl="6" w:tplc="0409000F" w:tentative="1">
      <w:start w:val="1"/>
      <w:numFmt w:val="decimal"/>
      <w:lvlText w:val="%7."/>
      <w:lvlJc w:val="left"/>
      <w:pPr>
        <w:ind w:left="2940" w:hanging="420"/>
      </w:pPr>
      <w:rPr>
        <w:rFonts w:cs="Times New Roman"/>
      </w:rPr>
    </w:lvl>
    <w:lvl w:ilvl="7" w:tplc="04090017" w:tentative="1">
      <w:start w:val="1"/>
      <w:numFmt w:val="aiueoFullWidth"/>
      <w:lvlText w:val="(%8)"/>
      <w:lvlJc w:val="left"/>
      <w:pPr>
        <w:ind w:left="3360" w:hanging="420"/>
      </w:pPr>
      <w:rPr>
        <w:rFonts w:cs="Times New Roman"/>
      </w:rPr>
    </w:lvl>
    <w:lvl w:ilvl="8" w:tplc="04090011" w:tentative="1">
      <w:start w:val="1"/>
      <w:numFmt w:val="decimalEnclosedCircle"/>
      <w:lvlText w:val="%9"/>
      <w:lvlJc w:val="left"/>
      <w:pPr>
        <w:ind w:left="3780" w:hanging="420"/>
      </w:pPr>
      <w:rPr>
        <w:rFonts w:cs="Times New Roman"/>
      </w:rPr>
    </w:lvl>
  </w:abstractNum>
  <w:abstractNum w:abstractNumId="270" w15:restartNumberingAfterBreak="0">
    <w:nsid w:val="71657BFF"/>
    <w:multiLevelType w:val="hybridMultilevel"/>
    <w:tmpl w:val="C8C82D7C"/>
    <w:lvl w:ilvl="0" w:tplc="4D6EFB50">
      <w:start w:val="1"/>
      <w:numFmt w:val="decimal"/>
      <w:lvlText w:val="%1."/>
      <w:lvlJc w:val="left"/>
      <w:pPr>
        <w:ind w:left="720" w:hanging="360"/>
      </w:pPr>
      <w:rPr>
        <w:rFonts w:cs="Times New Roman" w:hint="default"/>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71" w15:restartNumberingAfterBreak="0">
    <w:nsid w:val="71964801"/>
    <w:multiLevelType w:val="multilevel"/>
    <w:tmpl w:val="A7D87B14"/>
    <w:lvl w:ilvl="0">
      <w:numFmt w:val="bullet"/>
      <w:lvlText w:val="–"/>
      <w:lvlJc w:val="left"/>
      <w:pPr>
        <w:ind w:left="618" w:hanging="360"/>
      </w:pPr>
      <w:rPr>
        <w:rFonts w:ascii="Cambria" w:eastAsiaTheme="minorEastAsia" w:hAnsi="Cambria" w:hint="default"/>
      </w:rPr>
    </w:lvl>
    <w:lvl w:ilvl="1">
      <w:start w:val="1"/>
      <w:numFmt w:val="bullet"/>
      <w:lvlText w:val="o"/>
      <w:lvlJc w:val="left"/>
      <w:pPr>
        <w:ind w:left="1338" w:hanging="360"/>
      </w:pPr>
      <w:rPr>
        <w:rFonts w:ascii="Courier New" w:hAnsi="Courier New" w:cs="Courier New" w:hint="default"/>
      </w:rPr>
    </w:lvl>
    <w:lvl w:ilvl="2">
      <w:start w:val="1"/>
      <w:numFmt w:val="bullet"/>
      <w:lvlText w:val=""/>
      <w:lvlJc w:val="left"/>
      <w:pPr>
        <w:ind w:left="2058" w:hanging="360"/>
      </w:pPr>
      <w:rPr>
        <w:rFonts w:ascii="Wingdings" w:hAnsi="Wingdings" w:hint="default"/>
      </w:rPr>
    </w:lvl>
    <w:lvl w:ilvl="3">
      <w:start w:val="1"/>
      <w:numFmt w:val="bullet"/>
      <w:lvlText w:val=""/>
      <w:lvlJc w:val="left"/>
      <w:pPr>
        <w:ind w:left="2778" w:hanging="360"/>
      </w:pPr>
      <w:rPr>
        <w:rFonts w:ascii="Symbol" w:hAnsi="Symbol" w:hint="default"/>
      </w:rPr>
    </w:lvl>
    <w:lvl w:ilvl="4">
      <w:start w:val="1"/>
      <w:numFmt w:val="bullet"/>
      <w:lvlText w:val="o"/>
      <w:lvlJc w:val="left"/>
      <w:pPr>
        <w:ind w:left="3498" w:hanging="360"/>
      </w:pPr>
      <w:rPr>
        <w:rFonts w:ascii="Courier New" w:hAnsi="Courier New" w:cs="Courier New" w:hint="default"/>
      </w:rPr>
    </w:lvl>
    <w:lvl w:ilvl="5">
      <w:start w:val="1"/>
      <w:numFmt w:val="bullet"/>
      <w:lvlText w:val=""/>
      <w:lvlJc w:val="left"/>
      <w:pPr>
        <w:ind w:left="4218" w:hanging="360"/>
      </w:pPr>
      <w:rPr>
        <w:rFonts w:ascii="Wingdings" w:hAnsi="Wingdings" w:hint="default"/>
      </w:rPr>
    </w:lvl>
    <w:lvl w:ilvl="6">
      <w:start w:val="1"/>
      <w:numFmt w:val="bullet"/>
      <w:lvlText w:val=""/>
      <w:lvlJc w:val="left"/>
      <w:pPr>
        <w:ind w:left="4938" w:hanging="360"/>
      </w:pPr>
      <w:rPr>
        <w:rFonts w:ascii="Symbol" w:hAnsi="Symbol" w:hint="default"/>
      </w:rPr>
    </w:lvl>
    <w:lvl w:ilvl="7">
      <w:start w:val="1"/>
      <w:numFmt w:val="bullet"/>
      <w:lvlText w:val="o"/>
      <w:lvlJc w:val="left"/>
      <w:pPr>
        <w:ind w:left="5658" w:hanging="360"/>
      </w:pPr>
      <w:rPr>
        <w:rFonts w:ascii="Courier New" w:hAnsi="Courier New" w:cs="Courier New" w:hint="default"/>
      </w:rPr>
    </w:lvl>
    <w:lvl w:ilvl="8">
      <w:start w:val="1"/>
      <w:numFmt w:val="bullet"/>
      <w:lvlText w:val=""/>
      <w:lvlJc w:val="left"/>
      <w:pPr>
        <w:ind w:left="6378" w:hanging="360"/>
      </w:pPr>
      <w:rPr>
        <w:rFonts w:ascii="Wingdings" w:hAnsi="Wingdings" w:hint="default"/>
      </w:rPr>
    </w:lvl>
  </w:abstractNum>
  <w:abstractNum w:abstractNumId="272" w15:restartNumberingAfterBreak="0">
    <w:nsid w:val="72880A28"/>
    <w:multiLevelType w:val="multilevel"/>
    <w:tmpl w:val="9F5AB1AE"/>
    <w:lvl w:ilvl="0">
      <w:start w:val="1"/>
      <w:numFmt w:val="lowerLetter"/>
      <w:pStyle w:val="ListNumber"/>
      <w:lvlText w:val="%1)"/>
      <w:lvlJc w:val="left"/>
      <w:pPr>
        <w:tabs>
          <w:tab w:val="num" w:pos="360"/>
        </w:tabs>
        <w:ind w:left="400" w:hanging="400"/>
      </w:pPr>
      <w:rPr>
        <w:rFonts w:cs="Times New Roman"/>
      </w:rPr>
    </w:lvl>
    <w:lvl w:ilvl="1">
      <w:start w:val="1"/>
      <w:numFmt w:val="decimal"/>
      <w:pStyle w:val="ListNumber2"/>
      <w:lvlText w:val="%2)"/>
      <w:lvlJc w:val="left"/>
      <w:pPr>
        <w:tabs>
          <w:tab w:val="num" w:pos="1080"/>
        </w:tabs>
        <w:ind w:left="800" w:hanging="400"/>
      </w:pPr>
      <w:rPr>
        <w:rFonts w:cs="Times New Roman"/>
      </w:rPr>
    </w:lvl>
    <w:lvl w:ilvl="2">
      <w:start w:val="1"/>
      <w:numFmt w:val="lowerRoman"/>
      <w:pStyle w:val="ListNumber3"/>
      <w:lvlText w:val="%3)"/>
      <w:lvlJc w:val="left"/>
      <w:pPr>
        <w:tabs>
          <w:tab w:val="num" w:pos="1800"/>
        </w:tabs>
        <w:ind w:left="1200" w:hanging="400"/>
      </w:pPr>
      <w:rPr>
        <w:rFonts w:cs="Times New Roman"/>
      </w:rPr>
    </w:lvl>
    <w:lvl w:ilvl="3">
      <w:start w:val="1"/>
      <w:numFmt w:val="upperRoman"/>
      <w:pStyle w:val="ListNumber4"/>
      <w:lvlText w:val="%4)"/>
      <w:lvlJc w:val="left"/>
      <w:pPr>
        <w:tabs>
          <w:tab w:val="num" w:pos="2520"/>
        </w:tabs>
        <w:ind w:left="1600" w:hanging="400"/>
      </w:pPr>
      <w:rPr>
        <w:rFonts w:cs="Times New Roman"/>
      </w:rPr>
    </w:lvl>
    <w:lvl w:ilvl="4">
      <w:start w:val="1"/>
      <w:numFmt w:val="decimal"/>
      <w:lvlText w:val="(%5)"/>
      <w:lvlJc w:val="left"/>
      <w:pPr>
        <w:tabs>
          <w:tab w:val="num" w:pos="3240"/>
        </w:tabs>
        <w:ind w:left="2880"/>
      </w:pPr>
      <w:rPr>
        <w:rFonts w:cs="Times New Roman"/>
      </w:rPr>
    </w:lvl>
    <w:lvl w:ilvl="5">
      <w:start w:val="1"/>
      <w:numFmt w:val="lowerLetter"/>
      <w:lvlText w:val="(%6)"/>
      <w:lvlJc w:val="left"/>
      <w:pPr>
        <w:tabs>
          <w:tab w:val="num" w:pos="3960"/>
        </w:tabs>
        <w:ind w:left="3600"/>
      </w:pPr>
      <w:rPr>
        <w:rFonts w:cs="Times New Roman"/>
      </w:rPr>
    </w:lvl>
    <w:lvl w:ilvl="6">
      <w:start w:val="1"/>
      <w:numFmt w:val="lowerRoman"/>
      <w:lvlText w:val="(%7)"/>
      <w:lvlJc w:val="left"/>
      <w:pPr>
        <w:tabs>
          <w:tab w:val="num" w:pos="4680"/>
        </w:tabs>
        <w:ind w:left="4320"/>
      </w:pPr>
      <w:rPr>
        <w:rFonts w:cs="Times New Roman"/>
      </w:rPr>
    </w:lvl>
    <w:lvl w:ilvl="7">
      <w:start w:val="1"/>
      <w:numFmt w:val="lowerLetter"/>
      <w:lvlText w:val="(%8)"/>
      <w:lvlJc w:val="left"/>
      <w:pPr>
        <w:tabs>
          <w:tab w:val="num" w:pos="5400"/>
        </w:tabs>
        <w:ind w:left="5040"/>
      </w:pPr>
      <w:rPr>
        <w:rFonts w:cs="Times New Roman"/>
      </w:rPr>
    </w:lvl>
    <w:lvl w:ilvl="8">
      <w:start w:val="1"/>
      <w:numFmt w:val="lowerRoman"/>
      <w:lvlText w:val="(%9)"/>
      <w:lvlJc w:val="left"/>
      <w:pPr>
        <w:tabs>
          <w:tab w:val="num" w:pos="6120"/>
        </w:tabs>
        <w:ind w:left="5760"/>
      </w:pPr>
      <w:rPr>
        <w:rFonts w:cs="Times New Roman"/>
      </w:rPr>
    </w:lvl>
  </w:abstractNum>
  <w:abstractNum w:abstractNumId="273" w15:restartNumberingAfterBreak="0">
    <w:nsid w:val="73281601"/>
    <w:multiLevelType w:val="multilevel"/>
    <w:tmpl w:val="B7F8323C"/>
    <w:styleLink w:val="SVCBullets"/>
    <w:lvl w:ilvl="0">
      <w:start w:val="1"/>
      <w:numFmt w:val="bullet"/>
      <w:lvlText w:val=""/>
      <w:lvlJc w:val="left"/>
      <w:pPr>
        <w:tabs>
          <w:tab w:val="num" w:pos="0"/>
        </w:tabs>
        <w:ind w:left="403" w:hanging="403"/>
      </w:pPr>
      <w:rPr>
        <w:rFonts w:ascii="Symbol" w:hAnsi="Symbol" w:hint="default"/>
      </w:rPr>
    </w:lvl>
    <w:lvl w:ilvl="1">
      <w:start w:val="1"/>
      <w:numFmt w:val="bullet"/>
      <w:lvlText w:val=""/>
      <w:lvlJc w:val="left"/>
      <w:pPr>
        <w:tabs>
          <w:tab w:val="num" w:pos="-303"/>
        </w:tabs>
        <w:ind w:left="489" w:hanging="389"/>
      </w:pPr>
      <w:rPr>
        <w:rFonts w:ascii="Symbol" w:hAnsi="Symbol" w:hint="default"/>
      </w:rPr>
    </w:lvl>
    <w:lvl w:ilvl="2">
      <w:start w:val="1"/>
      <w:numFmt w:val="bullet"/>
      <w:lvlText w:val=""/>
      <w:lvlJc w:val="left"/>
      <w:pPr>
        <w:tabs>
          <w:tab w:val="num" w:pos="-31680"/>
        </w:tabs>
        <w:ind w:left="1195" w:hanging="403"/>
      </w:pPr>
      <w:rPr>
        <w:rFonts w:ascii="Symbol" w:hAnsi="Symbol" w:hint="default"/>
      </w:rPr>
    </w:lvl>
    <w:lvl w:ilvl="3">
      <w:start w:val="1"/>
      <w:numFmt w:val="bullet"/>
      <w:lvlText w:val=""/>
      <w:lvlJc w:val="left"/>
      <w:pPr>
        <w:tabs>
          <w:tab w:val="num" w:pos="0"/>
        </w:tabs>
        <w:ind w:left="1584" w:hanging="389"/>
      </w:pPr>
      <w:rPr>
        <w:rFonts w:ascii="Symbol" w:hAnsi="Symbol" w:hint="default"/>
      </w:rPr>
    </w:lvl>
    <w:lvl w:ilvl="4">
      <w:start w:val="1"/>
      <w:numFmt w:val="bullet"/>
      <w:lvlText w:val=""/>
      <w:lvlJc w:val="left"/>
      <w:pPr>
        <w:tabs>
          <w:tab w:val="num" w:pos="0"/>
        </w:tabs>
        <w:ind w:left="1987" w:hanging="403"/>
      </w:pPr>
      <w:rPr>
        <w:rFonts w:ascii="Symbol" w:hAnsi="Symbol" w:hint="default"/>
      </w:rPr>
    </w:lvl>
    <w:lvl w:ilvl="5">
      <w:start w:val="1"/>
      <w:numFmt w:val="bullet"/>
      <w:lvlText w:val=""/>
      <w:lvlJc w:val="left"/>
      <w:pPr>
        <w:tabs>
          <w:tab w:val="num" w:pos="-31680"/>
        </w:tabs>
        <w:ind w:left="2376" w:hanging="389"/>
      </w:pPr>
      <w:rPr>
        <w:rFonts w:ascii="Symbol" w:hAnsi="Symbol" w:hint="default"/>
      </w:rPr>
    </w:lvl>
    <w:lvl w:ilvl="6">
      <w:start w:val="1"/>
      <w:numFmt w:val="bullet"/>
      <w:lvlText w:val=""/>
      <w:lvlJc w:val="left"/>
      <w:pPr>
        <w:tabs>
          <w:tab w:val="num" w:pos="0"/>
        </w:tabs>
        <w:ind w:left="2779" w:hanging="403"/>
      </w:pPr>
      <w:rPr>
        <w:rFonts w:ascii="Symbol" w:hAnsi="Symbol" w:hint="default"/>
      </w:rPr>
    </w:lvl>
    <w:lvl w:ilvl="7">
      <w:start w:val="1"/>
      <w:numFmt w:val="bullet"/>
      <w:lvlText w:val="-"/>
      <w:lvlJc w:val="left"/>
      <w:pPr>
        <w:tabs>
          <w:tab w:val="num" w:pos="0"/>
        </w:tabs>
        <w:ind w:left="3168" w:hanging="389"/>
      </w:pPr>
      <w:rPr>
        <w:rFonts w:ascii="Courier New" w:hAnsi="Courier New" w:hint="default"/>
      </w:rPr>
    </w:lvl>
    <w:lvl w:ilvl="8">
      <w:start w:val="1"/>
      <w:numFmt w:val="bullet"/>
      <w:lvlText w:val=""/>
      <w:lvlJc w:val="left"/>
      <w:pPr>
        <w:tabs>
          <w:tab w:val="num" w:pos="-31680"/>
        </w:tabs>
        <w:ind w:left="3571" w:hanging="403"/>
      </w:pPr>
      <w:rPr>
        <w:rFonts w:ascii="Symbol" w:hAnsi="Symbol" w:hint="default"/>
      </w:rPr>
    </w:lvl>
  </w:abstractNum>
  <w:abstractNum w:abstractNumId="274" w15:restartNumberingAfterBreak="0">
    <w:nsid w:val="73A0143B"/>
    <w:multiLevelType w:val="multilevel"/>
    <w:tmpl w:val="4B3A7D34"/>
    <w:lvl w:ilvl="0">
      <w:start w:val="1"/>
      <w:numFmt w:val="decimal"/>
      <w:lvlText w:val="%1"/>
      <w:lvlJc w:val="left"/>
      <w:pPr>
        <w:ind w:left="432" w:hanging="432"/>
      </w:pPr>
      <w:rPr>
        <w:rFonts w:cs="Times New Roman" w:hint="default"/>
        <w:b/>
        <w:i w:val="0"/>
      </w:rPr>
    </w:lvl>
    <w:lvl w:ilvl="1">
      <w:start w:val="1"/>
      <w:numFmt w:val="decimal"/>
      <w:lvlText w:val="H.%1.%2"/>
      <w:lvlJc w:val="left"/>
      <w:rPr>
        <w:rFonts w:cs="Times New Roman" w:hint="default"/>
        <w:b/>
        <w:i w:val="0"/>
      </w:rPr>
    </w:lvl>
    <w:lvl w:ilvl="2">
      <w:start w:val="1"/>
      <w:numFmt w:val="decimal"/>
      <w:lvlText w:val="%1.%2.%3"/>
      <w:lvlJc w:val="left"/>
      <w:rPr>
        <w:rFonts w:cs="Times New Roman" w:hint="default"/>
        <w:b/>
        <w:bCs w:val="0"/>
        <w:i w:val="0"/>
        <w:iCs w:val="0"/>
        <w:caps w:val="0"/>
        <w:smallCaps w:val="0"/>
        <w:strike w:val="0"/>
        <w:dstrike w:val="0"/>
        <w:vanish w:val="0"/>
        <w:color w:val="000000"/>
        <w:spacing w:val="0"/>
        <w:kern w:val="0"/>
        <w:position w:val="0"/>
        <w:u w:val="none"/>
        <w:effect w:val="none"/>
        <w:vertAlign w:val="baseline"/>
      </w:rPr>
    </w:lvl>
    <w:lvl w:ilvl="3">
      <w:start w:val="1"/>
      <w:numFmt w:val="decimal"/>
      <w:lvlText w:val="%1.%2.%3.%4"/>
      <w:lvlJc w:val="left"/>
      <w:pPr>
        <w:tabs>
          <w:tab w:val="num" w:pos="7200"/>
        </w:tabs>
        <w:ind w:left="6120"/>
      </w:pPr>
      <w:rPr>
        <w:rFonts w:cs="Times New Roman" w:hint="default"/>
        <w:b/>
        <w:i w:val="0"/>
      </w:rPr>
    </w:lvl>
    <w:lvl w:ilvl="4">
      <w:start w:val="1"/>
      <w:numFmt w:val="decimal"/>
      <w:lvlText w:val="%1.%2.%3.%4.%5"/>
      <w:lvlJc w:val="left"/>
      <w:pPr>
        <w:tabs>
          <w:tab w:val="num" w:pos="1080"/>
        </w:tabs>
      </w:pPr>
      <w:rPr>
        <w:rFonts w:cs="Times New Roman" w:hint="default"/>
        <w:b/>
        <w:i w:val="0"/>
      </w:rPr>
    </w:lvl>
    <w:lvl w:ilvl="5">
      <w:start w:val="1"/>
      <w:numFmt w:val="decimal"/>
      <w:lvlText w:val="%1.%2.%3.%4.%5.%6"/>
      <w:lvlJc w:val="left"/>
      <w:pPr>
        <w:tabs>
          <w:tab w:val="num" w:pos="1440"/>
        </w:tabs>
      </w:pPr>
      <w:rPr>
        <w:rFonts w:cs="Times New Roman" w:hint="default"/>
        <w:b/>
        <w:i w:val="0"/>
      </w:rPr>
    </w:lvl>
    <w:lvl w:ilvl="6">
      <w:start w:val="1"/>
      <w:numFmt w:val="decimal"/>
      <w:lvlText w:val="%1.%2.%3.%4.%5.%6.%7"/>
      <w:lvlJc w:val="left"/>
      <w:pPr>
        <w:tabs>
          <w:tab w:val="num" w:pos="1440"/>
        </w:tabs>
      </w:pPr>
      <w:rPr>
        <w:rFonts w:cs="Times New Roman" w:hint="default"/>
      </w:rPr>
    </w:lvl>
    <w:lvl w:ilvl="7">
      <w:start w:val="1"/>
      <w:numFmt w:val="decimal"/>
      <w:lvlText w:val="%1.%2.%3.%4.%5.%6.%7.%8"/>
      <w:lvlJc w:val="left"/>
      <w:pPr>
        <w:tabs>
          <w:tab w:val="num" w:pos="1800"/>
        </w:tabs>
      </w:pPr>
      <w:rPr>
        <w:rFonts w:cs="Times New Roman" w:hint="default"/>
      </w:rPr>
    </w:lvl>
    <w:lvl w:ilvl="8">
      <w:start w:val="1"/>
      <w:numFmt w:val="decimal"/>
      <w:lvlText w:val="%1.%2.%3.%4.%5.%6.%7.%8.%9"/>
      <w:lvlJc w:val="left"/>
      <w:pPr>
        <w:tabs>
          <w:tab w:val="num" w:pos="1800"/>
        </w:tabs>
      </w:pPr>
      <w:rPr>
        <w:rFonts w:cs="Times New Roman" w:hint="default"/>
      </w:rPr>
    </w:lvl>
  </w:abstractNum>
  <w:abstractNum w:abstractNumId="275" w15:restartNumberingAfterBreak="0">
    <w:nsid w:val="74042025"/>
    <w:multiLevelType w:val="hybridMultilevel"/>
    <w:tmpl w:val="AB86C3B0"/>
    <w:lvl w:ilvl="0" w:tplc="529C7C2E">
      <w:numFmt w:val="bullet"/>
      <w:lvlText w:val="–"/>
      <w:lvlJc w:val="left"/>
      <w:pPr>
        <w:ind w:left="720" w:hanging="360"/>
      </w:pPr>
      <w:rPr>
        <w:rFonts w:ascii="Cambria" w:eastAsiaTheme="minorEastAsia" w:hAnsi="Cambria"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6" w15:restartNumberingAfterBreak="0">
    <w:nsid w:val="742F760E"/>
    <w:multiLevelType w:val="hybridMultilevel"/>
    <w:tmpl w:val="A1106698"/>
    <w:lvl w:ilvl="0" w:tplc="04090001">
      <w:start w:val="1"/>
      <w:numFmt w:val="bullet"/>
      <w:lvlText w:val=""/>
      <w:lvlJc w:val="left"/>
      <w:pPr>
        <w:ind w:left="420" w:hanging="420"/>
      </w:pPr>
      <w:rPr>
        <w:rFonts w:ascii="Symbol" w:hAnsi="Symbol"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77" w15:restartNumberingAfterBreak="0">
    <w:nsid w:val="745654D6"/>
    <w:multiLevelType w:val="hybridMultilevel"/>
    <w:tmpl w:val="D6C60590"/>
    <w:lvl w:ilvl="0" w:tplc="016011D4">
      <w:start w:val="2"/>
      <w:numFmt w:val="bullet"/>
      <w:lvlText w:val="–"/>
      <w:lvlJc w:val="left"/>
      <w:pPr>
        <w:ind w:left="1600" w:hanging="360"/>
      </w:pPr>
      <w:rPr>
        <w:rFonts w:ascii="Calibri" w:eastAsia="Times New Roman" w:hAnsi="Calibri" w:hint="default"/>
      </w:rPr>
    </w:lvl>
    <w:lvl w:ilvl="1" w:tplc="04090003" w:tentative="1">
      <w:start w:val="1"/>
      <w:numFmt w:val="bullet"/>
      <w:lvlText w:val="o"/>
      <w:lvlJc w:val="left"/>
      <w:pPr>
        <w:ind w:left="2320" w:hanging="360"/>
      </w:pPr>
      <w:rPr>
        <w:rFonts w:ascii="Courier New" w:hAnsi="Courier New" w:cs="Courier New" w:hint="default"/>
      </w:rPr>
    </w:lvl>
    <w:lvl w:ilvl="2" w:tplc="04090005" w:tentative="1">
      <w:start w:val="1"/>
      <w:numFmt w:val="bullet"/>
      <w:lvlText w:val=""/>
      <w:lvlJc w:val="left"/>
      <w:pPr>
        <w:ind w:left="3040" w:hanging="360"/>
      </w:pPr>
      <w:rPr>
        <w:rFonts w:ascii="Wingdings" w:hAnsi="Wingdings" w:hint="default"/>
      </w:rPr>
    </w:lvl>
    <w:lvl w:ilvl="3" w:tplc="04090001" w:tentative="1">
      <w:start w:val="1"/>
      <w:numFmt w:val="bullet"/>
      <w:lvlText w:val=""/>
      <w:lvlJc w:val="left"/>
      <w:pPr>
        <w:ind w:left="3760" w:hanging="360"/>
      </w:pPr>
      <w:rPr>
        <w:rFonts w:ascii="Symbol" w:hAnsi="Symbol" w:hint="default"/>
      </w:rPr>
    </w:lvl>
    <w:lvl w:ilvl="4" w:tplc="04090003" w:tentative="1">
      <w:start w:val="1"/>
      <w:numFmt w:val="bullet"/>
      <w:lvlText w:val="o"/>
      <w:lvlJc w:val="left"/>
      <w:pPr>
        <w:ind w:left="4480" w:hanging="360"/>
      </w:pPr>
      <w:rPr>
        <w:rFonts w:ascii="Courier New" w:hAnsi="Courier New" w:cs="Courier New" w:hint="default"/>
      </w:rPr>
    </w:lvl>
    <w:lvl w:ilvl="5" w:tplc="04090005" w:tentative="1">
      <w:start w:val="1"/>
      <w:numFmt w:val="bullet"/>
      <w:lvlText w:val=""/>
      <w:lvlJc w:val="left"/>
      <w:pPr>
        <w:ind w:left="5200" w:hanging="360"/>
      </w:pPr>
      <w:rPr>
        <w:rFonts w:ascii="Wingdings" w:hAnsi="Wingdings" w:hint="default"/>
      </w:rPr>
    </w:lvl>
    <w:lvl w:ilvl="6" w:tplc="04090001" w:tentative="1">
      <w:start w:val="1"/>
      <w:numFmt w:val="bullet"/>
      <w:lvlText w:val=""/>
      <w:lvlJc w:val="left"/>
      <w:pPr>
        <w:ind w:left="5920" w:hanging="360"/>
      </w:pPr>
      <w:rPr>
        <w:rFonts w:ascii="Symbol" w:hAnsi="Symbol" w:hint="default"/>
      </w:rPr>
    </w:lvl>
    <w:lvl w:ilvl="7" w:tplc="04090003" w:tentative="1">
      <w:start w:val="1"/>
      <w:numFmt w:val="bullet"/>
      <w:lvlText w:val="o"/>
      <w:lvlJc w:val="left"/>
      <w:pPr>
        <w:ind w:left="6640" w:hanging="360"/>
      </w:pPr>
      <w:rPr>
        <w:rFonts w:ascii="Courier New" w:hAnsi="Courier New" w:cs="Courier New" w:hint="default"/>
      </w:rPr>
    </w:lvl>
    <w:lvl w:ilvl="8" w:tplc="04090005" w:tentative="1">
      <w:start w:val="1"/>
      <w:numFmt w:val="bullet"/>
      <w:lvlText w:val=""/>
      <w:lvlJc w:val="left"/>
      <w:pPr>
        <w:ind w:left="7360" w:hanging="360"/>
      </w:pPr>
      <w:rPr>
        <w:rFonts w:ascii="Wingdings" w:hAnsi="Wingdings" w:hint="default"/>
      </w:rPr>
    </w:lvl>
  </w:abstractNum>
  <w:abstractNum w:abstractNumId="278" w15:restartNumberingAfterBreak="0">
    <w:nsid w:val="74F64791"/>
    <w:multiLevelType w:val="hybridMultilevel"/>
    <w:tmpl w:val="8CA065B2"/>
    <w:lvl w:ilvl="0" w:tplc="0409000F">
      <w:start w:val="4"/>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79" w15:restartNumberingAfterBreak="0">
    <w:nsid w:val="7579723B"/>
    <w:multiLevelType w:val="hybridMultilevel"/>
    <w:tmpl w:val="44FA7E3E"/>
    <w:lvl w:ilvl="0" w:tplc="385C80BC">
      <w:start w:val="1"/>
      <w:numFmt w:val="bullet"/>
      <w:lvlText w:val="–"/>
      <w:lvlJc w:val="left"/>
      <w:pPr>
        <w:tabs>
          <w:tab w:val="num" w:pos="389"/>
        </w:tabs>
        <w:ind w:left="389" w:hanging="389"/>
      </w:pPr>
      <w:rPr>
        <w:rFonts w:ascii="Times New Roman" w:hAnsi="Times New Roman" w:hint="default"/>
      </w:rPr>
    </w:lvl>
    <w:lvl w:ilvl="1" w:tplc="04070019">
      <w:start w:val="1"/>
      <w:numFmt w:val="bullet"/>
      <w:lvlText w:val="-"/>
      <w:lvlJc w:val="left"/>
      <w:pPr>
        <w:tabs>
          <w:tab w:val="num" w:pos="1080"/>
        </w:tabs>
        <w:ind w:left="1080" w:hanging="360"/>
      </w:pPr>
      <w:rPr>
        <w:rFonts w:ascii="Times New Roman" w:hAnsi="Times New Roman" w:hint="default"/>
      </w:rPr>
    </w:lvl>
    <w:lvl w:ilvl="2" w:tplc="0407001B">
      <w:start w:val="1"/>
      <w:numFmt w:val="bullet"/>
      <w:lvlText w:val=""/>
      <w:lvlJc w:val="left"/>
      <w:pPr>
        <w:tabs>
          <w:tab w:val="num" w:pos="1800"/>
        </w:tabs>
        <w:ind w:left="1800" w:hanging="360"/>
      </w:pPr>
      <w:rPr>
        <w:rFonts w:ascii="Wingdings" w:hAnsi="Wingdings" w:hint="default"/>
      </w:rPr>
    </w:lvl>
    <w:lvl w:ilvl="3" w:tplc="0407000F">
      <w:start w:val="1"/>
      <w:numFmt w:val="bullet"/>
      <w:lvlText w:val=""/>
      <w:lvlJc w:val="left"/>
      <w:pPr>
        <w:tabs>
          <w:tab w:val="num" w:pos="2520"/>
        </w:tabs>
        <w:ind w:left="2520" w:hanging="360"/>
      </w:pPr>
      <w:rPr>
        <w:rFonts w:ascii="Symbol" w:hAnsi="Symbol" w:hint="default"/>
      </w:rPr>
    </w:lvl>
    <w:lvl w:ilvl="4" w:tplc="04070019">
      <w:start w:val="1"/>
      <w:numFmt w:val="bullet"/>
      <w:lvlText w:val="o"/>
      <w:lvlJc w:val="left"/>
      <w:pPr>
        <w:tabs>
          <w:tab w:val="num" w:pos="3240"/>
        </w:tabs>
        <w:ind w:left="3240" w:hanging="360"/>
      </w:pPr>
      <w:rPr>
        <w:rFonts w:ascii="Courier New" w:hAnsi="Courier New" w:hint="default"/>
      </w:rPr>
    </w:lvl>
    <w:lvl w:ilvl="5" w:tplc="0407001B">
      <w:start w:val="1"/>
      <w:numFmt w:val="bullet"/>
      <w:lvlText w:val=""/>
      <w:lvlJc w:val="left"/>
      <w:pPr>
        <w:tabs>
          <w:tab w:val="num" w:pos="3960"/>
        </w:tabs>
        <w:ind w:left="3960" w:hanging="360"/>
      </w:pPr>
      <w:rPr>
        <w:rFonts w:ascii="Wingdings" w:hAnsi="Wingdings" w:hint="default"/>
      </w:rPr>
    </w:lvl>
    <w:lvl w:ilvl="6" w:tplc="0407000F">
      <w:start w:val="1"/>
      <w:numFmt w:val="bullet"/>
      <w:lvlText w:val=""/>
      <w:lvlJc w:val="left"/>
      <w:pPr>
        <w:tabs>
          <w:tab w:val="num" w:pos="4680"/>
        </w:tabs>
        <w:ind w:left="4680" w:hanging="360"/>
      </w:pPr>
      <w:rPr>
        <w:rFonts w:ascii="Symbol" w:hAnsi="Symbol" w:hint="default"/>
      </w:rPr>
    </w:lvl>
    <w:lvl w:ilvl="7" w:tplc="04070019">
      <w:start w:val="1"/>
      <w:numFmt w:val="bullet"/>
      <w:lvlText w:val="o"/>
      <w:lvlJc w:val="left"/>
      <w:pPr>
        <w:tabs>
          <w:tab w:val="num" w:pos="5400"/>
        </w:tabs>
        <w:ind w:left="5400" w:hanging="360"/>
      </w:pPr>
      <w:rPr>
        <w:rFonts w:ascii="Courier New" w:hAnsi="Courier New" w:hint="default"/>
      </w:rPr>
    </w:lvl>
    <w:lvl w:ilvl="8" w:tplc="0407001B">
      <w:start w:val="1"/>
      <w:numFmt w:val="bullet"/>
      <w:lvlText w:val=""/>
      <w:lvlJc w:val="left"/>
      <w:pPr>
        <w:tabs>
          <w:tab w:val="num" w:pos="6120"/>
        </w:tabs>
        <w:ind w:left="6120" w:hanging="360"/>
      </w:pPr>
      <w:rPr>
        <w:rFonts w:ascii="Wingdings" w:hAnsi="Wingdings" w:hint="default"/>
      </w:rPr>
    </w:lvl>
  </w:abstractNum>
  <w:abstractNum w:abstractNumId="280" w15:restartNumberingAfterBreak="0">
    <w:nsid w:val="75A34068"/>
    <w:multiLevelType w:val="multilevel"/>
    <w:tmpl w:val="04090025"/>
    <w:lvl w:ilvl="0">
      <w:start w:val="1"/>
      <w:numFmt w:val="decimal"/>
      <w:lvlText w:val="%1"/>
      <w:lvlJc w:val="left"/>
      <w:pPr>
        <w:ind w:left="432" w:hanging="432"/>
      </w:pPr>
      <w:rPr>
        <w:rFonts w:cs="Times New Roman"/>
      </w:rPr>
    </w:lvl>
    <w:lvl w:ilvl="1">
      <w:start w:val="1"/>
      <w:numFmt w:val="decimal"/>
      <w:lvlText w:val="%1.%2"/>
      <w:lvlJc w:val="left"/>
      <w:pPr>
        <w:ind w:left="576" w:hanging="576"/>
      </w:pPr>
      <w:rPr>
        <w:rFonts w:cs="Times New Roman"/>
      </w:rPr>
    </w:lvl>
    <w:lvl w:ilvl="2">
      <w:start w:val="1"/>
      <w:numFmt w:val="decimal"/>
      <w:lvlText w:val="%1.%2.%3"/>
      <w:lvlJc w:val="left"/>
      <w:pPr>
        <w:ind w:left="720" w:hanging="720"/>
      </w:pPr>
      <w:rPr>
        <w:rFonts w:cs="Times New Roman"/>
      </w:rPr>
    </w:lvl>
    <w:lvl w:ilvl="3">
      <w:start w:val="1"/>
      <w:numFmt w:val="decimal"/>
      <w:lvlText w:val="%1.%2.%3.%4"/>
      <w:lvlJc w:val="left"/>
      <w:pPr>
        <w:ind w:left="864" w:hanging="864"/>
      </w:pPr>
      <w:rPr>
        <w:rFonts w:cs="Times New Roman"/>
      </w:rPr>
    </w:lvl>
    <w:lvl w:ilvl="4">
      <w:start w:val="1"/>
      <w:numFmt w:val="decimal"/>
      <w:lvlText w:val="%1.%2.%3.%4.%5"/>
      <w:lvlJc w:val="left"/>
      <w:pPr>
        <w:ind w:left="1008" w:hanging="1008"/>
      </w:pPr>
      <w:rPr>
        <w:rFonts w:cs="Times New Roman"/>
      </w:rPr>
    </w:lvl>
    <w:lvl w:ilvl="5">
      <w:start w:val="1"/>
      <w:numFmt w:val="decimal"/>
      <w:lvlText w:val="%1.%2.%3.%4.%5.%6"/>
      <w:lvlJc w:val="left"/>
      <w:pPr>
        <w:ind w:left="1152" w:hanging="1152"/>
      </w:pPr>
      <w:rPr>
        <w:rFonts w:cs="Times New Roman"/>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281" w15:restartNumberingAfterBreak="0">
    <w:nsid w:val="75E35071"/>
    <w:multiLevelType w:val="hybridMultilevel"/>
    <w:tmpl w:val="4BEE6610"/>
    <w:lvl w:ilvl="0" w:tplc="4D6EFB50">
      <w:start w:val="1"/>
      <w:numFmt w:val="decimal"/>
      <w:lvlText w:val="%1."/>
      <w:lvlJc w:val="left"/>
      <w:pPr>
        <w:ind w:left="720" w:hanging="360"/>
      </w:pPr>
      <w:rPr>
        <w:rFonts w:cs="Times New Roman" w:hint="default"/>
      </w:rPr>
    </w:lvl>
    <w:lvl w:ilvl="1" w:tplc="84CC2C8A">
      <w:start w:val="5"/>
      <w:numFmt w:val="bullet"/>
      <w:lvlText w:val="–"/>
      <w:lvlJc w:val="left"/>
      <w:pPr>
        <w:ind w:left="1440" w:hanging="360"/>
      </w:pPr>
      <w:rPr>
        <w:rFonts w:ascii="Times New Roman" w:eastAsia="Times New Roman" w:hAnsi="Times New Roman" w:hint="default"/>
      </w:rPr>
    </w:lvl>
    <w:lvl w:ilvl="2" w:tplc="84CC2C8A">
      <w:start w:val="5"/>
      <w:numFmt w:val="bullet"/>
      <w:lvlText w:val="–"/>
      <w:lvlJc w:val="left"/>
      <w:pPr>
        <w:ind w:left="2160" w:hanging="180"/>
      </w:pPr>
      <w:rPr>
        <w:rFonts w:ascii="Times New Roman" w:eastAsia="Times New Roman" w:hAnsi="Times New Roman" w:hint="default"/>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82" w15:restartNumberingAfterBreak="0">
    <w:nsid w:val="76376353"/>
    <w:multiLevelType w:val="multilevel"/>
    <w:tmpl w:val="4E86E7BA"/>
    <w:styleLink w:val="SVCIndent"/>
    <w:lvl w:ilvl="0">
      <w:start w:val="1"/>
      <w:numFmt w:val="none"/>
      <w:lvlText w:val="%1"/>
      <w:lvlJc w:val="left"/>
      <w:pPr>
        <w:tabs>
          <w:tab w:val="num" w:pos="-31680"/>
        </w:tabs>
        <w:ind w:left="403"/>
      </w:pPr>
      <w:rPr>
        <w:rFonts w:cs="Times New Roman" w:hint="default"/>
      </w:rPr>
    </w:lvl>
    <w:lvl w:ilvl="1">
      <w:start w:val="1"/>
      <w:numFmt w:val="none"/>
      <w:lvlText w:val=""/>
      <w:lvlJc w:val="left"/>
      <w:pPr>
        <w:tabs>
          <w:tab w:val="num" w:pos="-31680"/>
        </w:tabs>
        <w:ind w:left="792"/>
      </w:pPr>
      <w:rPr>
        <w:rFonts w:cs="Times New Roman" w:hint="default"/>
      </w:rPr>
    </w:lvl>
    <w:lvl w:ilvl="2">
      <w:start w:val="1"/>
      <w:numFmt w:val="none"/>
      <w:lvlText w:val=""/>
      <w:lvlJc w:val="left"/>
      <w:pPr>
        <w:tabs>
          <w:tab w:val="num" w:pos="-31680"/>
        </w:tabs>
        <w:ind w:left="1195"/>
      </w:pPr>
      <w:rPr>
        <w:rFonts w:cs="Times New Roman" w:hint="default"/>
      </w:rPr>
    </w:lvl>
    <w:lvl w:ilvl="3">
      <w:start w:val="1"/>
      <w:numFmt w:val="none"/>
      <w:lvlText w:val=""/>
      <w:lvlJc w:val="left"/>
      <w:pPr>
        <w:tabs>
          <w:tab w:val="num" w:pos="-31680"/>
        </w:tabs>
        <w:ind w:left="1584"/>
      </w:pPr>
      <w:rPr>
        <w:rFonts w:cs="Times New Roman" w:hint="default"/>
      </w:rPr>
    </w:lvl>
    <w:lvl w:ilvl="4">
      <w:start w:val="1"/>
      <w:numFmt w:val="none"/>
      <w:lvlText w:val=""/>
      <w:lvlJc w:val="left"/>
      <w:pPr>
        <w:tabs>
          <w:tab w:val="num" w:pos="1584"/>
        </w:tabs>
        <w:ind w:left="1987"/>
      </w:pPr>
      <w:rPr>
        <w:rFonts w:cs="Times New Roman" w:hint="default"/>
      </w:rPr>
    </w:lvl>
    <w:lvl w:ilvl="5">
      <w:start w:val="1"/>
      <w:numFmt w:val="none"/>
      <w:lvlText w:val=""/>
      <w:lvlJc w:val="left"/>
      <w:pPr>
        <w:tabs>
          <w:tab w:val="num" w:pos="1987"/>
        </w:tabs>
        <w:ind w:left="2376"/>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283" w15:restartNumberingAfterBreak="0">
    <w:nsid w:val="763D585E"/>
    <w:multiLevelType w:val="hybridMultilevel"/>
    <w:tmpl w:val="9830EB78"/>
    <w:lvl w:ilvl="0" w:tplc="735C13E6">
      <w:start w:val="7"/>
      <w:numFmt w:val="bullet"/>
      <w:lvlText w:val="-"/>
      <w:lvlJc w:val="left"/>
      <w:pPr>
        <w:ind w:left="720" w:hanging="360"/>
      </w:pPr>
      <w:rPr>
        <w:rFonts w:ascii="Times New Roman" w:eastAsia="SimSun" w:hAnsi="Times New Roman" w:hint="default"/>
      </w:rPr>
    </w:lvl>
    <w:lvl w:ilvl="1" w:tplc="0409000B">
      <w:start w:val="1"/>
      <w:numFmt w:val="bullet"/>
      <w:lvlText w:val=""/>
      <w:lvlJc w:val="left"/>
      <w:pPr>
        <w:ind w:left="1200" w:hanging="420"/>
      </w:pPr>
      <w:rPr>
        <w:rFonts w:ascii="Wingdings" w:hAnsi="Wingdings" w:hint="default"/>
      </w:rPr>
    </w:lvl>
    <w:lvl w:ilvl="2" w:tplc="0409000D">
      <w:start w:val="1"/>
      <w:numFmt w:val="bullet"/>
      <w:lvlText w:val=""/>
      <w:lvlJc w:val="left"/>
      <w:pPr>
        <w:ind w:left="1620" w:hanging="420"/>
      </w:pPr>
      <w:rPr>
        <w:rFonts w:ascii="Wingdings" w:hAnsi="Wingdings" w:hint="default"/>
      </w:rPr>
    </w:lvl>
    <w:lvl w:ilvl="3" w:tplc="0409000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284" w15:restartNumberingAfterBreak="0">
    <w:nsid w:val="77955275"/>
    <w:multiLevelType w:val="multilevel"/>
    <w:tmpl w:val="134EE926"/>
    <w:lvl w:ilvl="0">
      <w:start w:val="1"/>
      <w:numFmt w:val="decimal"/>
      <w:lvlText w:val="%1."/>
      <w:lvlJc w:val="left"/>
      <w:pPr>
        <w:ind w:left="720" w:hanging="360"/>
      </w:pPr>
      <w:rPr>
        <w:rFonts w:cs="Times New Roman"/>
      </w:rPr>
    </w:lvl>
    <w:lvl w:ilvl="1">
      <w:start w:val="1"/>
      <w:numFmt w:val="lowerLetter"/>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285" w15:restartNumberingAfterBreak="0">
    <w:nsid w:val="795874CC"/>
    <w:multiLevelType w:val="hybridMultilevel"/>
    <w:tmpl w:val="2F8ECB3C"/>
    <w:lvl w:ilvl="0" w:tplc="529C7C2E">
      <w:numFmt w:val="bullet"/>
      <w:lvlText w:val="–"/>
      <w:lvlJc w:val="left"/>
      <w:pPr>
        <w:ind w:left="360" w:hanging="360"/>
      </w:pPr>
      <w:rPr>
        <w:rFonts w:ascii="Cambria" w:eastAsiaTheme="minorEastAsia" w:hAnsi="Cambria" w:hint="default"/>
      </w:rPr>
    </w:lvl>
    <w:lvl w:ilvl="1" w:tplc="529C7C2E">
      <w:numFmt w:val="bullet"/>
      <w:lvlText w:val="–"/>
      <w:lvlJc w:val="left"/>
      <w:pPr>
        <w:ind w:left="1080" w:hanging="360"/>
      </w:pPr>
      <w:rPr>
        <w:rFonts w:ascii="Cambria" w:eastAsiaTheme="minorEastAsia" w:hAnsi="Cambria" w:hint="default"/>
      </w:rPr>
    </w:lvl>
    <w:lvl w:ilvl="2" w:tplc="10090005" w:tentative="1">
      <w:start w:val="1"/>
      <w:numFmt w:val="bullet"/>
      <w:lvlText w:val=""/>
      <w:lvlJc w:val="left"/>
      <w:pPr>
        <w:ind w:left="1800" w:hanging="360"/>
      </w:pPr>
      <w:rPr>
        <w:rFonts w:ascii="Wingdings" w:hAnsi="Wingdings" w:hint="default"/>
      </w:rPr>
    </w:lvl>
    <w:lvl w:ilvl="3" w:tplc="10090001" w:tentative="1">
      <w:start w:val="1"/>
      <w:numFmt w:val="bullet"/>
      <w:lvlText w:val=""/>
      <w:lvlJc w:val="left"/>
      <w:pPr>
        <w:ind w:left="2520" w:hanging="360"/>
      </w:pPr>
      <w:rPr>
        <w:rFonts w:ascii="Symbol" w:hAnsi="Symbol" w:hint="default"/>
      </w:rPr>
    </w:lvl>
    <w:lvl w:ilvl="4" w:tplc="10090003" w:tentative="1">
      <w:start w:val="1"/>
      <w:numFmt w:val="bullet"/>
      <w:lvlText w:val="o"/>
      <w:lvlJc w:val="left"/>
      <w:pPr>
        <w:ind w:left="3240" w:hanging="360"/>
      </w:pPr>
      <w:rPr>
        <w:rFonts w:ascii="Courier New" w:hAnsi="Courier New" w:cs="Courier New" w:hint="default"/>
      </w:rPr>
    </w:lvl>
    <w:lvl w:ilvl="5" w:tplc="10090005" w:tentative="1">
      <w:start w:val="1"/>
      <w:numFmt w:val="bullet"/>
      <w:lvlText w:val=""/>
      <w:lvlJc w:val="left"/>
      <w:pPr>
        <w:ind w:left="3960" w:hanging="360"/>
      </w:pPr>
      <w:rPr>
        <w:rFonts w:ascii="Wingdings" w:hAnsi="Wingdings" w:hint="default"/>
      </w:rPr>
    </w:lvl>
    <w:lvl w:ilvl="6" w:tplc="10090001" w:tentative="1">
      <w:start w:val="1"/>
      <w:numFmt w:val="bullet"/>
      <w:lvlText w:val=""/>
      <w:lvlJc w:val="left"/>
      <w:pPr>
        <w:ind w:left="4680" w:hanging="360"/>
      </w:pPr>
      <w:rPr>
        <w:rFonts w:ascii="Symbol" w:hAnsi="Symbol" w:hint="default"/>
      </w:rPr>
    </w:lvl>
    <w:lvl w:ilvl="7" w:tplc="10090003" w:tentative="1">
      <w:start w:val="1"/>
      <w:numFmt w:val="bullet"/>
      <w:lvlText w:val="o"/>
      <w:lvlJc w:val="left"/>
      <w:pPr>
        <w:ind w:left="5400" w:hanging="360"/>
      </w:pPr>
      <w:rPr>
        <w:rFonts w:ascii="Courier New" w:hAnsi="Courier New" w:cs="Courier New" w:hint="default"/>
      </w:rPr>
    </w:lvl>
    <w:lvl w:ilvl="8" w:tplc="10090005" w:tentative="1">
      <w:start w:val="1"/>
      <w:numFmt w:val="bullet"/>
      <w:lvlText w:val=""/>
      <w:lvlJc w:val="left"/>
      <w:pPr>
        <w:ind w:left="6120" w:hanging="360"/>
      </w:pPr>
      <w:rPr>
        <w:rFonts w:ascii="Wingdings" w:hAnsi="Wingdings" w:hint="default"/>
      </w:rPr>
    </w:lvl>
  </w:abstractNum>
  <w:abstractNum w:abstractNumId="286" w15:restartNumberingAfterBreak="0">
    <w:nsid w:val="7960377E"/>
    <w:multiLevelType w:val="hybridMultilevel"/>
    <w:tmpl w:val="FC7E0A9A"/>
    <w:lvl w:ilvl="0" w:tplc="529C7C2E">
      <w:numFmt w:val="bullet"/>
      <w:lvlText w:val="–"/>
      <w:lvlJc w:val="left"/>
      <w:pPr>
        <w:ind w:left="1440" w:hanging="360"/>
      </w:pPr>
      <w:rPr>
        <w:rFonts w:ascii="Cambria" w:eastAsiaTheme="minorEastAsia" w:hAnsi="Cambria" w:hint="default"/>
      </w:rPr>
    </w:lvl>
    <w:lvl w:ilvl="1" w:tplc="04090003">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87" w15:restartNumberingAfterBreak="0">
    <w:nsid w:val="79AA4AD3"/>
    <w:multiLevelType w:val="hybridMultilevel"/>
    <w:tmpl w:val="A184E554"/>
    <w:lvl w:ilvl="0" w:tplc="FFFFFFFF">
      <w:start w:val="1"/>
      <w:numFmt w:val="decimal"/>
      <w:lvlText w:val="%1."/>
      <w:lvlJc w:val="left"/>
      <w:pPr>
        <w:tabs>
          <w:tab w:val="num" w:pos="720"/>
        </w:tabs>
        <w:ind w:left="720" w:hanging="360"/>
      </w:pPr>
      <w:rPr>
        <w:rFonts w:cs="Times New Roman"/>
      </w:rPr>
    </w:lvl>
    <w:lvl w:ilvl="1" w:tplc="04070019">
      <w:start w:val="1"/>
      <w:numFmt w:val="lowerLetter"/>
      <w:lvlText w:val="%2."/>
      <w:lvlJc w:val="left"/>
      <w:pPr>
        <w:tabs>
          <w:tab w:val="num" w:pos="1400"/>
        </w:tabs>
        <w:ind w:left="1400" w:hanging="360"/>
      </w:pPr>
      <w:rPr>
        <w:rFonts w:cs="Times New Roman"/>
      </w:rPr>
    </w:lvl>
    <w:lvl w:ilvl="2" w:tplc="0407001B">
      <w:start w:val="1"/>
      <w:numFmt w:val="lowerRoman"/>
      <w:lvlText w:val="%3."/>
      <w:lvlJc w:val="right"/>
      <w:pPr>
        <w:tabs>
          <w:tab w:val="num" w:pos="2120"/>
        </w:tabs>
        <w:ind w:left="2120" w:hanging="180"/>
      </w:pPr>
      <w:rPr>
        <w:rFonts w:cs="Times New Roman"/>
      </w:rPr>
    </w:lvl>
    <w:lvl w:ilvl="3" w:tplc="0407000F">
      <w:start w:val="1"/>
      <w:numFmt w:val="decimal"/>
      <w:lvlText w:val="%4."/>
      <w:lvlJc w:val="left"/>
      <w:pPr>
        <w:tabs>
          <w:tab w:val="num" w:pos="2840"/>
        </w:tabs>
        <w:ind w:left="2840" w:hanging="360"/>
      </w:pPr>
      <w:rPr>
        <w:rFonts w:cs="Times New Roman"/>
      </w:rPr>
    </w:lvl>
    <w:lvl w:ilvl="4" w:tplc="04070019">
      <w:start w:val="1"/>
      <w:numFmt w:val="lowerLetter"/>
      <w:lvlText w:val="%5."/>
      <w:lvlJc w:val="left"/>
      <w:pPr>
        <w:tabs>
          <w:tab w:val="num" w:pos="3560"/>
        </w:tabs>
        <w:ind w:left="3560" w:hanging="360"/>
      </w:pPr>
      <w:rPr>
        <w:rFonts w:cs="Times New Roman"/>
      </w:rPr>
    </w:lvl>
    <w:lvl w:ilvl="5" w:tplc="0407001B">
      <w:start w:val="1"/>
      <w:numFmt w:val="lowerRoman"/>
      <w:lvlText w:val="%6."/>
      <w:lvlJc w:val="right"/>
      <w:pPr>
        <w:tabs>
          <w:tab w:val="num" w:pos="4280"/>
        </w:tabs>
        <w:ind w:left="4280" w:hanging="180"/>
      </w:pPr>
      <w:rPr>
        <w:rFonts w:cs="Times New Roman"/>
      </w:rPr>
    </w:lvl>
    <w:lvl w:ilvl="6" w:tplc="0407000F">
      <w:start w:val="1"/>
      <w:numFmt w:val="decimal"/>
      <w:lvlText w:val="%7."/>
      <w:lvlJc w:val="left"/>
      <w:pPr>
        <w:tabs>
          <w:tab w:val="num" w:pos="5000"/>
        </w:tabs>
        <w:ind w:left="5000" w:hanging="360"/>
      </w:pPr>
      <w:rPr>
        <w:rFonts w:cs="Times New Roman"/>
      </w:rPr>
    </w:lvl>
    <w:lvl w:ilvl="7" w:tplc="04070019">
      <w:start w:val="1"/>
      <w:numFmt w:val="lowerLetter"/>
      <w:lvlText w:val="%8."/>
      <w:lvlJc w:val="left"/>
      <w:pPr>
        <w:tabs>
          <w:tab w:val="num" w:pos="5720"/>
        </w:tabs>
        <w:ind w:left="5720" w:hanging="360"/>
      </w:pPr>
      <w:rPr>
        <w:rFonts w:cs="Times New Roman"/>
      </w:rPr>
    </w:lvl>
    <w:lvl w:ilvl="8" w:tplc="0407001B">
      <w:start w:val="1"/>
      <w:numFmt w:val="lowerRoman"/>
      <w:lvlText w:val="%9."/>
      <w:lvlJc w:val="right"/>
      <w:pPr>
        <w:tabs>
          <w:tab w:val="num" w:pos="6440"/>
        </w:tabs>
        <w:ind w:left="6440" w:hanging="180"/>
      </w:pPr>
      <w:rPr>
        <w:rFonts w:cs="Times New Roman"/>
      </w:rPr>
    </w:lvl>
  </w:abstractNum>
  <w:abstractNum w:abstractNumId="288" w15:restartNumberingAfterBreak="0">
    <w:nsid w:val="7A637279"/>
    <w:multiLevelType w:val="hybridMultilevel"/>
    <w:tmpl w:val="AF5CE38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9" w15:restartNumberingAfterBreak="0">
    <w:nsid w:val="7A735420"/>
    <w:multiLevelType w:val="hybridMultilevel"/>
    <w:tmpl w:val="2AF0ADA0"/>
    <w:lvl w:ilvl="0" w:tplc="84CC2C8A">
      <w:start w:val="5"/>
      <w:numFmt w:val="bullet"/>
      <w:lvlText w:val="–"/>
      <w:lvlJc w:val="left"/>
      <w:pPr>
        <w:ind w:left="290" w:hanging="360"/>
      </w:pPr>
      <w:rPr>
        <w:rFonts w:ascii="Times New Roman" w:eastAsia="Times New Roman" w:hAnsi="Times New Roman" w:hint="default"/>
      </w:rPr>
    </w:lvl>
    <w:lvl w:ilvl="1" w:tplc="84CC2C8A">
      <w:start w:val="5"/>
      <w:numFmt w:val="bullet"/>
      <w:lvlText w:val="–"/>
      <w:lvlJc w:val="left"/>
      <w:pPr>
        <w:ind w:left="1010" w:hanging="360"/>
      </w:pPr>
      <w:rPr>
        <w:rFonts w:ascii="Times New Roman" w:eastAsia="Times New Roman" w:hAnsi="Times New Roman" w:hint="default"/>
      </w:rPr>
    </w:lvl>
    <w:lvl w:ilvl="2" w:tplc="84CC2C8A">
      <w:start w:val="5"/>
      <w:numFmt w:val="bullet"/>
      <w:lvlText w:val="–"/>
      <w:lvlJc w:val="left"/>
      <w:pPr>
        <w:ind w:left="1730" w:hanging="180"/>
      </w:pPr>
      <w:rPr>
        <w:rFonts w:ascii="Times New Roman" w:eastAsia="Times New Roman" w:hAnsi="Times New Roman" w:hint="default"/>
      </w:rPr>
    </w:lvl>
    <w:lvl w:ilvl="3" w:tplc="0409000F" w:tentative="1">
      <w:start w:val="1"/>
      <w:numFmt w:val="decimal"/>
      <w:lvlText w:val="%4."/>
      <w:lvlJc w:val="left"/>
      <w:pPr>
        <w:ind w:left="2450" w:hanging="360"/>
      </w:pPr>
      <w:rPr>
        <w:rFonts w:cs="Times New Roman"/>
      </w:rPr>
    </w:lvl>
    <w:lvl w:ilvl="4" w:tplc="04090019" w:tentative="1">
      <w:start w:val="1"/>
      <w:numFmt w:val="lowerLetter"/>
      <w:lvlText w:val="%5."/>
      <w:lvlJc w:val="left"/>
      <w:pPr>
        <w:ind w:left="3170" w:hanging="360"/>
      </w:pPr>
      <w:rPr>
        <w:rFonts w:cs="Times New Roman"/>
      </w:rPr>
    </w:lvl>
    <w:lvl w:ilvl="5" w:tplc="0409001B" w:tentative="1">
      <w:start w:val="1"/>
      <w:numFmt w:val="lowerRoman"/>
      <w:lvlText w:val="%6."/>
      <w:lvlJc w:val="right"/>
      <w:pPr>
        <w:ind w:left="3890" w:hanging="180"/>
      </w:pPr>
      <w:rPr>
        <w:rFonts w:cs="Times New Roman"/>
      </w:rPr>
    </w:lvl>
    <w:lvl w:ilvl="6" w:tplc="0409000F" w:tentative="1">
      <w:start w:val="1"/>
      <w:numFmt w:val="decimal"/>
      <w:lvlText w:val="%7."/>
      <w:lvlJc w:val="left"/>
      <w:pPr>
        <w:ind w:left="4610" w:hanging="360"/>
      </w:pPr>
      <w:rPr>
        <w:rFonts w:cs="Times New Roman"/>
      </w:rPr>
    </w:lvl>
    <w:lvl w:ilvl="7" w:tplc="04090019" w:tentative="1">
      <w:start w:val="1"/>
      <w:numFmt w:val="lowerLetter"/>
      <w:lvlText w:val="%8."/>
      <w:lvlJc w:val="left"/>
      <w:pPr>
        <w:ind w:left="5330" w:hanging="360"/>
      </w:pPr>
      <w:rPr>
        <w:rFonts w:cs="Times New Roman"/>
      </w:rPr>
    </w:lvl>
    <w:lvl w:ilvl="8" w:tplc="0409001B" w:tentative="1">
      <w:start w:val="1"/>
      <w:numFmt w:val="lowerRoman"/>
      <w:lvlText w:val="%9."/>
      <w:lvlJc w:val="right"/>
      <w:pPr>
        <w:ind w:left="6050" w:hanging="180"/>
      </w:pPr>
      <w:rPr>
        <w:rFonts w:cs="Times New Roman"/>
      </w:rPr>
    </w:lvl>
  </w:abstractNum>
  <w:abstractNum w:abstractNumId="290" w15:restartNumberingAfterBreak="0">
    <w:nsid w:val="7AAC7B61"/>
    <w:multiLevelType w:val="multilevel"/>
    <w:tmpl w:val="8D30CB16"/>
    <w:styleLink w:val="1"/>
    <w:lvl w:ilvl="0">
      <w:start w:val="1"/>
      <w:numFmt w:val="decimal"/>
      <w:lvlText w:val="%1"/>
      <w:lvlJc w:val="left"/>
      <w:pPr>
        <w:ind w:left="425" w:hanging="425"/>
      </w:pPr>
      <w:rPr>
        <w:rFonts w:asciiTheme="majorHAnsi" w:eastAsiaTheme="majorEastAsia" w:hAnsiTheme="majorHAnsi" w:cs="Times New Roman" w:hint="default"/>
      </w:rPr>
    </w:lvl>
    <w:lvl w:ilvl="1">
      <w:start w:val="1"/>
      <w:numFmt w:val="decimal"/>
      <w:lvlText w:val="%1.%2"/>
      <w:lvlJc w:val="left"/>
      <w:pPr>
        <w:ind w:left="850" w:hanging="425"/>
      </w:pPr>
      <w:rPr>
        <w:rFonts w:asciiTheme="majorHAnsi" w:eastAsiaTheme="majorEastAsia" w:hAnsiTheme="majorHAnsi" w:cs="Times New Roman" w:hint="default"/>
      </w:rPr>
    </w:lvl>
    <w:lvl w:ilvl="2">
      <w:start w:val="1"/>
      <w:numFmt w:val="decimal"/>
      <w:lvlText w:val="%1.%2.%3"/>
      <w:lvlJc w:val="left"/>
      <w:pPr>
        <w:ind w:left="1275" w:hanging="425"/>
      </w:pPr>
      <w:rPr>
        <w:rFonts w:asciiTheme="majorHAnsi" w:eastAsiaTheme="majorEastAsia" w:hAnsiTheme="majorHAnsi" w:cs="Times New Roman" w:hint="default"/>
      </w:rPr>
    </w:lvl>
    <w:lvl w:ilvl="3">
      <w:start w:val="1"/>
      <w:numFmt w:val="decimal"/>
      <w:lvlText w:val="%1.%2.%3.%4"/>
      <w:lvlJc w:val="left"/>
      <w:pPr>
        <w:ind w:left="1700" w:hanging="425"/>
      </w:pPr>
      <w:rPr>
        <w:rFonts w:asciiTheme="majorHAnsi" w:eastAsiaTheme="majorEastAsia" w:hAnsiTheme="majorHAnsi" w:cs="Times New Roman" w:hint="default"/>
      </w:rPr>
    </w:lvl>
    <w:lvl w:ilvl="4">
      <w:start w:val="1"/>
      <w:numFmt w:val="decimal"/>
      <w:lvlText w:val="%1.%2.%3.%4.%5"/>
      <w:lvlJc w:val="left"/>
      <w:pPr>
        <w:ind w:left="2125" w:hanging="425"/>
      </w:pPr>
      <w:rPr>
        <w:rFonts w:asciiTheme="majorHAnsi" w:eastAsiaTheme="majorEastAsia" w:hAnsiTheme="majorHAnsi" w:cs="Times New Roman" w:hint="default"/>
      </w:rPr>
    </w:lvl>
    <w:lvl w:ilvl="5">
      <w:start w:val="1"/>
      <w:numFmt w:val="decimal"/>
      <w:lvlText w:val="%1.%2.%3.%4.%5.%6"/>
      <w:lvlJc w:val="left"/>
      <w:pPr>
        <w:ind w:left="2550" w:hanging="425"/>
      </w:pPr>
      <w:rPr>
        <w:rFonts w:cs="Times New Roman" w:hint="eastAsia"/>
      </w:rPr>
    </w:lvl>
    <w:lvl w:ilvl="6">
      <w:start w:val="1"/>
      <w:numFmt w:val="decimal"/>
      <w:lvlText w:val="%1.%2.%3.%4.%5.%6.%7"/>
      <w:lvlJc w:val="left"/>
      <w:pPr>
        <w:ind w:left="2975" w:hanging="425"/>
      </w:pPr>
      <w:rPr>
        <w:rFonts w:cs="Times New Roman" w:hint="eastAsia"/>
      </w:rPr>
    </w:lvl>
    <w:lvl w:ilvl="7">
      <w:start w:val="1"/>
      <w:numFmt w:val="decimal"/>
      <w:lvlText w:val="%1.%2.%3.%4.%5.%6.%7.%8"/>
      <w:lvlJc w:val="left"/>
      <w:pPr>
        <w:ind w:left="3400" w:hanging="425"/>
      </w:pPr>
      <w:rPr>
        <w:rFonts w:cs="Times New Roman" w:hint="eastAsia"/>
      </w:rPr>
    </w:lvl>
    <w:lvl w:ilvl="8">
      <w:start w:val="1"/>
      <w:numFmt w:val="decimal"/>
      <w:lvlText w:val="%1.%2.%3.%4.%5.%6.%7.%8.%9"/>
      <w:lvlJc w:val="left"/>
      <w:pPr>
        <w:ind w:left="3825" w:hanging="425"/>
      </w:pPr>
      <w:rPr>
        <w:rFonts w:cs="Times New Roman" w:hint="eastAsia"/>
      </w:rPr>
    </w:lvl>
  </w:abstractNum>
  <w:abstractNum w:abstractNumId="291" w15:restartNumberingAfterBreak="0">
    <w:nsid w:val="7B886661"/>
    <w:multiLevelType w:val="hybridMultilevel"/>
    <w:tmpl w:val="EF2E4610"/>
    <w:lvl w:ilvl="0" w:tplc="529C7C2E">
      <w:numFmt w:val="bullet"/>
      <w:lvlText w:val="–"/>
      <w:lvlJc w:val="left"/>
      <w:pPr>
        <w:ind w:left="1080" w:hanging="360"/>
      </w:pPr>
      <w:rPr>
        <w:rFonts w:ascii="Cambria" w:eastAsiaTheme="minorEastAsia" w:hAnsi="Cambria" w:hint="default"/>
      </w:rPr>
    </w:lvl>
    <w:lvl w:ilvl="1" w:tplc="529C7C2E">
      <w:numFmt w:val="bullet"/>
      <w:lvlText w:val="–"/>
      <w:lvlJc w:val="left"/>
      <w:pPr>
        <w:ind w:left="1800" w:hanging="360"/>
      </w:pPr>
      <w:rPr>
        <w:rFonts w:ascii="Cambria" w:eastAsiaTheme="minorEastAsia" w:hAnsi="Cambria"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292" w15:restartNumberingAfterBreak="0">
    <w:nsid w:val="7BA07F7F"/>
    <w:multiLevelType w:val="hybridMultilevel"/>
    <w:tmpl w:val="01CC2F58"/>
    <w:lvl w:ilvl="0" w:tplc="FFFFFFFF">
      <w:start w:val="5"/>
      <w:numFmt w:val="bullet"/>
      <w:lvlText w:val="–"/>
      <w:lvlJc w:val="left"/>
      <w:pPr>
        <w:ind w:left="720" w:hanging="360"/>
      </w:pPr>
      <w:rPr>
        <w:rFonts w:ascii="Times New Roman" w:eastAsia="Times New Roman" w:hAnsi="Times New Roman"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3" w15:restartNumberingAfterBreak="0">
    <w:nsid w:val="7BC330F5"/>
    <w:multiLevelType w:val="hybridMultilevel"/>
    <w:tmpl w:val="C2769C2A"/>
    <w:lvl w:ilvl="0" w:tplc="0407000F">
      <w:start w:val="1"/>
      <w:numFmt w:val="bullet"/>
      <w:pStyle w:val="CharCharZchnZchnCharCharCarCar"/>
      <w:lvlText w:val=""/>
      <w:lvlJc w:val="left"/>
      <w:pPr>
        <w:tabs>
          <w:tab w:val="num" w:pos="851"/>
        </w:tabs>
        <w:ind w:left="851" w:hanging="851"/>
      </w:pPr>
      <w:rPr>
        <w:rFonts w:ascii="ZapfDingbats" w:hAnsi="ZapfDingbats" w:hint="default"/>
        <w:b/>
        <w:i w:val="0"/>
        <w:color w:val="70CEF5"/>
        <w:sz w:val="20"/>
      </w:rPr>
    </w:lvl>
    <w:lvl w:ilvl="1" w:tplc="04070019">
      <w:start w:val="1"/>
      <w:numFmt w:val="bullet"/>
      <w:lvlText w:val="o"/>
      <w:lvlJc w:val="left"/>
      <w:pPr>
        <w:tabs>
          <w:tab w:val="num" w:pos="1440"/>
        </w:tabs>
        <w:ind w:left="1440" w:hanging="360"/>
      </w:pPr>
      <w:rPr>
        <w:rFonts w:ascii="Courier New" w:hAnsi="Courier New" w:hint="default"/>
      </w:rPr>
    </w:lvl>
    <w:lvl w:ilvl="2" w:tplc="0407001B">
      <w:start w:val="1"/>
      <w:numFmt w:val="bullet"/>
      <w:lvlText w:val=""/>
      <w:lvlJc w:val="left"/>
      <w:pPr>
        <w:tabs>
          <w:tab w:val="num" w:pos="2160"/>
        </w:tabs>
        <w:ind w:left="2160" w:hanging="360"/>
      </w:pPr>
      <w:rPr>
        <w:rFonts w:ascii="Wingdings" w:hAnsi="Wingdings" w:hint="default"/>
      </w:rPr>
    </w:lvl>
    <w:lvl w:ilvl="3" w:tplc="0407000F">
      <w:start w:val="1"/>
      <w:numFmt w:val="bullet"/>
      <w:lvlText w:val=""/>
      <w:lvlJc w:val="left"/>
      <w:pPr>
        <w:tabs>
          <w:tab w:val="num" w:pos="2880"/>
        </w:tabs>
        <w:ind w:left="2880" w:hanging="360"/>
      </w:pPr>
      <w:rPr>
        <w:rFonts w:ascii="Symbol" w:hAnsi="Symbol" w:hint="default"/>
      </w:rPr>
    </w:lvl>
    <w:lvl w:ilvl="4" w:tplc="04070019">
      <w:start w:val="1"/>
      <w:numFmt w:val="bullet"/>
      <w:lvlText w:val="o"/>
      <w:lvlJc w:val="left"/>
      <w:pPr>
        <w:tabs>
          <w:tab w:val="num" w:pos="3600"/>
        </w:tabs>
        <w:ind w:left="3600" w:hanging="360"/>
      </w:pPr>
      <w:rPr>
        <w:rFonts w:ascii="Courier New" w:hAnsi="Courier New" w:hint="default"/>
      </w:rPr>
    </w:lvl>
    <w:lvl w:ilvl="5" w:tplc="0407001B">
      <w:start w:val="1"/>
      <w:numFmt w:val="bullet"/>
      <w:lvlText w:val=""/>
      <w:lvlJc w:val="left"/>
      <w:pPr>
        <w:tabs>
          <w:tab w:val="num" w:pos="4320"/>
        </w:tabs>
        <w:ind w:left="4320" w:hanging="360"/>
      </w:pPr>
      <w:rPr>
        <w:rFonts w:ascii="Wingdings" w:hAnsi="Wingdings" w:hint="default"/>
      </w:rPr>
    </w:lvl>
    <w:lvl w:ilvl="6" w:tplc="0407000F">
      <w:start w:val="1"/>
      <w:numFmt w:val="bullet"/>
      <w:lvlText w:val=""/>
      <w:lvlJc w:val="left"/>
      <w:pPr>
        <w:tabs>
          <w:tab w:val="num" w:pos="5040"/>
        </w:tabs>
        <w:ind w:left="5040" w:hanging="360"/>
      </w:pPr>
      <w:rPr>
        <w:rFonts w:ascii="Symbol" w:hAnsi="Symbol" w:hint="default"/>
      </w:rPr>
    </w:lvl>
    <w:lvl w:ilvl="7" w:tplc="04070019">
      <w:start w:val="1"/>
      <w:numFmt w:val="bullet"/>
      <w:lvlText w:val="o"/>
      <w:lvlJc w:val="left"/>
      <w:pPr>
        <w:tabs>
          <w:tab w:val="num" w:pos="5760"/>
        </w:tabs>
        <w:ind w:left="5760" w:hanging="360"/>
      </w:pPr>
      <w:rPr>
        <w:rFonts w:ascii="Courier New" w:hAnsi="Courier New" w:hint="default"/>
      </w:rPr>
    </w:lvl>
    <w:lvl w:ilvl="8" w:tplc="0407001B">
      <w:start w:val="1"/>
      <w:numFmt w:val="bullet"/>
      <w:lvlText w:val=""/>
      <w:lvlJc w:val="left"/>
      <w:pPr>
        <w:tabs>
          <w:tab w:val="num" w:pos="6480"/>
        </w:tabs>
        <w:ind w:left="6480" w:hanging="360"/>
      </w:pPr>
      <w:rPr>
        <w:rFonts w:ascii="Wingdings" w:hAnsi="Wingdings" w:hint="default"/>
      </w:rPr>
    </w:lvl>
  </w:abstractNum>
  <w:abstractNum w:abstractNumId="294" w15:restartNumberingAfterBreak="0">
    <w:nsid w:val="7C3C6A10"/>
    <w:multiLevelType w:val="multilevel"/>
    <w:tmpl w:val="FB349BBC"/>
    <w:lvl w:ilvl="0">
      <w:start w:val="1"/>
      <w:numFmt w:val="decimal"/>
      <w:lvlText w:val="%1"/>
      <w:lvlJc w:val="left"/>
      <w:pPr>
        <w:tabs>
          <w:tab w:val="num" w:pos="432"/>
        </w:tabs>
        <w:ind w:left="432" w:hanging="432"/>
      </w:pPr>
      <w:rPr>
        <w:rFonts w:cs="Times New Roman" w:hint="default"/>
        <w:b/>
        <w:i w:val="0"/>
      </w:rPr>
    </w:lvl>
    <w:lvl w:ilvl="1">
      <w:start w:val="1"/>
      <w:numFmt w:val="decimal"/>
      <w:lvlText w:val="%1.%2"/>
      <w:lvlJc w:val="left"/>
      <w:rPr>
        <w:rFonts w:cs="Times New Roman" w:hint="default"/>
        <w:b/>
        <w:i w:val="0"/>
      </w:rPr>
    </w:lvl>
    <w:lvl w:ilvl="2">
      <w:start w:val="1"/>
      <w:numFmt w:val="decimal"/>
      <w:lvlText w:val="%1.%2.%3"/>
      <w:lvlJc w:val="left"/>
      <w:rPr>
        <w:rFonts w:cs="Times New Roman" w:hint="default"/>
        <w:b/>
        <w:bCs w:val="0"/>
        <w:i w:val="0"/>
        <w:iCs w:val="0"/>
        <w:caps w:val="0"/>
        <w:smallCaps w:val="0"/>
        <w:strike w:val="0"/>
        <w:dstrike w:val="0"/>
        <w:vanish w:val="0"/>
        <w:color w:val="000000"/>
        <w:spacing w:val="0"/>
        <w:kern w:val="0"/>
        <w:position w:val="0"/>
        <w:u w:val="none"/>
        <w:effect w:val="none"/>
        <w:vertAlign w:val="baseline"/>
      </w:rPr>
    </w:lvl>
    <w:lvl w:ilvl="3">
      <w:start w:val="1"/>
      <w:numFmt w:val="decimal"/>
      <w:lvlText w:val="%1.%2.%3.%4"/>
      <w:lvlJc w:val="left"/>
      <w:pPr>
        <w:tabs>
          <w:tab w:val="num" w:pos="1080"/>
        </w:tabs>
      </w:pPr>
      <w:rPr>
        <w:rFonts w:cs="Times New Roman" w:hint="default"/>
        <w:b/>
        <w:i w:val="0"/>
      </w:rPr>
    </w:lvl>
    <w:lvl w:ilvl="4">
      <w:start w:val="1"/>
      <w:numFmt w:val="decimal"/>
      <w:lvlText w:val="%1.%2.%3.%4.%5"/>
      <w:lvlJc w:val="left"/>
      <w:pPr>
        <w:tabs>
          <w:tab w:val="num" w:pos="1080"/>
        </w:tabs>
      </w:pPr>
      <w:rPr>
        <w:rFonts w:cs="Times New Roman" w:hint="default"/>
        <w:b/>
        <w:i w:val="0"/>
      </w:rPr>
    </w:lvl>
    <w:lvl w:ilvl="5">
      <w:start w:val="1"/>
      <w:numFmt w:val="decimal"/>
      <w:lvlText w:val="%1.%2.%3.%4.%5.%6"/>
      <w:lvlJc w:val="left"/>
      <w:pPr>
        <w:tabs>
          <w:tab w:val="num" w:pos="1440"/>
        </w:tabs>
      </w:pPr>
      <w:rPr>
        <w:rFonts w:cs="Times New Roman" w:hint="default"/>
        <w:b/>
        <w:i w:val="0"/>
      </w:rPr>
    </w:lvl>
    <w:lvl w:ilvl="6">
      <w:start w:val="1"/>
      <w:numFmt w:val="decimal"/>
      <w:lvlText w:val="%1.%2.%3.%4.%5.%6.%7"/>
      <w:lvlJc w:val="left"/>
      <w:pPr>
        <w:tabs>
          <w:tab w:val="num" w:pos="1440"/>
        </w:tabs>
      </w:pPr>
      <w:rPr>
        <w:rFonts w:cs="Times New Roman" w:hint="default"/>
      </w:rPr>
    </w:lvl>
    <w:lvl w:ilvl="7">
      <w:start w:val="1"/>
      <w:numFmt w:val="decimal"/>
      <w:lvlText w:val="%1.%2.%3.%4.%5.%6.%7.%8"/>
      <w:lvlJc w:val="left"/>
      <w:pPr>
        <w:tabs>
          <w:tab w:val="num" w:pos="1800"/>
        </w:tabs>
      </w:pPr>
      <w:rPr>
        <w:rFonts w:cs="Times New Roman" w:hint="default"/>
      </w:rPr>
    </w:lvl>
    <w:lvl w:ilvl="8">
      <w:start w:val="1"/>
      <w:numFmt w:val="decimal"/>
      <w:lvlText w:val="%1.%2.%3.%4.%5.%6.%7.%8.%9"/>
      <w:lvlJc w:val="left"/>
      <w:pPr>
        <w:tabs>
          <w:tab w:val="num" w:pos="1800"/>
        </w:tabs>
      </w:pPr>
      <w:rPr>
        <w:rFonts w:cs="Times New Roman" w:hint="default"/>
      </w:rPr>
    </w:lvl>
  </w:abstractNum>
  <w:abstractNum w:abstractNumId="295" w15:restartNumberingAfterBreak="0">
    <w:nsid w:val="7CBC19B3"/>
    <w:multiLevelType w:val="hybridMultilevel"/>
    <w:tmpl w:val="D17E6DFA"/>
    <w:lvl w:ilvl="0" w:tplc="FFFFFFFF">
      <w:start w:val="5"/>
      <w:numFmt w:val="bullet"/>
      <w:lvlText w:val="–"/>
      <w:lvlJc w:val="left"/>
      <w:pPr>
        <w:ind w:left="720" w:hanging="360"/>
      </w:pPr>
      <w:rPr>
        <w:rFonts w:ascii="Times New Roman" w:eastAsia="Times New Roman" w:hAnsi="Times New Roman" w:hint="default"/>
      </w:rPr>
    </w:lvl>
    <w:lvl w:ilvl="1" w:tplc="FFFFFFFF">
      <w:start w:val="5"/>
      <w:numFmt w:val="bullet"/>
      <w:lvlText w:val="–"/>
      <w:lvlJc w:val="left"/>
      <w:pPr>
        <w:ind w:left="1440" w:hanging="360"/>
      </w:pPr>
      <w:rPr>
        <w:rFonts w:ascii="Times New Roman" w:eastAsia="Times New Roman" w:hAnsi="Times New Roman" w:hint="default"/>
      </w:rPr>
    </w:lvl>
    <w:lvl w:ilvl="2" w:tplc="84CC2C8A">
      <w:start w:val="5"/>
      <w:numFmt w:val="bullet"/>
      <w:lvlText w:val="–"/>
      <w:lvlJc w:val="left"/>
      <w:pPr>
        <w:ind w:left="2160" w:hanging="360"/>
      </w:pPr>
      <w:rPr>
        <w:rFonts w:ascii="Times New Roman" w:eastAsia="Times New Roman" w:hAnsi="Times New Roman" w:hint="default"/>
      </w:rPr>
    </w:lvl>
    <w:lvl w:ilvl="3" w:tplc="FFFFFFFF">
      <w:start w:val="5"/>
      <w:numFmt w:val="bullet"/>
      <w:lvlText w:val="–"/>
      <w:lvlJc w:val="left"/>
      <w:pPr>
        <w:ind w:left="2880" w:hanging="360"/>
      </w:pPr>
      <w:rPr>
        <w:rFonts w:ascii="Times New Roman" w:eastAsia="Times New Roman" w:hAnsi="Times New Roman" w:hint="default"/>
      </w:rPr>
    </w:lvl>
    <w:lvl w:ilvl="4" w:tplc="FFFFFFFF">
      <w:start w:val="5"/>
      <w:numFmt w:val="bullet"/>
      <w:lvlText w:val="–"/>
      <w:lvlJc w:val="left"/>
      <w:pPr>
        <w:ind w:left="3600" w:hanging="360"/>
      </w:pPr>
      <w:rPr>
        <w:rFonts w:ascii="Times New Roman" w:eastAsia="Times New Roman" w:hAnsi="Times New Roman" w:hint="default"/>
      </w:rPr>
    </w:lvl>
    <w:lvl w:ilvl="5" w:tplc="35A0C008">
      <w:start w:val="1"/>
      <w:numFmt w:val="bullet"/>
      <w:lvlText w:val="-"/>
      <w:lvlJc w:val="left"/>
      <w:pPr>
        <w:ind w:left="4320" w:hanging="360"/>
      </w:pPr>
      <w:rPr>
        <w:rFonts w:ascii="Cambria" w:eastAsia="Times New Roman" w:hAnsi="Cambria"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6" w15:restartNumberingAfterBreak="0">
    <w:nsid w:val="7D3E0E1B"/>
    <w:multiLevelType w:val="hybridMultilevel"/>
    <w:tmpl w:val="C04E0B18"/>
    <w:lvl w:ilvl="0" w:tplc="FFFFFFFF">
      <w:start w:val="5"/>
      <w:numFmt w:val="bullet"/>
      <w:lvlText w:val="–"/>
      <w:lvlJc w:val="left"/>
      <w:pPr>
        <w:ind w:left="720" w:hanging="360"/>
      </w:pPr>
      <w:rPr>
        <w:rFonts w:ascii="Times New Roman" w:eastAsia="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7" w15:restartNumberingAfterBreak="0">
    <w:nsid w:val="7DA7483E"/>
    <w:multiLevelType w:val="hybridMultilevel"/>
    <w:tmpl w:val="64847B34"/>
    <w:lvl w:ilvl="0" w:tplc="C6123BC8">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num w:numId="1">
    <w:abstractNumId w:val="6"/>
  </w:num>
  <w:num w:numId="2">
    <w:abstractNumId w:val="5"/>
  </w:num>
  <w:num w:numId="3">
    <w:abstractNumId w:val="4"/>
  </w:num>
  <w:num w:numId="4">
    <w:abstractNumId w:val="3"/>
  </w:num>
  <w:num w:numId="5">
    <w:abstractNumId w:val="2"/>
  </w:num>
  <w:num w:numId="6">
    <w:abstractNumId w:val="1"/>
  </w:num>
  <w:num w:numId="7">
    <w:abstractNumId w:val="0"/>
  </w:num>
  <w:num w:numId="8">
    <w:abstractNumId w:val="110"/>
  </w:num>
  <w:num w:numId="9">
    <w:abstractNumId w:val="110"/>
  </w:num>
  <w:num w:numId="10">
    <w:abstractNumId w:val="110"/>
  </w:num>
  <w:num w:numId="11">
    <w:abstractNumId w:val="110"/>
  </w:num>
  <w:num w:numId="12">
    <w:abstractNumId w:val="110"/>
  </w:num>
  <w:num w:numId="13">
    <w:abstractNumId w:val="110"/>
  </w:num>
  <w:num w:numId="14">
    <w:abstractNumId w:val="23"/>
  </w:num>
  <w:num w:numId="15">
    <w:abstractNumId w:val="23"/>
  </w:num>
  <w:num w:numId="16">
    <w:abstractNumId w:val="23"/>
  </w:num>
  <w:num w:numId="17">
    <w:abstractNumId w:val="23"/>
  </w:num>
  <w:num w:numId="18">
    <w:abstractNumId w:val="23"/>
  </w:num>
  <w:num w:numId="19">
    <w:abstractNumId w:val="23"/>
  </w:num>
  <w:num w:numId="20">
    <w:abstractNumId w:val="273"/>
  </w:num>
  <w:num w:numId="21">
    <w:abstractNumId w:val="261"/>
  </w:num>
  <w:num w:numId="22">
    <w:abstractNumId w:val="290"/>
  </w:num>
  <w:num w:numId="23">
    <w:abstractNumId w:val="151"/>
  </w:num>
  <w:num w:numId="24">
    <w:abstractNumId w:val="48"/>
  </w:num>
  <w:num w:numId="25">
    <w:abstractNumId w:val="58"/>
  </w:num>
  <w:num w:numId="26">
    <w:abstractNumId w:val="83"/>
  </w:num>
  <w:num w:numId="27">
    <w:abstractNumId w:val="10"/>
  </w:num>
  <w:num w:numId="28">
    <w:abstractNumId w:val="172"/>
  </w:num>
  <w:num w:numId="29">
    <w:abstractNumId w:val="118"/>
  </w:num>
  <w:num w:numId="30">
    <w:abstractNumId w:val="130"/>
  </w:num>
  <w:num w:numId="31">
    <w:abstractNumId w:val="1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1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78"/>
  </w:num>
  <w:num w:numId="34">
    <w:abstractNumId w:val="245"/>
  </w:num>
  <w:num w:numId="35">
    <w:abstractNumId w:val="283"/>
  </w:num>
  <w:num w:numId="36">
    <w:abstractNumId w:val="242"/>
  </w:num>
  <w:num w:numId="37">
    <w:abstractNumId w:val="282"/>
  </w:num>
  <w:num w:numId="38">
    <w:abstractNumId w:val="1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1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236"/>
  </w:num>
  <w:num w:numId="41">
    <w:abstractNumId w:val="193"/>
  </w:num>
  <w:num w:numId="42">
    <w:abstractNumId w:val="110"/>
  </w:num>
  <w:num w:numId="43">
    <w:abstractNumId w:val="110"/>
  </w:num>
  <w:num w:numId="44">
    <w:abstractNumId w:val="110"/>
  </w:num>
  <w:num w:numId="45">
    <w:abstractNumId w:val="270"/>
  </w:num>
  <w:num w:numId="46">
    <w:abstractNumId w:val="155"/>
  </w:num>
  <w:num w:numId="47">
    <w:abstractNumId w:val="110"/>
  </w:num>
  <w:num w:numId="48">
    <w:abstractNumId w:val="110"/>
  </w:num>
  <w:num w:numId="49">
    <w:abstractNumId w:val="110"/>
  </w:num>
  <w:num w:numId="50">
    <w:abstractNumId w:val="110"/>
  </w:num>
  <w:num w:numId="51">
    <w:abstractNumId w:val="96"/>
  </w:num>
  <w:num w:numId="52">
    <w:abstractNumId w:val="94"/>
  </w:num>
  <w:num w:numId="53">
    <w:abstractNumId w:val="148"/>
  </w:num>
  <w:num w:numId="54">
    <w:abstractNumId w:val="289"/>
  </w:num>
  <w:num w:numId="55">
    <w:abstractNumId w:val="110"/>
  </w:num>
  <w:num w:numId="56">
    <w:abstractNumId w:val="110"/>
  </w:num>
  <w:num w:numId="57">
    <w:abstractNumId w:val="110"/>
  </w:num>
  <w:num w:numId="58">
    <w:abstractNumId w:val="110"/>
  </w:num>
  <w:num w:numId="59">
    <w:abstractNumId w:val="110"/>
  </w:num>
  <w:num w:numId="60">
    <w:abstractNumId w:val="110"/>
  </w:num>
  <w:num w:numId="61">
    <w:abstractNumId w:val="110"/>
  </w:num>
  <w:num w:numId="62">
    <w:abstractNumId w:val="110"/>
  </w:num>
  <w:num w:numId="63">
    <w:abstractNumId w:val="110"/>
  </w:num>
  <w:num w:numId="64">
    <w:abstractNumId w:val="203"/>
  </w:num>
  <w:num w:numId="65">
    <w:abstractNumId w:val="67"/>
  </w:num>
  <w:num w:numId="66">
    <w:abstractNumId w:val="220"/>
  </w:num>
  <w:num w:numId="67">
    <w:abstractNumId w:val="125"/>
  </w:num>
  <w:num w:numId="68">
    <w:abstractNumId w:val="79"/>
  </w:num>
  <w:num w:numId="69">
    <w:abstractNumId w:val="294"/>
  </w:num>
  <w:num w:numId="70">
    <w:abstractNumId w:val="170"/>
  </w:num>
  <w:num w:numId="71">
    <w:abstractNumId w:val="194"/>
  </w:num>
  <w:num w:numId="72">
    <w:abstractNumId w:val="73"/>
  </w:num>
  <w:num w:numId="73">
    <w:abstractNumId w:val="183"/>
  </w:num>
  <w:num w:numId="74">
    <w:abstractNumId w:val="221"/>
  </w:num>
  <w:num w:numId="75">
    <w:abstractNumId w:val="56"/>
  </w:num>
  <w:num w:numId="76">
    <w:abstractNumId w:val="110"/>
  </w:num>
  <w:num w:numId="77">
    <w:abstractNumId w:val="110"/>
  </w:num>
  <w:num w:numId="78">
    <w:abstractNumId w:val="110"/>
  </w:num>
  <w:num w:numId="79">
    <w:abstractNumId w:val="53"/>
  </w:num>
  <w:num w:numId="80">
    <w:abstractNumId w:val="23"/>
  </w:num>
  <w:num w:numId="81">
    <w:abstractNumId w:val="23"/>
  </w:num>
  <w:num w:numId="82">
    <w:abstractNumId w:val="23"/>
  </w:num>
  <w:num w:numId="83">
    <w:abstractNumId w:val="23"/>
  </w:num>
  <w:num w:numId="84">
    <w:abstractNumId w:val="23"/>
  </w:num>
  <w:num w:numId="85">
    <w:abstractNumId w:val="23"/>
  </w:num>
  <w:num w:numId="86">
    <w:abstractNumId w:val="23"/>
  </w:num>
  <w:num w:numId="87">
    <w:abstractNumId w:val="23"/>
  </w:num>
  <w:num w:numId="88">
    <w:abstractNumId w:val="190"/>
  </w:num>
  <w:num w:numId="89">
    <w:abstractNumId w:val="23"/>
  </w:num>
  <w:num w:numId="90">
    <w:abstractNumId w:val="23"/>
  </w:num>
  <w:num w:numId="91">
    <w:abstractNumId w:val="23"/>
  </w:num>
  <w:num w:numId="92">
    <w:abstractNumId w:val="23"/>
  </w:num>
  <w:num w:numId="93">
    <w:abstractNumId w:val="23"/>
  </w:num>
  <w:num w:numId="94">
    <w:abstractNumId w:val="23"/>
  </w:num>
  <w:num w:numId="95">
    <w:abstractNumId w:val="23"/>
  </w:num>
  <w:num w:numId="96">
    <w:abstractNumId w:val="23"/>
  </w:num>
  <w:num w:numId="97">
    <w:abstractNumId w:val="23"/>
  </w:num>
  <w:num w:numId="98">
    <w:abstractNumId w:val="23"/>
  </w:num>
  <w:num w:numId="99">
    <w:abstractNumId w:val="23"/>
  </w:num>
  <w:num w:numId="100">
    <w:abstractNumId w:val="38"/>
  </w:num>
  <w:num w:numId="101">
    <w:abstractNumId w:val="91"/>
  </w:num>
  <w:num w:numId="102">
    <w:abstractNumId w:val="279"/>
  </w:num>
  <w:num w:numId="103">
    <w:abstractNumId w:val="129"/>
  </w:num>
  <w:num w:numId="104">
    <w:abstractNumId w:val="30"/>
  </w:num>
  <w:num w:numId="105">
    <w:abstractNumId w:val="110"/>
  </w:num>
  <w:num w:numId="106">
    <w:abstractNumId w:val="27"/>
  </w:num>
  <w:num w:numId="107">
    <w:abstractNumId w:val="110"/>
  </w:num>
  <w:num w:numId="108">
    <w:abstractNumId w:val="189"/>
  </w:num>
  <w:num w:numId="109">
    <w:abstractNumId w:val="115"/>
  </w:num>
  <w:num w:numId="110">
    <w:abstractNumId w:val="286"/>
  </w:num>
  <w:num w:numId="111">
    <w:abstractNumId w:val="223"/>
  </w:num>
  <w:num w:numId="112">
    <w:abstractNumId w:val="65"/>
  </w:num>
  <w:num w:numId="113">
    <w:abstractNumId w:val="103"/>
  </w:num>
  <w:num w:numId="114">
    <w:abstractNumId w:val="97"/>
  </w:num>
  <w:num w:numId="115">
    <w:abstractNumId w:val="233"/>
  </w:num>
  <w:num w:numId="116">
    <w:abstractNumId w:val="13"/>
  </w:num>
  <w:num w:numId="117">
    <w:abstractNumId w:val="50"/>
  </w:num>
  <w:num w:numId="118">
    <w:abstractNumId w:val="264"/>
  </w:num>
  <w:num w:numId="119">
    <w:abstractNumId w:val="252"/>
  </w:num>
  <w:num w:numId="120">
    <w:abstractNumId w:val="163"/>
  </w:num>
  <w:num w:numId="121">
    <w:abstractNumId w:val="197"/>
  </w:num>
  <w:num w:numId="122">
    <w:abstractNumId w:val="40"/>
  </w:num>
  <w:num w:numId="123">
    <w:abstractNumId w:val="144"/>
  </w:num>
  <w:num w:numId="124">
    <w:abstractNumId w:val="230"/>
  </w:num>
  <w:num w:numId="125">
    <w:abstractNumId w:val="295"/>
  </w:num>
  <w:num w:numId="126">
    <w:abstractNumId w:val="114"/>
  </w:num>
  <w:num w:numId="127">
    <w:abstractNumId w:val="24"/>
  </w:num>
  <w:num w:numId="128">
    <w:abstractNumId w:val="51"/>
  </w:num>
  <w:num w:numId="129">
    <w:abstractNumId w:val="32"/>
  </w:num>
  <w:num w:numId="130">
    <w:abstractNumId w:val="110"/>
  </w:num>
  <w:num w:numId="131">
    <w:abstractNumId w:val="110"/>
  </w:num>
  <w:num w:numId="132">
    <w:abstractNumId w:val="110"/>
  </w:num>
  <w:num w:numId="133">
    <w:abstractNumId w:val="110"/>
  </w:num>
  <w:num w:numId="134">
    <w:abstractNumId w:val="110"/>
  </w:num>
  <w:num w:numId="135">
    <w:abstractNumId w:val="154"/>
  </w:num>
  <w:num w:numId="136">
    <w:abstractNumId w:val="28"/>
  </w:num>
  <w:num w:numId="137">
    <w:abstractNumId w:val="204"/>
  </w:num>
  <w:num w:numId="138">
    <w:abstractNumId w:val="112"/>
  </w:num>
  <w:num w:numId="139">
    <w:abstractNumId w:val="167"/>
  </w:num>
  <w:num w:numId="140">
    <w:abstractNumId w:val="297"/>
  </w:num>
  <w:num w:numId="141">
    <w:abstractNumId w:val="175"/>
  </w:num>
  <w:num w:numId="142">
    <w:abstractNumId w:val="70"/>
  </w:num>
  <w:num w:numId="143">
    <w:abstractNumId w:val="258"/>
  </w:num>
  <w:num w:numId="144">
    <w:abstractNumId w:val="253"/>
  </w:num>
  <w:num w:numId="145">
    <w:abstractNumId w:val="160"/>
  </w:num>
  <w:num w:numId="146">
    <w:abstractNumId w:val="261"/>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7">
    <w:abstractNumId w:val="280"/>
  </w:num>
  <w:num w:numId="148">
    <w:abstractNumId w:val="254"/>
  </w:num>
  <w:num w:numId="149">
    <w:abstractNumId w:val="5"/>
    <w:lvlOverride w:ilvl="0">
      <w:startOverride w:val="1"/>
    </w:lvlOverride>
  </w:num>
  <w:num w:numId="150">
    <w:abstractNumId w:val="27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1">
    <w:abstractNumId w:val="1"/>
    <w:lvlOverride w:ilvl="0">
      <w:startOverride w:val="1"/>
    </w:lvlOverride>
  </w:num>
  <w:num w:numId="152">
    <w:abstractNumId w:val="124"/>
    <w:lvlOverride w:ilvl="0"/>
    <w:lvlOverride w:ilvl="1"/>
    <w:lvlOverride w:ilvl="2"/>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3">
    <w:abstractNumId w:val="8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4">
    <w:abstractNumId w:val="140"/>
  </w:num>
  <w:num w:numId="155">
    <w:abstractNumId w:val="149"/>
  </w:num>
  <w:num w:numId="156">
    <w:abstractNumId w:val="188"/>
  </w:num>
  <w:num w:numId="157">
    <w:abstractNumId w:val="26"/>
  </w:num>
  <w:num w:numId="158">
    <w:abstractNumId w:val="8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9">
    <w:abstractNumId w:val="89"/>
  </w:num>
  <w:num w:numId="160">
    <w:abstractNumId w:val="19"/>
  </w:num>
  <w:num w:numId="161">
    <w:abstractNumId w:val="293"/>
  </w:num>
  <w:num w:numId="162">
    <w:abstractNumId w:val="128"/>
    <w:lvlOverride w:ilvl="0">
      <w:startOverride w:val="1"/>
    </w:lvlOverride>
  </w:num>
  <w:num w:numId="163">
    <w:abstractNumId w:val="18"/>
    <w:lvlOverride w:ilvl="0">
      <w:startOverride w:val="1"/>
    </w:lvlOverride>
  </w:num>
  <w:num w:numId="164">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5">
    <w:abstractNumId w:val="133"/>
    <w:lvlOverride w:ilvl="0">
      <w:lvl w:ilvl="0">
        <w:start w:val="1"/>
        <w:numFmt w:val="decimal"/>
        <w:pStyle w:val="3H0"/>
        <w:lvlText w:val="F.%1"/>
        <w:lvlJc w:val="left"/>
        <w:pPr>
          <w:tabs>
            <w:tab w:val="num" w:pos="794"/>
          </w:tabs>
        </w:pPr>
        <w:rPr>
          <w:rFonts w:ascii="Times New Roman" w:hAnsi="Times New Roman" w:cs="Times New Roman" w:hint="default"/>
          <w:b/>
          <w:i w:val="0"/>
          <w:sz w:val="22"/>
        </w:rPr>
      </w:lvl>
    </w:lvlOverride>
    <w:lvlOverride w:ilvl="1">
      <w:lvl w:ilvl="1">
        <w:start w:val="1"/>
        <w:numFmt w:val="decimal"/>
        <w:pStyle w:val="3H1"/>
        <w:lvlText w:val="F.%1.%2"/>
        <w:lvlJc w:val="left"/>
        <w:pPr>
          <w:tabs>
            <w:tab w:val="num" w:pos="794"/>
          </w:tabs>
        </w:pPr>
        <w:rPr>
          <w:rFonts w:ascii="Times New Roman" w:hAnsi="Times New Roman" w:cs="Times New Roman" w:hint="default"/>
          <w:b/>
          <w:i w:val="0"/>
          <w:sz w:val="20"/>
        </w:rPr>
      </w:lvl>
    </w:lvlOverride>
    <w:lvlOverride w:ilvl="2">
      <w:lvl w:ilvl="2">
        <w:start w:val="1"/>
        <w:numFmt w:val="decimal"/>
        <w:pStyle w:val="3H2"/>
        <w:lvlText w:val="F.%1.%2.%3"/>
        <w:lvlJc w:val="left"/>
        <w:pPr>
          <w:tabs>
            <w:tab w:val="num" w:pos="794"/>
          </w:tabs>
        </w:pPr>
        <w:rPr>
          <w:rFonts w:ascii="Times New Roman" w:hAnsi="Times New Roman" w:cs="Times New Roman" w:hint="default"/>
          <w:b/>
          <w:i w:val="0"/>
          <w:sz w:val="20"/>
        </w:rPr>
      </w:lvl>
    </w:lvlOverride>
    <w:lvlOverride w:ilvl="3">
      <w:lvl w:ilvl="3">
        <w:start w:val="1"/>
        <w:numFmt w:val="decimal"/>
        <w:pStyle w:val="3H3"/>
        <w:lvlText w:val="F.%1.%2.%3.%4"/>
        <w:lvlJc w:val="left"/>
        <w:pPr>
          <w:tabs>
            <w:tab w:val="num" w:pos="794"/>
          </w:tabs>
        </w:pPr>
        <w:rPr>
          <w:rFonts w:ascii="Times New Roman" w:hAnsi="Times New Roman" w:cs="Times New Roman" w:hint="default"/>
          <w:b/>
          <w:i w:val="0"/>
          <w:sz w:val="20"/>
        </w:rPr>
      </w:lvl>
    </w:lvlOverride>
    <w:lvlOverride w:ilvl="4">
      <w:lvl w:ilvl="4">
        <w:start w:val="1"/>
        <w:numFmt w:val="decimal"/>
        <w:pStyle w:val="3H4"/>
        <w:lvlText w:val="F.%1.%2.%3.%4.%5"/>
        <w:lvlJc w:val="left"/>
        <w:pPr>
          <w:tabs>
            <w:tab w:val="num" w:pos="794"/>
          </w:tabs>
        </w:pPr>
        <w:rPr>
          <w:rFonts w:ascii="Times New Roman" w:hAnsi="Times New Roman" w:cs="Times New Roman" w:hint="default"/>
          <w:b/>
          <w:i w:val="0"/>
          <w:sz w:val="20"/>
        </w:rPr>
      </w:lvl>
    </w:lvlOverride>
    <w:lvlOverride w:ilvl="5">
      <w:lvl w:ilvl="5">
        <w:start w:val="1"/>
        <w:numFmt w:val="decimal"/>
        <w:pStyle w:val="3H5"/>
        <w:lvlText w:val="F.%1.%2.%3.%4.%5.%6"/>
        <w:lvlJc w:val="left"/>
        <w:pPr>
          <w:tabs>
            <w:tab w:val="num" w:pos="794"/>
          </w:tabs>
        </w:pPr>
        <w:rPr>
          <w:rFonts w:ascii="Times New Roman" w:hAnsi="Times New Roman" w:cs="Times New Roman" w:hint="default"/>
          <w:b/>
          <w:i w:val="0"/>
        </w:rPr>
      </w:lvl>
    </w:lvlOverride>
    <w:lvlOverride w:ilvl="6">
      <w:lvl w:ilvl="6">
        <w:start w:val="1"/>
        <w:numFmt w:val="decimal"/>
        <w:lvlText w:val="F.%1.%2.%3.%4.%5.%6.%7"/>
        <w:lvlJc w:val="left"/>
        <w:pPr>
          <w:tabs>
            <w:tab w:val="num" w:pos="794"/>
          </w:tabs>
        </w:pPr>
        <w:rPr>
          <w:rFonts w:ascii="Times New Roman" w:hAnsi="Times New Roman" w:cs="Times New Roman" w:hint="default"/>
          <w:b/>
          <w:i w:val="0"/>
          <w:sz w:val="20"/>
        </w:rPr>
      </w:lvl>
    </w:lvlOverride>
    <w:lvlOverride w:ilvl="7">
      <w:lvl w:ilvl="7">
        <w:start w:val="1"/>
        <w:numFmt w:val="decimal"/>
        <w:lvlText w:val="F.%1.%2.%3.%4.%5.%6.%7.%8"/>
        <w:lvlJc w:val="left"/>
        <w:pPr>
          <w:tabs>
            <w:tab w:val="num" w:pos="794"/>
          </w:tabs>
        </w:pPr>
        <w:rPr>
          <w:rFonts w:ascii="Times New Roman" w:hAnsi="Times New Roman" w:cs="Times New Roman" w:hint="default"/>
          <w:b/>
          <w:i w:val="0"/>
        </w:rPr>
      </w:lvl>
    </w:lvlOverride>
    <w:lvlOverride w:ilvl="8">
      <w:lvl w:ilvl="8">
        <w:start w:val="1"/>
        <w:numFmt w:val="decimal"/>
        <w:lvlText w:val="F.%1.%2.%3.%4.%5.%6.%7.%8.%9"/>
        <w:lvlJc w:val="left"/>
        <w:pPr>
          <w:tabs>
            <w:tab w:val="num" w:pos="794"/>
          </w:tabs>
        </w:pPr>
        <w:rPr>
          <w:rFonts w:ascii="Times New Roman" w:hAnsi="Times New Roman" w:cs="Times New Roman" w:hint="default"/>
          <w:b/>
          <w:i w:val="0"/>
          <w:sz w:val="20"/>
        </w:rPr>
      </w:lvl>
    </w:lvlOverride>
  </w:num>
  <w:num w:numId="166">
    <w:abstractNumId w:val="60"/>
  </w:num>
  <w:num w:numId="167">
    <w:abstractNumId w:val="1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8">
    <w:abstractNumId w:val="143"/>
  </w:num>
  <w:num w:numId="169">
    <w:abstractNumId w:val="2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0">
    <w:abstractNumId w:val="61"/>
  </w:num>
  <w:num w:numId="171">
    <w:abstractNumId w:val="261"/>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2">
    <w:abstractNumId w:val="105"/>
  </w:num>
  <w:num w:numId="173">
    <w:abstractNumId w:val="20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4">
    <w:abstractNumId w:val="28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5">
    <w:abstractNumId w:val="24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6">
    <w:abstractNumId w:val="10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7">
    <w:abstractNumId w:val="261"/>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8">
    <w:abstractNumId w:val="198"/>
  </w:num>
  <w:num w:numId="179">
    <w:abstractNumId w:val="87"/>
  </w:num>
  <w:num w:numId="180">
    <w:abstractNumId w:val="106"/>
  </w:num>
  <w:num w:numId="181">
    <w:abstractNumId w:val="127"/>
  </w:num>
  <w:num w:numId="182">
    <w:abstractNumId w:val="186"/>
  </w:num>
  <w:num w:numId="183">
    <w:abstractNumId w:val="199"/>
  </w:num>
  <w:num w:numId="184">
    <w:abstractNumId w:val="162"/>
  </w:num>
  <w:num w:numId="185">
    <w:abstractNumId w:val="205"/>
  </w:num>
  <w:num w:numId="186">
    <w:abstractNumId w:val="122"/>
  </w:num>
  <w:num w:numId="187">
    <w:abstractNumId w:val="281"/>
  </w:num>
  <w:num w:numId="188">
    <w:abstractNumId w:val="201"/>
  </w:num>
  <w:num w:numId="189">
    <w:abstractNumId w:val="110"/>
  </w:num>
  <w:num w:numId="190">
    <w:abstractNumId w:val="153"/>
  </w:num>
  <w:num w:numId="191">
    <w:abstractNumId w:val="226"/>
  </w:num>
  <w:num w:numId="192">
    <w:abstractNumId w:val="141"/>
  </w:num>
  <w:num w:numId="193">
    <w:abstractNumId w:val="9"/>
  </w:num>
  <w:num w:numId="194">
    <w:abstractNumId w:val="81"/>
  </w:num>
  <w:num w:numId="195">
    <w:abstractNumId w:val="275"/>
  </w:num>
  <w:num w:numId="196">
    <w:abstractNumId w:val="80"/>
  </w:num>
  <w:num w:numId="197">
    <w:abstractNumId w:val="102"/>
  </w:num>
  <w:num w:numId="198">
    <w:abstractNumId w:val="110"/>
  </w:num>
  <w:num w:numId="199">
    <w:abstractNumId w:val="110"/>
  </w:num>
  <w:num w:numId="200">
    <w:abstractNumId w:val="44"/>
  </w:num>
  <w:num w:numId="201">
    <w:abstractNumId w:val="214"/>
  </w:num>
  <w:num w:numId="202">
    <w:abstractNumId w:val="171"/>
  </w:num>
  <w:num w:numId="203">
    <w:abstractNumId w:val="16"/>
  </w:num>
  <w:num w:numId="204">
    <w:abstractNumId w:val="100"/>
  </w:num>
  <w:num w:numId="205">
    <w:abstractNumId w:val="292"/>
  </w:num>
  <w:num w:numId="206">
    <w:abstractNumId w:val="36"/>
  </w:num>
  <w:num w:numId="207">
    <w:abstractNumId w:val="213"/>
  </w:num>
  <w:num w:numId="208">
    <w:abstractNumId w:val="138"/>
  </w:num>
  <w:num w:numId="209">
    <w:abstractNumId w:val="192"/>
  </w:num>
  <w:num w:numId="210">
    <w:abstractNumId w:val="59"/>
  </w:num>
  <w:num w:numId="211">
    <w:abstractNumId w:val="224"/>
  </w:num>
  <w:num w:numId="212">
    <w:abstractNumId w:val="211"/>
  </w:num>
  <w:num w:numId="213">
    <w:abstractNumId w:val="238"/>
  </w:num>
  <w:num w:numId="214">
    <w:abstractNumId w:val="246"/>
  </w:num>
  <w:num w:numId="215">
    <w:abstractNumId w:val="8"/>
  </w:num>
  <w:num w:numId="216">
    <w:abstractNumId w:val="110"/>
  </w:num>
  <w:num w:numId="217">
    <w:abstractNumId w:val="228"/>
  </w:num>
  <w:num w:numId="218">
    <w:abstractNumId w:val="284"/>
  </w:num>
  <w:num w:numId="219">
    <w:abstractNumId w:val="11"/>
  </w:num>
  <w:num w:numId="220">
    <w:abstractNumId w:val="158"/>
  </w:num>
  <w:num w:numId="221">
    <w:abstractNumId w:val="52"/>
  </w:num>
  <w:num w:numId="222">
    <w:abstractNumId w:val="269"/>
  </w:num>
  <w:num w:numId="223">
    <w:abstractNumId w:val="82"/>
  </w:num>
  <w:num w:numId="224">
    <w:abstractNumId w:val="43"/>
  </w:num>
  <w:num w:numId="225">
    <w:abstractNumId w:val="113"/>
  </w:num>
  <w:num w:numId="226">
    <w:abstractNumId w:val="45"/>
  </w:num>
  <w:num w:numId="227">
    <w:abstractNumId w:val="276"/>
  </w:num>
  <w:num w:numId="228">
    <w:abstractNumId w:val="196"/>
  </w:num>
  <w:num w:numId="229">
    <w:abstractNumId w:val="265"/>
  </w:num>
  <w:num w:numId="230">
    <w:abstractNumId w:val="28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1">
    <w:abstractNumId w:val="280"/>
    <w:lvlOverride w:ilvl="0">
      <w:startOverride w:val="7"/>
    </w:lvlOverride>
    <w:lvlOverride w:ilvl="1">
      <w:startOverride w:val="3"/>
    </w:lvlOverride>
    <w:lvlOverride w:ilvl="2">
      <w:startOverride w:val="12"/>
    </w:lvlOverride>
  </w:num>
  <w:num w:numId="232">
    <w:abstractNumId w:val="110"/>
    <w:lvlOverride w:ilvl="0">
      <w:startOverride w:val="7"/>
    </w:lvlOverride>
    <w:lvlOverride w:ilvl="1">
      <w:startOverride w:val="3"/>
    </w:lvlOverride>
    <w:lvlOverride w:ilvl="2">
      <w:startOverride w:val="18"/>
    </w:lvlOverride>
  </w:num>
  <w:num w:numId="233">
    <w:abstractNumId w:val="200"/>
  </w:num>
  <w:num w:numId="234">
    <w:abstractNumId w:val="191"/>
  </w:num>
  <w:num w:numId="235">
    <w:abstractNumId w:val="225"/>
  </w:num>
  <w:num w:numId="236">
    <w:abstractNumId w:val="15"/>
  </w:num>
  <w:num w:numId="237">
    <w:abstractNumId w:val="267"/>
  </w:num>
  <w:num w:numId="238">
    <w:abstractNumId w:val="250"/>
  </w:num>
  <w:num w:numId="239">
    <w:abstractNumId w:val="218"/>
  </w:num>
  <w:num w:numId="240">
    <w:abstractNumId w:val="37"/>
  </w:num>
  <w:num w:numId="241">
    <w:abstractNumId w:val="109"/>
  </w:num>
  <w:num w:numId="242">
    <w:abstractNumId w:val="280"/>
    <w:lvlOverride w:ilvl="0">
      <w:startOverride w:val="7"/>
    </w:lvlOverride>
    <w:lvlOverride w:ilvl="1">
      <w:startOverride w:val="3"/>
    </w:lvlOverride>
    <w:lvlOverride w:ilvl="2">
      <w:startOverride w:val="2"/>
    </w:lvlOverride>
    <w:lvlOverride w:ilvl="3">
      <w:startOverride w:val="3"/>
    </w:lvlOverride>
  </w:num>
  <w:num w:numId="243">
    <w:abstractNumId w:val="84"/>
  </w:num>
  <w:num w:numId="244">
    <w:abstractNumId w:val="145"/>
  </w:num>
  <w:num w:numId="245">
    <w:abstractNumId w:val="25"/>
  </w:num>
  <w:num w:numId="246">
    <w:abstractNumId w:val="68"/>
  </w:num>
  <w:num w:numId="247">
    <w:abstractNumId w:val="142"/>
  </w:num>
  <w:num w:numId="248">
    <w:abstractNumId w:val="278"/>
  </w:num>
  <w:num w:numId="249">
    <w:abstractNumId w:val="161"/>
  </w:num>
  <w:num w:numId="250">
    <w:abstractNumId w:val="47"/>
  </w:num>
  <w:num w:numId="251">
    <w:abstractNumId w:val="207"/>
  </w:num>
  <w:num w:numId="252">
    <w:abstractNumId w:val="101"/>
  </w:num>
  <w:num w:numId="253">
    <w:abstractNumId w:val="63"/>
  </w:num>
  <w:num w:numId="254">
    <w:abstractNumId w:val="41"/>
  </w:num>
  <w:num w:numId="255">
    <w:abstractNumId w:val="49"/>
  </w:num>
  <w:num w:numId="256">
    <w:abstractNumId w:val="23"/>
  </w:num>
  <w:num w:numId="257">
    <w:abstractNumId w:val="23"/>
  </w:num>
  <w:num w:numId="258">
    <w:abstractNumId w:val="23"/>
  </w:num>
  <w:num w:numId="259">
    <w:abstractNumId w:val="23"/>
  </w:num>
  <w:num w:numId="260">
    <w:abstractNumId w:val="23"/>
  </w:num>
  <w:num w:numId="261">
    <w:abstractNumId w:val="146"/>
  </w:num>
  <w:num w:numId="262">
    <w:abstractNumId w:val="17"/>
  </w:num>
  <w:num w:numId="263">
    <w:abstractNumId w:val="181"/>
  </w:num>
  <w:num w:numId="264">
    <w:abstractNumId w:val="120"/>
  </w:num>
  <w:num w:numId="265">
    <w:abstractNumId w:val="251"/>
  </w:num>
  <w:num w:numId="266">
    <w:abstractNumId w:val="152"/>
  </w:num>
  <w:num w:numId="267">
    <w:abstractNumId w:val="210"/>
  </w:num>
  <w:num w:numId="268">
    <w:abstractNumId w:val="39"/>
  </w:num>
  <w:num w:numId="269">
    <w:abstractNumId w:val="247"/>
  </w:num>
  <w:num w:numId="270">
    <w:abstractNumId w:val="156"/>
  </w:num>
  <w:num w:numId="271">
    <w:abstractNumId w:val="1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2">
    <w:abstractNumId w:val="217"/>
  </w:num>
  <w:num w:numId="273">
    <w:abstractNumId w:val="274"/>
  </w:num>
  <w:num w:numId="274">
    <w:abstractNumId w:val="23"/>
  </w:num>
  <w:num w:numId="275">
    <w:abstractNumId w:val="23"/>
  </w:num>
  <w:num w:numId="276">
    <w:abstractNumId w:val="23"/>
  </w:num>
  <w:num w:numId="277">
    <w:abstractNumId w:val="23"/>
  </w:num>
  <w:num w:numId="278">
    <w:abstractNumId w:val="23"/>
  </w:num>
  <w:num w:numId="279">
    <w:abstractNumId w:val="23"/>
  </w:num>
  <w:num w:numId="280">
    <w:abstractNumId w:val="23"/>
  </w:num>
  <w:num w:numId="281">
    <w:abstractNumId w:val="23"/>
  </w:num>
  <w:num w:numId="282">
    <w:abstractNumId w:val="23"/>
  </w:num>
  <w:num w:numId="283">
    <w:abstractNumId w:val="23"/>
  </w:num>
  <w:num w:numId="284">
    <w:abstractNumId w:val="23"/>
  </w:num>
  <w:num w:numId="285">
    <w:abstractNumId w:val="23"/>
  </w:num>
  <w:num w:numId="286">
    <w:abstractNumId w:val="23"/>
  </w:num>
  <w:num w:numId="287">
    <w:abstractNumId w:val="23"/>
  </w:num>
  <w:num w:numId="288">
    <w:abstractNumId w:val="23"/>
  </w:num>
  <w:num w:numId="289">
    <w:abstractNumId w:val="23"/>
  </w:num>
  <w:num w:numId="290">
    <w:abstractNumId w:val="23"/>
  </w:num>
  <w:num w:numId="291">
    <w:abstractNumId w:val="23"/>
  </w:num>
  <w:num w:numId="292">
    <w:abstractNumId w:val="23"/>
  </w:num>
  <w:num w:numId="293">
    <w:abstractNumId w:val="23"/>
  </w:num>
  <w:num w:numId="294">
    <w:abstractNumId w:val="23"/>
  </w:num>
  <w:num w:numId="295">
    <w:abstractNumId w:val="23"/>
  </w:num>
  <w:num w:numId="296">
    <w:abstractNumId w:val="23"/>
  </w:num>
  <w:num w:numId="297">
    <w:abstractNumId w:val="23"/>
  </w:num>
  <w:num w:numId="298">
    <w:abstractNumId w:val="23"/>
  </w:num>
  <w:num w:numId="299">
    <w:abstractNumId w:val="23"/>
  </w:num>
  <w:num w:numId="300">
    <w:abstractNumId w:val="119"/>
  </w:num>
  <w:num w:numId="301">
    <w:abstractNumId w:val="222"/>
  </w:num>
  <w:num w:numId="302">
    <w:abstractNumId w:val="184"/>
  </w:num>
  <w:num w:numId="303">
    <w:abstractNumId w:val="23"/>
  </w:num>
  <w:num w:numId="304">
    <w:abstractNumId w:val="7"/>
  </w:num>
  <w:num w:numId="305">
    <w:abstractNumId w:val="126"/>
  </w:num>
  <w:num w:numId="306">
    <w:abstractNumId w:val="23"/>
  </w:num>
  <w:num w:numId="307">
    <w:abstractNumId w:val="110"/>
  </w:num>
  <w:num w:numId="308">
    <w:abstractNumId w:val="244"/>
  </w:num>
  <w:num w:numId="309">
    <w:abstractNumId w:val="232"/>
  </w:num>
  <w:num w:numId="310">
    <w:abstractNumId w:val="71"/>
  </w:num>
  <w:num w:numId="311">
    <w:abstractNumId w:val="176"/>
  </w:num>
  <w:num w:numId="312">
    <w:abstractNumId w:val="77"/>
  </w:num>
  <w:num w:numId="313">
    <w:abstractNumId w:val="257"/>
  </w:num>
  <w:num w:numId="314">
    <w:abstractNumId w:val="34"/>
  </w:num>
  <w:num w:numId="315">
    <w:abstractNumId w:val="66"/>
  </w:num>
  <w:num w:numId="316">
    <w:abstractNumId w:val="256"/>
  </w:num>
  <w:num w:numId="317">
    <w:abstractNumId w:val="240"/>
  </w:num>
  <w:num w:numId="318">
    <w:abstractNumId w:val="206"/>
  </w:num>
  <w:num w:numId="319">
    <w:abstractNumId w:val="150"/>
  </w:num>
  <w:num w:numId="320">
    <w:abstractNumId w:val="208"/>
  </w:num>
  <w:num w:numId="321">
    <w:abstractNumId w:val="135"/>
  </w:num>
  <w:num w:numId="322">
    <w:abstractNumId w:val="75"/>
  </w:num>
  <w:num w:numId="323">
    <w:abstractNumId w:val="255"/>
  </w:num>
  <w:num w:numId="324">
    <w:abstractNumId w:val="22"/>
  </w:num>
  <w:num w:numId="325">
    <w:abstractNumId w:val="136"/>
  </w:num>
  <w:num w:numId="326">
    <w:abstractNumId w:val="268"/>
  </w:num>
  <w:num w:numId="327">
    <w:abstractNumId w:val="20"/>
  </w:num>
  <w:num w:numId="328">
    <w:abstractNumId w:val="296"/>
  </w:num>
  <w:num w:numId="329">
    <w:abstractNumId w:val="262"/>
  </w:num>
  <w:num w:numId="330">
    <w:abstractNumId w:val="180"/>
  </w:num>
  <w:num w:numId="331">
    <w:abstractNumId w:val="248"/>
  </w:num>
  <w:num w:numId="332">
    <w:abstractNumId w:val="69"/>
  </w:num>
  <w:num w:numId="333">
    <w:abstractNumId w:val="241"/>
  </w:num>
  <w:num w:numId="334">
    <w:abstractNumId w:val="169"/>
  </w:num>
  <w:num w:numId="335">
    <w:abstractNumId w:val="104"/>
  </w:num>
  <w:num w:numId="336">
    <w:abstractNumId w:val="76"/>
  </w:num>
  <w:num w:numId="337">
    <w:abstractNumId w:val="93"/>
  </w:num>
  <w:num w:numId="338">
    <w:abstractNumId w:val="110"/>
  </w:num>
  <w:num w:numId="339">
    <w:abstractNumId w:val="33"/>
  </w:num>
  <w:num w:numId="340">
    <w:abstractNumId w:val="110"/>
  </w:num>
  <w:num w:numId="341">
    <w:abstractNumId w:val="110"/>
  </w:num>
  <w:num w:numId="342">
    <w:abstractNumId w:val="110"/>
  </w:num>
  <w:num w:numId="343">
    <w:abstractNumId w:val="178"/>
  </w:num>
  <w:num w:numId="344">
    <w:abstractNumId w:val="157"/>
  </w:num>
  <w:num w:numId="345">
    <w:abstractNumId w:val="64"/>
  </w:num>
  <w:num w:numId="346">
    <w:abstractNumId w:val="147"/>
  </w:num>
  <w:num w:numId="347">
    <w:abstractNumId w:val="110"/>
  </w:num>
  <w:num w:numId="348">
    <w:abstractNumId w:val="72"/>
  </w:num>
  <w:num w:numId="349">
    <w:abstractNumId w:val="227"/>
  </w:num>
  <w:num w:numId="350">
    <w:abstractNumId w:val="99"/>
  </w:num>
  <w:num w:numId="351">
    <w:abstractNumId w:val="21"/>
  </w:num>
  <w:num w:numId="352">
    <w:abstractNumId w:val="209"/>
  </w:num>
  <w:num w:numId="353">
    <w:abstractNumId w:val="179"/>
  </w:num>
  <w:num w:numId="354">
    <w:abstractNumId w:val="110"/>
  </w:num>
  <w:num w:numId="355">
    <w:abstractNumId w:val="187"/>
  </w:num>
  <w:num w:numId="356">
    <w:abstractNumId w:val="73"/>
  </w:num>
  <w:num w:numId="357">
    <w:abstractNumId w:val="148"/>
    <w:lvlOverride w:ilvl="0"/>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8">
    <w:abstractNumId w:val="289"/>
    <w:lvlOverride w:ilvl="0"/>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9">
    <w:abstractNumId w:val="110"/>
  </w:num>
  <w:num w:numId="360">
    <w:abstractNumId w:val="110"/>
  </w:num>
  <w:num w:numId="361">
    <w:abstractNumId w:val="110"/>
  </w:num>
  <w:num w:numId="362">
    <w:abstractNumId w:val="110"/>
  </w:num>
  <w:num w:numId="363">
    <w:abstractNumId w:val="110"/>
  </w:num>
  <w:num w:numId="364">
    <w:abstractNumId w:val="110"/>
  </w:num>
  <w:num w:numId="365">
    <w:abstractNumId w:val="110"/>
  </w:num>
  <w:num w:numId="366">
    <w:abstractNumId w:val="14"/>
  </w:num>
  <w:num w:numId="367">
    <w:abstractNumId w:val="177"/>
  </w:num>
  <w:num w:numId="368">
    <w:abstractNumId w:val="165"/>
  </w:num>
  <w:num w:numId="369">
    <w:abstractNumId w:val="168"/>
  </w:num>
  <w:num w:numId="370">
    <w:abstractNumId w:val="131"/>
  </w:num>
  <w:num w:numId="371">
    <w:abstractNumId w:val="277"/>
  </w:num>
  <w:num w:numId="372">
    <w:abstractNumId w:val="185"/>
  </w:num>
  <w:num w:numId="373">
    <w:abstractNumId w:val="123"/>
  </w:num>
  <w:num w:numId="374">
    <w:abstractNumId w:val="46"/>
  </w:num>
  <w:num w:numId="375">
    <w:abstractNumId w:val="85"/>
  </w:num>
  <w:num w:numId="376">
    <w:abstractNumId w:val="195"/>
  </w:num>
  <w:num w:numId="377">
    <w:abstractNumId w:val="57"/>
  </w:num>
  <w:num w:numId="378">
    <w:abstractNumId w:val="134"/>
  </w:num>
  <w:num w:numId="379">
    <w:abstractNumId w:val="285"/>
  </w:num>
  <w:num w:numId="380">
    <w:abstractNumId w:val="159"/>
  </w:num>
  <w:num w:numId="381">
    <w:abstractNumId w:val="55"/>
  </w:num>
  <w:num w:numId="382">
    <w:abstractNumId w:val="137"/>
  </w:num>
  <w:num w:numId="383">
    <w:abstractNumId w:val="42"/>
  </w:num>
  <w:num w:numId="384">
    <w:abstractNumId w:val="95"/>
  </w:num>
  <w:num w:numId="385">
    <w:abstractNumId w:val="54"/>
  </w:num>
  <w:num w:numId="386">
    <w:abstractNumId w:val="90"/>
  </w:num>
  <w:num w:numId="387">
    <w:abstractNumId w:val="234"/>
  </w:num>
  <w:num w:numId="388">
    <w:abstractNumId w:val="182"/>
  </w:num>
  <w:num w:numId="389">
    <w:abstractNumId w:val="202"/>
  </w:num>
  <w:num w:numId="390">
    <w:abstractNumId w:val="235"/>
  </w:num>
  <w:num w:numId="391">
    <w:abstractNumId w:val="173"/>
  </w:num>
  <w:num w:numId="392">
    <w:abstractNumId w:val="229"/>
  </w:num>
  <w:num w:numId="393">
    <w:abstractNumId w:val="111"/>
  </w:num>
  <w:num w:numId="394">
    <w:abstractNumId w:val="139"/>
  </w:num>
  <w:num w:numId="395">
    <w:abstractNumId w:val="132"/>
  </w:num>
  <w:num w:numId="396">
    <w:abstractNumId w:val="216"/>
  </w:num>
  <w:num w:numId="397">
    <w:abstractNumId w:val="260"/>
  </w:num>
  <w:num w:numId="398">
    <w:abstractNumId w:val="263"/>
  </w:num>
  <w:num w:numId="399">
    <w:abstractNumId w:val="35"/>
  </w:num>
  <w:num w:numId="400">
    <w:abstractNumId w:val="98"/>
  </w:num>
  <w:num w:numId="401">
    <w:abstractNumId w:val="231"/>
  </w:num>
  <w:num w:numId="402">
    <w:abstractNumId w:val="174"/>
  </w:num>
  <w:num w:numId="403">
    <w:abstractNumId w:val="239"/>
  </w:num>
  <w:num w:numId="404">
    <w:abstractNumId w:val="271"/>
  </w:num>
  <w:num w:numId="405">
    <w:abstractNumId w:val="259"/>
  </w:num>
  <w:num w:numId="406">
    <w:abstractNumId w:val="117"/>
  </w:num>
  <w:num w:numId="407">
    <w:abstractNumId w:val="92"/>
  </w:num>
  <w:num w:numId="408">
    <w:abstractNumId w:val="291"/>
  </w:num>
  <w:num w:numId="409">
    <w:abstractNumId w:val="29"/>
  </w:num>
  <w:num w:numId="410">
    <w:abstractNumId w:val="219"/>
  </w:num>
  <w:num w:numId="411">
    <w:abstractNumId w:val="249"/>
  </w:num>
  <w:num w:numId="412">
    <w:abstractNumId w:val="108"/>
  </w:num>
  <w:num w:numId="413">
    <w:abstractNumId w:val="237"/>
  </w:num>
  <w:num w:numId="414">
    <w:abstractNumId w:val="164"/>
  </w:num>
  <w:num w:numId="415">
    <w:abstractNumId w:val="62"/>
  </w:num>
  <w:num w:numId="416">
    <w:abstractNumId w:val="166"/>
  </w:num>
  <w:num w:numId="417">
    <w:abstractNumId w:val="74"/>
  </w:num>
  <w:num w:numId="418">
    <w:abstractNumId w:val="12"/>
  </w:num>
  <w:num w:numId="419">
    <w:abstractNumId w:val="288"/>
  </w:num>
  <w:num w:numId="420">
    <w:abstractNumId w:val="212"/>
  </w:num>
  <w:num w:numId="421">
    <w:abstractNumId w:val="88"/>
  </w:num>
  <w:num w:numId="422">
    <w:abstractNumId w:val="31"/>
  </w:num>
  <w:num w:numId="423">
    <w:abstractNumId w:val="266"/>
  </w:num>
  <w:num w:numId="424">
    <w:abstractNumId w:val="243"/>
  </w:num>
  <w:num w:numId="425">
    <w:abstractNumId w:val="116"/>
  </w:num>
  <w:num w:numId="426">
    <w:abstractNumId w:val="110"/>
  </w:num>
  <w:num w:numId="427">
    <w:abstractNumId w:val="110"/>
  </w:num>
  <w:numIdMacAtCleanup w:val="4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DateAndTime/>
  <w:mirrorMargins/>
  <w:bordersDoNotSurroundHeader/>
  <w:bordersDoNotSurroundFooter/>
  <w:hideSpellingErrors/>
  <w:hideGrammaticalErrors/>
  <w:stylePaneFormatFilter w:val="3A01" w:allStyles="1" w:customStyles="0" w:latentStyles="0" w:stylesInUse="0" w:headingStyles="0" w:numberingStyles="0" w:tableStyles="0" w:directFormattingOnRuns="0" w:directFormattingOnParagraphs="1" w:directFormattingOnNumbering="0" w:directFormattingOnTables="1" w:clearFormatting="1" w:top3HeadingStyles="1" w:visibleStyles="0" w:alternateStyleNames="0"/>
  <w:stylePaneSortMethod w:val="0000"/>
  <w:defaultTabStop w:val="403"/>
  <w:hyphenationZone w:val="425"/>
  <w:evenAndOddHeaders/>
  <w:characterSpacingControl w:val="doNotCompress"/>
  <w:hdrShapeDefaults>
    <o:shapedefaults v:ext="edit" spidmax="2049">
      <v:textbox inset="5.85pt,.7pt,5.85pt,.7pt"/>
    </o:shapedefaults>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a0NDUyMLMwNDYwNDMyNzRW0lEKTi0uzszPAykwqgUAwimNkiwAAAA="/>
  </w:docVars>
  <w:rsids>
    <w:rsidRoot w:val="009374BB"/>
    <w:rsid w:val="000005ED"/>
    <w:rsid w:val="00000C99"/>
    <w:rsid w:val="00000E86"/>
    <w:rsid w:val="00000F26"/>
    <w:rsid w:val="00001017"/>
    <w:rsid w:val="000011E4"/>
    <w:rsid w:val="0000142C"/>
    <w:rsid w:val="00001611"/>
    <w:rsid w:val="00001713"/>
    <w:rsid w:val="000017EE"/>
    <w:rsid w:val="00001892"/>
    <w:rsid w:val="0000195F"/>
    <w:rsid w:val="00001AD7"/>
    <w:rsid w:val="00001B2D"/>
    <w:rsid w:val="00001D4C"/>
    <w:rsid w:val="00002087"/>
    <w:rsid w:val="000021B5"/>
    <w:rsid w:val="00002266"/>
    <w:rsid w:val="0000268F"/>
    <w:rsid w:val="00002796"/>
    <w:rsid w:val="00002991"/>
    <w:rsid w:val="00002FF1"/>
    <w:rsid w:val="0000329C"/>
    <w:rsid w:val="0000335E"/>
    <w:rsid w:val="00003390"/>
    <w:rsid w:val="0000342C"/>
    <w:rsid w:val="00003689"/>
    <w:rsid w:val="00003B4F"/>
    <w:rsid w:val="00003EFA"/>
    <w:rsid w:val="00004103"/>
    <w:rsid w:val="00004345"/>
    <w:rsid w:val="000043E9"/>
    <w:rsid w:val="00004871"/>
    <w:rsid w:val="00004972"/>
    <w:rsid w:val="000051C4"/>
    <w:rsid w:val="00005421"/>
    <w:rsid w:val="00005AB0"/>
    <w:rsid w:val="00005B24"/>
    <w:rsid w:val="00005C2B"/>
    <w:rsid w:val="00005DF8"/>
    <w:rsid w:val="00006288"/>
    <w:rsid w:val="0000637B"/>
    <w:rsid w:val="000064E5"/>
    <w:rsid w:val="0000655B"/>
    <w:rsid w:val="000067E2"/>
    <w:rsid w:val="00006CCF"/>
    <w:rsid w:val="00007134"/>
    <w:rsid w:val="0000739A"/>
    <w:rsid w:val="00007736"/>
    <w:rsid w:val="00007773"/>
    <w:rsid w:val="0000799F"/>
    <w:rsid w:val="000079A5"/>
    <w:rsid w:val="00007BE2"/>
    <w:rsid w:val="00010462"/>
    <w:rsid w:val="00010811"/>
    <w:rsid w:val="0001093E"/>
    <w:rsid w:val="00010E66"/>
    <w:rsid w:val="0001100C"/>
    <w:rsid w:val="00011283"/>
    <w:rsid w:val="00011396"/>
    <w:rsid w:val="00011412"/>
    <w:rsid w:val="00011515"/>
    <w:rsid w:val="000115F5"/>
    <w:rsid w:val="00011606"/>
    <w:rsid w:val="000116CC"/>
    <w:rsid w:val="00011E42"/>
    <w:rsid w:val="00012019"/>
    <w:rsid w:val="000120DE"/>
    <w:rsid w:val="000121B2"/>
    <w:rsid w:val="000121B7"/>
    <w:rsid w:val="00012215"/>
    <w:rsid w:val="000124AB"/>
    <w:rsid w:val="0001300E"/>
    <w:rsid w:val="00013025"/>
    <w:rsid w:val="00013614"/>
    <w:rsid w:val="0001362F"/>
    <w:rsid w:val="00013703"/>
    <w:rsid w:val="0001397F"/>
    <w:rsid w:val="00013D9F"/>
    <w:rsid w:val="00013F2D"/>
    <w:rsid w:val="000143DE"/>
    <w:rsid w:val="000144E4"/>
    <w:rsid w:val="00014911"/>
    <w:rsid w:val="0001508F"/>
    <w:rsid w:val="000152D3"/>
    <w:rsid w:val="00015A63"/>
    <w:rsid w:val="00015B82"/>
    <w:rsid w:val="00015C09"/>
    <w:rsid w:val="00015CED"/>
    <w:rsid w:val="00015DCB"/>
    <w:rsid w:val="000160FD"/>
    <w:rsid w:val="0001629C"/>
    <w:rsid w:val="000162E4"/>
    <w:rsid w:val="0001650D"/>
    <w:rsid w:val="00016786"/>
    <w:rsid w:val="000168F2"/>
    <w:rsid w:val="00016995"/>
    <w:rsid w:val="00016CB9"/>
    <w:rsid w:val="00016EF0"/>
    <w:rsid w:val="00017694"/>
    <w:rsid w:val="0001769E"/>
    <w:rsid w:val="0001773F"/>
    <w:rsid w:val="0001774B"/>
    <w:rsid w:val="00017950"/>
    <w:rsid w:val="00017D9D"/>
    <w:rsid w:val="00020030"/>
    <w:rsid w:val="00020204"/>
    <w:rsid w:val="00020380"/>
    <w:rsid w:val="00020B6B"/>
    <w:rsid w:val="00020C0C"/>
    <w:rsid w:val="00021029"/>
    <w:rsid w:val="00021054"/>
    <w:rsid w:val="000210D6"/>
    <w:rsid w:val="00021199"/>
    <w:rsid w:val="00021462"/>
    <w:rsid w:val="000219E3"/>
    <w:rsid w:val="00021A99"/>
    <w:rsid w:val="00021C97"/>
    <w:rsid w:val="00021D29"/>
    <w:rsid w:val="00021D32"/>
    <w:rsid w:val="00021F91"/>
    <w:rsid w:val="00022061"/>
    <w:rsid w:val="000224C5"/>
    <w:rsid w:val="000226B9"/>
    <w:rsid w:val="00022821"/>
    <w:rsid w:val="0002283B"/>
    <w:rsid w:val="0002290E"/>
    <w:rsid w:val="00022B2A"/>
    <w:rsid w:val="00023225"/>
    <w:rsid w:val="00023259"/>
    <w:rsid w:val="000233AC"/>
    <w:rsid w:val="00023477"/>
    <w:rsid w:val="0002350E"/>
    <w:rsid w:val="00023D7D"/>
    <w:rsid w:val="000242E6"/>
    <w:rsid w:val="00024A84"/>
    <w:rsid w:val="0002508F"/>
    <w:rsid w:val="0002522C"/>
    <w:rsid w:val="000252FB"/>
    <w:rsid w:val="00025423"/>
    <w:rsid w:val="00025454"/>
    <w:rsid w:val="0002566A"/>
    <w:rsid w:val="00025A0A"/>
    <w:rsid w:val="00025B44"/>
    <w:rsid w:val="00025C13"/>
    <w:rsid w:val="00025C82"/>
    <w:rsid w:val="00025D9C"/>
    <w:rsid w:val="0002634C"/>
    <w:rsid w:val="00026677"/>
    <w:rsid w:val="00026BA7"/>
    <w:rsid w:val="000272C0"/>
    <w:rsid w:val="00027399"/>
    <w:rsid w:val="00027940"/>
    <w:rsid w:val="00027D96"/>
    <w:rsid w:val="000300A0"/>
    <w:rsid w:val="000302A3"/>
    <w:rsid w:val="000303DE"/>
    <w:rsid w:val="0003078F"/>
    <w:rsid w:val="00030DDD"/>
    <w:rsid w:val="00030E06"/>
    <w:rsid w:val="00030FC0"/>
    <w:rsid w:val="000310D4"/>
    <w:rsid w:val="0003111D"/>
    <w:rsid w:val="0003130D"/>
    <w:rsid w:val="000313A0"/>
    <w:rsid w:val="00031415"/>
    <w:rsid w:val="00031457"/>
    <w:rsid w:val="0003163F"/>
    <w:rsid w:val="00031AAC"/>
    <w:rsid w:val="0003213A"/>
    <w:rsid w:val="000323EB"/>
    <w:rsid w:val="00032818"/>
    <w:rsid w:val="000328C9"/>
    <w:rsid w:val="00032BE9"/>
    <w:rsid w:val="00032DB4"/>
    <w:rsid w:val="00032E71"/>
    <w:rsid w:val="00032F62"/>
    <w:rsid w:val="00032FC0"/>
    <w:rsid w:val="000333D3"/>
    <w:rsid w:val="0003368A"/>
    <w:rsid w:val="0003372C"/>
    <w:rsid w:val="00033A22"/>
    <w:rsid w:val="00033BC5"/>
    <w:rsid w:val="00033BE0"/>
    <w:rsid w:val="00033C7E"/>
    <w:rsid w:val="00033C85"/>
    <w:rsid w:val="00033F51"/>
    <w:rsid w:val="00034E37"/>
    <w:rsid w:val="00034E75"/>
    <w:rsid w:val="00034F67"/>
    <w:rsid w:val="00034F75"/>
    <w:rsid w:val="000356AD"/>
    <w:rsid w:val="0003589C"/>
    <w:rsid w:val="00035B67"/>
    <w:rsid w:val="00035E72"/>
    <w:rsid w:val="00035F4D"/>
    <w:rsid w:val="00036153"/>
    <w:rsid w:val="00036565"/>
    <w:rsid w:val="00036A19"/>
    <w:rsid w:val="000370EA"/>
    <w:rsid w:val="000372CA"/>
    <w:rsid w:val="0003743A"/>
    <w:rsid w:val="00037777"/>
    <w:rsid w:val="00037B90"/>
    <w:rsid w:val="00037F18"/>
    <w:rsid w:val="00037F8A"/>
    <w:rsid w:val="00040051"/>
    <w:rsid w:val="00040667"/>
    <w:rsid w:val="000407C7"/>
    <w:rsid w:val="000407CF"/>
    <w:rsid w:val="000407F1"/>
    <w:rsid w:val="0004086F"/>
    <w:rsid w:val="00040B34"/>
    <w:rsid w:val="000411A5"/>
    <w:rsid w:val="00041279"/>
    <w:rsid w:val="0004164A"/>
    <w:rsid w:val="000417C0"/>
    <w:rsid w:val="000417CC"/>
    <w:rsid w:val="00041874"/>
    <w:rsid w:val="000418F6"/>
    <w:rsid w:val="00041A34"/>
    <w:rsid w:val="00041DB3"/>
    <w:rsid w:val="00042108"/>
    <w:rsid w:val="00042309"/>
    <w:rsid w:val="000427D8"/>
    <w:rsid w:val="00042BCF"/>
    <w:rsid w:val="00042DDB"/>
    <w:rsid w:val="000430E6"/>
    <w:rsid w:val="0004338C"/>
    <w:rsid w:val="00043508"/>
    <w:rsid w:val="00043664"/>
    <w:rsid w:val="0004376C"/>
    <w:rsid w:val="0004393C"/>
    <w:rsid w:val="00043A17"/>
    <w:rsid w:val="00043ADB"/>
    <w:rsid w:val="00043C59"/>
    <w:rsid w:val="00043D0B"/>
    <w:rsid w:val="00043D30"/>
    <w:rsid w:val="00044020"/>
    <w:rsid w:val="00044208"/>
    <w:rsid w:val="000442B7"/>
    <w:rsid w:val="000443C4"/>
    <w:rsid w:val="00044554"/>
    <w:rsid w:val="0004465F"/>
    <w:rsid w:val="000448B1"/>
    <w:rsid w:val="000448F5"/>
    <w:rsid w:val="00044CFF"/>
    <w:rsid w:val="00044F95"/>
    <w:rsid w:val="000451FA"/>
    <w:rsid w:val="000455BE"/>
    <w:rsid w:val="000455D6"/>
    <w:rsid w:val="00045986"/>
    <w:rsid w:val="00045A53"/>
    <w:rsid w:val="00046139"/>
    <w:rsid w:val="000461CB"/>
    <w:rsid w:val="000465A9"/>
    <w:rsid w:val="00046914"/>
    <w:rsid w:val="00046AAB"/>
    <w:rsid w:val="00046AC8"/>
    <w:rsid w:val="00046C58"/>
    <w:rsid w:val="00046D6B"/>
    <w:rsid w:val="00046FC6"/>
    <w:rsid w:val="0004721A"/>
    <w:rsid w:val="00047539"/>
    <w:rsid w:val="00047562"/>
    <w:rsid w:val="00047661"/>
    <w:rsid w:val="000479A5"/>
    <w:rsid w:val="00047DCA"/>
    <w:rsid w:val="000500C8"/>
    <w:rsid w:val="00050240"/>
    <w:rsid w:val="00050339"/>
    <w:rsid w:val="000504F8"/>
    <w:rsid w:val="0005081E"/>
    <w:rsid w:val="00050960"/>
    <w:rsid w:val="000509B3"/>
    <w:rsid w:val="00050A09"/>
    <w:rsid w:val="00050AC8"/>
    <w:rsid w:val="00051155"/>
    <w:rsid w:val="00051483"/>
    <w:rsid w:val="00051651"/>
    <w:rsid w:val="00051782"/>
    <w:rsid w:val="000517DC"/>
    <w:rsid w:val="00051899"/>
    <w:rsid w:val="00051BA8"/>
    <w:rsid w:val="00051BF7"/>
    <w:rsid w:val="00051C05"/>
    <w:rsid w:val="00052063"/>
    <w:rsid w:val="00052091"/>
    <w:rsid w:val="00052262"/>
    <w:rsid w:val="000523E1"/>
    <w:rsid w:val="00052537"/>
    <w:rsid w:val="0005255D"/>
    <w:rsid w:val="000525B1"/>
    <w:rsid w:val="000526BE"/>
    <w:rsid w:val="000526E4"/>
    <w:rsid w:val="00052781"/>
    <w:rsid w:val="00052801"/>
    <w:rsid w:val="0005295B"/>
    <w:rsid w:val="00052E33"/>
    <w:rsid w:val="00052E8F"/>
    <w:rsid w:val="0005349C"/>
    <w:rsid w:val="00053547"/>
    <w:rsid w:val="000536A4"/>
    <w:rsid w:val="000537AA"/>
    <w:rsid w:val="00053A04"/>
    <w:rsid w:val="00053A33"/>
    <w:rsid w:val="00053B0E"/>
    <w:rsid w:val="00053B62"/>
    <w:rsid w:val="00053E13"/>
    <w:rsid w:val="00054497"/>
    <w:rsid w:val="000544C6"/>
    <w:rsid w:val="0005477C"/>
    <w:rsid w:val="000547C6"/>
    <w:rsid w:val="0005489F"/>
    <w:rsid w:val="00054B45"/>
    <w:rsid w:val="00054BD0"/>
    <w:rsid w:val="00054E31"/>
    <w:rsid w:val="00054F10"/>
    <w:rsid w:val="00054F18"/>
    <w:rsid w:val="00055455"/>
    <w:rsid w:val="00055872"/>
    <w:rsid w:val="00055987"/>
    <w:rsid w:val="00055B3D"/>
    <w:rsid w:val="00055BFD"/>
    <w:rsid w:val="00055D59"/>
    <w:rsid w:val="00055EFF"/>
    <w:rsid w:val="0005617D"/>
    <w:rsid w:val="0005618C"/>
    <w:rsid w:val="00056233"/>
    <w:rsid w:val="000562C9"/>
    <w:rsid w:val="00056927"/>
    <w:rsid w:val="00056A98"/>
    <w:rsid w:val="00056AB6"/>
    <w:rsid w:val="00056B37"/>
    <w:rsid w:val="000571A9"/>
    <w:rsid w:val="00057357"/>
    <w:rsid w:val="000573AC"/>
    <w:rsid w:val="00057B6C"/>
    <w:rsid w:val="00057E6B"/>
    <w:rsid w:val="00057F57"/>
    <w:rsid w:val="0006005D"/>
    <w:rsid w:val="00060093"/>
    <w:rsid w:val="000601A1"/>
    <w:rsid w:val="00060230"/>
    <w:rsid w:val="000606C7"/>
    <w:rsid w:val="000606D5"/>
    <w:rsid w:val="0006073F"/>
    <w:rsid w:val="000607A4"/>
    <w:rsid w:val="00060D4E"/>
    <w:rsid w:val="00060E25"/>
    <w:rsid w:val="0006134A"/>
    <w:rsid w:val="00061384"/>
    <w:rsid w:val="000613D0"/>
    <w:rsid w:val="00061408"/>
    <w:rsid w:val="0006150F"/>
    <w:rsid w:val="00061562"/>
    <w:rsid w:val="00061624"/>
    <w:rsid w:val="00061926"/>
    <w:rsid w:val="0006197D"/>
    <w:rsid w:val="00061AEB"/>
    <w:rsid w:val="00061BDA"/>
    <w:rsid w:val="00061C6C"/>
    <w:rsid w:val="00061D25"/>
    <w:rsid w:val="00061D2B"/>
    <w:rsid w:val="00061E75"/>
    <w:rsid w:val="0006237C"/>
    <w:rsid w:val="00062456"/>
    <w:rsid w:val="0006270E"/>
    <w:rsid w:val="000629E5"/>
    <w:rsid w:val="00062B22"/>
    <w:rsid w:val="00062B8F"/>
    <w:rsid w:val="00062E13"/>
    <w:rsid w:val="00062F48"/>
    <w:rsid w:val="00062F6A"/>
    <w:rsid w:val="00062F89"/>
    <w:rsid w:val="0006318C"/>
    <w:rsid w:val="000631CA"/>
    <w:rsid w:val="000634FE"/>
    <w:rsid w:val="00063754"/>
    <w:rsid w:val="000637DC"/>
    <w:rsid w:val="00063AE8"/>
    <w:rsid w:val="00063D0E"/>
    <w:rsid w:val="00063D5E"/>
    <w:rsid w:val="00063E1B"/>
    <w:rsid w:val="000640DA"/>
    <w:rsid w:val="00064124"/>
    <w:rsid w:val="00064298"/>
    <w:rsid w:val="0006430C"/>
    <w:rsid w:val="0006494C"/>
    <w:rsid w:val="00064999"/>
    <w:rsid w:val="00064A18"/>
    <w:rsid w:val="00064B64"/>
    <w:rsid w:val="00064D06"/>
    <w:rsid w:val="00064D58"/>
    <w:rsid w:val="00064D8D"/>
    <w:rsid w:val="00064ED5"/>
    <w:rsid w:val="00064FA5"/>
    <w:rsid w:val="00065092"/>
    <w:rsid w:val="000652F4"/>
    <w:rsid w:val="0006535D"/>
    <w:rsid w:val="000655B6"/>
    <w:rsid w:val="00065613"/>
    <w:rsid w:val="00065641"/>
    <w:rsid w:val="000656B0"/>
    <w:rsid w:val="00065A15"/>
    <w:rsid w:val="00065C08"/>
    <w:rsid w:val="00065DF5"/>
    <w:rsid w:val="00066174"/>
    <w:rsid w:val="00066345"/>
    <w:rsid w:val="0006656C"/>
    <w:rsid w:val="00066630"/>
    <w:rsid w:val="000667CF"/>
    <w:rsid w:val="000667DB"/>
    <w:rsid w:val="00066ADE"/>
    <w:rsid w:val="00066C56"/>
    <w:rsid w:val="00066D3D"/>
    <w:rsid w:val="00066DA0"/>
    <w:rsid w:val="00066E18"/>
    <w:rsid w:val="00066F1A"/>
    <w:rsid w:val="0006708B"/>
    <w:rsid w:val="000673AE"/>
    <w:rsid w:val="000674DD"/>
    <w:rsid w:val="000678AC"/>
    <w:rsid w:val="00067B7F"/>
    <w:rsid w:val="00067D9B"/>
    <w:rsid w:val="000700B8"/>
    <w:rsid w:val="000703BB"/>
    <w:rsid w:val="000705EA"/>
    <w:rsid w:val="0007070E"/>
    <w:rsid w:val="00070993"/>
    <w:rsid w:val="00070D8E"/>
    <w:rsid w:val="00070DF8"/>
    <w:rsid w:val="00070F8C"/>
    <w:rsid w:val="00070FB2"/>
    <w:rsid w:val="0007103F"/>
    <w:rsid w:val="0007107D"/>
    <w:rsid w:val="000713F5"/>
    <w:rsid w:val="0007175F"/>
    <w:rsid w:val="000719A7"/>
    <w:rsid w:val="00071AE1"/>
    <w:rsid w:val="00071C0D"/>
    <w:rsid w:val="00071EC6"/>
    <w:rsid w:val="00071FC6"/>
    <w:rsid w:val="000729E3"/>
    <w:rsid w:val="00072C10"/>
    <w:rsid w:val="00073201"/>
    <w:rsid w:val="0007349F"/>
    <w:rsid w:val="000735CE"/>
    <w:rsid w:val="00073668"/>
    <w:rsid w:val="0007371E"/>
    <w:rsid w:val="00073A02"/>
    <w:rsid w:val="00073A08"/>
    <w:rsid w:val="00073B70"/>
    <w:rsid w:val="00073D45"/>
    <w:rsid w:val="00073EC9"/>
    <w:rsid w:val="00073EFD"/>
    <w:rsid w:val="00074193"/>
    <w:rsid w:val="00074314"/>
    <w:rsid w:val="000743CD"/>
    <w:rsid w:val="00074486"/>
    <w:rsid w:val="0007453B"/>
    <w:rsid w:val="00074A41"/>
    <w:rsid w:val="00074BB8"/>
    <w:rsid w:val="00074CB9"/>
    <w:rsid w:val="00074DAE"/>
    <w:rsid w:val="00074EDC"/>
    <w:rsid w:val="00075037"/>
    <w:rsid w:val="000750D8"/>
    <w:rsid w:val="000750E4"/>
    <w:rsid w:val="0007527F"/>
    <w:rsid w:val="000756BB"/>
    <w:rsid w:val="00075867"/>
    <w:rsid w:val="00075BC6"/>
    <w:rsid w:val="00075E34"/>
    <w:rsid w:val="00076048"/>
    <w:rsid w:val="0007604A"/>
    <w:rsid w:val="00076507"/>
    <w:rsid w:val="00076923"/>
    <w:rsid w:val="000769EF"/>
    <w:rsid w:val="000769F2"/>
    <w:rsid w:val="00076A48"/>
    <w:rsid w:val="00076A4D"/>
    <w:rsid w:val="00076FB0"/>
    <w:rsid w:val="00077154"/>
    <w:rsid w:val="000774BE"/>
    <w:rsid w:val="00077874"/>
    <w:rsid w:val="00077903"/>
    <w:rsid w:val="00077B95"/>
    <w:rsid w:val="00077BCA"/>
    <w:rsid w:val="00077DDA"/>
    <w:rsid w:val="00077F5A"/>
    <w:rsid w:val="00080011"/>
    <w:rsid w:val="00080553"/>
    <w:rsid w:val="000806B8"/>
    <w:rsid w:val="000806BB"/>
    <w:rsid w:val="00080739"/>
    <w:rsid w:val="00080887"/>
    <w:rsid w:val="000808C0"/>
    <w:rsid w:val="00080A4C"/>
    <w:rsid w:val="00080CF4"/>
    <w:rsid w:val="000810DF"/>
    <w:rsid w:val="00081381"/>
    <w:rsid w:val="0008143C"/>
    <w:rsid w:val="0008181F"/>
    <w:rsid w:val="00081901"/>
    <w:rsid w:val="0008197E"/>
    <w:rsid w:val="00081BB0"/>
    <w:rsid w:val="00081C27"/>
    <w:rsid w:val="00081D99"/>
    <w:rsid w:val="00081DF5"/>
    <w:rsid w:val="00082833"/>
    <w:rsid w:val="00082EDE"/>
    <w:rsid w:val="00082FF4"/>
    <w:rsid w:val="00083936"/>
    <w:rsid w:val="00083C41"/>
    <w:rsid w:val="00083CAE"/>
    <w:rsid w:val="00083DDD"/>
    <w:rsid w:val="00084016"/>
    <w:rsid w:val="00084616"/>
    <w:rsid w:val="00084C78"/>
    <w:rsid w:val="00084F4C"/>
    <w:rsid w:val="00084FE6"/>
    <w:rsid w:val="0008519A"/>
    <w:rsid w:val="000851E2"/>
    <w:rsid w:val="00085473"/>
    <w:rsid w:val="0008556C"/>
    <w:rsid w:val="00085689"/>
    <w:rsid w:val="0008574B"/>
    <w:rsid w:val="00085845"/>
    <w:rsid w:val="00085A19"/>
    <w:rsid w:val="00085CF4"/>
    <w:rsid w:val="00085E4B"/>
    <w:rsid w:val="00085FB7"/>
    <w:rsid w:val="00086286"/>
    <w:rsid w:val="00086822"/>
    <w:rsid w:val="0008686F"/>
    <w:rsid w:val="00086AC5"/>
    <w:rsid w:val="00086B37"/>
    <w:rsid w:val="00086D6F"/>
    <w:rsid w:val="00086DC7"/>
    <w:rsid w:val="0008723E"/>
    <w:rsid w:val="00087DF5"/>
    <w:rsid w:val="00087F2D"/>
    <w:rsid w:val="00090300"/>
    <w:rsid w:val="00090371"/>
    <w:rsid w:val="000903D4"/>
    <w:rsid w:val="000909CA"/>
    <w:rsid w:val="00090C2B"/>
    <w:rsid w:val="00090DD9"/>
    <w:rsid w:val="00090E52"/>
    <w:rsid w:val="00090FB3"/>
    <w:rsid w:val="00091132"/>
    <w:rsid w:val="0009151E"/>
    <w:rsid w:val="00091529"/>
    <w:rsid w:val="00091554"/>
    <w:rsid w:val="00091AF7"/>
    <w:rsid w:val="00091BCC"/>
    <w:rsid w:val="00091BFE"/>
    <w:rsid w:val="000924CE"/>
    <w:rsid w:val="000925C2"/>
    <w:rsid w:val="00092700"/>
    <w:rsid w:val="0009275D"/>
    <w:rsid w:val="00092AF8"/>
    <w:rsid w:val="00092BFB"/>
    <w:rsid w:val="00092C04"/>
    <w:rsid w:val="00092D5B"/>
    <w:rsid w:val="00092D7F"/>
    <w:rsid w:val="00092EAA"/>
    <w:rsid w:val="00092F15"/>
    <w:rsid w:val="00092F8A"/>
    <w:rsid w:val="000938A4"/>
    <w:rsid w:val="000938E3"/>
    <w:rsid w:val="00093A73"/>
    <w:rsid w:val="00093A79"/>
    <w:rsid w:val="00093B76"/>
    <w:rsid w:val="00093B92"/>
    <w:rsid w:val="00094107"/>
    <w:rsid w:val="000942A4"/>
    <w:rsid w:val="000945F2"/>
    <w:rsid w:val="0009468D"/>
    <w:rsid w:val="00094765"/>
    <w:rsid w:val="00094936"/>
    <w:rsid w:val="00094A85"/>
    <w:rsid w:val="00094B0A"/>
    <w:rsid w:val="00094ED9"/>
    <w:rsid w:val="00094F8A"/>
    <w:rsid w:val="00094FE7"/>
    <w:rsid w:val="0009502B"/>
    <w:rsid w:val="000954C5"/>
    <w:rsid w:val="000954C9"/>
    <w:rsid w:val="000955BC"/>
    <w:rsid w:val="000955F6"/>
    <w:rsid w:val="00095720"/>
    <w:rsid w:val="00095CE3"/>
    <w:rsid w:val="00095DCD"/>
    <w:rsid w:val="00095E81"/>
    <w:rsid w:val="00095F3F"/>
    <w:rsid w:val="0009608D"/>
    <w:rsid w:val="00096410"/>
    <w:rsid w:val="00096801"/>
    <w:rsid w:val="00096DFF"/>
    <w:rsid w:val="000974BF"/>
    <w:rsid w:val="00097913"/>
    <w:rsid w:val="00097B06"/>
    <w:rsid w:val="00097B5C"/>
    <w:rsid w:val="00097B99"/>
    <w:rsid w:val="00097BC1"/>
    <w:rsid w:val="00097CF5"/>
    <w:rsid w:val="00097F72"/>
    <w:rsid w:val="00097F8C"/>
    <w:rsid w:val="00097FF4"/>
    <w:rsid w:val="000A024F"/>
    <w:rsid w:val="000A03DD"/>
    <w:rsid w:val="000A06D1"/>
    <w:rsid w:val="000A0782"/>
    <w:rsid w:val="000A1091"/>
    <w:rsid w:val="000A1103"/>
    <w:rsid w:val="000A1240"/>
    <w:rsid w:val="000A1417"/>
    <w:rsid w:val="000A1882"/>
    <w:rsid w:val="000A1E49"/>
    <w:rsid w:val="000A22DF"/>
    <w:rsid w:val="000A2339"/>
    <w:rsid w:val="000A274C"/>
    <w:rsid w:val="000A2919"/>
    <w:rsid w:val="000A2C55"/>
    <w:rsid w:val="000A2D5F"/>
    <w:rsid w:val="000A3122"/>
    <w:rsid w:val="000A373D"/>
    <w:rsid w:val="000A37BA"/>
    <w:rsid w:val="000A3AEF"/>
    <w:rsid w:val="000A3B06"/>
    <w:rsid w:val="000A3B3B"/>
    <w:rsid w:val="000A3BF8"/>
    <w:rsid w:val="000A3D22"/>
    <w:rsid w:val="000A3EB6"/>
    <w:rsid w:val="000A4145"/>
    <w:rsid w:val="000A44CB"/>
    <w:rsid w:val="000A457E"/>
    <w:rsid w:val="000A4784"/>
    <w:rsid w:val="000A487E"/>
    <w:rsid w:val="000A49C5"/>
    <w:rsid w:val="000A4B05"/>
    <w:rsid w:val="000A4EDE"/>
    <w:rsid w:val="000A4F0E"/>
    <w:rsid w:val="000A5091"/>
    <w:rsid w:val="000A5113"/>
    <w:rsid w:val="000A54A0"/>
    <w:rsid w:val="000A5877"/>
    <w:rsid w:val="000A5C2B"/>
    <w:rsid w:val="000A6136"/>
    <w:rsid w:val="000A6256"/>
    <w:rsid w:val="000A6294"/>
    <w:rsid w:val="000A6698"/>
    <w:rsid w:val="000A66F5"/>
    <w:rsid w:val="000A68F0"/>
    <w:rsid w:val="000A6E16"/>
    <w:rsid w:val="000A6FE5"/>
    <w:rsid w:val="000A7050"/>
    <w:rsid w:val="000A73A6"/>
    <w:rsid w:val="000A7463"/>
    <w:rsid w:val="000A75B1"/>
    <w:rsid w:val="000A7617"/>
    <w:rsid w:val="000A771A"/>
    <w:rsid w:val="000A7ADF"/>
    <w:rsid w:val="000A7BBA"/>
    <w:rsid w:val="000A7F77"/>
    <w:rsid w:val="000B0103"/>
    <w:rsid w:val="000B07D7"/>
    <w:rsid w:val="000B0A09"/>
    <w:rsid w:val="000B0A4F"/>
    <w:rsid w:val="000B0C60"/>
    <w:rsid w:val="000B0CD5"/>
    <w:rsid w:val="000B0F86"/>
    <w:rsid w:val="000B0FAD"/>
    <w:rsid w:val="000B10EE"/>
    <w:rsid w:val="000B141E"/>
    <w:rsid w:val="000B14F7"/>
    <w:rsid w:val="000B15D5"/>
    <w:rsid w:val="000B15E5"/>
    <w:rsid w:val="000B1649"/>
    <w:rsid w:val="000B16B6"/>
    <w:rsid w:val="000B18C3"/>
    <w:rsid w:val="000B1931"/>
    <w:rsid w:val="000B1A76"/>
    <w:rsid w:val="000B1C77"/>
    <w:rsid w:val="000B1D8C"/>
    <w:rsid w:val="000B2129"/>
    <w:rsid w:val="000B21BA"/>
    <w:rsid w:val="000B2280"/>
    <w:rsid w:val="000B2401"/>
    <w:rsid w:val="000B2458"/>
    <w:rsid w:val="000B24EE"/>
    <w:rsid w:val="000B24FC"/>
    <w:rsid w:val="000B255B"/>
    <w:rsid w:val="000B2EDB"/>
    <w:rsid w:val="000B2FD6"/>
    <w:rsid w:val="000B3179"/>
    <w:rsid w:val="000B3471"/>
    <w:rsid w:val="000B349B"/>
    <w:rsid w:val="000B35B6"/>
    <w:rsid w:val="000B3A71"/>
    <w:rsid w:val="000B3D49"/>
    <w:rsid w:val="000B40F1"/>
    <w:rsid w:val="000B4224"/>
    <w:rsid w:val="000B42EB"/>
    <w:rsid w:val="000B42EC"/>
    <w:rsid w:val="000B4531"/>
    <w:rsid w:val="000B4667"/>
    <w:rsid w:val="000B4760"/>
    <w:rsid w:val="000B4825"/>
    <w:rsid w:val="000B49FB"/>
    <w:rsid w:val="000B4AEF"/>
    <w:rsid w:val="000B4DF9"/>
    <w:rsid w:val="000B4EB3"/>
    <w:rsid w:val="000B4EBE"/>
    <w:rsid w:val="000B4EDB"/>
    <w:rsid w:val="000B4EF3"/>
    <w:rsid w:val="000B5210"/>
    <w:rsid w:val="000B5273"/>
    <w:rsid w:val="000B5357"/>
    <w:rsid w:val="000B56AC"/>
    <w:rsid w:val="000B56E5"/>
    <w:rsid w:val="000B596E"/>
    <w:rsid w:val="000B599C"/>
    <w:rsid w:val="000B5A60"/>
    <w:rsid w:val="000B5BFE"/>
    <w:rsid w:val="000B5C60"/>
    <w:rsid w:val="000B5CE3"/>
    <w:rsid w:val="000B5DCE"/>
    <w:rsid w:val="000B6071"/>
    <w:rsid w:val="000B60C3"/>
    <w:rsid w:val="000B6220"/>
    <w:rsid w:val="000B63AE"/>
    <w:rsid w:val="000B656F"/>
    <w:rsid w:val="000B6608"/>
    <w:rsid w:val="000B663A"/>
    <w:rsid w:val="000B66DC"/>
    <w:rsid w:val="000B68EA"/>
    <w:rsid w:val="000B6A8B"/>
    <w:rsid w:val="000B6B40"/>
    <w:rsid w:val="000B6C2A"/>
    <w:rsid w:val="000B6C99"/>
    <w:rsid w:val="000B6CC1"/>
    <w:rsid w:val="000B7107"/>
    <w:rsid w:val="000B738E"/>
    <w:rsid w:val="000B7693"/>
    <w:rsid w:val="000B7AF6"/>
    <w:rsid w:val="000B7C79"/>
    <w:rsid w:val="000B7D30"/>
    <w:rsid w:val="000B7FBC"/>
    <w:rsid w:val="000C0013"/>
    <w:rsid w:val="000C00E9"/>
    <w:rsid w:val="000C01C1"/>
    <w:rsid w:val="000C033F"/>
    <w:rsid w:val="000C042F"/>
    <w:rsid w:val="000C044A"/>
    <w:rsid w:val="000C0506"/>
    <w:rsid w:val="000C07B2"/>
    <w:rsid w:val="000C0AF2"/>
    <w:rsid w:val="000C0B4A"/>
    <w:rsid w:val="000C0B8D"/>
    <w:rsid w:val="000C0D70"/>
    <w:rsid w:val="000C0E11"/>
    <w:rsid w:val="000C1008"/>
    <w:rsid w:val="000C1228"/>
    <w:rsid w:val="000C1548"/>
    <w:rsid w:val="000C15F8"/>
    <w:rsid w:val="000C1ACB"/>
    <w:rsid w:val="000C212B"/>
    <w:rsid w:val="000C2212"/>
    <w:rsid w:val="000C25C2"/>
    <w:rsid w:val="000C28F5"/>
    <w:rsid w:val="000C2ACD"/>
    <w:rsid w:val="000C2E97"/>
    <w:rsid w:val="000C2F7D"/>
    <w:rsid w:val="000C3011"/>
    <w:rsid w:val="000C31C4"/>
    <w:rsid w:val="000C320F"/>
    <w:rsid w:val="000C33BA"/>
    <w:rsid w:val="000C345C"/>
    <w:rsid w:val="000C35EB"/>
    <w:rsid w:val="000C3ACC"/>
    <w:rsid w:val="000C3DC4"/>
    <w:rsid w:val="000C3FD8"/>
    <w:rsid w:val="000C400D"/>
    <w:rsid w:val="000C41CC"/>
    <w:rsid w:val="000C427C"/>
    <w:rsid w:val="000C45C3"/>
    <w:rsid w:val="000C48F4"/>
    <w:rsid w:val="000C495A"/>
    <w:rsid w:val="000C4960"/>
    <w:rsid w:val="000C4DEB"/>
    <w:rsid w:val="000C501C"/>
    <w:rsid w:val="000C508D"/>
    <w:rsid w:val="000C54FE"/>
    <w:rsid w:val="000C5719"/>
    <w:rsid w:val="000C5853"/>
    <w:rsid w:val="000C59B6"/>
    <w:rsid w:val="000C5A16"/>
    <w:rsid w:val="000C5BF1"/>
    <w:rsid w:val="000C5F41"/>
    <w:rsid w:val="000C5F98"/>
    <w:rsid w:val="000C64DC"/>
    <w:rsid w:val="000C6506"/>
    <w:rsid w:val="000C660A"/>
    <w:rsid w:val="000C6920"/>
    <w:rsid w:val="000C6D24"/>
    <w:rsid w:val="000C6DAD"/>
    <w:rsid w:val="000C6F01"/>
    <w:rsid w:val="000C72A2"/>
    <w:rsid w:val="000C7368"/>
    <w:rsid w:val="000C73CA"/>
    <w:rsid w:val="000C7494"/>
    <w:rsid w:val="000C7621"/>
    <w:rsid w:val="000C7D17"/>
    <w:rsid w:val="000C7DA3"/>
    <w:rsid w:val="000D04E9"/>
    <w:rsid w:val="000D05D0"/>
    <w:rsid w:val="000D07AE"/>
    <w:rsid w:val="000D08AE"/>
    <w:rsid w:val="000D08BC"/>
    <w:rsid w:val="000D0B71"/>
    <w:rsid w:val="000D0C60"/>
    <w:rsid w:val="000D134C"/>
    <w:rsid w:val="000D134D"/>
    <w:rsid w:val="000D13CF"/>
    <w:rsid w:val="000D14A9"/>
    <w:rsid w:val="000D165B"/>
    <w:rsid w:val="000D1743"/>
    <w:rsid w:val="000D179A"/>
    <w:rsid w:val="000D17DA"/>
    <w:rsid w:val="000D19E8"/>
    <w:rsid w:val="000D1BD8"/>
    <w:rsid w:val="000D1D68"/>
    <w:rsid w:val="000D227D"/>
    <w:rsid w:val="000D2403"/>
    <w:rsid w:val="000D2689"/>
    <w:rsid w:val="000D2B96"/>
    <w:rsid w:val="000D2DA9"/>
    <w:rsid w:val="000D30A7"/>
    <w:rsid w:val="000D3478"/>
    <w:rsid w:val="000D3669"/>
    <w:rsid w:val="000D3705"/>
    <w:rsid w:val="000D3757"/>
    <w:rsid w:val="000D3853"/>
    <w:rsid w:val="000D398D"/>
    <w:rsid w:val="000D4078"/>
    <w:rsid w:val="000D414B"/>
    <w:rsid w:val="000D41AD"/>
    <w:rsid w:val="000D433F"/>
    <w:rsid w:val="000D4379"/>
    <w:rsid w:val="000D48D3"/>
    <w:rsid w:val="000D4B23"/>
    <w:rsid w:val="000D5211"/>
    <w:rsid w:val="000D5314"/>
    <w:rsid w:val="000D5459"/>
    <w:rsid w:val="000D552B"/>
    <w:rsid w:val="000D55E1"/>
    <w:rsid w:val="000D58C1"/>
    <w:rsid w:val="000D5A60"/>
    <w:rsid w:val="000D5C2A"/>
    <w:rsid w:val="000D5E12"/>
    <w:rsid w:val="000D609E"/>
    <w:rsid w:val="000D62AB"/>
    <w:rsid w:val="000D636B"/>
    <w:rsid w:val="000D65D1"/>
    <w:rsid w:val="000D66CB"/>
    <w:rsid w:val="000D6972"/>
    <w:rsid w:val="000D6DF3"/>
    <w:rsid w:val="000D6E19"/>
    <w:rsid w:val="000D70B2"/>
    <w:rsid w:val="000D73EC"/>
    <w:rsid w:val="000D75D1"/>
    <w:rsid w:val="000D7682"/>
    <w:rsid w:val="000D7823"/>
    <w:rsid w:val="000D79F3"/>
    <w:rsid w:val="000D7A06"/>
    <w:rsid w:val="000D7A61"/>
    <w:rsid w:val="000D7D30"/>
    <w:rsid w:val="000D7E6A"/>
    <w:rsid w:val="000D7E7D"/>
    <w:rsid w:val="000D7FFD"/>
    <w:rsid w:val="000E0177"/>
    <w:rsid w:val="000E01F8"/>
    <w:rsid w:val="000E0276"/>
    <w:rsid w:val="000E0294"/>
    <w:rsid w:val="000E034D"/>
    <w:rsid w:val="000E0383"/>
    <w:rsid w:val="000E07FA"/>
    <w:rsid w:val="000E09AC"/>
    <w:rsid w:val="000E0C04"/>
    <w:rsid w:val="000E0C4D"/>
    <w:rsid w:val="000E0E4C"/>
    <w:rsid w:val="000E126A"/>
    <w:rsid w:val="000E12CB"/>
    <w:rsid w:val="000E15CE"/>
    <w:rsid w:val="000E15DC"/>
    <w:rsid w:val="000E19C2"/>
    <w:rsid w:val="000E1DEE"/>
    <w:rsid w:val="000E1EB7"/>
    <w:rsid w:val="000E1EC7"/>
    <w:rsid w:val="000E1F82"/>
    <w:rsid w:val="000E2320"/>
    <w:rsid w:val="000E2477"/>
    <w:rsid w:val="000E2739"/>
    <w:rsid w:val="000E27B6"/>
    <w:rsid w:val="000E2A3F"/>
    <w:rsid w:val="000E2D87"/>
    <w:rsid w:val="000E2DCC"/>
    <w:rsid w:val="000E313C"/>
    <w:rsid w:val="000E3355"/>
    <w:rsid w:val="000E33BA"/>
    <w:rsid w:val="000E34E2"/>
    <w:rsid w:val="000E44D0"/>
    <w:rsid w:val="000E45A4"/>
    <w:rsid w:val="000E462B"/>
    <w:rsid w:val="000E468C"/>
    <w:rsid w:val="000E46E0"/>
    <w:rsid w:val="000E4841"/>
    <w:rsid w:val="000E4881"/>
    <w:rsid w:val="000E4923"/>
    <w:rsid w:val="000E4B2F"/>
    <w:rsid w:val="000E4EDD"/>
    <w:rsid w:val="000E5116"/>
    <w:rsid w:val="000E55A5"/>
    <w:rsid w:val="000E5F06"/>
    <w:rsid w:val="000E60CE"/>
    <w:rsid w:val="000E6151"/>
    <w:rsid w:val="000E6251"/>
    <w:rsid w:val="000E65E0"/>
    <w:rsid w:val="000E669D"/>
    <w:rsid w:val="000E68E2"/>
    <w:rsid w:val="000E6BBF"/>
    <w:rsid w:val="000E6C96"/>
    <w:rsid w:val="000E6E4F"/>
    <w:rsid w:val="000E745B"/>
    <w:rsid w:val="000E74DF"/>
    <w:rsid w:val="000E74EC"/>
    <w:rsid w:val="000E753D"/>
    <w:rsid w:val="000E7540"/>
    <w:rsid w:val="000E75EC"/>
    <w:rsid w:val="000E781F"/>
    <w:rsid w:val="000E78E0"/>
    <w:rsid w:val="000E7BE7"/>
    <w:rsid w:val="000E7C0D"/>
    <w:rsid w:val="000F000C"/>
    <w:rsid w:val="000F0028"/>
    <w:rsid w:val="000F04A4"/>
    <w:rsid w:val="000F0636"/>
    <w:rsid w:val="000F06CD"/>
    <w:rsid w:val="000F0A03"/>
    <w:rsid w:val="000F0ACA"/>
    <w:rsid w:val="000F0B41"/>
    <w:rsid w:val="000F0C85"/>
    <w:rsid w:val="000F0D88"/>
    <w:rsid w:val="000F0E9C"/>
    <w:rsid w:val="000F1657"/>
    <w:rsid w:val="000F1891"/>
    <w:rsid w:val="000F1EAF"/>
    <w:rsid w:val="000F2189"/>
    <w:rsid w:val="000F2585"/>
    <w:rsid w:val="000F288B"/>
    <w:rsid w:val="000F28E6"/>
    <w:rsid w:val="000F2B1D"/>
    <w:rsid w:val="000F2BDB"/>
    <w:rsid w:val="000F2F14"/>
    <w:rsid w:val="000F301F"/>
    <w:rsid w:val="000F329A"/>
    <w:rsid w:val="000F333C"/>
    <w:rsid w:val="000F3381"/>
    <w:rsid w:val="000F34E8"/>
    <w:rsid w:val="000F3587"/>
    <w:rsid w:val="000F3AC1"/>
    <w:rsid w:val="000F3E84"/>
    <w:rsid w:val="000F4044"/>
    <w:rsid w:val="000F474F"/>
    <w:rsid w:val="000F4788"/>
    <w:rsid w:val="000F4983"/>
    <w:rsid w:val="000F498C"/>
    <w:rsid w:val="000F4A10"/>
    <w:rsid w:val="000F4B39"/>
    <w:rsid w:val="000F5118"/>
    <w:rsid w:val="000F518C"/>
    <w:rsid w:val="000F5317"/>
    <w:rsid w:val="000F532C"/>
    <w:rsid w:val="000F5434"/>
    <w:rsid w:val="000F551B"/>
    <w:rsid w:val="000F5CD1"/>
    <w:rsid w:val="000F6074"/>
    <w:rsid w:val="000F60B3"/>
    <w:rsid w:val="000F647A"/>
    <w:rsid w:val="000F68F9"/>
    <w:rsid w:val="000F6A63"/>
    <w:rsid w:val="000F6C37"/>
    <w:rsid w:val="000F6CCC"/>
    <w:rsid w:val="000F6F17"/>
    <w:rsid w:val="000F725B"/>
    <w:rsid w:val="000F75F5"/>
    <w:rsid w:val="000F765B"/>
    <w:rsid w:val="000F76EF"/>
    <w:rsid w:val="000F774A"/>
    <w:rsid w:val="000F78E9"/>
    <w:rsid w:val="000F7911"/>
    <w:rsid w:val="000F7B03"/>
    <w:rsid w:val="000F7D7F"/>
    <w:rsid w:val="000F7DEA"/>
    <w:rsid w:val="001000BF"/>
    <w:rsid w:val="001000C2"/>
    <w:rsid w:val="00100282"/>
    <w:rsid w:val="001002D0"/>
    <w:rsid w:val="00100528"/>
    <w:rsid w:val="001006CF"/>
    <w:rsid w:val="0010075A"/>
    <w:rsid w:val="00100768"/>
    <w:rsid w:val="00100B2B"/>
    <w:rsid w:val="00100E8C"/>
    <w:rsid w:val="0010176B"/>
    <w:rsid w:val="001019BF"/>
    <w:rsid w:val="001019C8"/>
    <w:rsid w:val="00101A84"/>
    <w:rsid w:val="00101B11"/>
    <w:rsid w:val="00101B64"/>
    <w:rsid w:val="00101C5A"/>
    <w:rsid w:val="0010204A"/>
    <w:rsid w:val="001022E8"/>
    <w:rsid w:val="0010241D"/>
    <w:rsid w:val="00102A86"/>
    <w:rsid w:val="00102E9A"/>
    <w:rsid w:val="00102F72"/>
    <w:rsid w:val="001032A7"/>
    <w:rsid w:val="001036F1"/>
    <w:rsid w:val="001036F2"/>
    <w:rsid w:val="0010384B"/>
    <w:rsid w:val="001039E8"/>
    <w:rsid w:val="00103AC2"/>
    <w:rsid w:val="00104153"/>
    <w:rsid w:val="00104462"/>
    <w:rsid w:val="00104581"/>
    <w:rsid w:val="001046FF"/>
    <w:rsid w:val="00104AFA"/>
    <w:rsid w:val="00104C5A"/>
    <w:rsid w:val="00104F92"/>
    <w:rsid w:val="00104F9E"/>
    <w:rsid w:val="0010508E"/>
    <w:rsid w:val="00105498"/>
    <w:rsid w:val="00105511"/>
    <w:rsid w:val="0010558E"/>
    <w:rsid w:val="0010592C"/>
    <w:rsid w:val="00105A1B"/>
    <w:rsid w:val="00105ABE"/>
    <w:rsid w:val="00105C1B"/>
    <w:rsid w:val="00105F35"/>
    <w:rsid w:val="00106084"/>
    <w:rsid w:val="0010661B"/>
    <w:rsid w:val="0010672B"/>
    <w:rsid w:val="00106885"/>
    <w:rsid w:val="00106B5E"/>
    <w:rsid w:val="00106DD0"/>
    <w:rsid w:val="00106E1B"/>
    <w:rsid w:val="00106ED4"/>
    <w:rsid w:val="00106F4E"/>
    <w:rsid w:val="00107366"/>
    <w:rsid w:val="00107395"/>
    <w:rsid w:val="00107449"/>
    <w:rsid w:val="0010767E"/>
    <w:rsid w:val="00107856"/>
    <w:rsid w:val="00107AA5"/>
    <w:rsid w:val="00107BB0"/>
    <w:rsid w:val="00107BB5"/>
    <w:rsid w:val="00107C46"/>
    <w:rsid w:val="00107CEC"/>
    <w:rsid w:val="00107D7E"/>
    <w:rsid w:val="00107E7E"/>
    <w:rsid w:val="00107EC8"/>
    <w:rsid w:val="00110A57"/>
    <w:rsid w:val="00110B11"/>
    <w:rsid w:val="00110B7C"/>
    <w:rsid w:val="00110E37"/>
    <w:rsid w:val="0011139C"/>
    <w:rsid w:val="00111939"/>
    <w:rsid w:val="00111FCF"/>
    <w:rsid w:val="001122B2"/>
    <w:rsid w:val="00112309"/>
    <w:rsid w:val="001123BC"/>
    <w:rsid w:val="00112452"/>
    <w:rsid w:val="001124AF"/>
    <w:rsid w:val="0011258C"/>
    <w:rsid w:val="001126A7"/>
    <w:rsid w:val="0011291D"/>
    <w:rsid w:val="00112A5D"/>
    <w:rsid w:val="00112CA6"/>
    <w:rsid w:val="00113110"/>
    <w:rsid w:val="0011346E"/>
    <w:rsid w:val="00113861"/>
    <w:rsid w:val="001138E7"/>
    <w:rsid w:val="00113CA7"/>
    <w:rsid w:val="00113D70"/>
    <w:rsid w:val="00114003"/>
    <w:rsid w:val="001142B2"/>
    <w:rsid w:val="0011456E"/>
    <w:rsid w:val="001147DB"/>
    <w:rsid w:val="00114A27"/>
    <w:rsid w:val="00114B17"/>
    <w:rsid w:val="00114E38"/>
    <w:rsid w:val="00114E9B"/>
    <w:rsid w:val="00114F6C"/>
    <w:rsid w:val="00115068"/>
    <w:rsid w:val="00115113"/>
    <w:rsid w:val="00115169"/>
    <w:rsid w:val="0011542D"/>
    <w:rsid w:val="00115584"/>
    <w:rsid w:val="00115746"/>
    <w:rsid w:val="00115AA4"/>
    <w:rsid w:val="00116038"/>
    <w:rsid w:val="00116062"/>
    <w:rsid w:val="0011614A"/>
    <w:rsid w:val="00116415"/>
    <w:rsid w:val="001169FC"/>
    <w:rsid w:val="00116D30"/>
    <w:rsid w:val="00117415"/>
    <w:rsid w:val="001175B2"/>
    <w:rsid w:val="001179BD"/>
    <w:rsid w:val="00117A6E"/>
    <w:rsid w:val="00117B0C"/>
    <w:rsid w:val="00117B82"/>
    <w:rsid w:val="00117B9D"/>
    <w:rsid w:val="00117E6B"/>
    <w:rsid w:val="00117F06"/>
    <w:rsid w:val="0012005F"/>
    <w:rsid w:val="00120245"/>
    <w:rsid w:val="001203F9"/>
    <w:rsid w:val="00120533"/>
    <w:rsid w:val="00120563"/>
    <w:rsid w:val="001206A5"/>
    <w:rsid w:val="0012070A"/>
    <w:rsid w:val="00120B0F"/>
    <w:rsid w:val="00120B14"/>
    <w:rsid w:val="00120DFE"/>
    <w:rsid w:val="00120E0F"/>
    <w:rsid w:val="00120E20"/>
    <w:rsid w:val="00120F2E"/>
    <w:rsid w:val="001211B4"/>
    <w:rsid w:val="001216FD"/>
    <w:rsid w:val="0012183B"/>
    <w:rsid w:val="001218E1"/>
    <w:rsid w:val="00121B59"/>
    <w:rsid w:val="00121B80"/>
    <w:rsid w:val="00121CC7"/>
    <w:rsid w:val="00121DE1"/>
    <w:rsid w:val="00121DE5"/>
    <w:rsid w:val="00121E0D"/>
    <w:rsid w:val="0012200A"/>
    <w:rsid w:val="00122144"/>
    <w:rsid w:val="0012237D"/>
    <w:rsid w:val="00122502"/>
    <w:rsid w:val="001225D5"/>
    <w:rsid w:val="00122992"/>
    <w:rsid w:val="00122DBB"/>
    <w:rsid w:val="00123091"/>
    <w:rsid w:val="00123165"/>
    <w:rsid w:val="00123371"/>
    <w:rsid w:val="001233A7"/>
    <w:rsid w:val="001234DF"/>
    <w:rsid w:val="001235DD"/>
    <w:rsid w:val="001236BE"/>
    <w:rsid w:val="001238BC"/>
    <w:rsid w:val="00123911"/>
    <w:rsid w:val="00123912"/>
    <w:rsid w:val="001239A5"/>
    <w:rsid w:val="00123BA3"/>
    <w:rsid w:val="00123CC1"/>
    <w:rsid w:val="0012470D"/>
    <w:rsid w:val="00124A6D"/>
    <w:rsid w:val="00124AED"/>
    <w:rsid w:val="00124DB5"/>
    <w:rsid w:val="00124F80"/>
    <w:rsid w:val="00124F82"/>
    <w:rsid w:val="00125172"/>
    <w:rsid w:val="00125219"/>
    <w:rsid w:val="001256CC"/>
    <w:rsid w:val="00125A21"/>
    <w:rsid w:val="00125DF8"/>
    <w:rsid w:val="00125E82"/>
    <w:rsid w:val="00125EEC"/>
    <w:rsid w:val="00126291"/>
    <w:rsid w:val="001262A6"/>
    <w:rsid w:val="001262EF"/>
    <w:rsid w:val="00126425"/>
    <w:rsid w:val="00126651"/>
    <w:rsid w:val="001266CD"/>
    <w:rsid w:val="00126777"/>
    <w:rsid w:val="001268AC"/>
    <w:rsid w:val="00126927"/>
    <w:rsid w:val="00126A7E"/>
    <w:rsid w:val="00126AAF"/>
    <w:rsid w:val="00126E1F"/>
    <w:rsid w:val="0012723F"/>
    <w:rsid w:val="0012732E"/>
    <w:rsid w:val="0012766B"/>
    <w:rsid w:val="00127754"/>
    <w:rsid w:val="00127C0F"/>
    <w:rsid w:val="00127C6C"/>
    <w:rsid w:val="00127D2A"/>
    <w:rsid w:val="00127E70"/>
    <w:rsid w:val="00130028"/>
    <w:rsid w:val="0013007E"/>
    <w:rsid w:val="00130114"/>
    <w:rsid w:val="00130122"/>
    <w:rsid w:val="001306C5"/>
    <w:rsid w:val="00130710"/>
    <w:rsid w:val="001308C2"/>
    <w:rsid w:val="00130AD4"/>
    <w:rsid w:val="00130B3C"/>
    <w:rsid w:val="0013122D"/>
    <w:rsid w:val="00131B90"/>
    <w:rsid w:val="00131CE4"/>
    <w:rsid w:val="00132069"/>
    <w:rsid w:val="0013245A"/>
    <w:rsid w:val="0013259F"/>
    <w:rsid w:val="0013278E"/>
    <w:rsid w:val="001327CC"/>
    <w:rsid w:val="00132AC9"/>
    <w:rsid w:val="00132B5C"/>
    <w:rsid w:val="00132CF3"/>
    <w:rsid w:val="00132F86"/>
    <w:rsid w:val="00133300"/>
    <w:rsid w:val="00133BAB"/>
    <w:rsid w:val="00133D94"/>
    <w:rsid w:val="00134151"/>
    <w:rsid w:val="00134157"/>
    <w:rsid w:val="001342DA"/>
    <w:rsid w:val="001344F0"/>
    <w:rsid w:val="00134517"/>
    <w:rsid w:val="00134549"/>
    <w:rsid w:val="001346CF"/>
    <w:rsid w:val="00134B99"/>
    <w:rsid w:val="00134B9B"/>
    <w:rsid w:val="00134D36"/>
    <w:rsid w:val="00134F81"/>
    <w:rsid w:val="001351E3"/>
    <w:rsid w:val="00135241"/>
    <w:rsid w:val="001352F5"/>
    <w:rsid w:val="0013595B"/>
    <w:rsid w:val="00135BEF"/>
    <w:rsid w:val="00135DFA"/>
    <w:rsid w:val="001360D0"/>
    <w:rsid w:val="00136219"/>
    <w:rsid w:val="00136304"/>
    <w:rsid w:val="00136BBE"/>
    <w:rsid w:val="00136CC9"/>
    <w:rsid w:val="00136D07"/>
    <w:rsid w:val="00136D39"/>
    <w:rsid w:val="00136D6D"/>
    <w:rsid w:val="00136FE6"/>
    <w:rsid w:val="00137016"/>
    <w:rsid w:val="00137907"/>
    <w:rsid w:val="00137C92"/>
    <w:rsid w:val="00137C9C"/>
    <w:rsid w:val="00137FB4"/>
    <w:rsid w:val="00137FD0"/>
    <w:rsid w:val="0014023C"/>
    <w:rsid w:val="0014038B"/>
    <w:rsid w:val="001403CA"/>
    <w:rsid w:val="00140937"/>
    <w:rsid w:val="00140999"/>
    <w:rsid w:val="001409AE"/>
    <w:rsid w:val="00140A65"/>
    <w:rsid w:val="00140AF4"/>
    <w:rsid w:val="00140B39"/>
    <w:rsid w:val="00140BAF"/>
    <w:rsid w:val="00140BFD"/>
    <w:rsid w:val="00140F83"/>
    <w:rsid w:val="00140FD6"/>
    <w:rsid w:val="00141173"/>
    <w:rsid w:val="00141285"/>
    <w:rsid w:val="0014136C"/>
    <w:rsid w:val="00141601"/>
    <w:rsid w:val="00141760"/>
    <w:rsid w:val="001419BE"/>
    <w:rsid w:val="00141AB2"/>
    <w:rsid w:val="00141CA4"/>
    <w:rsid w:val="00141CEA"/>
    <w:rsid w:val="00141FD8"/>
    <w:rsid w:val="00142088"/>
    <w:rsid w:val="001422A9"/>
    <w:rsid w:val="0014249A"/>
    <w:rsid w:val="00142725"/>
    <w:rsid w:val="00142756"/>
    <w:rsid w:val="001427AF"/>
    <w:rsid w:val="00142C88"/>
    <w:rsid w:val="00142D6B"/>
    <w:rsid w:val="00142DAC"/>
    <w:rsid w:val="00142E45"/>
    <w:rsid w:val="00142F5A"/>
    <w:rsid w:val="001432EA"/>
    <w:rsid w:val="00143349"/>
    <w:rsid w:val="00143376"/>
    <w:rsid w:val="00143430"/>
    <w:rsid w:val="00143579"/>
    <w:rsid w:val="0014369D"/>
    <w:rsid w:val="00143B67"/>
    <w:rsid w:val="00143C1E"/>
    <w:rsid w:val="00144110"/>
    <w:rsid w:val="001441B0"/>
    <w:rsid w:val="001442D7"/>
    <w:rsid w:val="00144653"/>
    <w:rsid w:val="00144683"/>
    <w:rsid w:val="00144729"/>
    <w:rsid w:val="00144904"/>
    <w:rsid w:val="00144D32"/>
    <w:rsid w:val="00145216"/>
    <w:rsid w:val="0014541A"/>
    <w:rsid w:val="00145478"/>
    <w:rsid w:val="00145488"/>
    <w:rsid w:val="0014564C"/>
    <w:rsid w:val="00145AED"/>
    <w:rsid w:val="00145B75"/>
    <w:rsid w:val="00145BA9"/>
    <w:rsid w:val="00145C79"/>
    <w:rsid w:val="00146105"/>
    <w:rsid w:val="00146346"/>
    <w:rsid w:val="001463F1"/>
    <w:rsid w:val="001466CE"/>
    <w:rsid w:val="00146982"/>
    <w:rsid w:val="001469FC"/>
    <w:rsid w:val="00146C43"/>
    <w:rsid w:val="00146CAC"/>
    <w:rsid w:val="00146DF6"/>
    <w:rsid w:val="00146F1E"/>
    <w:rsid w:val="00147483"/>
    <w:rsid w:val="00147770"/>
    <w:rsid w:val="001477A1"/>
    <w:rsid w:val="00147E54"/>
    <w:rsid w:val="00150108"/>
    <w:rsid w:val="00150427"/>
    <w:rsid w:val="0015054E"/>
    <w:rsid w:val="00150708"/>
    <w:rsid w:val="00150BB0"/>
    <w:rsid w:val="00150BF7"/>
    <w:rsid w:val="00150D10"/>
    <w:rsid w:val="00150F64"/>
    <w:rsid w:val="00150FDD"/>
    <w:rsid w:val="001510DD"/>
    <w:rsid w:val="00151316"/>
    <w:rsid w:val="0015132E"/>
    <w:rsid w:val="00151346"/>
    <w:rsid w:val="00151B2C"/>
    <w:rsid w:val="00151BDE"/>
    <w:rsid w:val="00151D71"/>
    <w:rsid w:val="0015211D"/>
    <w:rsid w:val="00152159"/>
    <w:rsid w:val="0015220C"/>
    <w:rsid w:val="0015220D"/>
    <w:rsid w:val="0015224C"/>
    <w:rsid w:val="0015254B"/>
    <w:rsid w:val="001527F9"/>
    <w:rsid w:val="00152AFD"/>
    <w:rsid w:val="00152DEE"/>
    <w:rsid w:val="00152EF8"/>
    <w:rsid w:val="00152F08"/>
    <w:rsid w:val="00152FD4"/>
    <w:rsid w:val="001530EC"/>
    <w:rsid w:val="00153196"/>
    <w:rsid w:val="0015325D"/>
    <w:rsid w:val="0015327C"/>
    <w:rsid w:val="00153767"/>
    <w:rsid w:val="001537A5"/>
    <w:rsid w:val="00153914"/>
    <w:rsid w:val="00153C96"/>
    <w:rsid w:val="00153ECE"/>
    <w:rsid w:val="00153EEE"/>
    <w:rsid w:val="00153F64"/>
    <w:rsid w:val="00154020"/>
    <w:rsid w:val="001542B3"/>
    <w:rsid w:val="001543FA"/>
    <w:rsid w:val="0015468B"/>
    <w:rsid w:val="001546D2"/>
    <w:rsid w:val="00154743"/>
    <w:rsid w:val="00154990"/>
    <w:rsid w:val="00154C4E"/>
    <w:rsid w:val="00154C60"/>
    <w:rsid w:val="001553F6"/>
    <w:rsid w:val="001554BC"/>
    <w:rsid w:val="001557FA"/>
    <w:rsid w:val="00155A7C"/>
    <w:rsid w:val="00155AA8"/>
    <w:rsid w:val="00155DE9"/>
    <w:rsid w:val="00155E29"/>
    <w:rsid w:val="00155EBB"/>
    <w:rsid w:val="00155ED3"/>
    <w:rsid w:val="001561E4"/>
    <w:rsid w:val="001564D5"/>
    <w:rsid w:val="001565B6"/>
    <w:rsid w:val="001565DD"/>
    <w:rsid w:val="00156695"/>
    <w:rsid w:val="001568EB"/>
    <w:rsid w:val="00156CF0"/>
    <w:rsid w:val="00156D17"/>
    <w:rsid w:val="00156DD9"/>
    <w:rsid w:val="00156F7C"/>
    <w:rsid w:val="00157254"/>
    <w:rsid w:val="001573C1"/>
    <w:rsid w:val="00157874"/>
    <w:rsid w:val="00157AD5"/>
    <w:rsid w:val="00157C42"/>
    <w:rsid w:val="00157D08"/>
    <w:rsid w:val="00157D0C"/>
    <w:rsid w:val="001601B4"/>
    <w:rsid w:val="001603D8"/>
    <w:rsid w:val="0016040C"/>
    <w:rsid w:val="001604C8"/>
    <w:rsid w:val="001604D1"/>
    <w:rsid w:val="001605B9"/>
    <w:rsid w:val="001608F3"/>
    <w:rsid w:val="00160C7C"/>
    <w:rsid w:val="00160D30"/>
    <w:rsid w:val="00160D52"/>
    <w:rsid w:val="00160DD6"/>
    <w:rsid w:val="00160FBD"/>
    <w:rsid w:val="00161010"/>
    <w:rsid w:val="001611CD"/>
    <w:rsid w:val="00161291"/>
    <w:rsid w:val="0016146A"/>
    <w:rsid w:val="001615A8"/>
    <w:rsid w:val="0016197B"/>
    <w:rsid w:val="0016204E"/>
    <w:rsid w:val="0016292A"/>
    <w:rsid w:val="0016292E"/>
    <w:rsid w:val="00162963"/>
    <w:rsid w:val="00162997"/>
    <w:rsid w:val="001629B6"/>
    <w:rsid w:val="00162ABA"/>
    <w:rsid w:val="00162CAA"/>
    <w:rsid w:val="00162D28"/>
    <w:rsid w:val="00162EAE"/>
    <w:rsid w:val="00163144"/>
    <w:rsid w:val="00163160"/>
    <w:rsid w:val="001631A0"/>
    <w:rsid w:val="00163F26"/>
    <w:rsid w:val="00164043"/>
    <w:rsid w:val="001641A2"/>
    <w:rsid w:val="00164401"/>
    <w:rsid w:val="00164766"/>
    <w:rsid w:val="00164924"/>
    <w:rsid w:val="00164EDD"/>
    <w:rsid w:val="00164F92"/>
    <w:rsid w:val="00164FA1"/>
    <w:rsid w:val="00164FB3"/>
    <w:rsid w:val="0016514A"/>
    <w:rsid w:val="00165187"/>
    <w:rsid w:val="0016518D"/>
    <w:rsid w:val="001657D6"/>
    <w:rsid w:val="00165B88"/>
    <w:rsid w:val="00165BB2"/>
    <w:rsid w:val="00165BF2"/>
    <w:rsid w:val="00165D3C"/>
    <w:rsid w:val="00165EF7"/>
    <w:rsid w:val="00165FEE"/>
    <w:rsid w:val="0016605E"/>
    <w:rsid w:val="00166074"/>
    <w:rsid w:val="0016609E"/>
    <w:rsid w:val="0016625A"/>
    <w:rsid w:val="00166525"/>
    <w:rsid w:val="001665CD"/>
    <w:rsid w:val="001666D9"/>
    <w:rsid w:val="0016683A"/>
    <w:rsid w:val="00166B18"/>
    <w:rsid w:val="00166BCE"/>
    <w:rsid w:val="00166DCE"/>
    <w:rsid w:val="001671F9"/>
    <w:rsid w:val="00167607"/>
    <w:rsid w:val="00167787"/>
    <w:rsid w:val="001679AC"/>
    <w:rsid w:val="00167A5B"/>
    <w:rsid w:val="00167CDA"/>
    <w:rsid w:val="001701B3"/>
    <w:rsid w:val="001702AD"/>
    <w:rsid w:val="001702F1"/>
    <w:rsid w:val="001705A8"/>
    <w:rsid w:val="0017061E"/>
    <w:rsid w:val="00170A0A"/>
    <w:rsid w:val="00170B56"/>
    <w:rsid w:val="00170FBD"/>
    <w:rsid w:val="0017117D"/>
    <w:rsid w:val="001711A1"/>
    <w:rsid w:val="001713A6"/>
    <w:rsid w:val="00171603"/>
    <w:rsid w:val="00171800"/>
    <w:rsid w:val="00171837"/>
    <w:rsid w:val="001718FB"/>
    <w:rsid w:val="0017196F"/>
    <w:rsid w:val="001724DD"/>
    <w:rsid w:val="00172633"/>
    <w:rsid w:val="001726ED"/>
    <w:rsid w:val="00172800"/>
    <w:rsid w:val="00172908"/>
    <w:rsid w:val="0017304D"/>
    <w:rsid w:val="0017327E"/>
    <w:rsid w:val="001736E6"/>
    <w:rsid w:val="0017377E"/>
    <w:rsid w:val="0017385C"/>
    <w:rsid w:val="00173965"/>
    <w:rsid w:val="00173FBA"/>
    <w:rsid w:val="00173FEE"/>
    <w:rsid w:val="001743EB"/>
    <w:rsid w:val="0017461A"/>
    <w:rsid w:val="00174652"/>
    <w:rsid w:val="00174891"/>
    <w:rsid w:val="001748AF"/>
    <w:rsid w:val="00174A1E"/>
    <w:rsid w:val="00174AA3"/>
    <w:rsid w:val="00174EAA"/>
    <w:rsid w:val="00174EE1"/>
    <w:rsid w:val="00174F29"/>
    <w:rsid w:val="00174FE8"/>
    <w:rsid w:val="001755C0"/>
    <w:rsid w:val="0017580F"/>
    <w:rsid w:val="00175BB0"/>
    <w:rsid w:val="00175C82"/>
    <w:rsid w:val="00175EAE"/>
    <w:rsid w:val="00176102"/>
    <w:rsid w:val="00176446"/>
    <w:rsid w:val="00176467"/>
    <w:rsid w:val="00176477"/>
    <w:rsid w:val="0017668A"/>
    <w:rsid w:val="001767F4"/>
    <w:rsid w:val="0017694F"/>
    <w:rsid w:val="00176A5D"/>
    <w:rsid w:val="00176AF8"/>
    <w:rsid w:val="00176FFD"/>
    <w:rsid w:val="00177465"/>
    <w:rsid w:val="0017747E"/>
    <w:rsid w:val="001774EB"/>
    <w:rsid w:val="00177761"/>
    <w:rsid w:val="0017779E"/>
    <w:rsid w:val="001777CB"/>
    <w:rsid w:val="00177A16"/>
    <w:rsid w:val="00177A17"/>
    <w:rsid w:val="00177A2A"/>
    <w:rsid w:val="00177B8B"/>
    <w:rsid w:val="00177E5F"/>
    <w:rsid w:val="00180184"/>
    <w:rsid w:val="001801CB"/>
    <w:rsid w:val="0018052C"/>
    <w:rsid w:val="001809F1"/>
    <w:rsid w:val="00180D85"/>
    <w:rsid w:val="0018130F"/>
    <w:rsid w:val="001816CA"/>
    <w:rsid w:val="00181A1D"/>
    <w:rsid w:val="00181DA5"/>
    <w:rsid w:val="00181E62"/>
    <w:rsid w:val="0018229F"/>
    <w:rsid w:val="001824B9"/>
    <w:rsid w:val="00182690"/>
    <w:rsid w:val="001829F7"/>
    <w:rsid w:val="00182EE9"/>
    <w:rsid w:val="00183031"/>
    <w:rsid w:val="0018316D"/>
    <w:rsid w:val="00183253"/>
    <w:rsid w:val="001834CC"/>
    <w:rsid w:val="00183D9A"/>
    <w:rsid w:val="00184018"/>
    <w:rsid w:val="001841C6"/>
    <w:rsid w:val="00184267"/>
    <w:rsid w:val="001842D3"/>
    <w:rsid w:val="00184363"/>
    <w:rsid w:val="001847B3"/>
    <w:rsid w:val="001847D6"/>
    <w:rsid w:val="001847E1"/>
    <w:rsid w:val="0018494F"/>
    <w:rsid w:val="00184FAC"/>
    <w:rsid w:val="001851FF"/>
    <w:rsid w:val="0018522F"/>
    <w:rsid w:val="00185461"/>
    <w:rsid w:val="001854F5"/>
    <w:rsid w:val="001856A4"/>
    <w:rsid w:val="00185709"/>
    <w:rsid w:val="001858ED"/>
    <w:rsid w:val="00185905"/>
    <w:rsid w:val="00185BF5"/>
    <w:rsid w:val="00185C0D"/>
    <w:rsid w:val="00185D89"/>
    <w:rsid w:val="00186007"/>
    <w:rsid w:val="00186156"/>
    <w:rsid w:val="00186700"/>
    <w:rsid w:val="00186792"/>
    <w:rsid w:val="0018679C"/>
    <w:rsid w:val="0018683E"/>
    <w:rsid w:val="00186A54"/>
    <w:rsid w:val="00186A5C"/>
    <w:rsid w:val="00186AC3"/>
    <w:rsid w:val="00186DBE"/>
    <w:rsid w:val="0018742B"/>
    <w:rsid w:val="0018758F"/>
    <w:rsid w:val="001875C1"/>
    <w:rsid w:val="001879AF"/>
    <w:rsid w:val="00187BBA"/>
    <w:rsid w:val="00190359"/>
    <w:rsid w:val="0019035E"/>
    <w:rsid w:val="001903D6"/>
    <w:rsid w:val="00190472"/>
    <w:rsid w:val="0019057C"/>
    <w:rsid w:val="001905BE"/>
    <w:rsid w:val="001905CC"/>
    <w:rsid w:val="00190631"/>
    <w:rsid w:val="001906C5"/>
    <w:rsid w:val="00190E21"/>
    <w:rsid w:val="0019105E"/>
    <w:rsid w:val="00191226"/>
    <w:rsid w:val="001913BA"/>
    <w:rsid w:val="001913BF"/>
    <w:rsid w:val="001913F9"/>
    <w:rsid w:val="001918C7"/>
    <w:rsid w:val="00191C1D"/>
    <w:rsid w:val="00191E0D"/>
    <w:rsid w:val="00191EB3"/>
    <w:rsid w:val="00191F27"/>
    <w:rsid w:val="00191F82"/>
    <w:rsid w:val="001920B7"/>
    <w:rsid w:val="001920F1"/>
    <w:rsid w:val="0019239C"/>
    <w:rsid w:val="001925F0"/>
    <w:rsid w:val="001928A6"/>
    <w:rsid w:val="00192921"/>
    <w:rsid w:val="00192A3D"/>
    <w:rsid w:val="00192AC7"/>
    <w:rsid w:val="00192C33"/>
    <w:rsid w:val="00192F64"/>
    <w:rsid w:val="001930D4"/>
    <w:rsid w:val="001931DB"/>
    <w:rsid w:val="001933E5"/>
    <w:rsid w:val="0019346D"/>
    <w:rsid w:val="001939FF"/>
    <w:rsid w:val="00193B53"/>
    <w:rsid w:val="00193BAF"/>
    <w:rsid w:val="00193BEB"/>
    <w:rsid w:val="00193DD0"/>
    <w:rsid w:val="00193E97"/>
    <w:rsid w:val="00193F38"/>
    <w:rsid w:val="001944EA"/>
    <w:rsid w:val="00194D44"/>
    <w:rsid w:val="00194EAA"/>
    <w:rsid w:val="00194ECF"/>
    <w:rsid w:val="0019520B"/>
    <w:rsid w:val="001952CE"/>
    <w:rsid w:val="0019548F"/>
    <w:rsid w:val="0019569C"/>
    <w:rsid w:val="0019569D"/>
    <w:rsid w:val="00195915"/>
    <w:rsid w:val="00195A1B"/>
    <w:rsid w:val="00195B99"/>
    <w:rsid w:val="00195C5E"/>
    <w:rsid w:val="00195CE9"/>
    <w:rsid w:val="0019624E"/>
    <w:rsid w:val="00196426"/>
    <w:rsid w:val="00196651"/>
    <w:rsid w:val="001967EF"/>
    <w:rsid w:val="00196974"/>
    <w:rsid w:val="00196B64"/>
    <w:rsid w:val="0019759A"/>
    <w:rsid w:val="001976E9"/>
    <w:rsid w:val="00197893"/>
    <w:rsid w:val="001978B6"/>
    <w:rsid w:val="001978DD"/>
    <w:rsid w:val="00197B77"/>
    <w:rsid w:val="00197D9A"/>
    <w:rsid w:val="001A003B"/>
    <w:rsid w:val="001A00D1"/>
    <w:rsid w:val="001A0502"/>
    <w:rsid w:val="001A0657"/>
    <w:rsid w:val="001A08BA"/>
    <w:rsid w:val="001A0B0F"/>
    <w:rsid w:val="001A0B6B"/>
    <w:rsid w:val="001A0B7D"/>
    <w:rsid w:val="001A0B8A"/>
    <w:rsid w:val="001A102D"/>
    <w:rsid w:val="001A13C1"/>
    <w:rsid w:val="001A16F9"/>
    <w:rsid w:val="001A1953"/>
    <w:rsid w:val="001A1A8E"/>
    <w:rsid w:val="001A1AF7"/>
    <w:rsid w:val="001A2581"/>
    <w:rsid w:val="001A2759"/>
    <w:rsid w:val="001A289A"/>
    <w:rsid w:val="001A2AD9"/>
    <w:rsid w:val="001A2B1C"/>
    <w:rsid w:val="001A2B4D"/>
    <w:rsid w:val="001A2D13"/>
    <w:rsid w:val="001A3384"/>
    <w:rsid w:val="001A33D0"/>
    <w:rsid w:val="001A34CF"/>
    <w:rsid w:val="001A37C9"/>
    <w:rsid w:val="001A3A99"/>
    <w:rsid w:val="001A3AD2"/>
    <w:rsid w:val="001A3B23"/>
    <w:rsid w:val="001A3BF2"/>
    <w:rsid w:val="001A3C3F"/>
    <w:rsid w:val="001A3C8B"/>
    <w:rsid w:val="001A3DB6"/>
    <w:rsid w:val="001A407D"/>
    <w:rsid w:val="001A42BF"/>
    <w:rsid w:val="001A465D"/>
    <w:rsid w:val="001A4765"/>
    <w:rsid w:val="001A49CA"/>
    <w:rsid w:val="001A4A50"/>
    <w:rsid w:val="001A4D22"/>
    <w:rsid w:val="001A4D59"/>
    <w:rsid w:val="001A4F14"/>
    <w:rsid w:val="001A556C"/>
    <w:rsid w:val="001A56FC"/>
    <w:rsid w:val="001A60C5"/>
    <w:rsid w:val="001A652C"/>
    <w:rsid w:val="001A6555"/>
    <w:rsid w:val="001A678C"/>
    <w:rsid w:val="001A6972"/>
    <w:rsid w:val="001A6A96"/>
    <w:rsid w:val="001A6B32"/>
    <w:rsid w:val="001A70C4"/>
    <w:rsid w:val="001A73A7"/>
    <w:rsid w:val="001A75D6"/>
    <w:rsid w:val="001A76A5"/>
    <w:rsid w:val="001A780D"/>
    <w:rsid w:val="001A7905"/>
    <w:rsid w:val="001A79FF"/>
    <w:rsid w:val="001A7D2E"/>
    <w:rsid w:val="001A7FA8"/>
    <w:rsid w:val="001B01C8"/>
    <w:rsid w:val="001B02B5"/>
    <w:rsid w:val="001B0675"/>
    <w:rsid w:val="001B06FD"/>
    <w:rsid w:val="001B0754"/>
    <w:rsid w:val="001B0C8A"/>
    <w:rsid w:val="001B1133"/>
    <w:rsid w:val="001B16A0"/>
    <w:rsid w:val="001B1B75"/>
    <w:rsid w:val="001B1E9A"/>
    <w:rsid w:val="001B221C"/>
    <w:rsid w:val="001B23B1"/>
    <w:rsid w:val="001B24B7"/>
    <w:rsid w:val="001B253B"/>
    <w:rsid w:val="001B2572"/>
    <w:rsid w:val="001B279C"/>
    <w:rsid w:val="001B27C9"/>
    <w:rsid w:val="001B28B8"/>
    <w:rsid w:val="001B28F7"/>
    <w:rsid w:val="001B2939"/>
    <w:rsid w:val="001B2B28"/>
    <w:rsid w:val="001B2CAA"/>
    <w:rsid w:val="001B2E2F"/>
    <w:rsid w:val="001B2F8C"/>
    <w:rsid w:val="001B3393"/>
    <w:rsid w:val="001B3774"/>
    <w:rsid w:val="001B378F"/>
    <w:rsid w:val="001B386F"/>
    <w:rsid w:val="001B390B"/>
    <w:rsid w:val="001B3A5E"/>
    <w:rsid w:val="001B3A78"/>
    <w:rsid w:val="001B3B0F"/>
    <w:rsid w:val="001B4426"/>
    <w:rsid w:val="001B44EE"/>
    <w:rsid w:val="001B4BC5"/>
    <w:rsid w:val="001B4DD7"/>
    <w:rsid w:val="001B4E6B"/>
    <w:rsid w:val="001B4FC0"/>
    <w:rsid w:val="001B51CD"/>
    <w:rsid w:val="001B5576"/>
    <w:rsid w:val="001B5607"/>
    <w:rsid w:val="001B565C"/>
    <w:rsid w:val="001B5683"/>
    <w:rsid w:val="001B5A13"/>
    <w:rsid w:val="001B5B10"/>
    <w:rsid w:val="001B5C61"/>
    <w:rsid w:val="001B5CE4"/>
    <w:rsid w:val="001B5CEB"/>
    <w:rsid w:val="001B5D7B"/>
    <w:rsid w:val="001B5F02"/>
    <w:rsid w:val="001B5F70"/>
    <w:rsid w:val="001B6077"/>
    <w:rsid w:val="001B61F4"/>
    <w:rsid w:val="001B63A9"/>
    <w:rsid w:val="001B6459"/>
    <w:rsid w:val="001B6977"/>
    <w:rsid w:val="001B6CE6"/>
    <w:rsid w:val="001B6E69"/>
    <w:rsid w:val="001B6EB9"/>
    <w:rsid w:val="001B701C"/>
    <w:rsid w:val="001B73C3"/>
    <w:rsid w:val="001B77F6"/>
    <w:rsid w:val="001B786B"/>
    <w:rsid w:val="001B7A87"/>
    <w:rsid w:val="001B7BDC"/>
    <w:rsid w:val="001B7C80"/>
    <w:rsid w:val="001C00AB"/>
    <w:rsid w:val="001C023A"/>
    <w:rsid w:val="001C0382"/>
    <w:rsid w:val="001C0478"/>
    <w:rsid w:val="001C04C8"/>
    <w:rsid w:val="001C0792"/>
    <w:rsid w:val="001C0AA6"/>
    <w:rsid w:val="001C0AEC"/>
    <w:rsid w:val="001C1396"/>
    <w:rsid w:val="001C1646"/>
    <w:rsid w:val="001C1A81"/>
    <w:rsid w:val="001C1EE0"/>
    <w:rsid w:val="001C222B"/>
    <w:rsid w:val="001C2356"/>
    <w:rsid w:val="001C238E"/>
    <w:rsid w:val="001C2907"/>
    <w:rsid w:val="001C2C6B"/>
    <w:rsid w:val="001C2C9E"/>
    <w:rsid w:val="001C2DB1"/>
    <w:rsid w:val="001C2E2A"/>
    <w:rsid w:val="001C2EA3"/>
    <w:rsid w:val="001C303B"/>
    <w:rsid w:val="001C33E2"/>
    <w:rsid w:val="001C33EA"/>
    <w:rsid w:val="001C3451"/>
    <w:rsid w:val="001C3461"/>
    <w:rsid w:val="001C3797"/>
    <w:rsid w:val="001C3812"/>
    <w:rsid w:val="001C388E"/>
    <w:rsid w:val="001C392F"/>
    <w:rsid w:val="001C3C4F"/>
    <w:rsid w:val="001C4426"/>
    <w:rsid w:val="001C483D"/>
    <w:rsid w:val="001C4A53"/>
    <w:rsid w:val="001C4BD4"/>
    <w:rsid w:val="001C4D21"/>
    <w:rsid w:val="001C5044"/>
    <w:rsid w:val="001C5373"/>
    <w:rsid w:val="001C53C8"/>
    <w:rsid w:val="001C553D"/>
    <w:rsid w:val="001C595B"/>
    <w:rsid w:val="001C5D22"/>
    <w:rsid w:val="001C604E"/>
    <w:rsid w:val="001C6632"/>
    <w:rsid w:val="001C684D"/>
    <w:rsid w:val="001C6C26"/>
    <w:rsid w:val="001C6D8B"/>
    <w:rsid w:val="001C6EE0"/>
    <w:rsid w:val="001C70F6"/>
    <w:rsid w:val="001C71B9"/>
    <w:rsid w:val="001C71D6"/>
    <w:rsid w:val="001C734C"/>
    <w:rsid w:val="001C73AB"/>
    <w:rsid w:val="001C73F0"/>
    <w:rsid w:val="001C7461"/>
    <w:rsid w:val="001C77DD"/>
    <w:rsid w:val="001C785C"/>
    <w:rsid w:val="001C78B5"/>
    <w:rsid w:val="001C7ACB"/>
    <w:rsid w:val="001C7CC9"/>
    <w:rsid w:val="001C7CCD"/>
    <w:rsid w:val="001D002C"/>
    <w:rsid w:val="001D04C2"/>
    <w:rsid w:val="001D0589"/>
    <w:rsid w:val="001D05AC"/>
    <w:rsid w:val="001D0A04"/>
    <w:rsid w:val="001D0B42"/>
    <w:rsid w:val="001D0D26"/>
    <w:rsid w:val="001D0DB9"/>
    <w:rsid w:val="001D0E91"/>
    <w:rsid w:val="001D0FD0"/>
    <w:rsid w:val="001D1299"/>
    <w:rsid w:val="001D130E"/>
    <w:rsid w:val="001D1603"/>
    <w:rsid w:val="001D16F5"/>
    <w:rsid w:val="001D18FB"/>
    <w:rsid w:val="001D1920"/>
    <w:rsid w:val="001D1DAF"/>
    <w:rsid w:val="001D2519"/>
    <w:rsid w:val="001D2C11"/>
    <w:rsid w:val="001D2C99"/>
    <w:rsid w:val="001D3212"/>
    <w:rsid w:val="001D32A1"/>
    <w:rsid w:val="001D33B7"/>
    <w:rsid w:val="001D38A3"/>
    <w:rsid w:val="001D3AA4"/>
    <w:rsid w:val="001D3BE4"/>
    <w:rsid w:val="001D3F5E"/>
    <w:rsid w:val="001D465B"/>
    <w:rsid w:val="001D4760"/>
    <w:rsid w:val="001D5040"/>
    <w:rsid w:val="001D5118"/>
    <w:rsid w:val="001D52C3"/>
    <w:rsid w:val="001D5350"/>
    <w:rsid w:val="001D5576"/>
    <w:rsid w:val="001D5674"/>
    <w:rsid w:val="001D5B98"/>
    <w:rsid w:val="001D5FED"/>
    <w:rsid w:val="001D647B"/>
    <w:rsid w:val="001D66CC"/>
    <w:rsid w:val="001D6A1B"/>
    <w:rsid w:val="001D6ADF"/>
    <w:rsid w:val="001D6C91"/>
    <w:rsid w:val="001D70D1"/>
    <w:rsid w:val="001D72D1"/>
    <w:rsid w:val="001D72D6"/>
    <w:rsid w:val="001D7562"/>
    <w:rsid w:val="001D7654"/>
    <w:rsid w:val="001D78B7"/>
    <w:rsid w:val="001D7F59"/>
    <w:rsid w:val="001D7F9E"/>
    <w:rsid w:val="001E0236"/>
    <w:rsid w:val="001E0710"/>
    <w:rsid w:val="001E077A"/>
    <w:rsid w:val="001E084E"/>
    <w:rsid w:val="001E0B71"/>
    <w:rsid w:val="001E1000"/>
    <w:rsid w:val="001E10DC"/>
    <w:rsid w:val="001E10FA"/>
    <w:rsid w:val="001E11C4"/>
    <w:rsid w:val="001E12F3"/>
    <w:rsid w:val="001E141C"/>
    <w:rsid w:val="001E16B0"/>
    <w:rsid w:val="001E196D"/>
    <w:rsid w:val="001E1ED6"/>
    <w:rsid w:val="001E2333"/>
    <w:rsid w:val="001E2910"/>
    <w:rsid w:val="001E29E0"/>
    <w:rsid w:val="001E2CDD"/>
    <w:rsid w:val="001E2CFC"/>
    <w:rsid w:val="001E324E"/>
    <w:rsid w:val="001E3389"/>
    <w:rsid w:val="001E33B5"/>
    <w:rsid w:val="001E340B"/>
    <w:rsid w:val="001E358A"/>
    <w:rsid w:val="001E36BD"/>
    <w:rsid w:val="001E3A91"/>
    <w:rsid w:val="001E3AF5"/>
    <w:rsid w:val="001E3F29"/>
    <w:rsid w:val="001E41CC"/>
    <w:rsid w:val="001E42CE"/>
    <w:rsid w:val="001E45CD"/>
    <w:rsid w:val="001E4608"/>
    <w:rsid w:val="001E4707"/>
    <w:rsid w:val="001E498A"/>
    <w:rsid w:val="001E4D4E"/>
    <w:rsid w:val="001E4FF1"/>
    <w:rsid w:val="001E52A7"/>
    <w:rsid w:val="001E56CE"/>
    <w:rsid w:val="001E585B"/>
    <w:rsid w:val="001E586F"/>
    <w:rsid w:val="001E59F8"/>
    <w:rsid w:val="001E5B6C"/>
    <w:rsid w:val="001E5B94"/>
    <w:rsid w:val="001E5CE7"/>
    <w:rsid w:val="001E5EE6"/>
    <w:rsid w:val="001E5FB3"/>
    <w:rsid w:val="001E6507"/>
    <w:rsid w:val="001E6544"/>
    <w:rsid w:val="001E6610"/>
    <w:rsid w:val="001E6682"/>
    <w:rsid w:val="001E671A"/>
    <w:rsid w:val="001E6B1E"/>
    <w:rsid w:val="001E6BF4"/>
    <w:rsid w:val="001E7026"/>
    <w:rsid w:val="001E7434"/>
    <w:rsid w:val="001E79FB"/>
    <w:rsid w:val="001E7D5B"/>
    <w:rsid w:val="001E7DB6"/>
    <w:rsid w:val="001E7EDA"/>
    <w:rsid w:val="001E7F01"/>
    <w:rsid w:val="001F003C"/>
    <w:rsid w:val="001F0093"/>
    <w:rsid w:val="001F009C"/>
    <w:rsid w:val="001F01E0"/>
    <w:rsid w:val="001F03CA"/>
    <w:rsid w:val="001F06FF"/>
    <w:rsid w:val="001F075B"/>
    <w:rsid w:val="001F0776"/>
    <w:rsid w:val="001F0896"/>
    <w:rsid w:val="001F0C4F"/>
    <w:rsid w:val="001F0D08"/>
    <w:rsid w:val="001F0FD9"/>
    <w:rsid w:val="001F1149"/>
    <w:rsid w:val="001F12EE"/>
    <w:rsid w:val="001F1323"/>
    <w:rsid w:val="001F13A9"/>
    <w:rsid w:val="001F18E3"/>
    <w:rsid w:val="001F2065"/>
    <w:rsid w:val="001F210E"/>
    <w:rsid w:val="001F223F"/>
    <w:rsid w:val="001F2283"/>
    <w:rsid w:val="001F2290"/>
    <w:rsid w:val="001F250E"/>
    <w:rsid w:val="001F2529"/>
    <w:rsid w:val="001F260C"/>
    <w:rsid w:val="001F262A"/>
    <w:rsid w:val="001F27A6"/>
    <w:rsid w:val="001F2828"/>
    <w:rsid w:val="001F2976"/>
    <w:rsid w:val="001F29B1"/>
    <w:rsid w:val="001F2A28"/>
    <w:rsid w:val="001F2B07"/>
    <w:rsid w:val="001F2C99"/>
    <w:rsid w:val="001F328D"/>
    <w:rsid w:val="001F3530"/>
    <w:rsid w:val="001F35F4"/>
    <w:rsid w:val="001F3B1C"/>
    <w:rsid w:val="001F3C1E"/>
    <w:rsid w:val="001F3CCA"/>
    <w:rsid w:val="001F3D2C"/>
    <w:rsid w:val="001F3E45"/>
    <w:rsid w:val="001F4042"/>
    <w:rsid w:val="001F40D6"/>
    <w:rsid w:val="001F41DD"/>
    <w:rsid w:val="001F435B"/>
    <w:rsid w:val="001F4484"/>
    <w:rsid w:val="001F4498"/>
    <w:rsid w:val="001F481C"/>
    <w:rsid w:val="001F4CCE"/>
    <w:rsid w:val="001F513C"/>
    <w:rsid w:val="001F54CE"/>
    <w:rsid w:val="001F5547"/>
    <w:rsid w:val="001F55FA"/>
    <w:rsid w:val="001F59A9"/>
    <w:rsid w:val="001F5AF6"/>
    <w:rsid w:val="001F5CFC"/>
    <w:rsid w:val="001F5D05"/>
    <w:rsid w:val="001F5EF7"/>
    <w:rsid w:val="001F5F0E"/>
    <w:rsid w:val="001F63A2"/>
    <w:rsid w:val="001F6452"/>
    <w:rsid w:val="001F662F"/>
    <w:rsid w:val="001F67E0"/>
    <w:rsid w:val="001F6923"/>
    <w:rsid w:val="001F7213"/>
    <w:rsid w:val="001F72C6"/>
    <w:rsid w:val="001F7494"/>
    <w:rsid w:val="001F7772"/>
    <w:rsid w:val="001F7AB0"/>
    <w:rsid w:val="001F7C04"/>
    <w:rsid w:val="001F7D02"/>
    <w:rsid w:val="001F7F0C"/>
    <w:rsid w:val="00200143"/>
    <w:rsid w:val="002003C0"/>
    <w:rsid w:val="002003FA"/>
    <w:rsid w:val="00200411"/>
    <w:rsid w:val="00200433"/>
    <w:rsid w:val="00200554"/>
    <w:rsid w:val="00200594"/>
    <w:rsid w:val="00200648"/>
    <w:rsid w:val="0020074C"/>
    <w:rsid w:val="00200B9A"/>
    <w:rsid w:val="00200D03"/>
    <w:rsid w:val="00200E79"/>
    <w:rsid w:val="00201291"/>
    <w:rsid w:val="002012AD"/>
    <w:rsid w:val="002012EC"/>
    <w:rsid w:val="00201508"/>
    <w:rsid w:val="0020157C"/>
    <w:rsid w:val="0020185D"/>
    <w:rsid w:val="00201B02"/>
    <w:rsid w:val="00201B68"/>
    <w:rsid w:val="00201F84"/>
    <w:rsid w:val="00201F8C"/>
    <w:rsid w:val="002021A2"/>
    <w:rsid w:val="002021DE"/>
    <w:rsid w:val="0020229F"/>
    <w:rsid w:val="0020262D"/>
    <w:rsid w:val="00202770"/>
    <w:rsid w:val="0020293E"/>
    <w:rsid w:val="00202A0C"/>
    <w:rsid w:val="00202D78"/>
    <w:rsid w:val="00202F83"/>
    <w:rsid w:val="0020310C"/>
    <w:rsid w:val="00203169"/>
    <w:rsid w:val="0020316C"/>
    <w:rsid w:val="0020333D"/>
    <w:rsid w:val="0020346A"/>
    <w:rsid w:val="00203A97"/>
    <w:rsid w:val="00203BE2"/>
    <w:rsid w:val="00203CB9"/>
    <w:rsid w:val="00203D1C"/>
    <w:rsid w:val="00203E1A"/>
    <w:rsid w:val="0020417D"/>
    <w:rsid w:val="00204595"/>
    <w:rsid w:val="002046D9"/>
    <w:rsid w:val="00204722"/>
    <w:rsid w:val="0020473C"/>
    <w:rsid w:val="002047BA"/>
    <w:rsid w:val="002050FF"/>
    <w:rsid w:val="0020551E"/>
    <w:rsid w:val="0020590B"/>
    <w:rsid w:val="00205C47"/>
    <w:rsid w:val="00205C70"/>
    <w:rsid w:val="00205D8B"/>
    <w:rsid w:val="002061DF"/>
    <w:rsid w:val="002062F9"/>
    <w:rsid w:val="0020647A"/>
    <w:rsid w:val="002066D4"/>
    <w:rsid w:val="002068D3"/>
    <w:rsid w:val="002068E5"/>
    <w:rsid w:val="00206906"/>
    <w:rsid w:val="00206979"/>
    <w:rsid w:val="00206B63"/>
    <w:rsid w:val="00206CA5"/>
    <w:rsid w:val="00206DD6"/>
    <w:rsid w:val="002071AE"/>
    <w:rsid w:val="002072EA"/>
    <w:rsid w:val="002076BA"/>
    <w:rsid w:val="00207720"/>
    <w:rsid w:val="00207741"/>
    <w:rsid w:val="0020778A"/>
    <w:rsid w:val="00207988"/>
    <w:rsid w:val="00207998"/>
    <w:rsid w:val="00207B85"/>
    <w:rsid w:val="00207C24"/>
    <w:rsid w:val="00207CE1"/>
    <w:rsid w:val="00207DC9"/>
    <w:rsid w:val="002102CF"/>
    <w:rsid w:val="00210535"/>
    <w:rsid w:val="002105A8"/>
    <w:rsid w:val="0021075A"/>
    <w:rsid w:val="002109BC"/>
    <w:rsid w:val="00210C3C"/>
    <w:rsid w:val="00210CBD"/>
    <w:rsid w:val="002110DE"/>
    <w:rsid w:val="002110FB"/>
    <w:rsid w:val="002113F4"/>
    <w:rsid w:val="002114FE"/>
    <w:rsid w:val="002115FA"/>
    <w:rsid w:val="00211A4D"/>
    <w:rsid w:val="00211ABD"/>
    <w:rsid w:val="00211ADF"/>
    <w:rsid w:val="00211D8E"/>
    <w:rsid w:val="00212520"/>
    <w:rsid w:val="002125F9"/>
    <w:rsid w:val="00212A06"/>
    <w:rsid w:val="00212D07"/>
    <w:rsid w:val="00212EA6"/>
    <w:rsid w:val="00212FD6"/>
    <w:rsid w:val="0021307E"/>
    <w:rsid w:val="002130C8"/>
    <w:rsid w:val="002131F1"/>
    <w:rsid w:val="00213398"/>
    <w:rsid w:val="00213832"/>
    <w:rsid w:val="002138B0"/>
    <w:rsid w:val="00213957"/>
    <w:rsid w:val="00213A45"/>
    <w:rsid w:val="00213C32"/>
    <w:rsid w:val="00213C5D"/>
    <w:rsid w:val="002140BB"/>
    <w:rsid w:val="002145EE"/>
    <w:rsid w:val="00214666"/>
    <w:rsid w:val="0021469F"/>
    <w:rsid w:val="00214A0A"/>
    <w:rsid w:val="00214BD8"/>
    <w:rsid w:val="00214D0F"/>
    <w:rsid w:val="00214E53"/>
    <w:rsid w:val="00214E62"/>
    <w:rsid w:val="00215227"/>
    <w:rsid w:val="00215250"/>
    <w:rsid w:val="00215331"/>
    <w:rsid w:val="002154FC"/>
    <w:rsid w:val="00215C69"/>
    <w:rsid w:val="00215EEA"/>
    <w:rsid w:val="00216043"/>
    <w:rsid w:val="002161F6"/>
    <w:rsid w:val="00216583"/>
    <w:rsid w:val="002166D0"/>
    <w:rsid w:val="0021677A"/>
    <w:rsid w:val="002167E5"/>
    <w:rsid w:val="0021699E"/>
    <w:rsid w:val="00216A94"/>
    <w:rsid w:val="00216CAA"/>
    <w:rsid w:val="00216E95"/>
    <w:rsid w:val="00216EE9"/>
    <w:rsid w:val="00216F77"/>
    <w:rsid w:val="00217242"/>
    <w:rsid w:val="00217367"/>
    <w:rsid w:val="00217D18"/>
    <w:rsid w:val="00220378"/>
    <w:rsid w:val="00220516"/>
    <w:rsid w:val="00220660"/>
    <w:rsid w:val="002207B8"/>
    <w:rsid w:val="0022092D"/>
    <w:rsid w:val="00220A7E"/>
    <w:rsid w:val="00220D7B"/>
    <w:rsid w:val="00221554"/>
    <w:rsid w:val="00221608"/>
    <w:rsid w:val="0022173F"/>
    <w:rsid w:val="00221983"/>
    <w:rsid w:val="00221998"/>
    <w:rsid w:val="002219D2"/>
    <w:rsid w:val="00221CDC"/>
    <w:rsid w:val="00221D8F"/>
    <w:rsid w:val="00221DD6"/>
    <w:rsid w:val="00221DF6"/>
    <w:rsid w:val="00221EC0"/>
    <w:rsid w:val="00221F10"/>
    <w:rsid w:val="0022223C"/>
    <w:rsid w:val="00222330"/>
    <w:rsid w:val="0022237E"/>
    <w:rsid w:val="002223CB"/>
    <w:rsid w:val="00222678"/>
    <w:rsid w:val="002227F4"/>
    <w:rsid w:val="002227FB"/>
    <w:rsid w:val="00222893"/>
    <w:rsid w:val="002229FA"/>
    <w:rsid w:val="00222A11"/>
    <w:rsid w:val="00222A3C"/>
    <w:rsid w:val="00222BB0"/>
    <w:rsid w:val="00222F96"/>
    <w:rsid w:val="0022333B"/>
    <w:rsid w:val="00223340"/>
    <w:rsid w:val="00223383"/>
    <w:rsid w:val="00223712"/>
    <w:rsid w:val="0022384F"/>
    <w:rsid w:val="00223941"/>
    <w:rsid w:val="00223B9E"/>
    <w:rsid w:val="00223BD9"/>
    <w:rsid w:val="00223D72"/>
    <w:rsid w:val="00224032"/>
    <w:rsid w:val="002240CB"/>
    <w:rsid w:val="00224200"/>
    <w:rsid w:val="00224233"/>
    <w:rsid w:val="002242AE"/>
    <w:rsid w:val="002242B8"/>
    <w:rsid w:val="002242BB"/>
    <w:rsid w:val="002242F5"/>
    <w:rsid w:val="00224382"/>
    <w:rsid w:val="00224680"/>
    <w:rsid w:val="002246BA"/>
    <w:rsid w:val="002246C0"/>
    <w:rsid w:val="002246FA"/>
    <w:rsid w:val="0022471E"/>
    <w:rsid w:val="00224D33"/>
    <w:rsid w:val="00224D47"/>
    <w:rsid w:val="00224FB0"/>
    <w:rsid w:val="0022500B"/>
    <w:rsid w:val="002253B8"/>
    <w:rsid w:val="002253C5"/>
    <w:rsid w:val="002253F9"/>
    <w:rsid w:val="002258DA"/>
    <w:rsid w:val="002258DC"/>
    <w:rsid w:val="002258EC"/>
    <w:rsid w:val="002259E0"/>
    <w:rsid w:val="00225AFF"/>
    <w:rsid w:val="00225BF0"/>
    <w:rsid w:val="0022657F"/>
    <w:rsid w:val="002267E5"/>
    <w:rsid w:val="00226979"/>
    <w:rsid w:val="00226F77"/>
    <w:rsid w:val="002271F8"/>
    <w:rsid w:val="00227221"/>
    <w:rsid w:val="0022741C"/>
    <w:rsid w:val="00227464"/>
    <w:rsid w:val="002277A3"/>
    <w:rsid w:val="00227828"/>
    <w:rsid w:val="00227C2B"/>
    <w:rsid w:val="00227CB9"/>
    <w:rsid w:val="00230088"/>
    <w:rsid w:val="002300FF"/>
    <w:rsid w:val="00230324"/>
    <w:rsid w:val="00230379"/>
    <w:rsid w:val="00230510"/>
    <w:rsid w:val="002307EE"/>
    <w:rsid w:val="00230966"/>
    <w:rsid w:val="00230A5C"/>
    <w:rsid w:val="00230A8A"/>
    <w:rsid w:val="00230CC0"/>
    <w:rsid w:val="00230DC4"/>
    <w:rsid w:val="002310A8"/>
    <w:rsid w:val="00231226"/>
    <w:rsid w:val="00231723"/>
    <w:rsid w:val="00231931"/>
    <w:rsid w:val="00231BD5"/>
    <w:rsid w:val="00231C86"/>
    <w:rsid w:val="00231C8E"/>
    <w:rsid w:val="00231DC3"/>
    <w:rsid w:val="0023209B"/>
    <w:rsid w:val="002320E5"/>
    <w:rsid w:val="0023217B"/>
    <w:rsid w:val="0023227E"/>
    <w:rsid w:val="00232719"/>
    <w:rsid w:val="002327C6"/>
    <w:rsid w:val="0023297A"/>
    <w:rsid w:val="00232C46"/>
    <w:rsid w:val="00232E6A"/>
    <w:rsid w:val="00232ED9"/>
    <w:rsid w:val="002332E3"/>
    <w:rsid w:val="00233362"/>
    <w:rsid w:val="002334AF"/>
    <w:rsid w:val="00233632"/>
    <w:rsid w:val="00233738"/>
    <w:rsid w:val="00233C8B"/>
    <w:rsid w:val="00233E03"/>
    <w:rsid w:val="00233FD2"/>
    <w:rsid w:val="002341B0"/>
    <w:rsid w:val="00234369"/>
    <w:rsid w:val="002345D3"/>
    <w:rsid w:val="00234630"/>
    <w:rsid w:val="00234B29"/>
    <w:rsid w:val="00234E79"/>
    <w:rsid w:val="00234F25"/>
    <w:rsid w:val="00235034"/>
    <w:rsid w:val="0023515C"/>
    <w:rsid w:val="002352C2"/>
    <w:rsid w:val="00235472"/>
    <w:rsid w:val="00235728"/>
    <w:rsid w:val="00235C78"/>
    <w:rsid w:val="00235E7C"/>
    <w:rsid w:val="00235E86"/>
    <w:rsid w:val="00235FEE"/>
    <w:rsid w:val="00236038"/>
    <w:rsid w:val="00236042"/>
    <w:rsid w:val="002361AC"/>
    <w:rsid w:val="0023644B"/>
    <w:rsid w:val="0023665F"/>
    <w:rsid w:val="00236722"/>
    <w:rsid w:val="002368AD"/>
    <w:rsid w:val="00236D58"/>
    <w:rsid w:val="0023721F"/>
    <w:rsid w:val="00237381"/>
    <w:rsid w:val="00237569"/>
    <w:rsid w:val="002375AD"/>
    <w:rsid w:val="0023788C"/>
    <w:rsid w:val="002378B5"/>
    <w:rsid w:val="002379E1"/>
    <w:rsid w:val="00237A02"/>
    <w:rsid w:val="00237B30"/>
    <w:rsid w:val="00237C30"/>
    <w:rsid w:val="00237F27"/>
    <w:rsid w:val="00237FC8"/>
    <w:rsid w:val="00240013"/>
    <w:rsid w:val="002401ED"/>
    <w:rsid w:val="00240B2D"/>
    <w:rsid w:val="00240CF2"/>
    <w:rsid w:val="00240F50"/>
    <w:rsid w:val="002412BB"/>
    <w:rsid w:val="002412C6"/>
    <w:rsid w:val="002414D0"/>
    <w:rsid w:val="00241AFD"/>
    <w:rsid w:val="00241BD6"/>
    <w:rsid w:val="00241F4A"/>
    <w:rsid w:val="00242217"/>
    <w:rsid w:val="00242357"/>
    <w:rsid w:val="002425DE"/>
    <w:rsid w:val="0024264A"/>
    <w:rsid w:val="00242A24"/>
    <w:rsid w:val="00242B63"/>
    <w:rsid w:val="00242CA9"/>
    <w:rsid w:val="00242F49"/>
    <w:rsid w:val="00242FC3"/>
    <w:rsid w:val="00243187"/>
    <w:rsid w:val="00243821"/>
    <w:rsid w:val="00244090"/>
    <w:rsid w:val="002443DD"/>
    <w:rsid w:val="00244506"/>
    <w:rsid w:val="0024454D"/>
    <w:rsid w:val="002445A8"/>
    <w:rsid w:val="00244714"/>
    <w:rsid w:val="002448DA"/>
    <w:rsid w:val="00244B48"/>
    <w:rsid w:val="00244BEE"/>
    <w:rsid w:val="00244F7E"/>
    <w:rsid w:val="0024505E"/>
    <w:rsid w:val="00245259"/>
    <w:rsid w:val="0024575E"/>
    <w:rsid w:val="002457DF"/>
    <w:rsid w:val="00245973"/>
    <w:rsid w:val="00245BAD"/>
    <w:rsid w:val="00245E73"/>
    <w:rsid w:val="00246169"/>
    <w:rsid w:val="0024620F"/>
    <w:rsid w:val="0024638E"/>
    <w:rsid w:val="00246406"/>
    <w:rsid w:val="00246514"/>
    <w:rsid w:val="002465F1"/>
    <w:rsid w:val="00246CB6"/>
    <w:rsid w:val="00246CDE"/>
    <w:rsid w:val="00247033"/>
    <w:rsid w:val="002472A4"/>
    <w:rsid w:val="002472B2"/>
    <w:rsid w:val="0024784E"/>
    <w:rsid w:val="00247A21"/>
    <w:rsid w:val="00247EB6"/>
    <w:rsid w:val="00247F8E"/>
    <w:rsid w:val="00250261"/>
    <w:rsid w:val="00250289"/>
    <w:rsid w:val="002502D0"/>
    <w:rsid w:val="002507A6"/>
    <w:rsid w:val="002508DF"/>
    <w:rsid w:val="00250EFD"/>
    <w:rsid w:val="0025101F"/>
    <w:rsid w:val="00251070"/>
    <w:rsid w:val="00251532"/>
    <w:rsid w:val="002515BF"/>
    <w:rsid w:val="002516B1"/>
    <w:rsid w:val="00251A32"/>
    <w:rsid w:val="0025208B"/>
    <w:rsid w:val="00252150"/>
    <w:rsid w:val="0025221B"/>
    <w:rsid w:val="00252572"/>
    <w:rsid w:val="00252FF7"/>
    <w:rsid w:val="00253100"/>
    <w:rsid w:val="002534B1"/>
    <w:rsid w:val="00253511"/>
    <w:rsid w:val="00253549"/>
    <w:rsid w:val="00253879"/>
    <w:rsid w:val="00253975"/>
    <w:rsid w:val="00253EDA"/>
    <w:rsid w:val="00254057"/>
    <w:rsid w:val="00254288"/>
    <w:rsid w:val="002542E6"/>
    <w:rsid w:val="00254542"/>
    <w:rsid w:val="002545A3"/>
    <w:rsid w:val="00254895"/>
    <w:rsid w:val="00254E95"/>
    <w:rsid w:val="00254F0A"/>
    <w:rsid w:val="002556F1"/>
    <w:rsid w:val="002557B4"/>
    <w:rsid w:val="00255828"/>
    <w:rsid w:val="00255833"/>
    <w:rsid w:val="0025599C"/>
    <w:rsid w:val="002559D0"/>
    <w:rsid w:val="00255A40"/>
    <w:rsid w:val="00255B40"/>
    <w:rsid w:val="00255D21"/>
    <w:rsid w:val="00255E56"/>
    <w:rsid w:val="00256118"/>
    <w:rsid w:val="0025615A"/>
    <w:rsid w:val="00256647"/>
    <w:rsid w:val="002566D0"/>
    <w:rsid w:val="00256916"/>
    <w:rsid w:val="0025708F"/>
    <w:rsid w:val="002573B2"/>
    <w:rsid w:val="00257430"/>
    <w:rsid w:val="002574ED"/>
    <w:rsid w:val="0025759B"/>
    <w:rsid w:val="00257AD4"/>
    <w:rsid w:val="00257B86"/>
    <w:rsid w:val="00257D77"/>
    <w:rsid w:val="00257DAC"/>
    <w:rsid w:val="00260275"/>
    <w:rsid w:val="00260552"/>
    <w:rsid w:val="00260621"/>
    <w:rsid w:val="002606C2"/>
    <w:rsid w:val="00260BDD"/>
    <w:rsid w:val="00260BE4"/>
    <w:rsid w:val="0026140A"/>
    <w:rsid w:val="002614CA"/>
    <w:rsid w:val="0026168E"/>
    <w:rsid w:val="00261869"/>
    <w:rsid w:val="0026195D"/>
    <w:rsid w:val="00261A3E"/>
    <w:rsid w:val="00261B3E"/>
    <w:rsid w:val="00261B9A"/>
    <w:rsid w:val="00261C51"/>
    <w:rsid w:val="00261F9B"/>
    <w:rsid w:val="00262200"/>
    <w:rsid w:val="00262219"/>
    <w:rsid w:val="00262376"/>
    <w:rsid w:val="002625F9"/>
    <w:rsid w:val="0026284F"/>
    <w:rsid w:val="00263048"/>
    <w:rsid w:val="002630BE"/>
    <w:rsid w:val="002631D9"/>
    <w:rsid w:val="002631F7"/>
    <w:rsid w:val="00263260"/>
    <w:rsid w:val="002632DA"/>
    <w:rsid w:val="0026338A"/>
    <w:rsid w:val="00263433"/>
    <w:rsid w:val="002635FE"/>
    <w:rsid w:val="00263767"/>
    <w:rsid w:val="0026388A"/>
    <w:rsid w:val="0026390E"/>
    <w:rsid w:val="00264004"/>
    <w:rsid w:val="00264095"/>
    <w:rsid w:val="00264295"/>
    <w:rsid w:val="00264317"/>
    <w:rsid w:val="002643A5"/>
    <w:rsid w:val="00265276"/>
    <w:rsid w:val="0026540C"/>
    <w:rsid w:val="00265431"/>
    <w:rsid w:val="00265918"/>
    <w:rsid w:val="00265B88"/>
    <w:rsid w:val="00266130"/>
    <w:rsid w:val="002661B9"/>
    <w:rsid w:val="002661C3"/>
    <w:rsid w:val="002662D1"/>
    <w:rsid w:val="00266306"/>
    <w:rsid w:val="00266450"/>
    <w:rsid w:val="00266763"/>
    <w:rsid w:val="00266C25"/>
    <w:rsid w:val="00267085"/>
    <w:rsid w:val="002673D7"/>
    <w:rsid w:val="0026770B"/>
    <w:rsid w:val="00267876"/>
    <w:rsid w:val="00267E8F"/>
    <w:rsid w:val="002700E6"/>
    <w:rsid w:val="002701BA"/>
    <w:rsid w:val="00270374"/>
    <w:rsid w:val="00270A92"/>
    <w:rsid w:val="00270DA7"/>
    <w:rsid w:val="00271044"/>
    <w:rsid w:val="002710C7"/>
    <w:rsid w:val="00271130"/>
    <w:rsid w:val="0027118D"/>
    <w:rsid w:val="00271E69"/>
    <w:rsid w:val="0027217C"/>
    <w:rsid w:val="00272409"/>
    <w:rsid w:val="00272412"/>
    <w:rsid w:val="00272944"/>
    <w:rsid w:val="00272CD9"/>
    <w:rsid w:val="00272FDC"/>
    <w:rsid w:val="0027317E"/>
    <w:rsid w:val="0027329E"/>
    <w:rsid w:val="0027338E"/>
    <w:rsid w:val="00273489"/>
    <w:rsid w:val="00273692"/>
    <w:rsid w:val="002738D0"/>
    <w:rsid w:val="00273A6B"/>
    <w:rsid w:val="00273A97"/>
    <w:rsid w:val="00273AC9"/>
    <w:rsid w:val="00273CDC"/>
    <w:rsid w:val="00273F30"/>
    <w:rsid w:val="0027447E"/>
    <w:rsid w:val="00274896"/>
    <w:rsid w:val="002748DF"/>
    <w:rsid w:val="00274911"/>
    <w:rsid w:val="00274912"/>
    <w:rsid w:val="00274C59"/>
    <w:rsid w:val="00274E55"/>
    <w:rsid w:val="00274F3B"/>
    <w:rsid w:val="002752B1"/>
    <w:rsid w:val="00275349"/>
    <w:rsid w:val="002754E0"/>
    <w:rsid w:val="00275525"/>
    <w:rsid w:val="00275544"/>
    <w:rsid w:val="0027557E"/>
    <w:rsid w:val="0027560D"/>
    <w:rsid w:val="00275788"/>
    <w:rsid w:val="00275829"/>
    <w:rsid w:val="00275A21"/>
    <w:rsid w:val="002760C9"/>
    <w:rsid w:val="00276326"/>
    <w:rsid w:val="0027696F"/>
    <w:rsid w:val="00276B17"/>
    <w:rsid w:val="00276D17"/>
    <w:rsid w:val="00276ED3"/>
    <w:rsid w:val="00276EF7"/>
    <w:rsid w:val="00277097"/>
    <w:rsid w:val="002776A3"/>
    <w:rsid w:val="00277797"/>
    <w:rsid w:val="002778BA"/>
    <w:rsid w:val="00277E9C"/>
    <w:rsid w:val="0028003A"/>
    <w:rsid w:val="00280766"/>
    <w:rsid w:val="0028088C"/>
    <w:rsid w:val="002808E3"/>
    <w:rsid w:val="00280A33"/>
    <w:rsid w:val="00280EB1"/>
    <w:rsid w:val="0028120F"/>
    <w:rsid w:val="00281345"/>
    <w:rsid w:val="00281416"/>
    <w:rsid w:val="002815EF"/>
    <w:rsid w:val="00281813"/>
    <w:rsid w:val="00281888"/>
    <w:rsid w:val="00281B67"/>
    <w:rsid w:val="00282437"/>
    <w:rsid w:val="0028279C"/>
    <w:rsid w:val="00282909"/>
    <w:rsid w:val="00282915"/>
    <w:rsid w:val="00282AA0"/>
    <w:rsid w:val="00282AC3"/>
    <w:rsid w:val="00282B77"/>
    <w:rsid w:val="00282E90"/>
    <w:rsid w:val="0028307C"/>
    <w:rsid w:val="00283725"/>
    <w:rsid w:val="0028381B"/>
    <w:rsid w:val="00283965"/>
    <w:rsid w:val="00283A04"/>
    <w:rsid w:val="00283AA0"/>
    <w:rsid w:val="00283AA7"/>
    <w:rsid w:val="00283B70"/>
    <w:rsid w:val="00283C73"/>
    <w:rsid w:val="00283D58"/>
    <w:rsid w:val="00283DEA"/>
    <w:rsid w:val="0028406B"/>
    <w:rsid w:val="00284099"/>
    <w:rsid w:val="00284365"/>
    <w:rsid w:val="002844DC"/>
    <w:rsid w:val="00284911"/>
    <w:rsid w:val="00284B45"/>
    <w:rsid w:val="00284BB3"/>
    <w:rsid w:val="00284BC6"/>
    <w:rsid w:val="00284BF3"/>
    <w:rsid w:val="00284C39"/>
    <w:rsid w:val="00284C48"/>
    <w:rsid w:val="00284E94"/>
    <w:rsid w:val="00285629"/>
    <w:rsid w:val="00285C18"/>
    <w:rsid w:val="00285DBF"/>
    <w:rsid w:val="0028610E"/>
    <w:rsid w:val="0028624E"/>
    <w:rsid w:val="0028681A"/>
    <w:rsid w:val="002869A1"/>
    <w:rsid w:val="00286A5D"/>
    <w:rsid w:val="00286BCF"/>
    <w:rsid w:val="00286C58"/>
    <w:rsid w:val="00286E00"/>
    <w:rsid w:val="00286F17"/>
    <w:rsid w:val="00286FB3"/>
    <w:rsid w:val="0028737D"/>
    <w:rsid w:val="0028742B"/>
    <w:rsid w:val="00287493"/>
    <w:rsid w:val="0028767C"/>
    <w:rsid w:val="0028776C"/>
    <w:rsid w:val="0028792D"/>
    <w:rsid w:val="00287B74"/>
    <w:rsid w:val="00287C23"/>
    <w:rsid w:val="00287C72"/>
    <w:rsid w:val="00290691"/>
    <w:rsid w:val="002906FA"/>
    <w:rsid w:val="00290BA0"/>
    <w:rsid w:val="00290C6D"/>
    <w:rsid w:val="00290DF6"/>
    <w:rsid w:val="00291502"/>
    <w:rsid w:val="0029170C"/>
    <w:rsid w:val="00291A3D"/>
    <w:rsid w:val="00291BCF"/>
    <w:rsid w:val="00291C8D"/>
    <w:rsid w:val="00291D71"/>
    <w:rsid w:val="00292199"/>
    <w:rsid w:val="002921B4"/>
    <w:rsid w:val="002921E1"/>
    <w:rsid w:val="002924AF"/>
    <w:rsid w:val="002925AE"/>
    <w:rsid w:val="00293316"/>
    <w:rsid w:val="0029334C"/>
    <w:rsid w:val="002937DE"/>
    <w:rsid w:val="00293848"/>
    <w:rsid w:val="0029392A"/>
    <w:rsid w:val="0029398A"/>
    <w:rsid w:val="002939C5"/>
    <w:rsid w:val="00293EF3"/>
    <w:rsid w:val="00293F89"/>
    <w:rsid w:val="002941DA"/>
    <w:rsid w:val="0029436D"/>
    <w:rsid w:val="002946E4"/>
    <w:rsid w:val="00294AE8"/>
    <w:rsid w:val="00294FB0"/>
    <w:rsid w:val="00295663"/>
    <w:rsid w:val="002959DA"/>
    <w:rsid w:val="00295AA5"/>
    <w:rsid w:val="00295D2A"/>
    <w:rsid w:val="00295D4C"/>
    <w:rsid w:val="00295E07"/>
    <w:rsid w:val="00295EA8"/>
    <w:rsid w:val="0029603C"/>
    <w:rsid w:val="002965B0"/>
    <w:rsid w:val="002965C7"/>
    <w:rsid w:val="002966CF"/>
    <w:rsid w:val="0029696D"/>
    <w:rsid w:val="00296A05"/>
    <w:rsid w:val="00296C3C"/>
    <w:rsid w:val="00296D2B"/>
    <w:rsid w:val="00296E13"/>
    <w:rsid w:val="002970FA"/>
    <w:rsid w:val="00297108"/>
    <w:rsid w:val="002971CD"/>
    <w:rsid w:val="002971DA"/>
    <w:rsid w:val="00297215"/>
    <w:rsid w:val="002972F7"/>
    <w:rsid w:val="0029742D"/>
    <w:rsid w:val="00297436"/>
    <w:rsid w:val="00297819"/>
    <w:rsid w:val="00297BC6"/>
    <w:rsid w:val="00297F40"/>
    <w:rsid w:val="002A00E1"/>
    <w:rsid w:val="002A02BC"/>
    <w:rsid w:val="002A030D"/>
    <w:rsid w:val="002A0328"/>
    <w:rsid w:val="002A05F0"/>
    <w:rsid w:val="002A05F8"/>
    <w:rsid w:val="002A069C"/>
    <w:rsid w:val="002A0817"/>
    <w:rsid w:val="002A086D"/>
    <w:rsid w:val="002A0ADD"/>
    <w:rsid w:val="002A0F5C"/>
    <w:rsid w:val="002A13D9"/>
    <w:rsid w:val="002A17D5"/>
    <w:rsid w:val="002A1AB1"/>
    <w:rsid w:val="002A1CFE"/>
    <w:rsid w:val="002A2406"/>
    <w:rsid w:val="002A258F"/>
    <w:rsid w:val="002A2601"/>
    <w:rsid w:val="002A2947"/>
    <w:rsid w:val="002A2D77"/>
    <w:rsid w:val="002A3367"/>
    <w:rsid w:val="002A3589"/>
    <w:rsid w:val="002A3591"/>
    <w:rsid w:val="002A381F"/>
    <w:rsid w:val="002A3AF6"/>
    <w:rsid w:val="002A3B59"/>
    <w:rsid w:val="002A3DCB"/>
    <w:rsid w:val="002A3DF8"/>
    <w:rsid w:val="002A3E09"/>
    <w:rsid w:val="002A3F73"/>
    <w:rsid w:val="002A3FD9"/>
    <w:rsid w:val="002A4073"/>
    <w:rsid w:val="002A42F4"/>
    <w:rsid w:val="002A4364"/>
    <w:rsid w:val="002A4381"/>
    <w:rsid w:val="002A44B5"/>
    <w:rsid w:val="002A44EA"/>
    <w:rsid w:val="002A47BD"/>
    <w:rsid w:val="002A47F0"/>
    <w:rsid w:val="002A4F78"/>
    <w:rsid w:val="002A51DF"/>
    <w:rsid w:val="002A5241"/>
    <w:rsid w:val="002A58B2"/>
    <w:rsid w:val="002A5900"/>
    <w:rsid w:val="002A5942"/>
    <w:rsid w:val="002A5CBA"/>
    <w:rsid w:val="002A5CDE"/>
    <w:rsid w:val="002A5E7B"/>
    <w:rsid w:val="002A5F7A"/>
    <w:rsid w:val="002A6013"/>
    <w:rsid w:val="002A61A9"/>
    <w:rsid w:val="002A6403"/>
    <w:rsid w:val="002A660E"/>
    <w:rsid w:val="002A6638"/>
    <w:rsid w:val="002A682D"/>
    <w:rsid w:val="002A69A5"/>
    <w:rsid w:val="002A6A1C"/>
    <w:rsid w:val="002A6FA6"/>
    <w:rsid w:val="002A70D2"/>
    <w:rsid w:val="002A7133"/>
    <w:rsid w:val="002A720F"/>
    <w:rsid w:val="002A7425"/>
    <w:rsid w:val="002A7661"/>
    <w:rsid w:val="002A7731"/>
    <w:rsid w:val="002A79E8"/>
    <w:rsid w:val="002A7A88"/>
    <w:rsid w:val="002A7CD1"/>
    <w:rsid w:val="002A7E9D"/>
    <w:rsid w:val="002B0285"/>
    <w:rsid w:val="002B028B"/>
    <w:rsid w:val="002B02A5"/>
    <w:rsid w:val="002B038F"/>
    <w:rsid w:val="002B0514"/>
    <w:rsid w:val="002B0866"/>
    <w:rsid w:val="002B0989"/>
    <w:rsid w:val="002B0AFD"/>
    <w:rsid w:val="002B0B01"/>
    <w:rsid w:val="002B0B7B"/>
    <w:rsid w:val="002B0CCD"/>
    <w:rsid w:val="002B0D39"/>
    <w:rsid w:val="002B0D42"/>
    <w:rsid w:val="002B0EAA"/>
    <w:rsid w:val="002B1233"/>
    <w:rsid w:val="002B142F"/>
    <w:rsid w:val="002B1620"/>
    <w:rsid w:val="002B1733"/>
    <w:rsid w:val="002B18CC"/>
    <w:rsid w:val="002B19BF"/>
    <w:rsid w:val="002B1B50"/>
    <w:rsid w:val="002B1F33"/>
    <w:rsid w:val="002B2191"/>
    <w:rsid w:val="002B2273"/>
    <w:rsid w:val="002B253B"/>
    <w:rsid w:val="002B2941"/>
    <w:rsid w:val="002B2CCA"/>
    <w:rsid w:val="002B2D73"/>
    <w:rsid w:val="002B2F38"/>
    <w:rsid w:val="002B31C5"/>
    <w:rsid w:val="002B31EA"/>
    <w:rsid w:val="002B3272"/>
    <w:rsid w:val="002B3466"/>
    <w:rsid w:val="002B3514"/>
    <w:rsid w:val="002B3974"/>
    <w:rsid w:val="002B3A15"/>
    <w:rsid w:val="002B3B12"/>
    <w:rsid w:val="002B3B80"/>
    <w:rsid w:val="002B3E0B"/>
    <w:rsid w:val="002B4057"/>
    <w:rsid w:val="002B45E1"/>
    <w:rsid w:val="002B4744"/>
    <w:rsid w:val="002B4773"/>
    <w:rsid w:val="002B48FA"/>
    <w:rsid w:val="002B4917"/>
    <w:rsid w:val="002B49B2"/>
    <w:rsid w:val="002B4ABD"/>
    <w:rsid w:val="002B4C4D"/>
    <w:rsid w:val="002B4FB0"/>
    <w:rsid w:val="002B523D"/>
    <w:rsid w:val="002B52BF"/>
    <w:rsid w:val="002B5F94"/>
    <w:rsid w:val="002B6385"/>
    <w:rsid w:val="002B6462"/>
    <w:rsid w:val="002B6A8F"/>
    <w:rsid w:val="002B6D81"/>
    <w:rsid w:val="002B73D5"/>
    <w:rsid w:val="002B73EA"/>
    <w:rsid w:val="002B7509"/>
    <w:rsid w:val="002B7649"/>
    <w:rsid w:val="002B79D9"/>
    <w:rsid w:val="002B7D24"/>
    <w:rsid w:val="002B7E04"/>
    <w:rsid w:val="002B7EA6"/>
    <w:rsid w:val="002B7EFC"/>
    <w:rsid w:val="002C0121"/>
    <w:rsid w:val="002C02A5"/>
    <w:rsid w:val="002C04DB"/>
    <w:rsid w:val="002C0F4F"/>
    <w:rsid w:val="002C1367"/>
    <w:rsid w:val="002C1487"/>
    <w:rsid w:val="002C1E04"/>
    <w:rsid w:val="002C210B"/>
    <w:rsid w:val="002C2327"/>
    <w:rsid w:val="002C288A"/>
    <w:rsid w:val="002C2B00"/>
    <w:rsid w:val="002C2F99"/>
    <w:rsid w:val="002C30AF"/>
    <w:rsid w:val="002C31F8"/>
    <w:rsid w:val="002C3300"/>
    <w:rsid w:val="002C38D0"/>
    <w:rsid w:val="002C3ED1"/>
    <w:rsid w:val="002C4001"/>
    <w:rsid w:val="002C453D"/>
    <w:rsid w:val="002C4756"/>
    <w:rsid w:val="002C4824"/>
    <w:rsid w:val="002C493C"/>
    <w:rsid w:val="002C4C14"/>
    <w:rsid w:val="002C4D17"/>
    <w:rsid w:val="002C4D25"/>
    <w:rsid w:val="002C5123"/>
    <w:rsid w:val="002C54A6"/>
    <w:rsid w:val="002C566F"/>
    <w:rsid w:val="002C5775"/>
    <w:rsid w:val="002C5EA9"/>
    <w:rsid w:val="002C6320"/>
    <w:rsid w:val="002C64F4"/>
    <w:rsid w:val="002C6534"/>
    <w:rsid w:val="002C653D"/>
    <w:rsid w:val="002C65F1"/>
    <w:rsid w:val="002C660B"/>
    <w:rsid w:val="002C66F9"/>
    <w:rsid w:val="002C6801"/>
    <w:rsid w:val="002C683D"/>
    <w:rsid w:val="002C6A5C"/>
    <w:rsid w:val="002C6A96"/>
    <w:rsid w:val="002C6EED"/>
    <w:rsid w:val="002C7029"/>
    <w:rsid w:val="002C706D"/>
    <w:rsid w:val="002C7144"/>
    <w:rsid w:val="002C787B"/>
    <w:rsid w:val="002C7BDE"/>
    <w:rsid w:val="002C7D54"/>
    <w:rsid w:val="002C7E78"/>
    <w:rsid w:val="002D01EE"/>
    <w:rsid w:val="002D0248"/>
    <w:rsid w:val="002D048E"/>
    <w:rsid w:val="002D05DE"/>
    <w:rsid w:val="002D09E3"/>
    <w:rsid w:val="002D0AF8"/>
    <w:rsid w:val="002D0DC0"/>
    <w:rsid w:val="002D1115"/>
    <w:rsid w:val="002D133A"/>
    <w:rsid w:val="002D15C6"/>
    <w:rsid w:val="002D19D0"/>
    <w:rsid w:val="002D1AC3"/>
    <w:rsid w:val="002D1B60"/>
    <w:rsid w:val="002D1C08"/>
    <w:rsid w:val="002D1D67"/>
    <w:rsid w:val="002D2094"/>
    <w:rsid w:val="002D2262"/>
    <w:rsid w:val="002D228D"/>
    <w:rsid w:val="002D23A3"/>
    <w:rsid w:val="002D2478"/>
    <w:rsid w:val="002D265F"/>
    <w:rsid w:val="002D26E7"/>
    <w:rsid w:val="002D2C87"/>
    <w:rsid w:val="002D2CAF"/>
    <w:rsid w:val="002D2F9B"/>
    <w:rsid w:val="002D3118"/>
    <w:rsid w:val="002D317A"/>
    <w:rsid w:val="002D33E5"/>
    <w:rsid w:val="002D33FB"/>
    <w:rsid w:val="002D3626"/>
    <w:rsid w:val="002D38A8"/>
    <w:rsid w:val="002D3BB5"/>
    <w:rsid w:val="002D3CA0"/>
    <w:rsid w:val="002D421F"/>
    <w:rsid w:val="002D42CA"/>
    <w:rsid w:val="002D4366"/>
    <w:rsid w:val="002D45C4"/>
    <w:rsid w:val="002D477C"/>
    <w:rsid w:val="002D48D4"/>
    <w:rsid w:val="002D4A04"/>
    <w:rsid w:val="002D4AB8"/>
    <w:rsid w:val="002D4DE4"/>
    <w:rsid w:val="002D4E3F"/>
    <w:rsid w:val="002D4EA8"/>
    <w:rsid w:val="002D4EE6"/>
    <w:rsid w:val="002D51A9"/>
    <w:rsid w:val="002D537D"/>
    <w:rsid w:val="002D551D"/>
    <w:rsid w:val="002D5820"/>
    <w:rsid w:val="002D5846"/>
    <w:rsid w:val="002D5A4C"/>
    <w:rsid w:val="002D5C42"/>
    <w:rsid w:val="002D5E3E"/>
    <w:rsid w:val="002D61D4"/>
    <w:rsid w:val="002D61DD"/>
    <w:rsid w:val="002D637B"/>
    <w:rsid w:val="002D63FC"/>
    <w:rsid w:val="002D6437"/>
    <w:rsid w:val="002D64B7"/>
    <w:rsid w:val="002D64C8"/>
    <w:rsid w:val="002D68D5"/>
    <w:rsid w:val="002D6C3E"/>
    <w:rsid w:val="002D704C"/>
    <w:rsid w:val="002D72AA"/>
    <w:rsid w:val="002D7572"/>
    <w:rsid w:val="002D7828"/>
    <w:rsid w:val="002D785B"/>
    <w:rsid w:val="002D7880"/>
    <w:rsid w:val="002D7D19"/>
    <w:rsid w:val="002E0076"/>
    <w:rsid w:val="002E00FD"/>
    <w:rsid w:val="002E01A7"/>
    <w:rsid w:val="002E02F5"/>
    <w:rsid w:val="002E0748"/>
    <w:rsid w:val="002E0796"/>
    <w:rsid w:val="002E08CC"/>
    <w:rsid w:val="002E1012"/>
    <w:rsid w:val="002E112A"/>
    <w:rsid w:val="002E13EC"/>
    <w:rsid w:val="002E19B1"/>
    <w:rsid w:val="002E1B8F"/>
    <w:rsid w:val="002E2267"/>
    <w:rsid w:val="002E231B"/>
    <w:rsid w:val="002E2418"/>
    <w:rsid w:val="002E2509"/>
    <w:rsid w:val="002E2938"/>
    <w:rsid w:val="002E29C5"/>
    <w:rsid w:val="002E2A83"/>
    <w:rsid w:val="002E2C23"/>
    <w:rsid w:val="002E3193"/>
    <w:rsid w:val="002E34C8"/>
    <w:rsid w:val="002E3C14"/>
    <w:rsid w:val="002E401A"/>
    <w:rsid w:val="002E409E"/>
    <w:rsid w:val="002E4319"/>
    <w:rsid w:val="002E4624"/>
    <w:rsid w:val="002E46E3"/>
    <w:rsid w:val="002E4C46"/>
    <w:rsid w:val="002E4C8F"/>
    <w:rsid w:val="002E4E4B"/>
    <w:rsid w:val="002E5079"/>
    <w:rsid w:val="002E50F1"/>
    <w:rsid w:val="002E5129"/>
    <w:rsid w:val="002E514E"/>
    <w:rsid w:val="002E5343"/>
    <w:rsid w:val="002E53A3"/>
    <w:rsid w:val="002E542C"/>
    <w:rsid w:val="002E5876"/>
    <w:rsid w:val="002E5A66"/>
    <w:rsid w:val="002E6441"/>
    <w:rsid w:val="002E6956"/>
    <w:rsid w:val="002E6E61"/>
    <w:rsid w:val="002E6FCF"/>
    <w:rsid w:val="002E7440"/>
    <w:rsid w:val="002E7630"/>
    <w:rsid w:val="002E76B3"/>
    <w:rsid w:val="002E7882"/>
    <w:rsid w:val="002E7B89"/>
    <w:rsid w:val="002E7F47"/>
    <w:rsid w:val="002F01AF"/>
    <w:rsid w:val="002F0996"/>
    <w:rsid w:val="002F0A5A"/>
    <w:rsid w:val="002F1139"/>
    <w:rsid w:val="002F118B"/>
    <w:rsid w:val="002F15D1"/>
    <w:rsid w:val="002F1762"/>
    <w:rsid w:val="002F17C3"/>
    <w:rsid w:val="002F1919"/>
    <w:rsid w:val="002F1D92"/>
    <w:rsid w:val="002F2225"/>
    <w:rsid w:val="002F2826"/>
    <w:rsid w:val="002F2AE1"/>
    <w:rsid w:val="002F32AC"/>
    <w:rsid w:val="002F3339"/>
    <w:rsid w:val="002F34B5"/>
    <w:rsid w:val="002F37D0"/>
    <w:rsid w:val="002F395E"/>
    <w:rsid w:val="002F3BFA"/>
    <w:rsid w:val="002F3C9B"/>
    <w:rsid w:val="002F43F6"/>
    <w:rsid w:val="002F46FA"/>
    <w:rsid w:val="002F4A2F"/>
    <w:rsid w:val="002F4A45"/>
    <w:rsid w:val="002F4AE4"/>
    <w:rsid w:val="002F4DC3"/>
    <w:rsid w:val="002F4E24"/>
    <w:rsid w:val="002F4ED0"/>
    <w:rsid w:val="002F4F42"/>
    <w:rsid w:val="002F5284"/>
    <w:rsid w:val="002F5689"/>
    <w:rsid w:val="002F5765"/>
    <w:rsid w:val="002F59F2"/>
    <w:rsid w:val="002F5A32"/>
    <w:rsid w:val="002F5B2A"/>
    <w:rsid w:val="002F5BBC"/>
    <w:rsid w:val="002F5F32"/>
    <w:rsid w:val="002F62C5"/>
    <w:rsid w:val="002F63E3"/>
    <w:rsid w:val="002F65C2"/>
    <w:rsid w:val="002F6714"/>
    <w:rsid w:val="002F6B6F"/>
    <w:rsid w:val="002F72C0"/>
    <w:rsid w:val="002F73A8"/>
    <w:rsid w:val="002F773A"/>
    <w:rsid w:val="002F79A0"/>
    <w:rsid w:val="002F7A4D"/>
    <w:rsid w:val="002F7AAF"/>
    <w:rsid w:val="002F7BCC"/>
    <w:rsid w:val="002F7CFA"/>
    <w:rsid w:val="003000D4"/>
    <w:rsid w:val="0030015F"/>
    <w:rsid w:val="00300192"/>
    <w:rsid w:val="003002C6"/>
    <w:rsid w:val="00300378"/>
    <w:rsid w:val="003006A8"/>
    <w:rsid w:val="003007EE"/>
    <w:rsid w:val="00300B72"/>
    <w:rsid w:val="00300B84"/>
    <w:rsid w:val="00300EFC"/>
    <w:rsid w:val="00301078"/>
    <w:rsid w:val="00301172"/>
    <w:rsid w:val="003011FD"/>
    <w:rsid w:val="00301311"/>
    <w:rsid w:val="003013F4"/>
    <w:rsid w:val="0030179A"/>
    <w:rsid w:val="00301860"/>
    <w:rsid w:val="00301881"/>
    <w:rsid w:val="00301B1D"/>
    <w:rsid w:val="00301DA9"/>
    <w:rsid w:val="00301FA7"/>
    <w:rsid w:val="003020F4"/>
    <w:rsid w:val="0030223B"/>
    <w:rsid w:val="00302781"/>
    <w:rsid w:val="003029D7"/>
    <w:rsid w:val="00302BE9"/>
    <w:rsid w:val="00302DD8"/>
    <w:rsid w:val="00302FCF"/>
    <w:rsid w:val="003030C8"/>
    <w:rsid w:val="00303829"/>
    <w:rsid w:val="00303967"/>
    <w:rsid w:val="00303A36"/>
    <w:rsid w:val="00303AB9"/>
    <w:rsid w:val="00303ABE"/>
    <w:rsid w:val="00303E4C"/>
    <w:rsid w:val="0030430E"/>
    <w:rsid w:val="00304557"/>
    <w:rsid w:val="003046F3"/>
    <w:rsid w:val="003047F8"/>
    <w:rsid w:val="00304958"/>
    <w:rsid w:val="00304966"/>
    <w:rsid w:val="00304B50"/>
    <w:rsid w:val="00304E13"/>
    <w:rsid w:val="00304EE7"/>
    <w:rsid w:val="003050AE"/>
    <w:rsid w:val="003050B9"/>
    <w:rsid w:val="0030523B"/>
    <w:rsid w:val="003059B9"/>
    <w:rsid w:val="00305B0F"/>
    <w:rsid w:val="00305CF3"/>
    <w:rsid w:val="003062AB"/>
    <w:rsid w:val="0030632E"/>
    <w:rsid w:val="003063C5"/>
    <w:rsid w:val="00306F4E"/>
    <w:rsid w:val="00307272"/>
    <w:rsid w:val="00307428"/>
    <w:rsid w:val="00307504"/>
    <w:rsid w:val="003078E2"/>
    <w:rsid w:val="0030790B"/>
    <w:rsid w:val="00307947"/>
    <w:rsid w:val="00307D50"/>
    <w:rsid w:val="00307F39"/>
    <w:rsid w:val="00307FA5"/>
    <w:rsid w:val="00310072"/>
    <w:rsid w:val="0031010E"/>
    <w:rsid w:val="0031018F"/>
    <w:rsid w:val="00310319"/>
    <w:rsid w:val="00310A35"/>
    <w:rsid w:val="00310AA9"/>
    <w:rsid w:val="00310D99"/>
    <w:rsid w:val="00310FCF"/>
    <w:rsid w:val="003116AD"/>
    <w:rsid w:val="00311714"/>
    <w:rsid w:val="00311B66"/>
    <w:rsid w:val="00311F93"/>
    <w:rsid w:val="00312142"/>
    <w:rsid w:val="00312163"/>
    <w:rsid w:val="003121D1"/>
    <w:rsid w:val="00312226"/>
    <w:rsid w:val="003122DE"/>
    <w:rsid w:val="00312A32"/>
    <w:rsid w:val="00312D80"/>
    <w:rsid w:val="0031315C"/>
    <w:rsid w:val="003133D0"/>
    <w:rsid w:val="0031349F"/>
    <w:rsid w:val="003135B9"/>
    <w:rsid w:val="0031377A"/>
    <w:rsid w:val="00313B32"/>
    <w:rsid w:val="0031404A"/>
    <w:rsid w:val="0031415E"/>
    <w:rsid w:val="00314414"/>
    <w:rsid w:val="003144BB"/>
    <w:rsid w:val="0031464D"/>
    <w:rsid w:val="00314781"/>
    <w:rsid w:val="00314883"/>
    <w:rsid w:val="00314925"/>
    <w:rsid w:val="00314E60"/>
    <w:rsid w:val="003152A4"/>
    <w:rsid w:val="003153C4"/>
    <w:rsid w:val="003156C5"/>
    <w:rsid w:val="003158BA"/>
    <w:rsid w:val="00315AB7"/>
    <w:rsid w:val="00316056"/>
    <w:rsid w:val="0031609E"/>
    <w:rsid w:val="003160FC"/>
    <w:rsid w:val="0031623D"/>
    <w:rsid w:val="003166AC"/>
    <w:rsid w:val="003166D2"/>
    <w:rsid w:val="00316852"/>
    <w:rsid w:val="003168AE"/>
    <w:rsid w:val="00316B1F"/>
    <w:rsid w:val="00316C83"/>
    <w:rsid w:val="00316E81"/>
    <w:rsid w:val="00317011"/>
    <w:rsid w:val="003177B9"/>
    <w:rsid w:val="003177EE"/>
    <w:rsid w:val="00317AD1"/>
    <w:rsid w:val="00317AE9"/>
    <w:rsid w:val="00317E92"/>
    <w:rsid w:val="003200F1"/>
    <w:rsid w:val="0032015B"/>
    <w:rsid w:val="00320624"/>
    <w:rsid w:val="00320998"/>
    <w:rsid w:val="00320E20"/>
    <w:rsid w:val="00320EA1"/>
    <w:rsid w:val="0032119C"/>
    <w:rsid w:val="003214B9"/>
    <w:rsid w:val="003215BB"/>
    <w:rsid w:val="00321762"/>
    <w:rsid w:val="00321A79"/>
    <w:rsid w:val="00321B3E"/>
    <w:rsid w:val="00321DD3"/>
    <w:rsid w:val="00321FC7"/>
    <w:rsid w:val="0032202C"/>
    <w:rsid w:val="0032206A"/>
    <w:rsid w:val="00322079"/>
    <w:rsid w:val="00322564"/>
    <w:rsid w:val="00322644"/>
    <w:rsid w:val="003227D1"/>
    <w:rsid w:val="003228C0"/>
    <w:rsid w:val="0032298C"/>
    <w:rsid w:val="00322C1A"/>
    <w:rsid w:val="00322C49"/>
    <w:rsid w:val="00322C51"/>
    <w:rsid w:val="00323070"/>
    <w:rsid w:val="0032364D"/>
    <w:rsid w:val="003236AD"/>
    <w:rsid w:val="00323AA6"/>
    <w:rsid w:val="00323B5E"/>
    <w:rsid w:val="00323D30"/>
    <w:rsid w:val="0032467E"/>
    <w:rsid w:val="0032478D"/>
    <w:rsid w:val="003247A5"/>
    <w:rsid w:val="00324F0C"/>
    <w:rsid w:val="00324F84"/>
    <w:rsid w:val="003250FA"/>
    <w:rsid w:val="00325B73"/>
    <w:rsid w:val="00325BFC"/>
    <w:rsid w:val="00325C0B"/>
    <w:rsid w:val="00325C18"/>
    <w:rsid w:val="003260F9"/>
    <w:rsid w:val="0032694A"/>
    <w:rsid w:val="00326A71"/>
    <w:rsid w:val="003270D8"/>
    <w:rsid w:val="003275F1"/>
    <w:rsid w:val="00327640"/>
    <w:rsid w:val="00327B8F"/>
    <w:rsid w:val="00327C1D"/>
    <w:rsid w:val="00327CC1"/>
    <w:rsid w:val="00327DAD"/>
    <w:rsid w:val="003300B4"/>
    <w:rsid w:val="00330107"/>
    <w:rsid w:val="00330176"/>
    <w:rsid w:val="00330440"/>
    <w:rsid w:val="00330677"/>
    <w:rsid w:val="003306E7"/>
    <w:rsid w:val="00330AA5"/>
    <w:rsid w:val="00330E52"/>
    <w:rsid w:val="00330EE2"/>
    <w:rsid w:val="00330F51"/>
    <w:rsid w:val="00331147"/>
    <w:rsid w:val="003311EC"/>
    <w:rsid w:val="0033125F"/>
    <w:rsid w:val="00331374"/>
    <w:rsid w:val="0033138C"/>
    <w:rsid w:val="003315AE"/>
    <w:rsid w:val="003315CB"/>
    <w:rsid w:val="00331613"/>
    <w:rsid w:val="00331A84"/>
    <w:rsid w:val="00331BDD"/>
    <w:rsid w:val="00331E34"/>
    <w:rsid w:val="00331FB4"/>
    <w:rsid w:val="00331FB5"/>
    <w:rsid w:val="00332551"/>
    <w:rsid w:val="00332622"/>
    <w:rsid w:val="00332913"/>
    <w:rsid w:val="00332BAF"/>
    <w:rsid w:val="00332D1D"/>
    <w:rsid w:val="00332DC0"/>
    <w:rsid w:val="003330DD"/>
    <w:rsid w:val="00333105"/>
    <w:rsid w:val="003331D3"/>
    <w:rsid w:val="003331E5"/>
    <w:rsid w:val="003332BF"/>
    <w:rsid w:val="00333323"/>
    <w:rsid w:val="0033367D"/>
    <w:rsid w:val="0033369C"/>
    <w:rsid w:val="00333718"/>
    <w:rsid w:val="0033371E"/>
    <w:rsid w:val="00333B84"/>
    <w:rsid w:val="00333CC7"/>
    <w:rsid w:val="00333F06"/>
    <w:rsid w:val="0033400D"/>
    <w:rsid w:val="0033411A"/>
    <w:rsid w:val="003341EF"/>
    <w:rsid w:val="003344AB"/>
    <w:rsid w:val="003345EE"/>
    <w:rsid w:val="003346A2"/>
    <w:rsid w:val="0033484F"/>
    <w:rsid w:val="00334892"/>
    <w:rsid w:val="003351AF"/>
    <w:rsid w:val="00335642"/>
    <w:rsid w:val="003356F2"/>
    <w:rsid w:val="00335842"/>
    <w:rsid w:val="0033586C"/>
    <w:rsid w:val="00335BC1"/>
    <w:rsid w:val="00335DC4"/>
    <w:rsid w:val="00335E48"/>
    <w:rsid w:val="0033613A"/>
    <w:rsid w:val="00336272"/>
    <w:rsid w:val="0033630F"/>
    <w:rsid w:val="00336405"/>
    <w:rsid w:val="0033676C"/>
    <w:rsid w:val="00336850"/>
    <w:rsid w:val="00336956"/>
    <w:rsid w:val="00336982"/>
    <w:rsid w:val="00336ACA"/>
    <w:rsid w:val="00336E9C"/>
    <w:rsid w:val="0033701E"/>
    <w:rsid w:val="003373B2"/>
    <w:rsid w:val="003379AC"/>
    <w:rsid w:val="00337A38"/>
    <w:rsid w:val="00337B71"/>
    <w:rsid w:val="00337B85"/>
    <w:rsid w:val="00337C1D"/>
    <w:rsid w:val="00340073"/>
    <w:rsid w:val="00340156"/>
    <w:rsid w:val="00340CC7"/>
    <w:rsid w:val="00340EF2"/>
    <w:rsid w:val="00340FF2"/>
    <w:rsid w:val="00341034"/>
    <w:rsid w:val="003411AD"/>
    <w:rsid w:val="0034166A"/>
    <w:rsid w:val="00341875"/>
    <w:rsid w:val="00342044"/>
    <w:rsid w:val="00342498"/>
    <w:rsid w:val="003424D6"/>
    <w:rsid w:val="0034251E"/>
    <w:rsid w:val="003426D0"/>
    <w:rsid w:val="0034289F"/>
    <w:rsid w:val="003428B2"/>
    <w:rsid w:val="003428D2"/>
    <w:rsid w:val="003428EC"/>
    <w:rsid w:val="00342936"/>
    <w:rsid w:val="00342A3A"/>
    <w:rsid w:val="00342D7B"/>
    <w:rsid w:val="00342F42"/>
    <w:rsid w:val="003430C9"/>
    <w:rsid w:val="003430D0"/>
    <w:rsid w:val="00343314"/>
    <w:rsid w:val="00343405"/>
    <w:rsid w:val="00343849"/>
    <w:rsid w:val="0034389D"/>
    <w:rsid w:val="00343951"/>
    <w:rsid w:val="0034395E"/>
    <w:rsid w:val="00343AB4"/>
    <w:rsid w:val="00343F96"/>
    <w:rsid w:val="0034404C"/>
    <w:rsid w:val="00344274"/>
    <w:rsid w:val="00344369"/>
    <w:rsid w:val="0034446B"/>
    <w:rsid w:val="0034446E"/>
    <w:rsid w:val="003447A9"/>
    <w:rsid w:val="00344940"/>
    <w:rsid w:val="00344AFC"/>
    <w:rsid w:val="00344D17"/>
    <w:rsid w:val="00345010"/>
    <w:rsid w:val="003452B8"/>
    <w:rsid w:val="00345833"/>
    <w:rsid w:val="00345AD2"/>
    <w:rsid w:val="00345B2A"/>
    <w:rsid w:val="00345EEF"/>
    <w:rsid w:val="0034603D"/>
    <w:rsid w:val="00346176"/>
    <w:rsid w:val="003461E4"/>
    <w:rsid w:val="00346249"/>
    <w:rsid w:val="0034668F"/>
    <w:rsid w:val="003466EB"/>
    <w:rsid w:val="00346813"/>
    <w:rsid w:val="00346823"/>
    <w:rsid w:val="0034683E"/>
    <w:rsid w:val="00346C69"/>
    <w:rsid w:val="00346C8B"/>
    <w:rsid w:val="0034708C"/>
    <w:rsid w:val="003470D4"/>
    <w:rsid w:val="003470F4"/>
    <w:rsid w:val="0034754B"/>
    <w:rsid w:val="00347808"/>
    <w:rsid w:val="00347C28"/>
    <w:rsid w:val="00347CB0"/>
    <w:rsid w:val="0035027C"/>
    <w:rsid w:val="003505E0"/>
    <w:rsid w:val="00350B6B"/>
    <w:rsid w:val="00350BAC"/>
    <w:rsid w:val="00350BF3"/>
    <w:rsid w:val="00350CAE"/>
    <w:rsid w:val="00350E03"/>
    <w:rsid w:val="00350EE7"/>
    <w:rsid w:val="00351CD3"/>
    <w:rsid w:val="00351E87"/>
    <w:rsid w:val="00352044"/>
    <w:rsid w:val="00352335"/>
    <w:rsid w:val="00352343"/>
    <w:rsid w:val="00352459"/>
    <w:rsid w:val="00352467"/>
    <w:rsid w:val="003526DF"/>
    <w:rsid w:val="0035297C"/>
    <w:rsid w:val="003529F5"/>
    <w:rsid w:val="00352AA0"/>
    <w:rsid w:val="00352CAF"/>
    <w:rsid w:val="00352EB7"/>
    <w:rsid w:val="00352F17"/>
    <w:rsid w:val="00352FF3"/>
    <w:rsid w:val="00353042"/>
    <w:rsid w:val="003530CC"/>
    <w:rsid w:val="0035327F"/>
    <w:rsid w:val="003532E3"/>
    <w:rsid w:val="00353571"/>
    <w:rsid w:val="00353872"/>
    <w:rsid w:val="00353906"/>
    <w:rsid w:val="00354035"/>
    <w:rsid w:val="0035474A"/>
    <w:rsid w:val="0035478E"/>
    <w:rsid w:val="00354AFF"/>
    <w:rsid w:val="00354BB6"/>
    <w:rsid w:val="00354D1D"/>
    <w:rsid w:val="00354E97"/>
    <w:rsid w:val="00354FD0"/>
    <w:rsid w:val="003555BA"/>
    <w:rsid w:val="00355879"/>
    <w:rsid w:val="00355DFD"/>
    <w:rsid w:val="00355F2A"/>
    <w:rsid w:val="0035635B"/>
    <w:rsid w:val="00356464"/>
    <w:rsid w:val="00356881"/>
    <w:rsid w:val="003569BD"/>
    <w:rsid w:val="00356AFF"/>
    <w:rsid w:val="00356C02"/>
    <w:rsid w:val="00356DDF"/>
    <w:rsid w:val="00356FCF"/>
    <w:rsid w:val="00357015"/>
    <w:rsid w:val="003570CD"/>
    <w:rsid w:val="0035711B"/>
    <w:rsid w:val="0035713D"/>
    <w:rsid w:val="00357481"/>
    <w:rsid w:val="003576D8"/>
    <w:rsid w:val="003577DD"/>
    <w:rsid w:val="003577E0"/>
    <w:rsid w:val="00357D78"/>
    <w:rsid w:val="00357D8B"/>
    <w:rsid w:val="0036006A"/>
    <w:rsid w:val="0036013F"/>
    <w:rsid w:val="00360529"/>
    <w:rsid w:val="00360540"/>
    <w:rsid w:val="00360753"/>
    <w:rsid w:val="00360899"/>
    <w:rsid w:val="003609A8"/>
    <w:rsid w:val="00360A02"/>
    <w:rsid w:val="00360CA1"/>
    <w:rsid w:val="00360FDB"/>
    <w:rsid w:val="0036136F"/>
    <w:rsid w:val="003614F0"/>
    <w:rsid w:val="0036153B"/>
    <w:rsid w:val="00361831"/>
    <w:rsid w:val="00361B6C"/>
    <w:rsid w:val="00361BA6"/>
    <w:rsid w:val="00361BDB"/>
    <w:rsid w:val="00361D28"/>
    <w:rsid w:val="00362262"/>
    <w:rsid w:val="00362399"/>
    <w:rsid w:val="003623CF"/>
    <w:rsid w:val="00362995"/>
    <w:rsid w:val="00362C95"/>
    <w:rsid w:val="00362DE0"/>
    <w:rsid w:val="00362F8E"/>
    <w:rsid w:val="00363218"/>
    <w:rsid w:val="0036342F"/>
    <w:rsid w:val="00363496"/>
    <w:rsid w:val="003636E3"/>
    <w:rsid w:val="00363ABF"/>
    <w:rsid w:val="00363B93"/>
    <w:rsid w:val="003644C6"/>
    <w:rsid w:val="00364633"/>
    <w:rsid w:val="00364B64"/>
    <w:rsid w:val="00364D13"/>
    <w:rsid w:val="00364E6A"/>
    <w:rsid w:val="00364F57"/>
    <w:rsid w:val="003657D7"/>
    <w:rsid w:val="00365A89"/>
    <w:rsid w:val="00365B3A"/>
    <w:rsid w:val="00365B75"/>
    <w:rsid w:val="00365C6E"/>
    <w:rsid w:val="00365D07"/>
    <w:rsid w:val="00365D5A"/>
    <w:rsid w:val="003667D4"/>
    <w:rsid w:val="00366915"/>
    <w:rsid w:val="00366E7D"/>
    <w:rsid w:val="00366EF3"/>
    <w:rsid w:val="0036720D"/>
    <w:rsid w:val="003673BB"/>
    <w:rsid w:val="0036757C"/>
    <w:rsid w:val="003677DB"/>
    <w:rsid w:val="003678B0"/>
    <w:rsid w:val="00367940"/>
    <w:rsid w:val="003679C6"/>
    <w:rsid w:val="00367D33"/>
    <w:rsid w:val="00370101"/>
    <w:rsid w:val="0037013C"/>
    <w:rsid w:val="003704F1"/>
    <w:rsid w:val="00370509"/>
    <w:rsid w:val="0037062A"/>
    <w:rsid w:val="00370659"/>
    <w:rsid w:val="0037074B"/>
    <w:rsid w:val="00370806"/>
    <w:rsid w:val="003708D0"/>
    <w:rsid w:val="00370AE7"/>
    <w:rsid w:val="00370C24"/>
    <w:rsid w:val="00370C87"/>
    <w:rsid w:val="00370E08"/>
    <w:rsid w:val="00371384"/>
    <w:rsid w:val="00371489"/>
    <w:rsid w:val="00371509"/>
    <w:rsid w:val="00371597"/>
    <w:rsid w:val="003717A8"/>
    <w:rsid w:val="0037184D"/>
    <w:rsid w:val="00371BAA"/>
    <w:rsid w:val="00371ED8"/>
    <w:rsid w:val="00372036"/>
    <w:rsid w:val="00372206"/>
    <w:rsid w:val="00372362"/>
    <w:rsid w:val="00372584"/>
    <w:rsid w:val="00372925"/>
    <w:rsid w:val="00372ADE"/>
    <w:rsid w:val="00372B41"/>
    <w:rsid w:val="00372D32"/>
    <w:rsid w:val="00372E43"/>
    <w:rsid w:val="00373060"/>
    <w:rsid w:val="003730AF"/>
    <w:rsid w:val="003730E9"/>
    <w:rsid w:val="0037324B"/>
    <w:rsid w:val="003734EF"/>
    <w:rsid w:val="00373532"/>
    <w:rsid w:val="0037369A"/>
    <w:rsid w:val="00373915"/>
    <w:rsid w:val="0037420E"/>
    <w:rsid w:val="0037423B"/>
    <w:rsid w:val="003748C3"/>
    <w:rsid w:val="003749F6"/>
    <w:rsid w:val="00374A25"/>
    <w:rsid w:val="00374BB6"/>
    <w:rsid w:val="00375172"/>
    <w:rsid w:val="0037543F"/>
    <w:rsid w:val="0037548E"/>
    <w:rsid w:val="0037558B"/>
    <w:rsid w:val="0037574B"/>
    <w:rsid w:val="003758DB"/>
    <w:rsid w:val="00375AC1"/>
    <w:rsid w:val="00375ADF"/>
    <w:rsid w:val="00375E58"/>
    <w:rsid w:val="00375ED5"/>
    <w:rsid w:val="0037616E"/>
    <w:rsid w:val="0037624E"/>
    <w:rsid w:val="00376B96"/>
    <w:rsid w:val="00376C79"/>
    <w:rsid w:val="00376DCD"/>
    <w:rsid w:val="00376E1A"/>
    <w:rsid w:val="00376ED3"/>
    <w:rsid w:val="00376F39"/>
    <w:rsid w:val="00377083"/>
    <w:rsid w:val="003770F1"/>
    <w:rsid w:val="00377165"/>
    <w:rsid w:val="00377324"/>
    <w:rsid w:val="003773F1"/>
    <w:rsid w:val="003774AC"/>
    <w:rsid w:val="003774F7"/>
    <w:rsid w:val="00377731"/>
    <w:rsid w:val="00377A74"/>
    <w:rsid w:val="00377B0C"/>
    <w:rsid w:val="00377B68"/>
    <w:rsid w:val="00377B77"/>
    <w:rsid w:val="00377D55"/>
    <w:rsid w:val="00377DC6"/>
    <w:rsid w:val="00377E49"/>
    <w:rsid w:val="00377F4D"/>
    <w:rsid w:val="0038038E"/>
    <w:rsid w:val="003807BD"/>
    <w:rsid w:val="003808C3"/>
    <w:rsid w:val="00380A0F"/>
    <w:rsid w:val="00380F1C"/>
    <w:rsid w:val="00380F5A"/>
    <w:rsid w:val="003811CD"/>
    <w:rsid w:val="0038168B"/>
    <w:rsid w:val="00381860"/>
    <w:rsid w:val="003819A1"/>
    <w:rsid w:val="003819BE"/>
    <w:rsid w:val="00381A4B"/>
    <w:rsid w:val="00381A5F"/>
    <w:rsid w:val="00381AF8"/>
    <w:rsid w:val="00381B50"/>
    <w:rsid w:val="00381B97"/>
    <w:rsid w:val="00381CE9"/>
    <w:rsid w:val="00381D5C"/>
    <w:rsid w:val="003821B6"/>
    <w:rsid w:val="003821DB"/>
    <w:rsid w:val="00382610"/>
    <w:rsid w:val="00382646"/>
    <w:rsid w:val="00382673"/>
    <w:rsid w:val="00382914"/>
    <w:rsid w:val="00382A54"/>
    <w:rsid w:val="00382AD4"/>
    <w:rsid w:val="00382AE2"/>
    <w:rsid w:val="00382B45"/>
    <w:rsid w:val="003831A3"/>
    <w:rsid w:val="003831AA"/>
    <w:rsid w:val="0038341D"/>
    <w:rsid w:val="00383A60"/>
    <w:rsid w:val="00383DD9"/>
    <w:rsid w:val="00383ECE"/>
    <w:rsid w:val="00383FD7"/>
    <w:rsid w:val="0038404F"/>
    <w:rsid w:val="00384064"/>
    <w:rsid w:val="00384645"/>
    <w:rsid w:val="00384C78"/>
    <w:rsid w:val="00384D17"/>
    <w:rsid w:val="00384FFF"/>
    <w:rsid w:val="003850C5"/>
    <w:rsid w:val="003850D9"/>
    <w:rsid w:val="00385357"/>
    <w:rsid w:val="003854E3"/>
    <w:rsid w:val="00385634"/>
    <w:rsid w:val="0038574B"/>
    <w:rsid w:val="0038574C"/>
    <w:rsid w:val="003858B1"/>
    <w:rsid w:val="00385A12"/>
    <w:rsid w:val="00385F7B"/>
    <w:rsid w:val="003861A1"/>
    <w:rsid w:val="00386213"/>
    <w:rsid w:val="00386326"/>
    <w:rsid w:val="00386494"/>
    <w:rsid w:val="00386500"/>
    <w:rsid w:val="0038670C"/>
    <w:rsid w:val="00386809"/>
    <w:rsid w:val="00386A59"/>
    <w:rsid w:val="00386B70"/>
    <w:rsid w:val="00386CA3"/>
    <w:rsid w:val="00386CEF"/>
    <w:rsid w:val="00386DE1"/>
    <w:rsid w:val="00386F75"/>
    <w:rsid w:val="00386F89"/>
    <w:rsid w:val="00387451"/>
    <w:rsid w:val="003875E9"/>
    <w:rsid w:val="00387776"/>
    <w:rsid w:val="00387A33"/>
    <w:rsid w:val="00390726"/>
    <w:rsid w:val="003907A9"/>
    <w:rsid w:val="0039084B"/>
    <w:rsid w:val="003908A6"/>
    <w:rsid w:val="00390A0E"/>
    <w:rsid w:val="00390A5A"/>
    <w:rsid w:val="00390F52"/>
    <w:rsid w:val="00391192"/>
    <w:rsid w:val="00391317"/>
    <w:rsid w:val="003913D1"/>
    <w:rsid w:val="00391548"/>
    <w:rsid w:val="003915AE"/>
    <w:rsid w:val="003916DD"/>
    <w:rsid w:val="00391854"/>
    <w:rsid w:val="00391908"/>
    <w:rsid w:val="00391F61"/>
    <w:rsid w:val="00391F93"/>
    <w:rsid w:val="0039219B"/>
    <w:rsid w:val="003921BE"/>
    <w:rsid w:val="003924ED"/>
    <w:rsid w:val="00392559"/>
    <w:rsid w:val="00392827"/>
    <w:rsid w:val="0039294A"/>
    <w:rsid w:val="003929CC"/>
    <w:rsid w:val="00392D96"/>
    <w:rsid w:val="00392E1D"/>
    <w:rsid w:val="00392FA3"/>
    <w:rsid w:val="0039388F"/>
    <w:rsid w:val="0039392A"/>
    <w:rsid w:val="00393F29"/>
    <w:rsid w:val="00394072"/>
    <w:rsid w:val="00394075"/>
    <w:rsid w:val="00394241"/>
    <w:rsid w:val="00394801"/>
    <w:rsid w:val="003948E4"/>
    <w:rsid w:val="00394DD9"/>
    <w:rsid w:val="00394F02"/>
    <w:rsid w:val="00394F61"/>
    <w:rsid w:val="00394FE7"/>
    <w:rsid w:val="00395064"/>
    <w:rsid w:val="003951BB"/>
    <w:rsid w:val="00395226"/>
    <w:rsid w:val="0039577B"/>
    <w:rsid w:val="003958C8"/>
    <w:rsid w:val="003958E9"/>
    <w:rsid w:val="00395AA4"/>
    <w:rsid w:val="00395E39"/>
    <w:rsid w:val="00396406"/>
    <w:rsid w:val="00396450"/>
    <w:rsid w:val="00396B4D"/>
    <w:rsid w:val="00396DCD"/>
    <w:rsid w:val="00396E09"/>
    <w:rsid w:val="00396F47"/>
    <w:rsid w:val="00397531"/>
    <w:rsid w:val="003976CA"/>
    <w:rsid w:val="003977AF"/>
    <w:rsid w:val="00397AAE"/>
    <w:rsid w:val="00397CD5"/>
    <w:rsid w:val="00397E38"/>
    <w:rsid w:val="00397E6C"/>
    <w:rsid w:val="00397FAD"/>
    <w:rsid w:val="003A033A"/>
    <w:rsid w:val="003A03BE"/>
    <w:rsid w:val="003A0774"/>
    <w:rsid w:val="003A0863"/>
    <w:rsid w:val="003A0988"/>
    <w:rsid w:val="003A09AE"/>
    <w:rsid w:val="003A0DF9"/>
    <w:rsid w:val="003A0E39"/>
    <w:rsid w:val="003A11EB"/>
    <w:rsid w:val="003A142D"/>
    <w:rsid w:val="003A143A"/>
    <w:rsid w:val="003A1487"/>
    <w:rsid w:val="003A189C"/>
    <w:rsid w:val="003A1913"/>
    <w:rsid w:val="003A1BAE"/>
    <w:rsid w:val="003A1C08"/>
    <w:rsid w:val="003A1E67"/>
    <w:rsid w:val="003A1FC0"/>
    <w:rsid w:val="003A218E"/>
    <w:rsid w:val="003A2227"/>
    <w:rsid w:val="003A2433"/>
    <w:rsid w:val="003A260F"/>
    <w:rsid w:val="003A27FF"/>
    <w:rsid w:val="003A2CA8"/>
    <w:rsid w:val="003A2CFF"/>
    <w:rsid w:val="003A2DA1"/>
    <w:rsid w:val="003A2EB1"/>
    <w:rsid w:val="003A2F84"/>
    <w:rsid w:val="003A35D1"/>
    <w:rsid w:val="003A3685"/>
    <w:rsid w:val="003A3AF3"/>
    <w:rsid w:val="003A404F"/>
    <w:rsid w:val="003A4079"/>
    <w:rsid w:val="003A4212"/>
    <w:rsid w:val="003A423E"/>
    <w:rsid w:val="003A449B"/>
    <w:rsid w:val="003A44CD"/>
    <w:rsid w:val="003A457D"/>
    <w:rsid w:val="003A4723"/>
    <w:rsid w:val="003A4780"/>
    <w:rsid w:val="003A5206"/>
    <w:rsid w:val="003A52C9"/>
    <w:rsid w:val="003A53BF"/>
    <w:rsid w:val="003A53E8"/>
    <w:rsid w:val="003A5544"/>
    <w:rsid w:val="003A5650"/>
    <w:rsid w:val="003A56A1"/>
    <w:rsid w:val="003A56B6"/>
    <w:rsid w:val="003A5A63"/>
    <w:rsid w:val="003A5AA3"/>
    <w:rsid w:val="003A5E70"/>
    <w:rsid w:val="003A60A5"/>
    <w:rsid w:val="003A60DD"/>
    <w:rsid w:val="003A61DB"/>
    <w:rsid w:val="003A64DB"/>
    <w:rsid w:val="003A6963"/>
    <w:rsid w:val="003A6C46"/>
    <w:rsid w:val="003A6C7A"/>
    <w:rsid w:val="003A6FA2"/>
    <w:rsid w:val="003A7490"/>
    <w:rsid w:val="003A7531"/>
    <w:rsid w:val="003A7687"/>
    <w:rsid w:val="003A77C7"/>
    <w:rsid w:val="003A781F"/>
    <w:rsid w:val="003A7974"/>
    <w:rsid w:val="003A7B87"/>
    <w:rsid w:val="003B02D5"/>
    <w:rsid w:val="003B05BE"/>
    <w:rsid w:val="003B06BD"/>
    <w:rsid w:val="003B076D"/>
    <w:rsid w:val="003B0B7C"/>
    <w:rsid w:val="003B0F10"/>
    <w:rsid w:val="003B0F1F"/>
    <w:rsid w:val="003B10E8"/>
    <w:rsid w:val="003B187B"/>
    <w:rsid w:val="003B1ADB"/>
    <w:rsid w:val="003B1CB9"/>
    <w:rsid w:val="003B2002"/>
    <w:rsid w:val="003B2138"/>
    <w:rsid w:val="003B222E"/>
    <w:rsid w:val="003B241B"/>
    <w:rsid w:val="003B258E"/>
    <w:rsid w:val="003B27C3"/>
    <w:rsid w:val="003B2E14"/>
    <w:rsid w:val="003B2FCD"/>
    <w:rsid w:val="003B32CF"/>
    <w:rsid w:val="003B33A3"/>
    <w:rsid w:val="003B351E"/>
    <w:rsid w:val="003B3585"/>
    <w:rsid w:val="003B372E"/>
    <w:rsid w:val="003B3A67"/>
    <w:rsid w:val="003B3EA3"/>
    <w:rsid w:val="003B4147"/>
    <w:rsid w:val="003B4493"/>
    <w:rsid w:val="003B4748"/>
    <w:rsid w:val="003B4C8F"/>
    <w:rsid w:val="003B53B6"/>
    <w:rsid w:val="003B53E9"/>
    <w:rsid w:val="003B5406"/>
    <w:rsid w:val="003B5756"/>
    <w:rsid w:val="003B57FA"/>
    <w:rsid w:val="003B5B98"/>
    <w:rsid w:val="003B5EE8"/>
    <w:rsid w:val="003B624C"/>
    <w:rsid w:val="003B6297"/>
    <w:rsid w:val="003B630B"/>
    <w:rsid w:val="003B643E"/>
    <w:rsid w:val="003B64A5"/>
    <w:rsid w:val="003B651A"/>
    <w:rsid w:val="003B6A68"/>
    <w:rsid w:val="003B6AC7"/>
    <w:rsid w:val="003B6C86"/>
    <w:rsid w:val="003B6DA7"/>
    <w:rsid w:val="003B6F39"/>
    <w:rsid w:val="003B72F5"/>
    <w:rsid w:val="003B7390"/>
    <w:rsid w:val="003B755C"/>
    <w:rsid w:val="003B7567"/>
    <w:rsid w:val="003B75E9"/>
    <w:rsid w:val="003B76B3"/>
    <w:rsid w:val="003B785C"/>
    <w:rsid w:val="003B7936"/>
    <w:rsid w:val="003B7ACA"/>
    <w:rsid w:val="003C0174"/>
    <w:rsid w:val="003C018F"/>
    <w:rsid w:val="003C04FF"/>
    <w:rsid w:val="003C054C"/>
    <w:rsid w:val="003C096E"/>
    <w:rsid w:val="003C0FF5"/>
    <w:rsid w:val="003C1183"/>
    <w:rsid w:val="003C1362"/>
    <w:rsid w:val="003C14AB"/>
    <w:rsid w:val="003C1846"/>
    <w:rsid w:val="003C199B"/>
    <w:rsid w:val="003C1DBD"/>
    <w:rsid w:val="003C2071"/>
    <w:rsid w:val="003C2157"/>
    <w:rsid w:val="003C220F"/>
    <w:rsid w:val="003C2649"/>
    <w:rsid w:val="003C266E"/>
    <w:rsid w:val="003C306D"/>
    <w:rsid w:val="003C3149"/>
    <w:rsid w:val="003C3505"/>
    <w:rsid w:val="003C3838"/>
    <w:rsid w:val="003C3ADC"/>
    <w:rsid w:val="003C3CE5"/>
    <w:rsid w:val="003C3E79"/>
    <w:rsid w:val="003C3EB9"/>
    <w:rsid w:val="003C3F04"/>
    <w:rsid w:val="003C3F67"/>
    <w:rsid w:val="003C4109"/>
    <w:rsid w:val="003C423F"/>
    <w:rsid w:val="003C455F"/>
    <w:rsid w:val="003C4772"/>
    <w:rsid w:val="003C4774"/>
    <w:rsid w:val="003C48C1"/>
    <w:rsid w:val="003C48DD"/>
    <w:rsid w:val="003C4954"/>
    <w:rsid w:val="003C49F1"/>
    <w:rsid w:val="003C4B6C"/>
    <w:rsid w:val="003C4DEC"/>
    <w:rsid w:val="003C4FD6"/>
    <w:rsid w:val="003C5186"/>
    <w:rsid w:val="003C51C5"/>
    <w:rsid w:val="003C524F"/>
    <w:rsid w:val="003C529E"/>
    <w:rsid w:val="003C53EB"/>
    <w:rsid w:val="003C5612"/>
    <w:rsid w:val="003C56C3"/>
    <w:rsid w:val="003C57B9"/>
    <w:rsid w:val="003C5815"/>
    <w:rsid w:val="003C5963"/>
    <w:rsid w:val="003C5E96"/>
    <w:rsid w:val="003C5ED0"/>
    <w:rsid w:val="003C6042"/>
    <w:rsid w:val="003C61EB"/>
    <w:rsid w:val="003C639D"/>
    <w:rsid w:val="003C640C"/>
    <w:rsid w:val="003C64D1"/>
    <w:rsid w:val="003C6541"/>
    <w:rsid w:val="003C6583"/>
    <w:rsid w:val="003C67E9"/>
    <w:rsid w:val="003C699A"/>
    <w:rsid w:val="003C6A10"/>
    <w:rsid w:val="003C7294"/>
    <w:rsid w:val="003C743A"/>
    <w:rsid w:val="003C7850"/>
    <w:rsid w:val="003C79A5"/>
    <w:rsid w:val="003C7DF7"/>
    <w:rsid w:val="003C7F3E"/>
    <w:rsid w:val="003C7F79"/>
    <w:rsid w:val="003D0043"/>
    <w:rsid w:val="003D01B5"/>
    <w:rsid w:val="003D02DC"/>
    <w:rsid w:val="003D06A2"/>
    <w:rsid w:val="003D10F3"/>
    <w:rsid w:val="003D113D"/>
    <w:rsid w:val="003D1272"/>
    <w:rsid w:val="003D1331"/>
    <w:rsid w:val="003D13FF"/>
    <w:rsid w:val="003D142F"/>
    <w:rsid w:val="003D14DD"/>
    <w:rsid w:val="003D16DC"/>
    <w:rsid w:val="003D174E"/>
    <w:rsid w:val="003D1D9B"/>
    <w:rsid w:val="003D1EA0"/>
    <w:rsid w:val="003D2077"/>
    <w:rsid w:val="003D21E6"/>
    <w:rsid w:val="003D2440"/>
    <w:rsid w:val="003D2515"/>
    <w:rsid w:val="003D26A5"/>
    <w:rsid w:val="003D279C"/>
    <w:rsid w:val="003D288E"/>
    <w:rsid w:val="003D29D5"/>
    <w:rsid w:val="003D2C80"/>
    <w:rsid w:val="003D2D15"/>
    <w:rsid w:val="003D2D4B"/>
    <w:rsid w:val="003D2EA2"/>
    <w:rsid w:val="003D34DA"/>
    <w:rsid w:val="003D35F6"/>
    <w:rsid w:val="003D3901"/>
    <w:rsid w:val="003D3A89"/>
    <w:rsid w:val="003D3AAB"/>
    <w:rsid w:val="003D3D0D"/>
    <w:rsid w:val="003D3E71"/>
    <w:rsid w:val="003D4132"/>
    <w:rsid w:val="003D43FA"/>
    <w:rsid w:val="003D4541"/>
    <w:rsid w:val="003D47FD"/>
    <w:rsid w:val="003D4946"/>
    <w:rsid w:val="003D4B2D"/>
    <w:rsid w:val="003D4C95"/>
    <w:rsid w:val="003D4CA0"/>
    <w:rsid w:val="003D4FE4"/>
    <w:rsid w:val="003D54BD"/>
    <w:rsid w:val="003D56A1"/>
    <w:rsid w:val="003D58E4"/>
    <w:rsid w:val="003D59DC"/>
    <w:rsid w:val="003D6111"/>
    <w:rsid w:val="003D64A5"/>
    <w:rsid w:val="003D6713"/>
    <w:rsid w:val="003D6B85"/>
    <w:rsid w:val="003D71A5"/>
    <w:rsid w:val="003D7493"/>
    <w:rsid w:val="003D75D6"/>
    <w:rsid w:val="003D77B3"/>
    <w:rsid w:val="003D7818"/>
    <w:rsid w:val="003D783F"/>
    <w:rsid w:val="003D7868"/>
    <w:rsid w:val="003D78A6"/>
    <w:rsid w:val="003D7B75"/>
    <w:rsid w:val="003D7BE9"/>
    <w:rsid w:val="003E00C1"/>
    <w:rsid w:val="003E01EA"/>
    <w:rsid w:val="003E0239"/>
    <w:rsid w:val="003E02E7"/>
    <w:rsid w:val="003E0499"/>
    <w:rsid w:val="003E0A48"/>
    <w:rsid w:val="003E0CCC"/>
    <w:rsid w:val="003E0DD7"/>
    <w:rsid w:val="003E1303"/>
    <w:rsid w:val="003E1568"/>
    <w:rsid w:val="003E15CD"/>
    <w:rsid w:val="003E18E6"/>
    <w:rsid w:val="003E1B5D"/>
    <w:rsid w:val="003E1D36"/>
    <w:rsid w:val="003E21A0"/>
    <w:rsid w:val="003E2200"/>
    <w:rsid w:val="003E236C"/>
    <w:rsid w:val="003E2998"/>
    <w:rsid w:val="003E29AD"/>
    <w:rsid w:val="003E2BAC"/>
    <w:rsid w:val="003E2DCF"/>
    <w:rsid w:val="003E2EF0"/>
    <w:rsid w:val="003E303D"/>
    <w:rsid w:val="003E312F"/>
    <w:rsid w:val="003E35C4"/>
    <w:rsid w:val="003E3893"/>
    <w:rsid w:val="003E3B73"/>
    <w:rsid w:val="003E3B83"/>
    <w:rsid w:val="003E3CBC"/>
    <w:rsid w:val="003E429F"/>
    <w:rsid w:val="003E4E38"/>
    <w:rsid w:val="003E4F54"/>
    <w:rsid w:val="003E4FCA"/>
    <w:rsid w:val="003E52FA"/>
    <w:rsid w:val="003E5558"/>
    <w:rsid w:val="003E5592"/>
    <w:rsid w:val="003E56F5"/>
    <w:rsid w:val="003E574D"/>
    <w:rsid w:val="003E5B1D"/>
    <w:rsid w:val="003E5C10"/>
    <w:rsid w:val="003E5F6D"/>
    <w:rsid w:val="003E60B7"/>
    <w:rsid w:val="003E617D"/>
    <w:rsid w:val="003E6284"/>
    <w:rsid w:val="003E62BA"/>
    <w:rsid w:val="003E64E4"/>
    <w:rsid w:val="003E654A"/>
    <w:rsid w:val="003E6832"/>
    <w:rsid w:val="003E689E"/>
    <w:rsid w:val="003E6921"/>
    <w:rsid w:val="003E6AE6"/>
    <w:rsid w:val="003E6B25"/>
    <w:rsid w:val="003E6E28"/>
    <w:rsid w:val="003E7080"/>
    <w:rsid w:val="003E7321"/>
    <w:rsid w:val="003E753C"/>
    <w:rsid w:val="003E7922"/>
    <w:rsid w:val="003E7C2F"/>
    <w:rsid w:val="003E7C83"/>
    <w:rsid w:val="003E7E4E"/>
    <w:rsid w:val="003F0083"/>
    <w:rsid w:val="003F0101"/>
    <w:rsid w:val="003F01AC"/>
    <w:rsid w:val="003F02E3"/>
    <w:rsid w:val="003F0746"/>
    <w:rsid w:val="003F0AA4"/>
    <w:rsid w:val="003F0E80"/>
    <w:rsid w:val="003F0F85"/>
    <w:rsid w:val="003F1365"/>
    <w:rsid w:val="003F1544"/>
    <w:rsid w:val="003F18F0"/>
    <w:rsid w:val="003F1B04"/>
    <w:rsid w:val="003F1BC5"/>
    <w:rsid w:val="003F21B5"/>
    <w:rsid w:val="003F21EF"/>
    <w:rsid w:val="003F2617"/>
    <w:rsid w:val="003F29CA"/>
    <w:rsid w:val="003F2CF0"/>
    <w:rsid w:val="003F2D55"/>
    <w:rsid w:val="003F2F94"/>
    <w:rsid w:val="003F3099"/>
    <w:rsid w:val="003F3134"/>
    <w:rsid w:val="003F334C"/>
    <w:rsid w:val="003F36D8"/>
    <w:rsid w:val="003F3886"/>
    <w:rsid w:val="003F3AE8"/>
    <w:rsid w:val="003F3C9F"/>
    <w:rsid w:val="003F3CA5"/>
    <w:rsid w:val="003F3E50"/>
    <w:rsid w:val="003F3F11"/>
    <w:rsid w:val="003F4060"/>
    <w:rsid w:val="003F441F"/>
    <w:rsid w:val="003F4A00"/>
    <w:rsid w:val="003F4AB3"/>
    <w:rsid w:val="003F4CB0"/>
    <w:rsid w:val="003F4E5C"/>
    <w:rsid w:val="003F5059"/>
    <w:rsid w:val="003F5316"/>
    <w:rsid w:val="003F559A"/>
    <w:rsid w:val="003F55EC"/>
    <w:rsid w:val="003F591B"/>
    <w:rsid w:val="003F5C8E"/>
    <w:rsid w:val="003F5D9C"/>
    <w:rsid w:val="003F5FC9"/>
    <w:rsid w:val="003F6192"/>
    <w:rsid w:val="003F6951"/>
    <w:rsid w:val="003F6AB4"/>
    <w:rsid w:val="003F6E6D"/>
    <w:rsid w:val="003F7103"/>
    <w:rsid w:val="003F7202"/>
    <w:rsid w:val="003F72FA"/>
    <w:rsid w:val="003F76C9"/>
    <w:rsid w:val="003F7894"/>
    <w:rsid w:val="003F7CCA"/>
    <w:rsid w:val="00400035"/>
    <w:rsid w:val="00400300"/>
    <w:rsid w:val="00400406"/>
    <w:rsid w:val="00400C67"/>
    <w:rsid w:val="00400CDC"/>
    <w:rsid w:val="00400EDC"/>
    <w:rsid w:val="00400F60"/>
    <w:rsid w:val="00401028"/>
    <w:rsid w:val="00401230"/>
    <w:rsid w:val="004015F5"/>
    <w:rsid w:val="004017D9"/>
    <w:rsid w:val="004019C1"/>
    <w:rsid w:val="00401D18"/>
    <w:rsid w:val="0040215F"/>
    <w:rsid w:val="004021B2"/>
    <w:rsid w:val="004023A3"/>
    <w:rsid w:val="004023D8"/>
    <w:rsid w:val="0040249A"/>
    <w:rsid w:val="00402503"/>
    <w:rsid w:val="00402561"/>
    <w:rsid w:val="004028EA"/>
    <w:rsid w:val="00402943"/>
    <w:rsid w:val="00402A41"/>
    <w:rsid w:val="00402BFE"/>
    <w:rsid w:val="00402E75"/>
    <w:rsid w:val="00402EEE"/>
    <w:rsid w:val="00403203"/>
    <w:rsid w:val="0040331C"/>
    <w:rsid w:val="00403507"/>
    <w:rsid w:val="004036F3"/>
    <w:rsid w:val="00403789"/>
    <w:rsid w:val="0040397E"/>
    <w:rsid w:val="004039D3"/>
    <w:rsid w:val="00403F9B"/>
    <w:rsid w:val="00404008"/>
    <w:rsid w:val="0040402A"/>
    <w:rsid w:val="0040425D"/>
    <w:rsid w:val="00404431"/>
    <w:rsid w:val="00404579"/>
    <w:rsid w:val="00404678"/>
    <w:rsid w:val="00404802"/>
    <w:rsid w:val="00404BFC"/>
    <w:rsid w:val="00404DBD"/>
    <w:rsid w:val="00404E1B"/>
    <w:rsid w:val="00405639"/>
    <w:rsid w:val="0040575C"/>
    <w:rsid w:val="004058E3"/>
    <w:rsid w:val="00405A97"/>
    <w:rsid w:val="00405C6A"/>
    <w:rsid w:val="00405DB8"/>
    <w:rsid w:val="00405E1E"/>
    <w:rsid w:val="004060A2"/>
    <w:rsid w:val="00406255"/>
    <w:rsid w:val="004062C5"/>
    <w:rsid w:val="004062FE"/>
    <w:rsid w:val="00406413"/>
    <w:rsid w:val="004065BC"/>
    <w:rsid w:val="0040677A"/>
    <w:rsid w:val="00406871"/>
    <w:rsid w:val="00406931"/>
    <w:rsid w:val="00406A86"/>
    <w:rsid w:val="00406B69"/>
    <w:rsid w:val="00406C76"/>
    <w:rsid w:val="00406E2E"/>
    <w:rsid w:val="00406FF9"/>
    <w:rsid w:val="0040727A"/>
    <w:rsid w:val="004072EB"/>
    <w:rsid w:val="004075BF"/>
    <w:rsid w:val="0040761D"/>
    <w:rsid w:val="004076BA"/>
    <w:rsid w:val="004076C3"/>
    <w:rsid w:val="004079ED"/>
    <w:rsid w:val="00407A07"/>
    <w:rsid w:val="00407FAA"/>
    <w:rsid w:val="00410043"/>
    <w:rsid w:val="004100FA"/>
    <w:rsid w:val="0041015D"/>
    <w:rsid w:val="004102FE"/>
    <w:rsid w:val="004104B7"/>
    <w:rsid w:val="00410631"/>
    <w:rsid w:val="004108BC"/>
    <w:rsid w:val="004109F0"/>
    <w:rsid w:val="0041118A"/>
    <w:rsid w:val="004111E3"/>
    <w:rsid w:val="004113A1"/>
    <w:rsid w:val="00411454"/>
    <w:rsid w:val="004115A0"/>
    <w:rsid w:val="00411610"/>
    <w:rsid w:val="0041195E"/>
    <w:rsid w:val="00411C17"/>
    <w:rsid w:val="00411FD3"/>
    <w:rsid w:val="00412208"/>
    <w:rsid w:val="0041229A"/>
    <w:rsid w:val="004127C5"/>
    <w:rsid w:val="00412B5C"/>
    <w:rsid w:val="00412BCD"/>
    <w:rsid w:val="00412C44"/>
    <w:rsid w:val="00412DC9"/>
    <w:rsid w:val="00413608"/>
    <w:rsid w:val="00413694"/>
    <w:rsid w:val="00413833"/>
    <w:rsid w:val="0041386E"/>
    <w:rsid w:val="00413989"/>
    <w:rsid w:val="00413D15"/>
    <w:rsid w:val="00413ED9"/>
    <w:rsid w:val="004142EE"/>
    <w:rsid w:val="00414347"/>
    <w:rsid w:val="00414483"/>
    <w:rsid w:val="004144A5"/>
    <w:rsid w:val="004148C2"/>
    <w:rsid w:val="004149DB"/>
    <w:rsid w:val="00415026"/>
    <w:rsid w:val="00415156"/>
    <w:rsid w:val="0041520B"/>
    <w:rsid w:val="00415270"/>
    <w:rsid w:val="0041538F"/>
    <w:rsid w:val="0041541E"/>
    <w:rsid w:val="00415446"/>
    <w:rsid w:val="0041557A"/>
    <w:rsid w:val="00415583"/>
    <w:rsid w:val="004156C0"/>
    <w:rsid w:val="004157F1"/>
    <w:rsid w:val="00415AAE"/>
    <w:rsid w:val="00415AB0"/>
    <w:rsid w:val="00415C23"/>
    <w:rsid w:val="00415D5E"/>
    <w:rsid w:val="00415DA7"/>
    <w:rsid w:val="00415E03"/>
    <w:rsid w:val="00415FA7"/>
    <w:rsid w:val="004160AE"/>
    <w:rsid w:val="004160E4"/>
    <w:rsid w:val="004161A6"/>
    <w:rsid w:val="004162DB"/>
    <w:rsid w:val="00416379"/>
    <w:rsid w:val="00416507"/>
    <w:rsid w:val="00416553"/>
    <w:rsid w:val="00416651"/>
    <w:rsid w:val="004166B1"/>
    <w:rsid w:val="00416807"/>
    <w:rsid w:val="00416907"/>
    <w:rsid w:val="0041699B"/>
    <w:rsid w:val="00416ADA"/>
    <w:rsid w:val="00416B99"/>
    <w:rsid w:val="00416C76"/>
    <w:rsid w:val="00416E59"/>
    <w:rsid w:val="004172B7"/>
    <w:rsid w:val="0041733B"/>
    <w:rsid w:val="004176C6"/>
    <w:rsid w:val="004177ED"/>
    <w:rsid w:val="0041787E"/>
    <w:rsid w:val="00417F28"/>
    <w:rsid w:val="00420079"/>
    <w:rsid w:val="00420454"/>
    <w:rsid w:val="0042064D"/>
    <w:rsid w:val="00420AEA"/>
    <w:rsid w:val="00420E8C"/>
    <w:rsid w:val="004212E5"/>
    <w:rsid w:val="004215E2"/>
    <w:rsid w:val="00421712"/>
    <w:rsid w:val="004219BD"/>
    <w:rsid w:val="00421E60"/>
    <w:rsid w:val="00421F52"/>
    <w:rsid w:val="004221E3"/>
    <w:rsid w:val="004226F5"/>
    <w:rsid w:val="004226FE"/>
    <w:rsid w:val="00422976"/>
    <w:rsid w:val="00422EA9"/>
    <w:rsid w:val="00422EAF"/>
    <w:rsid w:val="004231DE"/>
    <w:rsid w:val="004234D7"/>
    <w:rsid w:val="00423583"/>
    <w:rsid w:val="0042364F"/>
    <w:rsid w:val="00423671"/>
    <w:rsid w:val="0042375A"/>
    <w:rsid w:val="00423B63"/>
    <w:rsid w:val="00423C13"/>
    <w:rsid w:val="00423CCD"/>
    <w:rsid w:val="00423FAD"/>
    <w:rsid w:val="00423FCF"/>
    <w:rsid w:val="00424093"/>
    <w:rsid w:val="00424555"/>
    <w:rsid w:val="004245F9"/>
    <w:rsid w:val="00424866"/>
    <w:rsid w:val="00424E7E"/>
    <w:rsid w:val="00424FD2"/>
    <w:rsid w:val="0042504F"/>
    <w:rsid w:val="00425092"/>
    <w:rsid w:val="00425163"/>
    <w:rsid w:val="004252B7"/>
    <w:rsid w:val="00425300"/>
    <w:rsid w:val="004253FE"/>
    <w:rsid w:val="00425504"/>
    <w:rsid w:val="00425524"/>
    <w:rsid w:val="004258C4"/>
    <w:rsid w:val="004258E7"/>
    <w:rsid w:val="00425D3E"/>
    <w:rsid w:val="00425F4B"/>
    <w:rsid w:val="00426754"/>
    <w:rsid w:val="0042685E"/>
    <w:rsid w:val="00426B52"/>
    <w:rsid w:val="00426F5F"/>
    <w:rsid w:val="004270C4"/>
    <w:rsid w:val="0042711F"/>
    <w:rsid w:val="004271AD"/>
    <w:rsid w:val="004273B9"/>
    <w:rsid w:val="00427C75"/>
    <w:rsid w:val="00427F64"/>
    <w:rsid w:val="00430119"/>
    <w:rsid w:val="0043040A"/>
    <w:rsid w:val="004304DE"/>
    <w:rsid w:val="00430527"/>
    <w:rsid w:val="00430698"/>
    <w:rsid w:val="00430A6E"/>
    <w:rsid w:val="00430AB3"/>
    <w:rsid w:val="00430CEC"/>
    <w:rsid w:val="004315F4"/>
    <w:rsid w:val="0043160F"/>
    <w:rsid w:val="0043163B"/>
    <w:rsid w:val="00431FBF"/>
    <w:rsid w:val="00432488"/>
    <w:rsid w:val="00432636"/>
    <w:rsid w:val="00432A9E"/>
    <w:rsid w:val="00432AF0"/>
    <w:rsid w:val="0043310C"/>
    <w:rsid w:val="00433448"/>
    <w:rsid w:val="00433929"/>
    <w:rsid w:val="00433BB5"/>
    <w:rsid w:val="00433C23"/>
    <w:rsid w:val="00433C58"/>
    <w:rsid w:val="00433D36"/>
    <w:rsid w:val="00433EB2"/>
    <w:rsid w:val="004341C4"/>
    <w:rsid w:val="00434255"/>
    <w:rsid w:val="00434824"/>
    <w:rsid w:val="00434CD0"/>
    <w:rsid w:val="00434EB7"/>
    <w:rsid w:val="0043507C"/>
    <w:rsid w:val="00435492"/>
    <w:rsid w:val="004355CA"/>
    <w:rsid w:val="00435682"/>
    <w:rsid w:val="00435A20"/>
    <w:rsid w:val="00435A4B"/>
    <w:rsid w:val="00436226"/>
    <w:rsid w:val="00436240"/>
    <w:rsid w:val="00436832"/>
    <w:rsid w:val="004369F2"/>
    <w:rsid w:val="00436AD2"/>
    <w:rsid w:val="004371E1"/>
    <w:rsid w:val="00437883"/>
    <w:rsid w:val="00437A9A"/>
    <w:rsid w:val="00437C1B"/>
    <w:rsid w:val="00437CE5"/>
    <w:rsid w:val="0044005D"/>
    <w:rsid w:val="004401FC"/>
    <w:rsid w:val="00440234"/>
    <w:rsid w:val="00440388"/>
    <w:rsid w:val="00440511"/>
    <w:rsid w:val="00440515"/>
    <w:rsid w:val="00440C68"/>
    <w:rsid w:val="00440EEC"/>
    <w:rsid w:val="004414DB"/>
    <w:rsid w:val="0044176F"/>
    <w:rsid w:val="00441874"/>
    <w:rsid w:val="00441A2C"/>
    <w:rsid w:val="00441A95"/>
    <w:rsid w:val="00441B96"/>
    <w:rsid w:val="00441C0B"/>
    <w:rsid w:val="00441CA8"/>
    <w:rsid w:val="00441DAF"/>
    <w:rsid w:val="004421EF"/>
    <w:rsid w:val="0044231B"/>
    <w:rsid w:val="004423DE"/>
    <w:rsid w:val="004426DC"/>
    <w:rsid w:val="0044278F"/>
    <w:rsid w:val="00442815"/>
    <w:rsid w:val="004429AA"/>
    <w:rsid w:val="00442A29"/>
    <w:rsid w:val="00442B5B"/>
    <w:rsid w:val="00442CFD"/>
    <w:rsid w:val="00442FB2"/>
    <w:rsid w:val="004432EA"/>
    <w:rsid w:val="00443409"/>
    <w:rsid w:val="0044385F"/>
    <w:rsid w:val="004438B9"/>
    <w:rsid w:val="00443B19"/>
    <w:rsid w:val="00443BD5"/>
    <w:rsid w:val="00443C9E"/>
    <w:rsid w:val="00443CA2"/>
    <w:rsid w:val="00443F34"/>
    <w:rsid w:val="004440D2"/>
    <w:rsid w:val="00444182"/>
    <w:rsid w:val="0044424D"/>
    <w:rsid w:val="0044429E"/>
    <w:rsid w:val="004444A8"/>
    <w:rsid w:val="0044492D"/>
    <w:rsid w:val="00444AD0"/>
    <w:rsid w:val="00444BF6"/>
    <w:rsid w:val="00444C85"/>
    <w:rsid w:val="00444E0A"/>
    <w:rsid w:val="00444ECC"/>
    <w:rsid w:val="004454C0"/>
    <w:rsid w:val="0044573B"/>
    <w:rsid w:val="004461AB"/>
    <w:rsid w:val="004461C5"/>
    <w:rsid w:val="00446346"/>
    <w:rsid w:val="0044638F"/>
    <w:rsid w:val="00446592"/>
    <w:rsid w:val="0044665E"/>
    <w:rsid w:val="004466FF"/>
    <w:rsid w:val="0044674D"/>
    <w:rsid w:val="004469E6"/>
    <w:rsid w:val="00446C7F"/>
    <w:rsid w:val="00446D12"/>
    <w:rsid w:val="00446D62"/>
    <w:rsid w:val="0044703F"/>
    <w:rsid w:val="004471E8"/>
    <w:rsid w:val="004475F2"/>
    <w:rsid w:val="00447AFC"/>
    <w:rsid w:val="00447E3E"/>
    <w:rsid w:val="00447E61"/>
    <w:rsid w:val="00447F27"/>
    <w:rsid w:val="004500E4"/>
    <w:rsid w:val="0045020C"/>
    <w:rsid w:val="0045041F"/>
    <w:rsid w:val="0045091D"/>
    <w:rsid w:val="00450C95"/>
    <w:rsid w:val="00451052"/>
    <w:rsid w:val="004510C9"/>
    <w:rsid w:val="004512D8"/>
    <w:rsid w:val="00451335"/>
    <w:rsid w:val="004515CA"/>
    <w:rsid w:val="0045183D"/>
    <w:rsid w:val="00451935"/>
    <w:rsid w:val="00451B7E"/>
    <w:rsid w:val="00451F6D"/>
    <w:rsid w:val="0045223C"/>
    <w:rsid w:val="004522C4"/>
    <w:rsid w:val="00452445"/>
    <w:rsid w:val="004525B6"/>
    <w:rsid w:val="00452B5D"/>
    <w:rsid w:val="00452D68"/>
    <w:rsid w:val="00452DC0"/>
    <w:rsid w:val="00452E9E"/>
    <w:rsid w:val="00452FD2"/>
    <w:rsid w:val="00453010"/>
    <w:rsid w:val="00453238"/>
    <w:rsid w:val="00453885"/>
    <w:rsid w:val="00453AA1"/>
    <w:rsid w:val="00453BF0"/>
    <w:rsid w:val="00453C78"/>
    <w:rsid w:val="00453C9C"/>
    <w:rsid w:val="00454238"/>
    <w:rsid w:val="00454604"/>
    <w:rsid w:val="00454770"/>
    <w:rsid w:val="0045488A"/>
    <w:rsid w:val="00454B79"/>
    <w:rsid w:val="00454BEB"/>
    <w:rsid w:val="00454DC2"/>
    <w:rsid w:val="0045505E"/>
    <w:rsid w:val="0045517B"/>
    <w:rsid w:val="004552B7"/>
    <w:rsid w:val="004552F0"/>
    <w:rsid w:val="0045546B"/>
    <w:rsid w:val="00455497"/>
    <w:rsid w:val="00455717"/>
    <w:rsid w:val="00455946"/>
    <w:rsid w:val="00455AE0"/>
    <w:rsid w:val="00455B79"/>
    <w:rsid w:val="00455F2F"/>
    <w:rsid w:val="00455F9E"/>
    <w:rsid w:val="004561C8"/>
    <w:rsid w:val="00456507"/>
    <w:rsid w:val="004565E4"/>
    <w:rsid w:val="0045670D"/>
    <w:rsid w:val="004569E4"/>
    <w:rsid w:val="00456A2D"/>
    <w:rsid w:val="00456F3F"/>
    <w:rsid w:val="004570C9"/>
    <w:rsid w:val="004579E1"/>
    <w:rsid w:val="00457A12"/>
    <w:rsid w:val="00457B36"/>
    <w:rsid w:val="00457B67"/>
    <w:rsid w:val="00457B88"/>
    <w:rsid w:val="00457BB2"/>
    <w:rsid w:val="004601B3"/>
    <w:rsid w:val="004602AB"/>
    <w:rsid w:val="00460941"/>
    <w:rsid w:val="00460A5D"/>
    <w:rsid w:val="00460AEF"/>
    <w:rsid w:val="00460AF0"/>
    <w:rsid w:val="00460DC0"/>
    <w:rsid w:val="00460E08"/>
    <w:rsid w:val="00461016"/>
    <w:rsid w:val="00461368"/>
    <w:rsid w:val="004613F1"/>
    <w:rsid w:val="00461442"/>
    <w:rsid w:val="004615FA"/>
    <w:rsid w:val="004616DE"/>
    <w:rsid w:val="0046175C"/>
    <w:rsid w:val="00461789"/>
    <w:rsid w:val="00461888"/>
    <w:rsid w:val="004618D9"/>
    <w:rsid w:val="004618F1"/>
    <w:rsid w:val="004618FC"/>
    <w:rsid w:val="00461AFD"/>
    <w:rsid w:val="00461B35"/>
    <w:rsid w:val="00461B80"/>
    <w:rsid w:val="00461F41"/>
    <w:rsid w:val="00461FC6"/>
    <w:rsid w:val="004621CB"/>
    <w:rsid w:val="0046244B"/>
    <w:rsid w:val="00462570"/>
    <w:rsid w:val="00462627"/>
    <w:rsid w:val="004626CF"/>
    <w:rsid w:val="004626DB"/>
    <w:rsid w:val="004628F2"/>
    <w:rsid w:val="00462A5C"/>
    <w:rsid w:val="00462FD9"/>
    <w:rsid w:val="00463052"/>
    <w:rsid w:val="004630F1"/>
    <w:rsid w:val="00463132"/>
    <w:rsid w:val="00463265"/>
    <w:rsid w:val="004632CC"/>
    <w:rsid w:val="00463CF8"/>
    <w:rsid w:val="00463D92"/>
    <w:rsid w:val="00463E0E"/>
    <w:rsid w:val="00463EA8"/>
    <w:rsid w:val="004643DF"/>
    <w:rsid w:val="0046442B"/>
    <w:rsid w:val="00464824"/>
    <w:rsid w:val="00465273"/>
    <w:rsid w:val="004652BE"/>
    <w:rsid w:val="004654A7"/>
    <w:rsid w:val="0046570B"/>
    <w:rsid w:val="00465792"/>
    <w:rsid w:val="00465897"/>
    <w:rsid w:val="0046596B"/>
    <w:rsid w:val="00465B52"/>
    <w:rsid w:val="00465CAD"/>
    <w:rsid w:val="00465E59"/>
    <w:rsid w:val="00465EE0"/>
    <w:rsid w:val="00465FDB"/>
    <w:rsid w:val="00466065"/>
    <w:rsid w:val="004660FA"/>
    <w:rsid w:val="004663AF"/>
    <w:rsid w:val="004663E6"/>
    <w:rsid w:val="0046643B"/>
    <w:rsid w:val="0046682B"/>
    <w:rsid w:val="00466B4D"/>
    <w:rsid w:val="00466C5D"/>
    <w:rsid w:val="00466D1D"/>
    <w:rsid w:val="00466DF2"/>
    <w:rsid w:val="00467140"/>
    <w:rsid w:val="004676F5"/>
    <w:rsid w:val="00467DD2"/>
    <w:rsid w:val="00467FB0"/>
    <w:rsid w:val="004700A0"/>
    <w:rsid w:val="0047013F"/>
    <w:rsid w:val="00470145"/>
    <w:rsid w:val="004701C3"/>
    <w:rsid w:val="00470560"/>
    <w:rsid w:val="004705A4"/>
    <w:rsid w:val="00470C09"/>
    <w:rsid w:val="00470C0B"/>
    <w:rsid w:val="00470E20"/>
    <w:rsid w:val="00471126"/>
    <w:rsid w:val="00471492"/>
    <w:rsid w:val="004714A4"/>
    <w:rsid w:val="004717E7"/>
    <w:rsid w:val="00471E7C"/>
    <w:rsid w:val="00471FB5"/>
    <w:rsid w:val="00472496"/>
    <w:rsid w:val="004728B6"/>
    <w:rsid w:val="0047299B"/>
    <w:rsid w:val="00472C4D"/>
    <w:rsid w:val="00472CBC"/>
    <w:rsid w:val="00472D5E"/>
    <w:rsid w:val="00472D6E"/>
    <w:rsid w:val="00473146"/>
    <w:rsid w:val="0047315F"/>
    <w:rsid w:val="004731DD"/>
    <w:rsid w:val="00473425"/>
    <w:rsid w:val="004736B5"/>
    <w:rsid w:val="00473791"/>
    <w:rsid w:val="004737C9"/>
    <w:rsid w:val="0047398C"/>
    <w:rsid w:val="004739D5"/>
    <w:rsid w:val="00473B2B"/>
    <w:rsid w:val="004743EA"/>
    <w:rsid w:val="004745D3"/>
    <w:rsid w:val="0047460F"/>
    <w:rsid w:val="00474678"/>
    <w:rsid w:val="004746DD"/>
    <w:rsid w:val="00474872"/>
    <w:rsid w:val="004748EC"/>
    <w:rsid w:val="00474DF8"/>
    <w:rsid w:val="00474F27"/>
    <w:rsid w:val="004754E5"/>
    <w:rsid w:val="004755C3"/>
    <w:rsid w:val="00475815"/>
    <w:rsid w:val="00475834"/>
    <w:rsid w:val="00475AB2"/>
    <w:rsid w:val="00475B8E"/>
    <w:rsid w:val="00475DBC"/>
    <w:rsid w:val="00475DFE"/>
    <w:rsid w:val="00475E8C"/>
    <w:rsid w:val="004762FB"/>
    <w:rsid w:val="0047639E"/>
    <w:rsid w:val="004764E1"/>
    <w:rsid w:val="00476855"/>
    <w:rsid w:val="00476A9F"/>
    <w:rsid w:val="00476ED3"/>
    <w:rsid w:val="004772C9"/>
    <w:rsid w:val="004776C4"/>
    <w:rsid w:val="0047785C"/>
    <w:rsid w:val="00477A3C"/>
    <w:rsid w:val="00477B4A"/>
    <w:rsid w:val="0048032E"/>
    <w:rsid w:val="004805FD"/>
    <w:rsid w:val="00480601"/>
    <w:rsid w:val="004809BD"/>
    <w:rsid w:val="00480C13"/>
    <w:rsid w:val="0048108E"/>
    <w:rsid w:val="0048119C"/>
    <w:rsid w:val="00481387"/>
    <w:rsid w:val="004813CD"/>
    <w:rsid w:val="004814D2"/>
    <w:rsid w:val="004816C9"/>
    <w:rsid w:val="004817F8"/>
    <w:rsid w:val="004818D2"/>
    <w:rsid w:val="0048190A"/>
    <w:rsid w:val="00481FDE"/>
    <w:rsid w:val="004820AA"/>
    <w:rsid w:val="0048229A"/>
    <w:rsid w:val="0048241D"/>
    <w:rsid w:val="004827F3"/>
    <w:rsid w:val="004828B1"/>
    <w:rsid w:val="00482AFE"/>
    <w:rsid w:val="004831AE"/>
    <w:rsid w:val="00483257"/>
    <w:rsid w:val="0048367F"/>
    <w:rsid w:val="00483730"/>
    <w:rsid w:val="0048373B"/>
    <w:rsid w:val="0048376F"/>
    <w:rsid w:val="004838D9"/>
    <w:rsid w:val="004838F6"/>
    <w:rsid w:val="00483A5D"/>
    <w:rsid w:val="00483A78"/>
    <w:rsid w:val="00483A9C"/>
    <w:rsid w:val="00483C67"/>
    <w:rsid w:val="00483ED4"/>
    <w:rsid w:val="004841BE"/>
    <w:rsid w:val="0048432C"/>
    <w:rsid w:val="004844B8"/>
    <w:rsid w:val="0048450D"/>
    <w:rsid w:val="0048451B"/>
    <w:rsid w:val="00484545"/>
    <w:rsid w:val="004847E4"/>
    <w:rsid w:val="00484936"/>
    <w:rsid w:val="00484A4A"/>
    <w:rsid w:val="00484C69"/>
    <w:rsid w:val="00484DF4"/>
    <w:rsid w:val="00484E79"/>
    <w:rsid w:val="00484F3A"/>
    <w:rsid w:val="00485601"/>
    <w:rsid w:val="0048592C"/>
    <w:rsid w:val="00485FE1"/>
    <w:rsid w:val="0048657D"/>
    <w:rsid w:val="00486946"/>
    <w:rsid w:val="00486A24"/>
    <w:rsid w:val="00486AC0"/>
    <w:rsid w:val="00486CB3"/>
    <w:rsid w:val="00486D14"/>
    <w:rsid w:val="004871AE"/>
    <w:rsid w:val="00487357"/>
    <w:rsid w:val="00487406"/>
    <w:rsid w:val="004875CE"/>
    <w:rsid w:val="0048782E"/>
    <w:rsid w:val="00487AF5"/>
    <w:rsid w:val="00487C30"/>
    <w:rsid w:val="00487E51"/>
    <w:rsid w:val="00487EF9"/>
    <w:rsid w:val="00487F05"/>
    <w:rsid w:val="00490347"/>
    <w:rsid w:val="0049068F"/>
    <w:rsid w:val="00490837"/>
    <w:rsid w:val="00490929"/>
    <w:rsid w:val="00490A75"/>
    <w:rsid w:val="00490CBC"/>
    <w:rsid w:val="00490D11"/>
    <w:rsid w:val="00490F67"/>
    <w:rsid w:val="00491347"/>
    <w:rsid w:val="004914EC"/>
    <w:rsid w:val="0049188E"/>
    <w:rsid w:val="00491CC1"/>
    <w:rsid w:val="00491ED8"/>
    <w:rsid w:val="0049201D"/>
    <w:rsid w:val="0049222F"/>
    <w:rsid w:val="0049243F"/>
    <w:rsid w:val="00492506"/>
    <w:rsid w:val="0049264C"/>
    <w:rsid w:val="00492666"/>
    <w:rsid w:val="00492771"/>
    <w:rsid w:val="004928A1"/>
    <w:rsid w:val="00492955"/>
    <w:rsid w:val="00492F23"/>
    <w:rsid w:val="004931CA"/>
    <w:rsid w:val="004931EE"/>
    <w:rsid w:val="00493205"/>
    <w:rsid w:val="0049325D"/>
    <w:rsid w:val="004933EB"/>
    <w:rsid w:val="0049356D"/>
    <w:rsid w:val="004937AF"/>
    <w:rsid w:val="004937CB"/>
    <w:rsid w:val="00493E8D"/>
    <w:rsid w:val="0049473B"/>
    <w:rsid w:val="00494815"/>
    <w:rsid w:val="004948F8"/>
    <w:rsid w:val="0049495F"/>
    <w:rsid w:val="004949CC"/>
    <w:rsid w:val="00495818"/>
    <w:rsid w:val="00495958"/>
    <w:rsid w:val="00495B7B"/>
    <w:rsid w:val="00495CB3"/>
    <w:rsid w:val="00495CCA"/>
    <w:rsid w:val="00495D49"/>
    <w:rsid w:val="00495D89"/>
    <w:rsid w:val="00495E76"/>
    <w:rsid w:val="00495EE1"/>
    <w:rsid w:val="00495F18"/>
    <w:rsid w:val="004960E3"/>
    <w:rsid w:val="00496165"/>
    <w:rsid w:val="004967A0"/>
    <w:rsid w:val="00496A4D"/>
    <w:rsid w:val="00496B95"/>
    <w:rsid w:val="00496C36"/>
    <w:rsid w:val="0049714D"/>
    <w:rsid w:val="004973F5"/>
    <w:rsid w:val="00497569"/>
    <w:rsid w:val="00497629"/>
    <w:rsid w:val="004976C7"/>
    <w:rsid w:val="004976F5"/>
    <w:rsid w:val="00497A2C"/>
    <w:rsid w:val="00497BAE"/>
    <w:rsid w:val="00497BC6"/>
    <w:rsid w:val="00497E7F"/>
    <w:rsid w:val="00497EDD"/>
    <w:rsid w:val="004A0080"/>
    <w:rsid w:val="004A0259"/>
    <w:rsid w:val="004A0400"/>
    <w:rsid w:val="004A087E"/>
    <w:rsid w:val="004A089B"/>
    <w:rsid w:val="004A0951"/>
    <w:rsid w:val="004A0BAE"/>
    <w:rsid w:val="004A0BDE"/>
    <w:rsid w:val="004A0CD4"/>
    <w:rsid w:val="004A0CDC"/>
    <w:rsid w:val="004A0E4C"/>
    <w:rsid w:val="004A0F55"/>
    <w:rsid w:val="004A11D8"/>
    <w:rsid w:val="004A1227"/>
    <w:rsid w:val="004A12C6"/>
    <w:rsid w:val="004A130A"/>
    <w:rsid w:val="004A135B"/>
    <w:rsid w:val="004A1392"/>
    <w:rsid w:val="004A1806"/>
    <w:rsid w:val="004A18D8"/>
    <w:rsid w:val="004A199F"/>
    <w:rsid w:val="004A1ABE"/>
    <w:rsid w:val="004A1ABF"/>
    <w:rsid w:val="004A1BDF"/>
    <w:rsid w:val="004A1D91"/>
    <w:rsid w:val="004A1EED"/>
    <w:rsid w:val="004A1F09"/>
    <w:rsid w:val="004A2245"/>
    <w:rsid w:val="004A2286"/>
    <w:rsid w:val="004A2335"/>
    <w:rsid w:val="004A2342"/>
    <w:rsid w:val="004A23C3"/>
    <w:rsid w:val="004A266D"/>
    <w:rsid w:val="004A286B"/>
    <w:rsid w:val="004A292F"/>
    <w:rsid w:val="004A2ACE"/>
    <w:rsid w:val="004A2B7E"/>
    <w:rsid w:val="004A2DCF"/>
    <w:rsid w:val="004A314E"/>
    <w:rsid w:val="004A3184"/>
    <w:rsid w:val="004A3411"/>
    <w:rsid w:val="004A36A7"/>
    <w:rsid w:val="004A37E6"/>
    <w:rsid w:val="004A3D43"/>
    <w:rsid w:val="004A41B0"/>
    <w:rsid w:val="004A41B7"/>
    <w:rsid w:val="004A44E8"/>
    <w:rsid w:val="004A49A8"/>
    <w:rsid w:val="004A4A96"/>
    <w:rsid w:val="004A4C3C"/>
    <w:rsid w:val="004A4C49"/>
    <w:rsid w:val="004A4CB2"/>
    <w:rsid w:val="004A4E22"/>
    <w:rsid w:val="004A5124"/>
    <w:rsid w:val="004A519E"/>
    <w:rsid w:val="004A51A3"/>
    <w:rsid w:val="004A5698"/>
    <w:rsid w:val="004A56E0"/>
    <w:rsid w:val="004A57C6"/>
    <w:rsid w:val="004A59DC"/>
    <w:rsid w:val="004A5C22"/>
    <w:rsid w:val="004A5CD5"/>
    <w:rsid w:val="004A5D0A"/>
    <w:rsid w:val="004A5FEB"/>
    <w:rsid w:val="004A6049"/>
    <w:rsid w:val="004A60F3"/>
    <w:rsid w:val="004A6185"/>
    <w:rsid w:val="004A61D7"/>
    <w:rsid w:val="004A64C8"/>
    <w:rsid w:val="004A658F"/>
    <w:rsid w:val="004A67F4"/>
    <w:rsid w:val="004A682D"/>
    <w:rsid w:val="004A6DBA"/>
    <w:rsid w:val="004A7026"/>
    <w:rsid w:val="004A71BD"/>
    <w:rsid w:val="004A74DD"/>
    <w:rsid w:val="004A78FE"/>
    <w:rsid w:val="004A7E8D"/>
    <w:rsid w:val="004B0103"/>
    <w:rsid w:val="004B0340"/>
    <w:rsid w:val="004B04E2"/>
    <w:rsid w:val="004B0AB6"/>
    <w:rsid w:val="004B114B"/>
    <w:rsid w:val="004B13B0"/>
    <w:rsid w:val="004B147B"/>
    <w:rsid w:val="004B186C"/>
    <w:rsid w:val="004B1A1E"/>
    <w:rsid w:val="004B2125"/>
    <w:rsid w:val="004B2258"/>
    <w:rsid w:val="004B2414"/>
    <w:rsid w:val="004B2A6B"/>
    <w:rsid w:val="004B2B4D"/>
    <w:rsid w:val="004B2B89"/>
    <w:rsid w:val="004B2D21"/>
    <w:rsid w:val="004B2E4E"/>
    <w:rsid w:val="004B2F56"/>
    <w:rsid w:val="004B2FD5"/>
    <w:rsid w:val="004B34B1"/>
    <w:rsid w:val="004B35E1"/>
    <w:rsid w:val="004B39EE"/>
    <w:rsid w:val="004B3DD8"/>
    <w:rsid w:val="004B3E16"/>
    <w:rsid w:val="004B3E99"/>
    <w:rsid w:val="004B3E9C"/>
    <w:rsid w:val="004B3F03"/>
    <w:rsid w:val="004B4155"/>
    <w:rsid w:val="004B454F"/>
    <w:rsid w:val="004B4676"/>
    <w:rsid w:val="004B46D2"/>
    <w:rsid w:val="004B492A"/>
    <w:rsid w:val="004B49AA"/>
    <w:rsid w:val="004B4A38"/>
    <w:rsid w:val="004B4BEF"/>
    <w:rsid w:val="004B4C51"/>
    <w:rsid w:val="004B4D52"/>
    <w:rsid w:val="004B5421"/>
    <w:rsid w:val="004B5569"/>
    <w:rsid w:val="004B55B6"/>
    <w:rsid w:val="004B611C"/>
    <w:rsid w:val="004B61E4"/>
    <w:rsid w:val="004B63CA"/>
    <w:rsid w:val="004B63D6"/>
    <w:rsid w:val="004B63FA"/>
    <w:rsid w:val="004B642C"/>
    <w:rsid w:val="004B6597"/>
    <w:rsid w:val="004B68C0"/>
    <w:rsid w:val="004B6ABD"/>
    <w:rsid w:val="004B6B7B"/>
    <w:rsid w:val="004B6D11"/>
    <w:rsid w:val="004B6DF5"/>
    <w:rsid w:val="004B6EC5"/>
    <w:rsid w:val="004B6F50"/>
    <w:rsid w:val="004B7170"/>
    <w:rsid w:val="004B7172"/>
    <w:rsid w:val="004B7314"/>
    <w:rsid w:val="004B76E1"/>
    <w:rsid w:val="004B7945"/>
    <w:rsid w:val="004B7AE7"/>
    <w:rsid w:val="004B7BA5"/>
    <w:rsid w:val="004B7BC0"/>
    <w:rsid w:val="004B7D20"/>
    <w:rsid w:val="004B7D63"/>
    <w:rsid w:val="004C0031"/>
    <w:rsid w:val="004C0155"/>
    <w:rsid w:val="004C0166"/>
    <w:rsid w:val="004C048E"/>
    <w:rsid w:val="004C04D1"/>
    <w:rsid w:val="004C0624"/>
    <w:rsid w:val="004C065F"/>
    <w:rsid w:val="004C0A45"/>
    <w:rsid w:val="004C0AAB"/>
    <w:rsid w:val="004C14CB"/>
    <w:rsid w:val="004C1842"/>
    <w:rsid w:val="004C1A1B"/>
    <w:rsid w:val="004C1ACF"/>
    <w:rsid w:val="004C1B5E"/>
    <w:rsid w:val="004C1BFD"/>
    <w:rsid w:val="004C2350"/>
    <w:rsid w:val="004C2379"/>
    <w:rsid w:val="004C241D"/>
    <w:rsid w:val="004C26A5"/>
    <w:rsid w:val="004C27D1"/>
    <w:rsid w:val="004C28DF"/>
    <w:rsid w:val="004C2A29"/>
    <w:rsid w:val="004C2BF5"/>
    <w:rsid w:val="004C2C51"/>
    <w:rsid w:val="004C2D57"/>
    <w:rsid w:val="004C3161"/>
    <w:rsid w:val="004C35BE"/>
    <w:rsid w:val="004C35D1"/>
    <w:rsid w:val="004C4168"/>
    <w:rsid w:val="004C4176"/>
    <w:rsid w:val="004C428A"/>
    <w:rsid w:val="004C44B0"/>
    <w:rsid w:val="004C468A"/>
    <w:rsid w:val="004C478A"/>
    <w:rsid w:val="004C4AD7"/>
    <w:rsid w:val="004C4C00"/>
    <w:rsid w:val="004C4C81"/>
    <w:rsid w:val="004C4DD6"/>
    <w:rsid w:val="004C4E4F"/>
    <w:rsid w:val="004C4FB2"/>
    <w:rsid w:val="004C574A"/>
    <w:rsid w:val="004C5809"/>
    <w:rsid w:val="004C5B30"/>
    <w:rsid w:val="004C5B3F"/>
    <w:rsid w:val="004C5B66"/>
    <w:rsid w:val="004C5C65"/>
    <w:rsid w:val="004C5D82"/>
    <w:rsid w:val="004C623F"/>
    <w:rsid w:val="004C63C4"/>
    <w:rsid w:val="004C6518"/>
    <w:rsid w:val="004C68C4"/>
    <w:rsid w:val="004C68E9"/>
    <w:rsid w:val="004C717D"/>
    <w:rsid w:val="004C7206"/>
    <w:rsid w:val="004C77D7"/>
    <w:rsid w:val="004C7D35"/>
    <w:rsid w:val="004C7D88"/>
    <w:rsid w:val="004C7DDF"/>
    <w:rsid w:val="004D012B"/>
    <w:rsid w:val="004D0231"/>
    <w:rsid w:val="004D0277"/>
    <w:rsid w:val="004D03D8"/>
    <w:rsid w:val="004D05C4"/>
    <w:rsid w:val="004D0C09"/>
    <w:rsid w:val="004D0DE2"/>
    <w:rsid w:val="004D10B6"/>
    <w:rsid w:val="004D1527"/>
    <w:rsid w:val="004D1AB3"/>
    <w:rsid w:val="004D1D53"/>
    <w:rsid w:val="004D1E3B"/>
    <w:rsid w:val="004D25E4"/>
    <w:rsid w:val="004D2B64"/>
    <w:rsid w:val="004D2CDF"/>
    <w:rsid w:val="004D2DD1"/>
    <w:rsid w:val="004D3248"/>
    <w:rsid w:val="004D3276"/>
    <w:rsid w:val="004D345A"/>
    <w:rsid w:val="004D346F"/>
    <w:rsid w:val="004D394E"/>
    <w:rsid w:val="004D39AE"/>
    <w:rsid w:val="004D3ADC"/>
    <w:rsid w:val="004D3ECC"/>
    <w:rsid w:val="004D3EFD"/>
    <w:rsid w:val="004D40A5"/>
    <w:rsid w:val="004D4613"/>
    <w:rsid w:val="004D4672"/>
    <w:rsid w:val="004D4762"/>
    <w:rsid w:val="004D4A55"/>
    <w:rsid w:val="004D4CCF"/>
    <w:rsid w:val="004D4D72"/>
    <w:rsid w:val="004D4E77"/>
    <w:rsid w:val="004D509F"/>
    <w:rsid w:val="004D52BE"/>
    <w:rsid w:val="004D5394"/>
    <w:rsid w:val="004D541E"/>
    <w:rsid w:val="004D56B2"/>
    <w:rsid w:val="004D5E4F"/>
    <w:rsid w:val="004D5F4D"/>
    <w:rsid w:val="004D6246"/>
    <w:rsid w:val="004D6402"/>
    <w:rsid w:val="004D6783"/>
    <w:rsid w:val="004D6824"/>
    <w:rsid w:val="004D6AFA"/>
    <w:rsid w:val="004D6F86"/>
    <w:rsid w:val="004D722E"/>
    <w:rsid w:val="004D7261"/>
    <w:rsid w:val="004D74F0"/>
    <w:rsid w:val="004D7551"/>
    <w:rsid w:val="004D7632"/>
    <w:rsid w:val="004D76DD"/>
    <w:rsid w:val="004D76FB"/>
    <w:rsid w:val="004D7B32"/>
    <w:rsid w:val="004D7CF8"/>
    <w:rsid w:val="004E00B2"/>
    <w:rsid w:val="004E00EE"/>
    <w:rsid w:val="004E02EB"/>
    <w:rsid w:val="004E054D"/>
    <w:rsid w:val="004E0739"/>
    <w:rsid w:val="004E073C"/>
    <w:rsid w:val="004E0770"/>
    <w:rsid w:val="004E07D6"/>
    <w:rsid w:val="004E08CF"/>
    <w:rsid w:val="004E0E75"/>
    <w:rsid w:val="004E109C"/>
    <w:rsid w:val="004E13E6"/>
    <w:rsid w:val="004E156B"/>
    <w:rsid w:val="004E1777"/>
    <w:rsid w:val="004E1919"/>
    <w:rsid w:val="004E1F28"/>
    <w:rsid w:val="004E1F34"/>
    <w:rsid w:val="004E262D"/>
    <w:rsid w:val="004E2F1E"/>
    <w:rsid w:val="004E3000"/>
    <w:rsid w:val="004E30A1"/>
    <w:rsid w:val="004E3353"/>
    <w:rsid w:val="004E35AC"/>
    <w:rsid w:val="004E3A06"/>
    <w:rsid w:val="004E3A91"/>
    <w:rsid w:val="004E3AB1"/>
    <w:rsid w:val="004E3BC3"/>
    <w:rsid w:val="004E3BEE"/>
    <w:rsid w:val="004E3E6E"/>
    <w:rsid w:val="004E4122"/>
    <w:rsid w:val="004E4247"/>
    <w:rsid w:val="004E45F9"/>
    <w:rsid w:val="004E4615"/>
    <w:rsid w:val="004E4680"/>
    <w:rsid w:val="004E4848"/>
    <w:rsid w:val="004E4A0E"/>
    <w:rsid w:val="004E4B45"/>
    <w:rsid w:val="004E4C4D"/>
    <w:rsid w:val="004E4CE8"/>
    <w:rsid w:val="004E52BC"/>
    <w:rsid w:val="004E5332"/>
    <w:rsid w:val="004E584F"/>
    <w:rsid w:val="004E5990"/>
    <w:rsid w:val="004E59D7"/>
    <w:rsid w:val="004E5ACC"/>
    <w:rsid w:val="004E5C27"/>
    <w:rsid w:val="004E5DBE"/>
    <w:rsid w:val="004E5E7D"/>
    <w:rsid w:val="004E639E"/>
    <w:rsid w:val="004E654C"/>
    <w:rsid w:val="004E6567"/>
    <w:rsid w:val="004E65EF"/>
    <w:rsid w:val="004E65F6"/>
    <w:rsid w:val="004E6618"/>
    <w:rsid w:val="004E69F2"/>
    <w:rsid w:val="004E6B3B"/>
    <w:rsid w:val="004E6D1F"/>
    <w:rsid w:val="004E6D34"/>
    <w:rsid w:val="004E6E46"/>
    <w:rsid w:val="004E6E79"/>
    <w:rsid w:val="004E6E8E"/>
    <w:rsid w:val="004E7071"/>
    <w:rsid w:val="004E7279"/>
    <w:rsid w:val="004E72BA"/>
    <w:rsid w:val="004E72DE"/>
    <w:rsid w:val="004E73C4"/>
    <w:rsid w:val="004E73F9"/>
    <w:rsid w:val="004E746D"/>
    <w:rsid w:val="004E79A1"/>
    <w:rsid w:val="004E7B74"/>
    <w:rsid w:val="004E7EF7"/>
    <w:rsid w:val="004E7F94"/>
    <w:rsid w:val="004F063A"/>
    <w:rsid w:val="004F0B7A"/>
    <w:rsid w:val="004F10E3"/>
    <w:rsid w:val="004F1764"/>
    <w:rsid w:val="004F19A1"/>
    <w:rsid w:val="004F1B36"/>
    <w:rsid w:val="004F1E78"/>
    <w:rsid w:val="004F1E8F"/>
    <w:rsid w:val="004F2237"/>
    <w:rsid w:val="004F2307"/>
    <w:rsid w:val="004F230D"/>
    <w:rsid w:val="004F23D9"/>
    <w:rsid w:val="004F24AE"/>
    <w:rsid w:val="004F268B"/>
    <w:rsid w:val="004F2910"/>
    <w:rsid w:val="004F2F32"/>
    <w:rsid w:val="004F3046"/>
    <w:rsid w:val="004F3179"/>
    <w:rsid w:val="004F38C2"/>
    <w:rsid w:val="004F39DF"/>
    <w:rsid w:val="004F3B53"/>
    <w:rsid w:val="004F3B81"/>
    <w:rsid w:val="004F3FAB"/>
    <w:rsid w:val="004F41F9"/>
    <w:rsid w:val="004F42B4"/>
    <w:rsid w:val="004F442A"/>
    <w:rsid w:val="004F47A3"/>
    <w:rsid w:val="004F4A2C"/>
    <w:rsid w:val="004F4AA4"/>
    <w:rsid w:val="004F4DB9"/>
    <w:rsid w:val="004F4E36"/>
    <w:rsid w:val="004F4EF3"/>
    <w:rsid w:val="004F51CF"/>
    <w:rsid w:val="004F5288"/>
    <w:rsid w:val="004F53B3"/>
    <w:rsid w:val="004F55B4"/>
    <w:rsid w:val="004F55BC"/>
    <w:rsid w:val="004F571F"/>
    <w:rsid w:val="004F5DC8"/>
    <w:rsid w:val="004F6054"/>
    <w:rsid w:val="004F61D7"/>
    <w:rsid w:val="004F65A1"/>
    <w:rsid w:val="004F6D2A"/>
    <w:rsid w:val="004F6E2A"/>
    <w:rsid w:val="004F6EB4"/>
    <w:rsid w:val="004F78E9"/>
    <w:rsid w:val="004F793B"/>
    <w:rsid w:val="004F7C57"/>
    <w:rsid w:val="004F7CF2"/>
    <w:rsid w:val="004F7D83"/>
    <w:rsid w:val="0050010C"/>
    <w:rsid w:val="005001C8"/>
    <w:rsid w:val="005001FB"/>
    <w:rsid w:val="0050020C"/>
    <w:rsid w:val="0050046A"/>
    <w:rsid w:val="0050060D"/>
    <w:rsid w:val="00500721"/>
    <w:rsid w:val="0050086C"/>
    <w:rsid w:val="00500A97"/>
    <w:rsid w:val="00500FDE"/>
    <w:rsid w:val="005010D8"/>
    <w:rsid w:val="0050149C"/>
    <w:rsid w:val="005015C2"/>
    <w:rsid w:val="00501670"/>
    <w:rsid w:val="00501695"/>
    <w:rsid w:val="005019F9"/>
    <w:rsid w:val="00501A42"/>
    <w:rsid w:val="00501AA7"/>
    <w:rsid w:val="00501AC2"/>
    <w:rsid w:val="00501BE5"/>
    <w:rsid w:val="00501F0E"/>
    <w:rsid w:val="0050235C"/>
    <w:rsid w:val="005025B3"/>
    <w:rsid w:val="0050278D"/>
    <w:rsid w:val="00502ABC"/>
    <w:rsid w:val="00502AC5"/>
    <w:rsid w:val="00502B2C"/>
    <w:rsid w:val="00502DE4"/>
    <w:rsid w:val="005031A3"/>
    <w:rsid w:val="0050322B"/>
    <w:rsid w:val="005032E7"/>
    <w:rsid w:val="00503651"/>
    <w:rsid w:val="005036E4"/>
    <w:rsid w:val="005036F9"/>
    <w:rsid w:val="00503737"/>
    <w:rsid w:val="00503755"/>
    <w:rsid w:val="0050383C"/>
    <w:rsid w:val="00503A99"/>
    <w:rsid w:val="00503CBD"/>
    <w:rsid w:val="0050404D"/>
    <w:rsid w:val="0050415E"/>
    <w:rsid w:val="005043A3"/>
    <w:rsid w:val="0050447C"/>
    <w:rsid w:val="005045F9"/>
    <w:rsid w:val="005046C3"/>
    <w:rsid w:val="00504807"/>
    <w:rsid w:val="0050485C"/>
    <w:rsid w:val="00504AE3"/>
    <w:rsid w:val="00504B19"/>
    <w:rsid w:val="00504CA7"/>
    <w:rsid w:val="00504CDF"/>
    <w:rsid w:val="00504E3D"/>
    <w:rsid w:val="00504EF1"/>
    <w:rsid w:val="00504FD8"/>
    <w:rsid w:val="00505074"/>
    <w:rsid w:val="00505089"/>
    <w:rsid w:val="00505173"/>
    <w:rsid w:val="00505AB4"/>
    <w:rsid w:val="00505B17"/>
    <w:rsid w:val="00505BB8"/>
    <w:rsid w:val="00505BF8"/>
    <w:rsid w:val="00506190"/>
    <w:rsid w:val="005062B4"/>
    <w:rsid w:val="005066DE"/>
    <w:rsid w:val="00506728"/>
    <w:rsid w:val="005067EC"/>
    <w:rsid w:val="00506AD6"/>
    <w:rsid w:val="00506CBE"/>
    <w:rsid w:val="00506D23"/>
    <w:rsid w:val="0050706D"/>
    <w:rsid w:val="005073D3"/>
    <w:rsid w:val="005075D8"/>
    <w:rsid w:val="00507930"/>
    <w:rsid w:val="00507A1B"/>
    <w:rsid w:val="00507A67"/>
    <w:rsid w:val="00507DF8"/>
    <w:rsid w:val="00507F9C"/>
    <w:rsid w:val="005100A5"/>
    <w:rsid w:val="00510219"/>
    <w:rsid w:val="00510A1C"/>
    <w:rsid w:val="00510AB8"/>
    <w:rsid w:val="00510D6D"/>
    <w:rsid w:val="00511158"/>
    <w:rsid w:val="00511215"/>
    <w:rsid w:val="005113A0"/>
    <w:rsid w:val="00511461"/>
    <w:rsid w:val="00511876"/>
    <w:rsid w:val="00511B7B"/>
    <w:rsid w:val="00511BF0"/>
    <w:rsid w:val="00511DAC"/>
    <w:rsid w:val="00511E94"/>
    <w:rsid w:val="005122A7"/>
    <w:rsid w:val="00512624"/>
    <w:rsid w:val="00512709"/>
    <w:rsid w:val="005129A9"/>
    <w:rsid w:val="00513161"/>
    <w:rsid w:val="00513366"/>
    <w:rsid w:val="00513478"/>
    <w:rsid w:val="005134EF"/>
    <w:rsid w:val="00513627"/>
    <w:rsid w:val="00513A4D"/>
    <w:rsid w:val="00513B0D"/>
    <w:rsid w:val="00513BB9"/>
    <w:rsid w:val="00513D38"/>
    <w:rsid w:val="00513F18"/>
    <w:rsid w:val="00513FA9"/>
    <w:rsid w:val="00514298"/>
    <w:rsid w:val="0051471C"/>
    <w:rsid w:val="0051474F"/>
    <w:rsid w:val="005149E0"/>
    <w:rsid w:val="00514D21"/>
    <w:rsid w:val="00515084"/>
    <w:rsid w:val="00515450"/>
    <w:rsid w:val="005154EA"/>
    <w:rsid w:val="00515DAA"/>
    <w:rsid w:val="0051605A"/>
    <w:rsid w:val="005161B5"/>
    <w:rsid w:val="00516470"/>
    <w:rsid w:val="00516505"/>
    <w:rsid w:val="00516841"/>
    <w:rsid w:val="00516C7C"/>
    <w:rsid w:val="00516D0E"/>
    <w:rsid w:val="00516D28"/>
    <w:rsid w:val="00517066"/>
    <w:rsid w:val="00517091"/>
    <w:rsid w:val="005171B0"/>
    <w:rsid w:val="0051731F"/>
    <w:rsid w:val="00517728"/>
    <w:rsid w:val="005178A7"/>
    <w:rsid w:val="00517C8C"/>
    <w:rsid w:val="00517CE6"/>
    <w:rsid w:val="005201C0"/>
    <w:rsid w:val="00520225"/>
    <w:rsid w:val="00520293"/>
    <w:rsid w:val="00520572"/>
    <w:rsid w:val="005207D2"/>
    <w:rsid w:val="00520B7F"/>
    <w:rsid w:val="00520F12"/>
    <w:rsid w:val="00520F73"/>
    <w:rsid w:val="0052103C"/>
    <w:rsid w:val="00521196"/>
    <w:rsid w:val="005212DC"/>
    <w:rsid w:val="005216A9"/>
    <w:rsid w:val="005219CC"/>
    <w:rsid w:val="00521A7C"/>
    <w:rsid w:val="00521ADB"/>
    <w:rsid w:val="00521F53"/>
    <w:rsid w:val="00522040"/>
    <w:rsid w:val="00522489"/>
    <w:rsid w:val="0052276F"/>
    <w:rsid w:val="0052277F"/>
    <w:rsid w:val="0052282F"/>
    <w:rsid w:val="005229F1"/>
    <w:rsid w:val="00522DC3"/>
    <w:rsid w:val="00522DCC"/>
    <w:rsid w:val="00522E7B"/>
    <w:rsid w:val="00522F5F"/>
    <w:rsid w:val="00522FFD"/>
    <w:rsid w:val="0052339D"/>
    <w:rsid w:val="005236C0"/>
    <w:rsid w:val="00523780"/>
    <w:rsid w:val="00523804"/>
    <w:rsid w:val="00523808"/>
    <w:rsid w:val="00523C08"/>
    <w:rsid w:val="00523C68"/>
    <w:rsid w:val="00523D54"/>
    <w:rsid w:val="00523DF2"/>
    <w:rsid w:val="00523FEE"/>
    <w:rsid w:val="0052403B"/>
    <w:rsid w:val="00524179"/>
    <w:rsid w:val="005242E8"/>
    <w:rsid w:val="0052447E"/>
    <w:rsid w:val="0052466F"/>
    <w:rsid w:val="005248BF"/>
    <w:rsid w:val="005248C1"/>
    <w:rsid w:val="005249C6"/>
    <w:rsid w:val="00525050"/>
    <w:rsid w:val="0052526D"/>
    <w:rsid w:val="005253FF"/>
    <w:rsid w:val="00525B26"/>
    <w:rsid w:val="00525C4F"/>
    <w:rsid w:val="00525CC2"/>
    <w:rsid w:val="00525DA4"/>
    <w:rsid w:val="00525DAF"/>
    <w:rsid w:val="00525E4C"/>
    <w:rsid w:val="00525E57"/>
    <w:rsid w:val="00526284"/>
    <w:rsid w:val="005263BA"/>
    <w:rsid w:val="005263F6"/>
    <w:rsid w:val="005264AA"/>
    <w:rsid w:val="00526581"/>
    <w:rsid w:val="005265B3"/>
    <w:rsid w:val="00526712"/>
    <w:rsid w:val="00526714"/>
    <w:rsid w:val="005267B2"/>
    <w:rsid w:val="005267EA"/>
    <w:rsid w:val="005268FB"/>
    <w:rsid w:val="00526C3B"/>
    <w:rsid w:val="00526C8C"/>
    <w:rsid w:val="00527114"/>
    <w:rsid w:val="00527268"/>
    <w:rsid w:val="0052755A"/>
    <w:rsid w:val="005276B8"/>
    <w:rsid w:val="005278F1"/>
    <w:rsid w:val="00527C3F"/>
    <w:rsid w:val="00527CAA"/>
    <w:rsid w:val="00527CFB"/>
    <w:rsid w:val="00527E1F"/>
    <w:rsid w:val="00527EDA"/>
    <w:rsid w:val="00530013"/>
    <w:rsid w:val="00530276"/>
    <w:rsid w:val="00530318"/>
    <w:rsid w:val="00530558"/>
    <w:rsid w:val="005306BB"/>
    <w:rsid w:val="005307C1"/>
    <w:rsid w:val="00530A33"/>
    <w:rsid w:val="00531209"/>
    <w:rsid w:val="0053134A"/>
    <w:rsid w:val="0053140F"/>
    <w:rsid w:val="00531C05"/>
    <w:rsid w:val="00531C1B"/>
    <w:rsid w:val="00531E02"/>
    <w:rsid w:val="005327D2"/>
    <w:rsid w:val="005327F6"/>
    <w:rsid w:val="00532FA1"/>
    <w:rsid w:val="005331DC"/>
    <w:rsid w:val="00533313"/>
    <w:rsid w:val="0053336B"/>
    <w:rsid w:val="0053350D"/>
    <w:rsid w:val="005335E0"/>
    <w:rsid w:val="0053363C"/>
    <w:rsid w:val="005340AB"/>
    <w:rsid w:val="00534270"/>
    <w:rsid w:val="005343FA"/>
    <w:rsid w:val="005344C4"/>
    <w:rsid w:val="005345ED"/>
    <w:rsid w:val="005347FC"/>
    <w:rsid w:val="00534892"/>
    <w:rsid w:val="0053494A"/>
    <w:rsid w:val="00534CC9"/>
    <w:rsid w:val="00534D1F"/>
    <w:rsid w:val="00535094"/>
    <w:rsid w:val="0053535D"/>
    <w:rsid w:val="00535646"/>
    <w:rsid w:val="00535792"/>
    <w:rsid w:val="00535890"/>
    <w:rsid w:val="005358A6"/>
    <w:rsid w:val="00535BAA"/>
    <w:rsid w:val="00535D94"/>
    <w:rsid w:val="00535E2F"/>
    <w:rsid w:val="00535EF4"/>
    <w:rsid w:val="005362D8"/>
    <w:rsid w:val="0053630B"/>
    <w:rsid w:val="005363EC"/>
    <w:rsid w:val="00536620"/>
    <w:rsid w:val="00536A60"/>
    <w:rsid w:val="00536D1C"/>
    <w:rsid w:val="00536D81"/>
    <w:rsid w:val="00536DD5"/>
    <w:rsid w:val="00537151"/>
    <w:rsid w:val="005376A0"/>
    <w:rsid w:val="00537717"/>
    <w:rsid w:val="00537815"/>
    <w:rsid w:val="005379E1"/>
    <w:rsid w:val="00537A09"/>
    <w:rsid w:val="00537AB7"/>
    <w:rsid w:val="00537AF4"/>
    <w:rsid w:val="00537AF9"/>
    <w:rsid w:val="00537CB9"/>
    <w:rsid w:val="00537E43"/>
    <w:rsid w:val="00537EE9"/>
    <w:rsid w:val="00540375"/>
    <w:rsid w:val="00540447"/>
    <w:rsid w:val="00540686"/>
    <w:rsid w:val="005408EA"/>
    <w:rsid w:val="00540957"/>
    <w:rsid w:val="005409A9"/>
    <w:rsid w:val="00540A94"/>
    <w:rsid w:val="00540B4F"/>
    <w:rsid w:val="00540D42"/>
    <w:rsid w:val="00540E92"/>
    <w:rsid w:val="00540E9F"/>
    <w:rsid w:val="00540EB8"/>
    <w:rsid w:val="00540F56"/>
    <w:rsid w:val="00541531"/>
    <w:rsid w:val="005418EC"/>
    <w:rsid w:val="00541BBE"/>
    <w:rsid w:val="00541D10"/>
    <w:rsid w:val="005421B2"/>
    <w:rsid w:val="00542802"/>
    <w:rsid w:val="00542D27"/>
    <w:rsid w:val="00542F19"/>
    <w:rsid w:val="00542F46"/>
    <w:rsid w:val="0054356C"/>
    <w:rsid w:val="005437E4"/>
    <w:rsid w:val="00543A45"/>
    <w:rsid w:val="00543A7D"/>
    <w:rsid w:val="00543BFB"/>
    <w:rsid w:val="00543C78"/>
    <w:rsid w:val="00543D19"/>
    <w:rsid w:val="00544137"/>
    <w:rsid w:val="005441D1"/>
    <w:rsid w:val="005441EE"/>
    <w:rsid w:val="00544466"/>
    <w:rsid w:val="00544528"/>
    <w:rsid w:val="00544635"/>
    <w:rsid w:val="005447B4"/>
    <w:rsid w:val="00544B4C"/>
    <w:rsid w:val="00544CC7"/>
    <w:rsid w:val="00545301"/>
    <w:rsid w:val="0054556B"/>
    <w:rsid w:val="0054575D"/>
    <w:rsid w:val="00545B87"/>
    <w:rsid w:val="00545C89"/>
    <w:rsid w:val="00545D93"/>
    <w:rsid w:val="00545E65"/>
    <w:rsid w:val="00545ED6"/>
    <w:rsid w:val="005462B3"/>
    <w:rsid w:val="005464DC"/>
    <w:rsid w:val="0054672E"/>
    <w:rsid w:val="0054687E"/>
    <w:rsid w:val="00546A5C"/>
    <w:rsid w:val="00546C02"/>
    <w:rsid w:val="00546CDE"/>
    <w:rsid w:val="00546E2E"/>
    <w:rsid w:val="00547254"/>
    <w:rsid w:val="0054733A"/>
    <w:rsid w:val="00547472"/>
    <w:rsid w:val="0054749F"/>
    <w:rsid w:val="005475A7"/>
    <w:rsid w:val="00547A58"/>
    <w:rsid w:val="00547B34"/>
    <w:rsid w:val="00547CF0"/>
    <w:rsid w:val="005500F5"/>
    <w:rsid w:val="005503F3"/>
    <w:rsid w:val="00550AC5"/>
    <w:rsid w:val="00550ACE"/>
    <w:rsid w:val="00550F31"/>
    <w:rsid w:val="0055114A"/>
    <w:rsid w:val="00551251"/>
    <w:rsid w:val="005512F7"/>
    <w:rsid w:val="00551447"/>
    <w:rsid w:val="00551481"/>
    <w:rsid w:val="00551506"/>
    <w:rsid w:val="005515C0"/>
    <w:rsid w:val="00551A3E"/>
    <w:rsid w:val="00551AC1"/>
    <w:rsid w:val="00551DFF"/>
    <w:rsid w:val="00551E12"/>
    <w:rsid w:val="00551E6E"/>
    <w:rsid w:val="00551E93"/>
    <w:rsid w:val="0055212D"/>
    <w:rsid w:val="005522C8"/>
    <w:rsid w:val="00552355"/>
    <w:rsid w:val="005527E4"/>
    <w:rsid w:val="00552A71"/>
    <w:rsid w:val="00552AA6"/>
    <w:rsid w:val="00552BD5"/>
    <w:rsid w:val="00552C84"/>
    <w:rsid w:val="00553388"/>
    <w:rsid w:val="00553AAF"/>
    <w:rsid w:val="00553BDB"/>
    <w:rsid w:val="00553C0E"/>
    <w:rsid w:val="00553C48"/>
    <w:rsid w:val="00553CCB"/>
    <w:rsid w:val="00553EE3"/>
    <w:rsid w:val="005540EB"/>
    <w:rsid w:val="005542E0"/>
    <w:rsid w:val="00554303"/>
    <w:rsid w:val="005543B9"/>
    <w:rsid w:val="00554571"/>
    <w:rsid w:val="0055474A"/>
    <w:rsid w:val="0055476C"/>
    <w:rsid w:val="00554A7C"/>
    <w:rsid w:val="00554B63"/>
    <w:rsid w:val="00554BA6"/>
    <w:rsid w:val="00554BC8"/>
    <w:rsid w:val="00554C02"/>
    <w:rsid w:val="00554D87"/>
    <w:rsid w:val="00555864"/>
    <w:rsid w:val="00555F52"/>
    <w:rsid w:val="00556100"/>
    <w:rsid w:val="00557124"/>
    <w:rsid w:val="005573C4"/>
    <w:rsid w:val="005576A0"/>
    <w:rsid w:val="00557A16"/>
    <w:rsid w:val="005600B0"/>
    <w:rsid w:val="0056015E"/>
    <w:rsid w:val="00560242"/>
    <w:rsid w:val="0056031F"/>
    <w:rsid w:val="0056040E"/>
    <w:rsid w:val="0056058D"/>
    <w:rsid w:val="0056090E"/>
    <w:rsid w:val="0056100C"/>
    <w:rsid w:val="005610B4"/>
    <w:rsid w:val="005610C0"/>
    <w:rsid w:val="005612F3"/>
    <w:rsid w:val="00561418"/>
    <w:rsid w:val="0056169E"/>
    <w:rsid w:val="0056174F"/>
    <w:rsid w:val="005617E5"/>
    <w:rsid w:val="0056184B"/>
    <w:rsid w:val="005618CD"/>
    <w:rsid w:val="00561C71"/>
    <w:rsid w:val="00561CF5"/>
    <w:rsid w:val="00561E8F"/>
    <w:rsid w:val="00562549"/>
    <w:rsid w:val="005625D8"/>
    <w:rsid w:val="00562601"/>
    <w:rsid w:val="00562662"/>
    <w:rsid w:val="005627AD"/>
    <w:rsid w:val="0056294E"/>
    <w:rsid w:val="00562A3D"/>
    <w:rsid w:val="00562B9E"/>
    <w:rsid w:val="00562C96"/>
    <w:rsid w:val="00562D0B"/>
    <w:rsid w:val="00562F33"/>
    <w:rsid w:val="00562F52"/>
    <w:rsid w:val="00562F60"/>
    <w:rsid w:val="005632B2"/>
    <w:rsid w:val="00563977"/>
    <w:rsid w:val="00563AF8"/>
    <w:rsid w:val="00563DEE"/>
    <w:rsid w:val="00564069"/>
    <w:rsid w:val="00564459"/>
    <w:rsid w:val="005648D2"/>
    <w:rsid w:val="00564919"/>
    <w:rsid w:val="00564CF2"/>
    <w:rsid w:val="00564E14"/>
    <w:rsid w:val="00564EF6"/>
    <w:rsid w:val="0056532C"/>
    <w:rsid w:val="00565595"/>
    <w:rsid w:val="0056578C"/>
    <w:rsid w:val="00565A52"/>
    <w:rsid w:val="00565AF8"/>
    <w:rsid w:val="00565E03"/>
    <w:rsid w:val="005661D0"/>
    <w:rsid w:val="005662E4"/>
    <w:rsid w:val="005663E6"/>
    <w:rsid w:val="00566866"/>
    <w:rsid w:val="00566AA2"/>
    <w:rsid w:val="00566AB4"/>
    <w:rsid w:val="00566C35"/>
    <w:rsid w:val="00567021"/>
    <w:rsid w:val="0056709D"/>
    <w:rsid w:val="005671DC"/>
    <w:rsid w:val="00567350"/>
    <w:rsid w:val="0056775B"/>
    <w:rsid w:val="0056799D"/>
    <w:rsid w:val="005679AD"/>
    <w:rsid w:val="00567C5F"/>
    <w:rsid w:val="00567C9E"/>
    <w:rsid w:val="0057003A"/>
    <w:rsid w:val="00570058"/>
    <w:rsid w:val="005700C3"/>
    <w:rsid w:val="0057074C"/>
    <w:rsid w:val="00570AB8"/>
    <w:rsid w:val="00570AE2"/>
    <w:rsid w:val="00570B9D"/>
    <w:rsid w:val="00570DAC"/>
    <w:rsid w:val="00570F9E"/>
    <w:rsid w:val="00571068"/>
    <w:rsid w:val="0057120E"/>
    <w:rsid w:val="005712E4"/>
    <w:rsid w:val="005713D3"/>
    <w:rsid w:val="005713E4"/>
    <w:rsid w:val="005715B7"/>
    <w:rsid w:val="0057161E"/>
    <w:rsid w:val="00571712"/>
    <w:rsid w:val="00571884"/>
    <w:rsid w:val="0057193A"/>
    <w:rsid w:val="00571B1A"/>
    <w:rsid w:val="00571B78"/>
    <w:rsid w:val="00572108"/>
    <w:rsid w:val="00572566"/>
    <w:rsid w:val="00572828"/>
    <w:rsid w:val="00572C7B"/>
    <w:rsid w:val="00572C97"/>
    <w:rsid w:val="00572CE8"/>
    <w:rsid w:val="00573009"/>
    <w:rsid w:val="005730E8"/>
    <w:rsid w:val="0057315E"/>
    <w:rsid w:val="00573344"/>
    <w:rsid w:val="0057374A"/>
    <w:rsid w:val="00573B4E"/>
    <w:rsid w:val="00573B96"/>
    <w:rsid w:val="005744CC"/>
    <w:rsid w:val="005744FA"/>
    <w:rsid w:val="00574554"/>
    <w:rsid w:val="005746A6"/>
    <w:rsid w:val="005746DF"/>
    <w:rsid w:val="005746E6"/>
    <w:rsid w:val="005748B8"/>
    <w:rsid w:val="005748EB"/>
    <w:rsid w:val="005748FC"/>
    <w:rsid w:val="00574D84"/>
    <w:rsid w:val="005750B5"/>
    <w:rsid w:val="00575322"/>
    <w:rsid w:val="00575419"/>
    <w:rsid w:val="0057579D"/>
    <w:rsid w:val="00575891"/>
    <w:rsid w:val="00575A9A"/>
    <w:rsid w:val="00575B7B"/>
    <w:rsid w:val="00575E9A"/>
    <w:rsid w:val="00575EBF"/>
    <w:rsid w:val="00576107"/>
    <w:rsid w:val="00576718"/>
    <w:rsid w:val="005767F2"/>
    <w:rsid w:val="005768CF"/>
    <w:rsid w:val="00576A0E"/>
    <w:rsid w:val="00576BE1"/>
    <w:rsid w:val="00576D3B"/>
    <w:rsid w:val="00576D52"/>
    <w:rsid w:val="00576F0C"/>
    <w:rsid w:val="00576F70"/>
    <w:rsid w:val="0057732B"/>
    <w:rsid w:val="005776FB"/>
    <w:rsid w:val="0057792D"/>
    <w:rsid w:val="00577C4A"/>
    <w:rsid w:val="00577F2C"/>
    <w:rsid w:val="0058019E"/>
    <w:rsid w:val="005803FF"/>
    <w:rsid w:val="00580671"/>
    <w:rsid w:val="00581389"/>
    <w:rsid w:val="005814A1"/>
    <w:rsid w:val="0058155C"/>
    <w:rsid w:val="00581AE7"/>
    <w:rsid w:val="005825D4"/>
    <w:rsid w:val="005827D2"/>
    <w:rsid w:val="00582B7E"/>
    <w:rsid w:val="00582BD5"/>
    <w:rsid w:val="00582C15"/>
    <w:rsid w:val="00582CD0"/>
    <w:rsid w:val="00582E60"/>
    <w:rsid w:val="00583066"/>
    <w:rsid w:val="0058306B"/>
    <w:rsid w:val="00583316"/>
    <w:rsid w:val="005835A2"/>
    <w:rsid w:val="005835B0"/>
    <w:rsid w:val="00583602"/>
    <w:rsid w:val="0058376C"/>
    <w:rsid w:val="00583B90"/>
    <w:rsid w:val="00583F69"/>
    <w:rsid w:val="00584035"/>
    <w:rsid w:val="00584045"/>
    <w:rsid w:val="005843FD"/>
    <w:rsid w:val="00584500"/>
    <w:rsid w:val="00584501"/>
    <w:rsid w:val="005845CC"/>
    <w:rsid w:val="005848B5"/>
    <w:rsid w:val="00584FAD"/>
    <w:rsid w:val="00585090"/>
    <w:rsid w:val="0058523C"/>
    <w:rsid w:val="00585342"/>
    <w:rsid w:val="0058569F"/>
    <w:rsid w:val="005856BC"/>
    <w:rsid w:val="00585987"/>
    <w:rsid w:val="00585AA9"/>
    <w:rsid w:val="00585DD0"/>
    <w:rsid w:val="0058611B"/>
    <w:rsid w:val="0058640A"/>
    <w:rsid w:val="00586641"/>
    <w:rsid w:val="00586857"/>
    <w:rsid w:val="005868BD"/>
    <w:rsid w:val="00586971"/>
    <w:rsid w:val="00586AE4"/>
    <w:rsid w:val="00586E80"/>
    <w:rsid w:val="00586FBF"/>
    <w:rsid w:val="00587022"/>
    <w:rsid w:val="00587178"/>
    <w:rsid w:val="005872DE"/>
    <w:rsid w:val="0058732D"/>
    <w:rsid w:val="00587488"/>
    <w:rsid w:val="005874D7"/>
    <w:rsid w:val="005878EA"/>
    <w:rsid w:val="00587A6B"/>
    <w:rsid w:val="00587AD2"/>
    <w:rsid w:val="00587AFF"/>
    <w:rsid w:val="00587BBA"/>
    <w:rsid w:val="00587D05"/>
    <w:rsid w:val="005905C7"/>
    <w:rsid w:val="00590944"/>
    <w:rsid w:val="00590C19"/>
    <w:rsid w:val="00590C7E"/>
    <w:rsid w:val="00590C97"/>
    <w:rsid w:val="00590E83"/>
    <w:rsid w:val="00590EF4"/>
    <w:rsid w:val="00590FC4"/>
    <w:rsid w:val="00591019"/>
    <w:rsid w:val="00591560"/>
    <w:rsid w:val="0059179E"/>
    <w:rsid w:val="005918CE"/>
    <w:rsid w:val="0059196E"/>
    <w:rsid w:val="00591C2B"/>
    <w:rsid w:val="00591C6B"/>
    <w:rsid w:val="00592013"/>
    <w:rsid w:val="00592148"/>
    <w:rsid w:val="00592229"/>
    <w:rsid w:val="0059222A"/>
    <w:rsid w:val="005924E4"/>
    <w:rsid w:val="005926B8"/>
    <w:rsid w:val="00592EF1"/>
    <w:rsid w:val="0059303E"/>
    <w:rsid w:val="005934C0"/>
    <w:rsid w:val="00593500"/>
    <w:rsid w:val="005935F2"/>
    <w:rsid w:val="00593804"/>
    <w:rsid w:val="005938F3"/>
    <w:rsid w:val="00593A48"/>
    <w:rsid w:val="00593B92"/>
    <w:rsid w:val="00593DCE"/>
    <w:rsid w:val="00593ECB"/>
    <w:rsid w:val="00593F9E"/>
    <w:rsid w:val="00594553"/>
    <w:rsid w:val="0059464C"/>
    <w:rsid w:val="005946DD"/>
    <w:rsid w:val="005947D2"/>
    <w:rsid w:val="00594944"/>
    <w:rsid w:val="00594B86"/>
    <w:rsid w:val="005951D5"/>
    <w:rsid w:val="0059526A"/>
    <w:rsid w:val="005953AD"/>
    <w:rsid w:val="005953FF"/>
    <w:rsid w:val="00595446"/>
    <w:rsid w:val="005954D1"/>
    <w:rsid w:val="00595A50"/>
    <w:rsid w:val="00595C97"/>
    <w:rsid w:val="00595E1D"/>
    <w:rsid w:val="00595E6D"/>
    <w:rsid w:val="00596380"/>
    <w:rsid w:val="0059648A"/>
    <w:rsid w:val="00596527"/>
    <w:rsid w:val="0059669E"/>
    <w:rsid w:val="00596769"/>
    <w:rsid w:val="005972FA"/>
    <w:rsid w:val="00597793"/>
    <w:rsid w:val="0059790E"/>
    <w:rsid w:val="00597929"/>
    <w:rsid w:val="00597A70"/>
    <w:rsid w:val="00597B95"/>
    <w:rsid w:val="00597CD8"/>
    <w:rsid w:val="00597E5F"/>
    <w:rsid w:val="00597FB7"/>
    <w:rsid w:val="005A00CE"/>
    <w:rsid w:val="005A0423"/>
    <w:rsid w:val="005A065A"/>
    <w:rsid w:val="005A0C25"/>
    <w:rsid w:val="005A116F"/>
    <w:rsid w:val="005A1295"/>
    <w:rsid w:val="005A13F5"/>
    <w:rsid w:val="005A174D"/>
    <w:rsid w:val="005A17C4"/>
    <w:rsid w:val="005A186E"/>
    <w:rsid w:val="005A1A5F"/>
    <w:rsid w:val="005A1E7F"/>
    <w:rsid w:val="005A2311"/>
    <w:rsid w:val="005A2755"/>
    <w:rsid w:val="005A277C"/>
    <w:rsid w:val="005A27DB"/>
    <w:rsid w:val="005A283A"/>
    <w:rsid w:val="005A28F0"/>
    <w:rsid w:val="005A2976"/>
    <w:rsid w:val="005A2A81"/>
    <w:rsid w:val="005A2B6A"/>
    <w:rsid w:val="005A2CAA"/>
    <w:rsid w:val="005A2F21"/>
    <w:rsid w:val="005A3052"/>
    <w:rsid w:val="005A3120"/>
    <w:rsid w:val="005A31A4"/>
    <w:rsid w:val="005A3328"/>
    <w:rsid w:val="005A35D2"/>
    <w:rsid w:val="005A36C0"/>
    <w:rsid w:val="005A3888"/>
    <w:rsid w:val="005A3A06"/>
    <w:rsid w:val="005A3C44"/>
    <w:rsid w:val="005A3D8C"/>
    <w:rsid w:val="005A3E30"/>
    <w:rsid w:val="005A42CF"/>
    <w:rsid w:val="005A4321"/>
    <w:rsid w:val="005A445F"/>
    <w:rsid w:val="005A44B7"/>
    <w:rsid w:val="005A468D"/>
    <w:rsid w:val="005A4966"/>
    <w:rsid w:val="005A4BCF"/>
    <w:rsid w:val="005A4D3A"/>
    <w:rsid w:val="005A5045"/>
    <w:rsid w:val="005A5158"/>
    <w:rsid w:val="005A5191"/>
    <w:rsid w:val="005A51DF"/>
    <w:rsid w:val="005A548B"/>
    <w:rsid w:val="005A5498"/>
    <w:rsid w:val="005A5950"/>
    <w:rsid w:val="005A5A45"/>
    <w:rsid w:val="005A5C1C"/>
    <w:rsid w:val="005A5C1E"/>
    <w:rsid w:val="005A5E0B"/>
    <w:rsid w:val="005A5F27"/>
    <w:rsid w:val="005A612D"/>
    <w:rsid w:val="005A613E"/>
    <w:rsid w:val="005A62CD"/>
    <w:rsid w:val="005A62EF"/>
    <w:rsid w:val="005A6643"/>
    <w:rsid w:val="005A6739"/>
    <w:rsid w:val="005A683D"/>
    <w:rsid w:val="005A68FC"/>
    <w:rsid w:val="005A6E9C"/>
    <w:rsid w:val="005A6EDF"/>
    <w:rsid w:val="005A6EF4"/>
    <w:rsid w:val="005A6FEF"/>
    <w:rsid w:val="005A7245"/>
    <w:rsid w:val="005A7363"/>
    <w:rsid w:val="005A73BF"/>
    <w:rsid w:val="005A7556"/>
    <w:rsid w:val="005A75F3"/>
    <w:rsid w:val="005A760F"/>
    <w:rsid w:val="005A79E5"/>
    <w:rsid w:val="005A7D1B"/>
    <w:rsid w:val="005A7F00"/>
    <w:rsid w:val="005B01C3"/>
    <w:rsid w:val="005B06C6"/>
    <w:rsid w:val="005B0BB4"/>
    <w:rsid w:val="005B0BC4"/>
    <w:rsid w:val="005B0C29"/>
    <w:rsid w:val="005B0CC2"/>
    <w:rsid w:val="005B0E0C"/>
    <w:rsid w:val="005B13A2"/>
    <w:rsid w:val="005B1702"/>
    <w:rsid w:val="005B199E"/>
    <w:rsid w:val="005B1AE6"/>
    <w:rsid w:val="005B1B65"/>
    <w:rsid w:val="005B1D10"/>
    <w:rsid w:val="005B1E49"/>
    <w:rsid w:val="005B1EF8"/>
    <w:rsid w:val="005B22EB"/>
    <w:rsid w:val="005B2893"/>
    <w:rsid w:val="005B28E4"/>
    <w:rsid w:val="005B2B88"/>
    <w:rsid w:val="005B2EAB"/>
    <w:rsid w:val="005B2F77"/>
    <w:rsid w:val="005B2FA1"/>
    <w:rsid w:val="005B370B"/>
    <w:rsid w:val="005B371D"/>
    <w:rsid w:val="005B3776"/>
    <w:rsid w:val="005B3B9D"/>
    <w:rsid w:val="005B3C93"/>
    <w:rsid w:val="005B3E1D"/>
    <w:rsid w:val="005B3EC6"/>
    <w:rsid w:val="005B3F9E"/>
    <w:rsid w:val="005B40AF"/>
    <w:rsid w:val="005B4107"/>
    <w:rsid w:val="005B41C0"/>
    <w:rsid w:val="005B42B8"/>
    <w:rsid w:val="005B431D"/>
    <w:rsid w:val="005B45F6"/>
    <w:rsid w:val="005B4764"/>
    <w:rsid w:val="005B4793"/>
    <w:rsid w:val="005B4A2B"/>
    <w:rsid w:val="005B4B8C"/>
    <w:rsid w:val="005B4BC9"/>
    <w:rsid w:val="005B52FF"/>
    <w:rsid w:val="005B56DE"/>
    <w:rsid w:val="005B583A"/>
    <w:rsid w:val="005B5995"/>
    <w:rsid w:val="005B5C18"/>
    <w:rsid w:val="005B5C79"/>
    <w:rsid w:val="005B5CEE"/>
    <w:rsid w:val="005B6065"/>
    <w:rsid w:val="005B6475"/>
    <w:rsid w:val="005B6A0B"/>
    <w:rsid w:val="005B6AA8"/>
    <w:rsid w:val="005B6D14"/>
    <w:rsid w:val="005B6D95"/>
    <w:rsid w:val="005B719C"/>
    <w:rsid w:val="005B76FC"/>
    <w:rsid w:val="005B785A"/>
    <w:rsid w:val="005B7960"/>
    <w:rsid w:val="005B7A56"/>
    <w:rsid w:val="005B7AC7"/>
    <w:rsid w:val="005B7AD4"/>
    <w:rsid w:val="005B7B5C"/>
    <w:rsid w:val="005B7C0B"/>
    <w:rsid w:val="005B7C24"/>
    <w:rsid w:val="005B7D2C"/>
    <w:rsid w:val="005B7E42"/>
    <w:rsid w:val="005C0803"/>
    <w:rsid w:val="005C0F53"/>
    <w:rsid w:val="005C11F2"/>
    <w:rsid w:val="005C123D"/>
    <w:rsid w:val="005C13C2"/>
    <w:rsid w:val="005C190C"/>
    <w:rsid w:val="005C1B28"/>
    <w:rsid w:val="005C1B31"/>
    <w:rsid w:val="005C1B61"/>
    <w:rsid w:val="005C1C05"/>
    <w:rsid w:val="005C1C23"/>
    <w:rsid w:val="005C1E3A"/>
    <w:rsid w:val="005C1FC3"/>
    <w:rsid w:val="005C20E4"/>
    <w:rsid w:val="005C2300"/>
    <w:rsid w:val="005C26E9"/>
    <w:rsid w:val="005C27CA"/>
    <w:rsid w:val="005C2989"/>
    <w:rsid w:val="005C2CC3"/>
    <w:rsid w:val="005C2DAE"/>
    <w:rsid w:val="005C2DB6"/>
    <w:rsid w:val="005C346D"/>
    <w:rsid w:val="005C3650"/>
    <w:rsid w:val="005C3795"/>
    <w:rsid w:val="005C3E96"/>
    <w:rsid w:val="005C40B7"/>
    <w:rsid w:val="005C42DB"/>
    <w:rsid w:val="005C4477"/>
    <w:rsid w:val="005C452F"/>
    <w:rsid w:val="005C4606"/>
    <w:rsid w:val="005C4D44"/>
    <w:rsid w:val="005C4F31"/>
    <w:rsid w:val="005C5178"/>
    <w:rsid w:val="005C566E"/>
    <w:rsid w:val="005C574F"/>
    <w:rsid w:val="005C57A9"/>
    <w:rsid w:val="005C57CA"/>
    <w:rsid w:val="005C58AC"/>
    <w:rsid w:val="005C5D60"/>
    <w:rsid w:val="005C6534"/>
    <w:rsid w:val="005C661C"/>
    <w:rsid w:val="005C6797"/>
    <w:rsid w:val="005C681B"/>
    <w:rsid w:val="005C6A18"/>
    <w:rsid w:val="005C6EE7"/>
    <w:rsid w:val="005C6F94"/>
    <w:rsid w:val="005C722B"/>
    <w:rsid w:val="005C735C"/>
    <w:rsid w:val="005C73E6"/>
    <w:rsid w:val="005C7586"/>
    <w:rsid w:val="005C76F0"/>
    <w:rsid w:val="005C77EB"/>
    <w:rsid w:val="005C7869"/>
    <w:rsid w:val="005C7994"/>
    <w:rsid w:val="005C7A39"/>
    <w:rsid w:val="005C7C04"/>
    <w:rsid w:val="005C7CCB"/>
    <w:rsid w:val="005C7D19"/>
    <w:rsid w:val="005D0054"/>
    <w:rsid w:val="005D026D"/>
    <w:rsid w:val="005D0331"/>
    <w:rsid w:val="005D03DD"/>
    <w:rsid w:val="005D044B"/>
    <w:rsid w:val="005D086B"/>
    <w:rsid w:val="005D0CEB"/>
    <w:rsid w:val="005D0D36"/>
    <w:rsid w:val="005D11E6"/>
    <w:rsid w:val="005D1A0F"/>
    <w:rsid w:val="005D1B23"/>
    <w:rsid w:val="005D1BAE"/>
    <w:rsid w:val="005D1D6A"/>
    <w:rsid w:val="005D20E2"/>
    <w:rsid w:val="005D2192"/>
    <w:rsid w:val="005D2A3A"/>
    <w:rsid w:val="005D3263"/>
    <w:rsid w:val="005D3462"/>
    <w:rsid w:val="005D35AA"/>
    <w:rsid w:val="005D3678"/>
    <w:rsid w:val="005D3700"/>
    <w:rsid w:val="005D38A5"/>
    <w:rsid w:val="005D3B2C"/>
    <w:rsid w:val="005D3EC8"/>
    <w:rsid w:val="005D407B"/>
    <w:rsid w:val="005D419E"/>
    <w:rsid w:val="005D4556"/>
    <w:rsid w:val="005D47D7"/>
    <w:rsid w:val="005D47F9"/>
    <w:rsid w:val="005D4A36"/>
    <w:rsid w:val="005D4FE8"/>
    <w:rsid w:val="005D5246"/>
    <w:rsid w:val="005D5402"/>
    <w:rsid w:val="005D576F"/>
    <w:rsid w:val="005D5960"/>
    <w:rsid w:val="005D5C3B"/>
    <w:rsid w:val="005D5E92"/>
    <w:rsid w:val="005D6017"/>
    <w:rsid w:val="005D610C"/>
    <w:rsid w:val="005D6240"/>
    <w:rsid w:val="005D62B4"/>
    <w:rsid w:val="005D646B"/>
    <w:rsid w:val="005D663B"/>
    <w:rsid w:val="005D6932"/>
    <w:rsid w:val="005D6A62"/>
    <w:rsid w:val="005D71BC"/>
    <w:rsid w:val="005D71BE"/>
    <w:rsid w:val="005D7426"/>
    <w:rsid w:val="005D7443"/>
    <w:rsid w:val="005D748C"/>
    <w:rsid w:val="005D772A"/>
    <w:rsid w:val="005D7731"/>
    <w:rsid w:val="005D7799"/>
    <w:rsid w:val="005D77FA"/>
    <w:rsid w:val="005D77FB"/>
    <w:rsid w:val="005E00DC"/>
    <w:rsid w:val="005E0363"/>
    <w:rsid w:val="005E04B7"/>
    <w:rsid w:val="005E04BE"/>
    <w:rsid w:val="005E05F5"/>
    <w:rsid w:val="005E083C"/>
    <w:rsid w:val="005E0D95"/>
    <w:rsid w:val="005E0FAD"/>
    <w:rsid w:val="005E130A"/>
    <w:rsid w:val="005E1532"/>
    <w:rsid w:val="005E1C5E"/>
    <w:rsid w:val="005E1D50"/>
    <w:rsid w:val="005E1D91"/>
    <w:rsid w:val="005E1DAF"/>
    <w:rsid w:val="005E2560"/>
    <w:rsid w:val="005E2616"/>
    <w:rsid w:val="005E2C46"/>
    <w:rsid w:val="005E2C56"/>
    <w:rsid w:val="005E2C79"/>
    <w:rsid w:val="005E2DF2"/>
    <w:rsid w:val="005E2FD1"/>
    <w:rsid w:val="005E308B"/>
    <w:rsid w:val="005E34FD"/>
    <w:rsid w:val="005E37E5"/>
    <w:rsid w:val="005E3913"/>
    <w:rsid w:val="005E3D91"/>
    <w:rsid w:val="005E3E43"/>
    <w:rsid w:val="005E3F11"/>
    <w:rsid w:val="005E400A"/>
    <w:rsid w:val="005E4099"/>
    <w:rsid w:val="005E414E"/>
    <w:rsid w:val="005E4303"/>
    <w:rsid w:val="005E4526"/>
    <w:rsid w:val="005E49A4"/>
    <w:rsid w:val="005E4B36"/>
    <w:rsid w:val="005E4D14"/>
    <w:rsid w:val="005E4D48"/>
    <w:rsid w:val="005E4E1C"/>
    <w:rsid w:val="005E4FB1"/>
    <w:rsid w:val="005E5338"/>
    <w:rsid w:val="005E53AA"/>
    <w:rsid w:val="005E5559"/>
    <w:rsid w:val="005E5B30"/>
    <w:rsid w:val="005E5E70"/>
    <w:rsid w:val="005E63AC"/>
    <w:rsid w:val="005E64EF"/>
    <w:rsid w:val="005E690F"/>
    <w:rsid w:val="005E69D0"/>
    <w:rsid w:val="005E6ACD"/>
    <w:rsid w:val="005E6B24"/>
    <w:rsid w:val="005E6B53"/>
    <w:rsid w:val="005E6C27"/>
    <w:rsid w:val="005E6C72"/>
    <w:rsid w:val="005E6C93"/>
    <w:rsid w:val="005E70CE"/>
    <w:rsid w:val="005E751E"/>
    <w:rsid w:val="005E7703"/>
    <w:rsid w:val="005E7A5F"/>
    <w:rsid w:val="005E7B38"/>
    <w:rsid w:val="005E7C72"/>
    <w:rsid w:val="005E7D9A"/>
    <w:rsid w:val="005E7FF0"/>
    <w:rsid w:val="005F02E9"/>
    <w:rsid w:val="005F06A2"/>
    <w:rsid w:val="005F1083"/>
    <w:rsid w:val="005F11C4"/>
    <w:rsid w:val="005F133D"/>
    <w:rsid w:val="005F17FC"/>
    <w:rsid w:val="005F19F6"/>
    <w:rsid w:val="005F1FD4"/>
    <w:rsid w:val="005F20AA"/>
    <w:rsid w:val="005F21C0"/>
    <w:rsid w:val="005F21EF"/>
    <w:rsid w:val="005F226B"/>
    <w:rsid w:val="005F267C"/>
    <w:rsid w:val="005F2693"/>
    <w:rsid w:val="005F284E"/>
    <w:rsid w:val="005F29E3"/>
    <w:rsid w:val="005F2A08"/>
    <w:rsid w:val="005F2D19"/>
    <w:rsid w:val="005F31B4"/>
    <w:rsid w:val="005F3203"/>
    <w:rsid w:val="005F3336"/>
    <w:rsid w:val="005F3757"/>
    <w:rsid w:val="005F37CC"/>
    <w:rsid w:val="005F39C8"/>
    <w:rsid w:val="005F3B17"/>
    <w:rsid w:val="005F3BBC"/>
    <w:rsid w:val="005F3E30"/>
    <w:rsid w:val="005F3F5C"/>
    <w:rsid w:val="005F3FA3"/>
    <w:rsid w:val="005F41F4"/>
    <w:rsid w:val="005F425C"/>
    <w:rsid w:val="005F4268"/>
    <w:rsid w:val="005F4504"/>
    <w:rsid w:val="005F45E1"/>
    <w:rsid w:val="005F463A"/>
    <w:rsid w:val="005F4A8D"/>
    <w:rsid w:val="005F4B84"/>
    <w:rsid w:val="005F4BFE"/>
    <w:rsid w:val="005F512B"/>
    <w:rsid w:val="005F54A3"/>
    <w:rsid w:val="005F5671"/>
    <w:rsid w:val="005F5AB1"/>
    <w:rsid w:val="005F5AE2"/>
    <w:rsid w:val="005F5B8C"/>
    <w:rsid w:val="005F5D96"/>
    <w:rsid w:val="005F60A2"/>
    <w:rsid w:val="005F6182"/>
    <w:rsid w:val="005F622B"/>
    <w:rsid w:val="005F6274"/>
    <w:rsid w:val="005F6D17"/>
    <w:rsid w:val="005F6D81"/>
    <w:rsid w:val="005F6EAF"/>
    <w:rsid w:val="005F704A"/>
    <w:rsid w:val="005F7081"/>
    <w:rsid w:val="005F7455"/>
    <w:rsid w:val="005F799E"/>
    <w:rsid w:val="005F7C40"/>
    <w:rsid w:val="005F7F44"/>
    <w:rsid w:val="005F7F89"/>
    <w:rsid w:val="006000D3"/>
    <w:rsid w:val="006000F3"/>
    <w:rsid w:val="006002CF"/>
    <w:rsid w:val="0060051A"/>
    <w:rsid w:val="006007E2"/>
    <w:rsid w:val="0060081F"/>
    <w:rsid w:val="0060087C"/>
    <w:rsid w:val="00600BF9"/>
    <w:rsid w:val="00600C52"/>
    <w:rsid w:val="00600D56"/>
    <w:rsid w:val="00600EC3"/>
    <w:rsid w:val="0060102D"/>
    <w:rsid w:val="0060105C"/>
    <w:rsid w:val="0060122B"/>
    <w:rsid w:val="006012AF"/>
    <w:rsid w:val="006012C5"/>
    <w:rsid w:val="006013A9"/>
    <w:rsid w:val="00601621"/>
    <w:rsid w:val="006019A2"/>
    <w:rsid w:val="00601AE2"/>
    <w:rsid w:val="00601E8C"/>
    <w:rsid w:val="00601F01"/>
    <w:rsid w:val="00602273"/>
    <w:rsid w:val="0060269C"/>
    <w:rsid w:val="00602972"/>
    <w:rsid w:val="00602B03"/>
    <w:rsid w:val="00602C37"/>
    <w:rsid w:val="00602CC1"/>
    <w:rsid w:val="00602D58"/>
    <w:rsid w:val="00602F8A"/>
    <w:rsid w:val="00603050"/>
    <w:rsid w:val="0060308A"/>
    <w:rsid w:val="00603560"/>
    <w:rsid w:val="00603592"/>
    <w:rsid w:val="006036FE"/>
    <w:rsid w:val="00603833"/>
    <w:rsid w:val="00603BEA"/>
    <w:rsid w:val="00603CA4"/>
    <w:rsid w:val="00603EA9"/>
    <w:rsid w:val="00604353"/>
    <w:rsid w:val="006043E9"/>
    <w:rsid w:val="006045B6"/>
    <w:rsid w:val="006046E1"/>
    <w:rsid w:val="006048F1"/>
    <w:rsid w:val="00604ACA"/>
    <w:rsid w:val="00604D7C"/>
    <w:rsid w:val="00604DE8"/>
    <w:rsid w:val="00604EF5"/>
    <w:rsid w:val="00605029"/>
    <w:rsid w:val="00605461"/>
    <w:rsid w:val="0060567C"/>
    <w:rsid w:val="006057B8"/>
    <w:rsid w:val="006058CB"/>
    <w:rsid w:val="00605986"/>
    <w:rsid w:val="00605D74"/>
    <w:rsid w:val="00605E55"/>
    <w:rsid w:val="00606005"/>
    <w:rsid w:val="0060630A"/>
    <w:rsid w:val="0060634D"/>
    <w:rsid w:val="00606403"/>
    <w:rsid w:val="00606425"/>
    <w:rsid w:val="006067E9"/>
    <w:rsid w:val="00606B36"/>
    <w:rsid w:val="00607150"/>
    <w:rsid w:val="0060722C"/>
    <w:rsid w:val="0060728A"/>
    <w:rsid w:val="00607352"/>
    <w:rsid w:val="0060743B"/>
    <w:rsid w:val="00607670"/>
    <w:rsid w:val="00607C96"/>
    <w:rsid w:val="00607F8A"/>
    <w:rsid w:val="00610079"/>
    <w:rsid w:val="00610456"/>
    <w:rsid w:val="006104E8"/>
    <w:rsid w:val="00610919"/>
    <w:rsid w:val="00610AA0"/>
    <w:rsid w:val="00610AE2"/>
    <w:rsid w:val="00610D56"/>
    <w:rsid w:val="00611237"/>
    <w:rsid w:val="0061146E"/>
    <w:rsid w:val="00611D9C"/>
    <w:rsid w:val="00611E84"/>
    <w:rsid w:val="0061200C"/>
    <w:rsid w:val="006124B7"/>
    <w:rsid w:val="00612783"/>
    <w:rsid w:val="0061288E"/>
    <w:rsid w:val="00612924"/>
    <w:rsid w:val="00612AFA"/>
    <w:rsid w:val="00612B68"/>
    <w:rsid w:val="00612C6C"/>
    <w:rsid w:val="00612D4E"/>
    <w:rsid w:val="00612E15"/>
    <w:rsid w:val="006130AF"/>
    <w:rsid w:val="00613247"/>
    <w:rsid w:val="006133C9"/>
    <w:rsid w:val="006133D6"/>
    <w:rsid w:val="0061363A"/>
    <w:rsid w:val="00613D62"/>
    <w:rsid w:val="00613F98"/>
    <w:rsid w:val="006143BA"/>
    <w:rsid w:val="0061456A"/>
    <w:rsid w:val="00614964"/>
    <w:rsid w:val="006149A2"/>
    <w:rsid w:val="00614DFD"/>
    <w:rsid w:val="00614EDE"/>
    <w:rsid w:val="00614F6F"/>
    <w:rsid w:val="00615072"/>
    <w:rsid w:val="006154DC"/>
    <w:rsid w:val="006154E7"/>
    <w:rsid w:val="006160A3"/>
    <w:rsid w:val="00616125"/>
    <w:rsid w:val="0061629E"/>
    <w:rsid w:val="00616345"/>
    <w:rsid w:val="006163BF"/>
    <w:rsid w:val="00616513"/>
    <w:rsid w:val="00616A58"/>
    <w:rsid w:val="00616D74"/>
    <w:rsid w:val="0061708A"/>
    <w:rsid w:val="00617416"/>
    <w:rsid w:val="00617704"/>
    <w:rsid w:val="00617826"/>
    <w:rsid w:val="0061785D"/>
    <w:rsid w:val="00617895"/>
    <w:rsid w:val="00617D97"/>
    <w:rsid w:val="00617DAE"/>
    <w:rsid w:val="00617F75"/>
    <w:rsid w:val="00620137"/>
    <w:rsid w:val="0062075A"/>
    <w:rsid w:val="006207CA"/>
    <w:rsid w:val="006209C4"/>
    <w:rsid w:val="00620B23"/>
    <w:rsid w:val="00620D6A"/>
    <w:rsid w:val="00620EE8"/>
    <w:rsid w:val="00620FC2"/>
    <w:rsid w:val="00621170"/>
    <w:rsid w:val="0062124A"/>
    <w:rsid w:val="006214C0"/>
    <w:rsid w:val="006215A9"/>
    <w:rsid w:val="0062192C"/>
    <w:rsid w:val="006219FB"/>
    <w:rsid w:val="00621C11"/>
    <w:rsid w:val="00621D95"/>
    <w:rsid w:val="0062218C"/>
    <w:rsid w:val="0062230A"/>
    <w:rsid w:val="0062235E"/>
    <w:rsid w:val="006224ED"/>
    <w:rsid w:val="00622CA7"/>
    <w:rsid w:val="006234F4"/>
    <w:rsid w:val="0062357A"/>
    <w:rsid w:val="00623C25"/>
    <w:rsid w:val="00624581"/>
    <w:rsid w:val="006245AB"/>
    <w:rsid w:val="006245F5"/>
    <w:rsid w:val="0062472C"/>
    <w:rsid w:val="006249FA"/>
    <w:rsid w:val="00624B96"/>
    <w:rsid w:val="00624C6D"/>
    <w:rsid w:val="00624F82"/>
    <w:rsid w:val="006250B9"/>
    <w:rsid w:val="00625207"/>
    <w:rsid w:val="006258AA"/>
    <w:rsid w:val="006258B6"/>
    <w:rsid w:val="00625925"/>
    <w:rsid w:val="00625CC0"/>
    <w:rsid w:val="00626298"/>
    <w:rsid w:val="006262EE"/>
    <w:rsid w:val="0062632B"/>
    <w:rsid w:val="00626499"/>
    <w:rsid w:val="00626764"/>
    <w:rsid w:val="00626776"/>
    <w:rsid w:val="00626CB1"/>
    <w:rsid w:val="00626FC4"/>
    <w:rsid w:val="0062713C"/>
    <w:rsid w:val="006273E0"/>
    <w:rsid w:val="00627445"/>
    <w:rsid w:val="00627BE0"/>
    <w:rsid w:val="00627C7C"/>
    <w:rsid w:val="00627CF5"/>
    <w:rsid w:val="00627D0E"/>
    <w:rsid w:val="00627EDD"/>
    <w:rsid w:val="00630045"/>
    <w:rsid w:val="00630103"/>
    <w:rsid w:val="006303AC"/>
    <w:rsid w:val="0063053A"/>
    <w:rsid w:val="00630563"/>
    <w:rsid w:val="00630624"/>
    <w:rsid w:val="00630675"/>
    <w:rsid w:val="006306BD"/>
    <w:rsid w:val="00630C82"/>
    <w:rsid w:val="00630D4B"/>
    <w:rsid w:val="00630F3A"/>
    <w:rsid w:val="00630F93"/>
    <w:rsid w:val="006310C4"/>
    <w:rsid w:val="00631134"/>
    <w:rsid w:val="006312A3"/>
    <w:rsid w:val="00631348"/>
    <w:rsid w:val="006315A8"/>
    <w:rsid w:val="00631BC3"/>
    <w:rsid w:val="006320B0"/>
    <w:rsid w:val="006328FB"/>
    <w:rsid w:val="00632929"/>
    <w:rsid w:val="00632975"/>
    <w:rsid w:val="00632B32"/>
    <w:rsid w:val="00632E7C"/>
    <w:rsid w:val="00632FA7"/>
    <w:rsid w:val="0063306E"/>
    <w:rsid w:val="006333E7"/>
    <w:rsid w:val="00633402"/>
    <w:rsid w:val="00633448"/>
    <w:rsid w:val="006336C9"/>
    <w:rsid w:val="006338ED"/>
    <w:rsid w:val="006339AE"/>
    <w:rsid w:val="00633D26"/>
    <w:rsid w:val="00633DB2"/>
    <w:rsid w:val="0063404B"/>
    <w:rsid w:val="006341DE"/>
    <w:rsid w:val="00634477"/>
    <w:rsid w:val="00634581"/>
    <w:rsid w:val="00634692"/>
    <w:rsid w:val="006346A0"/>
    <w:rsid w:val="00634992"/>
    <w:rsid w:val="00634DC6"/>
    <w:rsid w:val="00634F2F"/>
    <w:rsid w:val="006352CC"/>
    <w:rsid w:val="00635AA8"/>
    <w:rsid w:val="00635BE1"/>
    <w:rsid w:val="00635D73"/>
    <w:rsid w:val="00635E00"/>
    <w:rsid w:val="0063601B"/>
    <w:rsid w:val="00636092"/>
    <w:rsid w:val="00636134"/>
    <w:rsid w:val="006363B1"/>
    <w:rsid w:val="006365E4"/>
    <w:rsid w:val="00636831"/>
    <w:rsid w:val="00636833"/>
    <w:rsid w:val="00636D52"/>
    <w:rsid w:val="00637014"/>
    <w:rsid w:val="0063715A"/>
    <w:rsid w:val="006371AA"/>
    <w:rsid w:val="006371C8"/>
    <w:rsid w:val="006372FC"/>
    <w:rsid w:val="0063756F"/>
    <w:rsid w:val="006377F6"/>
    <w:rsid w:val="00637E84"/>
    <w:rsid w:val="006400BB"/>
    <w:rsid w:val="006402EB"/>
    <w:rsid w:val="00640480"/>
    <w:rsid w:val="006405B6"/>
    <w:rsid w:val="00640C51"/>
    <w:rsid w:val="00640D25"/>
    <w:rsid w:val="00640D29"/>
    <w:rsid w:val="0064118B"/>
    <w:rsid w:val="006414A2"/>
    <w:rsid w:val="00641508"/>
    <w:rsid w:val="006418B0"/>
    <w:rsid w:val="006418F2"/>
    <w:rsid w:val="00641A99"/>
    <w:rsid w:val="00641A9E"/>
    <w:rsid w:val="00641E26"/>
    <w:rsid w:val="00642026"/>
    <w:rsid w:val="0064296C"/>
    <w:rsid w:val="00642B04"/>
    <w:rsid w:val="0064319A"/>
    <w:rsid w:val="00643B8D"/>
    <w:rsid w:val="006446A2"/>
    <w:rsid w:val="0064486F"/>
    <w:rsid w:val="00644A59"/>
    <w:rsid w:val="00644A91"/>
    <w:rsid w:val="00644AED"/>
    <w:rsid w:val="00644B06"/>
    <w:rsid w:val="00644CC3"/>
    <w:rsid w:val="00644D39"/>
    <w:rsid w:val="0064517F"/>
    <w:rsid w:val="0064528A"/>
    <w:rsid w:val="00645520"/>
    <w:rsid w:val="0064555A"/>
    <w:rsid w:val="00645645"/>
    <w:rsid w:val="006456DB"/>
    <w:rsid w:val="0064583A"/>
    <w:rsid w:val="00645C7B"/>
    <w:rsid w:val="00645EBE"/>
    <w:rsid w:val="0064604A"/>
    <w:rsid w:val="00646270"/>
    <w:rsid w:val="006463FE"/>
    <w:rsid w:val="00646405"/>
    <w:rsid w:val="0064642B"/>
    <w:rsid w:val="00646520"/>
    <w:rsid w:val="00646718"/>
    <w:rsid w:val="00646B9B"/>
    <w:rsid w:val="00646C71"/>
    <w:rsid w:val="00646EB3"/>
    <w:rsid w:val="00646F25"/>
    <w:rsid w:val="0064752C"/>
    <w:rsid w:val="0064764B"/>
    <w:rsid w:val="006477A7"/>
    <w:rsid w:val="006477D3"/>
    <w:rsid w:val="006479D5"/>
    <w:rsid w:val="00650026"/>
    <w:rsid w:val="0065017F"/>
    <w:rsid w:val="006503CD"/>
    <w:rsid w:val="00650F1F"/>
    <w:rsid w:val="00651874"/>
    <w:rsid w:val="0065190C"/>
    <w:rsid w:val="00651E90"/>
    <w:rsid w:val="0065215A"/>
    <w:rsid w:val="00652168"/>
    <w:rsid w:val="0065222A"/>
    <w:rsid w:val="006522A3"/>
    <w:rsid w:val="006523CC"/>
    <w:rsid w:val="00652565"/>
    <w:rsid w:val="0065280F"/>
    <w:rsid w:val="00652A4D"/>
    <w:rsid w:val="00652C7E"/>
    <w:rsid w:val="00652ED1"/>
    <w:rsid w:val="00652F06"/>
    <w:rsid w:val="00653019"/>
    <w:rsid w:val="006534ED"/>
    <w:rsid w:val="006535AB"/>
    <w:rsid w:val="00653632"/>
    <w:rsid w:val="00653720"/>
    <w:rsid w:val="00653734"/>
    <w:rsid w:val="00653AD9"/>
    <w:rsid w:val="00653BF0"/>
    <w:rsid w:val="00653C85"/>
    <w:rsid w:val="00653FEC"/>
    <w:rsid w:val="00654BAA"/>
    <w:rsid w:val="00654C27"/>
    <w:rsid w:val="00654C28"/>
    <w:rsid w:val="00655191"/>
    <w:rsid w:val="006557A1"/>
    <w:rsid w:val="006559E9"/>
    <w:rsid w:val="00655BEC"/>
    <w:rsid w:val="00655D74"/>
    <w:rsid w:val="006560D0"/>
    <w:rsid w:val="0065625C"/>
    <w:rsid w:val="00656310"/>
    <w:rsid w:val="006563F6"/>
    <w:rsid w:val="0065677F"/>
    <w:rsid w:val="00656814"/>
    <w:rsid w:val="00656903"/>
    <w:rsid w:val="0065692D"/>
    <w:rsid w:val="00656A18"/>
    <w:rsid w:val="00656B17"/>
    <w:rsid w:val="00656B37"/>
    <w:rsid w:val="00656F7A"/>
    <w:rsid w:val="00656FAA"/>
    <w:rsid w:val="00657096"/>
    <w:rsid w:val="0065712D"/>
    <w:rsid w:val="00657260"/>
    <w:rsid w:val="0065763A"/>
    <w:rsid w:val="00657756"/>
    <w:rsid w:val="006577E5"/>
    <w:rsid w:val="006579AC"/>
    <w:rsid w:val="006600CD"/>
    <w:rsid w:val="00660267"/>
    <w:rsid w:val="0066050B"/>
    <w:rsid w:val="006605E2"/>
    <w:rsid w:val="0066073F"/>
    <w:rsid w:val="0066080A"/>
    <w:rsid w:val="006608BF"/>
    <w:rsid w:val="00660A7C"/>
    <w:rsid w:val="00660DAC"/>
    <w:rsid w:val="00660E52"/>
    <w:rsid w:val="00661005"/>
    <w:rsid w:val="006610D4"/>
    <w:rsid w:val="0066174A"/>
    <w:rsid w:val="00661945"/>
    <w:rsid w:val="00661EED"/>
    <w:rsid w:val="00661F02"/>
    <w:rsid w:val="006620BB"/>
    <w:rsid w:val="00662297"/>
    <w:rsid w:val="006622D4"/>
    <w:rsid w:val="00662353"/>
    <w:rsid w:val="006623DC"/>
    <w:rsid w:val="0066267C"/>
    <w:rsid w:val="006628CC"/>
    <w:rsid w:val="006629E0"/>
    <w:rsid w:val="00662AA4"/>
    <w:rsid w:val="00662B4C"/>
    <w:rsid w:val="00663201"/>
    <w:rsid w:val="006632AA"/>
    <w:rsid w:val="00663387"/>
    <w:rsid w:val="0066342E"/>
    <w:rsid w:val="0066354B"/>
    <w:rsid w:val="00663674"/>
    <w:rsid w:val="006639FD"/>
    <w:rsid w:val="00663A64"/>
    <w:rsid w:val="00663CA9"/>
    <w:rsid w:val="00663DB9"/>
    <w:rsid w:val="0066426F"/>
    <w:rsid w:val="00664284"/>
    <w:rsid w:val="00664331"/>
    <w:rsid w:val="00664667"/>
    <w:rsid w:val="00664711"/>
    <w:rsid w:val="00664894"/>
    <w:rsid w:val="00664A2D"/>
    <w:rsid w:val="006650DF"/>
    <w:rsid w:val="00665130"/>
    <w:rsid w:val="0066542E"/>
    <w:rsid w:val="00665498"/>
    <w:rsid w:val="0066574B"/>
    <w:rsid w:val="006657CF"/>
    <w:rsid w:val="00665B01"/>
    <w:rsid w:val="00665BCE"/>
    <w:rsid w:val="00665C33"/>
    <w:rsid w:val="00665CEC"/>
    <w:rsid w:val="00666080"/>
    <w:rsid w:val="0066614A"/>
    <w:rsid w:val="006665DA"/>
    <w:rsid w:val="00666718"/>
    <w:rsid w:val="00666758"/>
    <w:rsid w:val="0066689F"/>
    <w:rsid w:val="006668AF"/>
    <w:rsid w:val="00666CFB"/>
    <w:rsid w:val="006670B2"/>
    <w:rsid w:val="00667110"/>
    <w:rsid w:val="006676DE"/>
    <w:rsid w:val="00667922"/>
    <w:rsid w:val="00667A10"/>
    <w:rsid w:val="00667AA8"/>
    <w:rsid w:val="00667DB9"/>
    <w:rsid w:val="00667EEF"/>
    <w:rsid w:val="00670704"/>
    <w:rsid w:val="00670916"/>
    <w:rsid w:val="00670924"/>
    <w:rsid w:val="00670C71"/>
    <w:rsid w:val="00670CD2"/>
    <w:rsid w:val="00670D76"/>
    <w:rsid w:val="0067131E"/>
    <w:rsid w:val="00671497"/>
    <w:rsid w:val="006715E9"/>
    <w:rsid w:val="00671C6A"/>
    <w:rsid w:val="0067205F"/>
    <w:rsid w:val="0067208C"/>
    <w:rsid w:val="006722E3"/>
    <w:rsid w:val="00672A17"/>
    <w:rsid w:val="00672ACA"/>
    <w:rsid w:val="00672BBB"/>
    <w:rsid w:val="00672E34"/>
    <w:rsid w:val="00673172"/>
    <w:rsid w:val="0067344E"/>
    <w:rsid w:val="00673572"/>
    <w:rsid w:val="00673887"/>
    <w:rsid w:val="00673AAD"/>
    <w:rsid w:val="00673C60"/>
    <w:rsid w:val="00673E93"/>
    <w:rsid w:val="00674509"/>
    <w:rsid w:val="0067452A"/>
    <w:rsid w:val="006748C4"/>
    <w:rsid w:val="00674BE9"/>
    <w:rsid w:val="00674FB8"/>
    <w:rsid w:val="0067514D"/>
    <w:rsid w:val="00675185"/>
    <w:rsid w:val="0067565F"/>
    <w:rsid w:val="006757D6"/>
    <w:rsid w:val="006757F8"/>
    <w:rsid w:val="00675C84"/>
    <w:rsid w:val="0067616B"/>
    <w:rsid w:val="0067617B"/>
    <w:rsid w:val="00676247"/>
    <w:rsid w:val="0067625C"/>
    <w:rsid w:val="00676708"/>
    <w:rsid w:val="00676829"/>
    <w:rsid w:val="00676D45"/>
    <w:rsid w:val="00676E03"/>
    <w:rsid w:val="006771B6"/>
    <w:rsid w:val="006774CE"/>
    <w:rsid w:val="00677577"/>
    <w:rsid w:val="0067776D"/>
    <w:rsid w:val="006777B0"/>
    <w:rsid w:val="006800C3"/>
    <w:rsid w:val="0068026C"/>
    <w:rsid w:val="006806A9"/>
    <w:rsid w:val="00680709"/>
    <w:rsid w:val="00680875"/>
    <w:rsid w:val="00680C76"/>
    <w:rsid w:val="0068101F"/>
    <w:rsid w:val="0068114F"/>
    <w:rsid w:val="0068122F"/>
    <w:rsid w:val="006812BA"/>
    <w:rsid w:val="00681460"/>
    <w:rsid w:val="0068193A"/>
    <w:rsid w:val="00681977"/>
    <w:rsid w:val="00681D42"/>
    <w:rsid w:val="00681E24"/>
    <w:rsid w:val="0068211A"/>
    <w:rsid w:val="00682246"/>
    <w:rsid w:val="00682252"/>
    <w:rsid w:val="006826BC"/>
    <w:rsid w:val="006828F6"/>
    <w:rsid w:val="00682DF3"/>
    <w:rsid w:val="00682EC1"/>
    <w:rsid w:val="00682F4B"/>
    <w:rsid w:val="006831E6"/>
    <w:rsid w:val="006835D5"/>
    <w:rsid w:val="00683C52"/>
    <w:rsid w:val="00683C60"/>
    <w:rsid w:val="00683CDD"/>
    <w:rsid w:val="00683D38"/>
    <w:rsid w:val="00684171"/>
    <w:rsid w:val="00684290"/>
    <w:rsid w:val="00684310"/>
    <w:rsid w:val="0068432E"/>
    <w:rsid w:val="00684372"/>
    <w:rsid w:val="006843FF"/>
    <w:rsid w:val="00684670"/>
    <w:rsid w:val="00684A0B"/>
    <w:rsid w:val="00684A27"/>
    <w:rsid w:val="00684C9E"/>
    <w:rsid w:val="0068547D"/>
    <w:rsid w:val="00685A07"/>
    <w:rsid w:val="00685AC1"/>
    <w:rsid w:val="00685D63"/>
    <w:rsid w:val="0068623B"/>
    <w:rsid w:val="00686637"/>
    <w:rsid w:val="006866BF"/>
    <w:rsid w:val="006867F7"/>
    <w:rsid w:val="00686816"/>
    <w:rsid w:val="006869D7"/>
    <w:rsid w:val="00686AF9"/>
    <w:rsid w:val="00686C7E"/>
    <w:rsid w:val="006871B2"/>
    <w:rsid w:val="006871E5"/>
    <w:rsid w:val="0068720B"/>
    <w:rsid w:val="006878BA"/>
    <w:rsid w:val="00687A89"/>
    <w:rsid w:val="00687B2F"/>
    <w:rsid w:val="00687D3B"/>
    <w:rsid w:val="00687ED0"/>
    <w:rsid w:val="00690176"/>
    <w:rsid w:val="006903E1"/>
    <w:rsid w:val="00690450"/>
    <w:rsid w:val="00690D10"/>
    <w:rsid w:val="00690F41"/>
    <w:rsid w:val="00691497"/>
    <w:rsid w:val="00691553"/>
    <w:rsid w:val="0069169A"/>
    <w:rsid w:val="0069178E"/>
    <w:rsid w:val="00691AAF"/>
    <w:rsid w:val="00691C74"/>
    <w:rsid w:val="00691D31"/>
    <w:rsid w:val="00691F42"/>
    <w:rsid w:val="006922CD"/>
    <w:rsid w:val="00692317"/>
    <w:rsid w:val="00692386"/>
    <w:rsid w:val="006923BB"/>
    <w:rsid w:val="0069257B"/>
    <w:rsid w:val="00692616"/>
    <w:rsid w:val="0069297D"/>
    <w:rsid w:val="00692D3E"/>
    <w:rsid w:val="00692F44"/>
    <w:rsid w:val="00693109"/>
    <w:rsid w:val="006932A1"/>
    <w:rsid w:val="0069332F"/>
    <w:rsid w:val="00693439"/>
    <w:rsid w:val="006936C4"/>
    <w:rsid w:val="00693851"/>
    <w:rsid w:val="00693B38"/>
    <w:rsid w:val="00693C36"/>
    <w:rsid w:val="00693DD6"/>
    <w:rsid w:val="00693E89"/>
    <w:rsid w:val="00693EA2"/>
    <w:rsid w:val="00693F49"/>
    <w:rsid w:val="00694148"/>
    <w:rsid w:val="0069469C"/>
    <w:rsid w:val="006949CD"/>
    <w:rsid w:val="006949CF"/>
    <w:rsid w:val="00694DD8"/>
    <w:rsid w:val="00694E12"/>
    <w:rsid w:val="00694EC2"/>
    <w:rsid w:val="00695192"/>
    <w:rsid w:val="006951CB"/>
    <w:rsid w:val="00695386"/>
    <w:rsid w:val="00695538"/>
    <w:rsid w:val="00695580"/>
    <w:rsid w:val="006956A6"/>
    <w:rsid w:val="00695EF3"/>
    <w:rsid w:val="00696061"/>
    <w:rsid w:val="0069607D"/>
    <w:rsid w:val="006960AD"/>
    <w:rsid w:val="0069625E"/>
    <w:rsid w:val="0069643F"/>
    <w:rsid w:val="00696744"/>
    <w:rsid w:val="006967B6"/>
    <w:rsid w:val="00696844"/>
    <w:rsid w:val="00696A3D"/>
    <w:rsid w:val="00696BB2"/>
    <w:rsid w:val="00696C20"/>
    <w:rsid w:val="00697063"/>
    <w:rsid w:val="006975B4"/>
    <w:rsid w:val="00697702"/>
    <w:rsid w:val="00697812"/>
    <w:rsid w:val="00697A98"/>
    <w:rsid w:val="00697D99"/>
    <w:rsid w:val="00697F35"/>
    <w:rsid w:val="006A00A2"/>
    <w:rsid w:val="006A0266"/>
    <w:rsid w:val="006A028C"/>
    <w:rsid w:val="006A03A0"/>
    <w:rsid w:val="006A0484"/>
    <w:rsid w:val="006A055F"/>
    <w:rsid w:val="006A05C9"/>
    <w:rsid w:val="006A06AE"/>
    <w:rsid w:val="006A09FF"/>
    <w:rsid w:val="006A0C75"/>
    <w:rsid w:val="006A0DD8"/>
    <w:rsid w:val="006A0E63"/>
    <w:rsid w:val="006A1171"/>
    <w:rsid w:val="006A1185"/>
    <w:rsid w:val="006A1251"/>
    <w:rsid w:val="006A1389"/>
    <w:rsid w:val="006A15E8"/>
    <w:rsid w:val="006A17DF"/>
    <w:rsid w:val="006A18E0"/>
    <w:rsid w:val="006A1939"/>
    <w:rsid w:val="006A1AFE"/>
    <w:rsid w:val="006A1C2F"/>
    <w:rsid w:val="006A1CF2"/>
    <w:rsid w:val="006A2183"/>
    <w:rsid w:val="006A2580"/>
    <w:rsid w:val="006A2583"/>
    <w:rsid w:val="006A25BA"/>
    <w:rsid w:val="006A25C5"/>
    <w:rsid w:val="006A2807"/>
    <w:rsid w:val="006A28B0"/>
    <w:rsid w:val="006A28BD"/>
    <w:rsid w:val="006A28C6"/>
    <w:rsid w:val="006A29B1"/>
    <w:rsid w:val="006A30A3"/>
    <w:rsid w:val="006A3425"/>
    <w:rsid w:val="006A37AC"/>
    <w:rsid w:val="006A3A54"/>
    <w:rsid w:val="006A3B39"/>
    <w:rsid w:val="006A3C7A"/>
    <w:rsid w:val="006A404E"/>
    <w:rsid w:val="006A445C"/>
    <w:rsid w:val="006A482B"/>
    <w:rsid w:val="006A4BC9"/>
    <w:rsid w:val="006A4D5B"/>
    <w:rsid w:val="006A4D94"/>
    <w:rsid w:val="006A4DCD"/>
    <w:rsid w:val="006A4E4A"/>
    <w:rsid w:val="006A5194"/>
    <w:rsid w:val="006A5534"/>
    <w:rsid w:val="006A5907"/>
    <w:rsid w:val="006A5AFE"/>
    <w:rsid w:val="006A5B02"/>
    <w:rsid w:val="006A5DC9"/>
    <w:rsid w:val="006A5F5B"/>
    <w:rsid w:val="006A64BA"/>
    <w:rsid w:val="006A66CB"/>
    <w:rsid w:val="006A6838"/>
    <w:rsid w:val="006A68CF"/>
    <w:rsid w:val="006A6C1A"/>
    <w:rsid w:val="006A6C9A"/>
    <w:rsid w:val="006A6CF0"/>
    <w:rsid w:val="006A6D74"/>
    <w:rsid w:val="006A6E1F"/>
    <w:rsid w:val="006A6E64"/>
    <w:rsid w:val="006A6FE2"/>
    <w:rsid w:val="006A702E"/>
    <w:rsid w:val="006A7192"/>
    <w:rsid w:val="006A7280"/>
    <w:rsid w:val="006A7854"/>
    <w:rsid w:val="006A7907"/>
    <w:rsid w:val="006A79AD"/>
    <w:rsid w:val="006A7A2E"/>
    <w:rsid w:val="006A7B1B"/>
    <w:rsid w:val="006A7DA9"/>
    <w:rsid w:val="006B001C"/>
    <w:rsid w:val="006B0072"/>
    <w:rsid w:val="006B0521"/>
    <w:rsid w:val="006B0BA3"/>
    <w:rsid w:val="006B0BB0"/>
    <w:rsid w:val="006B0E90"/>
    <w:rsid w:val="006B1295"/>
    <w:rsid w:val="006B1344"/>
    <w:rsid w:val="006B1574"/>
    <w:rsid w:val="006B164B"/>
    <w:rsid w:val="006B16FA"/>
    <w:rsid w:val="006B16FD"/>
    <w:rsid w:val="006B176A"/>
    <w:rsid w:val="006B1813"/>
    <w:rsid w:val="006B1A8B"/>
    <w:rsid w:val="006B1D58"/>
    <w:rsid w:val="006B1DAF"/>
    <w:rsid w:val="006B22F6"/>
    <w:rsid w:val="006B2903"/>
    <w:rsid w:val="006B2C09"/>
    <w:rsid w:val="006B2CE7"/>
    <w:rsid w:val="006B36AC"/>
    <w:rsid w:val="006B3BEC"/>
    <w:rsid w:val="006B3D27"/>
    <w:rsid w:val="006B3D5E"/>
    <w:rsid w:val="006B3D9C"/>
    <w:rsid w:val="006B3DF4"/>
    <w:rsid w:val="006B3F9F"/>
    <w:rsid w:val="006B417A"/>
    <w:rsid w:val="006B465D"/>
    <w:rsid w:val="006B47B0"/>
    <w:rsid w:val="006B4B0A"/>
    <w:rsid w:val="006B4EAE"/>
    <w:rsid w:val="006B4FA4"/>
    <w:rsid w:val="006B52A8"/>
    <w:rsid w:val="006B54CB"/>
    <w:rsid w:val="006B5521"/>
    <w:rsid w:val="006B5586"/>
    <w:rsid w:val="006B590C"/>
    <w:rsid w:val="006B5B7D"/>
    <w:rsid w:val="006B5EE7"/>
    <w:rsid w:val="006B5FFB"/>
    <w:rsid w:val="006B6056"/>
    <w:rsid w:val="006B617D"/>
    <w:rsid w:val="006B6213"/>
    <w:rsid w:val="006B630E"/>
    <w:rsid w:val="006B6433"/>
    <w:rsid w:val="006B6516"/>
    <w:rsid w:val="006B667A"/>
    <w:rsid w:val="006B6788"/>
    <w:rsid w:val="006B67E2"/>
    <w:rsid w:val="006B6846"/>
    <w:rsid w:val="006B688C"/>
    <w:rsid w:val="006B6A54"/>
    <w:rsid w:val="006B71A6"/>
    <w:rsid w:val="006B7489"/>
    <w:rsid w:val="006B764B"/>
    <w:rsid w:val="006B76EF"/>
    <w:rsid w:val="006B7D08"/>
    <w:rsid w:val="006B7E40"/>
    <w:rsid w:val="006C08BB"/>
    <w:rsid w:val="006C0A35"/>
    <w:rsid w:val="006C0F3B"/>
    <w:rsid w:val="006C0FF4"/>
    <w:rsid w:val="006C1462"/>
    <w:rsid w:val="006C152C"/>
    <w:rsid w:val="006C1ABE"/>
    <w:rsid w:val="006C1AF2"/>
    <w:rsid w:val="006C1C2F"/>
    <w:rsid w:val="006C1C57"/>
    <w:rsid w:val="006C2279"/>
    <w:rsid w:val="006C2716"/>
    <w:rsid w:val="006C28AF"/>
    <w:rsid w:val="006C2E36"/>
    <w:rsid w:val="006C304D"/>
    <w:rsid w:val="006C31B3"/>
    <w:rsid w:val="006C31FE"/>
    <w:rsid w:val="006C3576"/>
    <w:rsid w:val="006C35DD"/>
    <w:rsid w:val="006C36A2"/>
    <w:rsid w:val="006C36A7"/>
    <w:rsid w:val="006C3781"/>
    <w:rsid w:val="006C3878"/>
    <w:rsid w:val="006C3FD5"/>
    <w:rsid w:val="006C4112"/>
    <w:rsid w:val="006C4CA7"/>
    <w:rsid w:val="006C4E11"/>
    <w:rsid w:val="006C4E94"/>
    <w:rsid w:val="006C506D"/>
    <w:rsid w:val="006C511F"/>
    <w:rsid w:val="006C51F4"/>
    <w:rsid w:val="006C5818"/>
    <w:rsid w:val="006C59D1"/>
    <w:rsid w:val="006C60CF"/>
    <w:rsid w:val="006C610B"/>
    <w:rsid w:val="006C63AA"/>
    <w:rsid w:val="006C6BC3"/>
    <w:rsid w:val="006C7052"/>
    <w:rsid w:val="006C70FE"/>
    <w:rsid w:val="006C713A"/>
    <w:rsid w:val="006C7193"/>
    <w:rsid w:val="006C7246"/>
    <w:rsid w:val="006C77AC"/>
    <w:rsid w:val="006C7970"/>
    <w:rsid w:val="006C79BC"/>
    <w:rsid w:val="006C7E13"/>
    <w:rsid w:val="006C7F17"/>
    <w:rsid w:val="006D000A"/>
    <w:rsid w:val="006D0843"/>
    <w:rsid w:val="006D0A6F"/>
    <w:rsid w:val="006D0AE7"/>
    <w:rsid w:val="006D0B35"/>
    <w:rsid w:val="006D0BDA"/>
    <w:rsid w:val="006D0F2F"/>
    <w:rsid w:val="006D153A"/>
    <w:rsid w:val="006D1557"/>
    <w:rsid w:val="006D15D3"/>
    <w:rsid w:val="006D1615"/>
    <w:rsid w:val="006D1DB1"/>
    <w:rsid w:val="006D1E42"/>
    <w:rsid w:val="006D20AA"/>
    <w:rsid w:val="006D233C"/>
    <w:rsid w:val="006D24C2"/>
    <w:rsid w:val="006D25BA"/>
    <w:rsid w:val="006D26C3"/>
    <w:rsid w:val="006D2711"/>
    <w:rsid w:val="006D2780"/>
    <w:rsid w:val="006D291F"/>
    <w:rsid w:val="006D2A0E"/>
    <w:rsid w:val="006D309B"/>
    <w:rsid w:val="006D317C"/>
    <w:rsid w:val="006D35E0"/>
    <w:rsid w:val="006D3978"/>
    <w:rsid w:val="006D3D76"/>
    <w:rsid w:val="006D3E8F"/>
    <w:rsid w:val="006D417E"/>
    <w:rsid w:val="006D448E"/>
    <w:rsid w:val="006D45F3"/>
    <w:rsid w:val="006D47D0"/>
    <w:rsid w:val="006D4EAE"/>
    <w:rsid w:val="006D4F1F"/>
    <w:rsid w:val="006D5156"/>
    <w:rsid w:val="006D534F"/>
    <w:rsid w:val="006D5351"/>
    <w:rsid w:val="006D5848"/>
    <w:rsid w:val="006D5A0D"/>
    <w:rsid w:val="006D5A2F"/>
    <w:rsid w:val="006D5BE6"/>
    <w:rsid w:val="006D5CD9"/>
    <w:rsid w:val="006D5D55"/>
    <w:rsid w:val="006D5DD3"/>
    <w:rsid w:val="006D6200"/>
    <w:rsid w:val="006D62E0"/>
    <w:rsid w:val="006D657C"/>
    <w:rsid w:val="006D666E"/>
    <w:rsid w:val="006D674B"/>
    <w:rsid w:val="006D67A0"/>
    <w:rsid w:val="006D697B"/>
    <w:rsid w:val="006D6AA0"/>
    <w:rsid w:val="006D6E83"/>
    <w:rsid w:val="006D749B"/>
    <w:rsid w:val="006D74F2"/>
    <w:rsid w:val="006D783B"/>
    <w:rsid w:val="006D7953"/>
    <w:rsid w:val="006D7C1D"/>
    <w:rsid w:val="006D7D13"/>
    <w:rsid w:val="006D7DBC"/>
    <w:rsid w:val="006D7FF6"/>
    <w:rsid w:val="006E00D6"/>
    <w:rsid w:val="006E0146"/>
    <w:rsid w:val="006E030C"/>
    <w:rsid w:val="006E03C5"/>
    <w:rsid w:val="006E05AF"/>
    <w:rsid w:val="006E07C2"/>
    <w:rsid w:val="006E0805"/>
    <w:rsid w:val="006E0F74"/>
    <w:rsid w:val="006E10F2"/>
    <w:rsid w:val="006E1127"/>
    <w:rsid w:val="006E11FA"/>
    <w:rsid w:val="006E1382"/>
    <w:rsid w:val="006E154F"/>
    <w:rsid w:val="006E15C0"/>
    <w:rsid w:val="006E1747"/>
    <w:rsid w:val="006E1969"/>
    <w:rsid w:val="006E1A71"/>
    <w:rsid w:val="006E25F0"/>
    <w:rsid w:val="006E28A3"/>
    <w:rsid w:val="006E2CED"/>
    <w:rsid w:val="006E2E95"/>
    <w:rsid w:val="006E3247"/>
    <w:rsid w:val="006E353C"/>
    <w:rsid w:val="006E360D"/>
    <w:rsid w:val="006E3619"/>
    <w:rsid w:val="006E3756"/>
    <w:rsid w:val="006E3A04"/>
    <w:rsid w:val="006E3B13"/>
    <w:rsid w:val="006E3D86"/>
    <w:rsid w:val="006E3E91"/>
    <w:rsid w:val="006E3E92"/>
    <w:rsid w:val="006E4085"/>
    <w:rsid w:val="006E4434"/>
    <w:rsid w:val="006E4756"/>
    <w:rsid w:val="006E4BFA"/>
    <w:rsid w:val="006E4C8E"/>
    <w:rsid w:val="006E4CB3"/>
    <w:rsid w:val="006E4CDB"/>
    <w:rsid w:val="006E50DE"/>
    <w:rsid w:val="006E50E0"/>
    <w:rsid w:val="006E554E"/>
    <w:rsid w:val="006E589E"/>
    <w:rsid w:val="006E5E86"/>
    <w:rsid w:val="006E6528"/>
    <w:rsid w:val="006E6B4C"/>
    <w:rsid w:val="006E6BE8"/>
    <w:rsid w:val="006E6BFA"/>
    <w:rsid w:val="006E6E03"/>
    <w:rsid w:val="006E6ED9"/>
    <w:rsid w:val="006E7139"/>
    <w:rsid w:val="006E7239"/>
    <w:rsid w:val="006E72AB"/>
    <w:rsid w:val="006E73E9"/>
    <w:rsid w:val="006E746C"/>
    <w:rsid w:val="006E7C4C"/>
    <w:rsid w:val="006E7C50"/>
    <w:rsid w:val="006E7CDC"/>
    <w:rsid w:val="006E7D16"/>
    <w:rsid w:val="006F0178"/>
    <w:rsid w:val="006F0185"/>
    <w:rsid w:val="006F038C"/>
    <w:rsid w:val="006F0430"/>
    <w:rsid w:val="006F043B"/>
    <w:rsid w:val="006F0785"/>
    <w:rsid w:val="006F0D35"/>
    <w:rsid w:val="006F0DDA"/>
    <w:rsid w:val="006F191F"/>
    <w:rsid w:val="006F1AB7"/>
    <w:rsid w:val="006F1E1D"/>
    <w:rsid w:val="006F23E0"/>
    <w:rsid w:val="006F2739"/>
    <w:rsid w:val="006F28A6"/>
    <w:rsid w:val="006F28E3"/>
    <w:rsid w:val="006F2D97"/>
    <w:rsid w:val="006F2E83"/>
    <w:rsid w:val="006F318E"/>
    <w:rsid w:val="006F31CC"/>
    <w:rsid w:val="006F3428"/>
    <w:rsid w:val="006F354C"/>
    <w:rsid w:val="006F35DA"/>
    <w:rsid w:val="006F36F6"/>
    <w:rsid w:val="006F3AB6"/>
    <w:rsid w:val="006F3BB2"/>
    <w:rsid w:val="006F3E45"/>
    <w:rsid w:val="006F4269"/>
    <w:rsid w:val="006F43FA"/>
    <w:rsid w:val="006F4703"/>
    <w:rsid w:val="006F4732"/>
    <w:rsid w:val="006F47DF"/>
    <w:rsid w:val="006F48B3"/>
    <w:rsid w:val="006F4916"/>
    <w:rsid w:val="006F4EC9"/>
    <w:rsid w:val="006F4FD7"/>
    <w:rsid w:val="006F5090"/>
    <w:rsid w:val="006F50CF"/>
    <w:rsid w:val="006F52F9"/>
    <w:rsid w:val="006F544B"/>
    <w:rsid w:val="006F5569"/>
    <w:rsid w:val="006F581A"/>
    <w:rsid w:val="006F5865"/>
    <w:rsid w:val="006F5C53"/>
    <w:rsid w:val="006F5EEF"/>
    <w:rsid w:val="006F5F2F"/>
    <w:rsid w:val="006F6156"/>
    <w:rsid w:val="006F651C"/>
    <w:rsid w:val="006F657E"/>
    <w:rsid w:val="006F6814"/>
    <w:rsid w:val="006F6C9C"/>
    <w:rsid w:val="006F6E10"/>
    <w:rsid w:val="006F7189"/>
    <w:rsid w:val="006F7898"/>
    <w:rsid w:val="006F7C11"/>
    <w:rsid w:val="006F7CF5"/>
    <w:rsid w:val="007000E3"/>
    <w:rsid w:val="00700119"/>
    <w:rsid w:val="0070013A"/>
    <w:rsid w:val="00700561"/>
    <w:rsid w:val="0070067D"/>
    <w:rsid w:val="0070088B"/>
    <w:rsid w:val="00700A81"/>
    <w:rsid w:val="00700ABA"/>
    <w:rsid w:val="00700C86"/>
    <w:rsid w:val="00700CBF"/>
    <w:rsid w:val="00700E03"/>
    <w:rsid w:val="00700EAE"/>
    <w:rsid w:val="00700F1F"/>
    <w:rsid w:val="00700F39"/>
    <w:rsid w:val="0070100D"/>
    <w:rsid w:val="00701061"/>
    <w:rsid w:val="0070115F"/>
    <w:rsid w:val="00701203"/>
    <w:rsid w:val="00701532"/>
    <w:rsid w:val="007015C6"/>
    <w:rsid w:val="00701DDF"/>
    <w:rsid w:val="00701E3E"/>
    <w:rsid w:val="00702407"/>
    <w:rsid w:val="007026BF"/>
    <w:rsid w:val="00702878"/>
    <w:rsid w:val="00702993"/>
    <w:rsid w:val="0070303E"/>
    <w:rsid w:val="007033D6"/>
    <w:rsid w:val="007033FC"/>
    <w:rsid w:val="007039BF"/>
    <w:rsid w:val="00703BE8"/>
    <w:rsid w:val="00703E06"/>
    <w:rsid w:val="0070402F"/>
    <w:rsid w:val="00704160"/>
    <w:rsid w:val="007041FD"/>
    <w:rsid w:val="007042A1"/>
    <w:rsid w:val="00704621"/>
    <w:rsid w:val="00704906"/>
    <w:rsid w:val="00704B0C"/>
    <w:rsid w:val="00704E3C"/>
    <w:rsid w:val="00705068"/>
    <w:rsid w:val="007051B8"/>
    <w:rsid w:val="00705227"/>
    <w:rsid w:val="00705245"/>
    <w:rsid w:val="007052CD"/>
    <w:rsid w:val="0070544A"/>
    <w:rsid w:val="007054C2"/>
    <w:rsid w:val="007055E5"/>
    <w:rsid w:val="00705759"/>
    <w:rsid w:val="00705886"/>
    <w:rsid w:val="00705CB2"/>
    <w:rsid w:val="00705CFF"/>
    <w:rsid w:val="00705D3D"/>
    <w:rsid w:val="007060FE"/>
    <w:rsid w:val="00706331"/>
    <w:rsid w:val="00706357"/>
    <w:rsid w:val="0070654A"/>
    <w:rsid w:val="007069F6"/>
    <w:rsid w:val="00706C5E"/>
    <w:rsid w:val="00706CAE"/>
    <w:rsid w:val="0070707A"/>
    <w:rsid w:val="00707328"/>
    <w:rsid w:val="00707660"/>
    <w:rsid w:val="00707667"/>
    <w:rsid w:val="00707684"/>
    <w:rsid w:val="00707920"/>
    <w:rsid w:val="007102BB"/>
    <w:rsid w:val="00710905"/>
    <w:rsid w:val="00710C12"/>
    <w:rsid w:val="00710C46"/>
    <w:rsid w:val="00710E74"/>
    <w:rsid w:val="00710EDD"/>
    <w:rsid w:val="00711129"/>
    <w:rsid w:val="0071119B"/>
    <w:rsid w:val="007111BD"/>
    <w:rsid w:val="0071124E"/>
    <w:rsid w:val="0071161B"/>
    <w:rsid w:val="00711A2D"/>
    <w:rsid w:val="00711B21"/>
    <w:rsid w:val="00711CBE"/>
    <w:rsid w:val="007121CF"/>
    <w:rsid w:val="00712339"/>
    <w:rsid w:val="007128DD"/>
    <w:rsid w:val="00712B10"/>
    <w:rsid w:val="00712B23"/>
    <w:rsid w:val="00712CED"/>
    <w:rsid w:val="0071310C"/>
    <w:rsid w:val="00713786"/>
    <w:rsid w:val="00713D8D"/>
    <w:rsid w:val="00713DB3"/>
    <w:rsid w:val="00714290"/>
    <w:rsid w:val="00714321"/>
    <w:rsid w:val="0071441E"/>
    <w:rsid w:val="00714586"/>
    <w:rsid w:val="0071470B"/>
    <w:rsid w:val="00714C98"/>
    <w:rsid w:val="0071530D"/>
    <w:rsid w:val="00715D52"/>
    <w:rsid w:val="00715E75"/>
    <w:rsid w:val="0071622C"/>
    <w:rsid w:val="00716270"/>
    <w:rsid w:val="00716356"/>
    <w:rsid w:val="00716532"/>
    <w:rsid w:val="007165E8"/>
    <w:rsid w:val="007169D7"/>
    <w:rsid w:val="00716A1F"/>
    <w:rsid w:val="00716AC3"/>
    <w:rsid w:val="00716AE1"/>
    <w:rsid w:val="00716DE2"/>
    <w:rsid w:val="00716FD7"/>
    <w:rsid w:val="0071743C"/>
    <w:rsid w:val="00717488"/>
    <w:rsid w:val="007174CF"/>
    <w:rsid w:val="007178B4"/>
    <w:rsid w:val="007178D2"/>
    <w:rsid w:val="00717B4A"/>
    <w:rsid w:val="00717BB4"/>
    <w:rsid w:val="00717C25"/>
    <w:rsid w:val="00717C75"/>
    <w:rsid w:val="00717EB6"/>
    <w:rsid w:val="0072003B"/>
    <w:rsid w:val="00720103"/>
    <w:rsid w:val="0072017F"/>
    <w:rsid w:val="00720659"/>
    <w:rsid w:val="007207B4"/>
    <w:rsid w:val="00720997"/>
    <w:rsid w:val="00720CBF"/>
    <w:rsid w:val="00720E64"/>
    <w:rsid w:val="00721092"/>
    <w:rsid w:val="007211E0"/>
    <w:rsid w:val="007213FB"/>
    <w:rsid w:val="00721469"/>
    <w:rsid w:val="00721855"/>
    <w:rsid w:val="007219B7"/>
    <w:rsid w:val="00721EEA"/>
    <w:rsid w:val="00721F24"/>
    <w:rsid w:val="007222E8"/>
    <w:rsid w:val="00722300"/>
    <w:rsid w:val="0072246E"/>
    <w:rsid w:val="0072257D"/>
    <w:rsid w:val="007228FE"/>
    <w:rsid w:val="00722A3F"/>
    <w:rsid w:val="00722E98"/>
    <w:rsid w:val="0072325E"/>
    <w:rsid w:val="00723295"/>
    <w:rsid w:val="0072340E"/>
    <w:rsid w:val="0072352B"/>
    <w:rsid w:val="00723738"/>
    <w:rsid w:val="00723863"/>
    <w:rsid w:val="00723CFD"/>
    <w:rsid w:val="0072405F"/>
    <w:rsid w:val="00724518"/>
    <w:rsid w:val="0072471A"/>
    <w:rsid w:val="00724D08"/>
    <w:rsid w:val="00725104"/>
    <w:rsid w:val="00725264"/>
    <w:rsid w:val="00725788"/>
    <w:rsid w:val="00725C02"/>
    <w:rsid w:val="00725C4B"/>
    <w:rsid w:val="00725C75"/>
    <w:rsid w:val="007260DD"/>
    <w:rsid w:val="00726461"/>
    <w:rsid w:val="00726803"/>
    <w:rsid w:val="00726AAE"/>
    <w:rsid w:val="00726C3A"/>
    <w:rsid w:val="00726C70"/>
    <w:rsid w:val="00726DA2"/>
    <w:rsid w:val="00727001"/>
    <w:rsid w:val="007271C5"/>
    <w:rsid w:val="00727285"/>
    <w:rsid w:val="007274F6"/>
    <w:rsid w:val="00727586"/>
    <w:rsid w:val="0072783B"/>
    <w:rsid w:val="00727987"/>
    <w:rsid w:val="00727B1E"/>
    <w:rsid w:val="00727C85"/>
    <w:rsid w:val="00727D86"/>
    <w:rsid w:val="00730175"/>
    <w:rsid w:val="0073057B"/>
    <w:rsid w:val="0073057F"/>
    <w:rsid w:val="00730645"/>
    <w:rsid w:val="00730717"/>
    <w:rsid w:val="007307BA"/>
    <w:rsid w:val="00730876"/>
    <w:rsid w:val="0073095C"/>
    <w:rsid w:val="00730A31"/>
    <w:rsid w:val="00730B0E"/>
    <w:rsid w:val="00730D05"/>
    <w:rsid w:val="00730EC8"/>
    <w:rsid w:val="0073126B"/>
    <w:rsid w:val="00731285"/>
    <w:rsid w:val="00731323"/>
    <w:rsid w:val="0073197B"/>
    <w:rsid w:val="00731A0B"/>
    <w:rsid w:val="00731B6B"/>
    <w:rsid w:val="00731E11"/>
    <w:rsid w:val="00731EF2"/>
    <w:rsid w:val="00732019"/>
    <w:rsid w:val="0073214E"/>
    <w:rsid w:val="0073239E"/>
    <w:rsid w:val="00732682"/>
    <w:rsid w:val="0073288B"/>
    <w:rsid w:val="00732B7E"/>
    <w:rsid w:val="00732BEE"/>
    <w:rsid w:val="00732D0E"/>
    <w:rsid w:val="00732DD9"/>
    <w:rsid w:val="00732EA2"/>
    <w:rsid w:val="00732F5C"/>
    <w:rsid w:val="007332C4"/>
    <w:rsid w:val="007333BC"/>
    <w:rsid w:val="007334B0"/>
    <w:rsid w:val="00733526"/>
    <w:rsid w:val="00733603"/>
    <w:rsid w:val="007338A5"/>
    <w:rsid w:val="007339ED"/>
    <w:rsid w:val="00733ADA"/>
    <w:rsid w:val="00733F14"/>
    <w:rsid w:val="0073456E"/>
    <w:rsid w:val="0073460B"/>
    <w:rsid w:val="00734787"/>
    <w:rsid w:val="00734798"/>
    <w:rsid w:val="00734C1D"/>
    <w:rsid w:val="00734C2B"/>
    <w:rsid w:val="00734DA7"/>
    <w:rsid w:val="007350A4"/>
    <w:rsid w:val="007356C4"/>
    <w:rsid w:val="00735754"/>
    <w:rsid w:val="00735F5C"/>
    <w:rsid w:val="0073612C"/>
    <w:rsid w:val="007363EE"/>
    <w:rsid w:val="00736612"/>
    <w:rsid w:val="00736623"/>
    <w:rsid w:val="00736AE4"/>
    <w:rsid w:val="00736C01"/>
    <w:rsid w:val="00736CAB"/>
    <w:rsid w:val="00736D89"/>
    <w:rsid w:val="0073714E"/>
    <w:rsid w:val="0073736D"/>
    <w:rsid w:val="0073772D"/>
    <w:rsid w:val="00737784"/>
    <w:rsid w:val="0073781B"/>
    <w:rsid w:val="0073789B"/>
    <w:rsid w:val="00737994"/>
    <w:rsid w:val="00737C19"/>
    <w:rsid w:val="007401C6"/>
    <w:rsid w:val="007401DC"/>
    <w:rsid w:val="00740349"/>
    <w:rsid w:val="007406D0"/>
    <w:rsid w:val="00740A8C"/>
    <w:rsid w:val="00740B32"/>
    <w:rsid w:val="00740C32"/>
    <w:rsid w:val="00740C3C"/>
    <w:rsid w:val="00741143"/>
    <w:rsid w:val="007412F2"/>
    <w:rsid w:val="007413E5"/>
    <w:rsid w:val="007413F9"/>
    <w:rsid w:val="00741424"/>
    <w:rsid w:val="00741563"/>
    <w:rsid w:val="00741594"/>
    <w:rsid w:val="00741805"/>
    <w:rsid w:val="00741872"/>
    <w:rsid w:val="00741CA2"/>
    <w:rsid w:val="00741CFE"/>
    <w:rsid w:val="00741E4A"/>
    <w:rsid w:val="00741F9C"/>
    <w:rsid w:val="00741FA4"/>
    <w:rsid w:val="007420D0"/>
    <w:rsid w:val="00742195"/>
    <w:rsid w:val="007421CD"/>
    <w:rsid w:val="007425E0"/>
    <w:rsid w:val="007426AF"/>
    <w:rsid w:val="00742748"/>
    <w:rsid w:val="00742A84"/>
    <w:rsid w:val="00742D7D"/>
    <w:rsid w:val="00742E95"/>
    <w:rsid w:val="00743012"/>
    <w:rsid w:val="00743071"/>
    <w:rsid w:val="00743161"/>
    <w:rsid w:val="007432BA"/>
    <w:rsid w:val="007432F1"/>
    <w:rsid w:val="0074336C"/>
    <w:rsid w:val="007433D1"/>
    <w:rsid w:val="007434D8"/>
    <w:rsid w:val="00743539"/>
    <w:rsid w:val="007436B6"/>
    <w:rsid w:val="00743A46"/>
    <w:rsid w:val="00743B88"/>
    <w:rsid w:val="00743CA8"/>
    <w:rsid w:val="00743E1F"/>
    <w:rsid w:val="007445DC"/>
    <w:rsid w:val="00744726"/>
    <w:rsid w:val="007448BF"/>
    <w:rsid w:val="00744C24"/>
    <w:rsid w:val="00744D39"/>
    <w:rsid w:val="007450F1"/>
    <w:rsid w:val="0074524B"/>
    <w:rsid w:val="0074563D"/>
    <w:rsid w:val="0074574B"/>
    <w:rsid w:val="00745757"/>
    <w:rsid w:val="00745A1A"/>
    <w:rsid w:val="00745A8B"/>
    <w:rsid w:val="00745B37"/>
    <w:rsid w:val="00745CB0"/>
    <w:rsid w:val="00745F59"/>
    <w:rsid w:val="00745FD2"/>
    <w:rsid w:val="00745FE2"/>
    <w:rsid w:val="007461E3"/>
    <w:rsid w:val="00746552"/>
    <w:rsid w:val="00746948"/>
    <w:rsid w:val="00746BC4"/>
    <w:rsid w:val="00746BEE"/>
    <w:rsid w:val="00746CD5"/>
    <w:rsid w:val="007471E1"/>
    <w:rsid w:val="00747265"/>
    <w:rsid w:val="007473C2"/>
    <w:rsid w:val="0074750D"/>
    <w:rsid w:val="007478BA"/>
    <w:rsid w:val="00747AD3"/>
    <w:rsid w:val="00747BF5"/>
    <w:rsid w:val="00747E69"/>
    <w:rsid w:val="00747F0D"/>
    <w:rsid w:val="00747F7C"/>
    <w:rsid w:val="00747FBC"/>
    <w:rsid w:val="0075001E"/>
    <w:rsid w:val="00750334"/>
    <w:rsid w:val="007503C3"/>
    <w:rsid w:val="0075072E"/>
    <w:rsid w:val="007507AF"/>
    <w:rsid w:val="007509B5"/>
    <w:rsid w:val="00750B37"/>
    <w:rsid w:val="00750B85"/>
    <w:rsid w:val="00750B8C"/>
    <w:rsid w:val="00750BCF"/>
    <w:rsid w:val="00750C43"/>
    <w:rsid w:val="00750D0B"/>
    <w:rsid w:val="00750EE0"/>
    <w:rsid w:val="00750F0B"/>
    <w:rsid w:val="00750F8D"/>
    <w:rsid w:val="00750FAA"/>
    <w:rsid w:val="00751049"/>
    <w:rsid w:val="00751099"/>
    <w:rsid w:val="007512DA"/>
    <w:rsid w:val="00751485"/>
    <w:rsid w:val="00751546"/>
    <w:rsid w:val="00751597"/>
    <w:rsid w:val="007517B1"/>
    <w:rsid w:val="00751A9F"/>
    <w:rsid w:val="00751BC8"/>
    <w:rsid w:val="00751C27"/>
    <w:rsid w:val="007521F2"/>
    <w:rsid w:val="00752351"/>
    <w:rsid w:val="00752615"/>
    <w:rsid w:val="00752756"/>
    <w:rsid w:val="007527EB"/>
    <w:rsid w:val="00752D48"/>
    <w:rsid w:val="00752D86"/>
    <w:rsid w:val="00752E99"/>
    <w:rsid w:val="0075310F"/>
    <w:rsid w:val="007535F4"/>
    <w:rsid w:val="00753A56"/>
    <w:rsid w:val="00754139"/>
    <w:rsid w:val="00754141"/>
    <w:rsid w:val="007545B9"/>
    <w:rsid w:val="00754716"/>
    <w:rsid w:val="00754E36"/>
    <w:rsid w:val="007551CB"/>
    <w:rsid w:val="0075522C"/>
    <w:rsid w:val="00755241"/>
    <w:rsid w:val="00755945"/>
    <w:rsid w:val="00755A1B"/>
    <w:rsid w:val="00755CE2"/>
    <w:rsid w:val="00755D8E"/>
    <w:rsid w:val="00755EDF"/>
    <w:rsid w:val="00755F3B"/>
    <w:rsid w:val="00756055"/>
    <w:rsid w:val="007562B4"/>
    <w:rsid w:val="007565FA"/>
    <w:rsid w:val="00756647"/>
    <w:rsid w:val="007568DE"/>
    <w:rsid w:val="00756CEF"/>
    <w:rsid w:val="00756D76"/>
    <w:rsid w:val="00756F5C"/>
    <w:rsid w:val="00756F5E"/>
    <w:rsid w:val="007570BE"/>
    <w:rsid w:val="007571AA"/>
    <w:rsid w:val="00757663"/>
    <w:rsid w:val="00757888"/>
    <w:rsid w:val="00757B9F"/>
    <w:rsid w:val="00757BAF"/>
    <w:rsid w:val="00757C1B"/>
    <w:rsid w:val="00757D1A"/>
    <w:rsid w:val="00757FD3"/>
    <w:rsid w:val="0076013B"/>
    <w:rsid w:val="00760149"/>
    <w:rsid w:val="00760159"/>
    <w:rsid w:val="00760283"/>
    <w:rsid w:val="00760433"/>
    <w:rsid w:val="007608F3"/>
    <w:rsid w:val="00761007"/>
    <w:rsid w:val="0076165D"/>
    <w:rsid w:val="007617B3"/>
    <w:rsid w:val="00761859"/>
    <w:rsid w:val="00761D06"/>
    <w:rsid w:val="00762151"/>
    <w:rsid w:val="0076253E"/>
    <w:rsid w:val="00762586"/>
    <w:rsid w:val="00762AED"/>
    <w:rsid w:val="00762B70"/>
    <w:rsid w:val="00762F59"/>
    <w:rsid w:val="007637D3"/>
    <w:rsid w:val="00763863"/>
    <w:rsid w:val="007639B0"/>
    <w:rsid w:val="007639D9"/>
    <w:rsid w:val="00763B20"/>
    <w:rsid w:val="00763FF1"/>
    <w:rsid w:val="007641D2"/>
    <w:rsid w:val="00764212"/>
    <w:rsid w:val="00764374"/>
    <w:rsid w:val="00764888"/>
    <w:rsid w:val="0076499B"/>
    <w:rsid w:val="00764E27"/>
    <w:rsid w:val="00765043"/>
    <w:rsid w:val="007655D5"/>
    <w:rsid w:val="007656E5"/>
    <w:rsid w:val="007658BC"/>
    <w:rsid w:val="007658DB"/>
    <w:rsid w:val="00765A32"/>
    <w:rsid w:val="00765B76"/>
    <w:rsid w:val="00765FDB"/>
    <w:rsid w:val="007662EF"/>
    <w:rsid w:val="0076663D"/>
    <w:rsid w:val="00766668"/>
    <w:rsid w:val="00766CC9"/>
    <w:rsid w:val="00766D92"/>
    <w:rsid w:val="00766DB6"/>
    <w:rsid w:val="00766F78"/>
    <w:rsid w:val="00767585"/>
    <w:rsid w:val="007676F3"/>
    <w:rsid w:val="00767AA4"/>
    <w:rsid w:val="00767BB4"/>
    <w:rsid w:val="00767DAA"/>
    <w:rsid w:val="00767DC4"/>
    <w:rsid w:val="007709BE"/>
    <w:rsid w:val="00770A2E"/>
    <w:rsid w:val="00770C5D"/>
    <w:rsid w:val="00770DC5"/>
    <w:rsid w:val="00770F42"/>
    <w:rsid w:val="0077108A"/>
    <w:rsid w:val="00771121"/>
    <w:rsid w:val="0077115D"/>
    <w:rsid w:val="00771417"/>
    <w:rsid w:val="007714D5"/>
    <w:rsid w:val="00771698"/>
    <w:rsid w:val="00771B4E"/>
    <w:rsid w:val="007720C7"/>
    <w:rsid w:val="0077235E"/>
    <w:rsid w:val="007723DC"/>
    <w:rsid w:val="00772B4B"/>
    <w:rsid w:val="00772F18"/>
    <w:rsid w:val="00773351"/>
    <w:rsid w:val="007736ED"/>
    <w:rsid w:val="00773825"/>
    <w:rsid w:val="00773C1C"/>
    <w:rsid w:val="00773C44"/>
    <w:rsid w:val="00773C9B"/>
    <w:rsid w:val="00773F70"/>
    <w:rsid w:val="00774074"/>
    <w:rsid w:val="00774121"/>
    <w:rsid w:val="007741AB"/>
    <w:rsid w:val="0077422D"/>
    <w:rsid w:val="007743F1"/>
    <w:rsid w:val="0077442A"/>
    <w:rsid w:val="007745E8"/>
    <w:rsid w:val="00774A30"/>
    <w:rsid w:val="00774AFD"/>
    <w:rsid w:val="00774B03"/>
    <w:rsid w:val="00774B15"/>
    <w:rsid w:val="00774DF3"/>
    <w:rsid w:val="00775028"/>
    <w:rsid w:val="007750AD"/>
    <w:rsid w:val="00775559"/>
    <w:rsid w:val="00775A5D"/>
    <w:rsid w:val="00775BE4"/>
    <w:rsid w:val="00775D41"/>
    <w:rsid w:val="00775D5A"/>
    <w:rsid w:val="007760EE"/>
    <w:rsid w:val="00776129"/>
    <w:rsid w:val="00776327"/>
    <w:rsid w:val="00776661"/>
    <w:rsid w:val="00776DC9"/>
    <w:rsid w:val="00776E03"/>
    <w:rsid w:val="007771E7"/>
    <w:rsid w:val="007772C1"/>
    <w:rsid w:val="007772E4"/>
    <w:rsid w:val="007773CA"/>
    <w:rsid w:val="00777469"/>
    <w:rsid w:val="007774A5"/>
    <w:rsid w:val="007777A6"/>
    <w:rsid w:val="007777E8"/>
    <w:rsid w:val="007800AF"/>
    <w:rsid w:val="007800D2"/>
    <w:rsid w:val="007807FB"/>
    <w:rsid w:val="0078083E"/>
    <w:rsid w:val="007808FD"/>
    <w:rsid w:val="00780B5E"/>
    <w:rsid w:val="00780E18"/>
    <w:rsid w:val="00780FB9"/>
    <w:rsid w:val="00780FF4"/>
    <w:rsid w:val="007812ED"/>
    <w:rsid w:val="007812F0"/>
    <w:rsid w:val="007813A6"/>
    <w:rsid w:val="007815B6"/>
    <w:rsid w:val="007817ED"/>
    <w:rsid w:val="00781A8C"/>
    <w:rsid w:val="00781B8A"/>
    <w:rsid w:val="00781BA5"/>
    <w:rsid w:val="00781BDF"/>
    <w:rsid w:val="00782078"/>
    <w:rsid w:val="007822A9"/>
    <w:rsid w:val="007823F2"/>
    <w:rsid w:val="00782497"/>
    <w:rsid w:val="00782541"/>
    <w:rsid w:val="00782605"/>
    <w:rsid w:val="0078284A"/>
    <w:rsid w:val="00782C03"/>
    <w:rsid w:val="007830E0"/>
    <w:rsid w:val="00783357"/>
    <w:rsid w:val="00783595"/>
    <w:rsid w:val="00783776"/>
    <w:rsid w:val="007839DF"/>
    <w:rsid w:val="00783A30"/>
    <w:rsid w:val="00784130"/>
    <w:rsid w:val="007841B4"/>
    <w:rsid w:val="007843A3"/>
    <w:rsid w:val="007843A8"/>
    <w:rsid w:val="0078453F"/>
    <w:rsid w:val="00784679"/>
    <w:rsid w:val="007847A2"/>
    <w:rsid w:val="00784ABD"/>
    <w:rsid w:val="00784D68"/>
    <w:rsid w:val="00785023"/>
    <w:rsid w:val="00785051"/>
    <w:rsid w:val="007850AC"/>
    <w:rsid w:val="007850B8"/>
    <w:rsid w:val="0078538F"/>
    <w:rsid w:val="007854FC"/>
    <w:rsid w:val="00785B56"/>
    <w:rsid w:val="00785ECD"/>
    <w:rsid w:val="0078600E"/>
    <w:rsid w:val="00786082"/>
    <w:rsid w:val="00786266"/>
    <w:rsid w:val="00786345"/>
    <w:rsid w:val="0078643C"/>
    <w:rsid w:val="007871A0"/>
    <w:rsid w:val="00787229"/>
    <w:rsid w:val="00787251"/>
    <w:rsid w:val="007873B6"/>
    <w:rsid w:val="0078759A"/>
    <w:rsid w:val="007875A8"/>
    <w:rsid w:val="007878F4"/>
    <w:rsid w:val="007878FF"/>
    <w:rsid w:val="00787A4A"/>
    <w:rsid w:val="00787B64"/>
    <w:rsid w:val="00790518"/>
    <w:rsid w:val="00790796"/>
    <w:rsid w:val="007908BC"/>
    <w:rsid w:val="00790C24"/>
    <w:rsid w:val="00790F5F"/>
    <w:rsid w:val="0079115F"/>
    <w:rsid w:val="007912A6"/>
    <w:rsid w:val="0079130A"/>
    <w:rsid w:val="0079148E"/>
    <w:rsid w:val="00791665"/>
    <w:rsid w:val="007916A5"/>
    <w:rsid w:val="0079170D"/>
    <w:rsid w:val="0079186F"/>
    <w:rsid w:val="007919D3"/>
    <w:rsid w:val="00791ACD"/>
    <w:rsid w:val="00791FEE"/>
    <w:rsid w:val="00792069"/>
    <w:rsid w:val="0079207B"/>
    <w:rsid w:val="007920E4"/>
    <w:rsid w:val="00792273"/>
    <w:rsid w:val="00792385"/>
    <w:rsid w:val="007927D5"/>
    <w:rsid w:val="00792B2C"/>
    <w:rsid w:val="00792CFF"/>
    <w:rsid w:val="00792E79"/>
    <w:rsid w:val="00793E2B"/>
    <w:rsid w:val="00794025"/>
    <w:rsid w:val="0079409A"/>
    <w:rsid w:val="00794110"/>
    <w:rsid w:val="007943C9"/>
    <w:rsid w:val="0079454C"/>
    <w:rsid w:val="007945D6"/>
    <w:rsid w:val="007946D5"/>
    <w:rsid w:val="00794976"/>
    <w:rsid w:val="00794FBB"/>
    <w:rsid w:val="007952A7"/>
    <w:rsid w:val="0079594E"/>
    <w:rsid w:val="00795A01"/>
    <w:rsid w:val="00795BD2"/>
    <w:rsid w:val="00795BFA"/>
    <w:rsid w:val="00795D1F"/>
    <w:rsid w:val="00796182"/>
    <w:rsid w:val="007961FE"/>
    <w:rsid w:val="00796212"/>
    <w:rsid w:val="007962BE"/>
    <w:rsid w:val="0079639E"/>
    <w:rsid w:val="007964D4"/>
    <w:rsid w:val="0079654A"/>
    <w:rsid w:val="00796683"/>
    <w:rsid w:val="00796793"/>
    <w:rsid w:val="007967B0"/>
    <w:rsid w:val="00796873"/>
    <w:rsid w:val="00796AE3"/>
    <w:rsid w:val="00797092"/>
    <w:rsid w:val="00797947"/>
    <w:rsid w:val="00797CBB"/>
    <w:rsid w:val="00797EE8"/>
    <w:rsid w:val="007A0131"/>
    <w:rsid w:val="007A02CD"/>
    <w:rsid w:val="007A0E79"/>
    <w:rsid w:val="007A0F6F"/>
    <w:rsid w:val="007A122C"/>
    <w:rsid w:val="007A1546"/>
    <w:rsid w:val="007A1797"/>
    <w:rsid w:val="007A17EC"/>
    <w:rsid w:val="007A1814"/>
    <w:rsid w:val="007A18A5"/>
    <w:rsid w:val="007A1947"/>
    <w:rsid w:val="007A1A6B"/>
    <w:rsid w:val="007A20E0"/>
    <w:rsid w:val="007A2757"/>
    <w:rsid w:val="007A2979"/>
    <w:rsid w:val="007A2A4B"/>
    <w:rsid w:val="007A2A71"/>
    <w:rsid w:val="007A2EFD"/>
    <w:rsid w:val="007A316C"/>
    <w:rsid w:val="007A36DB"/>
    <w:rsid w:val="007A3CE0"/>
    <w:rsid w:val="007A3CE1"/>
    <w:rsid w:val="007A3DCD"/>
    <w:rsid w:val="007A43E9"/>
    <w:rsid w:val="007A4614"/>
    <w:rsid w:val="007A4CD0"/>
    <w:rsid w:val="007A4CD9"/>
    <w:rsid w:val="007A4DEE"/>
    <w:rsid w:val="007A4EDB"/>
    <w:rsid w:val="007A4EFE"/>
    <w:rsid w:val="007A502F"/>
    <w:rsid w:val="007A509B"/>
    <w:rsid w:val="007A50A6"/>
    <w:rsid w:val="007A51DB"/>
    <w:rsid w:val="007A534A"/>
    <w:rsid w:val="007A5666"/>
    <w:rsid w:val="007A5AA4"/>
    <w:rsid w:val="007A5CCE"/>
    <w:rsid w:val="007A5D1C"/>
    <w:rsid w:val="007A6064"/>
    <w:rsid w:val="007A64DA"/>
    <w:rsid w:val="007A65C1"/>
    <w:rsid w:val="007A65E2"/>
    <w:rsid w:val="007A6702"/>
    <w:rsid w:val="007A6854"/>
    <w:rsid w:val="007A69AB"/>
    <w:rsid w:val="007A6A78"/>
    <w:rsid w:val="007A6D05"/>
    <w:rsid w:val="007A6DBD"/>
    <w:rsid w:val="007A70FB"/>
    <w:rsid w:val="007A7425"/>
    <w:rsid w:val="007A74FF"/>
    <w:rsid w:val="007A7828"/>
    <w:rsid w:val="007A79C1"/>
    <w:rsid w:val="007A7C74"/>
    <w:rsid w:val="007A7CF8"/>
    <w:rsid w:val="007A7E31"/>
    <w:rsid w:val="007B00E2"/>
    <w:rsid w:val="007B01D6"/>
    <w:rsid w:val="007B02BE"/>
    <w:rsid w:val="007B05A7"/>
    <w:rsid w:val="007B06A8"/>
    <w:rsid w:val="007B091E"/>
    <w:rsid w:val="007B0A23"/>
    <w:rsid w:val="007B0A7C"/>
    <w:rsid w:val="007B0B0D"/>
    <w:rsid w:val="007B0B4B"/>
    <w:rsid w:val="007B0F5E"/>
    <w:rsid w:val="007B0FAB"/>
    <w:rsid w:val="007B12A7"/>
    <w:rsid w:val="007B1303"/>
    <w:rsid w:val="007B1667"/>
    <w:rsid w:val="007B19BE"/>
    <w:rsid w:val="007B1C76"/>
    <w:rsid w:val="007B1C82"/>
    <w:rsid w:val="007B21C7"/>
    <w:rsid w:val="007B21EF"/>
    <w:rsid w:val="007B2390"/>
    <w:rsid w:val="007B2407"/>
    <w:rsid w:val="007B247E"/>
    <w:rsid w:val="007B2681"/>
    <w:rsid w:val="007B2951"/>
    <w:rsid w:val="007B2A1E"/>
    <w:rsid w:val="007B2AA9"/>
    <w:rsid w:val="007B2BE5"/>
    <w:rsid w:val="007B2BEA"/>
    <w:rsid w:val="007B2D7B"/>
    <w:rsid w:val="007B2F0A"/>
    <w:rsid w:val="007B3200"/>
    <w:rsid w:val="007B3423"/>
    <w:rsid w:val="007B345E"/>
    <w:rsid w:val="007B37EE"/>
    <w:rsid w:val="007B3B60"/>
    <w:rsid w:val="007B3C0C"/>
    <w:rsid w:val="007B3F6C"/>
    <w:rsid w:val="007B40B9"/>
    <w:rsid w:val="007B43F5"/>
    <w:rsid w:val="007B4676"/>
    <w:rsid w:val="007B49D2"/>
    <w:rsid w:val="007B4C33"/>
    <w:rsid w:val="007B4F9E"/>
    <w:rsid w:val="007B51C1"/>
    <w:rsid w:val="007B55D1"/>
    <w:rsid w:val="007B5875"/>
    <w:rsid w:val="007B5921"/>
    <w:rsid w:val="007B5924"/>
    <w:rsid w:val="007B5E24"/>
    <w:rsid w:val="007B603C"/>
    <w:rsid w:val="007B6283"/>
    <w:rsid w:val="007B62B8"/>
    <w:rsid w:val="007B6557"/>
    <w:rsid w:val="007B6618"/>
    <w:rsid w:val="007B6832"/>
    <w:rsid w:val="007B6C16"/>
    <w:rsid w:val="007B6D73"/>
    <w:rsid w:val="007B6EF9"/>
    <w:rsid w:val="007B7003"/>
    <w:rsid w:val="007B7197"/>
    <w:rsid w:val="007B74FD"/>
    <w:rsid w:val="007B7A7F"/>
    <w:rsid w:val="007B7B8A"/>
    <w:rsid w:val="007B7D4F"/>
    <w:rsid w:val="007B7D66"/>
    <w:rsid w:val="007C098C"/>
    <w:rsid w:val="007C1031"/>
    <w:rsid w:val="007C10D1"/>
    <w:rsid w:val="007C124D"/>
    <w:rsid w:val="007C1823"/>
    <w:rsid w:val="007C1840"/>
    <w:rsid w:val="007C1AA3"/>
    <w:rsid w:val="007C1C50"/>
    <w:rsid w:val="007C1CCE"/>
    <w:rsid w:val="007C1DFD"/>
    <w:rsid w:val="007C1E86"/>
    <w:rsid w:val="007C1FBE"/>
    <w:rsid w:val="007C2039"/>
    <w:rsid w:val="007C2472"/>
    <w:rsid w:val="007C2683"/>
    <w:rsid w:val="007C26F7"/>
    <w:rsid w:val="007C2981"/>
    <w:rsid w:val="007C2FFD"/>
    <w:rsid w:val="007C344B"/>
    <w:rsid w:val="007C3463"/>
    <w:rsid w:val="007C36C6"/>
    <w:rsid w:val="007C37F1"/>
    <w:rsid w:val="007C38B4"/>
    <w:rsid w:val="007C3902"/>
    <w:rsid w:val="007C3CED"/>
    <w:rsid w:val="007C3D67"/>
    <w:rsid w:val="007C403E"/>
    <w:rsid w:val="007C403F"/>
    <w:rsid w:val="007C445F"/>
    <w:rsid w:val="007C4831"/>
    <w:rsid w:val="007C4A00"/>
    <w:rsid w:val="007C4A31"/>
    <w:rsid w:val="007C4A73"/>
    <w:rsid w:val="007C4CAF"/>
    <w:rsid w:val="007C4DC6"/>
    <w:rsid w:val="007C4DFD"/>
    <w:rsid w:val="007C4E28"/>
    <w:rsid w:val="007C4EBB"/>
    <w:rsid w:val="007C5792"/>
    <w:rsid w:val="007C57EC"/>
    <w:rsid w:val="007C58EB"/>
    <w:rsid w:val="007C5C7C"/>
    <w:rsid w:val="007C5CCE"/>
    <w:rsid w:val="007C60A5"/>
    <w:rsid w:val="007C6450"/>
    <w:rsid w:val="007C67FE"/>
    <w:rsid w:val="007C6845"/>
    <w:rsid w:val="007C692E"/>
    <w:rsid w:val="007C6C01"/>
    <w:rsid w:val="007C7022"/>
    <w:rsid w:val="007C708B"/>
    <w:rsid w:val="007C7251"/>
    <w:rsid w:val="007C72C7"/>
    <w:rsid w:val="007C7312"/>
    <w:rsid w:val="007C749C"/>
    <w:rsid w:val="007C75B0"/>
    <w:rsid w:val="007D036A"/>
    <w:rsid w:val="007D061B"/>
    <w:rsid w:val="007D06FD"/>
    <w:rsid w:val="007D07C8"/>
    <w:rsid w:val="007D09CA"/>
    <w:rsid w:val="007D0A09"/>
    <w:rsid w:val="007D0A50"/>
    <w:rsid w:val="007D0B9E"/>
    <w:rsid w:val="007D0DE0"/>
    <w:rsid w:val="007D0EC8"/>
    <w:rsid w:val="007D1166"/>
    <w:rsid w:val="007D150C"/>
    <w:rsid w:val="007D1604"/>
    <w:rsid w:val="007D20A3"/>
    <w:rsid w:val="007D20BF"/>
    <w:rsid w:val="007D2129"/>
    <w:rsid w:val="007D2339"/>
    <w:rsid w:val="007D2366"/>
    <w:rsid w:val="007D27A5"/>
    <w:rsid w:val="007D2B49"/>
    <w:rsid w:val="007D2BD3"/>
    <w:rsid w:val="007D2C02"/>
    <w:rsid w:val="007D2C0E"/>
    <w:rsid w:val="007D2DC2"/>
    <w:rsid w:val="007D304F"/>
    <w:rsid w:val="007D32D7"/>
    <w:rsid w:val="007D345E"/>
    <w:rsid w:val="007D3509"/>
    <w:rsid w:val="007D35B7"/>
    <w:rsid w:val="007D3B40"/>
    <w:rsid w:val="007D3B44"/>
    <w:rsid w:val="007D3F1F"/>
    <w:rsid w:val="007D41CC"/>
    <w:rsid w:val="007D443A"/>
    <w:rsid w:val="007D45C4"/>
    <w:rsid w:val="007D4866"/>
    <w:rsid w:val="007D4ADF"/>
    <w:rsid w:val="007D4F2D"/>
    <w:rsid w:val="007D5056"/>
    <w:rsid w:val="007D507A"/>
    <w:rsid w:val="007D5A59"/>
    <w:rsid w:val="007D5B7A"/>
    <w:rsid w:val="007D5D78"/>
    <w:rsid w:val="007D64C0"/>
    <w:rsid w:val="007D654F"/>
    <w:rsid w:val="007D65EE"/>
    <w:rsid w:val="007D67AC"/>
    <w:rsid w:val="007D6877"/>
    <w:rsid w:val="007D6D40"/>
    <w:rsid w:val="007D6DE0"/>
    <w:rsid w:val="007D6E40"/>
    <w:rsid w:val="007D7119"/>
    <w:rsid w:val="007D72EF"/>
    <w:rsid w:val="007D7560"/>
    <w:rsid w:val="007D7662"/>
    <w:rsid w:val="007D781F"/>
    <w:rsid w:val="007D7AA4"/>
    <w:rsid w:val="007D7EB4"/>
    <w:rsid w:val="007E002B"/>
    <w:rsid w:val="007E0094"/>
    <w:rsid w:val="007E00A9"/>
    <w:rsid w:val="007E0226"/>
    <w:rsid w:val="007E02FF"/>
    <w:rsid w:val="007E0898"/>
    <w:rsid w:val="007E0965"/>
    <w:rsid w:val="007E0A41"/>
    <w:rsid w:val="007E0BFA"/>
    <w:rsid w:val="007E0C1B"/>
    <w:rsid w:val="007E0D5F"/>
    <w:rsid w:val="007E0D6B"/>
    <w:rsid w:val="007E103E"/>
    <w:rsid w:val="007E1092"/>
    <w:rsid w:val="007E10EA"/>
    <w:rsid w:val="007E1198"/>
    <w:rsid w:val="007E11A5"/>
    <w:rsid w:val="007E1398"/>
    <w:rsid w:val="007E1920"/>
    <w:rsid w:val="007E1AA3"/>
    <w:rsid w:val="007E1CDB"/>
    <w:rsid w:val="007E1D0B"/>
    <w:rsid w:val="007E1DC4"/>
    <w:rsid w:val="007E1E3B"/>
    <w:rsid w:val="007E1F02"/>
    <w:rsid w:val="007E21A0"/>
    <w:rsid w:val="007E22EC"/>
    <w:rsid w:val="007E26A9"/>
    <w:rsid w:val="007E2A32"/>
    <w:rsid w:val="007E2A6F"/>
    <w:rsid w:val="007E2EDA"/>
    <w:rsid w:val="007E2FEA"/>
    <w:rsid w:val="007E30A8"/>
    <w:rsid w:val="007E3313"/>
    <w:rsid w:val="007E34AC"/>
    <w:rsid w:val="007E363A"/>
    <w:rsid w:val="007E37CD"/>
    <w:rsid w:val="007E37DF"/>
    <w:rsid w:val="007E382F"/>
    <w:rsid w:val="007E38C9"/>
    <w:rsid w:val="007E3B4E"/>
    <w:rsid w:val="007E3BFF"/>
    <w:rsid w:val="007E40C8"/>
    <w:rsid w:val="007E42B5"/>
    <w:rsid w:val="007E45C1"/>
    <w:rsid w:val="007E4722"/>
    <w:rsid w:val="007E4842"/>
    <w:rsid w:val="007E4A5F"/>
    <w:rsid w:val="007E4DED"/>
    <w:rsid w:val="007E4DF9"/>
    <w:rsid w:val="007E4F4B"/>
    <w:rsid w:val="007E507C"/>
    <w:rsid w:val="007E5155"/>
    <w:rsid w:val="007E5661"/>
    <w:rsid w:val="007E59E2"/>
    <w:rsid w:val="007E5A33"/>
    <w:rsid w:val="007E64C8"/>
    <w:rsid w:val="007E67DD"/>
    <w:rsid w:val="007E686D"/>
    <w:rsid w:val="007E6E53"/>
    <w:rsid w:val="007E701B"/>
    <w:rsid w:val="007E7555"/>
    <w:rsid w:val="007E75F0"/>
    <w:rsid w:val="007E7675"/>
    <w:rsid w:val="007E77C0"/>
    <w:rsid w:val="007E789B"/>
    <w:rsid w:val="007E7AD2"/>
    <w:rsid w:val="007F0139"/>
    <w:rsid w:val="007F02B4"/>
    <w:rsid w:val="007F02F3"/>
    <w:rsid w:val="007F0365"/>
    <w:rsid w:val="007F0379"/>
    <w:rsid w:val="007F0573"/>
    <w:rsid w:val="007F0582"/>
    <w:rsid w:val="007F05DF"/>
    <w:rsid w:val="007F07F3"/>
    <w:rsid w:val="007F0C4B"/>
    <w:rsid w:val="007F0CE9"/>
    <w:rsid w:val="007F0E8B"/>
    <w:rsid w:val="007F0F77"/>
    <w:rsid w:val="007F0FAB"/>
    <w:rsid w:val="007F10E5"/>
    <w:rsid w:val="007F11D8"/>
    <w:rsid w:val="007F1406"/>
    <w:rsid w:val="007F1634"/>
    <w:rsid w:val="007F16DC"/>
    <w:rsid w:val="007F1B3B"/>
    <w:rsid w:val="007F1CAC"/>
    <w:rsid w:val="007F211A"/>
    <w:rsid w:val="007F223F"/>
    <w:rsid w:val="007F2248"/>
    <w:rsid w:val="007F2664"/>
    <w:rsid w:val="007F2748"/>
    <w:rsid w:val="007F29B6"/>
    <w:rsid w:val="007F2C97"/>
    <w:rsid w:val="007F330C"/>
    <w:rsid w:val="007F3475"/>
    <w:rsid w:val="007F37F9"/>
    <w:rsid w:val="007F3903"/>
    <w:rsid w:val="007F39D5"/>
    <w:rsid w:val="007F3ACF"/>
    <w:rsid w:val="007F3BEC"/>
    <w:rsid w:val="007F4157"/>
    <w:rsid w:val="007F4415"/>
    <w:rsid w:val="007F4445"/>
    <w:rsid w:val="007F44EC"/>
    <w:rsid w:val="007F4909"/>
    <w:rsid w:val="007F4916"/>
    <w:rsid w:val="007F4BD2"/>
    <w:rsid w:val="007F4F53"/>
    <w:rsid w:val="007F564E"/>
    <w:rsid w:val="007F588A"/>
    <w:rsid w:val="007F5C88"/>
    <w:rsid w:val="007F5D55"/>
    <w:rsid w:val="007F630B"/>
    <w:rsid w:val="007F66A5"/>
    <w:rsid w:val="007F6786"/>
    <w:rsid w:val="007F6E71"/>
    <w:rsid w:val="007F7419"/>
    <w:rsid w:val="007F767A"/>
    <w:rsid w:val="007F7806"/>
    <w:rsid w:val="007F791F"/>
    <w:rsid w:val="007F7B30"/>
    <w:rsid w:val="007F7C14"/>
    <w:rsid w:val="007F7E00"/>
    <w:rsid w:val="007F7F35"/>
    <w:rsid w:val="00800243"/>
    <w:rsid w:val="008003E0"/>
    <w:rsid w:val="008006FC"/>
    <w:rsid w:val="0080098B"/>
    <w:rsid w:val="00800A48"/>
    <w:rsid w:val="00800C8C"/>
    <w:rsid w:val="0080125B"/>
    <w:rsid w:val="00801316"/>
    <w:rsid w:val="00801430"/>
    <w:rsid w:val="00801499"/>
    <w:rsid w:val="0080151D"/>
    <w:rsid w:val="0080182D"/>
    <w:rsid w:val="0080182F"/>
    <w:rsid w:val="008018A9"/>
    <w:rsid w:val="00801904"/>
    <w:rsid w:val="00801CAE"/>
    <w:rsid w:val="00801CCF"/>
    <w:rsid w:val="00801D34"/>
    <w:rsid w:val="00801E68"/>
    <w:rsid w:val="00802364"/>
    <w:rsid w:val="008024A4"/>
    <w:rsid w:val="008025AB"/>
    <w:rsid w:val="0080268A"/>
    <w:rsid w:val="0080275A"/>
    <w:rsid w:val="00802850"/>
    <w:rsid w:val="00802980"/>
    <w:rsid w:val="00802D7C"/>
    <w:rsid w:val="00802F0B"/>
    <w:rsid w:val="008032E9"/>
    <w:rsid w:val="008034A3"/>
    <w:rsid w:val="00803875"/>
    <w:rsid w:val="008038A9"/>
    <w:rsid w:val="00803A31"/>
    <w:rsid w:val="00803C59"/>
    <w:rsid w:val="008044A4"/>
    <w:rsid w:val="00804654"/>
    <w:rsid w:val="0080468A"/>
    <w:rsid w:val="00804795"/>
    <w:rsid w:val="00804C17"/>
    <w:rsid w:val="00804EA9"/>
    <w:rsid w:val="008050C1"/>
    <w:rsid w:val="00805152"/>
    <w:rsid w:val="008051A2"/>
    <w:rsid w:val="008052C6"/>
    <w:rsid w:val="00805379"/>
    <w:rsid w:val="008054E3"/>
    <w:rsid w:val="008055C8"/>
    <w:rsid w:val="00805681"/>
    <w:rsid w:val="00805960"/>
    <w:rsid w:val="00805EF3"/>
    <w:rsid w:val="008060F1"/>
    <w:rsid w:val="00806235"/>
    <w:rsid w:val="0080625C"/>
    <w:rsid w:val="00806572"/>
    <w:rsid w:val="008069D1"/>
    <w:rsid w:val="00806BD3"/>
    <w:rsid w:val="00806CD1"/>
    <w:rsid w:val="00806DAD"/>
    <w:rsid w:val="00806F2D"/>
    <w:rsid w:val="00806F9E"/>
    <w:rsid w:val="00807216"/>
    <w:rsid w:val="00807396"/>
    <w:rsid w:val="00807695"/>
    <w:rsid w:val="0080774B"/>
    <w:rsid w:val="008079E6"/>
    <w:rsid w:val="00807B08"/>
    <w:rsid w:val="008105FA"/>
    <w:rsid w:val="008108B1"/>
    <w:rsid w:val="00810D93"/>
    <w:rsid w:val="00810E19"/>
    <w:rsid w:val="00810E21"/>
    <w:rsid w:val="0081109F"/>
    <w:rsid w:val="00811543"/>
    <w:rsid w:val="008118D2"/>
    <w:rsid w:val="008119AE"/>
    <w:rsid w:val="00811C91"/>
    <w:rsid w:val="00811DC0"/>
    <w:rsid w:val="00812087"/>
    <w:rsid w:val="00812137"/>
    <w:rsid w:val="008121E4"/>
    <w:rsid w:val="00812521"/>
    <w:rsid w:val="00812901"/>
    <w:rsid w:val="00812B84"/>
    <w:rsid w:val="00812C77"/>
    <w:rsid w:val="00812EAB"/>
    <w:rsid w:val="00812F68"/>
    <w:rsid w:val="00812FF7"/>
    <w:rsid w:val="008132DF"/>
    <w:rsid w:val="0081344D"/>
    <w:rsid w:val="0081356A"/>
    <w:rsid w:val="008135FA"/>
    <w:rsid w:val="00813909"/>
    <w:rsid w:val="00813B8D"/>
    <w:rsid w:val="00813C81"/>
    <w:rsid w:val="00813F43"/>
    <w:rsid w:val="00814472"/>
    <w:rsid w:val="0081449D"/>
    <w:rsid w:val="00814705"/>
    <w:rsid w:val="00814813"/>
    <w:rsid w:val="008148FF"/>
    <w:rsid w:val="00814A9A"/>
    <w:rsid w:val="00814C54"/>
    <w:rsid w:val="00814C5B"/>
    <w:rsid w:val="0081506E"/>
    <w:rsid w:val="008150BB"/>
    <w:rsid w:val="00815361"/>
    <w:rsid w:val="008155F5"/>
    <w:rsid w:val="008157CB"/>
    <w:rsid w:val="00815931"/>
    <w:rsid w:val="0081599A"/>
    <w:rsid w:val="00815AD3"/>
    <w:rsid w:val="00815B11"/>
    <w:rsid w:val="00815DB5"/>
    <w:rsid w:val="00815F04"/>
    <w:rsid w:val="008160AD"/>
    <w:rsid w:val="0081627B"/>
    <w:rsid w:val="008162E7"/>
    <w:rsid w:val="00816339"/>
    <w:rsid w:val="00816364"/>
    <w:rsid w:val="008163BF"/>
    <w:rsid w:val="008164D3"/>
    <w:rsid w:val="00816633"/>
    <w:rsid w:val="00816F50"/>
    <w:rsid w:val="00816FA7"/>
    <w:rsid w:val="00817042"/>
    <w:rsid w:val="00817214"/>
    <w:rsid w:val="00817407"/>
    <w:rsid w:val="0081743F"/>
    <w:rsid w:val="008174C3"/>
    <w:rsid w:val="00817500"/>
    <w:rsid w:val="0081789F"/>
    <w:rsid w:val="008178E1"/>
    <w:rsid w:val="00817B17"/>
    <w:rsid w:val="00817BE7"/>
    <w:rsid w:val="00817BEA"/>
    <w:rsid w:val="00817F01"/>
    <w:rsid w:val="0082056F"/>
    <w:rsid w:val="008205A1"/>
    <w:rsid w:val="00820676"/>
    <w:rsid w:val="00820927"/>
    <w:rsid w:val="00820A13"/>
    <w:rsid w:val="00820A14"/>
    <w:rsid w:val="00820C64"/>
    <w:rsid w:val="00820F19"/>
    <w:rsid w:val="00821699"/>
    <w:rsid w:val="00821A45"/>
    <w:rsid w:val="00821B2C"/>
    <w:rsid w:val="00821BD7"/>
    <w:rsid w:val="00821E27"/>
    <w:rsid w:val="00822204"/>
    <w:rsid w:val="00822648"/>
    <w:rsid w:val="00822899"/>
    <w:rsid w:val="00822A25"/>
    <w:rsid w:val="00822A36"/>
    <w:rsid w:val="00822D15"/>
    <w:rsid w:val="00822E53"/>
    <w:rsid w:val="00823061"/>
    <w:rsid w:val="008230AE"/>
    <w:rsid w:val="00823452"/>
    <w:rsid w:val="008235F2"/>
    <w:rsid w:val="0082375E"/>
    <w:rsid w:val="008238EA"/>
    <w:rsid w:val="00823CE5"/>
    <w:rsid w:val="0082408E"/>
    <w:rsid w:val="00824223"/>
    <w:rsid w:val="008242FE"/>
    <w:rsid w:val="008245C0"/>
    <w:rsid w:val="008245C5"/>
    <w:rsid w:val="008246A3"/>
    <w:rsid w:val="008249C9"/>
    <w:rsid w:val="00824C93"/>
    <w:rsid w:val="008253CE"/>
    <w:rsid w:val="00825544"/>
    <w:rsid w:val="00825593"/>
    <w:rsid w:val="008257EF"/>
    <w:rsid w:val="00825DB1"/>
    <w:rsid w:val="008260D8"/>
    <w:rsid w:val="00826315"/>
    <w:rsid w:val="00826902"/>
    <w:rsid w:val="00826CE3"/>
    <w:rsid w:val="00827257"/>
    <w:rsid w:val="0082726C"/>
    <w:rsid w:val="00827561"/>
    <w:rsid w:val="008275DC"/>
    <w:rsid w:val="00827852"/>
    <w:rsid w:val="00827BDC"/>
    <w:rsid w:val="00827C88"/>
    <w:rsid w:val="00827D7B"/>
    <w:rsid w:val="00827E7E"/>
    <w:rsid w:val="00830315"/>
    <w:rsid w:val="008305FF"/>
    <w:rsid w:val="00830637"/>
    <w:rsid w:val="00830709"/>
    <w:rsid w:val="008307B6"/>
    <w:rsid w:val="008307CF"/>
    <w:rsid w:val="008309F1"/>
    <w:rsid w:val="00830A45"/>
    <w:rsid w:val="00830AA9"/>
    <w:rsid w:val="00830B4D"/>
    <w:rsid w:val="00830BFC"/>
    <w:rsid w:val="00830C13"/>
    <w:rsid w:val="00830C63"/>
    <w:rsid w:val="00830C78"/>
    <w:rsid w:val="0083119B"/>
    <w:rsid w:val="008311DE"/>
    <w:rsid w:val="0083155D"/>
    <w:rsid w:val="00831869"/>
    <w:rsid w:val="00831CA0"/>
    <w:rsid w:val="00831CDA"/>
    <w:rsid w:val="00831F1F"/>
    <w:rsid w:val="00831FB1"/>
    <w:rsid w:val="0083202E"/>
    <w:rsid w:val="00832154"/>
    <w:rsid w:val="00832343"/>
    <w:rsid w:val="00832513"/>
    <w:rsid w:val="00832570"/>
    <w:rsid w:val="008325C1"/>
    <w:rsid w:val="008326D5"/>
    <w:rsid w:val="00832A56"/>
    <w:rsid w:val="00832B12"/>
    <w:rsid w:val="00832BD8"/>
    <w:rsid w:val="00832D7E"/>
    <w:rsid w:val="00832E41"/>
    <w:rsid w:val="00833035"/>
    <w:rsid w:val="0083324C"/>
    <w:rsid w:val="00833358"/>
    <w:rsid w:val="008334E2"/>
    <w:rsid w:val="008335BC"/>
    <w:rsid w:val="0083366C"/>
    <w:rsid w:val="008337C9"/>
    <w:rsid w:val="00833BF2"/>
    <w:rsid w:val="00833BFE"/>
    <w:rsid w:val="0083404E"/>
    <w:rsid w:val="00834539"/>
    <w:rsid w:val="008348FD"/>
    <w:rsid w:val="00834E61"/>
    <w:rsid w:val="00834FC8"/>
    <w:rsid w:val="008350A9"/>
    <w:rsid w:val="008352E8"/>
    <w:rsid w:val="00835796"/>
    <w:rsid w:val="008357C6"/>
    <w:rsid w:val="00835838"/>
    <w:rsid w:val="00835ADD"/>
    <w:rsid w:val="00835C43"/>
    <w:rsid w:val="00835CA6"/>
    <w:rsid w:val="00835E9E"/>
    <w:rsid w:val="00835EF7"/>
    <w:rsid w:val="00835F46"/>
    <w:rsid w:val="00835F76"/>
    <w:rsid w:val="00835FEC"/>
    <w:rsid w:val="00836067"/>
    <w:rsid w:val="008363DD"/>
    <w:rsid w:val="008364E8"/>
    <w:rsid w:val="008364F3"/>
    <w:rsid w:val="00836605"/>
    <w:rsid w:val="00836728"/>
    <w:rsid w:val="00836DF3"/>
    <w:rsid w:val="00836E35"/>
    <w:rsid w:val="00836F1C"/>
    <w:rsid w:val="008370F1"/>
    <w:rsid w:val="00837227"/>
    <w:rsid w:val="008374D7"/>
    <w:rsid w:val="008374ED"/>
    <w:rsid w:val="0083791F"/>
    <w:rsid w:val="00837DDB"/>
    <w:rsid w:val="00837EA6"/>
    <w:rsid w:val="00837EE4"/>
    <w:rsid w:val="00837FF9"/>
    <w:rsid w:val="0084006D"/>
    <w:rsid w:val="008402A5"/>
    <w:rsid w:val="008405C0"/>
    <w:rsid w:val="00840A60"/>
    <w:rsid w:val="00840A66"/>
    <w:rsid w:val="00840CCD"/>
    <w:rsid w:val="00840EDB"/>
    <w:rsid w:val="0084119C"/>
    <w:rsid w:val="00841328"/>
    <w:rsid w:val="008414A6"/>
    <w:rsid w:val="008414DE"/>
    <w:rsid w:val="0084151E"/>
    <w:rsid w:val="00841736"/>
    <w:rsid w:val="00841807"/>
    <w:rsid w:val="00841C9D"/>
    <w:rsid w:val="00841D21"/>
    <w:rsid w:val="00841EB6"/>
    <w:rsid w:val="00841F0E"/>
    <w:rsid w:val="00842577"/>
    <w:rsid w:val="008428D2"/>
    <w:rsid w:val="00842EEB"/>
    <w:rsid w:val="00842F89"/>
    <w:rsid w:val="008430ED"/>
    <w:rsid w:val="0084312B"/>
    <w:rsid w:val="008432CD"/>
    <w:rsid w:val="0084390C"/>
    <w:rsid w:val="00843911"/>
    <w:rsid w:val="00843CF5"/>
    <w:rsid w:val="00843E3B"/>
    <w:rsid w:val="00844426"/>
    <w:rsid w:val="00844492"/>
    <w:rsid w:val="008444EA"/>
    <w:rsid w:val="0084473B"/>
    <w:rsid w:val="0084479F"/>
    <w:rsid w:val="008449D1"/>
    <w:rsid w:val="00844DBA"/>
    <w:rsid w:val="008450FD"/>
    <w:rsid w:val="00845383"/>
    <w:rsid w:val="008456F1"/>
    <w:rsid w:val="008459C5"/>
    <w:rsid w:val="00845A45"/>
    <w:rsid w:val="00845A6B"/>
    <w:rsid w:val="00845B43"/>
    <w:rsid w:val="00845B4F"/>
    <w:rsid w:val="00845C75"/>
    <w:rsid w:val="00846140"/>
    <w:rsid w:val="0084631A"/>
    <w:rsid w:val="00846A92"/>
    <w:rsid w:val="00846AF8"/>
    <w:rsid w:val="00846CCA"/>
    <w:rsid w:val="00846E23"/>
    <w:rsid w:val="00846EA4"/>
    <w:rsid w:val="00846F9A"/>
    <w:rsid w:val="00846FB7"/>
    <w:rsid w:val="00846FC9"/>
    <w:rsid w:val="00847082"/>
    <w:rsid w:val="008471FE"/>
    <w:rsid w:val="00847288"/>
    <w:rsid w:val="008472FB"/>
    <w:rsid w:val="0084762F"/>
    <w:rsid w:val="00847794"/>
    <w:rsid w:val="00847FCA"/>
    <w:rsid w:val="008500A3"/>
    <w:rsid w:val="00850206"/>
    <w:rsid w:val="008505CD"/>
    <w:rsid w:val="0085061D"/>
    <w:rsid w:val="00850CDF"/>
    <w:rsid w:val="00850DE8"/>
    <w:rsid w:val="00850F82"/>
    <w:rsid w:val="00851001"/>
    <w:rsid w:val="008510A9"/>
    <w:rsid w:val="0085113C"/>
    <w:rsid w:val="00851254"/>
    <w:rsid w:val="00851898"/>
    <w:rsid w:val="008519F4"/>
    <w:rsid w:val="00851CAD"/>
    <w:rsid w:val="00851D8A"/>
    <w:rsid w:val="00851DC6"/>
    <w:rsid w:val="0085216D"/>
    <w:rsid w:val="0085224F"/>
    <w:rsid w:val="00852261"/>
    <w:rsid w:val="0085297A"/>
    <w:rsid w:val="00852A3D"/>
    <w:rsid w:val="00852C5E"/>
    <w:rsid w:val="00853061"/>
    <w:rsid w:val="00853074"/>
    <w:rsid w:val="008531ED"/>
    <w:rsid w:val="00853262"/>
    <w:rsid w:val="00853346"/>
    <w:rsid w:val="00853604"/>
    <w:rsid w:val="008538ED"/>
    <w:rsid w:val="008539C1"/>
    <w:rsid w:val="008539D5"/>
    <w:rsid w:val="00853C58"/>
    <w:rsid w:val="00853F87"/>
    <w:rsid w:val="00854192"/>
    <w:rsid w:val="00854613"/>
    <w:rsid w:val="008546B3"/>
    <w:rsid w:val="0085474D"/>
    <w:rsid w:val="008547DA"/>
    <w:rsid w:val="008548C0"/>
    <w:rsid w:val="00854A6C"/>
    <w:rsid w:val="00854ADD"/>
    <w:rsid w:val="00854D6D"/>
    <w:rsid w:val="00854D6F"/>
    <w:rsid w:val="008550E4"/>
    <w:rsid w:val="008554CF"/>
    <w:rsid w:val="008555B4"/>
    <w:rsid w:val="00855928"/>
    <w:rsid w:val="00855A0D"/>
    <w:rsid w:val="00855B7D"/>
    <w:rsid w:val="00855B87"/>
    <w:rsid w:val="00855C5C"/>
    <w:rsid w:val="00856203"/>
    <w:rsid w:val="00856350"/>
    <w:rsid w:val="00856592"/>
    <w:rsid w:val="008566C5"/>
    <w:rsid w:val="008569FC"/>
    <w:rsid w:val="00856C59"/>
    <w:rsid w:val="008574B9"/>
    <w:rsid w:val="008575AB"/>
    <w:rsid w:val="008576DA"/>
    <w:rsid w:val="0085776F"/>
    <w:rsid w:val="00857954"/>
    <w:rsid w:val="00857994"/>
    <w:rsid w:val="00857B0C"/>
    <w:rsid w:val="00857DF5"/>
    <w:rsid w:val="00857E45"/>
    <w:rsid w:val="00860047"/>
    <w:rsid w:val="008600A6"/>
    <w:rsid w:val="0086026B"/>
    <w:rsid w:val="00860406"/>
    <w:rsid w:val="0086064D"/>
    <w:rsid w:val="00860A03"/>
    <w:rsid w:val="00860AE3"/>
    <w:rsid w:val="00860F55"/>
    <w:rsid w:val="00860F5D"/>
    <w:rsid w:val="00860F8D"/>
    <w:rsid w:val="00861205"/>
    <w:rsid w:val="008617DD"/>
    <w:rsid w:val="00861813"/>
    <w:rsid w:val="00861904"/>
    <w:rsid w:val="0086190C"/>
    <w:rsid w:val="00861DC4"/>
    <w:rsid w:val="00861FF7"/>
    <w:rsid w:val="0086206F"/>
    <w:rsid w:val="0086212E"/>
    <w:rsid w:val="0086221E"/>
    <w:rsid w:val="00862402"/>
    <w:rsid w:val="0086252E"/>
    <w:rsid w:val="00862696"/>
    <w:rsid w:val="0086276D"/>
    <w:rsid w:val="0086284C"/>
    <w:rsid w:val="00862E5A"/>
    <w:rsid w:val="00862EA1"/>
    <w:rsid w:val="00862FB9"/>
    <w:rsid w:val="00863089"/>
    <w:rsid w:val="008631EF"/>
    <w:rsid w:val="00863378"/>
    <w:rsid w:val="008635B6"/>
    <w:rsid w:val="00863D40"/>
    <w:rsid w:val="00863F01"/>
    <w:rsid w:val="00863FC6"/>
    <w:rsid w:val="008640C8"/>
    <w:rsid w:val="008645F7"/>
    <w:rsid w:val="00864657"/>
    <w:rsid w:val="008646E5"/>
    <w:rsid w:val="0086472B"/>
    <w:rsid w:val="00864A53"/>
    <w:rsid w:val="00864A57"/>
    <w:rsid w:val="00864BA1"/>
    <w:rsid w:val="00864BD7"/>
    <w:rsid w:val="0086505B"/>
    <w:rsid w:val="00865125"/>
    <w:rsid w:val="008651C1"/>
    <w:rsid w:val="008651EF"/>
    <w:rsid w:val="008653F5"/>
    <w:rsid w:val="00865445"/>
    <w:rsid w:val="0086585D"/>
    <w:rsid w:val="008658BD"/>
    <w:rsid w:val="00865DB9"/>
    <w:rsid w:val="00866196"/>
    <w:rsid w:val="008662AB"/>
    <w:rsid w:val="008664C0"/>
    <w:rsid w:val="00866551"/>
    <w:rsid w:val="008665A0"/>
    <w:rsid w:val="008667F2"/>
    <w:rsid w:val="0086696E"/>
    <w:rsid w:val="00866B3F"/>
    <w:rsid w:val="00866D1D"/>
    <w:rsid w:val="00866DE2"/>
    <w:rsid w:val="008672A7"/>
    <w:rsid w:val="0086733E"/>
    <w:rsid w:val="008673E8"/>
    <w:rsid w:val="008675F9"/>
    <w:rsid w:val="0086786B"/>
    <w:rsid w:val="00867873"/>
    <w:rsid w:val="00867905"/>
    <w:rsid w:val="00867982"/>
    <w:rsid w:val="00867B9E"/>
    <w:rsid w:val="00867ED6"/>
    <w:rsid w:val="00870213"/>
    <w:rsid w:val="00870722"/>
    <w:rsid w:val="008707BF"/>
    <w:rsid w:val="00870846"/>
    <w:rsid w:val="008709C9"/>
    <w:rsid w:val="00870BAC"/>
    <w:rsid w:val="00870DF3"/>
    <w:rsid w:val="00870E63"/>
    <w:rsid w:val="00870EC3"/>
    <w:rsid w:val="0087135C"/>
    <w:rsid w:val="008713E0"/>
    <w:rsid w:val="008713ED"/>
    <w:rsid w:val="00871415"/>
    <w:rsid w:val="0087148B"/>
    <w:rsid w:val="00871555"/>
    <w:rsid w:val="008715B4"/>
    <w:rsid w:val="008715D3"/>
    <w:rsid w:val="0087164D"/>
    <w:rsid w:val="008718DC"/>
    <w:rsid w:val="00871A32"/>
    <w:rsid w:val="00871A86"/>
    <w:rsid w:val="00871AB8"/>
    <w:rsid w:val="00871BC8"/>
    <w:rsid w:val="00871C8B"/>
    <w:rsid w:val="00871DD5"/>
    <w:rsid w:val="00871F1A"/>
    <w:rsid w:val="0087209A"/>
    <w:rsid w:val="00872556"/>
    <w:rsid w:val="008726C3"/>
    <w:rsid w:val="008728E3"/>
    <w:rsid w:val="00872948"/>
    <w:rsid w:val="00872DE8"/>
    <w:rsid w:val="00872DE9"/>
    <w:rsid w:val="0087316C"/>
    <w:rsid w:val="0087330D"/>
    <w:rsid w:val="00873928"/>
    <w:rsid w:val="0087398F"/>
    <w:rsid w:val="008739C4"/>
    <w:rsid w:val="00873B99"/>
    <w:rsid w:val="00873D60"/>
    <w:rsid w:val="00873D9B"/>
    <w:rsid w:val="00873DCD"/>
    <w:rsid w:val="008741A4"/>
    <w:rsid w:val="00874265"/>
    <w:rsid w:val="008743FF"/>
    <w:rsid w:val="00874441"/>
    <w:rsid w:val="008744B1"/>
    <w:rsid w:val="0087471A"/>
    <w:rsid w:val="00874746"/>
    <w:rsid w:val="00874E69"/>
    <w:rsid w:val="00874F66"/>
    <w:rsid w:val="00875028"/>
    <w:rsid w:val="008750CF"/>
    <w:rsid w:val="008751C1"/>
    <w:rsid w:val="008752B8"/>
    <w:rsid w:val="0087595E"/>
    <w:rsid w:val="00875EC6"/>
    <w:rsid w:val="0087613F"/>
    <w:rsid w:val="008764AD"/>
    <w:rsid w:val="008768E9"/>
    <w:rsid w:val="00876A81"/>
    <w:rsid w:val="00876DDD"/>
    <w:rsid w:val="00876E38"/>
    <w:rsid w:val="00877020"/>
    <w:rsid w:val="00877292"/>
    <w:rsid w:val="008773BA"/>
    <w:rsid w:val="008773D1"/>
    <w:rsid w:val="00877650"/>
    <w:rsid w:val="00877964"/>
    <w:rsid w:val="00877C12"/>
    <w:rsid w:val="00877CD2"/>
    <w:rsid w:val="00877DE8"/>
    <w:rsid w:val="00877E1A"/>
    <w:rsid w:val="008800C3"/>
    <w:rsid w:val="00880745"/>
    <w:rsid w:val="008807C1"/>
    <w:rsid w:val="008809B5"/>
    <w:rsid w:val="00880B1B"/>
    <w:rsid w:val="00880B7E"/>
    <w:rsid w:val="00880FDC"/>
    <w:rsid w:val="008810A8"/>
    <w:rsid w:val="008813B1"/>
    <w:rsid w:val="0088141F"/>
    <w:rsid w:val="008814B2"/>
    <w:rsid w:val="0088184A"/>
    <w:rsid w:val="00881B04"/>
    <w:rsid w:val="00881B3B"/>
    <w:rsid w:val="00881E4C"/>
    <w:rsid w:val="00881F4A"/>
    <w:rsid w:val="00882501"/>
    <w:rsid w:val="008825AE"/>
    <w:rsid w:val="008825F0"/>
    <w:rsid w:val="00882908"/>
    <w:rsid w:val="00882A1B"/>
    <w:rsid w:val="00882B43"/>
    <w:rsid w:val="00882F51"/>
    <w:rsid w:val="0088312C"/>
    <w:rsid w:val="008833D0"/>
    <w:rsid w:val="0088340A"/>
    <w:rsid w:val="00883563"/>
    <w:rsid w:val="00883626"/>
    <w:rsid w:val="00883F09"/>
    <w:rsid w:val="008840F6"/>
    <w:rsid w:val="008843B7"/>
    <w:rsid w:val="00884728"/>
    <w:rsid w:val="00884BC8"/>
    <w:rsid w:val="00884EEB"/>
    <w:rsid w:val="00885028"/>
    <w:rsid w:val="00885131"/>
    <w:rsid w:val="0088516C"/>
    <w:rsid w:val="0088516D"/>
    <w:rsid w:val="008852B8"/>
    <w:rsid w:val="00885446"/>
    <w:rsid w:val="00885AD1"/>
    <w:rsid w:val="00885AD4"/>
    <w:rsid w:val="00885E28"/>
    <w:rsid w:val="00885FEF"/>
    <w:rsid w:val="0088608B"/>
    <w:rsid w:val="0088613A"/>
    <w:rsid w:val="0088627B"/>
    <w:rsid w:val="00886408"/>
    <w:rsid w:val="0088660E"/>
    <w:rsid w:val="008868CA"/>
    <w:rsid w:val="00886E6F"/>
    <w:rsid w:val="00886FE3"/>
    <w:rsid w:val="008872E1"/>
    <w:rsid w:val="008875C3"/>
    <w:rsid w:val="008876D6"/>
    <w:rsid w:val="008877FE"/>
    <w:rsid w:val="00887803"/>
    <w:rsid w:val="00887913"/>
    <w:rsid w:val="00887DEA"/>
    <w:rsid w:val="00887F88"/>
    <w:rsid w:val="008901EC"/>
    <w:rsid w:val="0089041C"/>
    <w:rsid w:val="00890431"/>
    <w:rsid w:val="008904C1"/>
    <w:rsid w:val="0089091A"/>
    <w:rsid w:val="00890C8F"/>
    <w:rsid w:val="00890DB6"/>
    <w:rsid w:val="00890F7A"/>
    <w:rsid w:val="0089101F"/>
    <w:rsid w:val="0089153D"/>
    <w:rsid w:val="00891A1A"/>
    <w:rsid w:val="00891B4C"/>
    <w:rsid w:val="00891B74"/>
    <w:rsid w:val="00891C9B"/>
    <w:rsid w:val="008921B6"/>
    <w:rsid w:val="008921CA"/>
    <w:rsid w:val="0089221B"/>
    <w:rsid w:val="0089247B"/>
    <w:rsid w:val="00892B40"/>
    <w:rsid w:val="00892D52"/>
    <w:rsid w:val="00892F30"/>
    <w:rsid w:val="008930B3"/>
    <w:rsid w:val="00893365"/>
    <w:rsid w:val="008933F8"/>
    <w:rsid w:val="008934F9"/>
    <w:rsid w:val="0089384D"/>
    <w:rsid w:val="00893D1E"/>
    <w:rsid w:val="00893EFB"/>
    <w:rsid w:val="00893F41"/>
    <w:rsid w:val="00894044"/>
    <w:rsid w:val="008941CE"/>
    <w:rsid w:val="00894513"/>
    <w:rsid w:val="0089455E"/>
    <w:rsid w:val="00894689"/>
    <w:rsid w:val="0089469B"/>
    <w:rsid w:val="00894899"/>
    <w:rsid w:val="0089495D"/>
    <w:rsid w:val="00894C0E"/>
    <w:rsid w:val="00894DB3"/>
    <w:rsid w:val="008953B6"/>
    <w:rsid w:val="008953C5"/>
    <w:rsid w:val="00895494"/>
    <w:rsid w:val="008958C9"/>
    <w:rsid w:val="00895A45"/>
    <w:rsid w:val="00895B9B"/>
    <w:rsid w:val="00895CCA"/>
    <w:rsid w:val="00895F6E"/>
    <w:rsid w:val="00896080"/>
    <w:rsid w:val="008961AE"/>
    <w:rsid w:val="0089670E"/>
    <w:rsid w:val="00896ABC"/>
    <w:rsid w:val="00896C32"/>
    <w:rsid w:val="00896DB8"/>
    <w:rsid w:val="00897057"/>
    <w:rsid w:val="00897099"/>
    <w:rsid w:val="008972DF"/>
    <w:rsid w:val="0089731D"/>
    <w:rsid w:val="00897418"/>
    <w:rsid w:val="00897961"/>
    <w:rsid w:val="00897C67"/>
    <w:rsid w:val="00897D57"/>
    <w:rsid w:val="00897DCF"/>
    <w:rsid w:val="00897E6E"/>
    <w:rsid w:val="00897FBE"/>
    <w:rsid w:val="008A0342"/>
    <w:rsid w:val="008A04E6"/>
    <w:rsid w:val="008A0504"/>
    <w:rsid w:val="008A06D0"/>
    <w:rsid w:val="008A0CEE"/>
    <w:rsid w:val="008A1126"/>
    <w:rsid w:val="008A12F5"/>
    <w:rsid w:val="008A134F"/>
    <w:rsid w:val="008A13B5"/>
    <w:rsid w:val="008A19BB"/>
    <w:rsid w:val="008A1A61"/>
    <w:rsid w:val="008A1B14"/>
    <w:rsid w:val="008A1B94"/>
    <w:rsid w:val="008A1F06"/>
    <w:rsid w:val="008A212E"/>
    <w:rsid w:val="008A22E8"/>
    <w:rsid w:val="008A262C"/>
    <w:rsid w:val="008A266C"/>
    <w:rsid w:val="008A2741"/>
    <w:rsid w:val="008A2795"/>
    <w:rsid w:val="008A27EC"/>
    <w:rsid w:val="008A2BFB"/>
    <w:rsid w:val="008A3054"/>
    <w:rsid w:val="008A30B4"/>
    <w:rsid w:val="008A3426"/>
    <w:rsid w:val="008A35C6"/>
    <w:rsid w:val="008A3680"/>
    <w:rsid w:val="008A3702"/>
    <w:rsid w:val="008A373A"/>
    <w:rsid w:val="008A3A09"/>
    <w:rsid w:val="008A3F45"/>
    <w:rsid w:val="008A41FC"/>
    <w:rsid w:val="008A45F5"/>
    <w:rsid w:val="008A4970"/>
    <w:rsid w:val="008A49C8"/>
    <w:rsid w:val="008A4D17"/>
    <w:rsid w:val="008A50B4"/>
    <w:rsid w:val="008A51E5"/>
    <w:rsid w:val="008A5295"/>
    <w:rsid w:val="008A536F"/>
    <w:rsid w:val="008A544F"/>
    <w:rsid w:val="008A5470"/>
    <w:rsid w:val="008A557A"/>
    <w:rsid w:val="008A58D8"/>
    <w:rsid w:val="008A59E5"/>
    <w:rsid w:val="008A5AA8"/>
    <w:rsid w:val="008A66F8"/>
    <w:rsid w:val="008A67F6"/>
    <w:rsid w:val="008A6BDB"/>
    <w:rsid w:val="008A6BE8"/>
    <w:rsid w:val="008A72B7"/>
    <w:rsid w:val="008A7358"/>
    <w:rsid w:val="008A755D"/>
    <w:rsid w:val="008A7822"/>
    <w:rsid w:val="008A7AE3"/>
    <w:rsid w:val="008A7AFB"/>
    <w:rsid w:val="008A7F28"/>
    <w:rsid w:val="008B00B8"/>
    <w:rsid w:val="008B01EC"/>
    <w:rsid w:val="008B02B3"/>
    <w:rsid w:val="008B0303"/>
    <w:rsid w:val="008B03B1"/>
    <w:rsid w:val="008B0C5E"/>
    <w:rsid w:val="008B0DCB"/>
    <w:rsid w:val="008B100B"/>
    <w:rsid w:val="008B10F9"/>
    <w:rsid w:val="008B1218"/>
    <w:rsid w:val="008B12F5"/>
    <w:rsid w:val="008B1491"/>
    <w:rsid w:val="008B16C5"/>
    <w:rsid w:val="008B1968"/>
    <w:rsid w:val="008B1AE1"/>
    <w:rsid w:val="008B1DCC"/>
    <w:rsid w:val="008B1FFF"/>
    <w:rsid w:val="008B2142"/>
    <w:rsid w:val="008B23AA"/>
    <w:rsid w:val="008B2AA1"/>
    <w:rsid w:val="008B2B3E"/>
    <w:rsid w:val="008B2DFC"/>
    <w:rsid w:val="008B2F81"/>
    <w:rsid w:val="008B3024"/>
    <w:rsid w:val="008B31C7"/>
    <w:rsid w:val="008B3486"/>
    <w:rsid w:val="008B3552"/>
    <w:rsid w:val="008B3599"/>
    <w:rsid w:val="008B372B"/>
    <w:rsid w:val="008B3813"/>
    <w:rsid w:val="008B3901"/>
    <w:rsid w:val="008B3934"/>
    <w:rsid w:val="008B3A7D"/>
    <w:rsid w:val="008B3D47"/>
    <w:rsid w:val="008B400C"/>
    <w:rsid w:val="008B4166"/>
    <w:rsid w:val="008B4572"/>
    <w:rsid w:val="008B4791"/>
    <w:rsid w:val="008B4DD5"/>
    <w:rsid w:val="008B4EA3"/>
    <w:rsid w:val="008B4F4A"/>
    <w:rsid w:val="008B4FCB"/>
    <w:rsid w:val="008B500B"/>
    <w:rsid w:val="008B5061"/>
    <w:rsid w:val="008B5191"/>
    <w:rsid w:val="008B51A5"/>
    <w:rsid w:val="008B5614"/>
    <w:rsid w:val="008B5798"/>
    <w:rsid w:val="008B6428"/>
    <w:rsid w:val="008B64DE"/>
    <w:rsid w:val="008B662F"/>
    <w:rsid w:val="008B66C5"/>
    <w:rsid w:val="008B6A4D"/>
    <w:rsid w:val="008B6DD0"/>
    <w:rsid w:val="008B6E4E"/>
    <w:rsid w:val="008B6F31"/>
    <w:rsid w:val="008B6F6D"/>
    <w:rsid w:val="008B70E6"/>
    <w:rsid w:val="008B72C9"/>
    <w:rsid w:val="008B72EB"/>
    <w:rsid w:val="008B732D"/>
    <w:rsid w:val="008B7339"/>
    <w:rsid w:val="008B7421"/>
    <w:rsid w:val="008B7732"/>
    <w:rsid w:val="008B7745"/>
    <w:rsid w:val="008B7C30"/>
    <w:rsid w:val="008B7D10"/>
    <w:rsid w:val="008C05A9"/>
    <w:rsid w:val="008C09E6"/>
    <w:rsid w:val="008C0A27"/>
    <w:rsid w:val="008C0B42"/>
    <w:rsid w:val="008C0BCD"/>
    <w:rsid w:val="008C0C9F"/>
    <w:rsid w:val="008C0D66"/>
    <w:rsid w:val="008C0DE2"/>
    <w:rsid w:val="008C0DEE"/>
    <w:rsid w:val="008C0E44"/>
    <w:rsid w:val="008C1032"/>
    <w:rsid w:val="008C12D7"/>
    <w:rsid w:val="008C1376"/>
    <w:rsid w:val="008C167D"/>
    <w:rsid w:val="008C1A0C"/>
    <w:rsid w:val="008C1DE9"/>
    <w:rsid w:val="008C22E4"/>
    <w:rsid w:val="008C2364"/>
    <w:rsid w:val="008C23C6"/>
    <w:rsid w:val="008C23F5"/>
    <w:rsid w:val="008C256A"/>
    <w:rsid w:val="008C2652"/>
    <w:rsid w:val="008C2BE5"/>
    <w:rsid w:val="008C35F6"/>
    <w:rsid w:val="008C3890"/>
    <w:rsid w:val="008C409D"/>
    <w:rsid w:val="008C4280"/>
    <w:rsid w:val="008C439F"/>
    <w:rsid w:val="008C45F5"/>
    <w:rsid w:val="008C4773"/>
    <w:rsid w:val="008C4807"/>
    <w:rsid w:val="008C48F0"/>
    <w:rsid w:val="008C4AC5"/>
    <w:rsid w:val="008C4C47"/>
    <w:rsid w:val="008C4CBF"/>
    <w:rsid w:val="008C4E4C"/>
    <w:rsid w:val="008C4F53"/>
    <w:rsid w:val="008C506B"/>
    <w:rsid w:val="008C51EE"/>
    <w:rsid w:val="008C57DA"/>
    <w:rsid w:val="008C58AB"/>
    <w:rsid w:val="008C595D"/>
    <w:rsid w:val="008C6097"/>
    <w:rsid w:val="008C6312"/>
    <w:rsid w:val="008C663D"/>
    <w:rsid w:val="008C67D1"/>
    <w:rsid w:val="008C68E3"/>
    <w:rsid w:val="008C6A4E"/>
    <w:rsid w:val="008C6AEA"/>
    <w:rsid w:val="008C6CB0"/>
    <w:rsid w:val="008C6CB5"/>
    <w:rsid w:val="008C6D78"/>
    <w:rsid w:val="008C6E11"/>
    <w:rsid w:val="008C6ED6"/>
    <w:rsid w:val="008C6F08"/>
    <w:rsid w:val="008C70D7"/>
    <w:rsid w:val="008C7223"/>
    <w:rsid w:val="008C73F7"/>
    <w:rsid w:val="008C7678"/>
    <w:rsid w:val="008C7683"/>
    <w:rsid w:val="008C7746"/>
    <w:rsid w:val="008C7B31"/>
    <w:rsid w:val="008C7F84"/>
    <w:rsid w:val="008D0010"/>
    <w:rsid w:val="008D00B6"/>
    <w:rsid w:val="008D05F7"/>
    <w:rsid w:val="008D06CA"/>
    <w:rsid w:val="008D0A7F"/>
    <w:rsid w:val="008D0D70"/>
    <w:rsid w:val="008D0DDB"/>
    <w:rsid w:val="008D125F"/>
    <w:rsid w:val="008D144E"/>
    <w:rsid w:val="008D14A1"/>
    <w:rsid w:val="008D1500"/>
    <w:rsid w:val="008D1658"/>
    <w:rsid w:val="008D17F7"/>
    <w:rsid w:val="008D1CF1"/>
    <w:rsid w:val="008D211D"/>
    <w:rsid w:val="008D21FF"/>
    <w:rsid w:val="008D2251"/>
    <w:rsid w:val="008D2285"/>
    <w:rsid w:val="008D243A"/>
    <w:rsid w:val="008D2909"/>
    <w:rsid w:val="008D2A3A"/>
    <w:rsid w:val="008D2A74"/>
    <w:rsid w:val="008D2AD3"/>
    <w:rsid w:val="008D2FED"/>
    <w:rsid w:val="008D30B1"/>
    <w:rsid w:val="008D3215"/>
    <w:rsid w:val="008D333E"/>
    <w:rsid w:val="008D39B1"/>
    <w:rsid w:val="008D3AF7"/>
    <w:rsid w:val="008D3B30"/>
    <w:rsid w:val="008D3D10"/>
    <w:rsid w:val="008D3D86"/>
    <w:rsid w:val="008D3F7B"/>
    <w:rsid w:val="008D405B"/>
    <w:rsid w:val="008D405C"/>
    <w:rsid w:val="008D4078"/>
    <w:rsid w:val="008D4692"/>
    <w:rsid w:val="008D477A"/>
    <w:rsid w:val="008D47CD"/>
    <w:rsid w:val="008D4816"/>
    <w:rsid w:val="008D489A"/>
    <w:rsid w:val="008D4E27"/>
    <w:rsid w:val="008D4E30"/>
    <w:rsid w:val="008D50DA"/>
    <w:rsid w:val="008D51E5"/>
    <w:rsid w:val="008D5244"/>
    <w:rsid w:val="008D564E"/>
    <w:rsid w:val="008D5967"/>
    <w:rsid w:val="008D5972"/>
    <w:rsid w:val="008D5A2A"/>
    <w:rsid w:val="008D5BD4"/>
    <w:rsid w:val="008D5C41"/>
    <w:rsid w:val="008D5E22"/>
    <w:rsid w:val="008D60C9"/>
    <w:rsid w:val="008D642F"/>
    <w:rsid w:val="008D680B"/>
    <w:rsid w:val="008D6AFA"/>
    <w:rsid w:val="008D6B23"/>
    <w:rsid w:val="008D6B5F"/>
    <w:rsid w:val="008D6BAC"/>
    <w:rsid w:val="008D6D1B"/>
    <w:rsid w:val="008D7190"/>
    <w:rsid w:val="008D754F"/>
    <w:rsid w:val="008D76ED"/>
    <w:rsid w:val="008D7936"/>
    <w:rsid w:val="008D7C68"/>
    <w:rsid w:val="008E0086"/>
    <w:rsid w:val="008E01A9"/>
    <w:rsid w:val="008E060A"/>
    <w:rsid w:val="008E06F1"/>
    <w:rsid w:val="008E07AB"/>
    <w:rsid w:val="008E0BEB"/>
    <w:rsid w:val="008E0E3F"/>
    <w:rsid w:val="008E12D3"/>
    <w:rsid w:val="008E14E1"/>
    <w:rsid w:val="008E1788"/>
    <w:rsid w:val="008E195D"/>
    <w:rsid w:val="008E206D"/>
    <w:rsid w:val="008E2303"/>
    <w:rsid w:val="008E24B5"/>
    <w:rsid w:val="008E26D6"/>
    <w:rsid w:val="008E27D4"/>
    <w:rsid w:val="008E28A6"/>
    <w:rsid w:val="008E2972"/>
    <w:rsid w:val="008E2BFC"/>
    <w:rsid w:val="008E34D0"/>
    <w:rsid w:val="008E3554"/>
    <w:rsid w:val="008E355B"/>
    <w:rsid w:val="008E36BF"/>
    <w:rsid w:val="008E3819"/>
    <w:rsid w:val="008E3843"/>
    <w:rsid w:val="008E3E9F"/>
    <w:rsid w:val="008E401F"/>
    <w:rsid w:val="008E415F"/>
    <w:rsid w:val="008E45CB"/>
    <w:rsid w:val="008E49AC"/>
    <w:rsid w:val="008E4DB8"/>
    <w:rsid w:val="008E502A"/>
    <w:rsid w:val="008E5185"/>
    <w:rsid w:val="008E528D"/>
    <w:rsid w:val="008E5689"/>
    <w:rsid w:val="008E56BB"/>
    <w:rsid w:val="008E571B"/>
    <w:rsid w:val="008E5770"/>
    <w:rsid w:val="008E57EC"/>
    <w:rsid w:val="008E5D24"/>
    <w:rsid w:val="008E682E"/>
    <w:rsid w:val="008E69FC"/>
    <w:rsid w:val="008E6F59"/>
    <w:rsid w:val="008E6FA6"/>
    <w:rsid w:val="008E715F"/>
    <w:rsid w:val="008E75FF"/>
    <w:rsid w:val="008E76F4"/>
    <w:rsid w:val="008E7960"/>
    <w:rsid w:val="008E7D47"/>
    <w:rsid w:val="008E7F13"/>
    <w:rsid w:val="008F0105"/>
    <w:rsid w:val="008F03C4"/>
    <w:rsid w:val="008F08D5"/>
    <w:rsid w:val="008F08F9"/>
    <w:rsid w:val="008F0AED"/>
    <w:rsid w:val="008F0D00"/>
    <w:rsid w:val="008F1160"/>
    <w:rsid w:val="008F1286"/>
    <w:rsid w:val="008F1683"/>
    <w:rsid w:val="008F1723"/>
    <w:rsid w:val="008F1F42"/>
    <w:rsid w:val="008F1F82"/>
    <w:rsid w:val="008F20A0"/>
    <w:rsid w:val="008F22C9"/>
    <w:rsid w:val="008F243E"/>
    <w:rsid w:val="008F24C8"/>
    <w:rsid w:val="008F251C"/>
    <w:rsid w:val="008F254D"/>
    <w:rsid w:val="008F28C6"/>
    <w:rsid w:val="008F2974"/>
    <w:rsid w:val="008F2A42"/>
    <w:rsid w:val="008F2C7C"/>
    <w:rsid w:val="008F2CFD"/>
    <w:rsid w:val="008F2F49"/>
    <w:rsid w:val="008F33A7"/>
    <w:rsid w:val="008F3529"/>
    <w:rsid w:val="008F3854"/>
    <w:rsid w:val="008F396A"/>
    <w:rsid w:val="008F3A21"/>
    <w:rsid w:val="008F3B3F"/>
    <w:rsid w:val="008F3BEA"/>
    <w:rsid w:val="008F4141"/>
    <w:rsid w:val="008F444A"/>
    <w:rsid w:val="008F4549"/>
    <w:rsid w:val="008F4660"/>
    <w:rsid w:val="008F4A61"/>
    <w:rsid w:val="008F4A6B"/>
    <w:rsid w:val="008F4BB2"/>
    <w:rsid w:val="008F4D83"/>
    <w:rsid w:val="008F5065"/>
    <w:rsid w:val="008F52D1"/>
    <w:rsid w:val="008F572A"/>
    <w:rsid w:val="008F5959"/>
    <w:rsid w:val="008F5A9B"/>
    <w:rsid w:val="008F6477"/>
    <w:rsid w:val="008F64EB"/>
    <w:rsid w:val="008F6543"/>
    <w:rsid w:val="008F6738"/>
    <w:rsid w:val="008F69D5"/>
    <w:rsid w:val="008F6BCC"/>
    <w:rsid w:val="008F6C73"/>
    <w:rsid w:val="008F6EB2"/>
    <w:rsid w:val="008F6FD8"/>
    <w:rsid w:val="008F715C"/>
    <w:rsid w:val="008F7206"/>
    <w:rsid w:val="008F72F8"/>
    <w:rsid w:val="008F74F8"/>
    <w:rsid w:val="008F7D08"/>
    <w:rsid w:val="008F7F04"/>
    <w:rsid w:val="0090010A"/>
    <w:rsid w:val="0090046D"/>
    <w:rsid w:val="009007B2"/>
    <w:rsid w:val="00900AF0"/>
    <w:rsid w:val="00900B12"/>
    <w:rsid w:val="00900E23"/>
    <w:rsid w:val="009013C9"/>
    <w:rsid w:val="009016DD"/>
    <w:rsid w:val="009018AE"/>
    <w:rsid w:val="00901BCE"/>
    <w:rsid w:val="009021EC"/>
    <w:rsid w:val="00902323"/>
    <w:rsid w:val="00902539"/>
    <w:rsid w:val="00902892"/>
    <w:rsid w:val="00902CA8"/>
    <w:rsid w:val="00902E38"/>
    <w:rsid w:val="00902F46"/>
    <w:rsid w:val="00903009"/>
    <w:rsid w:val="009030B7"/>
    <w:rsid w:val="00903110"/>
    <w:rsid w:val="00903129"/>
    <w:rsid w:val="009031CB"/>
    <w:rsid w:val="0090324D"/>
    <w:rsid w:val="009032FD"/>
    <w:rsid w:val="00903340"/>
    <w:rsid w:val="009035EE"/>
    <w:rsid w:val="00903951"/>
    <w:rsid w:val="00903998"/>
    <w:rsid w:val="00903A36"/>
    <w:rsid w:val="00903B5C"/>
    <w:rsid w:val="00903CF2"/>
    <w:rsid w:val="00903D80"/>
    <w:rsid w:val="00903D98"/>
    <w:rsid w:val="00903FDF"/>
    <w:rsid w:val="0090422D"/>
    <w:rsid w:val="009043DB"/>
    <w:rsid w:val="0090442C"/>
    <w:rsid w:val="009047A4"/>
    <w:rsid w:val="00904868"/>
    <w:rsid w:val="00904A85"/>
    <w:rsid w:val="00904A8D"/>
    <w:rsid w:val="00904ABD"/>
    <w:rsid w:val="00904DF4"/>
    <w:rsid w:val="00904F08"/>
    <w:rsid w:val="009051F0"/>
    <w:rsid w:val="00905202"/>
    <w:rsid w:val="0090578F"/>
    <w:rsid w:val="00905994"/>
    <w:rsid w:val="00905A3E"/>
    <w:rsid w:val="00905C12"/>
    <w:rsid w:val="00905C82"/>
    <w:rsid w:val="00905CB0"/>
    <w:rsid w:val="009061F6"/>
    <w:rsid w:val="009065B3"/>
    <w:rsid w:val="009066FD"/>
    <w:rsid w:val="009069AB"/>
    <w:rsid w:val="00906F7B"/>
    <w:rsid w:val="00906FAE"/>
    <w:rsid w:val="009070DD"/>
    <w:rsid w:val="009071A1"/>
    <w:rsid w:val="009079D0"/>
    <w:rsid w:val="00907C77"/>
    <w:rsid w:val="00907D47"/>
    <w:rsid w:val="00907D65"/>
    <w:rsid w:val="00907EF2"/>
    <w:rsid w:val="00910065"/>
    <w:rsid w:val="00910376"/>
    <w:rsid w:val="009104B4"/>
    <w:rsid w:val="00910F33"/>
    <w:rsid w:val="009112B3"/>
    <w:rsid w:val="009112F5"/>
    <w:rsid w:val="00911776"/>
    <w:rsid w:val="009118D1"/>
    <w:rsid w:val="009118D5"/>
    <w:rsid w:val="00911A57"/>
    <w:rsid w:val="00911B62"/>
    <w:rsid w:val="00911BF5"/>
    <w:rsid w:val="00911C6D"/>
    <w:rsid w:val="00911E31"/>
    <w:rsid w:val="00911F01"/>
    <w:rsid w:val="00912153"/>
    <w:rsid w:val="0091233C"/>
    <w:rsid w:val="00912395"/>
    <w:rsid w:val="00912432"/>
    <w:rsid w:val="0091243E"/>
    <w:rsid w:val="0091288F"/>
    <w:rsid w:val="00912899"/>
    <w:rsid w:val="00912A40"/>
    <w:rsid w:val="00912E21"/>
    <w:rsid w:val="00912E80"/>
    <w:rsid w:val="0091307D"/>
    <w:rsid w:val="00913179"/>
    <w:rsid w:val="009131E5"/>
    <w:rsid w:val="009134AC"/>
    <w:rsid w:val="009138B9"/>
    <w:rsid w:val="00913927"/>
    <w:rsid w:val="00913C34"/>
    <w:rsid w:val="00913CB0"/>
    <w:rsid w:val="00913E57"/>
    <w:rsid w:val="009141EA"/>
    <w:rsid w:val="00914216"/>
    <w:rsid w:val="009142DC"/>
    <w:rsid w:val="00914560"/>
    <w:rsid w:val="0091478B"/>
    <w:rsid w:val="00914ABE"/>
    <w:rsid w:val="00914B09"/>
    <w:rsid w:val="00914B61"/>
    <w:rsid w:val="00915330"/>
    <w:rsid w:val="0091568A"/>
    <w:rsid w:val="00915794"/>
    <w:rsid w:val="009158F4"/>
    <w:rsid w:val="00915E15"/>
    <w:rsid w:val="00915E33"/>
    <w:rsid w:val="00916111"/>
    <w:rsid w:val="0091618F"/>
    <w:rsid w:val="00916837"/>
    <w:rsid w:val="00916C4F"/>
    <w:rsid w:val="00916C68"/>
    <w:rsid w:val="00916F82"/>
    <w:rsid w:val="009173FB"/>
    <w:rsid w:val="00917471"/>
    <w:rsid w:val="00917643"/>
    <w:rsid w:val="00917EAB"/>
    <w:rsid w:val="00917F7F"/>
    <w:rsid w:val="00920035"/>
    <w:rsid w:val="00920455"/>
    <w:rsid w:val="00920800"/>
    <w:rsid w:val="009208A6"/>
    <w:rsid w:val="009210B8"/>
    <w:rsid w:val="009211A5"/>
    <w:rsid w:val="009212B3"/>
    <w:rsid w:val="00921454"/>
    <w:rsid w:val="0092157E"/>
    <w:rsid w:val="00921697"/>
    <w:rsid w:val="009216FD"/>
    <w:rsid w:val="00921850"/>
    <w:rsid w:val="00921964"/>
    <w:rsid w:val="0092198D"/>
    <w:rsid w:val="00921C60"/>
    <w:rsid w:val="00921FCA"/>
    <w:rsid w:val="0092211C"/>
    <w:rsid w:val="009226E2"/>
    <w:rsid w:val="00922858"/>
    <w:rsid w:val="00922EC3"/>
    <w:rsid w:val="009231F9"/>
    <w:rsid w:val="009232D2"/>
    <w:rsid w:val="00923384"/>
    <w:rsid w:val="0092338A"/>
    <w:rsid w:val="00923F7F"/>
    <w:rsid w:val="009242D8"/>
    <w:rsid w:val="009243F3"/>
    <w:rsid w:val="009244FC"/>
    <w:rsid w:val="00924958"/>
    <w:rsid w:val="00924AD1"/>
    <w:rsid w:val="00924D22"/>
    <w:rsid w:val="00924DDA"/>
    <w:rsid w:val="00924E4F"/>
    <w:rsid w:val="00924EB6"/>
    <w:rsid w:val="00925131"/>
    <w:rsid w:val="0092535F"/>
    <w:rsid w:val="0092567F"/>
    <w:rsid w:val="00925B34"/>
    <w:rsid w:val="00925BBA"/>
    <w:rsid w:val="00925BC3"/>
    <w:rsid w:val="00925C7C"/>
    <w:rsid w:val="00925CA2"/>
    <w:rsid w:val="00925DB3"/>
    <w:rsid w:val="009260E2"/>
    <w:rsid w:val="0092621D"/>
    <w:rsid w:val="009262A9"/>
    <w:rsid w:val="009263A5"/>
    <w:rsid w:val="00926723"/>
    <w:rsid w:val="00926B35"/>
    <w:rsid w:val="00926C24"/>
    <w:rsid w:val="00926EA0"/>
    <w:rsid w:val="00926F47"/>
    <w:rsid w:val="009270B4"/>
    <w:rsid w:val="009270F6"/>
    <w:rsid w:val="00927308"/>
    <w:rsid w:val="00927363"/>
    <w:rsid w:val="0092738E"/>
    <w:rsid w:val="009273C1"/>
    <w:rsid w:val="00927518"/>
    <w:rsid w:val="0092762C"/>
    <w:rsid w:val="0092776E"/>
    <w:rsid w:val="0092778F"/>
    <w:rsid w:val="009279F2"/>
    <w:rsid w:val="00927D74"/>
    <w:rsid w:val="00927F48"/>
    <w:rsid w:val="0093007C"/>
    <w:rsid w:val="00930432"/>
    <w:rsid w:val="00930566"/>
    <w:rsid w:val="009305AD"/>
    <w:rsid w:val="0093089B"/>
    <w:rsid w:val="00930A44"/>
    <w:rsid w:val="00930E1F"/>
    <w:rsid w:val="00930E8D"/>
    <w:rsid w:val="00931117"/>
    <w:rsid w:val="00931612"/>
    <w:rsid w:val="009317A5"/>
    <w:rsid w:val="00931B7B"/>
    <w:rsid w:val="00931C9F"/>
    <w:rsid w:val="009322B8"/>
    <w:rsid w:val="00932357"/>
    <w:rsid w:val="00932579"/>
    <w:rsid w:val="00932643"/>
    <w:rsid w:val="009327B5"/>
    <w:rsid w:val="00932873"/>
    <w:rsid w:val="00932BB5"/>
    <w:rsid w:val="00932D8E"/>
    <w:rsid w:val="00932EF1"/>
    <w:rsid w:val="009335EC"/>
    <w:rsid w:val="009338B1"/>
    <w:rsid w:val="009338F5"/>
    <w:rsid w:val="009339D4"/>
    <w:rsid w:val="009340A9"/>
    <w:rsid w:val="00934591"/>
    <w:rsid w:val="00934924"/>
    <w:rsid w:val="00934ACA"/>
    <w:rsid w:val="00934D6D"/>
    <w:rsid w:val="00934DAB"/>
    <w:rsid w:val="00934E68"/>
    <w:rsid w:val="00934FBC"/>
    <w:rsid w:val="00935078"/>
    <w:rsid w:val="009350E9"/>
    <w:rsid w:val="00935236"/>
    <w:rsid w:val="00935390"/>
    <w:rsid w:val="009353F2"/>
    <w:rsid w:val="0093555C"/>
    <w:rsid w:val="00935B3E"/>
    <w:rsid w:val="00935CA7"/>
    <w:rsid w:val="00935EC1"/>
    <w:rsid w:val="00936BB0"/>
    <w:rsid w:val="00936DB4"/>
    <w:rsid w:val="00936F2E"/>
    <w:rsid w:val="00937119"/>
    <w:rsid w:val="00937331"/>
    <w:rsid w:val="00937361"/>
    <w:rsid w:val="009374BB"/>
    <w:rsid w:val="009375A1"/>
    <w:rsid w:val="0093784E"/>
    <w:rsid w:val="00937B95"/>
    <w:rsid w:val="00937BEA"/>
    <w:rsid w:val="00937CCA"/>
    <w:rsid w:val="00937D68"/>
    <w:rsid w:val="00937F64"/>
    <w:rsid w:val="0094006E"/>
    <w:rsid w:val="009404AB"/>
    <w:rsid w:val="00940C06"/>
    <w:rsid w:val="00940DFA"/>
    <w:rsid w:val="00940EA5"/>
    <w:rsid w:val="00940F92"/>
    <w:rsid w:val="00941024"/>
    <w:rsid w:val="0094158B"/>
    <w:rsid w:val="009420B1"/>
    <w:rsid w:val="00942318"/>
    <w:rsid w:val="009423BE"/>
    <w:rsid w:val="009426FD"/>
    <w:rsid w:val="00942758"/>
    <w:rsid w:val="00942822"/>
    <w:rsid w:val="00942958"/>
    <w:rsid w:val="009429A2"/>
    <w:rsid w:val="00942C2F"/>
    <w:rsid w:val="009435E6"/>
    <w:rsid w:val="00943895"/>
    <w:rsid w:val="00943A5F"/>
    <w:rsid w:val="00943B41"/>
    <w:rsid w:val="00943BB9"/>
    <w:rsid w:val="00943C50"/>
    <w:rsid w:val="00943D4E"/>
    <w:rsid w:val="00943F43"/>
    <w:rsid w:val="00943F44"/>
    <w:rsid w:val="00944169"/>
    <w:rsid w:val="0094440D"/>
    <w:rsid w:val="00944608"/>
    <w:rsid w:val="009448CA"/>
    <w:rsid w:val="00944B34"/>
    <w:rsid w:val="00944C3C"/>
    <w:rsid w:val="00944F99"/>
    <w:rsid w:val="00945020"/>
    <w:rsid w:val="009450F8"/>
    <w:rsid w:val="009452B0"/>
    <w:rsid w:val="009452FA"/>
    <w:rsid w:val="009453BF"/>
    <w:rsid w:val="00945A8C"/>
    <w:rsid w:val="00945B2D"/>
    <w:rsid w:val="00945F33"/>
    <w:rsid w:val="00946153"/>
    <w:rsid w:val="0094617B"/>
    <w:rsid w:val="00946373"/>
    <w:rsid w:val="009464A9"/>
    <w:rsid w:val="00946521"/>
    <w:rsid w:val="0094688D"/>
    <w:rsid w:val="00946D26"/>
    <w:rsid w:val="00946F4E"/>
    <w:rsid w:val="00947185"/>
    <w:rsid w:val="009471A6"/>
    <w:rsid w:val="00947305"/>
    <w:rsid w:val="009473F3"/>
    <w:rsid w:val="00947505"/>
    <w:rsid w:val="00947A5C"/>
    <w:rsid w:val="00947CA7"/>
    <w:rsid w:val="00947CCE"/>
    <w:rsid w:val="00950137"/>
    <w:rsid w:val="009501AA"/>
    <w:rsid w:val="00950340"/>
    <w:rsid w:val="009505C2"/>
    <w:rsid w:val="009505E9"/>
    <w:rsid w:val="009506D3"/>
    <w:rsid w:val="00950A64"/>
    <w:rsid w:val="00950C12"/>
    <w:rsid w:val="00950C2C"/>
    <w:rsid w:val="00950EC3"/>
    <w:rsid w:val="00951127"/>
    <w:rsid w:val="00951230"/>
    <w:rsid w:val="009512E2"/>
    <w:rsid w:val="00951494"/>
    <w:rsid w:val="0095150C"/>
    <w:rsid w:val="0095165E"/>
    <w:rsid w:val="009518C4"/>
    <w:rsid w:val="00951993"/>
    <w:rsid w:val="00951BAF"/>
    <w:rsid w:val="00951C95"/>
    <w:rsid w:val="0095215C"/>
    <w:rsid w:val="00952160"/>
    <w:rsid w:val="009524DE"/>
    <w:rsid w:val="00952545"/>
    <w:rsid w:val="009525E0"/>
    <w:rsid w:val="009526B3"/>
    <w:rsid w:val="009529FC"/>
    <w:rsid w:val="00952E10"/>
    <w:rsid w:val="009530C1"/>
    <w:rsid w:val="00953286"/>
    <w:rsid w:val="009534D3"/>
    <w:rsid w:val="00953532"/>
    <w:rsid w:val="0095357A"/>
    <w:rsid w:val="00953600"/>
    <w:rsid w:val="00953733"/>
    <w:rsid w:val="009537BC"/>
    <w:rsid w:val="00953946"/>
    <w:rsid w:val="00953C93"/>
    <w:rsid w:val="00953CEF"/>
    <w:rsid w:val="00953F7B"/>
    <w:rsid w:val="00953F97"/>
    <w:rsid w:val="00954795"/>
    <w:rsid w:val="009548FB"/>
    <w:rsid w:val="009549C2"/>
    <w:rsid w:val="00954C36"/>
    <w:rsid w:val="00955250"/>
    <w:rsid w:val="0095561A"/>
    <w:rsid w:val="00955654"/>
    <w:rsid w:val="0095585C"/>
    <w:rsid w:val="00955A19"/>
    <w:rsid w:val="00955A54"/>
    <w:rsid w:val="00955B1C"/>
    <w:rsid w:val="00955BD0"/>
    <w:rsid w:val="00955BF8"/>
    <w:rsid w:val="00955DC2"/>
    <w:rsid w:val="009561D8"/>
    <w:rsid w:val="0095681C"/>
    <w:rsid w:val="009568EB"/>
    <w:rsid w:val="0095691F"/>
    <w:rsid w:val="00956957"/>
    <w:rsid w:val="00956B41"/>
    <w:rsid w:val="00957277"/>
    <w:rsid w:val="0095736E"/>
    <w:rsid w:val="0095745B"/>
    <w:rsid w:val="009575B0"/>
    <w:rsid w:val="0095796A"/>
    <w:rsid w:val="00957C9A"/>
    <w:rsid w:val="00957E89"/>
    <w:rsid w:val="00960451"/>
    <w:rsid w:val="009606D7"/>
    <w:rsid w:val="00960C5E"/>
    <w:rsid w:val="00960F95"/>
    <w:rsid w:val="009610EA"/>
    <w:rsid w:val="00961484"/>
    <w:rsid w:val="00961861"/>
    <w:rsid w:val="00961964"/>
    <w:rsid w:val="009619D2"/>
    <w:rsid w:val="00961D78"/>
    <w:rsid w:val="009620C9"/>
    <w:rsid w:val="009625C2"/>
    <w:rsid w:val="0096264B"/>
    <w:rsid w:val="0096265A"/>
    <w:rsid w:val="009626EC"/>
    <w:rsid w:val="00962744"/>
    <w:rsid w:val="00962A39"/>
    <w:rsid w:val="00962B94"/>
    <w:rsid w:val="00963070"/>
    <w:rsid w:val="009630BA"/>
    <w:rsid w:val="00963194"/>
    <w:rsid w:val="0096321B"/>
    <w:rsid w:val="0096330A"/>
    <w:rsid w:val="009633C3"/>
    <w:rsid w:val="0096363B"/>
    <w:rsid w:val="0096378A"/>
    <w:rsid w:val="0096378D"/>
    <w:rsid w:val="00963C35"/>
    <w:rsid w:val="00963C3B"/>
    <w:rsid w:val="00963E0E"/>
    <w:rsid w:val="0096414C"/>
    <w:rsid w:val="009643FF"/>
    <w:rsid w:val="00964BD1"/>
    <w:rsid w:val="00964D17"/>
    <w:rsid w:val="00964DC2"/>
    <w:rsid w:val="00964E63"/>
    <w:rsid w:val="00964F6D"/>
    <w:rsid w:val="009652DC"/>
    <w:rsid w:val="009656C4"/>
    <w:rsid w:val="0096584F"/>
    <w:rsid w:val="00965935"/>
    <w:rsid w:val="00965987"/>
    <w:rsid w:val="00965DAB"/>
    <w:rsid w:val="00966266"/>
    <w:rsid w:val="00966792"/>
    <w:rsid w:val="00966853"/>
    <w:rsid w:val="00966AAC"/>
    <w:rsid w:val="00966D70"/>
    <w:rsid w:val="00966E87"/>
    <w:rsid w:val="00967790"/>
    <w:rsid w:val="0096791D"/>
    <w:rsid w:val="0096791E"/>
    <w:rsid w:val="00967E9C"/>
    <w:rsid w:val="0097001A"/>
    <w:rsid w:val="0097054E"/>
    <w:rsid w:val="0097080A"/>
    <w:rsid w:val="00970A88"/>
    <w:rsid w:val="00970E97"/>
    <w:rsid w:val="009711C7"/>
    <w:rsid w:val="009714A5"/>
    <w:rsid w:val="009714C8"/>
    <w:rsid w:val="009714D1"/>
    <w:rsid w:val="009718EA"/>
    <w:rsid w:val="00971B6F"/>
    <w:rsid w:val="00971BE8"/>
    <w:rsid w:val="00971CB6"/>
    <w:rsid w:val="00971FB4"/>
    <w:rsid w:val="0097230D"/>
    <w:rsid w:val="009723E8"/>
    <w:rsid w:val="00972451"/>
    <w:rsid w:val="00972507"/>
    <w:rsid w:val="00972B10"/>
    <w:rsid w:val="00972B13"/>
    <w:rsid w:val="00972B73"/>
    <w:rsid w:val="00972B8B"/>
    <w:rsid w:val="0097303B"/>
    <w:rsid w:val="00973102"/>
    <w:rsid w:val="0097333D"/>
    <w:rsid w:val="009736BE"/>
    <w:rsid w:val="00973949"/>
    <w:rsid w:val="0097394F"/>
    <w:rsid w:val="00973A11"/>
    <w:rsid w:val="00973B85"/>
    <w:rsid w:val="00973BC1"/>
    <w:rsid w:val="00973DF2"/>
    <w:rsid w:val="00973ED7"/>
    <w:rsid w:val="009745A9"/>
    <w:rsid w:val="00974706"/>
    <w:rsid w:val="0097477B"/>
    <w:rsid w:val="00974D6E"/>
    <w:rsid w:val="00974DA4"/>
    <w:rsid w:val="00974F67"/>
    <w:rsid w:val="0097509E"/>
    <w:rsid w:val="009756C5"/>
    <w:rsid w:val="00975862"/>
    <w:rsid w:val="00975BCA"/>
    <w:rsid w:val="00975BD5"/>
    <w:rsid w:val="00975BDD"/>
    <w:rsid w:val="00975C27"/>
    <w:rsid w:val="00975F98"/>
    <w:rsid w:val="009763A2"/>
    <w:rsid w:val="0097644F"/>
    <w:rsid w:val="009764EC"/>
    <w:rsid w:val="0097679C"/>
    <w:rsid w:val="00976A37"/>
    <w:rsid w:val="00976AFA"/>
    <w:rsid w:val="00976D01"/>
    <w:rsid w:val="00976D88"/>
    <w:rsid w:val="00977078"/>
    <w:rsid w:val="00977172"/>
    <w:rsid w:val="00977310"/>
    <w:rsid w:val="00977396"/>
    <w:rsid w:val="00977481"/>
    <w:rsid w:val="00977728"/>
    <w:rsid w:val="00977AA4"/>
    <w:rsid w:val="00977E18"/>
    <w:rsid w:val="0098040B"/>
    <w:rsid w:val="009804EF"/>
    <w:rsid w:val="00980519"/>
    <w:rsid w:val="009807FA"/>
    <w:rsid w:val="00980A07"/>
    <w:rsid w:val="00980AEC"/>
    <w:rsid w:val="00980B07"/>
    <w:rsid w:val="00980C8C"/>
    <w:rsid w:val="00980CAE"/>
    <w:rsid w:val="00980CC0"/>
    <w:rsid w:val="009810B3"/>
    <w:rsid w:val="009813A8"/>
    <w:rsid w:val="0098167D"/>
    <w:rsid w:val="009817E2"/>
    <w:rsid w:val="00981A88"/>
    <w:rsid w:val="00981CD4"/>
    <w:rsid w:val="00981DFA"/>
    <w:rsid w:val="00981E36"/>
    <w:rsid w:val="0098251F"/>
    <w:rsid w:val="00982678"/>
    <w:rsid w:val="0098299C"/>
    <w:rsid w:val="00982C95"/>
    <w:rsid w:val="00982ECA"/>
    <w:rsid w:val="009830FF"/>
    <w:rsid w:val="00983491"/>
    <w:rsid w:val="00983788"/>
    <w:rsid w:val="009839AD"/>
    <w:rsid w:val="00984062"/>
    <w:rsid w:val="009847D1"/>
    <w:rsid w:val="009849B9"/>
    <w:rsid w:val="009849D1"/>
    <w:rsid w:val="00984B80"/>
    <w:rsid w:val="00984BAD"/>
    <w:rsid w:val="00984DAD"/>
    <w:rsid w:val="00984E4E"/>
    <w:rsid w:val="00984EB1"/>
    <w:rsid w:val="00984F27"/>
    <w:rsid w:val="0098590C"/>
    <w:rsid w:val="00985A77"/>
    <w:rsid w:val="00985B55"/>
    <w:rsid w:val="00985C52"/>
    <w:rsid w:val="00985C96"/>
    <w:rsid w:val="0098602C"/>
    <w:rsid w:val="0098609C"/>
    <w:rsid w:val="009861E4"/>
    <w:rsid w:val="00986271"/>
    <w:rsid w:val="009862FB"/>
    <w:rsid w:val="009863BD"/>
    <w:rsid w:val="0098657E"/>
    <w:rsid w:val="009866CD"/>
    <w:rsid w:val="0098678B"/>
    <w:rsid w:val="009867DD"/>
    <w:rsid w:val="00986990"/>
    <w:rsid w:val="00986A03"/>
    <w:rsid w:val="00986C1D"/>
    <w:rsid w:val="00986EA2"/>
    <w:rsid w:val="00986ECF"/>
    <w:rsid w:val="009872DD"/>
    <w:rsid w:val="00987407"/>
    <w:rsid w:val="009875BE"/>
    <w:rsid w:val="00987BCB"/>
    <w:rsid w:val="009901A0"/>
    <w:rsid w:val="00990449"/>
    <w:rsid w:val="00990528"/>
    <w:rsid w:val="00990654"/>
    <w:rsid w:val="009908EC"/>
    <w:rsid w:val="009908FC"/>
    <w:rsid w:val="00990A4B"/>
    <w:rsid w:val="00990A83"/>
    <w:rsid w:val="00990F3A"/>
    <w:rsid w:val="00990FAC"/>
    <w:rsid w:val="00990FF5"/>
    <w:rsid w:val="00991087"/>
    <w:rsid w:val="009913D9"/>
    <w:rsid w:val="00991461"/>
    <w:rsid w:val="00991734"/>
    <w:rsid w:val="0099176E"/>
    <w:rsid w:val="00991777"/>
    <w:rsid w:val="00991849"/>
    <w:rsid w:val="00991C0D"/>
    <w:rsid w:val="00991DB9"/>
    <w:rsid w:val="00991DC1"/>
    <w:rsid w:val="00991F79"/>
    <w:rsid w:val="0099242E"/>
    <w:rsid w:val="00992BDB"/>
    <w:rsid w:val="00993012"/>
    <w:rsid w:val="0099307A"/>
    <w:rsid w:val="009936B2"/>
    <w:rsid w:val="00993834"/>
    <w:rsid w:val="00993B7A"/>
    <w:rsid w:val="00993C7F"/>
    <w:rsid w:val="00993E0A"/>
    <w:rsid w:val="00993F77"/>
    <w:rsid w:val="009943A3"/>
    <w:rsid w:val="00994751"/>
    <w:rsid w:val="0099475B"/>
    <w:rsid w:val="00994860"/>
    <w:rsid w:val="00994C41"/>
    <w:rsid w:val="00995000"/>
    <w:rsid w:val="0099505C"/>
    <w:rsid w:val="009953C2"/>
    <w:rsid w:val="009955A9"/>
    <w:rsid w:val="00995737"/>
    <w:rsid w:val="00995875"/>
    <w:rsid w:val="0099594C"/>
    <w:rsid w:val="00995A0F"/>
    <w:rsid w:val="00995A74"/>
    <w:rsid w:val="00995BA2"/>
    <w:rsid w:val="00995CE5"/>
    <w:rsid w:val="00995D5E"/>
    <w:rsid w:val="00995DB9"/>
    <w:rsid w:val="00995DF1"/>
    <w:rsid w:val="00995E58"/>
    <w:rsid w:val="00996585"/>
    <w:rsid w:val="0099676C"/>
    <w:rsid w:val="00996A70"/>
    <w:rsid w:val="00996A7C"/>
    <w:rsid w:val="00996DF0"/>
    <w:rsid w:val="00996F9B"/>
    <w:rsid w:val="009970C1"/>
    <w:rsid w:val="009975C8"/>
    <w:rsid w:val="00997619"/>
    <w:rsid w:val="0099782F"/>
    <w:rsid w:val="00997C23"/>
    <w:rsid w:val="00997F2C"/>
    <w:rsid w:val="009A0707"/>
    <w:rsid w:val="009A0BB8"/>
    <w:rsid w:val="009A0E6F"/>
    <w:rsid w:val="009A0F39"/>
    <w:rsid w:val="009A1005"/>
    <w:rsid w:val="009A1153"/>
    <w:rsid w:val="009A117E"/>
    <w:rsid w:val="009A12D4"/>
    <w:rsid w:val="009A1CCF"/>
    <w:rsid w:val="009A1FB2"/>
    <w:rsid w:val="009A2984"/>
    <w:rsid w:val="009A2AC7"/>
    <w:rsid w:val="009A2C40"/>
    <w:rsid w:val="009A2CF9"/>
    <w:rsid w:val="009A3032"/>
    <w:rsid w:val="009A3115"/>
    <w:rsid w:val="009A3331"/>
    <w:rsid w:val="009A388A"/>
    <w:rsid w:val="009A3B3A"/>
    <w:rsid w:val="009A3C29"/>
    <w:rsid w:val="009A408D"/>
    <w:rsid w:val="009A40ED"/>
    <w:rsid w:val="009A4189"/>
    <w:rsid w:val="009A4251"/>
    <w:rsid w:val="009A42B2"/>
    <w:rsid w:val="009A44A0"/>
    <w:rsid w:val="009A46E2"/>
    <w:rsid w:val="009A4787"/>
    <w:rsid w:val="009A4813"/>
    <w:rsid w:val="009A4986"/>
    <w:rsid w:val="009A4F12"/>
    <w:rsid w:val="009A4F6F"/>
    <w:rsid w:val="009A5349"/>
    <w:rsid w:val="009A54A5"/>
    <w:rsid w:val="009A57EB"/>
    <w:rsid w:val="009A5BF8"/>
    <w:rsid w:val="009A5F8D"/>
    <w:rsid w:val="009A600F"/>
    <w:rsid w:val="009A6042"/>
    <w:rsid w:val="009A618E"/>
    <w:rsid w:val="009A61A4"/>
    <w:rsid w:val="009A6271"/>
    <w:rsid w:val="009A62D2"/>
    <w:rsid w:val="009A6489"/>
    <w:rsid w:val="009A654C"/>
    <w:rsid w:val="009A6BCD"/>
    <w:rsid w:val="009A6D3B"/>
    <w:rsid w:val="009A6DC8"/>
    <w:rsid w:val="009A6E15"/>
    <w:rsid w:val="009A7034"/>
    <w:rsid w:val="009A75B8"/>
    <w:rsid w:val="009A7605"/>
    <w:rsid w:val="009A7926"/>
    <w:rsid w:val="009A7A2F"/>
    <w:rsid w:val="009B00C9"/>
    <w:rsid w:val="009B00CB"/>
    <w:rsid w:val="009B0274"/>
    <w:rsid w:val="009B0436"/>
    <w:rsid w:val="009B0515"/>
    <w:rsid w:val="009B0575"/>
    <w:rsid w:val="009B0894"/>
    <w:rsid w:val="009B0996"/>
    <w:rsid w:val="009B09C8"/>
    <w:rsid w:val="009B0AA5"/>
    <w:rsid w:val="009B16B7"/>
    <w:rsid w:val="009B1AB2"/>
    <w:rsid w:val="009B1E6E"/>
    <w:rsid w:val="009B1EE5"/>
    <w:rsid w:val="009B1FA7"/>
    <w:rsid w:val="009B2025"/>
    <w:rsid w:val="009B22AE"/>
    <w:rsid w:val="009B2740"/>
    <w:rsid w:val="009B29E5"/>
    <w:rsid w:val="009B2B8B"/>
    <w:rsid w:val="009B2C85"/>
    <w:rsid w:val="009B2CEA"/>
    <w:rsid w:val="009B3223"/>
    <w:rsid w:val="009B32B1"/>
    <w:rsid w:val="009B356D"/>
    <w:rsid w:val="009B378D"/>
    <w:rsid w:val="009B3AFE"/>
    <w:rsid w:val="009B3F8A"/>
    <w:rsid w:val="009B401F"/>
    <w:rsid w:val="009B403E"/>
    <w:rsid w:val="009B4616"/>
    <w:rsid w:val="009B4A49"/>
    <w:rsid w:val="009B4D27"/>
    <w:rsid w:val="009B4DFF"/>
    <w:rsid w:val="009B505A"/>
    <w:rsid w:val="009B532B"/>
    <w:rsid w:val="009B535C"/>
    <w:rsid w:val="009B5618"/>
    <w:rsid w:val="009B59E2"/>
    <w:rsid w:val="009B5B6E"/>
    <w:rsid w:val="009B5CE4"/>
    <w:rsid w:val="009B5E80"/>
    <w:rsid w:val="009B6127"/>
    <w:rsid w:val="009B6258"/>
    <w:rsid w:val="009B680D"/>
    <w:rsid w:val="009B6C42"/>
    <w:rsid w:val="009B6D57"/>
    <w:rsid w:val="009B6E4D"/>
    <w:rsid w:val="009B746F"/>
    <w:rsid w:val="009B7522"/>
    <w:rsid w:val="009B757A"/>
    <w:rsid w:val="009B771F"/>
    <w:rsid w:val="009B7DF4"/>
    <w:rsid w:val="009C034B"/>
    <w:rsid w:val="009C0473"/>
    <w:rsid w:val="009C086B"/>
    <w:rsid w:val="009C0958"/>
    <w:rsid w:val="009C0A00"/>
    <w:rsid w:val="009C0AC4"/>
    <w:rsid w:val="009C0B9A"/>
    <w:rsid w:val="009C0EE4"/>
    <w:rsid w:val="009C0EEB"/>
    <w:rsid w:val="009C1541"/>
    <w:rsid w:val="009C16B1"/>
    <w:rsid w:val="009C16E2"/>
    <w:rsid w:val="009C175B"/>
    <w:rsid w:val="009C1793"/>
    <w:rsid w:val="009C1D08"/>
    <w:rsid w:val="009C1DAD"/>
    <w:rsid w:val="009C1F33"/>
    <w:rsid w:val="009C246B"/>
    <w:rsid w:val="009C2590"/>
    <w:rsid w:val="009C26A5"/>
    <w:rsid w:val="009C29BD"/>
    <w:rsid w:val="009C2C6B"/>
    <w:rsid w:val="009C30C6"/>
    <w:rsid w:val="009C37A5"/>
    <w:rsid w:val="009C3805"/>
    <w:rsid w:val="009C39D3"/>
    <w:rsid w:val="009C3B8B"/>
    <w:rsid w:val="009C3E17"/>
    <w:rsid w:val="009C3E18"/>
    <w:rsid w:val="009C40A5"/>
    <w:rsid w:val="009C464A"/>
    <w:rsid w:val="009C47A9"/>
    <w:rsid w:val="009C47E0"/>
    <w:rsid w:val="009C5082"/>
    <w:rsid w:val="009C51DE"/>
    <w:rsid w:val="009C5447"/>
    <w:rsid w:val="009C5635"/>
    <w:rsid w:val="009C5B54"/>
    <w:rsid w:val="009C5C7F"/>
    <w:rsid w:val="009C5CFD"/>
    <w:rsid w:val="009C5D91"/>
    <w:rsid w:val="009C5E90"/>
    <w:rsid w:val="009C609D"/>
    <w:rsid w:val="009C6125"/>
    <w:rsid w:val="009C6621"/>
    <w:rsid w:val="009C6742"/>
    <w:rsid w:val="009C698E"/>
    <w:rsid w:val="009C6A4D"/>
    <w:rsid w:val="009C6C4E"/>
    <w:rsid w:val="009C6DBB"/>
    <w:rsid w:val="009C6F42"/>
    <w:rsid w:val="009C7266"/>
    <w:rsid w:val="009C739A"/>
    <w:rsid w:val="009C7794"/>
    <w:rsid w:val="009C7B8A"/>
    <w:rsid w:val="009C7B9D"/>
    <w:rsid w:val="009C7CA5"/>
    <w:rsid w:val="009D0111"/>
    <w:rsid w:val="009D016E"/>
    <w:rsid w:val="009D03BD"/>
    <w:rsid w:val="009D03C5"/>
    <w:rsid w:val="009D0654"/>
    <w:rsid w:val="009D0BDF"/>
    <w:rsid w:val="009D0D94"/>
    <w:rsid w:val="009D0F50"/>
    <w:rsid w:val="009D0FDA"/>
    <w:rsid w:val="009D1009"/>
    <w:rsid w:val="009D15B9"/>
    <w:rsid w:val="009D16C4"/>
    <w:rsid w:val="009D1CB0"/>
    <w:rsid w:val="009D1CF5"/>
    <w:rsid w:val="009D20E9"/>
    <w:rsid w:val="009D2118"/>
    <w:rsid w:val="009D236D"/>
    <w:rsid w:val="009D2A01"/>
    <w:rsid w:val="009D2BE2"/>
    <w:rsid w:val="009D2C46"/>
    <w:rsid w:val="009D2EC6"/>
    <w:rsid w:val="009D3081"/>
    <w:rsid w:val="009D310F"/>
    <w:rsid w:val="009D3279"/>
    <w:rsid w:val="009D32F5"/>
    <w:rsid w:val="009D3331"/>
    <w:rsid w:val="009D365D"/>
    <w:rsid w:val="009D3EE1"/>
    <w:rsid w:val="009D402F"/>
    <w:rsid w:val="009D41E1"/>
    <w:rsid w:val="009D47CA"/>
    <w:rsid w:val="009D4C01"/>
    <w:rsid w:val="009D4F3A"/>
    <w:rsid w:val="009D4FB9"/>
    <w:rsid w:val="009D50C1"/>
    <w:rsid w:val="009D5368"/>
    <w:rsid w:val="009D53C9"/>
    <w:rsid w:val="009D58DF"/>
    <w:rsid w:val="009D58E1"/>
    <w:rsid w:val="009D5957"/>
    <w:rsid w:val="009D5C21"/>
    <w:rsid w:val="009D5CD9"/>
    <w:rsid w:val="009D5D40"/>
    <w:rsid w:val="009D6045"/>
    <w:rsid w:val="009D6091"/>
    <w:rsid w:val="009D62CC"/>
    <w:rsid w:val="009D66BE"/>
    <w:rsid w:val="009D66EF"/>
    <w:rsid w:val="009D66FB"/>
    <w:rsid w:val="009D67D1"/>
    <w:rsid w:val="009D6B25"/>
    <w:rsid w:val="009D6E50"/>
    <w:rsid w:val="009D7065"/>
    <w:rsid w:val="009D728D"/>
    <w:rsid w:val="009D7372"/>
    <w:rsid w:val="009D76B3"/>
    <w:rsid w:val="009D776A"/>
    <w:rsid w:val="009D7BD8"/>
    <w:rsid w:val="009D7DFD"/>
    <w:rsid w:val="009D7FB3"/>
    <w:rsid w:val="009E0275"/>
    <w:rsid w:val="009E027A"/>
    <w:rsid w:val="009E040A"/>
    <w:rsid w:val="009E047D"/>
    <w:rsid w:val="009E050E"/>
    <w:rsid w:val="009E0594"/>
    <w:rsid w:val="009E072C"/>
    <w:rsid w:val="009E0A7D"/>
    <w:rsid w:val="009E1335"/>
    <w:rsid w:val="009E1CC1"/>
    <w:rsid w:val="009E1CCC"/>
    <w:rsid w:val="009E1E54"/>
    <w:rsid w:val="009E1F0C"/>
    <w:rsid w:val="009E20B3"/>
    <w:rsid w:val="009E2225"/>
    <w:rsid w:val="009E23FD"/>
    <w:rsid w:val="009E26F6"/>
    <w:rsid w:val="009E2850"/>
    <w:rsid w:val="009E2892"/>
    <w:rsid w:val="009E28F4"/>
    <w:rsid w:val="009E2EC4"/>
    <w:rsid w:val="009E2F7A"/>
    <w:rsid w:val="009E3114"/>
    <w:rsid w:val="009E31E5"/>
    <w:rsid w:val="009E34CD"/>
    <w:rsid w:val="009E35B4"/>
    <w:rsid w:val="009E3761"/>
    <w:rsid w:val="009E3BC2"/>
    <w:rsid w:val="009E3CBD"/>
    <w:rsid w:val="009E43EB"/>
    <w:rsid w:val="009E44BD"/>
    <w:rsid w:val="009E45AC"/>
    <w:rsid w:val="009E4740"/>
    <w:rsid w:val="009E4820"/>
    <w:rsid w:val="009E490B"/>
    <w:rsid w:val="009E49A1"/>
    <w:rsid w:val="009E49B7"/>
    <w:rsid w:val="009E4B8B"/>
    <w:rsid w:val="009E4C49"/>
    <w:rsid w:val="009E4DD7"/>
    <w:rsid w:val="009E5213"/>
    <w:rsid w:val="009E52B9"/>
    <w:rsid w:val="009E5428"/>
    <w:rsid w:val="009E56B1"/>
    <w:rsid w:val="009E58C3"/>
    <w:rsid w:val="009E643F"/>
    <w:rsid w:val="009E6657"/>
    <w:rsid w:val="009E6662"/>
    <w:rsid w:val="009E6AF5"/>
    <w:rsid w:val="009E6B87"/>
    <w:rsid w:val="009E71D1"/>
    <w:rsid w:val="009E7352"/>
    <w:rsid w:val="009E75F2"/>
    <w:rsid w:val="009E7A90"/>
    <w:rsid w:val="009E7CFA"/>
    <w:rsid w:val="009E7DEA"/>
    <w:rsid w:val="009E7E7B"/>
    <w:rsid w:val="009F0023"/>
    <w:rsid w:val="009F00F2"/>
    <w:rsid w:val="009F0127"/>
    <w:rsid w:val="009F0370"/>
    <w:rsid w:val="009F0596"/>
    <w:rsid w:val="009F0922"/>
    <w:rsid w:val="009F093C"/>
    <w:rsid w:val="009F0B2C"/>
    <w:rsid w:val="009F0D52"/>
    <w:rsid w:val="009F0FB0"/>
    <w:rsid w:val="009F1011"/>
    <w:rsid w:val="009F10F7"/>
    <w:rsid w:val="009F1202"/>
    <w:rsid w:val="009F12A5"/>
    <w:rsid w:val="009F13B4"/>
    <w:rsid w:val="009F160D"/>
    <w:rsid w:val="009F1763"/>
    <w:rsid w:val="009F2675"/>
    <w:rsid w:val="009F272E"/>
    <w:rsid w:val="009F29E2"/>
    <w:rsid w:val="009F2B46"/>
    <w:rsid w:val="009F2E6F"/>
    <w:rsid w:val="009F2E7E"/>
    <w:rsid w:val="009F2F0D"/>
    <w:rsid w:val="009F3436"/>
    <w:rsid w:val="009F34E6"/>
    <w:rsid w:val="009F35EB"/>
    <w:rsid w:val="009F3625"/>
    <w:rsid w:val="009F3B29"/>
    <w:rsid w:val="009F3C39"/>
    <w:rsid w:val="009F3E0C"/>
    <w:rsid w:val="009F42AE"/>
    <w:rsid w:val="009F4336"/>
    <w:rsid w:val="009F4698"/>
    <w:rsid w:val="009F47D9"/>
    <w:rsid w:val="009F47E8"/>
    <w:rsid w:val="009F4925"/>
    <w:rsid w:val="009F4BE8"/>
    <w:rsid w:val="009F4DCA"/>
    <w:rsid w:val="009F59D6"/>
    <w:rsid w:val="009F5B85"/>
    <w:rsid w:val="009F5CF2"/>
    <w:rsid w:val="009F5D97"/>
    <w:rsid w:val="009F6513"/>
    <w:rsid w:val="009F65E0"/>
    <w:rsid w:val="009F6758"/>
    <w:rsid w:val="009F699F"/>
    <w:rsid w:val="009F6D31"/>
    <w:rsid w:val="009F6E2D"/>
    <w:rsid w:val="009F780D"/>
    <w:rsid w:val="009F7B5E"/>
    <w:rsid w:val="009F7C49"/>
    <w:rsid w:val="009F7C79"/>
    <w:rsid w:val="009F7EF8"/>
    <w:rsid w:val="009F7F10"/>
    <w:rsid w:val="00A00480"/>
    <w:rsid w:val="00A0059D"/>
    <w:rsid w:val="00A006FC"/>
    <w:rsid w:val="00A00736"/>
    <w:rsid w:val="00A007E7"/>
    <w:rsid w:val="00A00887"/>
    <w:rsid w:val="00A00FE4"/>
    <w:rsid w:val="00A01563"/>
    <w:rsid w:val="00A0183B"/>
    <w:rsid w:val="00A01BAF"/>
    <w:rsid w:val="00A020D3"/>
    <w:rsid w:val="00A02232"/>
    <w:rsid w:val="00A02259"/>
    <w:rsid w:val="00A025B2"/>
    <w:rsid w:val="00A02A5B"/>
    <w:rsid w:val="00A02BF9"/>
    <w:rsid w:val="00A02C62"/>
    <w:rsid w:val="00A02D47"/>
    <w:rsid w:val="00A02E9D"/>
    <w:rsid w:val="00A030AA"/>
    <w:rsid w:val="00A033E3"/>
    <w:rsid w:val="00A034C2"/>
    <w:rsid w:val="00A034E7"/>
    <w:rsid w:val="00A034FE"/>
    <w:rsid w:val="00A035A3"/>
    <w:rsid w:val="00A036BE"/>
    <w:rsid w:val="00A03DCA"/>
    <w:rsid w:val="00A03E98"/>
    <w:rsid w:val="00A03EB8"/>
    <w:rsid w:val="00A03EE3"/>
    <w:rsid w:val="00A03F3E"/>
    <w:rsid w:val="00A04117"/>
    <w:rsid w:val="00A0415A"/>
    <w:rsid w:val="00A041DE"/>
    <w:rsid w:val="00A0451D"/>
    <w:rsid w:val="00A04A2B"/>
    <w:rsid w:val="00A04B02"/>
    <w:rsid w:val="00A04D12"/>
    <w:rsid w:val="00A04D16"/>
    <w:rsid w:val="00A05296"/>
    <w:rsid w:val="00A055C9"/>
    <w:rsid w:val="00A056F9"/>
    <w:rsid w:val="00A0575B"/>
    <w:rsid w:val="00A057D9"/>
    <w:rsid w:val="00A05A13"/>
    <w:rsid w:val="00A05A2A"/>
    <w:rsid w:val="00A05A58"/>
    <w:rsid w:val="00A05BC9"/>
    <w:rsid w:val="00A05D61"/>
    <w:rsid w:val="00A05DA8"/>
    <w:rsid w:val="00A05F26"/>
    <w:rsid w:val="00A06156"/>
    <w:rsid w:val="00A0628C"/>
    <w:rsid w:val="00A0659C"/>
    <w:rsid w:val="00A065B3"/>
    <w:rsid w:val="00A065CC"/>
    <w:rsid w:val="00A06A14"/>
    <w:rsid w:val="00A06A4B"/>
    <w:rsid w:val="00A06B05"/>
    <w:rsid w:val="00A06D22"/>
    <w:rsid w:val="00A07170"/>
    <w:rsid w:val="00A0721A"/>
    <w:rsid w:val="00A0731E"/>
    <w:rsid w:val="00A0743E"/>
    <w:rsid w:val="00A074F3"/>
    <w:rsid w:val="00A075B6"/>
    <w:rsid w:val="00A078AC"/>
    <w:rsid w:val="00A07F05"/>
    <w:rsid w:val="00A07FB6"/>
    <w:rsid w:val="00A100D4"/>
    <w:rsid w:val="00A101E0"/>
    <w:rsid w:val="00A104FF"/>
    <w:rsid w:val="00A10523"/>
    <w:rsid w:val="00A106D1"/>
    <w:rsid w:val="00A106F6"/>
    <w:rsid w:val="00A1090A"/>
    <w:rsid w:val="00A10959"/>
    <w:rsid w:val="00A10976"/>
    <w:rsid w:val="00A10C28"/>
    <w:rsid w:val="00A10DAE"/>
    <w:rsid w:val="00A10FA2"/>
    <w:rsid w:val="00A1101E"/>
    <w:rsid w:val="00A11828"/>
    <w:rsid w:val="00A11A8B"/>
    <w:rsid w:val="00A11D0A"/>
    <w:rsid w:val="00A12071"/>
    <w:rsid w:val="00A12356"/>
    <w:rsid w:val="00A123A0"/>
    <w:rsid w:val="00A1264E"/>
    <w:rsid w:val="00A1269C"/>
    <w:rsid w:val="00A1275D"/>
    <w:rsid w:val="00A12793"/>
    <w:rsid w:val="00A12ADD"/>
    <w:rsid w:val="00A12D76"/>
    <w:rsid w:val="00A12F3C"/>
    <w:rsid w:val="00A13222"/>
    <w:rsid w:val="00A13257"/>
    <w:rsid w:val="00A13363"/>
    <w:rsid w:val="00A13654"/>
    <w:rsid w:val="00A13953"/>
    <w:rsid w:val="00A1397B"/>
    <w:rsid w:val="00A13CD1"/>
    <w:rsid w:val="00A13E6B"/>
    <w:rsid w:val="00A1413B"/>
    <w:rsid w:val="00A141A0"/>
    <w:rsid w:val="00A145F8"/>
    <w:rsid w:val="00A1466C"/>
    <w:rsid w:val="00A146CC"/>
    <w:rsid w:val="00A1484A"/>
    <w:rsid w:val="00A14B51"/>
    <w:rsid w:val="00A14BA0"/>
    <w:rsid w:val="00A14BEA"/>
    <w:rsid w:val="00A14EDB"/>
    <w:rsid w:val="00A150CD"/>
    <w:rsid w:val="00A15317"/>
    <w:rsid w:val="00A153E0"/>
    <w:rsid w:val="00A154E9"/>
    <w:rsid w:val="00A159EF"/>
    <w:rsid w:val="00A15B8E"/>
    <w:rsid w:val="00A16056"/>
    <w:rsid w:val="00A163ED"/>
    <w:rsid w:val="00A1678E"/>
    <w:rsid w:val="00A169A9"/>
    <w:rsid w:val="00A169E8"/>
    <w:rsid w:val="00A16FAC"/>
    <w:rsid w:val="00A171B0"/>
    <w:rsid w:val="00A1745E"/>
    <w:rsid w:val="00A1746A"/>
    <w:rsid w:val="00A20239"/>
    <w:rsid w:val="00A20301"/>
    <w:rsid w:val="00A20381"/>
    <w:rsid w:val="00A20836"/>
    <w:rsid w:val="00A20A04"/>
    <w:rsid w:val="00A20C5B"/>
    <w:rsid w:val="00A21A31"/>
    <w:rsid w:val="00A21C98"/>
    <w:rsid w:val="00A22885"/>
    <w:rsid w:val="00A22A48"/>
    <w:rsid w:val="00A22BF3"/>
    <w:rsid w:val="00A22C5A"/>
    <w:rsid w:val="00A22D1F"/>
    <w:rsid w:val="00A22FB2"/>
    <w:rsid w:val="00A23001"/>
    <w:rsid w:val="00A234FD"/>
    <w:rsid w:val="00A235A7"/>
    <w:rsid w:val="00A235BD"/>
    <w:rsid w:val="00A23664"/>
    <w:rsid w:val="00A23757"/>
    <w:rsid w:val="00A238EE"/>
    <w:rsid w:val="00A23A99"/>
    <w:rsid w:val="00A23B5E"/>
    <w:rsid w:val="00A23BF7"/>
    <w:rsid w:val="00A23C68"/>
    <w:rsid w:val="00A24130"/>
    <w:rsid w:val="00A2483D"/>
    <w:rsid w:val="00A24A28"/>
    <w:rsid w:val="00A24A82"/>
    <w:rsid w:val="00A24D17"/>
    <w:rsid w:val="00A24DAC"/>
    <w:rsid w:val="00A24F43"/>
    <w:rsid w:val="00A2519F"/>
    <w:rsid w:val="00A252B5"/>
    <w:rsid w:val="00A2565F"/>
    <w:rsid w:val="00A25687"/>
    <w:rsid w:val="00A259AA"/>
    <w:rsid w:val="00A25C27"/>
    <w:rsid w:val="00A25C74"/>
    <w:rsid w:val="00A26124"/>
    <w:rsid w:val="00A261FD"/>
    <w:rsid w:val="00A26356"/>
    <w:rsid w:val="00A2637E"/>
    <w:rsid w:val="00A2656E"/>
    <w:rsid w:val="00A26702"/>
    <w:rsid w:val="00A26CEF"/>
    <w:rsid w:val="00A271B8"/>
    <w:rsid w:val="00A273B9"/>
    <w:rsid w:val="00A273D6"/>
    <w:rsid w:val="00A274AC"/>
    <w:rsid w:val="00A275DB"/>
    <w:rsid w:val="00A2774C"/>
    <w:rsid w:val="00A278E7"/>
    <w:rsid w:val="00A279A1"/>
    <w:rsid w:val="00A27B2E"/>
    <w:rsid w:val="00A27D5B"/>
    <w:rsid w:val="00A27F09"/>
    <w:rsid w:val="00A3001E"/>
    <w:rsid w:val="00A3004C"/>
    <w:rsid w:val="00A3017E"/>
    <w:rsid w:val="00A3032D"/>
    <w:rsid w:val="00A305DC"/>
    <w:rsid w:val="00A3079F"/>
    <w:rsid w:val="00A308D1"/>
    <w:rsid w:val="00A309EA"/>
    <w:rsid w:val="00A30B86"/>
    <w:rsid w:val="00A30C42"/>
    <w:rsid w:val="00A3107D"/>
    <w:rsid w:val="00A3110C"/>
    <w:rsid w:val="00A313F8"/>
    <w:rsid w:val="00A3166A"/>
    <w:rsid w:val="00A317E1"/>
    <w:rsid w:val="00A31BD2"/>
    <w:rsid w:val="00A32084"/>
    <w:rsid w:val="00A320AF"/>
    <w:rsid w:val="00A3223F"/>
    <w:rsid w:val="00A3231D"/>
    <w:rsid w:val="00A324EF"/>
    <w:rsid w:val="00A32614"/>
    <w:rsid w:val="00A32CB6"/>
    <w:rsid w:val="00A3317F"/>
    <w:rsid w:val="00A33220"/>
    <w:rsid w:val="00A33922"/>
    <w:rsid w:val="00A33B02"/>
    <w:rsid w:val="00A33D5D"/>
    <w:rsid w:val="00A33DFD"/>
    <w:rsid w:val="00A33F40"/>
    <w:rsid w:val="00A340C2"/>
    <w:rsid w:val="00A342B8"/>
    <w:rsid w:val="00A34BDA"/>
    <w:rsid w:val="00A34C43"/>
    <w:rsid w:val="00A34E6C"/>
    <w:rsid w:val="00A34E92"/>
    <w:rsid w:val="00A3510F"/>
    <w:rsid w:val="00A357E8"/>
    <w:rsid w:val="00A35853"/>
    <w:rsid w:val="00A358C4"/>
    <w:rsid w:val="00A3593D"/>
    <w:rsid w:val="00A35A2D"/>
    <w:rsid w:val="00A35A40"/>
    <w:rsid w:val="00A35CDC"/>
    <w:rsid w:val="00A35FC8"/>
    <w:rsid w:val="00A35FE6"/>
    <w:rsid w:val="00A35FFE"/>
    <w:rsid w:val="00A36084"/>
    <w:rsid w:val="00A36482"/>
    <w:rsid w:val="00A367C1"/>
    <w:rsid w:val="00A36867"/>
    <w:rsid w:val="00A36A56"/>
    <w:rsid w:val="00A36C25"/>
    <w:rsid w:val="00A36D50"/>
    <w:rsid w:val="00A36DAE"/>
    <w:rsid w:val="00A36DF3"/>
    <w:rsid w:val="00A37102"/>
    <w:rsid w:val="00A371D5"/>
    <w:rsid w:val="00A37400"/>
    <w:rsid w:val="00A3753F"/>
    <w:rsid w:val="00A37613"/>
    <w:rsid w:val="00A37948"/>
    <w:rsid w:val="00A37974"/>
    <w:rsid w:val="00A37F84"/>
    <w:rsid w:val="00A40085"/>
    <w:rsid w:val="00A40221"/>
    <w:rsid w:val="00A404BD"/>
    <w:rsid w:val="00A405FA"/>
    <w:rsid w:val="00A40755"/>
    <w:rsid w:val="00A40BD1"/>
    <w:rsid w:val="00A41221"/>
    <w:rsid w:val="00A41296"/>
    <w:rsid w:val="00A412B1"/>
    <w:rsid w:val="00A41414"/>
    <w:rsid w:val="00A417E2"/>
    <w:rsid w:val="00A41A63"/>
    <w:rsid w:val="00A41A6B"/>
    <w:rsid w:val="00A41AD7"/>
    <w:rsid w:val="00A41AF4"/>
    <w:rsid w:val="00A41CD8"/>
    <w:rsid w:val="00A41D7B"/>
    <w:rsid w:val="00A41E21"/>
    <w:rsid w:val="00A41E5C"/>
    <w:rsid w:val="00A421F0"/>
    <w:rsid w:val="00A427D5"/>
    <w:rsid w:val="00A42A07"/>
    <w:rsid w:val="00A42AB6"/>
    <w:rsid w:val="00A42B01"/>
    <w:rsid w:val="00A42CFD"/>
    <w:rsid w:val="00A42EFB"/>
    <w:rsid w:val="00A432AF"/>
    <w:rsid w:val="00A436AB"/>
    <w:rsid w:val="00A43B51"/>
    <w:rsid w:val="00A43DFB"/>
    <w:rsid w:val="00A43E30"/>
    <w:rsid w:val="00A43F39"/>
    <w:rsid w:val="00A4407C"/>
    <w:rsid w:val="00A443C6"/>
    <w:rsid w:val="00A443CE"/>
    <w:rsid w:val="00A44848"/>
    <w:rsid w:val="00A448D8"/>
    <w:rsid w:val="00A44CFF"/>
    <w:rsid w:val="00A44E66"/>
    <w:rsid w:val="00A45662"/>
    <w:rsid w:val="00A4575C"/>
    <w:rsid w:val="00A45AE0"/>
    <w:rsid w:val="00A45BE9"/>
    <w:rsid w:val="00A46446"/>
    <w:rsid w:val="00A46584"/>
    <w:rsid w:val="00A466AB"/>
    <w:rsid w:val="00A469AE"/>
    <w:rsid w:val="00A469C3"/>
    <w:rsid w:val="00A46EA8"/>
    <w:rsid w:val="00A46EAC"/>
    <w:rsid w:val="00A46FFA"/>
    <w:rsid w:val="00A473AF"/>
    <w:rsid w:val="00A4773F"/>
    <w:rsid w:val="00A5000A"/>
    <w:rsid w:val="00A5005E"/>
    <w:rsid w:val="00A50278"/>
    <w:rsid w:val="00A50D78"/>
    <w:rsid w:val="00A50F04"/>
    <w:rsid w:val="00A5101E"/>
    <w:rsid w:val="00A513CA"/>
    <w:rsid w:val="00A51EAC"/>
    <w:rsid w:val="00A51F51"/>
    <w:rsid w:val="00A521E3"/>
    <w:rsid w:val="00A52204"/>
    <w:rsid w:val="00A524F9"/>
    <w:rsid w:val="00A525D4"/>
    <w:rsid w:val="00A528FA"/>
    <w:rsid w:val="00A52941"/>
    <w:rsid w:val="00A52AB8"/>
    <w:rsid w:val="00A52C3F"/>
    <w:rsid w:val="00A53153"/>
    <w:rsid w:val="00A53397"/>
    <w:rsid w:val="00A535CF"/>
    <w:rsid w:val="00A5369C"/>
    <w:rsid w:val="00A53A32"/>
    <w:rsid w:val="00A5438B"/>
    <w:rsid w:val="00A5458D"/>
    <w:rsid w:val="00A545F5"/>
    <w:rsid w:val="00A5463A"/>
    <w:rsid w:val="00A54654"/>
    <w:rsid w:val="00A546B4"/>
    <w:rsid w:val="00A550F3"/>
    <w:rsid w:val="00A55197"/>
    <w:rsid w:val="00A55362"/>
    <w:rsid w:val="00A5537E"/>
    <w:rsid w:val="00A55D3F"/>
    <w:rsid w:val="00A562A8"/>
    <w:rsid w:val="00A5631E"/>
    <w:rsid w:val="00A56604"/>
    <w:rsid w:val="00A56AE4"/>
    <w:rsid w:val="00A56C8E"/>
    <w:rsid w:val="00A5700A"/>
    <w:rsid w:val="00A5717B"/>
    <w:rsid w:val="00A57273"/>
    <w:rsid w:val="00A57898"/>
    <w:rsid w:val="00A578B3"/>
    <w:rsid w:val="00A57C12"/>
    <w:rsid w:val="00A60444"/>
    <w:rsid w:val="00A604AE"/>
    <w:rsid w:val="00A60ACF"/>
    <w:rsid w:val="00A61446"/>
    <w:rsid w:val="00A61539"/>
    <w:rsid w:val="00A6182E"/>
    <w:rsid w:val="00A61B1D"/>
    <w:rsid w:val="00A61CDB"/>
    <w:rsid w:val="00A620A1"/>
    <w:rsid w:val="00A621A1"/>
    <w:rsid w:val="00A6239C"/>
    <w:rsid w:val="00A62437"/>
    <w:rsid w:val="00A62495"/>
    <w:rsid w:val="00A62649"/>
    <w:rsid w:val="00A62B5C"/>
    <w:rsid w:val="00A62CD5"/>
    <w:rsid w:val="00A62DBD"/>
    <w:rsid w:val="00A62F74"/>
    <w:rsid w:val="00A62FAC"/>
    <w:rsid w:val="00A633A3"/>
    <w:rsid w:val="00A63679"/>
    <w:rsid w:val="00A6377C"/>
    <w:rsid w:val="00A637FA"/>
    <w:rsid w:val="00A6383D"/>
    <w:rsid w:val="00A63975"/>
    <w:rsid w:val="00A63D6E"/>
    <w:rsid w:val="00A63D79"/>
    <w:rsid w:val="00A63EEB"/>
    <w:rsid w:val="00A63FB2"/>
    <w:rsid w:val="00A64415"/>
    <w:rsid w:val="00A64690"/>
    <w:rsid w:val="00A649CD"/>
    <w:rsid w:val="00A64CA8"/>
    <w:rsid w:val="00A64D88"/>
    <w:rsid w:val="00A64FEE"/>
    <w:rsid w:val="00A65017"/>
    <w:rsid w:val="00A656FD"/>
    <w:rsid w:val="00A65718"/>
    <w:rsid w:val="00A6572B"/>
    <w:rsid w:val="00A65905"/>
    <w:rsid w:val="00A659D0"/>
    <w:rsid w:val="00A659D7"/>
    <w:rsid w:val="00A65BF2"/>
    <w:rsid w:val="00A65CB4"/>
    <w:rsid w:val="00A660B8"/>
    <w:rsid w:val="00A661A5"/>
    <w:rsid w:val="00A66374"/>
    <w:rsid w:val="00A66382"/>
    <w:rsid w:val="00A6686A"/>
    <w:rsid w:val="00A66B10"/>
    <w:rsid w:val="00A66D05"/>
    <w:rsid w:val="00A66DBE"/>
    <w:rsid w:val="00A6704A"/>
    <w:rsid w:val="00A670C9"/>
    <w:rsid w:val="00A6726B"/>
    <w:rsid w:val="00A675A9"/>
    <w:rsid w:val="00A676E1"/>
    <w:rsid w:val="00A67788"/>
    <w:rsid w:val="00A679F7"/>
    <w:rsid w:val="00A67BA7"/>
    <w:rsid w:val="00A67CC5"/>
    <w:rsid w:val="00A67E27"/>
    <w:rsid w:val="00A7000D"/>
    <w:rsid w:val="00A700B6"/>
    <w:rsid w:val="00A70352"/>
    <w:rsid w:val="00A70448"/>
    <w:rsid w:val="00A705F4"/>
    <w:rsid w:val="00A70A3B"/>
    <w:rsid w:val="00A70BD0"/>
    <w:rsid w:val="00A70CC3"/>
    <w:rsid w:val="00A71177"/>
    <w:rsid w:val="00A712CC"/>
    <w:rsid w:val="00A713BE"/>
    <w:rsid w:val="00A71568"/>
    <w:rsid w:val="00A71569"/>
    <w:rsid w:val="00A715B3"/>
    <w:rsid w:val="00A715CA"/>
    <w:rsid w:val="00A717BB"/>
    <w:rsid w:val="00A71955"/>
    <w:rsid w:val="00A71973"/>
    <w:rsid w:val="00A71AED"/>
    <w:rsid w:val="00A71B79"/>
    <w:rsid w:val="00A71D91"/>
    <w:rsid w:val="00A71E10"/>
    <w:rsid w:val="00A72057"/>
    <w:rsid w:val="00A72063"/>
    <w:rsid w:val="00A72571"/>
    <w:rsid w:val="00A72963"/>
    <w:rsid w:val="00A72A05"/>
    <w:rsid w:val="00A72AC3"/>
    <w:rsid w:val="00A731C5"/>
    <w:rsid w:val="00A73522"/>
    <w:rsid w:val="00A7364C"/>
    <w:rsid w:val="00A7373D"/>
    <w:rsid w:val="00A73BCC"/>
    <w:rsid w:val="00A73F82"/>
    <w:rsid w:val="00A7432D"/>
    <w:rsid w:val="00A748AA"/>
    <w:rsid w:val="00A74AF0"/>
    <w:rsid w:val="00A74CDD"/>
    <w:rsid w:val="00A74DAA"/>
    <w:rsid w:val="00A750ED"/>
    <w:rsid w:val="00A752AD"/>
    <w:rsid w:val="00A753FF"/>
    <w:rsid w:val="00A754A5"/>
    <w:rsid w:val="00A757CD"/>
    <w:rsid w:val="00A758EB"/>
    <w:rsid w:val="00A75A65"/>
    <w:rsid w:val="00A75AC0"/>
    <w:rsid w:val="00A75D43"/>
    <w:rsid w:val="00A75EC6"/>
    <w:rsid w:val="00A75EF7"/>
    <w:rsid w:val="00A761E8"/>
    <w:rsid w:val="00A76597"/>
    <w:rsid w:val="00A766E6"/>
    <w:rsid w:val="00A76F80"/>
    <w:rsid w:val="00A77536"/>
    <w:rsid w:val="00A77889"/>
    <w:rsid w:val="00A779A7"/>
    <w:rsid w:val="00A77B56"/>
    <w:rsid w:val="00A77E95"/>
    <w:rsid w:val="00A77F1F"/>
    <w:rsid w:val="00A800B4"/>
    <w:rsid w:val="00A80245"/>
    <w:rsid w:val="00A8057E"/>
    <w:rsid w:val="00A805F6"/>
    <w:rsid w:val="00A809E7"/>
    <w:rsid w:val="00A80A82"/>
    <w:rsid w:val="00A80B90"/>
    <w:rsid w:val="00A80EE4"/>
    <w:rsid w:val="00A80FAB"/>
    <w:rsid w:val="00A81269"/>
    <w:rsid w:val="00A813BD"/>
    <w:rsid w:val="00A81503"/>
    <w:rsid w:val="00A81508"/>
    <w:rsid w:val="00A816C6"/>
    <w:rsid w:val="00A8199A"/>
    <w:rsid w:val="00A81A90"/>
    <w:rsid w:val="00A81A93"/>
    <w:rsid w:val="00A81BE7"/>
    <w:rsid w:val="00A822A9"/>
    <w:rsid w:val="00A8293B"/>
    <w:rsid w:val="00A82EE9"/>
    <w:rsid w:val="00A82F3A"/>
    <w:rsid w:val="00A83177"/>
    <w:rsid w:val="00A83288"/>
    <w:rsid w:val="00A83524"/>
    <w:rsid w:val="00A8379B"/>
    <w:rsid w:val="00A8385C"/>
    <w:rsid w:val="00A83A95"/>
    <w:rsid w:val="00A83B9E"/>
    <w:rsid w:val="00A840DA"/>
    <w:rsid w:val="00A84352"/>
    <w:rsid w:val="00A8441F"/>
    <w:rsid w:val="00A844B7"/>
    <w:rsid w:val="00A846C2"/>
    <w:rsid w:val="00A847A5"/>
    <w:rsid w:val="00A84891"/>
    <w:rsid w:val="00A8490D"/>
    <w:rsid w:val="00A84945"/>
    <w:rsid w:val="00A84A43"/>
    <w:rsid w:val="00A85899"/>
    <w:rsid w:val="00A859E9"/>
    <w:rsid w:val="00A85AFB"/>
    <w:rsid w:val="00A85C15"/>
    <w:rsid w:val="00A85CBF"/>
    <w:rsid w:val="00A85D8C"/>
    <w:rsid w:val="00A85E36"/>
    <w:rsid w:val="00A86310"/>
    <w:rsid w:val="00A86613"/>
    <w:rsid w:val="00A8664A"/>
    <w:rsid w:val="00A86765"/>
    <w:rsid w:val="00A8681C"/>
    <w:rsid w:val="00A86870"/>
    <w:rsid w:val="00A86E4C"/>
    <w:rsid w:val="00A86F5C"/>
    <w:rsid w:val="00A87772"/>
    <w:rsid w:val="00A878BB"/>
    <w:rsid w:val="00A87AE1"/>
    <w:rsid w:val="00A87C1B"/>
    <w:rsid w:val="00A87C6A"/>
    <w:rsid w:val="00A90482"/>
    <w:rsid w:val="00A90799"/>
    <w:rsid w:val="00A907B5"/>
    <w:rsid w:val="00A90820"/>
    <w:rsid w:val="00A908B1"/>
    <w:rsid w:val="00A90A4E"/>
    <w:rsid w:val="00A90D0E"/>
    <w:rsid w:val="00A90D25"/>
    <w:rsid w:val="00A90DB5"/>
    <w:rsid w:val="00A90FBA"/>
    <w:rsid w:val="00A9131F"/>
    <w:rsid w:val="00A916A4"/>
    <w:rsid w:val="00A917A0"/>
    <w:rsid w:val="00A91930"/>
    <w:rsid w:val="00A91A13"/>
    <w:rsid w:val="00A91AE6"/>
    <w:rsid w:val="00A91BBE"/>
    <w:rsid w:val="00A91BD4"/>
    <w:rsid w:val="00A91BF7"/>
    <w:rsid w:val="00A91C0D"/>
    <w:rsid w:val="00A91EF3"/>
    <w:rsid w:val="00A92229"/>
    <w:rsid w:val="00A92293"/>
    <w:rsid w:val="00A923B9"/>
    <w:rsid w:val="00A924F1"/>
    <w:rsid w:val="00A92588"/>
    <w:rsid w:val="00A92AF2"/>
    <w:rsid w:val="00A92C5B"/>
    <w:rsid w:val="00A92DFC"/>
    <w:rsid w:val="00A936CA"/>
    <w:rsid w:val="00A93934"/>
    <w:rsid w:val="00A939E1"/>
    <w:rsid w:val="00A93B26"/>
    <w:rsid w:val="00A93B35"/>
    <w:rsid w:val="00A94250"/>
    <w:rsid w:val="00A94818"/>
    <w:rsid w:val="00A94856"/>
    <w:rsid w:val="00A949CE"/>
    <w:rsid w:val="00A949E7"/>
    <w:rsid w:val="00A94B5A"/>
    <w:rsid w:val="00A94B99"/>
    <w:rsid w:val="00A94CBC"/>
    <w:rsid w:val="00A94CC5"/>
    <w:rsid w:val="00A94F10"/>
    <w:rsid w:val="00A95052"/>
    <w:rsid w:val="00A95115"/>
    <w:rsid w:val="00A95281"/>
    <w:rsid w:val="00A9536F"/>
    <w:rsid w:val="00A954D3"/>
    <w:rsid w:val="00A95550"/>
    <w:rsid w:val="00A96225"/>
    <w:rsid w:val="00A9633C"/>
    <w:rsid w:val="00A96344"/>
    <w:rsid w:val="00A96411"/>
    <w:rsid w:val="00A965F4"/>
    <w:rsid w:val="00A96716"/>
    <w:rsid w:val="00A96846"/>
    <w:rsid w:val="00A969A6"/>
    <w:rsid w:val="00A969E8"/>
    <w:rsid w:val="00A96A5D"/>
    <w:rsid w:val="00A96B89"/>
    <w:rsid w:val="00A97675"/>
    <w:rsid w:val="00A9769F"/>
    <w:rsid w:val="00A97956"/>
    <w:rsid w:val="00A9798E"/>
    <w:rsid w:val="00A97E1D"/>
    <w:rsid w:val="00AA03D6"/>
    <w:rsid w:val="00AA06BF"/>
    <w:rsid w:val="00AA0A41"/>
    <w:rsid w:val="00AA0E9A"/>
    <w:rsid w:val="00AA0F57"/>
    <w:rsid w:val="00AA12F5"/>
    <w:rsid w:val="00AA160C"/>
    <w:rsid w:val="00AA1615"/>
    <w:rsid w:val="00AA169F"/>
    <w:rsid w:val="00AA18A7"/>
    <w:rsid w:val="00AA1A5A"/>
    <w:rsid w:val="00AA1E45"/>
    <w:rsid w:val="00AA1EDD"/>
    <w:rsid w:val="00AA1F38"/>
    <w:rsid w:val="00AA1FBE"/>
    <w:rsid w:val="00AA21AA"/>
    <w:rsid w:val="00AA25DD"/>
    <w:rsid w:val="00AA2752"/>
    <w:rsid w:val="00AA2867"/>
    <w:rsid w:val="00AA28CC"/>
    <w:rsid w:val="00AA2973"/>
    <w:rsid w:val="00AA2A57"/>
    <w:rsid w:val="00AA2AB4"/>
    <w:rsid w:val="00AA2E22"/>
    <w:rsid w:val="00AA2EA3"/>
    <w:rsid w:val="00AA2F65"/>
    <w:rsid w:val="00AA350C"/>
    <w:rsid w:val="00AA36E2"/>
    <w:rsid w:val="00AA3786"/>
    <w:rsid w:val="00AA3BA1"/>
    <w:rsid w:val="00AA3BAF"/>
    <w:rsid w:val="00AA3C49"/>
    <w:rsid w:val="00AA3D72"/>
    <w:rsid w:val="00AA3DB6"/>
    <w:rsid w:val="00AA3F13"/>
    <w:rsid w:val="00AA3F3D"/>
    <w:rsid w:val="00AA3F71"/>
    <w:rsid w:val="00AA4056"/>
    <w:rsid w:val="00AA46CB"/>
    <w:rsid w:val="00AA470A"/>
    <w:rsid w:val="00AA4994"/>
    <w:rsid w:val="00AA4C22"/>
    <w:rsid w:val="00AA4DC1"/>
    <w:rsid w:val="00AA4F2B"/>
    <w:rsid w:val="00AA4FDB"/>
    <w:rsid w:val="00AA50BE"/>
    <w:rsid w:val="00AA556E"/>
    <w:rsid w:val="00AA5A6F"/>
    <w:rsid w:val="00AA5ACD"/>
    <w:rsid w:val="00AA5C06"/>
    <w:rsid w:val="00AA6292"/>
    <w:rsid w:val="00AA6410"/>
    <w:rsid w:val="00AA6421"/>
    <w:rsid w:val="00AA6492"/>
    <w:rsid w:val="00AA654F"/>
    <w:rsid w:val="00AA6751"/>
    <w:rsid w:val="00AA676B"/>
    <w:rsid w:val="00AA677B"/>
    <w:rsid w:val="00AA6987"/>
    <w:rsid w:val="00AA6B7F"/>
    <w:rsid w:val="00AA7013"/>
    <w:rsid w:val="00AA73AF"/>
    <w:rsid w:val="00AA77B5"/>
    <w:rsid w:val="00AA786A"/>
    <w:rsid w:val="00AA78DB"/>
    <w:rsid w:val="00AA7BC4"/>
    <w:rsid w:val="00AA7CEF"/>
    <w:rsid w:val="00AA7F68"/>
    <w:rsid w:val="00AB009D"/>
    <w:rsid w:val="00AB00BA"/>
    <w:rsid w:val="00AB0443"/>
    <w:rsid w:val="00AB04E4"/>
    <w:rsid w:val="00AB0531"/>
    <w:rsid w:val="00AB05A5"/>
    <w:rsid w:val="00AB05F1"/>
    <w:rsid w:val="00AB066F"/>
    <w:rsid w:val="00AB071C"/>
    <w:rsid w:val="00AB10A9"/>
    <w:rsid w:val="00AB1131"/>
    <w:rsid w:val="00AB16A6"/>
    <w:rsid w:val="00AB18C8"/>
    <w:rsid w:val="00AB1A45"/>
    <w:rsid w:val="00AB1B5B"/>
    <w:rsid w:val="00AB1BD0"/>
    <w:rsid w:val="00AB1D73"/>
    <w:rsid w:val="00AB1D90"/>
    <w:rsid w:val="00AB1D91"/>
    <w:rsid w:val="00AB1E7D"/>
    <w:rsid w:val="00AB1F40"/>
    <w:rsid w:val="00AB2098"/>
    <w:rsid w:val="00AB20A6"/>
    <w:rsid w:val="00AB2341"/>
    <w:rsid w:val="00AB2C66"/>
    <w:rsid w:val="00AB2E57"/>
    <w:rsid w:val="00AB3274"/>
    <w:rsid w:val="00AB35FF"/>
    <w:rsid w:val="00AB377B"/>
    <w:rsid w:val="00AB37DA"/>
    <w:rsid w:val="00AB3915"/>
    <w:rsid w:val="00AB39B8"/>
    <w:rsid w:val="00AB3A8E"/>
    <w:rsid w:val="00AB424A"/>
    <w:rsid w:val="00AB424B"/>
    <w:rsid w:val="00AB46FE"/>
    <w:rsid w:val="00AB48DA"/>
    <w:rsid w:val="00AB4B43"/>
    <w:rsid w:val="00AB4F4C"/>
    <w:rsid w:val="00AB50C7"/>
    <w:rsid w:val="00AB5367"/>
    <w:rsid w:val="00AB57C8"/>
    <w:rsid w:val="00AB5B7F"/>
    <w:rsid w:val="00AB5CA0"/>
    <w:rsid w:val="00AB5F28"/>
    <w:rsid w:val="00AB6097"/>
    <w:rsid w:val="00AB6423"/>
    <w:rsid w:val="00AB662E"/>
    <w:rsid w:val="00AB6E79"/>
    <w:rsid w:val="00AB6F73"/>
    <w:rsid w:val="00AB7193"/>
    <w:rsid w:val="00AB751A"/>
    <w:rsid w:val="00AB76CD"/>
    <w:rsid w:val="00AB7AAB"/>
    <w:rsid w:val="00AB7C50"/>
    <w:rsid w:val="00AB7CF3"/>
    <w:rsid w:val="00AB7D7B"/>
    <w:rsid w:val="00AB7F7F"/>
    <w:rsid w:val="00AC0299"/>
    <w:rsid w:val="00AC05DE"/>
    <w:rsid w:val="00AC05E6"/>
    <w:rsid w:val="00AC0684"/>
    <w:rsid w:val="00AC0774"/>
    <w:rsid w:val="00AC0A8E"/>
    <w:rsid w:val="00AC0B21"/>
    <w:rsid w:val="00AC0E74"/>
    <w:rsid w:val="00AC0EA3"/>
    <w:rsid w:val="00AC1013"/>
    <w:rsid w:val="00AC133F"/>
    <w:rsid w:val="00AC13DB"/>
    <w:rsid w:val="00AC1B4A"/>
    <w:rsid w:val="00AC1C60"/>
    <w:rsid w:val="00AC1E48"/>
    <w:rsid w:val="00AC1F5E"/>
    <w:rsid w:val="00AC218F"/>
    <w:rsid w:val="00AC21A6"/>
    <w:rsid w:val="00AC2225"/>
    <w:rsid w:val="00AC2227"/>
    <w:rsid w:val="00AC260A"/>
    <w:rsid w:val="00AC274A"/>
    <w:rsid w:val="00AC27AE"/>
    <w:rsid w:val="00AC2958"/>
    <w:rsid w:val="00AC2A58"/>
    <w:rsid w:val="00AC2BAD"/>
    <w:rsid w:val="00AC2F76"/>
    <w:rsid w:val="00AC30CA"/>
    <w:rsid w:val="00AC30F6"/>
    <w:rsid w:val="00AC35CD"/>
    <w:rsid w:val="00AC376E"/>
    <w:rsid w:val="00AC38B3"/>
    <w:rsid w:val="00AC390B"/>
    <w:rsid w:val="00AC3A83"/>
    <w:rsid w:val="00AC3CEB"/>
    <w:rsid w:val="00AC43AA"/>
    <w:rsid w:val="00AC4408"/>
    <w:rsid w:val="00AC44CC"/>
    <w:rsid w:val="00AC47A0"/>
    <w:rsid w:val="00AC4A8D"/>
    <w:rsid w:val="00AC4CC1"/>
    <w:rsid w:val="00AC4CF6"/>
    <w:rsid w:val="00AC57DB"/>
    <w:rsid w:val="00AC587B"/>
    <w:rsid w:val="00AC58EC"/>
    <w:rsid w:val="00AC5B2C"/>
    <w:rsid w:val="00AC5C19"/>
    <w:rsid w:val="00AC5E25"/>
    <w:rsid w:val="00AC5E5C"/>
    <w:rsid w:val="00AC61DE"/>
    <w:rsid w:val="00AC627F"/>
    <w:rsid w:val="00AC6284"/>
    <w:rsid w:val="00AC6292"/>
    <w:rsid w:val="00AC64A0"/>
    <w:rsid w:val="00AC663C"/>
    <w:rsid w:val="00AC6738"/>
    <w:rsid w:val="00AC674E"/>
    <w:rsid w:val="00AC6809"/>
    <w:rsid w:val="00AC68EB"/>
    <w:rsid w:val="00AC6969"/>
    <w:rsid w:val="00AC69C8"/>
    <w:rsid w:val="00AC6AB8"/>
    <w:rsid w:val="00AC6C67"/>
    <w:rsid w:val="00AC6CEF"/>
    <w:rsid w:val="00AC79AD"/>
    <w:rsid w:val="00AC7AA7"/>
    <w:rsid w:val="00AD0212"/>
    <w:rsid w:val="00AD060B"/>
    <w:rsid w:val="00AD066D"/>
    <w:rsid w:val="00AD0A5F"/>
    <w:rsid w:val="00AD0CC0"/>
    <w:rsid w:val="00AD0DC5"/>
    <w:rsid w:val="00AD0E48"/>
    <w:rsid w:val="00AD0FD1"/>
    <w:rsid w:val="00AD1091"/>
    <w:rsid w:val="00AD1842"/>
    <w:rsid w:val="00AD19E8"/>
    <w:rsid w:val="00AD1AE0"/>
    <w:rsid w:val="00AD1E40"/>
    <w:rsid w:val="00AD239A"/>
    <w:rsid w:val="00AD2462"/>
    <w:rsid w:val="00AD258F"/>
    <w:rsid w:val="00AD2636"/>
    <w:rsid w:val="00AD2643"/>
    <w:rsid w:val="00AD281F"/>
    <w:rsid w:val="00AD2C0D"/>
    <w:rsid w:val="00AD2DEB"/>
    <w:rsid w:val="00AD2E2E"/>
    <w:rsid w:val="00AD30C1"/>
    <w:rsid w:val="00AD3754"/>
    <w:rsid w:val="00AD3C80"/>
    <w:rsid w:val="00AD3D04"/>
    <w:rsid w:val="00AD408E"/>
    <w:rsid w:val="00AD412D"/>
    <w:rsid w:val="00AD4E0B"/>
    <w:rsid w:val="00AD537E"/>
    <w:rsid w:val="00AD53B2"/>
    <w:rsid w:val="00AD5523"/>
    <w:rsid w:val="00AD5AB0"/>
    <w:rsid w:val="00AD5ACB"/>
    <w:rsid w:val="00AD5EE0"/>
    <w:rsid w:val="00AD5FCC"/>
    <w:rsid w:val="00AD62F3"/>
    <w:rsid w:val="00AD66A3"/>
    <w:rsid w:val="00AD679F"/>
    <w:rsid w:val="00AD685E"/>
    <w:rsid w:val="00AD697B"/>
    <w:rsid w:val="00AD6B39"/>
    <w:rsid w:val="00AD71D3"/>
    <w:rsid w:val="00AD76AB"/>
    <w:rsid w:val="00AD7BB8"/>
    <w:rsid w:val="00AD7D0E"/>
    <w:rsid w:val="00AD7D10"/>
    <w:rsid w:val="00AD7D68"/>
    <w:rsid w:val="00AE01AA"/>
    <w:rsid w:val="00AE01D9"/>
    <w:rsid w:val="00AE0610"/>
    <w:rsid w:val="00AE070B"/>
    <w:rsid w:val="00AE07B7"/>
    <w:rsid w:val="00AE0887"/>
    <w:rsid w:val="00AE093A"/>
    <w:rsid w:val="00AE11C4"/>
    <w:rsid w:val="00AE11CC"/>
    <w:rsid w:val="00AE11FE"/>
    <w:rsid w:val="00AE17BE"/>
    <w:rsid w:val="00AE188B"/>
    <w:rsid w:val="00AE1CE9"/>
    <w:rsid w:val="00AE2153"/>
    <w:rsid w:val="00AE2253"/>
    <w:rsid w:val="00AE24CD"/>
    <w:rsid w:val="00AE264A"/>
    <w:rsid w:val="00AE26A9"/>
    <w:rsid w:val="00AE27B5"/>
    <w:rsid w:val="00AE2875"/>
    <w:rsid w:val="00AE28A6"/>
    <w:rsid w:val="00AE291A"/>
    <w:rsid w:val="00AE2D56"/>
    <w:rsid w:val="00AE331C"/>
    <w:rsid w:val="00AE3575"/>
    <w:rsid w:val="00AE3755"/>
    <w:rsid w:val="00AE386A"/>
    <w:rsid w:val="00AE3ABA"/>
    <w:rsid w:val="00AE3F1E"/>
    <w:rsid w:val="00AE40D2"/>
    <w:rsid w:val="00AE40FE"/>
    <w:rsid w:val="00AE4154"/>
    <w:rsid w:val="00AE41E3"/>
    <w:rsid w:val="00AE4360"/>
    <w:rsid w:val="00AE4AD6"/>
    <w:rsid w:val="00AE4D4E"/>
    <w:rsid w:val="00AE503D"/>
    <w:rsid w:val="00AE506B"/>
    <w:rsid w:val="00AE5288"/>
    <w:rsid w:val="00AE5947"/>
    <w:rsid w:val="00AE5B5A"/>
    <w:rsid w:val="00AE5EC6"/>
    <w:rsid w:val="00AE5F27"/>
    <w:rsid w:val="00AE63A1"/>
    <w:rsid w:val="00AE644C"/>
    <w:rsid w:val="00AE6539"/>
    <w:rsid w:val="00AE6596"/>
    <w:rsid w:val="00AE6620"/>
    <w:rsid w:val="00AE67CD"/>
    <w:rsid w:val="00AE68D1"/>
    <w:rsid w:val="00AE6CC8"/>
    <w:rsid w:val="00AE71BA"/>
    <w:rsid w:val="00AE7304"/>
    <w:rsid w:val="00AE739A"/>
    <w:rsid w:val="00AE7A8D"/>
    <w:rsid w:val="00AE7B2C"/>
    <w:rsid w:val="00AE7C1B"/>
    <w:rsid w:val="00AE7F1F"/>
    <w:rsid w:val="00AF0374"/>
    <w:rsid w:val="00AF039B"/>
    <w:rsid w:val="00AF04B1"/>
    <w:rsid w:val="00AF0563"/>
    <w:rsid w:val="00AF09A6"/>
    <w:rsid w:val="00AF0DE1"/>
    <w:rsid w:val="00AF0F7A"/>
    <w:rsid w:val="00AF11BF"/>
    <w:rsid w:val="00AF126D"/>
    <w:rsid w:val="00AF12B7"/>
    <w:rsid w:val="00AF13FE"/>
    <w:rsid w:val="00AF1627"/>
    <w:rsid w:val="00AF18E3"/>
    <w:rsid w:val="00AF1B68"/>
    <w:rsid w:val="00AF1B7F"/>
    <w:rsid w:val="00AF2430"/>
    <w:rsid w:val="00AF2829"/>
    <w:rsid w:val="00AF28B3"/>
    <w:rsid w:val="00AF2A44"/>
    <w:rsid w:val="00AF2B92"/>
    <w:rsid w:val="00AF2CEB"/>
    <w:rsid w:val="00AF2D37"/>
    <w:rsid w:val="00AF3011"/>
    <w:rsid w:val="00AF3241"/>
    <w:rsid w:val="00AF32CA"/>
    <w:rsid w:val="00AF3421"/>
    <w:rsid w:val="00AF3615"/>
    <w:rsid w:val="00AF3BB4"/>
    <w:rsid w:val="00AF3E0B"/>
    <w:rsid w:val="00AF4316"/>
    <w:rsid w:val="00AF43EF"/>
    <w:rsid w:val="00AF4803"/>
    <w:rsid w:val="00AF5004"/>
    <w:rsid w:val="00AF5082"/>
    <w:rsid w:val="00AF5455"/>
    <w:rsid w:val="00AF57AD"/>
    <w:rsid w:val="00AF57D6"/>
    <w:rsid w:val="00AF57D7"/>
    <w:rsid w:val="00AF5920"/>
    <w:rsid w:val="00AF5B0D"/>
    <w:rsid w:val="00AF5CCB"/>
    <w:rsid w:val="00AF5D12"/>
    <w:rsid w:val="00AF5D73"/>
    <w:rsid w:val="00AF5E9D"/>
    <w:rsid w:val="00AF5F54"/>
    <w:rsid w:val="00AF5F58"/>
    <w:rsid w:val="00AF6232"/>
    <w:rsid w:val="00AF6881"/>
    <w:rsid w:val="00AF6B06"/>
    <w:rsid w:val="00AF6E32"/>
    <w:rsid w:val="00AF6EA9"/>
    <w:rsid w:val="00AF6EAC"/>
    <w:rsid w:val="00AF7093"/>
    <w:rsid w:val="00AF7100"/>
    <w:rsid w:val="00AF71A3"/>
    <w:rsid w:val="00AF71FF"/>
    <w:rsid w:val="00AF73AA"/>
    <w:rsid w:val="00AF74D1"/>
    <w:rsid w:val="00AF785A"/>
    <w:rsid w:val="00AF7AA0"/>
    <w:rsid w:val="00AF7BC6"/>
    <w:rsid w:val="00B00305"/>
    <w:rsid w:val="00B005DB"/>
    <w:rsid w:val="00B008D8"/>
    <w:rsid w:val="00B00AAE"/>
    <w:rsid w:val="00B00B6E"/>
    <w:rsid w:val="00B00BAD"/>
    <w:rsid w:val="00B00BE0"/>
    <w:rsid w:val="00B00CDA"/>
    <w:rsid w:val="00B00E0C"/>
    <w:rsid w:val="00B00E27"/>
    <w:rsid w:val="00B00F71"/>
    <w:rsid w:val="00B010D7"/>
    <w:rsid w:val="00B011FB"/>
    <w:rsid w:val="00B0145E"/>
    <w:rsid w:val="00B017CA"/>
    <w:rsid w:val="00B01ABC"/>
    <w:rsid w:val="00B01CA1"/>
    <w:rsid w:val="00B02167"/>
    <w:rsid w:val="00B022ED"/>
    <w:rsid w:val="00B0249C"/>
    <w:rsid w:val="00B0276B"/>
    <w:rsid w:val="00B033BB"/>
    <w:rsid w:val="00B0349F"/>
    <w:rsid w:val="00B034E1"/>
    <w:rsid w:val="00B034F6"/>
    <w:rsid w:val="00B035E7"/>
    <w:rsid w:val="00B037D2"/>
    <w:rsid w:val="00B038EE"/>
    <w:rsid w:val="00B03B46"/>
    <w:rsid w:val="00B03C00"/>
    <w:rsid w:val="00B03DAF"/>
    <w:rsid w:val="00B04157"/>
    <w:rsid w:val="00B042B7"/>
    <w:rsid w:val="00B043CC"/>
    <w:rsid w:val="00B045C6"/>
    <w:rsid w:val="00B0466F"/>
    <w:rsid w:val="00B04905"/>
    <w:rsid w:val="00B0497F"/>
    <w:rsid w:val="00B04B8C"/>
    <w:rsid w:val="00B04BF5"/>
    <w:rsid w:val="00B04D45"/>
    <w:rsid w:val="00B050C9"/>
    <w:rsid w:val="00B05286"/>
    <w:rsid w:val="00B05550"/>
    <w:rsid w:val="00B0561E"/>
    <w:rsid w:val="00B05BC0"/>
    <w:rsid w:val="00B05DBD"/>
    <w:rsid w:val="00B0611D"/>
    <w:rsid w:val="00B063CF"/>
    <w:rsid w:val="00B0647D"/>
    <w:rsid w:val="00B0669B"/>
    <w:rsid w:val="00B067E3"/>
    <w:rsid w:val="00B06848"/>
    <w:rsid w:val="00B0692F"/>
    <w:rsid w:val="00B0701C"/>
    <w:rsid w:val="00B071DA"/>
    <w:rsid w:val="00B073B9"/>
    <w:rsid w:val="00B0752F"/>
    <w:rsid w:val="00B078CA"/>
    <w:rsid w:val="00B078E7"/>
    <w:rsid w:val="00B07907"/>
    <w:rsid w:val="00B0793A"/>
    <w:rsid w:val="00B079D0"/>
    <w:rsid w:val="00B1013F"/>
    <w:rsid w:val="00B102C0"/>
    <w:rsid w:val="00B1031B"/>
    <w:rsid w:val="00B10478"/>
    <w:rsid w:val="00B104E0"/>
    <w:rsid w:val="00B108F2"/>
    <w:rsid w:val="00B10B77"/>
    <w:rsid w:val="00B10D10"/>
    <w:rsid w:val="00B10EFB"/>
    <w:rsid w:val="00B10FC2"/>
    <w:rsid w:val="00B11093"/>
    <w:rsid w:val="00B11688"/>
    <w:rsid w:val="00B11D6E"/>
    <w:rsid w:val="00B122DB"/>
    <w:rsid w:val="00B123D5"/>
    <w:rsid w:val="00B12559"/>
    <w:rsid w:val="00B12940"/>
    <w:rsid w:val="00B12B71"/>
    <w:rsid w:val="00B131A9"/>
    <w:rsid w:val="00B13337"/>
    <w:rsid w:val="00B134D2"/>
    <w:rsid w:val="00B136EC"/>
    <w:rsid w:val="00B136F6"/>
    <w:rsid w:val="00B1395C"/>
    <w:rsid w:val="00B139F7"/>
    <w:rsid w:val="00B13A21"/>
    <w:rsid w:val="00B13E1E"/>
    <w:rsid w:val="00B143C0"/>
    <w:rsid w:val="00B14582"/>
    <w:rsid w:val="00B145B8"/>
    <w:rsid w:val="00B1498E"/>
    <w:rsid w:val="00B14BF6"/>
    <w:rsid w:val="00B14C84"/>
    <w:rsid w:val="00B1548B"/>
    <w:rsid w:val="00B15811"/>
    <w:rsid w:val="00B15CB0"/>
    <w:rsid w:val="00B15DA8"/>
    <w:rsid w:val="00B15DAB"/>
    <w:rsid w:val="00B15F24"/>
    <w:rsid w:val="00B15F37"/>
    <w:rsid w:val="00B16422"/>
    <w:rsid w:val="00B165AE"/>
    <w:rsid w:val="00B168E9"/>
    <w:rsid w:val="00B168F1"/>
    <w:rsid w:val="00B17011"/>
    <w:rsid w:val="00B171F2"/>
    <w:rsid w:val="00B17381"/>
    <w:rsid w:val="00B17832"/>
    <w:rsid w:val="00B17A8C"/>
    <w:rsid w:val="00B17FA8"/>
    <w:rsid w:val="00B2018B"/>
    <w:rsid w:val="00B2062B"/>
    <w:rsid w:val="00B206B5"/>
    <w:rsid w:val="00B20A46"/>
    <w:rsid w:val="00B20BF3"/>
    <w:rsid w:val="00B20F5B"/>
    <w:rsid w:val="00B21280"/>
    <w:rsid w:val="00B215D4"/>
    <w:rsid w:val="00B216CA"/>
    <w:rsid w:val="00B216DF"/>
    <w:rsid w:val="00B218B0"/>
    <w:rsid w:val="00B21B18"/>
    <w:rsid w:val="00B21C47"/>
    <w:rsid w:val="00B21C56"/>
    <w:rsid w:val="00B21D89"/>
    <w:rsid w:val="00B2201E"/>
    <w:rsid w:val="00B2225E"/>
    <w:rsid w:val="00B22462"/>
    <w:rsid w:val="00B224C2"/>
    <w:rsid w:val="00B229EE"/>
    <w:rsid w:val="00B22AA2"/>
    <w:rsid w:val="00B22D65"/>
    <w:rsid w:val="00B22E4E"/>
    <w:rsid w:val="00B2308D"/>
    <w:rsid w:val="00B231C9"/>
    <w:rsid w:val="00B231D7"/>
    <w:rsid w:val="00B2320C"/>
    <w:rsid w:val="00B23593"/>
    <w:rsid w:val="00B23650"/>
    <w:rsid w:val="00B239FD"/>
    <w:rsid w:val="00B23A8F"/>
    <w:rsid w:val="00B23B84"/>
    <w:rsid w:val="00B23C24"/>
    <w:rsid w:val="00B23D78"/>
    <w:rsid w:val="00B23DD8"/>
    <w:rsid w:val="00B23E65"/>
    <w:rsid w:val="00B23F9D"/>
    <w:rsid w:val="00B24111"/>
    <w:rsid w:val="00B2443A"/>
    <w:rsid w:val="00B244CB"/>
    <w:rsid w:val="00B24679"/>
    <w:rsid w:val="00B24BD6"/>
    <w:rsid w:val="00B24ECD"/>
    <w:rsid w:val="00B24FA8"/>
    <w:rsid w:val="00B24FF4"/>
    <w:rsid w:val="00B25149"/>
    <w:rsid w:val="00B25369"/>
    <w:rsid w:val="00B253A5"/>
    <w:rsid w:val="00B2557B"/>
    <w:rsid w:val="00B2558F"/>
    <w:rsid w:val="00B2561A"/>
    <w:rsid w:val="00B25922"/>
    <w:rsid w:val="00B259CA"/>
    <w:rsid w:val="00B25D4E"/>
    <w:rsid w:val="00B25E75"/>
    <w:rsid w:val="00B26084"/>
    <w:rsid w:val="00B264A1"/>
    <w:rsid w:val="00B266C9"/>
    <w:rsid w:val="00B26E0C"/>
    <w:rsid w:val="00B26F45"/>
    <w:rsid w:val="00B2761F"/>
    <w:rsid w:val="00B276D3"/>
    <w:rsid w:val="00B27762"/>
    <w:rsid w:val="00B27A01"/>
    <w:rsid w:val="00B27B7B"/>
    <w:rsid w:val="00B27F20"/>
    <w:rsid w:val="00B30384"/>
    <w:rsid w:val="00B3057A"/>
    <w:rsid w:val="00B305DA"/>
    <w:rsid w:val="00B30639"/>
    <w:rsid w:val="00B307DF"/>
    <w:rsid w:val="00B30CD6"/>
    <w:rsid w:val="00B30E6A"/>
    <w:rsid w:val="00B30FE0"/>
    <w:rsid w:val="00B310A5"/>
    <w:rsid w:val="00B310EA"/>
    <w:rsid w:val="00B31566"/>
    <w:rsid w:val="00B3158C"/>
    <w:rsid w:val="00B31B96"/>
    <w:rsid w:val="00B322F6"/>
    <w:rsid w:val="00B324BA"/>
    <w:rsid w:val="00B32613"/>
    <w:rsid w:val="00B32810"/>
    <w:rsid w:val="00B328CF"/>
    <w:rsid w:val="00B329EF"/>
    <w:rsid w:val="00B32A65"/>
    <w:rsid w:val="00B32A91"/>
    <w:rsid w:val="00B33CE0"/>
    <w:rsid w:val="00B33D1B"/>
    <w:rsid w:val="00B33DCE"/>
    <w:rsid w:val="00B344AE"/>
    <w:rsid w:val="00B345D6"/>
    <w:rsid w:val="00B347C0"/>
    <w:rsid w:val="00B34B87"/>
    <w:rsid w:val="00B34D49"/>
    <w:rsid w:val="00B3509F"/>
    <w:rsid w:val="00B352FE"/>
    <w:rsid w:val="00B35397"/>
    <w:rsid w:val="00B35404"/>
    <w:rsid w:val="00B354E6"/>
    <w:rsid w:val="00B356ED"/>
    <w:rsid w:val="00B35761"/>
    <w:rsid w:val="00B3579A"/>
    <w:rsid w:val="00B35BA9"/>
    <w:rsid w:val="00B3621D"/>
    <w:rsid w:val="00B362C0"/>
    <w:rsid w:val="00B36498"/>
    <w:rsid w:val="00B3662C"/>
    <w:rsid w:val="00B368FB"/>
    <w:rsid w:val="00B36B71"/>
    <w:rsid w:val="00B36D04"/>
    <w:rsid w:val="00B36FD0"/>
    <w:rsid w:val="00B370ED"/>
    <w:rsid w:val="00B37159"/>
    <w:rsid w:val="00B372CB"/>
    <w:rsid w:val="00B376A9"/>
    <w:rsid w:val="00B37766"/>
    <w:rsid w:val="00B403F7"/>
    <w:rsid w:val="00B40509"/>
    <w:rsid w:val="00B406D4"/>
    <w:rsid w:val="00B4088D"/>
    <w:rsid w:val="00B408AA"/>
    <w:rsid w:val="00B40B6F"/>
    <w:rsid w:val="00B40C81"/>
    <w:rsid w:val="00B40C88"/>
    <w:rsid w:val="00B40E35"/>
    <w:rsid w:val="00B41027"/>
    <w:rsid w:val="00B41032"/>
    <w:rsid w:val="00B4167B"/>
    <w:rsid w:val="00B41688"/>
    <w:rsid w:val="00B41F95"/>
    <w:rsid w:val="00B420AF"/>
    <w:rsid w:val="00B420F1"/>
    <w:rsid w:val="00B421DC"/>
    <w:rsid w:val="00B423E0"/>
    <w:rsid w:val="00B42466"/>
    <w:rsid w:val="00B42681"/>
    <w:rsid w:val="00B426A3"/>
    <w:rsid w:val="00B42CA2"/>
    <w:rsid w:val="00B4303B"/>
    <w:rsid w:val="00B4334F"/>
    <w:rsid w:val="00B439D3"/>
    <w:rsid w:val="00B43B3E"/>
    <w:rsid w:val="00B447EF"/>
    <w:rsid w:val="00B44C1F"/>
    <w:rsid w:val="00B44D43"/>
    <w:rsid w:val="00B44DD3"/>
    <w:rsid w:val="00B44E5A"/>
    <w:rsid w:val="00B44EEC"/>
    <w:rsid w:val="00B4533A"/>
    <w:rsid w:val="00B45597"/>
    <w:rsid w:val="00B455AC"/>
    <w:rsid w:val="00B456FC"/>
    <w:rsid w:val="00B4581E"/>
    <w:rsid w:val="00B45835"/>
    <w:rsid w:val="00B461BB"/>
    <w:rsid w:val="00B461C4"/>
    <w:rsid w:val="00B462E0"/>
    <w:rsid w:val="00B46304"/>
    <w:rsid w:val="00B46A3E"/>
    <w:rsid w:val="00B46A68"/>
    <w:rsid w:val="00B46B74"/>
    <w:rsid w:val="00B46D34"/>
    <w:rsid w:val="00B46E16"/>
    <w:rsid w:val="00B470AD"/>
    <w:rsid w:val="00B4715C"/>
    <w:rsid w:val="00B4735F"/>
    <w:rsid w:val="00B473CA"/>
    <w:rsid w:val="00B4747C"/>
    <w:rsid w:val="00B4748E"/>
    <w:rsid w:val="00B4757B"/>
    <w:rsid w:val="00B47991"/>
    <w:rsid w:val="00B479BD"/>
    <w:rsid w:val="00B47AE2"/>
    <w:rsid w:val="00B47D11"/>
    <w:rsid w:val="00B47F2A"/>
    <w:rsid w:val="00B50216"/>
    <w:rsid w:val="00B503CE"/>
    <w:rsid w:val="00B506C9"/>
    <w:rsid w:val="00B5074F"/>
    <w:rsid w:val="00B5095B"/>
    <w:rsid w:val="00B50B72"/>
    <w:rsid w:val="00B50C22"/>
    <w:rsid w:val="00B50CBD"/>
    <w:rsid w:val="00B5124D"/>
    <w:rsid w:val="00B513BB"/>
    <w:rsid w:val="00B5158F"/>
    <w:rsid w:val="00B517DC"/>
    <w:rsid w:val="00B518DF"/>
    <w:rsid w:val="00B51DB2"/>
    <w:rsid w:val="00B525E5"/>
    <w:rsid w:val="00B526DD"/>
    <w:rsid w:val="00B529BE"/>
    <w:rsid w:val="00B52C00"/>
    <w:rsid w:val="00B52C09"/>
    <w:rsid w:val="00B52C69"/>
    <w:rsid w:val="00B52E00"/>
    <w:rsid w:val="00B52F56"/>
    <w:rsid w:val="00B52FB3"/>
    <w:rsid w:val="00B52FD4"/>
    <w:rsid w:val="00B53382"/>
    <w:rsid w:val="00B534D9"/>
    <w:rsid w:val="00B53874"/>
    <w:rsid w:val="00B538E3"/>
    <w:rsid w:val="00B53D5C"/>
    <w:rsid w:val="00B53EC4"/>
    <w:rsid w:val="00B54092"/>
    <w:rsid w:val="00B542F9"/>
    <w:rsid w:val="00B5447E"/>
    <w:rsid w:val="00B544D9"/>
    <w:rsid w:val="00B5476E"/>
    <w:rsid w:val="00B54F02"/>
    <w:rsid w:val="00B54F85"/>
    <w:rsid w:val="00B550A4"/>
    <w:rsid w:val="00B55137"/>
    <w:rsid w:val="00B55833"/>
    <w:rsid w:val="00B55AEA"/>
    <w:rsid w:val="00B55EA7"/>
    <w:rsid w:val="00B560AC"/>
    <w:rsid w:val="00B56703"/>
    <w:rsid w:val="00B573F9"/>
    <w:rsid w:val="00B57A55"/>
    <w:rsid w:val="00B57DC6"/>
    <w:rsid w:val="00B604EE"/>
    <w:rsid w:val="00B605B9"/>
    <w:rsid w:val="00B605D8"/>
    <w:rsid w:val="00B606C5"/>
    <w:rsid w:val="00B606C8"/>
    <w:rsid w:val="00B608F7"/>
    <w:rsid w:val="00B60A2F"/>
    <w:rsid w:val="00B60ABC"/>
    <w:rsid w:val="00B60B4C"/>
    <w:rsid w:val="00B60D56"/>
    <w:rsid w:val="00B60F8C"/>
    <w:rsid w:val="00B611DA"/>
    <w:rsid w:val="00B613B1"/>
    <w:rsid w:val="00B61652"/>
    <w:rsid w:val="00B619B6"/>
    <w:rsid w:val="00B61C98"/>
    <w:rsid w:val="00B61D05"/>
    <w:rsid w:val="00B61F26"/>
    <w:rsid w:val="00B620A9"/>
    <w:rsid w:val="00B626B0"/>
    <w:rsid w:val="00B62828"/>
    <w:rsid w:val="00B62CC8"/>
    <w:rsid w:val="00B62E25"/>
    <w:rsid w:val="00B62E9A"/>
    <w:rsid w:val="00B62F58"/>
    <w:rsid w:val="00B62FF2"/>
    <w:rsid w:val="00B63048"/>
    <w:rsid w:val="00B63235"/>
    <w:rsid w:val="00B63285"/>
    <w:rsid w:val="00B632FF"/>
    <w:rsid w:val="00B63334"/>
    <w:rsid w:val="00B63454"/>
    <w:rsid w:val="00B63545"/>
    <w:rsid w:val="00B6371B"/>
    <w:rsid w:val="00B63829"/>
    <w:rsid w:val="00B63945"/>
    <w:rsid w:val="00B6395A"/>
    <w:rsid w:val="00B63960"/>
    <w:rsid w:val="00B639A5"/>
    <w:rsid w:val="00B63AD9"/>
    <w:rsid w:val="00B641D9"/>
    <w:rsid w:val="00B64248"/>
    <w:rsid w:val="00B6431B"/>
    <w:rsid w:val="00B6444A"/>
    <w:rsid w:val="00B64680"/>
    <w:rsid w:val="00B6489C"/>
    <w:rsid w:val="00B64AC3"/>
    <w:rsid w:val="00B64B6E"/>
    <w:rsid w:val="00B64BC0"/>
    <w:rsid w:val="00B64BFD"/>
    <w:rsid w:val="00B64E59"/>
    <w:rsid w:val="00B65338"/>
    <w:rsid w:val="00B65540"/>
    <w:rsid w:val="00B65578"/>
    <w:rsid w:val="00B65741"/>
    <w:rsid w:val="00B6578A"/>
    <w:rsid w:val="00B65960"/>
    <w:rsid w:val="00B65985"/>
    <w:rsid w:val="00B65D04"/>
    <w:rsid w:val="00B6603D"/>
    <w:rsid w:val="00B6614C"/>
    <w:rsid w:val="00B661CE"/>
    <w:rsid w:val="00B66207"/>
    <w:rsid w:val="00B665DA"/>
    <w:rsid w:val="00B665FB"/>
    <w:rsid w:val="00B66926"/>
    <w:rsid w:val="00B66984"/>
    <w:rsid w:val="00B66C66"/>
    <w:rsid w:val="00B66C7F"/>
    <w:rsid w:val="00B66CC6"/>
    <w:rsid w:val="00B66DE9"/>
    <w:rsid w:val="00B6722B"/>
    <w:rsid w:val="00B67548"/>
    <w:rsid w:val="00B67637"/>
    <w:rsid w:val="00B67725"/>
    <w:rsid w:val="00B679EB"/>
    <w:rsid w:val="00B67ADE"/>
    <w:rsid w:val="00B67D2C"/>
    <w:rsid w:val="00B67DB7"/>
    <w:rsid w:val="00B702F2"/>
    <w:rsid w:val="00B70584"/>
    <w:rsid w:val="00B7068E"/>
    <w:rsid w:val="00B707AD"/>
    <w:rsid w:val="00B70859"/>
    <w:rsid w:val="00B70876"/>
    <w:rsid w:val="00B708DD"/>
    <w:rsid w:val="00B70ABE"/>
    <w:rsid w:val="00B70C08"/>
    <w:rsid w:val="00B711DC"/>
    <w:rsid w:val="00B7147D"/>
    <w:rsid w:val="00B715E7"/>
    <w:rsid w:val="00B716EB"/>
    <w:rsid w:val="00B71907"/>
    <w:rsid w:val="00B71A50"/>
    <w:rsid w:val="00B71C91"/>
    <w:rsid w:val="00B71CBD"/>
    <w:rsid w:val="00B71CED"/>
    <w:rsid w:val="00B71DEF"/>
    <w:rsid w:val="00B71F25"/>
    <w:rsid w:val="00B72054"/>
    <w:rsid w:val="00B727C6"/>
    <w:rsid w:val="00B72A50"/>
    <w:rsid w:val="00B72B26"/>
    <w:rsid w:val="00B72BBA"/>
    <w:rsid w:val="00B72CF3"/>
    <w:rsid w:val="00B72D88"/>
    <w:rsid w:val="00B72EF0"/>
    <w:rsid w:val="00B73316"/>
    <w:rsid w:val="00B733A7"/>
    <w:rsid w:val="00B735ED"/>
    <w:rsid w:val="00B74562"/>
    <w:rsid w:val="00B748CD"/>
    <w:rsid w:val="00B74B0F"/>
    <w:rsid w:val="00B74C44"/>
    <w:rsid w:val="00B74C88"/>
    <w:rsid w:val="00B759E8"/>
    <w:rsid w:val="00B75C0C"/>
    <w:rsid w:val="00B763D2"/>
    <w:rsid w:val="00B7660C"/>
    <w:rsid w:val="00B76637"/>
    <w:rsid w:val="00B7666F"/>
    <w:rsid w:val="00B76864"/>
    <w:rsid w:val="00B769F2"/>
    <w:rsid w:val="00B76FE0"/>
    <w:rsid w:val="00B77025"/>
    <w:rsid w:val="00B77063"/>
    <w:rsid w:val="00B7758F"/>
    <w:rsid w:val="00B77A57"/>
    <w:rsid w:val="00B80349"/>
    <w:rsid w:val="00B80487"/>
    <w:rsid w:val="00B806FE"/>
    <w:rsid w:val="00B8070A"/>
    <w:rsid w:val="00B8075E"/>
    <w:rsid w:val="00B809A0"/>
    <w:rsid w:val="00B809C0"/>
    <w:rsid w:val="00B80C26"/>
    <w:rsid w:val="00B80C72"/>
    <w:rsid w:val="00B80D9F"/>
    <w:rsid w:val="00B80F08"/>
    <w:rsid w:val="00B8114F"/>
    <w:rsid w:val="00B81656"/>
    <w:rsid w:val="00B81748"/>
    <w:rsid w:val="00B817DC"/>
    <w:rsid w:val="00B81844"/>
    <w:rsid w:val="00B81C7B"/>
    <w:rsid w:val="00B81E36"/>
    <w:rsid w:val="00B81F80"/>
    <w:rsid w:val="00B820E4"/>
    <w:rsid w:val="00B8247D"/>
    <w:rsid w:val="00B82762"/>
    <w:rsid w:val="00B827DE"/>
    <w:rsid w:val="00B8296B"/>
    <w:rsid w:val="00B82A38"/>
    <w:rsid w:val="00B82F5F"/>
    <w:rsid w:val="00B83404"/>
    <w:rsid w:val="00B838C9"/>
    <w:rsid w:val="00B83A12"/>
    <w:rsid w:val="00B83A5C"/>
    <w:rsid w:val="00B83C15"/>
    <w:rsid w:val="00B842D3"/>
    <w:rsid w:val="00B845F9"/>
    <w:rsid w:val="00B84748"/>
    <w:rsid w:val="00B849A6"/>
    <w:rsid w:val="00B84A19"/>
    <w:rsid w:val="00B84C25"/>
    <w:rsid w:val="00B84D25"/>
    <w:rsid w:val="00B84F29"/>
    <w:rsid w:val="00B84F95"/>
    <w:rsid w:val="00B8519E"/>
    <w:rsid w:val="00B85374"/>
    <w:rsid w:val="00B85610"/>
    <w:rsid w:val="00B85696"/>
    <w:rsid w:val="00B858D3"/>
    <w:rsid w:val="00B85B62"/>
    <w:rsid w:val="00B85C03"/>
    <w:rsid w:val="00B85D76"/>
    <w:rsid w:val="00B85DAC"/>
    <w:rsid w:val="00B8605C"/>
    <w:rsid w:val="00B86347"/>
    <w:rsid w:val="00B8659B"/>
    <w:rsid w:val="00B86953"/>
    <w:rsid w:val="00B86A9D"/>
    <w:rsid w:val="00B86D4C"/>
    <w:rsid w:val="00B86F2E"/>
    <w:rsid w:val="00B86F83"/>
    <w:rsid w:val="00B872A2"/>
    <w:rsid w:val="00B87593"/>
    <w:rsid w:val="00B875A1"/>
    <w:rsid w:val="00B87B82"/>
    <w:rsid w:val="00B87DC8"/>
    <w:rsid w:val="00B87F02"/>
    <w:rsid w:val="00B90186"/>
    <w:rsid w:val="00B9024B"/>
    <w:rsid w:val="00B902B7"/>
    <w:rsid w:val="00B9035E"/>
    <w:rsid w:val="00B905E5"/>
    <w:rsid w:val="00B9072C"/>
    <w:rsid w:val="00B90858"/>
    <w:rsid w:val="00B90927"/>
    <w:rsid w:val="00B90AC6"/>
    <w:rsid w:val="00B90D26"/>
    <w:rsid w:val="00B9104B"/>
    <w:rsid w:val="00B91077"/>
    <w:rsid w:val="00B9115F"/>
    <w:rsid w:val="00B9118A"/>
    <w:rsid w:val="00B914B1"/>
    <w:rsid w:val="00B9162A"/>
    <w:rsid w:val="00B91BA5"/>
    <w:rsid w:val="00B91D40"/>
    <w:rsid w:val="00B91FFE"/>
    <w:rsid w:val="00B9230E"/>
    <w:rsid w:val="00B923C8"/>
    <w:rsid w:val="00B92531"/>
    <w:rsid w:val="00B9267F"/>
    <w:rsid w:val="00B92A21"/>
    <w:rsid w:val="00B92E93"/>
    <w:rsid w:val="00B92F9C"/>
    <w:rsid w:val="00B930FB"/>
    <w:rsid w:val="00B93605"/>
    <w:rsid w:val="00B9365C"/>
    <w:rsid w:val="00B937A6"/>
    <w:rsid w:val="00B939C7"/>
    <w:rsid w:val="00B93E9B"/>
    <w:rsid w:val="00B93EB3"/>
    <w:rsid w:val="00B94043"/>
    <w:rsid w:val="00B940A9"/>
    <w:rsid w:val="00B9426A"/>
    <w:rsid w:val="00B94412"/>
    <w:rsid w:val="00B9446B"/>
    <w:rsid w:val="00B94560"/>
    <w:rsid w:val="00B946F5"/>
    <w:rsid w:val="00B9485E"/>
    <w:rsid w:val="00B94B41"/>
    <w:rsid w:val="00B94CD5"/>
    <w:rsid w:val="00B94DAC"/>
    <w:rsid w:val="00B95097"/>
    <w:rsid w:val="00B953DE"/>
    <w:rsid w:val="00B9547D"/>
    <w:rsid w:val="00B958DE"/>
    <w:rsid w:val="00B95AB2"/>
    <w:rsid w:val="00B95C43"/>
    <w:rsid w:val="00B95C59"/>
    <w:rsid w:val="00B96064"/>
    <w:rsid w:val="00B96082"/>
    <w:rsid w:val="00B9608B"/>
    <w:rsid w:val="00B961E7"/>
    <w:rsid w:val="00B96A23"/>
    <w:rsid w:val="00B96BCB"/>
    <w:rsid w:val="00B96D5A"/>
    <w:rsid w:val="00B96DCA"/>
    <w:rsid w:val="00B96F4F"/>
    <w:rsid w:val="00B96FCD"/>
    <w:rsid w:val="00B97170"/>
    <w:rsid w:val="00B9743D"/>
    <w:rsid w:val="00B9753D"/>
    <w:rsid w:val="00B9768A"/>
    <w:rsid w:val="00B976B5"/>
    <w:rsid w:val="00BA0110"/>
    <w:rsid w:val="00BA0183"/>
    <w:rsid w:val="00BA0948"/>
    <w:rsid w:val="00BA0F86"/>
    <w:rsid w:val="00BA10CB"/>
    <w:rsid w:val="00BA11F9"/>
    <w:rsid w:val="00BA123B"/>
    <w:rsid w:val="00BA12EF"/>
    <w:rsid w:val="00BA14C5"/>
    <w:rsid w:val="00BA1510"/>
    <w:rsid w:val="00BA1737"/>
    <w:rsid w:val="00BA1AF4"/>
    <w:rsid w:val="00BA1CC8"/>
    <w:rsid w:val="00BA1DB6"/>
    <w:rsid w:val="00BA1F97"/>
    <w:rsid w:val="00BA20C4"/>
    <w:rsid w:val="00BA2128"/>
    <w:rsid w:val="00BA25FD"/>
    <w:rsid w:val="00BA2A33"/>
    <w:rsid w:val="00BA2DC9"/>
    <w:rsid w:val="00BA2E90"/>
    <w:rsid w:val="00BA301D"/>
    <w:rsid w:val="00BA3095"/>
    <w:rsid w:val="00BA31E2"/>
    <w:rsid w:val="00BA32CE"/>
    <w:rsid w:val="00BA3556"/>
    <w:rsid w:val="00BA35CF"/>
    <w:rsid w:val="00BA3A02"/>
    <w:rsid w:val="00BA3D31"/>
    <w:rsid w:val="00BA3D8A"/>
    <w:rsid w:val="00BA43E2"/>
    <w:rsid w:val="00BA4508"/>
    <w:rsid w:val="00BA4537"/>
    <w:rsid w:val="00BA461F"/>
    <w:rsid w:val="00BA4863"/>
    <w:rsid w:val="00BA5081"/>
    <w:rsid w:val="00BA517F"/>
    <w:rsid w:val="00BA534F"/>
    <w:rsid w:val="00BA5463"/>
    <w:rsid w:val="00BA5C8F"/>
    <w:rsid w:val="00BA5CF8"/>
    <w:rsid w:val="00BA5DBE"/>
    <w:rsid w:val="00BA5F19"/>
    <w:rsid w:val="00BA61E2"/>
    <w:rsid w:val="00BA6215"/>
    <w:rsid w:val="00BA62C0"/>
    <w:rsid w:val="00BA660D"/>
    <w:rsid w:val="00BA66C3"/>
    <w:rsid w:val="00BA683A"/>
    <w:rsid w:val="00BA6AD3"/>
    <w:rsid w:val="00BA6E9D"/>
    <w:rsid w:val="00BA724F"/>
    <w:rsid w:val="00BA7357"/>
    <w:rsid w:val="00BA76AD"/>
    <w:rsid w:val="00BA76B6"/>
    <w:rsid w:val="00BA79F2"/>
    <w:rsid w:val="00BA7E85"/>
    <w:rsid w:val="00BA7F4B"/>
    <w:rsid w:val="00BB02FE"/>
    <w:rsid w:val="00BB03D9"/>
    <w:rsid w:val="00BB08AA"/>
    <w:rsid w:val="00BB0B55"/>
    <w:rsid w:val="00BB0BA7"/>
    <w:rsid w:val="00BB0C5B"/>
    <w:rsid w:val="00BB0E10"/>
    <w:rsid w:val="00BB1072"/>
    <w:rsid w:val="00BB11F6"/>
    <w:rsid w:val="00BB14B6"/>
    <w:rsid w:val="00BB150A"/>
    <w:rsid w:val="00BB1B18"/>
    <w:rsid w:val="00BB1BBB"/>
    <w:rsid w:val="00BB1D2E"/>
    <w:rsid w:val="00BB1FEA"/>
    <w:rsid w:val="00BB2134"/>
    <w:rsid w:val="00BB2353"/>
    <w:rsid w:val="00BB261A"/>
    <w:rsid w:val="00BB286E"/>
    <w:rsid w:val="00BB2A30"/>
    <w:rsid w:val="00BB2C30"/>
    <w:rsid w:val="00BB2E0F"/>
    <w:rsid w:val="00BB2E32"/>
    <w:rsid w:val="00BB2FD5"/>
    <w:rsid w:val="00BB31A4"/>
    <w:rsid w:val="00BB3533"/>
    <w:rsid w:val="00BB3AAB"/>
    <w:rsid w:val="00BB3E31"/>
    <w:rsid w:val="00BB3FD6"/>
    <w:rsid w:val="00BB41A1"/>
    <w:rsid w:val="00BB41F3"/>
    <w:rsid w:val="00BB4408"/>
    <w:rsid w:val="00BB4461"/>
    <w:rsid w:val="00BB45CA"/>
    <w:rsid w:val="00BB4679"/>
    <w:rsid w:val="00BB4A26"/>
    <w:rsid w:val="00BB4B5B"/>
    <w:rsid w:val="00BB4C23"/>
    <w:rsid w:val="00BB53EC"/>
    <w:rsid w:val="00BB5875"/>
    <w:rsid w:val="00BB59C2"/>
    <w:rsid w:val="00BB6125"/>
    <w:rsid w:val="00BB63EB"/>
    <w:rsid w:val="00BB65E3"/>
    <w:rsid w:val="00BB675F"/>
    <w:rsid w:val="00BB6D1E"/>
    <w:rsid w:val="00BB6FCF"/>
    <w:rsid w:val="00BB702B"/>
    <w:rsid w:val="00BB7045"/>
    <w:rsid w:val="00BB7231"/>
    <w:rsid w:val="00BB72F1"/>
    <w:rsid w:val="00BB755E"/>
    <w:rsid w:val="00BB794A"/>
    <w:rsid w:val="00BB79DE"/>
    <w:rsid w:val="00BB7B3A"/>
    <w:rsid w:val="00BB7C36"/>
    <w:rsid w:val="00BC001E"/>
    <w:rsid w:val="00BC010F"/>
    <w:rsid w:val="00BC02F8"/>
    <w:rsid w:val="00BC03C0"/>
    <w:rsid w:val="00BC03F0"/>
    <w:rsid w:val="00BC046C"/>
    <w:rsid w:val="00BC04A3"/>
    <w:rsid w:val="00BC04CE"/>
    <w:rsid w:val="00BC09E0"/>
    <w:rsid w:val="00BC09F9"/>
    <w:rsid w:val="00BC0B2C"/>
    <w:rsid w:val="00BC0D58"/>
    <w:rsid w:val="00BC0E8C"/>
    <w:rsid w:val="00BC1197"/>
    <w:rsid w:val="00BC18D7"/>
    <w:rsid w:val="00BC1C5A"/>
    <w:rsid w:val="00BC1D63"/>
    <w:rsid w:val="00BC1D75"/>
    <w:rsid w:val="00BC1DC1"/>
    <w:rsid w:val="00BC1E57"/>
    <w:rsid w:val="00BC1ED1"/>
    <w:rsid w:val="00BC1F24"/>
    <w:rsid w:val="00BC2107"/>
    <w:rsid w:val="00BC2500"/>
    <w:rsid w:val="00BC25B7"/>
    <w:rsid w:val="00BC32C7"/>
    <w:rsid w:val="00BC3729"/>
    <w:rsid w:val="00BC3861"/>
    <w:rsid w:val="00BC394B"/>
    <w:rsid w:val="00BC3B9C"/>
    <w:rsid w:val="00BC3C3F"/>
    <w:rsid w:val="00BC3C4E"/>
    <w:rsid w:val="00BC3E4E"/>
    <w:rsid w:val="00BC40C9"/>
    <w:rsid w:val="00BC41B3"/>
    <w:rsid w:val="00BC447F"/>
    <w:rsid w:val="00BC4547"/>
    <w:rsid w:val="00BC46EA"/>
    <w:rsid w:val="00BC47C5"/>
    <w:rsid w:val="00BC4C77"/>
    <w:rsid w:val="00BC4DA6"/>
    <w:rsid w:val="00BC52B1"/>
    <w:rsid w:val="00BC5428"/>
    <w:rsid w:val="00BC5511"/>
    <w:rsid w:val="00BC563F"/>
    <w:rsid w:val="00BC5A2A"/>
    <w:rsid w:val="00BC5BA9"/>
    <w:rsid w:val="00BC5D1B"/>
    <w:rsid w:val="00BC5D39"/>
    <w:rsid w:val="00BC5DD8"/>
    <w:rsid w:val="00BC5E5C"/>
    <w:rsid w:val="00BC62E2"/>
    <w:rsid w:val="00BC6302"/>
    <w:rsid w:val="00BC6396"/>
    <w:rsid w:val="00BC6971"/>
    <w:rsid w:val="00BC6C31"/>
    <w:rsid w:val="00BC724D"/>
    <w:rsid w:val="00BC7348"/>
    <w:rsid w:val="00BC7407"/>
    <w:rsid w:val="00BC7493"/>
    <w:rsid w:val="00BC7546"/>
    <w:rsid w:val="00BC771D"/>
    <w:rsid w:val="00BC7982"/>
    <w:rsid w:val="00BC7C0C"/>
    <w:rsid w:val="00BD0181"/>
    <w:rsid w:val="00BD0327"/>
    <w:rsid w:val="00BD043F"/>
    <w:rsid w:val="00BD0CDD"/>
    <w:rsid w:val="00BD0D8B"/>
    <w:rsid w:val="00BD0EEF"/>
    <w:rsid w:val="00BD0FBB"/>
    <w:rsid w:val="00BD132A"/>
    <w:rsid w:val="00BD145E"/>
    <w:rsid w:val="00BD151B"/>
    <w:rsid w:val="00BD152D"/>
    <w:rsid w:val="00BD1532"/>
    <w:rsid w:val="00BD1BE1"/>
    <w:rsid w:val="00BD1BF4"/>
    <w:rsid w:val="00BD23A0"/>
    <w:rsid w:val="00BD2502"/>
    <w:rsid w:val="00BD2CA2"/>
    <w:rsid w:val="00BD3098"/>
    <w:rsid w:val="00BD340E"/>
    <w:rsid w:val="00BD351F"/>
    <w:rsid w:val="00BD366A"/>
    <w:rsid w:val="00BD3996"/>
    <w:rsid w:val="00BD39DF"/>
    <w:rsid w:val="00BD3AC0"/>
    <w:rsid w:val="00BD3EE0"/>
    <w:rsid w:val="00BD4030"/>
    <w:rsid w:val="00BD4113"/>
    <w:rsid w:val="00BD46EE"/>
    <w:rsid w:val="00BD4896"/>
    <w:rsid w:val="00BD4ABC"/>
    <w:rsid w:val="00BD4DBE"/>
    <w:rsid w:val="00BD4F45"/>
    <w:rsid w:val="00BD4F4C"/>
    <w:rsid w:val="00BD53DA"/>
    <w:rsid w:val="00BD550C"/>
    <w:rsid w:val="00BD55CC"/>
    <w:rsid w:val="00BD58CC"/>
    <w:rsid w:val="00BD5968"/>
    <w:rsid w:val="00BD5A0A"/>
    <w:rsid w:val="00BD5C9E"/>
    <w:rsid w:val="00BD5CF9"/>
    <w:rsid w:val="00BD5E20"/>
    <w:rsid w:val="00BD5EC1"/>
    <w:rsid w:val="00BD61E2"/>
    <w:rsid w:val="00BD6223"/>
    <w:rsid w:val="00BD6344"/>
    <w:rsid w:val="00BD636C"/>
    <w:rsid w:val="00BD6448"/>
    <w:rsid w:val="00BD6803"/>
    <w:rsid w:val="00BD697A"/>
    <w:rsid w:val="00BD6B2C"/>
    <w:rsid w:val="00BD6EF6"/>
    <w:rsid w:val="00BD6F7C"/>
    <w:rsid w:val="00BD6FA1"/>
    <w:rsid w:val="00BD6FFC"/>
    <w:rsid w:val="00BD70A5"/>
    <w:rsid w:val="00BD7186"/>
    <w:rsid w:val="00BD72BB"/>
    <w:rsid w:val="00BD748B"/>
    <w:rsid w:val="00BD787D"/>
    <w:rsid w:val="00BD7A6F"/>
    <w:rsid w:val="00BD7F74"/>
    <w:rsid w:val="00BE0021"/>
    <w:rsid w:val="00BE00DF"/>
    <w:rsid w:val="00BE019C"/>
    <w:rsid w:val="00BE0441"/>
    <w:rsid w:val="00BE1007"/>
    <w:rsid w:val="00BE1043"/>
    <w:rsid w:val="00BE10F4"/>
    <w:rsid w:val="00BE14E1"/>
    <w:rsid w:val="00BE1525"/>
    <w:rsid w:val="00BE1646"/>
    <w:rsid w:val="00BE1674"/>
    <w:rsid w:val="00BE1741"/>
    <w:rsid w:val="00BE18F7"/>
    <w:rsid w:val="00BE1A2E"/>
    <w:rsid w:val="00BE1CC1"/>
    <w:rsid w:val="00BE21A2"/>
    <w:rsid w:val="00BE242A"/>
    <w:rsid w:val="00BE2775"/>
    <w:rsid w:val="00BE293D"/>
    <w:rsid w:val="00BE2C36"/>
    <w:rsid w:val="00BE34E1"/>
    <w:rsid w:val="00BE3725"/>
    <w:rsid w:val="00BE382B"/>
    <w:rsid w:val="00BE3B34"/>
    <w:rsid w:val="00BE3B5F"/>
    <w:rsid w:val="00BE3E2E"/>
    <w:rsid w:val="00BE4003"/>
    <w:rsid w:val="00BE4412"/>
    <w:rsid w:val="00BE4EE2"/>
    <w:rsid w:val="00BE4FA3"/>
    <w:rsid w:val="00BE51D1"/>
    <w:rsid w:val="00BE545D"/>
    <w:rsid w:val="00BE591C"/>
    <w:rsid w:val="00BE5942"/>
    <w:rsid w:val="00BE5943"/>
    <w:rsid w:val="00BE5C06"/>
    <w:rsid w:val="00BE5C5C"/>
    <w:rsid w:val="00BE5DA1"/>
    <w:rsid w:val="00BE5FFE"/>
    <w:rsid w:val="00BE650C"/>
    <w:rsid w:val="00BE6524"/>
    <w:rsid w:val="00BE657F"/>
    <w:rsid w:val="00BE6C42"/>
    <w:rsid w:val="00BE6C46"/>
    <w:rsid w:val="00BE6D51"/>
    <w:rsid w:val="00BE6E4F"/>
    <w:rsid w:val="00BE6E56"/>
    <w:rsid w:val="00BE6E69"/>
    <w:rsid w:val="00BE703C"/>
    <w:rsid w:val="00BE7189"/>
    <w:rsid w:val="00BE72E9"/>
    <w:rsid w:val="00BE785F"/>
    <w:rsid w:val="00BE78BD"/>
    <w:rsid w:val="00BE7972"/>
    <w:rsid w:val="00BE7A9C"/>
    <w:rsid w:val="00BE7C01"/>
    <w:rsid w:val="00BF0095"/>
    <w:rsid w:val="00BF0186"/>
    <w:rsid w:val="00BF046C"/>
    <w:rsid w:val="00BF0652"/>
    <w:rsid w:val="00BF0C13"/>
    <w:rsid w:val="00BF0C2D"/>
    <w:rsid w:val="00BF0E5F"/>
    <w:rsid w:val="00BF0ECC"/>
    <w:rsid w:val="00BF118D"/>
    <w:rsid w:val="00BF14C5"/>
    <w:rsid w:val="00BF14F1"/>
    <w:rsid w:val="00BF16A1"/>
    <w:rsid w:val="00BF1787"/>
    <w:rsid w:val="00BF1A6C"/>
    <w:rsid w:val="00BF1C6C"/>
    <w:rsid w:val="00BF1D89"/>
    <w:rsid w:val="00BF1E40"/>
    <w:rsid w:val="00BF207D"/>
    <w:rsid w:val="00BF23C6"/>
    <w:rsid w:val="00BF245D"/>
    <w:rsid w:val="00BF2497"/>
    <w:rsid w:val="00BF24A8"/>
    <w:rsid w:val="00BF26A7"/>
    <w:rsid w:val="00BF26FA"/>
    <w:rsid w:val="00BF2AC2"/>
    <w:rsid w:val="00BF2DE8"/>
    <w:rsid w:val="00BF3191"/>
    <w:rsid w:val="00BF32E6"/>
    <w:rsid w:val="00BF32F8"/>
    <w:rsid w:val="00BF3328"/>
    <w:rsid w:val="00BF3416"/>
    <w:rsid w:val="00BF35B8"/>
    <w:rsid w:val="00BF35CA"/>
    <w:rsid w:val="00BF39D6"/>
    <w:rsid w:val="00BF3AED"/>
    <w:rsid w:val="00BF3BFC"/>
    <w:rsid w:val="00BF3E39"/>
    <w:rsid w:val="00BF3F7F"/>
    <w:rsid w:val="00BF412C"/>
    <w:rsid w:val="00BF4806"/>
    <w:rsid w:val="00BF4AA4"/>
    <w:rsid w:val="00BF4D78"/>
    <w:rsid w:val="00BF4DD2"/>
    <w:rsid w:val="00BF4E7E"/>
    <w:rsid w:val="00BF4EAD"/>
    <w:rsid w:val="00BF556B"/>
    <w:rsid w:val="00BF59CE"/>
    <w:rsid w:val="00BF5D22"/>
    <w:rsid w:val="00BF604E"/>
    <w:rsid w:val="00BF64EC"/>
    <w:rsid w:val="00BF6605"/>
    <w:rsid w:val="00BF6971"/>
    <w:rsid w:val="00BF6FE9"/>
    <w:rsid w:val="00BF7081"/>
    <w:rsid w:val="00BF72E6"/>
    <w:rsid w:val="00BF7718"/>
    <w:rsid w:val="00BF78F2"/>
    <w:rsid w:val="00BF7921"/>
    <w:rsid w:val="00BF7952"/>
    <w:rsid w:val="00BF7A85"/>
    <w:rsid w:val="00BF7B4F"/>
    <w:rsid w:val="00BF7DD4"/>
    <w:rsid w:val="00BF7FBC"/>
    <w:rsid w:val="00C0028D"/>
    <w:rsid w:val="00C0075E"/>
    <w:rsid w:val="00C009E7"/>
    <w:rsid w:val="00C00A36"/>
    <w:rsid w:val="00C00ACD"/>
    <w:rsid w:val="00C00BEB"/>
    <w:rsid w:val="00C00D71"/>
    <w:rsid w:val="00C00FB1"/>
    <w:rsid w:val="00C011D0"/>
    <w:rsid w:val="00C01219"/>
    <w:rsid w:val="00C012A7"/>
    <w:rsid w:val="00C01318"/>
    <w:rsid w:val="00C01A10"/>
    <w:rsid w:val="00C02892"/>
    <w:rsid w:val="00C02E52"/>
    <w:rsid w:val="00C02FAB"/>
    <w:rsid w:val="00C02FD8"/>
    <w:rsid w:val="00C0329B"/>
    <w:rsid w:val="00C0355F"/>
    <w:rsid w:val="00C035E9"/>
    <w:rsid w:val="00C0366C"/>
    <w:rsid w:val="00C040D1"/>
    <w:rsid w:val="00C04187"/>
    <w:rsid w:val="00C045D2"/>
    <w:rsid w:val="00C046CB"/>
    <w:rsid w:val="00C04743"/>
    <w:rsid w:val="00C05474"/>
    <w:rsid w:val="00C05B27"/>
    <w:rsid w:val="00C05B6A"/>
    <w:rsid w:val="00C05C71"/>
    <w:rsid w:val="00C05CC3"/>
    <w:rsid w:val="00C05CF8"/>
    <w:rsid w:val="00C05D66"/>
    <w:rsid w:val="00C06241"/>
    <w:rsid w:val="00C06398"/>
    <w:rsid w:val="00C06425"/>
    <w:rsid w:val="00C06541"/>
    <w:rsid w:val="00C065E3"/>
    <w:rsid w:val="00C065FF"/>
    <w:rsid w:val="00C06846"/>
    <w:rsid w:val="00C06C66"/>
    <w:rsid w:val="00C06CE4"/>
    <w:rsid w:val="00C06DF2"/>
    <w:rsid w:val="00C06DF5"/>
    <w:rsid w:val="00C070CD"/>
    <w:rsid w:val="00C07109"/>
    <w:rsid w:val="00C07111"/>
    <w:rsid w:val="00C071AA"/>
    <w:rsid w:val="00C075D1"/>
    <w:rsid w:val="00C076C0"/>
    <w:rsid w:val="00C077EF"/>
    <w:rsid w:val="00C0785A"/>
    <w:rsid w:val="00C07891"/>
    <w:rsid w:val="00C07AE5"/>
    <w:rsid w:val="00C07BC5"/>
    <w:rsid w:val="00C07BD6"/>
    <w:rsid w:val="00C07EEC"/>
    <w:rsid w:val="00C10066"/>
    <w:rsid w:val="00C10170"/>
    <w:rsid w:val="00C10593"/>
    <w:rsid w:val="00C10845"/>
    <w:rsid w:val="00C10853"/>
    <w:rsid w:val="00C1097F"/>
    <w:rsid w:val="00C10994"/>
    <w:rsid w:val="00C10B99"/>
    <w:rsid w:val="00C10BA1"/>
    <w:rsid w:val="00C10BA9"/>
    <w:rsid w:val="00C10C86"/>
    <w:rsid w:val="00C111AD"/>
    <w:rsid w:val="00C112C2"/>
    <w:rsid w:val="00C112EF"/>
    <w:rsid w:val="00C11471"/>
    <w:rsid w:val="00C114A9"/>
    <w:rsid w:val="00C11678"/>
    <w:rsid w:val="00C119EB"/>
    <w:rsid w:val="00C11E9A"/>
    <w:rsid w:val="00C12053"/>
    <w:rsid w:val="00C12106"/>
    <w:rsid w:val="00C127DD"/>
    <w:rsid w:val="00C1285F"/>
    <w:rsid w:val="00C12CB5"/>
    <w:rsid w:val="00C12CF3"/>
    <w:rsid w:val="00C12F18"/>
    <w:rsid w:val="00C12F9A"/>
    <w:rsid w:val="00C13198"/>
    <w:rsid w:val="00C135C5"/>
    <w:rsid w:val="00C136B6"/>
    <w:rsid w:val="00C1379F"/>
    <w:rsid w:val="00C1385F"/>
    <w:rsid w:val="00C1394D"/>
    <w:rsid w:val="00C13C01"/>
    <w:rsid w:val="00C1423B"/>
    <w:rsid w:val="00C14371"/>
    <w:rsid w:val="00C14590"/>
    <w:rsid w:val="00C14D80"/>
    <w:rsid w:val="00C14D9C"/>
    <w:rsid w:val="00C14DEC"/>
    <w:rsid w:val="00C152A8"/>
    <w:rsid w:val="00C152E2"/>
    <w:rsid w:val="00C15460"/>
    <w:rsid w:val="00C1590A"/>
    <w:rsid w:val="00C15956"/>
    <w:rsid w:val="00C159D0"/>
    <w:rsid w:val="00C15F7D"/>
    <w:rsid w:val="00C16188"/>
    <w:rsid w:val="00C16672"/>
    <w:rsid w:val="00C16D86"/>
    <w:rsid w:val="00C16DA7"/>
    <w:rsid w:val="00C16E37"/>
    <w:rsid w:val="00C170AA"/>
    <w:rsid w:val="00C1712D"/>
    <w:rsid w:val="00C17222"/>
    <w:rsid w:val="00C175F4"/>
    <w:rsid w:val="00C179DA"/>
    <w:rsid w:val="00C17B67"/>
    <w:rsid w:val="00C17E74"/>
    <w:rsid w:val="00C17EE6"/>
    <w:rsid w:val="00C202E0"/>
    <w:rsid w:val="00C2041A"/>
    <w:rsid w:val="00C204D5"/>
    <w:rsid w:val="00C205D7"/>
    <w:rsid w:val="00C20839"/>
    <w:rsid w:val="00C2088C"/>
    <w:rsid w:val="00C20E2C"/>
    <w:rsid w:val="00C20FF1"/>
    <w:rsid w:val="00C2105F"/>
    <w:rsid w:val="00C21290"/>
    <w:rsid w:val="00C213B5"/>
    <w:rsid w:val="00C2146F"/>
    <w:rsid w:val="00C2157F"/>
    <w:rsid w:val="00C215EA"/>
    <w:rsid w:val="00C217C4"/>
    <w:rsid w:val="00C21C8B"/>
    <w:rsid w:val="00C22347"/>
    <w:rsid w:val="00C22693"/>
    <w:rsid w:val="00C228F8"/>
    <w:rsid w:val="00C22CC6"/>
    <w:rsid w:val="00C230AB"/>
    <w:rsid w:val="00C23593"/>
    <w:rsid w:val="00C235E3"/>
    <w:rsid w:val="00C23752"/>
    <w:rsid w:val="00C23814"/>
    <w:rsid w:val="00C23A69"/>
    <w:rsid w:val="00C23B04"/>
    <w:rsid w:val="00C23C27"/>
    <w:rsid w:val="00C23D5A"/>
    <w:rsid w:val="00C23E52"/>
    <w:rsid w:val="00C2429F"/>
    <w:rsid w:val="00C2430F"/>
    <w:rsid w:val="00C24769"/>
    <w:rsid w:val="00C247E5"/>
    <w:rsid w:val="00C248BD"/>
    <w:rsid w:val="00C24ABE"/>
    <w:rsid w:val="00C24C84"/>
    <w:rsid w:val="00C24C91"/>
    <w:rsid w:val="00C24CC2"/>
    <w:rsid w:val="00C24F58"/>
    <w:rsid w:val="00C24FDE"/>
    <w:rsid w:val="00C253A3"/>
    <w:rsid w:val="00C253B2"/>
    <w:rsid w:val="00C253F2"/>
    <w:rsid w:val="00C25468"/>
    <w:rsid w:val="00C2550E"/>
    <w:rsid w:val="00C25653"/>
    <w:rsid w:val="00C256E5"/>
    <w:rsid w:val="00C25865"/>
    <w:rsid w:val="00C2595B"/>
    <w:rsid w:val="00C25E30"/>
    <w:rsid w:val="00C25E9A"/>
    <w:rsid w:val="00C26012"/>
    <w:rsid w:val="00C260C3"/>
    <w:rsid w:val="00C261D6"/>
    <w:rsid w:val="00C2620D"/>
    <w:rsid w:val="00C2625E"/>
    <w:rsid w:val="00C26AA5"/>
    <w:rsid w:val="00C27007"/>
    <w:rsid w:val="00C2716D"/>
    <w:rsid w:val="00C27186"/>
    <w:rsid w:val="00C2723C"/>
    <w:rsid w:val="00C27305"/>
    <w:rsid w:val="00C275F5"/>
    <w:rsid w:val="00C278CD"/>
    <w:rsid w:val="00C2796D"/>
    <w:rsid w:val="00C279A8"/>
    <w:rsid w:val="00C27B82"/>
    <w:rsid w:val="00C27CBA"/>
    <w:rsid w:val="00C27CC5"/>
    <w:rsid w:val="00C27FB3"/>
    <w:rsid w:val="00C30059"/>
    <w:rsid w:val="00C30138"/>
    <w:rsid w:val="00C30169"/>
    <w:rsid w:val="00C30633"/>
    <w:rsid w:val="00C30A51"/>
    <w:rsid w:val="00C30D53"/>
    <w:rsid w:val="00C31287"/>
    <w:rsid w:val="00C314BD"/>
    <w:rsid w:val="00C315B3"/>
    <w:rsid w:val="00C3180F"/>
    <w:rsid w:val="00C31A85"/>
    <w:rsid w:val="00C31C29"/>
    <w:rsid w:val="00C31DAE"/>
    <w:rsid w:val="00C31EE2"/>
    <w:rsid w:val="00C32313"/>
    <w:rsid w:val="00C32332"/>
    <w:rsid w:val="00C3237C"/>
    <w:rsid w:val="00C324B6"/>
    <w:rsid w:val="00C32B6D"/>
    <w:rsid w:val="00C32ECB"/>
    <w:rsid w:val="00C32EFE"/>
    <w:rsid w:val="00C3301E"/>
    <w:rsid w:val="00C3321C"/>
    <w:rsid w:val="00C332DC"/>
    <w:rsid w:val="00C333ED"/>
    <w:rsid w:val="00C333F4"/>
    <w:rsid w:val="00C3355C"/>
    <w:rsid w:val="00C3373C"/>
    <w:rsid w:val="00C337EF"/>
    <w:rsid w:val="00C33932"/>
    <w:rsid w:val="00C33B4E"/>
    <w:rsid w:val="00C33D03"/>
    <w:rsid w:val="00C343DF"/>
    <w:rsid w:val="00C346D8"/>
    <w:rsid w:val="00C34704"/>
    <w:rsid w:val="00C347C8"/>
    <w:rsid w:val="00C350BB"/>
    <w:rsid w:val="00C3563D"/>
    <w:rsid w:val="00C3574C"/>
    <w:rsid w:val="00C35DF5"/>
    <w:rsid w:val="00C35E8F"/>
    <w:rsid w:val="00C365ED"/>
    <w:rsid w:val="00C36A04"/>
    <w:rsid w:val="00C36C1E"/>
    <w:rsid w:val="00C36CA7"/>
    <w:rsid w:val="00C36F01"/>
    <w:rsid w:val="00C3718E"/>
    <w:rsid w:val="00C37228"/>
    <w:rsid w:val="00C37816"/>
    <w:rsid w:val="00C37831"/>
    <w:rsid w:val="00C378F0"/>
    <w:rsid w:val="00C37AFE"/>
    <w:rsid w:val="00C37F7C"/>
    <w:rsid w:val="00C4006E"/>
    <w:rsid w:val="00C40081"/>
    <w:rsid w:val="00C40162"/>
    <w:rsid w:val="00C40EA7"/>
    <w:rsid w:val="00C40FAE"/>
    <w:rsid w:val="00C41005"/>
    <w:rsid w:val="00C413A2"/>
    <w:rsid w:val="00C41639"/>
    <w:rsid w:val="00C41874"/>
    <w:rsid w:val="00C41939"/>
    <w:rsid w:val="00C41B83"/>
    <w:rsid w:val="00C41C45"/>
    <w:rsid w:val="00C41CC0"/>
    <w:rsid w:val="00C41D4C"/>
    <w:rsid w:val="00C41D9B"/>
    <w:rsid w:val="00C42098"/>
    <w:rsid w:val="00C42897"/>
    <w:rsid w:val="00C42C6D"/>
    <w:rsid w:val="00C42E0F"/>
    <w:rsid w:val="00C4303F"/>
    <w:rsid w:val="00C43088"/>
    <w:rsid w:val="00C432AA"/>
    <w:rsid w:val="00C4352F"/>
    <w:rsid w:val="00C43799"/>
    <w:rsid w:val="00C43AD3"/>
    <w:rsid w:val="00C43AE5"/>
    <w:rsid w:val="00C4402B"/>
    <w:rsid w:val="00C442D5"/>
    <w:rsid w:val="00C448D6"/>
    <w:rsid w:val="00C44E71"/>
    <w:rsid w:val="00C4512C"/>
    <w:rsid w:val="00C453E0"/>
    <w:rsid w:val="00C45578"/>
    <w:rsid w:val="00C455EB"/>
    <w:rsid w:val="00C458BD"/>
    <w:rsid w:val="00C45905"/>
    <w:rsid w:val="00C45A2D"/>
    <w:rsid w:val="00C45AC1"/>
    <w:rsid w:val="00C45B45"/>
    <w:rsid w:val="00C45CB3"/>
    <w:rsid w:val="00C45FFB"/>
    <w:rsid w:val="00C46088"/>
    <w:rsid w:val="00C4631D"/>
    <w:rsid w:val="00C46504"/>
    <w:rsid w:val="00C468F0"/>
    <w:rsid w:val="00C4756A"/>
    <w:rsid w:val="00C47615"/>
    <w:rsid w:val="00C4775C"/>
    <w:rsid w:val="00C4789A"/>
    <w:rsid w:val="00C47CC4"/>
    <w:rsid w:val="00C47DB6"/>
    <w:rsid w:val="00C47FBF"/>
    <w:rsid w:val="00C501F4"/>
    <w:rsid w:val="00C50271"/>
    <w:rsid w:val="00C505FE"/>
    <w:rsid w:val="00C50689"/>
    <w:rsid w:val="00C50A5E"/>
    <w:rsid w:val="00C50B78"/>
    <w:rsid w:val="00C50CE6"/>
    <w:rsid w:val="00C50D9F"/>
    <w:rsid w:val="00C50E43"/>
    <w:rsid w:val="00C50EA0"/>
    <w:rsid w:val="00C50FD6"/>
    <w:rsid w:val="00C513EA"/>
    <w:rsid w:val="00C514C6"/>
    <w:rsid w:val="00C51666"/>
    <w:rsid w:val="00C51910"/>
    <w:rsid w:val="00C51941"/>
    <w:rsid w:val="00C51D4A"/>
    <w:rsid w:val="00C5227F"/>
    <w:rsid w:val="00C523D5"/>
    <w:rsid w:val="00C523FA"/>
    <w:rsid w:val="00C5247F"/>
    <w:rsid w:val="00C524B8"/>
    <w:rsid w:val="00C527F7"/>
    <w:rsid w:val="00C52A0A"/>
    <w:rsid w:val="00C52BA3"/>
    <w:rsid w:val="00C52DCE"/>
    <w:rsid w:val="00C5305A"/>
    <w:rsid w:val="00C53269"/>
    <w:rsid w:val="00C532FB"/>
    <w:rsid w:val="00C534BD"/>
    <w:rsid w:val="00C53937"/>
    <w:rsid w:val="00C53A6C"/>
    <w:rsid w:val="00C54038"/>
    <w:rsid w:val="00C542A2"/>
    <w:rsid w:val="00C5433E"/>
    <w:rsid w:val="00C545A6"/>
    <w:rsid w:val="00C54743"/>
    <w:rsid w:val="00C54B61"/>
    <w:rsid w:val="00C54EBB"/>
    <w:rsid w:val="00C5500F"/>
    <w:rsid w:val="00C55165"/>
    <w:rsid w:val="00C551F0"/>
    <w:rsid w:val="00C55536"/>
    <w:rsid w:val="00C559B9"/>
    <w:rsid w:val="00C55B70"/>
    <w:rsid w:val="00C5643F"/>
    <w:rsid w:val="00C56469"/>
    <w:rsid w:val="00C565EA"/>
    <w:rsid w:val="00C5672A"/>
    <w:rsid w:val="00C56B56"/>
    <w:rsid w:val="00C56DDD"/>
    <w:rsid w:val="00C56E25"/>
    <w:rsid w:val="00C56E29"/>
    <w:rsid w:val="00C56E98"/>
    <w:rsid w:val="00C56FD7"/>
    <w:rsid w:val="00C5714C"/>
    <w:rsid w:val="00C57374"/>
    <w:rsid w:val="00C57456"/>
    <w:rsid w:val="00C5752B"/>
    <w:rsid w:val="00C57560"/>
    <w:rsid w:val="00C57772"/>
    <w:rsid w:val="00C57948"/>
    <w:rsid w:val="00C5794A"/>
    <w:rsid w:val="00C57BE8"/>
    <w:rsid w:val="00C57DDB"/>
    <w:rsid w:val="00C60532"/>
    <w:rsid w:val="00C6062B"/>
    <w:rsid w:val="00C60897"/>
    <w:rsid w:val="00C608C9"/>
    <w:rsid w:val="00C615B9"/>
    <w:rsid w:val="00C617E7"/>
    <w:rsid w:val="00C6191C"/>
    <w:rsid w:val="00C61970"/>
    <w:rsid w:val="00C61CAA"/>
    <w:rsid w:val="00C61D83"/>
    <w:rsid w:val="00C61E38"/>
    <w:rsid w:val="00C62156"/>
    <w:rsid w:val="00C62497"/>
    <w:rsid w:val="00C625C4"/>
    <w:rsid w:val="00C62679"/>
    <w:rsid w:val="00C62AAE"/>
    <w:rsid w:val="00C62FA4"/>
    <w:rsid w:val="00C62FDA"/>
    <w:rsid w:val="00C630EC"/>
    <w:rsid w:val="00C635DC"/>
    <w:rsid w:val="00C637DA"/>
    <w:rsid w:val="00C63884"/>
    <w:rsid w:val="00C6393B"/>
    <w:rsid w:val="00C63E0D"/>
    <w:rsid w:val="00C6408B"/>
    <w:rsid w:val="00C64237"/>
    <w:rsid w:val="00C64AE5"/>
    <w:rsid w:val="00C64FB8"/>
    <w:rsid w:val="00C6542C"/>
    <w:rsid w:val="00C65877"/>
    <w:rsid w:val="00C65AF2"/>
    <w:rsid w:val="00C65C0A"/>
    <w:rsid w:val="00C6616D"/>
    <w:rsid w:val="00C6630D"/>
    <w:rsid w:val="00C66605"/>
    <w:rsid w:val="00C6666F"/>
    <w:rsid w:val="00C666E1"/>
    <w:rsid w:val="00C667DD"/>
    <w:rsid w:val="00C6689A"/>
    <w:rsid w:val="00C669C9"/>
    <w:rsid w:val="00C66AE8"/>
    <w:rsid w:val="00C66BF5"/>
    <w:rsid w:val="00C66DAF"/>
    <w:rsid w:val="00C66E38"/>
    <w:rsid w:val="00C672AE"/>
    <w:rsid w:val="00C674F5"/>
    <w:rsid w:val="00C67792"/>
    <w:rsid w:val="00C67884"/>
    <w:rsid w:val="00C679A8"/>
    <w:rsid w:val="00C67B63"/>
    <w:rsid w:val="00C67C50"/>
    <w:rsid w:val="00C70006"/>
    <w:rsid w:val="00C7059A"/>
    <w:rsid w:val="00C70676"/>
    <w:rsid w:val="00C70ADC"/>
    <w:rsid w:val="00C711CA"/>
    <w:rsid w:val="00C7125C"/>
    <w:rsid w:val="00C712FF"/>
    <w:rsid w:val="00C71324"/>
    <w:rsid w:val="00C7178F"/>
    <w:rsid w:val="00C717D5"/>
    <w:rsid w:val="00C7189D"/>
    <w:rsid w:val="00C719CB"/>
    <w:rsid w:val="00C71C4D"/>
    <w:rsid w:val="00C71CA5"/>
    <w:rsid w:val="00C71CEB"/>
    <w:rsid w:val="00C71D45"/>
    <w:rsid w:val="00C727C8"/>
    <w:rsid w:val="00C7296E"/>
    <w:rsid w:val="00C72B52"/>
    <w:rsid w:val="00C72DF4"/>
    <w:rsid w:val="00C73077"/>
    <w:rsid w:val="00C731DC"/>
    <w:rsid w:val="00C736C7"/>
    <w:rsid w:val="00C736D3"/>
    <w:rsid w:val="00C73720"/>
    <w:rsid w:val="00C73DC9"/>
    <w:rsid w:val="00C73F8F"/>
    <w:rsid w:val="00C740D0"/>
    <w:rsid w:val="00C7422C"/>
    <w:rsid w:val="00C7433C"/>
    <w:rsid w:val="00C745FC"/>
    <w:rsid w:val="00C74A3A"/>
    <w:rsid w:val="00C74AA4"/>
    <w:rsid w:val="00C74B75"/>
    <w:rsid w:val="00C74BB6"/>
    <w:rsid w:val="00C74FAC"/>
    <w:rsid w:val="00C75023"/>
    <w:rsid w:val="00C7511D"/>
    <w:rsid w:val="00C751F3"/>
    <w:rsid w:val="00C752B3"/>
    <w:rsid w:val="00C752C7"/>
    <w:rsid w:val="00C75301"/>
    <w:rsid w:val="00C7535D"/>
    <w:rsid w:val="00C759EC"/>
    <w:rsid w:val="00C75CB7"/>
    <w:rsid w:val="00C75D1A"/>
    <w:rsid w:val="00C75D47"/>
    <w:rsid w:val="00C768F4"/>
    <w:rsid w:val="00C76AD0"/>
    <w:rsid w:val="00C76BCF"/>
    <w:rsid w:val="00C76C19"/>
    <w:rsid w:val="00C76CA4"/>
    <w:rsid w:val="00C76CF2"/>
    <w:rsid w:val="00C76D86"/>
    <w:rsid w:val="00C770C5"/>
    <w:rsid w:val="00C77707"/>
    <w:rsid w:val="00C7771A"/>
    <w:rsid w:val="00C77B3A"/>
    <w:rsid w:val="00C77C41"/>
    <w:rsid w:val="00C77D0B"/>
    <w:rsid w:val="00C77E4D"/>
    <w:rsid w:val="00C80108"/>
    <w:rsid w:val="00C801E0"/>
    <w:rsid w:val="00C80224"/>
    <w:rsid w:val="00C8071D"/>
    <w:rsid w:val="00C8087B"/>
    <w:rsid w:val="00C80A1C"/>
    <w:rsid w:val="00C80AB9"/>
    <w:rsid w:val="00C80B64"/>
    <w:rsid w:val="00C80DB4"/>
    <w:rsid w:val="00C81271"/>
    <w:rsid w:val="00C81505"/>
    <w:rsid w:val="00C8172B"/>
    <w:rsid w:val="00C818B8"/>
    <w:rsid w:val="00C818FA"/>
    <w:rsid w:val="00C81CA5"/>
    <w:rsid w:val="00C81EF1"/>
    <w:rsid w:val="00C81FDC"/>
    <w:rsid w:val="00C820E7"/>
    <w:rsid w:val="00C82184"/>
    <w:rsid w:val="00C821A9"/>
    <w:rsid w:val="00C824D6"/>
    <w:rsid w:val="00C8257B"/>
    <w:rsid w:val="00C82775"/>
    <w:rsid w:val="00C8280E"/>
    <w:rsid w:val="00C8282A"/>
    <w:rsid w:val="00C82834"/>
    <w:rsid w:val="00C82962"/>
    <w:rsid w:val="00C82B11"/>
    <w:rsid w:val="00C82D51"/>
    <w:rsid w:val="00C830A1"/>
    <w:rsid w:val="00C832C3"/>
    <w:rsid w:val="00C83340"/>
    <w:rsid w:val="00C83357"/>
    <w:rsid w:val="00C834CE"/>
    <w:rsid w:val="00C835BA"/>
    <w:rsid w:val="00C836F5"/>
    <w:rsid w:val="00C83792"/>
    <w:rsid w:val="00C837A4"/>
    <w:rsid w:val="00C837CB"/>
    <w:rsid w:val="00C83851"/>
    <w:rsid w:val="00C83853"/>
    <w:rsid w:val="00C83D2D"/>
    <w:rsid w:val="00C83F20"/>
    <w:rsid w:val="00C84063"/>
    <w:rsid w:val="00C84479"/>
    <w:rsid w:val="00C844EE"/>
    <w:rsid w:val="00C8493E"/>
    <w:rsid w:val="00C84A89"/>
    <w:rsid w:val="00C84BE4"/>
    <w:rsid w:val="00C84D2A"/>
    <w:rsid w:val="00C84E44"/>
    <w:rsid w:val="00C84F78"/>
    <w:rsid w:val="00C851AA"/>
    <w:rsid w:val="00C852C5"/>
    <w:rsid w:val="00C85571"/>
    <w:rsid w:val="00C855A6"/>
    <w:rsid w:val="00C85672"/>
    <w:rsid w:val="00C857C0"/>
    <w:rsid w:val="00C857DE"/>
    <w:rsid w:val="00C85E5F"/>
    <w:rsid w:val="00C860F0"/>
    <w:rsid w:val="00C864AD"/>
    <w:rsid w:val="00C86567"/>
    <w:rsid w:val="00C86722"/>
    <w:rsid w:val="00C86ACE"/>
    <w:rsid w:val="00C86DDE"/>
    <w:rsid w:val="00C871CC"/>
    <w:rsid w:val="00C873BE"/>
    <w:rsid w:val="00C87605"/>
    <w:rsid w:val="00C8779F"/>
    <w:rsid w:val="00C87A49"/>
    <w:rsid w:val="00C87C07"/>
    <w:rsid w:val="00C87CE4"/>
    <w:rsid w:val="00C90AB1"/>
    <w:rsid w:val="00C90E5B"/>
    <w:rsid w:val="00C9116C"/>
    <w:rsid w:val="00C91285"/>
    <w:rsid w:val="00C919DD"/>
    <w:rsid w:val="00C91A8C"/>
    <w:rsid w:val="00C9207C"/>
    <w:rsid w:val="00C92242"/>
    <w:rsid w:val="00C9227E"/>
    <w:rsid w:val="00C924B8"/>
    <w:rsid w:val="00C92770"/>
    <w:rsid w:val="00C92827"/>
    <w:rsid w:val="00C92E5A"/>
    <w:rsid w:val="00C9327A"/>
    <w:rsid w:val="00C933AE"/>
    <w:rsid w:val="00C9365A"/>
    <w:rsid w:val="00C93774"/>
    <w:rsid w:val="00C93AC2"/>
    <w:rsid w:val="00C943C1"/>
    <w:rsid w:val="00C943FE"/>
    <w:rsid w:val="00C9451E"/>
    <w:rsid w:val="00C9460A"/>
    <w:rsid w:val="00C9462F"/>
    <w:rsid w:val="00C946E7"/>
    <w:rsid w:val="00C947C6"/>
    <w:rsid w:val="00C94887"/>
    <w:rsid w:val="00C94BD3"/>
    <w:rsid w:val="00C959B6"/>
    <w:rsid w:val="00C95AC1"/>
    <w:rsid w:val="00C95EF1"/>
    <w:rsid w:val="00C960E8"/>
    <w:rsid w:val="00C9665A"/>
    <w:rsid w:val="00C96835"/>
    <w:rsid w:val="00C968A6"/>
    <w:rsid w:val="00C9694C"/>
    <w:rsid w:val="00C96BC7"/>
    <w:rsid w:val="00C9706D"/>
    <w:rsid w:val="00C970AE"/>
    <w:rsid w:val="00C97305"/>
    <w:rsid w:val="00C974F9"/>
    <w:rsid w:val="00C975D8"/>
    <w:rsid w:val="00C9791F"/>
    <w:rsid w:val="00C97A1C"/>
    <w:rsid w:val="00C97E61"/>
    <w:rsid w:val="00C97EF0"/>
    <w:rsid w:val="00CA0076"/>
    <w:rsid w:val="00CA0191"/>
    <w:rsid w:val="00CA0323"/>
    <w:rsid w:val="00CA0453"/>
    <w:rsid w:val="00CA064F"/>
    <w:rsid w:val="00CA076D"/>
    <w:rsid w:val="00CA0AD4"/>
    <w:rsid w:val="00CA0D40"/>
    <w:rsid w:val="00CA0EE7"/>
    <w:rsid w:val="00CA1228"/>
    <w:rsid w:val="00CA13CC"/>
    <w:rsid w:val="00CA16DE"/>
    <w:rsid w:val="00CA1AAE"/>
    <w:rsid w:val="00CA1C0A"/>
    <w:rsid w:val="00CA2076"/>
    <w:rsid w:val="00CA2164"/>
    <w:rsid w:val="00CA2168"/>
    <w:rsid w:val="00CA22C7"/>
    <w:rsid w:val="00CA2325"/>
    <w:rsid w:val="00CA264E"/>
    <w:rsid w:val="00CA2868"/>
    <w:rsid w:val="00CA294F"/>
    <w:rsid w:val="00CA2A35"/>
    <w:rsid w:val="00CA2C93"/>
    <w:rsid w:val="00CA30CE"/>
    <w:rsid w:val="00CA313F"/>
    <w:rsid w:val="00CA3760"/>
    <w:rsid w:val="00CA380A"/>
    <w:rsid w:val="00CA3851"/>
    <w:rsid w:val="00CA3E9D"/>
    <w:rsid w:val="00CA3EB2"/>
    <w:rsid w:val="00CA3F0A"/>
    <w:rsid w:val="00CA4039"/>
    <w:rsid w:val="00CA40A2"/>
    <w:rsid w:val="00CA41D3"/>
    <w:rsid w:val="00CA433E"/>
    <w:rsid w:val="00CA4352"/>
    <w:rsid w:val="00CA436D"/>
    <w:rsid w:val="00CA4579"/>
    <w:rsid w:val="00CA49A1"/>
    <w:rsid w:val="00CA4A5D"/>
    <w:rsid w:val="00CA4ADE"/>
    <w:rsid w:val="00CA4C0F"/>
    <w:rsid w:val="00CA4D90"/>
    <w:rsid w:val="00CA4DA7"/>
    <w:rsid w:val="00CA4DF9"/>
    <w:rsid w:val="00CA4F41"/>
    <w:rsid w:val="00CA4FAD"/>
    <w:rsid w:val="00CA5401"/>
    <w:rsid w:val="00CA639A"/>
    <w:rsid w:val="00CA63D8"/>
    <w:rsid w:val="00CA642E"/>
    <w:rsid w:val="00CA6619"/>
    <w:rsid w:val="00CA6814"/>
    <w:rsid w:val="00CA6EC5"/>
    <w:rsid w:val="00CA6F6C"/>
    <w:rsid w:val="00CA6FFE"/>
    <w:rsid w:val="00CA738C"/>
    <w:rsid w:val="00CA754A"/>
    <w:rsid w:val="00CA7900"/>
    <w:rsid w:val="00CA7B81"/>
    <w:rsid w:val="00CA7F40"/>
    <w:rsid w:val="00CB0225"/>
    <w:rsid w:val="00CB02CA"/>
    <w:rsid w:val="00CB02F7"/>
    <w:rsid w:val="00CB04EC"/>
    <w:rsid w:val="00CB09B0"/>
    <w:rsid w:val="00CB0C1E"/>
    <w:rsid w:val="00CB0C8F"/>
    <w:rsid w:val="00CB0CC1"/>
    <w:rsid w:val="00CB1170"/>
    <w:rsid w:val="00CB1330"/>
    <w:rsid w:val="00CB1403"/>
    <w:rsid w:val="00CB1436"/>
    <w:rsid w:val="00CB157F"/>
    <w:rsid w:val="00CB15D6"/>
    <w:rsid w:val="00CB1904"/>
    <w:rsid w:val="00CB1CD7"/>
    <w:rsid w:val="00CB1E87"/>
    <w:rsid w:val="00CB1EA5"/>
    <w:rsid w:val="00CB1F1A"/>
    <w:rsid w:val="00CB2378"/>
    <w:rsid w:val="00CB2A8E"/>
    <w:rsid w:val="00CB2F50"/>
    <w:rsid w:val="00CB31BA"/>
    <w:rsid w:val="00CB3254"/>
    <w:rsid w:val="00CB3452"/>
    <w:rsid w:val="00CB3B41"/>
    <w:rsid w:val="00CB3D0E"/>
    <w:rsid w:val="00CB3F74"/>
    <w:rsid w:val="00CB4017"/>
    <w:rsid w:val="00CB401E"/>
    <w:rsid w:val="00CB473E"/>
    <w:rsid w:val="00CB47EB"/>
    <w:rsid w:val="00CB5839"/>
    <w:rsid w:val="00CB5AE2"/>
    <w:rsid w:val="00CB5ED9"/>
    <w:rsid w:val="00CB6129"/>
    <w:rsid w:val="00CB626A"/>
    <w:rsid w:val="00CB6672"/>
    <w:rsid w:val="00CB678B"/>
    <w:rsid w:val="00CB685C"/>
    <w:rsid w:val="00CB6A6F"/>
    <w:rsid w:val="00CB6AEA"/>
    <w:rsid w:val="00CB6B95"/>
    <w:rsid w:val="00CB6C91"/>
    <w:rsid w:val="00CB6E5B"/>
    <w:rsid w:val="00CB7326"/>
    <w:rsid w:val="00CB763E"/>
    <w:rsid w:val="00CB76AA"/>
    <w:rsid w:val="00CB7918"/>
    <w:rsid w:val="00CB79B3"/>
    <w:rsid w:val="00CB79C7"/>
    <w:rsid w:val="00CB7B59"/>
    <w:rsid w:val="00CB7BFF"/>
    <w:rsid w:val="00CB7CE2"/>
    <w:rsid w:val="00CB7FDD"/>
    <w:rsid w:val="00CC008F"/>
    <w:rsid w:val="00CC01C1"/>
    <w:rsid w:val="00CC037F"/>
    <w:rsid w:val="00CC0418"/>
    <w:rsid w:val="00CC04EE"/>
    <w:rsid w:val="00CC0586"/>
    <w:rsid w:val="00CC0644"/>
    <w:rsid w:val="00CC07CC"/>
    <w:rsid w:val="00CC088F"/>
    <w:rsid w:val="00CC0BEB"/>
    <w:rsid w:val="00CC0CE7"/>
    <w:rsid w:val="00CC0FDC"/>
    <w:rsid w:val="00CC1004"/>
    <w:rsid w:val="00CC1144"/>
    <w:rsid w:val="00CC12E1"/>
    <w:rsid w:val="00CC14D3"/>
    <w:rsid w:val="00CC15CD"/>
    <w:rsid w:val="00CC169F"/>
    <w:rsid w:val="00CC16FC"/>
    <w:rsid w:val="00CC1888"/>
    <w:rsid w:val="00CC1EBF"/>
    <w:rsid w:val="00CC21AC"/>
    <w:rsid w:val="00CC2297"/>
    <w:rsid w:val="00CC25B9"/>
    <w:rsid w:val="00CC2756"/>
    <w:rsid w:val="00CC28EC"/>
    <w:rsid w:val="00CC2D05"/>
    <w:rsid w:val="00CC2F71"/>
    <w:rsid w:val="00CC3178"/>
    <w:rsid w:val="00CC31C6"/>
    <w:rsid w:val="00CC349C"/>
    <w:rsid w:val="00CC36A0"/>
    <w:rsid w:val="00CC390E"/>
    <w:rsid w:val="00CC4068"/>
    <w:rsid w:val="00CC45E6"/>
    <w:rsid w:val="00CC45FE"/>
    <w:rsid w:val="00CC46CB"/>
    <w:rsid w:val="00CC4A8B"/>
    <w:rsid w:val="00CC4AD5"/>
    <w:rsid w:val="00CC4B44"/>
    <w:rsid w:val="00CC4C67"/>
    <w:rsid w:val="00CC4CB7"/>
    <w:rsid w:val="00CC4D45"/>
    <w:rsid w:val="00CC5054"/>
    <w:rsid w:val="00CC5482"/>
    <w:rsid w:val="00CC5563"/>
    <w:rsid w:val="00CC57FB"/>
    <w:rsid w:val="00CC5817"/>
    <w:rsid w:val="00CC5B9D"/>
    <w:rsid w:val="00CC5CFE"/>
    <w:rsid w:val="00CC61F1"/>
    <w:rsid w:val="00CC625E"/>
    <w:rsid w:val="00CC6447"/>
    <w:rsid w:val="00CC654D"/>
    <w:rsid w:val="00CC6AD4"/>
    <w:rsid w:val="00CC6B24"/>
    <w:rsid w:val="00CC6BB2"/>
    <w:rsid w:val="00CC6DA9"/>
    <w:rsid w:val="00CC6DDE"/>
    <w:rsid w:val="00CC6E41"/>
    <w:rsid w:val="00CC703E"/>
    <w:rsid w:val="00CC7E27"/>
    <w:rsid w:val="00CD034A"/>
    <w:rsid w:val="00CD071E"/>
    <w:rsid w:val="00CD08BE"/>
    <w:rsid w:val="00CD08EC"/>
    <w:rsid w:val="00CD09CA"/>
    <w:rsid w:val="00CD0EAC"/>
    <w:rsid w:val="00CD0FB4"/>
    <w:rsid w:val="00CD100A"/>
    <w:rsid w:val="00CD11E0"/>
    <w:rsid w:val="00CD13EE"/>
    <w:rsid w:val="00CD18E3"/>
    <w:rsid w:val="00CD1954"/>
    <w:rsid w:val="00CD1BF7"/>
    <w:rsid w:val="00CD1CD6"/>
    <w:rsid w:val="00CD21AF"/>
    <w:rsid w:val="00CD27B6"/>
    <w:rsid w:val="00CD2815"/>
    <w:rsid w:val="00CD29CE"/>
    <w:rsid w:val="00CD2A2A"/>
    <w:rsid w:val="00CD2AAD"/>
    <w:rsid w:val="00CD2C32"/>
    <w:rsid w:val="00CD2D4B"/>
    <w:rsid w:val="00CD2E44"/>
    <w:rsid w:val="00CD2E60"/>
    <w:rsid w:val="00CD2F30"/>
    <w:rsid w:val="00CD2FCF"/>
    <w:rsid w:val="00CD3A29"/>
    <w:rsid w:val="00CD3D10"/>
    <w:rsid w:val="00CD3D1A"/>
    <w:rsid w:val="00CD3D2E"/>
    <w:rsid w:val="00CD3F70"/>
    <w:rsid w:val="00CD406A"/>
    <w:rsid w:val="00CD4992"/>
    <w:rsid w:val="00CD4EB6"/>
    <w:rsid w:val="00CD4F9E"/>
    <w:rsid w:val="00CD5040"/>
    <w:rsid w:val="00CD516E"/>
    <w:rsid w:val="00CD52DA"/>
    <w:rsid w:val="00CD57BF"/>
    <w:rsid w:val="00CD59C7"/>
    <w:rsid w:val="00CD5BC7"/>
    <w:rsid w:val="00CD5D06"/>
    <w:rsid w:val="00CD634C"/>
    <w:rsid w:val="00CD65A0"/>
    <w:rsid w:val="00CD6C4B"/>
    <w:rsid w:val="00CD6E8E"/>
    <w:rsid w:val="00CD6EFF"/>
    <w:rsid w:val="00CD7113"/>
    <w:rsid w:val="00CD720D"/>
    <w:rsid w:val="00CD7965"/>
    <w:rsid w:val="00CD7999"/>
    <w:rsid w:val="00CD7A23"/>
    <w:rsid w:val="00CD7A49"/>
    <w:rsid w:val="00CD7A98"/>
    <w:rsid w:val="00CD7D5B"/>
    <w:rsid w:val="00CD7EDE"/>
    <w:rsid w:val="00CD7F4C"/>
    <w:rsid w:val="00CD7F5E"/>
    <w:rsid w:val="00CE005D"/>
    <w:rsid w:val="00CE01AE"/>
    <w:rsid w:val="00CE0709"/>
    <w:rsid w:val="00CE0A31"/>
    <w:rsid w:val="00CE0D48"/>
    <w:rsid w:val="00CE0EF1"/>
    <w:rsid w:val="00CE13E5"/>
    <w:rsid w:val="00CE141C"/>
    <w:rsid w:val="00CE1539"/>
    <w:rsid w:val="00CE17FE"/>
    <w:rsid w:val="00CE1CF2"/>
    <w:rsid w:val="00CE1ECB"/>
    <w:rsid w:val="00CE2084"/>
    <w:rsid w:val="00CE20EF"/>
    <w:rsid w:val="00CE22B2"/>
    <w:rsid w:val="00CE2374"/>
    <w:rsid w:val="00CE237F"/>
    <w:rsid w:val="00CE2697"/>
    <w:rsid w:val="00CE296C"/>
    <w:rsid w:val="00CE2D34"/>
    <w:rsid w:val="00CE318F"/>
    <w:rsid w:val="00CE34CB"/>
    <w:rsid w:val="00CE365A"/>
    <w:rsid w:val="00CE3670"/>
    <w:rsid w:val="00CE38BB"/>
    <w:rsid w:val="00CE4098"/>
    <w:rsid w:val="00CE44D0"/>
    <w:rsid w:val="00CE4633"/>
    <w:rsid w:val="00CE495E"/>
    <w:rsid w:val="00CE4AC7"/>
    <w:rsid w:val="00CE4B90"/>
    <w:rsid w:val="00CE4E8E"/>
    <w:rsid w:val="00CE4F91"/>
    <w:rsid w:val="00CE5585"/>
    <w:rsid w:val="00CE566D"/>
    <w:rsid w:val="00CE5AD6"/>
    <w:rsid w:val="00CE5F76"/>
    <w:rsid w:val="00CE60BF"/>
    <w:rsid w:val="00CE657C"/>
    <w:rsid w:val="00CE66ED"/>
    <w:rsid w:val="00CE67D5"/>
    <w:rsid w:val="00CE68D5"/>
    <w:rsid w:val="00CE6ABF"/>
    <w:rsid w:val="00CE744D"/>
    <w:rsid w:val="00CF0044"/>
    <w:rsid w:val="00CF05D0"/>
    <w:rsid w:val="00CF0676"/>
    <w:rsid w:val="00CF06B6"/>
    <w:rsid w:val="00CF06C3"/>
    <w:rsid w:val="00CF08D3"/>
    <w:rsid w:val="00CF0B5E"/>
    <w:rsid w:val="00CF0C3D"/>
    <w:rsid w:val="00CF0C65"/>
    <w:rsid w:val="00CF0CE2"/>
    <w:rsid w:val="00CF1000"/>
    <w:rsid w:val="00CF106B"/>
    <w:rsid w:val="00CF15B2"/>
    <w:rsid w:val="00CF1779"/>
    <w:rsid w:val="00CF1BB6"/>
    <w:rsid w:val="00CF1C5E"/>
    <w:rsid w:val="00CF1DCE"/>
    <w:rsid w:val="00CF1E0B"/>
    <w:rsid w:val="00CF24FA"/>
    <w:rsid w:val="00CF2514"/>
    <w:rsid w:val="00CF2536"/>
    <w:rsid w:val="00CF265D"/>
    <w:rsid w:val="00CF26BE"/>
    <w:rsid w:val="00CF2A27"/>
    <w:rsid w:val="00CF2E0C"/>
    <w:rsid w:val="00CF33B6"/>
    <w:rsid w:val="00CF34DE"/>
    <w:rsid w:val="00CF3759"/>
    <w:rsid w:val="00CF376B"/>
    <w:rsid w:val="00CF3AF2"/>
    <w:rsid w:val="00CF3CBF"/>
    <w:rsid w:val="00CF3CC7"/>
    <w:rsid w:val="00CF3E6E"/>
    <w:rsid w:val="00CF3EC5"/>
    <w:rsid w:val="00CF430A"/>
    <w:rsid w:val="00CF43D3"/>
    <w:rsid w:val="00CF46FB"/>
    <w:rsid w:val="00CF490C"/>
    <w:rsid w:val="00CF4977"/>
    <w:rsid w:val="00CF4CBD"/>
    <w:rsid w:val="00CF5005"/>
    <w:rsid w:val="00CF50AD"/>
    <w:rsid w:val="00CF5586"/>
    <w:rsid w:val="00CF57D8"/>
    <w:rsid w:val="00CF58B4"/>
    <w:rsid w:val="00CF5D98"/>
    <w:rsid w:val="00CF5DBA"/>
    <w:rsid w:val="00CF619E"/>
    <w:rsid w:val="00CF629C"/>
    <w:rsid w:val="00CF679D"/>
    <w:rsid w:val="00CF6841"/>
    <w:rsid w:val="00CF6897"/>
    <w:rsid w:val="00CF6BE7"/>
    <w:rsid w:val="00CF6F27"/>
    <w:rsid w:val="00CF6F73"/>
    <w:rsid w:val="00CF6FAE"/>
    <w:rsid w:val="00CF72EF"/>
    <w:rsid w:val="00CF73BE"/>
    <w:rsid w:val="00CF74AF"/>
    <w:rsid w:val="00CF7699"/>
    <w:rsid w:val="00CF777F"/>
    <w:rsid w:val="00CF7815"/>
    <w:rsid w:val="00CF7CB0"/>
    <w:rsid w:val="00CF7D89"/>
    <w:rsid w:val="00CF7DA7"/>
    <w:rsid w:val="00D0004F"/>
    <w:rsid w:val="00D0006C"/>
    <w:rsid w:val="00D00361"/>
    <w:rsid w:val="00D004C2"/>
    <w:rsid w:val="00D00594"/>
    <w:rsid w:val="00D00844"/>
    <w:rsid w:val="00D00BC1"/>
    <w:rsid w:val="00D00E19"/>
    <w:rsid w:val="00D010E4"/>
    <w:rsid w:val="00D012F6"/>
    <w:rsid w:val="00D014F9"/>
    <w:rsid w:val="00D01739"/>
    <w:rsid w:val="00D01A59"/>
    <w:rsid w:val="00D01DA7"/>
    <w:rsid w:val="00D01E89"/>
    <w:rsid w:val="00D0209B"/>
    <w:rsid w:val="00D02165"/>
    <w:rsid w:val="00D022FC"/>
    <w:rsid w:val="00D0258D"/>
    <w:rsid w:val="00D025C7"/>
    <w:rsid w:val="00D027B5"/>
    <w:rsid w:val="00D02934"/>
    <w:rsid w:val="00D029CE"/>
    <w:rsid w:val="00D029E3"/>
    <w:rsid w:val="00D02A97"/>
    <w:rsid w:val="00D02CBB"/>
    <w:rsid w:val="00D02F50"/>
    <w:rsid w:val="00D03047"/>
    <w:rsid w:val="00D0336D"/>
    <w:rsid w:val="00D0383D"/>
    <w:rsid w:val="00D039F6"/>
    <w:rsid w:val="00D03B7E"/>
    <w:rsid w:val="00D03BE3"/>
    <w:rsid w:val="00D03CDE"/>
    <w:rsid w:val="00D03D57"/>
    <w:rsid w:val="00D03E72"/>
    <w:rsid w:val="00D04008"/>
    <w:rsid w:val="00D042A6"/>
    <w:rsid w:val="00D043CF"/>
    <w:rsid w:val="00D04492"/>
    <w:rsid w:val="00D0454A"/>
    <w:rsid w:val="00D045C5"/>
    <w:rsid w:val="00D0473B"/>
    <w:rsid w:val="00D04CA7"/>
    <w:rsid w:val="00D04D24"/>
    <w:rsid w:val="00D050CE"/>
    <w:rsid w:val="00D051F5"/>
    <w:rsid w:val="00D05348"/>
    <w:rsid w:val="00D056A4"/>
    <w:rsid w:val="00D0592B"/>
    <w:rsid w:val="00D0608C"/>
    <w:rsid w:val="00D061EC"/>
    <w:rsid w:val="00D06493"/>
    <w:rsid w:val="00D06536"/>
    <w:rsid w:val="00D06727"/>
    <w:rsid w:val="00D06862"/>
    <w:rsid w:val="00D06E4D"/>
    <w:rsid w:val="00D072C2"/>
    <w:rsid w:val="00D073A6"/>
    <w:rsid w:val="00D073B0"/>
    <w:rsid w:val="00D076AE"/>
    <w:rsid w:val="00D078B9"/>
    <w:rsid w:val="00D078C9"/>
    <w:rsid w:val="00D07917"/>
    <w:rsid w:val="00D07965"/>
    <w:rsid w:val="00D07C55"/>
    <w:rsid w:val="00D07CD1"/>
    <w:rsid w:val="00D07D22"/>
    <w:rsid w:val="00D1022C"/>
    <w:rsid w:val="00D1030D"/>
    <w:rsid w:val="00D10581"/>
    <w:rsid w:val="00D106B7"/>
    <w:rsid w:val="00D10A48"/>
    <w:rsid w:val="00D10D37"/>
    <w:rsid w:val="00D115A0"/>
    <w:rsid w:val="00D115AF"/>
    <w:rsid w:val="00D11865"/>
    <w:rsid w:val="00D118FC"/>
    <w:rsid w:val="00D11C0D"/>
    <w:rsid w:val="00D12038"/>
    <w:rsid w:val="00D12360"/>
    <w:rsid w:val="00D123E9"/>
    <w:rsid w:val="00D123FB"/>
    <w:rsid w:val="00D1251A"/>
    <w:rsid w:val="00D12599"/>
    <w:rsid w:val="00D125B3"/>
    <w:rsid w:val="00D1264E"/>
    <w:rsid w:val="00D128FF"/>
    <w:rsid w:val="00D12BDD"/>
    <w:rsid w:val="00D12C68"/>
    <w:rsid w:val="00D12D6A"/>
    <w:rsid w:val="00D12F04"/>
    <w:rsid w:val="00D1351A"/>
    <w:rsid w:val="00D1358C"/>
    <w:rsid w:val="00D13629"/>
    <w:rsid w:val="00D136BF"/>
    <w:rsid w:val="00D136E3"/>
    <w:rsid w:val="00D1391F"/>
    <w:rsid w:val="00D13A19"/>
    <w:rsid w:val="00D13D18"/>
    <w:rsid w:val="00D142E9"/>
    <w:rsid w:val="00D147A4"/>
    <w:rsid w:val="00D147FB"/>
    <w:rsid w:val="00D1499F"/>
    <w:rsid w:val="00D149BD"/>
    <w:rsid w:val="00D14A95"/>
    <w:rsid w:val="00D14EEB"/>
    <w:rsid w:val="00D14FFF"/>
    <w:rsid w:val="00D153D1"/>
    <w:rsid w:val="00D15651"/>
    <w:rsid w:val="00D15987"/>
    <w:rsid w:val="00D164B4"/>
    <w:rsid w:val="00D1661E"/>
    <w:rsid w:val="00D166CF"/>
    <w:rsid w:val="00D16714"/>
    <w:rsid w:val="00D167D5"/>
    <w:rsid w:val="00D167FD"/>
    <w:rsid w:val="00D16834"/>
    <w:rsid w:val="00D16A33"/>
    <w:rsid w:val="00D16BCD"/>
    <w:rsid w:val="00D16DCF"/>
    <w:rsid w:val="00D16F14"/>
    <w:rsid w:val="00D16F4B"/>
    <w:rsid w:val="00D173A2"/>
    <w:rsid w:val="00D174DA"/>
    <w:rsid w:val="00D174DE"/>
    <w:rsid w:val="00D175BE"/>
    <w:rsid w:val="00D17D2E"/>
    <w:rsid w:val="00D17DE0"/>
    <w:rsid w:val="00D17DEA"/>
    <w:rsid w:val="00D20068"/>
    <w:rsid w:val="00D20234"/>
    <w:rsid w:val="00D20332"/>
    <w:rsid w:val="00D203C2"/>
    <w:rsid w:val="00D203E7"/>
    <w:rsid w:val="00D205EB"/>
    <w:rsid w:val="00D208FC"/>
    <w:rsid w:val="00D20949"/>
    <w:rsid w:val="00D20B40"/>
    <w:rsid w:val="00D20BF6"/>
    <w:rsid w:val="00D20CC6"/>
    <w:rsid w:val="00D20DCB"/>
    <w:rsid w:val="00D21011"/>
    <w:rsid w:val="00D21680"/>
    <w:rsid w:val="00D217A2"/>
    <w:rsid w:val="00D21942"/>
    <w:rsid w:val="00D219F5"/>
    <w:rsid w:val="00D21E86"/>
    <w:rsid w:val="00D21F1D"/>
    <w:rsid w:val="00D21FF8"/>
    <w:rsid w:val="00D220B4"/>
    <w:rsid w:val="00D221D9"/>
    <w:rsid w:val="00D2238D"/>
    <w:rsid w:val="00D224EC"/>
    <w:rsid w:val="00D2263E"/>
    <w:rsid w:val="00D22A43"/>
    <w:rsid w:val="00D22CDF"/>
    <w:rsid w:val="00D22F3F"/>
    <w:rsid w:val="00D23208"/>
    <w:rsid w:val="00D238C0"/>
    <w:rsid w:val="00D23A50"/>
    <w:rsid w:val="00D23A52"/>
    <w:rsid w:val="00D23CBE"/>
    <w:rsid w:val="00D23D6D"/>
    <w:rsid w:val="00D23EB8"/>
    <w:rsid w:val="00D23F66"/>
    <w:rsid w:val="00D240CB"/>
    <w:rsid w:val="00D24191"/>
    <w:rsid w:val="00D241DF"/>
    <w:rsid w:val="00D24287"/>
    <w:rsid w:val="00D24486"/>
    <w:rsid w:val="00D24737"/>
    <w:rsid w:val="00D24739"/>
    <w:rsid w:val="00D24766"/>
    <w:rsid w:val="00D24843"/>
    <w:rsid w:val="00D24966"/>
    <w:rsid w:val="00D24D75"/>
    <w:rsid w:val="00D24FBF"/>
    <w:rsid w:val="00D25028"/>
    <w:rsid w:val="00D250E9"/>
    <w:rsid w:val="00D25422"/>
    <w:rsid w:val="00D25453"/>
    <w:rsid w:val="00D2546A"/>
    <w:rsid w:val="00D255B1"/>
    <w:rsid w:val="00D25697"/>
    <w:rsid w:val="00D2577A"/>
    <w:rsid w:val="00D25BFC"/>
    <w:rsid w:val="00D25EC7"/>
    <w:rsid w:val="00D25F49"/>
    <w:rsid w:val="00D2600A"/>
    <w:rsid w:val="00D2668B"/>
    <w:rsid w:val="00D267E3"/>
    <w:rsid w:val="00D26830"/>
    <w:rsid w:val="00D26B71"/>
    <w:rsid w:val="00D26BD8"/>
    <w:rsid w:val="00D26D84"/>
    <w:rsid w:val="00D26FE0"/>
    <w:rsid w:val="00D27279"/>
    <w:rsid w:val="00D27B88"/>
    <w:rsid w:val="00D27BE9"/>
    <w:rsid w:val="00D27D2B"/>
    <w:rsid w:val="00D301DC"/>
    <w:rsid w:val="00D30213"/>
    <w:rsid w:val="00D30495"/>
    <w:rsid w:val="00D304A0"/>
    <w:rsid w:val="00D30651"/>
    <w:rsid w:val="00D30F82"/>
    <w:rsid w:val="00D311C0"/>
    <w:rsid w:val="00D3149A"/>
    <w:rsid w:val="00D31A92"/>
    <w:rsid w:val="00D323C9"/>
    <w:rsid w:val="00D32404"/>
    <w:rsid w:val="00D324D8"/>
    <w:rsid w:val="00D3294B"/>
    <w:rsid w:val="00D32D4A"/>
    <w:rsid w:val="00D33142"/>
    <w:rsid w:val="00D33151"/>
    <w:rsid w:val="00D33289"/>
    <w:rsid w:val="00D3344A"/>
    <w:rsid w:val="00D3345C"/>
    <w:rsid w:val="00D334AB"/>
    <w:rsid w:val="00D334C0"/>
    <w:rsid w:val="00D33839"/>
    <w:rsid w:val="00D338FC"/>
    <w:rsid w:val="00D33F09"/>
    <w:rsid w:val="00D340F8"/>
    <w:rsid w:val="00D343AA"/>
    <w:rsid w:val="00D347A5"/>
    <w:rsid w:val="00D34917"/>
    <w:rsid w:val="00D349D9"/>
    <w:rsid w:val="00D34ED6"/>
    <w:rsid w:val="00D35398"/>
    <w:rsid w:val="00D3545A"/>
    <w:rsid w:val="00D35A93"/>
    <w:rsid w:val="00D35B19"/>
    <w:rsid w:val="00D35C6A"/>
    <w:rsid w:val="00D35D16"/>
    <w:rsid w:val="00D35EEC"/>
    <w:rsid w:val="00D35FC7"/>
    <w:rsid w:val="00D35FEE"/>
    <w:rsid w:val="00D36240"/>
    <w:rsid w:val="00D36A35"/>
    <w:rsid w:val="00D36B4A"/>
    <w:rsid w:val="00D36BB4"/>
    <w:rsid w:val="00D36CC7"/>
    <w:rsid w:val="00D36F89"/>
    <w:rsid w:val="00D370A8"/>
    <w:rsid w:val="00D3710A"/>
    <w:rsid w:val="00D375CC"/>
    <w:rsid w:val="00D377C3"/>
    <w:rsid w:val="00D378B5"/>
    <w:rsid w:val="00D37AC4"/>
    <w:rsid w:val="00D37B30"/>
    <w:rsid w:val="00D37E70"/>
    <w:rsid w:val="00D37E86"/>
    <w:rsid w:val="00D40189"/>
    <w:rsid w:val="00D409D2"/>
    <w:rsid w:val="00D40EA2"/>
    <w:rsid w:val="00D41501"/>
    <w:rsid w:val="00D415BA"/>
    <w:rsid w:val="00D418D9"/>
    <w:rsid w:val="00D41D31"/>
    <w:rsid w:val="00D4209B"/>
    <w:rsid w:val="00D42229"/>
    <w:rsid w:val="00D4223F"/>
    <w:rsid w:val="00D428AA"/>
    <w:rsid w:val="00D428EE"/>
    <w:rsid w:val="00D42A18"/>
    <w:rsid w:val="00D42A6F"/>
    <w:rsid w:val="00D43707"/>
    <w:rsid w:val="00D43735"/>
    <w:rsid w:val="00D43743"/>
    <w:rsid w:val="00D4387A"/>
    <w:rsid w:val="00D43D1F"/>
    <w:rsid w:val="00D440E3"/>
    <w:rsid w:val="00D4417E"/>
    <w:rsid w:val="00D445C1"/>
    <w:rsid w:val="00D448B7"/>
    <w:rsid w:val="00D44AC5"/>
    <w:rsid w:val="00D44CCE"/>
    <w:rsid w:val="00D44ECA"/>
    <w:rsid w:val="00D4516C"/>
    <w:rsid w:val="00D451D4"/>
    <w:rsid w:val="00D45207"/>
    <w:rsid w:val="00D452F9"/>
    <w:rsid w:val="00D45369"/>
    <w:rsid w:val="00D453E3"/>
    <w:rsid w:val="00D456C1"/>
    <w:rsid w:val="00D4574D"/>
    <w:rsid w:val="00D4592C"/>
    <w:rsid w:val="00D45AB7"/>
    <w:rsid w:val="00D45E68"/>
    <w:rsid w:val="00D46021"/>
    <w:rsid w:val="00D4635E"/>
    <w:rsid w:val="00D46374"/>
    <w:rsid w:val="00D46805"/>
    <w:rsid w:val="00D468A2"/>
    <w:rsid w:val="00D46B2D"/>
    <w:rsid w:val="00D46D9D"/>
    <w:rsid w:val="00D46E41"/>
    <w:rsid w:val="00D46EFF"/>
    <w:rsid w:val="00D47036"/>
    <w:rsid w:val="00D47074"/>
    <w:rsid w:val="00D47082"/>
    <w:rsid w:val="00D471F9"/>
    <w:rsid w:val="00D47290"/>
    <w:rsid w:val="00D4759C"/>
    <w:rsid w:val="00D47707"/>
    <w:rsid w:val="00D477ED"/>
    <w:rsid w:val="00D47908"/>
    <w:rsid w:val="00D47911"/>
    <w:rsid w:val="00D47B51"/>
    <w:rsid w:val="00D47EDB"/>
    <w:rsid w:val="00D47EF3"/>
    <w:rsid w:val="00D47F45"/>
    <w:rsid w:val="00D50246"/>
    <w:rsid w:val="00D502C5"/>
    <w:rsid w:val="00D504E7"/>
    <w:rsid w:val="00D507F2"/>
    <w:rsid w:val="00D50834"/>
    <w:rsid w:val="00D510F6"/>
    <w:rsid w:val="00D5136B"/>
    <w:rsid w:val="00D51705"/>
    <w:rsid w:val="00D519F5"/>
    <w:rsid w:val="00D51B02"/>
    <w:rsid w:val="00D51B35"/>
    <w:rsid w:val="00D51BF6"/>
    <w:rsid w:val="00D51DF4"/>
    <w:rsid w:val="00D51EB8"/>
    <w:rsid w:val="00D51F19"/>
    <w:rsid w:val="00D51F59"/>
    <w:rsid w:val="00D51FC4"/>
    <w:rsid w:val="00D51FCC"/>
    <w:rsid w:val="00D52145"/>
    <w:rsid w:val="00D522F7"/>
    <w:rsid w:val="00D528EE"/>
    <w:rsid w:val="00D52926"/>
    <w:rsid w:val="00D52E57"/>
    <w:rsid w:val="00D531E1"/>
    <w:rsid w:val="00D53383"/>
    <w:rsid w:val="00D53388"/>
    <w:rsid w:val="00D53455"/>
    <w:rsid w:val="00D53662"/>
    <w:rsid w:val="00D537DE"/>
    <w:rsid w:val="00D5397D"/>
    <w:rsid w:val="00D53BC0"/>
    <w:rsid w:val="00D53CFD"/>
    <w:rsid w:val="00D53DB5"/>
    <w:rsid w:val="00D53F23"/>
    <w:rsid w:val="00D54587"/>
    <w:rsid w:val="00D54A3F"/>
    <w:rsid w:val="00D54AF2"/>
    <w:rsid w:val="00D54D4C"/>
    <w:rsid w:val="00D552AF"/>
    <w:rsid w:val="00D552F2"/>
    <w:rsid w:val="00D559AA"/>
    <w:rsid w:val="00D55B35"/>
    <w:rsid w:val="00D56271"/>
    <w:rsid w:val="00D562F0"/>
    <w:rsid w:val="00D5668A"/>
    <w:rsid w:val="00D56747"/>
    <w:rsid w:val="00D56F3C"/>
    <w:rsid w:val="00D575DC"/>
    <w:rsid w:val="00D5778D"/>
    <w:rsid w:val="00D5789B"/>
    <w:rsid w:val="00D57903"/>
    <w:rsid w:val="00D57A52"/>
    <w:rsid w:val="00D57ECA"/>
    <w:rsid w:val="00D57F20"/>
    <w:rsid w:val="00D57F7F"/>
    <w:rsid w:val="00D60085"/>
    <w:rsid w:val="00D60157"/>
    <w:rsid w:val="00D60295"/>
    <w:rsid w:val="00D60317"/>
    <w:rsid w:val="00D60794"/>
    <w:rsid w:val="00D60852"/>
    <w:rsid w:val="00D60A78"/>
    <w:rsid w:val="00D60BAA"/>
    <w:rsid w:val="00D61070"/>
    <w:rsid w:val="00D610C4"/>
    <w:rsid w:val="00D61298"/>
    <w:rsid w:val="00D612A3"/>
    <w:rsid w:val="00D612C5"/>
    <w:rsid w:val="00D617B1"/>
    <w:rsid w:val="00D61AA3"/>
    <w:rsid w:val="00D61BCF"/>
    <w:rsid w:val="00D61CCF"/>
    <w:rsid w:val="00D61DED"/>
    <w:rsid w:val="00D61F91"/>
    <w:rsid w:val="00D622C2"/>
    <w:rsid w:val="00D623B7"/>
    <w:rsid w:val="00D625B3"/>
    <w:rsid w:val="00D62663"/>
    <w:rsid w:val="00D627F5"/>
    <w:rsid w:val="00D62934"/>
    <w:rsid w:val="00D62960"/>
    <w:rsid w:val="00D62AD6"/>
    <w:rsid w:val="00D62DC5"/>
    <w:rsid w:val="00D62E25"/>
    <w:rsid w:val="00D62EFF"/>
    <w:rsid w:val="00D6345E"/>
    <w:rsid w:val="00D637A4"/>
    <w:rsid w:val="00D637AC"/>
    <w:rsid w:val="00D63A7E"/>
    <w:rsid w:val="00D63ACE"/>
    <w:rsid w:val="00D63F49"/>
    <w:rsid w:val="00D642EC"/>
    <w:rsid w:val="00D6434B"/>
    <w:rsid w:val="00D643B3"/>
    <w:rsid w:val="00D6450B"/>
    <w:rsid w:val="00D646AF"/>
    <w:rsid w:val="00D646B6"/>
    <w:rsid w:val="00D64794"/>
    <w:rsid w:val="00D647EB"/>
    <w:rsid w:val="00D64943"/>
    <w:rsid w:val="00D64AC9"/>
    <w:rsid w:val="00D64B56"/>
    <w:rsid w:val="00D64FC1"/>
    <w:rsid w:val="00D650E8"/>
    <w:rsid w:val="00D652D5"/>
    <w:rsid w:val="00D652F5"/>
    <w:rsid w:val="00D65737"/>
    <w:rsid w:val="00D65DC8"/>
    <w:rsid w:val="00D65E1D"/>
    <w:rsid w:val="00D65E92"/>
    <w:rsid w:val="00D65EC4"/>
    <w:rsid w:val="00D66610"/>
    <w:rsid w:val="00D672A7"/>
    <w:rsid w:val="00D6753B"/>
    <w:rsid w:val="00D67B5A"/>
    <w:rsid w:val="00D67C05"/>
    <w:rsid w:val="00D67C10"/>
    <w:rsid w:val="00D67E35"/>
    <w:rsid w:val="00D67F80"/>
    <w:rsid w:val="00D70313"/>
    <w:rsid w:val="00D705FC"/>
    <w:rsid w:val="00D70E3B"/>
    <w:rsid w:val="00D70E7E"/>
    <w:rsid w:val="00D70F03"/>
    <w:rsid w:val="00D70F89"/>
    <w:rsid w:val="00D712E2"/>
    <w:rsid w:val="00D713E0"/>
    <w:rsid w:val="00D71873"/>
    <w:rsid w:val="00D719CF"/>
    <w:rsid w:val="00D71D19"/>
    <w:rsid w:val="00D71EC1"/>
    <w:rsid w:val="00D71F0A"/>
    <w:rsid w:val="00D71FE2"/>
    <w:rsid w:val="00D7223D"/>
    <w:rsid w:val="00D725E5"/>
    <w:rsid w:val="00D72687"/>
    <w:rsid w:val="00D7273B"/>
    <w:rsid w:val="00D72860"/>
    <w:rsid w:val="00D72896"/>
    <w:rsid w:val="00D728FB"/>
    <w:rsid w:val="00D72985"/>
    <w:rsid w:val="00D72E58"/>
    <w:rsid w:val="00D73215"/>
    <w:rsid w:val="00D732C2"/>
    <w:rsid w:val="00D73399"/>
    <w:rsid w:val="00D73613"/>
    <w:rsid w:val="00D73661"/>
    <w:rsid w:val="00D73836"/>
    <w:rsid w:val="00D73A73"/>
    <w:rsid w:val="00D73D7B"/>
    <w:rsid w:val="00D7400C"/>
    <w:rsid w:val="00D74043"/>
    <w:rsid w:val="00D741F2"/>
    <w:rsid w:val="00D74573"/>
    <w:rsid w:val="00D748B1"/>
    <w:rsid w:val="00D75043"/>
    <w:rsid w:val="00D751A0"/>
    <w:rsid w:val="00D7523F"/>
    <w:rsid w:val="00D75523"/>
    <w:rsid w:val="00D75799"/>
    <w:rsid w:val="00D75894"/>
    <w:rsid w:val="00D758FA"/>
    <w:rsid w:val="00D75933"/>
    <w:rsid w:val="00D75B34"/>
    <w:rsid w:val="00D75BDE"/>
    <w:rsid w:val="00D75C58"/>
    <w:rsid w:val="00D763E4"/>
    <w:rsid w:val="00D7670E"/>
    <w:rsid w:val="00D76797"/>
    <w:rsid w:val="00D76A0F"/>
    <w:rsid w:val="00D76C3C"/>
    <w:rsid w:val="00D76C3D"/>
    <w:rsid w:val="00D76F0F"/>
    <w:rsid w:val="00D770D3"/>
    <w:rsid w:val="00D77187"/>
    <w:rsid w:val="00D7724A"/>
    <w:rsid w:val="00D7778D"/>
    <w:rsid w:val="00D77A5C"/>
    <w:rsid w:val="00D77CFC"/>
    <w:rsid w:val="00D77D08"/>
    <w:rsid w:val="00D8006C"/>
    <w:rsid w:val="00D80121"/>
    <w:rsid w:val="00D8029D"/>
    <w:rsid w:val="00D802AF"/>
    <w:rsid w:val="00D802FB"/>
    <w:rsid w:val="00D8035F"/>
    <w:rsid w:val="00D80483"/>
    <w:rsid w:val="00D804B1"/>
    <w:rsid w:val="00D804C9"/>
    <w:rsid w:val="00D80756"/>
    <w:rsid w:val="00D8091C"/>
    <w:rsid w:val="00D80B2C"/>
    <w:rsid w:val="00D80BB6"/>
    <w:rsid w:val="00D80E10"/>
    <w:rsid w:val="00D8112C"/>
    <w:rsid w:val="00D811CD"/>
    <w:rsid w:val="00D8139E"/>
    <w:rsid w:val="00D815F3"/>
    <w:rsid w:val="00D8175C"/>
    <w:rsid w:val="00D81913"/>
    <w:rsid w:val="00D81957"/>
    <w:rsid w:val="00D81BC8"/>
    <w:rsid w:val="00D81EA5"/>
    <w:rsid w:val="00D82334"/>
    <w:rsid w:val="00D82359"/>
    <w:rsid w:val="00D8299C"/>
    <w:rsid w:val="00D829AB"/>
    <w:rsid w:val="00D82A6C"/>
    <w:rsid w:val="00D82B0A"/>
    <w:rsid w:val="00D82C59"/>
    <w:rsid w:val="00D82C8D"/>
    <w:rsid w:val="00D82DA0"/>
    <w:rsid w:val="00D82F1C"/>
    <w:rsid w:val="00D830A7"/>
    <w:rsid w:val="00D832F4"/>
    <w:rsid w:val="00D838FE"/>
    <w:rsid w:val="00D83BDD"/>
    <w:rsid w:val="00D83C8B"/>
    <w:rsid w:val="00D83CAD"/>
    <w:rsid w:val="00D83DB0"/>
    <w:rsid w:val="00D8401F"/>
    <w:rsid w:val="00D842C2"/>
    <w:rsid w:val="00D843AF"/>
    <w:rsid w:val="00D8465A"/>
    <w:rsid w:val="00D8479F"/>
    <w:rsid w:val="00D847F3"/>
    <w:rsid w:val="00D84BFA"/>
    <w:rsid w:val="00D84D60"/>
    <w:rsid w:val="00D84E91"/>
    <w:rsid w:val="00D851D9"/>
    <w:rsid w:val="00D85333"/>
    <w:rsid w:val="00D85AEB"/>
    <w:rsid w:val="00D85F37"/>
    <w:rsid w:val="00D8609E"/>
    <w:rsid w:val="00D86594"/>
    <w:rsid w:val="00D865B0"/>
    <w:rsid w:val="00D86CCA"/>
    <w:rsid w:val="00D86D64"/>
    <w:rsid w:val="00D8711E"/>
    <w:rsid w:val="00D8719D"/>
    <w:rsid w:val="00D87247"/>
    <w:rsid w:val="00D8762D"/>
    <w:rsid w:val="00D87944"/>
    <w:rsid w:val="00D87996"/>
    <w:rsid w:val="00D87CBF"/>
    <w:rsid w:val="00D87F49"/>
    <w:rsid w:val="00D90231"/>
    <w:rsid w:val="00D9032C"/>
    <w:rsid w:val="00D904EF"/>
    <w:rsid w:val="00D90693"/>
    <w:rsid w:val="00D90F11"/>
    <w:rsid w:val="00D910BA"/>
    <w:rsid w:val="00D9135F"/>
    <w:rsid w:val="00D91613"/>
    <w:rsid w:val="00D91616"/>
    <w:rsid w:val="00D91635"/>
    <w:rsid w:val="00D91A09"/>
    <w:rsid w:val="00D91A88"/>
    <w:rsid w:val="00D91AFA"/>
    <w:rsid w:val="00D91BDB"/>
    <w:rsid w:val="00D91C15"/>
    <w:rsid w:val="00D91E98"/>
    <w:rsid w:val="00D91FE4"/>
    <w:rsid w:val="00D92538"/>
    <w:rsid w:val="00D92689"/>
    <w:rsid w:val="00D92A0E"/>
    <w:rsid w:val="00D92A7D"/>
    <w:rsid w:val="00D92B3B"/>
    <w:rsid w:val="00D93103"/>
    <w:rsid w:val="00D9357E"/>
    <w:rsid w:val="00D93702"/>
    <w:rsid w:val="00D93F58"/>
    <w:rsid w:val="00D940C8"/>
    <w:rsid w:val="00D940F7"/>
    <w:rsid w:val="00D9473F"/>
    <w:rsid w:val="00D947B1"/>
    <w:rsid w:val="00D94817"/>
    <w:rsid w:val="00D94BD1"/>
    <w:rsid w:val="00D94D56"/>
    <w:rsid w:val="00D95131"/>
    <w:rsid w:val="00D951B6"/>
    <w:rsid w:val="00D95488"/>
    <w:rsid w:val="00D95546"/>
    <w:rsid w:val="00D95665"/>
    <w:rsid w:val="00D95859"/>
    <w:rsid w:val="00D95AE2"/>
    <w:rsid w:val="00D95B74"/>
    <w:rsid w:val="00D95EA1"/>
    <w:rsid w:val="00D96014"/>
    <w:rsid w:val="00D962BF"/>
    <w:rsid w:val="00D96371"/>
    <w:rsid w:val="00D963AD"/>
    <w:rsid w:val="00D9659F"/>
    <w:rsid w:val="00D965EA"/>
    <w:rsid w:val="00D9677B"/>
    <w:rsid w:val="00D969E0"/>
    <w:rsid w:val="00D96AF5"/>
    <w:rsid w:val="00D96CF1"/>
    <w:rsid w:val="00D973C5"/>
    <w:rsid w:val="00D9768E"/>
    <w:rsid w:val="00D976FC"/>
    <w:rsid w:val="00D977D5"/>
    <w:rsid w:val="00D977E7"/>
    <w:rsid w:val="00D97820"/>
    <w:rsid w:val="00D97A45"/>
    <w:rsid w:val="00D97CC6"/>
    <w:rsid w:val="00D97D75"/>
    <w:rsid w:val="00D97E4F"/>
    <w:rsid w:val="00D97F30"/>
    <w:rsid w:val="00DA01F3"/>
    <w:rsid w:val="00DA0A55"/>
    <w:rsid w:val="00DA0DD7"/>
    <w:rsid w:val="00DA1023"/>
    <w:rsid w:val="00DA117C"/>
    <w:rsid w:val="00DA153B"/>
    <w:rsid w:val="00DA1A9B"/>
    <w:rsid w:val="00DA2144"/>
    <w:rsid w:val="00DA2189"/>
    <w:rsid w:val="00DA220C"/>
    <w:rsid w:val="00DA2358"/>
    <w:rsid w:val="00DA25C0"/>
    <w:rsid w:val="00DA2709"/>
    <w:rsid w:val="00DA291C"/>
    <w:rsid w:val="00DA295E"/>
    <w:rsid w:val="00DA2AF3"/>
    <w:rsid w:val="00DA2D13"/>
    <w:rsid w:val="00DA32B1"/>
    <w:rsid w:val="00DA36EE"/>
    <w:rsid w:val="00DA3A80"/>
    <w:rsid w:val="00DA3BE3"/>
    <w:rsid w:val="00DA3C42"/>
    <w:rsid w:val="00DA3C5F"/>
    <w:rsid w:val="00DA4019"/>
    <w:rsid w:val="00DA436C"/>
    <w:rsid w:val="00DA4399"/>
    <w:rsid w:val="00DA44B4"/>
    <w:rsid w:val="00DA453B"/>
    <w:rsid w:val="00DA4826"/>
    <w:rsid w:val="00DA4836"/>
    <w:rsid w:val="00DA4973"/>
    <w:rsid w:val="00DA4F51"/>
    <w:rsid w:val="00DA5163"/>
    <w:rsid w:val="00DA5169"/>
    <w:rsid w:val="00DA5266"/>
    <w:rsid w:val="00DA5330"/>
    <w:rsid w:val="00DA53AF"/>
    <w:rsid w:val="00DA53CC"/>
    <w:rsid w:val="00DA53CE"/>
    <w:rsid w:val="00DA5449"/>
    <w:rsid w:val="00DA54B1"/>
    <w:rsid w:val="00DA5523"/>
    <w:rsid w:val="00DA5ABE"/>
    <w:rsid w:val="00DA63A3"/>
    <w:rsid w:val="00DA660B"/>
    <w:rsid w:val="00DA6690"/>
    <w:rsid w:val="00DA67ED"/>
    <w:rsid w:val="00DA682B"/>
    <w:rsid w:val="00DA68AD"/>
    <w:rsid w:val="00DA6ABF"/>
    <w:rsid w:val="00DA6AED"/>
    <w:rsid w:val="00DA6B4F"/>
    <w:rsid w:val="00DA6D9F"/>
    <w:rsid w:val="00DA7473"/>
    <w:rsid w:val="00DA74D3"/>
    <w:rsid w:val="00DA7647"/>
    <w:rsid w:val="00DA764D"/>
    <w:rsid w:val="00DA77A1"/>
    <w:rsid w:val="00DB003A"/>
    <w:rsid w:val="00DB0A91"/>
    <w:rsid w:val="00DB0AF9"/>
    <w:rsid w:val="00DB0E33"/>
    <w:rsid w:val="00DB0E50"/>
    <w:rsid w:val="00DB10EF"/>
    <w:rsid w:val="00DB1449"/>
    <w:rsid w:val="00DB1906"/>
    <w:rsid w:val="00DB1D10"/>
    <w:rsid w:val="00DB1F0F"/>
    <w:rsid w:val="00DB1F97"/>
    <w:rsid w:val="00DB2025"/>
    <w:rsid w:val="00DB2295"/>
    <w:rsid w:val="00DB2313"/>
    <w:rsid w:val="00DB24A0"/>
    <w:rsid w:val="00DB24CD"/>
    <w:rsid w:val="00DB2752"/>
    <w:rsid w:val="00DB27CA"/>
    <w:rsid w:val="00DB27E4"/>
    <w:rsid w:val="00DB2E5C"/>
    <w:rsid w:val="00DB2F01"/>
    <w:rsid w:val="00DB3068"/>
    <w:rsid w:val="00DB32DC"/>
    <w:rsid w:val="00DB35FE"/>
    <w:rsid w:val="00DB370B"/>
    <w:rsid w:val="00DB3751"/>
    <w:rsid w:val="00DB3A63"/>
    <w:rsid w:val="00DB3C09"/>
    <w:rsid w:val="00DB3F56"/>
    <w:rsid w:val="00DB4967"/>
    <w:rsid w:val="00DB4B12"/>
    <w:rsid w:val="00DB4B6F"/>
    <w:rsid w:val="00DB4D06"/>
    <w:rsid w:val="00DB4DE3"/>
    <w:rsid w:val="00DB4F77"/>
    <w:rsid w:val="00DB4FC5"/>
    <w:rsid w:val="00DB52DC"/>
    <w:rsid w:val="00DB55EF"/>
    <w:rsid w:val="00DB56F4"/>
    <w:rsid w:val="00DB5901"/>
    <w:rsid w:val="00DB5999"/>
    <w:rsid w:val="00DB5C51"/>
    <w:rsid w:val="00DB5CAB"/>
    <w:rsid w:val="00DB5F19"/>
    <w:rsid w:val="00DB6312"/>
    <w:rsid w:val="00DB656A"/>
    <w:rsid w:val="00DB6BD9"/>
    <w:rsid w:val="00DB6C78"/>
    <w:rsid w:val="00DB6C90"/>
    <w:rsid w:val="00DB6CEF"/>
    <w:rsid w:val="00DB6E76"/>
    <w:rsid w:val="00DB6EFD"/>
    <w:rsid w:val="00DB6F41"/>
    <w:rsid w:val="00DB6F55"/>
    <w:rsid w:val="00DB700B"/>
    <w:rsid w:val="00DB7039"/>
    <w:rsid w:val="00DB743E"/>
    <w:rsid w:val="00DB74CF"/>
    <w:rsid w:val="00DB74DE"/>
    <w:rsid w:val="00DB7AD8"/>
    <w:rsid w:val="00DB7B15"/>
    <w:rsid w:val="00DB7C3C"/>
    <w:rsid w:val="00DB7E13"/>
    <w:rsid w:val="00DB7EF6"/>
    <w:rsid w:val="00DC0248"/>
    <w:rsid w:val="00DC03B0"/>
    <w:rsid w:val="00DC04F2"/>
    <w:rsid w:val="00DC0615"/>
    <w:rsid w:val="00DC065B"/>
    <w:rsid w:val="00DC0985"/>
    <w:rsid w:val="00DC0AA6"/>
    <w:rsid w:val="00DC0BBB"/>
    <w:rsid w:val="00DC0DA9"/>
    <w:rsid w:val="00DC0EEC"/>
    <w:rsid w:val="00DC0FB7"/>
    <w:rsid w:val="00DC10B0"/>
    <w:rsid w:val="00DC1242"/>
    <w:rsid w:val="00DC1404"/>
    <w:rsid w:val="00DC1504"/>
    <w:rsid w:val="00DC16CD"/>
    <w:rsid w:val="00DC177D"/>
    <w:rsid w:val="00DC18EF"/>
    <w:rsid w:val="00DC1967"/>
    <w:rsid w:val="00DC1CD0"/>
    <w:rsid w:val="00DC1D44"/>
    <w:rsid w:val="00DC22DD"/>
    <w:rsid w:val="00DC233E"/>
    <w:rsid w:val="00DC2470"/>
    <w:rsid w:val="00DC2610"/>
    <w:rsid w:val="00DC2791"/>
    <w:rsid w:val="00DC298C"/>
    <w:rsid w:val="00DC2AC9"/>
    <w:rsid w:val="00DC2BC2"/>
    <w:rsid w:val="00DC2CA0"/>
    <w:rsid w:val="00DC2D2A"/>
    <w:rsid w:val="00DC2D3B"/>
    <w:rsid w:val="00DC2D6B"/>
    <w:rsid w:val="00DC2DD7"/>
    <w:rsid w:val="00DC329D"/>
    <w:rsid w:val="00DC3322"/>
    <w:rsid w:val="00DC3703"/>
    <w:rsid w:val="00DC3757"/>
    <w:rsid w:val="00DC398C"/>
    <w:rsid w:val="00DC3A69"/>
    <w:rsid w:val="00DC3CE7"/>
    <w:rsid w:val="00DC3E1E"/>
    <w:rsid w:val="00DC3ECE"/>
    <w:rsid w:val="00DC4205"/>
    <w:rsid w:val="00DC43F6"/>
    <w:rsid w:val="00DC4571"/>
    <w:rsid w:val="00DC4A95"/>
    <w:rsid w:val="00DC4D79"/>
    <w:rsid w:val="00DC4D97"/>
    <w:rsid w:val="00DC54CF"/>
    <w:rsid w:val="00DC555B"/>
    <w:rsid w:val="00DC5E00"/>
    <w:rsid w:val="00DC6097"/>
    <w:rsid w:val="00DC612B"/>
    <w:rsid w:val="00DC662C"/>
    <w:rsid w:val="00DC6787"/>
    <w:rsid w:val="00DC6C6B"/>
    <w:rsid w:val="00DC6CA1"/>
    <w:rsid w:val="00DC6D05"/>
    <w:rsid w:val="00DC6DCC"/>
    <w:rsid w:val="00DC70F8"/>
    <w:rsid w:val="00DC71DC"/>
    <w:rsid w:val="00DC78D4"/>
    <w:rsid w:val="00DC7F0F"/>
    <w:rsid w:val="00DC7FD5"/>
    <w:rsid w:val="00DD036D"/>
    <w:rsid w:val="00DD057C"/>
    <w:rsid w:val="00DD05B6"/>
    <w:rsid w:val="00DD078F"/>
    <w:rsid w:val="00DD092E"/>
    <w:rsid w:val="00DD0B07"/>
    <w:rsid w:val="00DD0B5E"/>
    <w:rsid w:val="00DD0C25"/>
    <w:rsid w:val="00DD10AF"/>
    <w:rsid w:val="00DD10B9"/>
    <w:rsid w:val="00DD1471"/>
    <w:rsid w:val="00DD19CE"/>
    <w:rsid w:val="00DD1BA4"/>
    <w:rsid w:val="00DD1C69"/>
    <w:rsid w:val="00DD1E53"/>
    <w:rsid w:val="00DD2037"/>
    <w:rsid w:val="00DD214E"/>
    <w:rsid w:val="00DD21AB"/>
    <w:rsid w:val="00DD23CD"/>
    <w:rsid w:val="00DD2D98"/>
    <w:rsid w:val="00DD2F5A"/>
    <w:rsid w:val="00DD302D"/>
    <w:rsid w:val="00DD3142"/>
    <w:rsid w:val="00DD315A"/>
    <w:rsid w:val="00DD3222"/>
    <w:rsid w:val="00DD3382"/>
    <w:rsid w:val="00DD3626"/>
    <w:rsid w:val="00DD3C6C"/>
    <w:rsid w:val="00DD3D6F"/>
    <w:rsid w:val="00DD4169"/>
    <w:rsid w:val="00DD4258"/>
    <w:rsid w:val="00DD4858"/>
    <w:rsid w:val="00DD4A4A"/>
    <w:rsid w:val="00DD4A77"/>
    <w:rsid w:val="00DD4BC7"/>
    <w:rsid w:val="00DD5191"/>
    <w:rsid w:val="00DD5255"/>
    <w:rsid w:val="00DD561F"/>
    <w:rsid w:val="00DD5626"/>
    <w:rsid w:val="00DD5661"/>
    <w:rsid w:val="00DD576C"/>
    <w:rsid w:val="00DD5942"/>
    <w:rsid w:val="00DD5A21"/>
    <w:rsid w:val="00DD5CB3"/>
    <w:rsid w:val="00DD6041"/>
    <w:rsid w:val="00DD6199"/>
    <w:rsid w:val="00DD6651"/>
    <w:rsid w:val="00DD6A84"/>
    <w:rsid w:val="00DD6D32"/>
    <w:rsid w:val="00DD6E93"/>
    <w:rsid w:val="00DD6F15"/>
    <w:rsid w:val="00DD7090"/>
    <w:rsid w:val="00DD7188"/>
    <w:rsid w:val="00DD7AC8"/>
    <w:rsid w:val="00DD7BC8"/>
    <w:rsid w:val="00DD7C46"/>
    <w:rsid w:val="00DD7F5C"/>
    <w:rsid w:val="00DE0257"/>
    <w:rsid w:val="00DE047B"/>
    <w:rsid w:val="00DE06AD"/>
    <w:rsid w:val="00DE07F8"/>
    <w:rsid w:val="00DE0926"/>
    <w:rsid w:val="00DE0937"/>
    <w:rsid w:val="00DE09A0"/>
    <w:rsid w:val="00DE09D3"/>
    <w:rsid w:val="00DE0A07"/>
    <w:rsid w:val="00DE0F2A"/>
    <w:rsid w:val="00DE11BA"/>
    <w:rsid w:val="00DE13C1"/>
    <w:rsid w:val="00DE142C"/>
    <w:rsid w:val="00DE159C"/>
    <w:rsid w:val="00DE172F"/>
    <w:rsid w:val="00DE1A4E"/>
    <w:rsid w:val="00DE1BC9"/>
    <w:rsid w:val="00DE1E1D"/>
    <w:rsid w:val="00DE1E7C"/>
    <w:rsid w:val="00DE2130"/>
    <w:rsid w:val="00DE2434"/>
    <w:rsid w:val="00DE2944"/>
    <w:rsid w:val="00DE2BCC"/>
    <w:rsid w:val="00DE2F62"/>
    <w:rsid w:val="00DE3120"/>
    <w:rsid w:val="00DE31D2"/>
    <w:rsid w:val="00DE339A"/>
    <w:rsid w:val="00DE3452"/>
    <w:rsid w:val="00DE390D"/>
    <w:rsid w:val="00DE3AA8"/>
    <w:rsid w:val="00DE3D1A"/>
    <w:rsid w:val="00DE435B"/>
    <w:rsid w:val="00DE4393"/>
    <w:rsid w:val="00DE4745"/>
    <w:rsid w:val="00DE4966"/>
    <w:rsid w:val="00DE4AE6"/>
    <w:rsid w:val="00DE510A"/>
    <w:rsid w:val="00DE5207"/>
    <w:rsid w:val="00DE5556"/>
    <w:rsid w:val="00DE558F"/>
    <w:rsid w:val="00DE56B6"/>
    <w:rsid w:val="00DE594E"/>
    <w:rsid w:val="00DE5A23"/>
    <w:rsid w:val="00DE5A4D"/>
    <w:rsid w:val="00DE5D50"/>
    <w:rsid w:val="00DE6323"/>
    <w:rsid w:val="00DE63E5"/>
    <w:rsid w:val="00DE6592"/>
    <w:rsid w:val="00DE65D1"/>
    <w:rsid w:val="00DE668B"/>
    <w:rsid w:val="00DE67A1"/>
    <w:rsid w:val="00DE6865"/>
    <w:rsid w:val="00DE68F1"/>
    <w:rsid w:val="00DE6929"/>
    <w:rsid w:val="00DE69FE"/>
    <w:rsid w:val="00DE6DDF"/>
    <w:rsid w:val="00DE7530"/>
    <w:rsid w:val="00DE75DD"/>
    <w:rsid w:val="00DE7BF3"/>
    <w:rsid w:val="00DF013B"/>
    <w:rsid w:val="00DF0375"/>
    <w:rsid w:val="00DF05E5"/>
    <w:rsid w:val="00DF0AE8"/>
    <w:rsid w:val="00DF0BE7"/>
    <w:rsid w:val="00DF0F43"/>
    <w:rsid w:val="00DF16E1"/>
    <w:rsid w:val="00DF1ABB"/>
    <w:rsid w:val="00DF1AFC"/>
    <w:rsid w:val="00DF1B7B"/>
    <w:rsid w:val="00DF1E12"/>
    <w:rsid w:val="00DF1E17"/>
    <w:rsid w:val="00DF2034"/>
    <w:rsid w:val="00DF20A4"/>
    <w:rsid w:val="00DF21A9"/>
    <w:rsid w:val="00DF2308"/>
    <w:rsid w:val="00DF249F"/>
    <w:rsid w:val="00DF2F62"/>
    <w:rsid w:val="00DF3111"/>
    <w:rsid w:val="00DF31A9"/>
    <w:rsid w:val="00DF375C"/>
    <w:rsid w:val="00DF3782"/>
    <w:rsid w:val="00DF37B8"/>
    <w:rsid w:val="00DF3A99"/>
    <w:rsid w:val="00DF3AAA"/>
    <w:rsid w:val="00DF3B96"/>
    <w:rsid w:val="00DF3E11"/>
    <w:rsid w:val="00DF4157"/>
    <w:rsid w:val="00DF4482"/>
    <w:rsid w:val="00DF4509"/>
    <w:rsid w:val="00DF466E"/>
    <w:rsid w:val="00DF4A44"/>
    <w:rsid w:val="00DF4AD0"/>
    <w:rsid w:val="00DF4B2D"/>
    <w:rsid w:val="00DF4C26"/>
    <w:rsid w:val="00DF4DED"/>
    <w:rsid w:val="00DF5095"/>
    <w:rsid w:val="00DF535A"/>
    <w:rsid w:val="00DF572D"/>
    <w:rsid w:val="00DF58BC"/>
    <w:rsid w:val="00DF5ACC"/>
    <w:rsid w:val="00DF5DAA"/>
    <w:rsid w:val="00DF5FE6"/>
    <w:rsid w:val="00DF6303"/>
    <w:rsid w:val="00DF63DE"/>
    <w:rsid w:val="00DF745F"/>
    <w:rsid w:val="00DF76E6"/>
    <w:rsid w:val="00DF77E7"/>
    <w:rsid w:val="00DF7A0A"/>
    <w:rsid w:val="00DF7A15"/>
    <w:rsid w:val="00DF7AB8"/>
    <w:rsid w:val="00DF7D5A"/>
    <w:rsid w:val="00DF7F1E"/>
    <w:rsid w:val="00DF7FE5"/>
    <w:rsid w:val="00DF7FF1"/>
    <w:rsid w:val="00E0029C"/>
    <w:rsid w:val="00E003B8"/>
    <w:rsid w:val="00E00488"/>
    <w:rsid w:val="00E005E9"/>
    <w:rsid w:val="00E007A9"/>
    <w:rsid w:val="00E00821"/>
    <w:rsid w:val="00E0096B"/>
    <w:rsid w:val="00E00CEA"/>
    <w:rsid w:val="00E00DCA"/>
    <w:rsid w:val="00E00E10"/>
    <w:rsid w:val="00E00EB7"/>
    <w:rsid w:val="00E014EA"/>
    <w:rsid w:val="00E018C9"/>
    <w:rsid w:val="00E01931"/>
    <w:rsid w:val="00E01BC8"/>
    <w:rsid w:val="00E01BF9"/>
    <w:rsid w:val="00E01BFD"/>
    <w:rsid w:val="00E023AC"/>
    <w:rsid w:val="00E0251E"/>
    <w:rsid w:val="00E0262E"/>
    <w:rsid w:val="00E026DB"/>
    <w:rsid w:val="00E02752"/>
    <w:rsid w:val="00E02B25"/>
    <w:rsid w:val="00E02C62"/>
    <w:rsid w:val="00E0304E"/>
    <w:rsid w:val="00E03086"/>
    <w:rsid w:val="00E031F5"/>
    <w:rsid w:val="00E035AB"/>
    <w:rsid w:val="00E03713"/>
    <w:rsid w:val="00E03AE4"/>
    <w:rsid w:val="00E03C94"/>
    <w:rsid w:val="00E03DAE"/>
    <w:rsid w:val="00E0408C"/>
    <w:rsid w:val="00E04329"/>
    <w:rsid w:val="00E043AD"/>
    <w:rsid w:val="00E04635"/>
    <w:rsid w:val="00E04660"/>
    <w:rsid w:val="00E0480B"/>
    <w:rsid w:val="00E04866"/>
    <w:rsid w:val="00E04B21"/>
    <w:rsid w:val="00E04FA4"/>
    <w:rsid w:val="00E051E7"/>
    <w:rsid w:val="00E05637"/>
    <w:rsid w:val="00E05959"/>
    <w:rsid w:val="00E05968"/>
    <w:rsid w:val="00E05B5E"/>
    <w:rsid w:val="00E05D37"/>
    <w:rsid w:val="00E05DD2"/>
    <w:rsid w:val="00E06039"/>
    <w:rsid w:val="00E06045"/>
    <w:rsid w:val="00E060E3"/>
    <w:rsid w:val="00E06101"/>
    <w:rsid w:val="00E06366"/>
    <w:rsid w:val="00E064DA"/>
    <w:rsid w:val="00E06568"/>
    <w:rsid w:val="00E06696"/>
    <w:rsid w:val="00E06724"/>
    <w:rsid w:val="00E06728"/>
    <w:rsid w:val="00E067C8"/>
    <w:rsid w:val="00E069BF"/>
    <w:rsid w:val="00E06AE3"/>
    <w:rsid w:val="00E07769"/>
    <w:rsid w:val="00E077DC"/>
    <w:rsid w:val="00E07C04"/>
    <w:rsid w:val="00E103BA"/>
    <w:rsid w:val="00E107A0"/>
    <w:rsid w:val="00E1094F"/>
    <w:rsid w:val="00E10B18"/>
    <w:rsid w:val="00E10E42"/>
    <w:rsid w:val="00E110BB"/>
    <w:rsid w:val="00E11126"/>
    <w:rsid w:val="00E112A1"/>
    <w:rsid w:val="00E112E8"/>
    <w:rsid w:val="00E1135A"/>
    <w:rsid w:val="00E113C9"/>
    <w:rsid w:val="00E11A49"/>
    <w:rsid w:val="00E11E5B"/>
    <w:rsid w:val="00E12128"/>
    <w:rsid w:val="00E1258C"/>
    <w:rsid w:val="00E12C02"/>
    <w:rsid w:val="00E13033"/>
    <w:rsid w:val="00E13082"/>
    <w:rsid w:val="00E1314E"/>
    <w:rsid w:val="00E132F8"/>
    <w:rsid w:val="00E13334"/>
    <w:rsid w:val="00E13586"/>
    <w:rsid w:val="00E13AB1"/>
    <w:rsid w:val="00E13D94"/>
    <w:rsid w:val="00E13EDC"/>
    <w:rsid w:val="00E1402F"/>
    <w:rsid w:val="00E140DF"/>
    <w:rsid w:val="00E1436B"/>
    <w:rsid w:val="00E143C9"/>
    <w:rsid w:val="00E1443C"/>
    <w:rsid w:val="00E14530"/>
    <w:rsid w:val="00E14662"/>
    <w:rsid w:val="00E14743"/>
    <w:rsid w:val="00E149D1"/>
    <w:rsid w:val="00E149FB"/>
    <w:rsid w:val="00E14B3E"/>
    <w:rsid w:val="00E14D0A"/>
    <w:rsid w:val="00E14D6F"/>
    <w:rsid w:val="00E14D91"/>
    <w:rsid w:val="00E14FFB"/>
    <w:rsid w:val="00E150C7"/>
    <w:rsid w:val="00E15227"/>
    <w:rsid w:val="00E153A0"/>
    <w:rsid w:val="00E156A2"/>
    <w:rsid w:val="00E157A4"/>
    <w:rsid w:val="00E159AF"/>
    <w:rsid w:val="00E15B63"/>
    <w:rsid w:val="00E15CA4"/>
    <w:rsid w:val="00E15E04"/>
    <w:rsid w:val="00E15E75"/>
    <w:rsid w:val="00E163AB"/>
    <w:rsid w:val="00E1655F"/>
    <w:rsid w:val="00E16695"/>
    <w:rsid w:val="00E1674C"/>
    <w:rsid w:val="00E16764"/>
    <w:rsid w:val="00E16BCB"/>
    <w:rsid w:val="00E17212"/>
    <w:rsid w:val="00E17274"/>
    <w:rsid w:val="00E17286"/>
    <w:rsid w:val="00E173C0"/>
    <w:rsid w:val="00E17778"/>
    <w:rsid w:val="00E17783"/>
    <w:rsid w:val="00E17B69"/>
    <w:rsid w:val="00E17F34"/>
    <w:rsid w:val="00E17F60"/>
    <w:rsid w:val="00E20705"/>
    <w:rsid w:val="00E20881"/>
    <w:rsid w:val="00E21102"/>
    <w:rsid w:val="00E2112E"/>
    <w:rsid w:val="00E211A9"/>
    <w:rsid w:val="00E213F8"/>
    <w:rsid w:val="00E2146D"/>
    <w:rsid w:val="00E21549"/>
    <w:rsid w:val="00E2157D"/>
    <w:rsid w:val="00E21584"/>
    <w:rsid w:val="00E216A5"/>
    <w:rsid w:val="00E2180D"/>
    <w:rsid w:val="00E21CB5"/>
    <w:rsid w:val="00E2202C"/>
    <w:rsid w:val="00E22137"/>
    <w:rsid w:val="00E22311"/>
    <w:rsid w:val="00E223AA"/>
    <w:rsid w:val="00E22511"/>
    <w:rsid w:val="00E22B64"/>
    <w:rsid w:val="00E22D97"/>
    <w:rsid w:val="00E22E0B"/>
    <w:rsid w:val="00E22E36"/>
    <w:rsid w:val="00E22F8E"/>
    <w:rsid w:val="00E2308E"/>
    <w:rsid w:val="00E23476"/>
    <w:rsid w:val="00E23521"/>
    <w:rsid w:val="00E23B45"/>
    <w:rsid w:val="00E23C71"/>
    <w:rsid w:val="00E23FBF"/>
    <w:rsid w:val="00E24054"/>
    <w:rsid w:val="00E240D7"/>
    <w:rsid w:val="00E241D0"/>
    <w:rsid w:val="00E2422C"/>
    <w:rsid w:val="00E245FF"/>
    <w:rsid w:val="00E2470A"/>
    <w:rsid w:val="00E247DD"/>
    <w:rsid w:val="00E24D1B"/>
    <w:rsid w:val="00E24D8F"/>
    <w:rsid w:val="00E24DA0"/>
    <w:rsid w:val="00E251FB"/>
    <w:rsid w:val="00E2531F"/>
    <w:rsid w:val="00E255F5"/>
    <w:rsid w:val="00E2576A"/>
    <w:rsid w:val="00E25784"/>
    <w:rsid w:val="00E258B8"/>
    <w:rsid w:val="00E25A4A"/>
    <w:rsid w:val="00E25AD9"/>
    <w:rsid w:val="00E25B39"/>
    <w:rsid w:val="00E25BE1"/>
    <w:rsid w:val="00E25C0B"/>
    <w:rsid w:val="00E2632B"/>
    <w:rsid w:val="00E2649F"/>
    <w:rsid w:val="00E266D4"/>
    <w:rsid w:val="00E268A0"/>
    <w:rsid w:val="00E26A9A"/>
    <w:rsid w:val="00E27015"/>
    <w:rsid w:val="00E270F9"/>
    <w:rsid w:val="00E276C8"/>
    <w:rsid w:val="00E277D4"/>
    <w:rsid w:val="00E278DE"/>
    <w:rsid w:val="00E27BF3"/>
    <w:rsid w:val="00E3016C"/>
    <w:rsid w:val="00E30713"/>
    <w:rsid w:val="00E3080E"/>
    <w:rsid w:val="00E308DA"/>
    <w:rsid w:val="00E30A23"/>
    <w:rsid w:val="00E30A53"/>
    <w:rsid w:val="00E30A71"/>
    <w:rsid w:val="00E30FA4"/>
    <w:rsid w:val="00E30FBB"/>
    <w:rsid w:val="00E310AD"/>
    <w:rsid w:val="00E31363"/>
    <w:rsid w:val="00E3145D"/>
    <w:rsid w:val="00E3147D"/>
    <w:rsid w:val="00E315F4"/>
    <w:rsid w:val="00E316BA"/>
    <w:rsid w:val="00E31E27"/>
    <w:rsid w:val="00E320B0"/>
    <w:rsid w:val="00E32F48"/>
    <w:rsid w:val="00E33A7F"/>
    <w:rsid w:val="00E33B1D"/>
    <w:rsid w:val="00E33D3D"/>
    <w:rsid w:val="00E33F93"/>
    <w:rsid w:val="00E34317"/>
    <w:rsid w:val="00E3439F"/>
    <w:rsid w:val="00E345DA"/>
    <w:rsid w:val="00E34676"/>
    <w:rsid w:val="00E347CF"/>
    <w:rsid w:val="00E34827"/>
    <w:rsid w:val="00E349A2"/>
    <w:rsid w:val="00E34C87"/>
    <w:rsid w:val="00E34E28"/>
    <w:rsid w:val="00E3571F"/>
    <w:rsid w:val="00E35778"/>
    <w:rsid w:val="00E359F5"/>
    <w:rsid w:val="00E35AC7"/>
    <w:rsid w:val="00E35BC1"/>
    <w:rsid w:val="00E35D7E"/>
    <w:rsid w:val="00E35F14"/>
    <w:rsid w:val="00E361DE"/>
    <w:rsid w:val="00E36300"/>
    <w:rsid w:val="00E36377"/>
    <w:rsid w:val="00E3691B"/>
    <w:rsid w:val="00E3695F"/>
    <w:rsid w:val="00E36AD4"/>
    <w:rsid w:val="00E36D6C"/>
    <w:rsid w:val="00E36F2F"/>
    <w:rsid w:val="00E3707E"/>
    <w:rsid w:val="00E3784D"/>
    <w:rsid w:val="00E37ADA"/>
    <w:rsid w:val="00E37B09"/>
    <w:rsid w:val="00E37B5E"/>
    <w:rsid w:val="00E37C7D"/>
    <w:rsid w:val="00E37ECD"/>
    <w:rsid w:val="00E40586"/>
    <w:rsid w:val="00E4086A"/>
    <w:rsid w:val="00E4135F"/>
    <w:rsid w:val="00E414FB"/>
    <w:rsid w:val="00E41529"/>
    <w:rsid w:val="00E41531"/>
    <w:rsid w:val="00E41725"/>
    <w:rsid w:val="00E417B0"/>
    <w:rsid w:val="00E417F6"/>
    <w:rsid w:val="00E4216B"/>
    <w:rsid w:val="00E421C4"/>
    <w:rsid w:val="00E421C8"/>
    <w:rsid w:val="00E423D3"/>
    <w:rsid w:val="00E424C5"/>
    <w:rsid w:val="00E42A82"/>
    <w:rsid w:val="00E42B79"/>
    <w:rsid w:val="00E42BA0"/>
    <w:rsid w:val="00E42C0C"/>
    <w:rsid w:val="00E430B7"/>
    <w:rsid w:val="00E43280"/>
    <w:rsid w:val="00E433B7"/>
    <w:rsid w:val="00E43775"/>
    <w:rsid w:val="00E4386A"/>
    <w:rsid w:val="00E439FB"/>
    <w:rsid w:val="00E43DBA"/>
    <w:rsid w:val="00E43E54"/>
    <w:rsid w:val="00E445B1"/>
    <w:rsid w:val="00E449D5"/>
    <w:rsid w:val="00E44CE5"/>
    <w:rsid w:val="00E44E8C"/>
    <w:rsid w:val="00E45024"/>
    <w:rsid w:val="00E45069"/>
    <w:rsid w:val="00E450A4"/>
    <w:rsid w:val="00E453A5"/>
    <w:rsid w:val="00E4553E"/>
    <w:rsid w:val="00E45829"/>
    <w:rsid w:val="00E45831"/>
    <w:rsid w:val="00E4588B"/>
    <w:rsid w:val="00E4597F"/>
    <w:rsid w:val="00E45DE1"/>
    <w:rsid w:val="00E45E42"/>
    <w:rsid w:val="00E45EBB"/>
    <w:rsid w:val="00E45F4E"/>
    <w:rsid w:val="00E46127"/>
    <w:rsid w:val="00E46405"/>
    <w:rsid w:val="00E464FC"/>
    <w:rsid w:val="00E46629"/>
    <w:rsid w:val="00E46660"/>
    <w:rsid w:val="00E46747"/>
    <w:rsid w:val="00E46913"/>
    <w:rsid w:val="00E46961"/>
    <w:rsid w:val="00E46A68"/>
    <w:rsid w:val="00E46B73"/>
    <w:rsid w:val="00E46CFC"/>
    <w:rsid w:val="00E46D03"/>
    <w:rsid w:val="00E46D56"/>
    <w:rsid w:val="00E46D65"/>
    <w:rsid w:val="00E46E08"/>
    <w:rsid w:val="00E470E7"/>
    <w:rsid w:val="00E4728D"/>
    <w:rsid w:val="00E47296"/>
    <w:rsid w:val="00E47885"/>
    <w:rsid w:val="00E47A5F"/>
    <w:rsid w:val="00E47A73"/>
    <w:rsid w:val="00E47BE0"/>
    <w:rsid w:val="00E47DAE"/>
    <w:rsid w:val="00E50076"/>
    <w:rsid w:val="00E502E0"/>
    <w:rsid w:val="00E50633"/>
    <w:rsid w:val="00E50C2D"/>
    <w:rsid w:val="00E50FC5"/>
    <w:rsid w:val="00E51344"/>
    <w:rsid w:val="00E51A1B"/>
    <w:rsid w:val="00E51A83"/>
    <w:rsid w:val="00E51AB2"/>
    <w:rsid w:val="00E51B47"/>
    <w:rsid w:val="00E51DC4"/>
    <w:rsid w:val="00E51DC6"/>
    <w:rsid w:val="00E51E06"/>
    <w:rsid w:val="00E51FD6"/>
    <w:rsid w:val="00E52253"/>
    <w:rsid w:val="00E5263C"/>
    <w:rsid w:val="00E52824"/>
    <w:rsid w:val="00E52838"/>
    <w:rsid w:val="00E52AE0"/>
    <w:rsid w:val="00E52BC5"/>
    <w:rsid w:val="00E52C29"/>
    <w:rsid w:val="00E5312D"/>
    <w:rsid w:val="00E53368"/>
    <w:rsid w:val="00E533B6"/>
    <w:rsid w:val="00E5371F"/>
    <w:rsid w:val="00E5385F"/>
    <w:rsid w:val="00E53A66"/>
    <w:rsid w:val="00E53FC0"/>
    <w:rsid w:val="00E5452A"/>
    <w:rsid w:val="00E5474E"/>
    <w:rsid w:val="00E5484C"/>
    <w:rsid w:val="00E54928"/>
    <w:rsid w:val="00E54A1C"/>
    <w:rsid w:val="00E54E81"/>
    <w:rsid w:val="00E55133"/>
    <w:rsid w:val="00E552F9"/>
    <w:rsid w:val="00E55630"/>
    <w:rsid w:val="00E55756"/>
    <w:rsid w:val="00E55785"/>
    <w:rsid w:val="00E55912"/>
    <w:rsid w:val="00E55C92"/>
    <w:rsid w:val="00E55D7E"/>
    <w:rsid w:val="00E55DA7"/>
    <w:rsid w:val="00E55E18"/>
    <w:rsid w:val="00E560C0"/>
    <w:rsid w:val="00E561C4"/>
    <w:rsid w:val="00E566D0"/>
    <w:rsid w:val="00E566EE"/>
    <w:rsid w:val="00E56734"/>
    <w:rsid w:val="00E567A0"/>
    <w:rsid w:val="00E5687F"/>
    <w:rsid w:val="00E56A60"/>
    <w:rsid w:val="00E56ADE"/>
    <w:rsid w:val="00E56C5A"/>
    <w:rsid w:val="00E56FDF"/>
    <w:rsid w:val="00E57269"/>
    <w:rsid w:val="00E5727A"/>
    <w:rsid w:val="00E57525"/>
    <w:rsid w:val="00E578C9"/>
    <w:rsid w:val="00E579E0"/>
    <w:rsid w:val="00E601F1"/>
    <w:rsid w:val="00E60242"/>
    <w:rsid w:val="00E604B8"/>
    <w:rsid w:val="00E6063A"/>
    <w:rsid w:val="00E60668"/>
    <w:rsid w:val="00E60761"/>
    <w:rsid w:val="00E60793"/>
    <w:rsid w:val="00E60909"/>
    <w:rsid w:val="00E60981"/>
    <w:rsid w:val="00E60A07"/>
    <w:rsid w:val="00E60C5A"/>
    <w:rsid w:val="00E611B3"/>
    <w:rsid w:val="00E615E6"/>
    <w:rsid w:val="00E616B4"/>
    <w:rsid w:val="00E6193F"/>
    <w:rsid w:val="00E61AED"/>
    <w:rsid w:val="00E61EF8"/>
    <w:rsid w:val="00E62260"/>
    <w:rsid w:val="00E62492"/>
    <w:rsid w:val="00E624D6"/>
    <w:rsid w:val="00E6283C"/>
    <w:rsid w:val="00E62927"/>
    <w:rsid w:val="00E62B14"/>
    <w:rsid w:val="00E62C6D"/>
    <w:rsid w:val="00E62D75"/>
    <w:rsid w:val="00E62D91"/>
    <w:rsid w:val="00E62EA1"/>
    <w:rsid w:val="00E63010"/>
    <w:rsid w:val="00E633D0"/>
    <w:rsid w:val="00E6344B"/>
    <w:rsid w:val="00E6344C"/>
    <w:rsid w:val="00E6345D"/>
    <w:rsid w:val="00E635A9"/>
    <w:rsid w:val="00E63658"/>
    <w:rsid w:val="00E638E3"/>
    <w:rsid w:val="00E63A9A"/>
    <w:rsid w:val="00E63AA6"/>
    <w:rsid w:val="00E63F45"/>
    <w:rsid w:val="00E6400A"/>
    <w:rsid w:val="00E6414D"/>
    <w:rsid w:val="00E6415E"/>
    <w:rsid w:val="00E64341"/>
    <w:rsid w:val="00E6438C"/>
    <w:rsid w:val="00E643EA"/>
    <w:rsid w:val="00E646DA"/>
    <w:rsid w:val="00E648BD"/>
    <w:rsid w:val="00E64A2F"/>
    <w:rsid w:val="00E64CE9"/>
    <w:rsid w:val="00E64F65"/>
    <w:rsid w:val="00E6520F"/>
    <w:rsid w:val="00E652EB"/>
    <w:rsid w:val="00E655CD"/>
    <w:rsid w:val="00E65648"/>
    <w:rsid w:val="00E656E1"/>
    <w:rsid w:val="00E656EB"/>
    <w:rsid w:val="00E6570D"/>
    <w:rsid w:val="00E65F78"/>
    <w:rsid w:val="00E6618D"/>
    <w:rsid w:val="00E66562"/>
    <w:rsid w:val="00E6675A"/>
    <w:rsid w:val="00E667A0"/>
    <w:rsid w:val="00E66AB8"/>
    <w:rsid w:val="00E66E01"/>
    <w:rsid w:val="00E66EAB"/>
    <w:rsid w:val="00E6730E"/>
    <w:rsid w:val="00E67693"/>
    <w:rsid w:val="00E67757"/>
    <w:rsid w:val="00E677A5"/>
    <w:rsid w:val="00E67ACF"/>
    <w:rsid w:val="00E67E98"/>
    <w:rsid w:val="00E70572"/>
    <w:rsid w:val="00E71094"/>
    <w:rsid w:val="00E71123"/>
    <w:rsid w:val="00E718D5"/>
    <w:rsid w:val="00E719FC"/>
    <w:rsid w:val="00E71D90"/>
    <w:rsid w:val="00E71EE8"/>
    <w:rsid w:val="00E720C8"/>
    <w:rsid w:val="00E72171"/>
    <w:rsid w:val="00E721B2"/>
    <w:rsid w:val="00E722FE"/>
    <w:rsid w:val="00E724CB"/>
    <w:rsid w:val="00E72589"/>
    <w:rsid w:val="00E7263B"/>
    <w:rsid w:val="00E7297D"/>
    <w:rsid w:val="00E72D36"/>
    <w:rsid w:val="00E72E29"/>
    <w:rsid w:val="00E72F7E"/>
    <w:rsid w:val="00E73089"/>
    <w:rsid w:val="00E73146"/>
    <w:rsid w:val="00E731FB"/>
    <w:rsid w:val="00E73551"/>
    <w:rsid w:val="00E7378D"/>
    <w:rsid w:val="00E738A9"/>
    <w:rsid w:val="00E73B15"/>
    <w:rsid w:val="00E73CCF"/>
    <w:rsid w:val="00E73E40"/>
    <w:rsid w:val="00E73E89"/>
    <w:rsid w:val="00E74097"/>
    <w:rsid w:val="00E74127"/>
    <w:rsid w:val="00E74304"/>
    <w:rsid w:val="00E74315"/>
    <w:rsid w:val="00E74773"/>
    <w:rsid w:val="00E748E9"/>
    <w:rsid w:val="00E75289"/>
    <w:rsid w:val="00E753E4"/>
    <w:rsid w:val="00E75932"/>
    <w:rsid w:val="00E75BB7"/>
    <w:rsid w:val="00E75DB1"/>
    <w:rsid w:val="00E75EFC"/>
    <w:rsid w:val="00E7618B"/>
    <w:rsid w:val="00E762E9"/>
    <w:rsid w:val="00E76924"/>
    <w:rsid w:val="00E76A31"/>
    <w:rsid w:val="00E76AF7"/>
    <w:rsid w:val="00E76CFA"/>
    <w:rsid w:val="00E770C8"/>
    <w:rsid w:val="00E77449"/>
    <w:rsid w:val="00E77559"/>
    <w:rsid w:val="00E778BC"/>
    <w:rsid w:val="00E77BD6"/>
    <w:rsid w:val="00E77DBA"/>
    <w:rsid w:val="00E80075"/>
    <w:rsid w:val="00E80295"/>
    <w:rsid w:val="00E80370"/>
    <w:rsid w:val="00E803D8"/>
    <w:rsid w:val="00E8045F"/>
    <w:rsid w:val="00E804A5"/>
    <w:rsid w:val="00E80545"/>
    <w:rsid w:val="00E806B5"/>
    <w:rsid w:val="00E806FA"/>
    <w:rsid w:val="00E8073E"/>
    <w:rsid w:val="00E8079D"/>
    <w:rsid w:val="00E80B8D"/>
    <w:rsid w:val="00E80BD2"/>
    <w:rsid w:val="00E80DE8"/>
    <w:rsid w:val="00E81223"/>
    <w:rsid w:val="00E81289"/>
    <w:rsid w:val="00E815CE"/>
    <w:rsid w:val="00E81821"/>
    <w:rsid w:val="00E81DF5"/>
    <w:rsid w:val="00E81E43"/>
    <w:rsid w:val="00E81FB9"/>
    <w:rsid w:val="00E827BF"/>
    <w:rsid w:val="00E829B9"/>
    <w:rsid w:val="00E82A69"/>
    <w:rsid w:val="00E82AD8"/>
    <w:rsid w:val="00E82C46"/>
    <w:rsid w:val="00E82D8C"/>
    <w:rsid w:val="00E82E84"/>
    <w:rsid w:val="00E82FBF"/>
    <w:rsid w:val="00E8329D"/>
    <w:rsid w:val="00E83489"/>
    <w:rsid w:val="00E83753"/>
    <w:rsid w:val="00E83BF9"/>
    <w:rsid w:val="00E83E2E"/>
    <w:rsid w:val="00E83E8D"/>
    <w:rsid w:val="00E84325"/>
    <w:rsid w:val="00E843DD"/>
    <w:rsid w:val="00E84605"/>
    <w:rsid w:val="00E84662"/>
    <w:rsid w:val="00E84AEE"/>
    <w:rsid w:val="00E84BA5"/>
    <w:rsid w:val="00E84C40"/>
    <w:rsid w:val="00E84CB2"/>
    <w:rsid w:val="00E84DD7"/>
    <w:rsid w:val="00E85135"/>
    <w:rsid w:val="00E85760"/>
    <w:rsid w:val="00E85E38"/>
    <w:rsid w:val="00E860BE"/>
    <w:rsid w:val="00E860C4"/>
    <w:rsid w:val="00E86558"/>
    <w:rsid w:val="00E86815"/>
    <w:rsid w:val="00E869BD"/>
    <w:rsid w:val="00E86B03"/>
    <w:rsid w:val="00E86B11"/>
    <w:rsid w:val="00E87131"/>
    <w:rsid w:val="00E87422"/>
    <w:rsid w:val="00E8758A"/>
    <w:rsid w:val="00E875F2"/>
    <w:rsid w:val="00E87784"/>
    <w:rsid w:val="00E87B40"/>
    <w:rsid w:val="00E87C09"/>
    <w:rsid w:val="00E87EF4"/>
    <w:rsid w:val="00E903E1"/>
    <w:rsid w:val="00E9062E"/>
    <w:rsid w:val="00E906C7"/>
    <w:rsid w:val="00E90B58"/>
    <w:rsid w:val="00E90CD2"/>
    <w:rsid w:val="00E90F92"/>
    <w:rsid w:val="00E91149"/>
    <w:rsid w:val="00E91203"/>
    <w:rsid w:val="00E91426"/>
    <w:rsid w:val="00E91472"/>
    <w:rsid w:val="00E9159A"/>
    <w:rsid w:val="00E915CD"/>
    <w:rsid w:val="00E915F3"/>
    <w:rsid w:val="00E91653"/>
    <w:rsid w:val="00E91796"/>
    <w:rsid w:val="00E91A4B"/>
    <w:rsid w:val="00E91DEA"/>
    <w:rsid w:val="00E9205C"/>
    <w:rsid w:val="00E923EE"/>
    <w:rsid w:val="00E92512"/>
    <w:rsid w:val="00E92641"/>
    <w:rsid w:val="00E9296D"/>
    <w:rsid w:val="00E92975"/>
    <w:rsid w:val="00E92E82"/>
    <w:rsid w:val="00E92F0A"/>
    <w:rsid w:val="00E92FFA"/>
    <w:rsid w:val="00E930AE"/>
    <w:rsid w:val="00E931DC"/>
    <w:rsid w:val="00E93290"/>
    <w:rsid w:val="00E93317"/>
    <w:rsid w:val="00E93677"/>
    <w:rsid w:val="00E93CC0"/>
    <w:rsid w:val="00E93DC5"/>
    <w:rsid w:val="00E93F7B"/>
    <w:rsid w:val="00E94316"/>
    <w:rsid w:val="00E9463C"/>
    <w:rsid w:val="00E9474D"/>
    <w:rsid w:val="00E947AE"/>
    <w:rsid w:val="00E949EB"/>
    <w:rsid w:val="00E94EF2"/>
    <w:rsid w:val="00E94FB2"/>
    <w:rsid w:val="00E950A6"/>
    <w:rsid w:val="00E952BB"/>
    <w:rsid w:val="00E95361"/>
    <w:rsid w:val="00E95373"/>
    <w:rsid w:val="00E95566"/>
    <w:rsid w:val="00E95876"/>
    <w:rsid w:val="00E95A01"/>
    <w:rsid w:val="00E95A24"/>
    <w:rsid w:val="00E95AB0"/>
    <w:rsid w:val="00E95F8A"/>
    <w:rsid w:val="00E95FA7"/>
    <w:rsid w:val="00E96126"/>
    <w:rsid w:val="00E9624B"/>
    <w:rsid w:val="00E963F3"/>
    <w:rsid w:val="00E96435"/>
    <w:rsid w:val="00E968A4"/>
    <w:rsid w:val="00E96939"/>
    <w:rsid w:val="00E97221"/>
    <w:rsid w:val="00E97669"/>
    <w:rsid w:val="00E976E1"/>
    <w:rsid w:val="00E977DD"/>
    <w:rsid w:val="00E97828"/>
    <w:rsid w:val="00E978C7"/>
    <w:rsid w:val="00E97973"/>
    <w:rsid w:val="00E979C7"/>
    <w:rsid w:val="00EA009F"/>
    <w:rsid w:val="00EA00D7"/>
    <w:rsid w:val="00EA0280"/>
    <w:rsid w:val="00EA047C"/>
    <w:rsid w:val="00EA0DE6"/>
    <w:rsid w:val="00EA102D"/>
    <w:rsid w:val="00EA1256"/>
    <w:rsid w:val="00EA149C"/>
    <w:rsid w:val="00EA164D"/>
    <w:rsid w:val="00EA17B6"/>
    <w:rsid w:val="00EA17EC"/>
    <w:rsid w:val="00EA18E1"/>
    <w:rsid w:val="00EA18FE"/>
    <w:rsid w:val="00EA19DA"/>
    <w:rsid w:val="00EA1A69"/>
    <w:rsid w:val="00EA1C6B"/>
    <w:rsid w:val="00EA1D2B"/>
    <w:rsid w:val="00EA1F0A"/>
    <w:rsid w:val="00EA205A"/>
    <w:rsid w:val="00EA20C5"/>
    <w:rsid w:val="00EA29CE"/>
    <w:rsid w:val="00EA2AC6"/>
    <w:rsid w:val="00EA2BD6"/>
    <w:rsid w:val="00EA308C"/>
    <w:rsid w:val="00EA3303"/>
    <w:rsid w:val="00EA3474"/>
    <w:rsid w:val="00EA366C"/>
    <w:rsid w:val="00EA37AF"/>
    <w:rsid w:val="00EA3AEB"/>
    <w:rsid w:val="00EA3B6D"/>
    <w:rsid w:val="00EA40D4"/>
    <w:rsid w:val="00EA43D2"/>
    <w:rsid w:val="00EA43F0"/>
    <w:rsid w:val="00EA46AA"/>
    <w:rsid w:val="00EA5317"/>
    <w:rsid w:val="00EA543F"/>
    <w:rsid w:val="00EA5732"/>
    <w:rsid w:val="00EA584C"/>
    <w:rsid w:val="00EA58A5"/>
    <w:rsid w:val="00EA5934"/>
    <w:rsid w:val="00EA595B"/>
    <w:rsid w:val="00EA6211"/>
    <w:rsid w:val="00EA6217"/>
    <w:rsid w:val="00EA62B5"/>
    <w:rsid w:val="00EA63AD"/>
    <w:rsid w:val="00EA6862"/>
    <w:rsid w:val="00EA6BCE"/>
    <w:rsid w:val="00EA6DDA"/>
    <w:rsid w:val="00EA6F09"/>
    <w:rsid w:val="00EA6FCD"/>
    <w:rsid w:val="00EA702A"/>
    <w:rsid w:val="00EA703F"/>
    <w:rsid w:val="00EA70E7"/>
    <w:rsid w:val="00EA72FE"/>
    <w:rsid w:val="00EA7397"/>
    <w:rsid w:val="00EA74E7"/>
    <w:rsid w:val="00EA7ACB"/>
    <w:rsid w:val="00EA7AF7"/>
    <w:rsid w:val="00EA7BB6"/>
    <w:rsid w:val="00EA7BD6"/>
    <w:rsid w:val="00EA7C44"/>
    <w:rsid w:val="00EB025A"/>
    <w:rsid w:val="00EB0299"/>
    <w:rsid w:val="00EB0344"/>
    <w:rsid w:val="00EB03BE"/>
    <w:rsid w:val="00EB03F7"/>
    <w:rsid w:val="00EB04FA"/>
    <w:rsid w:val="00EB05E1"/>
    <w:rsid w:val="00EB0A2E"/>
    <w:rsid w:val="00EB0C5E"/>
    <w:rsid w:val="00EB0EF1"/>
    <w:rsid w:val="00EB10D6"/>
    <w:rsid w:val="00EB122C"/>
    <w:rsid w:val="00EB13A5"/>
    <w:rsid w:val="00EB19B1"/>
    <w:rsid w:val="00EB1B5F"/>
    <w:rsid w:val="00EB1CE1"/>
    <w:rsid w:val="00EB1D90"/>
    <w:rsid w:val="00EB1F1A"/>
    <w:rsid w:val="00EB20F1"/>
    <w:rsid w:val="00EB212E"/>
    <w:rsid w:val="00EB25C5"/>
    <w:rsid w:val="00EB2A60"/>
    <w:rsid w:val="00EB2C0B"/>
    <w:rsid w:val="00EB3052"/>
    <w:rsid w:val="00EB3063"/>
    <w:rsid w:val="00EB3176"/>
    <w:rsid w:val="00EB32CE"/>
    <w:rsid w:val="00EB363F"/>
    <w:rsid w:val="00EB36F3"/>
    <w:rsid w:val="00EB3911"/>
    <w:rsid w:val="00EB397B"/>
    <w:rsid w:val="00EB3B29"/>
    <w:rsid w:val="00EB3C4E"/>
    <w:rsid w:val="00EB3E4B"/>
    <w:rsid w:val="00EB4033"/>
    <w:rsid w:val="00EB416C"/>
    <w:rsid w:val="00EB43F8"/>
    <w:rsid w:val="00EB44BF"/>
    <w:rsid w:val="00EB472A"/>
    <w:rsid w:val="00EB4A4B"/>
    <w:rsid w:val="00EB4AE9"/>
    <w:rsid w:val="00EB4B7A"/>
    <w:rsid w:val="00EB4DCF"/>
    <w:rsid w:val="00EB4FDC"/>
    <w:rsid w:val="00EB5366"/>
    <w:rsid w:val="00EB5454"/>
    <w:rsid w:val="00EB5536"/>
    <w:rsid w:val="00EB5784"/>
    <w:rsid w:val="00EB5990"/>
    <w:rsid w:val="00EB5A75"/>
    <w:rsid w:val="00EB5B73"/>
    <w:rsid w:val="00EB5B79"/>
    <w:rsid w:val="00EB5C77"/>
    <w:rsid w:val="00EB5CE1"/>
    <w:rsid w:val="00EB5FF5"/>
    <w:rsid w:val="00EB628A"/>
    <w:rsid w:val="00EB657F"/>
    <w:rsid w:val="00EB6612"/>
    <w:rsid w:val="00EB66EF"/>
    <w:rsid w:val="00EB686B"/>
    <w:rsid w:val="00EB6D96"/>
    <w:rsid w:val="00EB7012"/>
    <w:rsid w:val="00EB70EE"/>
    <w:rsid w:val="00EB723C"/>
    <w:rsid w:val="00EB7438"/>
    <w:rsid w:val="00EB764C"/>
    <w:rsid w:val="00EB7907"/>
    <w:rsid w:val="00EB79C9"/>
    <w:rsid w:val="00EB7AEE"/>
    <w:rsid w:val="00EC0051"/>
    <w:rsid w:val="00EC0069"/>
    <w:rsid w:val="00EC02C8"/>
    <w:rsid w:val="00EC06FC"/>
    <w:rsid w:val="00EC08EC"/>
    <w:rsid w:val="00EC0B38"/>
    <w:rsid w:val="00EC0B3A"/>
    <w:rsid w:val="00EC0D99"/>
    <w:rsid w:val="00EC1415"/>
    <w:rsid w:val="00EC164C"/>
    <w:rsid w:val="00EC18CD"/>
    <w:rsid w:val="00EC1A66"/>
    <w:rsid w:val="00EC1A76"/>
    <w:rsid w:val="00EC1C4D"/>
    <w:rsid w:val="00EC1DE0"/>
    <w:rsid w:val="00EC1E1C"/>
    <w:rsid w:val="00EC21EB"/>
    <w:rsid w:val="00EC233D"/>
    <w:rsid w:val="00EC2407"/>
    <w:rsid w:val="00EC24DF"/>
    <w:rsid w:val="00EC2646"/>
    <w:rsid w:val="00EC28F8"/>
    <w:rsid w:val="00EC29AB"/>
    <w:rsid w:val="00EC2A5A"/>
    <w:rsid w:val="00EC2E9C"/>
    <w:rsid w:val="00EC2EF3"/>
    <w:rsid w:val="00EC2FC6"/>
    <w:rsid w:val="00EC3247"/>
    <w:rsid w:val="00EC335B"/>
    <w:rsid w:val="00EC348A"/>
    <w:rsid w:val="00EC35FF"/>
    <w:rsid w:val="00EC3634"/>
    <w:rsid w:val="00EC3661"/>
    <w:rsid w:val="00EC3954"/>
    <w:rsid w:val="00EC3B3B"/>
    <w:rsid w:val="00EC3C50"/>
    <w:rsid w:val="00EC3F2D"/>
    <w:rsid w:val="00EC3F76"/>
    <w:rsid w:val="00EC4174"/>
    <w:rsid w:val="00EC4177"/>
    <w:rsid w:val="00EC41F3"/>
    <w:rsid w:val="00EC4387"/>
    <w:rsid w:val="00EC4694"/>
    <w:rsid w:val="00EC4996"/>
    <w:rsid w:val="00EC4DD6"/>
    <w:rsid w:val="00EC4F50"/>
    <w:rsid w:val="00EC4F6F"/>
    <w:rsid w:val="00EC51F4"/>
    <w:rsid w:val="00EC5345"/>
    <w:rsid w:val="00EC574D"/>
    <w:rsid w:val="00EC5840"/>
    <w:rsid w:val="00EC5866"/>
    <w:rsid w:val="00EC5959"/>
    <w:rsid w:val="00EC5A5A"/>
    <w:rsid w:val="00EC5A70"/>
    <w:rsid w:val="00EC5C45"/>
    <w:rsid w:val="00EC5D65"/>
    <w:rsid w:val="00EC60A6"/>
    <w:rsid w:val="00EC64B7"/>
    <w:rsid w:val="00EC652A"/>
    <w:rsid w:val="00EC65B7"/>
    <w:rsid w:val="00EC675F"/>
    <w:rsid w:val="00EC6861"/>
    <w:rsid w:val="00EC6ACC"/>
    <w:rsid w:val="00EC6F01"/>
    <w:rsid w:val="00EC6F5C"/>
    <w:rsid w:val="00EC7225"/>
    <w:rsid w:val="00EC7343"/>
    <w:rsid w:val="00EC75A5"/>
    <w:rsid w:val="00EC7820"/>
    <w:rsid w:val="00EC7ABA"/>
    <w:rsid w:val="00EC7C4D"/>
    <w:rsid w:val="00EC7C5E"/>
    <w:rsid w:val="00EC7D4B"/>
    <w:rsid w:val="00EC7DBB"/>
    <w:rsid w:val="00ED0084"/>
    <w:rsid w:val="00ED0152"/>
    <w:rsid w:val="00ED01EB"/>
    <w:rsid w:val="00ED0395"/>
    <w:rsid w:val="00ED0459"/>
    <w:rsid w:val="00ED0479"/>
    <w:rsid w:val="00ED05EA"/>
    <w:rsid w:val="00ED0816"/>
    <w:rsid w:val="00ED0EF4"/>
    <w:rsid w:val="00ED1043"/>
    <w:rsid w:val="00ED1110"/>
    <w:rsid w:val="00ED172C"/>
    <w:rsid w:val="00ED1B83"/>
    <w:rsid w:val="00ED1FA5"/>
    <w:rsid w:val="00ED23D8"/>
    <w:rsid w:val="00ED2491"/>
    <w:rsid w:val="00ED2811"/>
    <w:rsid w:val="00ED288D"/>
    <w:rsid w:val="00ED2947"/>
    <w:rsid w:val="00ED2A0D"/>
    <w:rsid w:val="00ED2CA9"/>
    <w:rsid w:val="00ED2E82"/>
    <w:rsid w:val="00ED3099"/>
    <w:rsid w:val="00ED31CB"/>
    <w:rsid w:val="00ED36BC"/>
    <w:rsid w:val="00ED381D"/>
    <w:rsid w:val="00ED3A25"/>
    <w:rsid w:val="00ED3CC6"/>
    <w:rsid w:val="00ED3CDB"/>
    <w:rsid w:val="00ED3D11"/>
    <w:rsid w:val="00ED3E24"/>
    <w:rsid w:val="00ED3E2D"/>
    <w:rsid w:val="00ED4080"/>
    <w:rsid w:val="00ED4158"/>
    <w:rsid w:val="00ED42A3"/>
    <w:rsid w:val="00ED4436"/>
    <w:rsid w:val="00ED4675"/>
    <w:rsid w:val="00ED46E6"/>
    <w:rsid w:val="00ED4769"/>
    <w:rsid w:val="00ED48D7"/>
    <w:rsid w:val="00ED4C4A"/>
    <w:rsid w:val="00ED4CB0"/>
    <w:rsid w:val="00ED4E4A"/>
    <w:rsid w:val="00ED505C"/>
    <w:rsid w:val="00ED5471"/>
    <w:rsid w:val="00ED55E2"/>
    <w:rsid w:val="00ED5798"/>
    <w:rsid w:val="00ED5A07"/>
    <w:rsid w:val="00ED5A10"/>
    <w:rsid w:val="00ED5AB6"/>
    <w:rsid w:val="00ED5ADA"/>
    <w:rsid w:val="00ED5B49"/>
    <w:rsid w:val="00ED5C47"/>
    <w:rsid w:val="00ED6ADA"/>
    <w:rsid w:val="00ED6B2D"/>
    <w:rsid w:val="00ED6CDC"/>
    <w:rsid w:val="00ED72F5"/>
    <w:rsid w:val="00ED7638"/>
    <w:rsid w:val="00ED795F"/>
    <w:rsid w:val="00ED7AAB"/>
    <w:rsid w:val="00ED7B24"/>
    <w:rsid w:val="00ED7B3E"/>
    <w:rsid w:val="00ED7EC5"/>
    <w:rsid w:val="00EE013F"/>
    <w:rsid w:val="00EE01F4"/>
    <w:rsid w:val="00EE0538"/>
    <w:rsid w:val="00EE05BB"/>
    <w:rsid w:val="00EE061B"/>
    <w:rsid w:val="00EE0743"/>
    <w:rsid w:val="00EE077B"/>
    <w:rsid w:val="00EE0978"/>
    <w:rsid w:val="00EE1230"/>
    <w:rsid w:val="00EE1270"/>
    <w:rsid w:val="00EE12E4"/>
    <w:rsid w:val="00EE13D2"/>
    <w:rsid w:val="00EE1520"/>
    <w:rsid w:val="00EE152A"/>
    <w:rsid w:val="00EE15F9"/>
    <w:rsid w:val="00EE1748"/>
    <w:rsid w:val="00EE1797"/>
    <w:rsid w:val="00EE1A1A"/>
    <w:rsid w:val="00EE1E27"/>
    <w:rsid w:val="00EE23D3"/>
    <w:rsid w:val="00EE23DA"/>
    <w:rsid w:val="00EE256D"/>
    <w:rsid w:val="00EE264F"/>
    <w:rsid w:val="00EE267D"/>
    <w:rsid w:val="00EE2852"/>
    <w:rsid w:val="00EE297D"/>
    <w:rsid w:val="00EE3111"/>
    <w:rsid w:val="00EE3253"/>
    <w:rsid w:val="00EE3390"/>
    <w:rsid w:val="00EE3633"/>
    <w:rsid w:val="00EE38B2"/>
    <w:rsid w:val="00EE3B98"/>
    <w:rsid w:val="00EE3CDE"/>
    <w:rsid w:val="00EE3D19"/>
    <w:rsid w:val="00EE3F31"/>
    <w:rsid w:val="00EE43F7"/>
    <w:rsid w:val="00EE44CD"/>
    <w:rsid w:val="00EE45C4"/>
    <w:rsid w:val="00EE4711"/>
    <w:rsid w:val="00EE4AB0"/>
    <w:rsid w:val="00EE4B87"/>
    <w:rsid w:val="00EE4DE2"/>
    <w:rsid w:val="00EE4E04"/>
    <w:rsid w:val="00EE4E99"/>
    <w:rsid w:val="00EE4F9A"/>
    <w:rsid w:val="00EE500C"/>
    <w:rsid w:val="00EE51A3"/>
    <w:rsid w:val="00EE54BB"/>
    <w:rsid w:val="00EE557B"/>
    <w:rsid w:val="00EE56E7"/>
    <w:rsid w:val="00EE572A"/>
    <w:rsid w:val="00EE578F"/>
    <w:rsid w:val="00EE59C1"/>
    <w:rsid w:val="00EE5D2E"/>
    <w:rsid w:val="00EE5E0D"/>
    <w:rsid w:val="00EE5E5F"/>
    <w:rsid w:val="00EE6561"/>
    <w:rsid w:val="00EE657F"/>
    <w:rsid w:val="00EE6852"/>
    <w:rsid w:val="00EE6CE1"/>
    <w:rsid w:val="00EE6EF2"/>
    <w:rsid w:val="00EE6FD4"/>
    <w:rsid w:val="00EE7037"/>
    <w:rsid w:val="00EE7520"/>
    <w:rsid w:val="00EE7703"/>
    <w:rsid w:val="00EE781E"/>
    <w:rsid w:val="00EE7A9E"/>
    <w:rsid w:val="00EE7B25"/>
    <w:rsid w:val="00EE7BAB"/>
    <w:rsid w:val="00EE7C56"/>
    <w:rsid w:val="00EF0114"/>
    <w:rsid w:val="00EF01A8"/>
    <w:rsid w:val="00EF04B2"/>
    <w:rsid w:val="00EF06E8"/>
    <w:rsid w:val="00EF0B81"/>
    <w:rsid w:val="00EF0E7B"/>
    <w:rsid w:val="00EF0F1C"/>
    <w:rsid w:val="00EF114C"/>
    <w:rsid w:val="00EF16FD"/>
    <w:rsid w:val="00EF186B"/>
    <w:rsid w:val="00EF18DE"/>
    <w:rsid w:val="00EF1B3B"/>
    <w:rsid w:val="00EF1F33"/>
    <w:rsid w:val="00EF23CB"/>
    <w:rsid w:val="00EF260E"/>
    <w:rsid w:val="00EF26F5"/>
    <w:rsid w:val="00EF273D"/>
    <w:rsid w:val="00EF293B"/>
    <w:rsid w:val="00EF2DC7"/>
    <w:rsid w:val="00EF2ED5"/>
    <w:rsid w:val="00EF3045"/>
    <w:rsid w:val="00EF35CE"/>
    <w:rsid w:val="00EF3947"/>
    <w:rsid w:val="00EF396A"/>
    <w:rsid w:val="00EF3A2D"/>
    <w:rsid w:val="00EF3B87"/>
    <w:rsid w:val="00EF3C5D"/>
    <w:rsid w:val="00EF3D3F"/>
    <w:rsid w:val="00EF3E10"/>
    <w:rsid w:val="00EF3E59"/>
    <w:rsid w:val="00EF3ECD"/>
    <w:rsid w:val="00EF4028"/>
    <w:rsid w:val="00EF404E"/>
    <w:rsid w:val="00EF43B7"/>
    <w:rsid w:val="00EF4D7B"/>
    <w:rsid w:val="00EF4FE1"/>
    <w:rsid w:val="00EF5260"/>
    <w:rsid w:val="00EF54CB"/>
    <w:rsid w:val="00EF54E6"/>
    <w:rsid w:val="00EF550B"/>
    <w:rsid w:val="00EF56DA"/>
    <w:rsid w:val="00EF60A7"/>
    <w:rsid w:val="00EF66A6"/>
    <w:rsid w:val="00EF6BE4"/>
    <w:rsid w:val="00EF6E3D"/>
    <w:rsid w:val="00EF6E4E"/>
    <w:rsid w:val="00EF6F4B"/>
    <w:rsid w:val="00EF7219"/>
    <w:rsid w:val="00EF72F3"/>
    <w:rsid w:val="00EF7322"/>
    <w:rsid w:val="00EF7486"/>
    <w:rsid w:val="00EF76C3"/>
    <w:rsid w:val="00EF78DC"/>
    <w:rsid w:val="00EF7AE2"/>
    <w:rsid w:val="00EF7B13"/>
    <w:rsid w:val="00EF7BC5"/>
    <w:rsid w:val="00F0001C"/>
    <w:rsid w:val="00F00044"/>
    <w:rsid w:val="00F001F0"/>
    <w:rsid w:val="00F002E4"/>
    <w:rsid w:val="00F0060F"/>
    <w:rsid w:val="00F009B5"/>
    <w:rsid w:val="00F00BE1"/>
    <w:rsid w:val="00F00E89"/>
    <w:rsid w:val="00F01345"/>
    <w:rsid w:val="00F01824"/>
    <w:rsid w:val="00F018B0"/>
    <w:rsid w:val="00F01923"/>
    <w:rsid w:val="00F02634"/>
    <w:rsid w:val="00F02645"/>
    <w:rsid w:val="00F0274B"/>
    <w:rsid w:val="00F029A0"/>
    <w:rsid w:val="00F02BD7"/>
    <w:rsid w:val="00F02FEC"/>
    <w:rsid w:val="00F03216"/>
    <w:rsid w:val="00F039CB"/>
    <w:rsid w:val="00F03AFA"/>
    <w:rsid w:val="00F03B52"/>
    <w:rsid w:val="00F03B62"/>
    <w:rsid w:val="00F03B63"/>
    <w:rsid w:val="00F04029"/>
    <w:rsid w:val="00F040F0"/>
    <w:rsid w:val="00F04224"/>
    <w:rsid w:val="00F0422E"/>
    <w:rsid w:val="00F04500"/>
    <w:rsid w:val="00F047EB"/>
    <w:rsid w:val="00F04D2B"/>
    <w:rsid w:val="00F04EC4"/>
    <w:rsid w:val="00F053E3"/>
    <w:rsid w:val="00F05584"/>
    <w:rsid w:val="00F0592A"/>
    <w:rsid w:val="00F05994"/>
    <w:rsid w:val="00F05A66"/>
    <w:rsid w:val="00F05C6D"/>
    <w:rsid w:val="00F05D3F"/>
    <w:rsid w:val="00F0617D"/>
    <w:rsid w:val="00F0676C"/>
    <w:rsid w:val="00F06994"/>
    <w:rsid w:val="00F06FFC"/>
    <w:rsid w:val="00F0749E"/>
    <w:rsid w:val="00F075DB"/>
    <w:rsid w:val="00F0792E"/>
    <w:rsid w:val="00F07FED"/>
    <w:rsid w:val="00F10154"/>
    <w:rsid w:val="00F10903"/>
    <w:rsid w:val="00F10C7F"/>
    <w:rsid w:val="00F10DCE"/>
    <w:rsid w:val="00F11088"/>
    <w:rsid w:val="00F11264"/>
    <w:rsid w:val="00F1150E"/>
    <w:rsid w:val="00F11517"/>
    <w:rsid w:val="00F116E2"/>
    <w:rsid w:val="00F11BDE"/>
    <w:rsid w:val="00F11CCC"/>
    <w:rsid w:val="00F11CE6"/>
    <w:rsid w:val="00F1216D"/>
    <w:rsid w:val="00F12204"/>
    <w:rsid w:val="00F12295"/>
    <w:rsid w:val="00F12459"/>
    <w:rsid w:val="00F12696"/>
    <w:rsid w:val="00F12703"/>
    <w:rsid w:val="00F12A7C"/>
    <w:rsid w:val="00F12E51"/>
    <w:rsid w:val="00F13021"/>
    <w:rsid w:val="00F1327E"/>
    <w:rsid w:val="00F13C29"/>
    <w:rsid w:val="00F141B1"/>
    <w:rsid w:val="00F14469"/>
    <w:rsid w:val="00F144A1"/>
    <w:rsid w:val="00F146E1"/>
    <w:rsid w:val="00F14E4D"/>
    <w:rsid w:val="00F14FC6"/>
    <w:rsid w:val="00F153AB"/>
    <w:rsid w:val="00F15851"/>
    <w:rsid w:val="00F159CF"/>
    <w:rsid w:val="00F15CEE"/>
    <w:rsid w:val="00F15E92"/>
    <w:rsid w:val="00F16354"/>
    <w:rsid w:val="00F163BE"/>
    <w:rsid w:val="00F16599"/>
    <w:rsid w:val="00F167AD"/>
    <w:rsid w:val="00F1682E"/>
    <w:rsid w:val="00F168E8"/>
    <w:rsid w:val="00F16A8E"/>
    <w:rsid w:val="00F16BBB"/>
    <w:rsid w:val="00F16D7B"/>
    <w:rsid w:val="00F17091"/>
    <w:rsid w:val="00F17513"/>
    <w:rsid w:val="00F175B8"/>
    <w:rsid w:val="00F178D3"/>
    <w:rsid w:val="00F179C2"/>
    <w:rsid w:val="00F17C60"/>
    <w:rsid w:val="00F17D64"/>
    <w:rsid w:val="00F17E00"/>
    <w:rsid w:val="00F203A5"/>
    <w:rsid w:val="00F20721"/>
    <w:rsid w:val="00F20BC1"/>
    <w:rsid w:val="00F20C64"/>
    <w:rsid w:val="00F20F8B"/>
    <w:rsid w:val="00F2129B"/>
    <w:rsid w:val="00F214C3"/>
    <w:rsid w:val="00F21545"/>
    <w:rsid w:val="00F218D1"/>
    <w:rsid w:val="00F218D9"/>
    <w:rsid w:val="00F21B0A"/>
    <w:rsid w:val="00F21E9D"/>
    <w:rsid w:val="00F21FA0"/>
    <w:rsid w:val="00F220E8"/>
    <w:rsid w:val="00F22A05"/>
    <w:rsid w:val="00F22AA2"/>
    <w:rsid w:val="00F22B5D"/>
    <w:rsid w:val="00F22BD1"/>
    <w:rsid w:val="00F22D81"/>
    <w:rsid w:val="00F22DC6"/>
    <w:rsid w:val="00F230B9"/>
    <w:rsid w:val="00F232F7"/>
    <w:rsid w:val="00F23369"/>
    <w:rsid w:val="00F23525"/>
    <w:rsid w:val="00F2358F"/>
    <w:rsid w:val="00F2379F"/>
    <w:rsid w:val="00F23D23"/>
    <w:rsid w:val="00F23D6B"/>
    <w:rsid w:val="00F24AAD"/>
    <w:rsid w:val="00F24B4B"/>
    <w:rsid w:val="00F24BA2"/>
    <w:rsid w:val="00F24BCE"/>
    <w:rsid w:val="00F24C1D"/>
    <w:rsid w:val="00F253B8"/>
    <w:rsid w:val="00F25475"/>
    <w:rsid w:val="00F2548F"/>
    <w:rsid w:val="00F255BC"/>
    <w:rsid w:val="00F256CD"/>
    <w:rsid w:val="00F256DE"/>
    <w:rsid w:val="00F25776"/>
    <w:rsid w:val="00F25889"/>
    <w:rsid w:val="00F259C1"/>
    <w:rsid w:val="00F25E3B"/>
    <w:rsid w:val="00F260AF"/>
    <w:rsid w:val="00F265E9"/>
    <w:rsid w:val="00F26836"/>
    <w:rsid w:val="00F268B7"/>
    <w:rsid w:val="00F26A76"/>
    <w:rsid w:val="00F26CEA"/>
    <w:rsid w:val="00F26EB6"/>
    <w:rsid w:val="00F2709E"/>
    <w:rsid w:val="00F2713E"/>
    <w:rsid w:val="00F27359"/>
    <w:rsid w:val="00F273B3"/>
    <w:rsid w:val="00F274B8"/>
    <w:rsid w:val="00F2769D"/>
    <w:rsid w:val="00F27C9E"/>
    <w:rsid w:val="00F27D5C"/>
    <w:rsid w:val="00F30142"/>
    <w:rsid w:val="00F3015A"/>
    <w:rsid w:val="00F30241"/>
    <w:rsid w:val="00F302EF"/>
    <w:rsid w:val="00F303E2"/>
    <w:rsid w:val="00F304BA"/>
    <w:rsid w:val="00F30588"/>
    <w:rsid w:val="00F30993"/>
    <w:rsid w:val="00F30B80"/>
    <w:rsid w:val="00F30E15"/>
    <w:rsid w:val="00F3114D"/>
    <w:rsid w:val="00F31165"/>
    <w:rsid w:val="00F31645"/>
    <w:rsid w:val="00F31796"/>
    <w:rsid w:val="00F31979"/>
    <w:rsid w:val="00F31B07"/>
    <w:rsid w:val="00F31B09"/>
    <w:rsid w:val="00F31BD3"/>
    <w:rsid w:val="00F31C09"/>
    <w:rsid w:val="00F31CDE"/>
    <w:rsid w:val="00F320BA"/>
    <w:rsid w:val="00F32AC8"/>
    <w:rsid w:val="00F32AE5"/>
    <w:rsid w:val="00F32D36"/>
    <w:rsid w:val="00F330C1"/>
    <w:rsid w:val="00F332A1"/>
    <w:rsid w:val="00F33445"/>
    <w:rsid w:val="00F3393F"/>
    <w:rsid w:val="00F33A58"/>
    <w:rsid w:val="00F33C0F"/>
    <w:rsid w:val="00F33CB0"/>
    <w:rsid w:val="00F33D5A"/>
    <w:rsid w:val="00F34043"/>
    <w:rsid w:val="00F340CF"/>
    <w:rsid w:val="00F340DD"/>
    <w:rsid w:val="00F34444"/>
    <w:rsid w:val="00F346A4"/>
    <w:rsid w:val="00F34F8B"/>
    <w:rsid w:val="00F34FCC"/>
    <w:rsid w:val="00F359B4"/>
    <w:rsid w:val="00F359F8"/>
    <w:rsid w:val="00F35BFD"/>
    <w:rsid w:val="00F35C18"/>
    <w:rsid w:val="00F35D53"/>
    <w:rsid w:val="00F35F30"/>
    <w:rsid w:val="00F3601D"/>
    <w:rsid w:val="00F36093"/>
    <w:rsid w:val="00F3621C"/>
    <w:rsid w:val="00F36471"/>
    <w:rsid w:val="00F36492"/>
    <w:rsid w:val="00F36497"/>
    <w:rsid w:val="00F3669B"/>
    <w:rsid w:val="00F367BC"/>
    <w:rsid w:val="00F368AE"/>
    <w:rsid w:val="00F368B1"/>
    <w:rsid w:val="00F36C85"/>
    <w:rsid w:val="00F36E32"/>
    <w:rsid w:val="00F36F89"/>
    <w:rsid w:val="00F36FA2"/>
    <w:rsid w:val="00F3711C"/>
    <w:rsid w:val="00F37510"/>
    <w:rsid w:val="00F377A8"/>
    <w:rsid w:val="00F378D6"/>
    <w:rsid w:val="00F3797B"/>
    <w:rsid w:val="00F37D95"/>
    <w:rsid w:val="00F37FD9"/>
    <w:rsid w:val="00F404FE"/>
    <w:rsid w:val="00F405E5"/>
    <w:rsid w:val="00F40A2A"/>
    <w:rsid w:val="00F40B2D"/>
    <w:rsid w:val="00F40B3F"/>
    <w:rsid w:val="00F40BA5"/>
    <w:rsid w:val="00F40E43"/>
    <w:rsid w:val="00F411C6"/>
    <w:rsid w:val="00F412EA"/>
    <w:rsid w:val="00F41351"/>
    <w:rsid w:val="00F41644"/>
    <w:rsid w:val="00F41653"/>
    <w:rsid w:val="00F41776"/>
    <w:rsid w:val="00F41787"/>
    <w:rsid w:val="00F4178F"/>
    <w:rsid w:val="00F417EA"/>
    <w:rsid w:val="00F419F6"/>
    <w:rsid w:val="00F4229C"/>
    <w:rsid w:val="00F426A9"/>
    <w:rsid w:val="00F42983"/>
    <w:rsid w:val="00F4299C"/>
    <w:rsid w:val="00F42C0B"/>
    <w:rsid w:val="00F42D50"/>
    <w:rsid w:val="00F4300B"/>
    <w:rsid w:val="00F431FA"/>
    <w:rsid w:val="00F432BF"/>
    <w:rsid w:val="00F4336E"/>
    <w:rsid w:val="00F43589"/>
    <w:rsid w:val="00F438CB"/>
    <w:rsid w:val="00F43E46"/>
    <w:rsid w:val="00F43FDC"/>
    <w:rsid w:val="00F4441A"/>
    <w:rsid w:val="00F4443B"/>
    <w:rsid w:val="00F44597"/>
    <w:rsid w:val="00F4459C"/>
    <w:rsid w:val="00F445A9"/>
    <w:rsid w:val="00F445F1"/>
    <w:rsid w:val="00F446B3"/>
    <w:rsid w:val="00F44904"/>
    <w:rsid w:val="00F44B97"/>
    <w:rsid w:val="00F44BEE"/>
    <w:rsid w:val="00F44C74"/>
    <w:rsid w:val="00F44F51"/>
    <w:rsid w:val="00F44FA9"/>
    <w:rsid w:val="00F4503F"/>
    <w:rsid w:val="00F45212"/>
    <w:rsid w:val="00F45246"/>
    <w:rsid w:val="00F453BB"/>
    <w:rsid w:val="00F45425"/>
    <w:rsid w:val="00F45AA0"/>
    <w:rsid w:val="00F45B8A"/>
    <w:rsid w:val="00F45BFC"/>
    <w:rsid w:val="00F45F2A"/>
    <w:rsid w:val="00F467CE"/>
    <w:rsid w:val="00F46B08"/>
    <w:rsid w:val="00F46BAB"/>
    <w:rsid w:val="00F46C91"/>
    <w:rsid w:val="00F46FC0"/>
    <w:rsid w:val="00F475AD"/>
    <w:rsid w:val="00F475F7"/>
    <w:rsid w:val="00F4762B"/>
    <w:rsid w:val="00F4770F"/>
    <w:rsid w:val="00F47909"/>
    <w:rsid w:val="00F4799F"/>
    <w:rsid w:val="00F47A06"/>
    <w:rsid w:val="00F47A14"/>
    <w:rsid w:val="00F47A7A"/>
    <w:rsid w:val="00F47C3D"/>
    <w:rsid w:val="00F5002F"/>
    <w:rsid w:val="00F505BC"/>
    <w:rsid w:val="00F508B3"/>
    <w:rsid w:val="00F5099B"/>
    <w:rsid w:val="00F50A02"/>
    <w:rsid w:val="00F50BD8"/>
    <w:rsid w:val="00F50C09"/>
    <w:rsid w:val="00F50C68"/>
    <w:rsid w:val="00F51023"/>
    <w:rsid w:val="00F51341"/>
    <w:rsid w:val="00F51A0E"/>
    <w:rsid w:val="00F51A4B"/>
    <w:rsid w:val="00F51CE0"/>
    <w:rsid w:val="00F51D67"/>
    <w:rsid w:val="00F51D8D"/>
    <w:rsid w:val="00F51EDE"/>
    <w:rsid w:val="00F5203A"/>
    <w:rsid w:val="00F521E4"/>
    <w:rsid w:val="00F52217"/>
    <w:rsid w:val="00F524DD"/>
    <w:rsid w:val="00F5253C"/>
    <w:rsid w:val="00F52A36"/>
    <w:rsid w:val="00F52B51"/>
    <w:rsid w:val="00F52F94"/>
    <w:rsid w:val="00F53069"/>
    <w:rsid w:val="00F531A6"/>
    <w:rsid w:val="00F53279"/>
    <w:rsid w:val="00F5339F"/>
    <w:rsid w:val="00F534AF"/>
    <w:rsid w:val="00F536CB"/>
    <w:rsid w:val="00F537BB"/>
    <w:rsid w:val="00F538C5"/>
    <w:rsid w:val="00F5412A"/>
    <w:rsid w:val="00F5416B"/>
    <w:rsid w:val="00F54172"/>
    <w:rsid w:val="00F5422D"/>
    <w:rsid w:val="00F5423D"/>
    <w:rsid w:val="00F54EC8"/>
    <w:rsid w:val="00F54FE3"/>
    <w:rsid w:val="00F55312"/>
    <w:rsid w:val="00F554F4"/>
    <w:rsid w:val="00F556DF"/>
    <w:rsid w:val="00F55A2F"/>
    <w:rsid w:val="00F55CCD"/>
    <w:rsid w:val="00F55DCB"/>
    <w:rsid w:val="00F55E62"/>
    <w:rsid w:val="00F55FAC"/>
    <w:rsid w:val="00F560F8"/>
    <w:rsid w:val="00F5619D"/>
    <w:rsid w:val="00F56640"/>
    <w:rsid w:val="00F5677E"/>
    <w:rsid w:val="00F57367"/>
    <w:rsid w:val="00F5749D"/>
    <w:rsid w:val="00F57722"/>
    <w:rsid w:val="00F57BB4"/>
    <w:rsid w:val="00F57DF2"/>
    <w:rsid w:val="00F57E39"/>
    <w:rsid w:val="00F6033C"/>
    <w:rsid w:val="00F6036E"/>
    <w:rsid w:val="00F607DB"/>
    <w:rsid w:val="00F60A88"/>
    <w:rsid w:val="00F60CFB"/>
    <w:rsid w:val="00F60E66"/>
    <w:rsid w:val="00F61220"/>
    <w:rsid w:val="00F61514"/>
    <w:rsid w:val="00F61A7D"/>
    <w:rsid w:val="00F61B6D"/>
    <w:rsid w:val="00F61D57"/>
    <w:rsid w:val="00F61EE0"/>
    <w:rsid w:val="00F61EEB"/>
    <w:rsid w:val="00F6202D"/>
    <w:rsid w:val="00F62059"/>
    <w:rsid w:val="00F620AC"/>
    <w:rsid w:val="00F620C5"/>
    <w:rsid w:val="00F621EB"/>
    <w:rsid w:val="00F623C0"/>
    <w:rsid w:val="00F62437"/>
    <w:rsid w:val="00F6262A"/>
    <w:rsid w:val="00F62AFA"/>
    <w:rsid w:val="00F62B99"/>
    <w:rsid w:val="00F62BD1"/>
    <w:rsid w:val="00F62E91"/>
    <w:rsid w:val="00F62F40"/>
    <w:rsid w:val="00F62F98"/>
    <w:rsid w:val="00F62FF6"/>
    <w:rsid w:val="00F63001"/>
    <w:rsid w:val="00F63317"/>
    <w:rsid w:val="00F635E3"/>
    <w:rsid w:val="00F638CC"/>
    <w:rsid w:val="00F63A30"/>
    <w:rsid w:val="00F63EE8"/>
    <w:rsid w:val="00F640B2"/>
    <w:rsid w:val="00F644C4"/>
    <w:rsid w:val="00F645ED"/>
    <w:rsid w:val="00F647BE"/>
    <w:rsid w:val="00F64AD8"/>
    <w:rsid w:val="00F64B85"/>
    <w:rsid w:val="00F64C42"/>
    <w:rsid w:val="00F64CD1"/>
    <w:rsid w:val="00F64D7C"/>
    <w:rsid w:val="00F64E2E"/>
    <w:rsid w:val="00F64EB2"/>
    <w:rsid w:val="00F64F36"/>
    <w:rsid w:val="00F65400"/>
    <w:rsid w:val="00F655C4"/>
    <w:rsid w:val="00F65604"/>
    <w:rsid w:val="00F656D0"/>
    <w:rsid w:val="00F65A39"/>
    <w:rsid w:val="00F65AEF"/>
    <w:rsid w:val="00F65C56"/>
    <w:rsid w:val="00F65E10"/>
    <w:rsid w:val="00F66293"/>
    <w:rsid w:val="00F66528"/>
    <w:rsid w:val="00F66777"/>
    <w:rsid w:val="00F668B0"/>
    <w:rsid w:val="00F669BB"/>
    <w:rsid w:val="00F66B16"/>
    <w:rsid w:val="00F66BE6"/>
    <w:rsid w:val="00F66E19"/>
    <w:rsid w:val="00F675B9"/>
    <w:rsid w:val="00F676BC"/>
    <w:rsid w:val="00F677C9"/>
    <w:rsid w:val="00F6785F"/>
    <w:rsid w:val="00F67B37"/>
    <w:rsid w:val="00F67CCC"/>
    <w:rsid w:val="00F67CD3"/>
    <w:rsid w:val="00F67F9F"/>
    <w:rsid w:val="00F7010E"/>
    <w:rsid w:val="00F7019E"/>
    <w:rsid w:val="00F7038B"/>
    <w:rsid w:val="00F70482"/>
    <w:rsid w:val="00F70614"/>
    <w:rsid w:val="00F708B3"/>
    <w:rsid w:val="00F70908"/>
    <w:rsid w:val="00F70921"/>
    <w:rsid w:val="00F70D02"/>
    <w:rsid w:val="00F71486"/>
    <w:rsid w:val="00F714BB"/>
    <w:rsid w:val="00F71817"/>
    <w:rsid w:val="00F71E23"/>
    <w:rsid w:val="00F71F3F"/>
    <w:rsid w:val="00F72042"/>
    <w:rsid w:val="00F72139"/>
    <w:rsid w:val="00F722C7"/>
    <w:rsid w:val="00F72437"/>
    <w:rsid w:val="00F7254A"/>
    <w:rsid w:val="00F7288E"/>
    <w:rsid w:val="00F72C00"/>
    <w:rsid w:val="00F72C43"/>
    <w:rsid w:val="00F73163"/>
    <w:rsid w:val="00F733A0"/>
    <w:rsid w:val="00F73580"/>
    <w:rsid w:val="00F73BB0"/>
    <w:rsid w:val="00F73C67"/>
    <w:rsid w:val="00F73D1A"/>
    <w:rsid w:val="00F73DB7"/>
    <w:rsid w:val="00F73EB8"/>
    <w:rsid w:val="00F74623"/>
    <w:rsid w:val="00F74692"/>
    <w:rsid w:val="00F7478D"/>
    <w:rsid w:val="00F747AD"/>
    <w:rsid w:val="00F74BDB"/>
    <w:rsid w:val="00F74CE2"/>
    <w:rsid w:val="00F74DC0"/>
    <w:rsid w:val="00F74E49"/>
    <w:rsid w:val="00F75093"/>
    <w:rsid w:val="00F75283"/>
    <w:rsid w:val="00F75385"/>
    <w:rsid w:val="00F75473"/>
    <w:rsid w:val="00F7570F"/>
    <w:rsid w:val="00F7593B"/>
    <w:rsid w:val="00F760FD"/>
    <w:rsid w:val="00F76158"/>
    <w:rsid w:val="00F761CD"/>
    <w:rsid w:val="00F76510"/>
    <w:rsid w:val="00F76672"/>
    <w:rsid w:val="00F767C9"/>
    <w:rsid w:val="00F768FF"/>
    <w:rsid w:val="00F76920"/>
    <w:rsid w:val="00F76946"/>
    <w:rsid w:val="00F76EFF"/>
    <w:rsid w:val="00F76F24"/>
    <w:rsid w:val="00F77517"/>
    <w:rsid w:val="00F77525"/>
    <w:rsid w:val="00F77C60"/>
    <w:rsid w:val="00F77D18"/>
    <w:rsid w:val="00F77DDB"/>
    <w:rsid w:val="00F77E05"/>
    <w:rsid w:val="00F77E4F"/>
    <w:rsid w:val="00F77FEB"/>
    <w:rsid w:val="00F801C5"/>
    <w:rsid w:val="00F80305"/>
    <w:rsid w:val="00F806AA"/>
    <w:rsid w:val="00F8092A"/>
    <w:rsid w:val="00F80A85"/>
    <w:rsid w:val="00F80AE3"/>
    <w:rsid w:val="00F80B3B"/>
    <w:rsid w:val="00F80BA0"/>
    <w:rsid w:val="00F812DF"/>
    <w:rsid w:val="00F81372"/>
    <w:rsid w:val="00F813C6"/>
    <w:rsid w:val="00F81594"/>
    <w:rsid w:val="00F81908"/>
    <w:rsid w:val="00F81ACE"/>
    <w:rsid w:val="00F81D7A"/>
    <w:rsid w:val="00F81DBB"/>
    <w:rsid w:val="00F82321"/>
    <w:rsid w:val="00F826F5"/>
    <w:rsid w:val="00F828CA"/>
    <w:rsid w:val="00F8290A"/>
    <w:rsid w:val="00F82C37"/>
    <w:rsid w:val="00F82C6A"/>
    <w:rsid w:val="00F82E02"/>
    <w:rsid w:val="00F82EE3"/>
    <w:rsid w:val="00F82F3E"/>
    <w:rsid w:val="00F830F5"/>
    <w:rsid w:val="00F832AB"/>
    <w:rsid w:val="00F8332F"/>
    <w:rsid w:val="00F83388"/>
    <w:rsid w:val="00F836DE"/>
    <w:rsid w:val="00F83C7C"/>
    <w:rsid w:val="00F83DA1"/>
    <w:rsid w:val="00F83DF0"/>
    <w:rsid w:val="00F83F39"/>
    <w:rsid w:val="00F841A9"/>
    <w:rsid w:val="00F843FD"/>
    <w:rsid w:val="00F84618"/>
    <w:rsid w:val="00F8465D"/>
    <w:rsid w:val="00F84878"/>
    <w:rsid w:val="00F848BA"/>
    <w:rsid w:val="00F848E8"/>
    <w:rsid w:val="00F84F00"/>
    <w:rsid w:val="00F85048"/>
    <w:rsid w:val="00F853CB"/>
    <w:rsid w:val="00F8541F"/>
    <w:rsid w:val="00F8550B"/>
    <w:rsid w:val="00F856BE"/>
    <w:rsid w:val="00F85CDF"/>
    <w:rsid w:val="00F85E52"/>
    <w:rsid w:val="00F85EC0"/>
    <w:rsid w:val="00F85F2D"/>
    <w:rsid w:val="00F864BA"/>
    <w:rsid w:val="00F864C8"/>
    <w:rsid w:val="00F868BC"/>
    <w:rsid w:val="00F86B35"/>
    <w:rsid w:val="00F86C77"/>
    <w:rsid w:val="00F86FDB"/>
    <w:rsid w:val="00F8734E"/>
    <w:rsid w:val="00F874AE"/>
    <w:rsid w:val="00F876B2"/>
    <w:rsid w:val="00F87F6D"/>
    <w:rsid w:val="00F9000C"/>
    <w:rsid w:val="00F9002B"/>
    <w:rsid w:val="00F90891"/>
    <w:rsid w:val="00F90B0F"/>
    <w:rsid w:val="00F90C2C"/>
    <w:rsid w:val="00F90E5F"/>
    <w:rsid w:val="00F91707"/>
    <w:rsid w:val="00F91814"/>
    <w:rsid w:val="00F91BBF"/>
    <w:rsid w:val="00F92488"/>
    <w:rsid w:val="00F9293F"/>
    <w:rsid w:val="00F92997"/>
    <w:rsid w:val="00F92DE3"/>
    <w:rsid w:val="00F93055"/>
    <w:rsid w:val="00F9309F"/>
    <w:rsid w:val="00F93145"/>
    <w:rsid w:val="00F934AF"/>
    <w:rsid w:val="00F93566"/>
    <w:rsid w:val="00F935A3"/>
    <w:rsid w:val="00F9360D"/>
    <w:rsid w:val="00F938E0"/>
    <w:rsid w:val="00F93BDD"/>
    <w:rsid w:val="00F93CB7"/>
    <w:rsid w:val="00F93F9D"/>
    <w:rsid w:val="00F94695"/>
    <w:rsid w:val="00F94A03"/>
    <w:rsid w:val="00F94D43"/>
    <w:rsid w:val="00F94F0B"/>
    <w:rsid w:val="00F951FA"/>
    <w:rsid w:val="00F95203"/>
    <w:rsid w:val="00F95561"/>
    <w:rsid w:val="00F956A3"/>
    <w:rsid w:val="00F95705"/>
    <w:rsid w:val="00F958E5"/>
    <w:rsid w:val="00F95979"/>
    <w:rsid w:val="00F95C5C"/>
    <w:rsid w:val="00F960E6"/>
    <w:rsid w:val="00F9636E"/>
    <w:rsid w:val="00F96474"/>
    <w:rsid w:val="00F96570"/>
    <w:rsid w:val="00F96648"/>
    <w:rsid w:val="00F9665A"/>
    <w:rsid w:val="00F96957"/>
    <w:rsid w:val="00F96CE4"/>
    <w:rsid w:val="00F96DDC"/>
    <w:rsid w:val="00F97082"/>
    <w:rsid w:val="00F9719C"/>
    <w:rsid w:val="00F97355"/>
    <w:rsid w:val="00F97681"/>
    <w:rsid w:val="00F97810"/>
    <w:rsid w:val="00F97957"/>
    <w:rsid w:val="00F97F08"/>
    <w:rsid w:val="00F97FC0"/>
    <w:rsid w:val="00F97FCF"/>
    <w:rsid w:val="00FA0523"/>
    <w:rsid w:val="00FA05A3"/>
    <w:rsid w:val="00FA08FD"/>
    <w:rsid w:val="00FA0CC1"/>
    <w:rsid w:val="00FA0D03"/>
    <w:rsid w:val="00FA0EF4"/>
    <w:rsid w:val="00FA14C2"/>
    <w:rsid w:val="00FA194A"/>
    <w:rsid w:val="00FA1C39"/>
    <w:rsid w:val="00FA1FF7"/>
    <w:rsid w:val="00FA2128"/>
    <w:rsid w:val="00FA22E7"/>
    <w:rsid w:val="00FA2442"/>
    <w:rsid w:val="00FA2486"/>
    <w:rsid w:val="00FA2552"/>
    <w:rsid w:val="00FA2578"/>
    <w:rsid w:val="00FA2700"/>
    <w:rsid w:val="00FA2872"/>
    <w:rsid w:val="00FA2DA4"/>
    <w:rsid w:val="00FA308B"/>
    <w:rsid w:val="00FA30F6"/>
    <w:rsid w:val="00FA31E8"/>
    <w:rsid w:val="00FA3221"/>
    <w:rsid w:val="00FA32CB"/>
    <w:rsid w:val="00FA3308"/>
    <w:rsid w:val="00FA35A4"/>
    <w:rsid w:val="00FA35EA"/>
    <w:rsid w:val="00FA36D6"/>
    <w:rsid w:val="00FA3894"/>
    <w:rsid w:val="00FA3928"/>
    <w:rsid w:val="00FA3937"/>
    <w:rsid w:val="00FA3946"/>
    <w:rsid w:val="00FA3E58"/>
    <w:rsid w:val="00FA4045"/>
    <w:rsid w:val="00FA445A"/>
    <w:rsid w:val="00FA4466"/>
    <w:rsid w:val="00FA447F"/>
    <w:rsid w:val="00FA5379"/>
    <w:rsid w:val="00FA5764"/>
    <w:rsid w:val="00FA596F"/>
    <w:rsid w:val="00FA5A22"/>
    <w:rsid w:val="00FA5C1F"/>
    <w:rsid w:val="00FA5D04"/>
    <w:rsid w:val="00FA5E15"/>
    <w:rsid w:val="00FA5F62"/>
    <w:rsid w:val="00FA5FB1"/>
    <w:rsid w:val="00FA621E"/>
    <w:rsid w:val="00FA649E"/>
    <w:rsid w:val="00FA68D7"/>
    <w:rsid w:val="00FA6A11"/>
    <w:rsid w:val="00FA6C04"/>
    <w:rsid w:val="00FA6C21"/>
    <w:rsid w:val="00FA6CDA"/>
    <w:rsid w:val="00FA6FA0"/>
    <w:rsid w:val="00FA72FD"/>
    <w:rsid w:val="00FA72FF"/>
    <w:rsid w:val="00FA7327"/>
    <w:rsid w:val="00FA77D5"/>
    <w:rsid w:val="00FA7A40"/>
    <w:rsid w:val="00FA7BAF"/>
    <w:rsid w:val="00FA7DDB"/>
    <w:rsid w:val="00FA7E81"/>
    <w:rsid w:val="00FA7EEC"/>
    <w:rsid w:val="00FB021C"/>
    <w:rsid w:val="00FB0424"/>
    <w:rsid w:val="00FB0789"/>
    <w:rsid w:val="00FB0BDC"/>
    <w:rsid w:val="00FB0C88"/>
    <w:rsid w:val="00FB0CDC"/>
    <w:rsid w:val="00FB0E89"/>
    <w:rsid w:val="00FB0EA9"/>
    <w:rsid w:val="00FB119B"/>
    <w:rsid w:val="00FB12C1"/>
    <w:rsid w:val="00FB1347"/>
    <w:rsid w:val="00FB1542"/>
    <w:rsid w:val="00FB154E"/>
    <w:rsid w:val="00FB1603"/>
    <w:rsid w:val="00FB179F"/>
    <w:rsid w:val="00FB1F03"/>
    <w:rsid w:val="00FB20E7"/>
    <w:rsid w:val="00FB237A"/>
    <w:rsid w:val="00FB257C"/>
    <w:rsid w:val="00FB2602"/>
    <w:rsid w:val="00FB2807"/>
    <w:rsid w:val="00FB2BD8"/>
    <w:rsid w:val="00FB329C"/>
    <w:rsid w:val="00FB3387"/>
    <w:rsid w:val="00FB33B8"/>
    <w:rsid w:val="00FB34BA"/>
    <w:rsid w:val="00FB352E"/>
    <w:rsid w:val="00FB3639"/>
    <w:rsid w:val="00FB3D0D"/>
    <w:rsid w:val="00FB3D51"/>
    <w:rsid w:val="00FB3F81"/>
    <w:rsid w:val="00FB42F6"/>
    <w:rsid w:val="00FB43FC"/>
    <w:rsid w:val="00FB4537"/>
    <w:rsid w:val="00FB4953"/>
    <w:rsid w:val="00FB49B3"/>
    <w:rsid w:val="00FB4BAC"/>
    <w:rsid w:val="00FB4F36"/>
    <w:rsid w:val="00FB58E6"/>
    <w:rsid w:val="00FB5C70"/>
    <w:rsid w:val="00FB5D5A"/>
    <w:rsid w:val="00FB5DAC"/>
    <w:rsid w:val="00FB6121"/>
    <w:rsid w:val="00FB6279"/>
    <w:rsid w:val="00FB63AF"/>
    <w:rsid w:val="00FB6670"/>
    <w:rsid w:val="00FB6B51"/>
    <w:rsid w:val="00FB6C79"/>
    <w:rsid w:val="00FB7219"/>
    <w:rsid w:val="00FB7270"/>
    <w:rsid w:val="00FB7776"/>
    <w:rsid w:val="00FB7832"/>
    <w:rsid w:val="00FB7914"/>
    <w:rsid w:val="00FB7A65"/>
    <w:rsid w:val="00FB7C11"/>
    <w:rsid w:val="00FB7E1A"/>
    <w:rsid w:val="00FB7F62"/>
    <w:rsid w:val="00FC00D0"/>
    <w:rsid w:val="00FC0253"/>
    <w:rsid w:val="00FC028E"/>
    <w:rsid w:val="00FC03CC"/>
    <w:rsid w:val="00FC07B9"/>
    <w:rsid w:val="00FC0C84"/>
    <w:rsid w:val="00FC0EAF"/>
    <w:rsid w:val="00FC11E6"/>
    <w:rsid w:val="00FC1324"/>
    <w:rsid w:val="00FC138B"/>
    <w:rsid w:val="00FC1519"/>
    <w:rsid w:val="00FC1930"/>
    <w:rsid w:val="00FC19A9"/>
    <w:rsid w:val="00FC1A53"/>
    <w:rsid w:val="00FC1B16"/>
    <w:rsid w:val="00FC1FDA"/>
    <w:rsid w:val="00FC23E8"/>
    <w:rsid w:val="00FC263E"/>
    <w:rsid w:val="00FC2FEC"/>
    <w:rsid w:val="00FC32A2"/>
    <w:rsid w:val="00FC34D9"/>
    <w:rsid w:val="00FC36FA"/>
    <w:rsid w:val="00FC3C86"/>
    <w:rsid w:val="00FC3EE3"/>
    <w:rsid w:val="00FC3F31"/>
    <w:rsid w:val="00FC3FDD"/>
    <w:rsid w:val="00FC40A5"/>
    <w:rsid w:val="00FC40E8"/>
    <w:rsid w:val="00FC4150"/>
    <w:rsid w:val="00FC4279"/>
    <w:rsid w:val="00FC4378"/>
    <w:rsid w:val="00FC43B0"/>
    <w:rsid w:val="00FC4434"/>
    <w:rsid w:val="00FC44A0"/>
    <w:rsid w:val="00FC4654"/>
    <w:rsid w:val="00FC493A"/>
    <w:rsid w:val="00FC4ADD"/>
    <w:rsid w:val="00FC4C3A"/>
    <w:rsid w:val="00FC4EC9"/>
    <w:rsid w:val="00FC5333"/>
    <w:rsid w:val="00FC53CF"/>
    <w:rsid w:val="00FC54D5"/>
    <w:rsid w:val="00FC5646"/>
    <w:rsid w:val="00FC5BAE"/>
    <w:rsid w:val="00FC5BB2"/>
    <w:rsid w:val="00FC5C09"/>
    <w:rsid w:val="00FC5CC5"/>
    <w:rsid w:val="00FC5D16"/>
    <w:rsid w:val="00FC5D23"/>
    <w:rsid w:val="00FC5DB9"/>
    <w:rsid w:val="00FC65AC"/>
    <w:rsid w:val="00FC66F8"/>
    <w:rsid w:val="00FC67CD"/>
    <w:rsid w:val="00FC6E54"/>
    <w:rsid w:val="00FC7019"/>
    <w:rsid w:val="00FC7352"/>
    <w:rsid w:val="00FC7685"/>
    <w:rsid w:val="00FC76AA"/>
    <w:rsid w:val="00FC7705"/>
    <w:rsid w:val="00FC7D92"/>
    <w:rsid w:val="00FD0310"/>
    <w:rsid w:val="00FD033C"/>
    <w:rsid w:val="00FD0B16"/>
    <w:rsid w:val="00FD0D09"/>
    <w:rsid w:val="00FD0E83"/>
    <w:rsid w:val="00FD11CA"/>
    <w:rsid w:val="00FD129E"/>
    <w:rsid w:val="00FD16E7"/>
    <w:rsid w:val="00FD17BC"/>
    <w:rsid w:val="00FD17F9"/>
    <w:rsid w:val="00FD1931"/>
    <w:rsid w:val="00FD1BF5"/>
    <w:rsid w:val="00FD2017"/>
    <w:rsid w:val="00FD231B"/>
    <w:rsid w:val="00FD24E1"/>
    <w:rsid w:val="00FD24F1"/>
    <w:rsid w:val="00FD2725"/>
    <w:rsid w:val="00FD2730"/>
    <w:rsid w:val="00FD2A34"/>
    <w:rsid w:val="00FD2AA8"/>
    <w:rsid w:val="00FD2C5E"/>
    <w:rsid w:val="00FD2E73"/>
    <w:rsid w:val="00FD32B8"/>
    <w:rsid w:val="00FD32E7"/>
    <w:rsid w:val="00FD3540"/>
    <w:rsid w:val="00FD3780"/>
    <w:rsid w:val="00FD39E1"/>
    <w:rsid w:val="00FD3AC8"/>
    <w:rsid w:val="00FD3B5D"/>
    <w:rsid w:val="00FD3BDB"/>
    <w:rsid w:val="00FD417E"/>
    <w:rsid w:val="00FD42EC"/>
    <w:rsid w:val="00FD453C"/>
    <w:rsid w:val="00FD4943"/>
    <w:rsid w:val="00FD4AD6"/>
    <w:rsid w:val="00FD4C0B"/>
    <w:rsid w:val="00FD4CE6"/>
    <w:rsid w:val="00FD4DC9"/>
    <w:rsid w:val="00FD4E96"/>
    <w:rsid w:val="00FD5544"/>
    <w:rsid w:val="00FD5868"/>
    <w:rsid w:val="00FD59A0"/>
    <w:rsid w:val="00FD59BF"/>
    <w:rsid w:val="00FD59D8"/>
    <w:rsid w:val="00FD59F6"/>
    <w:rsid w:val="00FD5A7E"/>
    <w:rsid w:val="00FD5BC6"/>
    <w:rsid w:val="00FD5D0E"/>
    <w:rsid w:val="00FD5D73"/>
    <w:rsid w:val="00FD5DA2"/>
    <w:rsid w:val="00FD602B"/>
    <w:rsid w:val="00FD61D6"/>
    <w:rsid w:val="00FD61EF"/>
    <w:rsid w:val="00FD6215"/>
    <w:rsid w:val="00FD63B9"/>
    <w:rsid w:val="00FD641D"/>
    <w:rsid w:val="00FD642D"/>
    <w:rsid w:val="00FD653F"/>
    <w:rsid w:val="00FD6A86"/>
    <w:rsid w:val="00FD6E93"/>
    <w:rsid w:val="00FD6EC4"/>
    <w:rsid w:val="00FD7013"/>
    <w:rsid w:val="00FD767C"/>
    <w:rsid w:val="00FD7A60"/>
    <w:rsid w:val="00FE0039"/>
    <w:rsid w:val="00FE00FF"/>
    <w:rsid w:val="00FE0601"/>
    <w:rsid w:val="00FE06E8"/>
    <w:rsid w:val="00FE0750"/>
    <w:rsid w:val="00FE07CF"/>
    <w:rsid w:val="00FE0831"/>
    <w:rsid w:val="00FE0972"/>
    <w:rsid w:val="00FE0CAE"/>
    <w:rsid w:val="00FE0CF6"/>
    <w:rsid w:val="00FE0DB8"/>
    <w:rsid w:val="00FE0F43"/>
    <w:rsid w:val="00FE0F6D"/>
    <w:rsid w:val="00FE1151"/>
    <w:rsid w:val="00FE1376"/>
    <w:rsid w:val="00FE1668"/>
    <w:rsid w:val="00FE1773"/>
    <w:rsid w:val="00FE1784"/>
    <w:rsid w:val="00FE1856"/>
    <w:rsid w:val="00FE186B"/>
    <w:rsid w:val="00FE19A3"/>
    <w:rsid w:val="00FE19F3"/>
    <w:rsid w:val="00FE1A30"/>
    <w:rsid w:val="00FE1B76"/>
    <w:rsid w:val="00FE1CEE"/>
    <w:rsid w:val="00FE21BB"/>
    <w:rsid w:val="00FE2253"/>
    <w:rsid w:val="00FE25AA"/>
    <w:rsid w:val="00FE25E9"/>
    <w:rsid w:val="00FE261C"/>
    <w:rsid w:val="00FE266F"/>
    <w:rsid w:val="00FE2683"/>
    <w:rsid w:val="00FE2733"/>
    <w:rsid w:val="00FE2BF7"/>
    <w:rsid w:val="00FE2F01"/>
    <w:rsid w:val="00FE3130"/>
    <w:rsid w:val="00FE38F3"/>
    <w:rsid w:val="00FE3A29"/>
    <w:rsid w:val="00FE3A2F"/>
    <w:rsid w:val="00FE3C17"/>
    <w:rsid w:val="00FE4048"/>
    <w:rsid w:val="00FE458B"/>
    <w:rsid w:val="00FE467F"/>
    <w:rsid w:val="00FE4889"/>
    <w:rsid w:val="00FE4A32"/>
    <w:rsid w:val="00FE4A54"/>
    <w:rsid w:val="00FE4A6C"/>
    <w:rsid w:val="00FE4AA9"/>
    <w:rsid w:val="00FE4E75"/>
    <w:rsid w:val="00FE4EC4"/>
    <w:rsid w:val="00FE4F44"/>
    <w:rsid w:val="00FE4FF9"/>
    <w:rsid w:val="00FE52EC"/>
    <w:rsid w:val="00FE53B0"/>
    <w:rsid w:val="00FE55D6"/>
    <w:rsid w:val="00FE55DB"/>
    <w:rsid w:val="00FE565E"/>
    <w:rsid w:val="00FE5693"/>
    <w:rsid w:val="00FE5919"/>
    <w:rsid w:val="00FE5990"/>
    <w:rsid w:val="00FE5C66"/>
    <w:rsid w:val="00FE5DFA"/>
    <w:rsid w:val="00FE61BE"/>
    <w:rsid w:val="00FE6214"/>
    <w:rsid w:val="00FE644A"/>
    <w:rsid w:val="00FE6652"/>
    <w:rsid w:val="00FE691B"/>
    <w:rsid w:val="00FE6BAA"/>
    <w:rsid w:val="00FE6CB1"/>
    <w:rsid w:val="00FE6ED6"/>
    <w:rsid w:val="00FE73AE"/>
    <w:rsid w:val="00FE73CC"/>
    <w:rsid w:val="00FE76CC"/>
    <w:rsid w:val="00FE7811"/>
    <w:rsid w:val="00FE7F66"/>
    <w:rsid w:val="00FF00CF"/>
    <w:rsid w:val="00FF0503"/>
    <w:rsid w:val="00FF0520"/>
    <w:rsid w:val="00FF0795"/>
    <w:rsid w:val="00FF07AB"/>
    <w:rsid w:val="00FF084B"/>
    <w:rsid w:val="00FF0C4A"/>
    <w:rsid w:val="00FF0D99"/>
    <w:rsid w:val="00FF0DE0"/>
    <w:rsid w:val="00FF10C5"/>
    <w:rsid w:val="00FF1273"/>
    <w:rsid w:val="00FF12A0"/>
    <w:rsid w:val="00FF1321"/>
    <w:rsid w:val="00FF16FB"/>
    <w:rsid w:val="00FF170C"/>
    <w:rsid w:val="00FF1BAF"/>
    <w:rsid w:val="00FF1EB8"/>
    <w:rsid w:val="00FF213C"/>
    <w:rsid w:val="00FF2303"/>
    <w:rsid w:val="00FF24CC"/>
    <w:rsid w:val="00FF2548"/>
    <w:rsid w:val="00FF25EB"/>
    <w:rsid w:val="00FF26FB"/>
    <w:rsid w:val="00FF278D"/>
    <w:rsid w:val="00FF2C26"/>
    <w:rsid w:val="00FF2F60"/>
    <w:rsid w:val="00FF3180"/>
    <w:rsid w:val="00FF31EA"/>
    <w:rsid w:val="00FF3990"/>
    <w:rsid w:val="00FF3A2E"/>
    <w:rsid w:val="00FF3ADC"/>
    <w:rsid w:val="00FF3E12"/>
    <w:rsid w:val="00FF3E2B"/>
    <w:rsid w:val="00FF3E38"/>
    <w:rsid w:val="00FF3E49"/>
    <w:rsid w:val="00FF4226"/>
    <w:rsid w:val="00FF4300"/>
    <w:rsid w:val="00FF439E"/>
    <w:rsid w:val="00FF4680"/>
    <w:rsid w:val="00FF4B16"/>
    <w:rsid w:val="00FF4BA7"/>
    <w:rsid w:val="00FF4C7F"/>
    <w:rsid w:val="00FF4ED4"/>
    <w:rsid w:val="00FF529B"/>
    <w:rsid w:val="00FF5376"/>
    <w:rsid w:val="00FF544F"/>
    <w:rsid w:val="00FF5567"/>
    <w:rsid w:val="00FF5597"/>
    <w:rsid w:val="00FF55FD"/>
    <w:rsid w:val="00FF562F"/>
    <w:rsid w:val="00FF5682"/>
    <w:rsid w:val="00FF56D9"/>
    <w:rsid w:val="00FF5730"/>
    <w:rsid w:val="00FF5B6A"/>
    <w:rsid w:val="00FF5C88"/>
    <w:rsid w:val="00FF5D59"/>
    <w:rsid w:val="00FF5E92"/>
    <w:rsid w:val="00FF60D4"/>
    <w:rsid w:val="00FF626D"/>
    <w:rsid w:val="00FF62E6"/>
    <w:rsid w:val="00FF66E2"/>
    <w:rsid w:val="00FF6AE8"/>
    <w:rsid w:val="00FF7076"/>
    <w:rsid w:val="00FF70FC"/>
    <w:rsid w:val="00FF72A4"/>
    <w:rsid w:val="00FF72B0"/>
    <w:rsid w:val="00FF72F5"/>
    <w:rsid w:val="00FF741D"/>
    <w:rsid w:val="00FF7468"/>
    <w:rsid w:val="00FF75E5"/>
    <w:rsid w:val="00FF76D9"/>
    <w:rsid w:val="00FF77C2"/>
    <w:rsid w:val="00FF7900"/>
    <w:rsid w:val="00FF7A43"/>
    <w:rsid w:val="00FF7AD9"/>
    <w:rsid w:val="00FF7B6A"/>
    <w:rsid w:val="00FF7C27"/>
    <w:rsid w:val="00FF7CF5"/>
    <w:rsid w:val="00FF7DC4"/>
    <w:rsid w:val="00FF7E3B"/>
    <w:rsid w:val="00FF7F5D"/>
    <w:rsid w:val="1BC8C994"/>
    <w:rsid w:val="3651E401"/>
    <w:rsid w:val="485B1AFE"/>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v:textbox inset="5.85pt,.7pt,5.85pt,.7pt"/>
    </o:shapedefaults>
    <o:shapelayout v:ext="edit">
      <o:idmap v:ext="edit" data="1"/>
    </o:shapelayout>
  </w:shapeDefaults>
  <w:decimalSymbol w:val="."/>
  <w:listSeparator w:val=","/>
  <w14:docId w14:val="7610ECDE"/>
  <w14:defaultImageDpi w14:val="96"/>
  <w15:docId w15:val="{DB0CAA6C-B21D-7848-A183-2A50E9FF60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mbria" w:eastAsiaTheme="minorEastAsia" w:hAnsi="Cambria"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4" w:unhideWhenUsed="1" w:qFormat="1"/>
    <w:lsdException w:name="heading 5" w:semiHidden="1" w:uiPriority="5" w:unhideWhenUsed="1" w:qFormat="1"/>
    <w:lsdException w:name="heading 6" w:semiHidden="1" w:uiPriority="6"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semiHidden="1" w:uiPriority="32" w:qFormat="1"/>
    <w:lsdException w:name="Book Title" w:semiHidden="1"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33D26"/>
    <w:pPr>
      <w:tabs>
        <w:tab w:val="left" w:pos="403"/>
        <w:tab w:val="left" w:pos="806"/>
        <w:tab w:val="left" w:pos="1210"/>
        <w:tab w:val="left" w:pos="1613"/>
        <w:tab w:val="left" w:pos="2016"/>
        <w:tab w:val="left" w:pos="2419"/>
        <w:tab w:val="left" w:pos="2822"/>
        <w:tab w:val="left" w:pos="3226"/>
        <w:tab w:val="left" w:pos="3629"/>
        <w:tab w:val="left" w:pos="4032"/>
        <w:tab w:val="left" w:pos="4435"/>
        <w:tab w:val="right" w:pos="9677"/>
      </w:tabs>
      <w:spacing w:after="240" w:line="240" w:lineRule="atLeast"/>
      <w:jc w:val="both"/>
    </w:pPr>
    <w:rPr>
      <w:sz w:val="22"/>
      <w:szCs w:val="22"/>
      <w:lang w:val="en-CA"/>
    </w:rPr>
  </w:style>
  <w:style w:type="paragraph" w:styleId="Heading1">
    <w:name w:val="heading 1"/>
    <w:aliases w:val="Heading U,H1,H11,Œ©o‚µ 1,뙥,?co??E 1,h1,?c,?co?ƒÊ 1,?,Œ,Œ©,Œ...,Œ©oâµ 1,?co?ÄÊ 1,Î,Î©,Î...,Titre Partie,Heading,título 1,DO NOT USE_h1,?co?ƒÊ"/>
    <w:basedOn w:val="Normal"/>
    <w:next w:val="Normal"/>
    <w:link w:val="Heading1Char"/>
    <w:uiPriority w:val="1"/>
    <w:qFormat/>
    <w:rsid w:val="0041733B"/>
    <w:pPr>
      <w:keepNext/>
      <w:numPr>
        <w:numId w:val="8"/>
      </w:numPr>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s>
      <w:suppressAutoHyphens/>
      <w:spacing w:before="270" w:line="270" w:lineRule="atLeast"/>
      <w:jc w:val="left"/>
      <w:outlineLvl w:val="0"/>
    </w:pPr>
    <w:rPr>
      <w:rFonts w:eastAsia="MS Mincho"/>
      <w:b/>
      <w:sz w:val="26"/>
      <w:lang w:eastAsia="ja-JP"/>
    </w:rPr>
  </w:style>
  <w:style w:type="paragraph" w:styleId="Heading2">
    <w:name w:val="heading 2"/>
    <w:aliases w:val="H2,H21,Œ©o‚µ 2,뙥2,?co??E 2,h2,?c1,?co?ƒÊ 2,?2,Œ1,Œ2,Œ©2,...,Œ©_o‚µ 2,Œ©1,Œ©oâµ 2,?co?ÄÊ 2,Î1,Î2,Î©2,Î©_oâµ 2,Î©1,2,Header 2,2nd level,DO NOT USE_h2,título 2"/>
    <w:basedOn w:val="Heading1"/>
    <w:next w:val="Normal"/>
    <w:link w:val="Heading2Char"/>
    <w:uiPriority w:val="2"/>
    <w:qFormat/>
    <w:rsid w:val="0041733B"/>
    <w:pPr>
      <w:numPr>
        <w:ilvl w:val="1"/>
      </w:numPr>
      <w:spacing w:before="60" w:line="250" w:lineRule="atLeast"/>
      <w:outlineLvl w:val="1"/>
    </w:pPr>
    <w:rPr>
      <w:sz w:val="24"/>
    </w:rPr>
  </w:style>
  <w:style w:type="paragraph" w:styleId="Heading3">
    <w:name w:val="heading 3"/>
    <w:aliases w:val="H3,H31,h3,Org Heading 1"/>
    <w:basedOn w:val="Heading1"/>
    <w:next w:val="Normal"/>
    <w:link w:val="Heading3Char"/>
    <w:uiPriority w:val="3"/>
    <w:qFormat/>
    <w:rsid w:val="00A93B35"/>
    <w:pPr>
      <w:numPr>
        <w:ilvl w:val="2"/>
      </w:numPr>
      <w:tabs>
        <w:tab w:val="left" w:pos="720"/>
      </w:tabs>
      <w:spacing w:before="240" w:line="240" w:lineRule="atLeast"/>
      <w:outlineLvl w:val="2"/>
    </w:pPr>
    <w:rPr>
      <w:sz w:val="22"/>
    </w:rPr>
  </w:style>
  <w:style w:type="paragraph" w:styleId="Heading4">
    <w:name w:val="heading 4"/>
    <w:aliases w:val="Heading 4 Char1,Heading 4 Char Char,H4,H41,h4,0.1.1.1 Titre 4 + Left:  0&quot;,First line:  0&quot;,0.1.1...,0.1.1.1 Titre 4,Org Heading 2"/>
    <w:basedOn w:val="Heading3"/>
    <w:next w:val="Normal"/>
    <w:link w:val="Heading4Char"/>
    <w:uiPriority w:val="4"/>
    <w:qFormat/>
    <w:rsid w:val="008B4166"/>
    <w:pPr>
      <w:numPr>
        <w:ilvl w:val="3"/>
      </w:numPr>
      <w:tabs>
        <w:tab w:val="left" w:pos="1021"/>
        <w:tab w:val="left" w:pos="1140"/>
        <w:tab w:val="left" w:pos="1360"/>
      </w:tabs>
      <w:outlineLvl w:val="3"/>
    </w:pPr>
  </w:style>
  <w:style w:type="paragraph" w:styleId="Heading5">
    <w:name w:val="heading 5"/>
    <w:aliases w:val="H5,H51,h5,DO NOT USE_h5"/>
    <w:basedOn w:val="Heading4"/>
    <w:next w:val="Normal"/>
    <w:link w:val="Heading5Char"/>
    <w:uiPriority w:val="5"/>
    <w:qFormat/>
    <w:rsid w:val="00CD2C32"/>
    <w:pPr>
      <w:numPr>
        <w:ilvl w:val="4"/>
      </w:numPr>
      <w:tabs>
        <w:tab w:val="clear" w:pos="1140"/>
        <w:tab w:val="clear" w:pos="1360"/>
      </w:tabs>
      <w:outlineLvl w:val="4"/>
    </w:pPr>
  </w:style>
  <w:style w:type="paragraph" w:styleId="Heading6">
    <w:name w:val="heading 6"/>
    <w:aliases w:val="H6,H61,h6"/>
    <w:basedOn w:val="Heading5"/>
    <w:next w:val="Normal"/>
    <w:link w:val="Heading6Char"/>
    <w:uiPriority w:val="6"/>
    <w:qFormat/>
    <w:rsid w:val="00CD2C32"/>
    <w:pPr>
      <w:numPr>
        <w:ilvl w:val="5"/>
      </w:numPr>
      <w:outlineLvl w:val="5"/>
    </w:pPr>
  </w:style>
  <w:style w:type="paragraph" w:styleId="Heading7">
    <w:name w:val="heading 7"/>
    <w:basedOn w:val="Heading3"/>
    <w:next w:val="Normal"/>
    <w:link w:val="Heading7Char"/>
    <w:uiPriority w:val="9"/>
    <w:qFormat/>
    <w:rsid w:val="005835A2"/>
    <w:pPr>
      <w:keepLines/>
      <w:numPr>
        <w:ilvl w:val="0"/>
        <w:numId w:val="0"/>
      </w:numPr>
      <w:tabs>
        <w:tab w:val="clear" w:pos="720"/>
        <w:tab w:val="left" w:pos="794"/>
        <w:tab w:val="left" w:pos="1191"/>
        <w:tab w:val="left" w:pos="1588"/>
        <w:tab w:val="left" w:pos="1985"/>
      </w:tabs>
      <w:suppressAutoHyphens w:val="0"/>
      <w:overflowPunct w:val="0"/>
      <w:autoSpaceDE w:val="0"/>
      <w:autoSpaceDN w:val="0"/>
      <w:adjustRightInd w:val="0"/>
      <w:spacing w:before="181" w:after="0" w:line="240" w:lineRule="auto"/>
      <w:ind w:left="1296" w:hanging="1296"/>
      <w:jc w:val="both"/>
      <w:textAlignment w:val="baseline"/>
      <w:outlineLvl w:val="6"/>
    </w:pPr>
    <w:rPr>
      <w:rFonts w:ascii="Times New Roman" w:eastAsia="SimSun" w:hAnsi="Times New Roman"/>
      <w:sz w:val="20"/>
      <w:szCs w:val="20"/>
      <w:lang w:val="en-GB" w:eastAsia="en-US"/>
    </w:rPr>
  </w:style>
  <w:style w:type="paragraph" w:styleId="Heading8">
    <w:name w:val="heading 8"/>
    <w:basedOn w:val="Heading9"/>
    <w:next w:val="Normal"/>
    <w:link w:val="Heading8Char"/>
    <w:uiPriority w:val="9"/>
    <w:qFormat/>
    <w:rsid w:val="005835A2"/>
    <w:pPr>
      <w:tabs>
        <w:tab w:val="clear" w:pos="403"/>
      </w:tabs>
      <w:overflowPunct w:val="0"/>
      <w:autoSpaceDE w:val="0"/>
      <w:autoSpaceDN w:val="0"/>
      <w:adjustRightInd w:val="0"/>
      <w:spacing w:before="360" w:line="240" w:lineRule="auto"/>
      <w:ind w:left="1440" w:hanging="1440"/>
      <w:jc w:val="center"/>
      <w:textAlignment w:val="baseline"/>
      <w:outlineLvl w:val="7"/>
    </w:pPr>
    <w:rPr>
      <w:rFonts w:ascii="Times New Roman" w:eastAsia="SimSun" w:hAnsi="Times New Roman"/>
      <w:b/>
      <w:i w:val="0"/>
      <w:iCs w:val="0"/>
      <w:color w:val="auto"/>
      <w:sz w:val="24"/>
      <w:szCs w:val="20"/>
    </w:rPr>
  </w:style>
  <w:style w:type="paragraph" w:styleId="Heading9">
    <w:name w:val="heading 9"/>
    <w:basedOn w:val="Normal"/>
    <w:next w:val="Normal"/>
    <w:link w:val="Heading9Char"/>
    <w:uiPriority w:val="9"/>
    <w:unhideWhenUsed/>
    <w:qFormat/>
    <w:rsid w:val="005835A2"/>
    <w:pPr>
      <w:keepNext/>
      <w:keepLines/>
      <w:spacing w:before="40" w:after="0"/>
      <w:outlineLvl w:val="8"/>
    </w:pPr>
    <w:rPr>
      <w:rFonts w:asciiTheme="majorHAnsi" w:eastAsiaTheme="majorEastAsia" w:hAnsiTheme="majorHAns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U Char,H1 Char,H11 Char,Œ©o‚µ 1 Char,뙥 Char,?co??E 1 Char,h1 Char,?c Char,?co?ƒÊ 1 Char,? Char,Œ Char,Œ© Char,Œ... Char,Œ©oâµ 1 Char,?co?ÄÊ 1 Char,Î Char,Î© Char,Î... Char,Titre Partie Char,Heading Char,título 1 Char"/>
    <w:basedOn w:val="DefaultParagraphFont"/>
    <w:link w:val="Heading1"/>
    <w:uiPriority w:val="1"/>
    <w:qFormat/>
    <w:locked/>
    <w:rsid w:val="0041733B"/>
    <w:rPr>
      <w:rFonts w:eastAsia="MS Mincho"/>
      <w:b/>
      <w:sz w:val="26"/>
      <w:szCs w:val="22"/>
      <w:lang w:val="en-CA" w:eastAsia="ja-JP"/>
    </w:rPr>
  </w:style>
  <w:style w:type="character" w:customStyle="1" w:styleId="Heading2Char">
    <w:name w:val="Heading 2 Char"/>
    <w:aliases w:val="H2 Char,H21 Char,Œ©o‚µ 2 Char,뙥2 Char,?co??E 2 Char,h2 Char,?c1 Char,?co?ƒÊ 2 Char,?2 Char,Œ1 Char,Œ2 Char,Œ©2 Char,... Char,Œ©_o‚µ 2 Char,Œ©1 Char,Œ©oâµ 2 Char,?co?ÄÊ 2 Char,Î1 Char,Î2 Char,Î©2 Char,Î©_oâµ 2 Char,Î©1 Char,2 Char"/>
    <w:basedOn w:val="DefaultParagraphFont"/>
    <w:link w:val="Heading2"/>
    <w:uiPriority w:val="2"/>
    <w:locked/>
    <w:rsid w:val="0041733B"/>
    <w:rPr>
      <w:rFonts w:eastAsia="MS Mincho"/>
      <w:b/>
      <w:sz w:val="24"/>
      <w:szCs w:val="22"/>
      <w:lang w:val="en-CA" w:eastAsia="ja-JP"/>
    </w:rPr>
  </w:style>
  <w:style w:type="character" w:customStyle="1" w:styleId="Heading3Char">
    <w:name w:val="Heading 3 Char"/>
    <w:aliases w:val="H3 Char,H31 Char,h3 Char,Org Heading 1 Char"/>
    <w:basedOn w:val="DefaultParagraphFont"/>
    <w:link w:val="Heading3"/>
    <w:uiPriority w:val="3"/>
    <w:locked/>
    <w:rsid w:val="00A93B35"/>
    <w:rPr>
      <w:rFonts w:eastAsia="MS Mincho"/>
      <w:b/>
      <w:sz w:val="22"/>
      <w:szCs w:val="22"/>
      <w:lang w:val="en-CA" w:eastAsia="ja-JP"/>
    </w:rPr>
  </w:style>
  <w:style w:type="character" w:customStyle="1" w:styleId="Heading4Char">
    <w:name w:val="Heading 4 Char"/>
    <w:aliases w:val="Heading 4 Char1 Char,Heading 4 Char Char Char,H4 Char,H41 Char,h4 Char,0.1.1.1 Titre 4 + Left:  0&quot; Char,First line:  0&quot; Char,0.1.1... Char,0.1.1.1 Titre 4 Char,Org Heading 2 Char"/>
    <w:basedOn w:val="DefaultParagraphFont"/>
    <w:link w:val="Heading4"/>
    <w:uiPriority w:val="4"/>
    <w:locked/>
    <w:rsid w:val="008B4166"/>
    <w:rPr>
      <w:rFonts w:eastAsia="MS Mincho"/>
      <w:b/>
      <w:sz w:val="22"/>
      <w:szCs w:val="22"/>
      <w:lang w:val="en-CA" w:eastAsia="ja-JP"/>
    </w:rPr>
  </w:style>
  <w:style w:type="character" w:customStyle="1" w:styleId="Heading5Char">
    <w:name w:val="Heading 5 Char"/>
    <w:aliases w:val="H5 Char,H51 Char,h5 Char,DO NOT USE_h5 Char"/>
    <w:basedOn w:val="DefaultParagraphFont"/>
    <w:link w:val="Heading5"/>
    <w:uiPriority w:val="5"/>
    <w:locked/>
    <w:rsid w:val="001B51CD"/>
    <w:rPr>
      <w:rFonts w:eastAsia="MS Mincho"/>
      <w:b/>
      <w:sz w:val="22"/>
      <w:szCs w:val="22"/>
      <w:lang w:val="en-CA" w:eastAsia="ja-JP"/>
    </w:rPr>
  </w:style>
  <w:style w:type="character" w:customStyle="1" w:styleId="Heading6Char">
    <w:name w:val="Heading 6 Char"/>
    <w:aliases w:val="H6 Char,H61 Char,h6 Char"/>
    <w:basedOn w:val="DefaultParagraphFont"/>
    <w:link w:val="Heading6"/>
    <w:uiPriority w:val="6"/>
    <w:locked/>
    <w:rsid w:val="001B51CD"/>
    <w:rPr>
      <w:rFonts w:eastAsia="MS Mincho"/>
      <w:b/>
      <w:sz w:val="22"/>
      <w:szCs w:val="22"/>
      <w:lang w:val="en-CA" w:eastAsia="ja-JP"/>
    </w:rPr>
  </w:style>
  <w:style w:type="character" w:customStyle="1" w:styleId="Heading7Char">
    <w:name w:val="Heading 7 Char"/>
    <w:basedOn w:val="DefaultParagraphFont"/>
    <w:link w:val="Heading7"/>
    <w:uiPriority w:val="9"/>
    <w:locked/>
    <w:rsid w:val="005835A2"/>
    <w:rPr>
      <w:rFonts w:ascii="Times New Roman" w:eastAsia="SimSun" w:hAnsi="Times New Roman" w:cs="Times New Roman"/>
      <w:b/>
      <w:lang w:val="en-GB" w:eastAsia="x-none"/>
    </w:rPr>
  </w:style>
  <w:style w:type="character" w:customStyle="1" w:styleId="Heading8Char">
    <w:name w:val="Heading 8 Char"/>
    <w:basedOn w:val="DefaultParagraphFont"/>
    <w:link w:val="Heading8"/>
    <w:uiPriority w:val="9"/>
    <w:locked/>
    <w:rsid w:val="005835A2"/>
    <w:rPr>
      <w:rFonts w:ascii="Times New Roman" w:eastAsia="SimSun" w:hAnsi="Times New Roman" w:cs="Times New Roman"/>
      <w:b/>
      <w:sz w:val="24"/>
      <w:lang w:val="en-GB" w:eastAsia="x-none"/>
    </w:rPr>
  </w:style>
  <w:style w:type="character" w:customStyle="1" w:styleId="Heading9Char">
    <w:name w:val="Heading 9 Char"/>
    <w:basedOn w:val="DefaultParagraphFont"/>
    <w:link w:val="Heading9"/>
    <w:uiPriority w:val="9"/>
    <w:locked/>
    <w:rsid w:val="005835A2"/>
    <w:rPr>
      <w:rFonts w:asciiTheme="majorHAnsi" w:eastAsiaTheme="majorEastAsia" w:hAnsiTheme="majorHAnsi" w:cs="Times New Roman"/>
      <w:i/>
      <w:iCs/>
      <w:color w:val="272727" w:themeColor="text1" w:themeTint="D8"/>
      <w:sz w:val="21"/>
      <w:szCs w:val="21"/>
      <w:lang w:val="en-GB" w:eastAsia="x-none"/>
    </w:rPr>
  </w:style>
  <w:style w:type="paragraph" w:customStyle="1" w:styleId="a2">
    <w:name w:val="a2"/>
    <w:basedOn w:val="Normal"/>
    <w:next w:val="Normal"/>
    <w:link w:val="a2Char"/>
    <w:uiPriority w:val="11"/>
    <w:qFormat/>
    <w:rsid w:val="00E16BCB"/>
    <w:pPr>
      <w:keepNext/>
      <w:tabs>
        <w:tab w:val="clear" w:pos="403"/>
        <w:tab w:val="left" w:pos="567"/>
        <w:tab w:val="left" w:pos="720"/>
      </w:tabs>
      <w:spacing w:before="270" w:line="270" w:lineRule="atLeast"/>
      <w:jc w:val="left"/>
      <w:outlineLvl w:val="1"/>
    </w:pPr>
    <w:rPr>
      <w:rFonts w:eastAsia="MS Mincho"/>
      <w:b/>
      <w:sz w:val="26"/>
      <w:lang w:eastAsia="ja-JP"/>
    </w:rPr>
  </w:style>
  <w:style w:type="paragraph" w:customStyle="1" w:styleId="a3">
    <w:name w:val="a3"/>
    <w:basedOn w:val="Normal"/>
    <w:next w:val="Normal"/>
    <w:link w:val="a3Char"/>
    <w:uiPriority w:val="12"/>
    <w:qFormat/>
    <w:rsid w:val="00E16BCB"/>
    <w:pPr>
      <w:keepNext/>
      <w:tabs>
        <w:tab w:val="num" w:pos="720"/>
      </w:tabs>
      <w:spacing w:before="60" w:line="250" w:lineRule="atLeast"/>
      <w:jc w:val="left"/>
      <w:outlineLvl w:val="2"/>
    </w:pPr>
    <w:rPr>
      <w:rFonts w:eastAsia="MS Mincho"/>
      <w:b/>
      <w:sz w:val="24"/>
      <w:lang w:eastAsia="ja-JP"/>
    </w:rPr>
  </w:style>
  <w:style w:type="paragraph" w:customStyle="1" w:styleId="a4">
    <w:name w:val="a4"/>
    <w:basedOn w:val="Normal"/>
    <w:next w:val="Normal"/>
    <w:uiPriority w:val="13"/>
    <w:rsid w:val="00E16BCB"/>
    <w:pPr>
      <w:keepNext/>
      <w:tabs>
        <w:tab w:val="left" w:pos="880"/>
        <w:tab w:val="num" w:pos="1080"/>
        <w:tab w:val="num" w:pos="7200"/>
      </w:tabs>
      <w:spacing w:before="60"/>
      <w:ind w:left="6118"/>
      <w:jc w:val="left"/>
      <w:outlineLvl w:val="3"/>
    </w:pPr>
    <w:rPr>
      <w:rFonts w:eastAsia="MS Mincho"/>
      <w:b/>
      <w:bCs/>
      <w:iCs/>
      <w:lang w:eastAsia="ja-JP"/>
    </w:rPr>
  </w:style>
  <w:style w:type="paragraph" w:customStyle="1" w:styleId="a5">
    <w:name w:val="a5"/>
    <w:basedOn w:val="Normal"/>
    <w:next w:val="Normal"/>
    <w:uiPriority w:val="14"/>
    <w:rsid w:val="00E16BCB"/>
    <w:pPr>
      <w:keepNext/>
      <w:tabs>
        <w:tab w:val="num" w:pos="1080"/>
        <w:tab w:val="left" w:pos="1247"/>
        <w:tab w:val="left" w:pos="1360"/>
      </w:tabs>
      <w:spacing w:before="60"/>
      <w:jc w:val="left"/>
      <w:outlineLvl w:val="4"/>
    </w:pPr>
    <w:rPr>
      <w:rFonts w:eastAsia="MS Mincho"/>
      <w:b/>
      <w:bCs/>
      <w:iCs/>
      <w:lang w:eastAsia="ja-JP"/>
    </w:rPr>
  </w:style>
  <w:style w:type="paragraph" w:customStyle="1" w:styleId="a6">
    <w:name w:val="a6"/>
    <w:basedOn w:val="Normal"/>
    <w:next w:val="Normal"/>
    <w:uiPriority w:val="15"/>
    <w:rsid w:val="00E16BCB"/>
    <w:pPr>
      <w:keepNext/>
      <w:tabs>
        <w:tab w:val="left" w:pos="1247"/>
        <w:tab w:val="left" w:pos="1360"/>
        <w:tab w:val="num" w:pos="1440"/>
      </w:tabs>
      <w:spacing w:before="60"/>
      <w:jc w:val="left"/>
      <w:outlineLvl w:val="5"/>
    </w:pPr>
    <w:rPr>
      <w:rFonts w:eastAsia="MS Mincho"/>
      <w:b/>
      <w:bCs/>
      <w:lang w:eastAsia="ja-JP"/>
    </w:rPr>
  </w:style>
  <w:style w:type="paragraph" w:customStyle="1" w:styleId="ANNEX">
    <w:name w:val="ANNEX"/>
    <w:basedOn w:val="Normal"/>
    <w:next w:val="Normal"/>
    <w:uiPriority w:val="10"/>
    <w:rsid w:val="00F77E4F"/>
    <w:pPr>
      <w:keepNext/>
      <w:pageBreakBefore/>
      <w:spacing w:after="480" w:line="310" w:lineRule="exact"/>
      <w:ind w:left="432" w:hanging="432"/>
      <w:jc w:val="center"/>
      <w:outlineLvl w:val="0"/>
    </w:pPr>
    <w:rPr>
      <w:rFonts w:eastAsia="MS Mincho"/>
      <w:b/>
      <w:sz w:val="28"/>
      <w:lang w:eastAsia="ja-JP"/>
    </w:rPr>
  </w:style>
  <w:style w:type="paragraph" w:customStyle="1" w:styleId="BiblioTitle">
    <w:name w:val="Biblio Title"/>
    <w:basedOn w:val="Normal"/>
    <w:semiHidden/>
    <w:rsid w:val="00264095"/>
    <w:pPr>
      <w:spacing w:after="310" w:line="310" w:lineRule="atLeast"/>
      <w:jc w:val="center"/>
      <w:outlineLvl w:val="0"/>
    </w:pPr>
    <w:rPr>
      <w:b/>
      <w:sz w:val="28"/>
    </w:rPr>
  </w:style>
  <w:style w:type="paragraph" w:customStyle="1" w:styleId="Definition">
    <w:name w:val="Definition"/>
    <w:basedOn w:val="Normal"/>
    <w:uiPriority w:val="9"/>
    <w:rsid w:val="00F77E4F"/>
  </w:style>
  <w:style w:type="paragraph" w:customStyle="1" w:styleId="ForewordTitle">
    <w:name w:val="Foreword Title"/>
    <w:basedOn w:val="Normal"/>
    <w:semiHidden/>
    <w:rsid w:val="00264095"/>
    <w:pPr>
      <w:keepNext/>
      <w:pageBreakBefore/>
      <w:suppressAutoHyphens/>
      <w:spacing w:after="310" w:line="310" w:lineRule="atLeast"/>
      <w:outlineLvl w:val="0"/>
    </w:pPr>
    <w:rPr>
      <w:b/>
      <w:sz w:val="28"/>
    </w:rPr>
  </w:style>
  <w:style w:type="paragraph" w:customStyle="1" w:styleId="IntroTitle">
    <w:name w:val="Intro Title"/>
    <w:basedOn w:val="ForewordTitle"/>
    <w:semiHidden/>
    <w:rsid w:val="00264095"/>
    <w:pPr>
      <w:pageBreakBefore w:val="0"/>
    </w:pPr>
  </w:style>
  <w:style w:type="paragraph" w:customStyle="1" w:styleId="Terms">
    <w:name w:val="Term(s)"/>
    <w:basedOn w:val="Normal"/>
    <w:next w:val="Definition"/>
    <w:uiPriority w:val="8"/>
    <w:rsid w:val="00F77E4F"/>
    <w:pPr>
      <w:keepNext/>
      <w:suppressAutoHyphens/>
      <w:spacing w:after="0"/>
      <w:jc w:val="left"/>
    </w:pPr>
    <w:rPr>
      <w:b/>
    </w:rPr>
  </w:style>
  <w:style w:type="paragraph" w:customStyle="1" w:styleId="TermNum">
    <w:name w:val="TermNum"/>
    <w:basedOn w:val="Normal"/>
    <w:next w:val="Terms"/>
    <w:uiPriority w:val="7"/>
    <w:rsid w:val="00F77E4F"/>
    <w:pPr>
      <w:keepNext/>
      <w:spacing w:after="0"/>
      <w:jc w:val="left"/>
    </w:pPr>
    <w:rPr>
      <w:b/>
    </w:rPr>
  </w:style>
  <w:style w:type="paragraph" w:styleId="TOC1">
    <w:name w:val="toc 1"/>
    <w:basedOn w:val="Normal"/>
    <w:next w:val="Normal"/>
    <w:uiPriority w:val="39"/>
    <w:qFormat/>
    <w:rsid w:val="00633D26"/>
    <w:pPr>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 w:val="right" w:leader="dot" w:pos="9752"/>
      </w:tabs>
      <w:suppressAutoHyphens/>
      <w:spacing w:before="120" w:after="0"/>
      <w:ind w:left="720" w:right="500" w:hanging="720"/>
      <w:jc w:val="left"/>
    </w:pPr>
    <w:rPr>
      <w:b/>
    </w:rPr>
  </w:style>
  <w:style w:type="paragraph" w:styleId="TOC2">
    <w:name w:val="toc 2"/>
    <w:basedOn w:val="TOC1"/>
    <w:next w:val="Normal"/>
    <w:uiPriority w:val="39"/>
    <w:qFormat/>
    <w:rsid w:val="00264095"/>
    <w:pPr>
      <w:spacing w:before="0"/>
    </w:pPr>
  </w:style>
  <w:style w:type="paragraph" w:styleId="TOC3">
    <w:name w:val="toc 3"/>
    <w:basedOn w:val="TOC2"/>
    <w:next w:val="Normal"/>
    <w:uiPriority w:val="39"/>
    <w:qFormat/>
    <w:rsid w:val="00264095"/>
  </w:style>
  <w:style w:type="paragraph" w:customStyle="1" w:styleId="zzContents">
    <w:name w:val="zzContents"/>
    <w:basedOn w:val="Normal"/>
    <w:next w:val="TOC1"/>
    <w:semiHidden/>
    <w:rsid w:val="00264095"/>
    <w:pPr>
      <w:keepNext/>
      <w:pageBreakBefore/>
      <w:suppressAutoHyphens/>
      <w:spacing w:before="960" w:after="310" w:line="310" w:lineRule="exact"/>
      <w:jc w:val="left"/>
    </w:pPr>
    <w:rPr>
      <w:b/>
      <w:sz w:val="28"/>
    </w:rPr>
  </w:style>
  <w:style w:type="paragraph" w:customStyle="1" w:styleId="zzCopyright">
    <w:name w:val="zzCopyright"/>
    <w:basedOn w:val="Normal"/>
    <w:next w:val="Normal"/>
    <w:uiPriority w:val="99"/>
    <w:rsid w:val="00264095"/>
    <w:pPr>
      <w:pBdr>
        <w:top w:val="single" w:sz="4" w:space="1" w:color="0000FF"/>
        <w:left w:val="single" w:sz="4" w:space="4" w:color="0000FF"/>
        <w:bottom w:val="single" w:sz="4" w:space="1" w:color="0000FF"/>
        <w:right w:val="single" w:sz="4" w:space="4" w:color="0000FF"/>
      </w:pBdr>
      <w:tabs>
        <w:tab w:val="left" w:pos="514"/>
        <w:tab w:val="left" w:pos="9623"/>
      </w:tabs>
      <w:ind w:left="284" w:right="284"/>
    </w:pPr>
    <w:rPr>
      <w:color w:val="0000FF"/>
    </w:rPr>
  </w:style>
  <w:style w:type="paragraph" w:customStyle="1" w:styleId="zzSTDTitle">
    <w:name w:val="zzSTDTitle"/>
    <w:basedOn w:val="Normal"/>
    <w:next w:val="Normal"/>
    <w:uiPriority w:val="99"/>
    <w:rsid w:val="00264095"/>
    <w:pPr>
      <w:suppressAutoHyphens/>
      <w:spacing w:before="400" w:after="760" w:line="350" w:lineRule="exact"/>
      <w:jc w:val="left"/>
    </w:pPr>
    <w:rPr>
      <w:b/>
      <w:color w:val="0000FF"/>
      <w:sz w:val="32"/>
    </w:rPr>
  </w:style>
  <w:style w:type="table" w:styleId="TableGrid">
    <w:name w:val="Table Grid"/>
    <w:basedOn w:val="TableNormal"/>
    <w:uiPriority w:val="39"/>
    <w:rsid w:val="00094FE7"/>
    <w:pPr>
      <w:tabs>
        <w:tab w:val="left" w:pos="403"/>
        <w:tab w:val="left" w:pos="806"/>
        <w:tab w:val="left" w:pos="1210"/>
        <w:tab w:val="left" w:pos="1613"/>
        <w:tab w:val="left" w:pos="2016"/>
        <w:tab w:val="left" w:pos="2419"/>
        <w:tab w:val="left" w:pos="2822"/>
        <w:tab w:val="left" w:pos="3226"/>
        <w:tab w:val="left" w:pos="3629"/>
        <w:tab w:val="right" w:pos="9677"/>
      </w:tabs>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er">
    <w:name w:val="footer"/>
    <w:basedOn w:val="Normal"/>
    <w:link w:val="FooterChar"/>
    <w:uiPriority w:val="99"/>
    <w:rsid w:val="00526284"/>
    <w:pPr>
      <w:tabs>
        <w:tab w:val="clear" w:pos="403"/>
        <w:tab w:val="right" w:pos="9752"/>
      </w:tabs>
      <w:spacing w:before="360" w:after="120" w:line="220" w:lineRule="exact"/>
    </w:pPr>
  </w:style>
  <w:style w:type="character" w:customStyle="1" w:styleId="FooterChar">
    <w:name w:val="Footer Char"/>
    <w:basedOn w:val="DefaultParagraphFont"/>
    <w:link w:val="Footer"/>
    <w:uiPriority w:val="99"/>
    <w:locked/>
    <w:rsid w:val="00526284"/>
    <w:rPr>
      <w:rFonts w:cs="Times New Roman"/>
      <w:sz w:val="22"/>
      <w:lang w:val="en-GB" w:eastAsia="x-none"/>
    </w:rPr>
  </w:style>
  <w:style w:type="paragraph" w:styleId="Header">
    <w:name w:val="header"/>
    <w:aliases w:val="h,Header/Footer"/>
    <w:basedOn w:val="Normal"/>
    <w:link w:val="HeaderChar"/>
    <w:uiPriority w:val="99"/>
    <w:rsid w:val="00526284"/>
    <w:pPr>
      <w:spacing w:after="600" w:line="220" w:lineRule="exact"/>
    </w:pPr>
    <w:rPr>
      <w:b/>
    </w:rPr>
  </w:style>
  <w:style w:type="character" w:customStyle="1" w:styleId="HeaderChar">
    <w:name w:val="Header Char"/>
    <w:aliases w:val="h Char,Header/Footer Char"/>
    <w:basedOn w:val="DefaultParagraphFont"/>
    <w:link w:val="Header"/>
    <w:uiPriority w:val="99"/>
    <w:locked/>
    <w:rsid w:val="00526284"/>
    <w:rPr>
      <w:rFonts w:cs="Times New Roman"/>
      <w:b/>
      <w:sz w:val="22"/>
      <w:lang w:val="en-GB" w:eastAsia="x-none"/>
    </w:rPr>
  </w:style>
  <w:style w:type="character" w:styleId="Hyperlink">
    <w:name w:val="Hyperlink"/>
    <w:basedOn w:val="DefaultParagraphFont"/>
    <w:uiPriority w:val="99"/>
    <w:rsid w:val="001A33D0"/>
    <w:rPr>
      <w:rFonts w:cs="Times New Roman"/>
      <w:color w:val="0000FF"/>
      <w:u w:val="single"/>
      <w:lang w:val="fr-FR" w:eastAsia="x-none"/>
    </w:rPr>
  </w:style>
  <w:style w:type="paragraph" w:customStyle="1" w:styleId="Code">
    <w:name w:val="Code"/>
    <w:basedOn w:val="Normal"/>
    <w:uiPriority w:val="16"/>
    <w:qFormat/>
    <w:rsid w:val="00526284"/>
    <w:pPr>
      <w:spacing w:after="0" w:line="200" w:lineRule="atLeast"/>
      <w:jc w:val="left"/>
    </w:pPr>
    <w:rPr>
      <w:rFonts w:ascii="Courier New" w:hAnsi="Courier New"/>
      <w:sz w:val="18"/>
    </w:rPr>
  </w:style>
  <w:style w:type="paragraph" w:styleId="BodyText">
    <w:name w:val="Body Text"/>
    <w:basedOn w:val="Normal"/>
    <w:link w:val="BodyTextChar"/>
    <w:uiPriority w:val="99"/>
    <w:rsid w:val="00314414"/>
    <w:pPr>
      <w:tabs>
        <w:tab w:val="clear" w:pos="403"/>
      </w:tabs>
      <w:spacing w:after="120"/>
    </w:pPr>
  </w:style>
  <w:style w:type="character" w:customStyle="1" w:styleId="BodyTextChar">
    <w:name w:val="Body Text Char"/>
    <w:basedOn w:val="DefaultParagraphFont"/>
    <w:link w:val="BodyText"/>
    <w:uiPriority w:val="99"/>
    <w:locked/>
    <w:rsid w:val="0054733A"/>
    <w:rPr>
      <w:rFonts w:eastAsia="Times New Roman" w:cs="Times New Roman"/>
      <w:sz w:val="22"/>
      <w:lang w:val="en-GB" w:eastAsia="x-none"/>
    </w:rPr>
  </w:style>
  <w:style w:type="paragraph" w:customStyle="1" w:styleId="Formula">
    <w:name w:val="Formula"/>
    <w:basedOn w:val="Normal"/>
    <w:semiHidden/>
    <w:rsid w:val="00314414"/>
    <w:pPr>
      <w:tabs>
        <w:tab w:val="clear" w:pos="403"/>
        <w:tab w:val="right" w:pos="9749"/>
      </w:tabs>
      <w:spacing w:after="220"/>
      <w:ind w:left="403"/>
      <w:jc w:val="left"/>
    </w:pPr>
  </w:style>
  <w:style w:type="paragraph" w:customStyle="1" w:styleId="Tablebody">
    <w:name w:val="Table body"/>
    <w:basedOn w:val="Normal"/>
    <w:semiHidden/>
    <w:rsid w:val="00314414"/>
    <w:pPr>
      <w:tabs>
        <w:tab w:val="clear" w:pos="403"/>
      </w:tabs>
      <w:spacing w:before="60" w:after="60" w:line="210" w:lineRule="atLeast"/>
      <w:jc w:val="left"/>
    </w:pPr>
    <w:rPr>
      <w:sz w:val="20"/>
    </w:rPr>
  </w:style>
  <w:style w:type="character" w:styleId="PlaceholderText">
    <w:name w:val="Placeholder Text"/>
    <w:basedOn w:val="DefaultParagraphFont"/>
    <w:uiPriority w:val="99"/>
    <w:semiHidden/>
    <w:rsid w:val="00610D56"/>
    <w:rPr>
      <w:rFonts w:cs="Times New Roman"/>
      <w:color w:val="808080"/>
    </w:rPr>
  </w:style>
  <w:style w:type="paragraph" w:customStyle="1" w:styleId="ForewordText">
    <w:name w:val="Foreword Text"/>
    <w:basedOn w:val="Normal"/>
    <w:link w:val="ForewordTextChar"/>
    <w:rsid w:val="00BC394B"/>
    <w:pPr>
      <w:tabs>
        <w:tab w:val="clear" w:pos="403"/>
      </w:tabs>
    </w:pPr>
    <w:rPr>
      <w:lang w:val="fr-FR"/>
    </w:rPr>
  </w:style>
  <w:style w:type="character" w:customStyle="1" w:styleId="ForewordTextChar">
    <w:name w:val="Foreword Text Char"/>
    <w:link w:val="ForewordText"/>
    <w:locked/>
    <w:rsid w:val="00BC394B"/>
    <w:rPr>
      <w:sz w:val="22"/>
      <w:lang w:val="fr-FR" w:eastAsia="x-none"/>
    </w:rPr>
  </w:style>
  <w:style w:type="paragraph" w:styleId="BalloonText">
    <w:name w:val="Balloon Text"/>
    <w:basedOn w:val="Normal"/>
    <w:link w:val="BalloonTextChar"/>
    <w:uiPriority w:val="99"/>
    <w:semiHidden/>
    <w:unhideWhenUsed/>
    <w:rsid w:val="000C033F"/>
    <w:pPr>
      <w:spacing w:after="0" w:line="240" w:lineRule="auto"/>
    </w:pPr>
    <w:rPr>
      <w:rFonts w:ascii="Segoe UI Symbol" w:hAnsi="Segoe UI Symbol" w:cs="Segoe UI Symbol"/>
      <w:sz w:val="18"/>
      <w:szCs w:val="18"/>
    </w:rPr>
  </w:style>
  <w:style w:type="character" w:customStyle="1" w:styleId="BalloonTextChar">
    <w:name w:val="Balloon Text Char"/>
    <w:basedOn w:val="DefaultParagraphFont"/>
    <w:link w:val="BalloonText"/>
    <w:uiPriority w:val="99"/>
    <w:semiHidden/>
    <w:locked/>
    <w:rsid w:val="000C033F"/>
    <w:rPr>
      <w:rFonts w:ascii="Segoe UI Symbol" w:hAnsi="Segoe UI Symbol" w:cs="Segoe UI Symbol"/>
      <w:sz w:val="18"/>
      <w:szCs w:val="18"/>
      <w:lang w:val="en-GB" w:eastAsia="x-none"/>
    </w:rPr>
  </w:style>
  <w:style w:type="character" w:styleId="FollowedHyperlink">
    <w:name w:val="FollowedHyperlink"/>
    <w:basedOn w:val="DefaultParagraphFont"/>
    <w:uiPriority w:val="99"/>
    <w:semiHidden/>
    <w:unhideWhenUsed/>
    <w:rsid w:val="00F81ACE"/>
    <w:rPr>
      <w:rFonts w:cs="Times New Roman"/>
      <w:color w:val="954F72" w:themeColor="followedHyperlink"/>
      <w:u w:val="single"/>
    </w:rPr>
  </w:style>
  <w:style w:type="paragraph" w:styleId="TOCHeading">
    <w:name w:val="TOC Heading"/>
    <w:basedOn w:val="Heading1"/>
    <w:next w:val="Normal"/>
    <w:uiPriority w:val="39"/>
    <w:semiHidden/>
    <w:unhideWhenUsed/>
    <w:qFormat/>
    <w:rsid w:val="009374BB"/>
    <w:pPr>
      <w:numPr>
        <w:numId w:val="0"/>
      </w:numPr>
      <w:tabs>
        <w:tab w:val="left" w:pos="403"/>
      </w:tabs>
      <w:suppressAutoHyphens w:val="0"/>
      <w:spacing w:before="0" w:line="240" w:lineRule="atLeast"/>
      <w:jc w:val="both"/>
      <w:outlineLvl w:val="9"/>
    </w:pPr>
    <w:rPr>
      <w:rFonts w:asciiTheme="majorHAnsi" w:eastAsiaTheme="majorEastAsia" w:hAnsiTheme="majorHAnsi"/>
      <w:b w:val="0"/>
      <w:sz w:val="24"/>
      <w:szCs w:val="24"/>
      <w:lang w:eastAsia="en-US"/>
    </w:rPr>
  </w:style>
  <w:style w:type="paragraph" w:styleId="Caption">
    <w:name w:val="caption"/>
    <w:aliases w:val="Caption Figure,fig and tbl,fighead2,fighead21,fighead22,fighead23,Table Caption1,fighead211,fighead24,Table Caption2,fighead25,fighead212,fighead26,Table Caption3,fighead27,fighead213,Table Caption4,fighead28,fighead214,fighead29"/>
    <w:basedOn w:val="Normal"/>
    <w:next w:val="Normal"/>
    <w:link w:val="CaptionChar"/>
    <w:uiPriority w:val="35"/>
    <w:qFormat/>
    <w:rsid w:val="00120E20"/>
    <w:pPr>
      <w:keepNext/>
      <w:tabs>
        <w:tab w:val="clear" w:pos="403"/>
      </w:tabs>
      <w:overflowPunct w:val="0"/>
      <w:autoSpaceDE w:val="0"/>
      <w:autoSpaceDN w:val="0"/>
      <w:adjustRightInd w:val="0"/>
      <w:spacing w:before="240" w:after="113" w:line="240" w:lineRule="auto"/>
      <w:jc w:val="center"/>
      <w:textAlignment w:val="baseline"/>
    </w:pPr>
    <w:rPr>
      <w:rFonts w:ascii="Times New Roman" w:eastAsia="Malgun Gothic" w:hAnsi="Times New Roman"/>
      <w:b/>
      <w:bCs/>
      <w:sz w:val="20"/>
      <w:szCs w:val="20"/>
    </w:rPr>
  </w:style>
  <w:style w:type="character" w:customStyle="1" w:styleId="CaptionChar">
    <w:name w:val="Caption Char"/>
    <w:aliases w:val="Caption Figure Char,fig and tbl Char,fighead2 Char,fighead21 Char,fighead22 Char,fighead23 Char,Table Caption1 Char,fighead211 Char,fighead24 Char,Table Caption2 Char,fighead25 Char,fighead212 Char,fighead26 Char,Table Caption3 Char"/>
    <w:link w:val="Caption"/>
    <w:uiPriority w:val="35"/>
    <w:locked/>
    <w:rsid w:val="00120E20"/>
    <w:rPr>
      <w:rFonts w:ascii="Times New Roman" w:eastAsia="Malgun Gothic" w:hAnsi="Times New Roman"/>
      <w:b/>
      <w:lang w:val="en-CA" w:eastAsia="x-none"/>
    </w:rPr>
  </w:style>
  <w:style w:type="paragraph" w:customStyle="1" w:styleId="Note1">
    <w:name w:val="Note 1"/>
    <w:basedOn w:val="Normal"/>
    <w:link w:val="Note1Char"/>
    <w:qFormat/>
    <w:rsid w:val="00231DC3"/>
    <w:pPr>
      <w:tabs>
        <w:tab w:val="clear" w:pos="403"/>
      </w:tabs>
      <w:overflowPunct w:val="0"/>
      <w:autoSpaceDE w:val="0"/>
      <w:autoSpaceDN w:val="0"/>
      <w:adjustRightInd w:val="0"/>
      <w:spacing w:before="60" w:after="120" w:line="240" w:lineRule="auto"/>
      <w:ind w:left="288"/>
      <w:textAlignment w:val="baseline"/>
    </w:pPr>
    <w:rPr>
      <w:rFonts w:ascii="Times New Roman" w:eastAsia="Malgun Gothic" w:hAnsi="Times New Roman"/>
      <w:sz w:val="18"/>
      <w:szCs w:val="18"/>
    </w:rPr>
  </w:style>
  <w:style w:type="character" w:customStyle="1" w:styleId="Note1Char">
    <w:name w:val="Note 1 Char"/>
    <w:link w:val="Note1"/>
    <w:locked/>
    <w:rsid w:val="00231DC3"/>
    <w:rPr>
      <w:rFonts w:ascii="Times New Roman" w:eastAsia="Malgun Gothic" w:hAnsi="Times New Roman"/>
      <w:sz w:val="18"/>
      <w:lang w:val="en-GB" w:eastAsia="x-none"/>
    </w:rPr>
  </w:style>
  <w:style w:type="paragraph" w:customStyle="1" w:styleId="enumlev1">
    <w:name w:val="enumlev1"/>
    <w:basedOn w:val="Normal"/>
    <w:rsid w:val="00120E20"/>
    <w:p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86" w:after="0" w:line="240" w:lineRule="auto"/>
      <w:ind w:left="1191" w:hanging="397"/>
      <w:textAlignment w:val="baseline"/>
    </w:pPr>
    <w:rPr>
      <w:rFonts w:ascii="Times New Roman" w:eastAsia="Malgun Gothic" w:hAnsi="Times New Roman"/>
      <w:sz w:val="20"/>
      <w:szCs w:val="20"/>
    </w:rPr>
  </w:style>
  <w:style w:type="paragraph" w:customStyle="1" w:styleId="Equation">
    <w:name w:val="Equation"/>
    <w:basedOn w:val="Normal"/>
    <w:qFormat/>
    <w:rsid w:val="0079639E"/>
    <w:pPr>
      <w:tabs>
        <w:tab w:val="clear" w:pos="403"/>
      </w:tabs>
      <w:overflowPunct w:val="0"/>
      <w:autoSpaceDE w:val="0"/>
      <w:autoSpaceDN w:val="0"/>
      <w:adjustRightInd w:val="0"/>
      <w:spacing w:before="240" w:line="240" w:lineRule="auto"/>
      <w:jc w:val="left"/>
      <w:textAlignment w:val="baseline"/>
    </w:pPr>
    <w:rPr>
      <w:rFonts w:eastAsia="Malgun Gothic"/>
    </w:rPr>
  </w:style>
  <w:style w:type="paragraph" w:customStyle="1" w:styleId="tableheading">
    <w:name w:val="table heading"/>
    <w:basedOn w:val="Normal"/>
    <w:rsid w:val="00120E20"/>
    <w:pPr>
      <w:keepNext/>
      <w:keepLines/>
      <w:tabs>
        <w:tab w:val="clear" w:pos="403"/>
      </w:tabs>
      <w:overflowPunct w:val="0"/>
      <w:autoSpaceDE w:val="0"/>
      <w:autoSpaceDN w:val="0"/>
      <w:adjustRightInd w:val="0"/>
      <w:spacing w:after="60" w:line="240" w:lineRule="auto"/>
      <w:textAlignment w:val="baseline"/>
    </w:pPr>
    <w:rPr>
      <w:rFonts w:ascii="Times New Roman" w:eastAsia="Malgun Gothic" w:hAnsi="Times New Roman"/>
      <w:b/>
      <w:bCs/>
      <w:sz w:val="20"/>
      <w:szCs w:val="20"/>
    </w:rPr>
  </w:style>
  <w:style w:type="paragraph" w:customStyle="1" w:styleId="tablesyntax">
    <w:name w:val="table syntax"/>
    <w:basedOn w:val="Normal"/>
    <w:link w:val="tablesyntaxChar"/>
    <w:qFormat/>
    <w:rsid w:val="00C2625E"/>
    <w:pPr>
      <w:keepNext/>
      <w:keepLines/>
      <w:tabs>
        <w:tab w:val="clear" w:pos="4032"/>
        <w:tab w:val="clear" w:pos="4435"/>
      </w:tabs>
      <w:overflowPunct w:val="0"/>
      <w:autoSpaceDE w:val="0"/>
      <w:autoSpaceDN w:val="0"/>
      <w:adjustRightInd w:val="0"/>
      <w:spacing w:after="0" w:line="240" w:lineRule="auto"/>
      <w:jc w:val="left"/>
      <w:textAlignment w:val="baseline"/>
    </w:pPr>
    <w:rPr>
      <w:rFonts w:ascii="Times" w:eastAsia="Malgun Gothic" w:hAnsi="Times"/>
      <w:sz w:val="20"/>
      <w:szCs w:val="20"/>
    </w:rPr>
  </w:style>
  <w:style w:type="character" w:customStyle="1" w:styleId="tablesyntaxChar">
    <w:name w:val="table syntax Char"/>
    <w:link w:val="tablesyntax"/>
    <w:qFormat/>
    <w:locked/>
    <w:rsid w:val="00C2625E"/>
    <w:rPr>
      <w:rFonts w:ascii="Times" w:eastAsia="Malgun Gothic" w:hAnsi="Times"/>
      <w:lang w:val="en-CA"/>
    </w:rPr>
  </w:style>
  <w:style w:type="paragraph" w:customStyle="1" w:styleId="tablecell">
    <w:name w:val="table cell"/>
    <w:basedOn w:val="Normal"/>
    <w:rsid w:val="00120E20"/>
    <w:pPr>
      <w:keepNext/>
      <w:keepLines/>
      <w:tabs>
        <w:tab w:val="clear" w:pos="403"/>
      </w:tabs>
      <w:overflowPunct w:val="0"/>
      <w:autoSpaceDE w:val="0"/>
      <w:autoSpaceDN w:val="0"/>
      <w:adjustRightInd w:val="0"/>
      <w:spacing w:after="60" w:line="240" w:lineRule="auto"/>
      <w:textAlignment w:val="baseline"/>
    </w:pPr>
    <w:rPr>
      <w:rFonts w:ascii="Times New Roman" w:eastAsia="Malgun Gothic" w:hAnsi="Times New Roman"/>
      <w:sz w:val="20"/>
      <w:szCs w:val="20"/>
    </w:rPr>
  </w:style>
  <w:style w:type="paragraph" w:customStyle="1" w:styleId="Annex2">
    <w:name w:val="Annex 2"/>
    <w:basedOn w:val="Normal"/>
    <w:next w:val="Normal"/>
    <w:link w:val="Annex2Char"/>
    <w:uiPriority w:val="99"/>
    <w:qFormat/>
    <w:rsid w:val="00120E20"/>
    <w:pPr>
      <w:keepNext/>
      <w:keepLines/>
      <w:tabs>
        <w:tab w:val="clear" w:pos="403"/>
        <w:tab w:val="clear" w:pos="806"/>
        <w:tab w:val="clear" w:pos="1210"/>
        <w:tab w:val="clear" w:pos="1613"/>
        <w:tab w:val="left" w:pos="794"/>
        <w:tab w:val="num" w:pos="1020"/>
        <w:tab w:val="left" w:pos="1191"/>
        <w:tab w:val="num" w:pos="1440"/>
        <w:tab w:val="left" w:pos="1588"/>
        <w:tab w:val="left" w:pos="1985"/>
      </w:tabs>
      <w:overflowPunct w:val="0"/>
      <w:autoSpaceDE w:val="0"/>
      <w:autoSpaceDN w:val="0"/>
      <w:adjustRightInd w:val="0"/>
      <w:spacing w:before="313" w:after="0" w:line="240" w:lineRule="auto"/>
      <w:ind w:left="1440" w:hanging="360"/>
      <w:textAlignment w:val="baseline"/>
      <w:outlineLvl w:val="1"/>
    </w:pPr>
    <w:rPr>
      <w:rFonts w:ascii="Times New Roman" w:eastAsia="Malgun Gothic" w:hAnsi="Times New Roman"/>
      <w:b/>
      <w:bCs/>
    </w:rPr>
  </w:style>
  <w:style w:type="paragraph" w:customStyle="1" w:styleId="AVCNumberinglevel2">
    <w:name w:val="AVC Numbering level 2"/>
    <w:basedOn w:val="Normal"/>
    <w:uiPriority w:val="99"/>
    <w:rsid w:val="00120E20"/>
    <w:pPr>
      <w:numPr>
        <w:ilvl w:val="3"/>
        <w:numId w:val="21"/>
      </w:numPr>
      <w:tabs>
        <w:tab w:val="clear" w:pos="403"/>
        <w:tab w:val="clear" w:pos="806"/>
        <w:tab w:val="clear" w:pos="1210"/>
        <w:tab w:val="clear" w:pos="1613"/>
        <w:tab w:val="left" w:pos="397"/>
        <w:tab w:val="left" w:pos="794"/>
        <w:tab w:val="left" w:pos="1191"/>
        <w:tab w:val="left" w:pos="1588"/>
        <w:tab w:val="left" w:pos="1985"/>
      </w:tabs>
      <w:overflowPunct w:val="0"/>
      <w:autoSpaceDE w:val="0"/>
      <w:autoSpaceDN w:val="0"/>
      <w:adjustRightInd w:val="0"/>
      <w:spacing w:before="136" w:after="0" w:line="240" w:lineRule="auto"/>
      <w:ind w:left="720" w:hanging="720"/>
    </w:pPr>
    <w:rPr>
      <w:rFonts w:ascii="Times New Roman" w:eastAsia="Malgun Gothic" w:hAnsi="Times New Roman"/>
      <w:sz w:val="20"/>
      <w:szCs w:val="20"/>
    </w:rPr>
  </w:style>
  <w:style w:type="paragraph" w:customStyle="1" w:styleId="AVCIndentlevel3">
    <w:name w:val="AVC Indent level 3"/>
    <w:basedOn w:val="Normal"/>
    <w:uiPriority w:val="99"/>
    <w:rsid w:val="00120E20"/>
    <w:pPr>
      <w:numPr>
        <w:ilvl w:val="4"/>
        <w:numId w:val="21"/>
      </w:numPr>
      <w:tabs>
        <w:tab w:val="clear" w:pos="403"/>
        <w:tab w:val="clear" w:pos="806"/>
        <w:tab w:val="clear" w:pos="1210"/>
        <w:tab w:val="clear" w:pos="1613"/>
        <w:tab w:val="left" w:pos="397"/>
        <w:tab w:val="left" w:pos="794"/>
        <w:tab w:val="left" w:pos="1191"/>
        <w:tab w:val="left" w:pos="1588"/>
        <w:tab w:val="left" w:pos="1985"/>
      </w:tabs>
      <w:overflowPunct w:val="0"/>
      <w:autoSpaceDE w:val="0"/>
      <w:autoSpaceDN w:val="0"/>
      <w:adjustRightInd w:val="0"/>
      <w:spacing w:before="136" w:after="0" w:line="240" w:lineRule="auto"/>
      <w:ind w:left="1191"/>
    </w:pPr>
    <w:rPr>
      <w:rFonts w:ascii="Times New Roman" w:eastAsia="Malgun Gothic" w:hAnsi="Times New Roman"/>
      <w:sz w:val="20"/>
      <w:szCs w:val="20"/>
    </w:rPr>
  </w:style>
  <w:style w:type="character" w:customStyle="1" w:styleId="Annex2Char">
    <w:name w:val="Annex 2 Char"/>
    <w:link w:val="Annex2"/>
    <w:uiPriority w:val="99"/>
    <w:locked/>
    <w:rsid w:val="00120E20"/>
    <w:rPr>
      <w:rFonts w:ascii="Times New Roman" w:eastAsia="Malgun Gothic" w:hAnsi="Times New Roman"/>
      <w:b/>
      <w:sz w:val="22"/>
      <w:lang w:val="en-GB" w:eastAsia="x-none"/>
    </w:rPr>
  </w:style>
  <w:style w:type="paragraph" w:styleId="Revision">
    <w:name w:val="Revision"/>
    <w:hidden/>
    <w:uiPriority w:val="99"/>
    <w:semiHidden/>
    <w:rsid w:val="00897057"/>
    <w:rPr>
      <w:sz w:val="22"/>
      <w:szCs w:val="22"/>
      <w:lang w:val="en-GB"/>
    </w:rPr>
  </w:style>
  <w:style w:type="character" w:styleId="CommentReference">
    <w:name w:val="annotation reference"/>
    <w:basedOn w:val="DefaultParagraphFont"/>
    <w:uiPriority w:val="99"/>
    <w:rsid w:val="00EE152A"/>
    <w:rPr>
      <w:rFonts w:cs="Times New Roman"/>
      <w:sz w:val="16"/>
    </w:rPr>
  </w:style>
  <w:style w:type="paragraph" w:styleId="CommentText">
    <w:name w:val="annotation text"/>
    <w:basedOn w:val="Normal"/>
    <w:link w:val="CommentTextChar"/>
    <w:uiPriority w:val="99"/>
    <w:rsid w:val="00EE152A"/>
    <w:p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136" w:after="0" w:line="240" w:lineRule="auto"/>
      <w:textAlignment w:val="baseline"/>
    </w:pPr>
    <w:rPr>
      <w:rFonts w:ascii="Times New Roman" w:eastAsia="Malgun Gothic" w:hAnsi="Times New Roman"/>
      <w:sz w:val="20"/>
      <w:szCs w:val="20"/>
    </w:rPr>
  </w:style>
  <w:style w:type="character" w:customStyle="1" w:styleId="CommentTextChar">
    <w:name w:val="Comment Text Char"/>
    <w:basedOn w:val="DefaultParagraphFont"/>
    <w:link w:val="CommentText"/>
    <w:uiPriority w:val="99"/>
    <w:locked/>
    <w:rsid w:val="00EE152A"/>
    <w:rPr>
      <w:rFonts w:ascii="Times New Roman" w:eastAsia="Malgun Gothic" w:hAnsi="Times New Roman" w:cs="Times New Roman"/>
      <w:lang w:val="en-GB" w:eastAsia="x-none"/>
    </w:rPr>
  </w:style>
  <w:style w:type="character" w:customStyle="1" w:styleId="fontstyle01">
    <w:name w:val="fontstyle01"/>
    <w:basedOn w:val="DefaultParagraphFont"/>
    <w:rsid w:val="00EE152A"/>
    <w:rPr>
      <w:rFonts w:ascii="Times New Roman" w:hAnsi="Times New Roman" w:cs="Times New Roman"/>
      <w:color w:val="000000"/>
      <w:sz w:val="20"/>
      <w:szCs w:val="20"/>
    </w:rPr>
  </w:style>
  <w:style w:type="paragraph" w:styleId="CommentSubject">
    <w:name w:val="annotation subject"/>
    <w:basedOn w:val="CommentText"/>
    <w:next w:val="CommentText"/>
    <w:link w:val="CommentSubjectChar"/>
    <w:uiPriority w:val="99"/>
    <w:semiHidden/>
    <w:unhideWhenUsed/>
    <w:rsid w:val="006058CB"/>
    <w:pPr>
      <w:tabs>
        <w:tab w:val="clear" w:pos="794"/>
        <w:tab w:val="clear" w:pos="1191"/>
        <w:tab w:val="clear" w:pos="1588"/>
        <w:tab w:val="clear" w:pos="1985"/>
        <w:tab w:val="left" w:pos="403"/>
      </w:tabs>
      <w:overflowPunct/>
      <w:autoSpaceDE/>
      <w:autoSpaceDN/>
      <w:adjustRightInd/>
      <w:spacing w:before="0" w:after="240" w:line="240" w:lineRule="atLeast"/>
      <w:jc w:val="left"/>
      <w:textAlignment w:val="auto"/>
    </w:pPr>
    <w:rPr>
      <w:rFonts w:ascii="Cambria" w:eastAsiaTheme="minorEastAsia" w:hAnsi="Cambria"/>
      <w:b/>
      <w:bCs/>
      <w:sz w:val="22"/>
      <w:szCs w:val="22"/>
    </w:rPr>
  </w:style>
  <w:style w:type="character" w:customStyle="1" w:styleId="CommentSubjectChar">
    <w:name w:val="Comment Subject Char"/>
    <w:basedOn w:val="CommentTextChar"/>
    <w:link w:val="CommentSubject"/>
    <w:uiPriority w:val="99"/>
    <w:semiHidden/>
    <w:locked/>
    <w:rsid w:val="006058CB"/>
    <w:rPr>
      <w:rFonts w:ascii="Times New Roman" w:eastAsia="Malgun Gothic" w:hAnsi="Times New Roman" w:cs="Times New Roman"/>
      <w:b/>
      <w:bCs/>
      <w:sz w:val="22"/>
      <w:szCs w:val="22"/>
      <w:lang w:val="en-GB" w:eastAsia="x-none"/>
    </w:rPr>
  </w:style>
  <w:style w:type="paragraph" w:styleId="ListParagraph">
    <w:name w:val="List Paragraph"/>
    <w:basedOn w:val="Normal"/>
    <w:link w:val="ListParagraphChar"/>
    <w:uiPriority w:val="34"/>
    <w:qFormat/>
    <w:rsid w:val="00865445"/>
    <w:pPr>
      <w:ind w:leftChars="400" w:left="840"/>
    </w:pPr>
  </w:style>
  <w:style w:type="paragraph" w:customStyle="1" w:styleId="TableText">
    <w:name w:val="Table_Text"/>
    <w:basedOn w:val="Normal"/>
    <w:uiPriority w:val="99"/>
    <w:rsid w:val="00F214C3"/>
    <w:pPr>
      <w:keepLines/>
      <w:tabs>
        <w:tab w:val="clear" w:pos="403"/>
      </w:tabs>
      <w:overflowPunct w:val="0"/>
      <w:autoSpaceDE w:val="0"/>
      <w:autoSpaceDN w:val="0"/>
      <w:adjustRightInd w:val="0"/>
      <w:spacing w:before="100" w:after="100" w:line="190" w:lineRule="exact"/>
      <w:textAlignment w:val="baseline"/>
    </w:pPr>
    <w:rPr>
      <w:rFonts w:ascii="Times New Roman" w:eastAsia="Malgun Gothic" w:hAnsi="Times New Roman"/>
      <w:sz w:val="18"/>
      <w:szCs w:val="18"/>
    </w:rPr>
  </w:style>
  <w:style w:type="paragraph" w:customStyle="1" w:styleId="BlancCharChar">
    <w:name w:val="Blanc Char Char"/>
    <w:basedOn w:val="Normal"/>
    <w:next w:val="TableText"/>
    <w:uiPriority w:val="99"/>
    <w:rsid w:val="00F214C3"/>
    <w:pPr>
      <w:keepNext/>
      <w:tabs>
        <w:tab w:val="clear" w:pos="403"/>
      </w:tabs>
      <w:overflowPunct w:val="0"/>
      <w:autoSpaceDE w:val="0"/>
      <w:autoSpaceDN w:val="0"/>
      <w:adjustRightInd w:val="0"/>
      <w:spacing w:after="57" w:line="12" w:lineRule="exact"/>
      <w:jc w:val="center"/>
      <w:textAlignment w:val="baseline"/>
    </w:pPr>
    <w:rPr>
      <w:rFonts w:ascii="Times New Roman" w:eastAsia="Malgun Gothic" w:hAnsi="Times New Roman"/>
      <w:sz w:val="8"/>
      <w:szCs w:val="8"/>
    </w:rPr>
  </w:style>
  <w:style w:type="paragraph" w:styleId="TOC4">
    <w:name w:val="toc 4"/>
    <w:basedOn w:val="Normal"/>
    <w:next w:val="Normal"/>
    <w:autoRedefine/>
    <w:uiPriority w:val="39"/>
    <w:unhideWhenUsed/>
    <w:rsid w:val="00AD679F"/>
    <w:pPr>
      <w:widowControl w:val="0"/>
      <w:tabs>
        <w:tab w:val="clear" w:pos="403"/>
      </w:tabs>
      <w:spacing w:after="0" w:line="240" w:lineRule="auto"/>
      <w:ind w:leftChars="300" w:left="630"/>
    </w:pPr>
    <w:rPr>
      <w:rFonts w:asciiTheme="minorHAnsi" w:hAnsiTheme="minorHAnsi"/>
      <w:kern w:val="2"/>
      <w:sz w:val="21"/>
      <w:lang w:val="en-US" w:eastAsia="ja-JP"/>
    </w:rPr>
  </w:style>
  <w:style w:type="paragraph" w:styleId="TOC5">
    <w:name w:val="toc 5"/>
    <w:basedOn w:val="Normal"/>
    <w:next w:val="Normal"/>
    <w:autoRedefine/>
    <w:uiPriority w:val="39"/>
    <w:unhideWhenUsed/>
    <w:rsid w:val="00AD679F"/>
    <w:pPr>
      <w:widowControl w:val="0"/>
      <w:tabs>
        <w:tab w:val="clear" w:pos="403"/>
      </w:tabs>
      <w:spacing w:after="0" w:line="240" w:lineRule="auto"/>
      <w:ind w:leftChars="400" w:left="840"/>
    </w:pPr>
    <w:rPr>
      <w:rFonts w:asciiTheme="minorHAnsi" w:hAnsiTheme="minorHAnsi"/>
      <w:kern w:val="2"/>
      <w:sz w:val="21"/>
      <w:lang w:val="en-US" w:eastAsia="ja-JP"/>
    </w:rPr>
  </w:style>
  <w:style w:type="paragraph" w:styleId="TOC6">
    <w:name w:val="toc 6"/>
    <w:basedOn w:val="Normal"/>
    <w:next w:val="Normal"/>
    <w:autoRedefine/>
    <w:uiPriority w:val="39"/>
    <w:unhideWhenUsed/>
    <w:rsid w:val="00AD679F"/>
    <w:pPr>
      <w:widowControl w:val="0"/>
      <w:tabs>
        <w:tab w:val="clear" w:pos="403"/>
      </w:tabs>
      <w:spacing w:after="0" w:line="240" w:lineRule="auto"/>
      <w:ind w:leftChars="500" w:left="1050"/>
    </w:pPr>
    <w:rPr>
      <w:rFonts w:asciiTheme="minorHAnsi" w:hAnsiTheme="minorHAnsi"/>
      <w:kern w:val="2"/>
      <w:sz w:val="21"/>
      <w:lang w:val="en-US" w:eastAsia="ja-JP"/>
    </w:rPr>
  </w:style>
  <w:style w:type="paragraph" w:styleId="TOC7">
    <w:name w:val="toc 7"/>
    <w:basedOn w:val="Normal"/>
    <w:next w:val="Normal"/>
    <w:autoRedefine/>
    <w:uiPriority w:val="39"/>
    <w:unhideWhenUsed/>
    <w:rsid w:val="00AD679F"/>
    <w:pPr>
      <w:widowControl w:val="0"/>
      <w:tabs>
        <w:tab w:val="clear" w:pos="403"/>
      </w:tabs>
      <w:spacing w:after="0" w:line="240" w:lineRule="auto"/>
      <w:ind w:leftChars="600" w:left="1260"/>
    </w:pPr>
    <w:rPr>
      <w:rFonts w:asciiTheme="minorHAnsi" w:hAnsiTheme="minorHAnsi"/>
      <w:kern w:val="2"/>
      <w:sz w:val="21"/>
      <w:lang w:val="en-US" w:eastAsia="ja-JP"/>
    </w:rPr>
  </w:style>
  <w:style w:type="paragraph" w:styleId="TOC8">
    <w:name w:val="toc 8"/>
    <w:basedOn w:val="Normal"/>
    <w:next w:val="Normal"/>
    <w:autoRedefine/>
    <w:uiPriority w:val="39"/>
    <w:unhideWhenUsed/>
    <w:rsid w:val="00AD679F"/>
    <w:pPr>
      <w:widowControl w:val="0"/>
      <w:tabs>
        <w:tab w:val="clear" w:pos="403"/>
      </w:tabs>
      <w:spacing w:after="0" w:line="240" w:lineRule="auto"/>
      <w:ind w:leftChars="700" w:left="1470"/>
    </w:pPr>
    <w:rPr>
      <w:rFonts w:asciiTheme="minorHAnsi" w:hAnsiTheme="minorHAnsi"/>
      <w:kern w:val="2"/>
      <w:sz w:val="21"/>
      <w:lang w:val="en-US" w:eastAsia="ja-JP"/>
    </w:rPr>
  </w:style>
  <w:style w:type="paragraph" w:styleId="TOC9">
    <w:name w:val="toc 9"/>
    <w:basedOn w:val="Normal"/>
    <w:next w:val="Normal"/>
    <w:autoRedefine/>
    <w:uiPriority w:val="39"/>
    <w:unhideWhenUsed/>
    <w:rsid w:val="00AD679F"/>
    <w:pPr>
      <w:widowControl w:val="0"/>
      <w:tabs>
        <w:tab w:val="clear" w:pos="403"/>
      </w:tabs>
      <w:spacing w:after="0" w:line="240" w:lineRule="auto"/>
      <w:ind w:leftChars="800" w:left="1680"/>
    </w:pPr>
    <w:rPr>
      <w:rFonts w:asciiTheme="minorHAnsi" w:hAnsiTheme="minorHAnsi"/>
      <w:kern w:val="2"/>
      <w:sz w:val="21"/>
      <w:lang w:val="en-US" w:eastAsia="ja-JP"/>
    </w:rPr>
  </w:style>
  <w:style w:type="character" w:customStyle="1" w:styleId="UnresolvedMention1">
    <w:name w:val="Unresolved Mention1"/>
    <w:basedOn w:val="DefaultParagraphFont"/>
    <w:uiPriority w:val="99"/>
    <w:semiHidden/>
    <w:unhideWhenUsed/>
    <w:rsid w:val="008459C5"/>
    <w:rPr>
      <w:rFonts w:cs="Times New Roman"/>
      <w:color w:val="605E5C"/>
      <w:shd w:val="clear" w:color="auto" w:fill="E1DFDD"/>
    </w:rPr>
  </w:style>
  <w:style w:type="character" w:styleId="Emphasis">
    <w:name w:val="Emphasis"/>
    <w:basedOn w:val="DefaultParagraphFont"/>
    <w:uiPriority w:val="20"/>
    <w:qFormat/>
    <w:rsid w:val="00B04B8C"/>
    <w:rPr>
      <w:rFonts w:cs="Times New Roman"/>
      <w:i/>
      <w:iCs/>
    </w:rPr>
  </w:style>
  <w:style w:type="character" w:customStyle="1" w:styleId="10">
    <w:name w:val="未解決のメンション1"/>
    <w:basedOn w:val="DefaultParagraphFont"/>
    <w:uiPriority w:val="99"/>
    <w:semiHidden/>
    <w:unhideWhenUsed/>
    <w:rsid w:val="00203169"/>
    <w:rPr>
      <w:rFonts w:cs="Times New Roman"/>
      <w:color w:val="605E5C"/>
      <w:shd w:val="clear" w:color="auto" w:fill="E1DFDD"/>
    </w:rPr>
  </w:style>
  <w:style w:type="paragraph" w:customStyle="1" w:styleId="AppendixHeading2">
    <w:name w:val="Appendix Heading 2"/>
    <w:basedOn w:val="Heading2"/>
    <w:uiPriority w:val="99"/>
    <w:rsid w:val="00636833"/>
    <w:pPr>
      <w:numPr>
        <w:ilvl w:val="0"/>
        <w:numId w:val="0"/>
      </w:numPr>
      <w:tabs>
        <w:tab w:val="num" w:pos="1080"/>
      </w:tabs>
      <w:suppressAutoHyphens w:val="0"/>
      <w:overflowPunct w:val="0"/>
      <w:autoSpaceDE w:val="0"/>
      <w:autoSpaceDN w:val="0"/>
      <w:adjustRightInd w:val="0"/>
      <w:spacing w:before="240" w:after="60" w:line="240" w:lineRule="auto"/>
      <w:textAlignment w:val="baseline"/>
    </w:pPr>
    <w:rPr>
      <w:rFonts w:ascii="Times New Roman" w:eastAsia="Batang" w:hAnsi="Times New Roman"/>
      <w:bCs/>
      <w:sz w:val="22"/>
      <w:lang w:val="en-US" w:eastAsia="en-US"/>
    </w:rPr>
  </w:style>
  <w:style w:type="paragraph" w:customStyle="1" w:styleId="AppendixHeading3">
    <w:name w:val="Appendix Heading 3"/>
    <w:basedOn w:val="Heading3"/>
    <w:uiPriority w:val="99"/>
    <w:rsid w:val="00636833"/>
    <w:pPr>
      <w:numPr>
        <w:numId w:val="74"/>
      </w:numPr>
      <w:tabs>
        <w:tab w:val="clear" w:pos="720"/>
        <w:tab w:val="left" w:pos="794"/>
      </w:tabs>
      <w:suppressAutoHyphens w:val="0"/>
      <w:overflowPunct w:val="0"/>
      <w:autoSpaceDE w:val="0"/>
      <w:autoSpaceDN w:val="0"/>
      <w:adjustRightInd w:val="0"/>
      <w:spacing w:after="60" w:line="240" w:lineRule="auto"/>
      <w:ind w:left="720" w:hanging="720"/>
      <w:textAlignment w:val="baseline"/>
    </w:pPr>
    <w:rPr>
      <w:rFonts w:ascii="Times New Roman" w:eastAsia="Batang" w:hAnsi="Times New Roman"/>
      <w:bCs/>
      <w:lang w:val="nb-NO" w:eastAsia="en-US"/>
    </w:rPr>
  </w:style>
  <w:style w:type="paragraph" w:customStyle="1" w:styleId="AppendixHeading4">
    <w:name w:val="Appendix Heading 4"/>
    <w:basedOn w:val="Heading4"/>
    <w:uiPriority w:val="99"/>
    <w:rsid w:val="00636833"/>
    <w:pPr>
      <w:numPr>
        <w:numId w:val="74"/>
      </w:numPr>
      <w:tabs>
        <w:tab w:val="clear" w:pos="720"/>
        <w:tab w:val="clear" w:pos="1021"/>
        <w:tab w:val="clear" w:pos="1140"/>
        <w:tab w:val="clear" w:pos="1360"/>
        <w:tab w:val="left" w:pos="794"/>
        <w:tab w:val="num" w:pos="864"/>
        <w:tab w:val="num" w:pos="1080"/>
        <w:tab w:val="num" w:pos="1800"/>
      </w:tabs>
      <w:suppressAutoHyphens w:val="0"/>
      <w:overflowPunct w:val="0"/>
      <w:autoSpaceDE w:val="0"/>
      <w:autoSpaceDN w:val="0"/>
      <w:adjustRightInd w:val="0"/>
      <w:spacing w:after="60" w:line="240" w:lineRule="auto"/>
      <w:ind w:left="864" w:hanging="864"/>
      <w:textAlignment w:val="baseline"/>
    </w:pPr>
    <w:rPr>
      <w:rFonts w:ascii="Times New Roman" w:eastAsia="Batang" w:hAnsi="Times New Roman"/>
      <w:bCs/>
      <w:lang w:val="en-US" w:eastAsia="zh-CN"/>
    </w:rPr>
  </w:style>
  <w:style w:type="paragraph" w:customStyle="1" w:styleId="AppendixHeading5">
    <w:name w:val="Appendix Heading 5"/>
    <w:basedOn w:val="Heading5"/>
    <w:uiPriority w:val="99"/>
    <w:rsid w:val="00636833"/>
    <w:pPr>
      <w:keepNext w:val="0"/>
      <w:numPr>
        <w:numId w:val="74"/>
      </w:numPr>
      <w:tabs>
        <w:tab w:val="clear" w:pos="720"/>
        <w:tab w:val="clear" w:pos="1021"/>
        <w:tab w:val="left" w:pos="794"/>
        <w:tab w:val="num" w:pos="1008"/>
        <w:tab w:val="num" w:pos="1080"/>
        <w:tab w:val="num" w:pos="1800"/>
      </w:tabs>
      <w:suppressAutoHyphens w:val="0"/>
      <w:overflowPunct w:val="0"/>
      <w:autoSpaceDE w:val="0"/>
      <w:autoSpaceDN w:val="0"/>
      <w:adjustRightInd w:val="0"/>
      <w:spacing w:after="60" w:line="240" w:lineRule="auto"/>
      <w:ind w:left="1008" w:hanging="1008"/>
      <w:textAlignment w:val="baseline"/>
    </w:pPr>
    <w:rPr>
      <w:rFonts w:ascii="Times New Roman" w:eastAsia="Batang" w:hAnsi="Times New Roman"/>
      <w:bCs/>
      <w:lang w:val="en-US" w:eastAsia="zh-CN"/>
    </w:rPr>
  </w:style>
  <w:style w:type="character" w:customStyle="1" w:styleId="UnresolvedMention2">
    <w:name w:val="Unresolved Mention2"/>
    <w:basedOn w:val="DefaultParagraphFont"/>
    <w:uiPriority w:val="99"/>
    <w:semiHidden/>
    <w:unhideWhenUsed/>
    <w:rsid w:val="00FD24F1"/>
    <w:rPr>
      <w:rFonts w:cs="Times New Roman"/>
      <w:color w:val="605E5C"/>
      <w:shd w:val="clear" w:color="auto" w:fill="E1DFDD"/>
    </w:rPr>
  </w:style>
  <w:style w:type="character" w:customStyle="1" w:styleId="UnresolvedMention3">
    <w:name w:val="Unresolved Mention3"/>
    <w:basedOn w:val="DefaultParagraphFont"/>
    <w:uiPriority w:val="99"/>
    <w:semiHidden/>
    <w:unhideWhenUsed/>
    <w:rsid w:val="000656B0"/>
    <w:rPr>
      <w:rFonts w:cs="Times New Roman"/>
      <w:color w:val="605E5C"/>
      <w:shd w:val="clear" w:color="auto" w:fill="E1DFDD"/>
    </w:rPr>
  </w:style>
  <w:style w:type="character" w:customStyle="1" w:styleId="UnresolvedMention4">
    <w:name w:val="Unresolved Mention4"/>
    <w:basedOn w:val="DefaultParagraphFont"/>
    <w:uiPriority w:val="99"/>
    <w:semiHidden/>
    <w:unhideWhenUsed/>
    <w:rsid w:val="00835F46"/>
    <w:rPr>
      <w:rFonts w:cs="Times New Roman"/>
      <w:color w:val="605E5C"/>
      <w:shd w:val="clear" w:color="auto" w:fill="E1DFDD"/>
    </w:rPr>
  </w:style>
  <w:style w:type="paragraph" w:customStyle="1" w:styleId="Default">
    <w:name w:val="Default"/>
    <w:rsid w:val="00D70F89"/>
    <w:pPr>
      <w:autoSpaceDE w:val="0"/>
      <w:autoSpaceDN w:val="0"/>
      <w:adjustRightInd w:val="0"/>
    </w:pPr>
    <w:rPr>
      <w:rFonts w:ascii="Times New Roman" w:eastAsia="MS Mincho" w:hAnsi="Times New Roman"/>
      <w:color w:val="000000"/>
      <w:sz w:val="24"/>
      <w:szCs w:val="24"/>
      <w:lang w:eastAsia="zh-CN"/>
    </w:rPr>
  </w:style>
  <w:style w:type="paragraph" w:customStyle="1" w:styleId="Annex3">
    <w:name w:val="Annex 3"/>
    <w:basedOn w:val="Normal"/>
    <w:next w:val="Normal"/>
    <w:link w:val="Annex3Char2"/>
    <w:qFormat/>
    <w:rsid w:val="00C42897"/>
    <w:pPr>
      <w:keepNext/>
      <w:tabs>
        <w:tab w:val="clear" w:pos="403"/>
        <w:tab w:val="clear" w:pos="806"/>
        <w:tab w:val="clear" w:pos="1210"/>
        <w:tab w:val="clear" w:pos="1613"/>
        <w:tab w:val="num" w:pos="720"/>
        <w:tab w:val="left" w:pos="794"/>
        <w:tab w:val="left" w:pos="1191"/>
        <w:tab w:val="num" w:pos="1440"/>
        <w:tab w:val="left" w:pos="1588"/>
        <w:tab w:val="left" w:pos="1985"/>
        <w:tab w:val="num" w:pos="2160"/>
      </w:tabs>
      <w:overflowPunct w:val="0"/>
      <w:autoSpaceDE w:val="0"/>
      <w:autoSpaceDN w:val="0"/>
      <w:adjustRightInd w:val="0"/>
      <w:spacing w:before="181" w:after="0" w:line="240" w:lineRule="auto"/>
      <w:ind w:left="1224" w:hanging="1224"/>
      <w:textAlignment w:val="baseline"/>
      <w:outlineLvl w:val="2"/>
    </w:pPr>
    <w:rPr>
      <w:rFonts w:ascii="Times New Roman" w:eastAsia="Malgun Gothic" w:hAnsi="Times New Roman"/>
      <w:b/>
      <w:bCs/>
      <w:sz w:val="20"/>
      <w:szCs w:val="20"/>
    </w:rPr>
  </w:style>
  <w:style w:type="paragraph" w:customStyle="1" w:styleId="Annex4">
    <w:name w:val="Annex 4"/>
    <w:basedOn w:val="Normal"/>
    <w:next w:val="Normal"/>
    <w:autoRedefine/>
    <w:uiPriority w:val="99"/>
    <w:rsid w:val="00C42897"/>
    <w:pPr>
      <w:keepNext/>
      <w:tabs>
        <w:tab w:val="clear" w:pos="403"/>
        <w:tab w:val="num" w:pos="720"/>
      </w:tabs>
      <w:spacing w:before="181" w:after="0" w:line="240" w:lineRule="auto"/>
      <w:ind w:left="1728" w:hanging="1728"/>
      <w:outlineLvl w:val="3"/>
    </w:pPr>
    <w:rPr>
      <w:rFonts w:ascii="Times New Roman" w:eastAsia="Malgun Gothic" w:hAnsi="Times New Roman"/>
      <w:b/>
      <w:bCs/>
      <w:sz w:val="20"/>
      <w:szCs w:val="20"/>
    </w:rPr>
  </w:style>
  <w:style w:type="paragraph" w:customStyle="1" w:styleId="Annex5">
    <w:name w:val="Annex 5"/>
    <w:basedOn w:val="Normal"/>
    <w:next w:val="Normal"/>
    <w:autoRedefine/>
    <w:uiPriority w:val="99"/>
    <w:rsid w:val="00C42897"/>
    <w:pPr>
      <w:keepNext/>
      <w:tabs>
        <w:tab w:val="clear" w:pos="403"/>
        <w:tab w:val="num" w:pos="1170"/>
      </w:tabs>
      <w:spacing w:before="181" w:after="0" w:line="240" w:lineRule="auto"/>
      <w:ind w:left="1170" w:hanging="1170"/>
      <w:outlineLvl w:val="4"/>
    </w:pPr>
    <w:rPr>
      <w:rFonts w:ascii="Times New Roman" w:eastAsia="Malgun Gothic" w:hAnsi="Times New Roman"/>
      <w:b/>
      <w:bCs/>
      <w:sz w:val="20"/>
      <w:szCs w:val="20"/>
    </w:rPr>
  </w:style>
  <w:style w:type="character" w:customStyle="1" w:styleId="Annex3Char2">
    <w:name w:val="Annex 3 Char2"/>
    <w:link w:val="Annex3"/>
    <w:locked/>
    <w:rsid w:val="00C42897"/>
    <w:rPr>
      <w:rFonts w:ascii="Times New Roman" w:eastAsia="Malgun Gothic" w:hAnsi="Times New Roman"/>
      <w:b/>
      <w:lang w:val="en-GB" w:eastAsia="x-none"/>
    </w:rPr>
  </w:style>
  <w:style w:type="character" w:customStyle="1" w:styleId="CaptionChar1">
    <w:name w:val="Caption Char1"/>
    <w:locked/>
    <w:rsid w:val="00553C48"/>
    <w:rPr>
      <w:rFonts w:ascii="Cambria" w:eastAsia="Malgun Gothic" w:hAnsi="Cambria"/>
      <w:b/>
      <w:sz w:val="20"/>
      <w:lang w:val="x-none" w:eastAsia="en-US"/>
    </w:rPr>
  </w:style>
  <w:style w:type="paragraph" w:customStyle="1" w:styleId="TableTitle">
    <w:name w:val="Table_Title"/>
    <w:basedOn w:val="Normal"/>
    <w:next w:val="Blanc"/>
    <w:rsid w:val="00DF5095"/>
    <w:pPr>
      <w:keepNext/>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240" w:after="113" w:line="240" w:lineRule="auto"/>
      <w:jc w:val="center"/>
      <w:textAlignment w:val="baseline"/>
    </w:pPr>
    <w:rPr>
      <w:rFonts w:ascii="Times New Roman" w:eastAsia="Malgun Gothic" w:hAnsi="Times New Roman"/>
      <w:b/>
      <w:bCs/>
      <w:sz w:val="20"/>
      <w:szCs w:val="20"/>
    </w:rPr>
  </w:style>
  <w:style w:type="paragraph" w:customStyle="1" w:styleId="Blanc">
    <w:name w:val="Blanc"/>
    <w:basedOn w:val="TableTitle"/>
    <w:next w:val="TableText"/>
    <w:rsid w:val="00DF5095"/>
    <w:pPr>
      <w:tabs>
        <w:tab w:val="clear" w:pos="794"/>
        <w:tab w:val="clear" w:pos="1191"/>
        <w:tab w:val="clear" w:pos="1588"/>
        <w:tab w:val="clear" w:pos="1985"/>
      </w:tabs>
      <w:spacing w:before="0" w:after="57" w:line="12" w:lineRule="exact"/>
    </w:pPr>
    <w:rPr>
      <w:b w:val="0"/>
      <w:bCs w:val="0"/>
      <w:sz w:val="8"/>
      <w:szCs w:val="8"/>
      <w:lang w:val="en-US"/>
    </w:rPr>
  </w:style>
  <w:style w:type="table" w:styleId="GridTable1Light">
    <w:name w:val="Grid Table 1 Light"/>
    <w:basedOn w:val="TableNormal"/>
    <w:uiPriority w:val="46"/>
    <w:rsid w:val="00700C86"/>
    <w:rPr>
      <w:rFonts w:ascii="Times New Roman" w:eastAsia="MS Mincho" w:hAnsi="Times New Roman"/>
      <w:lang w:eastAsia="zh-CN"/>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rFonts w:cs="Times New Roman"/>
        <w:b/>
        <w:bCs/>
      </w:rPr>
      <w:tblPr/>
      <w:tcPr>
        <w:tcBorders>
          <w:bottom w:val="single" w:sz="12" w:space="0" w:color="666666" w:themeColor="text1" w:themeTint="99"/>
        </w:tcBorders>
      </w:tcPr>
    </w:tblStylePr>
    <w:tblStylePr w:type="lastRow">
      <w:rPr>
        <w:rFonts w:cs="Times New Roman"/>
        <w:b/>
        <w:bCs/>
      </w:rPr>
      <w:tblPr/>
      <w:tcPr>
        <w:tcBorders>
          <w:top w:val="double" w:sz="2" w:space="0" w:color="666666" w:themeColor="text1" w:themeTint="99"/>
        </w:tcBorders>
      </w:tcPr>
    </w:tblStylePr>
    <w:tblStylePr w:type="firstCol">
      <w:rPr>
        <w:rFonts w:cs="Times New Roman"/>
        <w:b/>
        <w:bCs/>
      </w:rPr>
    </w:tblStylePr>
    <w:tblStylePr w:type="lastCol">
      <w:rPr>
        <w:rFonts w:cs="Times New Roman"/>
        <w:b/>
        <w:bCs/>
      </w:rPr>
    </w:tblStylePr>
  </w:style>
  <w:style w:type="character" w:customStyle="1" w:styleId="UnresolvedMention5">
    <w:name w:val="Unresolved Mention5"/>
    <w:basedOn w:val="DefaultParagraphFont"/>
    <w:uiPriority w:val="99"/>
    <w:semiHidden/>
    <w:unhideWhenUsed/>
    <w:rsid w:val="00432A9E"/>
    <w:rPr>
      <w:rFonts w:cs="Times New Roman"/>
      <w:color w:val="605E5C"/>
      <w:shd w:val="clear" w:color="auto" w:fill="E1DFDD"/>
    </w:rPr>
  </w:style>
  <w:style w:type="character" w:customStyle="1" w:styleId="ListParagraphChar">
    <w:name w:val="List Paragraph Char"/>
    <w:link w:val="ListParagraph"/>
    <w:uiPriority w:val="34"/>
    <w:locked/>
    <w:rsid w:val="00686637"/>
    <w:rPr>
      <w:sz w:val="22"/>
      <w:lang w:val="en-GB" w:eastAsia="x-none"/>
    </w:rPr>
  </w:style>
  <w:style w:type="character" w:customStyle="1" w:styleId="apple-converted-space">
    <w:name w:val="apple-converted-space"/>
    <w:basedOn w:val="DefaultParagraphFont"/>
    <w:rsid w:val="00A371D5"/>
    <w:rPr>
      <w:rFonts w:cs="Times New Roman"/>
    </w:rPr>
  </w:style>
  <w:style w:type="paragraph" w:customStyle="1" w:styleId="ListContinue1">
    <w:name w:val="List Continue 1"/>
    <w:basedOn w:val="Normal"/>
    <w:rsid w:val="002A6A1C"/>
    <w:pPr>
      <w:tabs>
        <w:tab w:val="clear" w:pos="403"/>
      </w:tabs>
      <w:ind w:left="403" w:hanging="403"/>
    </w:pPr>
    <w:rPr>
      <w:rFonts w:eastAsia="Times New Roman"/>
    </w:rPr>
  </w:style>
  <w:style w:type="paragraph" w:customStyle="1" w:styleId="Noteindent">
    <w:name w:val="Note indent"/>
    <w:basedOn w:val="Normal"/>
    <w:rsid w:val="002A6A1C"/>
    <w:pPr>
      <w:tabs>
        <w:tab w:val="clear" w:pos="403"/>
        <w:tab w:val="left" w:pos="1368"/>
      </w:tabs>
      <w:spacing w:line="220" w:lineRule="atLeast"/>
      <w:ind w:left="403"/>
    </w:pPr>
    <w:rPr>
      <w:rFonts w:eastAsia="Times New Roman"/>
      <w:sz w:val="20"/>
    </w:rPr>
  </w:style>
  <w:style w:type="paragraph" w:customStyle="1" w:styleId="enumlev2">
    <w:name w:val="enumlev2"/>
    <w:basedOn w:val="enumlev1"/>
    <w:uiPriority w:val="99"/>
    <w:rsid w:val="002B2F38"/>
    <w:pPr>
      <w:ind w:left="1588"/>
    </w:pPr>
    <w:rPr>
      <w:rFonts w:eastAsia="SimSun"/>
    </w:rPr>
  </w:style>
  <w:style w:type="paragraph" w:customStyle="1" w:styleId="enumlev3">
    <w:name w:val="enumlev3"/>
    <w:basedOn w:val="enumlev2"/>
    <w:uiPriority w:val="99"/>
    <w:rsid w:val="002B2F38"/>
    <w:pPr>
      <w:ind w:left="1985"/>
    </w:pPr>
  </w:style>
  <w:style w:type="character" w:customStyle="1" w:styleId="UnresolvedMention6">
    <w:name w:val="Unresolved Mention6"/>
    <w:basedOn w:val="DefaultParagraphFont"/>
    <w:uiPriority w:val="99"/>
    <w:semiHidden/>
    <w:unhideWhenUsed/>
    <w:rsid w:val="003D3901"/>
    <w:rPr>
      <w:rFonts w:cs="Times New Roman"/>
      <w:color w:val="605E5C"/>
      <w:shd w:val="clear" w:color="auto" w:fill="E1DFDD"/>
    </w:rPr>
  </w:style>
  <w:style w:type="paragraph" w:styleId="NoSpacing">
    <w:name w:val="No Spacing"/>
    <w:uiPriority w:val="1"/>
    <w:qFormat/>
    <w:rsid w:val="00506D23"/>
    <w:pPr>
      <w:jc w:val="both"/>
    </w:pPr>
    <w:rPr>
      <w:rFonts w:ascii="Times New Roman" w:eastAsia="MS Mincho" w:hAnsi="Times New Roman"/>
      <w:sz w:val="24"/>
      <w:szCs w:val="24"/>
    </w:rPr>
  </w:style>
  <w:style w:type="paragraph" w:customStyle="1" w:styleId="MTDisplayEquation">
    <w:name w:val="MTDisplayEquation"/>
    <w:basedOn w:val="Normal"/>
    <w:next w:val="Normal"/>
    <w:link w:val="MTDisplayEquationChar"/>
    <w:rsid w:val="00542F19"/>
    <w:pPr>
      <w:tabs>
        <w:tab w:val="clear" w:pos="403"/>
        <w:tab w:val="center" w:pos="4880"/>
        <w:tab w:val="right" w:pos="9760"/>
      </w:tabs>
    </w:pPr>
    <w:rPr>
      <w:color w:val="000000" w:themeColor="text1"/>
      <w:lang w:eastAsia="ja-JP"/>
    </w:rPr>
  </w:style>
  <w:style w:type="character" w:customStyle="1" w:styleId="MTDisplayEquationChar">
    <w:name w:val="MTDisplayEquation Char"/>
    <w:basedOn w:val="DefaultParagraphFont"/>
    <w:link w:val="MTDisplayEquation"/>
    <w:locked/>
    <w:rsid w:val="00542F19"/>
    <w:rPr>
      <w:rFonts w:cs="Times New Roman"/>
      <w:color w:val="000000" w:themeColor="text1"/>
      <w:sz w:val="22"/>
      <w:szCs w:val="22"/>
      <w:lang w:val="en-CA" w:eastAsia="ja-JP"/>
    </w:rPr>
  </w:style>
  <w:style w:type="paragraph" w:customStyle="1" w:styleId="Tabletitle0">
    <w:name w:val="Table title"/>
    <w:basedOn w:val="Normal"/>
    <w:rsid w:val="00BD5E20"/>
    <w:pPr>
      <w:tabs>
        <w:tab w:val="clear" w:pos="403"/>
      </w:tabs>
      <w:suppressAutoHyphens/>
      <w:spacing w:before="120" w:after="120"/>
      <w:jc w:val="center"/>
    </w:pPr>
    <w:rPr>
      <w:rFonts w:eastAsia="Times New Roman"/>
      <w:b/>
    </w:rPr>
  </w:style>
  <w:style w:type="character" w:customStyle="1" w:styleId="UnresolvedMention7">
    <w:name w:val="Unresolved Mention7"/>
    <w:basedOn w:val="DefaultParagraphFont"/>
    <w:uiPriority w:val="99"/>
    <w:semiHidden/>
    <w:unhideWhenUsed/>
    <w:rsid w:val="001D7F9E"/>
    <w:rPr>
      <w:rFonts w:cs="Times New Roman"/>
      <w:color w:val="605E5C"/>
      <w:shd w:val="clear" w:color="auto" w:fill="E1DFDD"/>
    </w:rPr>
  </w:style>
  <w:style w:type="table" w:styleId="LightShading">
    <w:name w:val="Light Shading"/>
    <w:basedOn w:val="TableNormal"/>
    <w:uiPriority w:val="60"/>
    <w:rsid w:val="001E7DB6"/>
    <w:rPr>
      <w:rFonts w:ascii="Times New Roman" w:eastAsia="MS Mincho" w:hAnsi="Times New Roman"/>
      <w:color w:val="000000" w:themeColor="text1" w:themeShade="BF"/>
      <w:lang w:eastAsia="zh-CN"/>
    </w:rPr>
    <w:tblPr>
      <w:tblStyleRowBandSize w:val="1"/>
      <w:tblStyleColBandSize w:val="1"/>
      <w:tblBorders>
        <w:top w:val="single" w:sz="8" w:space="0" w:color="000000" w:themeColor="text1"/>
        <w:bottom w:val="single" w:sz="8" w:space="0" w:color="000000" w:themeColor="text1"/>
      </w:tblBorders>
    </w:tblPr>
    <w:tblStylePr w:type="firstRow">
      <w:pPr>
        <w:spacing w:before="0" w:after="0"/>
      </w:pPr>
      <w:rPr>
        <w:rFonts w:cs="Times New Roman"/>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pPr>
      <w:rPr>
        <w:rFonts w:cs="Times New Roman"/>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hemeFill="text1" w:themeFillTint="3F"/>
      </w:tcPr>
    </w:tblStylePr>
    <w:tblStylePr w:type="band1Horz">
      <w:rPr>
        <w:rFonts w:cs="Times New Roman"/>
      </w:rPr>
      <w:tblPr/>
      <w:tcPr>
        <w:tcBorders>
          <w:left w:val="nil"/>
          <w:right w:val="nil"/>
          <w:insideH w:val="nil"/>
          <w:insideV w:val="nil"/>
        </w:tcBorders>
        <w:shd w:val="clear" w:color="auto" w:fill="C0C0C0" w:themeFill="text1" w:themeFillTint="3F"/>
      </w:tcPr>
    </w:tblStylePr>
  </w:style>
  <w:style w:type="character" w:customStyle="1" w:styleId="Heading1Char1">
    <w:name w:val="Heading 1 Char1"/>
    <w:aliases w:val="Heading U Char1,H1 Char1,H11 Char1,Œ©o‚µ 1 Char1,뙥 Char1,?co??E 1 Char1,h1 Char1,?c Char1,?co?ƒÊ 1 Char1,? Char1,Œ Char1,Œ© Char1,Œ... Char1,Œ©oâµ 1 Char1,?co?ÄÊ 1 Char1,Î Char1,Î© Char1,Î... Char1"/>
    <w:uiPriority w:val="99"/>
    <w:rsid w:val="001E7DB6"/>
    <w:rPr>
      <w:rFonts w:ascii="Times New Roman" w:hAnsi="Times New Roman"/>
      <w:b/>
      <w:sz w:val="24"/>
      <w:lang w:val="en-GB" w:eastAsia="en-US"/>
    </w:rPr>
  </w:style>
  <w:style w:type="character" w:customStyle="1" w:styleId="Heading2Char1">
    <w:name w:val="Heading 2 Char1"/>
    <w:aliases w:val="H2 Char1,H21 Char1,Œ©o‚µ 2 Char1,뙥2 Char1,?co??E 2 Char1,h2 Char1,?c1 Char1,?co?ƒÊ 2 Char1,?2 Char1,Œ1 Char1,Œ2 Char1,Œ©2 Char1,... Char1,Œ©_o‚µ 2 Char1,Œ©1 Char1,Œ©oâµ 2 Char1,?co?ÄÊ 2 Char1,Î1 Char1,Î2 Char1,Î©2 Char1,Î©1 Char1"/>
    <w:uiPriority w:val="99"/>
    <w:semiHidden/>
    <w:rsid w:val="001E7DB6"/>
    <w:rPr>
      <w:rFonts w:ascii="Cambria" w:eastAsia="SimSun" w:hAnsi="Cambria"/>
      <w:b/>
      <w:i/>
      <w:sz w:val="28"/>
      <w:lang w:val="en-GB" w:eastAsia="en-US"/>
    </w:rPr>
  </w:style>
  <w:style w:type="character" w:customStyle="1" w:styleId="Heading3Char1">
    <w:name w:val="Heading 3 Char1"/>
    <w:aliases w:val="H3 Char1,H31 Char1,h3 Char1"/>
    <w:basedOn w:val="DefaultParagraphFont"/>
    <w:uiPriority w:val="99"/>
    <w:semiHidden/>
    <w:rsid w:val="001E7DB6"/>
    <w:rPr>
      <w:rFonts w:asciiTheme="majorHAnsi" w:eastAsiaTheme="majorEastAsia" w:hAnsiTheme="majorHAnsi" w:cs="Times New Roman"/>
      <w:color w:val="1F4D78" w:themeColor="accent1" w:themeShade="7F"/>
      <w:sz w:val="24"/>
      <w:szCs w:val="24"/>
      <w:lang w:val="en-GB" w:eastAsia="x-none"/>
    </w:rPr>
  </w:style>
  <w:style w:type="character" w:customStyle="1" w:styleId="Heading4Char2">
    <w:name w:val="Heading 4 Char2"/>
    <w:aliases w:val="Heading 4 Char1 Char1,Heading 4 Char Char Char1,H4 Char1,H41 Char1,h4 Char1,0.1.1.1 Titre 4 + Left:  0&quot; Char1,First line:  0&quot; Char1,0.1.1... Char1,0.1.1.1 Titre 4 Char1"/>
    <w:uiPriority w:val="99"/>
    <w:semiHidden/>
    <w:rsid w:val="001E7DB6"/>
    <w:rPr>
      <w:rFonts w:ascii="Calibri Light" w:hAnsi="Calibri Light"/>
      <w:i/>
      <w:color w:val="2E74B5"/>
      <w:lang w:val="en-GB" w:eastAsia="x-none"/>
    </w:rPr>
  </w:style>
  <w:style w:type="character" w:customStyle="1" w:styleId="Heading5Char1">
    <w:name w:val="Heading 5 Char1"/>
    <w:aliases w:val="H5 Char1,H51 Char1,h5 Char1"/>
    <w:basedOn w:val="DefaultParagraphFont"/>
    <w:uiPriority w:val="99"/>
    <w:semiHidden/>
    <w:rsid w:val="001E7DB6"/>
    <w:rPr>
      <w:rFonts w:asciiTheme="majorHAnsi" w:eastAsiaTheme="majorEastAsia" w:hAnsiTheme="majorHAnsi" w:cs="Times New Roman"/>
      <w:color w:val="2E74B5" w:themeColor="accent1" w:themeShade="BF"/>
      <w:lang w:val="en-GB" w:eastAsia="x-none"/>
    </w:rPr>
  </w:style>
  <w:style w:type="character" w:customStyle="1" w:styleId="Heading6Char1">
    <w:name w:val="Heading 6 Char1"/>
    <w:aliases w:val="H6 Char1,H61 Char1,h6 Char1"/>
    <w:basedOn w:val="DefaultParagraphFont"/>
    <w:uiPriority w:val="99"/>
    <w:semiHidden/>
    <w:rsid w:val="001E7DB6"/>
    <w:rPr>
      <w:rFonts w:asciiTheme="majorHAnsi" w:eastAsiaTheme="majorEastAsia" w:hAnsiTheme="majorHAnsi" w:cs="Times New Roman"/>
      <w:color w:val="1F4D78" w:themeColor="accent1" w:themeShade="7F"/>
      <w:lang w:val="en-GB" w:eastAsia="x-none"/>
    </w:rPr>
  </w:style>
  <w:style w:type="paragraph" w:styleId="HTMLPreformatted">
    <w:name w:val="HTML Preformatted"/>
    <w:basedOn w:val="Normal"/>
    <w:link w:val="HTMLPreformattedChar"/>
    <w:uiPriority w:val="99"/>
    <w:semiHidden/>
    <w:unhideWhenUsed/>
    <w:rsid w:val="001E7DB6"/>
    <w:pPr>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pPr>
    <w:rPr>
      <w:rFonts w:ascii="Courier New" w:eastAsia="Malgun Gothic" w:hAnsi="Courier New"/>
      <w:sz w:val="20"/>
      <w:szCs w:val="20"/>
      <w:lang w:eastAsia="zh-CN"/>
    </w:rPr>
  </w:style>
  <w:style w:type="character" w:customStyle="1" w:styleId="HTMLPreformattedChar">
    <w:name w:val="HTML Preformatted Char"/>
    <w:basedOn w:val="DefaultParagraphFont"/>
    <w:link w:val="HTMLPreformatted"/>
    <w:uiPriority w:val="99"/>
    <w:semiHidden/>
    <w:locked/>
    <w:rsid w:val="001E7DB6"/>
    <w:rPr>
      <w:rFonts w:ascii="Courier New" w:eastAsia="Malgun Gothic" w:hAnsi="Courier New" w:cs="Times New Roman"/>
      <w:lang w:val="en-GB" w:eastAsia="zh-CN"/>
    </w:rPr>
  </w:style>
  <w:style w:type="paragraph" w:customStyle="1" w:styleId="msonormal0">
    <w:name w:val="msonormal"/>
    <w:basedOn w:val="Normal"/>
    <w:uiPriority w:val="99"/>
    <w:rsid w:val="001E7DB6"/>
    <w:pPr>
      <w:tabs>
        <w:tab w:val="clear" w:pos="403"/>
      </w:tabs>
      <w:spacing w:before="100" w:beforeAutospacing="1" w:after="100" w:afterAutospacing="1" w:line="240" w:lineRule="auto"/>
      <w:jc w:val="left"/>
    </w:pPr>
    <w:rPr>
      <w:rFonts w:ascii="Times New Roman" w:eastAsia="SimSun" w:hAnsi="Times New Roman"/>
      <w:sz w:val="24"/>
      <w:szCs w:val="24"/>
      <w:lang w:eastAsia="en-GB"/>
    </w:rPr>
  </w:style>
  <w:style w:type="paragraph" w:styleId="NormalWeb">
    <w:name w:val="Normal (Web)"/>
    <w:basedOn w:val="Normal"/>
    <w:uiPriority w:val="99"/>
    <w:unhideWhenUsed/>
    <w:rsid w:val="001E7DB6"/>
    <w:pPr>
      <w:tabs>
        <w:tab w:val="clear" w:pos="403"/>
      </w:tabs>
      <w:spacing w:before="100" w:beforeAutospacing="1" w:after="100" w:afterAutospacing="1" w:line="240" w:lineRule="auto"/>
      <w:jc w:val="left"/>
    </w:pPr>
    <w:rPr>
      <w:rFonts w:ascii="Times New Roman" w:eastAsia="SimSun" w:hAnsi="Times New Roman"/>
      <w:sz w:val="24"/>
      <w:szCs w:val="24"/>
      <w:lang w:eastAsia="en-GB"/>
    </w:rPr>
  </w:style>
  <w:style w:type="paragraph" w:styleId="Index1">
    <w:name w:val="index 1"/>
    <w:basedOn w:val="Normal"/>
    <w:next w:val="Normal"/>
    <w:autoRedefine/>
    <w:uiPriority w:val="99"/>
    <w:semiHidden/>
    <w:unhideWhenUsed/>
    <w:rsid w:val="001E7DB6"/>
    <w:p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136" w:after="0" w:line="240" w:lineRule="auto"/>
      <w:jc w:val="left"/>
    </w:pPr>
    <w:rPr>
      <w:rFonts w:ascii="Times New Roman" w:eastAsia="SimSun" w:hAnsi="Times New Roman"/>
      <w:sz w:val="20"/>
      <w:szCs w:val="20"/>
    </w:rPr>
  </w:style>
  <w:style w:type="paragraph" w:styleId="Index2">
    <w:name w:val="index 2"/>
    <w:basedOn w:val="Normal"/>
    <w:next w:val="Normal"/>
    <w:autoRedefine/>
    <w:uiPriority w:val="99"/>
    <w:semiHidden/>
    <w:unhideWhenUsed/>
    <w:rsid w:val="001E7DB6"/>
    <w:p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136" w:after="0" w:line="240" w:lineRule="auto"/>
      <w:ind w:left="283"/>
    </w:pPr>
    <w:rPr>
      <w:rFonts w:ascii="Times New Roman" w:eastAsia="SimSun" w:hAnsi="Times New Roman"/>
      <w:sz w:val="20"/>
      <w:szCs w:val="20"/>
    </w:rPr>
  </w:style>
  <w:style w:type="paragraph" w:styleId="Index3">
    <w:name w:val="index 3"/>
    <w:basedOn w:val="Normal"/>
    <w:next w:val="Normal"/>
    <w:autoRedefine/>
    <w:uiPriority w:val="99"/>
    <w:semiHidden/>
    <w:unhideWhenUsed/>
    <w:rsid w:val="001E7DB6"/>
    <w:p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136" w:after="0" w:line="240" w:lineRule="auto"/>
      <w:ind w:left="566"/>
    </w:pPr>
    <w:rPr>
      <w:rFonts w:ascii="Times New Roman" w:eastAsia="SimSun" w:hAnsi="Times New Roman"/>
      <w:sz w:val="20"/>
      <w:szCs w:val="20"/>
    </w:rPr>
  </w:style>
  <w:style w:type="paragraph" w:styleId="Index4">
    <w:name w:val="index 4"/>
    <w:basedOn w:val="Normal"/>
    <w:next w:val="Normal"/>
    <w:autoRedefine/>
    <w:uiPriority w:val="99"/>
    <w:semiHidden/>
    <w:unhideWhenUsed/>
    <w:rsid w:val="001E7DB6"/>
    <w:p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136" w:after="0" w:line="240" w:lineRule="auto"/>
      <w:ind w:left="849"/>
    </w:pPr>
    <w:rPr>
      <w:rFonts w:ascii="Times New Roman" w:eastAsia="SimSun" w:hAnsi="Times New Roman"/>
      <w:sz w:val="20"/>
      <w:szCs w:val="20"/>
    </w:rPr>
  </w:style>
  <w:style w:type="paragraph" w:styleId="Index5">
    <w:name w:val="index 5"/>
    <w:basedOn w:val="Normal"/>
    <w:next w:val="Normal"/>
    <w:autoRedefine/>
    <w:uiPriority w:val="99"/>
    <w:semiHidden/>
    <w:unhideWhenUsed/>
    <w:rsid w:val="001E7DB6"/>
    <w:p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136" w:after="0" w:line="240" w:lineRule="auto"/>
      <w:ind w:left="1132"/>
    </w:pPr>
    <w:rPr>
      <w:rFonts w:ascii="Times New Roman" w:eastAsia="SimSun" w:hAnsi="Times New Roman"/>
      <w:sz w:val="20"/>
      <w:szCs w:val="20"/>
    </w:rPr>
  </w:style>
  <w:style w:type="paragraph" w:styleId="Index6">
    <w:name w:val="index 6"/>
    <w:basedOn w:val="Normal"/>
    <w:next w:val="Normal"/>
    <w:autoRedefine/>
    <w:uiPriority w:val="99"/>
    <w:semiHidden/>
    <w:unhideWhenUsed/>
    <w:rsid w:val="001E7DB6"/>
    <w:p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136" w:after="0" w:line="240" w:lineRule="auto"/>
      <w:ind w:left="1415"/>
    </w:pPr>
    <w:rPr>
      <w:rFonts w:ascii="Times New Roman" w:eastAsia="SimSun" w:hAnsi="Times New Roman"/>
      <w:sz w:val="20"/>
      <w:szCs w:val="20"/>
    </w:rPr>
  </w:style>
  <w:style w:type="paragraph" w:styleId="Index7">
    <w:name w:val="index 7"/>
    <w:basedOn w:val="Normal"/>
    <w:next w:val="Normal"/>
    <w:autoRedefine/>
    <w:uiPriority w:val="99"/>
    <w:semiHidden/>
    <w:unhideWhenUsed/>
    <w:rsid w:val="001E7DB6"/>
    <w:p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136" w:after="0" w:line="240" w:lineRule="auto"/>
      <w:ind w:left="1698"/>
    </w:pPr>
    <w:rPr>
      <w:rFonts w:ascii="Times New Roman" w:eastAsia="SimSun" w:hAnsi="Times New Roman"/>
      <w:sz w:val="20"/>
      <w:szCs w:val="20"/>
    </w:rPr>
  </w:style>
  <w:style w:type="paragraph" w:styleId="NormalIndent">
    <w:name w:val="Normal Indent"/>
    <w:basedOn w:val="Normal"/>
    <w:uiPriority w:val="99"/>
    <w:semiHidden/>
    <w:unhideWhenUsed/>
    <w:rsid w:val="001E7DB6"/>
    <w:p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136" w:after="0" w:line="240" w:lineRule="auto"/>
      <w:ind w:left="600"/>
    </w:pPr>
    <w:rPr>
      <w:rFonts w:ascii="Times New Roman" w:eastAsia="SimSun" w:hAnsi="Times New Roman"/>
      <w:sz w:val="20"/>
      <w:szCs w:val="20"/>
    </w:rPr>
  </w:style>
  <w:style w:type="paragraph" w:styleId="FootnoteText">
    <w:name w:val="footnote text"/>
    <w:basedOn w:val="Normal"/>
    <w:link w:val="FootnoteTextChar"/>
    <w:uiPriority w:val="99"/>
    <w:semiHidden/>
    <w:unhideWhenUsed/>
    <w:rsid w:val="001E7DB6"/>
    <w:pPr>
      <w:tabs>
        <w:tab w:val="clear" w:pos="403"/>
        <w:tab w:val="clear" w:pos="806"/>
        <w:tab w:val="clear" w:pos="1210"/>
        <w:tab w:val="clear" w:pos="1613"/>
        <w:tab w:val="left" w:pos="256"/>
        <w:tab w:val="left" w:pos="794"/>
        <w:tab w:val="left" w:pos="1191"/>
        <w:tab w:val="left" w:pos="1588"/>
        <w:tab w:val="left" w:pos="1985"/>
      </w:tabs>
      <w:overflowPunct w:val="0"/>
      <w:autoSpaceDE w:val="0"/>
      <w:autoSpaceDN w:val="0"/>
      <w:adjustRightInd w:val="0"/>
      <w:spacing w:before="136" w:after="0" w:line="240" w:lineRule="auto"/>
    </w:pPr>
    <w:rPr>
      <w:rFonts w:ascii="Times New Roman" w:eastAsia="SimSun" w:hAnsi="Times New Roman"/>
      <w:sz w:val="18"/>
      <w:szCs w:val="20"/>
    </w:rPr>
  </w:style>
  <w:style w:type="character" w:customStyle="1" w:styleId="FootnoteTextChar">
    <w:name w:val="Footnote Text Char"/>
    <w:basedOn w:val="DefaultParagraphFont"/>
    <w:link w:val="FootnoteText"/>
    <w:uiPriority w:val="99"/>
    <w:semiHidden/>
    <w:locked/>
    <w:rsid w:val="001E7DB6"/>
    <w:rPr>
      <w:rFonts w:ascii="Times New Roman" w:eastAsia="SimSun" w:hAnsi="Times New Roman" w:cs="Times New Roman"/>
      <w:sz w:val="18"/>
      <w:lang w:val="en-GB" w:eastAsia="x-none"/>
    </w:rPr>
  </w:style>
  <w:style w:type="character" w:customStyle="1" w:styleId="HeaderChar1">
    <w:name w:val="Header Char1"/>
    <w:aliases w:val="h Char1,Header/Footer Char1"/>
    <w:basedOn w:val="DefaultParagraphFont"/>
    <w:uiPriority w:val="99"/>
    <w:semiHidden/>
    <w:rsid w:val="001E7DB6"/>
    <w:rPr>
      <w:rFonts w:eastAsia="SimSun" w:cs="Times New Roman"/>
      <w:lang w:val="en-GB" w:eastAsia="en-US"/>
    </w:rPr>
  </w:style>
  <w:style w:type="paragraph" w:styleId="IndexHeading">
    <w:name w:val="index heading"/>
    <w:basedOn w:val="Normal"/>
    <w:next w:val="Index1"/>
    <w:uiPriority w:val="99"/>
    <w:semiHidden/>
    <w:unhideWhenUsed/>
    <w:rsid w:val="001E7DB6"/>
    <w:pPr>
      <w:tabs>
        <w:tab w:val="clear" w:pos="403"/>
        <w:tab w:val="left" w:pos="426"/>
        <w:tab w:val="left" w:pos="851"/>
        <w:tab w:val="left" w:pos="1276"/>
        <w:tab w:val="left" w:pos="1701"/>
        <w:tab w:val="left" w:pos="2127"/>
      </w:tabs>
      <w:overflowPunct w:val="0"/>
      <w:autoSpaceDE w:val="0"/>
      <w:autoSpaceDN w:val="0"/>
      <w:adjustRightInd w:val="0"/>
      <w:spacing w:before="90" w:after="180"/>
      <w:jc w:val="left"/>
    </w:pPr>
    <w:rPr>
      <w:rFonts w:ascii="Times New Roman" w:eastAsia="SimSun" w:hAnsi="Times New Roman"/>
      <w:b/>
      <w:szCs w:val="20"/>
    </w:rPr>
  </w:style>
  <w:style w:type="paragraph" w:styleId="TableofFigures">
    <w:name w:val="table of figures"/>
    <w:basedOn w:val="Normal"/>
    <w:next w:val="Normal"/>
    <w:uiPriority w:val="99"/>
    <w:semiHidden/>
    <w:unhideWhenUsed/>
    <w:rsid w:val="001E7DB6"/>
    <w:pPr>
      <w:tabs>
        <w:tab w:val="clear" w:pos="403"/>
      </w:tabs>
      <w:overflowPunct w:val="0"/>
      <w:autoSpaceDE w:val="0"/>
      <w:autoSpaceDN w:val="0"/>
      <w:adjustRightInd w:val="0"/>
      <w:spacing w:before="136" w:after="0" w:line="240" w:lineRule="auto"/>
      <w:ind w:left="400" w:hanging="400"/>
    </w:pPr>
    <w:rPr>
      <w:rFonts w:ascii="Times New Roman" w:eastAsia="Malgun Gothic" w:hAnsi="Times New Roman"/>
      <w:sz w:val="20"/>
      <w:szCs w:val="20"/>
    </w:rPr>
  </w:style>
  <w:style w:type="paragraph" w:styleId="EndnoteText">
    <w:name w:val="endnote text"/>
    <w:basedOn w:val="Normal"/>
    <w:link w:val="EndnoteTextChar"/>
    <w:uiPriority w:val="99"/>
    <w:semiHidden/>
    <w:unhideWhenUsed/>
    <w:rsid w:val="001E7DB6"/>
    <w:pPr>
      <w:tabs>
        <w:tab w:val="clear" w:pos="403"/>
      </w:tabs>
      <w:spacing w:after="75" w:line="240" w:lineRule="auto"/>
    </w:pPr>
    <w:rPr>
      <w:rFonts w:ascii="Times New Roman" w:eastAsia="Malgun Gothic" w:hAnsi="Times New Roman"/>
      <w:sz w:val="20"/>
      <w:szCs w:val="20"/>
      <w:lang w:eastAsia="zh-CN"/>
    </w:rPr>
  </w:style>
  <w:style w:type="character" w:customStyle="1" w:styleId="EndnoteTextChar">
    <w:name w:val="Endnote Text Char"/>
    <w:basedOn w:val="DefaultParagraphFont"/>
    <w:link w:val="EndnoteText"/>
    <w:uiPriority w:val="99"/>
    <w:semiHidden/>
    <w:locked/>
    <w:rsid w:val="001E7DB6"/>
    <w:rPr>
      <w:rFonts w:ascii="Times New Roman" w:eastAsia="Malgun Gothic" w:hAnsi="Times New Roman" w:cs="Times New Roman"/>
      <w:lang w:val="en-GB" w:eastAsia="zh-CN"/>
    </w:rPr>
  </w:style>
  <w:style w:type="paragraph" w:styleId="ListBullet">
    <w:name w:val="List Bullet"/>
    <w:basedOn w:val="Normal"/>
    <w:uiPriority w:val="99"/>
    <w:semiHidden/>
    <w:unhideWhenUsed/>
    <w:rsid w:val="001E7DB6"/>
    <w:pPr>
      <w:numPr>
        <w:numId w:val="149"/>
      </w:num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136" w:after="0" w:line="240" w:lineRule="auto"/>
    </w:pPr>
    <w:rPr>
      <w:rFonts w:ascii="Times New Roman" w:eastAsia="Malgun Gothic" w:hAnsi="Times New Roman"/>
      <w:sz w:val="20"/>
      <w:szCs w:val="20"/>
    </w:rPr>
  </w:style>
  <w:style w:type="paragraph" w:styleId="ListNumber">
    <w:name w:val="List Number"/>
    <w:aliases w:val="OL"/>
    <w:basedOn w:val="Normal"/>
    <w:uiPriority w:val="99"/>
    <w:semiHidden/>
    <w:unhideWhenUsed/>
    <w:rsid w:val="001E7DB6"/>
    <w:pPr>
      <w:numPr>
        <w:numId w:val="150"/>
      </w:numPr>
      <w:tabs>
        <w:tab w:val="clear" w:pos="360"/>
        <w:tab w:val="clear" w:pos="403"/>
        <w:tab w:val="left" w:pos="400"/>
      </w:tabs>
      <w:spacing w:line="230" w:lineRule="atLeast"/>
    </w:pPr>
    <w:rPr>
      <w:rFonts w:ascii="Times New Roman" w:eastAsia="MS Mincho" w:hAnsi="Times New Roman"/>
      <w:sz w:val="20"/>
      <w:szCs w:val="20"/>
      <w:lang w:eastAsia="ja-JP"/>
    </w:rPr>
  </w:style>
  <w:style w:type="paragraph" w:styleId="ListBullet4">
    <w:name w:val="List Bullet 4"/>
    <w:basedOn w:val="Normal"/>
    <w:autoRedefine/>
    <w:uiPriority w:val="99"/>
    <w:semiHidden/>
    <w:unhideWhenUsed/>
    <w:rsid w:val="001E7DB6"/>
    <w:pPr>
      <w:tabs>
        <w:tab w:val="clear" w:pos="403"/>
        <w:tab w:val="clear" w:pos="1210"/>
        <w:tab w:val="num" w:pos="1209"/>
      </w:tabs>
      <w:spacing w:line="230" w:lineRule="atLeast"/>
      <w:ind w:left="1209" w:hanging="360"/>
    </w:pPr>
    <w:rPr>
      <w:rFonts w:ascii="Arial" w:eastAsia="MS Mincho" w:hAnsi="Arial"/>
      <w:sz w:val="20"/>
      <w:szCs w:val="20"/>
      <w:lang w:eastAsia="ja-JP"/>
    </w:rPr>
  </w:style>
  <w:style w:type="paragraph" w:styleId="ListNumber2">
    <w:name w:val="List Number 2"/>
    <w:basedOn w:val="Normal"/>
    <w:uiPriority w:val="99"/>
    <w:semiHidden/>
    <w:unhideWhenUsed/>
    <w:rsid w:val="001E7DB6"/>
    <w:pPr>
      <w:numPr>
        <w:ilvl w:val="1"/>
        <w:numId w:val="150"/>
      </w:numPr>
      <w:tabs>
        <w:tab w:val="clear" w:pos="403"/>
        <w:tab w:val="clear" w:pos="806"/>
        <w:tab w:val="left" w:pos="800"/>
      </w:tabs>
      <w:spacing w:line="230" w:lineRule="atLeast"/>
    </w:pPr>
    <w:rPr>
      <w:rFonts w:ascii="Times New Roman" w:eastAsia="MS Mincho" w:hAnsi="Times New Roman"/>
      <w:sz w:val="20"/>
      <w:szCs w:val="20"/>
      <w:lang w:eastAsia="ja-JP"/>
    </w:rPr>
  </w:style>
  <w:style w:type="paragraph" w:styleId="ListNumber3">
    <w:name w:val="List Number 3"/>
    <w:basedOn w:val="Normal"/>
    <w:uiPriority w:val="99"/>
    <w:semiHidden/>
    <w:unhideWhenUsed/>
    <w:rsid w:val="001E7DB6"/>
    <w:pPr>
      <w:numPr>
        <w:ilvl w:val="2"/>
        <w:numId w:val="150"/>
      </w:numPr>
      <w:tabs>
        <w:tab w:val="clear" w:pos="403"/>
        <w:tab w:val="clear" w:pos="1210"/>
        <w:tab w:val="left" w:pos="1200"/>
      </w:tabs>
      <w:spacing w:line="230" w:lineRule="atLeast"/>
    </w:pPr>
    <w:rPr>
      <w:rFonts w:ascii="Times New Roman" w:eastAsia="MS Mincho" w:hAnsi="Times New Roman"/>
      <w:sz w:val="20"/>
      <w:szCs w:val="20"/>
      <w:lang w:eastAsia="ja-JP"/>
    </w:rPr>
  </w:style>
  <w:style w:type="paragraph" w:styleId="ListNumber4">
    <w:name w:val="List Number 4"/>
    <w:basedOn w:val="Normal"/>
    <w:uiPriority w:val="99"/>
    <w:semiHidden/>
    <w:unhideWhenUsed/>
    <w:rsid w:val="001E7DB6"/>
    <w:pPr>
      <w:numPr>
        <w:ilvl w:val="3"/>
        <w:numId w:val="150"/>
      </w:numPr>
      <w:tabs>
        <w:tab w:val="clear" w:pos="403"/>
        <w:tab w:val="clear" w:pos="1613"/>
        <w:tab w:val="left" w:pos="1600"/>
      </w:tabs>
      <w:spacing w:line="230" w:lineRule="atLeast"/>
    </w:pPr>
    <w:rPr>
      <w:rFonts w:ascii="Times New Roman" w:eastAsia="MS Mincho" w:hAnsi="Times New Roman"/>
      <w:sz w:val="20"/>
      <w:szCs w:val="20"/>
      <w:lang w:eastAsia="ja-JP"/>
    </w:rPr>
  </w:style>
  <w:style w:type="paragraph" w:styleId="ListNumber5">
    <w:name w:val="List Number 5"/>
    <w:basedOn w:val="Normal"/>
    <w:uiPriority w:val="99"/>
    <w:semiHidden/>
    <w:unhideWhenUsed/>
    <w:rsid w:val="001E7DB6"/>
    <w:pPr>
      <w:numPr>
        <w:numId w:val="151"/>
      </w:numPr>
      <w:tabs>
        <w:tab w:val="clear" w:pos="403"/>
        <w:tab w:val="clear" w:pos="1440"/>
        <w:tab w:val="num" w:pos="0"/>
        <w:tab w:val="num" w:pos="1492"/>
      </w:tabs>
      <w:spacing w:line="230" w:lineRule="atLeast"/>
      <w:ind w:left="1492" w:hanging="403"/>
    </w:pPr>
    <w:rPr>
      <w:rFonts w:ascii="Arial" w:eastAsia="MS Mincho" w:hAnsi="Arial"/>
      <w:sz w:val="20"/>
      <w:szCs w:val="20"/>
      <w:lang w:eastAsia="ja-JP"/>
    </w:rPr>
  </w:style>
  <w:style w:type="paragraph" w:customStyle="1" w:styleId="heading1aftertitle">
    <w:name w:val="heading 1aftertitle"/>
    <w:basedOn w:val="Heading1"/>
    <w:next w:val="Normal"/>
    <w:uiPriority w:val="99"/>
    <w:rsid w:val="001E7DB6"/>
    <w:pPr>
      <w:keepLines/>
      <w:tabs>
        <w:tab w:val="left" w:pos="794"/>
        <w:tab w:val="left" w:pos="1191"/>
        <w:tab w:val="left" w:pos="1588"/>
        <w:tab w:val="left" w:pos="1985"/>
      </w:tabs>
      <w:suppressAutoHyphens w:val="0"/>
      <w:overflowPunct w:val="0"/>
      <w:autoSpaceDE w:val="0"/>
      <w:autoSpaceDN w:val="0"/>
      <w:adjustRightInd w:val="0"/>
      <w:spacing w:before="1134" w:after="0" w:line="240" w:lineRule="auto"/>
      <w:outlineLvl w:val="9"/>
    </w:pPr>
    <w:rPr>
      <w:rFonts w:ascii="Times New Roman" w:eastAsia="SimSun" w:hAnsi="Times New Roman"/>
      <w:sz w:val="24"/>
      <w:szCs w:val="20"/>
      <w:lang w:eastAsia="en-US"/>
    </w:rPr>
  </w:style>
  <w:style w:type="paragraph" w:styleId="Title">
    <w:name w:val="Title"/>
    <w:basedOn w:val="Normal"/>
    <w:next w:val="heading1aftertitle"/>
    <w:link w:val="TitleChar"/>
    <w:uiPriority w:val="99"/>
    <w:qFormat/>
    <w:rsid w:val="001E7DB6"/>
    <w:p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840" w:after="480" w:line="240" w:lineRule="auto"/>
      <w:jc w:val="center"/>
    </w:pPr>
    <w:rPr>
      <w:rFonts w:ascii="Times New Roman" w:eastAsia="SimSun" w:hAnsi="Times New Roman"/>
      <w:b/>
      <w:sz w:val="24"/>
      <w:szCs w:val="20"/>
    </w:rPr>
  </w:style>
  <w:style w:type="character" w:customStyle="1" w:styleId="TitleChar">
    <w:name w:val="Title Char"/>
    <w:basedOn w:val="DefaultParagraphFont"/>
    <w:link w:val="Title"/>
    <w:uiPriority w:val="99"/>
    <w:locked/>
    <w:rsid w:val="001E7DB6"/>
    <w:rPr>
      <w:rFonts w:ascii="Times New Roman" w:eastAsia="SimSun" w:hAnsi="Times New Roman" w:cs="Times New Roman"/>
      <w:b/>
      <w:sz w:val="24"/>
      <w:lang w:val="en-GB" w:eastAsia="x-none"/>
    </w:rPr>
  </w:style>
  <w:style w:type="paragraph" w:styleId="BodyTextIndent">
    <w:name w:val="Body Text Indent"/>
    <w:basedOn w:val="Normal"/>
    <w:link w:val="BodyTextIndentChar"/>
    <w:uiPriority w:val="99"/>
    <w:semiHidden/>
    <w:unhideWhenUsed/>
    <w:rsid w:val="001E7DB6"/>
    <w:p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136" w:after="120" w:line="480" w:lineRule="auto"/>
    </w:pPr>
    <w:rPr>
      <w:rFonts w:ascii="Times New Roman" w:eastAsia="Malgun Gothic" w:hAnsi="Times New Roman"/>
      <w:sz w:val="20"/>
      <w:szCs w:val="20"/>
      <w:lang w:eastAsia="zh-CN"/>
    </w:rPr>
  </w:style>
  <w:style w:type="character" w:customStyle="1" w:styleId="BodyTextIndentChar">
    <w:name w:val="Body Text Indent Char"/>
    <w:basedOn w:val="DefaultParagraphFont"/>
    <w:link w:val="BodyTextIndent"/>
    <w:uiPriority w:val="99"/>
    <w:semiHidden/>
    <w:locked/>
    <w:rsid w:val="001E7DB6"/>
    <w:rPr>
      <w:rFonts w:ascii="Times New Roman" w:eastAsia="Malgun Gothic" w:hAnsi="Times New Roman" w:cs="Times New Roman"/>
      <w:lang w:val="en-GB" w:eastAsia="zh-CN"/>
    </w:rPr>
  </w:style>
  <w:style w:type="paragraph" w:styleId="ListContinue">
    <w:name w:val="List Continue"/>
    <w:aliases w:val="list 1,list-1"/>
    <w:basedOn w:val="Normal"/>
    <w:uiPriority w:val="99"/>
    <w:semiHidden/>
    <w:unhideWhenUsed/>
    <w:rsid w:val="001E7DB6"/>
    <w:pPr>
      <w:numPr>
        <w:numId w:val="152"/>
      </w:numPr>
      <w:tabs>
        <w:tab w:val="clear" w:pos="403"/>
        <w:tab w:val="left" w:pos="400"/>
      </w:tabs>
      <w:spacing w:line="230" w:lineRule="atLeast"/>
    </w:pPr>
    <w:rPr>
      <w:rFonts w:ascii="Times New Roman" w:eastAsia="MS Mincho" w:hAnsi="Times New Roman"/>
      <w:sz w:val="20"/>
      <w:szCs w:val="20"/>
      <w:lang w:eastAsia="ja-JP"/>
    </w:rPr>
  </w:style>
  <w:style w:type="paragraph" w:styleId="ListContinue2">
    <w:name w:val="List Continue 2"/>
    <w:aliases w:val="list-2"/>
    <w:basedOn w:val="ListContinue"/>
    <w:uiPriority w:val="99"/>
    <w:semiHidden/>
    <w:unhideWhenUsed/>
    <w:rsid w:val="001E7DB6"/>
    <w:pPr>
      <w:numPr>
        <w:ilvl w:val="1"/>
      </w:numPr>
      <w:tabs>
        <w:tab w:val="clear" w:pos="400"/>
        <w:tab w:val="clear" w:pos="806"/>
        <w:tab w:val="num" w:pos="-31680"/>
        <w:tab w:val="left" w:pos="800"/>
        <w:tab w:val="num" w:pos="1268"/>
        <w:tab w:val="num" w:pos="1440"/>
      </w:tabs>
      <w:ind w:hanging="360"/>
    </w:pPr>
  </w:style>
  <w:style w:type="paragraph" w:styleId="ListContinue3">
    <w:name w:val="List Continue 3"/>
    <w:aliases w:val="list-3"/>
    <w:basedOn w:val="ListContinue"/>
    <w:uiPriority w:val="99"/>
    <w:semiHidden/>
    <w:unhideWhenUsed/>
    <w:rsid w:val="001E7DB6"/>
    <w:pPr>
      <w:numPr>
        <w:ilvl w:val="2"/>
      </w:numPr>
      <w:tabs>
        <w:tab w:val="clear" w:pos="400"/>
        <w:tab w:val="clear" w:pos="1210"/>
        <w:tab w:val="num" w:pos="-31680"/>
        <w:tab w:val="left" w:pos="1200"/>
        <w:tab w:val="num" w:pos="1988"/>
        <w:tab w:val="num" w:pos="2160"/>
      </w:tabs>
      <w:ind w:hanging="180"/>
    </w:pPr>
  </w:style>
  <w:style w:type="paragraph" w:styleId="ListContinue4">
    <w:name w:val="List Continue 4"/>
    <w:aliases w:val="list-4"/>
    <w:basedOn w:val="ListContinue"/>
    <w:uiPriority w:val="99"/>
    <w:semiHidden/>
    <w:unhideWhenUsed/>
    <w:rsid w:val="001E7DB6"/>
    <w:pPr>
      <w:numPr>
        <w:ilvl w:val="3"/>
      </w:numPr>
      <w:tabs>
        <w:tab w:val="clear" w:pos="400"/>
        <w:tab w:val="clear" w:pos="1613"/>
        <w:tab w:val="num" w:pos="-31680"/>
        <w:tab w:val="left" w:pos="1600"/>
        <w:tab w:val="num" w:pos="2708"/>
        <w:tab w:val="num" w:pos="2880"/>
      </w:tabs>
      <w:ind w:hanging="360"/>
    </w:pPr>
  </w:style>
  <w:style w:type="paragraph" w:styleId="MessageHeader">
    <w:name w:val="Message Header"/>
    <w:basedOn w:val="Normal"/>
    <w:link w:val="MessageHeaderChar"/>
    <w:uiPriority w:val="99"/>
    <w:semiHidden/>
    <w:unhideWhenUsed/>
    <w:rsid w:val="001E7DB6"/>
    <w:pPr>
      <w:pBdr>
        <w:top w:val="single" w:sz="6" w:space="1" w:color="auto"/>
        <w:left w:val="single" w:sz="6" w:space="1" w:color="auto"/>
        <w:bottom w:val="single" w:sz="6" w:space="1" w:color="auto"/>
        <w:right w:val="single" w:sz="6" w:space="1" w:color="auto"/>
      </w:pBdr>
      <w:shd w:val="pct20" w:color="auto" w:fill="auto"/>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136" w:after="0" w:line="240" w:lineRule="auto"/>
      <w:ind w:left="1080" w:hanging="1080"/>
    </w:pPr>
    <w:rPr>
      <w:rFonts w:eastAsia="SimSun"/>
      <w:sz w:val="24"/>
      <w:szCs w:val="24"/>
    </w:rPr>
  </w:style>
  <w:style w:type="character" w:customStyle="1" w:styleId="MessageHeaderChar">
    <w:name w:val="Message Header Char"/>
    <w:basedOn w:val="DefaultParagraphFont"/>
    <w:link w:val="MessageHeader"/>
    <w:uiPriority w:val="99"/>
    <w:semiHidden/>
    <w:locked/>
    <w:rsid w:val="001E7DB6"/>
    <w:rPr>
      <w:rFonts w:eastAsia="SimSun" w:cs="Times New Roman"/>
      <w:sz w:val="24"/>
      <w:szCs w:val="24"/>
      <w:shd w:val="pct20" w:color="auto" w:fill="auto"/>
      <w:lang w:val="en-GB" w:eastAsia="x-none"/>
    </w:rPr>
  </w:style>
  <w:style w:type="paragraph" w:styleId="Date">
    <w:name w:val="Date"/>
    <w:basedOn w:val="Normal"/>
    <w:next w:val="Normal"/>
    <w:link w:val="DateChar"/>
    <w:uiPriority w:val="99"/>
    <w:semiHidden/>
    <w:unhideWhenUsed/>
    <w:rsid w:val="001E7DB6"/>
    <w:p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136" w:after="0" w:line="240" w:lineRule="auto"/>
    </w:pPr>
    <w:rPr>
      <w:rFonts w:ascii="Times New Roman" w:eastAsia="Malgun Gothic" w:hAnsi="Times New Roman"/>
      <w:sz w:val="20"/>
      <w:szCs w:val="20"/>
      <w:lang w:eastAsia="zh-CN"/>
    </w:rPr>
  </w:style>
  <w:style w:type="character" w:customStyle="1" w:styleId="DateChar">
    <w:name w:val="Date Char"/>
    <w:basedOn w:val="DefaultParagraphFont"/>
    <w:link w:val="Date"/>
    <w:uiPriority w:val="99"/>
    <w:semiHidden/>
    <w:locked/>
    <w:rsid w:val="001E7DB6"/>
    <w:rPr>
      <w:rFonts w:ascii="Times New Roman" w:eastAsia="Malgun Gothic" w:hAnsi="Times New Roman" w:cs="Times New Roman"/>
      <w:lang w:val="en-GB" w:eastAsia="zh-CN"/>
    </w:rPr>
  </w:style>
  <w:style w:type="paragraph" w:styleId="BodyText2">
    <w:name w:val="Body Text 2"/>
    <w:basedOn w:val="Normal"/>
    <w:link w:val="BodyText2Char"/>
    <w:uiPriority w:val="99"/>
    <w:semiHidden/>
    <w:unhideWhenUsed/>
    <w:rsid w:val="001E7DB6"/>
    <w:p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136" w:after="120" w:line="480" w:lineRule="auto"/>
    </w:pPr>
    <w:rPr>
      <w:rFonts w:ascii="Times New Roman" w:eastAsia="Malgun Gothic" w:hAnsi="Times New Roman"/>
      <w:sz w:val="20"/>
      <w:szCs w:val="20"/>
      <w:lang w:eastAsia="zh-CN"/>
    </w:rPr>
  </w:style>
  <w:style w:type="character" w:customStyle="1" w:styleId="BodyText2Char">
    <w:name w:val="Body Text 2 Char"/>
    <w:basedOn w:val="DefaultParagraphFont"/>
    <w:link w:val="BodyText2"/>
    <w:uiPriority w:val="99"/>
    <w:semiHidden/>
    <w:locked/>
    <w:rsid w:val="001E7DB6"/>
    <w:rPr>
      <w:rFonts w:ascii="Times New Roman" w:eastAsia="Malgun Gothic" w:hAnsi="Times New Roman" w:cs="Times New Roman"/>
      <w:lang w:val="en-GB" w:eastAsia="zh-CN"/>
    </w:rPr>
  </w:style>
  <w:style w:type="paragraph" w:styleId="BodyText3">
    <w:name w:val="Body Text 3"/>
    <w:basedOn w:val="Normal"/>
    <w:link w:val="BodyText3Char"/>
    <w:uiPriority w:val="99"/>
    <w:semiHidden/>
    <w:unhideWhenUsed/>
    <w:rsid w:val="001E7DB6"/>
    <w:p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136" w:after="120" w:line="240" w:lineRule="auto"/>
    </w:pPr>
    <w:rPr>
      <w:rFonts w:ascii="Times New Roman" w:eastAsia="Malgun Gothic" w:hAnsi="Times New Roman"/>
      <w:sz w:val="16"/>
      <w:szCs w:val="16"/>
      <w:lang w:eastAsia="zh-CN"/>
    </w:rPr>
  </w:style>
  <w:style w:type="character" w:customStyle="1" w:styleId="BodyText3Char">
    <w:name w:val="Body Text 3 Char"/>
    <w:basedOn w:val="DefaultParagraphFont"/>
    <w:link w:val="BodyText3"/>
    <w:uiPriority w:val="99"/>
    <w:semiHidden/>
    <w:locked/>
    <w:rsid w:val="001E7DB6"/>
    <w:rPr>
      <w:rFonts w:ascii="Times New Roman" w:eastAsia="Malgun Gothic" w:hAnsi="Times New Roman" w:cs="Times New Roman"/>
      <w:sz w:val="16"/>
      <w:szCs w:val="16"/>
      <w:lang w:val="en-GB" w:eastAsia="zh-CN"/>
    </w:rPr>
  </w:style>
  <w:style w:type="paragraph" w:styleId="BodyTextIndent2">
    <w:name w:val="Body Text Indent 2"/>
    <w:basedOn w:val="Normal"/>
    <w:link w:val="BodyTextIndent2Char"/>
    <w:uiPriority w:val="99"/>
    <w:semiHidden/>
    <w:unhideWhenUsed/>
    <w:rsid w:val="001E7DB6"/>
    <w:p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136" w:after="120" w:line="480" w:lineRule="auto"/>
      <w:ind w:left="283"/>
    </w:pPr>
    <w:rPr>
      <w:rFonts w:ascii="Times New Roman" w:eastAsia="Malgun Gothic" w:hAnsi="Times New Roman"/>
      <w:sz w:val="20"/>
      <w:szCs w:val="20"/>
      <w:lang w:eastAsia="zh-CN"/>
    </w:rPr>
  </w:style>
  <w:style w:type="character" w:customStyle="1" w:styleId="BodyTextIndent2Char">
    <w:name w:val="Body Text Indent 2 Char"/>
    <w:basedOn w:val="DefaultParagraphFont"/>
    <w:link w:val="BodyTextIndent2"/>
    <w:uiPriority w:val="99"/>
    <w:semiHidden/>
    <w:locked/>
    <w:rsid w:val="001E7DB6"/>
    <w:rPr>
      <w:rFonts w:ascii="Times New Roman" w:eastAsia="Malgun Gothic" w:hAnsi="Times New Roman" w:cs="Times New Roman"/>
      <w:lang w:val="en-GB" w:eastAsia="zh-CN"/>
    </w:rPr>
  </w:style>
  <w:style w:type="paragraph" w:styleId="BodyTextIndent3">
    <w:name w:val="Body Text Indent 3"/>
    <w:basedOn w:val="Normal"/>
    <w:link w:val="BodyTextIndent3Char"/>
    <w:uiPriority w:val="99"/>
    <w:semiHidden/>
    <w:unhideWhenUsed/>
    <w:rsid w:val="001E7DB6"/>
    <w:pPr>
      <w:tabs>
        <w:tab w:val="clear" w:pos="403"/>
      </w:tabs>
      <w:spacing w:before="136" w:after="0" w:line="240" w:lineRule="auto"/>
      <w:ind w:left="720"/>
    </w:pPr>
    <w:rPr>
      <w:rFonts w:ascii="Times New Roman" w:eastAsia="Malgun Gothic" w:hAnsi="Times New Roman"/>
      <w:sz w:val="16"/>
      <w:szCs w:val="16"/>
      <w:lang w:eastAsia="zh-CN"/>
    </w:rPr>
  </w:style>
  <w:style w:type="character" w:customStyle="1" w:styleId="BodyTextIndent3Char">
    <w:name w:val="Body Text Indent 3 Char"/>
    <w:basedOn w:val="DefaultParagraphFont"/>
    <w:link w:val="BodyTextIndent3"/>
    <w:uiPriority w:val="99"/>
    <w:semiHidden/>
    <w:locked/>
    <w:rsid w:val="001E7DB6"/>
    <w:rPr>
      <w:rFonts w:ascii="Times New Roman" w:eastAsia="Malgun Gothic" w:hAnsi="Times New Roman" w:cs="Times New Roman"/>
      <w:sz w:val="16"/>
      <w:szCs w:val="16"/>
      <w:lang w:val="en-GB" w:eastAsia="zh-CN"/>
    </w:rPr>
  </w:style>
  <w:style w:type="paragraph" w:styleId="DocumentMap">
    <w:name w:val="Document Map"/>
    <w:basedOn w:val="Normal"/>
    <w:link w:val="DocumentMapChar"/>
    <w:uiPriority w:val="99"/>
    <w:semiHidden/>
    <w:unhideWhenUsed/>
    <w:rsid w:val="001E7DB6"/>
    <w:pPr>
      <w:shd w:val="clear" w:color="auto" w:fill="000080"/>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136" w:after="0" w:line="240" w:lineRule="auto"/>
    </w:pPr>
    <w:rPr>
      <w:rFonts w:ascii="Times New Roman" w:eastAsia="Malgun Gothic" w:hAnsi="Times New Roman"/>
      <w:sz w:val="16"/>
      <w:szCs w:val="20"/>
      <w:lang w:eastAsia="zh-CN"/>
    </w:rPr>
  </w:style>
  <w:style w:type="character" w:customStyle="1" w:styleId="DocumentMapChar">
    <w:name w:val="Document Map Char"/>
    <w:basedOn w:val="DefaultParagraphFont"/>
    <w:link w:val="DocumentMap"/>
    <w:uiPriority w:val="99"/>
    <w:semiHidden/>
    <w:locked/>
    <w:rsid w:val="001E7DB6"/>
    <w:rPr>
      <w:rFonts w:ascii="Times New Roman" w:eastAsia="Malgun Gothic" w:hAnsi="Times New Roman" w:cs="Times New Roman"/>
      <w:sz w:val="16"/>
      <w:shd w:val="clear" w:color="auto" w:fill="000080"/>
      <w:lang w:val="en-GB" w:eastAsia="zh-CN"/>
    </w:rPr>
  </w:style>
  <w:style w:type="paragraph" w:styleId="PlainText">
    <w:name w:val="Plain Text"/>
    <w:basedOn w:val="Normal"/>
    <w:link w:val="PlainTextChar"/>
    <w:uiPriority w:val="99"/>
    <w:semiHidden/>
    <w:unhideWhenUsed/>
    <w:rsid w:val="001E7DB6"/>
    <w:pPr>
      <w:tabs>
        <w:tab w:val="clear" w:pos="403"/>
      </w:tabs>
      <w:spacing w:after="0" w:line="240" w:lineRule="auto"/>
      <w:jc w:val="left"/>
    </w:pPr>
    <w:rPr>
      <w:rFonts w:ascii="Calibri" w:eastAsia="SimSun" w:hAnsi="Calibri" w:cs="Consolas"/>
      <w:szCs w:val="21"/>
      <w:lang w:val="en-US"/>
    </w:rPr>
  </w:style>
  <w:style w:type="character" w:customStyle="1" w:styleId="PlainTextChar">
    <w:name w:val="Plain Text Char"/>
    <w:basedOn w:val="DefaultParagraphFont"/>
    <w:link w:val="PlainText"/>
    <w:uiPriority w:val="99"/>
    <w:semiHidden/>
    <w:locked/>
    <w:rsid w:val="001E7DB6"/>
    <w:rPr>
      <w:rFonts w:ascii="Calibri" w:eastAsia="SimSun" w:hAnsi="Calibri" w:cs="Consolas"/>
      <w:sz w:val="21"/>
      <w:szCs w:val="21"/>
    </w:rPr>
  </w:style>
  <w:style w:type="paragraph" w:customStyle="1" w:styleId="TableLegend">
    <w:name w:val="Table_Legend"/>
    <w:basedOn w:val="Normal"/>
    <w:next w:val="Normal"/>
    <w:uiPriority w:val="99"/>
    <w:rsid w:val="001E7DB6"/>
    <w:pPr>
      <w:keepNext/>
      <w:tabs>
        <w:tab w:val="clear" w:pos="403"/>
        <w:tab w:val="left" w:pos="454"/>
      </w:tabs>
      <w:overflowPunct w:val="0"/>
      <w:autoSpaceDE w:val="0"/>
      <w:autoSpaceDN w:val="0"/>
      <w:adjustRightInd w:val="0"/>
      <w:spacing w:before="86" w:after="0" w:line="240" w:lineRule="auto"/>
    </w:pPr>
    <w:rPr>
      <w:rFonts w:ascii="Times New Roman" w:eastAsia="SimSun" w:hAnsi="Times New Roman"/>
      <w:sz w:val="18"/>
      <w:szCs w:val="20"/>
    </w:rPr>
  </w:style>
  <w:style w:type="paragraph" w:customStyle="1" w:styleId="Figure">
    <w:name w:val="Figure"/>
    <w:basedOn w:val="Normal"/>
    <w:next w:val="Normal"/>
    <w:uiPriority w:val="99"/>
    <w:rsid w:val="001E7DB6"/>
    <w:p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240" w:after="480" w:line="240" w:lineRule="auto"/>
      <w:jc w:val="center"/>
    </w:pPr>
    <w:rPr>
      <w:rFonts w:ascii="Times New Roman" w:eastAsia="SimSun" w:hAnsi="Times New Roman"/>
      <w:sz w:val="20"/>
      <w:szCs w:val="20"/>
    </w:rPr>
  </w:style>
  <w:style w:type="paragraph" w:customStyle="1" w:styleId="FigureLegend">
    <w:name w:val="Figure_Legend"/>
    <w:basedOn w:val="TableLegend"/>
    <w:next w:val="Normal"/>
    <w:uiPriority w:val="99"/>
    <w:rsid w:val="001E7DB6"/>
  </w:style>
  <w:style w:type="paragraph" w:customStyle="1" w:styleId="FigureTitle">
    <w:name w:val="Figure_Title"/>
    <w:basedOn w:val="TableTitle"/>
    <w:next w:val="Normal"/>
    <w:uiPriority w:val="99"/>
    <w:rsid w:val="001E7DB6"/>
    <w:pPr>
      <w:spacing w:after="720"/>
      <w:textAlignment w:val="auto"/>
    </w:pPr>
    <w:rPr>
      <w:rFonts w:eastAsia="SimSun"/>
      <w:bCs w:val="0"/>
    </w:rPr>
  </w:style>
  <w:style w:type="paragraph" w:customStyle="1" w:styleId="Figure0">
    <w:name w:val="Figure_#"/>
    <w:basedOn w:val="Normal"/>
    <w:next w:val="FigureTitle"/>
    <w:uiPriority w:val="99"/>
    <w:rsid w:val="001E7DB6"/>
    <w:pPr>
      <w:keepNext/>
      <w:tabs>
        <w:tab w:val="clear" w:pos="403"/>
      </w:tabs>
      <w:overflowPunct w:val="0"/>
      <w:autoSpaceDE w:val="0"/>
      <w:autoSpaceDN w:val="0"/>
      <w:adjustRightInd w:val="0"/>
      <w:spacing w:before="567" w:after="113" w:line="240" w:lineRule="auto"/>
      <w:jc w:val="center"/>
    </w:pPr>
    <w:rPr>
      <w:rFonts w:ascii="Times New Roman" w:eastAsia="SimSun" w:hAnsi="Times New Roman"/>
      <w:sz w:val="20"/>
      <w:szCs w:val="20"/>
      <w:lang w:val="en-US"/>
    </w:rPr>
  </w:style>
  <w:style w:type="paragraph" w:customStyle="1" w:styleId="AnnexTitle">
    <w:name w:val="Annex_Title"/>
    <w:basedOn w:val="Normal"/>
    <w:next w:val="Normal"/>
    <w:uiPriority w:val="99"/>
    <w:rsid w:val="001E7DB6"/>
    <w:p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136" w:after="68" w:line="240" w:lineRule="auto"/>
      <w:jc w:val="center"/>
    </w:pPr>
    <w:rPr>
      <w:rFonts w:ascii="Times New Roman" w:eastAsia="SimSun" w:hAnsi="Times New Roman"/>
      <w:b/>
      <w:sz w:val="24"/>
      <w:szCs w:val="20"/>
    </w:rPr>
  </w:style>
  <w:style w:type="paragraph" w:customStyle="1" w:styleId="AnnexRef">
    <w:name w:val="Annex_Ref"/>
    <w:basedOn w:val="Normal"/>
    <w:next w:val="AnnexTitle"/>
    <w:uiPriority w:val="99"/>
    <w:rsid w:val="001E7DB6"/>
    <w:p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after="0" w:line="240" w:lineRule="auto"/>
      <w:jc w:val="center"/>
    </w:pPr>
    <w:rPr>
      <w:rFonts w:ascii="Times New Roman" w:eastAsia="SimSun" w:hAnsi="Times New Roman"/>
      <w:sz w:val="20"/>
      <w:szCs w:val="20"/>
    </w:rPr>
  </w:style>
  <w:style w:type="paragraph" w:customStyle="1" w:styleId="Fig">
    <w:name w:val="Fig_#"/>
    <w:basedOn w:val="Fig0"/>
    <w:next w:val="Normal"/>
    <w:uiPriority w:val="99"/>
    <w:rsid w:val="001E7DB6"/>
    <w:pPr>
      <w:jc w:val="left"/>
    </w:pPr>
    <w:rPr>
      <w:color w:val="FF0000"/>
    </w:rPr>
  </w:style>
  <w:style w:type="paragraph" w:customStyle="1" w:styleId="Fig0">
    <w:name w:val="Fig"/>
    <w:basedOn w:val="Figure"/>
    <w:next w:val="Fig"/>
    <w:uiPriority w:val="99"/>
    <w:rsid w:val="001E7DB6"/>
    <w:pPr>
      <w:spacing w:before="136" w:after="0"/>
    </w:pPr>
    <w:rPr>
      <w:lang w:val="en-US"/>
    </w:rPr>
  </w:style>
  <w:style w:type="paragraph" w:customStyle="1" w:styleId="SectionTitle">
    <w:name w:val="Section_Title"/>
    <w:basedOn w:val="Normal"/>
    <w:uiPriority w:val="99"/>
    <w:rsid w:val="001E7DB6"/>
    <w:pPr>
      <w:tabs>
        <w:tab w:val="clear" w:pos="403"/>
      </w:tabs>
      <w:overflowPunct w:val="0"/>
      <w:autoSpaceDE w:val="0"/>
      <w:autoSpaceDN w:val="0"/>
      <w:adjustRightInd w:val="0"/>
      <w:spacing w:before="136" w:after="0" w:line="240" w:lineRule="auto"/>
      <w:ind w:left="1418"/>
      <w:jc w:val="left"/>
    </w:pPr>
    <w:rPr>
      <w:rFonts w:ascii="Arial" w:eastAsia="SimSun" w:hAnsi="Arial"/>
      <w:sz w:val="32"/>
      <w:szCs w:val="20"/>
      <w:lang w:val="en-US"/>
    </w:rPr>
  </w:style>
  <w:style w:type="paragraph" w:customStyle="1" w:styleId="CouvRecTitle">
    <w:name w:val="Couv Rec Title"/>
    <w:basedOn w:val="Normal"/>
    <w:uiPriority w:val="99"/>
    <w:rsid w:val="001E7DB6"/>
    <w:pPr>
      <w:keepNext/>
      <w:keepLines/>
      <w:tabs>
        <w:tab w:val="clear" w:pos="403"/>
      </w:tabs>
      <w:overflowPunct w:val="0"/>
      <w:autoSpaceDE w:val="0"/>
      <w:autoSpaceDN w:val="0"/>
      <w:adjustRightInd w:val="0"/>
      <w:spacing w:before="240" w:after="0" w:line="240" w:lineRule="auto"/>
      <w:ind w:left="1418"/>
      <w:jc w:val="left"/>
    </w:pPr>
    <w:rPr>
      <w:rFonts w:ascii="Arial" w:eastAsia="SimSun" w:hAnsi="Arial"/>
      <w:b/>
      <w:sz w:val="36"/>
      <w:szCs w:val="20"/>
      <w:lang w:val="en-US"/>
    </w:rPr>
  </w:style>
  <w:style w:type="paragraph" w:customStyle="1" w:styleId="CouvRec">
    <w:name w:val="Couv Rec #"/>
    <w:basedOn w:val="Normal"/>
    <w:uiPriority w:val="99"/>
    <w:rsid w:val="001E7DB6"/>
    <w:pPr>
      <w:tabs>
        <w:tab w:val="clear" w:pos="403"/>
      </w:tabs>
      <w:overflowPunct w:val="0"/>
      <w:autoSpaceDE w:val="0"/>
      <w:autoSpaceDN w:val="0"/>
      <w:adjustRightInd w:val="0"/>
      <w:spacing w:before="6" w:after="0" w:line="240" w:lineRule="auto"/>
      <w:ind w:left="1418"/>
    </w:pPr>
    <w:rPr>
      <w:rFonts w:ascii="Arial" w:eastAsia="SimSun" w:hAnsi="Arial"/>
      <w:sz w:val="32"/>
      <w:szCs w:val="20"/>
      <w:lang w:val="en-US"/>
    </w:rPr>
  </w:style>
  <w:style w:type="paragraph" w:customStyle="1" w:styleId="CouvNote">
    <w:name w:val="Couv Note"/>
    <w:basedOn w:val="Normal"/>
    <w:uiPriority w:val="99"/>
    <w:rsid w:val="001E7DB6"/>
    <w:pPr>
      <w:tabs>
        <w:tab w:val="clear" w:pos="403"/>
        <w:tab w:val="left" w:pos="1134"/>
        <w:tab w:val="left" w:pos="1418"/>
      </w:tabs>
      <w:overflowPunct w:val="0"/>
      <w:autoSpaceDE w:val="0"/>
      <w:autoSpaceDN w:val="0"/>
      <w:adjustRightInd w:val="0"/>
      <w:spacing w:before="200" w:after="0" w:line="240" w:lineRule="auto"/>
    </w:pPr>
    <w:rPr>
      <w:rFonts w:ascii="Arial" w:eastAsia="SimSun" w:hAnsi="Arial"/>
      <w:sz w:val="20"/>
      <w:szCs w:val="20"/>
      <w:lang w:val="en-US"/>
    </w:rPr>
  </w:style>
  <w:style w:type="paragraph" w:customStyle="1" w:styleId="headfoot">
    <w:name w:val="head_foot"/>
    <w:basedOn w:val="Normal"/>
    <w:next w:val="Rec"/>
    <w:uiPriority w:val="99"/>
    <w:rsid w:val="001E7DB6"/>
    <w:pPr>
      <w:tabs>
        <w:tab w:val="clear" w:pos="403"/>
      </w:tabs>
      <w:overflowPunct w:val="0"/>
      <w:autoSpaceDE w:val="0"/>
      <w:autoSpaceDN w:val="0"/>
      <w:adjustRightInd w:val="0"/>
      <w:spacing w:after="0" w:line="240" w:lineRule="auto"/>
    </w:pPr>
    <w:rPr>
      <w:rFonts w:ascii="Times New Roman" w:eastAsia="SimSun" w:hAnsi="Times New Roman"/>
      <w:color w:val="FF0000"/>
      <w:sz w:val="8"/>
      <w:szCs w:val="20"/>
    </w:rPr>
  </w:style>
  <w:style w:type="paragraph" w:customStyle="1" w:styleId="Rec">
    <w:name w:val="Rec #"/>
    <w:basedOn w:val="Normal"/>
    <w:next w:val="headfoot"/>
    <w:uiPriority w:val="99"/>
    <w:rsid w:val="001E7DB6"/>
    <w:pPr>
      <w:keepNext/>
      <w:keepLines/>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720" w:after="0" w:line="240" w:lineRule="auto"/>
      <w:jc w:val="left"/>
    </w:pPr>
    <w:rPr>
      <w:rFonts w:ascii="Times New Roman" w:eastAsia="SimSun" w:hAnsi="Times New Roman"/>
      <w:b/>
      <w:sz w:val="20"/>
      <w:szCs w:val="20"/>
    </w:rPr>
  </w:style>
  <w:style w:type="paragraph" w:customStyle="1" w:styleId="SAP">
    <w:name w:val="SAP"/>
    <w:basedOn w:val="Normal"/>
    <w:uiPriority w:val="99"/>
    <w:rsid w:val="001E7DB6"/>
    <w:p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960" w:line="240" w:lineRule="auto"/>
      <w:jc w:val="right"/>
    </w:pPr>
    <w:rPr>
      <w:rFonts w:ascii="C39T36Lfz" w:eastAsia="SimSun" w:hAnsi="C39T36Lfz"/>
      <w:sz w:val="104"/>
      <w:szCs w:val="20"/>
    </w:rPr>
  </w:style>
  <w:style w:type="paragraph" w:customStyle="1" w:styleId="ASN1Continue">
    <w:name w:val="ASN.1 Continue"/>
    <w:basedOn w:val="ASN1"/>
    <w:uiPriority w:val="99"/>
    <w:rsid w:val="001E7DB6"/>
    <w:pPr>
      <w:spacing w:before="0"/>
    </w:pPr>
  </w:style>
  <w:style w:type="paragraph" w:customStyle="1" w:styleId="ASN1">
    <w:name w:val="ASN.1"/>
    <w:basedOn w:val="Normal"/>
    <w:next w:val="ASN1Continue"/>
    <w:uiPriority w:val="99"/>
    <w:rsid w:val="001E7DB6"/>
    <w:pPr>
      <w:tabs>
        <w:tab w:val="clear" w:pos="403"/>
        <w:tab w:val="clear" w:pos="806"/>
        <w:tab w:val="clear" w:pos="1210"/>
        <w:tab w:val="clear" w:pos="1613"/>
        <w:tab w:val="left" w:pos="794"/>
        <w:tab w:val="left" w:pos="1191"/>
        <w:tab w:val="left" w:pos="1588"/>
        <w:tab w:val="left" w:pos="1985"/>
        <w:tab w:val="left" w:pos="2381"/>
        <w:tab w:val="left" w:pos="2778"/>
        <w:tab w:val="left" w:pos="3175"/>
        <w:tab w:val="left" w:pos="3572"/>
        <w:tab w:val="left" w:pos="3969"/>
        <w:tab w:val="left" w:pos="4366"/>
        <w:tab w:val="left" w:pos="4763"/>
        <w:tab w:val="left" w:pos="5160"/>
        <w:tab w:val="left" w:pos="5557"/>
        <w:tab w:val="left" w:pos="5954"/>
        <w:tab w:val="left" w:pos="6350"/>
        <w:tab w:val="right" w:pos="9735"/>
      </w:tabs>
      <w:overflowPunct w:val="0"/>
      <w:autoSpaceDE w:val="0"/>
      <w:autoSpaceDN w:val="0"/>
      <w:adjustRightInd w:val="0"/>
      <w:spacing w:before="136" w:after="0" w:line="240" w:lineRule="auto"/>
      <w:jc w:val="left"/>
    </w:pPr>
    <w:rPr>
      <w:rFonts w:ascii="Times New Roman" w:eastAsia="SimSun" w:hAnsi="Times New Roman"/>
      <w:b/>
      <w:sz w:val="18"/>
      <w:szCs w:val="20"/>
    </w:rPr>
  </w:style>
  <w:style w:type="paragraph" w:customStyle="1" w:styleId="ASN1Italic">
    <w:name w:val="ASN.1 Italic"/>
    <w:basedOn w:val="ASN1"/>
    <w:uiPriority w:val="99"/>
    <w:rsid w:val="001E7DB6"/>
    <w:pPr>
      <w:spacing w:before="0"/>
    </w:pPr>
    <w:rPr>
      <w:b w:val="0"/>
      <w:i/>
      <w:sz w:val="20"/>
    </w:rPr>
  </w:style>
  <w:style w:type="character" w:customStyle="1" w:styleId="NoteChar2">
    <w:name w:val="Note Char2"/>
    <w:link w:val="Note"/>
    <w:locked/>
    <w:rsid w:val="001E7DB6"/>
    <w:rPr>
      <w:rFonts w:eastAsia="SimSun"/>
      <w:sz w:val="18"/>
      <w:lang w:val="en-GB" w:eastAsia="x-none"/>
    </w:rPr>
  </w:style>
  <w:style w:type="paragraph" w:customStyle="1" w:styleId="Note">
    <w:name w:val="Note"/>
    <w:basedOn w:val="Normal"/>
    <w:next w:val="Normal"/>
    <w:link w:val="NoteChar2"/>
    <w:qFormat/>
    <w:rsid w:val="001E7DB6"/>
    <w:pPr>
      <w:tabs>
        <w:tab w:val="clear" w:pos="403"/>
        <w:tab w:val="clear" w:pos="1210"/>
        <w:tab w:val="clear" w:pos="1613"/>
        <w:tab w:val="left" w:pos="1191"/>
        <w:tab w:val="left" w:pos="1588"/>
        <w:tab w:val="left" w:pos="1985"/>
      </w:tabs>
      <w:overflowPunct w:val="0"/>
      <w:autoSpaceDE w:val="0"/>
      <w:autoSpaceDN w:val="0"/>
      <w:adjustRightInd w:val="0"/>
      <w:spacing w:before="60" w:after="0" w:line="199" w:lineRule="exact"/>
      <w:ind w:firstLine="794"/>
    </w:pPr>
    <w:rPr>
      <w:rFonts w:eastAsia="SimSun"/>
      <w:sz w:val="18"/>
      <w:szCs w:val="20"/>
    </w:rPr>
  </w:style>
  <w:style w:type="paragraph" w:customStyle="1" w:styleId="foot">
    <w:name w:val="foot"/>
    <w:basedOn w:val="head"/>
    <w:next w:val="Heading1"/>
    <w:uiPriority w:val="99"/>
    <w:rsid w:val="001E7DB6"/>
  </w:style>
  <w:style w:type="paragraph" w:customStyle="1" w:styleId="head">
    <w:name w:val="head"/>
    <w:basedOn w:val="headfoot"/>
    <w:next w:val="foot"/>
    <w:uiPriority w:val="99"/>
    <w:rsid w:val="001E7DB6"/>
    <w:rPr>
      <w:color w:val="FFFFFF"/>
    </w:rPr>
  </w:style>
  <w:style w:type="paragraph" w:customStyle="1" w:styleId="RecISO">
    <w:name w:val="Rec_ISO_#"/>
    <w:basedOn w:val="Rec"/>
    <w:uiPriority w:val="99"/>
    <w:rsid w:val="001E7DB6"/>
    <w:pPr>
      <w:tabs>
        <w:tab w:val="clear" w:pos="794"/>
        <w:tab w:val="clear" w:pos="1191"/>
        <w:tab w:val="clear" w:pos="1588"/>
        <w:tab w:val="clear" w:pos="1985"/>
      </w:tabs>
    </w:pPr>
  </w:style>
  <w:style w:type="paragraph" w:customStyle="1" w:styleId="RecCCITT">
    <w:name w:val="Rec_CCITT_#"/>
    <w:basedOn w:val="RecISO"/>
    <w:uiPriority w:val="99"/>
    <w:rsid w:val="001E7DB6"/>
    <w:pPr>
      <w:spacing w:before="0"/>
    </w:pPr>
  </w:style>
  <w:style w:type="paragraph" w:customStyle="1" w:styleId="IndexTitle">
    <w:name w:val="Index_Title"/>
    <w:basedOn w:val="AnnexTitle"/>
    <w:uiPriority w:val="99"/>
    <w:rsid w:val="001E7DB6"/>
  </w:style>
  <w:style w:type="paragraph" w:customStyle="1" w:styleId="Note2">
    <w:name w:val="Note 2"/>
    <w:basedOn w:val="Normal"/>
    <w:uiPriority w:val="99"/>
    <w:qFormat/>
    <w:rsid w:val="001E7DB6"/>
    <w:pPr>
      <w:tabs>
        <w:tab w:val="clear" w:pos="403"/>
      </w:tabs>
      <w:overflowPunct w:val="0"/>
      <w:autoSpaceDE w:val="0"/>
      <w:autoSpaceDN w:val="0"/>
      <w:adjustRightInd w:val="0"/>
      <w:spacing w:before="60" w:after="0" w:line="199" w:lineRule="exact"/>
      <w:ind w:left="1077"/>
    </w:pPr>
    <w:rPr>
      <w:rFonts w:ascii="Times New Roman" w:eastAsia="SimSun" w:hAnsi="Times New Roman"/>
      <w:sz w:val="18"/>
      <w:szCs w:val="20"/>
    </w:rPr>
  </w:style>
  <w:style w:type="paragraph" w:customStyle="1" w:styleId="Note3">
    <w:name w:val="Note 3"/>
    <w:basedOn w:val="Note1"/>
    <w:uiPriority w:val="99"/>
    <w:rsid w:val="001E7DB6"/>
    <w:pPr>
      <w:spacing w:after="0" w:line="199" w:lineRule="exact"/>
      <w:ind w:left="1474"/>
      <w:textAlignment w:val="auto"/>
    </w:pPr>
    <w:rPr>
      <w:rFonts w:eastAsia="SimSun"/>
      <w:szCs w:val="20"/>
      <w:lang w:eastAsia="zh-CN"/>
    </w:rPr>
  </w:style>
  <w:style w:type="paragraph" w:customStyle="1" w:styleId="Normalaftertitle">
    <w:name w:val="Normal after title"/>
    <w:basedOn w:val="Normal"/>
    <w:uiPriority w:val="99"/>
    <w:rsid w:val="001E7DB6"/>
    <w:p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480" w:after="0" w:line="240" w:lineRule="auto"/>
    </w:pPr>
    <w:rPr>
      <w:rFonts w:ascii="Times" w:eastAsia="SimSun" w:hAnsi="Times"/>
      <w:sz w:val="20"/>
      <w:szCs w:val="20"/>
      <w:lang w:val="en-US"/>
    </w:rPr>
  </w:style>
  <w:style w:type="paragraph" w:customStyle="1" w:styleId="IndexTitle0">
    <w:name w:val="Index Title"/>
    <w:basedOn w:val="Normal"/>
    <w:uiPriority w:val="99"/>
    <w:rsid w:val="001E7DB6"/>
    <w:p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after="68" w:line="240" w:lineRule="auto"/>
      <w:jc w:val="center"/>
    </w:pPr>
    <w:rPr>
      <w:rFonts w:ascii="Times New Roman" w:eastAsia="SimSun" w:hAnsi="Times New Roman"/>
      <w:b/>
      <w:sz w:val="24"/>
      <w:szCs w:val="20"/>
    </w:rPr>
  </w:style>
  <w:style w:type="paragraph" w:customStyle="1" w:styleId="Cov">
    <w:name w:val="Cov"/>
    <w:basedOn w:val="Normal"/>
    <w:uiPriority w:val="99"/>
    <w:rsid w:val="001E7DB6"/>
    <w:pPr>
      <w:tabs>
        <w:tab w:val="clear" w:pos="403"/>
      </w:tabs>
      <w:overflowPunct w:val="0"/>
      <w:autoSpaceDE w:val="0"/>
      <w:autoSpaceDN w:val="0"/>
      <w:adjustRightInd w:val="0"/>
      <w:spacing w:before="80" w:after="80" w:line="240" w:lineRule="auto"/>
      <w:ind w:left="57"/>
      <w:jc w:val="left"/>
    </w:pPr>
    <w:rPr>
      <w:rFonts w:ascii="Times New Roman" w:eastAsia="SimSun" w:hAnsi="Times New Roman"/>
      <w:sz w:val="24"/>
      <w:szCs w:val="20"/>
    </w:rPr>
  </w:style>
  <w:style w:type="paragraph" w:customStyle="1" w:styleId="ASN1Cont">
    <w:name w:val="ASN.1 Cont."/>
    <w:basedOn w:val="ASN1"/>
    <w:uiPriority w:val="99"/>
    <w:rsid w:val="001E7DB6"/>
    <w:pPr>
      <w:spacing w:before="0"/>
    </w:pPr>
  </w:style>
  <w:style w:type="paragraph" w:customStyle="1" w:styleId="ASN1ital">
    <w:name w:val="ASN.1 ital"/>
    <w:basedOn w:val="ASN1"/>
    <w:uiPriority w:val="99"/>
    <w:rsid w:val="001E7DB6"/>
    <w:pPr>
      <w:spacing w:before="0"/>
      <w:jc w:val="both"/>
    </w:pPr>
    <w:rPr>
      <w:b w:val="0"/>
      <w:i/>
      <w:sz w:val="20"/>
    </w:rPr>
  </w:style>
  <w:style w:type="paragraph" w:customStyle="1" w:styleId="Headingi">
    <w:name w:val="Heading_i"/>
    <w:basedOn w:val="Heading3"/>
    <w:next w:val="Normal"/>
    <w:uiPriority w:val="99"/>
    <w:rsid w:val="001E7DB6"/>
    <w:pPr>
      <w:keepLines/>
      <w:tabs>
        <w:tab w:val="clear" w:pos="720"/>
        <w:tab w:val="left" w:pos="794"/>
        <w:tab w:val="left" w:pos="1191"/>
        <w:tab w:val="left" w:pos="1588"/>
        <w:tab w:val="left" w:pos="1985"/>
        <w:tab w:val="num" w:pos="2160"/>
      </w:tabs>
      <w:suppressAutoHyphens w:val="0"/>
      <w:overflowPunct w:val="0"/>
      <w:autoSpaceDE w:val="0"/>
      <w:autoSpaceDN w:val="0"/>
      <w:adjustRightInd w:val="0"/>
      <w:spacing w:before="181" w:after="0" w:line="240" w:lineRule="auto"/>
      <w:ind w:left="720" w:hanging="720"/>
      <w:jc w:val="both"/>
    </w:pPr>
    <w:rPr>
      <w:rFonts w:ascii="Times New Roman" w:eastAsia="SimSun" w:hAnsi="Times New Roman"/>
      <w:b w:val="0"/>
      <w:i/>
      <w:sz w:val="20"/>
      <w:szCs w:val="20"/>
      <w:lang w:val="en-GB" w:eastAsia="en-US"/>
    </w:rPr>
  </w:style>
  <w:style w:type="paragraph" w:customStyle="1" w:styleId="ColorfulList-Accent11">
    <w:name w:val="Colorful List - Accent 11"/>
    <w:basedOn w:val="Normal"/>
    <w:uiPriority w:val="34"/>
    <w:qFormat/>
    <w:rsid w:val="001E7DB6"/>
    <w:p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136" w:after="0" w:line="240" w:lineRule="auto"/>
      <w:ind w:left="720"/>
    </w:pPr>
    <w:rPr>
      <w:rFonts w:ascii="Times New Roman" w:eastAsia="Malgun Gothic" w:hAnsi="Times New Roman"/>
      <w:sz w:val="20"/>
      <w:szCs w:val="20"/>
    </w:rPr>
  </w:style>
  <w:style w:type="paragraph" w:customStyle="1" w:styleId="toc0">
    <w:name w:val="toc 0"/>
    <w:basedOn w:val="TOC1"/>
    <w:next w:val="TOC1"/>
    <w:uiPriority w:val="99"/>
    <w:rsid w:val="001E7DB6"/>
    <w:pPr>
      <w:tabs>
        <w:tab w:val="clear" w:pos="9752"/>
        <w:tab w:val="right" w:pos="9639"/>
      </w:tabs>
      <w:suppressAutoHyphens w:val="0"/>
      <w:overflowPunct w:val="0"/>
      <w:autoSpaceDE w:val="0"/>
      <w:autoSpaceDN w:val="0"/>
      <w:adjustRightInd w:val="0"/>
      <w:spacing w:line="240" w:lineRule="auto"/>
      <w:ind w:left="0" w:right="0" w:firstLine="0"/>
      <w:jc w:val="right"/>
    </w:pPr>
    <w:rPr>
      <w:rFonts w:ascii="Times New Roman" w:eastAsia="SimSun" w:hAnsi="Times New Roman"/>
      <w:b w:val="0"/>
      <w:i/>
      <w:sz w:val="20"/>
      <w:szCs w:val="20"/>
    </w:rPr>
  </w:style>
  <w:style w:type="paragraph" w:customStyle="1" w:styleId="Normalaftertitle0">
    <w:name w:val="Normal_after_title"/>
    <w:basedOn w:val="Normal"/>
    <w:uiPriority w:val="99"/>
    <w:rsid w:val="001E7DB6"/>
    <w:p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480" w:after="0" w:line="240" w:lineRule="auto"/>
    </w:pPr>
    <w:rPr>
      <w:rFonts w:ascii="Times New Roman" w:eastAsia="SimSun" w:hAnsi="Times New Roman"/>
      <w:sz w:val="20"/>
      <w:szCs w:val="20"/>
    </w:rPr>
  </w:style>
  <w:style w:type="paragraph" w:customStyle="1" w:styleId="Chaptitle">
    <w:name w:val="Chap_title"/>
    <w:basedOn w:val="Normal"/>
    <w:next w:val="Normalaftertitle0"/>
    <w:uiPriority w:val="99"/>
    <w:rsid w:val="001E7DB6"/>
    <w:pPr>
      <w:keepNext/>
      <w:keepLines/>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240" w:after="0" w:line="240" w:lineRule="auto"/>
      <w:jc w:val="center"/>
    </w:pPr>
    <w:rPr>
      <w:rFonts w:ascii="Times New Roman" w:eastAsia="SimSun" w:hAnsi="Times New Roman"/>
      <w:b/>
      <w:sz w:val="28"/>
      <w:szCs w:val="20"/>
    </w:rPr>
  </w:style>
  <w:style w:type="paragraph" w:customStyle="1" w:styleId="AnnexNoTitle">
    <w:name w:val="Annex_NoTitle"/>
    <w:basedOn w:val="Normal"/>
    <w:next w:val="Normalaftertitle0"/>
    <w:uiPriority w:val="99"/>
    <w:rsid w:val="001E7DB6"/>
    <w:pPr>
      <w:keepNext/>
      <w:keepLines/>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720" w:after="0" w:line="240" w:lineRule="auto"/>
      <w:jc w:val="center"/>
    </w:pPr>
    <w:rPr>
      <w:rFonts w:ascii="Times New Roman" w:eastAsia="SimSun" w:hAnsi="Times New Roman"/>
      <w:b/>
      <w:sz w:val="24"/>
      <w:szCs w:val="20"/>
    </w:rPr>
  </w:style>
  <w:style w:type="paragraph" w:customStyle="1" w:styleId="AppendixNoTitle">
    <w:name w:val="Appendix_NoTitle"/>
    <w:basedOn w:val="AnnexNoTitle"/>
    <w:next w:val="Normalaftertitle0"/>
    <w:uiPriority w:val="99"/>
    <w:rsid w:val="001E7DB6"/>
    <w:pPr>
      <w:outlineLvl w:val="0"/>
    </w:pPr>
  </w:style>
  <w:style w:type="paragraph" w:customStyle="1" w:styleId="Reftext">
    <w:name w:val="Ref_text"/>
    <w:basedOn w:val="Normal"/>
    <w:uiPriority w:val="99"/>
    <w:rsid w:val="001E7DB6"/>
    <w:p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136" w:after="0" w:line="240" w:lineRule="auto"/>
      <w:ind w:left="794" w:hanging="794"/>
    </w:pPr>
    <w:rPr>
      <w:rFonts w:ascii="Times New Roman" w:eastAsia="SimSun" w:hAnsi="Times New Roman"/>
      <w:sz w:val="20"/>
      <w:szCs w:val="20"/>
    </w:rPr>
  </w:style>
  <w:style w:type="paragraph" w:customStyle="1" w:styleId="Reftitle">
    <w:name w:val="Ref_title"/>
    <w:basedOn w:val="Heading1"/>
    <w:next w:val="Reftext"/>
    <w:uiPriority w:val="99"/>
    <w:rsid w:val="001E7DB6"/>
    <w:pPr>
      <w:keepLines/>
      <w:numPr>
        <w:numId w:val="153"/>
      </w:numPr>
      <w:tabs>
        <w:tab w:val="left" w:pos="794"/>
        <w:tab w:val="left" w:pos="1191"/>
        <w:tab w:val="left" w:pos="1588"/>
        <w:tab w:val="left" w:pos="1985"/>
      </w:tabs>
      <w:suppressAutoHyphens w:val="0"/>
      <w:overflowPunct w:val="0"/>
      <w:autoSpaceDE w:val="0"/>
      <w:autoSpaceDN w:val="0"/>
      <w:adjustRightInd w:val="0"/>
      <w:spacing w:before="480" w:after="0" w:line="240" w:lineRule="auto"/>
      <w:outlineLvl w:val="9"/>
    </w:pPr>
    <w:rPr>
      <w:rFonts w:ascii="Times New Roman" w:eastAsia="SimSun" w:hAnsi="Times New Roman"/>
      <w:sz w:val="24"/>
      <w:szCs w:val="20"/>
      <w:lang w:eastAsia="en-US"/>
    </w:rPr>
  </w:style>
  <w:style w:type="paragraph" w:customStyle="1" w:styleId="Arttitle">
    <w:name w:val="Art_title"/>
    <w:basedOn w:val="Normal"/>
    <w:next w:val="Normalaftertitle0"/>
    <w:uiPriority w:val="99"/>
    <w:rsid w:val="001E7DB6"/>
    <w:pPr>
      <w:keepNext/>
      <w:keepLines/>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240" w:after="0" w:line="240" w:lineRule="auto"/>
      <w:jc w:val="center"/>
    </w:pPr>
    <w:rPr>
      <w:rFonts w:ascii="Times New Roman" w:eastAsia="SimSun" w:hAnsi="Times New Roman"/>
      <w:b/>
      <w:sz w:val="28"/>
      <w:szCs w:val="20"/>
    </w:rPr>
  </w:style>
  <w:style w:type="paragraph" w:customStyle="1" w:styleId="ArtNo">
    <w:name w:val="Art_No"/>
    <w:basedOn w:val="Normal"/>
    <w:next w:val="Arttitle"/>
    <w:uiPriority w:val="99"/>
    <w:rsid w:val="001E7DB6"/>
    <w:pPr>
      <w:keepNext/>
      <w:keepLines/>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480" w:after="0" w:line="240" w:lineRule="auto"/>
      <w:jc w:val="center"/>
    </w:pPr>
    <w:rPr>
      <w:rFonts w:ascii="Times New Roman" w:eastAsia="SimSun" w:hAnsi="Times New Roman"/>
      <w:caps/>
      <w:sz w:val="28"/>
      <w:szCs w:val="20"/>
    </w:rPr>
  </w:style>
  <w:style w:type="paragraph" w:customStyle="1" w:styleId="Call">
    <w:name w:val="Call"/>
    <w:basedOn w:val="Normal"/>
    <w:next w:val="Normal"/>
    <w:uiPriority w:val="99"/>
    <w:rsid w:val="001E7DB6"/>
    <w:pPr>
      <w:tabs>
        <w:tab w:val="clear" w:pos="403"/>
        <w:tab w:val="clear" w:pos="806"/>
        <w:tab w:val="left" w:pos="794"/>
      </w:tabs>
      <w:overflowPunct w:val="0"/>
      <w:autoSpaceDE w:val="0"/>
      <w:autoSpaceDN w:val="0"/>
      <w:adjustRightInd w:val="0"/>
      <w:spacing w:before="227" w:after="0" w:line="240" w:lineRule="auto"/>
      <w:ind w:left="794"/>
      <w:jc w:val="left"/>
    </w:pPr>
    <w:rPr>
      <w:rFonts w:ascii="Times New Roman" w:eastAsia="SimSun" w:hAnsi="Times New Roman"/>
      <w:i/>
      <w:sz w:val="20"/>
      <w:szCs w:val="20"/>
    </w:rPr>
  </w:style>
  <w:style w:type="paragraph" w:customStyle="1" w:styleId="ChapNo">
    <w:name w:val="Chap_No"/>
    <w:basedOn w:val="Normal"/>
    <w:next w:val="Chaptitle"/>
    <w:uiPriority w:val="99"/>
    <w:rsid w:val="001E7DB6"/>
    <w:pPr>
      <w:keepNext/>
      <w:keepLines/>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480" w:after="0" w:line="240" w:lineRule="auto"/>
      <w:jc w:val="center"/>
    </w:pPr>
    <w:rPr>
      <w:rFonts w:ascii="Times New Roman" w:eastAsia="SimSun" w:hAnsi="Times New Roman"/>
      <w:b/>
      <w:caps/>
      <w:sz w:val="28"/>
      <w:szCs w:val="20"/>
    </w:rPr>
  </w:style>
  <w:style w:type="paragraph" w:customStyle="1" w:styleId="Equationlegend">
    <w:name w:val="Equation_legend"/>
    <w:basedOn w:val="Normal"/>
    <w:uiPriority w:val="99"/>
    <w:rsid w:val="001E7DB6"/>
    <w:pPr>
      <w:tabs>
        <w:tab w:val="clear" w:pos="403"/>
        <w:tab w:val="right" w:pos="1814"/>
        <w:tab w:val="left" w:pos="1985"/>
      </w:tabs>
      <w:overflowPunct w:val="0"/>
      <w:autoSpaceDE w:val="0"/>
      <w:autoSpaceDN w:val="0"/>
      <w:adjustRightInd w:val="0"/>
      <w:spacing w:before="80" w:after="0" w:line="240" w:lineRule="auto"/>
      <w:ind w:left="1985" w:hanging="1985"/>
    </w:pPr>
    <w:rPr>
      <w:rFonts w:ascii="Times New Roman" w:eastAsia="SimSun" w:hAnsi="Times New Roman"/>
      <w:sz w:val="20"/>
      <w:szCs w:val="20"/>
    </w:rPr>
  </w:style>
  <w:style w:type="paragraph" w:customStyle="1" w:styleId="Tablelegend0">
    <w:name w:val="Table_legend"/>
    <w:basedOn w:val="Normal"/>
    <w:next w:val="Normal"/>
    <w:uiPriority w:val="99"/>
    <w:rsid w:val="001E7DB6"/>
    <w:pPr>
      <w:keepNext/>
      <w:tabs>
        <w:tab w:val="clear" w:pos="403"/>
        <w:tab w:val="left" w:pos="454"/>
      </w:tabs>
      <w:overflowPunct w:val="0"/>
      <w:autoSpaceDE w:val="0"/>
      <w:autoSpaceDN w:val="0"/>
      <w:adjustRightInd w:val="0"/>
      <w:spacing w:before="86" w:after="0" w:line="240" w:lineRule="auto"/>
    </w:pPr>
    <w:rPr>
      <w:rFonts w:ascii="Times New Roman" w:eastAsia="SimSun" w:hAnsi="Times New Roman"/>
      <w:sz w:val="18"/>
      <w:szCs w:val="20"/>
    </w:rPr>
  </w:style>
  <w:style w:type="paragraph" w:customStyle="1" w:styleId="FigureNoTitle">
    <w:name w:val="Figure_NoTitle"/>
    <w:basedOn w:val="Normal"/>
    <w:next w:val="Normalaftertitle0"/>
    <w:uiPriority w:val="99"/>
    <w:rsid w:val="001E7DB6"/>
    <w:pPr>
      <w:keepLines/>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240" w:after="120" w:line="240" w:lineRule="auto"/>
      <w:jc w:val="center"/>
    </w:pPr>
    <w:rPr>
      <w:rFonts w:ascii="Times New Roman" w:eastAsia="SimSun" w:hAnsi="Times New Roman"/>
      <w:b/>
      <w:sz w:val="20"/>
      <w:szCs w:val="20"/>
    </w:rPr>
  </w:style>
  <w:style w:type="paragraph" w:customStyle="1" w:styleId="Figurewithouttitle">
    <w:name w:val="Figure_without_title"/>
    <w:basedOn w:val="Normal"/>
    <w:next w:val="Normalaftertitle0"/>
    <w:uiPriority w:val="99"/>
    <w:rsid w:val="001E7DB6"/>
    <w:pPr>
      <w:keepLines/>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240" w:after="120" w:line="240" w:lineRule="auto"/>
      <w:jc w:val="center"/>
    </w:pPr>
    <w:rPr>
      <w:rFonts w:ascii="Times New Roman" w:eastAsia="SimSun" w:hAnsi="Times New Roman"/>
      <w:sz w:val="20"/>
      <w:szCs w:val="20"/>
    </w:rPr>
  </w:style>
  <w:style w:type="paragraph" w:customStyle="1" w:styleId="FooterQP">
    <w:name w:val="Footer_QP"/>
    <w:basedOn w:val="Normal"/>
    <w:uiPriority w:val="99"/>
    <w:rsid w:val="001E7DB6"/>
    <w:pPr>
      <w:tabs>
        <w:tab w:val="clear" w:pos="403"/>
        <w:tab w:val="left" w:pos="907"/>
        <w:tab w:val="right" w:pos="8789"/>
        <w:tab w:val="right" w:pos="9639"/>
      </w:tabs>
      <w:overflowPunct w:val="0"/>
      <w:autoSpaceDE w:val="0"/>
      <w:autoSpaceDN w:val="0"/>
      <w:adjustRightInd w:val="0"/>
      <w:spacing w:after="0" w:line="240" w:lineRule="auto"/>
      <w:jc w:val="left"/>
    </w:pPr>
    <w:rPr>
      <w:rFonts w:ascii="Times New Roman" w:eastAsia="SimSun" w:hAnsi="Times New Roman"/>
      <w:b/>
      <w:sz w:val="20"/>
      <w:szCs w:val="20"/>
    </w:rPr>
  </w:style>
  <w:style w:type="paragraph" w:customStyle="1" w:styleId="FirstFooter">
    <w:name w:val="FirstFooter"/>
    <w:basedOn w:val="Footer"/>
    <w:uiPriority w:val="99"/>
    <w:rsid w:val="001E7DB6"/>
    <w:pPr>
      <w:tabs>
        <w:tab w:val="clear" w:pos="9752"/>
        <w:tab w:val="left" w:pos="907"/>
        <w:tab w:val="right" w:pos="8789"/>
        <w:tab w:val="right" w:pos="9725"/>
      </w:tabs>
      <w:spacing w:before="40" w:after="0" w:line="240" w:lineRule="auto"/>
      <w:jc w:val="left"/>
    </w:pPr>
    <w:rPr>
      <w:rFonts w:ascii="Times New Roman" w:eastAsia="SimSun" w:hAnsi="Times New Roman"/>
      <w:b/>
      <w:caps/>
      <w:sz w:val="20"/>
      <w:szCs w:val="20"/>
    </w:rPr>
  </w:style>
  <w:style w:type="paragraph" w:customStyle="1" w:styleId="Formal">
    <w:name w:val="Formal"/>
    <w:basedOn w:val="Normal"/>
    <w:uiPriority w:val="99"/>
    <w:rsid w:val="001E7DB6"/>
    <w:pPr>
      <w:tabs>
        <w:tab w:val="clear" w:pos="403"/>
        <w:tab w:val="clear" w:pos="2822"/>
        <w:tab w:val="left" w:pos="567"/>
        <w:tab w:val="left" w:pos="1134"/>
        <w:tab w:val="left" w:pos="1701"/>
        <w:tab w:val="left" w:pos="2268"/>
        <w:tab w:val="left" w:pos="2835"/>
        <w:tab w:val="left" w:pos="3402"/>
        <w:tab w:val="left" w:pos="3969"/>
        <w:tab w:val="left" w:pos="4536"/>
        <w:tab w:val="left" w:pos="5103"/>
        <w:tab w:val="left" w:pos="5670"/>
      </w:tabs>
      <w:overflowPunct w:val="0"/>
      <w:autoSpaceDE w:val="0"/>
      <w:autoSpaceDN w:val="0"/>
      <w:adjustRightInd w:val="0"/>
      <w:snapToGrid w:val="0"/>
      <w:spacing w:after="0" w:line="240" w:lineRule="auto"/>
      <w:jc w:val="left"/>
    </w:pPr>
    <w:rPr>
      <w:rFonts w:ascii="Courier New" w:eastAsia="SimSun" w:hAnsi="Courier New" w:cs="Courier New"/>
      <w:noProof/>
      <w:sz w:val="18"/>
      <w:szCs w:val="18"/>
    </w:rPr>
  </w:style>
  <w:style w:type="paragraph" w:customStyle="1" w:styleId="Headingb">
    <w:name w:val="Heading_b"/>
    <w:basedOn w:val="Normal"/>
    <w:next w:val="Normal"/>
    <w:uiPriority w:val="99"/>
    <w:qFormat/>
    <w:rsid w:val="001E7DB6"/>
    <w:p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181" w:after="0" w:line="240" w:lineRule="auto"/>
      <w:ind w:left="794" w:hanging="794"/>
    </w:pPr>
    <w:rPr>
      <w:rFonts w:ascii="Times New Roman" w:eastAsia="SimSun" w:hAnsi="Times New Roman"/>
      <w:b/>
      <w:sz w:val="20"/>
      <w:szCs w:val="20"/>
    </w:rPr>
  </w:style>
  <w:style w:type="paragraph" w:customStyle="1" w:styleId="Partref">
    <w:name w:val="Part_ref"/>
    <w:basedOn w:val="Normal"/>
    <w:next w:val="Parttitle"/>
    <w:uiPriority w:val="99"/>
    <w:rsid w:val="001E7DB6"/>
    <w:pPr>
      <w:keepNext/>
      <w:keepLines/>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280" w:after="0" w:line="240" w:lineRule="auto"/>
      <w:jc w:val="center"/>
    </w:pPr>
    <w:rPr>
      <w:rFonts w:ascii="Times New Roman" w:eastAsia="SimSun" w:hAnsi="Times New Roman"/>
      <w:sz w:val="20"/>
      <w:szCs w:val="20"/>
    </w:rPr>
  </w:style>
  <w:style w:type="paragraph" w:customStyle="1" w:styleId="PartNo">
    <w:name w:val="Part_No"/>
    <w:basedOn w:val="Normal"/>
    <w:next w:val="Partref"/>
    <w:uiPriority w:val="99"/>
    <w:rsid w:val="001E7DB6"/>
    <w:pPr>
      <w:keepNext/>
      <w:keepLines/>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480" w:after="80" w:line="240" w:lineRule="auto"/>
      <w:jc w:val="center"/>
    </w:pPr>
    <w:rPr>
      <w:rFonts w:ascii="Times New Roman" w:eastAsia="SimSun" w:hAnsi="Times New Roman"/>
      <w:caps/>
      <w:sz w:val="28"/>
      <w:szCs w:val="20"/>
    </w:rPr>
  </w:style>
  <w:style w:type="paragraph" w:customStyle="1" w:styleId="Parttitle">
    <w:name w:val="Part_title"/>
    <w:basedOn w:val="Normal"/>
    <w:next w:val="Normalaftertitle0"/>
    <w:uiPriority w:val="99"/>
    <w:rsid w:val="001E7DB6"/>
    <w:pPr>
      <w:keepNext/>
      <w:keepLines/>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240" w:after="280" w:line="240" w:lineRule="auto"/>
      <w:jc w:val="center"/>
    </w:pPr>
    <w:rPr>
      <w:rFonts w:ascii="Times New Roman" w:eastAsia="SimSun" w:hAnsi="Times New Roman"/>
      <w:b/>
      <w:sz w:val="28"/>
      <w:szCs w:val="20"/>
    </w:rPr>
  </w:style>
  <w:style w:type="paragraph" w:customStyle="1" w:styleId="Recdate">
    <w:name w:val="Rec_date"/>
    <w:basedOn w:val="Normal"/>
    <w:next w:val="Normalaftertitle0"/>
    <w:uiPriority w:val="99"/>
    <w:rsid w:val="001E7DB6"/>
    <w:pPr>
      <w:keepNext/>
      <w:keepLines/>
      <w:tabs>
        <w:tab w:val="clear" w:pos="403"/>
      </w:tabs>
      <w:overflowPunct w:val="0"/>
      <w:autoSpaceDE w:val="0"/>
      <w:autoSpaceDN w:val="0"/>
      <w:adjustRightInd w:val="0"/>
      <w:spacing w:before="136" w:after="0" w:line="240" w:lineRule="auto"/>
      <w:jc w:val="right"/>
    </w:pPr>
    <w:rPr>
      <w:rFonts w:ascii="Times New Roman" w:eastAsia="SimSun" w:hAnsi="Times New Roman"/>
      <w:i/>
      <w:szCs w:val="20"/>
    </w:rPr>
  </w:style>
  <w:style w:type="paragraph" w:customStyle="1" w:styleId="Questiondate">
    <w:name w:val="Question_date"/>
    <w:basedOn w:val="Recdate"/>
    <w:next w:val="Normalaftertitle0"/>
    <w:uiPriority w:val="99"/>
    <w:rsid w:val="001E7DB6"/>
  </w:style>
  <w:style w:type="paragraph" w:customStyle="1" w:styleId="RecNo">
    <w:name w:val="Rec_No"/>
    <w:basedOn w:val="Normal"/>
    <w:next w:val="Title"/>
    <w:uiPriority w:val="99"/>
    <w:rsid w:val="001E7DB6"/>
    <w:pPr>
      <w:keepNext/>
      <w:keepLines/>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after="0" w:line="240" w:lineRule="auto"/>
      <w:jc w:val="left"/>
    </w:pPr>
    <w:rPr>
      <w:rFonts w:ascii="Times New Roman" w:eastAsia="SimSun" w:hAnsi="Times New Roman"/>
      <w:b/>
      <w:sz w:val="20"/>
      <w:szCs w:val="20"/>
    </w:rPr>
  </w:style>
  <w:style w:type="paragraph" w:customStyle="1" w:styleId="Questiontitle">
    <w:name w:val="Question_title"/>
    <w:basedOn w:val="Rectitle"/>
    <w:next w:val="Questionref"/>
    <w:uiPriority w:val="99"/>
    <w:rsid w:val="001E7DB6"/>
  </w:style>
  <w:style w:type="paragraph" w:customStyle="1" w:styleId="QuestionNo">
    <w:name w:val="Question_No"/>
    <w:basedOn w:val="RecNo"/>
    <w:next w:val="Questiontitle"/>
    <w:uiPriority w:val="99"/>
    <w:rsid w:val="001E7DB6"/>
  </w:style>
  <w:style w:type="paragraph" w:customStyle="1" w:styleId="Recref">
    <w:name w:val="Rec_ref"/>
    <w:basedOn w:val="Normal"/>
    <w:next w:val="Heading1"/>
    <w:uiPriority w:val="99"/>
    <w:rsid w:val="001E7DB6"/>
    <w:pPr>
      <w:tabs>
        <w:tab w:val="clear" w:pos="403"/>
      </w:tabs>
      <w:overflowPunct w:val="0"/>
      <w:autoSpaceDE w:val="0"/>
      <w:autoSpaceDN w:val="0"/>
      <w:adjustRightInd w:val="0"/>
      <w:spacing w:before="136" w:after="0" w:line="240" w:lineRule="auto"/>
      <w:jc w:val="center"/>
    </w:pPr>
    <w:rPr>
      <w:rFonts w:ascii="Times New Roman" w:eastAsia="SimSun" w:hAnsi="Times New Roman"/>
      <w:i/>
      <w:sz w:val="20"/>
      <w:szCs w:val="20"/>
    </w:rPr>
  </w:style>
  <w:style w:type="paragraph" w:customStyle="1" w:styleId="Rectitle">
    <w:name w:val="Rec_title"/>
    <w:basedOn w:val="Normal"/>
    <w:next w:val="Recref"/>
    <w:uiPriority w:val="99"/>
    <w:rsid w:val="001E7DB6"/>
    <w:pPr>
      <w:keepNext/>
      <w:keepLines/>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240" w:after="0" w:line="240" w:lineRule="auto"/>
      <w:jc w:val="center"/>
    </w:pPr>
    <w:rPr>
      <w:rFonts w:ascii="Times New Roman" w:eastAsia="SimSun" w:hAnsi="Times New Roman"/>
      <w:b/>
      <w:sz w:val="24"/>
      <w:szCs w:val="20"/>
    </w:rPr>
  </w:style>
  <w:style w:type="paragraph" w:customStyle="1" w:styleId="Questionref">
    <w:name w:val="Question_ref"/>
    <w:basedOn w:val="Recref"/>
    <w:next w:val="Questiondate"/>
    <w:uiPriority w:val="99"/>
    <w:rsid w:val="001E7DB6"/>
  </w:style>
  <w:style w:type="paragraph" w:customStyle="1" w:styleId="Repdate">
    <w:name w:val="Rep_date"/>
    <w:basedOn w:val="Recdate"/>
    <w:next w:val="Normalaftertitle0"/>
    <w:uiPriority w:val="99"/>
    <w:rsid w:val="001E7DB6"/>
  </w:style>
  <w:style w:type="paragraph" w:customStyle="1" w:styleId="Reptitle">
    <w:name w:val="Rep_title"/>
    <w:basedOn w:val="Rectitle"/>
    <w:next w:val="Repref"/>
    <w:uiPriority w:val="99"/>
    <w:rsid w:val="001E7DB6"/>
  </w:style>
  <w:style w:type="paragraph" w:customStyle="1" w:styleId="RepNo">
    <w:name w:val="Rep_No"/>
    <w:basedOn w:val="RecNo"/>
    <w:next w:val="Reptitle"/>
    <w:uiPriority w:val="99"/>
    <w:rsid w:val="001E7DB6"/>
  </w:style>
  <w:style w:type="paragraph" w:customStyle="1" w:styleId="Repref">
    <w:name w:val="Rep_ref"/>
    <w:basedOn w:val="Recref"/>
    <w:next w:val="Repdate"/>
    <w:uiPriority w:val="99"/>
    <w:rsid w:val="001E7DB6"/>
  </w:style>
  <w:style w:type="paragraph" w:customStyle="1" w:styleId="Resdate">
    <w:name w:val="Res_date"/>
    <w:basedOn w:val="Recdate"/>
    <w:next w:val="Normalaftertitle0"/>
    <w:uiPriority w:val="99"/>
    <w:rsid w:val="001E7DB6"/>
  </w:style>
  <w:style w:type="paragraph" w:customStyle="1" w:styleId="Restitle">
    <w:name w:val="Res_title"/>
    <w:basedOn w:val="Rectitle"/>
    <w:next w:val="Resref"/>
    <w:uiPriority w:val="99"/>
    <w:rsid w:val="001E7DB6"/>
  </w:style>
  <w:style w:type="paragraph" w:customStyle="1" w:styleId="ResNo">
    <w:name w:val="Res_No"/>
    <w:basedOn w:val="RecNo"/>
    <w:next w:val="Restitle"/>
    <w:uiPriority w:val="99"/>
    <w:rsid w:val="001E7DB6"/>
  </w:style>
  <w:style w:type="paragraph" w:customStyle="1" w:styleId="Resref">
    <w:name w:val="Res_ref"/>
    <w:basedOn w:val="Recref"/>
    <w:next w:val="Resdate"/>
    <w:uiPriority w:val="99"/>
    <w:rsid w:val="001E7DB6"/>
  </w:style>
  <w:style w:type="paragraph" w:customStyle="1" w:styleId="Section1">
    <w:name w:val="Section_1"/>
    <w:basedOn w:val="Normal"/>
    <w:next w:val="Normal"/>
    <w:uiPriority w:val="99"/>
    <w:rsid w:val="001E7DB6"/>
    <w:pPr>
      <w:tabs>
        <w:tab w:val="clear" w:pos="403"/>
      </w:tabs>
      <w:overflowPunct w:val="0"/>
      <w:autoSpaceDE w:val="0"/>
      <w:autoSpaceDN w:val="0"/>
      <w:adjustRightInd w:val="0"/>
      <w:spacing w:before="624" w:after="0" w:line="240" w:lineRule="auto"/>
      <w:jc w:val="center"/>
    </w:pPr>
    <w:rPr>
      <w:rFonts w:ascii="Times New Roman" w:eastAsia="SimSun" w:hAnsi="Times New Roman"/>
      <w:b/>
      <w:sz w:val="20"/>
      <w:szCs w:val="20"/>
    </w:rPr>
  </w:style>
  <w:style w:type="paragraph" w:customStyle="1" w:styleId="Section2">
    <w:name w:val="Section_2"/>
    <w:basedOn w:val="Normal"/>
    <w:next w:val="Normal"/>
    <w:uiPriority w:val="99"/>
    <w:rsid w:val="001E7DB6"/>
    <w:pPr>
      <w:tabs>
        <w:tab w:val="clear" w:pos="403"/>
      </w:tabs>
      <w:overflowPunct w:val="0"/>
      <w:autoSpaceDE w:val="0"/>
      <w:autoSpaceDN w:val="0"/>
      <w:adjustRightInd w:val="0"/>
      <w:spacing w:before="240" w:after="0" w:line="240" w:lineRule="auto"/>
      <w:jc w:val="center"/>
    </w:pPr>
    <w:rPr>
      <w:rFonts w:ascii="Times New Roman" w:eastAsia="SimSun" w:hAnsi="Times New Roman"/>
      <w:i/>
      <w:sz w:val="20"/>
      <w:szCs w:val="20"/>
    </w:rPr>
  </w:style>
  <w:style w:type="paragraph" w:customStyle="1" w:styleId="Sectiontitle0">
    <w:name w:val="Section_title"/>
    <w:basedOn w:val="Normal"/>
    <w:uiPriority w:val="99"/>
    <w:rsid w:val="001E7DB6"/>
    <w:pPr>
      <w:tabs>
        <w:tab w:val="clear" w:pos="403"/>
      </w:tabs>
      <w:overflowPunct w:val="0"/>
      <w:autoSpaceDE w:val="0"/>
      <w:autoSpaceDN w:val="0"/>
      <w:adjustRightInd w:val="0"/>
      <w:spacing w:before="136" w:after="0" w:line="240" w:lineRule="auto"/>
      <w:ind w:left="1418"/>
      <w:jc w:val="left"/>
    </w:pPr>
    <w:rPr>
      <w:rFonts w:ascii="Arial" w:eastAsia="SimSun" w:hAnsi="Arial"/>
      <w:sz w:val="32"/>
      <w:szCs w:val="20"/>
      <w:lang w:val="en-US"/>
    </w:rPr>
  </w:style>
  <w:style w:type="paragraph" w:customStyle="1" w:styleId="SectionNo">
    <w:name w:val="Section_No"/>
    <w:basedOn w:val="Normal"/>
    <w:next w:val="Sectiontitle0"/>
    <w:uiPriority w:val="99"/>
    <w:rsid w:val="001E7DB6"/>
    <w:pPr>
      <w:keepNext/>
      <w:keepLines/>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480" w:after="80" w:line="240" w:lineRule="auto"/>
      <w:jc w:val="center"/>
    </w:pPr>
    <w:rPr>
      <w:rFonts w:ascii="Times New Roman" w:eastAsia="SimSun" w:hAnsi="Times New Roman"/>
      <w:caps/>
      <w:sz w:val="24"/>
      <w:szCs w:val="20"/>
    </w:rPr>
  </w:style>
  <w:style w:type="paragraph" w:customStyle="1" w:styleId="Source">
    <w:name w:val="Source"/>
    <w:basedOn w:val="Normal"/>
    <w:next w:val="Normalaftertitle0"/>
    <w:uiPriority w:val="99"/>
    <w:rsid w:val="001E7DB6"/>
    <w:p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840" w:after="200" w:line="240" w:lineRule="auto"/>
      <w:jc w:val="center"/>
    </w:pPr>
    <w:rPr>
      <w:rFonts w:ascii="Times New Roman" w:eastAsia="SimSun" w:hAnsi="Times New Roman"/>
      <w:b/>
      <w:sz w:val="28"/>
      <w:szCs w:val="20"/>
    </w:rPr>
  </w:style>
  <w:style w:type="paragraph" w:customStyle="1" w:styleId="SpecialFooter">
    <w:name w:val="Special Footer"/>
    <w:basedOn w:val="Footer"/>
    <w:uiPriority w:val="99"/>
    <w:rsid w:val="001E7DB6"/>
    <w:pPr>
      <w:tabs>
        <w:tab w:val="clear" w:pos="2822"/>
        <w:tab w:val="clear" w:pos="9752"/>
        <w:tab w:val="left" w:pos="567"/>
        <w:tab w:val="left" w:pos="907"/>
        <w:tab w:val="left" w:pos="1134"/>
        <w:tab w:val="left" w:pos="1701"/>
        <w:tab w:val="left" w:pos="2268"/>
        <w:tab w:val="left" w:pos="2835"/>
        <w:tab w:val="right" w:pos="8789"/>
        <w:tab w:val="right" w:pos="9725"/>
      </w:tabs>
      <w:overflowPunct w:val="0"/>
      <w:autoSpaceDE w:val="0"/>
      <w:autoSpaceDN w:val="0"/>
      <w:adjustRightInd w:val="0"/>
      <w:spacing w:before="136" w:after="0" w:line="240" w:lineRule="auto"/>
      <w:jc w:val="left"/>
    </w:pPr>
    <w:rPr>
      <w:rFonts w:ascii="Times New Roman" w:eastAsia="SimSun" w:hAnsi="Times New Roman"/>
      <w:b/>
      <w:caps/>
      <w:sz w:val="20"/>
      <w:szCs w:val="20"/>
    </w:rPr>
  </w:style>
  <w:style w:type="paragraph" w:customStyle="1" w:styleId="Tabletext0">
    <w:name w:val="Table_text"/>
    <w:basedOn w:val="Tablelegend0"/>
    <w:uiPriority w:val="99"/>
    <w:rsid w:val="001E7DB6"/>
    <w:pPr>
      <w:keepNext w:val="0"/>
      <w:keepLines/>
      <w:tabs>
        <w:tab w:val="clear" w:pos="454"/>
      </w:tabs>
      <w:spacing w:before="40" w:after="40" w:line="190" w:lineRule="exact"/>
      <w:jc w:val="left"/>
    </w:pPr>
  </w:style>
  <w:style w:type="paragraph" w:customStyle="1" w:styleId="Tablehead">
    <w:name w:val="Table_head"/>
    <w:basedOn w:val="Tabletext0"/>
    <w:next w:val="Tabletext0"/>
    <w:rsid w:val="001E7DB6"/>
    <w:pPr>
      <w:keepLines w:val="0"/>
      <w:tabs>
        <w:tab w:val="clear" w:pos="2822"/>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line="240" w:lineRule="auto"/>
      <w:jc w:val="center"/>
    </w:pPr>
    <w:rPr>
      <w:b/>
      <w:noProof/>
    </w:rPr>
  </w:style>
  <w:style w:type="paragraph" w:customStyle="1" w:styleId="TableNoTitle">
    <w:name w:val="Table_NoTitle"/>
    <w:basedOn w:val="Normal"/>
    <w:next w:val="Tablehead"/>
    <w:uiPriority w:val="99"/>
    <w:rsid w:val="001E7DB6"/>
    <w:pPr>
      <w:keepNext/>
      <w:keepLines/>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360" w:after="120" w:line="240" w:lineRule="auto"/>
      <w:jc w:val="center"/>
    </w:pPr>
    <w:rPr>
      <w:rFonts w:ascii="Times New Roman" w:eastAsia="SimSun" w:hAnsi="Times New Roman"/>
      <w:b/>
      <w:sz w:val="20"/>
      <w:szCs w:val="20"/>
    </w:rPr>
  </w:style>
  <w:style w:type="paragraph" w:customStyle="1" w:styleId="Title2">
    <w:name w:val="Title 2"/>
    <w:basedOn w:val="Title1"/>
    <w:next w:val="Title3"/>
    <w:uiPriority w:val="99"/>
    <w:rsid w:val="001E7DB6"/>
  </w:style>
  <w:style w:type="paragraph" w:customStyle="1" w:styleId="Title1">
    <w:name w:val="Title 1"/>
    <w:basedOn w:val="Source"/>
    <w:next w:val="Title2"/>
    <w:uiPriority w:val="99"/>
    <w:rsid w:val="001E7DB6"/>
    <w:pPr>
      <w:tabs>
        <w:tab w:val="clear" w:pos="794"/>
        <w:tab w:val="clear" w:pos="1191"/>
        <w:tab w:val="clear" w:pos="1588"/>
        <w:tab w:val="clear" w:pos="1985"/>
        <w:tab w:val="clear" w:pos="2822"/>
        <w:tab w:val="left" w:pos="567"/>
        <w:tab w:val="left" w:pos="1134"/>
        <w:tab w:val="left" w:pos="1701"/>
        <w:tab w:val="left" w:pos="2268"/>
        <w:tab w:val="left" w:pos="2835"/>
      </w:tabs>
      <w:spacing w:before="240" w:after="0"/>
    </w:pPr>
    <w:rPr>
      <w:b w:val="0"/>
      <w:caps/>
    </w:rPr>
  </w:style>
  <w:style w:type="paragraph" w:customStyle="1" w:styleId="Title3">
    <w:name w:val="Title 3"/>
    <w:basedOn w:val="Title2"/>
    <w:next w:val="Title4"/>
    <w:uiPriority w:val="99"/>
    <w:rsid w:val="001E7DB6"/>
    <w:rPr>
      <w:caps w:val="0"/>
    </w:rPr>
  </w:style>
  <w:style w:type="paragraph" w:customStyle="1" w:styleId="Title4">
    <w:name w:val="Title 4"/>
    <w:basedOn w:val="Title3"/>
    <w:next w:val="Heading1"/>
    <w:uiPriority w:val="99"/>
    <w:rsid w:val="001E7DB6"/>
    <w:rPr>
      <w:b/>
    </w:rPr>
  </w:style>
  <w:style w:type="paragraph" w:customStyle="1" w:styleId="Artheading">
    <w:name w:val="Art_heading"/>
    <w:basedOn w:val="Normal"/>
    <w:next w:val="Normalaftertitle0"/>
    <w:uiPriority w:val="99"/>
    <w:rsid w:val="001E7DB6"/>
    <w:p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480" w:after="0" w:line="240" w:lineRule="auto"/>
      <w:jc w:val="center"/>
    </w:pPr>
    <w:rPr>
      <w:rFonts w:ascii="Times New Roman" w:eastAsia="SimSun" w:hAnsi="Times New Roman"/>
      <w:b/>
      <w:sz w:val="28"/>
      <w:szCs w:val="20"/>
    </w:rPr>
  </w:style>
  <w:style w:type="paragraph" w:customStyle="1" w:styleId="Annexref0">
    <w:name w:val="Annex_ref"/>
    <w:basedOn w:val="Normal"/>
    <w:next w:val="Normal"/>
    <w:uiPriority w:val="99"/>
    <w:rsid w:val="001E7DB6"/>
    <w:p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after="0" w:line="240" w:lineRule="auto"/>
      <w:jc w:val="center"/>
    </w:pPr>
    <w:rPr>
      <w:rFonts w:ascii="Times New Roman" w:eastAsia="SimSun" w:hAnsi="Times New Roman"/>
      <w:sz w:val="20"/>
      <w:szCs w:val="20"/>
    </w:rPr>
  </w:style>
  <w:style w:type="paragraph" w:customStyle="1" w:styleId="Appendixref">
    <w:name w:val="Appendix_ref"/>
    <w:basedOn w:val="Annexref0"/>
    <w:next w:val="Normalaftertitle0"/>
    <w:uiPriority w:val="99"/>
    <w:rsid w:val="001E7DB6"/>
  </w:style>
  <w:style w:type="paragraph" w:customStyle="1" w:styleId="ASN1italic0">
    <w:name w:val="ASN.1_italic"/>
    <w:basedOn w:val="ASN1"/>
    <w:uiPriority w:val="99"/>
    <w:rsid w:val="001E7DB6"/>
    <w:pPr>
      <w:tabs>
        <w:tab w:val="clear" w:pos="794"/>
        <w:tab w:val="clear" w:pos="1191"/>
        <w:tab w:val="clear" w:pos="1588"/>
        <w:tab w:val="clear" w:pos="1985"/>
        <w:tab w:val="clear" w:pos="2381"/>
        <w:tab w:val="clear" w:pos="2778"/>
        <w:tab w:val="clear" w:pos="2822"/>
        <w:tab w:val="clear" w:pos="3175"/>
        <w:tab w:val="clear" w:pos="3572"/>
        <w:tab w:val="clear" w:pos="4366"/>
        <w:tab w:val="clear" w:pos="4763"/>
        <w:tab w:val="clear" w:pos="5160"/>
        <w:tab w:val="clear" w:pos="5557"/>
        <w:tab w:val="clear" w:pos="5954"/>
        <w:tab w:val="clear" w:pos="6350"/>
        <w:tab w:val="clear" w:pos="9735"/>
        <w:tab w:val="left" w:pos="567"/>
        <w:tab w:val="left" w:pos="1134"/>
        <w:tab w:val="left" w:pos="1701"/>
        <w:tab w:val="left" w:pos="2268"/>
        <w:tab w:val="left" w:pos="2835"/>
        <w:tab w:val="left" w:pos="3402"/>
        <w:tab w:val="left" w:pos="4536"/>
        <w:tab w:val="left" w:pos="5103"/>
        <w:tab w:val="left" w:pos="5670"/>
      </w:tabs>
      <w:snapToGrid w:val="0"/>
      <w:spacing w:before="0"/>
    </w:pPr>
    <w:rPr>
      <w:rFonts w:ascii="Courier New" w:hAnsi="Courier New" w:cs="Courier New"/>
      <w:b w:val="0"/>
      <w:bCs/>
      <w:i/>
      <w:noProof/>
      <w:szCs w:val="18"/>
    </w:rPr>
  </w:style>
  <w:style w:type="paragraph" w:customStyle="1" w:styleId="Couvnote0">
    <w:name w:val="Couv_note"/>
    <w:basedOn w:val="Normal"/>
    <w:uiPriority w:val="99"/>
    <w:rsid w:val="001E7DB6"/>
    <w:pPr>
      <w:tabs>
        <w:tab w:val="clear" w:pos="403"/>
        <w:tab w:val="left" w:pos="1134"/>
        <w:tab w:val="left" w:pos="1418"/>
      </w:tabs>
      <w:overflowPunct w:val="0"/>
      <w:autoSpaceDE w:val="0"/>
      <w:autoSpaceDN w:val="0"/>
      <w:adjustRightInd w:val="0"/>
      <w:spacing w:before="200" w:after="0" w:line="240" w:lineRule="auto"/>
    </w:pPr>
    <w:rPr>
      <w:rFonts w:ascii="Arial" w:eastAsia="SimSun" w:hAnsi="Arial"/>
      <w:sz w:val="20"/>
      <w:szCs w:val="20"/>
    </w:rPr>
  </w:style>
  <w:style w:type="paragraph" w:customStyle="1" w:styleId="CouvrecNo">
    <w:name w:val="Couv_rec_No"/>
    <w:basedOn w:val="Normal"/>
    <w:uiPriority w:val="99"/>
    <w:rsid w:val="001E7DB6"/>
    <w:pPr>
      <w:tabs>
        <w:tab w:val="clear" w:pos="403"/>
      </w:tabs>
      <w:overflowPunct w:val="0"/>
      <w:autoSpaceDE w:val="0"/>
      <w:autoSpaceDN w:val="0"/>
      <w:adjustRightInd w:val="0"/>
      <w:spacing w:before="6" w:after="0" w:line="240" w:lineRule="auto"/>
      <w:ind w:left="1418"/>
    </w:pPr>
    <w:rPr>
      <w:rFonts w:ascii="Arial" w:eastAsia="SimSun" w:hAnsi="Arial"/>
      <w:sz w:val="32"/>
      <w:szCs w:val="20"/>
    </w:rPr>
  </w:style>
  <w:style w:type="paragraph" w:customStyle="1" w:styleId="Couvrectitle0">
    <w:name w:val="Couv_rec_title"/>
    <w:basedOn w:val="Normal"/>
    <w:uiPriority w:val="99"/>
    <w:rsid w:val="001E7DB6"/>
    <w:pPr>
      <w:keepNext/>
      <w:keepLines/>
      <w:tabs>
        <w:tab w:val="clear" w:pos="403"/>
      </w:tabs>
      <w:overflowPunct w:val="0"/>
      <w:autoSpaceDE w:val="0"/>
      <w:autoSpaceDN w:val="0"/>
      <w:adjustRightInd w:val="0"/>
      <w:spacing w:before="240" w:after="0" w:line="240" w:lineRule="auto"/>
      <w:ind w:left="1418"/>
      <w:jc w:val="left"/>
    </w:pPr>
    <w:rPr>
      <w:rFonts w:ascii="Arial" w:eastAsia="SimSun" w:hAnsi="Arial"/>
      <w:b/>
      <w:sz w:val="36"/>
      <w:szCs w:val="20"/>
    </w:rPr>
  </w:style>
  <w:style w:type="paragraph" w:customStyle="1" w:styleId="Indextitle1">
    <w:name w:val="Index_title"/>
    <w:basedOn w:val="Normal"/>
    <w:uiPriority w:val="99"/>
    <w:rsid w:val="001E7DB6"/>
    <w:p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136" w:after="68" w:line="240" w:lineRule="auto"/>
      <w:jc w:val="center"/>
    </w:pPr>
    <w:rPr>
      <w:rFonts w:ascii="Times New Roman" w:eastAsia="SimSun" w:hAnsi="Times New Roman"/>
      <w:b/>
      <w:sz w:val="24"/>
      <w:szCs w:val="20"/>
    </w:rPr>
  </w:style>
  <w:style w:type="paragraph" w:customStyle="1" w:styleId="Tablefin">
    <w:name w:val="Table_fin"/>
    <w:basedOn w:val="Normal"/>
    <w:next w:val="Normal"/>
    <w:uiPriority w:val="99"/>
    <w:rsid w:val="001E7DB6"/>
    <w:pPr>
      <w:tabs>
        <w:tab w:val="clear" w:pos="403"/>
      </w:tabs>
      <w:overflowPunct w:val="0"/>
      <w:autoSpaceDE w:val="0"/>
      <w:autoSpaceDN w:val="0"/>
      <w:adjustRightInd w:val="0"/>
      <w:spacing w:after="0" w:line="240" w:lineRule="auto"/>
    </w:pPr>
    <w:rPr>
      <w:rFonts w:ascii="Times New Roman" w:eastAsia="SimSun" w:hAnsi="Times New Roman"/>
      <w:sz w:val="12"/>
      <w:szCs w:val="20"/>
    </w:rPr>
  </w:style>
  <w:style w:type="paragraph" w:customStyle="1" w:styleId="ColorfulShading-Accent12">
    <w:name w:val="Colorful Shading - Accent 12"/>
    <w:uiPriority w:val="99"/>
    <w:semiHidden/>
    <w:rsid w:val="001E7DB6"/>
    <w:rPr>
      <w:rFonts w:ascii="Times New Roman" w:eastAsia="Malgun Gothic" w:hAnsi="Times New Roman"/>
      <w:lang w:val="en-GB"/>
    </w:rPr>
  </w:style>
  <w:style w:type="paragraph" w:customStyle="1" w:styleId="Annex1">
    <w:name w:val="Annex 1"/>
    <w:basedOn w:val="Heading1"/>
    <w:next w:val="Normal"/>
    <w:uiPriority w:val="99"/>
    <w:qFormat/>
    <w:rsid w:val="001E7DB6"/>
    <w:pPr>
      <w:keepLines/>
      <w:numPr>
        <w:numId w:val="0"/>
      </w:numPr>
      <w:tabs>
        <w:tab w:val="num" w:pos="757"/>
        <w:tab w:val="left" w:pos="794"/>
        <w:tab w:val="left" w:pos="1191"/>
        <w:tab w:val="left" w:pos="1588"/>
        <w:tab w:val="left" w:pos="1985"/>
        <w:tab w:val="num" w:pos="4690"/>
      </w:tabs>
      <w:suppressAutoHyphens w:val="0"/>
      <w:overflowPunct w:val="0"/>
      <w:autoSpaceDE w:val="0"/>
      <w:autoSpaceDN w:val="0"/>
      <w:adjustRightInd w:val="0"/>
      <w:spacing w:before="480" w:after="0" w:line="240" w:lineRule="auto"/>
      <w:ind w:left="757" w:hanging="360"/>
      <w:jc w:val="center"/>
    </w:pPr>
    <w:rPr>
      <w:rFonts w:ascii="Times New Roman" w:eastAsia="Malgun Gothic" w:hAnsi="Times New Roman"/>
      <w:bCs/>
      <w:sz w:val="24"/>
      <w:szCs w:val="24"/>
      <w:lang w:eastAsia="en-US"/>
    </w:rPr>
  </w:style>
  <w:style w:type="paragraph" w:customStyle="1" w:styleId="FigureTitleChar">
    <w:name w:val="Figure_Title Char"/>
    <w:basedOn w:val="Normal"/>
    <w:next w:val="Normal"/>
    <w:uiPriority w:val="99"/>
    <w:rsid w:val="001E7DB6"/>
    <w:pPr>
      <w:keepNext/>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240" w:after="720" w:line="240" w:lineRule="auto"/>
      <w:jc w:val="center"/>
    </w:pPr>
    <w:rPr>
      <w:rFonts w:ascii="Times New Roman" w:eastAsia="Malgun Gothic" w:hAnsi="Times New Roman"/>
      <w:b/>
      <w:bCs/>
      <w:sz w:val="20"/>
      <w:szCs w:val="20"/>
    </w:rPr>
  </w:style>
  <w:style w:type="paragraph" w:customStyle="1" w:styleId="Sprechblasentext1">
    <w:name w:val="Sprechblasentext1"/>
    <w:basedOn w:val="Normal"/>
    <w:uiPriority w:val="99"/>
    <w:semiHidden/>
    <w:rsid w:val="001E7DB6"/>
    <w:p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136" w:after="0" w:line="240" w:lineRule="auto"/>
    </w:pPr>
    <w:rPr>
      <w:rFonts w:ascii="Tahoma" w:eastAsia="Malgun Gothic" w:hAnsi="Tahoma" w:cs="Tahoma"/>
      <w:sz w:val="16"/>
      <w:szCs w:val="16"/>
    </w:rPr>
  </w:style>
  <w:style w:type="paragraph" w:customStyle="1" w:styleId="CourierText">
    <w:name w:val="Courier Text"/>
    <w:basedOn w:val="Normal"/>
    <w:uiPriority w:val="99"/>
    <w:rsid w:val="001E7DB6"/>
    <w:pPr>
      <w:numPr>
        <w:ilvl w:val="12"/>
      </w:numPr>
      <w:tabs>
        <w:tab w:val="clear" w:pos="403"/>
      </w:tabs>
      <w:overflowPunct w:val="0"/>
      <w:autoSpaceDE w:val="0"/>
      <w:autoSpaceDN w:val="0"/>
      <w:adjustRightInd w:val="0"/>
      <w:spacing w:after="60" w:line="240" w:lineRule="auto"/>
      <w:jc w:val="left"/>
    </w:pPr>
    <w:rPr>
      <w:rFonts w:ascii="Courier" w:eastAsia="Malgun Gothic" w:hAnsi="Courier" w:cs="Courier"/>
    </w:rPr>
  </w:style>
  <w:style w:type="paragraph" w:customStyle="1" w:styleId="AppendixHeadingI">
    <w:name w:val="Appendix Heading I"/>
    <w:basedOn w:val="Normal"/>
    <w:uiPriority w:val="99"/>
    <w:rsid w:val="001E7DB6"/>
    <w:pPr>
      <w:keepNext/>
      <w:tabs>
        <w:tab w:val="clear" w:pos="403"/>
        <w:tab w:val="num" w:pos="1800"/>
      </w:tabs>
      <w:overflowPunct w:val="0"/>
      <w:autoSpaceDE w:val="0"/>
      <w:autoSpaceDN w:val="0"/>
      <w:adjustRightInd w:val="0"/>
      <w:spacing w:before="240" w:after="60" w:line="240" w:lineRule="auto"/>
      <w:ind w:left="284" w:hanging="284"/>
      <w:jc w:val="left"/>
      <w:outlineLvl w:val="0"/>
    </w:pPr>
    <w:rPr>
      <w:rFonts w:ascii="Times New Roman" w:eastAsia="Batang" w:hAnsi="Times New Roman"/>
      <w:b/>
      <w:bCs/>
      <w:kern w:val="28"/>
      <w:sz w:val="28"/>
      <w:szCs w:val="28"/>
      <w:lang w:val="nb-NO"/>
    </w:rPr>
  </w:style>
  <w:style w:type="paragraph" w:customStyle="1" w:styleId="BlancChar">
    <w:name w:val="Blanc Char"/>
    <w:basedOn w:val="Normal"/>
    <w:next w:val="TableText"/>
    <w:uiPriority w:val="99"/>
    <w:rsid w:val="001E7DB6"/>
    <w:pPr>
      <w:keepNext/>
      <w:tabs>
        <w:tab w:val="clear" w:pos="403"/>
      </w:tabs>
      <w:overflowPunct w:val="0"/>
      <w:autoSpaceDE w:val="0"/>
      <w:autoSpaceDN w:val="0"/>
      <w:adjustRightInd w:val="0"/>
      <w:spacing w:after="57" w:line="12" w:lineRule="exact"/>
      <w:jc w:val="center"/>
    </w:pPr>
    <w:rPr>
      <w:rFonts w:ascii="Times New Roman" w:eastAsia="Malgun Gothic" w:hAnsi="Times New Roman"/>
      <w:b/>
      <w:bCs/>
      <w:sz w:val="8"/>
      <w:szCs w:val="8"/>
      <w:lang w:val="en-US"/>
    </w:rPr>
  </w:style>
  <w:style w:type="paragraph" w:customStyle="1" w:styleId="11BodyText">
    <w:name w:val="11 BodyText"/>
    <w:basedOn w:val="Normal"/>
    <w:uiPriority w:val="99"/>
    <w:rsid w:val="001E7DB6"/>
    <w:p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after="220" w:line="240" w:lineRule="auto"/>
    </w:pPr>
    <w:rPr>
      <w:rFonts w:ascii="Times New Roman" w:eastAsia="Malgun Gothic" w:hAnsi="Times New Roman"/>
      <w:sz w:val="20"/>
      <w:szCs w:val="20"/>
    </w:rPr>
  </w:style>
  <w:style w:type="paragraph" w:customStyle="1" w:styleId="Kommentarthema1">
    <w:name w:val="Kommentarthema1"/>
    <w:basedOn w:val="CommentText"/>
    <w:next w:val="CommentText"/>
    <w:uiPriority w:val="99"/>
    <w:semiHidden/>
    <w:rsid w:val="001E7DB6"/>
    <w:pPr>
      <w:textAlignment w:val="auto"/>
    </w:pPr>
    <w:rPr>
      <w:b/>
      <w:bCs/>
      <w:lang w:eastAsia="zh-CN"/>
    </w:rPr>
  </w:style>
  <w:style w:type="paragraph" w:customStyle="1" w:styleId="figure1">
    <w:name w:val="figure"/>
    <w:basedOn w:val="Normal"/>
    <w:uiPriority w:val="99"/>
    <w:rsid w:val="001E7DB6"/>
    <w:pPr>
      <w:keepNext/>
      <w:tabs>
        <w:tab w:val="clear" w:pos="403"/>
      </w:tabs>
      <w:spacing w:after="220" w:line="240" w:lineRule="auto"/>
      <w:jc w:val="center"/>
    </w:pPr>
    <w:rPr>
      <w:rFonts w:ascii="Helvetica" w:eastAsia="Malgun Gothic" w:hAnsi="Helvetica" w:cs="Helvetica"/>
      <w:color w:val="000000"/>
      <w:sz w:val="20"/>
      <w:szCs w:val="20"/>
      <w:lang w:val="fr-FR"/>
    </w:rPr>
  </w:style>
  <w:style w:type="paragraph" w:customStyle="1" w:styleId="Normal1">
    <w:name w:val="Normal1"/>
    <w:basedOn w:val="TableTitle"/>
    <w:uiPriority w:val="99"/>
    <w:rsid w:val="001E7DB6"/>
    <w:pPr>
      <w:tabs>
        <w:tab w:val="center" w:pos="4864"/>
      </w:tabs>
      <w:jc w:val="both"/>
      <w:textAlignment w:val="auto"/>
    </w:pPr>
  </w:style>
  <w:style w:type="paragraph" w:customStyle="1" w:styleId="equation0">
    <w:name w:val="equation"/>
    <w:basedOn w:val="Normal"/>
    <w:uiPriority w:val="99"/>
    <w:rsid w:val="001E7DB6"/>
    <w:pPr>
      <w:tabs>
        <w:tab w:val="clear" w:pos="403"/>
      </w:tabs>
      <w:spacing w:before="100" w:beforeAutospacing="1" w:after="100" w:afterAutospacing="1" w:line="240" w:lineRule="auto"/>
      <w:jc w:val="left"/>
    </w:pPr>
    <w:rPr>
      <w:rFonts w:ascii="Arial Unicode MS" w:eastAsia="Malgun Gothic" w:hAnsi="Arial Unicode MS" w:cs="Arial Unicode MS"/>
      <w:sz w:val="24"/>
      <w:szCs w:val="24"/>
      <w:lang w:val="en-US"/>
    </w:rPr>
  </w:style>
  <w:style w:type="paragraph" w:customStyle="1" w:styleId="AnnexNotitle0">
    <w:name w:val="Annex_No &amp; title"/>
    <w:basedOn w:val="Normal"/>
    <w:next w:val="Normal"/>
    <w:uiPriority w:val="99"/>
    <w:rsid w:val="001E7DB6"/>
    <w:pPr>
      <w:keepNext/>
      <w:keepLines/>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480" w:after="0" w:line="240" w:lineRule="auto"/>
      <w:jc w:val="center"/>
    </w:pPr>
    <w:rPr>
      <w:rFonts w:ascii="Times New Roman" w:eastAsia="Malgun Gothic" w:hAnsi="Times New Roman"/>
      <w:b/>
      <w:sz w:val="28"/>
      <w:szCs w:val="20"/>
    </w:rPr>
  </w:style>
  <w:style w:type="paragraph" w:customStyle="1" w:styleId="TableTitleCharChar">
    <w:name w:val="Table_Title Char Char"/>
    <w:basedOn w:val="Normal"/>
    <w:next w:val="BlancCharChar"/>
    <w:uiPriority w:val="99"/>
    <w:rsid w:val="001E7DB6"/>
    <w:pPr>
      <w:keepNext/>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240" w:after="113" w:line="240" w:lineRule="auto"/>
      <w:jc w:val="center"/>
    </w:pPr>
    <w:rPr>
      <w:rFonts w:ascii="Times New Roman" w:eastAsia="Malgun Gothic" w:hAnsi="Times New Roman"/>
      <w:b/>
      <w:bCs/>
      <w:sz w:val="20"/>
      <w:szCs w:val="20"/>
    </w:rPr>
  </w:style>
  <w:style w:type="paragraph" w:customStyle="1" w:styleId="TableTitleChar">
    <w:name w:val="Table_Title Char"/>
    <w:basedOn w:val="Normal"/>
    <w:next w:val="Normal"/>
    <w:uiPriority w:val="99"/>
    <w:rsid w:val="001E7DB6"/>
    <w:pPr>
      <w:keepNext/>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240" w:after="113" w:line="240" w:lineRule="auto"/>
      <w:jc w:val="center"/>
    </w:pPr>
    <w:rPr>
      <w:rFonts w:ascii="Times New Roman" w:eastAsia="Malgun Gothic" w:hAnsi="Times New Roman"/>
      <w:b/>
      <w:bCs/>
      <w:sz w:val="20"/>
      <w:szCs w:val="20"/>
    </w:rPr>
  </w:style>
  <w:style w:type="paragraph" w:customStyle="1" w:styleId="StyleHeading1TimesNewRoman12ptBefore24ptAfter0">
    <w:name w:val="Style Heading 1 + Times New Roman 12 pt Before:  24 pt After:  0..."/>
    <w:basedOn w:val="Heading1"/>
    <w:uiPriority w:val="99"/>
    <w:rsid w:val="001E7DB6"/>
    <w:pPr>
      <w:numPr>
        <w:numId w:val="0"/>
      </w:numPr>
      <w:tabs>
        <w:tab w:val="num" w:pos="432"/>
        <w:tab w:val="num" w:pos="757"/>
      </w:tabs>
      <w:suppressAutoHyphens w:val="0"/>
      <w:overflowPunct w:val="0"/>
      <w:autoSpaceDE w:val="0"/>
      <w:autoSpaceDN w:val="0"/>
      <w:adjustRightInd w:val="0"/>
      <w:spacing w:before="480" w:after="0" w:line="240" w:lineRule="auto"/>
      <w:ind w:left="432" w:hanging="432"/>
      <w:jc w:val="both"/>
    </w:pPr>
    <w:rPr>
      <w:rFonts w:ascii="Times New Roman" w:eastAsia="Batang" w:hAnsi="Times New Roman"/>
      <w:bCs/>
      <w:sz w:val="24"/>
      <w:szCs w:val="20"/>
      <w:lang w:eastAsia="en-US"/>
    </w:rPr>
  </w:style>
  <w:style w:type="paragraph" w:customStyle="1" w:styleId="StyleHeading2TimesNewRoman11ptNotItalicJustifiedBe">
    <w:name w:val="Style Heading 2 + Times New Roman 11 pt Not Italic Justified Be..."/>
    <w:basedOn w:val="Heading2"/>
    <w:uiPriority w:val="99"/>
    <w:rsid w:val="001E7DB6"/>
    <w:pPr>
      <w:numPr>
        <w:numId w:val="153"/>
      </w:numPr>
      <w:tabs>
        <w:tab w:val="num" w:pos="720"/>
        <w:tab w:val="num" w:pos="1020"/>
      </w:tabs>
      <w:suppressAutoHyphens w:val="0"/>
      <w:overflowPunct w:val="0"/>
      <w:autoSpaceDE w:val="0"/>
      <w:autoSpaceDN w:val="0"/>
      <w:adjustRightInd w:val="0"/>
      <w:spacing w:before="313" w:after="0" w:line="240" w:lineRule="auto"/>
      <w:ind w:firstLine="0"/>
      <w:jc w:val="both"/>
    </w:pPr>
    <w:rPr>
      <w:rFonts w:ascii="Times New Roman" w:eastAsia="Batang" w:hAnsi="Times New Roman"/>
      <w:bCs/>
      <w:sz w:val="22"/>
      <w:szCs w:val="20"/>
      <w:lang w:eastAsia="en-US"/>
    </w:rPr>
  </w:style>
  <w:style w:type="paragraph" w:customStyle="1" w:styleId="StyleHeading3TimesNewRoman10ptJustifiedBefore905">
    <w:name w:val="Style Heading 3 + Times New Roman 10 pt Justified Before:  9.05 ..."/>
    <w:basedOn w:val="Heading3"/>
    <w:uiPriority w:val="99"/>
    <w:rsid w:val="001E7DB6"/>
    <w:pPr>
      <w:numPr>
        <w:numId w:val="153"/>
      </w:numPr>
      <w:tabs>
        <w:tab w:val="num" w:pos="720"/>
      </w:tabs>
      <w:suppressAutoHyphens w:val="0"/>
      <w:overflowPunct w:val="0"/>
      <w:autoSpaceDE w:val="0"/>
      <w:autoSpaceDN w:val="0"/>
      <w:adjustRightInd w:val="0"/>
      <w:spacing w:before="181" w:after="0" w:line="240" w:lineRule="auto"/>
      <w:ind w:left="1224" w:hanging="1224"/>
      <w:jc w:val="both"/>
    </w:pPr>
    <w:rPr>
      <w:rFonts w:ascii="Times New Roman" w:eastAsia="Batang" w:hAnsi="Times New Roman"/>
      <w:bCs/>
      <w:sz w:val="20"/>
      <w:szCs w:val="20"/>
      <w:lang w:val="en-US" w:eastAsia="en-US"/>
    </w:rPr>
  </w:style>
  <w:style w:type="paragraph" w:customStyle="1" w:styleId="StyletableheadingCentered">
    <w:name w:val="Style table heading + Centered"/>
    <w:basedOn w:val="tableheading"/>
    <w:uiPriority w:val="99"/>
    <w:rsid w:val="001E7DB6"/>
    <w:pPr>
      <w:spacing w:before="20" w:after="40"/>
      <w:jc w:val="center"/>
      <w:textAlignment w:val="auto"/>
    </w:pPr>
    <w:rPr>
      <w:rFonts w:eastAsia="Batang"/>
      <w:lang w:val="en-GB"/>
    </w:rPr>
  </w:style>
  <w:style w:type="paragraph" w:customStyle="1" w:styleId="Styleenumlev1Left0Hanging03">
    <w:name w:val="Style enumlev1 + Left:  0&quot; Hanging:  0.3&quot;"/>
    <w:basedOn w:val="enumlev1"/>
    <w:uiPriority w:val="99"/>
    <w:rsid w:val="001E7DB6"/>
    <w:pPr>
      <w:spacing w:before="136"/>
      <w:ind w:left="432" w:hanging="432"/>
      <w:textAlignment w:val="auto"/>
    </w:pPr>
    <w:rPr>
      <w:rFonts w:eastAsia="Batang"/>
    </w:rPr>
  </w:style>
  <w:style w:type="paragraph" w:customStyle="1" w:styleId="StyleNote111ptLeft0">
    <w:name w:val="Style Note 1 + 11 pt Left:  0&quot;"/>
    <w:basedOn w:val="Note1"/>
    <w:uiPriority w:val="99"/>
    <w:rsid w:val="001E7DB6"/>
    <w:pPr>
      <w:spacing w:before="136" w:after="0"/>
      <w:ind w:left="0"/>
      <w:textAlignment w:val="auto"/>
    </w:pPr>
    <w:rPr>
      <w:rFonts w:eastAsia="Batang"/>
      <w:sz w:val="22"/>
      <w:szCs w:val="20"/>
      <w:lang w:eastAsia="zh-CN"/>
    </w:rPr>
  </w:style>
  <w:style w:type="character" w:customStyle="1" w:styleId="Annex3CharCharChar">
    <w:name w:val="Annex 3 Char Char Char"/>
    <w:link w:val="Annex3CharChar"/>
    <w:uiPriority w:val="99"/>
    <w:locked/>
    <w:rsid w:val="001E7DB6"/>
    <w:rPr>
      <w:rFonts w:ascii="Times" w:eastAsia="Malgun Gothic" w:hAnsi="Times"/>
      <w:b/>
      <w:lang w:val="en-GB" w:eastAsia="x-none"/>
    </w:rPr>
  </w:style>
  <w:style w:type="paragraph" w:customStyle="1" w:styleId="Annex3CharChar">
    <w:name w:val="Annex 3 Char Char"/>
    <w:basedOn w:val="Normal"/>
    <w:next w:val="Normal"/>
    <w:link w:val="Annex3CharCharChar"/>
    <w:uiPriority w:val="99"/>
    <w:rsid w:val="001E7DB6"/>
    <w:pPr>
      <w:keepNext/>
      <w:tabs>
        <w:tab w:val="clear" w:pos="403"/>
        <w:tab w:val="clear" w:pos="806"/>
        <w:tab w:val="clear" w:pos="1210"/>
        <w:tab w:val="clear" w:pos="1613"/>
        <w:tab w:val="num" w:pos="720"/>
        <w:tab w:val="left" w:pos="794"/>
        <w:tab w:val="left" w:pos="1191"/>
        <w:tab w:val="left" w:pos="1588"/>
        <w:tab w:val="left" w:pos="1985"/>
      </w:tabs>
      <w:overflowPunct w:val="0"/>
      <w:autoSpaceDE w:val="0"/>
      <w:autoSpaceDN w:val="0"/>
      <w:adjustRightInd w:val="0"/>
      <w:spacing w:before="181" w:after="0" w:line="240" w:lineRule="auto"/>
      <w:ind w:left="1224" w:hanging="1224"/>
      <w:outlineLvl w:val="2"/>
    </w:pPr>
    <w:rPr>
      <w:rFonts w:ascii="Times" w:eastAsia="Malgun Gothic" w:hAnsi="Times"/>
      <w:b/>
      <w:bCs/>
      <w:sz w:val="20"/>
      <w:szCs w:val="20"/>
    </w:rPr>
  </w:style>
  <w:style w:type="character" w:customStyle="1" w:styleId="Annex4CharCharCharCharChar">
    <w:name w:val="Annex 4 Char Char Char Char Char"/>
    <w:link w:val="Annex4CharCharCharChar"/>
    <w:uiPriority w:val="99"/>
    <w:locked/>
    <w:rsid w:val="001E7DB6"/>
    <w:rPr>
      <w:rFonts w:ascii="Times" w:eastAsia="Malgun Gothic" w:hAnsi="Times"/>
      <w:b/>
    </w:rPr>
  </w:style>
  <w:style w:type="paragraph" w:customStyle="1" w:styleId="Annex4CharCharCharChar">
    <w:name w:val="Annex 4 Char Char Char Char"/>
    <w:basedOn w:val="Annex3CharChar"/>
    <w:next w:val="Normal"/>
    <w:link w:val="Annex4CharCharCharCharChar"/>
    <w:uiPriority w:val="99"/>
    <w:rsid w:val="001E7DB6"/>
    <w:pPr>
      <w:ind w:left="1728" w:hanging="1728"/>
    </w:pPr>
    <w:rPr>
      <w:lang w:val="en-US"/>
    </w:rPr>
  </w:style>
  <w:style w:type="paragraph" w:customStyle="1" w:styleId="Annex6">
    <w:name w:val="Annex 6"/>
    <w:basedOn w:val="Annex5"/>
    <w:next w:val="Normal"/>
    <w:autoRedefine/>
    <w:uiPriority w:val="99"/>
    <w:rsid w:val="001E7DB6"/>
    <w:pPr>
      <w:numPr>
        <w:ilvl w:val="4"/>
      </w:numPr>
      <w:tabs>
        <w:tab w:val="num" w:pos="862"/>
        <w:tab w:val="num" w:pos="1080"/>
        <w:tab w:val="num" w:pos="1170"/>
        <w:tab w:val="num" w:pos="4320"/>
      </w:tabs>
      <w:ind w:left="1170" w:hanging="1170"/>
      <w:outlineLvl w:val="5"/>
    </w:pPr>
  </w:style>
  <w:style w:type="character" w:customStyle="1" w:styleId="AVCEquationlevel1CharCharCharCharChar">
    <w:name w:val="AVC Equation level 1 Char Char Char Char Char"/>
    <w:link w:val="AVCEquationlevel1CharCharCharChar"/>
    <w:uiPriority w:val="99"/>
    <w:locked/>
    <w:rsid w:val="001E7DB6"/>
    <w:rPr>
      <w:rFonts w:ascii="Times" w:eastAsia="Malgun Gothic" w:hAnsi="Times"/>
      <w:lang w:val="en-GB" w:eastAsia="x-none"/>
    </w:rPr>
  </w:style>
  <w:style w:type="paragraph" w:customStyle="1" w:styleId="AVCEquationlevel1CharCharCharChar">
    <w:name w:val="AVC Equation level 1 Char Char Char Char"/>
    <w:basedOn w:val="Normal"/>
    <w:link w:val="AVCEquationlevel1CharCharCharCharChar"/>
    <w:uiPriority w:val="99"/>
    <w:rsid w:val="001E7DB6"/>
    <w:pPr>
      <w:tabs>
        <w:tab w:val="clear" w:pos="403"/>
        <w:tab w:val="clear" w:pos="806"/>
        <w:tab w:val="clear" w:pos="1613"/>
        <w:tab w:val="clear" w:pos="9677"/>
        <w:tab w:val="left" w:pos="794"/>
        <w:tab w:val="left" w:pos="1588"/>
        <w:tab w:val="right" w:pos="9696"/>
      </w:tabs>
      <w:overflowPunct w:val="0"/>
      <w:autoSpaceDE w:val="0"/>
      <w:autoSpaceDN w:val="0"/>
      <w:adjustRightInd w:val="0"/>
      <w:spacing w:before="200" w:line="240" w:lineRule="auto"/>
      <w:ind w:left="794"/>
      <w:jc w:val="left"/>
    </w:pPr>
    <w:rPr>
      <w:rFonts w:ascii="Times" w:eastAsia="Malgun Gothic" w:hAnsi="Times"/>
      <w:sz w:val="20"/>
      <w:szCs w:val="20"/>
    </w:rPr>
  </w:style>
  <w:style w:type="character" w:customStyle="1" w:styleId="SVCBulletslevel1CharCharCharChar">
    <w:name w:val="SVC Bullets level 1 Char Char Char Char"/>
    <w:link w:val="SVCBulletslevel1CharCharChar"/>
    <w:uiPriority w:val="99"/>
    <w:locked/>
    <w:rsid w:val="001E7DB6"/>
    <w:rPr>
      <w:rFonts w:eastAsia="Malgun Gothic"/>
      <w:lang w:val="en-GB" w:eastAsia="x-none"/>
    </w:rPr>
  </w:style>
  <w:style w:type="paragraph" w:customStyle="1" w:styleId="SVCBulletslevel1CharCharChar">
    <w:name w:val="SVC Bullets level 1 Char Char Char"/>
    <w:link w:val="SVCBulletslevel1CharCharCharChar"/>
    <w:uiPriority w:val="99"/>
    <w:rsid w:val="001E7DB6"/>
    <w:pPr>
      <w:tabs>
        <w:tab w:val="left" w:pos="403"/>
        <w:tab w:val="left" w:pos="792"/>
        <w:tab w:val="left" w:pos="1195"/>
        <w:tab w:val="left" w:pos="1584"/>
        <w:tab w:val="left" w:pos="1987"/>
        <w:tab w:val="left" w:pos="2376"/>
        <w:tab w:val="left" w:pos="2779"/>
        <w:tab w:val="left" w:pos="3168"/>
      </w:tabs>
      <w:spacing w:before="120"/>
      <w:jc w:val="both"/>
    </w:pPr>
    <w:rPr>
      <w:rFonts w:eastAsia="Malgun Gothic"/>
      <w:lang w:val="en-GB"/>
    </w:rPr>
  </w:style>
  <w:style w:type="paragraph" w:customStyle="1" w:styleId="SVCBulletslevel3">
    <w:name w:val="SVC Bullets level 3"/>
    <w:basedOn w:val="Normal"/>
    <w:uiPriority w:val="99"/>
    <w:rsid w:val="001E7DB6"/>
    <w:pPr>
      <w:tabs>
        <w:tab w:val="clear" w:pos="403"/>
        <w:tab w:val="clear" w:pos="806"/>
        <w:tab w:val="clear" w:pos="1210"/>
        <w:tab w:val="clear" w:pos="1613"/>
        <w:tab w:val="num" w:pos="-31680"/>
        <w:tab w:val="left" w:pos="794"/>
        <w:tab w:val="left" w:pos="1191"/>
        <w:tab w:val="left" w:pos="1588"/>
        <w:tab w:val="left" w:pos="1985"/>
      </w:tabs>
      <w:overflowPunct w:val="0"/>
      <w:autoSpaceDE w:val="0"/>
      <w:autoSpaceDN w:val="0"/>
      <w:adjustRightInd w:val="0"/>
      <w:spacing w:before="136" w:after="0" w:line="240" w:lineRule="auto"/>
      <w:ind w:left="1195" w:hanging="403"/>
    </w:pPr>
    <w:rPr>
      <w:rFonts w:ascii="Times New Roman" w:eastAsia="Malgun Gothic" w:hAnsi="Times New Roman"/>
      <w:sz w:val="20"/>
      <w:szCs w:val="20"/>
    </w:rPr>
  </w:style>
  <w:style w:type="character" w:customStyle="1" w:styleId="SVCBulletslevel2CharCharChar">
    <w:name w:val="SVC Bullets level 2 Char Char Char"/>
    <w:link w:val="SVCBulletslevel2CharChar"/>
    <w:uiPriority w:val="99"/>
    <w:locked/>
    <w:rsid w:val="001E7DB6"/>
    <w:rPr>
      <w:rFonts w:eastAsia="Malgun Gothic"/>
      <w:lang w:val="en-GB"/>
    </w:rPr>
  </w:style>
  <w:style w:type="paragraph" w:customStyle="1" w:styleId="SVCBulletslevel2CharChar">
    <w:name w:val="SVC Bullets level 2 Char Char"/>
    <w:basedOn w:val="Normal"/>
    <w:link w:val="SVCBulletslevel2CharCharChar"/>
    <w:uiPriority w:val="99"/>
    <w:rsid w:val="001E7DB6"/>
    <w:pPr>
      <w:numPr>
        <w:numId w:val="154"/>
      </w:numPr>
      <w:tabs>
        <w:tab w:val="clear" w:pos="806"/>
        <w:tab w:val="clear" w:pos="1210"/>
        <w:tab w:val="left" w:pos="792"/>
        <w:tab w:val="left" w:pos="1195"/>
        <w:tab w:val="left" w:pos="1584"/>
        <w:tab w:val="left" w:pos="1987"/>
        <w:tab w:val="left" w:pos="2376"/>
        <w:tab w:val="left" w:pos="2779"/>
        <w:tab w:val="left" w:pos="3168"/>
      </w:tabs>
      <w:spacing w:before="120" w:after="0" w:line="240" w:lineRule="auto"/>
    </w:pPr>
    <w:rPr>
      <w:rFonts w:eastAsia="Malgun Gothic"/>
      <w:sz w:val="20"/>
      <w:szCs w:val="20"/>
    </w:rPr>
  </w:style>
  <w:style w:type="character" w:customStyle="1" w:styleId="FigureCharCharChar">
    <w:name w:val="Figure_# Char Char Char"/>
    <w:link w:val="FigureCharChar"/>
    <w:uiPriority w:val="99"/>
    <w:locked/>
    <w:rsid w:val="001E7DB6"/>
    <w:rPr>
      <w:rFonts w:eastAsia="Malgun Gothic"/>
      <w:lang w:val="en-GB" w:eastAsia="x-none"/>
    </w:rPr>
  </w:style>
  <w:style w:type="paragraph" w:customStyle="1" w:styleId="FigureCharChar">
    <w:name w:val="Figure_# Char Char"/>
    <w:basedOn w:val="Normal"/>
    <w:next w:val="FigureTitleChar"/>
    <w:link w:val="FigureCharCharChar"/>
    <w:uiPriority w:val="99"/>
    <w:rsid w:val="001E7DB6"/>
    <w:pPr>
      <w:keepNext/>
      <w:tabs>
        <w:tab w:val="clear" w:pos="403"/>
      </w:tabs>
      <w:overflowPunct w:val="0"/>
      <w:autoSpaceDE w:val="0"/>
      <w:autoSpaceDN w:val="0"/>
      <w:adjustRightInd w:val="0"/>
      <w:spacing w:before="567" w:after="113" w:line="240" w:lineRule="auto"/>
      <w:jc w:val="center"/>
    </w:pPr>
    <w:rPr>
      <w:rFonts w:eastAsia="Malgun Gothic"/>
      <w:sz w:val="20"/>
      <w:szCs w:val="20"/>
    </w:rPr>
  </w:style>
  <w:style w:type="character" w:customStyle="1" w:styleId="FigureCharCharCharChar">
    <w:name w:val="Figure Char Char Char Char"/>
    <w:link w:val="FigureCharCharChar0"/>
    <w:uiPriority w:val="99"/>
    <w:locked/>
    <w:rsid w:val="001E7DB6"/>
    <w:rPr>
      <w:rFonts w:eastAsia="Malgun Gothic"/>
      <w:lang w:val="en-GB" w:eastAsia="x-none"/>
    </w:rPr>
  </w:style>
  <w:style w:type="paragraph" w:customStyle="1" w:styleId="FigureCharCharChar0">
    <w:name w:val="Figure Char Char Char"/>
    <w:basedOn w:val="Normal"/>
    <w:next w:val="Normal"/>
    <w:link w:val="FigureCharCharCharChar"/>
    <w:uiPriority w:val="99"/>
    <w:rsid w:val="001E7DB6"/>
    <w:p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240" w:after="480" w:line="240" w:lineRule="auto"/>
      <w:jc w:val="center"/>
    </w:pPr>
    <w:rPr>
      <w:rFonts w:eastAsia="Malgun Gothic"/>
      <w:sz w:val="20"/>
      <w:szCs w:val="20"/>
    </w:rPr>
  </w:style>
  <w:style w:type="character" w:customStyle="1" w:styleId="figureCharCharCharChar0">
    <w:name w:val="figure Char Char Char Char"/>
    <w:link w:val="figureCharCharChar1"/>
    <w:uiPriority w:val="99"/>
    <w:locked/>
    <w:rsid w:val="001E7DB6"/>
    <w:rPr>
      <w:rFonts w:ascii="Helvetica" w:eastAsia="Malgun Gothic" w:hAnsi="Helvetica"/>
      <w:color w:val="000000"/>
      <w:lang w:val="fr-FR" w:eastAsia="x-none"/>
    </w:rPr>
  </w:style>
  <w:style w:type="paragraph" w:customStyle="1" w:styleId="figureCharCharChar1">
    <w:name w:val="figure Char Char Char"/>
    <w:basedOn w:val="Normal"/>
    <w:link w:val="figureCharCharCharChar0"/>
    <w:uiPriority w:val="99"/>
    <w:rsid w:val="001E7DB6"/>
    <w:pPr>
      <w:keepNext/>
      <w:tabs>
        <w:tab w:val="clear" w:pos="403"/>
      </w:tabs>
      <w:spacing w:after="220" w:line="240" w:lineRule="auto"/>
      <w:jc w:val="center"/>
    </w:pPr>
    <w:rPr>
      <w:rFonts w:ascii="Helvetica" w:eastAsia="Malgun Gothic" w:hAnsi="Helvetica" w:cs="Helvetica"/>
      <w:color w:val="000000"/>
      <w:sz w:val="20"/>
      <w:szCs w:val="20"/>
      <w:lang w:val="fr-FR"/>
    </w:rPr>
  </w:style>
  <w:style w:type="paragraph" w:customStyle="1" w:styleId="AVCIndentlevel1">
    <w:name w:val="AVC Indent level 1"/>
    <w:basedOn w:val="Normal"/>
    <w:uiPriority w:val="99"/>
    <w:rsid w:val="001E7DB6"/>
    <w:pPr>
      <w:tabs>
        <w:tab w:val="clear" w:pos="403"/>
        <w:tab w:val="clear" w:pos="806"/>
        <w:tab w:val="clear" w:pos="1210"/>
        <w:tab w:val="clear" w:pos="1613"/>
        <w:tab w:val="left" w:pos="397"/>
        <w:tab w:val="left" w:pos="794"/>
        <w:tab w:val="left" w:pos="1191"/>
        <w:tab w:val="left" w:pos="1588"/>
        <w:tab w:val="left" w:pos="1985"/>
      </w:tabs>
      <w:overflowPunct w:val="0"/>
      <w:autoSpaceDE w:val="0"/>
      <w:autoSpaceDN w:val="0"/>
      <w:adjustRightInd w:val="0"/>
      <w:spacing w:before="136" w:after="0" w:line="240" w:lineRule="auto"/>
      <w:ind w:left="397"/>
    </w:pPr>
    <w:rPr>
      <w:rFonts w:ascii="Times New Roman" w:eastAsia="Malgun Gothic" w:hAnsi="Times New Roman"/>
      <w:sz w:val="20"/>
      <w:szCs w:val="20"/>
    </w:rPr>
  </w:style>
  <w:style w:type="paragraph" w:customStyle="1" w:styleId="AVCEquationlevel2">
    <w:name w:val="AVC Equation level 2"/>
    <w:basedOn w:val="AVCEquationlevel1CharCharCharChar"/>
    <w:uiPriority w:val="99"/>
    <w:rsid w:val="001E7DB6"/>
    <w:pPr>
      <w:tabs>
        <w:tab w:val="clear" w:pos="1210"/>
        <w:tab w:val="left" w:pos="1191"/>
      </w:tabs>
      <w:ind w:left="1191"/>
    </w:pPr>
  </w:style>
  <w:style w:type="paragraph" w:customStyle="1" w:styleId="AVCEquationlevel3">
    <w:name w:val="AVC Equation level 3"/>
    <w:basedOn w:val="AVCEquationlevel2"/>
    <w:uiPriority w:val="99"/>
    <w:rsid w:val="001E7DB6"/>
    <w:pPr>
      <w:ind w:left="1588"/>
    </w:pPr>
  </w:style>
  <w:style w:type="paragraph" w:customStyle="1" w:styleId="TableTextCentred">
    <w:name w:val="Table_Text_Centred"/>
    <w:basedOn w:val="TableText"/>
    <w:uiPriority w:val="99"/>
    <w:rsid w:val="001E7DB6"/>
    <w:pPr>
      <w:jc w:val="center"/>
      <w:textAlignment w:val="auto"/>
    </w:pPr>
  </w:style>
  <w:style w:type="character" w:customStyle="1" w:styleId="AVCBulletlevel1CharCharChar">
    <w:name w:val="AVC Bullet level 1 Char Char Char"/>
    <w:link w:val="AVCBulletlevel1CharChar"/>
    <w:uiPriority w:val="99"/>
    <w:locked/>
    <w:rsid w:val="001E7DB6"/>
    <w:rPr>
      <w:rFonts w:ascii="Times" w:eastAsia="Malgun Gothic" w:hAnsi="Times"/>
      <w:lang w:val="en-GB"/>
    </w:rPr>
  </w:style>
  <w:style w:type="paragraph" w:customStyle="1" w:styleId="AVCBulletlevel1CharChar">
    <w:name w:val="AVC Bullet level 1 Char Char"/>
    <w:basedOn w:val="Normal"/>
    <w:link w:val="AVCBulletlevel1CharCharChar"/>
    <w:uiPriority w:val="99"/>
    <w:rsid w:val="001E7DB6"/>
    <w:pPr>
      <w:numPr>
        <w:numId w:val="155"/>
      </w:numPr>
      <w:tabs>
        <w:tab w:val="clear" w:pos="806"/>
        <w:tab w:val="clear" w:pos="1210"/>
        <w:tab w:val="clear" w:pos="1613"/>
        <w:tab w:val="left" w:pos="792"/>
        <w:tab w:val="left" w:pos="1195"/>
        <w:tab w:val="left" w:pos="1588"/>
        <w:tab w:val="left" w:pos="1985"/>
        <w:tab w:val="left" w:pos="2376"/>
        <w:tab w:val="left" w:pos="2779"/>
      </w:tabs>
      <w:overflowPunct w:val="0"/>
      <w:autoSpaceDE w:val="0"/>
      <w:autoSpaceDN w:val="0"/>
      <w:adjustRightInd w:val="0"/>
      <w:spacing w:before="136" w:after="0" w:line="240" w:lineRule="auto"/>
    </w:pPr>
    <w:rPr>
      <w:rFonts w:ascii="Times" w:eastAsia="Malgun Gothic" w:hAnsi="Times"/>
      <w:sz w:val="20"/>
      <w:szCs w:val="20"/>
    </w:rPr>
  </w:style>
  <w:style w:type="paragraph" w:customStyle="1" w:styleId="BalloonText1">
    <w:name w:val="Balloon Text1"/>
    <w:basedOn w:val="Normal"/>
    <w:uiPriority w:val="99"/>
    <w:semiHidden/>
    <w:rsid w:val="001E7DB6"/>
    <w:pPr>
      <w:tabs>
        <w:tab w:val="clear" w:pos="403"/>
      </w:tabs>
      <w:spacing w:after="0" w:line="240" w:lineRule="auto"/>
      <w:jc w:val="left"/>
    </w:pPr>
    <w:rPr>
      <w:rFonts w:ascii="Tahoma" w:eastAsia="Malgun Gothic" w:hAnsi="Tahoma" w:cs="Tahoma"/>
      <w:sz w:val="16"/>
      <w:szCs w:val="16"/>
      <w:lang w:val="en-US"/>
    </w:rPr>
  </w:style>
  <w:style w:type="paragraph" w:customStyle="1" w:styleId="CommentSubject1">
    <w:name w:val="Comment Subject1"/>
    <w:basedOn w:val="CommentText"/>
    <w:next w:val="CommentText"/>
    <w:uiPriority w:val="99"/>
    <w:semiHidden/>
    <w:rsid w:val="001E7DB6"/>
    <w:pPr>
      <w:tabs>
        <w:tab w:val="clear" w:pos="794"/>
        <w:tab w:val="clear" w:pos="1191"/>
        <w:tab w:val="clear" w:pos="1588"/>
        <w:tab w:val="clear" w:pos="1985"/>
      </w:tabs>
      <w:overflowPunct/>
      <w:autoSpaceDE/>
      <w:autoSpaceDN/>
      <w:adjustRightInd/>
      <w:spacing w:before="0"/>
      <w:jc w:val="left"/>
      <w:textAlignment w:val="auto"/>
    </w:pPr>
    <w:rPr>
      <w:b/>
      <w:bCs/>
      <w:lang w:val="en-US" w:eastAsia="zh-CN"/>
    </w:rPr>
  </w:style>
  <w:style w:type="paragraph" w:customStyle="1" w:styleId="AVCBulletlevel4">
    <w:name w:val="AVC Bullet level 4"/>
    <w:basedOn w:val="AVCBulletlevel1CharChar"/>
    <w:uiPriority w:val="99"/>
    <w:rsid w:val="001E7DB6"/>
    <w:pPr>
      <w:numPr>
        <w:numId w:val="156"/>
      </w:numPr>
      <w:tabs>
        <w:tab w:val="clear" w:pos="1915"/>
        <w:tab w:val="num" w:pos="360"/>
        <w:tab w:val="num" w:pos="643"/>
        <w:tab w:val="num" w:pos="720"/>
      </w:tabs>
      <w:ind w:left="1598" w:hanging="403"/>
    </w:pPr>
  </w:style>
  <w:style w:type="paragraph" w:customStyle="1" w:styleId="AVCBulletlevel5">
    <w:name w:val="AVC Bullet level 5"/>
    <w:basedOn w:val="AVCBulletlevel1CharChar"/>
    <w:uiPriority w:val="99"/>
    <w:rsid w:val="001E7DB6"/>
    <w:pPr>
      <w:numPr>
        <w:numId w:val="157"/>
      </w:numPr>
      <w:tabs>
        <w:tab w:val="clear" w:pos="2376"/>
        <w:tab w:val="clear" w:pos="2705"/>
        <w:tab w:val="num" w:pos="360"/>
        <w:tab w:val="num" w:pos="926"/>
        <w:tab w:val="left" w:pos="2381"/>
      </w:tabs>
      <w:ind w:left="1987" w:hanging="403"/>
    </w:pPr>
  </w:style>
  <w:style w:type="paragraph" w:customStyle="1" w:styleId="AVCBulletlevel7">
    <w:name w:val="AVC Bullet level 7"/>
    <w:basedOn w:val="AVCBulletlevel1CharChar"/>
    <w:uiPriority w:val="99"/>
    <w:rsid w:val="001E7DB6"/>
    <w:pPr>
      <w:tabs>
        <w:tab w:val="clear" w:pos="397"/>
        <w:tab w:val="clear" w:pos="792"/>
        <w:tab w:val="clear" w:pos="1195"/>
        <w:tab w:val="clear" w:pos="1588"/>
        <w:tab w:val="clear" w:pos="2376"/>
        <w:tab w:val="clear" w:pos="2779"/>
        <w:tab w:val="num" w:pos="1985"/>
        <w:tab w:val="left" w:pos="2381"/>
        <w:tab w:val="left" w:pos="2778"/>
        <w:tab w:val="left" w:pos="3175"/>
      </w:tabs>
      <w:ind w:left="2779"/>
    </w:pPr>
  </w:style>
  <w:style w:type="paragraph" w:customStyle="1" w:styleId="AVCNumberinglevel1">
    <w:name w:val="AVC Numbering level 1"/>
    <w:basedOn w:val="Normal"/>
    <w:uiPriority w:val="99"/>
    <w:rsid w:val="001E7DB6"/>
    <w:pPr>
      <w:numPr>
        <w:numId w:val="158"/>
      </w:num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136" w:after="0" w:line="240" w:lineRule="auto"/>
      <w:ind w:left="403" w:hanging="403"/>
    </w:pPr>
    <w:rPr>
      <w:rFonts w:ascii="Times New Roman" w:eastAsia="Malgun Gothic" w:hAnsi="Times New Roman"/>
      <w:sz w:val="20"/>
      <w:szCs w:val="20"/>
    </w:rPr>
  </w:style>
  <w:style w:type="paragraph" w:customStyle="1" w:styleId="LegendeFigure">
    <w:name w:val="Legende Figure"/>
    <w:basedOn w:val="Caption"/>
    <w:next w:val="Normal"/>
    <w:uiPriority w:val="99"/>
    <w:rsid w:val="001E7DB6"/>
    <w:pPr>
      <w:tabs>
        <w:tab w:val="num" w:pos="397"/>
      </w:tabs>
      <w:overflowPunct/>
      <w:autoSpaceDE/>
      <w:autoSpaceDN/>
      <w:adjustRightInd/>
      <w:spacing w:before="120" w:after="120"/>
      <w:ind w:left="1633" w:hanging="357"/>
      <w:textAlignment w:val="auto"/>
    </w:pPr>
    <w:rPr>
      <w:rFonts w:ascii="Arial" w:hAnsi="Arial" w:cs="Arial"/>
      <w:b w:val="0"/>
      <w:bCs w:val="0"/>
      <w:i/>
      <w:lang w:val="fr-FR" w:eastAsia="zh-CN"/>
    </w:rPr>
  </w:style>
  <w:style w:type="character" w:customStyle="1" w:styleId="AVCBulletlevel3CharCharCharCharChar">
    <w:name w:val="AVC Bullet level 3 Char Char Char Char Char"/>
    <w:link w:val="AVCBulletlevel3CharCharCharChar"/>
    <w:uiPriority w:val="99"/>
    <w:locked/>
    <w:rsid w:val="001E7DB6"/>
    <w:rPr>
      <w:sz w:val="22"/>
      <w:szCs w:val="22"/>
    </w:rPr>
  </w:style>
  <w:style w:type="paragraph" w:customStyle="1" w:styleId="AVCBulletlevel3CharCharCharChar">
    <w:name w:val="AVC Bullet level 3 Char Char Char Char"/>
    <w:basedOn w:val="AVCBulletlevel1CharChar"/>
    <w:link w:val="AVCBulletlevel3CharCharCharCharChar"/>
    <w:uiPriority w:val="99"/>
    <w:rsid w:val="001E7DB6"/>
    <w:pPr>
      <w:numPr>
        <w:numId w:val="159"/>
      </w:numPr>
      <w:tabs>
        <w:tab w:val="clear" w:pos="1182"/>
        <w:tab w:val="clear" w:pos="1985"/>
        <w:tab w:val="num" w:pos="390"/>
        <w:tab w:val="num" w:pos="1117"/>
        <w:tab w:val="left" w:pos="1195"/>
      </w:tabs>
      <w:ind w:left="1117" w:hanging="360"/>
    </w:pPr>
    <w:rPr>
      <w:rFonts w:ascii="Cambria" w:eastAsiaTheme="minorEastAsia" w:hAnsi="Cambria"/>
      <w:sz w:val="22"/>
      <w:szCs w:val="22"/>
      <w:lang w:val="en-US"/>
    </w:rPr>
  </w:style>
  <w:style w:type="paragraph" w:customStyle="1" w:styleId="AVCBulletlevel1Char1">
    <w:name w:val="AVC Bullet level 1 Char1"/>
    <w:basedOn w:val="Normal"/>
    <w:uiPriority w:val="99"/>
    <w:rsid w:val="001E7DB6"/>
    <w:pPr>
      <w:tabs>
        <w:tab w:val="clear" w:pos="403"/>
        <w:tab w:val="clear" w:pos="806"/>
        <w:tab w:val="clear" w:pos="1210"/>
        <w:tab w:val="clear" w:pos="1613"/>
        <w:tab w:val="left" w:pos="397"/>
        <w:tab w:val="num" w:pos="720"/>
        <w:tab w:val="left" w:pos="794"/>
        <w:tab w:val="left" w:pos="1191"/>
        <w:tab w:val="left" w:pos="1588"/>
        <w:tab w:val="left" w:pos="1985"/>
      </w:tabs>
      <w:overflowPunct w:val="0"/>
      <w:autoSpaceDE w:val="0"/>
      <w:autoSpaceDN w:val="0"/>
      <w:adjustRightInd w:val="0"/>
      <w:spacing w:before="136" w:after="0" w:line="240" w:lineRule="auto"/>
      <w:ind w:left="397" w:hanging="360"/>
    </w:pPr>
    <w:rPr>
      <w:rFonts w:ascii="Times New Roman" w:eastAsia="Malgun Gothic" w:hAnsi="Times New Roman"/>
      <w:sz w:val="20"/>
      <w:szCs w:val="20"/>
    </w:rPr>
  </w:style>
  <w:style w:type="paragraph" w:customStyle="1" w:styleId="AVCBulletlevel3">
    <w:name w:val="AVC Bullet level 3"/>
    <w:basedOn w:val="Normal"/>
    <w:uiPriority w:val="99"/>
    <w:rsid w:val="001E7DB6"/>
    <w:pPr>
      <w:tabs>
        <w:tab w:val="clear" w:pos="403"/>
        <w:tab w:val="clear" w:pos="806"/>
        <w:tab w:val="clear" w:pos="1210"/>
        <w:tab w:val="clear" w:pos="1613"/>
        <w:tab w:val="left" w:pos="397"/>
        <w:tab w:val="left" w:pos="794"/>
        <w:tab w:val="num" w:pos="1191"/>
        <w:tab w:val="left" w:pos="1588"/>
        <w:tab w:val="left" w:pos="1985"/>
      </w:tabs>
      <w:overflowPunct w:val="0"/>
      <w:autoSpaceDE w:val="0"/>
      <w:autoSpaceDN w:val="0"/>
      <w:adjustRightInd w:val="0"/>
      <w:spacing w:before="136" w:after="0" w:line="240" w:lineRule="auto"/>
      <w:ind w:left="1191" w:hanging="397"/>
    </w:pPr>
    <w:rPr>
      <w:rFonts w:ascii="Times New Roman" w:eastAsia="Malgun Gothic" w:hAnsi="Times New Roman"/>
      <w:sz w:val="20"/>
      <w:szCs w:val="20"/>
    </w:rPr>
  </w:style>
  <w:style w:type="paragraph" w:customStyle="1" w:styleId="SVCNumberinglevel1">
    <w:name w:val="SVC Numbering level 1"/>
    <w:basedOn w:val="SVCBulletslevel1CharCharChar"/>
    <w:uiPriority w:val="99"/>
    <w:rsid w:val="001E7DB6"/>
    <w:pPr>
      <w:numPr>
        <w:numId w:val="160"/>
      </w:numPr>
      <w:tabs>
        <w:tab w:val="clear" w:pos="0"/>
        <w:tab w:val="num" w:pos="360"/>
        <w:tab w:val="num" w:pos="2705"/>
      </w:tabs>
      <w:ind w:left="0" w:firstLine="0"/>
    </w:pPr>
  </w:style>
  <w:style w:type="paragraph" w:customStyle="1" w:styleId="SVCNumberinglevel2">
    <w:name w:val="SVC Numbering level 2"/>
    <w:basedOn w:val="SVCNumberinglevel1"/>
    <w:uiPriority w:val="99"/>
    <w:rsid w:val="001E7DB6"/>
    <w:pPr>
      <w:numPr>
        <w:numId w:val="0"/>
      </w:numPr>
    </w:pPr>
  </w:style>
  <w:style w:type="paragraph" w:customStyle="1" w:styleId="SVCNumberinglevel3">
    <w:name w:val="SVC Numbering level 3"/>
    <w:basedOn w:val="SVCNumberinglevel2"/>
    <w:uiPriority w:val="99"/>
    <w:rsid w:val="001E7DB6"/>
    <w:pPr>
      <w:numPr>
        <w:ilvl w:val="2"/>
        <w:numId w:val="160"/>
      </w:numPr>
      <w:tabs>
        <w:tab w:val="clear" w:pos="0"/>
        <w:tab w:val="num" w:pos="1800"/>
        <w:tab w:val="num" w:pos="2160"/>
      </w:tabs>
      <w:ind w:left="1800" w:hanging="180"/>
    </w:pPr>
  </w:style>
  <w:style w:type="paragraph" w:customStyle="1" w:styleId="SVCNumberinglevel4">
    <w:name w:val="SVC Numbering level 4"/>
    <w:basedOn w:val="SVCNumberinglevel3"/>
    <w:uiPriority w:val="99"/>
    <w:rsid w:val="001E7DB6"/>
    <w:pPr>
      <w:numPr>
        <w:ilvl w:val="3"/>
      </w:numPr>
      <w:tabs>
        <w:tab w:val="clear" w:pos="0"/>
        <w:tab w:val="num" w:pos="2520"/>
        <w:tab w:val="num" w:pos="2880"/>
      </w:tabs>
      <w:ind w:left="2880" w:hanging="360"/>
    </w:pPr>
  </w:style>
  <w:style w:type="paragraph" w:customStyle="1" w:styleId="SVCNumberinglevel5">
    <w:name w:val="SVC Numbering level 5"/>
    <w:basedOn w:val="SVCNumberinglevel4"/>
    <w:uiPriority w:val="99"/>
    <w:rsid w:val="001E7DB6"/>
    <w:pPr>
      <w:numPr>
        <w:ilvl w:val="4"/>
      </w:numPr>
      <w:tabs>
        <w:tab w:val="clear" w:pos="0"/>
        <w:tab w:val="num" w:pos="3240"/>
        <w:tab w:val="num" w:pos="3600"/>
      </w:tabs>
      <w:ind w:left="3600" w:hanging="360"/>
    </w:pPr>
  </w:style>
  <w:style w:type="paragraph" w:customStyle="1" w:styleId="SVCIndentlevel4">
    <w:name w:val="SVC Indent level 4"/>
    <w:uiPriority w:val="99"/>
    <w:rsid w:val="001E7DB6"/>
    <w:pPr>
      <w:tabs>
        <w:tab w:val="left" w:pos="1584"/>
        <w:tab w:val="left" w:pos="1987"/>
        <w:tab w:val="left" w:pos="2376"/>
        <w:tab w:val="left" w:pos="2779"/>
        <w:tab w:val="left" w:pos="3168"/>
      </w:tabs>
      <w:spacing w:before="120"/>
      <w:ind w:left="1600"/>
      <w:jc w:val="both"/>
    </w:pPr>
    <w:rPr>
      <w:rFonts w:ascii="Times New Roman" w:eastAsia="Malgun Gothic" w:hAnsi="Times New Roman"/>
      <w:lang w:val="en-GB"/>
    </w:rPr>
  </w:style>
  <w:style w:type="paragraph" w:customStyle="1" w:styleId="SVCIndentlevel1">
    <w:name w:val="SVC Indent level 1"/>
    <w:basedOn w:val="SVCBulletslevel1CharCharChar"/>
    <w:uiPriority w:val="99"/>
    <w:rsid w:val="001E7DB6"/>
    <w:pPr>
      <w:tabs>
        <w:tab w:val="clear" w:pos="403"/>
      </w:tabs>
      <w:ind w:left="403"/>
    </w:pPr>
  </w:style>
  <w:style w:type="paragraph" w:customStyle="1" w:styleId="AVCBulletlevel3Char">
    <w:name w:val="AVC Bullet level 3 Char"/>
    <w:basedOn w:val="AVCBulletlevel1CharChar"/>
    <w:uiPriority w:val="99"/>
    <w:rsid w:val="001E7DB6"/>
    <w:pPr>
      <w:numPr>
        <w:numId w:val="0"/>
      </w:numPr>
      <w:tabs>
        <w:tab w:val="clear" w:pos="1195"/>
        <w:tab w:val="clear" w:pos="1985"/>
        <w:tab w:val="num" w:pos="1182"/>
      </w:tabs>
      <w:ind w:left="1182" w:hanging="390"/>
    </w:pPr>
  </w:style>
  <w:style w:type="paragraph" w:customStyle="1" w:styleId="AVCBulletlevel1">
    <w:name w:val="AVC Bullet level 1"/>
    <w:basedOn w:val="Normal"/>
    <w:uiPriority w:val="99"/>
    <w:rsid w:val="001E7DB6"/>
    <w:pPr>
      <w:tabs>
        <w:tab w:val="clear" w:pos="403"/>
        <w:tab w:val="clear" w:pos="806"/>
        <w:tab w:val="clear" w:pos="1210"/>
        <w:tab w:val="clear" w:pos="1613"/>
        <w:tab w:val="num" w:pos="397"/>
        <w:tab w:val="left" w:pos="792"/>
        <w:tab w:val="left" w:pos="1195"/>
        <w:tab w:val="left" w:pos="1588"/>
        <w:tab w:val="left" w:pos="1985"/>
        <w:tab w:val="left" w:pos="2376"/>
        <w:tab w:val="left" w:pos="2779"/>
      </w:tabs>
      <w:overflowPunct w:val="0"/>
      <w:autoSpaceDE w:val="0"/>
      <w:autoSpaceDN w:val="0"/>
      <w:adjustRightInd w:val="0"/>
      <w:spacing w:before="136" w:after="0" w:line="240" w:lineRule="auto"/>
      <w:ind w:left="397" w:hanging="397"/>
    </w:pPr>
    <w:rPr>
      <w:rFonts w:ascii="Times New Roman" w:eastAsia="Malgun Gothic" w:hAnsi="Times New Roman"/>
      <w:sz w:val="20"/>
      <w:szCs w:val="20"/>
    </w:rPr>
  </w:style>
  <w:style w:type="paragraph" w:customStyle="1" w:styleId="AVCEquationlevel1">
    <w:name w:val="AVC Equation level 1"/>
    <w:basedOn w:val="Equation"/>
    <w:uiPriority w:val="99"/>
    <w:rsid w:val="001E7DB6"/>
    <w:pPr>
      <w:tabs>
        <w:tab w:val="clear" w:pos="806"/>
        <w:tab w:val="clear" w:pos="1613"/>
        <w:tab w:val="clear" w:pos="9677"/>
        <w:tab w:val="left" w:pos="794"/>
        <w:tab w:val="left" w:pos="1588"/>
        <w:tab w:val="right" w:pos="9696"/>
      </w:tabs>
      <w:spacing w:before="200" w:after="0"/>
      <w:ind w:left="794"/>
      <w:textAlignment w:val="auto"/>
    </w:pPr>
    <w:rPr>
      <w:rFonts w:ascii="Times New Roman" w:hAnsi="Times New Roman"/>
      <w:sz w:val="20"/>
    </w:rPr>
  </w:style>
  <w:style w:type="paragraph" w:customStyle="1" w:styleId="SVCBulletslevel2">
    <w:name w:val="SVC Bullets level 2"/>
    <w:basedOn w:val="Normal"/>
    <w:uiPriority w:val="99"/>
    <w:rsid w:val="001E7DB6"/>
    <w:p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136" w:after="0" w:line="240" w:lineRule="auto"/>
    </w:pPr>
    <w:rPr>
      <w:rFonts w:ascii="Times New Roman" w:eastAsia="Malgun Gothic" w:hAnsi="Times New Roman"/>
      <w:sz w:val="20"/>
      <w:szCs w:val="20"/>
      <w:lang w:eastAsia="ko-KR"/>
    </w:rPr>
  </w:style>
  <w:style w:type="paragraph" w:customStyle="1" w:styleId="Annex4Char">
    <w:name w:val="Annex 4 Char"/>
    <w:basedOn w:val="Annex3CharChar"/>
    <w:next w:val="Normal"/>
    <w:uiPriority w:val="99"/>
    <w:rsid w:val="001E7DB6"/>
    <w:pPr>
      <w:tabs>
        <w:tab w:val="clear" w:pos="720"/>
        <w:tab w:val="num" w:pos="1120"/>
      </w:tabs>
      <w:ind w:left="2128" w:hanging="1728"/>
    </w:pPr>
    <w:rPr>
      <w:lang w:val="en-US"/>
    </w:rPr>
  </w:style>
  <w:style w:type="paragraph" w:customStyle="1" w:styleId="AVCBulletlevel3CharChar">
    <w:name w:val="AVC Bullet level 3 Char Char"/>
    <w:basedOn w:val="AVCBulletlevel1CharChar"/>
    <w:uiPriority w:val="99"/>
    <w:rsid w:val="001E7DB6"/>
    <w:pPr>
      <w:numPr>
        <w:numId w:val="0"/>
      </w:numPr>
      <w:tabs>
        <w:tab w:val="clear" w:pos="1195"/>
        <w:tab w:val="clear" w:pos="1985"/>
        <w:tab w:val="num" w:pos="1182"/>
      </w:tabs>
      <w:ind w:left="1182" w:hanging="390"/>
    </w:pPr>
  </w:style>
  <w:style w:type="paragraph" w:customStyle="1" w:styleId="AVCBulletlevel3CharCharChar">
    <w:name w:val="AVC Bullet level 3 Char Char Char"/>
    <w:basedOn w:val="AVCBulletlevel1CharChar"/>
    <w:uiPriority w:val="99"/>
    <w:rsid w:val="001E7DB6"/>
    <w:pPr>
      <w:numPr>
        <w:numId w:val="0"/>
      </w:numPr>
      <w:tabs>
        <w:tab w:val="clear" w:pos="1985"/>
        <w:tab w:val="num" w:pos="490"/>
      </w:tabs>
      <w:ind w:left="490" w:hanging="390"/>
    </w:pPr>
  </w:style>
  <w:style w:type="character" w:customStyle="1" w:styleId="AVCBulletlevel1CharChar1">
    <w:name w:val="AVC Bullet level 1 Char Char1"/>
    <w:link w:val="AVCBulletlevel1Char"/>
    <w:uiPriority w:val="99"/>
    <w:locked/>
    <w:rsid w:val="001E7DB6"/>
    <w:rPr>
      <w:rFonts w:ascii="Times" w:eastAsia="Malgun Gothic" w:hAnsi="Times"/>
      <w:lang w:val="en-GB" w:eastAsia="x-none"/>
    </w:rPr>
  </w:style>
  <w:style w:type="paragraph" w:customStyle="1" w:styleId="AVCBulletlevel1Char">
    <w:name w:val="AVC Bullet level 1 Char"/>
    <w:basedOn w:val="Normal"/>
    <w:link w:val="AVCBulletlevel1CharChar1"/>
    <w:uiPriority w:val="99"/>
    <w:rsid w:val="001E7DB6"/>
    <w:pPr>
      <w:tabs>
        <w:tab w:val="clear" w:pos="403"/>
        <w:tab w:val="clear" w:pos="806"/>
        <w:tab w:val="clear" w:pos="1210"/>
        <w:tab w:val="clear" w:pos="1613"/>
        <w:tab w:val="num" w:pos="397"/>
        <w:tab w:val="left" w:pos="792"/>
        <w:tab w:val="left" w:pos="1195"/>
        <w:tab w:val="left" w:pos="1588"/>
        <w:tab w:val="left" w:pos="1985"/>
        <w:tab w:val="left" w:pos="2376"/>
        <w:tab w:val="left" w:pos="2779"/>
      </w:tabs>
      <w:overflowPunct w:val="0"/>
      <w:autoSpaceDE w:val="0"/>
      <w:autoSpaceDN w:val="0"/>
      <w:adjustRightInd w:val="0"/>
      <w:spacing w:before="136" w:after="0" w:line="240" w:lineRule="auto"/>
      <w:ind w:left="397" w:hanging="397"/>
    </w:pPr>
    <w:rPr>
      <w:rFonts w:ascii="Times" w:eastAsia="Malgun Gothic" w:hAnsi="Times"/>
      <w:sz w:val="20"/>
      <w:szCs w:val="20"/>
    </w:rPr>
  </w:style>
  <w:style w:type="paragraph" w:customStyle="1" w:styleId="AVCEquationlevel1CharChar">
    <w:name w:val="AVC Equation level 1 Char Char"/>
    <w:basedOn w:val="Equation"/>
    <w:uiPriority w:val="99"/>
    <w:rsid w:val="001E7DB6"/>
    <w:pPr>
      <w:tabs>
        <w:tab w:val="clear" w:pos="806"/>
        <w:tab w:val="clear" w:pos="1613"/>
        <w:tab w:val="clear" w:pos="9677"/>
        <w:tab w:val="left" w:pos="794"/>
        <w:tab w:val="left" w:pos="1588"/>
        <w:tab w:val="right" w:pos="9696"/>
      </w:tabs>
      <w:spacing w:before="200" w:after="0"/>
      <w:ind w:left="794"/>
      <w:textAlignment w:val="auto"/>
    </w:pPr>
    <w:rPr>
      <w:rFonts w:ascii="Times New Roman" w:hAnsi="Times New Roman"/>
      <w:sz w:val="20"/>
    </w:rPr>
  </w:style>
  <w:style w:type="paragraph" w:customStyle="1" w:styleId="SVCBulletslevel1">
    <w:name w:val="SVC Bullets level 1"/>
    <w:basedOn w:val="SVCBulletslevel1CharCharChar"/>
    <w:uiPriority w:val="99"/>
    <w:rsid w:val="001E7DB6"/>
    <w:pPr>
      <w:tabs>
        <w:tab w:val="clear" w:pos="403"/>
        <w:tab w:val="num" w:pos="360"/>
      </w:tabs>
      <w:ind w:left="360" w:hanging="360"/>
    </w:pPr>
  </w:style>
  <w:style w:type="paragraph" w:customStyle="1" w:styleId="SVCBulletslevel2Char">
    <w:name w:val="SVC Bullets level 2 Char"/>
    <w:basedOn w:val="Normal"/>
    <w:uiPriority w:val="99"/>
    <w:rsid w:val="001E7DB6"/>
    <w:p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136" w:after="0" w:line="240" w:lineRule="auto"/>
    </w:pPr>
    <w:rPr>
      <w:rFonts w:ascii="Times New Roman" w:eastAsia="Malgun Gothic" w:hAnsi="Times New Roman"/>
      <w:sz w:val="20"/>
      <w:szCs w:val="20"/>
    </w:rPr>
  </w:style>
  <w:style w:type="paragraph" w:customStyle="1" w:styleId="SVCBulletslevel4">
    <w:name w:val="SVC Bullets level 4"/>
    <w:basedOn w:val="SVCBulletslevel3"/>
    <w:uiPriority w:val="99"/>
    <w:rsid w:val="001E7DB6"/>
    <w:pPr>
      <w:tabs>
        <w:tab w:val="clear" w:pos="-31680"/>
        <w:tab w:val="num" w:pos="1800"/>
      </w:tabs>
      <w:ind w:left="1800" w:hanging="360"/>
    </w:pPr>
  </w:style>
  <w:style w:type="character" w:customStyle="1" w:styleId="SVCBulletslevel1CharChar">
    <w:name w:val="SVC Bullets level 1 Char Char"/>
    <w:link w:val="SVCBulletslevel1Char"/>
    <w:uiPriority w:val="99"/>
    <w:locked/>
    <w:rsid w:val="001E7DB6"/>
    <w:rPr>
      <w:lang w:val="en-GB" w:eastAsia="x-none"/>
    </w:rPr>
  </w:style>
  <w:style w:type="paragraph" w:customStyle="1" w:styleId="SVCBulletslevel1Char">
    <w:name w:val="SVC Bullets level 1 Char"/>
    <w:link w:val="SVCBulletslevel1CharChar"/>
    <w:uiPriority w:val="99"/>
    <w:rsid w:val="001E7DB6"/>
    <w:pPr>
      <w:tabs>
        <w:tab w:val="num" w:pos="0"/>
        <w:tab w:val="left" w:pos="403"/>
        <w:tab w:val="left" w:pos="792"/>
        <w:tab w:val="left" w:pos="1195"/>
        <w:tab w:val="left" w:pos="1584"/>
        <w:tab w:val="left" w:pos="1987"/>
        <w:tab w:val="left" w:pos="2376"/>
        <w:tab w:val="left" w:pos="2779"/>
        <w:tab w:val="left" w:pos="3168"/>
      </w:tabs>
      <w:spacing w:before="120"/>
      <w:ind w:left="403" w:hanging="403"/>
      <w:jc w:val="both"/>
    </w:pPr>
    <w:rPr>
      <w:lang w:val="en-GB"/>
    </w:rPr>
  </w:style>
  <w:style w:type="paragraph" w:customStyle="1" w:styleId="AVCBulletslevel3">
    <w:name w:val="AVC Bullets level 3"/>
    <w:basedOn w:val="SVCBulletslevel3"/>
    <w:uiPriority w:val="99"/>
    <w:rsid w:val="001E7DB6"/>
    <w:pPr>
      <w:tabs>
        <w:tab w:val="clear" w:pos="-31680"/>
        <w:tab w:val="num" w:pos="2160"/>
      </w:tabs>
      <w:ind w:left="2160" w:hanging="360"/>
    </w:pPr>
  </w:style>
  <w:style w:type="paragraph" w:customStyle="1" w:styleId="AVCEquationlevel1CharCharChar">
    <w:name w:val="AVC Equation level 1 Char Char Char"/>
    <w:basedOn w:val="Equation"/>
    <w:uiPriority w:val="99"/>
    <w:rsid w:val="001E7DB6"/>
    <w:pPr>
      <w:tabs>
        <w:tab w:val="clear" w:pos="806"/>
        <w:tab w:val="clear" w:pos="1613"/>
        <w:tab w:val="clear" w:pos="9677"/>
        <w:tab w:val="left" w:pos="794"/>
        <w:tab w:val="left" w:pos="1588"/>
        <w:tab w:val="right" w:pos="9696"/>
      </w:tabs>
      <w:spacing w:before="200" w:after="0"/>
      <w:ind w:left="794"/>
      <w:textAlignment w:val="auto"/>
    </w:pPr>
    <w:rPr>
      <w:rFonts w:ascii="Times New Roman" w:hAnsi="Times New Roman"/>
      <w:sz w:val="20"/>
    </w:rPr>
  </w:style>
  <w:style w:type="paragraph" w:customStyle="1" w:styleId="AVCBulletlevel2Char">
    <w:name w:val="AVC Bullet level 2 Char"/>
    <w:basedOn w:val="AVCBulletlevel1CharChar"/>
    <w:uiPriority w:val="99"/>
    <w:rsid w:val="001E7DB6"/>
    <w:pPr>
      <w:tabs>
        <w:tab w:val="clear" w:pos="792"/>
      </w:tabs>
    </w:pPr>
  </w:style>
  <w:style w:type="paragraph" w:customStyle="1" w:styleId="SVCBulletslevel3Char">
    <w:name w:val="SVC Bullets level 3 Char"/>
    <w:basedOn w:val="SVCBulletslevel3"/>
    <w:uiPriority w:val="99"/>
    <w:rsid w:val="001E7DB6"/>
    <w:pPr>
      <w:tabs>
        <w:tab w:val="clear" w:pos="-31680"/>
        <w:tab w:val="num" w:pos="720"/>
      </w:tabs>
      <w:ind w:left="1224" w:hanging="1224"/>
    </w:pPr>
  </w:style>
  <w:style w:type="character" w:customStyle="1" w:styleId="00BodyTextChar">
    <w:name w:val="00 BodyText Char"/>
    <w:link w:val="00BodyText"/>
    <w:uiPriority w:val="99"/>
    <w:locked/>
    <w:rsid w:val="001E7DB6"/>
    <w:rPr>
      <w:rFonts w:ascii="Arial" w:hAnsi="Arial"/>
      <w:lang w:val="x-none" w:eastAsia="ja-JP"/>
    </w:rPr>
  </w:style>
  <w:style w:type="paragraph" w:customStyle="1" w:styleId="00BodyText">
    <w:name w:val="00 BodyText"/>
    <w:basedOn w:val="Normal"/>
    <w:link w:val="00BodyTextChar"/>
    <w:uiPriority w:val="99"/>
    <w:rsid w:val="001E7DB6"/>
    <w:pPr>
      <w:tabs>
        <w:tab w:val="clear" w:pos="403"/>
      </w:tabs>
      <w:spacing w:after="220" w:line="240" w:lineRule="auto"/>
      <w:jc w:val="left"/>
    </w:pPr>
    <w:rPr>
      <w:rFonts w:ascii="Arial" w:hAnsi="Arial"/>
      <w:sz w:val="20"/>
      <w:szCs w:val="20"/>
      <w:lang w:val="en-US" w:eastAsia="ja-JP"/>
    </w:rPr>
  </w:style>
  <w:style w:type="paragraph" w:customStyle="1" w:styleId="CharCharZchnZchnCharCharCarCar">
    <w:name w:val="Char Char Zchn Zchn Char Char Car Car"/>
    <w:uiPriority w:val="99"/>
    <w:semiHidden/>
    <w:rsid w:val="001E7DB6"/>
    <w:pPr>
      <w:keepNext/>
      <w:numPr>
        <w:numId w:val="161"/>
      </w:numPr>
      <w:autoSpaceDE w:val="0"/>
      <w:autoSpaceDN w:val="0"/>
      <w:adjustRightInd w:val="0"/>
      <w:spacing w:before="60" w:after="60"/>
      <w:jc w:val="both"/>
    </w:pPr>
    <w:rPr>
      <w:rFonts w:ascii="Arial" w:eastAsia="SimSun" w:hAnsi="Arial" w:cs="Arial"/>
      <w:color w:val="0000FF"/>
      <w:kern w:val="2"/>
      <w:lang w:eastAsia="zh-CN"/>
    </w:rPr>
  </w:style>
  <w:style w:type="paragraph" w:customStyle="1" w:styleId="Annex7">
    <w:name w:val="Annex 7"/>
    <w:basedOn w:val="Annex6"/>
    <w:next w:val="Normal"/>
    <w:autoRedefine/>
    <w:uiPriority w:val="99"/>
    <w:rsid w:val="001E7DB6"/>
    <w:pPr>
      <w:tabs>
        <w:tab w:val="clear" w:pos="1080"/>
        <w:tab w:val="clear" w:pos="1210"/>
        <w:tab w:val="num" w:pos="1200"/>
        <w:tab w:val="num" w:pos="5040"/>
      </w:tabs>
      <w:ind w:left="3240" w:hanging="3240"/>
      <w:outlineLvl w:val="6"/>
    </w:pPr>
  </w:style>
  <w:style w:type="paragraph" w:customStyle="1" w:styleId="NormalITU">
    <w:name w:val="Normal_ITU"/>
    <w:basedOn w:val="Normal"/>
    <w:uiPriority w:val="99"/>
    <w:rsid w:val="001E7DB6"/>
    <w:pPr>
      <w:tabs>
        <w:tab w:val="clear" w:pos="403"/>
      </w:tabs>
      <w:autoSpaceDE w:val="0"/>
      <w:autoSpaceDN w:val="0"/>
      <w:adjustRightInd w:val="0"/>
      <w:spacing w:before="120" w:after="0" w:line="240" w:lineRule="auto"/>
      <w:jc w:val="left"/>
    </w:pPr>
    <w:rPr>
      <w:rFonts w:ascii="Times New Roman" w:eastAsia="MS Mincho" w:hAnsi="Times New Roman" w:cs="Arial"/>
      <w:sz w:val="24"/>
      <w:szCs w:val="20"/>
      <w:lang w:val="en-US" w:eastAsia="ja-JP"/>
    </w:rPr>
  </w:style>
  <w:style w:type="paragraph" w:customStyle="1" w:styleId="XTableEntry">
    <w:name w:val="XTableEntry"/>
    <w:basedOn w:val="Normal"/>
    <w:uiPriority w:val="99"/>
    <w:rsid w:val="001E7DB6"/>
    <w:pPr>
      <w:tabs>
        <w:tab w:val="clear" w:pos="403"/>
        <w:tab w:val="clear" w:pos="1613"/>
        <w:tab w:val="clear" w:pos="2016"/>
        <w:tab w:val="left" w:pos="227"/>
        <w:tab w:val="left" w:pos="454"/>
        <w:tab w:val="left" w:pos="680"/>
        <w:tab w:val="left" w:pos="907"/>
        <w:tab w:val="left" w:pos="1134"/>
        <w:tab w:val="left" w:pos="1361"/>
        <w:tab w:val="left" w:pos="1588"/>
        <w:tab w:val="left" w:pos="1814"/>
        <w:tab w:val="left" w:pos="2041"/>
        <w:tab w:val="left" w:pos="2268"/>
        <w:tab w:val="left" w:pos="2495"/>
        <w:tab w:val="left" w:pos="2722"/>
        <w:tab w:val="left" w:pos="2948"/>
        <w:tab w:val="left" w:pos="3175"/>
        <w:tab w:val="left" w:pos="3402"/>
      </w:tabs>
      <w:overflowPunct w:val="0"/>
      <w:autoSpaceDE w:val="0"/>
      <w:autoSpaceDN w:val="0"/>
      <w:adjustRightInd w:val="0"/>
      <w:spacing w:before="40" w:after="40" w:line="240" w:lineRule="auto"/>
      <w:jc w:val="left"/>
    </w:pPr>
    <w:rPr>
      <w:rFonts w:ascii="Times New Roman" w:eastAsia="Malgun Gothic" w:hAnsi="Times New Roman"/>
      <w:sz w:val="20"/>
      <w:szCs w:val="20"/>
    </w:rPr>
  </w:style>
  <w:style w:type="character" w:customStyle="1" w:styleId="XParagraphChar">
    <w:name w:val="XParagraph Char"/>
    <w:link w:val="XParagraph"/>
    <w:uiPriority w:val="99"/>
    <w:locked/>
    <w:rsid w:val="001E7DB6"/>
    <w:rPr>
      <w:rFonts w:ascii="Times" w:eastAsia="Malgun Gothic" w:hAnsi="Times"/>
      <w:lang w:val="en-GB" w:eastAsia="x-none"/>
    </w:rPr>
  </w:style>
  <w:style w:type="paragraph" w:customStyle="1" w:styleId="XParagraph">
    <w:name w:val="XParagraph"/>
    <w:basedOn w:val="Normal"/>
    <w:link w:val="XParagraphChar"/>
    <w:uiPriority w:val="99"/>
    <w:rsid w:val="001E7DB6"/>
    <w:pPr>
      <w:tabs>
        <w:tab w:val="clear" w:pos="403"/>
        <w:tab w:val="clear" w:pos="1210"/>
        <w:tab w:val="left" w:pos="284"/>
        <w:tab w:val="num" w:pos="1191"/>
      </w:tabs>
      <w:overflowPunct w:val="0"/>
      <w:autoSpaceDE w:val="0"/>
      <w:autoSpaceDN w:val="0"/>
      <w:adjustRightInd w:val="0"/>
      <w:spacing w:before="120" w:after="0" w:line="240" w:lineRule="auto"/>
      <w:ind w:left="567"/>
    </w:pPr>
    <w:rPr>
      <w:rFonts w:ascii="Times" w:eastAsia="Malgun Gothic" w:hAnsi="Times"/>
      <w:sz w:val="20"/>
      <w:szCs w:val="20"/>
    </w:rPr>
  </w:style>
  <w:style w:type="paragraph" w:customStyle="1" w:styleId="XBullet1">
    <w:name w:val="XBullet1"/>
    <w:basedOn w:val="Normal"/>
    <w:uiPriority w:val="99"/>
    <w:rsid w:val="001E7DB6"/>
    <w:pPr>
      <w:tabs>
        <w:tab w:val="clear" w:pos="403"/>
        <w:tab w:val="left" w:pos="284"/>
        <w:tab w:val="num" w:pos="21972"/>
      </w:tabs>
      <w:overflowPunct w:val="0"/>
      <w:autoSpaceDE w:val="0"/>
      <w:autoSpaceDN w:val="0"/>
      <w:adjustRightInd w:val="0"/>
      <w:spacing w:before="120" w:after="0" w:line="240" w:lineRule="auto"/>
      <w:ind w:left="992" w:hanging="425"/>
    </w:pPr>
    <w:rPr>
      <w:rFonts w:ascii="Times New Roman" w:eastAsia="Malgun Gothic" w:hAnsi="Times New Roman"/>
      <w:sz w:val="20"/>
    </w:rPr>
  </w:style>
  <w:style w:type="paragraph" w:customStyle="1" w:styleId="XBullet2">
    <w:name w:val="XBullet2"/>
    <w:basedOn w:val="XBullet1"/>
    <w:uiPriority w:val="99"/>
    <w:rsid w:val="001E7DB6"/>
    <w:pPr>
      <w:ind w:left="1417"/>
    </w:pPr>
  </w:style>
  <w:style w:type="paragraph" w:customStyle="1" w:styleId="XEquation2">
    <w:name w:val="XEquation2"/>
    <w:basedOn w:val="Normal"/>
    <w:uiPriority w:val="99"/>
    <w:rsid w:val="001E7DB6"/>
    <w:pPr>
      <w:tabs>
        <w:tab w:val="clear" w:pos="403"/>
        <w:tab w:val="clear" w:pos="806"/>
        <w:tab w:val="clear" w:pos="1613"/>
        <w:tab w:val="clear" w:pos="9677"/>
        <w:tab w:val="left" w:pos="794"/>
        <w:tab w:val="left" w:pos="1588"/>
        <w:tab w:val="right" w:pos="9356"/>
        <w:tab w:val="right" w:pos="9696"/>
      </w:tabs>
      <w:overflowPunct w:val="0"/>
      <w:autoSpaceDE w:val="0"/>
      <w:autoSpaceDN w:val="0"/>
      <w:adjustRightInd w:val="0"/>
      <w:spacing w:before="120" w:after="120" w:line="240" w:lineRule="auto"/>
      <w:ind w:left="1701"/>
      <w:jc w:val="left"/>
    </w:pPr>
    <w:rPr>
      <w:rFonts w:ascii="Times New Roman" w:eastAsia="Malgun Gothic" w:hAnsi="Times New Roman"/>
      <w:sz w:val="20"/>
    </w:rPr>
  </w:style>
  <w:style w:type="paragraph" w:customStyle="1" w:styleId="note10">
    <w:name w:val="note1"/>
    <w:basedOn w:val="Normal"/>
    <w:uiPriority w:val="99"/>
    <w:rsid w:val="001E7DB6"/>
    <w:pPr>
      <w:tabs>
        <w:tab w:val="clear" w:pos="403"/>
      </w:tabs>
      <w:overflowPunct w:val="0"/>
      <w:autoSpaceDE w:val="0"/>
      <w:autoSpaceDN w:val="0"/>
      <w:spacing w:before="60" w:after="0" w:line="199" w:lineRule="atLeast"/>
      <w:ind w:left="284"/>
    </w:pPr>
    <w:rPr>
      <w:rFonts w:ascii="Times New Roman" w:eastAsia="Malgun Gothic" w:hAnsi="Times New Roman"/>
      <w:sz w:val="18"/>
      <w:szCs w:val="18"/>
      <w:lang w:val="en-US"/>
    </w:rPr>
  </w:style>
  <w:style w:type="paragraph" w:customStyle="1" w:styleId="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w:uiPriority w:val="99"/>
    <w:semiHidden/>
    <w:rsid w:val="001E7DB6"/>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References">
    <w:name w:val="References"/>
    <w:basedOn w:val="Normal"/>
    <w:uiPriority w:val="99"/>
    <w:rsid w:val="001E7DB6"/>
    <w:pPr>
      <w:numPr>
        <w:numId w:val="162"/>
      </w:numPr>
      <w:tabs>
        <w:tab w:val="clear" w:pos="403"/>
      </w:tabs>
      <w:spacing w:after="0" w:line="240" w:lineRule="auto"/>
    </w:pPr>
    <w:rPr>
      <w:rFonts w:ascii="Times New Roman" w:eastAsia="MS Mincho" w:hAnsi="Times New Roman"/>
      <w:sz w:val="16"/>
      <w:szCs w:val="20"/>
      <w:lang w:val="en-US"/>
    </w:rPr>
  </w:style>
  <w:style w:type="paragraph" w:customStyle="1" w:styleId="Bibliography1">
    <w:name w:val="Bibliography1"/>
    <w:basedOn w:val="Normal"/>
    <w:uiPriority w:val="99"/>
    <w:rsid w:val="001E7DB6"/>
    <w:pPr>
      <w:numPr>
        <w:numId w:val="163"/>
      </w:numPr>
      <w:tabs>
        <w:tab w:val="clear" w:pos="360"/>
        <w:tab w:val="clear" w:pos="403"/>
        <w:tab w:val="left" w:pos="660"/>
      </w:tabs>
      <w:spacing w:line="230" w:lineRule="atLeast"/>
      <w:ind w:left="660" w:hanging="660"/>
    </w:pPr>
    <w:rPr>
      <w:rFonts w:ascii="Arial" w:eastAsia="MS Mincho" w:hAnsi="Arial"/>
      <w:sz w:val="20"/>
      <w:szCs w:val="20"/>
      <w:lang w:val="en-US"/>
    </w:rPr>
  </w:style>
  <w:style w:type="paragraph" w:customStyle="1" w:styleId="AVCBulletlevel2">
    <w:name w:val="AVC Bullet level 2"/>
    <w:basedOn w:val="AVCBulletlevel1Char"/>
    <w:uiPriority w:val="99"/>
    <w:rsid w:val="001E7DB6"/>
    <w:pPr>
      <w:tabs>
        <w:tab w:val="clear" w:pos="397"/>
        <w:tab w:val="clear" w:pos="792"/>
        <w:tab w:val="num" w:pos="794"/>
      </w:tabs>
      <w:ind w:left="794" w:hanging="391"/>
    </w:pPr>
  </w:style>
  <w:style w:type="paragraph" w:customStyle="1" w:styleId="CharCharCharCharCharCharChar">
    <w:name w:val="Char Char Char Char Char Char Char"/>
    <w:uiPriority w:val="99"/>
    <w:semiHidden/>
    <w:rsid w:val="001E7DB6"/>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Char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Char"/>
    <w:uiPriority w:val="99"/>
    <w:semiHidden/>
    <w:rsid w:val="001E7DB6"/>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Foreword">
    <w:name w:val="Foreword"/>
    <w:basedOn w:val="Normal"/>
    <w:next w:val="Normal"/>
    <w:uiPriority w:val="99"/>
    <w:rsid w:val="001E7DB6"/>
    <w:pPr>
      <w:tabs>
        <w:tab w:val="clear" w:pos="403"/>
      </w:tabs>
      <w:spacing w:line="230" w:lineRule="atLeast"/>
    </w:pPr>
    <w:rPr>
      <w:rFonts w:ascii="Arial" w:eastAsia="MS Mincho" w:hAnsi="Arial"/>
      <w:color w:val="0000FF"/>
      <w:sz w:val="20"/>
      <w:szCs w:val="20"/>
      <w:lang w:eastAsia="ja-JP"/>
    </w:rPr>
  </w:style>
  <w:style w:type="paragraph" w:customStyle="1" w:styleId="zzCover">
    <w:name w:val="zzCover"/>
    <w:basedOn w:val="Normal"/>
    <w:uiPriority w:val="99"/>
    <w:rsid w:val="001E7DB6"/>
    <w:pPr>
      <w:tabs>
        <w:tab w:val="clear" w:pos="403"/>
      </w:tabs>
      <w:spacing w:after="220" w:line="230" w:lineRule="atLeast"/>
      <w:jc w:val="right"/>
    </w:pPr>
    <w:rPr>
      <w:rFonts w:ascii="Arial" w:eastAsia="MS Mincho" w:hAnsi="Arial"/>
      <w:b/>
      <w:color w:val="000000"/>
      <w:sz w:val="24"/>
      <w:szCs w:val="20"/>
      <w:lang w:eastAsia="ja-JP"/>
    </w:rPr>
  </w:style>
  <w:style w:type="paragraph" w:customStyle="1" w:styleId="zzForeword">
    <w:name w:val="zzForeword"/>
    <w:basedOn w:val="Normal"/>
    <w:next w:val="Normal"/>
    <w:uiPriority w:val="99"/>
    <w:rsid w:val="001E7DB6"/>
    <w:pPr>
      <w:keepNext/>
      <w:pageBreakBefore/>
      <w:tabs>
        <w:tab w:val="clear" w:pos="403"/>
      </w:tabs>
      <w:suppressAutoHyphens/>
      <w:spacing w:before="960" w:after="310" w:line="310" w:lineRule="exact"/>
      <w:jc w:val="left"/>
    </w:pPr>
    <w:rPr>
      <w:rFonts w:ascii="Arial" w:eastAsia="MS Mincho" w:hAnsi="Arial"/>
      <w:b/>
      <w:color w:val="0000FF"/>
      <w:sz w:val="28"/>
      <w:szCs w:val="20"/>
      <w:lang w:eastAsia="ja-JP"/>
    </w:rPr>
  </w:style>
  <w:style w:type="paragraph" w:customStyle="1" w:styleId="CharChar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Char Char"/>
    <w:uiPriority w:val="99"/>
    <w:semiHidden/>
    <w:rsid w:val="001E7DB6"/>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annex4char0">
    <w:name w:val="annex4char"/>
    <w:basedOn w:val="Normal"/>
    <w:uiPriority w:val="99"/>
    <w:rsid w:val="001E7DB6"/>
    <w:pPr>
      <w:tabs>
        <w:tab w:val="clear" w:pos="403"/>
      </w:tabs>
      <w:spacing w:before="100" w:beforeAutospacing="1" w:after="100" w:afterAutospacing="1" w:line="240" w:lineRule="auto"/>
      <w:jc w:val="left"/>
    </w:pPr>
    <w:rPr>
      <w:rFonts w:ascii="Times New Roman" w:eastAsia="MS Mincho" w:hAnsi="Times New Roman"/>
      <w:sz w:val="24"/>
      <w:szCs w:val="24"/>
      <w:lang w:val="en-US" w:eastAsia="ja-JP"/>
    </w:rPr>
  </w:style>
  <w:style w:type="paragraph" w:customStyle="1" w:styleId="Bulletedo2">
    <w:name w:val="Bulleted o 2"/>
    <w:basedOn w:val="Normal"/>
    <w:uiPriority w:val="99"/>
    <w:rsid w:val="001E7DB6"/>
    <w:pPr>
      <w:tabs>
        <w:tab w:val="clear" w:pos="403"/>
      </w:tabs>
      <w:spacing w:after="220" w:line="240" w:lineRule="auto"/>
      <w:ind w:left="2954" w:hanging="357"/>
      <w:jc w:val="left"/>
    </w:pPr>
    <w:rPr>
      <w:rFonts w:ascii="Arial" w:eastAsia="Malgun Gothic" w:hAnsi="Arial"/>
      <w:szCs w:val="20"/>
      <w:lang w:val="en-US" w:eastAsia="zh-CN"/>
    </w:rPr>
  </w:style>
  <w:style w:type="paragraph" w:customStyle="1" w:styleId="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w:uiPriority w:val="99"/>
    <w:semiHidden/>
    <w:rsid w:val="001E7DB6"/>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CharCharCharCharCharCharCharCharCharCharCharCharCharCharCharCharCharCharCharCharCharCharCharCharCharCharChar">
    <w:name w:val="Char Char Char Char Char Char Char Char Char Char Char Char Char Char Char Char Char Char Char Char Char (文字) (文字) Char Char Char Char Char Char"/>
    <w:uiPriority w:val="99"/>
    <w:semiHidden/>
    <w:rsid w:val="001E7DB6"/>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ASN1continue0">
    <w:name w:val="ASN.1_continue"/>
    <w:basedOn w:val="ASN1"/>
    <w:uiPriority w:val="99"/>
    <w:rsid w:val="001E7DB6"/>
    <w:pPr>
      <w:tabs>
        <w:tab w:val="clear" w:pos="794"/>
        <w:tab w:val="clear" w:pos="1191"/>
        <w:tab w:val="clear" w:pos="1588"/>
        <w:tab w:val="clear" w:pos="1985"/>
        <w:tab w:val="clear" w:pos="2381"/>
        <w:tab w:val="clear" w:pos="2778"/>
        <w:tab w:val="clear" w:pos="2822"/>
        <w:tab w:val="clear" w:pos="3175"/>
        <w:tab w:val="clear" w:pos="3572"/>
        <w:tab w:val="clear" w:pos="4366"/>
        <w:tab w:val="clear" w:pos="4763"/>
        <w:tab w:val="clear" w:pos="5160"/>
        <w:tab w:val="clear" w:pos="5557"/>
        <w:tab w:val="clear" w:pos="5954"/>
        <w:tab w:val="clear" w:pos="6350"/>
        <w:tab w:val="clear" w:pos="9735"/>
        <w:tab w:val="left" w:pos="567"/>
        <w:tab w:val="left" w:pos="1134"/>
        <w:tab w:val="left" w:pos="1701"/>
        <w:tab w:val="left" w:pos="2268"/>
        <w:tab w:val="left" w:pos="2835"/>
        <w:tab w:val="left" w:pos="3402"/>
        <w:tab w:val="left" w:pos="4536"/>
        <w:tab w:val="left" w:pos="5103"/>
        <w:tab w:val="left" w:pos="5670"/>
      </w:tabs>
      <w:snapToGrid w:val="0"/>
      <w:spacing w:before="0"/>
    </w:pPr>
    <w:rPr>
      <w:rFonts w:ascii="Courier New" w:eastAsia="Malgun Gothic" w:hAnsi="Courier New" w:cs="Courier New"/>
      <w:bCs/>
      <w:noProof/>
      <w:szCs w:val="18"/>
    </w:rPr>
  </w:style>
  <w:style w:type="paragraph" w:customStyle="1" w:styleId="StyleHeading1Justified">
    <w:name w:val="Style Heading 1 + Justified"/>
    <w:basedOn w:val="Heading1"/>
    <w:uiPriority w:val="99"/>
    <w:rsid w:val="001E7DB6"/>
    <w:pPr>
      <w:numPr>
        <w:numId w:val="0"/>
      </w:numPr>
      <w:tabs>
        <w:tab w:val="left" w:pos="360"/>
        <w:tab w:val="num" w:pos="390"/>
        <w:tab w:val="left" w:pos="720"/>
        <w:tab w:val="num" w:pos="757"/>
        <w:tab w:val="left" w:pos="1080"/>
        <w:tab w:val="left" w:pos="1440"/>
      </w:tabs>
      <w:suppressAutoHyphens w:val="0"/>
      <w:overflowPunct w:val="0"/>
      <w:autoSpaceDE w:val="0"/>
      <w:autoSpaceDN w:val="0"/>
      <w:adjustRightInd w:val="0"/>
      <w:spacing w:before="240" w:after="60" w:line="240" w:lineRule="auto"/>
      <w:ind w:left="432" w:hanging="432"/>
      <w:jc w:val="both"/>
    </w:pPr>
    <w:rPr>
      <w:rFonts w:ascii="Times New Roman" w:eastAsia="Malgun Gothic" w:hAnsi="Times New Roman"/>
      <w:bCs/>
      <w:kern w:val="32"/>
      <w:sz w:val="32"/>
      <w:szCs w:val="20"/>
      <w:lang w:val="en-US" w:eastAsia="en-US"/>
    </w:rPr>
  </w:style>
  <w:style w:type="paragraph" w:customStyle="1" w:styleId="MediumList2-Accent21">
    <w:name w:val="Medium List 2 - Accent 21"/>
    <w:uiPriority w:val="99"/>
    <w:rsid w:val="001E7DB6"/>
    <w:rPr>
      <w:rFonts w:ascii="Times New Roman" w:eastAsia="Malgun Gothic" w:hAnsi="Times New Roman"/>
      <w:lang w:val="en-GB"/>
    </w:rPr>
  </w:style>
  <w:style w:type="paragraph" w:customStyle="1" w:styleId="Style4ptBefore0pt">
    <w:name w:val="Style 4 pt Before:  0 pt"/>
    <w:basedOn w:val="Normal"/>
    <w:uiPriority w:val="99"/>
    <w:rsid w:val="001E7DB6"/>
    <w:p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after="0" w:line="240" w:lineRule="auto"/>
    </w:pPr>
    <w:rPr>
      <w:rFonts w:ascii="Times New Roman" w:eastAsia="Malgun Gothic" w:hAnsi="Times New Roman"/>
      <w:sz w:val="24"/>
      <w:szCs w:val="20"/>
    </w:rPr>
  </w:style>
  <w:style w:type="paragraph" w:customStyle="1" w:styleId="MediumGrid1-Accent21">
    <w:name w:val="Medium Grid 1 - Accent 21"/>
    <w:basedOn w:val="Normal"/>
    <w:uiPriority w:val="34"/>
    <w:qFormat/>
    <w:rsid w:val="001E7DB6"/>
    <w:p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136" w:after="0" w:line="240" w:lineRule="auto"/>
      <w:ind w:left="720"/>
    </w:pPr>
    <w:rPr>
      <w:rFonts w:ascii="Times New Roman" w:eastAsia="Malgun Gothic" w:hAnsi="Times New Roman"/>
      <w:sz w:val="20"/>
      <w:szCs w:val="20"/>
    </w:rPr>
  </w:style>
  <w:style w:type="paragraph" w:customStyle="1" w:styleId="ColorfulShading-Accent11">
    <w:name w:val="Colorful Shading - Accent 11"/>
    <w:uiPriority w:val="99"/>
    <w:semiHidden/>
    <w:rsid w:val="001E7DB6"/>
    <w:rPr>
      <w:rFonts w:ascii="Times New Roman" w:eastAsia="Malgun Gothic" w:hAnsi="Times New Roman"/>
      <w:lang w:val="en-GB"/>
    </w:rPr>
  </w:style>
  <w:style w:type="paragraph" w:customStyle="1" w:styleId="MediumList2-Accent22">
    <w:name w:val="Medium List 2 - Accent 22"/>
    <w:uiPriority w:val="99"/>
    <w:semiHidden/>
    <w:rsid w:val="001E7DB6"/>
    <w:rPr>
      <w:rFonts w:ascii="Times New Roman" w:eastAsia="Malgun Gothic" w:hAnsi="Times New Roman"/>
      <w:lang w:val="en-GB"/>
    </w:rPr>
  </w:style>
  <w:style w:type="paragraph" w:customStyle="1" w:styleId="MediumGrid1-Accent22">
    <w:name w:val="Medium Grid 1 - Accent 22"/>
    <w:basedOn w:val="Normal"/>
    <w:uiPriority w:val="34"/>
    <w:qFormat/>
    <w:rsid w:val="001E7DB6"/>
    <w:p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136" w:after="0" w:line="240" w:lineRule="auto"/>
      <w:ind w:left="720"/>
    </w:pPr>
    <w:rPr>
      <w:rFonts w:ascii="Times New Roman" w:eastAsia="Malgun Gothic" w:hAnsi="Times New Roman"/>
      <w:sz w:val="20"/>
      <w:szCs w:val="20"/>
    </w:rPr>
  </w:style>
  <w:style w:type="paragraph" w:customStyle="1" w:styleId="ColorfulList-Accent12">
    <w:name w:val="Colorful List - Accent 12"/>
    <w:basedOn w:val="Normal"/>
    <w:uiPriority w:val="34"/>
    <w:qFormat/>
    <w:rsid w:val="001E7DB6"/>
    <w:p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136" w:after="0" w:line="240" w:lineRule="auto"/>
      <w:ind w:left="720"/>
    </w:pPr>
    <w:rPr>
      <w:rFonts w:ascii="Times New Roman" w:eastAsia="Malgun Gothic" w:hAnsi="Times New Roman"/>
      <w:sz w:val="20"/>
      <w:szCs w:val="20"/>
    </w:rPr>
  </w:style>
  <w:style w:type="character" w:customStyle="1" w:styleId="annex-heading3Char">
    <w:name w:val="annex-heading3 Char"/>
    <w:link w:val="annex-heading3"/>
    <w:locked/>
    <w:rsid w:val="001E7DB6"/>
    <w:rPr>
      <w:rFonts w:eastAsia="Malgun Gothic"/>
      <w:b/>
      <w:lang w:val="en-GB" w:eastAsia="x-none"/>
    </w:rPr>
  </w:style>
  <w:style w:type="paragraph" w:customStyle="1" w:styleId="annex-heading3">
    <w:name w:val="annex-heading3"/>
    <w:basedOn w:val="Annex3"/>
    <w:link w:val="annex-heading3Char"/>
    <w:qFormat/>
    <w:rsid w:val="001E7DB6"/>
    <w:pPr>
      <w:tabs>
        <w:tab w:val="clear" w:pos="1440"/>
        <w:tab w:val="clear" w:pos="2160"/>
      </w:tabs>
      <w:textAlignment w:val="auto"/>
    </w:pPr>
    <w:rPr>
      <w:rFonts w:ascii="Cambria" w:hAnsi="Cambria"/>
    </w:rPr>
  </w:style>
  <w:style w:type="paragraph" w:customStyle="1" w:styleId="ColorfulShading-Accent13">
    <w:name w:val="Colorful Shading - Accent 13"/>
    <w:uiPriority w:val="99"/>
    <w:semiHidden/>
    <w:rsid w:val="001E7DB6"/>
    <w:rPr>
      <w:rFonts w:ascii="Times New Roman" w:eastAsia="Malgun Gothic" w:hAnsi="Times New Roman"/>
      <w:lang w:val="en-GB"/>
    </w:rPr>
  </w:style>
  <w:style w:type="paragraph" w:customStyle="1" w:styleId="ColorfulList-Accent13">
    <w:name w:val="Colorful List - Accent 13"/>
    <w:basedOn w:val="Normal"/>
    <w:uiPriority w:val="34"/>
    <w:qFormat/>
    <w:rsid w:val="001E7DB6"/>
    <w:p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136" w:after="0" w:line="240" w:lineRule="auto"/>
      <w:ind w:left="720"/>
    </w:pPr>
    <w:rPr>
      <w:rFonts w:ascii="Times New Roman" w:eastAsia="Malgun Gothic" w:hAnsi="Times New Roman"/>
      <w:sz w:val="20"/>
      <w:szCs w:val="20"/>
    </w:rPr>
  </w:style>
  <w:style w:type="character" w:customStyle="1" w:styleId="3NChar">
    <w:name w:val="3N Char"/>
    <w:link w:val="3N"/>
    <w:locked/>
    <w:rsid w:val="001E7DB6"/>
    <w:rPr>
      <w:rFonts w:eastAsia="Malgun Gothic"/>
      <w:lang w:val="en-GB" w:eastAsia="x-none"/>
    </w:rPr>
  </w:style>
  <w:style w:type="paragraph" w:customStyle="1" w:styleId="3N">
    <w:name w:val="3N"/>
    <w:basedOn w:val="Normal"/>
    <w:link w:val="3NChar"/>
    <w:qFormat/>
    <w:rsid w:val="001E7DB6"/>
    <w:pPr>
      <w:widowControl w:val="0"/>
      <w:tabs>
        <w:tab w:val="clear" w:pos="403"/>
      </w:tabs>
      <w:overflowPunct w:val="0"/>
      <w:autoSpaceDE w:val="0"/>
      <w:autoSpaceDN w:val="0"/>
      <w:adjustRightInd w:val="0"/>
      <w:spacing w:before="136" w:after="0" w:line="240" w:lineRule="auto"/>
    </w:pPr>
    <w:rPr>
      <w:rFonts w:eastAsia="Malgun Gothic"/>
      <w:sz w:val="20"/>
      <w:szCs w:val="20"/>
    </w:rPr>
  </w:style>
  <w:style w:type="paragraph" w:customStyle="1" w:styleId="st">
    <w:name w:val="st"/>
    <w:basedOn w:val="Normal"/>
    <w:uiPriority w:val="99"/>
    <w:rsid w:val="001E7DB6"/>
    <w:pPr>
      <w:tabs>
        <w:tab w:val="clear" w:pos="403"/>
      </w:tabs>
      <w:spacing w:after="0" w:line="400" w:lineRule="exact"/>
      <w:jc w:val="left"/>
    </w:pPr>
    <w:rPr>
      <w:rFonts w:ascii="Times New Roman" w:eastAsia="Malgun Gothic" w:hAnsi="Times New Roman"/>
      <w:sz w:val="34"/>
      <w:szCs w:val="20"/>
      <w:lang w:val="en-US"/>
    </w:rPr>
  </w:style>
  <w:style w:type="paragraph" w:customStyle="1" w:styleId="pbcopy">
    <w:name w:val="pbcopy"/>
    <w:basedOn w:val="Footer"/>
    <w:uiPriority w:val="99"/>
    <w:rsid w:val="001E7DB6"/>
    <w:pPr>
      <w:tabs>
        <w:tab w:val="clear" w:pos="9752"/>
      </w:tabs>
      <w:spacing w:before="0" w:after="60" w:line="190" w:lineRule="exact"/>
    </w:pPr>
    <w:rPr>
      <w:rFonts w:ascii="Arial" w:eastAsia="Malgun Gothic" w:hAnsi="Arial"/>
      <w:sz w:val="16"/>
      <w:szCs w:val="20"/>
    </w:rPr>
  </w:style>
  <w:style w:type="paragraph" w:customStyle="1" w:styleId="Bibliography2">
    <w:name w:val="Bibliography2"/>
    <w:basedOn w:val="Normal"/>
    <w:uiPriority w:val="99"/>
    <w:rsid w:val="001E7DB6"/>
    <w:pPr>
      <w:tabs>
        <w:tab w:val="clear" w:pos="403"/>
        <w:tab w:val="left" w:pos="660"/>
      </w:tabs>
      <w:spacing w:line="230" w:lineRule="atLeast"/>
      <w:ind w:left="660" w:hanging="660"/>
    </w:pPr>
    <w:rPr>
      <w:rFonts w:ascii="Arial" w:eastAsia="MS Mincho" w:hAnsi="Arial"/>
      <w:sz w:val="20"/>
      <w:szCs w:val="20"/>
      <w:lang w:val="en-US"/>
    </w:rPr>
  </w:style>
  <w:style w:type="character" w:customStyle="1" w:styleId="3DVCLevel5Char">
    <w:name w:val="3DVC Level 5 Char"/>
    <w:link w:val="3H5"/>
    <w:uiPriority w:val="99"/>
    <w:locked/>
    <w:rsid w:val="001E7DB6"/>
    <w:rPr>
      <w:rFonts w:eastAsia="Malgun Gothic"/>
      <w:b/>
      <w:lang w:val="en-GB"/>
    </w:rPr>
  </w:style>
  <w:style w:type="paragraph" w:customStyle="1" w:styleId="3H5">
    <w:name w:val="3H5"/>
    <w:basedOn w:val="Normal"/>
    <w:link w:val="3DVCLevel5Char"/>
    <w:uiPriority w:val="99"/>
    <w:qFormat/>
    <w:rsid w:val="001E7DB6"/>
    <w:pPr>
      <w:keepNext/>
      <w:keepLines/>
      <w:numPr>
        <w:ilvl w:val="5"/>
        <w:numId w:val="165"/>
      </w:numPr>
      <w:tabs>
        <w:tab w:val="clear" w:pos="403"/>
      </w:tabs>
      <w:spacing w:before="181" w:after="0" w:line="240" w:lineRule="auto"/>
      <w:outlineLvl w:val="5"/>
    </w:pPr>
    <w:rPr>
      <w:rFonts w:eastAsia="Malgun Gothic"/>
      <w:b/>
      <w:sz w:val="20"/>
      <w:szCs w:val="20"/>
    </w:rPr>
  </w:style>
  <w:style w:type="paragraph" w:customStyle="1" w:styleId="3HAnnex">
    <w:name w:val="3HAnnex"/>
    <w:basedOn w:val="Normal"/>
    <w:uiPriority w:val="99"/>
    <w:qFormat/>
    <w:rsid w:val="001E7DB6"/>
    <w:p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480" w:after="0" w:line="240" w:lineRule="auto"/>
      <w:jc w:val="center"/>
    </w:pPr>
    <w:rPr>
      <w:rFonts w:ascii="Times New Roman" w:eastAsia="Malgun Gothic" w:hAnsi="Times New Roman"/>
      <w:b/>
      <w:sz w:val="24"/>
      <w:szCs w:val="20"/>
    </w:rPr>
  </w:style>
  <w:style w:type="paragraph" w:customStyle="1" w:styleId="3H6">
    <w:name w:val="3H6"/>
    <w:basedOn w:val="Normal"/>
    <w:uiPriority w:val="99"/>
    <w:rsid w:val="001E7DB6"/>
    <w:pPr>
      <w:tabs>
        <w:tab w:val="clear" w:pos="403"/>
        <w:tab w:val="clear" w:pos="806"/>
        <w:tab w:val="clear" w:pos="1210"/>
        <w:tab w:val="clear" w:pos="1613"/>
        <w:tab w:val="num" w:pos="794"/>
        <w:tab w:val="left" w:pos="1191"/>
        <w:tab w:val="left" w:pos="1588"/>
        <w:tab w:val="left" w:pos="1985"/>
      </w:tabs>
      <w:overflowPunct w:val="0"/>
      <w:autoSpaceDE w:val="0"/>
      <w:autoSpaceDN w:val="0"/>
      <w:adjustRightInd w:val="0"/>
      <w:spacing w:before="136" w:after="0" w:line="240" w:lineRule="auto"/>
    </w:pPr>
    <w:rPr>
      <w:rFonts w:ascii="Times New Roman" w:eastAsia="Malgun Gothic" w:hAnsi="Times New Roman"/>
      <w:sz w:val="20"/>
      <w:szCs w:val="20"/>
    </w:rPr>
  </w:style>
  <w:style w:type="paragraph" w:customStyle="1" w:styleId="3H7">
    <w:name w:val="3H7"/>
    <w:basedOn w:val="Normal"/>
    <w:uiPriority w:val="99"/>
    <w:rsid w:val="001E7DB6"/>
    <w:pPr>
      <w:tabs>
        <w:tab w:val="clear" w:pos="403"/>
        <w:tab w:val="clear" w:pos="806"/>
        <w:tab w:val="clear" w:pos="1210"/>
        <w:tab w:val="clear" w:pos="1613"/>
        <w:tab w:val="num" w:pos="794"/>
        <w:tab w:val="left" w:pos="1191"/>
        <w:tab w:val="left" w:pos="1588"/>
        <w:tab w:val="left" w:pos="1985"/>
      </w:tabs>
      <w:overflowPunct w:val="0"/>
      <w:autoSpaceDE w:val="0"/>
      <w:autoSpaceDN w:val="0"/>
      <w:adjustRightInd w:val="0"/>
      <w:spacing w:before="136" w:after="0" w:line="240" w:lineRule="auto"/>
    </w:pPr>
    <w:rPr>
      <w:rFonts w:ascii="Times New Roman" w:eastAsia="Malgun Gothic" w:hAnsi="Times New Roman"/>
      <w:sz w:val="20"/>
      <w:szCs w:val="20"/>
    </w:rPr>
  </w:style>
  <w:style w:type="paragraph" w:customStyle="1" w:styleId="3H9">
    <w:name w:val="3H9"/>
    <w:basedOn w:val="Normal"/>
    <w:uiPriority w:val="99"/>
    <w:rsid w:val="001E7DB6"/>
    <w:p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pPr>
    <w:rPr>
      <w:rFonts w:ascii="Times New Roman" w:eastAsia="Malgun Gothic" w:hAnsi="Times New Roman"/>
      <w:sz w:val="20"/>
      <w:szCs w:val="20"/>
    </w:rPr>
  </w:style>
  <w:style w:type="character" w:customStyle="1" w:styleId="3HeaderFooterChar">
    <w:name w:val="3HeaderFooter Char"/>
    <w:link w:val="3HeaderFooter"/>
    <w:locked/>
    <w:rsid w:val="001E7DB6"/>
    <w:rPr>
      <w:rFonts w:eastAsia="Malgun Gothic"/>
      <w:b/>
      <w:lang w:val="en-GB" w:eastAsia="x-none"/>
    </w:rPr>
  </w:style>
  <w:style w:type="paragraph" w:customStyle="1" w:styleId="3HeaderFooter">
    <w:name w:val="3HeaderFooter"/>
    <w:basedOn w:val="3N"/>
    <w:link w:val="3HeaderFooterChar"/>
    <w:qFormat/>
    <w:rsid w:val="001E7DB6"/>
    <w:pPr>
      <w:tabs>
        <w:tab w:val="clear" w:pos="9677"/>
        <w:tab w:val="left" w:pos="907"/>
        <w:tab w:val="right" w:pos="8789"/>
        <w:tab w:val="right" w:pos="9696"/>
      </w:tabs>
      <w:spacing w:before="0"/>
      <w:jc w:val="left"/>
    </w:pPr>
    <w:rPr>
      <w:b/>
    </w:rPr>
  </w:style>
  <w:style w:type="character" w:customStyle="1" w:styleId="3H0Char">
    <w:name w:val="3H0 Char"/>
    <w:link w:val="3H0"/>
    <w:uiPriority w:val="99"/>
    <w:locked/>
    <w:rsid w:val="001E7DB6"/>
    <w:rPr>
      <w:rFonts w:eastAsia="Malgun Gothic"/>
      <w:b/>
      <w:sz w:val="22"/>
      <w:lang w:val="en-GB"/>
    </w:rPr>
  </w:style>
  <w:style w:type="paragraph" w:customStyle="1" w:styleId="3H0">
    <w:name w:val="3H0"/>
    <w:next w:val="3N"/>
    <w:link w:val="3H0Char"/>
    <w:uiPriority w:val="99"/>
    <w:qFormat/>
    <w:rsid w:val="001E7DB6"/>
    <w:pPr>
      <w:keepNext/>
      <w:keepLines/>
      <w:numPr>
        <w:numId w:val="165"/>
      </w:numPr>
      <w:spacing w:before="313"/>
      <w:jc w:val="both"/>
      <w:outlineLvl w:val="1"/>
    </w:pPr>
    <w:rPr>
      <w:rFonts w:eastAsia="Malgun Gothic"/>
      <w:b/>
      <w:sz w:val="22"/>
      <w:lang w:val="en-GB"/>
    </w:rPr>
  </w:style>
  <w:style w:type="character" w:customStyle="1" w:styleId="3H1Char">
    <w:name w:val="3H1 Char"/>
    <w:link w:val="3H1"/>
    <w:uiPriority w:val="99"/>
    <w:locked/>
    <w:rsid w:val="001E7DB6"/>
    <w:rPr>
      <w:rFonts w:eastAsia="Malgun Gothic"/>
      <w:b/>
      <w:lang w:val="en-GB"/>
    </w:rPr>
  </w:style>
  <w:style w:type="paragraph" w:customStyle="1" w:styleId="3H1">
    <w:name w:val="3H1"/>
    <w:basedOn w:val="3H0"/>
    <w:next w:val="3N"/>
    <w:link w:val="3H1Char"/>
    <w:uiPriority w:val="99"/>
    <w:qFormat/>
    <w:rsid w:val="001E7DB6"/>
    <w:pPr>
      <w:numPr>
        <w:ilvl w:val="1"/>
      </w:numPr>
      <w:tabs>
        <w:tab w:val="num" w:pos="1440"/>
      </w:tabs>
      <w:spacing w:before="181"/>
      <w:ind w:left="800" w:hanging="400"/>
      <w:outlineLvl w:val="2"/>
    </w:pPr>
    <w:rPr>
      <w:sz w:val="20"/>
    </w:rPr>
  </w:style>
  <w:style w:type="character" w:customStyle="1" w:styleId="3H2Char">
    <w:name w:val="3H2 Char"/>
    <w:link w:val="3H2"/>
    <w:uiPriority w:val="99"/>
    <w:locked/>
    <w:rsid w:val="001E7DB6"/>
    <w:rPr>
      <w:rFonts w:eastAsia="Malgun Gothic"/>
      <w:b/>
      <w:lang w:val="en-GB"/>
    </w:rPr>
  </w:style>
  <w:style w:type="paragraph" w:customStyle="1" w:styleId="3H2">
    <w:name w:val="3H2"/>
    <w:basedOn w:val="3H1"/>
    <w:next w:val="3N"/>
    <w:link w:val="3H2Char"/>
    <w:uiPriority w:val="99"/>
    <w:qFormat/>
    <w:rsid w:val="001E7DB6"/>
    <w:pPr>
      <w:numPr>
        <w:ilvl w:val="2"/>
      </w:numPr>
      <w:tabs>
        <w:tab w:val="clear" w:pos="794"/>
        <w:tab w:val="num" w:pos="2160"/>
      </w:tabs>
      <w:ind w:left="1200" w:hanging="420"/>
      <w:outlineLvl w:val="3"/>
    </w:pPr>
  </w:style>
  <w:style w:type="character" w:customStyle="1" w:styleId="3TableChar">
    <w:name w:val="3Table Char"/>
    <w:link w:val="3Table"/>
    <w:locked/>
    <w:rsid w:val="001E7DB6"/>
    <w:rPr>
      <w:rFonts w:eastAsia="Malgun Gothic"/>
      <w:noProof/>
      <w:lang w:val="en-GB"/>
    </w:rPr>
  </w:style>
  <w:style w:type="paragraph" w:customStyle="1" w:styleId="3Table">
    <w:name w:val="3Table"/>
    <w:basedOn w:val="tablesyntax"/>
    <w:link w:val="3TableChar"/>
    <w:qFormat/>
    <w:rsid w:val="001E7DB6"/>
    <w:pPr>
      <w:spacing w:after="60"/>
      <w:textAlignment w:val="auto"/>
    </w:pPr>
    <w:rPr>
      <w:rFonts w:ascii="Cambria" w:hAnsi="Cambria"/>
      <w:noProof/>
      <w:lang w:val="en-GB"/>
    </w:rPr>
  </w:style>
  <w:style w:type="character" w:customStyle="1" w:styleId="3H3Char">
    <w:name w:val="3H3 Char"/>
    <w:link w:val="3H3"/>
    <w:uiPriority w:val="99"/>
    <w:locked/>
    <w:rsid w:val="001E7DB6"/>
    <w:rPr>
      <w:rFonts w:eastAsia="Malgun Gothic"/>
      <w:b/>
      <w:lang w:val="en-GB"/>
    </w:rPr>
  </w:style>
  <w:style w:type="paragraph" w:customStyle="1" w:styleId="3H3">
    <w:name w:val="3H3"/>
    <w:basedOn w:val="3H2"/>
    <w:next w:val="3N"/>
    <w:link w:val="3H3Char"/>
    <w:uiPriority w:val="99"/>
    <w:qFormat/>
    <w:rsid w:val="001E7DB6"/>
    <w:pPr>
      <w:numPr>
        <w:ilvl w:val="3"/>
      </w:numPr>
      <w:tabs>
        <w:tab w:val="clear" w:pos="794"/>
        <w:tab w:val="num" w:pos="2880"/>
      </w:tabs>
      <w:ind w:left="2880" w:hanging="360"/>
      <w:outlineLvl w:val="4"/>
    </w:pPr>
  </w:style>
  <w:style w:type="character" w:customStyle="1" w:styleId="3H4Char">
    <w:name w:val="3H4 Char"/>
    <w:link w:val="3H4"/>
    <w:uiPriority w:val="99"/>
    <w:locked/>
    <w:rsid w:val="001E7DB6"/>
    <w:rPr>
      <w:rFonts w:eastAsia="Malgun Gothic"/>
      <w:b/>
      <w:lang w:val="en-GB"/>
    </w:rPr>
  </w:style>
  <w:style w:type="paragraph" w:customStyle="1" w:styleId="3H4">
    <w:name w:val="3H4"/>
    <w:basedOn w:val="3H3"/>
    <w:next w:val="3N"/>
    <w:link w:val="3H4Char"/>
    <w:uiPriority w:val="99"/>
    <w:qFormat/>
    <w:rsid w:val="001E7DB6"/>
    <w:pPr>
      <w:numPr>
        <w:ilvl w:val="4"/>
      </w:numPr>
      <w:tabs>
        <w:tab w:val="clear" w:pos="794"/>
        <w:tab w:val="num" w:pos="3600"/>
      </w:tabs>
      <w:ind w:left="3600"/>
      <w:outlineLvl w:val="5"/>
    </w:pPr>
  </w:style>
  <w:style w:type="character" w:customStyle="1" w:styleId="3EdNotesChar">
    <w:name w:val="3EdNotes Char"/>
    <w:link w:val="3EdNotes"/>
    <w:uiPriority w:val="99"/>
    <w:locked/>
    <w:rsid w:val="001E7DB6"/>
    <w:rPr>
      <w:rFonts w:eastAsia="Malgun Gothic"/>
      <w:lang w:val="en-GB"/>
    </w:rPr>
  </w:style>
  <w:style w:type="paragraph" w:customStyle="1" w:styleId="3EdNotes">
    <w:name w:val="3EdNotes"/>
    <w:basedOn w:val="Normal"/>
    <w:link w:val="3EdNotesChar"/>
    <w:uiPriority w:val="99"/>
    <w:qFormat/>
    <w:rsid w:val="001E7DB6"/>
    <w:pPr>
      <w:numPr>
        <w:numId w:val="166"/>
      </w:numPr>
      <w:tabs>
        <w:tab w:val="clear" w:pos="403"/>
        <w:tab w:val="clear" w:pos="1210"/>
        <w:tab w:val="clear" w:pos="1613"/>
        <w:tab w:val="left" w:pos="284"/>
        <w:tab w:val="left" w:pos="1191"/>
        <w:tab w:val="left" w:pos="1588"/>
        <w:tab w:val="left" w:pos="1985"/>
      </w:tabs>
      <w:overflowPunct w:val="0"/>
      <w:autoSpaceDE w:val="0"/>
      <w:autoSpaceDN w:val="0"/>
      <w:adjustRightInd w:val="0"/>
      <w:spacing w:after="0" w:line="240" w:lineRule="auto"/>
    </w:pPr>
    <w:rPr>
      <w:rFonts w:eastAsia="Malgun Gothic"/>
      <w:sz w:val="20"/>
      <w:szCs w:val="20"/>
    </w:rPr>
  </w:style>
  <w:style w:type="character" w:customStyle="1" w:styleId="3TOCLOFLOTChar">
    <w:name w:val="3TOCLOFLOT Char"/>
    <w:link w:val="3TOCLOFLOT"/>
    <w:locked/>
    <w:rsid w:val="001E7DB6"/>
    <w:rPr>
      <w:rFonts w:eastAsia="Malgun Gothic"/>
      <w:b/>
      <w:caps/>
      <w:sz w:val="24"/>
      <w:lang w:val="en-GB" w:eastAsia="x-none"/>
    </w:rPr>
  </w:style>
  <w:style w:type="paragraph" w:customStyle="1" w:styleId="3TOCLOFLOT">
    <w:name w:val="3TOCLOFLOT"/>
    <w:basedOn w:val="3N"/>
    <w:link w:val="3TOCLOFLOTChar"/>
    <w:qFormat/>
    <w:rsid w:val="001E7DB6"/>
    <w:pPr>
      <w:keepNext/>
      <w:jc w:val="center"/>
      <w:outlineLvl w:val="0"/>
    </w:pPr>
    <w:rPr>
      <w:b/>
      <w:caps/>
      <w:sz w:val="24"/>
      <w:szCs w:val="24"/>
    </w:rPr>
  </w:style>
  <w:style w:type="paragraph" w:customStyle="1" w:styleId="Note1CharCharCharCharCharChar">
    <w:name w:val="Note 1 Char Char Char Char Char Char"/>
    <w:basedOn w:val="Normal"/>
    <w:uiPriority w:val="99"/>
    <w:rsid w:val="001E7DB6"/>
    <w:pPr>
      <w:tabs>
        <w:tab w:val="clear" w:pos="403"/>
      </w:tabs>
      <w:overflowPunct w:val="0"/>
      <w:autoSpaceDE w:val="0"/>
      <w:autoSpaceDN w:val="0"/>
      <w:adjustRightInd w:val="0"/>
      <w:spacing w:before="60" w:after="0" w:line="199" w:lineRule="exact"/>
      <w:ind w:left="284"/>
    </w:pPr>
    <w:rPr>
      <w:rFonts w:ascii="Times New Roman" w:eastAsia="Malgun Gothic" w:hAnsi="Times New Roman"/>
      <w:sz w:val="18"/>
      <w:szCs w:val="18"/>
    </w:rPr>
  </w:style>
  <w:style w:type="character" w:customStyle="1" w:styleId="3S0Char">
    <w:name w:val="3S0 Char"/>
    <w:link w:val="3S0"/>
    <w:uiPriority w:val="99"/>
    <w:locked/>
    <w:rsid w:val="001E7DB6"/>
    <w:rPr>
      <w:rFonts w:eastAsia="Malgun Gothic"/>
      <w:lang w:val="en-GB" w:eastAsia="x-none"/>
    </w:rPr>
  </w:style>
  <w:style w:type="paragraph" w:customStyle="1" w:styleId="3S0">
    <w:name w:val="3S0"/>
    <w:basedOn w:val="Normal"/>
    <w:link w:val="3S0Char"/>
    <w:uiPriority w:val="99"/>
    <w:qFormat/>
    <w:rsid w:val="001E7DB6"/>
    <w:p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136" w:after="0" w:line="240" w:lineRule="auto"/>
      <w:ind w:left="794" w:hanging="794"/>
    </w:pPr>
    <w:rPr>
      <w:rFonts w:eastAsia="Malgun Gothic"/>
      <w:sz w:val="20"/>
      <w:szCs w:val="20"/>
    </w:rPr>
  </w:style>
  <w:style w:type="character" w:customStyle="1" w:styleId="4H0Char">
    <w:name w:val="4H0 Char"/>
    <w:link w:val="4H0"/>
    <w:uiPriority w:val="99"/>
    <w:locked/>
    <w:rsid w:val="001E7DB6"/>
    <w:rPr>
      <w:rFonts w:eastAsia="Malgun Gothic"/>
      <w:b/>
      <w:sz w:val="22"/>
      <w:lang w:val="en-GB"/>
    </w:rPr>
  </w:style>
  <w:style w:type="paragraph" w:customStyle="1" w:styleId="4H0">
    <w:name w:val="4H0"/>
    <w:basedOn w:val="3H0"/>
    <w:link w:val="4H0Char"/>
    <w:uiPriority w:val="99"/>
    <w:qFormat/>
    <w:rsid w:val="001E7DB6"/>
    <w:pPr>
      <w:numPr>
        <w:numId w:val="167"/>
      </w:numPr>
      <w:tabs>
        <w:tab w:val="num" w:pos="0"/>
        <w:tab w:val="left" w:pos="794"/>
      </w:tabs>
    </w:pPr>
  </w:style>
  <w:style w:type="character" w:customStyle="1" w:styleId="4H1Char">
    <w:name w:val="4H1 Char"/>
    <w:link w:val="4H1"/>
    <w:uiPriority w:val="99"/>
    <w:locked/>
    <w:rsid w:val="001E7DB6"/>
    <w:rPr>
      <w:rFonts w:eastAsia="Malgun Gothic"/>
      <w:b/>
      <w:lang w:val="en-GB"/>
    </w:rPr>
  </w:style>
  <w:style w:type="paragraph" w:customStyle="1" w:styleId="4H1">
    <w:name w:val="4H1"/>
    <w:basedOn w:val="3N"/>
    <w:link w:val="4H1Char"/>
    <w:uiPriority w:val="99"/>
    <w:qFormat/>
    <w:rsid w:val="001E7DB6"/>
    <w:pPr>
      <w:numPr>
        <w:ilvl w:val="1"/>
        <w:numId w:val="167"/>
      </w:numPr>
    </w:pPr>
    <w:rPr>
      <w:b/>
    </w:rPr>
  </w:style>
  <w:style w:type="paragraph" w:customStyle="1" w:styleId="4H2">
    <w:name w:val="4H2"/>
    <w:basedOn w:val="Normal"/>
    <w:uiPriority w:val="99"/>
    <w:rsid w:val="001E7DB6"/>
    <w:pPr>
      <w:numPr>
        <w:ilvl w:val="2"/>
        <w:numId w:val="167"/>
      </w:num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136" w:after="0" w:line="240" w:lineRule="auto"/>
    </w:pPr>
    <w:rPr>
      <w:rFonts w:ascii="Times New Roman" w:eastAsia="Malgun Gothic" w:hAnsi="Times New Roman"/>
      <w:sz w:val="20"/>
      <w:szCs w:val="20"/>
    </w:rPr>
  </w:style>
  <w:style w:type="character" w:customStyle="1" w:styleId="3N0Char">
    <w:name w:val="3N0 Char"/>
    <w:link w:val="3N0"/>
    <w:locked/>
    <w:rsid w:val="001E7DB6"/>
    <w:rPr>
      <w:rFonts w:eastAsia="Malgun Gothic"/>
      <w:lang w:val="en-GB" w:eastAsia="x-none"/>
    </w:rPr>
  </w:style>
  <w:style w:type="paragraph" w:customStyle="1" w:styleId="3N0">
    <w:name w:val="3N0"/>
    <w:basedOn w:val="Normal"/>
    <w:link w:val="3N0Char"/>
    <w:qFormat/>
    <w:rsid w:val="001E7DB6"/>
    <w:pPr>
      <w:widowControl w:val="0"/>
      <w:tabs>
        <w:tab w:val="clear" w:pos="403"/>
      </w:tabs>
      <w:overflowPunct w:val="0"/>
      <w:autoSpaceDE w:val="0"/>
      <w:autoSpaceDN w:val="0"/>
      <w:adjustRightInd w:val="0"/>
      <w:spacing w:before="136" w:after="0" w:line="240" w:lineRule="auto"/>
    </w:pPr>
    <w:rPr>
      <w:rFonts w:eastAsia="Malgun Gothic"/>
      <w:sz w:val="20"/>
      <w:szCs w:val="20"/>
    </w:rPr>
  </w:style>
  <w:style w:type="paragraph" w:customStyle="1" w:styleId="Bibliography3">
    <w:name w:val="Bibliography3"/>
    <w:basedOn w:val="Normal"/>
    <w:uiPriority w:val="99"/>
    <w:rsid w:val="001E7DB6"/>
    <w:pPr>
      <w:tabs>
        <w:tab w:val="clear" w:pos="403"/>
        <w:tab w:val="left" w:pos="660"/>
      </w:tabs>
      <w:spacing w:line="230" w:lineRule="atLeast"/>
      <w:ind w:left="660" w:hanging="660"/>
    </w:pPr>
    <w:rPr>
      <w:rFonts w:ascii="Arial" w:eastAsia="MS Mincho" w:hAnsi="Arial"/>
      <w:sz w:val="20"/>
      <w:szCs w:val="20"/>
      <w:lang w:val="en-US"/>
    </w:rPr>
  </w:style>
  <w:style w:type="paragraph" w:customStyle="1" w:styleId="Bibliography4">
    <w:name w:val="Bibliography4"/>
    <w:basedOn w:val="Normal"/>
    <w:uiPriority w:val="99"/>
    <w:rsid w:val="001E7DB6"/>
    <w:pPr>
      <w:tabs>
        <w:tab w:val="clear" w:pos="403"/>
        <w:tab w:val="left" w:pos="660"/>
      </w:tabs>
      <w:spacing w:line="230" w:lineRule="atLeast"/>
      <w:ind w:left="660" w:hanging="660"/>
    </w:pPr>
    <w:rPr>
      <w:rFonts w:ascii="Arial" w:eastAsia="MS Mincho" w:hAnsi="Arial"/>
      <w:sz w:val="20"/>
      <w:szCs w:val="20"/>
      <w:lang w:val="en-US"/>
    </w:rPr>
  </w:style>
  <w:style w:type="paragraph" w:customStyle="1" w:styleId="Bibliography5">
    <w:name w:val="Bibliography5"/>
    <w:basedOn w:val="Normal"/>
    <w:uiPriority w:val="99"/>
    <w:rsid w:val="001E7DB6"/>
    <w:pPr>
      <w:tabs>
        <w:tab w:val="clear" w:pos="403"/>
        <w:tab w:val="left" w:pos="660"/>
      </w:tabs>
      <w:spacing w:line="230" w:lineRule="atLeast"/>
      <w:ind w:left="660" w:hanging="660"/>
    </w:pPr>
    <w:rPr>
      <w:rFonts w:ascii="Arial" w:eastAsia="MS Mincho" w:hAnsi="Arial"/>
      <w:noProof/>
      <w:sz w:val="20"/>
      <w:szCs w:val="20"/>
      <w:lang w:val="en-US"/>
    </w:rPr>
  </w:style>
  <w:style w:type="paragraph" w:customStyle="1" w:styleId="Bibliography6">
    <w:name w:val="Bibliography6"/>
    <w:basedOn w:val="Normal"/>
    <w:uiPriority w:val="99"/>
    <w:rsid w:val="001E7DB6"/>
    <w:pPr>
      <w:tabs>
        <w:tab w:val="clear" w:pos="403"/>
        <w:tab w:val="left" w:pos="660"/>
      </w:tabs>
      <w:spacing w:line="230" w:lineRule="atLeast"/>
      <w:ind w:left="660" w:hanging="660"/>
    </w:pPr>
    <w:rPr>
      <w:rFonts w:ascii="Arial" w:eastAsia="MS Mincho" w:hAnsi="Arial"/>
      <w:sz w:val="20"/>
      <w:szCs w:val="20"/>
      <w:lang w:val="en-US"/>
    </w:rPr>
  </w:style>
  <w:style w:type="paragraph" w:customStyle="1" w:styleId="Bibliography7">
    <w:name w:val="Bibliography7"/>
    <w:basedOn w:val="Normal"/>
    <w:uiPriority w:val="99"/>
    <w:rsid w:val="001E7DB6"/>
    <w:pPr>
      <w:tabs>
        <w:tab w:val="clear" w:pos="403"/>
        <w:tab w:val="left" w:pos="660"/>
      </w:tabs>
      <w:spacing w:line="230" w:lineRule="atLeast"/>
      <w:ind w:left="660" w:hanging="660"/>
    </w:pPr>
    <w:rPr>
      <w:rFonts w:ascii="Arial" w:eastAsia="MS Mincho" w:hAnsi="Arial"/>
      <w:sz w:val="20"/>
      <w:szCs w:val="20"/>
      <w:lang w:val="en-US"/>
    </w:rPr>
  </w:style>
  <w:style w:type="paragraph" w:customStyle="1" w:styleId="ColorfulShading-Accent14">
    <w:name w:val="Colorful Shading - Accent 14"/>
    <w:uiPriority w:val="99"/>
    <w:semiHidden/>
    <w:rsid w:val="001E7DB6"/>
    <w:rPr>
      <w:rFonts w:ascii="Times New Roman" w:eastAsia="Malgun Gothic" w:hAnsi="Times New Roman"/>
      <w:lang w:val="en-GB"/>
    </w:rPr>
  </w:style>
  <w:style w:type="paragraph" w:customStyle="1" w:styleId="Bibliography8">
    <w:name w:val="Bibliography8"/>
    <w:basedOn w:val="Normal"/>
    <w:uiPriority w:val="99"/>
    <w:rsid w:val="001E7DB6"/>
    <w:pPr>
      <w:tabs>
        <w:tab w:val="clear" w:pos="403"/>
        <w:tab w:val="left" w:pos="660"/>
      </w:tabs>
      <w:spacing w:line="230" w:lineRule="atLeast"/>
      <w:ind w:left="660" w:hanging="660"/>
    </w:pPr>
    <w:rPr>
      <w:rFonts w:ascii="Arial" w:eastAsia="MS Mincho" w:hAnsi="Arial"/>
      <w:sz w:val="20"/>
      <w:szCs w:val="20"/>
      <w:lang w:val="en-US"/>
    </w:rPr>
  </w:style>
  <w:style w:type="paragraph" w:customStyle="1" w:styleId="ColorfulList-Accent14">
    <w:name w:val="Colorful List - Accent 14"/>
    <w:basedOn w:val="Normal"/>
    <w:uiPriority w:val="34"/>
    <w:qFormat/>
    <w:rsid w:val="001E7DB6"/>
    <w:p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136" w:after="0" w:line="240" w:lineRule="auto"/>
      <w:ind w:left="720" w:hanging="794"/>
    </w:pPr>
    <w:rPr>
      <w:rFonts w:ascii="Times New Roman" w:eastAsia="Malgun Gothic" w:hAnsi="Times New Roman"/>
      <w:sz w:val="20"/>
      <w:szCs w:val="20"/>
    </w:rPr>
  </w:style>
  <w:style w:type="paragraph" w:customStyle="1" w:styleId="Bibliography9">
    <w:name w:val="Bibliography9"/>
    <w:basedOn w:val="Normal"/>
    <w:uiPriority w:val="99"/>
    <w:rsid w:val="001E7DB6"/>
    <w:pPr>
      <w:tabs>
        <w:tab w:val="clear" w:pos="403"/>
        <w:tab w:val="left" w:pos="660"/>
      </w:tabs>
      <w:spacing w:line="230" w:lineRule="atLeast"/>
      <w:ind w:left="660" w:hanging="660"/>
    </w:pPr>
    <w:rPr>
      <w:rFonts w:ascii="Arial" w:eastAsia="MS Mincho" w:hAnsi="Arial"/>
      <w:sz w:val="20"/>
      <w:szCs w:val="20"/>
      <w:lang w:val="en-US"/>
    </w:rPr>
  </w:style>
  <w:style w:type="paragraph" w:customStyle="1" w:styleId="Bibliography10">
    <w:name w:val="Bibliography10"/>
    <w:basedOn w:val="Normal"/>
    <w:uiPriority w:val="99"/>
    <w:rsid w:val="001E7DB6"/>
    <w:pPr>
      <w:tabs>
        <w:tab w:val="clear" w:pos="403"/>
        <w:tab w:val="left" w:pos="660"/>
      </w:tabs>
      <w:spacing w:line="230" w:lineRule="atLeast"/>
      <w:ind w:left="660" w:hanging="660"/>
    </w:pPr>
    <w:rPr>
      <w:rFonts w:ascii="Arial" w:eastAsia="MS Mincho" w:hAnsi="Arial"/>
      <w:sz w:val="20"/>
      <w:szCs w:val="20"/>
      <w:lang w:val="en-US"/>
    </w:rPr>
  </w:style>
  <w:style w:type="paragraph" w:customStyle="1" w:styleId="Equationsmallertabs">
    <w:name w:val="Equation smaller tabs"/>
    <w:basedOn w:val="Equation"/>
    <w:uiPriority w:val="99"/>
    <w:qFormat/>
    <w:rsid w:val="001E7DB6"/>
    <w:pPr>
      <w:tabs>
        <w:tab w:val="clear" w:pos="806"/>
        <w:tab w:val="clear" w:pos="1613"/>
        <w:tab w:val="clear" w:pos="2419"/>
        <w:tab w:val="clear" w:pos="9677"/>
        <w:tab w:val="left" w:pos="794"/>
        <w:tab w:val="left" w:pos="1170"/>
        <w:tab w:val="left" w:pos="1588"/>
        <w:tab w:val="left" w:pos="1890"/>
        <w:tab w:val="left" w:pos="2160"/>
        <w:tab w:val="left" w:pos="2430"/>
        <w:tab w:val="center" w:pos="4849"/>
        <w:tab w:val="right" w:pos="9696"/>
      </w:tabs>
      <w:spacing w:before="136" w:after="0"/>
      <w:ind w:left="794"/>
      <w:textAlignment w:val="auto"/>
    </w:pPr>
    <w:rPr>
      <w:rFonts w:ascii="Times New Roman" w:hAnsi="Times New Roman"/>
      <w:sz w:val="20"/>
      <w:lang w:eastAsia="ko-KR"/>
    </w:rPr>
  </w:style>
  <w:style w:type="paragraph" w:customStyle="1" w:styleId="Rec0">
    <w:name w:val="Rec"/>
    <w:basedOn w:val="Title"/>
    <w:uiPriority w:val="99"/>
    <w:rsid w:val="001E7DB6"/>
  </w:style>
  <w:style w:type="paragraph" w:customStyle="1" w:styleId="Text">
    <w:name w:val="Text"/>
    <w:basedOn w:val="Normal"/>
    <w:uiPriority w:val="99"/>
    <w:rsid w:val="001E7DB6"/>
    <w:pPr>
      <w:tabs>
        <w:tab w:val="clear" w:pos="403"/>
      </w:tabs>
      <w:spacing w:line="276" w:lineRule="auto"/>
    </w:pPr>
    <w:rPr>
      <w:rFonts w:ascii="Times New Roman" w:eastAsia="MS Mincho" w:hAnsi="Times New Roman"/>
      <w:sz w:val="24"/>
      <w:szCs w:val="24"/>
      <w:lang w:val="de-AT"/>
    </w:rPr>
  </w:style>
  <w:style w:type="character" w:customStyle="1" w:styleId="EquationTabChar">
    <w:name w:val="EquationTab Char"/>
    <w:link w:val="EquationTab"/>
    <w:locked/>
    <w:rsid w:val="001E7DB6"/>
    <w:rPr>
      <w:rFonts w:eastAsia="Malgun Gothic"/>
      <w:lang w:val="en-GB" w:eastAsia="x-none"/>
    </w:rPr>
  </w:style>
  <w:style w:type="paragraph" w:customStyle="1" w:styleId="EquationTab">
    <w:name w:val="EquationTab"/>
    <w:basedOn w:val="Normal"/>
    <w:link w:val="EquationTabChar"/>
    <w:qFormat/>
    <w:rsid w:val="001E7DB6"/>
    <w:p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136" w:after="0" w:line="240" w:lineRule="auto"/>
    </w:pPr>
    <w:rPr>
      <w:rFonts w:eastAsia="Malgun Gothic"/>
      <w:sz w:val="20"/>
      <w:szCs w:val="20"/>
    </w:rPr>
  </w:style>
  <w:style w:type="paragraph" w:customStyle="1" w:styleId="3H8">
    <w:name w:val="3H8"/>
    <w:basedOn w:val="Normal"/>
    <w:uiPriority w:val="99"/>
    <w:rsid w:val="001E7DB6"/>
    <w:p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pPr>
    <w:rPr>
      <w:rFonts w:ascii="Times New Roman" w:eastAsia="Malgun Gothic" w:hAnsi="Times New Roman"/>
      <w:sz w:val="20"/>
      <w:szCs w:val="20"/>
    </w:rPr>
  </w:style>
  <w:style w:type="character" w:customStyle="1" w:styleId="3DVCAnnexSem0Char">
    <w:name w:val="3DVC Annex Sem 0 Char"/>
    <w:link w:val="3DVCAnnexSem0"/>
    <w:locked/>
    <w:rsid w:val="001E7DB6"/>
    <w:rPr>
      <w:rFonts w:eastAsia="Malgun Gothic"/>
      <w:lang w:val="en-GB" w:eastAsia="x-none"/>
    </w:rPr>
  </w:style>
  <w:style w:type="paragraph" w:customStyle="1" w:styleId="3DVCAnnexSem0">
    <w:name w:val="3DVC Annex Sem 0"/>
    <w:basedOn w:val="Normal"/>
    <w:link w:val="3DVCAnnexSem0Char"/>
    <w:rsid w:val="001E7DB6"/>
    <w:p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136" w:after="0" w:line="240" w:lineRule="auto"/>
      <w:ind w:left="794" w:hanging="794"/>
    </w:pPr>
    <w:rPr>
      <w:rFonts w:eastAsia="Malgun Gothic"/>
      <w:sz w:val="20"/>
      <w:szCs w:val="20"/>
    </w:rPr>
  </w:style>
  <w:style w:type="character" w:customStyle="1" w:styleId="3DVCnormalChar">
    <w:name w:val="3DVC normal Char"/>
    <w:link w:val="3DVCnormal"/>
    <w:locked/>
    <w:rsid w:val="001E7DB6"/>
    <w:rPr>
      <w:rFonts w:eastAsia="Malgun Gothic"/>
      <w:lang w:val="en-GB" w:eastAsia="x-none"/>
    </w:rPr>
  </w:style>
  <w:style w:type="paragraph" w:customStyle="1" w:styleId="3DVCnormal">
    <w:name w:val="3DVC normal"/>
    <w:basedOn w:val="Normal"/>
    <w:link w:val="3DVCnormalChar"/>
    <w:qFormat/>
    <w:rsid w:val="001E7DB6"/>
    <w:pPr>
      <w:widowControl w:val="0"/>
      <w:tabs>
        <w:tab w:val="clear" w:pos="403"/>
      </w:tabs>
      <w:overflowPunct w:val="0"/>
      <w:autoSpaceDE w:val="0"/>
      <w:autoSpaceDN w:val="0"/>
      <w:adjustRightInd w:val="0"/>
      <w:spacing w:before="136" w:after="0" w:line="240" w:lineRule="auto"/>
    </w:pPr>
    <w:rPr>
      <w:rFonts w:eastAsia="Malgun Gothic"/>
      <w:sz w:val="20"/>
      <w:szCs w:val="20"/>
    </w:rPr>
  </w:style>
  <w:style w:type="character" w:customStyle="1" w:styleId="3D0Char">
    <w:name w:val="3D0 Char"/>
    <w:link w:val="3D0"/>
    <w:uiPriority w:val="99"/>
    <w:locked/>
    <w:rsid w:val="001E7DB6"/>
    <w:rPr>
      <w:rFonts w:eastAsia="Malgun Gothic"/>
      <w:lang w:val="en-CA"/>
    </w:rPr>
  </w:style>
  <w:style w:type="paragraph" w:customStyle="1" w:styleId="3D0">
    <w:name w:val="3D0"/>
    <w:basedOn w:val="3N0"/>
    <w:link w:val="3D0Char"/>
    <w:uiPriority w:val="99"/>
    <w:qFormat/>
    <w:rsid w:val="001E7DB6"/>
    <w:pPr>
      <w:numPr>
        <w:numId w:val="168"/>
      </w:numPr>
      <w:tabs>
        <w:tab w:val="clear" w:pos="340"/>
        <w:tab w:val="clear" w:pos="806"/>
        <w:tab w:val="clear" w:pos="1210"/>
        <w:tab w:val="clear" w:pos="1613"/>
        <w:tab w:val="left" w:pos="357"/>
        <w:tab w:val="left" w:pos="794"/>
        <w:tab w:val="left" w:pos="1191"/>
        <w:tab w:val="left" w:pos="1588"/>
        <w:tab w:val="left" w:pos="1985"/>
        <w:tab w:val="left" w:pos="2381"/>
      </w:tabs>
    </w:pPr>
  </w:style>
  <w:style w:type="character" w:customStyle="1" w:styleId="3D1Char">
    <w:name w:val="3D1 Char"/>
    <w:link w:val="3D1"/>
    <w:uiPriority w:val="99"/>
    <w:locked/>
    <w:rsid w:val="001E7DB6"/>
    <w:rPr>
      <w:rFonts w:eastAsia="Malgun Gothic"/>
      <w:lang w:val="en-CA"/>
    </w:rPr>
  </w:style>
  <w:style w:type="paragraph" w:customStyle="1" w:styleId="3D1">
    <w:name w:val="3D1"/>
    <w:basedOn w:val="3D0"/>
    <w:link w:val="3D1Char"/>
    <w:uiPriority w:val="99"/>
    <w:qFormat/>
    <w:rsid w:val="001E7DB6"/>
    <w:pPr>
      <w:numPr>
        <w:ilvl w:val="1"/>
      </w:numPr>
      <w:tabs>
        <w:tab w:val="num" w:pos="1440"/>
      </w:tabs>
      <w:ind w:hanging="360"/>
    </w:pPr>
  </w:style>
  <w:style w:type="character" w:customStyle="1" w:styleId="3D2Char">
    <w:name w:val="3D2 Char"/>
    <w:link w:val="3D2"/>
    <w:uiPriority w:val="99"/>
    <w:locked/>
    <w:rsid w:val="001E7DB6"/>
    <w:rPr>
      <w:rFonts w:eastAsia="Malgun Gothic"/>
      <w:lang w:val="en-CA" w:eastAsia="ko-KR"/>
    </w:rPr>
  </w:style>
  <w:style w:type="paragraph" w:customStyle="1" w:styleId="3D2">
    <w:name w:val="3D2"/>
    <w:basedOn w:val="3D1"/>
    <w:link w:val="3D2Char"/>
    <w:uiPriority w:val="99"/>
    <w:qFormat/>
    <w:rsid w:val="001E7DB6"/>
    <w:pPr>
      <w:numPr>
        <w:ilvl w:val="2"/>
      </w:numPr>
      <w:tabs>
        <w:tab w:val="clear" w:pos="794"/>
        <w:tab w:val="left" w:pos="1072"/>
        <w:tab w:val="num" w:pos="2160"/>
      </w:tabs>
      <w:ind w:left="1071" w:hanging="360"/>
    </w:pPr>
    <w:rPr>
      <w:lang w:eastAsia="ko-KR"/>
    </w:rPr>
  </w:style>
  <w:style w:type="character" w:customStyle="1" w:styleId="3D3Char">
    <w:name w:val="3D3 Char"/>
    <w:link w:val="3D3"/>
    <w:uiPriority w:val="99"/>
    <w:locked/>
    <w:rsid w:val="001E7DB6"/>
    <w:rPr>
      <w:rFonts w:eastAsia="Malgun Gothic"/>
      <w:lang w:val="en-CA" w:eastAsia="ko-KR"/>
    </w:rPr>
  </w:style>
  <w:style w:type="paragraph" w:customStyle="1" w:styleId="3D3">
    <w:name w:val="3D3"/>
    <w:basedOn w:val="3D2"/>
    <w:link w:val="3D3Char"/>
    <w:uiPriority w:val="99"/>
    <w:qFormat/>
    <w:rsid w:val="001E7DB6"/>
    <w:pPr>
      <w:numPr>
        <w:ilvl w:val="3"/>
      </w:numPr>
      <w:tabs>
        <w:tab w:val="clear" w:pos="1072"/>
        <w:tab w:val="clear" w:pos="1191"/>
        <w:tab w:val="num" w:pos="2880"/>
      </w:tabs>
      <w:ind w:hanging="360"/>
    </w:pPr>
  </w:style>
  <w:style w:type="character" w:customStyle="1" w:styleId="3D4Char">
    <w:name w:val="3D4 Char"/>
    <w:link w:val="3D4"/>
    <w:uiPriority w:val="99"/>
    <w:locked/>
    <w:rsid w:val="001E7DB6"/>
    <w:rPr>
      <w:rFonts w:eastAsia="Malgun Gothic"/>
      <w:lang w:val="en-CA" w:eastAsia="ko-KR"/>
    </w:rPr>
  </w:style>
  <w:style w:type="paragraph" w:customStyle="1" w:styleId="3D4">
    <w:name w:val="3D4"/>
    <w:basedOn w:val="3D3"/>
    <w:link w:val="3D4Char"/>
    <w:uiPriority w:val="99"/>
    <w:qFormat/>
    <w:rsid w:val="001E7DB6"/>
    <w:pPr>
      <w:numPr>
        <w:ilvl w:val="4"/>
      </w:numPr>
      <w:tabs>
        <w:tab w:val="clear" w:pos="1588"/>
        <w:tab w:val="num" w:pos="1440"/>
        <w:tab w:val="num" w:pos="3600"/>
      </w:tabs>
      <w:ind w:hanging="360"/>
    </w:pPr>
  </w:style>
  <w:style w:type="character" w:customStyle="1" w:styleId="3D5Char">
    <w:name w:val="3D5 Char"/>
    <w:link w:val="3D5"/>
    <w:uiPriority w:val="99"/>
    <w:locked/>
    <w:rsid w:val="001E7DB6"/>
    <w:rPr>
      <w:rFonts w:eastAsia="Malgun Gothic"/>
      <w:lang w:val="en-CA" w:eastAsia="ko-KR"/>
    </w:rPr>
  </w:style>
  <w:style w:type="paragraph" w:customStyle="1" w:styleId="3D5">
    <w:name w:val="3D5"/>
    <w:basedOn w:val="3D4"/>
    <w:link w:val="3D5Char"/>
    <w:uiPriority w:val="99"/>
    <w:qFormat/>
    <w:rsid w:val="001E7DB6"/>
    <w:pPr>
      <w:numPr>
        <w:ilvl w:val="5"/>
      </w:numPr>
      <w:tabs>
        <w:tab w:val="clear" w:pos="1985"/>
        <w:tab w:val="num" w:pos="1768"/>
        <w:tab w:val="num" w:pos="4320"/>
      </w:tabs>
      <w:ind w:hanging="360"/>
    </w:pPr>
  </w:style>
  <w:style w:type="character" w:customStyle="1" w:styleId="3D6Char">
    <w:name w:val="3D6 Char"/>
    <w:link w:val="3D6"/>
    <w:uiPriority w:val="99"/>
    <w:locked/>
    <w:rsid w:val="001E7DB6"/>
    <w:rPr>
      <w:rFonts w:eastAsia="Malgun Gothic"/>
      <w:lang w:val="en-CA" w:eastAsia="ko-KR"/>
    </w:rPr>
  </w:style>
  <w:style w:type="paragraph" w:customStyle="1" w:styleId="3D6">
    <w:name w:val="3D6"/>
    <w:basedOn w:val="3D5"/>
    <w:link w:val="3D6Char"/>
    <w:uiPriority w:val="99"/>
    <w:qFormat/>
    <w:rsid w:val="001E7DB6"/>
    <w:pPr>
      <w:numPr>
        <w:ilvl w:val="6"/>
      </w:numPr>
      <w:tabs>
        <w:tab w:val="clear" w:pos="2381"/>
        <w:tab w:val="num" w:pos="2125"/>
        <w:tab w:val="num" w:pos="5040"/>
      </w:tabs>
      <w:ind w:hanging="360"/>
    </w:pPr>
  </w:style>
  <w:style w:type="character" w:customStyle="1" w:styleId="3TabsChar">
    <w:name w:val="3 Tabs Char"/>
    <w:link w:val="3Tabs"/>
    <w:locked/>
    <w:rsid w:val="001E7DB6"/>
    <w:rPr>
      <w:rFonts w:eastAsia="Malgun Gothic"/>
    </w:rPr>
  </w:style>
  <w:style w:type="paragraph" w:customStyle="1" w:styleId="3Tabs">
    <w:name w:val="3 Tabs"/>
    <w:basedOn w:val="3N0"/>
    <w:link w:val="3TabsChar"/>
    <w:qFormat/>
    <w:rsid w:val="001E7DB6"/>
    <w:pPr>
      <w:tabs>
        <w:tab w:val="left" w:pos="357"/>
        <w:tab w:val="left" w:pos="714"/>
        <w:tab w:val="left" w:pos="1071"/>
        <w:tab w:val="left" w:pos="1429"/>
        <w:tab w:val="left" w:pos="1786"/>
        <w:tab w:val="left" w:pos="2143"/>
        <w:tab w:val="left" w:pos="2500"/>
        <w:tab w:val="left" w:pos="2857"/>
        <w:tab w:val="right" w:pos="9729"/>
      </w:tabs>
      <w:spacing w:before="120" w:after="120"/>
      <w:jc w:val="left"/>
    </w:pPr>
    <w:rPr>
      <w:bCs/>
      <w:lang w:val="en-US"/>
    </w:rPr>
  </w:style>
  <w:style w:type="paragraph" w:customStyle="1" w:styleId="3U1">
    <w:name w:val="3U1"/>
    <w:basedOn w:val="3N0"/>
    <w:uiPriority w:val="99"/>
    <w:qFormat/>
    <w:rsid w:val="001E7DB6"/>
    <w:pPr>
      <w:numPr>
        <w:ilvl w:val="1"/>
        <w:numId w:val="179"/>
      </w:numPr>
      <w:tabs>
        <w:tab w:val="num" w:pos="360"/>
        <w:tab w:val="num" w:pos="697"/>
      </w:tabs>
      <w:ind w:left="0" w:firstLine="0"/>
    </w:pPr>
  </w:style>
  <w:style w:type="paragraph" w:customStyle="1" w:styleId="3U0">
    <w:name w:val="3U0"/>
    <w:basedOn w:val="3N0"/>
    <w:uiPriority w:val="99"/>
    <w:qFormat/>
    <w:rsid w:val="001E7DB6"/>
    <w:pPr>
      <w:numPr>
        <w:numId w:val="179"/>
      </w:numPr>
      <w:tabs>
        <w:tab w:val="num" w:pos="360"/>
      </w:tabs>
      <w:ind w:left="0" w:firstLine="0"/>
    </w:pPr>
  </w:style>
  <w:style w:type="paragraph" w:customStyle="1" w:styleId="3U2">
    <w:name w:val="3U2"/>
    <w:basedOn w:val="3U1"/>
    <w:uiPriority w:val="99"/>
    <w:qFormat/>
    <w:rsid w:val="001E7DB6"/>
    <w:pPr>
      <w:numPr>
        <w:ilvl w:val="2"/>
      </w:numPr>
      <w:tabs>
        <w:tab w:val="num" w:pos="720"/>
        <w:tab w:val="num" w:pos="1054"/>
      </w:tabs>
      <w:ind w:left="1224" w:hanging="1224"/>
    </w:pPr>
  </w:style>
  <w:style w:type="paragraph" w:customStyle="1" w:styleId="3U3">
    <w:name w:val="3U3"/>
    <w:basedOn w:val="3U2"/>
    <w:uiPriority w:val="99"/>
    <w:qFormat/>
    <w:rsid w:val="001E7DB6"/>
    <w:pPr>
      <w:numPr>
        <w:ilvl w:val="3"/>
      </w:numPr>
      <w:tabs>
        <w:tab w:val="num" w:pos="720"/>
        <w:tab w:val="num" w:pos="1054"/>
        <w:tab w:val="num" w:pos="1411"/>
      </w:tabs>
      <w:ind w:left="1728" w:hanging="1728"/>
    </w:pPr>
  </w:style>
  <w:style w:type="paragraph" w:customStyle="1" w:styleId="3U4">
    <w:name w:val="3U4"/>
    <w:basedOn w:val="3U3"/>
    <w:uiPriority w:val="99"/>
    <w:qFormat/>
    <w:rsid w:val="001E7DB6"/>
    <w:pPr>
      <w:numPr>
        <w:ilvl w:val="4"/>
      </w:numPr>
      <w:tabs>
        <w:tab w:val="num" w:pos="862"/>
        <w:tab w:val="num" w:pos="1054"/>
        <w:tab w:val="num" w:pos="1768"/>
      </w:tabs>
      <w:ind w:left="2374" w:hanging="2232"/>
    </w:pPr>
  </w:style>
  <w:style w:type="paragraph" w:customStyle="1" w:styleId="3U5">
    <w:name w:val="3U5"/>
    <w:basedOn w:val="3U4"/>
    <w:uiPriority w:val="99"/>
    <w:qFormat/>
    <w:rsid w:val="001E7DB6"/>
    <w:pPr>
      <w:numPr>
        <w:ilvl w:val="5"/>
      </w:numPr>
      <w:tabs>
        <w:tab w:val="num" w:pos="1054"/>
        <w:tab w:val="num" w:pos="1080"/>
        <w:tab w:val="num" w:pos="2125"/>
      </w:tabs>
    </w:pPr>
  </w:style>
  <w:style w:type="paragraph" w:customStyle="1" w:styleId="3U6">
    <w:name w:val="3U6"/>
    <w:basedOn w:val="3U5"/>
    <w:uiPriority w:val="99"/>
    <w:qFormat/>
    <w:rsid w:val="001E7DB6"/>
    <w:pPr>
      <w:numPr>
        <w:ilvl w:val="6"/>
      </w:numPr>
      <w:tabs>
        <w:tab w:val="num" w:pos="1080"/>
        <w:tab w:val="num" w:pos="2482"/>
      </w:tabs>
      <w:ind w:left="3240" w:hanging="3240"/>
    </w:pPr>
  </w:style>
  <w:style w:type="paragraph" w:customStyle="1" w:styleId="3U7">
    <w:name w:val="3U7"/>
    <w:basedOn w:val="Normal"/>
    <w:uiPriority w:val="99"/>
    <w:qFormat/>
    <w:rsid w:val="001E7DB6"/>
    <w:pPr>
      <w:numPr>
        <w:ilvl w:val="7"/>
        <w:numId w:val="179"/>
      </w:num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136" w:after="0" w:line="240" w:lineRule="auto"/>
    </w:pPr>
    <w:rPr>
      <w:rFonts w:ascii="Times New Roman" w:eastAsia="Malgun Gothic" w:hAnsi="Times New Roman"/>
      <w:sz w:val="20"/>
      <w:szCs w:val="20"/>
    </w:rPr>
  </w:style>
  <w:style w:type="paragraph" w:customStyle="1" w:styleId="3U8">
    <w:name w:val="3U8"/>
    <w:basedOn w:val="3U7"/>
    <w:uiPriority w:val="99"/>
    <w:qFormat/>
    <w:rsid w:val="001E7DB6"/>
    <w:pPr>
      <w:numPr>
        <w:ilvl w:val="8"/>
      </w:numPr>
      <w:tabs>
        <w:tab w:val="num" w:pos="4680"/>
      </w:tabs>
      <w:ind w:hanging="4320"/>
    </w:pPr>
  </w:style>
  <w:style w:type="paragraph" w:customStyle="1" w:styleId="3D7">
    <w:name w:val="3D7"/>
    <w:basedOn w:val="Normal"/>
    <w:uiPriority w:val="99"/>
    <w:rsid w:val="001E7DB6"/>
    <w:pPr>
      <w:numPr>
        <w:ilvl w:val="7"/>
        <w:numId w:val="168"/>
      </w:num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136" w:after="0" w:line="240" w:lineRule="auto"/>
    </w:pPr>
    <w:rPr>
      <w:rFonts w:ascii="Times New Roman" w:eastAsia="Malgun Gothic" w:hAnsi="Times New Roman"/>
      <w:sz w:val="20"/>
      <w:szCs w:val="20"/>
    </w:rPr>
  </w:style>
  <w:style w:type="paragraph" w:customStyle="1" w:styleId="3D8">
    <w:name w:val="3D8"/>
    <w:basedOn w:val="Normal"/>
    <w:uiPriority w:val="99"/>
    <w:rsid w:val="001E7DB6"/>
    <w:pPr>
      <w:numPr>
        <w:ilvl w:val="8"/>
        <w:numId w:val="168"/>
      </w:num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136" w:after="0" w:line="240" w:lineRule="auto"/>
    </w:pPr>
    <w:rPr>
      <w:rFonts w:ascii="Times New Roman" w:eastAsia="Malgun Gothic" w:hAnsi="Times New Roman"/>
      <w:sz w:val="20"/>
      <w:szCs w:val="20"/>
    </w:rPr>
  </w:style>
  <w:style w:type="paragraph" w:customStyle="1" w:styleId="3E0">
    <w:name w:val="3E0"/>
    <w:basedOn w:val="3N0"/>
    <w:uiPriority w:val="99"/>
    <w:qFormat/>
    <w:rsid w:val="001E7DB6"/>
    <w:pPr>
      <w:numPr>
        <w:numId w:val="180"/>
      </w:numPr>
      <w:tabs>
        <w:tab w:val="num" w:pos="360"/>
        <w:tab w:val="center" w:pos="4865"/>
        <w:tab w:val="right" w:pos="9730"/>
      </w:tabs>
      <w:ind w:left="432" w:hanging="432"/>
      <w:jc w:val="left"/>
    </w:pPr>
  </w:style>
  <w:style w:type="paragraph" w:customStyle="1" w:styleId="3E1">
    <w:name w:val="3E1"/>
    <w:basedOn w:val="3E0"/>
    <w:uiPriority w:val="99"/>
    <w:qFormat/>
    <w:rsid w:val="001E7DB6"/>
    <w:pPr>
      <w:numPr>
        <w:ilvl w:val="1"/>
      </w:numPr>
      <w:ind w:left="0" w:firstLine="0"/>
    </w:pPr>
  </w:style>
  <w:style w:type="paragraph" w:customStyle="1" w:styleId="3E2">
    <w:name w:val="3E2"/>
    <w:basedOn w:val="3E1"/>
    <w:uiPriority w:val="99"/>
    <w:qFormat/>
    <w:rsid w:val="001E7DB6"/>
    <w:pPr>
      <w:numPr>
        <w:ilvl w:val="2"/>
      </w:numPr>
      <w:ind w:left="2160" w:hanging="180"/>
    </w:pPr>
  </w:style>
  <w:style w:type="paragraph" w:customStyle="1" w:styleId="3E3">
    <w:name w:val="3E3"/>
    <w:basedOn w:val="Normal"/>
    <w:uiPriority w:val="99"/>
    <w:qFormat/>
    <w:rsid w:val="001E7DB6"/>
    <w:pPr>
      <w:numPr>
        <w:ilvl w:val="3"/>
        <w:numId w:val="180"/>
      </w:numPr>
      <w:tabs>
        <w:tab w:val="clear" w:pos="403"/>
        <w:tab w:val="center" w:pos="4865"/>
        <w:tab w:val="right" w:pos="9730"/>
      </w:tabs>
      <w:overflowPunct w:val="0"/>
      <w:autoSpaceDE w:val="0"/>
      <w:autoSpaceDN w:val="0"/>
      <w:adjustRightInd w:val="0"/>
      <w:spacing w:before="136" w:after="0" w:line="240" w:lineRule="auto"/>
    </w:pPr>
    <w:rPr>
      <w:rFonts w:ascii="Times New Roman" w:eastAsia="Malgun Gothic" w:hAnsi="Times New Roman"/>
      <w:sz w:val="20"/>
      <w:szCs w:val="20"/>
    </w:rPr>
  </w:style>
  <w:style w:type="paragraph" w:customStyle="1" w:styleId="3E4">
    <w:name w:val="3E4"/>
    <w:basedOn w:val="Normal"/>
    <w:uiPriority w:val="99"/>
    <w:qFormat/>
    <w:rsid w:val="001E7DB6"/>
    <w:pPr>
      <w:numPr>
        <w:ilvl w:val="4"/>
        <w:numId w:val="180"/>
      </w:numPr>
      <w:tabs>
        <w:tab w:val="clear" w:pos="403"/>
        <w:tab w:val="center" w:pos="4865"/>
        <w:tab w:val="right" w:pos="9730"/>
      </w:tabs>
      <w:overflowPunct w:val="0"/>
      <w:autoSpaceDE w:val="0"/>
      <w:autoSpaceDN w:val="0"/>
      <w:adjustRightInd w:val="0"/>
      <w:spacing w:before="136" w:after="0" w:line="240" w:lineRule="auto"/>
    </w:pPr>
    <w:rPr>
      <w:rFonts w:ascii="Times New Roman" w:eastAsia="Malgun Gothic" w:hAnsi="Times New Roman"/>
      <w:sz w:val="20"/>
      <w:szCs w:val="20"/>
    </w:rPr>
  </w:style>
  <w:style w:type="paragraph" w:customStyle="1" w:styleId="3E5">
    <w:name w:val="3E5"/>
    <w:basedOn w:val="Normal"/>
    <w:uiPriority w:val="99"/>
    <w:qFormat/>
    <w:rsid w:val="001E7DB6"/>
    <w:pPr>
      <w:numPr>
        <w:ilvl w:val="5"/>
        <w:numId w:val="180"/>
      </w:numPr>
      <w:tabs>
        <w:tab w:val="clear" w:pos="403"/>
        <w:tab w:val="center" w:pos="4864"/>
        <w:tab w:val="right" w:pos="9729"/>
      </w:tabs>
      <w:overflowPunct w:val="0"/>
      <w:autoSpaceDE w:val="0"/>
      <w:autoSpaceDN w:val="0"/>
      <w:adjustRightInd w:val="0"/>
      <w:spacing w:before="136" w:after="0" w:line="240" w:lineRule="auto"/>
    </w:pPr>
    <w:rPr>
      <w:rFonts w:ascii="Times New Roman" w:eastAsia="Malgun Gothic" w:hAnsi="Times New Roman"/>
      <w:sz w:val="20"/>
      <w:szCs w:val="20"/>
    </w:rPr>
  </w:style>
  <w:style w:type="paragraph" w:customStyle="1" w:styleId="3E6">
    <w:name w:val="3E6"/>
    <w:basedOn w:val="Normal"/>
    <w:uiPriority w:val="99"/>
    <w:qFormat/>
    <w:rsid w:val="001E7DB6"/>
    <w:pPr>
      <w:numPr>
        <w:ilvl w:val="6"/>
        <w:numId w:val="180"/>
      </w:numPr>
      <w:tabs>
        <w:tab w:val="clear" w:pos="403"/>
        <w:tab w:val="center" w:pos="4864"/>
        <w:tab w:val="right" w:pos="9729"/>
      </w:tabs>
      <w:overflowPunct w:val="0"/>
      <w:autoSpaceDE w:val="0"/>
      <w:autoSpaceDN w:val="0"/>
      <w:adjustRightInd w:val="0"/>
      <w:spacing w:before="136" w:after="0" w:line="240" w:lineRule="auto"/>
    </w:pPr>
    <w:rPr>
      <w:rFonts w:ascii="Times New Roman" w:eastAsia="Malgun Gothic" w:hAnsi="Times New Roman"/>
      <w:sz w:val="20"/>
      <w:szCs w:val="20"/>
    </w:rPr>
  </w:style>
  <w:style w:type="paragraph" w:customStyle="1" w:styleId="3E7">
    <w:name w:val="3E7"/>
    <w:basedOn w:val="Normal"/>
    <w:uiPriority w:val="99"/>
    <w:qFormat/>
    <w:rsid w:val="001E7DB6"/>
    <w:pPr>
      <w:numPr>
        <w:ilvl w:val="7"/>
        <w:numId w:val="180"/>
      </w:numPr>
      <w:tabs>
        <w:tab w:val="clear" w:pos="403"/>
        <w:tab w:val="center" w:pos="4864"/>
        <w:tab w:val="right" w:pos="9729"/>
      </w:tabs>
      <w:overflowPunct w:val="0"/>
      <w:autoSpaceDE w:val="0"/>
      <w:autoSpaceDN w:val="0"/>
      <w:adjustRightInd w:val="0"/>
      <w:spacing w:before="136" w:after="0" w:line="240" w:lineRule="auto"/>
    </w:pPr>
    <w:rPr>
      <w:rFonts w:ascii="Times New Roman" w:eastAsia="Malgun Gothic" w:hAnsi="Times New Roman"/>
      <w:sz w:val="20"/>
      <w:szCs w:val="20"/>
    </w:rPr>
  </w:style>
  <w:style w:type="paragraph" w:customStyle="1" w:styleId="3E8">
    <w:name w:val="3E8"/>
    <w:basedOn w:val="Normal"/>
    <w:uiPriority w:val="99"/>
    <w:qFormat/>
    <w:rsid w:val="001E7DB6"/>
    <w:pPr>
      <w:numPr>
        <w:ilvl w:val="8"/>
        <w:numId w:val="180"/>
      </w:numPr>
      <w:tabs>
        <w:tab w:val="clear" w:pos="403"/>
        <w:tab w:val="center" w:pos="4864"/>
        <w:tab w:val="right" w:pos="9729"/>
      </w:tabs>
      <w:overflowPunct w:val="0"/>
      <w:autoSpaceDE w:val="0"/>
      <w:autoSpaceDN w:val="0"/>
      <w:adjustRightInd w:val="0"/>
      <w:spacing w:before="136" w:after="0" w:line="240" w:lineRule="auto"/>
    </w:pPr>
    <w:rPr>
      <w:rFonts w:ascii="Times New Roman" w:eastAsia="Malgun Gothic" w:hAnsi="Times New Roman"/>
      <w:sz w:val="20"/>
      <w:szCs w:val="20"/>
    </w:rPr>
  </w:style>
  <w:style w:type="character" w:customStyle="1" w:styleId="3N4Char">
    <w:name w:val="3N4 Char"/>
    <w:link w:val="3N4"/>
    <w:locked/>
    <w:rsid w:val="001E7DB6"/>
    <w:rPr>
      <w:rFonts w:eastAsia="Malgun Gothic"/>
      <w:lang w:val="en-GB" w:eastAsia="x-none"/>
    </w:rPr>
  </w:style>
  <w:style w:type="paragraph" w:customStyle="1" w:styleId="3N4">
    <w:name w:val="3N4"/>
    <w:basedOn w:val="3N0"/>
    <w:link w:val="3N4Char"/>
    <w:qFormat/>
    <w:rsid w:val="001E7DB6"/>
    <w:pPr>
      <w:ind w:left="1429"/>
    </w:pPr>
  </w:style>
  <w:style w:type="character" w:customStyle="1" w:styleId="3N3Char">
    <w:name w:val="3N3 Char"/>
    <w:link w:val="3N3"/>
    <w:locked/>
    <w:rsid w:val="001E7DB6"/>
    <w:rPr>
      <w:rFonts w:eastAsia="Malgun Gothic"/>
      <w:lang w:val="en-GB" w:eastAsia="x-none"/>
    </w:rPr>
  </w:style>
  <w:style w:type="paragraph" w:customStyle="1" w:styleId="3N3">
    <w:name w:val="3N3"/>
    <w:basedOn w:val="3N4"/>
    <w:link w:val="3N3Char"/>
    <w:qFormat/>
    <w:rsid w:val="001E7DB6"/>
    <w:pPr>
      <w:ind w:left="1072"/>
    </w:pPr>
  </w:style>
  <w:style w:type="character" w:customStyle="1" w:styleId="3N1Char">
    <w:name w:val="3N1 Char"/>
    <w:link w:val="3N1"/>
    <w:locked/>
    <w:rsid w:val="001E7DB6"/>
    <w:rPr>
      <w:rFonts w:eastAsia="Malgun Gothic"/>
      <w:lang w:val="en-GB" w:eastAsia="ko-KR"/>
    </w:rPr>
  </w:style>
  <w:style w:type="paragraph" w:customStyle="1" w:styleId="3N1">
    <w:name w:val="3N1"/>
    <w:basedOn w:val="3N0"/>
    <w:link w:val="3N1Char"/>
    <w:qFormat/>
    <w:rsid w:val="001E7DB6"/>
    <w:pPr>
      <w:ind w:left="357"/>
    </w:pPr>
    <w:rPr>
      <w:lang w:eastAsia="ko-KR"/>
    </w:rPr>
  </w:style>
  <w:style w:type="character" w:customStyle="1" w:styleId="3N2Char">
    <w:name w:val="3N2 Char"/>
    <w:link w:val="3N2"/>
    <w:locked/>
    <w:rsid w:val="001E7DB6"/>
    <w:rPr>
      <w:rFonts w:eastAsia="Malgun Gothic"/>
      <w:lang w:val="en-GB" w:eastAsia="ko-KR"/>
    </w:rPr>
  </w:style>
  <w:style w:type="paragraph" w:customStyle="1" w:styleId="3N2">
    <w:name w:val="3N2"/>
    <w:basedOn w:val="3N1"/>
    <w:link w:val="3N2Char"/>
    <w:qFormat/>
    <w:rsid w:val="001E7DB6"/>
    <w:pPr>
      <w:ind w:left="714"/>
    </w:pPr>
  </w:style>
  <w:style w:type="character" w:customStyle="1" w:styleId="3N5Char">
    <w:name w:val="3N5 Char"/>
    <w:link w:val="3N5"/>
    <w:locked/>
    <w:rsid w:val="001E7DB6"/>
    <w:rPr>
      <w:rFonts w:eastAsia="Malgun Gothic"/>
      <w:lang w:val="en-GB" w:eastAsia="x-none"/>
    </w:rPr>
  </w:style>
  <w:style w:type="paragraph" w:customStyle="1" w:styleId="3N5">
    <w:name w:val="3N5"/>
    <w:basedOn w:val="3N4"/>
    <w:link w:val="3N5Char"/>
    <w:qFormat/>
    <w:rsid w:val="001E7DB6"/>
    <w:pPr>
      <w:ind w:left="1786"/>
    </w:pPr>
  </w:style>
  <w:style w:type="character" w:customStyle="1" w:styleId="3N6Char">
    <w:name w:val="3N6 Char"/>
    <w:link w:val="3N6"/>
    <w:locked/>
    <w:rsid w:val="001E7DB6"/>
    <w:rPr>
      <w:rFonts w:eastAsia="Malgun Gothic"/>
      <w:lang w:val="en-GB" w:eastAsia="x-none"/>
    </w:rPr>
  </w:style>
  <w:style w:type="paragraph" w:customStyle="1" w:styleId="3N6">
    <w:name w:val="3N6"/>
    <w:basedOn w:val="3N5"/>
    <w:link w:val="3N6Char"/>
    <w:qFormat/>
    <w:rsid w:val="001E7DB6"/>
    <w:pPr>
      <w:ind w:left="2143"/>
    </w:pPr>
  </w:style>
  <w:style w:type="character" w:customStyle="1" w:styleId="3N7Char">
    <w:name w:val="3N7 Char"/>
    <w:link w:val="3N7"/>
    <w:locked/>
    <w:rsid w:val="001E7DB6"/>
    <w:rPr>
      <w:rFonts w:eastAsia="Malgun Gothic"/>
      <w:lang w:val="en-GB" w:eastAsia="x-none"/>
    </w:rPr>
  </w:style>
  <w:style w:type="paragraph" w:customStyle="1" w:styleId="3N7">
    <w:name w:val="3N7"/>
    <w:basedOn w:val="3N6"/>
    <w:link w:val="3N7Char"/>
    <w:qFormat/>
    <w:rsid w:val="001E7DB6"/>
    <w:pPr>
      <w:ind w:left="2500"/>
    </w:pPr>
  </w:style>
  <w:style w:type="character" w:customStyle="1" w:styleId="3N8Char">
    <w:name w:val="3N8 Char"/>
    <w:link w:val="3N8"/>
    <w:locked/>
    <w:rsid w:val="001E7DB6"/>
    <w:rPr>
      <w:rFonts w:eastAsia="Malgun Gothic"/>
      <w:lang w:val="en-GB" w:eastAsia="x-none"/>
    </w:rPr>
  </w:style>
  <w:style w:type="paragraph" w:customStyle="1" w:styleId="3N8">
    <w:name w:val="3N8"/>
    <w:basedOn w:val="3N7"/>
    <w:link w:val="3N8Char"/>
    <w:qFormat/>
    <w:rsid w:val="001E7DB6"/>
    <w:pPr>
      <w:ind w:left="2858"/>
    </w:pPr>
  </w:style>
  <w:style w:type="character" w:customStyle="1" w:styleId="SyntaxChar">
    <w:name w:val="Syntax Char"/>
    <w:link w:val="Syntax"/>
    <w:locked/>
    <w:rsid w:val="001E7DB6"/>
    <w:rPr>
      <w:rFonts w:eastAsia="Malgun Gothic"/>
      <w:lang w:val="en-CA" w:eastAsia="x-none"/>
    </w:rPr>
  </w:style>
  <w:style w:type="paragraph" w:customStyle="1" w:styleId="Syntax">
    <w:name w:val="Syntax"/>
    <w:basedOn w:val="Normal"/>
    <w:link w:val="SyntaxChar"/>
    <w:qFormat/>
    <w:rsid w:val="001E7DB6"/>
    <w:pPr>
      <w:keepNext/>
      <w:keepLines/>
      <w:tabs>
        <w:tab w:val="clear" w:pos="403"/>
        <w:tab w:val="left" w:pos="216"/>
        <w:tab w:val="left" w:pos="432"/>
        <w:tab w:val="left" w:pos="648"/>
        <w:tab w:val="left" w:pos="864"/>
        <w:tab w:val="left" w:pos="1080"/>
        <w:tab w:val="left" w:pos="1296"/>
        <w:tab w:val="left" w:pos="1512"/>
        <w:tab w:val="left" w:pos="1728"/>
        <w:tab w:val="left" w:pos="1944"/>
        <w:tab w:val="left" w:pos="2160"/>
      </w:tabs>
      <w:overflowPunct w:val="0"/>
      <w:autoSpaceDE w:val="0"/>
      <w:autoSpaceDN w:val="0"/>
      <w:adjustRightInd w:val="0"/>
      <w:spacing w:after="60" w:line="240" w:lineRule="auto"/>
      <w:jc w:val="left"/>
    </w:pPr>
    <w:rPr>
      <w:rFonts w:eastAsia="Malgun Gothic"/>
      <w:bCs/>
      <w:sz w:val="20"/>
      <w:szCs w:val="20"/>
    </w:rPr>
  </w:style>
  <w:style w:type="character" w:customStyle="1" w:styleId="3DNoteChar">
    <w:name w:val="3D Note Char"/>
    <w:link w:val="3DNote"/>
    <w:uiPriority w:val="99"/>
    <w:locked/>
    <w:rsid w:val="001E7DB6"/>
    <w:rPr>
      <w:rFonts w:eastAsia="Malgun Gothic"/>
      <w:lang w:val="en-CA" w:eastAsia="x-none"/>
    </w:rPr>
  </w:style>
  <w:style w:type="paragraph" w:customStyle="1" w:styleId="3DNote">
    <w:name w:val="3D Note"/>
    <w:basedOn w:val="3EdNotes"/>
    <w:link w:val="3DNoteChar"/>
    <w:uiPriority w:val="99"/>
    <w:qFormat/>
    <w:rsid w:val="001E7DB6"/>
    <w:pPr>
      <w:numPr>
        <w:numId w:val="0"/>
      </w:numPr>
      <w:tabs>
        <w:tab w:val="num" w:pos="1915"/>
      </w:tabs>
      <w:ind w:left="1915" w:hanging="720"/>
    </w:pPr>
  </w:style>
  <w:style w:type="character" w:customStyle="1" w:styleId="3DEdNoteChar">
    <w:name w:val="3D Ed. Note Char"/>
    <w:basedOn w:val="Note1Char"/>
    <w:link w:val="3DEdNote"/>
    <w:locked/>
    <w:rsid w:val="001E7DB6"/>
    <w:rPr>
      <w:rFonts w:ascii="Times New Roman" w:eastAsia="Malgun Gothic" w:hAnsi="Times New Roman" w:cs="Times New Roman"/>
      <w:sz w:val="18"/>
      <w:szCs w:val="18"/>
      <w:lang w:val="en-GB" w:eastAsia="x-none"/>
    </w:rPr>
  </w:style>
  <w:style w:type="paragraph" w:customStyle="1" w:styleId="3DEdNote">
    <w:name w:val="3D Ed. Note"/>
    <w:basedOn w:val="Note1"/>
    <w:link w:val="3DEdNoteChar"/>
    <w:qFormat/>
    <w:rsid w:val="001E7DB6"/>
    <w:pPr>
      <w:spacing w:after="0"/>
      <w:textAlignment w:val="auto"/>
    </w:pPr>
    <w:rPr>
      <w:rFonts w:ascii="Cambria" w:hAnsi="Cambria"/>
      <w:szCs w:val="20"/>
    </w:rPr>
  </w:style>
  <w:style w:type="character" w:customStyle="1" w:styleId="3AmdHeadChar">
    <w:name w:val="3 Amd Head Char"/>
    <w:link w:val="3AmdHead"/>
    <w:locked/>
    <w:rsid w:val="001E7DB6"/>
    <w:rPr>
      <w:rFonts w:eastAsia="Malgun Gothic"/>
      <w:b/>
      <w:lang w:val="en-CA" w:eastAsia="x-none"/>
    </w:rPr>
  </w:style>
  <w:style w:type="paragraph" w:customStyle="1" w:styleId="3AmdHead">
    <w:name w:val="3 Amd Head"/>
    <w:basedOn w:val="3N0"/>
    <w:link w:val="3AmdHeadChar"/>
    <w:qFormat/>
    <w:rsid w:val="001E7DB6"/>
    <w:rPr>
      <w:b/>
    </w:rPr>
  </w:style>
  <w:style w:type="paragraph" w:customStyle="1" w:styleId="LightGrid-Accent31">
    <w:name w:val="Light Grid - Accent 31"/>
    <w:basedOn w:val="Normal"/>
    <w:uiPriority w:val="34"/>
    <w:qFormat/>
    <w:rsid w:val="001E7DB6"/>
    <w:pPr>
      <w:tabs>
        <w:tab w:val="clear" w:pos="403"/>
        <w:tab w:val="left" w:pos="360"/>
        <w:tab w:val="left" w:pos="720"/>
        <w:tab w:val="left" w:pos="1080"/>
        <w:tab w:val="left" w:pos="1440"/>
      </w:tabs>
      <w:overflowPunct w:val="0"/>
      <w:autoSpaceDE w:val="0"/>
      <w:autoSpaceDN w:val="0"/>
      <w:adjustRightInd w:val="0"/>
      <w:spacing w:before="136" w:after="0" w:line="240" w:lineRule="auto"/>
      <w:ind w:leftChars="400" w:left="840"/>
      <w:jc w:val="left"/>
    </w:pPr>
    <w:rPr>
      <w:rFonts w:ascii="Times New Roman" w:eastAsia="MS Mincho" w:hAnsi="Times New Roman"/>
      <w:szCs w:val="20"/>
    </w:rPr>
  </w:style>
  <w:style w:type="paragraph" w:customStyle="1" w:styleId="GridTable31">
    <w:name w:val="Grid Table 31"/>
    <w:basedOn w:val="Heading1"/>
    <w:next w:val="Normal"/>
    <w:uiPriority w:val="39"/>
    <w:qFormat/>
    <w:rsid w:val="001E7DB6"/>
    <w:pPr>
      <w:keepLines/>
      <w:numPr>
        <w:numId w:val="0"/>
      </w:numPr>
      <w:suppressAutoHyphens w:val="0"/>
      <w:spacing w:before="480" w:after="0" w:line="276" w:lineRule="auto"/>
      <w:outlineLvl w:val="9"/>
    </w:pPr>
    <w:rPr>
      <w:rFonts w:eastAsia="SimSun"/>
      <w:bCs/>
      <w:color w:val="365F91"/>
      <w:sz w:val="28"/>
      <w:szCs w:val="28"/>
    </w:rPr>
  </w:style>
  <w:style w:type="paragraph" w:customStyle="1" w:styleId="FigureCaption">
    <w:name w:val="Figure Caption"/>
    <w:basedOn w:val="Normal"/>
    <w:uiPriority w:val="99"/>
    <w:qFormat/>
    <w:rsid w:val="001E7DB6"/>
    <w:pPr>
      <w:tabs>
        <w:tab w:val="clear" w:pos="403"/>
      </w:tabs>
      <w:spacing w:before="100" w:after="100" w:line="276" w:lineRule="auto"/>
      <w:jc w:val="center"/>
    </w:pPr>
    <w:rPr>
      <w:rFonts w:ascii="Calibri" w:eastAsia="Times New Roman" w:hAnsi="Calibri"/>
      <w:b/>
      <w:sz w:val="18"/>
    </w:rPr>
  </w:style>
  <w:style w:type="paragraph" w:customStyle="1" w:styleId="LightList-Accent31">
    <w:name w:val="Light List - Accent 31"/>
    <w:uiPriority w:val="99"/>
    <w:semiHidden/>
    <w:rsid w:val="001E7DB6"/>
    <w:rPr>
      <w:rFonts w:ascii="Times New Roman" w:eastAsia="SimSun" w:hAnsi="Times New Roman"/>
      <w:sz w:val="22"/>
    </w:rPr>
  </w:style>
  <w:style w:type="paragraph" w:customStyle="1" w:styleId="p1">
    <w:name w:val="p1"/>
    <w:basedOn w:val="Normal"/>
    <w:uiPriority w:val="99"/>
    <w:rsid w:val="001E7DB6"/>
    <w:pPr>
      <w:tabs>
        <w:tab w:val="clear" w:pos="403"/>
      </w:tabs>
      <w:spacing w:after="0" w:line="240" w:lineRule="auto"/>
      <w:jc w:val="left"/>
    </w:pPr>
    <w:rPr>
      <w:rFonts w:ascii="Menlo" w:eastAsia="MS Mincho" w:hAnsi="Menlo" w:cs="Menlo"/>
      <w:color w:val="000000"/>
      <w:sz w:val="17"/>
      <w:szCs w:val="17"/>
    </w:rPr>
  </w:style>
  <w:style w:type="paragraph" w:customStyle="1" w:styleId="MediumList2-Accent23">
    <w:name w:val="Medium List 2 - Accent 23"/>
    <w:uiPriority w:val="71"/>
    <w:rsid w:val="001E7DB6"/>
    <w:rPr>
      <w:rFonts w:ascii="Times New Roman" w:eastAsia="SimSun" w:hAnsi="Times New Roman"/>
      <w:sz w:val="22"/>
    </w:rPr>
  </w:style>
  <w:style w:type="paragraph" w:customStyle="1" w:styleId="ColorfulShading-Accent15">
    <w:name w:val="Colorful Shading - Accent 15"/>
    <w:uiPriority w:val="62"/>
    <w:rsid w:val="001E7DB6"/>
    <w:rPr>
      <w:rFonts w:ascii="Times New Roman" w:eastAsia="SimSun" w:hAnsi="Times New Roman"/>
      <w:sz w:val="22"/>
    </w:rPr>
  </w:style>
  <w:style w:type="paragraph" w:customStyle="1" w:styleId="Term">
    <w:name w:val="Term"/>
    <w:basedOn w:val="ColorfulList-Accent11"/>
    <w:autoRedefine/>
    <w:uiPriority w:val="99"/>
    <w:qFormat/>
    <w:rsid w:val="001E7DB6"/>
    <w:pPr>
      <w:numPr>
        <w:numId w:val="169"/>
      </w:numPr>
      <w:tabs>
        <w:tab w:val="clear" w:pos="794"/>
        <w:tab w:val="clear" w:pos="1191"/>
        <w:tab w:val="clear" w:pos="1588"/>
        <w:tab w:val="clear" w:pos="1985"/>
      </w:tabs>
      <w:overflowPunct/>
      <w:autoSpaceDE/>
      <w:autoSpaceDN/>
      <w:adjustRightInd/>
      <w:spacing w:before="0"/>
      <w:contextualSpacing/>
      <w:jc w:val="left"/>
    </w:pPr>
    <w:rPr>
      <w:rFonts w:ascii="Candara" w:eastAsia="Times New Roman" w:hAnsi="Candara"/>
      <w:b/>
      <w:smallCaps/>
      <w:lang w:val="en-US"/>
    </w:rPr>
  </w:style>
  <w:style w:type="character" w:customStyle="1" w:styleId="fieldsZchn">
    <w:name w:val="fields Zchn"/>
    <w:link w:val="fields"/>
    <w:locked/>
    <w:rsid w:val="001E7DB6"/>
    <w:rPr>
      <w:rFonts w:ascii="Times" w:eastAsia="BatangChe" w:hAnsi="Times"/>
      <w:sz w:val="24"/>
    </w:rPr>
  </w:style>
  <w:style w:type="paragraph" w:customStyle="1" w:styleId="fields">
    <w:name w:val="fields"/>
    <w:basedOn w:val="Normal"/>
    <w:link w:val="fieldsZchn"/>
    <w:rsid w:val="001E7DB6"/>
    <w:pPr>
      <w:tabs>
        <w:tab w:val="clear" w:pos="403"/>
        <w:tab w:val="left" w:pos="8010"/>
      </w:tabs>
      <w:spacing w:after="160" w:line="240" w:lineRule="auto"/>
      <w:ind w:left="720" w:hanging="360"/>
    </w:pPr>
    <w:rPr>
      <w:rFonts w:ascii="Times" w:eastAsia="BatangChe" w:hAnsi="Times"/>
      <w:sz w:val="24"/>
      <w:szCs w:val="20"/>
      <w:lang w:val="en-US"/>
    </w:rPr>
  </w:style>
  <w:style w:type="paragraph" w:customStyle="1" w:styleId="n">
    <w:name w:val="n"/>
    <w:basedOn w:val="Normalaftertitle0"/>
    <w:uiPriority w:val="99"/>
    <w:rsid w:val="001E7DB6"/>
  </w:style>
  <w:style w:type="character" w:styleId="FootnoteReference">
    <w:name w:val="footnote reference"/>
    <w:basedOn w:val="DefaultParagraphFont"/>
    <w:uiPriority w:val="99"/>
    <w:semiHidden/>
    <w:unhideWhenUsed/>
    <w:rsid w:val="001E7DB6"/>
    <w:rPr>
      <w:position w:val="6"/>
      <w:sz w:val="16"/>
    </w:rPr>
  </w:style>
  <w:style w:type="character" w:styleId="SubtleReference">
    <w:name w:val="Subtle Reference"/>
    <w:basedOn w:val="DefaultParagraphFont"/>
    <w:uiPriority w:val="31"/>
    <w:qFormat/>
    <w:rsid w:val="001E7DB6"/>
    <w:rPr>
      <w:rFonts w:cs="Times New Roman"/>
      <w:smallCaps/>
      <w:color w:val="C0504D"/>
      <w:u w:val="single"/>
    </w:rPr>
  </w:style>
  <w:style w:type="character" w:customStyle="1" w:styleId="CommentTextChar2">
    <w:name w:val="Comment Text Char2"/>
    <w:basedOn w:val="DefaultParagraphFont"/>
    <w:uiPriority w:val="99"/>
    <w:semiHidden/>
    <w:locked/>
    <w:rsid w:val="001E7DB6"/>
    <w:rPr>
      <w:rFonts w:eastAsia="SimSun" w:cs="Times New Roman"/>
      <w:lang w:val="en-GB" w:eastAsia="en-US"/>
    </w:rPr>
  </w:style>
  <w:style w:type="character" w:customStyle="1" w:styleId="Appdef">
    <w:name w:val="App_def"/>
    <w:basedOn w:val="DefaultParagraphFont"/>
    <w:uiPriority w:val="99"/>
    <w:rsid w:val="001E7DB6"/>
    <w:rPr>
      <w:rFonts w:ascii="Times New Roman" w:hAnsi="Times New Roman" w:cs="Times New Roman"/>
      <w:b/>
    </w:rPr>
  </w:style>
  <w:style w:type="character" w:customStyle="1" w:styleId="Appref">
    <w:name w:val="App_ref"/>
    <w:basedOn w:val="DefaultParagraphFont"/>
    <w:uiPriority w:val="99"/>
    <w:rsid w:val="001E7DB6"/>
    <w:rPr>
      <w:rFonts w:cs="Times New Roman"/>
    </w:rPr>
  </w:style>
  <w:style w:type="character" w:customStyle="1" w:styleId="Artdef">
    <w:name w:val="Art_def"/>
    <w:basedOn w:val="DefaultParagraphFont"/>
    <w:uiPriority w:val="99"/>
    <w:rsid w:val="001E7DB6"/>
    <w:rPr>
      <w:rFonts w:ascii="Times New Roman" w:hAnsi="Times New Roman" w:cs="Times New Roman"/>
      <w:b/>
    </w:rPr>
  </w:style>
  <w:style w:type="character" w:customStyle="1" w:styleId="Artref">
    <w:name w:val="Art_ref"/>
    <w:basedOn w:val="DefaultParagraphFont"/>
    <w:uiPriority w:val="99"/>
    <w:rsid w:val="001E7DB6"/>
    <w:rPr>
      <w:rFonts w:cs="Times New Roman"/>
    </w:rPr>
  </w:style>
  <w:style w:type="character" w:customStyle="1" w:styleId="Resdef">
    <w:name w:val="Res_def"/>
    <w:basedOn w:val="DefaultParagraphFont"/>
    <w:uiPriority w:val="99"/>
    <w:rsid w:val="001E7DB6"/>
    <w:rPr>
      <w:rFonts w:ascii="Times New Roman" w:hAnsi="Times New Roman" w:cs="Times New Roman"/>
      <w:b/>
    </w:rPr>
  </w:style>
  <w:style w:type="character" w:customStyle="1" w:styleId="Tablefreq">
    <w:name w:val="Table_freq"/>
    <w:basedOn w:val="DefaultParagraphFont"/>
    <w:uiPriority w:val="99"/>
    <w:rsid w:val="001E7DB6"/>
    <w:rPr>
      <w:rFonts w:cs="Times New Roman"/>
      <w:b/>
      <w:color w:val="auto"/>
    </w:rPr>
  </w:style>
  <w:style w:type="character" w:customStyle="1" w:styleId="ASN1boldchar">
    <w:name w:val="ASN.1 bold char"/>
    <w:basedOn w:val="DefaultParagraphFont"/>
    <w:rsid w:val="001E7DB6"/>
    <w:rPr>
      <w:rFonts w:ascii="Courier New" w:hAnsi="Courier New" w:cs="Courier New"/>
      <w:b/>
      <w:sz w:val="18"/>
    </w:rPr>
  </w:style>
  <w:style w:type="character" w:customStyle="1" w:styleId="Head0">
    <w:name w:val="Head"/>
    <w:basedOn w:val="DefaultParagraphFont"/>
    <w:uiPriority w:val="99"/>
    <w:rsid w:val="001E7DB6"/>
    <w:rPr>
      <w:rFonts w:cs="Times New Roman"/>
      <w:b/>
    </w:rPr>
  </w:style>
  <w:style w:type="character" w:customStyle="1" w:styleId="href">
    <w:name w:val="href"/>
    <w:basedOn w:val="DefaultParagraphFont"/>
    <w:uiPriority w:val="99"/>
    <w:rsid w:val="001E7DB6"/>
    <w:rPr>
      <w:rFonts w:cs="Times New Roman"/>
      <w:lang w:val="fr-FR" w:eastAsia="x-none"/>
    </w:rPr>
  </w:style>
  <w:style w:type="character" w:customStyle="1" w:styleId="ASN1ItalicChar">
    <w:name w:val="ASN.1 Italic Char"/>
    <w:basedOn w:val="DefaultParagraphFont"/>
    <w:rsid w:val="001E7DB6"/>
    <w:rPr>
      <w:rFonts w:ascii="Courier New" w:hAnsi="Courier New" w:cs="Courier New"/>
      <w:i/>
      <w:sz w:val="18"/>
    </w:rPr>
  </w:style>
  <w:style w:type="character" w:customStyle="1" w:styleId="Heading4CharChar1">
    <w:name w:val="Heading 4 Char Char1"/>
    <w:aliases w:val="Heading 4 Char1 Char Char,Heading 4 Char Char Char Char"/>
    <w:uiPriority w:val="99"/>
    <w:rsid w:val="001E7DB6"/>
    <w:rPr>
      <w:rFonts w:ascii="Times New Roman" w:hAnsi="Times New Roman"/>
      <w:b/>
      <w:lang w:val="en-GB" w:eastAsia="en-US"/>
    </w:rPr>
  </w:style>
  <w:style w:type="character" w:customStyle="1" w:styleId="BlancCharCharChar">
    <w:name w:val="Blanc Char Char Char"/>
    <w:uiPriority w:val="99"/>
    <w:rsid w:val="001E7DB6"/>
    <w:rPr>
      <w:b/>
      <w:sz w:val="8"/>
      <w:lang w:val="en-US" w:eastAsia="en-US"/>
    </w:rPr>
  </w:style>
  <w:style w:type="character" w:customStyle="1" w:styleId="NoteChar">
    <w:name w:val="Note Char"/>
    <w:rsid w:val="001E7DB6"/>
    <w:rPr>
      <w:sz w:val="18"/>
      <w:lang w:val="en-GB" w:eastAsia="en-US"/>
    </w:rPr>
  </w:style>
  <w:style w:type="character" w:customStyle="1" w:styleId="FigureChar">
    <w:name w:val="Figure_# Char"/>
    <w:uiPriority w:val="99"/>
    <w:rsid w:val="001E7DB6"/>
    <w:rPr>
      <w:rFonts w:ascii="Times New Roman" w:hAnsi="Times New Roman"/>
      <w:lang w:val="en-US" w:eastAsia="en-US"/>
    </w:rPr>
  </w:style>
  <w:style w:type="character" w:customStyle="1" w:styleId="CourierTextChar">
    <w:name w:val="Courier Text Char"/>
    <w:uiPriority w:val="99"/>
    <w:rsid w:val="001E7DB6"/>
    <w:rPr>
      <w:rFonts w:ascii="Courier" w:hAnsi="Courier"/>
      <w:sz w:val="22"/>
      <w:lang w:val="en-GB" w:eastAsia="en-US"/>
    </w:rPr>
  </w:style>
  <w:style w:type="character" w:customStyle="1" w:styleId="TableTitleCharCharChar1">
    <w:name w:val="Table_Title Char Char Char1"/>
    <w:uiPriority w:val="99"/>
    <w:rsid w:val="001E7DB6"/>
    <w:rPr>
      <w:b/>
      <w:lang w:val="en-GB" w:eastAsia="en-US"/>
    </w:rPr>
  </w:style>
  <w:style w:type="character" w:customStyle="1" w:styleId="TableTitleCharCharChar">
    <w:name w:val="Table_Title Char Char Char"/>
    <w:uiPriority w:val="99"/>
    <w:rsid w:val="001E7DB6"/>
    <w:rPr>
      <w:b/>
      <w:lang w:val="en-GB" w:eastAsia="en-US"/>
    </w:rPr>
  </w:style>
  <w:style w:type="character" w:customStyle="1" w:styleId="Annex1Char">
    <w:name w:val="Annex 1 Char"/>
    <w:uiPriority w:val="99"/>
    <w:rsid w:val="001E7DB6"/>
    <w:rPr>
      <w:b/>
      <w:sz w:val="24"/>
      <w:lang w:val="en-GB" w:eastAsia="en-US"/>
    </w:rPr>
  </w:style>
  <w:style w:type="character" w:customStyle="1" w:styleId="Annex3Char">
    <w:name w:val="Annex 3 Char"/>
    <w:uiPriority w:val="99"/>
    <w:rsid w:val="001E7DB6"/>
    <w:rPr>
      <w:b/>
      <w:lang w:val="en-GB" w:eastAsia="en-US"/>
    </w:rPr>
  </w:style>
  <w:style w:type="character" w:customStyle="1" w:styleId="NoteChar1">
    <w:name w:val="Note Char1"/>
    <w:uiPriority w:val="99"/>
    <w:rsid w:val="001E7DB6"/>
    <w:rPr>
      <w:rFonts w:ascii="Batang" w:eastAsia="Batang" w:hAnsi="Batang"/>
      <w:sz w:val="18"/>
      <w:lang w:val="en-GB" w:eastAsia="en-US"/>
    </w:rPr>
  </w:style>
  <w:style w:type="paragraph" w:customStyle="1" w:styleId="SVCBulletslevel3CharChar">
    <w:name w:val="SVC Bullets level 3 Char Char"/>
    <w:basedOn w:val="SVCBulletslevel3"/>
    <w:link w:val="SVCBulletslevel3CharCharChar"/>
    <w:rsid w:val="001E7DB6"/>
    <w:rPr>
      <w:rFonts w:ascii="Times" w:hAnsi="Times"/>
      <w:lang w:eastAsia="zh-CN"/>
    </w:rPr>
  </w:style>
  <w:style w:type="character" w:customStyle="1" w:styleId="SVCBulletslevel3CharCharChar">
    <w:name w:val="SVC Bullets level 3 Char Char Char"/>
    <w:link w:val="SVCBulletslevel3CharChar"/>
    <w:locked/>
    <w:rsid w:val="001E7DB6"/>
    <w:rPr>
      <w:rFonts w:ascii="Times" w:eastAsia="Malgun Gothic" w:hAnsi="Times"/>
      <w:lang w:val="en-GB" w:eastAsia="zh-CN"/>
    </w:rPr>
  </w:style>
  <w:style w:type="paragraph" w:customStyle="1" w:styleId="SVCBulletslevel4Char">
    <w:name w:val="SVC Bullets level 4 Char"/>
    <w:basedOn w:val="SVCBulletslevel3CharChar"/>
    <w:link w:val="SVCBulletslevel4CharChar"/>
    <w:rsid w:val="001E7DB6"/>
    <w:pPr>
      <w:tabs>
        <w:tab w:val="clear" w:pos="-31680"/>
        <w:tab w:val="num" w:pos="2880"/>
      </w:tabs>
      <w:ind w:left="2880" w:hanging="360"/>
    </w:pPr>
  </w:style>
  <w:style w:type="character" w:customStyle="1" w:styleId="SVCBulletslevel4CharChar">
    <w:name w:val="SVC Bullets level 4 Char Char"/>
    <w:basedOn w:val="SVCBulletslevel3CharCharChar"/>
    <w:link w:val="SVCBulletslevel4Char"/>
    <w:locked/>
    <w:rsid w:val="001E7DB6"/>
    <w:rPr>
      <w:rFonts w:ascii="Times" w:eastAsia="Malgun Gothic" w:hAnsi="Times" w:cs="Times New Roman"/>
      <w:lang w:val="en-GB" w:eastAsia="zh-CN"/>
    </w:rPr>
  </w:style>
  <w:style w:type="character" w:customStyle="1" w:styleId="FigureChar2">
    <w:name w:val="Figure_# Char2"/>
    <w:uiPriority w:val="99"/>
    <w:rsid w:val="001E7DB6"/>
    <w:rPr>
      <w:rFonts w:ascii="Times New Roman" w:hAnsi="Times New Roman"/>
      <w:lang w:val="en-US" w:eastAsia="en-US"/>
    </w:rPr>
  </w:style>
  <w:style w:type="character" w:customStyle="1" w:styleId="AVCEquationlevel1Char1">
    <w:name w:val="AVC Equation level 1 Char1"/>
    <w:uiPriority w:val="99"/>
    <w:rsid w:val="001E7DB6"/>
    <w:rPr>
      <w:sz w:val="22"/>
      <w:lang w:val="en-GB" w:eastAsia="en-US"/>
    </w:rPr>
  </w:style>
  <w:style w:type="character" w:customStyle="1" w:styleId="AVCNumberinglevel2Char">
    <w:name w:val="AVC Numbering level 2 Char"/>
    <w:uiPriority w:val="99"/>
    <w:rsid w:val="001E7DB6"/>
  </w:style>
  <w:style w:type="character" w:customStyle="1" w:styleId="EquationChar1">
    <w:name w:val="Equation Char1"/>
    <w:uiPriority w:val="99"/>
    <w:rsid w:val="001E7DB6"/>
    <w:rPr>
      <w:sz w:val="22"/>
      <w:lang w:val="en-GB" w:eastAsia="en-US"/>
    </w:rPr>
  </w:style>
  <w:style w:type="character" w:customStyle="1" w:styleId="AVCEquationlevel1Char2">
    <w:name w:val="AVC Equation level 1 Char2"/>
    <w:basedOn w:val="EquationChar1"/>
    <w:uiPriority w:val="99"/>
    <w:locked/>
    <w:rsid w:val="001E7DB6"/>
    <w:rPr>
      <w:rFonts w:ascii="Times New Roman" w:hAnsi="Times New Roman" w:cs="Times New Roman"/>
      <w:sz w:val="22"/>
      <w:szCs w:val="22"/>
      <w:lang w:val="en-GB" w:eastAsia="en-US" w:bidi="ar-SA"/>
    </w:rPr>
  </w:style>
  <w:style w:type="character" w:customStyle="1" w:styleId="AVCEquationlevel2Char">
    <w:name w:val="AVC Equation level 2 Char"/>
    <w:uiPriority w:val="99"/>
    <w:rsid w:val="001E7DB6"/>
    <w:rPr>
      <w:sz w:val="22"/>
      <w:lang w:val="en-GB" w:eastAsia="en-US"/>
    </w:rPr>
  </w:style>
  <w:style w:type="character" w:customStyle="1" w:styleId="CommentTextChar1">
    <w:name w:val="Comment Text Char1"/>
    <w:basedOn w:val="DefaultParagraphFont"/>
    <w:uiPriority w:val="99"/>
    <w:rsid w:val="001E7DB6"/>
    <w:rPr>
      <w:rFonts w:ascii="Times New Roman" w:hAnsi="Times New Roman" w:cs="Times New Roman"/>
      <w:lang w:val="en-GB" w:eastAsia="en-US"/>
    </w:rPr>
  </w:style>
  <w:style w:type="character" w:customStyle="1" w:styleId="FigureChar1">
    <w:name w:val="Figure_# Char1"/>
    <w:uiPriority w:val="99"/>
    <w:rsid w:val="001E7DB6"/>
    <w:rPr>
      <w:rFonts w:ascii="Times New Roman" w:hAnsi="Times New Roman"/>
      <w:lang w:val="en-US" w:eastAsia="en-US"/>
    </w:rPr>
  </w:style>
  <w:style w:type="character" w:customStyle="1" w:styleId="SVCBulletslevel2CharCharCharCharChar">
    <w:name w:val="SVC Bullets level 2 Char Char Char Char Char"/>
    <w:basedOn w:val="SVCBulletslevel1CharCharCharChar"/>
    <w:uiPriority w:val="99"/>
    <w:rsid w:val="001E7DB6"/>
    <w:rPr>
      <w:rFonts w:eastAsia="Malgun Gothic" w:cs="Times New Roman"/>
      <w:lang w:val="en-GB" w:eastAsia="x-none"/>
    </w:rPr>
  </w:style>
  <w:style w:type="character" w:customStyle="1" w:styleId="AVCBulletlevel1CharCharCharChar">
    <w:name w:val="AVC Bullet level 1 Char Char Char Char"/>
    <w:uiPriority w:val="99"/>
    <w:rsid w:val="001E7DB6"/>
    <w:rPr>
      <w:lang w:val="en-GB" w:eastAsia="en-US"/>
    </w:rPr>
  </w:style>
  <w:style w:type="paragraph" w:customStyle="1" w:styleId="AVCBulletlevel2CharChar">
    <w:name w:val="AVC Bullet level 2 Char Char"/>
    <w:basedOn w:val="AVCBulletlevel1CharChar"/>
    <w:link w:val="AVCBulletlevel2CharCharChar"/>
    <w:rsid w:val="001E7DB6"/>
    <w:pPr>
      <w:tabs>
        <w:tab w:val="clear" w:pos="397"/>
        <w:tab w:val="clear" w:pos="792"/>
        <w:tab w:val="num" w:pos="794"/>
      </w:tabs>
      <w:ind w:left="794" w:hanging="391"/>
    </w:pPr>
  </w:style>
  <w:style w:type="character" w:customStyle="1" w:styleId="AVCBulletlevel2CharCharChar">
    <w:name w:val="AVC Bullet level 2 Char Char Char"/>
    <w:link w:val="AVCBulletlevel2CharChar"/>
    <w:locked/>
    <w:rsid w:val="001E7DB6"/>
    <w:rPr>
      <w:rFonts w:ascii="Times" w:eastAsia="Malgun Gothic" w:hAnsi="Times"/>
      <w:lang w:val="en-GB" w:eastAsia="x-none"/>
    </w:rPr>
  </w:style>
  <w:style w:type="character" w:customStyle="1" w:styleId="TableTitleChar1">
    <w:name w:val="Table_Title Char1"/>
    <w:uiPriority w:val="99"/>
    <w:rsid w:val="001E7DB6"/>
    <w:rPr>
      <w:b/>
      <w:lang w:val="en-GB" w:eastAsia="en-US"/>
    </w:rPr>
  </w:style>
  <w:style w:type="character" w:customStyle="1" w:styleId="Annex4CharChar">
    <w:name w:val="Annex 4 Char Char"/>
    <w:uiPriority w:val="99"/>
    <w:rsid w:val="001E7DB6"/>
    <w:rPr>
      <w:rFonts w:ascii="Arial" w:eastAsia="SimSun" w:hAnsi="Arial"/>
      <w:b/>
      <w:color w:val="0000FF"/>
      <w:kern w:val="2"/>
      <w:lang w:val="en-US" w:eastAsia="en-US"/>
    </w:rPr>
  </w:style>
  <w:style w:type="character" w:customStyle="1" w:styleId="Annex3Char1">
    <w:name w:val="Annex 3 Char1"/>
    <w:uiPriority w:val="99"/>
    <w:rsid w:val="001E7DB6"/>
    <w:rPr>
      <w:rFonts w:ascii="Arial" w:eastAsia="SimSun" w:hAnsi="Arial"/>
      <w:b/>
      <w:color w:val="0000FF"/>
      <w:kern w:val="2"/>
      <w:lang w:val="en-GB" w:eastAsia="en-US"/>
    </w:rPr>
  </w:style>
  <w:style w:type="character" w:customStyle="1" w:styleId="hps">
    <w:name w:val="hps"/>
    <w:rsid w:val="001E7DB6"/>
  </w:style>
  <w:style w:type="paragraph" w:customStyle="1" w:styleId="3L1">
    <w:name w:val="3L1"/>
    <w:basedOn w:val="3H1"/>
    <w:link w:val="3L1Char"/>
    <w:qFormat/>
    <w:rsid w:val="001E7DB6"/>
    <w:pPr>
      <w:keepLines w:val="0"/>
      <w:widowControl w:val="0"/>
      <w:outlineLvl w:val="9"/>
    </w:pPr>
    <w:rPr>
      <w:bCs/>
    </w:rPr>
  </w:style>
  <w:style w:type="character" w:customStyle="1" w:styleId="3L1Char">
    <w:name w:val="3L1 Char"/>
    <w:link w:val="3L1"/>
    <w:locked/>
    <w:rsid w:val="001E7DB6"/>
    <w:rPr>
      <w:rFonts w:eastAsia="Malgun Gothic"/>
      <w:b/>
      <w:lang w:val="en-GB" w:eastAsia="x-none"/>
    </w:rPr>
  </w:style>
  <w:style w:type="character" w:customStyle="1" w:styleId="3DVCAnnexLevel0Char">
    <w:name w:val="3DVC Annex Level 0 Char"/>
    <w:rsid w:val="001E7DB6"/>
    <w:rPr>
      <w:rFonts w:ascii="Times New Roman" w:hAnsi="Times New Roman"/>
      <w:b/>
      <w:sz w:val="22"/>
      <w:lang w:val="en-GB" w:eastAsia="en-US"/>
    </w:rPr>
  </w:style>
  <w:style w:type="paragraph" w:customStyle="1" w:styleId="3L1Note">
    <w:name w:val="3L1Note"/>
    <w:basedOn w:val="3L1"/>
    <w:link w:val="3L1NoteChar"/>
    <w:qFormat/>
    <w:rsid w:val="001E7DB6"/>
    <w:pPr>
      <w:numPr>
        <w:ilvl w:val="0"/>
        <w:numId w:val="0"/>
      </w:numPr>
      <w:ind w:left="794"/>
    </w:pPr>
  </w:style>
  <w:style w:type="character" w:customStyle="1" w:styleId="3L1NoteChar">
    <w:name w:val="3L1Note Char"/>
    <w:link w:val="3L1Note"/>
    <w:locked/>
    <w:rsid w:val="001E7DB6"/>
    <w:rPr>
      <w:rFonts w:eastAsia="Malgun Gothic"/>
      <w:b/>
      <w:lang w:val="en-GB" w:eastAsia="x-none"/>
    </w:rPr>
  </w:style>
  <w:style w:type="character" w:customStyle="1" w:styleId="3DVCLevel1Char">
    <w:name w:val="3DVC Level 1 Char"/>
    <w:rsid w:val="001E7DB6"/>
    <w:rPr>
      <w:rFonts w:ascii="Times New Roman" w:hAnsi="Times New Roman"/>
      <w:b/>
      <w:lang w:val="en-GB" w:eastAsia="en-US"/>
    </w:rPr>
  </w:style>
  <w:style w:type="character" w:customStyle="1" w:styleId="3DVCLevel2Char">
    <w:name w:val="3DVC Level 2 Char"/>
    <w:rsid w:val="001E7DB6"/>
    <w:rPr>
      <w:rFonts w:ascii="Times New Roman" w:hAnsi="Times New Roman"/>
      <w:b/>
      <w:lang w:val="en-GB" w:eastAsia="x-none"/>
    </w:rPr>
  </w:style>
  <w:style w:type="character" w:customStyle="1" w:styleId="3DVCLevel3Char">
    <w:name w:val="3DVC Level 3 Char"/>
    <w:rsid w:val="001E7DB6"/>
    <w:rPr>
      <w:rFonts w:ascii="Times New Roman" w:hAnsi="Times New Roman"/>
      <w:b/>
      <w:lang w:val="en-GB" w:eastAsia="x-none"/>
    </w:rPr>
  </w:style>
  <w:style w:type="character" w:customStyle="1" w:styleId="3DVCLevel4Char">
    <w:name w:val="3DVC Level 4 Char"/>
    <w:rsid w:val="001E7DB6"/>
    <w:rPr>
      <w:rFonts w:ascii="Times New Roman" w:hAnsi="Times New Roman"/>
      <w:b/>
      <w:lang w:val="en-GB" w:eastAsia="x-none"/>
    </w:rPr>
  </w:style>
  <w:style w:type="character" w:customStyle="1" w:styleId="summary">
    <w:name w:val="summary"/>
    <w:rsid w:val="001E7DB6"/>
  </w:style>
  <w:style w:type="character" w:customStyle="1" w:styleId="Note1CharCharCharCharCharCharChar">
    <w:name w:val="Note 1 Char Char Char Char Char Char Char"/>
    <w:uiPriority w:val="99"/>
    <w:rsid w:val="001E7DB6"/>
    <w:rPr>
      <w:rFonts w:ascii="Times New Roman" w:hAnsi="Times New Roman"/>
      <w:sz w:val="18"/>
      <w:lang w:val="en-GB" w:eastAsia="en-US"/>
    </w:rPr>
  </w:style>
  <w:style w:type="character" w:customStyle="1" w:styleId="Note1CharCharCharCharCharCharChar1">
    <w:name w:val="Note 1 Char Char Char Char Char Char Char1"/>
    <w:uiPriority w:val="99"/>
    <w:rsid w:val="001E7DB6"/>
    <w:rPr>
      <w:rFonts w:ascii="Batang" w:eastAsia="Batang" w:hAnsi="Batang"/>
      <w:sz w:val="18"/>
      <w:lang w:val="en-GB" w:eastAsia="en-US"/>
    </w:rPr>
  </w:style>
  <w:style w:type="character" w:customStyle="1" w:styleId="Note3Char">
    <w:name w:val="Note 3 Char"/>
    <w:uiPriority w:val="99"/>
    <w:rsid w:val="001E7DB6"/>
    <w:rPr>
      <w:rFonts w:ascii="Batang" w:eastAsia="Batang" w:hAnsi="Batang"/>
      <w:sz w:val="18"/>
      <w:lang w:val="en-GB" w:eastAsia="en-US"/>
    </w:rPr>
  </w:style>
  <w:style w:type="character" w:customStyle="1" w:styleId="PlainTable51">
    <w:name w:val="Plain Table 51"/>
    <w:uiPriority w:val="31"/>
    <w:qFormat/>
    <w:rsid w:val="001E7DB6"/>
    <w:rPr>
      <w:smallCaps/>
      <w:color w:val="C0504D"/>
      <w:u w:val="single"/>
    </w:rPr>
  </w:style>
  <w:style w:type="character" w:customStyle="1" w:styleId="Heading1Char2">
    <w:name w:val="Heading 1 Char2"/>
    <w:uiPriority w:val="99"/>
    <w:rsid w:val="001E7DB6"/>
    <w:rPr>
      <w:rFonts w:ascii="Cambria" w:eastAsia="SimSun" w:hAnsi="Cambria"/>
      <w:b/>
      <w:kern w:val="32"/>
      <w:sz w:val="32"/>
      <w:lang w:val="en-GB" w:eastAsia="en-US"/>
    </w:rPr>
  </w:style>
  <w:style w:type="character" w:customStyle="1" w:styleId="LightGrid-Accent11">
    <w:name w:val="Light Grid - Accent 11"/>
    <w:uiPriority w:val="99"/>
    <w:rsid w:val="001E7DB6"/>
    <w:rPr>
      <w:color w:val="808080"/>
    </w:rPr>
  </w:style>
  <w:style w:type="character" w:customStyle="1" w:styleId="s1">
    <w:name w:val="s1"/>
    <w:rsid w:val="001E7DB6"/>
  </w:style>
  <w:style w:type="table" w:customStyle="1" w:styleId="TableGrid1">
    <w:name w:val="Table Grid1"/>
    <w:basedOn w:val="TableNormal"/>
    <w:uiPriority w:val="99"/>
    <w:rsid w:val="001E7DB6"/>
    <w:pPr>
      <w:tabs>
        <w:tab w:val="left" w:pos="794"/>
        <w:tab w:val="left" w:pos="1191"/>
        <w:tab w:val="left" w:pos="1588"/>
        <w:tab w:val="left" w:pos="1985"/>
      </w:tabs>
      <w:overflowPunct w:val="0"/>
      <w:autoSpaceDE w:val="0"/>
      <w:autoSpaceDN w:val="0"/>
      <w:adjustRightInd w:val="0"/>
      <w:spacing w:before="136"/>
      <w:jc w:val="both"/>
    </w:pPr>
    <w:rPr>
      <w:rFonts w:ascii="Times New Roman" w:eastAsia="Malgun Gothic" w:hAnsi="Times New Roman"/>
      <w:lang w:eastAsia="zh-C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uiPriority w:val="39"/>
    <w:rsid w:val="001E7DB6"/>
    <w:pPr>
      <w:tabs>
        <w:tab w:val="left" w:pos="794"/>
        <w:tab w:val="left" w:pos="1191"/>
        <w:tab w:val="left" w:pos="1588"/>
        <w:tab w:val="left" w:pos="1985"/>
      </w:tabs>
      <w:overflowPunct w:val="0"/>
      <w:autoSpaceDE w:val="0"/>
      <w:autoSpaceDN w:val="0"/>
      <w:adjustRightInd w:val="0"/>
      <w:spacing w:before="136"/>
      <w:jc w:val="both"/>
    </w:pPr>
    <w:rPr>
      <w:rFonts w:ascii="Times New Roman" w:eastAsia="Malgun Gothic" w:hAnsi="Times New Roman"/>
      <w:lang w:eastAsia="zh-C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
    <w:name w:val="Table Grid11"/>
    <w:basedOn w:val="TableNormal"/>
    <w:uiPriority w:val="99"/>
    <w:rsid w:val="001E7DB6"/>
    <w:pPr>
      <w:tabs>
        <w:tab w:val="left" w:pos="794"/>
        <w:tab w:val="left" w:pos="1191"/>
        <w:tab w:val="left" w:pos="1588"/>
        <w:tab w:val="left" w:pos="1985"/>
      </w:tabs>
      <w:overflowPunct w:val="0"/>
      <w:autoSpaceDE w:val="0"/>
      <w:autoSpaceDN w:val="0"/>
      <w:adjustRightInd w:val="0"/>
      <w:spacing w:before="136"/>
      <w:jc w:val="both"/>
    </w:pPr>
    <w:rPr>
      <w:rFonts w:ascii="Times New Roman" w:eastAsia="Malgun Gothic" w:hAnsi="Times New Roman"/>
      <w:lang w:eastAsia="zh-C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rsid w:val="001E7DB6"/>
    <w:rPr>
      <w:rFonts w:ascii="Times New Roman" w:eastAsia="SimSun" w:hAnsi="Times New Roman"/>
      <w:lang w:eastAsia="zh-C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rsid w:val="001E7DB6"/>
    <w:rPr>
      <w:rFonts w:ascii="CG Times" w:eastAsia="SimSun" w:hAnsi="CG Times"/>
      <w:lang w:eastAsia="zh-C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uiPriority w:val="39"/>
    <w:rsid w:val="001E7DB6"/>
    <w:rPr>
      <w:rFonts w:eastAsia="MS Mincho"/>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igurelegend0">
    <w:name w:val="Figure_legend"/>
    <w:basedOn w:val="Tablelegend0"/>
    <w:next w:val="Normal"/>
    <w:uiPriority w:val="99"/>
    <w:rsid w:val="001E7DB6"/>
  </w:style>
  <w:style w:type="paragraph" w:customStyle="1" w:styleId="SVCBulletslevel5">
    <w:name w:val="SVC Bullets level 5"/>
    <w:basedOn w:val="SVCBulletslevel4Char"/>
    <w:uiPriority w:val="99"/>
    <w:rsid w:val="001E7DB6"/>
    <w:pPr>
      <w:tabs>
        <w:tab w:val="clear" w:pos="2880"/>
        <w:tab w:val="num" w:pos="3600"/>
      </w:tabs>
      <w:ind w:left="3600"/>
    </w:pPr>
  </w:style>
  <w:style w:type="paragraph" w:customStyle="1" w:styleId="SVCBulletslevel6">
    <w:name w:val="SVC Bullets level 6"/>
    <w:basedOn w:val="SVCBulletslevel5"/>
    <w:uiPriority w:val="99"/>
    <w:rsid w:val="001E7DB6"/>
    <w:pPr>
      <w:tabs>
        <w:tab w:val="clear" w:pos="3600"/>
        <w:tab w:val="left" w:pos="2381"/>
        <w:tab w:val="num" w:pos="4320"/>
      </w:tabs>
      <w:ind w:left="4320" w:hanging="391"/>
    </w:pPr>
  </w:style>
  <w:style w:type="paragraph" w:customStyle="1" w:styleId="SVCBulletslevel7">
    <w:name w:val="SVC Bullets level 7"/>
    <w:basedOn w:val="SVCBulletslevel6"/>
    <w:uiPriority w:val="99"/>
    <w:rsid w:val="001E7DB6"/>
    <w:pPr>
      <w:ind w:left="2772"/>
    </w:pPr>
  </w:style>
  <w:style w:type="paragraph" w:customStyle="1" w:styleId="SVCBulletslevel8">
    <w:name w:val="SVC Bullets level 8"/>
    <w:basedOn w:val="SVCBulletslevel7"/>
    <w:uiPriority w:val="99"/>
    <w:rsid w:val="001E7DB6"/>
    <w:pPr>
      <w:ind w:left="3168"/>
    </w:pPr>
  </w:style>
  <w:style w:type="paragraph" w:customStyle="1" w:styleId="AVCIndentlevel2">
    <w:name w:val="AVC Indent level 2"/>
    <w:basedOn w:val="AVCIndentlevel1"/>
    <w:uiPriority w:val="99"/>
    <w:rsid w:val="001E7DB6"/>
    <w:pPr>
      <w:ind w:left="794"/>
    </w:pPr>
  </w:style>
  <w:style w:type="paragraph" w:customStyle="1" w:styleId="Style1">
    <w:name w:val="Style1"/>
    <w:basedOn w:val="AVCBulletlevel1CharChar"/>
    <w:uiPriority w:val="99"/>
    <w:rsid w:val="001E7DB6"/>
    <w:pPr>
      <w:ind w:left="2304" w:hanging="403"/>
    </w:pPr>
  </w:style>
  <w:style w:type="paragraph" w:customStyle="1" w:styleId="AVCBulletlevel6">
    <w:name w:val="AVC Bullet level 6"/>
    <w:basedOn w:val="AVCBulletlevel1CharChar"/>
    <w:uiPriority w:val="99"/>
    <w:rsid w:val="001E7DB6"/>
    <w:pPr>
      <w:numPr>
        <w:numId w:val="170"/>
      </w:numPr>
      <w:tabs>
        <w:tab w:val="clear" w:pos="2376"/>
        <w:tab w:val="clear" w:pos="2779"/>
        <w:tab w:val="clear" w:pos="4690"/>
        <w:tab w:val="num" w:pos="0"/>
        <w:tab w:val="num" w:pos="360"/>
        <w:tab w:val="num" w:pos="720"/>
        <w:tab w:val="num" w:pos="1440"/>
        <w:tab w:val="left" w:pos="2381"/>
        <w:tab w:val="left" w:pos="2778"/>
      </w:tabs>
      <w:ind w:left="720" w:hanging="360"/>
    </w:pPr>
  </w:style>
  <w:style w:type="paragraph" w:customStyle="1" w:styleId="AVCNumberinglevel3">
    <w:name w:val="AVC Numbering level 3"/>
    <w:basedOn w:val="AVCNumberinglevel2"/>
    <w:uiPriority w:val="99"/>
    <w:rsid w:val="001E7DB6"/>
    <w:pPr>
      <w:numPr>
        <w:ilvl w:val="0"/>
        <w:numId w:val="0"/>
      </w:numPr>
    </w:pPr>
  </w:style>
  <w:style w:type="paragraph" w:customStyle="1" w:styleId="SVCIndentlevel5">
    <w:name w:val="SVC Indent level 5"/>
    <w:basedOn w:val="SVCIndentlevel4"/>
    <w:uiPriority w:val="99"/>
    <w:rsid w:val="001E7DB6"/>
    <w:pPr>
      <w:tabs>
        <w:tab w:val="clear" w:pos="1584"/>
      </w:tabs>
      <w:ind w:left="2000"/>
    </w:pPr>
  </w:style>
  <w:style w:type="paragraph" w:customStyle="1" w:styleId="SVCIndentlevel2">
    <w:name w:val="SVC Indent level 2"/>
    <w:basedOn w:val="SVCIndentlevel1"/>
    <w:uiPriority w:val="99"/>
    <w:rsid w:val="001E7DB6"/>
    <w:pPr>
      <w:ind w:left="800"/>
    </w:pPr>
  </w:style>
  <w:style w:type="paragraph" w:customStyle="1" w:styleId="SVCIndentlevel3">
    <w:name w:val="SVC Indent level 3"/>
    <w:basedOn w:val="SVCIndentlevel2"/>
    <w:uiPriority w:val="99"/>
    <w:rsid w:val="001E7DB6"/>
    <w:pPr>
      <w:tabs>
        <w:tab w:val="clear" w:pos="792"/>
      </w:tabs>
      <w:ind w:left="1200"/>
    </w:pPr>
  </w:style>
  <w:style w:type="character" w:customStyle="1" w:styleId="UnresolvedMention8">
    <w:name w:val="Unresolved Mention8"/>
    <w:basedOn w:val="DefaultParagraphFont"/>
    <w:uiPriority w:val="99"/>
    <w:semiHidden/>
    <w:unhideWhenUsed/>
    <w:rsid w:val="000E44D0"/>
    <w:rPr>
      <w:rFonts w:cs="Times New Roman"/>
      <w:color w:val="605E5C"/>
      <w:shd w:val="clear" w:color="auto" w:fill="E1DFDD"/>
    </w:rPr>
  </w:style>
  <w:style w:type="character" w:customStyle="1" w:styleId="UnresolvedMention9">
    <w:name w:val="Unresolved Mention9"/>
    <w:basedOn w:val="DefaultParagraphFont"/>
    <w:uiPriority w:val="99"/>
    <w:semiHidden/>
    <w:unhideWhenUsed/>
    <w:rsid w:val="00943C50"/>
    <w:rPr>
      <w:rFonts w:cs="Times New Roman"/>
      <w:color w:val="605E5C"/>
      <w:shd w:val="clear" w:color="auto" w:fill="E1DFDD"/>
    </w:rPr>
  </w:style>
  <w:style w:type="character" w:customStyle="1" w:styleId="apple-tab-span">
    <w:name w:val="apple-tab-span"/>
    <w:basedOn w:val="DefaultParagraphFont"/>
    <w:rsid w:val="00522DC3"/>
    <w:rPr>
      <w:rFonts w:cs="Times New Roman"/>
    </w:rPr>
  </w:style>
  <w:style w:type="character" w:customStyle="1" w:styleId="UnresolvedMention10">
    <w:name w:val="Unresolved Mention10"/>
    <w:basedOn w:val="DefaultParagraphFont"/>
    <w:uiPriority w:val="99"/>
    <w:semiHidden/>
    <w:unhideWhenUsed/>
    <w:rsid w:val="00E17286"/>
    <w:rPr>
      <w:rFonts w:cs="Times New Roman"/>
      <w:color w:val="605E5C"/>
      <w:shd w:val="clear" w:color="auto" w:fill="E1DFDD"/>
    </w:rPr>
  </w:style>
  <w:style w:type="character" w:customStyle="1" w:styleId="a2Char">
    <w:name w:val="a2 Char"/>
    <w:basedOn w:val="DefaultParagraphFont"/>
    <w:link w:val="a2"/>
    <w:uiPriority w:val="11"/>
    <w:locked/>
    <w:rsid w:val="00E16BCB"/>
    <w:rPr>
      <w:rFonts w:eastAsia="MS Mincho"/>
      <w:b/>
      <w:sz w:val="26"/>
      <w:szCs w:val="22"/>
      <w:lang w:val="en-CA" w:eastAsia="ja-JP"/>
    </w:rPr>
  </w:style>
  <w:style w:type="character" w:customStyle="1" w:styleId="a3Char">
    <w:name w:val="a3 Char"/>
    <w:basedOn w:val="DefaultParagraphFont"/>
    <w:link w:val="a3"/>
    <w:uiPriority w:val="12"/>
    <w:locked/>
    <w:rsid w:val="00E16BCB"/>
    <w:rPr>
      <w:rFonts w:eastAsia="MS Mincho"/>
      <w:b/>
      <w:sz w:val="24"/>
      <w:szCs w:val="22"/>
      <w:lang w:val="en-CA" w:eastAsia="ja-JP"/>
    </w:rPr>
  </w:style>
  <w:style w:type="paragraph" w:customStyle="1" w:styleId="RefNorm">
    <w:name w:val="RefNorm"/>
    <w:basedOn w:val="Normal"/>
    <w:next w:val="Normal"/>
    <w:rsid w:val="00EE6FD4"/>
    <w:pPr>
      <w:tabs>
        <w:tab w:val="clear" w:pos="403"/>
      </w:tabs>
      <w:spacing w:line="230" w:lineRule="atLeast"/>
    </w:pPr>
    <w:rPr>
      <w:rFonts w:ascii="Arial" w:eastAsia="MS Mincho" w:hAnsi="Arial" w:cs="Arial"/>
      <w:sz w:val="20"/>
      <w:szCs w:val="20"/>
      <w:lang w:val="en-US" w:eastAsia="ja-JP"/>
    </w:rPr>
  </w:style>
  <w:style w:type="character" w:customStyle="1" w:styleId="normaltextrun1">
    <w:name w:val="normaltextrun1"/>
    <w:basedOn w:val="DefaultParagraphFont"/>
    <w:rsid w:val="001D1603"/>
    <w:rPr>
      <w:rFonts w:cs="Times New Roman"/>
    </w:rPr>
  </w:style>
  <w:style w:type="numbering" w:customStyle="1" w:styleId="SVCNumbers">
    <w:name w:val="SVC Numbers"/>
    <w:pPr>
      <w:numPr>
        <w:numId w:val="160"/>
      </w:numPr>
    </w:pPr>
  </w:style>
  <w:style w:type="numbering" w:customStyle="1" w:styleId="3DNumbering">
    <w:name w:val="3D Numbering"/>
    <w:pPr>
      <w:numPr>
        <w:numId w:val="179"/>
      </w:numPr>
    </w:pPr>
  </w:style>
  <w:style w:type="numbering" w:customStyle="1" w:styleId="3DEquation">
    <w:name w:val="3D Equation"/>
    <w:pPr>
      <w:numPr>
        <w:numId w:val="180"/>
      </w:numPr>
    </w:pPr>
  </w:style>
  <w:style w:type="numbering" w:customStyle="1" w:styleId="3Dash">
    <w:name w:val="3Dash"/>
    <w:pPr>
      <w:numPr>
        <w:numId w:val="181"/>
      </w:numPr>
    </w:pPr>
  </w:style>
  <w:style w:type="numbering" w:customStyle="1" w:styleId="AVCBullet">
    <w:name w:val="AVC Bullet"/>
    <w:pPr>
      <w:numPr>
        <w:numId w:val="182"/>
      </w:numPr>
    </w:pPr>
  </w:style>
  <w:style w:type="numbering" w:customStyle="1" w:styleId="3DHeading">
    <w:name w:val="3D Heading"/>
    <w:pPr>
      <w:numPr>
        <w:numId w:val="183"/>
      </w:numPr>
    </w:pPr>
  </w:style>
  <w:style w:type="numbering" w:customStyle="1" w:styleId="SVCBullets">
    <w:name w:val="SVC Bullets"/>
    <w:pPr>
      <w:numPr>
        <w:numId w:val="20"/>
      </w:numPr>
    </w:pPr>
  </w:style>
  <w:style w:type="numbering" w:customStyle="1" w:styleId="SVCIndent">
    <w:name w:val="SVC Indent"/>
    <w:pPr>
      <w:numPr>
        <w:numId w:val="37"/>
      </w:numPr>
    </w:pPr>
  </w:style>
  <w:style w:type="numbering" w:customStyle="1" w:styleId="1">
    <w:name w:val="スタイル1"/>
    <w:pPr>
      <w:numPr>
        <w:numId w:val="22"/>
      </w:numPr>
    </w:pPr>
  </w:style>
  <w:style w:type="character" w:customStyle="1" w:styleId="UnresolvedMention11">
    <w:name w:val="Unresolved Mention11"/>
    <w:basedOn w:val="DefaultParagraphFont"/>
    <w:uiPriority w:val="99"/>
    <w:semiHidden/>
    <w:unhideWhenUsed/>
    <w:rsid w:val="00DF20A4"/>
    <w:rPr>
      <w:color w:val="605E5C"/>
      <w:shd w:val="clear" w:color="auto" w:fill="E1DFDD"/>
    </w:rPr>
  </w:style>
  <w:style w:type="character" w:customStyle="1" w:styleId="UnresolvedMention12">
    <w:name w:val="Unresolved Mention12"/>
    <w:basedOn w:val="DefaultParagraphFont"/>
    <w:uiPriority w:val="99"/>
    <w:semiHidden/>
    <w:unhideWhenUsed/>
    <w:rsid w:val="00CA5401"/>
    <w:rPr>
      <w:color w:val="605E5C"/>
      <w:shd w:val="clear" w:color="auto" w:fill="E1DFDD"/>
    </w:rPr>
  </w:style>
  <w:style w:type="character" w:customStyle="1" w:styleId="UnresolvedMention13">
    <w:name w:val="Unresolved Mention13"/>
    <w:basedOn w:val="DefaultParagraphFont"/>
    <w:uiPriority w:val="99"/>
    <w:semiHidden/>
    <w:unhideWhenUsed/>
    <w:rsid w:val="00775BE4"/>
    <w:rPr>
      <w:color w:val="605E5C"/>
      <w:shd w:val="clear" w:color="auto" w:fill="E1DFDD"/>
    </w:rPr>
  </w:style>
  <w:style w:type="character" w:customStyle="1" w:styleId="UnresolvedMention14">
    <w:name w:val="Unresolved Mention14"/>
    <w:basedOn w:val="DefaultParagraphFont"/>
    <w:uiPriority w:val="99"/>
    <w:semiHidden/>
    <w:unhideWhenUsed/>
    <w:rsid w:val="00564EF6"/>
    <w:rPr>
      <w:color w:val="605E5C"/>
      <w:shd w:val="clear" w:color="auto" w:fill="E1DFDD"/>
    </w:rPr>
  </w:style>
  <w:style w:type="character" w:customStyle="1" w:styleId="UnresolvedMention15">
    <w:name w:val="Unresolved Mention15"/>
    <w:basedOn w:val="DefaultParagraphFont"/>
    <w:uiPriority w:val="99"/>
    <w:semiHidden/>
    <w:unhideWhenUsed/>
    <w:rsid w:val="002246C0"/>
    <w:rPr>
      <w:color w:val="605E5C"/>
      <w:shd w:val="clear" w:color="auto" w:fill="E1DFDD"/>
    </w:rPr>
  </w:style>
  <w:style w:type="character" w:customStyle="1" w:styleId="UnresolvedMention16">
    <w:name w:val="Unresolved Mention16"/>
    <w:basedOn w:val="DefaultParagraphFont"/>
    <w:uiPriority w:val="99"/>
    <w:semiHidden/>
    <w:unhideWhenUsed/>
    <w:rsid w:val="00217D18"/>
    <w:rPr>
      <w:color w:val="605E5C"/>
      <w:shd w:val="clear" w:color="auto" w:fill="E1DFDD"/>
    </w:rPr>
  </w:style>
  <w:style w:type="character" w:customStyle="1" w:styleId="UnresolvedMention17">
    <w:name w:val="Unresolved Mention17"/>
    <w:basedOn w:val="DefaultParagraphFont"/>
    <w:uiPriority w:val="99"/>
    <w:semiHidden/>
    <w:unhideWhenUsed/>
    <w:rsid w:val="00FC5C09"/>
    <w:rPr>
      <w:color w:val="605E5C"/>
      <w:shd w:val="clear" w:color="auto" w:fill="E1DFDD"/>
    </w:rPr>
  </w:style>
  <w:style w:type="character" w:customStyle="1" w:styleId="UnresolvedMention18">
    <w:name w:val="Unresolved Mention18"/>
    <w:basedOn w:val="DefaultParagraphFont"/>
    <w:uiPriority w:val="99"/>
    <w:semiHidden/>
    <w:unhideWhenUsed/>
    <w:rsid w:val="00727001"/>
    <w:rPr>
      <w:color w:val="605E5C"/>
      <w:shd w:val="clear" w:color="auto" w:fill="E1DFDD"/>
    </w:rPr>
  </w:style>
  <w:style w:type="character" w:customStyle="1" w:styleId="UnresolvedMention19">
    <w:name w:val="Unresolved Mention19"/>
    <w:basedOn w:val="DefaultParagraphFont"/>
    <w:uiPriority w:val="99"/>
    <w:semiHidden/>
    <w:unhideWhenUsed/>
    <w:rsid w:val="002E7F47"/>
    <w:rPr>
      <w:color w:val="605E5C"/>
      <w:shd w:val="clear" w:color="auto" w:fill="E1DFDD"/>
    </w:rPr>
  </w:style>
  <w:style w:type="character" w:customStyle="1" w:styleId="UnresolvedMention20">
    <w:name w:val="Unresolved Mention20"/>
    <w:basedOn w:val="DefaultParagraphFont"/>
    <w:uiPriority w:val="99"/>
    <w:semiHidden/>
    <w:unhideWhenUsed/>
    <w:rsid w:val="00433C23"/>
    <w:rPr>
      <w:color w:val="605E5C"/>
      <w:shd w:val="clear" w:color="auto" w:fill="E1DFDD"/>
    </w:rPr>
  </w:style>
  <w:style w:type="character" w:customStyle="1" w:styleId="UnresolvedMention21">
    <w:name w:val="Unresolved Mention21"/>
    <w:basedOn w:val="DefaultParagraphFont"/>
    <w:uiPriority w:val="99"/>
    <w:semiHidden/>
    <w:unhideWhenUsed/>
    <w:rsid w:val="006F6156"/>
    <w:rPr>
      <w:color w:val="605E5C"/>
      <w:shd w:val="clear" w:color="auto" w:fill="E1DFDD"/>
    </w:rPr>
  </w:style>
  <w:style w:type="character" w:customStyle="1" w:styleId="UnresolvedMention22">
    <w:name w:val="Unresolved Mention22"/>
    <w:basedOn w:val="DefaultParagraphFont"/>
    <w:uiPriority w:val="99"/>
    <w:semiHidden/>
    <w:unhideWhenUsed/>
    <w:rsid w:val="00E60C5A"/>
    <w:rPr>
      <w:color w:val="605E5C"/>
      <w:shd w:val="clear" w:color="auto" w:fill="E1DFDD"/>
    </w:rPr>
  </w:style>
  <w:style w:type="character" w:customStyle="1" w:styleId="UnresolvedMention23">
    <w:name w:val="Unresolved Mention23"/>
    <w:basedOn w:val="DefaultParagraphFont"/>
    <w:uiPriority w:val="99"/>
    <w:semiHidden/>
    <w:unhideWhenUsed/>
    <w:rsid w:val="00322079"/>
    <w:rPr>
      <w:color w:val="605E5C"/>
      <w:shd w:val="clear" w:color="auto" w:fill="E1DFDD"/>
    </w:rPr>
  </w:style>
  <w:style w:type="character" w:customStyle="1" w:styleId="UnresolvedMention24">
    <w:name w:val="Unresolved Mention24"/>
    <w:basedOn w:val="DefaultParagraphFont"/>
    <w:uiPriority w:val="99"/>
    <w:semiHidden/>
    <w:unhideWhenUsed/>
    <w:rsid w:val="007E21A0"/>
    <w:rPr>
      <w:color w:val="605E5C"/>
      <w:shd w:val="clear" w:color="auto" w:fill="E1DFDD"/>
    </w:rPr>
  </w:style>
  <w:style w:type="character" w:customStyle="1" w:styleId="UnresolvedMention25">
    <w:name w:val="Unresolved Mention25"/>
    <w:basedOn w:val="DefaultParagraphFont"/>
    <w:uiPriority w:val="99"/>
    <w:semiHidden/>
    <w:unhideWhenUsed/>
    <w:rsid w:val="00DC1D44"/>
    <w:rPr>
      <w:color w:val="605E5C"/>
      <w:shd w:val="clear" w:color="auto" w:fill="E1DFDD"/>
    </w:rPr>
  </w:style>
  <w:style w:type="character" w:customStyle="1" w:styleId="UnresolvedMention26">
    <w:name w:val="Unresolved Mention26"/>
    <w:basedOn w:val="DefaultParagraphFont"/>
    <w:uiPriority w:val="99"/>
    <w:semiHidden/>
    <w:unhideWhenUsed/>
    <w:rsid w:val="00AC6292"/>
    <w:rPr>
      <w:color w:val="605E5C"/>
      <w:shd w:val="clear" w:color="auto" w:fill="E1DFDD"/>
    </w:rPr>
  </w:style>
  <w:style w:type="character" w:styleId="UnresolvedMention">
    <w:name w:val="Unresolved Mention"/>
    <w:basedOn w:val="DefaultParagraphFont"/>
    <w:uiPriority w:val="99"/>
    <w:semiHidden/>
    <w:unhideWhenUsed/>
    <w:rsid w:val="0011542D"/>
    <w:rPr>
      <w:color w:val="605E5C"/>
      <w:shd w:val="clear" w:color="auto" w:fill="E1DFDD"/>
    </w:rPr>
  </w:style>
  <w:style w:type="paragraph" w:customStyle="1" w:styleId="SyntaxElement">
    <w:name w:val="SyntaxElement"/>
    <w:basedOn w:val="Normal"/>
    <w:qFormat/>
    <w:rsid w:val="00056233"/>
    <w:pPr>
      <w:keepNext/>
      <w:keepLines/>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 w:val="left" w:pos="227"/>
        <w:tab w:val="left" w:pos="454"/>
        <w:tab w:val="left" w:pos="680"/>
        <w:tab w:val="left" w:pos="907"/>
        <w:tab w:val="left" w:pos="1134"/>
      </w:tabs>
      <w:overflowPunct w:val="0"/>
      <w:autoSpaceDE w:val="0"/>
      <w:autoSpaceDN w:val="0"/>
      <w:adjustRightInd w:val="0"/>
      <w:spacing w:before="20" w:after="40" w:line="240" w:lineRule="auto"/>
      <w:textAlignment w:val="baseline"/>
    </w:pPr>
    <w:rPr>
      <w:rFonts w:eastAsia="Times New Roman"/>
      <w:sz w:val="20"/>
    </w:rPr>
  </w:style>
  <w:style w:type="paragraph" w:customStyle="1" w:styleId="TermHeading">
    <w:name w:val="TermHeading"/>
    <w:basedOn w:val="Normal"/>
    <w:next w:val="Normal"/>
    <w:qFormat/>
    <w:rsid w:val="00EB472A"/>
    <w:pPr>
      <w:keepNext/>
      <w:widowControl w:val="0"/>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ind w:left="794" w:hanging="794"/>
      <w:textAlignment w:val="baseline"/>
    </w:pPr>
    <w:rPr>
      <w:color w:val="000000" w:themeColor="tex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4858832">
      <w:bodyDiv w:val="1"/>
      <w:marLeft w:val="0"/>
      <w:marRight w:val="0"/>
      <w:marTop w:val="0"/>
      <w:marBottom w:val="0"/>
      <w:divBdr>
        <w:top w:val="none" w:sz="0" w:space="0" w:color="auto"/>
        <w:left w:val="none" w:sz="0" w:space="0" w:color="auto"/>
        <w:bottom w:val="none" w:sz="0" w:space="0" w:color="auto"/>
        <w:right w:val="none" w:sz="0" w:space="0" w:color="auto"/>
      </w:divBdr>
    </w:div>
    <w:div w:id="98524796">
      <w:bodyDiv w:val="1"/>
      <w:marLeft w:val="0"/>
      <w:marRight w:val="0"/>
      <w:marTop w:val="0"/>
      <w:marBottom w:val="0"/>
      <w:divBdr>
        <w:top w:val="none" w:sz="0" w:space="0" w:color="auto"/>
        <w:left w:val="none" w:sz="0" w:space="0" w:color="auto"/>
        <w:bottom w:val="none" w:sz="0" w:space="0" w:color="auto"/>
        <w:right w:val="none" w:sz="0" w:space="0" w:color="auto"/>
      </w:divBdr>
    </w:div>
    <w:div w:id="135073120">
      <w:bodyDiv w:val="1"/>
      <w:marLeft w:val="0"/>
      <w:marRight w:val="0"/>
      <w:marTop w:val="0"/>
      <w:marBottom w:val="0"/>
      <w:divBdr>
        <w:top w:val="none" w:sz="0" w:space="0" w:color="auto"/>
        <w:left w:val="none" w:sz="0" w:space="0" w:color="auto"/>
        <w:bottom w:val="none" w:sz="0" w:space="0" w:color="auto"/>
        <w:right w:val="none" w:sz="0" w:space="0" w:color="auto"/>
      </w:divBdr>
    </w:div>
    <w:div w:id="138426867">
      <w:bodyDiv w:val="1"/>
      <w:marLeft w:val="0"/>
      <w:marRight w:val="0"/>
      <w:marTop w:val="0"/>
      <w:marBottom w:val="0"/>
      <w:divBdr>
        <w:top w:val="none" w:sz="0" w:space="0" w:color="auto"/>
        <w:left w:val="none" w:sz="0" w:space="0" w:color="auto"/>
        <w:bottom w:val="none" w:sz="0" w:space="0" w:color="auto"/>
        <w:right w:val="none" w:sz="0" w:space="0" w:color="auto"/>
      </w:divBdr>
    </w:div>
    <w:div w:id="171185535">
      <w:bodyDiv w:val="1"/>
      <w:marLeft w:val="0"/>
      <w:marRight w:val="0"/>
      <w:marTop w:val="0"/>
      <w:marBottom w:val="0"/>
      <w:divBdr>
        <w:top w:val="none" w:sz="0" w:space="0" w:color="auto"/>
        <w:left w:val="none" w:sz="0" w:space="0" w:color="auto"/>
        <w:bottom w:val="none" w:sz="0" w:space="0" w:color="auto"/>
        <w:right w:val="none" w:sz="0" w:space="0" w:color="auto"/>
      </w:divBdr>
    </w:div>
    <w:div w:id="181164252">
      <w:bodyDiv w:val="1"/>
      <w:marLeft w:val="0"/>
      <w:marRight w:val="0"/>
      <w:marTop w:val="0"/>
      <w:marBottom w:val="0"/>
      <w:divBdr>
        <w:top w:val="none" w:sz="0" w:space="0" w:color="auto"/>
        <w:left w:val="none" w:sz="0" w:space="0" w:color="auto"/>
        <w:bottom w:val="none" w:sz="0" w:space="0" w:color="auto"/>
        <w:right w:val="none" w:sz="0" w:space="0" w:color="auto"/>
      </w:divBdr>
    </w:div>
    <w:div w:id="237599482">
      <w:bodyDiv w:val="1"/>
      <w:marLeft w:val="0"/>
      <w:marRight w:val="0"/>
      <w:marTop w:val="0"/>
      <w:marBottom w:val="0"/>
      <w:divBdr>
        <w:top w:val="none" w:sz="0" w:space="0" w:color="auto"/>
        <w:left w:val="none" w:sz="0" w:space="0" w:color="auto"/>
        <w:bottom w:val="none" w:sz="0" w:space="0" w:color="auto"/>
        <w:right w:val="none" w:sz="0" w:space="0" w:color="auto"/>
      </w:divBdr>
    </w:div>
    <w:div w:id="240916309">
      <w:bodyDiv w:val="1"/>
      <w:marLeft w:val="0"/>
      <w:marRight w:val="0"/>
      <w:marTop w:val="0"/>
      <w:marBottom w:val="0"/>
      <w:divBdr>
        <w:top w:val="none" w:sz="0" w:space="0" w:color="auto"/>
        <w:left w:val="none" w:sz="0" w:space="0" w:color="auto"/>
        <w:bottom w:val="none" w:sz="0" w:space="0" w:color="auto"/>
        <w:right w:val="none" w:sz="0" w:space="0" w:color="auto"/>
      </w:divBdr>
    </w:div>
    <w:div w:id="255483024">
      <w:bodyDiv w:val="1"/>
      <w:marLeft w:val="0"/>
      <w:marRight w:val="0"/>
      <w:marTop w:val="0"/>
      <w:marBottom w:val="0"/>
      <w:divBdr>
        <w:top w:val="none" w:sz="0" w:space="0" w:color="auto"/>
        <w:left w:val="none" w:sz="0" w:space="0" w:color="auto"/>
        <w:bottom w:val="none" w:sz="0" w:space="0" w:color="auto"/>
        <w:right w:val="none" w:sz="0" w:space="0" w:color="auto"/>
      </w:divBdr>
    </w:div>
    <w:div w:id="293759084">
      <w:bodyDiv w:val="1"/>
      <w:marLeft w:val="0"/>
      <w:marRight w:val="0"/>
      <w:marTop w:val="0"/>
      <w:marBottom w:val="0"/>
      <w:divBdr>
        <w:top w:val="none" w:sz="0" w:space="0" w:color="auto"/>
        <w:left w:val="none" w:sz="0" w:space="0" w:color="auto"/>
        <w:bottom w:val="none" w:sz="0" w:space="0" w:color="auto"/>
        <w:right w:val="none" w:sz="0" w:space="0" w:color="auto"/>
      </w:divBdr>
    </w:div>
    <w:div w:id="310334605">
      <w:bodyDiv w:val="1"/>
      <w:marLeft w:val="0"/>
      <w:marRight w:val="0"/>
      <w:marTop w:val="0"/>
      <w:marBottom w:val="0"/>
      <w:divBdr>
        <w:top w:val="none" w:sz="0" w:space="0" w:color="auto"/>
        <w:left w:val="none" w:sz="0" w:space="0" w:color="auto"/>
        <w:bottom w:val="none" w:sz="0" w:space="0" w:color="auto"/>
        <w:right w:val="none" w:sz="0" w:space="0" w:color="auto"/>
      </w:divBdr>
    </w:div>
    <w:div w:id="362752016">
      <w:bodyDiv w:val="1"/>
      <w:marLeft w:val="0"/>
      <w:marRight w:val="0"/>
      <w:marTop w:val="0"/>
      <w:marBottom w:val="0"/>
      <w:divBdr>
        <w:top w:val="none" w:sz="0" w:space="0" w:color="auto"/>
        <w:left w:val="none" w:sz="0" w:space="0" w:color="auto"/>
        <w:bottom w:val="none" w:sz="0" w:space="0" w:color="auto"/>
        <w:right w:val="none" w:sz="0" w:space="0" w:color="auto"/>
      </w:divBdr>
    </w:div>
    <w:div w:id="389380997">
      <w:bodyDiv w:val="1"/>
      <w:marLeft w:val="0"/>
      <w:marRight w:val="0"/>
      <w:marTop w:val="0"/>
      <w:marBottom w:val="0"/>
      <w:divBdr>
        <w:top w:val="none" w:sz="0" w:space="0" w:color="auto"/>
        <w:left w:val="none" w:sz="0" w:space="0" w:color="auto"/>
        <w:bottom w:val="none" w:sz="0" w:space="0" w:color="auto"/>
        <w:right w:val="none" w:sz="0" w:space="0" w:color="auto"/>
      </w:divBdr>
    </w:div>
    <w:div w:id="405032955">
      <w:bodyDiv w:val="1"/>
      <w:marLeft w:val="0"/>
      <w:marRight w:val="0"/>
      <w:marTop w:val="0"/>
      <w:marBottom w:val="0"/>
      <w:divBdr>
        <w:top w:val="none" w:sz="0" w:space="0" w:color="auto"/>
        <w:left w:val="none" w:sz="0" w:space="0" w:color="auto"/>
        <w:bottom w:val="none" w:sz="0" w:space="0" w:color="auto"/>
        <w:right w:val="none" w:sz="0" w:space="0" w:color="auto"/>
      </w:divBdr>
    </w:div>
    <w:div w:id="429392061">
      <w:bodyDiv w:val="1"/>
      <w:marLeft w:val="0"/>
      <w:marRight w:val="0"/>
      <w:marTop w:val="0"/>
      <w:marBottom w:val="0"/>
      <w:divBdr>
        <w:top w:val="none" w:sz="0" w:space="0" w:color="auto"/>
        <w:left w:val="none" w:sz="0" w:space="0" w:color="auto"/>
        <w:bottom w:val="none" w:sz="0" w:space="0" w:color="auto"/>
        <w:right w:val="none" w:sz="0" w:space="0" w:color="auto"/>
      </w:divBdr>
    </w:div>
    <w:div w:id="550076376">
      <w:bodyDiv w:val="1"/>
      <w:marLeft w:val="0"/>
      <w:marRight w:val="0"/>
      <w:marTop w:val="0"/>
      <w:marBottom w:val="0"/>
      <w:divBdr>
        <w:top w:val="none" w:sz="0" w:space="0" w:color="auto"/>
        <w:left w:val="none" w:sz="0" w:space="0" w:color="auto"/>
        <w:bottom w:val="none" w:sz="0" w:space="0" w:color="auto"/>
        <w:right w:val="none" w:sz="0" w:space="0" w:color="auto"/>
      </w:divBdr>
    </w:div>
    <w:div w:id="568350380">
      <w:bodyDiv w:val="1"/>
      <w:marLeft w:val="0"/>
      <w:marRight w:val="0"/>
      <w:marTop w:val="0"/>
      <w:marBottom w:val="0"/>
      <w:divBdr>
        <w:top w:val="none" w:sz="0" w:space="0" w:color="auto"/>
        <w:left w:val="none" w:sz="0" w:space="0" w:color="auto"/>
        <w:bottom w:val="none" w:sz="0" w:space="0" w:color="auto"/>
        <w:right w:val="none" w:sz="0" w:space="0" w:color="auto"/>
      </w:divBdr>
      <w:divsChild>
        <w:div w:id="1051491961">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414131751">
              <w:marLeft w:val="0"/>
              <w:marRight w:val="0"/>
              <w:marTop w:val="0"/>
              <w:marBottom w:val="0"/>
              <w:divBdr>
                <w:top w:val="none" w:sz="0" w:space="0" w:color="auto"/>
                <w:left w:val="none" w:sz="0" w:space="0" w:color="auto"/>
                <w:bottom w:val="none" w:sz="0" w:space="0" w:color="auto"/>
                <w:right w:val="none" w:sz="0" w:space="0" w:color="auto"/>
              </w:divBdr>
              <w:divsChild>
                <w:div w:id="1777821454">
                  <w:marLeft w:val="0"/>
                  <w:marRight w:val="0"/>
                  <w:marTop w:val="0"/>
                  <w:marBottom w:val="0"/>
                  <w:divBdr>
                    <w:top w:val="none" w:sz="0" w:space="0" w:color="auto"/>
                    <w:left w:val="none" w:sz="0" w:space="0" w:color="auto"/>
                    <w:bottom w:val="none" w:sz="0" w:space="0" w:color="auto"/>
                    <w:right w:val="none" w:sz="0" w:space="0" w:color="auto"/>
                  </w:divBdr>
                  <w:divsChild>
                    <w:div w:id="1177891723">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407576243">
                          <w:marLeft w:val="0"/>
                          <w:marRight w:val="0"/>
                          <w:marTop w:val="0"/>
                          <w:marBottom w:val="0"/>
                          <w:divBdr>
                            <w:top w:val="none" w:sz="0" w:space="0" w:color="auto"/>
                            <w:left w:val="none" w:sz="0" w:space="0" w:color="auto"/>
                            <w:bottom w:val="none" w:sz="0" w:space="0" w:color="auto"/>
                            <w:right w:val="none" w:sz="0" w:space="0" w:color="auto"/>
                          </w:divBdr>
                          <w:divsChild>
                            <w:div w:id="416561834">
                              <w:marLeft w:val="0"/>
                              <w:marRight w:val="0"/>
                              <w:marTop w:val="0"/>
                              <w:marBottom w:val="0"/>
                              <w:divBdr>
                                <w:top w:val="none" w:sz="0" w:space="0" w:color="auto"/>
                                <w:left w:val="none" w:sz="0" w:space="0" w:color="auto"/>
                                <w:bottom w:val="none" w:sz="0" w:space="0" w:color="auto"/>
                                <w:right w:val="none" w:sz="0" w:space="0" w:color="auto"/>
                              </w:divBdr>
                              <w:divsChild>
                                <w:div w:id="1660572044">
                                  <w:marLeft w:val="0"/>
                                  <w:marRight w:val="0"/>
                                  <w:marTop w:val="0"/>
                                  <w:marBottom w:val="0"/>
                                  <w:divBdr>
                                    <w:top w:val="none" w:sz="0" w:space="0" w:color="auto"/>
                                    <w:left w:val="none" w:sz="0" w:space="0" w:color="auto"/>
                                    <w:bottom w:val="none" w:sz="0" w:space="0" w:color="auto"/>
                                    <w:right w:val="none" w:sz="0" w:space="0" w:color="auto"/>
                                  </w:divBdr>
                                  <w:divsChild>
                                    <w:div w:id="1882747851">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43203443">
                                          <w:marLeft w:val="0"/>
                                          <w:marRight w:val="0"/>
                                          <w:marTop w:val="0"/>
                                          <w:marBottom w:val="0"/>
                                          <w:divBdr>
                                            <w:top w:val="none" w:sz="0" w:space="0" w:color="auto"/>
                                            <w:left w:val="none" w:sz="0" w:space="0" w:color="auto"/>
                                            <w:bottom w:val="none" w:sz="0" w:space="0" w:color="auto"/>
                                            <w:right w:val="none" w:sz="0" w:space="0" w:color="auto"/>
                                          </w:divBdr>
                                          <w:divsChild>
                                            <w:div w:id="155805393">
                                              <w:marLeft w:val="0"/>
                                              <w:marRight w:val="0"/>
                                              <w:marTop w:val="0"/>
                                              <w:marBottom w:val="0"/>
                                              <w:divBdr>
                                                <w:top w:val="none" w:sz="0" w:space="0" w:color="auto"/>
                                                <w:left w:val="none" w:sz="0" w:space="0" w:color="auto"/>
                                                <w:bottom w:val="none" w:sz="0" w:space="0" w:color="auto"/>
                                                <w:right w:val="none" w:sz="0" w:space="0" w:color="auto"/>
                                              </w:divBdr>
                                              <w:divsChild>
                                                <w:div w:id="798455973">
                                                  <w:marLeft w:val="0"/>
                                                  <w:marRight w:val="0"/>
                                                  <w:marTop w:val="0"/>
                                                  <w:marBottom w:val="0"/>
                                                  <w:divBdr>
                                                    <w:top w:val="none" w:sz="0" w:space="0" w:color="auto"/>
                                                    <w:left w:val="none" w:sz="0" w:space="0" w:color="auto"/>
                                                    <w:bottom w:val="none" w:sz="0" w:space="0" w:color="auto"/>
                                                    <w:right w:val="none" w:sz="0" w:space="0" w:color="auto"/>
                                                  </w:divBdr>
                                                  <w:divsChild>
                                                    <w:div w:id="566263151">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43984395">
                                                          <w:marLeft w:val="0"/>
                                                          <w:marRight w:val="0"/>
                                                          <w:marTop w:val="0"/>
                                                          <w:marBottom w:val="0"/>
                                                          <w:divBdr>
                                                            <w:top w:val="none" w:sz="0" w:space="0" w:color="auto"/>
                                                            <w:left w:val="none" w:sz="0" w:space="0" w:color="auto"/>
                                                            <w:bottom w:val="none" w:sz="0" w:space="0" w:color="auto"/>
                                                            <w:right w:val="none" w:sz="0" w:space="0" w:color="auto"/>
                                                          </w:divBdr>
                                                          <w:divsChild>
                                                            <w:div w:id="1739087240">
                                                              <w:marLeft w:val="0"/>
                                                              <w:marRight w:val="0"/>
                                                              <w:marTop w:val="0"/>
                                                              <w:marBottom w:val="0"/>
                                                              <w:divBdr>
                                                                <w:top w:val="none" w:sz="0" w:space="0" w:color="auto"/>
                                                                <w:left w:val="none" w:sz="0" w:space="0" w:color="auto"/>
                                                                <w:bottom w:val="none" w:sz="0" w:space="0" w:color="auto"/>
                                                                <w:right w:val="none" w:sz="0" w:space="0" w:color="auto"/>
                                                              </w:divBdr>
                                                              <w:divsChild>
                                                                <w:div w:id="1286617138">
                                                                  <w:marLeft w:val="0"/>
                                                                  <w:marRight w:val="0"/>
                                                                  <w:marTop w:val="0"/>
                                                                  <w:marBottom w:val="0"/>
                                                                  <w:divBdr>
                                                                    <w:top w:val="none" w:sz="0" w:space="0" w:color="auto"/>
                                                                    <w:left w:val="none" w:sz="0" w:space="0" w:color="auto"/>
                                                                    <w:bottom w:val="none" w:sz="0" w:space="0" w:color="auto"/>
                                                                    <w:right w:val="none" w:sz="0" w:space="0" w:color="auto"/>
                                                                  </w:divBdr>
                                                                  <w:divsChild>
                                                                    <w:div w:id="511921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 w:id="582957329">
      <w:bodyDiv w:val="1"/>
      <w:marLeft w:val="0"/>
      <w:marRight w:val="0"/>
      <w:marTop w:val="0"/>
      <w:marBottom w:val="0"/>
      <w:divBdr>
        <w:top w:val="none" w:sz="0" w:space="0" w:color="auto"/>
        <w:left w:val="none" w:sz="0" w:space="0" w:color="auto"/>
        <w:bottom w:val="none" w:sz="0" w:space="0" w:color="auto"/>
        <w:right w:val="none" w:sz="0" w:space="0" w:color="auto"/>
      </w:divBdr>
    </w:div>
    <w:div w:id="606540859">
      <w:bodyDiv w:val="1"/>
      <w:marLeft w:val="0"/>
      <w:marRight w:val="0"/>
      <w:marTop w:val="0"/>
      <w:marBottom w:val="0"/>
      <w:divBdr>
        <w:top w:val="none" w:sz="0" w:space="0" w:color="auto"/>
        <w:left w:val="none" w:sz="0" w:space="0" w:color="auto"/>
        <w:bottom w:val="none" w:sz="0" w:space="0" w:color="auto"/>
        <w:right w:val="none" w:sz="0" w:space="0" w:color="auto"/>
      </w:divBdr>
    </w:div>
    <w:div w:id="656154989">
      <w:bodyDiv w:val="1"/>
      <w:marLeft w:val="0"/>
      <w:marRight w:val="0"/>
      <w:marTop w:val="0"/>
      <w:marBottom w:val="0"/>
      <w:divBdr>
        <w:top w:val="none" w:sz="0" w:space="0" w:color="auto"/>
        <w:left w:val="none" w:sz="0" w:space="0" w:color="auto"/>
        <w:bottom w:val="none" w:sz="0" w:space="0" w:color="auto"/>
        <w:right w:val="none" w:sz="0" w:space="0" w:color="auto"/>
      </w:divBdr>
    </w:div>
    <w:div w:id="738939894">
      <w:bodyDiv w:val="1"/>
      <w:marLeft w:val="0"/>
      <w:marRight w:val="0"/>
      <w:marTop w:val="0"/>
      <w:marBottom w:val="0"/>
      <w:divBdr>
        <w:top w:val="none" w:sz="0" w:space="0" w:color="auto"/>
        <w:left w:val="none" w:sz="0" w:space="0" w:color="auto"/>
        <w:bottom w:val="none" w:sz="0" w:space="0" w:color="auto"/>
        <w:right w:val="none" w:sz="0" w:space="0" w:color="auto"/>
      </w:divBdr>
    </w:div>
    <w:div w:id="767241202">
      <w:bodyDiv w:val="1"/>
      <w:marLeft w:val="0"/>
      <w:marRight w:val="0"/>
      <w:marTop w:val="0"/>
      <w:marBottom w:val="0"/>
      <w:divBdr>
        <w:top w:val="none" w:sz="0" w:space="0" w:color="auto"/>
        <w:left w:val="none" w:sz="0" w:space="0" w:color="auto"/>
        <w:bottom w:val="none" w:sz="0" w:space="0" w:color="auto"/>
        <w:right w:val="none" w:sz="0" w:space="0" w:color="auto"/>
      </w:divBdr>
    </w:div>
    <w:div w:id="822158526">
      <w:bodyDiv w:val="1"/>
      <w:marLeft w:val="0"/>
      <w:marRight w:val="0"/>
      <w:marTop w:val="0"/>
      <w:marBottom w:val="0"/>
      <w:divBdr>
        <w:top w:val="none" w:sz="0" w:space="0" w:color="auto"/>
        <w:left w:val="none" w:sz="0" w:space="0" w:color="auto"/>
        <w:bottom w:val="none" w:sz="0" w:space="0" w:color="auto"/>
        <w:right w:val="none" w:sz="0" w:space="0" w:color="auto"/>
      </w:divBdr>
    </w:div>
    <w:div w:id="881022432">
      <w:bodyDiv w:val="1"/>
      <w:marLeft w:val="0"/>
      <w:marRight w:val="0"/>
      <w:marTop w:val="0"/>
      <w:marBottom w:val="0"/>
      <w:divBdr>
        <w:top w:val="none" w:sz="0" w:space="0" w:color="auto"/>
        <w:left w:val="none" w:sz="0" w:space="0" w:color="auto"/>
        <w:bottom w:val="none" w:sz="0" w:space="0" w:color="auto"/>
        <w:right w:val="none" w:sz="0" w:space="0" w:color="auto"/>
      </w:divBdr>
    </w:div>
    <w:div w:id="893002658">
      <w:bodyDiv w:val="1"/>
      <w:marLeft w:val="0"/>
      <w:marRight w:val="0"/>
      <w:marTop w:val="0"/>
      <w:marBottom w:val="0"/>
      <w:divBdr>
        <w:top w:val="none" w:sz="0" w:space="0" w:color="auto"/>
        <w:left w:val="none" w:sz="0" w:space="0" w:color="auto"/>
        <w:bottom w:val="none" w:sz="0" w:space="0" w:color="auto"/>
        <w:right w:val="none" w:sz="0" w:space="0" w:color="auto"/>
      </w:divBdr>
    </w:div>
    <w:div w:id="959386160">
      <w:bodyDiv w:val="1"/>
      <w:marLeft w:val="0"/>
      <w:marRight w:val="0"/>
      <w:marTop w:val="0"/>
      <w:marBottom w:val="0"/>
      <w:divBdr>
        <w:top w:val="none" w:sz="0" w:space="0" w:color="auto"/>
        <w:left w:val="none" w:sz="0" w:space="0" w:color="auto"/>
        <w:bottom w:val="none" w:sz="0" w:space="0" w:color="auto"/>
        <w:right w:val="none" w:sz="0" w:space="0" w:color="auto"/>
      </w:divBdr>
    </w:div>
    <w:div w:id="960306503">
      <w:bodyDiv w:val="1"/>
      <w:marLeft w:val="0"/>
      <w:marRight w:val="0"/>
      <w:marTop w:val="0"/>
      <w:marBottom w:val="0"/>
      <w:divBdr>
        <w:top w:val="none" w:sz="0" w:space="0" w:color="auto"/>
        <w:left w:val="none" w:sz="0" w:space="0" w:color="auto"/>
        <w:bottom w:val="none" w:sz="0" w:space="0" w:color="auto"/>
        <w:right w:val="none" w:sz="0" w:space="0" w:color="auto"/>
      </w:divBdr>
    </w:div>
    <w:div w:id="995961004">
      <w:bodyDiv w:val="1"/>
      <w:marLeft w:val="0"/>
      <w:marRight w:val="0"/>
      <w:marTop w:val="0"/>
      <w:marBottom w:val="0"/>
      <w:divBdr>
        <w:top w:val="none" w:sz="0" w:space="0" w:color="auto"/>
        <w:left w:val="none" w:sz="0" w:space="0" w:color="auto"/>
        <w:bottom w:val="none" w:sz="0" w:space="0" w:color="auto"/>
        <w:right w:val="none" w:sz="0" w:space="0" w:color="auto"/>
      </w:divBdr>
    </w:div>
    <w:div w:id="1021279802">
      <w:bodyDiv w:val="1"/>
      <w:marLeft w:val="0"/>
      <w:marRight w:val="0"/>
      <w:marTop w:val="0"/>
      <w:marBottom w:val="0"/>
      <w:divBdr>
        <w:top w:val="none" w:sz="0" w:space="0" w:color="auto"/>
        <w:left w:val="none" w:sz="0" w:space="0" w:color="auto"/>
        <w:bottom w:val="none" w:sz="0" w:space="0" w:color="auto"/>
        <w:right w:val="none" w:sz="0" w:space="0" w:color="auto"/>
      </w:divBdr>
    </w:div>
    <w:div w:id="1061292768">
      <w:bodyDiv w:val="1"/>
      <w:marLeft w:val="0"/>
      <w:marRight w:val="0"/>
      <w:marTop w:val="0"/>
      <w:marBottom w:val="0"/>
      <w:divBdr>
        <w:top w:val="none" w:sz="0" w:space="0" w:color="auto"/>
        <w:left w:val="none" w:sz="0" w:space="0" w:color="auto"/>
        <w:bottom w:val="none" w:sz="0" w:space="0" w:color="auto"/>
        <w:right w:val="none" w:sz="0" w:space="0" w:color="auto"/>
      </w:divBdr>
    </w:div>
    <w:div w:id="1082871937">
      <w:bodyDiv w:val="1"/>
      <w:marLeft w:val="0"/>
      <w:marRight w:val="0"/>
      <w:marTop w:val="0"/>
      <w:marBottom w:val="0"/>
      <w:divBdr>
        <w:top w:val="none" w:sz="0" w:space="0" w:color="auto"/>
        <w:left w:val="none" w:sz="0" w:space="0" w:color="auto"/>
        <w:bottom w:val="none" w:sz="0" w:space="0" w:color="auto"/>
        <w:right w:val="none" w:sz="0" w:space="0" w:color="auto"/>
      </w:divBdr>
    </w:div>
    <w:div w:id="1094785522">
      <w:bodyDiv w:val="1"/>
      <w:marLeft w:val="0"/>
      <w:marRight w:val="0"/>
      <w:marTop w:val="0"/>
      <w:marBottom w:val="0"/>
      <w:divBdr>
        <w:top w:val="none" w:sz="0" w:space="0" w:color="auto"/>
        <w:left w:val="none" w:sz="0" w:space="0" w:color="auto"/>
        <w:bottom w:val="none" w:sz="0" w:space="0" w:color="auto"/>
        <w:right w:val="none" w:sz="0" w:space="0" w:color="auto"/>
      </w:divBdr>
      <w:divsChild>
        <w:div w:id="602422683">
          <w:marLeft w:val="0"/>
          <w:marRight w:val="0"/>
          <w:marTop w:val="0"/>
          <w:marBottom w:val="0"/>
          <w:divBdr>
            <w:top w:val="none" w:sz="0" w:space="0" w:color="auto"/>
            <w:left w:val="none" w:sz="0" w:space="0" w:color="auto"/>
            <w:bottom w:val="none" w:sz="0" w:space="0" w:color="auto"/>
            <w:right w:val="none" w:sz="0" w:space="0" w:color="auto"/>
          </w:divBdr>
        </w:div>
        <w:div w:id="1954630039">
          <w:marLeft w:val="0"/>
          <w:marRight w:val="0"/>
          <w:marTop w:val="90"/>
          <w:marBottom w:val="0"/>
          <w:divBdr>
            <w:top w:val="none" w:sz="0" w:space="0" w:color="auto"/>
            <w:left w:val="none" w:sz="0" w:space="0" w:color="auto"/>
            <w:bottom w:val="none" w:sz="0" w:space="0" w:color="auto"/>
            <w:right w:val="none" w:sz="0" w:space="0" w:color="auto"/>
          </w:divBdr>
        </w:div>
      </w:divsChild>
    </w:div>
    <w:div w:id="1097947458">
      <w:bodyDiv w:val="1"/>
      <w:marLeft w:val="0"/>
      <w:marRight w:val="0"/>
      <w:marTop w:val="0"/>
      <w:marBottom w:val="0"/>
      <w:divBdr>
        <w:top w:val="none" w:sz="0" w:space="0" w:color="auto"/>
        <w:left w:val="none" w:sz="0" w:space="0" w:color="auto"/>
        <w:bottom w:val="none" w:sz="0" w:space="0" w:color="auto"/>
        <w:right w:val="none" w:sz="0" w:space="0" w:color="auto"/>
      </w:divBdr>
    </w:div>
    <w:div w:id="1112362687">
      <w:bodyDiv w:val="1"/>
      <w:marLeft w:val="0"/>
      <w:marRight w:val="0"/>
      <w:marTop w:val="0"/>
      <w:marBottom w:val="0"/>
      <w:divBdr>
        <w:top w:val="none" w:sz="0" w:space="0" w:color="auto"/>
        <w:left w:val="none" w:sz="0" w:space="0" w:color="auto"/>
        <w:bottom w:val="none" w:sz="0" w:space="0" w:color="auto"/>
        <w:right w:val="none" w:sz="0" w:space="0" w:color="auto"/>
      </w:divBdr>
    </w:div>
    <w:div w:id="1190073712">
      <w:bodyDiv w:val="1"/>
      <w:marLeft w:val="0"/>
      <w:marRight w:val="0"/>
      <w:marTop w:val="0"/>
      <w:marBottom w:val="0"/>
      <w:divBdr>
        <w:top w:val="none" w:sz="0" w:space="0" w:color="auto"/>
        <w:left w:val="none" w:sz="0" w:space="0" w:color="auto"/>
        <w:bottom w:val="none" w:sz="0" w:space="0" w:color="auto"/>
        <w:right w:val="none" w:sz="0" w:space="0" w:color="auto"/>
      </w:divBdr>
      <w:divsChild>
        <w:div w:id="1181316693">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890076481">
              <w:marLeft w:val="0"/>
              <w:marRight w:val="0"/>
              <w:marTop w:val="0"/>
              <w:marBottom w:val="0"/>
              <w:divBdr>
                <w:top w:val="none" w:sz="0" w:space="0" w:color="auto"/>
                <w:left w:val="none" w:sz="0" w:space="0" w:color="auto"/>
                <w:bottom w:val="none" w:sz="0" w:space="0" w:color="auto"/>
                <w:right w:val="none" w:sz="0" w:space="0" w:color="auto"/>
              </w:divBdr>
              <w:divsChild>
                <w:div w:id="254099819">
                  <w:marLeft w:val="0"/>
                  <w:marRight w:val="0"/>
                  <w:marTop w:val="0"/>
                  <w:marBottom w:val="0"/>
                  <w:divBdr>
                    <w:top w:val="none" w:sz="0" w:space="0" w:color="auto"/>
                    <w:left w:val="none" w:sz="0" w:space="0" w:color="auto"/>
                    <w:bottom w:val="none" w:sz="0" w:space="0" w:color="auto"/>
                    <w:right w:val="none" w:sz="0" w:space="0" w:color="auto"/>
                  </w:divBdr>
                </w:div>
                <w:div w:id="1015420198">
                  <w:marLeft w:val="0"/>
                  <w:marRight w:val="0"/>
                  <w:marTop w:val="0"/>
                  <w:marBottom w:val="0"/>
                  <w:divBdr>
                    <w:top w:val="none" w:sz="0" w:space="0" w:color="auto"/>
                    <w:left w:val="none" w:sz="0" w:space="0" w:color="auto"/>
                    <w:bottom w:val="none" w:sz="0" w:space="0" w:color="auto"/>
                    <w:right w:val="none" w:sz="0" w:space="0" w:color="auto"/>
                  </w:divBdr>
                </w:div>
                <w:div w:id="1078673773">
                  <w:marLeft w:val="0"/>
                  <w:marRight w:val="0"/>
                  <w:marTop w:val="0"/>
                  <w:marBottom w:val="0"/>
                  <w:divBdr>
                    <w:top w:val="none" w:sz="0" w:space="0" w:color="auto"/>
                    <w:left w:val="none" w:sz="0" w:space="0" w:color="auto"/>
                    <w:bottom w:val="none" w:sz="0" w:space="0" w:color="auto"/>
                    <w:right w:val="none" w:sz="0" w:space="0" w:color="auto"/>
                  </w:divBdr>
                </w:div>
                <w:div w:id="1678382076">
                  <w:marLeft w:val="0"/>
                  <w:marRight w:val="0"/>
                  <w:marTop w:val="0"/>
                  <w:marBottom w:val="0"/>
                  <w:divBdr>
                    <w:top w:val="none" w:sz="0" w:space="0" w:color="auto"/>
                    <w:left w:val="none" w:sz="0" w:space="0" w:color="auto"/>
                    <w:bottom w:val="none" w:sz="0" w:space="0" w:color="auto"/>
                    <w:right w:val="none" w:sz="0" w:space="0" w:color="auto"/>
                  </w:divBdr>
                </w:div>
                <w:div w:id="17240139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8058714">
      <w:bodyDiv w:val="1"/>
      <w:marLeft w:val="0"/>
      <w:marRight w:val="0"/>
      <w:marTop w:val="0"/>
      <w:marBottom w:val="0"/>
      <w:divBdr>
        <w:top w:val="none" w:sz="0" w:space="0" w:color="auto"/>
        <w:left w:val="none" w:sz="0" w:space="0" w:color="auto"/>
        <w:bottom w:val="none" w:sz="0" w:space="0" w:color="auto"/>
        <w:right w:val="none" w:sz="0" w:space="0" w:color="auto"/>
      </w:divBdr>
    </w:div>
    <w:div w:id="1301376241">
      <w:bodyDiv w:val="1"/>
      <w:marLeft w:val="0"/>
      <w:marRight w:val="0"/>
      <w:marTop w:val="0"/>
      <w:marBottom w:val="0"/>
      <w:divBdr>
        <w:top w:val="none" w:sz="0" w:space="0" w:color="auto"/>
        <w:left w:val="none" w:sz="0" w:space="0" w:color="auto"/>
        <w:bottom w:val="none" w:sz="0" w:space="0" w:color="auto"/>
        <w:right w:val="none" w:sz="0" w:space="0" w:color="auto"/>
      </w:divBdr>
    </w:div>
    <w:div w:id="1343433378">
      <w:bodyDiv w:val="1"/>
      <w:marLeft w:val="0"/>
      <w:marRight w:val="0"/>
      <w:marTop w:val="0"/>
      <w:marBottom w:val="0"/>
      <w:divBdr>
        <w:top w:val="none" w:sz="0" w:space="0" w:color="auto"/>
        <w:left w:val="none" w:sz="0" w:space="0" w:color="auto"/>
        <w:bottom w:val="none" w:sz="0" w:space="0" w:color="auto"/>
        <w:right w:val="none" w:sz="0" w:space="0" w:color="auto"/>
      </w:divBdr>
    </w:div>
    <w:div w:id="1403257102">
      <w:marLeft w:val="0"/>
      <w:marRight w:val="0"/>
      <w:marTop w:val="0"/>
      <w:marBottom w:val="0"/>
      <w:divBdr>
        <w:top w:val="none" w:sz="0" w:space="0" w:color="auto"/>
        <w:left w:val="none" w:sz="0" w:space="0" w:color="auto"/>
        <w:bottom w:val="none" w:sz="0" w:space="0" w:color="auto"/>
        <w:right w:val="none" w:sz="0" w:space="0" w:color="auto"/>
      </w:divBdr>
    </w:div>
    <w:div w:id="1403257103">
      <w:marLeft w:val="0"/>
      <w:marRight w:val="0"/>
      <w:marTop w:val="0"/>
      <w:marBottom w:val="0"/>
      <w:divBdr>
        <w:top w:val="none" w:sz="0" w:space="0" w:color="auto"/>
        <w:left w:val="none" w:sz="0" w:space="0" w:color="auto"/>
        <w:bottom w:val="none" w:sz="0" w:space="0" w:color="auto"/>
        <w:right w:val="none" w:sz="0" w:space="0" w:color="auto"/>
      </w:divBdr>
    </w:div>
    <w:div w:id="1403257104">
      <w:marLeft w:val="0"/>
      <w:marRight w:val="0"/>
      <w:marTop w:val="0"/>
      <w:marBottom w:val="0"/>
      <w:divBdr>
        <w:top w:val="none" w:sz="0" w:space="0" w:color="auto"/>
        <w:left w:val="none" w:sz="0" w:space="0" w:color="auto"/>
        <w:bottom w:val="none" w:sz="0" w:space="0" w:color="auto"/>
        <w:right w:val="none" w:sz="0" w:space="0" w:color="auto"/>
      </w:divBdr>
    </w:div>
    <w:div w:id="1403257105">
      <w:marLeft w:val="0"/>
      <w:marRight w:val="0"/>
      <w:marTop w:val="0"/>
      <w:marBottom w:val="0"/>
      <w:divBdr>
        <w:top w:val="none" w:sz="0" w:space="0" w:color="auto"/>
        <w:left w:val="none" w:sz="0" w:space="0" w:color="auto"/>
        <w:bottom w:val="none" w:sz="0" w:space="0" w:color="auto"/>
        <w:right w:val="none" w:sz="0" w:space="0" w:color="auto"/>
      </w:divBdr>
    </w:div>
    <w:div w:id="1403257106">
      <w:marLeft w:val="0"/>
      <w:marRight w:val="0"/>
      <w:marTop w:val="0"/>
      <w:marBottom w:val="0"/>
      <w:divBdr>
        <w:top w:val="none" w:sz="0" w:space="0" w:color="auto"/>
        <w:left w:val="none" w:sz="0" w:space="0" w:color="auto"/>
        <w:bottom w:val="none" w:sz="0" w:space="0" w:color="auto"/>
        <w:right w:val="none" w:sz="0" w:space="0" w:color="auto"/>
      </w:divBdr>
    </w:div>
    <w:div w:id="1403257107">
      <w:marLeft w:val="0"/>
      <w:marRight w:val="0"/>
      <w:marTop w:val="0"/>
      <w:marBottom w:val="0"/>
      <w:divBdr>
        <w:top w:val="none" w:sz="0" w:space="0" w:color="auto"/>
        <w:left w:val="none" w:sz="0" w:space="0" w:color="auto"/>
        <w:bottom w:val="none" w:sz="0" w:space="0" w:color="auto"/>
        <w:right w:val="none" w:sz="0" w:space="0" w:color="auto"/>
      </w:divBdr>
    </w:div>
    <w:div w:id="1403257108">
      <w:marLeft w:val="0"/>
      <w:marRight w:val="0"/>
      <w:marTop w:val="0"/>
      <w:marBottom w:val="0"/>
      <w:divBdr>
        <w:top w:val="none" w:sz="0" w:space="0" w:color="auto"/>
        <w:left w:val="none" w:sz="0" w:space="0" w:color="auto"/>
        <w:bottom w:val="none" w:sz="0" w:space="0" w:color="auto"/>
        <w:right w:val="none" w:sz="0" w:space="0" w:color="auto"/>
      </w:divBdr>
    </w:div>
    <w:div w:id="1403257109">
      <w:marLeft w:val="0"/>
      <w:marRight w:val="0"/>
      <w:marTop w:val="0"/>
      <w:marBottom w:val="0"/>
      <w:divBdr>
        <w:top w:val="none" w:sz="0" w:space="0" w:color="auto"/>
        <w:left w:val="none" w:sz="0" w:space="0" w:color="auto"/>
        <w:bottom w:val="none" w:sz="0" w:space="0" w:color="auto"/>
        <w:right w:val="none" w:sz="0" w:space="0" w:color="auto"/>
      </w:divBdr>
      <w:divsChild>
        <w:div w:id="1403257130">
          <w:marLeft w:val="0"/>
          <w:marRight w:val="0"/>
          <w:marTop w:val="0"/>
          <w:marBottom w:val="0"/>
          <w:divBdr>
            <w:top w:val="none" w:sz="0" w:space="0" w:color="auto"/>
            <w:left w:val="none" w:sz="0" w:space="0" w:color="auto"/>
            <w:bottom w:val="none" w:sz="0" w:space="0" w:color="auto"/>
            <w:right w:val="none" w:sz="0" w:space="0" w:color="auto"/>
          </w:divBdr>
        </w:div>
      </w:divsChild>
    </w:div>
    <w:div w:id="1403257110">
      <w:marLeft w:val="0"/>
      <w:marRight w:val="0"/>
      <w:marTop w:val="0"/>
      <w:marBottom w:val="0"/>
      <w:divBdr>
        <w:top w:val="none" w:sz="0" w:space="0" w:color="auto"/>
        <w:left w:val="none" w:sz="0" w:space="0" w:color="auto"/>
        <w:bottom w:val="none" w:sz="0" w:space="0" w:color="auto"/>
        <w:right w:val="none" w:sz="0" w:space="0" w:color="auto"/>
      </w:divBdr>
    </w:div>
    <w:div w:id="1403257112">
      <w:marLeft w:val="0"/>
      <w:marRight w:val="0"/>
      <w:marTop w:val="0"/>
      <w:marBottom w:val="0"/>
      <w:divBdr>
        <w:top w:val="none" w:sz="0" w:space="0" w:color="auto"/>
        <w:left w:val="none" w:sz="0" w:space="0" w:color="auto"/>
        <w:bottom w:val="none" w:sz="0" w:space="0" w:color="auto"/>
        <w:right w:val="none" w:sz="0" w:space="0" w:color="auto"/>
      </w:divBdr>
    </w:div>
    <w:div w:id="1403257113">
      <w:marLeft w:val="0"/>
      <w:marRight w:val="0"/>
      <w:marTop w:val="0"/>
      <w:marBottom w:val="0"/>
      <w:divBdr>
        <w:top w:val="none" w:sz="0" w:space="0" w:color="auto"/>
        <w:left w:val="none" w:sz="0" w:space="0" w:color="auto"/>
        <w:bottom w:val="none" w:sz="0" w:space="0" w:color="auto"/>
        <w:right w:val="none" w:sz="0" w:space="0" w:color="auto"/>
      </w:divBdr>
      <w:divsChild>
        <w:div w:id="1403257114">
          <w:marLeft w:val="0"/>
          <w:marRight w:val="0"/>
          <w:marTop w:val="0"/>
          <w:marBottom w:val="0"/>
          <w:divBdr>
            <w:top w:val="none" w:sz="0" w:space="0" w:color="auto"/>
            <w:left w:val="none" w:sz="0" w:space="0" w:color="auto"/>
            <w:bottom w:val="none" w:sz="0" w:space="0" w:color="auto"/>
            <w:right w:val="none" w:sz="0" w:space="0" w:color="auto"/>
          </w:divBdr>
        </w:div>
      </w:divsChild>
    </w:div>
    <w:div w:id="1403257115">
      <w:marLeft w:val="0"/>
      <w:marRight w:val="0"/>
      <w:marTop w:val="0"/>
      <w:marBottom w:val="0"/>
      <w:divBdr>
        <w:top w:val="none" w:sz="0" w:space="0" w:color="auto"/>
        <w:left w:val="none" w:sz="0" w:space="0" w:color="auto"/>
        <w:bottom w:val="none" w:sz="0" w:space="0" w:color="auto"/>
        <w:right w:val="none" w:sz="0" w:space="0" w:color="auto"/>
      </w:divBdr>
    </w:div>
    <w:div w:id="1403257116">
      <w:marLeft w:val="0"/>
      <w:marRight w:val="0"/>
      <w:marTop w:val="0"/>
      <w:marBottom w:val="0"/>
      <w:divBdr>
        <w:top w:val="none" w:sz="0" w:space="0" w:color="auto"/>
        <w:left w:val="none" w:sz="0" w:space="0" w:color="auto"/>
        <w:bottom w:val="none" w:sz="0" w:space="0" w:color="auto"/>
        <w:right w:val="none" w:sz="0" w:space="0" w:color="auto"/>
      </w:divBdr>
    </w:div>
    <w:div w:id="1403257117">
      <w:marLeft w:val="0"/>
      <w:marRight w:val="0"/>
      <w:marTop w:val="0"/>
      <w:marBottom w:val="0"/>
      <w:divBdr>
        <w:top w:val="none" w:sz="0" w:space="0" w:color="auto"/>
        <w:left w:val="none" w:sz="0" w:space="0" w:color="auto"/>
        <w:bottom w:val="none" w:sz="0" w:space="0" w:color="auto"/>
        <w:right w:val="none" w:sz="0" w:space="0" w:color="auto"/>
      </w:divBdr>
    </w:div>
    <w:div w:id="1403257118">
      <w:marLeft w:val="0"/>
      <w:marRight w:val="0"/>
      <w:marTop w:val="0"/>
      <w:marBottom w:val="0"/>
      <w:divBdr>
        <w:top w:val="none" w:sz="0" w:space="0" w:color="auto"/>
        <w:left w:val="none" w:sz="0" w:space="0" w:color="auto"/>
        <w:bottom w:val="none" w:sz="0" w:space="0" w:color="auto"/>
        <w:right w:val="none" w:sz="0" w:space="0" w:color="auto"/>
      </w:divBdr>
    </w:div>
    <w:div w:id="1403257119">
      <w:marLeft w:val="0"/>
      <w:marRight w:val="0"/>
      <w:marTop w:val="0"/>
      <w:marBottom w:val="0"/>
      <w:divBdr>
        <w:top w:val="none" w:sz="0" w:space="0" w:color="auto"/>
        <w:left w:val="none" w:sz="0" w:space="0" w:color="auto"/>
        <w:bottom w:val="none" w:sz="0" w:space="0" w:color="auto"/>
        <w:right w:val="none" w:sz="0" w:space="0" w:color="auto"/>
      </w:divBdr>
    </w:div>
    <w:div w:id="1403257120">
      <w:marLeft w:val="0"/>
      <w:marRight w:val="0"/>
      <w:marTop w:val="0"/>
      <w:marBottom w:val="0"/>
      <w:divBdr>
        <w:top w:val="none" w:sz="0" w:space="0" w:color="auto"/>
        <w:left w:val="none" w:sz="0" w:space="0" w:color="auto"/>
        <w:bottom w:val="none" w:sz="0" w:space="0" w:color="auto"/>
        <w:right w:val="none" w:sz="0" w:space="0" w:color="auto"/>
      </w:divBdr>
    </w:div>
    <w:div w:id="1403257121">
      <w:marLeft w:val="0"/>
      <w:marRight w:val="0"/>
      <w:marTop w:val="0"/>
      <w:marBottom w:val="0"/>
      <w:divBdr>
        <w:top w:val="none" w:sz="0" w:space="0" w:color="auto"/>
        <w:left w:val="none" w:sz="0" w:space="0" w:color="auto"/>
        <w:bottom w:val="none" w:sz="0" w:space="0" w:color="auto"/>
        <w:right w:val="none" w:sz="0" w:space="0" w:color="auto"/>
      </w:divBdr>
    </w:div>
    <w:div w:id="1403257122">
      <w:marLeft w:val="0"/>
      <w:marRight w:val="0"/>
      <w:marTop w:val="0"/>
      <w:marBottom w:val="0"/>
      <w:divBdr>
        <w:top w:val="none" w:sz="0" w:space="0" w:color="auto"/>
        <w:left w:val="none" w:sz="0" w:space="0" w:color="auto"/>
        <w:bottom w:val="none" w:sz="0" w:space="0" w:color="auto"/>
        <w:right w:val="none" w:sz="0" w:space="0" w:color="auto"/>
      </w:divBdr>
    </w:div>
    <w:div w:id="1403257123">
      <w:marLeft w:val="0"/>
      <w:marRight w:val="0"/>
      <w:marTop w:val="0"/>
      <w:marBottom w:val="0"/>
      <w:divBdr>
        <w:top w:val="none" w:sz="0" w:space="0" w:color="auto"/>
        <w:left w:val="none" w:sz="0" w:space="0" w:color="auto"/>
        <w:bottom w:val="none" w:sz="0" w:space="0" w:color="auto"/>
        <w:right w:val="none" w:sz="0" w:space="0" w:color="auto"/>
      </w:divBdr>
    </w:div>
    <w:div w:id="1403257124">
      <w:marLeft w:val="0"/>
      <w:marRight w:val="0"/>
      <w:marTop w:val="0"/>
      <w:marBottom w:val="0"/>
      <w:divBdr>
        <w:top w:val="none" w:sz="0" w:space="0" w:color="auto"/>
        <w:left w:val="none" w:sz="0" w:space="0" w:color="auto"/>
        <w:bottom w:val="none" w:sz="0" w:space="0" w:color="auto"/>
        <w:right w:val="none" w:sz="0" w:space="0" w:color="auto"/>
      </w:divBdr>
      <w:divsChild>
        <w:div w:id="1403257126">
          <w:marLeft w:val="720"/>
          <w:marRight w:val="720"/>
          <w:marTop w:val="100"/>
          <w:marBottom w:val="100"/>
          <w:divBdr>
            <w:top w:val="none" w:sz="0" w:space="0" w:color="auto"/>
            <w:left w:val="none" w:sz="0" w:space="0" w:color="auto"/>
            <w:bottom w:val="none" w:sz="0" w:space="0" w:color="auto"/>
            <w:right w:val="none" w:sz="0" w:space="0" w:color="auto"/>
          </w:divBdr>
          <w:divsChild>
            <w:div w:id="1403257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3257125">
      <w:marLeft w:val="0"/>
      <w:marRight w:val="0"/>
      <w:marTop w:val="0"/>
      <w:marBottom w:val="0"/>
      <w:divBdr>
        <w:top w:val="none" w:sz="0" w:space="0" w:color="auto"/>
        <w:left w:val="none" w:sz="0" w:space="0" w:color="auto"/>
        <w:bottom w:val="none" w:sz="0" w:space="0" w:color="auto"/>
        <w:right w:val="none" w:sz="0" w:space="0" w:color="auto"/>
      </w:divBdr>
    </w:div>
    <w:div w:id="1403257127">
      <w:marLeft w:val="0"/>
      <w:marRight w:val="0"/>
      <w:marTop w:val="0"/>
      <w:marBottom w:val="0"/>
      <w:divBdr>
        <w:top w:val="none" w:sz="0" w:space="0" w:color="auto"/>
        <w:left w:val="none" w:sz="0" w:space="0" w:color="auto"/>
        <w:bottom w:val="none" w:sz="0" w:space="0" w:color="auto"/>
        <w:right w:val="none" w:sz="0" w:space="0" w:color="auto"/>
      </w:divBdr>
    </w:div>
    <w:div w:id="1403257128">
      <w:marLeft w:val="0"/>
      <w:marRight w:val="0"/>
      <w:marTop w:val="0"/>
      <w:marBottom w:val="0"/>
      <w:divBdr>
        <w:top w:val="none" w:sz="0" w:space="0" w:color="auto"/>
        <w:left w:val="none" w:sz="0" w:space="0" w:color="auto"/>
        <w:bottom w:val="none" w:sz="0" w:space="0" w:color="auto"/>
        <w:right w:val="none" w:sz="0" w:space="0" w:color="auto"/>
      </w:divBdr>
    </w:div>
    <w:div w:id="1403257129">
      <w:marLeft w:val="0"/>
      <w:marRight w:val="0"/>
      <w:marTop w:val="0"/>
      <w:marBottom w:val="0"/>
      <w:divBdr>
        <w:top w:val="none" w:sz="0" w:space="0" w:color="auto"/>
        <w:left w:val="none" w:sz="0" w:space="0" w:color="auto"/>
        <w:bottom w:val="none" w:sz="0" w:space="0" w:color="auto"/>
        <w:right w:val="none" w:sz="0" w:space="0" w:color="auto"/>
      </w:divBdr>
    </w:div>
    <w:div w:id="1403257131">
      <w:marLeft w:val="0"/>
      <w:marRight w:val="0"/>
      <w:marTop w:val="0"/>
      <w:marBottom w:val="0"/>
      <w:divBdr>
        <w:top w:val="none" w:sz="0" w:space="0" w:color="auto"/>
        <w:left w:val="none" w:sz="0" w:space="0" w:color="auto"/>
        <w:bottom w:val="none" w:sz="0" w:space="0" w:color="auto"/>
        <w:right w:val="none" w:sz="0" w:space="0" w:color="auto"/>
      </w:divBdr>
    </w:div>
    <w:div w:id="1421216476">
      <w:bodyDiv w:val="1"/>
      <w:marLeft w:val="0"/>
      <w:marRight w:val="0"/>
      <w:marTop w:val="0"/>
      <w:marBottom w:val="0"/>
      <w:divBdr>
        <w:top w:val="none" w:sz="0" w:space="0" w:color="auto"/>
        <w:left w:val="none" w:sz="0" w:space="0" w:color="auto"/>
        <w:bottom w:val="none" w:sz="0" w:space="0" w:color="auto"/>
        <w:right w:val="none" w:sz="0" w:space="0" w:color="auto"/>
      </w:divBdr>
      <w:divsChild>
        <w:div w:id="323247105">
          <w:marLeft w:val="0"/>
          <w:marRight w:val="0"/>
          <w:marTop w:val="0"/>
          <w:marBottom w:val="0"/>
          <w:divBdr>
            <w:top w:val="none" w:sz="0" w:space="0" w:color="auto"/>
            <w:left w:val="none" w:sz="0" w:space="0" w:color="auto"/>
            <w:bottom w:val="none" w:sz="0" w:space="0" w:color="auto"/>
            <w:right w:val="none" w:sz="0" w:space="0" w:color="auto"/>
          </w:divBdr>
        </w:div>
        <w:div w:id="1037854372">
          <w:marLeft w:val="0"/>
          <w:marRight w:val="0"/>
          <w:marTop w:val="0"/>
          <w:marBottom w:val="0"/>
          <w:divBdr>
            <w:top w:val="none" w:sz="0" w:space="0" w:color="auto"/>
            <w:left w:val="none" w:sz="0" w:space="0" w:color="auto"/>
            <w:bottom w:val="none" w:sz="0" w:space="0" w:color="auto"/>
            <w:right w:val="none" w:sz="0" w:space="0" w:color="auto"/>
          </w:divBdr>
        </w:div>
      </w:divsChild>
    </w:div>
    <w:div w:id="1423380775">
      <w:bodyDiv w:val="1"/>
      <w:marLeft w:val="0"/>
      <w:marRight w:val="0"/>
      <w:marTop w:val="0"/>
      <w:marBottom w:val="0"/>
      <w:divBdr>
        <w:top w:val="none" w:sz="0" w:space="0" w:color="auto"/>
        <w:left w:val="none" w:sz="0" w:space="0" w:color="auto"/>
        <w:bottom w:val="none" w:sz="0" w:space="0" w:color="auto"/>
        <w:right w:val="none" w:sz="0" w:space="0" w:color="auto"/>
      </w:divBdr>
    </w:div>
    <w:div w:id="1459372448">
      <w:bodyDiv w:val="1"/>
      <w:marLeft w:val="0"/>
      <w:marRight w:val="0"/>
      <w:marTop w:val="0"/>
      <w:marBottom w:val="0"/>
      <w:divBdr>
        <w:top w:val="none" w:sz="0" w:space="0" w:color="auto"/>
        <w:left w:val="none" w:sz="0" w:space="0" w:color="auto"/>
        <w:bottom w:val="none" w:sz="0" w:space="0" w:color="auto"/>
        <w:right w:val="none" w:sz="0" w:space="0" w:color="auto"/>
      </w:divBdr>
    </w:div>
    <w:div w:id="1515337091">
      <w:bodyDiv w:val="1"/>
      <w:marLeft w:val="0"/>
      <w:marRight w:val="0"/>
      <w:marTop w:val="0"/>
      <w:marBottom w:val="0"/>
      <w:divBdr>
        <w:top w:val="none" w:sz="0" w:space="0" w:color="auto"/>
        <w:left w:val="none" w:sz="0" w:space="0" w:color="auto"/>
        <w:bottom w:val="none" w:sz="0" w:space="0" w:color="auto"/>
        <w:right w:val="none" w:sz="0" w:space="0" w:color="auto"/>
      </w:divBdr>
    </w:div>
    <w:div w:id="1529946560">
      <w:bodyDiv w:val="1"/>
      <w:marLeft w:val="0"/>
      <w:marRight w:val="0"/>
      <w:marTop w:val="0"/>
      <w:marBottom w:val="0"/>
      <w:divBdr>
        <w:top w:val="none" w:sz="0" w:space="0" w:color="auto"/>
        <w:left w:val="none" w:sz="0" w:space="0" w:color="auto"/>
        <w:bottom w:val="none" w:sz="0" w:space="0" w:color="auto"/>
        <w:right w:val="none" w:sz="0" w:space="0" w:color="auto"/>
      </w:divBdr>
      <w:divsChild>
        <w:div w:id="209239055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226886973">
              <w:marLeft w:val="0"/>
              <w:marRight w:val="0"/>
              <w:marTop w:val="0"/>
              <w:marBottom w:val="0"/>
              <w:divBdr>
                <w:top w:val="none" w:sz="0" w:space="0" w:color="auto"/>
                <w:left w:val="none" w:sz="0" w:space="0" w:color="auto"/>
                <w:bottom w:val="none" w:sz="0" w:space="0" w:color="auto"/>
                <w:right w:val="none" w:sz="0" w:space="0" w:color="auto"/>
              </w:divBdr>
              <w:divsChild>
                <w:div w:id="100541484">
                  <w:marLeft w:val="0"/>
                  <w:marRight w:val="0"/>
                  <w:marTop w:val="0"/>
                  <w:marBottom w:val="0"/>
                  <w:divBdr>
                    <w:top w:val="none" w:sz="0" w:space="0" w:color="auto"/>
                    <w:left w:val="none" w:sz="0" w:space="0" w:color="auto"/>
                    <w:bottom w:val="none" w:sz="0" w:space="0" w:color="auto"/>
                    <w:right w:val="none" w:sz="0" w:space="0" w:color="auto"/>
                  </w:divBdr>
                </w:div>
                <w:div w:id="920337898">
                  <w:marLeft w:val="0"/>
                  <w:marRight w:val="0"/>
                  <w:marTop w:val="0"/>
                  <w:marBottom w:val="0"/>
                  <w:divBdr>
                    <w:top w:val="none" w:sz="0" w:space="0" w:color="auto"/>
                    <w:left w:val="none" w:sz="0" w:space="0" w:color="auto"/>
                    <w:bottom w:val="none" w:sz="0" w:space="0" w:color="auto"/>
                    <w:right w:val="none" w:sz="0" w:space="0" w:color="auto"/>
                  </w:divBdr>
                </w:div>
                <w:div w:id="1669749522">
                  <w:marLeft w:val="0"/>
                  <w:marRight w:val="0"/>
                  <w:marTop w:val="0"/>
                  <w:marBottom w:val="0"/>
                  <w:divBdr>
                    <w:top w:val="none" w:sz="0" w:space="0" w:color="auto"/>
                    <w:left w:val="none" w:sz="0" w:space="0" w:color="auto"/>
                    <w:bottom w:val="none" w:sz="0" w:space="0" w:color="auto"/>
                    <w:right w:val="none" w:sz="0" w:space="0" w:color="auto"/>
                  </w:divBdr>
                </w:div>
                <w:div w:id="1969968444">
                  <w:marLeft w:val="0"/>
                  <w:marRight w:val="0"/>
                  <w:marTop w:val="0"/>
                  <w:marBottom w:val="0"/>
                  <w:divBdr>
                    <w:top w:val="none" w:sz="0" w:space="0" w:color="auto"/>
                    <w:left w:val="none" w:sz="0" w:space="0" w:color="auto"/>
                    <w:bottom w:val="none" w:sz="0" w:space="0" w:color="auto"/>
                    <w:right w:val="none" w:sz="0" w:space="0" w:color="auto"/>
                  </w:divBdr>
                </w:div>
                <w:div w:id="2030059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79747501">
      <w:bodyDiv w:val="1"/>
      <w:marLeft w:val="0"/>
      <w:marRight w:val="0"/>
      <w:marTop w:val="0"/>
      <w:marBottom w:val="0"/>
      <w:divBdr>
        <w:top w:val="none" w:sz="0" w:space="0" w:color="auto"/>
        <w:left w:val="none" w:sz="0" w:space="0" w:color="auto"/>
        <w:bottom w:val="none" w:sz="0" w:space="0" w:color="auto"/>
        <w:right w:val="none" w:sz="0" w:space="0" w:color="auto"/>
      </w:divBdr>
    </w:div>
    <w:div w:id="1604922064">
      <w:bodyDiv w:val="1"/>
      <w:marLeft w:val="0"/>
      <w:marRight w:val="0"/>
      <w:marTop w:val="0"/>
      <w:marBottom w:val="0"/>
      <w:divBdr>
        <w:top w:val="none" w:sz="0" w:space="0" w:color="auto"/>
        <w:left w:val="none" w:sz="0" w:space="0" w:color="auto"/>
        <w:bottom w:val="none" w:sz="0" w:space="0" w:color="auto"/>
        <w:right w:val="none" w:sz="0" w:space="0" w:color="auto"/>
      </w:divBdr>
    </w:div>
    <w:div w:id="1615214845">
      <w:bodyDiv w:val="1"/>
      <w:marLeft w:val="0"/>
      <w:marRight w:val="0"/>
      <w:marTop w:val="0"/>
      <w:marBottom w:val="0"/>
      <w:divBdr>
        <w:top w:val="none" w:sz="0" w:space="0" w:color="auto"/>
        <w:left w:val="none" w:sz="0" w:space="0" w:color="auto"/>
        <w:bottom w:val="none" w:sz="0" w:space="0" w:color="auto"/>
        <w:right w:val="none" w:sz="0" w:space="0" w:color="auto"/>
      </w:divBdr>
    </w:div>
    <w:div w:id="1677537420">
      <w:bodyDiv w:val="1"/>
      <w:marLeft w:val="0"/>
      <w:marRight w:val="0"/>
      <w:marTop w:val="0"/>
      <w:marBottom w:val="0"/>
      <w:divBdr>
        <w:top w:val="none" w:sz="0" w:space="0" w:color="auto"/>
        <w:left w:val="none" w:sz="0" w:space="0" w:color="auto"/>
        <w:bottom w:val="none" w:sz="0" w:space="0" w:color="auto"/>
        <w:right w:val="none" w:sz="0" w:space="0" w:color="auto"/>
      </w:divBdr>
    </w:div>
    <w:div w:id="1685091667">
      <w:bodyDiv w:val="1"/>
      <w:marLeft w:val="0"/>
      <w:marRight w:val="0"/>
      <w:marTop w:val="0"/>
      <w:marBottom w:val="0"/>
      <w:divBdr>
        <w:top w:val="none" w:sz="0" w:space="0" w:color="auto"/>
        <w:left w:val="none" w:sz="0" w:space="0" w:color="auto"/>
        <w:bottom w:val="none" w:sz="0" w:space="0" w:color="auto"/>
        <w:right w:val="none" w:sz="0" w:space="0" w:color="auto"/>
      </w:divBdr>
    </w:div>
    <w:div w:id="1723138513">
      <w:bodyDiv w:val="1"/>
      <w:marLeft w:val="0"/>
      <w:marRight w:val="0"/>
      <w:marTop w:val="0"/>
      <w:marBottom w:val="0"/>
      <w:divBdr>
        <w:top w:val="none" w:sz="0" w:space="0" w:color="auto"/>
        <w:left w:val="none" w:sz="0" w:space="0" w:color="auto"/>
        <w:bottom w:val="none" w:sz="0" w:space="0" w:color="auto"/>
        <w:right w:val="none" w:sz="0" w:space="0" w:color="auto"/>
      </w:divBdr>
    </w:div>
    <w:div w:id="1764915593">
      <w:bodyDiv w:val="1"/>
      <w:marLeft w:val="0"/>
      <w:marRight w:val="0"/>
      <w:marTop w:val="0"/>
      <w:marBottom w:val="0"/>
      <w:divBdr>
        <w:top w:val="none" w:sz="0" w:space="0" w:color="auto"/>
        <w:left w:val="none" w:sz="0" w:space="0" w:color="auto"/>
        <w:bottom w:val="none" w:sz="0" w:space="0" w:color="auto"/>
        <w:right w:val="none" w:sz="0" w:space="0" w:color="auto"/>
      </w:divBdr>
    </w:div>
    <w:div w:id="1878733152">
      <w:bodyDiv w:val="1"/>
      <w:marLeft w:val="0"/>
      <w:marRight w:val="0"/>
      <w:marTop w:val="0"/>
      <w:marBottom w:val="0"/>
      <w:divBdr>
        <w:top w:val="none" w:sz="0" w:space="0" w:color="auto"/>
        <w:left w:val="none" w:sz="0" w:space="0" w:color="auto"/>
        <w:bottom w:val="none" w:sz="0" w:space="0" w:color="auto"/>
        <w:right w:val="none" w:sz="0" w:space="0" w:color="auto"/>
      </w:divBdr>
    </w:div>
    <w:div w:id="1881554640">
      <w:bodyDiv w:val="1"/>
      <w:marLeft w:val="0"/>
      <w:marRight w:val="0"/>
      <w:marTop w:val="0"/>
      <w:marBottom w:val="0"/>
      <w:divBdr>
        <w:top w:val="none" w:sz="0" w:space="0" w:color="auto"/>
        <w:left w:val="none" w:sz="0" w:space="0" w:color="auto"/>
        <w:bottom w:val="none" w:sz="0" w:space="0" w:color="auto"/>
        <w:right w:val="none" w:sz="0" w:space="0" w:color="auto"/>
      </w:divBdr>
    </w:div>
    <w:div w:id="1894383912">
      <w:bodyDiv w:val="1"/>
      <w:marLeft w:val="0"/>
      <w:marRight w:val="0"/>
      <w:marTop w:val="0"/>
      <w:marBottom w:val="0"/>
      <w:divBdr>
        <w:top w:val="none" w:sz="0" w:space="0" w:color="auto"/>
        <w:left w:val="none" w:sz="0" w:space="0" w:color="auto"/>
        <w:bottom w:val="none" w:sz="0" w:space="0" w:color="auto"/>
        <w:right w:val="none" w:sz="0" w:space="0" w:color="auto"/>
      </w:divBdr>
    </w:div>
    <w:div w:id="1933931261">
      <w:bodyDiv w:val="1"/>
      <w:marLeft w:val="0"/>
      <w:marRight w:val="0"/>
      <w:marTop w:val="0"/>
      <w:marBottom w:val="0"/>
      <w:divBdr>
        <w:top w:val="none" w:sz="0" w:space="0" w:color="auto"/>
        <w:left w:val="none" w:sz="0" w:space="0" w:color="auto"/>
        <w:bottom w:val="none" w:sz="0" w:space="0" w:color="auto"/>
        <w:right w:val="none" w:sz="0" w:space="0" w:color="auto"/>
      </w:divBdr>
    </w:div>
    <w:div w:id="1934361714">
      <w:bodyDiv w:val="1"/>
      <w:marLeft w:val="0"/>
      <w:marRight w:val="0"/>
      <w:marTop w:val="0"/>
      <w:marBottom w:val="0"/>
      <w:divBdr>
        <w:top w:val="none" w:sz="0" w:space="0" w:color="auto"/>
        <w:left w:val="none" w:sz="0" w:space="0" w:color="auto"/>
        <w:bottom w:val="none" w:sz="0" w:space="0" w:color="auto"/>
        <w:right w:val="none" w:sz="0" w:space="0" w:color="auto"/>
      </w:divBdr>
    </w:div>
    <w:div w:id="2019967070">
      <w:bodyDiv w:val="1"/>
      <w:marLeft w:val="0"/>
      <w:marRight w:val="0"/>
      <w:marTop w:val="0"/>
      <w:marBottom w:val="0"/>
      <w:divBdr>
        <w:top w:val="none" w:sz="0" w:space="0" w:color="auto"/>
        <w:left w:val="none" w:sz="0" w:space="0" w:color="auto"/>
        <w:bottom w:val="none" w:sz="0" w:space="0" w:color="auto"/>
        <w:right w:val="none" w:sz="0" w:space="0" w:color="auto"/>
      </w:divBdr>
    </w:div>
    <w:div w:id="2020231452">
      <w:bodyDiv w:val="1"/>
      <w:marLeft w:val="0"/>
      <w:marRight w:val="0"/>
      <w:marTop w:val="0"/>
      <w:marBottom w:val="0"/>
      <w:divBdr>
        <w:top w:val="none" w:sz="0" w:space="0" w:color="auto"/>
        <w:left w:val="none" w:sz="0" w:space="0" w:color="auto"/>
        <w:bottom w:val="none" w:sz="0" w:space="0" w:color="auto"/>
        <w:right w:val="none" w:sz="0" w:space="0" w:color="auto"/>
      </w:divBdr>
    </w:div>
    <w:div w:id="20629034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pixelsPerInch w:val="72"/>
</w:webSettings>
</file>

<file path=word/_rels/document.xml.rels><?xml version="1.0" encoding="UTF-8" standalone="yes"?>
<Relationships xmlns="http://schemas.openxmlformats.org/package/2006/relationships"><Relationship Id="rId13" Type="http://schemas.openxmlformats.org/officeDocument/2006/relationships/hyperlink" Target="https://www.iso.org/iso-standards-and-patents.html" TargetMode="External"/><Relationship Id="rId18" Type="http://schemas.openxmlformats.org/officeDocument/2006/relationships/header" Target="header3.xml"/><Relationship Id="rId26" Type="http://schemas.openxmlformats.org/officeDocument/2006/relationships/image" Target="media/image5.emf"/><Relationship Id="rId39" Type="http://schemas.openxmlformats.org/officeDocument/2006/relationships/image" Target="media/image18.png"/><Relationship Id="rId21" Type="http://schemas.openxmlformats.org/officeDocument/2006/relationships/hyperlink" Target="https://www.iso.org/obp/ui" TargetMode="External"/><Relationship Id="rId34" Type="http://schemas.openxmlformats.org/officeDocument/2006/relationships/image" Target="media/image13.emf"/><Relationship Id="rId42" Type="http://schemas.openxmlformats.org/officeDocument/2006/relationships/image" Target="media/image21.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www.iso.org/members.html" TargetMode="External"/><Relationship Id="rId29" Type="http://schemas.openxmlformats.org/officeDocument/2006/relationships/image" Target="media/image8.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3.emf"/><Relationship Id="rId32" Type="http://schemas.openxmlformats.org/officeDocument/2006/relationships/image" Target="media/image11.emf"/><Relationship Id="rId37" Type="http://schemas.openxmlformats.org/officeDocument/2006/relationships/image" Target="media/image16.emf"/><Relationship Id="rId40" Type="http://schemas.openxmlformats.org/officeDocument/2006/relationships/image" Target="media/image19.png"/><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www.iso.org/iso/foreword.html" TargetMode="External"/><Relationship Id="rId23" Type="http://schemas.openxmlformats.org/officeDocument/2006/relationships/image" Target="media/image2.emf"/><Relationship Id="rId28" Type="http://schemas.openxmlformats.org/officeDocument/2006/relationships/image" Target="media/image7.emf"/><Relationship Id="rId36" Type="http://schemas.openxmlformats.org/officeDocument/2006/relationships/image" Target="media/image15.emf"/><Relationship Id="rId10" Type="http://schemas.openxmlformats.org/officeDocument/2006/relationships/header" Target="header1.xml"/><Relationship Id="rId19" Type="http://schemas.openxmlformats.org/officeDocument/2006/relationships/footer" Target="footer2.xml"/><Relationship Id="rId31" Type="http://schemas.openxmlformats.org/officeDocument/2006/relationships/image" Target="media/image10.emf"/><Relationship Id="rId44" Type="http://schemas.openxmlformats.org/officeDocument/2006/relationships/footer" Target="footer5.xml"/><Relationship Id="rId4" Type="http://schemas.openxmlformats.org/officeDocument/2006/relationships/settings" Target="settings.xml"/><Relationship Id="rId9" Type="http://schemas.openxmlformats.org/officeDocument/2006/relationships/hyperlink" Target="http://isotc.iso.org/livelink/livelink/open/jtc1sc29" TargetMode="External"/><Relationship Id="rId14" Type="http://schemas.openxmlformats.org/officeDocument/2006/relationships/hyperlink" Target="http://patents.iec.ch/" TargetMode="External"/><Relationship Id="rId22" Type="http://schemas.openxmlformats.org/officeDocument/2006/relationships/hyperlink" Target="http://www.electropedia.org/" TargetMode="External"/><Relationship Id="rId27" Type="http://schemas.openxmlformats.org/officeDocument/2006/relationships/image" Target="media/image6.emf"/><Relationship Id="rId30" Type="http://schemas.openxmlformats.org/officeDocument/2006/relationships/image" Target="media/image9.emf"/><Relationship Id="rId35" Type="http://schemas.openxmlformats.org/officeDocument/2006/relationships/image" Target="media/image14.emf"/><Relationship Id="rId43" Type="http://schemas.openxmlformats.org/officeDocument/2006/relationships/footer" Target="footer4.xml"/><Relationship Id="rId8" Type="http://schemas.openxmlformats.org/officeDocument/2006/relationships/image" Target="media/image1.jpg"/><Relationship Id="rId3" Type="http://schemas.openxmlformats.org/officeDocument/2006/relationships/styles" Target="styles.xml"/><Relationship Id="rId12" Type="http://schemas.openxmlformats.org/officeDocument/2006/relationships/hyperlink" Target="https://www.iso.org/directives-and-policies.html" TargetMode="External"/><Relationship Id="rId17" Type="http://schemas.openxmlformats.org/officeDocument/2006/relationships/header" Target="header2.xml"/><Relationship Id="rId25" Type="http://schemas.openxmlformats.org/officeDocument/2006/relationships/image" Target="media/image4.emf"/><Relationship Id="rId33" Type="http://schemas.openxmlformats.org/officeDocument/2006/relationships/image" Target="media/image12.emf"/><Relationship Id="rId38" Type="http://schemas.openxmlformats.org/officeDocument/2006/relationships/image" Target="media/image17.emf"/><Relationship Id="rId46" Type="http://schemas.openxmlformats.org/officeDocument/2006/relationships/theme" Target="theme/theme1.xml"/><Relationship Id="rId20" Type="http://schemas.openxmlformats.org/officeDocument/2006/relationships/footer" Target="footer3.xml"/><Relationship Id="rId41" Type="http://schemas.openxmlformats.org/officeDocument/2006/relationships/image" Target="media/image2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E7E6CC3-5935-4CAE-9931-F18BE327002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775</TotalTime>
  <Pages>79</Pages>
  <Words>144180</Words>
  <Characters>821830</Characters>
  <Application>Microsoft Office Word</Application>
  <DocSecurity>0</DocSecurity>
  <Lines>6848</Lines>
  <Paragraphs>1928</Paragraphs>
  <ScaleCrop>false</ScaleCrop>
  <HeadingPairs>
    <vt:vector size="2" baseType="variant">
      <vt:variant>
        <vt:lpstr>Title</vt:lpstr>
      </vt:variant>
      <vt:variant>
        <vt:i4>1</vt:i4>
      </vt:variant>
    </vt:vector>
  </HeadingPairs>
  <TitlesOfParts>
    <vt:vector size="1" baseType="lpstr">
      <vt:lpstr/>
    </vt:vector>
  </TitlesOfParts>
  <Company>Sony Corporation</Company>
  <LinksUpToDate>false</LinksUpToDate>
  <CharactersWithSpaces>964082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Nakagami, Ohji (SONY)</dc:creator>
  <cp:keywords>CTPClassification=CTP_NT</cp:keywords>
  <dc:description/>
  <cp:lastModifiedBy>Bart Kroon</cp:lastModifiedBy>
  <cp:revision>53</cp:revision>
  <cp:lastPrinted>2020-07-09T19:30:00Z</cp:lastPrinted>
  <dcterms:created xsi:type="dcterms:W3CDTF">2020-09-21T19:48:00Z</dcterms:created>
  <dcterms:modified xsi:type="dcterms:W3CDTF">2020-09-28T08:34:00Z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itusGUID">
    <vt:lpwstr>8dccc017-0e3c-4f7f-bd24-bac3abeed5c7</vt:lpwstr>
  </property>
  <property fmtid="{D5CDD505-2E9C-101B-9397-08002B2CF9AE}" pid="3" name="NokiaConfidentiality">
    <vt:lpwstr>Company Confidential</vt:lpwstr>
  </property>
  <property fmtid="{D5CDD505-2E9C-101B-9397-08002B2CF9AE}" pid="4" name="_readonly">
    <vt:lpwstr/>
  </property>
  <property fmtid="{D5CDD505-2E9C-101B-9397-08002B2CF9AE}" pid="5" name="_change">
    <vt:lpwstr/>
  </property>
  <property fmtid="{D5CDD505-2E9C-101B-9397-08002B2CF9AE}" pid="6" name="_full-control">
    <vt:lpwstr/>
  </property>
  <property fmtid="{D5CDD505-2E9C-101B-9397-08002B2CF9AE}" pid="7" name="sflag">
    <vt:lpwstr>1550733207</vt:lpwstr>
  </property>
  <property fmtid="{D5CDD505-2E9C-101B-9397-08002B2CF9AE}" pid="8" name="CTP_TimeStamp">
    <vt:lpwstr>2019-07-09 21:08:19Z</vt:lpwstr>
  </property>
  <property fmtid="{D5CDD505-2E9C-101B-9397-08002B2CF9AE}" pid="9" name="CTP_BU">
    <vt:lpwstr>NA</vt:lpwstr>
  </property>
  <property fmtid="{D5CDD505-2E9C-101B-9397-08002B2CF9AE}" pid="10" name="CTP_IDSID">
    <vt:lpwstr>NA</vt:lpwstr>
  </property>
  <property fmtid="{D5CDD505-2E9C-101B-9397-08002B2CF9AE}" pid="11" name="CTP_WWID">
    <vt:lpwstr>NA</vt:lpwstr>
  </property>
  <property fmtid="{D5CDD505-2E9C-101B-9397-08002B2CF9AE}" pid="12" name="CTPClassification">
    <vt:lpwstr>CTP_NT</vt:lpwstr>
  </property>
  <property fmtid="{D5CDD505-2E9C-101B-9397-08002B2CF9AE}" pid="13" name="MTMacEqns">
    <vt:bool>true</vt:bool>
  </property>
  <property fmtid="{D5CDD505-2E9C-101B-9397-08002B2CF9AE}" pid="14" name="ContentTypeId">
    <vt:lpwstr>0x010100D8D61BF8C2B0E2488F06E52835A054AA</vt:lpwstr>
  </property>
</Properties>
</file>